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8"/>
        <w:rPr>
          <w:rFonts w:ascii="Times New Roman"/>
          <w:sz w:val="20"/>
        </w:rPr>
      </w:pPr>
    </w:p>
    <w:p>
      <w:pPr>
        <w:pStyle w:val="BodyText"/>
        <w:ind w:left="710"/>
        <w:rPr>
          <w:rFonts w:ascii="Times New Roman"/>
          <w:sz w:val="20"/>
        </w:rPr>
      </w:pPr>
      <w:r>
        <w:rPr>
          <w:rFonts w:ascii="Times New Roman"/>
          <w:sz w:val="20"/>
        </w:rPr>
        <mc:AlternateContent>
          <mc:Choice Requires="wps">
            <w:drawing>
              <wp:inline distT="0" distB="0" distL="0" distR="0">
                <wp:extent cx="6185535" cy="170815"/>
                <wp:effectExtent l="76200" t="0" r="5714" b="635"/>
                <wp:docPr id="2" name="Group 2"/>
                <wp:cNvGraphicFramePr>
                  <a:graphicFrameLocks/>
                </wp:cNvGraphicFramePr>
                <a:graphic>
                  <a:graphicData uri="http://schemas.microsoft.com/office/word/2010/wordprocessingGroup">
                    <wpg:wgp>
                      <wpg:cNvPr id="2" name="Group 2"/>
                      <wpg:cNvGrpSpPr/>
                      <wpg:grpSpPr>
                        <a:xfrm>
                          <a:off x="0" y="0"/>
                          <a:ext cx="6185535" cy="170815"/>
                          <a:chExt cx="6185535" cy="170815"/>
                        </a:xfrm>
                      </wpg:grpSpPr>
                      <wps:wsp>
                        <wps:cNvPr id="3" name="Graphic 3"/>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4" name="Graphic 4"/>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5" name="Textbox 5"/>
                        <wps:cNvSpPr txBox="1"/>
                        <wps:spPr>
                          <a:xfrm>
                            <a:off x="0" y="0"/>
                            <a:ext cx="6185535" cy="170815"/>
                          </a:xfrm>
                          <a:prstGeom prst="rect">
                            <a:avLst/>
                          </a:prstGeom>
                        </wps:spPr>
                        <wps:txbx>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2761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2"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3" filled="false" stroked="false">
                  <v:textbox inset="0,0,0,0">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2761</w:t>
                        </w:r>
                      </w:p>
                    </w:txbxContent>
                  </v:textbox>
                  <w10:wrap type="none"/>
                </v:shape>
              </v:group>
            </w:pict>
          </mc:Fallback>
        </mc:AlternateContent>
      </w:r>
      <w:r>
        <w:rPr>
          <w:rFonts w:ascii="Times New Roman"/>
          <w:sz w:val="20"/>
        </w:rPr>
      </w:r>
    </w:p>
    <w:p>
      <w:pPr>
        <w:pStyle w:val="BodyText"/>
        <w:spacing w:before="1"/>
        <w:rPr>
          <w:rFonts w:ascii="Times New Roman"/>
          <w:sz w:val="16"/>
        </w:rPr>
      </w:pPr>
    </w:p>
    <w:tbl>
      <w:tblPr>
        <w:tblW w:w="0" w:type="auto"/>
        <w:jc w:val="left"/>
        <w:tblInd w:w="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3723"/>
        <w:gridCol w:w="4948"/>
      </w:tblGrid>
      <w:tr>
        <w:trPr>
          <w:trHeight w:val="353" w:hRule="atLeast"/>
        </w:trPr>
        <w:tc>
          <w:tcPr>
            <w:tcW w:w="1148" w:type="dxa"/>
            <w:tcBorders>
              <w:top w:val="nil"/>
              <w:left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1</w:t>
            </w:r>
          </w:p>
        </w:tc>
        <w:tc>
          <w:tcPr>
            <w:tcW w:w="8671" w:type="dxa"/>
            <w:gridSpan w:val="2"/>
            <w:tcBorders>
              <w:top w:val="nil"/>
              <w:right w:val="nil"/>
            </w:tcBorders>
            <w:shd w:val="clear" w:color="auto" w:fill="231F20"/>
          </w:tcPr>
          <w:p>
            <w:pPr>
              <w:pStyle w:val="TableParagraph"/>
              <w:spacing w:before="89"/>
              <w:ind w:left="73"/>
              <w:rPr>
                <w:sz w:val="16"/>
              </w:rPr>
            </w:pPr>
            <w:r>
              <w:rPr>
                <w:color w:val="FFFFFF"/>
                <w:w w:val="105"/>
                <w:sz w:val="16"/>
              </w:rPr>
              <w:t>Etiologic</w:t>
            </w:r>
            <w:r>
              <w:rPr>
                <w:color w:val="FFFFFF"/>
                <w:spacing w:val="7"/>
                <w:w w:val="105"/>
                <w:sz w:val="16"/>
              </w:rPr>
              <w:t> </w:t>
            </w:r>
            <w:r>
              <w:rPr>
                <w:color w:val="FFFFFF"/>
                <w:w w:val="105"/>
                <w:sz w:val="16"/>
              </w:rPr>
              <w:t>Classifications</w:t>
            </w:r>
            <w:r>
              <w:rPr>
                <w:color w:val="FFFFFF"/>
                <w:spacing w:val="7"/>
                <w:w w:val="105"/>
                <w:sz w:val="16"/>
              </w:rPr>
              <w:t> </w:t>
            </w:r>
            <w:r>
              <w:rPr>
                <w:color w:val="FFFFFF"/>
                <w:w w:val="105"/>
                <w:sz w:val="16"/>
              </w:rPr>
              <w:t>of</w:t>
            </w:r>
            <w:r>
              <w:rPr>
                <w:color w:val="FFFFFF"/>
                <w:spacing w:val="7"/>
                <w:w w:val="105"/>
                <w:sz w:val="16"/>
              </w:rPr>
              <w:t> </w:t>
            </w:r>
            <w:r>
              <w:rPr>
                <w:color w:val="FFFFFF"/>
                <w:w w:val="105"/>
                <w:sz w:val="16"/>
              </w:rPr>
              <w:t>Diabetes</w:t>
            </w:r>
            <w:r>
              <w:rPr>
                <w:color w:val="FFFFFF"/>
                <w:spacing w:val="7"/>
                <w:w w:val="105"/>
                <w:sz w:val="16"/>
              </w:rPr>
              <w:t> </w:t>
            </w:r>
            <w:r>
              <w:rPr>
                <w:color w:val="FFFFFF"/>
                <w:spacing w:val="-2"/>
                <w:w w:val="105"/>
                <w:sz w:val="16"/>
              </w:rPr>
              <w:t>Mellitus</w:t>
            </w:r>
          </w:p>
        </w:tc>
      </w:tr>
      <w:tr>
        <w:trPr>
          <w:trHeight w:val="7158" w:hRule="atLeast"/>
        </w:trPr>
        <w:tc>
          <w:tcPr>
            <w:tcW w:w="4871" w:type="dxa"/>
            <w:gridSpan w:val="2"/>
            <w:tcBorders>
              <w:left w:val="nil"/>
              <w:bottom w:val="single" w:sz="8" w:space="0" w:color="231F20"/>
              <w:right w:val="single" w:sz="4" w:space="0" w:color="231F20"/>
            </w:tcBorders>
            <w:shd w:val="clear" w:color="auto" w:fill="E8F5F1"/>
          </w:tcPr>
          <w:p>
            <w:pPr>
              <w:pStyle w:val="TableParagraph"/>
              <w:numPr>
                <w:ilvl w:val="0"/>
                <w:numId w:val="1"/>
              </w:numPr>
              <w:tabs>
                <w:tab w:pos="391" w:val="left" w:leader="none"/>
              </w:tabs>
              <w:spacing w:line="230" w:lineRule="auto" w:before="53" w:after="0"/>
              <w:ind w:left="391" w:right="735" w:hanging="151"/>
              <w:jc w:val="left"/>
              <w:rPr>
                <w:sz w:val="15"/>
              </w:rPr>
            </w:pPr>
            <w:r>
              <w:rPr>
                <w:color w:val="231F20"/>
                <w:spacing w:val="-2"/>
                <w:sz w:val="15"/>
              </w:rPr>
              <w:t>Type</w:t>
            </w:r>
            <w:r>
              <w:rPr>
                <w:color w:val="231F20"/>
                <w:spacing w:val="-3"/>
                <w:sz w:val="15"/>
              </w:rPr>
              <w:t> </w:t>
            </w:r>
            <w:r>
              <w:rPr>
                <w:color w:val="231F20"/>
                <w:spacing w:val="-2"/>
                <w:sz w:val="15"/>
              </w:rPr>
              <w:t>1</w:t>
            </w:r>
            <w:r>
              <w:rPr>
                <w:color w:val="231F20"/>
                <w:spacing w:val="-3"/>
                <w:sz w:val="15"/>
              </w:rPr>
              <w:t> </w:t>
            </w:r>
            <w:r>
              <w:rPr>
                <w:color w:val="231F20"/>
                <w:spacing w:val="-2"/>
                <w:sz w:val="15"/>
              </w:rPr>
              <w:t>diabetes</w:t>
            </w:r>
            <w:r>
              <w:rPr>
                <w:color w:val="231F20"/>
                <w:spacing w:val="-3"/>
                <w:sz w:val="15"/>
              </w:rPr>
              <w:t> </w:t>
            </w:r>
            <w:r>
              <w:rPr>
                <w:color w:val="231F20"/>
                <w:spacing w:val="-2"/>
                <w:sz w:val="15"/>
              </w:rPr>
              <w:t>(</w:t>
            </w:r>
            <w:r>
              <w:rPr>
                <w:rFonts w:ascii="Cambria" w:hAnsi="Cambria"/>
                <w:color w:val="231F20"/>
                <w:spacing w:val="-2"/>
                <w:sz w:val="15"/>
              </w:rPr>
              <w:t>β</w:t>
            </w:r>
            <w:r>
              <w:rPr>
                <w:color w:val="231F20"/>
                <w:spacing w:val="-2"/>
                <w:sz w:val="15"/>
              </w:rPr>
              <w:t>-cell</w:t>
            </w:r>
            <w:r>
              <w:rPr>
                <w:color w:val="231F20"/>
                <w:spacing w:val="-3"/>
                <w:sz w:val="15"/>
              </w:rPr>
              <w:t> </w:t>
            </w:r>
            <w:r>
              <w:rPr>
                <w:color w:val="231F20"/>
                <w:spacing w:val="-2"/>
                <w:sz w:val="15"/>
              </w:rPr>
              <w:t>destruction</w:t>
            </w:r>
            <w:r>
              <w:rPr>
                <w:color w:val="231F20"/>
                <w:spacing w:val="-3"/>
                <w:sz w:val="15"/>
              </w:rPr>
              <w:t> </w:t>
            </w:r>
            <w:r>
              <w:rPr>
                <w:color w:val="231F20"/>
                <w:spacing w:val="-2"/>
                <w:sz w:val="15"/>
              </w:rPr>
              <w:t>ultimately</w:t>
            </w:r>
            <w:r>
              <w:rPr>
                <w:color w:val="231F20"/>
                <w:spacing w:val="-3"/>
                <w:sz w:val="15"/>
              </w:rPr>
              <w:t> </w:t>
            </w:r>
            <w:r>
              <w:rPr>
                <w:color w:val="231F20"/>
                <w:spacing w:val="-2"/>
                <w:sz w:val="15"/>
              </w:rPr>
              <w:t>leading</w:t>
            </w:r>
            <w:r>
              <w:rPr>
                <w:color w:val="231F20"/>
                <w:spacing w:val="-3"/>
                <w:sz w:val="15"/>
              </w:rPr>
              <w:t> </w:t>
            </w:r>
            <w:r>
              <w:rPr>
                <w:color w:val="231F20"/>
                <w:spacing w:val="-2"/>
                <w:sz w:val="15"/>
              </w:rPr>
              <w:t>to </w:t>
            </w:r>
            <w:r>
              <w:rPr>
                <w:color w:val="231F20"/>
                <w:sz w:val="15"/>
              </w:rPr>
              <w:t>complete insulin deficiency)</w:t>
            </w:r>
          </w:p>
          <w:p>
            <w:pPr>
              <w:pStyle w:val="TableParagraph"/>
              <w:numPr>
                <w:ilvl w:val="1"/>
                <w:numId w:val="1"/>
              </w:numPr>
              <w:tabs>
                <w:tab w:pos="614" w:val="left" w:leader="none"/>
              </w:tabs>
              <w:spacing w:line="167" w:lineRule="exact" w:before="0" w:after="0"/>
              <w:ind w:left="614" w:right="0" w:hanging="223"/>
              <w:jc w:val="left"/>
              <w:rPr>
                <w:sz w:val="15"/>
              </w:rPr>
            </w:pPr>
            <w:r>
              <w:rPr>
                <w:color w:val="231F20"/>
                <w:sz w:val="15"/>
              </w:rPr>
              <w:t>Immune</w:t>
            </w:r>
            <w:r>
              <w:rPr>
                <w:color w:val="231F20"/>
                <w:spacing w:val="6"/>
                <w:sz w:val="15"/>
              </w:rPr>
              <w:t> </w:t>
            </w:r>
            <w:r>
              <w:rPr>
                <w:color w:val="231F20"/>
                <w:spacing w:val="-2"/>
                <w:sz w:val="15"/>
              </w:rPr>
              <w:t>mediated</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pacing w:val="-2"/>
                <w:sz w:val="15"/>
              </w:rPr>
              <w:t>Idiopathic</w:t>
            </w:r>
          </w:p>
          <w:p>
            <w:pPr>
              <w:pStyle w:val="TableParagraph"/>
              <w:numPr>
                <w:ilvl w:val="0"/>
                <w:numId w:val="1"/>
              </w:numPr>
              <w:tabs>
                <w:tab w:pos="389" w:val="left" w:leader="none"/>
                <w:tab w:pos="391" w:val="left" w:leader="none"/>
              </w:tabs>
              <w:spacing w:line="230" w:lineRule="auto" w:before="2" w:after="0"/>
              <w:ind w:left="391" w:right="198" w:hanging="190"/>
              <w:jc w:val="left"/>
              <w:rPr>
                <w:sz w:val="15"/>
              </w:rPr>
            </w:pPr>
            <w:r>
              <w:rPr>
                <w:color w:val="231F20"/>
                <w:sz w:val="15"/>
              </w:rPr>
              <w:t>Type</w:t>
            </w:r>
            <w:r>
              <w:rPr>
                <w:color w:val="231F20"/>
                <w:spacing w:val="-11"/>
                <w:sz w:val="15"/>
              </w:rPr>
              <w:t> </w:t>
            </w:r>
            <w:r>
              <w:rPr>
                <w:color w:val="231F20"/>
                <w:sz w:val="15"/>
              </w:rPr>
              <w:t>2</w:t>
            </w:r>
            <w:r>
              <w:rPr>
                <w:color w:val="231F20"/>
                <w:spacing w:val="-11"/>
                <w:sz w:val="15"/>
              </w:rPr>
              <w:t> </w:t>
            </w:r>
            <w:r>
              <w:rPr>
                <w:color w:val="231F20"/>
                <w:sz w:val="15"/>
              </w:rPr>
              <w:t>diabetes</w:t>
            </w:r>
            <w:r>
              <w:rPr>
                <w:color w:val="231F20"/>
                <w:spacing w:val="-11"/>
                <w:sz w:val="15"/>
              </w:rPr>
              <w:t> </w:t>
            </w:r>
            <w:r>
              <w:rPr>
                <w:color w:val="231F20"/>
                <w:sz w:val="15"/>
              </w:rPr>
              <w:t>(variable</w:t>
            </w:r>
            <w:r>
              <w:rPr>
                <w:color w:val="231F20"/>
                <w:spacing w:val="-11"/>
                <w:sz w:val="15"/>
              </w:rPr>
              <w:t> </w:t>
            </w:r>
            <w:r>
              <w:rPr>
                <w:color w:val="231F20"/>
                <w:sz w:val="15"/>
              </w:rPr>
              <w:t>combinations</w:t>
            </w:r>
            <w:r>
              <w:rPr>
                <w:color w:val="231F20"/>
                <w:spacing w:val="-11"/>
                <w:sz w:val="15"/>
              </w:rPr>
              <w:t> </w:t>
            </w:r>
            <w:r>
              <w:rPr>
                <w:color w:val="231F20"/>
                <w:sz w:val="15"/>
              </w:rPr>
              <w:t>of</w:t>
            </w:r>
            <w:r>
              <w:rPr>
                <w:color w:val="231F20"/>
                <w:spacing w:val="-11"/>
                <w:sz w:val="15"/>
              </w:rPr>
              <w:t> </w:t>
            </w:r>
            <w:r>
              <w:rPr>
                <w:color w:val="231F20"/>
                <w:sz w:val="15"/>
              </w:rPr>
              <w:t>insulin</w:t>
            </w:r>
            <w:r>
              <w:rPr>
                <w:color w:val="231F20"/>
                <w:spacing w:val="-11"/>
                <w:sz w:val="15"/>
              </w:rPr>
              <w:t> </w:t>
            </w:r>
            <w:r>
              <w:rPr>
                <w:color w:val="231F20"/>
                <w:sz w:val="15"/>
              </w:rPr>
              <w:t>resistance</w:t>
            </w:r>
            <w:r>
              <w:rPr>
                <w:color w:val="231F20"/>
                <w:spacing w:val="-11"/>
                <w:sz w:val="15"/>
              </w:rPr>
              <w:t> </w:t>
            </w:r>
            <w:r>
              <w:rPr>
                <w:color w:val="231F20"/>
                <w:sz w:val="15"/>
              </w:rPr>
              <w:t>and insulin deficiency)</w:t>
            </w:r>
          </w:p>
          <w:p>
            <w:pPr>
              <w:pStyle w:val="TableParagraph"/>
              <w:numPr>
                <w:ilvl w:val="1"/>
                <w:numId w:val="1"/>
              </w:numPr>
              <w:tabs>
                <w:tab w:pos="614" w:val="left" w:leader="none"/>
              </w:tabs>
              <w:spacing w:line="167" w:lineRule="exact" w:before="0" w:after="0"/>
              <w:ind w:left="614" w:right="0" w:hanging="223"/>
              <w:jc w:val="left"/>
              <w:rPr>
                <w:sz w:val="15"/>
              </w:rPr>
            </w:pPr>
            <w:r>
              <w:rPr>
                <w:color w:val="231F20"/>
                <w:spacing w:val="-2"/>
                <w:sz w:val="15"/>
              </w:rPr>
              <w:t>Typical</w:t>
            </w:r>
          </w:p>
          <w:p>
            <w:pPr>
              <w:pStyle w:val="TableParagraph"/>
              <w:numPr>
                <w:ilvl w:val="1"/>
                <w:numId w:val="1"/>
              </w:numPr>
              <w:tabs>
                <w:tab w:pos="614" w:val="left" w:leader="none"/>
              </w:tabs>
              <w:spacing w:line="167" w:lineRule="exact" w:before="0" w:after="0"/>
              <w:ind w:left="614" w:right="0" w:hanging="223"/>
              <w:jc w:val="left"/>
              <w:rPr>
                <w:sz w:val="15"/>
              </w:rPr>
            </w:pPr>
            <w:r>
              <w:rPr>
                <w:color w:val="231F20"/>
                <w:spacing w:val="-2"/>
                <w:sz w:val="15"/>
              </w:rPr>
              <w:t>Atypical</w:t>
            </w:r>
          </w:p>
          <w:p>
            <w:pPr>
              <w:pStyle w:val="TableParagraph"/>
              <w:numPr>
                <w:ilvl w:val="0"/>
                <w:numId w:val="1"/>
              </w:numPr>
              <w:tabs>
                <w:tab w:pos="390" w:val="left" w:leader="none"/>
              </w:tabs>
              <w:spacing w:line="169" w:lineRule="exact" w:before="0" w:after="0"/>
              <w:ind w:left="390" w:right="0" w:hanging="227"/>
              <w:jc w:val="left"/>
              <w:rPr>
                <w:sz w:val="15"/>
              </w:rPr>
            </w:pPr>
            <w:r>
              <w:rPr>
                <w:color w:val="231F20"/>
                <w:spacing w:val="-2"/>
                <w:sz w:val="15"/>
              </w:rPr>
              <w:t>Genetic</w:t>
            </w:r>
            <w:r>
              <w:rPr>
                <w:color w:val="231F20"/>
                <w:spacing w:val="-1"/>
                <w:sz w:val="15"/>
              </w:rPr>
              <w:t> </w:t>
            </w:r>
            <w:r>
              <w:rPr>
                <w:color w:val="231F20"/>
                <w:spacing w:val="-2"/>
                <w:sz w:val="15"/>
              </w:rPr>
              <w:t>defects</w:t>
            </w:r>
            <w:r>
              <w:rPr>
                <w:color w:val="231F20"/>
                <w:sz w:val="15"/>
              </w:rPr>
              <w:t> </w:t>
            </w:r>
            <w:r>
              <w:rPr>
                <w:color w:val="231F20"/>
                <w:spacing w:val="-2"/>
                <w:sz w:val="15"/>
              </w:rPr>
              <w:t>of</w:t>
            </w:r>
            <w:r>
              <w:rPr>
                <w:color w:val="231F20"/>
                <w:spacing w:val="-1"/>
                <w:sz w:val="15"/>
              </w:rPr>
              <w:t> </w:t>
            </w:r>
            <w:r>
              <w:rPr>
                <w:rFonts w:ascii="Cambria" w:hAnsi="Cambria"/>
                <w:color w:val="231F20"/>
                <w:spacing w:val="-2"/>
                <w:sz w:val="15"/>
              </w:rPr>
              <w:t>β</w:t>
            </w:r>
            <w:r>
              <w:rPr>
                <w:color w:val="231F20"/>
                <w:spacing w:val="-2"/>
                <w:sz w:val="15"/>
              </w:rPr>
              <w:t>-cell</w:t>
            </w:r>
            <w:r>
              <w:rPr>
                <w:color w:val="231F20"/>
                <w:sz w:val="15"/>
              </w:rPr>
              <w:t> </w:t>
            </w:r>
            <w:r>
              <w:rPr>
                <w:color w:val="231F20"/>
                <w:spacing w:val="-2"/>
                <w:sz w:val="15"/>
              </w:rPr>
              <w:t>function</w:t>
            </w:r>
          </w:p>
          <w:p>
            <w:pPr>
              <w:pStyle w:val="TableParagraph"/>
              <w:numPr>
                <w:ilvl w:val="1"/>
                <w:numId w:val="1"/>
              </w:numPr>
              <w:tabs>
                <w:tab w:pos="614" w:val="left" w:leader="none"/>
              </w:tabs>
              <w:spacing w:line="167" w:lineRule="exact" w:before="0" w:after="0"/>
              <w:ind w:left="614" w:right="0" w:hanging="223"/>
              <w:jc w:val="left"/>
              <w:rPr>
                <w:sz w:val="15"/>
              </w:rPr>
            </w:pPr>
            <w:r>
              <w:rPr>
                <w:color w:val="231F20"/>
                <w:sz w:val="15"/>
              </w:rPr>
              <w:t>MODY</w:t>
            </w:r>
            <w:r>
              <w:rPr>
                <w:color w:val="231F20"/>
                <w:spacing w:val="-1"/>
                <w:sz w:val="15"/>
              </w:rPr>
              <w:t> </w:t>
            </w:r>
            <w:r>
              <w:rPr>
                <w:color w:val="231F20"/>
                <w:sz w:val="15"/>
              </w:rPr>
              <w:t>(maturity-onset diabetes of the young) </w:t>
            </w:r>
            <w:r>
              <w:rPr>
                <w:color w:val="231F20"/>
                <w:spacing w:val="-2"/>
                <w:sz w:val="15"/>
              </w:rPr>
              <w:t>syndromes</w:t>
            </w:r>
          </w:p>
          <w:p>
            <w:pPr>
              <w:pStyle w:val="TableParagraph"/>
              <w:numPr>
                <w:ilvl w:val="2"/>
                <w:numId w:val="1"/>
              </w:numPr>
              <w:tabs>
                <w:tab w:pos="806" w:val="left" w:leader="none"/>
              </w:tabs>
              <w:spacing w:line="169" w:lineRule="exact" w:before="0" w:after="0"/>
              <w:ind w:left="806" w:right="0" w:hanging="191"/>
              <w:jc w:val="left"/>
              <w:rPr>
                <w:rFonts w:ascii="Cambria" w:hAnsi="Cambria"/>
                <w:sz w:val="15"/>
              </w:rPr>
            </w:pPr>
            <w:r>
              <w:rPr>
                <w:color w:val="231F20"/>
                <w:w w:val="105"/>
                <w:sz w:val="15"/>
              </w:rPr>
              <w:t>MODY</w:t>
            </w:r>
            <w:r>
              <w:rPr>
                <w:color w:val="231F20"/>
                <w:spacing w:val="-5"/>
                <w:w w:val="105"/>
                <w:sz w:val="15"/>
              </w:rPr>
              <w:t> </w:t>
            </w:r>
            <w:r>
              <w:rPr>
                <w:color w:val="231F20"/>
                <w:w w:val="105"/>
                <w:sz w:val="15"/>
              </w:rPr>
              <w:t>1</w:t>
            </w:r>
            <w:r>
              <w:rPr>
                <w:color w:val="231F20"/>
                <w:spacing w:val="-5"/>
                <w:w w:val="105"/>
                <w:sz w:val="15"/>
              </w:rPr>
              <w:t> </w:t>
            </w:r>
            <w:r>
              <w:rPr>
                <w:color w:val="231F20"/>
                <w:w w:val="105"/>
                <w:sz w:val="15"/>
              </w:rPr>
              <w:t>chromosome</w:t>
            </w:r>
            <w:r>
              <w:rPr>
                <w:color w:val="231F20"/>
                <w:spacing w:val="-5"/>
                <w:w w:val="105"/>
                <w:sz w:val="15"/>
              </w:rPr>
              <w:t> </w:t>
            </w:r>
            <w:r>
              <w:rPr>
                <w:color w:val="231F20"/>
                <w:w w:val="105"/>
                <w:sz w:val="15"/>
              </w:rPr>
              <w:t>20,</w:t>
            </w:r>
            <w:r>
              <w:rPr>
                <w:color w:val="231F20"/>
                <w:spacing w:val="-5"/>
                <w:w w:val="105"/>
                <w:sz w:val="15"/>
              </w:rPr>
              <w:t> </w:t>
            </w:r>
            <w:r>
              <w:rPr>
                <w:color w:val="231F20"/>
                <w:spacing w:val="-4"/>
                <w:w w:val="105"/>
                <w:sz w:val="15"/>
              </w:rPr>
              <w:t>HNF4</w:t>
            </w:r>
            <w:r>
              <w:rPr>
                <w:rFonts w:ascii="Cambria" w:hAnsi="Cambria"/>
                <w:color w:val="231F20"/>
                <w:spacing w:val="-4"/>
                <w:w w:val="105"/>
                <w:sz w:val="15"/>
              </w:rPr>
              <w:t>α</w:t>
            </w:r>
          </w:p>
          <w:p>
            <w:pPr>
              <w:pStyle w:val="TableParagraph"/>
              <w:numPr>
                <w:ilvl w:val="2"/>
                <w:numId w:val="1"/>
              </w:numPr>
              <w:tabs>
                <w:tab w:pos="806" w:val="left" w:leader="none"/>
              </w:tabs>
              <w:spacing w:line="167" w:lineRule="exact" w:before="0" w:after="0"/>
              <w:ind w:left="806" w:right="0" w:hanging="191"/>
              <w:jc w:val="left"/>
              <w:rPr>
                <w:sz w:val="15"/>
              </w:rPr>
            </w:pPr>
            <w:r>
              <w:rPr>
                <w:color w:val="231F20"/>
                <w:sz w:val="15"/>
              </w:rPr>
              <w:t>MODY</w:t>
            </w:r>
            <w:r>
              <w:rPr>
                <w:color w:val="231F20"/>
                <w:spacing w:val="16"/>
                <w:sz w:val="15"/>
              </w:rPr>
              <w:t> </w:t>
            </w:r>
            <w:r>
              <w:rPr>
                <w:color w:val="231F20"/>
                <w:sz w:val="15"/>
              </w:rPr>
              <w:t>2</w:t>
            </w:r>
            <w:r>
              <w:rPr>
                <w:color w:val="231F20"/>
                <w:spacing w:val="17"/>
                <w:sz w:val="15"/>
              </w:rPr>
              <w:t> </w:t>
            </w:r>
            <w:r>
              <w:rPr>
                <w:color w:val="231F20"/>
                <w:sz w:val="15"/>
              </w:rPr>
              <w:t>chromosome</w:t>
            </w:r>
            <w:r>
              <w:rPr>
                <w:color w:val="231F20"/>
                <w:spacing w:val="17"/>
                <w:sz w:val="15"/>
              </w:rPr>
              <w:t> </w:t>
            </w:r>
            <w:r>
              <w:rPr>
                <w:color w:val="231F20"/>
                <w:sz w:val="15"/>
              </w:rPr>
              <w:t>7,</w:t>
            </w:r>
            <w:r>
              <w:rPr>
                <w:color w:val="231F20"/>
                <w:spacing w:val="17"/>
                <w:sz w:val="15"/>
              </w:rPr>
              <w:t> </w:t>
            </w:r>
            <w:r>
              <w:rPr>
                <w:color w:val="231F20"/>
                <w:spacing w:val="-2"/>
                <w:sz w:val="15"/>
              </w:rPr>
              <w:t>glucokinase</w:t>
            </w:r>
          </w:p>
          <w:p>
            <w:pPr>
              <w:pStyle w:val="TableParagraph"/>
              <w:numPr>
                <w:ilvl w:val="2"/>
                <w:numId w:val="1"/>
              </w:numPr>
              <w:tabs>
                <w:tab w:pos="806" w:val="left" w:leader="none"/>
              </w:tabs>
              <w:spacing w:line="169" w:lineRule="exact" w:before="0" w:after="0"/>
              <w:ind w:left="806" w:right="0" w:hanging="191"/>
              <w:jc w:val="left"/>
              <w:rPr>
                <w:sz w:val="15"/>
              </w:rPr>
            </w:pPr>
            <w:r>
              <w:rPr>
                <w:color w:val="231F20"/>
                <w:sz w:val="15"/>
              </w:rPr>
              <w:t>MODY</w:t>
            </w:r>
            <w:r>
              <w:rPr>
                <w:color w:val="231F20"/>
                <w:spacing w:val="19"/>
                <w:sz w:val="15"/>
              </w:rPr>
              <w:t> </w:t>
            </w:r>
            <w:r>
              <w:rPr>
                <w:color w:val="231F20"/>
                <w:sz w:val="15"/>
              </w:rPr>
              <w:t>3</w:t>
            </w:r>
            <w:r>
              <w:rPr>
                <w:color w:val="231F20"/>
                <w:spacing w:val="20"/>
                <w:sz w:val="15"/>
              </w:rPr>
              <w:t> </w:t>
            </w:r>
            <w:r>
              <w:rPr>
                <w:color w:val="231F20"/>
                <w:sz w:val="15"/>
              </w:rPr>
              <w:t>chromosome</w:t>
            </w:r>
            <w:r>
              <w:rPr>
                <w:color w:val="231F20"/>
                <w:spacing w:val="19"/>
                <w:sz w:val="15"/>
              </w:rPr>
              <w:t> </w:t>
            </w:r>
            <w:r>
              <w:rPr>
                <w:color w:val="231F20"/>
                <w:sz w:val="15"/>
              </w:rPr>
              <w:t>12,</w:t>
            </w:r>
            <w:r>
              <w:rPr>
                <w:color w:val="231F20"/>
                <w:spacing w:val="20"/>
                <w:sz w:val="15"/>
              </w:rPr>
              <w:t> </w:t>
            </w:r>
            <w:r>
              <w:rPr>
                <w:color w:val="231F20"/>
                <w:sz w:val="15"/>
              </w:rPr>
              <w:t>HNF1</w:t>
            </w:r>
            <w:r>
              <w:rPr>
                <w:rFonts w:ascii="Cambria" w:hAnsi="Cambria"/>
                <w:color w:val="231F20"/>
                <w:sz w:val="15"/>
              </w:rPr>
              <w:t>α</w:t>
            </w:r>
            <w:r>
              <w:rPr>
                <w:color w:val="231F20"/>
                <w:sz w:val="15"/>
              </w:rPr>
              <w:t>,</w:t>
            </w:r>
            <w:r>
              <w:rPr>
                <w:color w:val="231F20"/>
                <w:spacing w:val="19"/>
                <w:sz w:val="15"/>
              </w:rPr>
              <w:t> </w:t>
            </w:r>
            <w:r>
              <w:rPr>
                <w:color w:val="231F20"/>
                <w:sz w:val="15"/>
              </w:rPr>
              <w:t>TCF-</w:t>
            </w:r>
            <w:r>
              <w:rPr>
                <w:color w:val="231F20"/>
                <w:spacing w:val="-10"/>
                <w:sz w:val="15"/>
              </w:rPr>
              <w:t>1</w:t>
            </w:r>
          </w:p>
          <w:p>
            <w:pPr>
              <w:pStyle w:val="TableParagraph"/>
              <w:numPr>
                <w:ilvl w:val="2"/>
                <w:numId w:val="1"/>
              </w:numPr>
              <w:tabs>
                <w:tab w:pos="806" w:val="left" w:leader="none"/>
              </w:tabs>
              <w:spacing w:line="167" w:lineRule="exact" w:before="0" w:after="0"/>
              <w:ind w:left="806" w:right="0" w:hanging="191"/>
              <w:jc w:val="left"/>
              <w:rPr>
                <w:sz w:val="15"/>
              </w:rPr>
            </w:pPr>
            <w:r>
              <w:rPr>
                <w:color w:val="231F20"/>
                <w:sz w:val="15"/>
              </w:rPr>
              <w:t>MODY</w:t>
            </w:r>
            <w:r>
              <w:rPr>
                <w:color w:val="231F20"/>
                <w:spacing w:val="15"/>
                <w:sz w:val="15"/>
              </w:rPr>
              <w:t> </w:t>
            </w:r>
            <w:r>
              <w:rPr>
                <w:color w:val="231F20"/>
                <w:sz w:val="15"/>
              </w:rPr>
              <w:t>4</w:t>
            </w:r>
            <w:r>
              <w:rPr>
                <w:color w:val="231F20"/>
                <w:spacing w:val="16"/>
                <w:sz w:val="15"/>
              </w:rPr>
              <w:t> </w:t>
            </w:r>
            <w:r>
              <w:rPr>
                <w:color w:val="231F20"/>
                <w:sz w:val="15"/>
              </w:rPr>
              <w:t>chromosome</w:t>
            </w:r>
            <w:r>
              <w:rPr>
                <w:color w:val="231F20"/>
                <w:spacing w:val="16"/>
                <w:sz w:val="15"/>
              </w:rPr>
              <w:t> </w:t>
            </w:r>
            <w:r>
              <w:rPr>
                <w:color w:val="231F20"/>
                <w:sz w:val="15"/>
              </w:rPr>
              <w:t>13,</w:t>
            </w:r>
            <w:r>
              <w:rPr>
                <w:color w:val="231F20"/>
                <w:spacing w:val="16"/>
                <w:sz w:val="15"/>
              </w:rPr>
              <w:t> </w:t>
            </w:r>
            <w:r>
              <w:rPr>
                <w:color w:val="231F20"/>
                <w:sz w:val="15"/>
              </w:rPr>
              <w:t>IPF-</w:t>
            </w:r>
            <w:r>
              <w:rPr>
                <w:color w:val="231F20"/>
                <w:spacing w:val="-10"/>
                <w:sz w:val="15"/>
              </w:rPr>
              <w:t>1</w:t>
            </w:r>
          </w:p>
          <w:p>
            <w:pPr>
              <w:pStyle w:val="TableParagraph"/>
              <w:numPr>
                <w:ilvl w:val="2"/>
                <w:numId w:val="1"/>
              </w:numPr>
              <w:tabs>
                <w:tab w:pos="806" w:val="left" w:leader="none"/>
              </w:tabs>
              <w:spacing w:line="168" w:lineRule="exact" w:before="0" w:after="0"/>
              <w:ind w:left="806" w:right="0" w:hanging="191"/>
              <w:jc w:val="left"/>
              <w:rPr>
                <w:sz w:val="15"/>
              </w:rPr>
            </w:pPr>
            <w:r>
              <w:rPr>
                <w:color w:val="231F20"/>
                <w:sz w:val="15"/>
              </w:rPr>
              <w:t>MODY</w:t>
            </w:r>
            <w:r>
              <w:rPr>
                <w:color w:val="231F20"/>
                <w:spacing w:val="17"/>
                <w:sz w:val="15"/>
              </w:rPr>
              <w:t> </w:t>
            </w:r>
            <w:r>
              <w:rPr>
                <w:color w:val="231F20"/>
                <w:sz w:val="15"/>
              </w:rPr>
              <w:t>5</w:t>
            </w:r>
            <w:r>
              <w:rPr>
                <w:color w:val="231F20"/>
                <w:spacing w:val="18"/>
                <w:sz w:val="15"/>
              </w:rPr>
              <w:t> </w:t>
            </w:r>
            <w:r>
              <w:rPr>
                <w:color w:val="231F20"/>
                <w:sz w:val="15"/>
              </w:rPr>
              <w:t>chromosome</w:t>
            </w:r>
            <w:r>
              <w:rPr>
                <w:color w:val="231F20"/>
                <w:spacing w:val="18"/>
                <w:sz w:val="15"/>
              </w:rPr>
              <w:t> </w:t>
            </w:r>
            <w:r>
              <w:rPr>
                <w:color w:val="231F20"/>
                <w:sz w:val="15"/>
              </w:rPr>
              <w:t>17,</w:t>
            </w:r>
            <w:r>
              <w:rPr>
                <w:color w:val="231F20"/>
                <w:spacing w:val="17"/>
                <w:sz w:val="15"/>
              </w:rPr>
              <w:t> </w:t>
            </w:r>
            <w:r>
              <w:rPr>
                <w:color w:val="231F20"/>
                <w:sz w:val="15"/>
              </w:rPr>
              <w:t>HNF1</w:t>
            </w:r>
            <w:r>
              <w:rPr>
                <w:rFonts w:ascii="Cambria" w:hAnsi="Cambria"/>
                <w:color w:val="231F20"/>
                <w:sz w:val="15"/>
              </w:rPr>
              <w:t>β</w:t>
            </w:r>
            <w:r>
              <w:rPr>
                <w:color w:val="231F20"/>
                <w:sz w:val="15"/>
              </w:rPr>
              <w:t>,</w:t>
            </w:r>
            <w:r>
              <w:rPr>
                <w:color w:val="231F20"/>
                <w:spacing w:val="18"/>
                <w:sz w:val="15"/>
              </w:rPr>
              <w:t> </w:t>
            </w:r>
            <w:r>
              <w:rPr>
                <w:color w:val="231F20"/>
                <w:sz w:val="15"/>
              </w:rPr>
              <w:t>TCF-</w:t>
            </w:r>
            <w:r>
              <w:rPr>
                <w:color w:val="231F20"/>
                <w:spacing w:val="-10"/>
                <w:sz w:val="15"/>
              </w:rPr>
              <w:t>2</w:t>
            </w:r>
          </w:p>
          <w:p>
            <w:pPr>
              <w:pStyle w:val="TableParagraph"/>
              <w:numPr>
                <w:ilvl w:val="2"/>
                <w:numId w:val="1"/>
              </w:numPr>
              <w:tabs>
                <w:tab w:pos="806" w:val="left" w:leader="none"/>
              </w:tabs>
              <w:spacing w:line="169" w:lineRule="exact" w:before="0" w:after="0"/>
              <w:ind w:left="806" w:right="0" w:hanging="191"/>
              <w:jc w:val="left"/>
              <w:rPr>
                <w:sz w:val="15"/>
              </w:rPr>
            </w:pPr>
            <w:r>
              <w:rPr>
                <w:color w:val="231F20"/>
                <w:sz w:val="15"/>
              </w:rPr>
              <w:t>MODY</w:t>
            </w:r>
            <w:r>
              <w:rPr>
                <w:color w:val="231F20"/>
                <w:spacing w:val="20"/>
                <w:sz w:val="15"/>
              </w:rPr>
              <w:t> </w:t>
            </w:r>
            <w:r>
              <w:rPr>
                <w:color w:val="231F20"/>
                <w:sz w:val="15"/>
              </w:rPr>
              <w:t>6</w:t>
            </w:r>
            <w:r>
              <w:rPr>
                <w:color w:val="231F20"/>
                <w:spacing w:val="21"/>
                <w:sz w:val="15"/>
              </w:rPr>
              <w:t> </w:t>
            </w:r>
            <w:r>
              <w:rPr>
                <w:color w:val="231F20"/>
                <w:sz w:val="15"/>
              </w:rPr>
              <w:t>chromosome</w:t>
            </w:r>
            <w:r>
              <w:rPr>
                <w:color w:val="231F20"/>
                <w:spacing w:val="21"/>
                <w:sz w:val="15"/>
              </w:rPr>
              <w:t> </w:t>
            </w:r>
            <w:r>
              <w:rPr>
                <w:color w:val="231F20"/>
                <w:sz w:val="15"/>
              </w:rPr>
              <w:t>2q32,</w:t>
            </w:r>
            <w:r>
              <w:rPr>
                <w:color w:val="231F20"/>
                <w:spacing w:val="21"/>
                <w:sz w:val="15"/>
              </w:rPr>
              <w:t> </w:t>
            </w:r>
            <w:r>
              <w:rPr>
                <w:color w:val="231F20"/>
                <w:sz w:val="15"/>
              </w:rPr>
              <w:t>neuro-</w:t>
            </w:r>
            <w:r>
              <w:rPr>
                <w:color w:val="231F20"/>
                <w:spacing w:val="-4"/>
                <w:sz w:val="15"/>
              </w:rPr>
              <w:t>D</w:t>
            </w:r>
            <w:r>
              <w:rPr>
                <w:color w:val="231F20"/>
                <w:spacing w:val="-4"/>
                <w:sz w:val="15"/>
                <w:vertAlign w:val="subscript"/>
              </w:rPr>
              <w:t>1</w:t>
            </w:r>
            <w:r>
              <w:rPr>
                <w:color w:val="231F20"/>
                <w:spacing w:val="-4"/>
                <w:sz w:val="15"/>
                <w:vertAlign w:val="baseline"/>
              </w:rPr>
              <w:t>/</w:t>
            </w:r>
            <w:r>
              <w:rPr>
                <w:rFonts w:ascii="Cambria" w:hAnsi="Cambria"/>
                <w:color w:val="231F20"/>
                <w:spacing w:val="-4"/>
                <w:sz w:val="15"/>
                <w:vertAlign w:val="baseline"/>
              </w:rPr>
              <w:t>β</w:t>
            </w:r>
            <w:r>
              <w:rPr>
                <w:color w:val="231F20"/>
                <w:spacing w:val="-4"/>
                <w:sz w:val="15"/>
                <w:vertAlign w:val="subscript"/>
              </w:rPr>
              <w:t>2</w:t>
            </w:r>
          </w:p>
          <w:p>
            <w:pPr>
              <w:pStyle w:val="TableParagraph"/>
              <w:numPr>
                <w:ilvl w:val="1"/>
                <w:numId w:val="1"/>
              </w:numPr>
              <w:tabs>
                <w:tab w:pos="615" w:val="left" w:leader="none"/>
              </w:tabs>
              <w:spacing w:line="230" w:lineRule="auto" w:before="3" w:after="0"/>
              <w:ind w:left="615" w:right="68" w:hanging="224"/>
              <w:jc w:val="left"/>
              <w:rPr>
                <w:sz w:val="15"/>
              </w:rPr>
            </w:pPr>
            <w:r>
              <w:rPr>
                <w:color w:val="231F20"/>
                <w:sz w:val="15"/>
              </w:rPr>
              <w:t>Mitochondrial DNA mutations (includes 1 form of Wolfram </w:t>
            </w:r>
            <w:r>
              <w:rPr>
                <w:color w:val="231F20"/>
                <w:spacing w:val="-2"/>
                <w:sz w:val="15"/>
              </w:rPr>
              <w:t>syndrome, Pearson syndrome, Kearns-Sayre, diabetes </w:t>
            </w:r>
            <w:r>
              <w:rPr>
                <w:color w:val="231F20"/>
                <w:spacing w:val="-2"/>
                <w:sz w:val="15"/>
              </w:rPr>
              <w:t>mellitus, deafness)</w:t>
            </w:r>
          </w:p>
          <w:p>
            <w:pPr>
              <w:pStyle w:val="TableParagraph"/>
              <w:numPr>
                <w:ilvl w:val="1"/>
                <w:numId w:val="1"/>
              </w:numPr>
              <w:tabs>
                <w:tab w:pos="615" w:val="left" w:leader="none"/>
              </w:tabs>
              <w:spacing w:line="230" w:lineRule="auto" w:before="2" w:after="0"/>
              <w:ind w:left="615" w:right="152" w:hanging="224"/>
              <w:jc w:val="left"/>
              <w:rPr>
                <w:sz w:val="15"/>
              </w:rPr>
            </w:pPr>
            <w:r>
              <w:rPr>
                <w:color w:val="231F20"/>
                <w:sz w:val="15"/>
              </w:rPr>
              <w:t>Wolfram syndrome—DIDMOAD (diabetes insipidus, </w:t>
            </w:r>
            <w:r>
              <w:rPr>
                <w:color w:val="231F20"/>
                <w:sz w:val="15"/>
              </w:rPr>
              <w:t>diabetes mellitus, optic atrophy, deafness): WFS1-Wolframin— chromosome 4p</w:t>
            </w:r>
          </w:p>
          <w:p>
            <w:pPr>
              <w:pStyle w:val="TableParagraph"/>
              <w:numPr>
                <w:ilvl w:val="2"/>
                <w:numId w:val="1"/>
              </w:numPr>
              <w:tabs>
                <w:tab w:pos="806" w:val="left" w:leader="none"/>
              </w:tabs>
              <w:spacing w:line="168" w:lineRule="exact" w:before="0" w:after="0"/>
              <w:ind w:left="806" w:right="0" w:hanging="191"/>
              <w:jc w:val="left"/>
              <w:rPr>
                <w:sz w:val="15"/>
              </w:rPr>
            </w:pPr>
            <w:r>
              <w:rPr>
                <w:color w:val="231F20"/>
                <w:sz w:val="15"/>
              </w:rPr>
              <w:t>Wolfram</w:t>
            </w:r>
            <w:r>
              <w:rPr>
                <w:color w:val="231F20"/>
                <w:spacing w:val="15"/>
                <w:sz w:val="15"/>
              </w:rPr>
              <w:t> </w:t>
            </w:r>
            <w:r>
              <w:rPr>
                <w:color w:val="231F20"/>
                <w:sz w:val="15"/>
              </w:rPr>
              <w:t>locus</w:t>
            </w:r>
            <w:r>
              <w:rPr>
                <w:color w:val="231F20"/>
                <w:spacing w:val="15"/>
                <w:sz w:val="15"/>
              </w:rPr>
              <w:t> </w:t>
            </w:r>
            <w:r>
              <w:rPr>
                <w:color w:val="231F20"/>
                <w:sz w:val="15"/>
              </w:rPr>
              <w:t>2—chromosome</w:t>
            </w:r>
            <w:r>
              <w:rPr>
                <w:color w:val="231F20"/>
                <w:spacing w:val="15"/>
                <w:sz w:val="15"/>
              </w:rPr>
              <w:t> </w:t>
            </w:r>
            <w:r>
              <w:rPr>
                <w:color w:val="231F20"/>
                <w:sz w:val="15"/>
              </w:rPr>
              <w:t>4q22-</w:t>
            </w:r>
            <w:r>
              <w:rPr>
                <w:color w:val="231F20"/>
                <w:spacing w:val="-5"/>
                <w:sz w:val="15"/>
              </w:rPr>
              <w:t>24</w:t>
            </w:r>
          </w:p>
          <w:p>
            <w:pPr>
              <w:pStyle w:val="TableParagraph"/>
              <w:numPr>
                <w:ilvl w:val="2"/>
                <w:numId w:val="1"/>
              </w:numPr>
              <w:tabs>
                <w:tab w:pos="806" w:val="left" w:leader="none"/>
              </w:tabs>
              <w:spacing w:line="168" w:lineRule="exact" w:before="0" w:after="0"/>
              <w:ind w:left="806" w:right="0" w:hanging="191"/>
              <w:jc w:val="left"/>
              <w:rPr>
                <w:sz w:val="15"/>
              </w:rPr>
            </w:pPr>
            <w:r>
              <w:rPr>
                <w:color w:val="231F20"/>
                <w:sz w:val="15"/>
              </w:rPr>
              <w:t>Wolfram</w:t>
            </w:r>
            <w:r>
              <w:rPr>
                <w:color w:val="231F20"/>
                <w:spacing w:val="-5"/>
                <w:sz w:val="15"/>
              </w:rPr>
              <w:t> </w:t>
            </w:r>
            <w:r>
              <w:rPr>
                <w:color w:val="231F20"/>
                <w:spacing w:val="-2"/>
                <w:sz w:val="15"/>
              </w:rPr>
              <w:t>mitochondrial</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z w:val="15"/>
              </w:rPr>
              <w:t>Thiamine</w:t>
            </w:r>
            <w:r>
              <w:rPr>
                <w:color w:val="231F20"/>
                <w:spacing w:val="-3"/>
                <w:sz w:val="15"/>
              </w:rPr>
              <w:t> </w:t>
            </w:r>
            <w:r>
              <w:rPr>
                <w:color w:val="231F20"/>
                <w:sz w:val="15"/>
              </w:rPr>
              <w:t>responsive</w:t>
            </w:r>
            <w:r>
              <w:rPr>
                <w:color w:val="231F20"/>
                <w:spacing w:val="-3"/>
                <w:sz w:val="15"/>
              </w:rPr>
              <w:t> </w:t>
            </w:r>
            <w:r>
              <w:rPr>
                <w:color w:val="231F20"/>
                <w:sz w:val="15"/>
              </w:rPr>
              <w:t>megaloblastic</w:t>
            </w:r>
            <w:r>
              <w:rPr>
                <w:color w:val="231F20"/>
                <w:spacing w:val="-3"/>
                <w:sz w:val="15"/>
              </w:rPr>
              <w:t> </w:t>
            </w:r>
            <w:r>
              <w:rPr>
                <w:color w:val="231F20"/>
                <w:sz w:val="15"/>
              </w:rPr>
              <w:t>anemia</w:t>
            </w:r>
            <w:r>
              <w:rPr>
                <w:color w:val="231F20"/>
                <w:spacing w:val="-3"/>
                <w:sz w:val="15"/>
              </w:rPr>
              <w:t> </w:t>
            </w:r>
            <w:r>
              <w:rPr>
                <w:color w:val="231F20"/>
                <w:sz w:val="15"/>
              </w:rPr>
              <w:t>and</w:t>
            </w:r>
            <w:r>
              <w:rPr>
                <w:color w:val="231F20"/>
                <w:spacing w:val="-3"/>
                <w:sz w:val="15"/>
              </w:rPr>
              <w:t> </w:t>
            </w:r>
            <w:r>
              <w:rPr>
                <w:color w:val="231F20"/>
                <w:spacing w:val="-2"/>
                <w:sz w:val="15"/>
              </w:rPr>
              <w:t>diabetes</w:t>
            </w:r>
          </w:p>
          <w:p>
            <w:pPr>
              <w:pStyle w:val="TableParagraph"/>
              <w:numPr>
                <w:ilvl w:val="0"/>
                <w:numId w:val="1"/>
              </w:numPr>
              <w:tabs>
                <w:tab w:pos="390" w:val="left" w:leader="none"/>
              </w:tabs>
              <w:spacing w:line="168" w:lineRule="exact" w:before="0" w:after="0"/>
              <w:ind w:left="390" w:right="0" w:hanging="238"/>
              <w:jc w:val="left"/>
              <w:rPr>
                <w:sz w:val="15"/>
              </w:rPr>
            </w:pPr>
            <w:r>
              <w:rPr>
                <w:color w:val="231F20"/>
                <w:sz w:val="15"/>
              </w:rPr>
              <w:t>Drug</w:t>
            </w:r>
            <w:r>
              <w:rPr>
                <w:color w:val="231F20"/>
                <w:spacing w:val="2"/>
                <w:sz w:val="15"/>
              </w:rPr>
              <w:t> </w:t>
            </w:r>
            <w:r>
              <w:rPr>
                <w:color w:val="231F20"/>
                <w:sz w:val="15"/>
              </w:rPr>
              <w:t>or</w:t>
            </w:r>
            <w:r>
              <w:rPr>
                <w:color w:val="231F20"/>
                <w:spacing w:val="3"/>
                <w:sz w:val="15"/>
              </w:rPr>
              <w:t> </w:t>
            </w:r>
            <w:r>
              <w:rPr>
                <w:color w:val="231F20"/>
                <w:sz w:val="15"/>
              </w:rPr>
              <w:t>chemical</w:t>
            </w:r>
            <w:r>
              <w:rPr>
                <w:color w:val="231F20"/>
                <w:spacing w:val="3"/>
                <w:sz w:val="15"/>
              </w:rPr>
              <w:t> </w:t>
            </w:r>
            <w:r>
              <w:rPr>
                <w:color w:val="231F20"/>
                <w:spacing w:val="-2"/>
                <w:sz w:val="15"/>
              </w:rPr>
              <w:t>induced</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pacing w:val="-2"/>
                <w:sz w:val="15"/>
              </w:rPr>
              <w:t>Antirejection—cyclosporine,</w:t>
            </w:r>
            <w:r>
              <w:rPr>
                <w:color w:val="231F20"/>
                <w:spacing w:val="17"/>
                <w:sz w:val="15"/>
              </w:rPr>
              <w:t> </w:t>
            </w:r>
            <w:r>
              <w:rPr>
                <w:color w:val="231F20"/>
                <w:spacing w:val="-2"/>
                <w:sz w:val="15"/>
              </w:rPr>
              <w:t>sirolimus</w:t>
            </w:r>
          </w:p>
          <w:p>
            <w:pPr>
              <w:pStyle w:val="TableParagraph"/>
              <w:numPr>
                <w:ilvl w:val="1"/>
                <w:numId w:val="1"/>
              </w:numPr>
              <w:tabs>
                <w:tab w:pos="615" w:val="left" w:leader="none"/>
              </w:tabs>
              <w:spacing w:line="230" w:lineRule="auto" w:before="3" w:after="0"/>
              <w:ind w:left="615" w:right="302" w:hanging="224"/>
              <w:jc w:val="left"/>
              <w:rPr>
                <w:sz w:val="15"/>
              </w:rPr>
            </w:pPr>
            <w:r>
              <w:rPr>
                <w:color w:val="231F20"/>
                <w:spacing w:val="-2"/>
                <w:sz w:val="15"/>
              </w:rPr>
              <w:t>Glucocorticoids</w:t>
            </w:r>
            <w:r>
              <w:rPr>
                <w:color w:val="231F20"/>
                <w:spacing w:val="-10"/>
                <w:sz w:val="15"/>
              </w:rPr>
              <w:t> </w:t>
            </w:r>
            <w:r>
              <w:rPr>
                <w:color w:val="231F20"/>
                <w:spacing w:val="-2"/>
                <w:sz w:val="15"/>
              </w:rPr>
              <w:t>(with</w:t>
            </w:r>
            <w:r>
              <w:rPr>
                <w:color w:val="231F20"/>
                <w:spacing w:val="-9"/>
                <w:sz w:val="15"/>
              </w:rPr>
              <w:t> </w:t>
            </w:r>
            <w:r>
              <w:rPr>
                <w:color w:val="231F20"/>
                <w:spacing w:val="-2"/>
                <w:sz w:val="15"/>
              </w:rPr>
              <w:t>impaired</w:t>
            </w:r>
            <w:r>
              <w:rPr>
                <w:color w:val="231F20"/>
                <w:spacing w:val="-9"/>
                <w:sz w:val="15"/>
              </w:rPr>
              <w:t> </w:t>
            </w:r>
            <w:r>
              <w:rPr>
                <w:color w:val="231F20"/>
                <w:spacing w:val="-2"/>
                <w:sz w:val="15"/>
              </w:rPr>
              <w:t>insulin</w:t>
            </w:r>
            <w:r>
              <w:rPr>
                <w:color w:val="231F20"/>
                <w:spacing w:val="-10"/>
                <w:sz w:val="15"/>
              </w:rPr>
              <w:t> </w:t>
            </w:r>
            <w:r>
              <w:rPr>
                <w:color w:val="231F20"/>
                <w:spacing w:val="-2"/>
                <w:sz w:val="15"/>
              </w:rPr>
              <w:t>secretion;</w:t>
            </w:r>
            <w:r>
              <w:rPr>
                <w:color w:val="231F20"/>
                <w:spacing w:val="-9"/>
                <w:sz w:val="15"/>
              </w:rPr>
              <w:t> </w:t>
            </w:r>
            <w:r>
              <w:rPr>
                <w:color w:val="231F20"/>
                <w:spacing w:val="-2"/>
                <w:sz w:val="15"/>
              </w:rPr>
              <w:t>e.g.,</w:t>
            </w:r>
            <w:r>
              <w:rPr>
                <w:color w:val="231F20"/>
                <w:spacing w:val="-9"/>
                <w:sz w:val="15"/>
              </w:rPr>
              <w:t> </w:t>
            </w:r>
            <w:r>
              <w:rPr>
                <w:color w:val="231F20"/>
                <w:spacing w:val="-2"/>
                <w:sz w:val="15"/>
              </w:rPr>
              <w:t>cystic fibrosis)</w:t>
            </w:r>
          </w:p>
          <w:p>
            <w:pPr>
              <w:pStyle w:val="TableParagraph"/>
              <w:numPr>
                <w:ilvl w:val="1"/>
                <w:numId w:val="1"/>
              </w:numPr>
              <w:tabs>
                <w:tab w:pos="614" w:val="left" w:leader="none"/>
              </w:tabs>
              <w:spacing w:line="166" w:lineRule="exact" w:before="0" w:after="0"/>
              <w:ind w:left="614" w:right="0" w:hanging="223"/>
              <w:jc w:val="left"/>
              <w:rPr>
                <w:sz w:val="15"/>
              </w:rPr>
            </w:pPr>
            <w:r>
              <w:rPr>
                <w:color w:val="231F20"/>
                <w:sz w:val="12"/>
              </w:rPr>
              <w:t>L</w:t>
            </w:r>
            <w:r>
              <w:rPr>
                <w:color w:val="231F20"/>
                <w:sz w:val="15"/>
              </w:rPr>
              <w:t>-</w:t>
            </w:r>
            <w:r>
              <w:rPr>
                <w:color w:val="231F20"/>
                <w:spacing w:val="-2"/>
                <w:sz w:val="15"/>
              </w:rPr>
              <w:t>Asparaginase</w:t>
            </w:r>
          </w:p>
          <w:p>
            <w:pPr>
              <w:pStyle w:val="TableParagraph"/>
              <w:numPr>
                <w:ilvl w:val="1"/>
                <w:numId w:val="1"/>
              </w:numPr>
              <w:tabs>
                <w:tab w:pos="614" w:val="left" w:leader="none"/>
              </w:tabs>
              <w:spacing w:line="169" w:lineRule="exact" w:before="0" w:after="0"/>
              <w:ind w:left="614" w:right="0" w:hanging="223"/>
              <w:jc w:val="left"/>
              <w:rPr>
                <w:sz w:val="15"/>
              </w:rPr>
            </w:pPr>
            <w:r>
              <w:rPr>
                <w:rFonts w:ascii="Cambria" w:hAnsi="Cambria"/>
                <w:color w:val="231F20"/>
                <w:sz w:val="15"/>
              </w:rPr>
              <w:t>β</w:t>
            </w:r>
            <w:r>
              <w:rPr>
                <w:color w:val="231F20"/>
                <w:sz w:val="15"/>
              </w:rPr>
              <w:t>-Adrenergic</w:t>
            </w:r>
            <w:r>
              <w:rPr>
                <w:color w:val="231F20"/>
                <w:spacing w:val="7"/>
                <w:sz w:val="15"/>
              </w:rPr>
              <w:t> </w:t>
            </w:r>
            <w:r>
              <w:rPr>
                <w:color w:val="231F20"/>
                <w:spacing w:val="-2"/>
                <w:sz w:val="15"/>
              </w:rPr>
              <w:t>blockers</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z w:val="15"/>
              </w:rPr>
              <w:t>Vacor</w:t>
            </w:r>
            <w:r>
              <w:rPr>
                <w:color w:val="231F20"/>
                <w:spacing w:val="-3"/>
                <w:sz w:val="15"/>
              </w:rPr>
              <w:t> </w:t>
            </w:r>
            <w:r>
              <w:rPr>
                <w:color w:val="231F20"/>
                <w:spacing w:val="-2"/>
                <w:sz w:val="15"/>
              </w:rPr>
              <w:t>(rodenticide)</w:t>
            </w:r>
          </w:p>
          <w:p>
            <w:pPr>
              <w:pStyle w:val="TableParagraph"/>
              <w:numPr>
                <w:ilvl w:val="1"/>
                <w:numId w:val="1"/>
              </w:numPr>
              <w:tabs>
                <w:tab w:pos="614" w:val="left" w:leader="none"/>
              </w:tabs>
              <w:spacing w:line="167" w:lineRule="exact" w:before="0" w:after="0"/>
              <w:ind w:left="614" w:right="0" w:hanging="223"/>
              <w:jc w:val="left"/>
              <w:rPr>
                <w:sz w:val="15"/>
              </w:rPr>
            </w:pPr>
            <w:r>
              <w:rPr>
                <w:color w:val="231F20"/>
                <w:spacing w:val="-2"/>
                <w:sz w:val="15"/>
              </w:rPr>
              <w:t>Phenytoin</w:t>
            </w:r>
            <w:r>
              <w:rPr>
                <w:color w:val="231F20"/>
                <w:spacing w:val="5"/>
                <w:sz w:val="15"/>
              </w:rPr>
              <w:t> </w:t>
            </w:r>
            <w:r>
              <w:rPr>
                <w:color w:val="231F20"/>
                <w:spacing w:val="-2"/>
                <w:sz w:val="15"/>
              </w:rPr>
              <w:t>(Dilantin)</w:t>
            </w:r>
          </w:p>
          <w:p>
            <w:pPr>
              <w:pStyle w:val="TableParagraph"/>
              <w:numPr>
                <w:ilvl w:val="1"/>
                <w:numId w:val="1"/>
              </w:numPr>
              <w:tabs>
                <w:tab w:pos="614" w:val="left" w:leader="none"/>
              </w:tabs>
              <w:spacing w:line="169" w:lineRule="exact" w:before="0" w:after="0"/>
              <w:ind w:left="614" w:right="0" w:hanging="223"/>
              <w:jc w:val="left"/>
              <w:rPr>
                <w:sz w:val="15"/>
              </w:rPr>
            </w:pPr>
            <w:r>
              <w:rPr>
                <w:rFonts w:ascii="Cambria" w:hAnsi="Cambria"/>
                <w:color w:val="231F20"/>
                <w:sz w:val="15"/>
              </w:rPr>
              <w:t>α</w:t>
            </w:r>
            <w:r>
              <w:rPr>
                <w:color w:val="231F20"/>
                <w:sz w:val="15"/>
              </w:rPr>
              <w:t>-</w:t>
            </w:r>
            <w:r>
              <w:rPr>
                <w:color w:val="231F20"/>
                <w:spacing w:val="-2"/>
                <w:sz w:val="15"/>
              </w:rPr>
              <w:t>Interferon</w:t>
            </w:r>
          </w:p>
          <w:p>
            <w:pPr>
              <w:pStyle w:val="TableParagraph"/>
              <w:numPr>
                <w:ilvl w:val="1"/>
                <w:numId w:val="1"/>
              </w:numPr>
              <w:tabs>
                <w:tab w:pos="613" w:val="left" w:leader="none"/>
              </w:tabs>
              <w:spacing w:line="168" w:lineRule="exact" w:before="0" w:after="0"/>
              <w:ind w:left="613" w:right="0" w:hanging="222"/>
              <w:jc w:val="left"/>
              <w:rPr>
                <w:sz w:val="15"/>
              </w:rPr>
            </w:pPr>
            <w:r>
              <w:rPr>
                <w:color w:val="231F20"/>
                <w:spacing w:val="-2"/>
                <w:sz w:val="15"/>
              </w:rPr>
              <w:t>Diazoxide</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z w:val="15"/>
              </w:rPr>
              <w:t>Nicotinic</w:t>
            </w:r>
            <w:r>
              <w:rPr>
                <w:color w:val="231F20"/>
                <w:spacing w:val="-5"/>
                <w:sz w:val="15"/>
              </w:rPr>
              <w:t> </w:t>
            </w:r>
            <w:r>
              <w:rPr>
                <w:color w:val="231F20"/>
                <w:spacing w:val="-4"/>
                <w:sz w:val="15"/>
              </w:rPr>
              <w:t>acid</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pacing w:val="-2"/>
                <w:sz w:val="15"/>
              </w:rPr>
              <w:t>Pentamidine</w:t>
            </w:r>
          </w:p>
          <w:p>
            <w:pPr>
              <w:pStyle w:val="TableParagraph"/>
              <w:numPr>
                <w:ilvl w:val="0"/>
                <w:numId w:val="1"/>
              </w:numPr>
              <w:tabs>
                <w:tab w:pos="390" w:val="left" w:leader="none"/>
              </w:tabs>
              <w:spacing w:line="168" w:lineRule="exact" w:before="0" w:after="0"/>
              <w:ind w:left="390" w:right="0" w:hanging="199"/>
              <w:jc w:val="left"/>
              <w:rPr>
                <w:sz w:val="15"/>
              </w:rPr>
            </w:pPr>
            <w:r>
              <w:rPr>
                <w:color w:val="231F20"/>
                <w:sz w:val="15"/>
              </w:rPr>
              <w:t>Diseases</w:t>
            </w:r>
            <w:r>
              <w:rPr>
                <w:color w:val="231F20"/>
                <w:spacing w:val="1"/>
                <w:sz w:val="15"/>
              </w:rPr>
              <w:t> </w:t>
            </w:r>
            <w:r>
              <w:rPr>
                <w:color w:val="231F20"/>
                <w:sz w:val="15"/>
              </w:rPr>
              <w:t>of</w:t>
            </w:r>
            <w:r>
              <w:rPr>
                <w:color w:val="231F20"/>
                <w:spacing w:val="1"/>
                <w:sz w:val="15"/>
              </w:rPr>
              <w:t> </w:t>
            </w:r>
            <w:r>
              <w:rPr>
                <w:color w:val="231F20"/>
                <w:sz w:val="15"/>
              </w:rPr>
              <w:t>exocrine</w:t>
            </w:r>
            <w:r>
              <w:rPr>
                <w:color w:val="231F20"/>
                <w:spacing w:val="2"/>
                <w:sz w:val="15"/>
              </w:rPr>
              <w:t> </w:t>
            </w:r>
            <w:r>
              <w:rPr>
                <w:color w:val="231F20"/>
                <w:spacing w:val="-2"/>
                <w:sz w:val="15"/>
              </w:rPr>
              <w:t>pancreas</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pacing w:val="-2"/>
                <w:sz w:val="15"/>
              </w:rPr>
              <w:t>Cystic</w:t>
            </w:r>
            <w:r>
              <w:rPr>
                <w:color w:val="231F20"/>
                <w:spacing w:val="8"/>
                <w:sz w:val="15"/>
              </w:rPr>
              <w:t> </w:t>
            </w:r>
            <w:r>
              <w:rPr>
                <w:color w:val="231F20"/>
                <w:spacing w:val="-2"/>
                <w:sz w:val="15"/>
              </w:rPr>
              <w:t>fibrosis–related</w:t>
            </w:r>
            <w:r>
              <w:rPr>
                <w:color w:val="231F20"/>
                <w:spacing w:val="9"/>
                <w:sz w:val="15"/>
              </w:rPr>
              <w:t> </w:t>
            </w:r>
            <w:r>
              <w:rPr>
                <w:color w:val="231F20"/>
                <w:spacing w:val="-2"/>
                <w:sz w:val="15"/>
              </w:rPr>
              <w:t>diabetes</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z w:val="15"/>
              </w:rPr>
              <w:t>Trauma—</w:t>
            </w:r>
            <w:r>
              <w:rPr>
                <w:color w:val="231F20"/>
                <w:spacing w:val="-2"/>
                <w:sz w:val="15"/>
              </w:rPr>
              <w:t>pancreatectomy</w:t>
            </w:r>
          </w:p>
          <w:p>
            <w:pPr>
              <w:pStyle w:val="TableParagraph"/>
              <w:numPr>
                <w:ilvl w:val="1"/>
                <w:numId w:val="1"/>
              </w:numPr>
              <w:tabs>
                <w:tab w:pos="614" w:val="left" w:leader="none"/>
              </w:tabs>
              <w:spacing w:line="168" w:lineRule="exact" w:before="0" w:after="0"/>
              <w:ind w:left="614" w:right="0" w:hanging="223"/>
              <w:jc w:val="left"/>
              <w:rPr>
                <w:sz w:val="15"/>
              </w:rPr>
            </w:pPr>
            <w:r>
              <w:rPr>
                <w:color w:val="231F20"/>
                <w:spacing w:val="-2"/>
                <w:sz w:val="15"/>
              </w:rPr>
              <w:t>Pancreatitis—ionizing</w:t>
            </w:r>
            <w:r>
              <w:rPr>
                <w:color w:val="231F20"/>
                <w:spacing w:val="28"/>
                <w:sz w:val="15"/>
              </w:rPr>
              <w:t> </w:t>
            </w:r>
            <w:r>
              <w:rPr>
                <w:color w:val="231F20"/>
                <w:spacing w:val="-2"/>
                <w:sz w:val="15"/>
              </w:rPr>
              <w:t>radiation</w:t>
            </w:r>
          </w:p>
          <w:p>
            <w:pPr>
              <w:pStyle w:val="TableParagraph"/>
              <w:numPr>
                <w:ilvl w:val="1"/>
                <w:numId w:val="1"/>
              </w:numPr>
              <w:tabs>
                <w:tab w:pos="614" w:val="left" w:leader="none"/>
              </w:tabs>
              <w:spacing w:line="171" w:lineRule="exact" w:before="0" w:after="0"/>
              <w:ind w:left="614" w:right="0" w:hanging="223"/>
              <w:jc w:val="left"/>
              <w:rPr>
                <w:sz w:val="15"/>
              </w:rPr>
            </w:pPr>
            <w:r>
              <w:rPr>
                <w:color w:val="231F20"/>
                <w:spacing w:val="-2"/>
                <w:sz w:val="15"/>
              </w:rPr>
              <w:t>Others</w:t>
            </w:r>
          </w:p>
        </w:tc>
        <w:tc>
          <w:tcPr>
            <w:tcW w:w="4948" w:type="dxa"/>
            <w:tcBorders>
              <w:left w:val="single" w:sz="4" w:space="0" w:color="231F20"/>
              <w:bottom w:val="single" w:sz="8" w:space="0" w:color="231F20"/>
              <w:right w:val="nil"/>
            </w:tcBorders>
            <w:shd w:val="clear" w:color="auto" w:fill="E8F5F1"/>
          </w:tcPr>
          <w:p>
            <w:pPr>
              <w:pStyle w:val="TableParagraph"/>
              <w:spacing w:line="171" w:lineRule="exact" w:before="46"/>
              <w:ind w:left="146"/>
              <w:rPr>
                <w:sz w:val="15"/>
              </w:rPr>
            </w:pPr>
            <w:r>
              <w:rPr>
                <w:color w:val="231F20"/>
                <w:sz w:val="15"/>
              </w:rPr>
              <w:t>VI.</w:t>
            </w:r>
            <w:r>
              <w:rPr>
                <w:color w:val="231F20"/>
                <w:spacing w:val="6"/>
                <w:sz w:val="15"/>
              </w:rPr>
              <w:t> </w:t>
            </w:r>
            <w:r>
              <w:rPr>
                <w:color w:val="231F20"/>
                <w:spacing w:val="-2"/>
                <w:sz w:val="15"/>
              </w:rPr>
              <w:t>Infections</w:t>
            </w:r>
          </w:p>
          <w:p>
            <w:pPr>
              <w:pStyle w:val="TableParagraph"/>
              <w:numPr>
                <w:ilvl w:val="0"/>
                <w:numId w:val="2"/>
              </w:numPr>
              <w:tabs>
                <w:tab w:pos="609" w:val="left" w:leader="none"/>
              </w:tabs>
              <w:spacing w:line="168" w:lineRule="exact" w:before="0" w:after="0"/>
              <w:ind w:left="609" w:right="0" w:hanging="223"/>
              <w:jc w:val="left"/>
              <w:rPr>
                <w:sz w:val="15"/>
              </w:rPr>
            </w:pPr>
            <w:r>
              <w:rPr>
                <w:color w:val="231F20"/>
                <w:sz w:val="15"/>
              </w:rPr>
              <w:t>Congenital</w:t>
            </w:r>
            <w:r>
              <w:rPr>
                <w:color w:val="231F20"/>
                <w:spacing w:val="15"/>
                <w:sz w:val="15"/>
              </w:rPr>
              <w:t> </w:t>
            </w:r>
            <w:r>
              <w:rPr>
                <w:color w:val="231F20"/>
                <w:spacing w:val="-2"/>
                <w:sz w:val="15"/>
              </w:rPr>
              <w:t>rubella</w:t>
            </w:r>
          </w:p>
          <w:p>
            <w:pPr>
              <w:pStyle w:val="TableParagraph"/>
              <w:numPr>
                <w:ilvl w:val="0"/>
                <w:numId w:val="2"/>
              </w:numPr>
              <w:tabs>
                <w:tab w:pos="609" w:val="left" w:leader="none"/>
              </w:tabs>
              <w:spacing w:line="168" w:lineRule="exact" w:before="0" w:after="0"/>
              <w:ind w:left="609" w:right="0" w:hanging="223"/>
              <w:jc w:val="left"/>
              <w:rPr>
                <w:sz w:val="15"/>
              </w:rPr>
            </w:pPr>
            <w:r>
              <w:rPr>
                <w:color w:val="231F20"/>
                <w:spacing w:val="-2"/>
                <w:sz w:val="15"/>
              </w:rPr>
              <w:t>Cytomegalovirus</w:t>
            </w:r>
          </w:p>
          <w:p>
            <w:pPr>
              <w:pStyle w:val="TableParagraph"/>
              <w:numPr>
                <w:ilvl w:val="0"/>
                <w:numId w:val="2"/>
              </w:numPr>
              <w:tabs>
                <w:tab w:pos="609" w:val="left" w:leader="none"/>
              </w:tabs>
              <w:spacing w:line="168" w:lineRule="exact" w:before="0" w:after="0"/>
              <w:ind w:left="609" w:right="0" w:hanging="223"/>
              <w:jc w:val="left"/>
              <w:rPr>
                <w:sz w:val="15"/>
              </w:rPr>
            </w:pPr>
            <w:r>
              <w:rPr>
                <w:color w:val="231F20"/>
                <w:spacing w:val="-2"/>
                <w:sz w:val="15"/>
              </w:rPr>
              <w:t>Hemolytic-uremic</w:t>
            </w:r>
            <w:r>
              <w:rPr>
                <w:color w:val="231F20"/>
                <w:spacing w:val="-3"/>
                <w:sz w:val="15"/>
              </w:rPr>
              <w:t> </w:t>
            </w:r>
            <w:r>
              <w:rPr>
                <w:color w:val="231F20"/>
                <w:spacing w:val="-2"/>
                <w:sz w:val="15"/>
              </w:rPr>
              <w:t>syndrome</w:t>
            </w:r>
          </w:p>
          <w:p>
            <w:pPr>
              <w:pStyle w:val="TableParagraph"/>
              <w:spacing w:line="168" w:lineRule="exact"/>
              <w:ind w:left="108"/>
              <w:rPr>
                <w:sz w:val="15"/>
              </w:rPr>
            </w:pPr>
            <w:r>
              <w:rPr>
                <w:color w:val="231F20"/>
                <w:sz w:val="15"/>
              </w:rPr>
              <w:t>VII.</w:t>
            </w:r>
            <w:r>
              <w:rPr>
                <w:color w:val="231F20"/>
                <w:spacing w:val="9"/>
                <w:sz w:val="15"/>
              </w:rPr>
              <w:t> </w:t>
            </w:r>
            <w:r>
              <w:rPr>
                <w:color w:val="231F20"/>
                <w:sz w:val="15"/>
              </w:rPr>
              <w:t>Variants</w:t>
            </w:r>
            <w:r>
              <w:rPr>
                <w:color w:val="231F20"/>
                <w:spacing w:val="-10"/>
                <w:sz w:val="15"/>
              </w:rPr>
              <w:t> </w:t>
            </w:r>
            <w:r>
              <w:rPr>
                <w:color w:val="231F20"/>
                <w:sz w:val="15"/>
              </w:rPr>
              <w:t>of</w:t>
            </w:r>
            <w:r>
              <w:rPr>
                <w:color w:val="231F20"/>
                <w:spacing w:val="-10"/>
                <w:sz w:val="15"/>
              </w:rPr>
              <w:t> </w:t>
            </w:r>
            <w:r>
              <w:rPr>
                <w:color w:val="231F20"/>
                <w:sz w:val="15"/>
              </w:rPr>
              <w:t>type</w:t>
            </w:r>
            <w:r>
              <w:rPr>
                <w:color w:val="231F20"/>
                <w:spacing w:val="-10"/>
                <w:sz w:val="15"/>
              </w:rPr>
              <w:t> </w:t>
            </w:r>
            <w:r>
              <w:rPr>
                <w:color w:val="231F20"/>
                <w:sz w:val="15"/>
              </w:rPr>
              <w:t>2</w:t>
            </w:r>
            <w:r>
              <w:rPr>
                <w:color w:val="231F20"/>
                <w:spacing w:val="-10"/>
                <w:sz w:val="15"/>
              </w:rPr>
              <w:t> </w:t>
            </w:r>
            <w:r>
              <w:rPr>
                <w:color w:val="231F20"/>
                <w:spacing w:val="-2"/>
                <w:sz w:val="15"/>
              </w:rPr>
              <w:t>diabetes</w:t>
            </w:r>
          </w:p>
          <w:p>
            <w:pPr>
              <w:pStyle w:val="TableParagraph"/>
              <w:numPr>
                <w:ilvl w:val="0"/>
                <w:numId w:val="3"/>
              </w:numPr>
              <w:tabs>
                <w:tab w:pos="223" w:val="left" w:leader="none"/>
              </w:tabs>
              <w:spacing w:line="168" w:lineRule="exact" w:before="0" w:after="0"/>
              <w:ind w:left="223" w:right="2176" w:hanging="223"/>
              <w:jc w:val="right"/>
              <w:rPr>
                <w:sz w:val="15"/>
              </w:rPr>
            </w:pPr>
            <w:r>
              <w:rPr>
                <w:color w:val="231F20"/>
                <w:sz w:val="15"/>
              </w:rPr>
              <w:t>Genetic</w:t>
            </w:r>
            <w:r>
              <w:rPr>
                <w:color w:val="231F20"/>
                <w:spacing w:val="-10"/>
                <w:sz w:val="15"/>
              </w:rPr>
              <w:t> </w:t>
            </w:r>
            <w:r>
              <w:rPr>
                <w:color w:val="231F20"/>
                <w:sz w:val="15"/>
              </w:rPr>
              <w:t>defects</w:t>
            </w:r>
            <w:r>
              <w:rPr>
                <w:color w:val="231F20"/>
                <w:spacing w:val="-9"/>
                <w:sz w:val="15"/>
              </w:rPr>
              <w:t> </w:t>
            </w:r>
            <w:r>
              <w:rPr>
                <w:color w:val="231F20"/>
                <w:sz w:val="15"/>
              </w:rPr>
              <w:t>of</w:t>
            </w:r>
            <w:r>
              <w:rPr>
                <w:color w:val="231F20"/>
                <w:spacing w:val="-10"/>
                <w:sz w:val="15"/>
              </w:rPr>
              <w:t> </w:t>
            </w:r>
            <w:r>
              <w:rPr>
                <w:color w:val="231F20"/>
                <w:sz w:val="15"/>
              </w:rPr>
              <w:t>insulin</w:t>
            </w:r>
            <w:r>
              <w:rPr>
                <w:color w:val="231F20"/>
                <w:spacing w:val="-9"/>
                <w:sz w:val="15"/>
              </w:rPr>
              <w:t> </w:t>
            </w:r>
            <w:r>
              <w:rPr>
                <w:color w:val="231F20"/>
                <w:spacing w:val="-2"/>
                <w:sz w:val="15"/>
              </w:rPr>
              <w:t>action</w:t>
            </w:r>
          </w:p>
          <w:p>
            <w:pPr>
              <w:pStyle w:val="TableParagraph"/>
              <w:numPr>
                <w:ilvl w:val="1"/>
                <w:numId w:val="3"/>
              </w:numPr>
              <w:tabs>
                <w:tab w:pos="191" w:val="left" w:leader="none"/>
              </w:tabs>
              <w:spacing w:line="168" w:lineRule="exact" w:before="0" w:after="0"/>
              <w:ind w:left="191" w:right="2106" w:hanging="191"/>
              <w:jc w:val="right"/>
              <w:rPr>
                <w:sz w:val="15"/>
              </w:rPr>
            </w:pPr>
            <w:r>
              <w:rPr>
                <w:color w:val="231F20"/>
                <w:sz w:val="15"/>
              </w:rPr>
              <w:t>Rabson-Mendenhall</w:t>
            </w:r>
            <w:r>
              <w:rPr>
                <w:color w:val="231F20"/>
                <w:spacing w:val="26"/>
                <w:sz w:val="15"/>
              </w:rPr>
              <w:t> </w:t>
            </w:r>
            <w:r>
              <w:rPr>
                <w:color w:val="231F20"/>
                <w:spacing w:val="-2"/>
                <w:sz w:val="15"/>
              </w:rPr>
              <w:t>syndrome</w:t>
            </w:r>
          </w:p>
          <w:p>
            <w:pPr>
              <w:pStyle w:val="TableParagraph"/>
              <w:numPr>
                <w:ilvl w:val="1"/>
                <w:numId w:val="3"/>
              </w:numPr>
              <w:tabs>
                <w:tab w:pos="801" w:val="left" w:leader="none"/>
              </w:tabs>
              <w:spacing w:line="168" w:lineRule="exact" w:before="0" w:after="0"/>
              <w:ind w:left="801" w:right="0" w:hanging="191"/>
              <w:jc w:val="left"/>
              <w:rPr>
                <w:sz w:val="15"/>
              </w:rPr>
            </w:pPr>
            <w:r>
              <w:rPr>
                <w:color w:val="231F20"/>
                <w:spacing w:val="-2"/>
                <w:sz w:val="15"/>
              </w:rPr>
              <w:t>Leprechaunism</w:t>
            </w:r>
          </w:p>
          <w:p>
            <w:pPr>
              <w:pStyle w:val="TableParagraph"/>
              <w:numPr>
                <w:ilvl w:val="1"/>
                <w:numId w:val="3"/>
              </w:numPr>
              <w:tabs>
                <w:tab w:pos="801" w:val="left" w:leader="none"/>
              </w:tabs>
              <w:spacing w:line="168" w:lineRule="exact" w:before="0" w:after="0"/>
              <w:ind w:left="801" w:right="0" w:hanging="191"/>
              <w:jc w:val="left"/>
              <w:rPr>
                <w:sz w:val="15"/>
              </w:rPr>
            </w:pPr>
            <w:r>
              <w:rPr>
                <w:color w:val="231F20"/>
                <w:sz w:val="15"/>
              </w:rPr>
              <w:t>Lipoatrophic</w:t>
            </w:r>
            <w:r>
              <w:rPr>
                <w:color w:val="231F20"/>
                <w:spacing w:val="-4"/>
                <w:sz w:val="15"/>
              </w:rPr>
              <w:t> </w:t>
            </w:r>
            <w:r>
              <w:rPr>
                <w:color w:val="231F20"/>
                <w:sz w:val="15"/>
              </w:rPr>
              <w:t>diabetes</w:t>
            </w:r>
            <w:r>
              <w:rPr>
                <w:color w:val="231F20"/>
                <w:spacing w:val="-3"/>
                <w:sz w:val="15"/>
              </w:rPr>
              <w:t> </w:t>
            </w:r>
            <w:r>
              <w:rPr>
                <w:color w:val="231F20"/>
                <w:spacing w:val="-2"/>
                <w:sz w:val="15"/>
              </w:rPr>
              <w:t>syndromes</w:t>
            </w:r>
          </w:p>
          <w:p>
            <w:pPr>
              <w:pStyle w:val="TableParagraph"/>
              <w:numPr>
                <w:ilvl w:val="1"/>
                <w:numId w:val="3"/>
              </w:numPr>
              <w:tabs>
                <w:tab w:pos="801" w:val="left" w:leader="none"/>
              </w:tabs>
              <w:spacing w:line="168" w:lineRule="exact" w:before="0" w:after="0"/>
              <w:ind w:left="801" w:right="0" w:hanging="191"/>
              <w:jc w:val="left"/>
              <w:rPr>
                <w:sz w:val="15"/>
              </w:rPr>
            </w:pPr>
            <w:r>
              <w:rPr>
                <w:color w:val="231F20"/>
                <w:sz w:val="15"/>
              </w:rPr>
              <w:t>Type</w:t>
            </w:r>
            <w:r>
              <w:rPr>
                <w:color w:val="231F20"/>
                <w:spacing w:val="-1"/>
                <w:sz w:val="15"/>
              </w:rPr>
              <w:t> </w:t>
            </w:r>
            <w:r>
              <w:rPr>
                <w:color w:val="231F20"/>
                <w:sz w:val="15"/>
              </w:rPr>
              <w:t>A insulin</w:t>
            </w:r>
            <w:r>
              <w:rPr>
                <w:color w:val="231F20"/>
                <w:spacing w:val="-1"/>
                <w:sz w:val="15"/>
              </w:rPr>
              <w:t> </w:t>
            </w:r>
            <w:r>
              <w:rPr>
                <w:color w:val="231F20"/>
                <w:sz w:val="15"/>
              </w:rPr>
              <w:t>resistance—</w:t>
            </w:r>
            <w:r>
              <w:rPr>
                <w:color w:val="231F20"/>
                <w:spacing w:val="-2"/>
                <w:sz w:val="15"/>
              </w:rPr>
              <w:t>acanthosis</w:t>
            </w:r>
          </w:p>
          <w:p>
            <w:pPr>
              <w:pStyle w:val="TableParagraph"/>
              <w:numPr>
                <w:ilvl w:val="0"/>
                <w:numId w:val="3"/>
              </w:numPr>
              <w:tabs>
                <w:tab w:pos="609" w:val="left" w:leader="none"/>
              </w:tabs>
              <w:spacing w:line="168" w:lineRule="exact" w:before="0" w:after="0"/>
              <w:ind w:left="609" w:right="0" w:hanging="223"/>
              <w:jc w:val="left"/>
              <w:rPr>
                <w:sz w:val="15"/>
              </w:rPr>
            </w:pPr>
            <w:r>
              <w:rPr>
                <w:color w:val="231F20"/>
                <w:sz w:val="15"/>
              </w:rPr>
              <w:t>Acquired</w:t>
            </w:r>
            <w:r>
              <w:rPr>
                <w:color w:val="231F20"/>
                <w:spacing w:val="-6"/>
                <w:sz w:val="15"/>
              </w:rPr>
              <w:t> </w:t>
            </w:r>
            <w:r>
              <w:rPr>
                <w:color w:val="231F20"/>
                <w:sz w:val="15"/>
              </w:rPr>
              <w:t>defects</w:t>
            </w:r>
            <w:r>
              <w:rPr>
                <w:color w:val="231F20"/>
                <w:spacing w:val="-5"/>
                <w:sz w:val="15"/>
              </w:rPr>
              <w:t> </w:t>
            </w:r>
            <w:r>
              <w:rPr>
                <w:color w:val="231F20"/>
                <w:sz w:val="15"/>
              </w:rPr>
              <w:t>of</w:t>
            </w:r>
            <w:r>
              <w:rPr>
                <w:color w:val="231F20"/>
                <w:spacing w:val="-5"/>
                <w:sz w:val="15"/>
              </w:rPr>
              <w:t> </w:t>
            </w:r>
            <w:r>
              <w:rPr>
                <w:color w:val="231F20"/>
                <w:sz w:val="15"/>
              </w:rPr>
              <w:t>insulin</w:t>
            </w:r>
            <w:r>
              <w:rPr>
                <w:color w:val="231F20"/>
                <w:spacing w:val="-5"/>
                <w:sz w:val="15"/>
              </w:rPr>
              <w:t> </w:t>
            </w:r>
            <w:r>
              <w:rPr>
                <w:color w:val="231F20"/>
                <w:spacing w:val="-2"/>
                <w:sz w:val="15"/>
              </w:rPr>
              <w:t>action</w:t>
            </w:r>
          </w:p>
          <w:p>
            <w:pPr>
              <w:pStyle w:val="TableParagraph"/>
              <w:numPr>
                <w:ilvl w:val="1"/>
                <w:numId w:val="3"/>
              </w:numPr>
              <w:tabs>
                <w:tab w:pos="801" w:val="left" w:leader="none"/>
              </w:tabs>
              <w:spacing w:line="168" w:lineRule="exact" w:before="0" w:after="0"/>
              <w:ind w:left="801" w:right="0" w:hanging="191"/>
              <w:jc w:val="left"/>
              <w:rPr>
                <w:sz w:val="15"/>
              </w:rPr>
            </w:pPr>
            <w:r>
              <w:rPr>
                <w:color w:val="231F20"/>
                <w:sz w:val="15"/>
              </w:rPr>
              <w:t>Endocrine</w:t>
            </w:r>
            <w:r>
              <w:rPr>
                <w:color w:val="231F20"/>
                <w:spacing w:val="6"/>
                <w:sz w:val="15"/>
              </w:rPr>
              <w:t> </w:t>
            </w:r>
            <w:r>
              <w:rPr>
                <w:color w:val="231F20"/>
                <w:sz w:val="15"/>
              </w:rPr>
              <w:t>tumors—rare</w:t>
            </w:r>
            <w:r>
              <w:rPr>
                <w:color w:val="231F20"/>
                <w:spacing w:val="7"/>
                <w:sz w:val="15"/>
              </w:rPr>
              <w:t> </w:t>
            </w:r>
            <w:r>
              <w:rPr>
                <w:color w:val="231F20"/>
                <w:sz w:val="15"/>
              </w:rPr>
              <w:t>in</w:t>
            </w:r>
            <w:r>
              <w:rPr>
                <w:color w:val="231F20"/>
                <w:spacing w:val="7"/>
                <w:sz w:val="15"/>
              </w:rPr>
              <w:t> </w:t>
            </w:r>
            <w:r>
              <w:rPr>
                <w:color w:val="231F20"/>
                <w:spacing w:val="-2"/>
                <w:sz w:val="15"/>
              </w:rPr>
              <w:t>childhood</w:t>
            </w:r>
          </w:p>
          <w:p>
            <w:pPr>
              <w:pStyle w:val="TableParagraph"/>
              <w:numPr>
                <w:ilvl w:val="0"/>
                <w:numId w:val="3"/>
              </w:numPr>
              <w:tabs>
                <w:tab w:pos="609" w:val="left" w:leader="none"/>
              </w:tabs>
              <w:spacing w:line="168" w:lineRule="exact" w:before="0" w:after="0"/>
              <w:ind w:left="609" w:right="0" w:hanging="223"/>
              <w:jc w:val="left"/>
              <w:rPr>
                <w:sz w:val="15"/>
              </w:rPr>
            </w:pPr>
            <w:r>
              <w:rPr>
                <w:color w:val="231F20"/>
                <w:spacing w:val="-2"/>
                <w:sz w:val="15"/>
              </w:rPr>
              <w:t>Pheochromocytoma</w:t>
            </w:r>
          </w:p>
          <w:p>
            <w:pPr>
              <w:pStyle w:val="TableParagraph"/>
              <w:numPr>
                <w:ilvl w:val="0"/>
                <w:numId w:val="3"/>
              </w:numPr>
              <w:tabs>
                <w:tab w:pos="609" w:val="left" w:leader="none"/>
              </w:tabs>
              <w:spacing w:line="168" w:lineRule="exact" w:before="0" w:after="0"/>
              <w:ind w:left="609" w:right="0" w:hanging="223"/>
              <w:jc w:val="left"/>
              <w:rPr>
                <w:sz w:val="15"/>
              </w:rPr>
            </w:pPr>
            <w:r>
              <w:rPr>
                <w:color w:val="231F20"/>
                <w:spacing w:val="-2"/>
                <w:w w:val="105"/>
                <w:sz w:val="15"/>
              </w:rPr>
              <w:t>Cushing</w:t>
            </w:r>
          </w:p>
          <w:p>
            <w:pPr>
              <w:pStyle w:val="TableParagraph"/>
              <w:numPr>
                <w:ilvl w:val="0"/>
                <w:numId w:val="3"/>
              </w:numPr>
              <w:tabs>
                <w:tab w:pos="609" w:val="left" w:leader="none"/>
              </w:tabs>
              <w:spacing w:line="168" w:lineRule="exact" w:before="0" w:after="0"/>
              <w:ind w:left="609" w:right="0" w:hanging="223"/>
              <w:jc w:val="left"/>
              <w:rPr>
                <w:sz w:val="15"/>
              </w:rPr>
            </w:pPr>
            <w:r>
              <w:rPr>
                <w:color w:val="231F20"/>
                <w:spacing w:val="-2"/>
                <w:sz w:val="15"/>
              </w:rPr>
              <w:t>Others</w:t>
            </w:r>
          </w:p>
          <w:p>
            <w:pPr>
              <w:pStyle w:val="TableParagraph"/>
              <w:numPr>
                <w:ilvl w:val="1"/>
                <w:numId w:val="3"/>
              </w:numPr>
              <w:tabs>
                <w:tab w:pos="801" w:val="left" w:leader="none"/>
              </w:tabs>
              <w:spacing w:line="168" w:lineRule="exact" w:before="0" w:after="0"/>
              <w:ind w:left="801" w:right="0" w:hanging="191"/>
              <w:jc w:val="left"/>
              <w:rPr>
                <w:sz w:val="15"/>
              </w:rPr>
            </w:pPr>
            <w:r>
              <w:rPr>
                <w:color w:val="231F20"/>
                <w:spacing w:val="-2"/>
                <w:sz w:val="15"/>
              </w:rPr>
              <w:t>Antiinsulin</w:t>
            </w:r>
            <w:r>
              <w:rPr>
                <w:color w:val="231F20"/>
                <w:spacing w:val="3"/>
                <w:sz w:val="15"/>
              </w:rPr>
              <w:t> </w:t>
            </w:r>
            <w:r>
              <w:rPr>
                <w:color w:val="231F20"/>
                <w:spacing w:val="-2"/>
                <w:sz w:val="15"/>
              </w:rPr>
              <w:t>receptor</w:t>
            </w:r>
            <w:r>
              <w:rPr>
                <w:color w:val="231F20"/>
                <w:spacing w:val="4"/>
                <w:sz w:val="15"/>
              </w:rPr>
              <w:t> </w:t>
            </w:r>
            <w:r>
              <w:rPr>
                <w:color w:val="231F20"/>
                <w:spacing w:val="-2"/>
                <w:sz w:val="15"/>
              </w:rPr>
              <w:t>antibodies</w:t>
            </w:r>
          </w:p>
          <w:p>
            <w:pPr>
              <w:pStyle w:val="TableParagraph"/>
              <w:numPr>
                <w:ilvl w:val="0"/>
                <w:numId w:val="4"/>
              </w:numPr>
              <w:tabs>
                <w:tab w:pos="386" w:val="left" w:leader="none"/>
              </w:tabs>
              <w:spacing w:line="230" w:lineRule="auto" w:before="3" w:after="0"/>
              <w:ind w:left="386" w:right="377" w:hanging="317"/>
              <w:jc w:val="left"/>
              <w:rPr>
                <w:sz w:val="15"/>
              </w:rPr>
            </w:pPr>
            <w:r>
              <w:rPr>
                <w:color w:val="231F20"/>
                <w:spacing w:val="-2"/>
                <w:sz w:val="15"/>
              </w:rPr>
              <w:t>Genetic syndromes with diabetes and insulin </w:t>
            </w:r>
            <w:r>
              <w:rPr>
                <w:color w:val="231F20"/>
                <w:spacing w:val="-2"/>
                <w:sz w:val="15"/>
              </w:rPr>
              <w:t>resistance/insulin deficiency</w:t>
            </w:r>
          </w:p>
          <w:p>
            <w:pPr>
              <w:pStyle w:val="TableParagraph"/>
              <w:numPr>
                <w:ilvl w:val="1"/>
                <w:numId w:val="4"/>
              </w:numPr>
              <w:tabs>
                <w:tab w:pos="609" w:val="left" w:leader="none"/>
              </w:tabs>
              <w:spacing w:line="167" w:lineRule="exact" w:before="0" w:after="0"/>
              <w:ind w:left="609" w:right="0" w:hanging="223"/>
              <w:jc w:val="left"/>
              <w:rPr>
                <w:sz w:val="15"/>
              </w:rPr>
            </w:pPr>
            <w:r>
              <w:rPr>
                <w:color w:val="231F20"/>
                <w:sz w:val="15"/>
              </w:rPr>
              <w:t>Prader-Willi</w:t>
            </w:r>
            <w:r>
              <w:rPr>
                <w:color w:val="231F20"/>
                <w:spacing w:val="-7"/>
                <w:sz w:val="15"/>
              </w:rPr>
              <w:t> </w:t>
            </w:r>
            <w:r>
              <w:rPr>
                <w:color w:val="231F20"/>
                <w:sz w:val="15"/>
              </w:rPr>
              <w:t>syndrome,</w:t>
            </w:r>
            <w:r>
              <w:rPr>
                <w:color w:val="231F20"/>
                <w:spacing w:val="-6"/>
                <w:sz w:val="15"/>
              </w:rPr>
              <w:t> </w:t>
            </w:r>
            <w:r>
              <w:rPr>
                <w:color w:val="231F20"/>
                <w:sz w:val="15"/>
              </w:rPr>
              <w:t>chromosome</w:t>
            </w:r>
            <w:r>
              <w:rPr>
                <w:color w:val="231F20"/>
                <w:spacing w:val="-7"/>
                <w:sz w:val="15"/>
              </w:rPr>
              <w:t> </w:t>
            </w:r>
            <w:r>
              <w:rPr>
                <w:color w:val="231F20"/>
                <w:spacing w:val="-5"/>
                <w:sz w:val="15"/>
              </w:rPr>
              <w:t>15</w:t>
            </w:r>
          </w:p>
          <w:p>
            <w:pPr>
              <w:pStyle w:val="TableParagraph"/>
              <w:numPr>
                <w:ilvl w:val="1"/>
                <w:numId w:val="4"/>
              </w:numPr>
              <w:tabs>
                <w:tab w:pos="609" w:val="left" w:leader="none"/>
              </w:tabs>
              <w:spacing w:line="168" w:lineRule="exact" w:before="0" w:after="0"/>
              <w:ind w:left="609" w:right="0" w:hanging="223"/>
              <w:jc w:val="left"/>
              <w:rPr>
                <w:sz w:val="15"/>
              </w:rPr>
            </w:pPr>
            <w:r>
              <w:rPr>
                <w:color w:val="231F20"/>
                <w:sz w:val="15"/>
              </w:rPr>
              <w:t>Down</w:t>
            </w:r>
            <w:r>
              <w:rPr>
                <w:color w:val="231F20"/>
                <w:spacing w:val="10"/>
                <w:sz w:val="15"/>
              </w:rPr>
              <w:t> </w:t>
            </w:r>
            <w:r>
              <w:rPr>
                <w:color w:val="231F20"/>
                <w:sz w:val="15"/>
              </w:rPr>
              <w:t>syndrome,</w:t>
            </w:r>
            <w:r>
              <w:rPr>
                <w:color w:val="231F20"/>
                <w:spacing w:val="10"/>
                <w:sz w:val="15"/>
              </w:rPr>
              <w:t> </w:t>
            </w:r>
            <w:r>
              <w:rPr>
                <w:color w:val="231F20"/>
                <w:sz w:val="15"/>
              </w:rPr>
              <w:t>chromosome</w:t>
            </w:r>
            <w:r>
              <w:rPr>
                <w:color w:val="231F20"/>
                <w:spacing w:val="11"/>
                <w:sz w:val="15"/>
              </w:rPr>
              <w:t> </w:t>
            </w:r>
            <w:r>
              <w:rPr>
                <w:color w:val="231F20"/>
                <w:spacing w:val="-5"/>
                <w:sz w:val="15"/>
              </w:rPr>
              <w:t>21</w:t>
            </w:r>
          </w:p>
          <w:p>
            <w:pPr>
              <w:pStyle w:val="TableParagraph"/>
              <w:numPr>
                <w:ilvl w:val="1"/>
                <w:numId w:val="4"/>
              </w:numPr>
              <w:tabs>
                <w:tab w:pos="609" w:val="left" w:leader="none"/>
              </w:tabs>
              <w:spacing w:line="168" w:lineRule="exact" w:before="0" w:after="0"/>
              <w:ind w:left="609" w:right="0" w:hanging="223"/>
              <w:jc w:val="left"/>
              <w:rPr>
                <w:sz w:val="15"/>
              </w:rPr>
            </w:pPr>
            <w:r>
              <w:rPr>
                <w:color w:val="231F20"/>
                <w:spacing w:val="-2"/>
                <w:sz w:val="15"/>
              </w:rPr>
              <w:t>Turner</w:t>
            </w:r>
            <w:r>
              <w:rPr>
                <w:color w:val="231F20"/>
                <w:spacing w:val="-5"/>
                <w:sz w:val="15"/>
              </w:rPr>
              <w:t> </w:t>
            </w:r>
            <w:r>
              <w:rPr>
                <w:color w:val="231F20"/>
                <w:spacing w:val="-2"/>
                <w:sz w:val="15"/>
              </w:rPr>
              <w:t>syndrome</w:t>
            </w:r>
          </w:p>
          <w:p>
            <w:pPr>
              <w:pStyle w:val="TableParagraph"/>
              <w:numPr>
                <w:ilvl w:val="1"/>
                <w:numId w:val="4"/>
              </w:numPr>
              <w:tabs>
                <w:tab w:pos="609" w:val="left" w:leader="none"/>
              </w:tabs>
              <w:spacing w:line="168" w:lineRule="exact" w:before="0" w:after="0"/>
              <w:ind w:left="609" w:right="0" w:hanging="223"/>
              <w:jc w:val="left"/>
              <w:rPr>
                <w:sz w:val="15"/>
              </w:rPr>
            </w:pPr>
            <w:r>
              <w:rPr>
                <w:color w:val="231F20"/>
                <w:w w:val="90"/>
                <w:sz w:val="15"/>
              </w:rPr>
              <w:t>Klinefelter</w:t>
            </w:r>
            <w:r>
              <w:rPr>
                <w:color w:val="231F20"/>
                <w:spacing w:val="22"/>
                <w:sz w:val="15"/>
              </w:rPr>
              <w:t> </w:t>
            </w:r>
            <w:r>
              <w:rPr>
                <w:color w:val="231F20"/>
                <w:spacing w:val="-2"/>
                <w:w w:val="95"/>
                <w:sz w:val="15"/>
              </w:rPr>
              <w:t>syndrome</w:t>
            </w:r>
          </w:p>
          <w:p>
            <w:pPr>
              <w:pStyle w:val="TableParagraph"/>
              <w:numPr>
                <w:ilvl w:val="1"/>
                <w:numId w:val="4"/>
              </w:numPr>
              <w:tabs>
                <w:tab w:pos="609" w:val="left" w:leader="none"/>
              </w:tabs>
              <w:spacing w:line="168" w:lineRule="exact" w:before="0" w:after="0"/>
              <w:ind w:left="609" w:right="0" w:hanging="223"/>
              <w:jc w:val="left"/>
              <w:rPr>
                <w:sz w:val="15"/>
              </w:rPr>
            </w:pPr>
            <w:r>
              <w:rPr>
                <w:color w:val="231F20"/>
                <w:spacing w:val="-2"/>
                <w:sz w:val="15"/>
              </w:rPr>
              <w:t>Others</w:t>
            </w:r>
          </w:p>
          <w:p>
            <w:pPr>
              <w:pStyle w:val="TableParagraph"/>
              <w:numPr>
                <w:ilvl w:val="2"/>
                <w:numId w:val="4"/>
              </w:numPr>
              <w:tabs>
                <w:tab w:pos="801" w:val="left" w:leader="none"/>
              </w:tabs>
              <w:spacing w:line="168" w:lineRule="exact" w:before="0" w:after="0"/>
              <w:ind w:left="801" w:right="0" w:hanging="191"/>
              <w:jc w:val="left"/>
              <w:rPr>
                <w:sz w:val="15"/>
              </w:rPr>
            </w:pPr>
            <w:r>
              <w:rPr>
                <w:color w:val="231F20"/>
                <w:spacing w:val="-2"/>
                <w:sz w:val="15"/>
              </w:rPr>
              <w:t>Bardet-Biedel</w:t>
            </w:r>
          </w:p>
          <w:p>
            <w:pPr>
              <w:pStyle w:val="TableParagraph"/>
              <w:numPr>
                <w:ilvl w:val="2"/>
                <w:numId w:val="4"/>
              </w:numPr>
              <w:tabs>
                <w:tab w:pos="801" w:val="left" w:leader="none"/>
              </w:tabs>
              <w:spacing w:line="168" w:lineRule="exact" w:before="0" w:after="0"/>
              <w:ind w:left="801" w:right="0" w:hanging="191"/>
              <w:jc w:val="left"/>
              <w:rPr>
                <w:sz w:val="15"/>
              </w:rPr>
            </w:pPr>
            <w:r>
              <w:rPr>
                <w:color w:val="231F20"/>
                <w:spacing w:val="-2"/>
                <w:sz w:val="15"/>
              </w:rPr>
              <w:t>Alström</w:t>
            </w:r>
          </w:p>
          <w:p>
            <w:pPr>
              <w:pStyle w:val="TableParagraph"/>
              <w:numPr>
                <w:ilvl w:val="2"/>
                <w:numId w:val="4"/>
              </w:numPr>
              <w:tabs>
                <w:tab w:pos="801" w:val="left" w:leader="none"/>
              </w:tabs>
              <w:spacing w:line="168" w:lineRule="exact" w:before="0" w:after="0"/>
              <w:ind w:left="801" w:right="0" w:hanging="191"/>
              <w:jc w:val="left"/>
              <w:rPr>
                <w:sz w:val="15"/>
              </w:rPr>
            </w:pPr>
            <w:r>
              <w:rPr>
                <w:color w:val="231F20"/>
                <w:spacing w:val="-2"/>
                <w:sz w:val="15"/>
              </w:rPr>
              <w:t>Werner</w:t>
            </w:r>
          </w:p>
          <w:p>
            <w:pPr>
              <w:pStyle w:val="TableParagraph"/>
              <w:numPr>
                <w:ilvl w:val="1"/>
                <w:numId w:val="4"/>
              </w:numPr>
              <w:tabs>
                <w:tab w:pos="610" w:val="left" w:leader="none"/>
              </w:tabs>
              <w:spacing w:line="230" w:lineRule="auto" w:before="2" w:after="0"/>
              <w:ind w:left="610" w:right="285" w:hanging="224"/>
              <w:jc w:val="left"/>
              <w:rPr>
                <w:sz w:val="15"/>
              </w:rPr>
            </w:pPr>
            <w:r>
              <w:rPr>
                <w:color w:val="231F20"/>
                <w:spacing w:val="-2"/>
                <w:sz w:val="15"/>
              </w:rPr>
              <w:t>IPEX (immunodysfunction, polyendocrinopathy, </w:t>
            </w:r>
            <w:r>
              <w:rPr>
                <w:color w:val="231F20"/>
                <w:spacing w:val="-2"/>
                <w:sz w:val="15"/>
              </w:rPr>
              <w:t>enteropathy, X-linked)</w:t>
            </w:r>
          </w:p>
          <w:p>
            <w:pPr>
              <w:pStyle w:val="TableParagraph"/>
              <w:numPr>
                <w:ilvl w:val="1"/>
                <w:numId w:val="4"/>
              </w:numPr>
              <w:tabs>
                <w:tab w:pos="609" w:val="left" w:leader="none"/>
              </w:tabs>
              <w:spacing w:line="167" w:lineRule="exact" w:before="0" w:after="0"/>
              <w:ind w:left="609" w:right="0" w:hanging="223"/>
              <w:jc w:val="left"/>
              <w:rPr>
                <w:sz w:val="15"/>
              </w:rPr>
            </w:pPr>
            <w:r>
              <w:rPr>
                <w:color w:val="231F20"/>
                <w:sz w:val="15"/>
              </w:rPr>
              <w:t>Celiac</w:t>
            </w:r>
            <w:r>
              <w:rPr>
                <w:color w:val="231F20"/>
                <w:spacing w:val="-4"/>
                <w:sz w:val="15"/>
              </w:rPr>
              <w:t> </w:t>
            </w:r>
            <w:r>
              <w:rPr>
                <w:color w:val="231F20"/>
                <w:spacing w:val="-2"/>
                <w:sz w:val="15"/>
              </w:rPr>
              <w:t>disease</w:t>
            </w:r>
          </w:p>
          <w:p>
            <w:pPr>
              <w:pStyle w:val="TableParagraph"/>
              <w:numPr>
                <w:ilvl w:val="1"/>
                <w:numId w:val="4"/>
              </w:numPr>
              <w:tabs>
                <w:tab w:pos="608" w:val="left" w:leader="none"/>
              </w:tabs>
              <w:spacing w:line="168" w:lineRule="exact" w:before="0" w:after="0"/>
              <w:ind w:left="608" w:right="0" w:hanging="222"/>
              <w:jc w:val="left"/>
              <w:rPr>
                <w:sz w:val="15"/>
              </w:rPr>
            </w:pPr>
            <w:r>
              <w:rPr>
                <w:color w:val="231F20"/>
                <w:sz w:val="15"/>
              </w:rPr>
              <w:t>Autoimmune</w:t>
            </w:r>
            <w:r>
              <w:rPr>
                <w:color w:val="231F20"/>
                <w:spacing w:val="9"/>
                <w:sz w:val="15"/>
              </w:rPr>
              <w:t> </w:t>
            </w:r>
            <w:r>
              <w:rPr>
                <w:color w:val="231F20"/>
                <w:spacing w:val="-2"/>
                <w:sz w:val="15"/>
              </w:rPr>
              <w:t>polyendocrinopathy</w:t>
            </w:r>
          </w:p>
          <w:p>
            <w:pPr>
              <w:pStyle w:val="TableParagraph"/>
              <w:numPr>
                <w:ilvl w:val="0"/>
                <w:numId w:val="4"/>
              </w:numPr>
              <w:tabs>
                <w:tab w:pos="385" w:val="left" w:leader="none"/>
              </w:tabs>
              <w:spacing w:line="168" w:lineRule="exact" w:before="0" w:after="0"/>
              <w:ind w:left="385" w:right="0" w:hanging="241"/>
              <w:jc w:val="left"/>
              <w:rPr>
                <w:sz w:val="15"/>
              </w:rPr>
            </w:pPr>
            <w:r>
              <w:rPr>
                <w:color w:val="231F20"/>
                <w:spacing w:val="-2"/>
                <w:sz w:val="15"/>
              </w:rPr>
              <w:t>Gestational</w:t>
            </w:r>
            <w:r>
              <w:rPr>
                <w:color w:val="231F20"/>
                <w:spacing w:val="7"/>
                <w:sz w:val="15"/>
              </w:rPr>
              <w:t> </w:t>
            </w:r>
            <w:r>
              <w:rPr>
                <w:color w:val="231F20"/>
                <w:spacing w:val="-2"/>
                <w:sz w:val="15"/>
              </w:rPr>
              <w:t>diabetes</w:t>
            </w:r>
          </w:p>
          <w:p>
            <w:pPr>
              <w:pStyle w:val="TableParagraph"/>
              <w:numPr>
                <w:ilvl w:val="0"/>
                <w:numId w:val="4"/>
              </w:numPr>
              <w:tabs>
                <w:tab w:pos="384" w:val="left" w:leader="none"/>
              </w:tabs>
              <w:spacing w:line="167" w:lineRule="exact" w:before="0" w:after="0"/>
              <w:ind w:left="384" w:right="0" w:hanging="202"/>
              <w:jc w:val="left"/>
              <w:rPr>
                <w:sz w:val="15"/>
              </w:rPr>
            </w:pPr>
            <w:r>
              <w:rPr>
                <w:color w:val="231F20"/>
                <w:sz w:val="15"/>
              </w:rPr>
              <w:t>Neonatal</w:t>
            </w:r>
            <w:r>
              <w:rPr>
                <w:color w:val="231F20"/>
                <w:spacing w:val="7"/>
                <w:sz w:val="15"/>
              </w:rPr>
              <w:t> </w:t>
            </w:r>
            <w:r>
              <w:rPr>
                <w:color w:val="231F20"/>
                <w:spacing w:val="-2"/>
                <w:sz w:val="15"/>
              </w:rPr>
              <w:t>diabetes</w:t>
            </w:r>
          </w:p>
          <w:p>
            <w:pPr>
              <w:pStyle w:val="TableParagraph"/>
              <w:numPr>
                <w:ilvl w:val="1"/>
                <w:numId w:val="4"/>
              </w:numPr>
              <w:tabs>
                <w:tab w:pos="610" w:val="left" w:leader="none"/>
              </w:tabs>
              <w:spacing w:line="230" w:lineRule="auto" w:before="2" w:after="0"/>
              <w:ind w:left="610" w:right="219" w:hanging="224"/>
              <w:jc w:val="left"/>
              <w:rPr>
                <w:sz w:val="15"/>
              </w:rPr>
            </w:pPr>
            <w:r>
              <w:rPr>
                <w:color w:val="231F20"/>
                <w:sz w:val="15"/>
              </w:rPr>
              <w:t>Transient—chromosome 6q24, KCNJ11, ABCC8, INS, </w:t>
            </w:r>
            <w:r>
              <w:rPr>
                <w:color w:val="231F20"/>
                <w:sz w:val="15"/>
              </w:rPr>
              <w:t>HNF1</w:t>
            </w:r>
            <w:r>
              <w:rPr>
                <w:rFonts w:ascii="Cambria" w:hAnsi="Cambria"/>
                <w:color w:val="231F20"/>
                <w:sz w:val="15"/>
              </w:rPr>
              <w:t>β</w:t>
            </w:r>
            <w:r>
              <w:rPr>
                <w:color w:val="231F20"/>
                <w:sz w:val="15"/>
              </w:rPr>
              <w:t>, </w:t>
            </w:r>
            <w:r>
              <w:rPr>
                <w:color w:val="231F20"/>
                <w:spacing w:val="-2"/>
                <w:sz w:val="15"/>
              </w:rPr>
              <w:t>others</w:t>
            </w:r>
          </w:p>
          <w:p>
            <w:pPr>
              <w:pStyle w:val="TableParagraph"/>
              <w:numPr>
                <w:ilvl w:val="1"/>
                <w:numId w:val="4"/>
              </w:numPr>
              <w:tabs>
                <w:tab w:pos="610" w:val="left" w:leader="none"/>
              </w:tabs>
              <w:spacing w:line="230" w:lineRule="auto" w:before="2" w:after="0"/>
              <w:ind w:left="610" w:right="369" w:hanging="224"/>
              <w:jc w:val="left"/>
              <w:rPr>
                <w:sz w:val="15"/>
              </w:rPr>
            </w:pPr>
            <w:r>
              <w:rPr>
                <w:color w:val="231F20"/>
                <w:sz w:val="15"/>
              </w:rPr>
              <w:t>Permanent—agenesis of pancreas—glucokinase </w:t>
            </w:r>
            <w:r>
              <w:rPr>
                <w:color w:val="231F20"/>
                <w:sz w:val="15"/>
              </w:rPr>
              <w:t>deficiency, homozygous, KCNJ11, ABCC8, others</w:t>
            </w:r>
          </w:p>
        </w:tc>
      </w:tr>
    </w:tbl>
    <w:p>
      <w:pPr>
        <w:pStyle w:val="BodyText"/>
        <w:spacing w:before="218"/>
        <w:rPr>
          <w:rFonts w:ascii="Times New Roman"/>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5"/>
        <w:gridCol w:w="435"/>
        <w:gridCol w:w="1473"/>
        <w:gridCol w:w="1641"/>
        <w:gridCol w:w="1543"/>
        <w:gridCol w:w="2026"/>
        <w:gridCol w:w="1472"/>
      </w:tblGrid>
      <w:tr>
        <w:trPr>
          <w:trHeight w:val="391" w:hRule="exact"/>
        </w:trPr>
        <w:tc>
          <w:tcPr>
            <w:tcW w:w="1225" w:type="dxa"/>
            <w:tcBorders>
              <w:right w:val="single" w:sz="8" w:space="0" w:color="FFFFFF"/>
            </w:tcBorders>
            <w:shd w:val="clear" w:color="auto" w:fill="231F20"/>
          </w:tcPr>
          <w:p>
            <w:pPr>
              <w:pStyle w:val="TableParagraph"/>
              <w:spacing w:before="89"/>
              <w:ind w:left="189"/>
              <w:rPr>
                <w:b/>
                <w:sz w:val="16"/>
              </w:rPr>
            </w:pPr>
            <w:r>
              <w:rPr>
                <w:b/>
                <w:color w:val="FFFFFF"/>
                <w:w w:val="105"/>
                <w:sz w:val="16"/>
              </w:rPr>
              <w:t>Table</w:t>
            </w:r>
            <w:r>
              <w:rPr>
                <w:b/>
                <w:color w:val="FFFFFF"/>
                <w:spacing w:val="-3"/>
                <w:w w:val="105"/>
                <w:sz w:val="16"/>
              </w:rPr>
              <w:t> </w:t>
            </w:r>
            <w:r>
              <w:rPr>
                <w:b/>
                <w:color w:val="FFFFFF"/>
                <w:w w:val="105"/>
                <w:sz w:val="16"/>
              </w:rPr>
              <w:t>588-</w:t>
            </w:r>
            <w:r>
              <w:rPr>
                <w:b/>
                <w:color w:val="FFFFFF"/>
                <w:spacing w:val="-10"/>
                <w:w w:val="105"/>
                <w:sz w:val="16"/>
              </w:rPr>
              <w:t>3</w:t>
            </w:r>
          </w:p>
        </w:tc>
        <w:tc>
          <w:tcPr>
            <w:tcW w:w="8590" w:type="dxa"/>
            <w:gridSpan w:val="6"/>
            <w:tcBorders>
              <w:left w:val="single" w:sz="8" w:space="0" w:color="FFFFFF"/>
            </w:tcBorders>
            <w:shd w:val="clear" w:color="auto" w:fill="231F20"/>
          </w:tcPr>
          <w:p>
            <w:pPr>
              <w:pStyle w:val="TableParagraph"/>
              <w:spacing w:before="89"/>
              <w:ind w:left="74"/>
              <w:rPr>
                <w:sz w:val="16"/>
              </w:rPr>
            </w:pPr>
            <w:r>
              <w:rPr>
                <w:color w:val="FFFFFF"/>
                <w:w w:val="105"/>
                <w:sz w:val="16"/>
              </w:rPr>
              <w:t>Ambiguous</w:t>
            </w:r>
            <w:r>
              <w:rPr>
                <w:color w:val="FFFFFF"/>
                <w:spacing w:val="10"/>
                <w:w w:val="105"/>
                <w:sz w:val="16"/>
              </w:rPr>
              <w:t> </w:t>
            </w:r>
            <w:r>
              <w:rPr>
                <w:color w:val="FFFFFF"/>
                <w:w w:val="105"/>
                <w:sz w:val="16"/>
              </w:rPr>
              <w:t>Genitalia:</w:t>
            </w:r>
            <w:r>
              <w:rPr>
                <w:color w:val="FFFFFF"/>
                <w:spacing w:val="10"/>
                <w:w w:val="105"/>
                <w:sz w:val="16"/>
              </w:rPr>
              <w:t> </w:t>
            </w:r>
            <w:r>
              <w:rPr>
                <w:color w:val="FFFFFF"/>
                <w:w w:val="105"/>
                <w:sz w:val="16"/>
              </w:rPr>
              <w:t>Steps</w:t>
            </w:r>
            <w:r>
              <w:rPr>
                <w:color w:val="FFFFFF"/>
                <w:spacing w:val="10"/>
                <w:w w:val="105"/>
                <w:sz w:val="16"/>
              </w:rPr>
              <w:t> </w:t>
            </w:r>
            <w:r>
              <w:rPr>
                <w:color w:val="FFFFFF"/>
                <w:w w:val="105"/>
                <w:sz w:val="16"/>
              </w:rPr>
              <w:t>in</w:t>
            </w:r>
            <w:r>
              <w:rPr>
                <w:color w:val="FFFFFF"/>
                <w:spacing w:val="11"/>
                <w:w w:val="105"/>
                <w:sz w:val="16"/>
              </w:rPr>
              <w:t> </w:t>
            </w:r>
            <w:r>
              <w:rPr>
                <w:color w:val="FFFFFF"/>
                <w:w w:val="105"/>
                <w:sz w:val="16"/>
              </w:rPr>
              <w:t>Establishing</w:t>
            </w:r>
            <w:r>
              <w:rPr>
                <w:color w:val="FFFFFF"/>
                <w:spacing w:val="10"/>
                <w:w w:val="105"/>
                <w:sz w:val="16"/>
              </w:rPr>
              <w:t> </w:t>
            </w:r>
            <w:r>
              <w:rPr>
                <w:color w:val="FFFFFF"/>
                <w:w w:val="105"/>
                <w:sz w:val="16"/>
              </w:rPr>
              <w:t>the</w:t>
            </w:r>
            <w:r>
              <w:rPr>
                <w:color w:val="FFFFFF"/>
                <w:spacing w:val="10"/>
                <w:w w:val="105"/>
                <w:sz w:val="16"/>
              </w:rPr>
              <w:t> </w:t>
            </w:r>
            <w:r>
              <w:rPr>
                <w:color w:val="FFFFFF"/>
                <w:spacing w:val="-2"/>
                <w:w w:val="105"/>
                <w:sz w:val="16"/>
              </w:rPr>
              <w:t>Diagnosis</w:t>
            </w:r>
          </w:p>
        </w:tc>
      </w:tr>
      <w:tr>
        <w:trPr>
          <w:trHeight w:val="580" w:hRule="exact"/>
        </w:trPr>
        <w:tc>
          <w:tcPr>
            <w:tcW w:w="3133" w:type="dxa"/>
            <w:gridSpan w:val="3"/>
            <w:tcBorders>
              <w:bottom w:val="single" w:sz="4" w:space="0" w:color="231F20"/>
            </w:tcBorders>
            <w:shd w:val="clear" w:color="auto" w:fill="E8F5F1"/>
          </w:tcPr>
          <w:p>
            <w:pPr>
              <w:pStyle w:val="TableParagraph"/>
              <w:spacing w:before="29"/>
              <w:rPr>
                <w:rFonts w:ascii="Times New Roman"/>
                <w:sz w:val="15"/>
              </w:rPr>
            </w:pPr>
          </w:p>
          <w:p>
            <w:pPr>
              <w:pStyle w:val="TableParagraph"/>
              <w:spacing w:line="230" w:lineRule="auto" w:before="1"/>
              <w:ind w:left="1948" w:firstLine="221"/>
              <w:rPr>
                <w:b/>
                <w:sz w:val="15"/>
              </w:rPr>
            </w:pPr>
            <w:r>
              <w:rPr>
                <w:b/>
                <w:color w:val="231F20"/>
                <w:spacing w:val="-2"/>
                <w:w w:val="110"/>
                <w:sz w:val="15"/>
              </w:rPr>
              <w:t>21-OH DEFICIENCY</w:t>
            </w:r>
          </w:p>
        </w:tc>
        <w:tc>
          <w:tcPr>
            <w:tcW w:w="1641" w:type="dxa"/>
            <w:tcBorders>
              <w:bottom w:val="single" w:sz="4" w:space="0" w:color="231F20"/>
            </w:tcBorders>
            <w:shd w:val="clear" w:color="auto" w:fill="E8F5F1"/>
          </w:tcPr>
          <w:p>
            <w:pPr>
              <w:pStyle w:val="TableParagraph"/>
              <w:spacing w:line="230" w:lineRule="auto" w:before="34"/>
              <w:ind w:left="110" w:right="107"/>
              <w:jc w:val="center"/>
              <w:rPr>
                <w:b/>
                <w:sz w:val="15"/>
              </w:rPr>
            </w:pPr>
            <w:r>
              <w:rPr>
                <w:b/>
                <w:color w:val="231F20"/>
                <w:spacing w:val="-2"/>
                <w:w w:val="115"/>
                <w:sz w:val="15"/>
              </w:rPr>
              <w:t>GONADAL </w:t>
            </w:r>
            <w:r>
              <w:rPr>
                <w:b/>
                <w:color w:val="231F20"/>
                <w:w w:val="110"/>
                <w:sz w:val="15"/>
              </w:rPr>
              <w:t>DYSGENESIS</w:t>
            </w:r>
            <w:r>
              <w:rPr>
                <w:b/>
                <w:color w:val="231F20"/>
                <w:spacing w:val="-13"/>
                <w:w w:val="110"/>
                <w:sz w:val="15"/>
              </w:rPr>
              <w:t> </w:t>
            </w:r>
            <w:r>
              <w:rPr>
                <w:b/>
                <w:color w:val="231F20"/>
                <w:w w:val="110"/>
                <w:sz w:val="15"/>
              </w:rPr>
              <w:t>WITH </w:t>
            </w:r>
            <w:r>
              <w:rPr>
                <w:b/>
                <w:color w:val="231F20"/>
                <w:w w:val="115"/>
                <w:sz w:val="15"/>
              </w:rPr>
              <w:t>Y CHROMOSOME</w:t>
            </w:r>
          </w:p>
        </w:tc>
        <w:tc>
          <w:tcPr>
            <w:tcW w:w="1543" w:type="dxa"/>
            <w:tcBorders>
              <w:bottom w:val="single" w:sz="4" w:space="0" w:color="231F20"/>
            </w:tcBorders>
            <w:shd w:val="clear" w:color="auto" w:fill="E8F5F1"/>
          </w:tcPr>
          <w:p>
            <w:pPr>
              <w:pStyle w:val="TableParagraph"/>
              <w:spacing w:before="29"/>
              <w:rPr>
                <w:rFonts w:ascii="Times New Roman"/>
                <w:sz w:val="15"/>
              </w:rPr>
            </w:pPr>
          </w:p>
          <w:p>
            <w:pPr>
              <w:pStyle w:val="TableParagraph"/>
              <w:spacing w:line="230" w:lineRule="auto" w:before="1"/>
              <w:ind w:left="617" w:right="143" w:hanging="469"/>
              <w:rPr>
                <w:b/>
                <w:sz w:val="15"/>
              </w:rPr>
            </w:pPr>
            <w:r>
              <w:rPr>
                <w:b/>
                <w:color w:val="231F20"/>
                <w:spacing w:val="-2"/>
                <w:sz w:val="15"/>
              </w:rPr>
              <w:t>OVOTESTICULAR </w:t>
            </w:r>
            <w:r>
              <w:rPr>
                <w:b/>
                <w:color w:val="231F20"/>
                <w:spacing w:val="-4"/>
                <w:w w:val="110"/>
                <w:sz w:val="15"/>
              </w:rPr>
              <w:t>DSD</w:t>
            </w:r>
          </w:p>
        </w:tc>
        <w:tc>
          <w:tcPr>
            <w:tcW w:w="2026" w:type="dxa"/>
            <w:tcBorders>
              <w:bottom w:val="single" w:sz="4" w:space="0" w:color="231F20"/>
            </w:tcBorders>
            <w:shd w:val="clear" w:color="auto" w:fill="E8F5F1"/>
          </w:tcPr>
          <w:p>
            <w:pPr>
              <w:pStyle w:val="TableParagraph"/>
              <w:spacing w:before="29"/>
              <w:rPr>
                <w:rFonts w:ascii="Times New Roman"/>
                <w:sz w:val="15"/>
              </w:rPr>
            </w:pPr>
          </w:p>
          <w:p>
            <w:pPr>
              <w:pStyle w:val="TableParagraph"/>
              <w:spacing w:line="230" w:lineRule="auto" w:before="1"/>
              <w:ind w:left="485" w:hanging="258"/>
              <w:rPr>
                <w:b/>
                <w:sz w:val="15"/>
              </w:rPr>
            </w:pPr>
            <w:r>
              <w:rPr>
                <w:b/>
                <w:color w:val="231F20"/>
                <w:w w:val="110"/>
                <w:sz w:val="15"/>
              </w:rPr>
              <w:t>PARTIAL</w:t>
            </w:r>
            <w:r>
              <w:rPr>
                <w:b/>
                <w:color w:val="231F20"/>
                <w:spacing w:val="-11"/>
                <w:w w:val="110"/>
                <w:sz w:val="15"/>
              </w:rPr>
              <w:t> </w:t>
            </w:r>
            <w:r>
              <w:rPr>
                <w:b/>
                <w:color w:val="231F20"/>
                <w:w w:val="110"/>
                <w:sz w:val="15"/>
              </w:rPr>
              <w:t>ANDROGEN </w:t>
            </w:r>
            <w:r>
              <w:rPr>
                <w:b/>
                <w:color w:val="231F20"/>
                <w:spacing w:val="-2"/>
                <w:w w:val="110"/>
                <w:sz w:val="15"/>
              </w:rPr>
              <w:t>INSENSITIVITY</w:t>
            </w:r>
          </w:p>
        </w:tc>
        <w:tc>
          <w:tcPr>
            <w:tcW w:w="1472" w:type="dxa"/>
            <w:tcBorders>
              <w:bottom w:val="single" w:sz="4" w:space="0" w:color="231F20"/>
            </w:tcBorders>
            <w:shd w:val="clear" w:color="auto" w:fill="E8F5F1"/>
          </w:tcPr>
          <w:p>
            <w:pPr>
              <w:pStyle w:val="TableParagraph"/>
              <w:spacing w:line="230" w:lineRule="auto" w:before="34"/>
              <w:ind w:left="174" w:right="118" w:hanging="1"/>
              <w:jc w:val="center"/>
              <w:rPr>
                <w:b/>
                <w:sz w:val="15"/>
              </w:rPr>
            </w:pPr>
            <w:r>
              <w:rPr>
                <w:b/>
                <w:color w:val="231F20"/>
                <w:w w:val="110"/>
                <w:sz w:val="15"/>
              </w:rPr>
              <w:t>BLOCK IN </w:t>
            </w:r>
            <w:r>
              <w:rPr>
                <w:b/>
                <w:color w:val="231F20"/>
                <w:spacing w:val="-2"/>
                <w:sz w:val="15"/>
              </w:rPr>
              <w:t>TESTOSTERONE </w:t>
            </w:r>
            <w:r>
              <w:rPr>
                <w:b/>
                <w:color w:val="231F20"/>
                <w:spacing w:val="-2"/>
                <w:w w:val="110"/>
                <w:sz w:val="15"/>
              </w:rPr>
              <w:t>SYNTHESIS</w:t>
            </w:r>
          </w:p>
        </w:tc>
      </w:tr>
      <w:tr>
        <w:trPr>
          <w:trHeight w:val="212" w:hRule="exact"/>
        </w:trPr>
        <w:tc>
          <w:tcPr>
            <w:tcW w:w="1660" w:type="dxa"/>
            <w:gridSpan w:val="2"/>
            <w:vMerge w:val="restart"/>
            <w:tcBorders>
              <w:top w:val="single" w:sz="4" w:space="0" w:color="231F20"/>
            </w:tcBorders>
            <w:shd w:val="clear" w:color="auto" w:fill="E8F5F1"/>
          </w:tcPr>
          <w:p>
            <w:pPr>
              <w:pStyle w:val="TableParagraph"/>
              <w:spacing w:line="150" w:lineRule="exact" w:before="43"/>
              <w:ind w:left="152"/>
              <w:rPr>
                <w:sz w:val="15"/>
              </w:rPr>
            </w:pPr>
            <w:r>
              <w:rPr>
                <w:color w:val="231F20"/>
                <w:w w:val="110"/>
                <w:sz w:val="15"/>
              </w:rPr>
              <w:t>CLINICAL</w:t>
            </w:r>
            <w:r>
              <w:rPr>
                <w:color w:val="231F20"/>
                <w:spacing w:val="11"/>
                <w:w w:val="110"/>
                <w:sz w:val="15"/>
              </w:rPr>
              <w:t> </w:t>
            </w:r>
            <w:r>
              <w:rPr>
                <w:color w:val="231F20"/>
                <w:spacing w:val="-2"/>
                <w:w w:val="110"/>
                <w:sz w:val="15"/>
              </w:rPr>
              <w:t>FEATURE</w:t>
            </w:r>
          </w:p>
        </w:tc>
        <w:tc>
          <w:tcPr>
            <w:tcW w:w="1473" w:type="dxa"/>
            <w:vMerge w:val="restart"/>
            <w:tcBorders>
              <w:top w:val="single" w:sz="4" w:space="0" w:color="231F20"/>
            </w:tcBorders>
            <w:shd w:val="clear" w:color="auto" w:fill="E8F5F1"/>
          </w:tcPr>
          <w:p>
            <w:pPr>
              <w:pStyle w:val="TableParagraph"/>
              <w:rPr>
                <w:rFonts w:ascii="Times New Roman"/>
                <w:sz w:val="14"/>
              </w:rPr>
            </w:pPr>
          </w:p>
        </w:tc>
        <w:tc>
          <w:tcPr>
            <w:tcW w:w="1641" w:type="dxa"/>
            <w:vMerge w:val="restart"/>
            <w:tcBorders>
              <w:top w:val="single" w:sz="4" w:space="0" w:color="231F20"/>
            </w:tcBorders>
            <w:shd w:val="clear" w:color="auto" w:fill="E8F5F1"/>
          </w:tcPr>
          <w:p>
            <w:pPr>
              <w:pStyle w:val="TableParagraph"/>
              <w:rPr>
                <w:rFonts w:ascii="Times New Roman"/>
                <w:sz w:val="14"/>
              </w:rPr>
            </w:pPr>
          </w:p>
        </w:tc>
        <w:tc>
          <w:tcPr>
            <w:tcW w:w="1543" w:type="dxa"/>
            <w:tcBorders>
              <w:top w:val="single" w:sz="4" w:space="0" w:color="231F20"/>
            </w:tcBorders>
            <w:shd w:val="clear" w:color="auto" w:fill="E8F5F1"/>
          </w:tcPr>
          <w:p>
            <w:pPr>
              <w:pStyle w:val="TableParagraph"/>
              <w:rPr>
                <w:rFonts w:ascii="Times New Roman"/>
                <w:sz w:val="14"/>
              </w:rPr>
            </w:pPr>
          </w:p>
        </w:tc>
        <w:tc>
          <w:tcPr>
            <w:tcW w:w="2026" w:type="dxa"/>
            <w:tcBorders>
              <w:top w:val="single" w:sz="4" w:space="0" w:color="231F20"/>
            </w:tcBorders>
            <w:shd w:val="clear" w:color="auto" w:fill="E8F5F1"/>
          </w:tcPr>
          <w:p>
            <w:pPr>
              <w:pStyle w:val="TableParagraph"/>
              <w:rPr>
                <w:rFonts w:ascii="Times New Roman"/>
                <w:sz w:val="14"/>
              </w:rPr>
            </w:pPr>
          </w:p>
        </w:tc>
        <w:tc>
          <w:tcPr>
            <w:tcW w:w="1472" w:type="dxa"/>
            <w:tcBorders>
              <w:top w:val="single" w:sz="4" w:space="0" w:color="231F20"/>
            </w:tcBorders>
            <w:shd w:val="clear" w:color="auto" w:fill="E8F5F1"/>
          </w:tcPr>
          <w:p>
            <w:pPr>
              <w:pStyle w:val="TableParagraph"/>
              <w:rPr>
                <w:rFonts w:ascii="Times New Roman"/>
                <w:sz w:val="14"/>
              </w:rPr>
            </w:pPr>
          </w:p>
        </w:tc>
      </w:tr>
      <w:tr>
        <w:trPr>
          <w:trHeight w:val="5" w:hRule="exact"/>
        </w:trPr>
        <w:tc>
          <w:tcPr>
            <w:tcW w:w="1660" w:type="dxa"/>
            <w:gridSpan w:val="2"/>
            <w:vMerge/>
            <w:tcBorders>
              <w:top w:val="nil"/>
            </w:tcBorders>
            <w:shd w:val="clear" w:color="auto" w:fill="E8F5F1"/>
          </w:tcPr>
          <w:p>
            <w:pPr>
              <w:rPr>
                <w:sz w:val="2"/>
                <w:szCs w:val="2"/>
              </w:rPr>
            </w:pPr>
          </w:p>
        </w:tc>
        <w:tc>
          <w:tcPr>
            <w:tcW w:w="1473" w:type="dxa"/>
            <w:vMerge/>
            <w:tcBorders>
              <w:top w:val="nil"/>
            </w:tcBorders>
            <w:shd w:val="clear" w:color="auto" w:fill="E8F5F1"/>
          </w:tcPr>
          <w:p>
            <w:pPr>
              <w:rPr>
                <w:sz w:val="2"/>
                <w:szCs w:val="2"/>
              </w:rPr>
            </w:pPr>
          </w:p>
        </w:tc>
        <w:tc>
          <w:tcPr>
            <w:tcW w:w="1641" w:type="dxa"/>
            <w:vMerge/>
            <w:tcBorders>
              <w:top w:val="nil"/>
            </w:tcBorders>
            <w:shd w:val="clear" w:color="auto" w:fill="E8F5F1"/>
          </w:tcPr>
          <w:p>
            <w:pPr>
              <w:rPr>
                <w:sz w:val="2"/>
                <w:szCs w:val="2"/>
              </w:rPr>
            </w:pPr>
          </w:p>
        </w:tc>
        <w:tc>
          <w:tcPr>
            <w:tcW w:w="1543" w:type="dxa"/>
            <w:vMerge w:val="restart"/>
            <w:shd w:val="clear" w:color="auto" w:fill="E8F5F1"/>
          </w:tcPr>
          <w:p>
            <w:pPr>
              <w:pStyle w:val="TableParagraph"/>
              <w:spacing w:line="155" w:lineRule="exact" w:before="6"/>
              <w:ind w:left="129"/>
              <w:rPr>
                <w:rFonts w:ascii="Cambria" w:hAnsi="Cambria"/>
                <w:sz w:val="15"/>
              </w:rPr>
            </w:pPr>
            <w:r>
              <w:rPr>
                <w:rFonts w:ascii="Cambria" w:hAnsi="Cambria"/>
                <w:color w:val="231F20"/>
                <w:spacing w:val="-10"/>
                <w:sz w:val="15"/>
              </w:rPr>
              <w:t>±</w:t>
            </w:r>
          </w:p>
        </w:tc>
        <w:tc>
          <w:tcPr>
            <w:tcW w:w="2026" w:type="dxa"/>
            <w:vMerge w:val="restart"/>
            <w:shd w:val="clear" w:color="auto" w:fill="E8F5F1"/>
          </w:tcPr>
          <w:p>
            <w:pPr>
              <w:pStyle w:val="TableParagraph"/>
              <w:spacing w:line="155" w:lineRule="exact" w:before="6"/>
              <w:ind w:left="133"/>
              <w:rPr>
                <w:rFonts w:ascii="Cambria"/>
                <w:sz w:val="15"/>
              </w:rPr>
            </w:pPr>
            <w:r>
              <w:rPr>
                <w:rFonts w:ascii="Cambria"/>
                <w:color w:val="231F20"/>
                <w:spacing w:val="-10"/>
                <w:sz w:val="15"/>
              </w:rPr>
              <w:t>+</w:t>
            </w:r>
          </w:p>
        </w:tc>
        <w:tc>
          <w:tcPr>
            <w:tcW w:w="1472" w:type="dxa"/>
            <w:vMerge w:val="restart"/>
            <w:shd w:val="clear" w:color="auto" w:fill="E8F5F1"/>
          </w:tcPr>
          <w:p>
            <w:pPr>
              <w:pStyle w:val="TableParagraph"/>
              <w:spacing w:line="159" w:lineRule="exact" w:before="6"/>
              <w:ind w:left="129"/>
              <w:rPr>
                <w:rFonts w:ascii="Cambria"/>
                <w:sz w:val="15"/>
              </w:rPr>
            </w:pPr>
            <w:r>
              <w:rPr>
                <w:rFonts w:ascii="Cambria"/>
                <w:color w:val="231F20"/>
                <w:spacing w:val="-10"/>
                <w:sz w:val="15"/>
              </w:rPr>
              <w:t>+</w:t>
            </w:r>
          </w:p>
        </w:tc>
      </w:tr>
      <w:tr>
        <w:trPr>
          <w:trHeight w:val="174" w:hRule="exact"/>
        </w:trPr>
        <w:tc>
          <w:tcPr>
            <w:tcW w:w="1660" w:type="dxa"/>
            <w:gridSpan w:val="2"/>
            <w:shd w:val="clear" w:color="auto" w:fill="E8F5F1"/>
          </w:tcPr>
          <w:p>
            <w:pPr>
              <w:pStyle w:val="TableParagraph"/>
              <w:spacing w:line="154" w:lineRule="exact"/>
              <w:ind w:left="152"/>
              <w:rPr>
                <w:sz w:val="15"/>
              </w:rPr>
            </w:pPr>
            <w:r>
              <w:rPr>
                <w:color w:val="231F20"/>
                <w:sz w:val="15"/>
              </w:rPr>
              <w:t>Palpable</w:t>
            </w:r>
            <w:r>
              <w:rPr>
                <w:color w:val="231F20"/>
                <w:spacing w:val="-5"/>
                <w:sz w:val="15"/>
              </w:rPr>
              <w:t> </w:t>
            </w:r>
            <w:r>
              <w:rPr>
                <w:color w:val="231F20"/>
                <w:spacing w:val="-2"/>
                <w:sz w:val="15"/>
              </w:rPr>
              <w:t>gonad(s)</w:t>
            </w:r>
          </w:p>
        </w:tc>
        <w:tc>
          <w:tcPr>
            <w:tcW w:w="1473" w:type="dxa"/>
            <w:shd w:val="clear" w:color="auto" w:fill="E8F5F1"/>
          </w:tcPr>
          <w:p>
            <w:pPr>
              <w:pStyle w:val="TableParagraph"/>
              <w:spacing w:line="154" w:lineRule="exact"/>
              <w:ind w:left="131"/>
              <w:rPr>
                <w:sz w:val="15"/>
              </w:rPr>
            </w:pPr>
            <w:r>
              <w:rPr>
                <w:color w:val="231F20"/>
                <w:spacing w:val="-10"/>
                <w:w w:val="135"/>
                <w:sz w:val="15"/>
              </w:rPr>
              <w:t>–</w:t>
            </w:r>
          </w:p>
        </w:tc>
        <w:tc>
          <w:tcPr>
            <w:tcW w:w="1641" w:type="dxa"/>
            <w:shd w:val="clear" w:color="auto" w:fill="E8F5F1"/>
          </w:tcPr>
          <w:p>
            <w:pPr>
              <w:pStyle w:val="TableParagraph"/>
              <w:spacing w:line="155" w:lineRule="exact" w:before="1"/>
              <w:ind w:left="130"/>
              <w:rPr>
                <w:rFonts w:ascii="Cambria" w:hAnsi="Cambria"/>
                <w:sz w:val="15"/>
              </w:rPr>
            </w:pPr>
            <w:r>
              <w:rPr>
                <w:rFonts w:ascii="Cambria" w:hAnsi="Cambria"/>
                <w:color w:val="231F20"/>
                <w:spacing w:val="-10"/>
                <w:sz w:val="15"/>
              </w:rPr>
              <w:t>±</w:t>
            </w:r>
          </w:p>
        </w:tc>
        <w:tc>
          <w:tcPr>
            <w:tcW w:w="1543" w:type="dxa"/>
            <w:vMerge/>
            <w:tcBorders>
              <w:top w:val="nil"/>
            </w:tcBorders>
            <w:shd w:val="clear" w:color="auto" w:fill="E8F5F1"/>
          </w:tcPr>
          <w:p>
            <w:pPr>
              <w:rPr>
                <w:sz w:val="2"/>
                <w:szCs w:val="2"/>
              </w:rPr>
            </w:pPr>
          </w:p>
        </w:tc>
        <w:tc>
          <w:tcPr>
            <w:tcW w:w="2026" w:type="dxa"/>
            <w:vMerge/>
            <w:tcBorders>
              <w:top w:val="nil"/>
            </w:tcBorders>
            <w:shd w:val="clear" w:color="auto" w:fill="E8F5F1"/>
          </w:tcPr>
          <w:p>
            <w:pPr>
              <w:rPr>
                <w:sz w:val="2"/>
                <w:szCs w:val="2"/>
              </w:rPr>
            </w:pPr>
          </w:p>
        </w:tc>
        <w:tc>
          <w:tcPr>
            <w:tcW w:w="1472" w:type="dxa"/>
            <w:vMerge/>
            <w:tcBorders>
              <w:top w:val="nil"/>
            </w:tcBorders>
            <w:shd w:val="clear" w:color="auto" w:fill="E8F5F1"/>
          </w:tcPr>
          <w:p>
            <w:pPr>
              <w:rPr>
                <w:sz w:val="2"/>
                <w:szCs w:val="2"/>
              </w:rPr>
            </w:pPr>
          </w:p>
        </w:tc>
      </w:tr>
      <w:tr>
        <w:trPr>
          <w:trHeight w:val="4" w:hRule="exact"/>
        </w:trPr>
        <w:tc>
          <w:tcPr>
            <w:tcW w:w="1660" w:type="dxa"/>
            <w:gridSpan w:val="2"/>
            <w:vMerge w:val="restart"/>
            <w:shd w:val="clear" w:color="auto" w:fill="E8F5F1"/>
          </w:tcPr>
          <w:p>
            <w:pPr>
              <w:pStyle w:val="TableParagraph"/>
              <w:spacing w:line="152" w:lineRule="exact"/>
              <w:ind w:left="152"/>
              <w:rPr>
                <w:sz w:val="15"/>
              </w:rPr>
            </w:pPr>
            <w:r>
              <w:rPr>
                <w:color w:val="231F20"/>
                <w:sz w:val="15"/>
              </w:rPr>
              <w:t>Uterus</w:t>
            </w:r>
            <w:r>
              <w:rPr>
                <w:color w:val="231F20"/>
                <w:spacing w:val="-8"/>
                <w:sz w:val="15"/>
              </w:rPr>
              <w:t> </w:t>
            </w:r>
            <w:r>
              <w:rPr>
                <w:color w:val="231F20"/>
                <w:spacing w:val="-2"/>
                <w:sz w:val="15"/>
              </w:rPr>
              <w:t>present</w:t>
            </w:r>
            <w:r>
              <w:rPr>
                <w:color w:val="0080AC"/>
                <w:spacing w:val="-2"/>
                <w:sz w:val="15"/>
              </w:rPr>
              <w:t>*</w:t>
            </w:r>
          </w:p>
        </w:tc>
        <w:tc>
          <w:tcPr>
            <w:tcW w:w="1473" w:type="dxa"/>
            <w:vMerge w:val="restart"/>
            <w:shd w:val="clear" w:color="auto" w:fill="E8F5F1"/>
          </w:tcPr>
          <w:p>
            <w:pPr>
              <w:pStyle w:val="TableParagraph"/>
              <w:spacing w:line="152" w:lineRule="exact"/>
              <w:ind w:left="131"/>
              <w:rPr>
                <w:rFonts w:ascii="Cambria"/>
                <w:sz w:val="15"/>
              </w:rPr>
            </w:pPr>
            <w:r>
              <w:rPr>
                <w:rFonts w:ascii="Cambria"/>
                <w:color w:val="231F20"/>
                <w:spacing w:val="-10"/>
                <w:sz w:val="15"/>
              </w:rPr>
              <w:t>+</w:t>
            </w:r>
          </w:p>
        </w:tc>
        <w:tc>
          <w:tcPr>
            <w:tcW w:w="1641" w:type="dxa"/>
            <w:vMerge w:val="restart"/>
            <w:shd w:val="clear" w:color="auto" w:fill="E8F5F1"/>
          </w:tcPr>
          <w:p>
            <w:pPr>
              <w:pStyle w:val="TableParagraph"/>
              <w:spacing w:line="152" w:lineRule="exact"/>
              <w:ind w:left="131"/>
              <w:rPr>
                <w:rFonts w:ascii="Cambria"/>
                <w:sz w:val="15"/>
              </w:rPr>
            </w:pPr>
            <w:r>
              <w:rPr>
                <w:rFonts w:ascii="Cambria"/>
                <w:color w:val="231F20"/>
                <w:spacing w:val="-10"/>
                <w:sz w:val="15"/>
              </w:rPr>
              <w:t>+</w:t>
            </w:r>
          </w:p>
        </w:tc>
        <w:tc>
          <w:tcPr>
            <w:tcW w:w="1543" w:type="dxa"/>
            <w:vMerge w:val="restart"/>
            <w:shd w:val="clear" w:color="auto" w:fill="E8F5F1"/>
          </w:tcPr>
          <w:p>
            <w:pPr>
              <w:pStyle w:val="TableParagraph"/>
              <w:spacing w:line="152" w:lineRule="exact"/>
              <w:ind w:left="130"/>
              <w:rPr>
                <w:sz w:val="15"/>
              </w:rPr>
            </w:pPr>
            <w:r>
              <w:rPr>
                <w:color w:val="231F20"/>
                <w:spacing w:val="-2"/>
                <w:sz w:val="15"/>
              </w:rPr>
              <w:t>Usually</w:t>
            </w:r>
          </w:p>
        </w:tc>
        <w:tc>
          <w:tcPr>
            <w:tcW w:w="2026" w:type="dxa"/>
            <w:vMerge w:val="restart"/>
            <w:shd w:val="clear" w:color="auto" w:fill="E8F5F1"/>
          </w:tcPr>
          <w:p>
            <w:pPr>
              <w:pStyle w:val="TableParagraph"/>
              <w:spacing w:line="151" w:lineRule="exact"/>
              <w:ind w:left="133"/>
              <w:rPr>
                <w:sz w:val="15"/>
              </w:rPr>
            </w:pPr>
            <w:r>
              <w:rPr>
                <w:color w:val="231F20"/>
                <w:spacing w:val="-10"/>
                <w:w w:val="135"/>
                <w:sz w:val="15"/>
              </w:rPr>
              <w:t>–</w:t>
            </w:r>
          </w:p>
        </w:tc>
        <w:tc>
          <w:tcPr>
            <w:tcW w:w="1472" w:type="dxa"/>
            <w:vMerge/>
            <w:tcBorders>
              <w:top w:val="nil"/>
            </w:tcBorders>
            <w:shd w:val="clear" w:color="auto" w:fill="E8F5F1"/>
          </w:tcPr>
          <w:p>
            <w:pPr>
              <w:rPr>
                <w:sz w:val="2"/>
                <w:szCs w:val="2"/>
              </w:rPr>
            </w:pPr>
          </w:p>
        </w:tc>
      </w:tr>
      <w:tr>
        <w:trPr>
          <w:trHeight w:val="167" w:hRule="exact"/>
        </w:trPr>
        <w:tc>
          <w:tcPr>
            <w:tcW w:w="1660" w:type="dxa"/>
            <w:gridSpan w:val="2"/>
            <w:vMerge/>
            <w:tcBorders>
              <w:top w:val="nil"/>
            </w:tcBorders>
            <w:shd w:val="clear" w:color="auto" w:fill="E8F5F1"/>
          </w:tcPr>
          <w:p>
            <w:pPr>
              <w:rPr>
                <w:sz w:val="2"/>
                <w:szCs w:val="2"/>
              </w:rPr>
            </w:pPr>
          </w:p>
        </w:tc>
        <w:tc>
          <w:tcPr>
            <w:tcW w:w="1473" w:type="dxa"/>
            <w:vMerge/>
            <w:tcBorders>
              <w:top w:val="nil"/>
            </w:tcBorders>
            <w:shd w:val="clear" w:color="auto" w:fill="E8F5F1"/>
          </w:tcPr>
          <w:p>
            <w:pPr>
              <w:rPr>
                <w:sz w:val="2"/>
                <w:szCs w:val="2"/>
              </w:rPr>
            </w:pPr>
          </w:p>
        </w:tc>
        <w:tc>
          <w:tcPr>
            <w:tcW w:w="1641" w:type="dxa"/>
            <w:vMerge/>
            <w:tcBorders>
              <w:top w:val="nil"/>
            </w:tcBorders>
            <w:shd w:val="clear" w:color="auto" w:fill="E8F5F1"/>
          </w:tcPr>
          <w:p>
            <w:pPr>
              <w:rPr>
                <w:sz w:val="2"/>
                <w:szCs w:val="2"/>
              </w:rPr>
            </w:pPr>
          </w:p>
        </w:tc>
        <w:tc>
          <w:tcPr>
            <w:tcW w:w="1543" w:type="dxa"/>
            <w:vMerge/>
            <w:tcBorders>
              <w:top w:val="nil"/>
            </w:tcBorders>
            <w:shd w:val="clear" w:color="auto" w:fill="E8F5F1"/>
          </w:tcPr>
          <w:p>
            <w:pPr>
              <w:rPr>
                <w:sz w:val="2"/>
                <w:szCs w:val="2"/>
              </w:rPr>
            </w:pPr>
          </w:p>
        </w:tc>
        <w:tc>
          <w:tcPr>
            <w:tcW w:w="2026" w:type="dxa"/>
            <w:vMerge/>
            <w:tcBorders>
              <w:top w:val="nil"/>
            </w:tcBorders>
            <w:shd w:val="clear" w:color="auto" w:fill="E8F5F1"/>
          </w:tcPr>
          <w:p>
            <w:pPr>
              <w:rPr>
                <w:sz w:val="2"/>
                <w:szCs w:val="2"/>
              </w:rPr>
            </w:pPr>
          </w:p>
        </w:tc>
        <w:tc>
          <w:tcPr>
            <w:tcW w:w="1472" w:type="dxa"/>
            <w:shd w:val="clear" w:color="auto" w:fill="E8F5F1"/>
          </w:tcPr>
          <w:p>
            <w:pPr>
              <w:pStyle w:val="TableParagraph"/>
              <w:spacing w:line="148" w:lineRule="exact"/>
              <w:ind w:left="129"/>
              <w:rPr>
                <w:sz w:val="15"/>
              </w:rPr>
            </w:pPr>
            <w:r>
              <w:rPr>
                <w:color w:val="231F20"/>
                <w:spacing w:val="-10"/>
                <w:w w:val="135"/>
                <w:sz w:val="15"/>
              </w:rPr>
              <w:t>–</w:t>
            </w:r>
          </w:p>
        </w:tc>
      </w:tr>
      <w:tr>
        <w:trPr>
          <w:trHeight w:val="174" w:hRule="exact"/>
        </w:trPr>
        <w:tc>
          <w:tcPr>
            <w:tcW w:w="1660" w:type="dxa"/>
            <w:gridSpan w:val="2"/>
            <w:shd w:val="clear" w:color="auto" w:fill="E8F5F1"/>
          </w:tcPr>
          <w:p>
            <w:pPr>
              <w:pStyle w:val="TableParagraph"/>
              <w:spacing w:line="155" w:lineRule="exact"/>
              <w:ind w:left="153"/>
              <w:rPr>
                <w:sz w:val="15"/>
              </w:rPr>
            </w:pPr>
            <w:r>
              <w:rPr>
                <w:color w:val="231F20"/>
                <w:sz w:val="15"/>
              </w:rPr>
              <w:t>Increased</w:t>
            </w:r>
            <w:r>
              <w:rPr>
                <w:color w:val="231F20"/>
                <w:spacing w:val="-6"/>
                <w:sz w:val="15"/>
              </w:rPr>
              <w:t> </w:t>
            </w:r>
            <w:r>
              <w:rPr>
                <w:color w:val="231F20"/>
                <w:spacing w:val="-4"/>
                <w:sz w:val="15"/>
              </w:rPr>
              <w:t>skin</w:t>
            </w:r>
          </w:p>
        </w:tc>
        <w:tc>
          <w:tcPr>
            <w:tcW w:w="1473" w:type="dxa"/>
            <w:shd w:val="clear" w:color="auto" w:fill="E8F5F1"/>
          </w:tcPr>
          <w:p>
            <w:pPr>
              <w:pStyle w:val="TableParagraph"/>
              <w:spacing w:line="155" w:lineRule="exact"/>
              <w:ind w:left="132"/>
              <w:rPr>
                <w:rFonts w:ascii="Cambria" w:hAnsi="Cambria"/>
                <w:sz w:val="15"/>
              </w:rPr>
            </w:pPr>
            <w:r>
              <w:rPr>
                <w:rFonts w:ascii="Cambria" w:hAnsi="Cambria"/>
                <w:color w:val="231F20"/>
                <w:spacing w:val="-10"/>
                <w:sz w:val="15"/>
              </w:rPr>
              <w:t>±</w:t>
            </w:r>
          </w:p>
        </w:tc>
        <w:tc>
          <w:tcPr>
            <w:tcW w:w="1641" w:type="dxa"/>
            <w:shd w:val="clear" w:color="auto" w:fill="E8F5F1"/>
          </w:tcPr>
          <w:p>
            <w:pPr>
              <w:pStyle w:val="TableParagraph"/>
              <w:spacing w:line="154" w:lineRule="exact"/>
              <w:ind w:left="131"/>
              <w:rPr>
                <w:sz w:val="15"/>
              </w:rPr>
            </w:pPr>
            <w:r>
              <w:rPr>
                <w:color w:val="231F20"/>
                <w:spacing w:val="-10"/>
                <w:w w:val="135"/>
                <w:sz w:val="15"/>
              </w:rPr>
              <w:t>–</w:t>
            </w:r>
          </w:p>
        </w:tc>
        <w:tc>
          <w:tcPr>
            <w:tcW w:w="1543" w:type="dxa"/>
            <w:shd w:val="clear" w:color="auto" w:fill="E8F5F1"/>
          </w:tcPr>
          <w:p>
            <w:pPr>
              <w:pStyle w:val="TableParagraph"/>
              <w:spacing w:line="154" w:lineRule="exact"/>
              <w:ind w:left="130"/>
              <w:rPr>
                <w:sz w:val="15"/>
              </w:rPr>
            </w:pPr>
            <w:r>
              <w:rPr>
                <w:color w:val="231F20"/>
                <w:spacing w:val="-10"/>
                <w:w w:val="135"/>
                <w:sz w:val="15"/>
              </w:rPr>
              <w:t>–</w:t>
            </w:r>
          </w:p>
        </w:tc>
        <w:tc>
          <w:tcPr>
            <w:tcW w:w="2026" w:type="dxa"/>
            <w:shd w:val="clear" w:color="auto" w:fill="E8F5F1"/>
          </w:tcPr>
          <w:p>
            <w:pPr>
              <w:pStyle w:val="TableParagraph"/>
              <w:spacing w:line="154" w:lineRule="exact"/>
              <w:ind w:left="133"/>
              <w:rPr>
                <w:sz w:val="15"/>
              </w:rPr>
            </w:pPr>
            <w:r>
              <w:rPr>
                <w:color w:val="231F20"/>
                <w:spacing w:val="-10"/>
                <w:w w:val="135"/>
                <w:sz w:val="15"/>
              </w:rPr>
              <w:t>–</w:t>
            </w:r>
          </w:p>
        </w:tc>
        <w:tc>
          <w:tcPr>
            <w:tcW w:w="1472" w:type="dxa"/>
            <w:shd w:val="clear" w:color="auto" w:fill="E8F5F1"/>
          </w:tcPr>
          <w:p>
            <w:pPr>
              <w:pStyle w:val="TableParagraph"/>
              <w:spacing w:line="155" w:lineRule="exact"/>
              <w:ind w:left="129"/>
              <w:rPr>
                <w:sz w:val="15"/>
              </w:rPr>
            </w:pPr>
            <w:r>
              <w:rPr>
                <w:color w:val="231F20"/>
                <w:spacing w:val="-10"/>
                <w:w w:val="135"/>
                <w:sz w:val="15"/>
              </w:rPr>
              <w:t>–</w:t>
            </w:r>
          </w:p>
        </w:tc>
      </w:tr>
      <w:tr>
        <w:trPr>
          <w:trHeight w:val="158" w:hRule="exact"/>
        </w:trPr>
        <w:tc>
          <w:tcPr>
            <w:tcW w:w="1660" w:type="dxa"/>
            <w:gridSpan w:val="2"/>
            <w:shd w:val="clear" w:color="auto" w:fill="E8F5F1"/>
          </w:tcPr>
          <w:p>
            <w:pPr>
              <w:pStyle w:val="TableParagraph"/>
              <w:spacing w:line="139" w:lineRule="exact"/>
              <w:ind w:left="265"/>
              <w:rPr>
                <w:sz w:val="15"/>
              </w:rPr>
            </w:pPr>
            <w:r>
              <w:rPr>
                <w:color w:val="231F20"/>
                <w:spacing w:val="-2"/>
                <w:sz w:val="15"/>
              </w:rPr>
              <w:t>pigmentation</w:t>
            </w:r>
          </w:p>
        </w:tc>
        <w:tc>
          <w:tcPr>
            <w:tcW w:w="1473" w:type="dxa"/>
            <w:shd w:val="clear" w:color="auto" w:fill="E8F5F1"/>
          </w:tcPr>
          <w:p>
            <w:pPr>
              <w:pStyle w:val="TableParagraph"/>
              <w:rPr>
                <w:rFonts w:ascii="Times New Roman"/>
                <w:sz w:val="10"/>
              </w:rPr>
            </w:pPr>
          </w:p>
        </w:tc>
        <w:tc>
          <w:tcPr>
            <w:tcW w:w="1641" w:type="dxa"/>
            <w:shd w:val="clear" w:color="auto" w:fill="E8F5F1"/>
          </w:tcPr>
          <w:p>
            <w:pPr>
              <w:pStyle w:val="TableParagraph"/>
              <w:rPr>
                <w:rFonts w:ascii="Times New Roman"/>
                <w:sz w:val="10"/>
              </w:rPr>
            </w:pPr>
          </w:p>
        </w:tc>
        <w:tc>
          <w:tcPr>
            <w:tcW w:w="1543" w:type="dxa"/>
            <w:shd w:val="clear" w:color="auto" w:fill="E8F5F1"/>
          </w:tcPr>
          <w:p>
            <w:pPr>
              <w:pStyle w:val="TableParagraph"/>
              <w:rPr>
                <w:rFonts w:ascii="Times New Roman"/>
                <w:sz w:val="10"/>
              </w:rPr>
            </w:pPr>
          </w:p>
        </w:tc>
        <w:tc>
          <w:tcPr>
            <w:tcW w:w="2026" w:type="dxa"/>
            <w:shd w:val="clear" w:color="auto" w:fill="E8F5F1"/>
          </w:tcPr>
          <w:p>
            <w:pPr>
              <w:pStyle w:val="TableParagraph"/>
              <w:rPr>
                <w:rFonts w:ascii="Times New Roman"/>
                <w:sz w:val="10"/>
              </w:rPr>
            </w:pPr>
          </w:p>
        </w:tc>
        <w:tc>
          <w:tcPr>
            <w:tcW w:w="1472" w:type="dxa"/>
            <w:shd w:val="clear" w:color="auto" w:fill="E8F5F1"/>
          </w:tcPr>
          <w:p>
            <w:pPr>
              <w:pStyle w:val="TableParagraph"/>
              <w:rPr>
                <w:rFonts w:ascii="Times New Roman"/>
                <w:sz w:val="10"/>
              </w:rPr>
            </w:pPr>
          </w:p>
        </w:tc>
      </w:tr>
      <w:tr>
        <w:trPr>
          <w:trHeight w:val="179" w:hRule="exact"/>
        </w:trPr>
        <w:tc>
          <w:tcPr>
            <w:tcW w:w="1660" w:type="dxa"/>
            <w:gridSpan w:val="2"/>
            <w:shd w:val="clear" w:color="auto" w:fill="E8F5F1"/>
          </w:tcPr>
          <w:p>
            <w:pPr>
              <w:pStyle w:val="TableParagraph"/>
              <w:spacing w:line="159" w:lineRule="exact"/>
              <w:ind w:left="153"/>
              <w:rPr>
                <w:sz w:val="15"/>
              </w:rPr>
            </w:pPr>
            <w:r>
              <w:rPr>
                <w:color w:val="231F20"/>
                <w:sz w:val="15"/>
              </w:rPr>
              <w:t>Sick</w:t>
            </w:r>
            <w:r>
              <w:rPr>
                <w:color w:val="231F20"/>
                <w:spacing w:val="-2"/>
                <w:sz w:val="15"/>
              </w:rPr>
              <w:t> </w:t>
            </w:r>
            <w:r>
              <w:rPr>
                <w:color w:val="231F20"/>
                <w:spacing w:val="-4"/>
                <w:sz w:val="15"/>
              </w:rPr>
              <w:t>baby</w:t>
            </w:r>
          </w:p>
        </w:tc>
        <w:tc>
          <w:tcPr>
            <w:tcW w:w="1473" w:type="dxa"/>
            <w:shd w:val="clear" w:color="auto" w:fill="E8F5F1"/>
          </w:tcPr>
          <w:p>
            <w:pPr>
              <w:pStyle w:val="TableParagraph"/>
              <w:spacing w:line="158" w:lineRule="exact"/>
              <w:ind w:left="132"/>
              <w:rPr>
                <w:rFonts w:ascii="Cambria" w:hAnsi="Cambria"/>
                <w:sz w:val="15"/>
              </w:rPr>
            </w:pPr>
            <w:r>
              <w:rPr>
                <w:rFonts w:ascii="Cambria" w:hAnsi="Cambria"/>
                <w:color w:val="231F20"/>
                <w:spacing w:val="-10"/>
                <w:sz w:val="15"/>
              </w:rPr>
              <w:t>±</w:t>
            </w:r>
          </w:p>
        </w:tc>
        <w:tc>
          <w:tcPr>
            <w:tcW w:w="1641" w:type="dxa"/>
            <w:shd w:val="clear" w:color="auto" w:fill="E8F5F1"/>
          </w:tcPr>
          <w:p>
            <w:pPr>
              <w:pStyle w:val="TableParagraph"/>
              <w:spacing w:line="158" w:lineRule="exact"/>
              <w:ind w:left="131"/>
              <w:rPr>
                <w:sz w:val="15"/>
              </w:rPr>
            </w:pPr>
            <w:r>
              <w:rPr>
                <w:color w:val="231F20"/>
                <w:spacing w:val="-10"/>
                <w:w w:val="135"/>
                <w:sz w:val="15"/>
              </w:rPr>
              <w:t>–</w:t>
            </w:r>
          </w:p>
        </w:tc>
        <w:tc>
          <w:tcPr>
            <w:tcW w:w="1543" w:type="dxa"/>
            <w:shd w:val="clear" w:color="auto" w:fill="E8F5F1"/>
          </w:tcPr>
          <w:p>
            <w:pPr>
              <w:pStyle w:val="TableParagraph"/>
              <w:spacing w:line="158" w:lineRule="exact"/>
              <w:ind w:left="130"/>
              <w:rPr>
                <w:sz w:val="15"/>
              </w:rPr>
            </w:pPr>
            <w:r>
              <w:rPr>
                <w:color w:val="231F20"/>
                <w:spacing w:val="-10"/>
                <w:w w:val="135"/>
                <w:sz w:val="15"/>
              </w:rPr>
              <w:t>–</w:t>
            </w:r>
          </w:p>
        </w:tc>
        <w:tc>
          <w:tcPr>
            <w:tcW w:w="2026" w:type="dxa"/>
            <w:shd w:val="clear" w:color="auto" w:fill="E8F5F1"/>
          </w:tcPr>
          <w:p>
            <w:pPr>
              <w:pStyle w:val="TableParagraph"/>
              <w:spacing w:line="158" w:lineRule="exact"/>
              <w:ind w:left="134"/>
              <w:rPr>
                <w:sz w:val="15"/>
              </w:rPr>
            </w:pPr>
            <w:r>
              <w:rPr>
                <w:color w:val="231F20"/>
                <w:spacing w:val="-10"/>
                <w:w w:val="135"/>
                <w:sz w:val="15"/>
              </w:rPr>
              <w:t>–</w:t>
            </w:r>
          </w:p>
        </w:tc>
        <w:tc>
          <w:tcPr>
            <w:tcW w:w="1472" w:type="dxa"/>
            <w:shd w:val="clear" w:color="auto" w:fill="E8F5F1"/>
          </w:tcPr>
          <w:p>
            <w:pPr>
              <w:pStyle w:val="TableParagraph"/>
              <w:spacing w:line="158" w:lineRule="exact"/>
              <w:ind w:left="130"/>
              <w:rPr>
                <w:rFonts w:ascii="Cambria" w:hAnsi="Cambria"/>
                <w:sz w:val="15"/>
              </w:rPr>
            </w:pPr>
            <w:r>
              <w:rPr>
                <w:rFonts w:ascii="Cambria" w:hAnsi="Cambria"/>
                <w:color w:val="231F20"/>
                <w:spacing w:val="-10"/>
                <w:sz w:val="15"/>
              </w:rPr>
              <w:t>±</w:t>
            </w:r>
          </w:p>
        </w:tc>
      </w:tr>
      <w:tr>
        <w:trPr>
          <w:trHeight w:val="210" w:hRule="exact"/>
        </w:trPr>
        <w:tc>
          <w:tcPr>
            <w:tcW w:w="1660" w:type="dxa"/>
            <w:gridSpan w:val="2"/>
            <w:tcBorders>
              <w:bottom w:val="single" w:sz="4" w:space="0" w:color="FFFFFF"/>
            </w:tcBorders>
            <w:shd w:val="clear" w:color="auto" w:fill="E8F5F1"/>
          </w:tcPr>
          <w:p>
            <w:pPr>
              <w:pStyle w:val="TableParagraph"/>
              <w:spacing w:line="167" w:lineRule="exact"/>
              <w:ind w:left="153"/>
              <w:rPr>
                <w:sz w:val="15"/>
              </w:rPr>
            </w:pPr>
            <w:r>
              <w:rPr>
                <w:color w:val="231F20"/>
                <w:sz w:val="15"/>
              </w:rPr>
              <w:t>Dysmorphic</w:t>
            </w:r>
            <w:r>
              <w:rPr>
                <w:color w:val="231F20"/>
                <w:spacing w:val="16"/>
                <w:sz w:val="15"/>
              </w:rPr>
              <w:t> </w:t>
            </w:r>
            <w:r>
              <w:rPr>
                <w:color w:val="231F20"/>
                <w:spacing w:val="-2"/>
                <w:sz w:val="15"/>
              </w:rPr>
              <w:t>features</w:t>
            </w:r>
          </w:p>
        </w:tc>
        <w:tc>
          <w:tcPr>
            <w:tcW w:w="1473" w:type="dxa"/>
            <w:tcBorders>
              <w:bottom w:val="single" w:sz="4" w:space="0" w:color="FFFFFF"/>
            </w:tcBorders>
            <w:shd w:val="clear" w:color="auto" w:fill="E8F5F1"/>
          </w:tcPr>
          <w:p>
            <w:pPr>
              <w:pStyle w:val="TableParagraph"/>
              <w:spacing w:line="167" w:lineRule="exact"/>
              <w:ind w:left="132"/>
              <w:rPr>
                <w:sz w:val="15"/>
              </w:rPr>
            </w:pPr>
            <w:r>
              <w:rPr>
                <w:color w:val="231F20"/>
                <w:spacing w:val="-10"/>
                <w:w w:val="135"/>
                <w:sz w:val="15"/>
              </w:rPr>
              <w:t>–</w:t>
            </w:r>
          </w:p>
        </w:tc>
        <w:tc>
          <w:tcPr>
            <w:tcW w:w="1641" w:type="dxa"/>
            <w:tcBorders>
              <w:bottom w:val="single" w:sz="4" w:space="0" w:color="FFFFFF"/>
            </w:tcBorders>
            <w:shd w:val="clear" w:color="auto" w:fill="E8F5F1"/>
          </w:tcPr>
          <w:p>
            <w:pPr>
              <w:pStyle w:val="TableParagraph"/>
              <w:spacing w:line="170" w:lineRule="exact"/>
              <w:ind w:left="132"/>
              <w:rPr>
                <w:rFonts w:ascii="Cambria" w:hAnsi="Cambria"/>
                <w:sz w:val="15"/>
              </w:rPr>
            </w:pPr>
            <w:r>
              <w:rPr>
                <w:rFonts w:ascii="Cambria" w:hAnsi="Cambria"/>
                <w:color w:val="231F20"/>
                <w:spacing w:val="-10"/>
                <w:sz w:val="15"/>
              </w:rPr>
              <w:t>±</w:t>
            </w:r>
          </w:p>
        </w:tc>
        <w:tc>
          <w:tcPr>
            <w:tcW w:w="1543" w:type="dxa"/>
            <w:tcBorders>
              <w:bottom w:val="single" w:sz="4" w:space="0" w:color="FFFFFF"/>
            </w:tcBorders>
            <w:shd w:val="clear" w:color="auto" w:fill="E8F5F1"/>
          </w:tcPr>
          <w:p>
            <w:pPr>
              <w:pStyle w:val="TableParagraph"/>
              <w:spacing w:line="168" w:lineRule="exact"/>
              <w:ind w:left="131"/>
              <w:rPr>
                <w:sz w:val="15"/>
              </w:rPr>
            </w:pPr>
            <w:r>
              <w:rPr>
                <w:color w:val="231F20"/>
                <w:spacing w:val="-10"/>
                <w:w w:val="135"/>
                <w:sz w:val="15"/>
              </w:rPr>
              <w:t>–</w:t>
            </w:r>
          </w:p>
        </w:tc>
        <w:tc>
          <w:tcPr>
            <w:tcW w:w="2026" w:type="dxa"/>
            <w:tcBorders>
              <w:bottom w:val="single" w:sz="4" w:space="0" w:color="FFFFFF"/>
            </w:tcBorders>
            <w:shd w:val="clear" w:color="auto" w:fill="E8F5F1"/>
          </w:tcPr>
          <w:p>
            <w:pPr>
              <w:pStyle w:val="TableParagraph"/>
              <w:spacing w:line="168" w:lineRule="exact"/>
              <w:ind w:left="134"/>
              <w:rPr>
                <w:sz w:val="15"/>
              </w:rPr>
            </w:pPr>
            <w:r>
              <w:rPr>
                <w:color w:val="231F20"/>
                <w:spacing w:val="-10"/>
                <w:w w:val="135"/>
                <w:sz w:val="15"/>
              </w:rPr>
              <w:t>–</w:t>
            </w:r>
          </w:p>
        </w:tc>
        <w:tc>
          <w:tcPr>
            <w:tcW w:w="1472" w:type="dxa"/>
            <w:tcBorders>
              <w:bottom w:val="single" w:sz="4" w:space="0" w:color="FFFFFF"/>
            </w:tcBorders>
            <w:shd w:val="clear" w:color="auto" w:fill="E8F5F1"/>
          </w:tcPr>
          <w:p>
            <w:pPr>
              <w:pStyle w:val="TableParagraph"/>
              <w:spacing w:line="167" w:lineRule="exact"/>
              <w:ind w:left="130"/>
              <w:rPr>
                <w:sz w:val="15"/>
              </w:rPr>
            </w:pPr>
            <w:r>
              <w:rPr>
                <w:color w:val="231F20"/>
                <w:spacing w:val="-10"/>
                <w:w w:val="135"/>
                <w:sz w:val="15"/>
              </w:rPr>
              <w:t>–</w:t>
            </w:r>
          </w:p>
        </w:tc>
      </w:tr>
      <w:tr>
        <w:trPr>
          <w:trHeight w:val="2292" w:hRule="exact"/>
        </w:trPr>
        <w:tc>
          <w:tcPr>
            <w:tcW w:w="3133" w:type="dxa"/>
            <w:gridSpan w:val="3"/>
            <w:tcBorders>
              <w:top w:val="single" w:sz="4" w:space="0" w:color="FFFFFF"/>
              <w:bottom w:val="single" w:sz="8" w:space="0" w:color="231F20"/>
            </w:tcBorders>
            <w:shd w:val="clear" w:color="auto" w:fill="E8F5F1"/>
          </w:tcPr>
          <w:p>
            <w:pPr>
              <w:pStyle w:val="TableParagraph"/>
              <w:spacing w:line="172" w:lineRule="exact" w:before="43"/>
              <w:ind w:left="152"/>
              <w:rPr>
                <w:sz w:val="15"/>
              </w:rPr>
            </w:pPr>
            <w:r>
              <w:rPr>
                <w:color w:val="231F20"/>
                <w:w w:val="115"/>
                <w:sz w:val="15"/>
              </w:rPr>
              <w:t>DIAGNOSTIC</w:t>
            </w:r>
            <w:r>
              <w:rPr>
                <w:color w:val="231F20"/>
                <w:spacing w:val="-11"/>
                <w:w w:val="115"/>
                <w:sz w:val="15"/>
              </w:rPr>
              <w:t> </w:t>
            </w:r>
            <w:r>
              <w:rPr>
                <w:color w:val="231F20"/>
                <w:spacing w:val="-2"/>
                <w:w w:val="115"/>
                <w:sz w:val="15"/>
              </w:rPr>
              <w:t>CONSIDERATIONS</w:t>
            </w:r>
          </w:p>
          <w:p>
            <w:pPr>
              <w:pStyle w:val="TableParagraph"/>
              <w:tabs>
                <w:tab w:pos="1792" w:val="left" w:leader="none"/>
              </w:tabs>
              <w:spacing w:line="169" w:lineRule="exact"/>
              <w:ind w:left="152"/>
              <w:rPr>
                <w:sz w:val="15"/>
              </w:rPr>
            </w:pPr>
            <w:r>
              <w:rPr>
                <w:color w:val="231F20"/>
                <w:sz w:val="15"/>
              </w:rPr>
              <w:t>Serum</w:t>
            </w:r>
            <w:r>
              <w:rPr>
                <w:color w:val="231F20"/>
                <w:spacing w:val="15"/>
                <w:sz w:val="15"/>
              </w:rPr>
              <w:t> </w:t>
            </w:r>
            <w:r>
              <w:rPr>
                <w:color w:val="231F20"/>
                <w:sz w:val="15"/>
              </w:rPr>
              <w:t>17-</w:t>
            </w:r>
            <w:r>
              <w:rPr>
                <w:color w:val="231F20"/>
                <w:spacing w:val="-5"/>
                <w:sz w:val="15"/>
              </w:rPr>
              <w:t>OHP</w:t>
            </w:r>
            <w:r>
              <w:rPr>
                <w:color w:val="231F20"/>
                <w:sz w:val="15"/>
              </w:rPr>
              <w:tab/>
            </w:r>
            <w:r>
              <w:rPr>
                <w:color w:val="231F20"/>
                <w:spacing w:val="-2"/>
                <w:sz w:val="15"/>
              </w:rPr>
              <w:t>Elevated</w:t>
            </w:r>
          </w:p>
          <w:p>
            <w:pPr>
              <w:pStyle w:val="TableParagraph"/>
              <w:tabs>
                <w:tab w:pos="1793" w:val="left" w:leader="none"/>
              </w:tabs>
              <w:spacing w:line="169" w:lineRule="exact"/>
              <w:ind w:left="152"/>
              <w:rPr>
                <w:sz w:val="15"/>
              </w:rPr>
            </w:pPr>
            <w:r>
              <w:rPr>
                <w:color w:val="231F20"/>
                <w:spacing w:val="-2"/>
                <w:sz w:val="15"/>
              </w:rPr>
              <w:t>Electrolytes</w:t>
            </w:r>
            <w:r>
              <w:rPr>
                <w:color w:val="231F20"/>
                <w:sz w:val="15"/>
              </w:rPr>
              <w:tab/>
              <w:t>Possibly</w:t>
            </w:r>
            <w:r>
              <w:rPr>
                <w:color w:val="231F20"/>
                <w:spacing w:val="1"/>
                <w:sz w:val="15"/>
              </w:rPr>
              <w:t> </w:t>
            </w:r>
            <w:r>
              <w:rPr>
                <w:color w:val="231F20"/>
                <w:spacing w:val="-2"/>
                <w:sz w:val="15"/>
              </w:rPr>
              <w:t>abnormal</w:t>
            </w:r>
          </w:p>
          <w:p>
            <w:pPr>
              <w:pStyle w:val="TableParagraph"/>
              <w:tabs>
                <w:tab w:pos="1793" w:val="left" w:leader="none"/>
              </w:tabs>
              <w:spacing w:line="169" w:lineRule="exact"/>
              <w:ind w:left="153"/>
              <w:rPr>
                <w:sz w:val="15"/>
              </w:rPr>
            </w:pPr>
            <w:r>
              <w:rPr>
                <w:color w:val="231F20"/>
                <w:spacing w:val="-2"/>
                <w:sz w:val="15"/>
              </w:rPr>
              <w:t>Karyotype</w:t>
            </w:r>
            <w:r>
              <w:rPr>
                <w:color w:val="231F20"/>
                <w:sz w:val="15"/>
              </w:rPr>
              <w:tab/>
            </w:r>
            <w:r>
              <w:rPr>
                <w:color w:val="231F20"/>
                <w:spacing w:val="-2"/>
                <w:sz w:val="15"/>
              </w:rPr>
              <w:t>46,XX</w:t>
            </w:r>
          </w:p>
          <w:p>
            <w:pPr>
              <w:pStyle w:val="TableParagraph"/>
              <w:tabs>
                <w:tab w:pos="1793" w:val="left" w:leader="none"/>
              </w:tabs>
              <w:spacing w:line="230" w:lineRule="auto" w:before="3"/>
              <w:ind w:left="265" w:right="1120" w:hanging="112"/>
              <w:rPr>
                <w:sz w:val="15"/>
              </w:rPr>
            </w:pPr>
            <w:r>
              <w:rPr>
                <w:color w:val="231F20"/>
                <w:spacing w:val="-2"/>
                <w:w w:val="105"/>
                <w:sz w:val="15"/>
              </w:rPr>
              <w:t>Testosterone</w:t>
            </w:r>
            <w:r>
              <w:rPr>
                <w:color w:val="231F20"/>
                <w:sz w:val="15"/>
              </w:rPr>
              <w:tab/>
            </w:r>
            <w:r>
              <w:rPr>
                <w:color w:val="231F20"/>
                <w:spacing w:val="-6"/>
                <w:w w:val="105"/>
                <w:sz w:val="15"/>
              </w:rPr>
              <w:t>NA </w:t>
            </w:r>
            <w:r>
              <w:rPr>
                <w:color w:val="231F20"/>
                <w:w w:val="105"/>
                <w:sz w:val="15"/>
              </w:rPr>
              <w:t>response to hCG</w:t>
            </w:r>
          </w:p>
          <w:p>
            <w:pPr>
              <w:pStyle w:val="TableParagraph"/>
              <w:tabs>
                <w:tab w:pos="1794" w:val="left" w:leader="none"/>
              </w:tabs>
              <w:spacing w:line="468" w:lineRule="auto"/>
              <w:ind w:left="153" w:right="1120" w:hanging="1"/>
              <w:rPr>
                <w:sz w:val="15"/>
              </w:rPr>
            </w:pPr>
            <w:r>
              <w:rPr>
                <w:color w:val="231F20"/>
                <w:w w:val="105"/>
                <w:sz w:val="15"/>
              </w:rPr>
              <w:t>Gonadal biopsy</w:t>
            </w:r>
            <w:r>
              <w:rPr>
                <w:color w:val="231F20"/>
                <w:sz w:val="15"/>
              </w:rPr>
              <w:tab/>
            </w:r>
            <w:r>
              <w:rPr>
                <w:color w:val="231F20"/>
                <w:spacing w:val="-6"/>
                <w:w w:val="105"/>
                <w:sz w:val="15"/>
              </w:rPr>
              <w:t>NA </w:t>
            </w:r>
            <w:r>
              <w:rPr>
                <w:color w:val="231F20"/>
                <w:w w:val="105"/>
                <w:sz w:val="15"/>
              </w:rPr>
              <w:t>Other testing</w:t>
            </w:r>
          </w:p>
        </w:tc>
        <w:tc>
          <w:tcPr>
            <w:tcW w:w="1641" w:type="dxa"/>
            <w:tcBorders>
              <w:top w:val="single" w:sz="4" w:space="0" w:color="FFFFFF"/>
              <w:bottom w:val="single" w:sz="8" w:space="0" w:color="231F20"/>
            </w:tcBorders>
            <w:shd w:val="clear" w:color="auto" w:fill="E8F5F1"/>
          </w:tcPr>
          <w:p>
            <w:pPr>
              <w:pStyle w:val="TableParagraph"/>
              <w:spacing w:before="44"/>
              <w:rPr>
                <w:rFonts w:ascii="Times New Roman"/>
                <w:sz w:val="15"/>
              </w:rPr>
            </w:pPr>
          </w:p>
          <w:p>
            <w:pPr>
              <w:pStyle w:val="TableParagraph"/>
              <w:spacing w:line="232" w:lineRule="auto"/>
              <w:ind w:left="131" w:right="892" w:hanging="1"/>
              <w:rPr>
                <w:sz w:val="15"/>
              </w:rPr>
            </w:pPr>
            <w:r>
              <w:rPr>
                <w:color w:val="231F20"/>
                <w:spacing w:val="-2"/>
                <w:sz w:val="15"/>
              </w:rPr>
              <w:t>Normal Normal</w:t>
            </w:r>
          </w:p>
          <w:p>
            <w:pPr>
              <w:pStyle w:val="TableParagraph"/>
              <w:spacing w:line="232" w:lineRule="auto" w:before="1"/>
              <w:ind w:left="131" w:right="138" w:hanging="1"/>
              <w:rPr>
                <w:sz w:val="15"/>
              </w:rPr>
            </w:pPr>
            <w:r>
              <w:rPr>
                <w:color w:val="231F20"/>
                <w:spacing w:val="-2"/>
                <w:sz w:val="15"/>
              </w:rPr>
              <w:t>45,X/46,XY</w:t>
            </w:r>
            <w:r>
              <w:rPr>
                <w:color w:val="231F20"/>
                <w:spacing w:val="-10"/>
                <w:sz w:val="15"/>
              </w:rPr>
              <w:t> </w:t>
            </w:r>
            <w:r>
              <w:rPr>
                <w:color w:val="231F20"/>
                <w:spacing w:val="-2"/>
                <w:sz w:val="15"/>
              </w:rPr>
              <w:t>or</w:t>
            </w:r>
            <w:r>
              <w:rPr>
                <w:color w:val="231F20"/>
                <w:spacing w:val="-9"/>
                <w:sz w:val="15"/>
              </w:rPr>
              <w:t> </w:t>
            </w:r>
            <w:r>
              <w:rPr>
                <w:color w:val="231F20"/>
                <w:spacing w:val="-2"/>
                <w:sz w:val="15"/>
              </w:rPr>
              <w:t>others Positive</w:t>
            </w:r>
          </w:p>
          <w:p>
            <w:pPr>
              <w:pStyle w:val="TableParagraph"/>
              <w:spacing w:before="165"/>
              <w:ind w:left="132"/>
              <w:rPr>
                <w:sz w:val="15"/>
              </w:rPr>
            </w:pPr>
            <w:r>
              <w:rPr>
                <w:color w:val="231F20"/>
                <w:sz w:val="15"/>
              </w:rPr>
              <w:t>Dysgenetic</w:t>
            </w:r>
            <w:r>
              <w:rPr>
                <w:color w:val="231F20"/>
                <w:spacing w:val="15"/>
                <w:sz w:val="15"/>
              </w:rPr>
              <w:t> </w:t>
            </w:r>
            <w:r>
              <w:rPr>
                <w:color w:val="231F20"/>
                <w:spacing w:val="-2"/>
                <w:sz w:val="15"/>
              </w:rPr>
              <w:t>gonad</w:t>
            </w:r>
          </w:p>
        </w:tc>
        <w:tc>
          <w:tcPr>
            <w:tcW w:w="1543" w:type="dxa"/>
            <w:tcBorders>
              <w:top w:val="single" w:sz="4" w:space="0" w:color="FFFFFF"/>
              <w:bottom w:val="single" w:sz="8" w:space="0" w:color="231F20"/>
            </w:tcBorders>
            <w:shd w:val="clear" w:color="auto" w:fill="E8F5F1"/>
          </w:tcPr>
          <w:p>
            <w:pPr>
              <w:pStyle w:val="TableParagraph"/>
              <w:spacing w:before="44"/>
              <w:rPr>
                <w:rFonts w:ascii="Times New Roman"/>
                <w:sz w:val="15"/>
              </w:rPr>
            </w:pPr>
          </w:p>
          <w:p>
            <w:pPr>
              <w:pStyle w:val="TableParagraph"/>
              <w:spacing w:line="232" w:lineRule="auto"/>
              <w:ind w:left="130" w:right="916" w:hanging="1"/>
              <w:jc w:val="both"/>
              <w:rPr>
                <w:sz w:val="15"/>
              </w:rPr>
            </w:pPr>
            <w:r>
              <w:rPr>
                <w:color w:val="231F20"/>
                <w:spacing w:val="-2"/>
                <w:sz w:val="15"/>
              </w:rPr>
              <w:t>Normal Normal 46,XX</w:t>
            </w:r>
          </w:p>
          <w:p>
            <w:pPr>
              <w:pStyle w:val="TableParagraph"/>
              <w:spacing w:line="465" w:lineRule="auto"/>
              <w:ind w:left="131" w:hanging="1"/>
              <w:rPr>
                <w:sz w:val="15"/>
              </w:rPr>
            </w:pPr>
            <w:r>
              <w:rPr>
                <w:color w:val="231F20"/>
                <w:sz w:val="15"/>
              </w:rPr>
              <w:t>Normal</w:t>
            </w:r>
            <w:r>
              <w:rPr>
                <w:color w:val="231F20"/>
                <w:spacing w:val="-8"/>
                <w:sz w:val="15"/>
              </w:rPr>
              <w:t> </w:t>
            </w:r>
            <w:r>
              <w:rPr>
                <w:color w:val="231F20"/>
                <w:sz w:val="15"/>
              </w:rPr>
              <w:t>or</w:t>
            </w:r>
            <w:r>
              <w:rPr>
                <w:color w:val="231F20"/>
                <w:spacing w:val="-8"/>
                <w:sz w:val="15"/>
              </w:rPr>
              <w:t> </w:t>
            </w:r>
            <w:r>
              <w:rPr>
                <w:color w:val="231F20"/>
                <w:sz w:val="15"/>
              </w:rPr>
              <w:t>reduced </w:t>
            </w:r>
            <w:r>
              <w:rPr>
                <w:color w:val="231F20"/>
                <w:spacing w:val="-2"/>
                <w:sz w:val="15"/>
              </w:rPr>
              <w:t>Ovotestis</w:t>
            </w:r>
          </w:p>
        </w:tc>
        <w:tc>
          <w:tcPr>
            <w:tcW w:w="2026" w:type="dxa"/>
            <w:tcBorders>
              <w:top w:val="single" w:sz="4" w:space="0" w:color="FFFFFF"/>
              <w:bottom w:val="single" w:sz="8" w:space="0" w:color="231F20"/>
            </w:tcBorders>
            <w:shd w:val="clear" w:color="auto" w:fill="E8F5F1"/>
          </w:tcPr>
          <w:p>
            <w:pPr>
              <w:pStyle w:val="TableParagraph"/>
              <w:spacing w:before="44"/>
              <w:rPr>
                <w:rFonts w:ascii="Times New Roman"/>
                <w:sz w:val="15"/>
              </w:rPr>
            </w:pPr>
          </w:p>
          <w:p>
            <w:pPr>
              <w:pStyle w:val="TableParagraph"/>
              <w:spacing w:line="232" w:lineRule="auto"/>
              <w:ind w:left="133" w:right="1395" w:hanging="1"/>
              <w:jc w:val="both"/>
              <w:rPr>
                <w:sz w:val="15"/>
              </w:rPr>
            </w:pPr>
            <w:r>
              <w:rPr>
                <w:color w:val="231F20"/>
                <w:spacing w:val="-2"/>
                <w:sz w:val="15"/>
              </w:rPr>
              <w:t>Normal Normal 46,XY</w:t>
            </w:r>
          </w:p>
          <w:p>
            <w:pPr>
              <w:pStyle w:val="TableParagraph"/>
              <w:spacing w:line="171" w:lineRule="exact"/>
              <w:ind w:left="134"/>
              <w:rPr>
                <w:sz w:val="15"/>
              </w:rPr>
            </w:pPr>
            <w:r>
              <w:rPr>
                <w:color w:val="231F20"/>
                <w:spacing w:val="-2"/>
                <w:sz w:val="15"/>
              </w:rPr>
              <w:t>Positive</w:t>
            </w:r>
            <w:r>
              <w:rPr>
                <w:color w:val="231F20"/>
                <w:spacing w:val="1"/>
                <w:sz w:val="15"/>
              </w:rPr>
              <w:t> </w:t>
            </w:r>
            <w:r>
              <w:rPr>
                <w:color w:val="231F20"/>
                <w:spacing w:val="-2"/>
                <w:sz w:val="15"/>
              </w:rPr>
              <w:t>response</w:t>
            </w:r>
          </w:p>
          <w:p>
            <w:pPr>
              <w:pStyle w:val="TableParagraph"/>
              <w:spacing w:line="170" w:lineRule="exact" w:before="163"/>
              <w:ind w:left="134"/>
              <w:rPr>
                <w:sz w:val="15"/>
              </w:rPr>
            </w:pPr>
            <w:r>
              <w:rPr>
                <w:color w:val="231F20"/>
                <w:sz w:val="15"/>
              </w:rPr>
              <w:t>Normal</w:t>
            </w:r>
            <w:r>
              <w:rPr>
                <w:color w:val="231F20"/>
                <w:spacing w:val="-6"/>
                <w:sz w:val="15"/>
              </w:rPr>
              <w:t> </w:t>
            </w:r>
            <w:r>
              <w:rPr>
                <w:color w:val="231F20"/>
                <w:sz w:val="15"/>
              </w:rPr>
              <w:t>testis</w:t>
            </w:r>
            <w:r>
              <w:rPr>
                <w:color w:val="231F20"/>
                <w:spacing w:val="-5"/>
                <w:sz w:val="15"/>
              </w:rPr>
              <w:t> </w:t>
            </w:r>
            <w:r>
              <w:rPr>
                <w:color w:val="231F20"/>
                <w:spacing w:val="-4"/>
                <w:sz w:val="15"/>
              </w:rPr>
              <w:t>with</w:t>
            </w:r>
          </w:p>
          <w:p>
            <w:pPr>
              <w:pStyle w:val="TableParagraph"/>
              <w:spacing w:line="235" w:lineRule="auto"/>
              <w:ind w:left="134" w:firstLine="111"/>
              <w:rPr>
                <w:sz w:val="15"/>
              </w:rPr>
            </w:pPr>
            <w:r>
              <w:rPr>
                <w:rFonts w:ascii="Cambria" w:hAnsi="Cambria"/>
                <w:color w:val="231F20"/>
                <w:sz w:val="15"/>
              </w:rPr>
              <w:t>±</w:t>
            </w:r>
            <w:r>
              <w:rPr>
                <w:rFonts w:ascii="Cambria" w:hAnsi="Cambria"/>
                <w:color w:val="231F20"/>
                <w:spacing w:val="-4"/>
                <w:sz w:val="15"/>
              </w:rPr>
              <w:t> </w:t>
            </w:r>
            <w:r>
              <w:rPr>
                <w:color w:val="231F20"/>
                <w:sz w:val="15"/>
              </w:rPr>
              <w:t>Leydig</w:t>
            </w:r>
            <w:r>
              <w:rPr>
                <w:color w:val="231F20"/>
                <w:spacing w:val="-11"/>
                <w:sz w:val="15"/>
              </w:rPr>
              <w:t> </w:t>
            </w:r>
            <w:r>
              <w:rPr>
                <w:color w:val="231F20"/>
                <w:sz w:val="15"/>
              </w:rPr>
              <w:t>cell</w:t>
            </w:r>
            <w:r>
              <w:rPr>
                <w:color w:val="231F20"/>
                <w:spacing w:val="-11"/>
                <w:sz w:val="15"/>
              </w:rPr>
              <w:t> </w:t>
            </w:r>
            <w:r>
              <w:rPr>
                <w:color w:val="231F20"/>
                <w:sz w:val="15"/>
              </w:rPr>
              <w:t>hyperplasia Genital skin fibroblast</w:t>
            </w:r>
          </w:p>
          <w:p>
            <w:pPr>
              <w:pStyle w:val="TableParagraph"/>
              <w:spacing w:line="166" w:lineRule="exact"/>
              <w:ind w:left="246"/>
              <w:rPr>
                <w:sz w:val="15"/>
              </w:rPr>
            </w:pPr>
            <w:r>
              <w:rPr>
                <w:color w:val="231F20"/>
                <w:spacing w:val="-2"/>
                <w:sz w:val="15"/>
              </w:rPr>
              <w:t>culture</w:t>
            </w:r>
          </w:p>
          <w:p>
            <w:pPr>
              <w:pStyle w:val="TableParagraph"/>
              <w:spacing w:line="169" w:lineRule="exact"/>
              <w:ind w:left="134"/>
              <w:rPr>
                <w:sz w:val="15"/>
              </w:rPr>
            </w:pPr>
            <w:r>
              <w:rPr>
                <w:color w:val="231F20"/>
                <w:sz w:val="15"/>
              </w:rPr>
              <w:t>For</w:t>
            </w:r>
            <w:r>
              <w:rPr>
                <w:color w:val="231F20"/>
                <w:spacing w:val="9"/>
                <w:sz w:val="15"/>
              </w:rPr>
              <w:t> </w:t>
            </w:r>
            <w:r>
              <w:rPr>
                <w:color w:val="231F20"/>
                <w:sz w:val="15"/>
              </w:rPr>
              <w:t>AR</w:t>
            </w:r>
            <w:r>
              <w:rPr>
                <w:color w:val="231F20"/>
                <w:spacing w:val="9"/>
                <w:sz w:val="15"/>
              </w:rPr>
              <w:t> </w:t>
            </w:r>
            <w:r>
              <w:rPr>
                <w:color w:val="231F20"/>
                <w:spacing w:val="-2"/>
                <w:sz w:val="15"/>
              </w:rPr>
              <w:t>assay</w:t>
            </w:r>
          </w:p>
          <w:p>
            <w:pPr>
              <w:pStyle w:val="TableParagraph"/>
              <w:spacing w:line="230" w:lineRule="auto" w:before="2"/>
              <w:ind w:left="246" w:right="171" w:hanging="112"/>
              <w:rPr>
                <w:sz w:val="15"/>
              </w:rPr>
            </w:pPr>
            <w:r>
              <w:rPr>
                <w:color w:val="231F20"/>
                <w:w w:val="105"/>
                <w:sz w:val="15"/>
              </w:rPr>
              <w:t>Or</w:t>
            </w:r>
            <w:r>
              <w:rPr>
                <w:color w:val="231F20"/>
                <w:spacing w:val="-8"/>
                <w:w w:val="105"/>
                <w:sz w:val="15"/>
              </w:rPr>
              <w:t> </w:t>
            </w:r>
            <w:r>
              <w:rPr>
                <w:color w:val="231F20"/>
                <w:w w:val="105"/>
                <w:sz w:val="15"/>
              </w:rPr>
              <w:t>DNA</w:t>
            </w:r>
            <w:r>
              <w:rPr>
                <w:color w:val="231F20"/>
                <w:spacing w:val="-8"/>
                <w:w w:val="105"/>
                <w:sz w:val="15"/>
              </w:rPr>
              <w:t> </w:t>
            </w:r>
            <w:r>
              <w:rPr>
                <w:color w:val="231F20"/>
                <w:w w:val="105"/>
                <w:sz w:val="15"/>
              </w:rPr>
              <w:t>screening</w:t>
            </w:r>
            <w:r>
              <w:rPr>
                <w:color w:val="231F20"/>
                <w:spacing w:val="-8"/>
                <w:w w:val="105"/>
                <w:sz w:val="15"/>
              </w:rPr>
              <w:t> </w:t>
            </w:r>
            <w:r>
              <w:rPr>
                <w:color w:val="231F20"/>
                <w:w w:val="105"/>
                <w:sz w:val="15"/>
              </w:rPr>
              <w:t>for</w:t>
            </w:r>
            <w:r>
              <w:rPr>
                <w:color w:val="231F20"/>
                <w:spacing w:val="-8"/>
                <w:w w:val="105"/>
                <w:sz w:val="15"/>
              </w:rPr>
              <w:t> </w:t>
            </w:r>
            <w:r>
              <w:rPr>
                <w:color w:val="231F20"/>
                <w:w w:val="105"/>
                <w:sz w:val="15"/>
              </w:rPr>
              <w:t>AR </w:t>
            </w:r>
            <w:r>
              <w:rPr>
                <w:color w:val="231F20"/>
                <w:sz w:val="15"/>
              </w:rPr>
              <w:t>mutations</w:t>
            </w:r>
            <w:r>
              <w:rPr>
                <w:color w:val="231F20"/>
                <w:spacing w:val="1"/>
                <w:sz w:val="15"/>
              </w:rPr>
              <w:t> </w:t>
            </w:r>
            <w:r>
              <w:rPr>
                <w:color w:val="231F20"/>
                <w:sz w:val="15"/>
              </w:rPr>
              <w:t>in</w:t>
            </w:r>
            <w:r>
              <w:rPr>
                <w:color w:val="231F20"/>
                <w:spacing w:val="2"/>
                <w:sz w:val="15"/>
              </w:rPr>
              <w:t> </w:t>
            </w:r>
            <w:r>
              <w:rPr>
                <w:color w:val="231F20"/>
                <w:sz w:val="15"/>
              </w:rPr>
              <w:t>blood</w:t>
            </w:r>
            <w:r>
              <w:rPr>
                <w:color w:val="231F20"/>
                <w:spacing w:val="2"/>
                <w:sz w:val="15"/>
              </w:rPr>
              <w:t> </w:t>
            </w:r>
            <w:r>
              <w:rPr>
                <w:color w:val="231F20"/>
                <w:spacing w:val="-5"/>
                <w:sz w:val="15"/>
              </w:rPr>
              <w:t>cells</w:t>
            </w:r>
          </w:p>
        </w:tc>
        <w:tc>
          <w:tcPr>
            <w:tcW w:w="1472" w:type="dxa"/>
            <w:tcBorders>
              <w:top w:val="single" w:sz="4" w:space="0" w:color="FFFFFF"/>
              <w:bottom w:val="single" w:sz="8" w:space="0" w:color="231F20"/>
            </w:tcBorders>
            <w:shd w:val="clear" w:color="auto" w:fill="E8F5F1"/>
          </w:tcPr>
          <w:p>
            <w:pPr>
              <w:pStyle w:val="TableParagraph"/>
              <w:spacing w:before="40"/>
              <w:rPr>
                <w:rFonts w:ascii="Times New Roman"/>
                <w:sz w:val="15"/>
              </w:rPr>
            </w:pPr>
          </w:p>
          <w:p>
            <w:pPr>
              <w:pStyle w:val="TableParagraph"/>
              <w:spacing w:line="172" w:lineRule="exact"/>
              <w:ind w:left="129"/>
              <w:rPr>
                <w:sz w:val="15"/>
              </w:rPr>
            </w:pPr>
            <w:r>
              <w:rPr>
                <w:color w:val="231F20"/>
                <w:spacing w:val="-2"/>
                <w:sz w:val="15"/>
              </w:rPr>
              <w:t>Normal</w:t>
            </w:r>
          </w:p>
          <w:p>
            <w:pPr>
              <w:pStyle w:val="TableParagraph"/>
              <w:spacing w:line="232" w:lineRule="auto" w:before="2"/>
              <w:ind w:left="129" w:right="130" w:hanging="1"/>
              <w:rPr>
                <w:sz w:val="15"/>
              </w:rPr>
            </w:pPr>
            <w:r>
              <w:rPr>
                <w:color w:val="231F20"/>
                <w:sz w:val="15"/>
              </w:rPr>
              <w:t>Possibly</w:t>
            </w:r>
            <w:r>
              <w:rPr>
                <w:color w:val="231F20"/>
                <w:spacing w:val="-12"/>
                <w:sz w:val="15"/>
              </w:rPr>
              <w:t> </w:t>
            </w:r>
            <w:r>
              <w:rPr>
                <w:color w:val="231F20"/>
                <w:sz w:val="15"/>
              </w:rPr>
              <w:t>abnormal </w:t>
            </w:r>
            <w:r>
              <w:rPr>
                <w:color w:val="231F20"/>
                <w:spacing w:val="-2"/>
                <w:sz w:val="15"/>
              </w:rPr>
              <w:t>46,XY</w:t>
            </w:r>
          </w:p>
          <w:p>
            <w:pPr>
              <w:pStyle w:val="TableParagraph"/>
              <w:spacing w:line="465" w:lineRule="auto"/>
              <w:ind w:left="130" w:hanging="1"/>
              <w:rPr>
                <w:sz w:val="15"/>
              </w:rPr>
            </w:pPr>
            <w:r>
              <w:rPr>
                <w:color w:val="231F20"/>
                <w:sz w:val="15"/>
              </w:rPr>
              <w:t>Reduced</w:t>
            </w:r>
            <w:r>
              <w:rPr>
                <w:color w:val="231F20"/>
                <w:spacing w:val="-11"/>
                <w:sz w:val="15"/>
              </w:rPr>
              <w:t> </w:t>
            </w:r>
            <w:r>
              <w:rPr>
                <w:color w:val="231F20"/>
                <w:sz w:val="15"/>
              </w:rPr>
              <w:t>or</w:t>
            </w:r>
            <w:r>
              <w:rPr>
                <w:color w:val="231F20"/>
                <w:spacing w:val="-9"/>
                <w:sz w:val="15"/>
              </w:rPr>
              <w:t> </w:t>
            </w:r>
            <w:r>
              <w:rPr>
                <w:color w:val="231F20"/>
                <w:sz w:val="15"/>
              </w:rPr>
              <w:t>absent Normal testis </w:t>
            </w:r>
            <w:r>
              <w:rPr>
                <w:color w:val="231F20"/>
                <w:spacing w:val="-2"/>
                <w:sz w:val="15"/>
              </w:rPr>
              <w:t>Measure</w:t>
            </w:r>
          </w:p>
          <w:p>
            <w:pPr>
              <w:pStyle w:val="TableParagraph"/>
              <w:spacing w:line="232" w:lineRule="auto" w:before="1"/>
              <w:ind w:left="130"/>
              <w:rPr>
                <w:sz w:val="15"/>
              </w:rPr>
            </w:pPr>
            <w:r>
              <w:rPr>
                <w:color w:val="231F20"/>
                <w:spacing w:val="-2"/>
                <w:sz w:val="15"/>
              </w:rPr>
              <w:t>Testosterone Precursors</w:t>
            </w:r>
          </w:p>
        </w:tc>
      </w:tr>
    </w:tbl>
    <w:p>
      <w:pPr>
        <w:pStyle w:val="BodyText"/>
        <w:spacing w:line="150" w:lineRule="exact" w:before="79"/>
        <w:ind w:left="900"/>
      </w:pPr>
      <w:r>
        <w:rPr>
          <w:color w:val="231F20"/>
        </w:rPr>
        <w:t>*As</w:t>
      </w:r>
      <w:r>
        <w:rPr>
          <w:color w:val="231F20"/>
          <w:spacing w:val="1"/>
        </w:rPr>
        <w:t> </w:t>
      </w:r>
      <w:r>
        <w:rPr>
          <w:color w:val="231F20"/>
        </w:rPr>
        <w:t>determined</w:t>
      </w:r>
      <w:r>
        <w:rPr>
          <w:color w:val="231F20"/>
          <w:spacing w:val="2"/>
        </w:rPr>
        <w:t> </w:t>
      </w:r>
      <w:r>
        <w:rPr>
          <w:color w:val="231F20"/>
        </w:rPr>
        <w:t>by</w:t>
      </w:r>
      <w:r>
        <w:rPr>
          <w:color w:val="231F20"/>
          <w:spacing w:val="1"/>
        </w:rPr>
        <w:t> </w:t>
      </w:r>
      <w:r>
        <w:rPr>
          <w:color w:val="231F20"/>
        </w:rPr>
        <w:t>ultrasound</w:t>
      </w:r>
      <w:r>
        <w:rPr>
          <w:color w:val="231F20"/>
          <w:spacing w:val="2"/>
        </w:rPr>
        <w:t> </w:t>
      </w:r>
      <w:r>
        <w:rPr>
          <w:color w:val="231F20"/>
        </w:rPr>
        <w:t>or</w:t>
      </w:r>
      <w:r>
        <w:rPr>
          <w:color w:val="231F20"/>
          <w:spacing w:val="1"/>
        </w:rPr>
        <w:t> </w:t>
      </w:r>
      <w:r>
        <w:rPr>
          <w:color w:val="231F20"/>
        </w:rPr>
        <w:t>rectal</w:t>
      </w:r>
      <w:r>
        <w:rPr>
          <w:color w:val="231F20"/>
          <w:spacing w:val="2"/>
        </w:rPr>
        <w:t> </w:t>
      </w:r>
      <w:r>
        <w:rPr>
          <w:color w:val="231F20"/>
          <w:spacing w:val="-2"/>
        </w:rPr>
        <w:t>examination.</w:t>
      </w:r>
    </w:p>
    <w:p>
      <w:pPr>
        <w:pStyle w:val="BodyText"/>
        <w:ind w:left="900" w:right="446" w:firstLine="130"/>
      </w:pPr>
      <w:r>
        <w:rPr>
          <w:color w:val="231F20"/>
        </w:rPr>
        <w:t>AR, androgen receptor; DSD, disorders of sex development; hCG, human chorionic gonadotropin; 21-OH, 21-hydroxylase; 17-OHP, 17-hydroxyprogesterone; NA,</w:t>
      </w:r>
      <w:r>
        <w:rPr>
          <w:color w:val="231F20"/>
          <w:spacing w:val="40"/>
        </w:rPr>
        <w:t> </w:t>
      </w:r>
      <w:r>
        <w:rPr>
          <w:color w:val="231F20"/>
        </w:rPr>
        <w:t>not applicable.</w:t>
      </w:r>
    </w:p>
    <w:p>
      <w:pPr>
        <w:spacing w:line="237" w:lineRule="auto" w:before="0"/>
        <w:ind w:left="900" w:right="0" w:firstLine="130"/>
        <w:jc w:val="left"/>
        <w:rPr>
          <w:i/>
          <w:sz w:val="13"/>
        </w:rPr>
      </w:pPr>
      <w:r>
        <w:rPr>
          <w:i/>
          <w:color w:val="231F20"/>
          <w:sz w:val="13"/>
        </w:rPr>
        <w:t>Adapted</w:t>
      </w:r>
      <w:r>
        <w:rPr>
          <w:i/>
          <w:color w:val="231F20"/>
          <w:spacing w:val="-1"/>
          <w:sz w:val="13"/>
        </w:rPr>
        <w:t> </w:t>
      </w:r>
      <w:r>
        <w:rPr>
          <w:i/>
          <w:color w:val="231F20"/>
          <w:sz w:val="13"/>
        </w:rPr>
        <w:t>from</w:t>
      </w:r>
      <w:r>
        <w:rPr>
          <w:i/>
          <w:color w:val="231F20"/>
          <w:spacing w:val="-1"/>
          <w:sz w:val="13"/>
        </w:rPr>
        <w:t> </w:t>
      </w:r>
      <w:r>
        <w:rPr>
          <w:i/>
          <w:color w:val="231F20"/>
          <w:sz w:val="13"/>
        </w:rPr>
        <w:t>Donohoue</w:t>
      </w:r>
      <w:r>
        <w:rPr>
          <w:i/>
          <w:color w:val="231F20"/>
          <w:spacing w:val="-1"/>
          <w:sz w:val="13"/>
        </w:rPr>
        <w:t> </w:t>
      </w:r>
      <w:r>
        <w:rPr>
          <w:i/>
          <w:color w:val="231F20"/>
          <w:sz w:val="13"/>
        </w:rPr>
        <w:t>PA,</w:t>
      </w:r>
      <w:r>
        <w:rPr>
          <w:i/>
          <w:color w:val="231F20"/>
          <w:spacing w:val="-1"/>
          <w:sz w:val="13"/>
        </w:rPr>
        <w:t> </w:t>
      </w:r>
      <w:r>
        <w:rPr>
          <w:i/>
          <w:color w:val="231F20"/>
          <w:sz w:val="13"/>
        </w:rPr>
        <w:t>Saenger</w:t>
      </w:r>
      <w:r>
        <w:rPr>
          <w:i/>
          <w:color w:val="231F20"/>
          <w:spacing w:val="-1"/>
          <w:sz w:val="13"/>
        </w:rPr>
        <w:t> </w:t>
      </w:r>
      <w:r>
        <w:rPr>
          <w:i/>
          <w:color w:val="231F20"/>
          <w:sz w:val="13"/>
        </w:rPr>
        <w:t>PH:</w:t>
      </w:r>
      <w:r>
        <w:rPr>
          <w:i/>
          <w:color w:val="231F20"/>
          <w:spacing w:val="-1"/>
          <w:sz w:val="13"/>
        </w:rPr>
        <w:t> </w:t>
      </w:r>
      <w:r>
        <w:rPr>
          <w:i/>
          <w:color w:val="231F20"/>
          <w:sz w:val="13"/>
        </w:rPr>
        <w:t>Ambiguous</w:t>
      </w:r>
      <w:r>
        <w:rPr>
          <w:i/>
          <w:color w:val="231F20"/>
          <w:spacing w:val="-1"/>
          <w:sz w:val="13"/>
        </w:rPr>
        <w:t> </w:t>
      </w:r>
      <w:r>
        <w:rPr>
          <w:i/>
          <w:color w:val="231F20"/>
          <w:sz w:val="13"/>
        </w:rPr>
        <w:t>genitalia.</w:t>
      </w:r>
      <w:r>
        <w:rPr>
          <w:i/>
          <w:color w:val="231F20"/>
          <w:spacing w:val="-1"/>
          <w:sz w:val="13"/>
        </w:rPr>
        <w:t> </w:t>
      </w:r>
      <w:r>
        <w:rPr>
          <w:i/>
          <w:color w:val="231F20"/>
          <w:sz w:val="13"/>
        </w:rPr>
        <w:t>In</w:t>
      </w:r>
      <w:r>
        <w:rPr>
          <w:i/>
          <w:color w:val="231F20"/>
          <w:spacing w:val="-1"/>
          <w:sz w:val="13"/>
        </w:rPr>
        <w:t> </w:t>
      </w:r>
      <w:r>
        <w:rPr>
          <w:i/>
          <w:color w:val="231F20"/>
          <w:sz w:val="13"/>
        </w:rPr>
        <w:t>Finberg</w:t>
      </w:r>
      <w:r>
        <w:rPr>
          <w:i/>
          <w:color w:val="231F20"/>
          <w:spacing w:val="-1"/>
          <w:sz w:val="13"/>
        </w:rPr>
        <w:t> </w:t>
      </w:r>
      <w:r>
        <w:rPr>
          <w:i/>
          <w:color w:val="231F20"/>
          <w:sz w:val="13"/>
        </w:rPr>
        <w:t>L,</w:t>
      </w:r>
      <w:r>
        <w:rPr>
          <w:i/>
          <w:color w:val="231F20"/>
          <w:spacing w:val="-1"/>
          <w:sz w:val="13"/>
        </w:rPr>
        <w:t> </w:t>
      </w:r>
      <w:r>
        <w:rPr>
          <w:i/>
          <w:color w:val="231F20"/>
          <w:sz w:val="13"/>
        </w:rPr>
        <w:t>Kleinman</w:t>
      </w:r>
      <w:r>
        <w:rPr>
          <w:i/>
          <w:color w:val="231F20"/>
          <w:spacing w:val="-1"/>
          <w:sz w:val="13"/>
        </w:rPr>
        <w:t> </w:t>
      </w:r>
      <w:r>
        <w:rPr>
          <w:i/>
          <w:color w:val="231F20"/>
          <w:sz w:val="13"/>
        </w:rPr>
        <w:t>RE,</w:t>
      </w:r>
      <w:r>
        <w:rPr>
          <w:i/>
          <w:color w:val="231F20"/>
          <w:spacing w:val="-1"/>
          <w:sz w:val="13"/>
        </w:rPr>
        <w:t> </w:t>
      </w:r>
      <w:r>
        <w:rPr>
          <w:i/>
          <w:color w:val="231F20"/>
          <w:sz w:val="13"/>
        </w:rPr>
        <w:t>editors:</w:t>
      </w:r>
      <w:r>
        <w:rPr>
          <w:i/>
          <w:color w:val="231F20"/>
          <w:spacing w:val="-1"/>
          <w:sz w:val="13"/>
        </w:rPr>
        <w:t> </w:t>
      </w:r>
      <w:r>
        <w:rPr>
          <w:color w:val="231F20"/>
          <w:sz w:val="13"/>
        </w:rPr>
        <w:t>Saunders</w:t>
      </w:r>
      <w:r>
        <w:rPr>
          <w:color w:val="231F20"/>
          <w:spacing w:val="-1"/>
          <w:sz w:val="13"/>
        </w:rPr>
        <w:t> </w:t>
      </w:r>
      <w:r>
        <w:rPr>
          <w:color w:val="231F20"/>
          <w:sz w:val="13"/>
        </w:rPr>
        <w:t>manual</w:t>
      </w:r>
      <w:r>
        <w:rPr>
          <w:color w:val="231F20"/>
          <w:spacing w:val="-1"/>
          <w:sz w:val="13"/>
        </w:rPr>
        <w:t> </w:t>
      </w:r>
      <w:r>
        <w:rPr>
          <w:color w:val="231F20"/>
          <w:sz w:val="13"/>
        </w:rPr>
        <w:t>of</w:t>
      </w:r>
      <w:r>
        <w:rPr>
          <w:color w:val="231F20"/>
          <w:spacing w:val="-1"/>
          <w:sz w:val="13"/>
        </w:rPr>
        <w:t> </w:t>
      </w:r>
      <w:r>
        <w:rPr>
          <w:color w:val="231F20"/>
          <w:sz w:val="13"/>
        </w:rPr>
        <w:t>pediatric</w:t>
      </w:r>
      <w:r>
        <w:rPr>
          <w:color w:val="231F20"/>
          <w:spacing w:val="-1"/>
          <w:sz w:val="13"/>
        </w:rPr>
        <w:t> </w:t>
      </w:r>
      <w:r>
        <w:rPr>
          <w:color w:val="231F20"/>
          <w:sz w:val="13"/>
        </w:rPr>
        <w:t>practice</w:t>
      </w:r>
      <w:r>
        <w:rPr>
          <w:i/>
          <w:color w:val="231F20"/>
          <w:sz w:val="13"/>
        </w:rPr>
        <w:t>,</w:t>
      </w:r>
      <w:r>
        <w:rPr>
          <w:i/>
          <w:color w:val="231F20"/>
          <w:spacing w:val="-1"/>
          <w:sz w:val="13"/>
        </w:rPr>
        <w:t> </w:t>
      </w:r>
      <w:r>
        <w:rPr>
          <w:i/>
          <w:color w:val="231F20"/>
          <w:sz w:val="13"/>
        </w:rPr>
        <w:t>Philadelphia,</w:t>
      </w:r>
      <w:r>
        <w:rPr>
          <w:i/>
          <w:color w:val="231F20"/>
          <w:spacing w:val="-1"/>
          <w:sz w:val="13"/>
        </w:rPr>
        <w:t> </w:t>
      </w:r>
      <w:r>
        <w:rPr>
          <w:i/>
          <w:color w:val="231F20"/>
          <w:sz w:val="13"/>
        </w:rPr>
        <w:t>2002,</w:t>
      </w:r>
      <w:r>
        <w:rPr>
          <w:i/>
          <w:color w:val="231F20"/>
          <w:spacing w:val="-1"/>
          <w:sz w:val="13"/>
        </w:rPr>
        <w:t> </w:t>
      </w:r>
      <w:r>
        <w:rPr>
          <w:i/>
          <w:color w:val="231F20"/>
          <w:sz w:val="13"/>
        </w:rPr>
        <w:t>WB</w:t>
      </w:r>
      <w:r>
        <w:rPr>
          <w:i/>
          <w:color w:val="231F20"/>
          <w:spacing w:val="40"/>
          <w:sz w:val="13"/>
        </w:rPr>
        <w:t> </w:t>
      </w:r>
      <w:r>
        <w:rPr>
          <w:i/>
          <w:color w:val="231F20"/>
          <w:sz w:val="13"/>
        </w:rPr>
        <w:t>Saunders, p. 874.</w:t>
      </w:r>
    </w:p>
    <w:p>
      <w:pPr>
        <w:spacing w:after="0" w:line="237" w:lineRule="auto"/>
        <w:jc w:val="left"/>
        <w:rPr>
          <w:i/>
          <w:sz w:val="13"/>
        </w:rPr>
        <w:sectPr>
          <w:headerReference w:type="default" r:id="rId5"/>
          <w:type w:val="continuous"/>
          <w:pgSz w:w="11900" w:h="16840"/>
          <w:pgMar w:header="452" w:footer="0" w:top="620" w:bottom="280" w:left="425" w:right="566"/>
          <w:pgNumType w:start="470"/>
        </w:sectPr>
      </w:pPr>
    </w:p>
    <w:p>
      <w:pPr>
        <w:pStyle w:val="BodyText"/>
        <w:spacing w:before="212"/>
        <w:rPr>
          <w:i/>
          <w:sz w:val="20"/>
        </w:rPr>
      </w:pPr>
    </w:p>
    <w:p>
      <w:pPr>
        <w:pStyle w:val="BodyText"/>
        <w:ind w:left="438"/>
        <w:rPr>
          <w:sz w:val="20"/>
        </w:rPr>
      </w:pPr>
      <w:r>
        <w:rPr>
          <w:sz w:val="20"/>
        </w:rPr>
        <mc:AlternateContent>
          <mc:Choice Requires="wps">
            <w:drawing>
              <wp:inline distT="0" distB="0" distL="0" distR="0">
                <wp:extent cx="6185535" cy="170815"/>
                <wp:effectExtent l="19050" t="0" r="62864" b="635"/>
                <wp:docPr id="6" name="Group 6"/>
                <wp:cNvGraphicFramePr>
                  <a:graphicFrameLocks/>
                </wp:cNvGraphicFramePr>
                <a:graphic>
                  <a:graphicData uri="http://schemas.microsoft.com/office/word/2010/wordprocessingGroup">
                    <wpg:wgp>
                      <wpg:cNvPr id="6" name="Group 6"/>
                      <wpg:cNvGrpSpPr/>
                      <wpg:grpSpPr>
                        <a:xfrm>
                          <a:off x="0" y="0"/>
                          <a:ext cx="6185535" cy="170815"/>
                          <a:chExt cx="6185535" cy="170815"/>
                        </a:xfrm>
                      </wpg:grpSpPr>
                      <wps:wsp>
                        <wps:cNvPr id="7" name="Graphic 7"/>
                        <wps:cNvSpPr/>
                        <wps:spPr>
                          <a:xfrm>
                            <a:off x="6161574" y="92305"/>
                            <a:ext cx="24130" cy="1270"/>
                          </a:xfrm>
                          <a:custGeom>
                            <a:avLst/>
                            <a:gdLst/>
                            <a:ahLst/>
                            <a:cxnLst/>
                            <a:rect l="l" t="t" r="r" b="b"/>
                            <a:pathLst>
                              <a:path w="24130" h="0">
                                <a:moveTo>
                                  <a:pt x="0" y="0"/>
                                </a:moveTo>
                                <a:lnTo>
                                  <a:pt x="23698" y="0"/>
                                </a:lnTo>
                              </a:path>
                            </a:pathLst>
                          </a:custGeom>
                          <a:ln w="142191">
                            <a:solidFill>
                              <a:srgbClr val="D5841E"/>
                            </a:solidFill>
                            <a:prstDash val="solid"/>
                          </a:ln>
                        </wps:spPr>
                        <wps:bodyPr wrap="square" lIns="0" tIns="0" rIns="0" bIns="0" rtlCol="0">
                          <a:prstTxWarp prst="textNoShape">
                            <a:avLst/>
                          </a:prstTxWarp>
                          <a:noAutofit/>
                        </wps:bodyPr>
                      </wps:wsp>
                      <wps:wsp>
                        <wps:cNvPr id="8" name="Graphic 8"/>
                        <wps:cNvSpPr/>
                        <wps:spPr>
                          <a:xfrm>
                            <a:off x="0" y="158660"/>
                            <a:ext cx="6185535" cy="1270"/>
                          </a:xfrm>
                          <a:custGeom>
                            <a:avLst/>
                            <a:gdLst/>
                            <a:ahLst/>
                            <a:cxnLst/>
                            <a:rect l="l" t="t" r="r" b="b"/>
                            <a:pathLst>
                              <a:path w="6185535" h="0">
                                <a:moveTo>
                                  <a:pt x="0" y="0"/>
                                </a:moveTo>
                                <a:lnTo>
                                  <a:pt x="6185322" y="0"/>
                                </a:lnTo>
                              </a:path>
                            </a:pathLst>
                          </a:custGeom>
                          <a:ln w="23698">
                            <a:solidFill>
                              <a:srgbClr val="D5841E"/>
                            </a:solidFill>
                            <a:prstDash val="solid"/>
                          </a:ln>
                        </wps:spPr>
                        <wps:bodyPr wrap="square" lIns="0" tIns="0" rIns="0" bIns="0" rtlCol="0">
                          <a:prstTxWarp prst="textNoShape">
                            <a:avLst/>
                          </a:prstTxWarp>
                          <a:noAutofit/>
                        </wps:bodyPr>
                      </wps:wsp>
                      <wps:wsp>
                        <wps:cNvPr id="9" name="Textbox 9"/>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2766</w:t>
                              </w:r>
                              <w:r>
                                <w:rPr>
                                  <w:b/>
                                  <w:color w:val="231F20"/>
                                  <w:spacing w:val="33"/>
                                  <w:w w:val="105"/>
                                  <w:sz w:val="18"/>
                                </w:rPr>
                                <w:t>  </w:t>
                              </w:r>
                              <w:r>
                                <w:rPr>
                                  <w:b/>
                                  <w:color w:val="D5841E"/>
                                  <w:w w:val="105"/>
                                  <w:sz w:val="18"/>
                                </w:rPr>
                                <w:t>Part</w:t>
                              </w:r>
                              <w:r>
                                <w:rPr>
                                  <w:b/>
                                  <w:color w:val="D5841E"/>
                                  <w:spacing w:val="7"/>
                                  <w:w w:val="105"/>
                                  <w:sz w:val="18"/>
                                </w:rPr>
                                <w:t> </w:t>
                              </w:r>
                              <w:r>
                                <w:rPr>
                                  <w:b/>
                                  <w:color w:val="D5841E"/>
                                  <w:w w:val="105"/>
                                  <w:sz w:val="18"/>
                                </w:rPr>
                                <w:t>XXVI</w:t>
                              </w:r>
                              <w:r>
                                <w:rPr>
                                  <w:b/>
                                  <w:color w:val="D5841E"/>
                                  <w:spacing w:val="33"/>
                                  <w:w w:val="105"/>
                                  <w:sz w:val="18"/>
                                </w:rPr>
                                <w:t> </w:t>
                              </w:r>
                              <w:r>
                                <w:rPr>
                                  <w:rFonts w:ascii="MS Gothic" w:hAnsi="MS Gothic"/>
                                  <w:color w:val="E4AE6F"/>
                                  <w:w w:val="105"/>
                                  <w:sz w:val="15"/>
                                </w:rPr>
                                <w:t>◆</w:t>
                              </w:r>
                              <w:r>
                                <w:rPr>
                                  <w:rFonts w:ascii="MS Gothic" w:hAnsi="MS Gothic"/>
                                  <w:color w:val="E4AE6F"/>
                                  <w:spacing w:val="11"/>
                                  <w:w w:val="105"/>
                                  <w:sz w:val="15"/>
                                </w:rPr>
                                <w:t> </w:t>
                              </w:r>
                              <w:r>
                                <w:rPr>
                                  <w:color w:val="231F20"/>
                                  <w:w w:val="105"/>
                                  <w:sz w:val="18"/>
                                </w:rPr>
                                <w:t>The</w:t>
                              </w:r>
                              <w:r>
                                <w:rPr>
                                  <w:color w:val="231F20"/>
                                  <w:spacing w:val="4"/>
                                  <w:w w:val="105"/>
                                  <w:sz w:val="18"/>
                                </w:rPr>
                                <w:t> </w:t>
                              </w:r>
                              <w:r>
                                <w:rPr>
                                  <w:color w:val="231F20"/>
                                  <w:w w:val="105"/>
                                  <w:sz w:val="18"/>
                                </w:rPr>
                                <w:t>Endocrine</w:t>
                              </w:r>
                              <w:r>
                                <w:rPr>
                                  <w:color w:val="231F20"/>
                                  <w:spacing w:val="3"/>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 coordorigin="0,0" coordsize="9741,269">
                <v:line style="position:absolute" from="9703,145" to="9741,145" stroked="true" strokeweight="11.196167pt" strokecolor="#d5841e">
                  <v:stroke dashstyle="solid"/>
                </v:line>
                <v:line style="position:absolute" from="0,250" to="9741,250" stroked="true" strokeweight="1.866028pt" strokecolor="#d5841e">
                  <v:stroke dashstyle="solid"/>
                </v:line>
                <v:shape style="position:absolute;left:0;top:0;width:9741;height:269" type="#_x0000_t202" id="docshape5" filled="false" stroked="false">
                  <v:textbox inset="0,0,0,0">
                    <w:txbxContent>
                      <w:p>
                        <w:pPr>
                          <w:spacing w:before="6"/>
                          <w:ind w:left="-1" w:right="0" w:firstLine="0"/>
                          <w:jc w:val="left"/>
                          <w:rPr>
                            <w:sz w:val="18"/>
                          </w:rPr>
                        </w:pPr>
                        <w:r>
                          <w:rPr>
                            <w:b/>
                            <w:color w:val="231F20"/>
                            <w:w w:val="105"/>
                            <w:sz w:val="18"/>
                          </w:rPr>
                          <w:t>2766</w:t>
                        </w:r>
                        <w:r>
                          <w:rPr>
                            <w:b/>
                            <w:color w:val="231F20"/>
                            <w:spacing w:val="33"/>
                            <w:w w:val="105"/>
                            <w:sz w:val="18"/>
                          </w:rPr>
                          <w:t>  </w:t>
                        </w:r>
                        <w:r>
                          <w:rPr>
                            <w:b/>
                            <w:color w:val="D5841E"/>
                            <w:w w:val="105"/>
                            <w:sz w:val="18"/>
                          </w:rPr>
                          <w:t>Part</w:t>
                        </w:r>
                        <w:r>
                          <w:rPr>
                            <w:b/>
                            <w:color w:val="D5841E"/>
                            <w:spacing w:val="7"/>
                            <w:w w:val="105"/>
                            <w:sz w:val="18"/>
                          </w:rPr>
                          <w:t> </w:t>
                        </w:r>
                        <w:r>
                          <w:rPr>
                            <w:b/>
                            <w:color w:val="D5841E"/>
                            <w:w w:val="105"/>
                            <w:sz w:val="18"/>
                          </w:rPr>
                          <w:t>XXVI</w:t>
                        </w:r>
                        <w:r>
                          <w:rPr>
                            <w:b/>
                            <w:color w:val="D5841E"/>
                            <w:spacing w:val="33"/>
                            <w:w w:val="105"/>
                            <w:sz w:val="18"/>
                          </w:rPr>
                          <w:t> </w:t>
                        </w:r>
                        <w:r>
                          <w:rPr>
                            <w:rFonts w:ascii="MS Gothic" w:hAnsi="MS Gothic"/>
                            <w:color w:val="E4AE6F"/>
                            <w:w w:val="105"/>
                            <w:sz w:val="15"/>
                          </w:rPr>
                          <w:t>◆</w:t>
                        </w:r>
                        <w:r>
                          <w:rPr>
                            <w:rFonts w:ascii="MS Gothic" w:hAnsi="MS Gothic"/>
                            <w:color w:val="E4AE6F"/>
                            <w:spacing w:val="11"/>
                            <w:w w:val="105"/>
                            <w:sz w:val="15"/>
                          </w:rPr>
                          <w:t> </w:t>
                        </w:r>
                        <w:r>
                          <w:rPr>
                            <w:color w:val="231F20"/>
                            <w:w w:val="105"/>
                            <w:sz w:val="18"/>
                          </w:rPr>
                          <w:t>The</w:t>
                        </w:r>
                        <w:r>
                          <w:rPr>
                            <w:color w:val="231F20"/>
                            <w:spacing w:val="4"/>
                            <w:w w:val="105"/>
                            <w:sz w:val="18"/>
                          </w:rPr>
                          <w:t> </w:t>
                        </w:r>
                        <w:r>
                          <w:rPr>
                            <w:color w:val="231F20"/>
                            <w:w w:val="105"/>
                            <w:sz w:val="18"/>
                          </w:rPr>
                          <w:t>Endocrine</w:t>
                        </w:r>
                        <w:r>
                          <w:rPr>
                            <w:color w:val="231F20"/>
                            <w:spacing w:val="3"/>
                            <w:w w:val="105"/>
                            <w:sz w:val="18"/>
                          </w:rPr>
                          <w:t> </w:t>
                        </w:r>
                        <w:r>
                          <w:rPr>
                            <w:color w:val="231F20"/>
                            <w:spacing w:val="-2"/>
                            <w:w w:val="105"/>
                            <w:sz w:val="18"/>
                          </w:rPr>
                          <w:t>System</w:t>
                        </w:r>
                      </w:p>
                    </w:txbxContent>
                  </v:textbox>
                  <w10:wrap type="none"/>
                </v:shape>
              </v:group>
            </w:pict>
          </mc:Fallback>
        </mc:AlternateContent>
      </w:r>
      <w:r>
        <w:rPr>
          <w:sz w:val="20"/>
        </w:rPr>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4"/>
        <w:rPr>
          <w:i/>
        </w:rPr>
      </w:pPr>
    </w:p>
    <w:p>
      <w:pPr>
        <w:pStyle w:val="Heading8"/>
        <w:ind w:left="3439"/>
      </w:pPr>
      <w:r>
        <w:rPr/>
        <mc:AlternateContent>
          <mc:Choice Requires="wps">
            <w:drawing>
              <wp:anchor distT="0" distB="0" distL="0" distR="0" allowOverlap="1" layoutInCell="1" locked="0" behindDoc="1" simplePos="0" relativeHeight="475155456">
                <wp:simplePos x="0" y="0"/>
                <wp:positionH relativeFrom="page">
                  <wp:posOffset>1481515</wp:posOffset>
                </wp:positionH>
                <wp:positionV relativeFrom="paragraph">
                  <wp:posOffset>-479168</wp:posOffset>
                </wp:positionV>
                <wp:extent cx="4485005" cy="289052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4485005" cy="2890520"/>
                          <a:chExt cx="4485005" cy="2890520"/>
                        </a:xfrm>
                      </wpg:grpSpPr>
                      <wps:wsp>
                        <wps:cNvPr id="11" name="Graphic 11"/>
                        <wps:cNvSpPr/>
                        <wps:spPr>
                          <a:xfrm>
                            <a:off x="3441436" y="1192964"/>
                            <a:ext cx="972819" cy="442595"/>
                          </a:xfrm>
                          <a:custGeom>
                            <a:avLst/>
                            <a:gdLst/>
                            <a:ahLst/>
                            <a:cxnLst/>
                            <a:rect l="l" t="t" r="r" b="b"/>
                            <a:pathLst>
                              <a:path w="972819" h="442595">
                                <a:moveTo>
                                  <a:pt x="972515" y="0"/>
                                </a:moveTo>
                                <a:lnTo>
                                  <a:pt x="0" y="0"/>
                                </a:lnTo>
                                <a:lnTo>
                                  <a:pt x="0" y="442226"/>
                                </a:lnTo>
                                <a:lnTo>
                                  <a:pt x="972515" y="442226"/>
                                </a:lnTo>
                                <a:lnTo>
                                  <a:pt x="972515" y="0"/>
                                </a:lnTo>
                                <a:close/>
                              </a:path>
                            </a:pathLst>
                          </a:custGeom>
                          <a:solidFill>
                            <a:srgbClr val="D7EDDD"/>
                          </a:solidFill>
                        </wps:spPr>
                        <wps:bodyPr wrap="square" lIns="0" tIns="0" rIns="0" bIns="0" rtlCol="0">
                          <a:prstTxWarp prst="textNoShape">
                            <a:avLst/>
                          </a:prstTxWarp>
                          <a:noAutofit/>
                        </wps:bodyPr>
                      </wps:wsp>
                      <wps:wsp>
                        <wps:cNvPr id="12" name="Graphic 12"/>
                        <wps:cNvSpPr/>
                        <wps:spPr>
                          <a:xfrm>
                            <a:off x="3441433" y="1192964"/>
                            <a:ext cx="972819" cy="442595"/>
                          </a:xfrm>
                          <a:custGeom>
                            <a:avLst/>
                            <a:gdLst/>
                            <a:ahLst/>
                            <a:cxnLst/>
                            <a:rect l="l" t="t" r="r" b="b"/>
                            <a:pathLst>
                              <a:path w="972819" h="442595">
                                <a:moveTo>
                                  <a:pt x="972517" y="0"/>
                                </a:moveTo>
                                <a:lnTo>
                                  <a:pt x="0" y="0"/>
                                </a:lnTo>
                                <a:lnTo>
                                  <a:pt x="0" y="442226"/>
                                </a:lnTo>
                                <a:lnTo>
                                  <a:pt x="972517" y="442226"/>
                                </a:lnTo>
                                <a:lnTo>
                                  <a:pt x="972517" y="0"/>
                                </a:lnTo>
                                <a:close/>
                              </a:path>
                            </a:pathLst>
                          </a:custGeom>
                          <a:ln w="11849">
                            <a:solidFill>
                              <a:srgbClr val="231F20"/>
                            </a:solidFill>
                            <a:prstDash val="solid"/>
                          </a:ln>
                        </wps:spPr>
                        <wps:bodyPr wrap="square" lIns="0" tIns="0" rIns="0" bIns="0" rtlCol="0">
                          <a:prstTxWarp prst="textNoShape">
                            <a:avLst/>
                          </a:prstTxWarp>
                          <a:noAutofit/>
                        </wps:bodyPr>
                      </wps:wsp>
                      <wps:wsp>
                        <wps:cNvPr id="13" name="Graphic 13"/>
                        <wps:cNvSpPr/>
                        <wps:spPr>
                          <a:xfrm>
                            <a:off x="3465785" y="1735905"/>
                            <a:ext cx="1013460" cy="352425"/>
                          </a:xfrm>
                          <a:custGeom>
                            <a:avLst/>
                            <a:gdLst/>
                            <a:ahLst/>
                            <a:cxnLst/>
                            <a:rect l="l" t="t" r="r" b="b"/>
                            <a:pathLst>
                              <a:path w="1013460" h="352425">
                                <a:moveTo>
                                  <a:pt x="1012850" y="0"/>
                                </a:moveTo>
                                <a:lnTo>
                                  <a:pt x="0" y="0"/>
                                </a:lnTo>
                                <a:lnTo>
                                  <a:pt x="0" y="352132"/>
                                </a:lnTo>
                                <a:lnTo>
                                  <a:pt x="1012850" y="352132"/>
                                </a:lnTo>
                                <a:lnTo>
                                  <a:pt x="1012850" y="0"/>
                                </a:lnTo>
                                <a:close/>
                              </a:path>
                            </a:pathLst>
                          </a:custGeom>
                          <a:solidFill>
                            <a:srgbClr val="D7EDDD"/>
                          </a:solidFill>
                        </wps:spPr>
                        <wps:bodyPr wrap="square" lIns="0" tIns="0" rIns="0" bIns="0" rtlCol="0">
                          <a:prstTxWarp prst="textNoShape">
                            <a:avLst/>
                          </a:prstTxWarp>
                          <a:noAutofit/>
                        </wps:bodyPr>
                      </wps:wsp>
                      <wps:wsp>
                        <wps:cNvPr id="14" name="Graphic 14"/>
                        <wps:cNvSpPr/>
                        <wps:spPr>
                          <a:xfrm>
                            <a:off x="3465783" y="1735905"/>
                            <a:ext cx="1013460" cy="352425"/>
                          </a:xfrm>
                          <a:custGeom>
                            <a:avLst/>
                            <a:gdLst/>
                            <a:ahLst/>
                            <a:cxnLst/>
                            <a:rect l="l" t="t" r="r" b="b"/>
                            <a:pathLst>
                              <a:path w="1013460" h="352425">
                                <a:moveTo>
                                  <a:pt x="1012852" y="0"/>
                                </a:moveTo>
                                <a:lnTo>
                                  <a:pt x="0" y="0"/>
                                </a:lnTo>
                                <a:lnTo>
                                  <a:pt x="0" y="352136"/>
                                </a:lnTo>
                                <a:lnTo>
                                  <a:pt x="1012852" y="352136"/>
                                </a:lnTo>
                                <a:lnTo>
                                  <a:pt x="1012852" y="0"/>
                                </a:lnTo>
                                <a:close/>
                              </a:path>
                            </a:pathLst>
                          </a:custGeom>
                          <a:ln w="11849">
                            <a:solidFill>
                              <a:srgbClr val="231F20"/>
                            </a:solidFill>
                            <a:prstDash val="solid"/>
                          </a:ln>
                        </wps:spPr>
                        <wps:bodyPr wrap="square" lIns="0" tIns="0" rIns="0" bIns="0" rtlCol="0">
                          <a:prstTxWarp prst="textNoShape">
                            <a:avLst/>
                          </a:prstTxWarp>
                          <a:noAutofit/>
                        </wps:bodyPr>
                      </wps:wsp>
                      <wps:wsp>
                        <wps:cNvPr id="15" name="Graphic 15"/>
                        <wps:cNvSpPr/>
                        <wps:spPr>
                          <a:xfrm>
                            <a:off x="3475780" y="2392006"/>
                            <a:ext cx="979169" cy="348615"/>
                          </a:xfrm>
                          <a:custGeom>
                            <a:avLst/>
                            <a:gdLst/>
                            <a:ahLst/>
                            <a:cxnLst/>
                            <a:rect l="l" t="t" r="r" b="b"/>
                            <a:pathLst>
                              <a:path w="979169" h="348615">
                                <a:moveTo>
                                  <a:pt x="979157" y="0"/>
                                </a:moveTo>
                                <a:lnTo>
                                  <a:pt x="0" y="0"/>
                                </a:lnTo>
                                <a:lnTo>
                                  <a:pt x="0" y="348119"/>
                                </a:lnTo>
                                <a:lnTo>
                                  <a:pt x="979157" y="348119"/>
                                </a:lnTo>
                                <a:lnTo>
                                  <a:pt x="979157" y="0"/>
                                </a:lnTo>
                                <a:close/>
                              </a:path>
                            </a:pathLst>
                          </a:custGeom>
                          <a:solidFill>
                            <a:srgbClr val="D7EDDD"/>
                          </a:solidFill>
                        </wps:spPr>
                        <wps:bodyPr wrap="square" lIns="0" tIns="0" rIns="0" bIns="0" rtlCol="0">
                          <a:prstTxWarp prst="textNoShape">
                            <a:avLst/>
                          </a:prstTxWarp>
                          <a:noAutofit/>
                        </wps:bodyPr>
                      </wps:wsp>
                      <wps:wsp>
                        <wps:cNvPr id="16" name="Graphic 16"/>
                        <wps:cNvSpPr/>
                        <wps:spPr>
                          <a:xfrm>
                            <a:off x="46888" y="692773"/>
                            <a:ext cx="4408170" cy="2047875"/>
                          </a:xfrm>
                          <a:custGeom>
                            <a:avLst/>
                            <a:gdLst/>
                            <a:ahLst/>
                            <a:cxnLst/>
                            <a:rect l="l" t="t" r="r" b="b"/>
                            <a:pathLst>
                              <a:path w="4408170" h="2047875">
                                <a:moveTo>
                                  <a:pt x="4408049" y="1699233"/>
                                </a:moveTo>
                                <a:lnTo>
                                  <a:pt x="3428884" y="1699233"/>
                                </a:lnTo>
                                <a:lnTo>
                                  <a:pt x="3428884" y="2047353"/>
                                </a:lnTo>
                                <a:lnTo>
                                  <a:pt x="4408049" y="2047353"/>
                                </a:lnTo>
                                <a:lnTo>
                                  <a:pt x="4408049" y="1699233"/>
                                </a:lnTo>
                                <a:close/>
                              </a:path>
                              <a:path w="4408170" h="2047875">
                                <a:moveTo>
                                  <a:pt x="327727" y="0"/>
                                </a:moveTo>
                                <a:lnTo>
                                  <a:pt x="0" y="1259530"/>
                                </a:lnTo>
                              </a:path>
                            </a:pathLst>
                          </a:custGeom>
                          <a:ln w="11849">
                            <a:solidFill>
                              <a:srgbClr val="231F20"/>
                            </a:solidFill>
                            <a:prstDash val="solid"/>
                          </a:ln>
                        </wps:spPr>
                        <wps:bodyPr wrap="square" lIns="0" tIns="0" rIns="0" bIns="0" rtlCol="0">
                          <a:prstTxWarp prst="textNoShape">
                            <a:avLst/>
                          </a:prstTxWarp>
                          <a:noAutofit/>
                        </wps:bodyPr>
                      </wps:wsp>
                      <wps:wsp>
                        <wps:cNvPr id="17" name="Graphic 17"/>
                        <wps:cNvSpPr/>
                        <wps:spPr>
                          <a:xfrm>
                            <a:off x="35408" y="1933680"/>
                            <a:ext cx="31115" cy="55880"/>
                          </a:xfrm>
                          <a:custGeom>
                            <a:avLst/>
                            <a:gdLst/>
                            <a:ahLst/>
                            <a:cxnLst/>
                            <a:rect l="l" t="t" r="r" b="b"/>
                            <a:pathLst>
                              <a:path w="31115" h="55880">
                                <a:moveTo>
                                  <a:pt x="0" y="0"/>
                                </a:moveTo>
                                <a:lnTo>
                                  <a:pt x="2835" y="35416"/>
                                </a:lnTo>
                                <a:lnTo>
                                  <a:pt x="2763" y="43114"/>
                                </a:lnTo>
                                <a:lnTo>
                                  <a:pt x="2446" y="49867"/>
                                </a:lnTo>
                                <a:lnTo>
                                  <a:pt x="1905" y="55435"/>
                                </a:lnTo>
                                <a:lnTo>
                                  <a:pt x="4153" y="50318"/>
                                </a:lnTo>
                                <a:lnTo>
                                  <a:pt x="30645" y="8000"/>
                                </a:lnTo>
                                <a:lnTo>
                                  <a:pt x="0" y="0"/>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32139" y="1113776"/>
                            <a:ext cx="1816735" cy="927100"/>
                          </a:xfrm>
                          <a:custGeom>
                            <a:avLst/>
                            <a:gdLst/>
                            <a:ahLst/>
                            <a:cxnLst/>
                            <a:rect l="l" t="t" r="r" b="b"/>
                            <a:pathLst>
                              <a:path w="1816735" h="927100">
                                <a:moveTo>
                                  <a:pt x="1816731" y="0"/>
                                </a:moveTo>
                                <a:lnTo>
                                  <a:pt x="0" y="926874"/>
                                </a:lnTo>
                              </a:path>
                            </a:pathLst>
                          </a:custGeom>
                          <a:ln w="11849">
                            <a:solidFill>
                              <a:srgbClr val="231F20"/>
                            </a:solidFill>
                            <a:prstDash val="solid"/>
                          </a:ln>
                        </wps:spPr>
                        <wps:bodyPr wrap="square" lIns="0" tIns="0" rIns="0" bIns="0" rtlCol="0">
                          <a:prstTxWarp prst="textNoShape">
                            <a:avLst/>
                          </a:prstTxWarp>
                          <a:noAutofit/>
                        </wps:bodyPr>
                      </wps:wsp>
                      <wps:wsp>
                        <wps:cNvPr id="19" name="Graphic 19"/>
                        <wps:cNvSpPr/>
                        <wps:spPr>
                          <a:xfrm>
                            <a:off x="98190" y="2019712"/>
                            <a:ext cx="54610" cy="38100"/>
                          </a:xfrm>
                          <a:custGeom>
                            <a:avLst/>
                            <a:gdLst/>
                            <a:ahLst/>
                            <a:cxnLst/>
                            <a:rect l="l" t="t" r="r" b="b"/>
                            <a:pathLst>
                              <a:path w="54610" h="38100">
                                <a:moveTo>
                                  <a:pt x="40309" y="0"/>
                                </a:moveTo>
                                <a:lnTo>
                                  <a:pt x="9802" y="30560"/>
                                </a:lnTo>
                                <a:lnTo>
                                  <a:pt x="0" y="38061"/>
                                </a:lnTo>
                                <a:lnTo>
                                  <a:pt x="5316" y="36378"/>
                                </a:lnTo>
                                <a:lnTo>
                                  <a:pt x="54571" y="28282"/>
                                </a:lnTo>
                                <a:lnTo>
                                  <a:pt x="40309" y="0"/>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952768" y="1110434"/>
                            <a:ext cx="909955" cy="1443355"/>
                          </a:xfrm>
                          <a:custGeom>
                            <a:avLst/>
                            <a:gdLst/>
                            <a:ahLst/>
                            <a:cxnLst/>
                            <a:rect l="l" t="t" r="r" b="b"/>
                            <a:pathLst>
                              <a:path w="909955" h="1443355">
                                <a:moveTo>
                                  <a:pt x="0" y="0"/>
                                </a:moveTo>
                                <a:lnTo>
                                  <a:pt x="909728" y="1443230"/>
                                </a:lnTo>
                              </a:path>
                            </a:pathLst>
                          </a:custGeom>
                          <a:ln w="11849">
                            <a:solidFill>
                              <a:srgbClr val="231F20"/>
                            </a:solidFill>
                            <a:prstDash val="solid"/>
                          </a:ln>
                        </wps:spPr>
                        <wps:bodyPr wrap="square" lIns="0" tIns="0" rIns="0" bIns="0" rtlCol="0">
                          <a:prstTxWarp prst="textNoShape">
                            <a:avLst/>
                          </a:prstTxWarp>
                          <a:noAutofit/>
                        </wps:bodyPr>
                      </wps:wsp>
                      <wps:wsp>
                        <wps:cNvPr id="21" name="Graphic 21"/>
                        <wps:cNvSpPr/>
                        <wps:spPr>
                          <a:xfrm>
                            <a:off x="2841548" y="2533829"/>
                            <a:ext cx="40640" cy="53975"/>
                          </a:xfrm>
                          <a:custGeom>
                            <a:avLst/>
                            <a:gdLst/>
                            <a:ahLst/>
                            <a:cxnLst/>
                            <a:rect l="l" t="t" r="r" b="b"/>
                            <a:pathLst>
                              <a:path w="40640" h="53975">
                                <a:moveTo>
                                  <a:pt x="27393" y="0"/>
                                </a:moveTo>
                                <a:lnTo>
                                  <a:pt x="0" y="15913"/>
                                </a:lnTo>
                                <a:lnTo>
                                  <a:pt x="3294" y="18356"/>
                                </a:lnTo>
                                <a:lnTo>
                                  <a:pt x="8486" y="22480"/>
                                </a:lnTo>
                                <a:lnTo>
                                  <a:pt x="36852" y="49571"/>
                                </a:lnTo>
                                <a:lnTo>
                                  <a:pt x="40398" y="53898"/>
                                </a:lnTo>
                                <a:lnTo>
                                  <a:pt x="38393" y="48693"/>
                                </a:lnTo>
                                <a:lnTo>
                                  <a:pt x="29273" y="12736"/>
                                </a:lnTo>
                                <a:lnTo>
                                  <a:pt x="27393" y="0"/>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2314046" y="1108776"/>
                            <a:ext cx="553720" cy="362585"/>
                          </a:xfrm>
                          <a:custGeom>
                            <a:avLst/>
                            <a:gdLst/>
                            <a:ahLst/>
                            <a:cxnLst/>
                            <a:rect l="l" t="t" r="r" b="b"/>
                            <a:pathLst>
                              <a:path w="553720" h="362585">
                                <a:moveTo>
                                  <a:pt x="553420" y="0"/>
                                </a:moveTo>
                                <a:lnTo>
                                  <a:pt x="0" y="362374"/>
                                </a:lnTo>
                              </a:path>
                            </a:pathLst>
                          </a:custGeom>
                          <a:ln w="11849">
                            <a:solidFill>
                              <a:srgbClr val="231F20"/>
                            </a:solidFill>
                            <a:prstDash val="solid"/>
                          </a:ln>
                        </wps:spPr>
                        <wps:bodyPr wrap="square" lIns="0" tIns="0" rIns="0" bIns="0" rtlCol="0">
                          <a:prstTxWarp prst="textNoShape">
                            <a:avLst/>
                          </a:prstTxWarp>
                          <a:noAutofit/>
                        </wps:bodyPr>
                      </wps:wsp>
                      <wps:wsp>
                        <wps:cNvPr id="23" name="Graphic 23"/>
                        <wps:cNvSpPr/>
                        <wps:spPr>
                          <a:xfrm>
                            <a:off x="2280476" y="1450105"/>
                            <a:ext cx="53975" cy="41910"/>
                          </a:xfrm>
                          <a:custGeom>
                            <a:avLst/>
                            <a:gdLst/>
                            <a:ahLst/>
                            <a:cxnLst/>
                            <a:rect l="l" t="t" r="r" b="b"/>
                            <a:pathLst>
                              <a:path w="53975" h="41910">
                                <a:moveTo>
                                  <a:pt x="36893" y="0"/>
                                </a:moveTo>
                                <a:lnTo>
                                  <a:pt x="9129" y="33073"/>
                                </a:lnTo>
                                <a:lnTo>
                                  <a:pt x="0" y="41414"/>
                                </a:lnTo>
                                <a:lnTo>
                                  <a:pt x="5157" y="39265"/>
                                </a:lnTo>
                                <a:lnTo>
                                  <a:pt x="53543" y="26936"/>
                                </a:lnTo>
                                <a:lnTo>
                                  <a:pt x="36893" y="0"/>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1358947" y="585682"/>
                            <a:ext cx="1270" cy="910590"/>
                          </a:xfrm>
                          <a:custGeom>
                            <a:avLst/>
                            <a:gdLst/>
                            <a:ahLst/>
                            <a:cxnLst/>
                            <a:rect l="l" t="t" r="r" b="b"/>
                            <a:pathLst>
                              <a:path w="635" h="910590">
                                <a:moveTo>
                                  <a:pt x="0" y="0"/>
                                </a:moveTo>
                                <a:lnTo>
                                  <a:pt x="604" y="910237"/>
                                </a:lnTo>
                              </a:path>
                            </a:pathLst>
                          </a:custGeom>
                          <a:ln w="11849">
                            <a:solidFill>
                              <a:srgbClr val="231F20"/>
                            </a:solidFill>
                            <a:prstDash val="solid"/>
                          </a:ln>
                        </wps:spPr>
                        <wps:bodyPr wrap="square" lIns="0" tIns="0" rIns="0" bIns="0" rtlCol="0">
                          <a:prstTxWarp prst="textNoShape">
                            <a:avLst/>
                          </a:prstTxWarp>
                          <a:noAutofit/>
                        </wps:bodyPr>
                      </wps:wsp>
                      <wps:wsp>
                        <wps:cNvPr id="25" name="Graphic 25"/>
                        <wps:cNvSpPr/>
                        <wps:spPr>
                          <a:xfrm>
                            <a:off x="1343804" y="1481557"/>
                            <a:ext cx="31750" cy="53975"/>
                          </a:xfrm>
                          <a:custGeom>
                            <a:avLst/>
                            <a:gdLst/>
                            <a:ahLst/>
                            <a:cxnLst/>
                            <a:rect l="l" t="t" r="r" b="b"/>
                            <a:pathLst>
                              <a:path w="31750" h="53975">
                                <a:moveTo>
                                  <a:pt x="0" y="0"/>
                                </a:moveTo>
                                <a:lnTo>
                                  <a:pt x="12360" y="41387"/>
                                </a:lnTo>
                                <a:lnTo>
                                  <a:pt x="14287" y="53594"/>
                                </a:lnTo>
                                <a:lnTo>
                                  <a:pt x="15337" y="48104"/>
                                </a:lnTo>
                                <a:lnTo>
                                  <a:pt x="31673" y="927"/>
                                </a:lnTo>
                                <a:lnTo>
                                  <a:pt x="0" y="0"/>
                                </a:lnTo>
                                <a:close/>
                              </a:path>
                            </a:pathLst>
                          </a:custGeom>
                          <a:solidFill>
                            <a:srgbClr val="231F20"/>
                          </a:solidFill>
                        </wps:spPr>
                        <wps:bodyPr wrap="square" lIns="0" tIns="0" rIns="0" bIns="0" rtlCol="0">
                          <a:prstTxWarp prst="textNoShape">
                            <a:avLst/>
                          </a:prstTxWarp>
                          <a:noAutofit/>
                        </wps:bodyPr>
                      </wps:wsp>
                      <wps:wsp>
                        <wps:cNvPr id="26" name="Graphic 26"/>
                        <wps:cNvSpPr/>
                        <wps:spPr>
                          <a:xfrm>
                            <a:off x="2668678" y="1463102"/>
                            <a:ext cx="772160" cy="622300"/>
                          </a:xfrm>
                          <a:custGeom>
                            <a:avLst/>
                            <a:gdLst/>
                            <a:ahLst/>
                            <a:cxnLst/>
                            <a:rect l="l" t="t" r="r" b="b"/>
                            <a:pathLst>
                              <a:path w="772160" h="622300">
                                <a:moveTo>
                                  <a:pt x="771553" y="0"/>
                                </a:moveTo>
                                <a:lnTo>
                                  <a:pt x="0" y="621755"/>
                                </a:lnTo>
                              </a:path>
                            </a:pathLst>
                          </a:custGeom>
                          <a:ln w="11849">
                            <a:solidFill>
                              <a:srgbClr val="231F20"/>
                            </a:solidFill>
                            <a:prstDash val="solid"/>
                          </a:ln>
                        </wps:spPr>
                        <wps:bodyPr wrap="square" lIns="0" tIns="0" rIns="0" bIns="0" rtlCol="0">
                          <a:prstTxWarp prst="textNoShape">
                            <a:avLst/>
                          </a:prstTxWarp>
                          <a:noAutofit/>
                        </wps:bodyPr>
                      </wps:wsp>
                      <wps:wsp>
                        <wps:cNvPr id="27" name="Graphic 27"/>
                        <wps:cNvSpPr/>
                        <wps:spPr>
                          <a:xfrm>
                            <a:off x="2636945" y="2063619"/>
                            <a:ext cx="52705" cy="44450"/>
                          </a:xfrm>
                          <a:custGeom>
                            <a:avLst/>
                            <a:gdLst/>
                            <a:ahLst/>
                            <a:cxnLst/>
                            <a:rect l="l" t="t" r="r" b="b"/>
                            <a:pathLst>
                              <a:path w="52705" h="44450">
                                <a:moveTo>
                                  <a:pt x="33286" y="0"/>
                                </a:moveTo>
                                <a:lnTo>
                                  <a:pt x="8394" y="35280"/>
                                </a:lnTo>
                                <a:lnTo>
                                  <a:pt x="0" y="44335"/>
                                </a:lnTo>
                                <a:lnTo>
                                  <a:pt x="4945" y="41775"/>
                                </a:lnTo>
                                <a:lnTo>
                                  <a:pt x="52146" y="25476"/>
                                </a:lnTo>
                                <a:lnTo>
                                  <a:pt x="33286" y="0"/>
                                </a:lnTo>
                                <a:close/>
                              </a:path>
                            </a:pathLst>
                          </a:custGeom>
                          <a:solidFill>
                            <a:srgbClr val="231F20"/>
                          </a:solidFill>
                        </wps:spPr>
                        <wps:bodyPr wrap="square" lIns="0" tIns="0" rIns="0" bIns="0" rtlCol="0">
                          <a:prstTxWarp prst="textNoShape">
                            <a:avLst/>
                          </a:prstTxWarp>
                          <a:noAutofit/>
                        </wps:bodyPr>
                      </wps:wsp>
                      <pic:pic>
                        <pic:nvPicPr>
                          <pic:cNvPr id="28" name="Image 28"/>
                          <pic:cNvPicPr/>
                        </pic:nvPicPr>
                        <pic:blipFill>
                          <a:blip r:embed="rId6" cstate="print"/>
                          <a:stretch>
                            <a:fillRect/>
                          </a:stretch>
                        </pic:blipFill>
                        <pic:spPr>
                          <a:xfrm>
                            <a:off x="3371639" y="2734199"/>
                            <a:ext cx="127412" cy="139921"/>
                          </a:xfrm>
                          <a:prstGeom prst="rect">
                            <a:avLst/>
                          </a:prstGeom>
                        </pic:spPr>
                      </pic:pic>
                      <wps:wsp>
                        <wps:cNvPr id="29" name="Graphic 29"/>
                        <wps:cNvSpPr/>
                        <wps:spPr>
                          <a:xfrm>
                            <a:off x="1241261" y="2450623"/>
                            <a:ext cx="846455" cy="175260"/>
                          </a:xfrm>
                          <a:custGeom>
                            <a:avLst/>
                            <a:gdLst/>
                            <a:ahLst/>
                            <a:cxnLst/>
                            <a:rect l="l" t="t" r="r" b="b"/>
                            <a:pathLst>
                              <a:path w="846455" h="175260">
                                <a:moveTo>
                                  <a:pt x="0" y="174670"/>
                                </a:moveTo>
                                <a:lnTo>
                                  <a:pt x="846453" y="0"/>
                                </a:lnTo>
                              </a:path>
                            </a:pathLst>
                          </a:custGeom>
                          <a:ln w="11849">
                            <a:solidFill>
                              <a:srgbClr val="231F20"/>
                            </a:solidFill>
                            <a:prstDash val="solid"/>
                          </a:ln>
                        </wps:spPr>
                        <wps:bodyPr wrap="square" lIns="0" tIns="0" rIns="0" bIns="0" rtlCol="0">
                          <a:prstTxWarp prst="textNoShape">
                            <a:avLst/>
                          </a:prstTxWarp>
                          <a:noAutofit/>
                        </wps:bodyPr>
                      </wps:wsp>
                      <wps:wsp>
                        <wps:cNvPr id="30" name="Graphic 30"/>
                        <wps:cNvSpPr/>
                        <wps:spPr>
                          <a:xfrm>
                            <a:off x="2071381" y="2437738"/>
                            <a:ext cx="55244" cy="31750"/>
                          </a:xfrm>
                          <a:custGeom>
                            <a:avLst/>
                            <a:gdLst/>
                            <a:ahLst/>
                            <a:cxnLst/>
                            <a:rect l="l" t="t" r="r" b="b"/>
                            <a:pathLst>
                              <a:path w="55244" h="31750">
                                <a:moveTo>
                                  <a:pt x="0" y="0"/>
                                </a:moveTo>
                                <a:lnTo>
                                  <a:pt x="5461" y="31254"/>
                                </a:lnTo>
                                <a:lnTo>
                                  <a:pt x="8891" y="28978"/>
                                </a:lnTo>
                                <a:lnTo>
                                  <a:pt x="14552" y="25523"/>
                                </a:lnTo>
                                <a:lnTo>
                                  <a:pt x="49798" y="8243"/>
                                </a:lnTo>
                                <a:lnTo>
                                  <a:pt x="55067" y="6413"/>
                                </a:lnTo>
                                <a:lnTo>
                                  <a:pt x="49492" y="6500"/>
                                </a:lnTo>
                                <a:lnTo>
                                  <a:pt x="12593" y="2632"/>
                                </a:lnTo>
                                <a:lnTo>
                                  <a:pt x="0" y="0"/>
                                </a:lnTo>
                                <a:close/>
                              </a:path>
                            </a:pathLst>
                          </a:custGeom>
                          <a:solidFill>
                            <a:srgbClr val="231F20"/>
                          </a:solidFill>
                        </wps:spPr>
                        <wps:bodyPr wrap="square" lIns="0" tIns="0" rIns="0" bIns="0" rtlCol="0">
                          <a:prstTxWarp prst="textNoShape">
                            <a:avLst/>
                          </a:prstTxWarp>
                          <a:noAutofit/>
                        </wps:bodyPr>
                      </wps:wsp>
                      <pic:pic>
                        <pic:nvPicPr>
                          <pic:cNvPr id="31" name="Image 31"/>
                          <pic:cNvPicPr/>
                        </pic:nvPicPr>
                        <pic:blipFill>
                          <a:blip r:embed="rId7" cstate="print"/>
                          <a:stretch>
                            <a:fillRect/>
                          </a:stretch>
                        </pic:blipFill>
                        <pic:spPr>
                          <a:xfrm>
                            <a:off x="3942203" y="2086759"/>
                            <a:ext cx="231801" cy="201538"/>
                          </a:xfrm>
                          <a:prstGeom prst="rect">
                            <a:avLst/>
                          </a:prstGeom>
                        </pic:spPr>
                      </pic:pic>
                      <wps:wsp>
                        <wps:cNvPr id="32" name="Graphic 32"/>
                        <wps:cNvSpPr/>
                        <wps:spPr>
                          <a:xfrm>
                            <a:off x="5924" y="1484003"/>
                            <a:ext cx="3867150" cy="1400810"/>
                          </a:xfrm>
                          <a:custGeom>
                            <a:avLst/>
                            <a:gdLst/>
                            <a:ahLst/>
                            <a:cxnLst/>
                            <a:rect l="l" t="t" r="r" b="b"/>
                            <a:pathLst>
                              <a:path w="3867150" h="1400810">
                                <a:moveTo>
                                  <a:pt x="0" y="0"/>
                                </a:moveTo>
                                <a:lnTo>
                                  <a:pt x="0" y="1400311"/>
                                </a:lnTo>
                                <a:lnTo>
                                  <a:pt x="3866525" y="1400311"/>
                                </a:lnTo>
                              </a:path>
                            </a:pathLst>
                          </a:custGeom>
                          <a:ln w="11849">
                            <a:solidFill>
                              <a:srgbClr val="231F20"/>
                            </a:solidFill>
                            <a:prstDash val="solid"/>
                          </a:ln>
                        </wps:spPr>
                        <wps:bodyPr wrap="square" lIns="0" tIns="0" rIns="0" bIns="0" rtlCol="0">
                          <a:prstTxWarp prst="textNoShape">
                            <a:avLst/>
                          </a:prstTxWarp>
                          <a:noAutofit/>
                        </wps:bodyPr>
                      </wps:wsp>
                      <wps:wsp>
                        <wps:cNvPr id="33" name="Graphic 33"/>
                        <wps:cNvSpPr/>
                        <wps:spPr>
                          <a:xfrm>
                            <a:off x="5166" y="2083203"/>
                            <a:ext cx="3359150" cy="791210"/>
                          </a:xfrm>
                          <a:custGeom>
                            <a:avLst/>
                            <a:gdLst/>
                            <a:ahLst/>
                            <a:cxnLst/>
                            <a:rect l="l" t="t" r="r" b="b"/>
                            <a:pathLst>
                              <a:path w="3359150" h="791210">
                                <a:moveTo>
                                  <a:pt x="0" y="221865"/>
                                </a:moveTo>
                                <a:lnTo>
                                  <a:pt x="59969" y="80195"/>
                                </a:lnTo>
                                <a:lnTo>
                                  <a:pt x="80243" y="41780"/>
                                </a:lnTo>
                                <a:lnTo>
                                  <a:pt x="125091" y="4570"/>
                                </a:lnTo>
                                <a:lnTo>
                                  <a:pt x="149052" y="0"/>
                                </a:lnTo>
                                <a:lnTo>
                                  <a:pt x="156913" y="27"/>
                                </a:lnTo>
                                <a:lnTo>
                                  <a:pt x="166720" y="88"/>
                                </a:lnTo>
                                <a:lnTo>
                                  <a:pt x="178573" y="149"/>
                                </a:lnTo>
                                <a:lnTo>
                                  <a:pt x="192574" y="177"/>
                                </a:lnTo>
                                <a:lnTo>
                                  <a:pt x="1408523" y="177"/>
                                </a:lnTo>
                                <a:lnTo>
                                  <a:pt x="3358950" y="790654"/>
                                </a:lnTo>
                              </a:path>
                            </a:pathLst>
                          </a:custGeom>
                          <a:ln w="8886">
                            <a:solidFill>
                              <a:srgbClr val="ED1C24"/>
                            </a:solidFill>
                            <a:prstDash val="solid"/>
                          </a:ln>
                        </wps:spPr>
                        <wps:bodyPr wrap="square" lIns="0" tIns="0" rIns="0" bIns="0" rtlCol="0">
                          <a:prstTxWarp prst="textNoShape">
                            <a:avLst/>
                          </a:prstTxWarp>
                          <a:noAutofit/>
                        </wps:bodyPr>
                      </wps:wsp>
                      <wps:wsp>
                        <wps:cNvPr id="34" name="Graphic 34"/>
                        <wps:cNvSpPr/>
                        <wps:spPr>
                          <a:xfrm>
                            <a:off x="1413679" y="2081510"/>
                            <a:ext cx="1503045" cy="625475"/>
                          </a:xfrm>
                          <a:custGeom>
                            <a:avLst/>
                            <a:gdLst/>
                            <a:ahLst/>
                            <a:cxnLst/>
                            <a:rect l="l" t="t" r="r" b="b"/>
                            <a:pathLst>
                              <a:path w="1503045" h="625475">
                                <a:moveTo>
                                  <a:pt x="0" y="1872"/>
                                </a:moveTo>
                                <a:lnTo>
                                  <a:pt x="14886" y="1521"/>
                                </a:lnTo>
                                <a:lnTo>
                                  <a:pt x="48967" y="780"/>
                                </a:lnTo>
                                <a:lnTo>
                                  <a:pt x="86371" y="117"/>
                                </a:lnTo>
                                <a:lnTo>
                                  <a:pt x="111229" y="0"/>
                                </a:lnTo>
                                <a:lnTo>
                                  <a:pt x="127797" y="496"/>
                                </a:lnTo>
                                <a:lnTo>
                                  <a:pt x="169331" y="2932"/>
                                </a:lnTo>
                                <a:lnTo>
                                  <a:pt x="216570" y="11988"/>
                                </a:lnTo>
                                <a:lnTo>
                                  <a:pt x="256016" y="29396"/>
                                </a:lnTo>
                                <a:lnTo>
                                  <a:pt x="282103" y="58288"/>
                                </a:lnTo>
                                <a:lnTo>
                                  <a:pt x="293226" y="111395"/>
                                </a:lnTo>
                                <a:lnTo>
                                  <a:pt x="295710" y="140153"/>
                                </a:lnTo>
                                <a:lnTo>
                                  <a:pt x="296630" y="149959"/>
                                </a:lnTo>
                                <a:lnTo>
                                  <a:pt x="304350" y="188131"/>
                                </a:lnTo>
                                <a:lnTo>
                                  <a:pt x="330846" y="221294"/>
                                </a:lnTo>
                                <a:lnTo>
                                  <a:pt x="372289" y="228858"/>
                                </a:lnTo>
                                <a:lnTo>
                                  <a:pt x="382986" y="227956"/>
                                </a:lnTo>
                                <a:lnTo>
                                  <a:pt x="434129" y="218093"/>
                                </a:lnTo>
                                <a:lnTo>
                                  <a:pt x="483349" y="205950"/>
                                </a:lnTo>
                                <a:lnTo>
                                  <a:pt x="533520" y="193414"/>
                                </a:lnTo>
                                <a:lnTo>
                                  <a:pt x="564618" y="185749"/>
                                </a:lnTo>
                                <a:lnTo>
                                  <a:pt x="607663" y="176441"/>
                                </a:lnTo>
                                <a:lnTo>
                                  <a:pt x="654902" y="171903"/>
                                </a:lnTo>
                                <a:lnTo>
                                  <a:pt x="663677" y="171921"/>
                                </a:lnTo>
                                <a:lnTo>
                                  <a:pt x="702026" y="187711"/>
                                </a:lnTo>
                                <a:lnTo>
                                  <a:pt x="715979" y="224827"/>
                                </a:lnTo>
                                <a:lnTo>
                                  <a:pt x="718279" y="268895"/>
                                </a:lnTo>
                                <a:lnTo>
                                  <a:pt x="718357" y="278348"/>
                                </a:lnTo>
                                <a:lnTo>
                                  <a:pt x="718591" y="293180"/>
                                </a:lnTo>
                                <a:lnTo>
                                  <a:pt x="721709" y="333336"/>
                                </a:lnTo>
                                <a:lnTo>
                                  <a:pt x="741492" y="369377"/>
                                </a:lnTo>
                                <a:lnTo>
                                  <a:pt x="780877" y="377469"/>
                                </a:lnTo>
                                <a:lnTo>
                                  <a:pt x="790936" y="376709"/>
                                </a:lnTo>
                                <a:lnTo>
                                  <a:pt x="830295" y="369047"/>
                                </a:lnTo>
                                <a:lnTo>
                                  <a:pt x="873090" y="358234"/>
                                </a:lnTo>
                                <a:lnTo>
                                  <a:pt x="916044" y="347184"/>
                                </a:lnTo>
                                <a:lnTo>
                                  <a:pt x="939055" y="341081"/>
                                </a:lnTo>
                                <a:lnTo>
                                  <a:pt x="948362" y="338796"/>
                                </a:lnTo>
                                <a:lnTo>
                                  <a:pt x="994857" y="331626"/>
                                </a:lnTo>
                                <a:lnTo>
                                  <a:pt x="1006175" y="330944"/>
                                </a:lnTo>
                                <a:lnTo>
                                  <a:pt x="1016862" y="331213"/>
                                </a:lnTo>
                                <a:lnTo>
                                  <a:pt x="1053606" y="349835"/>
                                </a:lnTo>
                                <a:lnTo>
                                  <a:pt x="1070462" y="384182"/>
                                </a:lnTo>
                                <a:lnTo>
                                  <a:pt x="1078667" y="424568"/>
                                </a:lnTo>
                                <a:lnTo>
                                  <a:pt x="1082548" y="446091"/>
                                </a:lnTo>
                                <a:lnTo>
                                  <a:pt x="1093937" y="485876"/>
                                </a:lnTo>
                                <a:lnTo>
                                  <a:pt x="1120927" y="514217"/>
                                </a:lnTo>
                                <a:lnTo>
                                  <a:pt x="1158291" y="524424"/>
                                </a:lnTo>
                                <a:lnTo>
                                  <a:pt x="1186642" y="526027"/>
                                </a:lnTo>
                                <a:lnTo>
                                  <a:pt x="1198351" y="525846"/>
                                </a:lnTo>
                                <a:lnTo>
                                  <a:pt x="1258396" y="523123"/>
                                </a:lnTo>
                                <a:lnTo>
                                  <a:pt x="1305470" y="520064"/>
                                </a:lnTo>
                                <a:lnTo>
                                  <a:pt x="1346021" y="511981"/>
                                </a:lnTo>
                                <a:lnTo>
                                  <a:pt x="1374660" y="501281"/>
                                </a:lnTo>
                                <a:lnTo>
                                  <a:pt x="1386919" y="497522"/>
                                </a:lnTo>
                                <a:lnTo>
                                  <a:pt x="1399022" y="495268"/>
                                </a:lnTo>
                                <a:lnTo>
                                  <a:pt x="1412445" y="494517"/>
                                </a:lnTo>
                                <a:lnTo>
                                  <a:pt x="1425404" y="495179"/>
                                </a:lnTo>
                                <a:lnTo>
                                  <a:pt x="1459470" y="523242"/>
                                </a:lnTo>
                                <a:lnTo>
                                  <a:pt x="1481287" y="567964"/>
                                </a:lnTo>
                                <a:lnTo>
                                  <a:pt x="1498693" y="613102"/>
                                </a:lnTo>
                                <a:lnTo>
                                  <a:pt x="1501577" y="621883"/>
                                </a:lnTo>
                                <a:lnTo>
                                  <a:pt x="1502606" y="625167"/>
                                </a:lnTo>
                              </a:path>
                            </a:pathLst>
                          </a:custGeom>
                          <a:ln w="8886">
                            <a:solidFill>
                              <a:srgbClr val="0066B3"/>
                            </a:solidFill>
                            <a:prstDash val="solid"/>
                          </a:ln>
                        </wps:spPr>
                        <wps:bodyPr wrap="square" lIns="0" tIns="0" rIns="0" bIns="0" rtlCol="0">
                          <a:prstTxWarp prst="textNoShape">
                            <a:avLst/>
                          </a:prstTxWarp>
                          <a:noAutofit/>
                        </wps:bodyPr>
                      </wps:wsp>
                      <wps:wsp>
                        <wps:cNvPr id="35" name="Graphic 35"/>
                        <wps:cNvSpPr/>
                        <wps:spPr>
                          <a:xfrm>
                            <a:off x="1292757" y="1489975"/>
                            <a:ext cx="1270" cy="17780"/>
                          </a:xfrm>
                          <a:custGeom>
                            <a:avLst/>
                            <a:gdLst/>
                            <a:ahLst/>
                            <a:cxnLst/>
                            <a:rect l="l" t="t" r="r" b="b"/>
                            <a:pathLst>
                              <a:path w="0" h="17780">
                                <a:moveTo>
                                  <a:pt x="0" y="0"/>
                                </a:moveTo>
                                <a:lnTo>
                                  <a:pt x="0" y="17773"/>
                                </a:lnTo>
                              </a:path>
                            </a:pathLst>
                          </a:custGeom>
                          <a:ln w="11849">
                            <a:solidFill>
                              <a:srgbClr val="231F20"/>
                            </a:solidFill>
                            <a:prstDash val="solid"/>
                          </a:ln>
                        </wps:spPr>
                        <wps:bodyPr wrap="square" lIns="0" tIns="0" rIns="0" bIns="0" rtlCol="0">
                          <a:prstTxWarp prst="textNoShape">
                            <a:avLst/>
                          </a:prstTxWarp>
                          <a:noAutofit/>
                        </wps:bodyPr>
                      </wps:wsp>
                      <wps:wsp>
                        <wps:cNvPr id="36" name="Graphic 36"/>
                        <wps:cNvSpPr/>
                        <wps:spPr>
                          <a:xfrm>
                            <a:off x="1292757" y="1542597"/>
                            <a:ext cx="1270" cy="1306830"/>
                          </a:xfrm>
                          <a:custGeom>
                            <a:avLst/>
                            <a:gdLst/>
                            <a:ahLst/>
                            <a:cxnLst/>
                            <a:rect l="l" t="t" r="r" b="b"/>
                            <a:pathLst>
                              <a:path w="0" h="1306830">
                                <a:moveTo>
                                  <a:pt x="0" y="0"/>
                                </a:moveTo>
                                <a:lnTo>
                                  <a:pt x="0" y="1306524"/>
                                </a:lnTo>
                              </a:path>
                            </a:pathLst>
                          </a:custGeom>
                          <a:ln w="11849">
                            <a:solidFill>
                              <a:srgbClr val="231F20"/>
                            </a:solidFill>
                            <a:prstDash val="dash"/>
                          </a:ln>
                        </wps:spPr>
                        <wps:bodyPr wrap="square" lIns="0" tIns="0" rIns="0" bIns="0" rtlCol="0">
                          <a:prstTxWarp prst="textNoShape">
                            <a:avLst/>
                          </a:prstTxWarp>
                          <a:noAutofit/>
                        </wps:bodyPr>
                      </wps:wsp>
                      <wps:wsp>
                        <wps:cNvPr id="37" name="Graphic 37"/>
                        <wps:cNvSpPr/>
                        <wps:spPr>
                          <a:xfrm>
                            <a:off x="1292757" y="1489965"/>
                            <a:ext cx="122555" cy="1394460"/>
                          </a:xfrm>
                          <a:custGeom>
                            <a:avLst/>
                            <a:gdLst/>
                            <a:ahLst/>
                            <a:cxnLst/>
                            <a:rect l="l" t="t" r="r" b="b"/>
                            <a:pathLst>
                              <a:path w="122555" h="1394460">
                                <a:moveTo>
                                  <a:pt x="0" y="1376566"/>
                                </a:moveTo>
                                <a:lnTo>
                                  <a:pt x="0" y="1394339"/>
                                </a:lnTo>
                              </a:path>
                              <a:path w="122555" h="1394460">
                                <a:moveTo>
                                  <a:pt x="122414" y="0"/>
                                </a:moveTo>
                                <a:lnTo>
                                  <a:pt x="122414" y="17773"/>
                                </a:lnTo>
                              </a:path>
                            </a:pathLst>
                          </a:custGeom>
                          <a:ln w="11849">
                            <a:solidFill>
                              <a:srgbClr val="231F20"/>
                            </a:solidFill>
                            <a:prstDash val="solid"/>
                          </a:ln>
                        </wps:spPr>
                        <wps:bodyPr wrap="square" lIns="0" tIns="0" rIns="0" bIns="0" rtlCol="0">
                          <a:prstTxWarp prst="textNoShape">
                            <a:avLst/>
                          </a:prstTxWarp>
                          <a:noAutofit/>
                        </wps:bodyPr>
                      </wps:wsp>
                      <wps:wsp>
                        <wps:cNvPr id="38" name="Graphic 38"/>
                        <wps:cNvSpPr/>
                        <wps:spPr>
                          <a:xfrm>
                            <a:off x="1415171" y="1542597"/>
                            <a:ext cx="1270" cy="1306830"/>
                          </a:xfrm>
                          <a:custGeom>
                            <a:avLst/>
                            <a:gdLst/>
                            <a:ahLst/>
                            <a:cxnLst/>
                            <a:rect l="l" t="t" r="r" b="b"/>
                            <a:pathLst>
                              <a:path w="0" h="1306830">
                                <a:moveTo>
                                  <a:pt x="0" y="0"/>
                                </a:moveTo>
                                <a:lnTo>
                                  <a:pt x="0" y="1306524"/>
                                </a:lnTo>
                              </a:path>
                            </a:pathLst>
                          </a:custGeom>
                          <a:ln w="11849">
                            <a:solidFill>
                              <a:srgbClr val="231F20"/>
                            </a:solidFill>
                            <a:prstDash val="dash"/>
                          </a:ln>
                        </wps:spPr>
                        <wps:bodyPr wrap="square" lIns="0" tIns="0" rIns="0" bIns="0" rtlCol="0">
                          <a:prstTxWarp prst="textNoShape">
                            <a:avLst/>
                          </a:prstTxWarp>
                          <a:noAutofit/>
                        </wps:bodyPr>
                      </wps:wsp>
                      <wps:wsp>
                        <wps:cNvPr id="39" name="Graphic 39"/>
                        <wps:cNvSpPr/>
                        <wps:spPr>
                          <a:xfrm>
                            <a:off x="1415171" y="1489965"/>
                            <a:ext cx="857250" cy="1394460"/>
                          </a:xfrm>
                          <a:custGeom>
                            <a:avLst/>
                            <a:gdLst/>
                            <a:ahLst/>
                            <a:cxnLst/>
                            <a:rect l="l" t="t" r="r" b="b"/>
                            <a:pathLst>
                              <a:path w="857250" h="1394460">
                                <a:moveTo>
                                  <a:pt x="0" y="1376566"/>
                                </a:moveTo>
                                <a:lnTo>
                                  <a:pt x="0" y="1394339"/>
                                </a:lnTo>
                              </a:path>
                              <a:path w="857250" h="1394460">
                                <a:moveTo>
                                  <a:pt x="856915" y="0"/>
                                </a:moveTo>
                                <a:lnTo>
                                  <a:pt x="856915" y="17773"/>
                                </a:lnTo>
                              </a:path>
                            </a:pathLst>
                          </a:custGeom>
                          <a:ln w="11849">
                            <a:solidFill>
                              <a:srgbClr val="231F20"/>
                            </a:solidFill>
                            <a:prstDash val="solid"/>
                          </a:ln>
                        </wps:spPr>
                        <wps:bodyPr wrap="square" lIns="0" tIns="0" rIns="0" bIns="0" rtlCol="0">
                          <a:prstTxWarp prst="textNoShape">
                            <a:avLst/>
                          </a:prstTxWarp>
                          <a:noAutofit/>
                        </wps:bodyPr>
                      </wps:wsp>
                      <wps:wsp>
                        <wps:cNvPr id="40" name="Graphic 40"/>
                        <wps:cNvSpPr/>
                        <wps:spPr>
                          <a:xfrm>
                            <a:off x="2272080" y="1542597"/>
                            <a:ext cx="1270" cy="1306830"/>
                          </a:xfrm>
                          <a:custGeom>
                            <a:avLst/>
                            <a:gdLst/>
                            <a:ahLst/>
                            <a:cxnLst/>
                            <a:rect l="l" t="t" r="r" b="b"/>
                            <a:pathLst>
                              <a:path w="0" h="1306830">
                                <a:moveTo>
                                  <a:pt x="0" y="0"/>
                                </a:moveTo>
                                <a:lnTo>
                                  <a:pt x="0" y="1306524"/>
                                </a:lnTo>
                              </a:path>
                            </a:pathLst>
                          </a:custGeom>
                          <a:ln w="11849">
                            <a:solidFill>
                              <a:srgbClr val="231F20"/>
                            </a:solidFill>
                            <a:prstDash val="dash"/>
                          </a:ln>
                        </wps:spPr>
                        <wps:bodyPr wrap="square" lIns="0" tIns="0" rIns="0" bIns="0" rtlCol="0">
                          <a:prstTxWarp prst="textNoShape">
                            <a:avLst/>
                          </a:prstTxWarp>
                          <a:noAutofit/>
                        </wps:bodyPr>
                      </wps:wsp>
                      <wps:wsp>
                        <wps:cNvPr id="41" name="Graphic 41"/>
                        <wps:cNvSpPr/>
                        <wps:spPr>
                          <a:xfrm>
                            <a:off x="2272080" y="1489965"/>
                            <a:ext cx="627380" cy="1394460"/>
                          </a:xfrm>
                          <a:custGeom>
                            <a:avLst/>
                            <a:gdLst/>
                            <a:ahLst/>
                            <a:cxnLst/>
                            <a:rect l="l" t="t" r="r" b="b"/>
                            <a:pathLst>
                              <a:path w="627380" h="1394460">
                                <a:moveTo>
                                  <a:pt x="0" y="1376566"/>
                                </a:moveTo>
                                <a:lnTo>
                                  <a:pt x="0" y="1394339"/>
                                </a:lnTo>
                              </a:path>
                              <a:path w="627380" h="1394460">
                                <a:moveTo>
                                  <a:pt x="627004" y="0"/>
                                </a:moveTo>
                                <a:lnTo>
                                  <a:pt x="627004" y="17773"/>
                                </a:lnTo>
                              </a:path>
                            </a:pathLst>
                          </a:custGeom>
                          <a:ln w="11849">
                            <a:solidFill>
                              <a:srgbClr val="231F20"/>
                            </a:solidFill>
                            <a:prstDash val="solid"/>
                          </a:ln>
                        </wps:spPr>
                        <wps:bodyPr wrap="square" lIns="0" tIns="0" rIns="0" bIns="0" rtlCol="0">
                          <a:prstTxWarp prst="textNoShape">
                            <a:avLst/>
                          </a:prstTxWarp>
                          <a:noAutofit/>
                        </wps:bodyPr>
                      </wps:wsp>
                      <wps:wsp>
                        <wps:cNvPr id="42" name="Graphic 42"/>
                        <wps:cNvSpPr/>
                        <wps:spPr>
                          <a:xfrm>
                            <a:off x="2899079" y="1542597"/>
                            <a:ext cx="1270" cy="1306830"/>
                          </a:xfrm>
                          <a:custGeom>
                            <a:avLst/>
                            <a:gdLst/>
                            <a:ahLst/>
                            <a:cxnLst/>
                            <a:rect l="l" t="t" r="r" b="b"/>
                            <a:pathLst>
                              <a:path w="0" h="1306830">
                                <a:moveTo>
                                  <a:pt x="0" y="0"/>
                                </a:moveTo>
                                <a:lnTo>
                                  <a:pt x="0" y="1306524"/>
                                </a:lnTo>
                              </a:path>
                            </a:pathLst>
                          </a:custGeom>
                          <a:ln w="11849">
                            <a:solidFill>
                              <a:srgbClr val="231F20"/>
                            </a:solidFill>
                            <a:prstDash val="dash"/>
                          </a:ln>
                        </wps:spPr>
                        <wps:bodyPr wrap="square" lIns="0" tIns="0" rIns="0" bIns="0" rtlCol="0">
                          <a:prstTxWarp prst="textNoShape">
                            <a:avLst/>
                          </a:prstTxWarp>
                          <a:noAutofit/>
                        </wps:bodyPr>
                      </wps:wsp>
                      <wps:wsp>
                        <wps:cNvPr id="43" name="Graphic 43"/>
                        <wps:cNvSpPr/>
                        <wps:spPr>
                          <a:xfrm>
                            <a:off x="2899079" y="1489965"/>
                            <a:ext cx="471805" cy="1394460"/>
                          </a:xfrm>
                          <a:custGeom>
                            <a:avLst/>
                            <a:gdLst/>
                            <a:ahLst/>
                            <a:cxnLst/>
                            <a:rect l="l" t="t" r="r" b="b"/>
                            <a:pathLst>
                              <a:path w="471805" h="1394460">
                                <a:moveTo>
                                  <a:pt x="0" y="1376566"/>
                                </a:moveTo>
                                <a:lnTo>
                                  <a:pt x="0" y="1394339"/>
                                </a:lnTo>
                              </a:path>
                              <a:path w="471805" h="1394460">
                                <a:moveTo>
                                  <a:pt x="471743" y="0"/>
                                </a:moveTo>
                                <a:lnTo>
                                  <a:pt x="471743" y="17773"/>
                                </a:lnTo>
                              </a:path>
                            </a:pathLst>
                          </a:custGeom>
                          <a:ln w="11849">
                            <a:solidFill>
                              <a:srgbClr val="231F20"/>
                            </a:solidFill>
                            <a:prstDash val="solid"/>
                          </a:ln>
                        </wps:spPr>
                        <wps:bodyPr wrap="square" lIns="0" tIns="0" rIns="0" bIns="0" rtlCol="0">
                          <a:prstTxWarp prst="textNoShape">
                            <a:avLst/>
                          </a:prstTxWarp>
                          <a:noAutofit/>
                        </wps:bodyPr>
                      </wps:wsp>
                      <wps:wsp>
                        <wps:cNvPr id="44" name="Graphic 44"/>
                        <wps:cNvSpPr/>
                        <wps:spPr>
                          <a:xfrm>
                            <a:off x="3370820" y="1542597"/>
                            <a:ext cx="1270" cy="1306830"/>
                          </a:xfrm>
                          <a:custGeom>
                            <a:avLst/>
                            <a:gdLst/>
                            <a:ahLst/>
                            <a:cxnLst/>
                            <a:rect l="l" t="t" r="r" b="b"/>
                            <a:pathLst>
                              <a:path w="0" h="1306830">
                                <a:moveTo>
                                  <a:pt x="0" y="0"/>
                                </a:moveTo>
                                <a:lnTo>
                                  <a:pt x="0" y="1306524"/>
                                </a:lnTo>
                              </a:path>
                            </a:pathLst>
                          </a:custGeom>
                          <a:ln w="11849">
                            <a:solidFill>
                              <a:srgbClr val="231F20"/>
                            </a:solidFill>
                            <a:prstDash val="dash"/>
                          </a:ln>
                        </wps:spPr>
                        <wps:bodyPr wrap="square" lIns="0" tIns="0" rIns="0" bIns="0" rtlCol="0">
                          <a:prstTxWarp prst="textNoShape">
                            <a:avLst/>
                          </a:prstTxWarp>
                          <a:noAutofit/>
                        </wps:bodyPr>
                      </wps:wsp>
                      <wps:wsp>
                        <wps:cNvPr id="45" name="Graphic 45"/>
                        <wps:cNvSpPr/>
                        <wps:spPr>
                          <a:xfrm>
                            <a:off x="3370820" y="2866531"/>
                            <a:ext cx="1270" cy="17780"/>
                          </a:xfrm>
                          <a:custGeom>
                            <a:avLst/>
                            <a:gdLst/>
                            <a:ahLst/>
                            <a:cxnLst/>
                            <a:rect l="l" t="t" r="r" b="b"/>
                            <a:pathLst>
                              <a:path w="0" h="17780">
                                <a:moveTo>
                                  <a:pt x="0" y="0"/>
                                </a:moveTo>
                                <a:lnTo>
                                  <a:pt x="0" y="17773"/>
                                </a:lnTo>
                              </a:path>
                            </a:pathLst>
                          </a:custGeom>
                          <a:ln w="11849">
                            <a:solidFill>
                              <a:srgbClr val="231F20"/>
                            </a:solidFill>
                            <a:prstDash val="solid"/>
                          </a:ln>
                        </wps:spPr>
                        <wps:bodyPr wrap="square" lIns="0" tIns="0" rIns="0" bIns="0" rtlCol="0">
                          <a:prstTxWarp prst="textNoShape">
                            <a:avLst/>
                          </a:prstTxWarp>
                          <a:noAutofit/>
                        </wps:bodyPr>
                      </wps:wsp>
                      <wps:wsp>
                        <wps:cNvPr id="46" name="Textbox 46"/>
                        <wps:cNvSpPr txBox="1"/>
                        <wps:spPr>
                          <a:xfrm>
                            <a:off x="275498" y="1228836"/>
                            <a:ext cx="584835" cy="182880"/>
                          </a:xfrm>
                          <a:prstGeom prst="rect">
                            <a:avLst/>
                          </a:prstGeom>
                        </wps:spPr>
                        <wps:txbx>
                          <w:txbxContent>
                            <w:p>
                              <w:pPr>
                                <w:spacing w:line="128" w:lineRule="exact" w:before="0"/>
                                <w:ind w:left="0" w:right="0" w:firstLine="0"/>
                                <w:jc w:val="left"/>
                                <w:rPr>
                                  <w:rFonts w:ascii="Arial"/>
                                  <w:b/>
                                  <w:sz w:val="13"/>
                                </w:rPr>
                              </w:pPr>
                              <w:r>
                                <w:rPr>
                                  <w:rFonts w:ascii="Arial"/>
                                  <w:b/>
                                  <w:color w:val="231F20"/>
                                  <w:spacing w:val="-2"/>
                                  <w:sz w:val="13"/>
                                </w:rPr>
                                <w:t>Genetic</w:t>
                              </w:r>
                            </w:p>
                            <w:p>
                              <w:pPr>
                                <w:spacing w:before="7"/>
                                <w:ind w:left="0" w:right="0" w:firstLine="0"/>
                                <w:jc w:val="left"/>
                                <w:rPr>
                                  <w:rFonts w:ascii="Arial"/>
                                  <w:b/>
                                  <w:sz w:val="13"/>
                                </w:rPr>
                              </w:pPr>
                              <w:r>
                                <w:rPr>
                                  <w:rFonts w:ascii="Arial"/>
                                  <w:b/>
                                  <w:color w:val="231F20"/>
                                  <w:spacing w:val="-2"/>
                                  <w:sz w:val="13"/>
                                </w:rPr>
                                <w:t>predisposition</w:t>
                              </w:r>
                            </w:p>
                          </w:txbxContent>
                        </wps:txbx>
                        <wps:bodyPr wrap="square" lIns="0" tIns="0" rIns="0" bIns="0" rtlCol="0">
                          <a:noAutofit/>
                        </wps:bodyPr>
                      </wps:wsp>
                      <wps:wsp>
                        <wps:cNvPr id="47" name="Textbox 47"/>
                        <wps:cNvSpPr txBox="1"/>
                        <wps:spPr>
                          <a:xfrm>
                            <a:off x="1457854" y="1518459"/>
                            <a:ext cx="598170" cy="282575"/>
                          </a:xfrm>
                          <a:prstGeom prst="rect">
                            <a:avLst/>
                          </a:prstGeom>
                        </wps:spPr>
                        <wps:txbx>
                          <w:txbxContent>
                            <w:p>
                              <w:pPr>
                                <w:spacing w:line="128" w:lineRule="exact" w:before="0"/>
                                <w:ind w:left="0" w:right="0" w:firstLine="0"/>
                                <w:jc w:val="left"/>
                                <w:rPr>
                                  <w:rFonts w:ascii="Arial"/>
                                  <w:b/>
                                  <w:sz w:val="13"/>
                                </w:rPr>
                              </w:pPr>
                              <w:r>
                                <w:rPr>
                                  <w:rFonts w:ascii="Arial"/>
                                  <w:b/>
                                  <w:color w:val="231F20"/>
                                  <w:spacing w:val="-2"/>
                                  <w:sz w:val="13"/>
                                </w:rPr>
                                <w:t>Overt</w:t>
                              </w:r>
                            </w:p>
                            <w:p>
                              <w:pPr>
                                <w:spacing w:line="252" w:lineRule="auto" w:before="2"/>
                                <w:ind w:left="0" w:right="0" w:firstLine="0"/>
                                <w:jc w:val="left"/>
                                <w:rPr>
                                  <w:rFonts w:ascii="Arial"/>
                                  <w:b/>
                                  <w:sz w:val="13"/>
                                </w:rPr>
                              </w:pPr>
                              <w:r>
                                <w:rPr>
                                  <w:rFonts w:ascii="Arial"/>
                                  <w:b/>
                                  <w:color w:val="231F20"/>
                                  <w:spacing w:val="-2"/>
                                  <w:sz w:val="13"/>
                                </w:rPr>
                                <w:t>immunological</w:t>
                              </w:r>
                              <w:r>
                                <w:rPr>
                                  <w:rFonts w:ascii="Arial"/>
                                  <w:b/>
                                  <w:color w:val="231F20"/>
                                  <w:spacing w:val="40"/>
                                  <w:sz w:val="13"/>
                                </w:rPr>
                                <w:t> </w:t>
                              </w:r>
                              <w:r>
                                <w:rPr>
                                  <w:rFonts w:ascii="Arial"/>
                                  <w:b/>
                                  <w:color w:val="231F20"/>
                                  <w:spacing w:val="-2"/>
                                  <w:sz w:val="13"/>
                                </w:rPr>
                                <w:t>abnormalities</w:t>
                              </w:r>
                            </w:p>
                          </w:txbxContent>
                        </wps:txbx>
                        <wps:bodyPr wrap="square" lIns="0" tIns="0" rIns="0" bIns="0" rtlCol="0">
                          <a:noAutofit/>
                        </wps:bodyPr>
                      </wps:wsp>
                      <wps:wsp>
                        <wps:cNvPr id="48" name="Textbox 48"/>
                        <wps:cNvSpPr txBox="1"/>
                        <wps:spPr>
                          <a:xfrm>
                            <a:off x="2380437" y="1515473"/>
                            <a:ext cx="487680" cy="381635"/>
                          </a:xfrm>
                          <a:prstGeom prst="rect">
                            <a:avLst/>
                          </a:prstGeom>
                        </wps:spPr>
                        <wps:txbx>
                          <w:txbxContent>
                            <w:p>
                              <w:pPr>
                                <w:spacing w:line="128" w:lineRule="exact" w:before="0"/>
                                <w:ind w:left="0" w:right="0" w:firstLine="0"/>
                                <w:jc w:val="left"/>
                                <w:rPr>
                                  <w:rFonts w:ascii="Arial"/>
                                  <w:b/>
                                  <w:sz w:val="13"/>
                                </w:rPr>
                              </w:pPr>
                              <w:r>
                                <w:rPr>
                                  <w:rFonts w:ascii="Arial"/>
                                  <w:b/>
                                  <w:color w:val="231F20"/>
                                  <w:spacing w:val="-2"/>
                                  <w:sz w:val="13"/>
                                </w:rPr>
                                <w:t>Progressive</w:t>
                              </w:r>
                            </w:p>
                            <w:p>
                              <w:pPr>
                                <w:spacing w:line="252" w:lineRule="auto" w:before="2"/>
                                <w:ind w:left="72" w:right="0" w:hanging="73"/>
                                <w:jc w:val="left"/>
                                <w:rPr>
                                  <w:rFonts w:ascii="Arial"/>
                                  <w:b/>
                                  <w:sz w:val="13"/>
                                </w:rPr>
                              </w:pPr>
                              <w:r>
                                <w:rPr>
                                  <w:rFonts w:ascii="Arial"/>
                                  <w:b/>
                                  <w:color w:val="231F20"/>
                                  <w:sz w:val="13"/>
                                </w:rPr>
                                <w:t>loss</w:t>
                              </w:r>
                              <w:r>
                                <w:rPr>
                                  <w:rFonts w:ascii="Arial"/>
                                  <w:b/>
                                  <w:color w:val="231F20"/>
                                  <w:spacing w:val="-5"/>
                                  <w:sz w:val="13"/>
                                </w:rPr>
                                <w:t> </w:t>
                              </w:r>
                              <w:r>
                                <w:rPr>
                                  <w:rFonts w:ascii="Arial"/>
                                  <w:b/>
                                  <w:color w:val="231F20"/>
                                  <w:sz w:val="13"/>
                                </w:rPr>
                                <w:t>of</w:t>
                              </w:r>
                              <w:r>
                                <w:rPr>
                                  <w:rFonts w:ascii="Arial"/>
                                  <w:b/>
                                  <w:color w:val="231F20"/>
                                  <w:spacing w:val="40"/>
                                  <w:sz w:val="13"/>
                                </w:rPr>
                                <w:t> </w:t>
                              </w:r>
                              <w:r>
                                <w:rPr>
                                  <w:rFonts w:ascii="Arial"/>
                                  <w:b/>
                                  <w:color w:val="231F20"/>
                                  <w:spacing w:val="-2"/>
                                  <w:sz w:val="13"/>
                                </w:rPr>
                                <w:t>insulin</w:t>
                              </w:r>
                              <w:r>
                                <w:rPr>
                                  <w:rFonts w:ascii="Arial"/>
                                  <w:b/>
                                  <w:color w:val="231F20"/>
                                  <w:spacing w:val="40"/>
                                  <w:sz w:val="13"/>
                                </w:rPr>
                                <w:t> </w:t>
                              </w:r>
                              <w:r>
                                <w:rPr>
                                  <w:rFonts w:ascii="Arial"/>
                                  <w:b/>
                                  <w:color w:val="231F20"/>
                                  <w:spacing w:val="-2"/>
                                  <w:sz w:val="13"/>
                                </w:rPr>
                                <w:t>release</w:t>
                              </w:r>
                            </w:p>
                          </w:txbxContent>
                        </wps:txbx>
                        <wps:bodyPr wrap="square" lIns="0" tIns="0" rIns="0" bIns="0" rtlCol="0">
                          <a:noAutofit/>
                        </wps:bodyPr>
                      </wps:wsp>
                      <wps:wsp>
                        <wps:cNvPr id="49" name="Textbox 49"/>
                        <wps:cNvSpPr txBox="1"/>
                        <wps:spPr>
                          <a:xfrm>
                            <a:off x="3475294" y="1227326"/>
                            <a:ext cx="935355" cy="381635"/>
                          </a:xfrm>
                          <a:prstGeom prst="rect">
                            <a:avLst/>
                          </a:prstGeom>
                        </wps:spPr>
                        <wps:txbx>
                          <w:txbxContent>
                            <w:p>
                              <w:pPr>
                                <w:spacing w:line="128" w:lineRule="exact" w:before="0"/>
                                <w:ind w:left="0" w:right="0" w:firstLine="0"/>
                                <w:jc w:val="left"/>
                                <w:rPr>
                                  <w:rFonts w:ascii="Arial MT"/>
                                  <w:sz w:val="13"/>
                                </w:rPr>
                              </w:pPr>
                              <w:r>
                                <w:rPr>
                                  <w:rFonts w:ascii="Arial MT"/>
                                  <w:color w:val="231F20"/>
                                  <w:sz w:val="13"/>
                                </w:rPr>
                                <w:t>6.</w:t>
                              </w:r>
                              <w:r>
                                <w:rPr>
                                  <w:rFonts w:ascii="Arial MT"/>
                                  <w:color w:val="231F20"/>
                                  <w:spacing w:val="-5"/>
                                  <w:sz w:val="13"/>
                                </w:rPr>
                                <w:t> </w:t>
                              </w:r>
                              <w:r>
                                <w:rPr>
                                  <w:rFonts w:ascii="Arial MT"/>
                                  <w:color w:val="231F20"/>
                                  <w:sz w:val="13"/>
                                </w:rPr>
                                <w:t>Increasing</w:t>
                              </w:r>
                              <w:r>
                                <w:rPr>
                                  <w:rFonts w:ascii="Arial MT"/>
                                  <w:color w:val="231F20"/>
                                  <w:spacing w:val="-4"/>
                                  <w:sz w:val="13"/>
                                </w:rPr>
                                <w:t> </w:t>
                              </w:r>
                              <w:r>
                                <w:rPr>
                                  <w:rFonts w:ascii="Arial MT"/>
                                  <w:color w:val="231F20"/>
                                  <w:spacing w:val="-2"/>
                                  <w:sz w:val="13"/>
                                </w:rPr>
                                <w:t>glucose</w:t>
                              </w:r>
                            </w:p>
                            <w:p>
                              <w:pPr>
                                <w:spacing w:line="252" w:lineRule="auto" w:before="2"/>
                                <w:ind w:left="0" w:right="17" w:firstLine="0"/>
                                <w:jc w:val="left"/>
                                <w:rPr>
                                  <w:rFonts w:ascii="Arial MT"/>
                                  <w:sz w:val="13"/>
                                </w:rPr>
                              </w:pPr>
                              <w:r>
                                <w:rPr>
                                  <w:rFonts w:ascii="Arial MT"/>
                                  <w:color w:val="231F20"/>
                                  <w:sz w:val="13"/>
                                </w:rPr>
                                <w:t>excursions as individual</w:t>
                              </w:r>
                              <w:r>
                                <w:rPr>
                                  <w:rFonts w:ascii="Arial MT"/>
                                  <w:color w:val="231F20"/>
                                  <w:spacing w:val="40"/>
                                  <w:sz w:val="13"/>
                                </w:rPr>
                                <w:t> </w:t>
                              </w:r>
                              <w:r>
                                <w:rPr>
                                  <w:rFonts w:ascii="Arial MT"/>
                                  <w:color w:val="231F20"/>
                                  <w:sz w:val="13"/>
                                </w:rPr>
                                <w:t>approaches</w:t>
                              </w:r>
                              <w:r>
                                <w:rPr>
                                  <w:rFonts w:ascii="Arial MT"/>
                                  <w:color w:val="231F20"/>
                                  <w:spacing w:val="-10"/>
                                  <w:sz w:val="13"/>
                                </w:rPr>
                                <w:t> </w:t>
                              </w:r>
                              <w:r>
                                <w:rPr>
                                  <w:rFonts w:ascii="Arial MT"/>
                                  <w:color w:val="231F20"/>
                                  <w:sz w:val="13"/>
                                </w:rPr>
                                <w:t>symptomatic</w:t>
                              </w:r>
                              <w:r>
                                <w:rPr>
                                  <w:rFonts w:ascii="Arial MT"/>
                                  <w:color w:val="231F20"/>
                                  <w:spacing w:val="40"/>
                                  <w:sz w:val="13"/>
                                </w:rPr>
                                <w:t> </w:t>
                              </w:r>
                              <w:r>
                                <w:rPr>
                                  <w:rFonts w:ascii="Arial MT"/>
                                  <w:color w:val="231F20"/>
                                  <w:spacing w:val="-2"/>
                                  <w:sz w:val="13"/>
                                </w:rPr>
                                <w:t>onset</w:t>
                              </w:r>
                            </w:p>
                          </w:txbxContent>
                        </wps:txbx>
                        <wps:bodyPr wrap="square" lIns="0" tIns="0" rIns="0" bIns="0" rtlCol="0">
                          <a:noAutofit/>
                        </wps:bodyPr>
                      </wps:wsp>
                      <wps:wsp>
                        <wps:cNvPr id="50" name="Textbox 50"/>
                        <wps:cNvSpPr txBox="1"/>
                        <wps:spPr>
                          <a:xfrm>
                            <a:off x="1442924" y="1880425"/>
                            <a:ext cx="589280" cy="182880"/>
                          </a:xfrm>
                          <a:prstGeom prst="rect">
                            <a:avLst/>
                          </a:prstGeom>
                        </wps:spPr>
                        <wps:txbx>
                          <w:txbxContent>
                            <w:p>
                              <w:pPr>
                                <w:spacing w:line="128" w:lineRule="exact" w:before="0"/>
                                <w:ind w:left="0" w:right="0" w:firstLine="0"/>
                                <w:jc w:val="left"/>
                                <w:rPr>
                                  <w:rFonts w:ascii="Arial"/>
                                  <w:b/>
                                  <w:sz w:val="13"/>
                                </w:rPr>
                              </w:pPr>
                              <w:r>
                                <w:rPr>
                                  <w:rFonts w:ascii="Arial"/>
                                  <w:b/>
                                  <w:color w:val="231F20"/>
                                  <w:sz w:val="13"/>
                                </w:rPr>
                                <w:t>Normal </w:t>
                              </w:r>
                              <w:r>
                                <w:rPr>
                                  <w:rFonts w:ascii="Arial"/>
                                  <w:b/>
                                  <w:color w:val="231F20"/>
                                  <w:spacing w:val="-2"/>
                                  <w:sz w:val="13"/>
                                </w:rPr>
                                <w:t>insulin</w:t>
                              </w:r>
                            </w:p>
                            <w:p>
                              <w:pPr>
                                <w:spacing w:before="7"/>
                                <w:ind w:left="0" w:right="0" w:firstLine="0"/>
                                <w:jc w:val="left"/>
                                <w:rPr>
                                  <w:rFonts w:ascii="Arial"/>
                                  <w:b/>
                                  <w:sz w:val="13"/>
                                </w:rPr>
                              </w:pPr>
                              <w:r>
                                <w:rPr>
                                  <w:rFonts w:ascii="Arial"/>
                                  <w:b/>
                                  <w:color w:val="231F20"/>
                                  <w:spacing w:val="-2"/>
                                  <w:sz w:val="13"/>
                                </w:rPr>
                                <w:t>release</w:t>
                              </w:r>
                            </w:p>
                          </w:txbxContent>
                        </wps:txbx>
                        <wps:bodyPr wrap="square" lIns="0" tIns="0" rIns="0" bIns="0" rtlCol="0">
                          <a:noAutofit/>
                        </wps:bodyPr>
                      </wps:wsp>
                      <wps:wsp>
                        <wps:cNvPr id="51" name="Textbox 51"/>
                        <wps:cNvSpPr txBox="1"/>
                        <wps:spPr>
                          <a:xfrm>
                            <a:off x="2935745" y="1906220"/>
                            <a:ext cx="349250" cy="182880"/>
                          </a:xfrm>
                          <a:prstGeom prst="rect">
                            <a:avLst/>
                          </a:prstGeom>
                        </wps:spPr>
                        <wps:txbx>
                          <w:txbxContent>
                            <w:p>
                              <w:pPr>
                                <w:spacing w:line="128" w:lineRule="exact" w:before="0"/>
                                <w:ind w:left="0" w:right="0" w:firstLine="0"/>
                                <w:jc w:val="left"/>
                                <w:rPr>
                                  <w:rFonts w:ascii="Arial"/>
                                  <w:b/>
                                  <w:sz w:val="13"/>
                                </w:rPr>
                              </w:pPr>
                              <w:r>
                                <w:rPr>
                                  <w:rFonts w:ascii="Arial"/>
                                  <w:b/>
                                  <w:color w:val="231F20"/>
                                  <w:spacing w:val="-2"/>
                                  <w:sz w:val="13"/>
                                </w:rPr>
                                <w:t>Overt</w:t>
                              </w:r>
                            </w:p>
                            <w:p>
                              <w:pPr>
                                <w:spacing w:before="7"/>
                                <w:ind w:left="0" w:right="0" w:firstLine="0"/>
                                <w:jc w:val="left"/>
                                <w:rPr>
                                  <w:rFonts w:ascii="Arial"/>
                                  <w:b/>
                                  <w:sz w:val="13"/>
                                </w:rPr>
                              </w:pPr>
                              <w:r>
                                <w:rPr>
                                  <w:rFonts w:ascii="Arial"/>
                                  <w:b/>
                                  <w:color w:val="231F20"/>
                                  <w:spacing w:val="-2"/>
                                  <w:sz w:val="13"/>
                                </w:rPr>
                                <w:t>diabetes</w:t>
                              </w:r>
                            </w:p>
                          </w:txbxContent>
                        </wps:txbx>
                        <wps:bodyPr wrap="square" lIns="0" tIns="0" rIns="0" bIns="0" rtlCol="0">
                          <a:noAutofit/>
                        </wps:bodyPr>
                      </wps:wsp>
                      <wps:wsp>
                        <wps:cNvPr id="52" name="Textbox 52"/>
                        <wps:cNvSpPr txBox="1"/>
                        <wps:spPr>
                          <a:xfrm>
                            <a:off x="3491053" y="1767207"/>
                            <a:ext cx="967105" cy="282575"/>
                          </a:xfrm>
                          <a:prstGeom prst="rect">
                            <a:avLst/>
                          </a:prstGeom>
                        </wps:spPr>
                        <wps:txbx>
                          <w:txbxContent>
                            <w:p>
                              <w:pPr>
                                <w:spacing w:line="128" w:lineRule="exact" w:before="0"/>
                                <w:ind w:left="0" w:right="0" w:firstLine="0"/>
                                <w:jc w:val="left"/>
                                <w:rPr>
                                  <w:rFonts w:ascii="Arial MT"/>
                                  <w:sz w:val="13"/>
                                </w:rPr>
                              </w:pPr>
                              <w:r>
                                <w:rPr>
                                  <w:rFonts w:ascii="Arial MT"/>
                                  <w:color w:val="231F20"/>
                                  <w:sz w:val="13"/>
                                </w:rPr>
                                <w:t>7.</w:t>
                              </w:r>
                              <w:r>
                                <w:rPr>
                                  <w:rFonts w:ascii="Arial MT"/>
                                  <w:color w:val="231F20"/>
                                  <w:spacing w:val="-1"/>
                                  <w:sz w:val="13"/>
                                </w:rPr>
                                <w:t> </w:t>
                              </w:r>
                              <w:r>
                                <w:rPr>
                                  <w:rFonts w:ascii="Arial MT"/>
                                  <w:color w:val="231F20"/>
                                  <w:sz w:val="13"/>
                                </w:rPr>
                                <w:t>Some</w:t>
                              </w:r>
                              <w:r>
                                <w:rPr>
                                  <w:rFonts w:ascii="Arial MT"/>
                                  <w:color w:val="231F20"/>
                                  <w:spacing w:val="-1"/>
                                  <w:sz w:val="13"/>
                                </w:rPr>
                                <w:t> </w:t>
                              </w:r>
                              <w:r>
                                <w:rPr>
                                  <w:rFonts w:ascii="Arial MT"/>
                                  <w:color w:val="231F20"/>
                                  <w:sz w:val="13"/>
                                </w:rPr>
                                <w:t>patients</w:t>
                              </w:r>
                              <w:r>
                                <w:rPr>
                                  <w:rFonts w:ascii="Arial MT"/>
                                  <w:color w:val="231F20"/>
                                  <w:spacing w:val="-1"/>
                                  <w:sz w:val="13"/>
                                </w:rPr>
                                <w:t> </w:t>
                              </w:r>
                              <w:r>
                                <w:rPr>
                                  <w:rFonts w:ascii="Arial MT"/>
                                  <w:color w:val="231F20"/>
                                  <w:spacing w:val="-2"/>
                                  <w:sz w:val="13"/>
                                </w:rPr>
                                <w:t>produce</w:t>
                              </w:r>
                            </w:p>
                            <w:p>
                              <w:pPr>
                                <w:spacing w:before="7"/>
                                <w:ind w:left="0" w:right="0" w:firstLine="0"/>
                                <w:jc w:val="left"/>
                                <w:rPr>
                                  <w:rFonts w:ascii="Arial MT"/>
                                  <w:sz w:val="13"/>
                                </w:rPr>
                              </w:pPr>
                              <w:r>
                                <w:rPr>
                                  <w:rFonts w:ascii="Arial MT"/>
                                  <w:color w:val="231F20"/>
                                  <w:sz w:val="13"/>
                                </w:rPr>
                                <w:t>low</w:t>
                              </w:r>
                              <w:r>
                                <w:rPr>
                                  <w:rFonts w:ascii="Arial MT"/>
                                  <w:color w:val="231F20"/>
                                  <w:spacing w:val="-3"/>
                                  <w:sz w:val="13"/>
                                </w:rPr>
                                <w:t> </w:t>
                              </w:r>
                              <w:r>
                                <w:rPr>
                                  <w:rFonts w:ascii="Arial MT"/>
                                  <w:color w:val="231F20"/>
                                  <w:sz w:val="13"/>
                                </w:rPr>
                                <w:t>concentrations</w:t>
                              </w:r>
                              <w:r>
                                <w:rPr>
                                  <w:rFonts w:ascii="Arial MT"/>
                                  <w:color w:val="231F20"/>
                                  <w:spacing w:val="-1"/>
                                  <w:sz w:val="13"/>
                                </w:rPr>
                                <w:t> </w:t>
                              </w:r>
                              <w:r>
                                <w:rPr>
                                  <w:rFonts w:ascii="Arial MT"/>
                                  <w:color w:val="231F20"/>
                                  <w:spacing w:val="-5"/>
                                  <w:sz w:val="13"/>
                                </w:rPr>
                                <w:t>of</w:t>
                              </w:r>
                            </w:p>
                            <w:p>
                              <w:pPr>
                                <w:spacing w:before="7"/>
                                <w:ind w:left="0" w:right="0" w:firstLine="0"/>
                                <w:jc w:val="left"/>
                                <w:rPr>
                                  <w:rFonts w:ascii="Arial MT"/>
                                  <w:sz w:val="13"/>
                                </w:rPr>
                              </w:pPr>
                              <w:r>
                                <w:rPr>
                                  <w:rFonts w:ascii="Arial MT"/>
                                  <w:color w:val="231F20"/>
                                  <w:sz w:val="13"/>
                                </w:rPr>
                                <w:t>C-peptide</w:t>
                              </w:r>
                              <w:r>
                                <w:rPr>
                                  <w:rFonts w:ascii="Arial MT"/>
                                  <w:color w:val="231F20"/>
                                  <w:spacing w:val="-4"/>
                                  <w:sz w:val="13"/>
                                </w:rPr>
                                <w:t> </w:t>
                              </w:r>
                              <w:r>
                                <w:rPr>
                                  <w:rFonts w:ascii="Arial MT"/>
                                  <w:color w:val="231F20"/>
                                  <w:sz w:val="13"/>
                                </w:rPr>
                                <w:t>long</w:t>
                              </w:r>
                              <w:r>
                                <w:rPr>
                                  <w:rFonts w:ascii="Arial MT"/>
                                  <w:color w:val="231F20"/>
                                  <w:spacing w:val="-4"/>
                                  <w:sz w:val="13"/>
                                </w:rPr>
                                <w:t> </w:t>
                              </w:r>
                              <w:r>
                                <w:rPr>
                                  <w:rFonts w:ascii="Arial MT"/>
                                  <w:color w:val="231F20"/>
                                  <w:sz w:val="13"/>
                                </w:rPr>
                                <w:t>after</w:t>
                              </w:r>
                              <w:r>
                                <w:rPr>
                                  <w:rFonts w:ascii="Arial MT"/>
                                  <w:color w:val="231F20"/>
                                  <w:spacing w:val="-3"/>
                                  <w:sz w:val="13"/>
                                </w:rPr>
                                <w:t> </w:t>
                              </w:r>
                              <w:r>
                                <w:rPr>
                                  <w:rFonts w:ascii="Arial MT"/>
                                  <w:color w:val="231F20"/>
                                  <w:spacing w:val="-2"/>
                                  <w:sz w:val="13"/>
                                </w:rPr>
                                <w:t>onset</w:t>
                              </w:r>
                            </w:p>
                          </w:txbxContent>
                        </wps:txbx>
                        <wps:bodyPr wrap="square" lIns="0" tIns="0" rIns="0" bIns="0" rtlCol="0">
                          <a:noAutofit/>
                        </wps:bodyPr>
                      </wps:wsp>
                      <wps:wsp>
                        <wps:cNvPr id="53" name="Textbox 53"/>
                        <wps:cNvSpPr txBox="1"/>
                        <wps:spPr>
                          <a:xfrm>
                            <a:off x="2296913" y="2201832"/>
                            <a:ext cx="340360" cy="182880"/>
                          </a:xfrm>
                          <a:prstGeom prst="rect">
                            <a:avLst/>
                          </a:prstGeom>
                        </wps:spPr>
                        <wps:txbx>
                          <w:txbxContent>
                            <w:p>
                              <w:pPr>
                                <w:spacing w:line="128" w:lineRule="exact" w:before="0"/>
                                <w:ind w:left="0" w:right="0" w:firstLine="0"/>
                                <w:jc w:val="left"/>
                                <w:rPr>
                                  <w:rFonts w:ascii="Arial"/>
                                  <w:b/>
                                  <w:sz w:val="13"/>
                                </w:rPr>
                              </w:pPr>
                              <w:r>
                                <w:rPr>
                                  <w:rFonts w:ascii="Arial"/>
                                  <w:b/>
                                  <w:color w:val="231F20"/>
                                  <w:spacing w:val="-2"/>
                                  <w:sz w:val="13"/>
                                </w:rPr>
                                <w:t>Glucose</w:t>
                              </w:r>
                            </w:p>
                            <w:p>
                              <w:pPr>
                                <w:spacing w:before="7"/>
                                <w:ind w:left="0" w:right="0" w:firstLine="0"/>
                                <w:jc w:val="left"/>
                                <w:rPr>
                                  <w:rFonts w:ascii="Arial"/>
                                  <w:b/>
                                  <w:sz w:val="13"/>
                                </w:rPr>
                              </w:pPr>
                              <w:r>
                                <w:rPr>
                                  <w:rFonts w:ascii="Arial"/>
                                  <w:b/>
                                  <w:color w:val="231F20"/>
                                  <w:spacing w:val="-2"/>
                                  <w:sz w:val="13"/>
                                </w:rPr>
                                <w:t>normal</w:t>
                              </w:r>
                            </w:p>
                          </w:txbxContent>
                        </wps:txbx>
                        <wps:bodyPr wrap="square" lIns="0" tIns="0" rIns="0" bIns="0" rtlCol="0">
                          <a:noAutofit/>
                        </wps:bodyPr>
                      </wps:wsp>
                      <wps:wsp>
                        <wps:cNvPr id="54" name="Textbox 54"/>
                        <wps:cNvSpPr txBox="1"/>
                        <wps:spPr>
                          <a:xfrm>
                            <a:off x="2941717" y="2240981"/>
                            <a:ext cx="1508760" cy="469265"/>
                          </a:xfrm>
                          <a:prstGeom prst="rect">
                            <a:avLst/>
                          </a:prstGeom>
                        </wps:spPr>
                        <wps:txbx>
                          <w:txbxContent>
                            <w:p>
                              <w:pPr>
                                <w:spacing w:line="138" w:lineRule="exact" w:before="0"/>
                                <w:ind w:left="0" w:right="0" w:firstLine="0"/>
                                <w:jc w:val="left"/>
                                <w:rPr>
                                  <w:rFonts w:ascii="Arial"/>
                                  <w:b/>
                                  <w:position w:val="1"/>
                                  <w:sz w:val="13"/>
                                </w:rPr>
                              </w:pPr>
                              <w:r>
                                <w:rPr>
                                  <w:rFonts w:ascii="Arial"/>
                                  <w:b/>
                                  <w:color w:val="231F20"/>
                                  <w:sz w:val="13"/>
                                </w:rPr>
                                <w:t>C-peptide</w:t>
                              </w:r>
                              <w:r>
                                <w:rPr>
                                  <w:rFonts w:ascii="Arial"/>
                                  <w:b/>
                                  <w:color w:val="231F20"/>
                                  <w:spacing w:val="75"/>
                                  <w:w w:val="150"/>
                                  <w:sz w:val="13"/>
                                </w:rPr>
                                <w:t> </w:t>
                              </w:r>
                              <w:r>
                                <w:rPr>
                                  <w:rFonts w:ascii="Arial"/>
                                  <w:b/>
                                  <w:color w:val="231F20"/>
                                  <w:position w:val="1"/>
                                  <w:sz w:val="13"/>
                                </w:rPr>
                                <w:t>No</w:t>
                              </w:r>
                              <w:r>
                                <w:rPr>
                                  <w:rFonts w:ascii="Arial"/>
                                  <w:b/>
                                  <w:color w:val="231F20"/>
                                  <w:spacing w:val="-3"/>
                                  <w:position w:val="1"/>
                                  <w:sz w:val="13"/>
                                </w:rPr>
                                <w:t> </w:t>
                              </w:r>
                              <w:r>
                                <w:rPr>
                                  <w:rFonts w:ascii="Arial"/>
                                  <w:b/>
                                  <w:color w:val="231F20"/>
                                  <w:position w:val="1"/>
                                  <w:sz w:val="13"/>
                                </w:rPr>
                                <w:t>C-</w:t>
                              </w:r>
                              <w:r>
                                <w:rPr>
                                  <w:rFonts w:ascii="Arial"/>
                                  <w:b/>
                                  <w:color w:val="231F20"/>
                                  <w:spacing w:val="-2"/>
                                  <w:position w:val="1"/>
                                  <w:sz w:val="13"/>
                                </w:rPr>
                                <w:t>peptide</w:t>
                              </w:r>
                            </w:p>
                            <w:p>
                              <w:pPr>
                                <w:spacing w:line="128" w:lineRule="exact" w:before="7"/>
                                <w:ind w:left="0" w:right="0" w:firstLine="0"/>
                                <w:jc w:val="left"/>
                                <w:rPr>
                                  <w:rFonts w:ascii="Arial"/>
                                  <w:b/>
                                  <w:sz w:val="13"/>
                                </w:rPr>
                              </w:pPr>
                              <w:r>
                                <w:rPr>
                                  <w:rFonts w:ascii="Arial"/>
                                  <w:b/>
                                  <w:color w:val="231F20"/>
                                  <w:spacing w:val="-2"/>
                                  <w:sz w:val="13"/>
                                </w:rPr>
                                <w:t>present</w:t>
                              </w:r>
                            </w:p>
                            <w:p>
                              <w:pPr>
                                <w:spacing w:line="211" w:lineRule="auto" w:before="0"/>
                                <w:ind w:left="888" w:right="0" w:firstLine="0"/>
                                <w:jc w:val="left"/>
                                <w:rPr>
                                  <w:rFonts w:ascii="Arial MT" w:hAnsi="Arial MT"/>
                                  <w:sz w:val="13"/>
                                </w:rPr>
                              </w:pPr>
                              <w:r>
                                <w:rPr>
                                  <w:rFonts w:ascii="Arial MT" w:hAnsi="Arial MT"/>
                                  <w:color w:val="231F20"/>
                                  <w:sz w:val="13"/>
                                </w:rPr>
                                <w:t>8.</w:t>
                              </w:r>
                              <w:r>
                                <w:rPr>
                                  <w:rFonts w:ascii="Arial MT" w:hAnsi="Arial MT"/>
                                  <w:color w:val="231F20"/>
                                  <w:spacing w:val="-8"/>
                                  <w:sz w:val="13"/>
                                </w:rPr>
                                <w:t> </w:t>
                              </w:r>
                              <w:r>
                                <w:rPr>
                                  <w:rFonts w:ascii="Lucida Sans Unicode" w:hAnsi="Lucida Sans Unicode"/>
                                  <w:color w:val="231F20"/>
                                  <w:sz w:val="13"/>
                                </w:rPr>
                                <w:t>β</w:t>
                              </w:r>
                              <w:r>
                                <w:rPr>
                                  <w:rFonts w:ascii="Arial MT" w:hAnsi="Arial MT"/>
                                  <w:color w:val="231F20"/>
                                  <w:sz w:val="13"/>
                                </w:rPr>
                                <w:t>-cell</w:t>
                              </w:r>
                              <w:r>
                                <w:rPr>
                                  <w:rFonts w:ascii="Arial MT" w:hAnsi="Arial MT"/>
                                  <w:color w:val="231F20"/>
                                  <w:spacing w:val="-8"/>
                                  <w:sz w:val="13"/>
                                </w:rPr>
                                <w:t> </w:t>
                              </w:r>
                              <w:r>
                                <w:rPr>
                                  <w:rFonts w:ascii="Arial MT" w:hAnsi="Arial MT"/>
                                  <w:color w:val="231F20"/>
                                  <w:sz w:val="13"/>
                                </w:rPr>
                                <w:t>mass</w:t>
                              </w:r>
                              <w:r>
                                <w:rPr>
                                  <w:rFonts w:ascii="Arial MT" w:hAnsi="Arial MT"/>
                                  <w:color w:val="231F20"/>
                                  <w:spacing w:val="-8"/>
                                  <w:sz w:val="13"/>
                                </w:rPr>
                                <w:t> </w:t>
                              </w:r>
                              <w:r>
                                <w:rPr>
                                  <w:rFonts w:ascii="Arial MT" w:hAnsi="Arial MT"/>
                                  <w:color w:val="231F20"/>
                                  <w:sz w:val="13"/>
                                </w:rPr>
                                <w:t>not</w:t>
                              </w:r>
                              <w:r>
                                <w:rPr>
                                  <w:rFonts w:ascii="Arial MT" w:hAnsi="Arial MT"/>
                                  <w:color w:val="231F20"/>
                                  <w:spacing w:val="-8"/>
                                  <w:sz w:val="13"/>
                                </w:rPr>
                                <w:t> </w:t>
                              </w:r>
                              <w:r>
                                <w:rPr>
                                  <w:rFonts w:ascii="Arial MT" w:hAnsi="Arial MT"/>
                                  <w:color w:val="231F20"/>
                                  <w:sz w:val="13"/>
                                </w:rPr>
                                <w:t>always</w:t>
                              </w:r>
                              <w:r>
                                <w:rPr>
                                  <w:rFonts w:ascii="Arial MT" w:hAnsi="Arial MT"/>
                                  <w:color w:val="231F20"/>
                                  <w:spacing w:val="40"/>
                                  <w:sz w:val="13"/>
                                </w:rPr>
                                <w:t> </w:t>
                              </w:r>
                              <w:r>
                                <w:rPr>
                                  <w:rFonts w:ascii="Arial MT" w:hAnsi="Arial MT"/>
                                  <w:color w:val="231F20"/>
                                  <w:sz w:val="13"/>
                                </w:rPr>
                                <w:t>zero in long-standing</w:t>
                              </w:r>
                            </w:p>
                            <w:p>
                              <w:pPr>
                                <w:spacing w:before="6"/>
                                <w:ind w:left="888" w:right="0" w:firstLine="0"/>
                                <w:jc w:val="left"/>
                                <w:rPr>
                                  <w:rFonts w:ascii="Arial MT"/>
                                  <w:sz w:val="13"/>
                                </w:rPr>
                              </w:pPr>
                              <w:r>
                                <w:rPr>
                                  <w:rFonts w:ascii="Arial MT"/>
                                  <w:color w:val="231F20"/>
                                  <w:spacing w:val="-2"/>
                                  <w:sz w:val="13"/>
                                </w:rPr>
                                <w:t>disease</w:t>
                              </w:r>
                            </w:p>
                          </w:txbxContent>
                        </wps:txbx>
                        <wps:bodyPr wrap="square" lIns="0" tIns="0" rIns="0" bIns="0" rtlCol="0">
                          <a:noAutofit/>
                        </wps:bodyPr>
                      </wps:wsp>
                      <wps:wsp>
                        <wps:cNvPr id="55" name="Textbox 55"/>
                        <wps:cNvSpPr txBox="1"/>
                        <wps:spPr>
                          <a:xfrm>
                            <a:off x="132145" y="2312000"/>
                            <a:ext cx="1105535" cy="445134"/>
                          </a:xfrm>
                          <a:prstGeom prst="rect">
                            <a:avLst/>
                          </a:prstGeom>
                          <a:solidFill>
                            <a:srgbClr val="D7EDDD"/>
                          </a:solidFill>
                          <a:ln w="11849">
                            <a:solidFill>
                              <a:srgbClr val="231F20"/>
                            </a:solidFill>
                            <a:prstDash val="solid"/>
                          </a:ln>
                        </wps:spPr>
                        <wps:txbx>
                          <w:txbxContent>
                            <w:p>
                              <w:pPr>
                                <w:spacing w:line="189" w:lineRule="exact" w:before="3"/>
                                <w:ind w:left="43" w:right="0" w:firstLine="0"/>
                                <w:jc w:val="left"/>
                                <w:rPr>
                                  <w:rFonts w:ascii="Lucida Sans Unicode" w:hAnsi="Lucida Sans Unicode"/>
                                  <w:color w:val="000000"/>
                                  <w:sz w:val="13"/>
                                </w:rPr>
                              </w:pPr>
                              <w:r>
                                <w:rPr>
                                  <w:rFonts w:ascii="Arial MT" w:hAnsi="Arial MT"/>
                                  <w:color w:val="231F20"/>
                                  <w:sz w:val="13"/>
                                </w:rPr>
                                <w:t>4.</w:t>
                              </w:r>
                              <w:r>
                                <w:rPr>
                                  <w:rFonts w:ascii="Arial MT" w:hAnsi="Arial MT"/>
                                  <w:color w:val="231F20"/>
                                  <w:spacing w:val="-10"/>
                                  <w:sz w:val="13"/>
                                </w:rPr>
                                <w:t> </w:t>
                              </w:r>
                              <w:r>
                                <w:rPr>
                                  <w:rFonts w:ascii="Arial MT" w:hAnsi="Arial MT"/>
                                  <w:color w:val="231F20"/>
                                  <w:sz w:val="13"/>
                                </w:rPr>
                                <w:t>Although</w:t>
                              </w:r>
                              <w:r>
                                <w:rPr>
                                  <w:rFonts w:ascii="Arial MT" w:hAnsi="Arial MT"/>
                                  <w:color w:val="231F20"/>
                                  <w:spacing w:val="-3"/>
                                  <w:sz w:val="13"/>
                                </w:rPr>
                                <w:t> </w:t>
                              </w:r>
                              <w:r>
                                <w:rPr>
                                  <w:rFonts w:ascii="Arial MT" w:hAnsi="Arial MT"/>
                                  <w:color w:val="231F20"/>
                                  <w:sz w:val="13"/>
                                </w:rPr>
                                <w:t>overall</w:t>
                              </w:r>
                              <w:r>
                                <w:rPr>
                                  <w:rFonts w:ascii="Arial MT" w:hAnsi="Arial MT"/>
                                  <w:color w:val="231F20"/>
                                  <w:spacing w:val="-3"/>
                                  <w:sz w:val="13"/>
                                </w:rPr>
                                <w:t> </w:t>
                              </w:r>
                              <w:r>
                                <w:rPr>
                                  <w:rFonts w:ascii="Arial MT" w:hAnsi="Arial MT"/>
                                  <w:color w:val="231F20"/>
                                  <w:sz w:val="13"/>
                                </w:rPr>
                                <w:t>loss</w:t>
                              </w:r>
                              <w:r>
                                <w:rPr>
                                  <w:rFonts w:ascii="Arial MT" w:hAnsi="Arial MT"/>
                                  <w:color w:val="231F20"/>
                                  <w:spacing w:val="-2"/>
                                  <w:sz w:val="13"/>
                                </w:rPr>
                                <w:t> </w:t>
                              </w:r>
                              <w:r>
                                <w:rPr>
                                  <w:rFonts w:ascii="Arial MT" w:hAnsi="Arial MT"/>
                                  <w:color w:val="231F20"/>
                                  <w:sz w:val="13"/>
                                </w:rPr>
                                <w:t>of</w:t>
                              </w:r>
                              <w:r>
                                <w:rPr>
                                  <w:rFonts w:ascii="Arial MT" w:hAnsi="Arial MT"/>
                                  <w:color w:val="231F20"/>
                                  <w:spacing w:val="-9"/>
                                  <w:sz w:val="13"/>
                                </w:rPr>
                                <w:t> </w:t>
                              </w:r>
                              <w:r>
                                <w:rPr>
                                  <w:rFonts w:ascii="Lucida Sans Unicode" w:hAnsi="Lucida Sans Unicode"/>
                                  <w:color w:val="231F20"/>
                                  <w:spacing w:val="-10"/>
                                  <w:sz w:val="13"/>
                                </w:rPr>
                                <w:t>β</w:t>
                              </w:r>
                            </w:p>
                            <w:p>
                              <w:pPr>
                                <w:spacing w:line="138" w:lineRule="exact" w:before="0"/>
                                <w:ind w:left="43" w:right="0" w:firstLine="0"/>
                                <w:jc w:val="left"/>
                                <w:rPr>
                                  <w:rFonts w:ascii="Arial MT"/>
                                  <w:color w:val="000000"/>
                                  <w:sz w:val="13"/>
                                </w:rPr>
                              </w:pPr>
                              <w:r>
                                <w:rPr>
                                  <w:rFonts w:ascii="Arial MT"/>
                                  <w:color w:val="231F20"/>
                                  <w:sz w:val="13"/>
                                </w:rPr>
                                <w:t>cells</w:t>
                              </w:r>
                              <w:r>
                                <w:rPr>
                                  <w:rFonts w:ascii="Arial MT"/>
                                  <w:color w:val="231F20"/>
                                  <w:spacing w:val="-2"/>
                                  <w:sz w:val="13"/>
                                </w:rPr>
                                <w:t> </w:t>
                              </w:r>
                              <w:r>
                                <w:rPr>
                                  <w:rFonts w:ascii="Arial MT"/>
                                  <w:color w:val="231F20"/>
                                  <w:sz w:val="13"/>
                                </w:rPr>
                                <w:t>is</w:t>
                              </w:r>
                              <w:r>
                                <w:rPr>
                                  <w:rFonts w:ascii="Arial MT"/>
                                  <w:color w:val="231F20"/>
                                  <w:spacing w:val="-2"/>
                                  <w:sz w:val="13"/>
                                </w:rPr>
                                <w:t> </w:t>
                              </w:r>
                              <w:r>
                                <w:rPr>
                                  <w:rFonts w:ascii="Arial MT"/>
                                  <w:color w:val="231F20"/>
                                  <w:sz w:val="13"/>
                                </w:rPr>
                                <w:t>potentially</w:t>
                              </w:r>
                              <w:r>
                                <w:rPr>
                                  <w:rFonts w:ascii="Arial MT"/>
                                  <w:color w:val="231F20"/>
                                  <w:spacing w:val="-2"/>
                                  <w:sz w:val="13"/>
                                </w:rPr>
                                <w:t> </w:t>
                              </w:r>
                              <w:r>
                                <w:rPr>
                                  <w:rFonts w:ascii="Arial MT"/>
                                  <w:color w:val="231F20"/>
                                  <w:sz w:val="13"/>
                                </w:rPr>
                                <w:t>linear,</w:t>
                              </w:r>
                              <w:r>
                                <w:rPr>
                                  <w:rFonts w:ascii="Arial MT"/>
                                  <w:color w:val="231F20"/>
                                  <w:spacing w:val="-2"/>
                                  <w:sz w:val="13"/>
                                </w:rPr>
                                <w:t> </w:t>
                              </w:r>
                              <w:r>
                                <w:rPr>
                                  <w:rFonts w:ascii="Arial MT"/>
                                  <w:color w:val="231F20"/>
                                  <w:spacing w:val="-5"/>
                                  <w:sz w:val="13"/>
                                </w:rPr>
                                <w:t>it</w:t>
                              </w:r>
                            </w:p>
                            <w:p>
                              <w:pPr>
                                <w:spacing w:line="252" w:lineRule="auto" w:before="7"/>
                                <w:ind w:left="43" w:right="0" w:firstLine="0"/>
                                <w:jc w:val="left"/>
                                <w:rPr>
                                  <w:rFonts w:ascii="Arial MT"/>
                                  <w:color w:val="000000"/>
                                  <w:sz w:val="13"/>
                                </w:rPr>
                              </w:pPr>
                              <w:r>
                                <w:rPr>
                                  <w:rFonts w:ascii="Arial MT"/>
                                  <w:color w:val="231F20"/>
                                  <w:sz w:val="13"/>
                                </w:rPr>
                                <w:t>could</w:t>
                              </w:r>
                              <w:r>
                                <w:rPr>
                                  <w:rFonts w:ascii="Arial MT"/>
                                  <w:color w:val="231F20"/>
                                  <w:spacing w:val="-8"/>
                                  <w:sz w:val="13"/>
                                </w:rPr>
                                <w:t> </w:t>
                              </w:r>
                              <w:r>
                                <w:rPr>
                                  <w:rFonts w:ascii="Arial MT"/>
                                  <w:color w:val="231F20"/>
                                  <w:sz w:val="13"/>
                                </w:rPr>
                                <w:t>show</w:t>
                              </w:r>
                              <w:r>
                                <w:rPr>
                                  <w:rFonts w:ascii="Arial MT"/>
                                  <w:color w:val="231F20"/>
                                  <w:spacing w:val="-8"/>
                                  <w:sz w:val="13"/>
                                </w:rPr>
                                <w:t> </w:t>
                              </w:r>
                              <w:r>
                                <w:rPr>
                                  <w:rFonts w:ascii="Arial MT"/>
                                  <w:color w:val="231F20"/>
                                  <w:sz w:val="13"/>
                                </w:rPr>
                                <w:t>a</w:t>
                              </w:r>
                              <w:r>
                                <w:rPr>
                                  <w:rFonts w:ascii="Arial MT"/>
                                  <w:color w:val="231F20"/>
                                  <w:spacing w:val="-8"/>
                                  <w:sz w:val="13"/>
                                </w:rPr>
                                <w:t> </w:t>
                              </w:r>
                              <w:r>
                                <w:rPr>
                                  <w:rFonts w:ascii="Arial MT"/>
                                  <w:color w:val="231F20"/>
                                  <w:sz w:val="13"/>
                                </w:rPr>
                                <w:t>relapsing</w:t>
                              </w:r>
                              <w:r>
                                <w:rPr>
                                  <w:rFonts w:ascii="Arial MT"/>
                                  <w:color w:val="231F20"/>
                                  <w:spacing w:val="-8"/>
                                  <w:sz w:val="13"/>
                                </w:rPr>
                                <w:t> </w:t>
                              </w:r>
                              <w:r>
                                <w:rPr>
                                  <w:rFonts w:ascii="Arial MT"/>
                                  <w:color w:val="231F20"/>
                                  <w:sz w:val="13"/>
                                </w:rPr>
                                <w:t>or</w:t>
                              </w:r>
                              <w:r>
                                <w:rPr>
                                  <w:rFonts w:ascii="Arial MT"/>
                                  <w:color w:val="231F20"/>
                                  <w:spacing w:val="40"/>
                                  <w:sz w:val="13"/>
                                </w:rPr>
                                <w:t> </w:t>
                              </w:r>
                              <w:r>
                                <w:rPr>
                                  <w:rFonts w:ascii="Arial MT"/>
                                  <w:color w:val="231F20"/>
                                  <w:sz w:val="13"/>
                                </w:rPr>
                                <w:t>remitting</w:t>
                              </w:r>
                              <w:r>
                                <w:rPr>
                                  <w:rFonts w:ascii="Arial MT"/>
                                  <w:color w:val="231F20"/>
                                  <w:spacing w:val="-5"/>
                                  <w:sz w:val="13"/>
                                </w:rPr>
                                <w:t> </w:t>
                              </w:r>
                              <w:r>
                                <w:rPr>
                                  <w:rFonts w:ascii="Arial MT"/>
                                  <w:color w:val="231F20"/>
                                  <w:sz w:val="13"/>
                                </w:rPr>
                                <w:t>pattern</w:t>
                              </w:r>
                            </w:p>
                          </w:txbxContent>
                        </wps:txbx>
                        <wps:bodyPr wrap="square" lIns="0" tIns="0" rIns="0" bIns="0" rtlCol="0">
                          <a:noAutofit/>
                        </wps:bodyPr>
                      </wps:wsp>
                      <wps:wsp>
                        <wps:cNvPr id="56" name="Textbox 56"/>
                        <wps:cNvSpPr txBox="1"/>
                        <wps:spPr>
                          <a:xfrm>
                            <a:off x="1432832" y="645781"/>
                            <a:ext cx="922019" cy="466090"/>
                          </a:xfrm>
                          <a:prstGeom prst="rect">
                            <a:avLst/>
                          </a:prstGeom>
                          <a:solidFill>
                            <a:srgbClr val="D7EDDD"/>
                          </a:solidFill>
                          <a:ln w="11849">
                            <a:solidFill>
                              <a:srgbClr val="231F20"/>
                            </a:solidFill>
                            <a:prstDash val="solid"/>
                          </a:ln>
                        </wps:spPr>
                        <wps:txbx>
                          <w:txbxContent>
                            <w:p>
                              <w:pPr>
                                <w:spacing w:line="252" w:lineRule="auto" w:before="39"/>
                                <w:ind w:left="35" w:right="29" w:firstLine="0"/>
                                <w:jc w:val="left"/>
                                <w:rPr>
                                  <w:rFonts w:ascii="Arial MT"/>
                                  <w:color w:val="000000"/>
                                  <w:sz w:val="13"/>
                                </w:rPr>
                              </w:pPr>
                              <w:r>
                                <w:rPr>
                                  <w:rFonts w:ascii="Arial MT"/>
                                  <w:color w:val="231F20"/>
                                  <w:sz w:val="13"/>
                                </w:rPr>
                                <w:t>3.</w:t>
                              </w:r>
                              <w:r>
                                <w:rPr>
                                  <w:rFonts w:ascii="Arial MT"/>
                                  <w:color w:val="231F20"/>
                                  <w:spacing w:val="-10"/>
                                  <w:sz w:val="13"/>
                                </w:rPr>
                                <w:t> </w:t>
                              </w:r>
                              <w:r>
                                <w:rPr>
                                  <w:rFonts w:ascii="Arial MT"/>
                                  <w:color w:val="231F20"/>
                                  <w:sz w:val="13"/>
                                </w:rPr>
                                <w:t>Beyond</w:t>
                              </w:r>
                              <w:r>
                                <w:rPr>
                                  <w:rFonts w:ascii="Arial MT"/>
                                  <w:color w:val="231F20"/>
                                  <w:spacing w:val="-9"/>
                                  <w:sz w:val="13"/>
                                </w:rPr>
                                <w:t> </w:t>
                              </w:r>
                              <w:r>
                                <w:rPr>
                                  <w:rFonts w:ascii="Arial MT"/>
                                  <w:color w:val="231F20"/>
                                  <w:sz w:val="13"/>
                                </w:rPr>
                                <w:t>precipitating,</w:t>
                              </w:r>
                              <w:r>
                                <w:rPr>
                                  <w:rFonts w:ascii="Arial MT"/>
                                  <w:color w:val="231F20"/>
                                  <w:spacing w:val="40"/>
                                  <w:sz w:val="13"/>
                                </w:rPr>
                                <w:t> </w:t>
                              </w:r>
                              <w:r>
                                <w:rPr>
                                  <w:rFonts w:ascii="Arial MT"/>
                                  <w:color w:val="231F20"/>
                                  <w:sz w:val="13"/>
                                </w:rPr>
                                <w:t>environment</w:t>
                              </w:r>
                              <w:r>
                                <w:rPr>
                                  <w:rFonts w:ascii="Arial MT"/>
                                  <w:color w:val="231F20"/>
                                  <w:spacing w:val="-5"/>
                                  <w:sz w:val="13"/>
                                </w:rPr>
                                <w:t> </w:t>
                              </w:r>
                              <w:r>
                                <w:rPr>
                                  <w:rFonts w:ascii="Arial MT"/>
                                  <w:color w:val="231F20"/>
                                  <w:sz w:val="13"/>
                                </w:rPr>
                                <w:t>might</w:t>
                              </w:r>
                              <w:r>
                                <w:rPr>
                                  <w:rFonts w:ascii="Arial MT"/>
                                  <w:color w:val="231F20"/>
                                  <w:spacing w:val="40"/>
                                  <w:sz w:val="13"/>
                                </w:rPr>
                                <w:t> </w:t>
                              </w:r>
                              <w:r>
                                <w:rPr>
                                  <w:rFonts w:ascii="Arial MT"/>
                                  <w:color w:val="231F20"/>
                                  <w:sz w:val="13"/>
                                </w:rPr>
                                <w:t>influence entire natural</w:t>
                              </w:r>
                              <w:r>
                                <w:rPr>
                                  <w:rFonts w:ascii="Arial MT"/>
                                  <w:color w:val="231F20"/>
                                  <w:spacing w:val="40"/>
                                  <w:sz w:val="13"/>
                                </w:rPr>
                                <w:t> </w:t>
                              </w:r>
                              <w:r>
                                <w:rPr>
                                  <w:rFonts w:ascii="Arial MT"/>
                                  <w:color w:val="231F20"/>
                                  <w:spacing w:val="-2"/>
                                  <w:sz w:val="13"/>
                                </w:rPr>
                                <w:t>history</w:t>
                              </w:r>
                            </w:p>
                          </w:txbxContent>
                        </wps:txbx>
                        <wps:bodyPr wrap="square" lIns="0" tIns="0" rIns="0" bIns="0" rtlCol="0">
                          <a:noAutofit/>
                        </wps:bodyPr>
                      </wps:wsp>
                      <wps:wsp>
                        <wps:cNvPr id="57" name="Textbox 57"/>
                        <wps:cNvSpPr txBox="1"/>
                        <wps:spPr>
                          <a:xfrm>
                            <a:off x="2861747" y="557089"/>
                            <a:ext cx="1017269" cy="551180"/>
                          </a:xfrm>
                          <a:prstGeom prst="rect">
                            <a:avLst/>
                          </a:prstGeom>
                          <a:solidFill>
                            <a:srgbClr val="D7EDDD"/>
                          </a:solidFill>
                          <a:ln w="11849">
                            <a:solidFill>
                              <a:srgbClr val="231F20"/>
                            </a:solidFill>
                            <a:prstDash val="solid"/>
                          </a:ln>
                        </wps:spPr>
                        <wps:txbx>
                          <w:txbxContent>
                            <w:p>
                              <w:pPr>
                                <w:spacing w:line="252" w:lineRule="auto" w:before="41"/>
                                <w:ind w:left="47" w:right="81" w:firstLine="0"/>
                                <w:jc w:val="left"/>
                                <w:rPr>
                                  <w:rFonts w:ascii="Arial MT"/>
                                  <w:color w:val="000000"/>
                                  <w:sz w:val="13"/>
                                </w:rPr>
                              </w:pPr>
                              <w:r>
                                <w:rPr>
                                  <w:rFonts w:ascii="Arial MT"/>
                                  <w:color w:val="231F20"/>
                                  <w:sz w:val="13"/>
                                </w:rPr>
                                <w:t>5. Presence of two or</w:t>
                              </w:r>
                              <w:r>
                                <w:rPr>
                                  <w:rFonts w:ascii="Arial MT"/>
                                  <w:color w:val="231F20"/>
                                  <w:spacing w:val="40"/>
                                  <w:sz w:val="13"/>
                                </w:rPr>
                                <w:t> </w:t>
                              </w:r>
                              <w:r>
                                <w:rPr>
                                  <w:rFonts w:ascii="Arial MT"/>
                                  <w:color w:val="231F20"/>
                                  <w:sz w:val="13"/>
                                </w:rPr>
                                <w:t>more</w:t>
                              </w:r>
                              <w:r>
                                <w:rPr>
                                  <w:rFonts w:ascii="Arial MT"/>
                                  <w:color w:val="231F20"/>
                                  <w:spacing w:val="-10"/>
                                  <w:sz w:val="13"/>
                                </w:rPr>
                                <w:t> </w:t>
                              </w:r>
                              <w:r>
                                <w:rPr>
                                  <w:rFonts w:ascii="Arial MT"/>
                                  <w:color w:val="231F20"/>
                                  <w:sz w:val="13"/>
                                </w:rPr>
                                <w:t>islet</w:t>
                              </w:r>
                              <w:r>
                                <w:rPr>
                                  <w:rFonts w:ascii="Arial MT"/>
                                  <w:color w:val="231F20"/>
                                  <w:spacing w:val="-9"/>
                                  <w:sz w:val="13"/>
                                </w:rPr>
                                <w:t> </w:t>
                              </w:r>
                              <w:r>
                                <w:rPr>
                                  <w:rFonts w:ascii="Arial MT"/>
                                  <w:color w:val="231F20"/>
                                  <w:sz w:val="13"/>
                                </w:rPr>
                                <w:t>autoantibodies</w:t>
                              </w:r>
                              <w:r>
                                <w:rPr>
                                  <w:rFonts w:ascii="Arial MT"/>
                                  <w:color w:val="231F20"/>
                                  <w:spacing w:val="40"/>
                                  <w:sz w:val="13"/>
                                </w:rPr>
                                <w:t> </w:t>
                              </w:r>
                              <w:r>
                                <w:rPr>
                                  <w:rFonts w:ascii="Arial MT"/>
                                  <w:color w:val="231F20"/>
                                  <w:sz w:val="13"/>
                                </w:rPr>
                                <w:t>might</w:t>
                              </w:r>
                              <w:r>
                                <w:rPr>
                                  <w:rFonts w:ascii="Arial MT"/>
                                  <w:color w:val="231F20"/>
                                  <w:spacing w:val="-5"/>
                                  <w:sz w:val="13"/>
                                </w:rPr>
                                <w:t> </w:t>
                              </w:r>
                              <w:r>
                                <w:rPr>
                                  <w:rFonts w:ascii="Arial MT"/>
                                  <w:color w:val="231F20"/>
                                  <w:sz w:val="13"/>
                                </w:rPr>
                                <w:t>represent</w:t>
                              </w:r>
                              <w:r>
                                <w:rPr>
                                  <w:rFonts w:ascii="Arial MT"/>
                                  <w:color w:val="231F20"/>
                                  <w:spacing w:val="40"/>
                                  <w:sz w:val="13"/>
                                </w:rPr>
                                <w:t> </w:t>
                              </w:r>
                              <w:r>
                                <w:rPr>
                                  <w:rFonts w:ascii="Arial MT"/>
                                  <w:color w:val="231F20"/>
                                  <w:sz w:val="13"/>
                                </w:rPr>
                                <w:t>asymptomatic type 1</w:t>
                              </w:r>
                              <w:r>
                                <w:rPr>
                                  <w:rFonts w:ascii="Arial MT"/>
                                  <w:color w:val="231F20"/>
                                  <w:spacing w:val="40"/>
                                  <w:sz w:val="13"/>
                                </w:rPr>
                                <w:t> </w:t>
                              </w:r>
                              <w:r>
                                <w:rPr>
                                  <w:rFonts w:ascii="Arial MT"/>
                                  <w:color w:val="231F20"/>
                                  <w:spacing w:val="-2"/>
                                  <w:sz w:val="13"/>
                                </w:rPr>
                                <w:t>diabetes</w:t>
                              </w:r>
                            </w:p>
                          </w:txbxContent>
                        </wps:txbx>
                        <wps:bodyPr wrap="square" lIns="0" tIns="0" rIns="0" bIns="0" rtlCol="0">
                          <a:noAutofit/>
                        </wps:bodyPr>
                      </wps:wsp>
                      <wps:wsp>
                        <wps:cNvPr id="58" name="Textbox 58"/>
                        <wps:cNvSpPr txBox="1"/>
                        <wps:spPr>
                          <a:xfrm>
                            <a:off x="8644" y="340664"/>
                            <a:ext cx="622300" cy="353695"/>
                          </a:xfrm>
                          <a:prstGeom prst="rect">
                            <a:avLst/>
                          </a:prstGeom>
                          <a:solidFill>
                            <a:srgbClr val="D7EDDD"/>
                          </a:solidFill>
                          <a:ln w="11849">
                            <a:solidFill>
                              <a:srgbClr val="231F20"/>
                            </a:solidFill>
                            <a:prstDash val="solid"/>
                          </a:ln>
                        </wps:spPr>
                        <wps:txbx>
                          <w:txbxContent>
                            <w:p>
                              <w:pPr>
                                <w:spacing w:line="252" w:lineRule="auto" w:before="37"/>
                                <w:ind w:left="42" w:right="52" w:firstLine="0"/>
                                <w:jc w:val="left"/>
                                <w:rPr>
                                  <w:rFonts w:ascii="Arial MT"/>
                                  <w:color w:val="000000"/>
                                  <w:sz w:val="13"/>
                                </w:rPr>
                              </w:pPr>
                              <w:r>
                                <w:rPr>
                                  <w:rFonts w:ascii="Arial MT"/>
                                  <w:color w:val="231F20"/>
                                  <w:sz w:val="13"/>
                                </w:rPr>
                                <w:t>1.</w:t>
                              </w:r>
                              <w:r>
                                <w:rPr>
                                  <w:rFonts w:ascii="Arial MT"/>
                                  <w:color w:val="231F20"/>
                                  <w:spacing w:val="-10"/>
                                  <w:sz w:val="13"/>
                                </w:rPr>
                                <w:t> </w:t>
                              </w:r>
                              <w:r>
                                <w:rPr>
                                  <w:rFonts w:ascii="Arial MT"/>
                                  <w:color w:val="231F20"/>
                                  <w:sz w:val="13"/>
                                </w:rPr>
                                <w:t>Precipitating</w:t>
                              </w:r>
                              <w:r>
                                <w:rPr>
                                  <w:rFonts w:ascii="Arial MT"/>
                                  <w:color w:val="231F20"/>
                                  <w:spacing w:val="40"/>
                                  <w:sz w:val="13"/>
                                </w:rPr>
                                <w:t> </w:t>
                              </w:r>
                              <w:r>
                                <w:rPr>
                                  <w:rFonts w:ascii="Arial MT"/>
                                  <w:color w:val="231F20"/>
                                  <w:sz w:val="13"/>
                                </w:rPr>
                                <w:t>events</w:t>
                              </w:r>
                              <w:r>
                                <w:rPr>
                                  <w:rFonts w:ascii="Arial MT"/>
                                  <w:color w:val="231F20"/>
                                  <w:spacing w:val="-5"/>
                                  <w:sz w:val="13"/>
                                </w:rPr>
                                <w:t> </w:t>
                              </w:r>
                              <w:r>
                                <w:rPr>
                                  <w:rFonts w:ascii="Arial MT"/>
                                  <w:color w:val="231F20"/>
                                  <w:sz w:val="13"/>
                                </w:rPr>
                                <w:t>might</w:t>
                              </w:r>
                              <w:r>
                                <w:rPr>
                                  <w:rFonts w:ascii="Arial MT"/>
                                  <w:color w:val="231F20"/>
                                  <w:spacing w:val="40"/>
                                  <w:sz w:val="13"/>
                                </w:rPr>
                                <w:t> </w:t>
                              </w:r>
                              <w:r>
                                <w:rPr>
                                  <w:rFonts w:ascii="Arial MT"/>
                                  <w:color w:val="231F20"/>
                                  <w:sz w:val="13"/>
                                </w:rPr>
                                <w:t>occur in utero</w:t>
                              </w:r>
                            </w:p>
                          </w:txbxContent>
                        </wps:txbx>
                        <wps:bodyPr wrap="square" lIns="0" tIns="0" rIns="0" bIns="0" rtlCol="0">
                          <a:noAutofit/>
                        </wps:bodyPr>
                      </wps:wsp>
                      <wps:wsp>
                        <wps:cNvPr id="59" name="Textbox 59"/>
                        <wps:cNvSpPr txBox="1"/>
                        <wps:spPr>
                          <a:xfrm>
                            <a:off x="819777" y="5924"/>
                            <a:ext cx="1043305" cy="450850"/>
                          </a:xfrm>
                          <a:prstGeom prst="rect">
                            <a:avLst/>
                          </a:prstGeom>
                          <a:solidFill>
                            <a:srgbClr val="D7EDDD"/>
                          </a:solidFill>
                          <a:ln w="11849">
                            <a:solidFill>
                              <a:srgbClr val="231F20"/>
                            </a:solidFill>
                            <a:prstDash val="solid"/>
                          </a:ln>
                        </wps:spPr>
                        <wps:txbx>
                          <w:txbxContent>
                            <w:p>
                              <w:pPr>
                                <w:spacing w:line="252" w:lineRule="auto" w:before="37"/>
                                <w:ind w:left="64" w:right="83" w:firstLine="0"/>
                                <w:jc w:val="left"/>
                                <w:rPr>
                                  <w:rFonts w:ascii="Arial MT"/>
                                  <w:color w:val="000000"/>
                                  <w:sz w:val="13"/>
                                </w:rPr>
                              </w:pPr>
                              <w:r>
                                <w:rPr>
                                  <w:rFonts w:ascii="Arial MT"/>
                                  <w:color w:val="231F20"/>
                                  <w:sz w:val="13"/>
                                </w:rPr>
                                <w:t>2. Genetic predisposition</w:t>
                              </w:r>
                              <w:r>
                                <w:rPr>
                                  <w:rFonts w:ascii="Arial MT"/>
                                  <w:color w:val="231F20"/>
                                  <w:spacing w:val="40"/>
                                  <w:sz w:val="13"/>
                                </w:rPr>
                                <w:t> </w:t>
                              </w:r>
                              <w:r>
                                <w:rPr>
                                  <w:rFonts w:ascii="Arial MT"/>
                                  <w:color w:val="231F20"/>
                                  <w:sz w:val="13"/>
                                </w:rPr>
                                <w:t>probably</w:t>
                              </w:r>
                              <w:r>
                                <w:rPr>
                                  <w:rFonts w:ascii="Arial MT"/>
                                  <w:color w:val="231F20"/>
                                  <w:spacing w:val="-8"/>
                                  <w:sz w:val="13"/>
                                </w:rPr>
                                <w:t> </w:t>
                              </w:r>
                              <w:r>
                                <w:rPr>
                                  <w:rFonts w:ascii="Arial MT"/>
                                  <w:color w:val="231F20"/>
                                  <w:sz w:val="13"/>
                                </w:rPr>
                                <w:t>the</w:t>
                              </w:r>
                              <w:r>
                                <w:rPr>
                                  <w:rFonts w:ascii="Arial MT"/>
                                  <w:color w:val="231F20"/>
                                  <w:spacing w:val="-8"/>
                                  <w:sz w:val="13"/>
                                </w:rPr>
                                <w:t> </w:t>
                              </w:r>
                              <w:r>
                                <w:rPr>
                                  <w:rFonts w:ascii="Arial MT"/>
                                  <w:color w:val="231F20"/>
                                  <w:sz w:val="13"/>
                                </w:rPr>
                                <w:t>key</w:t>
                              </w:r>
                              <w:r>
                                <w:rPr>
                                  <w:rFonts w:ascii="Arial MT"/>
                                  <w:color w:val="231F20"/>
                                  <w:spacing w:val="-8"/>
                                  <w:sz w:val="13"/>
                                </w:rPr>
                                <w:t> </w:t>
                              </w:r>
                              <w:r>
                                <w:rPr>
                                  <w:rFonts w:ascii="Arial MT"/>
                                  <w:color w:val="231F20"/>
                                  <w:sz w:val="13"/>
                                </w:rPr>
                                <w:t>driver</w:t>
                              </w:r>
                              <w:r>
                                <w:rPr>
                                  <w:rFonts w:ascii="Arial MT"/>
                                  <w:color w:val="231F20"/>
                                  <w:spacing w:val="-8"/>
                                  <w:sz w:val="13"/>
                                </w:rPr>
                                <w:t> </w:t>
                              </w:r>
                              <w:r>
                                <w:rPr>
                                  <w:rFonts w:ascii="Arial MT"/>
                                  <w:color w:val="231F20"/>
                                  <w:sz w:val="13"/>
                                </w:rPr>
                                <w:t>or</w:t>
                              </w:r>
                              <w:r>
                                <w:rPr>
                                  <w:rFonts w:ascii="Arial MT"/>
                                  <w:color w:val="231F20"/>
                                  <w:spacing w:val="40"/>
                                  <w:sz w:val="13"/>
                                </w:rPr>
                                <w:t> </w:t>
                              </w:r>
                              <w:r>
                                <w:rPr>
                                  <w:rFonts w:ascii="Arial MT"/>
                                  <w:color w:val="231F20"/>
                                  <w:sz w:val="13"/>
                                </w:rPr>
                                <w:t>linkage to immune</w:t>
                              </w:r>
                              <w:r>
                                <w:rPr>
                                  <w:rFonts w:ascii="Arial MT"/>
                                  <w:color w:val="231F20"/>
                                  <w:spacing w:val="40"/>
                                  <w:sz w:val="13"/>
                                </w:rPr>
                                <w:t> </w:t>
                              </w:r>
                              <w:r>
                                <w:rPr>
                                  <w:rFonts w:ascii="Arial MT"/>
                                  <w:color w:val="231F20"/>
                                  <w:spacing w:val="-2"/>
                                  <w:sz w:val="13"/>
                                </w:rPr>
                                <w:t>abnormalities</w:t>
                              </w:r>
                            </w:p>
                          </w:txbxContent>
                        </wps:txbx>
                        <wps:bodyPr wrap="square" lIns="0" tIns="0" rIns="0" bIns="0" rtlCol="0">
                          <a:noAutofit/>
                        </wps:bodyPr>
                      </wps:wsp>
                    </wpg:wgp>
                  </a:graphicData>
                </a:graphic>
              </wp:anchor>
            </w:drawing>
          </mc:Choice>
          <mc:Fallback>
            <w:pict>
              <v:group style="position:absolute;margin-left:116.654793pt;margin-top:-37.729824pt;width:353.15pt;height:227.6pt;mso-position-horizontal-relative:page;mso-position-vertical-relative:paragraph;z-index:-28161024" id="docshapegroup6" coordorigin="2333,-755" coordsize="7063,4552">
                <v:rect style="position:absolute;left:7752;top:1124;width:1532;height:697" id="docshape7" filled="true" fillcolor="#d7eddd" stroked="false">
                  <v:fill type="solid"/>
                </v:rect>
                <v:rect style="position:absolute;left:7752;top:1124;width:1532;height:697" id="docshape8" filled="false" stroked="true" strokeweight=".933014pt" strokecolor="#231f20">
                  <v:stroke dashstyle="solid"/>
                </v:rect>
                <v:rect style="position:absolute;left:7791;top:1979;width:1596;height:555" id="docshape9" filled="true" fillcolor="#d7eddd" stroked="false">
                  <v:fill type="solid"/>
                </v:rect>
                <v:rect style="position:absolute;left:7791;top:1979;width:1596;height:555" id="docshape10" filled="false" stroked="true" strokeweight=".933014pt" strokecolor="#231f20">
                  <v:stroke dashstyle="solid"/>
                </v:rect>
                <v:rect style="position:absolute;left:7806;top:3012;width:1542;height:549" id="docshape11" filled="true" fillcolor="#d7eddd" stroked="false">
                  <v:fill type="solid"/>
                </v:rect>
                <v:shape style="position:absolute;left:2406;top:336;width:6942;height:3225" id="docshape12" coordorigin="2407,336" coordsize="6942,3225" path="m9349,3012l7807,3012,7807,3561,9349,3561,9349,3012xm2923,336l2407,2320e" filled="false" stroked="true" strokeweight=".933014pt" strokecolor="#231f20">
                  <v:path arrowok="t"/>
                  <v:stroke dashstyle="solid"/>
                </v:shape>
                <v:shape style="position:absolute;left:2388;top:2290;width:49;height:88" id="docshape13" coordorigin="2389,2291" coordsize="49,88" path="m2389,2291l2393,2346,2393,2358,2393,2369,2392,2378,2395,2370,2437,2303,2389,2291xe" filled="true" fillcolor="#231f20" stroked="false">
                  <v:path arrowok="t"/>
                  <v:fill type="solid"/>
                </v:shape>
                <v:line style="position:absolute" from="5402,999" to="2541,2459" stroked="true" strokeweight=".933014pt" strokecolor="#231f20">
                  <v:stroke dashstyle="solid"/>
                </v:line>
                <v:shape style="position:absolute;left:2487;top:2426;width:86;height:60" id="docshape14" coordorigin="2488,2426" coordsize="86,60" path="m2551,2426l2503,2474,2488,2486,2496,2483,2574,2471,2551,2426xe" filled="true" fillcolor="#231f20" stroked="false">
                  <v:path arrowok="t"/>
                  <v:fill type="solid"/>
                </v:shape>
                <v:line style="position:absolute" from="5408,994" to="6841,3267" stroked="true" strokeweight=".933014pt" strokecolor="#231f20">
                  <v:stroke dashstyle="solid"/>
                </v:line>
                <v:shape style="position:absolute;left:6807;top:3235;width:64;height:85" id="docshape15" coordorigin="6808,3236" coordsize="64,85" path="m6851,3236l6808,3261,6813,3265,6821,3271,6866,3314,6872,3321,6868,3312,6854,3256,6851,3236xe" filled="true" fillcolor="#231f20" stroked="false">
                  <v:path arrowok="t"/>
                  <v:fill type="solid"/>
                </v:shape>
                <v:line style="position:absolute" from="6849,992" to="5977,1562" stroked="true" strokeweight=".933014pt" strokecolor="#231f20">
                  <v:stroke dashstyle="solid"/>
                </v:line>
                <v:shape style="position:absolute;left:5924;top:1529;width:85;height:66" id="docshape16" coordorigin="5924,1529" coordsize="85,66" path="m5982,1529l5939,1581,5924,1594,5933,1591,6009,1571,5982,1529xe" filled="true" fillcolor="#231f20" stroked="false">
                  <v:path arrowok="t"/>
                  <v:fill type="solid"/>
                </v:shape>
                <v:line style="position:absolute" from="4473,168" to="4474,1601" stroked="true" strokeweight=".933014pt" strokecolor="#231f20">
                  <v:stroke dashstyle="solid"/>
                </v:line>
                <v:shape style="position:absolute;left:4449;top:1578;width:50;height:85" id="docshape17" coordorigin="4449,1579" coordsize="50,85" path="m4449,1579l4469,1644,4472,1663,4473,1654,4499,1580,4449,1579xe" filled="true" fillcolor="#231f20" stroked="false">
                  <v:path arrowok="t"/>
                  <v:fill type="solid"/>
                </v:shape>
                <v:line style="position:absolute" from="7751,1550" to="6536,2529" stroked="true" strokeweight=".933014pt" strokecolor="#231f20">
                  <v:stroke dashstyle="solid"/>
                </v:line>
                <v:shape style="position:absolute;left:6485;top:2495;width:83;height:70" id="docshape18" coordorigin="6486,2495" coordsize="83,70" path="m6538,2495l6499,2551,6486,2565,6494,2561,6568,2535,6538,2495xe" filled="true" fillcolor="#231f20" stroked="false">
                  <v:path arrowok="t"/>
                  <v:fill type="solid"/>
                </v:shape>
                <v:shape style="position:absolute;left:7642;top:3551;width:201;height:221" type="#_x0000_t75" id="docshape19" stroked="false">
                  <v:imagedata r:id="rId6" o:title=""/>
                </v:shape>
                <v:line style="position:absolute" from="4288,3380" to="5621,3105" stroked="true" strokeweight=".933014pt" strokecolor="#231f20">
                  <v:stroke dashstyle="solid"/>
                </v:line>
                <v:shape style="position:absolute;left:5595;top:3084;width:87;height:50" id="docshape20" coordorigin="5595,3084" coordsize="87,50" path="m5595,3084l5604,3134,5609,3130,5618,3125,5674,3097,5682,3094,5673,3095,5615,3089,5595,3084xe" filled="true" fillcolor="#231f20" stroked="false">
                  <v:path arrowok="t"/>
                  <v:fill type="solid"/>
                </v:shape>
                <v:shape style="position:absolute;left:8541;top:2531;width:366;height:318" type="#_x0000_t75" id="docshape21" stroked="false">
                  <v:imagedata r:id="rId7" o:title=""/>
                </v:shape>
                <v:shape style="position:absolute;left:2342;top:1582;width:6090;height:2206" id="docshape22" coordorigin="2342,1582" coordsize="6090,2206" path="m2342,1582l2342,3788,8431,3788e" filled="false" stroked="true" strokeweight=".933014pt" strokecolor="#231f20">
                  <v:path arrowok="t"/>
                  <v:stroke dashstyle="solid"/>
                </v:shape>
                <v:shape style="position:absolute;left:2341;top:2526;width:5290;height:1246" id="docshape23" coordorigin="2341,2526" coordsize="5290,1246" path="m2341,2875l2436,2652,2468,2592,2538,2533,2576,2526,2588,2526,2604,2526,2622,2526,2644,2526,4559,2526,7631,3771e" filled="false" stroked="true" strokeweight=".69976pt" strokecolor="#ed1c24">
                  <v:path arrowok="t"/>
                  <v:stroke dashstyle="solid"/>
                </v:shape>
                <v:shape style="position:absolute;left:4559;top:2523;width:2367;height:985" id="docshape24" coordorigin="4559,2523" coordsize="2367,985" path="m4559,2526l4583,2526,4636,2525,4695,2524,4735,2523,4761,2524,4826,2528,4900,2542,4963,2570,5004,2615,5021,2699,5025,2744,5026,2760,5039,2820,5080,2872,5146,2884,5162,2882,5243,2867,5321,2848,5400,2828,5449,2816,5516,2801,5591,2794,5605,2794,5665,2819,5687,2877,5691,2947,5691,2962,5691,2985,5696,3048,5727,3105,5789,3118,5805,3117,5867,3105,5934,3088,6002,3070,6038,3061,6053,3057,6126,3046,6144,3045,6161,3045,6219,3074,6245,3128,6258,3192,6264,3226,6282,3289,6325,3333,6383,3349,6428,3352,6447,3351,6541,3347,6615,3342,6679,3330,6724,3313,6743,3307,6763,3303,6784,3302,6804,3303,6858,3347,6892,3418,6920,3489,6924,3503,6926,3508e" filled="false" stroked="true" strokeweight=".69976pt" strokecolor="#0066b3">
                  <v:path arrowok="t"/>
                  <v:stroke dashstyle="solid"/>
                </v:shape>
                <v:line style="position:absolute" from="4369,1592" to="4369,1620" stroked="true" strokeweight=".933014pt" strokecolor="#231f20">
                  <v:stroke dashstyle="solid"/>
                </v:line>
                <v:line style="position:absolute" from="4369,1675" to="4369,3732" stroked="true" strokeweight=".933014pt" strokecolor="#231f20">
                  <v:stroke dashstyle="dash"/>
                </v:line>
                <v:shape style="position:absolute;left:4368;top:1591;width:193;height:2196" id="docshape25" coordorigin="4369,1592" coordsize="193,2196" path="m4369,3760l4369,3788m4562,1592l4562,1620e" filled="false" stroked="true" strokeweight=".933014pt" strokecolor="#231f20">
                  <v:path arrowok="t"/>
                  <v:stroke dashstyle="solid"/>
                </v:shape>
                <v:line style="position:absolute" from="4562,1675" to="4562,3732" stroked="true" strokeweight=".933014pt" strokecolor="#231f20">
                  <v:stroke dashstyle="dash"/>
                </v:line>
                <v:shape style="position:absolute;left:4561;top:1591;width:1350;height:2196" id="docshape26" coordorigin="4562,1592" coordsize="1350,2196" path="m4562,3760l4562,3788m5911,1592l5911,1620e" filled="false" stroked="true" strokeweight=".933014pt" strokecolor="#231f20">
                  <v:path arrowok="t"/>
                  <v:stroke dashstyle="solid"/>
                </v:shape>
                <v:line style="position:absolute" from="5911,1675" to="5911,3732" stroked="true" strokeweight=".933014pt" strokecolor="#231f20">
                  <v:stroke dashstyle="dash"/>
                </v:line>
                <v:shape style="position:absolute;left:5911;top:1591;width:988;height:2196" id="docshape27" coordorigin="5911,1592" coordsize="988,2196" path="m5911,3760l5911,3788m6899,1592l6899,1620e" filled="false" stroked="true" strokeweight=".933014pt" strokecolor="#231f20">
                  <v:path arrowok="t"/>
                  <v:stroke dashstyle="solid"/>
                </v:shape>
                <v:line style="position:absolute" from="6899,1675" to="6899,3732" stroked="true" strokeweight=".933014pt" strokecolor="#231f20">
                  <v:stroke dashstyle="dash"/>
                </v:line>
                <v:shape style="position:absolute;left:6898;top:1591;width:743;height:2196" id="docshape28" coordorigin="6899,1592" coordsize="743,2196" path="m6899,3760l6899,3788m7641,1592l7641,1620e" filled="false" stroked="true" strokeweight=".933014pt" strokecolor="#231f20">
                  <v:path arrowok="t"/>
                  <v:stroke dashstyle="solid"/>
                </v:shape>
                <v:line style="position:absolute" from="7641,1675" to="7641,3732" stroked="true" strokeweight=".933014pt" strokecolor="#231f20">
                  <v:stroke dashstyle="dash"/>
                </v:line>
                <v:line style="position:absolute" from="7641,3760" to="7641,3788" stroked="true" strokeweight=".933014pt" strokecolor="#231f20">
                  <v:stroke dashstyle="solid"/>
                </v:line>
                <v:shape style="position:absolute;left:2766;top:1180;width:921;height:288" type="#_x0000_t202" id="docshape29" filled="false" stroked="false">
                  <v:textbox inset="0,0,0,0">
                    <w:txbxContent>
                      <w:p>
                        <w:pPr>
                          <w:spacing w:line="128" w:lineRule="exact" w:before="0"/>
                          <w:ind w:left="0" w:right="0" w:firstLine="0"/>
                          <w:jc w:val="left"/>
                          <w:rPr>
                            <w:rFonts w:ascii="Arial"/>
                            <w:b/>
                            <w:sz w:val="13"/>
                          </w:rPr>
                        </w:pPr>
                        <w:r>
                          <w:rPr>
                            <w:rFonts w:ascii="Arial"/>
                            <w:b/>
                            <w:color w:val="231F20"/>
                            <w:spacing w:val="-2"/>
                            <w:sz w:val="13"/>
                          </w:rPr>
                          <w:t>Genetic</w:t>
                        </w:r>
                      </w:p>
                      <w:p>
                        <w:pPr>
                          <w:spacing w:before="7"/>
                          <w:ind w:left="0" w:right="0" w:firstLine="0"/>
                          <w:jc w:val="left"/>
                          <w:rPr>
                            <w:rFonts w:ascii="Arial"/>
                            <w:b/>
                            <w:sz w:val="13"/>
                          </w:rPr>
                        </w:pPr>
                        <w:r>
                          <w:rPr>
                            <w:rFonts w:ascii="Arial"/>
                            <w:b/>
                            <w:color w:val="231F20"/>
                            <w:spacing w:val="-2"/>
                            <w:sz w:val="13"/>
                          </w:rPr>
                          <w:t>predisposition</w:t>
                        </w:r>
                      </w:p>
                    </w:txbxContent>
                  </v:textbox>
                  <w10:wrap type="none"/>
                </v:shape>
                <v:shape style="position:absolute;left:4628;top:1636;width:942;height:445" type="#_x0000_t202" id="docshape30" filled="false" stroked="false">
                  <v:textbox inset="0,0,0,0">
                    <w:txbxContent>
                      <w:p>
                        <w:pPr>
                          <w:spacing w:line="128" w:lineRule="exact" w:before="0"/>
                          <w:ind w:left="0" w:right="0" w:firstLine="0"/>
                          <w:jc w:val="left"/>
                          <w:rPr>
                            <w:rFonts w:ascii="Arial"/>
                            <w:b/>
                            <w:sz w:val="13"/>
                          </w:rPr>
                        </w:pPr>
                        <w:r>
                          <w:rPr>
                            <w:rFonts w:ascii="Arial"/>
                            <w:b/>
                            <w:color w:val="231F20"/>
                            <w:spacing w:val="-2"/>
                            <w:sz w:val="13"/>
                          </w:rPr>
                          <w:t>Overt</w:t>
                        </w:r>
                      </w:p>
                      <w:p>
                        <w:pPr>
                          <w:spacing w:line="252" w:lineRule="auto" w:before="2"/>
                          <w:ind w:left="0" w:right="0" w:firstLine="0"/>
                          <w:jc w:val="left"/>
                          <w:rPr>
                            <w:rFonts w:ascii="Arial"/>
                            <w:b/>
                            <w:sz w:val="13"/>
                          </w:rPr>
                        </w:pPr>
                        <w:r>
                          <w:rPr>
                            <w:rFonts w:ascii="Arial"/>
                            <w:b/>
                            <w:color w:val="231F20"/>
                            <w:spacing w:val="-2"/>
                            <w:sz w:val="13"/>
                          </w:rPr>
                          <w:t>immunological</w:t>
                        </w:r>
                        <w:r>
                          <w:rPr>
                            <w:rFonts w:ascii="Arial"/>
                            <w:b/>
                            <w:color w:val="231F20"/>
                            <w:spacing w:val="40"/>
                            <w:sz w:val="13"/>
                          </w:rPr>
                          <w:t> </w:t>
                        </w:r>
                        <w:r>
                          <w:rPr>
                            <w:rFonts w:ascii="Arial"/>
                            <w:b/>
                            <w:color w:val="231F20"/>
                            <w:spacing w:val="-2"/>
                            <w:sz w:val="13"/>
                          </w:rPr>
                          <w:t>abnormalities</w:t>
                        </w:r>
                      </w:p>
                    </w:txbxContent>
                  </v:textbox>
                  <w10:wrap type="none"/>
                </v:shape>
                <v:shape style="position:absolute;left:6081;top:1631;width:768;height:601" type="#_x0000_t202" id="docshape31" filled="false" stroked="false">
                  <v:textbox inset="0,0,0,0">
                    <w:txbxContent>
                      <w:p>
                        <w:pPr>
                          <w:spacing w:line="128" w:lineRule="exact" w:before="0"/>
                          <w:ind w:left="0" w:right="0" w:firstLine="0"/>
                          <w:jc w:val="left"/>
                          <w:rPr>
                            <w:rFonts w:ascii="Arial"/>
                            <w:b/>
                            <w:sz w:val="13"/>
                          </w:rPr>
                        </w:pPr>
                        <w:r>
                          <w:rPr>
                            <w:rFonts w:ascii="Arial"/>
                            <w:b/>
                            <w:color w:val="231F20"/>
                            <w:spacing w:val="-2"/>
                            <w:sz w:val="13"/>
                          </w:rPr>
                          <w:t>Progressive</w:t>
                        </w:r>
                      </w:p>
                      <w:p>
                        <w:pPr>
                          <w:spacing w:line="252" w:lineRule="auto" w:before="2"/>
                          <w:ind w:left="72" w:right="0" w:hanging="73"/>
                          <w:jc w:val="left"/>
                          <w:rPr>
                            <w:rFonts w:ascii="Arial"/>
                            <w:b/>
                            <w:sz w:val="13"/>
                          </w:rPr>
                        </w:pPr>
                        <w:r>
                          <w:rPr>
                            <w:rFonts w:ascii="Arial"/>
                            <w:b/>
                            <w:color w:val="231F20"/>
                            <w:sz w:val="13"/>
                          </w:rPr>
                          <w:t>loss</w:t>
                        </w:r>
                        <w:r>
                          <w:rPr>
                            <w:rFonts w:ascii="Arial"/>
                            <w:b/>
                            <w:color w:val="231F20"/>
                            <w:spacing w:val="-5"/>
                            <w:sz w:val="13"/>
                          </w:rPr>
                          <w:t> </w:t>
                        </w:r>
                        <w:r>
                          <w:rPr>
                            <w:rFonts w:ascii="Arial"/>
                            <w:b/>
                            <w:color w:val="231F20"/>
                            <w:sz w:val="13"/>
                          </w:rPr>
                          <w:t>of</w:t>
                        </w:r>
                        <w:r>
                          <w:rPr>
                            <w:rFonts w:ascii="Arial"/>
                            <w:b/>
                            <w:color w:val="231F20"/>
                            <w:spacing w:val="40"/>
                            <w:sz w:val="13"/>
                          </w:rPr>
                          <w:t> </w:t>
                        </w:r>
                        <w:r>
                          <w:rPr>
                            <w:rFonts w:ascii="Arial"/>
                            <w:b/>
                            <w:color w:val="231F20"/>
                            <w:spacing w:val="-2"/>
                            <w:sz w:val="13"/>
                          </w:rPr>
                          <w:t>insulin</w:t>
                        </w:r>
                        <w:r>
                          <w:rPr>
                            <w:rFonts w:ascii="Arial"/>
                            <w:b/>
                            <w:color w:val="231F20"/>
                            <w:spacing w:val="40"/>
                            <w:sz w:val="13"/>
                          </w:rPr>
                          <w:t> </w:t>
                        </w:r>
                        <w:r>
                          <w:rPr>
                            <w:rFonts w:ascii="Arial"/>
                            <w:b/>
                            <w:color w:val="231F20"/>
                            <w:spacing w:val="-2"/>
                            <w:sz w:val="13"/>
                          </w:rPr>
                          <w:t>release</w:t>
                        </w:r>
                      </w:p>
                    </w:txbxContent>
                  </v:textbox>
                  <w10:wrap type="none"/>
                </v:shape>
                <v:shape style="position:absolute;left:7806;top:1178;width:1473;height:601" type="#_x0000_t202" id="docshape32" filled="false" stroked="false">
                  <v:textbox inset="0,0,0,0">
                    <w:txbxContent>
                      <w:p>
                        <w:pPr>
                          <w:spacing w:line="128" w:lineRule="exact" w:before="0"/>
                          <w:ind w:left="0" w:right="0" w:firstLine="0"/>
                          <w:jc w:val="left"/>
                          <w:rPr>
                            <w:rFonts w:ascii="Arial MT"/>
                            <w:sz w:val="13"/>
                          </w:rPr>
                        </w:pPr>
                        <w:r>
                          <w:rPr>
                            <w:rFonts w:ascii="Arial MT"/>
                            <w:color w:val="231F20"/>
                            <w:sz w:val="13"/>
                          </w:rPr>
                          <w:t>6.</w:t>
                        </w:r>
                        <w:r>
                          <w:rPr>
                            <w:rFonts w:ascii="Arial MT"/>
                            <w:color w:val="231F20"/>
                            <w:spacing w:val="-5"/>
                            <w:sz w:val="13"/>
                          </w:rPr>
                          <w:t> </w:t>
                        </w:r>
                        <w:r>
                          <w:rPr>
                            <w:rFonts w:ascii="Arial MT"/>
                            <w:color w:val="231F20"/>
                            <w:sz w:val="13"/>
                          </w:rPr>
                          <w:t>Increasing</w:t>
                        </w:r>
                        <w:r>
                          <w:rPr>
                            <w:rFonts w:ascii="Arial MT"/>
                            <w:color w:val="231F20"/>
                            <w:spacing w:val="-4"/>
                            <w:sz w:val="13"/>
                          </w:rPr>
                          <w:t> </w:t>
                        </w:r>
                        <w:r>
                          <w:rPr>
                            <w:rFonts w:ascii="Arial MT"/>
                            <w:color w:val="231F20"/>
                            <w:spacing w:val="-2"/>
                            <w:sz w:val="13"/>
                          </w:rPr>
                          <w:t>glucose</w:t>
                        </w:r>
                      </w:p>
                      <w:p>
                        <w:pPr>
                          <w:spacing w:line="252" w:lineRule="auto" w:before="2"/>
                          <w:ind w:left="0" w:right="17" w:firstLine="0"/>
                          <w:jc w:val="left"/>
                          <w:rPr>
                            <w:rFonts w:ascii="Arial MT"/>
                            <w:sz w:val="13"/>
                          </w:rPr>
                        </w:pPr>
                        <w:r>
                          <w:rPr>
                            <w:rFonts w:ascii="Arial MT"/>
                            <w:color w:val="231F20"/>
                            <w:sz w:val="13"/>
                          </w:rPr>
                          <w:t>excursions as individual</w:t>
                        </w:r>
                        <w:r>
                          <w:rPr>
                            <w:rFonts w:ascii="Arial MT"/>
                            <w:color w:val="231F20"/>
                            <w:spacing w:val="40"/>
                            <w:sz w:val="13"/>
                          </w:rPr>
                          <w:t> </w:t>
                        </w:r>
                        <w:r>
                          <w:rPr>
                            <w:rFonts w:ascii="Arial MT"/>
                            <w:color w:val="231F20"/>
                            <w:sz w:val="13"/>
                          </w:rPr>
                          <w:t>approaches</w:t>
                        </w:r>
                        <w:r>
                          <w:rPr>
                            <w:rFonts w:ascii="Arial MT"/>
                            <w:color w:val="231F20"/>
                            <w:spacing w:val="-10"/>
                            <w:sz w:val="13"/>
                          </w:rPr>
                          <w:t> </w:t>
                        </w:r>
                        <w:r>
                          <w:rPr>
                            <w:rFonts w:ascii="Arial MT"/>
                            <w:color w:val="231F20"/>
                            <w:sz w:val="13"/>
                          </w:rPr>
                          <w:t>symptomatic</w:t>
                        </w:r>
                        <w:r>
                          <w:rPr>
                            <w:rFonts w:ascii="Arial MT"/>
                            <w:color w:val="231F20"/>
                            <w:spacing w:val="40"/>
                            <w:sz w:val="13"/>
                          </w:rPr>
                          <w:t> </w:t>
                        </w:r>
                        <w:r>
                          <w:rPr>
                            <w:rFonts w:ascii="Arial MT"/>
                            <w:color w:val="231F20"/>
                            <w:spacing w:val="-2"/>
                            <w:sz w:val="13"/>
                          </w:rPr>
                          <w:t>onset</w:t>
                        </w:r>
                      </w:p>
                    </w:txbxContent>
                  </v:textbox>
                  <w10:wrap type="none"/>
                </v:shape>
                <v:shape style="position:absolute;left:4605;top:2206;width:928;height:288" type="#_x0000_t202" id="docshape33" filled="false" stroked="false">
                  <v:textbox inset="0,0,0,0">
                    <w:txbxContent>
                      <w:p>
                        <w:pPr>
                          <w:spacing w:line="128" w:lineRule="exact" w:before="0"/>
                          <w:ind w:left="0" w:right="0" w:firstLine="0"/>
                          <w:jc w:val="left"/>
                          <w:rPr>
                            <w:rFonts w:ascii="Arial"/>
                            <w:b/>
                            <w:sz w:val="13"/>
                          </w:rPr>
                        </w:pPr>
                        <w:r>
                          <w:rPr>
                            <w:rFonts w:ascii="Arial"/>
                            <w:b/>
                            <w:color w:val="231F20"/>
                            <w:sz w:val="13"/>
                          </w:rPr>
                          <w:t>Normal </w:t>
                        </w:r>
                        <w:r>
                          <w:rPr>
                            <w:rFonts w:ascii="Arial"/>
                            <w:b/>
                            <w:color w:val="231F20"/>
                            <w:spacing w:val="-2"/>
                            <w:sz w:val="13"/>
                          </w:rPr>
                          <w:t>insulin</w:t>
                        </w:r>
                      </w:p>
                      <w:p>
                        <w:pPr>
                          <w:spacing w:before="7"/>
                          <w:ind w:left="0" w:right="0" w:firstLine="0"/>
                          <w:jc w:val="left"/>
                          <w:rPr>
                            <w:rFonts w:ascii="Arial"/>
                            <w:b/>
                            <w:sz w:val="13"/>
                          </w:rPr>
                        </w:pPr>
                        <w:r>
                          <w:rPr>
                            <w:rFonts w:ascii="Arial"/>
                            <w:b/>
                            <w:color w:val="231F20"/>
                            <w:spacing w:val="-2"/>
                            <w:sz w:val="13"/>
                          </w:rPr>
                          <w:t>release</w:t>
                        </w:r>
                      </w:p>
                    </w:txbxContent>
                  </v:textbox>
                  <w10:wrap type="none"/>
                </v:shape>
                <v:shape style="position:absolute;left:6956;top:2247;width:550;height:288" type="#_x0000_t202" id="docshape34" filled="false" stroked="false">
                  <v:textbox inset="0,0,0,0">
                    <w:txbxContent>
                      <w:p>
                        <w:pPr>
                          <w:spacing w:line="128" w:lineRule="exact" w:before="0"/>
                          <w:ind w:left="0" w:right="0" w:firstLine="0"/>
                          <w:jc w:val="left"/>
                          <w:rPr>
                            <w:rFonts w:ascii="Arial"/>
                            <w:b/>
                            <w:sz w:val="13"/>
                          </w:rPr>
                        </w:pPr>
                        <w:r>
                          <w:rPr>
                            <w:rFonts w:ascii="Arial"/>
                            <w:b/>
                            <w:color w:val="231F20"/>
                            <w:spacing w:val="-2"/>
                            <w:sz w:val="13"/>
                          </w:rPr>
                          <w:t>Overt</w:t>
                        </w:r>
                      </w:p>
                      <w:p>
                        <w:pPr>
                          <w:spacing w:before="7"/>
                          <w:ind w:left="0" w:right="0" w:firstLine="0"/>
                          <w:jc w:val="left"/>
                          <w:rPr>
                            <w:rFonts w:ascii="Arial"/>
                            <w:b/>
                            <w:sz w:val="13"/>
                          </w:rPr>
                        </w:pPr>
                        <w:r>
                          <w:rPr>
                            <w:rFonts w:ascii="Arial"/>
                            <w:b/>
                            <w:color w:val="231F20"/>
                            <w:spacing w:val="-2"/>
                            <w:sz w:val="13"/>
                          </w:rPr>
                          <w:t>diabetes</w:t>
                        </w:r>
                      </w:p>
                    </w:txbxContent>
                  </v:textbox>
                  <w10:wrap type="none"/>
                </v:shape>
                <v:shape style="position:absolute;left:7830;top:2028;width:1523;height:445" type="#_x0000_t202" id="docshape35" filled="false" stroked="false">
                  <v:textbox inset="0,0,0,0">
                    <w:txbxContent>
                      <w:p>
                        <w:pPr>
                          <w:spacing w:line="128" w:lineRule="exact" w:before="0"/>
                          <w:ind w:left="0" w:right="0" w:firstLine="0"/>
                          <w:jc w:val="left"/>
                          <w:rPr>
                            <w:rFonts w:ascii="Arial MT"/>
                            <w:sz w:val="13"/>
                          </w:rPr>
                        </w:pPr>
                        <w:r>
                          <w:rPr>
                            <w:rFonts w:ascii="Arial MT"/>
                            <w:color w:val="231F20"/>
                            <w:sz w:val="13"/>
                          </w:rPr>
                          <w:t>7.</w:t>
                        </w:r>
                        <w:r>
                          <w:rPr>
                            <w:rFonts w:ascii="Arial MT"/>
                            <w:color w:val="231F20"/>
                            <w:spacing w:val="-1"/>
                            <w:sz w:val="13"/>
                          </w:rPr>
                          <w:t> </w:t>
                        </w:r>
                        <w:r>
                          <w:rPr>
                            <w:rFonts w:ascii="Arial MT"/>
                            <w:color w:val="231F20"/>
                            <w:sz w:val="13"/>
                          </w:rPr>
                          <w:t>Some</w:t>
                        </w:r>
                        <w:r>
                          <w:rPr>
                            <w:rFonts w:ascii="Arial MT"/>
                            <w:color w:val="231F20"/>
                            <w:spacing w:val="-1"/>
                            <w:sz w:val="13"/>
                          </w:rPr>
                          <w:t> </w:t>
                        </w:r>
                        <w:r>
                          <w:rPr>
                            <w:rFonts w:ascii="Arial MT"/>
                            <w:color w:val="231F20"/>
                            <w:sz w:val="13"/>
                          </w:rPr>
                          <w:t>patients</w:t>
                        </w:r>
                        <w:r>
                          <w:rPr>
                            <w:rFonts w:ascii="Arial MT"/>
                            <w:color w:val="231F20"/>
                            <w:spacing w:val="-1"/>
                            <w:sz w:val="13"/>
                          </w:rPr>
                          <w:t> </w:t>
                        </w:r>
                        <w:r>
                          <w:rPr>
                            <w:rFonts w:ascii="Arial MT"/>
                            <w:color w:val="231F20"/>
                            <w:spacing w:val="-2"/>
                            <w:sz w:val="13"/>
                          </w:rPr>
                          <w:t>produce</w:t>
                        </w:r>
                      </w:p>
                      <w:p>
                        <w:pPr>
                          <w:spacing w:before="7"/>
                          <w:ind w:left="0" w:right="0" w:firstLine="0"/>
                          <w:jc w:val="left"/>
                          <w:rPr>
                            <w:rFonts w:ascii="Arial MT"/>
                            <w:sz w:val="13"/>
                          </w:rPr>
                        </w:pPr>
                        <w:r>
                          <w:rPr>
                            <w:rFonts w:ascii="Arial MT"/>
                            <w:color w:val="231F20"/>
                            <w:sz w:val="13"/>
                          </w:rPr>
                          <w:t>low</w:t>
                        </w:r>
                        <w:r>
                          <w:rPr>
                            <w:rFonts w:ascii="Arial MT"/>
                            <w:color w:val="231F20"/>
                            <w:spacing w:val="-3"/>
                            <w:sz w:val="13"/>
                          </w:rPr>
                          <w:t> </w:t>
                        </w:r>
                        <w:r>
                          <w:rPr>
                            <w:rFonts w:ascii="Arial MT"/>
                            <w:color w:val="231F20"/>
                            <w:sz w:val="13"/>
                          </w:rPr>
                          <w:t>concentrations</w:t>
                        </w:r>
                        <w:r>
                          <w:rPr>
                            <w:rFonts w:ascii="Arial MT"/>
                            <w:color w:val="231F20"/>
                            <w:spacing w:val="-1"/>
                            <w:sz w:val="13"/>
                          </w:rPr>
                          <w:t> </w:t>
                        </w:r>
                        <w:r>
                          <w:rPr>
                            <w:rFonts w:ascii="Arial MT"/>
                            <w:color w:val="231F20"/>
                            <w:spacing w:val="-5"/>
                            <w:sz w:val="13"/>
                          </w:rPr>
                          <w:t>of</w:t>
                        </w:r>
                      </w:p>
                      <w:p>
                        <w:pPr>
                          <w:spacing w:before="7"/>
                          <w:ind w:left="0" w:right="0" w:firstLine="0"/>
                          <w:jc w:val="left"/>
                          <w:rPr>
                            <w:rFonts w:ascii="Arial MT"/>
                            <w:sz w:val="13"/>
                          </w:rPr>
                        </w:pPr>
                        <w:r>
                          <w:rPr>
                            <w:rFonts w:ascii="Arial MT"/>
                            <w:color w:val="231F20"/>
                            <w:sz w:val="13"/>
                          </w:rPr>
                          <w:t>C-peptide</w:t>
                        </w:r>
                        <w:r>
                          <w:rPr>
                            <w:rFonts w:ascii="Arial MT"/>
                            <w:color w:val="231F20"/>
                            <w:spacing w:val="-4"/>
                            <w:sz w:val="13"/>
                          </w:rPr>
                          <w:t> </w:t>
                        </w:r>
                        <w:r>
                          <w:rPr>
                            <w:rFonts w:ascii="Arial MT"/>
                            <w:color w:val="231F20"/>
                            <w:sz w:val="13"/>
                          </w:rPr>
                          <w:t>long</w:t>
                        </w:r>
                        <w:r>
                          <w:rPr>
                            <w:rFonts w:ascii="Arial MT"/>
                            <w:color w:val="231F20"/>
                            <w:spacing w:val="-4"/>
                            <w:sz w:val="13"/>
                          </w:rPr>
                          <w:t> </w:t>
                        </w:r>
                        <w:r>
                          <w:rPr>
                            <w:rFonts w:ascii="Arial MT"/>
                            <w:color w:val="231F20"/>
                            <w:sz w:val="13"/>
                          </w:rPr>
                          <w:t>after</w:t>
                        </w:r>
                        <w:r>
                          <w:rPr>
                            <w:rFonts w:ascii="Arial MT"/>
                            <w:color w:val="231F20"/>
                            <w:spacing w:val="-3"/>
                            <w:sz w:val="13"/>
                          </w:rPr>
                          <w:t> </w:t>
                        </w:r>
                        <w:r>
                          <w:rPr>
                            <w:rFonts w:ascii="Arial MT"/>
                            <w:color w:val="231F20"/>
                            <w:spacing w:val="-2"/>
                            <w:sz w:val="13"/>
                          </w:rPr>
                          <w:t>onset</w:t>
                        </w:r>
                      </w:p>
                    </w:txbxContent>
                  </v:textbox>
                  <w10:wrap type="none"/>
                </v:shape>
                <v:shape style="position:absolute;left:5950;top:2712;width:536;height:288" type="#_x0000_t202" id="docshape36" filled="false" stroked="false">
                  <v:textbox inset="0,0,0,0">
                    <w:txbxContent>
                      <w:p>
                        <w:pPr>
                          <w:spacing w:line="128" w:lineRule="exact" w:before="0"/>
                          <w:ind w:left="0" w:right="0" w:firstLine="0"/>
                          <w:jc w:val="left"/>
                          <w:rPr>
                            <w:rFonts w:ascii="Arial"/>
                            <w:b/>
                            <w:sz w:val="13"/>
                          </w:rPr>
                        </w:pPr>
                        <w:r>
                          <w:rPr>
                            <w:rFonts w:ascii="Arial"/>
                            <w:b/>
                            <w:color w:val="231F20"/>
                            <w:spacing w:val="-2"/>
                            <w:sz w:val="13"/>
                          </w:rPr>
                          <w:t>Glucose</w:t>
                        </w:r>
                      </w:p>
                      <w:p>
                        <w:pPr>
                          <w:spacing w:before="7"/>
                          <w:ind w:left="0" w:right="0" w:firstLine="0"/>
                          <w:jc w:val="left"/>
                          <w:rPr>
                            <w:rFonts w:ascii="Arial"/>
                            <w:b/>
                            <w:sz w:val="13"/>
                          </w:rPr>
                        </w:pPr>
                        <w:r>
                          <w:rPr>
                            <w:rFonts w:ascii="Arial"/>
                            <w:b/>
                            <w:color w:val="231F20"/>
                            <w:spacing w:val="-2"/>
                            <w:sz w:val="13"/>
                          </w:rPr>
                          <w:t>normal</w:t>
                        </w:r>
                      </w:p>
                    </w:txbxContent>
                  </v:textbox>
                  <w10:wrap type="none"/>
                </v:shape>
                <v:shape style="position:absolute;left:6965;top:2774;width:2376;height:739" type="#_x0000_t202" id="docshape37" filled="false" stroked="false">
                  <v:textbox inset="0,0,0,0">
                    <w:txbxContent>
                      <w:p>
                        <w:pPr>
                          <w:spacing w:line="138" w:lineRule="exact" w:before="0"/>
                          <w:ind w:left="0" w:right="0" w:firstLine="0"/>
                          <w:jc w:val="left"/>
                          <w:rPr>
                            <w:rFonts w:ascii="Arial"/>
                            <w:b/>
                            <w:position w:val="1"/>
                            <w:sz w:val="13"/>
                          </w:rPr>
                        </w:pPr>
                        <w:r>
                          <w:rPr>
                            <w:rFonts w:ascii="Arial"/>
                            <w:b/>
                            <w:color w:val="231F20"/>
                            <w:sz w:val="13"/>
                          </w:rPr>
                          <w:t>C-peptide</w:t>
                        </w:r>
                        <w:r>
                          <w:rPr>
                            <w:rFonts w:ascii="Arial"/>
                            <w:b/>
                            <w:color w:val="231F20"/>
                            <w:spacing w:val="75"/>
                            <w:w w:val="150"/>
                            <w:sz w:val="13"/>
                          </w:rPr>
                          <w:t> </w:t>
                        </w:r>
                        <w:r>
                          <w:rPr>
                            <w:rFonts w:ascii="Arial"/>
                            <w:b/>
                            <w:color w:val="231F20"/>
                            <w:position w:val="1"/>
                            <w:sz w:val="13"/>
                          </w:rPr>
                          <w:t>No</w:t>
                        </w:r>
                        <w:r>
                          <w:rPr>
                            <w:rFonts w:ascii="Arial"/>
                            <w:b/>
                            <w:color w:val="231F20"/>
                            <w:spacing w:val="-3"/>
                            <w:position w:val="1"/>
                            <w:sz w:val="13"/>
                          </w:rPr>
                          <w:t> </w:t>
                        </w:r>
                        <w:r>
                          <w:rPr>
                            <w:rFonts w:ascii="Arial"/>
                            <w:b/>
                            <w:color w:val="231F20"/>
                            <w:position w:val="1"/>
                            <w:sz w:val="13"/>
                          </w:rPr>
                          <w:t>C-</w:t>
                        </w:r>
                        <w:r>
                          <w:rPr>
                            <w:rFonts w:ascii="Arial"/>
                            <w:b/>
                            <w:color w:val="231F20"/>
                            <w:spacing w:val="-2"/>
                            <w:position w:val="1"/>
                            <w:sz w:val="13"/>
                          </w:rPr>
                          <w:t>peptide</w:t>
                        </w:r>
                      </w:p>
                      <w:p>
                        <w:pPr>
                          <w:spacing w:line="128" w:lineRule="exact" w:before="7"/>
                          <w:ind w:left="0" w:right="0" w:firstLine="0"/>
                          <w:jc w:val="left"/>
                          <w:rPr>
                            <w:rFonts w:ascii="Arial"/>
                            <w:b/>
                            <w:sz w:val="13"/>
                          </w:rPr>
                        </w:pPr>
                        <w:r>
                          <w:rPr>
                            <w:rFonts w:ascii="Arial"/>
                            <w:b/>
                            <w:color w:val="231F20"/>
                            <w:spacing w:val="-2"/>
                            <w:sz w:val="13"/>
                          </w:rPr>
                          <w:t>present</w:t>
                        </w:r>
                      </w:p>
                      <w:p>
                        <w:pPr>
                          <w:spacing w:line="211" w:lineRule="auto" w:before="0"/>
                          <w:ind w:left="888" w:right="0" w:firstLine="0"/>
                          <w:jc w:val="left"/>
                          <w:rPr>
                            <w:rFonts w:ascii="Arial MT" w:hAnsi="Arial MT"/>
                            <w:sz w:val="13"/>
                          </w:rPr>
                        </w:pPr>
                        <w:r>
                          <w:rPr>
                            <w:rFonts w:ascii="Arial MT" w:hAnsi="Arial MT"/>
                            <w:color w:val="231F20"/>
                            <w:sz w:val="13"/>
                          </w:rPr>
                          <w:t>8.</w:t>
                        </w:r>
                        <w:r>
                          <w:rPr>
                            <w:rFonts w:ascii="Arial MT" w:hAnsi="Arial MT"/>
                            <w:color w:val="231F20"/>
                            <w:spacing w:val="-8"/>
                            <w:sz w:val="13"/>
                          </w:rPr>
                          <w:t> </w:t>
                        </w:r>
                        <w:r>
                          <w:rPr>
                            <w:rFonts w:ascii="Lucida Sans Unicode" w:hAnsi="Lucida Sans Unicode"/>
                            <w:color w:val="231F20"/>
                            <w:sz w:val="13"/>
                          </w:rPr>
                          <w:t>β</w:t>
                        </w:r>
                        <w:r>
                          <w:rPr>
                            <w:rFonts w:ascii="Arial MT" w:hAnsi="Arial MT"/>
                            <w:color w:val="231F20"/>
                            <w:sz w:val="13"/>
                          </w:rPr>
                          <w:t>-cell</w:t>
                        </w:r>
                        <w:r>
                          <w:rPr>
                            <w:rFonts w:ascii="Arial MT" w:hAnsi="Arial MT"/>
                            <w:color w:val="231F20"/>
                            <w:spacing w:val="-8"/>
                            <w:sz w:val="13"/>
                          </w:rPr>
                          <w:t> </w:t>
                        </w:r>
                        <w:r>
                          <w:rPr>
                            <w:rFonts w:ascii="Arial MT" w:hAnsi="Arial MT"/>
                            <w:color w:val="231F20"/>
                            <w:sz w:val="13"/>
                          </w:rPr>
                          <w:t>mass</w:t>
                        </w:r>
                        <w:r>
                          <w:rPr>
                            <w:rFonts w:ascii="Arial MT" w:hAnsi="Arial MT"/>
                            <w:color w:val="231F20"/>
                            <w:spacing w:val="-8"/>
                            <w:sz w:val="13"/>
                          </w:rPr>
                          <w:t> </w:t>
                        </w:r>
                        <w:r>
                          <w:rPr>
                            <w:rFonts w:ascii="Arial MT" w:hAnsi="Arial MT"/>
                            <w:color w:val="231F20"/>
                            <w:sz w:val="13"/>
                          </w:rPr>
                          <w:t>not</w:t>
                        </w:r>
                        <w:r>
                          <w:rPr>
                            <w:rFonts w:ascii="Arial MT" w:hAnsi="Arial MT"/>
                            <w:color w:val="231F20"/>
                            <w:spacing w:val="-8"/>
                            <w:sz w:val="13"/>
                          </w:rPr>
                          <w:t> </w:t>
                        </w:r>
                        <w:r>
                          <w:rPr>
                            <w:rFonts w:ascii="Arial MT" w:hAnsi="Arial MT"/>
                            <w:color w:val="231F20"/>
                            <w:sz w:val="13"/>
                          </w:rPr>
                          <w:t>always</w:t>
                        </w:r>
                        <w:r>
                          <w:rPr>
                            <w:rFonts w:ascii="Arial MT" w:hAnsi="Arial MT"/>
                            <w:color w:val="231F20"/>
                            <w:spacing w:val="40"/>
                            <w:sz w:val="13"/>
                          </w:rPr>
                          <w:t> </w:t>
                        </w:r>
                        <w:r>
                          <w:rPr>
                            <w:rFonts w:ascii="Arial MT" w:hAnsi="Arial MT"/>
                            <w:color w:val="231F20"/>
                            <w:sz w:val="13"/>
                          </w:rPr>
                          <w:t>zero in long-standing</w:t>
                        </w:r>
                      </w:p>
                      <w:p>
                        <w:pPr>
                          <w:spacing w:before="6"/>
                          <w:ind w:left="888" w:right="0" w:firstLine="0"/>
                          <w:jc w:val="left"/>
                          <w:rPr>
                            <w:rFonts w:ascii="Arial MT"/>
                            <w:sz w:val="13"/>
                          </w:rPr>
                        </w:pPr>
                        <w:r>
                          <w:rPr>
                            <w:rFonts w:ascii="Arial MT"/>
                            <w:color w:val="231F20"/>
                            <w:spacing w:val="-2"/>
                            <w:sz w:val="13"/>
                          </w:rPr>
                          <w:t>disease</w:t>
                        </w:r>
                      </w:p>
                    </w:txbxContent>
                  </v:textbox>
                  <w10:wrap type="none"/>
                </v:shape>
                <v:shape style="position:absolute;left:2541;top:2886;width:1741;height:701" type="#_x0000_t202" id="docshape38" filled="true" fillcolor="#d7eddd" stroked="true" strokeweight=".933014pt" strokecolor="#231f20">
                  <v:textbox inset="0,0,0,0">
                    <w:txbxContent>
                      <w:p>
                        <w:pPr>
                          <w:spacing w:line="189" w:lineRule="exact" w:before="3"/>
                          <w:ind w:left="43" w:right="0" w:firstLine="0"/>
                          <w:jc w:val="left"/>
                          <w:rPr>
                            <w:rFonts w:ascii="Lucida Sans Unicode" w:hAnsi="Lucida Sans Unicode"/>
                            <w:color w:val="000000"/>
                            <w:sz w:val="13"/>
                          </w:rPr>
                        </w:pPr>
                        <w:r>
                          <w:rPr>
                            <w:rFonts w:ascii="Arial MT" w:hAnsi="Arial MT"/>
                            <w:color w:val="231F20"/>
                            <w:sz w:val="13"/>
                          </w:rPr>
                          <w:t>4.</w:t>
                        </w:r>
                        <w:r>
                          <w:rPr>
                            <w:rFonts w:ascii="Arial MT" w:hAnsi="Arial MT"/>
                            <w:color w:val="231F20"/>
                            <w:spacing w:val="-10"/>
                            <w:sz w:val="13"/>
                          </w:rPr>
                          <w:t> </w:t>
                        </w:r>
                        <w:r>
                          <w:rPr>
                            <w:rFonts w:ascii="Arial MT" w:hAnsi="Arial MT"/>
                            <w:color w:val="231F20"/>
                            <w:sz w:val="13"/>
                          </w:rPr>
                          <w:t>Although</w:t>
                        </w:r>
                        <w:r>
                          <w:rPr>
                            <w:rFonts w:ascii="Arial MT" w:hAnsi="Arial MT"/>
                            <w:color w:val="231F20"/>
                            <w:spacing w:val="-3"/>
                            <w:sz w:val="13"/>
                          </w:rPr>
                          <w:t> </w:t>
                        </w:r>
                        <w:r>
                          <w:rPr>
                            <w:rFonts w:ascii="Arial MT" w:hAnsi="Arial MT"/>
                            <w:color w:val="231F20"/>
                            <w:sz w:val="13"/>
                          </w:rPr>
                          <w:t>overall</w:t>
                        </w:r>
                        <w:r>
                          <w:rPr>
                            <w:rFonts w:ascii="Arial MT" w:hAnsi="Arial MT"/>
                            <w:color w:val="231F20"/>
                            <w:spacing w:val="-3"/>
                            <w:sz w:val="13"/>
                          </w:rPr>
                          <w:t> </w:t>
                        </w:r>
                        <w:r>
                          <w:rPr>
                            <w:rFonts w:ascii="Arial MT" w:hAnsi="Arial MT"/>
                            <w:color w:val="231F20"/>
                            <w:sz w:val="13"/>
                          </w:rPr>
                          <w:t>loss</w:t>
                        </w:r>
                        <w:r>
                          <w:rPr>
                            <w:rFonts w:ascii="Arial MT" w:hAnsi="Arial MT"/>
                            <w:color w:val="231F20"/>
                            <w:spacing w:val="-2"/>
                            <w:sz w:val="13"/>
                          </w:rPr>
                          <w:t> </w:t>
                        </w:r>
                        <w:r>
                          <w:rPr>
                            <w:rFonts w:ascii="Arial MT" w:hAnsi="Arial MT"/>
                            <w:color w:val="231F20"/>
                            <w:sz w:val="13"/>
                          </w:rPr>
                          <w:t>of</w:t>
                        </w:r>
                        <w:r>
                          <w:rPr>
                            <w:rFonts w:ascii="Arial MT" w:hAnsi="Arial MT"/>
                            <w:color w:val="231F20"/>
                            <w:spacing w:val="-9"/>
                            <w:sz w:val="13"/>
                          </w:rPr>
                          <w:t> </w:t>
                        </w:r>
                        <w:r>
                          <w:rPr>
                            <w:rFonts w:ascii="Lucida Sans Unicode" w:hAnsi="Lucida Sans Unicode"/>
                            <w:color w:val="231F20"/>
                            <w:spacing w:val="-10"/>
                            <w:sz w:val="13"/>
                          </w:rPr>
                          <w:t>β</w:t>
                        </w:r>
                      </w:p>
                      <w:p>
                        <w:pPr>
                          <w:spacing w:line="138" w:lineRule="exact" w:before="0"/>
                          <w:ind w:left="43" w:right="0" w:firstLine="0"/>
                          <w:jc w:val="left"/>
                          <w:rPr>
                            <w:rFonts w:ascii="Arial MT"/>
                            <w:color w:val="000000"/>
                            <w:sz w:val="13"/>
                          </w:rPr>
                        </w:pPr>
                        <w:r>
                          <w:rPr>
                            <w:rFonts w:ascii="Arial MT"/>
                            <w:color w:val="231F20"/>
                            <w:sz w:val="13"/>
                          </w:rPr>
                          <w:t>cells</w:t>
                        </w:r>
                        <w:r>
                          <w:rPr>
                            <w:rFonts w:ascii="Arial MT"/>
                            <w:color w:val="231F20"/>
                            <w:spacing w:val="-2"/>
                            <w:sz w:val="13"/>
                          </w:rPr>
                          <w:t> </w:t>
                        </w:r>
                        <w:r>
                          <w:rPr>
                            <w:rFonts w:ascii="Arial MT"/>
                            <w:color w:val="231F20"/>
                            <w:sz w:val="13"/>
                          </w:rPr>
                          <w:t>is</w:t>
                        </w:r>
                        <w:r>
                          <w:rPr>
                            <w:rFonts w:ascii="Arial MT"/>
                            <w:color w:val="231F20"/>
                            <w:spacing w:val="-2"/>
                            <w:sz w:val="13"/>
                          </w:rPr>
                          <w:t> </w:t>
                        </w:r>
                        <w:r>
                          <w:rPr>
                            <w:rFonts w:ascii="Arial MT"/>
                            <w:color w:val="231F20"/>
                            <w:sz w:val="13"/>
                          </w:rPr>
                          <w:t>potentially</w:t>
                        </w:r>
                        <w:r>
                          <w:rPr>
                            <w:rFonts w:ascii="Arial MT"/>
                            <w:color w:val="231F20"/>
                            <w:spacing w:val="-2"/>
                            <w:sz w:val="13"/>
                          </w:rPr>
                          <w:t> </w:t>
                        </w:r>
                        <w:r>
                          <w:rPr>
                            <w:rFonts w:ascii="Arial MT"/>
                            <w:color w:val="231F20"/>
                            <w:sz w:val="13"/>
                          </w:rPr>
                          <w:t>linear,</w:t>
                        </w:r>
                        <w:r>
                          <w:rPr>
                            <w:rFonts w:ascii="Arial MT"/>
                            <w:color w:val="231F20"/>
                            <w:spacing w:val="-2"/>
                            <w:sz w:val="13"/>
                          </w:rPr>
                          <w:t> </w:t>
                        </w:r>
                        <w:r>
                          <w:rPr>
                            <w:rFonts w:ascii="Arial MT"/>
                            <w:color w:val="231F20"/>
                            <w:spacing w:val="-5"/>
                            <w:sz w:val="13"/>
                          </w:rPr>
                          <w:t>it</w:t>
                        </w:r>
                      </w:p>
                      <w:p>
                        <w:pPr>
                          <w:spacing w:line="252" w:lineRule="auto" w:before="7"/>
                          <w:ind w:left="43" w:right="0" w:firstLine="0"/>
                          <w:jc w:val="left"/>
                          <w:rPr>
                            <w:rFonts w:ascii="Arial MT"/>
                            <w:color w:val="000000"/>
                            <w:sz w:val="13"/>
                          </w:rPr>
                        </w:pPr>
                        <w:r>
                          <w:rPr>
                            <w:rFonts w:ascii="Arial MT"/>
                            <w:color w:val="231F20"/>
                            <w:sz w:val="13"/>
                          </w:rPr>
                          <w:t>could</w:t>
                        </w:r>
                        <w:r>
                          <w:rPr>
                            <w:rFonts w:ascii="Arial MT"/>
                            <w:color w:val="231F20"/>
                            <w:spacing w:val="-8"/>
                            <w:sz w:val="13"/>
                          </w:rPr>
                          <w:t> </w:t>
                        </w:r>
                        <w:r>
                          <w:rPr>
                            <w:rFonts w:ascii="Arial MT"/>
                            <w:color w:val="231F20"/>
                            <w:sz w:val="13"/>
                          </w:rPr>
                          <w:t>show</w:t>
                        </w:r>
                        <w:r>
                          <w:rPr>
                            <w:rFonts w:ascii="Arial MT"/>
                            <w:color w:val="231F20"/>
                            <w:spacing w:val="-8"/>
                            <w:sz w:val="13"/>
                          </w:rPr>
                          <w:t> </w:t>
                        </w:r>
                        <w:r>
                          <w:rPr>
                            <w:rFonts w:ascii="Arial MT"/>
                            <w:color w:val="231F20"/>
                            <w:sz w:val="13"/>
                          </w:rPr>
                          <w:t>a</w:t>
                        </w:r>
                        <w:r>
                          <w:rPr>
                            <w:rFonts w:ascii="Arial MT"/>
                            <w:color w:val="231F20"/>
                            <w:spacing w:val="-8"/>
                            <w:sz w:val="13"/>
                          </w:rPr>
                          <w:t> </w:t>
                        </w:r>
                        <w:r>
                          <w:rPr>
                            <w:rFonts w:ascii="Arial MT"/>
                            <w:color w:val="231F20"/>
                            <w:sz w:val="13"/>
                          </w:rPr>
                          <w:t>relapsing</w:t>
                        </w:r>
                        <w:r>
                          <w:rPr>
                            <w:rFonts w:ascii="Arial MT"/>
                            <w:color w:val="231F20"/>
                            <w:spacing w:val="-8"/>
                            <w:sz w:val="13"/>
                          </w:rPr>
                          <w:t> </w:t>
                        </w:r>
                        <w:r>
                          <w:rPr>
                            <w:rFonts w:ascii="Arial MT"/>
                            <w:color w:val="231F20"/>
                            <w:sz w:val="13"/>
                          </w:rPr>
                          <w:t>or</w:t>
                        </w:r>
                        <w:r>
                          <w:rPr>
                            <w:rFonts w:ascii="Arial MT"/>
                            <w:color w:val="231F20"/>
                            <w:spacing w:val="40"/>
                            <w:sz w:val="13"/>
                          </w:rPr>
                          <w:t> </w:t>
                        </w:r>
                        <w:r>
                          <w:rPr>
                            <w:rFonts w:ascii="Arial MT"/>
                            <w:color w:val="231F20"/>
                            <w:sz w:val="13"/>
                          </w:rPr>
                          <w:t>remitting</w:t>
                        </w:r>
                        <w:r>
                          <w:rPr>
                            <w:rFonts w:ascii="Arial MT"/>
                            <w:color w:val="231F20"/>
                            <w:spacing w:val="-5"/>
                            <w:sz w:val="13"/>
                          </w:rPr>
                          <w:t> </w:t>
                        </w:r>
                        <w:r>
                          <w:rPr>
                            <w:rFonts w:ascii="Arial MT"/>
                            <w:color w:val="231F20"/>
                            <w:sz w:val="13"/>
                          </w:rPr>
                          <w:t>pattern</w:t>
                        </w:r>
                      </w:p>
                    </w:txbxContent>
                  </v:textbox>
                  <v:fill type="solid"/>
                  <v:stroke dashstyle="solid"/>
                  <w10:wrap type="none"/>
                </v:shape>
                <v:shape style="position:absolute;left:4589;top:262;width:1452;height:734" type="#_x0000_t202" id="docshape39" filled="true" fillcolor="#d7eddd" stroked="true" strokeweight=".933014pt" strokecolor="#231f20">
                  <v:textbox inset="0,0,0,0">
                    <w:txbxContent>
                      <w:p>
                        <w:pPr>
                          <w:spacing w:line="252" w:lineRule="auto" w:before="39"/>
                          <w:ind w:left="35" w:right="29" w:firstLine="0"/>
                          <w:jc w:val="left"/>
                          <w:rPr>
                            <w:rFonts w:ascii="Arial MT"/>
                            <w:color w:val="000000"/>
                            <w:sz w:val="13"/>
                          </w:rPr>
                        </w:pPr>
                        <w:r>
                          <w:rPr>
                            <w:rFonts w:ascii="Arial MT"/>
                            <w:color w:val="231F20"/>
                            <w:sz w:val="13"/>
                          </w:rPr>
                          <w:t>3.</w:t>
                        </w:r>
                        <w:r>
                          <w:rPr>
                            <w:rFonts w:ascii="Arial MT"/>
                            <w:color w:val="231F20"/>
                            <w:spacing w:val="-10"/>
                            <w:sz w:val="13"/>
                          </w:rPr>
                          <w:t> </w:t>
                        </w:r>
                        <w:r>
                          <w:rPr>
                            <w:rFonts w:ascii="Arial MT"/>
                            <w:color w:val="231F20"/>
                            <w:sz w:val="13"/>
                          </w:rPr>
                          <w:t>Beyond</w:t>
                        </w:r>
                        <w:r>
                          <w:rPr>
                            <w:rFonts w:ascii="Arial MT"/>
                            <w:color w:val="231F20"/>
                            <w:spacing w:val="-9"/>
                            <w:sz w:val="13"/>
                          </w:rPr>
                          <w:t> </w:t>
                        </w:r>
                        <w:r>
                          <w:rPr>
                            <w:rFonts w:ascii="Arial MT"/>
                            <w:color w:val="231F20"/>
                            <w:sz w:val="13"/>
                          </w:rPr>
                          <w:t>precipitating,</w:t>
                        </w:r>
                        <w:r>
                          <w:rPr>
                            <w:rFonts w:ascii="Arial MT"/>
                            <w:color w:val="231F20"/>
                            <w:spacing w:val="40"/>
                            <w:sz w:val="13"/>
                          </w:rPr>
                          <w:t> </w:t>
                        </w:r>
                        <w:r>
                          <w:rPr>
                            <w:rFonts w:ascii="Arial MT"/>
                            <w:color w:val="231F20"/>
                            <w:sz w:val="13"/>
                          </w:rPr>
                          <w:t>environment</w:t>
                        </w:r>
                        <w:r>
                          <w:rPr>
                            <w:rFonts w:ascii="Arial MT"/>
                            <w:color w:val="231F20"/>
                            <w:spacing w:val="-5"/>
                            <w:sz w:val="13"/>
                          </w:rPr>
                          <w:t> </w:t>
                        </w:r>
                        <w:r>
                          <w:rPr>
                            <w:rFonts w:ascii="Arial MT"/>
                            <w:color w:val="231F20"/>
                            <w:sz w:val="13"/>
                          </w:rPr>
                          <w:t>might</w:t>
                        </w:r>
                        <w:r>
                          <w:rPr>
                            <w:rFonts w:ascii="Arial MT"/>
                            <w:color w:val="231F20"/>
                            <w:spacing w:val="40"/>
                            <w:sz w:val="13"/>
                          </w:rPr>
                          <w:t> </w:t>
                        </w:r>
                        <w:r>
                          <w:rPr>
                            <w:rFonts w:ascii="Arial MT"/>
                            <w:color w:val="231F20"/>
                            <w:sz w:val="13"/>
                          </w:rPr>
                          <w:t>influence entire natural</w:t>
                        </w:r>
                        <w:r>
                          <w:rPr>
                            <w:rFonts w:ascii="Arial MT"/>
                            <w:color w:val="231F20"/>
                            <w:spacing w:val="40"/>
                            <w:sz w:val="13"/>
                          </w:rPr>
                          <w:t> </w:t>
                        </w:r>
                        <w:r>
                          <w:rPr>
                            <w:rFonts w:ascii="Arial MT"/>
                            <w:color w:val="231F20"/>
                            <w:spacing w:val="-2"/>
                            <w:sz w:val="13"/>
                          </w:rPr>
                          <w:t>history</w:t>
                        </w:r>
                      </w:p>
                    </w:txbxContent>
                  </v:textbox>
                  <v:fill type="solid"/>
                  <v:stroke dashstyle="solid"/>
                  <w10:wrap type="none"/>
                </v:shape>
                <v:shape style="position:absolute;left:6839;top:122;width:1602;height:868" type="#_x0000_t202" id="docshape40" filled="true" fillcolor="#d7eddd" stroked="true" strokeweight=".933014pt" strokecolor="#231f20">
                  <v:textbox inset="0,0,0,0">
                    <w:txbxContent>
                      <w:p>
                        <w:pPr>
                          <w:spacing w:line="252" w:lineRule="auto" w:before="41"/>
                          <w:ind w:left="47" w:right="81" w:firstLine="0"/>
                          <w:jc w:val="left"/>
                          <w:rPr>
                            <w:rFonts w:ascii="Arial MT"/>
                            <w:color w:val="000000"/>
                            <w:sz w:val="13"/>
                          </w:rPr>
                        </w:pPr>
                        <w:r>
                          <w:rPr>
                            <w:rFonts w:ascii="Arial MT"/>
                            <w:color w:val="231F20"/>
                            <w:sz w:val="13"/>
                          </w:rPr>
                          <w:t>5. Presence of two or</w:t>
                        </w:r>
                        <w:r>
                          <w:rPr>
                            <w:rFonts w:ascii="Arial MT"/>
                            <w:color w:val="231F20"/>
                            <w:spacing w:val="40"/>
                            <w:sz w:val="13"/>
                          </w:rPr>
                          <w:t> </w:t>
                        </w:r>
                        <w:r>
                          <w:rPr>
                            <w:rFonts w:ascii="Arial MT"/>
                            <w:color w:val="231F20"/>
                            <w:sz w:val="13"/>
                          </w:rPr>
                          <w:t>more</w:t>
                        </w:r>
                        <w:r>
                          <w:rPr>
                            <w:rFonts w:ascii="Arial MT"/>
                            <w:color w:val="231F20"/>
                            <w:spacing w:val="-10"/>
                            <w:sz w:val="13"/>
                          </w:rPr>
                          <w:t> </w:t>
                        </w:r>
                        <w:r>
                          <w:rPr>
                            <w:rFonts w:ascii="Arial MT"/>
                            <w:color w:val="231F20"/>
                            <w:sz w:val="13"/>
                          </w:rPr>
                          <w:t>islet</w:t>
                        </w:r>
                        <w:r>
                          <w:rPr>
                            <w:rFonts w:ascii="Arial MT"/>
                            <w:color w:val="231F20"/>
                            <w:spacing w:val="-9"/>
                            <w:sz w:val="13"/>
                          </w:rPr>
                          <w:t> </w:t>
                        </w:r>
                        <w:r>
                          <w:rPr>
                            <w:rFonts w:ascii="Arial MT"/>
                            <w:color w:val="231F20"/>
                            <w:sz w:val="13"/>
                          </w:rPr>
                          <w:t>autoantibodies</w:t>
                        </w:r>
                        <w:r>
                          <w:rPr>
                            <w:rFonts w:ascii="Arial MT"/>
                            <w:color w:val="231F20"/>
                            <w:spacing w:val="40"/>
                            <w:sz w:val="13"/>
                          </w:rPr>
                          <w:t> </w:t>
                        </w:r>
                        <w:r>
                          <w:rPr>
                            <w:rFonts w:ascii="Arial MT"/>
                            <w:color w:val="231F20"/>
                            <w:sz w:val="13"/>
                          </w:rPr>
                          <w:t>might</w:t>
                        </w:r>
                        <w:r>
                          <w:rPr>
                            <w:rFonts w:ascii="Arial MT"/>
                            <w:color w:val="231F20"/>
                            <w:spacing w:val="-5"/>
                            <w:sz w:val="13"/>
                          </w:rPr>
                          <w:t> </w:t>
                        </w:r>
                        <w:r>
                          <w:rPr>
                            <w:rFonts w:ascii="Arial MT"/>
                            <w:color w:val="231F20"/>
                            <w:sz w:val="13"/>
                          </w:rPr>
                          <w:t>represent</w:t>
                        </w:r>
                        <w:r>
                          <w:rPr>
                            <w:rFonts w:ascii="Arial MT"/>
                            <w:color w:val="231F20"/>
                            <w:spacing w:val="40"/>
                            <w:sz w:val="13"/>
                          </w:rPr>
                          <w:t> </w:t>
                        </w:r>
                        <w:r>
                          <w:rPr>
                            <w:rFonts w:ascii="Arial MT"/>
                            <w:color w:val="231F20"/>
                            <w:sz w:val="13"/>
                          </w:rPr>
                          <w:t>asymptomatic type 1</w:t>
                        </w:r>
                        <w:r>
                          <w:rPr>
                            <w:rFonts w:ascii="Arial MT"/>
                            <w:color w:val="231F20"/>
                            <w:spacing w:val="40"/>
                            <w:sz w:val="13"/>
                          </w:rPr>
                          <w:t> </w:t>
                        </w:r>
                        <w:r>
                          <w:rPr>
                            <w:rFonts w:ascii="Arial MT"/>
                            <w:color w:val="231F20"/>
                            <w:spacing w:val="-2"/>
                            <w:sz w:val="13"/>
                          </w:rPr>
                          <w:t>diabetes</w:t>
                        </w:r>
                      </w:p>
                    </w:txbxContent>
                  </v:textbox>
                  <v:fill type="solid"/>
                  <v:stroke dashstyle="solid"/>
                  <w10:wrap type="none"/>
                </v:shape>
                <v:shape style="position:absolute;left:2346;top:-219;width:980;height:557" type="#_x0000_t202" id="docshape41" filled="true" fillcolor="#d7eddd" stroked="true" strokeweight=".933014pt" strokecolor="#231f20">
                  <v:textbox inset="0,0,0,0">
                    <w:txbxContent>
                      <w:p>
                        <w:pPr>
                          <w:spacing w:line="252" w:lineRule="auto" w:before="37"/>
                          <w:ind w:left="42" w:right="52" w:firstLine="0"/>
                          <w:jc w:val="left"/>
                          <w:rPr>
                            <w:rFonts w:ascii="Arial MT"/>
                            <w:color w:val="000000"/>
                            <w:sz w:val="13"/>
                          </w:rPr>
                        </w:pPr>
                        <w:r>
                          <w:rPr>
                            <w:rFonts w:ascii="Arial MT"/>
                            <w:color w:val="231F20"/>
                            <w:sz w:val="13"/>
                          </w:rPr>
                          <w:t>1.</w:t>
                        </w:r>
                        <w:r>
                          <w:rPr>
                            <w:rFonts w:ascii="Arial MT"/>
                            <w:color w:val="231F20"/>
                            <w:spacing w:val="-10"/>
                            <w:sz w:val="13"/>
                          </w:rPr>
                          <w:t> </w:t>
                        </w:r>
                        <w:r>
                          <w:rPr>
                            <w:rFonts w:ascii="Arial MT"/>
                            <w:color w:val="231F20"/>
                            <w:sz w:val="13"/>
                          </w:rPr>
                          <w:t>Precipitating</w:t>
                        </w:r>
                        <w:r>
                          <w:rPr>
                            <w:rFonts w:ascii="Arial MT"/>
                            <w:color w:val="231F20"/>
                            <w:spacing w:val="40"/>
                            <w:sz w:val="13"/>
                          </w:rPr>
                          <w:t> </w:t>
                        </w:r>
                        <w:r>
                          <w:rPr>
                            <w:rFonts w:ascii="Arial MT"/>
                            <w:color w:val="231F20"/>
                            <w:sz w:val="13"/>
                          </w:rPr>
                          <w:t>events</w:t>
                        </w:r>
                        <w:r>
                          <w:rPr>
                            <w:rFonts w:ascii="Arial MT"/>
                            <w:color w:val="231F20"/>
                            <w:spacing w:val="-5"/>
                            <w:sz w:val="13"/>
                          </w:rPr>
                          <w:t> </w:t>
                        </w:r>
                        <w:r>
                          <w:rPr>
                            <w:rFonts w:ascii="Arial MT"/>
                            <w:color w:val="231F20"/>
                            <w:sz w:val="13"/>
                          </w:rPr>
                          <w:t>might</w:t>
                        </w:r>
                        <w:r>
                          <w:rPr>
                            <w:rFonts w:ascii="Arial MT"/>
                            <w:color w:val="231F20"/>
                            <w:spacing w:val="40"/>
                            <w:sz w:val="13"/>
                          </w:rPr>
                          <w:t> </w:t>
                        </w:r>
                        <w:r>
                          <w:rPr>
                            <w:rFonts w:ascii="Arial MT"/>
                            <w:color w:val="231F20"/>
                            <w:sz w:val="13"/>
                          </w:rPr>
                          <w:t>occur in utero</w:t>
                        </w:r>
                      </w:p>
                    </w:txbxContent>
                  </v:textbox>
                  <v:fill type="solid"/>
                  <v:stroke dashstyle="solid"/>
                  <w10:wrap type="none"/>
                </v:shape>
                <v:shape style="position:absolute;left:3624;top:-746;width:1643;height:710" type="#_x0000_t202" id="docshape42" filled="true" fillcolor="#d7eddd" stroked="true" strokeweight=".933014pt" strokecolor="#231f20">
                  <v:textbox inset="0,0,0,0">
                    <w:txbxContent>
                      <w:p>
                        <w:pPr>
                          <w:spacing w:line="252" w:lineRule="auto" w:before="37"/>
                          <w:ind w:left="64" w:right="83" w:firstLine="0"/>
                          <w:jc w:val="left"/>
                          <w:rPr>
                            <w:rFonts w:ascii="Arial MT"/>
                            <w:color w:val="000000"/>
                            <w:sz w:val="13"/>
                          </w:rPr>
                        </w:pPr>
                        <w:r>
                          <w:rPr>
                            <w:rFonts w:ascii="Arial MT"/>
                            <w:color w:val="231F20"/>
                            <w:sz w:val="13"/>
                          </w:rPr>
                          <w:t>2. Genetic predisposition</w:t>
                        </w:r>
                        <w:r>
                          <w:rPr>
                            <w:rFonts w:ascii="Arial MT"/>
                            <w:color w:val="231F20"/>
                            <w:spacing w:val="40"/>
                            <w:sz w:val="13"/>
                          </w:rPr>
                          <w:t> </w:t>
                        </w:r>
                        <w:r>
                          <w:rPr>
                            <w:rFonts w:ascii="Arial MT"/>
                            <w:color w:val="231F20"/>
                            <w:sz w:val="13"/>
                          </w:rPr>
                          <w:t>probably</w:t>
                        </w:r>
                        <w:r>
                          <w:rPr>
                            <w:rFonts w:ascii="Arial MT"/>
                            <w:color w:val="231F20"/>
                            <w:spacing w:val="-8"/>
                            <w:sz w:val="13"/>
                          </w:rPr>
                          <w:t> </w:t>
                        </w:r>
                        <w:r>
                          <w:rPr>
                            <w:rFonts w:ascii="Arial MT"/>
                            <w:color w:val="231F20"/>
                            <w:sz w:val="13"/>
                          </w:rPr>
                          <w:t>the</w:t>
                        </w:r>
                        <w:r>
                          <w:rPr>
                            <w:rFonts w:ascii="Arial MT"/>
                            <w:color w:val="231F20"/>
                            <w:spacing w:val="-8"/>
                            <w:sz w:val="13"/>
                          </w:rPr>
                          <w:t> </w:t>
                        </w:r>
                        <w:r>
                          <w:rPr>
                            <w:rFonts w:ascii="Arial MT"/>
                            <w:color w:val="231F20"/>
                            <w:sz w:val="13"/>
                          </w:rPr>
                          <w:t>key</w:t>
                        </w:r>
                        <w:r>
                          <w:rPr>
                            <w:rFonts w:ascii="Arial MT"/>
                            <w:color w:val="231F20"/>
                            <w:spacing w:val="-8"/>
                            <w:sz w:val="13"/>
                          </w:rPr>
                          <w:t> </w:t>
                        </w:r>
                        <w:r>
                          <w:rPr>
                            <w:rFonts w:ascii="Arial MT"/>
                            <w:color w:val="231F20"/>
                            <w:sz w:val="13"/>
                          </w:rPr>
                          <w:t>driver</w:t>
                        </w:r>
                        <w:r>
                          <w:rPr>
                            <w:rFonts w:ascii="Arial MT"/>
                            <w:color w:val="231F20"/>
                            <w:spacing w:val="-8"/>
                            <w:sz w:val="13"/>
                          </w:rPr>
                          <w:t> </w:t>
                        </w:r>
                        <w:r>
                          <w:rPr>
                            <w:rFonts w:ascii="Arial MT"/>
                            <w:color w:val="231F20"/>
                            <w:sz w:val="13"/>
                          </w:rPr>
                          <w:t>or</w:t>
                        </w:r>
                        <w:r>
                          <w:rPr>
                            <w:rFonts w:ascii="Arial MT"/>
                            <w:color w:val="231F20"/>
                            <w:spacing w:val="40"/>
                            <w:sz w:val="13"/>
                          </w:rPr>
                          <w:t> </w:t>
                        </w:r>
                        <w:r>
                          <w:rPr>
                            <w:rFonts w:ascii="Arial MT"/>
                            <w:color w:val="231F20"/>
                            <w:sz w:val="13"/>
                          </w:rPr>
                          <w:t>linkage to immune</w:t>
                        </w:r>
                        <w:r>
                          <w:rPr>
                            <w:rFonts w:ascii="Arial MT"/>
                            <w:color w:val="231F20"/>
                            <w:spacing w:val="40"/>
                            <w:sz w:val="13"/>
                          </w:rPr>
                          <w:t> </w:t>
                        </w:r>
                        <w:r>
                          <w:rPr>
                            <w:rFonts w:ascii="Arial MT"/>
                            <w:color w:val="231F20"/>
                            <w:spacing w:val="-2"/>
                            <w:sz w:val="13"/>
                          </w:rPr>
                          <w:t>abnormalities</w:t>
                        </w:r>
                      </w:p>
                    </w:txbxContent>
                  </v:textbox>
                  <v:fill type="solid"/>
                  <v:stroke dashstyle="solid"/>
                  <w10:wrap type="none"/>
                </v:shape>
                <w10:wrap type="none"/>
              </v:group>
            </w:pict>
          </mc:Fallback>
        </mc:AlternateContent>
      </w:r>
      <w:r>
        <w:rPr>
          <w:color w:val="231F20"/>
        </w:rPr>
        <w:t>(Precipitating </w:t>
      </w:r>
      <w:r>
        <w:rPr>
          <w:color w:val="231F20"/>
          <w:spacing w:val="-2"/>
        </w:rPr>
        <w:t>event)</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15"/>
        <w:rPr>
          <w:rFonts w:ascii="Arial"/>
          <w:b/>
        </w:rPr>
      </w:pPr>
    </w:p>
    <w:p>
      <w:pPr>
        <w:pStyle w:val="BodyText"/>
        <w:spacing w:before="1"/>
        <w:ind w:left="1017" w:right="2000"/>
        <w:jc w:val="center"/>
        <w:rPr>
          <w:rFonts w:ascii="Arial MT"/>
        </w:rPr>
      </w:pPr>
      <w:r>
        <w:rPr>
          <w:rFonts w:ascii="Arial MT"/>
        </w:rPr>
        <mc:AlternateContent>
          <mc:Choice Requires="wps">
            <w:drawing>
              <wp:anchor distT="0" distB="0" distL="0" distR="0" allowOverlap="1" layoutInCell="1" locked="0" behindDoc="0" simplePos="0" relativeHeight="15730688">
                <wp:simplePos x="0" y="0"/>
                <wp:positionH relativeFrom="page">
                  <wp:posOffset>1334640</wp:posOffset>
                </wp:positionH>
                <wp:positionV relativeFrom="paragraph">
                  <wp:posOffset>-963793</wp:posOffset>
                </wp:positionV>
                <wp:extent cx="109855" cy="44958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09855" cy="449580"/>
                        </a:xfrm>
                        <a:prstGeom prst="rect">
                          <a:avLst/>
                        </a:prstGeom>
                      </wps:spPr>
                      <wps:txbx>
                        <w:txbxContent>
                          <w:p>
                            <w:pPr>
                              <w:pStyle w:val="BodyText"/>
                              <w:spacing w:line="173" w:lineRule="exact"/>
                              <w:ind w:left="20"/>
                              <w:rPr>
                                <w:rFonts w:ascii="Arial MT" w:hAnsi="Arial MT"/>
                              </w:rPr>
                            </w:pPr>
                            <w:r>
                              <w:rPr>
                                <w:rFonts w:ascii="Lucida Sans Unicode" w:hAnsi="Lucida Sans Unicode"/>
                                <w:color w:val="231F20"/>
                              </w:rPr>
                              <w:t>β</w:t>
                            </w:r>
                            <w:r>
                              <w:rPr>
                                <w:rFonts w:ascii="Arial MT" w:hAnsi="Arial MT"/>
                                <w:color w:val="231F20"/>
                              </w:rPr>
                              <w:t>-cell</w:t>
                            </w:r>
                            <w:r>
                              <w:rPr>
                                <w:rFonts w:ascii="Arial MT" w:hAnsi="Arial MT"/>
                                <w:color w:val="231F20"/>
                                <w:spacing w:val="-4"/>
                              </w:rPr>
                              <w:t> mass</w:t>
                            </w:r>
                          </w:p>
                        </w:txbxContent>
                      </wps:txbx>
                      <wps:bodyPr wrap="square" lIns="0" tIns="0" rIns="0" bIns="0" rtlCol="0" vert="vert270">
                        <a:noAutofit/>
                      </wps:bodyPr>
                    </wps:wsp>
                  </a:graphicData>
                </a:graphic>
              </wp:anchor>
            </w:drawing>
          </mc:Choice>
          <mc:Fallback>
            <w:pict>
              <v:shape style="position:absolute;margin-left:105.089767pt;margin-top:-75.889252pt;width:8.65pt;height:35.4pt;mso-position-horizontal-relative:page;mso-position-vertical-relative:paragraph;z-index:15730688" type="#_x0000_t202" id="docshape43" filled="false" stroked="false">
                <v:textbox inset="0,0,0,0" style="layout-flow:vertical;mso-layout-flow-alt:bottom-to-top">
                  <w:txbxContent>
                    <w:p>
                      <w:pPr>
                        <w:pStyle w:val="BodyText"/>
                        <w:spacing w:line="173" w:lineRule="exact"/>
                        <w:ind w:left="20"/>
                        <w:rPr>
                          <w:rFonts w:ascii="Arial MT" w:hAnsi="Arial MT"/>
                        </w:rPr>
                      </w:pPr>
                      <w:r>
                        <w:rPr>
                          <w:rFonts w:ascii="Lucida Sans Unicode" w:hAnsi="Lucida Sans Unicode"/>
                          <w:color w:val="231F20"/>
                        </w:rPr>
                        <w:t>β</w:t>
                      </w:r>
                      <w:r>
                        <w:rPr>
                          <w:rFonts w:ascii="Arial MT" w:hAnsi="Arial MT"/>
                          <w:color w:val="231F20"/>
                        </w:rPr>
                        <w:t>-cell</w:t>
                      </w:r>
                      <w:r>
                        <w:rPr>
                          <w:rFonts w:ascii="Arial MT" w:hAnsi="Arial MT"/>
                          <w:color w:val="231F20"/>
                          <w:spacing w:val="-4"/>
                        </w:rPr>
                        <w:t> mass</w:t>
                      </w:r>
                    </w:p>
                  </w:txbxContent>
                </v:textbox>
                <w10:wrap type="none"/>
              </v:shape>
            </w:pict>
          </mc:Fallback>
        </mc:AlternateContent>
      </w:r>
      <w:r>
        <w:rPr>
          <w:rFonts w:ascii="Arial MT"/>
          <w:color w:val="231F20"/>
        </w:rPr>
        <w:t>Age</w:t>
      </w:r>
      <w:r>
        <w:rPr>
          <w:rFonts w:ascii="Arial MT"/>
          <w:color w:val="231F20"/>
          <w:spacing w:val="-2"/>
        </w:rPr>
        <w:t> </w:t>
      </w:r>
      <w:r>
        <w:rPr>
          <w:rFonts w:ascii="Arial MT"/>
          <w:color w:val="231F20"/>
          <w:spacing w:val="-4"/>
        </w:rPr>
        <w:t>(yr)</w:t>
      </w:r>
    </w:p>
    <w:p>
      <w:pPr>
        <w:spacing w:line="230" w:lineRule="auto" w:before="82"/>
        <w:ind w:left="457" w:right="709" w:firstLine="0"/>
        <w:jc w:val="both"/>
        <w:rPr>
          <w:i/>
          <w:sz w:val="15"/>
        </w:rPr>
      </w:pPr>
      <w:r>
        <w:rPr>
          <w:b/>
          <w:color w:val="4A0C62"/>
          <w:sz w:val="16"/>
        </w:rPr>
        <w:t>Figure 589-3 </w:t>
      </w:r>
      <w:r>
        <w:rPr>
          <w:color w:val="231F20"/>
          <w:sz w:val="15"/>
        </w:rPr>
        <w:t>The natural history of type 1 diabetes—a 25 yr old concept revisited. A recreation of the model of type 1 diabetes, originally proposed</w:t>
      </w:r>
      <w:r>
        <w:rPr>
          <w:color w:val="231F20"/>
          <w:spacing w:val="-1"/>
          <w:sz w:val="15"/>
        </w:rPr>
        <w:t> </w:t>
      </w:r>
      <w:r>
        <w:rPr>
          <w:color w:val="231F20"/>
          <w:sz w:val="15"/>
        </w:rPr>
        <w:t>in</w:t>
      </w:r>
      <w:r>
        <w:rPr>
          <w:color w:val="231F20"/>
          <w:spacing w:val="-1"/>
          <w:sz w:val="15"/>
        </w:rPr>
        <w:t> </w:t>
      </w:r>
      <w:r>
        <w:rPr>
          <w:color w:val="231F20"/>
          <w:sz w:val="15"/>
        </w:rPr>
        <w:t>1986,</w:t>
      </w:r>
      <w:r>
        <w:rPr>
          <w:color w:val="231F20"/>
          <w:spacing w:val="-1"/>
          <w:sz w:val="15"/>
        </w:rPr>
        <w:t> </w:t>
      </w:r>
      <w:r>
        <w:rPr>
          <w:color w:val="231F20"/>
          <w:sz w:val="15"/>
        </w:rPr>
        <w:t>is</w:t>
      </w:r>
      <w:r>
        <w:rPr>
          <w:color w:val="231F20"/>
          <w:spacing w:val="-1"/>
          <w:sz w:val="15"/>
        </w:rPr>
        <w:t> </w:t>
      </w:r>
      <w:r>
        <w:rPr>
          <w:color w:val="231F20"/>
          <w:sz w:val="15"/>
        </w:rPr>
        <w:t>shown</w:t>
      </w:r>
      <w:r>
        <w:rPr>
          <w:color w:val="231F20"/>
          <w:spacing w:val="-1"/>
          <w:sz w:val="15"/>
        </w:rPr>
        <w:t> </w:t>
      </w:r>
      <w:r>
        <w:rPr>
          <w:color w:val="231F20"/>
          <w:sz w:val="15"/>
        </w:rPr>
        <w:t>in</w:t>
      </w:r>
      <w:r>
        <w:rPr>
          <w:color w:val="231F20"/>
          <w:spacing w:val="-1"/>
          <w:sz w:val="15"/>
        </w:rPr>
        <w:t> </w:t>
      </w:r>
      <w:r>
        <w:rPr>
          <w:i/>
          <w:color w:val="231F20"/>
          <w:sz w:val="15"/>
        </w:rPr>
        <w:t>black.</w:t>
      </w:r>
      <w:r>
        <w:rPr>
          <w:i/>
          <w:color w:val="231F20"/>
          <w:spacing w:val="-1"/>
          <w:sz w:val="15"/>
        </w:rPr>
        <w:t> </w:t>
      </w:r>
      <w:r>
        <w:rPr>
          <w:color w:val="231F20"/>
          <w:sz w:val="15"/>
        </w:rPr>
        <w:t>Additions</w:t>
      </w:r>
      <w:r>
        <w:rPr>
          <w:color w:val="231F20"/>
          <w:spacing w:val="-1"/>
          <w:sz w:val="15"/>
        </w:rPr>
        <w:t> </w:t>
      </w:r>
      <w:r>
        <w:rPr>
          <w:color w:val="231F20"/>
          <w:sz w:val="15"/>
        </w:rPr>
        <w:t>and</w:t>
      </w:r>
      <w:r>
        <w:rPr>
          <w:color w:val="231F20"/>
          <w:spacing w:val="-1"/>
          <w:sz w:val="15"/>
        </w:rPr>
        <w:t> </w:t>
      </w:r>
      <w:r>
        <w:rPr>
          <w:color w:val="231F20"/>
          <w:sz w:val="15"/>
        </w:rPr>
        <w:t>conjectures</w:t>
      </w:r>
      <w:r>
        <w:rPr>
          <w:color w:val="231F20"/>
          <w:spacing w:val="-1"/>
          <w:sz w:val="15"/>
        </w:rPr>
        <w:t> </w:t>
      </w:r>
      <w:r>
        <w:rPr>
          <w:color w:val="231F20"/>
          <w:sz w:val="15"/>
        </w:rPr>
        <w:t>based</w:t>
      </w:r>
      <w:r>
        <w:rPr>
          <w:color w:val="231F20"/>
          <w:spacing w:val="-1"/>
          <w:sz w:val="15"/>
        </w:rPr>
        <w:t> </w:t>
      </w:r>
      <w:r>
        <w:rPr>
          <w:color w:val="231F20"/>
          <w:sz w:val="15"/>
        </w:rPr>
        <w:t>on</w:t>
      </w:r>
      <w:r>
        <w:rPr>
          <w:color w:val="231F20"/>
          <w:spacing w:val="-1"/>
          <w:sz w:val="15"/>
        </w:rPr>
        <w:t> </w:t>
      </w:r>
      <w:r>
        <w:rPr>
          <w:color w:val="231F20"/>
          <w:sz w:val="15"/>
        </w:rPr>
        <w:t>recent</w:t>
      </w:r>
      <w:r>
        <w:rPr>
          <w:color w:val="231F20"/>
          <w:spacing w:val="-1"/>
          <w:sz w:val="15"/>
        </w:rPr>
        <w:t> </w:t>
      </w:r>
      <w:r>
        <w:rPr>
          <w:color w:val="231F20"/>
          <w:sz w:val="15"/>
        </w:rPr>
        <w:t>knowledge</w:t>
      </w:r>
      <w:r>
        <w:rPr>
          <w:color w:val="231F20"/>
          <w:spacing w:val="-1"/>
          <w:sz w:val="15"/>
        </w:rPr>
        <w:t> </w:t>
      </w:r>
      <w:r>
        <w:rPr>
          <w:color w:val="231F20"/>
          <w:sz w:val="15"/>
        </w:rPr>
        <w:t>gains</w:t>
      </w:r>
      <w:r>
        <w:rPr>
          <w:color w:val="231F20"/>
          <w:spacing w:val="-1"/>
          <w:sz w:val="15"/>
        </w:rPr>
        <w:t> </w:t>
      </w:r>
      <w:r>
        <w:rPr>
          <w:color w:val="231F20"/>
          <w:sz w:val="15"/>
        </w:rPr>
        <w:t>are</w:t>
      </w:r>
      <w:r>
        <w:rPr>
          <w:color w:val="231F20"/>
          <w:spacing w:val="-1"/>
          <w:sz w:val="15"/>
        </w:rPr>
        <w:t> </w:t>
      </w:r>
      <w:r>
        <w:rPr>
          <w:color w:val="231F20"/>
          <w:sz w:val="15"/>
        </w:rPr>
        <w:t>shown</w:t>
      </w:r>
      <w:r>
        <w:rPr>
          <w:color w:val="231F20"/>
          <w:spacing w:val="-1"/>
          <w:sz w:val="15"/>
        </w:rPr>
        <w:t> </w:t>
      </w:r>
      <w:r>
        <w:rPr>
          <w:color w:val="231F20"/>
          <w:sz w:val="15"/>
        </w:rPr>
        <w:t>in</w:t>
      </w:r>
      <w:r>
        <w:rPr>
          <w:color w:val="231F20"/>
          <w:spacing w:val="-1"/>
          <w:sz w:val="15"/>
        </w:rPr>
        <w:t> </w:t>
      </w:r>
      <w:r>
        <w:rPr>
          <w:i/>
          <w:color w:val="231F20"/>
          <w:sz w:val="15"/>
        </w:rPr>
        <w:t>green</w:t>
      </w:r>
      <w:r>
        <w:rPr>
          <w:color w:val="231F20"/>
          <w:sz w:val="15"/>
        </w:rPr>
        <w:t>.</w:t>
      </w:r>
      <w:r>
        <w:rPr>
          <w:color w:val="231F20"/>
          <w:spacing w:val="-1"/>
          <w:sz w:val="15"/>
        </w:rPr>
        <w:t> </w:t>
      </w:r>
      <w:r>
        <w:rPr>
          <w:i/>
          <w:color w:val="231F20"/>
          <w:sz w:val="15"/>
        </w:rPr>
        <w:t>(From</w:t>
      </w:r>
      <w:r>
        <w:rPr>
          <w:i/>
          <w:color w:val="231F20"/>
          <w:spacing w:val="-1"/>
          <w:sz w:val="15"/>
        </w:rPr>
        <w:t> </w:t>
      </w:r>
      <w:r>
        <w:rPr>
          <w:i/>
          <w:color w:val="231F20"/>
          <w:sz w:val="15"/>
        </w:rPr>
        <w:t>Atkinson</w:t>
      </w:r>
      <w:r>
        <w:rPr>
          <w:i/>
          <w:color w:val="231F20"/>
          <w:spacing w:val="-1"/>
          <w:sz w:val="15"/>
        </w:rPr>
        <w:t> </w:t>
      </w:r>
      <w:r>
        <w:rPr>
          <w:i/>
          <w:color w:val="231F20"/>
          <w:sz w:val="15"/>
        </w:rPr>
        <w:t>MA,</w:t>
      </w:r>
      <w:r>
        <w:rPr>
          <w:i/>
          <w:color w:val="231F20"/>
          <w:spacing w:val="-1"/>
          <w:sz w:val="15"/>
        </w:rPr>
        <w:t> </w:t>
      </w:r>
      <w:r>
        <w:rPr>
          <w:i/>
          <w:color w:val="231F20"/>
          <w:sz w:val="15"/>
        </w:rPr>
        <w:t>Eisen- barth GS, Michels AW: Type 1 diabetes. </w:t>
      </w:r>
      <w:r>
        <w:rPr>
          <w:color w:val="231F20"/>
          <w:sz w:val="15"/>
        </w:rPr>
        <w:t>Lancet </w:t>
      </w:r>
      <w:r>
        <w:rPr>
          <w:i/>
          <w:color w:val="231F20"/>
          <w:sz w:val="15"/>
        </w:rPr>
        <w:t>383:69–78, 2014, Fig. 4, p. 73.)</w:t>
      </w:r>
    </w:p>
    <w:p>
      <w:pPr>
        <w:pStyle w:val="BodyText"/>
        <w:spacing w:before="78"/>
        <w:rPr>
          <w:i/>
          <w:sz w:val="20"/>
        </w:rPr>
      </w:pPr>
      <w:r>
        <w:rPr>
          <w:i/>
          <w:sz w:val="20"/>
        </w:rPr>
        <mc:AlternateContent>
          <mc:Choice Requires="wps">
            <w:drawing>
              <wp:anchor distT="0" distB="0" distL="0" distR="0" allowOverlap="1" layoutInCell="1" locked="0" behindDoc="1" simplePos="0" relativeHeight="487588864">
                <wp:simplePos x="0" y="0"/>
                <wp:positionH relativeFrom="page">
                  <wp:posOffset>4048194</wp:posOffset>
                </wp:positionH>
                <wp:positionV relativeFrom="paragraph">
                  <wp:posOffset>213071</wp:posOffset>
                </wp:positionV>
                <wp:extent cx="2581275" cy="2776855"/>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2581275" cy="2776855"/>
                          <a:chExt cx="2581275" cy="2776855"/>
                        </a:xfrm>
                      </wpg:grpSpPr>
                      <wps:wsp>
                        <wps:cNvPr id="62" name="Graphic 62"/>
                        <wps:cNvSpPr/>
                        <wps:spPr>
                          <a:xfrm>
                            <a:off x="5936" y="428065"/>
                            <a:ext cx="1000760" cy="361950"/>
                          </a:xfrm>
                          <a:custGeom>
                            <a:avLst/>
                            <a:gdLst/>
                            <a:ahLst/>
                            <a:cxnLst/>
                            <a:rect l="l" t="t" r="r" b="b"/>
                            <a:pathLst>
                              <a:path w="1000760" h="361950">
                                <a:moveTo>
                                  <a:pt x="1000506" y="0"/>
                                </a:moveTo>
                                <a:lnTo>
                                  <a:pt x="0" y="0"/>
                                </a:lnTo>
                                <a:lnTo>
                                  <a:pt x="0" y="361861"/>
                                </a:lnTo>
                                <a:lnTo>
                                  <a:pt x="1000506" y="361861"/>
                                </a:lnTo>
                                <a:lnTo>
                                  <a:pt x="1000506" y="0"/>
                                </a:lnTo>
                                <a:close/>
                              </a:path>
                            </a:pathLst>
                          </a:custGeom>
                          <a:solidFill>
                            <a:srgbClr val="D7EDDD"/>
                          </a:solidFill>
                        </wps:spPr>
                        <wps:bodyPr wrap="square" lIns="0" tIns="0" rIns="0" bIns="0" rtlCol="0">
                          <a:prstTxWarp prst="textNoShape">
                            <a:avLst/>
                          </a:prstTxWarp>
                          <a:noAutofit/>
                        </wps:bodyPr>
                      </wps:wsp>
                      <wps:wsp>
                        <wps:cNvPr id="63" name="Graphic 63"/>
                        <wps:cNvSpPr/>
                        <wps:spPr>
                          <a:xfrm>
                            <a:off x="5924" y="428062"/>
                            <a:ext cx="1000760" cy="361950"/>
                          </a:xfrm>
                          <a:custGeom>
                            <a:avLst/>
                            <a:gdLst/>
                            <a:ahLst/>
                            <a:cxnLst/>
                            <a:rect l="l" t="t" r="r" b="b"/>
                            <a:pathLst>
                              <a:path w="1000760" h="361950">
                                <a:moveTo>
                                  <a:pt x="1000517" y="361865"/>
                                </a:moveTo>
                                <a:lnTo>
                                  <a:pt x="0" y="361865"/>
                                </a:lnTo>
                                <a:lnTo>
                                  <a:pt x="0" y="0"/>
                                </a:lnTo>
                                <a:lnTo>
                                  <a:pt x="1000517" y="0"/>
                                </a:lnTo>
                                <a:lnTo>
                                  <a:pt x="1000517" y="361865"/>
                                </a:lnTo>
                                <a:close/>
                              </a:path>
                            </a:pathLst>
                          </a:custGeom>
                          <a:ln w="11849">
                            <a:solidFill>
                              <a:srgbClr val="231F20"/>
                            </a:solidFill>
                            <a:prstDash val="solid"/>
                          </a:ln>
                        </wps:spPr>
                        <wps:bodyPr wrap="square" lIns="0" tIns="0" rIns="0" bIns="0" rtlCol="0">
                          <a:prstTxWarp prst="textNoShape">
                            <a:avLst/>
                          </a:prstTxWarp>
                          <a:noAutofit/>
                        </wps:bodyPr>
                      </wps:wsp>
                      <wps:wsp>
                        <wps:cNvPr id="64" name="Graphic 64"/>
                        <wps:cNvSpPr/>
                        <wps:spPr>
                          <a:xfrm>
                            <a:off x="194138" y="955803"/>
                            <a:ext cx="624205" cy="194310"/>
                          </a:xfrm>
                          <a:custGeom>
                            <a:avLst/>
                            <a:gdLst/>
                            <a:ahLst/>
                            <a:cxnLst/>
                            <a:rect l="l" t="t" r="r" b="b"/>
                            <a:pathLst>
                              <a:path w="624205" h="194310">
                                <a:moveTo>
                                  <a:pt x="624103" y="0"/>
                                </a:moveTo>
                                <a:lnTo>
                                  <a:pt x="0" y="0"/>
                                </a:lnTo>
                                <a:lnTo>
                                  <a:pt x="0" y="194030"/>
                                </a:lnTo>
                                <a:lnTo>
                                  <a:pt x="624103" y="194030"/>
                                </a:lnTo>
                                <a:lnTo>
                                  <a:pt x="624103" y="0"/>
                                </a:lnTo>
                                <a:close/>
                              </a:path>
                            </a:pathLst>
                          </a:custGeom>
                          <a:solidFill>
                            <a:srgbClr val="D7EDDD"/>
                          </a:solidFill>
                        </wps:spPr>
                        <wps:bodyPr wrap="square" lIns="0" tIns="0" rIns="0" bIns="0" rtlCol="0">
                          <a:prstTxWarp prst="textNoShape">
                            <a:avLst/>
                          </a:prstTxWarp>
                          <a:noAutofit/>
                        </wps:bodyPr>
                      </wps:wsp>
                      <wps:wsp>
                        <wps:cNvPr id="65" name="Graphic 65"/>
                        <wps:cNvSpPr/>
                        <wps:spPr>
                          <a:xfrm>
                            <a:off x="194128" y="955801"/>
                            <a:ext cx="624205" cy="194310"/>
                          </a:xfrm>
                          <a:custGeom>
                            <a:avLst/>
                            <a:gdLst/>
                            <a:ahLst/>
                            <a:cxnLst/>
                            <a:rect l="l" t="t" r="r" b="b"/>
                            <a:pathLst>
                              <a:path w="624205" h="194310">
                                <a:moveTo>
                                  <a:pt x="624113" y="194031"/>
                                </a:moveTo>
                                <a:lnTo>
                                  <a:pt x="0" y="194031"/>
                                </a:lnTo>
                                <a:lnTo>
                                  <a:pt x="0" y="0"/>
                                </a:lnTo>
                                <a:lnTo>
                                  <a:pt x="624113" y="0"/>
                                </a:lnTo>
                                <a:lnTo>
                                  <a:pt x="624113" y="194031"/>
                                </a:lnTo>
                                <a:close/>
                              </a:path>
                            </a:pathLst>
                          </a:custGeom>
                          <a:ln w="11849">
                            <a:solidFill>
                              <a:srgbClr val="231F20"/>
                            </a:solidFill>
                            <a:prstDash val="solid"/>
                          </a:ln>
                        </wps:spPr>
                        <wps:bodyPr wrap="square" lIns="0" tIns="0" rIns="0" bIns="0" rtlCol="0">
                          <a:prstTxWarp prst="textNoShape">
                            <a:avLst/>
                          </a:prstTxWarp>
                          <a:noAutofit/>
                        </wps:bodyPr>
                      </wps:wsp>
                      <wps:wsp>
                        <wps:cNvPr id="66" name="Graphic 66"/>
                        <wps:cNvSpPr/>
                        <wps:spPr>
                          <a:xfrm>
                            <a:off x="54823" y="1317214"/>
                            <a:ext cx="902969" cy="194310"/>
                          </a:xfrm>
                          <a:custGeom>
                            <a:avLst/>
                            <a:gdLst/>
                            <a:ahLst/>
                            <a:cxnLst/>
                            <a:rect l="l" t="t" r="r" b="b"/>
                            <a:pathLst>
                              <a:path w="902969" h="194310">
                                <a:moveTo>
                                  <a:pt x="902728" y="0"/>
                                </a:moveTo>
                                <a:lnTo>
                                  <a:pt x="0" y="0"/>
                                </a:lnTo>
                                <a:lnTo>
                                  <a:pt x="0" y="194030"/>
                                </a:lnTo>
                                <a:lnTo>
                                  <a:pt x="902728" y="194030"/>
                                </a:lnTo>
                                <a:lnTo>
                                  <a:pt x="902728" y="0"/>
                                </a:lnTo>
                                <a:close/>
                              </a:path>
                            </a:pathLst>
                          </a:custGeom>
                          <a:solidFill>
                            <a:srgbClr val="D7EDDD"/>
                          </a:solidFill>
                        </wps:spPr>
                        <wps:bodyPr wrap="square" lIns="0" tIns="0" rIns="0" bIns="0" rtlCol="0">
                          <a:prstTxWarp prst="textNoShape">
                            <a:avLst/>
                          </a:prstTxWarp>
                          <a:noAutofit/>
                        </wps:bodyPr>
                      </wps:wsp>
                      <wps:wsp>
                        <wps:cNvPr id="67" name="Graphic 67"/>
                        <wps:cNvSpPr/>
                        <wps:spPr>
                          <a:xfrm>
                            <a:off x="54814" y="1317214"/>
                            <a:ext cx="902969" cy="194310"/>
                          </a:xfrm>
                          <a:custGeom>
                            <a:avLst/>
                            <a:gdLst/>
                            <a:ahLst/>
                            <a:cxnLst/>
                            <a:rect l="l" t="t" r="r" b="b"/>
                            <a:pathLst>
                              <a:path w="902969" h="194310">
                                <a:moveTo>
                                  <a:pt x="902737" y="194031"/>
                                </a:moveTo>
                                <a:lnTo>
                                  <a:pt x="0" y="194031"/>
                                </a:lnTo>
                                <a:lnTo>
                                  <a:pt x="0" y="0"/>
                                </a:lnTo>
                                <a:lnTo>
                                  <a:pt x="902737" y="0"/>
                                </a:lnTo>
                                <a:lnTo>
                                  <a:pt x="902737" y="194031"/>
                                </a:lnTo>
                                <a:close/>
                              </a:path>
                            </a:pathLst>
                          </a:custGeom>
                          <a:ln w="11849">
                            <a:solidFill>
                              <a:srgbClr val="231F20"/>
                            </a:solidFill>
                            <a:prstDash val="solid"/>
                          </a:ln>
                        </wps:spPr>
                        <wps:bodyPr wrap="square" lIns="0" tIns="0" rIns="0" bIns="0" rtlCol="0">
                          <a:prstTxWarp prst="textNoShape">
                            <a:avLst/>
                          </a:prstTxWarp>
                          <a:noAutofit/>
                        </wps:bodyPr>
                      </wps:wsp>
                      <wps:wsp>
                        <wps:cNvPr id="68" name="Graphic 68"/>
                        <wps:cNvSpPr/>
                        <wps:spPr>
                          <a:xfrm>
                            <a:off x="151408" y="2122959"/>
                            <a:ext cx="709930" cy="194310"/>
                          </a:xfrm>
                          <a:custGeom>
                            <a:avLst/>
                            <a:gdLst/>
                            <a:ahLst/>
                            <a:cxnLst/>
                            <a:rect l="l" t="t" r="r" b="b"/>
                            <a:pathLst>
                              <a:path w="709930" h="194310">
                                <a:moveTo>
                                  <a:pt x="709561" y="0"/>
                                </a:moveTo>
                                <a:lnTo>
                                  <a:pt x="0" y="0"/>
                                </a:lnTo>
                                <a:lnTo>
                                  <a:pt x="0" y="194030"/>
                                </a:lnTo>
                                <a:lnTo>
                                  <a:pt x="709561" y="194030"/>
                                </a:lnTo>
                                <a:lnTo>
                                  <a:pt x="709561" y="0"/>
                                </a:lnTo>
                                <a:close/>
                              </a:path>
                            </a:pathLst>
                          </a:custGeom>
                          <a:solidFill>
                            <a:srgbClr val="D7EDDD"/>
                          </a:solidFill>
                        </wps:spPr>
                        <wps:bodyPr wrap="square" lIns="0" tIns="0" rIns="0" bIns="0" rtlCol="0">
                          <a:prstTxWarp prst="textNoShape">
                            <a:avLst/>
                          </a:prstTxWarp>
                          <a:noAutofit/>
                        </wps:bodyPr>
                      </wps:wsp>
                      <wps:wsp>
                        <wps:cNvPr id="69" name="Graphic 69"/>
                        <wps:cNvSpPr/>
                        <wps:spPr>
                          <a:xfrm>
                            <a:off x="151399" y="2122958"/>
                            <a:ext cx="709930" cy="194310"/>
                          </a:xfrm>
                          <a:custGeom>
                            <a:avLst/>
                            <a:gdLst/>
                            <a:ahLst/>
                            <a:cxnLst/>
                            <a:rect l="l" t="t" r="r" b="b"/>
                            <a:pathLst>
                              <a:path w="709930" h="194310">
                                <a:moveTo>
                                  <a:pt x="709570" y="194031"/>
                                </a:moveTo>
                                <a:lnTo>
                                  <a:pt x="0" y="194031"/>
                                </a:lnTo>
                                <a:lnTo>
                                  <a:pt x="0" y="0"/>
                                </a:lnTo>
                                <a:lnTo>
                                  <a:pt x="709570" y="0"/>
                                </a:lnTo>
                                <a:lnTo>
                                  <a:pt x="709570" y="194031"/>
                                </a:lnTo>
                                <a:close/>
                              </a:path>
                            </a:pathLst>
                          </a:custGeom>
                          <a:ln w="11849">
                            <a:solidFill>
                              <a:srgbClr val="231F20"/>
                            </a:solidFill>
                            <a:prstDash val="solid"/>
                          </a:ln>
                        </wps:spPr>
                        <wps:bodyPr wrap="square" lIns="0" tIns="0" rIns="0" bIns="0" rtlCol="0">
                          <a:prstTxWarp prst="textNoShape">
                            <a:avLst/>
                          </a:prstTxWarp>
                          <a:noAutofit/>
                        </wps:bodyPr>
                      </wps:wsp>
                      <wps:wsp>
                        <wps:cNvPr id="70" name="Graphic 70"/>
                        <wps:cNvSpPr/>
                        <wps:spPr>
                          <a:xfrm>
                            <a:off x="93737" y="2488794"/>
                            <a:ext cx="809625" cy="281940"/>
                          </a:xfrm>
                          <a:custGeom>
                            <a:avLst/>
                            <a:gdLst/>
                            <a:ahLst/>
                            <a:cxnLst/>
                            <a:rect l="l" t="t" r="r" b="b"/>
                            <a:pathLst>
                              <a:path w="809625" h="281940">
                                <a:moveTo>
                                  <a:pt x="809320" y="0"/>
                                </a:moveTo>
                                <a:lnTo>
                                  <a:pt x="0" y="0"/>
                                </a:lnTo>
                                <a:lnTo>
                                  <a:pt x="0" y="281698"/>
                                </a:lnTo>
                                <a:lnTo>
                                  <a:pt x="809320" y="281698"/>
                                </a:lnTo>
                                <a:lnTo>
                                  <a:pt x="809320" y="0"/>
                                </a:lnTo>
                                <a:close/>
                              </a:path>
                            </a:pathLst>
                          </a:custGeom>
                          <a:solidFill>
                            <a:srgbClr val="D7EDDD"/>
                          </a:solidFill>
                        </wps:spPr>
                        <wps:bodyPr wrap="square" lIns="0" tIns="0" rIns="0" bIns="0" rtlCol="0">
                          <a:prstTxWarp prst="textNoShape">
                            <a:avLst/>
                          </a:prstTxWarp>
                          <a:noAutofit/>
                        </wps:bodyPr>
                      </wps:wsp>
                      <wps:wsp>
                        <wps:cNvPr id="71" name="Graphic 71"/>
                        <wps:cNvSpPr/>
                        <wps:spPr>
                          <a:xfrm>
                            <a:off x="93728" y="2488789"/>
                            <a:ext cx="809625" cy="281940"/>
                          </a:xfrm>
                          <a:custGeom>
                            <a:avLst/>
                            <a:gdLst/>
                            <a:ahLst/>
                            <a:cxnLst/>
                            <a:rect l="l" t="t" r="r" b="b"/>
                            <a:pathLst>
                              <a:path w="809625" h="281940">
                                <a:moveTo>
                                  <a:pt x="809329" y="281704"/>
                                </a:moveTo>
                                <a:lnTo>
                                  <a:pt x="0" y="281704"/>
                                </a:lnTo>
                                <a:lnTo>
                                  <a:pt x="0" y="0"/>
                                </a:lnTo>
                                <a:lnTo>
                                  <a:pt x="809329" y="0"/>
                                </a:lnTo>
                                <a:lnTo>
                                  <a:pt x="809329" y="281704"/>
                                </a:lnTo>
                                <a:close/>
                              </a:path>
                            </a:pathLst>
                          </a:custGeom>
                          <a:ln w="11849">
                            <a:solidFill>
                              <a:srgbClr val="231F20"/>
                            </a:solidFill>
                            <a:prstDash val="solid"/>
                          </a:ln>
                        </wps:spPr>
                        <wps:bodyPr wrap="square" lIns="0" tIns="0" rIns="0" bIns="0" rtlCol="0">
                          <a:prstTxWarp prst="textNoShape">
                            <a:avLst/>
                          </a:prstTxWarp>
                          <a:noAutofit/>
                        </wps:bodyPr>
                      </wps:wsp>
                      <wps:wsp>
                        <wps:cNvPr id="72" name="Graphic 72"/>
                        <wps:cNvSpPr/>
                        <wps:spPr>
                          <a:xfrm>
                            <a:off x="1000199" y="2488794"/>
                            <a:ext cx="655320" cy="281940"/>
                          </a:xfrm>
                          <a:custGeom>
                            <a:avLst/>
                            <a:gdLst/>
                            <a:ahLst/>
                            <a:cxnLst/>
                            <a:rect l="l" t="t" r="r" b="b"/>
                            <a:pathLst>
                              <a:path w="655320" h="281940">
                                <a:moveTo>
                                  <a:pt x="655281" y="0"/>
                                </a:moveTo>
                                <a:lnTo>
                                  <a:pt x="0" y="0"/>
                                </a:lnTo>
                                <a:lnTo>
                                  <a:pt x="0" y="281698"/>
                                </a:lnTo>
                                <a:lnTo>
                                  <a:pt x="655281" y="281698"/>
                                </a:lnTo>
                                <a:lnTo>
                                  <a:pt x="655281" y="0"/>
                                </a:lnTo>
                                <a:close/>
                              </a:path>
                            </a:pathLst>
                          </a:custGeom>
                          <a:solidFill>
                            <a:srgbClr val="D7EDDD"/>
                          </a:solidFill>
                        </wps:spPr>
                        <wps:bodyPr wrap="square" lIns="0" tIns="0" rIns="0" bIns="0" rtlCol="0">
                          <a:prstTxWarp prst="textNoShape">
                            <a:avLst/>
                          </a:prstTxWarp>
                          <a:noAutofit/>
                        </wps:bodyPr>
                      </wps:wsp>
                      <wps:wsp>
                        <wps:cNvPr id="73" name="Graphic 73"/>
                        <wps:cNvSpPr/>
                        <wps:spPr>
                          <a:xfrm>
                            <a:off x="1000191" y="2488789"/>
                            <a:ext cx="655320" cy="281940"/>
                          </a:xfrm>
                          <a:custGeom>
                            <a:avLst/>
                            <a:gdLst/>
                            <a:ahLst/>
                            <a:cxnLst/>
                            <a:rect l="l" t="t" r="r" b="b"/>
                            <a:pathLst>
                              <a:path w="655320" h="281940">
                                <a:moveTo>
                                  <a:pt x="655288" y="281704"/>
                                </a:moveTo>
                                <a:lnTo>
                                  <a:pt x="0" y="281704"/>
                                </a:lnTo>
                                <a:lnTo>
                                  <a:pt x="0" y="0"/>
                                </a:lnTo>
                                <a:lnTo>
                                  <a:pt x="655288" y="0"/>
                                </a:lnTo>
                                <a:lnTo>
                                  <a:pt x="655288" y="281704"/>
                                </a:lnTo>
                                <a:close/>
                              </a:path>
                            </a:pathLst>
                          </a:custGeom>
                          <a:ln w="11849">
                            <a:solidFill>
                              <a:srgbClr val="231F20"/>
                            </a:solidFill>
                            <a:prstDash val="solid"/>
                          </a:ln>
                        </wps:spPr>
                        <wps:bodyPr wrap="square" lIns="0" tIns="0" rIns="0" bIns="0" rtlCol="0">
                          <a:prstTxWarp prst="textNoShape">
                            <a:avLst/>
                          </a:prstTxWarp>
                          <a:noAutofit/>
                        </wps:bodyPr>
                      </wps:wsp>
                      <wps:wsp>
                        <wps:cNvPr id="74" name="Graphic 74"/>
                        <wps:cNvSpPr/>
                        <wps:spPr>
                          <a:xfrm>
                            <a:off x="801721" y="1675655"/>
                            <a:ext cx="946150" cy="285750"/>
                          </a:xfrm>
                          <a:custGeom>
                            <a:avLst/>
                            <a:gdLst/>
                            <a:ahLst/>
                            <a:cxnLst/>
                            <a:rect l="l" t="t" r="r" b="b"/>
                            <a:pathLst>
                              <a:path w="946150" h="285750">
                                <a:moveTo>
                                  <a:pt x="945591" y="0"/>
                                </a:moveTo>
                                <a:lnTo>
                                  <a:pt x="0" y="0"/>
                                </a:lnTo>
                                <a:lnTo>
                                  <a:pt x="0" y="285254"/>
                                </a:lnTo>
                                <a:lnTo>
                                  <a:pt x="945591" y="285254"/>
                                </a:lnTo>
                                <a:lnTo>
                                  <a:pt x="945591" y="0"/>
                                </a:lnTo>
                                <a:close/>
                              </a:path>
                            </a:pathLst>
                          </a:custGeom>
                          <a:solidFill>
                            <a:srgbClr val="D7EDDD"/>
                          </a:solidFill>
                        </wps:spPr>
                        <wps:bodyPr wrap="square" lIns="0" tIns="0" rIns="0" bIns="0" rtlCol="0">
                          <a:prstTxWarp prst="textNoShape">
                            <a:avLst/>
                          </a:prstTxWarp>
                          <a:noAutofit/>
                        </wps:bodyPr>
                      </wps:wsp>
                      <wps:wsp>
                        <wps:cNvPr id="75" name="Graphic 75"/>
                        <wps:cNvSpPr/>
                        <wps:spPr>
                          <a:xfrm>
                            <a:off x="801715" y="1675650"/>
                            <a:ext cx="946150" cy="285750"/>
                          </a:xfrm>
                          <a:custGeom>
                            <a:avLst/>
                            <a:gdLst/>
                            <a:ahLst/>
                            <a:cxnLst/>
                            <a:rect l="l" t="t" r="r" b="b"/>
                            <a:pathLst>
                              <a:path w="946150" h="285750">
                                <a:moveTo>
                                  <a:pt x="945595" y="285259"/>
                                </a:moveTo>
                                <a:lnTo>
                                  <a:pt x="0" y="285259"/>
                                </a:lnTo>
                                <a:lnTo>
                                  <a:pt x="0" y="0"/>
                                </a:lnTo>
                                <a:lnTo>
                                  <a:pt x="945595" y="0"/>
                                </a:lnTo>
                                <a:lnTo>
                                  <a:pt x="945595" y="285259"/>
                                </a:lnTo>
                                <a:close/>
                              </a:path>
                            </a:pathLst>
                          </a:custGeom>
                          <a:ln w="11849">
                            <a:solidFill>
                              <a:srgbClr val="231F20"/>
                            </a:solidFill>
                            <a:prstDash val="solid"/>
                          </a:ln>
                        </wps:spPr>
                        <wps:bodyPr wrap="square" lIns="0" tIns="0" rIns="0" bIns="0" rtlCol="0">
                          <a:prstTxWarp prst="textNoShape">
                            <a:avLst/>
                          </a:prstTxWarp>
                          <a:noAutofit/>
                        </wps:bodyPr>
                      </wps:wsp>
                      <wps:wsp>
                        <wps:cNvPr id="76" name="Graphic 76"/>
                        <wps:cNvSpPr/>
                        <wps:spPr>
                          <a:xfrm>
                            <a:off x="1613049" y="955803"/>
                            <a:ext cx="702945" cy="194310"/>
                          </a:xfrm>
                          <a:custGeom>
                            <a:avLst/>
                            <a:gdLst/>
                            <a:ahLst/>
                            <a:cxnLst/>
                            <a:rect l="l" t="t" r="r" b="b"/>
                            <a:pathLst>
                              <a:path w="702945" h="194310">
                                <a:moveTo>
                                  <a:pt x="702703" y="0"/>
                                </a:moveTo>
                                <a:lnTo>
                                  <a:pt x="0" y="0"/>
                                </a:lnTo>
                                <a:lnTo>
                                  <a:pt x="0" y="194030"/>
                                </a:lnTo>
                                <a:lnTo>
                                  <a:pt x="702703" y="194030"/>
                                </a:lnTo>
                                <a:lnTo>
                                  <a:pt x="702703" y="0"/>
                                </a:lnTo>
                                <a:close/>
                              </a:path>
                            </a:pathLst>
                          </a:custGeom>
                          <a:solidFill>
                            <a:srgbClr val="D7EDDD"/>
                          </a:solidFill>
                        </wps:spPr>
                        <wps:bodyPr wrap="square" lIns="0" tIns="0" rIns="0" bIns="0" rtlCol="0">
                          <a:prstTxWarp prst="textNoShape">
                            <a:avLst/>
                          </a:prstTxWarp>
                          <a:noAutofit/>
                        </wps:bodyPr>
                      </wps:wsp>
                      <wps:wsp>
                        <wps:cNvPr id="77" name="Graphic 77"/>
                        <wps:cNvSpPr/>
                        <wps:spPr>
                          <a:xfrm>
                            <a:off x="1613044" y="955801"/>
                            <a:ext cx="702945" cy="194310"/>
                          </a:xfrm>
                          <a:custGeom>
                            <a:avLst/>
                            <a:gdLst/>
                            <a:ahLst/>
                            <a:cxnLst/>
                            <a:rect l="l" t="t" r="r" b="b"/>
                            <a:pathLst>
                              <a:path w="702945" h="194310">
                                <a:moveTo>
                                  <a:pt x="702709" y="194031"/>
                                </a:moveTo>
                                <a:lnTo>
                                  <a:pt x="0" y="194031"/>
                                </a:lnTo>
                                <a:lnTo>
                                  <a:pt x="0" y="0"/>
                                </a:lnTo>
                                <a:lnTo>
                                  <a:pt x="702709" y="0"/>
                                </a:lnTo>
                                <a:lnTo>
                                  <a:pt x="702709" y="194031"/>
                                </a:lnTo>
                                <a:close/>
                              </a:path>
                            </a:pathLst>
                          </a:custGeom>
                          <a:ln w="11849">
                            <a:solidFill>
                              <a:srgbClr val="231F20"/>
                            </a:solidFill>
                            <a:prstDash val="solid"/>
                          </a:ln>
                        </wps:spPr>
                        <wps:bodyPr wrap="square" lIns="0" tIns="0" rIns="0" bIns="0" rtlCol="0">
                          <a:prstTxWarp prst="textNoShape">
                            <a:avLst/>
                          </a:prstTxWarp>
                          <a:noAutofit/>
                        </wps:bodyPr>
                      </wps:wsp>
                      <wps:wsp>
                        <wps:cNvPr id="78" name="Graphic 78"/>
                        <wps:cNvSpPr/>
                        <wps:spPr>
                          <a:xfrm>
                            <a:off x="1613049" y="2122959"/>
                            <a:ext cx="702945" cy="194310"/>
                          </a:xfrm>
                          <a:custGeom>
                            <a:avLst/>
                            <a:gdLst/>
                            <a:ahLst/>
                            <a:cxnLst/>
                            <a:rect l="l" t="t" r="r" b="b"/>
                            <a:pathLst>
                              <a:path w="702945" h="194310">
                                <a:moveTo>
                                  <a:pt x="702703" y="0"/>
                                </a:moveTo>
                                <a:lnTo>
                                  <a:pt x="0" y="0"/>
                                </a:lnTo>
                                <a:lnTo>
                                  <a:pt x="0" y="194030"/>
                                </a:lnTo>
                                <a:lnTo>
                                  <a:pt x="702703" y="194030"/>
                                </a:lnTo>
                                <a:lnTo>
                                  <a:pt x="702703" y="0"/>
                                </a:lnTo>
                                <a:close/>
                              </a:path>
                            </a:pathLst>
                          </a:custGeom>
                          <a:solidFill>
                            <a:srgbClr val="D7EDDD"/>
                          </a:solidFill>
                        </wps:spPr>
                        <wps:bodyPr wrap="square" lIns="0" tIns="0" rIns="0" bIns="0" rtlCol="0">
                          <a:prstTxWarp prst="textNoShape">
                            <a:avLst/>
                          </a:prstTxWarp>
                          <a:noAutofit/>
                        </wps:bodyPr>
                      </wps:wsp>
                      <wps:wsp>
                        <wps:cNvPr id="79" name="Graphic 79"/>
                        <wps:cNvSpPr/>
                        <wps:spPr>
                          <a:xfrm>
                            <a:off x="1613044" y="2122958"/>
                            <a:ext cx="702945" cy="194310"/>
                          </a:xfrm>
                          <a:custGeom>
                            <a:avLst/>
                            <a:gdLst/>
                            <a:ahLst/>
                            <a:cxnLst/>
                            <a:rect l="l" t="t" r="r" b="b"/>
                            <a:pathLst>
                              <a:path w="702945" h="194310">
                                <a:moveTo>
                                  <a:pt x="702709" y="194031"/>
                                </a:moveTo>
                                <a:lnTo>
                                  <a:pt x="0" y="194031"/>
                                </a:lnTo>
                                <a:lnTo>
                                  <a:pt x="0" y="0"/>
                                </a:lnTo>
                                <a:lnTo>
                                  <a:pt x="702709" y="0"/>
                                </a:lnTo>
                                <a:lnTo>
                                  <a:pt x="702709" y="194031"/>
                                </a:lnTo>
                                <a:close/>
                              </a:path>
                            </a:pathLst>
                          </a:custGeom>
                          <a:ln w="11849">
                            <a:solidFill>
                              <a:srgbClr val="231F20"/>
                            </a:solidFill>
                            <a:prstDash val="solid"/>
                          </a:ln>
                        </wps:spPr>
                        <wps:bodyPr wrap="square" lIns="0" tIns="0" rIns="0" bIns="0" rtlCol="0">
                          <a:prstTxWarp prst="textNoShape">
                            <a:avLst/>
                          </a:prstTxWarp>
                          <a:noAutofit/>
                        </wps:bodyPr>
                      </wps:wsp>
                      <wps:wsp>
                        <wps:cNvPr id="80" name="Graphic 80"/>
                        <wps:cNvSpPr/>
                        <wps:spPr>
                          <a:xfrm>
                            <a:off x="1353836" y="428064"/>
                            <a:ext cx="1221740" cy="279400"/>
                          </a:xfrm>
                          <a:custGeom>
                            <a:avLst/>
                            <a:gdLst/>
                            <a:ahLst/>
                            <a:cxnLst/>
                            <a:rect l="l" t="t" r="r" b="b"/>
                            <a:pathLst>
                              <a:path w="1221740" h="279400">
                                <a:moveTo>
                                  <a:pt x="1221117" y="0"/>
                                </a:moveTo>
                                <a:lnTo>
                                  <a:pt x="0" y="0"/>
                                </a:lnTo>
                                <a:lnTo>
                                  <a:pt x="0" y="278917"/>
                                </a:lnTo>
                                <a:lnTo>
                                  <a:pt x="1221117" y="278917"/>
                                </a:lnTo>
                                <a:lnTo>
                                  <a:pt x="1221117" y="0"/>
                                </a:lnTo>
                                <a:close/>
                              </a:path>
                            </a:pathLst>
                          </a:custGeom>
                          <a:solidFill>
                            <a:srgbClr val="D7EDDD"/>
                          </a:solidFill>
                        </wps:spPr>
                        <wps:bodyPr wrap="square" lIns="0" tIns="0" rIns="0" bIns="0" rtlCol="0">
                          <a:prstTxWarp prst="textNoShape">
                            <a:avLst/>
                          </a:prstTxWarp>
                          <a:noAutofit/>
                        </wps:bodyPr>
                      </wps:wsp>
                      <wps:wsp>
                        <wps:cNvPr id="81" name="Graphic 81"/>
                        <wps:cNvSpPr/>
                        <wps:spPr>
                          <a:xfrm>
                            <a:off x="506165" y="247822"/>
                            <a:ext cx="2068830" cy="459740"/>
                          </a:xfrm>
                          <a:custGeom>
                            <a:avLst/>
                            <a:gdLst/>
                            <a:ahLst/>
                            <a:cxnLst/>
                            <a:rect l="l" t="t" r="r" b="b"/>
                            <a:pathLst>
                              <a:path w="2068830" h="459740">
                                <a:moveTo>
                                  <a:pt x="2068788" y="459159"/>
                                </a:moveTo>
                                <a:lnTo>
                                  <a:pt x="847661" y="459159"/>
                                </a:lnTo>
                                <a:lnTo>
                                  <a:pt x="847661" y="180239"/>
                                </a:lnTo>
                                <a:lnTo>
                                  <a:pt x="2068788" y="180239"/>
                                </a:lnTo>
                                <a:lnTo>
                                  <a:pt x="2068788" y="459159"/>
                                </a:lnTo>
                                <a:close/>
                              </a:path>
                              <a:path w="2068830" h="459740">
                                <a:moveTo>
                                  <a:pt x="0" y="109143"/>
                                </a:moveTo>
                                <a:lnTo>
                                  <a:pt x="0" y="0"/>
                                </a:lnTo>
                                <a:lnTo>
                                  <a:pt x="1458219" y="0"/>
                                </a:lnTo>
                                <a:lnTo>
                                  <a:pt x="1458219" y="109143"/>
                                </a:lnTo>
                              </a:path>
                            </a:pathLst>
                          </a:custGeom>
                          <a:ln w="11849">
                            <a:solidFill>
                              <a:srgbClr val="231F20"/>
                            </a:solidFill>
                            <a:prstDash val="solid"/>
                          </a:ln>
                        </wps:spPr>
                        <wps:bodyPr wrap="square" lIns="0" tIns="0" rIns="0" bIns="0" rtlCol="0">
                          <a:prstTxWarp prst="textNoShape">
                            <a:avLst/>
                          </a:prstTxWarp>
                          <a:noAutofit/>
                        </wps:bodyPr>
                      </wps:wsp>
                      <wps:wsp>
                        <wps:cNvPr id="82" name="Graphic 82"/>
                        <wps:cNvSpPr/>
                        <wps:spPr>
                          <a:xfrm>
                            <a:off x="467646" y="329572"/>
                            <a:ext cx="1535430" cy="94615"/>
                          </a:xfrm>
                          <a:custGeom>
                            <a:avLst/>
                            <a:gdLst/>
                            <a:ahLst/>
                            <a:cxnLst/>
                            <a:rect l="l" t="t" r="r" b="b"/>
                            <a:pathLst>
                              <a:path w="1535430" h="94615">
                                <a:moveTo>
                                  <a:pt x="77050" y="0"/>
                                </a:moveTo>
                                <a:lnTo>
                                  <a:pt x="38531" y="22390"/>
                                </a:lnTo>
                                <a:lnTo>
                                  <a:pt x="0" y="0"/>
                                </a:lnTo>
                                <a:lnTo>
                                  <a:pt x="38531" y="94322"/>
                                </a:lnTo>
                                <a:lnTo>
                                  <a:pt x="77050" y="0"/>
                                </a:lnTo>
                                <a:close/>
                              </a:path>
                              <a:path w="1535430" h="94615">
                                <a:moveTo>
                                  <a:pt x="1535264" y="0"/>
                                </a:moveTo>
                                <a:lnTo>
                                  <a:pt x="1496733" y="22390"/>
                                </a:lnTo>
                                <a:lnTo>
                                  <a:pt x="1458201" y="0"/>
                                </a:lnTo>
                                <a:lnTo>
                                  <a:pt x="1496733" y="94322"/>
                                </a:lnTo>
                                <a:lnTo>
                                  <a:pt x="1535264" y="0"/>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1235285" y="191080"/>
                            <a:ext cx="1270" cy="57150"/>
                          </a:xfrm>
                          <a:custGeom>
                            <a:avLst/>
                            <a:gdLst/>
                            <a:ahLst/>
                            <a:cxnLst/>
                            <a:rect l="l" t="t" r="r" b="b"/>
                            <a:pathLst>
                              <a:path w="0" h="57150">
                                <a:moveTo>
                                  <a:pt x="0" y="0"/>
                                </a:moveTo>
                                <a:lnTo>
                                  <a:pt x="0" y="56746"/>
                                </a:lnTo>
                              </a:path>
                            </a:pathLst>
                          </a:custGeom>
                          <a:ln w="11849">
                            <a:solidFill>
                              <a:srgbClr val="231F20"/>
                            </a:solidFill>
                            <a:prstDash val="solid"/>
                          </a:ln>
                        </wps:spPr>
                        <wps:bodyPr wrap="square" lIns="0" tIns="0" rIns="0" bIns="0" rtlCol="0">
                          <a:prstTxWarp prst="textNoShape">
                            <a:avLst/>
                          </a:prstTxWarp>
                          <a:noAutofit/>
                        </wps:bodyPr>
                      </wps:wsp>
                      <wps:wsp>
                        <wps:cNvPr id="84" name="Graphic 84"/>
                        <wps:cNvSpPr/>
                        <wps:spPr>
                          <a:xfrm>
                            <a:off x="506194" y="789927"/>
                            <a:ext cx="1270" cy="100965"/>
                          </a:xfrm>
                          <a:custGeom>
                            <a:avLst/>
                            <a:gdLst/>
                            <a:ahLst/>
                            <a:cxnLst/>
                            <a:rect l="l" t="t" r="r" b="b"/>
                            <a:pathLst>
                              <a:path w="0" h="100965">
                                <a:moveTo>
                                  <a:pt x="0" y="0"/>
                                </a:moveTo>
                                <a:lnTo>
                                  <a:pt x="0" y="100718"/>
                                </a:lnTo>
                              </a:path>
                            </a:pathLst>
                          </a:custGeom>
                          <a:ln w="11849">
                            <a:solidFill>
                              <a:srgbClr val="231F20"/>
                            </a:solidFill>
                            <a:prstDash val="solid"/>
                          </a:ln>
                        </wps:spPr>
                        <wps:bodyPr wrap="square" lIns="0" tIns="0" rIns="0" bIns="0" rtlCol="0">
                          <a:prstTxWarp prst="textNoShape">
                            <a:avLst/>
                          </a:prstTxWarp>
                          <a:noAutofit/>
                        </wps:bodyPr>
                      </wps:wsp>
                      <wps:wsp>
                        <wps:cNvPr id="85" name="Graphic 85"/>
                        <wps:cNvSpPr/>
                        <wps:spPr>
                          <a:xfrm>
                            <a:off x="467662" y="863245"/>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86" name="Graphic 86"/>
                        <wps:cNvSpPr/>
                        <wps:spPr>
                          <a:xfrm>
                            <a:off x="506194" y="1149833"/>
                            <a:ext cx="1270" cy="100965"/>
                          </a:xfrm>
                          <a:custGeom>
                            <a:avLst/>
                            <a:gdLst/>
                            <a:ahLst/>
                            <a:cxnLst/>
                            <a:rect l="l" t="t" r="r" b="b"/>
                            <a:pathLst>
                              <a:path w="0" h="100965">
                                <a:moveTo>
                                  <a:pt x="0" y="0"/>
                                </a:moveTo>
                                <a:lnTo>
                                  <a:pt x="0" y="100718"/>
                                </a:lnTo>
                              </a:path>
                            </a:pathLst>
                          </a:custGeom>
                          <a:ln w="11849">
                            <a:solidFill>
                              <a:srgbClr val="231F20"/>
                            </a:solidFill>
                            <a:prstDash val="solid"/>
                          </a:ln>
                        </wps:spPr>
                        <wps:bodyPr wrap="square" lIns="0" tIns="0" rIns="0" bIns="0" rtlCol="0">
                          <a:prstTxWarp prst="textNoShape">
                            <a:avLst/>
                          </a:prstTxWarp>
                          <a:noAutofit/>
                        </wps:bodyPr>
                      </wps:wsp>
                      <wps:wsp>
                        <wps:cNvPr id="87" name="Graphic 87"/>
                        <wps:cNvSpPr/>
                        <wps:spPr>
                          <a:xfrm>
                            <a:off x="467662" y="1223164"/>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88" name="Graphic 88"/>
                        <wps:cNvSpPr/>
                        <wps:spPr>
                          <a:xfrm>
                            <a:off x="387701" y="2316990"/>
                            <a:ext cx="1270" cy="100965"/>
                          </a:xfrm>
                          <a:custGeom>
                            <a:avLst/>
                            <a:gdLst/>
                            <a:ahLst/>
                            <a:cxnLst/>
                            <a:rect l="l" t="t" r="r" b="b"/>
                            <a:pathLst>
                              <a:path w="0" h="100965">
                                <a:moveTo>
                                  <a:pt x="0" y="0"/>
                                </a:moveTo>
                                <a:lnTo>
                                  <a:pt x="0" y="100718"/>
                                </a:lnTo>
                              </a:path>
                            </a:pathLst>
                          </a:custGeom>
                          <a:ln w="11849">
                            <a:solidFill>
                              <a:srgbClr val="231F20"/>
                            </a:solidFill>
                            <a:prstDash val="solid"/>
                          </a:ln>
                        </wps:spPr>
                        <wps:bodyPr wrap="square" lIns="0" tIns="0" rIns="0" bIns="0" rtlCol="0">
                          <a:prstTxWarp prst="textNoShape">
                            <a:avLst/>
                          </a:prstTxWarp>
                          <a:noAutofit/>
                        </wps:bodyPr>
                      </wps:wsp>
                      <wps:wsp>
                        <wps:cNvPr id="89" name="Graphic 89"/>
                        <wps:cNvSpPr/>
                        <wps:spPr>
                          <a:xfrm>
                            <a:off x="349170" y="2390308"/>
                            <a:ext cx="77470" cy="94615"/>
                          </a:xfrm>
                          <a:custGeom>
                            <a:avLst/>
                            <a:gdLst/>
                            <a:ahLst/>
                            <a:cxnLst/>
                            <a:rect l="l" t="t" r="r" b="b"/>
                            <a:pathLst>
                              <a:path w="77470" h="94615">
                                <a:moveTo>
                                  <a:pt x="77050" y="0"/>
                                </a:moveTo>
                                <a:lnTo>
                                  <a:pt x="38531" y="22377"/>
                                </a:lnTo>
                                <a:lnTo>
                                  <a:pt x="0" y="0"/>
                                </a:lnTo>
                                <a:lnTo>
                                  <a:pt x="38531" y="94335"/>
                                </a:lnTo>
                                <a:lnTo>
                                  <a:pt x="77050" y="0"/>
                                </a:lnTo>
                                <a:close/>
                              </a:path>
                            </a:pathLst>
                          </a:custGeom>
                          <a:solidFill>
                            <a:srgbClr val="231F20"/>
                          </a:solidFill>
                        </wps:spPr>
                        <wps:bodyPr wrap="square" lIns="0" tIns="0" rIns="0" bIns="0" rtlCol="0">
                          <a:prstTxWarp prst="textNoShape">
                            <a:avLst/>
                          </a:prstTxWarp>
                          <a:noAutofit/>
                        </wps:bodyPr>
                      </wps:wsp>
                      <wps:wsp>
                        <wps:cNvPr id="90" name="Graphic 90"/>
                        <wps:cNvSpPr/>
                        <wps:spPr>
                          <a:xfrm>
                            <a:off x="624685" y="2388072"/>
                            <a:ext cx="1270" cy="100965"/>
                          </a:xfrm>
                          <a:custGeom>
                            <a:avLst/>
                            <a:gdLst/>
                            <a:ahLst/>
                            <a:cxnLst/>
                            <a:rect l="l" t="t" r="r" b="b"/>
                            <a:pathLst>
                              <a:path w="0" h="100965">
                                <a:moveTo>
                                  <a:pt x="0" y="100718"/>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91" name="Graphic 91"/>
                        <wps:cNvSpPr/>
                        <wps:spPr>
                          <a:xfrm>
                            <a:off x="586166" y="2321149"/>
                            <a:ext cx="77470" cy="94615"/>
                          </a:xfrm>
                          <a:custGeom>
                            <a:avLst/>
                            <a:gdLst/>
                            <a:ahLst/>
                            <a:cxnLst/>
                            <a:rect l="l" t="t" r="r" b="b"/>
                            <a:pathLst>
                              <a:path w="77470" h="94615">
                                <a:moveTo>
                                  <a:pt x="38519" y="0"/>
                                </a:moveTo>
                                <a:lnTo>
                                  <a:pt x="0" y="94322"/>
                                </a:lnTo>
                                <a:lnTo>
                                  <a:pt x="38519" y="71932"/>
                                </a:lnTo>
                                <a:lnTo>
                                  <a:pt x="77050" y="94322"/>
                                </a:lnTo>
                                <a:lnTo>
                                  <a:pt x="38519" y="0"/>
                                </a:lnTo>
                                <a:close/>
                              </a:path>
                            </a:pathLst>
                          </a:custGeom>
                          <a:solidFill>
                            <a:srgbClr val="231F20"/>
                          </a:solidFill>
                        </wps:spPr>
                        <wps:bodyPr wrap="square" lIns="0" tIns="0" rIns="0" bIns="0" rtlCol="0">
                          <a:prstTxWarp prst="textNoShape">
                            <a:avLst/>
                          </a:prstTxWarp>
                          <a:noAutofit/>
                        </wps:bodyPr>
                      </wps:wsp>
                      <wps:wsp>
                        <wps:cNvPr id="92" name="Graphic 92"/>
                        <wps:cNvSpPr/>
                        <wps:spPr>
                          <a:xfrm>
                            <a:off x="818917" y="1052824"/>
                            <a:ext cx="448945" cy="559435"/>
                          </a:xfrm>
                          <a:custGeom>
                            <a:avLst/>
                            <a:gdLst/>
                            <a:ahLst/>
                            <a:cxnLst/>
                            <a:rect l="l" t="t" r="r" b="b"/>
                            <a:pathLst>
                              <a:path w="448945" h="559435">
                                <a:moveTo>
                                  <a:pt x="0" y="0"/>
                                </a:moveTo>
                                <a:lnTo>
                                  <a:pt x="448483" y="0"/>
                                </a:lnTo>
                                <a:lnTo>
                                  <a:pt x="448483" y="559131"/>
                                </a:lnTo>
                              </a:path>
                            </a:pathLst>
                          </a:custGeom>
                          <a:ln w="11849">
                            <a:solidFill>
                              <a:srgbClr val="231F20"/>
                            </a:solidFill>
                            <a:prstDash val="solid"/>
                          </a:ln>
                        </wps:spPr>
                        <wps:bodyPr wrap="square" lIns="0" tIns="0" rIns="0" bIns="0" rtlCol="0">
                          <a:prstTxWarp prst="textNoShape">
                            <a:avLst/>
                          </a:prstTxWarp>
                          <a:noAutofit/>
                        </wps:bodyPr>
                      </wps:wsp>
                      <wps:wsp>
                        <wps:cNvPr id="93" name="Graphic 93"/>
                        <wps:cNvSpPr/>
                        <wps:spPr>
                          <a:xfrm>
                            <a:off x="1228864" y="1584576"/>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94" name="Graphic 94"/>
                        <wps:cNvSpPr/>
                        <wps:spPr>
                          <a:xfrm>
                            <a:off x="865129" y="2220846"/>
                            <a:ext cx="290195" cy="196215"/>
                          </a:xfrm>
                          <a:custGeom>
                            <a:avLst/>
                            <a:gdLst/>
                            <a:ahLst/>
                            <a:cxnLst/>
                            <a:rect l="l" t="t" r="r" b="b"/>
                            <a:pathLst>
                              <a:path w="290195" h="196215">
                                <a:moveTo>
                                  <a:pt x="0" y="0"/>
                                </a:moveTo>
                                <a:lnTo>
                                  <a:pt x="289726" y="0"/>
                                </a:lnTo>
                                <a:lnTo>
                                  <a:pt x="289726" y="195987"/>
                                </a:lnTo>
                              </a:path>
                            </a:pathLst>
                          </a:custGeom>
                          <a:ln w="11849">
                            <a:solidFill>
                              <a:srgbClr val="231F20"/>
                            </a:solidFill>
                            <a:prstDash val="solid"/>
                          </a:ln>
                        </wps:spPr>
                        <wps:bodyPr wrap="square" lIns="0" tIns="0" rIns="0" bIns="0" rtlCol="0">
                          <a:prstTxWarp prst="textNoShape">
                            <a:avLst/>
                          </a:prstTxWarp>
                          <a:noAutofit/>
                        </wps:bodyPr>
                      </wps:wsp>
                      <wps:wsp>
                        <wps:cNvPr id="95" name="Graphic 95"/>
                        <wps:cNvSpPr/>
                        <wps:spPr>
                          <a:xfrm>
                            <a:off x="1116321" y="2389432"/>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96" name="Graphic 96"/>
                        <wps:cNvSpPr/>
                        <wps:spPr>
                          <a:xfrm>
                            <a:off x="506194" y="1511245"/>
                            <a:ext cx="1270" cy="539750"/>
                          </a:xfrm>
                          <a:custGeom>
                            <a:avLst/>
                            <a:gdLst/>
                            <a:ahLst/>
                            <a:cxnLst/>
                            <a:rect l="l" t="t" r="r" b="b"/>
                            <a:pathLst>
                              <a:path w="0" h="539750">
                                <a:moveTo>
                                  <a:pt x="0" y="0"/>
                                </a:moveTo>
                                <a:lnTo>
                                  <a:pt x="0" y="539142"/>
                                </a:lnTo>
                              </a:path>
                            </a:pathLst>
                          </a:custGeom>
                          <a:ln w="11849">
                            <a:solidFill>
                              <a:srgbClr val="231F20"/>
                            </a:solidFill>
                            <a:prstDash val="solid"/>
                          </a:ln>
                        </wps:spPr>
                        <wps:bodyPr wrap="square" lIns="0" tIns="0" rIns="0" bIns="0" rtlCol="0">
                          <a:prstTxWarp prst="textNoShape">
                            <a:avLst/>
                          </a:prstTxWarp>
                          <a:noAutofit/>
                        </wps:bodyPr>
                      </wps:wsp>
                      <wps:wsp>
                        <wps:cNvPr id="97" name="Graphic 97"/>
                        <wps:cNvSpPr/>
                        <wps:spPr>
                          <a:xfrm>
                            <a:off x="467662" y="2022984"/>
                            <a:ext cx="77470" cy="94615"/>
                          </a:xfrm>
                          <a:custGeom>
                            <a:avLst/>
                            <a:gdLst/>
                            <a:ahLst/>
                            <a:cxnLst/>
                            <a:rect l="l" t="t" r="r" b="b"/>
                            <a:pathLst>
                              <a:path w="77470" h="94615">
                                <a:moveTo>
                                  <a:pt x="77050" y="0"/>
                                </a:moveTo>
                                <a:lnTo>
                                  <a:pt x="38531" y="22377"/>
                                </a:lnTo>
                                <a:lnTo>
                                  <a:pt x="0" y="0"/>
                                </a:lnTo>
                                <a:lnTo>
                                  <a:pt x="38531" y="94335"/>
                                </a:lnTo>
                                <a:lnTo>
                                  <a:pt x="77050" y="0"/>
                                </a:lnTo>
                                <a:close/>
                              </a:path>
                            </a:pathLst>
                          </a:custGeom>
                          <a:solidFill>
                            <a:srgbClr val="231F20"/>
                          </a:solidFill>
                        </wps:spPr>
                        <wps:bodyPr wrap="square" lIns="0" tIns="0" rIns="0" bIns="0" rtlCol="0">
                          <a:prstTxWarp prst="textNoShape">
                            <a:avLst/>
                          </a:prstTxWarp>
                          <a:noAutofit/>
                        </wps:bodyPr>
                      </wps:wsp>
                      <wps:wsp>
                        <wps:cNvPr id="98" name="Graphic 98"/>
                        <wps:cNvSpPr/>
                        <wps:spPr>
                          <a:xfrm>
                            <a:off x="1964389" y="1149833"/>
                            <a:ext cx="1270" cy="902335"/>
                          </a:xfrm>
                          <a:custGeom>
                            <a:avLst/>
                            <a:gdLst/>
                            <a:ahLst/>
                            <a:cxnLst/>
                            <a:rect l="l" t="t" r="r" b="b"/>
                            <a:pathLst>
                              <a:path w="0" h="902335">
                                <a:moveTo>
                                  <a:pt x="0" y="0"/>
                                </a:moveTo>
                                <a:lnTo>
                                  <a:pt x="0" y="902026"/>
                                </a:lnTo>
                              </a:path>
                            </a:pathLst>
                          </a:custGeom>
                          <a:ln w="11849">
                            <a:solidFill>
                              <a:srgbClr val="231F20"/>
                            </a:solidFill>
                            <a:prstDash val="solid"/>
                          </a:ln>
                        </wps:spPr>
                        <wps:bodyPr wrap="square" lIns="0" tIns="0" rIns="0" bIns="0" rtlCol="0">
                          <a:prstTxWarp prst="textNoShape">
                            <a:avLst/>
                          </a:prstTxWarp>
                          <a:noAutofit/>
                        </wps:bodyPr>
                      </wps:wsp>
                      <wps:wsp>
                        <wps:cNvPr id="99" name="Graphic 99"/>
                        <wps:cNvSpPr/>
                        <wps:spPr>
                          <a:xfrm>
                            <a:off x="1925857" y="2024477"/>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00" name="Graphic 100"/>
                        <wps:cNvSpPr/>
                        <wps:spPr>
                          <a:xfrm>
                            <a:off x="1274518" y="1960910"/>
                            <a:ext cx="271780" cy="260350"/>
                          </a:xfrm>
                          <a:custGeom>
                            <a:avLst/>
                            <a:gdLst/>
                            <a:ahLst/>
                            <a:cxnLst/>
                            <a:rect l="l" t="t" r="r" b="b"/>
                            <a:pathLst>
                              <a:path w="271780" h="260350">
                                <a:moveTo>
                                  <a:pt x="0" y="0"/>
                                </a:moveTo>
                                <a:lnTo>
                                  <a:pt x="0" y="259949"/>
                                </a:lnTo>
                                <a:lnTo>
                                  <a:pt x="271360" y="259949"/>
                                </a:lnTo>
                              </a:path>
                            </a:pathLst>
                          </a:custGeom>
                          <a:ln w="11849">
                            <a:solidFill>
                              <a:srgbClr val="231F20"/>
                            </a:solidFill>
                            <a:prstDash val="solid"/>
                          </a:ln>
                        </wps:spPr>
                        <wps:bodyPr wrap="square" lIns="0" tIns="0" rIns="0" bIns="0" rtlCol="0">
                          <a:prstTxWarp prst="textNoShape">
                            <a:avLst/>
                          </a:prstTxWarp>
                          <a:noAutofit/>
                        </wps:bodyPr>
                      </wps:wsp>
                      <wps:wsp>
                        <wps:cNvPr id="101" name="Graphic 101"/>
                        <wps:cNvSpPr/>
                        <wps:spPr>
                          <a:xfrm>
                            <a:off x="1518478" y="2182325"/>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02" name="Graphic 102"/>
                        <wps:cNvSpPr/>
                        <wps:spPr>
                          <a:xfrm>
                            <a:off x="1964389" y="709945"/>
                            <a:ext cx="1270" cy="180975"/>
                          </a:xfrm>
                          <a:custGeom>
                            <a:avLst/>
                            <a:gdLst/>
                            <a:ahLst/>
                            <a:cxnLst/>
                            <a:rect l="l" t="t" r="r" b="b"/>
                            <a:pathLst>
                              <a:path w="0" h="180975">
                                <a:moveTo>
                                  <a:pt x="0" y="0"/>
                                </a:moveTo>
                                <a:lnTo>
                                  <a:pt x="0" y="180701"/>
                                </a:lnTo>
                              </a:path>
                            </a:pathLst>
                          </a:custGeom>
                          <a:ln w="11849">
                            <a:solidFill>
                              <a:srgbClr val="231F20"/>
                            </a:solidFill>
                            <a:prstDash val="solid"/>
                          </a:ln>
                        </wps:spPr>
                        <wps:bodyPr wrap="square" lIns="0" tIns="0" rIns="0" bIns="0" rtlCol="0">
                          <a:prstTxWarp prst="textNoShape">
                            <a:avLst/>
                          </a:prstTxWarp>
                          <a:noAutofit/>
                        </wps:bodyPr>
                      </wps:wsp>
                      <wps:wsp>
                        <wps:cNvPr id="103" name="Graphic 103"/>
                        <wps:cNvSpPr/>
                        <wps:spPr>
                          <a:xfrm>
                            <a:off x="1925857" y="863245"/>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04" name="Textbox 104"/>
                        <wps:cNvSpPr txBox="1"/>
                        <wps:spPr>
                          <a:xfrm>
                            <a:off x="45300" y="476110"/>
                            <a:ext cx="934719" cy="282575"/>
                          </a:xfrm>
                          <a:prstGeom prst="rect">
                            <a:avLst/>
                          </a:prstGeom>
                        </wps:spPr>
                        <wps:txbx>
                          <w:txbxContent>
                            <w:p>
                              <w:pPr>
                                <w:spacing w:line="128" w:lineRule="exact" w:before="0"/>
                                <w:ind w:left="0" w:right="0" w:firstLine="0"/>
                                <w:jc w:val="left"/>
                                <w:rPr>
                                  <w:rFonts w:ascii="Arial MT"/>
                                  <w:sz w:val="13"/>
                                </w:rPr>
                              </w:pPr>
                              <w:r>
                                <w:rPr>
                                  <w:rFonts w:ascii="Arial MT"/>
                                  <w:color w:val="231F20"/>
                                  <w:sz w:val="13"/>
                                </w:rPr>
                                <w:t>Exposure</w:t>
                              </w:r>
                              <w:r>
                                <w:rPr>
                                  <w:rFonts w:ascii="Arial MT"/>
                                  <w:color w:val="231F20"/>
                                  <w:spacing w:val="-4"/>
                                  <w:sz w:val="13"/>
                                </w:rPr>
                                <w:t> </w:t>
                              </w:r>
                              <w:r>
                                <w:rPr>
                                  <w:rFonts w:ascii="Arial MT"/>
                                  <w:color w:val="231F20"/>
                                  <w:sz w:val="13"/>
                                </w:rPr>
                                <w:t>to</w:t>
                              </w:r>
                              <w:r>
                                <w:rPr>
                                  <w:rFonts w:ascii="Arial MT"/>
                                  <w:color w:val="231F20"/>
                                  <w:spacing w:val="-4"/>
                                  <w:sz w:val="13"/>
                                </w:rPr>
                                <w:t> </w:t>
                              </w:r>
                              <w:r>
                                <w:rPr>
                                  <w:rFonts w:ascii="Arial MT"/>
                                  <w:color w:val="231F20"/>
                                  <w:spacing w:val="-2"/>
                                  <w:sz w:val="13"/>
                                </w:rPr>
                                <w:t>unknown</w:t>
                              </w:r>
                            </w:p>
                            <w:p>
                              <w:pPr>
                                <w:spacing w:line="252" w:lineRule="auto" w:before="2"/>
                                <w:ind w:left="0" w:right="16" w:firstLine="0"/>
                                <w:jc w:val="left"/>
                                <w:rPr>
                                  <w:rFonts w:ascii="Arial MT" w:hAnsi="Arial MT"/>
                                  <w:sz w:val="13"/>
                                </w:rPr>
                              </w:pPr>
                              <w:r>
                                <w:rPr>
                                  <w:rFonts w:ascii="Arial MT" w:hAnsi="Arial MT"/>
                                  <w:color w:val="231F20"/>
                                  <w:sz w:val="13"/>
                                </w:rPr>
                                <w:t>environmental</w:t>
                              </w:r>
                              <w:r>
                                <w:rPr>
                                  <w:rFonts w:ascii="Arial MT" w:hAnsi="Arial MT"/>
                                  <w:color w:val="231F20"/>
                                  <w:spacing w:val="-10"/>
                                  <w:sz w:val="13"/>
                                </w:rPr>
                                <w:t> </w:t>
                              </w:r>
                              <w:r>
                                <w:rPr>
                                  <w:rFonts w:ascii="Arial MT" w:hAnsi="Arial MT"/>
                                  <w:color w:val="231F20"/>
                                  <w:sz w:val="13"/>
                                </w:rPr>
                                <w:t>“triggers”?</w:t>
                              </w:r>
                              <w:r>
                                <w:rPr>
                                  <w:rFonts w:ascii="Arial MT" w:hAnsi="Arial MT"/>
                                  <w:color w:val="231F20"/>
                                  <w:spacing w:val="40"/>
                                  <w:sz w:val="13"/>
                                </w:rPr>
                                <w:t> </w:t>
                              </w:r>
                              <w:r>
                                <w:rPr>
                                  <w:rFonts w:ascii="Arial MT" w:hAnsi="Arial MT"/>
                                  <w:color w:val="231F20"/>
                                  <w:spacing w:val="-2"/>
                                  <w:sz w:val="13"/>
                                </w:rPr>
                                <w:t>Chance?</w:t>
                              </w:r>
                            </w:p>
                          </w:txbxContent>
                        </wps:txbx>
                        <wps:bodyPr wrap="square" lIns="0" tIns="0" rIns="0" bIns="0" rtlCol="0">
                          <a:noAutofit/>
                        </wps:bodyPr>
                      </wps:wsp>
                      <wps:wsp>
                        <wps:cNvPr id="105" name="Textbox 105"/>
                        <wps:cNvSpPr txBox="1"/>
                        <wps:spPr>
                          <a:xfrm>
                            <a:off x="1404665" y="476110"/>
                            <a:ext cx="1137920" cy="182880"/>
                          </a:xfrm>
                          <a:prstGeom prst="rect">
                            <a:avLst/>
                          </a:prstGeom>
                        </wps:spPr>
                        <wps:txbx>
                          <w:txbxContent>
                            <w:p>
                              <w:pPr>
                                <w:spacing w:line="128" w:lineRule="exact" w:before="0"/>
                                <w:ind w:left="0" w:right="0" w:firstLine="0"/>
                                <w:jc w:val="left"/>
                                <w:rPr>
                                  <w:rFonts w:ascii="Arial MT" w:hAnsi="Arial MT"/>
                                  <w:sz w:val="13"/>
                                </w:rPr>
                              </w:pPr>
                              <w:r>
                                <w:rPr>
                                  <w:rFonts w:ascii="Arial MT" w:hAnsi="Arial MT"/>
                                  <w:color w:val="231F20"/>
                                  <w:sz w:val="13"/>
                                </w:rPr>
                                <w:t>Lack</w:t>
                              </w:r>
                              <w:r>
                                <w:rPr>
                                  <w:rFonts w:ascii="Arial MT" w:hAnsi="Arial MT"/>
                                  <w:color w:val="231F20"/>
                                  <w:spacing w:val="-2"/>
                                  <w:sz w:val="13"/>
                                </w:rPr>
                                <w:t> </w:t>
                              </w:r>
                              <w:r>
                                <w:rPr>
                                  <w:rFonts w:ascii="Arial MT" w:hAnsi="Arial MT"/>
                                  <w:color w:val="231F20"/>
                                  <w:sz w:val="13"/>
                                </w:rPr>
                                <w:t>of</w:t>
                              </w:r>
                              <w:r>
                                <w:rPr>
                                  <w:rFonts w:ascii="Arial MT" w:hAnsi="Arial MT"/>
                                  <w:color w:val="231F20"/>
                                  <w:spacing w:val="-2"/>
                                  <w:sz w:val="13"/>
                                </w:rPr>
                                <w:t> </w:t>
                              </w:r>
                              <w:r>
                                <w:rPr>
                                  <w:rFonts w:ascii="Arial MT" w:hAnsi="Arial MT"/>
                                  <w:color w:val="231F20"/>
                                  <w:sz w:val="13"/>
                                </w:rPr>
                                <w:t>exposure</w:t>
                              </w:r>
                              <w:r>
                                <w:rPr>
                                  <w:rFonts w:ascii="Arial MT" w:hAnsi="Arial MT"/>
                                  <w:color w:val="231F20"/>
                                  <w:spacing w:val="-2"/>
                                  <w:sz w:val="13"/>
                                </w:rPr>
                                <w:t> </w:t>
                              </w:r>
                              <w:r>
                                <w:rPr>
                                  <w:rFonts w:ascii="Arial MT" w:hAnsi="Arial MT"/>
                                  <w:color w:val="231F20"/>
                                  <w:sz w:val="13"/>
                                </w:rPr>
                                <w:t>to</w:t>
                              </w:r>
                              <w:r>
                                <w:rPr>
                                  <w:rFonts w:ascii="Arial MT" w:hAnsi="Arial MT"/>
                                  <w:color w:val="231F20"/>
                                  <w:spacing w:val="-2"/>
                                  <w:sz w:val="13"/>
                                </w:rPr>
                                <w:t> “triggers”?</w:t>
                              </w:r>
                            </w:p>
                            <w:p>
                              <w:pPr>
                                <w:spacing w:before="7"/>
                                <w:ind w:left="0" w:right="0" w:firstLine="0"/>
                                <w:jc w:val="left"/>
                                <w:rPr>
                                  <w:rFonts w:ascii="Arial MT"/>
                                  <w:sz w:val="13"/>
                                </w:rPr>
                              </w:pPr>
                              <w:r>
                                <w:rPr>
                                  <w:rFonts w:ascii="Arial MT"/>
                                  <w:color w:val="231F20"/>
                                  <w:spacing w:val="-2"/>
                                  <w:sz w:val="13"/>
                                </w:rPr>
                                <w:t>Chance?</w:t>
                              </w:r>
                            </w:p>
                          </w:txbxContent>
                        </wps:txbx>
                        <wps:bodyPr wrap="square" lIns="0" tIns="0" rIns="0" bIns="0" rtlCol="0">
                          <a:noAutofit/>
                        </wps:bodyPr>
                      </wps:wsp>
                      <wps:wsp>
                        <wps:cNvPr id="106" name="Textbox 106"/>
                        <wps:cNvSpPr txBox="1"/>
                        <wps:spPr>
                          <a:xfrm>
                            <a:off x="255065" y="1015244"/>
                            <a:ext cx="51562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Autoimmunity</w:t>
                              </w:r>
                            </w:p>
                          </w:txbxContent>
                        </wps:txbx>
                        <wps:bodyPr wrap="square" lIns="0" tIns="0" rIns="0" bIns="0" rtlCol="0">
                          <a:noAutofit/>
                        </wps:bodyPr>
                      </wps:wsp>
                      <wps:wsp>
                        <wps:cNvPr id="107" name="Textbox 107"/>
                        <wps:cNvSpPr txBox="1"/>
                        <wps:spPr>
                          <a:xfrm>
                            <a:off x="1653330" y="1015326"/>
                            <a:ext cx="635635" cy="83185"/>
                          </a:xfrm>
                          <a:prstGeom prst="rect">
                            <a:avLst/>
                          </a:prstGeom>
                        </wps:spPr>
                        <wps:txbx>
                          <w:txbxContent>
                            <w:p>
                              <w:pPr>
                                <w:spacing w:line="128" w:lineRule="exact" w:before="0"/>
                                <w:ind w:left="0" w:right="0" w:firstLine="0"/>
                                <w:jc w:val="left"/>
                                <w:rPr>
                                  <w:rFonts w:ascii="Arial MT"/>
                                  <w:sz w:val="13"/>
                                </w:rPr>
                              </w:pPr>
                              <w:r>
                                <w:rPr>
                                  <w:rFonts w:ascii="Arial MT"/>
                                  <w:color w:val="231F20"/>
                                  <w:sz w:val="13"/>
                                </w:rPr>
                                <w:t>No</w:t>
                              </w:r>
                              <w:r>
                                <w:rPr>
                                  <w:rFonts w:ascii="Arial MT"/>
                                  <w:color w:val="231F20"/>
                                  <w:spacing w:val="-1"/>
                                  <w:sz w:val="13"/>
                                </w:rPr>
                                <w:t> </w:t>
                              </w:r>
                              <w:r>
                                <w:rPr>
                                  <w:rFonts w:ascii="Arial MT"/>
                                  <w:color w:val="231F20"/>
                                  <w:spacing w:val="-2"/>
                                  <w:sz w:val="13"/>
                                </w:rPr>
                                <w:t>autoimmunity</w:t>
                              </w:r>
                            </w:p>
                          </w:txbxContent>
                        </wps:txbx>
                        <wps:bodyPr wrap="square" lIns="0" tIns="0" rIns="0" bIns="0" rtlCol="0">
                          <a:noAutofit/>
                        </wps:bodyPr>
                      </wps:wsp>
                      <wps:wsp>
                        <wps:cNvPr id="108" name="Textbox 108"/>
                        <wps:cNvSpPr txBox="1"/>
                        <wps:spPr>
                          <a:xfrm>
                            <a:off x="89178" y="1376078"/>
                            <a:ext cx="847090" cy="84455"/>
                          </a:xfrm>
                          <a:prstGeom prst="rect">
                            <a:avLst/>
                          </a:prstGeom>
                        </wps:spPr>
                        <wps:txbx>
                          <w:txbxContent>
                            <w:p>
                              <w:pPr>
                                <w:spacing w:line="133" w:lineRule="exact" w:before="0"/>
                                <w:ind w:left="0" w:right="0" w:firstLine="0"/>
                                <w:jc w:val="left"/>
                                <w:rPr>
                                  <w:rFonts w:ascii="Arial MT" w:hAnsi="Arial MT"/>
                                  <w:sz w:val="13"/>
                                </w:rPr>
                              </w:pPr>
                              <w:r>
                                <w:rPr>
                                  <w:rFonts w:ascii="Arial MT" w:hAnsi="Arial MT"/>
                                  <w:color w:val="231F20"/>
                                  <w:sz w:val="13"/>
                                </w:rPr>
                                <w:t>Progressive</w:t>
                              </w:r>
                              <w:r>
                                <w:rPr>
                                  <w:rFonts w:ascii="Arial MT" w:hAnsi="Arial MT"/>
                                  <w:color w:val="231F20"/>
                                  <w:spacing w:val="-7"/>
                                  <w:sz w:val="13"/>
                                </w:rPr>
                                <w:t> </w:t>
                              </w:r>
                              <w:r>
                                <w:rPr>
                                  <w:rFonts w:ascii="Lucida Sans Unicode" w:hAnsi="Lucida Sans Unicode"/>
                                  <w:color w:val="231F20"/>
                                  <w:sz w:val="13"/>
                                </w:rPr>
                                <w:t>β</w:t>
                              </w:r>
                              <w:r>
                                <w:rPr>
                                  <w:rFonts w:ascii="Arial MT" w:hAnsi="Arial MT"/>
                                  <w:color w:val="231F20"/>
                                  <w:sz w:val="13"/>
                                </w:rPr>
                                <w:t>-cell</w:t>
                              </w:r>
                              <w:r>
                                <w:rPr>
                                  <w:rFonts w:ascii="Arial MT" w:hAnsi="Arial MT"/>
                                  <w:color w:val="231F20"/>
                                  <w:spacing w:val="-7"/>
                                  <w:sz w:val="13"/>
                                </w:rPr>
                                <w:t> </w:t>
                              </w:r>
                              <w:r>
                                <w:rPr>
                                  <w:rFonts w:ascii="Arial MT" w:hAnsi="Arial MT"/>
                                  <w:color w:val="231F20"/>
                                  <w:spacing w:val="-4"/>
                                  <w:sz w:val="13"/>
                                </w:rPr>
                                <w:t>loss</w:t>
                              </w:r>
                            </w:p>
                          </w:txbxContent>
                        </wps:txbx>
                        <wps:bodyPr wrap="square" lIns="0" tIns="0" rIns="0" bIns="0" rtlCol="0">
                          <a:noAutofit/>
                        </wps:bodyPr>
                      </wps:wsp>
                      <wps:wsp>
                        <wps:cNvPr id="109" name="Textbox 109"/>
                        <wps:cNvSpPr txBox="1"/>
                        <wps:spPr>
                          <a:xfrm>
                            <a:off x="848196" y="1734561"/>
                            <a:ext cx="865505" cy="184150"/>
                          </a:xfrm>
                          <a:prstGeom prst="rect">
                            <a:avLst/>
                          </a:prstGeom>
                        </wps:spPr>
                        <wps:txbx>
                          <w:txbxContent>
                            <w:p>
                              <w:pPr>
                                <w:spacing w:line="149" w:lineRule="exact" w:before="0"/>
                                <w:ind w:left="-1" w:right="18" w:firstLine="0"/>
                                <w:jc w:val="center"/>
                                <w:rPr>
                                  <w:rFonts w:ascii="Arial MT" w:hAnsi="Arial MT"/>
                                  <w:sz w:val="13"/>
                                </w:rPr>
                              </w:pPr>
                              <w:r>
                                <w:rPr>
                                  <w:rFonts w:ascii="Arial MT" w:hAnsi="Arial MT"/>
                                  <w:color w:val="231F20"/>
                                  <w:sz w:val="13"/>
                                </w:rPr>
                                <w:t>No</w:t>
                              </w:r>
                              <w:r>
                                <w:rPr>
                                  <w:rFonts w:ascii="Arial MT" w:hAnsi="Arial MT"/>
                                  <w:color w:val="231F20"/>
                                  <w:spacing w:val="-2"/>
                                  <w:sz w:val="13"/>
                                </w:rPr>
                                <w:t> </w:t>
                              </w:r>
                              <w:r>
                                <w:rPr>
                                  <w:rFonts w:ascii="Arial MT" w:hAnsi="Arial MT"/>
                                  <w:color w:val="231F20"/>
                                  <w:sz w:val="13"/>
                                </w:rPr>
                                <w:t>apparent</w:t>
                              </w:r>
                              <w:r>
                                <w:rPr>
                                  <w:rFonts w:ascii="Arial MT" w:hAnsi="Arial MT"/>
                                  <w:color w:val="231F20"/>
                                  <w:spacing w:val="-2"/>
                                  <w:sz w:val="13"/>
                                </w:rPr>
                                <w:t> </w:t>
                              </w:r>
                              <w:r>
                                <w:rPr>
                                  <w:rFonts w:ascii="Lucida Sans Unicode" w:hAnsi="Lucida Sans Unicode"/>
                                  <w:color w:val="231F20"/>
                                  <w:sz w:val="13"/>
                                </w:rPr>
                                <w:t>β</w:t>
                              </w:r>
                              <w:r>
                                <w:rPr>
                                  <w:rFonts w:ascii="Arial MT" w:hAnsi="Arial MT"/>
                                  <w:color w:val="231F20"/>
                                  <w:sz w:val="13"/>
                                </w:rPr>
                                <w:t>-cell</w:t>
                              </w:r>
                              <w:r>
                                <w:rPr>
                                  <w:rFonts w:ascii="Arial MT" w:hAnsi="Arial MT"/>
                                  <w:color w:val="231F20"/>
                                  <w:spacing w:val="-2"/>
                                  <w:sz w:val="13"/>
                                </w:rPr>
                                <w:t> </w:t>
                              </w:r>
                              <w:r>
                                <w:rPr>
                                  <w:rFonts w:ascii="Arial MT" w:hAnsi="Arial MT"/>
                                  <w:color w:val="231F20"/>
                                  <w:spacing w:val="-4"/>
                                  <w:sz w:val="13"/>
                                </w:rPr>
                                <w:t>loss</w:t>
                              </w:r>
                            </w:p>
                            <w:p>
                              <w:pPr>
                                <w:spacing w:line="138" w:lineRule="exact" w:before="0"/>
                                <w:ind w:left="1" w:right="18" w:firstLine="0"/>
                                <w:jc w:val="center"/>
                                <w:rPr>
                                  <w:rFonts w:ascii="Arial MT"/>
                                  <w:sz w:val="13"/>
                                </w:rPr>
                              </w:pPr>
                              <w:r>
                                <w:rPr>
                                  <w:rFonts w:ascii="Arial MT"/>
                                  <w:color w:val="231F20"/>
                                  <w:spacing w:val="-4"/>
                                  <w:sz w:val="13"/>
                                </w:rPr>
                                <w:t>Why?</w:t>
                              </w:r>
                            </w:p>
                          </w:txbxContent>
                        </wps:txbx>
                        <wps:bodyPr wrap="square" lIns="0" tIns="0" rIns="0" bIns="0" rtlCol="0">
                          <a:noAutofit/>
                        </wps:bodyPr>
                      </wps:wsp>
                      <wps:wsp>
                        <wps:cNvPr id="110" name="Textbox 110"/>
                        <wps:cNvSpPr txBox="1"/>
                        <wps:spPr>
                          <a:xfrm>
                            <a:off x="204387" y="2182427"/>
                            <a:ext cx="616585" cy="83185"/>
                          </a:xfrm>
                          <a:prstGeom prst="rect">
                            <a:avLst/>
                          </a:prstGeom>
                        </wps:spPr>
                        <wps:txbx>
                          <w:txbxContent>
                            <w:p>
                              <w:pPr>
                                <w:spacing w:line="128" w:lineRule="exact" w:before="0"/>
                                <w:ind w:left="0" w:right="0" w:firstLine="0"/>
                                <w:jc w:val="left"/>
                                <w:rPr>
                                  <w:rFonts w:ascii="Arial MT"/>
                                  <w:sz w:val="13"/>
                                </w:rPr>
                              </w:pPr>
                              <w:r>
                                <w:rPr>
                                  <w:rFonts w:ascii="Arial MT"/>
                                  <w:color w:val="231F20"/>
                                  <w:sz w:val="13"/>
                                </w:rPr>
                                <w:t>Clinical</w:t>
                              </w:r>
                              <w:r>
                                <w:rPr>
                                  <w:rFonts w:ascii="Arial MT"/>
                                  <w:color w:val="231F20"/>
                                  <w:spacing w:val="-7"/>
                                  <w:sz w:val="13"/>
                                </w:rPr>
                                <w:t> </w:t>
                              </w:r>
                              <w:r>
                                <w:rPr>
                                  <w:rFonts w:ascii="Arial MT"/>
                                  <w:color w:val="231F20"/>
                                  <w:spacing w:val="-2"/>
                                  <w:sz w:val="13"/>
                                </w:rPr>
                                <w:t>diabetes</w:t>
                              </w:r>
                            </w:p>
                          </w:txbxContent>
                        </wps:txbx>
                        <wps:bodyPr wrap="square" lIns="0" tIns="0" rIns="0" bIns="0" rtlCol="0">
                          <a:noAutofit/>
                        </wps:bodyPr>
                      </wps:wsp>
                      <wps:wsp>
                        <wps:cNvPr id="111" name="Textbox 111"/>
                        <wps:cNvSpPr txBox="1"/>
                        <wps:spPr>
                          <a:xfrm>
                            <a:off x="1743158" y="2182427"/>
                            <a:ext cx="455930" cy="83185"/>
                          </a:xfrm>
                          <a:prstGeom prst="rect">
                            <a:avLst/>
                          </a:prstGeom>
                        </wps:spPr>
                        <wps:txbx>
                          <w:txbxContent>
                            <w:p>
                              <w:pPr>
                                <w:spacing w:line="128" w:lineRule="exact" w:before="0"/>
                                <w:ind w:left="0" w:right="0" w:firstLine="0"/>
                                <w:jc w:val="left"/>
                                <w:rPr>
                                  <w:rFonts w:ascii="Arial MT"/>
                                  <w:sz w:val="13"/>
                                </w:rPr>
                              </w:pPr>
                              <w:r>
                                <w:rPr>
                                  <w:rFonts w:ascii="Arial MT"/>
                                  <w:color w:val="231F20"/>
                                  <w:sz w:val="13"/>
                                </w:rPr>
                                <w:t>No</w:t>
                              </w:r>
                              <w:r>
                                <w:rPr>
                                  <w:rFonts w:ascii="Arial MT"/>
                                  <w:color w:val="231F20"/>
                                  <w:spacing w:val="-1"/>
                                  <w:sz w:val="13"/>
                                </w:rPr>
                                <w:t> </w:t>
                              </w:r>
                              <w:r>
                                <w:rPr>
                                  <w:rFonts w:ascii="Arial MT"/>
                                  <w:color w:val="231F20"/>
                                  <w:spacing w:val="-2"/>
                                  <w:sz w:val="13"/>
                                </w:rPr>
                                <w:t>diabetes</w:t>
                              </w:r>
                            </w:p>
                          </w:txbxContent>
                        </wps:txbx>
                        <wps:bodyPr wrap="square" lIns="0" tIns="0" rIns="0" bIns="0" rtlCol="0">
                          <a:noAutofit/>
                        </wps:bodyPr>
                      </wps:wsp>
                      <wps:wsp>
                        <wps:cNvPr id="112" name="Textbox 112"/>
                        <wps:cNvSpPr txBox="1"/>
                        <wps:spPr>
                          <a:xfrm>
                            <a:off x="127581" y="2542320"/>
                            <a:ext cx="1473835" cy="182880"/>
                          </a:xfrm>
                          <a:prstGeom prst="rect">
                            <a:avLst/>
                          </a:prstGeom>
                        </wps:spPr>
                        <wps:txbx>
                          <w:txbxContent>
                            <w:p>
                              <w:pPr>
                                <w:spacing w:line="92" w:lineRule="exact" w:before="0"/>
                                <w:ind w:left="76" w:right="0" w:firstLine="0"/>
                                <w:jc w:val="left"/>
                                <w:rPr>
                                  <w:rFonts w:ascii="Arial MT"/>
                                  <w:sz w:val="13"/>
                                </w:rPr>
                              </w:pPr>
                              <w:r>
                                <w:rPr>
                                  <w:rFonts w:ascii="Arial MT"/>
                                  <w:color w:val="231F20"/>
                                  <w:sz w:val="13"/>
                                </w:rPr>
                                <w:t>Clinical</w:t>
                              </w:r>
                              <w:r>
                                <w:rPr>
                                  <w:rFonts w:ascii="Arial MT"/>
                                  <w:color w:val="231F20"/>
                                  <w:spacing w:val="-7"/>
                                  <w:sz w:val="13"/>
                                </w:rPr>
                                <w:t> </w:t>
                              </w:r>
                              <w:r>
                                <w:rPr>
                                  <w:rFonts w:ascii="Arial MT"/>
                                  <w:color w:val="231F20"/>
                                  <w:spacing w:val="-2"/>
                                  <w:sz w:val="13"/>
                                </w:rPr>
                                <w:t>remission</w:t>
                              </w:r>
                            </w:p>
                            <w:p>
                              <w:pPr>
                                <w:tabs>
                                  <w:tab w:pos="1480" w:val="left" w:leader="none"/>
                                </w:tabs>
                                <w:spacing w:line="193" w:lineRule="exact" w:before="0"/>
                                <w:ind w:left="0" w:right="0" w:firstLine="0"/>
                                <w:jc w:val="left"/>
                                <w:rPr>
                                  <w:rFonts w:ascii="Arial MT"/>
                                  <w:position w:val="8"/>
                                  <w:sz w:val="13"/>
                                </w:rPr>
                              </w:pPr>
                              <w:r>
                                <w:rPr>
                                  <w:rFonts w:ascii="Arial MT"/>
                                  <w:color w:val="231F20"/>
                                  <w:sz w:val="13"/>
                                </w:rPr>
                                <w:t>(honeymoon</w:t>
                              </w:r>
                              <w:r>
                                <w:rPr>
                                  <w:rFonts w:ascii="Arial MT"/>
                                  <w:color w:val="231F20"/>
                                  <w:spacing w:val="-9"/>
                                  <w:sz w:val="13"/>
                                </w:rPr>
                                <w:t> </w:t>
                              </w:r>
                              <w:r>
                                <w:rPr>
                                  <w:rFonts w:ascii="Arial MT"/>
                                  <w:color w:val="231F20"/>
                                  <w:spacing w:val="-2"/>
                                  <w:sz w:val="13"/>
                                </w:rPr>
                                <w:t>period)</w:t>
                              </w:r>
                              <w:r>
                                <w:rPr>
                                  <w:rFonts w:ascii="Arial MT"/>
                                  <w:color w:val="231F20"/>
                                  <w:sz w:val="13"/>
                                </w:rPr>
                                <w:tab/>
                              </w:r>
                              <w:r>
                                <w:rPr>
                                  <w:rFonts w:ascii="Arial MT"/>
                                  <w:color w:val="231F20"/>
                                  <w:spacing w:val="-2"/>
                                  <w:position w:val="8"/>
                                  <w:sz w:val="13"/>
                                </w:rPr>
                                <w:t>Complications</w:t>
                              </w:r>
                            </w:p>
                          </w:txbxContent>
                        </wps:txbx>
                        <wps:bodyPr wrap="square" lIns="0" tIns="0" rIns="0" bIns="0" rtlCol="0">
                          <a:noAutofit/>
                        </wps:bodyPr>
                      </wps:wsp>
                      <wps:wsp>
                        <wps:cNvPr id="113" name="Textbox 113"/>
                        <wps:cNvSpPr txBox="1"/>
                        <wps:spPr>
                          <a:xfrm>
                            <a:off x="789144" y="5924"/>
                            <a:ext cx="892810" cy="185420"/>
                          </a:xfrm>
                          <a:prstGeom prst="rect">
                            <a:avLst/>
                          </a:prstGeom>
                          <a:solidFill>
                            <a:srgbClr val="D7EDDD"/>
                          </a:solidFill>
                          <a:ln w="11849">
                            <a:solidFill>
                              <a:srgbClr val="231F20"/>
                            </a:solidFill>
                            <a:prstDash val="solid"/>
                          </a:ln>
                        </wps:spPr>
                        <wps:txbx>
                          <w:txbxContent>
                            <w:p>
                              <w:pPr>
                                <w:spacing w:before="56"/>
                                <w:ind w:left="79" w:right="0" w:firstLine="0"/>
                                <w:jc w:val="left"/>
                                <w:rPr>
                                  <w:rFonts w:ascii="Arial MT"/>
                                  <w:color w:val="000000"/>
                                  <w:sz w:val="13"/>
                                </w:rPr>
                              </w:pPr>
                              <w:r>
                                <w:rPr>
                                  <w:rFonts w:ascii="Arial MT"/>
                                  <w:color w:val="231F20"/>
                                  <w:sz w:val="13"/>
                                </w:rPr>
                                <w:t>Genetic </w:t>
                              </w:r>
                              <w:r>
                                <w:rPr>
                                  <w:rFonts w:ascii="Arial MT"/>
                                  <w:color w:val="231F20"/>
                                  <w:spacing w:val="-2"/>
                                  <w:sz w:val="13"/>
                                </w:rPr>
                                <w:t>susceptibility</w:t>
                              </w:r>
                            </w:p>
                          </w:txbxContent>
                        </wps:txbx>
                        <wps:bodyPr wrap="square" lIns="0" tIns="0" rIns="0" bIns="0" rtlCol="0">
                          <a:noAutofit/>
                        </wps:bodyPr>
                      </wps:wsp>
                    </wpg:wgp>
                  </a:graphicData>
                </a:graphic>
              </wp:anchor>
            </w:drawing>
          </mc:Choice>
          <mc:Fallback>
            <w:pict>
              <v:group style="position:absolute;margin-left:318.755493pt;margin-top:16.777294pt;width:203.25pt;height:218.65pt;mso-position-horizontal-relative:page;mso-position-vertical-relative:paragraph;z-index:-15727616;mso-wrap-distance-left:0;mso-wrap-distance-right:0" id="docshapegroup44" coordorigin="6375,336" coordsize="4065,4373">
                <v:rect style="position:absolute;left:6384;top:1009;width:1576;height:570" id="docshape45" filled="true" fillcolor="#d7eddd" stroked="false">
                  <v:fill type="solid"/>
                </v:rect>
                <v:rect style="position:absolute;left:6384;top:1009;width:1576;height:570" id="docshape46" filled="false" stroked="true" strokeweight=".933014pt" strokecolor="#231f20">
                  <v:stroke dashstyle="solid"/>
                </v:rect>
                <v:rect style="position:absolute;left:6680;top:1840;width:983;height:306" id="docshape47" filled="true" fillcolor="#d7eddd" stroked="false">
                  <v:fill type="solid"/>
                </v:rect>
                <v:rect style="position:absolute;left:6680;top:1840;width:983;height:306" id="docshape48" filled="false" stroked="true" strokeweight=".933014pt" strokecolor="#231f20">
                  <v:stroke dashstyle="solid"/>
                </v:rect>
                <v:rect style="position:absolute;left:6461;top:2409;width:1422;height:306" id="docshape49" filled="true" fillcolor="#d7eddd" stroked="false">
                  <v:fill type="solid"/>
                </v:rect>
                <v:rect style="position:absolute;left:6461;top:2409;width:1422;height:306" id="docshape50" filled="false" stroked="true" strokeweight=".933014pt" strokecolor="#231f20">
                  <v:stroke dashstyle="solid"/>
                </v:rect>
                <v:rect style="position:absolute;left:6613;top:3678;width:1118;height:306" id="docshape51" filled="true" fillcolor="#d7eddd" stroked="false">
                  <v:fill type="solid"/>
                </v:rect>
                <v:rect style="position:absolute;left:6613;top:3678;width:1118;height:306" id="docshape52" filled="false" stroked="true" strokeweight=".933014pt" strokecolor="#231f20">
                  <v:stroke dashstyle="solid"/>
                </v:rect>
                <v:rect style="position:absolute;left:6522;top:4254;width:1275;height:444" id="docshape53" filled="true" fillcolor="#d7eddd" stroked="false">
                  <v:fill type="solid"/>
                </v:rect>
                <v:rect style="position:absolute;left:6522;top:4254;width:1275;height:444" id="docshape54" filled="false" stroked="true" strokeweight=".933014pt" strokecolor="#231f20">
                  <v:stroke dashstyle="solid"/>
                </v:rect>
                <v:rect style="position:absolute;left:7950;top:4254;width:1032;height:444" id="docshape55" filled="true" fillcolor="#d7eddd" stroked="false">
                  <v:fill type="solid"/>
                </v:rect>
                <v:rect style="position:absolute;left:7950;top:4254;width:1032;height:444" id="docshape56" filled="false" stroked="true" strokeweight=".933014pt" strokecolor="#231f20">
                  <v:stroke dashstyle="solid"/>
                </v:rect>
                <v:rect style="position:absolute;left:7637;top:2974;width:1490;height:450" id="docshape57" filled="true" fillcolor="#d7eddd" stroked="false">
                  <v:fill type="solid"/>
                </v:rect>
                <v:rect style="position:absolute;left:7637;top:2974;width:1490;height:450" id="docshape58" filled="false" stroked="true" strokeweight=".933014pt" strokecolor="#231f20">
                  <v:stroke dashstyle="solid"/>
                </v:rect>
                <v:rect style="position:absolute;left:8915;top:1840;width:1107;height:306" id="docshape59" filled="true" fillcolor="#d7eddd" stroked="false">
                  <v:fill type="solid"/>
                </v:rect>
                <v:rect style="position:absolute;left:8915;top:1840;width:1107;height:306" id="docshape60" filled="false" stroked="true" strokeweight=".933014pt" strokecolor="#231f20">
                  <v:stroke dashstyle="solid"/>
                </v:rect>
                <v:rect style="position:absolute;left:8915;top:3678;width:1107;height:306" id="docshape61" filled="true" fillcolor="#d7eddd" stroked="false">
                  <v:fill type="solid"/>
                </v:rect>
                <v:rect style="position:absolute;left:8915;top:3678;width:1107;height:306" id="docshape62" filled="false" stroked="true" strokeweight=".933014pt" strokecolor="#231f20">
                  <v:stroke dashstyle="solid"/>
                </v:rect>
                <v:rect style="position:absolute;left:8507;top:1009;width:1924;height:440" id="docshape63" filled="true" fillcolor="#d7eddd" stroked="false">
                  <v:fill type="solid"/>
                </v:rect>
                <v:shape style="position:absolute;left:7172;top:725;width:3258;height:724" id="docshape64" coordorigin="7172,726" coordsize="3258,724" path="m10430,1449l8507,1449,8507,1010,10430,1010,10430,1449xm7172,898l7172,726,9469,726,9469,898e" filled="false" stroked="true" strokeweight=".933014pt" strokecolor="#231f20">
                  <v:path arrowok="t"/>
                  <v:stroke dashstyle="solid"/>
                </v:shape>
                <v:shape style="position:absolute;left:7111;top:854;width:2418;height:149" id="docshape65" coordorigin="7112,855" coordsize="2418,149" path="m7233,855l7172,890,7112,855,7172,1003,7233,855xm9529,855l9469,890,9408,855,9469,1003,9529,855xe" filled="true" fillcolor="#231f20" stroked="false">
                  <v:path arrowok="t"/>
                  <v:fill type="solid"/>
                </v:shape>
                <v:line style="position:absolute" from="8320,636" to="8320,726" stroked="true" strokeweight=".933014pt" strokecolor="#231f20">
                  <v:stroke dashstyle="solid"/>
                </v:line>
                <v:line style="position:absolute" from="7172,1580" to="7172,1738" stroked="true" strokeweight=".933014pt" strokecolor="#231f20">
                  <v:stroke dashstyle="solid"/>
                </v:line>
                <v:shape style="position:absolute;left:7111;top:1694;width:122;height:149" id="docshape66" coordorigin="7112,1695" coordsize="122,149" path="m7233,1695l7172,1730,7112,1695,7172,1844,7233,1695xe" filled="true" fillcolor="#231f20" stroked="false">
                  <v:path arrowok="t"/>
                  <v:fill type="solid"/>
                </v:shape>
                <v:line style="position:absolute" from="7172,2146" to="7172,2305" stroked="true" strokeweight=".933014pt" strokecolor="#231f20">
                  <v:stroke dashstyle="solid"/>
                </v:line>
                <v:shape style="position:absolute;left:7111;top:2261;width:122;height:149" id="docshape67" coordorigin="7112,2262" coordsize="122,149" path="m7233,2262l7172,2297,7112,2262,7172,2410,7233,2262xe" filled="true" fillcolor="#231f20" stroked="false">
                  <v:path arrowok="t"/>
                  <v:fill type="solid"/>
                </v:shape>
                <v:line style="position:absolute" from="6986,3984" to="6986,4143" stroked="true" strokeweight=".933014pt" strokecolor="#231f20">
                  <v:stroke dashstyle="solid"/>
                </v:line>
                <v:shape style="position:absolute;left:6924;top:4099;width:122;height:149" id="docshape68" coordorigin="6925,4100" coordsize="122,149" path="m7046,4100l6986,4135,6925,4100,6986,4248,7046,4100xe" filled="true" fillcolor="#231f20" stroked="false">
                  <v:path arrowok="t"/>
                  <v:fill type="solid"/>
                </v:shape>
                <v:line style="position:absolute" from="7359,4255" to="7359,4096" stroked="true" strokeweight=".933014pt" strokecolor="#231f20">
                  <v:stroke dashstyle="solid"/>
                </v:line>
                <v:shape style="position:absolute;left:7298;top:3990;width:122;height:149" id="docshape69" coordorigin="7298,3991" coordsize="122,149" path="m7359,3991l7298,4139,7359,4104,7420,4139,7359,3991xe" filled="true" fillcolor="#231f20" stroked="false">
                  <v:path arrowok="t"/>
                  <v:fill type="solid"/>
                </v:shape>
                <v:shape style="position:absolute;left:7664;top:1993;width:707;height:881" id="docshape70" coordorigin="7665,1994" coordsize="707,881" path="m7665,1994l8371,1994,8371,2874e" filled="false" stroked="true" strokeweight=".933014pt" strokecolor="#231f20">
                  <v:path arrowok="t"/>
                  <v:stroke dashstyle="solid"/>
                </v:shape>
                <v:shape style="position:absolute;left:8310;top:2830;width:122;height:149" id="docshape71" coordorigin="8310,2831" coordsize="122,149" path="m8432,2831l8371,2866,8310,2831,8371,2979,8432,2831xe" filled="true" fillcolor="#231f20" stroked="false">
                  <v:path arrowok="t"/>
                  <v:fill type="solid"/>
                </v:shape>
                <v:shape style="position:absolute;left:7737;top:3832;width:457;height:309" id="docshape72" coordorigin="7738,3833" coordsize="457,309" path="m7738,3833l8194,3833,8194,4142e" filled="false" stroked="true" strokeweight=".933014pt" strokecolor="#231f20">
                  <v:path arrowok="t"/>
                  <v:stroke dashstyle="solid"/>
                </v:shape>
                <v:shape style="position:absolute;left:8133;top:4098;width:122;height:149" id="docshape73" coordorigin="8133,4098" coordsize="122,149" path="m8254,4098l8194,4134,8133,4098,8194,4247,8254,4098xe" filled="true" fillcolor="#231f20" stroked="false">
                  <v:path arrowok="t"/>
                  <v:fill type="solid"/>
                </v:shape>
                <v:line style="position:absolute" from="7172,2715" to="7172,3565" stroked="true" strokeweight=".933014pt" strokecolor="#231f20">
                  <v:stroke dashstyle="solid"/>
                </v:line>
                <v:shape style="position:absolute;left:7111;top:3521;width:122;height:149" id="docshape74" coordorigin="7112,3521" coordsize="122,149" path="m7233,3521l7172,3557,7112,3521,7172,3670,7233,3521xe" filled="true" fillcolor="#231f20" stroked="false">
                  <v:path arrowok="t"/>
                  <v:fill type="solid"/>
                </v:shape>
                <v:line style="position:absolute" from="9469,2146" to="9469,3567" stroked="true" strokeweight=".933014pt" strokecolor="#231f20">
                  <v:stroke dashstyle="solid"/>
                </v:line>
                <v:shape style="position:absolute;left:9407;top:3523;width:122;height:149" id="docshape75" coordorigin="9408,3524" coordsize="122,149" path="m9529,3524l9469,3559,9408,3524,9469,3672,9529,3524xe" filled="true" fillcolor="#231f20" stroked="false">
                  <v:path arrowok="t"/>
                  <v:fill type="solid"/>
                </v:shape>
                <v:shape style="position:absolute;left:8382;top:3423;width:428;height:410" id="docshape76" coordorigin="8382,3424" coordsize="428,410" path="m8382,3424l8382,3833,8810,3833e" filled="false" stroked="true" strokeweight=".933014pt" strokecolor="#231f20">
                  <v:path arrowok="t"/>
                  <v:stroke dashstyle="solid"/>
                </v:shape>
                <v:shape style="position:absolute;left:8766;top:3772;width:149;height:122" id="docshape77" coordorigin="8766,3772" coordsize="149,122" path="m8766,3772l8802,3833,8766,3894,8915,3833,8766,3772xe" filled="true" fillcolor="#231f20" stroked="false">
                  <v:path arrowok="t"/>
                  <v:fill type="solid"/>
                </v:shape>
                <v:line style="position:absolute" from="9469,1454" to="9469,1738" stroked="true" strokeweight=".933014pt" strokecolor="#231f20">
                  <v:stroke dashstyle="solid"/>
                </v:line>
                <v:shape style="position:absolute;left:9407;top:1694;width:122;height:149" id="docshape78" coordorigin="9408,1695" coordsize="122,149" path="m9529,1695l9469,1730,9408,1695,9469,1844,9529,1695xe" filled="true" fillcolor="#231f20" stroked="false">
                  <v:path arrowok="t"/>
                  <v:fill type="solid"/>
                </v:shape>
                <v:shape style="position:absolute;left:6446;top:1085;width:1472;height:445" type="#_x0000_t202" id="docshape79" filled="false" stroked="false">
                  <v:textbox inset="0,0,0,0">
                    <w:txbxContent>
                      <w:p>
                        <w:pPr>
                          <w:spacing w:line="128" w:lineRule="exact" w:before="0"/>
                          <w:ind w:left="0" w:right="0" w:firstLine="0"/>
                          <w:jc w:val="left"/>
                          <w:rPr>
                            <w:rFonts w:ascii="Arial MT"/>
                            <w:sz w:val="13"/>
                          </w:rPr>
                        </w:pPr>
                        <w:r>
                          <w:rPr>
                            <w:rFonts w:ascii="Arial MT"/>
                            <w:color w:val="231F20"/>
                            <w:sz w:val="13"/>
                          </w:rPr>
                          <w:t>Exposure</w:t>
                        </w:r>
                        <w:r>
                          <w:rPr>
                            <w:rFonts w:ascii="Arial MT"/>
                            <w:color w:val="231F20"/>
                            <w:spacing w:val="-4"/>
                            <w:sz w:val="13"/>
                          </w:rPr>
                          <w:t> </w:t>
                        </w:r>
                        <w:r>
                          <w:rPr>
                            <w:rFonts w:ascii="Arial MT"/>
                            <w:color w:val="231F20"/>
                            <w:sz w:val="13"/>
                          </w:rPr>
                          <w:t>to</w:t>
                        </w:r>
                        <w:r>
                          <w:rPr>
                            <w:rFonts w:ascii="Arial MT"/>
                            <w:color w:val="231F20"/>
                            <w:spacing w:val="-4"/>
                            <w:sz w:val="13"/>
                          </w:rPr>
                          <w:t> </w:t>
                        </w:r>
                        <w:r>
                          <w:rPr>
                            <w:rFonts w:ascii="Arial MT"/>
                            <w:color w:val="231F20"/>
                            <w:spacing w:val="-2"/>
                            <w:sz w:val="13"/>
                          </w:rPr>
                          <w:t>unknown</w:t>
                        </w:r>
                      </w:p>
                      <w:p>
                        <w:pPr>
                          <w:spacing w:line="252" w:lineRule="auto" w:before="2"/>
                          <w:ind w:left="0" w:right="16" w:firstLine="0"/>
                          <w:jc w:val="left"/>
                          <w:rPr>
                            <w:rFonts w:ascii="Arial MT" w:hAnsi="Arial MT"/>
                            <w:sz w:val="13"/>
                          </w:rPr>
                        </w:pPr>
                        <w:r>
                          <w:rPr>
                            <w:rFonts w:ascii="Arial MT" w:hAnsi="Arial MT"/>
                            <w:color w:val="231F20"/>
                            <w:sz w:val="13"/>
                          </w:rPr>
                          <w:t>environmental</w:t>
                        </w:r>
                        <w:r>
                          <w:rPr>
                            <w:rFonts w:ascii="Arial MT" w:hAnsi="Arial MT"/>
                            <w:color w:val="231F20"/>
                            <w:spacing w:val="-10"/>
                            <w:sz w:val="13"/>
                          </w:rPr>
                          <w:t> </w:t>
                        </w:r>
                        <w:r>
                          <w:rPr>
                            <w:rFonts w:ascii="Arial MT" w:hAnsi="Arial MT"/>
                            <w:color w:val="231F20"/>
                            <w:sz w:val="13"/>
                          </w:rPr>
                          <w:t>“triggers”?</w:t>
                        </w:r>
                        <w:r>
                          <w:rPr>
                            <w:rFonts w:ascii="Arial MT" w:hAnsi="Arial MT"/>
                            <w:color w:val="231F20"/>
                            <w:spacing w:val="40"/>
                            <w:sz w:val="13"/>
                          </w:rPr>
                          <w:t> </w:t>
                        </w:r>
                        <w:r>
                          <w:rPr>
                            <w:rFonts w:ascii="Arial MT" w:hAnsi="Arial MT"/>
                            <w:color w:val="231F20"/>
                            <w:spacing w:val="-2"/>
                            <w:sz w:val="13"/>
                          </w:rPr>
                          <w:t>Chance?</w:t>
                        </w:r>
                      </w:p>
                    </w:txbxContent>
                  </v:textbox>
                  <w10:wrap type="none"/>
                </v:shape>
                <v:shape style="position:absolute;left:8587;top:1085;width:1792;height:288" type="#_x0000_t202" id="docshape80" filled="false" stroked="false">
                  <v:textbox inset="0,0,0,0">
                    <w:txbxContent>
                      <w:p>
                        <w:pPr>
                          <w:spacing w:line="128" w:lineRule="exact" w:before="0"/>
                          <w:ind w:left="0" w:right="0" w:firstLine="0"/>
                          <w:jc w:val="left"/>
                          <w:rPr>
                            <w:rFonts w:ascii="Arial MT" w:hAnsi="Arial MT"/>
                            <w:sz w:val="13"/>
                          </w:rPr>
                        </w:pPr>
                        <w:r>
                          <w:rPr>
                            <w:rFonts w:ascii="Arial MT" w:hAnsi="Arial MT"/>
                            <w:color w:val="231F20"/>
                            <w:sz w:val="13"/>
                          </w:rPr>
                          <w:t>Lack</w:t>
                        </w:r>
                        <w:r>
                          <w:rPr>
                            <w:rFonts w:ascii="Arial MT" w:hAnsi="Arial MT"/>
                            <w:color w:val="231F20"/>
                            <w:spacing w:val="-2"/>
                            <w:sz w:val="13"/>
                          </w:rPr>
                          <w:t> </w:t>
                        </w:r>
                        <w:r>
                          <w:rPr>
                            <w:rFonts w:ascii="Arial MT" w:hAnsi="Arial MT"/>
                            <w:color w:val="231F20"/>
                            <w:sz w:val="13"/>
                          </w:rPr>
                          <w:t>of</w:t>
                        </w:r>
                        <w:r>
                          <w:rPr>
                            <w:rFonts w:ascii="Arial MT" w:hAnsi="Arial MT"/>
                            <w:color w:val="231F20"/>
                            <w:spacing w:val="-2"/>
                            <w:sz w:val="13"/>
                          </w:rPr>
                          <w:t> </w:t>
                        </w:r>
                        <w:r>
                          <w:rPr>
                            <w:rFonts w:ascii="Arial MT" w:hAnsi="Arial MT"/>
                            <w:color w:val="231F20"/>
                            <w:sz w:val="13"/>
                          </w:rPr>
                          <w:t>exposure</w:t>
                        </w:r>
                        <w:r>
                          <w:rPr>
                            <w:rFonts w:ascii="Arial MT" w:hAnsi="Arial MT"/>
                            <w:color w:val="231F20"/>
                            <w:spacing w:val="-2"/>
                            <w:sz w:val="13"/>
                          </w:rPr>
                          <w:t> </w:t>
                        </w:r>
                        <w:r>
                          <w:rPr>
                            <w:rFonts w:ascii="Arial MT" w:hAnsi="Arial MT"/>
                            <w:color w:val="231F20"/>
                            <w:sz w:val="13"/>
                          </w:rPr>
                          <w:t>to</w:t>
                        </w:r>
                        <w:r>
                          <w:rPr>
                            <w:rFonts w:ascii="Arial MT" w:hAnsi="Arial MT"/>
                            <w:color w:val="231F20"/>
                            <w:spacing w:val="-2"/>
                            <w:sz w:val="13"/>
                          </w:rPr>
                          <w:t> “triggers”?</w:t>
                        </w:r>
                      </w:p>
                      <w:p>
                        <w:pPr>
                          <w:spacing w:before="7"/>
                          <w:ind w:left="0" w:right="0" w:firstLine="0"/>
                          <w:jc w:val="left"/>
                          <w:rPr>
                            <w:rFonts w:ascii="Arial MT"/>
                            <w:sz w:val="13"/>
                          </w:rPr>
                        </w:pPr>
                        <w:r>
                          <w:rPr>
                            <w:rFonts w:ascii="Arial MT"/>
                            <w:color w:val="231F20"/>
                            <w:spacing w:val="-2"/>
                            <w:sz w:val="13"/>
                          </w:rPr>
                          <w:t>Chance?</w:t>
                        </w:r>
                      </w:p>
                    </w:txbxContent>
                  </v:textbox>
                  <w10:wrap type="none"/>
                </v:shape>
                <v:shape style="position:absolute;left:6776;top:1934;width:812;height:131" type="#_x0000_t202" id="docshape81"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Autoimmunity</w:t>
                        </w:r>
                      </w:p>
                    </w:txbxContent>
                  </v:textbox>
                  <w10:wrap type="none"/>
                </v:shape>
                <v:shape style="position:absolute;left:8978;top:1934;width:1001;height:131" type="#_x0000_t202" id="docshape82" filled="false" stroked="false">
                  <v:textbox inset="0,0,0,0">
                    <w:txbxContent>
                      <w:p>
                        <w:pPr>
                          <w:spacing w:line="128" w:lineRule="exact" w:before="0"/>
                          <w:ind w:left="0" w:right="0" w:firstLine="0"/>
                          <w:jc w:val="left"/>
                          <w:rPr>
                            <w:rFonts w:ascii="Arial MT"/>
                            <w:sz w:val="13"/>
                          </w:rPr>
                        </w:pPr>
                        <w:r>
                          <w:rPr>
                            <w:rFonts w:ascii="Arial MT"/>
                            <w:color w:val="231F20"/>
                            <w:sz w:val="13"/>
                          </w:rPr>
                          <w:t>No</w:t>
                        </w:r>
                        <w:r>
                          <w:rPr>
                            <w:rFonts w:ascii="Arial MT"/>
                            <w:color w:val="231F20"/>
                            <w:spacing w:val="-1"/>
                            <w:sz w:val="13"/>
                          </w:rPr>
                          <w:t> </w:t>
                        </w:r>
                        <w:r>
                          <w:rPr>
                            <w:rFonts w:ascii="Arial MT"/>
                            <w:color w:val="231F20"/>
                            <w:spacing w:val="-2"/>
                            <w:sz w:val="13"/>
                          </w:rPr>
                          <w:t>autoimmunity</w:t>
                        </w:r>
                      </w:p>
                    </w:txbxContent>
                  </v:textbox>
                  <w10:wrap type="none"/>
                </v:shape>
                <v:shape style="position:absolute;left:6515;top:2502;width:1334;height:133" type="#_x0000_t202" id="docshape83" filled="false" stroked="false">
                  <v:textbox inset="0,0,0,0">
                    <w:txbxContent>
                      <w:p>
                        <w:pPr>
                          <w:spacing w:line="133" w:lineRule="exact" w:before="0"/>
                          <w:ind w:left="0" w:right="0" w:firstLine="0"/>
                          <w:jc w:val="left"/>
                          <w:rPr>
                            <w:rFonts w:ascii="Arial MT" w:hAnsi="Arial MT"/>
                            <w:sz w:val="13"/>
                          </w:rPr>
                        </w:pPr>
                        <w:r>
                          <w:rPr>
                            <w:rFonts w:ascii="Arial MT" w:hAnsi="Arial MT"/>
                            <w:color w:val="231F20"/>
                            <w:sz w:val="13"/>
                          </w:rPr>
                          <w:t>Progressive</w:t>
                        </w:r>
                        <w:r>
                          <w:rPr>
                            <w:rFonts w:ascii="Arial MT" w:hAnsi="Arial MT"/>
                            <w:color w:val="231F20"/>
                            <w:spacing w:val="-7"/>
                            <w:sz w:val="13"/>
                          </w:rPr>
                          <w:t> </w:t>
                        </w:r>
                        <w:r>
                          <w:rPr>
                            <w:rFonts w:ascii="Lucida Sans Unicode" w:hAnsi="Lucida Sans Unicode"/>
                            <w:color w:val="231F20"/>
                            <w:sz w:val="13"/>
                          </w:rPr>
                          <w:t>β</w:t>
                        </w:r>
                        <w:r>
                          <w:rPr>
                            <w:rFonts w:ascii="Arial MT" w:hAnsi="Arial MT"/>
                            <w:color w:val="231F20"/>
                            <w:sz w:val="13"/>
                          </w:rPr>
                          <w:t>-cell</w:t>
                        </w:r>
                        <w:r>
                          <w:rPr>
                            <w:rFonts w:ascii="Arial MT" w:hAnsi="Arial MT"/>
                            <w:color w:val="231F20"/>
                            <w:spacing w:val="-7"/>
                            <w:sz w:val="13"/>
                          </w:rPr>
                          <w:t> </w:t>
                        </w:r>
                        <w:r>
                          <w:rPr>
                            <w:rFonts w:ascii="Arial MT" w:hAnsi="Arial MT"/>
                            <w:color w:val="231F20"/>
                            <w:spacing w:val="-4"/>
                            <w:sz w:val="13"/>
                          </w:rPr>
                          <w:t>loss</w:t>
                        </w:r>
                      </w:p>
                    </w:txbxContent>
                  </v:textbox>
                  <w10:wrap type="none"/>
                </v:shape>
                <v:shape style="position:absolute;left:7710;top:3067;width:1363;height:290" type="#_x0000_t202" id="docshape84" filled="false" stroked="false">
                  <v:textbox inset="0,0,0,0">
                    <w:txbxContent>
                      <w:p>
                        <w:pPr>
                          <w:spacing w:line="149" w:lineRule="exact" w:before="0"/>
                          <w:ind w:left="-1" w:right="18" w:firstLine="0"/>
                          <w:jc w:val="center"/>
                          <w:rPr>
                            <w:rFonts w:ascii="Arial MT" w:hAnsi="Arial MT"/>
                            <w:sz w:val="13"/>
                          </w:rPr>
                        </w:pPr>
                        <w:r>
                          <w:rPr>
                            <w:rFonts w:ascii="Arial MT" w:hAnsi="Arial MT"/>
                            <w:color w:val="231F20"/>
                            <w:sz w:val="13"/>
                          </w:rPr>
                          <w:t>No</w:t>
                        </w:r>
                        <w:r>
                          <w:rPr>
                            <w:rFonts w:ascii="Arial MT" w:hAnsi="Arial MT"/>
                            <w:color w:val="231F20"/>
                            <w:spacing w:val="-2"/>
                            <w:sz w:val="13"/>
                          </w:rPr>
                          <w:t> </w:t>
                        </w:r>
                        <w:r>
                          <w:rPr>
                            <w:rFonts w:ascii="Arial MT" w:hAnsi="Arial MT"/>
                            <w:color w:val="231F20"/>
                            <w:sz w:val="13"/>
                          </w:rPr>
                          <w:t>apparent</w:t>
                        </w:r>
                        <w:r>
                          <w:rPr>
                            <w:rFonts w:ascii="Arial MT" w:hAnsi="Arial MT"/>
                            <w:color w:val="231F20"/>
                            <w:spacing w:val="-2"/>
                            <w:sz w:val="13"/>
                          </w:rPr>
                          <w:t> </w:t>
                        </w:r>
                        <w:r>
                          <w:rPr>
                            <w:rFonts w:ascii="Lucida Sans Unicode" w:hAnsi="Lucida Sans Unicode"/>
                            <w:color w:val="231F20"/>
                            <w:sz w:val="13"/>
                          </w:rPr>
                          <w:t>β</w:t>
                        </w:r>
                        <w:r>
                          <w:rPr>
                            <w:rFonts w:ascii="Arial MT" w:hAnsi="Arial MT"/>
                            <w:color w:val="231F20"/>
                            <w:sz w:val="13"/>
                          </w:rPr>
                          <w:t>-cell</w:t>
                        </w:r>
                        <w:r>
                          <w:rPr>
                            <w:rFonts w:ascii="Arial MT" w:hAnsi="Arial MT"/>
                            <w:color w:val="231F20"/>
                            <w:spacing w:val="-2"/>
                            <w:sz w:val="13"/>
                          </w:rPr>
                          <w:t> </w:t>
                        </w:r>
                        <w:r>
                          <w:rPr>
                            <w:rFonts w:ascii="Arial MT" w:hAnsi="Arial MT"/>
                            <w:color w:val="231F20"/>
                            <w:spacing w:val="-4"/>
                            <w:sz w:val="13"/>
                          </w:rPr>
                          <w:t>loss</w:t>
                        </w:r>
                      </w:p>
                      <w:p>
                        <w:pPr>
                          <w:spacing w:line="138" w:lineRule="exact" w:before="0"/>
                          <w:ind w:left="1" w:right="18" w:firstLine="0"/>
                          <w:jc w:val="center"/>
                          <w:rPr>
                            <w:rFonts w:ascii="Arial MT"/>
                            <w:sz w:val="13"/>
                          </w:rPr>
                        </w:pPr>
                        <w:r>
                          <w:rPr>
                            <w:rFonts w:ascii="Arial MT"/>
                            <w:color w:val="231F20"/>
                            <w:spacing w:val="-4"/>
                            <w:sz w:val="13"/>
                          </w:rPr>
                          <w:t>Why?</w:t>
                        </w:r>
                      </w:p>
                    </w:txbxContent>
                  </v:textbox>
                  <w10:wrap type="none"/>
                </v:shape>
                <v:shape style="position:absolute;left:6696;top:3772;width:971;height:131" type="#_x0000_t202" id="docshape85" filled="false" stroked="false">
                  <v:textbox inset="0,0,0,0">
                    <w:txbxContent>
                      <w:p>
                        <w:pPr>
                          <w:spacing w:line="128" w:lineRule="exact" w:before="0"/>
                          <w:ind w:left="0" w:right="0" w:firstLine="0"/>
                          <w:jc w:val="left"/>
                          <w:rPr>
                            <w:rFonts w:ascii="Arial MT"/>
                            <w:sz w:val="13"/>
                          </w:rPr>
                        </w:pPr>
                        <w:r>
                          <w:rPr>
                            <w:rFonts w:ascii="Arial MT"/>
                            <w:color w:val="231F20"/>
                            <w:sz w:val="13"/>
                          </w:rPr>
                          <w:t>Clinical</w:t>
                        </w:r>
                        <w:r>
                          <w:rPr>
                            <w:rFonts w:ascii="Arial MT"/>
                            <w:color w:val="231F20"/>
                            <w:spacing w:val="-7"/>
                            <w:sz w:val="13"/>
                          </w:rPr>
                          <w:t> </w:t>
                        </w:r>
                        <w:r>
                          <w:rPr>
                            <w:rFonts w:ascii="Arial MT"/>
                            <w:color w:val="231F20"/>
                            <w:spacing w:val="-2"/>
                            <w:sz w:val="13"/>
                          </w:rPr>
                          <w:t>diabetes</w:t>
                        </w:r>
                      </w:p>
                    </w:txbxContent>
                  </v:textbox>
                  <w10:wrap type="none"/>
                </v:shape>
                <v:shape style="position:absolute;left:9120;top:3772;width:718;height:131" type="#_x0000_t202" id="docshape86" filled="false" stroked="false">
                  <v:textbox inset="0,0,0,0">
                    <w:txbxContent>
                      <w:p>
                        <w:pPr>
                          <w:spacing w:line="128" w:lineRule="exact" w:before="0"/>
                          <w:ind w:left="0" w:right="0" w:firstLine="0"/>
                          <w:jc w:val="left"/>
                          <w:rPr>
                            <w:rFonts w:ascii="Arial MT"/>
                            <w:sz w:val="13"/>
                          </w:rPr>
                        </w:pPr>
                        <w:r>
                          <w:rPr>
                            <w:rFonts w:ascii="Arial MT"/>
                            <w:color w:val="231F20"/>
                            <w:sz w:val="13"/>
                          </w:rPr>
                          <w:t>No</w:t>
                        </w:r>
                        <w:r>
                          <w:rPr>
                            <w:rFonts w:ascii="Arial MT"/>
                            <w:color w:val="231F20"/>
                            <w:spacing w:val="-1"/>
                            <w:sz w:val="13"/>
                          </w:rPr>
                          <w:t> </w:t>
                        </w:r>
                        <w:r>
                          <w:rPr>
                            <w:rFonts w:ascii="Arial MT"/>
                            <w:color w:val="231F20"/>
                            <w:spacing w:val="-2"/>
                            <w:sz w:val="13"/>
                          </w:rPr>
                          <w:t>diabetes</w:t>
                        </w:r>
                      </w:p>
                    </w:txbxContent>
                  </v:textbox>
                  <w10:wrap type="none"/>
                </v:shape>
                <v:shape style="position:absolute;left:6576;top:4339;width:2321;height:288" type="#_x0000_t202" id="docshape87" filled="false" stroked="false">
                  <v:textbox inset="0,0,0,0">
                    <w:txbxContent>
                      <w:p>
                        <w:pPr>
                          <w:spacing w:line="92" w:lineRule="exact" w:before="0"/>
                          <w:ind w:left="76" w:right="0" w:firstLine="0"/>
                          <w:jc w:val="left"/>
                          <w:rPr>
                            <w:rFonts w:ascii="Arial MT"/>
                            <w:sz w:val="13"/>
                          </w:rPr>
                        </w:pPr>
                        <w:r>
                          <w:rPr>
                            <w:rFonts w:ascii="Arial MT"/>
                            <w:color w:val="231F20"/>
                            <w:sz w:val="13"/>
                          </w:rPr>
                          <w:t>Clinical</w:t>
                        </w:r>
                        <w:r>
                          <w:rPr>
                            <w:rFonts w:ascii="Arial MT"/>
                            <w:color w:val="231F20"/>
                            <w:spacing w:val="-7"/>
                            <w:sz w:val="13"/>
                          </w:rPr>
                          <w:t> </w:t>
                        </w:r>
                        <w:r>
                          <w:rPr>
                            <w:rFonts w:ascii="Arial MT"/>
                            <w:color w:val="231F20"/>
                            <w:spacing w:val="-2"/>
                            <w:sz w:val="13"/>
                          </w:rPr>
                          <w:t>remission</w:t>
                        </w:r>
                      </w:p>
                      <w:p>
                        <w:pPr>
                          <w:tabs>
                            <w:tab w:pos="1480" w:val="left" w:leader="none"/>
                          </w:tabs>
                          <w:spacing w:line="193" w:lineRule="exact" w:before="0"/>
                          <w:ind w:left="0" w:right="0" w:firstLine="0"/>
                          <w:jc w:val="left"/>
                          <w:rPr>
                            <w:rFonts w:ascii="Arial MT"/>
                            <w:position w:val="8"/>
                            <w:sz w:val="13"/>
                          </w:rPr>
                        </w:pPr>
                        <w:r>
                          <w:rPr>
                            <w:rFonts w:ascii="Arial MT"/>
                            <w:color w:val="231F20"/>
                            <w:sz w:val="13"/>
                          </w:rPr>
                          <w:t>(honeymoon</w:t>
                        </w:r>
                        <w:r>
                          <w:rPr>
                            <w:rFonts w:ascii="Arial MT"/>
                            <w:color w:val="231F20"/>
                            <w:spacing w:val="-9"/>
                            <w:sz w:val="13"/>
                          </w:rPr>
                          <w:t> </w:t>
                        </w:r>
                        <w:r>
                          <w:rPr>
                            <w:rFonts w:ascii="Arial MT"/>
                            <w:color w:val="231F20"/>
                            <w:spacing w:val="-2"/>
                            <w:sz w:val="13"/>
                          </w:rPr>
                          <w:t>period)</w:t>
                        </w:r>
                        <w:r>
                          <w:rPr>
                            <w:rFonts w:ascii="Arial MT"/>
                            <w:color w:val="231F20"/>
                            <w:sz w:val="13"/>
                          </w:rPr>
                          <w:tab/>
                        </w:r>
                        <w:r>
                          <w:rPr>
                            <w:rFonts w:ascii="Arial MT"/>
                            <w:color w:val="231F20"/>
                            <w:spacing w:val="-2"/>
                            <w:position w:val="8"/>
                            <w:sz w:val="13"/>
                          </w:rPr>
                          <w:t>Complications</w:t>
                        </w:r>
                      </w:p>
                    </w:txbxContent>
                  </v:textbox>
                  <w10:wrap type="none"/>
                </v:shape>
                <v:shape style="position:absolute;left:7617;top:344;width:1406;height:292" type="#_x0000_t202" id="docshape88" filled="true" fillcolor="#d7eddd" stroked="true" strokeweight=".933014pt" strokecolor="#231f20">
                  <v:textbox inset="0,0,0,0">
                    <w:txbxContent>
                      <w:p>
                        <w:pPr>
                          <w:spacing w:before="56"/>
                          <w:ind w:left="79" w:right="0" w:firstLine="0"/>
                          <w:jc w:val="left"/>
                          <w:rPr>
                            <w:rFonts w:ascii="Arial MT"/>
                            <w:color w:val="000000"/>
                            <w:sz w:val="13"/>
                          </w:rPr>
                        </w:pPr>
                        <w:r>
                          <w:rPr>
                            <w:rFonts w:ascii="Arial MT"/>
                            <w:color w:val="231F20"/>
                            <w:sz w:val="13"/>
                          </w:rPr>
                          <w:t>Genetic </w:t>
                        </w:r>
                        <w:r>
                          <w:rPr>
                            <w:rFonts w:ascii="Arial MT"/>
                            <w:color w:val="231F20"/>
                            <w:spacing w:val="-2"/>
                            <w:sz w:val="13"/>
                          </w:rPr>
                          <w:t>susceptibility</w:t>
                        </w:r>
                      </w:p>
                    </w:txbxContent>
                  </v:textbox>
                  <v:fill type="solid"/>
                  <v:stroke dashstyle="solid"/>
                  <w10:wrap type="none"/>
                </v:shape>
                <w10:wrap type="topAndBottom"/>
              </v:group>
            </w:pict>
          </mc:Fallback>
        </mc:AlternateContent>
      </w:r>
    </w:p>
    <w:p>
      <w:pPr>
        <w:pStyle w:val="BodyText"/>
        <w:rPr>
          <w:i/>
          <w:sz w:val="6"/>
        </w:rPr>
      </w:pPr>
    </w:p>
    <w:p>
      <w:pPr>
        <w:pStyle w:val="BodyText"/>
        <w:spacing w:after="0"/>
        <w:rPr>
          <w:i/>
          <w:sz w:val="6"/>
        </w:rPr>
        <w:sectPr>
          <w:pgSz w:w="11900" w:h="16840"/>
          <w:pgMar w:header="452" w:footer="0" w:top="720" w:bottom="280" w:left="425" w:right="566"/>
        </w:sectPr>
      </w:pPr>
    </w:p>
    <w:p>
      <w:pPr>
        <w:pStyle w:val="BodyText"/>
        <w:spacing w:before="123"/>
        <w:rPr>
          <w:i/>
        </w:rPr>
      </w:pPr>
    </w:p>
    <w:p>
      <w:pPr>
        <w:pStyle w:val="BodyText"/>
        <w:ind w:left="626"/>
      </w:pPr>
      <w:r>
        <w:rPr/>
        <mc:AlternateContent>
          <mc:Choice Requires="wps">
            <w:drawing>
              <wp:anchor distT="0" distB="0" distL="0" distR="0" allowOverlap="1" layoutInCell="1" locked="0" behindDoc="0" simplePos="0" relativeHeight="15731200">
                <wp:simplePos x="0" y="0"/>
                <wp:positionH relativeFrom="page">
                  <wp:posOffset>629682</wp:posOffset>
                </wp:positionH>
                <wp:positionV relativeFrom="paragraph">
                  <wp:posOffset>-2982963</wp:posOffset>
                </wp:positionV>
                <wp:extent cx="3062605" cy="2934969"/>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3062605" cy="293496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440"/>
                              <w:gridCol w:w="1313"/>
                              <w:gridCol w:w="2241"/>
                            </w:tblGrid>
                            <w:tr>
                              <w:trPr>
                                <w:trHeight w:val="914" w:hRule="atLeast"/>
                              </w:trPr>
                              <w:tc>
                                <w:tcPr>
                                  <w:tcW w:w="1147" w:type="dxa"/>
                                  <w:gridSpan w:val="2"/>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3</w:t>
                                  </w:r>
                                </w:p>
                              </w:tc>
                              <w:tc>
                                <w:tcPr>
                                  <w:tcW w:w="3554" w:type="dxa"/>
                                  <w:gridSpan w:val="2"/>
                                  <w:tcBorders>
                                    <w:left w:val="single" w:sz="8" w:space="0" w:color="FFFFFF"/>
                                  </w:tcBorders>
                                  <w:shd w:val="clear" w:color="auto" w:fill="231F20"/>
                                </w:tcPr>
                                <w:p>
                                  <w:pPr>
                                    <w:pStyle w:val="TableParagraph"/>
                                    <w:spacing w:before="89"/>
                                    <w:ind w:left="74" w:right="383"/>
                                    <w:rPr>
                                      <w:sz w:val="16"/>
                                    </w:rPr>
                                  </w:pPr>
                                  <w:r>
                                    <w:rPr>
                                      <w:color w:val="FFFFFF"/>
                                      <w:w w:val="110"/>
                                      <w:sz w:val="16"/>
                                    </w:rPr>
                                    <w:t>Influence</w:t>
                                  </w:r>
                                  <w:r>
                                    <w:rPr>
                                      <w:color w:val="FFFFFF"/>
                                      <w:spacing w:val="-14"/>
                                      <w:w w:val="110"/>
                                      <w:sz w:val="16"/>
                                    </w:rPr>
                                    <w:t> </w:t>
                                  </w:r>
                                  <w:r>
                                    <w:rPr>
                                      <w:color w:val="FFFFFF"/>
                                      <w:w w:val="110"/>
                                      <w:sz w:val="16"/>
                                    </w:rPr>
                                    <w:t>of</w:t>
                                  </w:r>
                                  <w:r>
                                    <w:rPr>
                                      <w:color w:val="FFFFFF"/>
                                      <w:spacing w:val="-13"/>
                                      <w:w w:val="110"/>
                                      <w:sz w:val="16"/>
                                    </w:rPr>
                                    <w:t> </w:t>
                                  </w:r>
                                  <w:r>
                                    <w:rPr>
                                      <w:color w:val="FFFFFF"/>
                                      <w:w w:val="110"/>
                                      <w:sz w:val="16"/>
                                    </w:rPr>
                                    <w:t>Feeding</w:t>
                                  </w:r>
                                  <w:r>
                                    <w:rPr>
                                      <w:color w:val="FFFFFF"/>
                                      <w:spacing w:val="-13"/>
                                      <w:w w:val="110"/>
                                      <w:sz w:val="16"/>
                                    </w:rPr>
                                    <w:t> </w:t>
                                  </w:r>
                                  <w:r>
                                    <w:rPr>
                                      <w:color w:val="FFFFFF"/>
                                      <w:w w:val="110"/>
                                      <w:sz w:val="16"/>
                                    </w:rPr>
                                    <w:t>(High</w:t>
                                  </w:r>
                                  <w:r>
                                    <w:rPr>
                                      <w:color w:val="FFFFFF"/>
                                      <w:spacing w:val="-14"/>
                                      <w:w w:val="110"/>
                                      <w:sz w:val="16"/>
                                    </w:rPr>
                                    <w:t> </w:t>
                                  </w:r>
                                  <w:r>
                                    <w:rPr>
                                      <w:color w:val="FFFFFF"/>
                                      <w:w w:val="110"/>
                                      <w:sz w:val="16"/>
                                    </w:rPr>
                                    <w:t>Insulin)</w:t>
                                  </w:r>
                                  <w:r>
                                    <w:rPr>
                                      <w:color w:val="FFFFFF"/>
                                      <w:spacing w:val="-13"/>
                                      <w:w w:val="110"/>
                                      <w:sz w:val="16"/>
                                    </w:rPr>
                                    <w:t> </w:t>
                                  </w:r>
                                  <w:r>
                                    <w:rPr>
                                      <w:color w:val="FFFFFF"/>
                                      <w:w w:val="110"/>
                                      <w:sz w:val="16"/>
                                    </w:rPr>
                                    <w:t>or</w:t>
                                  </w:r>
                                  <w:r>
                                    <w:rPr>
                                      <w:color w:val="FFFFFF"/>
                                      <w:spacing w:val="-13"/>
                                      <w:w w:val="110"/>
                                      <w:sz w:val="16"/>
                                    </w:rPr>
                                    <w:t> </w:t>
                                  </w:r>
                                  <w:r>
                                    <w:rPr>
                                      <w:color w:val="FFFFFF"/>
                                      <w:w w:val="110"/>
                                      <w:sz w:val="16"/>
                                    </w:rPr>
                                    <w:t>of </w:t>
                                  </w:r>
                                  <w:r>
                                    <w:rPr>
                                      <w:color w:val="FFFFFF"/>
                                      <w:spacing w:val="-2"/>
                                      <w:w w:val="110"/>
                                      <w:sz w:val="16"/>
                                    </w:rPr>
                                    <w:t>Fasting</w:t>
                                  </w:r>
                                  <w:r>
                                    <w:rPr>
                                      <w:color w:val="FFFFFF"/>
                                      <w:spacing w:val="-9"/>
                                      <w:w w:val="110"/>
                                      <w:sz w:val="16"/>
                                    </w:rPr>
                                    <w:t> </w:t>
                                  </w:r>
                                  <w:r>
                                    <w:rPr>
                                      <w:color w:val="FFFFFF"/>
                                      <w:spacing w:val="-2"/>
                                      <w:w w:val="110"/>
                                      <w:sz w:val="16"/>
                                    </w:rPr>
                                    <w:t>(Low</w:t>
                                  </w:r>
                                  <w:r>
                                    <w:rPr>
                                      <w:color w:val="FFFFFF"/>
                                      <w:spacing w:val="-9"/>
                                      <w:w w:val="110"/>
                                      <w:sz w:val="16"/>
                                    </w:rPr>
                                    <w:t> </w:t>
                                  </w:r>
                                  <w:r>
                                    <w:rPr>
                                      <w:color w:val="FFFFFF"/>
                                      <w:spacing w:val="-2"/>
                                      <w:w w:val="110"/>
                                      <w:sz w:val="16"/>
                                    </w:rPr>
                                    <w:t>Insulin)</w:t>
                                  </w:r>
                                  <w:r>
                                    <w:rPr>
                                      <w:color w:val="FFFFFF"/>
                                      <w:spacing w:val="-9"/>
                                      <w:w w:val="110"/>
                                      <w:sz w:val="16"/>
                                    </w:rPr>
                                    <w:t> </w:t>
                                  </w:r>
                                  <w:r>
                                    <w:rPr>
                                      <w:color w:val="FFFFFF"/>
                                      <w:spacing w:val="-2"/>
                                      <w:w w:val="110"/>
                                      <w:sz w:val="16"/>
                                    </w:rPr>
                                    <w:t>on</w:t>
                                  </w:r>
                                  <w:r>
                                    <w:rPr>
                                      <w:color w:val="FFFFFF"/>
                                      <w:spacing w:val="-9"/>
                                      <w:w w:val="110"/>
                                      <w:sz w:val="16"/>
                                    </w:rPr>
                                    <w:t> </w:t>
                                  </w:r>
                                  <w:r>
                                    <w:rPr>
                                      <w:color w:val="FFFFFF"/>
                                      <w:spacing w:val="-2"/>
                                      <w:w w:val="110"/>
                                      <w:sz w:val="16"/>
                                    </w:rPr>
                                    <w:t>Some</w:t>
                                  </w:r>
                                  <w:r>
                                    <w:rPr>
                                      <w:color w:val="FFFFFF"/>
                                      <w:spacing w:val="-9"/>
                                      <w:w w:val="110"/>
                                      <w:sz w:val="16"/>
                                    </w:rPr>
                                    <w:t> </w:t>
                                  </w:r>
                                  <w:r>
                                    <w:rPr>
                                      <w:color w:val="FFFFFF"/>
                                      <w:spacing w:val="-2"/>
                                      <w:w w:val="110"/>
                                      <w:sz w:val="16"/>
                                    </w:rPr>
                                    <w:t>Metabolic </w:t>
                                  </w:r>
                                  <w:r>
                                    <w:rPr>
                                      <w:color w:val="FFFFFF"/>
                                      <w:w w:val="110"/>
                                      <w:sz w:val="16"/>
                                    </w:rPr>
                                    <w:t>Processes</w:t>
                                  </w:r>
                                  <w:r>
                                    <w:rPr>
                                      <w:color w:val="FFFFFF"/>
                                      <w:spacing w:val="-13"/>
                                      <w:w w:val="110"/>
                                      <w:sz w:val="16"/>
                                    </w:rPr>
                                    <w:t> </w:t>
                                  </w:r>
                                  <w:r>
                                    <w:rPr>
                                      <w:color w:val="FFFFFF"/>
                                      <w:w w:val="110"/>
                                      <w:sz w:val="16"/>
                                    </w:rPr>
                                    <w:t>in</w:t>
                                  </w:r>
                                  <w:r>
                                    <w:rPr>
                                      <w:color w:val="FFFFFF"/>
                                      <w:spacing w:val="-13"/>
                                      <w:w w:val="110"/>
                                      <w:sz w:val="16"/>
                                    </w:rPr>
                                    <w:t> </w:t>
                                  </w:r>
                                  <w:r>
                                    <w:rPr>
                                      <w:color w:val="FFFFFF"/>
                                      <w:w w:val="110"/>
                                      <w:sz w:val="16"/>
                                    </w:rPr>
                                    <w:t>Liver,</w:t>
                                  </w:r>
                                  <w:r>
                                    <w:rPr>
                                      <w:color w:val="FFFFFF"/>
                                      <w:spacing w:val="-13"/>
                                      <w:w w:val="110"/>
                                      <w:sz w:val="16"/>
                                    </w:rPr>
                                    <w:t> </w:t>
                                  </w:r>
                                  <w:r>
                                    <w:rPr>
                                      <w:color w:val="FFFFFF"/>
                                      <w:w w:val="110"/>
                                      <w:sz w:val="16"/>
                                    </w:rPr>
                                    <w:t>Muscle,</w:t>
                                  </w:r>
                                  <w:r>
                                    <w:rPr>
                                      <w:color w:val="FFFFFF"/>
                                      <w:spacing w:val="-13"/>
                                      <w:w w:val="110"/>
                                      <w:sz w:val="16"/>
                                    </w:rPr>
                                    <w:t> </w:t>
                                  </w:r>
                                  <w:r>
                                    <w:rPr>
                                      <w:color w:val="FFFFFF"/>
                                      <w:w w:val="110"/>
                                      <w:sz w:val="16"/>
                                    </w:rPr>
                                    <w:t>and</w:t>
                                  </w:r>
                                  <w:r>
                                    <w:rPr>
                                      <w:color w:val="FFFFFF"/>
                                      <w:spacing w:val="-13"/>
                                      <w:w w:val="110"/>
                                      <w:sz w:val="16"/>
                                    </w:rPr>
                                    <w:t> </w:t>
                                  </w:r>
                                  <w:r>
                                    <w:rPr>
                                      <w:color w:val="FFFFFF"/>
                                      <w:w w:val="110"/>
                                      <w:sz w:val="16"/>
                                    </w:rPr>
                                    <w:t>Adipose </w:t>
                                  </w:r>
                                  <w:r>
                                    <w:rPr>
                                      <w:color w:val="FFFFFF"/>
                                      <w:spacing w:val="-2"/>
                                      <w:w w:val="110"/>
                                      <w:sz w:val="16"/>
                                    </w:rPr>
                                    <w:t>Tissue</w:t>
                                  </w:r>
                                  <w:r>
                                    <w:rPr>
                                      <w:color w:val="0080AC"/>
                                      <w:spacing w:val="-2"/>
                                      <w:w w:val="110"/>
                                      <w:sz w:val="16"/>
                                    </w:rPr>
                                    <w:t>*</w:t>
                                  </w:r>
                                </w:p>
                              </w:tc>
                            </w:tr>
                            <w:tr>
                              <w:trPr>
                                <w:trHeight w:val="780" w:hRule="atLeast"/>
                              </w:trPr>
                              <w:tc>
                                <w:tcPr>
                                  <w:tcW w:w="707" w:type="dxa"/>
                                  <w:tcBorders>
                                    <w:bottom w:val="single" w:sz="4" w:space="0" w:color="231F20"/>
                                  </w:tcBorders>
                                  <w:shd w:val="clear" w:color="auto" w:fill="E8F5F1"/>
                                </w:tcPr>
                                <w:p>
                                  <w:pPr>
                                    <w:pStyle w:val="TableParagraph"/>
                                    <w:rPr>
                                      <w:rFonts w:ascii="Times New Roman"/>
                                      <w:sz w:val="14"/>
                                    </w:rPr>
                                  </w:pPr>
                                </w:p>
                              </w:tc>
                              <w:tc>
                                <w:tcPr>
                                  <w:tcW w:w="1753" w:type="dxa"/>
                                  <w:gridSpan w:val="2"/>
                                  <w:tcBorders>
                                    <w:bottom w:val="single" w:sz="4" w:space="0" w:color="231F20"/>
                                  </w:tcBorders>
                                  <w:shd w:val="clear" w:color="auto" w:fill="E8F5F1"/>
                                </w:tcPr>
                                <w:p>
                                  <w:pPr>
                                    <w:pStyle w:val="TableParagraph"/>
                                    <w:spacing w:line="230" w:lineRule="auto" w:before="71"/>
                                    <w:ind w:left="275" w:right="267" w:hanging="1"/>
                                    <w:jc w:val="center"/>
                                    <w:rPr>
                                      <w:b/>
                                      <w:sz w:val="15"/>
                                    </w:rPr>
                                  </w:pPr>
                                  <w:r>
                                    <w:rPr>
                                      <w:b/>
                                      <w:color w:val="231F20"/>
                                      <w:w w:val="110"/>
                                      <w:sz w:val="15"/>
                                    </w:rPr>
                                    <w:t>HIGH PLASMA </w:t>
                                  </w:r>
                                  <w:r>
                                    <w:rPr>
                                      <w:b/>
                                      <w:color w:val="231F20"/>
                                      <w:spacing w:val="-2"/>
                                      <w:w w:val="110"/>
                                      <w:sz w:val="15"/>
                                    </w:rPr>
                                    <w:t>INSULIN </w:t>
                                  </w:r>
                                  <w:r>
                                    <w:rPr>
                                      <w:b/>
                                      <w:color w:val="231F20"/>
                                      <w:spacing w:val="-2"/>
                                      <w:sz w:val="15"/>
                                    </w:rPr>
                                    <w:t>(POSTPRANDIAL </w:t>
                                  </w:r>
                                  <w:r>
                                    <w:rPr>
                                      <w:b/>
                                      <w:color w:val="231F20"/>
                                      <w:spacing w:val="-2"/>
                                      <w:w w:val="110"/>
                                      <w:sz w:val="15"/>
                                    </w:rPr>
                                    <w:t>STATE)</w:t>
                                  </w:r>
                                </w:p>
                              </w:tc>
                              <w:tc>
                                <w:tcPr>
                                  <w:tcW w:w="2241"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511" w:right="153" w:hanging="252"/>
                                    <w:rPr>
                                      <w:b/>
                                      <w:sz w:val="15"/>
                                    </w:rPr>
                                  </w:pPr>
                                  <w:r>
                                    <w:rPr>
                                      <w:b/>
                                      <w:color w:val="231F20"/>
                                      <w:w w:val="105"/>
                                      <w:sz w:val="15"/>
                                    </w:rPr>
                                    <w:t>LOW PLASMA </w:t>
                                  </w:r>
                                  <w:r>
                                    <w:rPr>
                                      <w:b/>
                                      <w:color w:val="231F20"/>
                                      <w:w w:val="105"/>
                                      <w:sz w:val="15"/>
                                    </w:rPr>
                                    <w:t>INSULIN (FASTED STATE)</w:t>
                                  </w:r>
                                </w:p>
                              </w:tc>
                            </w:tr>
                            <w:tr>
                              <w:trPr>
                                <w:trHeight w:val="1103" w:hRule="atLeast"/>
                              </w:trPr>
                              <w:tc>
                                <w:tcPr>
                                  <w:tcW w:w="707"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Liver</w:t>
                                  </w:r>
                                </w:p>
                              </w:tc>
                              <w:tc>
                                <w:tcPr>
                                  <w:tcW w:w="1753" w:type="dxa"/>
                                  <w:gridSpan w:val="2"/>
                                  <w:tcBorders>
                                    <w:top w:val="single" w:sz="4" w:space="0" w:color="231F20"/>
                                    <w:bottom w:val="single" w:sz="4" w:space="0" w:color="FFFFFF"/>
                                  </w:tcBorders>
                                  <w:shd w:val="clear" w:color="auto" w:fill="E8F5F1"/>
                                </w:tcPr>
                                <w:p>
                                  <w:pPr>
                                    <w:pStyle w:val="TableParagraph"/>
                                    <w:spacing w:line="232" w:lineRule="auto" w:before="51"/>
                                    <w:ind w:left="76" w:right="348"/>
                                    <w:rPr>
                                      <w:sz w:val="15"/>
                                    </w:rPr>
                                  </w:pPr>
                                  <w:r>
                                    <w:rPr>
                                      <w:color w:val="231F20"/>
                                      <w:sz w:val="15"/>
                                    </w:rPr>
                                    <w:t>Glucose uptake Glycogen</w:t>
                                  </w:r>
                                  <w:r>
                                    <w:rPr>
                                      <w:color w:val="231F20"/>
                                      <w:spacing w:val="-12"/>
                                      <w:sz w:val="15"/>
                                    </w:rPr>
                                    <w:t> </w:t>
                                  </w:r>
                                  <w:r>
                                    <w:rPr>
                                      <w:color w:val="231F20"/>
                                      <w:sz w:val="15"/>
                                    </w:rPr>
                                    <w:t>synthesis Absence of</w:t>
                                  </w:r>
                                </w:p>
                                <w:p>
                                  <w:pPr>
                                    <w:pStyle w:val="TableParagraph"/>
                                    <w:spacing w:line="232" w:lineRule="auto"/>
                                    <w:ind w:left="76" w:right="348" w:firstLine="111"/>
                                    <w:rPr>
                                      <w:sz w:val="15"/>
                                    </w:rPr>
                                  </w:pPr>
                                  <w:r>
                                    <w:rPr>
                                      <w:color w:val="231F20"/>
                                      <w:spacing w:val="-2"/>
                                      <w:sz w:val="15"/>
                                    </w:rPr>
                                    <w:t>gluconeogenesis </w:t>
                                  </w:r>
                                  <w:r>
                                    <w:rPr>
                                      <w:color w:val="231F20"/>
                                      <w:spacing w:val="-2"/>
                                      <w:w w:val="105"/>
                                      <w:sz w:val="15"/>
                                    </w:rPr>
                                    <w:t>Lipogenesis</w:t>
                                  </w:r>
                                </w:p>
                                <w:p>
                                  <w:pPr>
                                    <w:pStyle w:val="TableParagraph"/>
                                    <w:spacing w:line="171" w:lineRule="exact"/>
                                    <w:ind w:left="76"/>
                                    <w:rPr>
                                      <w:sz w:val="15"/>
                                    </w:rPr>
                                  </w:pPr>
                                  <w:r>
                                    <w:rPr>
                                      <w:color w:val="231F20"/>
                                      <w:sz w:val="15"/>
                                    </w:rPr>
                                    <w:t>Absence</w:t>
                                  </w:r>
                                  <w:r>
                                    <w:rPr>
                                      <w:color w:val="231F20"/>
                                      <w:spacing w:val="10"/>
                                      <w:sz w:val="15"/>
                                    </w:rPr>
                                    <w:t> </w:t>
                                  </w:r>
                                  <w:r>
                                    <w:rPr>
                                      <w:color w:val="231F20"/>
                                      <w:sz w:val="15"/>
                                    </w:rPr>
                                    <w:t>of</w:t>
                                  </w:r>
                                  <w:r>
                                    <w:rPr>
                                      <w:color w:val="231F20"/>
                                      <w:spacing w:val="10"/>
                                      <w:sz w:val="15"/>
                                    </w:rPr>
                                    <w:t> </w:t>
                                  </w:r>
                                  <w:r>
                                    <w:rPr>
                                      <w:color w:val="231F20"/>
                                      <w:spacing w:val="-2"/>
                                      <w:sz w:val="15"/>
                                    </w:rPr>
                                    <w:t>ketogenesis</w:t>
                                  </w:r>
                                </w:p>
                              </w:tc>
                              <w:tc>
                                <w:tcPr>
                                  <w:tcW w:w="2241" w:type="dxa"/>
                                  <w:tcBorders>
                                    <w:top w:val="single" w:sz="4" w:space="0" w:color="231F20"/>
                                    <w:bottom w:val="single" w:sz="4" w:space="0" w:color="FFFFFF"/>
                                  </w:tcBorders>
                                  <w:shd w:val="clear" w:color="auto" w:fill="E8F5F1"/>
                                </w:tcPr>
                                <w:p>
                                  <w:pPr>
                                    <w:pStyle w:val="TableParagraph"/>
                                    <w:spacing w:line="232" w:lineRule="auto" w:before="51"/>
                                    <w:ind w:left="77" w:right="153"/>
                                    <w:rPr>
                                      <w:sz w:val="15"/>
                                    </w:rPr>
                                  </w:pPr>
                                  <w:r>
                                    <w:rPr>
                                      <w:color w:val="231F20"/>
                                      <w:sz w:val="15"/>
                                    </w:rPr>
                                    <w:t>Glucose</w:t>
                                  </w:r>
                                  <w:r>
                                    <w:rPr>
                                      <w:color w:val="231F20"/>
                                      <w:spacing w:val="-12"/>
                                      <w:sz w:val="15"/>
                                    </w:rPr>
                                    <w:t> </w:t>
                                  </w:r>
                                  <w:r>
                                    <w:rPr>
                                      <w:color w:val="231F20"/>
                                      <w:sz w:val="15"/>
                                    </w:rPr>
                                    <w:t>production </w:t>
                                  </w:r>
                                  <w:r>
                                    <w:rPr>
                                      <w:color w:val="231F20"/>
                                      <w:spacing w:val="-2"/>
                                      <w:sz w:val="15"/>
                                    </w:rPr>
                                    <w:t>Glycogenolysis Gluconeogenesis</w:t>
                                  </w:r>
                                </w:p>
                                <w:p>
                                  <w:pPr>
                                    <w:pStyle w:val="TableParagraph"/>
                                    <w:spacing w:line="232" w:lineRule="auto" w:before="169"/>
                                    <w:ind w:left="77" w:right="49"/>
                                    <w:rPr>
                                      <w:sz w:val="15"/>
                                    </w:rPr>
                                  </w:pPr>
                                  <w:r>
                                    <w:rPr>
                                      <w:color w:val="231F20"/>
                                      <w:sz w:val="15"/>
                                    </w:rPr>
                                    <w:t>Absence of </w:t>
                                  </w:r>
                                  <w:r>
                                    <w:rPr>
                                      <w:color w:val="231F20"/>
                                      <w:sz w:val="15"/>
                                    </w:rPr>
                                    <w:t>lipogenesis </w:t>
                                  </w:r>
                                  <w:r>
                                    <w:rPr>
                                      <w:color w:val="231F20"/>
                                      <w:spacing w:val="-2"/>
                                      <w:sz w:val="15"/>
                                    </w:rPr>
                                    <w:t>Ketogenesis</w:t>
                                  </w:r>
                                </w:p>
                              </w:tc>
                            </w:tr>
                            <w:tr>
                              <w:trPr>
                                <w:trHeight w:val="1096" w:hRule="atLeast"/>
                              </w:trPr>
                              <w:tc>
                                <w:tcPr>
                                  <w:tcW w:w="70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Muscle</w:t>
                                  </w:r>
                                </w:p>
                              </w:tc>
                              <w:tc>
                                <w:tcPr>
                                  <w:tcW w:w="1753" w:type="dxa"/>
                                  <w:gridSpan w:val="2"/>
                                  <w:tcBorders>
                                    <w:top w:val="single" w:sz="4" w:space="0" w:color="FFFFFF"/>
                                    <w:bottom w:val="single" w:sz="4" w:space="0" w:color="FFFFFF"/>
                                  </w:tcBorders>
                                  <w:shd w:val="clear" w:color="auto" w:fill="E8F5F1"/>
                                </w:tcPr>
                                <w:p>
                                  <w:pPr>
                                    <w:pStyle w:val="TableParagraph"/>
                                    <w:spacing w:line="232" w:lineRule="auto" w:before="46"/>
                                    <w:ind w:left="76" w:right="348"/>
                                    <w:rPr>
                                      <w:sz w:val="15"/>
                                    </w:rPr>
                                  </w:pPr>
                                  <w:r>
                                    <w:rPr>
                                      <w:color w:val="231F20"/>
                                      <w:sz w:val="15"/>
                                    </w:rPr>
                                    <w:t>Glucose uptake Glucose</w:t>
                                  </w:r>
                                  <w:r>
                                    <w:rPr>
                                      <w:color w:val="231F20"/>
                                      <w:spacing w:val="16"/>
                                      <w:sz w:val="15"/>
                                    </w:rPr>
                                    <w:t> </w:t>
                                  </w:r>
                                  <w:r>
                                    <w:rPr>
                                      <w:color w:val="231F20"/>
                                      <w:spacing w:val="-2"/>
                                      <w:sz w:val="15"/>
                                    </w:rPr>
                                    <w:t>oxidation</w:t>
                                  </w:r>
                                </w:p>
                                <w:p>
                                  <w:pPr>
                                    <w:pStyle w:val="TableParagraph"/>
                                    <w:spacing w:line="232" w:lineRule="auto" w:before="169"/>
                                    <w:ind w:left="76" w:right="348"/>
                                    <w:rPr>
                                      <w:sz w:val="15"/>
                                    </w:rPr>
                                  </w:pPr>
                                  <w:r>
                                    <w:rPr>
                                      <w:color w:val="231F20"/>
                                      <w:sz w:val="15"/>
                                    </w:rPr>
                                    <w:t>Glycogen</w:t>
                                  </w:r>
                                  <w:r>
                                    <w:rPr>
                                      <w:color w:val="231F20"/>
                                      <w:spacing w:val="-12"/>
                                      <w:sz w:val="15"/>
                                    </w:rPr>
                                    <w:t> </w:t>
                                  </w:r>
                                  <w:r>
                                    <w:rPr>
                                      <w:color w:val="231F20"/>
                                      <w:sz w:val="15"/>
                                    </w:rPr>
                                    <w:t>synthesis Protein synthesis</w:t>
                                  </w:r>
                                </w:p>
                              </w:tc>
                              <w:tc>
                                <w:tcPr>
                                  <w:tcW w:w="2241" w:type="dxa"/>
                                  <w:tcBorders>
                                    <w:top w:val="single" w:sz="4" w:space="0" w:color="FFFFFF"/>
                                    <w:bottom w:val="single" w:sz="4" w:space="0" w:color="FFFFFF"/>
                                  </w:tcBorders>
                                  <w:shd w:val="clear" w:color="auto" w:fill="E8F5F1"/>
                                </w:tcPr>
                                <w:p>
                                  <w:pPr>
                                    <w:pStyle w:val="TableParagraph"/>
                                    <w:spacing w:line="232" w:lineRule="auto" w:before="46"/>
                                    <w:ind w:left="77" w:right="49"/>
                                    <w:rPr>
                                      <w:sz w:val="15"/>
                                    </w:rPr>
                                  </w:pPr>
                                  <w:r>
                                    <w:rPr>
                                      <w:color w:val="231F20"/>
                                      <w:sz w:val="15"/>
                                    </w:rPr>
                                    <w:t>Absence of glucose </w:t>
                                  </w:r>
                                  <w:r>
                                    <w:rPr>
                                      <w:color w:val="231F20"/>
                                      <w:sz w:val="15"/>
                                    </w:rPr>
                                    <w:t>uptake Fatty acid and ketone</w:t>
                                  </w:r>
                                </w:p>
                                <w:p>
                                  <w:pPr>
                                    <w:pStyle w:val="TableParagraph"/>
                                    <w:spacing w:line="232" w:lineRule="auto"/>
                                    <w:ind w:left="77" w:right="517" w:firstLine="111"/>
                                    <w:rPr>
                                      <w:sz w:val="15"/>
                                    </w:rPr>
                                  </w:pPr>
                                  <w:r>
                                    <w:rPr>
                                      <w:color w:val="231F20"/>
                                      <w:spacing w:val="-2"/>
                                      <w:sz w:val="15"/>
                                    </w:rPr>
                                    <w:t>oxidation Glycogenolysis</w:t>
                                  </w:r>
                                </w:p>
                                <w:p>
                                  <w:pPr>
                                    <w:pStyle w:val="TableParagraph"/>
                                    <w:spacing w:line="230" w:lineRule="auto" w:before="2"/>
                                    <w:ind w:left="189" w:right="153" w:hanging="112"/>
                                    <w:rPr>
                                      <w:sz w:val="15"/>
                                    </w:rPr>
                                  </w:pPr>
                                  <w:r>
                                    <w:rPr>
                                      <w:color w:val="231F20"/>
                                      <w:sz w:val="15"/>
                                    </w:rPr>
                                    <w:t>Proteolysis</w:t>
                                  </w:r>
                                  <w:r>
                                    <w:rPr>
                                      <w:color w:val="231F20"/>
                                      <w:spacing w:val="-12"/>
                                      <w:sz w:val="15"/>
                                    </w:rPr>
                                    <w:t> </w:t>
                                  </w:r>
                                  <w:r>
                                    <w:rPr>
                                      <w:color w:val="231F20"/>
                                      <w:sz w:val="15"/>
                                    </w:rPr>
                                    <w:t>and</w:t>
                                  </w:r>
                                  <w:r>
                                    <w:rPr>
                                      <w:color w:val="231F20"/>
                                      <w:spacing w:val="-11"/>
                                      <w:sz w:val="15"/>
                                    </w:rPr>
                                    <w:t> </w:t>
                                  </w:r>
                                  <w:r>
                                    <w:rPr>
                                      <w:color w:val="231F20"/>
                                      <w:sz w:val="15"/>
                                    </w:rPr>
                                    <w:t>amino</w:t>
                                  </w:r>
                                  <w:r>
                                    <w:rPr>
                                      <w:color w:val="231F20"/>
                                      <w:spacing w:val="-11"/>
                                      <w:sz w:val="15"/>
                                    </w:rPr>
                                    <w:t> </w:t>
                                  </w:r>
                                  <w:r>
                                    <w:rPr>
                                      <w:color w:val="231F20"/>
                                      <w:sz w:val="15"/>
                                    </w:rPr>
                                    <w:t>acid </w:t>
                                  </w:r>
                                  <w:r>
                                    <w:rPr>
                                      <w:color w:val="231F20"/>
                                      <w:spacing w:val="-2"/>
                                      <w:sz w:val="15"/>
                                    </w:rPr>
                                    <w:t>release</w:t>
                                  </w:r>
                                </w:p>
                              </w:tc>
                            </w:tr>
                            <w:tr>
                              <w:trPr>
                                <w:trHeight w:val="679" w:hRule="atLeast"/>
                              </w:trPr>
                              <w:tc>
                                <w:tcPr>
                                  <w:tcW w:w="707" w:type="dxa"/>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pacing w:val="-2"/>
                                      <w:w w:val="105"/>
                                      <w:sz w:val="15"/>
                                    </w:rPr>
                                    <w:t>Adipose tissue</w:t>
                                  </w:r>
                                </w:p>
                              </w:tc>
                              <w:tc>
                                <w:tcPr>
                                  <w:tcW w:w="1753" w:type="dxa"/>
                                  <w:gridSpan w:val="2"/>
                                  <w:tcBorders>
                                    <w:top w:val="single" w:sz="4" w:space="0" w:color="FFFFFF"/>
                                    <w:bottom w:val="single" w:sz="8" w:space="0" w:color="231F20"/>
                                  </w:tcBorders>
                                  <w:shd w:val="clear" w:color="auto" w:fill="E8F5F1"/>
                                </w:tcPr>
                                <w:p>
                                  <w:pPr>
                                    <w:pStyle w:val="TableParagraph"/>
                                    <w:spacing w:line="232" w:lineRule="auto" w:before="46"/>
                                    <w:ind w:left="76" w:right="348"/>
                                    <w:rPr>
                                      <w:sz w:val="15"/>
                                    </w:rPr>
                                  </w:pPr>
                                  <w:r>
                                    <w:rPr>
                                      <w:color w:val="231F20"/>
                                      <w:sz w:val="15"/>
                                    </w:rPr>
                                    <w:t>Glucose</w:t>
                                  </w:r>
                                  <w:r>
                                    <w:rPr>
                                      <w:color w:val="231F20"/>
                                      <w:spacing w:val="-12"/>
                                      <w:sz w:val="15"/>
                                    </w:rPr>
                                    <w:t> </w:t>
                                  </w:r>
                                  <w:r>
                                    <w:rPr>
                                      <w:color w:val="231F20"/>
                                      <w:sz w:val="15"/>
                                    </w:rPr>
                                    <w:t>uptake Lipid synthesis</w:t>
                                  </w:r>
                                </w:p>
                                <w:p>
                                  <w:pPr>
                                    <w:pStyle w:val="TableParagraph"/>
                                    <w:spacing w:before="90"/>
                                    <w:ind w:left="76"/>
                                    <w:rPr>
                                      <w:sz w:val="15"/>
                                    </w:rPr>
                                  </w:pPr>
                                  <w:r>
                                    <w:rPr>
                                      <w:color w:val="231F20"/>
                                      <w:spacing w:val="-2"/>
                                      <w:sz w:val="15"/>
                                    </w:rPr>
                                    <w:t>Triglyceride</w:t>
                                  </w:r>
                                  <w:r>
                                    <w:rPr>
                                      <w:color w:val="231F20"/>
                                      <w:sz w:val="15"/>
                                    </w:rPr>
                                    <w:t> </w:t>
                                  </w:r>
                                  <w:r>
                                    <w:rPr>
                                      <w:color w:val="231F20"/>
                                      <w:spacing w:val="-2"/>
                                      <w:sz w:val="15"/>
                                    </w:rPr>
                                    <w:t>uptake</w:t>
                                  </w:r>
                                </w:p>
                              </w:tc>
                              <w:tc>
                                <w:tcPr>
                                  <w:tcW w:w="2241" w:type="dxa"/>
                                  <w:tcBorders>
                                    <w:top w:val="single" w:sz="4" w:space="0" w:color="FFFFFF"/>
                                    <w:bottom w:val="single" w:sz="8" w:space="0" w:color="231F20"/>
                                  </w:tcBorders>
                                  <w:shd w:val="clear" w:color="auto" w:fill="E8F5F1"/>
                                </w:tcPr>
                                <w:p>
                                  <w:pPr>
                                    <w:pStyle w:val="TableParagraph"/>
                                    <w:spacing w:line="232" w:lineRule="auto" w:before="46"/>
                                    <w:ind w:left="77" w:right="118"/>
                                    <w:rPr>
                                      <w:sz w:val="15"/>
                                    </w:rPr>
                                  </w:pPr>
                                  <w:r>
                                    <w:rPr>
                                      <w:color w:val="231F20"/>
                                      <w:sz w:val="15"/>
                                    </w:rPr>
                                    <w:t>Absence of glucose uptake Lipolysis</w:t>
                                  </w:r>
                                  <w:r>
                                    <w:rPr>
                                      <w:color w:val="231F20"/>
                                      <w:spacing w:val="-12"/>
                                      <w:sz w:val="15"/>
                                    </w:rPr>
                                    <w:t> </w:t>
                                  </w:r>
                                  <w:r>
                                    <w:rPr>
                                      <w:color w:val="231F20"/>
                                      <w:sz w:val="15"/>
                                    </w:rPr>
                                    <w:t>and</w:t>
                                  </w:r>
                                  <w:r>
                                    <w:rPr>
                                      <w:color w:val="231F20"/>
                                      <w:spacing w:val="-11"/>
                                      <w:sz w:val="15"/>
                                    </w:rPr>
                                    <w:t> </w:t>
                                  </w:r>
                                  <w:r>
                                    <w:rPr>
                                      <w:color w:val="231F20"/>
                                      <w:sz w:val="15"/>
                                    </w:rPr>
                                    <w:t>fatty</w:t>
                                  </w:r>
                                  <w:r>
                                    <w:rPr>
                                      <w:color w:val="231F20"/>
                                      <w:spacing w:val="-11"/>
                                      <w:sz w:val="15"/>
                                    </w:rPr>
                                    <w:t> </w:t>
                                  </w:r>
                                  <w:r>
                                    <w:rPr>
                                      <w:color w:val="231F20"/>
                                      <w:sz w:val="15"/>
                                    </w:rPr>
                                    <w:t>acid</w:t>
                                  </w:r>
                                  <w:r>
                                    <w:rPr>
                                      <w:color w:val="231F20"/>
                                      <w:spacing w:val="-11"/>
                                      <w:sz w:val="15"/>
                                    </w:rPr>
                                    <w:t> </w:t>
                                  </w:r>
                                  <w:r>
                                    <w:rPr>
                                      <w:color w:val="231F20"/>
                                      <w:spacing w:val="-2"/>
                                      <w:sz w:val="15"/>
                                    </w:rPr>
                                    <w:t>release</w:t>
                                  </w:r>
                                </w:p>
                                <w:p>
                                  <w:pPr>
                                    <w:pStyle w:val="TableParagraph"/>
                                    <w:spacing w:before="90"/>
                                    <w:ind w:left="77"/>
                                    <w:rPr>
                                      <w:sz w:val="15"/>
                                    </w:rPr>
                                  </w:pPr>
                                  <w:r>
                                    <w:rPr>
                                      <w:color w:val="231F20"/>
                                      <w:sz w:val="15"/>
                                    </w:rPr>
                                    <w:t>Absence</w:t>
                                  </w:r>
                                  <w:r>
                                    <w:rPr>
                                      <w:color w:val="231F20"/>
                                      <w:spacing w:val="-4"/>
                                      <w:sz w:val="15"/>
                                    </w:rPr>
                                    <w:t> </w:t>
                                  </w:r>
                                  <w:r>
                                    <w:rPr>
                                      <w:color w:val="231F20"/>
                                      <w:sz w:val="15"/>
                                    </w:rPr>
                                    <w:t>of</w:t>
                                  </w:r>
                                  <w:r>
                                    <w:rPr>
                                      <w:color w:val="231F20"/>
                                      <w:spacing w:val="-3"/>
                                      <w:sz w:val="15"/>
                                    </w:rPr>
                                    <w:t> </w:t>
                                  </w:r>
                                  <w:r>
                                    <w:rPr>
                                      <w:color w:val="231F20"/>
                                      <w:sz w:val="15"/>
                                    </w:rPr>
                                    <w:t>triglyceride</w:t>
                                  </w:r>
                                  <w:r>
                                    <w:rPr>
                                      <w:color w:val="231F20"/>
                                      <w:spacing w:val="-4"/>
                                      <w:sz w:val="15"/>
                                    </w:rPr>
                                    <w:t> </w:t>
                                  </w:r>
                                  <w:r>
                                    <w:rPr>
                                      <w:color w:val="231F20"/>
                                      <w:spacing w:val="-2"/>
                                      <w:sz w:val="15"/>
                                    </w:rPr>
                                    <w:t>uptake</w:t>
                                  </w:r>
                                </w:p>
                              </w:tc>
                            </w:tr>
                          </w:tbl>
                          <w:p>
                            <w:pPr>
                              <w:pStyle w:val="BodyText"/>
                            </w:pPr>
                          </w:p>
                        </w:txbxContent>
                      </wps:txbx>
                      <wps:bodyPr wrap="square" lIns="0" tIns="0" rIns="0" bIns="0" rtlCol="0">
                        <a:noAutofit/>
                      </wps:bodyPr>
                    </wps:wsp>
                  </a:graphicData>
                </a:graphic>
              </wp:anchor>
            </w:drawing>
          </mc:Choice>
          <mc:Fallback>
            <w:pict>
              <v:shape style="position:absolute;margin-left:49.581329pt;margin-top:-234.878983pt;width:241.15pt;height:231.1pt;mso-position-horizontal-relative:page;mso-position-vertical-relative:paragraph;z-index:15731200" type="#_x0000_t202" id="docshape8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
                        <w:gridCol w:w="440"/>
                        <w:gridCol w:w="1313"/>
                        <w:gridCol w:w="2241"/>
                      </w:tblGrid>
                      <w:tr>
                        <w:trPr>
                          <w:trHeight w:val="914" w:hRule="atLeast"/>
                        </w:trPr>
                        <w:tc>
                          <w:tcPr>
                            <w:tcW w:w="1147" w:type="dxa"/>
                            <w:gridSpan w:val="2"/>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3</w:t>
                            </w:r>
                          </w:p>
                        </w:tc>
                        <w:tc>
                          <w:tcPr>
                            <w:tcW w:w="3554" w:type="dxa"/>
                            <w:gridSpan w:val="2"/>
                            <w:tcBorders>
                              <w:left w:val="single" w:sz="8" w:space="0" w:color="FFFFFF"/>
                            </w:tcBorders>
                            <w:shd w:val="clear" w:color="auto" w:fill="231F20"/>
                          </w:tcPr>
                          <w:p>
                            <w:pPr>
                              <w:pStyle w:val="TableParagraph"/>
                              <w:spacing w:before="89"/>
                              <w:ind w:left="74" w:right="383"/>
                              <w:rPr>
                                <w:sz w:val="16"/>
                              </w:rPr>
                            </w:pPr>
                            <w:r>
                              <w:rPr>
                                <w:color w:val="FFFFFF"/>
                                <w:w w:val="110"/>
                                <w:sz w:val="16"/>
                              </w:rPr>
                              <w:t>Influence</w:t>
                            </w:r>
                            <w:r>
                              <w:rPr>
                                <w:color w:val="FFFFFF"/>
                                <w:spacing w:val="-14"/>
                                <w:w w:val="110"/>
                                <w:sz w:val="16"/>
                              </w:rPr>
                              <w:t> </w:t>
                            </w:r>
                            <w:r>
                              <w:rPr>
                                <w:color w:val="FFFFFF"/>
                                <w:w w:val="110"/>
                                <w:sz w:val="16"/>
                              </w:rPr>
                              <w:t>of</w:t>
                            </w:r>
                            <w:r>
                              <w:rPr>
                                <w:color w:val="FFFFFF"/>
                                <w:spacing w:val="-13"/>
                                <w:w w:val="110"/>
                                <w:sz w:val="16"/>
                              </w:rPr>
                              <w:t> </w:t>
                            </w:r>
                            <w:r>
                              <w:rPr>
                                <w:color w:val="FFFFFF"/>
                                <w:w w:val="110"/>
                                <w:sz w:val="16"/>
                              </w:rPr>
                              <w:t>Feeding</w:t>
                            </w:r>
                            <w:r>
                              <w:rPr>
                                <w:color w:val="FFFFFF"/>
                                <w:spacing w:val="-13"/>
                                <w:w w:val="110"/>
                                <w:sz w:val="16"/>
                              </w:rPr>
                              <w:t> </w:t>
                            </w:r>
                            <w:r>
                              <w:rPr>
                                <w:color w:val="FFFFFF"/>
                                <w:w w:val="110"/>
                                <w:sz w:val="16"/>
                              </w:rPr>
                              <w:t>(High</w:t>
                            </w:r>
                            <w:r>
                              <w:rPr>
                                <w:color w:val="FFFFFF"/>
                                <w:spacing w:val="-14"/>
                                <w:w w:val="110"/>
                                <w:sz w:val="16"/>
                              </w:rPr>
                              <w:t> </w:t>
                            </w:r>
                            <w:r>
                              <w:rPr>
                                <w:color w:val="FFFFFF"/>
                                <w:w w:val="110"/>
                                <w:sz w:val="16"/>
                              </w:rPr>
                              <w:t>Insulin)</w:t>
                            </w:r>
                            <w:r>
                              <w:rPr>
                                <w:color w:val="FFFFFF"/>
                                <w:spacing w:val="-13"/>
                                <w:w w:val="110"/>
                                <w:sz w:val="16"/>
                              </w:rPr>
                              <w:t> </w:t>
                            </w:r>
                            <w:r>
                              <w:rPr>
                                <w:color w:val="FFFFFF"/>
                                <w:w w:val="110"/>
                                <w:sz w:val="16"/>
                              </w:rPr>
                              <w:t>or</w:t>
                            </w:r>
                            <w:r>
                              <w:rPr>
                                <w:color w:val="FFFFFF"/>
                                <w:spacing w:val="-13"/>
                                <w:w w:val="110"/>
                                <w:sz w:val="16"/>
                              </w:rPr>
                              <w:t> </w:t>
                            </w:r>
                            <w:r>
                              <w:rPr>
                                <w:color w:val="FFFFFF"/>
                                <w:w w:val="110"/>
                                <w:sz w:val="16"/>
                              </w:rPr>
                              <w:t>of </w:t>
                            </w:r>
                            <w:r>
                              <w:rPr>
                                <w:color w:val="FFFFFF"/>
                                <w:spacing w:val="-2"/>
                                <w:w w:val="110"/>
                                <w:sz w:val="16"/>
                              </w:rPr>
                              <w:t>Fasting</w:t>
                            </w:r>
                            <w:r>
                              <w:rPr>
                                <w:color w:val="FFFFFF"/>
                                <w:spacing w:val="-9"/>
                                <w:w w:val="110"/>
                                <w:sz w:val="16"/>
                              </w:rPr>
                              <w:t> </w:t>
                            </w:r>
                            <w:r>
                              <w:rPr>
                                <w:color w:val="FFFFFF"/>
                                <w:spacing w:val="-2"/>
                                <w:w w:val="110"/>
                                <w:sz w:val="16"/>
                              </w:rPr>
                              <w:t>(Low</w:t>
                            </w:r>
                            <w:r>
                              <w:rPr>
                                <w:color w:val="FFFFFF"/>
                                <w:spacing w:val="-9"/>
                                <w:w w:val="110"/>
                                <w:sz w:val="16"/>
                              </w:rPr>
                              <w:t> </w:t>
                            </w:r>
                            <w:r>
                              <w:rPr>
                                <w:color w:val="FFFFFF"/>
                                <w:spacing w:val="-2"/>
                                <w:w w:val="110"/>
                                <w:sz w:val="16"/>
                              </w:rPr>
                              <w:t>Insulin)</w:t>
                            </w:r>
                            <w:r>
                              <w:rPr>
                                <w:color w:val="FFFFFF"/>
                                <w:spacing w:val="-9"/>
                                <w:w w:val="110"/>
                                <w:sz w:val="16"/>
                              </w:rPr>
                              <w:t> </w:t>
                            </w:r>
                            <w:r>
                              <w:rPr>
                                <w:color w:val="FFFFFF"/>
                                <w:spacing w:val="-2"/>
                                <w:w w:val="110"/>
                                <w:sz w:val="16"/>
                              </w:rPr>
                              <w:t>on</w:t>
                            </w:r>
                            <w:r>
                              <w:rPr>
                                <w:color w:val="FFFFFF"/>
                                <w:spacing w:val="-9"/>
                                <w:w w:val="110"/>
                                <w:sz w:val="16"/>
                              </w:rPr>
                              <w:t> </w:t>
                            </w:r>
                            <w:r>
                              <w:rPr>
                                <w:color w:val="FFFFFF"/>
                                <w:spacing w:val="-2"/>
                                <w:w w:val="110"/>
                                <w:sz w:val="16"/>
                              </w:rPr>
                              <w:t>Some</w:t>
                            </w:r>
                            <w:r>
                              <w:rPr>
                                <w:color w:val="FFFFFF"/>
                                <w:spacing w:val="-9"/>
                                <w:w w:val="110"/>
                                <w:sz w:val="16"/>
                              </w:rPr>
                              <w:t> </w:t>
                            </w:r>
                            <w:r>
                              <w:rPr>
                                <w:color w:val="FFFFFF"/>
                                <w:spacing w:val="-2"/>
                                <w:w w:val="110"/>
                                <w:sz w:val="16"/>
                              </w:rPr>
                              <w:t>Metabolic </w:t>
                            </w:r>
                            <w:r>
                              <w:rPr>
                                <w:color w:val="FFFFFF"/>
                                <w:w w:val="110"/>
                                <w:sz w:val="16"/>
                              </w:rPr>
                              <w:t>Processes</w:t>
                            </w:r>
                            <w:r>
                              <w:rPr>
                                <w:color w:val="FFFFFF"/>
                                <w:spacing w:val="-13"/>
                                <w:w w:val="110"/>
                                <w:sz w:val="16"/>
                              </w:rPr>
                              <w:t> </w:t>
                            </w:r>
                            <w:r>
                              <w:rPr>
                                <w:color w:val="FFFFFF"/>
                                <w:w w:val="110"/>
                                <w:sz w:val="16"/>
                              </w:rPr>
                              <w:t>in</w:t>
                            </w:r>
                            <w:r>
                              <w:rPr>
                                <w:color w:val="FFFFFF"/>
                                <w:spacing w:val="-13"/>
                                <w:w w:val="110"/>
                                <w:sz w:val="16"/>
                              </w:rPr>
                              <w:t> </w:t>
                            </w:r>
                            <w:r>
                              <w:rPr>
                                <w:color w:val="FFFFFF"/>
                                <w:w w:val="110"/>
                                <w:sz w:val="16"/>
                              </w:rPr>
                              <w:t>Liver,</w:t>
                            </w:r>
                            <w:r>
                              <w:rPr>
                                <w:color w:val="FFFFFF"/>
                                <w:spacing w:val="-13"/>
                                <w:w w:val="110"/>
                                <w:sz w:val="16"/>
                              </w:rPr>
                              <w:t> </w:t>
                            </w:r>
                            <w:r>
                              <w:rPr>
                                <w:color w:val="FFFFFF"/>
                                <w:w w:val="110"/>
                                <w:sz w:val="16"/>
                              </w:rPr>
                              <w:t>Muscle,</w:t>
                            </w:r>
                            <w:r>
                              <w:rPr>
                                <w:color w:val="FFFFFF"/>
                                <w:spacing w:val="-13"/>
                                <w:w w:val="110"/>
                                <w:sz w:val="16"/>
                              </w:rPr>
                              <w:t> </w:t>
                            </w:r>
                            <w:r>
                              <w:rPr>
                                <w:color w:val="FFFFFF"/>
                                <w:w w:val="110"/>
                                <w:sz w:val="16"/>
                              </w:rPr>
                              <w:t>and</w:t>
                            </w:r>
                            <w:r>
                              <w:rPr>
                                <w:color w:val="FFFFFF"/>
                                <w:spacing w:val="-13"/>
                                <w:w w:val="110"/>
                                <w:sz w:val="16"/>
                              </w:rPr>
                              <w:t> </w:t>
                            </w:r>
                            <w:r>
                              <w:rPr>
                                <w:color w:val="FFFFFF"/>
                                <w:w w:val="110"/>
                                <w:sz w:val="16"/>
                              </w:rPr>
                              <w:t>Adipose </w:t>
                            </w:r>
                            <w:r>
                              <w:rPr>
                                <w:color w:val="FFFFFF"/>
                                <w:spacing w:val="-2"/>
                                <w:w w:val="110"/>
                                <w:sz w:val="16"/>
                              </w:rPr>
                              <w:t>Tissue</w:t>
                            </w:r>
                            <w:r>
                              <w:rPr>
                                <w:color w:val="0080AC"/>
                                <w:spacing w:val="-2"/>
                                <w:w w:val="110"/>
                                <w:sz w:val="16"/>
                              </w:rPr>
                              <w:t>*</w:t>
                            </w:r>
                          </w:p>
                        </w:tc>
                      </w:tr>
                      <w:tr>
                        <w:trPr>
                          <w:trHeight w:val="780" w:hRule="atLeast"/>
                        </w:trPr>
                        <w:tc>
                          <w:tcPr>
                            <w:tcW w:w="707" w:type="dxa"/>
                            <w:tcBorders>
                              <w:bottom w:val="single" w:sz="4" w:space="0" w:color="231F20"/>
                            </w:tcBorders>
                            <w:shd w:val="clear" w:color="auto" w:fill="E8F5F1"/>
                          </w:tcPr>
                          <w:p>
                            <w:pPr>
                              <w:pStyle w:val="TableParagraph"/>
                              <w:rPr>
                                <w:rFonts w:ascii="Times New Roman"/>
                                <w:sz w:val="14"/>
                              </w:rPr>
                            </w:pPr>
                          </w:p>
                        </w:tc>
                        <w:tc>
                          <w:tcPr>
                            <w:tcW w:w="1753" w:type="dxa"/>
                            <w:gridSpan w:val="2"/>
                            <w:tcBorders>
                              <w:bottom w:val="single" w:sz="4" w:space="0" w:color="231F20"/>
                            </w:tcBorders>
                            <w:shd w:val="clear" w:color="auto" w:fill="E8F5F1"/>
                          </w:tcPr>
                          <w:p>
                            <w:pPr>
                              <w:pStyle w:val="TableParagraph"/>
                              <w:spacing w:line="230" w:lineRule="auto" w:before="71"/>
                              <w:ind w:left="275" w:right="267" w:hanging="1"/>
                              <w:jc w:val="center"/>
                              <w:rPr>
                                <w:b/>
                                <w:sz w:val="15"/>
                              </w:rPr>
                            </w:pPr>
                            <w:r>
                              <w:rPr>
                                <w:b/>
                                <w:color w:val="231F20"/>
                                <w:w w:val="110"/>
                                <w:sz w:val="15"/>
                              </w:rPr>
                              <w:t>HIGH PLASMA </w:t>
                            </w:r>
                            <w:r>
                              <w:rPr>
                                <w:b/>
                                <w:color w:val="231F20"/>
                                <w:spacing w:val="-2"/>
                                <w:w w:val="110"/>
                                <w:sz w:val="15"/>
                              </w:rPr>
                              <w:t>INSULIN </w:t>
                            </w:r>
                            <w:r>
                              <w:rPr>
                                <w:b/>
                                <w:color w:val="231F20"/>
                                <w:spacing w:val="-2"/>
                                <w:sz w:val="15"/>
                              </w:rPr>
                              <w:t>(POSTPRANDIAL </w:t>
                            </w:r>
                            <w:r>
                              <w:rPr>
                                <w:b/>
                                <w:color w:val="231F20"/>
                                <w:spacing w:val="-2"/>
                                <w:w w:val="110"/>
                                <w:sz w:val="15"/>
                              </w:rPr>
                              <w:t>STATE)</w:t>
                            </w:r>
                          </w:p>
                        </w:tc>
                        <w:tc>
                          <w:tcPr>
                            <w:tcW w:w="2241"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511" w:right="153" w:hanging="252"/>
                              <w:rPr>
                                <w:b/>
                                <w:sz w:val="15"/>
                              </w:rPr>
                            </w:pPr>
                            <w:r>
                              <w:rPr>
                                <w:b/>
                                <w:color w:val="231F20"/>
                                <w:w w:val="105"/>
                                <w:sz w:val="15"/>
                              </w:rPr>
                              <w:t>LOW PLASMA </w:t>
                            </w:r>
                            <w:r>
                              <w:rPr>
                                <w:b/>
                                <w:color w:val="231F20"/>
                                <w:w w:val="105"/>
                                <w:sz w:val="15"/>
                              </w:rPr>
                              <w:t>INSULIN (FASTED STATE)</w:t>
                            </w:r>
                          </w:p>
                        </w:tc>
                      </w:tr>
                      <w:tr>
                        <w:trPr>
                          <w:trHeight w:val="1103" w:hRule="atLeast"/>
                        </w:trPr>
                        <w:tc>
                          <w:tcPr>
                            <w:tcW w:w="707"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Liver</w:t>
                            </w:r>
                          </w:p>
                        </w:tc>
                        <w:tc>
                          <w:tcPr>
                            <w:tcW w:w="1753" w:type="dxa"/>
                            <w:gridSpan w:val="2"/>
                            <w:tcBorders>
                              <w:top w:val="single" w:sz="4" w:space="0" w:color="231F20"/>
                              <w:bottom w:val="single" w:sz="4" w:space="0" w:color="FFFFFF"/>
                            </w:tcBorders>
                            <w:shd w:val="clear" w:color="auto" w:fill="E8F5F1"/>
                          </w:tcPr>
                          <w:p>
                            <w:pPr>
                              <w:pStyle w:val="TableParagraph"/>
                              <w:spacing w:line="232" w:lineRule="auto" w:before="51"/>
                              <w:ind w:left="76" w:right="348"/>
                              <w:rPr>
                                <w:sz w:val="15"/>
                              </w:rPr>
                            </w:pPr>
                            <w:r>
                              <w:rPr>
                                <w:color w:val="231F20"/>
                                <w:sz w:val="15"/>
                              </w:rPr>
                              <w:t>Glucose uptake Glycogen</w:t>
                            </w:r>
                            <w:r>
                              <w:rPr>
                                <w:color w:val="231F20"/>
                                <w:spacing w:val="-12"/>
                                <w:sz w:val="15"/>
                              </w:rPr>
                              <w:t> </w:t>
                            </w:r>
                            <w:r>
                              <w:rPr>
                                <w:color w:val="231F20"/>
                                <w:sz w:val="15"/>
                              </w:rPr>
                              <w:t>synthesis Absence of</w:t>
                            </w:r>
                          </w:p>
                          <w:p>
                            <w:pPr>
                              <w:pStyle w:val="TableParagraph"/>
                              <w:spacing w:line="232" w:lineRule="auto"/>
                              <w:ind w:left="76" w:right="348" w:firstLine="111"/>
                              <w:rPr>
                                <w:sz w:val="15"/>
                              </w:rPr>
                            </w:pPr>
                            <w:r>
                              <w:rPr>
                                <w:color w:val="231F20"/>
                                <w:spacing w:val="-2"/>
                                <w:sz w:val="15"/>
                              </w:rPr>
                              <w:t>gluconeogenesis </w:t>
                            </w:r>
                            <w:r>
                              <w:rPr>
                                <w:color w:val="231F20"/>
                                <w:spacing w:val="-2"/>
                                <w:w w:val="105"/>
                                <w:sz w:val="15"/>
                              </w:rPr>
                              <w:t>Lipogenesis</w:t>
                            </w:r>
                          </w:p>
                          <w:p>
                            <w:pPr>
                              <w:pStyle w:val="TableParagraph"/>
                              <w:spacing w:line="171" w:lineRule="exact"/>
                              <w:ind w:left="76"/>
                              <w:rPr>
                                <w:sz w:val="15"/>
                              </w:rPr>
                            </w:pPr>
                            <w:r>
                              <w:rPr>
                                <w:color w:val="231F20"/>
                                <w:sz w:val="15"/>
                              </w:rPr>
                              <w:t>Absence</w:t>
                            </w:r>
                            <w:r>
                              <w:rPr>
                                <w:color w:val="231F20"/>
                                <w:spacing w:val="10"/>
                                <w:sz w:val="15"/>
                              </w:rPr>
                              <w:t> </w:t>
                            </w:r>
                            <w:r>
                              <w:rPr>
                                <w:color w:val="231F20"/>
                                <w:sz w:val="15"/>
                              </w:rPr>
                              <w:t>of</w:t>
                            </w:r>
                            <w:r>
                              <w:rPr>
                                <w:color w:val="231F20"/>
                                <w:spacing w:val="10"/>
                                <w:sz w:val="15"/>
                              </w:rPr>
                              <w:t> </w:t>
                            </w:r>
                            <w:r>
                              <w:rPr>
                                <w:color w:val="231F20"/>
                                <w:spacing w:val="-2"/>
                                <w:sz w:val="15"/>
                              </w:rPr>
                              <w:t>ketogenesis</w:t>
                            </w:r>
                          </w:p>
                        </w:tc>
                        <w:tc>
                          <w:tcPr>
                            <w:tcW w:w="2241" w:type="dxa"/>
                            <w:tcBorders>
                              <w:top w:val="single" w:sz="4" w:space="0" w:color="231F20"/>
                              <w:bottom w:val="single" w:sz="4" w:space="0" w:color="FFFFFF"/>
                            </w:tcBorders>
                            <w:shd w:val="clear" w:color="auto" w:fill="E8F5F1"/>
                          </w:tcPr>
                          <w:p>
                            <w:pPr>
                              <w:pStyle w:val="TableParagraph"/>
                              <w:spacing w:line="232" w:lineRule="auto" w:before="51"/>
                              <w:ind w:left="77" w:right="153"/>
                              <w:rPr>
                                <w:sz w:val="15"/>
                              </w:rPr>
                            </w:pPr>
                            <w:r>
                              <w:rPr>
                                <w:color w:val="231F20"/>
                                <w:sz w:val="15"/>
                              </w:rPr>
                              <w:t>Glucose</w:t>
                            </w:r>
                            <w:r>
                              <w:rPr>
                                <w:color w:val="231F20"/>
                                <w:spacing w:val="-12"/>
                                <w:sz w:val="15"/>
                              </w:rPr>
                              <w:t> </w:t>
                            </w:r>
                            <w:r>
                              <w:rPr>
                                <w:color w:val="231F20"/>
                                <w:sz w:val="15"/>
                              </w:rPr>
                              <w:t>production </w:t>
                            </w:r>
                            <w:r>
                              <w:rPr>
                                <w:color w:val="231F20"/>
                                <w:spacing w:val="-2"/>
                                <w:sz w:val="15"/>
                              </w:rPr>
                              <w:t>Glycogenolysis Gluconeogenesis</w:t>
                            </w:r>
                          </w:p>
                          <w:p>
                            <w:pPr>
                              <w:pStyle w:val="TableParagraph"/>
                              <w:spacing w:line="232" w:lineRule="auto" w:before="169"/>
                              <w:ind w:left="77" w:right="49"/>
                              <w:rPr>
                                <w:sz w:val="15"/>
                              </w:rPr>
                            </w:pPr>
                            <w:r>
                              <w:rPr>
                                <w:color w:val="231F20"/>
                                <w:sz w:val="15"/>
                              </w:rPr>
                              <w:t>Absence of </w:t>
                            </w:r>
                            <w:r>
                              <w:rPr>
                                <w:color w:val="231F20"/>
                                <w:sz w:val="15"/>
                              </w:rPr>
                              <w:t>lipogenesis </w:t>
                            </w:r>
                            <w:r>
                              <w:rPr>
                                <w:color w:val="231F20"/>
                                <w:spacing w:val="-2"/>
                                <w:sz w:val="15"/>
                              </w:rPr>
                              <w:t>Ketogenesis</w:t>
                            </w:r>
                          </w:p>
                        </w:tc>
                      </w:tr>
                      <w:tr>
                        <w:trPr>
                          <w:trHeight w:val="1096" w:hRule="atLeast"/>
                        </w:trPr>
                        <w:tc>
                          <w:tcPr>
                            <w:tcW w:w="70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Muscle</w:t>
                            </w:r>
                          </w:p>
                        </w:tc>
                        <w:tc>
                          <w:tcPr>
                            <w:tcW w:w="1753" w:type="dxa"/>
                            <w:gridSpan w:val="2"/>
                            <w:tcBorders>
                              <w:top w:val="single" w:sz="4" w:space="0" w:color="FFFFFF"/>
                              <w:bottom w:val="single" w:sz="4" w:space="0" w:color="FFFFFF"/>
                            </w:tcBorders>
                            <w:shd w:val="clear" w:color="auto" w:fill="E8F5F1"/>
                          </w:tcPr>
                          <w:p>
                            <w:pPr>
                              <w:pStyle w:val="TableParagraph"/>
                              <w:spacing w:line="232" w:lineRule="auto" w:before="46"/>
                              <w:ind w:left="76" w:right="348"/>
                              <w:rPr>
                                <w:sz w:val="15"/>
                              </w:rPr>
                            </w:pPr>
                            <w:r>
                              <w:rPr>
                                <w:color w:val="231F20"/>
                                <w:sz w:val="15"/>
                              </w:rPr>
                              <w:t>Glucose uptake Glucose</w:t>
                            </w:r>
                            <w:r>
                              <w:rPr>
                                <w:color w:val="231F20"/>
                                <w:spacing w:val="16"/>
                                <w:sz w:val="15"/>
                              </w:rPr>
                              <w:t> </w:t>
                            </w:r>
                            <w:r>
                              <w:rPr>
                                <w:color w:val="231F20"/>
                                <w:spacing w:val="-2"/>
                                <w:sz w:val="15"/>
                              </w:rPr>
                              <w:t>oxidation</w:t>
                            </w:r>
                          </w:p>
                          <w:p>
                            <w:pPr>
                              <w:pStyle w:val="TableParagraph"/>
                              <w:spacing w:line="232" w:lineRule="auto" w:before="169"/>
                              <w:ind w:left="76" w:right="348"/>
                              <w:rPr>
                                <w:sz w:val="15"/>
                              </w:rPr>
                            </w:pPr>
                            <w:r>
                              <w:rPr>
                                <w:color w:val="231F20"/>
                                <w:sz w:val="15"/>
                              </w:rPr>
                              <w:t>Glycogen</w:t>
                            </w:r>
                            <w:r>
                              <w:rPr>
                                <w:color w:val="231F20"/>
                                <w:spacing w:val="-12"/>
                                <w:sz w:val="15"/>
                              </w:rPr>
                              <w:t> </w:t>
                            </w:r>
                            <w:r>
                              <w:rPr>
                                <w:color w:val="231F20"/>
                                <w:sz w:val="15"/>
                              </w:rPr>
                              <w:t>synthesis Protein synthesis</w:t>
                            </w:r>
                          </w:p>
                        </w:tc>
                        <w:tc>
                          <w:tcPr>
                            <w:tcW w:w="2241" w:type="dxa"/>
                            <w:tcBorders>
                              <w:top w:val="single" w:sz="4" w:space="0" w:color="FFFFFF"/>
                              <w:bottom w:val="single" w:sz="4" w:space="0" w:color="FFFFFF"/>
                            </w:tcBorders>
                            <w:shd w:val="clear" w:color="auto" w:fill="E8F5F1"/>
                          </w:tcPr>
                          <w:p>
                            <w:pPr>
                              <w:pStyle w:val="TableParagraph"/>
                              <w:spacing w:line="232" w:lineRule="auto" w:before="46"/>
                              <w:ind w:left="77" w:right="49"/>
                              <w:rPr>
                                <w:sz w:val="15"/>
                              </w:rPr>
                            </w:pPr>
                            <w:r>
                              <w:rPr>
                                <w:color w:val="231F20"/>
                                <w:sz w:val="15"/>
                              </w:rPr>
                              <w:t>Absence of glucose </w:t>
                            </w:r>
                            <w:r>
                              <w:rPr>
                                <w:color w:val="231F20"/>
                                <w:sz w:val="15"/>
                              </w:rPr>
                              <w:t>uptake Fatty acid and ketone</w:t>
                            </w:r>
                          </w:p>
                          <w:p>
                            <w:pPr>
                              <w:pStyle w:val="TableParagraph"/>
                              <w:spacing w:line="232" w:lineRule="auto"/>
                              <w:ind w:left="77" w:right="517" w:firstLine="111"/>
                              <w:rPr>
                                <w:sz w:val="15"/>
                              </w:rPr>
                            </w:pPr>
                            <w:r>
                              <w:rPr>
                                <w:color w:val="231F20"/>
                                <w:spacing w:val="-2"/>
                                <w:sz w:val="15"/>
                              </w:rPr>
                              <w:t>oxidation Glycogenolysis</w:t>
                            </w:r>
                          </w:p>
                          <w:p>
                            <w:pPr>
                              <w:pStyle w:val="TableParagraph"/>
                              <w:spacing w:line="230" w:lineRule="auto" w:before="2"/>
                              <w:ind w:left="189" w:right="153" w:hanging="112"/>
                              <w:rPr>
                                <w:sz w:val="15"/>
                              </w:rPr>
                            </w:pPr>
                            <w:r>
                              <w:rPr>
                                <w:color w:val="231F20"/>
                                <w:sz w:val="15"/>
                              </w:rPr>
                              <w:t>Proteolysis</w:t>
                            </w:r>
                            <w:r>
                              <w:rPr>
                                <w:color w:val="231F20"/>
                                <w:spacing w:val="-12"/>
                                <w:sz w:val="15"/>
                              </w:rPr>
                              <w:t> </w:t>
                            </w:r>
                            <w:r>
                              <w:rPr>
                                <w:color w:val="231F20"/>
                                <w:sz w:val="15"/>
                              </w:rPr>
                              <w:t>and</w:t>
                            </w:r>
                            <w:r>
                              <w:rPr>
                                <w:color w:val="231F20"/>
                                <w:spacing w:val="-11"/>
                                <w:sz w:val="15"/>
                              </w:rPr>
                              <w:t> </w:t>
                            </w:r>
                            <w:r>
                              <w:rPr>
                                <w:color w:val="231F20"/>
                                <w:sz w:val="15"/>
                              </w:rPr>
                              <w:t>amino</w:t>
                            </w:r>
                            <w:r>
                              <w:rPr>
                                <w:color w:val="231F20"/>
                                <w:spacing w:val="-11"/>
                                <w:sz w:val="15"/>
                              </w:rPr>
                              <w:t> </w:t>
                            </w:r>
                            <w:r>
                              <w:rPr>
                                <w:color w:val="231F20"/>
                                <w:sz w:val="15"/>
                              </w:rPr>
                              <w:t>acid </w:t>
                            </w:r>
                            <w:r>
                              <w:rPr>
                                <w:color w:val="231F20"/>
                                <w:spacing w:val="-2"/>
                                <w:sz w:val="15"/>
                              </w:rPr>
                              <w:t>release</w:t>
                            </w:r>
                          </w:p>
                        </w:tc>
                      </w:tr>
                      <w:tr>
                        <w:trPr>
                          <w:trHeight w:val="679" w:hRule="atLeast"/>
                        </w:trPr>
                        <w:tc>
                          <w:tcPr>
                            <w:tcW w:w="707" w:type="dxa"/>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pacing w:val="-2"/>
                                <w:w w:val="105"/>
                                <w:sz w:val="15"/>
                              </w:rPr>
                              <w:t>Adipose tissue</w:t>
                            </w:r>
                          </w:p>
                        </w:tc>
                        <w:tc>
                          <w:tcPr>
                            <w:tcW w:w="1753" w:type="dxa"/>
                            <w:gridSpan w:val="2"/>
                            <w:tcBorders>
                              <w:top w:val="single" w:sz="4" w:space="0" w:color="FFFFFF"/>
                              <w:bottom w:val="single" w:sz="8" w:space="0" w:color="231F20"/>
                            </w:tcBorders>
                            <w:shd w:val="clear" w:color="auto" w:fill="E8F5F1"/>
                          </w:tcPr>
                          <w:p>
                            <w:pPr>
                              <w:pStyle w:val="TableParagraph"/>
                              <w:spacing w:line="232" w:lineRule="auto" w:before="46"/>
                              <w:ind w:left="76" w:right="348"/>
                              <w:rPr>
                                <w:sz w:val="15"/>
                              </w:rPr>
                            </w:pPr>
                            <w:r>
                              <w:rPr>
                                <w:color w:val="231F20"/>
                                <w:sz w:val="15"/>
                              </w:rPr>
                              <w:t>Glucose</w:t>
                            </w:r>
                            <w:r>
                              <w:rPr>
                                <w:color w:val="231F20"/>
                                <w:spacing w:val="-12"/>
                                <w:sz w:val="15"/>
                              </w:rPr>
                              <w:t> </w:t>
                            </w:r>
                            <w:r>
                              <w:rPr>
                                <w:color w:val="231F20"/>
                                <w:sz w:val="15"/>
                              </w:rPr>
                              <w:t>uptake Lipid synthesis</w:t>
                            </w:r>
                          </w:p>
                          <w:p>
                            <w:pPr>
                              <w:pStyle w:val="TableParagraph"/>
                              <w:spacing w:before="90"/>
                              <w:ind w:left="76"/>
                              <w:rPr>
                                <w:sz w:val="15"/>
                              </w:rPr>
                            </w:pPr>
                            <w:r>
                              <w:rPr>
                                <w:color w:val="231F20"/>
                                <w:spacing w:val="-2"/>
                                <w:sz w:val="15"/>
                              </w:rPr>
                              <w:t>Triglyceride</w:t>
                            </w:r>
                            <w:r>
                              <w:rPr>
                                <w:color w:val="231F20"/>
                                <w:sz w:val="15"/>
                              </w:rPr>
                              <w:t> </w:t>
                            </w:r>
                            <w:r>
                              <w:rPr>
                                <w:color w:val="231F20"/>
                                <w:spacing w:val="-2"/>
                                <w:sz w:val="15"/>
                              </w:rPr>
                              <w:t>uptake</w:t>
                            </w:r>
                          </w:p>
                        </w:tc>
                        <w:tc>
                          <w:tcPr>
                            <w:tcW w:w="2241" w:type="dxa"/>
                            <w:tcBorders>
                              <w:top w:val="single" w:sz="4" w:space="0" w:color="FFFFFF"/>
                              <w:bottom w:val="single" w:sz="8" w:space="0" w:color="231F20"/>
                            </w:tcBorders>
                            <w:shd w:val="clear" w:color="auto" w:fill="E8F5F1"/>
                          </w:tcPr>
                          <w:p>
                            <w:pPr>
                              <w:pStyle w:val="TableParagraph"/>
                              <w:spacing w:line="232" w:lineRule="auto" w:before="46"/>
                              <w:ind w:left="77" w:right="118"/>
                              <w:rPr>
                                <w:sz w:val="15"/>
                              </w:rPr>
                            </w:pPr>
                            <w:r>
                              <w:rPr>
                                <w:color w:val="231F20"/>
                                <w:sz w:val="15"/>
                              </w:rPr>
                              <w:t>Absence of glucose uptake Lipolysis</w:t>
                            </w:r>
                            <w:r>
                              <w:rPr>
                                <w:color w:val="231F20"/>
                                <w:spacing w:val="-12"/>
                                <w:sz w:val="15"/>
                              </w:rPr>
                              <w:t> </w:t>
                            </w:r>
                            <w:r>
                              <w:rPr>
                                <w:color w:val="231F20"/>
                                <w:sz w:val="15"/>
                              </w:rPr>
                              <w:t>and</w:t>
                            </w:r>
                            <w:r>
                              <w:rPr>
                                <w:color w:val="231F20"/>
                                <w:spacing w:val="-11"/>
                                <w:sz w:val="15"/>
                              </w:rPr>
                              <w:t> </w:t>
                            </w:r>
                            <w:r>
                              <w:rPr>
                                <w:color w:val="231F20"/>
                                <w:sz w:val="15"/>
                              </w:rPr>
                              <w:t>fatty</w:t>
                            </w:r>
                            <w:r>
                              <w:rPr>
                                <w:color w:val="231F20"/>
                                <w:spacing w:val="-11"/>
                                <w:sz w:val="15"/>
                              </w:rPr>
                              <w:t> </w:t>
                            </w:r>
                            <w:r>
                              <w:rPr>
                                <w:color w:val="231F20"/>
                                <w:sz w:val="15"/>
                              </w:rPr>
                              <w:t>acid</w:t>
                            </w:r>
                            <w:r>
                              <w:rPr>
                                <w:color w:val="231F20"/>
                                <w:spacing w:val="-11"/>
                                <w:sz w:val="15"/>
                              </w:rPr>
                              <w:t> </w:t>
                            </w:r>
                            <w:r>
                              <w:rPr>
                                <w:color w:val="231F20"/>
                                <w:spacing w:val="-2"/>
                                <w:sz w:val="15"/>
                              </w:rPr>
                              <w:t>release</w:t>
                            </w:r>
                          </w:p>
                          <w:p>
                            <w:pPr>
                              <w:pStyle w:val="TableParagraph"/>
                              <w:spacing w:before="90"/>
                              <w:ind w:left="77"/>
                              <w:rPr>
                                <w:sz w:val="15"/>
                              </w:rPr>
                            </w:pPr>
                            <w:r>
                              <w:rPr>
                                <w:color w:val="231F20"/>
                                <w:sz w:val="15"/>
                              </w:rPr>
                              <w:t>Absence</w:t>
                            </w:r>
                            <w:r>
                              <w:rPr>
                                <w:color w:val="231F20"/>
                                <w:spacing w:val="-4"/>
                                <w:sz w:val="15"/>
                              </w:rPr>
                              <w:t> </w:t>
                            </w:r>
                            <w:r>
                              <w:rPr>
                                <w:color w:val="231F20"/>
                                <w:sz w:val="15"/>
                              </w:rPr>
                              <w:t>of</w:t>
                            </w:r>
                            <w:r>
                              <w:rPr>
                                <w:color w:val="231F20"/>
                                <w:spacing w:val="-3"/>
                                <w:sz w:val="15"/>
                              </w:rPr>
                              <w:t> </w:t>
                            </w:r>
                            <w:r>
                              <w:rPr>
                                <w:color w:val="231F20"/>
                                <w:sz w:val="15"/>
                              </w:rPr>
                              <w:t>triglyceride</w:t>
                            </w:r>
                            <w:r>
                              <w:rPr>
                                <w:color w:val="231F20"/>
                                <w:spacing w:val="-4"/>
                                <w:sz w:val="15"/>
                              </w:rPr>
                              <w:t> </w:t>
                            </w:r>
                            <w:r>
                              <w:rPr>
                                <w:color w:val="231F20"/>
                                <w:spacing w:val="-2"/>
                                <w:sz w:val="15"/>
                              </w:rPr>
                              <w:t>uptake</w:t>
                            </w:r>
                          </w:p>
                        </w:tc>
                      </w:tr>
                    </w:tbl>
                    <w:p>
                      <w:pPr>
                        <w:pStyle w:val="BodyText"/>
                      </w:pPr>
                    </w:p>
                  </w:txbxContent>
                </v:textbox>
                <w10:wrap type="none"/>
              </v:shape>
            </w:pict>
          </mc:Fallback>
        </mc:AlternateContent>
      </w:r>
      <w:r>
        <w:rPr>
          <w:color w:val="231F20"/>
        </w:rPr>
        <w:t>*Insulin is considered to be the major factor governing these metabolic</w:t>
      </w:r>
      <w:r>
        <w:rPr>
          <w:color w:val="231F20"/>
          <w:spacing w:val="40"/>
        </w:rPr>
        <w:t> </w:t>
      </w:r>
      <w:r>
        <w:rPr>
          <w:color w:val="231F20"/>
        </w:rPr>
        <w:t>processes.</w:t>
      </w:r>
      <w:r>
        <w:rPr>
          <w:color w:val="231F20"/>
          <w:spacing w:val="-5"/>
        </w:rPr>
        <w:t> </w:t>
      </w:r>
      <w:r>
        <w:rPr>
          <w:color w:val="231F20"/>
        </w:rPr>
        <w:t>Diabetes</w:t>
      </w:r>
      <w:r>
        <w:rPr>
          <w:color w:val="231F20"/>
          <w:spacing w:val="-5"/>
        </w:rPr>
        <w:t> </w:t>
      </w:r>
      <w:r>
        <w:rPr>
          <w:color w:val="231F20"/>
        </w:rPr>
        <w:t>mellitus</w:t>
      </w:r>
      <w:r>
        <w:rPr>
          <w:color w:val="231F20"/>
          <w:spacing w:val="-5"/>
        </w:rPr>
        <w:t> </w:t>
      </w:r>
      <w:r>
        <w:rPr>
          <w:color w:val="231F20"/>
        </w:rPr>
        <w:t>may</w:t>
      </w:r>
      <w:r>
        <w:rPr>
          <w:color w:val="231F20"/>
          <w:spacing w:val="-5"/>
        </w:rPr>
        <w:t> </w:t>
      </w:r>
      <w:r>
        <w:rPr>
          <w:color w:val="231F20"/>
        </w:rPr>
        <w:t>be</w:t>
      </w:r>
      <w:r>
        <w:rPr>
          <w:color w:val="231F20"/>
          <w:spacing w:val="-5"/>
        </w:rPr>
        <w:t> </w:t>
      </w:r>
      <w:r>
        <w:rPr>
          <w:color w:val="231F20"/>
        </w:rPr>
        <w:t>viewed</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permanent</w:t>
      </w:r>
      <w:r>
        <w:rPr>
          <w:color w:val="231F20"/>
          <w:spacing w:val="-5"/>
        </w:rPr>
        <w:t> </w:t>
      </w:r>
      <w:r>
        <w:rPr>
          <w:color w:val="231F20"/>
        </w:rPr>
        <w:t>low-insulin</w:t>
      </w:r>
      <w:r>
        <w:rPr>
          <w:color w:val="231F20"/>
          <w:spacing w:val="-5"/>
        </w:rPr>
        <w:t> </w:t>
      </w:r>
      <w:r>
        <w:rPr>
          <w:color w:val="231F20"/>
        </w:rPr>
        <w:t>state</w:t>
      </w:r>
      <w:r>
        <w:rPr>
          <w:color w:val="231F20"/>
          <w:spacing w:val="40"/>
        </w:rPr>
        <w:t> </w:t>
      </w:r>
      <w:r>
        <w:rPr>
          <w:color w:val="231F20"/>
        </w:rPr>
        <w:t>that, untreated, results in exaggerated fasting.</w:t>
      </w:r>
    </w:p>
    <w:p>
      <w:pPr>
        <w:pStyle w:val="Heading6"/>
        <w:spacing w:line="230" w:lineRule="auto" w:before="112"/>
        <w:ind w:left="318" w:right="708"/>
        <w:jc w:val="both"/>
      </w:pPr>
      <w:r>
        <w:rPr/>
        <w:br w:type="column"/>
      </w:r>
      <w:r>
        <w:rPr>
          <w:b/>
          <w:color w:val="4A0C62"/>
          <w:sz w:val="16"/>
        </w:rPr>
        <w:t>Figure 589-4 </w:t>
      </w:r>
      <w:r>
        <w:rPr>
          <w:color w:val="231F20"/>
        </w:rPr>
        <w:t>Schematic of the natural history of type 1 </w:t>
      </w:r>
      <w:r>
        <w:rPr>
          <w:color w:val="231F20"/>
        </w:rPr>
        <w:t>diabetes mellitus. Unknown triggers act upon a genetically susceptible host to trigger autoimmunity. Some proportion of those with autoimmunity develop</w:t>
      </w:r>
      <w:r>
        <w:rPr>
          <w:color w:val="231F20"/>
          <w:spacing w:val="-5"/>
        </w:rPr>
        <w:t> </w:t>
      </w:r>
      <w:r>
        <w:rPr>
          <w:color w:val="231F20"/>
        </w:rPr>
        <w:t>progressive</w:t>
      </w:r>
      <w:r>
        <w:rPr>
          <w:color w:val="231F20"/>
          <w:spacing w:val="-5"/>
        </w:rPr>
        <w:t> </w:t>
      </w:r>
      <w:r>
        <w:rPr>
          <w:rFonts w:ascii="Cambria" w:hAnsi="Cambria"/>
          <w:color w:val="231F20"/>
        </w:rPr>
        <w:t>β</w:t>
      </w:r>
      <w:r>
        <w:rPr>
          <w:color w:val="231F20"/>
        </w:rPr>
        <w:t>-cell</w:t>
      </w:r>
      <w:r>
        <w:rPr>
          <w:color w:val="231F20"/>
          <w:spacing w:val="-5"/>
        </w:rPr>
        <w:t> </w:t>
      </w:r>
      <w:r>
        <w:rPr>
          <w:color w:val="231F20"/>
        </w:rPr>
        <w:t>loss</w:t>
      </w:r>
      <w:r>
        <w:rPr>
          <w:color w:val="231F20"/>
          <w:spacing w:val="-5"/>
        </w:rPr>
        <w:t> </w:t>
      </w:r>
      <w:r>
        <w:rPr>
          <w:color w:val="231F20"/>
        </w:rPr>
        <w:t>that</w:t>
      </w:r>
      <w:r>
        <w:rPr>
          <w:color w:val="231F20"/>
          <w:spacing w:val="-5"/>
        </w:rPr>
        <w:t> </w:t>
      </w:r>
      <w:r>
        <w:rPr>
          <w:color w:val="231F20"/>
        </w:rPr>
        <w:t>eventually</w:t>
      </w:r>
      <w:r>
        <w:rPr>
          <w:color w:val="231F20"/>
          <w:spacing w:val="-5"/>
        </w:rPr>
        <w:t> </w:t>
      </w:r>
      <w:r>
        <w:rPr>
          <w:color w:val="231F20"/>
        </w:rPr>
        <w:t>leads</w:t>
      </w:r>
      <w:r>
        <w:rPr>
          <w:color w:val="231F20"/>
          <w:spacing w:val="-5"/>
        </w:rPr>
        <w:t> </w:t>
      </w:r>
      <w:r>
        <w:rPr>
          <w:color w:val="231F20"/>
        </w:rPr>
        <w:t>to</w:t>
      </w:r>
      <w:r>
        <w:rPr>
          <w:color w:val="231F20"/>
          <w:spacing w:val="-5"/>
        </w:rPr>
        <w:t> </w:t>
      </w:r>
      <w:r>
        <w:rPr>
          <w:color w:val="231F20"/>
        </w:rPr>
        <w:t>clinical</w:t>
      </w:r>
      <w:r>
        <w:rPr>
          <w:color w:val="231F20"/>
          <w:spacing w:val="-5"/>
        </w:rPr>
        <w:t> </w:t>
      </w:r>
      <w:r>
        <w:rPr>
          <w:color w:val="231F20"/>
        </w:rPr>
        <w:t>diabe- tes. This is followed by temporary clinical remission (honeymoon period) in most patients. Over time, insulin secretion is almost com- pletely</w:t>
      </w:r>
      <w:r>
        <w:rPr>
          <w:color w:val="231F20"/>
          <w:spacing w:val="-9"/>
        </w:rPr>
        <w:t> </w:t>
      </w:r>
      <w:r>
        <w:rPr>
          <w:color w:val="231F20"/>
        </w:rPr>
        <w:t>lost</w:t>
      </w:r>
      <w:r>
        <w:rPr>
          <w:color w:val="231F20"/>
          <w:spacing w:val="-9"/>
        </w:rPr>
        <w:t> </w:t>
      </w:r>
      <w:r>
        <w:rPr>
          <w:color w:val="231F20"/>
        </w:rPr>
        <w:t>and</w:t>
      </w:r>
      <w:r>
        <w:rPr>
          <w:color w:val="231F20"/>
          <w:spacing w:val="-9"/>
        </w:rPr>
        <w:t> </w:t>
      </w:r>
      <w:r>
        <w:rPr>
          <w:color w:val="231F20"/>
        </w:rPr>
        <w:t>complications</w:t>
      </w:r>
      <w:r>
        <w:rPr>
          <w:color w:val="231F20"/>
          <w:spacing w:val="-9"/>
        </w:rPr>
        <w:t> </w:t>
      </w:r>
      <w:r>
        <w:rPr>
          <w:color w:val="231F20"/>
        </w:rPr>
        <w:t>may</w:t>
      </w:r>
      <w:r>
        <w:rPr>
          <w:color w:val="231F20"/>
          <w:spacing w:val="-9"/>
        </w:rPr>
        <w:t> </w:t>
      </w:r>
      <w:r>
        <w:rPr>
          <w:color w:val="231F20"/>
        </w:rPr>
        <w:t>develop</w:t>
      </w:r>
      <w:r>
        <w:rPr>
          <w:color w:val="231F20"/>
          <w:spacing w:val="-9"/>
        </w:rPr>
        <w:t> </w:t>
      </w:r>
      <w:r>
        <w:rPr>
          <w:color w:val="231F20"/>
        </w:rPr>
        <w:t>in</w:t>
      </w:r>
      <w:r>
        <w:rPr>
          <w:color w:val="231F20"/>
          <w:spacing w:val="-9"/>
        </w:rPr>
        <w:t> </w:t>
      </w:r>
      <w:r>
        <w:rPr>
          <w:color w:val="231F20"/>
        </w:rPr>
        <w:t>some</w:t>
      </w:r>
      <w:r>
        <w:rPr>
          <w:color w:val="231F20"/>
          <w:spacing w:val="-9"/>
        </w:rPr>
        <w:t> </w:t>
      </w:r>
      <w:r>
        <w:rPr>
          <w:color w:val="231F20"/>
        </w:rPr>
        <w:t>patients</w:t>
      </w:r>
      <w:r>
        <w:rPr>
          <w:color w:val="231F20"/>
          <w:spacing w:val="-9"/>
        </w:rPr>
        <w:t> </w:t>
      </w:r>
      <w:r>
        <w:rPr>
          <w:color w:val="231F20"/>
        </w:rPr>
        <w:t>(in</w:t>
      </w:r>
      <w:r>
        <w:rPr>
          <w:color w:val="231F20"/>
          <w:spacing w:val="-9"/>
        </w:rPr>
        <w:t> </w:t>
      </w:r>
      <w:r>
        <w:rPr>
          <w:color w:val="231F20"/>
        </w:rPr>
        <w:t>direct proportion to the occurrence of hyperglycemia).</w:t>
      </w:r>
    </w:p>
    <w:p>
      <w:pPr>
        <w:pStyle w:val="Heading6"/>
        <w:spacing w:after="0" w:line="230" w:lineRule="auto"/>
        <w:jc w:val="both"/>
        <w:sectPr>
          <w:type w:val="continuous"/>
          <w:pgSz w:w="11900" w:h="16840"/>
          <w:pgMar w:header="452" w:footer="0" w:top="620" w:bottom="280" w:left="425" w:right="566"/>
          <w:cols w:num="2" w:equalWidth="0">
            <w:col w:w="5138" w:space="40"/>
            <w:col w:w="5731"/>
          </w:cols>
        </w:sectPr>
      </w:pPr>
    </w:p>
    <w:p>
      <w:pPr>
        <w:pStyle w:val="BodyText"/>
        <w:spacing w:before="11"/>
        <w:rPr>
          <w:sz w:val="19"/>
        </w:rPr>
      </w:pPr>
    </w:p>
    <w:tbl>
      <w:tblPr>
        <w:tblW w:w="0" w:type="auto"/>
        <w:jc w:val="left"/>
        <w:tblInd w:w="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853"/>
        <w:gridCol w:w="5025"/>
        <w:gridCol w:w="2640"/>
      </w:tblGrid>
      <w:tr>
        <w:trPr>
          <w:trHeight w:val="373"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15</w:t>
            </w:r>
          </w:p>
        </w:tc>
        <w:tc>
          <w:tcPr>
            <w:tcW w:w="8518" w:type="dxa"/>
            <w:gridSpan w:val="3"/>
            <w:tcBorders>
              <w:left w:val="single" w:sz="8" w:space="0" w:color="FFFFFF"/>
            </w:tcBorders>
            <w:shd w:val="clear" w:color="auto" w:fill="231F20"/>
          </w:tcPr>
          <w:p>
            <w:pPr>
              <w:pStyle w:val="TableParagraph"/>
              <w:spacing w:before="89"/>
              <w:ind w:left="74"/>
              <w:rPr>
                <w:sz w:val="16"/>
              </w:rPr>
            </w:pPr>
            <w:r>
              <w:rPr>
                <w:color w:val="FFFFFF"/>
                <w:w w:val="105"/>
                <w:sz w:val="16"/>
              </w:rPr>
              <w:t>Monitoring</w:t>
            </w:r>
            <w:r>
              <w:rPr>
                <w:color w:val="FFFFFF"/>
                <w:spacing w:val="16"/>
                <w:w w:val="105"/>
                <w:sz w:val="16"/>
              </w:rPr>
              <w:t> </w:t>
            </w:r>
            <w:r>
              <w:rPr>
                <w:color w:val="FFFFFF"/>
                <w:w w:val="105"/>
                <w:sz w:val="16"/>
              </w:rPr>
              <w:t>for</w:t>
            </w:r>
            <w:r>
              <w:rPr>
                <w:color w:val="FFFFFF"/>
                <w:spacing w:val="17"/>
                <w:w w:val="105"/>
                <w:sz w:val="16"/>
              </w:rPr>
              <w:t> </w:t>
            </w:r>
            <w:r>
              <w:rPr>
                <w:color w:val="FFFFFF"/>
                <w:w w:val="105"/>
                <w:sz w:val="16"/>
              </w:rPr>
              <w:t>Complications</w:t>
            </w:r>
            <w:r>
              <w:rPr>
                <w:color w:val="FFFFFF"/>
                <w:spacing w:val="17"/>
                <w:w w:val="105"/>
                <w:sz w:val="16"/>
              </w:rPr>
              <w:t> </w:t>
            </w:r>
            <w:r>
              <w:rPr>
                <w:color w:val="FFFFFF"/>
                <w:w w:val="105"/>
                <w:sz w:val="16"/>
              </w:rPr>
              <w:t>and</w:t>
            </w:r>
            <w:r>
              <w:rPr>
                <w:color w:val="FFFFFF"/>
                <w:spacing w:val="17"/>
                <w:w w:val="105"/>
                <w:sz w:val="16"/>
              </w:rPr>
              <w:t> </w:t>
            </w:r>
            <w:r>
              <w:rPr>
                <w:color w:val="FFFFFF"/>
                <w:spacing w:val="-2"/>
                <w:w w:val="105"/>
                <w:sz w:val="16"/>
              </w:rPr>
              <w:t>Comorbidities</w:t>
            </w:r>
          </w:p>
        </w:tc>
      </w:tr>
      <w:tr>
        <w:trPr>
          <w:trHeight w:val="257" w:hRule="atLeast"/>
        </w:trPr>
        <w:tc>
          <w:tcPr>
            <w:tcW w:w="2075" w:type="dxa"/>
            <w:gridSpan w:val="2"/>
            <w:tcBorders>
              <w:bottom w:val="single" w:sz="4" w:space="0" w:color="231F20"/>
            </w:tcBorders>
            <w:shd w:val="clear" w:color="auto" w:fill="E8F5F1"/>
          </w:tcPr>
          <w:p>
            <w:pPr>
              <w:pStyle w:val="TableParagraph"/>
              <w:spacing w:before="47"/>
              <w:ind w:left="74"/>
              <w:rPr>
                <w:b/>
                <w:sz w:val="15"/>
              </w:rPr>
            </w:pPr>
            <w:r>
              <w:rPr>
                <w:b/>
                <w:color w:val="231F20"/>
                <w:spacing w:val="-2"/>
                <w:w w:val="115"/>
                <w:sz w:val="15"/>
              </w:rPr>
              <w:t>CONDITION</w:t>
            </w:r>
          </w:p>
        </w:tc>
        <w:tc>
          <w:tcPr>
            <w:tcW w:w="5025" w:type="dxa"/>
            <w:tcBorders>
              <w:bottom w:val="single" w:sz="4" w:space="0" w:color="231F20"/>
            </w:tcBorders>
            <w:shd w:val="clear" w:color="auto" w:fill="E8F5F1"/>
          </w:tcPr>
          <w:p>
            <w:pPr>
              <w:pStyle w:val="TableParagraph"/>
              <w:spacing w:before="47"/>
              <w:ind w:left="5"/>
              <w:jc w:val="center"/>
              <w:rPr>
                <w:b/>
                <w:sz w:val="15"/>
              </w:rPr>
            </w:pPr>
            <w:r>
              <w:rPr>
                <w:b/>
                <w:color w:val="231F20"/>
                <w:w w:val="110"/>
                <w:sz w:val="15"/>
              </w:rPr>
              <w:t>SCREENING</w:t>
            </w:r>
            <w:r>
              <w:rPr>
                <w:b/>
                <w:color w:val="231F20"/>
                <w:spacing w:val="25"/>
                <w:w w:val="110"/>
                <w:sz w:val="15"/>
              </w:rPr>
              <w:t> </w:t>
            </w:r>
            <w:r>
              <w:rPr>
                <w:b/>
                <w:color w:val="231F20"/>
                <w:spacing w:val="-4"/>
                <w:w w:val="110"/>
                <w:sz w:val="15"/>
              </w:rPr>
              <w:t>TEST</w:t>
            </w:r>
          </w:p>
        </w:tc>
        <w:tc>
          <w:tcPr>
            <w:tcW w:w="2640" w:type="dxa"/>
            <w:tcBorders>
              <w:bottom w:val="single" w:sz="4" w:space="0" w:color="231F20"/>
            </w:tcBorders>
            <w:shd w:val="clear" w:color="auto" w:fill="E8F5F1"/>
          </w:tcPr>
          <w:p>
            <w:pPr>
              <w:pStyle w:val="TableParagraph"/>
              <w:spacing w:before="47"/>
              <w:ind w:left="178"/>
              <w:jc w:val="center"/>
              <w:rPr>
                <w:b/>
                <w:sz w:val="15"/>
              </w:rPr>
            </w:pPr>
            <w:r>
              <w:rPr>
                <w:b/>
                <w:color w:val="231F20"/>
                <w:spacing w:val="-2"/>
                <w:w w:val="115"/>
                <w:sz w:val="15"/>
              </w:rPr>
              <w:t>COMMENT</w:t>
            </w:r>
          </w:p>
        </w:tc>
      </w:tr>
      <w:tr>
        <w:trPr>
          <w:trHeight w:val="257" w:hRule="atLeast"/>
        </w:trPr>
        <w:tc>
          <w:tcPr>
            <w:tcW w:w="2075"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Hypertension</w:t>
            </w:r>
          </w:p>
        </w:tc>
        <w:tc>
          <w:tcPr>
            <w:tcW w:w="5025" w:type="dxa"/>
            <w:tcBorders>
              <w:top w:val="single" w:sz="4" w:space="0" w:color="231F20"/>
              <w:bottom w:val="single" w:sz="4" w:space="0" w:color="FFFFFF"/>
            </w:tcBorders>
            <w:shd w:val="clear" w:color="auto" w:fill="E8F5F1"/>
          </w:tcPr>
          <w:p>
            <w:pPr>
              <w:pStyle w:val="TableParagraph"/>
              <w:spacing w:before="47"/>
              <w:ind w:left="257"/>
              <w:rPr>
                <w:sz w:val="15"/>
              </w:rPr>
            </w:pPr>
            <w:r>
              <w:rPr>
                <w:color w:val="231F20"/>
                <w:sz w:val="15"/>
              </w:rPr>
              <w:t>Blood</w:t>
            </w:r>
            <w:r>
              <w:rPr>
                <w:color w:val="231F20"/>
                <w:spacing w:val="23"/>
                <w:sz w:val="15"/>
              </w:rPr>
              <w:t> </w:t>
            </w:r>
            <w:r>
              <w:rPr>
                <w:color w:val="231F20"/>
                <w:spacing w:val="-2"/>
                <w:sz w:val="15"/>
              </w:rPr>
              <w:t>pressure</w:t>
            </w:r>
          </w:p>
        </w:tc>
        <w:tc>
          <w:tcPr>
            <w:tcW w:w="2640" w:type="dxa"/>
            <w:tcBorders>
              <w:top w:val="single" w:sz="4" w:space="0" w:color="231F20"/>
              <w:bottom w:val="single" w:sz="4" w:space="0" w:color="FFFFFF"/>
            </w:tcBorders>
            <w:shd w:val="clear" w:color="auto" w:fill="E8F5F1"/>
          </w:tcPr>
          <w:p>
            <w:pPr>
              <w:pStyle w:val="TableParagraph"/>
              <w:rPr>
                <w:rFonts w:ascii="Times New Roman"/>
                <w:sz w:val="14"/>
              </w:rPr>
            </w:pPr>
          </w:p>
        </w:tc>
      </w:tr>
      <w:tr>
        <w:trPr>
          <w:trHeight w:val="420" w:hRule="atLeast"/>
        </w:trPr>
        <w:tc>
          <w:tcPr>
            <w:tcW w:w="207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Fatty liver</w:t>
            </w:r>
          </w:p>
        </w:tc>
        <w:tc>
          <w:tcPr>
            <w:tcW w:w="5025" w:type="dxa"/>
            <w:tcBorders>
              <w:top w:val="single" w:sz="4" w:space="0" w:color="FFFFFF"/>
              <w:bottom w:val="single" w:sz="4" w:space="0" w:color="FFFFFF"/>
            </w:tcBorders>
            <w:shd w:val="clear" w:color="auto" w:fill="E8F5F1"/>
          </w:tcPr>
          <w:p>
            <w:pPr>
              <w:pStyle w:val="TableParagraph"/>
              <w:spacing w:line="230" w:lineRule="auto" w:before="48"/>
              <w:ind w:left="369" w:hanging="112"/>
              <w:rPr>
                <w:sz w:val="15"/>
              </w:rPr>
            </w:pPr>
            <w:r>
              <w:rPr>
                <w:color w:val="231F20"/>
                <w:spacing w:val="-2"/>
                <w:sz w:val="15"/>
              </w:rPr>
              <w:t>Aspartate</w:t>
            </w:r>
            <w:r>
              <w:rPr>
                <w:color w:val="231F20"/>
                <w:spacing w:val="-7"/>
                <w:sz w:val="15"/>
              </w:rPr>
              <w:t> </w:t>
            </w:r>
            <w:r>
              <w:rPr>
                <w:color w:val="231F20"/>
                <w:spacing w:val="-2"/>
                <w:sz w:val="15"/>
              </w:rPr>
              <w:t>aminotransferase,</w:t>
            </w:r>
            <w:r>
              <w:rPr>
                <w:color w:val="231F20"/>
                <w:spacing w:val="-7"/>
                <w:sz w:val="15"/>
              </w:rPr>
              <w:t> </w:t>
            </w:r>
            <w:r>
              <w:rPr>
                <w:color w:val="231F20"/>
                <w:spacing w:val="-2"/>
                <w:sz w:val="15"/>
              </w:rPr>
              <w:t>alanine</w:t>
            </w:r>
            <w:r>
              <w:rPr>
                <w:color w:val="231F20"/>
                <w:spacing w:val="-7"/>
                <w:sz w:val="15"/>
              </w:rPr>
              <w:t> </w:t>
            </w:r>
            <w:r>
              <w:rPr>
                <w:color w:val="231F20"/>
                <w:spacing w:val="-2"/>
                <w:sz w:val="15"/>
              </w:rPr>
              <w:t>aminotransferase,</w:t>
            </w:r>
            <w:r>
              <w:rPr>
                <w:color w:val="231F20"/>
                <w:spacing w:val="-7"/>
                <w:sz w:val="15"/>
              </w:rPr>
              <w:t> </w:t>
            </w:r>
            <w:r>
              <w:rPr>
                <w:color w:val="231F20"/>
                <w:spacing w:val="-2"/>
                <w:sz w:val="15"/>
              </w:rPr>
              <w:t>possibly</w:t>
            </w:r>
            <w:r>
              <w:rPr>
                <w:color w:val="231F20"/>
                <w:spacing w:val="-7"/>
                <w:sz w:val="15"/>
              </w:rPr>
              <w:t> </w:t>
            </w:r>
            <w:r>
              <w:rPr>
                <w:color w:val="231F20"/>
                <w:spacing w:val="-2"/>
                <w:sz w:val="15"/>
              </w:rPr>
              <w:t>liver ultrasound</w:t>
            </w:r>
          </w:p>
        </w:tc>
        <w:tc>
          <w:tcPr>
            <w:tcW w:w="2640"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207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Polycystic</w:t>
            </w:r>
            <w:r>
              <w:rPr>
                <w:color w:val="231F20"/>
                <w:spacing w:val="-3"/>
                <w:sz w:val="15"/>
              </w:rPr>
              <w:t> </w:t>
            </w:r>
            <w:r>
              <w:rPr>
                <w:color w:val="231F20"/>
                <w:spacing w:val="-2"/>
                <w:sz w:val="15"/>
              </w:rPr>
              <w:t>ovary</w:t>
            </w:r>
            <w:r>
              <w:rPr>
                <w:color w:val="231F20"/>
                <w:spacing w:val="-3"/>
                <w:sz w:val="15"/>
              </w:rPr>
              <w:t> </w:t>
            </w:r>
            <w:r>
              <w:rPr>
                <w:color w:val="231F20"/>
                <w:spacing w:val="-2"/>
                <w:sz w:val="15"/>
              </w:rPr>
              <w:t>syndrome</w:t>
            </w:r>
          </w:p>
        </w:tc>
        <w:tc>
          <w:tcPr>
            <w:tcW w:w="5025" w:type="dxa"/>
            <w:tcBorders>
              <w:top w:val="single" w:sz="4" w:space="0" w:color="FFFFFF"/>
              <w:bottom w:val="single" w:sz="4" w:space="0" w:color="FFFFFF"/>
            </w:tcBorders>
            <w:shd w:val="clear" w:color="auto" w:fill="E8F5F1"/>
          </w:tcPr>
          <w:p>
            <w:pPr>
              <w:pStyle w:val="TableParagraph"/>
              <w:spacing w:line="230" w:lineRule="auto" w:before="48"/>
              <w:ind w:left="369" w:right="388" w:hanging="112"/>
              <w:rPr>
                <w:sz w:val="15"/>
              </w:rPr>
            </w:pPr>
            <w:r>
              <w:rPr>
                <w:color w:val="231F20"/>
                <w:spacing w:val="-2"/>
                <w:sz w:val="15"/>
              </w:rPr>
              <w:t>Menstrual history, assessment for androgen excess with </w:t>
            </w:r>
            <w:r>
              <w:rPr>
                <w:color w:val="231F20"/>
                <w:spacing w:val="-2"/>
                <w:sz w:val="15"/>
              </w:rPr>
              <w:t>free/total </w:t>
            </w:r>
            <w:r>
              <w:rPr>
                <w:color w:val="231F20"/>
                <w:sz w:val="15"/>
              </w:rPr>
              <w:t>testosterone, dehydroepiandrosterone</w:t>
            </w:r>
          </w:p>
        </w:tc>
        <w:tc>
          <w:tcPr>
            <w:tcW w:w="2640"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252" w:hRule="atLeast"/>
        </w:trPr>
        <w:tc>
          <w:tcPr>
            <w:tcW w:w="207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Microalbuminuria</w:t>
            </w:r>
          </w:p>
        </w:tc>
        <w:tc>
          <w:tcPr>
            <w:tcW w:w="5025" w:type="dxa"/>
            <w:tcBorders>
              <w:top w:val="single" w:sz="4" w:space="0" w:color="FFFFFF"/>
              <w:bottom w:val="single" w:sz="4" w:space="0" w:color="FFFFFF"/>
            </w:tcBorders>
            <w:shd w:val="clear" w:color="auto" w:fill="E8F5F1"/>
          </w:tcPr>
          <w:p>
            <w:pPr>
              <w:pStyle w:val="TableParagraph"/>
              <w:spacing w:before="42"/>
              <w:ind w:left="257"/>
              <w:rPr>
                <w:sz w:val="15"/>
              </w:rPr>
            </w:pPr>
            <w:r>
              <w:rPr>
                <w:color w:val="231F20"/>
                <w:spacing w:val="-2"/>
                <w:sz w:val="15"/>
              </w:rPr>
              <w:t>Urine</w:t>
            </w:r>
            <w:r>
              <w:rPr>
                <w:color w:val="231F20"/>
                <w:sz w:val="15"/>
              </w:rPr>
              <w:t> </w:t>
            </w:r>
            <w:r>
              <w:rPr>
                <w:color w:val="231F20"/>
                <w:spacing w:val="-2"/>
                <w:sz w:val="15"/>
              </w:rPr>
              <w:t>albumin</w:t>
            </w:r>
            <w:r>
              <w:rPr>
                <w:color w:val="231F20"/>
                <w:spacing w:val="1"/>
                <w:sz w:val="15"/>
              </w:rPr>
              <w:t> </w:t>
            </w:r>
            <w:r>
              <w:rPr>
                <w:color w:val="231F20"/>
                <w:spacing w:val="-2"/>
                <w:sz w:val="15"/>
              </w:rPr>
              <w:t>concentration</w:t>
            </w:r>
            <w:r>
              <w:rPr>
                <w:color w:val="231F20"/>
                <w:spacing w:val="1"/>
                <w:sz w:val="15"/>
              </w:rPr>
              <w:t> </w:t>
            </w:r>
            <w:r>
              <w:rPr>
                <w:color w:val="231F20"/>
                <w:spacing w:val="-2"/>
                <w:sz w:val="15"/>
              </w:rPr>
              <w:t>and</w:t>
            </w:r>
            <w:r>
              <w:rPr>
                <w:color w:val="231F20"/>
                <w:spacing w:val="1"/>
                <w:sz w:val="15"/>
              </w:rPr>
              <w:t> </w:t>
            </w:r>
            <w:r>
              <w:rPr>
                <w:color w:val="231F20"/>
                <w:spacing w:val="-2"/>
                <w:sz w:val="15"/>
              </w:rPr>
              <w:t>albumin</w:t>
            </w:r>
            <w:r>
              <w:rPr>
                <w:color w:val="231F20"/>
                <w:spacing w:val="-27"/>
                <w:sz w:val="15"/>
              </w:rPr>
              <w:t> </w:t>
            </w:r>
            <w:r>
              <w:rPr>
                <w:color w:val="231F20"/>
                <w:spacing w:val="-2"/>
                <w:sz w:val="15"/>
              </w:rPr>
              <w:t>:</w:t>
            </w:r>
            <w:r>
              <w:rPr>
                <w:color w:val="231F20"/>
                <w:spacing w:val="-27"/>
                <w:sz w:val="15"/>
              </w:rPr>
              <w:t> </w:t>
            </w:r>
            <w:r>
              <w:rPr>
                <w:color w:val="231F20"/>
                <w:spacing w:val="-2"/>
                <w:sz w:val="15"/>
              </w:rPr>
              <w:t>creatinine</w:t>
            </w:r>
            <w:r>
              <w:rPr>
                <w:color w:val="231F20"/>
                <w:sz w:val="15"/>
              </w:rPr>
              <w:t> </w:t>
            </w:r>
            <w:r>
              <w:rPr>
                <w:color w:val="231F20"/>
                <w:spacing w:val="-2"/>
                <w:sz w:val="15"/>
              </w:rPr>
              <w:t>ratios</w:t>
            </w:r>
          </w:p>
        </w:tc>
        <w:tc>
          <w:tcPr>
            <w:tcW w:w="2640"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207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Dyslipidemia</w:t>
            </w:r>
          </w:p>
        </w:tc>
        <w:tc>
          <w:tcPr>
            <w:tcW w:w="5025" w:type="dxa"/>
            <w:tcBorders>
              <w:top w:val="single" w:sz="4" w:space="0" w:color="FFFFFF"/>
              <w:bottom w:val="single" w:sz="4" w:space="0" w:color="FFFFFF"/>
            </w:tcBorders>
            <w:shd w:val="clear" w:color="auto" w:fill="E8F5F1"/>
          </w:tcPr>
          <w:p>
            <w:pPr>
              <w:pStyle w:val="TableParagraph"/>
              <w:spacing w:line="230" w:lineRule="auto" w:before="48"/>
              <w:ind w:left="369" w:hanging="112"/>
              <w:rPr>
                <w:sz w:val="15"/>
              </w:rPr>
            </w:pPr>
            <w:r>
              <w:rPr>
                <w:color w:val="231F20"/>
                <w:spacing w:val="-2"/>
                <w:sz w:val="15"/>
              </w:rPr>
              <w:t>Fasting</w:t>
            </w:r>
            <w:r>
              <w:rPr>
                <w:color w:val="231F20"/>
                <w:spacing w:val="-5"/>
                <w:sz w:val="15"/>
              </w:rPr>
              <w:t> </w:t>
            </w:r>
            <w:r>
              <w:rPr>
                <w:color w:val="231F20"/>
                <w:spacing w:val="-2"/>
                <w:sz w:val="15"/>
              </w:rPr>
              <w:t>lipid</w:t>
            </w:r>
            <w:r>
              <w:rPr>
                <w:color w:val="231F20"/>
                <w:spacing w:val="-5"/>
                <w:sz w:val="15"/>
              </w:rPr>
              <w:t> </w:t>
            </w:r>
            <w:r>
              <w:rPr>
                <w:color w:val="231F20"/>
                <w:spacing w:val="-2"/>
                <w:sz w:val="15"/>
              </w:rPr>
              <w:t>profile</w:t>
            </w:r>
            <w:r>
              <w:rPr>
                <w:color w:val="231F20"/>
                <w:spacing w:val="-5"/>
                <w:sz w:val="15"/>
              </w:rPr>
              <w:t> </w:t>
            </w:r>
            <w:r>
              <w:rPr>
                <w:color w:val="231F20"/>
                <w:spacing w:val="-2"/>
                <w:sz w:val="15"/>
              </w:rPr>
              <w:t>(total,</w:t>
            </w:r>
            <w:r>
              <w:rPr>
                <w:color w:val="231F20"/>
                <w:spacing w:val="-5"/>
                <w:sz w:val="15"/>
              </w:rPr>
              <w:t> </w:t>
            </w:r>
            <w:r>
              <w:rPr>
                <w:color w:val="231F20"/>
                <w:spacing w:val="-2"/>
                <w:sz w:val="15"/>
              </w:rPr>
              <w:t>low-density</w:t>
            </w:r>
            <w:r>
              <w:rPr>
                <w:color w:val="231F20"/>
                <w:spacing w:val="-5"/>
                <w:sz w:val="15"/>
              </w:rPr>
              <w:t> </w:t>
            </w:r>
            <w:r>
              <w:rPr>
                <w:color w:val="231F20"/>
                <w:spacing w:val="-2"/>
                <w:sz w:val="15"/>
              </w:rPr>
              <w:t>lipoprotein,</w:t>
            </w:r>
            <w:r>
              <w:rPr>
                <w:color w:val="231F20"/>
                <w:spacing w:val="-5"/>
                <w:sz w:val="15"/>
              </w:rPr>
              <w:t> </w:t>
            </w:r>
            <w:r>
              <w:rPr>
                <w:color w:val="231F20"/>
                <w:spacing w:val="-2"/>
                <w:sz w:val="15"/>
              </w:rPr>
              <w:t>high-</w:t>
            </w:r>
            <w:r>
              <w:rPr>
                <w:color w:val="231F20"/>
                <w:spacing w:val="-2"/>
                <w:sz w:val="15"/>
              </w:rPr>
              <w:t>density </w:t>
            </w:r>
            <w:r>
              <w:rPr>
                <w:color w:val="231F20"/>
                <w:sz w:val="15"/>
              </w:rPr>
              <w:t>lipoprotein cholesterol, triglycerides)</w:t>
            </w:r>
          </w:p>
        </w:tc>
        <w:tc>
          <w:tcPr>
            <w:tcW w:w="2640" w:type="dxa"/>
            <w:tcBorders>
              <w:top w:val="single" w:sz="4" w:space="0" w:color="FFFFFF"/>
              <w:bottom w:val="single" w:sz="4" w:space="0" w:color="FFFFFF"/>
            </w:tcBorders>
            <w:shd w:val="clear" w:color="auto" w:fill="E8F5F1"/>
          </w:tcPr>
          <w:p>
            <w:pPr>
              <w:pStyle w:val="TableParagraph"/>
              <w:spacing w:before="42"/>
              <w:ind w:left="178" w:right="13"/>
              <w:jc w:val="center"/>
              <w:rPr>
                <w:sz w:val="15"/>
              </w:rPr>
            </w:pPr>
            <w:r>
              <w:rPr>
                <w:color w:val="231F20"/>
                <w:sz w:val="15"/>
              </w:rPr>
              <w:t>Obtain</w:t>
            </w:r>
            <w:r>
              <w:rPr>
                <w:color w:val="231F20"/>
                <w:spacing w:val="2"/>
                <w:sz w:val="15"/>
              </w:rPr>
              <w:t> </w:t>
            </w:r>
            <w:r>
              <w:rPr>
                <w:color w:val="231F20"/>
                <w:sz w:val="15"/>
              </w:rPr>
              <w:t>at</w:t>
            </w:r>
            <w:r>
              <w:rPr>
                <w:color w:val="231F20"/>
                <w:spacing w:val="2"/>
                <w:sz w:val="15"/>
              </w:rPr>
              <w:t> </w:t>
            </w:r>
            <w:r>
              <w:rPr>
                <w:color w:val="231F20"/>
                <w:sz w:val="15"/>
              </w:rPr>
              <w:t>diagnosis</w:t>
            </w:r>
            <w:r>
              <w:rPr>
                <w:color w:val="231F20"/>
                <w:spacing w:val="2"/>
                <w:sz w:val="15"/>
              </w:rPr>
              <w:t> </w:t>
            </w:r>
            <w:r>
              <w:rPr>
                <w:color w:val="231F20"/>
                <w:sz w:val="15"/>
              </w:rPr>
              <w:t>and</w:t>
            </w:r>
            <w:r>
              <w:rPr>
                <w:color w:val="231F20"/>
                <w:spacing w:val="2"/>
                <w:sz w:val="15"/>
              </w:rPr>
              <w:t> </w:t>
            </w:r>
            <w:r>
              <w:rPr>
                <w:color w:val="231F20"/>
                <w:sz w:val="15"/>
              </w:rPr>
              <w:t>every</w:t>
            </w:r>
            <w:r>
              <w:rPr>
                <w:color w:val="231F20"/>
                <w:spacing w:val="2"/>
                <w:sz w:val="15"/>
              </w:rPr>
              <w:t> </w:t>
            </w:r>
            <w:r>
              <w:rPr>
                <w:color w:val="231F20"/>
                <w:sz w:val="15"/>
              </w:rPr>
              <w:t>2</w:t>
            </w:r>
            <w:r>
              <w:rPr>
                <w:color w:val="231F20"/>
                <w:spacing w:val="2"/>
                <w:sz w:val="15"/>
              </w:rPr>
              <w:t> </w:t>
            </w:r>
            <w:r>
              <w:rPr>
                <w:color w:val="231F20"/>
                <w:spacing w:val="-7"/>
                <w:sz w:val="15"/>
              </w:rPr>
              <w:t>yr</w:t>
            </w:r>
          </w:p>
        </w:tc>
      </w:tr>
      <w:tr>
        <w:trPr>
          <w:trHeight w:val="247" w:hRule="atLeast"/>
        </w:trPr>
        <w:tc>
          <w:tcPr>
            <w:tcW w:w="2075"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Sleep</w:t>
            </w:r>
            <w:r>
              <w:rPr>
                <w:color w:val="231F20"/>
                <w:spacing w:val="11"/>
                <w:sz w:val="15"/>
              </w:rPr>
              <w:t> </w:t>
            </w:r>
            <w:r>
              <w:rPr>
                <w:color w:val="231F20"/>
                <w:spacing w:val="-2"/>
                <w:sz w:val="15"/>
              </w:rPr>
              <w:t>apnea</w:t>
            </w:r>
          </w:p>
        </w:tc>
        <w:tc>
          <w:tcPr>
            <w:tcW w:w="5025" w:type="dxa"/>
            <w:tcBorders>
              <w:top w:val="single" w:sz="4" w:space="0" w:color="FFFFFF"/>
              <w:bottom w:val="single" w:sz="8" w:space="0" w:color="231F20"/>
            </w:tcBorders>
            <w:shd w:val="clear" w:color="auto" w:fill="E8F5F1"/>
          </w:tcPr>
          <w:p>
            <w:pPr>
              <w:pStyle w:val="TableParagraph"/>
              <w:spacing w:before="42"/>
              <w:ind w:left="257"/>
              <w:rPr>
                <w:sz w:val="15"/>
              </w:rPr>
            </w:pPr>
            <w:r>
              <w:rPr>
                <w:color w:val="231F20"/>
                <w:sz w:val="15"/>
              </w:rPr>
              <w:t>Sleep</w:t>
            </w:r>
            <w:r>
              <w:rPr>
                <w:color w:val="231F20"/>
                <w:spacing w:val="4"/>
                <w:sz w:val="15"/>
              </w:rPr>
              <w:t> </w:t>
            </w:r>
            <w:r>
              <w:rPr>
                <w:color w:val="231F20"/>
                <w:sz w:val="15"/>
              </w:rPr>
              <w:t>study</w:t>
            </w:r>
            <w:r>
              <w:rPr>
                <w:color w:val="231F20"/>
                <w:spacing w:val="4"/>
                <w:sz w:val="15"/>
              </w:rPr>
              <w:t> </w:t>
            </w:r>
            <w:r>
              <w:rPr>
                <w:color w:val="231F20"/>
                <w:sz w:val="15"/>
              </w:rPr>
              <w:t>to</w:t>
            </w:r>
            <w:r>
              <w:rPr>
                <w:color w:val="231F20"/>
                <w:spacing w:val="5"/>
                <w:sz w:val="15"/>
              </w:rPr>
              <w:t> </w:t>
            </w:r>
            <w:r>
              <w:rPr>
                <w:color w:val="231F20"/>
                <w:sz w:val="15"/>
              </w:rPr>
              <w:t>assess</w:t>
            </w:r>
            <w:r>
              <w:rPr>
                <w:color w:val="231F20"/>
                <w:spacing w:val="4"/>
                <w:sz w:val="15"/>
              </w:rPr>
              <w:t> </w:t>
            </w:r>
            <w:r>
              <w:rPr>
                <w:color w:val="231F20"/>
                <w:sz w:val="15"/>
              </w:rPr>
              <w:t>overnight</w:t>
            </w:r>
            <w:r>
              <w:rPr>
                <w:color w:val="231F20"/>
                <w:spacing w:val="4"/>
                <w:sz w:val="15"/>
              </w:rPr>
              <w:t> </w:t>
            </w:r>
            <w:r>
              <w:rPr>
                <w:color w:val="231F20"/>
                <w:sz w:val="15"/>
              </w:rPr>
              <w:t>oxygen</w:t>
            </w:r>
            <w:r>
              <w:rPr>
                <w:color w:val="231F20"/>
                <w:spacing w:val="5"/>
                <w:sz w:val="15"/>
              </w:rPr>
              <w:t> </w:t>
            </w:r>
            <w:r>
              <w:rPr>
                <w:color w:val="231F20"/>
                <w:spacing w:val="-2"/>
                <w:sz w:val="15"/>
              </w:rPr>
              <w:t>saturation</w:t>
            </w:r>
          </w:p>
        </w:tc>
        <w:tc>
          <w:tcPr>
            <w:tcW w:w="2640" w:type="dxa"/>
            <w:tcBorders>
              <w:top w:val="single" w:sz="4" w:space="0" w:color="FFFFFF"/>
              <w:bottom w:val="single" w:sz="8" w:space="0" w:color="231F20"/>
            </w:tcBorders>
            <w:shd w:val="clear" w:color="auto" w:fill="E8F5F1"/>
          </w:tcPr>
          <w:p>
            <w:pPr>
              <w:pStyle w:val="TableParagraph"/>
              <w:rPr>
                <w:rFonts w:ascii="Times New Roman"/>
                <w:sz w:val="14"/>
              </w:rPr>
            </w:pPr>
          </w:p>
        </w:tc>
      </w:tr>
    </w:tbl>
    <w:p>
      <w:pPr>
        <w:pStyle w:val="TableParagraph"/>
        <w:spacing w:after="0"/>
        <w:rPr>
          <w:rFonts w:ascii="Times New Roman"/>
          <w:sz w:val="14"/>
        </w:rPr>
        <w:sectPr>
          <w:type w:val="continuous"/>
          <w:pgSz w:w="11900" w:h="16840"/>
          <w:pgMar w:header="452" w:footer="0" w:top="6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115" name="Group 115"/>
                <wp:cNvGraphicFramePr>
                  <a:graphicFrameLocks/>
                </wp:cNvGraphicFramePr>
                <a:graphic>
                  <a:graphicData uri="http://schemas.microsoft.com/office/word/2010/wordprocessingGroup">
                    <wpg:wgp>
                      <wpg:cNvPr id="115" name="Group 115"/>
                      <wpg:cNvGrpSpPr/>
                      <wpg:grpSpPr>
                        <a:xfrm>
                          <a:off x="0" y="0"/>
                          <a:ext cx="6185535" cy="170815"/>
                          <a:chExt cx="6185535" cy="170815"/>
                        </a:xfrm>
                      </wpg:grpSpPr>
                      <wps:wsp>
                        <wps:cNvPr id="116" name="Graphic 116"/>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17" name="Graphic 117"/>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18" name="Textbox 11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2770</w:t>
                              </w:r>
                              <w:r>
                                <w:rPr>
                                  <w:b/>
                                  <w:color w:val="231F20"/>
                                  <w:spacing w:val="33"/>
                                  <w:w w:val="105"/>
                                  <w:sz w:val="18"/>
                                </w:rPr>
                                <w:t>  </w:t>
                              </w:r>
                              <w:r>
                                <w:rPr>
                                  <w:b/>
                                  <w:color w:val="D5841E"/>
                                  <w:w w:val="105"/>
                                  <w:sz w:val="18"/>
                                </w:rPr>
                                <w:t>Part</w:t>
                              </w:r>
                              <w:r>
                                <w:rPr>
                                  <w:b/>
                                  <w:color w:val="D5841E"/>
                                  <w:spacing w:val="7"/>
                                  <w:w w:val="105"/>
                                  <w:sz w:val="18"/>
                                </w:rPr>
                                <w:t> </w:t>
                              </w:r>
                              <w:r>
                                <w:rPr>
                                  <w:b/>
                                  <w:color w:val="D5841E"/>
                                  <w:w w:val="105"/>
                                  <w:sz w:val="18"/>
                                </w:rPr>
                                <w:t>XXVI</w:t>
                              </w:r>
                              <w:r>
                                <w:rPr>
                                  <w:b/>
                                  <w:color w:val="D5841E"/>
                                  <w:spacing w:val="33"/>
                                  <w:w w:val="105"/>
                                  <w:sz w:val="18"/>
                                </w:rPr>
                                <w:t> </w:t>
                              </w:r>
                              <w:r>
                                <w:rPr>
                                  <w:rFonts w:ascii="MS Gothic" w:hAnsi="MS Gothic"/>
                                  <w:color w:val="E4AE6F"/>
                                  <w:w w:val="105"/>
                                  <w:sz w:val="15"/>
                                </w:rPr>
                                <w:t>◆</w:t>
                              </w:r>
                              <w:r>
                                <w:rPr>
                                  <w:rFonts w:ascii="MS Gothic" w:hAnsi="MS Gothic"/>
                                  <w:color w:val="E4AE6F"/>
                                  <w:spacing w:val="11"/>
                                  <w:w w:val="105"/>
                                  <w:sz w:val="15"/>
                                </w:rPr>
                                <w:t> </w:t>
                              </w:r>
                              <w:r>
                                <w:rPr>
                                  <w:color w:val="231F20"/>
                                  <w:w w:val="105"/>
                                  <w:sz w:val="18"/>
                                </w:rPr>
                                <w:t>The</w:t>
                              </w:r>
                              <w:r>
                                <w:rPr>
                                  <w:color w:val="231F20"/>
                                  <w:spacing w:val="4"/>
                                  <w:w w:val="105"/>
                                  <w:sz w:val="18"/>
                                </w:rPr>
                                <w:t> </w:t>
                              </w:r>
                              <w:r>
                                <w:rPr>
                                  <w:color w:val="231F20"/>
                                  <w:w w:val="105"/>
                                  <w:sz w:val="18"/>
                                </w:rPr>
                                <w:t>Endocrine</w:t>
                              </w:r>
                              <w:r>
                                <w:rPr>
                                  <w:color w:val="231F20"/>
                                  <w:spacing w:val="3"/>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90"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91" filled="false" stroked="false">
                  <v:textbox inset="0,0,0,0">
                    <w:txbxContent>
                      <w:p>
                        <w:pPr>
                          <w:spacing w:before="6"/>
                          <w:ind w:left="-1" w:right="0" w:firstLine="0"/>
                          <w:jc w:val="left"/>
                          <w:rPr>
                            <w:sz w:val="18"/>
                          </w:rPr>
                        </w:pPr>
                        <w:r>
                          <w:rPr>
                            <w:b/>
                            <w:color w:val="231F20"/>
                            <w:w w:val="105"/>
                            <w:sz w:val="18"/>
                          </w:rPr>
                          <w:t>2770</w:t>
                        </w:r>
                        <w:r>
                          <w:rPr>
                            <w:b/>
                            <w:color w:val="231F20"/>
                            <w:spacing w:val="33"/>
                            <w:w w:val="105"/>
                            <w:sz w:val="18"/>
                          </w:rPr>
                          <w:t>  </w:t>
                        </w:r>
                        <w:r>
                          <w:rPr>
                            <w:b/>
                            <w:color w:val="D5841E"/>
                            <w:w w:val="105"/>
                            <w:sz w:val="18"/>
                          </w:rPr>
                          <w:t>Part</w:t>
                        </w:r>
                        <w:r>
                          <w:rPr>
                            <w:b/>
                            <w:color w:val="D5841E"/>
                            <w:spacing w:val="7"/>
                            <w:w w:val="105"/>
                            <w:sz w:val="18"/>
                          </w:rPr>
                          <w:t> </w:t>
                        </w:r>
                        <w:r>
                          <w:rPr>
                            <w:b/>
                            <w:color w:val="D5841E"/>
                            <w:w w:val="105"/>
                            <w:sz w:val="18"/>
                          </w:rPr>
                          <w:t>XXVI</w:t>
                        </w:r>
                        <w:r>
                          <w:rPr>
                            <w:b/>
                            <w:color w:val="D5841E"/>
                            <w:spacing w:val="33"/>
                            <w:w w:val="105"/>
                            <w:sz w:val="18"/>
                          </w:rPr>
                          <w:t> </w:t>
                        </w:r>
                        <w:r>
                          <w:rPr>
                            <w:rFonts w:ascii="MS Gothic" w:hAnsi="MS Gothic"/>
                            <w:color w:val="E4AE6F"/>
                            <w:w w:val="105"/>
                            <w:sz w:val="15"/>
                          </w:rPr>
                          <w:t>◆</w:t>
                        </w:r>
                        <w:r>
                          <w:rPr>
                            <w:rFonts w:ascii="MS Gothic" w:hAnsi="MS Gothic"/>
                            <w:color w:val="E4AE6F"/>
                            <w:spacing w:val="11"/>
                            <w:w w:val="105"/>
                            <w:sz w:val="15"/>
                          </w:rPr>
                          <w:t> </w:t>
                        </w:r>
                        <w:r>
                          <w:rPr>
                            <w:color w:val="231F20"/>
                            <w:w w:val="105"/>
                            <w:sz w:val="18"/>
                          </w:rPr>
                          <w:t>The</w:t>
                        </w:r>
                        <w:r>
                          <w:rPr>
                            <w:color w:val="231F20"/>
                            <w:spacing w:val="4"/>
                            <w:w w:val="105"/>
                            <w:sz w:val="18"/>
                          </w:rPr>
                          <w:t> </w:t>
                        </w:r>
                        <w:r>
                          <w:rPr>
                            <w:color w:val="231F20"/>
                            <w:w w:val="105"/>
                            <w:sz w:val="18"/>
                          </w:rPr>
                          <w:t>Endocrine</w:t>
                        </w:r>
                        <w:r>
                          <w:rPr>
                            <w:color w:val="231F20"/>
                            <w:spacing w:val="3"/>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536"/>
        <w:gridCol w:w="1065"/>
        <w:gridCol w:w="1567"/>
        <w:gridCol w:w="2403"/>
        <w:gridCol w:w="3027"/>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4</w:t>
            </w:r>
          </w:p>
        </w:tc>
        <w:tc>
          <w:tcPr>
            <w:tcW w:w="8598" w:type="dxa"/>
            <w:gridSpan w:val="5"/>
            <w:tcBorders>
              <w:left w:val="single" w:sz="8" w:space="0" w:color="FFFFFF"/>
            </w:tcBorders>
            <w:shd w:val="clear" w:color="auto" w:fill="231F20"/>
          </w:tcPr>
          <w:p>
            <w:pPr>
              <w:pStyle w:val="TableParagraph"/>
              <w:spacing w:before="89"/>
              <w:ind w:left="73"/>
              <w:rPr>
                <w:sz w:val="16"/>
              </w:rPr>
            </w:pPr>
            <w:r>
              <w:rPr>
                <w:color w:val="FFFFFF"/>
                <w:w w:val="105"/>
                <w:sz w:val="16"/>
              </w:rPr>
              <w:t>Classification</w:t>
            </w:r>
            <w:r>
              <w:rPr>
                <w:color w:val="FFFFFF"/>
                <w:spacing w:val="-3"/>
                <w:w w:val="105"/>
                <w:sz w:val="16"/>
              </w:rPr>
              <w:t> </w:t>
            </w:r>
            <w:r>
              <w:rPr>
                <w:color w:val="FFFFFF"/>
                <w:w w:val="105"/>
                <w:sz w:val="16"/>
              </w:rPr>
              <w:t>of</w:t>
            </w:r>
            <w:r>
              <w:rPr>
                <w:color w:val="FFFFFF"/>
                <w:spacing w:val="-3"/>
                <w:w w:val="105"/>
                <w:sz w:val="16"/>
              </w:rPr>
              <w:t> </w:t>
            </w:r>
            <w:r>
              <w:rPr>
                <w:color w:val="FFFFFF"/>
                <w:w w:val="105"/>
                <w:sz w:val="16"/>
              </w:rPr>
              <w:t>Diabetic</w:t>
            </w:r>
            <w:r>
              <w:rPr>
                <w:color w:val="FFFFFF"/>
                <w:spacing w:val="-3"/>
                <w:w w:val="105"/>
                <w:sz w:val="16"/>
              </w:rPr>
              <w:t> </w:t>
            </w:r>
            <w:r>
              <w:rPr>
                <w:color w:val="FFFFFF"/>
                <w:spacing w:val="-2"/>
                <w:w w:val="105"/>
                <w:sz w:val="16"/>
              </w:rPr>
              <w:t>Ketoacidosis</w:t>
            </w:r>
          </w:p>
        </w:tc>
      </w:tr>
      <w:tr>
        <w:trPr>
          <w:trHeight w:val="257" w:hRule="atLeast"/>
        </w:trPr>
        <w:tc>
          <w:tcPr>
            <w:tcW w:w="1684" w:type="dxa"/>
            <w:gridSpan w:val="2"/>
            <w:tcBorders>
              <w:bottom w:val="single" w:sz="4" w:space="0" w:color="231F20"/>
            </w:tcBorders>
            <w:shd w:val="clear" w:color="auto" w:fill="E8F5F1"/>
          </w:tcPr>
          <w:p>
            <w:pPr>
              <w:pStyle w:val="TableParagraph"/>
              <w:rPr>
                <w:rFonts w:ascii="Times New Roman"/>
                <w:sz w:val="14"/>
              </w:rPr>
            </w:pPr>
          </w:p>
        </w:tc>
        <w:tc>
          <w:tcPr>
            <w:tcW w:w="1065" w:type="dxa"/>
            <w:tcBorders>
              <w:bottom w:val="single" w:sz="4" w:space="0" w:color="231F20"/>
            </w:tcBorders>
            <w:shd w:val="clear" w:color="auto" w:fill="E8F5F1"/>
          </w:tcPr>
          <w:p>
            <w:pPr>
              <w:pStyle w:val="TableParagraph"/>
              <w:spacing w:before="47"/>
              <w:ind w:left="204"/>
              <w:rPr>
                <w:b/>
                <w:sz w:val="15"/>
              </w:rPr>
            </w:pPr>
            <w:r>
              <w:rPr>
                <w:b/>
                <w:color w:val="231F20"/>
                <w:spacing w:val="-2"/>
                <w:w w:val="115"/>
                <w:sz w:val="15"/>
              </w:rPr>
              <w:t>NORMAL</w:t>
            </w:r>
          </w:p>
        </w:tc>
        <w:tc>
          <w:tcPr>
            <w:tcW w:w="1567" w:type="dxa"/>
            <w:tcBorders>
              <w:bottom w:val="single" w:sz="4" w:space="0" w:color="231F20"/>
            </w:tcBorders>
            <w:shd w:val="clear" w:color="auto" w:fill="E8F5F1"/>
          </w:tcPr>
          <w:p>
            <w:pPr>
              <w:pStyle w:val="TableParagraph"/>
              <w:spacing w:before="47"/>
              <w:ind w:left="7"/>
              <w:jc w:val="center"/>
              <w:rPr>
                <w:b/>
                <w:sz w:val="15"/>
              </w:rPr>
            </w:pPr>
            <w:r>
              <w:rPr>
                <w:b/>
                <w:color w:val="231F20"/>
                <w:spacing w:val="-4"/>
                <w:w w:val="115"/>
                <w:sz w:val="15"/>
              </w:rPr>
              <w:t>MILD</w:t>
            </w:r>
          </w:p>
        </w:tc>
        <w:tc>
          <w:tcPr>
            <w:tcW w:w="2403" w:type="dxa"/>
            <w:tcBorders>
              <w:bottom w:val="single" w:sz="4" w:space="0" w:color="231F20"/>
            </w:tcBorders>
            <w:shd w:val="clear" w:color="auto" w:fill="E8F5F1"/>
          </w:tcPr>
          <w:p>
            <w:pPr>
              <w:pStyle w:val="TableParagraph"/>
              <w:spacing w:before="47"/>
              <w:ind w:left="772"/>
              <w:rPr>
                <w:b/>
                <w:sz w:val="15"/>
              </w:rPr>
            </w:pPr>
            <w:r>
              <w:rPr>
                <w:b/>
                <w:color w:val="231F20"/>
                <w:spacing w:val="-2"/>
                <w:w w:val="110"/>
                <w:sz w:val="15"/>
              </w:rPr>
              <w:t>MODERATE</w:t>
            </w:r>
          </w:p>
        </w:tc>
        <w:tc>
          <w:tcPr>
            <w:tcW w:w="3027" w:type="dxa"/>
            <w:tcBorders>
              <w:bottom w:val="single" w:sz="4" w:space="0" w:color="231F20"/>
            </w:tcBorders>
            <w:shd w:val="clear" w:color="auto" w:fill="E8F5F1"/>
          </w:tcPr>
          <w:p>
            <w:pPr>
              <w:pStyle w:val="TableParagraph"/>
              <w:spacing w:before="47"/>
              <w:ind w:left="67"/>
              <w:jc w:val="center"/>
              <w:rPr>
                <w:b/>
                <w:sz w:val="15"/>
              </w:rPr>
            </w:pPr>
            <w:r>
              <w:rPr>
                <w:b/>
                <w:color w:val="231F20"/>
                <w:spacing w:val="-2"/>
                <w:w w:val="110"/>
                <w:sz w:val="15"/>
              </w:rPr>
              <w:t>SEVERE</w:t>
            </w:r>
            <w:r>
              <w:rPr>
                <w:b/>
                <w:color w:val="0080AC"/>
                <w:spacing w:val="-2"/>
                <w:w w:val="110"/>
                <w:sz w:val="15"/>
              </w:rPr>
              <w:t>*</w:t>
            </w:r>
          </w:p>
        </w:tc>
      </w:tr>
      <w:tr>
        <w:trPr>
          <w:trHeight w:val="259" w:hRule="atLeast"/>
        </w:trPr>
        <w:tc>
          <w:tcPr>
            <w:tcW w:w="1684"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CO</w:t>
            </w:r>
            <w:r>
              <w:rPr>
                <w:color w:val="231F20"/>
                <w:sz w:val="15"/>
                <w:vertAlign w:val="subscript"/>
              </w:rPr>
              <w:t>2</w:t>
            </w:r>
            <w:r>
              <w:rPr>
                <w:color w:val="231F20"/>
                <w:spacing w:val="-6"/>
                <w:sz w:val="15"/>
                <w:vertAlign w:val="baseline"/>
              </w:rPr>
              <w:t> </w:t>
            </w:r>
            <w:r>
              <w:rPr>
                <w:color w:val="231F20"/>
                <w:sz w:val="15"/>
                <w:vertAlign w:val="baseline"/>
              </w:rPr>
              <w:t>(mEq/L,</w:t>
            </w:r>
            <w:r>
              <w:rPr>
                <w:color w:val="231F20"/>
                <w:spacing w:val="-5"/>
                <w:sz w:val="15"/>
                <w:vertAlign w:val="baseline"/>
              </w:rPr>
              <w:t> </w:t>
            </w:r>
            <w:r>
              <w:rPr>
                <w:color w:val="231F20"/>
                <w:spacing w:val="-2"/>
                <w:sz w:val="15"/>
                <w:vertAlign w:val="baseline"/>
              </w:rPr>
              <w:t>venous)</w:t>
            </w:r>
            <w:r>
              <w:rPr>
                <w:color w:val="0080AC"/>
                <w:spacing w:val="-2"/>
                <w:sz w:val="15"/>
                <w:vertAlign w:val="superscript"/>
              </w:rPr>
              <w:t>†</w:t>
            </w:r>
          </w:p>
        </w:tc>
        <w:tc>
          <w:tcPr>
            <w:tcW w:w="1065" w:type="dxa"/>
            <w:tcBorders>
              <w:top w:val="single" w:sz="4" w:space="0" w:color="231F20"/>
              <w:bottom w:val="single" w:sz="4" w:space="0" w:color="FFFFFF"/>
            </w:tcBorders>
            <w:shd w:val="clear" w:color="auto" w:fill="E8F5F1"/>
          </w:tcPr>
          <w:p>
            <w:pPr>
              <w:pStyle w:val="TableParagraph"/>
              <w:spacing w:before="47"/>
              <w:ind w:left="168"/>
              <w:rPr>
                <w:sz w:val="15"/>
              </w:rPr>
            </w:pPr>
            <w:r>
              <w:rPr>
                <w:color w:val="231F20"/>
                <w:spacing w:val="-4"/>
                <w:sz w:val="15"/>
              </w:rPr>
              <w:t>20-</w:t>
            </w:r>
            <w:r>
              <w:rPr>
                <w:color w:val="231F20"/>
                <w:spacing w:val="-5"/>
                <w:sz w:val="15"/>
              </w:rPr>
              <w:t>28</w:t>
            </w:r>
          </w:p>
        </w:tc>
        <w:tc>
          <w:tcPr>
            <w:tcW w:w="1567" w:type="dxa"/>
            <w:tcBorders>
              <w:top w:val="single" w:sz="4" w:space="0" w:color="231F20"/>
              <w:bottom w:val="single" w:sz="4" w:space="0" w:color="FFFFFF"/>
            </w:tcBorders>
            <w:shd w:val="clear" w:color="auto" w:fill="E8F5F1"/>
          </w:tcPr>
          <w:p>
            <w:pPr>
              <w:pStyle w:val="TableParagraph"/>
              <w:spacing w:before="47"/>
              <w:ind w:left="152"/>
              <w:rPr>
                <w:sz w:val="15"/>
              </w:rPr>
            </w:pPr>
            <w:r>
              <w:rPr>
                <w:color w:val="231F20"/>
                <w:spacing w:val="-4"/>
                <w:sz w:val="15"/>
              </w:rPr>
              <w:t>16-</w:t>
            </w:r>
            <w:r>
              <w:rPr>
                <w:color w:val="231F20"/>
                <w:spacing w:val="-5"/>
                <w:sz w:val="15"/>
              </w:rPr>
              <w:t>20</w:t>
            </w:r>
          </w:p>
        </w:tc>
        <w:tc>
          <w:tcPr>
            <w:tcW w:w="2403" w:type="dxa"/>
            <w:tcBorders>
              <w:top w:val="single" w:sz="4" w:space="0" w:color="231F20"/>
              <w:bottom w:val="single" w:sz="4" w:space="0" w:color="FFFFFF"/>
            </w:tcBorders>
            <w:shd w:val="clear" w:color="auto" w:fill="E8F5F1"/>
          </w:tcPr>
          <w:p>
            <w:pPr>
              <w:pStyle w:val="TableParagraph"/>
              <w:spacing w:before="47"/>
              <w:ind w:left="157"/>
              <w:rPr>
                <w:sz w:val="15"/>
              </w:rPr>
            </w:pPr>
            <w:r>
              <w:rPr>
                <w:color w:val="231F20"/>
                <w:spacing w:val="-4"/>
                <w:sz w:val="15"/>
              </w:rPr>
              <w:t>10-</w:t>
            </w:r>
            <w:r>
              <w:rPr>
                <w:color w:val="231F20"/>
                <w:spacing w:val="-5"/>
                <w:sz w:val="15"/>
              </w:rPr>
              <w:t>15</w:t>
            </w:r>
          </w:p>
        </w:tc>
        <w:tc>
          <w:tcPr>
            <w:tcW w:w="3027" w:type="dxa"/>
            <w:tcBorders>
              <w:top w:val="single" w:sz="4" w:space="0" w:color="231F20"/>
              <w:bottom w:val="single" w:sz="4" w:space="0" w:color="FFFFFF"/>
            </w:tcBorders>
            <w:shd w:val="clear" w:color="auto" w:fill="E8F5F1"/>
          </w:tcPr>
          <w:p>
            <w:pPr>
              <w:pStyle w:val="TableParagraph"/>
              <w:spacing w:before="47"/>
              <w:ind w:left="147"/>
              <w:rPr>
                <w:sz w:val="15"/>
              </w:rPr>
            </w:pPr>
            <w:r>
              <w:rPr>
                <w:rFonts w:ascii="Cambria"/>
                <w:color w:val="231F20"/>
                <w:spacing w:val="-5"/>
                <w:sz w:val="15"/>
              </w:rPr>
              <w:t>&lt;</w:t>
            </w:r>
            <w:r>
              <w:rPr>
                <w:color w:val="231F20"/>
                <w:spacing w:val="-5"/>
                <w:sz w:val="15"/>
              </w:rPr>
              <w:t>10</w:t>
            </w:r>
          </w:p>
        </w:tc>
      </w:tr>
      <w:tr>
        <w:trPr>
          <w:trHeight w:val="254" w:hRule="atLeast"/>
        </w:trPr>
        <w:tc>
          <w:tcPr>
            <w:tcW w:w="168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pH</w:t>
            </w:r>
            <w:r>
              <w:rPr>
                <w:color w:val="231F20"/>
                <w:spacing w:val="6"/>
                <w:w w:val="105"/>
                <w:sz w:val="15"/>
              </w:rPr>
              <w:t> </w:t>
            </w:r>
            <w:r>
              <w:rPr>
                <w:color w:val="231F20"/>
                <w:spacing w:val="-2"/>
                <w:w w:val="105"/>
                <w:sz w:val="15"/>
              </w:rPr>
              <w:t>(venous)</w:t>
            </w:r>
            <w:r>
              <w:rPr>
                <w:color w:val="0080AC"/>
                <w:spacing w:val="-2"/>
                <w:w w:val="105"/>
                <w:sz w:val="15"/>
                <w:vertAlign w:val="superscript"/>
              </w:rPr>
              <w:t>†</w:t>
            </w:r>
          </w:p>
        </w:tc>
        <w:tc>
          <w:tcPr>
            <w:tcW w:w="1065" w:type="dxa"/>
            <w:tcBorders>
              <w:top w:val="single" w:sz="4" w:space="0" w:color="FFFFFF"/>
              <w:bottom w:val="single" w:sz="4" w:space="0" w:color="FFFFFF"/>
            </w:tcBorders>
            <w:shd w:val="clear" w:color="auto" w:fill="E8F5F1"/>
          </w:tcPr>
          <w:p>
            <w:pPr>
              <w:pStyle w:val="TableParagraph"/>
              <w:spacing w:before="42"/>
              <w:ind w:left="168"/>
              <w:rPr>
                <w:sz w:val="15"/>
              </w:rPr>
            </w:pPr>
            <w:r>
              <w:rPr>
                <w:color w:val="231F20"/>
                <w:w w:val="90"/>
                <w:sz w:val="15"/>
              </w:rPr>
              <w:t>7.35-</w:t>
            </w:r>
            <w:r>
              <w:rPr>
                <w:color w:val="231F20"/>
                <w:spacing w:val="-4"/>
                <w:sz w:val="15"/>
              </w:rPr>
              <w:t>7.45</w:t>
            </w:r>
          </w:p>
        </w:tc>
        <w:tc>
          <w:tcPr>
            <w:tcW w:w="1567" w:type="dxa"/>
            <w:tcBorders>
              <w:top w:val="single" w:sz="4" w:space="0" w:color="FFFFFF"/>
              <w:bottom w:val="single" w:sz="4" w:space="0" w:color="FFFFFF"/>
            </w:tcBorders>
            <w:shd w:val="clear" w:color="auto" w:fill="E8F5F1"/>
          </w:tcPr>
          <w:p>
            <w:pPr>
              <w:pStyle w:val="TableParagraph"/>
              <w:spacing w:before="42"/>
              <w:ind w:left="152"/>
              <w:rPr>
                <w:sz w:val="15"/>
              </w:rPr>
            </w:pPr>
            <w:r>
              <w:rPr>
                <w:color w:val="231F20"/>
                <w:w w:val="90"/>
                <w:sz w:val="15"/>
              </w:rPr>
              <w:t>7.25-</w:t>
            </w:r>
            <w:r>
              <w:rPr>
                <w:color w:val="231F20"/>
                <w:spacing w:val="-4"/>
                <w:sz w:val="15"/>
              </w:rPr>
              <w:t>7.35</w:t>
            </w:r>
          </w:p>
        </w:tc>
        <w:tc>
          <w:tcPr>
            <w:tcW w:w="2403" w:type="dxa"/>
            <w:tcBorders>
              <w:top w:val="single" w:sz="4" w:space="0" w:color="FFFFFF"/>
              <w:bottom w:val="single" w:sz="4" w:space="0" w:color="FFFFFF"/>
            </w:tcBorders>
            <w:shd w:val="clear" w:color="auto" w:fill="E8F5F1"/>
          </w:tcPr>
          <w:p>
            <w:pPr>
              <w:pStyle w:val="TableParagraph"/>
              <w:spacing w:before="42"/>
              <w:ind w:left="157"/>
              <w:rPr>
                <w:sz w:val="15"/>
              </w:rPr>
            </w:pPr>
            <w:r>
              <w:rPr>
                <w:color w:val="231F20"/>
                <w:w w:val="90"/>
                <w:sz w:val="15"/>
              </w:rPr>
              <w:t>7.15-</w:t>
            </w:r>
            <w:r>
              <w:rPr>
                <w:color w:val="231F20"/>
                <w:spacing w:val="-4"/>
                <w:sz w:val="15"/>
              </w:rPr>
              <w:t>7.25</w:t>
            </w:r>
          </w:p>
        </w:tc>
        <w:tc>
          <w:tcPr>
            <w:tcW w:w="3027" w:type="dxa"/>
            <w:tcBorders>
              <w:top w:val="single" w:sz="4" w:space="0" w:color="FFFFFF"/>
              <w:bottom w:val="single" w:sz="4" w:space="0" w:color="FFFFFF"/>
            </w:tcBorders>
            <w:shd w:val="clear" w:color="auto" w:fill="E8F5F1"/>
          </w:tcPr>
          <w:p>
            <w:pPr>
              <w:pStyle w:val="TableParagraph"/>
              <w:spacing w:before="43"/>
              <w:ind w:left="147"/>
              <w:rPr>
                <w:sz w:val="15"/>
              </w:rPr>
            </w:pPr>
            <w:r>
              <w:rPr>
                <w:rFonts w:ascii="Cambria"/>
                <w:color w:val="231F20"/>
                <w:spacing w:val="-2"/>
                <w:sz w:val="15"/>
              </w:rPr>
              <w:t>&lt;</w:t>
            </w:r>
            <w:r>
              <w:rPr>
                <w:color w:val="231F20"/>
                <w:spacing w:val="-2"/>
                <w:sz w:val="15"/>
              </w:rPr>
              <w:t>7.15</w:t>
            </w:r>
          </w:p>
        </w:tc>
      </w:tr>
      <w:tr>
        <w:trPr>
          <w:trHeight w:val="415" w:hRule="atLeast"/>
        </w:trPr>
        <w:tc>
          <w:tcPr>
            <w:tcW w:w="1684"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Clinical</w:t>
            </w:r>
          </w:p>
        </w:tc>
        <w:tc>
          <w:tcPr>
            <w:tcW w:w="1065" w:type="dxa"/>
            <w:tcBorders>
              <w:top w:val="single" w:sz="4" w:space="0" w:color="FFFFFF"/>
              <w:bottom w:val="single" w:sz="8" w:space="0" w:color="231F20"/>
            </w:tcBorders>
            <w:shd w:val="clear" w:color="auto" w:fill="E8F5F1"/>
          </w:tcPr>
          <w:p>
            <w:pPr>
              <w:pStyle w:val="TableParagraph"/>
              <w:spacing w:before="42"/>
              <w:ind w:left="167"/>
              <w:rPr>
                <w:sz w:val="15"/>
              </w:rPr>
            </w:pPr>
            <w:r>
              <w:rPr>
                <w:color w:val="231F20"/>
                <w:w w:val="110"/>
                <w:sz w:val="15"/>
              </w:rPr>
              <w:t>No</w:t>
            </w:r>
            <w:r>
              <w:rPr>
                <w:color w:val="231F20"/>
                <w:spacing w:val="7"/>
                <w:w w:val="110"/>
                <w:sz w:val="15"/>
              </w:rPr>
              <w:t> </w:t>
            </w:r>
            <w:r>
              <w:rPr>
                <w:color w:val="231F20"/>
                <w:spacing w:val="-2"/>
                <w:w w:val="110"/>
                <w:sz w:val="15"/>
              </w:rPr>
              <w:t>change</w:t>
            </w:r>
          </w:p>
        </w:tc>
        <w:tc>
          <w:tcPr>
            <w:tcW w:w="1567" w:type="dxa"/>
            <w:tcBorders>
              <w:top w:val="single" w:sz="4" w:space="0" w:color="FFFFFF"/>
              <w:bottom w:val="single" w:sz="8" w:space="0" w:color="231F20"/>
            </w:tcBorders>
            <w:shd w:val="clear" w:color="auto" w:fill="E8F5F1"/>
          </w:tcPr>
          <w:p>
            <w:pPr>
              <w:pStyle w:val="TableParagraph"/>
              <w:spacing w:line="230" w:lineRule="auto" w:before="48"/>
              <w:ind w:left="264" w:hanging="112"/>
              <w:rPr>
                <w:sz w:val="15"/>
              </w:rPr>
            </w:pPr>
            <w:r>
              <w:rPr>
                <w:color w:val="231F20"/>
                <w:spacing w:val="-2"/>
                <w:sz w:val="15"/>
              </w:rPr>
              <w:t>Oriented,</w:t>
            </w:r>
            <w:r>
              <w:rPr>
                <w:color w:val="231F20"/>
                <w:spacing w:val="-10"/>
                <w:sz w:val="15"/>
              </w:rPr>
              <w:t> </w:t>
            </w:r>
            <w:r>
              <w:rPr>
                <w:color w:val="231F20"/>
                <w:spacing w:val="-2"/>
                <w:sz w:val="15"/>
              </w:rPr>
              <w:t>alert</w:t>
            </w:r>
            <w:r>
              <w:rPr>
                <w:color w:val="231F20"/>
                <w:spacing w:val="-9"/>
                <w:sz w:val="15"/>
              </w:rPr>
              <w:t> </w:t>
            </w:r>
            <w:r>
              <w:rPr>
                <w:color w:val="231F20"/>
                <w:spacing w:val="-2"/>
                <w:sz w:val="15"/>
              </w:rPr>
              <w:t>but fatigued</w:t>
            </w:r>
          </w:p>
        </w:tc>
        <w:tc>
          <w:tcPr>
            <w:tcW w:w="2403" w:type="dxa"/>
            <w:tcBorders>
              <w:top w:val="single" w:sz="4" w:space="0" w:color="FFFFFF"/>
              <w:bottom w:val="single" w:sz="8" w:space="0" w:color="231F20"/>
            </w:tcBorders>
            <w:shd w:val="clear" w:color="auto" w:fill="E8F5F1"/>
          </w:tcPr>
          <w:p>
            <w:pPr>
              <w:pStyle w:val="TableParagraph"/>
              <w:spacing w:line="230" w:lineRule="auto" w:before="48"/>
              <w:ind w:left="269" w:hanging="112"/>
              <w:rPr>
                <w:sz w:val="15"/>
              </w:rPr>
            </w:pPr>
            <w:r>
              <w:rPr>
                <w:color w:val="231F20"/>
                <w:spacing w:val="-2"/>
                <w:sz w:val="15"/>
              </w:rPr>
              <w:t>Kussmaul</w:t>
            </w:r>
            <w:r>
              <w:rPr>
                <w:color w:val="231F20"/>
                <w:spacing w:val="-7"/>
                <w:sz w:val="15"/>
              </w:rPr>
              <w:t> </w:t>
            </w:r>
            <w:r>
              <w:rPr>
                <w:color w:val="231F20"/>
                <w:spacing w:val="-2"/>
                <w:sz w:val="15"/>
              </w:rPr>
              <w:t>respirations;</w:t>
            </w:r>
            <w:r>
              <w:rPr>
                <w:color w:val="231F20"/>
                <w:spacing w:val="-7"/>
                <w:sz w:val="15"/>
              </w:rPr>
              <w:t> </w:t>
            </w:r>
            <w:r>
              <w:rPr>
                <w:color w:val="231F20"/>
                <w:spacing w:val="-2"/>
                <w:sz w:val="15"/>
              </w:rPr>
              <w:t>oriented </w:t>
            </w:r>
            <w:r>
              <w:rPr>
                <w:color w:val="231F20"/>
                <w:sz w:val="15"/>
              </w:rPr>
              <w:t>but sleepy; arousable</w:t>
            </w:r>
          </w:p>
        </w:tc>
        <w:tc>
          <w:tcPr>
            <w:tcW w:w="3027" w:type="dxa"/>
            <w:tcBorders>
              <w:top w:val="single" w:sz="4" w:space="0" w:color="FFFFFF"/>
              <w:bottom w:val="single" w:sz="8" w:space="0" w:color="231F20"/>
            </w:tcBorders>
            <w:shd w:val="clear" w:color="auto" w:fill="E8F5F1"/>
          </w:tcPr>
          <w:p>
            <w:pPr>
              <w:pStyle w:val="TableParagraph"/>
              <w:spacing w:line="230" w:lineRule="auto" w:before="48"/>
              <w:ind w:left="259" w:right="59" w:hanging="112"/>
              <w:rPr>
                <w:sz w:val="15"/>
              </w:rPr>
            </w:pPr>
            <w:r>
              <w:rPr>
                <w:color w:val="231F20"/>
                <w:sz w:val="15"/>
              </w:rPr>
              <w:t>Kussmaul or depressed respirations; sleepy to depressed sensorium to </w:t>
            </w:r>
            <w:r>
              <w:rPr>
                <w:color w:val="231F20"/>
                <w:sz w:val="15"/>
              </w:rPr>
              <w:t>coma</w:t>
            </w:r>
          </w:p>
        </w:tc>
      </w:tr>
    </w:tbl>
    <w:p>
      <w:pPr>
        <w:pStyle w:val="BodyText"/>
        <w:spacing w:line="151" w:lineRule="exact" w:before="75"/>
        <w:ind w:left="486"/>
      </w:pPr>
      <w:r>
        <w:rPr>
          <w:color w:val="231F20"/>
        </w:rPr>
        <w:t>*Severe</w:t>
      </w:r>
      <w:r>
        <w:rPr>
          <w:color w:val="231F20"/>
          <w:spacing w:val="-3"/>
        </w:rPr>
        <w:t> </w:t>
      </w:r>
      <w:r>
        <w:rPr>
          <w:color w:val="231F20"/>
        </w:rPr>
        <w:t>hypernatremia</w:t>
      </w:r>
      <w:r>
        <w:rPr>
          <w:color w:val="231F20"/>
          <w:spacing w:val="-3"/>
        </w:rPr>
        <w:t> </w:t>
      </w:r>
      <w:r>
        <w:rPr>
          <w:color w:val="231F20"/>
        </w:rPr>
        <w:t>(corrected</w:t>
      </w:r>
      <w:r>
        <w:rPr>
          <w:color w:val="231F20"/>
          <w:spacing w:val="-3"/>
        </w:rPr>
        <w:t> </w:t>
      </w:r>
      <w:r>
        <w:rPr>
          <w:color w:val="231F20"/>
        </w:rPr>
        <w:t>Na</w:t>
      </w:r>
      <w:r>
        <w:rPr>
          <w:color w:val="231F20"/>
          <w:spacing w:val="-3"/>
        </w:rPr>
        <w:t> </w:t>
      </w:r>
      <w:r>
        <w:rPr>
          <w:rFonts w:ascii="Cambria"/>
          <w:color w:val="231F20"/>
        </w:rPr>
        <w:t>&gt;</w:t>
      </w:r>
      <w:r>
        <w:rPr>
          <w:color w:val="231F20"/>
        </w:rPr>
        <w:t>150</w:t>
      </w:r>
      <w:r>
        <w:rPr>
          <w:color w:val="231F20"/>
          <w:spacing w:val="-3"/>
        </w:rPr>
        <w:t> </w:t>
      </w:r>
      <w:r>
        <w:rPr>
          <w:color w:val="231F20"/>
        </w:rPr>
        <w:t>mEq/L)</w:t>
      </w:r>
      <w:r>
        <w:rPr>
          <w:color w:val="231F20"/>
          <w:spacing w:val="-3"/>
        </w:rPr>
        <w:t> </w:t>
      </w:r>
      <w:r>
        <w:rPr>
          <w:color w:val="231F20"/>
        </w:rPr>
        <w:t>would</w:t>
      </w:r>
      <w:r>
        <w:rPr>
          <w:color w:val="231F20"/>
          <w:spacing w:val="-2"/>
        </w:rPr>
        <w:t> </w:t>
      </w:r>
      <w:r>
        <w:rPr>
          <w:color w:val="231F20"/>
        </w:rPr>
        <w:t>also</w:t>
      </w:r>
      <w:r>
        <w:rPr>
          <w:color w:val="231F20"/>
          <w:spacing w:val="-3"/>
        </w:rPr>
        <w:t> </w:t>
      </w:r>
      <w:r>
        <w:rPr>
          <w:color w:val="231F20"/>
        </w:rPr>
        <w:t>be</w:t>
      </w:r>
      <w:r>
        <w:rPr>
          <w:color w:val="231F20"/>
          <w:spacing w:val="-3"/>
        </w:rPr>
        <w:t> </w:t>
      </w:r>
      <w:r>
        <w:rPr>
          <w:color w:val="231F20"/>
        </w:rPr>
        <w:t>classified</w:t>
      </w:r>
      <w:r>
        <w:rPr>
          <w:color w:val="231F20"/>
          <w:spacing w:val="-3"/>
        </w:rPr>
        <w:t> </w:t>
      </w:r>
      <w:r>
        <w:rPr>
          <w:color w:val="231F20"/>
        </w:rPr>
        <w:t>as</w:t>
      </w:r>
      <w:r>
        <w:rPr>
          <w:color w:val="231F20"/>
          <w:spacing w:val="-3"/>
        </w:rPr>
        <w:t> </w:t>
      </w:r>
      <w:r>
        <w:rPr>
          <w:color w:val="231F20"/>
        </w:rPr>
        <w:t>severe</w:t>
      </w:r>
      <w:r>
        <w:rPr>
          <w:color w:val="231F20"/>
          <w:spacing w:val="-3"/>
        </w:rPr>
        <w:t> </w:t>
      </w:r>
      <w:r>
        <w:rPr>
          <w:color w:val="231F20"/>
        </w:rPr>
        <w:t>diabetic</w:t>
      </w:r>
      <w:r>
        <w:rPr>
          <w:color w:val="231F20"/>
          <w:spacing w:val="-3"/>
        </w:rPr>
        <w:t> </w:t>
      </w:r>
      <w:r>
        <w:rPr>
          <w:color w:val="231F20"/>
          <w:spacing w:val="-2"/>
        </w:rPr>
        <w:t>ketoacidosis.</w:t>
      </w:r>
    </w:p>
    <w:p>
      <w:pPr>
        <w:pStyle w:val="BodyText"/>
        <w:spacing w:line="170" w:lineRule="exact"/>
        <w:ind w:left="617"/>
        <w:rPr>
          <w:position w:val="2"/>
        </w:rPr>
      </w:pPr>
      <w:r>
        <w:rPr>
          <w:position w:val="2"/>
        </w:rPr>
        <mc:AlternateContent>
          <mc:Choice Requires="wps">
            <w:drawing>
              <wp:anchor distT="0" distB="0" distL="0" distR="0" allowOverlap="1" layoutInCell="1" locked="0" behindDoc="0" simplePos="0" relativeHeight="15738368">
                <wp:simplePos x="0" y="0"/>
                <wp:positionH relativeFrom="page">
                  <wp:posOffset>3990896</wp:posOffset>
                </wp:positionH>
                <wp:positionV relativeFrom="paragraph">
                  <wp:posOffset>423156</wp:posOffset>
                </wp:positionV>
                <wp:extent cx="108585" cy="489584"/>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08585" cy="489584"/>
                        </a:xfrm>
                        <a:prstGeom prst="rect">
                          <a:avLst/>
                        </a:prstGeom>
                      </wps:spPr>
                      <wps:txbx>
                        <w:txbxContent>
                          <w:p>
                            <w:pPr>
                              <w:pStyle w:val="BodyText"/>
                              <w:spacing w:line="148" w:lineRule="exact"/>
                              <w:ind w:left="20"/>
                              <w:rPr>
                                <w:rFonts w:ascii="Arial MT"/>
                              </w:rPr>
                            </w:pPr>
                            <w:r>
                              <w:rPr>
                                <w:rFonts w:ascii="Arial MT"/>
                                <w:color w:val="231F20"/>
                              </w:rPr>
                              <w:t>Insulin</w:t>
                            </w:r>
                            <w:r>
                              <w:rPr>
                                <w:rFonts w:ascii="Arial MT"/>
                                <w:color w:val="231F20"/>
                                <w:spacing w:val="-6"/>
                              </w:rPr>
                              <w:t> </w:t>
                            </w:r>
                            <w:r>
                              <w:rPr>
                                <w:rFonts w:ascii="Arial MT"/>
                                <w:color w:val="231F20"/>
                                <w:spacing w:val="-2"/>
                              </w:rPr>
                              <w:t>effect</w:t>
                            </w:r>
                          </w:p>
                        </w:txbxContent>
                      </wps:txbx>
                      <wps:bodyPr wrap="square" lIns="0" tIns="0" rIns="0" bIns="0" rtlCol="0" vert="vert270">
                        <a:noAutofit/>
                      </wps:bodyPr>
                    </wps:wsp>
                  </a:graphicData>
                </a:graphic>
              </wp:anchor>
            </w:drawing>
          </mc:Choice>
          <mc:Fallback>
            <w:pict>
              <v:shape style="position:absolute;margin-left:314.243805pt;margin-top:33.319386pt;width:8.550pt;height:38.550pt;mso-position-horizontal-relative:page;mso-position-vertical-relative:paragraph;z-index:15738368" type="#_x0000_t202" id="docshape92" filled="false" stroked="false">
                <v:textbox inset="0,0,0,0" style="layout-flow:vertical;mso-layout-flow-alt:bottom-to-top">
                  <w:txbxContent>
                    <w:p>
                      <w:pPr>
                        <w:pStyle w:val="BodyText"/>
                        <w:spacing w:line="148" w:lineRule="exact"/>
                        <w:ind w:left="20"/>
                        <w:rPr>
                          <w:rFonts w:ascii="Arial MT"/>
                        </w:rPr>
                      </w:pPr>
                      <w:r>
                        <w:rPr>
                          <w:rFonts w:ascii="Arial MT"/>
                          <w:color w:val="231F20"/>
                        </w:rPr>
                        <w:t>Insulin</w:t>
                      </w:r>
                      <w:r>
                        <w:rPr>
                          <w:rFonts w:ascii="Arial MT"/>
                          <w:color w:val="231F20"/>
                          <w:spacing w:val="-6"/>
                        </w:rPr>
                        <w:t> </w:t>
                      </w:r>
                      <w:r>
                        <w:rPr>
                          <w:rFonts w:ascii="Arial MT"/>
                          <w:color w:val="231F20"/>
                          <w:spacing w:val="-2"/>
                        </w:rPr>
                        <w:t>effect</w:t>
                      </w:r>
                    </w:p>
                  </w:txbxContent>
                </v:textbox>
                <w10:wrap type="none"/>
              </v:shape>
            </w:pict>
          </mc:Fallback>
        </mc:AlternateContent>
      </w:r>
      <w:r>
        <w:rPr>
          <w:color w:val="231F20"/>
          <w:vertAlign w:val="superscript"/>
        </w:rPr>
        <w:t>†</w:t>
      </w:r>
      <w:r>
        <w:rPr>
          <w:color w:val="231F20"/>
          <w:position w:val="2"/>
          <w:vertAlign w:val="baseline"/>
        </w:rPr>
        <w:t>CO</w:t>
      </w:r>
      <w:r>
        <w:rPr>
          <w:color w:val="231F20"/>
          <w:sz w:val="8"/>
          <w:vertAlign w:val="baseline"/>
        </w:rPr>
        <w:t>2</w:t>
      </w:r>
      <w:r>
        <w:rPr>
          <w:color w:val="231F20"/>
          <w:spacing w:val="23"/>
          <w:sz w:val="8"/>
          <w:vertAlign w:val="baseline"/>
        </w:rPr>
        <w:t> </w:t>
      </w:r>
      <w:r>
        <w:rPr>
          <w:color w:val="231F20"/>
          <w:position w:val="2"/>
          <w:vertAlign w:val="baseline"/>
        </w:rPr>
        <w:t>and</w:t>
      </w:r>
      <w:r>
        <w:rPr>
          <w:color w:val="231F20"/>
          <w:spacing w:val="9"/>
          <w:position w:val="2"/>
          <w:vertAlign w:val="baseline"/>
        </w:rPr>
        <w:t> </w:t>
      </w:r>
      <w:r>
        <w:rPr>
          <w:color w:val="231F20"/>
          <w:position w:val="2"/>
          <w:vertAlign w:val="baseline"/>
        </w:rPr>
        <w:t>pH</w:t>
      </w:r>
      <w:r>
        <w:rPr>
          <w:color w:val="231F20"/>
          <w:spacing w:val="8"/>
          <w:position w:val="2"/>
          <w:vertAlign w:val="baseline"/>
        </w:rPr>
        <w:t> </w:t>
      </w:r>
      <w:r>
        <w:rPr>
          <w:color w:val="231F20"/>
          <w:position w:val="2"/>
          <w:vertAlign w:val="baseline"/>
        </w:rPr>
        <w:t>measurement</w:t>
      </w:r>
      <w:r>
        <w:rPr>
          <w:color w:val="231F20"/>
          <w:spacing w:val="9"/>
          <w:position w:val="2"/>
          <w:vertAlign w:val="baseline"/>
        </w:rPr>
        <w:t> </w:t>
      </w:r>
      <w:r>
        <w:rPr>
          <w:color w:val="231F20"/>
          <w:position w:val="2"/>
          <w:vertAlign w:val="baseline"/>
        </w:rPr>
        <w:t>are</w:t>
      </w:r>
      <w:r>
        <w:rPr>
          <w:color w:val="231F20"/>
          <w:spacing w:val="8"/>
          <w:position w:val="2"/>
          <w:vertAlign w:val="baseline"/>
        </w:rPr>
        <w:t> </w:t>
      </w:r>
      <w:r>
        <w:rPr>
          <w:color w:val="231F20"/>
          <w:position w:val="2"/>
          <w:vertAlign w:val="baseline"/>
        </w:rPr>
        <w:t>method</w:t>
      </w:r>
      <w:r>
        <w:rPr>
          <w:color w:val="231F20"/>
          <w:spacing w:val="9"/>
          <w:position w:val="2"/>
          <w:vertAlign w:val="baseline"/>
        </w:rPr>
        <w:t> </w:t>
      </w:r>
      <w:r>
        <w:rPr>
          <w:color w:val="231F20"/>
          <w:position w:val="2"/>
          <w:vertAlign w:val="baseline"/>
        </w:rPr>
        <w:t>dependent;</w:t>
      </w:r>
      <w:r>
        <w:rPr>
          <w:color w:val="231F20"/>
          <w:spacing w:val="9"/>
          <w:position w:val="2"/>
          <w:vertAlign w:val="baseline"/>
        </w:rPr>
        <w:t> </w:t>
      </w:r>
      <w:r>
        <w:rPr>
          <w:color w:val="231F20"/>
          <w:position w:val="2"/>
          <w:vertAlign w:val="baseline"/>
        </w:rPr>
        <w:t>normal</w:t>
      </w:r>
      <w:r>
        <w:rPr>
          <w:color w:val="231F20"/>
          <w:spacing w:val="8"/>
          <w:position w:val="2"/>
          <w:vertAlign w:val="baseline"/>
        </w:rPr>
        <w:t> </w:t>
      </w:r>
      <w:r>
        <w:rPr>
          <w:color w:val="231F20"/>
          <w:position w:val="2"/>
          <w:vertAlign w:val="baseline"/>
        </w:rPr>
        <w:t>ranges</w:t>
      </w:r>
      <w:r>
        <w:rPr>
          <w:color w:val="231F20"/>
          <w:spacing w:val="9"/>
          <w:position w:val="2"/>
          <w:vertAlign w:val="baseline"/>
        </w:rPr>
        <w:t> </w:t>
      </w:r>
      <w:r>
        <w:rPr>
          <w:color w:val="231F20"/>
          <w:position w:val="2"/>
          <w:vertAlign w:val="baseline"/>
        </w:rPr>
        <w:t>may</w:t>
      </w:r>
      <w:r>
        <w:rPr>
          <w:color w:val="231F20"/>
          <w:spacing w:val="8"/>
          <w:position w:val="2"/>
          <w:vertAlign w:val="baseline"/>
        </w:rPr>
        <w:t> </w:t>
      </w:r>
      <w:r>
        <w:rPr>
          <w:color w:val="231F20"/>
          <w:spacing w:val="-2"/>
          <w:position w:val="2"/>
          <w:vertAlign w:val="baseline"/>
        </w:rPr>
        <w:t>vary.</w:t>
      </w:r>
    </w:p>
    <w:p>
      <w:pPr>
        <w:pStyle w:val="BodyText"/>
        <w:spacing w:before="160"/>
        <w:rPr>
          <w:sz w:val="20"/>
        </w:rPr>
      </w:pPr>
      <w:r>
        <w:rPr>
          <w:sz w:val="20"/>
        </w:rPr>
        <mc:AlternateContent>
          <mc:Choice Requires="wps">
            <w:drawing>
              <wp:anchor distT="0" distB="0" distL="0" distR="0" allowOverlap="1" layoutInCell="1" locked="0" behindDoc="1" simplePos="0" relativeHeight="487591424">
                <wp:simplePos x="0" y="0"/>
                <wp:positionH relativeFrom="page">
                  <wp:posOffset>4147885</wp:posOffset>
                </wp:positionH>
                <wp:positionV relativeFrom="paragraph">
                  <wp:posOffset>265082</wp:posOffset>
                </wp:positionV>
                <wp:extent cx="2404110" cy="732155"/>
                <wp:effectExtent l="0" t="0" r="0" b="0"/>
                <wp:wrapTopAndBottom/>
                <wp:docPr id="120" name="Group 120"/>
                <wp:cNvGraphicFramePr>
                  <a:graphicFrameLocks/>
                </wp:cNvGraphicFramePr>
                <a:graphic>
                  <a:graphicData uri="http://schemas.microsoft.com/office/word/2010/wordprocessingGroup">
                    <wpg:wgp>
                      <wpg:cNvPr id="120" name="Group 120"/>
                      <wpg:cNvGrpSpPr/>
                      <wpg:grpSpPr>
                        <a:xfrm>
                          <a:off x="0" y="0"/>
                          <a:ext cx="2404110" cy="732155"/>
                          <a:chExt cx="2404110" cy="732155"/>
                        </a:xfrm>
                      </wpg:grpSpPr>
                      <wps:wsp>
                        <wps:cNvPr id="121" name="Graphic 121"/>
                        <wps:cNvSpPr/>
                        <wps:spPr>
                          <a:xfrm>
                            <a:off x="31187" y="180154"/>
                            <a:ext cx="2363470" cy="172720"/>
                          </a:xfrm>
                          <a:custGeom>
                            <a:avLst/>
                            <a:gdLst/>
                            <a:ahLst/>
                            <a:cxnLst/>
                            <a:rect l="l" t="t" r="r" b="b"/>
                            <a:pathLst>
                              <a:path w="2363470" h="172720">
                                <a:moveTo>
                                  <a:pt x="402" y="0"/>
                                </a:moveTo>
                                <a:lnTo>
                                  <a:pt x="2362715" y="0"/>
                                </a:lnTo>
                              </a:path>
                              <a:path w="2363470" h="172720">
                                <a:moveTo>
                                  <a:pt x="0" y="172346"/>
                                </a:moveTo>
                                <a:lnTo>
                                  <a:pt x="2363106" y="172346"/>
                                </a:lnTo>
                              </a:path>
                            </a:pathLst>
                          </a:custGeom>
                          <a:ln w="5924">
                            <a:solidFill>
                              <a:srgbClr val="C7C8CA"/>
                            </a:solidFill>
                            <a:prstDash val="solid"/>
                          </a:ln>
                        </wps:spPr>
                        <wps:bodyPr wrap="square" lIns="0" tIns="0" rIns="0" bIns="0" rtlCol="0">
                          <a:prstTxWarp prst="textNoShape">
                            <a:avLst/>
                          </a:prstTxWarp>
                          <a:noAutofit/>
                        </wps:bodyPr>
                      </wps:wsp>
                      <wps:wsp>
                        <wps:cNvPr id="122" name="Graphic 122"/>
                        <wps:cNvSpPr/>
                        <wps:spPr>
                          <a:xfrm>
                            <a:off x="25715" y="15008"/>
                            <a:ext cx="2372360" cy="688340"/>
                          </a:xfrm>
                          <a:custGeom>
                            <a:avLst/>
                            <a:gdLst/>
                            <a:ahLst/>
                            <a:cxnLst/>
                            <a:rect l="l" t="t" r="r" b="b"/>
                            <a:pathLst>
                              <a:path w="2372360" h="688340">
                                <a:moveTo>
                                  <a:pt x="2372322" y="519201"/>
                                </a:moveTo>
                                <a:lnTo>
                                  <a:pt x="1469377" y="519201"/>
                                </a:lnTo>
                                <a:lnTo>
                                  <a:pt x="1454188" y="512089"/>
                                </a:lnTo>
                                <a:lnTo>
                                  <a:pt x="1396707" y="487895"/>
                                </a:lnTo>
                                <a:lnTo>
                                  <a:pt x="1340332" y="466610"/>
                                </a:lnTo>
                                <a:lnTo>
                                  <a:pt x="1285443" y="448043"/>
                                </a:lnTo>
                                <a:lnTo>
                                  <a:pt x="1232357" y="432015"/>
                                </a:lnTo>
                                <a:lnTo>
                                  <a:pt x="1181442" y="418350"/>
                                </a:lnTo>
                                <a:lnTo>
                                  <a:pt x="1133055" y="406869"/>
                                </a:lnTo>
                                <a:lnTo>
                                  <a:pt x="1087513" y="397383"/>
                                </a:lnTo>
                                <a:lnTo>
                                  <a:pt x="1045197" y="389712"/>
                                </a:lnTo>
                                <a:lnTo>
                                  <a:pt x="1006436" y="383679"/>
                                </a:lnTo>
                                <a:lnTo>
                                  <a:pt x="940917" y="376872"/>
                                </a:lnTo>
                                <a:lnTo>
                                  <a:pt x="904862" y="376821"/>
                                </a:lnTo>
                                <a:lnTo>
                                  <a:pt x="864133" y="378968"/>
                                </a:lnTo>
                                <a:lnTo>
                                  <a:pt x="819442" y="383374"/>
                                </a:lnTo>
                                <a:lnTo>
                                  <a:pt x="771499" y="390067"/>
                                </a:lnTo>
                                <a:lnTo>
                                  <a:pt x="721017" y="399097"/>
                                </a:lnTo>
                                <a:lnTo>
                                  <a:pt x="717842" y="399796"/>
                                </a:lnTo>
                                <a:lnTo>
                                  <a:pt x="645820" y="353377"/>
                                </a:lnTo>
                                <a:lnTo>
                                  <a:pt x="610476" y="331152"/>
                                </a:lnTo>
                                <a:lnTo>
                                  <a:pt x="580948" y="313270"/>
                                </a:lnTo>
                                <a:lnTo>
                                  <a:pt x="526110" y="286524"/>
                                </a:lnTo>
                                <a:lnTo>
                                  <a:pt x="508076" y="281203"/>
                                </a:lnTo>
                                <a:lnTo>
                                  <a:pt x="488289" y="252831"/>
                                </a:lnTo>
                                <a:lnTo>
                                  <a:pt x="441325" y="203301"/>
                                </a:lnTo>
                                <a:lnTo>
                                  <a:pt x="396760" y="177203"/>
                                </a:lnTo>
                                <a:lnTo>
                                  <a:pt x="373443" y="168770"/>
                                </a:lnTo>
                                <a:lnTo>
                                  <a:pt x="309245" y="186067"/>
                                </a:lnTo>
                                <a:lnTo>
                                  <a:pt x="246113" y="249250"/>
                                </a:lnTo>
                                <a:lnTo>
                                  <a:pt x="223431" y="281305"/>
                                </a:lnTo>
                                <a:lnTo>
                                  <a:pt x="207606" y="229209"/>
                                </a:lnTo>
                                <a:lnTo>
                                  <a:pt x="185737" y="170561"/>
                                </a:lnTo>
                                <a:lnTo>
                                  <a:pt x="162750" y="119392"/>
                                </a:lnTo>
                                <a:lnTo>
                                  <a:pt x="139522" y="76339"/>
                                </a:lnTo>
                                <a:lnTo>
                                  <a:pt x="116928" y="42024"/>
                                </a:lnTo>
                                <a:lnTo>
                                  <a:pt x="70319" y="0"/>
                                </a:lnTo>
                                <a:lnTo>
                                  <a:pt x="52565" y="2781"/>
                                </a:lnTo>
                                <a:lnTo>
                                  <a:pt x="24345" y="140614"/>
                                </a:lnTo>
                                <a:lnTo>
                                  <a:pt x="13944" y="364147"/>
                                </a:lnTo>
                                <a:lnTo>
                                  <a:pt x="7734" y="519201"/>
                                </a:lnTo>
                                <a:lnTo>
                                  <a:pt x="0" y="519201"/>
                                </a:lnTo>
                                <a:lnTo>
                                  <a:pt x="0" y="685444"/>
                                </a:lnTo>
                                <a:lnTo>
                                  <a:pt x="29883" y="685444"/>
                                </a:lnTo>
                                <a:lnTo>
                                  <a:pt x="21463" y="688174"/>
                                </a:lnTo>
                                <a:lnTo>
                                  <a:pt x="892429" y="685444"/>
                                </a:lnTo>
                                <a:lnTo>
                                  <a:pt x="2372322" y="685444"/>
                                </a:lnTo>
                                <a:lnTo>
                                  <a:pt x="2372322" y="519201"/>
                                </a:lnTo>
                                <a:close/>
                              </a:path>
                            </a:pathLst>
                          </a:custGeom>
                          <a:solidFill>
                            <a:srgbClr val="92C5EB"/>
                          </a:solidFill>
                        </wps:spPr>
                        <wps:bodyPr wrap="square" lIns="0" tIns="0" rIns="0" bIns="0" rtlCol="0">
                          <a:prstTxWarp prst="textNoShape">
                            <a:avLst/>
                          </a:prstTxWarp>
                          <a:noAutofit/>
                        </wps:bodyPr>
                      </wps:wsp>
                      <wps:wsp>
                        <wps:cNvPr id="123" name="Graphic 123"/>
                        <wps:cNvSpPr/>
                        <wps:spPr>
                          <a:xfrm>
                            <a:off x="0" y="5735"/>
                            <a:ext cx="29845" cy="521334"/>
                          </a:xfrm>
                          <a:custGeom>
                            <a:avLst/>
                            <a:gdLst/>
                            <a:ahLst/>
                            <a:cxnLst/>
                            <a:rect l="l" t="t" r="r" b="b"/>
                            <a:pathLst>
                              <a:path w="29845" h="521334">
                                <a:moveTo>
                                  <a:pt x="331" y="0"/>
                                </a:moveTo>
                                <a:lnTo>
                                  <a:pt x="29646" y="0"/>
                                </a:lnTo>
                              </a:path>
                              <a:path w="29845" h="521334">
                                <a:moveTo>
                                  <a:pt x="296" y="174408"/>
                                </a:moveTo>
                                <a:lnTo>
                                  <a:pt x="29599" y="174408"/>
                                </a:lnTo>
                              </a:path>
                              <a:path w="29845" h="521334">
                                <a:moveTo>
                                  <a:pt x="0" y="346766"/>
                                </a:moveTo>
                                <a:lnTo>
                                  <a:pt x="29326" y="346766"/>
                                </a:lnTo>
                              </a:path>
                              <a:path w="29845" h="521334">
                                <a:moveTo>
                                  <a:pt x="23" y="521127"/>
                                </a:moveTo>
                                <a:lnTo>
                                  <a:pt x="29326" y="521127"/>
                                </a:lnTo>
                              </a:path>
                            </a:pathLst>
                          </a:custGeom>
                          <a:ln w="5924">
                            <a:solidFill>
                              <a:srgbClr val="231F20"/>
                            </a:solidFill>
                            <a:prstDash val="solid"/>
                          </a:ln>
                        </wps:spPr>
                        <wps:bodyPr wrap="square" lIns="0" tIns="0" rIns="0" bIns="0" rtlCol="0">
                          <a:prstTxWarp prst="textNoShape">
                            <a:avLst/>
                          </a:prstTxWarp>
                          <a:noAutofit/>
                        </wps:bodyPr>
                      </wps:wsp>
                      <wps:wsp>
                        <wps:cNvPr id="124" name="Graphic 124"/>
                        <wps:cNvSpPr/>
                        <wps:spPr>
                          <a:xfrm>
                            <a:off x="135873" y="702099"/>
                            <a:ext cx="2162175" cy="30480"/>
                          </a:xfrm>
                          <a:custGeom>
                            <a:avLst/>
                            <a:gdLst/>
                            <a:ahLst/>
                            <a:cxnLst/>
                            <a:rect l="l" t="t" r="r" b="b"/>
                            <a:pathLst>
                              <a:path w="2162175" h="30480">
                                <a:moveTo>
                                  <a:pt x="0" y="29303"/>
                                </a:moveTo>
                                <a:lnTo>
                                  <a:pt x="0" y="0"/>
                                </a:lnTo>
                              </a:path>
                              <a:path w="2162175" h="30480">
                                <a:moveTo>
                                  <a:pt x="102827" y="29587"/>
                                </a:moveTo>
                                <a:lnTo>
                                  <a:pt x="102827" y="284"/>
                                </a:lnTo>
                              </a:path>
                              <a:path w="2162175" h="30480">
                                <a:moveTo>
                                  <a:pt x="205109" y="29291"/>
                                </a:moveTo>
                                <a:lnTo>
                                  <a:pt x="205109" y="0"/>
                                </a:lnTo>
                              </a:path>
                              <a:path w="2162175" h="30480">
                                <a:moveTo>
                                  <a:pt x="307095" y="29587"/>
                                </a:moveTo>
                                <a:lnTo>
                                  <a:pt x="307095" y="284"/>
                                </a:lnTo>
                              </a:path>
                              <a:path w="2162175" h="30480">
                                <a:moveTo>
                                  <a:pt x="411924" y="29587"/>
                                </a:moveTo>
                                <a:lnTo>
                                  <a:pt x="411924" y="284"/>
                                </a:lnTo>
                              </a:path>
                              <a:path w="2162175" h="30480">
                                <a:moveTo>
                                  <a:pt x="515060" y="29291"/>
                                </a:moveTo>
                                <a:lnTo>
                                  <a:pt x="515060" y="0"/>
                                </a:lnTo>
                              </a:path>
                              <a:path w="2162175" h="30480">
                                <a:moveTo>
                                  <a:pt x="619901" y="29291"/>
                                </a:moveTo>
                                <a:lnTo>
                                  <a:pt x="619901" y="0"/>
                                </a:lnTo>
                              </a:path>
                              <a:path w="2162175" h="30480">
                                <a:moveTo>
                                  <a:pt x="721887" y="29871"/>
                                </a:moveTo>
                                <a:lnTo>
                                  <a:pt x="721887" y="568"/>
                                </a:lnTo>
                              </a:path>
                              <a:path w="2162175" h="30480">
                                <a:moveTo>
                                  <a:pt x="824726" y="29291"/>
                                </a:moveTo>
                                <a:lnTo>
                                  <a:pt x="824726" y="0"/>
                                </a:lnTo>
                              </a:path>
                              <a:path w="2162175" h="30480">
                                <a:moveTo>
                                  <a:pt x="928134" y="29587"/>
                                </a:moveTo>
                                <a:lnTo>
                                  <a:pt x="928134" y="284"/>
                                </a:lnTo>
                              </a:path>
                              <a:path w="2162175" h="30480">
                                <a:moveTo>
                                  <a:pt x="1029824" y="29587"/>
                                </a:moveTo>
                                <a:lnTo>
                                  <a:pt x="1029824" y="284"/>
                                </a:lnTo>
                              </a:path>
                              <a:path w="2162175" h="30480">
                                <a:moveTo>
                                  <a:pt x="1130933" y="29291"/>
                                </a:moveTo>
                                <a:lnTo>
                                  <a:pt x="1130933" y="0"/>
                                </a:lnTo>
                              </a:path>
                              <a:path w="2162175" h="30480">
                                <a:moveTo>
                                  <a:pt x="1232919" y="29291"/>
                                </a:moveTo>
                                <a:lnTo>
                                  <a:pt x="1232919" y="0"/>
                                </a:lnTo>
                              </a:path>
                              <a:path w="2162175" h="30480">
                                <a:moveTo>
                                  <a:pt x="1335782" y="29291"/>
                                </a:moveTo>
                                <a:lnTo>
                                  <a:pt x="1335782" y="0"/>
                                </a:lnTo>
                              </a:path>
                              <a:path w="2162175" h="30480">
                                <a:moveTo>
                                  <a:pt x="1438869" y="29587"/>
                                </a:moveTo>
                                <a:lnTo>
                                  <a:pt x="1438869" y="284"/>
                                </a:lnTo>
                              </a:path>
                              <a:path w="2162175" h="30480">
                                <a:moveTo>
                                  <a:pt x="1541448" y="29587"/>
                                </a:moveTo>
                                <a:lnTo>
                                  <a:pt x="1541448" y="284"/>
                                </a:lnTo>
                              </a:path>
                              <a:path w="2162175" h="30480">
                                <a:moveTo>
                                  <a:pt x="1645721" y="29587"/>
                                </a:moveTo>
                                <a:lnTo>
                                  <a:pt x="1645721" y="284"/>
                                </a:lnTo>
                              </a:path>
                              <a:path w="2162175" h="30480">
                                <a:moveTo>
                                  <a:pt x="1749685" y="29587"/>
                                </a:moveTo>
                                <a:lnTo>
                                  <a:pt x="1749685" y="284"/>
                                </a:lnTo>
                              </a:path>
                              <a:path w="2162175" h="30480">
                                <a:moveTo>
                                  <a:pt x="1852833" y="29587"/>
                                </a:moveTo>
                                <a:lnTo>
                                  <a:pt x="1852833" y="284"/>
                                </a:lnTo>
                              </a:path>
                              <a:path w="2162175" h="30480">
                                <a:moveTo>
                                  <a:pt x="1957402" y="29291"/>
                                </a:moveTo>
                                <a:lnTo>
                                  <a:pt x="1957402" y="0"/>
                                </a:lnTo>
                              </a:path>
                              <a:path w="2162175" h="30480">
                                <a:moveTo>
                                  <a:pt x="2059672" y="29291"/>
                                </a:moveTo>
                                <a:lnTo>
                                  <a:pt x="2059672" y="0"/>
                                </a:lnTo>
                              </a:path>
                              <a:path w="2162175" h="30480">
                                <a:moveTo>
                                  <a:pt x="2161634" y="29587"/>
                                </a:moveTo>
                                <a:lnTo>
                                  <a:pt x="2161634" y="284"/>
                                </a:lnTo>
                              </a:path>
                            </a:pathLst>
                          </a:custGeom>
                          <a:ln w="11849">
                            <a:solidFill>
                              <a:srgbClr val="231F20"/>
                            </a:solidFill>
                            <a:prstDash val="solid"/>
                          </a:ln>
                        </wps:spPr>
                        <wps:bodyPr wrap="square" lIns="0" tIns="0" rIns="0" bIns="0" rtlCol="0">
                          <a:prstTxWarp prst="textNoShape">
                            <a:avLst/>
                          </a:prstTxWarp>
                          <a:noAutofit/>
                        </wps:bodyPr>
                      </wps:wsp>
                      <wps:wsp>
                        <wps:cNvPr id="125" name="Graphic 125"/>
                        <wps:cNvSpPr/>
                        <wps:spPr>
                          <a:xfrm>
                            <a:off x="27145" y="15002"/>
                            <a:ext cx="2371090" cy="687070"/>
                          </a:xfrm>
                          <a:custGeom>
                            <a:avLst/>
                            <a:gdLst/>
                            <a:ahLst/>
                            <a:cxnLst/>
                            <a:rect l="l" t="t" r="r" b="b"/>
                            <a:pathLst>
                              <a:path w="2371090" h="687070">
                                <a:moveTo>
                                  <a:pt x="2370903" y="686837"/>
                                </a:moveTo>
                                <a:lnTo>
                                  <a:pt x="23" y="686837"/>
                                </a:lnTo>
                                <a:lnTo>
                                  <a:pt x="23" y="517820"/>
                                </a:lnTo>
                                <a:lnTo>
                                  <a:pt x="2370903" y="517820"/>
                                </a:lnTo>
                                <a:lnTo>
                                  <a:pt x="2370903" y="686837"/>
                                </a:lnTo>
                                <a:close/>
                              </a:path>
                              <a:path w="2371090" h="687070">
                                <a:moveTo>
                                  <a:pt x="0" y="684028"/>
                                </a:moveTo>
                                <a:lnTo>
                                  <a:pt x="3711" y="584468"/>
                                </a:lnTo>
                                <a:lnTo>
                                  <a:pt x="12518" y="364148"/>
                                </a:lnTo>
                                <a:lnTo>
                                  <a:pt x="22934" y="140611"/>
                                </a:lnTo>
                                <a:lnTo>
                                  <a:pt x="31471" y="31399"/>
                                </a:lnTo>
                                <a:lnTo>
                                  <a:pt x="68901" y="0"/>
                                </a:lnTo>
                                <a:lnTo>
                                  <a:pt x="94426" y="17085"/>
                                </a:lnTo>
                                <a:lnTo>
                                  <a:pt x="138101" y="76333"/>
                                </a:lnTo>
                                <a:lnTo>
                                  <a:pt x="161328" y="119391"/>
                                </a:lnTo>
                                <a:lnTo>
                                  <a:pt x="184314" y="170559"/>
                                </a:lnTo>
                                <a:lnTo>
                                  <a:pt x="206187" y="229199"/>
                                </a:lnTo>
                                <a:lnTo>
                                  <a:pt x="226070" y="294676"/>
                                </a:lnTo>
                                <a:lnTo>
                                  <a:pt x="239237" y="343071"/>
                                </a:lnTo>
                                <a:lnTo>
                                  <a:pt x="254005" y="395210"/>
                                </a:lnTo>
                                <a:lnTo>
                                  <a:pt x="270490" y="448903"/>
                                </a:lnTo>
                                <a:lnTo>
                                  <a:pt x="288813" y="501958"/>
                                </a:lnTo>
                                <a:lnTo>
                                  <a:pt x="309090" y="552187"/>
                                </a:lnTo>
                                <a:lnTo>
                                  <a:pt x="331439" y="597397"/>
                                </a:lnTo>
                                <a:lnTo>
                                  <a:pt x="355979" y="635400"/>
                                </a:lnTo>
                                <a:lnTo>
                                  <a:pt x="382827" y="664004"/>
                                </a:lnTo>
                                <a:lnTo>
                                  <a:pt x="412102" y="681019"/>
                                </a:lnTo>
                              </a:path>
                              <a:path w="2371090" h="687070">
                                <a:moveTo>
                                  <a:pt x="1219126" y="686754"/>
                                </a:moveTo>
                                <a:lnTo>
                                  <a:pt x="1158230" y="665505"/>
                                </a:lnTo>
                                <a:lnTo>
                                  <a:pt x="1119540" y="646982"/>
                                </a:lnTo>
                                <a:lnTo>
                                  <a:pt x="1076575" y="624232"/>
                                </a:lnTo>
                                <a:lnTo>
                                  <a:pt x="1030253" y="598033"/>
                                </a:lnTo>
                                <a:lnTo>
                                  <a:pt x="981488" y="569163"/>
                                </a:lnTo>
                                <a:lnTo>
                                  <a:pt x="931196" y="538400"/>
                                </a:lnTo>
                                <a:lnTo>
                                  <a:pt x="880294" y="506523"/>
                                </a:lnTo>
                                <a:lnTo>
                                  <a:pt x="829697" y="474310"/>
                                </a:lnTo>
                                <a:lnTo>
                                  <a:pt x="780321" y="442540"/>
                                </a:lnTo>
                                <a:lnTo>
                                  <a:pt x="733082" y="411991"/>
                                </a:lnTo>
                                <a:lnTo>
                                  <a:pt x="688895" y="383441"/>
                                </a:lnTo>
                                <a:lnTo>
                                  <a:pt x="648677" y="357668"/>
                                </a:lnTo>
                                <a:lnTo>
                                  <a:pt x="613343" y="335451"/>
                                </a:lnTo>
                                <a:lnTo>
                                  <a:pt x="528979" y="290812"/>
                                </a:lnTo>
                                <a:lnTo>
                                  <a:pt x="477351" y="275569"/>
                                </a:lnTo>
                                <a:lnTo>
                                  <a:pt x="428976" y="270038"/>
                                </a:lnTo>
                                <a:lnTo>
                                  <a:pt x="383904" y="272417"/>
                                </a:lnTo>
                                <a:lnTo>
                                  <a:pt x="342185" y="280903"/>
                                </a:lnTo>
                                <a:lnTo>
                                  <a:pt x="303871" y="293695"/>
                                </a:lnTo>
                                <a:lnTo>
                                  <a:pt x="200635" y="375662"/>
                                </a:lnTo>
                                <a:lnTo>
                                  <a:pt x="125556" y="486064"/>
                                </a:lnTo>
                                <a:lnTo>
                                  <a:pt x="64967" y="589490"/>
                                </a:lnTo>
                                <a:lnTo>
                                  <a:pt x="40062" y="635233"/>
                                </a:lnTo>
                              </a:path>
                              <a:path w="2371090" h="687070">
                                <a:moveTo>
                                  <a:pt x="22892" y="686754"/>
                                </a:moveTo>
                                <a:lnTo>
                                  <a:pt x="114113" y="653126"/>
                                </a:lnTo>
                                <a:lnTo>
                                  <a:pt x="219688" y="604652"/>
                                </a:lnTo>
                                <a:lnTo>
                                  <a:pt x="357726" y="529349"/>
                                </a:lnTo>
                                <a:lnTo>
                                  <a:pt x="406073" y="502926"/>
                                </a:lnTo>
                                <a:lnTo>
                                  <a:pt x="456857" y="479105"/>
                                </a:lnTo>
                                <a:lnTo>
                                  <a:pt x="509369" y="457847"/>
                                </a:lnTo>
                                <a:lnTo>
                                  <a:pt x="562897" y="439115"/>
                                </a:lnTo>
                                <a:lnTo>
                                  <a:pt x="616730" y="422867"/>
                                </a:lnTo>
                                <a:lnTo>
                                  <a:pt x="670156" y="409066"/>
                                </a:lnTo>
                                <a:lnTo>
                                  <a:pt x="722465" y="397672"/>
                                </a:lnTo>
                                <a:lnTo>
                                  <a:pt x="772944" y="388646"/>
                                </a:lnTo>
                                <a:lnTo>
                                  <a:pt x="820884" y="381949"/>
                                </a:lnTo>
                                <a:lnTo>
                                  <a:pt x="865573" y="377542"/>
                                </a:lnTo>
                                <a:lnTo>
                                  <a:pt x="906299" y="375386"/>
                                </a:lnTo>
                                <a:lnTo>
                                  <a:pt x="942351" y="375440"/>
                                </a:lnTo>
                                <a:lnTo>
                                  <a:pt x="1007868" y="382240"/>
                                </a:lnTo>
                                <a:lnTo>
                                  <a:pt x="1046628" y="388271"/>
                                </a:lnTo>
                                <a:lnTo>
                                  <a:pt x="1088949" y="395939"/>
                                </a:lnTo>
                                <a:lnTo>
                                  <a:pt x="1134483" y="405427"/>
                                </a:lnTo>
                                <a:lnTo>
                                  <a:pt x="1182881" y="416914"/>
                                </a:lnTo>
                                <a:lnTo>
                                  <a:pt x="1233796" y="430580"/>
                                </a:lnTo>
                                <a:lnTo>
                                  <a:pt x="1286878" y="446607"/>
                                </a:lnTo>
                                <a:lnTo>
                                  <a:pt x="1341779" y="465175"/>
                                </a:lnTo>
                                <a:lnTo>
                                  <a:pt x="1398150" y="486464"/>
                                </a:lnTo>
                                <a:lnTo>
                                  <a:pt x="1455644" y="510655"/>
                                </a:lnTo>
                                <a:lnTo>
                                  <a:pt x="1513910" y="537928"/>
                                </a:lnTo>
                                <a:lnTo>
                                  <a:pt x="1594921" y="578747"/>
                                </a:lnTo>
                                <a:lnTo>
                                  <a:pt x="1657058" y="611105"/>
                                </a:lnTo>
                                <a:lnTo>
                                  <a:pt x="1704930" y="636003"/>
                                </a:lnTo>
                                <a:lnTo>
                                  <a:pt x="1743143" y="654442"/>
                                </a:lnTo>
                                <a:lnTo>
                                  <a:pt x="1776303" y="667423"/>
                                </a:lnTo>
                                <a:lnTo>
                                  <a:pt x="1809016" y="675948"/>
                                </a:lnTo>
                                <a:lnTo>
                                  <a:pt x="1845889" y="681019"/>
                                </a:lnTo>
                              </a:path>
                            </a:pathLst>
                          </a:custGeom>
                          <a:ln w="11849">
                            <a:solidFill>
                              <a:srgbClr val="009EDB"/>
                            </a:solidFill>
                            <a:prstDash val="solid"/>
                          </a:ln>
                        </wps:spPr>
                        <wps:bodyPr wrap="square" lIns="0" tIns="0" rIns="0" bIns="0" rtlCol="0">
                          <a:prstTxWarp prst="textNoShape">
                            <a:avLst/>
                          </a:prstTxWarp>
                          <a:noAutofit/>
                        </wps:bodyPr>
                      </wps:wsp>
                      <wps:wsp>
                        <wps:cNvPr id="126" name="Graphic 126"/>
                        <wps:cNvSpPr/>
                        <wps:spPr>
                          <a:xfrm>
                            <a:off x="29065" y="5924"/>
                            <a:ext cx="2369185" cy="695960"/>
                          </a:xfrm>
                          <a:custGeom>
                            <a:avLst/>
                            <a:gdLst/>
                            <a:ahLst/>
                            <a:cxnLst/>
                            <a:rect l="l" t="t" r="r" b="b"/>
                            <a:pathLst>
                              <a:path w="2369185" h="695960">
                                <a:moveTo>
                                  <a:pt x="2368983" y="695831"/>
                                </a:moveTo>
                                <a:lnTo>
                                  <a:pt x="0" y="695831"/>
                                </a:lnTo>
                                <a:lnTo>
                                  <a:pt x="0" y="0"/>
                                </a:lnTo>
                                <a:lnTo>
                                  <a:pt x="2368983" y="0"/>
                                </a:lnTo>
                                <a:lnTo>
                                  <a:pt x="2368983" y="691470"/>
                                </a:lnTo>
                              </a:path>
                            </a:pathLst>
                          </a:custGeom>
                          <a:ln w="11849">
                            <a:solidFill>
                              <a:srgbClr val="231F20"/>
                            </a:solidFill>
                            <a:prstDash val="solid"/>
                          </a:ln>
                        </wps:spPr>
                        <wps:bodyPr wrap="square" lIns="0" tIns="0" rIns="0" bIns="0" rtlCol="0">
                          <a:prstTxWarp prst="textNoShape">
                            <a:avLst/>
                          </a:prstTxWarp>
                          <a:noAutofit/>
                        </wps:bodyPr>
                      </wps:wsp>
                      <wps:wsp>
                        <wps:cNvPr id="127" name="Graphic 127"/>
                        <wps:cNvSpPr/>
                        <wps:spPr>
                          <a:xfrm>
                            <a:off x="2398048" y="685309"/>
                            <a:ext cx="1270" cy="46355"/>
                          </a:xfrm>
                          <a:custGeom>
                            <a:avLst/>
                            <a:gdLst/>
                            <a:ahLst/>
                            <a:cxnLst/>
                            <a:rect l="l" t="t" r="r" b="b"/>
                            <a:pathLst>
                              <a:path w="0" h="46355">
                                <a:moveTo>
                                  <a:pt x="0" y="46093"/>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128" name="Graphic 128"/>
                        <wps:cNvSpPr/>
                        <wps:spPr>
                          <a:xfrm>
                            <a:off x="38591" y="183768"/>
                            <a:ext cx="724535" cy="515620"/>
                          </a:xfrm>
                          <a:custGeom>
                            <a:avLst/>
                            <a:gdLst/>
                            <a:ahLst/>
                            <a:cxnLst/>
                            <a:rect l="l" t="t" r="r" b="b"/>
                            <a:pathLst>
                              <a:path w="724535" h="515620">
                                <a:moveTo>
                                  <a:pt x="0" y="515119"/>
                                </a:moveTo>
                                <a:lnTo>
                                  <a:pt x="19093" y="479704"/>
                                </a:lnTo>
                                <a:lnTo>
                                  <a:pt x="64746" y="392776"/>
                                </a:lnTo>
                                <a:lnTo>
                                  <a:pt x="119523" y="283311"/>
                                </a:lnTo>
                                <a:lnTo>
                                  <a:pt x="165983" y="180285"/>
                                </a:lnTo>
                                <a:lnTo>
                                  <a:pt x="185122" y="148493"/>
                                </a:lnTo>
                                <a:lnTo>
                                  <a:pt x="233236" y="80482"/>
                                </a:lnTo>
                                <a:lnTo>
                                  <a:pt x="296373" y="17302"/>
                                </a:lnTo>
                                <a:lnTo>
                                  <a:pt x="360582" y="0"/>
                                </a:lnTo>
                                <a:lnTo>
                                  <a:pt x="383896" y="8431"/>
                                </a:lnTo>
                                <a:lnTo>
                                  <a:pt x="428458" y="34535"/>
                                </a:lnTo>
                                <a:lnTo>
                                  <a:pt x="475420" y="84062"/>
                                </a:lnTo>
                                <a:lnTo>
                                  <a:pt x="501733" y="121773"/>
                                </a:lnTo>
                                <a:lnTo>
                                  <a:pt x="530966" y="170335"/>
                                </a:lnTo>
                                <a:lnTo>
                                  <a:pt x="563890" y="231415"/>
                                </a:lnTo>
                                <a:lnTo>
                                  <a:pt x="601280" y="306678"/>
                                </a:lnTo>
                                <a:lnTo>
                                  <a:pt x="643908" y="397788"/>
                                </a:lnTo>
                                <a:lnTo>
                                  <a:pt x="650392" y="415317"/>
                                </a:lnTo>
                                <a:lnTo>
                                  <a:pt x="667877" y="454308"/>
                                </a:lnTo>
                                <a:lnTo>
                                  <a:pt x="693412" y="494372"/>
                                </a:lnTo>
                                <a:lnTo>
                                  <a:pt x="724044" y="515119"/>
                                </a:lnTo>
                              </a:path>
                            </a:pathLst>
                          </a:custGeom>
                          <a:ln w="11849">
                            <a:solidFill>
                              <a:srgbClr val="009EDB"/>
                            </a:solidFill>
                            <a:prstDash val="solid"/>
                          </a:ln>
                        </wps:spPr>
                        <wps:bodyPr wrap="square" lIns="0" tIns="0" rIns="0" bIns="0" rtlCol="0">
                          <a:prstTxWarp prst="textNoShape">
                            <a:avLst/>
                          </a:prstTxWarp>
                          <a:noAutofit/>
                        </wps:bodyPr>
                      </wps:wsp>
                      <wps:wsp>
                        <wps:cNvPr id="129" name="Textbox 129"/>
                        <wps:cNvSpPr txBox="1"/>
                        <wps:spPr>
                          <a:xfrm>
                            <a:off x="190633" y="24771"/>
                            <a:ext cx="889635" cy="329565"/>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Lispro/aspart</w:t>
                              </w:r>
                            </w:p>
                            <w:p>
                              <w:pPr>
                                <w:spacing w:before="51"/>
                                <w:ind w:left="455" w:right="0" w:firstLine="0"/>
                                <w:jc w:val="left"/>
                                <w:rPr>
                                  <w:rFonts w:ascii="Arial MT"/>
                                  <w:sz w:val="13"/>
                                </w:rPr>
                              </w:pPr>
                              <w:r>
                                <w:rPr>
                                  <w:rFonts w:ascii="Arial MT"/>
                                  <w:color w:val="231F20"/>
                                  <w:spacing w:val="-2"/>
                                  <w:sz w:val="13"/>
                                </w:rPr>
                                <w:t>Regular</w:t>
                              </w:r>
                            </w:p>
                            <w:p>
                              <w:pPr>
                                <w:spacing w:before="37"/>
                                <w:ind w:left="741" w:right="0" w:firstLine="0"/>
                                <w:jc w:val="left"/>
                                <w:rPr>
                                  <w:rFonts w:ascii="Arial MT"/>
                                  <w:sz w:val="13"/>
                                </w:rPr>
                              </w:pPr>
                              <w:r>
                                <w:rPr>
                                  <w:rFonts w:ascii="Arial MT"/>
                                  <w:color w:val="231F20"/>
                                  <w:spacing w:val="-2"/>
                                  <w:sz w:val="13"/>
                                </w:rPr>
                                <w:t>NPH/Lente</w:t>
                              </w:r>
                            </w:p>
                          </w:txbxContent>
                        </wps:txbx>
                        <wps:bodyPr wrap="square" lIns="0" tIns="0" rIns="0" bIns="0" rtlCol="0">
                          <a:noAutofit/>
                        </wps:bodyPr>
                      </wps:wsp>
                      <wps:wsp>
                        <wps:cNvPr id="130" name="Textbox 130"/>
                        <wps:cNvSpPr txBox="1"/>
                        <wps:spPr>
                          <a:xfrm>
                            <a:off x="1250903" y="360692"/>
                            <a:ext cx="367665"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Ultralente</w:t>
                              </w:r>
                            </w:p>
                          </w:txbxContent>
                        </wps:txbx>
                        <wps:bodyPr wrap="square" lIns="0" tIns="0" rIns="0" bIns="0" rtlCol="0">
                          <a:noAutofit/>
                        </wps:bodyPr>
                      </wps:wsp>
                      <wps:wsp>
                        <wps:cNvPr id="131" name="Textbox 131"/>
                        <wps:cNvSpPr txBox="1"/>
                        <wps:spPr>
                          <a:xfrm>
                            <a:off x="1692494" y="435508"/>
                            <a:ext cx="62611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Glargine/detemir</w:t>
                              </w:r>
                            </w:p>
                          </w:txbxContent>
                        </wps:txbx>
                        <wps:bodyPr wrap="square" lIns="0" tIns="0" rIns="0" bIns="0" rtlCol="0">
                          <a:noAutofit/>
                        </wps:bodyPr>
                      </wps:wsp>
                    </wpg:wgp>
                  </a:graphicData>
                </a:graphic>
              </wp:anchor>
            </w:drawing>
          </mc:Choice>
          <mc:Fallback>
            <w:pict>
              <v:group style="position:absolute;margin-left:326.605164pt;margin-top:20.872639pt;width:189.3pt;height:57.65pt;mso-position-horizontal-relative:page;mso-position-vertical-relative:paragraph;z-index:-15725056;mso-wrap-distance-left:0;mso-wrap-distance-right:0" id="docshapegroup93" coordorigin="6532,417" coordsize="3786,1153">
                <v:shape style="position:absolute;left:6581;top:701;width:3722;height:272" id="docshape94" coordorigin="6581,701" coordsize="3722,272" path="m6582,701l10302,701m6581,973l10303,973e" filled="false" stroked="true" strokeweight=".466503pt" strokecolor="#c7c8ca">
                  <v:path arrowok="t"/>
                  <v:stroke dashstyle="solid"/>
                </v:shape>
                <v:shape style="position:absolute;left:6572;top:441;width:3736;height:1084" id="docshape95" coordorigin="6573,441" coordsize="3736,1084" path="m10309,1259l8887,1259,8863,1248,8772,1209,8683,1176,8597,1147,8513,1121,8433,1100,8357,1082,8285,1067,8219,1055,8158,1045,8054,1035,7998,1035,7933,1038,7863,1045,7788,1055,7708,1070,7703,1071,7590,998,7534,963,7487,934,7401,892,7373,884,7342,839,7268,761,7197,720,7161,707,7060,734,6960,834,6924,884,6900,802,6865,710,6829,629,6792,561,6757,507,6683,441,6655,445,6611,663,6595,1015,6585,1259,6573,1259,6573,1521,6620,1521,6606,1525,7978,1521,10309,1521,10309,1259xe" filled="true" fillcolor="#92c5eb" stroked="false">
                  <v:path arrowok="t"/>
                  <v:fill type="solid"/>
                </v:shape>
                <v:shape style="position:absolute;left:6532;top:426;width:47;height:821" id="docshape96" coordorigin="6532,426" coordsize="47,821" path="m6533,426l6579,426m6533,701l6579,701m6532,973l6578,973m6532,1247l6578,1247e" filled="false" stroked="true" strokeweight=".466503pt" strokecolor="#231f20">
                  <v:path arrowok="t"/>
                  <v:stroke dashstyle="solid"/>
                </v:shape>
                <v:shape style="position:absolute;left:6746;top:1523;width:3405;height:48" id="docshape97" coordorigin="6746,1523" coordsize="3405,48" path="m6746,1569l6746,1523m6908,1570l6908,1524m7069,1569l7069,1523m7230,1570l7230,1524m7395,1570l7395,1524m7557,1569l7557,1523m7722,1569l7722,1523m7883,1570l7883,1524m8045,1569l8045,1523m8208,1570l8208,1524m8368,1570l8368,1524m8527,1569l8527,1523m8688,1569l8688,1523m8850,1569l8850,1523m9012,1570l9012,1524m9174,1570l9174,1524m9338,1570l9338,1524m9501,1570l9501,1524m9664,1570l9664,1524m9829,1569l9829,1523m9990,1569l9990,1523m10150,1570l10150,1524e" filled="false" stroked="true" strokeweight=".933007pt" strokecolor="#231f20">
                  <v:path arrowok="t"/>
                  <v:stroke dashstyle="solid"/>
                </v:shape>
                <v:shape style="position:absolute;left:6574;top:441;width:3734;height:1082" id="docshape98" coordorigin="6575,441" coordsize="3734,1082" path="m10309,1523l6575,1523,6575,1257,10309,1257,10309,1523xm6575,1518l6581,1362,6595,1015,6611,663,6624,491,6637,467,6655,445,6683,441,6724,468,6757,507,6792,561,6829,629,6865,710,6900,802,6931,905,6952,981,6975,1063,7001,1148,7030,1232,7062,1311,7097,1382,7135,1442,7178,1487,7224,1514m8495,1523l8452,1510,8399,1489,8338,1460,8270,1424,8197,1383,8121,1337,8041,1289,7961,1239,7881,1188,7804,1138,7729,1090,7660,1045,7596,1004,7541,969,7494,941,7408,899,7327,875,7250,866,7179,870,7114,883,7053,904,6998,928,6891,1033,6773,1207,6677,1369,6638,1441m6611,1523l6648,1510,6755,1470,6921,1393,7138,1275,7214,1233,7294,1196,7377,1162,7461,1133,7546,1107,7630,1085,7713,1067,7792,1053,7868,1043,7938,1036,8002,1032,8059,1032,8107,1036,8162,1043,8223,1053,8290,1065,8361,1080,8438,1098,8518,1119,8601,1144,8688,1174,8777,1207,8867,1245,8959,1288,9087,1352,9184,1403,9260,1443,9320,1472,9372,1492,9424,1506,9482,1514e" filled="false" stroked="true" strokeweight=".933007pt" strokecolor="#009edb">
                  <v:path arrowok="t"/>
                  <v:stroke dashstyle="solid"/>
                </v:shape>
                <v:shape style="position:absolute;left:6577;top:426;width:3731;height:1096" id="docshape99" coordorigin="6578,427" coordsize="3731,1096" path="m10309,1523l6578,1523,6578,427,10309,427,10309,1516e" filled="false" stroked="true" strokeweight=".933007pt" strokecolor="#231f20">
                  <v:path arrowok="t"/>
                  <v:stroke dashstyle="solid"/>
                </v:shape>
                <v:line style="position:absolute" from="10309,1569" to="10309,1497" stroked="true" strokeweight=".933007pt" strokecolor="#231f20">
                  <v:stroke dashstyle="solid"/>
                </v:line>
                <v:shape style="position:absolute;left:6592;top:706;width:1141;height:812" id="docshape100" coordorigin="6593,707" coordsize="1141,812" path="m6593,1518l6623,1462,6695,1325,6781,1153,6854,991,6884,941,6960,834,7060,734,7161,707,7197,720,7268,761,7342,839,7383,899,7429,975,7481,1071,7540,1190,7607,1333,7617,1361,7645,1422,7685,1485,7733,1518e" filled="false" stroked="true" strokeweight=".933007pt" strokecolor="#009edb">
                  <v:path arrowok="t"/>
                  <v:stroke dashstyle="solid"/>
                </v:shape>
                <v:shape style="position:absolute;left:6832;top:456;width:1401;height:519" type="#_x0000_t202" id="docshape101"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Lispro/aspart</w:t>
                        </w:r>
                      </w:p>
                      <w:p>
                        <w:pPr>
                          <w:spacing w:before="51"/>
                          <w:ind w:left="455" w:right="0" w:firstLine="0"/>
                          <w:jc w:val="left"/>
                          <w:rPr>
                            <w:rFonts w:ascii="Arial MT"/>
                            <w:sz w:val="13"/>
                          </w:rPr>
                        </w:pPr>
                        <w:r>
                          <w:rPr>
                            <w:rFonts w:ascii="Arial MT"/>
                            <w:color w:val="231F20"/>
                            <w:spacing w:val="-2"/>
                            <w:sz w:val="13"/>
                          </w:rPr>
                          <w:t>Regular</w:t>
                        </w:r>
                      </w:p>
                      <w:p>
                        <w:pPr>
                          <w:spacing w:before="37"/>
                          <w:ind w:left="741" w:right="0" w:firstLine="0"/>
                          <w:jc w:val="left"/>
                          <w:rPr>
                            <w:rFonts w:ascii="Arial MT"/>
                            <w:sz w:val="13"/>
                          </w:rPr>
                        </w:pPr>
                        <w:r>
                          <w:rPr>
                            <w:rFonts w:ascii="Arial MT"/>
                            <w:color w:val="231F20"/>
                            <w:spacing w:val="-2"/>
                            <w:sz w:val="13"/>
                          </w:rPr>
                          <w:t>NPH/Lente</w:t>
                        </w:r>
                      </w:p>
                    </w:txbxContent>
                  </v:textbox>
                  <w10:wrap type="none"/>
                </v:shape>
                <v:shape style="position:absolute;left:8502;top:985;width:579;height:131" type="#_x0000_t202" id="docshape102"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Ultralente</w:t>
                        </w:r>
                      </w:p>
                    </w:txbxContent>
                  </v:textbox>
                  <w10:wrap type="none"/>
                </v:shape>
                <v:shape style="position:absolute;left:9197;top:1103;width:986;height:131" type="#_x0000_t202" id="docshape103"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Glargine/detemir</w:t>
                        </w:r>
                      </w:p>
                    </w:txbxContent>
                  </v:textbox>
                  <w10:wrap type="none"/>
                </v:shape>
                <w10:wrap type="topAndBottom"/>
              </v:group>
            </w:pict>
          </mc:Fallback>
        </mc:AlternateContent>
      </w:r>
    </w:p>
    <w:p>
      <w:pPr>
        <w:pStyle w:val="BodyText"/>
        <w:tabs>
          <w:tab w:pos="5589" w:val="left" w:leader="none"/>
          <w:tab w:pos="6274" w:val="left" w:leader="none"/>
          <w:tab w:pos="6923" w:val="left" w:leader="none"/>
          <w:tab w:pos="7535" w:val="left" w:leader="none"/>
          <w:tab w:pos="8220" w:val="left" w:leader="none"/>
        </w:tabs>
        <w:spacing w:before="27"/>
        <w:ind w:left="4977"/>
        <w:jc w:val="center"/>
        <w:rPr>
          <w:rFonts w:ascii="Arial MT"/>
        </w:rPr>
      </w:pPr>
      <w:r>
        <w:rPr>
          <w:rFonts w:ascii="Arial MT"/>
          <w:color w:val="231F20"/>
          <w:spacing w:val="-4"/>
        </w:rPr>
        <w:t>8:00</w:t>
      </w:r>
      <w:r>
        <w:rPr>
          <w:rFonts w:ascii="Arial MT"/>
          <w:color w:val="231F20"/>
        </w:rPr>
        <w:tab/>
      </w:r>
      <w:r>
        <w:rPr>
          <w:rFonts w:ascii="Arial MT"/>
          <w:color w:val="231F20"/>
          <w:spacing w:val="-2"/>
        </w:rPr>
        <w:t>12:00</w:t>
      </w:r>
      <w:r>
        <w:rPr>
          <w:rFonts w:ascii="Arial MT"/>
          <w:color w:val="231F20"/>
        </w:rPr>
        <w:tab/>
      </w:r>
      <w:r>
        <w:rPr>
          <w:rFonts w:ascii="Arial MT"/>
          <w:color w:val="231F20"/>
          <w:spacing w:val="-4"/>
        </w:rPr>
        <w:t>4:00</w:t>
      </w:r>
      <w:r>
        <w:rPr>
          <w:rFonts w:ascii="Arial MT"/>
          <w:color w:val="231F20"/>
        </w:rPr>
        <w:tab/>
      </w:r>
      <w:r>
        <w:rPr>
          <w:rFonts w:ascii="Arial MT"/>
          <w:color w:val="231F20"/>
          <w:spacing w:val="-4"/>
        </w:rPr>
        <w:t>8:00</w:t>
      </w:r>
      <w:r>
        <w:rPr>
          <w:rFonts w:ascii="Arial MT"/>
          <w:color w:val="231F20"/>
        </w:rPr>
        <w:tab/>
      </w:r>
      <w:r>
        <w:rPr>
          <w:rFonts w:ascii="Arial MT"/>
          <w:color w:val="231F20"/>
          <w:spacing w:val="-2"/>
        </w:rPr>
        <w:t>12:00</w:t>
      </w:r>
      <w:r>
        <w:rPr>
          <w:rFonts w:ascii="Arial MT"/>
          <w:color w:val="231F20"/>
        </w:rPr>
        <w:tab/>
      </w:r>
      <w:r>
        <w:rPr>
          <w:rFonts w:ascii="Arial MT"/>
          <w:color w:val="231F20"/>
          <w:spacing w:val="-4"/>
        </w:rPr>
        <w:t>4:00</w:t>
      </w:r>
    </w:p>
    <w:p>
      <w:pPr>
        <w:pStyle w:val="BodyText"/>
        <w:spacing w:line="130" w:lineRule="exact" w:before="93"/>
        <w:ind w:left="5994" w:right="983"/>
        <w:jc w:val="center"/>
        <w:rPr>
          <w:rFonts w:ascii="Arial MT"/>
        </w:rPr>
      </w:pPr>
      <w:r>
        <w:rPr>
          <w:rFonts w:ascii="Arial MT"/>
        </w:rPr>
        <mc:AlternateContent>
          <mc:Choice Requires="wps">
            <w:drawing>
              <wp:anchor distT="0" distB="0" distL="0" distR="0" allowOverlap="1" layoutInCell="1" locked="0" behindDoc="0" simplePos="0" relativeHeight="15736832">
                <wp:simplePos x="0" y="0"/>
                <wp:positionH relativeFrom="page">
                  <wp:posOffset>4145271</wp:posOffset>
                </wp:positionH>
                <wp:positionV relativeFrom="paragraph">
                  <wp:posOffset>43001</wp:posOffset>
                </wp:positionV>
                <wp:extent cx="117475" cy="11747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117475" cy="117475"/>
                        </a:xfrm>
                        <a:custGeom>
                          <a:avLst/>
                          <a:gdLst/>
                          <a:ahLst/>
                          <a:cxnLst/>
                          <a:rect l="l" t="t" r="r" b="b"/>
                          <a:pathLst>
                            <a:path w="117475" h="117475">
                              <a:moveTo>
                                <a:pt x="61125" y="0"/>
                              </a:moveTo>
                              <a:lnTo>
                                <a:pt x="0" y="117182"/>
                              </a:lnTo>
                              <a:lnTo>
                                <a:pt x="117157" y="117182"/>
                              </a:lnTo>
                              <a:lnTo>
                                <a:pt x="61125" y="0"/>
                              </a:lnTo>
                              <a:close/>
                            </a:path>
                          </a:pathLst>
                        </a:custGeom>
                        <a:solidFill>
                          <a:srgbClr val="009EDB"/>
                        </a:solidFill>
                      </wps:spPr>
                      <wps:bodyPr wrap="square" lIns="0" tIns="0" rIns="0" bIns="0" rtlCol="0">
                        <a:prstTxWarp prst="textNoShape">
                          <a:avLst/>
                        </a:prstTxWarp>
                        <a:noAutofit/>
                      </wps:bodyPr>
                    </wps:wsp>
                  </a:graphicData>
                </a:graphic>
              </wp:anchor>
            </w:drawing>
          </mc:Choice>
          <mc:Fallback>
            <w:pict>
              <v:shape style="position:absolute;margin-left:326.399292pt;margin-top:3.385951pt;width:9.25pt;height:9.25pt;mso-position-horizontal-relative:page;mso-position-vertical-relative:paragraph;z-index:15736832" id="docshape104" coordorigin="6528,68" coordsize="185,185" path="m6624,68l6528,252,6712,252,6624,68xe" filled="true" fillcolor="#009edb" stroked="false">
                <v:path arrowok="t"/>
                <v:fill type="solid"/>
                <w10:wrap type="none"/>
              </v:shape>
            </w:pict>
          </mc:Fallback>
        </mc:AlternateContent>
      </w:r>
      <w:r>
        <w:rPr>
          <w:rFonts w:ascii="Arial MT"/>
        </w:rPr>
        <mc:AlternateContent>
          <mc:Choice Requires="wps">
            <w:drawing>
              <wp:anchor distT="0" distB="0" distL="0" distR="0" allowOverlap="1" layoutInCell="1" locked="0" behindDoc="0" simplePos="0" relativeHeight="15738880">
                <wp:simplePos x="0" y="0"/>
                <wp:positionH relativeFrom="page">
                  <wp:posOffset>540870</wp:posOffset>
                </wp:positionH>
                <wp:positionV relativeFrom="paragraph">
                  <wp:posOffset>-849968</wp:posOffset>
                </wp:positionV>
                <wp:extent cx="3062605" cy="1018539"/>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3062605" cy="101853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988"/>
                              <w:gridCol w:w="1568"/>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5</w:t>
                                  </w:r>
                                </w:p>
                              </w:tc>
                              <w:tc>
                                <w:tcPr>
                                  <w:tcW w:w="3556" w:type="dxa"/>
                                  <w:gridSpan w:val="2"/>
                                  <w:tcBorders>
                                    <w:left w:val="single" w:sz="8" w:space="0" w:color="FFFFFF"/>
                                  </w:tcBorders>
                                  <w:shd w:val="clear" w:color="auto" w:fill="231F20"/>
                                </w:tcPr>
                                <w:p>
                                  <w:pPr>
                                    <w:pStyle w:val="TableParagraph"/>
                                    <w:spacing w:before="89"/>
                                    <w:ind w:left="73"/>
                                    <w:rPr>
                                      <w:sz w:val="16"/>
                                    </w:rPr>
                                  </w:pPr>
                                  <w:r>
                                    <w:rPr>
                                      <w:color w:val="FFFFFF"/>
                                      <w:sz w:val="16"/>
                                    </w:rPr>
                                    <w:t>Starting</w:t>
                                  </w:r>
                                  <w:r>
                                    <w:rPr>
                                      <w:color w:val="FFFFFF"/>
                                      <w:spacing w:val="32"/>
                                      <w:sz w:val="16"/>
                                    </w:rPr>
                                    <w:t> </w:t>
                                  </w:r>
                                  <w:r>
                                    <w:rPr>
                                      <w:color w:val="FFFFFF"/>
                                      <w:sz w:val="16"/>
                                    </w:rPr>
                                    <w:t>Doses</w:t>
                                  </w:r>
                                  <w:r>
                                    <w:rPr>
                                      <w:color w:val="FFFFFF"/>
                                      <w:spacing w:val="32"/>
                                      <w:sz w:val="16"/>
                                    </w:rPr>
                                    <w:t> </w:t>
                                  </w:r>
                                  <w:r>
                                    <w:rPr>
                                      <w:color w:val="FFFFFF"/>
                                      <w:sz w:val="16"/>
                                    </w:rPr>
                                    <w:t>of</w:t>
                                  </w:r>
                                  <w:r>
                                    <w:rPr>
                                      <w:color w:val="FFFFFF"/>
                                      <w:spacing w:val="32"/>
                                      <w:sz w:val="16"/>
                                    </w:rPr>
                                    <w:t> </w:t>
                                  </w:r>
                                  <w:r>
                                    <w:rPr>
                                      <w:color w:val="FFFFFF"/>
                                      <w:sz w:val="16"/>
                                    </w:rPr>
                                    <w:t>Insulin</w:t>
                                  </w:r>
                                  <w:r>
                                    <w:rPr>
                                      <w:color w:val="FFFFFF"/>
                                      <w:spacing w:val="32"/>
                                      <w:sz w:val="16"/>
                                    </w:rPr>
                                    <w:t> </w:t>
                                  </w:r>
                                  <w:r>
                                    <w:rPr>
                                      <w:color w:val="FFFFFF"/>
                                      <w:spacing w:val="-2"/>
                                      <w:sz w:val="16"/>
                                    </w:rPr>
                                    <w:t>(units/kg/day)</w:t>
                                  </w:r>
                                </w:p>
                              </w:tc>
                            </w:tr>
                            <w:tr>
                              <w:trPr>
                                <w:trHeight w:val="425" w:hRule="atLeast"/>
                              </w:trPr>
                              <w:tc>
                                <w:tcPr>
                                  <w:tcW w:w="1148" w:type="dxa"/>
                                  <w:tcBorders>
                                    <w:bottom w:val="single" w:sz="4" w:space="0" w:color="231F20"/>
                                  </w:tcBorders>
                                  <w:shd w:val="clear" w:color="auto" w:fill="E8F5F1"/>
                                </w:tcPr>
                                <w:p>
                                  <w:pPr>
                                    <w:pStyle w:val="TableParagraph"/>
                                    <w:rPr>
                                      <w:rFonts w:ascii="Times New Roman"/>
                                      <w:sz w:val="14"/>
                                    </w:rPr>
                                  </w:pPr>
                                </w:p>
                              </w:tc>
                              <w:tc>
                                <w:tcPr>
                                  <w:tcW w:w="1988" w:type="dxa"/>
                                  <w:tcBorders>
                                    <w:bottom w:val="single" w:sz="4" w:space="0" w:color="231F20"/>
                                  </w:tcBorders>
                                  <w:shd w:val="clear" w:color="auto" w:fill="E8F5F1"/>
                                </w:tcPr>
                                <w:p>
                                  <w:pPr>
                                    <w:pStyle w:val="TableParagraph"/>
                                    <w:spacing w:line="230" w:lineRule="auto" w:before="53"/>
                                    <w:ind w:left="502" w:right="185" w:firstLine="65"/>
                                    <w:rPr>
                                      <w:b/>
                                      <w:sz w:val="15"/>
                                    </w:rPr>
                                  </w:pPr>
                                  <w:r>
                                    <w:rPr>
                                      <w:b/>
                                      <w:color w:val="231F20"/>
                                      <w:w w:val="115"/>
                                      <w:sz w:val="15"/>
                                    </w:rPr>
                                    <w:t>NO DIABETIC </w:t>
                                  </w:r>
                                  <w:r>
                                    <w:rPr>
                                      <w:b/>
                                      <w:color w:val="231F20"/>
                                      <w:spacing w:val="-2"/>
                                      <w:w w:val="110"/>
                                      <w:sz w:val="15"/>
                                    </w:rPr>
                                    <w:t>KETOACIDOSIS</w:t>
                                  </w:r>
                                </w:p>
                              </w:tc>
                              <w:tc>
                                <w:tcPr>
                                  <w:tcW w:w="1568" w:type="dxa"/>
                                  <w:tcBorders>
                                    <w:bottom w:val="single" w:sz="4" w:space="0" w:color="231F20"/>
                                  </w:tcBorders>
                                  <w:shd w:val="clear" w:color="auto" w:fill="E8F5F1"/>
                                </w:tcPr>
                                <w:p>
                                  <w:pPr>
                                    <w:pStyle w:val="TableParagraph"/>
                                    <w:spacing w:line="230" w:lineRule="auto" w:before="53"/>
                                    <w:ind w:left="361" w:firstLine="215"/>
                                    <w:rPr>
                                      <w:b/>
                                      <w:sz w:val="15"/>
                                    </w:rPr>
                                  </w:pPr>
                                  <w:r>
                                    <w:rPr>
                                      <w:b/>
                                      <w:color w:val="231F20"/>
                                      <w:spacing w:val="-2"/>
                                      <w:w w:val="110"/>
                                      <w:sz w:val="15"/>
                                    </w:rPr>
                                    <w:t>DIABETIC KETOACIDOSIS</w:t>
                                  </w:r>
                                </w:p>
                              </w:tc>
                            </w:tr>
                            <w:tr>
                              <w:trPr>
                                <w:trHeight w:val="257" w:hRule="atLeast"/>
                              </w:trPr>
                              <w:tc>
                                <w:tcPr>
                                  <w:tcW w:w="114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Prepubertal</w:t>
                                  </w:r>
                                </w:p>
                              </w:tc>
                              <w:tc>
                                <w:tcPr>
                                  <w:tcW w:w="1988" w:type="dxa"/>
                                  <w:tcBorders>
                                    <w:top w:val="single" w:sz="4" w:space="0" w:color="231F20"/>
                                    <w:bottom w:val="single" w:sz="4" w:space="0" w:color="FFFFFF"/>
                                  </w:tcBorders>
                                  <w:shd w:val="clear" w:color="auto" w:fill="E8F5F1"/>
                                </w:tcPr>
                                <w:p>
                                  <w:pPr>
                                    <w:pStyle w:val="TableParagraph"/>
                                    <w:spacing w:before="47"/>
                                    <w:ind w:left="139"/>
                                    <w:jc w:val="center"/>
                                    <w:rPr>
                                      <w:sz w:val="15"/>
                                    </w:rPr>
                                  </w:pPr>
                                  <w:r>
                                    <w:rPr>
                                      <w:color w:val="231F20"/>
                                      <w:w w:val="90"/>
                                      <w:sz w:val="15"/>
                                    </w:rPr>
                                    <w:t>0.25-</w:t>
                                  </w:r>
                                  <w:r>
                                    <w:rPr>
                                      <w:color w:val="231F20"/>
                                      <w:spacing w:val="-4"/>
                                      <w:sz w:val="15"/>
                                    </w:rPr>
                                    <w:t>0.50</w:t>
                                  </w:r>
                                </w:p>
                              </w:tc>
                              <w:tc>
                                <w:tcPr>
                                  <w:tcW w:w="1568" w:type="dxa"/>
                                  <w:tcBorders>
                                    <w:top w:val="single" w:sz="4" w:space="0" w:color="231F20"/>
                                    <w:bottom w:val="single" w:sz="4" w:space="0" w:color="FFFFFF"/>
                                  </w:tcBorders>
                                  <w:shd w:val="clear" w:color="auto" w:fill="E8F5F1"/>
                                </w:tcPr>
                                <w:p>
                                  <w:pPr>
                                    <w:pStyle w:val="TableParagraph"/>
                                    <w:spacing w:before="47"/>
                                    <w:ind w:right="386"/>
                                    <w:jc w:val="right"/>
                                    <w:rPr>
                                      <w:sz w:val="15"/>
                                    </w:rPr>
                                  </w:pPr>
                                  <w:r>
                                    <w:rPr>
                                      <w:color w:val="231F20"/>
                                      <w:w w:val="90"/>
                                      <w:sz w:val="15"/>
                                    </w:rPr>
                                    <w:t>0.75-</w:t>
                                  </w:r>
                                  <w:r>
                                    <w:rPr>
                                      <w:color w:val="231F20"/>
                                      <w:spacing w:val="-5"/>
                                      <w:sz w:val="15"/>
                                    </w:rPr>
                                    <w:t>1.0</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Pubertal</w:t>
                                  </w:r>
                                </w:p>
                              </w:tc>
                              <w:tc>
                                <w:tcPr>
                                  <w:tcW w:w="1988" w:type="dxa"/>
                                  <w:tcBorders>
                                    <w:top w:val="single" w:sz="4" w:space="0" w:color="FFFFFF"/>
                                    <w:bottom w:val="single" w:sz="4" w:space="0" w:color="FFFFFF"/>
                                  </w:tcBorders>
                                  <w:shd w:val="clear" w:color="auto" w:fill="E8F5F1"/>
                                </w:tcPr>
                                <w:p>
                                  <w:pPr>
                                    <w:pStyle w:val="TableParagraph"/>
                                    <w:spacing w:before="42"/>
                                    <w:ind w:left="139"/>
                                    <w:jc w:val="center"/>
                                    <w:rPr>
                                      <w:sz w:val="15"/>
                                    </w:rPr>
                                  </w:pPr>
                                  <w:r>
                                    <w:rPr>
                                      <w:color w:val="231F20"/>
                                      <w:w w:val="90"/>
                                      <w:sz w:val="15"/>
                                    </w:rPr>
                                    <w:t>0.50-</w:t>
                                  </w:r>
                                  <w:r>
                                    <w:rPr>
                                      <w:color w:val="231F20"/>
                                      <w:spacing w:val="-4"/>
                                      <w:sz w:val="15"/>
                                    </w:rPr>
                                    <w:t>0.75</w:t>
                                  </w:r>
                                </w:p>
                              </w:tc>
                              <w:tc>
                                <w:tcPr>
                                  <w:tcW w:w="1568" w:type="dxa"/>
                                  <w:tcBorders>
                                    <w:top w:val="single" w:sz="4" w:space="0" w:color="FFFFFF"/>
                                    <w:bottom w:val="single" w:sz="4" w:space="0" w:color="FFFFFF"/>
                                  </w:tcBorders>
                                  <w:shd w:val="clear" w:color="auto" w:fill="E8F5F1"/>
                                </w:tcPr>
                                <w:p>
                                  <w:pPr>
                                    <w:pStyle w:val="TableParagraph"/>
                                    <w:spacing w:before="42"/>
                                    <w:ind w:right="386"/>
                                    <w:jc w:val="right"/>
                                    <w:rPr>
                                      <w:sz w:val="15"/>
                                    </w:rPr>
                                  </w:pPr>
                                  <w:r>
                                    <w:rPr>
                                      <w:color w:val="231F20"/>
                                      <w:w w:val="90"/>
                                      <w:sz w:val="15"/>
                                    </w:rPr>
                                    <w:t>1.0-</w:t>
                                  </w:r>
                                  <w:r>
                                    <w:rPr>
                                      <w:color w:val="231F20"/>
                                      <w:spacing w:val="-5"/>
                                      <w:sz w:val="15"/>
                                    </w:rPr>
                                    <w:t>1.2</w:t>
                                  </w:r>
                                </w:p>
                              </w:tc>
                            </w:tr>
                            <w:tr>
                              <w:trPr>
                                <w:trHeight w:val="247"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Postpubertal</w:t>
                                  </w:r>
                                </w:p>
                              </w:tc>
                              <w:tc>
                                <w:tcPr>
                                  <w:tcW w:w="1988" w:type="dxa"/>
                                  <w:tcBorders>
                                    <w:top w:val="single" w:sz="4" w:space="0" w:color="FFFFFF"/>
                                    <w:bottom w:val="single" w:sz="8" w:space="0" w:color="231F20"/>
                                  </w:tcBorders>
                                  <w:shd w:val="clear" w:color="auto" w:fill="E8F5F1"/>
                                </w:tcPr>
                                <w:p>
                                  <w:pPr>
                                    <w:pStyle w:val="TableParagraph"/>
                                    <w:spacing w:before="42"/>
                                    <w:ind w:left="139"/>
                                    <w:jc w:val="center"/>
                                    <w:rPr>
                                      <w:sz w:val="15"/>
                                    </w:rPr>
                                  </w:pPr>
                                  <w:r>
                                    <w:rPr>
                                      <w:color w:val="231F20"/>
                                      <w:w w:val="90"/>
                                      <w:sz w:val="15"/>
                                    </w:rPr>
                                    <w:t>0.25-</w:t>
                                  </w:r>
                                  <w:r>
                                    <w:rPr>
                                      <w:color w:val="231F20"/>
                                      <w:spacing w:val="-4"/>
                                      <w:sz w:val="15"/>
                                    </w:rPr>
                                    <w:t>0.50</w:t>
                                  </w:r>
                                </w:p>
                              </w:tc>
                              <w:tc>
                                <w:tcPr>
                                  <w:tcW w:w="1568" w:type="dxa"/>
                                  <w:tcBorders>
                                    <w:top w:val="single" w:sz="4" w:space="0" w:color="FFFFFF"/>
                                    <w:bottom w:val="single" w:sz="8" w:space="0" w:color="231F20"/>
                                  </w:tcBorders>
                                  <w:shd w:val="clear" w:color="auto" w:fill="E8F5F1"/>
                                </w:tcPr>
                                <w:p>
                                  <w:pPr>
                                    <w:pStyle w:val="TableParagraph"/>
                                    <w:spacing w:before="42"/>
                                    <w:ind w:right="386"/>
                                    <w:jc w:val="right"/>
                                    <w:rPr>
                                      <w:sz w:val="15"/>
                                    </w:rPr>
                                  </w:pPr>
                                  <w:r>
                                    <w:rPr>
                                      <w:color w:val="231F20"/>
                                      <w:w w:val="90"/>
                                      <w:sz w:val="15"/>
                                    </w:rPr>
                                    <w:t>0.8-</w:t>
                                  </w:r>
                                  <w:r>
                                    <w:rPr>
                                      <w:color w:val="231F20"/>
                                      <w:spacing w:val="-5"/>
                                      <w:sz w:val="15"/>
                                    </w:rPr>
                                    <w:t>1.0</w:t>
                                  </w:r>
                                </w:p>
                              </w:tc>
                            </w:tr>
                          </w:tbl>
                          <w:p>
                            <w:pPr>
                              <w:pStyle w:val="BodyText"/>
                            </w:pPr>
                          </w:p>
                        </w:txbxContent>
                      </wps:txbx>
                      <wps:bodyPr wrap="square" lIns="0" tIns="0" rIns="0" bIns="0" rtlCol="0">
                        <a:noAutofit/>
                      </wps:bodyPr>
                    </wps:wsp>
                  </a:graphicData>
                </a:graphic>
              </wp:anchor>
            </w:drawing>
          </mc:Choice>
          <mc:Fallback>
            <w:pict>
              <v:shape style="position:absolute;margin-left:42.5882pt;margin-top:-66.926651pt;width:241.15pt;height:80.2pt;mso-position-horizontal-relative:page;mso-position-vertical-relative:paragraph;z-index:15738880" type="#_x0000_t202" id="docshape1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988"/>
                        <w:gridCol w:w="1568"/>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5</w:t>
                            </w:r>
                          </w:p>
                        </w:tc>
                        <w:tc>
                          <w:tcPr>
                            <w:tcW w:w="3556" w:type="dxa"/>
                            <w:gridSpan w:val="2"/>
                            <w:tcBorders>
                              <w:left w:val="single" w:sz="8" w:space="0" w:color="FFFFFF"/>
                            </w:tcBorders>
                            <w:shd w:val="clear" w:color="auto" w:fill="231F20"/>
                          </w:tcPr>
                          <w:p>
                            <w:pPr>
                              <w:pStyle w:val="TableParagraph"/>
                              <w:spacing w:before="89"/>
                              <w:ind w:left="73"/>
                              <w:rPr>
                                <w:sz w:val="16"/>
                              </w:rPr>
                            </w:pPr>
                            <w:r>
                              <w:rPr>
                                <w:color w:val="FFFFFF"/>
                                <w:sz w:val="16"/>
                              </w:rPr>
                              <w:t>Starting</w:t>
                            </w:r>
                            <w:r>
                              <w:rPr>
                                <w:color w:val="FFFFFF"/>
                                <w:spacing w:val="32"/>
                                <w:sz w:val="16"/>
                              </w:rPr>
                              <w:t> </w:t>
                            </w:r>
                            <w:r>
                              <w:rPr>
                                <w:color w:val="FFFFFF"/>
                                <w:sz w:val="16"/>
                              </w:rPr>
                              <w:t>Doses</w:t>
                            </w:r>
                            <w:r>
                              <w:rPr>
                                <w:color w:val="FFFFFF"/>
                                <w:spacing w:val="32"/>
                                <w:sz w:val="16"/>
                              </w:rPr>
                              <w:t> </w:t>
                            </w:r>
                            <w:r>
                              <w:rPr>
                                <w:color w:val="FFFFFF"/>
                                <w:sz w:val="16"/>
                              </w:rPr>
                              <w:t>of</w:t>
                            </w:r>
                            <w:r>
                              <w:rPr>
                                <w:color w:val="FFFFFF"/>
                                <w:spacing w:val="32"/>
                                <w:sz w:val="16"/>
                              </w:rPr>
                              <w:t> </w:t>
                            </w:r>
                            <w:r>
                              <w:rPr>
                                <w:color w:val="FFFFFF"/>
                                <w:sz w:val="16"/>
                              </w:rPr>
                              <w:t>Insulin</w:t>
                            </w:r>
                            <w:r>
                              <w:rPr>
                                <w:color w:val="FFFFFF"/>
                                <w:spacing w:val="32"/>
                                <w:sz w:val="16"/>
                              </w:rPr>
                              <w:t> </w:t>
                            </w:r>
                            <w:r>
                              <w:rPr>
                                <w:color w:val="FFFFFF"/>
                                <w:spacing w:val="-2"/>
                                <w:sz w:val="16"/>
                              </w:rPr>
                              <w:t>(units/kg/day)</w:t>
                            </w:r>
                          </w:p>
                        </w:tc>
                      </w:tr>
                      <w:tr>
                        <w:trPr>
                          <w:trHeight w:val="425" w:hRule="atLeast"/>
                        </w:trPr>
                        <w:tc>
                          <w:tcPr>
                            <w:tcW w:w="1148" w:type="dxa"/>
                            <w:tcBorders>
                              <w:bottom w:val="single" w:sz="4" w:space="0" w:color="231F20"/>
                            </w:tcBorders>
                            <w:shd w:val="clear" w:color="auto" w:fill="E8F5F1"/>
                          </w:tcPr>
                          <w:p>
                            <w:pPr>
                              <w:pStyle w:val="TableParagraph"/>
                              <w:rPr>
                                <w:rFonts w:ascii="Times New Roman"/>
                                <w:sz w:val="14"/>
                              </w:rPr>
                            </w:pPr>
                          </w:p>
                        </w:tc>
                        <w:tc>
                          <w:tcPr>
                            <w:tcW w:w="1988" w:type="dxa"/>
                            <w:tcBorders>
                              <w:bottom w:val="single" w:sz="4" w:space="0" w:color="231F20"/>
                            </w:tcBorders>
                            <w:shd w:val="clear" w:color="auto" w:fill="E8F5F1"/>
                          </w:tcPr>
                          <w:p>
                            <w:pPr>
                              <w:pStyle w:val="TableParagraph"/>
                              <w:spacing w:line="230" w:lineRule="auto" w:before="53"/>
                              <w:ind w:left="502" w:right="185" w:firstLine="65"/>
                              <w:rPr>
                                <w:b/>
                                <w:sz w:val="15"/>
                              </w:rPr>
                            </w:pPr>
                            <w:r>
                              <w:rPr>
                                <w:b/>
                                <w:color w:val="231F20"/>
                                <w:w w:val="115"/>
                                <w:sz w:val="15"/>
                              </w:rPr>
                              <w:t>NO DIABETIC </w:t>
                            </w:r>
                            <w:r>
                              <w:rPr>
                                <w:b/>
                                <w:color w:val="231F20"/>
                                <w:spacing w:val="-2"/>
                                <w:w w:val="110"/>
                                <w:sz w:val="15"/>
                              </w:rPr>
                              <w:t>KETOACIDOSIS</w:t>
                            </w:r>
                          </w:p>
                        </w:tc>
                        <w:tc>
                          <w:tcPr>
                            <w:tcW w:w="1568" w:type="dxa"/>
                            <w:tcBorders>
                              <w:bottom w:val="single" w:sz="4" w:space="0" w:color="231F20"/>
                            </w:tcBorders>
                            <w:shd w:val="clear" w:color="auto" w:fill="E8F5F1"/>
                          </w:tcPr>
                          <w:p>
                            <w:pPr>
                              <w:pStyle w:val="TableParagraph"/>
                              <w:spacing w:line="230" w:lineRule="auto" w:before="53"/>
                              <w:ind w:left="361" w:firstLine="215"/>
                              <w:rPr>
                                <w:b/>
                                <w:sz w:val="15"/>
                              </w:rPr>
                            </w:pPr>
                            <w:r>
                              <w:rPr>
                                <w:b/>
                                <w:color w:val="231F20"/>
                                <w:spacing w:val="-2"/>
                                <w:w w:val="110"/>
                                <w:sz w:val="15"/>
                              </w:rPr>
                              <w:t>DIABETIC KETOACIDOSIS</w:t>
                            </w:r>
                          </w:p>
                        </w:tc>
                      </w:tr>
                      <w:tr>
                        <w:trPr>
                          <w:trHeight w:val="257" w:hRule="atLeast"/>
                        </w:trPr>
                        <w:tc>
                          <w:tcPr>
                            <w:tcW w:w="114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Prepubertal</w:t>
                            </w:r>
                          </w:p>
                        </w:tc>
                        <w:tc>
                          <w:tcPr>
                            <w:tcW w:w="1988" w:type="dxa"/>
                            <w:tcBorders>
                              <w:top w:val="single" w:sz="4" w:space="0" w:color="231F20"/>
                              <w:bottom w:val="single" w:sz="4" w:space="0" w:color="FFFFFF"/>
                            </w:tcBorders>
                            <w:shd w:val="clear" w:color="auto" w:fill="E8F5F1"/>
                          </w:tcPr>
                          <w:p>
                            <w:pPr>
                              <w:pStyle w:val="TableParagraph"/>
                              <w:spacing w:before="47"/>
                              <w:ind w:left="139"/>
                              <w:jc w:val="center"/>
                              <w:rPr>
                                <w:sz w:val="15"/>
                              </w:rPr>
                            </w:pPr>
                            <w:r>
                              <w:rPr>
                                <w:color w:val="231F20"/>
                                <w:w w:val="90"/>
                                <w:sz w:val="15"/>
                              </w:rPr>
                              <w:t>0.25-</w:t>
                            </w:r>
                            <w:r>
                              <w:rPr>
                                <w:color w:val="231F20"/>
                                <w:spacing w:val="-4"/>
                                <w:sz w:val="15"/>
                              </w:rPr>
                              <w:t>0.50</w:t>
                            </w:r>
                          </w:p>
                        </w:tc>
                        <w:tc>
                          <w:tcPr>
                            <w:tcW w:w="1568" w:type="dxa"/>
                            <w:tcBorders>
                              <w:top w:val="single" w:sz="4" w:space="0" w:color="231F20"/>
                              <w:bottom w:val="single" w:sz="4" w:space="0" w:color="FFFFFF"/>
                            </w:tcBorders>
                            <w:shd w:val="clear" w:color="auto" w:fill="E8F5F1"/>
                          </w:tcPr>
                          <w:p>
                            <w:pPr>
                              <w:pStyle w:val="TableParagraph"/>
                              <w:spacing w:before="47"/>
                              <w:ind w:right="386"/>
                              <w:jc w:val="right"/>
                              <w:rPr>
                                <w:sz w:val="15"/>
                              </w:rPr>
                            </w:pPr>
                            <w:r>
                              <w:rPr>
                                <w:color w:val="231F20"/>
                                <w:w w:val="90"/>
                                <w:sz w:val="15"/>
                              </w:rPr>
                              <w:t>0.75-</w:t>
                            </w:r>
                            <w:r>
                              <w:rPr>
                                <w:color w:val="231F20"/>
                                <w:spacing w:val="-5"/>
                                <w:sz w:val="15"/>
                              </w:rPr>
                              <w:t>1.0</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Pubertal</w:t>
                            </w:r>
                          </w:p>
                        </w:tc>
                        <w:tc>
                          <w:tcPr>
                            <w:tcW w:w="1988" w:type="dxa"/>
                            <w:tcBorders>
                              <w:top w:val="single" w:sz="4" w:space="0" w:color="FFFFFF"/>
                              <w:bottom w:val="single" w:sz="4" w:space="0" w:color="FFFFFF"/>
                            </w:tcBorders>
                            <w:shd w:val="clear" w:color="auto" w:fill="E8F5F1"/>
                          </w:tcPr>
                          <w:p>
                            <w:pPr>
                              <w:pStyle w:val="TableParagraph"/>
                              <w:spacing w:before="42"/>
                              <w:ind w:left="139"/>
                              <w:jc w:val="center"/>
                              <w:rPr>
                                <w:sz w:val="15"/>
                              </w:rPr>
                            </w:pPr>
                            <w:r>
                              <w:rPr>
                                <w:color w:val="231F20"/>
                                <w:w w:val="90"/>
                                <w:sz w:val="15"/>
                              </w:rPr>
                              <w:t>0.50-</w:t>
                            </w:r>
                            <w:r>
                              <w:rPr>
                                <w:color w:val="231F20"/>
                                <w:spacing w:val="-4"/>
                                <w:sz w:val="15"/>
                              </w:rPr>
                              <w:t>0.75</w:t>
                            </w:r>
                          </w:p>
                        </w:tc>
                        <w:tc>
                          <w:tcPr>
                            <w:tcW w:w="1568" w:type="dxa"/>
                            <w:tcBorders>
                              <w:top w:val="single" w:sz="4" w:space="0" w:color="FFFFFF"/>
                              <w:bottom w:val="single" w:sz="4" w:space="0" w:color="FFFFFF"/>
                            </w:tcBorders>
                            <w:shd w:val="clear" w:color="auto" w:fill="E8F5F1"/>
                          </w:tcPr>
                          <w:p>
                            <w:pPr>
                              <w:pStyle w:val="TableParagraph"/>
                              <w:spacing w:before="42"/>
                              <w:ind w:right="386"/>
                              <w:jc w:val="right"/>
                              <w:rPr>
                                <w:sz w:val="15"/>
                              </w:rPr>
                            </w:pPr>
                            <w:r>
                              <w:rPr>
                                <w:color w:val="231F20"/>
                                <w:w w:val="90"/>
                                <w:sz w:val="15"/>
                              </w:rPr>
                              <w:t>1.0-</w:t>
                            </w:r>
                            <w:r>
                              <w:rPr>
                                <w:color w:val="231F20"/>
                                <w:spacing w:val="-5"/>
                                <w:sz w:val="15"/>
                              </w:rPr>
                              <w:t>1.2</w:t>
                            </w:r>
                          </w:p>
                        </w:tc>
                      </w:tr>
                      <w:tr>
                        <w:trPr>
                          <w:trHeight w:val="247"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Postpubertal</w:t>
                            </w:r>
                          </w:p>
                        </w:tc>
                        <w:tc>
                          <w:tcPr>
                            <w:tcW w:w="1988" w:type="dxa"/>
                            <w:tcBorders>
                              <w:top w:val="single" w:sz="4" w:space="0" w:color="FFFFFF"/>
                              <w:bottom w:val="single" w:sz="8" w:space="0" w:color="231F20"/>
                            </w:tcBorders>
                            <w:shd w:val="clear" w:color="auto" w:fill="E8F5F1"/>
                          </w:tcPr>
                          <w:p>
                            <w:pPr>
                              <w:pStyle w:val="TableParagraph"/>
                              <w:spacing w:before="42"/>
                              <w:ind w:left="139"/>
                              <w:jc w:val="center"/>
                              <w:rPr>
                                <w:sz w:val="15"/>
                              </w:rPr>
                            </w:pPr>
                            <w:r>
                              <w:rPr>
                                <w:color w:val="231F20"/>
                                <w:w w:val="90"/>
                                <w:sz w:val="15"/>
                              </w:rPr>
                              <w:t>0.25-</w:t>
                            </w:r>
                            <w:r>
                              <w:rPr>
                                <w:color w:val="231F20"/>
                                <w:spacing w:val="-4"/>
                                <w:sz w:val="15"/>
                              </w:rPr>
                              <w:t>0.50</w:t>
                            </w:r>
                          </w:p>
                        </w:tc>
                        <w:tc>
                          <w:tcPr>
                            <w:tcW w:w="1568" w:type="dxa"/>
                            <w:tcBorders>
                              <w:top w:val="single" w:sz="4" w:space="0" w:color="FFFFFF"/>
                              <w:bottom w:val="single" w:sz="8" w:space="0" w:color="231F20"/>
                            </w:tcBorders>
                            <w:shd w:val="clear" w:color="auto" w:fill="E8F5F1"/>
                          </w:tcPr>
                          <w:p>
                            <w:pPr>
                              <w:pStyle w:val="TableParagraph"/>
                              <w:spacing w:before="42"/>
                              <w:ind w:right="386"/>
                              <w:jc w:val="right"/>
                              <w:rPr>
                                <w:sz w:val="15"/>
                              </w:rPr>
                            </w:pPr>
                            <w:r>
                              <w:rPr>
                                <w:color w:val="231F20"/>
                                <w:w w:val="90"/>
                                <w:sz w:val="15"/>
                              </w:rPr>
                              <w:t>0.8-</w:t>
                            </w:r>
                            <w:r>
                              <w:rPr>
                                <w:color w:val="231F20"/>
                                <w:spacing w:val="-5"/>
                                <w:sz w:val="15"/>
                              </w:rPr>
                              <w:t>1.0</w:t>
                            </w:r>
                          </w:p>
                        </w:tc>
                      </w:tr>
                    </w:tbl>
                    <w:p>
                      <w:pPr>
                        <w:pStyle w:val="BodyText"/>
                      </w:pPr>
                    </w:p>
                  </w:txbxContent>
                </v:textbox>
                <w10:wrap type="none"/>
              </v:shape>
            </w:pict>
          </mc:Fallback>
        </mc:AlternateContent>
      </w:r>
      <w:r>
        <w:rPr>
          <w:rFonts w:ascii="Arial MT"/>
          <w:color w:val="231F20"/>
        </w:rPr>
        <w:t>Duration</w:t>
      </w:r>
      <w:r>
        <w:rPr>
          <w:rFonts w:ascii="Arial MT"/>
          <w:color w:val="231F20"/>
          <w:spacing w:val="-7"/>
        </w:rPr>
        <w:t> </w:t>
      </w:r>
      <w:r>
        <w:rPr>
          <w:rFonts w:ascii="Arial MT"/>
          <w:color w:val="231F20"/>
          <w:spacing w:val="-4"/>
        </w:rPr>
        <w:t>(hr)</w:t>
      </w:r>
    </w:p>
    <w:p>
      <w:pPr>
        <w:pStyle w:val="Heading4"/>
        <w:spacing w:line="188" w:lineRule="exact"/>
        <w:ind w:left="1017"/>
        <w:jc w:val="center"/>
        <w:rPr>
          <w:rFonts w:ascii="Arial MT"/>
        </w:rPr>
      </w:pPr>
      <w:r>
        <w:rPr>
          <w:rFonts w:ascii="Arial MT"/>
          <w:color w:val="231F20"/>
          <w:spacing w:val="-10"/>
          <w:w w:val="105"/>
        </w:rPr>
        <w:t>A</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05"/>
        <w:rPr>
          <w:rFonts w:ascii="Arial MT"/>
          <w:sz w:val="20"/>
        </w:rPr>
      </w:pPr>
    </w:p>
    <w:p>
      <w:pPr>
        <w:pStyle w:val="BodyText"/>
        <w:spacing w:after="0"/>
        <w:rPr>
          <w:rFonts w:ascii="Arial MT"/>
          <w:sz w:val="20"/>
        </w:rPr>
        <w:sectPr>
          <w:pgSz w:w="11900" w:h="16840"/>
          <w:pgMar w:header="452" w:footer="0" w:top="720" w:bottom="280" w:left="425" w:right="566"/>
        </w:sectPr>
      </w:pPr>
    </w:p>
    <w:p>
      <w:pPr>
        <w:pStyle w:val="Heading6"/>
        <w:spacing w:line="232" w:lineRule="auto" w:before="112"/>
        <w:ind w:left="705"/>
        <w:jc w:val="both"/>
      </w:pPr>
      <w:r>
        <w:rPr/>
        <mc:AlternateContent>
          <mc:Choice Requires="wps">
            <w:drawing>
              <wp:anchor distT="0" distB="0" distL="0" distR="0" allowOverlap="1" layoutInCell="1" locked="0" behindDoc="0" simplePos="0" relativeHeight="15737856">
                <wp:simplePos x="0" y="0"/>
                <wp:positionH relativeFrom="page">
                  <wp:posOffset>3988194</wp:posOffset>
                </wp:positionH>
                <wp:positionV relativeFrom="paragraph">
                  <wp:posOffset>-460845</wp:posOffset>
                </wp:positionV>
                <wp:extent cx="108585" cy="489584"/>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08585" cy="489584"/>
                        </a:xfrm>
                        <a:prstGeom prst="rect">
                          <a:avLst/>
                        </a:prstGeom>
                      </wps:spPr>
                      <wps:txbx>
                        <w:txbxContent>
                          <w:p>
                            <w:pPr>
                              <w:pStyle w:val="BodyText"/>
                              <w:spacing w:line="148" w:lineRule="exact"/>
                              <w:ind w:left="20"/>
                              <w:rPr>
                                <w:rFonts w:ascii="Arial MT"/>
                              </w:rPr>
                            </w:pPr>
                            <w:r>
                              <w:rPr>
                                <w:rFonts w:ascii="Arial MT"/>
                                <w:color w:val="231F20"/>
                              </w:rPr>
                              <w:t>Insulin</w:t>
                            </w:r>
                            <w:r>
                              <w:rPr>
                                <w:rFonts w:ascii="Arial MT"/>
                                <w:color w:val="231F20"/>
                                <w:spacing w:val="-6"/>
                              </w:rPr>
                              <w:t> </w:t>
                            </w:r>
                            <w:r>
                              <w:rPr>
                                <w:rFonts w:ascii="Arial MT"/>
                                <w:color w:val="231F20"/>
                                <w:spacing w:val="-2"/>
                              </w:rPr>
                              <w:t>effect</w:t>
                            </w:r>
                          </w:p>
                        </w:txbxContent>
                      </wps:txbx>
                      <wps:bodyPr wrap="square" lIns="0" tIns="0" rIns="0" bIns="0" rtlCol="0" vert="vert270">
                        <a:noAutofit/>
                      </wps:bodyPr>
                    </wps:wsp>
                  </a:graphicData>
                </a:graphic>
              </wp:anchor>
            </w:drawing>
          </mc:Choice>
          <mc:Fallback>
            <w:pict>
              <v:shape style="position:absolute;margin-left:314.031097pt;margin-top:-36.287056pt;width:8.550pt;height:38.550pt;mso-position-horizontal-relative:page;mso-position-vertical-relative:paragraph;z-index:15737856" type="#_x0000_t202" id="docshape106" filled="false" stroked="false">
                <v:textbox inset="0,0,0,0" style="layout-flow:vertical;mso-layout-flow-alt:bottom-to-top">
                  <w:txbxContent>
                    <w:p>
                      <w:pPr>
                        <w:pStyle w:val="BodyText"/>
                        <w:spacing w:line="148" w:lineRule="exact"/>
                        <w:ind w:left="20"/>
                        <w:rPr>
                          <w:rFonts w:ascii="Arial MT"/>
                        </w:rPr>
                      </w:pPr>
                      <w:r>
                        <w:rPr>
                          <w:rFonts w:ascii="Arial MT"/>
                          <w:color w:val="231F20"/>
                        </w:rPr>
                        <w:t>Insulin</w:t>
                      </w:r>
                      <w:r>
                        <w:rPr>
                          <w:rFonts w:ascii="Arial MT"/>
                          <w:color w:val="231F20"/>
                          <w:spacing w:val="-6"/>
                        </w:rPr>
                        <w:t> </w:t>
                      </w:r>
                      <w:r>
                        <w:rPr>
                          <w:rFonts w:ascii="Arial MT"/>
                          <w:color w:val="231F20"/>
                          <w:spacing w:val="-2"/>
                        </w:rPr>
                        <w:t>effect</w:t>
                      </w:r>
                    </w:p>
                  </w:txbxContent>
                </v:textbox>
                <w10:wrap type="none"/>
              </v:shape>
            </w:pict>
          </mc:Fallback>
        </mc:AlternateContent>
      </w:r>
      <w:r>
        <w:rPr>
          <w:b/>
          <w:color w:val="4A0C62"/>
          <w:sz w:val="16"/>
        </w:rPr>
        <w:t>Figure 589-6 </w:t>
      </w:r>
      <w:r>
        <w:rPr>
          <w:color w:val="231F20"/>
        </w:rPr>
        <w:t>Approximate insulin effect profiles. Meals are shown</w:t>
      </w:r>
      <w:r>
        <w:rPr>
          <w:color w:val="231F20"/>
          <w:spacing w:val="40"/>
        </w:rPr>
        <w:t> </w:t>
      </w:r>
      <w:r>
        <w:rPr>
          <w:color w:val="231F20"/>
          <w:spacing w:val="-2"/>
        </w:rPr>
        <w:t>as</w:t>
      </w:r>
      <w:r>
        <w:rPr>
          <w:color w:val="231F20"/>
          <w:spacing w:val="-7"/>
        </w:rPr>
        <w:t> </w:t>
      </w:r>
      <w:r>
        <w:rPr>
          <w:color w:val="231F20"/>
          <w:spacing w:val="-2"/>
        </w:rPr>
        <w:t>rectangles</w:t>
      </w:r>
      <w:r>
        <w:rPr>
          <w:color w:val="231F20"/>
          <w:spacing w:val="-7"/>
        </w:rPr>
        <w:t> </w:t>
      </w:r>
      <w:r>
        <w:rPr>
          <w:color w:val="231F20"/>
          <w:spacing w:val="-2"/>
        </w:rPr>
        <w:t>below</w:t>
      </w:r>
      <w:r>
        <w:rPr>
          <w:color w:val="231F20"/>
          <w:spacing w:val="-7"/>
        </w:rPr>
        <w:t> </w:t>
      </w:r>
      <w:r>
        <w:rPr>
          <w:color w:val="231F20"/>
          <w:spacing w:val="-2"/>
        </w:rPr>
        <w:t>time</w:t>
      </w:r>
      <w:r>
        <w:rPr>
          <w:color w:val="231F20"/>
          <w:spacing w:val="-7"/>
        </w:rPr>
        <w:t> </w:t>
      </w:r>
      <w:r>
        <w:rPr>
          <w:color w:val="231F20"/>
          <w:spacing w:val="-2"/>
        </w:rPr>
        <w:t>axis.</w:t>
      </w:r>
      <w:r>
        <w:rPr>
          <w:color w:val="231F20"/>
          <w:spacing w:val="-7"/>
        </w:rPr>
        <w:t> </w:t>
      </w:r>
      <w:r>
        <w:rPr>
          <w:b/>
          <w:color w:val="231F20"/>
          <w:spacing w:val="-2"/>
        </w:rPr>
        <w:t>A,</w:t>
      </w:r>
      <w:r>
        <w:rPr>
          <w:b/>
          <w:color w:val="231F20"/>
          <w:spacing w:val="-7"/>
        </w:rPr>
        <w:t> </w:t>
      </w:r>
      <w:r>
        <w:rPr>
          <w:color w:val="231F20"/>
          <w:spacing w:val="-2"/>
        </w:rPr>
        <w:t>The</w:t>
      </w:r>
      <w:r>
        <w:rPr>
          <w:color w:val="231F20"/>
          <w:spacing w:val="-7"/>
        </w:rPr>
        <w:t> </w:t>
      </w:r>
      <w:r>
        <w:rPr>
          <w:color w:val="231F20"/>
          <w:spacing w:val="-2"/>
        </w:rPr>
        <w:t>following</w:t>
      </w:r>
      <w:r>
        <w:rPr>
          <w:color w:val="231F20"/>
          <w:spacing w:val="-7"/>
        </w:rPr>
        <w:t> </w:t>
      </w:r>
      <w:r>
        <w:rPr>
          <w:color w:val="231F20"/>
          <w:spacing w:val="-2"/>
        </w:rPr>
        <w:t>relative</w:t>
      </w:r>
      <w:r>
        <w:rPr>
          <w:color w:val="231F20"/>
          <w:spacing w:val="-7"/>
        </w:rPr>
        <w:t> </w:t>
      </w:r>
      <w:r>
        <w:rPr>
          <w:color w:val="231F20"/>
          <w:spacing w:val="-2"/>
        </w:rPr>
        <w:t>peak</w:t>
      </w:r>
      <w:r>
        <w:rPr>
          <w:color w:val="231F20"/>
          <w:spacing w:val="-7"/>
        </w:rPr>
        <w:t> </w:t>
      </w:r>
      <w:r>
        <w:rPr>
          <w:color w:val="231F20"/>
          <w:spacing w:val="-2"/>
        </w:rPr>
        <w:t>effect</w:t>
      </w:r>
      <w:r>
        <w:rPr>
          <w:color w:val="231F20"/>
          <w:spacing w:val="-7"/>
        </w:rPr>
        <w:t> </w:t>
      </w:r>
      <w:r>
        <w:rPr>
          <w:color w:val="231F20"/>
          <w:spacing w:val="-2"/>
        </w:rPr>
        <w:t>and </w:t>
      </w:r>
      <w:r>
        <w:rPr>
          <w:color w:val="231F20"/>
        </w:rPr>
        <w:t>duration</w:t>
      </w:r>
      <w:r>
        <w:rPr>
          <w:color w:val="231F20"/>
          <w:spacing w:val="-1"/>
        </w:rPr>
        <w:t> </w:t>
      </w:r>
      <w:r>
        <w:rPr>
          <w:color w:val="231F20"/>
        </w:rPr>
        <w:t>units</w:t>
      </w:r>
      <w:r>
        <w:rPr>
          <w:color w:val="231F20"/>
          <w:spacing w:val="-1"/>
        </w:rPr>
        <w:t> </w:t>
      </w:r>
      <w:r>
        <w:rPr>
          <w:color w:val="231F20"/>
        </w:rPr>
        <w:t>are</w:t>
      </w:r>
      <w:r>
        <w:rPr>
          <w:color w:val="231F20"/>
          <w:spacing w:val="-1"/>
        </w:rPr>
        <w:t> </w:t>
      </w:r>
      <w:r>
        <w:rPr>
          <w:color w:val="231F20"/>
        </w:rPr>
        <w:t>used:</w:t>
      </w:r>
      <w:r>
        <w:rPr>
          <w:color w:val="231F20"/>
          <w:spacing w:val="-1"/>
        </w:rPr>
        <w:t> </w:t>
      </w:r>
      <w:r>
        <w:rPr>
          <w:color w:val="231F20"/>
        </w:rPr>
        <w:t>lispro/aspart,</w:t>
      </w:r>
      <w:r>
        <w:rPr>
          <w:color w:val="231F20"/>
          <w:spacing w:val="-1"/>
        </w:rPr>
        <w:t> </w:t>
      </w:r>
      <w:r>
        <w:rPr>
          <w:color w:val="231F20"/>
        </w:rPr>
        <w:t>peak</w:t>
      </w:r>
      <w:r>
        <w:rPr>
          <w:color w:val="231F20"/>
          <w:spacing w:val="-1"/>
        </w:rPr>
        <w:t> </w:t>
      </w:r>
      <w:r>
        <w:rPr>
          <w:color w:val="231F20"/>
        </w:rPr>
        <w:t>20 for</w:t>
      </w:r>
      <w:r>
        <w:rPr>
          <w:color w:val="231F20"/>
          <w:spacing w:val="-1"/>
        </w:rPr>
        <w:t> </w:t>
      </w:r>
      <w:r>
        <w:rPr>
          <w:color w:val="231F20"/>
        </w:rPr>
        <w:t>4</w:t>
      </w:r>
      <w:r>
        <w:rPr>
          <w:color w:val="231F20"/>
          <w:spacing w:val="-7"/>
        </w:rPr>
        <w:t> </w:t>
      </w:r>
      <w:r>
        <w:rPr>
          <w:color w:val="231F20"/>
        </w:rPr>
        <w:t>hr;</w:t>
      </w:r>
      <w:r>
        <w:rPr>
          <w:color w:val="231F20"/>
          <w:spacing w:val="5"/>
        </w:rPr>
        <w:t> </w:t>
      </w:r>
      <w:r>
        <w:rPr>
          <w:color w:val="231F20"/>
        </w:rPr>
        <w:t>regular,</w:t>
      </w:r>
      <w:r>
        <w:rPr>
          <w:color w:val="231F20"/>
          <w:spacing w:val="-1"/>
        </w:rPr>
        <w:t> </w:t>
      </w:r>
      <w:r>
        <w:rPr>
          <w:color w:val="231F20"/>
          <w:spacing w:val="-4"/>
        </w:rPr>
        <w:t>peak</w:t>
      </w:r>
    </w:p>
    <w:p>
      <w:pPr>
        <w:spacing w:line="228" w:lineRule="auto" w:before="3"/>
        <w:ind w:left="705" w:right="0" w:firstLine="0"/>
        <w:jc w:val="both"/>
        <w:rPr>
          <w:sz w:val="15"/>
        </w:rPr>
      </w:pPr>
      <w:r>
        <w:rPr>
          <w:color w:val="231F20"/>
          <w:sz w:val="15"/>
        </w:rPr>
        <w:t>15 for 7</w:t>
      </w:r>
      <w:r>
        <w:rPr>
          <w:color w:val="231F20"/>
          <w:spacing w:val="-3"/>
          <w:sz w:val="15"/>
        </w:rPr>
        <w:t> </w:t>
      </w:r>
      <w:r>
        <w:rPr>
          <w:color w:val="231F20"/>
          <w:sz w:val="15"/>
        </w:rPr>
        <w:t>hr; neutral protamine Hagedorn/Lente, peak 12 for 12</w:t>
      </w:r>
      <w:r>
        <w:rPr>
          <w:color w:val="231F20"/>
          <w:spacing w:val="-3"/>
          <w:sz w:val="15"/>
        </w:rPr>
        <w:t> </w:t>
      </w:r>
      <w:r>
        <w:rPr>
          <w:color w:val="231F20"/>
          <w:sz w:val="15"/>
        </w:rPr>
        <w:t>hr; Ultralente,</w:t>
      </w:r>
      <w:r>
        <w:rPr>
          <w:color w:val="231F20"/>
          <w:spacing w:val="-10"/>
          <w:sz w:val="15"/>
        </w:rPr>
        <w:t> </w:t>
      </w:r>
      <w:r>
        <w:rPr>
          <w:color w:val="231F20"/>
          <w:sz w:val="15"/>
        </w:rPr>
        <w:t>peak</w:t>
      </w:r>
      <w:r>
        <w:rPr>
          <w:color w:val="231F20"/>
          <w:spacing w:val="-10"/>
          <w:sz w:val="15"/>
        </w:rPr>
        <w:t> </w:t>
      </w:r>
      <w:r>
        <w:rPr>
          <w:color w:val="231F20"/>
          <w:sz w:val="15"/>
        </w:rPr>
        <w:t>9</w:t>
      </w:r>
      <w:r>
        <w:rPr>
          <w:color w:val="231F20"/>
          <w:spacing w:val="-10"/>
          <w:sz w:val="15"/>
        </w:rPr>
        <w:t> </w:t>
      </w:r>
      <w:r>
        <w:rPr>
          <w:color w:val="231F20"/>
          <w:sz w:val="15"/>
        </w:rPr>
        <w:t>for</w:t>
      </w:r>
      <w:r>
        <w:rPr>
          <w:color w:val="231F20"/>
          <w:spacing w:val="-10"/>
          <w:sz w:val="15"/>
        </w:rPr>
        <w:t> </w:t>
      </w:r>
      <w:r>
        <w:rPr>
          <w:color w:val="231F20"/>
          <w:sz w:val="15"/>
        </w:rPr>
        <w:t>18</w:t>
      </w:r>
      <w:r>
        <w:rPr>
          <w:color w:val="231F20"/>
          <w:spacing w:val="-5"/>
          <w:sz w:val="15"/>
        </w:rPr>
        <w:t> </w:t>
      </w:r>
      <w:r>
        <w:rPr>
          <w:color w:val="231F20"/>
          <w:sz w:val="15"/>
        </w:rPr>
        <w:t>hr;</w:t>
      </w:r>
      <w:r>
        <w:rPr>
          <w:color w:val="231F20"/>
          <w:spacing w:val="-10"/>
          <w:sz w:val="15"/>
        </w:rPr>
        <w:t> </w:t>
      </w:r>
      <w:r>
        <w:rPr>
          <w:color w:val="231F20"/>
          <w:sz w:val="15"/>
        </w:rPr>
        <w:t>glargine,</w:t>
      </w:r>
      <w:r>
        <w:rPr>
          <w:color w:val="231F20"/>
          <w:spacing w:val="-10"/>
          <w:sz w:val="15"/>
        </w:rPr>
        <w:t> </w:t>
      </w:r>
      <w:r>
        <w:rPr>
          <w:color w:val="231F20"/>
          <w:sz w:val="15"/>
        </w:rPr>
        <w:t>peak</w:t>
      </w:r>
      <w:r>
        <w:rPr>
          <w:color w:val="231F20"/>
          <w:spacing w:val="-10"/>
          <w:sz w:val="15"/>
        </w:rPr>
        <w:t> </w:t>
      </w:r>
      <w:r>
        <w:rPr>
          <w:color w:val="231F20"/>
          <w:sz w:val="15"/>
        </w:rPr>
        <w:t>5</w:t>
      </w:r>
      <w:r>
        <w:rPr>
          <w:color w:val="231F20"/>
          <w:spacing w:val="-10"/>
          <w:sz w:val="15"/>
        </w:rPr>
        <w:t> </w:t>
      </w:r>
      <w:r>
        <w:rPr>
          <w:color w:val="231F20"/>
          <w:sz w:val="15"/>
        </w:rPr>
        <w:t>for</w:t>
      </w:r>
      <w:r>
        <w:rPr>
          <w:color w:val="231F20"/>
          <w:spacing w:val="-10"/>
          <w:sz w:val="15"/>
        </w:rPr>
        <w:t> </w:t>
      </w:r>
      <w:r>
        <w:rPr>
          <w:color w:val="231F20"/>
          <w:sz w:val="15"/>
        </w:rPr>
        <w:t>24</w:t>
      </w:r>
      <w:r>
        <w:rPr>
          <w:color w:val="231F20"/>
          <w:spacing w:val="-5"/>
          <w:sz w:val="15"/>
        </w:rPr>
        <w:t> </w:t>
      </w:r>
      <w:r>
        <w:rPr>
          <w:color w:val="231F20"/>
          <w:sz w:val="15"/>
        </w:rPr>
        <w:t>hr.</w:t>
      </w:r>
      <w:r>
        <w:rPr>
          <w:color w:val="231F20"/>
          <w:spacing w:val="-10"/>
          <w:sz w:val="15"/>
        </w:rPr>
        <w:t> </w:t>
      </w:r>
      <w:r>
        <w:rPr>
          <w:color w:val="231F20"/>
          <w:sz w:val="15"/>
        </w:rPr>
        <w:t>Although</w:t>
      </w:r>
      <w:r>
        <w:rPr>
          <w:color w:val="231F20"/>
          <w:spacing w:val="-10"/>
          <w:sz w:val="15"/>
        </w:rPr>
        <w:t> </w:t>
      </w:r>
      <w:r>
        <w:rPr>
          <w:color w:val="231F20"/>
          <w:sz w:val="15"/>
        </w:rPr>
        <w:t>Lente and Ultralente are no longer manufactured, they are shown to give historical</w:t>
      </w:r>
      <w:r>
        <w:rPr>
          <w:color w:val="231F20"/>
          <w:spacing w:val="25"/>
          <w:sz w:val="15"/>
        </w:rPr>
        <w:t> </w:t>
      </w:r>
      <w:r>
        <w:rPr>
          <w:color w:val="231F20"/>
          <w:sz w:val="15"/>
        </w:rPr>
        <w:t>comparison</w:t>
      </w:r>
      <w:r>
        <w:rPr>
          <w:color w:val="231F20"/>
          <w:spacing w:val="25"/>
          <w:sz w:val="15"/>
        </w:rPr>
        <w:t> </w:t>
      </w:r>
      <w:r>
        <w:rPr>
          <w:color w:val="231F20"/>
          <w:sz w:val="15"/>
        </w:rPr>
        <w:t>to</w:t>
      </w:r>
      <w:r>
        <w:rPr>
          <w:color w:val="231F20"/>
          <w:spacing w:val="25"/>
          <w:sz w:val="15"/>
        </w:rPr>
        <w:t> </w:t>
      </w:r>
      <w:r>
        <w:rPr>
          <w:color w:val="231F20"/>
          <w:sz w:val="15"/>
        </w:rPr>
        <w:t>newer</w:t>
      </w:r>
      <w:r>
        <w:rPr>
          <w:color w:val="231F20"/>
          <w:spacing w:val="25"/>
          <w:sz w:val="15"/>
        </w:rPr>
        <w:t> </w:t>
      </w:r>
      <w:r>
        <w:rPr>
          <w:color w:val="231F20"/>
          <w:sz w:val="15"/>
        </w:rPr>
        <w:t>insulin</w:t>
      </w:r>
      <w:r>
        <w:rPr>
          <w:color w:val="231F20"/>
          <w:spacing w:val="25"/>
          <w:sz w:val="15"/>
        </w:rPr>
        <w:t> </w:t>
      </w:r>
      <w:r>
        <w:rPr>
          <w:color w:val="231F20"/>
          <w:sz w:val="15"/>
        </w:rPr>
        <w:t>analogs.</w:t>
      </w:r>
      <w:r>
        <w:rPr>
          <w:color w:val="231F20"/>
          <w:spacing w:val="25"/>
          <w:sz w:val="15"/>
        </w:rPr>
        <w:t> </w:t>
      </w:r>
      <w:r>
        <w:rPr>
          <w:rFonts w:ascii="MS Gothic" w:hAnsi="MS Gothic"/>
          <w:color w:val="231F20"/>
          <w:sz w:val="15"/>
        </w:rPr>
        <w:t>▲</w:t>
      </w:r>
      <w:r>
        <w:rPr>
          <w:color w:val="231F20"/>
          <w:sz w:val="15"/>
        </w:rPr>
        <w:t>,</w:t>
      </w:r>
      <w:r>
        <w:rPr>
          <w:color w:val="231F20"/>
          <w:spacing w:val="25"/>
          <w:sz w:val="15"/>
        </w:rPr>
        <w:t> </w:t>
      </w:r>
      <w:r>
        <w:rPr>
          <w:color w:val="231F20"/>
          <w:sz w:val="15"/>
        </w:rPr>
        <w:t>Injection</w:t>
      </w:r>
      <w:r>
        <w:rPr>
          <w:color w:val="231F20"/>
          <w:spacing w:val="25"/>
          <w:sz w:val="15"/>
        </w:rPr>
        <w:t> </w:t>
      </w:r>
      <w:r>
        <w:rPr>
          <w:color w:val="231F20"/>
          <w:sz w:val="15"/>
        </w:rPr>
        <w:t>time. </w:t>
      </w:r>
      <w:r>
        <w:rPr>
          <w:b/>
          <w:color w:val="231F20"/>
          <w:sz w:val="15"/>
        </w:rPr>
        <w:t>B, </w:t>
      </w:r>
      <w:r>
        <w:rPr>
          <w:color w:val="231F20"/>
          <w:sz w:val="15"/>
        </w:rPr>
        <w:t>Two Ultralente injections given at breakfast and supper. Note overlap</w:t>
      </w:r>
      <w:r>
        <w:rPr>
          <w:color w:val="231F20"/>
          <w:spacing w:val="-4"/>
          <w:sz w:val="15"/>
        </w:rPr>
        <w:t> </w:t>
      </w:r>
      <w:r>
        <w:rPr>
          <w:color w:val="231F20"/>
          <w:sz w:val="15"/>
        </w:rPr>
        <w:t>of</w:t>
      </w:r>
      <w:r>
        <w:rPr>
          <w:color w:val="231F20"/>
          <w:spacing w:val="-4"/>
          <w:sz w:val="15"/>
        </w:rPr>
        <w:t> </w:t>
      </w:r>
      <w:r>
        <w:rPr>
          <w:color w:val="231F20"/>
          <w:sz w:val="15"/>
        </w:rPr>
        <w:t>profiles.</w:t>
      </w:r>
      <w:r>
        <w:rPr>
          <w:color w:val="231F20"/>
          <w:spacing w:val="-4"/>
          <w:sz w:val="15"/>
        </w:rPr>
        <w:t> </w:t>
      </w:r>
      <w:r>
        <w:rPr>
          <w:b/>
          <w:color w:val="231F20"/>
          <w:sz w:val="15"/>
        </w:rPr>
        <w:t>C,</w:t>
      </w:r>
      <w:r>
        <w:rPr>
          <w:b/>
          <w:color w:val="231F20"/>
          <w:spacing w:val="-4"/>
          <w:sz w:val="15"/>
        </w:rPr>
        <w:t> </w:t>
      </w:r>
      <w:r>
        <w:rPr>
          <w:color w:val="231F20"/>
          <w:sz w:val="15"/>
        </w:rPr>
        <w:t>Composite</w:t>
      </w:r>
      <w:r>
        <w:rPr>
          <w:color w:val="231F20"/>
          <w:spacing w:val="-4"/>
          <w:sz w:val="15"/>
        </w:rPr>
        <w:t> </w:t>
      </w:r>
      <w:r>
        <w:rPr>
          <w:color w:val="231F20"/>
          <w:sz w:val="15"/>
        </w:rPr>
        <w:t>curve</w:t>
      </w:r>
      <w:r>
        <w:rPr>
          <w:color w:val="231F20"/>
          <w:spacing w:val="-4"/>
          <w:sz w:val="15"/>
        </w:rPr>
        <w:t> </w:t>
      </w:r>
      <w:r>
        <w:rPr>
          <w:color w:val="231F20"/>
          <w:sz w:val="15"/>
        </w:rPr>
        <w:t>showing</w:t>
      </w:r>
      <w:r>
        <w:rPr>
          <w:color w:val="231F20"/>
          <w:spacing w:val="-4"/>
          <w:sz w:val="15"/>
        </w:rPr>
        <w:t> </w:t>
      </w:r>
      <w:r>
        <w:rPr>
          <w:color w:val="231F20"/>
          <w:sz w:val="15"/>
        </w:rPr>
        <w:t>approximate</w:t>
      </w:r>
      <w:r>
        <w:rPr>
          <w:color w:val="231F20"/>
          <w:spacing w:val="-4"/>
          <w:sz w:val="15"/>
        </w:rPr>
        <w:t> </w:t>
      </w:r>
      <w:r>
        <w:rPr>
          <w:color w:val="231F20"/>
          <w:sz w:val="15"/>
        </w:rPr>
        <w:t>cumula- </w:t>
      </w:r>
      <w:r>
        <w:rPr>
          <w:color w:val="231F20"/>
          <w:spacing w:val="-2"/>
          <w:sz w:val="15"/>
        </w:rPr>
        <w:t>tive</w:t>
      </w:r>
      <w:r>
        <w:rPr>
          <w:color w:val="231F20"/>
          <w:spacing w:val="-7"/>
          <w:sz w:val="15"/>
        </w:rPr>
        <w:t> </w:t>
      </w:r>
      <w:r>
        <w:rPr>
          <w:color w:val="231F20"/>
          <w:spacing w:val="-2"/>
          <w:sz w:val="15"/>
        </w:rPr>
        <w:t>insulin</w:t>
      </w:r>
      <w:r>
        <w:rPr>
          <w:color w:val="231F20"/>
          <w:spacing w:val="-7"/>
          <w:sz w:val="15"/>
        </w:rPr>
        <w:t> </w:t>
      </w:r>
      <w:r>
        <w:rPr>
          <w:color w:val="231F20"/>
          <w:spacing w:val="-2"/>
          <w:sz w:val="15"/>
        </w:rPr>
        <w:t>effect</w:t>
      </w:r>
      <w:r>
        <w:rPr>
          <w:color w:val="231F20"/>
          <w:spacing w:val="-7"/>
          <w:sz w:val="15"/>
        </w:rPr>
        <w:t> </w:t>
      </w:r>
      <w:r>
        <w:rPr>
          <w:color w:val="231F20"/>
          <w:spacing w:val="-2"/>
          <w:sz w:val="15"/>
        </w:rPr>
        <w:t>for</w:t>
      </w:r>
      <w:r>
        <w:rPr>
          <w:color w:val="231F20"/>
          <w:spacing w:val="-7"/>
          <w:sz w:val="15"/>
        </w:rPr>
        <w:t> </w:t>
      </w:r>
      <w:r>
        <w:rPr>
          <w:color w:val="231F20"/>
          <w:spacing w:val="-2"/>
          <w:sz w:val="15"/>
        </w:rPr>
        <w:t>the</w:t>
      </w:r>
      <w:r>
        <w:rPr>
          <w:color w:val="231F20"/>
          <w:spacing w:val="-7"/>
          <w:sz w:val="15"/>
        </w:rPr>
        <w:t> </w:t>
      </w:r>
      <w:r>
        <w:rPr>
          <w:color w:val="231F20"/>
          <w:spacing w:val="-2"/>
          <w:sz w:val="15"/>
        </w:rPr>
        <w:t>2</w:t>
      </w:r>
      <w:r>
        <w:rPr>
          <w:color w:val="231F20"/>
          <w:spacing w:val="-7"/>
          <w:sz w:val="15"/>
        </w:rPr>
        <w:t> </w:t>
      </w:r>
      <w:r>
        <w:rPr>
          <w:color w:val="231F20"/>
          <w:spacing w:val="-2"/>
          <w:sz w:val="15"/>
        </w:rPr>
        <w:t>Ultralente</w:t>
      </w:r>
      <w:r>
        <w:rPr>
          <w:color w:val="231F20"/>
          <w:spacing w:val="-7"/>
          <w:sz w:val="15"/>
        </w:rPr>
        <w:t> </w:t>
      </w:r>
      <w:r>
        <w:rPr>
          <w:color w:val="231F20"/>
          <w:spacing w:val="-2"/>
          <w:sz w:val="15"/>
        </w:rPr>
        <w:t>injections.</w:t>
      </w:r>
      <w:r>
        <w:rPr>
          <w:color w:val="231F20"/>
          <w:spacing w:val="-7"/>
          <w:sz w:val="15"/>
        </w:rPr>
        <w:t> </w:t>
      </w:r>
      <w:r>
        <w:rPr>
          <w:color w:val="231F20"/>
          <w:spacing w:val="-2"/>
          <w:sz w:val="15"/>
        </w:rPr>
        <w:t>This</w:t>
      </w:r>
      <w:r>
        <w:rPr>
          <w:color w:val="231F20"/>
          <w:spacing w:val="-7"/>
          <w:sz w:val="15"/>
        </w:rPr>
        <w:t> </w:t>
      </w:r>
      <w:r>
        <w:rPr>
          <w:color w:val="231F20"/>
          <w:spacing w:val="-2"/>
          <w:sz w:val="15"/>
        </w:rPr>
        <w:t>composite</w:t>
      </w:r>
      <w:r>
        <w:rPr>
          <w:color w:val="231F20"/>
          <w:spacing w:val="-7"/>
          <w:sz w:val="15"/>
        </w:rPr>
        <w:t> </w:t>
      </w:r>
      <w:r>
        <w:rPr>
          <w:color w:val="231F20"/>
          <w:spacing w:val="-2"/>
          <w:sz w:val="15"/>
        </w:rPr>
        <w:t>view</w:t>
      </w:r>
      <w:r>
        <w:rPr>
          <w:color w:val="231F20"/>
          <w:spacing w:val="-7"/>
          <w:sz w:val="15"/>
        </w:rPr>
        <w:t> </w:t>
      </w:r>
      <w:r>
        <w:rPr>
          <w:color w:val="231F20"/>
          <w:spacing w:val="-2"/>
          <w:sz w:val="15"/>
        </w:rPr>
        <w:t>is </w:t>
      </w:r>
      <w:r>
        <w:rPr>
          <w:color w:val="231F20"/>
          <w:sz w:val="15"/>
        </w:rPr>
        <w:t>much more useful to the patient, parents, and medical personnel because it shows important combined effects of multiple insulin injections with variable absorption characteristics and overlapping </w:t>
      </w:r>
      <w:r>
        <w:rPr>
          <w:color w:val="231F20"/>
          <w:spacing w:val="-2"/>
          <w:sz w:val="15"/>
        </w:rPr>
        <w:t>durations.</w:t>
      </w:r>
    </w:p>
    <w:p>
      <w:pPr>
        <w:spacing w:line="240" w:lineRule="auto" w:before="0"/>
        <w:rPr>
          <w:sz w:val="18"/>
        </w:rPr>
      </w:pPr>
      <w:r>
        <w:rPr/>
        <w:br w:type="column"/>
      </w:r>
      <w:r>
        <w:rPr>
          <w:sz w:val="18"/>
        </w:rPr>
      </w:r>
    </w:p>
    <w:p>
      <w:pPr>
        <w:pStyle w:val="BodyText"/>
        <w:spacing w:before="102"/>
        <w:rPr>
          <w:sz w:val="18"/>
        </w:rPr>
      </w:pPr>
    </w:p>
    <w:p>
      <w:pPr>
        <w:pStyle w:val="Heading4"/>
        <w:ind w:right="34"/>
        <w:rPr>
          <w:rFonts w:ascii="Arial MT"/>
        </w:rPr>
      </w:pPr>
      <w:r>
        <w:rPr>
          <w:rFonts w:ascii="Arial MT"/>
          <w:color w:val="231F20"/>
          <w:spacing w:val="-10"/>
          <w:w w:val="105"/>
        </w:rPr>
        <w:t>B</w:t>
      </w:r>
    </w:p>
    <w:p>
      <w:pPr>
        <w:pStyle w:val="BodyText"/>
        <w:rPr>
          <w:rFonts w:ascii="Arial MT"/>
          <w:sz w:val="18"/>
        </w:rPr>
      </w:pPr>
    </w:p>
    <w:p>
      <w:pPr>
        <w:pStyle w:val="BodyText"/>
        <w:rPr>
          <w:rFonts w:ascii="Arial MT"/>
          <w:sz w:val="18"/>
        </w:rPr>
      </w:pPr>
    </w:p>
    <w:p>
      <w:pPr>
        <w:pStyle w:val="BodyText"/>
        <w:rPr>
          <w:rFonts w:ascii="Arial MT"/>
          <w:sz w:val="18"/>
        </w:rPr>
      </w:pPr>
    </w:p>
    <w:p>
      <w:pPr>
        <w:pStyle w:val="BodyText"/>
        <w:rPr>
          <w:rFonts w:ascii="Arial MT"/>
          <w:sz w:val="18"/>
        </w:rPr>
      </w:pPr>
    </w:p>
    <w:p>
      <w:pPr>
        <w:pStyle w:val="BodyText"/>
        <w:rPr>
          <w:rFonts w:ascii="Arial MT"/>
          <w:sz w:val="18"/>
        </w:rPr>
      </w:pPr>
    </w:p>
    <w:p>
      <w:pPr>
        <w:pStyle w:val="BodyText"/>
        <w:rPr>
          <w:rFonts w:ascii="Arial MT"/>
          <w:sz w:val="18"/>
        </w:rPr>
      </w:pPr>
    </w:p>
    <w:p>
      <w:pPr>
        <w:pStyle w:val="BodyText"/>
        <w:rPr>
          <w:rFonts w:ascii="Arial MT"/>
          <w:sz w:val="18"/>
        </w:rPr>
      </w:pPr>
    </w:p>
    <w:p>
      <w:pPr>
        <w:pStyle w:val="BodyText"/>
        <w:spacing w:before="35"/>
        <w:rPr>
          <w:rFonts w:ascii="Arial MT"/>
          <w:sz w:val="18"/>
        </w:rPr>
      </w:pPr>
    </w:p>
    <w:p>
      <w:pPr>
        <w:spacing w:before="1"/>
        <w:ind w:left="0" w:right="0" w:firstLine="0"/>
        <w:jc w:val="right"/>
        <w:rPr>
          <w:rFonts w:ascii="Arial MT"/>
          <w:sz w:val="18"/>
        </w:rPr>
      </w:pPr>
      <w:r>
        <w:rPr>
          <w:rFonts w:ascii="Arial MT"/>
          <w:sz w:val="18"/>
        </w:rPr>
        <mc:AlternateContent>
          <mc:Choice Requires="wps">
            <w:drawing>
              <wp:anchor distT="0" distB="0" distL="0" distR="0" allowOverlap="1" layoutInCell="1" locked="0" behindDoc="0" simplePos="0" relativeHeight="15737344">
                <wp:simplePos x="0" y="0"/>
                <wp:positionH relativeFrom="page">
                  <wp:posOffset>3983466</wp:posOffset>
                </wp:positionH>
                <wp:positionV relativeFrom="paragraph">
                  <wp:posOffset>-847326</wp:posOffset>
                </wp:positionV>
                <wp:extent cx="108585" cy="489584"/>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08585" cy="489584"/>
                        </a:xfrm>
                        <a:prstGeom prst="rect">
                          <a:avLst/>
                        </a:prstGeom>
                      </wps:spPr>
                      <wps:txbx>
                        <w:txbxContent>
                          <w:p>
                            <w:pPr>
                              <w:pStyle w:val="BodyText"/>
                              <w:spacing w:line="148" w:lineRule="exact"/>
                              <w:ind w:left="20"/>
                              <w:rPr>
                                <w:rFonts w:ascii="Arial MT"/>
                              </w:rPr>
                            </w:pPr>
                            <w:r>
                              <w:rPr>
                                <w:rFonts w:ascii="Arial MT"/>
                                <w:color w:val="231F20"/>
                              </w:rPr>
                              <w:t>Insulin</w:t>
                            </w:r>
                            <w:r>
                              <w:rPr>
                                <w:rFonts w:ascii="Arial MT"/>
                                <w:color w:val="231F20"/>
                                <w:spacing w:val="-6"/>
                              </w:rPr>
                              <w:t> </w:t>
                            </w:r>
                            <w:r>
                              <w:rPr>
                                <w:rFonts w:ascii="Arial MT"/>
                                <w:color w:val="231F20"/>
                                <w:spacing w:val="-2"/>
                              </w:rPr>
                              <w:t>effect</w:t>
                            </w:r>
                          </w:p>
                        </w:txbxContent>
                      </wps:txbx>
                      <wps:bodyPr wrap="square" lIns="0" tIns="0" rIns="0" bIns="0" rtlCol="0" vert="vert270">
                        <a:noAutofit/>
                      </wps:bodyPr>
                    </wps:wsp>
                  </a:graphicData>
                </a:graphic>
              </wp:anchor>
            </w:drawing>
          </mc:Choice>
          <mc:Fallback>
            <w:pict>
              <v:shape style="position:absolute;margin-left:313.658813pt;margin-top:-66.718636pt;width:8.550pt;height:38.550pt;mso-position-horizontal-relative:page;mso-position-vertical-relative:paragraph;z-index:15737344" type="#_x0000_t202" id="docshape107" filled="false" stroked="false">
                <v:textbox inset="0,0,0,0" style="layout-flow:vertical;mso-layout-flow-alt:bottom-to-top">
                  <w:txbxContent>
                    <w:p>
                      <w:pPr>
                        <w:pStyle w:val="BodyText"/>
                        <w:spacing w:line="148" w:lineRule="exact"/>
                        <w:ind w:left="20"/>
                        <w:rPr>
                          <w:rFonts w:ascii="Arial MT"/>
                        </w:rPr>
                      </w:pPr>
                      <w:r>
                        <w:rPr>
                          <w:rFonts w:ascii="Arial MT"/>
                          <w:color w:val="231F20"/>
                        </w:rPr>
                        <w:t>Insulin</w:t>
                      </w:r>
                      <w:r>
                        <w:rPr>
                          <w:rFonts w:ascii="Arial MT"/>
                          <w:color w:val="231F20"/>
                          <w:spacing w:val="-6"/>
                        </w:rPr>
                        <w:t> </w:t>
                      </w:r>
                      <w:r>
                        <w:rPr>
                          <w:rFonts w:ascii="Arial MT"/>
                          <w:color w:val="231F20"/>
                          <w:spacing w:val="-2"/>
                        </w:rPr>
                        <w:t>effect</w:t>
                      </w:r>
                    </w:p>
                  </w:txbxContent>
                </v:textbox>
                <w10:wrap type="none"/>
              </v:shape>
            </w:pict>
          </mc:Fallback>
        </mc:AlternateContent>
      </w:r>
      <w:r>
        <w:rPr>
          <w:rFonts w:ascii="Arial MT"/>
          <w:color w:val="231F20"/>
          <w:spacing w:val="-10"/>
          <w:w w:val="105"/>
          <w:sz w:val="18"/>
        </w:rPr>
        <w:t>C</w:t>
      </w:r>
    </w:p>
    <w:p>
      <w:pPr>
        <w:spacing w:line="240" w:lineRule="auto" w:before="25"/>
        <w:rPr>
          <w:rFonts w:ascii="Arial MT"/>
          <w:sz w:val="13"/>
        </w:rPr>
      </w:pPr>
      <w:r>
        <w:rPr/>
        <w:br w:type="column"/>
      </w:r>
      <w:r>
        <w:rPr>
          <w:rFonts w:ascii="Arial MT"/>
          <w:sz w:val="13"/>
        </w:rPr>
      </w:r>
    </w:p>
    <w:p>
      <w:pPr>
        <w:pStyle w:val="BodyText"/>
        <w:tabs>
          <w:tab w:pos="738" w:val="left" w:leader="none"/>
          <w:tab w:pos="1430" w:val="left" w:leader="none"/>
          <w:tab w:pos="2084" w:val="left" w:leader="none"/>
          <w:tab w:pos="2703" w:val="left" w:leader="none"/>
          <w:tab w:pos="3394" w:val="left" w:leader="none"/>
        </w:tabs>
        <w:ind w:left="120"/>
        <w:rPr>
          <w:rFonts w:ascii="Arial MT"/>
        </w:rPr>
      </w:pPr>
      <w:r>
        <w:rPr>
          <w:rFonts w:ascii="Arial MT"/>
        </w:rPr>
        <mc:AlternateContent>
          <mc:Choice Requires="wps">
            <w:drawing>
              <wp:anchor distT="0" distB="0" distL="0" distR="0" allowOverlap="1" layoutInCell="1" locked="0" behindDoc="0" simplePos="0" relativeHeight="15736320">
                <wp:simplePos x="0" y="0"/>
                <wp:positionH relativeFrom="page">
                  <wp:posOffset>4154330</wp:posOffset>
                </wp:positionH>
                <wp:positionV relativeFrom="paragraph">
                  <wp:posOffset>-590507</wp:posOffset>
                </wp:positionV>
                <wp:extent cx="2399665" cy="565785"/>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2399665" cy="565785"/>
                          <a:chExt cx="2399665" cy="565785"/>
                        </a:xfrm>
                      </wpg:grpSpPr>
                      <wps:wsp>
                        <wps:cNvPr id="137" name="Graphic 137"/>
                        <wps:cNvSpPr/>
                        <wps:spPr>
                          <a:xfrm>
                            <a:off x="29588" y="182441"/>
                            <a:ext cx="2364105" cy="1270"/>
                          </a:xfrm>
                          <a:custGeom>
                            <a:avLst/>
                            <a:gdLst/>
                            <a:ahLst/>
                            <a:cxnLst/>
                            <a:rect l="l" t="t" r="r" b="b"/>
                            <a:pathLst>
                              <a:path w="2364105" h="0">
                                <a:moveTo>
                                  <a:pt x="0" y="0"/>
                                </a:moveTo>
                                <a:lnTo>
                                  <a:pt x="2363911" y="0"/>
                                </a:lnTo>
                              </a:path>
                            </a:pathLst>
                          </a:custGeom>
                          <a:ln w="5924">
                            <a:solidFill>
                              <a:srgbClr val="C7C8CA"/>
                            </a:solidFill>
                            <a:prstDash val="solid"/>
                          </a:ln>
                        </wps:spPr>
                        <wps:bodyPr wrap="square" lIns="0" tIns="0" rIns="0" bIns="0" rtlCol="0">
                          <a:prstTxWarp prst="textNoShape">
                            <a:avLst/>
                          </a:prstTxWarp>
                          <a:noAutofit/>
                        </wps:bodyPr>
                      </wps:wsp>
                      <wps:wsp>
                        <wps:cNvPr id="138" name="Graphic 138"/>
                        <wps:cNvSpPr/>
                        <wps:spPr>
                          <a:xfrm>
                            <a:off x="146029" y="213956"/>
                            <a:ext cx="2247900" cy="325755"/>
                          </a:xfrm>
                          <a:custGeom>
                            <a:avLst/>
                            <a:gdLst/>
                            <a:ahLst/>
                            <a:cxnLst/>
                            <a:rect l="l" t="t" r="r" b="b"/>
                            <a:pathLst>
                              <a:path w="2247900" h="325755">
                                <a:moveTo>
                                  <a:pt x="2247468" y="59143"/>
                                </a:moveTo>
                                <a:lnTo>
                                  <a:pt x="2190267" y="41351"/>
                                </a:lnTo>
                                <a:lnTo>
                                  <a:pt x="2132647" y="27863"/>
                                </a:lnTo>
                                <a:lnTo>
                                  <a:pt x="2074951" y="18364"/>
                                </a:lnTo>
                                <a:lnTo>
                                  <a:pt x="2017509" y="12560"/>
                                </a:lnTo>
                                <a:lnTo>
                                  <a:pt x="1960664" y="10134"/>
                                </a:lnTo>
                                <a:lnTo>
                                  <a:pt x="1904733" y="10795"/>
                                </a:lnTo>
                                <a:lnTo>
                                  <a:pt x="1850072" y="14236"/>
                                </a:lnTo>
                                <a:lnTo>
                                  <a:pt x="1796999" y="20142"/>
                                </a:lnTo>
                                <a:lnTo>
                                  <a:pt x="1745856" y="28206"/>
                                </a:lnTo>
                                <a:lnTo>
                                  <a:pt x="1696974" y="38150"/>
                                </a:lnTo>
                                <a:lnTo>
                                  <a:pt x="1650682" y="49644"/>
                                </a:lnTo>
                                <a:lnTo>
                                  <a:pt x="1607324" y="62382"/>
                                </a:lnTo>
                                <a:lnTo>
                                  <a:pt x="1567218" y="76085"/>
                                </a:lnTo>
                                <a:lnTo>
                                  <a:pt x="1530731" y="90424"/>
                                </a:lnTo>
                                <a:lnTo>
                                  <a:pt x="1469859" y="119811"/>
                                </a:lnTo>
                                <a:lnTo>
                                  <a:pt x="1428076" y="140627"/>
                                </a:lnTo>
                                <a:lnTo>
                                  <a:pt x="1340472" y="103428"/>
                                </a:lnTo>
                                <a:lnTo>
                                  <a:pt x="1282242" y="80060"/>
                                </a:lnTo>
                                <a:lnTo>
                                  <a:pt x="1224229" y="58077"/>
                                </a:lnTo>
                                <a:lnTo>
                                  <a:pt x="1167015" y="37922"/>
                                </a:lnTo>
                                <a:lnTo>
                                  <a:pt x="1113764" y="22339"/>
                                </a:lnTo>
                                <a:lnTo>
                                  <a:pt x="1060361" y="11087"/>
                                </a:lnTo>
                                <a:lnTo>
                                  <a:pt x="1007008" y="3835"/>
                                </a:lnTo>
                                <a:lnTo>
                                  <a:pt x="953973" y="254"/>
                                </a:lnTo>
                                <a:lnTo>
                                  <a:pt x="901484" y="0"/>
                                </a:lnTo>
                                <a:lnTo>
                                  <a:pt x="849757" y="2755"/>
                                </a:lnTo>
                                <a:lnTo>
                                  <a:pt x="799058" y="8166"/>
                                </a:lnTo>
                                <a:lnTo>
                                  <a:pt x="749604" y="15913"/>
                                </a:lnTo>
                                <a:lnTo>
                                  <a:pt x="701649" y="25654"/>
                                </a:lnTo>
                                <a:lnTo>
                                  <a:pt x="655408" y="37071"/>
                                </a:lnTo>
                                <a:lnTo>
                                  <a:pt x="611136" y="49796"/>
                                </a:lnTo>
                                <a:lnTo>
                                  <a:pt x="569074" y="63525"/>
                                </a:lnTo>
                                <a:lnTo>
                                  <a:pt x="529437" y="77914"/>
                                </a:lnTo>
                                <a:lnTo>
                                  <a:pt x="492480" y="92633"/>
                                </a:lnTo>
                                <a:lnTo>
                                  <a:pt x="427532" y="121704"/>
                                </a:lnTo>
                                <a:lnTo>
                                  <a:pt x="294919" y="185000"/>
                                </a:lnTo>
                                <a:lnTo>
                                  <a:pt x="155257" y="250990"/>
                                </a:lnTo>
                                <a:lnTo>
                                  <a:pt x="0" y="323926"/>
                                </a:lnTo>
                                <a:lnTo>
                                  <a:pt x="1016914" y="322338"/>
                                </a:lnTo>
                                <a:lnTo>
                                  <a:pt x="1010551" y="324904"/>
                                </a:lnTo>
                                <a:lnTo>
                                  <a:pt x="2247468" y="325374"/>
                                </a:lnTo>
                                <a:lnTo>
                                  <a:pt x="2247468" y="59143"/>
                                </a:lnTo>
                                <a:close/>
                              </a:path>
                            </a:pathLst>
                          </a:custGeom>
                          <a:solidFill>
                            <a:srgbClr val="92C5EB"/>
                          </a:solidFill>
                        </wps:spPr>
                        <wps:bodyPr wrap="square" lIns="0" tIns="0" rIns="0" bIns="0" rtlCol="0">
                          <a:prstTxWarp prst="textNoShape">
                            <a:avLst/>
                          </a:prstTxWarp>
                          <a:noAutofit/>
                        </wps:bodyPr>
                      </wps:wsp>
                      <wps:wsp>
                        <wps:cNvPr id="139" name="Graphic 139"/>
                        <wps:cNvSpPr/>
                        <wps:spPr>
                          <a:xfrm>
                            <a:off x="150461" y="351447"/>
                            <a:ext cx="1851660" cy="184785"/>
                          </a:xfrm>
                          <a:custGeom>
                            <a:avLst/>
                            <a:gdLst/>
                            <a:ahLst/>
                            <a:cxnLst/>
                            <a:rect l="l" t="t" r="r" b="b"/>
                            <a:pathLst>
                              <a:path w="1851660" h="184785">
                                <a:moveTo>
                                  <a:pt x="530707" y="183515"/>
                                </a:moveTo>
                                <a:lnTo>
                                  <a:pt x="527304" y="180124"/>
                                </a:lnTo>
                                <a:lnTo>
                                  <a:pt x="512419" y="176009"/>
                                </a:lnTo>
                                <a:lnTo>
                                  <a:pt x="474827" y="164998"/>
                                </a:lnTo>
                                <a:lnTo>
                                  <a:pt x="425183" y="149059"/>
                                </a:lnTo>
                                <a:lnTo>
                                  <a:pt x="374103" y="130187"/>
                                </a:lnTo>
                                <a:lnTo>
                                  <a:pt x="326745" y="109334"/>
                                </a:lnTo>
                                <a:lnTo>
                                  <a:pt x="285242" y="89027"/>
                                </a:lnTo>
                                <a:lnTo>
                                  <a:pt x="244614" y="67551"/>
                                </a:lnTo>
                                <a:lnTo>
                                  <a:pt x="0" y="184340"/>
                                </a:lnTo>
                                <a:lnTo>
                                  <a:pt x="530707" y="183515"/>
                                </a:lnTo>
                                <a:close/>
                              </a:path>
                              <a:path w="1851660" h="184785">
                                <a:moveTo>
                                  <a:pt x="1851177" y="183807"/>
                                </a:moveTo>
                                <a:lnTo>
                                  <a:pt x="1805508" y="167538"/>
                                </a:lnTo>
                                <a:lnTo>
                                  <a:pt x="1764411" y="151968"/>
                                </a:lnTo>
                                <a:lnTo>
                                  <a:pt x="1725371" y="135674"/>
                                </a:lnTo>
                                <a:lnTo>
                                  <a:pt x="1537385" y="49098"/>
                                </a:lnTo>
                                <a:lnTo>
                                  <a:pt x="1496910" y="31394"/>
                                </a:lnTo>
                                <a:lnTo>
                                  <a:pt x="1429969" y="0"/>
                                </a:lnTo>
                                <a:lnTo>
                                  <a:pt x="1314018" y="53619"/>
                                </a:lnTo>
                                <a:lnTo>
                                  <a:pt x="1238402" y="86855"/>
                                </a:lnTo>
                                <a:lnTo>
                                  <a:pt x="1187411" y="108851"/>
                                </a:lnTo>
                                <a:lnTo>
                                  <a:pt x="1161948" y="119265"/>
                                </a:lnTo>
                                <a:lnTo>
                                  <a:pt x="1134516" y="129806"/>
                                </a:lnTo>
                                <a:lnTo>
                                  <a:pt x="1001115" y="183807"/>
                                </a:lnTo>
                                <a:lnTo>
                                  <a:pt x="1851177" y="183807"/>
                                </a:lnTo>
                                <a:close/>
                              </a:path>
                            </a:pathLst>
                          </a:custGeom>
                          <a:solidFill>
                            <a:srgbClr val="009EDB"/>
                          </a:solidFill>
                        </wps:spPr>
                        <wps:bodyPr wrap="square" lIns="0" tIns="0" rIns="0" bIns="0" rtlCol="0">
                          <a:prstTxWarp prst="textNoShape">
                            <a:avLst/>
                          </a:prstTxWarp>
                          <a:noAutofit/>
                        </wps:bodyPr>
                      </wps:wsp>
                      <wps:wsp>
                        <wps:cNvPr id="140" name="Graphic 140"/>
                        <wps:cNvSpPr/>
                        <wps:spPr>
                          <a:xfrm>
                            <a:off x="28592" y="256464"/>
                            <a:ext cx="364490" cy="279400"/>
                          </a:xfrm>
                          <a:custGeom>
                            <a:avLst/>
                            <a:gdLst/>
                            <a:ahLst/>
                            <a:cxnLst/>
                            <a:rect l="l" t="t" r="r" b="b"/>
                            <a:pathLst>
                              <a:path w="364490" h="279400">
                                <a:moveTo>
                                  <a:pt x="0" y="0"/>
                                </a:moveTo>
                                <a:lnTo>
                                  <a:pt x="0" y="279196"/>
                                </a:lnTo>
                                <a:lnTo>
                                  <a:pt x="115938" y="279196"/>
                                </a:lnTo>
                                <a:lnTo>
                                  <a:pt x="363943" y="163347"/>
                                </a:lnTo>
                                <a:lnTo>
                                  <a:pt x="328502" y="143886"/>
                                </a:lnTo>
                                <a:lnTo>
                                  <a:pt x="299312" y="128366"/>
                                </a:lnTo>
                                <a:lnTo>
                                  <a:pt x="275907" y="116814"/>
                                </a:lnTo>
                                <a:lnTo>
                                  <a:pt x="124409" y="48234"/>
                                </a:lnTo>
                                <a:lnTo>
                                  <a:pt x="0" y="0"/>
                                </a:lnTo>
                                <a:close/>
                              </a:path>
                            </a:pathLst>
                          </a:custGeom>
                          <a:solidFill>
                            <a:srgbClr val="92C5EB"/>
                          </a:solidFill>
                        </wps:spPr>
                        <wps:bodyPr wrap="square" lIns="0" tIns="0" rIns="0" bIns="0" rtlCol="0">
                          <a:prstTxWarp prst="textNoShape">
                            <a:avLst/>
                          </a:prstTxWarp>
                          <a:noAutofit/>
                        </wps:bodyPr>
                      </wps:wsp>
                      <wps:wsp>
                        <wps:cNvPr id="141" name="Graphic 141"/>
                        <wps:cNvSpPr/>
                        <wps:spPr>
                          <a:xfrm>
                            <a:off x="0" y="5687"/>
                            <a:ext cx="30480" cy="353060"/>
                          </a:xfrm>
                          <a:custGeom>
                            <a:avLst/>
                            <a:gdLst/>
                            <a:ahLst/>
                            <a:cxnLst/>
                            <a:rect l="l" t="t" r="r" b="b"/>
                            <a:pathLst>
                              <a:path w="30480" h="353060">
                                <a:moveTo>
                                  <a:pt x="628" y="0"/>
                                </a:moveTo>
                                <a:lnTo>
                                  <a:pt x="30203" y="0"/>
                                </a:lnTo>
                              </a:path>
                              <a:path w="30480" h="353060">
                                <a:moveTo>
                                  <a:pt x="0" y="176742"/>
                                </a:moveTo>
                                <a:lnTo>
                                  <a:pt x="29587" y="176742"/>
                                </a:lnTo>
                              </a:path>
                              <a:path w="30480" h="353060">
                                <a:moveTo>
                                  <a:pt x="11" y="352738"/>
                                </a:moveTo>
                                <a:lnTo>
                                  <a:pt x="29587" y="352738"/>
                                </a:lnTo>
                              </a:path>
                            </a:pathLst>
                          </a:custGeom>
                          <a:ln w="5924">
                            <a:solidFill>
                              <a:srgbClr val="231F20"/>
                            </a:solidFill>
                            <a:prstDash val="solid"/>
                          </a:ln>
                        </wps:spPr>
                        <wps:bodyPr wrap="square" lIns="0" tIns="0" rIns="0" bIns="0" rtlCol="0">
                          <a:prstTxWarp prst="textNoShape">
                            <a:avLst/>
                          </a:prstTxWarp>
                          <a:noAutofit/>
                        </wps:bodyPr>
                      </wps:wsp>
                      <wps:wsp>
                        <wps:cNvPr id="142" name="Graphic 142"/>
                        <wps:cNvSpPr/>
                        <wps:spPr>
                          <a:xfrm>
                            <a:off x="137154" y="532099"/>
                            <a:ext cx="2256790" cy="33655"/>
                          </a:xfrm>
                          <a:custGeom>
                            <a:avLst/>
                            <a:gdLst/>
                            <a:ahLst/>
                            <a:cxnLst/>
                            <a:rect l="l" t="t" r="r" b="b"/>
                            <a:pathLst>
                              <a:path w="2256790" h="33655">
                                <a:moveTo>
                                  <a:pt x="0" y="32774"/>
                                </a:moveTo>
                                <a:lnTo>
                                  <a:pt x="0" y="3199"/>
                                </a:lnTo>
                              </a:path>
                              <a:path w="2256790" h="33655">
                                <a:moveTo>
                                  <a:pt x="103798" y="33059"/>
                                </a:moveTo>
                                <a:lnTo>
                                  <a:pt x="103798" y="3483"/>
                                </a:lnTo>
                              </a:path>
                              <a:path w="2256790" h="33655">
                                <a:moveTo>
                                  <a:pt x="207028" y="32774"/>
                                </a:moveTo>
                                <a:lnTo>
                                  <a:pt x="207028" y="3187"/>
                                </a:lnTo>
                              </a:path>
                              <a:path w="2256790" h="33655">
                                <a:moveTo>
                                  <a:pt x="309950" y="33059"/>
                                </a:moveTo>
                                <a:lnTo>
                                  <a:pt x="309950" y="3483"/>
                                </a:lnTo>
                              </a:path>
                              <a:path w="2256790" h="33655">
                                <a:moveTo>
                                  <a:pt x="415775" y="33059"/>
                                </a:moveTo>
                                <a:lnTo>
                                  <a:pt x="415775" y="3483"/>
                                </a:lnTo>
                              </a:path>
                              <a:path w="2256790" h="33655">
                                <a:moveTo>
                                  <a:pt x="519871" y="32774"/>
                                </a:moveTo>
                                <a:lnTo>
                                  <a:pt x="519871" y="3187"/>
                                </a:lnTo>
                              </a:path>
                              <a:path w="2256790" h="33655">
                                <a:moveTo>
                                  <a:pt x="625707" y="32774"/>
                                </a:moveTo>
                                <a:lnTo>
                                  <a:pt x="625707" y="3187"/>
                                </a:lnTo>
                              </a:path>
                              <a:path w="2256790" h="33655">
                                <a:moveTo>
                                  <a:pt x="728653" y="33355"/>
                                </a:moveTo>
                                <a:lnTo>
                                  <a:pt x="728653" y="3779"/>
                                </a:lnTo>
                              </a:path>
                              <a:path w="2256790" h="33655">
                                <a:moveTo>
                                  <a:pt x="832452" y="32774"/>
                                </a:moveTo>
                                <a:lnTo>
                                  <a:pt x="832452" y="3187"/>
                                </a:lnTo>
                              </a:path>
                              <a:path w="2256790" h="33655">
                                <a:moveTo>
                                  <a:pt x="936831" y="33059"/>
                                </a:moveTo>
                                <a:lnTo>
                                  <a:pt x="936831" y="3483"/>
                                </a:lnTo>
                              </a:path>
                              <a:path w="2256790" h="33655">
                                <a:moveTo>
                                  <a:pt x="1039481" y="33059"/>
                                </a:moveTo>
                                <a:lnTo>
                                  <a:pt x="1039481" y="3483"/>
                                </a:lnTo>
                              </a:path>
                              <a:path w="2256790" h="33655">
                                <a:moveTo>
                                  <a:pt x="1141538" y="32774"/>
                                </a:moveTo>
                                <a:lnTo>
                                  <a:pt x="1141538" y="3187"/>
                                </a:lnTo>
                              </a:path>
                              <a:path w="2256790" h="33655">
                                <a:moveTo>
                                  <a:pt x="1244460" y="32774"/>
                                </a:moveTo>
                                <a:lnTo>
                                  <a:pt x="1244460" y="3187"/>
                                </a:lnTo>
                              </a:path>
                              <a:path w="2256790" h="33655">
                                <a:moveTo>
                                  <a:pt x="1348294" y="32774"/>
                                </a:moveTo>
                                <a:lnTo>
                                  <a:pt x="1348294" y="3187"/>
                                </a:lnTo>
                              </a:path>
                              <a:path w="2256790" h="33655">
                                <a:moveTo>
                                  <a:pt x="1452366" y="33059"/>
                                </a:moveTo>
                                <a:lnTo>
                                  <a:pt x="1452366" y="3483"/>
                                </a:lnTo>
                              </a:path>
                              <a:path w="2256790" h="33655">
                                <a:moveTo>
                                  <a:pt x="1555868" y="33059"/>
                                </a:moveTo>
                                <a:lnTo>
                                  <a:pt x="1555868" y="3483"/>
                                </a:lnTo>
                              </a:path>
                              <a:path w="2256790" h="33655">
                                <a:moveTo>
                                  <a:pt x="1661113" y="33059"/>
                                </a:moveTo>
                                <a:lnTo>
                                  <a:pt x="1661113" y="3483"/>
                                </a:lnTo>
                              </a:path>
                              <a:path w="2256790" h="33655">
                                <a:moveTo>
                                  <a:pt x="1766097" y="33059"/>
                                </a:moveTo>
                                <a:lnTo>
                                  <a:pt x="1766097" y="3483"/>
                                </a:lnTo>
                              </a:path>
                              <a:path w="2256790" h="33655">
                                <a:moveTo>
                                  <a:pt x="1870203" y="33059"/>
                                </a:moveTo>
                                <a:lnTo>
                                  <a:pt x="1870203" y="3483"/>
                                </a:lnTo>
                              </a:path>
                              <a:path w="2256790" h="33655">
                                <a:moveTo>
                                  <a:pt x="1975732" y="32774"/>
                                </a:moveTo>
                                <a:lnTo>
                                  <a:pt x="1975732" y="3187"/>
                                </a:lnTo>
                              </a:path>
                              <a:path w="2256790" h="33655">
                                <a:moveTo>
                                  <a:pt x="2078974" y="32774"/>
                                </a:moveTo>
                                <a:lnTo>
                                  <a:pt x="2078974" y="3187"/>
                                </a:lnTo>
                              </a:path>
                              <a:path w="2256790" h="33655">
                                <a:moveTo>
                                  <a:pt x="2181884" y="33059"/>
                                </a:moveTo>
                                <a:lnTo>
                                  <a:pt x="2181884" y="3483"/>
                                </a:lnTo>
                              </a:path>
                              <a:path w="2256790" h="33655">
                                <a:moveTo>
                                  <a:pt x="2256333" y="32774"/>
                                </a:moveTo>
                                <a:lnTo>
                                  <a:pt x="2256333" y="0"/>
                                </a:lnTo>
                              </a:path>
                            </a:pathLst>
                          </a:custGeom>
                          <a:ln w="11849">
                            <a:solidFill>
                              <a:srgbClr val="231F20"/>
                            </a:solidFill>
                            <a:prstDash val="solid"/>
                          </a:ln>
                        </wps:spPr>
                        <wps:bodyPr wrap="square" lIns="0" tIns="0" rIns="0" bIns="0" rtlCol="0">
                          <a:prstTxWarp prst="textNoShape">
                            <a:avLst/>
                          </a:prstTxWarp>
                          <a:noAutofit/>
                        </wps:bodyPr>
                      </wps:wsp>
                      <wps:wsp>
                        <wps:cNvPr id="143" name="Graphic 143"/>
                        <wps:cNvSpPr/>
                        <wps:spPr>
                          <a:xfrm>
                            <a:off x="26637" y="211556"/>
                            <a:ext cx="2367280" cy="324485"/>
                          </a:xfrm>
                          <a:custGeom>
                            <a:avLst/>
                            <a:gdLst/>
                            <a:ahLst/>
                            <a:cxnLst/>
                            <a:rect l="l" t="t" r="r" b="b"/>
                            <a:pathLst>
                              <a:path w="2367280" h="324485">
                                <a:moveTo>
                                  <a:pt x="0" y="43710"/>
                                </a:moveTo>
                                <a:lnTo>
                                  <a:pt x="38950" y="59010"/>
                                </a:lnTo>
                                <a:lnTo>
                                  <a:pt x="136124" y="98955"/>
                                </a:lnTo>
                                <a:lnTo>
                                  <a:pt x="262005" y="154610"/>
                                </a:lnTo>
                                <a:lnTo>
                                  <a:pt x="387077" y="217040"/>
                                </a:lnTo>
                                <a:lnTo>
                                  <a:pt x="458621" y="253864"/>
                                </a:lnTo>
                                <a:lnTo>
                                  <a:pt x="520004" y="281419"/>
                                </a:lnTo>
                                <a:lnTo>
                                  <a:pt x="571012" y="300969"/>
                                </a:lnTo>
                                <a:lnTo>
                                  <a:pt x="611426" y="313777"/>
                                </a:lnTo>
                                <a:lnTo>
                                  <a:pt x="641030" y="321109"/>
                                </a:lnTo>
                                <a:lnTo>
                                  <a:pt x="659608" y="324227"/>
                                </a:lnTo>
                              </a:path>
                              <a:path w="2367280" h="324485">
                                <a:moveTo>
                                  <a:pt x="121311" y="323919"/>
                                </a:moveTo>
                                <a:lnTo>
                                  <a:pt x="166178" y="302885"/>
                                </a:lnTo>
                                <a:lnTo>
                                  <a:pt x="276583" y="250977"/>
                                </a:lnTo>
                                <a:lnTo>
                                  <a:pt x="416235" y="184986"/>
                                </a:lnTo>
                                <a:lnTo>
                                  <a:pt x="548842" y="121701"/>
                                </a:lnTo>
                                <a:lnTo>
                                  <a:pt x="579742" y="107337"/>
                                </a:lnTo>
                                <a:lnTo>
                                  <a:pt x="650750" y="77915"/>
                                </a:lnTo>
                                <a:lnTo>
                                  <a:pt x="690384" y="63525"/>
                                </a:lnTo>
                                <a:lnTo>
                                  <a:pt x="732455" y="49796"/>
                                </a:lnTo>
                                <a:lnTo>
                                  <a:pt x="776727" y="37061"/>
                                </a:lnTo>
                                <a:lnTo>
                                  <a:pt x="822963" y="25654"/>
                                </a:lnTo>
                                <a:lnTo>
                                  <a:pt x="870925" y="15910"/>
                                </a:lnTo>
                                <a:lnTo>
                                  <a:pt x="920376" y="8164"/>
                                </a:lnTo>
                                <a:lnTo>
                                  <a:pt x="971080" y="2749"/>
                                </a:lnTo>
                                <a:lnTo>
                                  <a:pt x="1022800" y="0"/>
                                </a:lnTo>
                                <a:lnTo>
                                  <a:pt x="1075298" y="250"/>
                                </a:lnTo>
                                <a:lnTo>
                                  <a:pt x="1128338" y="3835"/>
                                </a:lnTo>
                                <a:lnTo>
                                  <a:pt x="1181683" y="11089"/>
                                </a:lnTo>
                                <a:lnTo>
                                  <a:pt x="1235095" y="22346"/>
                                </a:lnTo>
                                <a:lnTo>
                                  <a:pt x="1288337" y="37939"/>
                                </a:lnTo>
                                <a:lnTo>
                                  <a:pt x="1345551" y="58080"/>
                                </a:lnTo>
                                <a:lnTo>
                                  <a:pt x="1403566" y="80065"/>
                                </a:lnTo>
                                <a:lnTo>
                                  <a:pt x="1461797" y="103426"/>
                                </a:lnTo>
                                <a:lnTo>
                                  <a:pt x="1519658" y="127697"/>
                                </a:lnTo>
                                <a:lnTo>
                                  <a:pt x="1576564" y="152410"/>
                                </a:lnTo>
                                <a:lnTo>
                                  <a:pt x="1631930" y="177097"/>
                                </a:lnTo>
                                <a:lnTo>
                                  <a:pt x="1685170" y="201291"/>
                                </a:lnTo>
                                <a:lnTo>
                                  <a:pt x="1735698" y="224525"/>
                                </a:lnTo>
                                <a:lnTo>
                                  <a:pt x="1782930" y="246331"/>
                                </a:lnTo>
                                <a:lnTo>
                                  <a:pt x="1826279" y="266242"/>
                                </a:lnTo>
                                <a:lnTo>
                                  <a:pt x="1865160" y="283791"/>
                                </a:lnTo>
                                <a:lnTo>
                                  <a:pt x="1898988" y="298511"/>
                                </a:lnTo>
                                <a:lnTo>
                                  <a:pt x="1927177" y="309933"/>
                                </a:lnTo>
                                <a:lnTo>
                                  <a:pt x="1949142" y="317591"/>
                                </a:lnTo>
                                <a:lnTo>
                                  <a:pt x="1964298" y="321016"/>
                                </a:lnTo>
                              </a:path>
                              <a:path w="2367280" h="324485">
                                <a:moveTo>
                                  <a:pt x="2366862" y="58154"/>
                                </a:moveTo>
                                <a:lnTo>
                                  <a:pt x="2309785" y="40365"/>
                                </a:lnTo>
                                <a:lnTo>
                                  <a:pt x="2252207" y="26875"/>
                                </a:lnTo>
                                <a:lnTo>
                                  <a:pt x="2194475" y="17380"/>
                                </a:lnTo>
                                <a:lnTo>
                                  <a:pt x="2136934" y="11574"/>
                                </a:lnTo>
                                <a:lnTo>
                                  <a:pt x="2079932" y="9154"/>
                                </a:lnTo>
                                <a:lnTo>
                                  <a:pt x="2023813" y="9814"/>
                                </a:lnTo>
                                <a:lnTo>
                                  <a:pt x="1968923" y="13250"/>
                                </a:lnTo>
                                <a:lnTo>
                                  <a:pt x="1915609" y="19157"/>
                                </a:lnTo>
                                <a:lnTo>
                                  <a:pt x="1864218" y="27231"/>
                                </a:lnTo>
                                <a:lnTo>
                                  <a:pt x="1815094" y="37166"/>
                                </a:lnTo>
                                <a:lnTo>
                                  <a:pt x="1768583" y="48659"/>
                                </a:lnTo>
                                <a:lnTo>
                                  <a:pt x="1725033" y="61405"/>
                                </a:lnTo>
                                <a:lnTo>
                                  <a:pt x="1684789" y="75099"/>
                                </a:lnTo>
                                <a:lnTo>
                                  <a:pt x="1648196" y="89436"/>
                                </a:lnTo>
                                <a:lnTo>
                                  <a:pt x="1587352" y="118822"/>
                                </a:lnTo>
                                <a:lnTo>
                                  <a:pt x="1457355" y="183771"/>
                                </a:lnTo>
                                <a:lnTo>
                                  <a:pt x="1306430" y="250617"/>
                                </a:lnTo>
                                <a:lnTo>
                                  <a:pt x="1181478" y="302840"/>
                                </a:lnTo>
                                <a:lnTo>
                                  <a:pt x="1129404" y="323919"/>
                                </a:lnTo>
                              </a:path>
                            </a:pathLst>
                          </a:custGeom>
                          <a:ln w="11849">
                            <a:solidFill>
                              <a:srgbClr val="009EDB"/>
                            </a:solidFill>
                            <a:prstDash val="solid"/>
                          </a:ln>
                        </wps:spPr>
                        <wps:bodyPr wrap="square" lIns="0" tIns="0" rIns="0" bIns="0" rtlCol="0">
                          <a:prstTxWarp prst="textNoShape">
                            <a:avLst/>
                          </a:prstTxWarp>
                          <a:noAutofit/>
                        </wps:bodyPr>
                      </wps:wsp>
                      <wps:wsp>
                        <wps:cNvPr id="144" name="Graphic 144"/>
                        <wps:cNvSpPr/>
                        <wps:spPr>
                          <a:xfrm>
                            <a:off x="29291" y="5924"/>
                            <a:ext cx="2364740" cy="530225"/>
                          </a:xfrm>
                          <a:custGeom>
                            <a:avLst/>
                            <a:gdLst/>
                            <a:ahLst/>
                            <a:cxnLst/>
                            <a:rect l="l" t="t" r="r" b="b"/>
                            <a:pathLst>
                              <a:path w="2364740" h="530225">
                                <a:moveTo>
                                  <a:pt x="2364208" y="529338"/>
                                </a:moveTo>
                                <a:lnTo>
                                  <a:pt x="0" y="529753"/>
                                </a:lnTo>
                                <a:lnTo>
                                  <a:pt x="0" y="0"/>
                                </a:lnTo>
                                <a:lnTo>
                                  <a:pt x="2364208" y="0"/>
                                </a:lnTo>
                                <a:lnTo>
                                  <a:pt x="2364208" y="529338"/>
                                </a:lnTo>
                              </a:path>
                            </a:pathLst>
                          </a:custGeom>
                          <a:ln w="11849">
                            <a:solidFill>
                              <a:srgbClr val="231F20"/>
                            </a:solidFill>
                            <a:prstDash val="solid"/>
                          </a:ln>
                        </wps:spPr>
                        <wps:bodyPr wrap="square" lIns="0" tIns="0" rIns="0" bIns="0" rtlCol="0">
                          <a:prstTxWarp prst="textNoShape">
                            <a:avLst/>
                          </a:prstTxWarp>
                          <a:noAutofit/>
                        </wps:bodyPr>
                      </wps:wsp>
                      <wps:wsp>
                        <wps:cNvPr id="145" name="Textbox 145"/>
                        <wps:cNvSpPr txBox="1"/>
                        <wps:spPr>
                          <a:xfrm>
                            <a:off x="0" y="0"/>
                            <a:ext cx="2399665" cy="565785"/>
                          </a:xfrm>
                          <a:prstGeom prst="rect">
                            <a:avLst/>
                          </a:prstGeom>
                        </wps:spPr>
                        <wps:txbx>
                          <w:txbxContent>
                            <w:p>
                              <w:pPr>
                                <w:spacing w:before="67"/>
                                <w:ind w:left="183" w:right="0" w:firstLine="0"/>
                                <w:jc w:val="left"/>
                                <w:rPr>
                                  <w:rFonts w:ascii="Arial MT"/>
                                  <w:sz w:val="13"/>
                                </w:rPr>
                              </w:pPr>
                              <w:r>
                                <w:rPr>
                                  <w:rFonts w:ascii="Arial MT"/>
                                  <w:color w:val="231F20"/>
                                  <w:sz w:val="13"/>
                                </w:rPr>
                                <w:t>Unmerged</w:t>
                              </w:r>
                              <w:r>
                                <w:rPr>
                                  <w:rFonts w:ascii="Arial MT"/>
                                  <w:color w:val="231F20"/>
                                  <w:spacing w:val="-8"/>
                                  <w:sz w:val="13"/>
                                </w:rPr>
                                <w:t> </w:t>
                              </w:r>
                              <w:r>
                                <w:rPr>
                                  <w:rFonts w:ascii="Arial MT"/>
                                  <w:color w:val="231F20"/>
                                  <w:sz w:val="13"/>
                                </w:rPr>
                                <w:t>Ultralente</w:t>
                              </w:r>
                              <w:r>
                                <w:rPr>
                                  <w:rFonts w:ascii="Arial MT"/>
                                  <w:color w:val="231F20"/>
                                  <w:spacing w:val="-5"/>
                                  <w:sz w:val="13"/>
                                </w:rPr>
                                <w:t> </w:t>
                              </w:r>
                              <w:r>
                                <w:rPr>
                                  <w:rFonts w:ascii="Arial MT"/>
                                  <w:color w:val="231F20"/>
                                  <w:sz w:val="13"/>
                                </w:rPr>
                                <w:t>independent</w:t>
                              </w:r>
                              <w:r>
                                <w:rPr>
                                  <w:rFonts w:ascii="Arial MT"/>
                                  <w:color w:val="231F20"/>
                                  <w:spacing w:val="-5"/>
                                  <w:sz w:val="13"/>
                                </w:rPr>
                                <w:t> </w:t>
                              </w:r>
                              <w:r>
                                <w:rPr>
                                  <w:rFonts w:ascii="Arial MT"/>
                                  <w:color w:val="231F20"/>
                                  <w:spacing w:val="-2"/>
                                  <w:sz w:val="13"/>
                                </w:rPr>
                                <w:t>profile</w:t>
                              </w:r>
                            </w:p>
                          </w:txbxContent>
                        </wps:txbx>
                        <wps:bodyPr wrap="square" lIns="0" tIns="0" rIns="0" bIns="0" rtlCol="0">
                          <a:noAutofit/>
                        </wps:bodyPr>
                      </wps:wsp>
                    </wpg:wgp>
                  </a:graphicData>
                </a:graphic>
              </wp:anchor>
            </w:drawing>
          </mc:Choice>
          <mc:Fallback>
            <w:pict>
              <v:group style="position:absolute;margin-left:327.11264pt;margin-top:-46.496674pt;width:188.95pt;height:44.55pt;mso-position-horizontal-relative:page;mso-position-vertical-relative:paragraph;z-index:15736320" id="docshapegroup108" coordorigin="6542,-930" coordsize="3779,891">
                <v:line style="position:absolute" from="6589,-643" to="10312,-643" stroked="true" strokeweight=".466503pt" strokecolor="#c7c8ca">
                  <v:stroke dashstyle="solid"/>
                </v:line>
                <v:shape style="position:absolute;left:6772;top:-593;width:3540;height:513" id="docshape109" coordorigin="6772,-593" coordsize="3540,513" path="m10312,-500l10221,-528,10131,-549,10040,-564,9949,-573,9860,-577,9772,-576,9686,-571,9602,-561,9522,-549,9445,-533,9372,-515,9303,-495,9240,-473,9183,-451,9087,-404,9021,-372,8883,-430,8792,-467,8700,-502,8610,-533,8526,-558,8442,-576,8358,-587,8275,-593,8192,-593,8110,-589,8031,-580,7953,-568,7877,-553,7804,-535,7735,-515,7668,-493,7606,-470,7548,-447,7446,-401,7237,-302,7017,-198,6772,-83,8374,-85,8364,-81,10312,-81,10312,-500xe" filled="true" fillcolor="#92c5eb" stroked="false">
                  <v:path arrowok="t"/>
                  <v:fill type="solid"/>
                </v:shape>
                <v:shape style="position:absolute;left:6779;top:-377;width:2916;height:291" id="docshape110" coordorigin="6779,-376" coordsize="2916,291" path="m7615,-87l7610,-93,7586,-99,7527,-117,7449,-142,7368,-171,7294,-204,7228,-236,7182,-260,7164,-270,6779,-86,7615,-87xm9694,-87l9623,-113,9558,-137,9496,-163,9200,-299,9137,-327,9031,-376,8849,-292,8729,-240,8649,-205,8609,-189,8566,-172,8356,-87,9694,-87xe" filled="true" fillcolor="#009edb" stroked="false">
                  <v:path arrowok="t"/>
                  <v:fill type="solid"/>
                </v:shape>
                <v:shape style="position:absolute;left:6587;top:-527;width:574;height:440" id="docshape111" coordorigin="6587,-526" coordsize="574,440" path="m6587,-526l6587,-86,6770,-86,7160,-269,7105,-299,7059,-324,7022,-342,6783,-450,6587,-526xe" filled="true" fillcolor="#92c5eb" stroked="false">
                  <v:path arrowok="t"/>
                  <v:fill type="solid"/>
                </v:shape>
                <v:shape style="position:absolute;left:6542;top:-921;width:48;height:556" id="docshape112" coordorigin="6542,-921" coordsize="48,556" path="m6543,-921l6590,-921m6542,-643l6589,-643m6542,-365l6589,-365e" filled="false" stroked="true" strokeweight=".466503pt" strokecolor="#231f20">
                  <v:path arrowok="t"/>
                  <v:stroke dashstyle="solid"/>
                </v:shape>
                <v:shape style="position:absolute;left:6758;top:-92;width:3554;height:53" id="docshape113" coordorigin="6758,-92" coordsize="3554,53" path="m6758,-40l6758,-87m6922,-40l6922,-86m7084,-40l7084,-87m7246,-40l7246,-86m7413,-40l7413,-86m7577,-40l7577,-87m7744,-40l7744,-87m7906,-39l7906,-86m8069,-40l8069,-87m8234,-40l8234,-86m8395,-40l8395,-86m8556,-40l8556,-87m8718,-40l8718,-87m8882,-40l8882,-87m9045,-40l9045,-86m9208,-40l9208,-86m9374,-40l9374,-86m9539,-40l9539,-86m9703,-40l9703,-86m9870,-40l9870,-87m10032,-40l10032,-87m10194,-40l10194,-86m10312,-40l10312,-92e" filled="false" stroked="true" strokeweight=".933007pt" strokecolor="#231f20">
                  <v:path arrowok="t"/>
                  <v:stroke dashstyle="solid"/>
                </v:shape>
                <v:shape style="position:absolute;left:6584;top:-597;width:3728;height:511" id="docshape114" coordorigin="6584,-597" coordsize="3728,511" path="m6584,-528l6646,-504,6799,-441,6997,-353,7194,-255,7306,-197,7403,-154,7483,-123,7547,-103,7594,-91,7623,-86m6775,-87l6846,-120,7020,-202,7240,-305,7449,-405,7497,-428,7551,-451,7609,-474,7671,-497,7738,-518,7807,-538,7880,-556,7956,-572,8034,-584,8113,-592,8195,-597,8278,-596,8361,-591,8445,-579,8529,-562,8613,-537,8703,-505,8795,-471,8886,-434,8977,-396,9067,-357,9154,-318,9238,-280,9318,-243,9392,-209,9460,-177,9521,-150,9575,-127,9619,-109,9654,-97,9678,-91m10312,-505l10222,-533,10131,-554,10040,-569,9949,-579,9860,-582,9771,-581,9685,-576,9601,-567,9520,-554,9443,-538,9369,-520,9301,-500,9237,-479,9180,-456,9128,-433,9084,-410,8879,-307,8642,-202,8445,-120,8363,-87e" filled="false" stroked="true" strokeweight=".933007pt" strokecolor="#009edb">
                  <v:path arrowok="t"/>
                  <v:stroke dashstyle="solid"/>
                </v:shape>
                <v:shape style="position:absolute;left:6588;top:-921;width:3724;height:835" id="docshape115" coordorigin="6588,-921" coordsize="3724,835" path="m10312,-87l6588,-86,6588,-921,10312,-921,10312,-87e" filled="false" stroked="true" strokeweight=".933007pt" strokecolor="#231f20">
                  <v:path arrowok="t"/>
                  <v:stroke dashstyle="solid"/>
                </v:shape>
                <v:shape style="position:absolute;left:6542;top:-930;width:3779;height:891" type="#_x0000_t202" id="docshape116" filled="false" stroked="false">
                  <v:textbox inset="0,0,0,0">
                    <w:txbxContent>
                      <w:p>
                        <w:pPr>
                          <w:spacing w:before="67"/>
                          <w:ind w:left="183" w:right="0" w:firstLine="0"/>
                          <w:jc w:val="left"/>
                          <w:rPr>
                            <w:rFonts w:ascii="Arial MT"/>
                            <w:sz w:val="13"/>
                          </w:rPr>
                        </w:pPr>
                        <w:r>
                          <w:rPr>
                            <w:rFonts w:ascii="Arial MT"/>
                            <w:color w:val="231F20"/>
                            <w:sz w:val="13"/>
                          </w:rPr>
                          <w:t>Unmerged</w:t>
                        </w:r>
                        <w:r>
                          <w:rPr>
                            <w:rFonts w:ascii="Arial MT"/>
                            <w:color w:val="231F20"/>
                            <w:spacing w:val="-8"/>
                            <w:sz w:val="13"/>
                          </w:rPr>
                          <w:t> </w:t>
                        </w:r>
                        <w:r>
                          <w:rPr>
                            <w:rFonts w:ascii="Arial MT"/>
                            <w:color w:val="231F20"/>
                            <w:sz w:val="13"/>
                          </w:rPr>
                          <w:t>Ultralente</w:t>
                        </w:r>
                        <w:r>
                          <w:rPr>
                            <w:rFonts w:ascii="Arial MT"/>
                            <w:color w:val="231F20"/>
                            <w:spacing w:val="-5"/>
                            <w:sz w:val="13"/>
                          </w:rPr>
                          <w:t> </w:t>
                        </w:r>
                        <w:r>
                          <w:rPr>
                            <w:rFonts w:ascii="Arial MT"/>
                            <w:color w:val="231F20"/>
                            <w:sz w:val="13"/>
                          </w:rPr>
                          <w:t>independent</w:t>
                        </w:r>
                        <w:r>
                          <w:rPr>
                            <w:rFonts w:ascii="Arial MT"/>
                            <w:color w:val="231F20"/>
                            <w:spacing w:val="-5"/>
                            <w:sz w:val="13"/>
                          </w:rPr>
                          <w:t> </w:t>
                        </w:r>
                        <w:r>
                          <w:rPr>
                            <w:rFonts w:ascii="Arial MT"/>
                            <w:color w:val="231F20"/>
                            <w:spacing w:val="-2"/>
                            <w:sz w:val="13"/>
                          </w:rPr>
                          <w:t>profile</w:t>
                        </w:r>
                      </w:p>
                    </w:txbxContent>
                  </v:textbox>
                  <w10:wrap type="none"/>
                </v:shape>
                <w10:wrap type="none"/>
              </v:group>
            </w:pict>
          </mc:Fallback>
        </mc:AlternateContent>
      </w:r>
      <w:r>
        <w:rPr>
          <w:rFonts w:ascii="Arial MT"/>
          <w:color w:val="231F20"/>
          <w:spacing w:val="-4"/>
        </w:rPr>
        <w:t>8:00</w:t>
      </w:r>
      <w:r>
        <w:rPr>
          <w:rFonts w:ascii="Arial MT"/>
          <w:color w:val="231F20"/>
        </w:rPr>
        <w:tab/>
      </w:r>
      <w:r>
        <w:rPr>
          <w:rFonts w:ascii="Arial MT"/>
          <w:color w:val="231F20"/>
          <w:spacing w:val="-2"/>
        </w:rPr>
        <w:t>12:00</w:t>
      </w:r>
      <w:r>
        <w:rPr>
          <w:rFonts w:ascii="Arial MT"/>
          <w:color w:val="231F20"/>
        </w:rPr>
        <w:tab/>
      </w:r>
      <w:r>
        <w:rPr>
          <w:rFonts w:ascii="Arial MT"/>
          <w:color w:val="231F20"/>
          <w:spacing w:val="-4"/>
        </w:rPr>
        <w:t>4:00</w:t>
      </w:r>
      <w:r>
        <w:rPr>
          <w:rFonts w:ascii="Arial MT"/>
          <w:color w:val="231F20"/>
        </w:rPr>
        <w:tab/>
      </w:r>
      <w:r>
        <w:rPr>
          <w:rFonts w:ascii="Arial MT"/>
          <w:color w:val="231F20"/>
          <w:spacing w:val="-4"/>
        </w:rPr>
        <w:t>8:00</w:t>
      </w:r>
      <w:r>
        <w:rPr>
          <w:rFonts w:ascii="Arial MT"/>
          <w:color w:val="231F20"/>
        </w:rPr>
        <w:tab/>
      </w:r>
      <w:r>
        <w:rPr>
          <w:rFonts w:ascii="Arial MT"/>
          <w:color w:val="231F20"/>
          <w:spacing w:val="-2"/>
        </w:rPr>
        <w:t>12:00</w:t>
      </w:r>
      <w:r>
        <w:rPr>
          <w:rFonts w:ascii="Arial MT"/>
          <w:color w:val="231F20"/>
        </w:rPr>
        <w:tab/>
      </w:r>
      <w:r>
        <w:rPr>
          <w:rFonts w:ascii="Arial MT"/>
          <w:color w:val="231F20"/>
          <w:spacing w:val="-4"/>
        </w:rPr>
        <w:t>4:00</w:t>
      </w:r>
    </w:p>
    <w:p>
      <w:pPr>
        <w:pStyle w:val="BodyText"/>
        <w:spacing w:before="4"/>
        <w:rPr>
          <w:rFonts w:ascii="Arial MT"/>
          <w:sz w:val="3"/>
        </w:rPr>
      </w:pPr>
    </w:p>
    <w:p>
      <w:pPr>
        <w:tabs>
          <w:tab w:pos="883" w:val="left" w:leader="none"/>
          <w:tab w:pos="1802" w:val="left" w:leader="none"/>
        </w:tabs>
        <w:spacing w:line="240" w:lineRule="auto"/>
        <w:ind w:left="141" w:right="0" w:firstLine="0"/>
        <w:jc w:val="left"/>
        <w:rPr>
          <w:rFonts w:ascii="Arial MT"/>
          <w:sz w:val="20"/>
        </w:rPr>
      </w:pPr>
      <w:r>
        <w:rPr>
          <w:rFonts w:ascii="Arial MT"/>
          <w:sz w:val="20"/>
        </w:rPr>
        <mc:AlternateContent>
          <mc:Choice Requires="wps">
            <w:drawing>
              <wp:inline distT="0" distB="0" distL="0" distR="0">
                <wp:extent cx="187325" cy="189865"/>
                <wp:effectExtent l="0" t="0" r="0" b="635"/>
                <wp:docPr id="146" name="Group 146"/>
                <wp:cNvGraphicFramePr>
                  <a:graphicFrameLocks/>
                </wp:cNvGraphicFramePr>
                <a:graphic>
                  <a:graphicData uri="http://schemas.microsoft.com/office/word/2010/wordprocessingGroup">
                    <wpg:wgp>
                      <wpg:cNvPr id="146" name="Group 146"/>
                      <wpg:cNvGrpSpPr/>
                      <wpg:grpSpPr>
                        <a:xfrm>
                          <a:off x="0" y="0"/>
                          <a:ext cx="187325" cy="189865"/>
                          <a:chExt cx="187325" cy="189865"/>
                        </a:xfrm>
                      </wpg:grpSpPr>
                      <wps:wsp>
                        <wps:cNvPr id="147" name="Graphic 147"/>
                        <wps:cNvSpPr/>
                        <wps:spPr>
                          <a:xfrm>
                            <a:off x="58601" y="5924"/>
                            <a:ext cx="122555" cy="66675"/>
                          </a:xfrm>
                          <a:custGeom>
                            <a:avLst/>
                            <a:gdLst/>
                            <a:ahLst/>
                            <a:cxnLst/>
                            <a:rect l="l" t="t" r="r" b="b"/>
                            <a:pathLst>
                              <a:path w="122555" h="66675">
                                <a:moveTo>
                                  <a:pt x="122259" y="66225"/>
                                </a:moveTo>
                                <a:lnTo>
                                  <a:pt x="0" y="66225"/>
                                </a:lnTo>
                                <a:lnTo>
                                  <a:pt x="0" y="0"/>
                                </a:lnTo>
                                <a:lnTo>
                                  <a:pt x="122259" y="0"/>
                                </a:lnTo>
                                <a:lnTo>
                                  <a:pt x="122259" y="66225"/>
                                </a:lnTo>
                                <a:close/>
                              </a:path>
                            </a:pathLst>
                          </a:custGeom>
                          <a:ln w="11849">
                            <a:solidFill>
                              <a:srgbClr val="009EDB"/>
                            </a:solidFill>
                            <a:prstDash val="solid"/>
                          </a:ln>
                        </wps:spPr>
                        <wps:bodyPr wrap="square" lIns="0" tIns="0" rIns="0" bIns="0" rtlCol="0">
                          <a:prstTxWarp prst="textNoShape">
                            <a:avLst/>
                          </a:prstTxWarp>
                          <a:noAutofit/>
                        </wps:bodyPr>
                      </wps:wsp>
                      <wps:wsp>
                        <wps:cNvPr id="148" name="Graphic 148"/>
                        <wps:cNvSpPr/>
                        <wps:spPr>
                          <a:xfrm>
                            <a:off x="0" y="72137"/>
                            <a:ext cx="117475" cy="117475"/>
                          </a:xfrm>
                          <a:custGeom>
                            <a:avLst/>
                            <a:gdLst/>
                            <a:ahLst/>
                            <a:cxnLst/>
                            <a:rect l="l" t="t" r="r" b="b"/>
                            <a:pathLst>
                              <a:path w="117475" h="117475">
                                <a:moveTo>
                                  <a:pt x="61125" y="0"/>
                                </a:moveTo>
                                <a:lnTo>
                                  <a:pt x="0" y="117157"/>
                                </a:lnTo>
                                <a:lnTo>
                                  <a:pt x="117157" y="117157"/>
                                </a:lnTo>
                                <a:lnTo>
                                  <a:pt x="61125" y="0"/>
                                </a:lnTo>
                                <a:close/>
                              </a:path>
                            </a:pathLst>
                          </a:custGeom>
                          <a:solidFill>
                            <a:srgbClr val="009EDB"/>
                          </a:solidFill>
                        </wps:spPr>
                        <wps:bodyPr wrap="square" lIns="0" tIns="0" rIns="0" bIns="0" rtlCol="0">
                          <a:prstTxWarp prst="textNoShape">
                            <a:avLst/>
                          </a:prstTxWarp>
                          <a:noAutofit/>
                        </wps:bodyPr>
                      </wps:wsp>
                    </wpg:wgp>
                  </a:graphicData>
                </a:graphic>
              </wp:inline>
            </w:drawing>
          </mc:Choice>
          <mc:Fallback>
            <w:pict>
              <v:group style="width:14.75pt;height:14.95pt;mso-position-horizontal-relative:char;mso-position-vertical-relative:line" id="docshapegroup117" coordorigin="0,0" coordsize="295,299">
                <v:rect style="position:absolute;left:92;top:9;width:193;height:105" id="docshape118" filled="false" stroked="true" strokeweight=".933007pt" strokecolor="#009edb">
                  <v:stroke dashstyle="solid"/>
                </v:rect>
                <v:shape style="position:absolute;left:0;top:113;width:185;height:185" id="docshape119" coordorigin="0,114" coordsize="185,185" path="m96,114l0,298,184,298,96,114xe" filled="true" fillcolor="#009edb" stroked="false">
                  <v:path arrowok="t"/>
                  <v:fill type="solid"/>
                </v:shape>
              </v:group>
            </w:pict>
          </mc:Fallback>
        </mc:AlternateContent>
      </w:r>
      <w:r>
        <w:rPr>
          <w:rFonts w:ascii="Arial MT"/>
          <w:sz w:val="20"/>
        </w:rPr>
      </w:r>
      <w:r>
        <w:rPr>
          <w:rFonts w:ascii="Arial MT"/>
          <w:sz w:val="20"/>
        </w:rPr>
        <w:tab/>
      </w:r>
      <w:r>
        <w:rPr>
          <w:rFonts w:ascii="Arial MT"/>
          <w:position w:val="19"/>
          <w:sz w:val="20"/>
        </w:rPr>
        <mc:AlternateContent>
          <mc:Choice Requires="wps">
            <w:drawing>
              <wp:inline distT="0" distB="0" distL="0" distR="0">
                <wp:extent cx="134620" cy="78105"/>
                <wp:effectExtent l="9525" t="0" r="0" b="7619"/>
                <wp:docPr id="149" name="Group 149"/>
                <wp:cNvGraphicFramePr>
                  <a:graphicFrameLocks/>
                </wp:cNvGraphicFramePr>
                <a:graphic>
                  <a:graphicData uri="http://schemas.microsoft.com/office/word/2010/wordprocessingGroup">
                    <wpg:wgp>
                      <wpg:cNvPr id="149" name="Group 149"/>
                      <wpg:cNvGrpSpPr/>
                      <wpg:grpSpPr>
                        <a:xfrm>
                          <a:off x="0" y="0"/>
                          <a:ext cx="134620" cy="78105"/>
                          <a:chExt cx="134620" cy="78105"/>
                        </a:xfrm>
                      </wpg:grpSpPr>
                      <wps:wsp>
                        <wps:cNvPr id="150" name="Graphic 150"/>
                        <wps:cNvSpPr/>
                        <wps:spPr>
                          <a:xfrm>
                            <a:off x="5924" y="5924"/>
                            <a:ext cx="122555" cy="66675"/>
                          </a:xfrm>
                          <a:custGeom>
                            <a:avLst/>
                            <a:gdLst/>
                            <a:ahLst/>
                            <a:cxnLst/>
                            <a:rect l="l" t="t" r="r" b="b"/>
                            <a:pathLst>
                              <a:path w="122555" h="66675">
                                <a:moveTo>
                                  <a:pt x="122259" y="66201"/>
                                </a:moveTo>
                                <a:lnTo>
                                  <a:pt x="0" y="66201"/>
                                </a:lnTo>
                                <a:lnTo>
                                  <a:pt x="0" y="0"/>
                                </a:lnTo>
                                <a:lnTo>
                                  <a:pt x="122259" y="0"/>
                                </a:lnTo>
                                <a:lnTo>
                                  <a:pt x="122259" y="66201"/>
                                </a:lnTo>
                                <a:close/>
                              </a:path>
                            </a:pathLst>
                          </a:custGeom>
                          <a:ln w="11849">
                            <a:solidFill>
                              <a:srgbClr val="009EDB"/>
                            </a:solidFill>
                            <a:prstDash val="solid"/>
                          </a:ln>
                        </wps:spPr>
                        <wps:bodyPr wrap="square" lIns="0" tIns="0" rIns="0" bIns="0" rtlCol="0">
                          <a:prstTxWarp prst="textNoShape">
                            <a:avLst/>
                          </a:prstTxWarp>
                          <a:noAutofit/>
                        </wps:bodyPr>
                      </wps:wsp>
                    </wpg:wgp>
                  </a:graphicData>
                </a:graphic>
              </wp:inline>
            </w:drawing>
          </mc:Choice>
          <mc:Fallback>
            <w:pict>
              <v:group style="width:10.6pt;height:6.15pt;mso-position-horizontal-relative:char;mso-position-vertical-relative:line" id="docshapegroup120" coordorigin="0,0" coordsize="212,123">
                <v:rect style="position:absolute;left:9;top:9;width:193;height:105" id="docshape121" filled="false" stroked="true" strokeweight=".933007pt" strokecolor="#009edb">
                  <v:stroke dashstyle="solid"/>
                </v:rect>
              </v:group>
            </w:pict>
          </mc:Fallback>
        </mc:AlternateContent>
      </w:r>
      <w:r>
        <w:rPr>
          <w:rFonts w:ascii="Arial MT"/>
          <w:position w:val="19"/>
          <w:sz w:val="20"/>
        </w:rPr>
      </w:r>
      <w:r>
        <w:rPr>
          <w:rFonts w:ascii="Arial MT"/>
          <w:position w:val="19"/>
          <w:sz w:val="20"/>
        </w:rPr>
        <w:tab/>
      </w:r>
      <w:r>
        <w:rPr>
          <w:rFonts w:ascii="Arial MT"/>
          <w:sz w:val="20"/>
        </w:rPr>
        <mc:AlternateContent>
          <mc:Choice Requires="wps">
            <w:drawing>
              <wp:inline distT="0" distB="0" distL="0" distR="0">
                <wp:extent cx="187325" cy="189865"/>
                <wp:effectExtent l="0" t="0" r="0" b="635"/>
                <wp:docPr id="151" name="Group 151"/>
                <wp:cNvGraphicFramePr>
                  <a:graphicFrameLocks/>
                </wp:cNvGraphicFramePr>
                <a:graphic>
                  <a:graphicData uri="http://schemas.microsoft.com/office/word/2010/wordprocessingGroup">
                    <wpg:wgp>
                      <wpg:cNvPr id="151" name="Group 151"/>
                      <wpg:cNvGrpSpPr/>
                      <wpg:grpSpPr>
                        <a:xfrm>
                          <a:off x="0" y="0"/>
                          <a:ext cx="187325" cy="189865"/>
                          <a:chExt cx="187325" cy="189865"/>
                        </a:xfrm>
                      </wpg:grpSpPr>
                      <wps:wsp>
                        <wps:cNvPr id="152" name="Graphic 152"/>
                        <wps:cNvSpPr/>
                        <wps:spPr>
                          <a:xfrm>
                            <a:off x="58588" y="5924"/>
                            <a:ext cx="122555" cy="66675"/>
                          </a:xfrm>
                          <a:custGeom>
                            <a:avLst/>
                            <a:gdLst/>
                            <a:ahLst/>
                            <a:cxnLst/>
                            <a:rect l="l" t="t" r="r" b="b"/>
                            <a:pathLst>
                              <a:path w="122555" h="66675">
                                <a:moveTo>
                                  <a:pt x="122259" y="66225"/>
                                </a:moveTo>
                                <a:lnTo>
                                  <a:pt x="0" y="66225"/>
                                </a:lnTo>
                                <a:lnTo>
                                  <a:pt x="0" y="0"/>
                                </a:lnTo>
                                <a:lnTo>
                                  <a:pt x="122259" y="0"/>
                                </a:lnTo>
                                <a:lnTo>
                                  <a:pt x="122259" y="66225"/>
                                </a:lnTo>
                                <a:close/>
                              </a:path>
                            </a:pathLst>
                          </a:custGeom>
                          <a:ln w="11849">
                            <a:solidFill>
                              <a:srgbClr val="009EDB"/>
                            </a:solidFill>
                            <a:prstDash val="solid"/>
                          </a:ln>
                        </wps:spPr>
                        <wps:bodyPr wrap="square" lIns="0" tIns="0" rIns="0" bIns="0" rtlCol="0">
                          <a:prstTxWarp prst="textNoShape">
                            <a:avLst/>
                          </a:prstTxWarp>
                          <a:noAutofit/>
                        </wps:bodyPr>
                      </wps:wsp>
                      <wps:wsp>
                        <wps:cNvPr id="153" name="Graphic 153"/>
                        <wps:cNvSpPr/>
                        <wps:spPr>
                          <a:xfrm>
                            <a:off x="0" y="72137"/>
                            <a:ext cx="117475" cy="117475"/>
                          </a:xfrm>
                          <a:custGeom>
                            <a:avLst/>
                            <a:gdLst/>
                            <a:ahLst/>
                            <a:cxnLst/>
                            <a:rect l="l" t="t" r="r" b="b"/>
                            <a:pathLst>
                              <a:path w="117475" h="117475">
                                <a:moveTo>
                                  <a:pt x="61125" y="0"/>
                                </a:moveTo>
                                <a:lnTo>
                                  <a:pt x="0" y="117157"/>
                                </a:lnTo>
                                <a:lnTo>
                                  <a:pt x="117170" y="117157"/>
                                </a:lnTo>
                                <a:lnTo>
                                  <a:pt x="61125" y="0"/>
                                </a:lnTo>
                                <a:close/>
                              </a:path>
                            </a:pathLst>
                          </a:custGeom>
                          <a:solidFill>
                            <a:srgbClr val="009EDB"/>
                          </a:solidFill>
                        </wps:spPr>
                        <wps:bodyPr wrap="square" lIns="0" tIns="0" rIns="0" bIns="0" rtlCol="0">
                          <a:prstTxWarp prst="textNoShape">
                            <a:avLst/>
                          </a:prstTxWarp>
                          <a:noAutofit/>
                        </wps:bodyPr>
                      </wps:wsp>
                    </wpg:wgp>
                  </a:graphicData>
                </a:graphic>
              </wp:inline>
            </w:drawing>
          </mc:Choice>
          <mc:Fallback>
            <w:pict>
              <v:group style="width:14.75pt;height:14.95pt;mso-position-horizontal-relative:char;mso-position-vertical-relative:line" id="docshapegroup122" coordorigin="0,0" coordsize="295,299">
                <v:rect style="position:absolute;left:92;top:9;width:193;height:105" id="docshape123" filled="false" stroked="true" strokeweight=".933007pt" strokecolor="#009edb">
                  <v:stroke dashstyle="solid"/>
                </v:rect>
                <v:shape style="position:absolute;left:0;top:113;width:185;height:185" id="docshape124" coordorigin="0,114" coordsize="185,185" path="m96,114l0,298,185,298,96,114xe" filled="true" fillcolor="#009edb" stroked="false">
                  <v:path arrowok="t"/>
                  <v:fill type="solid"/>
                </v:shape>
              </v:group>
            </w:pict>
          </mc:Fallback>
        </mc:AlternateContent>
      </w:r>
      <w:r>
        <w:rPr>
          <w:rFonts w:ascii="Arial MT"/>
          <w:sz w:val="20"/>
        </w:rPr>
      </w:r>
    </w:p>
    <w:p>
      <w:pPr>
        <w:pStyle w:val="BodyText"/>
        <w:spacing w:before="142"/>
        <w:rPr>
          <w:rFonts w:ascii="Arial MT"/>
          <w:sz w:val="20"/>
        </w:rPr>
      </w:pPr>
      <w:r>
        <w:rPr>
          <w:rFonts w:ascii="Arial MT"/>
          <w:sz w:val="20"/>
        </w:rPr>
        <mc:AlternateContent>
          <mc:Choice Requires="wps">
            <w:drawing>
              <wp:anchor distT="0" distB="0" distL="0" distR="0" allowOverlap="1" layoutInCell="1" locked="0" behindDoc="1" simplePos="0" relativeHeight="487593472">
                <wp:simplePos x="0" y="0"/>
                <wp:positionH relativeFrom="page">
                  <wp:posOffset>4154331</wp:posOffset>
                </wp:positionH>
                <wp:positionV relativeFrom="paragraph">
                  <wp:posOffset>251959</wp:posOffset>
                </wp:positionV>
                <wp:extent cx="2398395" cy="559435"/>
                <wp:effectExtent l="0" t="0" r="0" b="0"/>
                <wp:wrapTopAndBottom/>
                <wp:docPr id="154" name="Group 154"/>
                <wp:cNvGraphicFramePr>
                  <a:graphicFrameLocks/>
                </wp:cNvGraphicFramePr>
                <a:graphic>
                  <a:graphicData uri="http://schemas.microsoft.com/office/word/2010/wordprocessingGroup">
                    <wpg:wgp>
                      <wpg:cNvPr id="154" name="Group 154"/>
                      <wpg:cNvGrpSpPr/>
                      <wpg:grpSpPr>
                        <a:xfrm>
                          <a:off x="0" y="0"/>
                          <a:ext cx="2398395" cy="559435"/>
                          <a:chExt cx="2398395" cy="559435"/>
                        </a:xfrm>
                      </wpg:grpSpPr>
                      <wps:wsp>
                        <wps:cNvPr id="155" name="Graphic 155"/>
                        <wps:cNvSpPr/>
                        <wps:spPr>
                          <a:xfrm>
                            <a:off x="29244" y="180450"/>
                            <a:ext cx="2362835" cy="1270"/>
                          </a:xfrm>
                          <a:custGeom>
                            <a:avLst/>
                            <a:gdLst/>
                            <a:ahLst/>
                            <a:cxnLst/>
                            <a:rect l="l" t="t" r="r" b="b"/>
                            <a:pathLst>
                              <a:path w="2362835" h="0">
                                <a:moveTo>
                                  <a:pt x="0" y="0"/>
                                </a:moveTo>
                                <a:lnTo>
                                  <a:pt x="2362750" y="0"/>
                                </a:lnTo>
                              </a:path>
                            </a:pathLst>
                          </a:custGeom>
                          <a:ln w="5924">
                            <a:solidFill>
                              <a:srgbClr val="C7C8CA"/>
                            </a:solidFill>
                            <a:prstDash val="solid"/>
                          </a:ln>
                        </wps:spPr>
                        <wps:bodyPr wrap="square" lIns="0" tIns="0" rIns="0" bIns="0" rtlCol="0">
                          <a:prstTxWarp prst="textNoShape">
                            <a:avLst/>
                          </a:prstTxWarp>
                          <a:noAutofit/>
                        </wps:bodyPr>
                      </wps:wsp>
                      <wps:wsp>
                        <wps:cNvPr id="156" name="Graphic 156"/>
                        <wps:cNvSpPr/>
                        <wps:spPr>
                          <a:xfrm>
                            <a:off x="26316" y="222676"/>
                            <a:ext cx="2366010" cy="307340"/>
                          </a:xfrm>
                          <a:custGeom>
                            <a:avLst/>
                            <a:gdLst/>
                            <a:ahLst/>
                            <a:cxnLst/>
                            <a:rect l="l" t="t" r="r" b="b"/>
                            <a:pathLst>
                              <a:path w="2366010" h="307340">
                                <a:moveTo>
                                  <a:pt x="1049145" y="0"/>
                                </a:moveTo>
                                <a:lnTo>
                                  <a:pt x="993132" y="498"/>
                                </a:lnTo>
                                <a:lnTo>
                                  <a:pt x="936690" y="2541"/>
                                </a:lnTo>
                                <a:lnTo>
                                  <a:pt x="881920" y="6024"/>
                                </a:lnTo>
                                <a:lnTo>
                                  <a:pt x="830924" y="10845"/>
                                </a:lnTo>
                                <a:lnTo>
                                  <a:pt x="785800" y="16901"/>
                                </a:lnTo>
                                <a:lnTo>
                                  <a:pt x="708332" y="32618"/>
                                </a:lnTo>
                                <a:lnTo>
                                  <a:pt x="660958" y="40936"/>
                                </a:lnTo>
                                <a:lnTo>
                                  <a:pt x="608757" y="48832"/>
                                </a:lnTo>
                                <a:lnTo>
                                  <a:pt x="553954" y="56094"/>
                                </a:lnTo>
                                <a:lnTo>
                                  <a:pt x="498774" y="62511"/>
                                </a:lnTo>
                                <a:lnTo>
                                  <a:pt x="445444" y="67870"/>
                                </a:lnTo>
                                <a:lnTo>
                                  <a:pt x="396189" y="71959"/>
                                </a:lnTo>
                                <a:lnTo>
                                  <a:pt x="353235" y="74569"/>
                                </a:lnTo>
                                <a:lnTo>
                                  <a:pt x="318808" y="75485"/>
                                </a:lnTo>
                                <a:lnTo>
                                  <a:pt x="231768" y="69237"/>
                                </a:lnTo>
                                <a:lnTo>
                                  <a:pt x="126314" y="55489"/>
                                </a:lnTo>
                                <a:lnTo>
                                  <a:pt x="37405" y="41742"/>
                                </a:lnTo>
                                <a:lnTo>
                                  <a:pt x="0" y="35493"/>
                                </a:lnTo>
                                <a:lnTo>
                                  <a:pt x="2654" y="306816"/>
                                </a:lnTo>
                                <a:lnTo>
                                  <a:pt x="2365679" y="306816"/>
                                </a:lnTo>
                                <a:lnTo>
                                  <a:pt x="2365679" y="58340"/>
                                </a:lnTo>
                                <a:lnTo>
                                  <a:pt x="2293249" y="37264"/>
                                </a:lnTo>
                                <a:lnTo>
                                  <a:pt x="2227683" y="22547"/>
                                </a:lnTo>
                                <a:lnTo>
                                  <a:pt x="2169185" y="13053"/>
                                </a:lnTo>
                                <a:lnTo>
                                  <a:pt x="2117958" y="7642"/>
                                </a:lnTo>
                                <a:lnTo>
                                  <a:pt x="2074205" y="5177"/>
                                </a:lnTo>
                                <a:lnTo>
                                  <a:pt x="2038129" y="4519"/>
                                </a:lnTo>
                                <a:lnTo>
                                  <a:pt x="2009934" y="4531"/>
                                </a:lnTo>
                                <a:lnTo>
                                  <a:pt x="1989823" y="4073"/>
                                </a:lnTo>
                                <a:lnTo>
                                  <a:pt x="1921451" y="10193"/>
                                </a:lnTo>
                                <a:lnTo>
                                  <a:pt x="1867766" y="17887"/>
                                </a:lnTo>
                                <a:lnTo>
                                  <a:pt x="1807978" y="27287"/>
                                </a:lnTo>
                                <a:lnTo>
                                  <a:pt x="1747256" y="37356"/>
                                </a:lnTo>
                                <a:lnTo>
                                  <a:pt x="1690771" y="47055"/>
                                </a:lnTo>
                                <a:lnTo>
                                  <a:pt x="1611198" y="61198"/>
                                </a:lnTo>
                                <a:lnTo>
                                  <a:pt x="1580559" y="63567"/>
                                </a:lnTo>
                                <a:lnTo>
                                  <a:pt x="1537945" y="62489"/>
                                </a:lnTo>
                                <a:lnTo>
                                  <a:pt x="1486858" y="58535"/>
                                </a:lnTo>
                                <a:lnTo>
                                  <a:pt x="1430801" y="52271"/>
                                </a:lnTo>
                                <a:lnTo>
                                  <a:pt x="1373273" y="44268"/>
                                </a:lnTo>
                                <a:lnTo>
                                  <a:pt x="1317779" y="35093"/>
                                </a:lnTo>
                                <a:lnTo>
                                  <a:pt x="1267819" y="25315"/>
                                </a:lnTo>
                                <a:lnTo>
                                  <a:pt x="1226896" y="15503"/>
                                </a:lnTo>
                                <a:lnTo>
                                  <a:pt x="1193605" y="8796"/>
                                </a:lnTo>
                                <a:lnTo>
                                  <a:pt x="1151482" y="4046"/>
                                </a:lnTo>
                                <a:lnTo>
                                  <a:pt x="1102628" y="1148"/>
                                </a:lnTo>
                                <a:lnTo>
                                  <a:pt x="1049145" y="0"/>
                                </a:lnTo>
                                <a:close/>
                              </a:path>
                            </a:pathLst>
                          </a:custGeom>
                          <a:solidFill>
                            <a:srgbClr val="92C5EB"/>
                          </a:solidFill>
                        </wps:spPr>
                        <wps:bodyPr wrap="square" lIns="0" tIns="0" rIns="0" bIns="0" rtlCol="0">
                          <a:prstTxWarp prst="textNoShape">
                            <a:avLst/>
                          </a:prstTxWarp>
                          <a:noAutofit/>
                        </wps:bodyPr>
                      </wps:wsp>
                      <wps:wsp>
                        <wps:cNvPr id="157" name="Graphic 157"/>
                        <wps:cNvSpPr/>
                        <wps:spPr>
                          <a:xfrm>
                            <a:off x="26316" y="222673"/>
                            <a:ext cx="2366010" cy="307340"/>
                          </a:xfrm>
                          <a:custGeom>
                            <a:avLst/>
                            <a:gdLst/>
                            <a:ahLst/>
                            <a:cxnLst/>
                            <a:rect l="l" t="t" r="r" b="b"/>
                            <a:pathLst>
                              <a:path w="2366010" h="307340">
                                <a:moveTo>
                                  <a:pt x="0" y="35496"/>
                                </a:moveTo>
                                <a:lnTo>
                                  <a:pt x="37405" y="41745"/>
                                </a:lnTo>
                                <a:lnTo>
                                  <a:pt x="126316" y="55492"/>
                                </a:lnTo>
                                <a:lnTo>
                                  <a:pt x="231772" y="69239"/>
                                </a:lnTo>
                                <a:lnTo>
                                  <a:pt x="318814" y="75487"/>
                                </a:lnTo>
                                <a:lnTo>
                                  <a:pt x="353240" y="74571"/>
                                </a:lnTo>
                                <a:lnTo>
                                  <a:pt x="396193" y="71962"/>
                                </a:lnTo>
                                <a:lnTo>
                                  <a:pt x="445447" y="67872"/>
                                </a:lnTo>
                                <a:lnTo>
                                  <a:pt x="498776" y="62513"/>
                                </a:lnTo>
                                <a:lnTo>
                                  <a:pt x="553955" y="56097"/>
                                </a:lnTo>
                                <a:lnTo>
                                  <a:pt x="608758" y="48834"/>
                                </a:lnTo>
                                <a:lnTo>
                                  <a:pt x="660959" y="40937"/>
                                </a:lnTo>
                                <a:lnTo>
                                  <a:pt x="708333" y="32617"/>
                                </a:lnTo>
                                <a:lnTo>
                                  <a:pt x="748655" y="24085"/>
                                </a:lnTo>
                                <a:lnTo>
                                  <a:pt x="785801" y="16899"/>
                                </a:lnTo>
                                <a:lnTo>
                                  <a:pt x="830923" y="10844"/>
                                </a:lnTo>
                                <a:lnTo>
                                  <a:pt x="881919" y="6024"/>
                                </a:lnTo>
                                <a:lnTo>
                                  <a:pt x="936689" y="2541"/>
                                </a:lnTo>
                                <a:lnTo>
                                  <a:pt x="993131" y="498"/>
                                </a:lnTo>
                                <a:lnTo>
                                  <a:pt x="1049145" y="0"/>
                                </a:lnTo>
                                <a:lnTo>
                                  <a:pt x="1102630" y="1148"/>
                                </a:lnTo>
                                <a:lnTo>
                                  <a:pt x="1151485" y="4046"/>
                                </a:lnTo>
                                <a:lnTo>
                                  <a:pt x="1193608" y="8798"/>
                                </a:lnTo>
                                <a:lnTo>
                                  <a:pt x="1226899" y="15507"/>
                                </a:lnTo>
                                <a:lnTo>
                                  <a:pt x="1267821" y="25317"/>
                                </a:lnTo>
                                <a:lnTo>
                                  <a:pt x="1317780" y="35095"/>
                                </a:lnTo>
                                <a:lnTo>
                                  <a:pt x="1373273" y="44269"/>
                                </a:lnTo>
                                <a:lnTo>
                                  <a:pt x="1430799" y="52273"/>
                                </a:lnTo>
                                <a:lnTo>
                                  <a:pt x="1486855" y="58537"/>
                                </a:lnTo>
                                <a:lnTo>
                                  <a:pt x="1537941" y="62491"/>
                                </a:lnTo>
                                <a:lnTo>
                                  <a:pt x="1580554" y="63567"/>
                                </a:lnTo>
                                <a:lnTo>
                                  <a:pt x="1611192" y="61197"/>
                                </a:lnTo>
                                <a:lnTo>
                                  <a:pt x="1643689" y="55350"/>
                                </a:lnTo>
                                <a:lnTo>
                                  <a:pt x="1690767" y="47057"/>
                                </a:lnTo>
                                <a:lnTo>
                                  <a:pt x="1747253" y="37358"/>
                                </a:lnTo>
                                <a:lnTo>
                                  <a:pt x="1807976" y="27289"/>
                                </a:lnTo>
                                <a:lnTo>
                                  <a:pt x="1867766" y="17888"/>
                                </a:lnTo>
                                <a:lnTo>
                                  <a:pt x="1921451" y="10194"/>
                                </a:lnTo>
                                <a:lnTo>
                                  <a:pt x="1963859" y="5242"/>
                                </a:lnTo>
                                <a:lnTo>
                                  <a:pt x="1989821" y="4072"/>
                                </a:lnTo>
                                <a:lnTo>
                                  <a:pt x="2009935" y="4529"/>
                                </a:lnTo>
                                <a:lnTo>
                                  <a:pt x="2038131" y="4518"/>
                                </a:lnTo>
                                <a:lnTo>
                                  <a:pt x="2117958" y="7643"/>
                                </a:lnTo>
                                <a:lnTo>
                                  <a:pt x="2169184" y="13055"/>
                                </a:lnTo>
                                <a:lnTo>
                                  <a:pt x="2227681" y="22550"/>
                                </a:lnTo>
                                <a:lnTo>
                                  <a:pt x="2293246" y="37266"/>
                                </a:lnTo>
                                <a:lnTo>
                                  <a:pt x="2365677" y="58341"/>
                                </a:lnTo>
                                <a:lnTo>
                                  <a:pt x="2365677" y="306819"/>
                                </a:lnTo>
                                <a:lnTo>
                                  <a:pt x="2654" y="306819"/>
                                </a:lnTo>
                                <a:lnTo>
                                  <a:pt x="0" y="35496"/>
                                </a:lnTo>
                                <a:close/>
                              </a:path>
                            </a:pathLst>
                          </a:custGeom>
                          <a:ln w="11849">
                            <a:solidFill>
                              <a:srgbClr val="009EDB"/>
                            </a:solidFill>
                            <a:prstDash val="solid"/>
                          </a:ln>
                        </wps:spPr>
                        <wps:bodyPr wrap="square" lIns="0" tIns="0" rIns="0" bIns="0" rtlCol="0">
                          <a:prstTxWarp prst="textNoShape">
                            <a:avLst/>
                          </a:prstTxWarp>
                          <a:noAutofit/>
                        </wps:bodyPr>
                      </wps:wsp>
                      <wps:wsp>
                        <wps:cNvPr id="158" name="Graphic 158"/>
                        <wps:cNvSpPr/>
                        <wps:spPr>
                          <a:xfrm>
                            <a:off x="0" y="5984"/>
                            <a:ext cx="29845" cy="348615"/>
                          </a:xfrm>
                          <a:custGeom>
                            <a:avLst/>
                            <a:gdLst/>
                            <a:ahLst/>
                            <a:cxnLst/>
                            <a:rect l="l" t="t" r="r" b="b"/>
                            <a:pathLst>
                              <a:path w="29845" h="348615">
                                <a:moveTo>
                                  <a:pt x="462" y="0"/>
                                </a:moveTo>
                                <a:lnTo>
                                  <a:pt x="29705" y="0"/>
                                </a:lnTo>
                              </a:path>
                              <a:path w="29845" h="348615">
                                <a:moveTo>
                                  <a:pt x="0" y="174455"/>
                                </a:moveTo>
                                <a:lnTo>
                                  <a:pt x="29243" y="174455"/>
                                </a:lnTo>
                              </a:path>
                              <a:path w="29845" h="348615">
                                <a:moveTo>
                                  <a:pt x="0" y="348460"/>
                                </a:moveTo>
                                <a:lnTo>
                                  <a:pt x="29243" y="348460"/>
                                </a:lnTo>
                              </a:path>
                            </a:pathLst>
                          </a:custGeom>
                          <a:ln w="5924">
                            <a:solidFill>
                              <a:srgbClr val="231F20"/>
                            </a:solidFill>
                            <a:prstDash val="solid"/>
                          </a:ln>
                        </wps:spPr>
                        <wps:bodyPr wrap="square" lIns="0" tIns="0" rIns="0" bIns="0" rtlCol="0">
                          <a:prstTxWarp prst="textNoShape">
                            <a:avLst/>
                          </a:prstTxWarp>
                          <a:noAutofit/>
                        </wps:bodyPr>
                      </wps:wsp>
                      <wps:wsp>
                        <wps:cNvPr id="159" name="Graphic 159"/>
                        <wps:cNvSpPr/>
                        <wps:spPr>
                          <a:xfrm>
                            <a:off x="135614" y="526187"/>
                            <a:ext cx="2256790" cy="33020"/>
                          </a:xfrm>
                          <a:custGeom>
                            <a:avLst/>
                            <a:gdLst/>
                            <a:ahLst/>
                            <a:cxnLst/>
                            <a:rect l="l" t="t" r="r" b="b"/>
                            <a:pathLst>
                              <a:path w="2256790" h="33020">
                                <a:moveTo>
                                  <a:pt x="0" y="32371"/>
                                </a:moveTo>
                                <a:lnTo>
                                  <a:pt x="0" y="3140"/>
                                </a:lnTo>
                              </a:path>
                              <a:path w="2256790" h="33020">
                                <a:moveTo>
                                  <a:pt x="102613" y="32668"/>
                                </a:moveTo>
                                <a:lnTo>
                                  <a:pt x="102613" y="3424"/>
                                </a:lnTo>
                              </a:path>
                              <a:path w="2256790" h="33020">
                                <a:moveTo>
                                  <a:pt x="204682" y="32371"/>
                                </a:moveTo>
                                <a:lnTo>
                                  <a:pt x="204682" y="3116"/>
                                </a:lnTo>
                              </a:path>
                              <a:path w="2256790" h="33020">
                                <a:moveTo>
                                  <a:pt x="306443" y="32668"/>
                                </a:moveTo>
                                <a:lnTo>
                                  <a:pt x="306443" y="3424"/>
                                </a:lnTo>
                              </a:path>
                              <a:path w="2256790" h="33020">
                                <a:moveTo>
                                  <a:pt x="411083" y="32668"/>
                                </a:moveTo>
                                <a:lnTo>
                                  <a:pt x="411083" y="3424"/>
                                </a:lnTo>
                              </a:path>
                              <a:path w="2256790" h="33020">
                                <a:moveTo>
                                  <a:pt x="513982" y="32371"/>
                                </a:moveTo>
                                <a:lnTo>
                                  <a:pt x="513982" y="3116"/>
                                </a:lnTo>
                              </a:path>
                              <a:path w="2256790" h="33020">
                                <a:moveTo>
                                  <a:pt x="618633" y="32371"/>
                                </a:moveTo>
                                <a:lnTo>
                                  <a:pt x="618633" y="3116"/>
                                </a:lnTo>
                              </a:path>
                              <a:path w="2256790" h="33020">
                                <a:moveTo>
                                  <a:pt x="720394" y="32952"/>
                                </a:moveTo>
                                <a:lnTo>
                                  <a:pt x="720394" y="3708"/>
                                </a:lnTo>
                              </a:path>
                              <a:path w="2256790" h="33020">
                                <a:moveTo>
                                  <a:pt x="823032" y="32371"/>
                                </a:moveTo>
                                <a:lnTo>
                                  <a:pt x="823032" y="3116"/>
                                </a:lnTo>
                              </a:path>
                              <a:path w="2256790" h="33020">
                                <a:moveTo>
                                  <a:pt x="926238" y="32668"/>
                                </a:moveTo>
                                <a:lnTo>
                                  <a:pt x="926238" y="3424"/>
                                </a:lnTo>
                              </a:path>
                              <a:path w="2256790" h="33020">
                                <a:moveTo>
                                  <a:pt x="1027715" y="32668"/>
                                </a:moveTo>
                                <a:lnTo>
                                  <a:pt x="1027715" y="3424"/>
                                </a:lnTo>
                              </a:path>
                              <a:path w="2256790" h="33020">
                                <a:moveTo>
                                  <a:pt x="1128622" y="32371"/>
                                </a:moveTo>
                                <a:lnTo>
                                  <a:pt x="1128622" y="3116"/>
                                </a:lnTo>
                              </a:path>
                              <a:path w="2256790" h="33020">
                                <a:moveTo>
                                  <a:pt x="1230383" y="32371"/>
                                </a:moveTo>
                                <a:lnTo>
                                  <a:pt x="1230383" y="3116"/>
                                </a:lnTo>
                              </a:path>
                              <a:path w="2256790" h="33020">
                                <a:moveTo>
                                  <a:pt x="1333033" y="32371"/>
                                </a:moveTo>
                                <a:lnTo>
                                  <a:pt x="1333033" y="3116"/>
                                </a:lnTo>
                              </a:path>
                              <a:path w="2256790" h="33020">
                                <a:moveTo>
                                  <a:pt x="1435943" y="32668"/>
                                </a:moveTo>
                                <a:lnTo>
                                  <a:pt x="1435943" y="3424"/>
                                </a:lnTo>
                              </a:path>
                              <a:path w="2256790" h="33020">
                                <a:moveTo>
                                  <a:pt x="1538284" y="32668"/>
                                </a:moveTo>
                                <a:lnTo>
                                  <a:pt x="1538284" y="3424"/>
                                </a:lnTo>
                              </a:path>
                              <a:path w="2256790" h="33020">
                                <a:moveTo>
                                  <a:pt x="1642332" y="32668"/>
                                </a:moveTo>
                                <a:lnTo>
                                  <a:pt x="1642332" y="3424"/>
                                </a:lnTo>
                              </a:path>
                              <a:path w="2256790" h="33020">
                                <a:moveTo>
                                  <a:pt x="1746119" y="32668"/>
                                </a:moveTo>
                                <a:lnTo>
                                  <a:pt x="1746119" y="3424"/>
                                </a:lnTo>
                              </a:path>
                              <a:path w="2256790" h="33020">
                                <a:moveTo>
                                  <a:pt x="1849029" y="32668"/>
                                </a:moveTo>
                                <a:lnTo>
                                  <a:pt x="1849029" y="3424"/>
                                </a:lnTo>
                              </a:path>
                              <a:path w="2256790" h="33020">
                                <a:moveTo>
                                  <a:pt x="1953385" y="32371"/>
                                </a:moveTo>
                                <a:lnTo>
                                  <a:pt x="1953385" y="3116"/>
                                </a:lnTo>
                              </a:path>
                              <a:path w="2256790" h="33020">
                                <a:moveTo>
                                  <a:pt x="2055454" y="32371"/>
                                </a:moveTo>
                                <a:lnTo>
                                  <a:pt x="2055454" y="3116"/>
                                </a:lnTo>
                              </a:path>
                              <a:path w="2256790" h="33020">
                                <a:moveTo>
                                  <a:pt x="2157202" y="32668"/>
                                </a:moveTo>
                                <a:lnTo>
                                  <a:pt x="2157202" y="3424"/>
                                </a:lnTo>
                              </a:path>
                              <a:path w="2256790" h="33020">
                                <a:moveTo>
                                  <a:pt x="2256380" y="32371"/>
                                </a:moveTo>
                                <a:lnTo>
                                  <a:pt x="2256380" y="0"/>
                                </a:lnTo>
                              </a:path>
                            </a:pathLst>
                          </a:custGeom>
                          <a:ln w="11849">
                            <a:solidFill>
                              <a:srgbClr val="231F20"/>
                            </a:solidFill>
                            <a:prstDash val="solid"/>
                          </a:ln>
                        </wps:spPr>
                        <wps:bodyPr wrap="square" lIns="0" tIns="0" rIns="0" bIns="0" rtlCol="0">
                          <a:prstTxWarp prst="textNoShape">
                            <a:avLst/>
                          </a:prstTxWarp>
                          <a:noAutofit/>
                        </wps:bodyPr>
                      </wps:wsp>
                      <wps:wsp>
                        <wps:cNvPr id="160" name="Graphic 160"/>
                        <wps:cNvSpPr/>
                        <wps:spPr>
                          <a:xfrm>
                            <a:off x="28994" y="5924"/>
                            <a:ext cx="2363470" cy="530860"/>
                          </a:xfrm>
                          <a:custGeom>
                            <a:avLst/>
                            <a:gdLst/>
                            <a:ahLst/>
                            <a:cxnLst/>
                            <a:rect l="l" t="t" r="r" b="b"/>
                            <a:pathLst>
                              <a:path w="2363470" h="530860">
                                <a:moveTo>
                                  <a:pt x="2362999" y="523781"/>
                                </a:moveTo>
                                <a:lnTo>
                                  <a:pt x="0" y="523781"/>
                                </a:lnTo>
                                <a:lnTo>
                                  <a:pt x="0" y="0"/>
                                </a:lnTo>
                                <a:lnTo>
                                  <a:pt x="2362999" y="0"/>
                                </a:lnTo>
                                <a:lnTo>
                                  <a:pt x="2362999" y="530689"/>
                                </a:lnTo>
                              </a:path>
                            </a:pathLst>
                          </a:custGeom>
                          <a:ln w="11849">
                            <a:solidFill>
                              <a:srgbClr val="231F20"/>
                            </a:solidFill>
                            <a:prstDash val="solid"/>
                          </a:ln>
                        </wps:spPr>
                        <wps:bodyPr wrap="square" lIns="0" tIns="0" rIns="0" bIns="0" rtlCol="0">
                          <a:prstTxWarp prst="textNoShape">
                            <a:avLst/>
                          </a:prstTxWarp>
                          <a:noAutofit/>
                        </wps:bodyPr>
                      </wps:wsp>
                      <wps:wsp>
                        <wps:cNvPr id="161" name="Textbox 161"/>
                        <wps:cNvSpPr txBox="1"/>
                        <wps:spPr>
                          <a:xfrm>
                            <a:off x="0" y="0"/>
                            <a:ext cx="2398395" cy="559435"/>
                          </a:xfrm>
                          <a:prstGeom prst="rect">
                            <a:avLst/>
                          </a:prstGeom>
                        </wps:spPr>
                        <wps:txbx>
                          <w:txbxContent>
                            <w:p>
                              <w:pPr>
                                <w:spacing w:before="43"/>
                                <w:ind w:left="195" w:right="0" w:firstLine="0"/>
                                <w:jc w:val="left"/>
                                <w:rPr>
                                  <w:rFonts w:ascii="Arial MT"/>
                                  <w:sz w:val="13"/>
                                </w:rPr>
                              </w:pPr>
                              <w:r>
                                <w:rPr>
                                  <w:rFonts w:ascii="Arial MT"/>
                                  <w:color w:val="231F20"/>
                                  <w:sz w:val="13"/>
                                </w:rPr>
                                <w:t>Composite</w:t>
                              </w:r>
                              <w:r>
                                <w:rPr>
                                  <w:rFonts w:ascii="Arial MT"/>
                                  <w:color w:val="231F20"/>
                                  <w:spacing w:val="-11"/>
                                  <w:sz w:val="13"/>
                                </w:rPr>
                                <w:t> </w:t>
                              </w:r>
                              <w:r>
                                <w:rPr>
                                  <w:rFonts w:ascii="Arial MT"/>
                                  <w:color w:val="231F20"/>
                                  <w:sz w:val="13"/>
                                </w:rPr>
                                <w:t>Ultralente</w:t>
                              </w:r>
                              <w:r>
                                <w:rPr>
                                  <w:rFonts w:ascii="Arial MT"/>
                                  <w:color w:val="231F20"/>
                                  <w:spacing w:val="-8"/>
                                  <w:sz w:val="13"/>
                                </w:rPr>
                                <w:t> </w:t>
                              </w:r>
                              <w:r>
                                <w:rPr>
                                  <w:rFonts w:ascii="Arial MT"/>
                                  <w:color w:val="231F20"/>
                                  <w:spacing w:val="-2"/>
                                  <w:sz w:val="13"/>
                                </w:rPr>
                                <w:t>profile</w:t>
                              </w:r>
                            </w:p>
                          </w:txbxContent>
                        </wps:txbx>
                        <wps:bodyPr wrap="square" lIns="0" tIns="0" rIns="0" bIns="0" rtlCol="0">
                          <a:noAutofit/>
                        </wps:bodyPr>
                      </wps:wsp>
                    </wpg:wgp>
                  </a:graphicData>
                </a:graphic>
              </wp:anchor>
            </w:drawing>
          </mc:Choice>
          <mc:Fallback>
            <w:pict>
              <v:group style="position:absolute;margin-left:327.112701pt;margin-top:19.839314pt;width:188.85pt;height:44.05pt;mso-position-horizontal-relative:page;mso-position-vertical-relative:paragraph;z-index:-15723008;mso-wrap-distance-left:0;mso-wrap-distance-right:0" id="docshapegroup125" coordorigin="6542,397" coordsize="3777,881">
                <v:line style="position:absolute" from="6588,681" to="10309,681" stroked="true" strokeweight=".466503pt" strokecolor="#c7c8ca">
                  <v:stroke dashstyle="solid"/>
                </v:line>
                <v:shape style="position:absolute;left:6583;top:747;width:3726;height:484" id="docshape126" coordorigin="6584,747" coordsize="3726,484" path="m8236,747l8148,748,8059,751,7973,757,7892,765,7821,774,7699,799,7625,812,7542,824,7456,836,7369,846,7285,854,7208,861,7140,865,7086,866,6949,856,6783,835,6643,813,6584,803,6588,1231,10309,1231,10309,839,10195,806,10092,783,10000,768,9919,759,9850,756,9793,755,9749,755,9717,754,9610,764,9525,776,9431,790,9335,806,9246,822,9121,844,9073,848,9006,846,8925,840,8837,830,8746,817,8659,803,8580,787,8516,772,8463,761,8397,754,8320,749,8236,747xe" filled="true" fillcolor="#92c5eb" stroked="false">
                  <v:path arrowok="t"/>
                  <v:fill type="solid"/>
                </v:shape>
                <v:shape style="position:absolute;left:6583;top:747;width:3726;height:484" id="docshape127" coordorigin="6584,747" coordsize="3726,484" path="m6584,803l6643,813,6783,835,6949,856,7086,866,7140,865,7208,861,7285,854,7369,846,7456,836,7542,824,7625,812,7699,799,7763,785,7821,774,7892,765,7973,757,8059,751,8148,748,8236,747,8320,749,8397,754,8463,761,8516,772,8580,787,8659,803,8746,817,8837,830,8925,840,9006,846,9073,848,9121,844,9172,835,9246,822,9335,806,9431,790,9525,776,9610,764,9676,756,9717,754,9749,755,9793,755,9919,759,10000,768,10092,783,10195,806,10309,839,10309,1231,6588,1231,6584,803xe" filled="false" stroked="true" strokeweight=".933007pt" strokecolor="#009edb">
                  <v:path arrowok="t"/>
                  <v:stroke dashstyle="solid"/>
                </v:shape>
                <v:shape style="position:absolute;left:6542;top:406;width:47;height:549" id="docshape128" coordorigin="6542,406" coordsize="47,549" path="m6543,406l6589,406m6542,681l6588,681m6542,955l6588,955e" filled="false" stroked="true" strokeweight=".466503pt" strokecolor="#231f20">
                  <v:path arrowok="t"/>
                  <v:stroke dashstyle="solid"/>
                </v:shape>
                <v:shape style="position:absolute;left:6755;top:1225;width:3554;height:52" id="docshape129" coordorigin="6756,1225" coordsize="3554,52" path="m6756,1276l6756,1230m6917,1277l6917,1231m7078,1276l7078,1230m7238,1277l7238,1231m7403,1277l7403,1231m7565,1276l7565,1230m7730,1276l7730,1230m7890,1277l7890,1231m8052,1276l8052,1230m8214,1277l8214,1231m8374,1277l8374,1231m8533,1276l8533,1230m8693,1276l8693,1230m8855,1276l8855,1230m9017,1277l9017,1231m9178,1277l9178,1231m9342,1277l9342,1231m9506,1277l9506,1231m9668,1277l9668,1231m9832,1276l9832,1230m9993,1276l9993,1230m10153,1277l10153,1231m10309,1276l10309,1225e" filled="false" stroked="true" strokeweight=".933007pt" strokecolor="#231f20">
                  <v:path arrowok="t"/>
                  <v:stroke dashstyle="solid"/>
                </v:shape>
                <v:shape style="position:absolute;left:6587;top:406;width:3722;height:836" id="docshape130" coordorigin="6588,406" coordsize="3722,836" path="m10309,1231l6588,1231,6588,406,10309,406,10309,1242e" filled="false" stroked="true" strokeweight=".933007pt" strokecolor="#231f20">
                  <v:path arrowok="t"/>
                  <v:stroke dashstyle="solid"/>
                </v:shape>
                <v:shape style="position:absolute;left:6542;top:396;width:3777;height:881" type="#_x0000_t202" id="docshape131" filled="false" stroked="false">
                  <v:textbox inset="0,0,0,0">
                    <w:txbxContent>
                      <w:p>
                        <w:pPr>
                          <w:spacing w:before="43"/>
                          <w:ind w:left="195" w:right="0" w:firstLine="0"/>
                          <w:jc w:val="left"/>
                          <w:rPr>
                            <w:rFonts w:ascii="Arial MT"/>
                            <w:sz w:val="13"/>
                          </w:rPr>
                        </w:pPr>
                        <w:r>
                          <w:rPr>
                            <w:rFonts w:ascii="Arial MT"/>
                            <w:color w:val="231F20"/>
                            <w:sz w:val="13"/>
                          </w:rPr>
                          <w:t>Composite</w:t>
                        </w:r>
                        <w:r>
                          <w:rPr>
                            <w:rFonts w:ascii="Arial MT"/>
                            <w:color w:val="231F20"/>
                            <w:spacing w:val="-11"/>
                            <w:sz w:val="13"/>
                          </w:rPr>
                          <w:t> </w:t>
                        </w:r>
                        <w:r>
                          <w:rPr>
                            <w:rFonts w:ascii="Arial MT"/>
                            <w:color w:val="231F20"/>
                            <w:sz w:val="13"/>
                          </w:rPr>
                          <w:t>Ultralente</w:t>
                        </w:r>
                        <w:r>
                          <w:rPr>
                            <w:rFonts w:ascii="Arial MT"/>
                            <w:color w:val="231F20"/>
                            <w:spacing w:val="-8"/>
                            <w:sz w:val="13"/>
                          </w:rPr>
                          <w:t> </w:t>
                        </w:r>
                        <w:r>
                          <w:rPr>
                            <w:rFonts w:ascii="Arial MT"/>
                            <w:color w:val="231F20"/>
                            <w:spacing w:val="-2"/>
                            <w:sz w:val="13"/>
                          </w:rPr>
                          <w:t>profile</w:t>
                        </w:r>
                      </w:p>
                    </w:txbxContent>
                  </v:textbox>
                  <w10:wrap type="none"/>
                </v:shape>
                <w10:wrap type="topAndBottom"/>
              </v:group>
            </w:pict>
          </mc:Fallback>
        </mc:AlternateContent>
      </w:r>
    </w:p>
    <w:p>
      <w:pPr>
        <w:pStyle w:val="BodyText"/>
        <w:tabs>
          <w:tab w:pos="730" w:val="left" w:leader="none"/>
          <w:tab w:pos="1414" w:val="left" w:leader="none"/>
          <w:tab w:pos="2061" w:val="left" w:leader="none"/>
          <w:tab w:pos="2671" w:val="left" w:leader="none"/>
          <w:tab w:pos="3354" w:val="left" w:leader="none"/>
        </w:tabs>
        <w:spacing w:before="35"/>
        <w:ind w:left="120"/>
        <w:rPr>
          <w:rFonts w:ascii="Arial MT"/>
        </w:rPr>
      </w:pPr>
      <w:r>
        <w:rPr>
          <w:rFonts w:ascii="Arial MT"/>
          <w:color w:val="231F20"/>
          <w:spacing w:val="-4"/>
        </w:rPr>
        <w:t>8:00</w:t>
      </w:r>
      <w:r>
        <w:rPr>
          <w:rFonts w:ascii="Arial MT"/>
          <w:color w:val="231F20"/>
        </w:rPr>
        <w:tab/>
      </w:r>
      <w:r>
        <w:rPr>
          <w:rFonts w:ascii="Arial MT"/>
          <w:color w:val="231F20"/>
          <w:spacing w:val="-2"/>
        </w:rPr>
        <w:t>12:00</w:t>
      </w:r>
      <w:r>
        <w:rPr>
          <w:rFonts w:ascii="Arial MT"/>
          <w:color w:val="231F20"/>
        </w:rPr>
        <w:tab/>
      </w:r>
      <w:r>
        <w:rPr>
          <w:rFonts w:ascii="Arial MT"/>
          <w:color w:val="231F20"/>
          <w:spacing w:val="-4"/>
        </w:rPr>
        <w:t>4:00</w:t>
      </w:r>
      <w:r>
        <w:rPr>
          <w:rFonts w:ascii="Arial MT"/>
          <w:color w:val="231F20"/>
        </w:rPr>
        <w:tab/>
      </w:r>
      <w:r>
        <w:rPr>
          <w:rFonts w:ascii="Arial MT"/>
          <w:color w:val="231F20"/>
          <w:spacing w:val="-4"/>
        </w:rPr>
        <w:t>8:00</w:t>
      </w:r>
      <w:r>
        <w:rPr>
          <w:rFonts w:ascii="Arial MT"/>
          <w:color w:val="231F20"/>
        </w:rPr>
        <w:tab/>
      </w:r>
      <w:r>
        <w:rPr>
          <w:rFonts w:ascii="Arial MT"/>
          <w:color w:val="231F20"/>
          <w:spacing w:val="-2"/>
        </w:rPr>
        <w:t>12:00</w:t>
      </w:r>
      <w:r>
        <w:rPr>
          <w:rFonts w:ascii="Arial MT"/>
          <w:color w:val="231F20"/>
        </w:rPr>
        <w:tab/>
      </w:r>
      <w:r>
        <w:rPr>
          <w:rFonts w:ascii="Arial MT"/>
          <w:color w:val="231F20"/>
          <w:spacing w:val="-4"/>
        </w:rPr>
        <w:t>4:00</w:t>
      </w:r>
    </w:p>
    <w:p>
      <w:pPr>
        <w:pStyle w:val="BodyText"/>
        <w:spacing w:before="8"/>
        <w:rPr>
          <w:rFonts w:ascii="Arial MT"/>
          <w:sz w:val="2"/>
        </w:rPr>
      </w:pPr>
    </w:p>
    <w:p>
      <w:pPr>
        <w:tabs>
          <w:tab w:pos="885" w:val="left" w:leader="none"/>
          <w:tab w:pos="1772" w:val="left" w:leader="none"/>
        </w:tabs>
        <w:spacing w:line="240" w:lineRule="auto"/>
        <w:ind w:left="159" w:right="0" w:firstLine="0"/>
        <w:jc w:val="left"/>
        <w:rPr>
          <w:rFonts w:ascii="Arial MT"/>
          <w:sz w:val="20"/>
        </w:rPr>
      </w:pPr>
      <w:r>
        <w:rPr>
          <w:rFonts w:ascii="Arial MT"/>
          <w:position w:val="2"/>
          <w:sz w:val="20"/>
        </w:rPr>
        <mc:AlternateContent>
          <mc:Choice Requires="wps">
            <w:drawing>
              <wp:inline distT="0" distB="0" distL="0" distR="0">
                <wp:extent cx="187325" cy="189865"/>
                <wp:effectExtent l="0" t="0" r="0" b="635"/>
                <wp:docPr id="162" name="Group 162"/>
                <wp:cNvGraphicFramePr>
                  <a:graphicFrameLocks/>
                </wp:cNvGraphicFramePr>
                <a:graphic>
                  <a:graphicData uri="http://schemas.microsoft.com/office/word/2010/wordprocessingGroup">
                    <wpg:wgp>
                      <wpg:cNvPr id="162" name="Group 162"/>
                      <wpg:cNvGrpSpPr/>
                      <wpg:grpSpPr>
                        <a:xfrm>
                          <a:off x="0" y="0"/>
                          <a:ext cx="187325" cy="189865"/>
                          <a:chExt cx="187325" cy="189865"/>
                        </a:xfrm>
                      </wpg:grpSpPr>
                      <wps:wsp>
                        <wps:cNvPr id="163" name="Graphic 163"/>
                        <wps:cNvSpPr/>
                        <wps:spPr>
                          <a:xfrm>
                            <a:off x="58577" y="5924"/>
                            <a:ext cx="122555" cy="66675"/>
                          </a:xfrm>
                          <a:custGeom>
                            <a:avLst/>
                            <a:gdLst/>
                            <a:ahLst/>
                            <a:cxnLst/>
                            <a:rect l="l" t="t" r="r" b="b"/>
                            <a:pathLst>
                              <a:path w="122555" h="66675">
                                <a:moveTo>
                                  <a:pt x="122271" y="66225"/>
                                </a:moveTo>
                                <a:lnTo>
                                  <a:pt x="0" y="66225"/>
                                </a:lnTo>
                                <a:lnTo>
                                  <a:pt x="0" y="0"/>
                                </a:lnTo>
                                <a:lnTo>
                                  <a:pt x="122271" y="0"/>
                                </a:lnTo>
                                <a:lnTo>
                                  <a:pt x="122271" y="66225"/>
                                </a:lnTo>
                                <a:close/>
                              </a:path>
                            </a:pathLst>
                          </a:custGeom>
                          <a:ln w="11849">
                            <a:solidFill>
                              <a:srgbClr val="009EDB"/>
                            </a:solidFill>
                            <a:prstDash val="solid"/>
                          </a:ln>
                        </wps:spPr>
                        <wps:bodyPr wrap="square" lIns="0" tIns="0" rIns="0" bIns="0" rtlCol="0">
                          <a:prstTxWarp prst="textNoShape">
                            <a:avLst/>
                          </a:prstTxWarp>
                          <a:noAutofit/>
                        </wps:bodyPr>
                      </wps:wsp>
                      <wps:wsp>
                        <wps:cNvPr id="164" name="Graphic 164"/>
                        <wps:cNvSpPr/>
                        <wps:spPr>
                          <a:xfrm>
                            <a:off x="0" y="72138"/>
                            <a:ext cx="117475" cy="117475"/>
                          </a:xfrm>
                          <a:custGeom>
                            <a:avLst/>
                            <a:gdLst/>
                            <a:ahLst/>
                            <a:cxnLst/>
                            <a:rect l="l" t="t" r="r" b="b"/>
                            <a:pathLst>
                              <a:path w="117475" h="117475">
                                <a:moveTo>
                                  <a:pt x="61125" y="0"/>
                                </a:moveTo>
                                <a:lnTo>
                                  <a:pt x="0" y="117170"/>
                                </a:lnTo>
                                <a:lnTo>
                                  <a:pt x="117170" y="117170"/>
                                </a:lnTo>
                                <a:lnTo>
                                  <a:pt x="61125" y="0"/>
                                </a:lnTo>
                                <a:close/>
                              </a:path>
                            </a:pathLst>
                          </a:custGeom>
                          <a:solidFill>
                            <a:srgbClr val="009EDB"/>
                          </a:solidFill>
                        </wps:spPr>
                        <wps:bodyPr wrap="square" lIns="0" tIns="0" rIns="0" bIns="0" rtlCol="0">
                          <a:prstTxWarp prst="textNoShape">
                            <a:avLst/>
                          </a:prstTxWarp>
                          <a:noAutofit/>
                        </wps:bodyPr>
                      </wps:wsp>
                    </wpg:wgp>
                  </a:graphicData>
                </a:graphic>
              </wp:inline>
            </w:drawing>
          </mc:Choice>
          <mc:Fallback>
            <w:pict>
              <v:group style="width:14.75pt;height:14.95pt;mso-position-horizontal-relative:char;mso-position-vertical-relative:line" id="docshapegroup132" coordorigin="0,0" coordsize="295,299">
                <v:rect style="position:absolute;left:92;top:9;width:193;height:105" id="docshape133" filled="false" stroked="true" strokeweight=".933007pt" strokecolor="#009edb">
                  <v:stroke dashstyle="solid"/>
                </v:rect>
                <v:shape style="position:absolute;left:0;top:113;width:185;height:185" id="docshape134" coordorigin="0,114" coordsize="185,185" path="m96,114l0,298,185,298,96,114xe" filled="true" fillcolor="#009edb" stroked="false">
                  <v:path arrowok="t"/>
                  <v:fill type="solid"/>
                </v:shape>
              </v:group>
            </w:pict>
          </mc:Fallback>
        </mc:AlternateContent>
      </w:r>
      <w:r>
        <w:rPr>
          <w:rFonts w:ascii="Arial MT"/>
          <w:position w:val="2"/>
          <w:sz w:val="20"/>
        </w:rPr>
      </w:r>
      <w:r>
        <w:rPr>
          <w:rFonts w:ascii="Arial MT"/>
          <w:position w:val="2"/>
          <w:sz w:val="20"/>
        </w:rPr>
        <w:tab/>
      </w:r>
      <w:r>
        <w:rPr>
          <w:rFonts w:ascii="Arial MT"/>
          <w:position w:val="19"/>
          <w:sz w:val="20"/>
        </w:rPr>
        <mc:AlternateContent>
          <mc:Choice Requires="wps">
            <w:drawing>
              <wp:inline distT="0" distB="0" distL="0" distR="0">
                <wp:extent cx="134620" cy="78105"/>
                <wp:effectExtent l="0" t="0" r="0" b="7619"/>
                <wp:docPr id="165" name="Group 165"/>
                <wp:cNvGraphicFramePr>
                  <a:graphicFrameLocks/>
                </wp:cNvGraphicFramePr>
                <a:graphic>
                  <a:graphicData uri="http://schemas.microsoft.com/office/word/2010/wordprocessingGroup">
                    <wpg:wgp>
                      <wpg:cNvPr id="165" name="Group 165"/>
                      <wpg:cNvGrpSpPr/>
                      <wpg:grpSpPr>
                        <a:xfrm>
                          <a:off x="0" y="0"/>
                          <a:ext cx="134620" cy="78105"/>
                          <a:chExt cx="134620" cy="78105"/>
                        </a:xfrm>
                      </wpg:grpSpPr>
                      <wps:wsp>
                        <wps:cNvPr id="166" name="Graphic 166"/>
                        <wps:cNvSpPr/>
                        <wps:spPr>
                          <a:xfrm>
                            <a:off x="5924" y="5924"/>
                            <a:ext cx="122555" cy="66675"/>
                          </a:xfrm>
                          <a:custGeom>
                            <a:avLst/>
                            <a:gdLst/>
                            <a:ahLst/>
                            <a:cxnLst/>
                            <a:rect l="l" t="t" r="r" b="b"/>
                            <a:pathLst>
                              <a:path w="122555" h="66675">
                                <a:moveTo>
                                  <a:pt x="122259" y="66236"/>
                                </a:moveTo>
                                <a:lnTo>
                                  <a:pt x="0" y="66236"/>
                                </a:lnTo>
                                <a:lnTo>
                                  <a:pt x="0" y="0"/>
                                </a:lnTo>
                                <a:lnTo>
                                  <a:pt x="122259" y="0"/>
                                </a:lnTo>
                                <a:lnTo>
                                  <a:pt x="122259" y="66236"/>
                                </a:lnTo>
                                <a:close/>
                              </a:path>
                            </a:pathLst>
                          </a:custGeom>
                          <a:ln w="11849">
                            <a:solidFill>
                              <a:srgbClr val="009EDB"/>
                            </a:solidFill>
                            <a:prstDash val="solid"/>
                          </a:ln>
                        </wps:spPr>
                        <wps:bodyPr wrap="square" lIns="0" tIns="0" rIns="0" bIns="0" rtlCol="0">
                          <a:prstTxWarp prst="textNoShape">
                            <a:avLst/>
                          </a:prstTxWarp>
                          <a:noAutofit/>
                        </wps:bodyPr>
                      </wps:wsp>
                    </wpg:wgp>
                  </a:graphicData>
                </a:graphic>
              </wp:inline>
            </w:drawing>
          </mc:Choice>
          <mc:Fallback>
            <w:pict>
              <v:group style="width:10.6pt;height:6.15pt;mso-position-horizontal-relative:char;mso-position-vertical-relative:line" id="docshapegroup135" coordorigin="0,0" coordsize="212,123">
                <v:rect style="position:absolute;left:9;top:9;width:193;height:105" id="docshape136" filled="false" stroked="true" strokeweight=".933007pt" strokecolor="#009edb">
                  <v:stroke dashstyle="solid"/>
                </v:rect>
              </v:group>
            </w:pict>
          </mc:Fallback>
        </mc:AlternateContent>
      </w:r>
      <w:r>
        <w:rPr>
          <w:rFonts w:ascii="Arial MT"/>
          <w:position w:val="19"/>
          <w:sz w:val="20"/>
        </w:rPr>
      </w:r>
      <w:r>
        <w:rPr>
          <w:rFonts w:ascii="Arial MT"/>
          <w:position w:val="19"/>
          <w:sz w:val="20"/>
        </w:rPr>
        <w:tab/>
      </w:r>
      <w:r>
        <w:rPr>
          <w:rFonts w:ascii="Arial MT"/>
          <w:sz w:val="20"/>
        </w:rPr>
        <mc:AlternateContent>
          <mc:Choice Requires="wps">
            <w:drawing>
              <wp:inline distT="0" distB="0" distL="0" distR="0">
                <wp:extent cx="187325" cy="189865"/>
                <wp:effectExtent l="0" t="0" r="0" b="635"/>
                <wp:docPr id="167" name="Group 167"/>
                <wp:cNvGraphicFramePr>
                  <a:graphicFrameLocks/>
                </wp:cNvGraphicFramePr>
                <a:graphic>
                  <a:graphicData uri="http://schemas.microsoft.com/office/word/2010/wordprocessingGroup">
                    <wpg:wgp>
                      <wpg:cNvPr id="167" name="Group 167"/>
                      <wpg:cNvGrpSpPr/>
                      <wpg:grpSpPr>
                        <a:xfrm>
                          <a:off x="0" y="0"/>
                          <a:ext cx="187325" cy="189865"/>
                          <a:chExt cx="187325" cy="189865"/>
                        </a:xfrm>
                      </wpg:grpSpPr>
                      <wps:wsp>
                        <wps:cNvPr id="168" name="Graphic 168"/>
                        <wps:cNvSpPr/>
                        <wps:spPr>
                          <a:xfrm>
                            <a:off x="58577" y="5924"/>
                            <a:ext cx="122555" cy="66675"/>
                          </a:xfrm>
                          <a:custGeom>
                            <a:avLst/>
                            <a:gdLst/>
                            <a:ahLst/>
                            <a:cxnLst/>
                            <a:rect l="l" t="t" r="r" b="b"/>
                            <a:pathLst>
                              <a:path w="122555" h="66675">
                                <a:moveTo>
                                  <a:pt x="122271" y="66225"/>
                                </a:moveTo>
                                <a:lnTo>
                                  <a:pt x="0" y="66225"/>
                                </a:lnTo>
                                <a:lnTo>
                                  <a:pt x="0" y="0"/>
                                </a:lnTo>
                                <a:lnTo>
                                  <a:pt x="122271" y="0"/>
                                </a:lnTo>
                                <a:lnTo>
                                  <a:pt x="122271" y="66225"/>
                                </a:lnTo>
                                <a:close/>
                              </a:path>
                            </a:pathLst>
                          </a:custGeom>
                          <a:ln w="11849">
                            <a:solidFill>
                              <a:srgbClr val="009EDB"/>
                            </a:solidFill>
                            <a:prstDash val="solid"/>
                          </a:ln>
                        </wps:spPr>
                        <wps:bodyPr wrap="square" lIns="0" tIns="0" rIns="0" bIns="0" rtlCol="0">
                          <a:prstTxWarp prst="textNoShape">
                            <a:avLst/>
                          </a:prstTxWarp>
                          <a:noAutofit/>
                        </wps:bodyPr>
                      </wps:wsp>
                      <wps:wsp>
                        <wps:cNvPr id="169" name="Graphic 169"/>
                        <wps:cNvSpPr/>
                        <wps:spPr>
                          <a:xfrm>
                            <a:off x="0" y="72149"/>
                            <a:ext cx="117475" cy="117475"/>
                          </a:xfrm>
                          <a:custGeom>
                            <a:avLst/>
                            <a:gdLst/>
                            <a:ahLst/>
                            <a:cxnLst/>
                            <a:rect l="l" t="t" r="r" b="b"/>
                            <a:pathLst>
                              <a:path w="117475" h="117475">
                                <a:moveTo>
                                  <a:pt x="61125" y="0"/>
                                </a:moveTo>
                                <a:lnTo>
                                  <a:pt x="0" y="117157"/>
                                </a:lnTo>
                                <a:lnTo>
                                  <a:pt x="117170" y="117157"/>
                                </a:lnTo>
                                <a:lnTo>
                                  <a:pt x="61125" y="0"/>
                                </a:lnTo>
                                <a:close/>
                              </a:path>
                            </a:pathLst>
                          </a:custGeom>
                          <a:solidFill>
                            <a:srgbClr val="009EDB"/>
                          </a:solidFill>
                        </wps:spPr>
                        <wps:bodyPr wrap="square" lIns="0" tIns="0" rIns="0" bIns="0" rtlCol="0">
                          <a:prstTxWarp prst="textNoShape">
                            <a:avLst/>
                          </a:prstTxWarp>
                          <a:noAutofit/>
                        </wps:bodyPr>
                      </wps:wsp>
                    </wpg:wgp>
                  </a:graphicData>
                </a:graphic>
              </wp:inline>
            </w:drawing>
          </mc:Choice>
          <mc:Fallback>
            <w:pict>
              <v:group style="width:14.75pt;height:14.95pt;mso-position-horizontal-relative:char;mso-position-vertical-relative:line" id="docshapegroup137" coordorigin="0,0" coordsize="295,299">
                <v:rect style="position:absolute;left:92;top:9;width:193;height:105" id="docshape138" filled="false" stroked="true" strokeweight=".933007pt" strokecolor="#009edb">
                  <v:stroke dashstyle="solid"/>
                </v:rect>
                <v:shape style="position:absolute;left:0;top:113;width:185;height:185" id="docshape139" coordorigin="0,114" coordsize="185,185" path="m96,114l0,298,185,298,96,114xe" filled="true" fillcolor="#009edb" stroked="false">
                  <v:path arrowok="t"/>
                  <v:fill type="solid"/>
                </v:shape>
              </v:group>
            </w:pict>
          </mc:Fallback>
        </mc:AlternateContent>
      </w:r>
      <w:r>
        <w:rPr>
          <w:rFonts w:ascii="Arial MT"/>
          <w:sz w:val="20"/>
        </w:rPr>
      </w:r>
    </w:p>
    <w:p>
      <w:pPr>
        <w:spacing w:after="0" w:line="240" w:lineRule="auto"/>
        <w:jc w:val="left"/>
        <w:rPr>
          <w:rFonts w:ascii="Arial MT"/>
          <w:sz w:val="20"/>
        </w:rPr>
        <w:sectPr>
          <w:type w:val="continuous"/>
          <w:pgSz w:w="11900" w:h="16840"/>
          <w:pgMar w:header="452" w:footer="0" w:top="620" w:bottom="280" w:left="425" w:right="566"/>
          <w:cols w:num="3" w:equalWidth="0">
            <w:col w:w="5417" w:space="40"/>
            <w:col w:w="590" w:space="39"/>
            <w:col w:w="4823"/>
          </w:cols>
        </w:sectPr>
      </w:pPr>
    </w:p>
    <w:p>
      <w:pPr>
        <w:pStyle w:val="BodyText"/>
        <w:spacing w:before="20"/>
        <w:rPr>
          <w:rFonts w:ascii="Arial MT"/>
          <w:sz w:val="20"/>
        </w:rPr>
      </w:pPr>
    </w:p>
    <w:tbl>
      <w:tblPr>
        <w:tblW w:w="0" w:type="auto"/>
        <w:jc w:val="left"/>
        <w:tblInd w:w="7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204"/>
        <w:gridCol w:w="2912"/>
        <w:gridCol w:w="5479"/>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6</w:t>
            </w:r>
          </w:p>
        </w:tc>
        <w:tc>
          <w:tcPr>
            <w:tcW w:w="8595"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Diabetic</w:t>
            </w:r>
            <w:r>
              <w:rPr>
                <w:color w:val="FFFFFF"/>
                <w:spacing w:val="7"/>
                <w:w w:val="105"/>
                <w:sz w:val="16"/>
              </w:rPr>
              <w:t> </w:t>
            </w:r>
            <w:r>
              <w:rPr>
                <w:color w:val="FFFFFF"/>
                <w:w w:val="105"/>
                <w:sz w:val="16"/>
              </w:rPr>
              <w:t>Ketoacidosis</w:t>
            </w:r>
            <w:r>
              <w:rPr>
                <w:color w:val="FFFFFF"/>
                <w:spacing w:val="7"/>
                <w:w w:val="105"/>
                <w:sz w:val="16"/>
              </w:rPr>
              <w:t> </w:t>
            </w:r>
            <w:r>
              <w:rPr>
                <w:color w:val="FFFFFF"/>
                <w:w w:val="105"/>
                <w:sz w:val="16"/>
              </w:rPr>
              <w:t>Treatment</w:t>
            </w:r>
            <w:r>
              <w:rPr>
                <w:color w:val="FFFFFF"/>
                <w:spacing w:val="8"/>
                <w:w w:val="105"/>
                <w:sz w:val="16"/>
              </w:rPr>
              <w:t> </w:t>
            </w:r>
            <w:r>
              <w:rPr>
                <w:color w:val="FFFFFF"/>
                <w:spacing w:val="-2"/>
                <w:w w:val="105"/>
                <w:sz w:val="16"/>
              </w:rPr>
              <w:t>Protocol</w:t>
            </w:r>
          </w:p>
        </w:tc>
      </w:tr>
      <w:tr>
        <w:trPr>
          <w:trHeight w:val="257" w:hRule="atLeast"/>
        </w:trPr>
        <w:tc>
          <w:tcPr>
            <w:tcW w:w="1352" w:type="dxa"/>
            <w:gridSpan w:val="2"/>
            <w:tcBorders>
              <w:bottom w:val="single" w:sz="4" w:space="0" w:color="231F20"/>
            </w:tcBorders>
            <w:shd w:val="clear" w:color="auto" w:fill="E8F5F1"/>
          </w:tcPr>
          <w:p>
            <w:pPr>
              <w:pStyle w:val="TableParagraph"/>
              <w:spacing w:before="47"/>
              <w:ind w:left="74"/>
              <w:rPr>
                <w:b/>
                <w:sz w:val="15"/>
              </w:rPr>
            </w:pPr>
            <w:r>
              <w:rPr>
                <w:b/>
                <w:color w:val="231F20"/>
                <w:spacing w:val="-4"/>
                <w:w w:val="110"/>
                <w:sz w:val="15"/>
              </w:rPr>
              <w:t>TIME</w:t>
            </w:r>
          </w:p>
        </w:tc>
        <w:tc>
          <w:tcPr>
            <w:tcW w:w="2912" w:type="dxa"/>
            <w:tcBorders>
              <w:bottom w:val="single" w:sz="4" w:space="0" w:color="231F20"/>
            </w:tcBorders>
            <w:shd w:val="clear" w:color="auto" w:fill="E8F5F1"/>
          </w:tcPr>
          <w:p>
            <w:pPr>
              <w:pStyle w:val="TableParagraph"/>
              <w:spacing w:before="47"/>
              <w:jc w:val="center"/>
              <w:rPr>
                <w:b/>
                <w:sz w:val="15"/>
              </w:rPr>
            </w:pPr>
            <w:r>
              <w:rPr>
                <w:b/>
                <w:color w:val="231F20"/>
                <w:spacing w:val="-2"/>
                <w:w w:val="105"/>
                <w:sz w:val="15"/>
              </w:rPr>
              <w:t>THERAPY</w:t>
            </w:r>
          </w:p>
        </w:tc>
        <w:tc>
          <w:tcPr>
            <w:tcW w:w="5479" w:type="dxa"/>
            <w:tcBorders>
              <w:bottom w:val="single" w:sz="4" w:space="0" w:color="231F20"/>
            </w:tcBorders>
            <w:shd w:val="clear" w:color="auto" w:fill="E8F5F1"/>
          </w:tcPr>
          <w:p>
            <w:pPr>
              <w:pStyle w:val="TableParagraph"/>
              <w:spacing w:before="47"/>
              <w:ind w:left="81"/>
              <w:jc w:val="center"/>
              <w:rPr>
                <w:b/>
                <w:sz w:val="15"/>
              </w:rPr>
            </w:pPr>
            <w:r>
              <w:rPr>
                <w:b/>
                <w:color w:val="231F20"/>
                <w:spacing w:val="-2"/>
                <w:w w:val="115"/>
                <w:sz w:val="15"/>
              </w:rPr>
              <w:t>COMMENTS</w:t>
            </w:r>
          </w:p>
        </w:tc>
      </w:tr>
      <w:tr>
        <w:trPr>
          <w:trHeight w:val="593" w:hRule="atLeast"/>
        </w:trPr>
        <w:tc>
          <w:tcPr>
            <w:tcW w:w="135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1st</w:t>
            </w:r>
            <w:r>
              <w:rPr>
                <w:color w:val="231F20"/>
                <w:spacing w:val="-7"/>
                <w:sz w:val="15"/>
              </w:rPr>
              <w:t> </w:t>
            </w:r>
            <w:r>
              <w:rPr>
                <w:color w:val="231F20"/>
                <w:spacing w:val="-5"/>
                <w:sz w:val="15"/>
              </w:rPr>
              <w:t>hr</w:t>
            </w:r>
          </w:p>
        </w:tc>
        <w:tc>
          <w:tcPr>
            <w:tcW w:w="2912" w:type="dxa"/>
            <w:tcBorders>
              <w:top w:val="single" w:sz="4" w:space="0" w:color="231F20"/>
              <w:bottom w:val="single" w:sz="4" w:space="0" w:color="FFFFFF"/>
            </w:tcBorders>
            <w:shd w:val="clear" w:color="auto" w:fill="E8F5F1"/>
          </w:tcPr>
          <w:p>
            <w:pPr>
              <w:pStyle w:val="TableParagraph"/>
              <w:spacing w:line="230" w:lineRule="auto" w:before="52"/>
              <w:ind w:left="159"/>
              <w:rPr>
                <w:sz w:val="15"/>
              </w:rPr>
            </w:pPr>
            <w:r>
              <w:rPr>
                <w:color w:val="231F20"/>
                <w:sz w:val="15"/>
              </w:rPr>
              <w:t>10-20 mL/kg IV bolus 0.9% NaCl or </w:t>
            </w:r>
            <w:r>
              <w:rPr>
                <w:color w:val="231F20"/>
                <w:sz w:val="15"/>
              </w:rPr>
              <w:t>LR</w:t>
            </w:r>
            <w:r>
              <w:rPr>
                <w:color w:val="231F20"/>
                <w:sz w:val="15"/>
              </w:rPr>
              <w:t> Insulin</w:t>
            </w:r>
            <w:r>
              <w:rPr>
                <w:color w:val="231F20"/>
                <w:spacing w:val="-11"/>
                <w:sz w:val="15"/>
              </w:rPr>
              <w:t> </w:t>
            </w:r>
            <w:r>
              <w:rPr>
                <w:color w:val="231F20"/>
                <w:sz w:val="15"/>
              </w:rPr>
              <w:t>drip</w:t>
            </w:r>
            <w:r>
              <w:rPr>
                <w:color w:val="231F20"/>
                <w:spacing w:val="-11"/>
                <w:sz w:val="15"/>
              </w:rPr>
              <w:t> </w:t>
            </w:r>
            <w:r>
              <w:rPr>
                <w:color w:val="231F20"/>
                <w:sz w:val="15"/>
              </w:rPr>
              <w:t>at</w:t>
            </w:r>
            <w:r>
              <w:rPr>
                <w:color w:val="231F20"/>
                <w:spacing w:val="-11"/>
                <w:sz w:val="15"/>
              </w:rPr>
              <w:t> </w:t>
            </w:r>
            <w:r>
              <w:rPr>
                <w:color w:val="231F20"/>
                <w:sz w:val="15"/>
              </w:rPr>
              <w:t>0.05</w:t>
            </w:r>
            <w:r>
              <w:rPr>
                <w:color w:val="231F20"/>
                <w:spacing w:val="-11"/>
                <w:sz w:val="15"/>
              </w:rPr>
              <w:t> </w:t>
            </w:r>
            <w:r>
              <w:rPr>
                <w:color w:val="231F20"/>
                <w:sz w:val="15"/>
              </w:rPr>
              <w:t>to</w:t>
            </w:r>
            <w:r>
              <w:rPr>
                <w:color w:val="231F20"/>
                <w:spacing w:val="-11"/>
                <w:sz w:val="15"/>
              </w:rPr>
              <w:t> </w:t>
            </w:r>
            <w:r>
              <w:rPr>
                <w:color w:val="231F20"/>
                <w:sz w:val="15"/>
              </w:rPr>
              <w:t>0.10</w:t>
            </w:r>
            <w:r>
              <w:rPr>
                <w:color w:val="231F20"/>
                <w:spacing w:val="-11"/>
                <w:sz w:val="15"/>
              </w:rPr>
              <w:t> </w:t>
            </w:r>
            <w:r>
              <w:rPr>
                <w:color w:val="231F20"/>
                <w:spacing w:val="-2"/>
                <w:sz w:val="15"/>
              </w:rPr>
              <w:t>units/kg/hr</w:t>
            </w:r>
          </w:p>
        </w:tc>
        <w:tc>
          <w:tcPr>
            <w:tcW w:w="5479" w:type="dxa"/>
            <w:tcBorders>
              <w:top w:val="single" w:sz="4" w:space="0" w:color="231F20"/>
              <w:bottom w:val="single" w:sz="4" w:space="0" w:color="FFFFFF"/>
            </w:tcBorders>
            <w:shd w:val="clear" w:color="auto" w:fill="E8F5F1"/>
          </w:tcPr>
          <w:p>
            <w:pPr>
              <w:pStyle w:val="TableParagraph"/>
              <w:spacing w:line="230" w:lineRule="auto" w:before="52"/>
              <w:ind w:left="270" w:hanging="112"/>
              <w:rPr>
                <w:sz w:val="15"/>
              </w:rPr>
            </w:pPr>
            <w:r>
              <w:rPr>
                <w:color w:val="231F20"/>
                <w:sz w:val="15"/>
              </w:rPr>
              <w:t>Quick volume expansion; may be repeated. NPO. Monitor I/O, neurologic status.</w:t>
            </w:r>
            <w:r>
              <w:rPr>
                <w:color w:val="231F20"/>
                <w:spacing w:val="-10"/>
                <w:sz w:val="15"/>
              </w:rPr>
              <w:t> </w:t>
            </w:r>
            <w:r>
              <w:rPr>
                <w:color w:val="231F20"/>
                <w:sz w:val="15"/>
              </w:rPr>
              <w:t>Use</w:t>
            </w:r>
            <w:r>
              <w:rPr>
                <w:color w:val="231F20"/>
                <w:spacing w:val="-10"/>
                <w:sz w:val="15"/>
              </w:rPr>
              <w:t> </w:t>
            </w:r>
            <w:r>
              <w:rPr>
                <w:color w:val="231F20"/>
                <w:sz w:val="15"/>
              </w:rPr>
              <w:t>flow</w:t>
            </w:r>
            <w:r>
              <w:rPr>
                <w:color w:val="231F20"/>
                <w:spacing w:val="-10"/>
                <w:sz w:val="15"/>
              </w:rPr>
              <w:t> </w:t>
            </w:r>
            <w:r>
              <w:rPr>
                <w:color w:val="231F20"/>
                <w:sz w:val="15"/>
              </w:rPr>
              <w:t>sheet.</w:t>
            </w:r>
            <w:r>
              <w:rPr>
                <w:color w:val="231F20"/>
                <w:spacing w:val="-10"/>
                <w:sz w:val="15"/>
              </w:rPr>
              <w:t> </w:t>
            </w:r>
            <w:r>
              <w:rPr>
                <w:color w:val="231F20"/>
                <w:sz w:val="15"/>
              </w:rPr>
              <w:t>Have</w:t>
            </w:r>
            <w:r>
              <w:rPr>
                <w:color w:val="231F20"/>
                <w:spacing w:val="-10"/>
                <w:sz w:val="15"/>
              </w:rPr>
              <w:t> </w:t>
            </w:r>
            <w:r>
              <w:rPr>
                <w:color w:val="231F20"/>
                <w:sz w:val="15"/>
              </w:rPr>
              <w:t>mannitol</w:t>
            </w:r>
            <w:r>
              <w:rPr>
                <w:color w:val="231F20"/>
                <w:spacing w:val="-10"/>
                <w:sz w:val="15"/>
              </w:rPr>
              <w:t> </w:t>
            </w:r>
            <w:r>
              <w:rPr>
                <w:color w:val="231F20"/>
                <w:sz w:val="15"/>
              </w:rPr>
              <w:t>at</w:t>
            </w:r>
            <w:r>
              <w:rPr>
                <w:color w:val="231F20"/>
                <w:spacing w:val="-10"/>
                <w:sz w:val="15"/>
              </w:rPr>
              <w:t> </w:t>
            </w:r>
            <w:r>
              <w:rPr>
                <w:color w:val="231F20"/>
                <w:sz w:val="15"/>
              </w:rPr>
              <w:t>bedside;</w:t>
            </w:r>
            <w:r>
              <w:rPr>
                <w:color w:val="231F20"/>
                <w:spacing w:val="-10"/>
                <w:sz w:val="15"/>
              </w:rPr>
              <w:t> </w:t>
            </w:r>
            <w:r>
              <w:rPr>
                <w:color w:val="231F20"/>
                <w:sz w:val="15"/>
              </w:rPr>
              <w:t>1</w:t>
            </w:r>
            <w:r>
              <w:rPr>
                <w:color w:val="231F20"/>
                <w:spacing w:val="-10"/>
                <w:sz w:val="15"/>
              </w:rPr>
              <w:t> </w:t>
            </w:r>
            <w:r>
              <w:rPr>
                <w:color w:val="231F20"/>
                <w:sz w:val="15"/>
              </w:rPr>
              <w:t>g/kg</w:t>
            </w:r>
            <w:r>
              <w:rPr>
                <w:color w:val="231F20"/>
                <w:spacing w:val="-10"/>
                <w:sz w:val="15"/>
              </w:rPr>
              <w:t> </w:t>
            </w:r>
            <w:r>
              <w:rPr>
                <w:color w:val="231F20"/>
                <w:sz w:val="15"/>
              </w:rPr>
              <w:t>IV</w:t>
            </w:r>
            <w:r>
              <w:rPr>
                <w:color w:val="231F20"/>
                <w:spacing w:val="-10"/>
                <w:sz w:val="15"/>
              </w:rPr>
              <w:t> </w:t>
            </w:r>
            <w:r>
              <w:rPr>
                <w:color w:val="231F20"/>
                <w:sz w:val="15"/>
              </w:rPr>
              <w:t>push</w:t>
            </w:r>
            <w:r>
              <w:rPr>
                <w:color w:val="231F20"/>
                <w:spacing w:val="-10"/>
                <w:sz w:val="15"/>
              </w:rPr>
              <w:t> </w:t>
            </w:r>
            <w:r>
              <w:rPr>
                <w:color w:val="231F20"/>
                <w:sz w:val="15"/>
              </w:rPr>
              <w:t>for</w:t>
            </w:r>
            <w:r>
              <w:rPr>
                <w:color w:val="231F20"/>
                <w:spacing w:val="-10"/>
                <w:sz w:val="15"/>
              </w:rPr>
              <w:t> </w:t>
            </w:r>
            <w:r>
              <w:rPr>
                <w:color w:val="231F20"/>
                <w:sz w:val="15"/>
              </w:rPr>
              <w:t>cerebral </w:t>
            </w:r>
            <w:r>
              <w:rPr>
                <w:color w:val="231F20"/>
                <w:spacing w:val="-2"/>
                <w:sz w:val="15"/>
              </w:rPr>
              <w:t>edema</w:t>
            </w:r>
          </w:p>
        </w:tc>
      </w:tr>
      <w:tr>
        <w:trPr>
          <w:trHeight w:val="881" w:hRule="atLeast"/>
        </w:trPr>
        <w:tc>
          <w:tcPr>
            <w:tcW w:w="1352" w:type="dxa"/>
            <w:gridSpan w:val="2"/>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2nd</w:t>
            </w:r>
            <w:r>
              <w:rPr>
                <w:color w:val="231F20"/>
                <w:spacing w:val="-7"/>
                <w:sz w:val="15"/>
              </w:rPr>
              <w:t> </w:t>
            </w:r>
            <w:r>
              <w:rPr>
                <w:color w:val="231F20"/>
                <w:sz w:val="15"/>
              </w:rPr>
              <w:t>hr</w:t>
            </w:r>
            <w:r>
              <w:rPr>
                <w:color w:val="231F20"/>
                <w:spacing w:val="-7"/>
                <w:sz w:val="15"/>
              </w:rPr>
              <w:t> </w:t>
            </w:r>
            <w:r>
              <w:rPr>
                <w:color w:val="231F20"/>
                <w:sz w:val="15"/>
              </w:rPr>
              <w:t>until</w:t>
            </w:r>
            <w:r>
              <w:rPr>
                <w:color w:val="231F20"/>
                <w:spacing w:val="-7"/>
                <w:sz w:val="15"/>
              </w:rPr>
              <w:t> </w:t>
            </w:r>
            <w:r>
              <w:rPr>
                <w:color w:val="231F20"/>
                <w:sz w:val="15"/>
              </w:rPr>
              <w:t>DKA </w:t>
            </w:r>
            <w:r>
              <w:rPr>
                <w:color w:val="231F20"/>
                <w:spacing w:val="-2"/>
                <w:sz w:val="15"/>
              </w:rPr>
              <w:t>resolution</w:t>
            </w:r>
          </w:p>
        </w:tc>
        <w:tc>
          <w:tcPr>
            <w:tcW w:w="2912" w:type="dxa"/>
            <w:tcBorders>
              <w:top w:val="single" w:sz="4" w:space="0" w:color="FFFFFF"/>
              <w:bottom w:val="single" w:sz="4" w:space="0" w:color="FFFFFF"/>
            </w:tcBorders>
            <w:shd w:val="clear" w:color="auto" w:fill="E8F5F1"/>
          </w:tcPr>
          <w:p>
            <w:pPr>
              <w:pStyle w:val="TableParagraph"/>
              <w:spacing w:line="230" w:lineRule="auto" w:before="48"/>
              <w:ind w:left="159" w:right="202"/>
              <w:rPr>
                <w:sz w:val="15"/>
              </w:rPr>
            </w:pPr>
            <w:r>
              <w:rPr>
                <w:color w:val="231F20"/>
                <w:sz w:val="15"/>
              </w:rPr>
              <w:t>0.45% NaCl: plus continue insulin drip 20 mEq/L KPhos and 20 mEq/L KAc</w:t>
            </w:r>
            <w:r>
              <w:rPr>
                <w:color w:val="231F20"/>
                <w:spacing w:val="80"/>
                <w:sz w:val="15"/>
              </w:rPr>
              <w:t> </w:t>
            </w:r>
            <w:r>
              <w:rPr>
                <w:color w:val="231F20"/>
                <w:sz w:val="15"/>
              </w:rPr>
              <w:t>5% glucose if blood sugar </w:t>
            </w:r>
            <w:r>
              <w:rPr>
                <w:rFonts w:ascii="Cambria"/>
                <w:color w:val="231F20"/>
                <w:sz w:val="15"/>
              </w:rPr>
              <w:t>&gt;</w:t>
            </w:r>
            <w:r>
              <w:rPr>
                <w:color w:val="231F20"/>
                <w:sz w:val="15"/>
              </w:rPr>
              <w:t>250 </w:t>
            </w:r>
            <w:r>
              <w:rPr>
                <w:color w:val="231F20"/>
                <w:sz w:val="15"/>
              </w:rPr>
              <w:t>mg/dL</w:t>
            </w:r>
          </w:p>
          <w:p>
            <w:pPr>
              <w:pStyle w:val="TableParagraph"/>
              <w:spacing w:line="169" w:lineRule="exact"/>
              <w:ind w:left="271"/>
              <w:rPr>
                <w:sz w:val="15"/>
              </w:rPr>
            </w:pPr>
            <w:r>
              <w:rPr>
                <w:color w:val="231F20"/>
                <w:spacing w:val="-4"/>
                <w:sz w:val="15"/>
              </w:rPr>
              <w:t>(14</w:t>
            </w:r>
            <w:r>
              <w:rPr>
                <w:color w:val="231F20"/>
                <w:spacing w:val="-7"/>
                <w:sz w:val="15"/>
              </w:rPr>
              <w:t> </w:t>
            </w:r>
            <w:r>
              <w:rPr>
                <w:color w:val="231F20"/>
                <w:spacing w:val="-2"/>
                <w:sz w:val="15"/>
              </w:rPr>
              <w:t>mmol/L)</w:t>
            </w:r>
          </w:p>
        </w:tc>
        <w:tc>
          <w:tcPr>
            <w:tcW w:w="5479" w:type="dxa"/>
            <w:tcBorders>
              <w:top w:val="single" w:sz="4" w:space="0" w:color="FFFFFF"/>
              <w:bottom w:val="single" w:sz="4" w:space="0" w:color="FFFFFF"/>
            </w:tcBorders>
            <w:shd w:val="clear" w:color="auto" w:fill="E8F5F1"/>
          </w:tcPr>
          <w:p>
            <w:pPr>
              <w:pStyle w:val="TableParagraph"/>
              <w:spacing w:line="180" w:lineRule="auto" w:before="45"/>
              <w:ind w:left="1407"/>
              <w:rPr>
                <w:sz w:val="15"/>
              </w:rPr>
            </w:pPr>
            <w:r>
              <w:rPr>
                <w:spacing w:val="-2"/>
                <w:position w:val="-9"/>
                <w:sz w:val="15"/>
              </w:rPr>
              <w:t>IV</w:t>
            </w:r>
            <w:r>
              <w:rPr>
                <w:spacing w:val="-10"/>
                <w:position w:val="-9"/>
                <w:sz w:val="15"/>
              </w:rPr>
              <w:t> </w:t>
            </w:r>
            <w:r>
              <w:rPr>
                <w:spacing w:val="-2"/>
                <w:position w:val="-9"/>
                <w:sz w:val="15"/>
              </w:rPr>
              <w:t>rate</w:t>
            </w:r>
            <w:r>
              <w:rPr>
                <w:spacing w:val="-8"/>
                <w:position w:val="-9"/>
                <w:sz w:val="15"/>
              </w:rPr>
              <w:t> </w:t>
            </w:r>
            <w:r>
              <w:rPr>
                <w:rFonts w:ascii="Symbol" w:hAnsi="Symbol"/>
                <w:spacing w:val="-2"/>
                <w:position w:val="-9"/>
                <w:sz w:val="15"/>
              </w:rPr>
              <w:t></w:t>
            </w:r>
            <w:r>
              <w:rPr>
                <w:rFonts w:ascii="Times New Roman" w:hAnsi="Times New Roman"/>
                <w:spacing w:val="12"/>
                <w:position w:val="-9"/>
                <w:sz w:val="15"/>
              </w:rPr>
              <w:t> </w:t>
            </w:r>
            <w:r>
              <w:rPr>
                <w:spacing w:val="-2"/>
                <w:sz w:val="15"/>
                <w:u w:val="single"/>
              </w:rPr>
              <w:t>85</w:t>
            </w:r>
            <w:r>
              <w:rPr>
                <w:spacing w:val="-15"/>
                <w:sz w:val="15"/>
                <w:u w:val="single"/>
              </w:rPr>
              <w:t> </w:t>
            </w:r>
            <w:r>
              <w:rPr>
                <w:spacing w:val="-2"/>
                <w:sz w:val="15"/>
                <w:u w:val="single"/>
              </w:rPr>
              <w:t>mL/kg</w:t>
            </w:r>
            <w:r>
              <w:rPr>
                <w:spacing w:val="-21"/>
                <w:sz w:val="15"/>
                <w:u w:val="single"/>
              </w:rPr>
              <w:t> </w:t>
            </w:r>
            <w:r>
              <w:rPr>
                <w:rFonts w:ascii="Symbol" w:hAnsi="Symbol"/>
                <w:spacing w:val="-2"/>
                <w:sz w:val="15"/>
                <w:u w:val="single"/>
              </w:rPr>
              <w:t></w:t>
            </w:r>
            <w:r>
              <w:rPr>
                <w:rFonts w:ascii="Times New Roman" w:hAnsi="Times New Roman"/>
                <w:spacing w:val="-13"/>
                <w:sz w:val="15"/>
                <w:u w:val="single"/>
              </w:rPr>
              <w:t> </w:t>
            </w:r>
            <w:r>
              <w:rPr>
                <w:spacing w:val="-2"/>
                <w:sz w:val="15"/>
                <w:u w:val="single"/>
              </w:rPr>
              <w:t>maintenance</w:t>
            </w:r>
            <w:r>
              <w:rPr>
                <w:spacing w:val="-20"/>
                <w:sz w:val="15"/>
                <w:u w:val="single"/>
              </w:rPr>
              <w:t> </w:t>
            </w:r>
            <w:r>
              <w:rPr>
                <w:rFonts w:ascii="Symbol" w:hAnsi="Symbol"/>
                <w:spacing w:val="-2"/>
                <w:sz w:val="15"/>
                <w:u w:val="single"/>
              </w:rPr>
              <w:t></w:t>
            </w:r>
            <w:r>
              <w:rPr>
                <w:rFonts w:ascii="Times New Roman" w:hAnsi="Times New Roman"/>
                <w:spacing w:val="-13"/>
                <w:sz w:val="15"/>
                <w:u w:val="single"/>
              </w:rPr>
              <w:t> </w:t>
            </w:r>
            <w:r>
              <w:rPr>
                <w:spacing w:val="-2"/>
                <w:sz w:val="15"/>
                <w:u w:val="single"/>
              </w:rPr>
              <w:t>bolus</w:t>
            </w:r>
          </w:p>
          <w:p>
            <w:pPr>
              <w:pStyle w:val="TableParagraph"/>
              <w:spacing w:line="142" w:lineRule="exact"/>
              <w:ind w:left="2881"/>
              <w:rPr>
                <w:sz w:val="15"/>
              </w:rPr>
            </w:pPr>
            <w:r>
              <w:rPr>
                <w:spacing w:val="-4"/>
                <w:sz w:val="15"/>
              </w:rPr>
              <w:t>23</w:t>
            </w:r>
            <w:r>
              <w:rPr>
                <w:spacing w:val="-14"/>
                <w:sz w:val="15"/>
              </w:rPr>
              <w:t> </w:t>
            </w:r>
            <w:r>
              <w:rPr>
                <w:spacing w:val="-5"/>
                <w:sz w:val="15"/>
              </w:rPr>
              <w:t>hr</w:t>
            </w:r>
          </w:p>
          <w:p>
            <w:pPr>
              <w:pStyle w:val="TableParagraph"/>
              <w:spacing w:line="230" w:lineRule="auto" w:before="82"/>
              <w:ind w:left="270" w:right="513" w:hanging="112"/>
              <w:rPr>
                <w:sz w:val="15"/>
              </w:rPr>
            </w:pPr>
            <w:r>
              <w:rPr>
                <w:color w:val="231F20"/>
                <w:sz w:val="15"/>
              </w:rPr>
              <w:t>If</w:t>
            </w:r>
            <w:r>
              <w:rPr>
                <w:color w:val="231F20"/>
                <w:spacing w:val="-7"/>
                <w:sz w:val="15"/>
              </w:rPr>
              <w:t> </w:t>
            </w:r>
            <w:r>
              <w:rPr>
                <w:color w:val="231F20"/>
                <w:sz w:val="15"/>
              </w:rPr>
              <w:t>K</w:t>
            </w:r>
            <w:r>
              <w:rPr>
                <w:color w:val="231F20"/>
                <w:spacing w:val="-7"/>
                <w:sz w:val="15"/>
              </w:rPr>
              <w:t> </w:t>
            </w:r>
            <w:r>
              <w:rPr>
                <w:rFonts w:ascii="Cambria"/>
                <w:color w:val="231F20"/>
                <w:sz w:val="15"/>
              </w:rPr>
              <w:t>&lt;</w:t>
            </w:r>
            <w:r>
              <w:rPr>
                <w:color w:val="231F20"/>
                <w:sz w:val="15"/>
              </w:rPr>
              <w:t>3</w:t>
            </w:r>
            <w:r>
              <w:rPr>
                <w:color w:val="231F20"/>
                <w:spacing w:val="-7"/>
                <w:sz w:val="15"/>
              </w:rPr>
              <w:t> </w:t>
            </w:r>
            <w:r>
              <w:rPr>
                <w:color w:val="231F20"/>
                <w:sz w:val="15"/>
              </w:rPr>
              <w:t>mEq/L,</w:t>
            </w:r>
            <w:r>
              <w:rPr>
                <w:color w:val="231F20"/>
                <w:spacing w:val="-7"/>
                <w:sz w:val="15"/>
              </w:rPr>
              <w:t> </w:t>
            </w:r>
            <w:r>
              <w:rPr>
                <w:color w:val="231F20"/>
                <w:sz w:val="15"/>
              </w:rPr>
              <w:t>give</w:t>
            </w:r>
            <w:r>
              <w:rPr>
                <w:color w:val="231F20"/>
                <w:spacing w:val="-7"/>
                <w:sz w:val="15"/>
              </w:rPr>
              <w:t> </w:t>
            </w:r>
            <w:r>
              <w:rPr>
                <w:color w:val="231F20"/>
                <w:sz w:val="15"/>
              </w:rPr>
              <w:t>0.5-1.0</w:t>
            </w:r>
            <w:r>
              <w:rPr>
                <w:color w:val="231F20"/>
                <w:spacing w:val="-7"/>
                <w:sz w:val="15"/>
              </w:rPr>
              <w:t> </w:t>
            </w:r>
            <w:r>
              <w:rPr>
                <w:color w:val="231F20"/>
                <w:sz w:val="15"/>
              </w:rPr>
              <w:t>mEq/kg</w:t>
            </w:r>
            <w:r>
              <w:rPr>
                <w:color w:val="231F20"/>
                <w:spacing w:val="-7"/>
                <w:sz w:val="15"/>
              </w:rPr>
              <w:t> </w:t>
            </w:r>
            <w:r>
              <w:rPr>
                <w:color w:val="231F20"/>
                <w:sz w:val="15"/>
              </w:rPr>
              <w:t>as</w:t>
            </w:r>
            <w:r>
              <w:rPr>
                <w:color w:val="231F20"/>
                <w:spacing w:val="-7"/>
                <w:sz w:val="15"/>
              </w:rPr>
              <w:t> </w:t>
            </w:r>
            <w:r>
              <w:rPr>
                <w:color w:val="231F20"/>
                <w:sz w:val="15"/>
              </w:rPr>
              <w:t>oral</w:t>
            </w:r>
            <w:r>
              <w:rPr>
                <w:color w:val="231F20"/>
                <w:spacing w:val="-7"/>
                <w:sz w:val="15"/>
              </w:rPr>
              <w:t> </w:t>
            </w:r>
            <w:r>
              <w:rPr>
                <w:color w:val="231F20"/>
                <w:sz w:val="15"/>
              </w:rPr>
              <w:t>K</w:t>
            </w:r>
            <w:r>
              <w:rPr>
                <w:color w:val="231F20"/>
                <w:spacing w:val="-7"/>
                <w:sz w:val="15"/>
              </w:rPr>
              <w:t> </w:t>
            </w:r>
            <w:r>
              <w:rPr>
                <w:color w:val="231F20"/>
                <w:sz w:val="15"/>
              </w:rPr>
              <w:t>solution</w:t>
            </w:r>
            <w:r>
              <w:rPr>
                <w:color w:val="231F20"/>
                <w:spacing w:val="-7"/>
                <w:sz w:val="15"/>
              </w:rPr>
              <w:t> </w:t>
            </w:r>
            <w:r>
              <w:rPr>
                <w:i/>
                <w:color w:val="231F20"/>
                <w:sz w:val="15"/>
              </w:rPr>
              <w:t>or</w:t>
            </w:r>
            <w:r>
              <w:rPr>
                <w:i/>
                <w:color w:val="231F20"/>
                <w:spacing w:val="-7"/>
                <w:sz w:val="15"/>
              </w:rPr>
              <w:t> </w:t>
            </w:r>
            <w:r>
              <w:rPr>
                <w:color w:val="231F20"/>
                <w:sz w:val="15"/>
              </w:rPr>
              <w:t>increase</w:t>
            </w:r>
            <w:r>
              <w:rPr>
                <w:color w:val="231F20"/>
                <w:spacing w:val="-7"/>
                <w:sz w:val="15"/>
              </w:rPr>
              <w:t> </w:t>
            </w:r>
            <w:r>
              <w:rPr>
                <w:color w:val="231F20"/>
                <w:sz w:val="15"/>
              </w:rPr>
              <w:t>IV</w:t>
            </w:r>
            <w:r>
              <w:rPr>
                <w:color w:val="231F20"/>
                <w:spacing w:val="-7"/>
                <w:sz w:val="15"/>
              </w:rPr>
              <w:t> </w:t>
            </w:r>
            <w:r>
              <w:rPr>
                <w:color w:val="231F20"/>
                <w:sz w:val="15"/>
              </w:rPr>
              <w:t>K</w:t>
            </w:r>
            <w:r>
              <w:rPr>
                <w:color w:val="231F20"/>
                <w:spacing w:val="-7"/>
                <w:sz w:val="15"/>
              </w:rPr>
              <w:t> </w:t>
            </w:r>
            <w:r>
              <w:rPr>
                <w:color w:val="231F20"/>
                <w:sz w:val="15"/>
              </w:rPr>
              <w:t>to 80 mEq/L</w:t>
            </w:r>
          </w:p>
        </w:tc>
      </w:tr>
      <w:tr>
        <w:trPr>
          <w:trHeight w:val="254" w:hRule="atLeast"/>
        </w:trPr>
        <w:tc>
          <w:tcPr>
            <w:tcW w:w="135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Variable</w:t>
            </w:r>
          </w:p>
        </w:tc>
        <w:tc>
          <w:tcPr>
            <w:tcW w:w="2912" w:type="dxa"/>
            <w:tcBorders>
              <w:top w:val="single" w:sz="4" w:space="0" w:color="FFFFFF"/>
              <w:bottom w:val="single" w:sz="4" w:space="0" w:color="FFFFFF"/>
            </w:tcBorders>
            <w:shd w:val="clear" w:color="auto" w:fill="E8F5F1"/>
          </w:tcPr>
          <w:p>
            <w:pPr>
              <w:pStyle w:val="TableParagraph"/>
              <w:spacing w:before="42"/>
              <w:ind w:left="159"/>
              <w:rPr>
                <w:sz w:val="15"/>
              </w:rPr>
            </w:pPr>
            <w:r>
              <w:rPr>
                <w:color w:val="231F20"/>
                <w:sz w:val="15"/>
              </w:rPr>
              <w:t>Oral</w:t>
            </w:r>
            <w:r>
              <w:rPr>
                <w:color w:val="231F20"/>
                <w:spacing w:val="-8"/>
                <w:sz w:val="15"/>
              </w:rPr>
              <w:t> </w:t>
            </w:r>
            <w:r>
              <w:rPr>
                <w:color w:val="231F20"/>
                <w:sz w:val="15"/>
              </w:rPr>
              <w:t>intake</w:t>
            </w:r>
            <w:r>
              <w:rPr>
                <w:color w:val="231F20"/>
                <w:spacing w:val="-7"/>
                <w:sz w:val="15"/>
              </w:rPr>
              <w:t> </w:t>
            </w:r>
            <w:r>
              <w:rPr>
                <w:color w:val="231F20"/>
                <w:sz w:val="15"/>
              </w:rPr>
              <w:t>with</w:t>
            </w:r>
            <w:r>
              <w:rPr>
                <w:color w:val="231F20"/>
                <w:spacing w:val="-7"/>
                <w:sz w:val="15"/>
              </w:rPr>
              <w:t> </w:t>
            </w:r>
            <w:r>
              <w:rPr>
                <w:color w:val="231F20"/>
                <w:sz w:val="15"/>
              </w:rPr>
              <w:t>subcutaneous</w:t>
            </w:r>
            <w:r>
              <w:rPr>
                <w:color w:val="231F20"/>
                <w:spacing w:val="-7"/>
                <w:sz w:val="15"/>
              </w:rPr>
              <w:t> </w:t>
            </w:r>
            <w:r>
              <w:rPr>
                <w:color w:val="231F20"/>
                <w:spacing w:val="-2"/>
                <w:sz w:val="15"/>
              </w:rPr>
              <w:t>insulin</w:t>
            </w:r>
          </w:p>
        </w:tc>
        <w:tc>
          <w:tcPr>
            <w:tcW w:w="5479" w:type="dxa"/>
            <w:tcBorders>
              <w:top w:val="single" w:sz="4" w:space="0" w:color="FFFFFF"/>
              <w:bottom w:val="single" w:sz="4" w:space="0" w:color="FFFFFF"/>
            </w:tcBorders>
            <w:shd w:val="clear" w:color="auto" w:fill="E8F5F1"/>
          </w:tcPr>
          <w:p>
            <w:pPr>
              <w:pStyle w:val="TableParagraph"/>
              <w:spacing w:before="42"/>
              <w:ind w:left="158"/>
              <w:rPr>
                <w:sz w:val="15"/>
              </w:rPr>
            </w:pPr>
            <w:r>
              <w:rPr>
                <w:color w:val="231F20"/>
                <w:sz w:val="15"/>
              </w:rPr>
              <w:t>No</w:t>
            </w:r>
            <w:r>
              <w:rPr>
                <w:color w:val="231F20"/>
                <w:spacing w:val="1"/>
                <w:sz w:val="15"/>
              </w:rPr>
              <w:t> </w:t>
            </w:r>
            <w:r>
              <w:rPr>
                <w:color w:val="231F20"/>
                <w:sz w:val="15"/>
              </w:rPr>
              <w:t>emesis;</w:t>
            </w:r>
            <w:r>
              <w:rPr>
                <w:color w:val="231F20"/>
                <w:spacing w:val="2"/>
                <w:sz w:val="15"/>
              </w:rPr>
              <w:t> </w:t>
            </w:r>
            <w:r>
              <w:rPr>
                <w:color w:val="231F20"/>
                <w:sz w:val="15"/>
              </w:rPr>
              <w:t>CO</w:t>
            </w:r>
            <w:r>
              <w:rPr>
                <w:color w:val="231F20"/>
                <w:sz w:val="15"/>
                <w:vertAlign w:val="subscript"/>
              </w:rPr>
              <w:t>2</w:t>
            </w:r>
            <w:r>
              <w:rPr>
                <w:color w:val="231F20"/>
                <w:spacing w:val="2"/>
                <w:sz w:val="15"/>
                <w:vertAlign w:val="baseline"/>
              </w:rPr>
              <w:t> </w:t>
            </w:r>
            <w:r>
              <w:rPr>
                <w:rFonts w:ascii="Cambria" w:hAnsi="Cambria"/>
                <w:color w:val="231F20"/>
                <w:sz w:val="15"/>
                <w:vertAlign w:val="baseline"/>
              </w:rPr>
              <w:t>≥</w:t>
            </w:r>
            <w:r>
              <w:rPr>
                <w:color w:val="231F20"/>
                <w:sz w:val="15"/>
                <w:vertAlign w:val="baseline"/>
              </w:rPr>
              <w:t>16</w:t>
            </w:r>
            <w:r>
              <w:rPr>
                <w:color w:val="231F20"/>
                <w:spacing w:val="2"/>
                <w:sz w:val="15"/>
                <w:vertAlign w:val="baseline"/>
              </w:rPr>
              <w:t> </w:t>
            </w:r>
            <w:r>
              <w:rPr>
                <w:color w:val="231F20"/>
                <w:sz w:val="15"/>
                <w:vertAlign w:val="baseline"/>
              </w:rPr>
              <w:t>mEq/L;</w:t>
            </w:r>
            <w:r>
              <w:rPr>
                <w:color w:val="231F20"/>
                <w:spacing w:val="2"/>
                <w:sz w:val="15"/>
                <w:vertAlign w:val="baseline"/>
              </w:rPr>
              <w:t> </w:t>
            </w:r>
            <w:r>
              <w:rPr>
                <w:color w:val="231F20"/>
                <w:sz w:val="15"/>
                <w:vertAlign w:val="baseline"/>
              </w:rPr>
              <w:t>normal</w:t>
            </w:r>
            <w:r>
              <w:rPr>
                <w:color w:val="231F20"/>
                <w:spacing w:val="2"/>
                <w:sz w:val="15"/>
                <w:vertAlign w:val="baseline"/>
              </w:rPr>
              <w:t> </w:t>
            </w:r>
            <w:r>
              <w:rPr>
                <w:color w:val="231F20"/>
                <w:spacing w:val="-2"/>
                <w:sz w:val="15"/>
                <w:vertAlign w:val="baseline"/>
              </w:rPr>
              <w:t>electrolytes</w:t>
            </w:r>
          </w:p>
        </w:tc>
      </w:tr>
      <w:tr>
        <w:trPr>
          <w:trHeight w:val="252" w:hRule="atLeast"/>
        </w:trPr>
        <w:tc>
          <w:tcPr>
            <w:tcW w:w="9743" w:type="dxa"/>
            <w:gridSpan w:val="4"/>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Note</w:t>
            </w:r>
            <w:r>
              <w:rPr>
                <w:color w:val="231F20"/>
                <w:spacing w:val="-8"/>
                <w:sz w:val="15"/>
              </w:rPr>
              <w:t> </w:t>
            </w:r>
            <w:r>
              <w:rPr>
                <w:color w:val="231F20"/>
                <w:sz w:val="15"/>
              </w:rPr>
              <w:t>that</w:t>
            </w:r>
            <w:r>
              <w:rPr>
                <w:color w:val="231F20"/>
                <w:spacing w:val="-7"/>
                <w:sz w:val="15"/>
              </w:rPr>
              <w:t> </w:t>
            </w:r>
            <w:r>
              <w:rPr>
                <w:color w:val="231F20"/>
                <w:sz w:val="15"/>
              </w:rPr>
              <w:t>the</w:t>
            </w:r>
            <w:r>
              <w:rPr>
                <w:color w:val="231F20"/>
                <w:spacing w:val="-8"/>
                <w:sz w:val="15"/>
              </w:rPr>
              <w:t> </w:t>
            </w:r>
            <w:r>
              <w:rPr>
                <w:color w:val="231F20"/>
                <w:sz w:val="15"/>
              </w:rPr>
              <w:t>initial</w:t>
            </w:r>
            <w:r>
              <w:rPr>
                <w:color w:val="231F20"/>
                <w:spacing w:val="-7"/>
                <w:sz w:val="15"/>
              </w:rPr>
              <w:t> </w:t>
            </w:r>
            <w:r>
              <w:rPr>
                <w:color w:val="231F20"/>
                <w:sz w:val="15"/>
              </w:rPr>
              <w:t>IV</w:t>
            </w:r>
            <w:r>
              <w:rPr>
                <w:color w:val="231F20"/>
                <w:spacing w:val="-7"/>
                <w:sz w:val="15"/>
              </w:rPr>
              <w:t> </w:t>
            </w:r>
            <w:r>
              <w:rPr>
                <w:color w:val="231F20"/>
                <w:sz w:val="15"/>
              </w:rPr>
              <w:t>bolus</w:t>
            </w:r>
            <w:r>
              <w:rPr>
                <w:color w:val="231F20"/>
                <w:spacing w:val="-8"/>
                <w:sz w:val="15"/>
              </w:rPr>
              <w:t> </w:t>
            </w:r>
            <w:r>
              <w:rPr>
                <w:color w:val="231F20"/>
                <w:sz w:val="15"/>
              </w:rPr>
              <w:t>is</w:t>
            </w:r>
            <w:r>
              <w:rPr>
                <w:color w:val="231F20"/>
                <w:spacing w:val="-7"/>
                <w:sz w:val="15"/>
              </w:rPr>
              <w:t> </w:t>
            </w:r>
            <w:r>
              <w:rPr>
                <w:color w:val="231F20"/>
                <w:sz w:val="15"/>
              </w:rPr>
              <w:t>considered</w:t>
            </w:r>
            <w:r>
              <w:rPr>
                <w:color w:val="231F20"/>
                <w:spacing w:val="-7"/>
                <w:sz w:val="15"/>
              </w:rPr>
              <w:t> </w:t>
            </w:r>
            <w:r>
              <w:rPr>
                <w:color w:val="231F20"/>
                <w:sz w:val="15"/>
              </w:rPr>
              <w:t>part</w:t>
            </w:r>
            <w:r>
              <w:rPr>
                <w:color w:val="231F20"/>
                <w:spacing w:val="-8"/>
                <w:sz w:val="15"/>
              </w:rPr>
              <w:t> </w:t>
            </w:r>
            <w:r>
              <w:rPr>
                <w:color w:val="231F20"/>
                <w:sz w:val="15"/>
              </w:rPr>
              <w:t>of</w:t>
            </w:r>
            <w:r>
              <w:rPr>
                <w:color w:val="231F20"/>
                <w:spacing w:val="-7"/>
                <w:sz w:val="15"/>
              </w:rPr>
              <w:t> </w:t>
            </w:r>
            <w:r>
              <w:rPr>
                <w:color w:val="231F20"/>
                <w:sz w:val="15"/>
              </w:rPr>
              <w:t>the</w:t>
            </w:r>
            <w:r>
              <w:rPr>
                <w:color w:val="231F20"/>
                <w:spacing w:val="-7"/>
                <w:sz w:val="15"/>
              </w:rPr>
              <w:t> </w:t>
            </w:r>
            <w:r>
              <w:rPr>
                <w:color w:val="231F20"/>
                <w:sz w:val="15"/>
              </w:rPr>
              <w:t>total</w:t>
            </w:r>
            <w:r>
              <w:rPr>
                <w:color w:val="231F20"/>
                <w:spacing w:val="-8"/>
                <w:sz w:val="15"/>
              </w:rPr>
              <w:t> </w:t>
            </w:r>
            <w:r>
              <w:rPr>
                <w:color w:val="231F20"/>
                <w:sz w:val="15"/>
              </w:rPr>
              <w:t>fluid</w:t>
            </w:r>
            <w:r>
              <w:rPr>
                <w:color w:val="231F20"/>
                <w:spacing w:val="-7"/>
                <w:sz w:val="15"/>
              </w:rPr>
              <w:t> </w:t>
            </w:r>
            <w:r>
              <w:rPr>
                <w:color w:val="231F20"/>
                <w:sz w:val="15"/>
              </w:rPr>
              <w:t>allowed</w:t>
            </w:r>
            <w:r>
              <w:rPr>
                <w:color w:val="231F20"/>
                <w:spacing w:val="-8"/>
                <w:sz w:val="15"/>
              </w:rPr>
              <w:t> </w:t>
            </w:r>
            <w:r>
              <w:rPr>
                <w:color w:val="231F20"/>
                <w:sz w:val="15"/>
              </w:rPr>
              <w:t>in</w:t>
            </w:r>
            <w:r>
              <w:rPr>
                <w:color w:val="231F20"/>
                <w:spacing w:val="-7"/>
                <w:sz w:val="15"/>
              </w:rPr>
              <w:t> </w:t>
            </w:r>
            <w:r>
              <w:rPr>
                <w:color w:val="231F20"/>
                <w:sz w:val="15"/>
              </w:rPr>
              <w:t>the</w:t>
            </w:r>
            <w:r>
              <w:rPr>
                <w:color w:val="231F20"/>
                <w:spacing w:val="-7"/>
                <w:sz w:val="15"/>
              </w:rPr>
              <w:t> </w:t>
            </w:r>
            <w:r>
              <w:rPr>
                <w:color w:val="231F20"/>
                <w:sz w:val="15"/>
              </w:rPr>
              <w:t>1st</w:t>
            </w:r>
            <w:r>
              <w:rPr>
                <w:color w:val="231F20"/>
                <w:spacing w:val="-8"/>
                <w:sz w:val="15"/>
              </w:rPr>
              <w:t> </w:t>
            </w:r>
            <w:r>
              <w:rPr>
                <w:color w:val="231F20"/>
                <w:sz w:val="15"/>
              </w:rPr>
              <w:t>24</w:t>
            </w:r>
            <w:r>
              <w:rPr>
                <w:color w:val="231F20"/>
                <w:spacing w:val="-7"/>
                <w:sz w:val="15"/>
              </w:rPr>
              <w:t> </w:t>
            </w:r>
            <w:r>
              <w:rPr>
                <w:color w:val="231F20"/>
                <w:sz w:val="15"/>
              </w:rPr>
              <w:t>hr</w:t>
            </w:r>
            <w:r>
              <w:rPr>
                <w:color w:val="231F20"/>
                <w:spacing w:val="-7"/>
                <w:sz w:val="15"/>
              </w:rPr>
              <w:t> </w:t>
            </w:r>
            <w:r>
              <w:rPr>
                <w:color w:val="231F20"/>
                <w:sz w:val="15"/>
              </w:rPr>
              <w:t>and</w:t>
            </w:r>
            <w:r>
              <w:rPr>
                <w:color w:val="231F20"/>
                <w:spacing w:val="-8"/>
                <w:sz w:val="15"/>
              </w:rPr>
              <w:t> </w:t>
            </w:r>
            <w:r>
              <w:rPr>
                <w:color w:val="231F20"/>
                <w:sz w:val="15"/>
              </w:rPr>
              <w:t>is</w:t>
            </w:r>
            <w:r>
              <w:rPr>
                <w:color w:val="231F20"/>
                <w:spacing w:val="-7"/>
                <w:sz w:val="15"/>
              </w:rPr>
              <w:t> </w:t>
            </w:r>
            <w:r>
              <w:rPr>
                <w:color w:val="231F20"/>
                <w:sz w:val="15"/>
              </w:rPr>
              <w:t>subtracted</w:t>
            </w:r>
            <w:r>
              <w:rPr>
                <w:color w:val="231F20"/>
                <w:spacing w:val="-7"/>
                <w:sz w:val="15"/>
              </w:rPr>
              <w:t> </w:t>
            </w:r>
            <w:r>
              <w:rPr>
                <w:color w:val="231F20"/>
                <w:sz w:val="15"/>
              </w:rPr>
              <w:t>before</w:t>
            </w:r>
            <w:r>
              <w:rPr>
                <w:color w:val="231F20"/>
                <w:spacing w:val="-8"/>
                <w:sz w:val="15"/>
              </w:rPr>
              <w:t> </w:t>
            </w:r>
            <w:r>
              <w:rPr>
                <w:color w:val="231F20"/>
                <w:sz w:val="15"/>
              </w:rPr>
              <w:t>calculating</w:t>
            </w:r>
            <w:r>
              <w:rPr>
                <w:color w:val="231F20"/>
                <w:spacing w:val="-7"/>
                <w:sz w:val="15"/>
              </w:rPr>
              <w:t> </w:t>
            </w:r>
            <w:r>
              <w:rPr>
                <w:color w:val="231F20"/>
                <w:sz w:val="15"/>
              </w:rPr>
              <w:t>the</w:t>
            </w:r>
            <w:r>
              <w:rPr>
                <w:color w:val="231F20"/>
                <w:spacing w:val="-7"/>
                <w:sz w:val="15"/>
              </w:rPr>
              <w:t> </w:t>
            </w:r>
            <w:r>
              <w:rPr>
                <w:color w:val="231F20"/>
                <w:sz w:val="15"/>
              </w:rPr>
              <w:t>IV</w:t>
            </w:r>
            <w:r>
              <w:rPr>
                <w:color w:val="231F20"/>
                <w:spacing w:val="-8"/>
                <w:sz w:val="15"/>
              </w:rPr>
              <w:t> </w:t>
            </w:r>
            <w:r>
              <w:rPr>
                <w:color w:val="231F20"/>
                <w:spacing w:val="-2"/>
                <w:sz w:val="15"/>
              </w:rPr>
              <w:t>rate.</w:t>
            </w:r>
          </w:p>
        </w:tc>
      </w:tr>
      <w:tr>
        <w:trPr>
          <w:trHeight w:val="254" w:hRule="atLeast"/>
        </w:trPr>
        <w:tc>
          <w:tcPr>
            <w:tcW w:w="9743" w:type="dxa"/>
            <w:gridSpan w:val="4"/>
            <w:tcBorders>
              <w:top w:val="single" w:sz="4" w:space="0" w:color="FFFFFF"/>
              <w:bottom w:val="single" w:sz="4" w:space="0" w:color="FFFFFF"/>
            </w:tcBorders>
            <w:shd w:val="clear" w:color="auto" w:fill="E8F5F1"/>
          </w:tcPr>
          <w:p>
            <w:pPr>
              <w:pStyle w:val="TableParagraph"/>
              <w:spacing w:before="43"/>
              <w:ind w:left="74"/>
              <w:rPr>
                <w:sz w:val="15"/>
              </w:rPr>
            </w:pPr>
            <w:r>
              <w:rPr>
                <w:color w:val="231F20"/>
                <w:sz w:val="15"/>
              </w:rPr>
              <w:t>Maintenance</w:t>
            </w:r>
            <w:r>
              <w:rPr>
                <w:color w:val="231F20"/>
                <w:spacing w:val="-10"/>
                <w:sz w:val="15"/>
              </w:rPr>
              <w:t> </w:t>
            </w:r>
            <w:r>
              <w:rPr>
                <w:color w:val="231F20"/>
                <w:sz w:val="15"/>
              </w:rPr>
              <w:t>(24</w:t>
            </w:r>
            <w:r>
              <w:rPr>
                <w:color w:val="231F20"/>
                <w:spacing w:val="-10"/>
                <w:sz w:val="15"/>
              </w:rPr>
              <w:t> </w:t>
            </w:r>
            <w:r>
              <w:rPr>
                <w:color w:val="231F20"/>
                <w:sz w:val="15"/>
              </w:rPr>
              <w:t>hr)</w:t>
            </w:r>
            <w:r>
              <w:rPr>
                <w:color w:val="231F20"/>
                <w:spacing w:val="-10"/>
                <w:sz w:val="15"/>
              </w:rPr>
              <w:t> </w:t>
            </w:r>
            <w:r>
              <w:rPr>
                <w:rFonts w:ascii="Cambria"/>
                <w:color w:val="231F20"/>
                <w:sz w:val="15"/>
              </w:rPr>
              <w:t>=</w:t>
            </w:r>
            <w:r>
              <w:rPr>
                <w:rFonts w:ascii="Cambria"/>
                <w:color w:val="231F20"/>
                <w:spacing w:val="3"/>
                <w:sz w:val="15"/>
              </w:rPr>
              <w:t> </w:t>
            </w:r>
            <w:r>
              <w:rPr>
                <w:color w:val="231F20"/>
                <w:sz w:val="15"/>
              </w:rPr>
              <w:t>100</w:t>
            </w:r>
            <w:r>
              <w:rPr>
                <w:color w:val="231F20"/>
                <w:spacing w:val="-10"/>
                <w:sz w:val="15"/>
              </w:rPr>
              <w:t> </w:t>
            </w:r>
            <w:r>
              <w:rPr>
                <w:color w:val="231F20"/>
                <w:sz w:val="15"/>
              </w:rPr>
              <w:t>mL/kg</w:t>
            </w:r>
            <w:r>
              <w:rPr>
                <w:color w:val="231F20"/>
                <w:spacing w:val="-10"/>
                <w:sz w:val="15"/>
              </w:rPr>
              <w:t> </w:t>
            </w:r>
            <w:r>
              <w:rPr>
                <w:color w:val="231F20"/>
                <w:sz w:val="15"/>
              </w:rPr>
              <w:t>(for</w:t>
            </w:r>
            <w:r>
              <w:rPr>
                <w:color w:val="231F20"/>
                <w:spacing w:val="-9"/>
                <w:sz w:val="15"/>
              </w:rPr>
              <w:t> </w:t>
            </w:r>
            <w:r>
              <w:rPr>
                <w:color w:val="231F20"/>
                <w:sz w:val="15"/>
              </w:rPr>
              <w:t>the</w:t>
            </w:r>
            <w:r>
              <w:rPr>
                <w:color w:val="231F20"/>
                <w:spacing w:val="-10"/>
                <w:sz w:val="15"/>
              </w:rPr>
              <w:t> </w:t>
            </w:r>
            <w:r>
              <w:rPr>
                <w:color w:val="231F20"/>
                <w:sz w:val="15"/>
              </w:rPr>
              <w:t>first</w:t>
            </w:r>
            <w:r>
              <w:rPr>
                <w:color w:val="231F20"/>
                <w:spacing w:val="-10"/>
                <w:sz w:val="15"/>
              </w:rPr>
              <w:t> </w:t>
            </w:r>
            <w:r>
              <w:rPr>
                <w:color w:val="231F20"/>
                <w:sz w:val="15"/>
              </w:rPr>
              <w:t>10</w:t>
            </w:r>
            <w:r>
              <w:rPr>
                <w:color w:val="231F20"/>
                <w:spacing w:val="-9"/>
                <w:sz w:val="15"/>
              </w:rPr>
              <w:t> </w:t>
            </w:r>
            <w:r>
              <w:rPr>
                <w:color w:val="231F20"/>
                <w:sz w:val="15"/>
              </w:rPr>
              <w:t>kg)</w:t>
            </w:r>
            <w:r>
              <w:rPr>
                <w:color w:val="231F20"/>
                <w:spacing w:val="-10"/>
                <w:sz w:val="15"/>
              </w:rPr>
              <w:t> </w:t>
            </w:r>
            <w:r>
              <w:rPr>
                <w:rFonts w:ascii="Cambria"/>
                <w:color w:val="231F20"/>
                <w:sz w:val="15"/>
              </w:rPr>
              <w:t>+</w:t>
            </w:r>
            <w:r>
              <w:rPr>
                <w:rFonts w:ascii="Cambria"/>
                <w:color w:val="231F20"/>
                <w:spacing w:val="2"/>
                <w:sz w:val="15"/>
              </w:rPr>
              <w:t> </w:t>
            </w:r>
            <w:r>
              <w:rPr>
                <w:color w:val="231F20"/>
                <w:sz w:val="15"/>
              </w:rPr>
              <w:t>50</w:t>
            </w:r>
            <w:r>
              <w:rPr>
                <w:color w:val="231F20"/>
                <w:spacing w:val="-9"/>
                <w:sz w:val="15"/>
              </w:rPr>
              <w:t> </w:t>
            </w:r>
            <w:r>
              <w:rPr>
                <w:color w:val="231F20"/>
                <w:sz w:val="15"/>
              </w:rPr>
              <w:t>mL/kg</w:t>
            </w:r>
            <w:r>
              <w:rPr>
                <w:color w:val="231F20"/>
                <w:spacing w:val="-10"/>
                <w:sz w:val="15"/>
              </w:rPr>
              <w:t> </w:t>
            </w:r>
            <w:r>
              <w:rPr>
                <w:color w:val="231F20"/>
                <w:sz w:val="15"/>
              </w:rPr>
              <w:t>(for</w:t>
            </w:r>
            <w:r>
              <w:rPr>
                <w:color w:val="231F20"/>
                <w:spacing w:val="-10"/>
                <w:sz w:val="15"/>
              </w:rPr>
              <w:t> </w:t>
            </w:r>
            <w:r>
              <w:rPr>
                <w:color w:val="231F20"/>
                <w:sz w:val="15"/>
              </w:rPr>
              <w:t>the</w:t>
            </w:r>
            <w:r>
              <w:rPr>
                <w:color w:val="231F20"/>
                <w:spacing w:val="-9"/>
                <w:sz w:val="15"/>
              </w:rPr>
              <w:t> </w:t>
            </w:r>
            <w:r>
              <w:rPr>
                <w:color w:val="231F20"/>
                <w:sz w:val="15"/>
              </w:rPr>
              <w:t>second</w:t>
            </w:r>
            <w:r>
              <w:rPr>
                <w:color w:val="231F20"/>
                <w:spacing w:val="-10"/>
                <w:sz w:val="15"/>
              </w:rPr>
              <w:t> </w:t>
            </w:r>
            <w:r>
              <w:rPr>
                <w:color w:val="231F20"/>
                <w:sz w:val="15"/>
              </w:rPr>
              <w:t>10</w:t>
            </w:r>
            <w:r>
              <w:rPr>
                <w:color w:val="231F20"/>
                <w:spacing w:val="-10"/>
                <w:sz w:val="15"/>
              </w:rPr>
              <w:t> </w:t>
            </w:r>
            <w:r>
              <w:rPr>
                <w:color w:val="231F20"/>
                <w:sz w:val="15"/>
              </w:rPr>
              <w:t>kg)</w:t>
            </w:r>
            <w:r>
              <w:rPr>
                <w:color w:val="231F20"/>
                <w:spacing w:val="-9"/>
                <w:sz w:val="15"/>
              </w:rPr>
              <w:t> </w:t>
            </w:r>
            <w:r>
              <w:rPr>
                <w:rFonts w:ascii="Cambria"/>
                <w:color w:val="231F20"/>
                <w:sz w:val="15"/>
              </w:rPr>
              <w:t>+</w:t>
            </w:r>
            <w:r>
              <w:rPr>
                <w:rFonts w:ascii="Cambria"/>
                <w:color w:val="231F20"/>
                <w:spacing w:val="2"/>
                <w:sz w:val="15"/>
              </w:rPr>
              <w:t> </w:t>
            </w:r>
            <w:r>
              <w:rPr>
                <w:color w:val="231F20"/>
                <w:sz w:val="15"/>
              </w:rPr>
              <w:t>25</w:t>
            </w:r>
            <w:r>
              <w:rPr>
                <w:color w:val="231F20"/>
                <w:spacing w:val="-10"/>
                <w:sz w:val="15"/>
              </w:rPr>
              <w:t> </w:t>
            </w:r>
            <w:r>
              <w:rPr>
                <w:color w:val="231F20"/>
                <w:sz w:val="15"/>
              </w:rPr>
              <w:t>mL/kg</w:t>
            </w:r>
            <w:r>
              <w:rPr>
                <w:color w:val="231F20"/>
                <w:spacing w:val="-9"/>
                <w:sz w:val="15"/>
              </w:rPr>
              <w:t> </w:t>
            </w:r>
            <w:r>
              <w:rPr>
                <w:color w:val="231F20"/>
                <w:sz w:val="15"/>
              </w:rPr>
              <w:t>(for</w:t>
            </w:r>
            <w:r>
              <w:rPr>
                <w:color w:val="231F20"/>
                <w:spacing w:val="-10"/>
                <w:sz w:val="15"/>
              </w:rPr>
              <w:t> </w:t>
            </w:r>
            <w:r>
              <w:rPr>
                <w:color w:val="231F20"/>
                <w:sz w:val="15"/>
              </w:rPr>
              <w:t>all</w:t>
            </w:r>
            <w:r>
              <w:rPr>
                <w:color w:val="231F20"/>
                <w:spacing w:val="-10"/>
                <w:sz w:val="15"/>
              </w:rPr>
              <w:t> </w:t>
            </w:r>
            <w:r>
              <w:rPr>
                <w:color w:val="231F20"/>
                <w:sz w:val="15"/>
              </w:rPr>
              <w:t>remaining</w:t>
            </w:r>
            <w:r>
              <w:rPr>
                <w:color w:val="231F20"/>
                <w:spacing w:val="-9"/>
                <w:sz w:val="15"/>
              </w:rPr>
              <w:t> </w:t>
            </w:r>
            <w:r>
              <w:rPr>
                <w:color w:val="231F20"/>
                <w:spacing w:val="-5"/>
                <w:sz w:val="15"/>
              </w:rPr>
              <w:t>kg)</w:t>
            </w:r>
          </w:p>
        </w:tc>
      </w:tr>
      <w:tr>
        <w:trPr>
          <w:trHeight w:val="1114" w:hRule="atLeast"/>
        </w:trPr>
        <w:tc>
          <w:tcPr>
            <w:tcW w:w="9743" w:type="dxa"/>
            <w:gridSpan w:val="4"/>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z w:val="15"/>
              </w:rPr>
              <w:t>Sample</w:t>
            </w:r>
            <w:r>
              <w:rPr>
                <w:color w:val="231F20"/>
                <w:spacing w:val="2"/>
                <w:sz w:val="15"/>
              </w:rPr>
              <w:t> </w:t>
            </w:r>
            <w:r>
              <w:rPr>
                <w:color w:val="231F20"/>
                <w:sz w:val="15"/>
              </w:rPr>
              <w:t>calculation</w:t>
            </w:r>
            <w:r>
              <w:rPr>
                <w:color w:val="231F20"/>
                <w:spacing w:val="3"/>
                <w:sz w:val="15"/>
              </w:rPr>
              <w:t> </w:t>
            </w:r>
            <w:r>
              <w:rPr>
                <w:color w:val="231F20"/>
                <w:sz w:val="15"/>
              </w:rPr>
              <w:t>for</w:t>
            </w:r>
            <w:r>
              <w:rPr>
                <w:color w:val="231F20"/>
                <w:spacing w:val="3"/>
                <w:sz w:val="15"/>
              </w:rPr>
              <w:t> </w:t>
            </w:r>
            <w:r>
              <w:rPr>
                <w:color w:val="231F20"/>
                <w:sz w:val="15"/>
              </w:rPr>
              <w:t>a</w:t>
            </w:r>
            <w:r>
              <w:rPr>
                <w:color w:val="231F20"/>
                <w:spacing w:val="3"/>
                <w:sz w:val="15"/>
              </w:rPr>
              <w:t> </w:t>
            </w:r>
            <w:r>
              <w:rPr>
                <w:color w:val="231F20"/>
                <w:sz w:val="15"/>
              </w:rPr>
              <w:t>30-kg</w:t>
            </w:r>
            <w:r>
              <w:rPr>
                <w:color w:val="231F20"/>
                <w:spacing w:val="3"/>
                <w:sz w:val="15"/>
              </w:rPr>
              <w:t> </w:t>
            </w:r>
            <w:r>
              <w:rPr>
                <w:color w:val="231F20"/>
                <w:spacing w:val="-2"/>
                <w:sz w:val="15"/>
              </w:rPr>
              <w:t>child:</w:t>
            </w:r>
          </w:p>
          <w:p>
            <w:pPr>
              <w:pStyle w:val="TableParagraph"/>
              <w:spacing w:line="174" w:lineRule="exact"/>
              <w:ind w:left="74"/>
              <w:rPr>
                <w:sz w:val="15"/>
              </w:rPr>
            </w:pPr>
            <w:r>
              <w:rPr>
                <w:color w:val="231F20"/>
                <w:sz w:val="15"/>
              </w:rPr>
              <w:t>1st</w:t>
            </w:r>
            <w:r>
              <w:rPr>
                <w:color w:val="231F20"/>
                <w:spacing w:val="3"/>
                <w:sz w:val="15"/>
              </w:rPr>
              <w:t> </w:t>
            </w:r>
            <w:r>
              <w:rPr>
                <w:color w:val="231F20"/>
                <w:sz w:val="15"/>
              </w:rPr>
              <w:t>hr</w:t>
            </w:r>
            <w:r>
              <w:rPr>
                <w:color w:val="231F20"/>
                <w:spacing w:val="3"/>
                <w:sz w:val="15"/>
              </w:rPr>
              <w:t> </w:t>
            </w:r>
            <w:r>
              <w:rPr>
                <w:rFonts w:ascii="Cambria"/>
                <w:color w:val="231F20"/>
                <w:sz w:val="15"/>
              </w:rPr>
              <w:t>=</w:t>
            </w:r>
            <w:r>
              <w:rPr>
                <w:rFonts w:ascii="Cambria"/>
                <w:color w:val="231F20"/>
                <w:spacing w:val="15"/>
                <w:sz w:val="15"/>
              </w:rPr>
              <w:t> </w:t>
            </w:r>
            <w:r>
              <w:rPr>
                <w:color w:val="231F20"/>
                <w:sz w:val="15"/>
              </w:rPr>
              <w:t>300</w:t>
            </w:r>
            <w:r>
              <w:rPr>
                <w:color w:val="231F20"/>
                <w:spacing w:val="3"/>
                <w:sz w:val="15"/>
              </w:rPr>
              <w:t> </w:t>
            </w:r>
            <w:r>
              <w:rPr>
                <w:color w:val="231F20"/>
                <w:sz w:val="15"/>
              </w:rPr>
              <w:t>mL</w:t>
            </w:r>
            <w:r>
              <w:rPr>
                <w:color w:val="231F20"/>
                <w:spacing w:val="3"/>
                <w:sz w:val="15"/>
              </w:rPr>
              <w:t> </w:t>
            </w:r>
            <w:r>
              <w:rPr>
                <w:color w:val="231F20"/>
                <w:sz w:val="15"/>
              </w:rPr>
              <w:t>IV</w:t>
            </w:r>
            <w:r>
              <w:rPr>
                <w:color w:val="231F20"/>
                <w:spacing w:val="3"/>
                <w:sz w:val="15"/>
              </w:rPr>
              <w:t> </w:t>
            </w:r>
            <w:r>
              <w:rPr>
                <w:color w:val="231F20"/>
                <w:sz w:val="15"/>
              </w:rPr>
              <w:t>bolus</w:t>
            </w:r>
            <w:r>
              <w:rPr>
                <w:color w:val="231F20"/>
                <w:spacing w:val="3"/>
                <w:sz w:val="15"/>
              </w:rPr>
              <w:t> </w:t>
            </w:r>
            <w:r>
              <w:rPr>
                <w:color w:val="231F20"/>
                <w:sz w:val="15"/>
              </w:rPr>
              <w:t>0.9%</w:t>
            </w:r>
            <w:r>
              <w:rPr>
                <w:color w:val="231F20"/>
                <w:spacing w:val="3"/>
                <w:sz w:val="15"/>
              </w:rPr>
              <w:t> </w:t>
            </w:r>
            <w:r>
              <w:rPr>
                <w:color w:val="231F20"/>
                <w:sz w:val="15"/>
              </w:rPr>
              <w:t>NaCl</w:t>
            </w:r>
            <w:r>
              <w:rPr>
                <w:color w:val="231F20"/>
                <w:spacing w:val="3"/>
                <w:sz w:val="15"/>
              </w:rPr>
              <w:t> </w:t>
            </w:r>
            <w:r>
              <w:rPr>
                <w:color w:val="231F20"/>
                <w:sz w:val="15"/>
              </w:rPr>
              <w:t>or</w:t>
            </w:r>
            <w:r>
              <w:rPr>
                <w:color w:val="231F20"/>
                <w:spacing w:val="3"/>
                <w:sz w:val="15"/>
              </w:rPr>
              <w:t> </w:t>
            </w:r>
            <w:r>
              <w:rPr>
                <w:color w:val="231F20"/>
                <w:spacing w:val="-7"/>
                <w:sz w:val="15"/>
              </w:rPr>
              <w:t>LR</w:t>
            </w:r>
          </w:p>
          <w:p>
            <w:pPr>
              <w:pStyle w:val="TableParagraph"/>
              <w:spacing w:line="180" w:lineRule="auto" w:before="81"/>
              <w:ind w:left="2689"/>
              <w:rPr>
                <w:sz w:val="15"/>
              </w:rPr>
            </w:pPr>
            <w:r>
              <w:rPr>
                <w:position w:val="-9"/>
                <w:sz w:val="15"/>
              </w:rPr>
              <w:t>2nd</w:t>
            </w:r>
            <w:r>
              <w:rPr>
                <w:spacing w:val="-19"/>
                <w:position w:val="-9"/>
                <w:sz w:val="15"/>
              </w:rPr>
              <w:t> </w:t>
            </w:r>
            <w:r>
              <w:rPr>
                <w:position w:val="-9"/>
                <w:sz w:val="15"/>
              </w:rPr>
              <w:t>and</w:t>
            </w:r>
            <w:r>
              <w:rPr>
                <w:spacing w:val="-14"/>
                <w:position w:val="-9"/>
                <w:sz w:val="15"/>
              </w:rPr>
              <w:t> </w:t>
            </w:r>
            <w:r>
              <w:rPr>
                <w:position w:val="-9"/>
                <w:sz w:val="15"/>
              </w:rPr>
              <w:t>subsequent</w:t>
            </w:r>
            <w:r>
              <w:rPr>
                <w:spacing w:val="-16"/>
                <w:position w:val="-9"/>
                <w:sz w:val="15"/>
              </w:rPr>
              <w:t> </w:t>
            </w:r>
            <w:r>
              <w:rPr>
                <w:position w:val="-9"/>
                <w:sz w:val="15"/>
              </w:rPr>
              <w:t>hr</w:t>
            </w:r>
            <w:r>
              <w:rPr>
                <w:spacing w:val="-12"/>
                <w:position w:val="-9"/>
                <w:sz w:val="15"/>
              </w:rPr>
              <w:t> </w:t>
            </w:r>
            <w:r>
              <w:rPr>
                <w:rFonts w:ascii="Symbol" w:hAnsi="Symbol"/>
                <w:position w:val="-9"/>
                <w:sz w:val="15"/>
              </w:rPr>
              <w:t></w:t>
            </w:r>
            <w:r>
              <w:rPr>
                <w:rFonts w:ascii="Times New Roman" w:hAnsi="Times New Roman"/>
                <w:spacing w:val="-8"/>
                <w:position w:val="-9"/>
                <w:sz w:val="15"/>
              </w:rPr>
              <w:t> </w:t>
            </w:r>
            <w:r>
              <w:rPr>
                <w:sz w:val="15"/>
                <w:u w:val="single"/>
              </w:rPr>
              <w:t>(85</w:t>
            </w:r>
            <w:r>
              <w:rPr>
                <w:spacing w:val="-17"/>
                <w:sz w:val="15"/>
                <w:u w:val="single"/>
              </w:rPr>
              <w:t> </w:t>
            </w:r>
            <w:r>
              <w:rPr>
                <w:sz w:val="15"/>
                <w:u w:val="single"/>
              </w:rPr>
              <w:t>mL</w:t>
            </w:r>
            <w:r>
              <w:rPr>
                <w:spacing w:val="-15"/>
                <w:sz w:val="15"/>
                <w:u w:val="single"/>
              </w:rPr>
              <w:t> </w:t>
            </w:r>
            <w:r>
              <w:rPr>
                <w:rFonts w:ascii="Symbol" w:hAnsi="Symbol"/>
                <w:sz w:val="15"/>
                <w:u w:val="single"/>
              </w:rPr>
              <w:t></w:t>
            </w:r>
            <w:r>
              <w:rPr>
                <w:rFonts w:ascii="Times New Roman" w:hAnsi="Times New Roman"/>
                <w:spacing w:val="-13"/>
                <w:sz w:val="15"/>
                <w:u w:val="single"/>
              </w:rPr>
              <w:t> </w:t>
            </w:r>
            <w:r>
              <w:rPr>
                <w:sz w:val="15"/>
                <w:u w:val="single"/>
              </w:rPr>
              <w:t>30)</w:t>
            </w:r>
            <w:r>
              <w:rPr>
                <w:spacing w:val="-21"/>
                <w:sz w:val="15"/>
                <w:u w:val="single"/>
              </w:rPr>
              <w:t> </w:t>
            </w:r>
            <w:r>
              <w:rPr>
                <w:rFonts w:ascii="Symbol" w:hAnsi="Symbol"/>
                <w:sz w:val="15"/>
                <w:u w:val="single"/>
              </w:rPr>
              <w:t></w:t>
            </w:r>
            <w:r>
              <w:rPr>
                <w:rFonts w:ascii="Times New Roman" w:hAnsi="Times New Roman"/>
                <w:spacing w:val="-17"/>
                <w:sz w:val="15"/>
                <w:u w:val="single"/>
              </w:rPr>
              <w:t> </w:t>
            </w:r>
            <w:r>
              <w:rPr>
                <w:sz w:val="15"/>
                <w:u w:val="single"/>
              </w:rPr>
              <w:t>1750</w:t>
            </w:r>
            <w:r>
              <w:rPr>
                <w:spacing w:val="-15"/>
                <w:sz w:val="15"/>
                <w:u w:val="single"/>
              </w:rPr>
              <w:t> </w:t>
            </w:r>
            <w:r>
              <w:rPr>
                <w:sz w:val="15"/>
                <w:u w:val="single"/>
              </w:rPr>
              <w:t>mL</w:t>
            </w:r>
            <w:r>
              <w:rPr>
                <w:spacing w:val="-15"/>
                <w:sz w:val="15"/>
                <w:u w:val="single"/>
              </w:rPr>
              <w:t> </w:t>
            </w:r>
            <w:r>
              <w:rPr>
                <w:rFonts w:ascii="Symbol" w:hAnsi="Symbol"/>
                <w:sz w:val="15"/>
                <w:u w:val="single"/>
              </w:rPr>
              <w:t></w:t>
            </w:r>
            <w:r>
              <w:rPr>
                <w:rFonts w:ascii="Times New Roman" w:hAnsi="Times New Roman"/>
                <w:spacing w:val="-13"/>
                <w:sz w:val="15"/>
                <w:u w:val="single"/>
              </w:rPr>
              <w:t> </w:t>
            </w:r>
            <w:r>
              <w:rPr>
                <w:sz w:val="15"/>
                <w:u w:val="single"/>
              </w:rPr>
              <w:t>300</w:t>
            </w:r>
            <w:r>
              <w:rPr>
                <w:spacing w:val="-15"/>
                <w:sz w:val="15"/>
                <w:u w:val="single"/>
              </w:rPr>
              <w:t> </w:t>
            </w:r>
            <w:r>
              <w:rPr>
                <w:sz w:val="15"/>
                <w:u w:val="single"/>
              </w:rPr>
              <w:t>mL</w:t>
            </w:r>
            <w:r>
              <w:rPr>
                <w:spacing w:val="-8"/>
                <w:sz w:val="15"/>
              </w:rPr>
              <w:t> </w:t>
            </w:r>
            <w:r>
              <w:rPr>
                <w:rFonts w:ascii="Symbol" w:hAnsi="Symbol"/>
                <w:position w:val="-9"/>
                <w:sz w:val="15"/>
              </w:rPr>
              <w:t></w:t>
            </w:r>
            <w:r>
              <w:rPr>
                <w:rFonts w:ascii="Times New Roman" w:hAnsi="Times New Roman"/>
                <w:position w:val="-9"/>
                <w:sz w:val="15"/>
              </w:rPr>
              <w:t> </w:t>
            </w:r>
            <w:r>
              <w:rPr>
                <w:sz w:val="15"/>
                <w:u w:val="single"/>
              </w:rPr>
              <w:t>175</w:t>
            </w:r>
            <w:r>
              <w:rPr>
                <w:spacing w:val="-17"/>
                <w:sz w:val="15"/>
                <w:u w:val="single"/>
              </w:rPr>
              <w:t> </w:t>
            </w:r>
            <w:r>
              <w:rPr>
                <w:spacing w:val="-5"/>
                <w:sz w:val="15"/>
                <w:u w:val="single"/>
              </w:rPr>
              <w:t>mL</w:t>
            </w:r>
          </w:p>
          <w:p>
            <w:pPr>
              <w:pStyle w:val="TableParagraph"/>
              <w:tabs>
                <w:tab w:pos="6733" w:val="left" w:leader="none"/>
              </w:tabs>
              <w:spacing w:line="142" w:lineRule="exact"/>
              <w:ind w:left="5216"/>
              <w:rPr>
                <w:sz w:val="15"/>
              </w:rPr>
            </w:pPr>
            <w:r>
              <w:rPr>
                <w:spacing w:val="-4"/>
                <w:sz w:val="15"/>
              </w:rPr>
              <w:t>23</w:t>
            </w:r>
            <w:r>
              <w:rPr>
                <w:spacing w:val="-14"/>
                <w:sz w:val="15"/>
              </w:rPr>
              <w:t> </w:t>
            </w:r>
            <w:r>
              <w:rPr>
                <w:spacing w:val="-5"/>
                <w:sz w:val="15"/>
              </w:rPr>
              <w:t>hr</w:t>
            </w:r>
            <w:r>
              <w:rPr>
                <w:sz w:val="15"/>
              </w:rPr>
              <w:tab/>
            </w:r>
            <w:r>
              <w:rPr>
                <w:spacing w:val="-5"/>
                <w:sz w:val="15"/>
              </w:rPr>
              <w:t>hr</w:t>
            </w:r>
          </w:p>
          <w:p>
            <w:pPr>
              <w:pStyle w:val="TableParagraph"/>
              <w:spacing w:before="50"/>
              <w:ind w:left="2686"/>
              <w:rPr>
                <w:sz w:val="15"/>
              </w:rPr>
            </w:pPr>
            <w:r>
              <w:rPr>
                <w:sz w:val="15"/>
              </w:rPr>
              <w:t>(0.45%</w:t>
            </w:r>
            <w:r>
              <w:rPr>
                <w:spacing w:val="-20"/>
                <w:sz w:val="15"/>
              </w:rPr>
              <w:t> </w:t>
            </w:r>
            <w:r>
              <w:rPr>
                <w:sz w:val="15"/>
              </w:rPr>
              <w:t>NaCl</w:t>
            </w:r>
            <w:r>
              <w:rPr>
                <w:spacing w:val="-13"/>
                <w:sz w:val="15"/>
              </w:rPr>
              <w:t> </w:t>
            </w:r>
            <w:r>
              <w:rPr>
                <w:sz w:val="15"/>
              </w:rPr>
              <w:t>with</w:t>
            </w:r>
            <w:r>
              <w:rPr>
                <w:spacing w:val="-16"/>
                <w:sz w:val="15"/>
              </w:rPr>
              <w:t> </w:t>
            </w:r>
            <w:r>
              <w:rPr>
                <w:sz w:val="15"/>
              </w:rPr>
              <w:t>20</w:t>
            </w:r>
            <w:r>
              <w:rPr>
                <w:spacing w:val="-13"/>
                <w:sz w:val="15"/>
              </w:rPr>
              <w:t> </w:t>
            </w:r>
            <w:r>
              <w:rPr>
                <w:sz w:val="15"/>
              </w:rPr>
              <w:t>mEq/L</w:t>
            </w:r>
            <w:r>
              <w:rPr>
                <w:spacing w:val="-14"/>
                <w:sz w:val="15"/>
              </w:rPr>
              <w:t> </w:t>
            </w:r>
            <w:r>
              <w:rPr>
                <w:sz w:val="15"/>
              </w:rPr>
              <w:t>Kphos</w:t>
            </w:r>
            <w:r>
              <w:rPr>
                <w:spacing w:val="-14"/>
                <w:sz w:val="15"/>
              </w:rPr>
              <w:t> </w:t>
            </w:r>
            <w:r>
              <w:rPr>
                <w:sz w:val="15"/>
              </w:rPr>
              <w:t>and</w:t>
            </w:r>
            <w:r>
              <w:rPr>
                <w:spacing w:val="-15"/>
                <w:sz w:val="15"/>
              </w:rPr>
              <w:t> </w:t>
            </w:r>
            <w:r>
              <w:rPr>
                <w:sz w:val="15"/>
              </w:rPr>
              <w:t>20</w:t>
            </w:r>
            <w:r>
              <w:rPr>
                <w:spacing w:val="-12"/>
                <w:sz w:val="15"/>
              </w:rPr>
              <w:t> </w:t>
            </w:r>
            <w:r>
              <w:rPr>
                <w:sz w:val="15"/>
              </w:rPr>
              <w:t>mEq/L</w:t>
            </w:r>
            <w:r>
              <w:rPr>
                <w:spacing w:val="-4"/>
                <w:sz w:val="15"/>
              </w:rPr>
              <w:t> KAc)</w:t>
            </w:r>
          </w:p>
        </w:tc>
      </w:tr>
    </w:tbl>
    <w:p>
      <w:pPr>
        <w:pStyle w:val="BodyText"/>
        <w:spacing w:before="78"/>
        <w:ind w:left="696" w:right="446"/>
      </w:pPr>
      <w:r>
        <w:rPr>
          <w:color w:val="231F20"/>
        </w:rPr>
        <w:t>DKA,</w:t>
      </w:r>
      <w:r>
        <w:rPr>
          <w:color w:val="231F20"/>
          <w:spacing w:val="-5"/>
        </w:rPr>
        <w:t> </w:t>
      </w:r>
      <w:r>
        <w:rPr>
          <w:color w:val="231F20"/>
        </w:rPr>
        <w:t>diabetic</w:t>
      </w:r>
      <w:r>
        <w:rPr>
          <w:color w:val="231F20"/>
          <w:spacing w:val="-5"/>
        </w:rPr>
        <w:t> </w:t>
      </w:r>
      <w:r>
        <w:rPr>
          <w:color w:val="231F20"/>
        </w:rPr>
        <w:t>ketoacidosis;</w:t>
      </w:r>
      <w:r>
        <w:rPr>
          <w:color w:val="231F20"/>
          <w:spacing w:val="-5"/>
        </w:rPr>
        <w:t> </w:t>
      </w:r>
      <w:r>
        <w:rPr>
          <w:color w:val="231F20"/>
        </w:rPr>
        <w:t>I/O,</w:t>
      </w:r>
      <w:r>
        <w:rPr>
          <w:color w:val="231F20"/>
          <w:spacing w:val="-5"/>
        </w:rPr>
        <w:t> </w:t>
      </w:r>
      <w:r>
        <w:rPr>
          <w:color w:val="231F20"/>
        </w:rPr>
        <w:t>input</w:t>
      </w:r>
      <w:r>
        <w:rPr>
          <w:color w:val="231F20"/>
          <w:spacing w:val="-5"/>
        </w:rPr>
        <w:t> </w:t>
      </w:r>
      <w:r>
        <w:rPr>
          <w:color w:val="231F20"/>
        </w:rPr>
        <w:t>and</w:t>
      </w:r>
      <w:r>
        <w:rPr>
          <w:color w:val="231F20"/>
          <w:spacing w:val="-5"/>
        </w:rPr>
        <w:t> </w:t>
      </w:r>
      <w:r>
        <w:rPr>
          <w:color w:val="231F20"/>
        </w:rPr>
        <w:t>output</w:t>
      </w:r>
      <w:r>
        <w:rPr>
          <w:color w:val="231F20"/>
          <w:spacing w:val="-5"/>
        </w:rPr>
        <w:t> </w:t>
      </w:r>
      <w:r>
        <w:rPr>
          <w:color w:val="231F20"/>
        </w:rPr>
        <w:t>(urine,</w:t>
      </w:r>
      <w:r>
        <w:rPr>
          <w:color w:val="231F20"/>
          <w:spacing w:val="-5"/>
        </w:rPr>
        <w:t> </w:t>
      </w:r>
      <w:r>
        <w:rPr>
          <w:color w:val="231F20"/>
        </w:rPr>
        <w:t>emesis);</w:t>
      </w:r>
      <w:r>
        <w:rPr>
          <w:color w:val="231F20"/>
          <w:spacing w:val="-5"/>
        </w:rPr>
        <w:t> </w:t>
      </w:r>
      <w:r>
        <w:rPr>
          <w:color w:val="231F20"/>
        </w:rPr>
        <w:t>K,</w:t>
      </w:r>
      <w:r>
        <w:rPr>
          <w:color w:val="231F20"/>
          <w:spacing w:val="-5"/>
        </w:rPr>
        <w:t> </w:t>
      </w:r>
      <w:r>
        <w:rPr>
          <w:color w:val="231F20"/>
        </w:rPr>
        <w:t>potassium;</w:t>
      </w:r>
      <w:r>
        <w:rPr>
          <w:color w:val="231F20"/>
          <w:spacing w:val="-5"/>
        </w:rPr>
        <w:t> </w:t>
      </w:r>
      <w:r>
        <w:rPr>
          <w:color w:val="231F20"/>
        </w:rPr>
        <w:t>KAc,</w:t>
      </w:r>
      <w:r>
        <w:rPr>
          <w:color w:val="231F20"/>
          <w:spacing w:val="-5"/>
        </w:rPr>
        <w:t> </w:t>
      </w:r>
      <w:r>
        <w:rPr>
          <w:color w:val="231F20"/>
        </w:rPr>
        <w:t>potassium</w:t>
      </w:r>
      <w:r>
        <w:rPr>
          <w:color w:val="231F20"/>
          <w:spacing w:val="-5"/>
        </w:rPr>
        <w:t> </w:t>
      </w:r>
      <w:r>
        <w:rPr>
          <w:color w:val="231F20"/>
        </w:rPr>
        <w:t>acetate;</w:t>
      </w:r>
      <w:r>
        <w:rPr>
          <w:color w:val="231F20"/>
          <w:spacing w:val="-5"/>
        </w:rPr>
        <w:t> </w:t>
      </w:r>
      <w:r>
        <w:rPr>
          <w:color w:val="231F20"/>
        </w:rPr>
        <w:t>KPhos,</w:t>
      </w:r>
      <w:r>
        <w:rPr>
          <w:color w:val="231F20"/>
          <w:spacing w:val="-5"/>
        </w:rPr>
        <w:t> </w:t>
      </w:r>
      <w:r>
        <w:rPr>
          <w:color w:val="231F20"/>
        </w:rPr>
        <w:t>potassium</w:t>
      </w:r>
      <w:r>
        <w:rPr>
          <w:color w:val="231F20"/>
          <w:spacing w:val="-5"/>
        </w:rPr>
        <w:t> </w:t>
      </w:r>
      <w:r>
        <w:rPr>
          <w:color w:val="231F20"/>
        </w:rPr>
        <w:t>phosphate;</w:t>
      </w:r>
      <w:r>
        <w:rPr>
          <w:color w:val="231F20"/>
          <w:spacing w:val="-5"/>
        </w:rPr>
        <w:t> </w:t>
      </w:r>
      <w:r>
        <w:rPr>
          <w:color w:val="231F20"/>
        </w:rPr>
        <w:t>LR,</w:t>
      </w:r>
      <w:r>
        <w:rPr>
          <w:color w:val="231F20"/>
          <w:spacing w:val="-5"/>
        </w:rPr>
        <w:t> </w:t>
      </w:r>
      <w:r>
        <w:rPr>
          <w:color w:val="231F20"/>
        </w:rPr>
        <w:t>lactated</w:t>
      </w:r>
      <w:r>
        <w:rPr>
          <w:color w:val="231F20"/>
          <w:spacing w:val="-5"/>
        </w:rPr>
        <w:t> </w:t>
      </w:r>
      <w:r>
        <w:rPr>
          <w:color w:val="231F20"/>
        </w:rPr>
        <w:t>Ringer</w:t>
      </w:r>
      <w:r>
        <w:rPr>
          <w:color w:val="231F20"/>
          <w:spacing w:val="-5"/>
        </w:rPr>
        <w:t> </w:t>
      </w:r>
      <w:r>
        <w:rPr>
          <w:color w:val="231F20"/>
        </w:rPr>
        <w:t>solution;</w:t>
      </w:r>
      <w:r>
        <w:rPr>
          <w:color w:val="231F20"/>
          <w:spacing w:val="40"/>
        </w:rPr>
        <w:t> </w:t>
      </w:r>
      <w:r>
        <w:rPr>
          <w:color w:val="231F20"/>
        </w:rPr>
        <w:t>NaCl, sodium chloride; NPO, nothing by mouth.</w:t>
      </w:r>
    </w:p>
    <w:p>
      <w:pPr>
        <w:pStyle w:val="BodyText"/>
        <w:spacing w:after="0"/>
        <w:sectPr>
          <w:type w:val="continuous"/>
          <w:pgSz w:w="11900" w:h="16840"/>
          <w:pgMar w:header="452" w:footer="0" w:top="6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170" name="Group 170"/>
                <wp:cNvGraphicFramePr>
                  <a:graphicFrameLocks/>
                </wp:cNvGraphicFramePr>
                <a:graphic>
                  <a:graphicData uri="http://schemas.microsoft.com/office/word/2010/wordprocessingGroup">
                    <wpg:wgp>
                      <wpg:cNvPr id="170" name="Group 170"/>
                      <wpg:cNvGrpSpPr/>
                      <wpg:grpSpPr>
                        <a:xfrm>
                          <a:off x="0" y="0"/>
                          <a:ext cx="6185535" cy="170815"/>
                          <a:chExt cx="6185535" cy="170815"/>
                        </a:xfrm>
                      </wpg:grpSpPr>
                      <wps:wsp>
                        <wps:cNvPr id="171" name="Graphic 171"/>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72" name="Graphic 172"/>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73" name="Textbox 173"/>
                        <wps:cNvSpPr txBox="1"/>
                        <wps:spPr>
                          <a:xfrm>
                            <a:off x="0" y="0"/>
                            <a:ext cx="6185535" cy="170815"/>
                          </a:xfrm>
                          <a:prstGeom prst="rect">
                            <a:avLst/>
                          </a:prstGeom>
                        </wps:spPr>
                        <wps:txbx>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2775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40"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41" filled="false" stroked="false">
                  <v:textbox inset="0,0,0,0">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2775</w:t>
                        </w:r>
                      </w:p>
                    </w:txbxContent>
                  </v:textbox>
                  <w10:wrap type="none"/>
                </v:shape>
              </v:group>
            </w:pict>
          </mc:Fallback>
        </mc:AlternateContent>
      </w:r>
      <w:r>
        <w:rPr>
          <w:sz w:val="20"/>
        </w:rPr>
      </w:r>
    </w:p>
    <w:p>
      <w:pPr>
        <w:pStyle w:val="BodyText"/>
        <w:spacing w:before="43"/>
        <w:rPr>
          <w:sz w:val="20"/>
        </w:rPr>
      </w:pPr>
    </w:p>
    <w:tbl>
      <w:tblPr>
        <w:tblW w:w="0" w:type="auto"/>
        <w:jc w:val="left"/>
        <w:tblInd w:w="6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219"/>
        <w:gridCol w:w="2337"/>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7</w:t>
            </w:r>
          </w:p>
        </w:tc>
        <w:tc>
          <w:tcPr>
            <w:tcW w:w="3556" w:type="dxa"/>
            <w:gridSpan w:val="2"/>
            <w:tcBorders>
              <w:left w:val="single" w:sz="8" w:space="0" w:color="FFFFFF"/>
            </w:tcBorders>
            <w:shd w:val="clear" w:color="auto" w:fill="231F20"/>
          </w:tcPr>
          <w:p>
            <w:pPr>
              <w:pStyle w:val="TableParagraph"/>
              <w:spacing w:before="89"/>
              <w:ind w:left="73" w:right="314"/>
              <w:rPr>
                <w:sz w:val="16"/>
              </w:rPr>
            </w:pPr>
            <w:r>
              <w:rPr>
                <w:color w:val="FFFFFF"/>
                <w:w w:val="105"/>
                <w:sz w:val="16"/>
              </w:rPr>
              <w:t>Calorie Needs for Children and </w:t>
            </w:r>
            <w:r>
              <w:rPr>
                <w:color w:val="FFFFFF"/>
                <w:w w:val="105"/>
                <w:sz w:val="16"/>
              </w:rPr>
              <w:t>Young </w:t>
            </w:r>
            <w:r>
              <w:rPr>
                <w:color w:val="FFFFFF"/>
                <w:spacing w:val="-2"/>
                <w:w w:val="105"/>
                <w:sz w:val="16"/>
              </w:rPr>
              <w:t>Adults</w:t>
            </w:r>
          </w:p>
        </w:tc>
      </w:tr>
      <w:tr>
        <w:trPr>
          <w:trHeight w:val="425" w:hRule="atLeast"/>
        </w:trPr>
        <w:tc>
          <w:tcPr>
            <w:tcW w:w="2367" w:type="dxa"/>
            <w:gridSpan w:val="2"/>
            <w:tcBorders>
              <w:bottom w:val="single" w:sz="4" w:space="0" w:color="231F20"/>
            </w:tcBorders>
            <w:shd w:val="clear" w:color="auto" w:fill="E8F5F1"/>
          </w:tcPr>
          <w:p>
            <w:pPr>
              <w:pStyle w:val="TableParagraph"/>
              <w:spacing w:before="41"/>
              <w:rPr>
                <w:sz w:val="15"/>
              </w:rPr>
            </w:pPr>
          </w:p>
          <w:p>
            <w:pPr>
              <w:pStyle w:val="TableParagraph"/>
              <w:ind w:left="74"/>
              <w:rPr>
                <w:b/>
                <w:sz w:val="15"/>
              </w:rPr>
            </w:pPr>
            <w:r>
              <w:rPr>
                <w:b/>
                <w:color w:val="231F20"/>
                <w:spacing w:val="-5"/>
                <w:w w:val="115"/>
                <w:sz w:val="15"/>
              </w:rPr>
              <w:t>AGE</w:t>
            </w:r>
          </w:p>
        </w:tc>
        <w:tc>
          <w:tcPr>
            <w:tcW w:w="2337" w:type="dxa"/>
            <w:tcBorders>
              <w:bottom w:val="single" w:sz="4" w:space="0" w:color="231F20"/>
            </w:tcBorders>
            <w:shd w:val="clear" w:color="auto" w:fill="E8F5F1"/>
          </w:tcPr>
          <w:p>
            <w:pPr>
              <w:pStyle w:val="TableParagraph"/>
              <w:spacing w:line="230" w:lineRule="auto" w:before="53"/>
              <w:ind w:left="916" w:hanging="179"/>
              <w:rPr>
                <w:b/>
                <w:sz w:val="15"/>
              </w:rPr>
            </w:pPr>
            <w:r>
              <w:rPr>
                <w:b/>
                <w:color w:val="231F20"/>
                <w:w w:val="110"/>
                <w:sz w:val="15"/>
              </w:rPr>
              <w:t>KCAL</w:t>
            </w:r>
            <w:r>
              <w:rPr>
                <w:b/>
                <w:color w:val="231F20"/>
                <w:spacing w:val="-13"/>
                <w:w w:val="110"/>
                <w:sz w:val="15"/>
              </w:rPr>
              <w:t> </w:t>
            </w:r>
            <w:r>
              <w:rPr>
                <w:b/>
                <w:color w:val="231F20"/>
                <w:w w:val="110"/>
                <w:sz w:val="15"/>
              </w:rPr>
              <w:t>REQUIRED/KG BODY WEIGHT</w:t>
            </w:r>
            <w:r>
              <w:rPr>
                <w:b/>
                <w:color w:val="0080AC"/>
                <w:w w:val="110"/>
                <w:sz w:val="15"/>
              </w:rPr>
              <w:t>*</w:t>
            </w:r>
          </w:p>
        </w:tc>
      </w:tr>
      <w:tr>
        <w:trPr>
          <w:trHeight w:val="218" w:hRule="atLeast"/>
        </w:trPr>
        <w:tc>
          <w:tcPr>
            <w:tcW w:w="2367" w:type="dxa"/>
            <w:gridSpan w:val="2"/>
            <w:tcBorders>
              <w:top w:val="single" w:sz="4" w:space="0" w:color="231F20"/>
            </w:tcBorders>
            <w:shd w:val="clear" w:color="auto" w:fill="E8F5F1"/>
          </w:tcPr>
          <w:p>
            <w:pPr>
              <w:pStyle w:val="TableParagraph"/>
              <w:spacing w:line="156" w:lineRule="exact" w:before="43"/>
              <w:ind w:left="74"/>
              <w:rPr>
                <w:sz w:val="15"/>
              </w:rPr>
            </w:pPr>
            <w:r>
              <w:rPr>
                <w:color w:val="231F20"/>
                <w:spacing w:val="-2"/>
                <w:w w:val="110"/>
                <w:sz w:val="15"/>
              </w:rPr>
              <w:t>CHILDREN</w:t>
            </w:r>
          </w:p>
        </w:tc>
        <w:tc>
          <w:tcPr>
            <w:tcW w:w="2337" w:type="dxa"/>
            <w:tcBorders>
              <w:top w:val="single" w:sz="4" w:space="0" w:color="231F20"/>
            </w:tcBorders>
            <w:shd w:val="clear" w:color="auto" w:fill="E8F5F1"/>
          </w:tcPr>
          <w:p>
            <w:pPr>
              <w:pStyle w:val="TableParagraph"/>
              <w:rPr>
                <w:rFonts w:ascii="Times New Roman"/>
                <w:sz w:val="14"/>
              </w:rPr>
            </w:pPr>
          </w:p>
        </w:tc>
      </w:tr>
      <w:tr>
        <w:trPr>
          <w:trHeight w:val="167" w:hRule="atLeast"/>
        </w:trPr>
        <w:tc>
          <w:tcPr>
            <w:tcW w:w="2367" w:type="dxa"/>
            <w:gridSpan w:val="2"/>
            <w:shd w:val="clear" w:color="auto" w:fill="E8F5F1"/>
          </w:tcPr>
          <w:p>
            <w:pPr>
              <w:pStyle w:val="TableParagraph"/>
              <w:spacing w:line="148" w:lineRule="exact"/>
              <w:ind w:left="74"/>
              <w:rPr>
                <w:sz w:val="15"/>
              </w:rPr>
            </w:pPr>
            <w:r>
              <w:rPr>
                <w:color w:val="231F20"/>
                <w:sz w:val="15"/>
              </w:rPr>
              <w:t>0-12</w:t>
            </w:r>
            <w:r>
              <w:rPr>
                <w:color w:val="231F20"/>
                <w:spacing w:val="-8"/>
                <w:sz w:val="15"/>
              </w:rPr>
              <w:t> </w:t>
            </w:r>
            <w:r>
              <w:rPr>
                <w:color w:val="231F20"/>
                <w:spacing w:val="-5"/>
                <w:sz w:val="15"/>
              </w:rPr>
              <w:t>mo</w:t>
            </w:r>
          </w:p>
        </w:tc>
        <w:tc>
          <w:tcPr>
            <w:tcW w:w="2337" w:type="dxa"/>
            <w:shd w:val="clear" w:color="auto" w:fill="E8F5F1"/>
          </w:tcPr>
          <w:p>
            <w:pPr>
              <w:pStyle w:val="TableParagraph"/>
              <w:spacing w:line="148" w:lineRule="exact"/>
              <w:ind w:left="1379"/>
              <w:rPr>
                <w:sz w:val="15"/>
              </w:rPr>
            </w:pPr>
            <w:r>
              <w:rPr>
                <w:color w:val="231F20"/>
                <w:spacing w:val="-5"/>
                <w:sz w:val="15"/>
              </w:rPr>
              <w:t>120</w:t>
            </w:r>
          </w:p>
        </w:tc>
      </w:tr>
      <w:tr>
        <w:trPr>
          <w:trHeight w:val="206" w:hRule="atLeast"/>
        </w:trPr>
        <w:tc>
          <w:tcPr>
            <w:tcW w:w="2367" w:type="dxa"/>
            <w:gridSpan w:val="2"/>
            <w:tcBorders>
              <w:bottom w:val="single" w:sz="4" w:space="0" w:color="FFFFFF"/>
            </w:tcBorders>
            <w:shd w:val="clear" w:color="auto" w:fill="E8F5F1"/>
          </w:tcPr>
          <w:p>
            <w:pPr>
              <w:pStyle w:val="TableParagraph"/>
              <w:spacing w:line="170" w:lineRule="exact"/>
              <w:ind w:left="74"/>
              <w:rPr>
                <w:sz w:val="15"/>
              </w:rPr>
            </w:pPr>
            <w:r>
              <w:rPr>
                <w:color w:val="231F20"/>
                <w:sz w:val="15"/>
              </w:rPr>
              <w:t>1-10</w:t>
            </w:r>
            <w:r>
              <w:rPr>
                <w:color w:val="231F20"/>
                <w:spacing w:val="-8"/>
                <w:sz w:val="15"/>
              </w:rPr>
              <w:t> </w:t>
            </w:r>
            <w:r>
              <w:rPr>
                <w:color w:val="231F20"/>
                <w:spacing w:val="-5"/>
                <w:sz w:val="15"/>
              </w:rPr>
              <w:t>yr</w:t>
            </w:r>
          </w:p>
        </w:tc>
        <w:tc>
          <w:tcPr>
            <w:tcW w:w="2337" w:type="dxa"/>
            <w:tcBorders>
              <w:bottom w:val="single" w:sz="4" w:space="0" w:color="FFFFFF"/>
            </w:tcBorders>
            <w:shd w:val="clear" w:color="auto" w:fill="E8F5F1"/>
          </w:tcPr>
          <w:p>
            <w:pPr>
              <w:pStyle w:val="TableParagraph"/>
              <w:spacing w:line="170" w:lineRule="exact"/>
              <w:ind w:right="620"/>
              <w:jc w:val="right"/>
              <w:rPr>
                <w:sz w:val="15"/>
              </w:rPr>
            </w:pPr>
            <w:r>
              <w:rPr>
                <w:color w:val="231F20"/>
                <w:spacing w:val="-4"/>
                <w:sz w:val="15"/>
              </w:rPr>
              <w:t>100-</w:t>
            </w:r>
            <w:r>
              <w:rPr>
                <w:color w:val="231F20"/>
                <w:spacing w:val="-5"/>
                <w:sz w:val="15"/>
              </w:rPr>
              <w:t>75</w:t>
            </w:r>
          </w:p>
        </w:tc>
      </w:tr>
      <w:tr>
        <w:trPr>
          <w:trHeight w:val="218" w:hRule="atLeast"/>
        </w:trPr>
        <w:tc>
          <w:tcPr>
            <w:tcW w:w="2367" w:type="dxa"/>
            <w:gridSpan w:val="2"/>
            <w:tcBorders>
              <w:top w:val="single" w:sz="4" w:space="0" w:color="FFFFFF"/>
            </w:tcBorders>
            <w:shd w:val="clear" w:color="auto" w:fill="E8F5F1"/>
          </w:tcPr>
          <w:p>
            <w:pPr>
              <w:pStyle w:val="TableParagraph"/>
              <w:spacing w:line="156" w:lineRule="exact" w:before="43"/>
              <w:ind w:left="74"/>
              <w:rPr>
                <w:sz w:val="15"/>
              </w:rPr>
            </w:pPr>
            <w:r>
              <w:rPr>
                <w:color w:val="231F20"/>
                <w:w w:val="115"/>
                <w:sz w:val="15"/>
              </w:rPr>
              <w:t>YOUNG</w:t>
            </w:r>
            <w:r>
              <w:rPr>
                <w:color w:val="231F20"/>
                <w:spacing w:val="-3"/>
                <w:w w:val="115"/>
                <w:sz w:val="15"/>
              </w:rPr>
              <w:t> </w:t>
            </w:r>
            <w:r>
              <w:rPr>
                <w:color w:val="231F20"/>
                <w:spacing w:val="-2"/>
                <w:w w:val="115"/>
                <w:sz w:val="15"/>
              </w:rPr>
              <w:t>WOMEN</w:t>
            </w:r>
          </w:p>
        </w:tc>
        <w:tc>
          <w:tcPr>
            <w:tcW w:w="2337" w:type="dxa"/>
            <w:tcBorders>
              <w:top w:val="single" w:sz="4" w:space="0" w:color="FFFFFF"/>
            </w:tcBorders>
            <w:shd w:val="clear" w:color="auto" w:fill="E8F5F1"/>
          </w:tcPr>
          <w:p>
            <w:pPr>
              <w:pStyle w:val="TableParagraph"/>
              <w:rPr>
                <w:rFonts w:ascii="Times New Roman"/>
                <w:sz w:val="14"/>
              </w:rPr>
            </w:pPr>
          </w:p>
        </w:tc>
      </w:tr>
      <w:tr>
        <w:trPr>
          <w:trHeight w:val="164" w:hRule="atLeast"/>
        </w:trPr>
        <w:tc>
          <w:tcPr>
            <w:tcW w:w="2367" w:type="dxa"/>
            <w:gridSpan w:val="2"/>
            <w:shd w:val="clear" w:color="auto" w:fill="E8F5F1"/>
          </w:tcPr>
          <w:p>
            <w:pPr>
              <w:pStyle w:val="TableParagraph"/>
              <w:spacing w:line="144" w:lineRule="exact"/>
              <w:ind w:left="74"/>
              <w:rPr>
                <w:sz w:val="15"/>
              </w:rPr>
            </w:pPr>
            <w:r>
              <w:rPr>
                <w:color w:val="231F20"/>
                <w:sz w:val="15"/>
              </w:rPr>
              <w:t>11-15</w:t>
            </w:r>
            <w:r>
              <w:rPr>
                <w:color w:val="231F20"/>
                <w:spacing w:val="-11"/>
                <w:sz w:val="15"/>
              </w:rPr>
              <w:t> </w:t>
            </w:r>
            <w:r>
              <w:rPr>
                <w:color w:val="231F20"/>
                <w:spacing w:val="-5"/>
                <w:sz w:val="15"/>
              </w:rPr>
              <w:t>yr</w:t>
            </w:r>
          </w:p>
        </w:tc>
        <w:tc>
          <w:tcPr>
            <w:tcW w:w="2337" w:type="dxa"/>
            <w:shd w:val="clear" w:color="auto" w:fill="E8F5F1"/>
          </w:tcPr>
          <w:p>
            <w:pPr>
              <w:pStyle w:val="TableParagraph"/>
              <w:spacing w:line="145" w:lineRule="exact"/>
              <w:ind w:left="1418"/>
              <w:rPr>
                <w:sz w:val="15"/>
              </w:rPr>
            </w:pPr>
            <w:r>
              <w:rPr>
                <w:color w:val="231F20"/>
                <w:spacing w:val="-5"/>
                <w:sz w:val="15"/>
              </w:rPr>
              <w:t>35</w:t>
            </w:r>
          </w:p>
        </w:tc>
      </w:tr>
      <w:tr>
        <w:trPr>
          <w:trHeight w:val="211" w:hRule="atLeast"/>
        </w:trPr>
        <w:tc>
          <w:tcPr>
            <w:tcW w:w="2367" w:type="dxa"/>
            <w:gridSpan w:val="2"/>
            <w:tcBorders>
              <w:bottom w:val="single" w:sz="4" w:space="0" w:color="FFFFFF"/>
            </w:tcBorders>
            <w:shd w:val="clear" w:color="auto" w:fill="E8F5F1"/>
          </w:tcPr>
          <w:p>
            <w:pPr>
              <w:pStyle w:val="TableParagraph"/>
              <w:spacing w:line="175" w:lineRule="exact"/>
              <w:ind w:left="74"/>
              <w:rPr>
                <w:sz w:val="15"/>
              </w:rPr>
            </w:pPr>
            <w:r>
              <w:rPr>
                <w:rFonts w:ascii="Cambria" w:hAnsi="Cambria"/>
                <w:color w:val="231F20"/>
                <w:sz w:val="15"/>
              </w:rPr>
              <w:t>≥</w:t>
            </w:r>
            <w:r>
              <w:rPr>
                <w:color w:val="231F20"/>
                <w:sz w:val="15"/>
              </w:rPr>
              <w:t>16</w:t>
            </w:r>
            <w:r>
              <w:rPr>
                <w:color w:val="231F20"/>
                <w:spacing w:val="-4"/>
                <w:sz w:val="15"/>
              </w:rPr>
              <w:t> </w:t>
            </w:r>
            <w:r>
              <w:rPr>
                <w:color w:val="231F20"/>
                <w:spacing w:val="-5"/>
                <w:sz w:val="15"/>
              </w:rPr>
              <w:t>yr</w:t>
            </w:r>
          </w:p>
        </w:tc>
        <w:tc>
          <w:tcPr>
            <w:tcW w:w="2337" w:type="dxa"/>
            <w:tcBorders>
              <w:bottom w:val="single" w:sz="4" w:space="0" w:color="FFFFFF"/>
            </w:tcBorders>
            <w:shd w:val="clear" w:color="auto" w:fill="E8F5F1"/>
          </w:tcPr>
          <w:p>
            <w:pPr>
              <w:pStyle w:val="TableParagraph"/>
              <w:spacing w:line="173" w:lineRule="exact"/>
              <w:ind w:left="1418"/>
              <w:rPr>
                <w:sz w:val="15"/>
              </w:rPr>
            </w:pPr>
            <w:r>
              <w:rPr>
                <w:color w:val="231F20"/>
                <w:spacing w:val="-5"/>
                <w:sz w:val="15"/>
              </w:rPr>
              <w:t>30</w:t>
            </w:r>
          </w:p>
        </w:tc>
      </w:tr>
      <w:tr>
        <w:trPr>
          <w:trHeight w:val="218" w:hRule="atLeast"/>
        </w:trPr>
        <w:tc>
          <w:tcPr>
            <w:tcW w:w="2367" w:type="dxa"/>
            <w:gridSpan w:val="2"/>
            <w:tcBorders>
              <w:top w:val="single" w:sz="4" w:space="0" w:color="FFFFFF"/>
            </w:tcBorders>
            <w:shd w:val="clear" w:color="auto" w:fill="E8F5F1"/>
          </w:tcPr>
          <w:p>
            <w:pPr>
              <w:pStyle w:val="TableParagraph"/>
              <w:spacing w:line="156" w:lineRule="exact" w:before="43"/>
              <w:ind w:left="74"/>
              <w:rPr>
                <w:sz w:val="15"/>
              </w:rPr>
            </w:pPr>
            <w:r>
              <w:rPr>
                <w:color w:val="231F20"/>
                <w:w w:val="115"/>
                <w:sz w:val="15"/>
              </w:rPr>
              <w:t>YOUNG</w:t>
            </w:r>
            <w:r>
              <w:rPr>
                <w:color w:val="231F20"/>
                <w:spacing w:val="-3"/>
                <w:w w:val="115"/>
                <w:sz w:val="15"/>
              </w:rPr>
              <w:t> </w:t>
            </w:r>
            <w:r>
              <w:rPr>
                <w:color w:val="231F20"/>
                <w:spacing w:val="-5"/>
                <w:w w:val="120"/>
                <w:sz w:val="15"/>
              </w:rPr>
              <w:t>MEN</w:t>
            </w:r>
          </w:p>
        </w:tc>
        <w:tc>
          <w:tcPr>
            <w:tcW w:w="2337" w:type="dxa"/>
            <w:tcBorders>
              <w:top w:val="single" w:sz="4" w:space="0" w:color="FFFFFF"/>
            </w:tcBorders>
            <w:shd w:val="clear" w:color="auto" w:fill="E8F5F1"/>
          </w:tcPr>
          <w:p>
            <w:pPr>
              <w:pStyle w:val="TableParagraph"/>
              <w:rPr>
                <w:rFonts w:ascii="Times New Roman"/>
                <w:sz w:val="14"/>
              </w:rPr>
            </w:pPr>
          </w:p>
        </w:tc>
      </w:tr>
      <w:tr>
        <w:trPr>
          <w:trHeight w:val="169" w:hRule="atLeast"/>
        </w:trPr>
        <w:tc>
          <w:tcPr>
            <w:tcW w:w="2367" w:type="dxa"/>
            <w:gridSpan w:val="2"/>
            <w:shd w:val="clear" w:color="auto" w:fill="E8F5F1"/>
          </w:tcPr>
          <w:p>
            <w:pPr>
              <w:pStyle w:val="TableParagraph"/>
              <w:spacing w:line="149" w:lineRule="exact"/>
              <w:ind w:left="74"/>
              <w:rPr>
                <w:sz w:val="15"/>
              </w:rPr>
            </w:pPr>
            <w:r>
              <w:rPr>
                <w:color w:val="231F20"/>
                <w:sz w:val="15"/>
              </w:rPr>
              <w:t>11-15</w:t>
            </w:r>
            <w:r>
              <w:rPr>
                <w:color w:val="231F20"/>
                <w:spacing w:val="-11"/>
                <w:sz w:val="15"/>
              </w:rPr>
              <w:t> </w:t>
            </w:r>
            <w:r>
              <w:rPr>
                <w:color w:val="231F20"/>
                <w:spacing w:val="-5"/>
                <w:sz w:val="15"/>
              </w:rPr>
              <w:t>yr</w:t>
            </w:r>
          </w:p>
        </w:tc>
        <w:tc>
          <w:tcPr>
            <w:tcW w:w="2337" w:type="dxa"/>
            <w:shd w:val="clear" w:color="auto" w:fill="E8F5F1"/>
          </w:tcPr>
          <w:p>
            <w:pPr>
              <w:pStyle w:val="TableParagraph"/>
              <w:spacing w:line="150" w:lineRule="exact"/>
              <w:ind w:right="519"/>
              <w:jc w:val="right"/>
              <w:rPr>
                <w:sz w:val="15"/>
              </w:rPr>
            </w:pPr>
            <w:r>
              <w:rPr>
                <w:color w:val="231F20"/>
                <w:sz w:val="15"/>
              </w:rPr>
              <w:t>80-55</w:t>
            </w:r>
            <w:r>
              <w:rPr>
                <w:color w:val="231F20"/>
                <w:spacing w:val="-11"/>
                <w:sz w:val="15"/>
              </w:rPr>
              <w:t> </w:t>
            </w:r>
            <w:r>
              <w:rPr>
                <w:color w:val="231F20"/>
                <w:spacing w:val="-4"/>
                <w:sz w:val="15"/>
              </w:rPr>
              <w:t>(65)</w:t>
            </w:r>
          </w:p>
        </w:tc>
      </w:tr>
      <w:tr>
        <w:trPr>
          <w:trHeight w:val="168" w:hRule="atLeast"/>
        </w:trPr>
        <w:tc>
          <w:tcPr>
            <w:tcW w:w="2367" w:type="dxa"/>
            <w:gridSpan w:val="2"/>
            <w:shd w:val="clear" w:color="auto" w:fill="E8F5F1"/>
          </w:tcPr>
          <w:p>
            <w:pPr>
              <w:pStyle w:val="TableParagraph"/>
              <w:spacing w:line="148" w:lineRule="exact"/>
              <w:ind w:left="74"/>
              <w:rPr>
                <w:sz w:val="15"/>
              </w:rPr>
            </w:pPr>
            <w:r>
              <w:rPr>
                <w:color w:val="231F20"/>
                <w:sz w:val="15"/>
              </w:rPr>
              <w:t>16-20</w:t>
            </w:r>
            <w:r>
              <w:rPr>
                <w:color w:val="231F20"/>
                <w:spacing w:val="-11"/>
                <w:sz w:val="15"/>
              </w:rPr>
              <w:t> </w:t>
            </w:r>
            <w:r>
              <w:rPr>
                <w:color w:val="231F20"/>
                <w:spacing w:val="-5"/>
                <w:sz w:val="15"/>
              </w:rPr>
              <w:t>yr</w:t>
            </w:r>
          </w:p>
        </w:tc>
        <w:tc>
          <w:tcPr>
            <w:tcW w:w="2337" w:type="dxa"/>
            <w:shd w:val="clear" w:color="auto" w:fill="E8F5F1"/>
          </w:tcPr>
          <w:p>
            <w:pPr>
              <w:pStyle w:val="TableParagraph"/>
              <w:rPr>
                <w:rFonts w:ascii="Times New Roman"/>
                <w:sz w:val="10"/>
              </w:rPr>
            </w:pPr>
          </w:p>
        </w:tc>
      </w:tr>
      <w:tr>
        <w:trPr>
          <w:trHeight w:val="169" w:hRule="atLeast"/>
        </w:trPr>
        <w:tc>
          <w:tcPr>
            <w:tcW w:w="2367" w:type="dxa"/>
            <w:gridSpan w:val="2"/>
            <w:shd w:val="clear" w:color="auto" w:fill="E8F5F1"/>
          </w:tcPr>
          <w:p>
            <w:pPr>
              <w:pStyle w:val="TableParagraph"/>
              <w:spacing w:line="149" w:lineRule="exact"/>
              <w:ind w:left="223"/>
              <w:rPr>
                <w:sz w:val="15"/>
              </w:rPr>
            </w:pPr>
            <w:r>
              <w:rPr>
                <w:color w:val="231F20"/>
                <w:sz w:val="15"/>
              </w:rPr>
              <w:t>Average</w:t>
            </w:r>
            <w:r>
              <w:rPr>
                <w:color w:val="231F20"/>
                <w:spacing w:val="17"/>
                <w:sz w:val="15"/>
              </w:rPr>
              <w:t> </w:t>
            </w:r>
            <w:r>
              <w:rPr>
                <w:color w:val="231F20"/>
                <w:spacing w:val="-2"/>
                <w:sz w:val="15"/>
              </w:rPr>
              <w:t>activity</w:t>
            </w:r>
          </w:p>
        </w:tc>
        <w:tc>
          <w:tcPr>
            <w:tcW w:w="2337" w:type="dxa"/>
            <w:shd w:val="clear" w:color="auto" w:fill="E8F5F1"/>
          </w:tcPr>
          <w:p>
            <w:pPr>
              <w:pStyle w:val="TableParagraph"/>
              <w:spacing w:line="149" w:lineRule="exact"/>
              <w:ind w:left="1417"/>
              <w:rPr>
                <w:sz w:val="15"/>
              </w:rPr>
            </w:pPr>
            <w:r>
              <w:rPr>
                <w:color w:val="231F20"/>
                <w:spacing w:val="-5"/>
                <w:sz w:val="15"/>
              </w:rPr>
              <w:t>40</w:t>
            </w:r>
          </w:p>
        </w:tc>
      </w:tr>
      <w:tr>
        <w:trPr>
          <w:trHeight w:val="169" w:hRule="atLeast"/>
        </w:trPr>
        <w:tc>
          <w:tcPr>
            <w:tcW w:w="2367" w:type="dxa"/>
            <w:gridSpan w:val="2"/>
            <w:shd w:val="clear" w:color="auto" w:fill="E8F5F1"/>
          </w:tcPr>
          <w:p>
            <w:pPr>
              <w:pStyle w:val="TableParagraph"/>
              <w:spacing w:line="149" w:lineRule="exact"/>
              <w:ind w:left="223"/>
              <w:rPr>
                <w:sz w:val="15"/>
              </w:rPr>
            </w:pPr>
            <w:r>
              <w:rPr>
                <w:color w:val="231F20"/>
                <w:spacing w:val="-2"/>
                <w:sz w:val="15"/>
              </w:rPr>
              <w:t>Very</w:t>
            </w:r>
            <w:r>
              <w:rPr>
                <w:color w:val="231F20"/>
                <w:spacing w:val="-5"/>
                <w:sz w:val="15"/>
              </w:rPr>
              <w:t> </w:t>
            </w:r>
            <w:r>
              <w:rPr>
                <w:color w:val="231F20"/>
                <w:spacing w:val="-2"/>
                <w:sz w:val="15"/>
              </w:rPr>
              <w:t>physically</w:t>
            </w:r>
            <w:r>
              <w:rPr>
                <w:color w:val="231F20"/>
                <w:spacing w:val="-4"/>
                <w:sz w:val="15"/>
              </w:rPr>
              <w:t> </w:t>
            </w:r>
            <w:r>
              <w:rPr>
                <w:color w:val="231F20"/>
                <w:spacing w:val="-2"/>
                <w:sz w:val="15"/>
              </w:rPr>
              <w:t>active</w:t>
            </w:r>
          </w:p>
        </w:tc>
        <w:tc>
          <w:tcPr>
            <w:tcW w:w="2337" w:type="dxa"/>
            <w:shd w:val="clear" w:color="auto" w:fill="E8F5F1"/>
          </w:tcPr>
          <w:p>
            <w:pPr>
              <w:pStyle w:val="TableParagraph"/>
              <w:spacing w:line="149" w:lineRule="exact"/>
              <w:ind w:left="1417"/>
              <w:rPr>
                <w:sz w:val="15"/>
              </w:rPr>
            </w:pPr>
            <w:r>
              <w:rPr>
                <w:color w:val="231F20"/>
                <w:spacing w:val="-5"/>
                <w:sz w:val="15"/>
              </w:rPr>
              <w:t>50</w:t>
            </w:r>
          </w:p>
        </w:tc>
      </w:tr>
      <w:tr>
        <w:trPr>
          <w:trHeight w:val="201" w:hRule="atLeast"/>
        </w:trPr>
        <w:tc>
          <w:tcPr>
            <w:tcW w:w="2367" w:type="dxa"/>
            <w:gridSpan w:val="2"/>
            <w:tcBorders>
              <w:bottom w:val="single" w:sz="8" w:space="0" w:color="231F20"/>
            </w:tcBorders>
            <w:shd w:val="clear" w:color="auto" w:fill="E8F5F1"/>
          </w:tcPr>
          <w:p>
            <w:pPr>
              <w:pStyle w:val="TableParagraph"/>
              <w:spacing w:line="170" w:lineRule="exact"/>
              <w:ind w:left="223"/>
              <w:rPr>
                <w:sz w:val="15"/>
              </w:rPr>
            </w:pPr>
            <w:r>
              <w:rPr>
                <w:color w:val="231F20"/>
                <w:spacing w:val="-2"/>
                <w:sz w:val="15"/>
              </w:rPr>
              <w:t>Sedentary</w:t>
            </w:r>
          </w:p>
        </w:tc>
        <w:tc>
          <w:tcPr>
            <w:tcW w:w="2337" w:type="dxa"/>
            <w:tcBorders>
              <w:bottom w:val="single" w:sz="8" w:space="0" w:color="231F20"/>
            </w:tcBorders>
            <w:shd w:val="clear" w:color="auto" w:fill="E8F5F1"/>
          </w:tcPr>
          <w:p>
            <w:pPr>
              <w:pStyle w:val="TableParagraph"/>
              <w:spacing w:line="170" w:lineRule="exact"/>
              <w:ind w:left="1417"/>
              <w:rPr>
                <w:sz w:val="15"/>
              </w:rPr>
            </w:pPr>
            <w:r>
              <w:rPr>
                <w:color w:val="231F20"/>
                <w:spacing w:val="-5"/>
                <w:sz w:val="15"/>
              </w:rPr>
              <w:t>30</w:t>
            </w:r>
          </w:p>
        </w:tc>
      </w:tr>
    </w:tbl>
    <w:p>
      <w:pPr>
        <w:pStyle w:val="BodyText"/>
        <w:spacing w:line="150" w:lineRule="exact" w:before="79"/>
        <w:ind w:left="6063"/>
      </w:pPr>
      <w:r>
        <w:rPr/>
        <mc:AlternateContent>
          <mc:Choice Requires="wps">
            <w:drawing>
              <wp:anchor distT="0" distB="0" distL="0" distR="0" allowOverlap="1" layoutInCell="1" locked="0" behindDoc="0" simplePos="0" relativeHeight="15739904">
                <wp:simplePos x="0" y="0"/>
                <wp:positionH relativeFrom="page">
                  <wp:posOffset>775194</wp:posOffset>
                </wp:positionH>
                <wp:positionV relativeFrom="paragraph">
                  <wp:posOffset>-2183282</wp:posOffset>
                </wp:positionV>
                <wp:extent cx="3062605" cy="593280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3062605" cy="59328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8</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Summary of Nutrition Guidelines for Children and/or Adolescents with Type </w:t>
                                  </w:r>
                                  <w:r>
                                    <w:rPr>
                                      <w:color w:val="FFFFFF"/>
                                      <w:w w:val="105"/>
                                      <w:sz w:val="16"/>
                                    </w:rPr>
                                    <w:t>1 Diabetes Mellitus</w:t>
                                  </w:r>
                                </w:p>
                              </w:tc>
                            </w:tr>
                            <w:tr>
                              <w:trPr>
                                <w:trHeight w:val="1101"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NUTRITION</w:t>
                                  </w:r>
                                  <w:r>
                                    <w:rPr>
                                      <w:color w:val="231F20"/>
                                      <w:spacing w:val="4"/>
                                      <w:w w:val="110"/>
                                      <w:sz w:val="15"/>
                                    </w:rPr>
                                    <w:t> </w:t>
                                  </w:r>
                                  <w:r>
                                    <w:rPr>
                                      <w:color w:val="231F20"/>
                                      <w:w w:val="110"/>
                                      <w:sz w:val="15"/>
                                    </w:rPr>
                                    <w:t>CARE</w:t>
                                  </w:r>
                                  <w:r>
                                    <w:rPr>
                                      <w:color w:val="231F20"/>
                                      <w:spacing w:val="5"/>
                                      <w:w w:val="110"/>
                                      <w:sz w:val="15"/>
                                    </w:rPr>
                                    <w:t> </w:t>
                                  </w:r>
                                  <w:r>
                                    <w:rPr>
                                      <w:color w:val="231F20"/>
                                      <w:spacing w:val="-4"/>
                                      <w:w w:val="110"/>
                                      <w:sz w:val="15"/>
                                    </w:rPr>
                                    <w:t>PLAN</w:t>
                                  </w:r>
                                </w:p>
                                <w:p>
                                  <w:pPr>
                                    <w:pStyle w:val="TableParagraph"/>
                                    <w:spacing w:line="169" w:lineRule="exact"/>
                                    <w:ind w:left="74"/>
                                    <w:rPr>
                                      <w:sz w:val="15"/>
                                    </w:rPr>
                                  </w:pPr>
                                  <w:r>
                                    <w:rPr>
                                      <w:color w:val="231F20"/>
                                      <w:sz w:val="15"/>
                                    </w:rPr>
                                    <w:t>Promotes</w:t>
                                  </w:r>
                                  <w:r>
                                    <w:rPr>
                                      <w:color w:val="231F20"/>
                                      <w:spacing w:val="-1"/>
                                      <w:sz w:val="15"/>
                                    </w:rPr>
                                    <w:t> </w:t>
                                  </w:r>
                                  <w:r>
                                    <w:rPr>
                                      <w:color w:val="231F20"/>
                                      <w:sz w:val="15"/>
                                    </w:rPr>
                                    <w:t>optimal</w:t>
                                  </w:r>
                                  <w:r>
                                    <w:rPr>
                                      <w:color w:val="231F20"/>
                                      <w:spacing w:val="-1"/>
                                      <w:sz w:val="15"/>
                                    </w:rPr>
                                    <w:t> </w:t>
                                  </w:r>
                                  <w:r>
                                    <w:rPr>
                                      <w:color w:val="231F20"/>
                                      <w:spacing w:val="-2"/>
                                      <w:sz w:val="15"/>
                                    </w:rPr>
                                    <w:t>compliance.</w:t>
                                  </w:r>
                                </w:p>
                                <w:p>
                                  <w:pPr>
                                    <w:pStyle w:val="TableParagraph"/>
                                    <w:spacing w:line="230" w:lineRule="auto" w:before="3"/>
                                    <w:ind w:left="186" w:right="108" w:hanging="112"/>
                                    <w:rPr>
                                      <w:sz w:val="15"/>
                                    </w:rPr>
                                  </w:pPr>
                                  <w:r>
                                    <w:rPr>
                                      <w:color w:val="231F20"/>
                                      <w:sz w:val="15"/>
                                    </w:rPr>
                                    <w:t>Incorporates goals of management: normal growth and development,</w:t>
                                  </w:r>
                                  <w:r>
                                    <w:rPr>
                                      <w:color w:val="231F20"/>
                                      <w:spacing w:val="-8"/>
                                      <w:sz w:val="15"/>
                                    </w:rPr>
                                    <w:t> </w:t>
                                  </w:r>
                                  <w:r>
                                    <w:rPr>
                                      <w:color w:val="231F20"/>
                                      <w:sz w:val="15"/>
                                    </w:rPr>
                                    <w:t>control</w:t>
                                  </w:r>
                                  <w:r>
                                    <w:rPr>
                                      <w:color w:val="231F20"/>
                                      <w:spacing w:val="-8"/>
                                      <w:sz w:val="15"/>
                                    </w:rPr>
                                    <w:t> </w:t>
                                  </w:r>
                                  <w:r>
                                    <w:rPr>
                                      <w:color w:val="231F20"/>
                                      <w:sz w:val="15"/>
                                    </w:rPr>
                                    <w:t>of</w:t>
                                  </w:r>
                                  <w:r>
                                    <w:rPr>
                                      <w:color w:val="231F20"/>
                                      <w:spacing w:val="-8"/>
                                      <w:sz w:val="15"/>
                                    </w:rPr>
                                    <w:t> </w:t>
                                  </w:r>
                                  <w:r>
                                    <w:rPr>
                                      <w:color w:val="231F20"/>
                                      <w:sz w:val="15"/>
                                    </w:rPr>
                                    <w:t>blood</w:t>
                                  </w:r>
                                  <w:r>
                                    <w:rPr>
                                      <w:color w:val="231F20"/>
                                      <w:spacing w:val="-8"/>
                                      <w:sz w:val="15"/>
                                    </w:rPr>
                                    <w:t> </w:t>
                                  </w:r>
                                  <w:r>
                                    <w:rPr>
                                      <w:color w:val="231F20"/>
                                      <w:sz w:val="15"/>
                                    </w:rPr>
                                    <w:t>glucose,</w:t>
                                  </w:r>
                                  <w:r>
                                    <w:rPr>
                                      <w:color w:val="231F20"/>
                                      <w:spacing w:val="-8"/>
                                      <w:sz w:val="15"/>
                                    </w:rPr>
                                    <w:t> </w:t>
                                  </w:r>
                                  <w:r>
                                    <w:rPr>
                                      <w:color w:val="231F20"/>
                                      <w:sz w:val="15"/>
                                    </w:rPr>
                                    <w:t>maintenance</w:t>
                                  </w:r>
                                  <w:r>
                                    <w:rPr>
                                      <w:color w:val="231F20"/>
                                      <w:spacing w:val="-8"/>
                                      <w:sz w:val="15"/>
                                    </w:rPr>
                                    <w:t> </w:t>
                                  </w:r>
                                  <w:r>
                                    <w:rPr>
                                      <w:color w:val="231F20"/>
                                      <w:sz w:val="15"/>
                                    </w:rPr>
                                    <w:t>of</w:t>
                                  </w:r>
                                  <w:r>
                                    <w:rPr>
                                      <w:color w:val="231F20"/>
                                      <w:spacing w:val="-8"/>
                                      <w:sz w:val="15"/>
                                    </w:rPr>
                                    <w:t> </w:t>
                                  </w:r>
                                  <w:r>
                                    <w:rPr>
                                      <w:color w:val="231F20"/>
                                      <w:sz w:val="15"/>
                                    </w:rPr>
                                    <w:t>optimal nutritional</w:t>
                                  </w:r>
                                  <w:r>
                                    <w:rPr>
                                      <w:color w:val="231F20"/>
                                      <w:spacing w:val="-9"/>
                                      <w:sz w:val="15"/>
                                    </w:rPr>
                                    <w:t> </w:t>
                                  </w:r>
                                  <w:r>
                                    <w:rPr>
                                      <w:color w:val="231F20"/>
                                      <w:sz w:val="15"/>
                                    </w:rPr>
                                    <w:t>status,</w:t>
                                  </w:r>
                                  <w:r>
                                    <w:rPr>
                                      <w:color w:val="231F20"/>
                                      <w:spacing w:val="-9"/>
                                      <w:sz w:val="15"/>
                                    </w:rPr>
                                    <w:t> </w:t>
                                  </w:r>
                                  <w:r>
                                    <w:rPr>
                                      <w:color w:val="231F20"/>
                                      <w:sz w:val="15"/>
                                    </w:rPr>
                                    <w:t>and</w:t>
                                  </w:r>
                                  <w:r>
                                    <w:rPr>
                                      <w:color w:val="231F20"/>
                                      <w:spacing w:val="-9"/>
                                      <w:sz w:val="15"/>
                                    </w:rPr>
                                    <w:t> </w:t>
                                  </w:r>
                                  <w:r>
                                    <w:rPr>
                                      <w:color w:val="231F20"/>
                                      <w:sz w:val="15"/>
                                    </w:rPr>
                                    <w:t>prevention</w:t>
                                  </w:r>
                                  <w:r>
                                    <w:rPr>
                                      <w:color w:val="231F20"/>
                                      <w:spacing w:val="-9"/>
                                      <w:sz w:val="15"/>
                                    </w:rPr>
                                    <w:t> </w:t>
                                  </w:r>
                                  <w:r>
                                    <w:rPr>
                                      <w:color w:val="231F20"/>
                                      <w:sz w:val="15"/>
                                    </w:rPr>
                                    <w:t>of</w:t>
                                  </w:r>
                                  <w:r>
                                    <w:rPr>
                                      <w:color w:val="231F20"/>
                                      <w:spacing w:val="-9"/>
                                      <w:sz w:val="15"/>
                                    </w:rPr>
                                    <w:t> </w:t>
                                  </w:r>
                                  <w:r>
                                    <w:rPr>
                                      <w:color w:val="231F20"/>
                                      <w:sz w:val="15"/>
                                    </w:rPr>
                                    <w:t>complications.</w:t>
                                  </w:r>
                                  <w:r>
                                    <w:rPr>
                                      <w:color w:val="231F20"/>
                                      <w:spacing w:val="-9"/>
                                      <w:sz w:val="15"/>
                                    </w:rPr>
                                    <w:t> </w:t>
                                  </w:r>
                                  <w:r>
                                    <w:rPr>
                                      <w:color w:val="231F20"/>
                                      <w:sz w:val="15"/>
                                    </w:rPr>
                                    <w:t>Uses</w:t>
                                  </w:r>
                                  <w:r>
                                    <w:rPr>
                                      <w:color w:val="231F20"/>
                                      <w:spacing w:val="-9"/>
                                      <w:sz w:val="15"/>
                                    </w:rPr>
                                    <w:t> </w:t>
                                  </w:r>
                                  <w:r>
                                    <w:rPr>
                                      <w:color w:val="231F20"/>
                                      <w:sz w:val="15"/>
                                    </w:rPr>
                                    <w:t>staged </w:t>
                                  </w:r>
                                  <w:r>
                                    <w:rPr>
                                      <w:color w:val="231F20"/>
                                      <w:spacing w:val="-2"/>
                                      <w:sz w:val="15"/>
                                    </w:rPr>
                                    <w:t>approach.</w:t>
                                  </w:r>
                                </w:p>
                              </w:tc>
                            </w:tr>
                            <w:tr>
                              <w:trPr>
                                <w:trHeight w:val="253" w:hRule="atLeast"/>
                              </w:trPr>
                              <w:tc>
                                <w:tcPr>
                                  <w:tcW w:w="4703" w:type="dxa"/>
                                  <w:gridSpan w:val="2"/>
                                  <w:tcBorders>
                                    <w:top w:val="single" w:sz="4" w:space="0" w:color="FFFFFF"/>
                                    <w:bottom w:val="single" w:sz="4" w:space="0" w:color="231F20"/>
                                  </w:tcBorders>
                                  <w:shd w:val="clear" w:color="auto" w:fill="E8F5F1"/>
                                </w:tcPr>
                                <w:p>
                                  <w:pPr>
                                    <w:pStyle w:val="TableParagraph"/>
                                    <w:spacing w:before="43"/>
                                    <w:ind w:left="74"/>
                                    <w:rPr>
                                      <w:sz w:val="15"/>
                                    </w:rPr>
                                  </w:pPr>
                                  <w:r>
                                    <w:rPr>
                                      <w:color w:val="231F20"/>
                                      <w:w w:val="115"/>
                                      <w:sz w:val="15"/>
                                    </w:rPr>
                                    <w:t>NUTRIENT</w:t>
                                  </w:r>
                                  <w:r>
                                    <w:rPr>
                                      <w:color w:val="231F20"/>
                                      <w:spacing w:val="-2"/>
                                      <w:w w:val="115"/>
                                      <w:sz w:val="15"/>
                                    </w:rPr>
                                    <w:t> </w:t>
                                  </w:r>
                                  <w:r>
                                    <w:rPr>
                                      <w:color w:val="231F20"/>
                                      <w:w w:val="115"/>
                                      <w:sz w:val="15"/>
                                    </w:rPr>
                                    <w:t>RECOMMENDATIONS</w:t>
                                  </w:r>
                                  <w:r>
                                    <w:rPr>
                                      <w:color w:val="231F20"/>
                                      <w:spacing w:val="-2"/>
                                      <w:w w:val="115"/>
                                      <w:sz w:val="15"/>
                                    </w:rPr>
                                    <w:t> </w:t>
                                  </w:r>
                                  <w:r>
                                    <w:rPr>
                                      <w:color w:val="231F20"/>
                                      <w:w w:val="115"/>
                                      <w:sz w:val="15"/>
                                    </w:rPr>
                                    <w:t>AND</w:t>
                                  </w:r>
                                  <w:r>
                                    <w:rPr>
                                      <w:color w:val="231F20"/>
                                      <w:spacing w:val="-2"/>
                                      <w:w w:val="115"/>
                                      <w:sz w:val="15"/>
                                    </w:rPr>
                                    <w:t> DISTRIBUTION</w:t>
                                  </w:r>
                                </w:p>
                              </w:tc>
                            </w:tr>
                            <w:tr>
                              <w:trPr>
                                <w:trHeight w:val="425" w:hRule="atLeast"/>
                              </w:trPr>
                              <w:tc>
                                <w:tcPr>
                                  <w:tcW w:w="4703" w:type="dxa"/>
                                  <w:gridSpan w:val="2"/>
                                  <w:tcBorders>
                                    <w:top w:val="single" w:sz="4" w:space="0" w:color="231F20"/>
                                    <w:bottom w:val="single" w:sz="4" w:space="0" w:color="231F20"/>
                                  </w:tcBorders>
                                  <w:shd w:val="clear" w:color="auto" w:fill="E8F5F1"/>
                                </w:tcPr>
                                <w:p>
                                  <w:pPr>
                                    <w:pStyle w:val="TableParagraph"/>
                                    <w:tabs>
                                      <w:tab w:pos="2799" w:val="left" w:leader="none"/>
                                    </w:tabs>
                                    <w:spacing w:line="171" w:lineRule="exact" w:before="47"/>
                                    <w:ind w:left="1814"/>
                                    <w:rPr>
                                      <w:b/>
                                      <w:sz w:val="15"/>
                                    </w:rPr>
                                  </w:pPr>
                                  <w:r>
                                    <w:rPr>
                                      <w:b/>
                                      <w:color w:val="231F20"/>
                                      <w:w w:val="110"/>
                                      <w:sz w:val="15"/>
                                    </w:rPr>
                                    <w:t>(%)</w:t>
                                  </w:r>
                                  <w:r>
                                    <w:rPr>
                                      <w:b/>
                                      <w:color w:val="231F20"/>
                                      <w:spacing w:val="-4"/>
                                      <w:w w:val="110"/>
                                      <w:sz w:val="15"/>
                                    </w:rPr>
                                    <w:t> </w:t>
                                  </w:r>
                                  <w:r>
                                    <w:rPr>
                                      <w:b/>
                                      <w:color w:val="231F20"/>
                                      <w:spacing w:val="-5"/>
                                      <w:w w:val="115"/>
                                      <w:sz w:val="15"/>
                                    </w:rPr>
                                    <w:t>OF</w:t>
                                  </w:r>
                                  <w:r>
                                    <w:rPr>
                                      <w:b/>
                                      <w:color w:val="231F20"/>
                                      <w:sz w:val="15"/>
                                    </w:rPr>
                                    <w:tab/>
                                  </w:r>
                                  <w:r>
                                    <w:rPr>
                                      <w:b/>
                                      <w:color w:val="231F20"/>
                                      <w:w w:val="115"/>
                                      <w:sz w:val="15"/>
                                    </w:rPr>
                                    <w:t>RECOMMENDED</w:t>
                                  </w:r>
                                  <w:r>
                                    <w:rPr>
                                      <w:b/>
                                      <w:color w:val="231F20"/>
                                      <w:spacing w:val="10"/>
                                      <w:w w:val="115"/>
                                      <w:sz w:val="15"/>
                                    </w:rPr>
                                    <w:t> </w:t>
                                  </w:r>
                                  <w:r>
                                    <w:rPr>
                                      <w:b/>
                                      <w:color w:val="231F20"/>
                                      <w:spacing w:val="-2"/>
                                      <w:w w:val="115"/>
                                      <w:sz w:val="15"/>
                                    </w:rPr>
                                    <w:t>DAILY</w:t>
                                  </w:r>
                                </w:p>
                                <w:p>
                                  <w:pPr>
                                    <w:pStyle w:val="TableParagraph"/>
                                    <w:tabs>
                                      <w:tab w:pos="1692" w:val="left" w:leader="none"/>
                                      <w:tab w:pos="3384" w:val="left" w:leader="none"/>
                                    </w:tabs>
                                    <w:spacing w:line="171" w:lineRule="exact"/>
                                    <w:ind w:left="74"/>
                                    <w:rPr>
                                      <w:b/>
                                      <w:sz w:val="15"/>
                                    </w:rPr>
                                  </w:pPr>
                                  <w:r>
                                    <w:rPr>
                                      <w:b/>
                                      <w:color w:val="231F20"/>
                                      <w:spacing w:val="-2"/>
                                      <w:w w:val="110"/>
                                      <w:sz w:val="15"/>
                                    </w:rPr>
                                    <w:t>NUTRIENT</w:t>
                                  </w:r>
                                  <w:r>
                                    <w:rPr>
                                      <w:b/>
                                      <w:color w:val="231F20"/>
                                      <w:sz w:val="15"/>
                                    </w:rPr>
                                    <w:tab/>
                                  </w:r>
                                  <w:r>
                                    <w:rPr>
                                      <w:b/>
                                      <w:color w:val="231F20"/>
                                      <w:spacing w:val="-2"/>
                                      <w:w w:val="110"/>
                                      <w:sz w:val="15"/>
                                    </w:rPr>
                                    <w:t>CALORIES</w:t>
                                  </w:r>
                                  <w:r>
                                    <w:rPr>
                                      <w:b/>
                                      <w:color w:val="231F20"/>
                                      <w:sz w:val="15"/>
                                    </w:rPr>
                                    <w:tab/>
                                  </w:r>
                                  <w:r>
                                    <w:rPr>
                                      <w:b/>
                                      <w:color w:val="231F20"/>
                                      <w:spacing w:val="-2"/>
                                      <w:w w:val="110"/>
                                      <w:sz w:val="15"/>
                                    </w:rPr>
                                    <w:t>INTAKE</w:t>
                                  </w:r>
                                </w:p>
                              </w:tc>
                            </w:tr>
                            <w:tr>
                              <w:trPr>
                                <w:trHeight w:val="2459" w:hRule="atLeast"/>
                              </w:trPr>
                              <w:tc>
                                <w:tcPr>
                                  <w:tcW w:w="4703" w:type="dxa"/>
                                  <w:gridSpan w:val="2"/>
                                  <w:tcBorders>
                                    <w:top w:val="single" w:sz="4" w:space="0" w:color="231F20"/>
                                    <w:bottom w:val="single" w:sz="4" w:space="0" w:color="FFFFFF"/>
                                  </w:tcBorders>
                                  <w:shd w:val="clear" w:color="auto" w:fill="E8F5F1"/>
                                </w:tcPr>
                                <w:p>
                                  <w:pPr>
                                    <w:pStyle w:val="TableParagraph"/>
                                    <w:tabs>
                                      <w:tab w:pos="1567" w:val="left" w:leader="none"/>
                                      <w:tab w:pos="2705" w:val="left" w:leader="none"/>
                                    </w:tabs>
                                    <w:spacing w:line="171" w:lineRule="exact" w:before="47"/>
                                    <w:ind w:left="74"/>
                                    <w:rPr>
                                      <w:sz w:val="15"/>
                                    </w:rPr>
                                  </w:pPr>
                                  <w:r>
                                    <w:rPr>
                                      <w:color w:val="231F20"/>
                                      <w:spacing w:val="-2"/>
                                      <w:sz w:val="15"/>
                                    </w:rPr>
                                    <w:t>Carbohydrate</w:t>
                                  </w:r>
                                  <w:r>
                                    <w:rPr>
                                      <w:color w:val="231F20"/>
                                      <w:sz w:val="15"/>
                                    </w:rPr>
                                    <w:tab/>
                                  </w:r>
                                  <w:r>
                                    <w:rPr>
                                      <w:color w:val="231F20"/>
                                      <w:spacing w:val="-2"/>
                                      <w:sz w:val="15"/>
                                    </w:rPr>
                                    <w:t>Will</w:t>
                                  </w:r>
                                  <w:r>
                                    <w:rPr>
                                      <w:color w:val="231F20"/>
                                      <w:spacing w:val="-4"/>
                                      <w:sz w:val="15"/>
                                    </w:rPr>
                                    <w:t> vary</w:t>
                                  </w:r>
                                  <w:r>
                                    <w:rPr>
                                      <w:color w:val="231F20"/>
                                      <w:sz w:val="15"/>
                                    </w:rPr>
                                    <w:tab/>
                                  </w:r>
                                  <w:r>
                                    <w:rPr>
                                      <w:color w:val="231F20"/>
                                      <w:spacing w:val="-2"/>
                                      <w:sz w:val="15"/>
                                    </w:rPr>
                                    <w:t>High</w:t>
                                  </w:r>
                                  <w:r>
                                    <w:rPr>
                                      <w:color w:val="231F20"/>
                                      <w:sz w:val="15"/>
                                    </w:rPr>
                                    <w:t> </w:t>
                                  </w:r>
                                  <w:r>
                                    <w:rPr>
                                      <w:color w:val="231F20"/>
                                      <w:spacing w:val="-2"/>
                                      <w:sz w:val="15"/>
                                    </w:rPr>
                                    <w:t>fiber,</w:t>
                                  </w:r>
                                  <w:r>
                                    <w:rPr>
                                      <w:color w:val="231F20"/>
                                      <w:sz w:val="15"/>
                                    </w:rPr>
                                    <w:t> </w:t>
                                  </w:r>
                                  <w:r>
                                    <w:rPr>
                                      <w:color w:val="231F20"/>
                                      <w:spacing w:val="-2"/>
                                      <w:sz w:val="15"/>
                                    </w:rPr>
                                    <w:t>especially</w:t>
                                  </w:r>
                                  <w:r>
                                    <w:rPr>
                                      <w:color w:val="231F20"/>
                                      <w:sz w:val="15"/>
                                    </w:rPr>
                                    <w:t> </w:t>
                                  </w:r>
                                  <w:r>
                                    <w:rPr>
                                      <w:color w:val="231F20"/>
                                      <w:spacing w:val="-2"/>
                                      <w:sz w:val="15"/>
                                    </w:rPr>
                                    <w:t>soluble</w:t>
                                  </w:r>
                                </w:p>
                                <w:p>
                                  <w:pPr>
                                    <w:pStyle w:val="TableParagraph"/>
                                    <w:spacing w:line="230" w:lineRule="auto" w:before="2"/>
                                    <w:ind w:left="2817" w:right="434"/>
                                    <w:rPr>
                                      <w:sz w:val="15"/>
                                    </w:rPr>
                                  </w:pPr>
                                  <w:r>
                                    <w:rPr>
                                      <w:color w:val="231F20"/>
                                      <w:spacing w:val="-2"/>
                                      <w:sz w:val="15"/>
                                    </w:rPr>
                                    <w:t>fiber;</w:t>
                                  </w:r>
                                  <w:r>
                                    <w:rPr>
                                      <w:color w:val="231F20"/>
                                      <w:spacing w:val="-10"/>
                                      <w:sz w:val="15"/>
                                    </w:rPr>
                                    <w:t> </w:t>
                                  </w:r>
                                  <w:r>
                                    <w:rPr>
                                      <w:color w:val="231F20"/>
                                      <w:spacing w:val="-2"/>
                                      <w:sz w:val="15"/>
                                    </w:rPr>
                                    <w:t>optimal</w:t>
                                  </w:r>
                                  <w:r>
                                    <w:rPr>
                                      <w:color w:val="231F20"/>
                                      <w:spacing w:val="-9"/>
                                      <w:sz w:val="15"/>
                                    </w:rPr>
                                    <w:t> </w:t>
                                  </w:r>
                                  <w:r>
                                    <w:rPr>
                                      <w:color w:val="231F20"/>
                                      <w:spacing w:val="-2"/>
                                      <w:sz w:val="15"/>
                                    </w:rPr>
                                    <w:t>amount unknown</w:t>
                                  </w:r>
                                </w:p>
                                <w:p>
                                  <w:pPr>
                                    <w:pStyle w:val="TableParagraph"/>
                                    <w:tabs>
                                      <w:tab w:pos="1567" w:val="left" w:leader="none"/>
                                    </w:tabs>
                                    <w:spacing w:line="171" w:lineRule="exact"/>
                                    <w:ind w:left="74"/>
                                    <w:rPr>
                                      <w:sz w:val="15"/>
                                    </w:rPr>
                                  </w:pPr>
                                  <w:r>
                                    <w:rPr>
                                      <w:color w:val="231F20"/>
                                      <w:spacing w:val="-2"/>
                                      <w:sz w:val="15"/>
                                    </w:rPr>
                                    <w:t>Fiber</w:t>
                                  </w:r>
                                  <w:r>
                                    <w:rPr>
                                      <w:color w:val="231F20"/>
                                      <w:sz w:val="15"/>
                                    </w:rPr>
                                    <w:tab/>
                                  </w:r>
                                  <w:r>
                                    <w:rPr>
                                      <w:rFonts w:ascii="Cambria"/>
                                      <w:color w:val="231F20"/>
                                      <w:sz w:val="15"/>
                                    </w:rPr>
                                    <w:t>&gt;</w:t>
                                  </w:r>
                                  <w:r>
                                    <w:rPr>
                                      <w:color w:val="231F20"/>
                                      <w:sz w:val="15"/>
                                    </w:rPr>
                                    <w:t>20</w:t>
                                  </w:r>
                                  <w:r>
                                    <w:rPr>
                                      <w:color w:val="231F20"/>
                                      <w:spacing w:val="-4"/>
                                      <w:sz w:val="15"/>
                                    </w:rPr>
                                    <w:t> </w:t>
                                  </w:r>
                                  <w:r>
                                    <w:rPr>
                                      <w:color w:val="231F20"/>
                                      <w:spacing w:val="-2"/>
                                      <w:sz w:val="15"/>
                                    </w:rPr>
                                    <w:t>g/day</w:t>
                                  </w:r>
                                </w:p>
                                <w:p>
                                  <w:pPr>
                                    <w:pStyle w:val="TableParagraph"/>
                                    <w:tabs>
                                      <w:tab w:pos="1927" w:val="right" w:leader="none"/>
                                    </w:tabs>
                                    <w:spacing w:line="170" w:lineRule="exact"/>
                                    <w:ind w:left="74"/>
                                    <w:rPr>
                                      <w:sz w:val="15"/>
                                    </w:rPr>
                                  </w:pPr>
                                  <w:r>
                                    <w:rPr>
                                      <w:color w:val="231F20"/>
                                      <w:spacing w:val="-2"/>
                                      <w:sz w:val="15"/>
                                    </w:rPr>
                                    <w:t>Protein</w:t>
                                  </w:r>
                                  <w:r>
                                    <w:rPr>
                                      <w:color w:val="231F20"/>
                                      <w:sz w:val="15"/>
                                    </w:rPr>
                                    <w:tab/>
                                  </w:r>
                                  <w:r>
                                    <w:rPr>
                                      <w:color w:val="231F20"/>
                                      <w:spacing w:val="-5"/>
                                      <w:sz w:val="15"/>
                                    </w:rPr>
                                    <w:t>12-</w:t>
                                  </w:r>
                                  <w:r>
                                    <w:rPr>
                                      <w:color w:val="231F20"/>
                                      <w:spacing w:val="-4"/>
                                      <w:sz w:val="15"/>
                                    </w:rPr>
                                    <w:t>20</w:t>
                                  </w:r>
                                </w:p>
                                <w:p>
                                  <w:pPr>
                                    <w:pStyle w:val="TableParagraph"/>
                                    <w:tabs>
                                      <w:tab w:pos="1567" w:val="left" w:leader="none"/>
                                    </w:tabs>
                                    <w:spacing w:line="172" w:lineRule="exact"/>
                                    <w:ind w:left="74"/>
                                    <w:rPr>
                                      <w:sz w:val="15"/>
                                    </w:rPr>
                                  </w:pPr>
                                  <w:r>
                                    <w:rPr>
                                      <w:color w:val="231F20"/>
                                      <w:spacing w:val="-5"/>
                                      <w:sz w:val="15"/>
                                    </w:rPr>
                                    <w:t>Fat</w:t>
                                  </w:r>
                                  <w:r>
                                    <w:rPr>
                                      <w:color w:val="231F20"/>
                                      <w:sz w:val="15"/>
                                    </w:rPr>
                                    <w:tab/>
                                  </w:r>
                                  <w:r>
                                    <w:rPr>
                                      <w:rFonts w:ascii="Cambria"/>
                                      <w:color w:val="231F20"/>
                                      <w:spacing w:val="-5"/>
                                      <w:sz w:val="15"/>
                                    </w:rPr>
                                    <w:t>&lt;</w:t>
                                  </w:r>
                                  <w:r>
                                    <w:rPr>
                                      <w:color w:val="231F20"/>
                                      <w:spacing w:val="-5"/>
                                      <w:sz w:val="15"/>
                                    </w:rPr>
                                    <w:t>30</w:t>
                                  </w:r>
                                </w:p>
                                <w:p>
                                  <w:pPr>
                                    <w:pStyle w:val="TableParagraph"/>
                                    <w:tabs>
                                      <w:tab w:pos="1567" w:val="left" w:leader="none"/>
                                    </w:tabs>
                                    <w:spacing w:line="171" w:lineRule="exact"/>
                                    <w:ind w:left="223"/>
                                    <w:rPr>
                                      <w:sz w:val="15"/>
                                    </w:rPr>
                                  </w:pPr>
                                  <w:r>
                                    <w:rPr>
                                      <w:color w:val="231F20"/>
                                      <w:spacing w:val="-2"/>
                                      <w:sz w:val="15"/>
                                    </w:rPr>
                                    <w:t>Saturated</w:t>
                                  </w:r>
                                  <w:r>
                                    <w:rPr>
                                      <w:color w:val="231F20"/>
                                      <w:sz w:val="15"/>
                                    </w:rPr>
                                    <w:tab/>
                                  </w:r>
                                  <w:r>
                                    <w:rPr>
                                      <w:rFonts w:ascii="Cambria"/>
                                      <w:color w:val="231F20"/>
                                      <w:spacing w:val="-5"/>
                                      <w:sz w:val="15"/>
                                    </w:rPr>
                                    <w:t>&lt;</w:t>
                                  </w:r>
                                  <w:r>
                                    <w:rPr>
                                      <w:color w:val="231F20"/>
                                      <w:spacing w:val="-5"/>
                                      <w:sz w:val="15"/>
                                    </w:rPr>
                                    <w:t>10</w:t>
                                  </w:r>
                                </w:p>
                                <w:p>
                                  <w:pPr>
                                    <w:pStyle w:val="TableParagraph"/>
                                    <w:tabs>
                                      <w:tab w:pos="1772" w:val="right" w:leader="none"/>
                                    </w:tabs>
                                    <w:spacing w:line="169" w:lineRule="exact"/>
                                    <w:ind w:left="223"/>
                                    <w:rPr>
                                      <w:sz w:val="15"/>
                                    </w:rPr>
                                  </w:pPr>
                                  <w:r>
                                    <w:rPr>
                                      <w:color w:val="231F20"/>
                                      <w:spacing w:val="-2"/>
                                      <w:sz w:val="15"/>
                                    </w:rPr>
                                    <w:t>Polyunsaturated</w:t>
                                  </w:r>
                                  <w:r>
                                    <w:rPr>
                                      <w:color w:val="231F20"/>
                                      <w:sz w:val="15"/>
                                    </w:rPr>
                                    <w:tab/>
                                  </w:r>
                                  <w:r>
                                    <w:rPr>
                                      <w:color w:val="231F20"/>
                                      <w:spacing w:val="-5"/>
                                      <w:sz w:val="15"/>
                                    </w:rPr>
                                    <w:t>6-8</w:t>
                                  </w:r>
                                </w:p>
                                <w:p>
                                  <w:pPr>
                                    <w:pStyle w:val="TableParagraph"/>
                                    <w:spacing w:line="169" w:lineRule="exact"/>
                                    <w:ind w:left="223"/>
                                    <w:rPr>
                                      <w:sz w:val="15"/>
                                    </w:rPr>
                                  </w:pPr>
                                  <w:r>
                                    <w:rPr>
                                      <w:color w:val="231F20"/>
                                      <w:sz w:val="15"/>
                                    </w:rPr>
                                    <w:t>Monounsaturated</w:t>
                                  </w:r>
                                  <w:r>
                                    <w:rPr>
                                      <w:color w:val="231F20"/>
                                      <w:spacing w:val="40"/>
                                      <w:sz w:val="15"/>
                                    </w:rPr>
                                    <w:t>  </w:t>
                                  </w:r>
                                  <w:r>
                                    <w:rPr>
                                      <w:color w:val="231F20"/>
                                      <w:sz w:val="15"/>
                                    </w:rPr>
                                    <w:t>Remainder</w:t>
                                  </w:r>
                                  <w:r>
                                    <w:rPr>
                                      <w:color w:val="231F20"/>
                                      <w:spacing w:val="4"/>
                                      <w:sz w:val="15"/>
                                    </w:rPr>
                                    <w:t> </w:t>
                                  </w:r>
                                  <w:r>
                                    <w:rPr>
                                      <w:color w:val="231F20"/>
                                      <w:spacing w:val="-5"/>
                                      <w:sz w:val="15"/>
                                    </w:rPr>
                                    <w:t>of</w:t>
                                  </w:r>
                                </w:p>
                                <w:p>
                                  <w:pPr>
                                    <w:pStyle w:val="TableParagraph"/>
                                    <w:spacing w:line="169" w:lineRule="exact"/>
                                    <w:ind w:left="1679"/>
                                    <w:rPr>
                                      <w:sz w:val="15"/>
                                    </w:rPr>
                                  </w:pPr>
                                  <w:r>
                                    <w:rPr>
                                      <w:color w:val="231F20"/>
                                      <w:w w:val="90"/>
                                      <w:sz w:val="15"/>
                                    </w:rPr>
                                    <w:t>fat</w:t>
                                  </w:r>
                                  <w:r>
                                    <w:rPr>
                                      <w:color w:val="231F20"/>
                                      <w:spacing w:val="-3"/>
                                      <w:sz w:val="15"/>
                                    </w:rPr>
                                    <w:t> </w:t>
                                  </w:r>
                                  <w:r>
                                    <w:rPr>
                                      <w:color w:val="231F20"/>
                                      <w:spacing w:val="-2"/>
                                      <w:sz w:val="15"/>
                                    </w:rPr>
                                    <w:t>allowance</w:t>
                                  </w:r>
                                </w:p>
                                <w:p>
                                  <w:pPr>
                                    <w:pStyle w:val="TableParagraph"/>
                                    <w:tabs>
                                      <w:tab w:pos="2705" w:val="left" w:leader="none"/>
                                    </w:tabs>
                                    <w:spacing w:line="169" w:lineRule="exact"/>
                                    <w:ind w:left="74"/>
                                    <w:rPr>
                                      <w:sz w:val="15"/>
                                    </w:rPr>
                                  </w:pPr>
                                  <w:r>
                                    <w:rPr>
                                      <w:color w:val="231F20"/>
                                      <w:spacing w:val="-2"/>
                                      <w:sz w:val="15"/>
                                    </w:rPr>
                                    <w:t>Cholesterol</w:t>
                                  </w:r>
                                  <w:r>
                                    <w:rPr>
                                      <w:color w:val="231F20"/>
                                      <w:sz w:val="15"/>
                                    </w:rPr>
                                    <w:tab/>
                                    <w:t>300</w:t>
                                  </w:r>
                                  <w:r>
                                    <w:rPr>
                                      <w:color w:val="231F20"/>
                                      <w:spacing w:val="-4"/>
                                      <w:sz w:val="15"/>
                                    </w:rPr>
                                    <w:t> </w:t>
                                  </w:r>
                                  <w:r>
                                    <w:rPr>
                                      <w:color w:val="231F20"/>
                                      <w:spacing w:val="-5"/>
                                      <w:sz w:val="15"/>
                                    </w:rPr>
                                    <w:t>mg</w:t>
                                  </w:r>
                                </w:p>
                                <w:p>
                                  <w:pPr>
                                    <w:pStyle w:val="TableParagraph"/>
                                    <w:tabs>
                                      <w:tab w:pos="2705" w:val="left" w:leader="none"/>
                                    </w:tabs>
                                    <w:spacing w:line="169" w:lineRule="exact"/>
                                    <w:ind w:left="74"/>
                                    <w:rPr>
                                      <w:sz w:val="15"/>
                                    </w:rPr>
                                  </w:pPr>
                                  <w:r>
                                    <w:rPr>
                                      <w:color w:val="231F20"/>
                                      <w:spacing w:val="-2"/>
                                      <w:sz w:val="15"/>
                                    </w:rPr>
                                    <w:t>Sodium</w:t>
                                  </w:r>
                                  <w:r>
                                    <w:rPr>
                                      <w:color w:val="231F20"/>
                                      <w:sz w:val="15"/>
                                    </w:rPr>
                                    <w:tab/>
                                  </w:r>
                                  <w:r>
                                    <w:rPr>
                                      <w:color w:val="231F20"/>
                                      <w:spacing w:val="-2"/>
                                      <w:sz w:val="15"/>
                                    </w:rPr>
                                    <w:t>Avoid</w:t>
                                  </w:r>
                                  <w:r>
                                    <w:rPr>
                                      <w:color w:val="231F20"/>
                                      <w:spacing w:val="-1"/>
                                      <w:sz w:val="15"/>
                                    </w:rPr>
                                    <w:t> </w:t>
                                  </w:r>
                                  <w:r>
                                    <w:rPr>
                                      <w:color w:val="231F20"/>
                                      <w:spacing w:val="-2"/>
                                      <w:sz w:val="15"/>
                                    </w:rPr>
                                    <w:t>excessive;</w:t>
                                  </w:r>
                                  <w:r>
                                    <w:rPr>
                                      <w:color w:val="231F20"/>
                                      <w:sz w:val="15"/>
                                    </w:rPr>
                                    <w:t> </w:t>
                                  </w:r>
                                  <w:r>
                                    <w:rPr>
                                      <w:color w:val="231F20"/>
                                      <w:spacing w:val="-2"/>
                                      <w:sz w:val="15"/>
                                    </w:rPr>
                                    <w:t>limit</w:t>
                                  </w:r>
                                  <w:r>
                                    <w:rPr>
                                      <w:color w:val="231F20"/>
                                      <w:spacing w:val="-1"/>
                                      <w:sz w:val="15"/>
                                    </w:rPr>
                                    <w:t> </w:t>
                                  </w:r>
                                  <w:r>
                                    <w:rPr>
                                      <w:color w:val="231F20"/>
                                      <w:spacing w:val="-5"/>
                                      <w:sz w:val="15"/>
                                    </w:rPr>
                                    <w:t>to</w:t>
                                  </w:r>
                                </w:p>
                                <w:p>
                                  <w:pPr>
                                    <w:pStyle w:val="TableParagraph"/>
                                    <w:spacing w:line="168" w:lineRule="exact"/>
                                    <w:ind w:left="2817"/>
                                    <w:rPr>
                                      <w:sz w:val="15"/>
                                    </w:rPr>
                                  </w:pPr>
                                  <w:r>
                                    <w:rPr>
                                      <w:color w:val="231F20"/>
                                      <w:spacing w:val="-2"/>
                                      <w:sz w:val="15"/>
                                    </w:rPr>
                                    <w:t>3,000-4,000</w:t>
                                  </w:r>
                                  <w:r>
                                    <w:rPr>
                                      <w:color w:val="231F20"/>
                                      <w:spacing w:val="-1"/>
                                      <w:sz w:val="15"/>
                                    </w:rPr>
                                    <w:t> </w:t>
                                  </w:r>
                                  <w:r>
                                    <w:rPr>
                                      <w:color w:val="231F20"/>
                                      <w:spacing w:val="-2"/>
                                      <w:sz w:val="15"/>
                                    </w:rPr>
                                    <w:t>mg</w:t>
                                  </w:r>
                                  <w:r>
                                    <w:rPr>
                                      <w:color w:val="231F20"/>
                                      <w:spacing w:val="-1"/>
                                      <w:sz w:val="15"/>
                                    </w:rPr>
                                    <w:t> </w:t>
                                  </w:r>
                                  <w:r>
                                    <w:rPr>
                                      <w:color w:val="231F20"/>
                                      <w:spacing w:val="-5"/>
                                      <w:sz w:val="15"/>
                                    </w:rPr>
                                    <w:t>if</w:t>
                                  </w:r>
                                </w:p>
                                <w:p>
                                  <w:pPr>
                                    <w:pStyle w:val="TableParagraph"/>
                                    <w:spacing w:line="171" w:lineRule="exact"/>
                                    <w:ind w:left="2817"/>
                                    <w:rPr>
                                      <w:sz w:val="15"/>
                                    </w:rPr>
                                  </w:pPr>
                                  <w:r>
                                    <w:rPr>
                                      <w:color w:val="231F20"/>
                                      <w:spacing w:val="-2"/>
                                      <w:sz w:val="15"/>
                                    </w:rPr>
                                    <w:t>hypertensive</w:t>
                                  </w:r>
                                </w:p>
                              </w:tc>
                            </w:tr>
                            <w:tr>
                              <w:trPr>
                                <w:trHeight w:val="4299"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w w:val="115"/>
                                      <w:sz w:val="15"/>
                                    </w:rPr>
                                    <w:t>ADDITIONAL</w:t>
                                  </w:r>
                                  <w:r>
                                    <w:rPr>
                                      <w:color w:val="231F20"/>
                                      <w:spacing w:val="-11"/>
                                      <w:w w:val="115"/>
                                      <w:sz w:val="15"/>
                                    </w:rPr>
                                    <w:t> </w:t>
                                  </w:r>
                                  <w:r>
                                    <w:rPr>
                                      <w:color w:val="231F20"/>
                                      <w:spacing w:val="-2"/>
                                      <w:w w:val="115"/>
                                      <w:sz w:val="15"/>
                                    </w:rPr>
                                    <w:t>RECOMMENDATIONS</w:t>
                                  </w:r>
                                </w:p>
                                <w:p>
                                  <w:pPr>
                                    <w:pStyle w:val="TableParagraph"/>
                                    <w:spacing w:line="230" w:lineRule="auto" w:before="19"/>
                                    <w:ind w:left="186" w:right="108" w:hanging="112"/>
                                    <w:rPr>
                                      <w:sz w:val="15"/>
                                    </w:rPr>
                                  </w:pPr>
                                  <w:r>
                                    <w:rPr>
                                      <w:i/>
                                      <w:color w:val="231F20"/>
                                      <w:sz w:val="15"/>
                                    </w:rPr>
                                    <w:t>Energy:</w:t>
                                  </w:r>
                                  <w:r>
                                    <w:rPr>
                                      <w:i/>
                                      <w:color w:val="231F20"/>
                                      <w:spacing w:val="-12"/>
                                      <w:sz w:val="15"/>
                                    </w:rPr>
                                    <w:t> </w:t>
                                  </w:r>
                                  <w:r>
                                    <w:rPr>
                                      <w:color w:val="231F20"/>
                                      <w:sz w:val="15"/>
                                    </w:rPr>
                                    <w:t>If</w:t>
                                  </w:r>
                                  <w:r>
                                    <w:rPr>
                                      <w:color w:val="231F20"/>
                                      <w:spacing w:val="-11"/>
                                      <w:sz w:val="15"/>
                                    </w:rPr>
                                    <w:t> </w:t>
                                  </w:r>
                                  <w:r>
                                    <w:rPr>
                                      <w:color w:val="231F20"/>
                                      <w:sz w:val="15"/>
                                    </w:rPr>
                                    <w:t>using</w:t>
                                  </w:r>
                                  <w:r>
                                    <w:rPr>
                                      <w:color w:val="231F20"/>
                                      <w:spacing w:val="-11"/>
                                      <w:sz w:val="15"/>
                                    </w:rPr>
                                    <w:t> </w:t>
                                  </w:r>
                                  <w:r>
                                    <w:rPr>
                                      <w:color w:val="231F20"/>
                                      <w:sz w:val="15"/>
                                    </w:rPr>
                                    <w:t>measured</w:t>
                                  </w:r>
                                  <w:r>
                                    <w:rPr>
                                      <w:color w:val="231F20"/>
                                      <w:spacing w:val="-12"/>
                                      <w:sz w:val="15"/>
                                    </w:rPr>
                                    <w:t> </w:t>
                                  </w:r>
                                  <w:r>
                                    <w:rPr>
                                      <w:color w:val="231F20"/>
                                      <w:sz w:val="15"/>
                                    </w:rPr>
                                    <w:t>diet,</w:t>
                                  </w:r>
                                  <w:r>
                                    <w:rPr>
                                      <w:color w:val="231F20"/>
                                      <w:spacing w:val="-11"/>
                                      <w:sz w:val="15"/>
                                    </w:rPr>
                                    <w:t> </w:t>
                                  </w:r>
                                  <w:r>
                                    <w:rPr>
                                      <w:color w:val="231F20"/>
                                      <w:sz w:val="15"/>
                                    </w:rPr>
                                    <w:t>reevaluate</w:t>
                                  </w:r>
                                  <w:r>
                                    <w:rPr>
                                      <w:color w:val="231F20"/>
                                      <w:spacing w:val="-11"/>
                                      <w:sz w:val="15"/>
                                    </w:rPr>
                                    <w:t> </w:t>
                                  </w:r>
                                  <w:r>
                                    <w:rPr>
                                      <w:color w:val="231F20"/>
                                      <w:sz w:val="15"/>
                                    </w:rPr>
                                    <w:t>prescribed</w:t>
                                  </w:r>
                                  <w:r>
                                    <w:rPr>
                                      <w:color w:val="231F20"/>
                                      <w:spacing w:val="-12"/>
                                      <w:sz w:val="15"/>
                                    </w:rPr>
                                    <w:t> </w:t>
                                  </w:r>
                                  <w:r>
                                    <w:rPr>
                                      <w:color w:val="231F20"/>
                                      <w:sz w:val="15"/>
                                    </w:rPr>
                                    <w:t>energy</w:t>
                                  </w:r>
                                  <w:r>
                                    <w:rPr>
                                      <w:color w:val="231F20"/>
                                      <w:spacing w:val="-11"/>
                                      <w:sz w:val="15"/>
                                    </w:rPr>
                                    <w:t> </w:t>
                                  </w:r>
                                  <w:r>
                                    <w:rPr>
                                      <w:color w:val="231F20"/>
                                      <w:sz w:val="15"/>
                                    </w:rPr>
                                    <w:t>level at least every 3 mo.</w:t>
                                  </w:r>
                                </w:p>
                                <w:p>
                                  <w:pPr>
                                    <w:pStyle w:val="TableParagraph"/>
                                    <w:spacing w:line="230" w:lineRule="auto" w:before="2"/>
                                    <w:ind w:left="186" w:right="73" w:hanging="112"/>
                                    <w:rPr>
                                      <w:sz w:val="15"/>
                                    </w:rPr>
                                  </w:pPr>
                                  <w:r>
                                    <w:rPr>
                                      <w:i/>
                                      <w:color w:val="231F20"/>
                                      <w:sz w:val="15"/>
                                    </w:rPr>
                                    <w:t>Protein: </w:t>
                                  </w:r>
                                  <w:r>
                                    <w:rPr>
                                      <w:color w:val="231F20"/>
                                      <w:sz w:val="15"/>
                                    </w:rPr>
                                    <w:t>High-protein intakes may contribute to diabetic nephropathy. Low intakes may reverse preclinical nephropathy. Therefore,</w:t>
                                  </w:r>
                                  <w:r>
                                    <w:rPr>
                                      <w:color w:val="231F20"/>
                                      <w:spacing w:val="-4"/>
                                      <w:sz w:val="15"/>
                                    </w:rPr>
                                    <w:t> </w:t>
                                  </w:r>
                                  <w:r>
                                    <w:rPr>
                                      <w:color w:val="231F20"/>
                                      <w:sz w:val="15"/>
                                    </w:rPr>
                                    <w:t>12-20%</w:t>
                                  </w:r>
                                  <w:r>
                                    <w:rPr>
                                      <w:color w:val="231F20"/>
                                      <w:spacing w:val="-4"/>
                                      <w:sz w:val="15"/>
                                    </w:rPr>
                                    <w:t> </w:t>
                                  </w:r>
                                  <w:r>
                                    <w:rPr>
                                      <w:color w:val="231F20"/>
                                      <w:sz w:val="15"/>
                                    </w:rPr>
                                    <w:t>of</w:t>
                                  </w:r>
                                  <w:r>
                                    <w:rPr>
                                      <w:color w:val="231F20"/>
                                      <w:spacing w:val="-4"/>
                                      <w:sz w:val="15"/>
                                    </w:rPr>
                                    <w:t> </w:t>
                                  </w:r>
                                  <w:r>
                                    <w:rPr>
                                      <w:color w:val="231F20"/>
                                      <w:sz w:val="15"/>
                                    </w:rPr>
                                    <w:t>energy</w:t>
                                  </w:r>
                                  <w:r>
                                    <w:rPr>
                                      <w:color w:val="231F20"/>
                                      <w:spacing w:val="-4"/>
                                      <w:sz w:val="15"/>
                                    </w:rPr>
                                    <w:t> </w:t>
                                  </w:r>
                                  <w:r>
                                    <w:rPr>
                                      <w:color w:val="231F20"/>
                                      <w:sz w:val="15"/>
                                    </w:rPr>
                                    <w:t>is</w:t>
                                  </w:r>
                                  <w:r>
                                    <w:rPr>
                                      <w:color w:val="231F20"/>
                                      <w:spacing w:val="-4"/>
                                      <w:sz w:val="15"/>
                                    </w:rPr>
                                    <w:t> </w:t>
                                  </w:r>
                                  <w:r>
                                    <w:rPr>
                                      <w:color w:val="231F20"/>
                                      <w:sz w:val="15"/>
                                    </w:rPr>
                                    <w:t>recommended;</w:t>
                                  </w:r>
                                  <w:r>
                                    <w:rPr>
                                      <w:color w:val="231F20"/>
                                      <w:spacing w:val="-4"/>
                                      <w:sz w:val="15"/>
                                    </w:rPr>
                                    <w:t> </w:t>
                                  </w:r>
                                  <w:r>
                                    <w:rPr>
                                      <w:color w:val="231F20"/>
                                      <w:sz w:val="15"/>
                                    </w:rPr>
                                    <w:t>lower</w:t>
                                  </w:r>
                                  <w:r>
                                    <w:rPr>
                                      <w:color w:val="231F20"/>
                                      <w:spacing w:val="-4"/>
                                      <w:sz w:val="15"/>
                                    </w:rPr>
                                    <w:t> </w:t>
                                  </w:r>
                                  <w:r>
                                    <w:rPr>
                                      <w:color w:val="231F20"/>
                                      <w:sz w:val="15"/>
                                    </w:rPr>
                                    <w:t>end</w:t>
                                  </w:r>
                                  <w:r>
                                    <w:rPr>
                                      <w:color w:val="231F20"/>
                                      <w:spacing w:val="-4"/>
                                      <w:sz w:val="15"/>
                                    </w:rPr>
                                    <w:t> </w:t>
                                  </w:r>
                                  <w:r>
                                    <w:rPr>
                                      <w:color w:val="231F20"/>
                                      <w:sz w:val="15"/>
                                    </w:rPr>
                                    <w:t>of</w:t>
                                  </w:r>
                                  <w:r>
                                    <w:rPr>
                                      <w:color w:val="231F20"/>
                                      <w:spacing w:val="-4"/>
                                      <w:sz w:val="15"/>
                                    </w:rPr>
                                    <w:t> </w:t>
                                  </w:r>
                                  <w:r>
                                    <w:rPr>
                                      <w:color w:val="231F20"/>
                                      <w:sz w:val="15"/>
                                    </w:rPr>
                                    <w:t>range is preferred. In guiding toward the end of the range, a staged approach is useful.</w:t>
                                  </w:r>
                                </w:p>
                                <w:p>
                                  <w:pPr>
                                    <w:pStyle w:val="TableParagraph"/>
                                    <w:spacing w:line="230" w:lineRule="auto" w:before="4"/>
                                    <w:ind w:left="186" w:right="108" w:hanging="112"/>
                                    <w:rPr>
                                      <w:sz w:val="15"/>
                                    </w:rPr>
                                  </w:pPr>
                                  <w:r>
                                    <w:rPr>
                                      <w:i/>
                                      <w:color w:val="231F20"/>
                                      <w:sz w:val="15"/>
                                    </w:rPr>
                                    <w:t>Alcohol: </w:t>
                                  </w:r>
                                  <w:r>
                                    <w:rPr>
                                      <w:color w:val="231F20"/>
                                      <w:sz w:val="15"/>
                                    </w:rPr>
                                    <w:t>Safe use of moderate alcohol consumption should be taught</w:t>
                                  </w:r>
                                  <w:r>
                                    <w:rPr>
                                      <w:color w:val="231F20"/>
                                      <w:spacing w:val="-11"/>
                                      <w:sz w:val="15"/>
                                    </w:rPr>
                                    <w:t> </w:t>
                                  </w:r>
                                  <w:r>
                                    <w:rPr>
                                      <w:color w:val="231F20"/>
                                      <w:sz w:val="15"/>
                                    </w:rPr>
                                    <w:t>as</w:t>
                                  </w:r>
                                  <w:r>
                                    <w:rPr>
                                      <w:color w:val="231F20"/>
                                      <w:spacing w:val="-11"/>
                                      <w:sz w:val="15"/>
                                    </w:rPr>
                                    <w:t> </w:t>
                                  </w:r>
                                  <w:r>
                                    <w:rPr>
                                      <w:color w:val="231F20"/>
                                      <w:sz w:val="15"/>
                                    </w:rPr>
                                    <w:t>routine</w:t>
                                  </w:r>
                                  <w:r>
                                    <w:rPr>
                                      <w:color w:val="231F20"/>
                                      <w:spacing w:val="-11"/>
                                      <w:sz w:val="15"/>
                                    </w:rPr>
                                    <w:t> </w:t>
                                  </w:r>
                                  <w:r>
                                    <w:rPr>
                                      <w:color w:val="231F20"/>
                                      <w:sz w:val="15"/>
                                    </w:rPr>
                                    <w:t>anticipatory</w:t>
                                  </w:r>
                                  <w:r>
                                    <w:rPr>
                                      <w:color w:val="231F20"/>
                                      <w:spacing w:val="-11"/>
                                      <w:sz w:val="15"/>
                                    </w:rPr>
                                    <w:t> </w:t>
                                  </w:r>
                                  <w:r>
                                    <w:rPr>
                                      <w:color w:val="231F20"/>
                                      <w:sz w:val="15"/>
                                    </w:rPr>
                                    <w:t>guidance</w:t>
                                  </w:r>
                                  <w:r>
                                    <w:rPr>
                                      <w:color w:val="231F20"/>
                                      <w:spacing w:val="-11"/>
                                      <w:sz w:val="15"/>
                                    </w:rPr>
                                    <w:t> </w:t>
                                  </w:r>
                                  <w:r>
                                    <w:rPr>
                                      <w:color w:val="231F20"/>
                                      <w:sz w:val="15"/>
                                    </w:rPr>
                                    <w:t>as</w:t>
                                  </w:r>
                                  <w:r>
                                    <w:rPr>
                                      <w:color w:val="231F20"/>
                                      <w:spacing w:val="-11"/>
                                      <w:sz w:val="15"/>
                                    </w:rPr>
                                    <w:t> </w:t>
                                  </w:r>
                                  <w:r>
                                    <w:rPr>
                                      <w:color w:val="231F20"/>
                                      <w:sz w:val="15"/>
                                    </w:rPr>
                                    <w:t>early</w:t>
                                  </w:r>
                                  <w:r>
                                    <w:rPr>
                                      <w:color w:val="231F20"/>
                                      <w:spacing w:val="-11"/>
                                      <w:sz w:val="15"/>
                                    </w:rPr>
                                    <w:t> </w:t>
                                  </w:r>
                                  <w:r>
                                    <w:rPr>
                                      <w:color w:val="231F20"/>
                                      <w:sz w:val="15"/>
                                    </w:rPr>
                                    <w:t>as</w:t>
                                  </w:r>
                                  <w:r>
                                    <w:rPr>
                                      <w:color w:val="231F20"/>
                                      <w:spacing w:val="-11"/>
                                      <w:sz w:val="15"/>
                                    </w:rPr>
                                    <w:t> </w:t>
                                  </w:r>
                                  <w:r>
                                    <w:rPr>
                                      <w:color w:val="231F20"/>
                                      <w:sz w:val="15"/>
                                    </w:rPr>
                                    <w:t>junior</w:t>
                                  </w:r>
                                  <w:r>
                                    <w:rPr>
                                      <w:color w:val="231F20"/>
                                      <w:spacing w:val="-11"/>
                                      <w:sz w:val="15"/>
                                    </w:rPr>
                                    <w:t> </w:t>
                                  </w:r>
                                  <w:r>
                                    <w:rPr>
                                      <w:color w:val="231F20"/>
                                      <w:sz w:val="15"/>
                                    </w:rPr>
                                    <w:t>high </w:t>
                                  </w:r>
                                  <w:r>
                                    <w:rPr>
                                      <w:color w:val="231F20"/>
                                      <w:spacing w:val="-2"/>
                                      <w:sz w:val="15"/>
                                    </w:rPr>
                                    <w:t>school.</w:t>
                                  </w:r>
                                </w:p>
                                <w:p>
                                  <w:pPr>
                                    <w:pStyle w:val="TableParagraph"/>
                                    <w:spacing w:line="230" w:lineRule="auto" w:before="2"/>
                                    <w:ind w:left="186" w:right="108" w:hanging="112"/>
                                    <w:rPr>
                                      <w:sz w:val="15"/>
                                    </w:rPr>
                                  </w:pPr>
                                  <w:r>
                                    <w:rPr>
                                      <w:i/>
                                      <w:color w:val="231F20"/>
                                      <w:sz w:val="15"/>
                                    </w:rPr>
                                    <w:t>Snacks: </w:t>
                                  </w:r>
                                  <w:r>
                                    <w:rPr>
                                      <w:color w:val="231F20"/>
                                      <w:sz w:val="15"/>
                                    </w:rPr>
                                    <w:t>Snacks vary according to individual needs (generally 3 snacks</w:t>
                                  </w:r>
                                  <w:r>
                                    <w:rPr>
                                      <w:color w:val="231F20"/>
                                      <w:spacing w:val="-9"/>
                                      <w:sz w:val="15"/>
                                    </w:rPr>
                                    <w:t> </w:t>
                                  </w:r>
                                  <w:r>
                                    <w:rPr>
                                      <w:color w:val="231F20"/>
                                      <w:sz w:val="15"/>
                                    </w:rPr>
                                    <w:t>per</w:t>
                                  </w:r>
                                  <w:r>
                                    <w:rPr>
                                      <w:color w:val="231F20"/>
                                      <w:spacing w:val="-9"/>
                                      <w:sz w:val="15"/>
                                    </w:rPr>
                                    <w:t> </w:t>
                                  </w:r>
                                  <w:r>
                                    <w:rPr>
                                      <w:color w:val="231F20"/>
                                      <w:sz w:val="15"/>
                                    </w:rPr>
                                    <w:t>day</w:t>
                                  </w:r>
                                  <w:r>
                                    <w:rPr>
                                      <w:color w:val="231F20"/>
                                      <w:spacing w:val="-9"/>
                                      <w:sz w:val="15"/>
                                    </w:rPr>
                                    <w:t> </w:t>
                                  </w:r>
                                  <w:r>
                                    <w:rPr>
                                      <w:color w:val="231F20"/>
                                      <w:sz w:val="15"/>
                                    </w:rPr>
                                    <w:t>for</w:t>
                                  </w:r>
                                  <w:r>
                                    <w:rPr>
                                      <w:color w:val="231F20"/>
                                      <w:spacing w:val="-9"/>
                                      <w:sz w:val="15"/>
                                    </w:rPr>
                                    <w:t> </w:t>
                                  </w:r>
                                  <w:r>
                                    <w:rPr>
                                      <w:color w:val="231F20"/>
                                      <w:sz w:val="15"/>
                                    </w:rPr>
                                    <w:t>children;</w:t>
                                  </w:r>
                                  <w:r>
                                    <w:rPr>
                                      <w:color w:val="231F20"/>
                                      <w:spacing w:val="-9"/>
                                      <w:sz w:val="15"/>
                                    </w:rPr>
                                    <w:t> </w:t>
                                  </w:r>
                                  <w:r>
                                    <w:rPr>
                                      <w:color w:val="231F20"/>
                                      <w:sz w:val="15"/>
                                    </w:rPr>
                                    <w:t>midafternoon</w:t>
                                  </w:r>
                                  <w:r>
                                    <w:rPr>
                                      <w:color w:val="231F20"/>
                                      <w:spacing w:val="-9"/>
                                      <w:sz w:val="15"/>
                                    </w:rPr>
                                    <w:t> </w:t>
                                  </w:r>
                                  <w:r>
                                    <w:rPr>
                                      <w:color w:val="231F20"/>
                                      <w:sz w:val="15"/>
                                    </w:rPr>
                                    <w:t>and</w:t>
                                  </w:r>
                                  <w:r>
                                    <w:rPr>
                                      <w:color w:val="231F20"/>
                                      <w:spacing w:val="-9"/>
                                      <w:sz w:val="15"/>
                                    </w:rPr>
                                    <w:t> </w:t>
                                  </w:r>
                                  <w:r>
                                    <w:rPr>
                                      <w:color w:val="231F20"/>
                                      <w:sz w:val="15"/>
                                    </w:rPr>
                                    <w:t>bedtime</w:t>
                                  </w:r>
                                  <w:r>
                                    <w:rPr>
                                      <w:color w:val="231F20"/>
                                      <w:spacing w:val="-9"/>
                                      <w:sz w:val="15"/>
                                    </w:rPr>
                                    <w:t> </w:t>
                                  </w:r>
                                  <w:r>
                                    <w:rPr>
                                      <w:color w:val="231F20"/>
                                      <w:sz w:val="15"/>
                                    </w:rPr>
                                    <w:t>snacks</w:t>
                                  </w:r>
                                  <w:r>
                                    <w:rPr>
                                      <w:color w:val="231F20"/>
                                      <w:spacing w:val="-9"/>
                                      <w:sz w:val="15"/>
                                    </w:rPr>
                                    <w:t> </w:t>
                                  </w:r>
                                  <w:r>
                                    <w:rPr>
                                      <w:color w:val="231F20"/>
                                      <w:sz w:val="15"/>
                                    </w:rPr>
                                    <w:t>for junior high children or teens).</w:t>
                                  </w:r>
                                </w:p>
                                <w:p>
                                  <w:pPr>
                                    <w:pStyle w:val="TableParagraph"/>
                                    <w:spacing w:line="168" w:lineRule="exact"/>
                                    <w:ind w:left="74"/>
                                    <w:rPr>
                                      <w:sz w:val="15"/>
                                    </w:rPr>
                                  </w:pPr>
                                  <w:r>
                                    <w:rPr>
                                      <w:i/>
                                      <w:color w:val="231F20"/>
                                      <w:spacing w:val="-2"/>
                                      <w:sz w:val="15"/>
                                    </w:rPr>
                                    <w:t>Alternative</w:t>
                                  </w:r>
                                  <w:r>
                                    <w:rPr>
                                      <w:i/>
                                      <w:color w:val="231F20"/>
                                      <w:spacing w:val="-5"/>
                                      <w:sz w:val="15"/>
                                    </w:rPr>
                                    <w:t> </w:t>
                                  </w:r>
                                  <w:r>
                                    <w:rPr>
                                      <w:i/>
                                      <w:color w:val="231F20"/>
                                      <w:spacing w:val="-2"/>
                                      <w:sz w:val="15"/>
                                    </w:rPr>
                                    <w:t>sweeteners:</w:t>
                                  </w:r>
                                  <w:r>
                                    <w:rPr>
                                      <w:i/>
                                      <w:color w:val="231F20"/>
                                      <w:spacing w:val="-4"/>
                                      <w:sz w:val="15"/>
                                    </w:rPr>
                                    <w:t> </w:t>
                                  </w:r>
                                  <w:r>
                                    <w:rPr>
                                      <w:color w:val="231F20"/>
                                      <w:spacing w:val="-2"/>
                                      <w:sz w:val="15"/>
                                    </w:rPr>
                                    <w:t>Use</w:t>
                                  </w:r>
                                  <w:r>
                                    <w:rPr>
                                      <w:color w:val="231F20"/>
                                      <w:spacing w:val="-4"/>
                                      <w:sz w:val="15"/>
                                    </w:rPr>
                                    <w:t> </w:t>
                                  </w:r>
                                  <w:r>
                                    <w:rPr>
                                      <w:color w:val="231F20"/>
                                      <w:spacing w:val="-2"/>
                                      <w:sz w:val="15"/>
                                    </w:rPr>
                                    <w:t>of</w:t>
                                  </w:r>
                                  <w:r>
                                    <w:rPr>
                                      <w:color w:val="231F20"/>
                                      <w:spacing w:val="-5"/>
                                      <w:sz w:val="15"/>
                                    </w:rPr>
                                    <w:t> </w:t>
                                  </w:r>
                                  <w:r>
                                    <w:rPr>
                                      <w:color w:val="231F20"/>
                                      <w:spacing w:val="-2"/>
                                      <w:sz w:val="15"/>
                                    </w:rPr>
                                    <w:t>a</w:t>
                                  </w:r>
                                  <w:r>
                                    <w:rPr>
                                      <w:color w:val="231F20"/>
                                      <w:spacing w:val="-4"/>
                                      <w:sz w:val="15"/>
                                    </w:rPr>
                                    <w:t> </w:t>
                                  </w:r>
                                  <w:r>
                                    <w:rPr>
                                      <w:color w:val="231F20"/>
                                      <w:spacing w:val="-2"/>
                                      <w:sz w:val="15"/>
                                    </w:rPr>
                                    <w:t>variety</w:t>
                                  </w:r>
                                  <w:r>
                                    <w:rPr>
                                      <w:color w:val="231F20"/>
                                      <w:spacing w:val="-4"/>
                                      <w:sz w:val="15"/>
                                    </w:rPr>
                                    <w:t> </w:t>
                                  </w:r>
                                  <w:r>
                                    <w:rPr>
                                      <w:color w:val="231F20"/>
                                      <w:spacing w:val="-2"/>
                                      <w:sz w:val="15"/>
                                    </w:rPr>
                                    <w:t>of</w:t>
                                  </w:r>
                                  <w:r>
                                    <w:rPr>
                                      <w:color w:val="231F20"/>
                                      <w:spacing w:val="-5"/>
                                      <w:sz w:val="15"/>
                                    </w:rPr>
                                    <w:t> </w:t>
                                  </w:r>
                                  <w:r>
                                    <w:rPr>
                                      <w:color w:val="231F20"/>
                                      <w:spacing w:val="-2"/>
                                      <w:sz w:val="15"/>
                                    </w:rPr>
                                    <w:t>sweeteners</w:t>
                                  </w:r>
                                  <w:r>
                                    <w:rPr>
                                      <w:color w:val="231F20"/>
                                      <w:spacing w:val="-4"/>
                                      <w:sz w:val="15"/>
                                    </w:rPr>
                                    <w:t> </w:t>
                                  </w:r>
                                  <w:r>
                                    <w:rPr>
                                      <w:color w:val="231F20"/>
                                      <w:spacing w:val="-2"/>
                                      <w:sz w:val="15"/>
                                    </w:rPr>
                                    <w:t>is</w:t>
                                  </w:r>
                                  <w:r>
                                    <w:rPr>
                                      <w:color w:val="231F20"/>
                                      <w:spacing w:val="-4"/>
                                      <w:sz w:val="15"/>
                                    </w:rPr>
                                    <w:t> </w:t>
                                  </w:r>
                                  <w:r>
                                    <w:rPr>
                                      <w:color w:val="231F20"/>
                                      <w:spacing w:val="-2"/>
                                      <w:sz w:val="15"/>
                                    </w:rPr>
                                    <w:t>suggested.</w:t>
                                  </w:r>
                                </w:p>
                                <w:p>
                                  <w:pPr>
                                    <w:pStyle w:val="TableParagraph"/>
                                    <w:spacing w:line="230" w:lineRule="auto" w:before="2"/>
                                    <w:ind w:left="186" w:hanging="112"/>
                                    <w:rPr>
                                      <w:sz w:val="15"/>
                                    </w:rPr>
                                  </w:pPr>
                                  <w:r>
                                    <w:rPr>
                                      <w:i/>
                                      <w:color w:val="231F20"/>
                                      <w:sz w:val="15"/>
                                    </w:rPr>
                                    <w:t>Educational</w:t>
                                  </w:r>
                                  <w:r>
                                    <w:rPr>
                                      <w:i/>
                                      <w:color w:val="231F20"/>
                                      <w:spacing w:val="-6"/>
                                      <w:sz w:val="15"/>
                                    </w:rPr>
                                    <w:t> </w:t>
                                  </w:r>
                                  <w:r>
                                    <w:rPr>
                                      <w:i/>
                                      <w:color w:val="231F20"/>
                                      <w:sz w:val="15"/>
                                    </w:rPr>
                                    <w:t>techniques:</w:t>
                                  </w:r>
                                  <w:r>
                                    <w:rPr>
                                      <w:i/>
                                      <w:color w:val="231F20"/>
                                      <w:spacing w:val="-6"/>
                                      <w:sz w:val="15"/>
                                    </w:rPr>
                                    <w:t> </w:t>
                                  </w:r>
                                  <w:r>
                                    <w:rPr>
                                      <w:color w:val="231F20"/>
                                      <w:sz w:val="15"/>
                                    </w:rPr>
                                    <w:t>No</w:t>
                                  </w:r>
                                  <w:r>
                                    <w:rPr>
                                      <w:color w:val="231F20"/>
                                      <w:spacing w:val="-6"/>
                                      <w:sz w:val="15"/>
                                    </w:rPr>
                                    <w:t> </w:t>
                                  </w:r>
                                  <w:r>
                                    <w:rPr>
                                      <w:color w:val="231F20"/>
                                      <w:sz w:val="15"/>
                                    </w:rPr>
                                    <w:t>single</w:t>
                                  </w:r>
                                  <w:r>
                                    <w:rPr>
                                      <w:color w:val="231F20"/>
                                      <w:spacing w:val="-6"/>
                                      <w:sz w:val="15"/>
                                    </w:rPr>
                                    <w:t> </w:t>
                                  </w:r>
                                  <w:r>
                                    <w:rPr>
                                      <w:color w:val="231F20"/>
                                      <w:sz w:val="15"/>
                                    </w:rPr>
                                    <w:t>technique</w:t>
                                  </w:r>
                                  <w:r>
                                    <w:rPr>
                                      <w:color w:val="231F20"/>
                                      <w:spacing w:val="-6"/>
                                      <w:sz w:val="15"/>
                                    </w:rPr>
                                    <w:t> </w:t>
                                  </w:r>
                                  <w:r>
                                    <w:rPr>
                                      <w:color w:val="231F20"/>
                                      <w:sz w:val="15"/>
                                    </w:rPr>
                                    <w:t>is</w:t>
                                  </w:r>
                                  <w:r>
                                    <w:rPr>
                                      <w:color w:val="231F20"/>
                                      <w:spacing w:val="-6"/>
                                      <w:sz w:val="15"/>
                                    </w:rPr>
                                    <w:t> </w:t>
                                  </w:r>
                                  <w:r>
                                    <w:rPr>
                                      <w:color w:val="231F20"/>
                                      <w:sz w:val="15"/>
                                    </w:rPr>
                                    <w:t>superior.</w:t>
                                  </w:r>
                                  <w:r>
                                    <w:rPr>
                                      <w:color w:val="231F20"/>
                                      <w:spacing w:val="-6"/>
                                      <w:sz w:val="15"/>
                                    </w:rPr>
                                    <w:t> </w:t>
                                  </w:r>
                                  <w:r>
                                    <w:rPr>
                                      <w:color w:val="231F20"/>
                                      <w:sz w:val="15"/>
                                    </w:rPr>
                                    <w:t>Choice</w:t>
                                  </w:r>
                                  <w:r>
                                    <w:rPr>
                                      <w:color w:val="231F20"/>
                                      <w:spacing w:val="-6"/>
                                      <w:sz w:val="15"/>
                                    </w:rPr>
                                    <w:t> </w:t>
                                  </w:r>
                                  <w:r>
                                    <w:rPr>
                                      <w:color w:val="231F20"/>
                                      <w:sz w:val="15"/>
                                    </w:rPr>
                                    <w:t>of educational method used should be based on patient needs.</w:t>
                                  </w:r>
                                </w:p>
                                <w:p>
                                  <w:pPr>
                                    <w:pStyle w:val="TableParagraph"/>
                                    <w:spacing w:line="230" w:lineRule="auto" w:before="2"/>
                                    <w:ind w:left="186"/>
                                    <w:rPr>
                                      <w:sz w:val="15"/>
                                    </w:rPr>
                                  </w:pPr>
                                  <w:r>
                                    <w:rPr>
                                      <w:color w:val="231F20"/>
                                      <w:sz w:val="15"/>
                                    </w:rPr>
                                    <w:t>Knowledge</w:t>
                                  </w:r>
                                  <w:r>
                                    <w:rPr>
                                      <w:color w:val="231F20"/>
                                      <w:spacing w:val="-12"/>
                                      <w:sz w:val="15"/>
                                    </w:rPr>
                                    <w:t> </w:t>
                                  </w:r>
                                  <w:r>
                                    <w:rPr>
                                      <w:color w:val="231F20"/>
                                      <w:sz w:val="15"/>
                                    </w:rPr>
                                    <w:t>of</w:t>
                                  </w:r>
                                  <w:r>
                                    <w:rPr>
                                      <w:color w:val="231F20"/>
                                      <w:spacing w:val="-11"/>
                                      <w:sz w:val="15"/>
                                    </w:rPr>
                                    <w:t> </w:t>
                                  </w:r>
                                  <w:r>
                                    <w:rPr>
                                      <w:color w:val="231F20"/>
                                      <w:sz w:val="15"/>
                                    </w:rPr>
                                    <w:t>variety</w:t>
                                  </w:r>
                                  <w:r>
                                    <w:rPr>
                                      <w:color w:val="231F20"/>
                                      <w:spacing w:val="-11"/>
                                      <w:sz w:val="15"/>
                                    </w:rPr>
                                    <w:t> </w:t>
                                  </w:r>
                                  <w:r>
                                    <w:rPr>
                                      <w:color w:val="231F20"/>
                                      <w:sz w:val="15"/>
                                    </w:rPr>
                                    <w:t>of</w:t>
                                  </w:r>
                                  <w:r>
                                    <w:rPr>
                                      <w:color w:val="231F20"/>
                                      <w:spacing w:val="-12"/>
                                      <w:sz w:val="15"/>
                                    </w:rPr>
                                    <w:t> </w:t>
                                  </w:r>
                                  <w:r>
                                    <w:rPr>
                                      <w:color w:val="231F20"/>
                                      <w:sz w:val="15"/>
                                    </w:rPr>
                                    <w:t>techniques</w:t>
                                  </w:r>
                                  <w:r>
                                    <w:rPr>
                                      <w:color w:val="231F20"/>
                                      <w:spacing w:val="-11"/>
                                      <w:sz w:val="15"/>
                                    </w:rPr>
                                    <w:t> </w:t>
                                  </w:r>
                                  <w:r>
                                    <w:rPr>
                                      <w:color w:val="231F20"/>
                                      <w:sz w:val="15"/>
                                    </w:rPr>
                                    <w:t>is</w:t>
                                  </w:r>
                                  <w:r>
                                    <w:rPr>
                                      <w:color w:val="231F20"/>
                                      <w:spacing w:val="-11"/>
                                      <w:sz w:val="15"/>
                                    </w:rPr>
                                    <w:t> </w:t>
                                  </w:r>
                                  <w:r>
                                    <w:rPr>
                                      <w:color w:val="231F20"/>
                                      <w:sz w:val="15"/>
                                    </w:rPr>
                                    <w:t>important.</w:t>
                                  </w:r>
                                  <w:r>
                                    <w:rPr>
                                      <w:color w:val="231F20"/>
                                      <w:spacing w:val="-12"/>
                                      <w:sz w:val="15"/>
                                    </w:rPr>
                                    <w:t> </w:t>
                                  </w:r>
                                  <w:r>
                                    <w:rPr>
                                      <w:color w:val="231F20"/>
                                      <w:sz w:val="15"/>
                                    </w:rPr>
                                    <w:t>Follow-</w:t>
                                  </w:r>
                                  <w:r>
                                    <w:rPr>
                                      <w:color w:val="231F20"/>
                                      <w:sz w:val="15"/>
                                    </w:rPr>
                                    <w:t>up education and support are required.</w:t>
                                  </w:r>
                                </w:p>
                                <w:p>
                                  <w:pPr>
                                    <w:pStyle w:val="TableParagraph"/>
                                    <w:spacing w:line="230" w:lineRule="auto" w:before="1"/>
                                    <w:ind w:left="186" w:right="266" w:hanging="112"/>
                                    <w:jc w:val="both"/>
                                    <w:rPr>
                                      <w:sz w:val="15"/>
                                    </w:rPr>
                                  </w:pPr>
                                  <w:r>
                                    <w:rPr>
                                      <w:i/>
                                      <w:color w:val="231F20"/>
                                      <w:sz w:val="15"/>
                                    </w:rPr>
                                    <w:t>Eating</w:t>
                                  </w:r>
                                  <w:r>
                                    <w:rPr>
                                      <w:i/>
                                      <w:color w:val="231F20"/>
                                      <w:spacing w:val="-12"/>
                                      <w:sz w:val="15"/>
                                    </w:rPr>
                                    <w:t> </w:t>
                                  </w:r>
                                  <w:r>
                                    <w:rPr>
                                      <w:i/>
                                      <w:color w:val="231F20"/>
                                      <w:sz w:val="15"/>
                                    </w:rPr>
                                    <w:t>disorders:</w:t>
                                  </w:r>
                                  <w:r>
                                    <w:rPr>
                                      <w:i/>
                                      <w:color w:val="231F20"/>
                                      <w:spacing w:val="-11"/>
                                      <w:sz w:val="15"/>
                                    </w:rPr>
                                    <w:t> </w:t>
                                  </w:r>
                                  <w:r>
                                    <w:rPr>
                                      <w:color w:val="231F20"/>
                                      <w:sz w:val="15"/>
                                    </w:rPr>
                                    <w:t>Best</w:t>
                                  </w:r>
                                  <w:r>
                                    <w:rPr>
                                      <w:color w:val="231F20"/>
                                      <w:spacing w:val="-11"/>
                                      <w:sz w:val="15"/>
                                    </w:rPr>
                                    <w:t> </w:t>
                                  </w:r>
                                  <w:r>
                                    <w:rPr>
                                      <w:color w:val="231F20"/>
                                      <w:sz w:val="15"/>
                                    </w:rPr>
                                    <w:t>treatment</w:t>
                                  </w:r>
                                  <w:r>
                                    <w:rPr>
                                      <w:color w:val="231F20"/>
                                      <w:spacing w:val="-12"/>
                                      <w:sz w:val="15"/>
                                    </w:rPr>
                                    <w:t> </w:t>
                                  </w:r>
                                  <w:r>
                                    <w:rPr>
                                      <w:color w:val="231F20"/>
                                      <w:sz w:val="15"/>
                                    </w:rPr>
                                    <w:t>is</w:t>
                                  </w:r>
                                  <w:r>
                                    <w:rPr>
                                      <w:color w:val="231F20"/>
                                      <w:spacing w:val="-11"/>
                                      <w:sz w:val="15"/>
                                    </w:rPr>
                                    <w:t> </w:t>
                                  </w:r>
                                  <w:r>
                                    <w:rPr>
                                      <w:color w:val="231F20"/>
                                      <w:sz w:val="15"/>
                                    </w:rPr>
                                    <w:t>prevention.</w:t>
                                  </w:r>
                                  <w:r>
                                    <w:rPr>
                                      <w:color w:val="231F20"/>
                                      <w:spacing w:val="-11"/>
                                      <w:sz w:val="15"/>
                                    </w:rPr>
                                    <w:t> </w:t>
                                  </w:r>
                                  <w:r>
                                    <w:rPr>
                                      <w:color w:val="231F20"/>
                                      <w:sz w:val="15"/>
                                    </w:rPr>
                                    <w:t>Unexplained</w:t>
                                  </w:r>
                                  <w:r>
                                    <w:rPr>
                                      <w:color w:val="231F20"/>
                                      <w:spacing w:val="-12"/>
                                      <w:sz w:val="15"/>
                                    </w:rPr>
                                    <w:t> </w:t>
                                  </w:r>
                                  <w:r>
                                    <w:rPr>
                                      <w:color w:val="231F20"/>
                                      <w:sz w:val="15"/>
                                    </w:rPr>
                                    <w:t>poor control</w:t>
                                  </w:r>
                                  <w:r>
                                    <w:rPr>
                                      <w:color w:val="231F20"/>
                                      <w:spacing w:val="-8"/>
                                      <w:sz w:val="15"/>
                                    </w:rPr>
                                    <w:t> </w:t>
                                  </w:r>
                                  <w:r>
                                    <w:rPr>
                                      <w:color w:val="231F20"/>
                                      <w:sz w:val="15"/>
                                    </w:rPr>
                                    <w:t>or</w:t>
                                  </w:r>
                                  <w:r>
                                    <w:rPr>
                                      <w:color w:val="231F20"/>
                                      <w:spacing w:val="-8"/>
                                      <w:sz w:val="15"/>
                                    </w:rPr>
                                    <w:t> </w:t>
                                  </w:r>
                                  <w:r>
                                    <w:rPr>
                                      <w:color w:val="231F20"/>
                                      <w:sz w:val="15"/>
                                    </w:rPr>
                                    <w:t>severe</w:t>
                                  </w:r>
                                  <w:r>
                                    <w:rPr>
                                      <w:color w:val="231F20"/>
                                      <w:spacing w:val="-8"/>
                                      <w:sz w:val="15"/>
                                    </w:rPr>
                                    <w:t> </w:t>
                                  </w:r>
                                  <w:r>
                                    <w:rPr>
                                      <w:color w:val="231F20"/>
                                      <w:sz w:val="15"/>
                                    </w:rPr>
                                    <w:t>hypoglycemia</w:t>
                                  </w:r>
                                  <w:r>
                                    <w:rPr>
                                      <w:color w:val="231F20"/>
                                      <w:spacing w:val="-8"/>
                                      <w:sz w:val="15"/>
                                    </w:rPr>
                                    <w:t> </w:t>
                                  </w:r>
                                  <w:r>
                                    <w:rPr>
                                      <w:color w:val="231F20"/>
                                      <w:sz w:val="15"/>
                                    </w:rPr>
                                    <w:t>may</w:t>
                                  </w:r>
                                  <w:r>
                                    <w:rPr>
                                      <w:color w:val="231F20"/>
                                      <w:spacing w:val="-8"/>
                                      <w:sz w:val="15"/>
                                    </w:rPr>
                                    <w:t> </w:t>
                                  </w:r>
                                  <w:r>
                                    <w:rPr>
                                      <w:color w:val="231F20"/>
                                      <w:sz w:val="15"/>
                                    </w:rPr>
                                    <w:t>indicate</w:t>
                                  </w:r>
                                  <w:r>
                                    <w:rPr>
                                      <w:color w:val="231F20"/>
                                      <w:spacing w:val="-8"/>
                                      <w:sz w:val="15"/>
                                    </w:rPr>
                                    <w:t> </w:t>
                                  </w:r>
                                  <w:r>
                                    <w:rPr>
                                      <w:color w:val="231F20"/>
                                      <w:sz w:val="15"/>
                                    </w:rPr>
                                    <w:t>a</w:t>
                                  </w:r>
                                  <w:r>
                                    <w:rPr>
                                      <w:color w:val="231F20"/>
                                      <w:spacing w:val="-8"/>
                                      <w:sz w:val="15"/>
                                    </w:rPr>
                                    <w:t> </w:t>
                                  </w:r>
                                  <w:r>
                                    <w:rPr>
                                      <w:color w:val="231F20"/>
                                      <w:sz w:val="15"/>
                                    </w:rPr>
                                    <w:t>potential</w:t>
                                  </w:r>
                                  <w:r>
                                    <w:rPr>
                                      <w:color w:val="231F20"/>
                                      <w:spacing w:val="-8"/>
                                      <w:sz w:val="15"/>
                                    </w:rPr>
                                    <w:t> </w:t>
                                  </w:r>
                                  <w:r>
                                    <w:rPr>
                                      <w:color w:val="231F20"/>
                                      <w:sz w:val="15"/>
                                    </w:rPr>
                                    <w:t>eating </w:t>
                                  </w:r>
                                  <w:r>
                                    <w:rPr>
                                      <w:color w:val="231F20"/>
                                      <w:spacing w:val="-2"/>
                                      <w:sz w:val="15"/>
                                    </w:rPr>
                                    <w:t>disorder.</w:t>
                                  </w:r>
                                </w:p>
                                <w:p>
                                  <w:pPr>
                                    <w:pStyle w:val="TableParagraph"/>
                                    <w:spacing w:line="230" w:lineRule="auto" w:before="2"/>
                                    <w:ind w:left="186" w:right="108" w:hanging="112"/>
                                    <w:rPr>
                                      <w:sz w:val="15"/>
                                    </w:rPr>
                                  </w:pPr>
                                  <w:r>
                                    <w:rPr>
                                      <w:i/>
                                      <w:color w:val="231F20"/>
                                      <w:sz w:val="15"/>
                                    </w:rPr>
                                    <w:t>Exercise:</w:t>
                                  </w:r>
                                  <w:r>
                                    <w:rPr>
                                      <w:i/>
                                      <w:color w:val="231F20"/>
                                      <w:spacing w:val="-6"/>
                                      <w:sz w:val="15"/>
                                    </w:rPr>
                                    <w:t> </w:t>
                                  </w:r>
                                  <w:r>
                                    <w:rPr>
                                      <w:color w:val="231F20"/>
                                      <w:sz w:val="15"/>
                                    </w:rPr>
                                    <w:t>Education</w:t>
                                  </w:r>
                                  <w:r>
                                    <w:rPr>
                                      <w:color w:val="231F20"/>
                                      <w:spacing w:val="-6"/>
                                      <w:sz w:val="15"/>
                                    </w:rPr>
                                    <w:t> </w:t>
                                  </w:r>
                                  <w:r>
                                    <w:rPr>
                                      <w:color w:val="231F20"/>
                                      <w:sz w:val="15"/>
                                    </w:rPr>
                                    <w:t>is</w:t>
                                  </w:r>
                                  <w:r>
                                    <w:rPr>
                                      <w:color w:val="231F20"/>
                                      <w:spacing w:val="-6"/>
                                      <w:sz w:val="15"/>
                                    </w:rPr>
                                    <w:t> </w:t>
                                  </w:r>
                                  <w:r>
                                    <w:rPr>
                                      <w:color w:val="231F20"/>
                                      <w:sz w:val="15"/>
                                    </w:rPr>
                                    <w:t>vital</w:t>
                                  </w:r>
                                  <w:r>
                                    <w:rPr>
                                      <w:color w:val="231F20"/>
                                      <w:spacing w:val="-6"/>
                                      <w:sz w:val="15"/>
                                    </w:rPr>
                                    <w:t> </w:t>
                                  </w:r>
                                  <w:r>
                                    <w:rPr>
                                      <w:color w:val="231F20"/>
                                      <w:sz w:val="15"/>
                                    </w:rPr>
                                    <w:t>to</w:t>
                                  </w:r>
                                  <w:r>
                                    <w:rPr>
                                      <w:color w:val="231F20"/>
                                      <w:spacing w:val="-6"/>
                                      <w:sz w:val="15"/>
                                    </w:rPr>
                                    <w:t> </w:t>
                                  </w:r>
                                  <w:r>
                                    <w:rPr>
                                      <w:color w:val="231F20"/>
                                      <w:sz w:val="15"/>
                                    </w:rPr>
                                    <w:t>prevent</w:t>
                                  </w:r>
                                  <w:r>
                                    <w:rPr>
                                      <w:color w:val="231F20"/>
                                      <w:spacing w:val="-6"/>
                                      <w:sz w:val="15"/>
                                    </w:rPr>
                                    <w:t> </w:t>
                                  </w:r>
                                  <w:r>
                                    <w:rPr>
                                      <w:color w:val="231F20"/>
                                      <w:sz w:val="15"/>
                                    </w:rPr>
                                    <w:t>delayed</w:t>
                                  </w:r>
                                  <w:r>
                                    <w:rPr>
                                      <w:color w:val="231F20"/>
                                      <w:spacing w:val="-6"/>
                                      <w:sz w:val="15"/>
                                    </w:rPr>
                                    <w:t> </w:t>
                                  </w:r>
                                  <w:r>
                                    <w:rPr>
                                      <w:color w:val="231F20"/>
                                      <w:sz w:val="15"/>
                                    </w:rPr>
                                    <w:t>or</w:t>
                                  </w:r>
                                  <w:r>
                                    <w:rPr>
                                      <w:color w:val="231F20"/>
                                      <w:spacing w:val="-6"/>
                                      <w:sz w:val="15"/>
                                    </w:rPr>
                                    <w:t> </w:t>
                                  </w:r>
                                  <w:r>
                                    <w:rPr>
                                      <w:color w:val="231F20"/>
                                      <w:sz w:val="15"/>
                                    </w:rPr>
                                    <w:t>immediate hypoglycemia</w:t>
                                  </w:r>
                                  <w:r>
                                    <w:rPr>
                                      <w:color w:val="231F20"/>
                                      <w:spacing w:val="-4"/>
                                      <w:sz w:val="15"/>
                                    </w:rPr>
                                    <w:t> </w:t>
                                  </w:r>
                                  <w:r>
                                    <w:rPr>
                                      <w:color w:val="231F20"/>
                                      <w:sz w:val="15"/>
                                    </w:rPr>
                                    <w:t>and</w:t>
                                  </w:r>
                                  <w:r>
                                    <w:rPr>
                                      <w:color w:val="231F20"/>
                                      <w:spacing w:val="-4"/>
                                      <w:sz w:val="15"/>
                                    </w:rPr>
                                    <w:t> </w:t>
                                  </w:r>
                                  <w:r>
                                    <w:rPr>
                                      <w:color w:val="231F20"/>
                                      <w:sz w:val="15"/>
                                    </w:rPr>
                                    <w:t>to</w:t>
                                  </w:r>
                                  <w:r>
                                    <w:rPr>
                                      <w:color w:val="231F20"/>
                                      <w:spacing w:val="-4"/>
                                      <w:sz w:val="15"/>
                                    </w:rPr>
                                    <w:t> </w:t>
                                  </w:r>
                                  <w:r>
                                    <w:rPr>
                                      <w:color w:val="231F20"/>
                                      <w:sz w:val="15"/>
                                    </w:rPr>
                                    <w:t>prevent</w:t>
                                  </w:r>
                                  <w:r>
                                    <w:rPr>
                                      <w:color w:val="231F20"/>
                                      <w:spacing w:val="-4"/>
                                      <w:sz w:val="15"/>
                                    </w:rPr>
                                    <w:t> </w:t>
                                  </w:r>
                                  <w:r>
                                    <w:rPr>
                                      <w:color w:val="231F20"/>
                                      <w:sz w:val="15"/>
                                    </w:rPr>
                                    <w:t>worsened</w:t>
                                  </w:r>
                                  <w:r>
                                    <w:rPr>
                                      <w:color w:val="231F20"/>
                                      <w:spacing w:val="-4"/>
                                      <w:sz w:val="15"/>
                                    </w:rPr>
                                    <w:t> </w:t>
                                  </w:r>
                                  <w:r>
                                    <w:rPr>
                                      <w:color w:val="231F20"/>
                                      <w:sz w:val="15"/>
                                    </w:rPr>
                                    <w:t>hyperglycemia</w:t>
                                  </w:r>
                                  <w:r>
                                    <w:rPr>
                                      <w:color w:val="231F20"/>
                                      <w:spacing w:val="-4"/>
                                      <w:sz w:val="15"/>
                                    </w:rPr>
                                    <w:t> </w:t>
                                  </w:r>
                                  <w:r>
                                    <w:rPr>
                                      <w:color w:val="231F20"/>
                                      <w:sz w:val="15"/>
                                    </w:rPr>
                                    <w:t>and </w:t>
                                  </w:r>
                                  <w:r>
                                    <w:rPr>
                                      <w:color w:val="231F20"/>
                                      <w:spacing w:val="-2"/>
                                      <w:sz w:val="15"/>
                                    </w:rPr>
                                    <w:t>ketosis.</w:t>
                                  </w:r>
                                </w:p>
                              </w:tc>
                            </w:tr>
                          </w:tbl>
                          <w:p>
                            <w:pPr>
                              <w:pStyle w:val="BodyText"/>
                            </w:pPr>
                          </w:p>
                        </w:txbxContent>
                      </wps:txbx>
                      <wps:bodyPr wrap="square" lIns="0" tIns="0" rIns="0" bIns="0" rtlCol="0">
                        <a:noAutofit/>
                      </wps:bodyPr>
                    </wps:wsp>
                  </a:graphicData>
                </a:graphic>
              </wp:anchor>
            </w:drawing>
          </mc:Choice>
          <mc:Fallback>
            <w:pict>
              <v:shape style="position:absolute;margin-left:61.03894pt;margin-top:-171.912003pt;width:241.15pt;height:467.15pt;mso-position-horizontal-relative:page;mso-position-vertical-relative:paragraph;z-index:15739904" type="#_x0000_t202" id="docshape1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8</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Summary of Nutrition Guidelines for Children and/or Adolescents with Type </w:t>
                            </w:r>
                            <w:r>
                              <w:rPr>
                                <w:color w:val="FFFFFF"/>
                                <w:w w:val="105"/>
                                <w:sz w:val="16"/>
                              </w:rPr>
                              <w:t>1 Diabetes Mellitus</w:t>
                            </w:r>
                          </w:p>
                        </w:tc>
                      </w:tr>
                      <w:tr>
                        <w:trPr>
                          <w:trHeight w:val="1101"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NUTRITION</w:t>
                            </w:r>
                            <w:r>
                              <w:rPr>
                                <w:color w:val="231F20"/>
                                <w:spacing w:val="4"/>
                                <w:w w:val="110"/>
                                <w:sz w:val="15"/>
                              </w:rPr>
                              <w:t> </w:t>
                            </w:r>
                            <w:r>
                              <w:rPr>
                                <w:color w:val="231F20"/>
                                <w:w w:val="110"/>
                                <w:sz w:val="15"/>
                              </w:rPr>
                              <w:t>CARE</w:t>
                            </w:r>
                            <w:r>
                              <w:rPr>
                                <w:color w:val="231F20"/>
                                <w:spacing w:val="5"/>
                                <w:w w:val="110"/>
                                <w:sz w:val="15"/>
                              </w:rPr>
                              <w:t> </w:t>
                            </w:r>
                            <w:r>
                              <w:rPr>
                                <w:color w:val="231F20"/>
                                <w:spacing w:val="-4"/>
                                <w:w w:val="110"/>
                                <w:sz w:val="15"/>
                              </w:rPr>
                              <w:t>PLAN</w:t>
                            </w:r>
                          </w:p>
                          <w:p>
                            <w:pPr>
                              <w:pStyle w:val="TableParagraph"/>
                              <w:spacing w:line="169" w:lineRule="exact"/>
                              <w:ind w:left="74"/>
                              <w:rPr>
                                <w:sz w:val="15"/>
                              </w:rPr>
                            </w:pPr>
                            <w:r>
                              <w:rPr>
                                <w:color w:val="231F20"/>
                                <w:sz w:val="15"/>
                              </w:rPr>
                              <w:t>Promotes</w:t>
                            </w:r>
                            <w:r>
                              <w:rPr>
                                <w:color w:val="231F20"/>
                                <w:spacing w:val="-1"/>
                                <w:sz w:val="15"/>
                              </w:rPr>
                              <w:t> </w:t>
                            </w:r>
                            <w:r>
                              <w:rPr>
                                <w:color w:val="231F20"/>
                                <w:sz w:val="15"/>
                              </w:rPr>
                              <w:t>optimal</w:t>
                            </w:r>
                            <w:r>
                              <w:rPr>
                                <w:color w:val="231F20"/>
                                <w:spacing w:val="-1"/>
                                <w:sz w:val="15"/>
                              </w:rPr>
                              <w:t> </w:t>
                            </w:r>
                            <w:r>
                              <w:rPr>
                                <w:color w:val="231F20"/>
                                <w:spacing w:val="-2"/>
                                <w:sz w:val="15"/>
                              </w:rPr>
                              <w:t>compliance.</w:t>
                            </w:r>
                          </w:p>
                          <w:p>
                            <w:pPr>
                              <w:pStyle w:val="TableParagraph"/>
                              <w:spacing w:line="230" w:lineRule="auto" w:before="3"/>
                              <w:ind w:left="186" w:right="108" w:hanging="112"/>
                              <w:rPr>
                                <w:sz w:val="15"/>
                              </w:rPr>
                            </w:pPr>
                            <w:r>
                              <w:rPr>
                                <w:color w:val="231F20"/>
                                <w:sz w:val="15"/>
                              </w:rPr>
                              <w:t>Incorporates goals of management: normal growth and development,</w:t>
                            </w:r>
                            <w:r>
                              <w:rPr>
                                <w:color w:val="231F20"/>
                                <w:spacing w:val="-8"/>
                                <w:sz w:val="15"/>
                              </w:rPr>
                              <w:t> </w:t>
                            </w:r>
                            <w:r>
                              <w:rPr>
                                <w:color w:val="231F20"/>
                                <w:sz w:val="15"/>
                              </w:rPr>
                              <w:t>control</w:t>
                            </w:r>
                            <w:r>
                              <w:rPr>
                                <w:color w:val="231F20"/>
                                <w:spacing w:val="-8"/>
                                <w:sz w:val="15"/>
                              </w:rPr>
                              <w:t> </w:t>
                            </w:r>
                            <w:r>
                              <w:rPr>
                                <w:color w:val="231F20"/>
                                <w:sz w:val="15"/>
                              </w:rPr>
                              <w:t>of</w:t>
                            </w:r>
                            <w:r>
                              <w:rPr>
                                <w:color w:val="231F20"/>
                                <w:spacing w:val="-8"/>
                                <w:sz w:val="15"/>
                              </w:rPr>
                              <w:t> </w:t>
                            </w:r>
                            <w:r>
                              <w:rPr>
                                <w:color w:val="231F20"/>
                                <w:sz w:val="15"/>
                              </w:rPr>
                              <w:t>blood</w:t>
                            </w:r>
                            <w:r>
                              <w:rPr>
                                <w:color w:val="231F20"/>
                                <w:spacing w:val="-8"/>
                                <w:sz w:val="15"/>
                              </w:rPr>
                              <w:t> </w:t>
                            </w:r>
                            <w:r>
                              <w:rPr>
                                <w:color w:val="231F20"/>
                                <w:sz w:val="15"/>
                              </w:rPr>
                              <w:t>glucose,</w:t>
                            </w:r>
                            <w:r>
                              <w:rPr>
                                <w:color w:val="231F20"/>
                                <w:spacing w:val="-8"/>
                                <w:sz w:val="15"/>
                              </w:rPr>
                              <w:t> </w:t>
                            </w:r>
                            <w:r>
                              <w:rPr>
                                <w:color w:val="231F20"/>
                                <w:sz w:val="15"/>
                              </w:rPr>
                              <w:t>maintenance</w:t>
                            </w:r>
                            <w:r>
                              <w:rPr>
                                <w:color w:val="231F20"/>
                                <w:spacing w:val="-8"/>
                                <w:sz w:val="15"/>
                              </w:rPr>
                              <w:t> </w:t>
                            </w:r>
                            <w:r>
                              <w:rPr>
                                <w:color w:val="231F20"/>
                                <w:sz w:val="15"/>
                              </w:rPr>
                              <w:t>of</w:t>
                            </w:r>
                            <w:r>
                              <w:rPr>
                                <w:color w:val="231F20"/>
                                <w:spacing w:val="-8"/>
                                <w:sz w:val="15"/>
                              </w:rPr>
                              <w:t> </w:t>
                            </w:r>
                            <w:r>
                              <w:rPr>
                                <w:color w:val="231F20"/>
                                <w:sz w:val="15"/>
                              </w:rPr>
                              <w:t>optimal nutritional</w:t>
                            </w:r>
                            <w:r>
                              <w:rPr>
                                <w:color w:val="231F20"/>
                                <w:spacing w:val="-9"/>
                                <w:sz w:val="15"/>
                              </w:rPr>
                              <w:t> </w:t>
                            </w:r>
                            <w:r>
                              <w:rPr>
                                <w:color w:val="231F20"/>
                                <w:sz w:val="15"/>
                              </w:rPr>
                              <w:t>status,</w:t>
                            </w:r>
                            <w:r>
                              <w:rPr>
                                <w:color w:val="231F20"/>
                                <w:spacing w:val="-9"/>
                                <w:sz w:val="15"/>
                              </w:rPr>
                              <w:t> </w:t>
                            </w:r>
                            <w:r>
                              <w:rPr>
                                <w:color w:val="231F20"/>
                                <w:sz w:val="15"/>
                              </w:rPr>
                              <w:t>and</w:t>
                            </w:r>
                            <w:r>
                              <w:rPr>
                                <w:color w:val="231F20"/>
                                <w:spacing w:val="-9"/>
                                <w:sz w:val="15"/>
                              </w:rPr>
                              <w:t> </w:t>
                            </w:r>
                            <w:r>
                              <w:rPr>
                                <w:color w:val="231F20"/>
                                <w:sz w:val="15"/>
                              </w:rPr>
                              <w:t>prevention</w:t>
                            </w:r>
                            <w:r>
                              <w:rPr>
                                <w:color w:val="231F20"/>
                                <w:spacing w:val="-9"/>
                                <w:sz w:val="15"/>
                              </w:rPr>
                              <w:t> </w:t>
                            </w:r>
                            <w:r>
                              <w:rPr>
                                <w:color w:val="231F20"/>
                                <w:sz w:val="15"/>
                              </w:rPr>
                              <w:t>of</w:t>
                            </w:r>
                            <w:r>
                              <w:rPr>
                                <w:color w:val="231F20"/>
                                <w:spacing w:val="-9"/>
                                <w:sz w:val="15"/>
                              </w:rPr>
                              <w:t> </w:t>
                            </w:r>
                            <w:r>
                              <w:rPr>
                                <w:color w:val="231F20"/>
                                <w:sz w:val="15"/>
                              </w:rPr>
                              <w:t>complications.</w:t>
                            </w:r>
                            <w:r>
                              <w:rPr>
                                <w:color w:val="231F20"/>
                                <w:spacing w:val="-9"/>
                                <w:sz w:val="15"/>
                              </w:rPr>
                              <w:t> </w:t>
                            </w:r>
                            <w:r>
                              <w:rPr>
                                <w:color w:val="231F20"/>
                                <w:sz w:val="15"/>
                              </w:rPr>
                              <w:t>Uses</w:t>
                            </w:r>
                            <w:r>
                              <w:rPr>
                                <w:color w:val="231F20"/>
                                <w:spacing w:val="-9"/>
                                <w:sz w:val="15"/>
                              </w:rPr>
                              <w:t> </w:t>
                            </w:r>
                            <w:r>
                              <w:rPr>
                                <w:color w:val="231F20"/>
                                <w:sz w:val="15"/>
                              </w:rPr>
                              <w:t>staged </w:t>
                            </w:r>
                            <w:r>
                              <w:rPr>
                                <w:color w:val="231F20"/>
                                <w:spacing w:val="-2"/>
                                <w:sz w:val="15"/>
                              </w:rPr>
                              <w:t>approach.</w:t>
                            </w:r>
                          </w:p>
                        </w:tc>
                      </w:tr>
                      <w:tr>
                        <w:trPr>
                          <w:trHeight w:val="253" w:hRule="atLeast"/>
                        </w:trPr>
                        <w:tc>
                          <w:tcPr>
                            <w:tcW w:w="4703" w:type="dxa"/>
                            <w:gridSpan w:val="2"/>
                            <w:tcBorders>
                              <w:top w:val="single" w:sz="4" w:space="0" w:color="FFFFFF"/>
                              <w:bottom w:val="single" w:sz="4" w:space="0" w:color="231F20"/>
                            </w:tcBorders>
                            <w:shd w:val="clear" w:color="auto" w:fill="E8F5F1"/>
                          </w:tcPr>
                          <w:p>
                            <w:pPr>
                              <w:pStyle w:val="TableParagraph"/>
                              <w:spacing w:before="43"/>
                              <w:ind w:left="74"/>
                              <w:rPr>
                                <w:sz w:val="15"/>
                              </w:rPr>
                            </w:pPr>
                            <w:r>
                              <w:rPr>
                                <w:color w:val="231F20"/>
                                <w:w w:val="115"/>
                                <w:sz w:val="15"/>
                              </w:rPr>
                              <w:t>NUTRIENT</w:t>
                            </w:r>
                            <w:r>
                              <w:rPr>
                                <w:color w:val="231F20"/>
                                <w:spacing w:val="-2"/>
                                <w:w w:val="115"/>
                                <w:sz w:val="15"/>
                              </w:rPr>
                              <w:t> </w:t>
                            </w:r>
                            <w:r>
                              <w:rPr>
                                <w:color w:val="231F20"/>
                                <w:w w:val="115"/>
                                <w:sz w:val="15"/>
                              </w:rPr>
                              <w:t>RECOMMENDATIONS</w:t>
                            </w:r>
                            <w:r>
                              <w:rPr>
                                <w:color w:val="231F20"/>
                                <w:spacing w:val="-2"/>
                                <w:w w:val="115"/>
                                <w:sz w:val="15"/>
                              </w:rPr>
                              <w:t> </w:t>
                            </w:r>
                            <w:r>
                              <w:rPr>
                                <w:color w:val="231F20"/>
                                <w:w w:val="115"/>
                                <w:sz w:val="15"/>
                              </w:rPr>
                              <w:t>AND</w:t>
                            </w:r>
                            <w:r>
                              <w:rPr>
                                <w:color w:val="231F20"/>
                                <w:spacing w:val="-2"/>
                                <w:w w:val="115"/>
                                <w:sz w:val="15"/>
                              </w:rPr>
                              <w:t> DISTRIBUTION</w:t>
                            </w:r>
                          </w:p>
                        </w:tc>
                      </w:tr>
                      <w:tr>
                        <w:trPr>
                          <w:trHeight w:val="425" w:hRule="atLeast"/>
                        </w:trPr>
                        <w:tc>
                          <w:tcPr>
                            <w:tcW w:w="4703" w:type="dxa"/>
                            <w:gridSpan w:val="2"/>
                            <w:tcBorders>
                              <w:top w:val="single" w:sz="4" w:space="0" w:color="231F20"/>
                              <w:bottom w:val="single" w:sz="4" w:space="0" w:color="231F20"/>
                            </w:tcBorders>
                            <w:shd w:val="clear" w:color="auto" w:fill="E8F5F1"/>
                          </w:tcPr>
                          <w:p>
                            <w:pPr>
                              <w:pStyle w:val="TableParagraph"/>
                              <w:tabs>
                                <w:tab w:pos="2799" w:val="left" w:leader="none"/>
                              </w:tabs>
                              <w:spacing w:line="171" w:lineRule="exact" w:before="47"/>
                              <w:ind w:left="1814"/>
                              <w:rPr>
                                <w:b/>
                                <w:sz w:val="15"/>
                              </w:rPr>
                            </w:pPr>
                            <w:r>
                              <w:rPr>
                                <w:b/>
                                <w:color w:val="231F20"/>
                                <w:w w:val="110"/>
                                <w:sz w:val="15"/>
                              </w:rPr>
                              <w:t>(%)</w:t>
                            </w:r>
                            <w:r>
                              <w:rPr>
                                <w:b/>
                                <w:color w:val="231F20"/>
                                <w:spacing w:val="-4"/>
                                <w:w w:val="110"/>
                                <w:sz w:val="15"/>
                              </w:rPr>
                              <w:t> </w:t>
                            </w:r>
                            <w:r>
                              <w:rPr>
                                <w:b/>
                                <w:color w:val="231F20"/>
                                <w:spacing w:val="-5"/>
                                <w:w w:val="115"/>
                                <w:sz w:val="15"/>
                              </w:rPr>
                              <w:t>OF</w:t>
                            </w:r>
                            <w:r>
                              <w:rPr>
                                <w:b/>
                                <w:color w:val="231F20"/>
                                <w:sz w:val="15"/>
                              </w:rPr>
                              <w:tab/>
                            </w:r>
                            <w:r>
                              <w:rPr>
                                <w:b/>
                                <w:color w:val="231F20"/>
                                <w:w w:val="115"/>
                                <w:sz w:val="15"/>
                              </w:rPr>
                              <w:t>RECOMMENDED</w:t>
                            </w:r>
                            <w:r>
                              <w:rPr>
                                <w:b/>
                                <w:color w:val="231F20"/>
                                <w:spacing w:val="10"/>
                                <w:w w:val="115"/>
                                <w:sz w:val="15"/>
                              </w:rPr>
                              <w:t> </w:t>
                            </w:r>
                            <w:r>
                              <w:rPr>
                                <w:b/>
                                <w:color w:val="231F20"/>
                                <w:spacing w:val="-2"/>
                                <w:w w:val="115"/>
                                <w:sz w:val="15"/>
                              </w:rPr>
                              <w:t>DAILY</w:t>
                            </w:r>
                          </w:p>
                          <w:p>
                            <w:pPr>
                              <w:pStyle w:val="TableParagraph"/>
                              <w:tabs>
                                <w:tab w:pos="1692" w:val="left" w:leader="none"/>
                                <w:tab w:pos="3384" w:val="left" w:leader="none"/>
                              </w:tabs>
                              <w:spacing w:line="171" w:lineRule="exact"/>
                              <w:ind w:left="74"/>
                              <w:rPr>
                                <w:b/>
                                <w:sz w:val="15"/>
                              </w:rPr>
                            </w:pPr>
                            <w:r>
                              <w:rPr>
                                <w:b/>
                                <w:color w:val="231F20"/>
                                <w:spacing w:val="-2"/>
                                <w:w w:val="110"/>
                                <w:sz w:val="15"/>
                              </w:rPr>
                              <w:t>NUTRIENT</w:t>
                            </w:r>
                            <w:r>
                              <w:rPr>
                                <w:b/>
                                <w:color w:val="231F20"/>
                                <w:sz w:val="15"/>
                              </w:rPr>
                              <w:tab/>
                            </w:r>
                            <w:r>
                              <w:rPr>
                                <w:b/>
                                <w:color w:val="231F20"/>
                                <w:spacing w:val="-2"/>
                                <w:w w:val="110"/>
                                <w:sz w:val="15"/>
                              </w:rPr>
                              <w:t>CALORIES</w:t>
                            </w:r>
                            <w:r>
                              <w:rPr>
                                <w:b/>
                                <w:color w:val="231F20"/>
                                <w:sz w:val="15"/>
                              </w:rPr>
                              <w:tab/>
                            </w:r>
                            <w:r>
                              <w:rPr>
                                <w:b/>
                                <w:color w:val="231F20"/>
                                <w:spacing w:val="-2"/>
                                <w:w w:val="110"/>
                                <w:sz w:val="15"/>
                              </w:rPr>
                              <w:t>INTAKE</w:t>
                            </w:r>
                          </w:p>
                        </w:tc>
                      </w:tr>
                      <w:tr>
                        <w:trPr>
                          <w:trHeight w:val="2459" w:hRule="atLeast"/>
                        </w:trPr>
                        <w:tc>
                          <w:tcPr>
                            <w:tcW w:w="4703" w:type="dxa"/>
                            <w:gridSpan w:val="2"/>
                            <w:tcBorders>
                              <w:top w:val="single" w:sz="4" w:space="0" w:color="231F20"/>
                              <w:bottom w:val="single" w:sz="4" w:space="0" w:color="FFFFFF"/>
                            </w:tcBorders>
                            <w:shd w:val="clear" w:color="auto" w:fill="E8F5F1"/>
                          </w:tcPr>
                          <w:p>
                            <w:pPr>
                              <w:pStyle w:val="TableParagraph"/>
                              <w:tabs>
                                <w:tab w:pos="1567" w:val="left" w:leader="none"/>
                                <w:tab w:pos="2705" w:val="left" w:leader="none"/>
                              </w:tabs>
                              <w:spacing w:line="171" w:lineRule="exact" w:before="47"/>
                              <w:ind w:left="74"/>
                              <w:rPr>
                                <w:sz w:val="15"/>
                              </w:rPr>
                            </w:pPr>
                            <w:r>
                              <w:rPr>
                                <w:color w:val="231F20"/>
                                <w:spacing w:val="-2"/>
                                <w:sz w:val="15"/>
                              </w:rPr>
                              <w:t>Carbohydrate</w:t>
                            </w:r>
                            <w:r>
                              <w:rPr>
                                <w:color w:val="231F20"/>
                                <w:sz w:val="15"/>
                              </w:rPr>
                              <w:tab/>
                            </w:r>
                            <w:r>
                              <w:rPr>
                                <w:color w:val="231F20"/>
                                <w:spacing w:val="-2"/>
                                <w:sz w:val="15"/>
                              </w:rPr>
                              <w:t>Will</w:t>
                            </w:r>
                            <w:r>
                              <w:rPr>
                                <w:color w:val="231F20"/>
                                <w:spacing w:val="-4"/>
                                <w:sz w:val="15"/>
                              </w:rPr>
                              <w:t> vary</w:t>
                            </w:r>
                            <w:r>
                              <w:rPr>
                                <w:color w:val="231F20"/>
                                <w:sz w:val="15"/>
                              </w:rPr>
                              <w:tab/>
                            </w:r>
                            <w:r>
                              <w:rPr>
                                <w:color w:val="231F20"/>
                                <w:spacing w:val="-2"/>
                                <w:sz w:val="15"/>
                              </w:rPr>
                              <w:t>High</w:t>
                            </w:r>
                            <w:r>
                              <w:rPr>
                                <w:color w:val="231F20"/>
                                <w:sz w:val="15"/>
                              </w:rPr>
                              <w:t> </w:t>
                            </w:r>
                            <w:r>
                              <w:rPr>
                                <w:color w:val="231F20"/>
                                <w:spacing w:val="-2"/>
                                <w:sz w:val="15"/>
                              </w:rPr>
                              <w:t>fiber,</w:t>
                            </w:r>
                            <w:r>
                              <w:rPr>
                                <w:color w:val="231F20"/>
                                <w:sz w:val="15"/>
                              </w:rPr>
                              <w:t> </w:t>
                            </w:r>
                            <w:r>
                              <w:rPr>
                                <w:color w:val="231F20"/>
                                <w:spacing w:val="-2"/>
                                <w:sz w:val="15"/>
                              </w:rPr>
                              <w:t>especially</w:t>
                            </w:r>
                            <w:r>
                              <w:rPr>
                                <w:color w:val="231F20"/>
                                <w:sz w:val="15"/>
                              </w:rPr>
                              <w:t> </w:t>
                            </w:r>
                            <w:r>
                              <w:rPr>
                                <w:color w:val="231F20"/>
                                <w:spacing w:val="-2"/>
                                <w:sz w:val="15"/>
                              </w:rPr>
                              <w:t>soluble</w:t>
                            </w:r>
                          </w:p>
                          <w:p>
                            <w:pPr>
                              <w:pStyle w:val="TableParagraph"/>
                              <w:spacing w:line="230" w:lineRule="auto" w:before="2"/>
                              <w:ind w:left="2817" w:right="434"/>
                              <w:rPr>
                                <w:sz w:val="15"/>
                              </w:rPr>
                            </w:pPr>
                            <w:r>
                              <w:rPr>
                                <w:color w:val="231F20"/>
                                <w:spacing w:val="-2"/>
                                <w:sz w:val="15"/>
                              </w:rPr>
                              <w:t>fiber;</w:t>
                            </w:r>
                            <w:r>
                              <w:rPr>
                                <w:color w:val="231F20"/>
                                <w:spacing w:val="-10"/>
                                <w:sz w:val="15"/>
                              </w:rPr>
                              <w:t> </w:t>
                            </w:r>
                            <w:r>
                              <w:rPr>
                                <w:color w:val="231F20"/>
                                <w:spacing w:val="-2"/>
                                <w:sz w:val="15"/>
                              </w:rPr>
                              <w:t>optimal</w:t>
                            </w:r>
                            <w:r>
                              <w:rPr>
                                <w:color w:val="231F20"/>
                                <w:spacing w:val="-9"/>
                                <w:sz w:val="15"/>
                              </w:rPr>
                              <w:t> </w:t>
                            </w:r>
                            <w:r>
                              <w:rPr>
                                <w:color w:val="231F20"/>
                                <w:spacing w:val="-2"/>
                                <w:sz w:val="15"/>
                              </w:rPr>
                              <w:t>amount unknown</w:t>
                            </w:r>
                          </w:p>
                          <w:p>
                            <w:pPr>
                              <w:pStyle w:val="TableParagraph"/>
                              <w:tabs>
                                <w:tab w:pos="1567" w:val="left" w:leader="none"/>
                              </w:tabs>
                              <w:spacing w:line="171" w:lineRule="exact"/>
                              <w:ind w:left="74"/>
                              <w:rPr>
                                <w:sz w:val="15"/>
                              </w:rPr>
                            </w:pPr>
                            <w:r>
                              <w:rPr>
                                <w:color w:val="231F20"/>
                                <w:spacing w:val="-2"/>
                                <w:sz w:val="15"/>
                              </w:rPr>
                              <w:t>Fiber</w:t>
                            </w:r>
                            <w:r>
                              <w:rPr>
                                <w:color w:val="231F20"/>
                                <w:sz w:val="15"/>
                              </w:rPr>
                              <w:tab/>
                            </w:r>
                            <w:r>
                              <w:rPr>
                                <w:rFonts w:ascii="Cambria"/>
                                <w:color w:val="231F20"/>
                                <w:sz w:val="15"/>
                              </w:rPr>
                              <w:t>&gt;</w:t>
                            </w:r>
                            <w:r>
                              <w:rPr>
                                <w:color w:val="231F20"/>
                                <w:sz w:val="15"/>
                              </w:rPr>
                              <w:t>20</w:t>
                            </w:r>
                            <w:r>
                              <w:rPr>
                                <w:color w:val="231F20"/>
                                <w:spacing w:val="-4"/>
                                <w:sz w:val="15"/>
                              </w:rPr>
                              <w:t> </w:t>
                            </w:r>
                            <w:r>
                              <w:rPr>
                                <w:color w:val="231F20"/>
                                <w:spacing w:val="-2"/>
                                <w:sz w:val="15"/>
                              </w:rPr>
                              <w:t>g/day</w:t>
                            </w:r>
                          </w:p>
                          <w:p>
                            <w:pPr>
                              <w:pStyle w:val="TableParagraph"/>
                              <w:tabs>
                                <w:tab w:pos="1927" w:val="right" w:leader="none"/>
                              </w:tabs>
                              <w:spacing w:line="170" w:lineRule="exact"/>
                              <w:ind w:left="74"/>
                              <w:rPr>
                                <w:sz w:val="15"/>
                              </w:rPr>
                            </w:pPr>
                            <w:r>
                              <w:rPr>
                                <w:color w:val="231F20"/>
                                <w:spacing w:val="-2"/>
                                <w:sz w:val="15"/>
                              </w:rPr>
                              <w:t>Protein</w:t>
                            </w:r>
                            <w:r>
                              <w:rPr>
                                <w:color w:val="231F20"/>
                                <w:sz w:val="15"/>
                              </w:rPr>
                              <w:tab/>
                            </w:r>
                            <w:r>
                              <w:rPr>
                                <w:color w:val="231F20"/>
                                <w:spacing w:val="-5"/>
                                <w:sz w:val="15"/>
                              </w:rPr>
                              <w:t>12-</w:t>
                            </w:r>
                            <w:r>
                              <w:rPr>
                                <w:color w:val="231F20"/>
                                <w:spacing w:val="-4"/>
                                <w:sz w:val="15"/>
                              </w:rPr>
                              <w:t>20</w:t>
                            </w:r>
                          </w:p>
                          <w:p>
                            <w:pPr>
                              <w:pStyle w:val="TableParagraph"/>
                              <w:tabs>
                                <w:tab w:pos="1567" w:val="left" w:leader="none"/>
                              </w:tabs>
                              <w:spacing w:line="172" w:lineRule="exact"/>
                              <w:ind w:left="74"/>
                              <w:rPr>
                                <w:sz w:val="15"/>
                              </w:rPr>
                            </w:pPr>
                            <w:r>
                              <w:rPr>
                                <w:color w:val="231F20"/>
                                <w:spacing w:val="-5"/>
                                <w:sz w:val="15"/>
                              </w:rPr>
                              <w:t>Fat</w:t>
                            </w:r>
                            <w:r>
                              <w:rPr>
                                <w:color w:val="231F20"/>
                                <w:sz w:val="15"/>
                              </w:rPr>
                              <w:tab/>
                            </w:r>
                            <w:r>
                              <w:rPr>
                                <w:rFonts w:ascii="Cambria"/>
                                <w:color w:val="231F20"/>
                                <w:spacing w:val="-5"/>
                                <w:sz w:val="15"/>
                              </w:rPr>
                              <w:t>&lt;</w:t>
                            </w:r>
                            <w:r>
                              <w:rPr>
                                <w:color w:val="231F20"/>
                                <w:spacing w:val="-5"/>
                                <w:sz w:val="15"/>
                              </w:rPr>
                              <w:t>30</w:t>
                            </w:r>
                          </w:p>
                          <w:p>
                            <w:pPr>
                              <w:pStyle w:val="TableParagraph"/>
                              <w:tabs>
                                <w:tab w:pos="1567" w:val="left" w:leader="none"/>
                              </w:tabs>
                              <w:spacing w:line="171" w:lineRule="exact"/>
                              <w:ind w:left="223"/>
                              <w:rPr>
                                <w:sz w:val="15"/>
                              </w:rPr>
                            </w:pPr>
                            <w:r>
                              <w:rPr>
                                <w:color w:val="231F20"/>
                                <w:spacing w:val="-2"/>
                                <w:sz w:val="15"/>
                              </w:rPr>
                              <w:t>Saturated</w:t>
                            </w:r>
                            <w:r>
                              <w:rPr>
                                <w:color w:val="231F20"/>
                                <w:sz w:val="15"/>
                              </w:rPr>
                              <w:tab/>
                            </w:r>
                            <w:r>
                              <w:rPr>
                                <w:rFonts w:ascii="Cambria"/>
                                <w:color w:val="231F20"/>
                                <w:spacing w:val="-5"/>
                                <w:sz w:val="15"/>
                              </w:rPr>
                              <w:t>&lt;</w:t>
                            </w:r>
                            <w:r>
                              <w:rPr>
                                <w:color w:val="231F20"/>
                                <w:spacing w:val="-5"/>
                                <w:sz w:val="15"/>
                              </w:rPr>
                              <w:t>10</w:t>
                            </w:r>
                          </w:p>
                          <w:p>
                            <w:pPr>
                              <w:pStyle w:val="TableParagraph"/>
                              <w:tabs>
                                <w:tab w:pos="1772" w:val="right" w:leader="none"/>
                              </w:tabs>
                              <w:spacing w:line="169" w:lineRule="exact"/>
                              <w:ind w:left="223"/>
                              <w:rPr>
                                <w:sz w:val="15"/>
                              </w:rPr>
                            </w:pPr>
                            <w:r>
                              <w:rPr>
                                <w:color w:val="231F20"/>
                                <w:spacing w:val="-2"/>
                                <w:sz w:val="15"/>
                              </w:rPr>
                              <w:t>Polyunsaturated</w:t>
                            </w:r>
                            <w:r>
                              <w:rPr>
                                <w:color w:val="231F20"/>
                                <w:sz w:val="15"/>
                              </w:rPr>
                              <w:tab/>
                            </w:r>
                            <w:r>
                              <w:rPr>
                                <w:color w:val="231F20"/>
                                <w:spacing w:val="-5"/>
                                <w:sz w:val="15"/>
                              </w:rPr>
                              <w:t>6-8</w:t>
                            </w:r>
                          </w:p>
                          <w:p>
                            <w:pPr>
                              <w:pStyle w:val="TableParagraph"/>
                              <w:spacing w:line="169" w:lineRule="exact"/>
                              <w:ind w:left="223"/>
                              <w:rPr>
                                <w:sz w:val="15"/>
                              </w:rPr>
                            </w:pPr>
                            <w:r>
                              <w:rPr>
                                <w:color w:val="231F20"/>
                                <w:sz w:val="15"/>
                              </w:rPr>
                              <w:t>Monounsaturated</w:t>
                            </w:r>
                            <w:r>
                              <w:rPr>
                                <w:color w:val="231F20"/>
                                <w:spacing w:val="40"/>
                                <w:sz w:val="15"/>
                              </w:rPr>
                              <w:t>  </w:t>
                            </w:r>
                            <w:r>
                              <w:rPr>
                                <w:color w:val="231F20"/>
                                <w:sz w:val="15"/>
                              </w:rPr>
                              <w:t>Remainder</w:t>
                            </w:r>
                            <w:r>
                              <w:rPr>
                                <w:color w:val="231F20"/>
                                <w:spacing w:val="4"/>
                                <w:sz w:val="15"/>
                              </w:rPr>
                              <w:t> </w:t>
                            </w:r>
                            <w:r>
                              <w:rPr>
                                <w:color w:val="231F20"/>
                                <w:spacing w:val="-5"/>
                                <w:sz w:val="15"/>
                              </w:rPr>
                              <w:t>of</w:t>
                            </w:r>
                          </w:p>
                          <w:p>
                            <w:pPr>
                              <w:pStyle w:val="TableParagraph"/>
                              <w:spacing w:line="169" w:lineRule="exact"/>
                              <w:ind w:left="1679"/>
                              <w:rPr>
                                <w:sz w:val="15"/>
                              </w:rPr>
                            </w:pPr>
                            <w:r>
                              <w:rPr>
                                <w:color w:val="231F20"/>
                                <w:w w:val="90"/>
                                <w:sz w:val="15"/>
                              </w:rPr>
                              <w:t>fat</w:t>
                            </w:r>
                            <w:r>
                              <w:rPr>
                                <w:color w:val="231F20"/>
                                <w:spacing w:val="-3"/>
                                <w:sz w:val="15"/>
                              </w:rPr>
                              <w:t> </w:t>
                            </w:r>
                            <w:r>
                              <w:rPr>
                                <w:color w:val="231F20"/>
                                <w:spacing w:val="-2"/>
                                <w:sz w:val="15"/>
                              </w:rPr>
                              <w:t>allowance</w:t>
                            </w:r>
                          </w:p>
                          <w:p>
                            <w:pPr>
                              <w:pStyle w:val="TableParagraph"/>
                              <w:tabs>
                                <w:tab w:pos="2705" w:val="left" w:leader="none"/>
                              </w:tabs>
                              <w:spacing w:line="169" w:lineRule="exact"/>
                              <w:ind w:left="74"/>
                              <w:rPr>
                                <w:sz w:val="15"/>
                              </w:rPr>
                            </w:pPr>
                            <w:r>
                              <w:rPr>
                                <w:color w:val="231F20"/>
                                <w:spacing w:val="-2"/>
                                <w:sz w:val="15"/>
                              </w:rPr>
                              <w:t>Cholesterol</w:t>
                            </w:r>
                            <w:r>
                              <w:rPr>
                                <w:color w:val="231F20"/>
                                <w:sz w:val="15"/>
                              </w:rPr>
                              <w:tab/>
                              <w:t>300</w:t>
                            </w:r>
                            <w:r>
                              <w:rPr>
                                <w:color w:val="231F20"/>
                                <w:spacing w:val="-4"/>
                                <w:sz w:val="15"/>
                              </w:rPr>
                              <w:t> </w:t>
                            </w:r>
                            <w:r>
                              <w:rPr>
                                <w:color w:val="231F20"/>
                                <w:spacing w:val="-5"/>
                                <w:sz w:val="15"/>
                              </w:rPr>
                              <w:t>mg</w:t>
                            </w:r>
                          </w:p>
                          <w:p>
                            <w:pPr>
                              <w:pStyle w:val="TableParagraph"/>
                              <w:tabs>
                                <w:tab w:pos="2705" w:val="left" w:leader="none"/>
                              </w:tabs>
                              <w:spacing w:line="169" w:lineRule="exact"/>
                              <w:ind w:left="74"/>
                              <w:rPr>
                                <w:sz w:val="15"/>
                              </w:rPr>
                            </w:pPr>
                            <w:r>
                              <w:rPr>
                                <w:color w:val="231F20"/>
                                <w:spacing w:val="-2"/>
                                <w:sz w:val="15"/>
                              </w:rPr>
                              <w:t>Sodium</w:t>
                            </w:r>
                            <w:r>
                              <w:rPr>
                                <w:color w:val="231F20"/>
                                <w:sz w:val="15"/>
                              </w:rPr>
                              <w:tab/>
                            </w:r>
                            <w:r>
                              <w:rPr>
                                <w:color w:val="231F20"/>
                                <w:spacing w:val="-2"/>
                                <w:sz w:val="15"/>
                              </w:rPr>
                              <w:t>Avoid</w:t>
                            </w:r>
                            <w:r>
                              <w:rPr>
                                <w:color w:val="231F20"/>
                                <w:spacing w:val="-1"/>
                                <w:sz w:val="15"/>
                              </w:rPr>
                              <w:t> </w:t>
                            </w:r>
                            <w:r>
                              <w:rPr>
                                <w:color w:val="231F20"/>
                                <w:spacing w:val="-2"/>
                                <w:sz w:val="15"/>
                              </w:rPr>
                              <w:t>excessive;</w:t>
                            </w:r>
                            <w:r>
                              <w:rPr>
                                <w:color w:val="231F20"/>
                                <w:sz w:val="15"/>
                              </w:rPr>
                              <w:t> </w:t>
                            </w:r>
                            <w:r>
                              <w:rPr>
                                <w:color w:val="231F20"/>
                                <w:spacing w:val="-2"/>
                                <w:sz w:val="15"/>
                              </w:rPr>
                              <w:t>limit</w:t>
                            </w:r>
                            <w:r>
                              <w:rPr>
                                <w:color w:val="231F20"/>
                                <w:spacing w:val="-1"/>
                                <w:sz w:val="15"/>
                              </w:rPr>
                              <w:t> </w:t>
                            </w:r>
                            <w:r>
                              <w:rPr>
                                <w:color w:val="231F20"/>
                                <w:spacing w:val="-5"/>
                                <w:sz w:val="15"/>
                              </w:rPr>
                              <w:t>to</w:t>
                            </w:r>
                          </w:p>
                          <w:p>
                            <w:pPr>
                              <w:pStyle w:val="TableParagraph"/>
                              <w:spacing w:line="168" w:lineRule="exact"/>
                              <w:ind w:left="2817"/>
                              <w:rPr>
                                <w:sz w:val="15"/>
                              </w:rPr>
                            </w:pPr>
                            <w:r>
                              <w:rPr>
                                <w:color w:val="231F20"/>
                                <w:spacing w:val="-2"/>
                                <w:sz w:val="15"/>
                              </w:rPr>
                              <w:t>3,000-4,000</w:t>
                            </w:r>
                            <w:r>
                              <w:rPr>
                                <w:color w:val="231F20"/>
                                <w:spacing w:val="-1"/>
                                <w:sz w:val="15"/>
                              </w:rPr>
                              <w:t> </w:t>
                            </w:r>
                            <w:r>
                              <w:rPr>
                                <w:color w:val="231F20"/>
                                <w:spacing w:val="-2"/>
                                <w:sz w:val="15"/>
                              </w:rPr>
                              <w:t>mg</w:t>
                            </w:r>
                            <w:r>
                              <w:rPr>
                                <w:color w:val="231F20"/>
                                <w:spacing w:val="-1"/>
                                <w:sz w:val="15"/>
                              </w:rPr>
                              <w:t> </w:t>
                            </w:r>
                            <w:r>
                              <w:rPr>
                                <w:color w:val="231F20"/>
                                <w:spacing w:val="-5"/>
                                <w:sz w:val="15"/>
                              </w:rPr>
                              <w:t>if</w:t>
                            </w:r>
                          </w:p>
                          <w:p>
                            <w:pPr>
                              <w:pStyle w:val="TableParagraph"/>
                              <w:spacing w:line="171" w:lineRule="exact"/>
                              <w:ind w:left="2817"/>
                              <w:rPr>
                                <w:sz w:val="15"/>
                              </w:rPr>
                            </w:pPr>
                            <w:r>
                              <w:rPr>
                                <w:color w:val="231F20"/>
                                <w:spacing w:val="-2"/>
                                <w:sz w:val="15"/>
                              </w:rPr>
                              <w:t>hypertensive</w:t>
                            </w:r>
                          </w:p>
                        </w:tc>
                      </w:tr>
                      <w:tr>
                        <w:trPr>
                          <w:trHeight w:val="4299"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w w:val="115"/>
                                <w:sz w:val="15"/>
                              </w:rPr>
                              <w:t>ADDITIONAL</w:t>
                            </w:r>
                            <w:r>
                              <w:rPr>
                                <w:color w:val="231F20"/>
                                <w:spacing w:val="-11"/>
                                <w:w w:val="115"/>
                                <w:sz w:val="15"/>
                              </w:rPr>
                              <w:t> </w:t>
                            </w:r>
                            <w:r>
                              <w:rPr>
                                <w:color w:val="231F20"/>
                                <w:spacing w:val="-2"/>
                                <w:w w:val="115"/>
                                <w:sz w:val="15"/>
                              </w:rPr>
                              <w:t>RECOMMENDATIONS</w:t>
                            </w:r>
                          </w:p>
                          <w:p>
                            <w:pPr>
                              <w:pStyle w:val="TableParagraph"/>
                              <w:spacing w:line="230" w:lineRule="auto" w:before="19"/>
                              <w:ind w:left="186" w:right="108" w:hanging="112"/>
                              <w:rPr>
                                <w:sz w:val="15"/>
                              </w:rPr>
                            </w:pPr>
                            <w:r>
                              <w:rPr>
                                <w:i/>
                                <w:color w:val="231F20"/>
                                <w:sz w:val="15"/>
                              </w:rPr>
                              <w:t>Energy:</w:t>
                            </w:r>
                            <w:r>
                              <w:rPr>
                                <w:i/>
                                <w:color w:val="231F20"/>
                                <w:spacing w:val="-12"/>
                                <w:sz w:val="15"/>
                              </w:rPr>
                              <w:t> </w:t>
                            </w:r>
                            <w:r>
                              <w:rPr>
                                <w:color w:val="231F20"/>
                                <w:sz w:val="15"/>
                              </w:rPr>
                              <w:t>If</w:t>
                            </w:r>
                            <w:r>
                              <w:rPr>
                                <w:color w:val="231F20"/>
                                <w:spacing w:val="-11"/>
                                <w:sz w:val="15"/>
                              </w:rPr>
                              <w:t> </w:t>
                            </w:r>
                            <w:r>
                              <w:rPr>
                                <w:color w:val="231F20"/>
                                <w:sz w:val="15"/>
                              </w:rPr>
                              <w:t>using</w:t>
                            </w:r>
                            <w:r>
                              <w:rPr>
                                <w:color w:val="231F20"/>
                                <w:spacing w:val="-11"/>
                                <w:sz w:val="15"/>
                              </w:rPr>
                              <w:t> </w:t>
                            </w:r>
                            <w:r>
                              <w:rPr>
                                <w:color w:val="231F20"/>
                                <w:sz w:val="15"/>
                              </w:rPr>
                              <w:t>measured</w:t>
                            </w:r>
                            <w:r>
                              <w:rPr>
                                <w:color w:val="231F20"/>
                                <w:spacing w:val="-12"/>
                                <w:sz w:val="15"/>
                              </w:rPr>
                              <w:t> </w:t>
                            </w:r>
                            <w:r>
                              <w:rPr>
                                <w:color w:val="231F20"/>
                                <w:sz w:val="15"/>
                              </w:rPr>
                              <w:t>diet,</w:t>
                            </w:r>
                            <w:r>
                              <w:rPr>
                                <w:color w:val="231F20"/>
                                <w:spacing w:val="-11"/>
                                <w:sz w:val="15"/>
                              </w:rPr>
                              <w:t> </w:t>
                            </w:r>
                            <w:r>
                              <w:rPr>
                                <w:color w:val="231F20"/>
                                <w:sz w:val="15"/>
                              </w:rPr>
                              <w:t>reevaluate</w:t>
                            </w:r>
                            <w:r>
                              <w:rPr>
                                <w:color w:val="231F20"/>
                                <w:spacing w:val="-11"/>
                                <w:sz w:val="15"/>
                              </w:rPr>
                              <w:t> </w:t>
                            </w:r>
                            <w:r>
                              <w:rPr>
                                <w:color w:val="231F20"/>
                                <w:sz w:val="15"/>
                              </w:rPr>
                              <w:t>prescribed</w:t>
                            </w:r>
                            <w:r>
                              <w:rPr>
                                <w:color w:val="231F20"/>
                                <w:spacing w:val="-12"/>
                                <w:sz w:val="15"/>
                              </w:rPr>
                              <w:t> </w:t>
                            </w:r>
                            <w:r>
                              <w:rPr>
                                <w:color w:val="231F20"/>
                                <w:sz w:val="15"/>
                              </w:rPr>
                              <w:t>energy</w:t>
                            </w:r>
                            <w:r>
                              <w:rPr>
                                <w:color w:val="231F20"/>
                                <w:spacing w:val="-11"/>
                                <w:sz w:val="15"/>
                              </w:rPr>
                              <w:t> </w:t>
                            </w:r>
                            <w:r>
                              <w:rPr>
                                <w:color w:val="231F20"/>
                                <w:sz w:val="15"/>
                              </w:rPr>
                              <w:t>level at least every 3 mo.</w:t>
                            </w:r>
                          </w:p>
                          <w:p>
                            <w:pPr>
                              <w:pStyle w:val="TableParagraph"/>
                              <w:spacing w:line="230" w:lineRule="auto" w:before="2"/>
                              <w:ind w:left="186" w:right="73" w:hanging="112"/>
                              <w:rPr>
                                <w:sz w:val="15"/>
                              </w:rPr>
                            </w:pPr>
                            <w:r>
                              <w:rPr>
                                <w:i/>
                                <w:color w:val="231F20"/>
                                <w:sz w:val="15"/>
                              </w:rPr>
                              <w:t>Protein: </w:t>
                            </w:r>
                            <w:r>
                              <w:rPr>
                                <w:color w:val="231F20"/>
                                <w:sz w:val="15"/>
                              </w:rPr>
                              <w:t>High-protein intakes may contribute to diabetic nephropathy. Low intakes may reverse preclinical nephropathy. Therefore,</w:t>
                            </w:r>
                            <w:r>
                              <w:rPr>
                                <w:color w:val="231F20"/>
                                <w:spacing w:val="-4"/>
                                <w:sz w:val="15"/>
                              </w:rPr>
                              <w:t> </w:t>
                            </w:r>
                            <w:r>
                              <w:rPr>
                                <w:color w:val="231F20"/>
                                <w:sz w:val="15"/>
                              </w:rPr>
                              <w:t>12-20%</w:t>
                            </w:r>
                            <w:r>
                              <w:rPr>
                                <w:color w:val="231F20"/>
                                <w:spacing w:val="-4"/>
                                <w:sz w:val="15"/>
                              </w:rPr>
                              <w:t> </w:t>
                            </w:r>
                            <w:r>
                              <w:rPr>
                                <w:color w:val="231F20"/>
                                <w:sz w:val="15"/>
                              </w:rPr>
                              <w:t>of</w:t>
                            </w:r>
                            <w:r>
                              <w:rPr>
                                <w:color w:val="231F20"/>
                                <w:spacing w:val="-4"/>
                                <w:sz w:val="15"/>
                              </w:rPr>
                              <w:t> </w:t>
                            </w:r>
                            <w:r>
                              <w:rPr>
                                <w:color w:val="231F20"/>
                                <w:sz w:val="15"/>
                              </w:rPr>
                              <w:t>energy</w:t>
                            </w:r>
                            <w:r>
                              <w:rPr>
                                <w:color w:val="231F20"/>
                                <w:spacing w:val="-4"/>
                                <w:sz w:val="15"/>
                              </w:rPr>
                              <w:t> </w:t>
                            </w:r>
                            <w:r>
                              <w:rPr>
                                <w:color w:val="231F20"/>
                                <w:sz w:val="15"/>
                              </w:rPr>
                              <w:t>is</w:t>
                            </w:r>
                            <w:r>
                              <w:rPr>
                                <w:color w:val="231F20"/>
                                <w:spacing w:val="-4"/>
                                <w:sz w:val="15"/>
                              </w:rPr>
                              <w:t> </w:t>
                            </w:r>
                            <w:r>
                              <w:rPr>
                                <w:color w:val="231F20"/>
                                <w:sz w:val="15"/>
                              </w:rPr>
                              <w:t>recommended;</w:t>
                            </w:r>
                            <w:r>
                              <w:rPr>
                                <w:color w:val="231F20"/>
                                <w:spacing w:val="-4"/>
                                <w:sz w:val="15"/>
                              </w:rPr>
                              <w:t> </w:t>
                            </w:r>
                            <w:r>
                              <w:rPr>
                                <w:color w:val="231F20"/>
                                <w:sz w:val="15"/>
                              </w:rPr>
                              <w:t>lower</w:t>
                            </w:r>
                            <w:r>
                              <w:rPr>
                                <w:color w:val="231F20"/>
                                <w:spacing w:val="-4"/>
                                <w:sz w:val="15"/>
                              </w:rPr>
                              <w:t> </w:t>
                            </w:r>
                            <w:r>
                              <w:rPr>
                                <w:color w:val="231F20"/>
                                <w:sz w:val="15"/>
                              </w:rPr>
                              <w:t>end</w:t>
                            </w:r>
                            <w:r>
                              <w:rPr>
                                <w:color w:val="231F20"/>
                                <w:spacing w:val="-4"/>
                                <w:sz w:val="15"/>
                              </w:rPr>
                              <w:t> </w:t>
                            </w:r>
                            <w:r>
                              <w:rPr>
                                <w:color w:val="231F20"/>
                                <w:sz w:val="15"/>
                              </w:rPr>
                              <w:t>of</w:t>
                            </w:r>
                            <w:r>
                              <w:rPr>
                                <w:color w:val="231F20"/>
                                <w:spacing w:val="-4"/>
                                <w:sz w:val="15"/>
                              </w:rPr>
                              <w:t> </w:t>
                            </w:r>
                            <w:r>
                              <w:rPr>
                                <w:color w:val="231F20"/>
                                <w:sz w:val="15"/>
                              </w:rPr>
                              <w:t>range is preferred. In guiding toward the end of the range, a staged approach is useful.</w:t>
                            </w:r>
                          </w:p>
                          <w:p>
                            <w:pPr>
                              <w:pStyle w:val="TableParagraph"/>
                              <w:spacing w:line="230" w:lineRule="auto" w:before="4"/>
                              <w:ind w:left="186" w:right="108" w:hanging="112"/>
                              <w:rPr>
                                <w:sz w:val="15"/>
                              </w:rPr>
                            </w:pPr>
                            <w:r>
                              <w:rPr>
                                <w:i/>
                                <w:color w:val="231F20"/>
                                <w:sz w:val="15"/>
                              </w:rPr>
                              <w:t>Alcohol: </w:t>
                            </w:r>
                            <w:r>
                              <w:rPr>
                                <w:color w:val="231F20"/>
                                <w:sz w:val="15"/>
                              </w:rPr>
                              <w:t>Safe use of moderate alcohol consumption should be taught</w:t>
                            </w:r>
                            <w:r>
                              <w:rPr>
                                <w:color w:val="231F20"/>
                                <w:spacing w:val="-11"/>
                                <w:sz w:val="15"/>
                              </w:rPr>
                              <w:t> </w:t>
                            </w:r>
                            <w:r>
                              <w:rPr>
                                <w:color w:val="231F20"/>
                                <w:sz w:val="15"/>
                              </w:rPr>
                              <w:t>as</w:t>
                            </w:r>
                            <w:r>
                              <w:rPr>
                                <w:color w:val="231F20"/>
                                <w:spacing w:val="-11"/>
                                <w:sz w:val="15"/>
                              </w:rPr>
                              <w:t> </w:t>
                            </w:r>
                            <w:r>
                              <w:rPr>
                                <w:color w:val="231F20"/>
                                <w:sz w:val="15"/>
                              </w:rPr>
                              <w:t>routine</w:t>
                            </w:r>
                            <w:r>
                              <w:rPr>
                                <w:color w:val="231F20"/>
                                <w:spacing w:val="-11"/>
                                <w:sz w:val="15"/>
                              </w:rPr>
                              <w:t> </w:t>
                            </w:r>
                            <w:r>
                              <w:rPr>
                                <w:color w:val="231F20"/>
                                <w:sz w:val="15"/>
                              </w:rPr>
                              <w:t>anticipatory</w:t>
                            </w:r>
                            <w:r>
                              <w:rPr>
                                <w:color w:val="231F20"/>
                                <w:spacing w:val="-11"/>
                                <w:sz w:val="15"/>
                              </w:rPr>
                              <w:t> </w:t>
                            </w:r>
                            <w:r>
                              <w:rPr>
                                <w:color w:val="231F20"/>
                                <w:sz w:val="15"/>
                              </w:rPr>
                              <w:t>guidance</w:t>
                            </w:r>
                            <w:r>
                              <w:rPr>
                                <w:color w:val="231F20"/>
                                <w:spacing w:val="-11"/>
                                <w:sz w:val="15"/>
                              </w:rPr>
                              <w:t> </w:t>
                            </w:r>
                            <w:r>
                              <w:rPr>
                                <w:color w:val="231F20"/>
                                <w:sz w:val="15"/>
                              </w:rPr>
                              <w:t>as</w:t>
                            </w:r>
                            <w:r>
                              <w:rPr>
                                <w:color w:val="231F20"/>
                                <w:spacing w:val="-11"/>
                                <w:sz w:val="15"/>
                              </w:rPr>
                              <w:t> </w:t>
                            </w:r>
                            <w:r>
                              <w:rPr>
                                <w:color w:val="231F20"/>
                                <w:sz w:val="15"/>
                              </w:rPr>
                              <w:t>early</w:t>
                            </w:r>
                            <w:r>
                              <w:rPr>
                                <w:color w:val="231F20"/>
                                <w:spacing w:val="-11"/>
                                <w:sz w:val="15"/>
                              </w:rPr>
                              <w:t> </w:t>
                            </w:r>
                            <w:r>
                              <w:rPr>
                                <w:color w:val="231F20"/>
                                <w:sz w:val="15"/>
                              </w:rPr>
                              <w:t>as</w:t>
                            </w:r>
                            <w:r>
                              <w:rPr>
                                <w:color w:val="231F20"/>
                                <w:spacing w:val="-11"/>
                                <w:sz w:val="15"/>
                              </w:rPr>
                              <w:t> </w:t>
                            </w:r>
                            <w:r>
                              <w:rPr>
                                <w:color w:val="231F20"/>
                                <w:sz w:val="15"/>
                              </w:rPr>
                              <w:t>junior</w:t>
                            </w:r>
                            <w:r>
                              <w:rPr>
                                <w:color w:val="231F20"/>
                                <w:spacing w:val="-11"/>
                                <w:sz w:val="15"/>
                              </w:rPr>
                              <w:t> </w:t>
                            </w:r>
                            <w:r>
                              <w:rPr>
                                <w:color w:val="231F20"/>
                                <w:sz w:val="15"/>
                              </w:rPr>
                              <w:t>high </w:t>
                            </w:r>
                            <w:r>
                              <w:rPr>
                                <w:color w:val="231F20"/>
                                <w:spacing w:val="-2"/>
                                <w:sz w:val="15"/>
                              </w:rPr>
                              <w:t>school.</w:t>
                            </w:r>
                          </w:p>
                          <w:p>
                            <w:pPr>
                              <w:pStyle w:val="TableParagraph"/>
                              <w:spacing w:line="230" w:lineRule="auto" w:before="2"/>
                              <w:ind w:left="186" w:right="108" w:hanging="112"/>
                              <w:rPr>
                                <w:sz w:val="15"/>
                              </w:rPr>
                            </w:pPr>
                            <w:r>
                              <w:rPr>
                                <w:i/>
                                <w:color w:val="231F20"/>
                                <w:sz w:val="15"/>
                              </w:rPr>
                              <w:t>Snacks: </w:t>
                            </w:r>
                            <w:r>
                              <w:rPr>
                                <w:color w:val="231F20"/>
                                <w:sz w:val="15"/>
                              </w:rPr>
                              <w:t>Snacks vary according to individual needs (generally 3 snacks</w:t>
                            </w:r>
                            <w:r>
                              <w:rPr>
                                <w:color w:val="231F20"/>
                                <w:spacing w:val="-9"/>
                                <w:sz w:val="15"/>
                              </w:rPr>
                              <w:t> </w:t>
                            </w:r>
                            <w:r>
                              <w:rPr>
                                <w:color w:val="231F20"/>
                                <w:sz w:val="15"/>
                              </w:rPr>
                              <w:t>per</w:t>
                            </w:r>
                            <w:r>
                              <w:rPr>
                                <w:color w:val="231F20"/>
                                <w:spacing w:val="-9"/>
                                <w:sz w:val="15"/>
                              </w:rPr>
                              <w:t> </w:t>
                            </w:r>
                            <w:r>
                              <w:rPr>
                                <w:color w:val="231F20"/>
                                <w:sz w:val="15"/>
                              </w:rPr>
                              <w:t>day</w:t>
                            </w:r>
                            <w:r>
                              <w:rPr>
                                <w:color w:val="231F20"/>
                                <w:spacing w:val="-9"/>
                                <w:sz w:val="15"/>
                              </w:rPr>
                              <w:t> </w:t>
                            </w:r>
                            <w:r>
                              <w:rPr>
                                <w:color w:val="231F20"/>
                                <w:sz w:val="15"/>
                              </w:rPr>
                              <w:t>for</w:t>
                            </w:r>
                            <w:r>
                              <w:rPr>
                                <w:color w:val="231F20"/>
                                <w:spacing w:val="-9"/>
                                <w:sz w:val="15"/>
                              </w:rPr>
                              <w:t> </w:t>
                            </w:r>
                            <w:r>
                              <w:rPr>
                                <w:color w:val="231F20"/>
                                <w:sz w:val="15"/>
                              </w:rPr>
                              <w:t>children;</w:t>
                            </w:r>
                            <w:r>
                              <w:rPr>
                                <w:color w:val="231F20"/>
                                <w:spacing w:val="-9"/>
                                <w:sz w:val="15"/>
                              </w:rPr>
                              <w:t> </w:t>
                            </w:r>
                            <w:r>
                              <w:rPr>
                                <w:color w:val="231F20"/>
                                <w:sz w:val="15"/>
                              </w:rPr>
                              <w:t>midafternoon</w:t>
                            </w:r>
                            <w:r>
                              <w:rPr>
                                <w:color w:val="231F20"/>
                                <w:spacing w:val="-9"/>
                                <w:sz w:val="15"/>
                              </w:rPr>
                              <w:t> </w:t>
                            </w:r>
                            <w:r>
                              <w:rPr>
                                <w:color w:val="231F20"/>
                                <w:sz w:val="15"/>
                              </w:rPr>
                              <w:t>and</w:t>
                            </w:r>
                            <w:r>
                              <w:rPr>
                                <w:color w:val="231F20"/>
                                <w:spacing w:val="-9"/>
                                <w:sz w:val="15"/>
                              </w:rPr>
                              <w:t> </w:t>
                            </w:r>
                            <w:r>
                              <w:rPr>
                                <w:color w:val="231F20"/>
                                <w:sz w:val="15"/>
                              </w:rPr>
                              <w:t>bedtime</w:t>
                            </w:r>
                            <w:r>
                              <w:rPr>
                                <w:color w:val="231F20"/>
                                <w:spacing w:val="-9"/>
                                <w:sz w:val="15"/>
                              </w:rPr>
                              <w:t> </w:t>
                            </w:r>
                            <w:r>
                              <w:rPr>
                                <w:color w:val="231F20"/>
                                <w:sz w:val="15"/>
                              </w:rPr>
                              <w:t>snacks</w:t>
                            </w:r>
                            <w:r>
                              <w:rPr>
                                <w:color w:val="231F20"/>
                                <w:spacing w:val="-9"/>
                                <w:sz w:val="15"/>
                              </w:rPr>
                              <w:t> </w:t>
                            </w:r>
                            <w:r>
                              <w:rPr>
                                <w:color w:val="231F20"/>
                                <w:sz w:val="15"/>
                              </w:rPr>
                              <w:t>for junior high children or teens).</w:t>
                            </w:r>
                          </w:p>
                          <w:p>
                            <w:pPr>
                              <w:pStyle w:val="TableParagraph"/>
                              <w:spacing w:line="168" w:lineRule="exact"/>
                              <w:ind w:left="74"/>
                              <w:rPr>
                                <w:sz w:val="15"/>
                              </w:rPr>
                            </w:pPr>
                            <w:r>
                              <w:rPr>
                                <w:i/>
                                <w:color w:val="231F20"/>
                                <w:spacing w:val="-2"/>
                                <w:sz w:val="15"/>
                              </w:rPr>
                              <w:t>Alternative</w:t>
                            </w:r>
                            <w:r>
                              <w:rPr>
                                <w:i/>
                                <w:color w:val="231F20"/>
                                <w:spacing w:val="-5"/>
                                <w:sz w:val="15"/>
                              </w:rPr>
                              <w:t> </w:t>
                            </w:r>
                            <w:r>
                              <w:rPr>
                                <w:i/>
                                <w:color w:val="231F20"/>
                                <w:spacing w:val="-2"/>
                                <w:sz w:val="15"/>
                              </w:rPr>
                              <w:t>sweeteners:</w:t>
                            </w:r>
                            <w:r>
                              <w:rPr>
                                <w:i/>
                                <w:color w:val="231F20"/>
                                <w:spacing w:val="-4"/>
                                <w:sz w:val="15"/>
                              </w:rPr>
                              <w:t> </w:t>
                            </w:r>
                            <w:r>
                              <w:rPr>
                                <w:color w:val="231F20"/>
                                <w:spacing w:val="-2"/>
                                <w:sz w:val="15"/>
                              </w:rPr>
                              <w:t>Use</w:t>
                            </w:r>
                            <w:r>
                              <w:rPr>
                                <w:color w:val="231F20"/>
                                <w:spacing w:val="-4"/>
                                <w:sz w:val="15"/>
                              </w:rPr>
                              <w:t> </w:t>
                            </w:r>
                            <w:r>
                              <w:rPr>
                                <w:color w:val="231F20"/>
                                <w:spacing w:val="-2"/>
                                <w:sz w:val="15"/>
                              </w:rPr>
                              <w:t>of</w:t>
                            </w:r>
                            <w:r>
                              <w:rPr>
                                <w:color w:val="231F20"/>
                                <w:spacing w:val="-5"/>
                                <w:sz w:val="15"/>
                              </w:rPr>
                              <w:t> </w:t>
                            </w:r>
                            <w:r>
                              <w:rPr>
                                <w:color w:val="231F20"/>
                                <w:spacing w:val="-2"/>
                                <w:sz w:val="15"/>
                              </w:rPr>
                              <w:t>a</w:t>
                            </w:r>
                            <w:r>
                              <w:rPr>
                                <w:color w:val="231F20"/>
                                <w:spacing w:val="-4"/>
                                <w:sz w:val="15"/>
                              </w:rPr>
                              <w:t> </w:t>
                            </w:r>
                            <w:r>
                              <w:rPr>
                                <w:color w:val="231F20"/>
                                <w:spacing w:val="-2"/>
                                <w:sz w:val="15"/>
                              </w:rPr>
                              <w:t>variety</w:t>
                            </w:r>
                            <w:r>
                              <w:rPr>
                                <w:color w:val="231F20"/>
                                <w:spacing w:val="-4"/>
                                <w:sz w:val="15"/>
                              </w:rPr>
                              <w:t> </w:t>
                            </w:r>
                            <w:r>
                              <w:rPr>
                                <w:color w:val="231F20"/>
                                <w:spacing w:val="-2"/>
                                <w:sz w:val="15"/>
                              </w:rPr>
                              <w:t>of</w:t>
                            </w:r>
                            <w:r>
                              <w:rPr>
                                <w:color w:val="231F20"/>
                                <w:spacing w:val="-5"/>
                                <w:sz w:val="15"/>
                              </w:rPr>
                              <w:t> </w:t>
                            </w:r>
                            <w:r>
                              <w:rPr>
                                <w:color w:val="231F20"/>
                                <w:spacing w:val="-2"/>
                                <w:sz w:val="15"/>
                              </w:rPr>
                              <w:t>sweeteners</w:t>
                            </w:r>
                            <w:r>
                              <w:rPr>
                                <w:color w:val="231F20"/>
                                <w:spacing w:val="-4"/>
                                <w:sz w:val="15"/>
                              </w:rPr>
                              <w:t> </w:t>
                            </w:r>
                            <w:r>
                              <w:rPr>
                                <w:color w:val="231F20"/>
                                <w:spacing w:val="-2"/>
                                <w:sz w:val="15"/>
                              </w:rPr>
                              <w:t>is</w:t>
                            </w:r>
                            <w:r>
                              <w:rPr>
                                <w:color w:val="231F20"/>
                                <w:spacing w:val="-4"/>
                                <w:sz w:val="15"/>
                              </w:rPr>
                              <w:t> </w:t>
                            </w:r>
                            <w:r>
                              <w:rPr>
                                <w:color w:val="231F20"/>
                                <w:spacing w:val="-2"/>
                                <w:sz w:val="15"/>
                              </w:rPr>
                              <w:t>suggested.</w:t>
                            </w:r>
                          </w:p>
                          <w:p>
                            <w:pPr>
                              <w:pStyle w:val="TableParagraph"/>
                              <w:spacing w:line="230" w:lineRule="auto" w:before="2"/>
                              <w:ind w:left="186" w:hanging="112"/>
                              <w:rPr>
                                <w:sz w:val="15"/>
                              </w:rPr>
                            </w:pPr>
                            <w:r>
                              <w:rPr>
                                <w:i/>
                                <w:color w:val="231F20"/>
                                <w:sz w:val="15"/>
                              </w:rPr>
                              <w:t>Educational</w:t>
                            </w:r>
                            <w:r>
                              <w:rPr>
                                <w:i/>
                                <w:color w:val="231F20"/>
                                <w:spacing w:val="-6"/>
                                <w:sz w:val="15"/>
                              </w:rPr>
                              <w:t> </w:t>
                            </w:r>
                            <w:r>
                              <w:rPr>
                                <w:i/>
                                <w:color w:val="231F20"/>
                                <w:sz w:val="15"/>
                              </w:rPr>
                              <w:t>techniques:</w:t>
                            </w:r>
                            <w:r>
                              <w:rPr>
                                <w:i/>
                                <w:color w:val="231F20"/>
                                <w:spacing w:val="-6"/>
                                <w:sz w:val="15"/>
                              </w:rPr>
                              <w:t> </w:t>
                            </w:r>
                            <w:r>
                              <w:rPr>
                                <w:color w:val="231F20"/>
                                <w:sz w:val="15"/>
                              </w:rPr>
                              <w:t>No</w:t>
                            </w:r>
                            <w:r>
                              <w:rPr>
                                <w:color w:val="231F20"/>
                                <w:spacing w:val="-6"/>
                                <w:sz w:val="15"/>
                              </w:rPr>
                              <w:t> </w:t>
                            </w:r>
                            <w:r>
                              <w:rPr>
                                <w:color w:val="231F20"/>
                                <w:sz w:val="15"/>
                              </w:rPr>
                              <w:t>single</w:t>
                            </w:r>
                            <w:r>
                              <w:rPr>
                                <w:color w:val="231F20"/>
                                <w:spacing w:val="-6"/>
                                <w:sz w:val="15"/>
                              </w:rPr>
                              <w:t> </w:t>
                            </w:r>
                            <w:r>
                              <w:rPr>
                                <w:color w:val="231F20"/>
                                <w:sz w:val="15"/>
                              </w:rPr>
                              <w:t>technique</w:t>
                            </w:r>
                            <w:r>
                              <w:rPr>
                                <w:color w:val="231F20"/>
                                <w:spacing w:val="-6"/>
                                <w:sz w:val="15"/>
                              </w:rPr>
                              <w:t> </w:t>
                            </w:r>
                            <w:r>
                              <w:rPr>
                                <w:color w:val="231F20"/>
                                <w:sz w:val="15"/>
                              </w:rPr>
                              <w:t>is</w:t>
                            </w:r>
                            <w:r>
                              <w:rPr>
                                <w:color w:val="231F20"/>
                                <w:spacing w:val="-6"/>
                                <w:sz w:val="15"/>
                              </w:rPr>
                              <w:t> </w:t>
                            </w:r>
                            <w:r>
                              <w:rPr>
                                <w:color w:val="231F20"/>
                                <w:sz w:val="15"/>
                              </w:rPr>
                              <w:t>superior.</w:t>
                            </w:r>
                            <w:r>
                              <w:rPr>
                                <w:color w:val="231F20"/>
                                <w:spacing w:val="-6"/>
                                <w:sz w:val="15"/>
                              </w:rPr>
                              <w:t> </w:t>
                            </w:r>
                            <w:r>
                              <w:rPr>
                                <w:color w:val="231F20"/>
                                <w:sz w:val="15"/>
                              </w:rPr>
                              <w:t>Choice</w:t>
                            </w:r>
                            <w:r>
                              <w:rPr>
                                <w:color w:val="231F20"/>
                                <w:spacing w:val="-6"/>
                                <w:sz w:val="15"/>
                              </w:rPr>
                              <w:t> </w:t>
                            </w:r>
                            <w:r>
                              <w:rPr>
                                <w:color w:val="231F20"/>
                                <w:sz w:val="15"/>
                              </w:rPr>
                              <w:t>of educational method used should be based on patient needs.</w:t>
                            </w:r>
                          </w:p>
                          <w:p>
                            <w:pPr>
                              <w:pStyle w:val="TableParagraph"/>
                              <w:spacing w:line="230" w:lineRule="auto" w:before="2"/>
                              <w:ind w:left="186"/>
                              <w:rPr>
                                <w:sz w:val="15"/>
                              </w:rPr>
                            </w:pPr>
                            <w:r>
                              <w:rPr>
                                <w:color w:val="231F20"/>
                                <w:sz w:val="15"/>
                              </w:rPr>
                              <w:t>Knowledge</w:t>
                            </w:r>
                            <w:r>
                              <w:rPr>
                                <w:color w:val="231F20"/>
                                <w:spacing w:val="-12"/>
                                <w:sz w:val="15"/>
                              </w:rPr>
                              <w:t> </w:t>
                            </w:r>
                            <w:r>
                              <w:rPr>
                                <w:color w:val="231F20"/>
                                <w:sz w:val="15"/>
                              </w:rPr>
                              <w:t>of</w:t>
                            </w:r>
                            <w:r>
                              <w:rPr>
                                <w:color w:val="231F20"/>
                                <w:spacing w:val="-11"/>
                                <w:sz w:val="15"/>
                              </w:rPr>
                              <w:t> </w:t>
                            </w:r>
                            <w:r>
                              <w:rPr>
                                <w:color w:val="231F20"/>
                                <w:sz w:val="15"/>
                              </w:rPr>
                              <w:t>variety</w:t>
                            </w:r>
                            <w:r>
                              <w:rPr>
                                <w:color w:val="231F20"/>
                                <w:spacing w:val="-11"/>
                                <w:sz w:val="15"/>
                              </w:rPr>
                              <w:t> </w:t>
                            </w:r>
                            <w:r>
                              <w:rPr>
                                <w:color w:val="231F20"/>
                                <w:sz w:val="15"/>
                              </w:rPr>
                              <w:t>of</w:t>
                            </w:r>
                            <w:r>
                              <w:rPr>
                                <w:color w:val="231F20"/>
                                <w:spacing w:val="-12"/>
                                <w:sz w:val="15"/>
                              </w:rPr>
                              <w:t> </w:t>
                            </w:r>
                            <w:r>
                              <w:rPr>
                                <w:color w:val="231F20"/>
                                <w:sz w:val="15"/>
                              </w:rPr>
                              <w:t>techniques</w:t>
                            </w:r>
                            <w:r>
                              <w:rPr>
                                <w:color w:val="231F20"/>
                                <w:spacing w:val="-11"/>
                                <w:sz w:val="15"/>
                              </w:rPr>
                              <w:t> </w:t>
                            </w:r>
                            <w:r>
                              <w:rPr>
                                <w:color w:val="231F20"/>
                                <w:sz w:val="15"/>
                              </w:rPr>
                              <w:t>is</w:t>
                            </w:r>
                            <w:r>
                              <w:rPr>
                                <w:color w:val="231F20"/>
                                <w:spacing w:val="-11"/>
                                <w:sz w:val="15"/>
                              </w:rPr>
                              <w:t> </w:t>
                            </w:r>
                            <w:r>
                              <w:rPr>
                                <w:color w:val="231F20"/>
                                <w:sz w:val="15"/>
                              </w:rPr>
                              <w:t>important.</w:t>
                            </w:r>
                            <w:r>
                              <w:rPr>
                                <w:color w:val="231F20"/>
                                <w:spacing w:val="-12"/>
                                <w:sz w:val="15"/>
                              </w:rPr>
                              <w:t> </w:t>
                            </w:r>
                            <w:r>
                              <w:rPr>
                                <w:color w:val="231F20"/>
                                <w:sz w:val="15"/>
                              </w:rPr>
                              <w:t>Follow-</w:t>
                            </w:r>
                            <w:r>
                              <w:rPr>
                                <w:color w:val="231F20"/>
                                <w:sz w:val="15"/>
                              </w:rPr>
                              <w:t>up education and support are required.</w:t>
                            </w:r>
                          </w:p>
                          <w:p>
                            <w:pPr>
                              <w:pStyle w:val="TableParagraph"/>
                              <w:spacing w:line="230" w:lineRule="auto" w:before="1"/>
                              <w:ind w:left="186" w:right="266" w:hanging="112"/>
                              <w:jc w:val="both"/>
                              <w:rPr>
                                <w:sz w:val="15"/>
                              </w:rPr>
                            </w:pPr>
                            <w:r>
                              <w:rPr>
                                <w:i/>
                                <w:color w:val="231F20"/>
                                <w:sz w:val="15"/>
                              </w:rPr>
                              <w:t>Eating</w:t>
                            </w:r>
                            <w:r>
                              <w:rPr>
                                <w:i/>
                                <w:color w:val="231F20"/>
                                <w:spacing w:val="-12"/>
                                <w:sz w:val="15"/>
                              </w:rPr>
                              <w:t> </w:t>
                            </w:r>
                            <w:r>
                              <w:rPr>
                                <w:i/>
                                <w:color w:val="231F20"/>
                                <w:sz w:val="15"/>
                              </w:rPr>
                              <w:t>disorders:</w:t>
                            </w:r>
                            <w:r>
                              <w:rPr>
                                <w:i/>
                                <w:color w:val="231F20"/>
                                <w:spacing w:val="-11"/>
                                <w:sz w:val="15"/>
                              </w:rPr>
                              <w:t> </w:t>
                            </w:r>
                            <w:r>
                              <w:rPr>
                                <w:color w:val="231F20"/>
                                <w:sz w:val="15"/>
                              </w:rPr>
                              <w:t>Best</w:t>
                            </w:r>
                            <w:r>
                              <w:rPr>
                                <w:color w:val="231F20"/>
                                <w:spacing w:val="-11"/>
                                <w:sz w:val="15"/>
                              </w:rPr>
                              <w:t> </w:t>
                            </w:r>
                            <w:r>
                              <w:rPr>
                                <w:color w:val="231F20"/>
                                <w:sz w:val="15"/>
                              </w:rPr>
                              <w:t>treatment</w:t>
                            </w:r>
                            <w:r>
                              <w:rPr>
                                <w:color w:val="231F20"/>
                                <w:spacing w:val="-12"/>
                                <w:sz w:val="15"/>
                              </w:rPr>
                              <w:t> </w:t>
                            </w:r>
                            <w:r>
                              <w:rPr>
                                <w:color w:val="231F20"/>
                                <w:sz w:val="15"/>
                              </w:rPr>
                              <w:t>is</w:t>
                            </w:r>
                            <w:r>
                              <w:rPr>
                                <w:color w:val="231F20"/>
                                <w:spacing w:val="-11"/>
                                <w:sz w:val="15"/>
                              </w:rPr>
                              <w:t> </w:t>
                            </w:r>
                            <w:r>
                              <w:rPr>
                                <w:color w:val="231F20"/>
                                <w:sz w:val="15"/>
                              </w:rPr>
                              <w:t>prevention.</w:t>
                            </w:r>
                            <w:r>
                              <w:rPr>
                                <w:color w:val="231F20"/>
                                <w:spacing w:val="-11"/>
                                <w:sz w:val="15"/>
                              </w:rPr>
                              <w:t> </w:t>
                            </w:r>
                            <w:r>
                              <w:rPr>
                                <w:color w:val="231F20"/>
                                <w:sz w:val="15"/>
                              </w:rPr>
                              <w:t>Unexplained</w:t>
                            </w:r>
                            <w:r>
                              <w:rPr>
                                <w:color w:val="231F20"/>
                                <w:spacing w:val="-12"/>
                                <w:sz w:val="15"/>
                              </w:rPr>
                              <w:t> </w:t>
                            </w:r>
                            <w:r>
                              <w:rPr>
                                <w:color w:val="231F20"/>
                                <w:sz w:val="15"/>
                              </w:rPr>
                              <w:t>poor control</w:t>
                            </w:r>
                            <w:r>
                              <w:rPr>
                                <w:color w:val="231F20"/>
                                <w:spacing w:val="-8"/>
                                <w:sz w:val="15"/>
                              </w:rPr>
                              <w:t> </w:t>
                            </w:r>
                            <w:r>
                              <w:rPr>
                                <w:color w:val="231F20"/>
                                <w:sz w:val="15"/>
                              </w:rPr>
                              <w:t>or</w:t>
                            </w:r>
                            <w:r>
                              <w:rPr>
                                <w:color w:val="231F20"/>
                                <w:spacing w:val="-8"/>
                                <w:sz w:val="15"/>
                              </w:rPr>
                              <w:t> </w:t>
                            </w:r>
                            <w:r>
                              <w:rPr>
                                <w:color w:val="231F20"/>
                                <w:sz w:val="15"/>
                              </w:rPr>
                              <w:t>severe</w:t>
                            </w:r>
                            <w:r>
                              <w:rPr>
                                <w:color w:val="231F20"/>
                                <w:spacing w:val="-8"/>
                                <w:sz w:val="15"/>
                              </w:rPr>
                              <w:t> </w:t>
                            </w:r>
                            <w:r>
                              <w:rPr>
                                <w:color w:val="231F20"/>
                                <w:sz w:val="15"/>
                              </w:rPr>
                              <w:t>hypoglycemia</w:t>
                            </w:r>
                            <w:r>
                              <w:rPr>
                                <w:color w:val="231F20"/>
                                <w:spacing w:val="-8"/>
                                <w:sz w:val="15"/>
                              </w:rPr>
                              <w:t> </w:t>
                            </w:r>
                            <w:r>
                              <w:rPr>
                                <w:color w:val="231F20"/>
                                <w:sz w:val="15"/>
                              </w:rPr>
                              <w:t>may</w:t>
                            </w:r>
                            <w:r>
                              <w:rPr>
                                <w:color w:val="231F20"/>
                                <w:spacing w:val="-8"/>
                                <w:sz w:val="15"/>
                              </w:rPr>
                              <w:t> </w:t>
                            </w:r>
                            <w:r>
                              <w:rPr>
                                <w:color w:val="231F20"/>
                                <w:sz w:val="15"/>
                              </w:rPr>
                              <w:t>indicate</w:t>
                            </w:r>
                            <w:r>
                              <w:rPr>
                                <w:color w:val="231F20"/>
                                <w:spacing w:val="-8"/>
                                <w:sz w:val="15"/>
                              </w:rPr>
                              <w:t> </w:t>
                            </w:r>
                            <w:r>
                              <w:rPr>
                                <w:color w:val="231F20"/>
                                <w:sz w:val="15"/>
                              </w:rPr>
                              <w:t>a</w:t>
                            </w:r>
                            <w:r>
                              <w:rPr>
                                <w:color w:val="231F20"/>
                                <w:spacing w:val="-8"/>
                                <w:sz w:val="15"/>
                              </w:rPr>
                              <w:t> </w:t>
                            </w:r>
                            <w:r>
                              <w:rPr>
                                <w:color w:val="231F20"/>
                                <w:sz w:val="15"/>
                              </w:rPr>
                              <w:t>potential</w:t>
                            </w:r>
                            <w:r>
                              <w:rPr>
                                <w:color w:val="231F20"/>
                                <w:spacing w:val="-8"/>
                                <w:sz w:val="15"/>
                              </w:rPr>
                              <w:t> </w:t>
                            </w:r>
                            <w:r>
                              <w:rPr>
                                <w:color w:val="231F20"/>
                                <w:sz w:val="15"/>
                              </w:rPr>
                              <w:t>eating </w:t>
                            </w:r>
                            <w:r>
                              <w:rPr>
                                <w:color w:val="231F20"/>
                                <w:spacing w:val="-2"/>
                                <w:sz w:val="15"/>
                              </w:rPr>
                              <w:t>disorder.</w:t>
                            </w:r>
                          </w:p>
                          <w:p>
                            <w:pPr>
                              <w:pStyle w:val="TableParagraph"/>
                              <w:spacing w:line="230" w:lineRule="auto" w:before="2"/>
                              <w:ind w:left="186" w:right="108" w:hanging="112"/>
                              <w:rPr>
                                <w:sz w:val="15"/>
                              </w:rPr>
                            </w:pPr>
                            <w:r>
                              <w:rPr>
                                <w:i/>
                                <w:color w:val="231F20"/>
                                <w:sz w:val="15"/>
                              </w:rPr>
                              <w:t>Exercise:</w:t>
                            </w:r>
                            <w:r>
                              <w:rPr>
                                <w:i/>
                                <w:color w:val="231F20"/>
                                <w:spacing w:val="-6"/>
                                <w:sz w:val="15"/>
                              </w:rPr>
                              <w:t> </w:t>
                            </w:r>
                            <w:r>
                              <w:rPr>
                                <w:color w:val="231F20"/>
                                <w:sz w:val="15"/>
                              </w:rPr>
                              <w:t>Education</w:t>
                            </w:r>
                            <w:r>
                              <w:rPr>
                                <w:color w:val="231F20"/>
                                <w:spacing w:val="-6"/>
                                <w:sz w:val="15"/>
                              </w:rPr>
                              <w:t> </w:t>
                            </w:r>
                            <w:r>
                              <w:rPr>
                                <w:color w:val="231F20"/>
                                <w:sz w:val="15"/>
                              </w:rPr>
                              <w:t>is</w:t>
                            </w:r>
                            <w:r>
                              <w:rPr>
                                <w:color w:val="231F20"/>
                                <w:spacing w:val="-6"/>
                                <w:sz w:val="15"/>
                              </w:rPr>
                              <w:t> </w:t>
                            </w:r>
                            <w:r>
                              <w:rPr>
                                <w:color w:val="231F20"/>
                                <w:sz w:val="15"/>
                              </w:rPr>
                              <w:t>vital</w:t>
                            </w:r>
                            <w:r>
                              <w:rPr>
                                <w:color w:val="231F20"/>
                                <w:spacing w:val="-6"/>
                                <w:sz w:val="15"/>
                              </w:rPr>
                              <w:t> </w:t>
                            </w:r>
                            <w:r>
                              <w:rPr>
                                <w:color w:val="231F20"/>
                                <w:sz w:val="15"/>
                              </w:rPr>
                              <w:t>to</w:t>
                            </w:r>
                            <w:r>
                              <w:rPr>
                                <w:color w:val="231F20"/>
                                <w:spacing w:val="-6"/>
                                <w:sz w:val="15"/>
                              </w:rPr>
                              <w:t> </w:t>
                            </w:r>
                            <w:r>
                              <w:rPr>
                                <w:color w:val="231F20"/>
                                <w:sz w:val="15"/>
                              </w:rPr>
                              <w:t>prevent</w:t>
                            </w:r>
                            <w:r>
                              <w:rPr>
                                <w:color w:val="231F20"/>
                                <w:spacing w:val="-6"/>
                                <w:sz w:val="15"/>
                              </w:rPr>
                              <w:t> </w:t>
                            </w:r>
                            <w:r>
                              <w:rPr>
                                <w:color w:val="231F20"/>
                                <w:sz w:val="15"/>
                              </w:rPr>
                              <w:t>delayed</w:t>
                            </w:r>
                            <w:r>
                              <w:rPr>
                                <w:color w:val="231F20"/>
                                <w:spacing w:val="-6"/>
                                <w:sz w:val="15"/>
                              </w:rPr>
                              <w:t> </w:t>
                            </w:r>
                            <w:r>
                              <w:rPr>
                                <w:color w:val="231F20"/>
                                <w:sz w:val="15"/>
                              </w:rPr>
                              <w:t>or</w:t>
                            </w:r>
                            <w:r>
                              <w:rPr>
                                <w:color w:val="231F20"/>
                                <w:spacing w:val="-6"/>
                                <w:sz w:val="15"/>
                              </w:rPr>
                              <w:t> </w:t>
                            </w:r>
                            <w:r>
                              <w:rPr>
                                <w:color w:val="231F20"/>
                                <w:sz w:val="15"/>
                              </w:rPr>
                              <w:t>immediate hypoglycemia</w:t>
                            </w:r>
                            <w:r>
                              <w:rPr>
                                <w:color w:val="231F20"/>
                                <w:spacing w:val="-4"/>
                                <w:sz w:val="15"/>
                              </w:rPr>
                              <w:t> </w:t>
                            </w:r>
                            <w:r>
                              <w:rPr>
                                <w:color w:val="231F20"/>
                                <w:sz w:val="15"/>
                              </w:rPr>
                              <w:t>and</w:t>
                            </w:r>
                            <w:r>
                              <w:rPr>
                                <w:color w:val="231F20"/>
                                <w:spacing w:val="-4"/>
                                <w:sz w:val="15"/>
                              </w:rPr>
                              <w:t> </w:t>
                            </w:r>
                            <w:r>
                              <w:rPr>
                                <w:color w:val="231F20"/>
                                <w:sz w:val="15"/>
                              </w:rPr>
                              <w:t>to</w:t>
                            </w:r>
                            <w:r>
                              <w:rPr>
                                <w:color w:val="231F20"/>
                                <w:spacing w:val="-4"/>
                                <w:sz w:val="15"/>
                              </w:rPr>
                              <w:t> </w:t>
                            </w:r>
                            <w:r>
                              <w:rPr>
                                <w:color w:val="231F20"/>
                                <w:sz w:val="15"/>
                              </w:rPr>
                              <w:t>prevent</w:t>
                            </w:r>
                            <w:r>
                              <w:rPr>
                                <w:color w:val="231F20"/>
                                <w:spacing w:val="-4"/>
                                <w:sz w:val="15"/>
                              </w:rPr>
                              <w:t> </w:t>
                            </w:r>
                            <w:r>
                              <w:rPr>
                                <w:color w:val="231F20"/>
                                <w:sz w:val="15"/>
                              </w:rPr>
                              <w:t>worsened</w:t>
                            </w:r>
                            <w:r>
                              <w:rPr>
                                <w:color w:val="231F20"/>
                                <w:spacing w:val="-4"/>
                                <w:sz w:val="15"/>
                              </w:rPr>
                              <w:t> </w:t>
                            </w:r>
                            <w:r>
                              <w:rPr>
                                <w:color w:val="231F20"/>
                                <w:sz w:val="15"/>
                              </w:rPr>
                              <w:t>hyperglycemia</w:t>
                            </w:r>
                            <w:r>
                              <w:rPr>
                                <w:color w:val="231F20"/>
                                <w:spacing w:val="-4"/>
                                <w:sz w:val="15"/>
                              </w:rPr>
                              <w:t> </w:t>
                            </w:r>
                            <w:r>
                              <w:rPr>
                                <w:color w:val="231F20"/>
                                <w:sz w:val="15"/>
                              </w:rPr>
                              <w:t>and </w:t>
                            </w:r>
                            <w:r>
                              <w:rPr>
                                <w:color w:val="231F20"/>
                                <w:spacing w:val="-2"/>
                                <w:sz w:val="15"/>
                              </w:rPr>
                              <w:t>ketosis.</w:t>
                            </w:r>
                          </w:p>
                        </w:tc>
                      </w:tr>
                    </w:tbl>
                    <w:p>
                      <w:pPr>
                        <w:pStyle w:val="BodyText"/>
                      </w:pPr>
                    </w:p>
                  </w:txbxContent>
                </v:textbox>
                <w10:wrap type="none"/>
              </v:shape>
            </w:pict>
          </mc:Fallback>
        </mc:AlternateContent>
      </w:r>
      <w:r>
        <w:rPr>
          <w:color w:val="231F20"/>
        </w:rPr>
        <w:t>Numbers</w:t>
      </w:r>
      <w:r>
        <w:rPr>
          <w:color w:val="231F20"/>
          <w:spacing w:val="4"/>
        </w:rPr>
        <w:t> </w:t>
      </w:r>
      <w:r>
        <w:rPr>
          <w:color w:val="231F20"/>
        </w:rPr>
        <w:t>in</w:t>
      </w:r>
      <w:r>
        <w:rPr>
          <w:color w:val="231F20"/>
          <w:spacing w:val="4"/>
        </w:rPr>
        <w:t> </w:t>
      </w:r>
      <w:r>
        <w:rPr>
          <w:color w:val="231F20"/>
        </w:rPr>
        <w:t>parentheses</w:t>
      </w:r>
      <w:r>
        <w:rPr>
          <w:color w:val="231F20"/>
          <w:spacing w:val="5"/>
        </w:rPr>
        <w:t> </w:t>
      </w:r>
      <w:r>
        <w:rPr>
          <w:color w:val="231F20"/>
        </w:rPr>
        <w:t>are</w:t>
      </w:r>
      <w:r>
        <w:rPr>
          <w:color w:val="231F20"/>
          <w:spacing w:val="4"/>
        </w:rPr>
        <w:t> </w:t>
      </w:r>
      <w:r>
        <w:rPr>
          <w:color w:val="231F20"/>
          <w:spacing w:val="-2"/>
        </w:rPr>
        <w:t>means.</w:t>
      </w:r>
    </w:p>
    <w:p>
      <w:pPr>
        <w:pStyle w:val="BodyText"/>
        <w:spacing w:line="149" w:lineRule="exact"/>
        <w:ind w:left="6194"/>
      </w:pPr>
      <w:r>
        <w:rPr>
          <w:color w:val="231F20"/>
        </w:rPr>
        <w:t>*Gradual decline</w:t>
      </w:r>
      <w:r>
        <w:rPr>
          <w:color w:val="231F20"/>
          <w:spacing w:val="1"/>
        </w:rPr>
        <w:t> </w:t>
      </w:r>
      <w:r>
        <w:rPr>
          <w:color w:val="231F20"/>
        </w:rPr>
        <w:t>in calories</w:t>
      </w:r>
      <w:r>
        <w:rPr>
          <w:color w:val="231F20"/>
          <w:spacing w:val="1"/>
        </w:rPr>
        <w:t> </w:t>
      </w:r>
      <w:r>
        <w:rPr>
          <w:color w:val="231F20"/>
        </w:rPr>
        <w:t>per unit</w:t>
      </w:r>
      <w:r>
        <w:rPr>
          <w:color w:val="231F20"/>
          <w:spacing w:val="1"/>
        </w:rPr>
        <w:t> </w:t>
      </w:r>
      <w:r>
        <w:rPr>
          <w:color w:val="231F20"/>
        </w:rPr>
        <w:t>weight</w:t>
      </w:r>
      <w:r>
        <w:rPr>
          <w:color w:val="231F20"/>
          <w:spacing w:val="1"/>
        </w:rPr>
        <w:t> </w:t>
      </w:r>
      <w:r>
        <w:rPr>
          <w:color w:val="231F20"/>
        </w:rPr>
        <w:t>as age</w:t>
      </w:r>
      <w:r>
        <w:rPr>
          <w:color w:val="231F20"/>
          <w:spacing w:val="1"/>
        </w:rPr>
        <w:t> </w:t>
      </w:r>
      <w:r>
        <w:rPr>
          <w:color w:val="231F20"/>
          <w:spacing w:val="-2"/>
        </w:rPr>
        <w:t>increases.</w:t>
      </w:r>
    </w:p>
    <w:p>
      <w:pPr>
        <w:spacing w:before="0"/>
        <w:ind w:left="6063" w:right="446" w:firstLine="130"/>
        <w:jc w:val="left"/>
        <w:rPr>
          <w:i/>
          <w:sz w:val="13"/>
        </w:rPr>
      </w:pPr>
      <w:r>
        <w:rPr>
          <w:i/>
          <w:color w:val="231F20"/>
          <w:sz w:val="13"/>
        </w:rPr>
        <w:t>From </w:t>
      </w:r>
      <w:r>
        <w:rPr>
          <w:color w:val="231F20"/>
          <w:sz w:val="13"/>
        </w:rPr>
        <w:t>Nutrition guide for professionals: diabetes education and meal</w:t>
      </w:r>
      <w:r>
        <w:rPr>
          <w:color w:val="231F20"/>
          <w:spacing w:val="40"/>
          <w:sz w:val="13"/>
        </w:rPr>
        <w:t> </w:t>
      </w:r>
      <w:r>
        <w:rPr>
          <w:color w:val="231F20"/>
          <w:sz w:val="13"/>
        </w:rPr>
        <w:t>planning,</w:t>
      </w:r>
      <w:r>
        <w:rPr>
          <w:color w:val="231F20"/>
          <w:spacing w:val="-5"/>
          <w:sz w:val="13"/>
        </w:rPr>
        <w:t> </w:t>
      </w:r>
      <w:r>
        <w:rPr>
          <w:i/>
          <w:color w:val="231F20"/>
          <w:sz w:val="13"/>
        </w:rPr>
        <w:t>Alexandria,</w:t>
      </w:r>
      <w:r>
        <w:rPr>
          <w:i/>
          <w:color w:val="231F20"/>
          <w:spacing w:val="-5"/>
          <w:sz w:val="13"/>
        </w:rPr>
        <w:t> </w:t>
      </w:r>
      <w:r>
        <w:rPr>
          <w:i/>
          <w:color w:val="231F20"/>
          <w:sz w:val="13"/>
        </w:rPr>
        <w:t>VA,</w:t>
      </w:r>
      <w:r>
        <w:rPr>
          <w:i/>
          <w:color w:val="231F20"/>
          <w:spacing w:val="-5"/>
          <w:sz w:val="13"/>
        </w:rPr>
        <w:t> </w:t>
      </w:r>
      <w:r>
        <w:rPr>
          <w:i/>
          <w:color w:val="231F20"/>
          <w:sz w:val="13"/>
        </w:rPr>
        <w:t>and</w:t>
      </w:r>
      <w:r>
        <w:rPr>
          <w:i/>
          <w:color w:val="231F20"/>
          <w:spacing w:val="-5"/>
          <w:sz w:val="13"/>
        </w:rPr>
        <w:t> </w:t>
      </w:r>
      <w:r>
        <w:rPr>
          <w:i/>
          <w:color w:val="231F20"/>
          <w:sz w:val="13"/>
        </w:rPr>
        <w:t>Chicago,</w:t>
      </w:r>
      <w:r>
        <w:rPr>
          <w:i/>
          <w:color w:val="231F20"/>
          <w:spacing w:val="-5"/>
          <w:sz w:val="13"/>
        </w:rPr>
        <w:t> </w:t>
      </w:r>
      <w:r>
        <w:rPr>
          <w:i/>
          <w:color w:val="231F20"/>
          <w:sz w:val="13"/>
        </w:rPr>
        <w:t>IL,</w:t>
      </w:r>
      <w:r>
        <w:rPr>
          <w:i/>
          <w:color w:val="231F20"/>
          <w:spacing w:val="-5"/>
          <w:sz w:val="13"/>
        </w:rPr>
        <w:t> </w:t>
      </w:r>
      <w:r>
        <w:rPr>
          <w:i/>
          <w:color w:val="231F20"/>
          <w:sz w:val="13"/>
        </w:rPr>
        <w:t>1988,</w:t>
      </w:r>
      <w:r>
        <w:rPr>
          <w:i/>
          <w:color w:val="231F20"/>
          <w:spacing w:val="-5"/>
          <w:sz w:val="13"/>
        </w:rPr>
        <w:t> </w:t>
      </w:r>
      <w:r>
        <w:rPr>
          <w:i/>
          <w:color w:val="231F20"/>
          <w:sz w:val="13"/>
        </w:rPr>
        <w:t>The</w:t>
      </w:r>
      <w:r>
        <w:rPr>
          <w:i/>
          <w:color w:val="231F20"/>
          <w:spacing w:val="-5"/>
          <w:sz w:val="13"/>
        </w:rPr>
        <w:t> </w:t>
      </w:r>
      <w:r>
        <w:rPr>
          <w:i/>
          <w:color w:val="231F20"/>
          <w:sz w:val="13"/>
        </w:rPr>
        <w:t>American</w:t>
      </w:r>
      <w:r>
        <w:rPr>
          <w:i/>
          <w:color w:val="231F20"/>
          <w:spacing w:val="-5"/>
          <w:sz w:val="13"/>
        </w:rPr>
        <w:t> </w:t>
      </w:r>
      <w:r>
        <w:rPr>
          <w:i/>
          <w:color w:val="231F20"/>
          <w:sz w:val="13"/>
        </w:rPr>
        <w:t>Diabetes</w:t>
      </w:r>
      <w:r>
        <w:rPr>
          <w:i/>
          <w:color w:val="231F20"/>
          <w:spacing w:val="40"/>
          <w:sz w:val="13"/>
        </w:rPr>
        <w:t> </w:t>
      </w:r>
      <w:r>
        <w:rPr>
          <w:i/>
          <w:color w:val="231F20"/>
          <w:sz w:val="13"/>
        </w:rPr>
        <w:t>Association and The American Dietetic Association.</w:t>
      </w:r>
    </w:p>
    <w:p>
      <w:pPr>
        <w:pStyle w:val="BodyText"/>
        <w:rPr>
          <w:i/>
          <w:sz w:val="20"/>
        </w:rPr>
      </w:pPr>
    </w:p>
    <w:p>
      <w:pPr>
        <w:pStyle w:val="BodyText"/>
        <w:spacing w:before="19"/>
        <w:rPr>
          <w:i/>
          <w:sz w:val="20"/>
        </w:rPr>
      </w:pPr>
    </w:p>
    <w:tbl>
      <w:tblPr>
        <w:tblW w:w="0" w:type="auto"/>
        <w:jc w:val="left"/>
        <w:tblInd w:w="6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293"/>
        <w:gridCol w:w="1671"/>
        <w:gridCol w:w="1516"/>
      </w:tblGrid>
      <w:tr>
        <w:trPr>
          <w:trHeight w:val="559"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11</w:t>
            </w:r>
          </w:p>
        </w:tc>
        <w:tc>
          <w:tcPr>
            <w:tcW w:w="3480" w:type="dxa"/>
            <w:gridSpan w:val="3"/>
            <w:tcBorders>
              <w:left w:val="single" w:sz="8" w:space="0" w:color="FFFFFF"/>
            </w:tcBorders>
            <w:shd w:val="clear" w:color="auto" w:fill="231F20"/>
          </w:tcPr>
          <w:p>
            <w:pPr>
              <w:pStyle w:val="TableParagraph"/>
              <w:spacing w:before="89"/>
              <w:ind w:left="74" w:right="367"/>
              <w:rPr>
                <w:sz w:val="16"/>
              </w:rPr>
            </w:pPr>
            <w:r>
              <w:rPr>
                <w:color w:val="FFFFFF"/>
                <w:w w:val="105"/>
                <w:sz w:val="16"/>
              </w:rPr>
              <w:t>Guidelines</w:t>
            </w:r>
            <w:r>
              <w:rPr>
                <w:color w:val="FFFFFF"/>
                <w:spacing w:val="-9"/>
                <w:w w:val="105"/>
                <w:sz w:val="16"/>
              </w:rPr>
              <w:t> </w:t>
            </w:r>
            <w:r>
              <w:rPr>
                <w:color w:val="FFFFFF"/>
                <w:w w:val="105"/>
                <w:sz w:val="16"/>
              </w:rPr>
              <w:t>for</w:t>
            </w:r>
            <w:r>
              <w:rPr>
                <w:color w:val="FFFFFF"/>
                <w:spacing w:val="-9"/>
                <w:w w:val="105"/>
                <w:sz w:val="16"/>
              </w:rPr>
              <w:t> </w:t>
            </w:r>
            <w:r>
              <w:rPr>
                <w:color w:val="FFFFFF"/>
                <w:w w:val="105"/>
                <w:sz w:val="16"/>
              </w:rPr>
              <w:t>Intravenous</w:t>
            </w:r>
            <w:r>
              <w:rPr>
                <w:color w:val="FFFFFF"/>
                <w:spacing w:val="-9"/>
                <w:w w:val="105"/>
                <w:sz w:val="16"/>
              </w:rPr>
              <w:t> </w:t>
            </w:r>
            <w:r>
              <w:rPr>
                <w:color w:val="FFFFFF"/>
                <w:w w:val="105"/>
                <w:sz w:val="16"/>
              </w:rPr>
              <w:t>Insulin Coverage During Surgery</w:t>
            </w:r>
          </w:p>
        </w:tc>
      </w:tr>
      <w:tr>
        <w:trPr>
          <w:trHeight w:val="425" w:hRule="atLeast"/>
        </w:trPr>
        <w:tc>
          <w:tcPr>
            <w:tcW w:w="1515" w:type="dxa"/>
            <w:gridSpan w:val="2"/>
            <w:tcBorders>
              <w:bottom w:val="single" w:sz="4" w:space="0" w:color="231F20"/>
            </w:tcBorders>
            <w:shd w:val="clear" w:color="auto" w:fill="E8F5F1"/>
          </w:tcPr>
          <w:p>
            <w:pPr>
              <w:pStyle w:val="TableParagraph"/>
              <w:spacing w:line="171" w:lineRule="exact" w:before="47"/>
              <w:ind w:left="74"/>
              <w:rPr>
                <w:b/>
                <w:sz w:val="15"/>
              </w:rPr>
            </w:pPr>
            <w:r>
              <w:rPr>
                <w:b/>
                <w:color w:val="231F20"/>
                <w:w w:val="110"/>
                <w:sz w:val="15"/>
              </w:rPr>
              <w:t>BLOOD</w:t>
            </w:r>
            <w:r>
              <w:rPr>
                <w:b/>
                <w:color w:val="231F20"/>
                <w:spacing w:val="12"/>
                <w:w w:val="110"/>
                <w:sz w:val="15"/>
              </w:rPr>
              <w:t> </w:t>
            </w:r>
            <w:r>
              <w:rPr>
                <w:b/>
                <w:color w:val="231F20"/>
                <w:spacing w:val="-2"/>
                <w:w w:val="110"/>
                <w:sz w:val="15"/>
              </w:rPr>
              <w:t>GLUCOSE</w:t>
            </w:r>
          </w:p>
          <w:p>
            <w:pPr>
              <w:pStyle w:val="TableParagraph"/>
              <w:spacing w:line="171" w:lineRule="exact"/>
              <w:ind w:left="74"/>
              <w:rPr>
                <w:b/>
                <w:sz w:val="15"/>
              </w:rPr>
            </w:pPr>
            <w:r>
              <w:rPr>
                <w:b/>
                <w:color w:val="231F20"/>
                <w:w w:val="105"/>
                <w:sz w:val="15"/>
              </w:rPr>
              <w:t>LEVEL</w:t>
            </w:r>
            <w:r>
              <w:rPr>
                <w:b/>
                <w:color w:val="231F20"/>
                <w:spacing w:val="4"/>
                <w:w w:val="105"/>
                <w:sz w:val="15"/>
              </w:rPr>
              <w:t> </w:t>
            </w:r>
            <w:r>
              <w:rPr>
                <w:b/>
                <w:color w:val="231F20"/>
                <w:spacing w:val="-2"/>
                <w:w w:val="105"/>
                <w:sz w:val="15"/>
              </w:rPr>
              <w:t>(mg/dL)</w:t>
            </w:r>
          </w:p>
        </w:tc>
        <w:tc>
          <w:tcPr>
            <w:tcW w:w="1671" w:type="dxa"/>
            <w:tcBorders>
              <w:bottom w:val="single" w:sz="4" w:space="0" w:color="231F20"/>
            </w:tcBorders>
            <w:shd w:val="clear" w:color="auto" w:fill="E8F5F1"/>
          </w:tcPr>
          <w:p>
            <w:pPr>
              <w:pStyle w:val="TableParagraph"/>
              <w:spacing w:line="171" w:lineRule="exact" w:before="47"/>
              <w:ind w:left="1"/>
              <w:jc w:val="center"/>
              <w:rPr>
                <w:b/>
                <w:sz w:val="15"/>
              </w:rPr>
            </w:pPr>
            <w:r>
              <w:rPr>
                <w:b/>
                <w:color w:val="231F20"/>
                <w:w w:val="110"/>
                <w:sz w:val="15"/>
              </w:rPr>
              <w:t>INSULIN</w:t>
            </w:r>
            <w:r>
              <w:rPr>
                <w:b/>
                <w:color w:val="231F20"/>
                <w:spacing w:val="5"/>
                <w:w w:val="110"/>
                <w:sz w:val="15"/>
              </w:rPr>
              <w:t> </w:t>
            </w:r>
            <w:r>
              <w:rPr>
                <w:b/>
                <w:color w:val="231F20"/>
                <w:spacing w:val="-2"/>
                <w:w w:val="110"/>
                <w:sz w:val="15"/>
              </w:rPr>
              <w:t>INFUSION</w:t>
            </w:r>
          </w:p>
          <w:p>
            <w:pPr>
              <w:pStyle w:val="TableParagraph"/>
              <w:spacing w:line="171" w:lineRule="exact"/>
              <w:ind w:left="1"/>
              <w:jc w:val="center"/>
              <w:rPr>
                <w:b/>
                <w:sz w:val="15"/>
              </w:rPr>
            </w:pPr>
            <w:r>
              <w:rPr>
                <w:b/>
                <w:color w:val="231F20"/>
                <w:spacing w:val="-2"/>
                <w:sz w:val="15"/>
              </w:rPr>
              <w:t>(units/kg/hr)</w:t>
            </w:r>
          </w:p>
        </w:tc>
        <w:tc>
          <w:tcPr>
            <w:tcW w:w="1516" w:type="dxa"/>
            <w:tcBorders>
              <w:bottom w:val="single" w:sz="4" w:space="0" w:color="231F20"/>
            </w:tcBorders>
            <w:shd w:val="clear" w:color="auto" w:fill="E8F5F1"/>
          </w:tcPr>
          <w:p>
            <w:pPr>
              <w:pStyle w:val="TableParagraph"/>
              <w:spacing w:line="230" w:lineRule="auto" w:before="53"/>
              <w:ind w:left="278" w:hanging="143"/>
              <w:rPr>
                <w:b/>
                <w:sz w:val="15"/>
              </w:rPr>
            </w:pPr>
            <w:r>
              <w:rPr>
                <w:b/>
                <w:color w:val="231F20"/>
                <w:w w:val="110"/>
                <w:sz w:val="15"/>
              </w:rPr>
              <w:t>BLOOD</w:t>
            </w:r>
            <w:r>
              <w:rPr>
                <w:b/>
                <w:color w:val="231F20"/>
                <w:spacing w:val="-13"/>
                <w:w w:val="110"/>
                <w:sz w:val="15"/>
              </w:rPr>
              <w:t> </w:t>
            </w:r>
            <w:r>
              <w:rPr>
                <w:b/>
                <w:color w:val="231F20"/>
                <w:w w:val="110"/>
                <w:sz w:val="15"/>
              </w:rPr>
              <w:t>GLUCOSE </w:t>
            </w:r>
            <w:r>
              <w:rPr>
                <w:b/>
                <w:color w:val="231F20"/>
                <w:spacing w:val="-2"/>
                <w:w w:val="110"/>
                <w:sz w:val="15"/>
              </w:rPr>
              <w:t>MONITORING</w:t>
            </w:r>
          </w:p>
        </w:tc>
      </w:tr>
      <w:tr>
        <w:trPr>
          <w:trHeight w:val="259" w:hRule="atLeast"/>
        </w:trPr>
        <w:tc>
          <w:tcPr>
            <w:tcW w:w="1515"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rFonts w:ascii="Cambria"/>
                <w:color w:val="231F20"/>
                <w:spacing w:val="-4"/>
                <w:sz w:val="15"/>
              </w:rPr>
              <w:t>&lt;</w:t>
            </w:r>
            <w:r>
              <w:rPr>
                <w:color w:val="231F20"/>
                <w:spacing w:val="-4"/>
                <w:sz w:val="15"/>
              </w:rPr>
              <w:t>120</w:t>
            </w:r>
          </w:p>
        </w:tc>
        <w:tc>
          <w:tcPr>
            <w:tcW w:w="1671" w:type="dxa"/>
            <w:tcBorders>
              <w:top w:val="single" w:sz="4" w:space="0" w:color="231F20"/>
              <w:bottom w:val="single" w:sz="4" w:space="0" w:color="FFFFFF"/>
            </w:tcBorders>
            <w:shd w:val="clear" w:color="auto" w:fill="E8F5F1"/>
          </w:tcPr>
          <w:p>
            <w:pPr>
              <w:pStyle w:val="TableParagraph"/>
              <w:spacing w:before="47"/>
              <w:ind w:left="1"/>
              <w:jc w:val="center"/>
              <w:rPr>
                <w:sz w:val="15"/>
              </w:rPr>
            </w:pPr>
            <w:r>
              <w:rPr>
                <w:color w:val="231F20"/>
                <w:spacing w:val="-4"/>
                <w:sz w:val="15"/>
              </w:rPr>
              <w:t>0.00</w:t>
            </w:r>
          </w:p>
        </w:tc>
        <w:tc>
          <w:tcPr>
            <w:tcW w:w="1516" w:type="dxa"/>
            <w:tcBorders>
              <w:top w:val="single" w:sz="4" w:space="0" w:color="231F20"/>
              <w:bottom w:val="single" w:sz="4" w:space="0" w:color="FFFFFF"/>
            </w:tcBorders>
            <w:shd w:val="clear" w:color="auto" w:fill="E8F5F1"/>
          </w:tcPr>
          <w:p>
            <w:pPr>
              <w:pStyle w:val="TableParagraph"/>
              <w:spacing w:before="47"/>
              <w:ind w:left="63" w:right="63"/>
              <w:jc w:val="center"/>
              <w:rPr>
                <w:sz w:val="15"/>
              </w:rPr>
            </w:pPr>
            <w:r>
              <w:rPr>
                <w:color w:val="231F20"/>
                <w:sz w:val="15"/>
              </w:rPr>
              <w:t>1</w:t>
            </w:r>
            <w:r>
              <w:rPr>
                <w:color w:val="231F20"/>
                <w:spacing w:val="-1"/>
                <w:sz w:val="15"/>
              </w:rPr>
              <w:t> </w:t>
            </w:r>
            <w:r>
              <w:rPr>
                <w:color w:val="231F20"/>
                <w:spacing w:val="-5"/>
                <w:sz w:val="15"/>
              </w:rPr>
              <w:t>hr</w:t>
            </w:r>
          </w:p>
        </w:tc>
      </w:tr>
      <w:tr>
        <w:trPr>
          <w:trHeight w:val="252" w:hRule="atLeast"/>
        </w:trPr>
        <w:tc>
          <w:tcPr>
            <w:tcW w:w="151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121-</w:t>
            </w:r>
            <w:r>
              <w:rPr>
                <w:color w:val="231F20"/>
                <w:spacing w:val="-5"/>
                <w:sz w:val="15"/>
              </w:rPr>
              <w:t>200</w:t>
            </w:r>
          </w:p>
        </w:tc>
        <w:tc>
          <w:tcPr>
            <w:tcW w:w="1671" w:type="dxa"/>
            <w:tcBorders>
              <w:top w:val="single" w:sz="4" w:space="0" w:color="FFFFFF"/>
              <w:bottom w:val="single" w:sz="4" w:space="0" w:color="FFFFFF"/>
            </w:tcBorders>
            <w:shd w:val="clear" w:color="auto" w:fill="E8F5F1"/>
          </w:tcPr>
          <w:p>
            <w:pPr>
              <w:pStyle w:val="TableParagraph"/>
              <w:spacing w:before="42"/>
              <w:ind w:left="1"/>
              <w:jc w:val="center"/>
              <w:rPr>
                <w:sz w:val="15"/>
              </w:rPr>
            </w:pPr>
            <w:r>
              <w:rPr>
                <w:color w:val="231F20"/>
                <w:spacing w:val="-4"/>
                <w:sz w:val="15"/>
              </w:rPr>
              <w:t>0.03</w:t>
            </w:r>
          </w:p>
        </w:tc>
        <w:tc>
          <w:tcPr>
            <w:tcW w:w="1516" w:type="dxa"/>
            <w:tcBorders>
              <w:top w:val="single" w:sz="4" w:space="0" w:color="FFFFFF"/>
              <w:bottom w:val="single" w:sz="4" w:space="0" w:color="FFFFFF"/>
            </w:tcBorders>
            <w:shd w:val="clear" w:color="auto" w:fill="E8F5F1"/>
          </w:tcPr>
          <w:p>
            <w:pPr>
              <w:pStyle w:val="TableParagraph"/>
              <w:spacing w:before="42"/>
              <w:ind w:left="63" w:right="63"/>
              <w:jc w:val="center"/>
              <w:rPr>
                <w:sz w:val="15"/>
              </w:rPr>
            </w:pPr>
            <w:r>
              <w:rPr>
                <w:color w:val="231F20"/>
                <w:sz w:val="15"/>
              </w:rPr>
              <w:t>2</w:t>
            </w:r>
            <w:r>
              <w:rPr>
                <w:color w:val="231F20"/>
                <w:spacing w:val="-1"/>
                <w:sz w:val="15"/>
              </w:rPr>
              <w:t> </w:t>
            </w:r>
            <w:r>
              <w:rPr>
                <w:color w:val="231F20"/>
                <w:spacing w:val="-5"/>
                <w:sz w:val="15"/>
              </w:rPr>
              <w:t>hr</w:t>
            </w:r>
          </w:p>
        </w:tc>
      </w:tr>
      <w:tr>
        <w:trPr>
          <w:trHeight w:val="252" w:hRule="atLeast"/>
        </w:trPr>
        <w:tc>
          <w:tcPr>
            <w:tcW w:w="151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200-</w:t>
            </w:r>
            <w:r>
              <w:rPr>
                <w:color w:val="231F20"/>
                <w:spacing w:val="-5"/>
                <w:sz w:val="15"/>
              </w:rPr>
              <w:t>300</w:t>
            </w:r>
          </w:p>
        </w:tc>
        <w:tc>
          <w:tcPr>
            <w:tcW w:w="1671" w:type="dxa"/>
            <w:tcBorders>
              <w:top w:val="single" w:sz="4" w:space="0" w:color="FFFFFF"/>
              <w:bottom w:val="single" w:sz="4" w:space="0" w:color="FFFFFF"/>
            </w:tcBorders>
            <w:shd w:val="clear" w:color="auto" w:fill="E8F5F1"/>
          </w:tcPr>
          <w:p>
            <w:pPr>
              <w:pStyle w:val="TableParagraph"/>
              <w:spacing w:before="42"/>
              <w:ind w:left="1"/>
              <w:jc w:val="center"/>
              <w:rPr>
                <w:sz w:val="15"/>
              </w:rPr>
            </w:pPr>
            <w:r>
              <w:rPr>
                <w:color w:val="231F20"/>
                <w:spacing w:val="-4"/>
                <w:sz w:val="15"/>
              </w:rPr>
              <w:t>0.06</w:t>
            </w:r>
          </w:p>
        </w:tc>
        <w:tc>
          <w:tcPr>
            <w:tcW w:w="1516" w:type="dxa"/>
            <w:tcBorders>
              <w:top w:val="single" w:sz="4" w:space="0" w:color="FFFFFF"/>
              <w:bottom w:val="single" w:sz="4" w:space="0" w:color="FFFFFF"/>
            </w:tcBorders>
            <w:shd w:val="clear" w:color="auto" w:fill="E8F5F1"/>
          </w:tcPr>
          <w:p>
            <w:pPr>
              <w:pStyle w:val="TableParagraph"/>
              <w:spacing w:before="42"/>
              <w:ind w:left="63" w:right="63"/>
              <w:jc w:val="center"/>
              <w:rPr>
                <w:sz w:val="15"/>
              </w:rPr>
            </w:pPr>
            <w:r>
              <w:rPr>
                <w:color w:val="231F20"/>
                <w:sz w:val="15"/>
              </w:rPr>
              <w:t>2</w:t>
            </w:r>
            <w:r>
              <w:rPr>
                <w:color w:val="231F20"/>
                <w:spacing w:val="-1"/>
                <w:sz w:val="15"/>
              </w:rPr>
              <w:t> </w:t>
            </w:r>
            <w:r>
              <w:rPr>
                <w:color w:val="231F20"/>
                <w:spacing w:val="-5"/>
                <w:sz w:val="15"/>
              </w:rPr>
              <w:t>hr</w:t>
            </w:r>
          </w:p>
        </w:tc>
      </w:tr>
      <w:tr>
        <w:trPr>
          <w:trHeight w:val="252" w:hRule="atLeast"/>
        </w:trPr>
        <w:tc>
          <w:tcPr>
            <w:tcW w:w="151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300-</w:t>
            </w:r>
            <w:r>
              <w:rPr>
                <w:color w:val="231F20"/>
                <w:spacing w:val="-5"/>
                <w:sz w:val="15"/>
              </w:rPr>
              <w:t>400</w:t>
            </w:r>
          </w:p>
        </w:tc>
        <w:tc>
          <w:tcPr>
            <w:tcW w:w="1671" w:type="dxa"/>
            <w:tcBorders>
              <w:top w:val="single" w:sz="4" w:space="0" w:color="FFFFFF"/>
              <w:bottom w:val="single" w:sz="4" w:space="0" w:color="FFFFFF"/>
            </w:tcBorders>
            <w:shd w:val="clear" w:color="auto" w:fill="E8F5F1"/>
          </w:tcPr>
          <w:p>
            <w:pPr>
              <w:pStyle w:val="TableParagraph"/>
              <w:spacing w:before="42"/>
              <w:ind w:left="1"/>
              <w:jc w:val="center"/>
              <w:rPr>
                <w:sz w:val="15"/>
              </w:rPr>
            </w:pPr>
            <w:r>
              <w:rPr>
                <w:color w:val="231F20"/>
                <w:spacing w:val="-4"/>
                <w:sz w:val="15"/>
              </w:rPr>
              <w:t>0.08</w:t>
            </w:r>
          </w:p>
        </w:tc>
        <w:tc>
          <w:tcPr>
            <w:tcW w:w="1516" w:type="dxa"/>
            <w:tcBorders>
              <w:top w:val="single" w:sz="4" w:space="0" w:color="FFFFFF"/>
              <w:bottom w:val="single" w:sz="4" w:space="0" w:color="FFFFFF"/>
            </w:tcBorders>
            <w:shd w:val="clear" w:color="auto" w:fill="E8F5F1"/>
          </w:tcPr>
          <w:p>
            <w:pPr>
              <w:pStyle w:val="TableParagraph"/>
              <w:spacing w:before="42"/>
              <w:ind w:left="63"/>
              <w:jc w:val="center"/>
              <w:rPr>
                <w:sz w:val="15"/>
              </w:rPr>
            </w:pPr>
            <w:r>
              <w:rPr>
                <w:color w:val="231F20"/>
                <w:sz w:val="15"/>
              </w:rPr>
              <w:t>1</w:t>
            </w:r>
            <w:r>
              <w:rPr>
                <w:color w:val="231F20"/>
                <w:spacing w:val="-1"/>
                <w:sz w:val="15"/>
              </w:rPr>
              <w:t> </w:t>
            </w:r>
            <w:r>
              <w:rPr>
                <w:color w:val="231F20"/>
                <w:spacing w:val="-5"/>
                <w:sz w:val="15"/>
              </w:rPr>
              <w:t>hr</w:t>
            </w:r>
            <w:r>
              <w:rPr>
                <w:color w:val="0080AC"/>
                <w:spacing w:val="-5"/>
                <w:sz w:val="15"/>
              </w:rPr>
              <w:t>*</w:t>
            </w:r>
          </w:p>
        </w:tc>
      </w:tr>
      <w:tr>
        <w:trPr>
          <w:trHeight w:val="247" w:hRule="atLeast"/>
        </w:trPr>
        <w:tc>
          <w:tcPr>
            <w:tcW w:w="1515"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5"/>
                <w:sz w:val="15"/>
              </w:rPr>
              <w:t>400</w:t>
            </w:r>
          </w:p>
        </w:tc>
        <w:tc>
          <w:tcPr>
            <w:tcW w:w="1671" w:type="dxa"/>
            <w:tcBorders>
              <w:top w:val="single" w:sz="4" w:space="0" w:color="FFFFFF"/>
              <w:bottom w:val="single" w:sz="8" w:space="0" w:color="231F20"/>
            </w:tcBorders>
            <w:shd w:val="clear" w:color="auto" w:fill="E8F5F1"/>
          </w:tcPr>
          <w:p>
            <w:pPr>
              <w:pStyle w:val="TableParagraph"/>
              <w:spacing w:before="42"/>
              <w:ind w:left="1"/>
              <w:jc w:val="center"/>
              <w:rPr>
                <w:sz w:val="15"/>
              </w:rPr>
            </w:pPr>
            <w:r>
              <w:rPr>
                <w:color w:val="231F20"/>
                <w:spacing w:val="-4"/>
                <w:sz w:val="15"/>
              </w:rPr>
              <w:t>0.10</w:t>
            </w:r>
          </w:p>
        </w:tc>
        <w:tc>
          <w:tcPr>
            <w:tcW w:w="1516" w:type="dxa"/>
            <w:tcBorders>
              <w:top w:val="single" w:sz="4" w:space="0" w:color="FFFFFF"/>
              <w:bottom w:val="single" w:sz="8" w:space="0" w:color="231F20"/>
            </w:tcBorders>
            <w:shd w:val="clear" w:color="auto" w:fill="E8F5F1"/>
          </w:tcPr>
          <w:p>
            <w:pPr>
              <w:pStyle w:val="TableParagraph"/>
              <w:spacing w:before="42"/>
              <w:ind w:left="63"/>
              <w:jc w:val="center"/>
              <w:rPr>
                <w:sz w:val="15"/>
              </w:rPr>
            </w:pPr>
            <w:r>
              <w:rPr>
                <w:color w:val="231F20"/>
                <w:sz w:val="15"/>
              </w:rPr>
              <w:t>1</w:t>
            </w:r>
            <w:r>
              <w:rPr>
                <w:color w:val="231F20"/>
                <w:spacing w:val="-1"/>
                <w:sz w:val="15"/>
              </w:rPr>
              <w:t> </w:t>
            </w:r>
            <w:r>
              <w:rPr>
                <w:color w:val="231F20"/>
                <w:spacing w:val="-5"/>
                <w:sz w:val="15"/>
              </w:rPr>
              <w:t>hr</w:t>
            </w:r>
            <w:r>
              <w:rPr>
                <w:color w:val="0080AC"/>
                <w:spacing w:val="-5"/>
                <w:sz w:val="15"/>
              </w:rPr>
              <w:t>*</w:t>
            </w:r>
          </w:p>
        </w:tc>
      </w:tr>
    </w:tbl>
    <w:p>
      <w:pPr>
        <w:pStyle w:val="BodyText"/>
        <w:spacing w:before="78"/>
        <w:ind w:left="5993" w:right="446"/>
      </w:pPr>
      <w:r>
        <w:rPr>
          <w:color w:val="231F20"/>
        </w:rPr>
        <w:t>An infusion of 5% glucose and 0.45% saline solution with 20 mEq/L of</w:t>
      </w:r>
      <w:r>
        <w:rPr>
          <w:color w:val="231F20"/>
          <w:spacing w:val="40"/>
        </w:rPr>
        <w:t> </w:t>
      </w:r>
      <w:r>
        <w:rPr>
          <w:color w:val="231F20"/>
        </w:rPr>
        <w:t>potassium acetate is given at 1.5 times maintenance rate.</w:t>
      </w:r>
    </w:p>
    <w:p>
      <w:pPr>
        <w:pStyle w:val="BodyText"/>
        <w:spacing w:line="148" w:lineRule="exact"/>
        <w:ind w:left="6124"/>
      </w:pPr>
      <w:r>
        <w:rPr>
          <w:color w:val="231F20"/>
        </w:rPr>
        <w:t>*Check</w:t>
      </w:r>
      <w:r>
        <w:rPr>
          <w:color w:val="231F20"/>
          <w:spacing w:val="6"/>
        </w:rPr>
        <w:t> </w:t>
      </w:r>
      <w:r>
        <w:rPr>
          <w:color w:val="231F20"/>
        </w:rPr>
        <w:t>urine</w:t>
      </w:r>
      <w:r>
        <w:rPr>
          <w:color w:val="231F20"/>
          <w:spacing w:val="6"/>
        </w:rPr>
        <w:t> </w:t>
      </w:r>
      <w:r>
        <w:rPr>
          <w:color w:val="231F20"/>
          <w:spacing w:val="-2"/>
        </w:rPr>
        <w:t>ketones.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7" w:after="1"/>
        <w:rPr>
          <w:sz w:val="20"/>
        </w:rPr>
      </w:pPr>
    </w:p>
    <w:tbl>
      <w:tblPr>
        <w:tblW w:w="0" w:type="auto"/>
        <w:jc w:val="left"/>
        <w:tblInd w:w="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581"/>
        <w:gridCol w:w="3103"/>
        <w:gridCol w:w="3059"/>
        <w:gridCol w:w="1850"/>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589-</w:t>
            </w:r>
            <w:r>
              <w:rPr>
                <w:b/>
                <w:color w:val="FFFFFF"/>
                <w:spacing w:val="-10"/>
                <w:w w:val="105"/>
                <w:sz w:val="16"/>
              </w:rPr>
              <w:t>9</w:t>
            </w:r>
          </w:p>
        </w:tc>
        <w:tc>
          <w:tcPr>
            <w:tcW w:w="8593" w:type="dxa"/>
            <w:gridSpan w:val="4"/>
            <w:tcBorders>
              <w:left w:val="single" w:sz="8" w:space="0" w:color="FFFFFF"/>
            </w:tcBorders>
            <w:shd w:val="clear" w:color="auto" w:fill="231F20"/>
          </w:tcPr>
          <w:p>
            <w:pPr>
              <w:pStyle w:val="TableParagraph"/>
              <w:spacing w:before="89"/>
              <w:ind w:left="73" w:right="265"/>
              <w:rPr>
                <w:sz w:val="16"/>
              </w:rPr>
            </w:pPr>
            <w:r>
              <w:rPr>
                <w:color w:val="FFFFFF"/>
                <w:w w:val="110"/>
                <w:sz w:val="16"/>
              </w:rPr>
              <w:t>Target</w:t>
            </w:r>
            <w:r>
              <w:rPr>
                <w:color w:val="FFFFFF"/>
                <w:spacing w:val="-5"/>
                <w:w w:val="110"/>
                <w:sz w:val="16"/>
              </w:rPr>
              <w:t> </w:t>
            </w:r>
            <w:r>
              <w:rPr>
                <w:color w:val="FFFFFF"/>
                <w:w w:val="110"/>
                <w:sz w:val="16"/>
              </w:rPr>
              <w:t>Premeal</w:t>
            </w:r>
            <w:r>
              <w:rPr>
                <w:color w:val="FFFFFF"/>
                <w:spacing w:val="-5"/>
                <w:w w:val="110"/>
                <w:sz w:val="16"/>
              </w:rPr>
              <w:t> </w:t>
            </w:r>
            <w:r>
              <w:rPr>
                <w:color w:val="FFFFFF"/>
                <w:w w:val="110"/>
                <w:sz w:val="16"/>
              </w:rPr>
              <w:t>and</w:t>
            </w:r>
            <w:r>
              <w:rPr>
                <w:color w:val="FFFFFF"/>
                <w:spacing w:val="-5"/>
                <w:w w:val="110"/>
                <w:sz w:val="16"/>
              </w:rPr>
              <w:t> </w:t>
            </w:r>
            <w:r>
              <w:rPr>
                <w:color w:val="FFFFFF"/>
                <w:w w:val="110"/>
                <w:sz w:val="16"/>
              </w:rPr>
              <w:t>30-Day</w:t>
            </w:r>
            <w:r>
              <w:rPr>
                <w:color w:val="FFFFFF"/>
                <w:spacing w:val="-5"/>
                <w:w w:val="110"/>
                <w:sz w:val="16"/>
              </w:rPr>
              <w:t> </w:t>
            </w:r>
            <w:r>
              <w:rPr>
                <w:color w:val="FFFFFF"/>
                <w:w w:val="110"/>
                <w:sz w:val="16"/>
              </w:rPr>
              <w:t>Average</w:t>
            </w:r>
            <w:r>
              <w:rPr>
                <w:color w:val="FFFFFF"/>
                <w:spacing w:val="-5"/>
                <w:w w:val="110"/>
                <w:sz w:val="16"/>
              </w:rPr>
              <w:t> </w:t>
            </w:r>
            <w:r>
              <w:rPr>
                <w:color w:val="FFFFFF"/>
                <w:w w:val="110"/>
                <w:sz w:val="16"/>
              </w:rPr>
              <w:t>Blood</w:t>
            </w:r>
            <w:r>
              <w:rPr>
                <w:color w:val="FFFFFF"/>
                <w:spacing w:val="-5"/>
                <w:w w:val="110"/>
                <w:sz w:val="16"/>
              </w:rPr>
              <w:t> </w:t>
            </w:r>
            <w:r>
              <w:rPr>
                <w:color w:val="FFFFFF"/>
                <w:w w:val="110"/>
                <w:sz w:val="16"/>
              </w:rPr>
              <w:t>Glucose</w:t>
            </w:r>
            <w:r>
              <w:rPr>
                <w:color w:val="FFFFFF"/>
                <w:spacing w:val="-5"/>
                <w:w w:val="110"/>
                <w:sz w:val="16"/>
              </w:rPr>
              <w:t> </w:t>
            </w:r>
            <w:r>
              <w:rPr>
                <w:color w:val="FFFFFF"/>
                <w:w w:val="110"/>
                <w:sz w:val="16"/>
              </w:rPr>
              <w:t>Ranges</w:t>
            </w:r>
            <w:r>
              <w:rPr>
                <w:color w:val="FFFFFF"/>
                <w:spacing w:val="-5"/>
                <w:w w:val="110"/>
                <w:sz w:val="16"/>
              </w:rPr>
              <w:t> </w:t>
            </w:r>
            <w:r>
              <w:rPr>
                <w:color w:val="FFFFFF"/>
                <w:w w:val="110"/>
                <w:sz w:val="16"/>
              </w:rPr>
              <w:t>and</w:t>
            </w:r>
            <w:r>
              <w:rPr>
                <w:color w:val="FFFFFF"/>
                <w:spacing w:val="-5"/>
                <w:w w:val="110"/>
                <w:sz w:val="16"/>
              </w:rPr>
              <w:t> </w:t>
            </w:r>
            <w:r>
              <w:rPr>
                <w:color w:val="FFFFFF"/>
                <w:w w:val="110"/>
                <w:sz w:val="16"/>
              </w:rPr>
              <w:t>the</w:t>
            </w:r>
            <w:r>
              <w:rPr>
                <w:color w:val="FFFFFF"/>
                <w:spacing w:val="-5"/>
                <w:w w:val="110"/>
                <w:sz w:val="16"/>
              </w:rPr>
              <w:t> </w:t>
            </w:r>
            <w:r>
              <w:rPr>
                <w:color w:val="FFFFFF"/>
                <w:w w:val="110"/>
                <w:sz w:val="16"/>
              </w:rPr>
              <w:t>Corresponding</w:t>
            </w:r>
            <w:r>
              <w:rPr>
                <w:color w:val="FFFFFF"/>
                <w:spacing w:val="-5"/>
                <w:w w:val="110"/>
                <w:sz w:val="16"/>
              </w:rPr>
              <w:t> </w:t>
            </w:r>
            <w:r>
              <w:rPr>
                <w:color w:val="FFFFFF"/>
                <w:w w:val="110"/>
                <w:sz w:val="16"/>
              </w:rPr>
              <w:t>Hemoglobin</w:t>
            </w:r>
            <w:r>
              <w:rPr>
                <w:color w:val="FFFFFF"/>
                <w:spacing w:val="-5"/>
                <w:w w:val="110"/>
                <w:sz w:val="16"/>
              </w:rPr>
              <w:t> </w:t>
            </w:r>
            <w:r>
              <w:rPr>
                <w:color w:val="FFFFFF"/>
                <w:w w:val="110"/>
                <w:sz w:val="16"/>
              </w:rPr>
              <w:t>A</w:t>
            </w:r>
            <w:r>
              <w:rPr>
                <w:color w:val="FFFFFF"/>
                <w:w w:val="110"/>
                <w:sz w:val="16"/>
                <w:vertAlign w:val="subscript"/>
              </w:rPr>
              <w:t>1c</w:t>
            </w:r>
            <w:r>
              <w:rPr>
                <w:color w:val="FFFFFF"/>
                <w:spacing w:val="-5"/>
                <w:w w:val="110"/>
                <w:sz w:val="16"/>
                <w:vertAlign w:val="baseline"/>
              </w:rPr>
              <w:t> </w:t>
            </w:r>
            <w:r>
              <w:rPr>
                <w:color w:val="FFFFFF"/>
                <w:w w:val="110"/>
                <w:sz w:val="16"/>
                <w:vertAlign w:val="baseline"/>
              </w:rPr>
              <w:t>for Each Age Group</w:t>
            </w:r>
          </w:p>
        </w:tc>
      </w:tr>
      <w:tr>
        <w:trPr>
          <w:trHeight w:val="425" w:hRule="atLeast"/>
        </w:trPr>
        <w:tc>
          <w:tcPr>
            <w:tcW w:w="1729" w:type="dxa"/>
            <w:gridSpan w:val="2"/>
            <w:tcBorders>
              <w:bottom w:val="single" w:sz="4" w:space="0" w:color="231F20"/>
            </w:tcBorders>
            <w:shd w:val="clear" w:color="auto" w:fill="E8F5F1"/>
          </w:tcPr>
          <w:p>
            <w:pPr>
              <w:pStyle w:val="TableParagraph"/>
              <w:spacing w:before="41"/>
              <w:rPr>
                <w:sz w:val="15"/>
              </w:rPr>
            </w:pPr>
          </w:p>
          <w:p>
            <w:pPr>
              <w:pStyle w:val="TableParagraph"/>
              <w:ind w:left="74"/>
              <w:rPr>
                <w:b/>
                <w:sz w:val="15"/>
              </w:rPr>
            </w:pPr>
            <w:r>
              <w:rPr>
                <w:b/>
                <w:color w:val="231F20"/>
                <w:w w:val="105"/>
                <w:sz w:val="15"/>
              </w:rPr>
              <w:t>AGE</w:t>
            </w:r>
            <w:r>
              <w:rPr>
                <w:b/>
                <w:color w:val="231F20"/>
                <w:spacing w:val="32"/>
                <w:w w:val="105"/>
                <w:sz w:val="15"/>
              </w:rPr>
              <w:t> </w:t>
            </w:r>
            <w:r>
              <w:rPr>
                <w:b/>
                <w:color w:val="231F20"/>
                <w:w w:val="105"/>
                <w:sz w:val="15"/>
              </w:rPr>
              <w:t>GROUP</w:t>
            </w:r>
            <w:r>
              <w:rPr>
                <w:b/>
                <w:color w:val="231F20"/>
                <w:spacing w:val="32"/>
                <w:w w:val="105"/>
                <w:sz w:val="15"/>
              </w:rPr>
              <w:t> </w:t>
            </w:r>
            <w:r>
              <w:rPr>
                <w:b/>
                <w:color w:val="231F20"/>
                <w:spacing w:val="-4"/>
                <w:w w:val="105"/>
                <w:sz w:val="15"/>
              </w:rPr>
              <w:t>(yr)</w:t>
            </w:r>
          </w:p>
        </w:tc>
        <w:tc>
          <w:tcPr>
            <w:tcW w:w="3103" w:type="dxa"/>
            <w:tcBorders>
              <w:bottom w:val="single" w:sz="4" w:space="0" w:color="231F20"/>
            </w:tcBorders>
            <w:shd w:val="clear" w:color="auto" w:fill="E8F5F1"/>
          </w:tcPr>
          <w:p>
            <w:pPr>
              <w:pStyle w:val="TableParagraph"/>
              <w:spacing w:line="171" w:lineRule="exact" w:before="47"/>
              <w:ind w:left="80" w:right="79"/>
              <w:jc w:val="center"/>
              <w:rPr>
                <w:b/>
                <w:sz w:val="15"/>
              </w:rPr>
            </w:pPr>
            <w:r>
              <w:rPr>
                <w:b/>
                <w:color w:val="231F20"/>
                <w:w w:val="110"/>
                <w:sz w:val="15"/>
              </w:rPr>
              <w:t>TARGET</w:t>
            </w:r>
            <w:r>
              <w:rPr>
                <w:b/>
                <w:color w:val="231F20"/>
                <w:spacing w:val="-4"/>
                <w:w w:val="110"/>
                <w:sz w:val="15"/>
              </w:rPr>
              <w:t> </w:t>
            </w:r>
            <w:r>
              <w:rPr>
                <w:b/>
                <w:color w:val="231F20"/>
                <w:w w:val="110"/>
                <w:sz w:val="15"/>
              </w:rPr>
              <w:t>PREMEAL</w:t>
            </w:r>
            <w:r>
              <w:rPr>
                <w:b/>
                <w:color w:val="231F20"/>
                <w:spacing w:val="-3"/>
                <w:w w:val="110"/>
                <w:sz w:val="15"/>
              </w:rPr>
              <w:t> </w:t>
            </w:r>
            <w:r>
              <w:rPr>
                <w:b/>
                <w:color w:val="231F20"/>
                <w:w w:val="110"/>
                <w:sz w:val="15"/>
              </w:rPr>
              <w:t>BG</w:t>
            </w:r>
            <w:r>
              <w:rPr>
                <w:b/>
                <w:color w:val="231F20"/>
                <w:spacing w:val="-4"/>
                <w:w w:val="110"/>
                <w:sz w:val="15"/>
              </w:rPr>
              <w:t> </w:t>
            </w:r>
            <w:r>
              <w:rPr>
                <w:b/>
                <w:color w:val="231F20"/>
                <w:spacing w:val="-2"/>
                <w:w w:val="110"/>
                <w:sz w:val="15"/>
              </w:rPr>
              <w:t>RANGE</w:t>
            </w:r>
          </w:p>
          <w:p>
            <w:pPr>
              <w:pStyle w:val="TableParagraph"/>
              <w:spacing w:line="171" w:lineRule="exact"/>
              <w:ind w:left="80" w:right="79"/>
              <w:jc w:val="center"/>
              <w:rPr>
                <w:b/>
                <w:sz w:val="15"/>
              </w:rPr>
            </w:pPr>
            <w:r>
              <w:rPr>
                <w:b/>
                <w:color w:val="231F20"/>
                <w:spacing w:val="-2"/>
                <w:sz w:val="15"/>
              </w:rPr>
              <w:t>(mg/dL)</w:t>
            </w:r>
          </w:p>
        </w:tc>
        <w:tc>
          <w:tcPr>
            <w:tcW w:w="3059" w:type="dxa"/>
            <w:tcBorders>
              <w:bottom w:val="single" w:sz="4" w:space="0" w:color="231F20"/>
            </w:tcBorders>
            <w:shd w:val="clear" w:color="auto" w:fill="E8F5F1"/>
          </w:tcPr>
          <w:p>
            <w:pPr>
              <w:pStyle w:val="TableParagraph"/>
              <w:spacing w:line="171" w:lineRule="exact" w:before="47"/>
              <w:ind w:left="10" w:right="1"/>
              <w:jc w:val="center"/>
              <w:rPr>
                <w:b/>
                <w:sz w:val="15"/>
              </w:rPr>
            </w:pPr>
            <w:r>
              <w:rPr>
                <w:b/>
                <w:color w:val="231F20"/>
                <w:w w:val="110"/>
                <w:sz w:val="15"/>
              </w:rPr>
              <w:t>30-DAY</w:t>
            </w:r>
            <w:r>
              <w:rPr>
                <w:b/>
                <w:color w:val="231F20"/>
                <w:spacing w:val="-1"/>
                <w:w w:val="110"/>
                <w:sz w:val="15"/>
              </w:rPr>
              <w:t> </w:t>
            </w:r>
            <w:r>
              <w:rPr>
                <w:b/>
                <w:color w:val="231F20"/>
                <w:w w:val="110"/>
                <w:sz w:val="15"/>
              </w:rPr>
              <w:t>AVERAGE</w:t>
            </w:r>
            <w:r>
              <w:rPr>
                <w:b/>
                <w:color w:val="231F20"/>
                <w:spacing w:val="-1"/>
                <w:w w:val="110"/>
                <w:sz w:val="15"/>
              </w:rPr>
              <w:t> </w:t>
            </w:r>
            <w:r>
              <w:rPr>
                <w:b/>
                <w:color w:val="231F20"/>
                <w:w w:val="110"/>
                <w:sz w:val="15"/>
              </w:rPr>
              <w:t>BG </w:t>
            </w:r>
            <w:r>
              <w:rPr>
                <w:b/>
                <w:color w:val="231F20"/>
                <w:spacing w:val="-2"/>
                <w:w w:val="110"/>
                <w:sz w:val="15"/>
              </w:rPr>
              <w:t>RANGE</w:t>
            </w:r>
          </w:p>
          <w:p>
            <w:pPr>
              <w:pStyle w:val="TableParagraph"/>
              <w:spacing w:line="171" w:lineRule="exact"/>
              <w:ind w:left="10" w:right="1"/>
              <w:jc w:val="center"/>
              <w:rPr>
                <w:b/>
                <w:sz w:val="15"/>
              </w:rPr>
            </w:pPr>
            <w:r>
              <w:rPr>
                <w:b/>
                <w:color w:val="231F20"/>
                <w:spacing w:val="-2"/>
                <w:sz w:val="15"/>
              </w:rPr>
              <w:t>(mg/dL)</w:t>
            </w:r>
          </w:p>
        </w:tc>
        <w:tc>
          <w:tcPr>
            <w:tcW w:w="1850" w:type="dxa"/>
            <w:tcBorders>
              <w:bottom w:val="single" w:sz="4" w:space="0" w:color="231F20"/>
            </w:tcBorders>
            <w:shd w:val="clear" w:color="auto" w:fill="E8F5F1"/>
          </w:tcPr>
          <w:p>
            <w:pPr>
              <w:pStyle w:val="TableParagraph"/>
              <w:spacing w:before="41"/>
              <w:rPr>
                <w:sz w:val="15"/>
              </w:rPr>
            </w:pPr>
          </w:p>
          <w:p>
            <w:pPr>
              <w:pStyle w:val="TableParagraph"/>
              <w:ind w:left="357" w:right="1"/>
              <w:jc w:val="center"/>
              <w:rPr>
                <w:b/>
                <w:sz w:val="15"/>
              </w:rPr>
            </w:pPr>
            <w:r>
              <w:rPr>
                <w:b/>
                <w:color w:val="231F20"/>
                <w:w w:val="105"/>
                <w:sz w:val="15"/>
              </w:rPr>
              <w:t>TARGET</w:t>
            </w:r>
            <w:r>
              <w:rPr>
                <w:b/>
                <w:color w:val="231F20"/>
                <w:spacing w:val="2"/>
                <w:w w:val="105"/>
                <w:sz w:val="15"/>
              </w:rPr>
              <w:t> </w:t>
            </w:r>
            <w:r>
              <w:rPr>
                <w:b/>
                <w:color w:val="231F20"/>
                <w:w w:val="105"/>
                <w:sz w:val="15"/>
              </w:rPr>
              <w:t>HbA</w:t>
            </w:r>
            <w:r>
              <w:rPr>
                <w:b/>
                <w:color w:val="231F20"/>
                <w:w w:val="105"/>
                <w:sz w:val="15"/>
                <w:vertAlign w:val="subscript"/>
              </w:rPr>
              <w:t>1c</w:t>
            </w:r>
            <w:r>
              <w:rPr>
                <w:b/>
                <w:color w:val="231F20"/>
                <w:spacing w:val="3"/>
                <w:w w:val="105"/>
                <w:sz w:val="15"/>
                <w:vertAlign w:val="baseline"/>
              </w:rPr>
              <w:t> </w:t>
            </w:r>
            <w:r>
              <w:rPr>
                <w:b/>
                <w:color w:val="231F20"/>
                <w:spacing w:val="-5"/>
                <w:w w:val="105"/>
                <w:sz w:val="15"/>
                <w:vertAlign w:val="baseline"/>
              </w:rPr>
              <w:t>(%)</w:t>
            </w:r>
          </w:p>
        </w:tc>
      </w:tr>
      <w:tr>
        <w:trPr>
          <w:trHeight w:val="259" w:hRule="atLeast"/>
        </w:trPr>
        <w:tc>
          <w:tcPr>
            <w:tcW w:w="1729"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rFonts w:ascii="Cambria"/>
                <w:color w:val="231F20"/>
                <w:spacing w:val="-5"/>
                <w:sz w:val="15"/>
              </w:rPr>
              <w:t>&lt;</w:t>
            </w:r>
            <w:r>
              <w:rPr>
                <w:color w:val="231F20"/>
                <w:spacing w:val="-5"/>
                <w:sz w:val="15"/>
              </w:rPr>
              <w:t>5</w:t>
            </w:r>
          </w:p>
        </w:tc>
        <w:tc>
          <w:tcPr>
            <w:tcW w:w="3103" w:type="dxa"/>
            <w:tcBorders>
              <w:top w:val="single" w:sz="4" w:space="0" w:color="231F20"/>
              <w:bottom w:val="single" w:sz="4" w:space="0" w:color="FFFFFF"/>
            </w:tcBorders>
            <w:shd w:val="clear" w:color="auto" w:fill="E8F5F1"/>
          </w:tcPr>
          <w:p>
            <w:pPr>
              <w:pStyle w:val="TableParagraph"/>
              <w:spacing w:before="47"/>
              <w:ind w:left="80" w:right="78"/>
              <w:jc w:val="center"/>
              <w:rPr>
                <w:sz w:val="15"/>
              </w:rPr>
            </w:pPr>
            <w:r>
              <w:rPr>
                <w:color w:val="231F20"/>
                <w:spacing w:val="-4"/>
                <w:sz w:val="15"/>
              </w:rPr>
              <w:t>100-</w:t>
            </w:r>
            <w:r>
              <w:rPr>
                <w:color w:val="231F20"/>
                <w:spacing w:val="-5"/>
                <w:sz w:val="15"/>
              </w:rPr>
              <w:t>200</w:t>
            </w:r>
          </w:p>
        </w:tc>
        <w:tc>
          <w:tcPr>
            <w:tcW w:w="3059" w:type="dxa"/>
            <w:tcBorders>
              <w:top w:val="single" w:sz="4" w:space="0" w:color="231F20"/>
              <w:bottom w:val="single" w:sz="4" w:space="0" w:color="FFFFFF"/>
            </w:tcBorders>
            <w:shd w:val="clear" w:color="auto" w:fill="E8F5F1"/>
          </w:tcPr>
          <w:p>
            <w:pPr>
              <w:pStyle w:val="TableParagraph"/>
              <w:spacing w:before="47"/>
              <w:ind w:left="10"/>
              <w:jc w:val="center"/>
              <w:rPr>
                <w:sz w:val="15"/>
              </w:rPr>
            </w:pPr>
            <w:r>
              <w:rPr>
                <w:color w:val="231F20"/>
                <w:spacing w:val="-4"/>
                <w:sz w:val="15"/>
              </w:rPr>
              <w:t>180-</w:t>
            </w:r>
            <w:r>
              <w:rPr>
                <w:color w:val="231F20"/>
                <w:spacing w:val="-5"/>
                <w:sz w:val="15"/>
              </w:rPr>
              <w:t>250</w:t>
            </w:r>
          </w:p>
        </w:tc>
        <w:tc>
          <w:tcPr>
            <w:tcW w:w="1850" w:type="dxa"/>
            <w:tcBorders>
              <w:top w:val="single" w:sz="4" w:space="0" w:color="231F20"/>
              <w:bottom w:val="single" w:sz="4" w:space="0" w:color="FFFFFF"/>
            </w:tcBorders>
            <w:shd w:val="clear" w:color="auto" w:fill="E8F5F1"/>
          </w:tcPr>
          <w:p>
            <w:pPr>
              <w:pStyle w:val="TableParagraph"/>
              <w:spacing w:before="47"/>
              <w:ind w:left="357"/>
              <w:jc w:val="center"/>
              <w:rPr>
                <w:sz w:val="15"/>
              </w:rPr>
            </w:pPr>
            <w:r>
              <w:rPr>
                <w:color w:val="231F20"/>
                <w:w w:val="90"/>
                <w:sz w:val="15"/>
              </w:rPr>
              <w:t>7.5-</w:t>
            </w:r>
            <w:r>
              <w:rPr>
                <w:color w:val="231F20"/>
                <w:spacing w:val="-5"/>
                <w:sz w:val="15"/>
              </w:rPr>
              <w:t>9.0</w:t>
            </w:r>
          </w:p>
        </w:tc>
      </w:tr>
      <w:tr>
        <w:trPr>
          <w:trHeight w:val="252" w:hRule="atLeast"/>
        </w:trPr>
        <w:tc>
          <w:tcPr>
            <w:tcW w:w="172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5-</w:t>
            </w:r>
            <w:r>
              <w:rPr>
                <w:color w:val="231F20"/>
                <w:spacing w:val="-5"/>
                <w:sz w:val="15"/>
              </w:rPr>
              <w:t>11</w:t>
            </w:r>
          </w:p>
        </w:tc>
        <w:tc>
          <w:tcPr>
            <w:tcW w:w="3103" w:type="dxa"/>
            <w:tcBorders>
              <w:top w:val="single" w:sz="4" w:space="0" w:color="FFFFFF"/>
              <w:bottom w:val="single" w:sz="4" w:space="0" w:color="FFFFFF"/>
            </w:tcBorders>
            <w:shd w:val="clear" w:color="auto" w:fill="E8F5F1"/>
          </w:tcPr>
          <w:p>
            <w:pPr>
              <w:pStyle w:val="TableParagraph"/>
              <w:spacing w:before="42"/>
              <w:ind w:left="80"/>
              <w:jc w:val="center"/>
              <w:rPr>
                <w:sz w:val="15"/>
              </w:rPr>
            </w:pPr>
            <w:r>
              <w:rPr>
                <w:color w:val="231F20"/>
                <w:spacing w:val="-4"/>
                <w:sz w:val="15"/>
              </w:rPr>
              <w:t>80-</w:t>
            </w:r>
            <w:r>
              <w:rPr>
                <w:color w:val="231F20"/>
                <w:spacing w:val="-5"/>
                <w:sz w:val="15"/>
              </w:rPr>
              <w:t>150</w:t>
            </w:r>
          </w:p>
        </w:tc>
        <w:tc>
          <w:tcPr>
            <w:tcW w:w="3059" w:type="dxa"/>
            <w:tcBorders>
              <w:top w:val="single" w:sz="4" w:space="0" w:color="FFFFFF"/>
              <w:bottom w:val="single" w:sz="4" w:space="0" w:color="FFFFFF"/>
            </w:tcBorders>
            <w:shd w:val="clear" w:color="auto" w:fill="E8F5F1"/>
          </w:tcPr>
          <w:p>
            <w:pPr>
              <w:pStyle w:val="TableParagraph"/>
              <w:spacing w:before="42"/>
              <w:ind w:left="10"/>
              <w:jc w:val="center"/>
              <w:rPr>
                <w:sz w:val="15"/>
              </w:rPr>
            </w:pPr>
            <w:r>
              <w:rPr>
                <w:color w:val="231F20"/>
                <w:spacing w:val="-4"/>
                <w:sz w:val="15"/>
              </w:rPr>
              <w:t>150-</w:t>
            </w:r>
            <w:r>
              <w:rPr>
                <w:color w:val="231F20"/>
                <w:spacing w:val="-5"/>
                <w:sz w:val="15"/>
              </w:rPr>
              <w:t>200</w:t>
            </w:r>
          </w:p>
        </w:tc>
        <w:tc>
          <w:tcPr>
            <w:tcW w:w="1850" w:type="dxa"/>
            <w:tcBorders>
              <w:top w:val="single" w:sz="4" w:space="0" w:color="FFFFFF"/>
              <w:bottom w:val="single" w:sz="4" w:space="0" w:color="FFFFFF"/>
            </w:tcBorders>
            <w:shd w:val="clear" w:color="auto" w:fill="E8F5F1"/>
          </w:tcPr>
          <w:p>
            <w:pPr>
              <w:pStyle w:val="TableParagraph"/>
              <w:spacing w:before="42"/>
              <w:ind w:left="357"/>
              <w:jc w:val="center"/>
              <w:rPr>
                <w:sz w:val="15"/>
              </w:rPr>
            </w:pPr>
            <w:r>
              <w:rPr>
                <w:color w:val="231F20"/>
                <w:w w:val="90"/>
                <w:sz w:val="15"/>
              </w:rPr>
              <w:t>6.5-</w:t>
            </w:r>
            <w:r>
              <w:rPr>
                <w:color w:val="231F20"/>
                <w:spacing w:val="-5"/>
                <w:sz w:val="15"/>
              </w:rPr>
              <w:t>8.0</w:t>
            </w:r>
          </w:p>
        </w:tc>
      </w:tr>
      <w:tr>
        <w:trPr>
          <w:trHeight w:val="252" w:hRule="atLeast"/>
        </w:trPr>
        <w:tc>
          <w:tcPr>
            <w:tcW w:w="172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12-</w:t>
            </w:r>
            <w:r>
              <w:rPr>
                <w:color w:val="231F20"/>
                <w:spacing w:val="-5"/>
                <w:sz w:val="15"/>
              </w:rPr>
              <w:t>15</w:t>
            </w:r>
          </w:p>
        </w:tc>
        <w:tc>
          <w:tcPr>
            <w:tcW w:w="3103" w:type="dxa"/>
            <w:tcBorders>
              <w:top w:val="single" w:sz="4" w:space="0" w:color="FFFFFF"/>
              <w:bottom w:val="single" w:sz="4" w:space="0" w:color="FFFFFF"/>
            </w:tcBorders>
            <w:shd w:val="clear" w:color="auto" w:fill="E8F5F1"/>
          </w:tcPr>
          <w:p>
            <w:pPr>
              <w:pStyle w:val="TableParagraph"/>
              <w:spacing w:before="42"/>
              <w:ind w:left="80"/>
              <w:jc w:val="center"/>
              <w:rPr>
                <w:sz w:val="15"/>
              </w:rPr>
            </w:pPr>
            <w:r>
              <w:rPr>
                <w:color w:val="231F20"/>
                <w:spacing w:val="-4"/>
                <w:sz w:val="15"/>
              </w:rPr>
              <w:t>80-</w:t>
            </w:r>
            <w:r>
              <w:rPr>
                <w:color w:val="231F20"/>
                <w:spacing w:val="-5"/>
                <w:sz w:val="15"/>
              </w:rPr>
              <w:t>130</w:t>
            </w:r>
          </w:p>
        </w:tc>
        <w:tc>
          <w:tcPr>
            <w:tcW w:w="3059" w:type="dxa"/>
            <w:tcBorders>
              <w:top w:val="single" w:sz="4" w:space="0" w:color="FFFFFF"/>
              <w:bottom w:val="single" w:sz="4" w:space="0" w:color="FFFFFF"/>
            </w:tcBorders>
            <w:shd w:val="clear" w:color="auto" w:fill="E8F5F1"/>
          </w:tcPr>
          <w:p>
            <w:pPr>
              <w:pStyle w:val="TableParagraph"/>
              <w:spacing w:before="42"/>
              <w:ind w:left="10"/>
              <w:jc w:val="center"/>
              <w:rPr>
                <w:sz w:val="15"/>
              </w:rPr>
            </w:pPr>
            <w:r>
              <w:rPr>
                <w:color w:val="231F20"/>
                <w:spacing w:val="-4"/>
                <w:sz w:val="15"/>
              </w:rPr>
              <w:t>120-</w:t>
            </w:r>
            <w:r>
              <w:rPr>
                <w:color w:val="231F20"/>
                <w:spacing w:val="-5"/>
                <w:sz w:val="15"/>
              </w:rPr>
              <w:t>180</w:t>
            </w:r>
          </w:p>
        </w:tc>
        <w:tc>
          <w:tcPr>
            <w:tcW w:w="1850" w:type="dxa"/>
            <w:tcBorders>
              <w:top w:val="single" w:sz="4" w:space="0" w:color="FFFFFF"/>
              <w:bottom w:val="single" w:sz="4" w:space="0" w:color="FFFFFF"/>
            </w:tcBorders>
            <w:shd w:val="clear" w:color="auto" w:fill="E8F5F1"/>
          </w:tcPr>
          <w:p>
            <w:pPr>
              <w:pStyle w:val="TableParagraph"/>
              <w:spacing w:before="42"/>
              <w:ind w:left="357"/>
              <w:jc w:val="center"/>
              <w:rPr>
                <w:sz w:val="15"/>
              </w:rPr>
            </w:pPr>
            <w:r>
              <w:rPr>
                <w:color w:val="231F20"/>
                <w:w w:val="90"/>
                <w:sz w:val="15"/>
              </w:rPr>
              <w:t>6.0-</w:t>
            </w:r>
            <w:r>
              <w:rPr>
                <w:color w:val="231F20"/>
                <w:spacing w:val="-5"/>
                <w:sz w:val="15"/>
              </w:rPr>
              <w:t>7.5</w:t>
            </w:r>
          </w:p>
        </w:tc>
      </w:tr>
      <w:tr>
        <w:trPr>
          <w:trHeight w:val="247" w:hRule="atLeast"/>
        </w:trPr>
        <w:tc>
          <w:tcPr>
            <w:tcW w:w="1729"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4"/>
                <w:sz w:val="15"/>
              </w:rPr>
              <w:t>16-</w:t>
            </w:r>
            <w:r>
              <w:rPr>
                <w:color w:val="231F20"/>
                <w:spacing w:val="-5"/>
                <w:sz w:val="15"/>
              </w:rPr>
              <w:t>18</w:t>
            </w:r>
          </w:p>
        </w:tc>
        <w:tc>
          <w:tcPr>
            <w:tcW w:w="3103" w:type="dxa"/>
            <w:tcBorders>
              <w:top w:val="single" w:sz="4" w:space="0" w:color="FFFFFF"/>
              <w:bottom w:val="single" w:sz="8" w:space="0" w:color="231F20"/>
            </w:tcBorders>
            <w:shd w:val="clear" w:color="auto" w:fill="E8F5F1"/>
          </w:tcPr>
          <w:p>
            <w:pPr>
              <w:pStyle w:val="TableParagraph"/>
              <w:spacing w:before="42"/>
              <w:ind w:left="80"/>
              <w:jc w:val="center"/>
              <w:rPr>
                <w:sz w:val="15"/>
              </w:rPr>
            </w:pPr>
            <w:r>
              <w:rPr>
                <w:color w:val="231F20"/>
                <w:spacing w:val="-4"/>
                <w:sz w:val="15"/>
              </w:rPr>
              <w:t>70-</w:t>
            </w:r>
            <w:r>
              <w:rPr>
                <w:color w:val="231F20"/>
                <w:spacing w:val="-5"/>
                <w:sz w:val="15"/>
              </w:rPr>
              <w:t>120</w:t>
            </w:r>
          </w:p>
        </w:tc>
        <w:tc>
          <w:tcPr>
            <w:tcW w:w="3059" w:type="dxa"/>
            <w:tcBorders>
              <w:top w:val="single" w:sz="4" w:space="0" w:color="FFFFFF"/>
              <w:bottom w:val="single" w:sz="8" w:space="0" w:color="231F20"/>
            </w:tcBorders>
            <w:shd w:val="clear" w:color="auto" w:fill="E8F5F1"/>
          </w:tcPr>
          <w:p>
            <w:pPr>
              <w:pStyle w:val="TableParagraph"/>
              <w:spacing w:before="42"/>
              <w:ind w:left="10"/>
              <w:jc w:val="center"/>
              <w:rPr>
                <w:sz w:val="15"/>
              </w:rPr>
            </w:pPr>
            <w:r>
              <w:rPr>
                <w:color w:val="231F20"/>
                <w:spacing w:val="-4"/>
                <w:sz w:val="15"/>
              </w:rPr>
              <w:t>100-</w:t>
            </w:r>
            <w:r>
              <w:rPr>
                <w:color w:val="231F20"/>
                <w:spacing w:val="-5"/>
                <w:sz w:val="15"/>
              </w:rPr>
              <w:t>150</w:t>
            </w:r>
          </w:p>
        </w:tc>
        <w:tc>
          <w:tcPr>
            <w:tcW w:w="1850" w:type="dxa"/>
            <w:tcBorders>
              <w:top w:val="single" w:sz="4" w:space="0" w:color="FFFFFF"/>
              <w:bottom w:val="single" w:sz="8" w:space="0" w:color="231F20"/>
            </w:tcBorders>
            <w:shd w:val="clear" w:color="auto" w:fill="E8F5F1"/>
          </w:tcPr>
          <w:p>
            <w:pPr>
              <w:pStyle w:val="TableParagraph"/>
              <w:spacing w:before="42"/>
              <w:ind w:left="357"/>
              <w:jc w:val="center"/>
              <w:rPr>
                <w:sz w:val="15"/>
              </w:rPr>
            </w:pPr>
            <w:r>
              <w:rPr>
                <w:color w:val="231F20"/>
                <w:w w:val="90"/>
                <w:sz w:val="15"/>
              </w:rPr>
              <w:t>5.5-</w:t>
            </w:r>
            <w:r>
              <w:rPr>
                <w:color w:val="231F20"/>
                <w:spacing w:val="-5"/>
                <w:sz w:val="15"/>
              </w:rPr>
              <w:t>7.0</w:t>
            </w:r>
          </w:p>
        </w:tc>
      </w:tr>
    </w:tbl>
    <w:p>
      <w:pPr>
        <w:pStyle w:val="BodyText"/>
        <w:spacing w:line="223" w:lineRule="auto" w:before="86"/>
        <w:ind w:left="1096" w:right="4083" w:hanging="131"/>
        <w:rPr>
          <w:position w:val="2"/>
        </w:rPr>
      </w:pPr>
      <w:r>
        <w:rPr>
          <w:color w:val="231F20"/>
          <w:position w:val="2"/>
        </w:rPr>
        <w:t>In</w:t>
      </w:r>
      <w:r>
        <w:rPr>
          <w:color w:val="231F20"/>
          <w:spacing w:val="-6"/>
          <w:position w:val="2"/>
        </w:rPr>
        <w:t> </w:t>
      </w:r>
      <w:r>
        <w:rPr>
          <w:color w:val="231F20"/>
          <w:position w:val="2"/>
        </w:rPr>
        <w:t>our</w:t>
      </w:r>
      <w:r>
        <w:rPr>
          <w:color w:val="231F20"/>
          <w:spacing w:val="-6"/>
          <w:position w:val="2"/>
        </w:rPr>
        <w:t> </w:t>
      </w:r>
      <w:r>
        <w:rPr>
          <w:color w:val="231F20"/>
          <w:position w:val="2"/>
        </w:rPr>
        <w:t>laboratory,</w:t>
      </w:r>
      <w:r>
        <w:rPr>
          <w:color w:val="231F20"/>
          <w:spacing w:val="-6"/>
          <w:position w:val="2"/>
        </w:rPr>
        <w:t> </w:t>
      </w:r>
      <w:r>
        <w:rPr>
          <w:color w:val="231F20"/>
          <w:position w:val="2"/>
        </w:rPr>
        <w:t>the</w:t>
      </w:r>
      <w:r>
        <w:rPr>
          <w:color w:val="231F20"/>
          <w:spacing w:val="-6"/>
          <w:position w:val="2"/>
        </w:rPr>
        <w:t> </w:t>
      </w:r>
      <w:r>
        <w:rPr>
          <w:color w:val="231F20"/>
          <w:position w:val="2"/>
        </w:rPr>
        <w:t>nondiabetic</w:t>
      </w:r>
      <w:r>
        <w:rPr>
          <w:color w:val="231F20"/>
          <w:spacing w:val="-6"/>
          <w:position w:val="2"/>
        </w:rPr>
        <w:t> </w:t>
      </w:r>
      <w:r>
        <w:rPr>
          <w:color w:val="231F20"/>
          <w:position w:val="2"/>
        </w:rPr>
        <w:t>reference</w:t>
      </w:r>
      <w:r>
        <w:rPr>
          <w:color w:val="231F20"/>
          <w:spacing w:val="-6"/>
          <w:position w:val="2"/>
        </w:rPr>
        <w:t> </w:t>
      </w:r>
      <w:r>
        <w:rPr>
          <w:color w:val="231F20"/>
          <w:position w:val="2"/>
        </w:rPr>
        <w:t>range</w:t>
      </w:r>
      <w:r>
        <w:rPr>
          <w:color w:val="231F20"/>
          <w:spacing w:val="-6"/>
          <w:position w:val="2"/>
        </w:rPr>
        <w:t> </w:t>
      </w:r>
      <w:r>
        <w:rPr>
          <w:color w:val="231F20"/>
          <w:position w:val="2"/>
        </w:rPr>
        <w:t>for</w:t>
      </w:r>
      <w:r>
        <w:rPr>
          <w:color w:val="231F20"/>
          <w:spacing w:val="-6"/>
          <w:position w:val="2"/>
        </w:rPr>
        <w:t> </w:t>
      </w:r>
      <w:r>
        <w:rPr>
          <w:color w:val="231F20"/>
          <w:position w:val="2"/>
        </w:rPr>
        <w:t>HbA</w:t>
      </w:r>
      <w:r>
        <w:rPr>
          <w:color w:val="231F20"/>
          <w:sz w:val="8"/>
        </w:rPr>
        <w:t>1c</w:t>
      </w:r>
      <w:r>
        <w:rPr>
          <w:color w:val="231F20"/>
          <w:spacing w:val="9"/>
          <w:sz w:val="8"/>
        </w:rPr>
        <w:t> </w:t>
      </w:r>
      <w:r>
        <w:rPr>
          <w:color w:val="231F20"/>
          <w:position w:val="2"/>
        </w:rPr>
        <w:t>is</w:t>
      </w:r>
      <w:r>
        <w:rPr>
          <w:color w:val="231F20"/>
          <w:spacing w:val="-6"/>
          <w:position w:val="2"/>
        </w:rPr>
        <w:t> </w:t>
      </w:r>
      <w:r>
        <w:rPr>
          <w:color w:val="231F20"/>
          <w:position w:val="2"/>
        </w:rPr>
        <w:t>4.5-5.7%</w:t>
      </w:r>
      <w:r>
        <w:rPr>
          <w:color w:val="231F20"/>
          <w:spacing w:val="-6"/>
          <w:position w:val="2"/>
        </w:rPr>
        <w:t> </w:t>
      </w:r>
      <w:r>
        <w:rPr>
          <w:color w:val="231F20"/>
          <w:position w:val="2"/>
        </w:rPr>
        <w:t>(95%</w:t>
      </w:r>
      <w:r>
        <w:rPr>
          <w:color w:val="231F20"/>
          <w:spacing w:val="-6"/>
          <w:position w:val="2"/>
        </w:rPr>
        <w:t> </w:t>
      </w:r>
      <w:r>
        <w:rPr>
          <w:color w:val="231F20"/>
          <w:position w:val="2"/>
        </w:rPr>
        <w:t>confidence</w:t>
      </w:r>
      <w:r>
        <w:rPr>
          <w:color w:val="231F20"/>
          <w:spacing w:val="-6"/>
          <w:position w:val="2"/>
        </w:rPr>
        <w:t> </w:t>
      </w:r>
      <w:r>
        <w:rPr>
          <w:color w:val="231F20"/>
          <w:position w:val="2"/>
        </w:rPr>
        <w:t>interval).</w:t>
      </w:r>
      <w:r>
        <w:rPr>
          <w:color w:val="231F20"/>
          <w:spacing w:val="40"/>
          <w:position w:val="2"/>
        </w:rPr>
        <w:t> </w:t>
      </w:r>
      <w:r>
        <w:rPr>
          <w:color w:val="231F20"/>
          <w:position w:val="2"/>
        </w:rPr>
        <w:t>BG, blood glucose; HbA</w:t>
      </w:r>
      <w:r>
        <w:rPr>
          <w:color w:val="231F20"/>
          <w:sz w:val="8"/>
        </w:rPr>
        <w:t>1c</w:t>
      </w:r>
      <w:r>
        <w:rPr>
          <w:color w:val="231F20"/>
          <w:position w:val="2"/>
        </w:rPr>
        <w:t>, hemoglobin A</w:t>
      </w:r>
      <w:r>
        <w:rPr>
          <w:color w:val="231F20"/>
          <w:sz w:val="8"/>
        </w:rPr>
        <w:t>1c</w:t>
      </w:r>
      <w:r>
        <w:rPr>
          <w:color w:val="231F20"/>
          <w:position w:val="2"/>
        </w:rPr>
        <w:t>.</w:t>
      </w:r>
    </w:p>
    <w:p>
      <w:pPr>
        <w:pStyle w:val="BodyText"/>
        <w:spacing w:after="0" w:line="223" w:lineRule="auto"/>
        <w:rPr>
          <w:position w:val="2"/>
        </w:rPr>
        <w:sectPr>
          <w:pgSz w:w="11900" w:h="16840"/>
          <w:pgMar w:header="452"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175" name="Group 175"/>
                <wp:cNvGraphicFramePr>
                  <a:graphicFrameLocks/>
                </wp:cNvGraphicFramePr>
                <a:graphic>
                  <a:graphicData uri="http://schemas.microsoft.com/office/word/2010/wordprocessingGroup">
                    <wpg:wgp>
                      <wpg:cNvPr id="175" name="Group 175"/>
                      <wpg:cNvGrpSpPr/>
                      <wpg:grpSpPr>
                        <a:xfrm>
                          <a:off x="0" y="0"/>
                          <a:ext cx="6185535" cy="170815"/>
                          <a:chExt cx="6185535" cy="170815"/>
                        </a:xfrm>
                      </wpg:grpSpPr>
                      <wps:wsp>
                        <wps:cNvPr id="176" name="Graphic 176"/>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77" name="Graphic 177"/>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78" name="Textbox 17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2784</w:t>
                              </w:r>
                              <w:r>
                                <w:rPr>
                                  <w:b/>
                                  <w:color w:val="231F20"/>
                                  <w:spacing w:val="33"/>
                                  <w:w w:val="105"/>
                                  <w:sz w:val="18"/>
                                </w:rPr>
                                <w:t>  </w:t>
                              </w:r>
                              <w:r>
                                <w:rPr>
                                  <w:b/>
                                  <w:color w:val="D5841E"/>
                                  <w:w w:val="105"/>
                                  <w:sz w:val="18"/>
                                </w:rPr>
                                <w:t>Part</w:t>
                              </w:r>
                              <w:r>
                                <w:rPr>
                                  <w:b/>
                                  <w:color w:val="D5841E"/>
                                  <w:spacing w:val="7"/>
                                  <w:w w:val="105"/>
                                  <w:sz w:val="18"/>
                                </w:rPr>
                                <w:t> </w:t>
                              </w:r>
                              <w:r>
                                <w:rPr>
                                  <w:b/>
                                  <w:color w:val="D5841E"/>
                                  <w:w w:val="105"/>
                                  <w:sz w:val="18"/>
                                </w:rPr>
                                <w:t>XXVI</w:t>
                              </w:r>
                              <w:r>
                                <w:rPr>
                                  <w:b/>
                                  <w:color w:val="D5841E"/>
                                  <w:spacing w:val="33"/>
                                  <w:w w:val="105"/>
                                  <w:sz w:val="18"/>
                                </w:rPr>
                                <w:t> </w:t>
                              </w:r>
                              <w:r>
                                <w:rPr>
                                  <w:rFonts w:ascii="MS Gothic" w:hAnsi="MS Gothic"/>
                                  <w:color w:val="E4AE6F"/>
                                  <w:w w:val="105"/>
                                  <w:sz w:val="15"/>
                                </w:rPr>
                                <w:t>◆</w:t>
                              </w:r>
                              <w:r>
                                <w:rPr>
                                  <w:rFonts w:ascii="MS Gothic" w:hAnsi="MS Gothic"/>
                                  <w:color w:val="E4AE6F"/>
                                  <w:spacing w:val="11"/>
                                  <w:w w:val="105"/>
                                  <w:sz w:val="15"/>
                                </w:rPr>
                                <w:t> </w:t>
                              </w:r>
                              <w:r>
                                <w:rPr>
                                  <w:color w:val="231F20"/>
                                  <w:w w:val="105"/>
                                  <w:sz w:val="18"/>
                                </w:rPr>
                                <w:t>The</w:t>
                              </w:r>
                              <w:r>
                                <w:rPr>
                                  <w:color w:val="231F20"/>
                                  <w:spacing w:val="4"/>
                                  <w:w w:val="105"/>
                                  <w:sz w:val="18"/>
                                </w:rPr>
                                <w:t> </w:t>
                              </w:r>
                              <w:r>
                                <w:rPr>
                                  <w:color w:val="231F20"/>
                                  <w:w w:val="105"/>
                                  <w:sz w:val="18"/>
                                </w:rPr>
                                <w:t>Endocrine</w:t>
                              </w:r>
                              <w:r>
                                <w:rPr>
                                  <w:color w:val="231F20"/>
                                  <w:spacing w:val="3"/>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43"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44" filled="false" stroked="false">
                  <v:textbox inset="0,0,0,0">
                    <w:txbxContent>
                      <w:p>
                        <w:pPr>
                          <w:spacing w:before="6"/>
                          <w:ind w:left="-1" w:right="0" w:firstLine="0"/>
                          <w:jc w:val="left"/>
                          <w:rPr>
                            <w:sz w:val="18"/>
                          </w:rPr>
                        </w:pPr>
                        <w:r>
                          <w:rPr>
                            <w:b/>
                            <w:color w:val="231F20"/>
                            <w:w w:val="105"/>
                            <w:sz w:val="18"/>
                          </w:rPr>
                          <w:t>2784</w:t>
                        </w:r>
                        <w:r>
                          <w:rPr>
                            <w:b/>
                            <w:color w:val="231F20"/>
                            <w:spacing w:val="33"/>
                            <w:w w:val="105"/>
                            <w:sz w:val="18"/>
                          </w:rPr>
                          <w:t>  </w:t>
                        </w:r>
                        <w:r>
                          <w:rPr>
                            <w:b/>
                            <w:color w:val="D5841E"/>
                            <w:w w:val="105"/>
                            <w:sz w:val="18"/>
                          </w:rPr>
                          <w:t>Part</w:t>
                        </w:r>
                        <w:r>
                          <w:rPr>
                            <w:b/>
                            <w:color w:val="D5841E"/>
                            <w:spacing w:val="7"/>
                            <w:w w:val="105"/>
                            <w:sz w:val="18"/>
                          </w:rPr>
                          <w:t> </w:t>
                        </w:r>
                        <w:r>
                          <w:rPr>
                            <w:b/>
                            <w:color w:val="D5841E"/>
                            <w:w w:val="105"/>
                            <w:sz w:val="18"/>
                          </w:rPr>
                          <w:t>XXVI</w:t>
                        </w:r>
                        <w:r>
                          <w:rPr>
                            <w:b/>
                            <w:color w:val="D5841E"/>
                            <w:spacing w:val="33"/>
                            <w:w w:val="105"/>
                            <w:sz w:val="18"/>
                          </w:rPr>
                          <w:t> </w:t>
                        </w:r>
                        <w:r>
                          <w:rPr>
                            <w:rFonts w:ascii="MS Gothic" w:hAnsi="MS Gothic"/>
                            <w:color w:val="E4AE6F"/>
                            <w:w w:val="105"/>
                            <w:sz w:val="15"/>
                          </w:rPr>
                          <w:t>◆</w:t>
                        </w:r>
                        <w:r>
                          <w:rPr>
                            <w:rFonts w:ascii="MS Gothic" w:hAnsi="MS Gothic"/>
                            <w:color w:val="E4AE6F"/>
                            <w:spacing w:val="11"/>
                            <w:w w:val="105"/>
                            <w:sz w:val="15"/>
                          </w:rPr>
                          <w:t> </w:t>
                        </w:r>
                        <w:r>
                          <w:rPr>
                            <w:color w:val="231F20"/>
                            <w:w w:val="105"/>
                            <w:sz w:val="18"/>
                          </w:rPr>
                          <w:t>The</w:t>
                        </w:r>
                        <w:r>
                          <w:rPr>
                            <w:color w:val="231F20"/>
                            <w:spacing w:val="4"/>
                            <w:w w:val="105"/>
                            <w:sz w:val="18"/>
                          </w:rPr>
                          <w:t> </w:t>
                        </w:r>
                        <w:r>
                          <w:rPr>
                            <w:color w:val="231F20"/>
                            <w:w w:val="105"/>
                            <w:sz w:val="18"/>
                          </w:rPr>
                          <w:t>Endocrine</w:t>
                        </w:r>
                        <w:r>
                          <w:rPr>
                            <w:color w:val="231F20"/>
                            <w:spacing w:val="3"/>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8"/>
        <w:rPr>
          <w:sz w:val="14"/>
        </w:rPr>
      </w:pPr>
      <w:r>
        <w:rPr>
          <w:sz w:val="14"/>
        </w:rPr>
        <mc:AlternateContent>
          <mc:Choice Requires="wps">
            <w:drawing>
              <wp:anchor distT="0" distB="0" distL="0" distR="0" allowOverlap="1" layoutInCell="1" locked="0" behindDoc="1" simplePos="0" relativeHeight="487600128">
                <wp:simplePos x="0" y="0"/>
                <wp:positionH relativeFrom="page">
                  <wp:posOffset>3778250</wp:posOffset>
                </wp:positionH>
                <wp:positionV relativeFrom="paragraph">
                  <wp:posOffset>123877</wp:posOffset>
                </wp:positionV>
                <wp:extent cx="2986405" cy="2009775"/>
                <wp:effectExtent l="0" t="0" r="0" b="0"/>
                <wp:wrapTopAndBottom/>
                <wp:docPr id="179" name="Group 179"/>
                <wp:cNvGraphicFramePr>
                  <a:graphicFrameLocks/>
                </wp:cNvGraphicFramePr>
                <a:graphic>
                  <a:graphicData uri="http://schemas.microsoft.com/office/word/2010/wordprocessingGroup">
                    <wpg:wgp>
                      <wpg:cNvPr id="179" name="Group 179"/>
                      <wpg:cNvGrpSpPr/>
                      <wpg:grpSpPr>
                        <a:xfrm>
                          <a:off x="0" y="0"/>
                          <a:ext cx="2986405" cy="2009775"/>
                          <a:chExt cx="2986405" cy="2009775"/>
                        </a:xfrm>
                      </wpg:grpSpPr>
                      <wps:wsp>
                        <wps:cNvPr id="180" name="Textbox 180"/>
                        <wps:cNvSpPr txBox="1"/>
                        <wps:spPr>
                          <a:xfrm>
                            <a:off x="0" y="236987"/>
                            <a:ext cx="2986405" cy="1766570"/>
                          </a:xfrm>
                          <a:prstGeom prst="rect">
                            <a:avLst/>
                          </a:prstGeom>
                          <a:solidFill>
                            <a:srgbClr val="E8F5F1"/>
                          </a:solidFill>
                        </wps:spPr>
                        <wps:txbx>
                          <w:txbxContent>
                            <w:p>
                              <w:pPr>
                                <w:numPr>
                                  <w:ilvl w:val="0"/>
                                  <w:numId w:val="5"/>
                                </w:numPr>
                                <w:tabs>
                                  <w:tab w:pos="223" w:val="left" w:leader="none"/>
                                </w:tabs>
                                <w:spacing w:line="170" w:lineRule="exact" w:before="47"/>
                                <w:ind w:left="223" w:right="0" w:hanging="149"/>
                                <w:jc w:val="left"/>
                                <w:rPr>
                                  <w:color w:val="000000"/>
                                  <w:sz w:val="15"/>
                                </w:rPr>
                              </w:pPr>
                              <w:r>
                                <w:rPr>
                                  <w:color w:val="231F20"/>
                                  <w:spacing w:val="-2"/>
                                  <w:sz w:val="15"/>
                                </w:rPr>
                                <w:t>Criteria</w:t>
                              </w:r>
                              <w:r>
                                <w:rPr>
                                  <w:color w:val="0080AC"/>
                                  <w:spacing w:val="-2"/>
                                  <w:sz w:val="15"/>
                                </w:rPr>
                                <w:t>*</w:t>
                              </w:r>
                            </w:p>
                            <w:p>
                              <w:pPr>
                                <w:spacing w:line="230" w:lineRule="auto" w:before="2"/>
                                <w:ind w:left="335" w:right="0" w:hanging="112"/>
                                <w:jc w:val="left"/>
                                <w:rPr>
                                  <w:color w:val="000000"/>
                                  <w:sz w:val="15"/>
                                </w:rPr>
                              </w:pPr>
                              <w:r>
                                <w:rPr>
                                  <w:color w:val="231F20"/>
                                  <w:sz w:val="15"/>
                                </w:rPr>
                                <w:t>Overweight (body mass index </w:t>
                              </w:r>
                              <w:r>
                                <w:rPr>
                                  <w:rFonts w:ascii="Cambria"/>
                                  <w:color w:val="231F20"/>
                                  <w:sz w:val="15"/>
                                </w:rPr>
                                <w:t>&gt;</w:t>
                              </w:r>
                              <w:r>
                                <w:rPr>
                                  <w:color w:val="231F20"/>
                                  <w:sz w:val="15"/>
                                </w:rPr>
                                <w:t>85th percentile for age and sex, weight</w:t>
                              </w:r>
                              <w:r>
                                <w:rPr>
                                  <w:color w:val="231F20"/>
                                  <w:spacing w:val="-9"/>
                                  <w:sz w:val="15"/>
                                </w:rPr>
                                <w:t> </w:t>
                              </w:r>
                              <w:r>
                                <w:rPr>
                                  <w:color w:val="231F20"/>
                                  <w:sz w:val="15"/>
                                </w:rPr>
                                <w:t>for</w:t>
                              </w:r>
                              <w:r>
                                <w:rPr>
                                  <w:color w:val="231F20"/>
                                  <w:spacing w:val="-9"/>
                                  <w:sz w:val="15"/>
                                </w:rPr>
                                <w:t> </w:t>
                              </w:r>
                              <w:r>
                                <w:rPr>
                                  <w:color w:val="231F20"/>
                                  <w:sz w:val="15"/>
                                </w:rPr>
                                <w:t>height</w:t>
                              </w:r>
                              <w:r>
                                <w:rPr>
                                  <w:color w:val="231F20"/>
                                  <w:spacing w:val="-9"/>
                                  <w:sz w:val="15"/>
                                </w:rPr>
                                <w:t> </w:t>
                              </w:r>
                              <w:r>
                                <w:rPr>
                                  <w:rFonts w:ascii="Cambria"/>
                                  <w:color w:val="231F20"/>
                                  <w:sz w:val="15"/>
                                </w:rPr>
                                <w:t>&gt;</w:t>
                              </w:r>
                              <w:r>
                                <w:rPr>
                                  <w:color w:val="231F20"/>
                                  <w:sz w:val="15"/>
                                </w:rPr>
                                <w:t>85th</w:t>
                              </w:r>
                              <w:r>
                                <w:rPr>
                                  <w:color w:val="231F20"/>
                                  <w:spacing w:val="-9"/>
                                  <w:sz w:val="15"/>
                                </w:rPr>
                                <w:t> </w:t>
                              </w:r>
                              <w:r>
                                <w:rPr>
                                  <w:color w:val="231F20"/>
                                  <w:sz w:val="15"/>
                                </w:rPr>
                                <w:t>percentile,</w:t>
                              </w:r>
                              <w:r>
                                <w:rPr>
                                  <w:color w:val="231F20"/>
                                  <w:spacing w:val="-9"/>
                                  <w:sz w:val="15"/>
                                </w:rPr>
                                <w:t> </w:t>
                              </w:r>
                              <w:r>
                                <w:rPr>
                                  <w:color w:val="231F20"/>
                                  <w:sz w:val="15"/>
                                </w:rPr>
                                <w:t>or</w:t>
                              </w:r>
                              <w:r>
                                <w:rPr>
                                  <w:color w:val="231F20"/>
                                  <w:spacing w:val="-9"/>
                                  <w:sz w:val="15"/>
                                </w:rPr>
                                <w:t> </w:t>
                              </w:r>
                              <w:r>
                                <w:rPr>
                                  <w:color w:val="231F20"/>
                                  <w:sz w:val="15"/>
                                </w:rPr>
                                <w:t>weight</w:t>
                              </w:r>
                              <w:r>
                                <w:rPr>
                                  <w:color w:val="231F20"/>
                                  <w:spacing w:val="-9"/>
                                  <w:sz w:val="15"/>
                                </w:rPr>
                                <w:t> </w:t>
                              </w:r>
                              <w:r>
                                <w:rPr>
                                  <w:rFonts w:ascii="Cambria"/>
                                  <w:color w:val="231F20"/>
                                  <w:sz w:val="15"/>
                                </w:rPr>
                                <w:t>&gt;</w:t>
                              </w:r>
                              <w:r>
                                <w:rPr>
                                  <w:color w:val="231F20"/>
                                  <w:sz w:val="15"/>
                                </w:rPr>
                                <w:t>120%</w:t>
                              </w:r>
                              <w:r>
                                <w:rPr>
                                  <w:color w:val="231F20"/>
                                  <w:spacing w:val="-9"/>
                                  <w:sz w:val="15"/>
                                </w:rPr>
                                <w:t> </w:t>
                              </w:r>
                              <w:r>
                                <w:rPr>
                                  <w:color w:val="231F20"/>
                                  <w:sz w:val="15"/>
                                </w:rPr>
                                <w:t>of</w:t>
                              </w:r>
                              <w:r>
                                <w:rPr>
                                  <w:color w:val="231F20"/>
                                  <w:spacing w:val="-9"/>
                                  <w:sz w:val="15"/>
                                </w:rPr>
                                <w:t> </w:t>
                              </w:r>
                              <w:r>
                                <w:rPr>
                                  <w:color w:val="231F20"/>
                                  <w:sz w:val="15"/>
                                </w:rPr>
                                <w:t>ideal</w:t>
                              </w:r>
                              <w:r>
                                <w:rPr>
                                  <w:color w:val="231F20"/>
                                  <w:spacing w:val="-9"/>
                                  <w:sz w:val="15"/>
                                </w:rPr>
                                <w:t> </w:t>
                              </w:r>
                              <w:r>
                                <w:rPr>
                                  <w:color w:val="231F20"/>
                                  <w:sz w:val="15"/>
                                </w:rPr>
                                <w:t>for </w:t>
                              </w:r>
                              <w:r>
                                <w:rPr>
                                  <w:color w:val="231F20"/>
                                  <w:spacing w:val="-2"/>
                                  <w:sz w:val="15"/>
                                </w:rPr>
                                <w:t>height)</w:t>
                              </w:r>
                            </w:p>
                            <w:p>
                              <w:pPr>
                                <w:spacing w:line="166" w:lineRule="exact" w:before="0"/>
                                <w:ind w:left="335" w:right="0" w:firstLine="0"/>
                                <w:jc w:val="left"/>
                                <w:rPr>
                                  <w:i/>
                                  <w:color w:val="000000"/>
                                  <w:sz w:val="15"/>
                                </w:rPr>
                              </w:pPr>
                              <w:r>
                                <w:rPr>
                                  <w:i/>
                                  <w:color w:val="231F20"/>
                                  <w:spacing w:val="-4"/>
                                  <w:sz w:val="15"/>
                                </w:rPr>
                                <w:t>Plus</w:t>
                              </w:r>
                            </w:p>
                            <w:p>
                              <w:pPr>
                                <w:spacing w:line="168" w:lineRule="exact" w:before="0"/>
                                <w:ind w:left="223" w:right="0" w:firstLine="0"/>
                                <w:jc w:val="left"/>
                                <w:rPr>
                                  <w:color w:val="000000"/>
                                  <w:sz w:val="15"/>
                                </w:rPr>
                              </w:pPr>
                              <w:r>
                                <w:rPr>
                                  <w:color w:val="231F20"/>
                                  <w:sz w:val="15"/>
                                </w:rPr>
                                <w:t>Any</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4"/>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risk</w:t>
                              </w:r>
                              <w:r>
                                <w:rPr>
                                  <w:color w:val="231F20"/>
                                  <w:spacing w:val="-4"/>
                                  <w:sz w:val="15"/>
                                </w:rPr>
                                <w:t> </w:t>
                              </w:r>
                              <w:r>
                                <w:rPr>
                                  <w:color w:val="231F20"/>
                                  <w:spacing w:val="-2"/>
                                  <w:sz w:val="15"/>
                                </w:rPr>
                                <w:t>factors:</w:t>
                              </w:r>
                            </w:p>
                            <w:p>
                              <w:pPr>
                                <w:spacing w:line="230" w:lineRule="auto" w:before="2"/>
                                <w:ind w:left="335" w:right="0" w:firstLine="0"/>
                                <w:jc w:val="left"/>
                                <w:rPr>
                                  <w:color w:val="000000"/>
                                  <w:sz w:val="15"/>
                                </w:rPr>
                              </w:pPr>
                              <w:r>
                                <w:rPr>
                                  <w:color w:val="231F20"/>
                                  <w:sz w:val="15"/>
                                </w:rPr>
                                <w:t>Family</w:t>
                              </w:r>
                              <w:r>
                                <w:rPr>
                                  <w:color w:val="231F20"/>
                                  <w:spacing w:val="-10"/>
                                  <w:sz w:val="15"/>
                                </w:rPr>
                                <w:t> </w:t>
                              </w:r>
                              <w:r>
                                <w:rPr>
                                  <w:color w:val="231F20"/>
                                  <w:sz w:val="15"/>
                                </w:rPr>
                                <w:t>history</w:t>
                              </w:r>
                              <w:r>
                                <w:rPr>
                                  <w:color w:val="231F20"/>
                                  <w:spacing w:val="-10"/>
                                  <w:sz w:val="15"/>
                                </w:rPr>
                                <w:t> </w:t>
                              </w:r>
                              <w:r>
                                <w:rPr>
                                  <w:color w:val="231F20"/>
                                  <w:sz w:val="15"/>
                                </w:rPr>
                                <w:t>of</w:t>
                              </w:r>
                              <w:r>
                                <w:rPr>
                                  <w:color w:val="231F20"/>
                                  <w:spacing w:val="-10"/>
                                  <w:sz w:val="15"/>
                                </w:rPr>
                                <w:t> </w:t>
                              </w:r>
                              <w:r>
                                <w:rPr>
                                  <w:color w:val="231F20"/>
                                  <w:sz w:val="15"/>
                                </w:rPr>
                                <w:t>type</w:t>
                              </w:r>
                              <w:r>
                                <w:rPr>
                                  <w:color w:val="231F20"/>
                                  <w:spacing w:val="-10"/>
                                  <w:sz w:val="15"/>
                                </w:rPr>
                                <w:t> </w:t>
                              </w:r>
                              <w:r>
                                <w:rPr>
                                  <w:color w:val="231F20"/>
                                  <w:sz w:val="15"/>
                                </w:rPr>
                                <w:t>2</w:t>
                              </w:r>
                              <w:r>
                                <w:rPr>
                                  <w:color w:val="231F20"/>
                                  <w:spacing w:val="-10"/>
                                  <w:sz w:val="15"/>
                                </w:rPr>
                                <w:t> </w:t>
                              </w:r>
                              <w:r>
                                <w:rPr>
                                  <w:color w:val="231F20"/>
                                  <w:sz w:val="15"/>
                                </w:rPr>
                                <w:t>diabetes</w:t>
                              </w:r>
                              <w:r>
                                <w:rPr>
                                  <w:color w:val="231F20"/>
                                  <w:spacing w:val="-10"/>
                                  <w:sz w:val="15"/>
                                </w:rPr>
                                <w:t> </w:t>
                              </w:r>
                              <w:r>
                                <w:rPr>
                                  <w:color w:val="231F20"/>
                                  <w:sz w:val="15"/>
                                </w:rPr>
                                <w:t>in</w:t>
                              </w:r>
                              <w:r>
                                <w:rPr>
                                  <w:color w:val="231F20"/>
                                  <w:spacing w:val="-10"/>
                                  <w:sz w:val="15"/>
                                </w:rPr>
                                <w:t> </w:t>
                              </w:r>
                              <w:r>
                                <w:rPr>
                                  <w:color w:val="231F20"/>
                                  <w:sz w:val="15"/>
                                </w:rPr>
                                <w:t>1st-</w:t>
                              </w:r>
                              <w:r>
                                <w:rPr>
                                  <w:color w:val="231F20"/>
                                  <w:spacing w:val="-10"/>
                                  <w:sz w:val="15"/>
                                </w:rPr>
                                <w:t> </w:t>
                              </w:r>
                              <w:r>
                                <w:rPr>
                                  <w:color w:val="231F20"/>
                                  <w:sz w:val="15"/>
                                </w:rPr>
                                <w:t>or</w:t>
                              </w:r>
                              <w:r>
                                <w:rPr>
                                  <w:color w:val="231F20"/>
                                  <w:spacing w:val="-10"/>
                                  <w:sz w:val="15"/>
                                </w:rPr>
                                <w:t> </w:t>
                              </w:r>
                              <w:r>
                                <w:rPr>
                                  <w:color w:val="231F20"/>
                                  <w:sz w:val="15"/>
                                </w:rPr>
                                <w:t>2nd-degree</w:t>
                              </w:r>
                              <w:r>
                                <w:rPr>
                                  <w:color w:val="231F20"/>
                                  <w:spacing w:val="-10"/>
                                  <w:sz w:val="15"/>
                                </w:rPr>
                                <w:t> </w:t>
                              </w:r>
                              <w:r>
                                <w:rPr>
                                  <w:color w:val="231F20"/>
                                  <w:sz w:val="15"/>
                                </w:rPr>
                                <w:t>relative Race/ethnicity</w:t>
                              </w:r>
                              <w:r>
                                <w:rPr>
                                  <w:color w:val="231F20"/>
                                  <w:spacing w:val="-12"/>
                                  <w:sz w:val="15"/>
                                </w:rPr>
                                <w:t> </w:t>
                              </w:r>
                              <w:r>
                                <w:rPr>
                                  <w:color w:val="231F20"/>
                                  <w:sz w:val="15"/>
                                </w:rPr>
                                <w:t>(Native</w:t>
                              </w:r>
                              <w:r>
                                <w:rPr>
                                  <w:color w:val="231F20"/>
                                  <w:spacing w:val="-11"/>
                                  <w:sz w:val="15"/>
                                </w:rPr>
                                <w:t> </w:t>
                              </w:r>
                              <w:r>
                                <w:rPr>
                                  <w:color w:val="231F20"/>
                                  <w:sz w:val="15"/>
                                </w:rPr>
                                <w:t>American,</w:t>
                              </w:r>
                              <w:r>
                                <w:rPr>
                                  <w:color w:val="231F20"/>
                                  <w:spacing w:val="-11"/>
                                  <w:sz w:val="15"/>
                                </w:rPr>
                                <w:t> </w:t>
                              </w:r>
                              <w:r>
                                <w:rPr>
                                  <w:color w:val="231F20"/>
                                  <w:sz w:val="15"/>
                                </w:rPr>
                                <w:t>African-American,</w:t>
                              </w:r>
                              <w:r>
                                <w:rPr>
                                  <w:color w:val="231F20"/>
                                  <w:spacing w:val="-12"/>
                                  <w:sz w:val="15"/>
                                </w:rPr>
                                <w:t> </w:t>
                              </w:r>
                              <w:r>
                                <w:rPr>
                                  <w:color w:val="231F20"/>
                                  <w:sz w:val="15"/>
                                </w:rPr>
                                <w:t>Hispanic,</w:t>
                              </w:r>
                            </w:p>
                            <w:p>
                              <w:pPr>
                                <w:spacing w:line="167" w:lineRule="exact" w:before="0"/>
                                <w:ind w:left="447" w:right="0" w:firstLine="0"/>
                                <w:jc w:val="left"/>
                                <w:rPr>
                                  <w:color w:val="000000"/>
                                  <w:sz w:val="15"/>
                                </w:rPr>
                              </w:pPr>
                              <w:r>
                                <w:rPr>
                                  <w:color w:val="231F20"/>
                                  <w:spacing w:val="-5"/>
                                  <w:sz w:val="15"/>
                                </w:rPr>
                                <w:t>Asian/Pacific</w:t>
                              </w:r>
                              <w:r>
                                <w:rPr>
                                  <w:color w:val="231F20"/>
                                  <w:spacing w:val="11"/>
                                  <w:sz w:val="15"/>
                                </w:rPr>
                                <w:t> </w:t>
                              </w:r>
                              <w:r>
                                <w:rPr>
                                  <w:color w:val="231F20"/>
                                  <w:spacing w:val="-2"/>
                                  <w:sz w:val="15"/>
                                </w:rPr>
                                <w:t>Islander)</w:t>
                              </w:r>
                            </w:p>
                            <w:p>
                              <w:pPr>
                                <w:spacing w:line="230" w:lineRule="auto" w:before="3"/>
                                <w:ind w:left="447" w:right="191" w:hanging="112"/>
                                <w:jc w:val="left"/>
                                <w:rPr>
                                  <w:color w:val="000000"/>
                                  <w:sz w:val="15"/>
                                </w:rPr>
                              </w:pPr>
                              <w:r>
                                <w:rPr>
                                  <w:color w:val="231F20"/>
                                  <w:sz w:val="15"/>
                                </w:rPr>
                                <w:t>Signs</w:t>
                              </w:r>
                              <w:r>
                                <w:rPr>
                                  <w:color w:val="231F20"/>
                                  <w:spacing w:val="-10"/>
                                  <w:sz w:val="15"/>
                                </w:rPr>
                                <w:t> </w:t>
                              </w:r>
                              <w:r>
                                <w:rPr>
                                  <w:color w:val="231F20"/>
                                  <w:sz w:val="15"/>
                                </w:rPr>
                                <w:t>of</w:t>
                              </w:r>
                              <w:r>
                                <w:rPr>
                                  <w:color w:val="231F20"/>
                                  <w:spacing w:val="-10"/>
                                  <w:sz w:val="15"/>
                                </w:rPr>
                                <w:t> </w:t>
                              </w:r>
                              <w:r>
                                <w:rPr>
                                  <w:color w:val="231F20"/>
                                  <w:sz w:val="15"/>
                                </w:rPr>
                                <w:t>insulin</w:t>
                              </w:r>
                              <w:r>
                                <w:rPr>
                                  <w:color w:val="231F20"/>
                                  <w:spacing w:val="-10"/>
                                  <w:sz w:val="15"/>
                                </w:rPr>
                                <w:t> </w:t>
                              </w:r>
                              <w:r>
                                <w:rPr>
                                  <w:color w:val="231F20"/>
                                  <w:sz w:val="15"/>
                                </w:rPr>
                                <w:t>resistance</w:t>
                              </w:r>
                              <w:r>
                                <w:rPr>
                                  <w:color w:val="231F20"/>
                                  <w:spacing w:val="-10"/>
                                  <w:sz w:val="15"/>
                                </w:rPr>
                                <w:t> </w:t>
                              </w:r>
                              <w:r>
                                <w:rPr>
                                  <w:color w:val="231F20"/>
                                  <w:sz w:val="15"/>
                                </w:rPr>
                                <w:t>or</w:t>
                              </w:r>
                              <w:r>
                                <w:rPr>
                                  <w:color w:val="231F20"/>
                                  <w:spacing w:val="-10"/>
                                  <w:sz w:val="15"/>
                                </w:rPr>
                                <w:t> </w:t>
                              </w:r>
                              <w:r>
                                <w:rPr>
                                  <w:color w:val="231F20"/>
                                  <w:sz w:val="15"/>
                                </w:rPr>
                                <w:t>conditions</w:t>
                              </w:r>
                              <w:r>
                                <w:rPr>
                                  <w:color w:val="231F20"/>
                                  <w:spacing w:val="-10"/>
                                  <w:sz w:val="15"/>
                                </w:rPr>
                                <w:t> </w:t>
                              </w:r>
                              <w:r>
                                <w:rPr>
                                  <w:color w:val="231F20"/>
                                  <w:sz w:val="15"/>
                                </w:rPr>
                                <w:t>associated</w:t>
                              </w:r>
                              <w:r>
                                <w:rPr>
                                  <w:color w:val="231F20"/>
                                  <w:spacing w:val="-10"/>
                                  <w:sz w:val="15"/>
                                </w:rPr>
                                <w:t> </w:t>
                              </w:r>
                              <w:r>
                                <w:rPr>
                                  <w:color w:val="231F20"/>
                                  <w:sz w:val="15"/>
                                </w:rPr>
                                <w:t>with</w:t>
                              </w:r>
                              <w:r>
                                <w:rPr>
                                  <w:color w:val="231F20"/>
                                  <w:spacing w:val="-10"/>
                                  <w:sz w:val="15"/>
                                </w:rPr>
                                <w:t> </w:t>
                              </w:r>
                              <w:r>
                                <w:rPr>
                                  <w:color w:val="231F20"/>
                                  <w:sz w:val="15"/>
                                </w:rPr>
                                <w:t>insulin resistance</w:t>
                              </w:r>
                              <w:r>
                                <w:rPr>
                                  <w:color w:val="231F20"/>
                                  <w:spacing w:val="-12"/>
                                  <w:sz w:val="15"/>
                                </w:rPr>
                                <w:t> </w:t>
                              </w:r>
                              <w:r>
                                <w:rPr>
                                  <w:color w:val="231F20"/>
                                  <w:sz w:val="15"/>
                                </w:rPr>
                                <w:t>(acanthosis</w:t>
                              </w:r>
                              <w:r>
                                <w:rPr>
                                  <w:color w:val="231F20"/>
                                  <w:spacing w:val="-11"/>
                                  <w:sz w:val="15"/>
                                </w:rPr>
                                <w:t> </w:t>
                              </w:r>
                              <w:r>
                                <w:rPr>
                                  <w:color w:val="231F20"/>
                                  <w:sz w:val="15"/>
                                </w:rPr>
                                <w:t>nigricans,</w:t>
                              </w:r>
                              <w:r>
                                <w:rPr>
                                  <w:color w:val="231F20"/>
                                  <w:spacing w:val="-11"/>
                                  <w:sz w:val="15"/>
                                </w:rPr>
                                <w:t> </w:t>
                              </w:r>
                              <w:r>
                                <w:rPr>
                                  <w:color w:val="231F20"/>
                                  <w:sz w:val="15"/>
                                </w:rPr>
                                <w:t>hypertension,</w:t>
                              </w:r>
                              <w:r>
                                <w:rPr>
                                  <w:color w:val="231F20"/>
                                  <w:spacing w:val="-12"/>
                                  <w:sz w:val="15"/>
                                </w:rPr>
                                <w:t> </w:t>
                              </w:r>
                              <w:r>
                                <w:rPr>
                                  <w:color w:val="231F20"/>
                                  <w:sz w:val="15"/>
                                </w:rPr>
                                <w:t>dyslipidemia, polycystic ovary syndrome)</w:t>
                              </w:r>
                            </w:p>
                            <w:p>
                              <w:pPr>
                                <w:numPr>
                                  <w:ilvl w:val="0"/>
                                  <w:numId w:val="5"/>
                                </w:numPr>
                                <w:tabs>
                                  <w:tab w:pos="223" w:val="left" w:leader="none"/>
                                </w:tabs>
                                <w:spacing w:line="230" w:lineRule="auto" w:before="2"/>
                                <w:ind w:left="223" w:right="488" w:hanging="150"/>
                                <w:jc w:val="left"/>
                                <w:rPr>
                                  <w:color w:val="000000"/>
                                  <w:sz w:val="15"/>
                                </w:rPr>
                              </w:pPr>
                              <w:r>
                                <w:rPr>
                                  <w:color w:val="231F20"/>
                                  <w:sz w:val="15"/>
                                </w:rPr>
                                <w:t>Age</w:t>
                              </w:r>
                              <w:r>
                                <w:rPr>
                                  <w:color w:val="231F20"/>
                                  <w:spacing w:val="-8"/>
                                  <w:sz w:val="15"/>
                                </w:rPr>
                                <w:t> </w:t>
                              </w:r>
                              <w:r>
                                <w:rPr>
                                  <w:color w:val="231F20"/>
                                  <w:sz w:val="15"/>
                                </w:rPr>
                                <w:t>of</w:t>
                              </w:r>
                              <w:r>
                                <w:rPr>
                                  <w:color w:val="231F20"/>
                                  <w:spacing w:val="-8"/>
                                  <w:sz w:val="15"/>
                                </w:rPr>
                                <w:t> </w:t>
                              </w:r>
                              <w:r>
                                <w:rPr>
                                  <w:color w:val="231F20"/>
                                  <w:sz w:val="15"/>
                                </w:rPr>
                                <w:t>initiation:</w:t>
                              </w:r>
                              <w:r>
                                <w:rPr>
                                  <w:color w:val="231F20"/>
                                  <w:spacing w:val="-8"/>
                                  <w:sz w:val="15"/>
                                </w:rPr>
                                <w:t> </w:t>
                              </w:r>
                              <w:r>
                                <w:rPr>
                                  <w:color w:val="231F20"/>
                                  <w:sz w:val="15"/>
                                </w:rPr>
                                <w:t>age</w:t>
                              </w:r>
                              <w:r>
                                <w:rPr>
                                  <w:color w:val="231F20"/>
                                  <w:spacing w:val="-8"/>
                                  <w:sz w:val="15"/>
                                </w:rPr>
                                <w:t> </w:t>
                              </w:r>
                              <w:r>
                                <w:rPr>
                                  <w:color w:val="231F20"/>
                                  <w:sz w:val="15"/>
                                </w:rPr>
                                <w:t>10</w:t>
                              </w:r>
                              <w:r>
                                <w:rPr>
                                  <w:color w:val="231F20"/>
                                  <w:spacing w:val="-8"/>
                                  <w:sz w:val="15"/>
                                </w:rPr>
                                <w:t> </w:t>
                              </w:r>
                              <w:r>
                                <w:rPr>
                                  <w:color w:val="231F20"/>
                                  <w:sz w:val="15"/>
                                </w:rPr>
                                <w:t>yr</w:t>
                              </w:r>
                              <w:r>
                                <w:rPr>
                                  <w:color w:val="231F20"/>
                                  <w:spacing w:val="-8"/>
                                  <w:sz w:val="15"/>
                                </w:rPr>
                                <w:t> </w:t>
                              </w:r>
                              <w:r>
                                <w:rPr>
                                  <w:color w:val="231F20"/>
                                  <w:sz w:val="15"/>
                                </w:rPr>
                                <w:t>or</w:t>
                              </w:r>
                              <w:r>
                                <w:rPr>
                                  <w:color w:val="231F20"/>
                                  <w:spacing w:val="-8"/>
                                  <w:sz w:val="15"/>
                                </w:rPr>
                                <w:t> </w:t>
                              </w:r>
                              <w:r>
                                <w:rPr>
                                  <w:color w:val="231F20"/>
                                  <w:sz w:val="15"/>
                                </w:rPr>
                                <w:t>at</w:t>
                              </w:r>
                              <w:r>
                                <w:rPr>
                                  <w:color w:val="231F20"/>
                                  <w:spacing w:val="-8"/>
                                  <w:sz w:val="15"/>
                                </w:rPr>
                                <w:t> </w:t>
                              </w:r>
                              <w:r>
                                <w:rPr>
                                  <w:color w:val="231F20"/>
                                  <w:sz w:val="15"/>
                                </w:rPr>
                                <w:t>onset</w:t>
                              </w:r>
                              <w:r>
                                <w:rPr>
                                  <w:color w:val="231F20"/>
                                  <w:spacing w:val="-8"/>
                                  <w:sz w:val="15"/>
                                </w:rPr>
                                <w:t> </w:t>
                              </w:r>
                              <w:r>
                                <w:rPr>
                                  <w:color w:val="231F20"/>
                                  <w:sz w:val="15"/>
                                </w:rPr>
                                <w:t>of</w:t>
                              </w:r>
                              <w:r>
                                <w:rPr>
                                  <w:color w:val="231F20"/>
                                  <w:spacing w:val="-8"/>
                                  <w:sz w:val="15"/>
                                </w:rPr>
                                <w:t> </w:t>
                              </w:r>
                              <w:r>
                                <w:rPr>
                                  <w:color w:val="231F20"/>
                                  <w:sz w:val="15"/>
                                </w:rPr>
                                <w:t>puberty</w:t>
                              </w:r>
                              <w:r>
                                <w:rPr>
                                  <w:color w:val="231F20"/>
                                  <w:spacing w:val="-8"/>
                                  <w:sz w:val="15"/>
                                </w:rPr>
                                <w:t> </w:t>
                              </w:r>
                              <w:r>
                                <w:rPr>
                                  <w:color w:val="231F20"/>
                                  <w:sz w:val="15"/>
                                </w:rPr>
                                <w:t>if</w:t>
                              </w:r>
                              <w:r>
                                <w:rPr>
                                  <w:color w:val="231F20"/>
                                  <w:spacing w:val="-8"/>
                                  <w:sz w:val="15"/>
                                </w:rPr>
                                <w:t> </w:t>
                              </w:r>
                              <w:r>
                                <w:rPr>
                                  <w:color w:val="231F20"/>
                                  <w:sz w:val="15"/>
                                </w:rPr>
                                <w:t>puberty occurs at a younger age</w:t>
                              </w:r>
                            </w:p>
                            <w:p>
                              <w:pPr>
                                <w:numPr>
                                  <w:ilvl w:val="0"/>
                                  <w:numId w:val="5"/>
                                </w:numPr>
                                <w:tabs>
                                  <w:tab w:pos="223" w:val="left" w:leader="none"/>
                                </w:tabs>
                                <w:spacing w:line="167" w:lineRule="exact" w:before="0"/>
                                <w:ind w:left="223" w:right="0" w:hanging="149"/>
                                <w:jc w:val="left"/>
                                <w:rPr>
                                  <w:color w:val="000000"/>
                                  <w:sz w:val="15"/>
                                </w:rPr>
                              </w:pPr>
                              <w:r>
                                <w:rPr>
                                  <w:color w:val="231F20"/>
                                  <w:spacing w:val="-2"/>
                                  <w:sz w:val="15"/>
                                </w:rPr>
                                <w:t>Frequency:</w:t>
                              </w:r>
                              <w:r>
                                <w:rPr>
                                  <w:color w:val="231F20"/>
                                  <w:spacing w:val="-3"/>
                                  <w:sz w:val="15"/>
                                </w:rPr>
                                <w:t> </w:t>
                              </w:r>
                              <w:r>
                                <w:rPr>
                                  <w:color w:val="231F20"/>
                                  <w:spacing w:val="-2"/>
                                  <w:sz w:val="15"/>
                                </w:rPr>
                                <w:t>every</w:t>
                              </w:r>
                              <w:r>
                                <w:rPr>
                                  <w:color w:val="231F20"/>
                                  <w:spacing w:val="-3"/>
                                  <w:sz w:val="15"/>
                                </w:rPr>
                                <w:t> </w:t>
                              </w:r>
                              <w:r>
                                <w:rPr>
                                  <w:color w:val="231F20"/>
                                  <w:spacing w:val="-2"/>
                                  <w:sz w:val="15"/>
                                </w:rPr>
                                <w:t>2 </w:t>
                              </w:r>
                              <w:r>
                                <w:rPr>
                                  <w:color w:val="231F20"/>
                                  <w:spacing w:val="-5"/>
                                  <w:sz w:val="15"/>
                                </w:rPr>
                                <w:t>yr</w:t>
                              </w:r>
                            </w:p>
                            <w:p>
                              <w:pPr>
                                <w:numPr>
                                  <w:ilvl w:val="0"/>
                                  <w:numId w:val="5"/>
                                </w:numPr>
                                <w:tabs>
                                  <w:tab w:pos="223" w:val="left" w:leader="none"/>
                                </w:tabs>
                                <w:spacing w:line="171" w:lineRule="exact" w:before="0"/>
                                <w:ind w:left="223" w:right="0" w:hanging="149"/>
                                <w:jc w:val="left"/>
                                <w:rPr>
                                  <w:color w:val="000000"/>
                                  <w:sz w:val="15"/>
                                </w:rPr>
                              </w:pPr>
                              <w:r>
                                <w:rPr>
                                  <w:color w:val="231F20"/>
                                  <w:sz w:val="15"/>
                                </w:rPr>
                                <w:t>Test:</w:t>
                              </w:r>
                              <w:r>
                                <w:rPr>
                                  <w:color w:val="231F20"/>
                                  <w:spacing w:val="-5"/>
                                  <w:sz w:val="15"/>
                                </w:rPr>
                                <w:t> </w:t>
                              </w:r>
                              <w:r>
                                <w:rPr>
                                  <w:color w:val="231F20"/>
                                  <w:sz w:val="15"/>
                                </w:rPr>
                                <w:t>fasting</w:t>
                              </w:r>
                              <w:r>
                                <w:rPr>
                                  <w:color w:val="231F20"/>
                                  <w:spacing w:val="-5"/>
                                  <w:sz w:val="15"/>
                                </w:rPr>
                                <w:t> </w:t>
                              </w:r>
                              <w:r>
                                <w:rPr>
                                  <w:color w:val="231F20"/>
                                  <w:sz w:val="15"/>
                                </w:rPr>
                                <w:t>plasma</w:t>
                              </w:r>
                              <w:r>
                                <w:rPr>
                                  <w:color w:val="231F20"/>
                                  <w:spacing w:val="-5"/>
                                  <w:sz w:val="15"/>
                                </w:rPr>
                                <w:t> </w:t>
                              </w:r>
                              <w:r>
                                <w:rPr>
                                  <w:color w:val="231F20"/>
                                  <w:sz w:val="15"/>
                                </w:rPr>
                                <w:t>glucose</w:t>
                              </w:r>
                              <w:r>
                                <w:rPr>
                                  <w:color w:val="231F20"/>
                                  <w:spacing w:val="-4"/>
                                  <w:sz w:val="15"/>
                                </w:rPr>
                                <w:t> </w:t>
                              </w:r>
                              <w:r>
                                <w:rPr>
                                  <w:color w:val="231F20"/>
                                  <w:spacing w:val="-2"/>
                                  <w:sz w:val="15"/>
                                </w:rPr>
                                <w:t>preferred</w:t>
                              </w:r>
                            </w:p>
                          </w:txbxContent>
                        </wps:txbx>
                        <wps:bodyPr wrap="square" lIns="0" tIns="0" rIns="0" bIns="0" rtlCol="0">
                          <a:noAutofit/>
                        </wps:bodyPr>
                      </wps:wsp>
                      <wps:wsp>
                        <wps:cNvPr id="181" name="Graphic 181"/>
                        <wps:cNvSpPr/>
                        <wps:spPr>
                          <a:xfrm>
                            <a:off x="0" y="1997538"/>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182" name="Textbox 182"/>
                        <wps:cNvSpPr txBox="1"/>
                        <wps:spPr>
                          <a:xfrm>
                            <a:off x="782040" y="0"/>
                            <a:ext cx="2204085" cy="225425"/>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Testing</w:t>
                              </w:r>
                              <w:r>
                                <w:rPr>
                                  <w:color w:val="FFFFFF"/>
                                  <w:spacing w:val="8"/>
                                  <w:w w:val="105"/>
                                  <w:sz w:val="16"/>
                                </w:rPr>
                                <w:t> </w:t>
                              </w:r>
                              <w:r>
                                <w:rPr>
                                  <w:color w:val="FFFFFF"/>
                                  <w:w w:val="105"/>
                                  <w:sz w:val="16"/>
                                </w:rPr>
                                <w:t>for</w:t>
                              </w:r>
                              <w:r>
                                <w:rPr>
                                  <w:color w:val="FFFFFF"/>
                                  <w:spacing w:val="8"/>
                                  <w:w w:val="105"/>
                                  <w:sz w:val="16"/>
                                </w:rPr>
                                <w:t> </w:t>
                              </w:r>
                              <w:r>
                                <w:rPr>
                                  <w:color w:val="FFFFFF"/>
                                  <w:w w:val="105"/>
                                  <w:sz w:val="16"/>
                                </w:rPr>
                                <w:t>Type</w:t>
                              </w:r>
                              <w:r>
                                <w:rPr>
                                  <w:color w:val="FFFFFF"/>
                                  <w:spacing w:val="9"/>
                                  <w:w w:val="105"/>
                                  <w:sz w:val="16"/>
                                </w:rPr>
                                <w:t> </w:t>
                              </w:r>
                              <w:r>
                                <w:rPr>
                                  <w:color w:val="FFFFFF"/>
                                  <w:w w:val="105"/>
                                  <w:sz w:val="16"/>
                                </w:rPr>
                                <w:t>2</w:t>
                              </w:r>
                              <w:r>
                                <w:rPr>
                                  <w:color w:val="FFFFFF"/>
                                  <w:spacing w:val="8"/>
                                  <w:w w:val="105"/>
                                  <w:sz w:val="16"/>
                                </w:rPr>
                                <w:t> </w:t>
                              </w:r>
                              <w:r>
                                <w:rPr>
                                  <w:color w:val="FFFFFF"/>
                                  <w:w w:val="105"/>
                                  <w:sz w:val="16"/>
                                </w:rPr>
                                <w:t>Diabetes</w:t>
                              </w:r>
                              <w:r>
                                <w:rPr>
                                  <w:color w:val="FFFFFF"/>
                                  <w:spacing w:val="9"/>
                                  <w:w w:val="105"/>
                                  <w:sz w:val="16"/>
                                </w:rPr>
                                <w:t> </w:t>
                              </w:r>
                              <w:r>
                                <w:rPr>
                                  <w:color w:val="FFFFFF"/>
                                  <w:w w:val="105"/>
                                  <w:sz w:val="16"/>
                                </w:rPr>
                                <w:t>in</w:t>
                              </w:r>
                              <w:r>
                                <w:rPr>
                                  <w:color w:val="FFFFFF"/>
                                  <w:spacing w:val="8"/>
                                  <w:w w:val="105"/>
                                  <w:sz w:val="16"/>
                                </w:rPr>
                                <w:t> </w:t>
                              </w:r>
                              <w:r>
                                <w:rPr>
                                  <w:color w:val="FFFFFF"/>
                                  <w:spacing w:val="-2"/>
                                  <w:w w:val="105"/>
                                  <w:sz w:val="16"/>
                                </w:rPr>
                                <w:t>Children</w:t>
                              </w:r>
                            </w:p>
                          </w:txbxContent>
                        </wps:txbx>
                        <wps:bodyPr wrap="square" lIns="0" tIns="0" rIns="0" bIns="0" rtlCol="0">
                          <a:noAutofit/>
                        </wps:bodyPr>
                      </wps:wsp>
                      <wps:wsp>
                        <wps:cNvPr id="183" name="Textbox 183"/>
                        <wps:cNvSpPr txBox="1"/>
                        <wps:spPr>
                          <a:xfrm>
                            <a:off x="0" y="0"/>
                            <a:ext cx="770255" cy="225425"/>
                          </a:xfrm>
                          <a:prstGeom prst="rect">
                            <a:avLst/>
                          </a:prstGeom>
                          <a:solidFill>
                            <a:srgbClr val="231F20"/>
                          </a:solidFill>
                        </wps:spPr>
                        <wps:txbx>
                          <w:txbxContent>
                            <w:p>
                              <w:pPr>
                                <w:spacing w:before="89"/>
                                <w:ind w:left="111" w:right="0" w:firstLine="0"/>
                                <w:jc w:val="left"/>
                                <w:rPr>
                                  <w:b/>
                                  <w:color w:val="000000"/>
                                  <w:sz w:val="16"/>
                                </w:rPr>
                              </w:pPr>
                              <w:r>
                                <w:rPr>
                                  <w:b/>
                                  <w:color w:val="FFFFFF"/>
                                  <w:sz w:val="16"/>
                                </w:rPr>
                                <w:t>Table</w:t>
                              </w:r>
                              <w:r>
                                <w:rPr>
                                  <w:b/>
                                  <w:color w:val="FFFFFF"/>
                                  <w:spacing w:val="25"/>
                                  <w:sz w:val="16"/>
                                </w:rPr>
                                <w:t> </w:t>
                              </w:r>
                              <w:r>
                                <w:rPr>
                                  <w:b/>
                                  <w:color w:val="FFFFFF"/>
                                  <w:sz w:val="16"/>
                                </w:rPr>
                                <w:t>589-</w:t>
                              </w:r>
                              <w:r>
                                <w:rPr>
                                  <w:b/>
                                  <w:color w:val="FFFFFF"/>
                                  <w:spacing w:val="-5"/>
                                  <w:sz w:val="16"/>
                                </w:rPr>
                                <w:t>13</w:t>
                              </w:r>
                            </w:p>
                          </w:txbxContent>
                        </wps:txbx>
                        <wps:bodyPr wrap="square" lIns="0" tIns="0" rIns="0" bIns="0" rtlCol="0">
                          <a:noAutofit/>
                        </wps:bodyPr>
                      </wps:wsp>
                    </wpg:wgp>
                  </a:graphicData>
                </a:graphic>
              </wp:anchor>
            </w:drawing>
          </mc:Choice>
          <mc:Fallback>
            <w:pict>
              <v:group style="position:absolute;margin-left:297.5pt;margin-top:9.754164pt;width:235.15pt;height:158.25pt;mso-position-horizontal-relative:page;mso-position-vertical-relative:paragraph;z-index:-15716352;mso-wrap-distance-left:0;mso-wrap-distance-right:0" id="docshapegroup145" coordorigin="5950,195" coordsize="4703,3165">
                <v:shape style="position:absolute;left:5950;top:568;width:4703;height:2782" type="#_x0000_t202" id="docshape146" filled="true" fillcolor="#e8f5f1" stroked="false">
                  <v:textbox inset="0,0,0,0">
                    <w:txbxContent>
                      <w:p>
                        <w:pPr>
                          <w:numPr>
                            <w:ilvl w:val="0"/>
                            <w:numId w:val="5"/>
                          </w:numPr>
                          <w:tabs>
                            <w:tab w:pos="223" w:val="left" w:leader="none"/>
                          </w:tabs>
                          <w:spacing w:line="170" w:lineRule="exact" w:before="47"/>
                          <w:ind w:left="223" w:right="0" w:hanging="149"/>
                          <w:jc w:val="left"/>
                          <w:rPr>
                            <w:color w:val="000000"/>
                            <w:sz w:val="15"/>
                          </w:rPr>
                        </w:pPr>
                        <w:r>
                          <w:rPr>
                            <w:color w:val="231F20"/>
                            <w:spacing w:val="-2"/>
                            <w:sz w:val="15"/>
                          </w:rPr>
                          <w:t>Criteria</w:t>
                        </w:r>
                        <w:r>
                          <w:rPr>
                            <w:color w:val="0080AC"/>
                            <w:spacing w:val="-2"/>
                            <w:sz w:val="15"/>
                          </w:rPr>
                          <w:t>*</w:t>
                        </w:r>
                      </w:p>
                      <w:p>
                        <w:pPr>
                          <w:spacing w:line="230" w:lineRule="auto" w:before="2"/>
                          <w:ind w:left="335" w:right="0" w:hanging="112"/>
                          <w:jc w:val="left"/>
                          <w:rPr>
                            <w:color w:val="000000"/>
                            <w:sz w:val="15"/>
                          </w:rPr>
                        </w:pPr>
                        <w:r>
                          <w:rPr>
                            <w:color w:val="231F20"/>
                            <w:sz w:val="15"/>
                          </w:rPr>
                          <w:t>Overweight (body mass index </w:t>
                        </w:r>
                        <w:r>
                          <w:rPr>
                            <w:rFonts w:ascii="Cambria"/>
                            <w:color w:val="231F20"/>
                            <w:sz w:val="15"/>
                          </w:rPr>
                          <w:t>&gt;</w:t>
                        </w:r>
                        <w:r>
                          <w:rPr>
                            <w:color w:val="231F20"/>
                            <w:sz w:val="15"/>
                          </w:rPr>
                          <w:t>85th percentile for age and sex, weight</w:t>
                        </w:r>
                        <w:r>
                          <w:rPr>
                            <w:color w:val="231F20"/>
                            <w:spacing w:val="-9"/>
                            <w:sz w:val="15"/>
                          </w:rPr>
                          <w:t> </w:t>
                        </w:r>
                        <w:r>
                          <w:rPr>
                            <w:color w:val="231F20"/>
                            <w:sz w:val="15"/>
                          </w:rPr>
                          <w:t>for</w:t>
                        </w:r>
                        <w:r>
                          <w:rPr>
                            <w:color w:val="231F20"/>
                            <w:spacing w:val="-9"/>
                            <w:sz w:val="15"/>
                          </w:rPr>
                          <w:t> </w:t>
                        </w:r>
                        <w:r>
                          <w:rPr>
                            <w:color w:val="231F20"/>
                            <w:sz w:val="15"/>
                          </w:rPr>
                          <w:t>height</w:t>
                        </w:r>
                        <w:r>
                          <w:rPr>
                            <w:color w:val="231F20"/>
                            <w:spacing w:val="-9"/>
                            <w:sz w:val="15"/>
                          </w:rPr>
                          <w:t> </w:t>
                        </w:r>
                        <w:r>
                          <w:rPr>
                            <w:rFonts w:ascii="Cambria"/>
                            <w:color w:val="231F20"/>
                            <w:sz w:val="15"/>
                          </w:rPr>
                          <w:t>&gt;</w:t>
                        </w:r>
                        <w:r>
                          <w:rPr>
                            <w:color w:val="231F20"/>
                            <w:sz w:val="15"/>
                          </w:rPr>
                          <w:t>85th</w:t>
                        </w:r>
                        <w:r>
                          <w:rPr>
                            <w:color w:val="231F20"/>
                            <w:spacing w:val="-9"/>
                            <w:sz w:val="15"/>
                          </w:rPr>
                          <w:t> </w:t>
                        </w:r>
                        <w:r>
                          <w:rPr>
                            <w:color w:val="231F20"/>
                            <w:sz w:val="15"/>
                          </w:rPr>
                          <w:t>percentile,</w:t>
                        </w:r>
                        <w:r>
                          <w:rPr>
                            <w:color w:val="231F20"/>
                            <w:spacing w:val="-9"/>
                            <w:sz w:val="15"/>
                          </w:rPr>
                          <w:t> </w:t>
                        </w:r>
                        <w:r>
                          <w:rPr>
                            <w:color w:val="231F20"/>
                            <w:sz w:val="15"/>
                          </w:rPr>
                          <w:t>or</w:t>
                        </w:r>
                        <w:r>
                          <w:rPr>
                            <w:color w:val="231F20"/>
                            <w:spacing w:val="-9"/>
                            <w:sz w:val="15"/>
                          </w:rPr>
                          <w:t> </w:t>
                        </w:r>
                        <w:r>
                          <w:rPr>
                            <w:color w:val="231F20"/>
                            <w:sz w:val="15"/>
                          </w:rPr>
                          <w:t>weight</w:t>
                        </w:r>
                        <w:r>
                          <w:rPr>
                            <w:color w:val="231F20"/>
                            <w:spacing w:val="-9"/>
                            <w:sz w:val="15"/>
                          </w:rPr>
                          <w:t> </w:t>
                        </w:r>
                        <w:r>
                          <w:rPr>
                            <w:rFonts w:ascii="Cambria"/>
                            <w:color w:val="231F20"/>
                            <w:sz w:val="15"/>
                          </w:rPr>
                          <w:t>&gt;</w:t>
                        </w:r>
                        <w:r>
                          <w:rPr>
                            <w:color w:val="231F20"/>
                            <w:sz w:val="15"/>
                          </w:rPr>
                          <w:t>120%</w:t>
                        </w:r>
                        <w:r>
                          <w:rPr>
                            <w:color w:val="231F20"/>
                            <w:spacing w:val="-9"/>
                            <w:sz w:val="15"/>
                          </w:rPr>
                          <w:t> </w:t>
                        </w:r>
                        <w:r>
                          <w:rPr>
                            <w:color w:val="231F20"/>
                            <w:sz w:val="15"/>
                          </w:rPr>
                          <w:t>of</w:t>
                        </w:r>
                        <w:r>
                          <w:rPr>
                            <w:color w:val="231F20"/>
                            <w:spacing w:val="-9"/>
                            <w:sz w:val="15"/>
                          </w:rPr>
                          <w:t> </w:t>
                        </w:r>
                        <w:r>
                          <w:rPr>
                            <w:color w:val="231F20"/>
                            <w:sz w:val="15"/>
                          </w:rPr>
                          <w:t>ideal</w:t>
                        </w:r>
                        <w:r>
                          <w:rPr>
                            <w:color w:val="231F20"/>
                            <w:spacing w:val="-9"/>
                            <w:sz w:val="15"/>
                          </w:rPr>
                          <w:t> </w:t>
                        </w:r>
                        <w:r>
                          <w:rPr>
                            <w:color w:val="231F20"/>
                            <w:sz w:val="15"/>
                          </w:rPr>
                          <w:t>for </w:t>
                        </w:r>
                        <w:r>
                          <w:rPr>
                            <w:color w:val="231F20"/>
                            <w:spacing w:val="-2"/>
                            <w:sz w:val="15"/>
                          </w:rPr>
                          <w:t>height)</w:t>
                        </w:r>
                      </w:p>
                      <w:p>
                        <w:pPr>
                          <w:spacing w:line="166" w:lineRule="exact" w:before="0"/>
                          <w:ind w:left="335" w:right="0" w:firstLine="0"/>
                          <w:jc w:val="left"/>
                          <w:rPr>
                            <w:i/>
                            <w:color w:val="000000"/>
                            <w:sz w:val="15"/>
                          </w:rPr>
                        </w:pPr>
                        <w:r>
                          <w:rPr>
                            <w:i/>
                            <w:color w:val="231F20"/>
                            <w:spacing w:val="-4"/>
                            <w:sz w:val="15"/>
                          </w:rPr>
                          <w:t>Plus</w:t>
                        </w:r>
                      </w:p>
                      <w:p>
                        <w:pPr>
                          <w:spacing w:line="168" w:lineRule="exact" w:before="0"/>
                          <w:ind w:left="223" w:right="0" w:firstLine="0"/>
                          <w:jc w:val="left"/>
                          <w:rPr>
                            <w:color w:val="000000"/>
                            <w:sz w:val="15"/>
                          </w:rPr>
                        </w:pPr>
                        <w:r>
                          <w:rPr>
                            <w:color w:val="231F20"/>
                            <w:sz w:val="15"/>
                          </w:rPr>
                          <w:t>Any</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4"/>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risk</w:t>
                        </w:r>
                        <w:r>
                          <w:rPr>
                            <w:color w:val="231F20"/>
                            <w:spacing w:val="-4"/>
                            <w:sz w:val="15"/>
                          </w:rPr>
                          <w:t> </w:t>
                        </w:r>
                        <w:r>
                          <w:rPr>
                            <w:color w:val="231F20"/>
                            <w:spacing w:val="-2"/>
                            <w:sz w:val="15"/>
                          </w:rPr>
                          <w:t>factors:</w:t>
                        </w:r>
                      </w:p>
                      <w:p>
                        <w:pPr>
                          <w:spacing w:line="230" w:lineRule="auto" w:before="2"/>
                          <w:ind w:left="335" w:right="0" w:firstLine="0"/>
                          <w:jc w:val="left"/>
                          <w:rPr>
                            <w:color w:val="000000"/>
                            <w:sz w:val="15"/>
                          </w:rPr>
                        </w:pPr>
                        <w:r>
                          <w:rPr>
                            <w:color w:val="231F20"/>
                            <w:sz w:val="15"/>
                          </w:rPr>
                          <w:t>Family</w:t>
                        </w:r>
                        <w:r>
                          <w:rPr>
                            <w:color w:val="231F20"/>
                            <w:spacing w:val="-10"/>
                            <w:sz w:val="15"/>
                          </w:rPr>
                          <w:t> </w:t>
                        </w:r>
                        <w:r>
                          <w:rPr>
                            <w:color w:val="231F20"/>
                            <w:sz w:val="15"/>
                          </w:rPr>
                          <w:t>history</w:t>
                        </w:r>
                        <w:r>
                          <w:rPr>
                            <w:color w:val="231F20"/>
                            <w:spacing w:val="-10"/>
                            <w:sz w:val="15"/>
                          </w:rPr>
                          <w:t> </w:t>
                        </w:r>
                        <w:r>
                          <w:rPr>
                            <w:color w:val="231F20"/>
                            <w:sz w:val="15"/>
                          </w:rPr>
                          <w:t>of</w:t>
                        </w:r>
                        <w:r>
                          <w:rPr>
                            <w:color w:val="231F20"/>
                            <w:spacing w:val="-10"/>
                            <w:sz w:val="15"/>
                          </w:rPr>
                          <w:t> </w:t>
                        </w:r>
                        <w:r>
                          <w:rPr>
                            <w:color w:val="231F20"/>
                            <w:sz w:val="15"/>
                          </w:rPr>
                          <w:t>type</w:t>
                        </w:r>
                        <w:r>
                          <w:rPr>
                            <w:color w:val="231F20"/>
                            <w:spacing w:val="-10"/>
                            <w:sz w:val="15"/>
                          </w:rPr>
                          <w:t> </w:t>
                        </w:r>
                        <w:r>
                          <w:rPr>
                            <w:color w:val="231F20"/>
                            <w:sz w:val="15"/>
                          </w:rPr>
                          <w:t>2</w:t>
                        </w:r>
                        <w:r>
                          <w:rPr>
                            <w:color w:val="231F20"/>
                            <w:spacing w:val="-10"/>
                            <w:sz w:val="15"/>
                          </w:rPr>
                          <w:t> </w:t>
                        </w:r>
                        <w:r>
                          <w:rPr>
                            <w:color w:val="231F20"/>
                            <w:sz w:val="15"/>
                          </w:rPr>
                          <w:t>diabetes</w:t>
                        </w:r>
                        <w:r>
                          <w:rPr>
                            <w:color w:val="231F20"/>
                            <w:spacing w:val="-10"/>
                            <w:sz w:val="15"/>
                          </w:rPr>
                          <w:t> </w:t>
                        </w:r>
                        <w:r>
                          <w:rPr>
                            <w:color w:val="231F20"/>
                            <w:sz w:val="15"/>
                          </w:rPr>
                          <w:t>in</w:t>
                        </w:r>
                        <w:r>
                          <w:rPr>
                            <w:color w:val="231F20"/>
                            <w:spacing w:val="-10"/>
                            <w:sz w:val="15"/>
                          </w:rPr>
                          <w:t> </w:t>
                        </w:r>
                        <w:r>
                          <w:rPr>
                            <w:color w:val="231F20"/>
                            <w:sz w:val="15"/>
                          </w:rPr>
                          <w:t>1st-</w:t>
                        </w:r>
                        <w:r>
                          <w:rPr>
                            <w:color w:val="231F20"/>
                            <w:spacing w:val="-10"/>
                            <w:sz w:val="15"/>
                          </w:rPr>
                          <w:t> </w:t>
                        </w:r>
                        <w:r>
                          <w:rPr>
                            <w:color w:val="231F20"/>
                            <w:sz w:val="15"/>
                          </w:rPr>
                          <w:t>or</w:t>
                        </w:r>
                        <w:r>
                          <w:rPr>
                            <w:color w:val="231F20"/>
                            <w:spacing w:val="-10"/>
                            <w:sz w:val="15"/>
                          </w:rPr>
                          <w:t> </w:t>
                        </w:r>
                        <w:r>
                          <w:rPr>
                            <w:color w:val="231F20"/>
                            <w:sz w:val="15"/>
                          </w:rPr>
                          <w:t>2nd-degree</w:t>
                        </w:r>
                        <w:r>
                          <w:rPr>
                            <w:color w:val="231F20"/>
                            <w:spacing w:val="-10"/>
                            <w:sz w:val="15"/>
                          </w:rPr>
                          <w:t> </w:t>
                        </w:r>
                        <w:r>
                          <w:rPr>
                            <w:color w:val="231F20"/>
                            <w:sz w:val="15"/>
                          </w:rPr>
                          <w:t>relative Race/ethnicity</w:t>
                        </w:r>
                        <w:r>
                          <w:rPr>
                            <w:color w:val="231F20"/>
                            <w:spacing w:val="-12"/>
                            <w:sz w:val="15"/>
                          </w:rPr>
                          <w:t> </w:t>
                        </w:r>
                        <w:r>
                          <w:rPr>
                            <w:color w:val="231F20"/>
                            <w:sz w:val="15"/>
                          </w:rPr>
                          <w:t>(Native</w:t>
                        </w:r>
                        <w:r>
                          <w:rPr>
                            <w:color w:val="231F20"/>
                            <w:spacing w:val="-11"/>
                            <w:sz w:val="15"/>
                          </w:rPr>
                          <w:t> </w:t>
                        </w:r>
                        <w:r>
                          <w:rPr>
                            <w:color w:val="231F20"/>
                            <w:sz w:val="15"/>
                          </w:rPr>
                          <w:t>American,</w:t>
                        </w:r>
                        <w:r>
                          <w:rPr>
                            <w:color w:val="231F20"/>
                            <w:spacing w:val="-11"/>
                            <w:sz w:val="15"/>
                          </w:rPr>
                          <w:t> </w:t>
                        </w:r>
                        <w:r>
                          <w:rPr>
                            <w:color w:val="231F20"/>
                            <w:sz w:val="15"/>
                          </w:rPr>
                          <w:t>African-American,</w:t>
                        </w:r>
                        <w:r>
                          <w:rPr>
                            <w:color w:val="231F20"/>
                            <w:spacing w:val="-12"/>
                            <w:sz w:val="15"/>
                          </w:rPr>
                          <w:t> </w:t>
                        </w:r>
                        <w:r>
                          <w:rPr>
                            <w:color w:val="231F20"/>
                            <w:sz w:val="15"/>
                          </w:rPr>
                          <w:t>Hispanic,</w:t>
                        </w:r>
                      </w:p>
                      <w:p>
                        <w:pPr>
                          <w:spacing w:line="167" w:lineRule="exact" w:before="0"/>
                          <w:ind w:left="447" w:right="0" w:firstLine="0"/>
                          <w:jc w:val="left"/>
                          <w:rPr>
                            <w:color w:val="000000"/>
                            <w:sz w:val="15"/>
                          </w:rPr>
                        </w:pPr>
                        <w:r>
                          <w:rPr>
                            <w:color w:val="231F20"/>
                            <w:spacing w:val="-5"/>
                            <w:sz w:val="15"/>
                          </w:rPr>
                          <w:t>Asian/Pacific</w:t>
                        </w:r>
                        <w:r>
                          <w:rPr>
                            <w:color w:val="231F20"/>
                            <w:spacing w:val="11"/>
                            <w:sz w:val="15"/>
                          </w:rPr>
                          <w:t> </w:t>
                        </w:r>
                        <w:r>
                          <w:rPr>
                            <w:color w:val="231F20"/>
                            <w:spacing w:val="-2"/>
                            <w:sz w:val="15"/>
                          </w:rPr>
                          <w:t>Islander)</w:t>
                        </w:r>
                      </w:p>
                      <w:p>
                        <w:pPr>
                          <w:spacing w:line="230" w:lineRule="auto" w:before="3"/>
                          <w:ind w:left="447" w:right="191" w:hanging="112"/>
                          <w:jc w:val="left"/>
                          <w:rPr>
                            <w:color w:val="000000"/>
                            <w:sz w:val="15"/>
                          </w:rPr>
                        </w:pPr>
                        <w:r>
                          <w:rPr>
                            <w:color w:val="231F20"/>
                            <w:sz w:val="15"/>
                          </w:rPr>
                          <w:t>Signs</w:t>
                        </w:r>
                        <w:r>
                          <w:rPr>
                            <w:color w:val="231F20"/>
                            <w:spacing w:val="-10"/>
                            <w:sz w:val="15"/>
                          </w:rPr>
                          <w:t> </w:t>
                        </w:r>
                        <w:r>
                          <w:rPr>
                            <w:color w:val="231F20"/>
                            <w:sz w:val="15"/>
                          </w:rPr>
                          <w:t>of</w:t>
                        </w:r>
                        <w:r>
                          <w:rPr>
                            <w:color w:val="231F20"/>
                            <w:spacing w:val="-10"/>
                            <w:sz w:val="15"/>
                          </w:rPr>
                          <w:t> </w:t>
                        </w:r>
                        <w:r>
                          <w:rPr>
                            <w:color w:val="231F20"/>
                            <w:sz w:val="15"/>
                          </w:rPr>
                          <w:t>insulin</w:t>
                        </w:r>
                        <w:r>
                          <w:rPr>
                            <w:color w:val="231F20"/>
                            <w:spacing w:val="-10"/>
                            <w:sz w:val="15"/>
                          </w:rPr>
                          <w:t> </w:t>
                        </w:r>
                        <w:r>
                          <w:rPr>
                            <w:color w:val="231F20"/>
                            <w:sz w:val="15"/>
                          </w:rPr>
                          <w:t>resistance</w:t>
                        </w:r>
                        <w:r>
                          <w:rPr>
                            <w:color w:val="231F20"/>
                            <w:spacing w:val="-10"/>
                            <w:sz w:val="15"/>
                          </w:rPr>
                          <w:t> </w:t>
                        </w:r>
                        <w:r>
                          <w:rPr>
                            <w:color w:val="231F20"/>
                            <w:sz w:val="15"/>
                          </w:rPr>
                          <w:t>or</w:t>
                        </w:r>
                        <w:r>
                          <w:rPr>
                            <w:color w:val="231F20"/>
                            <w:spacing w:val="-10"/>
                            <w:sz w:val="15"/>
                          </w:rPr>
                          <w:t> </w:t>
                        </w:r>
                        <w:r>
                          <w:rPr>
                            <w:color w:val="231F20"/>
                            <w:sz w:val="15"/>
                          </w:rPr>
                          <w:t>conditions</w:t>
                        </w:r>
                        <w:r>
                          <w:rPr>
                            <w:color w:val="231F20"/>
                            <w:spacing w:val="-10"/>
                            <w:sz w:val="15"/>
                          </w:rPr>
                          <w:t> </w:t>
                        </w:r>
                        <w:r>
                          <w:rPr>
                            <w:color w:val="231F20"/>
                            <w:sz w:val="15"/>
                          </w:rPr>
                          <w:t>associated</w:t>
                        </w:r>
                        <w:r>
                          <w:rPr>
                            <w:color w:val="231F20"/>
                            <w:spacing w:val="-10"/>
                            <w:sz w:val="15"/>
                          </w:rPr>
                          <w:t> </w:t>
                        </w:r>
                        <w:r>
                          <w:rPr>
                            <w:color w:val="231F20"/>
                            <w:sz w:val="15"/>
                          </w:rPr>
                          <w:t>with</w:t>
                        </w:r>
                        <w:r>
                          <w:rPr>
                            <w:color w:val="231F20"/>
                            <w:spacing w:val="-10"/>
                            <w:sz w:val="15"/>
                          </w:rPr>
                          <w:t> </w:t>
                        </w:r>
                        <w:r>
                          <w:rPr>
                            <w:color w:val="231F20"/>
                            <w:sz w:val="15"/>
                          </w:rPr>
                          <w:t>insulin resistance</w:t>
                        </w:r>
                        <w:r>
                          <w:rPr>
                            <w:color w:val="231F20"/>
                            <w:spacing w:val="-12"/>
                            <w:sz w:val="15"/>
                          </w:rPr>
                          <w:t> </w:t>
                        </w:r>
                        <w:r>
                          <w:rPr>
                            <w:color w:val="231F20"/>
                            <w:sz w:val="15"/>
                          </w:rPr>
                          <w:t>(acanthosis</w:t>
                        </w:r>
                        <w:r>
                          <w:rPr>
                            <w:color w:val="231F20"/>
                            <w:spacing w:val="-11"/>
                            <w:sz w:val="15"/>
                          </w:rPr>
                          <w:t> </w:t>
                        </w:r>
                        <w:r>
                          <w:rPr>
                            <w:color w:val="231F20"/>
                            <w:sz w:val="15"/>
                          </w:rPr>
                          <w:t>nigricans,</w:t>
                        </w:r>
                        <w:r>
                          <w:rPr>
                            <w:color w:val="231F20"/>
                            <w:spacing w:val="-11"/>
                            <w:sz w:val="15"/>
                          </w:rPr>
                          <w:t> </w:t>
                        </w:r>
                        <w:r>
                          <w:rPr>
                            <w:color w:val="231F20"/>
                            <w:sz w:val="15"/>
                          </w:rPr>
                          <w:t>hypertension,</w:t>
                        </w:r>
                        <w:r>
                          <w:rPr>
                            <w:color w:val="231F20"/>
                            <w:spacing w:val="-12"/>
                            <w:sz w:val="15"/>
                          </w:rPr>
                          <w:t> </w:t>
                        </w:r>
                        <w:r>
                          <w:rPr>
                            <w:color w:val="231F20"/>
                            <w:sz w:val="15"/>
                          </w:rPr>
                          <w:t>dyslipidemia, polycystic ovary syndrome)</w:t>
                        </w:r>
                      </w:p>
                      <w:p>
                        <w:pPr>
                          <w:numPr>
                            <w:ilvl w:val="0"/>
                            <w:numId w:val="5"/>
                          </w:numPr>
                          <w:tabs>
                            <w:tab w:pos="223" w:val="left" w:leader="none"/>
                          </w:tabs>
                          <w:spacing w:line="230" w:lineRule="auto" w:before="2"/>
                          <w:ind w:left="223" w:right="488" w:hanging="150"/>
                          <w:jc w:val="left"/>
                          <w:rPr>
                            <w:color w:val="000000"/>
                            <w:sz w:val="15"/>
                          </w:rPr>
                        </w:pPr>
                        <w:r>
                          <w:rPr>
                            <w:color w:val="231F20"/>
                            <w:sz w:val="15"/>
                          </w:rPr>
                          <w:t>Age</w:t>
                        </w:r>
                        <w:r>
                          <w:rPr>
                            <w:color w:val="231F20"/>
                            <w:spacing w:val="-8"/>
                            <w:sz w:val="15"/>
                          </w:rPr>
                          <w:t> </w:t>
                        </w:r>
                        <w:r>
                          <w:rPr>
                            <w:color w:val="231F20"/>
                            <w:sz w:val="15"/>
                          </w:rPr>
                          <w:t>of</w:t>
                        </w:r>
                        <w:r>
                          <w:rPr>
                            <w:color w:val="231F20"/>
                            <w:spacing w:val="-8"/>
                            <w:sz w:val="15"/>
                          </w:rPr>
                          <w:t> </w:t>
                        </w:r>
                        <w:r>
                          <w:rPr>
                            <w:color w:val="231F20"/>
                            <w:sz w:val="15"/>
                          </w:rPr>
                          <w:t>initiation:</w:t>
                        </w:r>
                        <w:r>
                          <w:rPr>
                            <w:color w:val="231F20"/>
                            <w:spacing w:val="-8"/>
                            <w:sz w:val="15"/>
                          </w:rPr>
                          <w:t> </w:t>
                        </w:r>
                        <w:r>
                          <w:rPr>
                            <w:color w:val="231F20"/>
                            <w:sz w:val="15"/>
                          </w:rPr>
                          <w:t>age</w:t>
                        </w:r>
                        <w:r>
                          <w:rPr>
                            <w:color w:val="231F20"/>
                            <w:spacing w:val="-8"/>
                            <w:sz w:val="15"/>
                          </w:rPr>
                          <w:t> </w:t>
                        </w:r>
                        <w:r>
                          <w:rPr>
                            <w:color w:val="231F20"/>
                            <w:sz w:val="15"/>
                          </w:rPr>
                          <w:t>10</w:t>
                        </w:r>
                        <w:r>
                          <w:rPr>
                            <w:color w:val="231F20"/>
                            <w:spacing w:val="-8"/>
                            <w:sz w:val="15"/>
                          </w:rPr>
                          <w:t> </w:t>
                        </w:r>
                        <w:r>
                          <w:rPr>
                            <w:color w:val="231F20"/>
                            <w:sz w:val="15"/>
                          </w:rPr>
                          <w:t>yr</w:t>
                        </w:r>
                        <w:r>
                          <w:rPr>
                            <w:color w:val="231F20"/>
                            <w:spacing w:val="-8"/>
                            <w:sz w:val="15"/>
                          </w:rPr>
                          <w:t> </w:t>
                        </w:r>
                        <w:r>
                          <w:rPr>
                            <w:color w:val="231F20"/>
                            <w:sz w:val="15"/>
                          </w:rPr>
                          <w:t>or</w:t>
                        </w:r>
                        <w:r>
                          <w:rPr>
                            <w:color w:val="231F20"/>
                            <w:spacing w:val="-8"/>
                            <w:sz w:val="15"/>
                          </w:rPr>
                          <w:t> </w:t>
                        </w:r>
                        <w:r>
                          <w:rPr>
                            <w:color w:val="231F20"/>
                            <w:sz w:val="15"/>
                          </w:rPr>
                          <w:t>at</w:t>
                        </w:r>
                        <w:r>
                          <w:rPr>
                            <w:color w:val="231F20"/>
                            <w:spacing w:val="-8"/>
                            <w:sz w:val="15"/>
                          </w:rPr>
                          <w:t> </w:t>
                        </w:r>
                        <w:r>
                          <w:rPr>
                            <w:color w:val="231F20"/>
                            <w:sz w:val="15"/>
                          </w:rPr>
                          <w:t>onset</w:t>
                        </w:r>
                        <w:r>
                          <w:rPr>
                            <w:color w:val="231F20"/>
                            <w:spacing w:val="-8"/>
                            <w:sz w:val="15"/>
                          </w:rPr>
                          <w:t> </w:t>
                        </w:r>
                        <w:r>
                          <w:rPr>
                            <w:color w:val="231F20"/>
                            <w:sz w:val="15"/>
                          </w:rPr>
                          <w:t>of</w:t>
                        </w:r>
                        <w:r>
                          <w:rPr>
                            <w:color w:val="231F20"/>
                            <w:spacing w:val="-8"/>
                            <w:sz w:val="15"/>
                          </w:rPr>
                          <w:t> </w:t>
                        </w:r>
                        <w:r>
                          <w:rPr>
                            <w:color w:val="231F20"/>
                            <w:sz w:val="15"/>
                          </w:rPr>
                          <w:t>puberty</w:t>
                        </w:r>
                        <w:r>
                          <w:rPr>
                            <w:color w:val="231F20"/>
                            <w:spacing w:val="-8"/>
                            <w:sz w:val="15"/>
                          </w:rPr>
                          <w:t> </w:t>
                        </w:r>
                        <w:r>
                          <w:rPr>
                            <w:color w:val="231F20"/>
                            <w:sz w:val="15"/>
                          </w:rPr>
                          <w:t>if</w:t>
                        </w:r>
                        <w:r>
                          <w:rPr>
                            <w:color w:val="231F20"/>
                            <w:spacing w:val="-8"/>
                            <w:sz w:val="15"/>
                          </w:rPr>
                          <w:t> </w:t>
                        </w:r>
                        <w:r>
                          <w:rPr>
                            <w:color w:val="231F20"/>
                            <w:sz w:val="15"/>
                          </w:rPr>
                          <w:t>puberty occurs at a younger age</w:t>
                        </w:r>
                      </w:p>
                      <w:p>
                        <w:pPr>
                          <w:numPr>
                            <w:ilvl w:val="0"/>
                            <w:numId w:val="5"/>
                          </w:numPr>
                          <w:tabs>
                            <w:tab w:pos="223" w:val="left" w:leader="none"/>
                          </w:tabs>
                          <w:spacing w:line="167" w:lineRule="exact" w:before="0"/>
                          <w:ind w:left="223" w:right="0" w:hanging="149"/>
                          <w:jc w:val="left"/>
                          <w:rPr>
                            <w:color w:val="000000"/>
                            <w:sz w:val="15"/>
                          </w:rPr>
                        </w:pPr>
                        <w:r>
                          <w:rPr>
                            <w:color w:val="231F20"/>
                            <w:spacing w:val="-2"/>
                            <w:sz w:val="15"/>
                          </w:rPr>
                          <w:t>Frequency:</w:t>
                        </w:r>
                        <w:r>
                          <w:rPr>
                            <w:color w:val="231F20"/>
                            <w:spacing w:val="-3"/>
                            <w:sz w:val="15"/>
                          </w:rPr>
                          <w:t> </w:t>
                        </w:r>
                        <w:r>
                          <w:rPr>
                            <w:color w:val="231F20"/>
                            <w:spacing w:val="-2"/>
                            <w:sz w:val="15"/>
                          </w:rPr>
                          <w:t>every</w:t>
                        </w:r>
                        <w:r>
                          <w:rPr>
                            <w:color w:val="231F20"/>
                            <w:spacing w:val="-3"/>
                            <w:sz w:val="15"/>
                          </w:rPr>
                          <w:t> </w:t>
                        </w:r>
                        <w:r>
                          <w:rPr>
                            <w:color w:val="231F20"/>
                            <w:spacing w:val="-2"/>
                            <w:sz w:val="15"/>
                          </w:rPr>
                          <w:t>2 </w:t>
                        </w:r>
                        <w:r>
                          <w:rPr>
                            <w:color w:val="231F20"/>
                            <w:spacing w:val="-5"/>
                            <w:sz w:val="15"/>
                          </w:rPr>
                          <w:t>yr</w:t>
                        </w:r>
                      </w:p>
                      <w:p>
                        <w:pPr>
                          <w:numPr>
                            <w:ilvl w:val="0"/>
                            <w:numId w:val="5"/>
                          </w:numPr>
                          <w:tabs>
                            <w:tab w:pos="223" w:val="left" w:leader="none"/>
                          </w:tabs>
                          <w:spacing w:line="171" w:lineRule="exact" w:before="0"/>
                          <w:ind w:left="223" w:right="0" w:hanging="149"/>
                          <w:jc w:val="left"/>
                          <w:rPr>
                            <w:color w:val="000000"/>
                            <w:sz w:val="15"/>
                          </w:rPr>
                        </w:pPr>
                        <w:r>
                          <w:rPr>
                            <w:color w:val="231F20"/>
                            <w:sz w:val="15"/>
                          </w:rPr>
                          <w:t>Test:</w:t>
                        </w:r>
                        <w:r>
                          <w:rPr>
                            <w:color w:val="231F20"/>
                            <w:spacing w:val="-5"/>
                            <w:sz w:val="15"/>
                          </w:rPr>
                          <w:t> </w:t>
                        </w:r>
                        <w:r>
                          <w:rPr>
                            <w:color w:val="231F20"/>
                            <w:sz w:val="15"/>
                          </w:rPr>
                          <w:t>fasting</w:t>
                        </w:r>
                        <w:r>
                          <w:rPr>
                            <w:color w:val="231F20"/>
                            <w:spacing w:val="-5"/>
                            <w:sz w:val="15"/>
                          </w:rPr>
                          <w:t> </w:t>
                        </w:r>
                        <w:r>
                          <w:rPr>
                            <w:color w:val="231F20"/>
                            <w:sz w:val="15"/>
                          </w:rPr>
                          <w:t>plasma</w:t>
                        </w:r>
                        <w:r>
                          <w:rPr>
                            <w:color w:val="231F20"/>
                            <w:spacing w:val="-5"/>
                            <w:sz w:val="15"/>
                          </w:rPr>
                          <w:t> </w:t>
                        </w:r>
                        <w:r>
                          <w:rPr>
                            <w:color w:val="231F20"/>
                            <w:sz w:val="15"/>
                          </w:rPr>
                          <w:t>glucose</w:t>
                        </w:r>
                        <w:r>
                          <w:rPr>
                            <w:color w:val="231F20"/>
                            <w:spacing w:val="-4"/>
                            <w:sz w:val="15"/>
                          </w:rPr>
                          <w:t> </w:t>
                        </w:r>
                        <w:r>
                          <w:rPr>
                            <w:color w:val="231F20"/>
                            <w:spacing w:val="-2"/>
                            <w:sz w:val="15"/>
                          </w:rPr>
                          <w:t>preferred</w:t>
                        </w:r>
                      </w:p>
                    </w:txbxContent>
                  </v:textbox>
                  <v:fill type="solid"/>
                  <w10:wrap type="none"/>
                </v:shape>
                <v:rect style="position:absolute;left:5950;top:3340;width:4703;height:19" id="docshape147" filled="true" fillcolor="#231f20" stroked="false">
                  <v:fill type="solid"/>
                </v:rect>
                <v:shape style="position:absolute;left:7181;top:195;width:3471;height:355" type="#_x0000_t202" id="docshape148" filled="true" fillcolor="#231f20" stroked="false">
                  <v:textbox inset="0,0,0,0">
                    <w:txbxContent>
                      <w:p>
                        <w:pPr>
                          <w:spacing w:before="89"/>
                          <w:ind w:left="74" w:right="0" w:firstLine="0"/>
                          <w:jc w:val="left"/>
                          <w:rPr>
                            <w:color w:val="000000"/>
                            <w:sz w:val="16"/>
                          </w:rPr>
                        </w:pPr>
                        <w:r>
                          <w:rPr>
                            <w:color w:val="FFFFFF"/>
                            <w:w w:val="105"/>
                            <w:sz w:val="16"/>
                          </w:rPr>
                          <w:t>Testing</w:t>
                        </w:r>
                        <w:r>
                          <w:rPr>
                            <w:color w:val="FFFFFF"/>
                            <w:spacing w:val="8"/>
                            <w:w w:val="105"/>
                            <w:sz w:val="16"/>
                          </w:rPr>
                          <w:t> </w:t>
                        </w:r>
                        <w:r>
                          <w:rPr>
                            <w:color w:val="FFFFFF"/>
                            <w:w w:val="105"/>
                            <w:sz w:val="16"/>
                          </w:rPr>
                          <w:t>for</w:t>
                        </w:r>
                        <w:r>
                          <w:rPr>
                            <w:color w:val="FFFFFF"/>
                            <w:spacing w:val="8"/>
                            <w:w w:val="105"/>
                            <w:sz w:val="16"/>
                          </w:rPr>
                          <w:t> </w:t>
                        </w:r>
                        <w:r>
                          <w:rPr>
                            <w:color w:val="FFFFFF"/>
                            <w:w w:val="105"/>
                            <w:sz w:val="16"/>
                          </w:rPr>
                          <w:t>Type</w:t>
                        </w:r>
                        <w:r>
                          <w:rPr>
                            <w:color w:val="FFFFFF"/>
                            <w:spacing w:val="9"/>
                            <w:w w:val="105"/>
                            <w:sz w:val="16"/>
                          </w:rPr>
                          <w:t> </w:t>
                        </w:r>
                        <w:r>
                          <w:rPr>
                            <w:color w:val="FFFFFF"/>
                            <w:w w:val="105"/>
                            <w:sz w:val="16"/>
                          </w:rPr>
                          <w:t>2</w:t>
                        </w:r>
                        <w:r>
                          <w:rPr>
                            <w:color w:val="FFFFFF"/>
                            <w:spacing w:val="8"/>
                            <w:w w:val="105"/>
                            <w:sz w:val="16"/>
                          </w:rPr>
                          <w:t> </w:t>
                        </w:r>
                        <w:r>
                          <w:rPr>
                            <w:color w:val="FFFFFF"/>
                            <w:w w:val="105"/>
                            <w:sz w:val="16"/>
                          </w:rPr>
                          <w:t>Diabetes</w:t>
                        </w:r>
                        <w:r>
                          <w:rPr>
                            <w:color w:val="FFFFFF"/>
                            <w:spacing w:val="9"/>
                            <w:w w:val="105"/>
                            <w:sz w:val="16"/>
                          </w:rPr>
                          <w:t> </w:t>
                        </w:r>
                        <w:r>
                          <w:rPr>
                            <w:color w:val="FFFFFF"/>
                            <w:w w:val="105"/>
                            <w:sz w:val="16"/>
                          </w:rPr>
                          <w:t>in</w:t>
                        </w:r>
                        <w:r>
                          <w:rPr>
                            <w:color w:val="FFFFFF"/>
                            <w:spacing w:val="8"/>
                            <w:w w:val="105"/>
                            <w:sz w:val="16"/>
                          </w:rPr>
                          <w:t> </w:t>
                        </w:r>
                        <w:r>
                          <w:rPr>
                            <w:color w:val="FFFFFF"/>
                            <w:spacing w:val="-2"/>
                            <w:w w:val="105"/>
                            <w:sz w:val="16"/>
                          </w:rPr>
                          <w:t>Children</w:t>
                        </w:r>
                      </w:p>
                    </w:txbxContent>
                  </v:textbox>
                  <v:fill type="solid"/>
                  <w10:wrap type="none"/>
                </v:shape>
                <v:shape style="position:absolute;left:5950;top:195;width:1213;height:355" type="#_x0000_t202" id="docshape149" filled="true" fillcolor="#231f20" stroked="false">
                  <v:textbox inset="0,0,0,0">
                    <w:txbxContent>
                      <w:p>
                        <w:pPr>
                          <w:spacing w:before="89"/>
                          <w:ind w:left="111" w:right="0" w:firstLine="0"/>
                          <w:jc w:val="left"/>
                          <w:rPr>
                            <w:b/>
                            <w:color w:val="000000"/>
                            <w:sz w:val="16"/>
                          </w:rPr>
                        </w:pPr>
                        <w:r>
                          <w:rPr>
                            <w:b/>
                            <w:color w:val="FFFFFF"/>
                            <w:sz w:val="16"/>
                          </w:rPr>
                          <w:t>Table</w:t>
                        </w:r>
                        <w:r>
                          <w:rPr>
                            <w:b/>
                            <w:color w:val="FFFFFF"/>
                            <w:spacing w:val="25"/>
                            <w:sz w:val="16"/>
                          </w:rPr>
                          <w:t> </w:t>
                        </w:r>
                        <w:r>
                          <w:rPr>
                            <w:b/>
                            <w:color w:val="FFFFFF"/>
                            <w:sz w:val="16"/>
                          </w:rPr>
                          <w:t>589-</w:t>
                        </w:r>
                        <w:r>
                          <w:rPr>
                            <w:b/>
                            <w:color w:val="FFFFFF"/>
                            <w:spacing w:val="-5"/>
                            <w:sz w:val="16"/>
                          </w:rPr>
                          <w:t>13</w:t>
                        </w:r>
                      </w:p>
                    </w:txbxContent>
                  </v:textbox>
                  <v:fill type="solid"/>
                  <w10:wrap type="none"/>
                </v:shape>
                <w10:wrap type="topAndBottom"/>
              </v:group>
            </w:pict>
          </mc:Fallback>
        </mc:AlternateContent>
      </w:r>
    </w:p>
    <w:p>
      <w:pPr>
        <w:pStyle w:val="Heading5"/>
        <w:spacing w:line="235" w:lineRule="auto" w:before="61"/>
        <w:ind w:left="5525" w:right="705"/>
        <w:rPr>
          <w:rFonts w:ascii="Trebuchet MS"/>
        </w:rPr>
      </w:pPr>
      <w:r>
        <w:rPr>
          <w:rFonts w:ascii="Trebuchet MS"/>
          <w:color w:val="231F20"/>
        </w:rPr>
        <w:t>*Clinical</w:t>
      </w:r>
      <w:r>
        <w:rPr>
          <w:rFonts w:ascii="Trebuchet MS"/>
          <w:color w:val="231F20"/>
          <w:spacing w:val="-2"/>
        </w:rPr>
        <w:t> </w:t>
      </w:r>
      <w:r>
        <w:rPr>
          <w:rFonts w:ascii="Trebuchet MS"/>
          <w:color w:val="231F20"/>
        </w:rPr>
        <w:t>judgment</w:t>
      </w:r>
      <w:r>
        <w:rPr>
          <w:rFonts w:ascii="Trebuchet MS"/>
          <w:color w:val="231F20"/>
          <w:spacing w:val="-2"/>
        </w:rPr>
        <w:t> </w:t>
      </w:r>
      <w:r>
        <w:rPr>
          <w:rFonts w:ascii="Trebuchet MS"/>
          <w:color w:val="231F20"/>
        </w:rPr>
        <w:t>should</w:t>
      </w:r>
      <w:r>
        <w:rPr>
          <w:rFonts w:ascii="Trebuchet MS"/>
          <w:color w:val="231F20"/>
          <w:spacing w:val="-2"/>
        </w:rPr>
        <w:t> </w:t>
      </w:r>
      <w:r>
        <w:rPr>
          <w:rFonts w:ascii="Trebuchet MS"/>
          <w:color w:val="231F20"/>
        </w:rPr>
        <w:t>be</w:t>
      </w:r>
      <w:r>
        <w:rPr>
          <w:rFonts w:ascii="Trebuchet MS"/>
          <w:color w:val="231F20"/>
          <w:spacing w:val="-2"/>
        </w:rPr>
        <w:t> </w:t>
      </w:r>
      <w:r>
        <w:rPr>
          <w:rFonts w:ascii="Trebuchet MS"/>
          <w:color w:val="231F20"/>
        </w:rPr>
        <w:t>used</w:t>
      </w:r>
      <w:r>
        <w:rPr>
          <w:rFonts w:ascii="Trebuchet MS"/>
          <w:color w:val="231F20"/>
          <w:spacing w:val="-2"/>
        </w:rPr>
        <w:t> </w:t>
      </w:r>
      <w:r>
        <w:rPr>
          <w:rFonts w:ascii="Trebuchet MS"/>
          <w:color w:val="231F20"/>
        </w:rPr>
        <w:t>to</w:t>
      </w:r>
      <w:r>
        <w:rPr>
          <w:rFonts w:ascii="Trebuchet MS"/>
          <w:color w:val="231F20"/>
          <w:spacing w:val="-2"/>
        </w:rPr>
        <w:t> </w:t>
      </w:r>
      <w:r>
        <w:rPr>
          <w:rFonts w:ascii="Trebuchet MS"/>
          <w:color w:val="231F20"/>
        </w:rPr>
        <w:t>test</w:t>
      </w:r>
      <w:r>
        <w:rPr>
          <w:rFonts w:ascii="Trebuchet MS"/>
          <w:color w:val="231F20"/>
          <w:spacing w:val="-2"/>
        </w:rPr>
        <w:t> </w:t>
      </w:r>
      <w:r>
        <w:rPr>
          <w:rFonts w:ascii="Trebuchet MS"/>
          <w:color w:val="231F20"/>
        </w:rPr>
        <w:t>for</w:t>
      </w:r>
      <w:r>
        <w:rPr>
          <w:rFonts w:ascii="Trebuchet MS"/>
          <w:color w:val="231F20"/>
          <w:spacing w:val="-2"/>
        </w:rPr>
        <w:t> </w:t>
      </w:r>
      <w:r>
        <w:rPr>
          <w:rFonts w:ascii="Trebuchet MS"/>
          <w:color w:val="231F20"/>
        </w:rPr>
        <w:t>diabetes</w:t>
      </w:r>
      <w:r>
        <w:rPr>
          <w:rFonts w:ascii="Trebuchet MS"/>
          <w:color w:val="231F20"/>
          <w:spacing w:val="-2"/>
        </w:rPr>
        <w:t> </w:t>
      </w:r>
      <w:r>
        <w:rPr>
          <w:rFonts w:ascii="Trebuchet MS"/>
          <w:color w:val="231F20"/>
        </w:rPr>
        <w:t>in</w:t>
      </w:r>
      <w:r>
        <w:rPr>
          <w:rFonts w:ascii="Trebuchet MS"/>
          <w:color w:val="231F20"/>
          <w:spacing w:val="-2"/>
        </w:rPr>
        <w:t> </w:t>
      </w:r>
      <w:r>
        <w:rPr>
          <w:rFonts w:ascii="Trebuchet MS"/>
          <w:color w:val="231F20"/>
        </w:rPr>
        <w:t>high- risk patients who do not meet these criteria.</w:t>
      </w:r>
    </w:p>
    <w:p>
      <w:pPr>
        <w:pStyle w:val="BodyText"/>
        <w:spacing w:before="38"/>
        <w:rPr>
          <w:sz w:val="20"/>
        </w:rPr>
      </w:pPr>
    </w:p>
    <w:tbl>
      <w:tblPr>
        <w:tblW w:w="0" w:type="auto"/>
        <w:jc w:val="left"/>
        <w:tblInd w:w="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911"/>
        <w:gridCol w:w="246"/>
        <w:gridCol w:w="393"/>
        <w:gridCol w:w="333"/>
        <w:gridCol w:w="2482"/>
        <w:gridCol w:w="4155"/>
      </w:tblGrid>
      <w:tr>
        <w:trPr>
          <w:trHeight w:val="373"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10</w:t>
            </w:r>
          </w:p>
        </w:tc>
        <w:tc>
          <w:tcPr>
            <w:tcW w:w="911" w:type="dxa"/>
            <w:tcBorders>
              <w:left w:val="single" w:sz="8" w:space="0" w:color="FFFFFF"/>
            </w:tcBorders>
            <w:shd w:val="clear" w:color="auto" w:fill="231F20"/>
          </w:tcPr>
          <w:p>
            <w:pPr>
              <w:pStyle w:val="TableParagraph"/>
              <w:spacing w:before="89"/>
              <w:ind w:left="74"/>
              <w:rPr>
                <w:sz w:val="16"/>
              </w:rPr>
            </w:pPr>
            <w:r>
              <w:rPr>
                <w:color w:val="FFFFFF"/>
                <w:spacing w:val="-2"/>
                <w:w w:val="105"/>
                <w:sz w:val="16"/>
              </w:rPr>
              <w:t>Guidelines</w:t>
            </w:r>
          </w:p>
        </w:tc>
        <w:tc>
          <w:tcPr>
            <w:tcW w:w="246" w:type="dxa"/>
            <w:shd w:val="clear" w:color="auto" w:fill="231F20"/>
          </w:tcPr>
          <w:p>
            <w:pPr>
              <w:pStyle w:val="TableParagraph"/>
              <w:spacing w:before="89"/>
              <w:ind w:left="28"/>
              <w:rPr>
                <w:sz w:val="16"/>
              </w:rPr>
            </w:pPr>
            <w:r>
              <w:rPr>
                <w:color w:val="FFFFFF"/>
                <w:spacing w:val="-5"/>
                <w:sz w:val="16"/>
              </w:rPr>
              <w:t>for</w:t>
            </w:r>
          </w:p>
        </w:tc>
        <w:tc>
          <w:tcPr>
            <w:tcW w:w="393" w:type="dxa"/>
            <w:shd w:val="clear" w:color="auto" w:fill="231F20"/>
          </w:tcPr>
          <w:p>
            <w:pPr>
              <w:pStyle w:val="TableParagraph"/>
              <w:spacing w:before="89"/>
              <w:ind w:left="50"/>
              <w:rPr>
                <w:sz w:val="16"/>
              </w:rPr>
            </w:pPr>
            <w:r>
              <w:rPr>
                <w:color w:val="FFFFFF"/>
                <w:spacing w:val="-4"/>
                <w:w w:val="105"/>
                <w:sz w:val="16"/>
              </w:rPr>
              <w:t>Sick</w:t>
            </w:r>
          </w:p>
        </w:tc>
        <w:tc>
          <w:tcPr>
            <w:tcW w:w="333" w:type="dxa"/>
            <w:shd w:val="clear" w:color="auto" w:fill="231F20"/>
          </w:tcPr>
          <w:p>
            <w:pPr>
              <w:pStyle w:val="TableParagraph"/>
              <w:spacing w:before="89"/>
              <w:ind w:left="11"/>
              <w:rPr>
                <w:sz w:val="16"/>
              </w:rPr>
            </w:pPr>
            <w:r>
              <w:rPr>
                <w:color w:val="FFFFFF"/>
                <w:spacing w:val="-5"/>
                <w:w w:val="110"/>
                <w:sz w:val="16"/>
              </w:rPr>
              <w:t>Day</w:t>
            </w:r>
          </w:p>
        </w:tc>
        <w:tc>
          <w:tcPr>
            <w:tcW w:w="6637" w:type="dxa"/>
            <w:gridSpan w:val="2"/>
            <w:shd w:val="clear" w:color="auto" w:fill="231F20"/>
          </w:tcPr>
          <w:p>
            <w:pPr>
              <w:pStyle w:val="TableParagraph"/>
              <w:spacing w:before="89"/>
              <w:ind w:left="27"/>
              <w:rPr>
                <w:sz w:val="16"/>
              </w:rPr>
            </w:pPr>
            <w:r>
              <w:rPr>
                <w:color w:val="FFFFFF"/>
                <w:spacing w:val="-2"/>
                <w:w w:val="110"/>
                <w:sz w:val="16"/>
              </w:rPr>
              <w:t>Management</w:t>
            </w:r>
          </w:p>
        </w:tc>
      </w:tr>
      <w:tr>
        <w:trPr>
          <w:trHeight w:val="688" w:hRule="atLeast"/>
        </w:trPr>
        <w:tc>
          <w:tcPr>
            <w:tcW w:w="2133" w:type="dxa"/>
            <w:gridSpan w:val="2"/>
            <w:tcBorders>
              <w:bottom w:val="single" w:sz="4" w:space="0" w:color="231F20"/>
            </w:tcBorders>
            <w:shd w:val="clear" w:color="auto" w:fill="E8F5F1"/>
          </w:tcPr>
          <w:p>
            <w:pPr>
              <w:pStyle w:val="TableParagraph"/>
              <w:rPr>
                <w:sz w:val="15"/>
              </w:rPr>
            </w:pPr>
          </w:p>
          <w:p>
            <w:pPr>
              <w:pStyle w:val="TableParagraph"/>
              <w:spacing w:before="129"/>
              <w:rPr>
                <w:sz w:val="15"/>
              </w:rPr>
            </w:pPr>
          </w:p>
          <w:p>
            <w:pPr>
              <w:pStyle w:val="TableParagraph"/>
              <w:ind w:left="74"/>
              <w:rPr>
                <w:b/>
                <w:sz w:val="15"/>
              </w:rPr>
            </w:pPr>
            <w:r>
              <w:rPr>
                <w:b/>
                <w:color w:val="231F20"/>
                <w:w w:val="110"/>
                <w:sz w:val="15"/>
              </w:rPr>
              <w:t>URINE</w:t>
            </w:r>
            <w:r>
              <w:rPr>
                <w:b/>
                <w:color w:val="231F20"/>
                <w:spacing w:val="7"/>
                <w:w w:val="110"/>
                <w:sz w:val="15"/>
              </w:rPr>
              <w:t> </w:t>
            </w:r>
            <w:r>
              <w:rPr>
                <w:b/>
                <w:color w:val="231F20"/>
                <w:w w:val="110"/>
                <w:sz w:val="15"/>
              </w:rPr>
              <w:t>KETONE</w:t>
            </w:r>
            <w:r>
              <w:rPr>
                <w:b/>
                <w:color w:val="231F20"/>
                <w:spacing w:val="7"/>
                <w:w w:val="110"/>
                <w:sz w:val="15"/>
              </w:rPr>
              <w:t> </w:t>
            </w:r>
            <w:r>
              <w:rPr>
                <w:b/>
                <w:color w:val="231F20"/>
                <w:spacing w:val="-2"/>
                <w:w w:val="110"/>
                <w:sz w:val="15"/>
              </w:rPr>
              <w:t>STATUS</w:t>
            </w:r>
          </w:p>
        </w:tc>
        <w:tc>
          <w:tcPr>
            <w:tcW w:w="3454" w:type="dxa"/>
            <w:gridSpan w:val="4"/>
            <w:tcBorders>
              <w:bottom w:val="single" w:sz="4" w:space="0" w:color="231F20"/>
            </w:tcBorders>
            <w:shd w:val="clear" w:color="auto" w:fill="E8F5F1"/>
          </w:tcPr>
          <w:p>
            <w:pPr>
              <w:pStyle w:val="TableParagraph"/>
              <w:spacing w:line="230" w:lineRule="auto" w:before="53" w:after="48"/>
              <w:ind w:left="847" w:right="558" w:hanging="301"/>
              <w:rPr>
                <w:b/>
                <w:sz w:val="15"/>
              </w:rPr>
            </w:pPr>
            <w:r>
              <w:rPr>
                <w:b/>
                <w:color w:val="231F20"/>
                <w:w w:val="110"/>
                <w:sz w:val="15"/>
              </w:rPr>
              <w:t>GLUCOSE</w:t>
            </w:r>
            <w:r>
              <w:rPr>
                <w:b/>
                <w:color w:val="231F20"/>
                <w:spacing w:val="-6"/>
                <w:w w:val="110"/>
                <w:sz w:val="15"/>
              </w:rPr>
              <w:t> </w:t>
            </w:r>
            <w:r>
              <w:rPr>
                <w:b/>
                <w:color w:val="231F20"/>
                <w:w w:val="110"/>
                <w:sz w:val="15"/>
              </w:rPr>
              <w:t>TESTING</w:t>
            </w:r>
            <w:r>
              <w:rPr>
                <w:b/>
                <w:color w:val="231F20"/>
                <w:spacing w:val="-6"/>
                <w:w w:val="110"/>
                <w:sz w:val="15"/>
              </w:rPr>
              <w:t> </w:t>
            </w:r>
            <w:r>
              <w:rPr>
                <w:b/>
                <w:color w:val="231F20"/>
                <w:w w:val="110"/>
                <w:sz w:val="15"/>
              </w:rPr>
              <w:t>AND</w:t>
            </w:r>
            <w:r>
              <w:rPr>
                <w:b/>
                <w:color w:val="231F20"/>
                <w:spacing w:val="-6"/>
                <w:w w:val="110"/>
                <w:sz w:val="15"/>
              </w:rPr>
              <w:t> </w:t>
            </w:r>
            <w:r>
              <w:rPr>
                <w:b/>
                <w:color w:val="231F20"/>
                <w:w w:val="110"/>
                <w:sz w:val="15"/>
              </w:rPr>
              <w:t>EXTRA RAPID-ACTING INSULIN</w:t>
            </w:r>
          </w:p>
          <w:p>
            <w:pPr>
              <w:pStyle w:val="TableParagraph"/>
              <w:spacing w:line="20" w:lineRule="exact"/>
              <w:ind w:left="243"/>
              <w:rPr>
                <w:sz w:val="2"/>
              </w:rPr>
            </w:pPr>
            <w:r>
              <w:rPr>
                <w:sz w:val="2"/>
              </w:rPr>
              <mc:AlternateContent>
                <mc:Choice Requires="wps">
                  <w:drawing>
                    <wp:inline distT="0" distB="0" distL="0" distR="0">
                      <wp:extent cx="1876425" cy="6350"/>
                      <wp:effectExtent l="9525" t="0" r="0" b="3175"/>
                      <wp:docPr id="184" name="Group 184"/>
                      <wp:cNvGraphicFramePr>
                        <a:graphicFrameLocks/>
                      </wp:cNvGraphicFramePr>
                      <a:graphic>
                        <a:graphicData uri="http://schemas.microsoft.com/office/word/2010/wordprocessingGroup">
                          <wpg:wgp>
                            <wpg:cNvPr id="184" name="Group 184"/>
                            <wpg:cNvGrpSpPr/>
                            <wpg:grpSpPr>
                              <a:xfrm>
                                <a:off x="0" y="0"/>
                                <a:ext cx="1876425" cy="6350"/>
                                <a:chExt cx="1876425" cy="6350"/>
                              </a:xfrm>
                            </wpg:grpSpPr>
                            <wps:wsp>
                              <wps:cNvPr id="185" name="Graphic 185"/>
                              <wps:cNvSpPr/>
                              <wps:spPr>
                                <a:xfrm>
                                  <a:off x="0" y="2962"/>
                                  <a:ext cx="1876425" cy="1270"/>
                                </a:xfrm>
                                <a:custGeom>
                                  <a:avLst/>
                                  <a:gdLst/>
                                  <a:ahLst/>
                                  <a:cxnLst/>
                                  <a:rect l="l" t="t" r="r" b="b"/>
                                  <a:pathLst>
                                    <a:path w="1876425" h="0">
                                      <a:moveTo>
                                        <a:pt x="0" y="0"/>
                                      </a:moveTo>
                                      <a:lnTo>
                                        <a:pt x="1876131" y="0"/>
                                      </a:lnTo>
                                    </a:path>
                                  </a:pathLst>
                                </a:custGeom>
                                <a:ln w="592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47.75pt;height:.5pt;mso-position-horizontal-relative:char;mso-position-vertical-relative:line" id="docshapegroup150" coordorigin="0,0" coordsize="2955,10">
                      <v:line style="position:absolute" from="0,5" to="2955,5" stroked="true" strokeweight=".466507pt" strokecolor="#231f20">
                        <v:stroke dashstyle="solid"/>
                      </v:line>
                    </v:group>
                  </w:pict>
                </mc:Fallback>
              </mc:AlternateContent>
            </w:r>
            <w:r>
              <w:rPr>
                <w:sz w:val="2"/>
              </w:rPr>
            </w:r>
          </w:p>
          <w:p>
            <w:pPr>
              <w:pStyle w:val="TableParagraph"/>
              <w:tabs>
                <w:tab w:pos="1569" w:val="left" w:leader="none"/>
              </w:tabs>
              <w:spacing w:before="22"/>
              <w:ind w:left="252"/>
              <w:rPr>
                <w:sz w:val="15"/>
              </w:rPr>
            </w:pPr>
            <w:r>
              <w:rPr>
                <w:b/>
                <w:color w:val="231F20"/>
                <w:spacing w:val="-2"/>
                <w:sz w:val="15"/>
              </w:rPr>
              <w:t>Insulin</w:t>
            </w:r>
            <w:r>
              <w:rPr>
                <w:b/>
                <w:color w:val="231F20"/>
                <w:sz w:val="15"/>
              </w:rPr>
              <w:tab/>
              <w:t>Correction</w:t>
            </w:r>
            <w:r>
              <w:rPr>
                <w:b/>
                <w:color w:val="231F20"/>
                <w:spacing w:val="7"/>
                <w:sz w:val="15"/>
              </w:rPr>
              <w:t> </w:t>
            </w:r>
            <w:r>
              <w:rPr>
                <w:b/>
                <w:color w:val="231F20"/>
                <w:spacing w:val="-2"/>
                <w:sz w:val="15"/>
              </w:rPr>
              <w:t>Doses</w:t>
            </w:r>
            <w:r>
              <w:rPr>
                <w:color w:val="0080AC"/>
                <w:spacing w:val="-2"/>
                <w:sz w:val="15"/>
              </w:rPr>
              <w:t>*</w:t>
            </w:r>
          </w:p>
        </w:tc>
        <w:tc>
          <w:tcPr>
            <w:tcW w:w="4155" w:type="dxa"/>
            <w:tcBorders>
              <w:bottom w:val="single" w:sz="4" w:space="0" w:color="231F20"/>
            </w:tcBorders>
            <w:shd w:val="clear" w:color="auto" w:fill="E8F5F1"/>
          </w:tcPr>
          <w:p>
            <w:pPr>
              <w:pStyle w:val="TableParagraph"/>
              <w:rPr>
                <w:sz w:val="15"/>
              </w:rPr>
            </w:pPr>
          </w:p>
          <w:p>
            <w:pPr>
              <w:pStyle w:val="TableParagraph"/>
              <w:spacing w:before="129"/>
              <w:rPr>
                <w:sz w:val="15"/>
              </w:rPr>
            </w:pPr>
          </w:p>
          <w:p>
            <w:pPr>
              <w:pStyle w:val="TableParagraph"/>
              <w:ind w:left="196"/>
              <w:jc w:val="center"/>
              <w:rPr>
                <w:b/>
                <w:sz w:val="15"/>
              </w:rPr>
            </w:pPr>
            <w:r>
              <w:rPr>
                <w:b/>
                <w:color w:val="231F20"/>
                <w:spacing w:val="-2"/>
                <w:w w:val="115"/>
                <w:sz w:val="15"/>
              </w:rPr>
              <w:t>COMMENT</w:t>
            </w:r>
          </w:p>
        </w:tc>
      </w:tr>
      <w:tr>
        <w:trPr>
          <w:trHeight w:val="259" w:hRule="atLeast"/>
        </w:trPr>
        <w:tc>
          <w:tcPr>
            <w:tcW w:w="2133"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Negative</w:t>
            </w:r>
            <w:r>
              <w:rPr>
                <w:color w:val="231F20"/>
                <w:spacing w:val="6"/>
                <w:sz w:val="15"/>
              </w:rPr>
              <w:t> </w:t>
            </w:r>
            <w:r>
              <w:rPr>
                <w:color w:val="231F20"/>
                <w:sz w:val="15"/>
              </w:rPr>
              <w:t>or</w:t>
            </w:r>
            <w:r>
              <w:rPr>
                <w:color w:val="231F20"/>
                <w:spacing w:val="6"/>
                <w:sz w:val="15"/>
              </w:rPr>
              <w:t> </w:t>
            </w:r>
            <w:r>
              <w:rPr>
                <w:color w:val="231F20"/>
                <w:spacing w:val="-2"/>
                <w:sz w:val="15"/>
              </w:rPr>
              <w:t>small</w:t>
            </w:r>
            <w:r>
              <w:rPr>
                <w:color w:val="0080AC"/>
                <w:spacing w:val="-2"/>
                <w:sz w:val="15"/>
                <w:vertAlign w:val="superscript"/>
              </w:rPr>
              <w:t>†</w:t>
            </w:r>
          </w:p>
        </w:tc>
        <w:tc>
          <w:tcPr>
            <w:tcW w:w="639" w:type="dxa"/>
            <w:gridSpan w:val="2"/>
            <w:tcBorders>
              <w:top w:val="single" w:sz="4" w:space="0" w:color="231F20"/>
              <w:bottom w:val="single" w:sz="4" w:space="0" w:color="FFFFFF"/>
            </w:tcBorders>
            <w:shd w:val="clear" w:color="auto" w:fill="E8F5F1"/>
          </w:tcPr>
          <w:p>
            <w:pPr>
              <w:pStyle w:val="TableParagraph"/>
              <w:spacing w:before="47"/>
              <w:ind w:left="325"/>
              <w:rPr>
                <w:sz w:val="15"/>
              </w:rPr>
            </w:pPr>
            <w:r>
              <w:rPr>
                <w:color w:val="231F20"/>
                <w:spacing w:val="-4"/>
                <w:sz w:val="15"/>
              </w:rPr>
              <w:t>q2hr</w:t>
            </w:r>
          </w:p>
        </w:tc>
        <w:tc>
          <w:tcPr>
            <w:tcW w:w="2815" w:type="dxa"/>
            <w:gridSpan w:val="2"/>
            <w:tcBorders>
              <w:top w:val="single" w:sz="4" w:space="0" w:color="231F20"/>
              <w:bottom w:val="single" w:sz="4" w:space="0" w:color="FFFFFF"/>
            </w:tcBorders>
            <w:shd w:val="clear" w:color="auto" w:fill="E8F5F1"/>
          </w:tcPr>
          <w:p>
            <w:pPr>
              <w:pStyle w:val="TableParagraph"/>
              <w:spacing w:before="47"/>
              <w:ind w:left="599"/>
              <w:rPr>
                <w:sz w:val="15"/>
              </w:rPr>
            </w:pPr>
            <w:r>
              <w:rPr>
                <w:color w:val="231F20"/>
                <w:sz w:val="15"/>
              </w:rPr>
              <w:t>q2hr</w:t>
            </w:r>
            <w:r>
              <w:rPr>
                <w:color w:val="231F20"/>
                <w:spacing w:val="-1"/>
                <w:sz w:val="15"/>
              </w:rPr>
              <w:t> </w:t>
            </w:r>
            <w:r>
              <w:rPr>
                <w:color w:val="231F20"/>
                <w:sz w:val="15"/>
              </w:rPr>
              <w:t>for</w:t>
            </w:r>
            <w:r>
              <w:rPr>
                <w:color w:val="231F20"/>
                <w:spacing w:val="-2"/>
                <w:sz w:val="15"/>
              </w:rPr>
              <w:t> </w:t>
            </w:r>
            <w:r>
              <w:rPr>
                <w:color w:val="231F20"/>
                <w:sz w:val="15"/>
              </w:rPr>
              <w:t>glucose</w:t>
            </w:r>
            <w:r>
              <w:rPr>
                <w:color w:val="231F20"/>
                <w:spacing w:val="-1"/>
                <w:sz w:val="15"/>
              </w:rPr>
              <w:t> </w:t>
            </w:r>
            <w:r>
              <w:rPr>
                <w:rFonts w:ascii="Cambria"/>
                <w:color w:val="231F20"/>
                <w:sz w:val="15"/>
              </w:rPr>
              <w:t>&gt;</w:t>
            </w:r>
            <w:r>
              <w:rPr>
                <w:color w:val="231F20"/>
                <w:sz w:val="15"/>
              </w:rPr>
              <w:t>250</w:t>
            </w:r>
            <w:r>
              <w:rPr>
                <w:color w:val="231F20"/>
                <w:spacing w:val="-1"/>
                <w:sz w:val="15"/>
              </w:rPr>
              <w:t> </w:t>
            </w:r>
            <w:r>
              <w:rPr>
                <w:color w:val="231F20"/>
                <w:spacing w:val="-2"/>
                <w:sz w:val="15"/>
              </w:rPr>
              <w:t>mg/dL</w:t>
            </w:r>
          </w:p>
        </w:tc>
        <w:tc>
          <w:tcPr>
            <w:tcW w:w="4155" w:type="dxa"/>
            <w:tcBorders>
              <w:top w:val="single" w:sz="4" w:space="0" w:color="231F20"/>
              <w:bottom w:val="single" w:sz="4" w:space="0" w:color="FFFFFF"/>
            </w:tcBorders>
            <w:shd w:val="clear" w:color="auto" w:fill="E8F5F1"/>
          </w:tcPr>
          <w:p>
            <w:pPr>
              <w:pStyle w:val="TableParagraph"/>
              <w:spacing w:before="47"/>
              <w:ind w:left="272"/>
              <w:rPr>
                <w:sz w:val="15"/>
              </w:rPr>
            </w:pPr>
            <w:r>
              <w:rPr>
                <w:color w:val="231F20"/>
                <w:sz w:val="15"/>
              </w:rPr>
              <w:t>Check</w:t>
            </w:r>
            <w:r>
              <w:rPr>
                <w:color w:val="231F20"/>
                <w:spacing w:val="-5"/>
                <w:sz w:val="15"/>
              </w:rPr>
              <w:t> </w:t>
            </w:r>
            <w:r>
              <w:rPr>
                <w:color w:val="231F20"/>
                <w:sz w:val="15"/>
              </w:rPr>
              <w:t>ketones</w:t>
            </w:r>
            <w:r>
              <w:rPr>
                <w:color w:val="231F20"/>
                <w:spacing w:val="-4"/>
                <w:sz w:val="15"/>
              </w:rPr>
              <w:t> </w:t>
            </w:r>
            <w:r>
              <w:rPr>
                <w:color w:val="231F20"/>
                <w:sz w:val="15"/>
              </w:rPr>
              <w:t>every</w:t>
            </w:r>
            <w:r>
              <w:rPr>
                <w:color w:val="231F20"/>
                <w:spacing w:val="-4"/>
                <w:sz w:val="15"/>
              </w:rPr>
              <w:t> </w:t>
            </w:r>
            <w:r>
              <w:rPr>
                <w:color w:val="231F20"/>
                <w:sz w:val="15"/>
              </w:rPr>
              <w:t>other</w:t>
            </w:r>
            <w:r>
              <w:rPr>
                <w:color w:val="231F20"/>
                <w:spacing w:val="-5"/>
                <w:sz w:val="15"/>
              </w:rPr>
              <w:t> </w:t>
            </w:r>
            <w:r>
              <w:rPr>
                <w:color w:val="231F20"/>
                <w:spacing w:val="-4"/>
                <w:sz w:val="15"/>
              </w:rPr>
              <w:t>void</w:t>
            </w:r>
          </w:p>
        </w:tc>
      </w:tr>
      <w:tr>
        <w:trPr>
          <w:trHeight w:val="249" w:hRule="atLeast"/>
        </w:trPr>
        <w:tc>
          <w:tcPr>
            <w:tcW w:w="2133"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Moderate</w:t>
            </w:r>
            <w:r>
              <w:rPr>
                <w:color w:val="231F20"/>
                <w:spacing w:val="9"/>
                <w:sz w:val="15"/>
              </w:rPr>
              <w:t> </w:t>
            </w:r>
            <w:r>
              <w:rPr>
                <w:color w:val="231F20"/>
                <w:sz w:val="15"/>
              </w:rPr>
              <w:t>to</w:t>
            </w:r>
            <w:r>
              <w:rPr>
                <w:color w:val="231F20"/>
                <w:spacing w:val="9"/>
                <w:sz w:val="15"/>
              </w:rPr>
              <w:t> </w:t>
            </w:r>
            <w:r>
              <w:rPr>
                <w:color w:val="231F20"/>
                <w:spacing w:val="-2"/>
                <w:sz w:val="15"/>
              </w:rPr>
              <w:t>large</w:t>
            </w:r>
            <w:r>
              <w:rPr>
                <w:color w:val="0080AC"/>
                <w:spacing w:val="-2"/>
                <w:sz w:val="15"/>
                <w:vertAlign w:val="superscript"/>
              </w:rPr>
              <w:t>‡</w:t>
            </w:r>
          </w:p>
        </w:tc>
        <w:tc>
          <w:tcPr>
            <w:tcW w:w="639" w:type="dxa"/>
            <w:gridSpan w:val="2"/>
            <w:tcBorders>
              <w:top w:val="single" w:sz="4" w:space="0" w:color="FFFFFF"/>
              <w:bottom w:val="single" w:sz="8" w:space="0" w:color="231F20"/>
            </w:tcBorders>
            <w:shd w:val="clear" w:color="auto" w:fill="E8F5F1"/>
          </w:tcPr>
          <w:p>
            <w:pPr>
              <w:pStyle w:val="TableParagraph"/>
              <w:spacing w:before="42"/>
              <w:ind w:left="325"/>
              <w:rPr>
                <w:sz w:val="15"/>
              </w:rPr>
            </w:pPr>
            <w:r>
              <w:rPr>
                <w:color w:val="231F20"/>
                <w:spacing w:val="-4"/>
                <w:sz w:val="15"/>
              </w:rPr>
              <w:t>q1hr</w:t>
            </w:r>
          </w:p>
        </w:tc>
        <w:tc>
          <w:tcPr>
            <w:tcW w:w="2815" w:type="dxa"/>
            <w:gridSpan w:val="2"/>
            <w:tcBorders>
              <w:top w:val="single" w:sz="4" w:space="0" w:color="FFFFFF"/>
              <w:bottom w:val="single" w:sz="8" w:space="0" w:color="231F20"/>
            </w:tcBorders>
            <w:shd w:val="clear" w:color="auto" w:fill="E8F5F1"/>
          </w:tcPr>
          <w:p>
            <w:pPr>
              <w:pStyle w:val="TableParagraph"/>
              <w:spacing w:before="43"/>
              <w:ind w:left="599"/>
              <w:rPr>
                <w:sz w:val="15"/>
              </w:rPr>
            </w:pPr>
            <w:r>
              <w:rPr>
                <w:color w:val="231F20"/>
                <w:sz w:val="15"/>
              </w:rPr>
              <w:t>q1hr</w:t>
            </w:r>
            <w:r>
              <w:rPr>
                <w:color w:val="231F20"/>
                <w:spacing w:val="-1"/>
                <w:sz w:val="15"/>
              </w:rPr>
              <w:t> </w:t>
            </w:r>
            <w:r>
              <w:rPr>
                <w:color w:val="231F20"/>
                <w:sz w:val="15"/>
              </w:rPr>
              <w:t>for</w:t>
            </w:r>
            <w:r>
              <w:rPr>
                <w:color w:val="231F20"/>
                <w:spacing w:val="-2"/>
                <w:sz w:val="15"/>
              </w:rPr>
              <w:t> </w:t>
            </w:r>
            <w:r>
              <w:rPr>
                <w:color w:val="231F20"/>
                <w:sz w:val="15"/>
              </w:rPr>
              <w:t>glucose</w:t>
            </w:r>
            <w:r>
              <w:rPr>
                <w:color w:val="231F20"/>
                <w:spacing w:val="-1"/>
                <w:sz w:val="15"/>
              </w:rPr>
              <w:t> </w:t>
            </w:r>
            <w:r>
              <w:rPr>
                <w:rFonts w:ascii="Cambria"/>
                <w:color w:val="231F20"/>
                <w:sz w:val="15"/>
              </w:rPr>
              <w:t>&gt;</w:t>
            </w:r>
            <w:r>
              <w:rPr>
                <w:color w:val="231F20"/>
                <w:sz w:val="15"/>
              </w:rPr>
              <w:t>250</w:t>
            </w:r>
            <w:r>
              <w:rPr>
                <w:color w:val="231F20"/>
                <w:spacing w:val="-1"/>
                <w:sz w:val="15"/>
              </w:rPr>
              <w:t> </w:t>
            </w:r>
            <w:r>
              <w:rPr>
                <w:color w:val="231F20"/>
                <w:spacing w:val="-2"/>
                <w:sz w:val="15"/>
              </w:rPr>
              <w:t>mg/dL</w:t>
            </w:r>
          </w:p>
        </w:tc>
        <w:tc>
          <w:tcPr>
            <w:tcW w:w="4155" w:type="dxa"/>
            <w:tcBorders>
              <w:top w:val="single" w:sz="4" w:space="0" w:color="FFFFFF"/>
              <w:bottom w:val="single" w:sz="8" w:space="0" w:color="231F20"/>
            </w:tcBorders>
            <w:shd w:val="clear" w:color="auto" w:fill="E8F5F1"/>
          </w:tcPr>
          <w:p>
            <w:pPr>
              <w:pStyle w:val="TableParagraph"/>
              <w:spacing w:before="42"/>
              <w:ind w:left="272"/>
              <w:rPr>
                <w:sz w:val="15"/>
              </w:rPr>
            </w:pPr>
            <w:r>
              <w:rPr>
                <w:color w:val="231F20"/>
                <w:sz w:val="15"/>
              </w:rPr>
              <w:t>Check</w:t>
            </w:r>
            <w:r>
              <w:rPr>
                <w:color w:val="231F20"/>
                <w:spacing w:val="-1"/>
                <w:sz w:val="15"/>
              </w:rPr>
              <w:t> </w:t>
            </w:r>
            <w:r>
              <w:rPr>
                <w:color w:val="231F20"/>
                <w:sz w:val="15"/>
              </w:rPr>
              <w:t>ketones</w:t>
            </w:r>
            <w:r>
              <w:rPr>
                <w:color w:val="231F20"/>
                <w:spacing w:val="-1"/>
                <w:sz w:val="15"/>
              </w:rPr>
              <w:t> </w:t>
            </w:r>
            <w:r>
              <w:rPr>
                <w:color w:val="231F20"/>
                <w:sz w:val="15"/>
              </w:rPr>
              <w:t>each</w:t>
            </w:r>
            <w:r>
              <w:rPr>
                <w:color w:val="231F20"/>
                <w:spacing w:val="-1"/>
                <w:sz w:val="15"/>
              </w:rPr>
              <w:t> </w:t>
            </w:r>
            <w:r>
              <w:rPr>
                <w:color w:val="231F20"/>
                <w:sz w:val="15"/>
              </w:rPr>
              <w:t>void;</w:t>
            </w:r>
            <w:r>
              <w:rPr>
                <w:color w:val="231F20"/>
                <w:spacing w:val="-1"/>
                <w:sz w:val="15"/>
              </w:rPr>
              <w:t> </w:t>
            </w:r>
            <w:r>
              <w:rPr>
                <w:color w:val="231F20"/>
                <w:sz w:val="15"/>
              </w:rPr>
              <w:t>go</w:t>
            </w:r>
            <w:r>
              <w:rPr>
                <w:color w:val="231F20"/>
                <w:spacing w:val="-1"/>
                <w:sz w:val="15"/>
              </w:rPr>
              <w:t> </w:t>
            </w:r>
            <w:r>
              <w:rPr>
                <w:color w:val="231F20"/>
                <w:sz w:val="15"/>
              </w:rPr>
              <w:t>to</w:t>
            </w:r>
            <w:r>
              <w:rPr>
                <w:color w:val="231F20"/>
                <w:spacing w:val="-1"/>
                <w:sz w:val="15"/>
              </w:rPr>
              <w:t> </w:t>
            </w:r>
            <w:r>
              <w:rPr>
                <w:color w:val="231F20"/>
                <w:sz w:val="15"/>
              </w:rPr>
              <w:t>hospital</w:t>
            </w:r>
            <w:r>
              <w:rPr>
                <w:color w:val="231F20"/>
                <w:spacing w:val="-1"/>
                <w:sz w:val="15"/>
              </w:rPr>
              <w:t> </w:t>
            </w:r>
            <w:r>
              <w:rPr>
                <w:color w:val="231F20"/>
                <w:sz w:val="15"/>
              </w:rPr>
              <w:t>if</w:t>
            </w:r>
            <w:r>
              <w:rPr>
                <w:color w:val="231F20"/>
                <w:spacing w:val="-1"/>
                <w:sz w:val="15"/>
              </w:rPr>
              <w:t> </w:t>
            </w:r>
            <w:r>
              <w:rPr>
                <w:color w:val="231F20"/>
                <w:sz w:val="15"/>
              </w:rPr>
              <w:t>emesis</w:t>
            </w:r>
            <w:r>
              <w:rPr>
                <w:color w:val="231F20"/>
                <w:spacing w:val="-1"/>
                <w:sz w:val="15"/>
              </w:rPr>
              <w:t> </w:t>
            </w:r>
            <w:r>
              <w:rPr>
                <w:color w:val="231F20"/>
                <w:spacing w:val="-2"/>
                <w:sz w:val="15"/>
              </w:rPr>
              <w:t>occurs</w:t>
            </w:r>
          </w:p>
        </w:tc>
      </w:tr>
    </w:tbl>
    <w:p>
      <w:pPr>
        <w:pStyle w:val="BodyText"/>
        <w:spacing w:before="74"/>
        <w:ind w:left="725" w:right="705"/>
      </w:pPr>
      <w:r>
        <w:rPr>
          <w:color w:val="231F20"/>
        </w:rPr>
        <w:t>Basal insulin: glargine or detemir basal insulin should be given at the usual dose and time. NPH and Lente should be reduced by half if blood glucose </w:t>
      </w:r>
      <w:r>
        <w:rPr>
          <w:rFonts w:ascii="Cambria"/>
          <w:color w:val="231F20"/>
        </w:rPr>
        <w:t>&lt;</w:t>
      </w:r>
      <w:r>
        <w:rPr>
          <w:color w:val="231F20"/>
        </w:rPr>
        <w:t>150 mg/dL</w:t>
      </w:r>
      <w:r>
        <w:rPr>
          <w:color w:val="231F20"/>
          <w:spacing w:val="40"/>
        </w:rPr>
        <w:t> </w:t>
      </w:r>
      <w:r>
        <w:rPr>
          <w:color w:val="231F20"/>
        </w:rPr>
        <w:t>and the oral intake is limited.</w:t>
      </w:r>
    </w:p>
    <w:p>
      <w:pPr>
        <w:pStyle w:val="BodyText"/>
        <w:spacing w:line="147" w:lineRule="exact"/>
        <w:ind w:left="855"/>
      </w:pPr>
      <w:r>
        <w:rPr>
          <w:color w:val="231F20"/>
        </w:rPr>
        <w:t>Oral</w:t>
      </w:r>
      <w:r>
        <w:rPr>
          <w:color w:val="231F20"/>
          <w:spacing w:val="-2"/>
        </w:rPr>
        <w:t> </w:t>
      </w:r>
      <w:r>
        <w:rPr>
          <w:color w:val="231F20"/>
        </w:rPr>
        <w:t>fluids:</w:t>
      </w:r>
      <w:r>
        <w:rPr>
          <w:color w:val="231F20"/>
          <w:spacing w:val="-1"/>
        </w:rPr>
        <w:t> </w:t>
      </w:r>
      <w:r>
        <w:rPr>
          <w:color w:val="231F20"/>
        </w:rPr>
        <w:t>sugar-free</w:t>
      </w:r>
      <w:r>
        <w:rPr>
          <w:color w:val="231F20"/>
          <w:spacing w:val="-1"/>
        </w:rPr>
        <w:t> </w:t>
      </w:r>
      <w:r>
        <w:rPr>
          <w:color w:val="231F20"/>
        </w:rPr>
        <w:t>if</w:t>
      </w:r>
      <w:r>
        <w:rPr>
          <w:color w:val="231F20"/>
          <w:spacing w:val="-1"/>
        </w:rPr>
        <w:t> </w:t>
      </w:r>
      <w:r>
        <w:rPr>
          <w:color w:val="231F20"/>
        </w:rPr>
        <w:t>blood</w:t>
      </w:r>
      <w:r>
        <w:rPr>
          <w:color w:val="231F20"/>
          <w:spacing w:val="-1"/>
        </w:rPr>
        <w:t> </w:t>
      </w:r>
      <w:r>
        <w:rPr>
          <w:color w:val="231F20"/>
        </w:rPr>
        <w:t>glucose</w:t>
      </w:r>
      <w:r>
        <w:rPr>
          <w:color w:val="231F20"/>
          <w:spacing w:val="-1"/>
        </w:rPr>
        <w:t> </w:t>
      </w:r>
      <w:r>
        <w:rPr>
          <w:rFonts w:ascii="Cambria"/>
          <w:color w:val="231F20"/>
        </w:rPr>
        <w:t>&gt;</w:t>
      </w:r>
      <w:r>
        <w:rPr>
          <w:color w:val="231F20"/>
        </w:rPr>
        <w:t>250</w:t>
      </w:r>
      <w:r>
        <w:rPr>
          <w:color w:val="231F20"/>
          <w:spacing w:val="-2"/>
        </w:rPr>
        <w:t> </w:t>
      </w:r>
      <w:r>
        <w:rPr>
          <w:color w:val="231F20"/>
        </w:rPr>
        <w:t>mg/dL</w:t>
      </w:r>
      <w:r>
        <w:rPr>
          <w:color w:val="231F20"/>
          <w:spacing w:val="-1"/>
        </w:rPr>
        <w:t> </w:t>
      </w:r>
      <w:r>
        <w:rPr>
          <w:color w:val="231F20"/>
        </w:rPr>
        <w:t>(14</w:t>
      </w:r>
      <w:r>
        <w:rPr>
          <w:color w:val="231F20"/>
          <w:spacing w:val="-1"/>
        </w:rPr>
        <w:t> </w:t>
      </w:r>
      <w:r>
        <w:rPr>
          <w:color w:val="231F20"/>
        </w:rPr>
        <w:t>mmol/L);</w:t>
      </w:r>
      <w:r>
        <w:rPr>
          <w:color w:val="231F20"/>
          <w:spacing w:val="-1"/>
        </w:rPr>
        <w:t> </w:t>
      </w:r>
      <w:r>
        <w:rPr>
          <w:color w:val="231F20"/>
        </w:rPr>
        <w:t>sugar-containing</w:t>
      </w:r>
      <w:r>
        <w:rPr>
          <w:color w:val="231F20"/>
          <w:spacing w:val="-1"/>
        </w:rPr>
        <w:t> </w:t>
      </w:r>
      <w:r>
        <w:rPr>
          <w:color w:val="231F20"/>
        </w:rPr>
        <w:t>if</w:t>
      </w:r>
      <w:r>
        <w:rPr>
          <w:color w:val="231F20"/>
          <w:spacing w:val="-1"/>
        </w:rPr>
        <w:t> </w:t>
      </w:r>
      <w:r>
        <w:rPr>
          <w:color w:val="231F20"/>
        </w:rPr>
        <w:t>blood</w:t>
      </w:r>
      <w:r>
        <w:rPr>
          <w:color w:val="231F20"/>
          <w:spacing w:val="-2"/>
        </w:rPr>
        <w:t> </w:t>
      </w:r>
      <w:r>
        <w:rPr>
          <w:color w:val="231F20"/>
        </w:rPr>
        <w:t>glucose</w:t>
      </w:r>
      <w:r>
        <w:rPr>
          <w:color w:val="231F20"/>
          <w:spacing w:val="-1"/>
        </w:rPr>
        <w:t> </w:t>
      </w:r>
      <w:r>
        <w:rPr>
          <w:rFonts w:ascii="Cambria"/>
          <w:color w:val="231F20"/>
        </w:rPr>
        <w:t>&lt;</w:t>
      </w:r>
      <w:r>
        <w:rPr>
          <w:color w:val="231F20"/>
        </w:rPr>
        <w:t>250</w:t>
      </w:r>
      <w:r>
        <w:rPr>
          <w:color w:val="231F20"/>
          <w:spacing w:val="-1"/>
        </w:rPr>
        <w:t> </w:t>
      </w:r>
      <w:r>
        <w:rPr>
          <w:color w:val="231F20"/>
          <w:spacing w:val="-2"/>
        </w:rPr>
        <w:t>mg/dL.</w:t>
      </w:r>
    </w:p>
    <w:p>
      <w:pPr>
        <w:pStyle w:val="BodyText"/>
        <w:ind w:left="725" w:firstLine="130"/>
      </w:pPr>
      <w:r>
        <w:rPr>
          <w:color w:val="231F20"/>
        </w:rPr>
        <w:t>Call</w:t>
      </w:r>
      <w:r>
        <w:rPr>
          <w:color w:val="231F20"/>
          <w:spacing w:val="-1"/>
        </w:rPr>
        <w:t> </w:t>
      </w:r>
      <w:r>
        <w:rPr>
          <w:color w:val="231F20"/>
        </w:rPr>
        <w:t>physician</w:t>
      </w:r>
      <w:r>
        <w:rPr>
          <w:color w:val="231F20"/>
          <w:spacing w:val="-1"/>
        </w:rPr>
        <w:t> </w:t>
      </w:r>
      <w:r>
        <w:rPr>
          <w:color w:val="231F20"/>
        </w:rPr>
        <w:t>or</w:t>
      </w:r>
      <w:r>
        <w:rPr>
          <w:color w:val="231F20"/>
          <w:spacing w:val="-1"/>
        </w:rPr>
        <w:t> </w:t>
      </w:r>
      <w:r>
        <w:rPr>
          <w:color w:val="231F20"/>
        </w:rPr>
        <w:t>nurse</w:t>
      </w:r>
      <w:r>
        <w:rPr>
          <w:color w:val="231F20"/>
          <w:spacing w:val="-1"/>
        </w:rPr>
        <w:t> </w:t>
      </w:r>
      <w:r>
        <w:rPr>
          <w:color w:val="231F20"/>
        </w:rPr>
        <w:t>if</w:t>
      </w:r>
      <w:r>
        <w:rPr>
          <w:color w:val="231F20"/>
          <w:spacing w:val="-1"/>
        </w:rPr>
        <w:t> </w:t>
      </w:r>
      <w:r>
        <w:rPr>
          <w:color w:val="231F20"/>
        </w:rPr>
        <w:t>blood</w:t>
      </w:r>
      <w:r>
        <w:rPr>
          <w:color w:val="231F20"/>
          <w:spacing w:val="-1"/>
        </w:rPr>
        <w:t> </w:t>
      </w:r>
      <w:r>
        <w:rPr>
          <w:color w:val="231F20"/>
        </w:rPr>
        <w:t>glucose</w:t>
      </w:r>
      <w:r>
        <w:rPr>
          <w:color w:val="231F20"/>
          <w:spacing w:val="-1"/>
        </w:rPr>
        <w:t> </w:t>
      </w:r>
      <w:r>
        <w:rPr>
          <w:color w:val="231F20"/>
        </w:rPr>
        <w:t>remains</w:t>
      </w:r>
      <w:r>
        <w:rPr>
          <w:color w:val="231F20"/>
          <w:spacing w:val="-1"/>
        </w:rPr>
        <w:t> </w:t>
      </w:r>
      <w:r>
        <w:rPr>
          <w:color w:val="231F20"/>
        </w:rPr>
        <w:t>elevated</w:t>
      </w:r>
      <w:r>
        <w:rPr>
          <w:color w:val="231F20"/>
          <w:spacing w:val="-1"/>
        </w:rPr>
        <w:t> </w:t>
      </w:r>
      <w:r>
        <w:rPr>
          <w:color w:val="231F20"/>
        </w:rPr>
        <w:t>after</w:t>
      </w:r>
      <w:r>
        <w:rPr>
          <w:color w:val="231F20"/>
          <w:spacing w:val="-1"/>
        </w:rPr>
        <w:t> </w:t>
      </w:r>
      <w:r>
        <w:rPr>
          <w:color w:val="231F20"/>
        </w:rPr>
        <w:t>3</w:t>
      </w:r>
      <w:r>
        <w:rPr>
          <w:color w:val="231F20"/>
          <w:spacing w:val="-1"/>
        </w:rPr>
        <w:t> </w:t>
      </w:r>
      <w:r>
        <w:rPr>
          <w:color w:val="231F20"/>
        </w:rPr>
        <w:t>extra</w:t>
      </w:r>
      <w:r>
        <w:rPr>
          <w:color w:val="231F20"/>
          <w:spacing w:val="-1"/>
        </w:rPr>
        <w:t> </w:t>
      </w:r>
      <w:r>
        <w:rPr>
          <w:color w:val="231F20"/>
        </w:rPr>
        <w:t>doses;</w:t>
      </w:r>
      <w:r>
        <w:rPr>
          <w:color w:val="231F20"/>
          <w:spacing w:val="-1"/>
        </w:rPr>
        <w:t> </w:t>
      </w:r>
      <w:r>
        <w:rPr>
          <w:color w:val="231F20"/>
        </w:rPr>
        <w:t>if</w:t>
      </w:r>
      <w:r>
        <w:rPr>
          <w:color w:val="231F20"/>
          <w:spacing w:val="-1"/>
        </w:rPr>
        <w:t> </w:t>
      </w:r>
      <w:r>
        <w:rPr>
          <w:color w:val="231F20"/>
        </w:rPr>
        <w:t>blood</w:t>
      </w:r>
      <w:r>
        <w:rPr>
          <w:color w:val="231F20"/>
          <w:spacing w:val="-1"/>
        </w:rPr>
        <w:t> </w:t>
      </w:r>
      <w:r>
        <w:rPr>
          <w:color w:val="231F20"/>
        </w:rPr>
        <w:t>glucose</w:t>
      </w:r>
      <w:r>
        <w:rPr>
          <w:color w:val="231F20"/>
          <w:spacing w:val="-1"/>
        </w:rPr>
        <w:t> </w:t>
      </w:r>
      <w:r>
        <w:rPr>
          <w:color w:val="231F20"/>
        </w:rPr>
        <w:t>remains</w:t>
      </w:r>
      <w:r>
        <w:rPr>
          <w:color w:val="231F20"/>
          <w:spacing w:val="-1"/>
        </w:rPr>
        <w:t> </w:t>
      </w:r>
      <w:r>
        <w:rPr>
          <w:color w:val="231F20"/>
        </w:rPr>
        <w:t>less</w:t>
      </w:r>
      <w:r>
        <w:rPr>
          <w:color w:val="231F20"/>
          <w:spacing w:val="-1"/>
        </w:rPr>
        <w:t> </w:t>
      </w:r>
      <w:r>
        <w:rPr>
          <w:color w:val="231F20"/>
        </w:rPr>
        <w:t>than</w:t>
      </w:r>
      <w:r>
        <w:rPr>
          <w:color w:val="231F20"/>
          <w:spacing w:val="-1"/>
        </w:rPr>
        <w:t> </w:t>
      </w:r>
      <w:r>
        <w:rPr>
          <w:color w:val="231F20"/>
        </w:rPr>
        <w:t>70</w:t>
      </w:r>
      <w:r>
        <w:rPr>
          <w:color w:val="231F20"/>
          <w:spacing w:val="-1"/>
        </w:rPr>
        <w:t> </w:t>
      </w:r>
      <w:r>
        <w:rPr>
          <w:color w:val="231F20"/>
        </w:rPr>
        <w:t>mg/dL</w:t>
      </w:r>
      <w:r>
        <w:rPr>
          <w:color w:val="231F20"/>
          <w:spacing w:val="-1"/>
        </w:rPr>
        <w:t> </w:t>
      </w:r>
      <w:r>
        <w:rPr>
          <w:color w:val="231F20"/>
        </w:rPr>
        <w:t>and</w:t>
      </w:r>
      <w:r>
        <w:rPr>
          <w:color w:val="231F20"/>
          <w:spacing w:val="-1"/>
        </w:rPr>
        <w:t> </w:t>
      </w:r>
      <w:r>
        <w:rPr>
          <w:color w:val="231F20"/>
        </w:rPr>
        <w:t>child</w:t>
      </w:r>
      <w:r>
        <w:rPr>
          <w:color w:val="231F20"/>
          <w:spacing w:val="-1"/>
        </w:rPr>
        <w:t> </w:t>
      </w:r>
      <w:r>
        <w:rPr>
          <w:color w:val="231F20"/>
        </w:rPr>
        <w:t>cannot</w:t>
      </w:r>
      <w:r>
        <w:rPr>
          <w:color w:val="231F20"/>
          <w:spacing w:val="-1"/>
        </w:rPr>
        <w:t> </w:t>
      </w:r>
      <w:r>
        <w:rPr>
          <w:color w:val="231F20"/>
        </w:rPr>
        <w:t>take</w:t>
      </w:r>
      <w:r>
        <w:rPr>
          <w:color w:val="231F20"/>
          <w:spacing w:val="-1"/>
        </w:rPr>
        <w:t> </w:t>
      </w:r>
      <w:r>
        <w:rPr>
          <w:color w:val="231F20"/>
        </w:rPr>
        <w:t>oral</w:t>
      </w:r>
      <w:r>
        <w:rPr>
          <w:color w:val="231F20"/>
          <w:spacing w:val="-1"/>
        </w:rPr>
        <w:t> </w:t>
      </w:r>
      <w:r>
        <w:rPr>
          <w:color w:val="231F20"/>
        </w:rPr>
        <w:t>supplement;</w:t>
      </w:r>
      <w:r>
        <w:rPr>
          <w:color w:val="231F20"/>
          <w:spacing w:val="-1"/>
        </w:rPr>
        <w:t> </w:t>
      </w:r>
      <w:r>
        <w:rPr>
          <w:color w:val="231F20"/>
        </w:rPr>
        <w:t>if</w:t>
      </w:r>
      <w:r>
        <w:rPr>
          <w:color w:val="231F20"/>
          <w:spacing w:val="40"/>
        </w:rPr>
        <w:t> </w:t>
      </w:r>
      <w:r>
        <w:rPr>
          <w:color w:val="231F20"/>
        </w:rPr>
        <w:t>dehydration occurs.</w:t>
      </w:r>
    </w:p>
    <w:p>
      <w:pPr>
        <w:pStyle w:val="BodyText"/>
        <w:spacing w:line="146" w:lineRule="exact"/>
        <w:ind w:left="855"/>
      </w:pPr>
      <w:r>
        <w:rPr>
          <w:color w:val="231F20"/>
        </w:rPr>
        <w:t>*Give</w:t>
      </w:r>
      <w:r>
        <w:rPr>
          <w:color w:val="231F20"/>
          <w:spacing w:val="3"/>
        </w:rPr>
        <w:t> </w:t>
      </w:r>
      <w:r>
        <w:rPr>
          <w:color w:val="231F20"/>
        </w:rPr>
        <w:t>insulin</w:t>
      </w:r>
      <w:r>
        <w:rPr>
          <w:color w:val="231F20"/>
          <w:spacing w:val="3"/>
        </w:rPr>
        <w:t> </w:t>
      </w:r>
      <w:r>
        <w:rPr>
          <w:color w:val="231F20"/>
        </w:rPr>
        <w:t>based</w:t>
      </w:r>
      <w:r>
        <w:rPr>
          <w:color w:val="231F20"/>
          <w:spacing w:val="3"/>
        </w:rPr>
        <w:t> </w:t>
      </w:r>
      <w:r>
        <w:rPr>
          <w:color w:val="231F20"/>
        </w:rPr>
        <w:t>on</w:t>
      </w:r>
      <w:r>
        <w:rPr>
          <w:color w:val="231F20"/>
          <w:spacing w:val="4"/>
        </w:rPr>
        <w:t> </w:t>
      </w:r>
      <w:r>
        <w:rPr>
          <w:color w:val="231F20"/>
        </w:rPr>
        <w:t>individualized</w:t>
      </w:r>
      <w:r>
        <w:rPr>
          <w:color w:val="231F20"/>
          <w:spacing w:val="3"/>
        </w:rPr>
        <w:t> </w:t>
      </w:r>
      <w:r>
        <w:rPr>
          <w:color w:val="231F20"/>
        </w:rPr>
        <w:t>dosing</w:t>
      </w:r>
      <w:r>
        <w:rPr>
          <w:color w:val="231F20"/>
          <w:spacing w:val="3"/>
        </w:rPr>
        <w:t> </w:t>
      </w:r>
      <w:r>
        <w:rPr>
          <w:color w:val="231F20"/>
        </w:rPr>
        <w:t>schedule.</w:t>
      </w:r>
      <w:r>
        <w:rPr>
          <w:color w:val="231F20"/>
          <w:spacing w:val="4"/>
        </w:rPr>
        <w:t> </w:t>
      </w:r>
      <w:r>
        <w:rPr>
          <w:color w:val="231F20"/>
        </w:rPr>
        <w:t>Also</w:t>
      </w:r>
      <w:r>
        <w:rPr>
          <w:color w:val="231F20"/>
          <w:spacing w:val="3"/>
        </w:rPr>
        <w:t> </w:t>
      </w:r>
      <w:r>
        <w:rPr>
          <w:color w:val="231F20"/>
        </w:rPr>
        <w:t>give</w:t>
      </w:r>
      <w:r>
        <w:rPr>
          <w:color w:val="231F20"/>
          <w:spacing w:val="3"/>
        </w:rPr>
        <w:t> </w:t>
      </w:r>
      <w:r>
        <w:rPr>
          <w:color w:val="231F20"/>
        </w:rPr>
        <w:t>usual</w:t>
      </w:r>
      <w:r>
        <w:rPr>
          <w:color w:val="231F20"/>
          <w:spacing w:val="4"/>
        </w:rPr>
        <w:t> </w:t>
      </w:r>
      <w:r>
        <w:rPr>
          <w:color w:val="231F20"/>
        </w:rPr>
        <w:t>dose</w:t>
      </w:r>
      <w:r>
        <w:rPr>
          <w:color w:val="231F20"/>
          <w:spacing w:val="3"/>
        </w:rPr>
        <w:t> </w:t>
      </w:r>
      <w:r>
        <w:rPr>
          <w:color w:val="231F20"/>
        </w:rPr>
        <w:t>for</w:t>
      </w:r>
      <w:r>
        <w:rPr>
          <w:color w:val="231F20"/>
          <w:spacing w:val="3"/>
        </w:rPr>
        <w:t> </w:t>
      </w:r>
      <w:r>
        <w:rPr>
          <w:color w:val="231F20"/>
        </w:rPr>
        <w:t>carbohydrate</w:t>
      </w:r>
      <w:r>
        <w:rPr>
          <w:color w:val="231F20"/>
          <w:spacing w:val="4"/>
        </w:rPr>
        <w:t> </w:t>
      </w:r>
      <w:r>
        <w:rPr>
          <w:color w:val="231F20"/>
        </w:rPr>
        <w:t>intake</w:t>
      </w:r>
      <w:r>
        <w:rPr>
          <w:color w:val="231F20"/>
          <w:spacing w:val="3"/>
        </w:rPr>
        <w:t> </w:t>
      </w:r>
      <w:r>
        <w:rPr>
          <w:color w:val="231F20"/>
        </w:rPr>
        <w:t>if</w:t>
      </w:r>
      <w:r>
        <w:rPr>
          <w:color w:val="231F20"/>
          <w:spacing w:val="3"/>
        </w:rPr>
        <w:t> </w:t>
      </w:r>
      <w:r>
        <w:rPr>
          <w:color w:val="231F20"/>
        </w:rPr>
        <w:t>glucose</w:t>
      </w:r>
      <w:r>
        <w:rPr>
          <w:color w:val="231F20"/>
          <w:spacing w:val="4"/>
        </w:rPr>
        <w:t> </w:t>
      </w:r>
      <w:r>
        <w:rPr>
          <w:rFonts w:ascii="Cambria"/>
          <w:color w:val="231F20"/>
        </w:rPr>
        <w:t>&gt;</w:t>
      </w:r>
      <w:r>
        <w:rPr>
          <w:color w:val="231F20"/>
        </w:rPr>
        <w:t>150</w:t>
      </w:r>
      <w:r>
        <w:rPr>
          <w:color w:val="231F20"/>
          <w:spacing w:val="3"/>
        </w:rPr>
        <w:t> </w:t>
      </w:r>
      <w:r>
        <w:rPr>
          <w:color w:val="231F20"/>
          <w:spacing w:val="-2"/>
        </w:rPr>
        <w:t>mg/dL.</w:t>
      </w:r>
    </w:p>
    <w:p>
      <w:pPr>
        <w:pStyle w:val="BodyText"/>
        <w:spacing w:line="149" w:lineRule="exact"/>
        <w:ind w:left="855"/>
      </w:pPr>
      <w:r>
        <w:rPr>
          <w:color w:val="231F20"/>
          <w:vertAlign w:val="superscript"/>
        </w:rPr>
        <w:t>†</w:t>
      </w:r>
      <w:r>
        <w:rPr>
          <w:color w:val="231F20"/>
          <w:vertAlign w:val="baseline"/>
        </w:rPr>
        <w:t>For</w:t>
      </w:r>
      <w:r>
        <w:rPr>
          <w:color w:val="231F20"/>
          <w:spacing w:val="-2"/>
          <w:vertAlign w:val="baseline"/>
        </w:rPr>
        <w:t> </w:t>
      </w:r>
      <w:r>
        <w:rPr>
          <w:color w:val="231F20"/>
          <w:vertAlign w:val="baseline"/>
        </w:rPr>
        <w:t>home</w:t>
      </w:r>
      <w:r>
        <w:rPr>
          <w:color w:val="231F20"/>
          <w:spacing w:val="-1"/>
          <w:vertAlign w:val="baseline"/>
        </w:rPr>
        <w:t> </w:t>
      </w:r>
      <w:r>
        <w:rPr>
          <w:color w:val="231F20"/>
          <w:vertAlign w:val="baseline"/>
        </w:rPr>
        <w:t>serum</w:t>
      </w:r>
      <w:r>
        <w:rPr>
          <w:color w:val="231F20"/>
          <w:spacing w:val="-1"/>
          <w:vertAlign w:val="baseline"/>
        </w:rPr>
        <w:t> </w:t>
      </w:r>
      <w:r>
        <w:rPr>
          <w:color w:val="231F20"/>
          <w:vertAlign w:val="baseline"/>
        </w:rPr>
        <w:t>ketones</w:t>
      </w:r>
      <w:r>
        <w:rPr>
          <w:color w:val="231F20"/>
          <w:spacing w:val="-1"/>
          <w:vertAlign w:val="baseline"/>
        </w:rPr>
        <w:t> </w:t>
      </w:r>
      <w:r>
        <w:rPr>
          <w:rFonts w:ascii="Cambria" w:hAnsi="Cambria"/>
          <w:color w:val="231F20"/>
          <w:vertAlign w:val="baseline"/>
        </w:rPr>
        <w:t>&lt;</w:t>
      </w:r>
      <w:r>
        <w:rPr>
          <w:color w:val="231F20"/>
          <w:vertAlign w:val="baseline"/>
        </w:rPr>
        <w:t>1.5</w:t>
      </w:r>
      <w:r>
        <w:rPr>
          <w:color w:val="231F20"/>
          <w:spacing w:val="-1"/>
          <w:vertAlign w:val="baseline"/>
        </w:rPr>
        <w:t> </w:t>
      </w:r>
      <w:r>
        <w:rPr>
          <w:color w:val="231F20"/>
          <w:vertAlign w:val="baseline"/>
        </w:rPr>
        <w:t>mmol/L</w:t>
      </w:r>
      <w:r>
        <w:rPr>
          <w:color w:val="231F20"/>
          <w:spacing w:val="-1"/>
          <w:vertAlign w:val="baseline"/>
        </w:rPr>
        <w:t> </w:t>
      </w:r>
      <w:r>
        <w:rPr>
          <w:color w:val="231F20"/>
          <w:vertAlign w:val="baseline"/>
        </w:rPr>
        <w:t>per</w:t>
      </w:r>
      <w:r>
        <w:rPr>
          <w:color w:val="231F20"/>
          <w:spacing w:val="-1"/>
          <w:vertAlign w:val="baseline"/>
        </w:rPr>
        <w:t> </w:t>
      </w:r>
      <w:r>
        <w:rPr>
          <w:color w:val="231F20"/>
          <w:vertAlign w:val="baseline"/>
        </w:rPr>
        <w:t>commercial</w:t>
      </w:r>
      <w:r>
        <w:rPr>
          <w:color w:val="231F20"/>
          <w:spacing w:val="-1"/>
          <w:vertAlign w:val="baseline"/>
        </w:rPr>
        <w:t> </w:t>
      </w:r>
      <w:r>
        <w:rPr>
          <w:color w:val="231F20"/>
          <w:spacing w:val="-4"/>
          <w:vertAlign w:val="baseline"/>
        </w:rPr>
        <w:t>kit.</w:t>
      </w:r>
    </w:p>
    <w:p>
      <w:pPr>
        <w:pStyle w:val="BodyText"/>
        <w:spacing w:line="151" w:lineRule="exact"/>
        <w:ind w:left="855"/>
      </w:pPr>
      <w:r>
        <w:rPr>
          <w:color w:val="231F20"/>
          <w:vertAlign w:val="superscript"/>
        </w:rPr>
        <w:t>‡</w:t>
      </w:r>
      <w:r>
        <w:rPr>
          <w:color w:val="231F20"/>
          <w:vertAlign w:val="baseline"/>
        </w:rPr>
        <w:t>For</w:t>
      </w:r>
      <w:r>
        <w:rPr>
          <w:color w:val="231F20"/>
          <w:spacing w:val="2"/>
          <w:vertAlign w:val="baseline"/>
        </w:rPr>
        <w:t> </w:t>
      </w:r>
      <w:r>
        <w:rPr>
          <w:color w:val="231F20"/>
          <w:vertAlign w:val="baseline"/>
        </w:rPr>
        <w:t>home</w:t>
      </w:r>
      <w:r>
        <w:rPr>
          <w:color w:val="231F20"/>
          <w:spacing w:val="3"/>
          <w:vertAlign w:val="baseline"/>
        </w:rPr>
        <w:t> </w:t>
      </w:r>
      <w:r>
        <w:rPr>
          <w:color w:val="231F20"/>
          <w:vertAlign w:val="baseline"/>
        </w:rPr>
        <w:t>serum</w:t>
      </w:r>
      <w:r>
        <w:rPr>
          <w:color w:val="231F20"/>
          <w:spacing w:val="3"/>
          <w:vertAlign w:val="baseline"/>
        </w:rPr>
        <w:t> </w:t>
      </w:r>
      <w:r>
        <w:rPr>
          <w:color w:val="231F20"/>
          <w:vertAlign w:val="baseline"/>
        </w:rPr>
        <w:t>ketones</w:t>
      </w:r>
      <w:r>
        <w:rPr>
          <w:color w:val="231F20"/>
          <w:spacing w:val="2"/>
          <w:vertAlign w:val="baseline"/>
        </w:rPr>
        <w:t> </w:t>
      </w:r>
      <w:r>
        <w:rPr>
          <w:rFonts w:ascii="Cambria" w:hAnsi="Cambria"/>
          <w:color w:val="231F20"/>
          <w:vertAlign w:val="baseline"/>
        </w:rPr>
        <w:t>&gt;</w:t>
      </w:r>
      <w:r>
        <w:rPr>
          <w:color w:val="231F20"/>
          <w:vertAlign w:val="baseline"/>
        </w:rPr>
        <w:t>1.5</w:t>
      </w:r>
      <w:r>
        <w:rPr>
          <w:color w:val="231F20"/>
          <w:spacing w:val="3"/>
          <w:vertAlign w:val="baseline"/>
        </w:rPr>
        <w:t> </w:t>
      </w:r>
      <w:r>
        <w:rPr>
          <w:color w:val="231F20"/>
          <w:spacing w:val="-2"/>
          <w:vertAlign w:val="baseline"/>
        </w:rPr>
        <w:t>mmol/L.</w:t>
      </w:r>
    </w:p>
    <w:p>
      <w:pPr>
        <w:pStyle w:val="BodyText"/>
        <w:spacing w:before="52" w:after="1"/>
        <w:rPr>
          <w:sz w:val="20"/>
        </w:rPr>
      </w:pPr>
    </w:p>
    <w:tbl>
      <w:tblPr>
        <w:tblW w:w="0" w:type="auto"/>
        <w:jc w:val="left"/>
        <w:tblInd w:w="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573"/>
        <w:gridCol w:w="1346"/>
        <w:gridCol w:w="1208"/>
        <w:gridCol w:w="1206"/>
        <w:gridCol w:w="1117"/>
        <w:gridCol w:w="1604"/>
        <w:gridCol w:w="1463"/>
      </w:tblGrid>
      <w:tr>
        <w:trPr>
          <w:trHeight w:val="373"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14</w:t>
            </w:r>
          </w:p>
        </w:tc>
        <w:tc>
          <w:tcPr>
            <w:tcW w:w="8517" w:type="dxa"/>
            <w:gridSpan w:val="7"/>
            <w:tcBorders>
              <w:left w:val="single" w:sz="8" w:space="0" w:color="FFFFFF"/>
            </w:tcBorders>
            <w:shd w:val="clear" w:color="auto" w:fill="231F20"/>
          </w:tcPr>
          <w:p>
            <w:pPr>
              <w:pStyle w:val="TableParagraph"/>
              <w:spacing w:before="89"/>
              <w:ind w:left="74"/>
              <w:rPr>
                <w:sz w:val="16"/>
              </w:rPr>
            </w:pPr>
            <w:r>
              <w:rPr>
                <w:color w:val="FFFFFF"/>
                <w:sz w:val="16"/>
              </w:rPr>
              <w:t>Oral</w:t>
            </w:r>
            <w:r>
              <w:rPr>
                <w:color w:val="FFFFFF"/>
                <w:spacing w:val="53"/>
                <w:sz w:val="16"/>
              </w:rPr>
              <w:t> </w:t>
            </w:r>
            <w:r>
              <w:rPr>
                <w:color w:val="FFFFFF"/>
                <w:sz w:val="16"/>
              </w:rPr>
              <w:t>Hypoglycemic</w:t>
            </w:r>
            <w:r>
              <w:rPr>
                <w:color w:val="FFFFFF"/>
                <w:spacing w:val="54"/>
                <w:sz w:val="16"/>
              </w:rPr>
              <w:t> </w:t>
            </w:r>
            <w:r>
              <w:rPr>
                <w:color w:val="FFFFFF"/>
                <w:spacing w:val="-2"/>
                <w:sz w:val="16"/>
              </w:rPr>
              <w:t>Agents</w:t>
            </w:r>
          </w:p>
        </w:tc>
      </w:tr>
      <w:tr>
        <w:trPr>
          <w:trHeight w:val="593" w:hRule="atLeast"/>
        </w:trPr>
        <w:tc>
          <w:tcPr>
            <w:tcW w:w="1795" w:type="dxa"/>
            <w:gridSpan w:val="2"/>
            <w:tcBorders>
              <w:bottom w:val="single" w:sz="4" w:space="0" w:color="231F20"/>
            </w:tcBorders>
            <w:shd w:val="clear" w:color="auto" w:fill="E8F5F1"/>
          </w:tcPr>
          <w:p>
            <w:pPr>
              <w:pStyle w:val="TableParagraph"/>
              <w:rPr>
                <w:sz w:val="15"/>
              </w:rPr>
            </w:pPr>
          </w:p>
          <w:p>
            <w:pPr>
              <w:pStyle w:val="TableParagraph"/>
              <w:spacing w:before="34"/>
              <w:rPr>
                <w:sz w:val="15"/>
              </w:rPr>
            </w:pPr>
          </w:p>
          <w:p>
            <w:pPr>
              <w:pStyle w:val="TableParagraph"/>
              <w:ind w:left="74"/>
              <w:rPr>
                <w:b/>
                <w:sz w:val="15"/>
              </w:rPr>
            </w:pPr>
            <w:r>
              <w:rPr>
                <w:b/>
                <w:color w:val="231F20"/>
                <w:spacing w:val="-4"/>
                <w:w w:val="110"/>
                <w:sz w:val="15"/>
              </w:rPr>
              <w:t>DRUG</w:t>
            </w:r>
          </w:p>
        </w:tc>
        <w:tc>
          <w:tcPr>
            <w:tcW w:w="1346" w:type="dxa"/>
            <w:tcBorders>
              <w:bottom w:val="single" w:sz="4" w:space="0" w:color="231F20"/>
            </w:tcBorders>
            <w:shd w:val="clear" w:color="auto" w:fill="E8F5F1"/>
          </w:tcPr>
          <w:p>
            <w:pPr>
              <w:pStyle w:val="TableParagraph"/>
              <w:spacing w:before="46"/>
              <w:rPr>
                <w:sz w:val="15"/>
              </w:rPr>
            </w:pPr>
          </w:p>
          <w:p>
            <w:pPr>
              <w:pStyle w:val="TableParagraph"/>
              <w:spacing w:line="230" w:lineRule="auto"/>
              <w:ind w:left="247" w:right="25" w:hanging="50"/>
              <w:rPr>
                <w:b/>
                <w:sz w:val="15"/>
              </w:rPr>
            </w:pPr>
            <w:r>
              <w:rPr>
                <w:b/>
                <w:color w:val="231F20"/>
                <w:spacing w:val="-2"/>
                <w:w w:val="115"/>
                <w:sz w:val="15"/>
              </w:rPr>
              <w:t>MECHANISM </w:t>
            </w:r>
            <w:r>
              <w:rPr>
                <w:b/>
                <w:color w:val="231F20"/>
                <w:w w:val="115"/>
                <w:sz w:val="15"/>
              </w:rPr>
              <w:t>OF</w:t>
            </w:r>
            <w:r>
              <w:rPr>
                <w:b/>
                <w:color w:val="231F20"/>
                <w:spacing w:val="-12"/>
                <w:w w:val="115"/>
                <w:sz w:val="15"/>
              </w:rPr>
              <w:t> </w:t>
            </w:r>
            <w:r>
              <w:rPr>
                <w:b/>
                <w:color w:val="231F20"/>
                <w:w w:val="115"/>
                <w:sz w:val="15"/>
              </w:rPr>
              <w:t>ACTION</w:t>
            </w:r>
          </w:p>
        </w:tc>
        <w:tc>
          <w:tcPr>
            <w:tcW w:w="1208" w:type="dxa"/>
            <w:tcBorders>
              <w:bottom w:val="single" w:sz="4" w:space="0" w:color="231F20"/>
            </w:tcBorders>
            <w:shd w:val="clear" w:color="auto" w:fill="E8F5F1"/>
          </w:tcPr>
          <w:p>
            <w:pPr>
              <w:pStyle w:val="TableParagraph"/>
              <w:spacing w:line="230" w:lineRule="auto" w:before="53"/>
              <w:ind w:left="104" w:right="103"/>
              <w:jc w:val="center"/>
              <w:rPr>
                <w:b/>
                <w:sz w:val="15"/>
              </w:rPr>
            </w:pPr>
            <w:r>
              <w:rPr>
                <w:b/>
                <w:color w:val="231F20"/>
                <w:spacing w:val="-2"/>
                <w:w w:val="105"/>
                <w:sz w:val="15"/>
              </w:rPr>
              <w:t>DURATION</w:t>
            </w:r>
            <w:r>
              <w:rPr>
                <w:b/>
                <w:color w:val="231F20"/>
                <w:spacing w:val="80"/>
                <w:w w:val="105"/>
                <w:sz w:val="15"/>
              </w:rPr>
              <w:t> </w:t>
            </w:r>
            <w:r>
              <w:rPr>
                <w:b/>
                <w:color w:val="231F20"/>
                <w:w w:val="105"/>
                <w:sz w:val="15"/>
              </w:rPr>
              <w:t>OF </w:t>
            </w:r>
            <w:r>
              <w:rPr>
                <w:b/>
                <w:color w:val="231F20"/>
                <w:w w:val="105"/>
                <w:sz w:val="15"/>
              </w:rPr>
              <w:t>BIOLOGIC EFFECT (hr)</w:t>
            </w:r>
          </w:p>
        </w:tc>
        <w:tc>
          <w:tcPr>
            <w:tcW w:w="1206" w:type="dxa"/>
            <w:tcBorders>
              <w:bottom w:val="single" w:sz="4" w:space="0" w:color="231F20"/>
            </w:tcBorders>
            <w:shd w:val="clear" w:color="auto" w:fill="E8F5F1"/>
          </w:tcPr>
          <w:p>
            <w:pPr>
              <w:pStyle w:val="TableParagraph"/>
              <w:spacing w:before="46"/>
              <w:rPr>
                <w:sz w:val="15"/>
              </w:rPr>
            </w:pPr>
          </w:p>
          <w:p>
            <w:pPr>
              <w:pStyle w:val="TableParagraph"/>
              <w:spacing w:line="230" w:lineRule="auto"/>
              <w:ind w:left="211" w:hanging="104"/>
              <w:rPr>
                <w:b/>
                <w:sz w:val="15"/>
              </w:rPr>
            </w:pPr>
            <w:r>
              <w:rPr>
                <w:b/>
                <w:color w:val="231F20"/>
                <w:spacing w:val="-2"/>
                <w:w w:val="110"/>
                <w:sz w:val="15"/>
              </w:rPr>
              <w:t>USUAL</w:t>
            </w:r>
            <w:r>
              <w:rPr>
                <w:b/>
                <w:color w:val="231F20"/>
                <w:spacing w:val="-11"/>
                <w:w w:val="110"/>
                <w:sz w:val="15"/>
              </w:rPr>
              <w:t> </w:t>
            </w:r>
            <w:r>
              <w:rPr>
                <w:b/>
                <w:color w:val="231F20"/>
                <w:spacing w:val="-2"/>
                <w:w w:val="110"/>
                <w:sz w:val="15"/>
              </w:rPr>
              <w:t>DAILY </w:t>
            </w:r>
            <w:r>
              <w:rPr>
                <w:b/>
                <w:color w:val="231F20"/>
                <w:w w:val="110"/>
                <w:sz w:val="15"/>
              </w:rPr>
              <w:t>DOSE (mg)</w:t>
            </w:r>
          </w:p>
        </w:tc>
        <w:tc>
          <w:tcPr>
            <w:tcW w:w="1117" w:type="dxa"/>
            <w:tcBorders>
              <w:bottom w:val="single" w:sz="4" w:space="0" w:color="231F20"/>
            </w:tcBorders>
            <w:shd w:val="clear" w:color="auto" w:fill="E8F5F1"/>
          </w:tcPr>
          <w:p>
            <w:pPr>
              <w:pStyle w:val="TableParagraph"/>
              <w:rPr>
                <w:sz w:val="15"/>
              </w:rPr>
            </w:pPr>
          </w:p>
          <w:p>
            <w:pPr>
              <w:pStyle w:val="TableParagraph"/>
              <w:spacing w:before="34"/>
              <w:rPr>
                <w:sz w:val="15"/>
              </w:rPr>
            </w:pPr>
          </w:p>
          <w:p>
            <w:pPr>
              <w:pStyle w:val="TableParagraph"/>
              <w:ind w:left="120"/>
              <w:rPr>
                <w:b/>
                <w:sz w:val="15"/>
              </w:rPr>
            </w:pPr>
            <w:r>
              <w:rPr>
                <w:b/>
                <w:color w:val="231F20"/>
                <w:spacing w:val="-2"/>
                <w:w w:val="115"/>
                <w:sz w:val="15"/>
              </w:rPr>
              <w:t>DOSES/DAY</w:t>
            </w:r>
          </w:p>
        </w:tc>
        <w:tc>
          <w:tcPr>
            <w:tcW w:w="1604" w:type="dxa"/>
            <w:tcBorders>
              <w:bottom w:val="single" w:sz="4" w:space="0" w:color="231F20"/>
            </w:tcBorders>
            <w:shd w:val="clear" w:color="auto" w:fill="E8F5F1"/>
          </w:tcPr>
          <w:p>
            <w:pPr>
              <w:pStyle w:val="TableParagraph"/>
              <w:rPr>
                <w:sz w:val="15"/>
              </w:rPr>
            </w:pPr>
          </w:p>
          <w:p>
            <w:pPr>
              <w:pStyle w:val="TableParagraph"/>
              <w:spacing w:before="34"/>
              <w:rPr>
                <w:sz w:val="15"/>
              </w:rPr>
            </w:pPr>
          </w:p>
          <w:p>
            <w:pPr>
              <w:pStyle w:val="TableParagraph"/>
              <w:ind w:left="290"/>
              <w:rPr>
                <w:b/>
                <w:sz w:val="15"/>
              </w:rPr>
            </w:pPr>
            <w:r>
              <w:rPr>
                <w:b/>
                <w:color w:val="231F20"/>
                <w:w w:val="110"/>
                <w:sz w:val="15"/>
              </w:rPr>
              <w:t>SIDE</w:t>
            </w:r>
            <w:r>
              <w:rPr>
                <w:b/>
                <w:color w:val="231F20"/>
                <w:spacing w:val="8"/>
                <w:w w:val="110"/>
                <w:sz w:val="15"/>
              </w:rPr>
              <w:t> </w:t>
            </w:r>
            <w:r>
              <w:rPr>
                <w:b/>
                <w:color w:val="231F20"/>
                <w:spacing w:val="-2"/>
                <w:w w:val="110"/>
                <w:sz w:val="15"/>
              </w:rPr>
              <w:t>EFFECTS</w:t>
            </w:r>
          </w:p>
        </w:tc>
        <w:tc>
          <w:tcPr>
            <w:tcW w:w="1463" w:type="dxa"/>
            <w:tcBorders>
              <w:bottom w:val="single" w:sz="4" w:space="0" w:color="231F20"/>
            </w:tcBorders>
            <w:shd w:val="clear" w:color="auto" w:fill="E8F5F1"/>
          </w:tcPr>
          <w:p>
            <w:pPr>
              <w:pStyle w:val="TableParagraph"/>
              <w:rPr>
                <w:sz w:val="15"/>
              </w:rPr>
            </w:pPr>
          </w:p>
          <w:p>
            <w:pPr>
              <w:pStyle w:val="TableParagraph"/>
              <w:spacing w:before="34"/>
              <w:rPr>
                <w:sz w:val="15"/>
              </w:rPr>
            </w:pPr>
          </w:p>
          <w:p>
            <w:pPr>
              <w:pStyle w:val="TableParagraph"/>
              <w:ind w:left="396"/>
              <w:rPr>
                <w:b/>
                <w:sz w:val="15"/>
              </w:rPr>
            </w:pPr>
            <w:r>
              <w:rPr>
                <w:b/>
                <w:color w:val="231F20"/>
                <w:spacing w:val="-2"/>
                <w:w w:val="110"/>
                <w:sz w:val="15"/>
              </w:rPr>
              <w:t>CAUTION</w:t>
            </w:r>
          </w:p>
        </w:tc>
      </w:tr>
      <w:tr>
        <w:trPr>
          <w:trHeight w:val="762" w:hRule="atLeast"/>
        </w:trPr>
        <w:tc>
          <w:tcPr>
            <w:tcW w:w="1795"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w w:val="105"/>
                <w:sz w:val="15"/>
              </w:rPr>
              <w:t>Biguanide</w:t>
            </w:r>
          </w:p>
          <w:p>
            <w:pPr>
              <w:pStyle w:val="TableParagraph"/>
              <w:spacing w:before="156"/>
              <w:rPr>
                <w:sz w:val="15"/>
              </w:rPr>
            </w:pPr>
          </w:p>
          <w:p>
            <w:pPr>
              <w:pStyle w:val="TableParagraph"/>
              <w:spacing w:before="1"/>
              <w:ind w:left="223"/>
              <w:rPr>
                <w:sz w:val="15"/>
              </w:rPr>
            </w:pPr>
            <w:r>
              <w:rPr>
                <w:color w:val="231F20"/>
                <w:spacing w:val="-2"/>
                <w:sz w:val="15"/>
              </w:rPr>
              <w:t>Metformin</w:t>
            </w:r>
          </w:p>
        </w:tc>
        <w:tc>
          <w:tcPr>
            <w:tcW w:w="1346" w:type="dxa"/>
            <w:tcBorders>
              <w:top w:val="single" w:sz="4" w:space="0" w:color="231F20"/>
              <w:bottom w:val="single" w:sz="4" w:space="0" w:color="FFFFFF"/>
            </w:tcBorders>
            <w:shd w:val="clear" w:color="auto" w:fill="E8F5F1"/>
          </w:tcPr>
          <w:p>
            <w:pPr>
              <w:pStyle w:val="TableParagraph"/>
              <w:spacing w:before="47"/>
              <w:ind w:left="105"/>
              <w:rPr>
                <w:sz w:val="15"/>
              </w:rPr>
            </w:pPr>
            <w:r>
              <w:rPr>
                <w:color w:val="231F20"/>
                <w:spacing w:val="-2"/>
                <w:sz w:val="15"/>
              </w:rPr>
              <w:t>Insulin</w:t>
            </w:r>
            <w:r>
              <w:rPr>
                <w:color w:val="231F20"/>
                <w:spacing w:val="1"/>
                <w:sz w:val="15"/>
              </w:rPr>
              <w:t> </w:t>
            </w:r>
            <w:r>
              <w:rPr>
                <w:color w:val="231F20"/>
                <w:spacing w:val="-2"/>
                <w:sz w:val="15"/>
              </w:rPr>
              <w:t>sensitizer</w:t>
            </w:r>
          </w:p>
        </w:tc>
        <w:tc>
          <w:tcPr>
            <w:tcW w:w="1208" w:type="dxa"/>
            <w:tcBorders>
              <w:top w:val="single" w:sz="4" w:space="0" w:color="231F20"/>
              <w:bottom w:val="single" w:sz="4" w:space="0" w:color="FFFFFF"/>
            </w:tcBorders>
            <w:shd w:val="clear" w:color="auto" w:fill="E8F5F1"/>
          </w:tcPr>
          <w:p>
            <w:pPr>
              <w:pStyle w:val="TableParagraph"/>
              <w:rPr>
                <w:rFonts w:ascii="Times New Roman"/>
                <w:sz w:val="14"/>
              </w:rPr>
            </w:pPr>
          </w:p>
        </w:tc>
        <w:tc>
          <w:tcPr>
            <w:tcW w:w="1206" w:type="dxa"/>
            <w:tcBorders>
              <w:top w:val="single" w:sz="4" w:space="0" w:color="231F20"/>
              <w:bottom w:val="single" w:sz="4" w:space="0" w:color="FFFFFF"/>
            </w:tcBorders>
            <w:shd w:val="clear" w:color="auto" w:fill="E8F5F1"/>
          </w:tcPr>
          <w:p>
            <w:pPr>
              <w:pStyle w:val="TableParagraph"/>
              <w:rPr>
                <w:sz w:val="15"/>
              </w:rPr>
            </w:pPr>
          </w:p>
          <w:p>
            <w:pPr>
              <w:pStyle w:val="TableParagraph"/>
              <w:rPr>
                <w:sz w:val="15"/>
              </w:rPr>
            </w:pPr>
          </w:p>
          <w:p>
            <w:pPr>
              <w:pStyle w:val="TableParagraph"/>
              <w:spacing w:before="29"/>
              <w:rPr>
                <w:sz w:val="15"/>
              </w:rPr>
            </w:pPr>
          </w:p>
          <w:p>
            <w:pPr>
              <w:pStyle w:val="TableParagraph"/>
              <w:ind w:left="4"/>
              <w:jc w:val="center"/>
              <w:rPr>
                <w:sz w:val="15"/>
              </w:rPr>
            </w:pPr>
            <w:r>
              <w:rPr>
                <w:color w:val="231F20"/>
                <w:spacing w:val="-2"/>
                <w:sz w:val="15"/>
              </w:rPr>
              <w:t>1500-</w:t>
            </w:r>
            <w:r>
              <w:rPr>
                <w:color w:val="231F20"/>
                <w:spacing w:val="-4"/>
                <w:sz w:val="15"/>
              </w:rPr>
              <w:t>2500</w:t>
            </w:r>
          </w:p>
        </w:tc>
        <w:tc>
          <w:tcPr>
            <w:tcW w:w="1117" w:type="dxa"/>
            <w:tcBorders>
              <w:top w:val="single" w:sz="4" w:space="0" w:color="231F20"/>
              <w:bottom w:val="single" w:sz="4" w:space="0" w:color="FFFFFF"/>
            </w:tcBorders>
            <w:shd w:val="clear" w:color="auto" w:fill="E8F5F1"/>
          </w:tcPr>
          <w:p>
            <w:pPr>
              <w:pStyle w:val="TableParagraph"/>
              <w:rPr>
                <w:sz w:val="15"/>
              </w:rPr>
            </w:pPr>
          </w:p>
          <w:p>
            <w:pPr>
              <w:pStyle w:val="TableParagraph"/>
              <w:rPr>
                <w:sz w:val="15"/>
              </w:rPr>
            </w:pPr>
          </w:p>
          <w:p>
            <w:pPr>
              <w:pStyle w:val="TableParagraph"/>
              <w:spacing w:before="29"/>
              <w:rPr>
                <w:sz w:val="15"/>
              </w:rPr>
            </w:pPr>
          </w:p>
          <w:p>
            <w:pPr>
              <w:pStyle w:val="TableParagraph"/>
              <w:ind w:left="105"/>
              <w:rPr>
                <w:sz w:val="15"/>
              </w:rPr>
            </w:pPr>
            <w:r>
              <w:rPr>
                <w:color w:val="231F20"/>
                <w:spacing w:val="-4"/>
                <w:sz w:val="15"/>
              </w:rPr>
              <w:t>2-</w:t>
            </w:r>
            <w:r>
              <w:rPr>
                <w:color w:val="231F20"/>
                <w:spacing w:val="-10"/>
                <w:sz w:val="15"/>
              </w:rPr>
              <w:t>3</w:t>
            </w:r>
          </w:p>
        </w:tc>
        <w:tc>
          <w:tcPr>
            <w:tcW w:w="1604" w:type="dxa"/>
            <w:tcBorders>
              <w:top w:val="single" w:sz="4" w:space="0" w:color="231F20"/>
              <w:bottom w:val="single" w:sz="4" w:space="0" w:color="FFFFFF"/>
            </w:tcBorders>
            <w:shd w:val="clear" w:color="auto" w:fill="E8F5F1"/>
          </w:tcPr>
          <w:p>
            <w:pPr>
              <w:pStyle w:val="TableParagraph"/>
              <w:spacing w:line="230" w:lineRule="auto" w:before="52"/>
              <w:ind w:left="216" w:hanging="112"/>
              <w:rPr>
                <w:sz w:val="15"/>
              </w:rPr>
            </w:pPr>
            <w:r>
              <w:rPr>
                <w:color w:val="231F20"/>
                <w:spacing w:val="-2"/>
                <w:sz w:val="15"/>
              </w:rPr>
              <w:t>Gastrointestinal </w:t>
            </w:r>
            <w:r>
              <w:rPr>
                <w:color w:val="231F20"/>
                <w:spacing w:val="-4"/>
                <w:sz w:val="15"/>
              </w:rPr>
              <w:t>disturbance,</w:t>
            </w:r>
            <w:r>
              <w:rPr>
                <w:color w:val="231F20"/>
                <w:spacing w:val="-8"/>
                <w:sz w:val="15"/>
              </w:rPr>
              <w:t> </w:t>
            </w:r>
            <w:r>
              <w:rPr>
                <w:color w:val="231F20"/>
                <w:spacing w:val="-4"/>
                <w:sz w:val="15"/>
              </w:rPr>
              <w:t>lactic </w:t>
            </w:r>
            <w:r>
              <w:rPr>
                <w:color w:val="231F20"/>
                <w:spacing w:val="-2"/>
                <w:sz w:val="15"/>
              </w:rPr>
              <w:t>acidosis</w:t>
            </w:r>
          </w:p>
        </w:tc>
        <w:tc>
          <w:tcPr>
            <w:tcW w:w="1463" w:type="dxa"/>
            <w:tcBorders>
              <w:top w:val="single" w:sz="4" w:space="0" w:color="231F20"/>
              <w:bottom w:val="single" w:sz="4" w:space="0" w:color="FFFFFF"/>
            </w:tcBorders>
            <w:shd w:val="clear" w:color="auto" w:fill="E8F5F1"/>
          </w:tcPr>
          <w:p>
            <w:pPr>
              <w:pStyle w:val="TableParagraph"/>
              <w:spacing w:line="230" w:lineRule="auto" w:before="52"/>
              <w:ind w:left="214" w:hanging="112"/>
              <w:rPr>
                <w:sz w:val="15"/>
              </w:rPr>
            </w:pPr>
            <w:r>
              <w:rPr>
                <w:color w:val="231F20"/>
                <w:sz w:val="15"/>
              </w:rPr>
              <w:t>Avoid</w:t>
            </w:r>
            <w:r>
              <w:rPr>
                <w:color w:val="231F20"/>
                <w:spacing w:val="-11"/>
                <w:sz w:val="15"/>
              </w:rPr>
              <w:t> </w:t>
            </w:r>
            <w:r>
              <w:rPr>
                <w:color w:val="231F20"/>
                <w:sz w:val="15"/>
              </w:rPr>
              <w:t>in</w:t>
            </w:r>
            <w:r>
              <w:rPr>
                <w:color w:val="231F20"/>
                <w:spacing w:val="-11"/>
                <w:sz w:val="15"/>
              </w:rPr>
              <w:t> </w:t>
            </w:r>
            <w:r>
              <w:rPr>
                <w:color w:val="231F20"/>
                <w:sz w:val="15"/>
              </w:rPr>
              <w:t>hepatic</w:t>
            </w:r>
            <w:r>
              <w:rPr>
                <w:color w:val="231F20"/>
                <w:spacing w:val="-11"/>
                <w:sz w:val="15"/>
              </w:rPr>
              <w:t> </w:t>
            </w:r>
            <w:r>
              <w:rPr>
                <w:color w:val="231F20"/>
                <w:sz w:val="15"/>
              </w:rPr>
              <w:t>or </w:t>
            </w:r>
            <w:r>
              <w:rPr>
                <w:color w:val="231F20"/>
                <w:spacing w:val="-2"/>
                <w:sz w:val="15"/>
              </w:rPr>
              <w:t>renal</w:t>
            </w:r>
            <w:r>
              <w:rPr>
                <w:color w:val="231F20"/>
                <w:spacing w:val="-7"/>
                <w:sz w:val="15"/>
              </w:rPr>
              <w:t> </w:t>
            </w:r>
            <w:r>
              <w:rPr>
                <w:color w:val="231F20"/>
                <w:spacing w:val="-2"/>
                <w:sz w:val="15"/>
              </w:rPr>
              <w:t>impairment</w:t>
            </w:r>
          </w:p>
        </w:tc>
      </w:tr>
      <w:tr>
        <w:trPr>
          <w:trHeight w:val="211" w:hRule="atLeast"/>
        </w:trPr>
        <w:tc>
          <w:tcPr>
            <w:tcW w:w="1795" w:type="dxa"/>
            <w:gridSpan w:val="2"/>
            <w:tcBorders>
              <w:top w:val="single" w:sz="4" w:space="0" w:color="FFFFFF"/>
            </w:tcBorders>
            <w:shd w:val="clear" w:color="auto" w:fill="E8F5F1"/>
          </w:tcPr>
          <w:p>
            <w:pPr>
              <w:pStyle w:val="TableParagraph"/>
              <w:spacing w:line="149" w:lineRule="exact" w:before="42"/>
              <w:ind w:left="74"/>
              <w:rPr>
                <w:sz w:val="15"/>
              </w:rPr>
            </w:pPr>
            <w:r>
              <w:rPr>
                <w:color w:val="231F20"/>
                <w:spacing w:val="-2"/>
                <w:sz w:val="15"/>
              </w:rPr>
              <w:t>Sulfonylureas</w:t>
            </w:r>
          </w:p>
        </w:tc>
        <w:tc>
          <w:tcPr>
            <w:tcW w:w="1346"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208" w:type="dxa"/>
            <w:tcBorders>
              <w:top w:val="single" w:sz="4" w:space="0" w:color="FFFFFF"/>
            </w:tcBorders>
            <w:shd w:val="clear" w:color="auto" w:fill="E8F5F1"/>
          </w:tcPr>
          <w:p>
            <w:pPr>
              <w:pStyle w:val="TableParagraph"/>
              <w:rPr>
                <w:rFonts w:ascii="Times New Roman"/>
                <w:sz w:val="14"/>
              </w:rPr>
            </w:pPr>
          </w:p>
        </w:tc>
        <w:tc>
          <w:tcPr>
            <w:tcW w:w="1206" w:type="dxa"/>
            <w:tcBorders>
              <w:top w:val="single" w:sz="4" w:space="0" w:color="FFFFFF"/>
            </w:tcBorders>
            <w:shd w:val="clear" w:color="auto" w:fill="E8F5F1"/>
          </w:tcPr>
          <w:p>
            <w:pPr>
              <w:pStyle w:val="TableParagraph"/>
              <w:rPr>
                <w:rFonts w:ascii="Times New Roman"/>
                <w:sz w:val="14"/>
              </w:rPr>
            </w:pPr>
          </w:p>
        </w:tc>
        <w:tc>
          <w:tcPr>
            <w:tcW w:w="1117" w:type="dxa"/>
            <w:tcBorders>
              <w:top w:val="single" w:sz="4" w:space="0" w:color="FFFFFF"/>
            </w:tcBorders>
            <w:shd w:val="clear" w:color="auto" w:fill="E8F5F1"/>
          </w:tcPr>
          <w:p>
            <w:pPr>
              <w:pStyle w:val="TableParagraph"/>
              <w:rPr>
                <w:rFonts w:ascii="Times New Roman"/>
                <w:sz w:val="14"/>
              </w:rPr>
            </w:pPr>
          </w:p>
        </w:tc>
        <w:tc>
          <w:tcPr>
            <w:tcW w:w="1604"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463"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158" w:hRule="atLeast"/>
        </w:trPr>
        <w:tc>
          <w:tcPr>
            <w:tcW w:w="1795" w:type="dxa"/>
            <w:gridSpan w:val="2"/>
            <w:shd w:val="clear" w:color="auto" w:fill="E8F5F1"/>
          </w:tcPr>
          <w:p>
            <w:pPr>
              <w:pStyle w:val="TableParagraph"/>
              <w:spacing w:line="138" w:lineRule="exact"/>
              <w:ind w:left="223"/>
              <w:rPr>
                <w:sz w:val="15"/>
              </w:rPr>
            </w:pPr>
            <w:r>
              <w:rPr>
                <w:color w:val="231F20"/>
                <w:sz w:val="15"/>
              </w:rPr>
              <w:t>1st</w:t>
            </w:r>
            <w:r>
              <w:rPr>
                <w:color w:val="231F20"/>
                <w:spacing w:val="-7"/>
                <w:sz w:val="15"/>
              </w:rPr>
              <w:t> </w:t>
            </w:r>
            <w:r>
              <w:rPr>
                <w:color w:val="231F20"/>
                <w:spacing w:val="-2"/>
                <w:sz w:val="15"/>
              </w:rPr>
              <w:t>generation</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rPr>
                <w:rFonts w:ascii="Times New Roman"/>
                <w:sz w:val="10"/>
              </w:rPr>
            </w:pPr>
          </w:p>
        </w:tc>
        <w:tc>
          <w:tcPr>
            <w:tcW w:w="1206" w:type="dxa"/>
            <w:shd w:val="clear" w:color="auto" w:fill="E8F5F1"/>
          </w:tcPr>
          <w:p>
            <w:pPr>
              <w:pStyle w:val="TableParagraph"/>
              <w:rPr>
                <w:rFonts w:ascii="Times New Roman"/>
                <w:sz w:val="10"/>
              </w:rPr>
            </w:pPr>
          </w:p>
        </w:tc>
        <w:tc>
          <w:tcPr>
            <w:tcW w:w="1117" w:type="dxa"/>
            <w:shd w:val="clear" w:color="auto" w:fill="E8F5F1"/>
          </w:tcPr>
          <w:p>
            <w:pPr>
              <w:pStyle w:val="TableParagraph"/>
              <w:rPr>
                <w:rFonts w:ascii="Times New Roman"/>
                <w:sz w:val="10"/>
              </w:rPr>
            </w:pP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60" w:hRule="atLeast"/>
        </w:trPr>
        <w:tc>
          <w:tcPr>
            <w:tcW w:w="1795" w:type="dxa"/>
            <w:gridSpan w:val="2"/>
            <w:shd w:val="clear" w:color="auto" w:fill="E8F5F1"/>
          </w:tcPr>
          <w:p>
            <w:pPr>
              <w:pStyle w:val="TableParagraph"/>
              <w:spacing w:line="141" w:lineRule="exact"/>
              <w:ind w:left="373"/>
              <w:rPr>
                <w:sz w:val="15"/>
              </w:rPr>
            </w:pPr>
            <w:r>
              <w:rPr>
                <w:color w:val="231F20"/>
                <w:spacing w:val="-2"/>
                <w:sz w:val="15"/>
              </w:rPr>
              <w:t>Acetohexamide</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spacing w:line="141" w:lineRule="exact"/>
              <w:ind w:left="1" w:right="1"/>
              <w:jc w:val="center"/>
              <w:rPr>
                <w:sz w:val="15"/>
              </w:rPr>
            </w:pPr>
            <w:r>
              <w:rPr>
                <w:color w:val="231F20"/>
                <w:spacing w:val="-4"/>
                <w:sz w:val="15"/>
              </w:rPr>
              <w:t>12-</w:t>
            </w:r>
            <w:r>
              <w:rPr>
                <w:color w:val="231F20"/>
                <w:spacing w:val="-5"/>
                <w:sz w:val="15"/>
              </w:rPr>
              <w:t>18</w:t>
            </w:r>
          </w:p>
        </w:tc>
        <w:tc>
          <w:tcPr>
            <w:tcW w:w="1206" w:type="dxa"/>
            <w:shd w:val="clear" w:color="auto" w:fill="E8F5F1"/>
          </w:tcPr>
          <w:p>
            <w:pPr>
              <w:pStyle w:val="TableParagraph"/>
              <w:spacing w:line="141" w:lineRule="exact"/>
              <w:ind w:left="4"/>
              <w:jc w:val="center"/>
              <w:rPr>
                <w:sz w:val="15"/>
              </w:rPr>
            </w:pPr>
            <w:r>
              <w:rPr>
                <w:color w:val="231F20"/>
                <w:spacing w:val="-4"/>
                <w:sz w:val="15"/>
              </w:rPr>
              <w:t>500-</w:t>
            </w:r>
            <w:r>
              <w:rPr>
                <w:color w:val="231F20"/>
                <w:spacing w:val="-5"/>
                <w:sz w:val="15"/>
              </w:rPr>
              <w:t>750</w:t>
            </w:r>
          </w:p>
        </w:tc>
        <w:tc>
          <w:tcPr>
            <w:tcW w:w="1117" w:type="dxa"/>
            <w:shd w:val="clear" w:color="auto" w:fill="E8F5F1"/>
          </w:tcPr>
          <w:p>
            <w:pPr>
              <w:pStyle w:val="TableParagraph"/>
              <w:spacing w:line="141" w:lineRule="exact"/>
              <w:ind w:left="105"/>
              <w:rPr>
                <w:sz w:val="15"/>
              </w:rPr>
            </w:pPr>
            <w:r>
              <w:rPr>
                <w:color w:val="231F20"/>
                <w:sz w:val="15"/>
              </w:rPr>
              <w:t>1</w:t>
            </w:r>
            <w:r>
              <w:rPr>
                <w:color w:val="231F20"/>
                <w:spacing w:val="-1"/>
                <w:sz w:val="15"/>
              </w:rPr>
              <w:t> </w:t>
            </w:r>
            <w:r>
              <w:rPr>
                <w:color w:val="231F20"/>
                <w:sz w:val="15"/>
              </w:rPr>
              <w:t>or </w:t>
            </w:r>
            <w:r>
              <w:rPr>
                <w:color w:val="231F20"/>
                <w:spacing w:val="-2"/>
                <w:sz w:val="15"/>
              </w:rPr>
              <w:t>divided</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59" w:hRule="atLeast"/>
        </w:trPr>
        <w:tc>
          <w:tcPr>
            <w:tcW w:w="1795" w:type="dxa"/>
            <w:gridSpan w:val="2"/>
            <w:shd w:val="clear" w:color="auto" w:fill="E8F5F1"/>
          </w:tcPr>
          <w:p>
            <w:pPr>
              <w:pStyle w:val="TableParagraph"/>
              <w:spacing w:line="139" w:lineRule="exact"/>
              <w:ind w:left="373"/>
              <w:rPr>
                <w:sz w:val="15"/>
              </w:rPr>
            </w:pPr>
            <w:r>
              <w:rPr>
                <w:color w:val="231F20"/>
                <w:spacing w:val="-2"/>
                <w:sz w:val="15"/>
              </w:rPr>
              <w:t>Chlorpropamide</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spacing w:line="139" w:lineRule="exact"/>
              <w:ind w:left="1" w:right="1"/>
              <w:jc w:val="center"/>
              <w:rPr>
                <w:sz w:val="15"/>
              </w:rPr>
            </w:pPr>
            <w:r>
              <w:rPr>
                <w:color w:val="231F20"/>
                <w:spacing w:val="-4"/>
                <w:sz w:val="15"/>
              </w:rPr>
              <w:t>27-</w:t>
            </w:r>
            <w:r>
              <w:rPr>
                <w:color w:val="231F20"/>
                <w:spacing w:val="-5"/>
                <w:sz w:val="15"/>
              </w:rPr>
              <w:t>72</w:t>
            </w:r>
          </w:p>
        </w:tc>
        <w:tc>
          <w:tcPr>
            <w:tcW w:w="1206" w:type="dxa"/>
            <w:shd w:val="clear" w:color="auto" w:fill="E8F5F1"/>
          </w:tcPr>
          <w:p>
            <w:pPr>
              <w:pStyle w:val="TableParagraph"/>
              <w:spacing w:line="139" w:lineRule="exact"/>
              <w:ind w:left="4"/>
              <w:jc w:val="center"/>
              <w:rPr>
                <w:sz w:val="15"/>
              </w:rPr>
            </w:pPr>
            <w:r>
              <w:rPr>
                <w:color w:val="231F20"/>
                <w:spacing w:val="-4"/>
                <w:sz w:val="15"/>
              </w:rPr>
              <w:t>250-</w:t>
            </w:r>
            <w:r>
              <w:rPr>
                <w:color w:val="231F20"/>
                <w:spacing w:val="-5"/>
                <w:sz w:val="15"/>
              </w:rPr>
              <w:t>500</w:t>
            </w:r>
          </w:p>
        </w:tc>
        <w:tc>
          <w:tcPr>
            <w:tcW w:w="1117" w:type="dxa"/>
            <w:shd w:val="clear" w:color="auto" w:fill="E8F5F1"/>
          </w:tcPr>
          <w:p>
            <w:pPr>
              <w:pStyle w:val="TableParagraph"/>
              <w:spacing w:line="139" w:lineRule="exact"/>
              <w:ind w:left="105"/>
              <w:rPr>
                <w:sz w:val="15"/>
              </w:rPr>
            </w:pPr>
            <w:r>
              <w:rPr>
                <w:color w:val="231F20"/>
                <w:spacing w:val="-10"/>
                <w:sz w:val="15"/>
              </w:rPr>
              <w:t>1</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60" w:hRule="atLeast"/>
        </w:trPr>
        <w:tc>
          <w:tcPr>
            <w:tcW w:w="1795" w:type="dxa"/>
            <w:gridSpan w:val="2"/>
            <w:shd w:val="clear" w:color="auto" w:fill="E8F5F1"/>
          </w:tcPr>
          <w:p>
            <w:pPr>
              <w:pStyle w:val="TableParagraph"/>
              <w:spacing w:line="141" w:lineRule="exact"/>
              <w:ind w:left="373"/>
              <w:rPr>
                <w:sz w:val="15"/>
              </w:rPr>
            </w:pPr>
            <w:r>
              <w:rPr>
                <w:color w:val="231F20"/>
                <w:spacing w:val="-2"/>
                <w:sz w:val="15"/>
              </w:rPr>
              <w:t>Tolbutamide</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spacing w:line="141" w:lineRule="exact"/>
              <w:ind w:left="1" w:right="1"/>
              <w:jc w:val="center"/>
              <w:rPr>
                <w:sz w:val="15"/>
              </w:rPr>
            </w:pPr>
            <w:r>
              <w:rPr>
                <w:color w:val="231F20"/>
                <w:spacing w:val="-4"/>
                <w:sz w:val="15"/>
              </w:rPr>
              <w:t>14-</w:t>
            </w:r>
            <w:r>
              <w:rPr>
                <w:color w:val="231F20"/>
                <w:spacing w:val="-5"/>
                <w:sz w:val="15"/>
              </w:rPr>
              <w:t>16</w:t>
            </w:r>
          </w:p>
        </w:tc>
        <w:tc>
          <w:tcPr>
            <w:tcW w:w="1206" w:type="dxa"/>
            <w:shd w:val="clear" w:color="auto" w:fill="E8F5F1"/>
          </w:tcPr>
          <w:p>
            <w:pPr>
              <w:pStyle w:val="TableParagraph"/>
              <w:spacing w:line="141" w:lineRule="exact"/>
              <w:ind w:left="4"/>
              <w:jc w:val="center"/>
              <w:rPr>
                <w:sz w:val="15"/>
              </w:rPr>
            </w:pPr>
            <w:r>
              <w:rPr>
                <w:color w:val="231F20"/>
                <w:spacing w:val="-2"/>
                <w:sz w:val="15"/>
              </w:rPr>
              <w:t>1000-</w:t>
            </w:r>
            <w:r>
              <w:rPr>
                <w:color w:val="231F20"/>
                <w:spacing w:val="-4"/>
                <w:sz w:val="15"/>
              </w:rPr>
              <w:t>2000</w:t>
            </w:r>
          </w:p>
        </w:tc>
        <w:tc>
          <w:tcPr>
            <w:tcW w:w="1117" w:type="dxa"/>
            <w:shd w:val="clear" w:color="auto" w:fill="E8F5F1"/>
          </w:tcPr>
          <w:p>
            <w:pPr>
              <w:pStyle w:val="TableParagraph"/>
              <w:spacing w:line="141" w:lineRule="exact"/>
              <w:ind w:left="105"/>
              <w:rPr>
                <w:sz w:val="15"/>
              </w:rPr>
            </w:pPr>
            <w:r>
              <w:rPr>
                <w:color w:val="231F20"/>
                <w:sz w:val="15"/>
              </w:rPr>
              <w:t>1</w:t>
            </w:r>
            <w:r>
              <w:rPr>
                <w:color w:val="231F20"/>
                <w:spacing w:val="-1"/>
                <w:sz w:val="15"/>
              </w:rPr>
              <w:t> </w:t>
            </w:r>
            <w:r>
              <w:rPr>
                <w:color w:val="231F20"/>
                <w:sz w:val="15"/>
              </w:rPr>
              <w:t>or </w:t>
            </w:r>
            <w:r>
              <w:rPr>
                <w:color w:val="231F20"/>
                <w:spacing w:val="-2"/>
                <w:sz w:val="15"/>
              </w:rPr>
              <w:t>divided</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58" w:hRule="atLeast"/>
        </w:trPr>
        <w:tc>
          <w:tcPr>
            <w:tcW w:w="1795" w:type="dxa"/>
            <w:gridSpan w:val="2"/>
            <w:shd w:val="clear" w:color="auto" w:fill="E8F5F1"/>
          </w:tcPr>
          <w:p>
            <w:pPr>
              <w:pStyle w:val="TableParagraph"/>
              <w:spacing w:line="138" w:lineRule="exact"/>
              <w:ind w:left="223"/>
              <w:rPr>
                <w:sz w:val="15"/>
              </w:rPr>
            </w:pPr>
            <w:r>
              <w:rPr>
                <w:color w:val="231F20"/>
                <w:sz w:val="15"/>
              </w:rPr>
              <w:t>2nd</w:t>
            </w:r>
            <w:r>
              <w:rPr>
                <w:color w:val="231F20"/>
                <w:spacing w:val="8"/>
                <w:sz w:val="15"/>
              </w:rPr>
              <w:t> </w:t>
            </w:r>
            <w:r>
              <w:rPr>
                <w:color w:val="231F20"/>
                <w:spacing w:val="-2"/>
                <w:sz w:val="15"/>
              </w:rPr>
              <w:t>generation</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rPr>
                <w:rFonts w:ascii="Times New Roman"/>
                <w:sz w:val="10"/>
              </w:rPr>
            </w:pPr>
          </w:p>
        </w:tc>
        <w:tc>
          <w:tcPr>
            <w:tcW w:w="1206" w:type="dxa"/>
            <w:shd w:val="clear" w:color="auto" w:fill="E8F5F1"/>
          </w:tcPr>
          <w:p>
            <w:pPr>
              <w:pStyle w:val="TableParagraph"/>
              <w:rPr>
                <w:rFonts w:ascii="Times New Roman"/>
                <w:sz w:val="10"/>
              </w:rPr>
            </w:pPr>
          </w:p>
        </w:tc>
        <w:tc>
          <w:tcPr>
            <w:tcW w:w="1117" w:type="dxa"/>
            <w:shd w:val="clear" w:color="auto" w:fill="E8F5F1"/>
          </w:tcPr>
          <w:p>
            <w:pPr>
              <w:pStyle w:val="TableParagraph"/>
              <w:rPr>
                <w:rFonts w:ascii="Times New Roman"/>
                <w:sz w:val="10"/>
              </w:rPr>
            </w:pP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61" w:hRule="atLeast"/>
        </w:trPr>
        <w:tc>
          <w:tcPr>
            <w:tcW w:w="1795" w:type="dxa"/>
            <w:gridSpan w:val="2"/>
            <w:shd w:val="clear" w:color="auto" w:fill="E8F5F1"/>
          </w:tcPr>
          <w:p>
            <w:pPr>
              <w:pStyle w:val="TableParagraph"/>
              <w:spacing w:line="142" w:lineRule="exact"/>
              <w:ind w:left="373"/>
              <w:rPr>
                <w:sz w:val="15"/>
              </w:rPr>
            </w:pPr>
            <w:r>
              <w:rPr>
                <w:color w:val="231F20"/>
                <w:spacing w:val="-2"/>
                <w:sz w:val="15"/>
              </w:rPr>
              <w:t>Glipizide</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spacing w:line="142" w:lineRule="exact"/>
              <w:ind w:left="1" w:right="1"/>
              <w:jc w:val="center"/>
              <w:rPr>
                <w:sz w:val="15"/>
              </w:rPr>
            </w:pPr>
            <w:r>
              <w:rPr>
                <w:color w:val="231F20"/>
                <w:spacing w:val="-4"/>
                <w:sz w:val="15"/>
              </w:rPr>
              <w:t>14-</w:t>
            </w:r>
            <w:r>
              <w:rPr>
                <w:color w:val="231F20"/>
                <w:spacing w:val="-5"/>
                <w:sz w:val="15"/>
              </w:rPr>
              <w:t>16</w:t>
            </w:r>
          </w:p>
        </w:tc>
        <w:tc>
          <w:tcPr>
            <w:tcW w:w="1206" w:type="dxa"/>
            <w:shd w:val="clear" w:color="auto" w:fill="E8F5F1"/>
          </w:tcPr>
          <w:p>
            <w:pPr>
              <w:pStyle w:val="TableParagraph"/>
              <w:spacing w:line="142" w:lineRule="exact"/>
              <w:ind w:left="4"/>
              <w:jc w:val="center"/>
              <w:rPr>
                <w:sz w:val="15"/>
              </w:rPr>
            </w:pPr>
            <w:r>
              <w:rPr>
                <w:color w:val="231F20"/>
                <w:w w:val="90"/>
                <w:sz w:val="15"/>
              </w:rPr>
              <w:t>2.5-</w:t>
            </w:r>
            <w:r>
              <w:rPr>
                <w:color w:val="231F20"/>
                <w:spacing w:val="-5"/>
                <w:sz w:val="15"/>
              </w:rPr>
              <w:t>10</w:t>
            </w:r>
          </w:p>
        </w:tc>
        <w:tc>
          <w:tcPr>
            <w:tcW w:w="1117" w:type="dxa"/>
            <w:shd w:val="clear" w:color="auto" w:fill="E8F5F1"/>
          </w:tcPr>
          <w:p>
            <w:pPr>
              <w:pStyle w:val="TableParagraph"/>
              <w:spacing w:line="142" w:lineRule="exact"/>
              <w:ind w:left="105"/>
              <w:rPr>
                <w:sz w:val="15"/>
              </w:rPr>
            </w:pPr>
            <w:r>
              <w:rPr>
                <w:color w:val="231F20"/>
                <w:sz w:val="15"/>
              </w:rPr>
              <w:t>1</w:t>
            </w:r>
            <w:r>
              <w:rPr>
                <w:color w:val="231F20"/>
                <w:spacing w:val="-1"/>
                <w:sz w:val="15"/>
              </w:rPr>
              <w:t> </w:t>
            </w:r>
            <w:r>
              <w:rPr>
                <w:color w:val="231F20"/>
                <w:sz w:val="15"/>
              </w:rPr>
              <w:t>or </w:t>
            </w:r>
            <w:r>
              <w:rPr>
                <w:color w:val="231F20"/>
                <w:spacing w:val="-2"/>
                <w:sz w:val="15"/>
              </w:rPr>
              <w:t>divided</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57" w:hRule="atLeast"/>
        </w:trPr>
        <w:tc>
          <w:tcPr>
            <w:tcW w:w="1795" w:type="dxa"/>
            <w:gridSpan w:val="2"/>
            <w:shd w:val="clear" w:color="auto" w:fill="E8F5F1"/>
          </w:tcPr>
          <w:p>
            <w:pPr>
              <w:pStyle w:val="TableParagraph"/>
              <w:rPr>
                <w:rFonts w:ascii="Times New Roman"/>
                <w:sz w:val="10"/>
              </w:rPr>
            </w:pP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rPr>
                <w:rFonts w:ascii="Times New Roman"/>
                <w:sz w:val="10"/>
              </w:rPr>
            </w:pPr>
          </w:p>
        </w:tc>
        <w:tc>
          <w:tcPr>
            <w:tcW w:w="1206" w:type="dxa"/>
            <w:shd w:val="clear" w:color="auto" w:fill="E8F5F1"/>
          </w:tcPr>
          <w:p>
            <w:pPr>
              <w:pStyle w:val="TableParagraph"/>
              <w:spacing w:line="137" w:lineRule="exact"/>
              <w:ind w:left="4"/>
              <w:jc w:val="center"/>
              <w:rPr>
                <w:sz w:val="15"/>
              </w:rPr>
            </w:pPr>
            <w:r>
              <w:rPr>
                <w:color w:val="231F20"/>
                <w:spacing w:val="-2"/>
                <w:sz w:val="15"/>
              </w:rPr>
              <w:t>XL:</w:t>
            </w:r>
            <w:r>
              <w:rPr>
                <w:color w:val="231F20"/>
                <w:spacing w:val="-4"/>
                <w:sz w:val="15"/>
              </w:rPr>
              <w:t> </w:t>
            </w:r>
            <w:r>
              <w:rPr>
                <w:color w:val="231F20"/>
                <w:spacing w:val="-2"/>
                <w:sz w:val="15"/>
              </w:rPr>
              <w:t>5-</w:t>
            </w:r>
            <w:r>
              <w:rPr>
                <w:color w:val="231F20"/>
                <w:spacing w:val="-5"/>
                <w:sz w:val="15"/>
              </w:rPr>
              <w:t>10</w:t>
            </w:r>
          </w:p>
        </w:tc>
        <w:tc>
          <w:tcPr>
            <w:tcW w:w="1117" w:type="dxa"/>
            <w:shd w:val="clear" w:color="auto" w:fill="E8F5F1"/>
          </w:tcPr>
          <w:p>
            <w:pPr>
              <w:pStyle w:val="TableParagraph"/>
              <w:spacing w:line="137" w:lineRule="exact"/>
              <w:ind w:left="105"/>
              <w:rPr>
                <w:sz w:val="15"/>
              </w:rPr>
            </w:pPr>
            <w:r>
              <w:rPr>
                <w:color w:val="231F20"/>
                <w:spacing w:val="-10"/>
                <w:sz w:val="15"/>
              </w:rPr>
              <w:t>1</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160" w:hRule="atLeast"/>
        </w:trPr>
        <w:tc>
          <w:tcPr>
            <w:tcW w:w="1795" w:type="dxa"/>
            <w:gridSpan w:val="2"/>
            <w:shd w:val="clear" w:color="auto" w:fill="E8F5F1"/>
          </w:tcPr>
          <w:p>
            <w:pPr>
              <w:pStyle w:val="TableParagraph"/>
              <w:spacing w:line="141" w:lineRule="exact"/>
              <w:ind w:left="373"/>
              <w:rPr>
                <w:sz w:val="15"/>
              </w:rPr>
            </w:pPr>
            <w:r>
              <w:rPr>
                <w:color w:val="231F20"/>
                <w:spacing w:val="-2"/>
                <w:sz w:val="15"/>
              </w:rPr>
              <w:t>Glyburide</w:t>
            </w:r>
          </w:p>
        </w:tc>
        <w:tc>
          <w:tcPr>
            <w:tcW w:w="1346" w:type="dxa"/>
            <w:vMerge/>
            <w:tcBorders>
              <w:top w:val="nil"/>
              <w:bottom w:val="single" w:sz="4" w:space="0" w:color="FFFFFF"/>
            </w:tcBorders>
            <w:shd w:val="clear" w:color="auto" w:fill="E8F5F1"/>
          </w:tcPr>
          <w:p>
            <w:pPr>
              <w:rPr>
                <w:sz w:val="2"/>
                <w:szCs w:val="2"/>
              </w:rPr>
            </w:pPr>
          </w:p>
        </w:tc>
        <w:tc>
          <w:tcPr>
            <w:tcW w:w="1208" w:type="dxa"/>
            <w:shd w:val="clear" w:color="auto" w:fill="E8F5F1"/>
          </w:tcPr>
          <w:p>
            <w:pPr>
              <w:pStyle w:val="TableParagraph"/>
              <w:spacing w:line="141" w:lineRule="exact"/>
              <w:ind w:right="1"/>
              <w:jc w:val="center"/>
              <w:rPr>
                <w:rFonts w:ascii="Cambria"/>
                <w:sz w:val="15"/>
              </w:rPr>
            </w:pPr>
            <w:r>
              <w:rPr>
                <w:color w:val="231F20"/>
                <w:spacing w:val="-4"/>
                <w:sz w:val="15"/>
              </w:rPr>
              <w:t>20-</w:t>
            </w:r>
            <w:r>
              <w:rPr>
                <w:color w:val="231F20"/>
                <w:spacing w:val="-5"/>
                <w:sz w:val="15"/>
              </w:rPr>
              <w:t>24</w:t>
            </w:r>
            <w:r>
              <w:rPr>
                <w:rFonts w:ascii="Cambria"/>
                <w:color w:val="231F20"/>
                <w:spacing w:val="-5"/>
                <w:sz w:val="15"/>
              </w:rPr>
              <w:t>+</w:t>
            </w:r>
          </w:p>
        </w:tc>
        <w:tc>
          <w:tcPr>
            <w:tcW w:w="1206" w:type="dxa"/>
            <w:shd w:val="clear" w:color="auto" w:fill="E8F5F1"/>
          </w:tcPr>
          <w:p>
            <w:pPr>
              <w:pStyle w:val="TableParagraph"/>
              <w:spacing w:line="141" w:lineRule="exact"/>
              <w:ind w:left="4"/>
              <w:jc w:val="center"/>
              <w:rPr>
                <w:sz w:val="15"/>
              </w:rPr>
            </w:pPr>
            <w:r>
              <w:rPr>
                <w:color w:val="231F20"/>
                <w:w w:val="90"/>
                <w:sz w:val="15"/>
              </w:rPr>
              <w:t>2.5-</w:t>
            </w:r>
            <w:r>
              <w:rPr>
                <w:color w:val="231F20"/>
                <w:spacing w:val="-5"/>
                <w:sz w:val="15"/>
              </w:rPr>
              <w:t>10</w:t>
            </w:r>
          </w:p>
        </w:tc>
        <w:tc>
          <w:tcPr>
            <w:tcW w:w="1117" w:type="dxa"/>
            <w:shd w:val="clear" w:color="auto" w:fill="E8F5F1"/>
          </w:tcPr>
          <w:p>
            <w:pPr>
              <w:pStyle w:val="TableParagraph"/>
              <w:spacing w:line="141" w:lineRule="exact"/>
              <w:ind w:left="105"/>
              <w:rPr>
                <w:sz w:val="15"/>
              </w:rPr>
            </w:pPr>
            <w:r>
              <w:rPr>
                <w:color w:val="231F20"/>
                <w:sz w:val="15"/>
              </w:rPr>
              <w:t>1</w:t>
            </w:r>
            <w:r>
              <w:rPr>
                <w:color w:val="231F20"/>
                <w:spacing w:val="-1"/>
                <w:sz w:val="15"/>
              </w:rPr>
              <w:t> </w:t>
            </w:r>
            <w:r>
              <w:rPr>
                <w:color w:val="231F20"/>
                <w:sz w:val="15"/>
              </w:rPr>
              <w:t>or </w:t>
            </w:r>
            <w:r>
              <w:rPr>
                <w:color w:val="231F20"/>
                <w:spacing w:val="-2"/>
                <w:sz w:val="15"/>
              </w:rPr>
              <w:t>divided</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204" w:hRule="atLeast"/>
        </w:trPr>
        <w:tc>
          <w:tcPr>
            <w:tcW w:w="1795" w:type="dxa"/>
            <w:gridSpan w:val="2"/>
            <w:tcBorders>
              <w:bottom w:val="single" w:sz="4" w:space="0" w:color="FFFFFF"/>
            </w:tcBorders>
            <w:shd w:val="clear" w:color="auto" w:fill="E8F5F1"/>
          </w:tcPr>
          <w:p>
            <w:pPr>
              <w:pStyle w:val="TableParagraph"/>
              <w:spacing w:line="166" w:lineRule="exact"/>
              <w:ind w:left="373"/>
              <w:rPr>
                <w:sz w:val="15"/>
              </w:rPr>
            </w:pPr>
            <w:r>
              <w:rPr>
                <w:color w:val="231F20"/>
                <w:spacing w:val="-2"/>
                <w:sz w:val="15"/>
              </w:rPr>
              <w:t>Glimepiride</w:t>
            </w:r>
          </w:p>
        </w:tc>
        <w:tc>
          <w:tcPr>
            <w:tcW w:w="1346" w:type="dxa"/>
            <w:vMerge/>
            <w:tcBorders>
              <w:top w:val="nil"/>
              <w:bottom w:val="single" w:sz="4" w:space="0" w:color="FFFFFF"/>
            </w:tcBorders>
            <w:shd w:val="clear" w:color="auto" w:fill="E8F5F1"/>
          </w:tcPr>
          <w:p>
            <w:pPr>
              <w:rPr>
                <w:sz w:val="2"/>
                <w:szCs w:val="2"/>
              </w:rPr>
            </w:pPr>
          </w:p>
        </w:tc>
        <w:tc>
          <w:tcPr>
            <w:tcW w:w="1208" w:type="dxa"/>
            <w:tcBorders>
              <w:bottom w:val="single" w:sz="4" w:space="0" w:color="FFFFFF"/>
            </w:tcBorders>
            <w:shd w:val="clear" w:color="auto" w:fill="E8F5F1"/>
          </w:tcPr>
          <w:p>
            <w:pPr>
              <w:pStyle w:val="TableParagraph"/>
              <w:spacing w:line="168" w:lineRule="exact"/>
              <w:ind w:left="1" w:right="1"/>
              <w:jc w:val="center"/>
              <w:rPr>
                <w:rFonts w:ascii="Cambria"/>
                <w:sz w:val="15"/>
              </w:rPr>
            </w:pPr>
            <w:r>
              <w:rPr>
                <w:color w:val="231F20"/>
                <w:spacing w:val="-5"/>
                <w:sz w:val="15"/>
              </w:rPr>
              <w:t>24</w:t>
            </w:r>
            <w:r>
              <w:rPr>
                <w:rFonts w:ascii="Cambria"/>
                <w:color w:val="231F20"/>
                <w:spacing w:val="-5"/>
                <w:sz w:val="15"/>
              </w:rPr>
              <w:t>+</w:t>
            </w:r>
          </w:p>
        </w:tc>
        <w:tc>
          <w:tcPr>
            <w:tcW w:w="1206" w:type="dxa"/>
            <w:tcBorders>
              <w:bottom w:val="single" w:sz="4" w:space="0" w:color="FFFFFF"/>
            </w:tcBorders>
            <w:shd w:val="clear" w:color="auto" w:fill="E8F5F1"/>
          </w:tcPr>
          <w:p>
            <w:pPr>
              <w:pStyle w:val="TableParagraph"/>
              <w:spacing w:line="166" w:lineRule="exact"/>
              <w:ind w:left="4"/>
              <w:jc w:val="center"/>
              <w:rPr>
                <w:sz w:val="15"/>
              </w:rPr>
            </w:pPr>
            <w:r>
              <w:rPr>
                <w:color w:val="231F20"/>
                <w:spacing w:val="-4"/>
                <w:sz w:val="15"/>
              </w:rPr>
              <w:t>2-</w:t>
            </w:r>
            <w:r>
              <w:rPr>
                <w:color w:val="231F20"/>
                <w:spacing w:val="-10"/>
                <w:sz w:val="15"/>
              </w:rPr>
              <w:t>4</w:t>
            </w:r>
          </w:p>
        </w:tc>
        <w:tc>
          <w:tcPr>
            <w:tcW w:w="1117" w:type="dxa"/>
            <w:tcBorders>
              <w:bottom w:val="single" w:sz="4" w:space="0" w:color="FFFFFF"/>
            </w:tcBorders>
            <w:shd w:val="clear" w:color="auto" w:fill="E8F5F1"/>
          </w:tcPr>
          <w:p>
            <w:pPr>
              <w:pStyle w:val="TableParagraph"/>
              <w:spacing w:line="166" w:lineRule="exact"/>
              <w:ind w:left="105"/>
              <w:rPr>
                <w:sz w:val="15"/>
              </w:rPr>
            </w:pPr>
            <w:r>
              <w:rPr>
                <w:color w:val="231F20"/>
                <w:spacing w:val="-10"/>
                <w:sz w:val="15"/>
              </w:rPr>
              <w:t>1</w:t>
            </w: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374" w:hRule="atLeast"/>
        </w:trPr>
        <w:tc>
          <w:tcPr>
            <w:tcW w:w="1795" w:type="dxa"/>
            <w:gridSpan w:val="2"/>
            <w:tcBorders>
              <w:top w:val="single" w:sz="4" w:space="0" w:color="FFFFFF"/>
            </w:tcBorders>
            <w:shd w:val="clear" w:color="auto" w:fill="E8F5F1"/>
          </w:tcPr>
          <w:p>
            <w:pPr>
              <w:pStyle w:val="TableParagraph"/>
              <w:spacing w:before="42"/>
              <w:ind w:left="74"/>
              <w:rPr>
                <w:sz w:val="15"/>
              </w:rPr>
            </w:pPr>
            <w:r>
              <w:rPr>
                <w:color w:val="231F20"/>
                <w:spacing w:val="-2"/>
                <w:sz w:val="15"/>
              </w:rPr>
              <w:t>Glitinides</w:t>
            </w:r>
          </w:p>
        </w:tc>
        <w:tc>
          <w:tcPr>
            <w:tcW w:w="1346" w:type="dxa"/>
            <w:vMerge w:val="restart"/>
            <w:tcBorders>
              <w:top w:val="single" w:sz="4" w:space="0" w:color="FFFFFF"/>
              <w:bottom w:val="single" w:sz="4" w:space="0" w:color="FFFFFF"/>
            </w:tcBorders>
            <w:shd w:val="clear" w:color="auto" w:fill="E8F5F1"/>
          </w:tcPr>
          <w:p>
            <w:pPr>
              <w:pStyle w:val="TableParagraph"/>
              <w:spacing w:line="230" w:lineRule="auto" w:before="48"/>
              <w:ind w:left="217" w:right="25" w:hanging="112"/>
              <w:rPr>
                <w:sz w:val="15"/>
              </w:rPr>
            </w:pPr>
            <w:r>
              <w:rPr>
                <w:color w:val="231F20"/>
                <w:spacing w:val="-2"/>
                <w:sz w:val="15"/>
              </w:rPr>
              <w:t>Promote</w:t>
            </w:r>
            <w:r>
              <w:rPr>
                <w:color w:val="231F20"/>
                <w:spacing w:val="-10"/>
                <w:sz w:val="15"/>
              </w:rPr>
              <w:t> </w:t>
            </w:r>
            <w:r>
              <w:rPr>
                <w:color w:val="231F20"/>
                <w:spacing w:val="-2"/>
                <w:sz w:val="15"/>
              </w:rPr>
              <w:t>insulin secretion</w:t>
            </w:r>
          </w:p>
        </w:tc>
        <w:tc>
          <w:tcPr>
            <w:tcW w:w="1208" w:type="dxa"/>
            <w:vMerge w:val="restart"/>
            <w:tcBorders>
              <w:top w:val="single" w:sz="4" w:space="0" w:color="FFFFFF"/>
              <w:bottom w:val="single" w:sz="4" w:space="0" w:color="FFFFFF"/>
            </w:tcBorders>
            <w:shd w:val="clear" w:color="auto" w:fill="E8F5F1"/>
          </w:tcPr>
          <w:p>
            <w:pPr>
              <w:pStyle w:val="TableParagraph"/>
              <w:rPr>
                <w:sz w:val="15"/>
              </w:rPr>
            </w:pPr>
          </w:p>
          <w:p>
            <w:pPr>
              <w:pStyle w:val="TableParagraph"/>
              <w:rPr>
                <w:sz w:val="15"/>
              </w:rPr>
            </w:pPr>
          </w:p>
          <w:p>
            <w:pPr>
              <w:pStyle w:val="TableParagraph"/>
              <w:spacing w:before="29"/>
              <w:rPr>
                <w:sz w:val="15"/>
              </w:rPr>
            </w:pPr>
          </w:p>
          <w:p>
            <w:pPr>
              <w:pStyle w:val="TableParagraph"/>
              <w:spacing w:line="232" w:lineRule="auto" w:before="1"/>
              <w:ind w:left="475" w:right="474"/>
              <w:jc w:val="center"/>
              <w:rPr>
                <w:sz w:val="15"/>
              </w:rPr>
            </w:pPr>
            <w:r>
              <w:rPr>
                <w:rFonts w:ascii="Cambria" w:hAnsi="Cambria"/>
                <w:color w:val="231F20"/>
                <w:spacing w:val="-4"/>
                <w:sz w:val="15"/>
              </w:rPr>
              <w:t>≤</w:t>
            </w:r>
            <w:r>
              <w:rPr>
                <w:color w:val="231F20"/>
                <w:spacing w:val="-4"/>
                <w:sz w:val="15"/>
              </w:rPr>
              <w:t>24 </w:t>
            </w:r>
            <w:r>
              <w:rPr>
                <w:color w:val="231F20"/>
                <w:spacing w:val="-10"/>
                <w:sz w:val="15"/>
              </w:rPr>
              <w:t>4</w:t>
            </w:r>
          </w:p>
        </w:tc>
        <w:tc>
          <w:tcPr>
            <w:tcW w:w="1206" w:type="dxa"/>
            <w:vMerge w:val="restart"/>
            <w:tcBorders>
              <w:top w:val="single" w:sz="4" w:space="0" w:color="FFFFFF"/>
              <w:bottom w:val="single" w:sz="4" w:space="0" w:color="FFFFFF"/>
            </w:tcBorders>
            <w:shd w:val="clear" w:color="auto" w:fill="E8F5F1"/>
          </w:tcPr>
          <w:p>
            <w:pPr>
              <w:pStyle w:val="TableParagraph"/>
              <w:rPr>
                <w:sz w:val="15"/>
              </w:rPr>
            </w:pPr>
          </w:p>
          <w:p>
            <w:pPr>
              <w:pStyle w:val="TableParagraph"/>
              <w:rPr>
                <w:sz w:val="15"/>
              </w:rPr>
            </w:pPr>
          </w:p>
          <w:p>
            <w:pPr>
              <w:pStyle w:val="TableParagraph"/>
              <w:spacing w:before="25"/>
              <w:rPr>
                <w:sz w:val="15"/>
              </w:rPr>
            </w:pPr>
          </w:p>
          <w:p>
            <w:pPr>
              <w:pStyle w:val="TableParagraph"/>
              <w:spacing w:line="173" w:lineRule="exact"/>
              <w:ind w:left="4"/>
              <w:jc w:val="center"/>
              <w:rPr>
                <w:sz w:val="15"/>
              </w:rPr>
            </w:pPr>
            <w:r>
              <w:rPr>
                <w:color w:val="231F20"/>
                <w:spacing w:val="-4"/>
                <w:sz w:val="15"/>
              </w:rPr>
              <w:t>2-</w:t>
            </w:r>
            <w:r>
              <w:rPr>
                <w:color w:val="231F20"/>
                <w:spacing w:val="-5"/>
                <w:sz w:val="15"/>
              </w:rPr>
              <w:t>16</w:t>
            </w:r>
          </w:p>
          <w:p>
            <w:pPr>
              <w:pStyle w:val="TableParagraph"/>
              <w:spacing w:line="173" w:lineRule="exact"/>
              <w:ind w:left="4"/>
              <w:jc w:val="center"/>
              <w:rPr>
                <w:sz w:val="15"/>
              </w:rPr>
            </w:pPr>
            <w:r>
              <w:rPr>
                <w:color w:val="231F20"/>
                <w:spacing w:val="-5"/>
                <w:sz w:val="15"/>
              </w:rPr>
              <w:t>360</w:t>
            </w:r>
          </w:p>
        </w:tc>
        <w:tc>
          <w:tcPr>
            <w:tcW w:w="1117" w:type="dxa"/>
            <w:vMerge w:val="restart"/>
            <w:tcBorders>
              <w:top w:val="single" w:sz="4" w:space="0" w:color="FFFFFF"/>
              <w:bottom w:val="single" w:sz="4" w:space="0" w:color="FFFFFF"/>
            </w:tcBorders>
            <w:shd w:val="clear" w:color="auto" w:fill="E8F5F1"/>
          </w:tcPr>
          <w:p>
            <w:pPr>
              <w:pStyle w:val="TableParagraph"/>
              <w:rPr>
                <w:sz w:val="15"/>
              </w:rPr>
            </w:pPr>
          </w:p>
          <w:p>
            <w:pPr>
              <w:pStyle w:val="TableParagraph"/>
              <w:rPr>
                <w:sz w:val="15"/>
              </w:rPr>
            </w:pPr>
          </w:p>
          <w:p>
            <w:pPr>
              <w:pStyle w:val="TableParagraph"/>
              <w:spacing w:before="25"/>
              <w:rPr>
                <w:sz w:val="15"/>
              </w:rPr>
            </w:pPr>
          </w:p>
          <w:p>
            <w:pPr>
              <w:pStyle w:val="TableParagraph"/>
              <w:spacing w:line="173" w:lineRule="exact"/>
              <w:ind w:left="105"/>
              <w:rPr>
                <w:sz w:val="15"/>
              </w:rPr>
            </w:pPr>
            <w:r>
              <w:rPr>
                <w:color w:val="231F20"/>
                <w:spacing w:val="-10"/>
                <w:sz w:val="15"/>
              </w:rPr>
              <w:t>3</w:t>
            </w:r>
          </w:p>
          <w:p>
            <w:pPr>
              <w:pStyle w:val="TableParagraph"/>
              <w:spacing w:line="173" w:lineRule="exact"/>
              <w:ind w:left="105"/>
              <w:rPr>
                <w:sz w:val="15"/>
              </w:rPr>
            </w:pPr>
            <w:r>
              <w:rPr>
                <w:color w:val="231F20"/>
                <w:spacing w:val="-10"/>
                <w:sz w:val="15"/>
              </w:rPr>
              <w:t>3</w:t>
            </w:r>
          </w:p>
        </w:tc>
        <w:tc>
          <w:tcPr>
            <w:tcW w:w="1604"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463" w:type="dxa"/>
            <w:vMerge w:val="restart"/>
            <w:tcBorders>
              <w:top w:val="single" w:sz="4" w:space="0" w:color="FFFFFF"/>
              <w:bottom w:val="single" w:sz="4" w:space="0" w:color="FFFFFF"/>
            </w:tcBorders>
            <w:shd w:val="clear" w:color="auto" w:fill="E8F5F1"/>
          </w:tcPr>
          <w:p>
            <w:pPr>
              <w:pStyle w:val="TableParagraph"/>
              <w:spacing w:line="230" w:lineRule="auto" w:before="48"/>
              <w:ind w:left="214" w:right="165" w:hanging="112"/>
              <w:jc w:val="both"/>
              <w:rPr>
                <w:sz w:val="15"/>
              </w:rPr>
            </w:pPr>
            <w:r>
              <w:rPr>
                <w:color w:val="231F20"/>
                <w:spacing w:val="-6"/>
                <w:sz w:val="15"/>
              </w:rPr>
              <w:t>Titrate carefully</w:t>
            </w:r>
            <w:r>
              <w:rPr>
                <w:color w:val="231F20"/>
                <w:spacing w:val="-5"/>
                <w:sz w:val="15"/>
              </w:rPr>
              <w:t> </w:t>
            </w:r>
            <w:r>
              <w:rPr>
                <w:color w:val="231F20"/>
                <w:spacing w:val="-6"/>
                <w:sz w:val="15"/>
              </w:rPr>
              <w:t>in</w:t>
            </w:r>
            <w:r>
              <w:rPr>
                <w:color w:val="231F20"/>
                <w:sz w:val="15"/>
              </w:rPr>
              <w:t> renal</w:t>
            </w:r>
            <w:r>
              <w:rPr>
                <w:color w:val="231F20"/>
                <w:spacing w:val="-12"/>
                <w:sz w:val="15"/>
              </w:rPr>
              <w:t> </w:t>
            </w:r>
            <w:r>
              <w:rPr>
                <w:color w:val="231F20"/>
                <w:sz w:val="15"/>
              </w:rPr>
              <w:t>or</w:t>
            </w:r>
            <w:r>
              <w:rPr>
                <w:color w:val="231F20"/>
                <w:spacing w:val="-11"/>
                <w:sz w:val="15"/>
              </w:rPr>
              <w:t> </w:t>
            </w:r>
            <w:r>
              <w:rPr>
                <w:color w:val="231F20"/>
                <w:sz w:val="15"/>
              </w:rPr>
              <w:t>hepatic </w:t>
            </w:r>
            <w:r>
              <w:rPr>
                <w:color w:val="231F20"/>
                <w:spacing w:val="-2"/>
                <w:sz w:val="15"/>
              </w:rPr>
              <w:t>dysfunction</w:t>
            </w:r>
          </w:p>
        </w:tc>
      </w:tr>
      <w:tr>
        <w:trPr>
          <w:trHeight w:val="545" w:hRule="atLeast"/>
        </w:trPr>
        <w:tc>
          <w:tcPr>
            <w:tcW w:w="1795" w:type="dxa"/>
            <w:gridSpan w:val="2"/>
            <w:tcBorders>
              <w:bottom w:val="single" w:sz="4" w:space="0" w:color="FFFFFF"/>
            </w:tcBorders>
            <w:shd w:val="clear" w:color="auto" w:fill="E8F5F1"/>
          </w:tcPr>
          <w:p>
            <w:pPr>
              <w:pStyle w:val="TableParagraph"/>
              <w:spacing w:line="237" w:lineRule="auto" w:before="164"/>
              <w:ind w:left="223" w:right="497"/>
              <w:rPr>
                <w:sz w:val="15"/>
              </w:rPr>
            </w:pPr>
            <w:r>
              <w:rPr>
                <w:color w:val="231F20"/>
                <w:spacing w:val="-2"/>
                <w:sz w:val="15"/>
              </w:rPr>
              <w:t>Repaglinide Nateglinide</w:t>
            </w:r>
          </w:p>
        </w:tc>
        <w:tc>
          <w:tcPr>
            <w:tcW w:w="1346" w:type="dxa"/>
            <w:vMerge/>
            <w:tcBorders>
              <w:top w:val="nil"/>
              <w:bottom w:val="single" w:sz="4" w:space="0" w:color="FFFFFF"/>
            </w:tcBorders>
            <w:shd w:val="clear" w:color="auto" w:fill="E8F5F1"/>
          </w:tcPr>
          <w:p>
            <w:pPr>
              <w:rPr>
                <w:sz w:val="2"/>
                <w:szCs w:val="2"/>
              </w:rPr>
            </w:pPr>
          </w:p>
        </w:tc>
        <w:tc>
          <w:tcPr>
            <w:tcW w:w="1208" w:type="dxa"/>
            <w:vMerge/>
            <w:tcBorders>
              <w:top w:val="nil"/>
              <w:bottom w:val="single" w:sz="4" w:space="0" w:color="FFFFFF"/>
            </w:tcBorders>
            <w:shd w:val="clear" w:color="auto" w:fill="E8F5F1"/>
          </w:tcPr>
          <w:p>
            <w:pPr>
              <w:rPr>
                <w:sz w:val="2"/>
                <w:szCs w:val="2"/>
              </w:rPr>
            </w:pPr>
          </w:p>
        </w:tc>
        <w:tc>
          <w:tcPr>
            <w:tcW w:w="1206" w:type="dxa"/>
            <w:vMerge/>
            <w:tcBorders>
              <w:top w:val="nil"/>
              <w:bottom w:val="single" w:sz="4" w:space="0" w:color="FFFFFF"/>
            </w:tcBorders>
            <w:shd w:val="clear" w:color="auto" w:fill="E8F5F1"/>
          </w:tcPr>
          <w:p>
            <w:pPr>
              <w:rPr>
                <w:sz w:val="2"/>
                <w:szCs w:val="2"/>
              </w:rPr>
            </w:pPr>
          </w:p>
        </w:tc>
        <w:tc>
          <w:tcPr>
            <w:tcW w:w="1117" w:type="dxa"/>
            <w:vMerge/>
            <w:tcBorders>
              <w:top w:val="nil"/>
              <w:bottom w:val="single" w:sz="4" w:space="0" w:color="FFFFFF"/>
            </w:tcBorders>
            <w:shd w:val="clear" w:color="auto" w:fill="E8F5F1"/>
          </w:tcPr>
          <w:p>
            <w:pPr>
              <w:rPr>
                <w:sz w:val="2"/>
                <w:szCs w:val="2"/>
              </w:rPr>
            </w:pPr>
          </w:p>
        </w:tc>
        <w:tc>
          <w:tcPr>
            <w:tcW w:w="1604" w:type="dxa"/>
            <w:vMerge/>
            <w:tcBorders>
              <w:top w:val="nil"/>
              <w:bottom w:val="single" w:sz="4" w:space="0" w:color="FFFFFF"/>
            </w:tcBorders>
            <w:shd w:val="clear" w:color="auto" w:fill="E8F5F1"/>
          </w:tcPr>
          <w:p>
            <w:pPr>
              <w:rPr>
                <w:sz w:val="2"/>
                <w:szCs w:val="2"/>
              </w:rPr>
            </w:pPr>
          </w:p>
        </w:tc>
        <w:tc>
          <w:tcPr>
            <w:tcW w:w="1463" w:type="dxa"/>
            <w:vMerge/>
            <w:tcBorders>
              <w:top w:val="nil"/>
              <w:bottom w:val="single" w:sz="4" w:space="0" w:color="FFFFFF"/>
            </w:tcBorders>
            <w:shd w:val="clear" w:color="auto" w:fill="E8F5F1"/>
          </w:tcPr>
          <w:p>
            <w:pPr>
              <w:rPr>
                <w:sz w:val="2"/>
                <w:szCs w:val="2"/>
              </w:rPr>
            </w:pPr>
          </w:p>
        </w:tc>
      </w:tr>
      <w:tr>
        <w:trPr>
          <w:trHeight w:val="927" w:hRule="atLeast"/>
        </w:trPr>
        <w:tc>
          <w:tcPr>
            <w:tcW w:w="179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rFonts w:ascii="Cambria" w:hAnsi="Cambria"/>
                <w:color w:val="231F20"/>
                <w:sz w:val="15"/>
              </w:rPr>
              <w:t>α</w:t>
            </w:r>
            <w:r>
              <w:rPr>
                <w:color w:val="231F20"/>
                <w:sz w:val="15"/>
              </w:rPr>
              <w:t>-Glucosidase</w:t>
            </w:r>
            <w:r>
              <w:rPr>
                <w:color w:val="231F20"/>
                <w:spacing w:val="17"/>
                <w:sz w:val="15"/>
              </w:rPr>
              <w:t> </w:t>
            </w:r>
            <w:r>
              <w:rPr>
                <w:color w:val="231F20"/>
                <w:spacing w:val="-2"/>
                <w:sz w:val="15"/>
              </w:rPr>
              <w:t>inhibitors</w:t>
            </w:r>
          </w:p>
          <w:p>
            <w:pPr>
              <w:pStyle w:val="TableParagraph"/>
              <w:spacing w:before="159"/>
              <w:rPr>
                <w:sz w:val="15"/>
              </w:rPr>
            </w:pPr>
          </w:p>
          <w:p>
            <w:pPr>
              <w:pStyle w:val="TableParagraph"/>
              <w:spacing w:line="232" w:lineRule="auto"/>
              <w:ind w:left="223" w:right="497"/>
              <w:rPr>
                <w:sz w:val="15"/>
              </w:rPr>
            </w:pPr>
            <w:r>
              <w:rPr>
                <w:color w:val="231F20"/>
                <w:spacing w:val="-2"/>
                <w:sz w:val="15"/>
              </w:rPr>
              <w:t>Acarbose </w:t>
            </w:r>
            <w:r>
              <w:rPr>
                <w:color w:val="231F20"/>
                <w:spacing w:val="-2"/>
                <w:w w:val="105"/>
                <w:sz w:val="15"/>
              </w:rPr>
              <w:t>Miglitol</w:t>
            </w:r>
          </w:p>
        </w:tc>
        <w:tc>
          <w:tcPr>
            <w:tcW w:w="1346" w:type="dxa"/>
            <w:tcBorders>
              <w:top w:val="single" w:sz="4" w:space="0" w:color="FFFFFF"/>
              <w:bottom w:val="single" w:sz="4" w:space="0" w:color="FFFFFF"/>
            </w:tcBorders>
            <w:shd w:val="clear" w:color="auto" w:fill="E8F5F1"/>
          </w:tcPr>
          <w:p>
            <w:pPr>
              <w:pStyle w:val="TableParagraph"/>
              <w:spacing w:line="230" w:lineRule="auto" w:before="48"/>
              <w:ind w:left="217" w:right="25" w:hanging="112"/>
              <w:rPr>
                <w:sz w:val="15"/>
              </w:rPr>
            </w:pPr>
            <w:r>
              <w:rPr>
                <w:color w:val="231F20"/>
                <w:sz w:val="15"/>
              </w:rPr>
              <w:t>Slow hydrolysis and</w:t>
            </w:r>
            <w:r>
              <w:rPr>
                <w:color w:val="231F20"/>
                <w:spacing w:val="-12"/>
                <w:sz w:val="15"/>
              </w:rPr>
              <w:t> </w:t>
            </w:r>
            <w:r>
              <w:rPr>
                <w:color w:val="231F20"/>
                <w:sz w:val="15"/>
              </w:rPr>
              <w:t>absorption of complex </w:t>
            </w:r>
            <w:r>
              <w:rPr>
                <w:color w:val="231F20"/>
                <w:spacing w:val="-2"/>
                <w:sz w:val="15"/>
              </w:rPr>
              <w:t>carbohydrates</w:t>
            </w:r>
          </w:p>
        </w:tc>
        <w:tc>
          <w:tcPr>
            <w:tcW w:w="120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206" w:type="dxa"/>
            <w:tcBorders>
              <w:top w:val="single" w:sz="4" w:space="0" w:color="FFFFFF"/>
              <w:bottom w:val="single" w:sz="4" w:space="0" w:color="FFFFFF"/>
            </w:tcBorders>
            <w:shd w:val="clear" w:color="auto" w:fill="E8F5F1"/>
          </w:tcPr>
          <w:p>
            <w:pPr>
              <w:pStyle w:val="TableParagraph"/>
              <w:spacing w:before="42"/>
              <w:ind w:left="347"/>
              <w:rPr>
                <w:sz w:val="15"/>
              </w:rPr>
            </w:pPr>
            <w:r>
              <w:rPr>
                <w:color w:val="231F20"/>
                <w:spacing w:val="-4"/>
                <w:sz w:val="15"/>
              </w:rPr>
              <w:t>150-</w:t>
            </w:r>
            <w:r>
              <w:rPr>
                <w:color w:val="231F20"/>
                <w:spacing w:val="-5"/>
                <w:sz w:val="15"/>
              </w:rPr>
              <w:t>300</w:t>
            </w:r>
          </w:p>
          <w:p>
            <w:pPr>
              <w:pStyle w:val="TableParagraph"/>
              <w:spacing w:before="157"/>
              <w:rPr>
                <w:sz w:val="15"/>
              </w:rPr>
            </w:pPr>
          </w:p>
          <w:p>
            <w:pPr>
              <w:pStyle w:val="TableParagraph"/>
              <w:ind w:left="347"/>
              <w:rPr>
                <w:sz w:val="15"/>
              </w:rPr>
            </w:pPr>
            <w:r>
              <w:rPr>
                <w:color w:val="231F20"/>
                <w:spacing w:val="-4"/>
                <w:sz w:val="15"/>
              </w:rPr>
              <w:t>150-</w:t>
            </w:r>
            <w:r>
              <w:rPr>
                <w:color w:val="231F20"/>
                <w:spacing w:val="-5"/>
                <w:sz w:val="15"/>
              </w:rPr>
              <w:t>300</w:t>
            </w:r>
          </w:p>
        </w:tc>
        <w:tc>
          <w:tcPr>
            <w:tcW w:w="1117" w:type="dxa"/>
            <w:tcBorders>
              <w:top w:val="single" w:sz="4" w:space="0" w:color="FFFFFF"/>
              <w:bottom w:val="single" w:sz="4" w:space="0" w:color="FFFFFF"/>
            </w:tcBorders>
            <w:shd w:val="clear" w:color="auto" w:fill="E8F5F1"/>
          </w:tcPr>
          <w:p>
            <w:pPr>
              <w:pStyle w:val="TableParagraph"/>
              <w:spacing w:before="42"/>
              <w:ind w:left="105"/>
              <w:rPr>
                <w:sz w:val="15"/>
              </w:rPr>
            </w:pPr>
            <w:r>
              <w:rPr>
                <w:color w:val="231F20"/>
                <w:spacing w:val="-4"/>
                <w:sz w:val="15"/>
              </w:rPr>
              <w:t>3</w:t>
            </w:r>
            <w:r>
              <w:rPr>
                <w:color w:val="231F20"/>
                <w:spacing w:val="-8"/>
                <w:sz w:val="15"/>
              </w:rPr>
              <w:t> </w:t>
            </w:r>
            <w:r>
              <w:rPr>
                <w:color w:val="231F20"/>
                <w:spacing w:val="-4"/>
                <w:sz w:val="15"/>
              </w:rPr>
              <w:t>(with</w:t>
            </w:r>
            <w:r>
              <w:rPr>
                <w:color w:val="231F20"/>
                <w:spacing w:val="-7"/>
                <w:sz w:val="15"/>
              </w:rPr>
              <w:t> </w:t>
            </w:r>
            <w:r>
              <w:rPr>
                <w:color w:val="231F20"/>
                <w:spacing w:val="-4"/>
                <w:sz w:val="15"/>
              </w:rPr>
              <w:t>meals)</w:t>
            </w:r>
          </w:p>
          <w:p>
            <w:pPr>
              <w:pStyle w:val="TableParagraph"/>
              <w:spacing w:before="157"/>
              <w:rPr>
                <w:sz w:val="15"/>
              </w:rPr>
            </w:pPr>
          </w:p>
          <w:p>
            <w:pPr>
              <w:pStyle w:val="TableParagraph"/>
              <w:ind w:left="105"/>
              <w:rPr>
                <w:sz w:val="15"/>
              </w:rPr>
            </w:pPr>
            <w:r>
              <w:rPr>
                <w:color w:val="231F20"/>
                <w:spacing w:val="-4"/>
                <w:sz w:val="15"/>
              </w:rPr>
              <w:t>3</w:t>
            </w:r>
            <w:r>
              <w:rPr>
                <w:color w:val="231F20"/>
                <w:spacing w:val="-8"/>
                <w:sz w:val="15"/>
              </w:rPr>
              <w:t> </w:t>
            </w:r>
            <w:r>
              <w:rPr>
                <w:color w:val="231F20"/>
                <w:spacing w:val="-4"/>
                <w:sz w:val="15"/>
              </w:rPr>
              <w:t>(with</w:t>
            </w:r>
            <w:r>
              <w:rPr>
                <w:color w:val="231F20"/>
                <w:spacing w:val="-7"/>
                <w:sz w:val="15"/>
              </w:rPr>
              <w:t> </w:t>
            </w:r>
            <w:r>
              <w:rPr>
                <w:color w:val="231F20"/>
                <w:spacing w:val="-4"/>
                <w:sz w:val="15"/>
              </w:rPr>
              <w:t>meals)</w:t>
            </w:r>
          </w:p>
        </w:tc>
        <w:tc>
          <w:tcPr>
            <w:tcW w:w="1604" w:type="dxa"/>
            <w:tcBorders>
              <w:top w:val="single" w:sz="4" w:space="0" w:color="FFFFFF"/>
              <w:bottom w:val="single" w:sz="4" w:space="0" w:color="FFFFFF"/>
            </w:tcBorders>
            <w:shd w:val="clear" w:color="auto" w:fill="E8F5F1"/>
          </w:tcPr>
          <w:p>
            <w:pPr>
              <w:pStyle w:val="TableParagraph"/>
              <w:spacing w:line="230" w:lineRule="auto" w:before="48"/>
              <w:ind w:left="216" w:hanging="112"/>
              <w:rPr>
                <w:sz w:val="15"/>
              </w:rPr>
            </w:pPr>
            <w:r>
              <w:rPr>
                <w:color w:val="231F20"/>
                <w:spacing w:val="-2"/>
                <w:sz w:val="15"/>
              </w:rPr>
              <w:t>Transient </w:t>
            </w:r>
            <w:r>
              <w:rPr>
                <w:color w:val="231F20"/>
                <w:spacing w:val="-4"/>
                <w:sz w:val="15"/>
              </w:rPr>
              <w:t>gastrointestinal </w:t>
            </w:r>
            <w:r>
              <w:rPr>
                <w:color w:val="231F20"/>
                <w:spacing w:val="-2"/>
                <w:sz w:val="15"/>
              </w:rPr>
              <w:t>disturbances</w:t>
            </w:r>
          </w:p>
        </w:tc>
        <w:tc>
          <w:tcPr>
            <w:tcW w:w="1463"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925" w:hRule="atLeast"/>
        </w:trPr>
        <w:tc>
          <w:tcPr>
            <w:tcW w:w="1795" w:type="dxa"/>
            <w:gridSpan w:val="2"/>
            <w:tcBorders>
              <w:top w:val="single" w:sz="4" w:space="0" w:color="FFFFFF"/>
              <w:bottom w:val="single" w:sz="4" w:space="0" w:color="FFFFFF"/>
            </w:tcBorders>
            <w:shd w:val="clear" w:color="auto" w:fill="E8F5F1"/>
          </w:tcPr>
          <w:p>
            <w:pPr>
              <w:pStyle w:val="TableParagraph"/>
              <w:spacing w:before="42"/>
              <w:ind w:right="463"/>
              <w:jc w:val="center"/>
              <w:rPr>
                <w:sz w:val="15"/>
              </w:rPr>
            </w:pPr>
            <w:r>
              <w:rPr>
                <w:color w:val="231F20"/>
                <w:spacing w:val="-2"/>
                <w:sz w:val="15"/>
              </w:rPr>
              <w:t>Thiazolidinedione</w:t>
            </w:r>
          </w:p>
          <w:p>
            <w:pPr>
              <w:pStyle w:val="TableParagraph"/>
              <w:spacing w:line="330" w:lineRule="atLeast" w:before="7"/>
              <w:ind w:left="2" w:right="463"/>
              <w:jc w:val="center"/>
              <w:rPr>
                <w:sz w:val="15"/>
              </w:rPr>
            </w:pPr>
            <w:r>
              <w:rPr>
                <w:color w:val="231F20"/>
                <w:spacing w:val="-2"/>
                <w:sz w:val="15"/>
              </w:rPr>
              <w:t>Rosiglitazone Pioglitazone</w:t>
            </w:r>
          </w:p>
        </w:tc>
        <w:tc>
          <w:tcPr>
            <w:tcW w:w="1346" w:type="dxa"/>
            <w:tcBorders>
              <w:top w:val="single" w:sz="4" w:space="0" w:color="FFFFFF"/>
              <w:bottom w:val="single" w:sz="4" w:space="0" w:color="FFFFFF"/>
            </w:tcBorders>
            <w:shd w:val="clear" w:color="auto" w:fill="E8F5F1"/>
          </w:tcPr>
          <w:p>
            <w:pPr>
              <w:pStyle w:val="TableParagraph"/>
              <w:spacing w:line="230" w:lineRule="auto" w:before="48"/>
              <w:ind w:left="217" w:right="25" w:hanging="112"/>
              <w:rPr>
                <w:sz w:val="15"/>
              </w:rPr>
            </w:pPr>
            <w:r>
              <w:rPr>
                <w:color w:val="231F20"/>
                <w:spacing w:val="-4"/>
                <w:sz w:val="15"/>
              </w:rPr>
              <w:t>Peripheral</w:t>
            </w:r>
            <w:r>
              <w:rPr>
                <w:color w:val="231F20"/>
                <w:spacing w:val="-8"/>
                <w:sz w:val="15"/>
              </w:rPr>
              <w:t> </w:t>
            </w:r>
            <w:r>
              <w:rPr>
                <w:color w:val="231F20"/>
                <w:spacing w:val="-4"/>
                <w:sz w:val="15"/>
              </w:rPr>
              <w:t>insulin </w:t>
            </w:r>
            <w:r>
              <w:rPr>
                <w:color w:val="231F20"/>
                <w:spacing w:val="-2"/>
                <w:sz w:val="15"/>
              </w:rPr>
              <w:t>sensitizer</w:t>
            </w:r>
          </w:p>
        </w:tc>
        <w:tc>
          <w:tcPr>
            <w:tcW w:w="120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206" w:type="dxa"/>
            <w:tcBorders>
              <w:top w:val="single" w:sz="4" w:space="0" w:color="FFFFFF"/>
              <w:bottom w:val="single" w:sz="4" w:space="0" w:color="FFFFFF"/>
            </w:tcBorders>
            <w:shd w:val="clear" w:color="auto" w:fill="E8F5F1"/>
          </w:tcPr>
          <w:p>
            <w:pPr>
              <w:pStyle w:val="TableParagraph"/>
              <w:rPr>
                <w:sz w:val="15"/>
              </w:rPr>
            </w:pPr>
          </w:p>
          <w:p>
            <w:pPr>
              <w:pStyle w:val="TableParagraph"/>
              <w:spacing w:before="31"/>
              <w:rPr>
                <w:sz w:val="15"/>
              </w:rPr>
            </w:pPr>
          </w:p>
          <w:p>
            <w:pPr>
              <w:pStyle w:val="TableParagraph"/>
              <w:ind w:left="4"/>
              <w:jc w:val="center"/>
              <w:rPr>
                <w:sz w:val="15"/>
              </w:rPr>
            </w:pPr>
            <w:r>
              <w:rPr>
                <w:color w:val="231F20"/>
                <w:spacing w:val="-4"/>
                <w:sz w:val="15"/>
              </w:rPr>
              <w:t>4-</w:t>
            </w:r>
            <w:r>
              <w:rPr>
                <w:color w:val="231F20"/>
                <w:spacing w:val="-10"/>
                <w:sz w:val="15"/>
              </w:rPr>
              <w:t>8</w:t>
            </w:r>
          </w:p>
          <w:p>
            <w:pPr>
              <w:pStyle w:val="TableParagraph"/>
              <w:spacing w:before="162"/>
              <w:ind w:left="4"/>
              <w:jc w:val="center"/>
              <w:rPr>
                <w:sz w:val="15"/>
              </w:rPr>
            </w:pPr>
            <w:r>
              <w:rPr>
                <w:color w:val="231F20"/>
                <w:spacing w:val="-4"/>
                <w:sz w:val="15"/>
              </w:rPr>
              <w:t>15-</w:t>
            </w:r>
            <w:r>
              <w:rPr>
                <w:color w:val="231F20"/>
                <w:spacing w:val="-5"/>
                <w:sz w:val="15"/>
              </w:rPr>
              <w:t>45</w:t>
            </w:r>
          </w:p>
        </w:tc>
        <w:tc>
          <w:tcPr>
            <w:tcW w:w="1117" w:type="dxa"/>
            <w:tcBorders>
              <w:top w:val="single" w:sz="4" w:space="0" w:color="FFFFFF"/>
              <w:bottom w:val="single" w:sz="4" w:space="0" w:color="FFFFFF"/>
            </w:tcBorders>
            <w:shd w:val="clear" w:color="auto" w:fill="E8F5F1"/>
          </w:tcPr>
          <w:p>
            <w:pPr>
              <w:pStyle w:val="TableParagraph"/>
              <w:rPr>
                <w:sz w:val="15"/>
              </w:rPr>
            </w:pPr>
          </w:p>
          <w:p>
            <w:pPr>
              <w:pStyle w:val="TableParagraph"/>
              <w:spacing w:before="31"/>
              <w:rPr>
                <w:sz w:val="15"/>
              </w:rPr>
            </w:pPr>
          </w:p>
          <w:p>
            <w:pPr>
              <w:pStyle w:val="TableParagraph"/>
              <w:ind w:left="105"/>
              <w:rPr>
                <w:sz w:val="15"/>
              </w:rPr>
            </w:pPr>
            <w:r>
              <w:rPr>
                <w:color w:val="231F20"/>
                <w:sz w:val="15"/>
              </w:rPr>
              <w:t>1</w:t>
            </w:r>
            <w:r>
              <w:rPr>
                <w:color w:val="231F20"/>
                <w:spacing w:val="-1"/>
                <w:sz w:val="15"/>
              </w:rPr>
              <w:t> </w:t>
            </w:r>
            <w:r>
              <w:rPr>
                <w:color w:val="231F20"/>
                <w:sz w:val="15"/>
              </w:rPr>
              <w:t>or </w:t>
            </w:r>
            <w:r>
              <w:rPr>
                <w:color w:val="231F20"/>
                <w:spacing w:val="-2"/>
                <w:sz w:val="15"/>
              </w:rPr>
              <w:t>divided</w:t>
            </w:r>
          </w:p>
          <w:p>
            <w:pPr>
              <w:pStyle w:val="TableParagraph"/>
              <w:spacing w:before="162"/>
              <w:ind w:left="105"/>
              <w:rPr>
                <w:sz w:val="15"/>
              </w:rPr>
            </w:pPr>
            <w:r>
              <w:rPr>
                <w:color w:val="231F20"/>
                <w:spacing w:val="-10"/>
                <w:sz w:val="15"/>
              </w:rPr>
              <w:t>1</w:t>
            </w:r>
          </w:p>
        </w:tc>
        <w:tc>
          <w:tcPr>
            <w:tcW w:w="1604" w:type="dxa"/>
            <w:tcBorders>
              <w:top w:val="single" w:sz="4" w:space="0" w:color="FFFFFF"/>
              <w:bottom w:val="single" w:sz="4" w:space="0" w:color="FFFFFF"/>
            </w:tcBorders>
            <w:shd w:val="clear" w:color="auto" w:fill="E8F5F1"/>
          </w:tcPr>
          <w:p>
            <w:pPr>
              <w:pStyle w:val="TableParagraph"/>
              <w:spacing w:line="230" w:lineRule="auto" w:before="48"/>
              <w:ind w:left="216" w:right="23" w:hanging="112"/>
              <w:rPr>
                <w:sz w:val="15"/>
              </w:rPr>
            </w:pPr>
            <w:r>
              <w:rPr>
                <w:color w:val="231F20"/>
                <w:sz w:val="15"/>
              </w:rPr>
              <w:t>Upper respiratory tract infection, </w:t>
            </w:r>
            <w:r>
              <w:rPr>
                <w:color w:val="231F20"/>
                <w:spacing w:val="-2"/>
                <w:sz w:val="15"/>
              </w:rPr>
              <w:t>headache,</w:t>
            </w:r>
            <w:r>
              <w:rPr>
                <w:color w:val="231F20"/>
                <w:spacing w:val="-10"/>
                <w:sz w:val="15"/>
              </w:rPr>
              <w:t> </w:t>
            </w:r>
            <w:r>
              <w:rPr>
                <w:color w:val="231F20"/>
                <w:spacing w:val="-2"/>
                <w:sz w:val="15"/>
              </w:rPr>
              <w:t>edema, </w:t>
            </w:r>
            <w:r>
              <w:rPr>
                <w:color w:val="231F20"/>
                <w:sz w:val="15"/>
              </w:rPr>
              <w:t>weight gain</w:t>
            </w:r>
          </w:p>
        </w:tc>
        <w:tc>
          <w:tcPr>
            <w:tcW w:w="1463"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583" w:hRule="atLeast"/>
        </w:trPr>
        <w:tc>
          <w:tcPr>
            <w:tcW w:w="1795"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Sitagliptin</w:t>
            </w:r>
          </w:p>
        </w:tc>
        <w:tc>
          <w:tcPr>
            <w:tcW w:w="1346" w:type="dxa"/>
            <w:tcBorders>
              <w:top w:val="single" w:sz="4" w:space="0" w:color="FFFFFF"/>
              <w:bottom w:val="single" w:sz="8" w:space="0" w:color="231F20"/>
            </w:tcBorders>
            <w:shd w:val="clear" w:color="auto" w:fill="E8F5F1"/>
          </w:tcPr>
          <w:p>
            <w:pPr>
              <w:pStyle w:val="TableParagraph"/>
              <w:spacing w:line="230" w:lineRule="auto" w:before="48"/>
              <w:ind w:left="217" w:right="215" w:hanging="112"/>
              <w:rPr>
                <w:sz w:val="15"/>
              </w:rPr>
            </w:pPr>
            <w:r>
              <w:rPr>
                <w:color w:val="231F20"/>
                <w:sz w:val="15"/>
              </w:rPr>
              <w:t>GLP-1</w:t>
            </w:r>
            <w:r>
              <w:rPr>
                <w:color w:val="231F20"/>
                <w:spacing w:val="-12"/>
                <w:sz w:val="15"/>
              </w:rPr>
              <w:t> </w:t>
            </w:r>
            <w:r>
              <w:rPr>
                <w:color w:val="231F20"/>
                <w:sz w:val="15"/>
              </w:rPr>
              <w:t>receptor </w:t>
            </w:r>
            <w:r>
              <w:rPr>
                <w:color w:val="231F20"/>
                <w:spacing w:val="-2"/>
                <w:sz w:val="15"/>
              </w:rPr>
              <w:t>agonist</w:t>
            </w:r>
          </w:p>
        </w:tc>
        <w:tc>
          <w:tcPr>
            <w:tcW w:w="1208" w:type="dxa"/>
            <w:tcBorders>
              <w:top w:val="single" w:sz="4" w:space="0" w:color="FFFFFF"/>
              <w:bottom w:val="single" w:sz="8" w:space="0" w:color="231F20"/>
            </w:tcBorders>
            <w:shd w:val="clear" w:color="auto" w:fill="E8F5F1"/>
          </w:tcPr>
          <w:p>
            <w:pPr>
              <w:pStyle w:val="TableParagraph"/>
              <w:spacing w:before="42"/>
              <w:ind w:right="1"/>
              <w:jc w:val="center"/>
              <w:rPr>
                <w:sz w:val="15"/>
              </w:rPr>
            </w:pPr>
            <w:r>
              <w:rPr>
                <w:color w:val="231F20"/>
                <w:spacing w:val="-5"/>
                <w:sz w:val="15"/>
              </w:rPr>
              <w:t>24</w:t>
            </w:r>
          </w:p>
        </w:tc>
        <w:tc>
          <w:tcPr>
            <w:tcW w:w="1206" w:type="dxa"/>
            <w:tcBorders>
              <w:top w:val="single" w:sz="4" w:space="0" w:color="FFFFFF"/>
              <w:bottom w:val="single" w:sz="8" w:space="0" w:color="231F20"/>
            </w:tcBorders>
            <w:shd w:val="clear" w:color="auto" w:fill="E8F5F1"/>
          </w:tcPr>
          <w:p>
            <w:pPr>
              <w:pStyle w:val="TableParagraph"/>
              <w:spacing w:before="42"/>
              <w:ind w:left="4"/>
              <w:jc w:val="center"/>
              <w:rPr>
                <w:sz w:val="15"/>
              </w:rPr>
            </w:pPr>
            <w:r>
              <w:rPr>
                <w:color w:val="231F20"/>
                <w:spacing w:val="-4"/>
                <w:sz w:val="15"/>
              </w:rPr>
              <w:t>50-</w:t>
            </w:r>
            <w:r>
              <w:rPr>
                <w:color w:val="231F20"/>
                <w:spacing w:val="-5"/>
                <w:sz w:val="15"/>
              </w:rPr>
              <w:t>100</w:t>
            </w:r>
          </w:p>
        </w:tc>
        <w:tc>
          <w:tcPr>
            <w:tcW w:w="1117" w:type="dxa"/>
            <w:tcBorders>
              <w:top w:val="single" w:sz="4" w:space="0" w:color="FFFFFF"/>
              <w:bottom w:val="single" w:sz="8" w:space="0" w:color="231F20"/>
            </w:tcBorders>
            <w:shd w:val="clear" w:color="auto" w:fill="E8F5F1"/>
          </w:tcPr>
          <w:p>
            <w:pPr>
              <w:pStyle w:val="TableParagraph"/>
              <w:spacing w:before="42"/>
              <w:ind w:left="105"/>
              <w:rPr>
                <w:sz w:val="15"/>
              </w:rPr>
            </w:pPr>
            <w:r>
              <w:rPr>
                <w:color w:val="231F20"/>
                <w:spacing w:val="-10"/>
                <w:sz w:val="15"/>
              </w:rPr>
              <w:t>1</w:t>
            </w:r>
          </w:p>
        </w:tc>
        <w:tc>
          <w:tcPr>
            <w:tcW w:w="1604" w:type="dxa"/>
            <w:tcBorders>
              <w:top w:val="single" w:sz="4" w:space="0" w:color="FFFFFF"/>
              <w:bottom w:val="single" w:sz="8" w:space="0" w:color="231F20"/>
            </w:tcBorders>
            <w:shd w:val="clear" w:color="auto" w:fill="E8F5F1"/>
          </w:tcPr>
          <w:p>
            <w:pPr>
              <w:pStyle w:val="TableParagraph"/>
              <w:spacing w:line="230" w:lineRule="auto" w:before="48"/>
              <w:ind w:left="216" w:right="23" w:hanging="112"/>
              <w:rPr>
                <w:sz w:val="15"/>
              </w:rPr>
            </w:pPr>
            <w:r>
              <w:rPr>
                <w:color w:val="231F20"/>
                <w:sz w:val="15"/>
              </w:rPr>
              <w:t>Upper respiratory </w:t>
            </w:r>
            <w:r>
              <w:rPr>
                <w:color w:val="231F20"/>
                <w:spacing w:val="-4"/>
                <w:sz w:val="15"/>
              </w:rPr>
              <w:t>tract</w:t>
            </w:r>
            <w:r>
              <w:rPr>
                <w:color w:val="231F20"/>
                <w:spacing w:val="-8"/>
                <w:sz w:val="15"/>
              </w:rPr>
              <w:t> </w:t>
            </w:r>
            <w:r>
              <w:rPr>
                <w:color w:val="231F20"/>
                <w:spacing w:val="-4"/>
                <w:sz w:val="15"/>
              </w:rPr>
              <w:t>infection,</w:t>
            </w:r>
            <w:r>
              <w:rPr>
                <w:color w:val="231F20"/>
                <w:spacing w:val="-7"/>
                <w:sz w:val="15"/>
              </w:rPr>
              <w:t> </w:t>
            </w:r>
            <w:r>
              <w:rPr>
                <w:color w:val="231F20"/>
                <w:spacing w:val="-4"/>
                <w:sz w:val="15"/>
              </w:rPr>
              <w:t>sore </w:t>
            </w:r>
            <w:r>
              <w:rPr>
                <w:color w:val="231F20"/>
                <w:sz w:val="15"/>
              </w:rPr>
              <w:t>throat, diarrhea</w:t>
            </w:r>
          </w:p>
        </w:tc>
        <w:tc>
          <w:tcPr>
            <w:tcW w:w="1463" w:type="dxa"/>
            <w:tcBorders>
              <w:top w:val="single" w:sz="4" w:space="0" w:color="FFFFFF"/>
              <w:bottom w:val="single" w:sz="8" w:space="0" w:color="231F20"/>
            </w:tcBorders>
            <w:shd w:val="clear" w:color="auto" w:fill="E8F5F1"/>
          </w:tcPr>
          <w:p>
            <w:pPr>
              <w:pStyle w:val="TableParagraph"/>
              <w:spacing w:line="230" w:lineRule="auto" w:before="48"/>
              <w:ind w:left="214" w:hanging="112"/>
              <w:rPr>
                <w:sz w:val="15"/>
              </w:rPr>
            </w:pPr>
            <w:r>
              <w:rPr>
                <w:color w:val="231F20"/>
                <w:sz w:val="15"/>
              </w:rPr>
              <w:t>No</w:t>
            </w:r>
            <w:r>
              <w:rPr>
                <w:color w:val="231F20"/>
                <w:spacing w:val="-12"/>
                <w:sz w:val="15"/>
              </w:rPr>
              <w:t> </w:t>
            </w:r>
            <w:r>
              <w:rPr>
                <w:color w:val="231F20"/>
                <w:sz w:val="15"/>
              </w:rPr>
              <w:t>data</w:t>
            </w:r>
            <w:r>
              <w:rPr>
                <w:color w:val="231F20"/>
                <w:spacing w:val="-11"/>
                <w:sz w:val="15"/>
              </w:rPr>
              <w:t> </w:t>
            </w:r>
            <w:r>
              <w:rPr>
                <w:color w:val="231F20"/>
                <w:sz w:val="15"/>
              </w:rPr>
              <w:t>in</w:t>
            </w:r>
            <w:r>
              <w:rPr>
                <w:color w:val="231F20"/>
                <w:spacing w:val="-11"/>
                <w:sz w:val="15"/>
              </w:rPr>
              <w:t> </w:t>
            </w:r>
            <w:r>
              <w:rPr>
                <w:color w:val="231F20"/>
                <w:sz w:val="15"/>
              </w:rPr>
              <w:t>children or adolescents</w:t>
            </w:r>
          </w:p>
        </w:tc>
      </w:tr>
    </w:tbl>
    <w:p>
      <w:pPr>
        <w:pStyle w:val="TableParagraph"/>
        <w:spacing w:after="0" w:line="230" w:lineRule="auto"/>
        <w:rPr>
          <w:sz w:val="15"/>
        </w:rPr>
        <w:sectPr>
          <w:pgSz w:w="11900" w:h="16840"/>
          <w:pgMar w:header="452"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186" name="Group 186"/>
                <wp:cNvGraphicFramePr>
                  <a:graphicFrameLocks/>
                </wp:cNvGraphicFramePr>
                <a:graphic>
                  <a:graphicData uri="http://schemas.microsoft.com/office/word/2010/wordprocessingGroup">
                    <wpg:wgp>
                      <wpg:cNvPr id="186" name="Group 186"/>
                      <wpg:cNvGrpSpPr/>
                      <wpg:grpSpPr>
                        <a:xfrm>
                          <a:off x="0" y="0"/>
                          <a:ext cx="6185535" cy="170815"/>
                          <a:chExt cx="6185535" cy="170815"/>
                        </a:xfrm>
                      </wpg:grpSpPr>
                      <wps:wsp>
                        <wps:cNvPr id="187" name="Graphic 187"/>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88" name="Graphic 188"/>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89" name="Textbox 189"/>
                        <wps:cNvSpPr txBox="1"/>
                        <wps:spPr>
                          <a:xfrm>
                            <a:off x="0" y="0"/>
                            <a:ext cx="6185535" cy="170815"/>
                          </a:xfrm>
                          <a:prstGeom prst="rect">
                            <a:avLst/>
                          </a:prstGeom>
                        </wps:spPr>
                        <wps:txbx>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2787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51"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52" filled="false" stroked="false">
                  <v:textbox inset="0,0,0,0">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2787</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2"/>
        <w:gridCol w:w="401"/>
        <w:gridCol w:w="1118"/>
        <w:gridCol w:w="2563"/>
        <w:gridCol w:w="4837"/>
      </w:tblGrid>
      <w:tr>
        <w:trPr>
          <w:trHeight w:val="354" w:hRule="atLeast"/>
        </w:trPr>
        <w:tc>
          <w:tcPr>
            <w:tcW w:w="1223" w:type="dxa"/>
            <w:gridSpan w:val="2"/>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16</w:t>
            </w:r>
          </w:p>
        </w:tc>
        <w:tc>
          <w:tcPr>
            <w:tcW w:w="8518"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Summary</w:t>
            </w:r>
            <w:r>
              <w:rPr>
                <w:color w:val="FFFFFF"/>
                <w:spacing w:val="16"/>
                <w:w w:val="105"/>
                <w:sz w:val="16"/>
              </w:rPr>
              <w:t> </w:t>
            </w:r>
            <w:r>
              <w:rPr>
                <w:color w:val="FFFFFF"/>
                <w:w w:val="105"/>
                <w:sz w:val="16"/>
              </w:rPr>
              <w:t>of</w:t>
            </w:r>
            <w:r>
              <w:rPr>
                <w:color w:val="FFFFFF"/>
                <w:spacing w:val="17"/>
                <w:w w:val="105"/>
                <w:sz w:val="16"/>
              </w:rPr>
              <w:t> </w:t>
            </w:r>
            <w:r>
              <w:rPr>
                <w:color w:val="FFFFFF"/>
                <w:w w:val="105"/>
                <w:sz w:val="16"/>
              </w:rPr>
              <w:t>MODY</w:t>
            </w:r>
            <w:r>
              <w:rPr>
                <w:color w:val="FFFFFF"/>
                <w:spacing w:val="16"/>
                <w:w w:val="105"/>
                <w:sz w:val="16"/>
              </w:rPr>
              <w:t> </w:t>
            </w:r>
            <w:r>
              <w:rPr>
                <w:color w:val="FFFFFF"/>
                <w:w w:val="105"/>
                <w:sz w:val="16"/>
              </w:rPr>
              <w:t>Types</w:t>
            </w:r>
            <w:r>
              <w:rPr>
                <w:color w:val="FFFFFF"/>
                <w:spacing w:val="17"/>
                <w:w w:val="105"/>
                <w:sz w:val="16"/>
              </w:rPr>
              <w:t> </w:t>
            </w:r>
            <w:r>
              <w:rPr>
                <w:color w:val="FFFFFF"/>
                <w:w w:val="105"/>
                <w:sz w:val="16"/>
              </w:rPr>
              <w:t>and</w:t>
            </w:r>
            <w:r>
              <w:rPr>
                <w:color w:val="FFFFFF"/>
                <w:spacing w:val="16"/>
                <w:w w:val="105"/>
                <w:sz w:val="16"/>
              </w:rPr>
              <w:t> </w:t>
            </w:r>
            <w:r>
              <w:rPr>
                <w:color w:val="FFFFFF"/>
                <w:w w:val="105"/>
                <w:sz w:val="16"/>
              </w:rPr>
              <w:t>Special</w:t>
            </w:r>
            <w:r>
              <w:rPr>
                <w:color w:val="FFFFFF"/>
                <w:spacing w:val="17"/>
                <w:w w:val="105"/>
                <w:sz w:val="16"/>
              </w:rPr>
              <w:t> </w:t>
            </w:r>
            <w:r>
              <w:rPr>
                <w:color w:val="FFFFFF"/>
                <w:w w:val="105"/>
                <w:sz w:val="16"/>
              </w:rPr>
              <w:t>Clinical</w:t>
            </w:r>
            <w:r>
              <w:rPr>
                <w:color w:val="FFFFFF"/>
                <w:spacing w:val="16"/>
                <w:w w:val="105"/>
                <w:sz w:val="16"/>
              </w:rPr>
              <w:t> </w:t>
            </w:r>
            <w:r>
              <w:rPr>
                <w:color w:val="FFFFFF"/>
                <w:spacing w:val="-2"/>
                <w:w w:val="105"/>
                <w:sz w:val="16"/>
              </w:rPr>
              <w:t>Characteristics</w:t>
            </w:r>
          </w:p>
        </w:tc>
      </w:tr>
      <w:tr>
        <w:trPr>
          <w:trHeight w:val="276" w:hRule="atLeast"/>
        </w:trPr>
        <w:tc>
          <w:tcPr>
            <w:tcW w:w="822" w:type="dxa"/>
            <w:tcBorders>
              <w:bottom w:val="single" w:sz="4" w:space="0" w:color="231F20"/>
            </w:tcBorders>
            <w:shd w:val="clear" w:color="auto" w:fill="E8F5F1"/>
          </w:tcPr>
          <w:p>
            <w:pPr>
              <w:pStyle w:val="TableParagraph"/>
              <w:rPr>
                <w:rFonts w:ascii="Times New Roman"/>
                <w:sz w:val="14"/>
              </w:rPr>
            </w:pPr>
          </w:p>
        </w:tc>
        <w:tc>
          <w:tcPr>
            <w:tcW w:w="1519" w:type="dxa"/>
            <w:gridSpan w:val="2"/>
            <w:tcBorders>
              <w:bottom w:val="single" w:sz="4" w:space="0" w:color="231F20"/>
            </w:tcBorders>
            <w:shd w:val="clear" w:color="auto" w:fill="E8F5F1"/>
          </w:tcPr>
          <w:p>
            <w:pPr>
              <w:pStyle w:val="TableParagraph"/>
              <w:spacing w:before="66"/>
              <w:ind w:left="151"/>
              <w:rPr>
                <w:b/>
                <w:sz w:val="15"/>
              </w:rPr>
            </w:pPr>
            <w:r>
              <w:rPr>
                <w:b/>
                <w:color w:val="231F20"/>
                <w:w w:val="110"/>
                <w:sz w:val="15"/>
              </w:rPr>
              <w:t>GENE</w:t>
            </w:r>
            <w:r>
              <w:rPr>
                <w:b/>
                <w:color w:val="231F20"/>
                <w:spacing w:val="17"/>
                <w:w w:val="110"/>
                <w:sz w:val="15"/>
              </w:rPr>
              <w:t> </w:t>
            </w:r>
            <w:r>
              <w:rPr>
                <w:b/>
                <w:color w:val="231F20"/>
                <w:spacing w:val="-2"/>
                <w:w w:val="110"/>
                <w:sz w:val="15"/>
              </w:rPr>
              <w:t>MUTATED</w:t>
            </w:r>
          </w:p>
        </w:tc>
        <w:tc>
          <w:tcPr>
            <w:tcW w:w="2563" w:type="dxa"/>
            <w:tcBorders>
              <w:bottom w:val="single" w:sz="4" w:space="0" w:color="231F20"/>
            </w:tcBorders>
            <w:shd w:val="clear" w:color="auto" w:fill="E8F5F1"/>
          </w:tcPr>
          <w:p>
            <w:pPr>
              <w:pStyle w:val="TableParagraph"/>
              <w:spacing w:before="66"/>
              <w:ind w:left="1"/>
              <w:jc w:val="center"/>
              <w:rPr>
                <w:b/>
                <w:sz w:val="15"/>
              </w:rPr>
            </w:pPr>
            <w:r>
              <w:rPr>
                <w:b/>
                <w:color w:val="231F20"/>
                <w:spacing w:val="-2"/>
                <w:w w:val="110"/>
                <w:sz w:val="15"/>
              </w:rPr>
              <w:t>FUNCTION</w:t>
            </w:r>
          </w:p>
        </w:tc>
        <w:tc>
          <w:tcPr>
            <w:tcW w:w="4837" w:type="dxa"/>
            <w:tcBorders>
              <w:bottom w:val="single" w:sz="4" w:space="0" w:color="231F20"/>
            </w:tcBorders>
            <w:shd w:val="clear" w:color="auto" w:fill="E8F5F1"/>
          </w:tcPr>
          <w:p>
            <w:pPr>
              <w:pStyle w:val="TableParagraph"/>
              <w:spacing w:before="66"/>
              <w:ind w:left="59"/>
              <w:jc w:val="center"/>
              <w:rPr>
                <w:b/>
                <w:sz w:val="15"/>
              </w:rPr>
            </w:pPr>
            <w:r>
              <w:rPr>
                <w:b/>
                <w:color w:val="231F20"/>
                <w:w w:val="105"/>
                <w:sz w:val="15"/>
              </w:rPr>
              <w:t>SPECIAL</w:t>
            </w:r>
            <w:r>
              <w:rPr>
                <w:b/>
                <w:color w:val="231F20"/>
                <w:spacing w:val="21"/>
                <w:w w:val="105"/>
                <w:sz w:val="15"/>
              </w:rPr>
              <w:t> </w:t>
            </w:r>
            <w:r>
              <w:rPr>
                <w:b/>
                <w:color w:val="231F20"/>
                <w:spacing w:val="-2"/>
                <w:w w:val="105"/>
                <w:sz w:val="15"/>
              </w:rPr>
              <w:t>FEATURE</w:t>
            </w:r>
          </w:p>
        </w:tc>
      </w:tr>
      <w:tr>
        <w:trPr>
          <w:trHeight w:val="425" w:hRule="atLeast"/>
        </w:trPr>
        <w:tc>
          <w:tcPr>
            <w:tcW w:w="822" w:type="dxa"/>
            <w:tcBorders>
              <w:top w:val="single" w:sz="4" w:space="0" w:color="231F20"/>
              <w:bottom w:val="single" w:sz="4" w:space="0" w:color="FFFFFF"/>
            </w:tcBorders>
            <w:shd w:val="clear" w:color="auto" w:fill="E8F5F1"/>
          </w:tcPr>
          <w:p>
            <w:pPr>
              <w:pStyle w:val="TableParagraph"/>
              <w:spacing w:before="47"/>
              <w:ind w:right="139"/>
              <w:jc w:val="center"/>
              <w:rPr>
                <w:sz w:val="15"/>
              </w:rPr>
            </w:pPr>
            <w:r>
              <w:rPr>
                <w:color w:val="231F20"/>
                <w:spacing w:val="-2"/>
                <w:w w:val="115"/>
                <w:sz w:val="15"/>
              </w:rPr>
              <w:t>MODY1</w:t>
            </w:r>
          </w:p>
        </w:tc>
        <w:tc>
          <w:tcPr>
            <w:tcW w:w="1519" w:type="dxa"/>
            <w:gridSpan w:val="2"/>
            <w:tcBorders>
              <w:top w:val="single" w:sz="4" w:space="0" w:color="231F20"/>
              <w:bottom w:val="single" w:sz="4" w:space="0" w:color="FFFFFF"/>
            </w:tcBorders>
            <w:shd w:val="clear" w:color="auto" w:fill="E8F5F1"/>
          </w:tcPr>
          <w:p>
            <w:pPr>
              <w:pStyle w:val="TableParagraph"/>
              <w:spacing w:before="39"/>
              <w:ind w:left="136"/>
              <w:rPr>
                <w:rFonts w:ascii="Verdana" w:hAnsi="Verdana"/>
                <w:i/>
                <w:sz w:val="15"/>
              </w:rPr>
            </w:pPr>
            <w:r>
              <w:rPr>
                <w:i/>
                <w:color w:val="231F20"/>
                <w:spacing w:val="-2"/>
                <w:w w:val="105"/>
                <w:sz w:val="15"/>
              </w:rPr>
              <w:t>HNF4</w:t>
            </w:r>
            <w:r>
              <w:rPr>
                <w:rFonts w:ascii="Verdana" w:hAnsi="Verdana"/>
                <w:i/>
                <w:color w:val="231F20"/>
                <w:spacing w:val="-2"/>
                <w:w w:val="105"/>
                <w:sz w:val="15"/>
              </w:rPr>
              <w:t>α</w:t>
            </w:r>
          </w:p>
        </w:tc>
        <w:tc>
          <w:tcPr>
            <w:tcW w:w="2563" w:type="dxa"/>
            <w:tcBorders>
              <w:top w:val="single" w:sz="4" w:space="0" w:color="231F20"/>
              <w:bottom w:val="single" w:sz="4" w:space="0" w:color="FFFFFF"/>
            </w:tcBorders>
            <w:shd w:val="clear" w:color="auto" w:fill="E8F5F1"/>
          </w:tcPr>
          <w:p>
            <w:pPr>
              <w:pStyle w:val="TableParagraph"/>
              <w:spacing w:before="47"/>
              <w:ind w:left="134"/>
              <w:rPr>
                <w:sz w:val="15"/>
              </w:rPr>
            </w:pPr>
            <w:r>
              <w:rPr>
                <w:color w:val="231F20"/>
                <w:spacing w:val="-2"/>
                <w:sz w:val="15"/>
              </w:rPr>
              <w:t>Transcription</w:t>
            </w:r>
            <w:r>
              <w:rPr>
                <w:color w:val="231F20"/>
                <w:sz w:val="15"/>
              </w:rPr>
              <w:t> </w:t>
            </w:r>
            <w:r>
              <w:rPr>
                <w:color w:val="231F20"/>
                <w:spacing w:val="-2"/>
                <w:sz w:val="15"/>
              </w:rPr>
              <w:t>factor</w:t>
            </w:r>
          </w:p>
        </w:tc>
        <w:tc>
          <w:tcPr>
            <w:tcW w:w="4837" w:type="dxa"/>
            <w:tcBorders>
              <w:top w:val="single" w:sz="4" w:space="0" w:color="231F20"/>
              <w:bottom w:val="single" w:sz="4" w:space="0" w:color="FFFFFF"/>
            </w:tcBorders>
            <w:shd w:val="clear" w:color="auto" w:fill="E8F5F1"/>
          </w:tcPr>
          <w:p>
            <w:pPr>
              <w:pStyle w:val="TableParagraph"/>
              <w:spacing w:line="230" w:lineRule="auto" w:before="52"/>
              <w:ind w:left="246" w:right="105" w:hanging="112"/>
              <w:rPr>
                <w:sz w:val="15"/>
              </w:rPr>
            </w:pPr>
            <w:r>
              <w:rPr>
                <w:color w:val="231F20"/>
                <w:sz w:val="15"/>
              </w:rPr>
              <w:t>Decreased</w:t>
            </w:r>
            <w:r>
              <w:rPr>
                <w:color w:val="231F20"/>
                <w:spacing w:val="-4"/>
                <w:sz w:val="15"/>
              </w:rPr>
              <w:t> </w:t>
            </w:r>
            <w:r>
              <w:rPr>
                <w:color w:val="231F20"/>
                <w:sz w:val="15"/>
              </w:rPr>
              <w:t>levels</w:t>
            </w:r>
            <w:r>
              <w:rPr>
                <w:color w:val="231F20"/>
                <w:spacing w:val="-4"/>
                <w:sz w:val="15"/>
              </w:rPr>
              <w:t> </w:t>
            </w:r>
            <w:r>
              <w:rPr>
                <w:color w:val="231F20"/>
                <w:sz w:val="15"/>
              </w:rPr>
              <w:t>of</w:t>
            </w:r>
            <w:r>
              <w:rPr>
                <w:color w:val="231F20"/>
                <w:spacing w:val="-4"/>
                <w:sz w:val="15"/>
              </w:rPr>
              <w:t> </w:t>
            </w:r>
            <w:r>
              <w:rPr>
                <w:color w:val="231F20"/>
                <w:sz w:val="15"/>
              </w:rPr>
              <w:t>triglycerides,</w:t>
            </w:r>
            <w:r>
              <w:rPr>
                <w:color w:val="231F20"/>
                <w:spacing w:val="-4"/>
                <w:sz w:val="15"/>
              </w:rPr>
              <w:t> </w:t>
            </w:r>
            <w:r>
              <w:rPr>
                <w:color w:val="231F20"/>
                <w:sz w:val="15"/>
              </w:rPr>
              <w:t>apolipoproteins</w:t>
            </w:r>
            <w:r>
              <w:rPr>
                <w:color w:val="231F20"/>
                <w:spacing w:val="-4"/>
                <w:sz w:val="15"/>
              </w:rPr>
              <w:t> </w:t>
            </w:r>
            <w:r>
              <w:rPr>
                <w:color w:val="231F20"/>
                <w:sz w:val="15"/>
              </w:rPr>
              <w:t>AII</w:t>
            </w:r>
            <w:r>
              <w:rPr>
                <w:color w:val="231F20"/>
                <w:spacing w:val="-4"/>
                <w:sz w:val="15"/>
              </w:rPr>
              <w:t> </w:t>
            </w:r>
            <w:r>
              <w:rPr>
                <w:color w:val="231F20"/>
                <w:sz w:val="15"/>
              </w:rPr>
              <w:t>and</w:t>
            </w:r>
            <w:r>
              <w:rPr>
                <w:color w:val="231F20"/>
                <w:spacing w:val="-4"/>
                <w:sz w:val="15"/>
              </w:rPr>
              <w:t> </w:t>
            </w:r>
            <w:r>
              <w:rPr>
                <w:color w:val="231F20"/>
                <w:sz w:val="15"/>
              </w:rPr>
              <w:t>CIII</w:t>
            </w:r>
            <w:r>
              <w:rPr>
                <w:color w:val="231F20"/>
                <w:spacing w:val="-4"/>
                <w:sz w:val="15"/>
              </w:rPr>
              <w:t> </w:t>
            </w:r>
            <w:r>
              <w:rPr>
                <w:color w:val="231F20"/>
                <w:sz w:val="15"/>
              </w:rPr>
              <w:t>(5-</w:t>
            </w:r>
            <w:r>
              <w:rPr>
                <w:color w:val="231F20"/>
                <w:sz w:val="15"/>
              </w:rPr>
              <w:t>10% of MODY), neonatal hypoglycemia, very sensitive to sulfonylureas</w:t>
            </w:r>
          </w:p>
        </w:tc>
      </w:tr>
      <w:tr>
        <w:trPr>
          <w:trHeight w:val="420" w:hRule="atLeast"/>
        </w:trPr>
        <w:tc>
          <w:tcPr>
            <w:tcW w:w="822" w:type="dxa"/>
            <w:tcBorders>
              <w:top w:val="single" w:sz="4" w:space="0" w:color="FFFFFF"/>
              <w:bottom w:val="single" w:sz="4" w:space="0" w:color="FFFFFF"/>
            </w:tcBorders>
            <w:shd w:val="clear" w:color="auto" w:fill="E8F5F1"/>
          </w:tcPr>
          <w:p>
            <w:pPr>
              <w:pStyle w:val="TableParagraph"/>
              <w:spacing w:before="42"/>
              <w:ind w:right="139"/>
              <w:jc w:val="center"/>
              <w:rPr>
                <w:sz w:val="15"/>
              </w:rPr>
            </w:pPr>
            <w:r>
              <w:rPr>
                <w:color w:val="231F20"/>
                <w:spacing w:val="-2"/>
                <w:w w:val="115"/>
                <w:sz w:val="15"/>
              </w:rPr>
              <w:t>MODY2</w:t>
            </w:r>
          </w:p>
        </w:tc>
        <w:tc>
          <w:tcPr>
            <w:tcW w:w="1519" w:type="dxa"/>
            <w:gridSpan w:val="2"/>
            <w:tcBorders>
              <w:top w:val="single" w:sz="4" w:space="0" w:color="FFFFFF"/>
              <w:bottom w:val="single" w:sz="4" w:space="0" w:color="FFFFFF"/>
            </w:tcBorders>
            <w:shd w:val="clear" w:color="auto" w:fill="E8F5F1"/>
          </w:tcPr>
          <w:p>
            <w:pPr>
              <w:pStyle w:val="TableParagraph"/>
              <w:spacing w:before="42"/>
              <w:ind w:left="136"/>
              <w:rPr>
                <w:i/>
                <w:sz w:val="15"/>
              </w:rPr>
            </w:pPr>
            <w:r>
              <w:rPr>
                <w:color w:val="231F20"/>
                <w:sz w:val="15"/>
              </w:rPr>
              <w:t>Glucokinase</w:t>
            </w:r>
            <w:r>
              <w:rPr>
                <w:color w:val="231F20"/>
                <w:spacing w:val="1"/>
                <w:sz w:val="15"/>
              </w:rPr>
              <w:t> </w:t>
            </w:r>
            <w:r>
              <w:rPr>
                <w:i/>
                <w:color w:val="231F20"/>
                <w:spacing w:val="-4"/>
                <w:sz w:val="15"/>
              </w:rPr>
              <w:t>(GCK)</w:t>
            </w:r>
          </w:p>
        </w:tc>
        <w:tc>
          <w:tcPr>
            <w:tcW w:w="2563"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z w:val="15"/>
              </w:rPr>
              <w:t>Enzyme,</w:t>
            </w:r>
            <w:r>
              <w:rPr>
                <w:color w:val="231F20"/>
                <w:spacing w:val="-1"/>
                <w:sz w:val="15"/>
              </w:rPr>
              <w:t> </w:t>
            </w:r>
            <w:r>
              <w:rPr>
                <w:color w:val="231F20"/>
                <w:sz w:val="15"/>
              </w:rPr>
              <w:t>glucose </w:t>
            </w:r>
            <w:r>
              <w:rPr>
                <w:color w:val="231F20"/>
                <w:spacing w:val="-2"/>
                <w:sz w:val="15"/>
              </w:rPr>
              <w:t>sensor</w:t>
            </w:r>
          </w:p>
        </w:tc>
        <w:tc>
          <w:tcPr>
            <w:tcW w:w="4837" w:type="dxa"/>
            <w:tcBorders>
              <w:top w:val="single" w:sz="4" w:space="0" w:color="FFFFFF"/>
              <w:bottom w:val="single" w:sz="4" w:space="0" w:color="FFFFFF"/>
            </w:tcBorders>
            <w:shd w:val="clear" w:color="auto" w:fill="E8F5F1"/>
          </w:tcPr>
          <w:p>
            <w:pPr>
              <w:pStyle w:val="TableParagraph"/>
              <w:spacing w:line="230" w:lineRule="auto" w:before="48"/>
              <w:ind w:left="246" w:right="105" w:hanging="112"/>
              <w:rPr>
                <w:sz w:val="15"/>
              </w:rPr>
            </w:pPr>
            <w:r>
              <w:rPr>
                <w:color w:val="231F20"/>
                <w:sz w:val="15"/>
              </w:rPr>
              <w:t>Hyperglycemia</w:t>
            </w:r>
            <w:r>
              <w:rPr>
                <w:color w:val="231F20"/>
                <w:spacing w:val="-3"/>
                <w:sz w:val="15"/>
              </w:rPr>
              <w:t> </w:t>
            </w:r>
            <w:r>
              <w:rPr>
                <w:color w:val="231F20"/>
                <w:sz w:val="15"/>
              </w:rPr>
              <w:t>of</w:t>
            </w:r>
            <w:r>
              <w:rPr>
                <w:color w:val="231F20"/>
                <w:spacing w:val="-3"/>
                <w:sz w:val="15"/>
              </w:rPr>
              <w:t> </w:t>
            </w:r>
            <w:r>
              <w:rPr>
                <w:color w:val="231F20"/>
                <w:sz w:val="15"/>
              </w:rPr>
              <w:t>early</w:t>
            </w:r>
            <w:r>
              <w:rPr>
                <w:color w:val="231F20"/>
                <w:spacing w:val="-3"/>
                <w:sz w:val="15"/>
              </w:rPr>
              <w:t> </w:t>
            </w:r>
            <w:r>
              <w:rPr>
                <w:color w:val="231F20"/>
                <w:sz w:val="15"/>
              </w:rPr>
              <w:t>onset</w:t>
            </w:r>
            <w:r>
              <w:rPr>
                <w:color w:val="231F20"/>
                <w:spacing w:val="-3"/>
                <w:sz w:val="15"/>
              </w:rPr>
              <w:t> </w:t>
            </w:r>
            <w:r>
              <w:rPr>
                <w:color w:val="231F20"/>
                <w:sz w:val="15"/>
              </w:rPr>
              <w:t>but</w:t>
            </w:r>
            <w:r>
              <w:rPr>
                <w:color w:val="231F20"/>
                <w:spacing w:val="-3"/>
                <w:sz w:val="15"/>
              </w:rPr>
              <w:t> </w:t>
            </w:r>
            <w:r>
              <w:rPr>
                <w:color w:val="231F20"/>
                <w:sz w:val="15"/>
              </w:rPr>
              <w:t>mild</w:t>
            </w:r>
            <w:r>
              <w:rPr>
                <w:color w:val="231F20"/>
                <w:spacing w:val="-3"/>
                <w:sz w:val="15"/>
              </w:rPr>
              <w:t> </w:t>
            </w:r>
            <w:r>
              <w:rPr>
                <w:color w:val="231F20"/>
                <w:sz w:val="15"/>
              </w:rPr>
              <w:t>and</w:t>
            </w:r>
            <w:r>
              <w:rPr>
                <w:color w:val="231F20"/>
                <w:spacing w:val="-3"/>
                <w:sz w:val="15"/>
              </w:rPr>
              <w:t> </w:t>
            </w:r>
            <w:r>
              <w:rPr>
                <w:color w:val="231F20"/>
                <w:sz w:val="15"/>
              </w:rPr>
              <w:t>nonprogressive;</w:t>
            </w:r>
            <w:r>
              <w:rPr>
                <w:color w:val="231F20"/>
                <w:spacing w:val="-3"/>
                <w:sz w:val="15"/>
              </w:rPr>
              <w:t> </w:t>
            </w:r>
            <w:r>
              <w:rPr>
                <w:color w:val="231F20"/>
                <w:sz w:val="15"/>
              </w:rPr>
              <w:t>common (30-70% MODY)</w:t>
            </w:r>
          </w:p>
        </w:tc>
      </w:tr>
      <w:tr>
        <w:trPr>
          <w:trHeight w:val="420" w:hRule="atLeast"/>
        </w:trPr>
        <w:tc>
          <w:tcPr>
            <w:tcW w:w="822" w:type="dxa"/>
            <w:tcBorders>
              <w:top w:val="single" w:sz="4" w:space="0" w:color="FFFFFF"/>
              <w:bottom w:val="single" w:sz="4" w:space="0" w:color="FFFFFF"/>
            </w:tcBorders>
            <w:shd w:val="clear" w:color="auto" w:fill="E8F5F1"/>
          </w:tcPr>
          <w:p>
            <w:pPr>
              <w:pStyle w:val="TableParagraph"/>
              <w:spacing w:before="42"/>
              <w:ind w:left="1" w:right="139"/>
              <w:jc w:val="center"/>
              <w:rPr>
                <w:sz w:val="15"/>
              </w:rPr>
            </w:pPr>
            <w:r>
              <w:rPr>
                <w:color w:val="231F20"/>
                <w:spacing w:val="-2"/>
                <w:w w:val="115"/>
                <w:sz w:val="15"/>
              </w:rPr>
              <w:t>MODY3</w:t>
            </w:r>
          </w:p>
        </w:tc>
        <w:tc>
          <w:tcPr>
            <w:tcW w:w="1519" w:type="dxa"/>
            <w:gridSpan w:val="2"/>
            <w:tcBorders>
              <w:top w:val="single" w:sz="4" w:space="0" w:color="FFFFFF"/>
              <w:bottom w:val="single" w:sz="4" w:space="0" w:color="FFFFFF"/>
            </w:tcBorders>
            <w:shd w:val="clear" w:color="auto" w:fill="E8F5F1"/>
          </w:tcPr>
          <w:p>
            <w:pPr>
              <w:pStyle w:val="TableParagraph"/>
              <w:spacing w:before="34"/>
              <w:ind w:left="136"/>
              <w:rPr>
                <w:rFonts w:ascii="Verdana" w:hAnsi="Verdana"/>
                <w:i/>
                <w:sz w:val="15"/>
              </w:rPr>
            </w:pPr>
            <w:r>
              <w:rPr>
                <w:i/>
                <w:color w:val="231F20"/>
                <w:spacing w:val="-2"/>
                <w:w w:val="105"/>
                <w:sz w:val="15"/>
              </w:rPr>
              <w:t>HNF1</w:t>
            </w:r>
            <w:r>
              <w:rPr>
                <w:rFonts w:ascii="Verdana" w:hAnsi="Verdana"/>
                <w:i/>
                <w:color w:val="231F20"/>
                <w:spacing w:val="-2"/>
                <w:w w:val="105"/>
                <w:sz w:val="15"/>
              </w:rPr>
              <w:t>α</w:t>
            </w:r>
          </w:p>
        </w:tc>
        <w:tc>
          <w:tcPr>
            <w:tcW w:w="2563"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Transcription</w:t>
            </w:r>
            <w:r>
              <w:rPr>
                <w:color w:val="231F20"/>
                <w:sz w:val="15"/>
              </w:rPr>
              <w:t> </w:t>
            </w:r>
            <w:r>
              <w:rPr>
                <w:color w:val="231F20"/>
                <w:spacing w:val="-2"/>
                <w:sz w:val="15"/>
              </w:rPr>
              <w:t>factor</w:t>
            </w:r>
          </w:p>
        </w:tc>
        <w:tc>
          <w:tcPr>
            <w:tcW w:w="4837" w:type="dxa"/>
            <w:tcBorders>
              <w:top w:val="single" w:sz="4" w:space="0" w:color="FFFFFF"/>
              <w:bottom w:val="single" w:sz="4" w:space="0" w:color="FFFFFF"/>
            </w:tcBorders>
            <w:shd w:val="clear" w:color="auto" w:fill="E8F5F1"/>
          </w:tcPr>
          <w:p>
            <w:pPr>
              <w:pStyle w:val="TableParagraph"/>
              <w:spacing w:line="230" w:lineRule="auto" w:before="48"/>
              <w:ind w:left="246" w:hanging="112"/>
              <w:rPr>
                <w:sz w:val="15"/>
              </w:rPr>
            </w:pPr>
            <w:r>
              <w:rPr>
                <w:color w:val="231F20"/>
                <w:sz w:val="15"/>
              </w:rPr>
              <w:t>Decreased renal absorption of glucose and consequent glycosuria; common</w:t>
            </w:r>
            <w:r>
              <w:rPr>
                <w:color w:val="231F20"/>
                <w:spacing w:val="-4"/>
                <w:sz w:val="15"/>
              </w:rPr>
              <w:t> </w:t>
            </w:r>
            <w:r>
              <w:rPr>
                <w:color w:val="231F20"/>
                <w:sz w:val="15"/>
              </w:rPr>
              <w:t>(30-70%</w:t>
            </w:r>
            <w:r>
              <w:rPr>
                <w:color w:val="231F20"/>
                <w:spacing w:val="-4"/>
                <w:sz w:val="15"/>
              </w:rPr>
              <w:t> </w:t>
            </w:r>
            <w:r>
              <w:rPr>
                <w:color w:val="231F20"/>
                <w:sz w:val="15"/>
              </w:rPr>
              <w:t>of</w:t>
            </w:r>
            <w:r>
              <w:rPr>
                <w:color w:val="231F20"/>
                <w:spacing w:val="-4"/>
                <w:sz w:val="15"/>
              </w:rPr>
              <w:t> </w:t>
            </w:r>
            <w:r>
              <w:rPr>
                <w:color w:val="231F20"/>
                <w:sz w:val="15"/>
              </w:rPr>
              <w:t>cases</w:t>
            </w:r>
            <w:r>
              <w:rPr>
                <w:color w:val="231F20"/>
                <w:spacing w:val="-4"/>
                <w:sz w:val="15"/>
              </w:rPr>
              <w:t> </w:t>
            </w:r>
            <w:r>
              <w:rPr>
                <w:color w:val="231F20"/>
                <w:sz w:val="15"/>
              </w:rPr>
              <w:t>of</w:t>
            </w:r>
            <w:r>
              <w:rPr>
                <w:color w:val="231F20"/>
                <w:spacing w:val="-4"/>
                <w:sz w:val="15"/>
              </w:rPr>
              <w:t> </w:t>
            </w:r>
            <w:r>
              <w:rPr>
                <w:color w:val="231F20"/>
                <w:sz w:val="15"/>
              </w:rPr>
              <w:t>MODY);</w:t>
            </w:r>
            <w:r>
              <w:rPr>
                <w:color w:val="231F20"/>
                <w:spacing w:val="-4"/>
                <w:sz w:val="15"/>
              </w:rPr>
              <w:t> </w:t>
            </w:r>
            <w:r>
              <w:rPr>
                <w:color w:val="231F20"/>
                <w:sz w:val="15"/>
              </w:rPr>
              <w:t>very</w:t>
            </w:r>
            <w:r>
              <w:rPr>
                <w:color w:val="231F20"/>
                <w:spacing w:val="-4"/>
                <w:sz w:val="15"/>
              </w:rPr>
              <w:t> </w:t>
            </w:r>
            <w:r>
              <w:rPr>
                <w:color w:val="231F20"/>
                <w:sz w:val="15"/>
              </w:rPr>
              <w:t>sensitive</w:t>
            </w:r>
            <w:r>
              <w:rPr>
                <w:color w:val="231F20"/>
                <w:spacing w:val="-4"/>
                <w:sz w:val="15"/>
              </w:rPr>
              <w:t> </w:t>
            </w:r>
            <w:r>
              <w:rPr>
                <w:color w:val="231F20"/>
                <w:sz w:val="15"/>
              </w:rPr>
              <w:t>to</w:t>
            </w:r>
            <w:r>
              <w:rPr>
                <w:color w:val="231F20"/>
                <w:spacing w:val="-4"/>
                <w:sz w:val="15"/>
              </w:rPr>
              <w:t> </w:t>
            </w:r>
            <w:r>
              <w:rPr>
                <w:color w:val="231F20"/>
                <w:sz w:val="15"/>
              </w:rPr>
              <w:t>sulfonylureas</w:t>
            </w:r>
          </w:p>
        </w:tc>
      </w:tr>
      <w:tr>
        <w:trPr>
          <w:trHeight w:val="420" w:hRule="atLeast"/>
        </w:trPr>
        <w:tc>
          <w:tcPr>
            <w:tcW w:w="822" w:type="dxa"/>
            <w:tcBorders>
              <w:top w:val="single" w:sz="4" w:space="0" w:color="FFFFFF"/>
              <w:bottom w:val="single" w:sz="4" w:space="0" w:color="FFFFFF"/>
            </w:tcBorders>
            <w:shd w:val="clear" w:color="auto" w:fill="E8F5F1"/>
          </w:tcPr>
          <w:p>
            <w:pPr>
              <w:pStyle w:val="TableParagraph"/>
              <w:spacing w:before="42"/>
              <w:ind w:left="1" w:right="139"/>
              <w:jc w:val="center"/>
              <w:rPr>
                <w:sz w:val="15"/>
              </w:rPr>
            </w:pPr>
            <w:r>
              <w:rPr>
                <w:color w:val="231F20"/>
                <w:spacing w:val="-2"/>
                <w:w w:val="115"/>
                <w:sz w:val="15"/>
              </w:rPr>
              <w:t>MODY4</w:t>
            </w:r>
          </w:p>
        </w:tc>
        <w:tc>
          <w:tcPr>
            <w:tcW w:w="1519" w:type="dxa"/>
            <w:gridSpan w:val="2"/>
            <w:tcBorders>
              <w:top w:val="single" w:sz="4" w:space="0" w:color="FFFFFF"/>
              <w:bottom w:val="single" w:sz="4" w:space="0" w:color="FFFFFF"/>
            </w:tcBorders>
            <w:shd w:val="clear" w:color="auto" w:fill="E8F5F1"/>
          </w:tcPr>
          <w:p>
            <w:pPr>
              <w:pStyle w:val="TableParagraph"/>
              <w:spacing w:before="42"/>
              <w:ind w:left="136"/>
              <w:rPr>
                <w:i/>
                <w:sz w:val="15"/>
              </w:rPr>
            </w:pPr>
            <w:r>
              <w:rPr>
                <w:i/>
                <w:color w:val="231F20"/>
                <w:spacing w:val="-2"/>
                <w:sz w:val="15"/>
              </w:rPr>
              <w:t>IPF-</w:t>
            </w:r>
            <w:r>
              <w:rPr>
                <w:i/>
                <w:color w:val="231F20"/>
                <w:spacing w:val="-10"/>
                <w:sz w:val="15"/>
              </w:rPr>
              <w:t>1</w:t>
            </w:r>
          </w:p>
        </w:tc>
        <w:tc>
          <w:tcPr>
            <w:tcW w:w="2563" w:type="dxa"/>
            <w:tcBorders>
              <w:top w:val="single" w:sz="4" w:space="0" w:color="FFFFFF"/>
              <w:bottom w:val="single" w:sz="4" w:space="0" w:color="FFFFFF"/>
            </w:tcBorders>
            <w:shd w:val="clear" w:color="auto" w:fill="E8F5F1"/>
          </w:tcPr>
          <w:p>
            <w:pPr>
              <w:pStyle w:val="TableParagraph"/>
              <w:spacing w:line="230" w:lineRule="auto" w:before="48"/>
              <w:ind w:left="247" w:hanging="112"/>
              <w:rPr>
                <w:sz w:val="15"/>
              </w:rPr>
            </w:pPr>
            <w:r>
              <w:rPr>
                <w:color w:val="231F20"/>
                <w:spacing w:val="-2"/>
                <w:sz w:val="15"/>
              </w:rPr>
              <w:t>Necessary</w:t>
            </w:r>
            <w:r>
              <w:rPr>
                <w:color w:val="231F20"/>
                <w:spacing w:val="-7"/>
                <w:sz w:val="15"/>
              </w:rPr>
              <w:t> </w:t>
            </w:r>
            <w:r>
              <w:rPr>
                <w:color w:val="231F20"/>
                <w:spacing w:val="-2"/>
                <w:sz w:val="15"/>
              </w:rPr>
              <w:t>for</w:t>
            </w:r>
            <w:r>
              <w:rPr>
                <w:color w:val="231F20"/>
                <w:spacing w:val="-7"/>
                <w:sz w:val="15"/>
              </w:rPr>
              <w:t> </w:t>
            </w:r>
            <w:r>
              <w:rPr>
                <w:color w:val="231F20"/>
                <w:spacing w:val="-2"/>
                <w:sz w:val="15"/>
              </w:rPr>
              <w:t>pancreatic development</w:t>
            </w:r>
          </w:p>
        </w:tc>
        <w:tc>
          <w:tcPr>
            <w:tcW w:w="483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z w:val="15"/>
              </w:rPr>
              <w:t>Homozygous</w:t>
            </w:r>
            <w:r>
              <w:rPr>
                <w:color w:val="231F20"/>
                <w:spacing w:val="-1"/>
                <w:sz w:val="15"/>
              </w:rPr>
              <w:t> </w:t>
            </w:r>
            <w:r>
              <w:rPr>
                <w:color w:val="231F20"/>
                <w:sz w:val="15"/>
              </w:rPr>
              <w:t>mutation causes</w:t>
            </w:r>
            <w:r>
              <w:rPr>
                <w:color w:val="231F20"/>
                <w:spacing w:val="-1"/>
                <w:sz w:val="15"/>
              </w:rPr>
              <w:t> </w:t>
            </w:r>
            <w:r>
              <w:rPr>
                <w:color w:val="231F20"/>
                <w:sz w:val="15"/>
              </w:rPr>
              <w:t>pancreatic </w:t>
            </w:r>
            <w:r>
              <w:rPr>
                <w:color w:val="231F20"/>
                <w:spacing w:val="-2"/>
                <w:sz w:val="15"/>
              </w:rPr>
              <w:t>agenesis</w:t>
            </w:r>
          </w:p>
        </w:tc>
      </w:tr>
      <w:tr>
        <w:trPr>
          <w:trHeight w:val="588" w:hRule="atLeast"/>
        </w:trPr>
        <w:tc>
          <w:tcPr>
            <w:tcW w:w="822" w:type="dxa"/>
            <w:tcBorders>
              <w:top w:val="single" w:sz="4" w:space="0" w:color="FFFFFF"/>
              <w:bottom w:val="single" w:sz="4" w:space="0" w:color="FFFFFF"/>
            </w:tcBorders>
            <w:shd w:val="clear" w:color="auto" w:fill="E8F5F1"/>
          </w:tcPr>
          <w:p>
            <w:pPr>
              <w:pStyle w:val="TableParagraph"/>
              <w:spacing w:before="42"/>
              <w:ind w:left="1" w:right="139"/>
              <w:jc w:val="center"/>
              <w:rPr>
                <w:sz w:val="15"/>
              </w:rPr>
            </w:pPr>
            <w:r>
              <w:rPr>
                <w:color w:val="231F20"/>
                <w:spacing w:val="-2"/>
                <w:w w:val="115"/>
                <w:sz w:val="15"/>
              </w:rPr>
              <w:t>MODY5</w:t>
            </w:r>
          </w:p>
        </w:tc>
        <w:tc>
          <w:tcPr>
            <w:tcW w:w="1519" w:type="dxa"/>
            <w:gridSpan w:val="2"/>
            <w:tcBorders>
              <w:top w:val="single" w:sz="4" w:space="0" w:color="FFFFFF"/>
              <w:bottom w:val="single" w:sz="4" w:space="0" w:color="FFFFFF"/>
            </w:tcBorders>
            <w:shd w:val="clear" w:color="auto" w:fill="E8F5F1"/>
          </w:tcPr>
          <w:p>
            <w:pPr>
              <w:pStyle w:val="TableParagraph"/>
              <w:spacing w:before="34"/>
              <w:ind w:left="136"/>
              <w:rPr>
                <w:rFonts w:ascii="Verdana" w:hAnsi="Verdana"/>
                <w:i/>
                <w:sz w:val="15"/>
              </w:rPr>
            </w:pPr>
            <w:r>
              <w:rPr>
                <w:i/>
                <w:color w:val="231F20"/>
                <w:spacing w:val="-2"/>
                <w:w w:val="105"/>
                <w:sz w:val="15"/>
              </w:rPr>
              <w:t>HNF1</w:t>
            </w:r>
            <w:r>
              <w:rPr>
                <w:rFonts w:ascii="Verdana" w:hAnsi="Verdana"/>
                <w:i/>
                <w:color w:val="231F20"/>
                <w:spacing w:val="-2"/>
                <w:w w:val="105"/>
                <w:sz w:val="15"/>
              </w:rPr>
              <w:t>β</w:t>
            </w:r>
          </w:p>
        </w:tc>
        <w:tc>
          <w:tcPr>
            <w:tcW w:w="2563"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Transcription</w:t>
            </w:r>
            <w:r>
              <w:rPr>
                <w:color w:val="231F20"/>
                <w:sz w:val="15"/>
              </w:rPr>
              <w:t> </w:t>
            </w:r>
            <w:r>
              <w:rPr>
                <w:color w:val="231F20"/>
                <w:spacing w:val="-2"/>
                <w:sz w:val="15"/>
              </w:rPr>
              <w:t>factor</w:t>
            </w:r>
          </w:p>
        </w:tc>
        <w:tc>
          <w:tcPr>
            <w:tcW w:w="4837" w:type="dxa"/>
            <w:tcBorders>
              <w:top w:val="single" w:sz="4" w:space="0" w:color="FFFFFF"/>
              <w:bottom w:val="single" w:sz="4" w:space="0" w:color="FFFFFF"/>
            </w:tcBorders>
            <w:shd w:val="clear" w:color="auto" w:fill="E8F5F1"/>
          </w:tcPr>
          <w:p>
            <w:pPr>
              <w:pStyle w:val="TableParagraph"/>
              <w:spacing w:line="230" w:lineRule="auto" w:before="48"/>
              <w:ind w:left="247" w:right="105" w:hanging="112"/>
              <w:rPr>
                <w:sz w:val="15"/>
              </w:rPr>
            </w:pPr>
            <w:r>
              <w:rPr>
                <w:color w:val="231F20"/>
                <w:sz w:val="15"/>
              </w:rPr>
              <w:t>Renal malformations; associated with uterine abnormalities, </w:t>
            </w:r>
            <w:r>
              <w:rPr>
                <w:color w:val="231F20"/>
                <w:spacing w:val="-2"/>
                <w:sz w:val="15"/>
              </w:rPr>
              <w:t>hypospadias,</w:t>
            </w:r>
            <w:r>
              <w:rPr>
                <w:color w:val="231F20"/>
                <w:spacing w:val="-10"/>
                <w:sz w:val="15"/>
              </w:rPr>
              <w:t> </w:t>
            </w:r>
            <w:r>
              <w:rPr>
                <w:color w:val="231F20"/>
                <w:spacing w:val="-2"/>
                <w:sz w:val="15"/>
              </w:rPr>
              <w:t>joint</w:t>
            </w:r>
            <w:r>
              <w:rPr>
                <w:color w:val="231F20"/>
                <w:spacing w:val="-9"/>
                <w:sz w:val="15"/>
              </w:rPr>
              <w:t> </w:t>
            </w:r>
            <w:r>
              <w:rPr>
                <w:color w:val="231F20"/>
                <w:spacing w:val="-2"/>
                <w:sz w:val="15"/>
              </w:rPr>
              <w:t>laxity,</w:t>
            </w:r>
            <w:r>
              <w:rPr>
                <w:color w:val="231F20"/>
                <w:spacing w:val="-9"/>
                <w:sz w:val="15"/>
              </w:rPr>
              <w:t> </w:t>
            </w:r>
            <w:r>
              <w:rPr>
                <w:color w:val="231F20"/>
                <w:spacing w:val="-2"/>
                <w:sz w:val="15"/>
              </w:rPr>
              <w:t>and</w:t>
            </w:r>
            <w:r>
              <w:rPr>
                <w:color w:val="231F20"/>
                <w:spacing w:val="-10"/>
                <w:sz w:val="15"/>
              </w:rPr>
              <w:t> </w:t>
            </w:r>
            <w:r>
              <w:rPr>
                <w:color w:val="231F20"/>
                <w:spacing w:val="-2"/>
                <w:sz w:val="15"/>
              </w:rPr>
              <w:t>learning</w:t>
            </w:r>
            <w:r>
              <w:rPr>
                <w:color w:val="231F20"/>
                <w:spacing w:val="-9"/>
                <w:sz w:val="15"/>
              </w:rPr>
              <w:t> </w:t>
            </w:r>
            <w:r>
              <w:rPr>
                <w:color w:val="231F20"/>
                <w:spacing w:val="-2"/>
                <w:sz w:val="15"/>
              </w:rPr>
              <w:t>difficulties,</w:t>
            </w:r>
            <w:r>
              <w:rPr>
                <w:color w:val="231F20"/>
                <w:spacing w:val="-9"/>
                <w:sz w:val="15"/>
              </w:rPr>
              <w:t> </w:t>
            </w:r>
            <w:r>
              <w:rPr>
                <w:color w:val="231F20"/>
                <w:spacing w:val="-2"/>
                <w:sz w:val="15"/>
              </w:rPr>
              <w:t>pancreatic </w:t>
            </w:r>
            <w:r>
              <w:rPr>
                <w:color w:val="231F20"/>
                <w:sz w:val="15"/>
              </w:rPr>
              <w:t>atrophy, pancreatic exocrine insufficiency; 5-10% of MODY</w:t>
            </w:r>
          </w:p>
        </w:tc>
      </w:tr>
      <w:tr>
        <w:trPr>
          <w:trHeight w:val="420" w:hRule="atLeast"/>
        </w:trPr>
        <w:tc>
          <w:tcPr>
            <w:tcW w:w="822" w:type="dxa"/>
            <w:tcBorders>
              <w:top w:val="single" w:sz="4" w:space="0" w:color="FFFFFF"/>
              <w:bottom w:val="single" w:sz="4" w:space="0" w:color="FFFFFF"/>
            </w:tcBorders>
            <w:shd w:val="clear" w:color="auto" w:fill="E8F5F1"/>
          </w:tcPr>
          <w:p>
            <w:pPr>
              <w:pStyle w:val="TableParagraph"/>
              <w:spacing w:before="42"/>
              <w:ind w:left="2" w:right="139"/>
              <w:jc w:val="center"/>
              <w:rPr>
                <w:sz w:val="15"/>
              </w:rPr>
            </w:pPr>
            <w:r>
              <w:rPr>
                <w:color w:val="231F20"/>
                <w:spacing w:val="-2"/>
                <w:w w:val="115"/>
                <w:sz w:val="15"/>
              </w:rPr>
              <w:t>MODY6</w:t>
            </w:r>
          </w:p>
        </w:tc>
        <w:tc>
          <w:tcPr>
            <w:tcW w:w="1519" w:type="dxa"/>
            <w:gridSpan w:val="2"/>
            <w:tcBorders>
              <w:top w:val="single" w:sz="4" w:space="0" w:color="FFFFFF"/>
              <w:bottom w:val="single" w:sz="4" w:space="0" w:color="FFFFFF"/>
            </w:tcBorders>
            <w:shd w:val="clear" w:color="auto" w:fill="E8F5F1"/>
          </w:tcPr>
          <w:p>
            <w:pPr>
              <w:pStyle w:val="TableParagraph"/>
              <w:spacing w:before="42"/>
              <w:ind w:left="136"/>
              <w:rPr>
                <w:i/>
                <w:sz w:val="15"/>
              </w:rPr>
            </w:pPr>
            <w:r>
              <w:rPr>
                <w:i/>
                <w:color w:val="231F20"/>
                <w:spacing w:val="-2"/>
                <w:w w:val="110"/>
                <w:sz w:val="15"/>
              </w:rPr>
              <w:t>NEUROD1</w:t>
            </w:r>
          </w:p>
        </w:tc>
        <w:tc>
          <w:tcPr>
            <w:tcW w:w="2563" w:type="dxa"/>
            <w:tcBorders>
              <w:top w:val="single" w:sz="4" w:space="0" w:color="FFFFFF"/>
              <w:bottom w:val="single" w:sz="4" w:space="0" w:color="FFFFFF"/>
            </w:tcBorders>
            <w:shd w:val="clear" w:color="auto" w:fill="E8F5F1"/>
          </w:tcPr>
          <w:p>
            <w:pPr>
              <w:pStyle w:val="TableParagraph"/>
              <w:spacing w:line="230" w:lineRule="auto" w:before="48"/>
              <w:ind w:left="247" w:hanging="112"/>
              <w:rPr>
                <w:sz w:val="15"/>
              </w:rPr>
            </w:pPr>
            <w:r>
              <w:rPr>
                <w:color w:val="231F20"/>
                <w:sz w:val="15"/>
              </w:rPr>
              <w:t>Differentiation factor in the </w:t>
            </w:r>
            <w:r>
              <w:rPr>
                <w:color w:val="231F20"/>
                <w:spacing w:val="-2"/>
                <w:sz w:val="15"/>
              </w:rPr>
              <w:t>development</w:t>
            </w:r>
            <w:r>
              <w:rPr>
                <w:color w:val="231F20"/>
                <w:spacing w:val="-4"/>
                <w:sz w:val="15"/>
              </w:rPr>
              <w:t> </w:t>
            </w:r>
            <w:r>
              <w:rPr>
                <w:color w:val="231F20"/>
                <w:spacing w:val="-2"/>
                <w:sz w:val="15"/>
              </w:rPr>
              <w:t>of</w:t>
            </w:r>
            <w:r>
              <w:rPr>
                <w:color w:val="231F20"/>
                <w:spacing w:val="-4"/>
                <w:sz w:val="15"/>
              </w:rPr>
              <w:t> </w:t>
            </w:r>
            <w:r>
              <w:rPr>
                <w:color w:val="231F20"/>
                <w:spacing w:val="-2"/>
                <w:sz w:val="15"/>
              </w:rPr>
              <w:t>pancreatic</w:t>
            </w:r>
            <w:r>
              <w:rPr>
                <w:color w:val="231F20"/>
                <w:spacing w:val="-4"/>
                <w:sz w:val="15"/>
              </w:rPr>
              <w:t> </w:t>
            </w:r>
            <w:r>
              <w:rPr>
                <w:color w:val="231F20"/>
                <w:spacing w:val="-2"/>
                <w:sz w:val="15"/>
              </w:rPr>
              <w:t>islets</w:t>
            </w:r>
          </w:p>
        </w:tc>
        <w:tc>
          <w:tcPr>
            <w:tcW w:w="4837"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Extremely</w:t>
            </w:r>
            <w:r>
              <w:rPr>
                <w:color w:val="231F20"/>
                <w:spacing w:val="-9"/>
                <w:sz w:val="15"/>
              </w:rPr>
              <w:t> </w:t>
            </w:r>
            <w:r>
              <w:rPr>
                <w:color w:val="231F20"/>
                <w:spacing w:val="-4"/>
                <w:sz w:val="15"/>
              </w:rPr>
              <w:t>rare</w:t>
            </w:r>
          </w:p>
        </w:tc>
      </w:tr>
      <w:tr>
        <w:trPr>
          <w:trHeight w:val="252" w:hRule="atLeast"/>
        </w:trPr>
        <w:tc>
          <w:tcPr>
            <w:tcW w:w="822" w:type="dxa"/>
            <w:tcBorders>
              <w:top w:val="single" w:sz="4" w:space="0" w:color="FFFFFF"/>
              <w:bottom w:val="single" w:sz="4" w:space="0" w:color="FFFFFF"/>
            </w:tcBorders>
            <w:shd w:val="clear" w:color="auto" w:fill="E8F5F1"/>
          </w:tcPr>
          <w:p>
            <w:pPr>
              <w:pStyle w:val="TableParagraph"/>
              <w:spacing w:before="42"/>
              <w:ind w:left="2" w:right="139"/>
              <w:jc w:val="center"/>
              <w:rPr>
                <w:sz w:val="15"/>
              </w:rPr>
            </w:pPr>
            <w:r>
              <w:rPr>
                <w:color w:val="231F20"/>
                <w:spacing w:val="-2"/>
                <w:w w:val="115"/>
                <w:sz w:val="15"/>
              </w:rPr>
              <w:t>MODY7</w:t>
            </w:r>
          </w:p>
        </w:tc>
        <w:tc>
          <w:tcPr>
            <w:tcW w:w="1519" w:type="dxa"/>
            <w:gridSpan w:val="2"/>
            <w:tcBorders>
              <w:top w:val="single" w:sz="4" w:space="0" w:color="FFFFFF"/>
              <w:bottom w:val="single" w:sz="4" w:space="0" w:color="FFFFFF"/>
            </w:tcBorders>
            <w:shd w:val="clear" w:color="auto" w:fill="E8F5F1"/>
          </w:tcPr>
          <w:p>
            <w:pPr>
              <w:pStyle w:val="TableParagraph"/>
              <w:spacing w:before="42"/>
              <w:ind w:left="136"/>
              <w:rPr>
                <w:i/>
                <w:sz w:val="15"/>
              </w:rPr>
            </w:pPr>
            <w:r>
              <w:rPr>
                <w:i/>
                <w:color w:val="231F20"/>
                <w:spacing w:val="-2"/>
                <w:sz w:val="15"/>
              </w:rPr>
              <w:t>KFL11</w:t>
            </w:r>
          </w:p>
        </w:tc>
        <w:tc>
          <w:tcPr>
            <w:tcW w:w="2563"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Zinc finger transcription factor</w:t>
            </w:r>
          </w:p>
        </w:tc>
        <w:tc>
          <w:tcPr>
            <w:tcW w:w="4837"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z w:val="15"/>
              </w:rPr>
              <w:t>Early-onset</w:t>
            </w:r>
            <w:r>
              <w:rPr>
                <w:color w:val="231F20"/>
                <w:spacing w:val="-8"/>
                <w:sz w:val="15"/>
              </w:rPr>
              <w:t> </w:t>
            </w:r>
            <w:r>
              <w:rPr>
                <w:color w:val="231F20"/>
                <w:sz w:val="15"/>
              </w:rPr>
              <w:t>type</w:t>
            </w:r>
            <w:r>
              <w:rPr>
                <w:color w:val="231F20"/>
                <w:spacing w:val="-8"/>
                <w:sz w:val="15"/>
              </w:rPr>
              <w:t> </w:t>
            </w:r>
            <w:r>
              <w:rPr>
                <w:color w:val="231F20"/>
                <w:sz w:val="15"/>
              </w:rPr>
              <w:t>II</w:t>
            </w:r>
            <w:r>
              <w:rPr>
                <w:color w:val="231F20"/>
                <w:spacing w:val="-8"/>
                <w:sz w:val="15"/>
              </w:rPr>
              <w:t> </w:t>
            </w:r>
            <w:r>
              <w:rPr>
                <w:color w:val="231F20"/>
                <w:sz w:val="15"/>
              </w:rPr>
              <w:t>diabetes</w:t>
            </w:r>
            <w:r>
              <w:rPr>
                <w:color w:val="231F20"/>
                <w:spacing w:val="-8"/>
                <w:sz w:val="15"/>
              </w:rPr>
              <w:t> </w:t>
            </w:r>
            <w:r>
              <w:rPr>
                <w:color w:val="231F20"/>
                <w:spacing w:val="-2"/>
                <w:sz w:val="15"/>
              </w:rPr>
              <w:t>mellitus</w:t>
            </w:r>
          </w:p>
        </w:tc>
      </w:tr>
      <w:tr>
        <w:trPr>
          <w:trHeight w:val="252" w:hRule="atLeast"/>
        </w:trPr>
        <w:tc>
          <w:tcPr>
            <w:tcW w:w="822" w:type="dxa"/>
            <w:tcBorders>
              <w:top w:val="single" w:sz="4" w:space="0" w:color="FFFFFF"/>
              <w:bottom w:val="single" w:sz="4" w:space="0" w:color="FFFFFF"/>
            </w:tcBorders>
            <w:shd w:val="clear" w:color="auto" w:fill="E8F5F1"/>
          </w:tcPr>
          <w:p>
            <w:pPr>
              <w:pStyle w:val="TableParagraph"/>
              <w:spacing w:before="42"/>
              <w:ind w:left="2" w:right="139"/>
              <w:jc w:val="center"/>
              <w:rPr>
                <w:sz w:val="15"/>
              </w:rPr>
            </w:pPr>
            <w:r>
              <w:rPr>
                <w:color w:val="231F20"/>
                <w:spacing w:val="-2"/>
                <w:w w:val="115"/>
                <w:sz w:val="15"/>
              </w:rPr>
              <w:t>MODY8</w:t>
            </w:r>
          </w:p>
        </w:tc>
        <w:tc>
          <w:tcPr>
            <w:tcW w:w="1519" w:type="dxa"/>
            <w:gridSpan w:val="2"/>
            <w:tcBorders>
              <w:top w:val="single" w:sz="4" w:space="0" w:color="FFFFFF"/>
              <w:bottom w:val="single" w:sz="4" w:space="0" w:color="FFFFFF"/>
            </w:tcBorders>
            <w:shd w:val="clear" w:color="auto" w:fill="E8F5F1"/>
          </w:tcPr>
          <w:p>
            <w:pPr>
              <w:pStyle w:val="TableParagraph"/>
              <w:spacing w:before="42"/>
              <w:ind w:left="137"/>
              <w:rPr>
                <w:i/>
                <w:sz w:val="15"/>
              </w:rPr>
            </w:pPr>
            <w:r>
              <w:rPr>
                <w:i/>
                <w:color w:val="231F20"/>
                <w:spacing w:val="-5"/>
                <w:w w:val="110"/>
                <w:sz w:val="15"/>
              </w:rPr>
              <w:t>CEL</w:t>
            </w:r>
          </w:p>
        </w:tc>
        <w:tc>
          <w:tcPr>
            <w:tcW w:w="2563"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z w:val="15"/>
              </w:rPr>
              <w:t>Bile</w:t>
            </w:r>
            <w:r>
              <w:rPr>
                <w:color w:val="231F20"/>
                <w:spacing w:val="8"/>
                <w:sz w:val="15"/>
              </w:rPr>
              <w:t> </w:t>
            </w:r>
            <w:r>
              <w:rPr>
                <w:color w:val="231F20"/>
                <w:sz w:val="15"/>
              </w:rPr>
              <w:t>salt–dependent</w:t>
            </w:r>
            <w:r>
              <w:rPr>
                <w:color w:val="231F20"/>
                <w:spacing w:val="9"/>
                <w:sz w:val="15"/>
              </w:rPr>
              <w:t> </w:t>
            </w:r>
            <w:r>
              <w:rPr>
                <w:color w:val="231F20"/>
                <w:spacing w:val="-2"/>
                <w:sz w:val="15"/>
              </w:rPr>
              <w:t>lipase</w:t>
            </w:r>
          </w:p>
        </w:tc>
        <w:tc>
          <w:tcPr>
            <w:tcW w:w="4837"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Hyperglycemia;</w:t>
            </w:r>
            <w:r>
              <w:rPr>
                <w:color w:val="231F20"/>
                <w:spacing w:val="-5"/>
                <w:sz w:val="15"/>
              </w:rPr>
              <w:t> </w:t>
            </w:r>
            <w:r>
              <w:rPr>
                <w:color w:val="231F20"/>
                <w:spacing w:val="-2"/>
                <w:sz w:val="15"/>
              </w:rPr>
              <w:t>fecal</w:t>
            </w:r>
            <w:r>
              <w:rPr>
                <w:color w:val="231F20"/>
                <w:spacing w:val="-5"/>
                <w:sz w:val="15"/>
              </w:rPr>
              <w:t> </w:t>
            </w:r>
            <w:r>
              <w:rPr>
                <w:color w:val="231F20"/>
                <w:spacing w:val="-2"/>
                <w:sz w:val="15"/>
              </w:rPr>
              <w:t>elastase</w:t>
            </w:r>
            <w:r>
              <w:rPr>
                <w:color w:val="231F20"/>
                <w:spacing w:val="-4"/>
                <w:sz w:val="15"/>
              </w:rPr>
              <w:t> </w:t>
            </w:r>
            <w:r>
              <w:rPr>
                <w:color w:val="231F20"/>
                <w:spacing w:val="-2"/>
                <w:sz w:val="15"/>
              </w:rPr>
              <w:t>deficiency;</w:t>
            </w:r>
            <w:r>
              <w:rPr>
                <w:color w:val="231F20"/>
                <w:spacing w:val="-5"/>
                <w:sz w:val="15"/>
              </w:rPr>
              <w:t> </w:t>
            </w:r>
            <w:r>
              <w:rPr>
                <w:color w:val="231F20"/>
                <w:spacing w:val="-2"/>
                <w:sz w:val="15"/>
              </w:rPr>
              <w:t>exocrine</w:t>
            </w:r>
            <w:r>
              <w:rPr>
                <w:color w:val="231F20"/>
                <w:spacing w:val="-5"/>
                <w:sz w:val="15"/>
              </w:rPr>
              <w:t> </w:t>
            </w:r>
            <w:r>
              <w:rPr>
                <w:color w:val="231F20"/>
                <w:spacing w:val="-2"/>
                <w:sz w:val="15"/>
              </w:rPr>
              <w:t>pancreatic</w:t>
            </w:r>
            <w:r>
              <w:rPr>
                <w:color w:val="231F20"/>
                <w:spacing w:val="-4"/>
                <w:sz w:val="15"/>
              </w:rPr>
              <w:t> </w:t>
            </w:r>
            <w:r>
              <w:rPr>
                <w:color w:val="231F20"/>
                <w:spacing w:val="-2"/>
                <w:sz w:val="15"/>
              </w:rPr>
              <w:t>atrophy</w:t>
            </w:r>
          </w:p>
        </w:tc>
      </w:tr>
      <w:tr>
        <w:trPr>
          <w:trHeight w:val="252" w:hRule="atLeast"/>
        </w:trPr>
        <w:tc>
          <w:tcPr>
            <w:tcW w:w="822" w:type="dxa"/>
            <w:tcBorders>
              <w:top w:val="single" w:sz="4" w:space="0" w:color="FFFFFF"/>
              <w:bottom w:val="single" w:sz="4" w:space="0" w:color="FFFFFF"/>
            </w:tcBorders>
            <w:shd w:val="clear" w:color="auto" w:fill="E8F5F1"/>
          </w:tcPr>
          <w:p>
            <w:pPr>
              <w:pStyle w:val="TableParagraph"/>
              <w:spacing w:before="42"/>
              <w:ind w:left="1" w:right="139"/>
              <w:jc w:val="center"/>
              <w:rPr>
                <w:sz w:val="15"/>
              </w:rPr>
            </w:pPr>
            <w:r>
              <w:rPr>
                <w:color w:val="231F20"/>
                <w:spacing w:val="-2"/>
                <w:w w:val="115"/>
                <w:sz w:val="15"/>
              </w:rPr>
              <w:t>MODY9</w:t>
            </w:r>
          </w:p>
        </w:tc>
        <w:tc>
          <w:tcPr>
            <w:tcW w:w="1519" w:type="dxa"/>
            <w:gridSpan w:val="2"/>
            <w:tcBorders>
              <w:top w:val="single" w:sz="4" w:space="0" w:color="FFFFFF"/>
              <w:bottom w:val="single" w:sz="4" w:space="0" w:color="FFFFFF"/>
            </w:tcBorders>
            <w:shd w:val="clear" w:color="auto" w:fill="E8F5F1"/>
          </w:tcPr>
          <w:p>
            <w:pPr>
              <w:pStyle w:val="TableParagraph"/>
              <w:spacing w:before="42"/>
              <w:ind w:left="137"/>
              <w:rPr>
                <w:i/>
                <w:sz w:val="15"/>
              </w:rPr>
            </w:pPr>
            <w:r>
              <w:rPr>
                <w:i/>
                <w:color w:val="231F20"/>
                <w:spacing w:val="-4"/>
                <w:w w:val="105"/>
                <w:sz w:val="15"/>
              </w:rPr>
              <w:t>PAX4</w:t>
            </w:r>
          </w:p>
        </w:tc>
        <w:tc>
          <w:tcPr>
            <w:tcW w:w="2563"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Transcription</w:t>
            </w:r>
            <w:r>
              <w:rPr>
                <w:color w:val="231F20"/>
                <w:sz w:val="15"/>
              </w:rPr>
              <w:t> </w:t>
            </w:r>
            <w:r>
              <w:rPr>
                <w:color w:val="231F20"/>
                <w:spacing w:val="-2"/>
                <w:sz w:val="15"/>
              </w:rPr>
              <w:t>factor</w:t>
            </w:r>
          </w:p>
        </w:tc>
        <w:tc>
          <w:tcPr>
            <w:tcW w:w="4837"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252" w:hRule="atLeast"/>
        </w:trPr>
        <w:tc>
          <w:tcPr>
            <w:tcW w:w="822" w:type="dxa"/>
            <w:tcBorders>
              <w:top w:val="single" w:sz="4" w:space="0" w:color="FFFFFF"/>
              <w:bottom w:val="single" w:sz="4" w:space="0" w:color="FFFFFF"/>
            </w:tcBorders>
            <w:shd w:val="clear" w:color="auto" w:fill="E8F5F1"/>
          </w:tcPr>
          <w:p>
            <w:pPr>
              <w:pStyle w:val="TableParagraph"/>
              <w:spacing w:before="42"/>
              <w:ind w:right="59"/>
              <w:jc w:val="center"/>
              <w:rPr>
                <w:sz w:val="15"/>
              </w:rPr>
            </w:pPr>
            <w:r>
              <w:rPr>
                <w:color w:val="231F20"/>
                <w:spacing w:val="-2"/>
                <w:w w:val="110"/>
                <w:sz w:val="15"/>
              </w:rPr>
              <w:t>MODY10</w:t>
            </w:r>
          </w:p>
        </w:tc>
        <w:tc>
          <w:tcPr>
            <w:tcW w:w="1519" w:type="dxa"/>
            <w:gridSpan w:val="2"/>
            <w:tcBorders>
              <w:top w:val="single" w:sz="4" w:space="0" w:color="FFFFFF"/>
              <w:bottom w:val="single" w:sz="4" w:space="0" w:color="FFFFFF"/>
            </w:tcBorders>
            <w:shd w:val="clear" w:color="auto" w:fill="E8F5F1"/>
          </w:tcPr>
          <w:p>
            <w:pPr>
              <w:pStyle w:val="TableParagraph"/>
              <w:spacing w:before="42"/>
              <w:ind w:left="137"/>
              <w:rPr>
                <w:i/>
                <w:sz w:val="15"/>
              </w:rPr>
            </w:pPr>
            <w:r>
              <w:rPr>
                <w:i/>
                <w:color w:val="231F20"/>
                <w:spacing w:val="-5"/>
                <w:w w:val="115"/>
                <w:sz w:val="15"/>
              </w:rPr>
              <w:t>INS</w:t>
            </w:r>
          </w:p>
        </w:tc>
        <w:tc>
          <w:tcPr>
            <w:tcW w:w="2563" w:type="dxa"/>
            <w:tcBorders>
              <w:top w:val="single" w:sz="4" w:space="0" w:color="FFFFFF"/>
              <w:bottom w:val="single" w:sz="4" w:space="0" w:color="FFFFFF"/>
            </w:tcBorders>
            <w:shd w:val="clear" w:color="auto" w:fill="E8F5F1"/>
          </w:tcPr>
          <w:p>
            <w:pPr>
              <w:pStyle w:val="TableParagraph"/>
              <w:spacing w:before="42"/>
              <w:ind w:left="136"/>
              <w:rPr>
                <w:sz w:val="15"/>
              </w:rPr>
            </w:pPr>
            <w:r>
              <w:rPr>
                <w:color w:val="231F20"/>
                <w:spacing w:val="-2"/>
                <w:sz w:val="15"/>
              </w:rPr>
              <w:t>Insulin</w:t>
            </w:r>
            <w:r>
              <w:rPr>
                <w:color w:val="231F20"/>
                <w:spacing w:val="1"/>
                <w:sz w:val="15"/>
              </w:rPr>
              <w:t> </w:t>
            </w:r>
            <w:r>
              <w:rPr>
                <w:color w:val="231F20"/>
                <w:spacing w:val="-4"/>
                <w:sz w:val="15"/>
              </w:rPr>
              <w:t>gene</w:t>
            </w:r>
          </w:p>
        </w:tc>
        <w:tc>
          <w:tcPr>
            <w:tcW w:w="4837" w:type="dxa"/>
            <w:tcBorders>
              <w:top w:val="single" w:sz="4" w:space="0" w:color="FFFFFF"/>
              <w:bottom w:val="single" w:sz="4" w:space="0" w:color="FFFFFF"/>
            </w:tcBorders>
            <w:shd w:val="clear" w:color="auto" w:fill="E8F5F1"/>
          </w:tcPr>
          <w:p>
            <w:pPr>
              <w:pStyle w:val="TableParagraph"/>
              <w:spacing w:before="42"/>
              <w:ind w:left="135"/>
              <w:rPr>
                <w:sz w:val="15"/>
              </w:rPr>
            </w:pPr>
            <w:r>
              <w:rPr>
                <w:color w:val="231F20"/>
                <w:spacing w:val="-2"/>
                <w:sz w:val="15"/>
              </w:rPr>
              <w:t>Usually</w:t>
            </w:r>
            <w:r>
              <w:rPr>
                <w:color w:val="231F20"/>
                <w:spacing w:val="3"/>
                <w:sz w:val="15"/>
              </w:rPr>
              <w:t> </w:t>
            </w:r>
            <w:r>
              <w:rPr>
                <w:color w:val="231F20"/>
                <w:spacing w:val="-2"/>
                <w:sz w:val="15"/>
              </w:rPr>
              <w:t>associated</w:t>
            </w:r>
            <w:r>
              <w:rPr>
                <w:color w:val="231F20"/>
                <w:spacing w:val="3"/>
                <w:sz w:val="15"/>
              </w:rPr>
              <w:t> </w:t>
            </w:r>
            <w:r>
              <w:rPr>
                <w:color w:val="231F20"/>
                <w:spacing w:val="-2"/>
                <w:sz w:val="15"/>
              </w:rPr>
              <w:t>with</w:t>
            </w:r>
            <w:r>
              <w:rPr>
                <w:color w:val="231F20"/>
                <w:spacing w:val="3"/>
                <w:sz w:val="15"/>
              </w:rPr>
              <w:t> </w:t>
            </w:r>
            <w:r>
              <w:rPr>
                <w:color w:val="231F20"/>
                <w:spacing w:val="-2"/>
                <w:sz w:val="15"/>
              </w:rPr>
              <w:t>neonatal</w:t>
            </w:r>
            <w:r>
              <w:rPr>
                <w:color w:val="231F20"/>
                <w:spacing w:val="3"/>
                <w:sz w:val="15"/>
              </w:rPr>
              <w:t> </w:t>
            </w:r>
            <w:r>
              <w:rPr>
                <w:color w:val="231F20"/>
                <w:spacing w:val="-2"/>
                <w:sz w:val="15"/>
              </w:rPr>
              <w:t>diabetes</w:t>
            </w:r>
          </w:p>
        </w:tc>
      </w:tr>
      <w:tr>
        <w:trPr>
          <w:trHeight w:val="247" w:hRule="atLeast"/>
        </w:trPr>
        <w:tc>
          <w:tcPr>
            <w:tcW w:w="822" w:type="dxa"/>
            <w:tcBorders>
              <w:top w:val="single" w:sz="4" w:space="0" w:color="FFFFFF"/>
              <w:bottom w:val="single" w:sz="8" w:space="0" w:color="231F20"/>
            </w:tcBorders>
            <w:shd w:val="clear" w:color="auto" w:fill="E8F5F1"/>
          </w:tcPr>
          <w:p>
            <w:pPr>
              <w:pStyle w:val="TableParagraph"/>
              <w:spacing w:before="42"/>
              <w:ind w:left="1" w:right="59"/>
              <w:jc w:val="center"/>
              <w:rPr>
                <w:sz w:val="15"/>
              </w:rPr>
            </w:pPr>
            <w:r>
              <w:rPr>
                <w:color w:val="231F20"/>
                <w:spacing w:val="-2"/>
                <w:w w:val="110"/>
                <w:sz w:val="15"/>
              </w:rPr>
              <w:t>MODY11</w:t>
            </w:r>
          </w:p>
        </w:tc>
        <w:tc>
          <w:tcPr>
            <w:tcW w:w="1519" w:type="dxa"/>
            <w:gridSpan w:val="2"/>
            <w:tcBorders>
              <w:top w:val="single" w:sz="4" w:space="0" w:color="FFFFFF"/>
              <w:bottom w:val="single" w:sz="8" w:space="0" w:color="231F20"/>
            </w:tcBorders>
            <w:shd w:val="clear" w:color="auto" w:fill="E8F5F1"/>
          </w:tcPr>
          <w:p>
            <w:pPr>
              <w:pStyle w:val="TableParagraph"/>
              <w:spacing w:before="42"/>
              <w:ind w:left="137"/>
              <w:rPr>
                <w:i/>
                <w:sz w:val="15"/>
              </w:rPr>
            </w:pPr>
            <w:r>
              <w:rPr>
                <w:i/>
                <w:color w:val="231F20"/>
                <w:spacing w:val="-5"/>
                <w:w w:val="105"/>
                <w:sz w:val="15"/>
              </w:rPr>
              <w:t>BLK</w:t>
            </w:r>
          </w:p>
        </w:tc>
        <w:tc>
          <w:tcPr>
            <w:tcW w:w="2563" w:type="dxa"/>
            <w:tcBorders>
              <w:top w:val="single" w:sz="4" w:space="0" w:color="FFFFFF"/>
              <w:bottom w:val="single" w:sz="8" w:space="0" w:color="231F20"/>
            </w:tcBorders>
            <w:shd w:val="clear" w:color="auto" w:fill="E8F5F1"/>
          </w:tcPr>
          <w:p>
            <w:pPr>
              <w:pStyle w:val="TableParagraph"/>
              <w:spacing w:before="42"/>
              <w:ind w:left="136"/>
              <w:rPr>
                <w:sz w:val="15"/>
              </w:rPr>
            </w:pPr>
            <w:r>
              <w:rPr>
                <w:color w:val="231F20"/>
                <w:spacing w:val="-2"/>
                <w:sz w:val="15"/>
              </w:rPr>
              <w:t>B-lymphocyte</w:t>
            </w:r>
            <w:r>
              <w:rPr>
                <w:color w:val="231F20"/>
                <w:spacing w:val="3"/>
                <w:sz w:val="15"/>
              </w:rPr>
              <w:t> </w:t>
            </w:r>
            <w:r>
              <w:rPr>
                <w:color w:val="231F20"/>
                <w:spacing w:val="-2"/>
                <w:sz w:val="15"/>
              </w:rPr>
              <w:t>tyrosine</w:t>
            </w:r>
            <w:r>
              <w:rPr>
                <w:color w:val="231F20"/>
                <w:spacing w:val="4"/>
                <w:sz w:val="15"/>
              </w:rPr>
              <w:t> </w:t>
            </w:r>
            <w:r>
              <w:rPr>
                <w:color w:val="231F20"/>
                <w:spacing w:val="-2"/>
                <w:sz w:val="15"/>
              </w:rPr>
              <w:t>kinase</w:t>
            </w:r>
          </w:p>
        </w:tc>
        <w:tc>
          <w:tcPr>
            <w:tcW w:w="4837" w:type="dxa"/>
            <w:tcBorders>
              <w:top w:val="single" w:sz="4" w:space="0" w:color="FFFFFF"/>
              <w:bottom w:val="single" w:sz="8" w:space="0" w:color="231F20"/>
            </w:tcBorders>
            <w:shd w:val="clear" w:color="auto" w:fill="E8F5F1"/>
          </w:tcPr>
          <w:p>
            <w:pPr>
              <w:pStyle w:val="TableParagraph"/>
              <w:spacing w:before="42"/>
              <w:ind w:left="136"/>
              <w:rPr>
                <w:sz w:val="15"/>
              </w:rPr>
            </w:pPr>
            <w:r>
              <w:rPr>
                <w:color w:val="231F20"/>
                <w:sz w:val="15"/>
              </w:rPr>
              <w:t>Early-onset</w:t>
            </w:r>
            <w:r>
              <w:rPr>
                <w:color w:val="231F20"/>
                <w:spacing w:val="-2"/>
                <w:sz w:val="15"/>
              </w:rPr>
              <w:t> </w:t>
            </w:r>
            <w:r>
              <w:rPr>
                <w:color w:val="231F20"/>
                <w:sz w:val="15"/>
              </w:rPr>
              <w:t>T1DM</w:t>
            </w:r>
            <w:r>
              <w:rPr>
                <w:color w:val="231F20"/>
                <w:spacing w:val="-2"/>
                <w:sz w:val="15"/>
              </w:rPr>
              <w:t> </w:t>
            </w:r>
            <w:r>
              <w:rPr>
                <w:color w:val="231F20"/>
                <w:sz w:val="15"/>
              </w:rPr>
              <w:t>without</w:t>
            </w:r>
            <w:r>
              <w:rPr>
                <w:color w:val="231F20"/>
                <w:spacing w:val="-2"/>
                <w:sz w:val="15"/>
              </w:rPr>
              <w:t> autoantibodies</w:t>
            </w:r>
          </w:p>
        </w:tc>
      </w:tr>
    </w:tbl>
    <w:p>
      <w:pPr>
        <w:pStyle w:val="BodyText"/>
        <w:spacing w:line="150" w:lineRule="exact" w:before="81"/>
        <w:ind w:left="822"/>
      </w:pPr>
      <w:r>
        <w:rPr>
          <w:color w:val="231F20"/>
        </w:rPr>
        <w:t>MODY,</w:t>
      </w:r>
      <w:r>
        <w:rPr>
          <w:color w:val="231F20"/>
          <w:spacing w:val="2"/>
        </w:rPr>
        <w:t> </w:t>
      </w:r>
      <w:r>
        <w:rPr>
          <w:color w:val="231F20"/>
        </w:rPr>
        <w:t>maturity-onset</w:t>
      </w:r>
      <w:r>
        <w:rPr>
          <w:color w:val="231F20"/>
          <w:spacing w:val="3"/>
        </w:rPr>
        <w:t> </w:t>
      </w:r>
      <w:r>
        <w:rPr>
          <w:color w:val="231F20"/>
        </w:rPr>
        <w:t>diabetes</w:t>
      </w:r>
      <w:r>
        <w:rPr>
          <w:color w:val="231F20"/>
          <w:spacing w:val="2"/>
        </w:rPr>
        <w:t> </w:t>
      </w:r>
      <w:r>
        <w:rPr>
          <w:color w:val="231F20"/>
        </w:rPr>
        <w:t>of</w:t>
      </w:r>
      <w:r>
        <w:rPr>
          <w:color w:val="231F20"/>
          <w:spacing w:val="3"/>
        </w:rPr>
        <w:t> </w:t>
      </w:r>
      <w:r>
        <w:rPr>
          <w:color w:val="231F20"/>
        </w:rPr>
        <w:t>the</w:t>
      </w:r>
      <w:r>
        <w:rPr>
          <w:color w:val="231F20"/>
          <w:spacing w:val="2"/>
        </w:rPr>
        <w:t> </w:t>
      </w:r>
      <w:r>
        <w:rPr>
          <w:color w:val="231F20"/>
          <w:spacing w:val="-2"/>
        </w:rPr>
        <w:t>young.</w:t>
      </w:r>
    </w:p>
    <w:p>
      <w:pPr>
        <w:spacing w:line="150" w:lineRule="exact" w:before="0"/>
        <w:ind w:left="953" w:right="0" w:firstLine="0"/>
        <w:jc w:val="left"/>
        <w:rPr>
          <w:i/>
          <w:sz w:val="13"/>
        </w:rPr>
      </w:pPr>
      <w:r>
        <w:rPr>
          <w:i/>
          <w:color w:val="231F20"/>
          <w:sz w:val="13"/>
        </w:rPr>
        <w:t>From Nakhla</w:t>
      </w:r>
      <w:r>
        <w:rPr>
          <w:i/>
          <w:color w:val="231F20"/>
          <w:spacing w:val="1"/>
          <w:sz w:val="13"/>
        </w:rPr>
        <w:t> </w:t>
      </w:r>
      <w:r>
        <w:rPr>
          <w:i/>
          <w:color w:val="231F20"/>
          <w:sz w:val="13"/>
        </w:rPr>
        <w:t>M, Polychronakos</w:t>
      </w:r>
      <w:r>
        <w:rPr>
          <w:i/>
          <w:color w:val="231F20"/>
          <w:spacing w:val="1"/>
          <w:sz w:val="13"/>
        </w:rPr>
        <w:t> </w:t>
      </w:r>
      <w:r>
        <w:rPr>
          <w:i/>
          <w:color w:val="231F20"/>
          <w:sz w:val="13"/>
        </w:rPr>
        <w:t>C: Monogenic</w:t>
      </w:r>
      <w:r>
        <w:rPr>
          <w:i/>
          <w:color w:val="231F20"/>
          <w:spacing w:val="1"/>
          <w:sz w:val="13"/>
        </w:rPr>
        <w:t> </w:t>
      </w:r>
      <w:r>
        <w:rPr>
          <w:i/>
          <w:color w:val="231F20"/>
          <w:sz w:val="13"/>
        </w:rPr>
        <w:t>and</w:t>
      </w:r>
      <w:r>
        <w:rPr>
          <w:i/>
          <w:color w:val="231F20"/>
          <w:spacing w:val="1"/>
          <w:sz w:val="13"/>
        </w:rPr>
        <w:t> </w:t>
      </w:r>
      <w:r>
        <w:rPr>
          <w:i/>
          <w:color w:val="231F20"/>
          <w:sz w:val="13"/>
        </w:rPr>
        <w:t>other unusual</w:t>
      </w:r>
      <w:r>
        <w:rPr>
          <w:i/>
          <w:color w:val="231F20"/>
          <w:spacing w:val="1"/>
          <w:sz w:val="13"/>
        </w:rPr>
        <w:t> </w:t>
      </w:r>
      <w:r>
        <w:rPr>
          <w:i/>
          <w:color w:val="231F20"/>
          <w:sz w:val="13"/>
        </w:rPr>
        <w:t>causes of</w:t>
      </w:r>
      <w:r>
        <w:rPr>
          <w:i/>
          <w:color w:val="231F20"/>
          <w:spacing w:val="1"/>
          <w:sz w:val="13"/>
        </w:rPr>
        <w:t> </w:t>
      </w:r>
      <w:r>
        <w:rPr>
          <w:i/>
          <w:color w:val="231F20"/>
          <w:sz w:val="13"/>
        </w:rPr>
        <w:t>diabetes</w:t>
      </w:r>
      <w:r>
        <w:rPr>
          <w:i/>
          <w:color w:val="231F20"/>
          <w:spacing w:val="1"/>
          <w:sz w:val="13"/>
        </w:rPr>
        <w:t> </w:t>
      </w:r>
      <w:r>
        <w:rPr>
          <w:i/>
          <w:color w:val="231F20"/>
          <w:sz w:val="13"/>
        </w:rPr>
        <w:t>mellitus, </w:t>
      </w:r>
      <w:r>
        <w:rPr>
          <w:color w:val="231F20"/>
          <w:sz w:val="13"/>
        </w:rPr>
        <w:t>Pediatr</w:t>
      </w:r>
      <w:r>
        <w:rPr>
          <w:color w:val="231F20"/>
          <w:spacing w:val="1"/>
          <w:sz w:val="13"/>
        </w:rPr>
        <w:t> </w:t>
      </w:r>
      <w:r>
        <w:rPr>
          <w:color w:val="231F20"/>
          <w:sz w:val="13"/>
        </w:rPr>
        <w:t>Clin North</w:t>
      </w:r>
      <w:r>
        <w:rPr>
          <w:color w:val="231F20"/>
          <w:spacing w:val="1"/>
          <w:sz w:val="13"/>
        </w:rPr>
        <w:t> </w:t>
      </w:r>
      <w:r>
        <w:rPr>
          <w:color w:val="231F20"/>
          <w:sz w:val="13"/>
        </w:rPr>
        <w:t>Am</w:t>
      </w:r>
      <w:r>
        <w:rPr>
          <w:color w:val="231F20"/>
          <w:spacing w:val="1"/>
          <w:sz w:val="13"/>
        </w:rPr>
        <w:t> </w:t>
      </w:r>
      <w:r>
        <w:rPr>
          <w:i/>
          <w:color w:val="231F20"/>
          <w:sz w:val="13"/>
        </w:rPr>
        <w:t>52:1637–1650, </w:t>
      </w:r>
      <w:r>
        <w:rPr>
          <w:i/>
          <w:color w:val="231F20"/>
          <w:spacing w:val="-2"/>
          <w:sz w:val="13"/>
        </w:rPr>
        <w:t>2005.</w:t>
      </w:r>
    </w:p>
    <w:p>
      <w:pPr>
        <w:pStyle w:val="BodyText"/>
        <w:spacing w:before="232"/>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901"/>
        <w:gridCol w:w="1515"/>
        <w:gridCol w:w="1623"/>
        <w:gridCol w:w="2985"/>
        <w:gridCol w:w="1493"/>
      </w:tblGrid>
      <w:tr>
        <w:trPr>
          <w:trHeight w:val="541"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17</w:t>
            </w:r>
          </w:p>
        </w:tc>
        <w:tc>
          <w:tcPr>
            <w:tcW w:w="8517" w:type="dxa"/>
            <w:gridSpan w:val="5"/>
            <w:tcBorders>
              <w:left w:val="single" w:sz="8" w:space="0" w:color="FFFFFF"/>
            </w:tcBorders>
            <w:shd w:val="clear" w:color="auto" w:fill="231F20"/>
          </w:tcPr>
          <w:p>
            <w:pPr>
              <w:pStyle w:val="TableParagraph"/>
              <w:spacing w:before="89"/>
              <w:ind w:left="74" w:right="110"/>
              <w:rPr>
                <w:sz w:val="16"/>
              </w:rPr>
            </w:pPr>
            <w:r>
              <w:rPr>
                <w:color w:val="FFFFFF"/>
                <w:w w:val="105"/>
                <w:sz w:val="16"/>
              </w:rPr>
              <w:t>Clinical and Biochemical Features Associated with Type 1 Diabetes, Type 2 Diabetes and the Common Subtypes of Maturity-Onset Diabetes of the Young</w:t>
            </w:r>
          </w:p>
        </w:tc>
      </w:tr>
      <w:tr>
        <w:trPr>
          <w:trHeight w:val="276" w:hRule="atLeast"/>
        </w:trPr>
        <w:tc>
          <w:tcPr>
            <w:tcW w:w="2123"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05"/>
                <w:sz w:val="15"/>
              </w:rPr>
              <w:t>FEATURES</w:t>
            </w:r>
          </w:p>
        </w:tc>
        <w:tc>
          <w:tcPr>
            <w:tcW w:w="1515" w:type="dxa"/>
            <w:tcBorders>
              <w:bottom w:val="single" w:sz="4" w:space="0" w:color="231F20"/>
            </w:tcBorders>
            <w:shd w:val="clear" w:color="auto" w:fill="E8F5F1"/>
          </w:tcPr>
          <w:p>
            <w:pPr>
              <w:pStyle w:val="TableParagraph"/>
              <w:spacing w:before="66"/>
              <w:ind w:left="116"/>
              <w:rPr>
                <w:b/>
                <w:sz w:val="15"/>
              </w:rPr>
            </w:pPr>
            <w:r>
              <w:rPr>
                <w:b/>
                <w:color w:val="231F20"/>
                <w:w w:val="105"/>
                <w:sz w:val="15"/>
              </w:rPr>
              <w:t>TYPE</w:t>
            </w:r>
            <w:r>
              <w:rPr>
                <w:b/>
                <w:color w:val="231F20"/>
                <w:spacing w:val="-2"/>
                <w:w w:val="105"/>
                <w:sz w:val="15"/>
              </w:rPr>
              <w:t> </w:t>
            </w:r>
            <w:r>
              <w:rPr>
                <w:b/>
                <w:color w:val="231F20"/>
                <w:w w:val="105"/>
                <w:sz w:val="15"/>
              </w:rPr>
              <w:t>1</w:t>
            </w:r>
            <w:r>
              <w:rPr>
                <w:b/>
                <w:color w:val="231F20"/>
                <w:spacing w:val="-2"/>
                <w:w w:val="105"/>
                <w:sz w:val="15"/>
              </w:rPr>
              <w:t> DIABETES</w:t>
            </w:r>
          </w:p>
        </w:tc>
        <w:tc>
          <w:tcPr>
            <w:tcW w:w="1623" w:type="dxa"/>
            <w:tcBorders>
              <w:bottom w:val="single" w:sz="4" w:space="0" w:color="231F20"/>
            </w:tcBorders>
            <w:shd w:val="clear" w:color="auto" w:fill="E8F5F1"/>
          </w:tcPr>
          <w:p>
            <w:pPr>
              <w:pStyle w:val="TableParagraph"/>
              <w:spacing w:before="66"/>
              <w:ind w:left="167"/>
              <w:rPr>
                <w:b/>
                <w:sz w:val="15"/>
              </w:rPr>
            </w:pPr>
            <w:r>
              <w:rPr>
                <w:b/>
                <w:color w:val="231F20"/>
                <w:w w:val="105"/>
                <w:sz w:val="15"/>
              </w:rPr>
              <w:t>TYPE</w:t>
            </w:r>
            <w:r>
              <w:rPr>
                <w:b/>
                <w:color w:val="231F20"/>
                <w:spacing w:val="-2"/>
                <w:w w:val="105"/>
                <w:sz w:val="15"/>
              </w:rPr>
              <w:t> </w:t>
            </w:r>
            <w:r>
              <w:rPr>
                <w:b/>
                <w:color w:val="231F20"/>
                <w:w w:val="105"/>
                <w:sz w:val="15"/>
              </w:rPr>
              <w:t>2</w:t>
            </w:r>
            <w:r>
              <w:rPr>
                <w:b/>
                <w:color w:val="231F20"/>
                <w:spacing w:val="-1"/>
                <w:w w:val="105"/>
                <w:sz w:val="15"/>
              </w:rPr>
              <w:t> </w:t>
            </w:r>
            <w:r>
              <w:rPr>
                <w:b/>
                <w:color w:val="231F20"/>
                <w:spacing w:val="-2"/>
                <w:w w:val="105"/>
                <w:sz w:val="15"/>
              </w:rPr>
              <w:t>DIABETES</w:t>
            </w:r>
          </w:p>
        </w:tc>
        <w:tc>
          <w:tcPr>
            <w:tcW w:w="2985" w:type="dxa"/>
            <w:tcBorders>
              <w:bottom w:val="single" w:sz="4" w:space="0" w:color="231F20"/>
            </w:tcBorders>
            <w:shd w:val="clear" w:color="auto" w:fill="E8F5F1"/>
          </w:tcPr>
          <w:p>
            <w:pPr>
              <w:pStyle w:val="TableParagraph"/>
              <w:spacing w:before="66"/>
              <w:ind w:left="3"/>
              <w:jc w:val="center"/>
              <w:rPr>
                <w:b/>
                <w:sz w:val="15"/>
              </w:rPr>
            </w:pPr>
            <w:r>
              <w:rPr>
                <w:b/>
                <w:color w:val="231F20"/>
                <w:w w:val="110"/>
                <w:sz w:val="15"/>
              </w:rPr>
              <w:t>GCK-</w:t>
            </w:r>
            <w:r>
              <w:rPr>
                <w:b/>
                <w:color w:val="231F20"/>
                <w:spacing w:val="-4"/>
                <w:w w:val="115"/>
                <w:sz w:val="15"/>
              </w:rPr>
              <w:t>MODY</w:t>
            </w:r>
          </w:p>
        </w:tc>
        <w:tc>
          <w:tcPr>
            <w:tcW w:w="1493" w:type="dxa"/>
            <w:tcBorders>
              <w:bottom w:val="single" w:sz="4" w:space="0" w:color="231F20"/>
            </w:tcBorders>
            <w:shd w:val="clear" w:color="auto" w:fill="E8F5F1"/>
          </w:tcPr>
          <w:p>
            <w:pPr>
              <w:pStyle w:val="TableParagraph"/>
              <w:spacing w:before="66"/>
              <w:ind w:left="116"/>
              <w:rPr>
                <w:b/>
                <w:sz w:val="15"/>
              </w:rPr>
            </w:pPr>
            <w:r>
              <w:rPr>
                <w:b/>
                <w:color w:val="231F20"/>
                <w:w w:val="110"/>
                <w:sz w:val="15"/>
              </w:rPr>
              <w:t>HNF1A/4A-</w:t>
            </w:r>
            <w:r>
              <w:rPr>
                <w:b/>
                <w:color w:val="231F20"/>
                <w:spacing w:val="-4"/>
                <w:w w:val="110"/>
                <w:sz w:val="15"/>
              </w:rPr>
              <w:t>MODY</w:t>
            </w:r>
          </w:p>
        </w:tc>
      </w:tr>
      <w:tr>
        <w:trPr>
          <w:trHeight w:val="259" w:hRule="atLeast"/>
        </w:trPr>
        <w:tc>
          <w:tcPr>
            <w:tcW w:w="2123"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Typical</w:t>
            </w:r>
            <w:r>
              <w:rPr>
                <w:color w:val="231F20"/>
                <w:spacing w:val="3"/>
                <w:sz w:val="15"/>
              </w:rPr>
              <w:t> </w:t>
            </w:r>
            <w:r>
              <w:rPr>
                <w:color w:val="231F20"/>
                <w:sz w:val="15"/>
              </w:rPr>
              <w:t>age</w:t>
            </w:r>
            <w:r>
              <w:rPr>
                <w:color w:val="231F20"/>
                <w:spacing w:val="3"/>
                <w:sz w:val="15"/>
              </w:rPr>
              <w:t> </w:t>
            </w:r>
            <w:r>
              <w:rPr>
                <w:color w:val="231F20"/>
                <w:sz w:val="15"/>
              </w:rPr>
              <w:t>of</w:t>
            </w:r>
            <w:r>
              <w:rPr>
                <w:color w:val="231F20"/>
                <w:spacing w:val="3"/>
                <w:sz w:val="15"/>
              </w:rPr>
              <w:t> </w:t>
            </w:r>
            <w:r>
              <w:rPr>
                <w:color w:val="231F20"/>
                <w:sz w:val="15"/>
              </w:rPr>
              <w:t>diagnosis</w:t>
            </w:r>
            <w:r>
              <w:rPr>
                <w:color w:val="231F20"/>
                <w:spacing w:val="3"/>
                <w:sz w:val="15"/>
              </w:rPr>
              <w:t> </w:t>
            </w:r>
            <w:r>
              <w:rPr>
                <w:color w:val="231F20"/>
                <w:spacing w:val="-4"/>
                <w:sz w:val="15"/>
              </w:rPr>
              <w:t>(yr)</w:t>
            </w:r>
          </w:p>
        </w:tc>
        <w:tc>
          <w:tcPr>
            <w:tcW w:w="1515" w:type="dxa"/>
            <w:tcBorders>
              <w:top w:val="single" w:sz="4" w:space="0" w:color="231F20"/>
              <w:bottom w:val="single" w:sz="4" w:space="0" w:color="FFFFFF"/>
            </w:tcBorders>
            <w:shd w:val="clear" w:color="auto" w:fill="E8F5F1"/>
          </w:tcPr>
          <w:p>
            <w:pPr>
              <w:pStyle w:val="TableParagraph"/>
              <w:spacing w:before="47"/>
              <w:ind w:left="116"/>
              <w:rPr>
                <w:sz w:val="15"/>
              </w:rPr>
            </w:pPr>
            <w:r>
              <w:rPr>
                <w:color w:val="231F20"/>
                <w:spacing w:val="-4"/>
                <w:sz w:val="15"/>
              </w:rPr>
              <w:t>10-</w:t>
            </w:r>
            <w:r>
              <w:rPr>
                <w:color w:val="231F20"/>
                <w:spacing w:val="-5"/>
                <w:sz w:val="15"/>
              </w:rPr>
              <w:t>30</w:t>
            </w:r>
          </w:p>
        </w:tc>
        <w:tc>
          <w:tcPr>
            <w:tcW w:w="1623" w:type="dxa"/>
            <w:tcBorders>
              <w:top w:val="single" w:sz="4" w:space="0" w:color="231F20"/>
              <w:bottom w:val="single" w:sz="4" w:space="0" w:color="FFFFFF"/>
            </w:tcBorders>
            <w:shd w:val="clear" w:color="auto" w:fill="E8F5F1"/>
          </w:tcPr>
          <w:p>
            <w:pPr>
              <w:pStyle w:val="TableParagraph"/>
              <w:spacing w:before="47"/>
              <w:ind w:left="112"/>
              <w:rPr>
                <w:sz w:val="15"/>
              </w:rPr>
            </w:pPr>
            <w:r>
              <w:rPr>
                <w:rFonts w:ascii="Cambria"/>
                <w:color w:val="231F20"/>
                <w:spacing w:val="-5"/>
                <w:sz w:val="15"/>
              </w:rPr>
              <w:t>&gt;</w:t>
            </w:r>
            <w:r>
              <w:rPr>
                <w:color w:val="231F20"/>
                <w:spacing w:val="-5"/>
                <w:sz w:val="15"/>
              </w:rPr>
              <w:t>25</w:t>
            </w:r>
          </w:p>
        </w:tc>
        <w:tc>
          <w:tcPr>
            <w:tcW w:w="2985" w:type="dxa"/>
            <w:tcBorders>
              <w:top w:val="single" w:sz="4" w:space="0" w:color="231F20"/>
              <w:bottom w:val="single" w:sz="4" w:space="0" w:color="FFFFFF"/>
            </w:tcBorders>
            <w:shd w:val="clear" w:color="auto" w:fill="E8F5F1"/>
          </w:tcPr>
          <w:p>
            <w:pPr>
              <w:pStyle w:val="TableParagraph"/>
              <w:spacing w:before="47"/>
              <w:ind w:left="113"/>
              <w:rPr>
                <w:sz w:val="15"/>
              </w:rPr>
            </w:pPr>
            <w:r>
              <w:rPr>
                <w:color w:val="231F20"/>
                <w:spacing w:val="-2"/>
                <w:sz w:val="15"/>
              </w:rPr>
              <w:t>Present</w:t>
            </w:r>
            <w:r>
              <w:rPr>
                <w:color w:val="231F20"/>
                <w:spacing w:val="-3"/>
                <w:sz w:val="15"/>
              </w:rPr>
              <w:t> </w:t>
            </w:r>
            <w:r>
              <w:rPr>
                <w:color w:val="231F20"/>
                <w:spacing w:val="-2"/>
                <w:sz w:val="15"/>
              </w:rPr>
              <w:t>from birth; presents at any</w:t>
            </w:r>
            <w:r>
              <w:rPr>
                <w:color w:val="231F20"/>
                <w:spacing w:val="-3"/>
                <w:sz w:val="15"/>
              </w:rPr>
              <w:t> </w:t>
            </w:r>
            <w:r>
              <w:rPr>
                <w:color w:val="231F20"/>
                <w:spacing w:val="-5"/>
                <w:sz w:val="15"/>
              </w:rPr>
              <w:t>age</w:t>
            </w:r>
          </w:p>
        </w:tc>
        <w:tc>
          <w:tcPr>
            <w:tcW w:w="1493" w:type="dxa"/>
            <w:tcBorders>
              <w:top w:val="single" w:sz="4" w:space="0" w:color="231F20"/>
              <w:bottom w:val="single" w:sz="4" w:space="0" w:color="FFFFFF"/>
            </w:tcBorders>
            <w:shd w:val="clear" w:color="auto" w:fill="E8F5F1"/>
          </w:tcPr>
          <w:p>
            <w:pPr>
              <w:pStyle w:val="TableParagraph"/>
              <w:spacing w:before="47"/>
              <w:ind w:left="360"/>
              <w:rPr>
                <w:sz w:val="15"/>
              </w:rPr>
            </w:pPr>
            <w:r>
              <w:rPr>
                <w:color w:val="231F20"/>
                <w:spacing w:val="-4"/>
                <w:sz w:val="15"/>
              </w:rPr>
              <w:t>15-</w:t>
            </w:r>
            <w:r>
              <w:rPr>
                <w:color w:val="231F20"/>
                <w:spacing w:val="-5"/>
                <w:sz w:val="15"/>
              </w:rPr>
              <w:t>45</w:t>
            </w:r>
          </w:p>
        </w:tc>
      </w:tr>
      <w:tr>
        <w:trPr>
          <w:trHeight w:val="252"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Diabetic</w:t>
            </w:r>
            <w:r>
              <w:rPr>
                <w:color w:val="231F20"/>
                <w:spacing w:val="-1"/>
                <w:sz w:val="15"/>
              </w:rPr>
              <w:t> </w:t>
            </w:r>
            <w:r>
              <w:rPr>
                <w:color w:val="231F20"/>
                <w:spacing w:val="-2"/>
                <w:sz w:val="15"/>
              </w:rPr>
              <w:t>ketoacidosis</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color w:val="231F20"/>
                <w:spacing w:val="-2"/>
                <w:w w:val="105"/>
                <w:sz w:val="15"/>
              </w:rPr>
              <w:t>Common</w:t>
            </w:r>
          </w:p>
        </w:tc>
        <w:tc>
          <w:tcPr>
            <w:tcW w:w="162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4"/>
                <w:sz w:val="15"/>
              </w:rPr>
              <w:t>Rare</w:t>
            </w:r>
          </w:p>
        </w:tc>
        <w:tc>
          <w:tcPr>
            <w:tcW w:w="2985"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4"/>
                <w:sz w:val="15"/>
              </w:rPr>
              <w:t>Rare</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pacing w:val="-4"/>
                <w:sz w:val="15"/>
              </w:rPr>
              <w:t>Rare</w:t>
            </w:r>
          </w:p>
        </w:tc>
      </w:tr>
      <w:tr>
        <w:trPr>
          <w:trHeight w:val="252"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Insulin</w:t>
            </w:r>
            <w:r>
              <w:rPr>
                <w:color w:val="231F20"/>
                <w:spacing w:val="1"/>
                <w:sz w:val="15"/>
              </w:rPr>
              <w:t> </w:t>
            </w:r>
            <w:r>
              <w:rPr>
                <w:color w:val="231F20"/>
                <w:spacing w:val="-2"/>
                <w:sz w:val="15"/>
              </w:rPr>
              <w:t>dependent</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color w:val="231F20"/>
                <w:spacing w:val="-5"/>
                <w:sz w:val="15"/>
              </w:rPr>
              <w:t>Yes</w:t>
            </w:r>
          </w:p>
        </w:tc>
        <w:tc>
          <w:tcPr>
            <w:tcW w:w="162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5"/>
                <w:w w:val="115"/>
                <w:sz w:val="15"/>
              </w:rPr>
              <w:t>No</w:t>
            </w:r>
          </w:p>
        </w:tc>
        <w:tc>
          <w:tcPr>
            <w:tcW w:w="2985"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5"/>
                <w:w w:val="115"/>
                <w:sz w:val="15"/>
              </w:rPr>
              <w:t>No</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pacing w:val="-5"/>
                <w:w w:val="115"/>
                <w:sz w:val="15"/>
              </w:rPr>
              <w:t>No</w:t>
            </w:r>
          </w:p>
        </w:tc>
      </w:tr>
      <w:tr>
        <w:trPr>
          <w:trHeight w:val="588"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Parental</w:t>
            </w:r>
            <w:r>
              <w:rPr>
                <w:color w:val="231F20"/>
                <w:spacing w:val="-5"/>
                <w:sz w:val="15"/>
              </w:rPr>
              <w:t> </w:t>
            </w:r>
            <w:r>
              <w:rPr>
                <w:color w:val="231F20"/>
                <w:spacing w:val="-2"/>
                <w:sz w:val="15"/>
              </w:rPr>
              <w:t>history</w:t>
            </w:r>
            <w:r>
              <w:rPr>
                <w:color w:val="231F20"/>
                <w:spacing w:val="-5"/>
                <w:sz w:val="15"/>
              </w:rPr>
              <w:t> </w:t>
            </w:r>
            <w:r>
              <w:rPr>
                <w:color w:val="231F20"/>
                <w:spacing w:val="-2"/>
                <w:sz w:val="15"/>
              </w:rPr>
              <w:t>of</w:t>
            </w:r>
            <w:r>
              <w:rPr>
                <w:color w:val="231F20"/>
                <w:spacing w:val="-4"/>
                <w:sz w:val="15"/>
              </w:rPr>
              <w:t> </w:t>
            </w:r>
            <w:r>
              <w:rPr>
                <w:color w:val="231F20"/>
                <w:spacing w:val="-2"/>
                <w:sz w:val="15"/>
              </w:rPr>
              <w:t>diabetes</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rFonts w:ascii="Cambria"/>
                <w:color w:val="231F20"/>
                <w:spacing w:val="-4"/>
                <w:w w:val="110"/>
                <w:sz w:val="15"/>
              </w:rPr>
              <w:t>&lt;</w:t>
            </w:r>
            <w:r>
              <w:rPr>
                <w:color w:val="231F20"/>
                <w:spacing w:val="-4"/>
                <w:w w:val="110"/>
                <w:sz w:val="15"/>
              </w:rPr>
              <w:t>15%</w:t>
            </w:r>
          </w:p>
        </w:tc>
        <w:tc>
          <w:tcPr>
            <w:tcW w:w="1623" w:type="dxa"/>
            <w:tcBorders>
              <w:top w:val="single" w:sz="4" w:space="0" w:color="FFFFFF"/>
              <w:bottom w:val="single" w:sz="4" w:space="0" w:color="FFFFFF"/>
            </w:tcBorders>
            <w:shd w:val="clear" w:color="auto" w:fill="E8F5F1"/>
          </w:tcPr>
          <w:p>
            <w:pPr>
              <w:pStyle w:val="TableParagraph"/>
              <w:spacing w:line="230" w:lineRule="auto" w:before="48"/>
              <w:ind w:left="224" w:hanging="112"/>
              <w:rPr>
                <w:sz w:val="15"/>
              </w:rPr>
            </w:pPr>
            <w:r>
              <w:rPr>
                <w:rFonts w:ascii="Cambria"/>
                <w:color w:val="231F20"/>
                <w:sz w:val="15"/>
              </w:rPr>
              <w:t>&gt;</w:t>
            </w:r>
            <w:r>
              <w:rPr>
                <w:color w:val="231F20"/>
                <w:sz w:val="15"/>
              </w:rPr>
              <w:t>50% in young </w:t>
            </w:r>
            <w:r>
              <w:rPr>
                <w:color w:val="231F20"/>
                <w:sz w:val="15"/>
              </w:rPr>
              <w:t>onset type 2 diabetes</w:t>
            </w:r>
          </w:p>
        </w:tc>
        <w:tc>
          <w:tcPr>
            <w:tcW w:w="2985" w:type="dxa"/>
            <w:tcBorders>
              <w:top w:val="single" w:sz="4" w:space="0" w:color="FFFFFF"/>
              <w:bottom w:val="single" w:sz="4" w:space="0" w:color="FFFFFF"/>
            </w:tcBorders>
            <w:shd w:val="clear" w:color="auto" w:fill="E8F5F1"/>
          </w:tcPr>
          <w:p>
            <w:pPr>
              <w:pStyle w:val="TableParagraph"/>
              <w:spacing w:line="230" w:lineRule="auto" w:before="48"/>
              <w:ind w:left="225" w:hanging="112"/>
              <w:rPr>
                <w:sz w:val="15"/>
              </w:rPr>
            </w:pPr>
            <w:r>
              <w:rPr>
                <w:color w:val="231F20"/>
                <w:sz w:val="15"/>
              </w:rPr>
              <w:t>If tested, 1 parent usually has impaired fasting</w:t>
            </w:r>
            <w:r>
              <w:rPr>
                <w:color w:val="231F20"/>
                <w:spacing w:val="-12"/>
                <w:sz w:val="15"/>
              </w:rPr>
              <w:t> </w:t>
            </w:r>
            <w:r>
              <w:rPr>
                <w:color w:val="231F20"/>
                <w:sz w:val="15"/>
              </w:rPr>
              <w:t>glycemia</w:t>
            </w:r>
            <w:r>
              <w:rPr>
                <w:color w:val="231F20"/>
                <w:spacing w:val="-11"/>
                <w:sz w:val="15"/>
              </w:rPr>
              <w:t> </w:t>
            </w:r>
            <w:r>
              <w:rPr>
                <w:color w:val="231F20"/>
                <w:sz w:val="15"/>
              </w:rPr>
              <w:t>(may</w:t>
            </w:r>
            <w:r>
              <w:rPr>
                <w:color w:val="231F20"/>
                <w:spacing w:val="-11"/>
                <w:sz w:val="15"/>
              </w:rPr>
              <w:t> </w:t>
            </w:r>
            <w:r>
              <w:rPr>
                <w:color w:val="231F20"/>
                <w:sz w:val="15"/>
              </w:rPr>
              <w:t>not</w:t>
            </w:r>
            <w:r>
              <w:rPr>
                <w:color w:val="231F20"/>
                <w:spacing w:val="-12"/>
                <w:sz w:val="15"/>
              </w:rPr>
              <w:t> </w:t>
            </w:r>
            <w:r>
              <w:rPr>
                <w:color w:val="231F20"/>
                <w:sz w:val="15"/>
              </w:rPr>
              <w:t>be</w:t>
            </w:r>
            <w:r>
              <w:rPr>
                <w:color w:val="231F20"/>
                <w:spacing w:val="-11"/>
                <w:sz w:val="15"/>
              </w:rPr>
              <w:t> </w:t>
            </w:r>
            <w:r>
              <w:rPr>
                <w:color w:val="231F20"/>
                <w:sz w:val="15"/>
              </w:rPr>
              <w:t>previously </w:t>
            </w:r>
            <w:r>
              <w:rPr>
                <w:color w:val="231F20"/>
                <w:spacing w:val="-2"/>
                <w:sz w:val="15"/>
              </w:rPr>
              <w:t>known)</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z w:val="15"/>
              </w:rPr>
              <w:t>60-</w:t>
            </w:r>
            <w:r>
              <w:rPr>
                <w:color w:val="231F20"/>
                <w:spacing w:val="-4"/>
                <w:sz w:val="15"/>
              </w:rPr>
              <w:t>90%</w:t>
            </w:r>
            <w:r>
              <w:rPr>
                <w:color w:val="0080AC"/>
                <w:spacing w:val="-4"/>
                <w:sz w:val="15"/>
              </w:rPr>
              <w:t>*</w:t>
            </w:r>
          </w:p>
        </w:tc>
      </w:tr>
      <w:tr>
        <w:trPr>
          <w:trHeight w:val="252"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Obesity</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color w:val="231F20"/>
                <w:spacing w:val="-2"/>
                <w:w w:val="105"/>
                <w:sz w:val="15"/>
              </w:rPr>
              <w:t>Uncommon</w:t>
            </w:r>
          </w:p>
        </w:tc>
        <w:tc>
          <w:tcPr>
            <w:tcW w:w="162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w w:val="105"/>
                <w:sz w:val="15"/>
              </w:rPr>
              <w:t>Common</w:t>
            </w:r>
          </w:p>
        </w:tc>
        <w:tc>
          <w:tcPr>
            <w:tcW w:w="2985"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2"/>
                <w:w w:val="105"/>
                <w:sz w:val="15"/>
              </w:rPr>
              <w:t>Uncommon</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pacing w:val="-2"/>
                <w:w w:val="105"/>
                <w:sz w:val="15"/>
              </w:rPr>
              <w:t>Uncommon</w:t>
            </w:r>
          </w:p>
        </w:tc>
      </w:tr>
      <w:tr>
        <w:trPr>
          <w:trHeight w:val="252"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Insulin</w:t>
            </w:r>
            <w:r>
              <w:rPr>
                <w:color w:val="231F20"/>
                <w:spacing w:val="1"/>
                <w:sz w:val="15"/>
              </w:rPr>
              <w:t> </w:t>
            </w:r>
            <w:r>
              <w:rPr>
                <w:color w:val="231F20"/>
                <w:spacing w:val="-2"/>
                <w:sz w:val="15"/>
              </w:rPr>
              <w:t>resistance</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color w:val="231F20"/>
                <w:spacing w:val="-2"/>
                <w:w w:val="105"/>
                <w:sz w:val="15"/>
              </w:rPr>
              <w:t>Uncommon</w:t>
            </w:r>
          </w:p>
        </w:tc>
        <w:tc>
          <w:tcPr>
            <w:tcW w:w="162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w w:val="105"/>
                <w:sz w:val="15"/>
              </w:rPr>
              <w:t>Common</w:t>
            </w:r>
          </w:p>
        </w:tc>
        <w:tc>
          <w:tcPr>
            <w:tcW w:w="2985"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2"/>
                <w:w w:val="105"/>
                <w:sz w:val="15"/>
              </w:rPr>
              <w:t>Uncommon</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pacing w:val="-2"/>
                <w:w w:val="105"/>
                <w:sz w:val="15"/>
              </w:rPr>
              <w:t>Uncommon</w:t>
            </w:r>
          </w:p>
        </w:tc>
      </w:tr>
      <w:tr>
        <w:trPr>
          <w:trHeight w:val="254"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Presence</w:t>
            </w:r>
            <w:r>
              <w:rPr>
                <w:color w:val="231F20"/>
                <w:spacing w:val="-11"/>
                <w:sz w:val="15"/>
              </w:rPr>
              <w:t> </w:t>
            </w:r>
            <w:r>
              <w:rPr>
                <w:color w:val="231F20"/>
                <w:sz w:val="15"/>
              </w:rPr>
              <w:t>of</w:t>
            </w:r>
            <w:r>
              <w:rPr>
                <w:color w:val="231F20"/>
                <w:spacing w:val="-11"/>
                <w:sz w:val="15"/>
              </w:rPr>
              <w:t> </w:t>
            </w:r>
            <w:r>
              <w:rPr>
                <w:rFonts w:ascii="Cambria" w:hAnsi="Cambria"/>
                <w:color w:val="231F20"/>
                <w:sz w:val="15"/>
              </w:rPr>
              <w:t>β</w:t>
            </w:r>
            <w:r>
              <w:rPr>
                <w:color w:val="231F20"/>
                <w:sz w:val="15"/>
              </w:rPr>
              <w:t>-cell</w:t>
            </w:r>
            <w:r>
              <w:rPr>
                <w:color w:val="231F20"/>
                <w:spacing w:val="-11"/>
                <w:sz w:val="15"/>
              </w:rPr>
              <w:t> </w:t>
            </w:r>
            <w:r>
              <w:rPr>
                <w:color w:val="231F20"/>
                <w:spacing w:val="-2"/>
                <w:sz w:val="15"/>
              </w:rPr>
              <w:t>antibodies</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rFonts w:ascii="Cambria"/>
                <w:color w:val="231F20"/>
                <w:spacing w:val="-4"/>
                <w:w w:val="110"/>
                <w:sz w:val="15"/>
              </w:rPr>
              <w:t>&gt;</w:t>
            </w:r>
            <w:r>
              <w:rPr>
                <w:color w:val="231F20"/>
                <w:spacing w:val="-4"/>
                <w:w w:val="110"/>
                <w:sz w:val="15"/>
              </w:rPr>
              <w:t>90%</w:t>
            </w:r>
          </w:p>
        </w:tc>
        <w:tc>
          <w:tcPr>
            <w:tcW w:w="162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sz w:val="15"/>
              </w:rPr>
              <w:t>Negative</w:t>
            </w:r>
          </w:p>
        </w:tc>
        <w:tc>
          <w:tcPr>
            <w:tcW w:w="2985"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4"/>
                <w:sz w:val="15"/>
              </w:rPr>
              <w:t>Rare</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pacing w:val="-4"/>
                <w:sz w:val="15"/>
              </w:rPr>
              <w:t>Rare</w:t>
            </w:r>
          </w:p>
        </w:tc>
      </w:tr>
      <w:tr>
        <w:trPr>
          <w:trHeight w:val="252" w:hRule="atLeast"/>
        </w:trPr>
        <w:tc>
          <w:tcPr>
            <w:tcW w:w="212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C-peptide</w:t>
            </w:r>
            <w:r>
              <w:rPr>
                <w:color w:val="231F20"/>
                <w:spacing w:val="14"/>
                <w:sz w:val="15"/>
              </w:rPr>
              <w:t> </w:t>
            </w:r>
            <w:r>
              <w:rPr>
                <w:color w:val="231F20"/>
                <w:spacing w:val="-2"/>
                <w:sz w:val="15"/>
              </w:rPr>
              <w:t>concentrations</w:t>
            </w:r>
          </w:p>
        </w:tc>
        <w:tc>
          <w:tcPr>
            <w:tcW w:w="1515" w:type="dxa"/>
            <w:tcBorders>
              <w:top w:val="single" w:sz="4" w:space="0" w:color="FFFFFF"/>
              <w:bottom w:val="single" w:sz="4" w:space="0" w:color="FFFFFF"/>
            </w:tcBorders>
            <w:shd w:val="clear" w:color="auto" w:fill="E8F5F1"/>
          </w:tcPr>
          <w:p>
            <w:pPr>
              <w:pStyle w:val="TableParagraph"/>
              <w:spacing w:before="42"/>
              <w:ind w:left="116"/>
              <w:rPr>
                <w:sz w:val="15"/>
              </w:rPr>
            </w:pPr>
            <w:r>
              <w:rPr>
                <w:color w:val="231F20"/>
                <w:spacing w:val="-2"/>
                <w:sz w:val="15"/>
              </w:rPr>
              <w:t>Undetectable/low</w:t>
            </w:r>
          </w:p>
        </w:tc>
        <w:tc>
          <w:tcPr>
            <w:tcW w:w="162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sz w:val="15"/>
              </w:rPr>
              <w:t>Normal/high</w:t>
            </w:r>
          </w:p>
        </w:tc>
        <w:tc>
          <w:tcPr>
            <w:tcW w:w="2985"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2"/>
                <w:sz w:val="15"/>
              </w:rPr>
              <w:t>Normal</w:t>
            </w:r>
          </w:p>
        </w:tc>
        <w:tc>
          <w:tcPr>
            <w:tcW w:w="1493" w:type="dxa"/>
            <w:tcBorders>
              <w:top w:val="single" w:sz="4" w:space="0" w:color="FFFFFF"/>
              <w:bottom w:val="single" w:sz="4" w:space="0" w:color="FFFFFF"/>
            </w:tcBorders>
            <w:shd w:val="clear" w:color="auto" w:fill="E8F5F1"/>
          </w:tcPr>
          <w:p>
            <w:pPr>
              <w:pStyle w:val="TableParagraph"/>
              <w:spacing w:before="42"/>
              <w:ind w:left="360"/>
              <w:rPr>
                <w:sz w:val="15"/>
              </w:rPr>
            </w:pPr>
            <w:r>
              <w:rPr>
                <w:color w:val="231F20"/>
                <w:spacing w:val="-2"/>
                <w:sz w:val="15"/>
              </w:rPr>
              <w:t>Normal</w:t>
            </w:r>
          </w:p>
        </w:tc>
      </w:tr>
      <w:tr>
        <w:trPr>
          <w:trHeight w:val="247" w:hRule="atLeast"/>
        </w:trPr>
        <w:tc>
          <w:tcPr>
            <w:tcW w:w="2123"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Optimal</w:t>
            </w:r>
            <w:r>
              <w:rPr>
                <w:color w:val="231F20"/>
                <w:spacing w:val="-9"/>
                <w:sz w:val="15"/>
              </w:rPr>
              <w:t> </w:t>
            </w:r>
            <w:r>
              <w:rPr>
                <w:color w:val="231F20"/>
                <w:spacing w:val="-2"/>
                <w:sz w:val="15"/>
              </w:rPr>
              <w:t>first-line</w:t>
            </w:r>
            <w:r>
              <w:rPr>
                <w:color w:val="231F20"/>
                <w:spacing w:val="-8"/>
                <w:sz w:val="15"/>
              </w:rPr>
              <w:t> </w:t>
            </w:r>
            <w:r>
              <w:rPr>
                <w:color w:val="231F20"/>
                <w:spacing w:val="-2"/>
                <w:sz w:val="15"/>
              </w:rPr>
              <w:t>treatment</w:t>
            </w:r>
          </w:p>
        </w:tc>
        <w:tc>
          <w:tcPr>
            <w:tcW w:w="1515" w:type="dxa"/>
            <w:tcBorders>
              <w:top w:val="single" w:sz="4" w:space="0" w:color="FFFFFF"/>
              <w:bottom w:val="single" w:sz="8" w:space="0" w:color="231F20"/>
            </w:tcBorders>
            <w:shd w:val="clear" w:color="auto" w:fill="E8F5F1"/>
          </w:tcPr>
          <w:p>
            <w:pPr>
              <w:pStyle w:val="TableParagraph"/>
              <w:spacing w:before="42"/>
              <w:ind w:left="116"/>
              <w:rPr>
                <w:sz w:val="15"/>
              </w:rPr>
            </w:pPr>
            <w:r>
              <w:rPr>
                <w:color w:val="231F20"/>
                <w:spacing w:val="-2"/>
                <w:sz w:val="15"/>
              </w:rPr>
              <w:t>Insulin</w:t>
            </w:r>
          </w:p>
        </w:tc>
        <w:tc>
          <w:tcPr>
            <w:tcW w:w="1623" w:type="dxa"/>
            <w:tcBorders>
              <w:top w:val="single" w:sz="4" w:space="0" w:color="FFFFFF"/>
              <w:bottom w:val="single" w:sz="8" w:space="0" w:color="231F20"/>
            </w:tcBorders>
            <w:shd w:val="clear" w:color="auto" w:fill="E8F5F1"/>
          </w:tcPr>
          <w:p>
            <w:pPr>
              <w:pStyle w:val="TableParagraph"/>
              <w:spacing w:before="42"/>
              <w:ind w:left="112"/>
              <w:rPr>
                <w:sz w:val="15"/>
              </w:rPr>
            </w:pPr>
            <w:r>
              <w:rPr>
                <w:color w:val="231F20"/>
                <w:spacing w:val="-2"/>
                <w:sz w:val="15"/>
              </w:rPr>
              <w:t>Metformin</w:t>
            </w:r>
          </w:p>
        </w:tc>
        <w:tc>
          <w:tcPr>
            <w:tcW w:w="2985" w:type="dxa"/>
            <w:tcBorders>
              <w:top w:val="single" w:sz="4" w:space="0" w:color="FFFFFF"/>
              <w:bottom w:val="single" w:sz="8" w:space="0" w:color="231F20"/>
            </w:tcBorders>
            <w:shd w:val="clear" w:color="auto" w:fill="E8F5F1"/>
          </w:tcPr>
          <w:p>
            <w:pPr>
              <w:pStyle w:val="TableParagraph"/>
              <w:spacing w:before="42"/>
              <w:ind w:left="113"/>
              <w:rPr>
                <w:sz w:val="15"/>
              </w:rPr>
            </w:pPr>
            <w:r>
              <w:rPr>
                <w:color w:val="231F20"/>
                <w:spacing w:val="-4"/>
                <w:w w:val="110"/>
                <w:sz w:val="15"/>
              </w:rPr>
              <w:t>None</w:t>
            </w:r>
          </w:p>
        </w:tc>
        <w:tc>
          <w:tcPr>
            <w:tcW w:w="1493" w:type="dxa"/>
            <w:tcBorders>
              <w:top w:val="single" w:sz="4" w:space="0" w:color="FFFFFF"/>
              <w:bottom w:val="single" w:sz="8" w:space="0" w:color="231F20"/>
            </w:tcBorders>
            <w:shd w:val="clear" w:color="auto" w:fill="E8F5F1"/>
          </w:tcPr>
          <w:p>
            <w:pPr>
              <w:pStyle w:val="TableParagraph"/>
              <w:spacing w:before="42"/>
              <w:ind w:left="360"/>
              <w:rPr>
                <w:sz w:val="15"/>
              </w:rPr>
            </w:pPr>
            <w:r>
              <w:rPr>
                <w:color w:val="231F20"/>
                <w:spacing w:val="-2"/>
                <w:sz w:val="15"/>
              </w:rPr>
              <w:t>Sulfonylurea</w:t>
            </w:r>
          </w:p>
        </w:tc>
      </w:tr>
    </w:tbl>
    <w:p>
      <w:pPr>
        <w:pStyle w:val="BodyText"/>
        <w:spacing w:line="149" w:lineRule="exact" w:before="80"/>
        <w:ind w:left="822"/>
      </w:pPr>
      <w:r>
        <w:rPr>
          <w:color w:val="231F20"/>
        </w:rPr>
        <w:t>*Family</w:t>
      </w:r>
      <w:r>
        <w:rPr>
          <w:color w:val="231F20"/>
          <w:spacing w:val="-8"/>
        </w:rPr>
        <w:t> </w:t>
      </w:r>
      <w:r>
        <w:rPr>
          <w:color w:val="231F20"/>
        </w:rPr>
        <w:t>history</w:t>
      </w:r>
      <w:r>
        <w:rPr>
          <w:color w:val="231F20"/>
          <w:spacing w:val="-7"/>
        </w:rPr>
        <w:t> </w:t>
      </w:r>
      <w:r>
        <w:rPr>
          <w:color w:val="231F20"/>
        </w:rPr>
        <w:t>is</w:t>
      </w:r>
      <w:r>
        <w:rPr>
          <w:color w:val="231F20"/>
          <w:spacing w:val="-7"/>
        </w:rPr>
        <w:t> </w:t>
      </w:r>
      <w:r>
        <w:rPr>
          <w:color w:val="231F20"/>
        </w:rPr>
        <w:t>often</w:t>
      </w:r>
      <w:r>
        <w:rPr>
          <w:color w:val="231F20"/>
          <w:spacing w:val="-7"/>
        </w:rPr>
        <w:t> </w:t>
      </w:r>
      <w:r>
        <w:rPr>
          <w:color w:val="231F20"/>
        </w:rPr>
        <w:t>part</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criteria</w:t>
      </w:r>
      <w:r>
        <w:rPr>
          <w:color w:val="231F20"/>
          <w:spacing w:val="-7"/>
        </w:rPr>
        <w:t> </w:t>
      </w:r>
      <w:r>
        <w:rPr>
          <w:color w:val="231F20"/>
        </w:rPr>
        <w:t>for</w:t>
      </w:r>
      <w:r>
        <w:rPr>
          <w:color w:val="231F20"/>
          <w:spacing w:val="-7"/>
        </w:rPr>
        <w:t> </w:t>
      </w:r>
      <w:r>
        <w:rPr>
          <w:color w:val="231F20"/>
        </w:rPr>
        <w:t>testing.</w:t>
      </w:r>
      <w:r>
        <w:rPr>
          <w:color w:val="231F20"/>
          <w:spacing w:val="-7"/>
        </w:rPr>
        <w:t> </w:t>
      </w:r>
      <w:r>
        <w:rPr>
          <w:color w:val="231F20"/>
        </w:rPr>
        <w:t>Some</w:t>
      </w:r>
      <w:r>
        <w:rPr>
          <w:color w:val="231F20"/>
          <w:spacing w:val="-7"/>
        </w:rPr>
        <w:t> </w:t>
      </w:r>
      <w:r>
        <w:rPr>
          <w:color w:val="231F20"/>
        </w:rPr>
        <w:t>reports</w:t>
      </w:r>
      <w:r>
        <w:rPr>
          <w:color w:val="231F20"/>
          <w:spacing w:val="-7"/>
        </w:rPr>
        <w:t> </w:t>
      </w:r>
      <w:r>
        <w:rPr>
          <w:color w:val="231F20"/>
        </w:rPr>
        <w:t>cite</w:t>
      </w:r>
      <w:r>
        <w:rPr>
          <w:color w:val="231F20"/>
          <w:spacing w:val="-7"/>
        </w:rPr>
        <w:t> </w:t>
      </w:r>
      <w:r>
        <w:rPr>
          <w:color w:val="231F20"/>
        </w:rPr>
        <w:t>a</w:t>
      </w:r>
      <w:r>
        <w:rPr>
          <w:color w:val="231F20"/>
          <w:spacing w:val="-7"/>
        </w:rPr>
        <w:t> </w:t>
      </w:r>
      <w:r>
        <w:rPr>
          <w:color w:val="231F20"/>
        </w:rPr>
        <w:t>parental</w:t>
      </w:r>
      <w:r>
        <w:rPr>
          <w:color w:val="231F20"/>
          <w:spacing w:val="-7"/>
        </w:rPr>
        <w:t> </w:t>
      </w:r>
      <w:r>
        <w:rPr>
          <w:color w:val="231F20"/>
        </w:rPr>
        <w:t>history</w:t>
      </w:r>
      <w:r>
        <w:rPr>
          <w:color w:val="231F20"/>
          <w:spacing w:val="-8"/>
        </w:rPr>
        <w:t> </w:t>
      </w:r>
      <w:r>
        <w:rPr>
          <w:color w:val="231F20"/>
        </w:rPr>
        <w:t>of</w:t>
      </w:r>
      <w:r>
        <w:rPr>
          <w:color w:val="231F20"/>
          <w:spacing w:val="-7"/>
        </w:rPr>
        <w:t> </w:t>
      </w:r>
      <w:r>
        <w:rPr>
          <w:color w:val="231F20"/>
        </w:rPr>
        <w:t>60-</w:t>
      </w:r>
      <w:r>
        <w:rPr>
          <w:color w:val="231F20"/>
          <w:spacing w:val="-4"/>
        </w:rPr>
        <w:t>70%.</w:t>
      </w:r>
    </w:p>
    <w:p>
      <w:pPr>
        <w:pStyle w:val="BodyText"/>
        <w:spacing w:line="150" w:lineRule="exact"/>
        <w:ind w:left="953"/>
      </w:pPr>
      <w:r>
        <w:rPr>
          <w:color w:val="231F20"/>
        </w:rPr>
        <w:t>GCK,</w:t>
      </w:r>
      <w:r>
        <w:rPr>
          <w:color w:val="231F20"/>
          <w:spacing w:val="-1"/>
        </w:rPr>
        <w:t> </w:t>
      </w:r>
      <w:r>
        <w:rPr>
          <w:color w:val="231F20"/>
        </w:rPr>
        <w:t>glucokinase;</w:t>
      </w:r>
      <w:r>
        <w:rPr>
          <w:color w:val="231F20"/>
          <w:spacing w:val="-1"/>
        </w:rPr>
        <w:t> </w:t>
      </w:r>
      <w:r>
        <w:rPr>
          <w:color w:val="231F20"/>
        </w:rPr>
        <w:t>HNF1A/4A,</w:t>
      </w:r>
      <w:r>
        <w:rPr>
          <w:color w:val="231F20"/>
          <w:spacing w:val="-1"/>
        </w:rPr>
        <w:t> </w:t>
      </w:r>
      <w:r>
        <w:rPr>
          <w:color w:val="231F20"/>
        </w:rPr>
        <w:t>hepatocyte</w:t>
      </w:r>
      <w:r>
        <w:rPr>
          <w:color w:val="231F20"/>
          <w:spacing w:val="-1"/>
        </w:rPr>
        <w:t> </w:t>
      </w:r>
      <w:r>
        <w:rPr>
          <w:color w:val="231F20"/>
        </w:rPr>
        <w:t>nuclear</w:t>
      </w:r>
      <w:r>
        <w:rPr>
          <w:color w:val="231F20"/>
          <w:spacing w:val="-1"/>
        </w:rPr>
        <w:t> </w:t>
      </w:r>
      <w:r>
        <w:rPr>
          <w:color w:val="231F20"/>
        </w:rPr>
        <w:t>factor</w:t>
      </w:r>
      <w:r>
        <w:rPr>
          <w:color w:val="231F20"/>
          <w:spacing w:val="-1"/>
        </w:rPr>
        <w:t> </w:t>
      </w:r>
      <w:r>
        <w:rPr>
          <w:color w:val="231F20"/>
        </w:rPr>
        <w:t>1</w:t>
      </w:r>
      <w:r>
        <w:rPr>
          <w:rFonts w:ascii="Cambria" w:hAnsi="Cambria"/>
          <w:color w:val="231F20"/>
        </w:rPr>
        <w:t>α</w:t>
      </w:r>
      <w:r>
        <w:rPr>
          <w:color w:val="231F20"/>
        </w:rPr>
        <w:t>/4</w:t>
      </w:r>
      <w:r>
        <w:rPr>
          <w:rFonts w:ascii="Cambria" w:hAnsi="Cambria"/>
          <w:color w:val="231F20"/>
        </w:rPr>
        <w:t>α</w:t>
      </w:r>
      <w:r>
        <w:rPr>
          <w:color w:val="231F20"/>
        </w:rPr>
        <w:t>;</w:t>
      </w:r>
      <w:r>
        <w:rPr>
          <w:color w:val="231F20"/>
          <w:spacing w:val="-1"/>
        </w:rPr>
        <w:t> </w:t>
      </w:r>
      <w:r>
        <w:rPr>
          <w:color w:val="231F20"/>
        </w:rPr>
        <w:t>MODY,</w:t>
      </w:r>
      <w:r>
        <w:rPr>
          <w:color w:val="231F20"/>
          <w:spacing w:val="-1"/>
        </w:rPr>
        <w:t> </w:t>
      </w:r>
      <w:r>
        <w:rPr>
          <w:color w:val="231F20"/>
        </w:rPr>
        <w:t>maturity-onset</w:t>
      </w:r>
      <w:r>
        <w:rPr>
          <w:color w:val="231F20"/>
          <w:spacing w:val="-1"/>
        </w:rPr>
        <w:t> </w:t>
      </w:r>
      <w:r>
        <w:rPr>
          <w:color w:val="231F20"/>
        </w:rPr>
        <w:t>diabetes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spacing w:val="-2"/>
        </w:rPr>
        <w:t>young.</w:t>
      </w:r>
    </w:p>
    <w:p>
      <w:pPr>
        <w:spacing w:line="150" w:lineRule="exact" w:before="0"/>
        <w:ind w:left="953" w:right="0" w:firstLine="0"/>
        <w:jc w:val="left"/>
        <w:rPr>
          <w:i/>
          <w:sz w:val="13"/>
        </w:rPr>
      </w:pPr>
      <w:r>
        <w:rPr>
          <w:i/>
          <w:color w:val="231F20"/>
          <w:sz w:val="13"/>
        </w:rPr>
        <w:t>From Thanabalasingham</w:t>
      </w:r>
      <w:r>
        <w:rPr>
          <w:i/>
          <w:color w:val="231F20"/>
          <w:spacing w:val="1"/>
          <w:sz w:val="13"/>
        </w:rPr>
        <w:t> </w:t>
      </w:r>
      <w:r>
        <w:rPr>
          <w:i/>
          <w:color w:val="231F20"/>
          <w:sz w:val="13"/>
        </w:rPr>
        <w:t>G,</w:t>
      </w:r>
      <w:r>
        <w:rPr>
          <w:i/>
          <w:color w:val="231F20"/>
          <w:spacing w:val="1"/>
          <w:sz w:val="13"/>
        </w:rPr>
        <w:t> </w:t>
      </w:r>
      <w:r>
        <w:rPr>
          <w:i/>
          <w:color w:val="231F20"/>
          <w:sz w:val="13"/>
        </w:rPr>
        <w:t>Owen</w:t>
      </w:r>
      <w:r>
        <w:rPr>
          <w:i/>
          <w:color w:val="231F20"/>
          <w:spacing w:val="1"/>
          <w:sz w:val="13"/>
        </w:rPr>
        <w:t> </w:t>
      </w:r>
      <w:r>
        <w:rPr>
          <w:i/>
          <w:color w:val="231F20"/>
          <w:sz w:val="13"/>
        </w:rPr>
        <w:t>KR:</w:t>
      </w:r>
      <w:r>
        <w:rPr>
          <w:i/>
          <w:color w:val="231F20"/>
          <w:spacing w:val="1"/>
          <w:sz w:val="13"/>
        </w:rPr>
        <w:t> </w:t>
      </w:r>
      <w:r>
        <w:rPr>
          <w:i/>
          <w:color w:val="231F20"/>
          <w:sz w:val="13"/>
        </w:rPr>
        <w:t>Diagnosis and</w:t>
      </w:r>
      <w:r>
        <w:rPr>
          <w:i/>
          <w:color w:val="231F20"/>
          <w:spacing w:val="1"/>
          <w:sz w:val="13"/>
        </w:rPr>
        <w:t> </w:t>
      </w:r>
      <w:r>
        <w:rPr>
          <w:i/>
          <w:color w:val="231F20"/>
          <w:sz w:val="13"/>
        </w:rPr>
        <w:t>management</w:t>
      </w:r>
      <w:r>
        <w:rPr>
          <w:i/>
          <w:color w:val="231F20"/>
          <w:spacing w:val="1"/>
          <w:sz w:val="13"/>
        </w:rPr>
        <w:t> </w:t>
      </w:r>
      <w:r>
        <w:rPr>
          <w:i/>
          <w:color w:val="231F20"/>
          <w:sz w:val="13"/>
        </w:rPr>
        <w:t>of</w:t>
      </w:r>
      <w:r>
        <w:rPr>
          <w:i/>
          <w:color w:val="231F20"/>
          <w:spacing w:val="1"/>
          <w:sz w:val="13"/>
        </w:rPr>
        <w:t> </w:t>
      </w:r>
      <w:r>
        <w:rPr>
          <w:i/>
          <w:color w:val="231F20"/>
          <w:sz w:val="13"/>
        </w:rPr>
        <w:t>maturity</w:t>
      </w:r>
      <w:r>
        <w:rPr>
          <w:i/>
          <w:color w:val="231F20"/>
          <w:spacing w:val="1"/>
          <w:sz w:val="13"/>
        </w:rPr>
        <w:t> </w:t>
      </w:r>
      <w:r>
        <w:rPr>
          <w:i/>
          <w:color w:val="231F20"/>
          <w:sz w:val="13"/>
        </w:rPr>
        <w:t>onset diabetes</w:t>
      </w:r>
      <w:r>
        <w:rPr>
          <w:i/>
          <w:color w:val="231F20"/>
          <w:spacing w:val="1"/>
          <w:sz w:val="13"/>
        </w:rPr>
        <w:t> </w:t>
      </w:r>
      <w:r>
        <w:rPr>
          <w:i/>
          <w:color w:val="231F20"/>
          <w:sz w:val="13"/>
        </w:rPr>
        <w:t>of</w:t>
      </w:r>
      <w:r>
        <w:rPr>
          <w:i/>
          <w:color w:val="231F20"/>
          <w:spacing w:val="1"/>
          <w:sz w:val="13"/>
        </w:rPr>
        <w:t> </w:t>
      </w:r>
      <w:r>
        <w:rPr>
          <w:i/>
          <w:color w:val="231F20"/>
          <w:sz w:val="13"/>
        </w:rPr>
        <w:t>the</w:t>
      </w:r>
      <w:r>
        <w:rPr>
          <w:i/>
          <w:color w:val="231F20"/>
          <w:spacing w:val="1"/>
          <w:sz w:val="13"/>
        </w:rPr>
        <w:t> </w:t>
      </w:r>
      <w:r>
        <w:rPr>
          <w:i/>
          <w:color w:val="231F20"/>
          <w:sz w:val="13"/>
        </w:rPr>
        <w:t>young</w:t>
      </w:r>
      <w:r>
        <w:rPr>
          <w:i/>
          <w:color w:val="231F20"/>
          <w:spacing w:val="1"/>
          <w:sz w:val="13"/>
        </w:rPr>
        <w:t> </w:t>
      </w:r>
      <w:r>
        <w:rPr>
          <w:i/>
          <w:color w:val="231F20"/>
          <w:sz w:val="13"/>
        </w:rPr>
        <w:t>(MODY),</w:t>
      </w:r>
      <w:r>
        <w:rPr>
          <w:i/>
          <w:color w:val="231F20"/>
          <w:spacing w:val="1"/>
          <w:sz w:val="13"/>
        </w:rPr>
        <w:t> </w:t>
      </w:r>
      <w:r>
        <w:rPr>
          <w:color w:val="231F20"/>
          <w:sz w:val="13"/>
        </w:rPr>
        <w:t>BMJ </w:t>
      </w:r>
      <w:r>
        <w:rPr>
          <w:i/>
          <w:color w:val="231F20"/>
          <w:sz w:val="13"/>
        </w:rPr>
        <w:t>343:d6044,</w:t>
      </w:r>
      <w:r>
        <w:rPr>
          <w:i/>
          <w:color w:val="231F20"/>
          <w:spacing w:val="1"/>
          <w:sz w:val="13"/>
        </w:rPr>
        <w:t> </w:t>
      </w:r>
      <w:r>
        <w:rPr>
          <w:i/>
          <w:color w:val="231F20"/>
          <w:sz w:val="13"/>
        </w:rPr>
        <w:t>2011,</w:t>
      </w:r>
      <w:r>
        <w:rPr>
          <w:i/>
          <w:color w:val="231F20"/>
          <w:spacing w:val="1"/>
          <w:sz w:val="13"/>
        </w:rPr>
        <w:t> </w:t>
      </w:r>
      <w:r>
        <w:rPr>
          <w:i/>
          <w:color w:val="231F20"/>
          <w:sz w:val="13"/>
        </w:rPr>
        <w:t>Table</w:t>
      </w:r>
      <w:r>
        <w:rPr>
          <w:i/>
          <w:color w:val="231F20"/>
          <w:spacing w:val="1"/>
          <w:sz w:val="13"/>
        </w:rPr>
        <w:t> </w:t>
      </w:r>
      <w:r>
        <w:rPr>
          <w:i/>
          <w:color w:val="231F20"/>
          <w:sz w:val="13"/>
        </w:rPr>
        <w:t>2,</w:t>
      </w:r>
      <w:r>
        <w:rPr>
          <w:i/>
          <w:color w:val="231F20"/>
          <w:spacing w:val="1"/>
          <w:sz w:val="13"/>
        </w:rPr>
        <w:t> </w:t>
      </w:r>
      <w:r>
        <w:rPr>
          <w:i/>
          <w:color w:val="231F20"/>
          <w:sz w:val="13"/>
        </w:rPr>
        <w:t>p. </w:t>
      </w:r>
      <w:r>
        <w:rPr>
          <w:i/>
          <w:color w:val="231F20"/>
          <w:spacing w:val="-4"/>
          <w:sz w:val="13"/>
        </w:rPr>
        <w:t>838.</w:t>
      </w:r>
    </w:p>
    <w:p>
      <w:pPr>
        <w:spacing w:after="0" w:line="150" w:lineRule="exact"/>
        <w:jc w:val="left"/>
        <w:rPr>
          <w:i/>
          <w:sz w:val="13"/>
        </w:rPr>
        <w:sectPr>
          <w:pgSz w:w="11900" w:h="16840"/>
          <w:pgMar w:header="452"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190" name="Group 190"/>
                <wp:cNvGraphicFramePr>
                  <a:graphicFrameLocks/>
                </wp:cNvGraphicFramePr>
                <a:graphic>
                  <a:graphicData uri="http://schemas.microsoft.com/office/word/2010/wordprocessingGroup">
                    <wpg:wgp>
                      <wpg:cNvPr id="190" name="Group 190"/>
                      <wpg:cNvGrpSpPr/>
                      <wpg:grpSpPr>
                        <a:xfrm>
                          <a:off x="0" y="0"/>
                          <a:ext cx="6185535" cy="170815"/>
                          <a:chExt cx="6185535" cy="170815"/>
                        </a:xfrm>
                      </wpg:grpSpPr>
                      <wps:wsp>
                        <wps:cNvPr id="191" name="Graphic 191"/>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92" name="Graphic 192"/>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93" name="Textbox 193"/>
                        <wps:cNvSpPr txBox="1"/>
                        <wps:spPr>
                          <a:xfrm>
                            <a:off x="0" y="0"/>
                            <a:ext cx="6185535" cy="170815"/>
                          </a:xfrm>
                          <a:prstGeom prst="rect">
                            <a:avLst/>
                          </a:prstGeom>
                        </wps:spPr>
                        <wps:txbx>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2789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53"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54" filled="false" stroked="false">
                  <v:textbox inset="0,0,0,0">
                    <w:txbxContent>
                      <w:p>
                        <w:pPr>
                          <w:spacing w:before="6"/>
                          <w:ind w:left="6226" w:right="0" w:firstLine="0"/>
                          <w:jc w:val="left"/>
                          <w:rPr>
                            <w:b/>
                            <w:sz w:val="18"/>
                          </w:rPr>
                        </w:pPr>
                        <w:r>
                          <w:rPr>
                            <w:b/>
                            <w:color w:val="D5841E"/>
                            <w:sz w:val="18"/>
                          </w:rPr>
                          <w:t>Chapter</w:t>
                        </w:r>
                        <w:r>
                          <w:rPr>
                            <w:b/>
                            <w:color w:val="D5841E"/>
                            <w:spacing w:val="25"/>
                            <w:sz w:val="18"/>
                          </w:rPr>
                          <w:t> </w:t>
                        </w:r>
                        <w:r>
                          <w:rPr>
                            <w:b/>
                            <w:color w:val="D5841E"/>
                            <w:sz w:val="18"/>
                          </w:rPr>
                          <w:t>589</w:t>
                        </w:r>
                        <w:r>
                          <w:rPr>
                            <w:b/>
                            <w:color w:val="D5841E"/>
                            <w:spacing w:val="56"/>
                            <w:sz w:val="18"/>
                          </w:rPr>
                          <w:t> </w:t>
                        </w:r>
                        <w:r>
                          <w:rPr>
                            <w:rFonts w:ascii="MS Gothic" w:hAnsi="MS Gothic"/>
                            <w:color w:val="E4AE6F"/>
                            <w:sz w:val="15"/>
                          </w:rPr>
                          <w:t>◆</w:t>
                        </w:r>
                        <w:r>
                          <w:rPr>
                            <w:rFonts w:ascii="MS Gothic" w:hAnsi="MS Gothic"/>
                            <w:color w:val="E4AE6F"/>
                            <w:spacing w:val="37"/>
                            <w:sz w:val="15"/>
                          </w:rPr>
                          <w:t> </w:t>
                        </w:r>
                        <w:r>
                          <w:rPr>
                            <w:color w:val="231F20"/>
                            <w:sz w:val="18"/>
                          </w:rPr>
                          <w:t>Diabetes</w:t>
                        </w:r>
                        <w:r>
                          <w:rPr>
                            <w:color w:val="231F20"/>
                            <w:spacing w:val="21"/>
                            <w:sz w:val="18"/>
                          </w:rPr>
                          <w:t> </w:t>
                        </w:r>
                        <w:r>
                          <w:rPr>
                            <w:color w:val="231F20"/>
                            <w:sz w:val="18"/>
                          </w:rPr>
                          <w:t>Mellitus</w:t>
                        </w:r>
                        <w:r>
                          <w:rPr>
                            <w:color w:val="231F20"/>
                            <w:spacing w:val="56"/>
                            <w:sz w:val="18"/>
                          </w:rPr>
                          <w:t>  </w:t>
                        </w:r>
                        <w:r>
                          <w:rPr>
                            <w:b/>
                            <w:color w:val="231F20"/>
                            <w:spacing w:val="-4"/>
                            <w:sz w:val="18"/>
                          </w:rPr>
                          <w:t>2789</w:t>
                        </w:r>
                      </w:p>
                    </w:txbxContent>
                  </v:textbox>
                  <w10:wrap type="none"/>
                </v:shape>
              </v:group>
            </w:pict>
          </mc:Fallback>
        </mc:AlternateContent>
      </w:r>
      <w:r>
        <w:rPr>
          <w:sz w:val="20"/>
        </w:rPr>
      </w:r>
    </w:p>
    <w:p>
      <w:pPr>
        <w:pStyle w:val="BodyText"/>
        <w:spacing w:before="11"/>
        <w:rPr>
          <w:i/>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4082"/>
        <w:gridCol w:w="2188"/>
        <w:gridCol w:w="2293"/>
      </w:tblGrid>
      <w:tr>
        <w:trPr>
          <w:trHeight w:val="381"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589-</w:t>
            </w:r>
            <w:r>
              <w:rPr>
                <w:b/>
                <w:color w:val="FFFFFF"/>
                <w:spacing w:val="-5"/>
                <w:sz w:val="16"/>
              </w:rPr>
              <w:t>18</w:t>
            </w:r>
          </w:p>
        </w:tc>
        <w:tc>
          <w:tcPr>
            <w:tcW w:w="8563" w:type="dxa"/>
            <w:gridSpan w:val="3"/>
            <w:tcBorders>
              <w:left w:val="single" w:sz="8" w:space="0" w:color="FFFFFF"/>
            </w:tcBorders>
            <w:shd w:val="clear" w:color="auto" w:fill="231F20"/>
          </w:tcPr>
          <w:p>
            <w:pPr>
              <w:pStyle w:val="TableParagraph"/>
              <w:spacing w:before="89"/>
              <w:ind w:left="74"/>
              <w:rPr>
                <w:sz w:val="16"/>
              </w:rPr>
            </w:pPr>
            <w:r>
              <w:rPr>
                <w:color w:val="FFFFFF"/>
                <w:w w:val="105"/>
                <w:sz w:val="16"/>
              </w:rPr>
              <w:t>Clinical</w:t>
            </w:r>
            <w:r>
              <w:rPr>
                <w:color w:val="FFFFFF"/>
                <w:spacing w:val="-3"/>
                <w:w w:val="105"/>
                <w:sz w:val="16"/>
              </w:rPr>
              <w:t> </w:t>
            </w:r>
            <w:r>
              <w:rPr>
                <w:color w:val="FFFFFF"/>
                <w:w w:val="105"/>
                <w:sz w:val="16"/>
              </w:rPr>
              <w:t>and</w:t>
            </w:r>
            <w:r>
              <w:rPr>
                <w:color w:val="FFFFFF"/>
                <w:spacing w:val="-2"/>
                <w:w w:val="105"/>
                <w:sz w:val="16"/>
              </w:rPr>
              <w:t> </w:t>
            </w:r>
            <w:r>
              <w:rPr>
                <w:color w:val="FFFFFF"/>
                <w:w w:val="105"/>
                <w:sz w:val="16"/>
              </w:rPr>
              <w:t>Biochemical</w:t>
            </w:r>
            <w:r>
              <w:rPr>
                <w:color w:val="FFFFFF"/>
                <w:spacing w:val="-2"/>
                <w:w w:val="105"/>
                <w:sz w:val="16"/>
              </w:rPr>
              <w:t> </w:t>
            </w:r>
            <w:r>
              <w:rPr>
                <w:color w:val="FFFFFF"/>
                <w:w w:val="105"/>
                <w:sz w:val="16"/>
              </w:rPr>
              <w:t>Features</w:t>
            </w:r>
            <w:r>
              <w:rPr>
                <w:color w:val="FFFFFF"/>
                <w:spacing w:val="-3"/>
                <w:w w:val="105"/>
                <w:sz w:val="16"/>
              </w:rPr>
              <w:t> </w:t>
            </w:r>
            <w:r>
              <w:rPr>
                <w:color w:val="FFFFFF"/>
                <w:w w:val="105"/>
                <w:sz w:val="16"/>
              </w:rPr>
              <w:t>of</w:t>
            </w:r>
            <w:r>
              <w:rPr>
                <w:color w:val="FFFFFF"/>
                <w:spacing w:val="-2"/>
                <w:w w:val="105"/>
                <w:sz w:val="16"/>
              </w:rPr>
              <w:t> </w:t>
            </w:r>
            <w:r>
              <w:rPr>
                <w:color w:val="FFFFFF"/>
                <w:w w:val="105"/>
                <w:sz w:val="16"/>
              </w:rPr>
              <w:t>Inherited</w:t>
            </w:r>
            <w:r>
              <w:rPr>
                <w:color w:val="FFFFFF"/>
                <w:spacing w:val="-2"/>
                <w:w w:val="105"/>
                <w:sz w:val="16"/>
              </w:rPr>
              <w:t> Lipodystrophies</w:t>
            </w:r>
          </w:p>
        </w:tc>
      </w:tr>
      <w:tr>
        <w:trPr>
          <w:trHeight w:val="254" w:hRule="atLeast"/>
        </w:trPr>
        <w:tc>
          <w:tcPr>
            <w:tcW w:w="5304" w:type="dxa"/>
            <w:gridSpan w:val="2"/>
            <w:vMerge w:val="restart"/>
            <w:tcBorders>
              <w:bottom w:val="single" w:sz="4" w:space="0" w:color="231F20"/>
            </w:tcBorders>
            <w:shd w:val="clear" w:color="auto" w:fill="E8F5F1"/>
          </w:tcPr>
          <w:p>
            <w:pPr>
              <w:pStyle w:val="TableParagraph"/>
              <w:spacing w:before="39" w:after="46"/>
              <w:ind w:left="1635"/>
              <w:rPr>
                <w:b/>
                <w:sz w:val="15"/>
              </w:rPr>
            </w:pPr>
            <w:r>
              <w:rPr>
                <w:b/>
                <w:color w:val="231F20"/>
                <w:w w:val="110"/>
                <w:sz w:val="15"/>
              </w:rPr>
              <w:t>CONGENITAL</w:t>
            </w:r>
            <w:r>
              <w:rPr>
                <w:b/>
                <w:color w:val="231F20"/>
                <w:spacing w:val="11"/>
                <w:w w:val="110"/>
                <w:sz w:val="15"/>
              </w:rPr>
              <w:t> </w:t>
            </w:r>
            <w:r>
              <w:rPr>
                <w:b/>
                <w:color w:val="231F20"/>
                <w:w w:val="110"/>
                <w:sz w:val="15"/>
              </w:rPr>
              <w:t>GENERALIZED</w:t>
            </w:r>
            <w:r>
              <w:rPr>
                <w:b/>
                <w:color w:val="231F20"/>
                <w:spacing w:val="12"/>
                <w:w w:val="110"/>
                <w:sz w:val="15"/>
              </w:rPr>
              <w:t> </w:t>
            </w:r>
            <w:r>
              <w:rPr>
                <w:b/>
                <w:color w:val="231F20"/>
                <w:spacing w:val="-2"/>
                <w:w w:val="110"/>
                <w:sz w:val="15"/>
              </w:rPr>
              <w:t>LIPODYSTROPHY</w:t>
            </w:r>
          </w:p>
          <w:p>
            <w:pPr>
              <w:pStyle w:val="TableParagraph"/>
              <w:spacing w:line="20" w:lineRule="exact"/>
              <w:ind w:left="1581"/>
              <w:rPr>
                <w:sz w:val="2"/>
              </w:rPr>
            </w:pPr>
            <w:r>
              <w:rPr>
                <w:sz w:val="2"/>
              </w:rPr>
              <mc:AlternateContent>
                <mc:Choice Requires="wps">
                  <w:drawing>
                    <wp:inline distT="0" distB="0" distL="0" distR="0">
                      <wp:extent cx="2237105" cy="6350"/>
                      <wp:effectExtent l="9525" t="0" r="1269" b="3175"/>
                      <wp:docPr id="194" name="Group 194"/>
                      <wp:cNvGraphicFramePr>
                        <a:graphicFrameLocks/>
                      </wp:cNvGraphicFramePr>
                      <a:graphic>
                        <a:graphicData uri="http://schemas.microsoft.com/office/word/2010/wordprocessingGroup">
                          <wpg:wgp>
                            <wpg:cNvPr id="194" name="Group 194"/>
                            <wpg:cNvGrpSpPr/>
                            <wpg:grpSpPr>
                              <a:xfrm>
                                <a:off x="0" y="0"/>
                                <a:ext cx="2237105" cy="6350"/>
                                <a:chExt cx="2237105" cy="6350"/>
                              </a:xfrm>
                            </wpg:grpSpPr>
                            <wps:wsp>
                              <wps:cNvPr id="195" name="Graphic 195"/>
                              <wps:cNvSpPr/>
                              <wps:spPr>
                                <a:xfrm>
                                  <a:off x="0" y="2962"/>
                                  <a:ext cx="2237105" cy="1270"/>
                                </a:xfrm>
                                <a:custGeom>
                                  <a:avLst/>
                                  <a:gdLst/>
                                  <a:ahLst/>
                                  <a:cxnLst/>
                                  <a:rect l="l" t="t" r="r" b="b"/>
                                  <a:pathLst>
                                    <a:path w="2237105" h="0">
                                      <a:moveTo>
                                        <a:pt x="0" y="0"/>
                                      </a:moveTo>
                                      <a:lnTo>
                                        <a:pt x="2236533" y="0"/>
                                      </a:lnTo>
                                    </a:path>
                                  </a:pathLst>
                                </a:custGeom>
                                <a:ln w="592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76.15pt;height:.5pt;mso-position-horizontal-relative:char;mso-position-vertical-relative:line" id="docshapegroup155" coordorigin="0,0" coordsize="3523,10">
                      <v:line style="position:absolute" from="0,5" to="3522,5" stroked="true" strokeweight=".466503pt" strokecolor="#231f20">
                        <v:stroke dashstyle="solid"/>
                      </v:line>
                    </v:group>
                  </w:pict>
                </mc:Fallback>
              </mc:AlternateContent>
            </w:r>
            <w:r>
              <w:rPr>
                <w:sz w:val="2"/>
              </w:rPr>
            </w:r>
          </w:p>
          <w:p>
            <w:pPr>
              <w:pStyle w:val="TableParagraph"/>
              <w:tabs>
                <w:tab w:pos="2185" w:val="left" w:leader="none"/>
                <w:tab w:pos="4046" w:val="left" w:leader="none"/>
              </w:tabs>
              <w:spacing w:before="22"/>
              <w:ind w:left="74"/>
              <w:rPr>
                <w:b/>
                <w:sz w:val="15"/>
              </w:rPr>
            </w:pPr>
            <w:r>
              <w:rPr>
                <w:b/>
                <w:color w:val="231F20"/>
                <w:spacing w:val="-2"/>
                <w:w w:val="105"/>
                <w:sz w:val="15"/>
              </w:rPr>
              <w:t>Subtype</w:t>
            </w:r>
            <w:r>
              <w:rPr>
                <w:b/>
                <w:color w:val="231F20"/>
                <w:sz w:val="15"/>
              </w:rPr>
              <w:tab/>
            </w:r>
            <w:r>
              <w:rPr>
                <w:b/>
                <w:color w:val="231F20"/>
                <w:spacing w:val="-2"/>
                <w:w w:val="105"/>
                <w:sz w:val="15"/>
              </w:rPr>
              <w:t>BSCL1</w:t>
            </w:r>
            <w:r>
              <w:rPr>
                <w:b/>
                <w:color w:val="231F20"/>
                <w:sz w:val="15"/>
              </w:rPr>
              <w:tab/>
            </w:r>
            <w:r>
              <w:rPr>
                <w:b/>
                <w:color w:val="231F20"/>
                <w:spacing w:val="-2"/>
                <w:w w:val="105"/>
                <w:sz w:val="15"/>
              </w:rPr>
              <w:t>BSCL2</w:t>
            </w:r>
          </w:p>
        </w:tc>
        <w:tc>
          <w:tcPr>
            <w:tcW w:w="4481" w:type="dxa"/>
            <w:gridSpan w:val="2"/>
            <w:tcBorders>
              <w:bottom w:val="single" w:sz="4" w:space="0" w:color="231F20"/>
            </w:tcBorders>
            <w:shd w:val="clear" w:color="auto" w:fill="E8F5F1"/>
          </w:tcPr>
          <w:p>
            <w:pPr>
              <w:pStyle w:val="TableParagraph"/>
              <w:spacing w:before="39"/>
              <w:ind w:left="842"/>
              <w:rPr>
                <w:b/>
                <w:sz w:val="15"/>
              </w:rPr>
            </w:pPr>
            <w:r>
              <w:rPr>
                <w:b/>
                <w:color w:val="231F20"/>
                <w:sz w:val="15"/>
              </w:rPr>
              <w:t>FAMILIAL</w:t>
            </w:r>
            <w:r>
              <w:rPr>
                <w:b/>
                <w:color w:val="231F20"/>
                <w:spacing w:val="53"/>
                <w:sz w:val="15"/>
              </w:rPr>
              <w:t> </w:t>
            </w:r>
            <w:r>
              <w:rPr>
                <w:b/>
                <w:color w:val="231F20"/>
                <w:sz w:val="15"/>
              </w:rPr>
              <w:t>PARTIAL</w:t>
            </w:r>
            <w:r>
              <w:rPr>
                <w:b/>
                <w:color w:val="231F20"/>
                <w:spacing w:val="53"/>
                <w:sz w:val="15"/>
              </w:rPr>
              <w:t> </w:t>
            </w:r>
            <w:r>
              <w:rPr>
                <w:b/>
                <w:color w:val="231F20"/>
                <w:spacing w:val="-2"/>
                <w:sz w:val="15"/>
              </w:rPr>
              <w:t>LIPODYSTROPHY</w:t>
            </w:r>
          </w:p>
        </w:tc>
      </w:tr>
      <w:tr>
        <w:trPr>
          <w:trHeight w:val="248" w:hRule="atLeast"/>
        </w:trPr>
        <w:tc>
          <w:tcPr>
            <w:tcW w:w="5304" w:type="dxa"/>
            <w:gridSpan w:val="2"/>
            <w:vMerge/>
            <w:tcBorders>
              <w:top w:val="nil"/>
              <w:bottom w:val="single" w:sz="4" w:space="0" w:color="231F20"/>
            </w:tcBorders>
            <w:shd w:val="clear" w:color="auto" w:fill="E8F5F1"/>
          </w:tcPr>
          <w:p>
            <w:pPr>
              <w:rPr>
                <w:sz w:val="2"/>
                <w:szCs w:val="2"/>
              </w:rPr>
            </w:pPr>
          </w:p>
        </w:tc>
        <w:tc>
          <w:tcPr>
            <w:tcW w:w="2188" w:type="dxa"/>
            <w:tcBorders>
              <w:top w:val="single" w:sz="4" w:space="0" w:color="231F20"/>
              <w:bottom w:val="single" w:sz="4" w:space="0" w:color="231F20"/>
            </w:tcBorders>
            <w:shd w:val="clear" w:color="auto" w:fill="E8F5F1"/>
          </w:tcPr>
          <w:p>
            <w:pPr>
              <w:pStyle w:val="TableParagraph"/>
              <w:spacing w:before="37"/>
              <w:ind w:right="95"/>
              <w:jc w:val="center"/>
              <w:rPr>
                <w:b/>
                <w:sz w:val="15"/>
              </w:rPr>
            </w:pPr>
            <w:r>
              <w:rPr>
                <w:b/>
                <w:color w:val="231F20"/>
                <w:spacing w:val="-2"/>
                <w:w w:val="105"/>
                <w:sz w:val="15"/>
              </w:rPr>
              <w:t>FPLD2</w:t>
            </w:r>
          </w:p>
        </w:tc>
        <w:tc>
          <w:tcPr>
            <w:tcW w:w="2293" w:type="dxa"/>
            <w:tcBorders>
              <w:top w:val="single" w:sz="4" w:space="0" w:color="231F20"/>
              <w:bottom w:val="single" w:sz="4" w:space="0" w:color="231F20"/>
            </w:tcBorders>
            <w:shd w:val="clear" w:color="auto" w:fill="E8F5F1"/>
          </w:tcPr>
          <w:p>
            <w:pPr>
              <w:pStyle w:val="TableParagraph"/>
              <w:spacing w:before="37"/>
              <w:ind w:right="14"/>
              <w:jc w:val="center"/>
              <w:rPr>
                <w:b/>
                <w:sz w:val="15"/>
              </w:rPr>
            </w:pPr>
            <w:r>
              <w:rPr>
                <w:b/>
                <w:color w:val="231F20"/>
                <w:spacing w:val="-2"/>
                <w:w w:val="105"/>
                <w:sz w:val="15"/>
              </w:rPr>
              <w:t>FPLD3</w:t>
            </w:r>
          </w:p>
        </w:tc>
      </w:tr>
      <w:tr>
        <w:trPr>
          <w:trHeight w:val="257" w:hRule="atLeast"/>
        </w:trPr>
        <w:tc>
          <w:tcPr>
            <w:tcW w:w="5304" w:type="dxa"/>
            <w:gridSpan w:val="2"/>
            <w:tcBorders>
              <w:top w:val="single" w:sz="4" w:space="0" w:color="231F20"/>
              <w:bottom w:val="single" w:sz="4" w:space="0" w:color="FFFFFF"/>
            </w:tcBorders>
            <w:shd w:val="clear" w:color="auto" w:fill="E8F5F1"/>
          </w:tcPr>
          <w:p>
            <w:pPr>
              <w:pStyle w:val="TableParagraph"/>
              <w:tabs>
                <w:tab w:pos="1581" w:val="left" w:leader="none"/>
                <w:tab w:pos="3442" w:val="left" w:leader="none"/>
              </w:tabs>
              <w:spacing w:before="47"/>
              <w:ind w:left="74"/>
              <w:rPr>
                <w:i/>
                <w:sz w:val="15"/>
              </w:rPr>
            </w:pPr>
            <w:r>
              <w:rPr>
                <w:color w:val="231F20"/>
                <w:spacing w:val="-2"/>
                <w:sz w:val="15"/>
              </w:rPr>
              <w:t>Defective</w:t>
            </w:r>
            <w:r>
              <w:rPr>
                <w:color w:val="231F20"/>
                <w:spacing w:val="6"/>
                <w:sz w:val="15"/>
              </w:rPr>
              <w:t> </w:t>
            </w:r>
            <w:r>
              <w:rPr>
                <w:color w:val="231F20"/>
                <w:spacing w:val="-4"/>
                <w:sz w:val="15"/>
              </w:rPr>
              <w:t>gene</w:t>
            </w:r>
            <w:r>
              <w:rPr>
                <w:color w:val="231F20"/>
                <w:sz w:val="15"/>
              </w:rPr>
              <w:tab/>
            </w:r>
            <w:r>
              <w:rPr>
                <w:i/>
                <w:color w:val="231F20"/>
                <w:spacing w:val="-2"/>
                <w:sz w:val="15"/>
              </w:rPr>
              <w:t>AGPAT2</w:t>
            </w:r>
            <w:r>
              <w:rPr>
                <w:i/>
                <w:color w:val="231F20"/>
                <w:sz w:val="15"/>
              </w:rPr>
              <w:tab/>
            </w:r>
            <w:r>
              <w:rPr>
                <w:i/>
                <w:color w:val="231F20"/>
                <w:spacing w:val="-2"/>
                <w:sz w:val="15"/>
              </w:rPr>
              <w:t>BSCL2</w:t>
            </w:r>
          </w:p>
        </w:tc>
        <w:tc>
          <w:tcPr>
            <w:tcW w:w="2188" w:type="dxa"/>
            <w:tcBorders>
              <w:top w:val="single" w:sz="4" w:space="0" w:color="231F20"/>
              <w:bottom w:val="single" w:sz="4" w:space="0" w:color="FFFFFF"/>
            </w:tcBorders>
            <w:shd w:val="clear" w:color="auto" w:fill="E8F5F1"/>
          </w:tcPr>
          <w:p>
            <w:pPr>
              <w:pStyle w:val="TableParagraph"/>
              <w:spacing w:before="47"/>
              <w:rPr>
                <w:i/>
                <w:sz w:val="15"/>
              </w:rPr>
            </w:pPr>
            <w:r>
              <w:rPr>
                <w:i/>
                <w:color w:val="231F20"/>
                <w:spacing w:val="-4"/>
                <w:w w:val="110"/>
                <w:sz w:val="15"/>
              </w:rPr>
              <w:t>LMNA</w:t>
            </w:r>
          </w:p>
        </w:tc>
        <w:tc>
          <w:tcPr>
            <w:tcW w:w="2293" w:type="dxa"/>
            <w:tcBorders>
              <w:top w:val="single" w:sz="4" w:space="0" w:color="231F20"/>
              <w:bottom w:val="single" w:sz="4" w:space="0" w:color="FFFFFF"/>
            </w:tcBorders>
            <w:shd w:val="clear" w:color="auto" w:fill="E8F5F1"/>
          </w:tcPr>
          <w:p>
            <w:pPr>
              <w:pStyle w:val="TableParagraph"/>
              <w:spacing w:before="47"/>
              <w:ind w:left="102"/>
              <w:rPr>
                <w:i/>
                <w:sz w:val="15"/>
              </w:rPr>
            </w:pPr>
            <w:r>
              <w:rPr>
                <w:i/>
                <w:color w:val="231F20"/>
                <w:spacing w:val="-2"/>
                <w:w w:val="105"/>
                <w:sz w:val="15"/>
              </w:rPr>
              <w:t>PPARG</w:t>
            </w:r>
          </w:p>
        </w:tc>
      </w:tr>
      <w:tr>
        <w:trPr>
          <w:trHeight w:val="420" w:hRule="atLeast"/>
        </w:trPr>
        <w:tc>
          <w:tcPr>
            <w:tcW w:w="5304" w:type="dxa"/>
            <w:gridSpan w:val="2"/>
            <w:tcBorders>
              <w:top w:val="single" w:sz="4" w:space="0" w:color="FFFFFF"/>
              <w:bottom w:val="single" w:sz="4" w:space="0" w:color="FFFFFF"/>
            </w:tcBorders>
            <w:shd w:val="clear" w:color="auto" w:fill="E8F5F1"/>
          </w:tcPr>
          <w:p>
            <w:pPr>
              <w:pStyle w:val="TableParagraph"/>
              <w:tabs>
                <w:tab w:pos="1581" w:val="left" w:leader="none"/>
                <w:tab w:pos="3442" w:val="left" w:leader="none"/>
              </w:tabs>
              <w:spacing w:before="42"/>
              <w:ind w:left="74"/>
              <w:rPr>
                <w:sz w:val="15"/>
              </w:rPr>
            </w:pPr>
            <w:r>
              <w:rPr>
                <w:color w:val="231F20"/>
                <w:spacing w:val="-2"/>
                <w:sz w:val="15"/>
              </w:rPr>
              <w:t>Clinical</w:t>
            </w:r>
            <w:r>
              <w:rPr>
                <w:color w:val="231F20"/>
                <w:spacing w:val="-3"/>
                <w:sz w:val="15"/>
              </w:rPr>
              <w:t> </w:t>
            </w:r>
            <w:r>
              <w:rPr>
                <w:color w:val="231F20"/>
                <w:spacing w:val="-2"/>
                <w:sz w:val="15"/>
              </w:rPr>
              <w:t>onset</w:t>
            </w:r>
            <w:r>
              <w:rPr>
                <w:color w:val="231F20"/>
                <w:sz w:val="15"/>
              </w:rPr>
              <w:tab/>
              <w:t>Soon</w:t>
            </w:r>
            <w:r>
              <w:rPr>
                <w:color w:val="231F20"/>
                <w:spacing w:val="-2"/>
                <w:sz w:val="15"/>
              </w:rPr>
              <w:t> </w:t>
            </w:r>
            <w:r>
              <w:rPr>
                <w:color w:val="231F20"/>
                <w:sz w:val="15"/>
              </w:rPr>
              <w:t>after</w:t>
            </w:r>
            <w:r>
              <w:rPr>
                <w:color w:val="231F20"/>
                <w:spacing w:val="-1"/>
                <w:sz w:val="15"/>
              </w:rPr>
              <w:t> </w:t>
            </w:r>
            <w:r>
              <w:rPr>
                <w:color w:val="231F20"/>
                <w:spacing w:val="-2"/>
                <w:sz w:val="15"/>
              </w:rPr>
              <w:t>birth</w:t>
            </w:r>
            <w:r>
              <w:rPr>
                <w:color w:val="231F20"/>
                <w:sz w:val="15"/>
              </w:rPr>
              <w:tab/>
              <w:t>Soon</w:t>
            </w:r>
            <w:r>
              <w:rPr>
                <w:color w:val="231F20"/>
                <w:spacing w:val="-2"/>
                <w:sz w:val="15"/>
              </w:rPr>
              <w:t> </w:t>
            </w:r>
            <w:r>
              <w:rPr>
                <w:color w:val="231F20"/>
                <w:sz w:val="15"/>
              </w:rPr>
              <w:t>after</w:t>
            </w:r>
            <w:r>
              <w:rPr>
                <w:color w:val="231F20"/>
                <w:spacing w:val="-1"/>
                <w:sz w:val="15"/>
              </w:rPr>
              <w:t> </w:t>
            </w:r>
            <w:r>
              <w:rPr>
                <w:color w:val="231F20"/>
                <w:spacing w:val="-2"/>
                <w:sz w:val="15"/>
              </w:rPr>
              <w:t>birth</w:t>
            </w:r>
          </w:p>
        </w:tc>
        <w:tc>
          <w:tcPr>
            <w:tcW w:w="2188" w:type="dxa"/>
            <w:tcBorders>
              <w:top w:val="single" w:sz="4" w:space="0" w:color="FFFFFF"/>
              <w:bottom w:val="single" w:sz="4" w:space="0" w:color="FFFFFF"/>
            </w:tcBorders>
            <w:shd w:val="clear" w:color="auto" w:fill="E8F5F1"/>
          </w:tcPr>
          <w:p>
            <w:pPr>
              <w:pStyle w:val="TableParagraph"/>
              <w:spacing w:before="42"/>
              <w:rPr>
                <w:sz w:val="15"/>
              </w:rPr>
            </w:pPr>
            <w:r>
              <w:rPr>
                <w:color w:val="231F20"/>
                <w:spacing w:val="-2"/>
                <w:sz w:val="15"/>
              </w:rPr>
              <w:t>Puberty</w:t>
            </w:r>
          </w:p>
        </w:tc>
        <w:tc>
          <w:tcPr>
            <w:tcW w:w="2293" w:type="dxa"/>
            <w:tcBorders>
              <w:top w:val="single" w:sz="4" w:space="0" w:color="FFFFFF"/>
              <w:bottom w:val="single" w:sz="4" w:space="0" w:color="FFFFFF"/>
            </w:tcBorders>
            <w:shd w:val="clear" w:color="auto" w:fill="E8F5F1"/>
          </w:tcPr>
          <w:p>
            <w:pPr>
              <w:pStyle w:val="TableParagraph"/>
              <w:spacing w:line="230" w:lineRule="auto" w:before="48"/>
              <w:ind w:left="214" w:right="219" w:hanging="112"/>
              <w:rPr>
                <w:sz w:val="15"/>
              </w:rPr>
            </w:pPr>
            <w:r>
              <w:rPr>
                <w:color w:val="231F20"/>
                <w:sz w:val="15"/>
              </w:rPr>
              <w:t>Usually puberty, but may present</w:t>
            </w:r>
            <w:r>
              <w:rPr>
                <w:color w:val="231F20"/>
                <w:spacing w:val="-12"/>
                <w:sz w:val="15"/>
              </w:rPr>
              <w:t> </w:t>
            </w:r>
            <w:r>
              <w:rPr>
                <w:color w:val="231F20"/>
                <w:sz w:val="15"/>
              </w:rPr>
              <w:t>in</w:t>
            </w:r>
            <w:r>
              <w:rPr>
                <w:color w:val="231F20"/>
                <w:spacing w:val="-11"/>
                <w:sz w:val="15"/>
              </w:rPr>
              <w:t> </w:t>
            </w:r>
            <w:r>
              <w:rPr>
                <w:color w:val="231F20"/>
                <w:sz w:val="15"/>
              </w:rPr>
              <w:t>younger</w:t>
            </w:r>
            <w:r>
              <w:rPr>
                <w:color w:val="231F20"/>
                <w:spacing w:val="-11"/>
                <w:sz w:val="15"/>
              </w:rPr>
              <w:t> </w:t>
            </w:r>
            <w:r>
              <w:rPr>
                <w:color w:val="231F20"/>
                <w:sz w:val="15"/>
              </w:rPr>
              <w:t>children</w:t>
            </w:r>
          </w:p>
        </w:tc>
      </w:tr>
      <w:tr>
        <w:trPr>
          <w:trHeight w:val="588" w:hRule="atLeast"/>
        </w:trPr>
        <w:tc>
          <w:tcPr>
            <w:tcW w:w="5304" w:type="dxa"/>
            <w:gridSpan w:val="2"/>
            <w:tcBorders>
              <w:top w:val="single" w:sz="4" w:space="0" w:color="FFFFFF"/>
              <w:bottom w:val="single" w:sz="4" w:space="0" w:color="FFFFFF"/>
            </w:tcBorders>
            <w:shd w:val="clear" w:color="auto" w:fill="E8F5F1"/>
          </w:tcPr>
          <w:p>
            <w:pPr>
              <w:pStyle w:val="TableParagraph"/>
              <w:tabs>
                <w:tab w:pos="1581" w:val="left" w:leader="none"/>
                <w:tab w:pos="3443" w:val="left" w:leader="none"/>
              </w:tabs>
              <w:spacing w:before="42"/>
              <w:ind w:left="74"/>
              <w:rPr>
                <w:sz w:val="15"/>
              </w:rPr>
            </w:pPr>
            <w:r>
              <w:rPr>
                <w:color w:val="231F20"/>
                <w:sz w:val="15"/>
              </w:rPr>
              <w:t>Fat</w:t>
            </w:r>
            <w:r>
              <w:rPr>
                <w:color w:val="231F20"/>
                <w:spacing w:val="-8"/>
                <w:sz w:val="15"/>
              </w:rPr>
              <w:t> </w:t>
            </w:r>
            <w:r>
              <w:rPr>
                <w:color w:val="231F20"/>
                <w:spacing w:val="-2"/>
                <w:sz w:val="15"/>
              </w:rPr>
              <w:t>distribution</w:t>
            </w:r>
            <w:r>
              <w:rPr>
                <w:color w:val="231F20"/>
                <w:sz w:val="15"/>
              </w:rPr>
              <w:tab/>
              <w:t>Generalized</w:t>
            </w:r>
            <w:r>
              <w:rPr>
                <w:color w:val="231F20"/>
                <w:spacing w:val="-8"/>
                <w:sz w:val="15"/>
              </w:rPr>
              <w:t> </w:t>
            </w:r>
            <w:r>
              <w:rPr>
                <w:color w:val="231F20"/>
                <w:spacing w:val="-2"/>
                <w:sz w:val="15"/>
              </w:rPr>
              <w:t>absence</w:t>
            </w:r>
            <w:r>
              <w:rPr>
                <w:color w:val="231F20"/>
                <w:sz w:val="15"/>
              </w:rPr>
              <w:tab/>
              <w:t>Generalized</w:t>
            </w:r>
            <w:r>
              <w:rPr>
                <w:color w:val="231F20"/>
                <w:spacing w:val="-8"/>
                <w:sz w:val="15"/>
              </w:rPr>
              <w:t> </w:t>
            </w:r>
            <w:r>
              <w:rPr>
                <w:color w:val="231F20"/>
                <w:spacing w:val="-2"/>
                <w:sz w:val="15"/>
              </w:rPr>
              <w:t>absence</w:t>
            </w:r>
          </w:p>
        </w:tc>
        <w:tc>
          <w:tcPr>
            <w:tcW w:w="2188" w:type="dxa"/>
            <w:tcBorders>
              <w:top w:val="single" w:sz="4" w:space="0" w:color="FFFFFF"/>
              <w:bottom w:val="single" w:sz="4" w:space="0" w:color="FFFFFF"/>
            </w:tcBorders>
            <w:shd w:val="clear" w:color="auto" w:fill="E8F5F1"/>
          </w:tcPr>
          <w:p>
            <w:pPr>
              <w:pStyle w:val="TableParagraph"/>
              <w:spacing w:line="230" w:lineRule="auto" w:before="48"/>
              <w:ind w:left="112" w:hanging="112"/>
              <w:rPr>
                <w:sz w:val="15"/>
              </w:rPr>
            </w:pPr>
            <w:r>
              <w:rPr>
                <w:color w:val="231F20"/>
                <w:sz w:val="15"/>
              </w:rPr>
              <w:t>Loss of limb and gluteal fat; typically excess facial and </w:t>
            </w:r>
            <w:r>
              <w:rPr>
                <w:color w:val="231F20"/>
                <w:spacing w:val="-4"/>
                <w:sz w:val="15"/>
              </w:rPr>
              <w:t>nuchal</w:t>
            </w:r>
            <w:r>
              <w:rPr>
                <w:color w:val="231F20"/>
                <w:spacing w:val="-7"/>
                <w:sz w:val="15"/>
              </w:rPr>
              <w:t> </w:t>
            </w:r>
            <w:r>
              <w:rPr>
                <w:color w:val="231F20"/>
                <w:spacing w:val="-4"/>
                <w:sz w:val="15"/>
              </w:rPr>
              <w:t>fat;</w:t>
            </w:r>
            <w:r>
              <w:rPr>
                <w:color w:val="231F20"/>
                <w:spacing w:val="-7"/>
                <w:sz w:val="15"/>
              </w:rPr>
              <w:t> </w:t>
            </w:r>
            <w:r>
              <w:rPr>
                <w:color w:val="231F20"/>
                <w:spacing w:val="-4"/>
                <w:sz w:val="15"/>
              </w:rPr>
              <w:t>trunk</w:t>
            </w:r>
            <w:r>
              <w:rPr>
                <w:color w:val="231F20"/>
                <w:spacing w:val="-7"/>
                <w:sz w:val="15"/>
              </w:rPr>
              <w:t> </w:t>
            </w:r>
            <w:r>
              <w:rPr>
                <w:color w:val="231F20"/>
                <w:spacing w:val="-4"/>
                <w:sz w:val="15"/>
              </w:rPr>
              <w:t>fat</w:t>
            </w:r>
            <w:r>
              <w:rPr>
                <w:color w:val="231F20"/>
                <w:spacing w:val="-7"/>
                <w:sz w:val="15"/>
              </w:rPr>
              <w:t> </w:t>
            </w:r>
            <w:r>
              <w:rPr>
                <w:color w:val="231F20"/>
                <w:spacing w:val="-4"/>
                <w:sz w:val="15"/>
              </w:rPr>
              <w:t>often</w:t>
            </w:r>
            <w:r>
              <w:rPr>
                <w:color w:val="231F20"/>
                <w:spacing w:val="-7"/>
                <w:sz w:val="15"/>
              </w:rPr>
              <w:t> </w:t>
            </w:r>
            <w:r>
              <w:rPr>
                <w:color w:val="231F20"/>
                <w:spacing w:val="-4"/>
                <w:sz w:val="15"/>
              </w:rPr>
              <w:t>lost</w:t>
            </w:r>
          </w:p>
        </w:tc>
        <w:tc>
          <w:tcPr>
            <w:tcW w:w="2293" w:type="dxa"/>
            <w:tcBorders>
              <w:top w:val="single" w:sz="4" w:space="0" w:color="FFFFFF"/>
              <w:bottom w:val="single" w:sz="4" w:space="0" w:color="FFFFFF"/>
            </w:tcBorders>
            <w:shd w:val="clear" w:color="auto" w:fill="E8F5F1"/>
          </w:tcPr>
          <w:p>
            <w:pPr>
              <w:pStyle w:val="TableParagraph"/>
              <w:spacing w:line="230" w:lineRule="auto" w:before="48"/>
              <w:ind w:left="215" w:hanging="112"/>
              <w:rPr>
                <w:sz w:val="15"/>
              </w:rPr>
            </w:pPr>
            <w:r>
              <w:rPr>
                <w:color w:val="231F20"/>
                <w:sz w:val="15"/>
              </w:rPr>
              <w:t>Loss of limb and gluteal fat; </w:t>
            </w:r>
            <w:r>
              <w:rPr>
                <w:color w:val="231F20"/>
                <w:spacing w:val="-2"/>
                <w:sz w:val="15"/>
              </w:rPr>
              <w:t>preserved</w:t>
            </w:r>
            <w:r>
              <w:rPr>
                <w:color w:val="231F20"/>
                <w:spacing w:val="-10"/>
                <w:sz w:val="15"/>
              </w:rPr>
              <w:t> </w:t>
            </w:r>
            <w:r>
              <w:rPr>
                <w:color w:val="231F20"/>
                <w:spacing w:val="-2"/>
                <w:sz w:val="15"/>
              </w:rPr>
              <w:t>facial</w:t>
            </w:r>
            <w:r>
              <w:rPr>
                <w:color w:val="231F20"/>
                <w:spacing w:val="-9"/>
                <w:sz w:val="15"/>
              </w:rPr>
              <w:t> </w:t>
            </w:r>
            <w:r>
              <w:rPr>
                <w:color w:val="231F20"/>
                <w:spacing w:val="-2"/>
                <w:sz w:val="15"/>
              </w:rPr>
              <w:t>and</w:t>
            </w:r>
            <w:r>
              <w:rPr>
                <w:color w:val="231F20"/>
                <w:spacing w:val="-9"/>
                <w:sz w:val="15"/>
              </w:rPr>
              <w:t> </w:t>
            </w:r>
            <w:r>
              <w:rPr>
                <w:color w:val="231F20"/>
                <w:spacing w:val="-2"/>
                <w:sz w:val="15"/>
              </w:rPr>
              <w:t>trunk</w:t>
            </w:r>
            <w:r>
              <w:rPr>
                <w:color w:val="231F20"/>
                <w:spacing w:val="-10"/>
                <w:sz w:val="15"/>
              </w:rPr>
              <w:t> </w:t>
            </w:r>
            <w:r>
              <w:rPr>
                <w:color w:val="231F20"/>
                <w:spacing w:val="-2"/>
                <w:sz w:val="15"/>
              </w:rPr>
              <w:t>fat</w:t>
            </w:r>
          </w:p>
        </w:tc>
      </w:tr>
      <w:tr>
        <w:trPr>
          <w:trHeight w:val="588" w:hRule="atLeast"/>
        </w:trPr>
        <w:tc>
          <w:tcPr>
            <w:tcW w:w="5304" w:type="dxa"/>
            <w:gridSpan w:val="2"/>
            <w:tcBorders>
              <w:top w:val="single" w:sz="4" w:space="0" w:color="FFFFFF"/>
              <w:bottom w:val="single" w:sz="4" w:space="0" w:color="FFFFFF"/>
            </w:tcBorders>
            <w:shd w:val="clear" w:color="auto" w:fill="E8F5F1"/>
          </w:tcPr>
          <w:p>
            <w:pPr>
              <w:pStyle w:val="TableParagraph"/>
              <w:tabs>
                <w:tab w:pos="1581" w:val="left" w:leader="none"/>
                <w:tab w:pos="3443" w:val="left" w:leader="none"/>
              </w:tabs>
              <w:spacing w:line="171" w:lineRule="exact" w:before="42"/>
              <w:ind w:left="75"/>
              <w:rPr>
                <w:sz w:val="15"/>
              </w:rPr>
            </w:pPr>
            <w:r>
              <w:rPr>
                <w:color w:val="231F20"/>
                <w:sz w:val="15"/>
              </w:rPr>
              <w:t>Cutaneous</w:t>
            </w:r>
            <w:r>
              <w:rPr>
                <w:color w:val="231F20"/>
                <w:spacing w:val="14"/>
                <w:sz w:val="15"/>
              </w:rPr>
              <w:t> </w:t>
            </w:r>
            <w:r>
              <w:rPr>
                <w:color w:val="231F20"/>
                <w:spacing w:val="-2"/>
                <w:sz w:val="15"/>
              </w:rPr>
              <w:t>features</w:t>
            </w:r>
            <w:r>
              <w:rPr>
                <w:color w:val="231F20"/>
                <w:sz w:val="15"/>
              </w:rPr>
              <w:tab/>
              <w:t>Acanthosis</w:t>
            </w:r>
            <w:r>
              <w:rPr>
                <w:color w:val="231F20"/>
                <w:spacing w:val="1"/>
                <w:sz w:val="15"/>
              </w:rPr>
              <w:t> </w:t>
            </w:r>
            <w:r>
              <w:rPr>
                <w:color w:val="231F20"/>
                <w:sz w:val="15"/>
              </w:rPr>
              <w:t>nigricans</w:t>
            </w:r>
            <w:r>
              <w:rPr>
                <w:color w:val="231F20"/>
                <w:spacing w:val="2"/>
                <w:sz w:val="15"/>
              </w:rPr>
              <w:t> </w:t>
            </w:r>
            <w:r>
              <w:rPr>
                <w:color w:val="231F20"/>
                <w:spacing w:val="-5"/>
                <w:sz w:val="15"/>
              </w:rPr>
              <w:t>and</w:t>
            </w:r>
            <w:r>
              <w:rPr>
                <w:color w:val="231F20"/>
                <w:sz w:val="15"/>
              </w:rPr>
              <w:tab/>
              <w:t>Acanthosis</w:t>
            </w:r>
            <w:r>
              <w:rPr>
                <w:color w:val="231F20"/>
                <w:spacing w:val="1"/>
                <w:sz w:val="15"/>
              </w:rPr>
              <w:t> </w:t>
            </w:r>
            <w:r>
              <w:rPr>
                <w:color w:val="231F20"/>
                <w:sz w:val="15"/>
              </w:rPr>
              <w:t>nigricans</w:t>
            </w:r>
            <w:r>
              <w:rPr>
                <w:color w:val="231F20"/>
                <w:spacing w:val="2"/>
                <w:sz w:val="15"/>
              </w:rPr>
              <w:t> </w:t>
            </w:r>
            <w:r>
              <w:rPr>
                <w:color w:val="231F20"/>
                <w:spacing w:val="-5"/>
                <w:sz w:val="15"/>
              </w:rPr>
              <w:t>and</w:t>
            </w:r>
          </w:p>
          <w:p>
            <w:pPr>
              <w:pStyle w:val="TableParagraph"/>
              <w:tabs>
                <w:tab w:pos="3555" w:val="left" w:leader="none"/>
              </w:tabs>
              <w:spacing w:line="230" w:lineRule="auto" w:before="2"/>
              <w:ind w:left="1693" w:right="461"/>
              <w:rPr>
                <w:sz w:val="15"/>
              </w:rPr>
            </w:pPr>
            <w:r>
              <w:rPr>
                <w:color w:val="231F20"/>
                <w:sz w:val="15"/>
              </w:rPr>
              <w:t>skin tags; hirsutism</w:t>
              <w:tab/>
              <w:t>skin</w:t>
            </w:r>
            <w:r>
              <w:rPr>
                <w:color w:val="231F20"/>
                <w:spacing w:val="-12"/>
                <w:sz w:val="15"/>
              </w:rPr>
              <w:t> </w:t>
            </w:r>
            <w:r>
              <w:rPr>
                <w:color w:val="231F20"/>
                <w:sz w:val="15"/>
              </w:rPr>
              <w:t>tags;</w:t>
            </w:r>
            <w:r>
              <w:rPr>
                <w:color w:val="231F20"/>
                <w:spacing w:val="-11"/>
                <w:sz w:val="15"/>
              </w:rPr>
              <w:t> </w:t>
            </w:r>
            <w:r>
              <w:rPr>
                <w:color w:val="231F20"/>
                <w:sz w:val="15"/>
              </w:rPr>
              <w:t>hirsutism common</w:t>
            </w:r>
            <w:r>
              <w:rPr>
                <w:color w:val="231F20"/>
                <w:spacing w:val="6"/>
                <w:sz w:val="15"/>
              </w:rPr>
              <w:t> </w:t>
            </w:r>
            <w:r>
              <w:rPr>
                <w:color w:val="231F20"/>
                <w:sz w:val="15"/>
              </w:rPr>
              <w:t>in</w:t>
            </w:r>
            <w:r>
              <w:rPr>
                <w:color w:val="231F20"/>
                <w:spacing w:val="6"/>
                <w:sz w:val="15"/>
              </w:rPr>
              <w:t> </w:t>
            </w:r>
            <w:r>
              <w:rPr>
                <w:color w:val="231F20"/>
                <w:spacing w:val="-2"/>
                <w:sz w:val="15"/>
              </w:rPr>
              <w:t>women</w:t>
            </w:r>
            <w:r>
              <w:rPr>
                <w:color w:val="231F20"/>
                <w:sz w:val="15"/>
              </w:rPr>
              <w:tab/>
              <w:t>common</w:t>
            </w:r>
            <w:r>
              <w:rPr>
                <w:color w:val="231F20"/>
                <w:spacing w:val="6"/>
                <w:sz w:val="15"/>
              </w:rPr>
              <w:t> </w:t>
            </w:r>
            <w:r>
              <w:rPr>
                <w:color w:val="231F20"/>
                <w:sz w:val="15"/>
              </w:rPr>
              <w:t>in</w:t>
            </w:r>
            <w:r>
              <w:rPr>
                <w:color w:val="231F20"/>
                <w:spacing w:val="6"/>
                <w:sz w:val="15"/>
              </w:rPr>
              <w:t> </w:t>
            </w:r>
            <w:r>
              <w:rPr>
                <w:color w:val="231F20"/>
                <w:spacing w:val="-2"/>
                <w:sz w:val="15"/>
              </w:rPr>
              <w:t>women</w:t>
            </w:r>
          </w:p>
        </w:tc>
        <w:tc>
          <w:tcPr>
            <w:tcW w:w="2188" w:type="dxa"/>
            <w:tcBorders>
              <w:top w:val="single" w:sz="4" w:space="0" w:color="FFFFFF"/>
              <w:bottom w:val="single" w:sz="4" w:space="0" w:color="FFFFFF"/>
            </w:tcBorders>
            <w:shd w:val="clear" w:color="auto" w:fill="E8F5F1"/>
          </w:tcPr>
          <w:p>
            <w:pPr>
              <w:pStyle w:val="TableParagraph"/>
              <w:spacing w:line="230" w:lineRule="auto" w:before="48"/>
              <w:ind w:left="112" w:hanging="112"/>
              <w:rPr>
                <w:sz w:val="15"/>
              </w:rPr>
            </w:pPr>
            <w:r>
              <w:rPr>
                <w:color w:val="231F20"/>
                <w:sz w:val="15"/>
              </w:rPr>
              <w:t>Acanthosis</w:t>
            </w:r>
            <w:r>
              <w:rPr>
                <w:color w:val="231F20"/>
                <w:spacing w:val="-10"/>
                <w:sz w:val="15"/>
              </w:rPr>
              <w:t> </w:t>
            </w:r>
            <w:r>
              <w:rPr>
                <w:color w:val="231F20"/>
                <w:sz w:val="15"/>
              </w:rPr>
              <w:t>nigricans</w:t>
            </w:r>
            <w:r>
              <w:rPr>
                <w:color w:val="231F20"/>
                <w:spacing w:val="-10"/>
                <w:sz w:val="15"/>
              </w:rPr>
              <w:t> </w:t>
            </w:r>
            <w:r>
              <w:rPr>
                <w:color w:val="231F20"/>
                <w:sz w:val="15"/>
              </w:rPr>
              <w:t>and</w:t>
            </w:r>
            <w:r>
              <w:rPr>
                <w:color w:val="231F20"/>
                <w:spacing w:val="-10"/>
                <w:sz w:val="15"/>
              </w:rPr>
              <w:t> </w:t>
            </w:r>
            <w:r>
              <w:rPr>
                <w:color w:val="231F20"/>
                <w:sz w:val="15"/>
              </w:rPr>
              <w:t>skin tags; hirsutism common in </w:t>
            </w:r>
            <w:r>
              <w:rPr>
                <w:color w:val="231F20"/>
                <w:spacing w:val="-2"/>
                <w:sz w:val="15"/>
              </w:rPr>
              <w:t>women</w:t>
            </w:r>
          </w:p>
        </w:tc>
        <w:tc>
          <w:tcPr>
            <w:tcW w:w="2293" w:type="dxa"/>
            <w:tcBorders>
              <w:top w:val="single" w:sz="4" w:space="0" w:color="FFFFFF"/>
              <w:bottom w:val="single" w:sz="4" w:space="0" w:color="FFFFFF"/>
            </w:tcBorders>
            <w:shd w:val="clear" w:color="auto" w:fill="E8F5F1"/>
          </w:tcPr>
          <w:p>
            <w:pPr>
              <w:pStyle w:val="TableParagraph"/>
              <w:spacing w:line="230" w:lineRule="auto" w:before="48"/>
              <w:ind w:left="215" w:hanging="112"/>
              <w:rPr>
                <w:sz w:val="15"/>
              </w:rPr>
            </w:pPr>
            <w:r>
              <w:rPr>
                <w:color w:val="231F20"/>
                <w:sz w:val="15"/>
              </w:rPr>
              <w:t>Acanthosis</w:t>
            </w:r>
            <w:r>
              <w:rPr>
                <w:color w:val="231F20"/>
                <w:spacing w:val="-10"/>
                <w:sz w:val="15"/>
              </w:rPr>
              <w:t> </w:t>
            </w:r>
            <w:r>
              <w:rPr>
                <w:color w:val="231F20"/>
                <w:sz w:val="15"/>
              </w:rPr>
              <w:t>nigricans</w:t>
            </w:r>
            <w:r>
              <w:rPr>
                <w:color w:val="231F20"/>
                <w:spacing w:val="-10"/>
                <w:sz w:val="15"/>
              </w:rPr>
              <w:t> </w:t>
            </w:r>
            <w:r>
              <w:rPr>
                <w:color w:val="231F20"/>
                <w:sz w:val="15"/>
              </w:rPr>
              <w:t>and</w:t>
            </w:r>
            <w:r>
              <w:rPr>
                <w:color w:val="231F20"/>
                <w:spacing w:val="-10"/>
                <w:sz w:val="15"/>
              </w:rPr>
              <w:t> </w:t>
            </w:r>
            <w:r>
              <w:rPr>
                <w:color w:val="231F20"/>
                <w:sz w:val="15"/>
              </w:rPr>
              <w:t>skin tags; hirsutism common in </w:t>
            </w:r>
            <w:r>
              <w:rPr>
                <w:color w:val="231F20"/>
                <w:spacing w:val="-2"/>
                <w:sz w:val="15"/>
              </w:rPr>
              <w:t>women</w:t>
            </w:r>
          </w:p>
        </w:tc>
      </w:tr>
      <w:tr>
        <w:trPr>
          <w:trHeight w:val="588" w:hRule="atLeast"/>
        </w:trPr>
        <w:tc>
          <w:tcPr>
            <w:tcW w:w="5304" w:type="dxa"/>
            <w:gridSpan w:val="2"/>
            <w:tcBorders>
              <w:top w:val="single" w:sz="4" w:space="0" w:color="FFFFFF"/>
              <w:bottom w:val="single" w:sz="4" w:space="0" w:color="FFFFFF"/>
            </w:tcBorders>
            <w:shd w:val="clear" w:color="auto" w:fill="E8F5F1"/>
          </w:tcPr>
          <w:p>
            <w:pPr>
              <w:pStyle w:val="TableParagraph"/>
              <w:tabs>
                <w:tab w:pos="1581" w:val="left" w:leader="none"/>
                <w:tab w:pos="3443" w:val="left" w:leader="none"/>
              </w:tabs>
              <w:spacing w:line="171" w:lineRule="exact" w:before="42"/>
              <w:ind w:left="75"/>
              <w:rPr>
                <w:sz w:val="15"/>
              </w:rPr>
            </w:pPr>
            <w:r>
              <w:rPr>
                <w:color w:val="231F20"/>
                <w:spacing w:val="-2"/>
                <w:sz w:val="15"/>
              </w:rPr>
              <w:t>Musculoskeletal</w:t>
            </w:r>
            <w:r>
              <w:rPr>
                <w:color w:val="231F20"/>
                <w:sz w:val="15"/>
              </w:rPr>
              <w:tab/>
              <w:t>Acromegaloid</w:t>
            </w:r>
            <w:r>
              <w:rPr>
                <w:color w:val="231F20"/>
                <w:spacing w:val="28"/>
                <w:sz w:val="15"/>
              </w:rPr>
              <w:t> </w:t>
            </w:r>
            <w:r>
              <w:rPr>
                <w:color w:val="231F20"/>
                <w:spacing w:val="-2"/>
                <w:sz w:val="15"/>
              </w:rPr>
              <w:t>features</w:t>
            </w:r>
            <w:r>
              <w:rPr>
                <w:color w:val="231F20"/>
                <w:sz w:val="15"/>
              </w:rPr>
              <w:tab/>
              <w:t>Acromegaloid</w:t>
            </w:r>
            <w:r>
              <w:rPr>
                <w:color w:val="231F20"/>
                <w:spacing w:val="28"/>
                <w:sz w:val="15"/>
              </w:rPr>
              <w:t> </w:t>
            </w:r>
            <w:r>
              <w:rPr>
                <w:color w:val="231F20"/>
                <w:spacing w:val="-2"/>
                <w:sz w:val="15"/>
              </w:rPr>
              <w:t>features</w:t>
            </w:r>
          </w:p>
          <w:p>
            <w:pPr>
              <w:pStyle w:val="TableParagraph"/>
              <w:tabs>
                <w:tab w:pos="3555" w:val="left" w:leader="none"/>
              </w:tabs>
              <w:spacing w:line="171" w:lineRule="exact"/>
              <w:ind w:left="1694"/>
              <w:rPr>
                <w:sz w:val="15"/>
              </w:rPr>
            </w:pPr>
            <w:r>
              <w:rPr>
                <w:color w:val="231F20"/>
                <w:spacing w:val="-2"/>
                <w:w w:val="105"/>
                <w:sz w:val="15"/>
              </w:rPr>
              <w:t>common</w:t>
            </w:r>
            <w:r>
              <w:rPr>
                <w:color w:val="231F20"/>
                <w:sz w:val="15"/>
              </w:rPr>
              <w:tab/>
            </w:r>
            <w:r>
              <w:rPr>
                <w:color w:val="231F20"/>
                <w:spacing w:val="-2"/>
                <w:w w:val="105"/>
                <w:sz w:val="15"/>
              </w:rPr>
              <w:t>common</w:t>
            </w:r>
          </w:p>
        </w:tc>
        <w:tc>
          <w:tcPr>
            <w:tcW w:w="2188" w:type="dxa"/>
            <w:tcBorders>
              <w:top w:val="single" w:sz="4" w:space="0" w:color="FFFFFF"/>
              <w:bottom w:val="single" w:sz="4" w:space="0" w:color="FFFFFF"/>
            </w:tcBorders>
            <w:shd w:val="clear" w:color="auto" w:fill="E8F5F1"/>
          </w:tcPr>
          <w:p>
            <w:pPr>
              <w:pStyle w:val="TableParagraph"/>
              <w:spacing w:line="230" w:lineRule="auto" w:before="48"/>
              <w:ind w:left="112" w:right="101" w:hanging="112"/>
              <w:rPr>
                <w:sz w:val="15"/>
              </w:rPr>
            </w:pPr>
            <w:r>
              <w:rPr>
                <w:color w:val="231F20"/>
                <w:spacing w:val="-2"/>
                <w:sz w:val="15"/>
              </w:rPr>
              <w:t>Frequent</w:t>
            </w:r>
            <w:r>
              <w:rPr>
                <w:color w:val="231F20"/>
                <w:spacing w:val="-7"/>
                <w:sz w:val="15"/>
              </w:rPr>
              <w:t> </w:t>
            </w:r>
            <w:r>
              <w:rPr>
                <w:color w:val="231F20"/>
                <w:spacing w:val="-2"/>
                <w:sz w:val="15"/>
              </w:rPr>
              <w:t>muscle</w:t>
            </w:r>
            <w:r>
              <w:rPr>
                <w:color w:val="231F20"/>
                <w:spacing w:val="-7"/>
                <w:sz w:val="15"/>
              </w:rPr>
              <w:t> </w:t>
            </w:r>
            <w:r>
              <w:rPr>
                <w:color w:val="231F20"/>
                <w:spacing w:val="-2"/>
                <w:sz w:val="15"/>
              </w:rPr>
              <w:t>hypertrophy; </w:t>
            </w:r>
            <w:r>
              <w:rPr>
                <w:color w:val="231F20"/>
                <w:sz w:val="15"/>
              </w:rPr>
              <w:t>some have overlap features of muscular dystrophy</w:t>
            </w:r>
          </w:p>
        </w:tc>
        <w:tc>
          <w:tcPr>
            <w:tcW w:w="2293" w:type="dxa"/>
            <w:tcBorders>
              <w:top w:val="single" w:sz="4" w:space="0" w:color="FFFFFF"/>
              <w:bottom w:val="single" w:sz="4" w:space="0" w:color="FFFFFF"/>
            </w:tcBorders>
            <w:shd w:val="clear" w:color="auto" w:fill="E8F5F1"/>
          </w:tcPr>
          <w:p>
            <w:pPr>
              <w:pStyle w:val="TableParagraph"/>
              <w:spacing w:before="42"/>
              <w:ind w:left="103"/>
              <w:rPr>
                <w:sz w:val="15"/>
              </w:rPr>
            </w:pPr>
            <w:r>
              <w:rPr>
                <w:color w:val="231F20"/>
                <w:sz w:val="15"/>
              </w:rPr>
              <w:t>Nil</w:t>
            </w:r>
            <w:r>
              <w:rPr>
                <w:color w:val="231F20"/>
                <w:spacing w:val="4"/>
                <w:sz w:val="15"/>
              </w:rPr>
              <w:t> </w:t>
            </w:r>
            <w:r>
              <w:rPr>
                <w:color w:val="231F20"/>
                <w:spacing w:val="-2"/>
                <w:sz w:val="15"/>
              </w:rPr>
              <w:t>specific</w:t>
            </w:r>
          </w:p>
        </w:tc>
      </w:tr>
      <w:tr>
        <w:trPr>
          <w:trHeight w:val="420" w:hRule="atLeast"/>
        </w:trPr>
        <w:tc>
          <w:tcPr>
            <w:tcW w:w="5304" w:type="dxa"/>
            <w:gridSpan w:val="2"/>
            <w:tcBorders>
              <w:top w:val="single" w:sz="4" w:space="0" w:color="FFFFFF"/>
              <w:bottom w:val="single" w:sz="4" w:space="0" w:color="FFFFFF"/>
            </w:tcBorders>
            <w:shd w:val="clear" w:color="auto" w:fill="E8F5F1"/>
          </w:tcPr>
          <w:p>
            <w:pPr>
              <w:pStyle w:val="TableParagraph"/>
              <w:tabs>
                <w:tab w:pos="1582" w:val="left" w:leader="none"/>
                <w:tab w:pos="3443" w:val="left" w:leader="none"/>
              </w:tabs>
              <w:spacing w:line="230" w:lineRule="auto" w:before="48"/>
              <w:ind w:left="187" w:right="1407" w:hanging="112"/>
              <w:rPr>
                <w:sz w:val="15"/>
              </w:rPr>
            </w:pPr>
            <w:r>
              <w:rPr>
                <w:color w:val="231F20"/>
                <w:sz w:val="15"/>
              </w:rPr>
              <w:t>Nonalcoholic fatty</w:t>
              <w:tab/>
            </w:r>
            <w:r>
              <w:rPr>
                <w:color w:val="231F20"/>
                <w:spacing w:val="-2"/>
                <w:sz w:val="15"/>
              </w:rPr>
              <w:t>Severe</w:t>
            </w:r>
            <w:r>
              <w:rPr>
                <w:color w:val="231F20"/>
                <w:sz w:val="15"/>
              </w:rPr>
              <w:tab/>
            </w:r>
            <w:r>
              <w:rPr>
                <w:color w:val="231F20"/>
                <w:spacing w:val="-2"/>
                <w:sz w:val="15"/>
              </w:rPr>
              <w:t>Severe </w:t>
            </w:r>
            <w:r>
              <w:rPr>
                <w:color w:val="231F20"/>
                <w:sz w:val="15"/>
              </w:rPr>
              <w:t>liver disease</w:t>
            </w:r>
          </w:p>
        </w:tc>
        <w:tc>
          <w:tcPr>
            <w:tcW w:w="2188" w:type="dxa"/>
            <w:tcBorders>
              <w:top w:val="single" w:sz="4" w:space="0" w:color="FFFFFF"/>
              <w:bottom w:val="single" w:sz="4" w:space="0" w:color="FFFFFF"/>
            </w:tcBorders>
            <w:shd w:val="clear" w:color="auto" w:fill="E8F5F1"/>
          </w:tcPr>
          <w:p>
            <w:pPr>
              <w:pStyle w:val="TableParagraph"/>
              <w:spacing w:before="42"/>
              <w:ind w:left="1"/>
              <w:rPr>
                <w:sz w:val="15"/>
              </w:rPr>
            </w:pPr>
            <w:r>
              <w:rPr>
                <w:color w:val="231F20"/>
                <w:spacing w:val="-5"/>
                <w:sz w:val="15"/>
              </w:rPr>
              <w:t>Yes</w:t>
            </w:r>
          </w:p>
        </w:tc>
        <w:tc>
          <w:tcPr>
            <w:tcW w:w="2293" w:type="dxa"/>
            <w:tcBorders>
              <w:top w:val="single" w:sz="4" w:space="0" w:color="FFFFFF"/>
              <w:bottom w:val="single" w:sz="4" w:space="0" w:color="FFFFFF"/>
            </w:tcBorders>
            <w:shd w:val="clear" w:color="auto" w:fill="E8F5F1"/>
          </w:tcPr>
          <w:p>
            <w:pPr>
              <w:pStyle w:val="TableParagraph"/>
              <w:spacing w:before="42"/>
              <w:ind w:left="103"/>
              <w:rPr>
                <w:sz w:val="15"/>
              </w:rPr>
            </w:pPr>
            <w:r>
              <w:rPr>
                <w:color w:val="231F20"/>
                <w:spacing w:val="-5"/>
                <w:sz w:val="15"/>
              </w:rPr>
              <w:t>Yes</w:t>
            </w:r>
          </w:p>
        </w:tc>
      </w:tr>
      <w:tr>
        <w:trPr>
          <w:trHeight w:val="420" w:hRule="atLeast"/>
        </w:trPr>
        <w:tc>
          <w:tcPr>
            <w:tcW w:w="5304" w:type="dxa"/>
            <w:gridSpan w:val="2"/>
            <w:tcBorders>
              <w:top w:val="single" w:sz="4" w:space="0" w:color="FFFFFF"/>
              <w:bottom w:val="single" w:sz="4" w:space="0" w:color="FFFFFF"/>
            </w:tcBorders>
            <w:shd w:val="clear" w:color="auto" w:fill="E8F5F1"/>
          </w:tcPr>
          <w:p>
            <w:pPr>
              <w:pStyle w:val="TableParagraph"/>
              <w:tabs>
                <w:tab w:pos="1582" w:val="left" w:leader="none"/>
                <w:tab w:pos="3443" w:val="left" w:leader="none"/>
              </w:tabs>
              <w:spacing w:line="171" w:lineRule="exact" w:before="42"/>
              <w:ind w:left="75"/>
              <w:rPr>
                <w:sz w:val="15"/>
              </w:rPr>
            </w:pPr>
            <w:r>
              <w:rPr>
                <w:color w:val="231F20"/>
                <w:spacing w:val="-2"/>
                <w:sz w:val="15"/>
              </w:rPr>
              <w:t>Dyslipidemia</w:t>
            </w:r>
            <w:r>
              <w:rPr>
                <w:color w:val="231F20"/>
                <w:sz w:val="15"/>
              </w:rPr>
              <w:tab/>
              <w:t>Severe</w:t>
            </w:r>
            <w:r>
              <w:rPr>
                <w:color w:val="231F20"/>
                <w:spacing w:val="-1"/>
                <w:sz w:val="15"/>
              </w:rPr>
              <w:t> </w:t>
            </w:r>
            <w:r>
              <w:rPr>
                <w:color w:val="231F20"/>
                <w:sz w:val="15"/>
              </w:rPr>
              <w:t>associated</w:t>
            </w:r>
            <w:r>
              <w:rPr>
                <w:color w:val="231F20"/>
                <w:spacing w:val="1"/>
                <w:sz w:val="15"/>
              </w:rPr>
              <w:t> </w:t>
            </w:r>
            <w:r>
              <w:rPr>
                <w:color w:val="231F20"/>
                <w:spacing w:val="-4"/>
                <w:sz w:val="15"/>
              </w:rPr>
              <w:t>with</w:t>
            </w:r>
            <w:r>
              <w:rPr>
                <w:color w:val="231F20"/>
                <w:sz w:val="15"/>
              </w:rPr>
              <w:tab/>
              <w:t>Severe</w:t>
            </w:r>
            <w:r>
              <w:rPr>
                <w:color w:val="231F20"/>
                <w:spacing w:val="1"/>
                <w:sz w:val="15"/>
              </w:rPr>
              <w:t> </w:t>
            </w:r>
            <w:r>
              <w:rPr>
                <w:color w:val="231F20"/>
                <w:sz w:val="15"/>
              </w:rPr>
              <w:t>associated</w:t>
            </w:r>
            <w:r>
              <w:rPr>
                <w:color w:val="231F20"/>
                <w:spacing w:val="1"/>
                <w:sz w:val="15"/>
              </w:rPr>
              <w:t> </w:t>
            </w:r>
            <w:r>
              <w:rPr>
                <w:color w:val="231F20"/>
                <w:spacing w:val="-4"/>
                <w:sz w:val="15"/>
              </w:rPr>
              <w:t>with</w:t>
            </w:r>
          </w:p>
          <w:p>
            <w:pPr>
              <w:pStyle w:val="TableParagraph"/>
              <w:tabs>
                <w:tab w:pos="3555" w:val="left" w:leader="none"/>
              </w:tabs>
              <w:spacing w:line="171" w:lineRule="exact"/>
              <w:ind w:left="1694"/>
              <w:rPr>
                <w:sz w:val="15"/>
              </w:rPr>
            </w:pPr>
            <w:r>
              <w:rPr>
                <w:color w:val="231F20"/>
                <w:spacing w:val="-2"/>
                <w:sz w:val="15"/>
              </w:rPr>
              <w:t>pancreatitis</w:t>
            </w:r>
            <w:r>
              <w:rPr>
                <w:color w:val="231F20"/>
                <w:sz w:val="15"/>
              </w:rPr>
              <w:tab/>
            </w:r>
            <w:r>
              <w:rPr>
                <w:color w:val="231F20"/>
                <w:spacing w:val="-2"/>
                <w:sz w:val="15"/>
              </w:rPr>
              <w:t>pancreatitis</w:t>
            </w:r>
          </w:p>
        </w:tc>
        <w:tc>
          <w:tcPr>
            <w:tcW w:w="2188" w:type="dxa"/>
            <w:tcBorders>
              <w:top w:val="single" w:sz="4" w:space="0" w:color="FFFFFF"/>
              <w:bottom w:val="single" w:sz="4" w:space="0" w:color="FFFFFF"/>
            </w:tcBorders>
            <w:shd w:val="clear" w:color="auto" w:fill="E8F5F1"/>
          </w:tcPr>
          <w:p>
            <w:pPr>
              <w:pStyle w:val="TableParagraph"/>
              <w:spacing w:before="42"/>
              <w:ind w:left="1"/>
              <w:rPr>
                <w:sz w:val="15"/>
              </w:rPr>
            </w:pPr>
            <w:r>
              <w:rPr>
                <w:color w:val="231F20"/>
                <w:sz w:val="15"/>
              </w:rPr>
              <w:t>Yes,</w:t>
            </w:r>
            <w:r>
              <w:rPr>
                <w:color w:val="231F20"/>
                <w:spacing w:val="-3"/>
                <w:sz w:val="15"/>
              </w:rPr>
              <w:t> </w:t>
            </w:r>
            <w:r>
              <w:rPr>
                <w:color w:val="231F20"/>
                <w:sz w:val="15"/>
              </w:rPr>
              <w:t>may</w:t>
            </w:r>
            <w:r>
              <w:rPr>
                <w:color w:val="231F20"/>
                <w:spacing w:val="-3"/>
                <w:sz w:val="15"/>
              </w:rPr>
              <w:t> </w:t>
            </w:r>
            <w:r>
              <w:rPr>
                <w:color w:val="231F20"/>
                <w:sz w:val="15"/>
              </w:rPr>
              <w:t>be</w:t>
            </w:r>
            <w:r>
              <w:rPr>
                <w:color w:val="231F20"/>
                <w:spacing w:val="-3"/>
                <w:sz w:val="15"/>
              </w:rPr>
              <w:t> </w:t>
            </w:r>
            <w:r>
              <w:rPr>
                <w:color w:val="231F20"/>
                <w:spacing w:val="-2"/>
                <w:sz w:val="15"/>
              </w:rPr>
              <w:t>severe</w:t>
            </w:r>
          </w:p>
        </w:tc>
        <w:tc>
          <w:tcPr>
            <w:tcW w:w="2293" w:type="dxa"/>
            <w:tcBorders>
              <w:top w:val="single" w:sz="4" w:space="0" w:color="FFFFFF"/>
              <w:bottom w:val="single" w:sz="4" w:space="0" w:color="FFFFFF"/>
            </w:tcBorders>
            <w:shd w:val="clear" w:color="auto" w:fill="E8F5F1"/>
          </w:tcPr>
          <w:p>
            <w:pPr>
              <w:pStyle w:val="TableParagraph"/>
              <w:spacing w:before="42"/>
              <w:ind w:left="103"/>
              <w:rPr>
                <w:sz w:val="15"/>
              </w:rPr>
            </w:pPr>
            <w:r>
              <w:rPr>
                <w:color w:val="231F20"/>
                <w:sz w:val="15"/>
              </w:rPr>
              <w:t>Yes,</w:t>
            </w:r>
            <w:r>
              <w:rPr>
                <w:color w:val="231F20"/>
                <w:spacing w:val="-3"/>
                <w:sz w:val="15"/>
              </w:rPr>
              <w:t> </w:t>
            </w:r>
            <w:r>
              <w:rPr>
                <w:color w:val="231F20"/>
                <w:sz w:val="15"/>
              </w:rPr>
              <w:t>may</w:t>
            </w:r>
            <w:r>
              <w:rPr>
                <w:color w:val="231F20"/>
                <w:spacing w:val="-3"/>
                <w:sz w:val="15"/>
              </w:rPr>
              <w:t> </w:t>
            </w:r>
            <w:r>
              <w:rPr>
                <w:color w:val="231F20"/>
                <w:sz w:val="15"/>
              </w:rPr>
              <w:t>be</w:t>
            </w:r>
            <w:r>
              <w:rPr>
                <w:color w:val="231F20"/>
                <w:spacing w:val="-3"/>
                <w:sz w:val="15"/>
              </w:rPr>
              <w:t> </w:t>
            </w:r>
            <w:r>
              <w:rPr>
                <w:color w:val="231F20"/>
                <w:spacing w:val="-2"/>
                <w:sz w:val="15"/>
              </w:rPr>
              <w:t>severe</w:t>
            </w:r>
          </w:p>
        </w:tc>
      </w:tr>
      <w:tr>
        <w:trPr>
          <w:trHeight w:val="252" w:hRule="atLeast"/>
        </w:trPr>
        <w:tc>
          <w:tcPr>
            <w:tcW w:w="5304" w:type="dxa"/>
            <w:gridSpan w:val="2"/>
            <w:tcBorders>
              <w:top w:val="single" w:sz="4" w:space="0" w:color="FFFFFF"/>
              <w:bottom w:val="single" w:sz="4" w:space="0" w:color="FFFFFF"/>
            </w:tcBorders>
            <w:shd w:val="clear" w:color="auto" w:fill="E8F5F1"/>
          </w:tcPr>
          <w:p>
            <w:pPr>
              <w:pStyle w:val="TableParagraph"/>
              <w:tabs>
                <w:tab w:pos="1582" w:val="left" w:leader="none"/>
                <w:tab w:pos="3443" w:val="left" w:leader="none"/>
              </w:tabs>
              <w:spacing w:before="42"/>
              <w:ind w:left="75"/>
              <w:rPr>
                <w:sz w:val="15"/>
              </w:rPr>
            </w:pPr>
            <w:r>
              <w:rPr>
                <w:color w:val="231F20"/>
                <w:spacing w:val="-2"/>
                <w:sz w:val="15"/>
              </w:rPr>
              <w:t>Insulin</w:t>
            </w:r>
            <w:r>
              <w:rPr>
                <w:color w:val="231F20"/>
                <w:spacing w:val="1"/>
                <w:sz w:val="15"/>
              </w:rPr>
              <w:t> </w:t>
            </w:r>
            <w:r>
              <w:rPr>
                <w:color w:val="231F20"/>
                <w:spacing w:val="-2"/>
                <w:sz w:val="15"/>
              </w:rPr>
              <w:t>resistance</w:t>
            </w:r>
            <w:r>
              <w:rPr>
                <w:color w:val="231F20"/>
                <w:sz w:val="15"/>
              </w:rPr>
              <w:tab/>
              <w:t>Severe</w:t>
            </w:r>
            <w:r>
              <w:rPr>
                <w:color w:val="231F20"/>
                <w:spacing w:val="-11"/>
                <w:sz w:val="15"/>
              </w:rPr>
              <w:t> </w:t>
            </w:r>
            <w:r>
              <w:rPr>
                <w:color w:val="231F20"/>
                <w:sz w:val="15"/>
              </w:rPr>
              <w:t>early</w:t>
            </w:r>
            <w:r>
              <w:rPr>
                <w:color w:val="231F20"/>
                <w:spacing w:val="-11"/>
                <w:sz w:val="15"/>
              </w:rPr>
              <w:t> </w:t>
            </w:r>
            <w:r>
              <w:rPr>
                <w:color w:val="231F20"/>
                <w:spacing w:val="-2"/>
                <w:sz w:val="15"/>
              </w:rPr>
              <w:t>onset</w:t>
            </w:r>
            <w:r>
              <w:rPr>
                <w:color w:val="231F20"/>
                <w:sz w:val="15"/>
              </w:rPr>
              <w:tab/>
              <w:t>Severe</w:t>
            </w:r>
            <w:r>
              <w:rPr>
                <w:color w:val="231F20"/>
                <w:spacing w:val="-11"/>
                <w:sz w:val="15"/>
              </w:rPr>
              <w:t> </w:t>
            </w:r>
            <w:r>
              <w:rPr>
                <w:color w:val="231F20"/>
                <w:sz w:val="15"/>
              </w:rPr>
              <w:t>early</w:t>
            </w:r>
            <w:r>
              <w:rPr>
                <w:color w:val="231F20"/>
                <w:spacing w:val="-11"/>
                <w:sz w:val="15"/>
              </w:rPr>
              <w:t> </w:t>
            </w:r>
            <w:r>
              <w:rPr>
                <w:color w:val="231F20"/>
                <w:spacing w:val="-2"/>
                <w:sz w:val="15"/>
              </w:rPr>
              <w:t>onset</w:t>
            </w:r>
          </w:p>
        </w:tc>
        <w:tc>
          <w:tcPr>
            <w:tcW w:w="2188" w:type="dxa"/>
            <w:tcBorders>
              <w:top w:val="single" w:sz="4" w:space="0" w:color="FFFFFF"/>
              <w:bottom w:val="single" w:sz="4" w:space="0" w:color="FFFFFF"/>
            </w:tcBorders>
            <w:shd w:val="clear" w:color="auto" w:fill="E8F5F1"/>
          </w:tcPr>
          <w:p>
            <w:pPr>
              <w:pStyle w:val="TableParagraph"/>
              <w:spacing w:before="42"/>
              <w:ind w:left="1"/>
              <w:rPr>
                <w:sz w:val="15"/>
              </w:rPr>
            </w:pPr>
            <w:r>
              <w:rPr>
                <w:color w:val="231F20"/>
                <w:spacing w:val="-2"/>
                <w:sz w:val="15"/>
              </w:rPr>
              <w:t>Severe</w:t>
            </w:r>
          </w:p>
        </w:tc>
        <w:tc>
          <w:tcPr>
            <w:tcW w:w="2293" w:type="dxa"/>
            <w:tcBorders>
              <w:top w:val="single" w:sz="4" w:space="0" w:color="FFFFFF"/>
              <w:bottom w:val="single" w:sz="4" w:space="0" w:color="FFFFFF"/>
            </w:tcBorders>
            <w:shd w:val="clear" w:color="auto" w:fill="E8F5F1"/>
          </w:tcPr>
          <w:p>
            <w:pPr>
              <w:pStyle w:val="TableParagraph"/>
              <w:spacing w:before="42"/>
              <w:ind w:left="103"/>
              <w:rPr>
                <w:sz w:val="15"/>
              </w:rPr>
            </w:pPr>
            <w:r>
              <w:rPr>
                <w:color w:val="231F20"/>
                <w:sz w:val="15"/>
              </w:rPr>
              <w:t>Severe;</w:t>
            </w:r>
            <w:r>
              <w:rPr>
                <w:color w:val="231F20"/>
                <w:spacing w:val="-11"/>
                <w:sz w:val="15"/>
              </w:rPr>
              <w:t> </w:t>
            </w:r>
            <w:r>
              <w:rPr>
                <w:color w:val="231F20"/>
                <w:sz w:val="15"/>
              </w:rPr>
              <w:t>early</w:t>
            </w:r>
            <w:r>
              <w:rPr>
                <w:color w:val="231F20"/>
                <w:spacing w:val="-10"/>
                <w:sz w:val="15"/>
              </w:rPr>
              <w:t> </w:t>
            </w:r>
            <w:r>
              <w:rPr>
                <w:color w:val="231F20"/>
                <w:sz w:val="15"/>
              </w:rPr>
              <w:t>onset</w:t>
            </w:r>
            <w:r>
              <w:rPr>
                <w:color w:val="231F20"/>
                <w:spacing w:val="-10"/>
                <w:sz w:val="15"/>
              </w:rPr>
              <w:t> </w:t>
            </w:r>
            <w:r>
              <w:rPr>
                <w:color w:val="231F20"/>
                <w:sz w:val="15"/>
              </w:rPr>
              <w:t>in</w:t>
            </w:r>
            <w:r>
              <w:rPr>
                <w:color w:val="231F20"/>
                <w:spacing w:val="-10"/>
                <w:sz w:val="15"/>
              </w:rPr>
              <w:t> </w:t>
            </w:r>
            <w:r>
              <w:rPr>
                <w:color w:val="231F20"/>
                <w:spacing w:val="-4"/>
                <w:sz w:val="15"/>
              </w:rPr>
              <w:t>some</w:t>
            </w:r>
          </w:p>
        </w:tc>
      </w:tr>
      <w:tr>
        <w:trPr>
          <w:trHeight w:val="420" w:hRule="atLeast"/>
        </w:trPr>
        <w:tc>
          <w:tcPr>
            <w:tcW w:w="5304" w:type="dxa"/>
            <w:gridSpan w:val="2"/>
            <w:tcBorders>
              <w:top w:val="single" w:sz="4" w:space="0" w:color="FFFFFF"/>
              <w:bottom w:val="single" w:sz="4" w:space="0" w:color="FFFFFF"/>
            </w:tcBorders>
            <w:shd w:val="clear" w:color="auto" w:fill="E8F5F1"/>
          </w:tcPr>
          <w:p>
            <w:pPr>
              <w:pStyle w:val="TableParagraph"/>
              <w:tabs>
                <w:tab w:pos="1582" w:val="left" w:leader="none"/>
                <w:tab w:pos="3442" w:val="left" w:leader="none"/>
              </w:tabs>
              <w:spacing w:before="43"/>
              <w:ind w:left="75"/>
              <w:rPr>
                <w:sz w:val="15"/>
              </w:rPr>
            </w:pPr>
            <w:r>
              <w:rPr>
                <w:color w:val="231F20"/>
                <w:sz w:val="15"/>
              </w:rPr>
              <w:t>Diabetes</w:t>
            </w:r>
            <w:r>
              <w:rPr>
                <w:color w:val="231F20"/>
                <w:spacing w:val="12"/>
                <w:sz w:val="15"/>
              </w:rPr>
              <w:t> </w:t>
            </w:r>
            <w:r>
              <w:rPr>
                <w:color w:val="231F20"/>
                <w:spacing w:val="-2"/>
                <w:sz w:val="15"/>
              </w:rPr>
              <w:t>onset</w:t>
            </w:r>
            <w:r>
              <w:rPr>
                <w:color w:val="231F20"/>
                <w:sz w:val="15"/>
              </w:rPr>
              <w:tab/>
            </w:r>
            <w:r>
              <w:rPr>
                <w:rFonts w:ascii="Cambria"/>
                <w:color w:val="231F20"/>
                <w:sz w:val="15"/>
              </w:rPr>
              <w:t>&lt;</w:t>
            </w:r>
            <w:r>
              <w:rPr>
                <w:color w:val="231F20"/>
                <w:sz w:val="15"/>
              </w:rPr>
              <w:t>20</w:t>
            </w:r>
            <w:r>
              <w:rPr>
                <w:color w:val="231F20"/>
                <w:spacing w:val="-6"/>
                <w:sz w:val="15"/>
              </w:rPr>
              <w:t> </w:t>
            </w:r>
            <w:r>
              <w:rPr>
                <w:color w:val="231F20"/>
                <w:spacing w:val="-5"/>
                <w:sz w:val="15"/>
              </w:rPr>
              <w:t>yr</w:t>
            </w:r>
            <w:r>
              <w:rPr>
                <w:color w:val="231F20"/>
                <w:sz w:val="15"/>
              </w:rPr>
              <w:tab/>
            </w:r>
            <w:r>
              <w:rPr>
                <w:rFonts w:ascii="Cambria"/>
                <w:color w:val="231F20"/>
                <w:sz w:val="15"/>
              </w:rPr>
              <w:t>&lt;</w:t>
            </w:r>
            <w:r>
              <w:rPr>
                <w:color w:val="231F20"/>
                <w:sz w:val="15"/>
              </w:rPr>
              <w:t>20</w:t>
            </w:r>
            <w:r>
              <w:rPr>
                <w:color w:val="231F20"/>
                <w:spacing w:val="-4"/>
                <w:sz w:val="15"/>
              </w:rPr>
              <w:t> </w:t>
            </w:r>
            <w:r>
              <w:rPr>
                <w:color w:val="231F20"/>
                <w:spacing w:val="-5"/>
                <w:sz w:val="15"/>
              </w:rPr>
              <w:t>yr</w:t>
            </w:r>
          </w:p>
        </w:tc>
        <w:tc>
          <w:tcPr>
            <w:tcW w:w="2188" w:type="dxa"/>
            <w:tcBorders>
              <w:top w:val="single" w:sz="4" w:space="0" w:color="FFFFFF"/>
              <w:bottom w:val="single" w:sz="4" w:space="0" w:color="FFFFFF"/>
            </w:tcBorders>
            <w:shd w:val="clear" w:color="auto" w:fill="E8F5F1"/>
          </w:tcPr>
          <w:p>
            <w:pPr>
              <w:pStyle w:val="TableParagraph"/>
              <w:spacing w:line="230" w:lineRule="auto" w:before="48"/>
              <w:ind w:left="112" w:hanging="112"/>
              <w:rPr>
                <w:sz w:val="15"/>
              </w:rPr>
            </w:pPr>
            <w:r>
              <w:rPr>
                <w:color w:val="231F20"/>
                <w:spacing w:val="-2"/>
                <w:sz w:val="15"/>
              </w:rPr>
              <w:t>Variable;</w:t>
            </w:r>
            <w:r>
              <w:rPr>
                <w:color w:val="231F20"/>
                <w:spacing w:val="-10"/>
                <w:sz w:val="15"/>
              </w:rPr>
              <w:t> </w:t>
            </w:r>
            <w:r>
              <w:rPr>
                <w:color w:val="231F20"/>
                <w:spacing w:val="-2"/>
                <w:sz w:val="15"/>
              </w:rPr>
              <w:t>generally</w:t>
            </w:r>
            <w:r>
              <w:rPr>
                <w:color w:val="231F20"/>
                <w:spacing w:val="-9"/>
                <w:sz w:val="15"/>
              </w:rPr>
              <w:t> </w:t>
            </w:r>
            <w:r>
              <w:rPr>
                <w:color w:val="231F20"/>
                <w:spacing w:val="-2"/>
                <w:sz w:val="15"/>
              </w:rPr>
              <w:t>later</w:t>
            </w:r>
            <w:r>
              <w:rPr>
                <w:color w:val="231F20"/>
                <w:spacing w:val="-9"/>
                <w:sz w:val="15"/>
              </w:rPr>
              <w:t> </w:t>
            </w:r>
            <w:r>
              <w:rPr>
                <w:color w:val="231F20"/>
                <w:spacing w:val="-2"/>
                <w:sz w:val="15"/>
              </w:rPr>
              <w:t>in</w:t>
            </w:r>
            <w:r>
              <w:rPr>
                <w:color w:val="231F20"/>
                <w:spacing w:val="-10"/>
                <w:sz w:val="15"/>
              </w:rPr>
              <w:t> </w:t>
            </w:r>
            <w:r>
              <w:rPr>
                <w:color w:val="231F20"/>
                <w:spacing w:val="-2"/>
                <w:sz w:val="15"/>
              </w:rPr>
              <w:t>men </w:t>
            </w:r>
            <w:r>
              <w:rPr>
                <w:color w:val="231F20"/>
                <w:sz w:val="15"/>
              </w:rPr>
              <w:t>than women</w:t>
            </w:r>
          </w:p>
        </w:tc>
        <w:tc>
          <w:tcPr>
            <w:tcW w:w="2293" w:type="dxa"/>
            <w:tcBorders>
              <w:top w:val="single" w:sz="4" w:space="0" w:color="FFFFFF"/>
              <w:bottom w:val="single" w:sz="4" w:space="0" w:color="FFFFFF"/>
            </w:tcBorders>
            <w:shd w:val="clear" w:color="auto" w:fill="E8F5F1"/>
          </w:tcPr>
          <w:p>
            <w:pPr>
              <w:pStyle w:val="TableParagraph"/>
              <w:spacing w:line="230" w:lineRule="auto" w:before="48"/>
              <w:ind w:left="214" w:right="219" w:hanging="112"/>
              <w:rPr>
                <w:sz w:val="15"/>
              </w:rPr>
            </w:pPr>
            <w:r>
              <w:rPr>
                <w:color w:val="231F20"/>
                <w:spacing w:val="-4"/>
                <w:sz w:val="15"/>
              </w:rPr>
              <w:t>Variable; generally later </w:t>
            </w:r>
            <w:r>
              <w:rPr>
                <w:color w:val="231F20"/>
                <w:spacing w:val="-4"/>
                <w:sz w:val="15"/>
              </w:rPr>
              <w:t>in </w:t>
            </w:r>
            <w:r>
              <w:rPr>
                <w:color w:val="231F20"/>
                <w:sz w:val="15"/>
              </w:rPr>
              <w:t>men than women</w:t>
            </w:r>
          </w:p>
        </w:tc>
      </w:tr>
      <w:tr>
        <w:trPr>
          <w:trHeight w:val="252" w:hRule="atLeast"/>
        </w:trPr>
        <w:tc>
          <w:tcPr>
            <w:tcW w:w="5304" w:type="dxa"/>
            <w:gridSpan w:val="2"/>
            <w:tcBorders>
              <w:top w:val="single" w:sz="4" w:space="0" w:color="FFFFFF"/>
              <w:bottom w:val="single" w:sz="4" w:space="0" w:color="FFFFFF"/>
            </w:tcBorders>
            <w:shd w:val="clear" w:color="auto" w:fill="E8F5F1"/>
          </w:tcPr>
          <w:p>
            <w:pPr>
              <w:pStyle w:val="TableParagraph"/>
              <w:tabs>
                <w:tab w:pos="1581" w:val="left" w:leader="none"/>
                <w:tab w:pos="3442" w:val="left" w:leader="none"/>
              </w:tabs>
              <w:spacing w:before="42"/>
              <w:ind w:left="74"/>
              <w:rPr>
                <w:sz w:val="15"/>
              </w:rPr>
            </w:pPr>
            <w:r>
              <w:rPr>
                <w:color w:val="231F20"/>
                <w:spacing w:val="-2"/>
                <w:w w:val="105"/>
                <w:sz w:val="15"/>
              </w:rPr>
              <w:t>Hypertension</w:t>
            </w:r>
            <w:r>
              <w:rPr>
                <w:color w:val="231F20"/>
                <w:sz w:val="15"/>
              </w:rPr>
              <w:tab/>
            </w:r>
            <w:r>
              <w:rPr>
                <w:color w:val="231F20"/>
                <w:spacing w:val="-2"/>
                <w:w w:val="105"/>
                <w:sz w:val="15"/>
              </w:rPr>
              <w:t>Common</w:t>
            </w:r>
            <w:r>
              <w:rPr>
                <w:color w:val="231F20"/>
                <w:sz w:val="15"/>
              </w:rPr>
              <w:tab/>
            </w:r>
            <w:r>
              <w:rPr>
                <w:color w:val="231F20"/>
                <w:spacing w:val="-2"/>
                <w:w w:val="105"/>
                <w:sz w:val="15"/>
              </w:rPr>
              <w:t>Common</w:t>
            </w:r>
          </w:p>
        </w:tc>
        <w:tc>
          <w:tcPr>
            <w:tcW w:w="2188" w:type="dxa"/>
            <w:tcBorders>
              <w:top w:val="single" w:sz="4" w:space="0" w:color="FFFFFF"/>
              <w:bottom w:val="single" w:sz="4" w:space="0" w:color="FFFFFF"/>
            </w:tcBorders>
            <w:shd w:val="clear" w:color="auto" w:fill="E8F5F1"/>
          </w:tcPr>
          <w:p>
            <w:pPr>
              <w:pStyle w:val="TableParagraph"/>
              <w:spacing w:before="42"/>
              <w:rPr>
                <w:sz w:val="15"/>
              </w:rPr>
            </w:pPr>
            <w:r>
              <w:rPr>
                <w:color w:val="231F20"/>
                <w:spacing w:val="-2"/>
                <w:w w:val="105"/>
                <w:sz w:val="15"/>
              </w:rPr>
              <w:t>Common</w:t>
            </w:r>
          </w:p>
        </w:tc>
        <w:tc>
          <w:tcPr>
            <w:tcW w:w="2293" w:type="dxa"/>
            <w:tcBorders>
              <w:top w:val="single" w:sz="4" w:space="0" w:color="FFFFFF"/>
              <w:bottom w:val="single" w:sz="4" w:space="0" w:color="FFFFFF"/>
            </w:tcBorders>
            <w:shd w:val="clear" w:color="auto" w:fill="E8F5F1"/>
          </w:tcPr>
          <w:p>
            <w:pPr>
              <w:pStyle w:val="TableParagraph"/>
              <w:spacing w:before="42"/>
              <w:ind w:left="103"/>
              <w:rPr>
                <w:sz w:val="15"/>
              </w:rPr>
            </w:pPr>
            <w:r>
              <w:rPr>
                <w:color w:val="231F20"/>
                <w:sz w:val="15"/>
              </w:rPr>
              <w:t>Very</w:t>
            </w:r>
            <w:r>
              <w:rPr>
                <w:color w:val="231F20"/>
                <w:spacing w:val="-12"/>
                <w:sz w:val="15"/>
              </w:rPr>
              <w:t> </w:t>
            </w:r>
            <w:r>
              <w:rPr>
                <w:color w:val="231F20"/>
                <w:spacing w:val="-2"/>
                <w:sz w:val="15"/>
              </w:rPr>
              <w:t>common</w:t>
            </w:r>
          </w:p>
        </w:tc>
      </w:tr>
      <w:tr>
        <w:trPr>
          <w:trHeight w:val="415" w:hRule="atLeast"/>
        </w:trPr>
        <w:tc>
          <w:tcPr>
            <w:tcW w:w="9785" w:type="dxa"/>
            <w:gridSpan w:val="4"/>
            <w:tcBorders>
              <w:top w:val="single" w:sz="4" w:space="0" w:color="FFFFFF"/>
              <w:bottom w:val="single" w:sz="8" w:space="0" w:color="231F20"/>
            </w:tcBorders>
            <w:shd w:val="clear" w:color="auto" w:fill="E8F5F1"/>
          </w:tcPr>
          <w:p>
            <w:pPr>
              <w:pStyle w:val="TableParagraph"/>
              <w:tabs>
                <w:tab w:pos="3368" w:val="left" w:leader="none"/>
              </w:tabs>
              <w:spacing w:line="171" w:lineRule="exact" w:before="42"/>
              <w:ind w:right="4684"/>
              <w:jc w:val="center"/>
              <w:rPr>
                <w:sz w:val="15"/>
              </w:rPr>
            </w:pPr>
            <w:r>
              <w:rPr>
                <w:color w:val="231F20"/>
                <w:spacing w:val="-2"/>
                <w:sz w:val="15"/>
              </w:rPr>
              <w:t>Other</w:t>
            </w:r>
            <w:r>
              <w:rPr>
                <w:color w:val="231F20"/>
                <w:sz w:val="15"/>
              </w:rPr>
              <w:tab/>
              <w:t>Mild</w:t>
            </w:r>
            <w:r>
              <w:rPr>
                <w:color w:val="231F20"/>
                <w:spacing w:val="-1"/>
                <w:sz w:val="15"/>
              </w:rPr>
              <w:t> </w:t>
            </w:r>
            <w:r>
              <w:rPr>
                <w:color w:val="231F20"/>
                <w:sz w:val="15"/>
              </w:rPr>
              <w:t>mental </w:t>
            </w:r>
            <w:r>
              <w:rPr>
                <w:color w:val="231F20"/>
                <w:spacing w:val="-2"/>
                <w:sz w:val="15"/>
              </w:rPr>
              <w:t>retardation</w:t>
            </w:r>
          </w:p>
          <w:p>
            <w:pPr>
              <w:pStyle w:val="TableParagraph"/>
              <w:spacing w:line="171" w:lineRule="exact"/>
              <w:ind w:right="2120"/>
              <w:jc w:val="center"/>
              <w:rPr>
                <w:sz w:val="15"/>
              </w:rPr>
            </w:pPr>
            <w:r>
              <w:rPr>
                <w:color w:val="231F20"/>
                <w:spacing w:val="-2"/>
                <w:sz w:val="15"/>
              </w:rPr>
              <w:t>possible</w:t>
            </w:r>
          </w:p>
        </w:tc>
      </w:tr>
    </w:tbl>
    <w:p>
      <w:pPr>
        <w:pStyle w:val="BodyText"/>
        <w:spacing w:before="89"/>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1"/>
        <w:gridCol w:w="2217"/>
        <w:gridCol w:w="2307"/>
        <w:gridCol w:w="2347"/>
        <w:gridCol w:w="1740"/>
      </w:tblGrid>
      <w:tr>
        <w:trPr>
          <w:trHeight w:val="373" w:hRule="atLeast"/>
        </w:trPr>
        <w:tc>
          <w:tcPr>
            <w:tcW w:w="1171" w:type="dxa"/>
            <w:tcBorders>
              <w:right w:val="single" w:sz="8" w:space="0" w:color="FFFFFF"/>
            </w:tcBorders>
            <w:shd w:val="clear" w:color="auto" w:fill="231F20"/>
          </w:tcPr>
          <w:p>
            <w:pPr>
              <w:pStyle w:val="TableParagraph"/>
              <w:spacing w:before="89"/>
              <w:ind w:left="135"/>
              <w:rPr>
                <w:b/>
                <w:sz w:val="16"/>
              </w:rPr>
            </w:pPr>
            <w:r>
              <w:rPr>
                <w:b/>
                <w:color w:val="FFFFFF"/>
                <w:w w:val="105"/>
                <w:sz w:val="16"/>
              </w:rPr>
              <w:t>Table</w:t>
            </w:r>
            <w:r>
              <w:rPr>
                <w:b/>
                <w:color w:val="FFFFFF"/>
                <w:spacing w:val="-3"/>
                <w:w w:val="105"/>
                <w:sz w:val="16"/>
              </w:rPr>
              <w:t> </w:t>
            </w:r>
            <w:r>
              <w:rPr>
                <w:b/>
                <w:color w:val="FFFFFF"/>
                <w:w w:val="105"/>
                <w:sz w:val="16"/>
              </w:rPr>
              <w:t>590-</w:t>
            </w:r>
            <w:r>
              <w:rPr>
                <w:b/>
                <w:color w:val="FFFFFF"/>
                <w:spacing w:val="-10"/>
                <w:w w:val="105"/>
                <w:sz w:val="16"/>
              </w:rPr>
              <w:t>1</w:t>
            </w:r>
          </w:p>
        </w:tc>
        <w:tc>
          <w:tcPr>
            <w:tcW w:w="8611" w:type="dxa"/>
            <w:gridSpan w:val="4"/>
            <w:tcBorders>
              <w:left w:val="single" w:sz="8" w:space="0" w:color="FFFFFF"/>
            </w:tcBorders>
            <w:shd w:val="clear" w:color="auto" w:fill="231F20"/>
          </w:tcPr>
          <w:p>
            <w:pPr>
              <w:pStyle w:val="TableParagraph"/>
              <w:spacing w:before="89"/>
              <w:ind w:left="73"/>
              <w:rPr>
                <w:sz w:val="16"/>
              </w:rPr>
            </w:pPr>
            <w:r>
              <w:rPr>
                <w:color w:val="FFFFFF"/>
                <w:w w:val="105"/>
                <w:sz w:val="16"/>
              </w:rPr>
              <w:t>Screening</w:t>
            </w:r>
            <w:r>
              <w:rPr>
                <w:color w:val="FFFFFF"/>
                <w:spacing w:val="16"/>
                <w:w w:val="105"/>
                <w:sz w:val="16"/>
              </w:rPr>
              <w:t> </w:t>
            </w:r>
            <w:r>
              <w:rPr>
                <w:color w:val="FFFFFF"/>
                <w:w w:val="105"/>
                <w:sz w:val="16"/>
              </w:rPr>
              <w:t>Scheme</w:t>
            </w:r>
            <w:r>
              <w:rPr>
                <w:color w:val="FFFFFF"/>
                <w:spacing w:val="16"/>
                <w:w w:val="105"/>
                <w:sz w:val="16"/>
              </w:rPr>
              <w:t> </w:t>
            </w:r>
            <w:r>
              <w:rPr>
                <w:color w:val="FFFFFF"/>
                <w:w w:val="105"/>
                <w:sz w:val="16"/>
              </w:rPr>
              <w:t>for</w:t>
            </w:r>
            <w:r>
              <w:rPr>
                <w:color w:val="FFFFFF"/>
                <w:spacing w:val="16"/>
                <w:w w:val="105"/>
                <w:sz w:val="16"/>
              </w:rPr>
              <w:t> </w:t>
            </w:r>
            <w:r>
              <w:rPr>
                <w:color w:val="FFFFFF"/>
                <w:w w:val="105"/>
                <w:sz w:val="16"/>
              </w:rPr>
              <w:t>Developmental</w:t>
            </w:r>
            <w:r>
              <w:rPr>
                <w:color w:val="FFFFFF"/>
                <w:spacing w:val="16"/>
                <w:w w:val="105"/>
                <w:sz w:val="16"/>
              </w:rPr>
              <w:t> </w:t>
            </w:r>
            <w:r>
              <w:rPr>
                <w:color w:val="FFFFFF"/>
                <w:w w:val="105"/>
                <w:sz w:val="16"/>
              </w:rPr>
              <w:t>Delay:</w:t>
            </w:r>
            <w:r>
              <w:rPr>
                <w:color w:val="FFFFFF"/>
                <w:spacing w:val="17"/>
                <w:w w:val="105"/>
                <w:sz w:val="16"/>
              </w:rPr>
              <w:t> </w:t>
            </w:r>
            <w:r>
              <w:rPr>
                <w:color w:val="FFFFFF"/>
                <w:w w:val="105"/>
                <w:sz w:val="16"/>
              </w:rPr>
              <w:t>Upper</w:t>
            </w:r>
            <w:r>
              <w:rPr>
                <w:color w:val="FFFFFF"/>
                <w:spacing w:val="16"/>
                <w:w w:val="105"/>
                <w:sz w:val="16"/>
              </w:rPr>
              <w:t> </w:t>
            </w:r>
            <w:r>
              <w:rPr>
                <w:color w:val="FFFFFF"/>
                <w:spacing w:val="-2"/>
                <w:w w:val="105"/>
                <w:sz w:val="16"/>
              </w:rPr>
              <w:t>Range</w:t>
            </w:r>
          </w:p>
        </w:tc>
      </w:tr>
      <w:tr>
        <w:trPr>
          <w:trHeight w:val="257" w:hRule="atLeast"/>
        </w:trPr>
        <w:tc>
          <w:tcPr>
            <w:tcW w:w="1171" w:type="dxa"/>
            <w:tcBorders>
              <w:bottom w:val="single" w:sz="4" w:space="0" w:color="231F20"/>
            </w:tcBorders>
            <w:shd w:val="clear" w:color="auto" w:fill="E8F5F1"/>
          </w:tcPr>
          <w:p>
            <w:pPr>
              <w:pStyle w:val="TableParagraph"/>
              <w:spacing w:before="47"/>
              <w:ind w:left="97"/>
              <w:rPr>
                <w:b/>
                <w:sz w:val="15"/>
              </w:rPr>
            </w:pPr>
            <w:r>
              <w:rPr>
                <w:b/>
                <w:color w:val="231F20"/>
                <w:w w:val="105"/>
                <w:sz w:val="15"/>
              </w:rPr>
              <w:t>AGE</w:t>
            </w:r>
            <w:r>
              <w:rPr>
                <w:b/>
                <w:color w:val="231F20"/>
                <w:spacing w:val="30"/>
                <w:w w:val="105"/>
                <w:sz w:val="15"/>
              </w:rPr>
              <w:t> </w:t>
            </w:r>
            <w:r>
              <w:rPr>
                <w:b/>
                <w:color w:val="231F20"/>
                <w:spacing w:val="-4"/>
                <w:w w:val="105"/>
                <w:sz w:val="15"/>
              </w:rPr>
              <w:t>(mo)</w:t>
            </w:r>
          </w:p>
        </w:tc>
        <w:tc>
          <w:tcPr>
            <w:tcW w:w="2217" w:type="dxa"/>
            <w:tcBorders>
              <w:bottom w:val="single" w:sz="4" w:space="0" w:color="231F20"/>
            </w:tcBorders>
            <w:shd w:val="clear" w:color="auto" w:fill="E8F5F1"/>
          </w:tcPr>
          <w:p>
            <w:pPr>
              <w:pStyle w:val="TableParagraph"/>
              <w:spacing w:before="47"/>
              <w:ind w:left="452"/>
              <w:rPr>
                <w:b/>
                <w:sz w:val="15"/>
              </w:rPr>
            </w:pPr>
            <w:r>
              <w:rPr>
                <w:b/>
                <w:color w:val="231F20"/>
                <w:w w:val="110"/>
                <w:sz w:val="15"/>
              </w:rPr>
              <w:t>GROSS</w:t>
            </w:r>
            <w:r>
              <w:rPr>
                <w:b/>
                <w:color w:val="231F20"/>
                <w:spacing w:val="11"/>
                <w:w w:val="110"/>
                <w:sz w:val="15"/>
              </w:rPr>
              <w:t> </w:t>
            </w:r>
            <w:r>
              <w:rPr>
                <w:b/>
                <w:color w:val="231F20"/>
                <w:spacing w:val="-2"/>
                <w:w w:val="110"/>
                <w:sz w:val="15"/>
              </w:rPr>
              <w:t>MOTOR</w:t>
            </w:r>
          </w:p>
        </w:tc>
        <w:tc>
          <w:tcPr>
            <w:tcW w:w="2307" w:type="dxa"/>
            <w:tcBorders>
              <w:bottom w:val="single" w:sz="4" w:space="0" w:color="231F20"/>
            </w:tcBorders>
            <w:shd w:val="clear" w:color="auto" w:fill="E8F5F1"/>
          </w:tcPr>
          <w:p>
            <w:pPr>
              <w:pStyle w:val="TableParagraph"/>
              <w:spacing w:before="47"/>
              <w:ind w:left="667"/>
              <w:rPr>
                <w:b/>
                <w:sz w:val="15"/>
              </w:rPr>
            </w:pPr>
            <w:r>
              <w:rPr>
                <w:b/>
                <w:color w:val="231F20"/>
                <w:w w:val="110"/>
                <w:sz w:val="15"/>
              </w:rPr>
              <w:t>FINE</w:t>
            </w:r>
            <w:r>
              <w:rPr>
                <w:b/>
                <w:color w:val="231F20"/>
                <w:spacing w:val="2"/>
                <w:w w:val="110"/>
                <w:sz w:val="15"/>
              </w:rPr>
              <w:t> </w:t>
            </w:r>
            <w:r>
              <w:rPr>
                <w:b/>
                <w:color w:val="231F20"/>
                <w:spacing w:val="-2"/>
                <w:w w:val="110"/>
                <w:sz w:val="15"/>
              </w:rPr>
              <w:t>MOTOR</w:t>
            </w:r>
          </w:p>
        </w:tc>
        <w:tc>
          <w:tcPr>
            <w:tcW w:w="2347" w:type="dxa"/>
            <w:tcBorders>
              <w:bottom w:val="single" w:sz="4" w:space="0" w:color="231F20"/>
            </w:tcBorders>
            <w:shd w:val="clear" w:color="auto" w:fill="E8F5F1"/>
          </w:tcPr>
          <w:p>
            <w:pPr>
              <w:pStyle w:val="TableParagraph"/>
              <w:spacing w:before="47"/>
              <w:ind w:left="632"/>
              <w:rPr>
                <w:b/>
                <w:sz w:val="15"/>
              </w:rPr>
            </w:pPr>
            <w:r>
              <w:rPr>
                <w:b/>
                <w:color w:val="231F20"/>
                <w:w w:val="110"/>
                <w:sz w:val="15"/>
              </w:rPr>
              <w:t>SOCIAL</w:t>
            </w:r>
            <w:r>
              <w:rPr>
                <w:b/>
                <w:color w:val="231F20"/>
                <w:spacing w:val="2"/>
                <w:w w:val="110"/>
                <w:sz w:val="15"/>
              </w:rPr>
              <w:t> </w:t>
            </w:r>
            <w:r>
              <w:rPr>
                <w:b/>
                <w:color w:val="231F20"/>
                <w:spacing w:val="-2"/>
                <w:w w:val="110"/>
                <w:sz w:val="15"/>
              </w:rPr>
              <w:t>SKILLS</w:t>
            </w:r>
          </w:p>
        </w:tc>
        <w:tc>
          <w:tcPr>
            <w:tcW w:w="1740" w:type="dxa"/>
            <w:tcBorders>
              <w:bottom w:val="single" w:sz="4" w:space="0" w:color="231F20"/>
            </w:tcBorders>
            <w:shd w:val="clear" w:color="auto" w:fill="E8F5F1"/>
          </w:tcPr>
          <w:p>
            <w:pPr>
              <w:pStyle w:val="TableParagraph"/>
              <w:spacing w:before="47"/>
              <w:ind w:left="497"/>
              <w:rPr>
                <w:b/>
                <w:sz w:val="15"/>
              </w:rPr>
            </w:pPr>
            <w:r>
              <w:rPr>
                <w:b/>
                <w:color w:val="231F20"/>
                <w:spacing w:val="-2"/>
                <w:w w:val="110"/>
                <w:sz w:val="15"/>
              </w:rPr>
              <w:t>LANGUAGE</w:t>
            </w:r>
          </w:p>
        </w:tc>
      </w:tr>
      <w:tr>
        <w:trPr>
          <w:trHeight w:val="257" w:hRule="atLeast"/>
        </w:trPr>
        <w:tc>
          <w:tcPr>
            <w:tcW w:w="1171" w:type="dxa"/>
            <w:tcBorders>
              <w:top w:val="single" w:sz="4" w:space="0" w:color="231F20"/>
              <w:bottom w:val="single" w:sz="4" w:space="0" w:color="FFFFFF"/>
            </w:tcBorders>
            <w:shd w:val="clear" w:color="auto" w:fill="E8F5F1"/>
          </w:tcPr>
          <w:p>
            <w:pPr>
              <w:pStyle w:val="TableParagraph"/>
              <w:spacing w:before="47"/>
              <w:ind w:left="172"/>
              <w:rPr>
                <w:sz w:val="15"/>
              </w:rPr>
            </w:pPr>
            <w:r>
              <w:rPr>
                <w:color w:val="231F20"/>
                <w:spacing w:val="-10"/>
                <w:sz w:val="15"/>
              </w:rPr>
              <w:t>3</w:t>
            </w:r>
          </w:p>
        </w:tc>
        <w:tc>
          <w:tcPr>
            <w:tcW w:w="2217" w:type="dxa"/>
            <w:tcBorders>
              <w:top w:val="single" w:sz="4" w:space="0" w:color="231F20"/>
              <w:bottom w:val="single" w:sz="4" w:space="0" w:color="FFFFFF"/>
            </w:tcBorders>
            <w:shd w:val="clear" w:color="auto" w:fill="E8F5F1"/>
          </w:tcPr>
          <w:p>
            <w:pPr>
              <w:pStyle w:val="TableParagraph"/>
              <w:spacing w:before="47"/>
              <w:ind w:left="26"/>
              <w:rPr>
                <w:sz w:val="15"/>
              </w:rPr>
            </w:pPr>
            <w:r>
              <w:rPr>
                <w:color w:val="231F20"/>
                <w:sz w:val="15"/>
              </w:rPr>
              <w:t>Supports</w:t>
            </w:r>
            <w:r>
              <w:rPr>
                <w:color w:val="231F20"/>
                <w:spacing w:val="6"/>
                <w:sz w:val="15"/>
              </w:rPr>
              <w:t> </w:t>
            </w:r>
            <w:r>
              <w:rPr>
                <w:color w:val="231F20"/>
                <w:sz w:val="15"/>
              </w:rPr>
              <w:t>weight</w:t>
            </w:r>
            <w:r>
              <w:rPr>
                <w:color w:val="231F20"/>
                <w:spacing w:val="6"/>
                <w:sz w:val="15"/>
              </w:rPr>
              <w:t> </w:t>
            </w:r>
            <w:r>
              <w:rPr>
                <w:color w:val="231F20"/>
                <w:sz w:val="15"/>
              </w:rPr>
              <w:t>on</w:t>
            </w:r>
            <w:r>
              <w:rPr>
                <w:color w:val="231F20"/>
                <w:spacing w:val="7"/>
                <w:sz w:val="15"/>
              </w:rPr>
              <w:t> </w:t>
            </w:r>
            <w:r>
              <w:rPr>
                <w:color w:val="231F20"/>
                <w:spacing w:val="-2"/>
                <w:sz w:val="15"/>
              </w:rPr>
              <w:t>forearms</w:t>
            </w:r>
          </w:p>
        </w:tc>
        <w:tc>
          <w:tcPr>
            <w:tcW w:w="2307" w:type="dxa"/>
            <w:tcBorders>
              <w:top w:val="single" w:sz="4" w:space="0" w:color="231F20"/>
              <w:bottom w:val="single" w:sz="4" w:space="0" w:color="FFFFFF"/>
            </w:tcBorders>
            <w:shd w:val="clear" w:color="auto" w:fill="E8F5F1"/>
          </w:tcPr>
          <w:p>
            <w:pPr>
              <w:pStyle w:val="TableParagraph"/>
              <w:spacing w:before="47"/>
              <w:ind w:left="205"/>
              <w:rPr>
                <w:sz w:val="15"/>
              </w:rPr>
            </w:pPr>
            <w:r>
              <w:rPr>
                <w:color w:val="231F20"/>
                <w:w w:val="105"/>
                <w:sz w:val="15"/>
              </w:rPr>
              <w:t>Opens</w:t>
            </w:r>
            <w:r>
              <w:rPr>
                <w:color w:val="231F20"/>
                <w:spacing w:val="-1"/>
                <w:w w:val="105"/>
                <w:sz w:val="15"/>
              </w:rPr>
              <w:t> </w:t>
            </w:r>
            <w:r>
              <w:rPr>
                <w:color w:val="231F20"/>
                <w:w w:val="105"/>
                <w:sz w:val="15"/>
              </w:rPr>
              <w:t>hands</w:t>
            </w:r>
            <w:r>
              <w:rPr>
                <w:color w:val="231F20"/>
                <w:spacing w:val="-1"/>
                <w:w w:val="105"/>
                <w:sz w:val="15"/>
              </w:rPr>
              <w:t> </w:t>
            </w:r>
            <w:r>
              <w:rPr>
                <w:color w:val="231F20"/>
                <w:spacing w:val="-2"/>
                <w:w w:val="105"/>
                <w:sz w:val="15"/>
              </w:rPr>
              <w:t>spontaneously</w:t>
            </w:r>
          </w:p>
        </w:tc>
        <w:tc>
          <w:tcPr>
            <w:tcW w:w="2347" w:type="dxa"/>
            <w:tcBorders>
              <w:top w:val="single" w:sz="4" w:space="0" w:color="231F20"/>
              <w:bottom w:val="single" w:sz="4" w:space="0" w:color="FFFFFF"/>
            </w:tcBorders>
            <w:shd w:val="clear" w:color="auto" w:fill="E8F5F1"/>
          </w:tcPr>
          <w:p>
            <w:pPr>
              <w:pStyle w:val="TableParagraph"/>
              <w:spacing w:before="47"/>
              <w:ind w:left="205"/>
              <w:rPr>
                <w:sz w:val="15"/>
              </w:rPr>
            </w:pPr>
            <w:r>
              <w:rPr>
                <w:color w:val="231F20"/>
                <w:sz w:val="15"/>
              </w:rPr>
              <w:t>Smiles</w:t>
            </w:r>
            <w:r>
              <w:rPr>
                <w:color w:val="231F20"/>
                <w:spacing w:val="1"/>
                <w:sz w:val="15"/>
              </w:rPr>
              <w:t> </w:t>
            </w:r>
            <w:r>
              <w:rPr>
                <w:color w:val="231F20"/>
                <w:spacing w:val="-2"/>
                <w:sz w:val="15"/>
              </w:rPr>
              <w:t>appropriately</w:t>
            </w:r>
          </w:p>
        </w:tc>
        <w:tc>
          <w:tcPr>
            <w:tcW w:w="1740" w:type="dxa"/>
            <w:tcBorders>
              <w:top w:val="single" w:sz="4" w:space="0" w:color="231F20"/>
              <w:bottom w:val="single" w:sz="4" w:space="0" w:color="FFFFFF"/>
            </w:tcBorders>
            <w:shd w:val="clear" w:color="auto" w:fill="E8F5F1"/>
          </w:tcPr>
          <w:p>
            <w:pPr>
              <w:pStyle w:val="TableParagraph"/>
              <w:spacing w:before="47"/>
              <w:ind w:left="206"/>
              <w:rPr>
                <w:sz w:val="15"/>
              </w:rPr>
            </w:pPr>
            <w:r>
              <w:rPr>
                <w:color w:val="231F20"/>
                <w:w w:val="105"/>
                <w:sz w:val="15"/>
              </w:rPr>
              <w:t>Coos,</w:t>
            </w:r>
            <w:r>
              <w:rPr>
                <w:color w:val="231F20"/>
                <w:spacing w:val="-2"/>
                <w:w w:val="105"/>
                <w:sz w:val="15"/>
              </w:rPr>
              <w:t> laughs</w:t>
            </w:r>
          </w:p>
        </w:tc>
      </w:tr>
      <w:tr>
        <w:trPr>
          <w:trHeight w:val="252" w:hRule="atLeast"/>
        </w:trPr>
        <w:tc>
          <w:tcPr>
            <w:tcW w:w="1171" w:type="dxa"/>
            <w:tcBorders>
              <w:top w:val="single" w:sz="4" w:space="0" w:color="FFFFFF"/>
              <w:bottom w:val="single" w:sz="4" w:space="0" w:color="FFFFFF"/>
            </w:tcBorders>
            <w:shd w:val="clear" w:color="auto" w:fill="E8F5F1"/>
          </w:tcPr>
          <w:p>
            <w:pPr>
              <w:pStyle w:val="TableParagraph"/>
              <w:spacing w:before="42"/>
              <w:ind w:left="172"/>
              <w:rPr>
                <w:sz w:val="15"/>
              </w:rPr>
            </w:pPr>
            <w:r>
              <w:rPr>
                <w:color w:val="231F20"/>
                <w:spacing w:val="-10"/>
                <w:sz w:val="15"/>
              </w:rPr>
              <w:t>6</w:t>
            </w:r>
          </w:p>
        </w:tc>
        <w:tc>
          <w:tcPr>
            <w:tcW w:w="2217" w:type="dxa"/>
            <w:tcBorders>
              <w:top w:val="single" w:sz="4" w:space="0" w:color="FFFFFF"/>
              <w:bottom w:val="single" w:sz="4" w:space="0" w:color="FFFFFF"/>
            </w:tcBorders>
            <w:shd w:val="clear" w:color="auto" w:fill="E8F5F1"/>
          </w:tcPr>
          <w:p>
            <w:pPr>
              <w:pStyle w:val="TableParagraph"/>
              <w:spacing w:before="42"/>
              <w:ind w:left="25"/>
              <w:rPr>
                <w:sz w:val="15"/>
              </w:rPr>
            </w:pPr>
            <w:r>
              <w:rPr>
                <w:color w:val="231F20"/>
                <w:sz w:val="15"/>
              </w:rPr>
              <w:t>Sits</w:t>
            </w:r>
            <w:r>
              <w:rPr>
                <w:color w:val="231F20"/>
                <w:spacing w:val="-4"/>
                <w:sz w:val="15"/>
              </w:rPr>
              <w:t> </w:t>
            </w:r>
            <w:r>
              <w:rPr>
                <w:color w:val="231F20"/>
                <w:spacing w:val="-2"/>
                <w:sz w:val="15"/>
              </w:rPr>
              <w:t>momentarily</w:t>
            </w:r>
          </w:p>
        </w:tc>
        <w:tc>
          <w:tcPr>
            <w:tcW w:w="230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pacing w:val="-2"/>
                <w:sz w:val="15"/>
              </w:rPr>
              <w:t>Transfers</w:t>
            </w:r>
            <w:r>
              <w:rPr>
                <w:color w:val="231F20"/>
                <w:spacing w:val="-6"/>
                <w:sz w:val="15"/>
              </w:rPr>
              <w:t> </w:t>
            </w:r>
            <w:r>
              <w:rPr>
                <w:color w:val="231F20"/>
                <w:spacing w:val="-2"/>
                <w:sz w:val="15"/>
              </w:rPr>
              <w:t>objects</w:t>
            </w:r>
          </w:p>
        </w:tc>
        <w:tc>
          <w:tcPr>
            <w:tcW w:w="234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z w:val="15"/>
              </w:rPr>
              <w:t>Shows</w:t>
            </w:r>
            <w:r>
              <w:rPr>
                <w:color w:val="231F20"/>
                <w:spacing w:val="3"/>
                <w:sz w:val="15"/>
              </w:rPr>
              <w:t> </w:t>
            </w:r>
            <w:r>
              <w:rPr>
                <w:color w:val="231F20"/>
                <w:sz w:val="15"/>
              </w:rPr>
              <w:t>likes</w:t>
            </w:r>
            <w:r>
              <w:rPr>
                <w:color w:val="231F20"/>
                <w:spacing w:val="4"/>
                <w:sz w:val="15"/>
              </w:rPr>
              <w:t> </w:t>
            </w:r>
            <w:r>
              <w:rPr>
                <w:color w:val="231F20"/>
                <w:sz w:val="15"/>
              </w:rPr>
              <w:t>and</w:t>
            </w:r>
            <w:r>
              <w:rPr>
                <w:color w:val="231F20"/>
                <w:spacing w:val="4"/>
                <w:sz w:val="15"/>
              </w:rPr>
              <w:t> </w:t>
            </w:r>
            <w:r>
              <w:rPr>
                <w:color w:val="231F20"/>
                <w:spacing w:val="-2"/>
                <w:sz w:val="15"/>
              </w:rPr>
              <w:t>dislikes</w:t>
            </w:r>
          </w:p>
        </w:tc>
        <w:tc>
          <w:tcPr>
            <w:tcW w:w="1740" w:type="dxa"/>
            <w:tcBorders>
              <w:top w:val="single" w:sz="4" w:space="0" w:color="FFFFFF"/>
              <w:bottom w:val="single" w:sz="4" w:space="0" w:color="FFFFFF"/>
            </w:tcBorders>
            <w:shd w:val="clear" w:color="auto" w:fill="E8F5F1"/>
          </w:tcPr>
          <w:p>
            <w:pPr>
              <w:pStyle w:val="TableParagraph"/>
              <w:spacing w:before="42"/>
              <w:ind w:left="206"/>
              <w:rPr>
                <w:sz w:val="15"/>
              </w:rPr>
            </w:pPr>
            <w:r>
              <w:rPr>
                <w:color w:val="231F20"/>
                <w:spacing w:val="-2"/>
                <w:w w:val="105"/>
                <w:sz w:val="15"/>
              </w:rPr>
              <w:t>Babbles</w:t>
            </w:r>
          </w:p>
        </w:tc>
      </w:tr>
      <w:tr>
        <w:trPr>
          <w:trHeight w:val="252" w:hRule="atLeast"/>
        </w:trPr>
        <w:tc>
          <w:tcPr>
            <w:tcW w:w="1171" w:type="dxa"/>
            <w:tcBorders>
              <w:top w:val="single" w:sz="4" w:space="0" w:color="FFFFFF"/>
              <w:bottom w:val="single" w:sz="4" w:space="0" w:color="FFFFFF"/>
            </w:tcBorders>
            <w:shd w:val="clear" w:color="auto" w:fill="E8F5F1"/>
          </w:tcPr>
          <w:p>
            <w:pPr>
              <w:pStyle w:val="TableParagraph"/>
              <w:spacing w:before="42"/>
              <w:ind w:left="172"/>
              <w:rPr>
                <w:sz w:val="15"/>
              </w:rPr>
            </w:pPr>
            <w:r>
              <w:rPr>
                <w:color w:val="231F20"/>
                <w:spacing w:val="-10"/>
                <w:sz w:val="15"/>
              </w:rPr>
              <w:t>9</w:t>
            </w:r>
          </w:p>
        </w:tc>
        <w:tc>
          <w:tcPr>
            <w:tcW w:w="2217" w:type="dxa"/>
            <w:tcBorders>
              <w:top w:val="single" w:sz="4" w:space="0" w:color="FFFFFF"/>
              <w:bottom w:val="single" w:sz="4" w:space="0" w:color="FFFFFF"/>
            </w:tcBorders>
            <w:shd w:val="clear" w:color="auto" w:fill="E8F5F1"/>
          </w:tcPr>
          <w:p>
            <w:pPr>
              <w:pStyle w:val="TableParagraph"/>
              <w:spacing w:before="42"/>
              <w:ind w:left="25"/>
              <w:rPr>
                <w:sz w:val="15"/>
              </w:rPr>
            </w:pPr>
            <w:r>
              <w:rPr>
                <w:color w:val="231F20"/>
                <w:sz w:val="15"/>
              </w:rPr>
              <w:t>Pulls</w:t>
            </w:r>
            <w:r>
              <w:rPr>
                <w:color w:val="231F20"/>
                <w:spacing w:val="-7"/>
                <w:sz w:val="15"/>
              </w:rPr>
              <w:t> </w:t>
            </w:r>
            <w:r>
              <w:rPr>
                <w:color w:val="231F20"/>
                <w:sz w:val="15"/>
              </w:rPr>
              <w:t>to</w:t>
            </w:r>
            <w:r>
              <w:rPr>
                <w:color w:val="231F20"/>
                <w:spacing w:val="-7"/>
                <w:sz w:val="15"/>
              </w:rPr>
              <w:t> </w:t>
            </w:r>
            <w:r>
              <w:rPr>
                <w:color w:val="231F20"/>
                <w:spacing w:val="-2"/>
                <w:sz w:val="15"/>
              </w:rPr>
              <w:t>stand</w:t>
            </w:r>
          </w:p>
        </w:tc>
        <w:tc>
          <w:tcPr>
            <w:tcW w:w="230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pacing w:val="-2"/>
                <w:sz w:val="15"/>
              </w:rPr>
              <w:t>Pincer</w:t>
            </w:r>
            <w:r>
              <w:rPr>
                <w:color w:val="231F20"/>
                <w:spacing w:val="-4"/>
                <w:sz w:val="15"/>
              </w:rPr>
              <w:t> </w:t>
            </w:r>
            <w:r>
              <w:rPr>
                <w:color w:val="231F20"/>
                <w:spacing w:val="-2"/>
                <w:sz w:val="15"/>
              </w:rPr>
              <w:t>grasp</w:t>
            </w:r>
          </w:p>
        </w:tc>
        <w:tc>
          <w:tcPr>
            <w:tcW w:w="234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pacing w:val="-2"/>
                <w:sz w:val="15"/>
              </w:rPr>
              <w:t>Plays</w:t>
            </w:r>
            <w:r>
              <w:rPr>
                <w:color w:val="231F20"/>
                <w:spacing w:val="4"/>
                <w:sz w:val="15"/>
              </w:rPr>
              <w:t> </w:t>
            </w:r>
            <w:r>
              <w:rPr>
                <w:color w:val="231F20"/>
                <w:spacing w:val="-2"/>
                <w:sz w:val="15"/>
              </w:rPr>
              <w:t>pat-a-cake,</w:t>
            </w:r>
            <w:r>
              <w:rPr>
                <w:color w:val="231F20"/>
                <w:spacing w:val="5"/>
                <w:sz w:val="15"/>
              </w:rPr>
              <w:t> </w:t>
            </w:r>
            <w:r>
              <w:rPr>
                <w:color w:val="231F20"/>
                <w:spacing w:val="-2"/>
                <w:sz w:val="15"/>
              </w:rPr>
              <w:t>peek-a-</w:t>
            </w:r>
            <w:r>
              <w:rPr>
                <w:color w:val="231F20"/>
                <w:spacing w:val="-5"/>
                <w:sz w:val="15"/>
              </w:rPr>
              <w:t>boo</w:t>
            </w:r>
          </w:p>
        </w:tc>
        <w:tc>
          <w:tcPr>
            <w:tcW w:w="1740" w:type="dxa"/>
            <w:tcBorders>
              <w:top w:val="single" w:sz="4" w:space="0" w:color="FFFFFF"/>
              <w:bottom w:val="single" w:sz="4" w:space="0" w:color="FFFFFF"/>
            </w:tcBorders>
            <w:shd w:val="clear" w:color="auto" w:fill="E8F5F1"/>
          </w:tcPr>
          <w:p>
            <w:pPr>
              <w:pStyle w:val="TableParagraph"/>
              <w:spacing w:before="42"/>
              <w:ind w:left="206"/>
              <w:rPr>
                <w:sz w:val="15"/>
              </w:rPr>
            </w:pPr>
            <w:r>
              <w:rPr>
                <w:color w:val="231F20"/>
                <w:spacing w:val="-4"/>
                <w:sz w:val="15"/>
              </w:rPr>
              <w:t>Imitates</w:t>
            </w:r>
            <w:r>
              <w:rPr>
                <w:color w:val="231F20"/>
                <w:spacing w:val="5"/>
                <w:sz w:val="15"/>
              </w:rPr>
              <w:t> </w:t>
            </w:r>
            <w:r>
              <w:rPr>
                <w:color w:val="231F20"/>
                <w:spacing w:val="-2"/>
                <w:sz w:val="15"/>
              </w:rPr>
              <w:t>sounds</w:t>
            </w:r>
          </w:p>
        </w:tc>
      </w:tr>
      <w:tr>
        <w:trPr>
          <w:trHeight w:val="420" w:hRule="atLeast"/>
        </w:trPr>
        <w:tc>
          <w:tcPr>
            <w:tcW w:w="1171" w:type="dxa"/>
            <w:tcBorders>
              <w:top w:val="single" w:sz="4" w:space="0" w:color="FFFFFF"/>
              <w:bottom w:val="single" w:sz="4" w:space="0" w:color="FFFFFF"/>
            </w:tcBorders>
            <w:shd w:val="clear" w:color="auto" w:fill="E8F5F1"/>
          </w:tcPr>
          <w:p>
            <w:pPr>
              <w:pStyle w:val="TableParagraph"/>
              <w:spacing w:before="42"/>
              <w:ind w:left="97"/>
              <w:rPr>
                <w:sz w:val="15"/>
              </w:rPr>
            </w:pPr>
            <w:r>
              <w:rPr>
                <w:color w:val="231F20"/>
                <w:spacing w:val="-5"/>
                <w:sz w:val="15"/>
              </w:rPr>
              <w:t>12</w:t>
            </w:r>
          </w:p>
        </w:tc>
        <w:tc>
          <w:tcPr>
            <w:tcW w:w="2217" w:type="dxa"/>
            <w:tcBorders>
              <w:top w:val="single" w:sz="4" w:space="0" w:color="FFFFFF"/>
              <w:bottom w:val="single" w:sz="4" w:space="0" w:color="FFFFFF"/>
            </w:tcBorders>
            <w:shd w:val="clear" w:color="auto" w:fill="E8F5F1"/>
          </w:tcPr>
          <w:p>
            <w:pPr>
              <w:pStyle w:val="TableParagraph"/>
              <w:spacing w:before="42"/>
              <w:ind w:left="25"/>
              <w:rPr>
                <w:sz w:val="15"/>
              </w:rPr>
            </w:pPr>
            <w:r>
              <w:rPr>
                <w:color w:val="231F20"/>
                <w:sz w:val="15"/>
              </w:rPr>
              <w:t>Walks</w:t>
            </w:r>
            <w:r>
              <w:rPr>
                <w:color w:val="231F20"/>
                <w:spacing w:val="-4"/>
                <w:sz w:val="15"/>
              </w:rPr>
              <w:t> </w:t>
            </w:r>
            <w:r>
              <w:rPr>
                <w:color w:val="231F20"/>
                <w:sz w:val="15"/>
              </w:rPr>
              <w:t>with</w:t>
            </w:r>
            <w:r>
              <w:rPr>
                <w:color w:val="231F20"/>
                <w:spacing w:val="-4"/>
                <w:sz w:val="15"/>
              </w:rPr>
              <w:t> </w:t>
            </w:r>
            <w:r>
              <w:rPr>
                <w:color w:val="231F20"/>
                <w:sz w:val="15"/>
              </w:rPr>
              <w:t>1</w:t>
            </w:r>
            <w:r>
              <w:rPr>
                <w:color w:val="231F20"/>
                <w:spacing w:val="-4"/>
                <w:sz w:val="15"/>
              </w:rPr>
              <w:t> </w:t>
            </w:r>
            <w:r>
              <w:rPr>
                <w:color w:val="231F20"/>
                <w:sz w:val="15"/>
              </w:rPr>
              <w:t>hand</w:t>
            </w:r>
            <w:r>
              <w:rPr>
                <w:color w:val="231F20"/>
                <w:spacing w:val="-3"/>
                <w:sz w:val="15"/>
              </w:rPr>
              <w:t> </w:t>
            </w:r>
            <w:r>
              <w:rPr>
                <w:color w:val="231F20"/>
                <w:spacing w:val="-4"/>
                <w:sz w:val="15"/>
              </w:rPr>
              <w:t>held</w:t>
            </w:r>
          </w:p>
        </w:tc>
        <w:tc>
          <w:tcPr>
            <w:tcW w:w="2307" w:type="dxa"/>
            <w:tcBorders>
              <w:top w:val="single" w:sz="4" w:space="0" w:color="FFFFFF"/>
              <w:bottom w:val="single" w:sz="4" w:space="0" w:color="FFFFFF"/>
            </w:tcBorders>
            <w:shd w:val="clear" w:color="auto" w:fill="E8F5F1"/>
          </w:tcPr>
          <w:p>
            <w:pPr>
              <w:pStyle w:val="TableParagraph"/>
              <w:spacing w:line="230" w:lineRule="auto" w:before="48"/>
              <w:ind w:left="317" w:right="51" w:hanging="112"/>
              <w:rPr>
                <w:sz w:val="15"/>
              </w:rPr>
            </w:pPr>
            <w:r>
              <w:rPr>
                <w:color w:val="231F20"/>
                <w:sz w:val="15"/>
              </w:rPr>
              <w:t>Releases</w:t>
            </w:r>
            <w:r>
              <w:rPr>
                <w:color w:val="231F20"/>
                <w:spacing w:val="-12"/>
                <w:sz w:val="15"/>
              </w:rPr>
              <w:t> </w:t>
            </w:r>
            <w:r>
              <w:rPr>
                <w:color w:val="231F20"/>
                <w:sz w:val="15"/>
              </w:rPr>
              <w:t>an</w:t>
            </w:r>
            <w:r>
              <w:rPr>
                <w:color w:val="231F20"/>
                <w:spacing w:val="-11"/>
                <w:sz w:val="15"/>
              </w:rPr>
              <w:t> </w:t>
            </w:r>
            <w:r>
              <w:rPr>
                <w:color w:val="231F20"/>
                <w:sz w:val="15"/>
              </w:rPr>
              <w:t>object</w:t>
            </w:r>
            <w:r>
              <w:rPr>
                <w:color w:val="231F20"/>
                <w:spacing w:val="-11"/>
                <w:sz w:val="15"/>
              </w:rPr>
              <w:t> </w:t>
            </w:r>
            <w:r>
              <w:rPr>
                <w:color w:val="231F20"/>
                <w:sz w:val="15"/>
              </w:rPr>
              <w:t>on </w:t>
            </w:r>
            <w:r>
              <w:rPr>
                <w:color w:val="231F20"/>
                <w:spacing w:val="-2"/>
                <w:sz w:val="15"/>
              </w:rPr>
              <w:t>command</w:t>
            </w:r>
          </w:p>
        </w:tc>
        <w:tc>
          <w:tcPr>
            <w:tcW w:w="234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z w:val="15"/>
              </w:rPr>
              <w:t>Comes</w:t>
            </w:r>
            <w:r>
              <w:rPr>
                <w:color w:val="231F20"/>
                <w:spacing w:val="12"/>
                <w:sz w:val="15"/>
              </w:rPr>
              <w:t> </w:t>
            </w:r>
            <w:r>
              <w:rPr>
                <w:color w:val="231F20"/>
                <w:sz w:val="15"/>
              </w:rPr>
              <w:t>when</w:t>
            </w:r>
            <w:r>
              <w:rPr>
                <w:color w:val="231F20"/>
                <w:spacing w:val="12"/>
                <w:sz w:val="15"/>
              </w:rPr>
              <w:t> </w:t>
            </w:r>
            <w:r>
              <w:rPr>
                <w:color w:val="231F20"/>
                <w:spacing w:val="-2"/>
                <w:sz w:val="15"/>
              </w:rPr>
              <w:t>called</w:t>
            </w:r>
          </w:p>
        </w:tc>
        <w:tc>
          <w:tcPr>
            <w:tcW w:w="1740" w:type="dxa"/>
            <w:tcBorders>
              <w:top w:val="single" w:sz="4" w:space="0" w:color="FFFFFF"/>
              <w:bottom w:val="single" w:sz="4" w:space="0" w:color="FFFFFF"/>
            </w:tcBorders>
            <w:shd w:val="clear" w:color="auto" w:fill="E8F5F1"/>
          </w:tcPr>
          <w:p>
            <w:pPr>
              <w:pStyle w:val="TableParagraph"/>
              <w:spacing w:before="42"/>
              <w:ind w:left="206"/>
              <w:rPr>
                <w:sz w:val="15"/>
              </w:rPr>
            </w:pPr>
            <w:r>
              <w:rPr>
                <w:color w:val="231F20"/>
                <w:sz w:val="15"/>
              </w:rPr>
              <w:t>1-2</w:t>
            </w:r>
            <w:r>
              <w:rPr>
                <w:color w:val="231F20"/>
                <w:spacing w:val="-7"/>
                <w:sz w:val="15"/>
              </w:rPr>
              <w:t> </w:t>
            </w:r>
            <w:r>
              <w:rPr>
                <w:color w:val="231F20"/>
                <w:sz w:val="15"/>
              </w:rPr>
              <w:t>meaningful</w:t>
            </w:r>
            <w:r>
              <w:rPr>
                <w:color w:val="231F20"/>
                <w:spacing w:val="-7"/>
                <w:sz w:val="15"/>
              </w:rPr>
              <w:t> </w:t>
            </w:r>
            <w:r>
              <w:rPr>
                <w:color w:val="231F20"/>
                <w:spacing w:val="-2"/>
                <w:sz w:val="15"/>
              </w:rPr>
              <w:t>words</w:t>
            </w:r>
          </w:p>
        </w:tc>
      </w:tr>
      <w:tr>
        <w:trPr>
          <w:trHeight w:val="252" w:hRule="atLeast"/>
        </w:trPr>
        <w:tc>
          <w:tcPr>
            <w:tcW w:w="1171" w:type="dxa"/>
            <w:tcBorders>
              <w:top w:val="single" w:sz="4" w:space="0" w:color="FFFFFF"/>
              <w:bottom w:val="single" w:sz="4" w:space="0" w:color="FFFFFF"/>
            </w:tcBorders>
            <w:shd w:val="clear" w:color="auto" w:fill="E8F5F1"/>
          </w:tcPr>
          <w:p>
            <w:pPr>
              <w:pStyle w:val="TableParagraph"/>
              <w:spacing w:before="42"/>
              <w:ind w:left="97"/>
              <w:rPr>
                <w:sz w:val="15"/>
              </w:rPr>
            </w:pPr>
            <w:r>
              <w:rPr>
                <w:color w:val="231F20"/>
                <w:spacing w:val="-5"/>
                <w:sz w:val="15"/>
              </w:rPr>
              <w:t>18</w:t>
            </w:r>
          </w:p>
        </w:tc>
        <w:tc>
          <w:tcPr>
            <w:tcW w:w="2217" w:type="dxa"/>
            <w:tcBorders>
              <w:top w:val="single" w:sz="4" w:space="0" w:color="FFFFFF"/>
              <w:bottom w:val="single" w:sz="4" w:space="0" w:color="FFFFFF"/>
            </w:tcBorders>
            <w:shd w:val="clear" w:color="auto" w:fill="E8F5F1"/>
          </w:tcPr>
          <w:p>
            <w:pPr>
              <w:pStyle w:val="TableParagraph"/>
              <w:spacing w:before="42"/>
              <w:ind w:left="25"/>
              <w:rPr>
                <w:sz w:val="15"/>
              </w:rPr>
            </w:pPr>
            <w:r>
              <w:rPr>
                <w:color w:val="231F20"/>
                <w:spacing w:val="-2"/>
                <w:sz w:val="15"/>
              </w:rPr>
              <w:t>Walks</w:t>
            </w:r>
            <w:r>
              <w:rPr>
                <w:color w:val="231F20"/>
                <w:spacing w:val="-1"/>
                <w:sz w:val="15"/>
              </w:rPr>
              <w:t> </w:t>
            </w:r>
            <w:r>
              <w:rPr>
                <w:color w:val="231F20"/>
                <w:spacing w:val="-2"/>
                <w:sz w:val="15"/>
              </w:rPr>
              <w:t>upstairs</w:t>
            </w:r>
            <w:r>
              <w:rPr>
                <w:color w:val="231F20"/>
                <w:spacing w:val="-1"/>
                <w:sz w:val="15"/>
              </w:rPr>
              <w:t> </w:t>
            </w:r>
            <w:r>
              <w:rPr>
                <w:color w:val="231F20"/>
                <w:spacing w:val="-2"/>
                <w:sz w:val="15"/>
              </w:rPr>
              <w:t>with</w:t>
            </w:r>
            <w:r>
              <w:rPr>
                <w:color w:val="231F20"/>
                <w:spacing w:val="-1"/>
                <w:sz w:val="15"/>
              </w:rPr>
              <w:t> </w:t>
            </w:r>
            <w:r>
              <w:rPr>
                <w:color w:val="231F20"/>
                <w:spacing w:val="-2"/>
                <w:sz w:val="15"/>
              </w:rPr>
              <w:t>assistance</w:t>
            </w:r>
          </w:p>
        </w:tc>
        <w:tc>
          <w:tcPr>
            <w:tcW w:w="230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z w:val="15"/>
              </w:rPr>
              <w:t>Feeds</w:t>
            </w:r>
            <w:r>
              <w:rPr>
                <w:color w:val="231F20"/>
                <w:spacing w:val="2"/>
                <w:sz w:val="15"/>
              </w:rPr>
              <w:t> </w:t>
            </w:r>
            <w:r>
              <w:rPr>
                <w:color w:val="231F20"/>
                <w:sz w:val="15"/>
              </w:rPr>
              <w:t>from</w:t>
            </w:r>
            <w:r>
              <w:rPr>
                <w:color w:val="231F20"/>
                <w:spacing w:val="2"/>
                <w:sz w:val="15"/>
              </w:rPr>
              <w:t> </w:t>
            </w:r>
            <w:r>
              <w:rPr>
                <w:color w:val="231F20"/>
                <w:sz w:val="15"/>
              </w:rPr>
              <w:t>a</w:t>
            </w:r>
            <w:r>
              <w:rPr>
                <w:color w:val="231F20"/>
                <w:spacing w:val="3"/>
                <w:sz w:val="15"/>
              </w:rPr>
              <w:t> </w:t>
            </w:r>
            <w:r>
              <w:rPr>
                <w:color w:val="231F20"/>
                <w:spacing w:val="-2"/>
                <w:sz w:val="15"/>
              </w:rPr>
              <w:t>spoon</w:t>
            </w:r>
          </w:p>
        </w:tc>
        <w:tc>
          <w:tcPr>
            <w:tcW w:w="2347" w:type="dxa"/>
            <w:tcBorders>
              <w:top w:val="single" w:sz="4" w:space="0" w:color="FFFFFF"/>
              <w:bottom w:val="single" w:sz="4" w:space="0" w:color="FFFFFF"/>
            </w:tcBorders>
            <w:shd w:val="clear" w:color="auto" w:fill="E8F5F1"/>
          </w:tcPr>
          <w:p>
            <w:pPr>
              <w:pStyle w:val="TableParagraph"/>
              <w:spacing w:before="42"/>
              <w:ind w:left="205"/>
              <w:rPr>
                <w:sz w:val="15"/>
              </w:rPr>
            </w:pPr>
            <w:r>
              <w:rPr>
                <w:color w:val="231F20"/>
                <w:sz w:val="15"/>
              </w:rPr>
              <w:t>Mimics actions</w:t>
            </w:r>
            <w:r>
              <w:rPr>
                <w:color w:val="231F20"/>
                <w:spacing w:val="1"/>
                <w:sz w:val="15"/>
              </w:rPr>
              <w:t> </w:t>
            </w:r>
            <w:r>
              <w:rPr>
                <w:color w:val="231F20"/>
                <w:sz w:val="15"/>
              </w:rPr>
              <w:t>of</w:t>
            </w:r>
            <w:r>
              <w:rPr>
                <w:color w:val="231F20"/>
                <w:spacing w:val="1"/>
                <w:sz w:val="15"/>
              </w:rPr>
              <w:t> </w:t>
            </w:r>
            <w:r>
              <w:rPr>
                <w:color w:val="231F20"/>
                <w:spacing w:val="-2"/>
                <w:sz w:val="15"/>
              </w:rPr>
              <w:t>others</w:t>
            </w:r>
          </w:p>
        </w:tc>
        <w:tc>
          <w:tcPr>
            <w:tcW w:w="1740" w:type="dxa"/>
            <w:tcBorders>
              <w:top w:val="single" w:sz="4" w:space="0" w:color="FFFFFF"/>
              <w:bottom w:val="single" w:sz="4" w:space="0" w:color="FFFFFF"/>
            </w:tcBorders>
            <w:shd w:val="clear" w:color="auto" w:fill="E8F5F1"/>
          </w:tcPr>
          <w:p>
            <w:pPr>
              <w:pStyle w:val="TableParagraph"/>
              <w:spacing w:before="42"/>
              <w:ind w:left="206"/>
              <w:rPr>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6</w:t>
            </w:r>
            <w:r>
              <w:rPr>
                <w:color w:val="231F20"/>
                <w:spacing w:val="-4"/>
                <w:sz w:val="15"/>
              </w:rPr>
              <w:t> </w:t>
            </w:r>
            <w:r>
              <w:rPr>
                <w:color w:val="231F20"/>
                <w:spacing w:val="-2"/>
                <w:sz w:val="15"/>
              </w:rPr>
              <w:t>words</w:t>
            </w:r>
          </w:p>
        </w:tc>
      </w:tr>
      <w:tr>
        <w:trPr>
          <w:trHeight w:val="247" w:hRule="atLeast"/>
        </w:trPr>
        <w:tc>
          <w:tcPr>
            <w:tcW w:w="1171" w:type="dxa"/>
            <w:tcBorders>
              <w:top w:val="single" w:sz="4" w:space="0" w:color="FFFFFF"/>
              <w:bottom w:val="single" w:sz="8" w:space="0" w:color="231F20"/>
            </w:tcBorders>
            <w:shd w:val="clear" w:color="auto" w:fill="E8F5F1"/>
          </w:tcPr>
          <w:p>
            <w:pPr>
              <w:pStyle w:val="TableParagraph"/>
              <w:spacing w:before="42"/>
              <w:ind w:left="97"/>
              <w:rPr>
                <w:sz w:val="15"/>
              </w:rPr>
            </w:pPr>
            <w:r>
              <w:rPr>
                <w:color w:val="231F20"/>
                <w:spacing w:val="-5"/>
                <w:sz w:val="15"/>
              </w:rPr>
              <w:t>24</w:t>
            </w:r>
          </w:p>
        </w:tc>
        <w:tc>
          <w:tcPr>
            <w:tcW w:w="2217" w:type="dxa"/>
            <w:tcBorders>
              <w:top w:val="single" w:sz="4" w:space="0" w:color="FFFFFF"/>
              <w:bottom w:val="single" w:sz="8" w:space="0" w:color="231F20"/>
            </w:tcBorders>
            <w:shd w:val="clear" w:color="auto" w:fill="E8F5F1"/>
          </w:tcPr>
          <w:p>
            <w:pPr>
              <w:pStyle w:val="TableParagraph"/>
              <w:spacing w:before="42"/>
              <w:ind w:left="25"/>
              <w:rPr>
                <w:sz w:val="15"/>
              </w:rPr>
            </w:pPr>
            <w:r>
              <w:rPr>
                <w:color w:val="231F20"/>
                <w:spacing w:val="-4"/>
                <w:sz w:val="15"/>
              </w:rPr>
              <w:t>Runs</w:t>
            </w:r>
          </w:p>
        </w:tc>
        <w:tc>
          <w:tcPr>
            <w:tcW w:w="2307" w:type="dxa"/>
            <w:tcBorders>
              <w:top w:val="single" w:sz="4" w:space="0" w:color="FFFFFF"/>
              <w:bottom w:val="single" w:sz="8" w:space="0" w:color="231F20"/>
            </w:tcBorders>
            <w:shd w:val="clear" w:color="auto" w:fill="E8F5F1"/>
          </w:tcPr>
          <w:p>
            <w:pPr>
              <w:pStyle w:val="TableParagraph"/>
              <w:spacing w:before="42"/>
              <w:ind w:left="205"/>
              <w:rPr>
                <w:sz w:val="15"/>
              </w:rPr>
            </w:pPr>
            <w:r>
              <w:rPr>
                <w:color w:val="231F20"/>
                <w:sz w:val="15"/>
              </w:rPr>
              <w:t>Builds</w:t>
            </w:r>
            <w:r>
              <w:rPr>
                <w:color w:val="231F20"/>
                <w:spacing w:val="-3"/>
                <w:sz w:val="15"/>
              </w:rPr>
              <w:t> </w:t>
            </w:r>
            <w:r>
              <w:rPr>
                <w:color w:val="231F20"/>
                <w:sz w:val="15"/>
              </w:rPr>
              <w:t>a</w:t>
            </w:r>
            <w:r>
              <w:rPr>
                <w:color w:val="231F20"/>
                <w:spacing w:val="-3"/>
                <w:sz w:val="15"/>
              </w:rPr>
              <w:t> </w:t>
            </w:r>
            <w:r>
              <w:rPr>
                <w:color w:val="231F20"/>
                <w:sz w:val="15"/>
              </w:rPr>
              <w:t>tower</w:t>
            </w:r>
            <w:r>
              <w:rPr>
                <w:color w:val="231F20"/>
                <w:spacing w:val="-3"/>
                <w:sz w:val="15"/>
              </w:rPr>
              <w:t> </w:t>
            </w:r>
            <w:r>
              <w:rPr>
                <w:color w:val="231F20"/>
                <w:sz w:val="15"/>
              </w:rPr>
              <w:t>of</w:t>
            </w:r>
            <w:r>
              <w:rPr>
                <w:color w:val="231F20"/>
                <w:spacing w:val="-3"/>
                <w:sz w:val="15"/>
              </w:rPr>
              <w:t> </w:t>
            </w:r>
            <w:r>
              <w:rPr>
                <w:color w:val="231F20"/>
                <w:sz w:val="15"/>
              </w:rPr>
              <w:t>6</w:t>
            </w:r>
            <w:r>
              <w:rPr>
                <w:color w:val="231F20"/>
                <w:spacing w:val="-2"/>
                <w:sz w:val="15"/>
              </w:rPr>
              <w:t> blocks</w:t>
            </w:r>
          </w:p>
        </w:tc>
        <w:tc>
          <w:tcPr>
            <w:tcW w:w="2347" w:type="dxa"/>
            <w:tcBorders>
              <w:top w:val="single" w:sz="4" w:space="0" w:color="FFFFFF"/>
              <w:bottom w:val="single" w:sz="8" w:space="0" w:color="231F20"/>
            </w:tcBorders>
            <w:shd w:val="clear" w:color="auto" w:fill="E8F5F1"/>
          </w:tcPr>
          <w:p>
            <w:pPr>
              <w:pStyle w:val="TableParagraph"/>
              <w:spacing w:before="42"/>
              <w:ind w:left="205"/>
              <w:rPr>
                <w:sz w:val="15"/>
              </w:rPr>
            </w:pPr>
            <w:r>
              <w:rPr>
                <w:color w:val="231F20"/>
                <w:spacing w:val="-2"/>
                <w:sz w:val="15"/>
              </w:rPr>
              <w:t>Plays</w:t>
            </w:r>
            <w:r>
              <w:rPr>
                <w:color w:val="231F20"/>
                <w:spacing w:val="-7"/>
                <w:sz w:val="15"/>
              </w:rPr>
              <w:t> </w:t>
            </w:r>
            <w:r>
              <w:rPr>
                <w:color w:val="231F20"/>
                <w:spacing w:val="-2"/>
                <w:sz w:val="15"/>
              </w:rPr>
              <w:t>with</w:t>
            </w:r>
            <w:r>
              <w:rPr>
                <w:color w:val="231F20"/>
                <w:spacing w:val="-7"/>
                <w:sz w:val="15"/>
              </w:rPr>
              <w:t> </w:t>
            </w:r>
            <w:r>
              <w:rPr>
                <w:color w:val="231F20"/>
                <w:spacing w:val="-2"/>
                <w:sz w:val="15"/>
              </w:rPr>
              <w:t>others</w:t>
            </w:r>
          </w:p>
        </w:tc>
        <w:tc>
          <w:tcPr>
            <w:tcW w:w="1740" w:type="dxa"/>
            <w:tcBorders>
              <w:top w:val="single" w:sz="4" w:space="0" w:color="FFFFFF"/>
              <w:bottom w:val="single" w:sz="8" w:space="0" w:color="231F20"/>
            </w:tcBorders>
            <w:shd w:val="clear" w:color="auto" w:fill="E8F5F1"/>
          </w:tcPr>
          <w:p>
            <w:pPr>
              <w:pStyle w:val="TableParagraph"/>
              <w:spacing w:before="42"/>
              <w:ind w:left="206"/>
              <w:rPr>
                <w:sz w:val="15"/>
              </w:rPr>
            </w:pPr>
            <w:r>
              <w:rPr>
                <w:color w:val="231F20"/>
                <w:sz w:val="15"/>
              </w:rPr>
              <w:t>2-3–word</w:t>
            </w:r>
            <w:r>
              <w:rPr>
                <w:color w:val="231F20"/>
                <w:spacing w:val="11"/>
                <w:sz w:val="15"/>
              </w:rPr>
              <w:t> </w:t>
            </w:r>
            <w:r>
              <w:rPr>
                <w:color w:val="231F20"/>
                <w:spacing w:val="-2"/>
                <w:sz w:val="15"/>
              </w:rPr>
              <w:t>sentences</w:t>
            </w:r>
          </w:p>
        </w:tc>
      </w:tr>
    </w:tbl>
    <w:p>
      <w:pPr>
        <w:pStyle w:val="BodyText"/>
        <w:spacing w:before="95"/>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1"/>
        <w:gridCol w:w="2863"/>
        <w:gridCol w:w="2628"/>
        <w:gridCol w:w="3121"/>
      </w:tblGrid>
      <w:tr>
        <w:trPr>
          <w:trHeight w:val="373" w:hRule="atLeast"/>
        </w:trPr>
        <w:tc>
          <w:tcPr>
            <w:tcW w:w="1171" w:type="dxa"/>
            <w:tcBorders>
              <w:right w:val="single" w:sz="8" w:space="0" w:color="FFFFFF"/>
            </w:tcBorders>
            <w:shd w:val="clear" w:color="auto" w:fill="231F20"/>
          </w:tcPr>
          <w:p>
            <w:pPr>
              <w:pStyle w:val="TableParagraph"/>
              <w:spacing w:before="89"/>
              <w:ind w:left="135"/>
              <w:rPr>
                <w:b/>
                <w:sz w:val="16"/>
              </w:rPr>
            </w:pPr>
            <w:r>
              <w:rPr>
                <w:b/>
                <w:color w:val="FFFFFF"/>
                <w:w w:val="105"/>
                <w:sz w:val="16"/>
              </w:rPr>
              <w:t>Table</w:t>
            </w:r>
            <w:r>
              <w:rPr>
                <w:b/>
                <w:color w:val="FFFFFF"/>
                <w:spacing w:val="-3"/>
                <w:w w:val="105"/>
                <w:sz w:val="16"/>
              </w:rPr>
              <w:t> </w:t>
            </w:r>
            <w:r>
              <w:rPr>
                <w:b/>
                <w:color w:val="FFFFFF"/>
                <w:w w:val="105"/>
                <w:sz w:val="16"/>
              </w:rPr>
              <w:t>590-</w:t>
            </w:r>
            <w:r>
              <w:rPr>
                <w:b/>
                <w:color w:val="FFFFFF"/>
                <w:spacing w:val="-10"/>
                <w:w w:val="105"/>
                <w:sz w:val="16"/>
              </w:rPr>
              <w:t>2</w:t>
            </w:r>
          </w:p>
        </w:tc>
        <w:tc>
          <w:tcPr>
            <w:tcW w:w="8612"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Timing</w:t>
            </w:r>
            <w:r>
              <w:rPr>
                <w:color w:val="FFFFFF"/>
                <w:spacing w:val="-1"/>
                <w:w w:val="105"/>
                <w:sz w:val="16"/>
              </w:rPr>
              <w:t> </w:t>
            </w:r>
            <w:r>
              <w:rPr>
                <w:color w:val="FFFFFF"/>
                <w:w w:val="105"/>
                <w:sz w:val="16"/>
              </w:rPr>
              <w:t>of</w:t>
            </w:r>
            <w:r>
              <w:rPr>
                <w:color w:val="FFFFFF"/>
                <w:spacing w:val="-1"/>
                <w:w w:val="105"/>
                <w:sz w:val="16"/>
              </w:rPr>
              <w:t> </w:t>
            </w:r>
            <w:r>
              <w:rPr>
                <w:color w:val="FFFFFF"/>
                <w:w w:val="105"/>
                <w:sz w:val="16"/>
              </w:rPr>
              <w:t>Selected</w:t>
            </w:r>
            <w:r>
              <w:rPr>
                <w:color w:val="FFFFFF"/>
                <w:spacing w:val="-1"/>
                <w:w w:val="105"/>
                <w:sz w:val="16"/>
              </w:rPr>
              <w:t> </w:t>
            </w:r>
            <w:r>
              <w:rPr>
                <w:color w:val="FFFFFF"/>
                <w:w w:val="105"/>
                <w:sz w:val="16"/>
              </w:rPr>
              <w:t>Primitive</w:t>
            </w:r>
            <w:r>
              <w:rPr>
                <w:color w:val="FFFFFF"/>
                <w:spacing w:val="-1"/>
                <w:w w:val="105"/>
                <w:sz w:val="16"/>
              </w:rPr>
              <w:t> </w:t>
            </w:r>
            <w:r>
              <w:rPr>
                <w:color w:val="FFFFFF"/>
                <w:spacing w:val="-2"/>
                <w:w w:val="105"/>
                <w:sz w:val="16"/>
              </w:rPr>
              <w:t>Reflexes</w:t>
            </w:r>
          </w:p>
        </w:tc>
      </w:tr>
      <w:tr>
        <w:trPr>
          <w:trHeight w:val="257" w:hRule="atLeast"/>
        </w:trPr>
        <w:tc>
          <w:tcPr>
            <w:tcW w:w="1171" w:type="dxa"/>
            <w:tcBorders>
              <w:bottom w:val="single" w:sz="4" w:space="0" w:color="231F20"/>
            </w:tcBorders>
            <w:shd w:val="clear" w:color="auto" w:fill="E8F5F1"/>
          </w:tcPr>
          <w:p>
            <w:pPr>
              <w:pStyle w:val="TableParagraph"/>
              <w:spacing w:before="47"/>
              <w:ind w:left="97"/>
              <w:rPr>
                <w:b/>
                <w:sz w:val="15"/>
              </w:rPr>
            </w:pPr>
            <w:r>
              <w:rPr>
                <w:b/>
                <w:color w:val="231F20"/>
                <w:spacing w:val="-2"/>
                <w:w w:val="105"/>
                <w:sz w:val="15"/>
              </w:rPr>
              <w:t>REFLEX</w:t>
            </w:r>
          </w:p>
        </w:tc>
        <w:tc>
          <w:tcPr>
            <w:tcW w:w="2863" w:type="dxa"/>
            <w:tcBorders>
              <w:bottom w:val="single" w:sz="4" w:space="0" w:color="231F20"/>
            </w:tcBorders>
            <w:shd w:val="clear" w:color="auto" w:fill="E8F5F1"/>
          </w:tcPr>
          <w:p>
            <w:pPr>
              <w:pStyle w:val="TableParagraph"/>
              <w:spacing w:before="47"/>
              <w:ind w:left="403"/>
              <w:jc w:val="center"/>
              <w:rPr>
                <w:b/>
                <w:sz w:val="15"/>
              </w:rPr>
            </w:pPr>
            <w:r>
              <w:rPr>
                <w:b/>
                <w:color w:val="231F20"/>
                <w:spacing w:val="-2"/>
                <w:w w:val="110"/>
                <w:sz w:val="15"/>
              </w:rPr>
              <w:t>ONSET</w:t>
            </w:r>
          </w:p>
        </w:tc>
        <w:tc>
          <w:tcPr>
            <w:tcW w:w="2628" w:type="dxa"/>
            <w:tcBorders>
              <w:bottom w:val="single" w:sz="4" w:space="0" w:color="231F20"/>
            </w:tcBorders>
            <w:shd w:val="clear" w:color="auto" w:fill="E8F5F1"/>
          </w:tcPr>
          <w:p>
            <w:pPr>
              <w:pStyle w:val="TableParagraph"/>
              <w:spacing w:before="47"/>
              <w:ind w:left="603"/>
              <w:rPr>
                <w:b/>
                <w:sz w:val="15"/>
              </w:rPr>
            </w:pPr>
            <w:r>
              <w:rPr>
                <w:b/>
                <w:color w:val="231F20"/>
                <w:w w:val="105"/>
                <w:sz w:val="15"/>
              </w:rPr>
              <w:t>FULLY</w:t>
            </w:r>
            <w:r>
              <w:rPr>
                <w:b/>
                <w:color w:val="231F20"/>
                <w:spacing w:val="-9"/>
                <w:w w:val="105"/>
                <w:sz w:val="15"/>
              </w:rPr>
              <w:t> </w:t>
            </w:r>
            <w:r>
              <w:rPr>
                <w:b/>
                <w:color w:val="231F20"/>
                <w:spacing w:val="-2"/>
                <w:w w:val="110"/>
                <w:sz w:val="15"/>
              </w:rPr>
              <w:t>DEVELOPED</w:t>
            </w:r>
          </w:p>
        </w:tc>
        <w:tc>
          <w:tcPr>
            <w:tcW w:w="3121" w:type="dxa"/>
            <w:tcBorders>
              <w:bottom w:val="single" w:sz="4" w:space="0" w:color="231F20"/>
            </w:tcBorders>
            <w:shd w:val="clear" w:color="auto" w:fill="E8F5F1"/>
          </w:tcPr>
          <w:p>
            <w:pPr>
              <w:pStyle w:val="TableParagraph"/>
              <w:spacing w:before="47"/>
              <w:ind w:left="1412"/>
              <w:rPr>
                <w:b/>
                <w:sz w:val="15"/>
              </w:rPr>
            </w:pPr>
            <w:r>
              <w:rPr>
                <w:b/>
                <w:color w:val="231F20"/>
                <w:spacing w:val="-2"/>
                <w:w w:val="110"/>
                <w:sz w:val="15"/>
              </w:rPr>
              <w:t>DURATION</w:t>
            </w:r>
          </w:p>
        </w:tc>
      </w:tr>
      <w:tr>
        <w:trPr>
          <w:trHeight w:val="257" w:hRule="atLeast"/>
        </w:trPr>
        <w:tc>
          <w:tcPr>
            <w:tcW w:w="1171" w:type="dxa"/>
            <w:tcBorders>
              <w:top w:val="single" w:sz="4" w:space="0" w:color="231F20"/>
              <w:bottom w:val="single" w:sz="4" w:space="0" w:color="FFFFFF"/>
            </w:tcBorders>
            <w:shd w:val="clear" w:color="auto" w:fill="E8F5F1"/>
          </w:tcPr>
          <w:p>
            <w:pPr>
              <w:pStyle w:val="TableParagraph"/>
              <w:spacing w:before="47"/>
              <w:ind w:left="97"/>
              <w:rPr>
                <w:sz w:val="15"/>
              </w:rPr>
            </w:pPr>
            <w:r>
              <w:rPr>
                <w:color w:val="231F20"/>
                <w:spacing w:val="-2"/>
                <w:sz w:val="15"/>
              </w:rPr>
              <w:t>Palmar</w:t>
            </w:r>
            <w:r>
              <w:rPr>
                <w:color w:val="231F20"/>
                <w:spacing w:val="-6"/>
                <w:sz w:val="15"/>
              </w:rPr>
              <w:t> </w:t>
            </w:r>
            <w:r>
              <w:rPr>
                <w:color w:val="231F20"/>
                <w:spacing w:val="-2"/>
                <w:sz w:val="15"/>
              </w:rPr>
              <w:t>grasp</w:t>
            </w:r>
          </w:p>
        </w:tc>
        <w:tc>
          <w:tcPr>
            <w:tcW w:w="2863" w:type="dxa"/>
            <w:tcBorders>
              <w:top w:val="single" w:sz="4" w:space="0" w:color="231F20"/>
              <w:bottom w:val="single" w:sz="4" w:space="0" w:color="FFFFFF"/>
            </w:tcBorders>
            <w:shd w:val="clear" w:color="auto" w:fill="E8F5F1"/>
          </w:tcPr>
          <w:p>
            <w:pPr>
              <w:pStyle w:val="TableParagraph"/>
              <w:spacing w:before="47"/>
              <w:ind w:left="1006"/>
              <w:rPr>
                <w:sz w:val="15"/>
              </w:rPr>
            </w:pPr>
            <w:r>
              <w:rPr>
                <w:color w:val="231F20"/>
                <w:sz w:val="15"/>
              </w:rPr>
              <w:t>28</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2628" w:type="dxa"/>
            <w:tcBorders>
              <w:top w:val="single" w:sz="4" w:space="0" w:color="231F20"/>
              <w:bottom w:val="single" w:sz="4" w:space="0" w:color="FFFFFF"/>
            </w:tcBorders>
            <w:shd w:val="clear" w:color="auto" w:fill="E8F5F1"/>
          </w:tcPr>
          <w:p>
            <w:pPr>
              <w:pStyle w:val="TableParagraph"/>
              <w:spacing w:before="47"/>
              <w:ind w:left="603"/>
              <w:rPr>
                <w:sz w:val="15"/>
              </w:rPr>
            </w:pPr>
            <w:r>
              <w:rPr>
                <w:color w:val="231F20"/>
                <w:sz w:val="15"/>
              </w:rPr>
              <w:t>32</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3121" w:type="dxa"/>
            <w:tcBorders>
              <w:top w:val="single" w:sz="4" w:space="0" w:color="231F20"/>
              <w:bottom w:val="single" w:sz="4" w:space="0" w:color="FFFFFF"/>
            </w:tcBorders>
            <w:shd w:val="clear" w:color="auto" w:fill="E8F5F1"/>
          </w:tcPr>
          <w:p>
            <w:pPr>
              <w:pStyle w:val="TableParagraph"/>
              <w:spacing w:before="47"/>
              <w:ind w:left="603"/>
              <w:rPr>
                <w:sz w:val="15"/>
              </w:rPr>
            </w:pPr>
            <w:r>
              <w:rPr>
                <w:color w:val="231F20"/>
                <w:sz w:val="15"/>
              </w:rPr>
              <w:t>2-3</w:t>
            </w:r>
            <w:r>
              <w:rPr>
                <w:color w:val="231F20"/>
                <w:spacing w:val="1"/>
                <w:sz w:val="15"/>
              </w:rPr>
              <w:t> </w:t>
            </w:r>
            <w:r>
              <w:rPr>
                <w:color w:val="231F20"/>
                <w:sz w:val="15"/>
              </w:rPr>
              <w:t>mo</w:t>
            </w:r>
            <w:r>
              <w:rPr>
                <w:color w:val="231F20"/>
                <w:spacing w:val="2"/>
                <w:sz w:val="15"/>
              </w:rPr>
              <w:t> </w:t>
            </w:r>
            <w:r>
              <w:rPr>
                <w:color w:val="231F20"/>
                <w:spacing w:val="-2"/>
                <w:sz w:val="15"/>
              </w:rPr>
              <w:t>postnatal</w:t>
            </w:r>
          </w:p>
        </w:tc>
      </w:tr>
      <w:tr>
        <w:trPr>
          <w:trHeight w:val="252" w:hRule="atLeast"/>
        </w:trPr>
        <w:tc>
          <w:tcPr>
            <w:tcW w:w="1171" w:type="dxa"/>
            <w:tcBorders>
              <w:top w:val="single" w:sz="4" w:space="0" w:color="FFFFFF"/>
              <w:bottom w:val="single" w:sz="4" w:space="0" w:color="FFFFFF"/>
            </w:tcBorders>
            <w:shd w:val="clear" w:color="auto" w:fill="E8F5F1"/>
          </w:tcPr>
          <w:p>
            <w:pPr>
              <w:pStyle w:val="TableParagraph"/>
              <w:spacing w:before="42"/>
              <w:ind w:left="97"/>
              <w:rPr>
                <w:sz w:val="15"/>
              </w:rPr>
            </w:pPr>
            <w:r>
              <w:rPr>
                <w:color w:val="231F20"/>
                <w:spacing w:val="-2"/>
                <w:w w:val="105"/>
                <w:sz w:val="15"/>
              </w:rPr>
              <w:t>Rooting</w:t>
            </w:r>
          </w:p>
        </w:tc>
        <w:tc>
          <w:tcPr>
            <w:tcW w:w="2863" w:type="dxa"/>
            <w:tcBorders>
              <w:top w:val="single" w:sz="4" w:space="0" w:color="FFFFFF"/>
              <w:bottom w:val="single" w:sz="4" w:space="0" w:color="FFFFFF"/>
            </w:tcBorders>
            <w:shd w:val="clear" w:color="auto" w:fill="E8F5F1"/>
          </w:tcPr>
          <w:p>
            <w:pPr>
              <w:pStyle w:val="TableParagraph"/>
              <w:spacing w:before="42"/>
              <w:ind w:left="1006"/>
              <w:rPr>
                <w:sz w:val="15"/>
              </w:rPr>
            </w:pPr>
            <w:r>
              <w:rPr>
                <w:color w:val="231F20"/>
                <w:sz w:val="15"/>
              </w:rPr>
              <w:t>32</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2628" w:type="dxa"/>
            <w:tcBorders>
              <w:top w:val="single" w:sz="4" w:space="0" w:color="FFFFFF"/>
              <w:bottom w:val="single" w:sz="4" w:space="0" w:color="FFFFFF"/>
            </w:tcBorders>
            <w:shd w:val="clear" w:color="auto" w:fill="E8F5F1"/>
          </w:tcPr>
          <w:p>
            <w:pPr>
              <w:pStyle w:val="TableParagraph"/>
              <w:spacing w:before="42"/>
              <w:ind w:left="603"/>
              <w:rPr>
                <w:sz w:val="15"/>
              </w:rPr>
            </w:pPr>
            <w:r>
              <w:rPr>
                <w:color w:val="231F20"/>
                <w:sz w:val="15"/>
              </w:rPr>
              <w:t>36</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3121" w:type="dxa"/>
            <w:tcBorders>
              <w:top w:val="single" w:sz="4" w:space="0" w:color="FFFFFF"/>
              <w:bottom w:val="single" w:sz="4" w:space="0" w:color="FFFFFF"/>
            </w:tcBorders>
            <w:shd w:val="clear" w:color="auto" w:fill="E8F5F1"/>
          </w:tcPr>
          <w:p>
            <w:pPr>
              <w:pStyle w:val="TableParagraph"/>
              <w:spacing w:before="42"/>
              <w:ind w:left="603"/>
              <w:rPr>
                <w:sz w:val="15"/>
              </w:rPr>
            </w:pPr>
            <w:r>
              <w:rPr>
                <w:color w:val="231F20"/>
                <w:sz w:val="15"/>
              </w:rPr>
              <w:t>Less</w:t>
            </w:r>
            <w:r>
              <w:rPr>
                <w:color w:val="231F20"/>
                <w:spacing w:val="-4"/>
                <w:sz w:val="15"/>
              </w:rPr>
              <w:t> </w:t>
            </w:r>
            <w:r>
              <w:rPr>
                <w:color w:val="231F20"/>
                <w:sz w:val="15"/>
              </w:rPr>
              <w:t>prominent</w:t>
            </w:r>
            <w:r>
              <w:rPr>
                <w:color w:val="231F20"/>
                <w:spacing w:val="-4"/>
                <w:sz w:val="15"/>
              </w:rPr>
              <w:t> </w:t>
            </w:r>
            <w:r>
              <w:rPr>
                <w:color w:val="231F20"/>
                <w:sz w:val="15"/>
              </w:rPr>
              <w:t>after</w:t>
            </w:r>
            <w:r>
              <w:rPr>
                <w:color w:val="231F20"/>
                <w:spacing w:val="-3"/>
                <w:sz w:val="15"/>
              </w:rPr>
              <w:t> </w:t>
            </w:r>
            <w:r>
              <w:rPr>
                <w:color w:val="231F20"/>
                <w:sz w:val="15"/>
              </w:rPr>
              <w:t>1</w:t>
            </w:r>
            <w:r>
              <w:rPr>
                <w:color w:val="231F20"/>
                <w:spacing w:val="-4"/>
                <w:sz w:val="15"/>
              </w:rPr>
              <w:t> </w:t>
            </w:r>
            <w:r>
              <w:rPr>
                <w:color w:val="231F20"/>
                <w:sz w:val="15"/>
              </w:rPr>
              <w:t>mo</w:t>
            </w:r>
            <w:r>
              <w:rPr>
                <w:color w:val="231F20"/>
                <w:spacing w:val="-3"/>
                <w:sz w:val="15"/>
              </w:rPr>
              <w:t> </w:t>
            </w:r>
            <w:r>
              <w:rPr>
                <w:color w:val="231F20"/>
                <w:spacing w:val="-2"/>
                <w:sz w:val="15"/>
              </w:rPr>
              <w:t>postnatal</w:t>
            </w:r>
          </w:p>
        </w:tc>
      </w:tr>
      <w:tr>
        <w:trPr>
          <w:trHeight w:val="252" w:hRule="atLeast"/>
        </w:trPr>
        <w:tc>
          <w:tcPr>
            <w:tcW w:w="1171" w:type="dxa"/>
            <w:tcBorders>
              <w:top w:val="single" w:sz="4" w:space="0" w:color="FFFFFF"/>
              <w:bottom w:val="single" w:sz="4" w:space="0" w:color="FFFFFF"/>
            </w:tcBorders>
            <w:shd w:val="clear" w:color="auto" w:fill="E8F5F1"/>
          </w:tcPr>
          <w:p>
            <w:pPr>
              <w:pStyle w:val="TableParagraph"/>
              <w:spacing w:before="42"/>
              <w:ind w:left="97"/>
              <w:rPr>
                <w:sz w:val="15"/>
              </w:rPr>
            </w:pPr>
            <w:r>
              <w:rPr>
                <w:color w:val="231F20"/>
                <w:spacing w:val="-4"/>
                <w:w w:val="110"/>
                <w:sz w:val="15"/>
              </w:rPr>
              <w:t>Moro</w:t>
            </w:r>
          </w:p>
        </w:tc>
        <w:tc>
          <w:tcPr>
            <w:tcW w:w="2863" w:type="dxa"/>
            <w:tcBorders>
              <w:top w:val="single" w:sz="4" w:space="0" w:color="FFFFFF"/>
              <w:bottom w:val="single" w:sz="4" w:space="0" w:color="FFFFFF"/>
            </w:tcBorders>
            <w:shd w:val="clear" w:color="auto" w:fill="E8F5F1"/>
          </w:tcPr>
          <w:p>
            <w:pPr>
              <w:pStyle w:val="TableParagraph"/>
              <w:spacing w:before="42"/>
              <w:ind w:left="1006"/>
              <w:rPr>
                <w:sz w:val="15"/>
              </w:rPr>
            </w:pPr>
            <w:r>
              <w:rPr>
                <w:color w:val="231F20"/>
                <w:sz w:val="15"/>
              </w:rPr>
              <w:t>28-32</w:t>
            </w:r>
            <w:r>
              <w:rPr>
                <w:color w:val="231F20"/>
                <w:spacing w:val="-11"/>
                <w:sz w:val="15"/>
              </w:rPr>
              <w:t> </w:t>
            </w:r>
            <w:r>
              <w:rPr>
                <w:color w:val="231F20"/>
                <w:sz w:val="15"/>
              </w:rPr>
              <w:t>wk</w:t>
            </w:r>
            <w:r>
              <w:rPr>
                <w:color w:val="231F20"/>
                <w:spacing w:val="-10"/>
                <w:sz w:val="15"/>
              </w:rPr>
              <w:t> </w:t>
            </w:r>
            <w:r>
              <w:rPr>
                <w:color w:val="231F20"/>
                <w:spacing w:val="-2"/>
                <w:sz w:val="15"/>
              </w:rPr>
              <w:t>gestation</w:t>
            </w:r>
          </w:p>
        </w:tc>
        <w:tc>
          <w:tcPr>
            <w:tcW w:w="2628" w:type="dxa"/>
            <w:tcBorders>
              <w:top w:val="single" w:sz="4" w:space="0" w:color="FFFFFF"/>
              <w:bottom w:val="single" w:sz="4" w:space="0" w:color="FFFFFF"/>
            </w:tcBorders>
            <w:shd w:val="clear" w:color="auto" w:fill="E8F5F1"/>
          </w:tcPr>
          <w:p>
            <w:pPr>
              <w:pStyle w:val="TableParagraph"/>
              <w:spacing w:before="42"/>
              <w:ind w:left="603"/>
              <w:rPr>
                <w:sz w:val="15"/>
              </w:rPr>
            </w:pPr>
            <w:r>
              <w:rPr>
                <w:color w:val="231F20"/>
                <w:sz w:val="15"/>
              </w:rPr>
              <w:t>37</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3121" w:type="dxa"/>
            <w:tcBorders>
              <w:top w:val="single" w:sz="4" w:space="0" w:color="FFFFFF"/>
              <w:bottom w:val="single" w:sz="4" w:space="0" w:color="FFFFFF"/>
            </w:tcBorders>
            <w:shd w:val="clear" w:color="auto" w:fill="E8F5F1"/>
          </w:tcPr>
          <w:p>
            <w:pPr>
              <w:pStyle w:val="TableParagraph"/>
              <w:spacing w:before="42"/>
              <w:ind w:left="603"/>
              <w:rPr>
                <w:sz w:val="15"/>
              </w:rPr>
            </w:pPr>
            <w:r>
              <w:rPr>
                <w:color w:val="231F20"/>
                <w:sz w:val="15"/>
              </w:rPr>
              <w:t>5-6</w:t>
            </w:r>
            <w:r>
              <w:rPr>
                <w:color w:val="231F20"/>
                <w:spacing w:val="1"/>
                <w:sz w:val="15"/>
              </w:rPr>
              <w:t> </w:t>
            </w:r>
            <w:r>
              <w:rPr>
                <w:color w:val="231F20"/>
                <w:sz w:val="15"/>
              </w:rPr>
              <w:t>mo</w:t>
            </w:r>
            <w:r>
              <w:rPr>
                <w:color w:val="231F20"/>
                <w:spacing w:val="2"/>
                <w:sz w:val="15"/>
              </w:rPr>
              <w:t> </w:t>
            </w:r>
            <w:r>
              <w:rPr>
                <w:color w:val="231F20"/>
                <w:spacing w:val="-2"/>
                <w:sz w:val="15"/>
              </w:rPr>
              <w:t>postnatal</w:t>
            </w:r>
          </w:p>
        </w:tc>
      </w:tr>
      <w:tr>
        <w:trPr>
          <w:trHeight w:val="252" w:hRule="atLeast"/>
        </w:trPr>
        <w:tc>
          <w:tcPr>
            <w:tcW w:w="1171" w:type="dxa"/>
            <w:tcBorders>
              <w:top w:val="single" w:sz="4" w:space="0" w:color="FFFFFF"/>
              <w:bottom w:val="single" w:sz="4" w:space="0" w:color="FFFFFF"/>
            </w:tcBorders>
            <w:shd w:val="clear" w:color="auto" w:fill="E8F5F1"/>
          </w:tcPr>
          <w:p>
            <w:pPr>
              <w:pStyle w:val="TableParagraph"/>
              <w:spacing w:before="42"/>
              <w:ind w:left="97"/>
              <w:rPr>
                <w:sz w:val="15"/>
              </w:rPr>
            </w:pPr>
            <w:r>
              <w:rPr>
                <w:color w:val="231F20"/>
                <w:sz w:val="15"/>
              </w:rPr>
              <w:t>Tonic</w:t>
            </w:r>
            <w:r>
              <w:rPr>
                <w:color w:val="231F20"/>
                <w:spacing w:val="-3"/>
                <w:sz w:val="15"/>
              </w:rPr>
              <w:t> </w:t>
            </w:r>
            <w:r>
              <w:rPr>
                <w:color w:val="231F20"/>
                <w:spacing w:val="-4"/>
                <w:sz w:val="15"/>
              </w:rPr>
              <w:t>neck</w:t>
            </w:r>
          </w:p>
        </w:tc>
        <w:tc>
          <w:tcPr>
            <w:tcW w:w="2863" w:type="dxa"/>
            <w:tcBorders>
              <w:top w:val="single" w:sz="4" w:space="0" w:color="FFFFFF"/>
              <w:bottom w:val="single" w:sz="4" w:space="0" w:color="FFFFFF"/>
            </w:tcBorders>
            <w:shd w:val="clear" w:color="auto" w:fill="E8F5F1"/>
          </w:tcPr>
          <w:p>
            <w:pPr>
              <w:pStyle w:val="TableParagraph"/>
              <w:spacing w:before="42"/>
              <w:ind w:left="1006"/>
              <w:rPr>
                <w:sz w:val="15"/>
              </w:rPr>
            </w:pPr>
            <w:r>
              <w:rPr>
                <w:color w:val="231F20"/>
                <w:sz w:val="15"/>
              </w:rPr>
              <w:t>35</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2628" w:type="dxa"/>
            <w:tcBorders>
              <w:top w:val="single" w:sz="4" w:space="0" w:color="FFFFFF"/>
              <w:bottom w:val="single" w:sz="4" w:space="0" w:color="FFFFFF"/>
            </w:tcBorders>
            <w:shd w:val="clear" w:color="auto" w:fill="E8F5F1"/>
          </w:tcPr>
          <w:p>
            <w:pPr>
              <w:pStyle w:val="TableParagraph"/>
              <w:spacing w:before="42"/>
              <w:ind w:left="603"/>
              <w:rPr>
                <w:sz w:val="15"/>
              </w:rPr>
            </w:pPr>
            <w:r>
              <w:rPr>
                <w:color w:val="231F20"/>
                <w:sz w:val="15"/>
              </w:rPr>
              <w:t>1</w:t>
            </w:r>
            <w:r>
              <w:rPr>
                <w:color w:val="231F20"/>
                <w:spacing w:val="5"/>
                <w:sz w:val="15"/>
              </w:rPr>
              <w:t> </w:t>
            </w:r>
            <w:r>
              <w:rPr>
                <w:color w:val="231F20"/>
                <w:sz w:val="15"/>
              </w:rPr>
              <w:t>mo</w:t>
            </w:r>
            <w:r>
              <w:rPr>
                <w:color w:val="231F20"/>
                <w:spacing w:val="5"/>
                <w:sz w:val="15"/>
              </w:rPr>
              <w:t> </w:t>
            </w:r>
            <w:r>
              <w:rPr>
                <w:color w:val="231F20"/>
                <w:spacing w:val="-2"/>
                <w:sz w:val="15"/>
              </w:rPr>
              <w:t>postnatal</w:t>
            </w:r>
          </w:p>
        </w:tc>
        <w:tc>
          <w:tcPr>
            <w:tcW w:w="3121" w:type="dxa"/>
            <w:tcBorders>
              <w:top w:val="single" w:sz="4" w:space="0" w:color="FFFFFF"/>
              <w:bottom w:val="single" w:sz="4" w:space="0" w:color="FFFFFF"/>
            </w:tcBorders>
            <w:shd w:val="clear" w:color="auto" w:fill="E8F5F1"/>
          </w:tcPr>
          <w:p>
            <w:pPr>
              <w:pStyle w:val="TableParagraph"/>
              <w:spacing w:before="42"/>
              <w:ind w:left="603"/>
              <w:rPr>
                <w:sz w:val="15"/>
              </w:rPr>
            </w:pPr>
            <w:r>
              <w:rPr>
                <w:color w:val="231F20"/>
                <w:sz w:val="15"/>
              </w:rPr>
              <w:t>6-7</w:t>
            </w:r>
            <w:r>
              <w:rPr>
                <w:color w:val="231F20"/>
                <w:spacing w:val="1"/>
                <w:sz w:val="15"/>
              </w:rPr>
              <w:t> </w:t>
            </w:r>
            <w:r>
              <w:rPr>
                <w:color w:val="231F20"/>
                <w:sz w:val="15"/>
              </w:rPr>
              <w:t>mo</w:t>
            </w:r>
            <w:r>
              <w:rPr>
                <w:color w:val="231F20"/>
                <w:spacing w:val="2"/>
                <w:sz w:val="15"/>
              </w:rPr>
              <w:t> </w:t>
            </w:r>
            <w:r>
              <w:rPr>
                <w:color w:val="231F20"/>
                <w:spacing w:val="-2"/>
                <w:sz w:val="15"/>
              </w:rPr>
              <w:t>postnatal</w:t>
            </w:r>
          </w:p>
        </w:tc>
      </w:tr>
      <w:tr>
        <w:trPr>
          <w:trHeight w:val="247" w:hRule="atLeast"/>
        </w:trPr>
        <w:tc>
          <w:tcPr>
            <w:tcW w:w="1171" w:type="dxa"/>
            <w:tcBorders>
              <w:top w:val="single" w:sz="4" w:space="0" w:color="FFFFFF"/>
              <w:bottom w:val="single" w:sz="8" w:space="0" w:color="231F20"/>
            </w:tcBorders>
            <w:shd w:val="clear" w:color="auto" w:fill="E8F5F1"/>
          </w:tcPr>
          <w:p>
            <w:pPr>
              <w:pStyle w:val="TableParagraph"/>
              <w:spacing w:before="42"/>
              <w:ind w:left="97"/>
              <w:rPr>
                <w:sz w:val="15"/>
              </w:rPr>
            </w:pPr>
            <w:r>
              <w:rPr>
                <w:color w:val="231F20"/>
                <w:spacing w:val="-2"/>
                <w:sz w:val="15"/>
              </w:rPr>
              <w:t>Parachute</w:t>
            </w:r>
          </w:p>
        </w:tc>
        <w:tc>
          <w:tcPr>
            <w:tcW w:w="2863" w:type="dxa"/>
            <w:tcBorders>
              <w:top w:val="single" w:sz="4" w:space="0" w:color="FFFFFF"/>
              <w:bottom w:val="single" w:sz="8" w:space="0" w:color="231F20"/>
            </w:tcBorders>
            <w:shd w:val="clear" w:color="auto" w:fill="E8F5F1"/>
          </w:tcPr>
          <w:p>
            <w:pPr>
              <w:pStyle w:val="TableParagraph"/>
              <w:spacing w:before="42"/>
              <w:ind w:left="1006"/>
              <w:rPr>
                <w:sz w:val="15"/>
              </w:rPr>
            </w:pPr>
            <w:r>
              <w:rPr>
                <w:color w:val="231F20"/>
                <w:sz w:val="15"/>
              </w:rPr>
              <w:t>7-8</w:t>
            </w:r>
            <w:r>
              <w:rPr>
                <w:color w:val="231F20"/>
                <w:spacing w:val="1"/>
                <w:sz w:val="15"/>
              </w:rPr>
              <w:t> </w:t>
            </w:r>
            <w:r>
              <w:rPr>
                <w:color w:val="231F20"/>
                <w:sz w:val="15"/>
              </w:rPr>
              <w:t>mo</w:t>
            </w:r>
            <w:r>
              <w:rPr>
                <w:color w:val="231F20"/>
                <w:spacing w:val="2"/>
                <w:sz w:val="15"/>
              </w:rPr>
              <w:t> </w:t>
            </w:r>
            <w:r>
              <w:rPr>
                <w:color w:val="231F20"/>
                <w:spacing w:val="-2"/>
                <w:sz w:val="15"/>
              </w:rPr>
              <w:t>postnatal</w:t>
            </w:r>
          </w:p>
        </w:tc>
        <w:tc>
          <w:tcPr>
            <w:tcW w:w="2628" w:type="dxa"/>
            <w:tcBorders>
              <w:top w:val="single" w:sz="4" w:space="0" w:color="FFFFFF"/>
              <w:bottom w:val="single" w:sz="8" w:space="0" w:color="231F20"/>
            </w:tcBorders>
            <w:shd w:val="clear" w:color="auto" w:fill="E8F5F1"/>
          </w:tcPr>
          <w:p>
            <w:pPr>
              <w:pStyle w:val="TableParagraph"/>
              <w:spacing w:before="42"/>
              <w:ind w:left="603"/>
              <w:rPr>
                <w:sz w:val="15"/>
              </w:rPr>
            </w:pPr>
            <w:r>
              <w:rPr>
                <w:color w:val="231F20"/>
                <w:sz w:val="15"/>
              </w:rPr>
              <w:t>10-11 mo</w:t>
            </w:r>
            <w:r>
              <w:rPr>
                <w:color w:val="231F20"/>
                <w:spacing w:val="1"/>
                <w:sz w:val="15"/>
              </w:rPr>
              <w:t> </w:t>
            </w:r>
            <w:r>
              <w:rPr>
                <w:color w:val="231F20"/>
                <w:spacing w:val="-2"/>
                <w:sz w:val="15"/>
              </w:rPr>
              <w:t>postnatal</w:t>
            </w:r>
          </w:p>
        </w:tc>
        <w:tc>
          <w:tcPr>
            <w:tcW w:w="3121" w:type="dxa"/>
            <w:tcBorders>
              <w:top w:val="single" w:sz="4" w:space="0" w:color="FFFFFF"/>
              <w:bottom w:val="single" w:sz="8" w:space="0" w:color="231F20"/>
            </w:tcBorders>
            <w:shd w:val="clear" w:color="auto" w:fill="E8F5F1"/>
          </w:tcPr>
          <w:p>
            <w:pPr>
              <w:pStyle w:val="TableParagraph"/>
              <w:spacing w:before="42"/>
              <w:ind w:left="603"/>
              <w:rPr>
                <w:sz w:val="15"/>
              </w:rPr>
            </w:pPr>
            <w:r>
              <w:rPr>
                <w:color w:val="231F20"/>
                <w:sz w:val="15"/>
              </w:rPr>
              <w:t>Remains</w:t>
            </w:r>
            <w:r>
              <w:rPr>
                <w:color w:val="231F20"/>
                <w:spacing w:val="4"/>
                <w:sz w:val="15"/>
              </w:rPr>
              <w:t> </w:t>
            </w:r>
            <w:r>
              <w:rPr>
                <w:color w:val="231F20"/>
                <w:sz w:val="15"/>
              </w:rPr>
              <w:t>throughout</w:t>
            </w:r>
            <w:r>
              <w:rPr>
                <w:color w:val="231F20"/>
                <w:spacing w:val="5"/>
                <w:sz w:val="15"/>
              </w:rPr>
              <w:t> </w:t>
            </w:r>
            <w:r>
              <w:rPr>
                <w:color w:val="231F20"/>
                <w:spacing w:val="-4"/>
                <w:sz w:val="15"/>
              </w:rPr>
              <w:t>life</w:t>
            </w:r>
          </w:p>
        </w:tc>
      </w:tr>
    </w:tbl>
    <w:p>
      <w:pPr>
        <w:pStyle w:val="BodyText"/>
        <w:spacing w:before="123"/>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2864"/>
        <w:gridCol w:w="2629"/>
        <w:gridCol w:w="3102"/>
      </w:tblGrid>
      <w:tr>
        <w:trPr>
          <w:trHeight w:val="373" w:hRule="atLeast"/>
        </w:trPr>
        <w:tc>
          <w:tcPr>
            <w:tcW w:w="1192" w:type="dxa"/>
            <w:tcBorders>
              <w:right w:val="single" w:sz="8" w:space="0" w:color="FFFFFF"/>
            </w:tcBorders>
            <w:shd w:val="clear" w:color="auto" w:fill="231F20"/>
          </w:tcPr>
          <w:p>
            <w:pPr>
              <w:pStyle w:val="TableParagraph"/>
              <w:spacing w:before="89"/>
              <w:ind w:left="155"/>
              <w:rPr>
                <w:b/>
                <w:sz w:val="16"/>
              </w:rPr>
            </w:pPr>
            <w:r>
              <w:rPr>
                <w:b/>
                <w:color w:val="FFFFFF"/>
                <w:w w:val="105"/>
                <w:sz w:val="16"/>
              </w:rPr>
              <w:t>Table</w:t>
            </w:r>
            <w:r>
              <w:rPr>
                <w:b/>
                <w:color w:val="FFFFFF"/>
                <w:spacing w:val="-3"/>
                <w:w w:val="105"/>
                <w:sz w:val="16"/>
              </w:rPr>
              <w:t> </w:t>
            </w:r>
            <w:r>
              <w:rPr>
                <w:b/>
                <w:color w:val="FFFFFF"/>
                <w:w w:val="105"/>
                <w:sz w:val="16"/>
              </w:rPr>
              <w:t>590-</w:t>
            </w:r>
            <w:r>
              <w:rPr>
                <w:b/>
                <w:color w:val="FFFFFF"/>
                <w:spacing w:val="-10"/>
                <w:w w:val="105"/>
                <w:sz w:val="16"/>
              </w:rPr>
              <w:t>2</w:t>
            </w:r>
          </w:p>
        </w:tc>
        <w:tc>
          <w:tcPr>
            <w:tcW w:w="8595"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Timing</w:t>
            </w:r>
            <w:r>
              <w:rPr>
                <w:color w:val="FFFFFF"/>
                <w:spacing w:val="-1"/>
                <w:w w:val="105"/>
                <w:sz w:val="16"/>
              </w:rPr>
              <w:t> </w:t>
            </w:r>
            <w:r>
              <w:rPr>
                <w:color w:val="FFFFFF"/>
                <w:w w:val="105"/>
                <w:sz w:val="16"/>
              </w:rPr>
              <w:t>of</w:t>
            </w:r>
            <w:r>
              <w:rPr>
                <w:color w:val="FFFFFF"/>
                <w:spacing w:val="-1"/>
                <w:w w:val="105"/>
                <w:sz w:val="16"/>
              </w:rPr>
              <w:t> </w:t>
            </w:r>
            <w:r>
              <w:rPr>
                <w:color w:val="FFFFFF"/>
                <w:w w:val="105"/>
                <w:sz w:val="16"/>
              </w:rPr>
              <w:t>Selected</w:t>
            </w:r>
            <w:r>
              <w:rPr>
                <w:color w:val="FFFFFF"/>
                <w:spacing w:val="-1"/>
                <w:w w:val="105"/>
                <w:sz w:val="16"/>
              </w:rPr>
              <w:t> </w:t>
            </w:r>
            <w:r>
              <w:rPr>
                <w:color w:val="FFFFFF"/>
                <w:w w:val="105"/>
                <w:sz w:val="16"/>
              </w:rPr>
              <w:t>Primitive</w:t>
            </w:r>
            <w:r>
              <w:rPr>
                <w:color w:val="FFFFFF"/>
                <w:spacing w:val="-1"/>
                <w:w w:val="105"/>
                <w:sz w:val="16"/>
              </w:rPr>
              <w:t> </w:t>
            </w:r>
            <w:r>
              <w:rPr>
                <w:color w:val="FFFFFF"/>
                <w:spacing w:val="-2"/>
                <w:w w:val="105"/>
                <w:sz w:val="16"/>
              </w:rPr>
              <w:t>Reflexes</w:t>
            </w:r>
          </w:p>
        </w:tc>
      </w:tr>
      <w:tr>
        <w:trPr>
          <w:trHeight w:val="257" w:hRule="atLeast"/>
        </w:trPr>
        <w:tc>
          <w:tcPr>
            <w:tcW w:w="1192" w:type="dxa"/>
            <w:tcBorders>
              <w:bottom w:val="single" w:sz="4" w:space="0" w:color="231F20"/>
            </w:tcBorders>
            <w:shd w:val="clear" w:color="auto" w:fill="E8F5F1"/>
          </w:tcPr>
          <w:p>
            <w:pPr>
              <w:pStyle w:val="TableParagraph"/>
              <w:spacing w:before="47"/>
              <w:ind w:left="118"/>
              <w:rPr>
                <w:b/>
                <w:sz w:val="15"/>
              </w:rPr>
            </w:pPr>
            <w:r>
              <w:rPr>
                <w:b/>
                <w:color w:val="231F20"/>
                <w:spacing w:val="-2"/>
                <w:w w:val="105"/>
                <w:sz w:val="15"/>
              </w:rPr>
              <w:t>REFLEX</w:t>
            </w:r>
          </w:p>
        </w:tc>
        <w:tc>
          <w:tcPr>
            <w:tcW w:w="2864" w:type="dxa"/>
            <w:tcBorders>
              <w:bottom w:val="single" w:sz="4" w:space="0" w:color="231F20"/>
            </w:tcBorders>
            <w:shd w:val="clear" w:color="auto" w:fill="E8F5F1"/>
          </w:tcPr>
          <w:p>
            <w:pPr>
              <w:pStyle w:val="TableParagraph"/>
              <w:spacing w:before="47"/>
              <w:ind w:left="401"/>
              <w:jc w:val="center"/>
              <w:rPr>
                <w:b/>
                <w:sz w:val="15"/>
              </w:rPr>
            </w:pPr>
            <w:r>
              <w:rPr>
                <w:b/>
                <w:color w:val="231F20"/>
                <w:spacing w:val="-2"/>
                <w:w w:val="110"/>
                <w:sz w:val="15"/>
              </w:rPr>
              <w:t>ONSET</w:t>
            </w:r>
          </w:p>
        </w:tc>
        <w:tc>
          <w:tcPr>
            <w:tcW w:w="2629" w:type="dxa"/>
            <w:tcBorders>
              <w:bottom w:val="single" w:sz="4" w:space="0" w:color="231F20"/>
            </w:tcBorders>
            <w:shd w:val="clear" w:color="auto" w:fill="E8F5F1"/>
          </w:tcPr>
          <w:p>
            <w:pPr>
              <w:pStyle w:val="TableParagraph"/>
              <w:spacing w:before="47"/>
              <w:ind w:left="602"/>
              <w:rPr>
                <w:b/>
                <w:sz w:val="15"/>
              </w:rPr>
            </w:pPr>
            <w:r>
              <w:rPr>
                <w:b/>
                <w:color w:val="231F20"/>
                <w:w w:val="105"/>
                <w:sz w:val="15"/>
              </w:rPr>
              <w:t>FULLY</w:t>
            </w:r>
            <w:r>
              <w:rPr>
                <w:b/>
                <w:color w:val="231F20"/>
                <w:spacing w:val="-9"/>
                <w:w w:val="105"/>
                <w:sz w:val="15"/>
              </w:rPr>
              <w:t> </w:t>
            </w:r>
            <w:r>
              <w:rPr>
                <w:b/>
                <w:color w:val="231F20"/>
                <w:spacing w:val="-2"/>
                <w:w w:val="110"/>
                <w:sz w:val="15"/>
              </w:rPr>
              <w:t>DEVELOPED</w:t>
            </w:r>
          </w:p>
        </w:tc>
        <w:tc>
          <w:tcPr>
            <w:tcW w:w="3102" w:type="dxa"/>
            <w:tcBorders>
              <w:bottom w:val="single" w:sz="4" w:space="0" w:color="231F20"/>
            </w:tcBorders>
            <w:shd w:val="clear" w:color="auto" w:fill="E8F5F1"/>
          </w:tcPr>
          <w:p>
            <w:pPr>
              <w:pStyle w:val="TableParagraph"/>
              <w:spacing w:before="47"/>
              <w:ind w:left="1409"/>
              <w:rPr>
                <w:b/>
                <w:sz w:val="15"/>
              </w:rPr>
            </w:pPr>
            <w:r>
              <w:rPr>
                <w:b/>
                <w:color w:val="231F20"/>
                <w:spacing w:val="-2"/>
                <w:w w:val="110"/>
                <w:sz w:val="15"/>
              </w:rPr>
              <w:t>DURATION</w:t>
            </w:r>
          </w:p>
        </w:tc>
      </w:tr>
      <w:tr>
        <w:trPr>
          <w:trHeight w:val="257" w:hRule="atLeast"/>
        </w:trPr>
        <w:tc>
          <w:tcPr>
            <w:tcW w:w="1192" w:type="dxa"/>
            <w:tcBorders>
              <w:top w:val="single" w:sz="4" w:space="0" w:color="231F20"/>
              <w:bottom w:val="single" w:sz="4" w:space="0" w:color="FFFFFF"/>
            </w:tcBorders>
            <w:shd w:val="clear" w:color="auto" w:fill="E8F5F1"/>
          </w:tcPr>
          <w:p>
            <w:pPr>
              <w:pStyle w:val="TableParagraph"/>
              <w:spacing w:before="47"/>
              <w:ind w:left="118"/>
              <w:rPr>
                <w:sz w:val="15"/>
              </w:rPr>
            </w:pPr>
            <w:r>
              <w:rPr>
                <w:color w:val="231F20"/>
                <w:spacing w:val="-2"/>
                <w:sz w:val="15"/>
              </w:rPr>
              <w:t>Palmar</w:t>
            </w:r>
            <w:r>
              <w:rPr>
                <w:color w:val="231F20"/>
                <w:spacing w:val="-6"/>
                <w:sz w:val="15"/>
              </w:rPr>
              <w:t> </w:t>
            </w:r>
            <w:r>
              <w:rPr>
                <w:color w:val="231F20"/>
                <w:spacing w:val="-2"/>
                <w:sz w:val="15"/>
              </w:rPr>
              <w:t>grasp</w:t>
            </w:r>
          </w:p>
        </w:tc>
        <w:tc>
          <w:tcPr>
            <w:tcW w:w="2864" w:type="dxa"/>
            <w:tcBorders>
              <w:top w:val="single" w:sz="4" w:space="0" w:color="231F20"/>
              <w:bottom w:val="single" w:sz="4" w:space="0" w:color="FFFFFF"/>
            </w:tcBorders>
            <w:shd w:val="clear" w:color="auto" w:fill="E8F5F1"/>
          </w:tcPr>
          <w:p>
            <w:pPr>
              <w:pStyle w:val="TableParagraph"/>
              <w:spacing w:before="47"/>
              <w:ind w:left="1006"/>
              <w:rPr>
                <w:sz w:val="15"/>
              </w:rPr>
            </w:pPr>
            <w:r>
              <w:rPr>
                <w:color w:val="231F20"/>
                <w:sz w:val="15"/>
              </w:rPr>
              <w:t>28</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2629" w:type="dxa"/>
            <w:tcBorders>
              <w:top w:val="single" w:sz="4" w:space="0" w:color="231F20"/>
              <w:bottom w:val="single" w:sz="4" w:space="0" w:color="FFFFFF"/>
            </w:tcBorders>
            <w:shd w:val="clear" w:color="auto" w:fill="E8F5F1"/>
          </w:tcPr>
          <w:p>
            <w:pPr>
              <w:pStyle w:val="TableParagraph"/>
              <w:spacing w:before="47"/>
              <w:ind w:left="602"/>
              <w:rPr>
                <w:sz w:val="15"/>
              </w:rPr>
            </w:pPr>
            <w:r>
              <w:rPr>
                <w:color w:val="231F20"/>
                <w:sz w:val="15"/>
              </w:rPr>
              <w:t>32</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3102" w:type="dxa"/>
            <w:tcBorders>
              <w:top w:val="single" w:sz="4" w:space="0" w:color="231F20"/>
              <w:bottom w:val="single" w:sz="4" w:space="0" w:color="FFFFFF"/>
            </w:tcBorders>
            <w:shd w:val="clear" w:color="auto" w:fill="E8F5F1"/>
          </w:tcPr>
          <w:p>
            <w:pPr>
              <w:pStyle w:val="TableParagraph"/>
              <w:spacing w:before="47"/>
              <w:ind w:left="601"/>
              <w:rPr>
                <w:sz w:val="15"/>
              </w:rPr>
            </w:pPr>
            <w:r>
              <w:rPr>
                <w:color w:val="231F20"/>
                <w:sz w:val="15"/>
              </w:rPr>
              <w:t>2-3</w:t>
            </w:r>
            <w:r>
              <w:rPr>
                <w:color w:val="231F20"/>
                <w:spacing w:val="1"/>
                <w:sz w:val="15"/>
              </w:rPr>
              <w:t> </w:t>
            </w:r>
            <w:r>
              <w:rPr>
                <w:color w:val="231F20"/>
                <w:sz w:val="15"/>
              </w:rPr>
              <w:t>mo</w:t>
            </w:r>
            <w:r>
              <w:rPr>
                <w:color w:val="231F20"/>
                <w:spacing w:val="2"/>
                <w:sz w:val="15"/>
              </w:rPr>
              <w:t> </w:t>
            </w:r>
            <w:r>
              <w:rPr>
                <w:color w:val="231F20"/>
                <w:spacing w:val="-2"/>
                <w:sz w:val="15"/>
              </w:rPr>
              <w:t>postnatal</w:t>
            </w:r>
          </w:p>
        </w:tc>
      </w:tr>
      <w:tr>
        <w:trPr>
          <w:trHeight w:val="252" w:hRule="atLeast"/>
        </w:trPr>
        <w:tc>
          <w:tcPr>
            <w:tcW w:w="1192" w:type="dxa"/>
            <w:tcBorders>
              <w:top w:val="single" w:sz="4" w:space="0" w:color="FFFFFF"/>
              <w:bottom w:val="single" w:sz="4" w:space="0" w:color="FFFFFF"/>
            </w:tcBorders>
            <w:shd w:val="clear" w:color="auto" w:fill="E8F5F1"/>
          </w:tcPr>
          <w:p>
            <w:pPr>
              <w:pStyle w:val="TableParagraph"/>
              <w:spacing w:before="42"/>
              <w:ind w:left="118"/>
              <w:rPr>
                <w:sz w:val="15"/>
              </w:rPr>
            </w:pPr>
            <w:r>
              <w:rPr>
                <w:color w:val="231F20"/>
                <w:spacing w:val="-2"/>
                <w:w w:val="105"/>
                <w:sz w:val="15"/>
              </w:rPr>
              <w:t>Rooting</w:t>
            </w:r>
          </w:p>
        </w:tc>
        <w:tc>
          <w:tcPr>
            <w:tcW w:w="2864" w:type="dxa"/>
            <w:tcBorders>
              <w:top w:val="single" w:sz="4" w:space="0" w:color="FFFFFF"/>
              <w:bottom w:val="single" w:sz="4" w:space="0" w:color="FFFFFF"/>
            </w:tcBorders>
            <w:shd w:val="clear" w:color="auto" w:fill="E8F5F1"/>
          </w:tcPr>
          <w:p>
            <w:pPr>
              <w:pStyle w:val="TableParagraph"/>
              <w:spacing w:before="42"/>
              <w:ind w:left="1006"/>
              <w:rPr>
                <w:sz w:val="15"/>
              </w:rPr>
            </w:pPr>
            <w:r>
              <w:rPr>
                <w:color w:val="231F20"/>
                <w:sz w:val="15"/>
              </w:rPr>
              <w:t>32</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2629" w:type="dxa"/>
            <w:tcBorders>
              <w:top w:val="single" w:sz="4" w:space="0" w:color="FFFFFF"/>
              <w:bottom w:val="single" w:sz="4" w:space="0" w:color="FFFFFF"/>
            </w:tcBorders>
            <w:shd w:val="clear" w:color="auto" w:fill="E8F5F1"/>
          </w:tcPr>
          <w:p>
            <w:pPr>
              <w:pStyle w:val="TableParagraph"/>
              <w:spacing w:before="42"/>
              <w:ind w:left="602"/>
              <w:rPr>
                <w:sz w:val="15"/>
              </w:rPr>
            </w:pPr>
            <w:r>
              <w:rPr>
                <w:color w:val="231F20"/>
                <w:sz w:val="15"/>
              </w:rPr>
              <w:t>36</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3102" w:type="dxa"/>
            <w:tcBorders>
              <w:top w:val="single" w:sz="4" w:space="0" w:color="FFFFFF"/>
              <w:bottom w:val="single" w:sz="4" w:space="0" w:color="FFFFFF"/>
            </w:tcBorders>
            <w:shd w:val="clear" w:color="auto" w:fill="E8F5F1"/>
          </w:tcPr>
          <w:p>
            <w:pPr>
              <w:pStyle w:val="TableParagraph"/>
              <w:spacing w:before="42"/>
              <w:ind w:left="601"/>
              <w:rPr>
                <w:sz w:val="15"/>
              </w:rPr>
            </w:pPr>
            <w:r>
              <w:rPr>
                <w:color w:val="231F20"/>
                <w:sz w:val="15"/>
              </w:rPr>
              <w:t>Less</w:t>
            </w:r>
            <w:r>
              <w:rPr>
                <w:color w:val="231F20"/>
                <w:spacing w:val="-4"/>
                <w:sz w:val="15"/>
              </w:rPr>
              <w:t> </w:t>
            </w:r>
            <w:r>
              <w:rPr>
                <w:color w:val="231F20"/>
                <w:sz w:val="15"/>
              </w:rPr>
              <w:t>prominent</w:t>
            </w:r>
            <w:r>
              <w:rPr>
                <w:color w:val="231F20"/>
                <w:spacing w:val="-4"/>
                <w:sz w:val="15"/>
              </w:rPr>
              <w:t> </w:t>
            </w:r>
            <w:r>
              <w:rPr>
                <w:color w:val="231F20"/>
                <w:sz w:val="15"/>
              </w:rPr>
              <w:t>after</w:t>
            </w:r>
            <w:r>
              <w:rPr>
                <w:color w:val="231F20"/>
                <w:spacing w:val="-3"/>
                <w:sz w:val="15"/>
              </w:rPr>
              <w:t> </w:t>
            </w:r>
            <w:r>
              <w:rPr>
                <w:color w:val="231F20"/>
                <w:sz w:val="15"/>
              </w:rPr>
              <w:t>1</w:t>
            </w:r>
            <w:r>
              <w:rPr>
                <w:color w:val="231F20"/>
                <w:spacing w:val="-4"/>
                <w:sz w:val="15"/>
              </w:rPr>
              <w:t> </w:t>
            </w:r>
            <w:r>
              <w:rPr>
                <w:color w:val="231F20"/>
                <w:sz w:val="15"/>
              </w:rPr>
              <w:t>mo</w:t>
            </w:r>
            <w:r>
              <w:rPr>
                <w:color w:val="231F20"/>
                <w:spacing w:val="-3"/>
                <w:sz w:val="15"/>
              </w:rPr>
              <w:t> </w:t>
            </w:r>
            <w:r>
              <w:rPr>
                <w:color w:val="231F20"/>
                <w:spacing w:val="-2"/>
                <w:sz w:val="15"/>
              </w:rPr>
              <w:t>postnatal</w:t>
            </w:r>
          </w:p>
        </w:tc>
      </w:tr>
      <w:tr>
        <w:trPr>
          <w:trHeight w:val="252" w:hRule="atLeast"/>
        </w:trPr>
        <w:tc>
          <w:tcPr>
            <w:tcW w:w="1192" w:type="dxa"/>
            <w:tcBorders>
              <w:top w:val="single" w:sz="4" w:space="0" w:color="FFFFFF"/>
              <w:bottom w:val="single" w:sz="4" w:space="0" w:color="FFFFFF"/>
            </w:tcBorders>
            <w:shd w:val="clear" w:color="auto" w:fill="E8F5F1"/>
          </w:tcPr>
          <w:p>
            <w:pPr>
              <w:pStyle w:val="TableParagraph"/>
              <w:spacing w:before="42"/>
              <w:ind w:left="118"/>
              <w:rPr>
                <w:sz w:val="15"/>
              </w:rPr>
            </w:pPr>
            <w:r>
              <w:rPr>
                <w:color w:val="231F20"/>
                <w:spacing w:val="-4"/>
                <w:w w:val="110"/>
                <w:sz w:val="15"/>
              </w:rPr>
              <w:t>Moro</w:t>
            </w:r>
          </w:p>
        </w:tc>
        <w:tc>
          <w:tcPr>
            <w:tcW w:w="2864" w:type="dxa"/>
            <w:tcBorders>
              <w:top w:val="single" w:sz="4" w:space="0" w:color="FFFFFF"/>
              <w:bottom w:val="single" w:sz="4" w:space="0" w:color="FFFFFF"/>
            </w:tcBorders>
            <w:shd w:val="clear" w:color="auto" w:fill="E8F5F1"/>
          </w:tcPr>
          <w:p>
            <w:pPr>
              <w:pStyle w:val="TableParagraph"/>
              <w:spacing w:before="42"/>
              <w:ind w:left="1006"/>
              <w:rPr>
                <w:sz w:val="15"/>
              </w:rPr>
            </w:pPr>
            <w:r>
              <w:rPr>
                <w:color w:val="231F20"/>
                <w:sz w:val="15"/>
              </w:rPr>
              <w:t>28-32</w:t>
            </w:r>
            <w:r>
              <w:rPr>
                <w:color w:val="231F20"/>
                <w:spacing w:val="-11"/>
                <w:sz w:val="15"/>
              </w:rPr>
              <w:t> </w:t>
            </w:r>
            <w:r>
              <w:rPr>
                <w:color w:val="231F20"/>
                <w:sz w:val="15"/>
              </w:rPr>
              <w:t>wk</w:t>
            </w:r>
            <w:r>
              <w:rPr>
                <w:color w:val="231F20"/>
                <w:spacing w:val="-10"/>
                <w:sz w:val="15"/>
              </w:rPr>
              <w:t> </w:t>
            </w:r>
            <w:r>
              <w:rPr>
                <w:color w:val="231F20"/>
                <w:spacing w:val="-2"/>
                <w:sz w:val="15"/>
              </w:rPr>
              <w:t>gestation</w:t>
            </w:r>
          </w:p>
        </w:tc>
        <w:tc>
          <w:tcPr>
            <w:tcW w:w="2629" w:type="dxa"/>
            <w:tcBorders>
              <w:top w:val="single" w:sz="4" w:space="0" w:color="FFFFFF"/>
              <w:bottom w:val="single" w:sz="4" w:space="0" w:color="FFFFFF"/>
            </w:tcBorders>
            <w:shd w:val="clear" w:color="auto" w:fill="E8F5F1"/>
          </w:tcPr>
          <w:p>
            <w:pPr>
              <w:pStyle w:val="TableParagraph"/>
              <w:spacing w:before="42"/>
              <w:ind w:left="602"/>
              <w:rPr>
                <w:sz w:val="15"/>
              </w:rPr>
            </w:pPr>
            <w:r>
              <w:rPr>
                <w:color w:val="231F20"/>
                <w:sz w:val="15"/>
              </w:rPr>
              <w:t>37</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3102" w:type="dxa"/>
            <w:tcBorders>
              <w:top w:val="single" w:sz="4" w:space="0" w:color="FFFFFF"/>
              <w:bottom w:val="single" w:sz="4" w:space="0" w:color="FFFFFF"/>
            </w:tcBorders>
            <w:shd w:val="clear" w:color="auto" w:fill="E8F5F1"/>
          </w:tcPr>
          <w:p>
            <w:pPr>
              <w:pStyle w:val="TableParagraph"/>
              <w:spacing w:before="42"/>
              <w:ind w:left="601"/>
              <w:rPr>
                <w:sz w:val="15"/>
              </w:rPr>
            </w:pPr>
            <w:r>
              <w:rPr>
                <w:color w:val="231F20"/>
                <w:sz w:val="15"/>
              </w:rPr>
              <w:t>5-6</w:t>
            </w:r>
            <w:r>
              <w:rPr>
                <w:color w:val="231F20"/>
                <w:spacing w:val="1"/>
                <w:sz w:val="15"/>
              </w:rPr>
              <w:t> </w:t>
            </w:r>
            <w:r>
              <w:rPr>
                <w:color w:val="231F20"/>
                <w:sz w:val="15"/>
              </w:rPr>
              <w:t>mo</w:t>
            </w:r>
            <w:r>
              <w:rPr>
                <w:color w:val="231F20"/>
                <w:spacing w:val="2"/>
                <w:sz w:val="15"/>
              </w:rPr>
              <w:t> </w:t>
            </w:r>
            <w:r>
              <w:rPr>
                <w:color w:val="231F20"/>
                <w:spacing w:val="-2"/>
                <w:sz w:val="15"/>
              </w:rPr>
              <w:t>postnatal</w:t>
            </w:r>
          </w:p>
        </w:tc>
      </w:tr>
      <w:tr>
        <w:trPr>
          <w:trHeight w:val="252" w:hRule="atLeast"/>
        </w:trPr>
        <w:tc>
          <w:tcPr>
            <w:tcW w:w="1192" w:type="dxa"/>
            <w:tcBorders>
              <w:top w:val="single" w:sz="4" w:space="0" w:color="FFFFFF"/>
              <w:bottom w:val="single" w:sz="4" w:space="0" w:color="FFFFFF"/>
            </w:tcBorders>
            <w:shd w:val="clear" w:color="auto" w:fill="E8F5F1"/>
          </w:tcPr>
          <w:p>
            <w:pPr>
              <w:pStyle w:val="TableParagraph"/>
              <w:spacing w:before="42"/>
              <w:ind w:left="118"/>
              <w:rPr>
                <w:sz w:val="15"/>
              </w:rPr>
            </w:pPr>
            <w:r>
              <w:rPr>
                <w:color w:val="231F20"/>
                <w:sz w:val="15"/>
              </w:rPr>
              <w:t>Tonic</w:t>
            </w:r>
            <w:r>
              <w:rPr>
                <w:color w:val="231F20"/>
                <w:spacing w:val="-3"/>
                <w:sz w:val="15"/>
              </w:rPr>
              <w:t> </w:t>
            </w:r>
            <w:r>
              <w:rPr>
                <w:color w:val="231F20"/>
                <w:spacing w:val="-4"/>
                <w:sz w:val="15"/>
              </w:rPr>
              <w:t>neck</w:t>
            </w:r>
          </w:p>
        </w:tc>
        <w:tc>
          <w:tcPr>
            <w:tcW w:w="2864" w:type="dxa"/>
            <w:tcBorders>
              <w:top w:val="single" w:sz="4" w:space="0" w:color="FFFFFF"/>
              <w:bottom w:val="single" w:sz="4" w:space="0" w:color="FFFFFF"/>
            </w:tcBorders>
            <w:shd w:val="clear" w:color="auto" w:fill="E8F5F1"/>
          </w:tcPr>
          <w:p>
            <w:pPr>
              <w:pStyle w:val="TableParagraph"/>
              <w:spacing w:before="42"/>
              <w:ind w:left="1006"/>
              <w:rPr>
                <w:sz w:val="15"/>
              </w:rPr>
            </w:pPr>
            <w:r>
              <w:rPr>
                <w:color w:val="231F20"/>
                <w:sz w:val="15"/>
              </w:rPr>
              <w:t>35</w:t>
            </w:r>
            <w:r>
              <w:rPr>
                <w:color w:val="231F20"/>
                <w:spacing w:val="-7"/>
                <w:sz w:val="15"/>
              </w:rPr>
              <w:t> </w:t>
            </w:r>
            <w:r>
              <w:rPr>
                <w:color w:val="231F20"/>
                <w:sz w:val="15"/>
              </w:rPr>
              <w:t>wk</w:t>
            </w:r>
            <w:r>
              <w:rPr>
                <w:color w:val="231F20"/>
                <w:spacing w:val="-6"/>
                <w:sz w:val="15"/>
              </w:rPr>
              <w:t> </w:t>
            </w:r>
            <w:r>
              <w:rPr>
                <w:color w:val="231F20"/>
                <w:spacing w:val="-2"/>
                <w:sz w:val="15"/>
              </w:rPr>
              <w:t>gestation</w:t>
            </w:r>
          </w:p>
        </w:tc>
        <w:tc>
          <w:tcPr>
            <w:tcW w:w="2629" w:type="dxa"/>
            <w:tcBorders>
              <w:top w:val="single" w:sz="4" w:space="0" w:color="FFFFFF"/>
              <w:bottom w:val="single" w:sz="4" w:space="0" w:color="FFFFFF"/>
            </w:tcBorders>
            <w:shd w:val="clear" w:color="auto" w:fill="E8F5F1"/>
          </w:tcPr>
          <w:p>
            <w:pPr>
              <w:pStyle w:val="TableParagraph"/>
              <w:spacing w:before="42"/>
              <w:ind w:left="602"/>
              <w:rPr>
                <w:sz w:val="15"/>
              </w:rPr>
            </w:pPr>
            <w:r>
              <w:rPr>
                <w:color w:val="231F20"/>
                <w:sz w:val="15"/>
              </w:rPr>
              <w:t>1</w:t>
            </w:r>
            <w:r>
              <w:rPr>
                <w:color w:val="231F20"/>
                <w:spacing w:val="5"/>
                <w:sz w:val="15"/>
              </w:rPr>
              <w:t> </w:t>
            </w:r>
            <w:r>
              <w:rPr>
                <w:color w:val="231F20"/>
                <w:sz w:val="15"/>
              </w:rPr>
              <w:t>mo</w:t>
            </w:r>
            <w:r>
              <w:rPr>
                <w:color w:val="231F20"/>
                <w:spacing w:val="5"/>
                <w:sz w:val="15"/>
              </w:rPr>
              <w:t> </w:t>
            </w:r>
            <w:r>
              <w:rPr>
                <w:color w:val="231F20"/>
                <w:spacing w:val="-2"/>
                <w:sz w:val="15"/>
              </w:rPr>
              <w:t>postnatal</w:t>
            </w:r>
          </w:p>
        </w:tc>
        <w:tc>
          <w:tcPr>
            <w:tcW w:w="3102" w:type="dxa"/>
            <w:tcBorders>
              <w:top w:val="single" w:sz="4" w:space="0" w:color="FFFFFF"/>
              <w:bottom w:val="single" w:sz="4" w:space="0" w:color="FFFFFF"/>
            </w:tcBorders>
            <w:shd w:val="clear" w:color="auto" w:fill="E8F5F1"/>
          </w:tcPr>
          <w:p>
            <w:pPr>
              <w:pStyle w:val="TableParagraph"/>
              <w:spacing w:before="42"/>
              <w:ind w:left="601"/>
              <w:rPr>
                <w:sz w:val="15"/>
              </w:rPr>
            </w:pPr>
            <w:r>
              <w:rPr>
                <w:color w:val="231F20"/>
                <w:sz w:val="15"/>
              </w:rPr>
              <w:t>6-7</w:t>
            </w:r>
            <w:r>
              <w:rPr>
                <w:color w:val="231F20"/>
                <w:spacing w:val="1"/>
                <w:sz w:val="15"/>
              </w:rPr>
              <w:t> </w:t>
            </w:r>
            <w:r>
              <w:rPr>
                <w:color w:val="231F20"/>
                <w:sz w:val="15"/>
              </w:rPr>
              <w:t>mo</w:t>
            </w:r>
            <w:r>
              <w:rPr>
                <w:color w:val="231F20"/>
                <w:spacing w:val="2"/>
                <w:sz w:val="15"/>
              </w:rPr>
              <w:t> </w:t>
            </w:r>
            <w:r>
              <w:rPr>
                <w:color w:val="231F20"/>
                <w:spacing w:val="-2"/>
                <w:sz w:val="15"/>
              </w:rPr>
              <w:t>postnatal</w:t>
            </w:r>
          </w:p>
        </w:tc>
      </w:tr>
      <w:tr>
        <w:trPr>
          <w:trHeight w:val="247" w:hRule="atLeast"/>
        </w:trPr>
        <w:tc>
          <w:tcPr>
            <w:tcW w:w="1192" w:type="dxa"/>
            <w:tcBorders>
              <w:top w:val="single" w:sz="4" w:space="0" w:color="FFFFFF"/>
              <w:bottom w:val="single" w:sz="8" w:space="0" w:color="231F20"/>
            </w:tcBorders>
            <w:shd w:val="clear" w:color="auto" w:fill="E8F5F1"/>
          </w:tcPr>
          <w:p>
            <w:pPr>
              <w:pStyle w:val="TableParagraph"/>
              <w:spacing w:before="42"/>
              <w:ind w:left="118"/>
              <w:rPr>
                <w:sz w:val="15"/>
              </w:rPr>
            </w:pPr>
            <w:r>
              <w:rPr>
                <w:color w:val="231F20"/>
                <w:spacing w:val="-2"/>
                <w:sz w:val="15"/>
              </w:rPr>
              <w:t>Parachute</w:t>
            </w:r>
          </w:p>
        </w:tc>
        <w:tc>
          <w:tcPr>
            <w:tcW w:w="2864" w:type="dxa"/>
            <w:tcBorders>
              <w:top w:val="single" w:sz="4" w:space="0" w:color="FFFFFF"/>
              <w:bottom w:val="single" w:sz="8" w:space="0" w:color="231F20"/>
            </w:tcBorders>
            <w:shd w:val="clear" w:color="auto" w:fill="E8F5F1"/>
          </w:tcPr>
          <w:p>
            <w:pPr>
              <w:pStyle w:val="TableParagraph"/>
              <w:spacing w:before="42"/>
              <w:ind w:left="1006"/>
              <w:rPr>
                <w:sz w:val="15"/>
              </w:rPr>
            </w:pPr>
            <w:r>
              <w:rPr>
                <w:color w:val="231F20"/>
                <w:sz w:val="15"/>
              </w:rPr>
              <w:t>7-8</w:t>
            </w:r>
            <w:r>
              <w:rPr>
                <w:color w:val="231F20"/>
                <w:spacing w:val="1"/>
                <w:sz w:val="15"/>
              </w:rPr>
              <w:t> </w:t>
            </w:r>
            <w:r>
              <w:rPr>
                <w:color w:val="231F20"/>
                <w:sz w:val="15"/>
              </w:rPr>
              <w:t>mo</w:t>
            </w:r>
            <w:r>
              <w:rPr>
                <w:color w:val="231F20"/>
                <w:spacing w:val="2"/>
                <w:sz w:val="15"/>
              </w:rPr>
              <w:t> </w:t>
            </w:r>
            <w:r>
              <w:rPr>
                <w:color w:val="231F20"/>
                <w:spacing w:val="-2"/>
                <w:sz w:val="15"/>
              </w:rPr>
              <w:t>postnatal</w:t>
            </w:r>
          </w:p>
        </w:tc>
        <w:tc>
          <w:tcPr>
            <w:tcW w:w="2629" w:type="dxa"/>
            <w:tcBorders>
              <w:top w:val="single" w:sz="4" w:space="0" w:color="FFFFFF"/>
              <w:bottom w:val="single" w:sz="8" w:space="0" w:color="231F20"/>
            </w:tcBorders>
            <w:shd w:val="clear" w:color="auto" w:fill="E8F5F1"/>
          </w:tcPr>
          <w:p>
            <w:pPr>
              <w:pStyle w:val="TableParagraph"/>
              <w:spacing w:before="42"/>
              <w:ind w:left="602"/>
              <w:rPr>
                <w:sz w:val="15"/>
              </w:rPr>
            </w:pPr>
            <w:r>
              <w:rPr>
                <w:color w:val="231F20"/>
                <w:sz w:val="15"/>
              </w:rPr>
              <w:t>10-11 mo</w:t>
            </w:r>
            <w:r>
              <w:rPr>
                <w:color w:val="231F20"/>
                <w:spacing w:val="1"/>
                <w:sz w:val="15"/>
              </w:rPr>
              <w:t> </w:t>
            </w:r>
            <w:r>
              <w:rPr>
                <w:color w:val="231F20"/>
                <w:spacing w:val="-2"/>
                <w:sz w:val="15"/>
              </w:rPr>
              <w:t>postnatal</w:t>
            </w:r>
          </w:p>
        </w:tc>
        <w:tc>
          <w:tcPr>
            <w:tcW w:w="3102" w:type="dxa"/>
            <w:tcBorders>
              <w:top w:val="single" w:sz="4" w:space="0" w:color="FFFFFF"/>
              <w:bottom w:val="single" w:sz="8" w:space="0" w:color="231F20"/>
            </w:tcBorders>
            <w:shd w:val="clear" w:color="auto" w:fill="E8F5F1"/>
          </w:tcPr>
          <w:p>
            <w:pPr>
              <w:pStyle w:val="TableParagraph"/>
              <w:spacing w:before="42"/>
              <w:ind w:left="601"/>
              <w:rPr>
                <w:sz w:val="15"/>
              </w:rPr>
            </w:pPr>
            <w:r>
              <w:rPr>
                <w:color w:val="231F20"/>
                <w:sz w:val="15"/>
              </w:rPr>
              <w:t>Remains</w:t>
            </w:r>
            <w:r>
              <w:rPr>
                <w:color w:val="231F20"/>
                <w:spacing w:val="4"/>
                <w:sz w:val="15"/>
              </w:rPr>
              <w:t> </w:t>
            </w:r>
            <w:r>
              <w:rPr>
                <w:color w:val="231F20"/>
                <w:sz w:val="15"/>
              </w:rPr>
              <w:t>throughout</w:t>
            </w:r>
            <w:r>
              <w:rPr>
                <w:color w:val="231F20"/>
                <w:spacing w:val="5"/>
                <w:sz w:val="15"/>
              </w:rPr>
              <w:t> </w:t>
            </w:r>
            <w:r>
              <w:rPr>
                <w:color w:val="231F20"/>
                <w:spacing w:val="-4"/>
                <w:sz w:val="15"/>
              </w:rPr>
              <w:t>life</w:t>
            </w:r>
          </w:p>
        </w:tc>
      </w:tr>
    </w:tbl>
    <w:p>
      <w:pPr>
        <w:pStyle w:val="TableParagraph"/>
        <w:spacing w:after="0"/>
        <w:rPr>
          <w:sz w:val="15"/>
        </w:rPr>
        <w:sectPr>
          <w:pgSz w:w="11900" w:h="16840"/>
          <w:pgMar w:header="452" w:footer="0" w:top="720" w:bottom="280" w:left="425" w:right="566"/>
        </w:sectPr>
      </w:pPr>
    </w:p>
    <w:p>
      <w:pPr>
        <w:pStyle w:val="BodyText"/>
        <w:rPr>
          <w:i/>
          <w:sz w:val="92"/>
        </w:rPr>
      </w:pPr>
    </w:p>
    <w:p>
      <w:pPr>
        <w:pStyle w:val="BodyText"/>
        <w:rPr>
          <w:i/>
          <w:sz w:val="92"/>
        </w:rPr>
      </w:pPr>
    </w:p>
    <w:p>
      <w:pPr>
        <w:pStyle w:val="BodyText"/>
        <w:rPr>
          <w:i/>
          <w:sz w:val="92"/>
        </w:rPr>
      </w:pPr>
    </w:p>
    <w:p>
      <w:pPr>
        <w:pStyle w:val="BodyText"/>
        <w:spacing w:before="287"/>
        <w:rPr>
          <w:i/>
          <w:sz w:val="92"/>
        </w:rPr>
      </w:pPr>
    </w:p>
    <w:p>
      <w:pPr>
        <w:pStyle w:val="Heading1"/>
        <w:ind w:left="1017" w:right="1072"/>
      </w:pPr>
      <w:r>
        <w:rPr>
          <w:w w:val="120"/>
        </w:rPr>
        <w:t>The</w:t>
      </w:r>
      <w:r>
        <w:rPr>
          <w:spacing w:val="54"/>
          <w:w w:val="120"/>
        </w:rPr>
        <w:t> </w:t>
      </w:r>
      <w:r>
        <w:rPr>
          <w:w w:val="120"/>
        </w:rPr>
        <w:t>nervous</w:t>
      </w:r>
      <w:r>
        <w:rPr>
          <w:spacing w:val="55"/>
          <w:w w:val="120"/>
        </w:rPr>
        <w:t> </w:t>
      </w:r>
      <w:r>
        <w:rPr>
          <w:spacing w:val="-2"/>
          <w:w w:val="120"/>
        </w:rPr>
        <w:t>System</w:t>
      </w:r>
    </w:p>
    <w:p>
      <w:pPr>
        <w:pStyle w:val="Heading1"/>
        <w:spacing w:after="0"/>
        <w:sectPr>
          <w:headerReference w:type="default" r:id="rId8"/>
          <w:pgSz w:w="11900" w:h="16840"/>
          <w:pgMar w:header="0" w:footer="0" w:top="1940" w:bottom="280" w:left="425" w:right="566"/>
        </w:sectPr>
      </w:pPr>
    </w:p>
    <w:p>
      <w:pPr>
        <w:pStyle w:val="BodyText"/>
        <w:rPr>
          <w:rFonts w:ascii="Gabriola"/>
          <w:sz w:val="20"/>
        </w:rPr>
      </w:pPr>
    </w:p>
    <w:p>
      <w:pPr>
        <w:pStyle w:val="BodyText"/>
        <w:spacing w:before="236"/>
        <w:rPr>
          <w:rFonts w:ascii="Gabriola"/>
          <w:sz w:val="20"/>
        </w:rPr>
      </w:pPr>
    </w:p>
    <w:p>
      <w:pPr>
        <w:pStyle w:val="BodyText"/>
        <w:spacing w:line="268" w:lineRule="exact"/>
        <w:ind w:left="710"/>
        <w:rPr>
          <w:rFonts w:ascii="Gabriola"/>
          <w:position w:val="-4"/>
          <w:sz w:val="20"/>
        </w:rPr>
      </w:pPr>
      <w:r>
        <w:rPr>
          <w:rFonts w:ascii="Gabriola"/>
          <w:position w:val="-4"/>
          <w:sz w:val="20"/>
        </w:rPr>
        <mc:AlternateContent>
          <mc:Choice Requires="wps">
            <w:drawing>
              <wp:inline distT="0" distB="0" distL="0" distR="0">
                <wp:extent cx="6185535" cy="170815"/>
                <wp:effectExtent l="76200" t="0" r="5714" b="635"/>
                <wp:docPr id="196" name="Group 196"/>
                <wp:cNvGraphicFramePr>
                  <a:graphicFrameLocks/>
                </wp:cNvGraphicFramePr>
                <a:graphic>
                  <a:graphicData uri="http://schemas.microsoft.com/office/word/2010/wordprocessingGroup">
                    <wpg:wgp>
                      <wpg:cNvPr id="196" name="Group 196"/>
                      <wpg:cNvGrpSpPr/>
                      <wpg:grpSpPr>
                        <a:xfrm>
                          <a:off x="0" y="0"/>
                          <a:ext cx="6185535" cy="170815"/>
                          <a:chExt cx="6185535" cy="170815"/>
                        </a:xfrm>
                      </wpg:grpSpPr>
                      <wps:wsp>
                        <wps:cNvPr id="197" name="Graphic 197"/>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198" name="Graphic 198"/>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199" name="Textbox 199"/>
                        <wps:cNvSpPr txBox="1"/>
                        <wps:spPr>
                          <a:xfrm>
                            <a:off x="0" y="0"/>
                            <a:ext cx="6185535" cy="170815"/>
                          </a:xfrm>
                          <a:prstGeom prst="rect">
                            <a:avLst/>
                          </a:prstGeom>
                        </wps:spPr>
                        <wps:txbx>
                          <w:txbxContent>
                            <w:p>
                              <w:pPr>
                                <w:spacing w:before="6"/>
                                <w:ind w:left="5824" w:right="-15" w:firstLine="0"/>
                                <w:jc w:val="left"/>
                                <w:rPr>
                                  <w:b/>
                                  <w:sz w:val="18"/>
                                </w:rPr>
                              </w:pPr>
                              <w:r>
                                <w:rPr>
                                  <w:b/>
                                  <w:color w:val="007431"/>
                                  <w:w w:val="105"/>
                                  <w:sz w:val="18"/>
                                </w:rPr>
                                <w:t>Chapter</w:t>
                              </w:r>
                              <w:r>
                                <w:rPr>
                                  <w:b/>
                                  <w:color w:val="007431"/>
                                  <w:spacing w:val="6"/>
                                  <w:w w:val="105"/>
                                  <w:sz w:val="18"/>
                                </w:rPr>
                                <w:t> </w:t>
                              </w:r>
                              <w:r>
                                <w:rPr>
                                  <w:b/>
                                  <w:color w:val="007431"/>
                                  <w:w w:val="105"/>
                                  <w:sz w:val="18"/>
                                </w:rPr>
                                <w:t>590</w:t>
                              </w:r>
                              <w:r>
                                <w:rPr>
                                  <w:b/>
                                  <w:color w:val="007431"/>
                                  <w:spacing w:val="32"/>
                                  <w:w w:val="105"/>
                                  <w:sz w:val="18"/>
                                </w:rPr>
                                <w:t> </w:t>
                              </w:r>
                              <w:r>
                                <w:rPr>
                                  <w:rFonts w:ascii="MS Gothic" w:hAnsi="MS Gothic"/>
                                  <w:color w:val="659F6F"/>
                                  <w:w w:val="105"/>
                                  <w:sz w:val="15"/>
                                </w:rPr>
                                <w:t>◆</w:t>
                              </w:r>
                              <w:r>
                                <w:rPr>
                                  <w:rFonts w:ascii="MS Gothic" w:hAnsi="MS Gothic"/>
                                  <w:color w:val="659F6F"/>
                                  <w:spacing w:val="11"/>
                                  <w:w w:val="105"/>
                                  <w:sz w:val="15"/>
                                </w:rPr>
                                <w:t> </w:t>
                              </w:r>
                              <w:r>
                                <w:rPr>
                                  <w:color w:val="231F20"/>
                                  <w:w w:val="105"/>
                                  <w:sz w:val="18"/>
                                </w:rPr>
                                <w:t>Neurologic</w:t>
                              </w:r>
                              <w:r>
                                <w:rPr>
                                  <w:color w:val="231F20"/>
                                  <w:spacing w:val="3"/>
                                  <w:w w:val="105"/>
                                  <w:sz w:val="18"/>
                                </w:rPr>
                                <w:t> </w:t>
                              </w:r>
                              <w:r>
                                <w:rPr>
                                  <w:color w:val="231F20"/>
                                  <w:w w:val="105"/>
                                  <w:sz w:val="18"/>
                                </w:rPr>
                                <w:t>Evaluation</w:t>
                              </w:r>
                              <w:r>
                                <w:rPr>
                                  <w:color w:val="231F20"/>
                                  <w:spacing w:val="32"/>
                                  <w:w w:val="105"/>
                                  <w:sz w:val="18"/>
                                </w:rPr>
                                <w:t>  </w:t>
                              </w:r>
                              <w:r>
                                <w:rPr>
                                  <w:b/>
                                  <w:color w:val="231F20"/>
                                  <w:spacing w:val="-4"/>
                                  <w:w w:val="105"/>
                                  <w:sz w:val="18"/>
                                </w:rPr>
                                <w:t>2801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56"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157" filled="false" stroked="false">
                  <v:textbox inset="0,0,0,0">
                    <w:txbxContent>
                      <w:p>
                        <w:pPr>
                          <w:spacing w:before="6"/>
                          <w:ind w:left="5824" w:right="-15" w:firstLine="0"/>
                          <w:jc w:val="left"/>
                          <w:rPr>
                            <w:b/>
                            <w:sz w:val="18"/>
                          </w:rPr>
                        </w:pPr>
                        <w:r>
                          <w:rPr>
                            <w:b/>
                            <w:color w:val="007431"/>
                            <w:w w:val="105"/>
                            <w:sz w:val="18"/>
                          </w:rPr>
                          <w:t>Chapter</w:t>
                        </w:r>
                        <w:r>
                          <w:rPr>
                            <w:b/>
                            <w:color w:val="007431"/>
                            <w:spacing w:val="6"/>
                            <w:w w:val="105"/>
                            <w:sz w:val="18"/>
                          </w:rPr>
                          <w:t> </w:t>
                        </w:r>
                        <w:r>
                          <w:rPr>
                            <w:b/>
                            <w:color w:val="007431"/>
                            <w:w w:val="105"/>
                            <w:sz w:val="18"/>
                          </w:rPr>
                          <w:t>590</w:t>
                        </w:r>
                        <w:r>
                          <w:rPr>
                            <w:b/>
                            <w:color w:val="007431"/>
                            <w:spacing w:val="32"/>
                            <w:w w:val="105"/>
                            <w:sz w:val="18"/>
                          </w:rPr>
                          <w:t> </w:t>
                        </w:r>
                        <w:r>
                          <w:rPr>
                            <w:rFonts w:ascii="MS Gothic" w:hAnsi="MS Gothic"/>
                            <w:color w:val="659F6F"/>
                            <w:w w:val="105"/>
                            <w:sz w:val="15"/>
                          </w:rPr>
                          <w:t>◆</w:t>
                        </w:r>
                        <w:r>
                          <w:rPr>
                            <w:rFonts w:ascii="MS Gothic" w:hAnsi="MS Gothic"/>
                            <w:color w:val="659F6F"/>
                            <w:spacing w:val="11"/>
                            <w:w w:val="105"/>
                            <w:sz w:val="15"/>
                          </w:rPr>
                          <w:t> </w:t>
                        </w:r>
                        <w:r>
                          <w:rPr>
                            <w:color w:val="231F20"/>
                            <w:w w:val="105"/>
                            <w:sz w:val="18"/>
                          </w:rPr>
                          <w:t>Neurologic</w:t>
                        </w:r>
                        <w:r>
                          <w:rPr>
                            <w:color w:val="231F20"/>
                            <w:spacing w:val="3"/>
                            <w:w w:val="105"/>
                            <w:sz w:val="18"/>
                          </w:rPr>
                          <w:t> </w:t>
                        </w:r>
                        <w:r>
                          <w:rPr>
                            <w:color w:val="231F20"/>
                            <w:w w:val="105"/>
                            <w:sz w:val="18"/>
                          </w:rPr>
                          <w:t>Evaluation</w:t>
                        </w:r>
                        <w:r>
                          <w:rPr>
                            <w:color w:val="231F20"/>
                            <w:spacing w:val="32"/>
                            <w:w w:val="105"/>
                            <w:sz w:val="18"/>
                          </w:rPr>
                          <w:t>  </w:t>
                        </w:r>
                        <w:r>
                          <w:rPr>
                            <w:b/>
                            <w:color w:val="231F20"/>
                            <w:spacing w:val="-4"/>
                            <w:w w:val="105"/>
                            <w:sz w:val="18"/>
                          </w:rPr>
                          <w:t>2801</w:t>
                        </w:r>
                      </w:p>
                    </w:txbxContent>
                  </v:textbox>
                  <w10:wrap type="none"/>
                </v:shape>
              </v:group>
            </w:pict>
          </mc:Fallback>
        </mc:AlternateContent>
      </w:r>
      <w:r>
        <w:rPr>
          <w:rFonts w:ascii="Gabriola"/>
          <w:position w:val="-4"/>
          <w:sz w:val="20"/>
        </w:rPr>
      </w:r>
    </w:p>
    <w:p>
      <w:pPr>
        <w:pStyle w:val="BodyText"/>
        <w:spacing w:before="10" w:after="1"/>
        <w:rPr>
          <w:rFonts w:ascii="Gabriola"/>
          <w:sz w:val="11"/>
        </w:rPr>
      </w:pPr>
    </w:p>
    <w:tbl>
      <w:tblPr>
        <w:tblW w:w="0" w:type="auto"/>
        <w:jc w:val="left"/>
        <w:tblInd w:w="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3723"/>
        <w:gridCol w:w="4871"/>
      </w:tblGrid>
      <w:tr>
        <w:trPr>
          <w:trHeight w:val="377"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590-</w:t>
            </w:r>
            <w:r>
              <w:rPr>
                <w:b/>
                <w:color w:val="FFFFFF"/>
                <w:spacing w:val="-10"/>
                <w:w w:val="105"/>
                <w:sz w:val="16"/>
              </w:rPr>
              <w:t>3</w:t>
            </w:r>
          </w:p>
        </w:tc>
        <w:tc>
          <w:tcPr>
            <w:tcW w:w="8594" w:type="dxa"/>
            <w:gridSpan w:val="2"/>
            <w:tcBorders>
              <w:top w:val="nil"/>
              <w:bottom w:val="nil"/>
              <w:right w:val="nil"/>
            </w:tcBorders>
            <w:shd w:val="clear" w:color="auto" w:fill="231F20"/>
          </w:tcPr>
          <w:p>
            <w:pPr>
              <w:pStyle w:val="TableParagraph"/>
              <w:spacing w:before="89"/>
              <w:ind w:left="73"/>
              <w:rPr>
                <w:sz w:val="16"/>
              </w:rPr>
            </w:pPr>
            <w:r>
              <w:rPr>
                <w:color w:val="FFFFFF"/>
                <w:w w:val="105"/>
                <w:sz w:val="16"/>
              </w:rPr>
              <w:t>Preferred</w:t>
            </w:r>
            <w:r>
              <w:rPr>
                <w:color w:val="FFFFFF"/>
                <w:spacing w:val="16"/>
                <w:w w:val="105"/>
                <w:sz w:val="16"/>
              </w:rPr>
              <w:t> </w:t>
            </w:r>
            <w:r>
              <w:rPr>
                <w:color w:val="FFFFFF"/>
                <w:w w:val="105"/>
                <w:sz w:val="16"/>
              </w:rPr>
              <w:t>Imaging</w:t>
            </w:r>
            <w:r>
              <w:rPr>
                <w:color w:val="FFFFFF"/>
                <w:spacing w:val="17"/>
                <w:w w:val="105"/>
                <w:sz w:val="16"/>
              </w:rPr>
              <w:t> </w:t>
            </w:r>
            <w:r>
              <w:rPr>
                <w:color w:val="FFFFFF"/>
                <w:w w:val="105"/>
                <w:sz w:val="16"/>
              </w:rPr>
              <w:t>Procedures</w:t>
            </w:r>
            <w:r>
              <w:rPr>
                <w:color w:val="FFFFFF"/>
                <w:spacing w:val="17"/>
                <w:w w:val="105"/>
                <w:sz w:val="16"/>
              </w:rPr>
              <w:t> </w:t>
            </w:r>
            <w:r>
              <w:rPr>
                <w:color w:val="FFFFFF"/>
                <w:w w:val="105"/>
                <w:sz w:val="16"/>
              </w:rPr>
              <w:t>in</w:t>
            </w:r>
            <w:r>
              <w:rPr>
                <w:color w:val="FFFFFF"/>
                <w:spacing w:val="17"/>
                <w:w w:val="105"/>
                <w:sz w:val="16"/>
              </w:rPr>
              <w:t> </w:t>
            </w:r>
            <w:r>
              <w:rPr>
                <w:color w:val="FFFFFF"/>
                <w:w w:val="105"/>
                <w:sz w:val="16"/>
              </w:rPr>
              <w:t>Neurologic</w:t>
            </w:r>
            <w:r>
              <w:rPr>
                <w:color w:val="FFFFFF"/>
                <w:spacing w:val="17"/>
                <w:w w:val="105"/>
                <w:sz w:val="16"/>
              </w:rPr>
              <w:t> </w:t>
            </w:r>
            <w:r>
              <w:rPr>
                <w:color w:val="FFFFFF"/>
                <w:spacing w:val="-2"/>
                <w:w w:val="105"/>
                <w:sz w:val="16"/>
              </w:rPr>
              <w:t>Diseases</w:t>
            </w:r>
          </w:p>
        </w:tc>
      </w:tr>
      <w:tr>
        <w:trPr>
          <w:trHeight w:val="936" w:hRule="exact"/>
        </w:trPr>
        <w:tc>
          <w:tcPr>
            <w:tcW w:w="4871" w:type="dxa"/>
            <w:gridSpan w:val="2"/>
            <w:vMerge w:val="restart"/>
            <w:tcBorders>
              <w:top w:val="nil"/>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w w:val="115"/>
                <w:sz w:val="15"/>
              </w:rPr>
              <w:t>ISCHEMIC</w:t>
            </w:r>
            <w:r>
              <w:rPr>
                <w:color w:val="231F20"/>
                <w:spacing w:val="-13"/>
                <w:w w:val="115"/>
                <w:sz w:val="15"/>
              </w:rPr>
              <w:t> </w:t>
            </w:r>
            <w:r>
              <w:rPr>
                <w:color w:val="231F20"/>
                <w:w w:val="115"/>
                <w:sz w:val="15"/>
              </w:rPr>
              <w:t>INFARCTION</w:t>
            </w:r>
            <w:r>
              <w:rPr>
                <w:color w:val="231F20"/>
                <w:spacing w:val="-12"/>
                <w:w w:val="115"/>
                <w:sz w:val="15"/>
              </w:rPr>
              <w:t> </w:t>
            </w:r>
            <w:r>
              <w:rPr>
                <w:color w:val="231F20"/>
                <w:w w:val="115"/>
                <w:sz w:val="15"/>
              </w:rPr>
              <w:t>OR</w:t>
            </w:r>
            <w:r>
              <w:rPr>
                <w:color w:val="231F20"/>
                <w:spacing w:val="-12"/>
                <w:w w:val="115"/>
                <w:sz w:val="15"/>
              </w:rPr>
              <w:t> </w:t>
            </w:r>
            <w:r>
              <w:rPr>
                <w:color w:val="231F20"/>
                <w:w w:val="115"/>
                <w:sz w:val="15"/>
              </w:rPr>
              <w:t>TRANSIENT</w:t>
            </w:r>
            <w:r>
              <w:rPr>
                <w:color w:val="231F20"/>
                <w:spacing w:val="-13"/>
                <w:w w:val="115"/>
                <w:sz w:val="15"/>
              </w:rPr>
              <w:t> </w:t>
            </w:r>
            <w:r>
              <w:rPr>
                <w:color w:val="231F20"/>
                <w:w w:val="115"/>
                <w:sz w:val="15"/>
              </w:rPr>
              <w:t>ISCHEMIC</w:t>
            </w:r>
            <w:r>
              <w:rPr>
                <w:color w:val="231F20"/>
                <w:spacing w:val="-12"/>
                <w:w w:val="115"/>
                <w:sz w:val="15"/>
              </w:rPr>
              <w:t> </w:t>
            </w:r>
            <w:r>
              <w:rPr>
                <w:color w:val="231F20"/>
                <w:spacing w:val="-2"/>
                <w:w w:val="115"/>
                <w:sz w:val="15"/>
              </w:rPr>
              <w:t>ATTACK</w:t>
            </w:r>
          </w:p>
          <w:p>
            <w:pPr>
              <w:pStyle w:val="TableParagraph"/>
              <w:spacing w:line="230" w:lineRule="auto" w:before="4"/>
              <w:ind w:left="186" w:right="98" w:hanging="112"/>
              <w:jc w:val="both"/>
              <w:rPr>
                <w:sz w:val="15"/>
              </w:rPr>
            </w:pPr>
            <w:r>
              <w:rPr>
                <w:color w:val="231F20"/>
                <w:sz w:val="15"/>
              </w:rPr>
              <w:t>CT/CTA</w:t>
            </w:r>
            <w:r>
              <w:rPr>
                <w:color w:val="231F20"/>
                <w:spacing w:val="-5"/>
                <w:sz w:val="15"/>
              </w:rPr>
              <w:t> </w:t>
            </w:r>
            <w:r>
              <w:rPr>
                <w:color w:val="231F20"/>
                <w:sz w:val="15"/>
              </w:rPr>
              <w:t>(head</w:t>
            </w:r>
            <w:r>
              <w:rPr>
                <w:color w:val="231F20"/>
                <w:spacing w:val="-5"/>
                <w:sz w:val="15"/>
              </w:rPr>
              <w:t> </w:t>
            </w:r>
            <w:r>
              <w:rPr>
                <w:color w:val="231F20"/>
                <w:sz w:val="15"/>
              </w:rPr>
              <w:t>and</w:t>
            </w:r>
            <w:r>
              <w:rPr>
                <w:color w:val="231F20"/>
                <w:spacing w:val="-5"/>
                <w:sz w:val="15"/>
              </w:rPr>
              <w:t> </w:t>
            </w:r>
            <w:r>
              <w:rPr>
                <w:color w:val="231F20"/>
                <w:sz w:val="15"/>
              </w:rPr>
              <w:t>neck)</w:t>
            </w:r>
            <w:r>
              <w:rPr>
                <w:color w:val="231F20"/>
                <w:spacing w:val="-5"/>
                <w:sz w:val="15"/>
              </w:rPr>
              <w:t> </w:t>
            </w:r>
            <w:r>
              <w:rPr>
                <w:rFonts w:ascii="Cambria" w:hAnsi="Cambria"/>
                <w:color w:val="231F20"/>
                <w:sz w:val="15"/>
              </w:rPr>
              <w:t>± </w:t>
            </w:r>
            <w:r>
              <w:rPr>
                <w:color w:val="231F20"/>
                <w:sz w:val="15"/>
              </w:rPr>
              <w:t>CT</w:t>
            </w:r>
            <w:r>
              <w:rPr>
                <w:color w:val="231F20"/>
                <w:spacing w:val="-5"/>
                <w:sz w:val="15"/>
              </w:rPr>
              <w:t> </w:t>
            </w:r>
            <w:r>
              <w:rPr>
                <w:color w:val="231F20"/>
                <w:sz w:val="15"/>
              </w:rPr>
              <w:t>perfusion</w:t>
            </w:r>
            <w:r>
              <w:rPr>
                <w:color w:val="231F20"/>
                <w:spacing w:val="-5"/>
                <w:sz w:val="15"/>
              </w:rPr>
              <w:t> </w:t>
            </w:r>
            <w:r>
              <w:rPr>
                <w:color w:val="231F20"/>
                <w:sz w:val="15"/>
              </w:rPr>
              <w:t>for</w:t>
            </w:r>
            <w:r>
              <w:rPr>
                <w:color w:val="231F20"/>
                <w:spacing w:val="-5"/>
                <w:sz w:val="15"/>
              </w:rPr>
              <w:t> </w:t>
            </w:r>
            <w:r>
              <w:rPr>
                <w:color w:val="231F20"/>
                <w:sz w:val="15"/>
              </w:rPr>
              <w:t>patients</w:t>
            </w:r>
            <w:r>
              <w:rPr>
                <w:color w:val="231F20"/>
                <w:spacing w:val="-5"/>
                <w:sz w:val="15"/>
              </w:rPr>
              <w:t> </w:t>
            </w:r>
            <w:r>
              <w:rPr>
                <w:color w:val="231F20"/>
                <w:sz w:val="15"/>
              </w:rPr>
              <w:t>who</w:t>
            </w:r>
            <w:r>
              <w:rPr>
                <w:color w:val="231F20"/>
                <w:spacing w:val="-5"/>
                <w:sz w:val="15"/>
              </w:rPr>
              <w:t> </w:t>
            </w:r>
            <w:r>
              <w:rPr>
                <w:color w:val="231F20"/>
                <w:sz w:val="15"/>
              </w:rPr>
              <w:t>are</w:t>
            </w:r>
            <w:r>
              <w:rPr>
                <w:color w:val="231F20"/>
                <w:spacing w:val="-5"/>
                <w:sz w:val="15"/>
              </w:rPr>
              <w:t> </w:t>
            </w:r>
            <w:r>
              <w:rPr>
                <w:color w:val="231F20"/>
                <w:sz w:val="15"/>
              </w:rPr>
              <w:t>unstable or</w:t>
            </w:r>
            <w:r>
              <w:rPr>
                <w:color w:val="231F20"/>
                <w:spacing w:val="-10"/>
                <w:sz w:val="15"/>
              </w:rPr>
              <w:t> </w:t>
            </w:r>
            <w:r>
              <w:rPr>
                <w:color w:val="231F20"/>
                <w:sz w:val="15"/>
              </w:rPr>
              <w:t>are</w:t>
            </w:r>
            <w:r>
              <w:rPr>
                <w:color w:val="231F20"/>
                <w:spacing w:val="-10"/>
                <w:sz w:val="15"/>
              </w:rPr>
              <w:t> </w:t>
            </w:r>
            <w:r>
              <w:rPr>
                <w:color w:val="231F20"/>
                <w:sz w:val="15"/>
              </w:rPr>
              <w:t>potential</w:t>
            </w:r>
            <w:r>
              <w:rPr>
                <w:color w:val="231F20"/>
                <w:spacing w:val="-10"/>
                <w:sz w:val="15"/>
              </w:rPr>
              <w:t> </w:t>
            </w:r>
            <w:r>
              <w:rPr>
                <w:color w:val="231F20"/>
                <w:sz w:val="15"/>
              </w:rPr>
              <w:t>candidates</w:t>
            </w:r>
            <w:r>
              <w:rPr>
                <w:color w:val="231F20"/>
                <w:spacing w:val="-10"/>
                <w:sz w:val="15"/>
              </w:rPr>
              <w:t> </w:t>
            </w:r>
            <w:r>
              <w:rPr>
                <w:color w:val="231F20"/>
                <w:sz w:val="15"/>
              </w:rPr>
              <w:t>for</w:t>
            </w:r>
            <w:r>
              <w:rPr>
                <w:color w:val="231F20"/>
                <w:spacing w:val="-10"/>
                <w:sz w:val="15"/>
              </w:rPr>
              <w:t> </w:t>
            </w:r>
            <w:r>
              <w:rPr>
                <w:color w:val="231F20"/>
                <w:sz w:val="15"/>
              </w:rPr>
              <w:t>tissue</w:t>
            </w:r>
            <w:r>
              <w:rPr>
                <w:color w:val="231F20"/>
                <w:spacing w:val="-10"/>
                <w:sz w:val="15"/>
              </w:rPr>
              <w:t> </w:t>
            </w:r>
            <w:r>
              <w:rPr>
                <w:color w:val="231F20"/>
                <w:sz w:val="15"/>
              </w:rPr>
              <w:t>plasminogen</w:t>
            </w:r>
            <w:r>
              <w:rPr>
                <w:color w:val="231F20"/>
                <w:spacing w:val="-10"/>
                <w:sz w:val="15"/>
              </w:rPr>
              <w:t> </w:t>
            </w:r>
            <w:r>
              <w:rPr>
                <w:color w:val="231F20"/>
                <w:sz w:val="15"/>
              </w:rPr>
              <w:t>activator</w:t>
            </w:r>
            <w:r>
              <w:rPr>
                <w:color w:val="231F20"/>
                <w:spacing w:val="-10"/>
                <w:sz w:val="15"/>
              </w:rPr>
              <w:t> </w:t>
            </w:r>
            <w:r>
              <w:rPr>
                <w:color w:val="231F20"/>
                <w:sz w:val="15"/>
              </w:rPr>
              <w:t>or</w:t>
            </w:r>
            <w:r>
              <w:rPr>
                <w:color w:val="231F20"/>
                <w:spacing w:val="-10"/>
                <w:sz w:val="15"/>
              </w:rPr>
              <w:t> </w:t>
            </w:r>
            <w:r>
              <w:rPr>
                <w:color w:val="231F20"/>
                <w:sz w:val="15"/>
              </w:rPr>
              <w:t>other acute interventions</w:t>
            </w:r>
          </w:p>
          <w:p>
            <w:pPr>
              <w:pStyle w:val="TableParagraph"/>
              <w:spacing w:line="230" w:lineRule="auto" w:before="2"/>
              <w:ind w:left="186" w:right="199" w:hanging="112"/>
              <w:rPr>
                <w:sz w:val="15"/>
              </w:rPr>
            </w:pPr>
            <w:r>
              <w:rPr>
                <w:color w:val="231F20"/>
                <w:sz w:val="15"/>
              </w:rPr>
              <w:t>Otherwise,</w:t>
            </w:r>
            <w:r>
              <w:rPr>
                <w:color w:val="231F20"/>
                <w:spacing w:val="-6"/>
                <w:sz w:val="15"/>
              </w:rPr>
              <w:t> </w:t>
            </w:r>
            <w:r>
              <w:rPr>
                <w:color w:val="231F20"/>
                <w:sz w:val="15"/>
              </w:rPr>
              <w:t>MRI/MRA</w:t>
            </w:r>
            <w:r>
              <w:rPr>
                <w:color w:val="231F20"/>
                <w:spacing w:val="-6"/>
                <w:sz w:val="15"/>
              </w:rPr>
              <w:t> </w:t>
            </w:r>
            <w:r>
              <w:rPr>
                <w:color w:val="231F20"/>
                <w:sz w:val="15"/>
              </w:rPr>
              <w:t>(head</w:t>
            </w:r>
            <w:r>
              <w:rPr>
                <w:color w:val="231F20"/>
                <w:spacing w:val="-6"/>
                <w:sz w:val="15"/>
              </w:rPr>
              <w:t> </w:t>
            </w:r>
            <w:r>
              <w:rPr>
                <w:color w:val="231F20"/>
                <w:sz w:val="15"/>
              </w:rPr>
              <w:t>and</w:t>
            </w:r>
            <w:r>
              <w:rPr>
                <w:color w:val="231F20"/>
                <w:spacing w:val="-6"/>
                <w:sz w:val="15"/>
              </w:rPr>
              <w:t> </w:t>
            </w:r>
            <w:r>
              <w:rPr>
                <w:color w:val="231F20"/>
                <w:sz w:val="15"/>
              </w:rPr>
              <w:t>neck)</w:t>
            </w:r>
            <w:r>
              <w:rPr>
                <w:color w:val="231F20"/>
                <w:spacing w:val="-6"/>
                <w:sz w:val="15"/>
              </w:rPr>
              <w:t> </w:t>
            </w:r>
            <w:r>
              <w:rPr>
                <w:color w:val="231F20"/>
                <w:sz w:val="15"/>
              </w:rPr>
              <w:t>with</w:t>
            </w:r>
            <w:r>
              <w:rPr>
                <w:color w:val="231F20"/>
                <w:spacing w:val="-6"/>
                <w:sz w:val="15"/>
              </w:rPr>
              <w:t> </w:t>
            </w:r>
            <w:r>
              <w:rPr>
                <w:color w:val="231F20"/>
                <w:sz w:val="15"/>
              </w:rPr>
              <w:t>and</w:t>
            </w:r>
            <w:r>
              <w:rPr>
                <w:color w:val="231F20"/>
                <w:spacing w:val="-6"/>
                <w:sz w:val="15"/>
              </w:rPr>
              <w:t> </w:t>
            </w:r>
            <w:r>
              <w:rPr>
                <w:color w:val="231F20"/>
                <w:sz w:val="15"/>
              </w:rPr>
              <w:t>without</w:t>
            </w:r>
            <w:r>
              <w:rPr>
                <w:color w:val="231F20"/>
                <w:spacing w:val="-6"/>
                <w:sz w:val="15"/>
              </w:rPr>
              <w:t> </w:t>
            </w:r>
            <w:r>
              <w:rPr>
                <w:color w:val="231F20"/>
                <w:sz w:val="15"/>
              </w:rPr>
              <w:t>gadolinium and with diffusion-weighted images</w:t>
            </w:r>
          </w:p>
          <w:p>
            <w:pPr>
              <w:pStyle w:val="TableParagraph"/>
              <w:spacing w:line="230" w:lineRule="auto" w:before="2"/>
              <w:ind w:left="186" w:hanging="112"/>
              <w:rPr>
                <w:sz w:val="15"/>
              </w:rPr>
            </w:pPr>
            <w:r>
              <w:rPr>
                <w:color w:val="231F20"/>
                <w:spacing w:val="-2"/>
                <w:sz w:val="15"/>
              </w:rPr>
              <w:t>If</w:t>
            </w:r>
            <w:r>
              <w:rPr>
                <w:color w:val="231F20"/>
                <w:spacing w:val="-7"/>
                <w:sz w:val="15"/>
              </w:rPr>
              <w:t> </w:t>
            </w:r>
            <w:r>
              <w:rPr>
                <w:color w:val="231F20"/>
                <w:spacing w:val="-2"/>
                <w:sz w:val="15"/>
              </w:rPr>
              <w:t>the</w:t>
            </w:r>
            <w:r>
              <w:rPr>
                <w:color w:val="231F20"/>
                <w:spacing w:val="-7"/>
                <w:sz w:val="15"/>
              </w:rPr>
              <w:t> </w:t>
            </w:r>
            <w:r>
              <w:rPr>
                <w:color w:val="231F20"/>
                <w:spacing w:val="-2"/>
                <w:sz w:val="15"/>
              </w:rPr>
              <w:t>examination</w:t>
            </w:r>
            <w:r>
              <w:rPr>
                <w:color w:val="231F20"/>
                <w:spacing w:val="-7"/>
                <w:sz w:val="15"/>
              </w:rPr>
              <w:t> </w:t>
            </w:r>
            <w:r>
              <w:rPr>
                <w:color w:val="231F20"/>
                <w:spacing w:val="-2"/>
                <w:sz w:val="15"/>
              </w:rPr>
              <w:t>findings</w:t>
            </w:r>
            <w:r>
              <w:rPr>
                <w:color w:val="231F20"/>
                <w:spacing w:val="-7"/>
                <w:sz w:val="15"/>
              </w:rPr>
              <w:t> </w:t>
            </w:r>
            <w:r>
              <w:rPr>
                <w:color w:val="231F20"/>
                <w:spacing w:val="-2"/>
                <w:sz w:val="15"/>
              </w:rPr>
              <w:t>localize</w:t>
            </w:r>
            <w:r>
              <w:rPr>
                <w:color w:val="231F20"/>
                <w:spacing w:val="-7"/>
                <w:sz w:val="15"/>
              </w:rPr>
              <w:t> </w:t>
            </w:r>
            <w:r>
              <w:rPr>
                <w:color w:val="231F20"/>
                <w:spacing w:val="-2"/>
                <w:sz w:val="15"/>
              </w:rPr>
              <w:t>to</w:t>
            </w:r>
            <w:r>
              <w:rPr>
                <w:color w:val="231F20"/>
                <w:spacing w:val="-7"/>
                <w:sz w:val="15"/>
              </w:rPr>
              <w:t> </w:t>
            </w:r>
            <w:r>
              <w:rPr>
                <w:color w:val="231F20"/>
                <w:spacing w:val="-2"/>
                <w:sz w:val="15"/>
              </w:rPr>
              <w:t>the</w:t>
            </w:r>
            <w:r>
              <w:rPr>
                <w:color w:val="231F20"/>
                <w:spacing w:val="-7"/>
                <w:sz w:val="15"/>
              </w:rPr>
              <w:t> </w:t>
            </w:r>
            <w:r>
              <w:rPr>
                <w:color w:val="231F20"/>
                <w:spacing w:val="-2"/>
                <w:sz w:val="15"/>
              </w:rPr>
              <w:t>anterior</w:t>
            </w:r>
            <w:r>
              <w:rPr>
                <w:color w:val="231F20"/>
                <w:spacing w:val="-7"/>
                <w:sz w:val="15"/>
              </w:rPr>
              <w:t> </w:t>
            </w:r>
            <w:r>
              <w:rPr>
                <w:color w:val="231F20"/>
                <w:spacing w:val="-2"/>
                <w:sz w:val="15"/>
              </w:rPr>
              <w:t>circulation,</w:t>
            </w:r>
            <w:r>
              <w:rPr>
                <w:color w:val="231F20"/>
                <w:spacing w:val="-7"/>
                <w:sz w:val="15"/>
              </w:rPr>
              <w:t> </w:t>
            </w:r>
            <w:r>
              <w:rPr>
                <w:color w:val="231F20"/>
                <w:spacing w:val="-2"/>
                <w:sz w:val="15"/>
              </w:rPr>
              <w:t>carotid </w:t>
            </w:r>
            <w:r>
              <w:rPr>
                <w:color w:val="231F20"/>
                <w:sz w:val="15"/>
              </w:rPr>
              <w:t>ultrasound should be performed rather than neck CTA or MRA</w:t>
            </w:r>
          </w:p>
          <w:p>
            <w:pPr>
              <w:pStyle w:val="TableParagraph"/>
              <w:spacing w:line="230" w:lineRule="auto" w:before="1"/>
              <w:ind w:left="74" w:right="199"/>
              <w:rPr>
                <w:sz w:val="15"/>
              </w:rPr>
            </w:pPr>
            <w:r>
              <w:rPr>
                <w:color w:val="231F20"/>
                <w:sz w:val="15"/>
              </w:rPr>
              <w:t>Obtain</w:t>
            </w:r>
            <w:r>
              <w:rPr>
                <w:color w:val="231F20"/>
                <w:spacing w:val="-10"/>
                <w:sz w:val="15"/>
              </w:rPr>
              <w:t> </w:t>
            </w:r>
            <w:r>
              <w:rPr>
                <w:color w:val="231F20"/>
                <w:sz w:val="15"/>
              </w:rPr>
              <w:t>an</w:t>
            </w:r>
            <w:r>
              <w:rPr>
                <w:color w:val="231F20"/>
                <w:spacing w:val="-10"/>
                <w:sz w:val="15"/>
              </w:rPr>
              <w:t> </w:t>
            </w:r>
            <w:r>
              <w:rPr>
                <w:color w:val="231F20"/>
                <w:sz w:val="15"/>
              </w:rPr>
              <w:t>MRV</w:t>
            </w:r>
            <w:r>
              <w:rPr>
                <w:color w:val="231F20"/>
                <w:spacing w:val="-10"/>
                <w:sz w:val="15"/>
              </w:rPr>
              <w:t> </w:t>
            </w:r>
            <w:r>
              <w:rPr>
                <w:color w:val="231F20"/>
                <w:sz w:val="15"/>
              </w:rPr>
              <w:t>if</w:t>
            </w:r>
            <w:r>
              <w:rPr>
                <w:color w:val="231F20"/>
                <w:spacing w:val="-10"/>
                <w:sz w:val="15"/>
              </w:rPr>
              <w:t> </w:t>
            </w:r>
            <w:r>
              <w:rPr>
                <w:color w:val="231F20"/>
                <w:sz w:val="15"/>
              </w:rPr>
              <w:t>the</w:t>
            </w:r>
            <w:r>
              <w:rPr>
                <w:color w:val="231F20"/>
                <w:spacing w:val="-10"/>
                <w:sz w:val="15"/>
              </w:rPr>
              <w:t> </w:t>
            </w:r>
            <w:r>
              <w:rPr>
                <w:color w:val="231F20"/>
                <w:sz w:val="15"/>
              </w:rPr>
              <w:t>infarct</w:t>
            </w:r>
            <w:r>
              <w:rPr>
                <w:color w:val="231F20"/>
                <w:spacing w:val="-10"/>
                <w:sz w:val="15"/>
              </w:rPr>
              <w:t> </w:t>
            </w:r>
            <w:r>
              <w:rPr>
                <w:color w:val="231F20"/>
                <w:sz w:val="15"/>
              </w:rPr>
              <w:t>does</w:t>
            </w:r>
            <w:r>
              <w:rPr>
                <w:color w:val="231F20"/>
                <w:spacing w:val="-10"/>
                <w:sz w:val="15"/>
              </w:rPr>
              <w:t> </w:t>
            </w:r>
            <w:r>
              <w:rPr>
                <w:color w:val="231F20"/>
                <w:sz w:val="15"/>
              </w:rPr>
              <w:t>not</w:t>
            </w:r>
            <w:r>
              <w:rPr>
                <w:color w:val="231F20"/>
                <w:spacing w:val="-10"/>
                <w:sz w:val="15"/>
              </w:rPr>
              <w:t> </w:t>
            </w:r>
            <w:r>
              <w:rPr>
                <w:color w:val="231F20"/>
                <w:sz w:val="15"/>
              </w:rPr>
              <w:t>follow</w:t>
            </w:r>
            <w:r>
              <w:rPr>
                <w:color w:val="231F20"/>
                <w:spacing w:val="-10"/>
                <w:sz w:val="15"/>
              </w:rPr>
              <w:t> </w:t>
            </w:r>
            <w:r>
              <w:rPr>
                <w:color w:val="231F20"/>
                <w:sz w:val="15"/>
              </w:rPr>
              <w:t>an</w:t>
            </w:r>
            <w:r>
              <w:rPr>
                <w:color w:val="231F20"/>
                <w:spacing w:val="-10"/>
                <w:sz w:val="15"/>
              </w:rPr>
              <w:t> </w:t>
            </w:r>
            <w:r>
              <w:rPr>
                <w:color w:val="231F20"/>
                <w:sz w:val="15"/>
              </w:rPr>
              <w:t>arterial</w:t>
            </w:r>
            <w:r>
              <w:rPr>
                <w:color w:val="231F20"/>
                <w:spacing w:val="-10"/>
                <w:sz w:val="15"/>
              </w:rPr>
              <w:t> </w:t>
            </w:r>
            <w:r>
              <w:rPr>
                <w:color w:val="231F20"/>
                <w:sz w:val="15"/>
              </w:rPr>
              <w:t>distribution CT</w:t>
            </w:r>
            <w:r>
              <w:rPr>
                <w:color w:val="231F20"/>
                <w:spacing w:val="-1"/>
                <w:sz w:val="15"/>
              </w:rPr>
              <w:t> </w:t>
            </w:r>
            <w:r>
              <w:rPr>
                <w:color w:val="231F20"/>
                <w:sz w:val="15"/>
              </w:rPr>
              <w:t>or</w:t>
            </w:r>
            <w:r>
              <w:rPr>
                <w:color w:val="231F20"/>
                <w:spacing w:val="-1"/>
                <w:sz w:val="15"/>
              </w:rPr>
              <w:t> </w:t>
            </w:r>
            <w:r>
              <w:rPr>
                <w:color w:val="231F20"/>
                <w:sz w:val="15"/>
              </w:rPr>
              <w:t>MRI</w:t>
            </w:r>
            <w:r>
              <w:rPr>
                <w:color w:val="231F20"/>
                <w:spacing w:val="-1"/>
                <w:sz w:val="15"/>
              </w:rPr>
              <w:t> </w:t>
            </w:r>
            <w:r>
              <w:rPr>
                <w:color w:val="231F20"/>
                <w:sz w:val="15"/>
              </w:rPr>
              <w:t>can detect</w:t>
            </w:r>
            <w:r>
              <w:rPr>
                <w:color w:val="231F20"/>
                <w:spacing w:val="-1"/>
                <w:sz w:val="15"/>
              </w:rPr>
              <w:t> </w:t>
            </w:r>
            <w:r>
              <w:rPr>
                <w:color w:val="231F20"/>
                <w:sz w:val="15"/>
              </w:rPr>
              <w:t>infarcts</w:t>
            </w:r>
            <w:r>
              <w:rPr>
                <w:color w:val="231F20"/>
                <w:spacing w:val="-1"/>
                <w:sz w:val="15"/>
              </w:rPr>
              <w:t> </w:t>
            </w:r>
            <w:r>
              <w:rPr>
                <w:color w:val="231F20"/>
                <w:sz w:val="15"/>
              </w:rPr>
              <w:t>more</w:t>
            </w:r>
            <w:r>
              <w:rPr>
                <w:color w:val="231F20"/>
                <w:spacing w:val="-1"/>
                <w:sz w:val="15"/>
              </w:rPr>
              <w:t> </w:t>
            </w:r>
            <w:r>
              <w:rPr>
                <w:color w:val="231F20"/>
                <w:sz w:val="15"/>
              </w:rPr>
              <w:t>than 24</w:t>
            </w:r>
            <w:r>
              <w:rPr>
                <w:color w:val="231F20"/>
                <w:spacing w:val="-1"/>
                <w:sz w:val="15"/>
              </w:rPr>
              <w:t> </w:t>
            </w:r>
            <w:r>
              <w:rPr>
                <w:color w:val="231F20"/>
                <w:sz w:val="15"/>
              </w:rPr>
              <w:t>hr</w:t>
            </w:r>
            <w:r>
              <w:rPr>
                <w:color w:val="231F20"/>
                <w:spacing w:val="-1"/>
                <w:sz w:val="15"/>
              </w:rPr>
              <w:t> </w:t>
            </w:r>
            <w:r>
              <w:rPr>
                <w:color w:val="231F20"/>
                <w:sz w:val="15"/>
              </w:rPr>
              <w:t>old,</w:t>
            </w:r>
            <w:r>
              <w:rPr>
                <w:color w:val="231F20"/>
                <w:spacing w:val="-1"/>
                <w:sz w:val="15"/>
              </w:rPr>
              <w:t> </w:t>
            </w:r>
            <w:r>
              <w:rPr>
                <w:color w:val="231F20"/>
                <w:sz w:val="15"/>
              </w:rPr>
              <w:t>although MRI</w:t>
            </w:r>
            <w:r>
              <w:rPr>
                <w:color w:val="231F20"/>
                <w:spacing w:val="-1"/>
                <w:sz w:val="15"/>
              </w:rPr>
              <w:t> </w:t>
            </w:r>
            <w:r>
              <w:rPr>
                <w:color w:val="231F20"/>
                <w:spacing w:val="-5"/>
                <w:sz w:val="15"/>
              </w:rPr>
              <w:t>is</w:t>
            </w:r>
          </w:p>
          <w:p>
            <w:pPr>
              <w:pStyle w:val="TableParagraph"/>
              <w:spacing w:line="152" w:lineRule="exact"/>
              <w:ind w:left="186"/>
              <w:rPr>
                <w:sz w:val="15"/>
              </w:rPr>
            </w:pPr>
            <w:r>
              <w:rPr>
                <w:color w:val="231F20"/>
                <w:sz w:val="15"/>
              </w:rPr>
              <w:t>generally</w:t>
            </w:r>
            <w:r>
              <w:rPr>
                <w:color w:val="231F20"/>
                <w:spacing w:val="-5"/>
                <w:sz w:val="15"/>
              </w:rPr>
              <w:t> </w:t>
            </w:r>
            <w:r>
              <w:rPr>
                <w:color w:val="231F20"/>
                <w:sz w:val="15"/>
              </w:rPr>
              <w:t>preferred</w:t>
            </w:r>
            <w:r>
              <w:rPr>
                <w:color w:val="231F20"/>
                <w:spacing w:val="-4"/>
                <w:sz w:val="15"/>
              </w:rPr>
              <w:t> </w:t>
            </w:r>
            <w:r>
              <w:rPr>
                <w:color w:val="231F20"/>
                <w:sz w:val="15"/>
              </w:rPr>
              <w:t>to</w:t>
            </w:r>
            <w:r>
              <w:rPr>
                <w:color w:val="231F20"/>
                <w:spacing w:val="-4"/>
                <w:sz w:val="15"/>
              </w:rPr>
              <w:t> </w:t>
            </w:r>
            <w:r>
              <w:rPr>
                <w:color w:val="231F20"/>
                <w:sz w:val="15"/>
              </w:rPr>
              <w:t>avoid</w:t>
            </w:r>
            <w:r>
              <w:rPr>
                <w:color w:val="231F20"/>
                <w:spacing w:val="-4"/>
                <w:sz w:val="15"/>
              </w:rPr>
              <w:t> </w:t>
            </w:r>
            <w:r>
              <w:rPr>
                <w:color w:val="231F20"/>
                <w:sz w:val="15"/>
              </w:rPr>
              <w:t>exposure</w:t>
            </w:r>
            <w:r>
              <w:rPr>
                <w:color w:val="231F20"/>
                <w:spacing w:val="-5"/>
                <w:sz w:val="15"/>
              </w:rPr>
              <w:t> </w:t>
            </w:r>
            <w:r>
              <w:rPr>
                <w:color w:val="231F20"/>
                <w:sz w:val="15"/>
              </w:rPr>
              <w:t>to</w:t>
            </w:r>
            <w:r>
              <w:rPr>
                <w:color w:val="231F20"/>
                <w:spacing w:val="-4"/>
                <w:sz w:val="15"/>
              </w:rPr>
              <w:t> </w:t>
            </w:r>
            <w:r>
              <w:rPr>
                <w:color w:val="231F20"/>
                <w:sz w:val="15"/>
              </w:rPr>
              <w:t>ionizing</w:t>
            </w:r>
            <w:r>
              <w:rPr>
                <w:color w:val="231F20"/>
                <w:spacing w:val="-4"/>
                <w:sz w:val="15"/>
              </w:rPr>
              <w:t> </w:t>
            </w:r>
            <w:r>
              <w:rPr>
                <w:color w:val="231F20"/>
                <w:spacing w:val="-2"/>
                <w:sz w:val="15"/>
              </w:rPr>
              <w:t>radiation</w:t>
            </w:r>
          </w:p>
        </w:tc>
        <w:tc>
          <w:tcPr>
            <w:tcW w:w="4871"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HEADACHE</w:t>
            </w:r>
          </w:p>
          <w:p>
            <w:pPr>
              <w:pStyle w:val="TableParagraph"/>
              <w:spacing w:line="230" w:lineRule="auto" w:before="3"/>
              <w:ind w:left="181" w:hanging="112"/>
              <w:rPr>
                <w:sz w:val="15"/>
              </w:rPr>
            </w:pPr>
            <w:r>
              <w:rPr>
                <w:color w:val="231F20"/>
                <w:sz w:val="15"/>
              </w:rPr>
              <w:t>CT</w:t>
            </w:r>
            <w:r>
              <w:rPr>
                <w:color w:val="231F20"/>
                <w:spacing w:val="-7"/>
                <w:sz w:val="15"/>
              </w:rPr>
              <w:t> </w:t>
            </w:r>
            <w:r>
              <w:rPr>
                <w:color w:val="231F20"/>
                <w:sz w:val="15"/>
              </w:rPr>
              <w:t>with</w:t>
            </w:r>
            <w:r>
              <w:rPr>
                <w:color w:val="231F20"/>
                <w:spacing w:val="-7"/>
                <w:sz w:val="15"/>
              </w:rPr>
              <w:t> </w:t>
            </w:r>
            <w:r>
              <w:rPr>
                <w:color w:val="231F20"/>
                <w:sz w:val="15"/>
              </w:rPr>
              <w:t>and</w:t>
            </w:r>
            <w:r>
              <w:rPr>
                <w:color w:val="231F20"/>
                <w:spacing w:val="-7"/>
                <w:sz w:val="15"/>
              </w:rPr>
              <w:t> </w:t>
            </w:r>
            <w:r>
              <w:rPr>
                <w:color w:val="231F20"/>
                <w:sz w:val="15"/>
              </w:rPr>
              <w:t>without</w:t>
            </w:r>
            <w:r>
              <w:rPr>
                <w:color w:val="231F20"/>
                <w:spacing w:val="-7"/>
                <w:sz w:val="15"/>
              </w:rPr>
              <w:t> </w:t>
            </w:r>
            <w:r>
              <w:rPr>
                <w:color w:val="231F20"/>
                <w:sz w:val="15"/>
              </w:rPr>
              <w:t>contrast</w:t>
            </w:r>
            <w:r>
              <w:rPr>
                <w:color w:val="231F20"/>
                <w:spacing w:val="-7"/>
                <w:sz w:val="15"/>
              </w:rPr>
              <w:t> </w:t>
            </w:r>
            <w:r>
              <w:rPr>
                <w:color w:val="231F20"/>
                <w:sz w:val="15"/>
              </w:rPr>
              <w:t>or</w:t>
            </w:r>
            <w:r>
              <w:rPr>
                <w:color w:val="231F20"/>
                <w:spacing w:val="-7"/>
                <w:sz w:val="15"/>
              </w:rPr>
              <w:t> </w:t>
            </w:r>
            <w:r>
              <w:rPr>
                <w:color w:val="231F20"/>
                <w:sz w:val="15"/>
              </w:rPr>
              <w:t>MRI</w:t>
            </w:r>
            <w:r>
              <w:rPr>
                <w:color w:val="231F20"/>
                <w:spacing w:val="-7"/>
                <w:sz w:val="15"/>
              </w:rPr>
              <w:t> </w:t>
            </w:r>
            <w:r>
              <w:rPr>
                <w:color w:val="231F20"/>
                <w:sz w:val="15"/>
              </w:rPr>
              <w:t>with</w:t>
            </w:r>
            <w:r>
              <w:rPr>
                <w:color w:val="231F20"/>
                <w:spacing w:val="-7"/>
                <w:sz w:val="15"/>
              </w:rPr>
              <w:t> </w:t>
            </w:r>
            <w:r>
              <w:rPr>
                <w:color w:val="231F20"/>
                <w:sz w:val="15"/>
              </w:rPr>
              <w:t>and</w:t>
            </w:r>
            <w:r>
              <w:rPr>
                <w:color w:val="231F20"/>
                <w:spacing w:val="-7"/>
                <w:sz w:val="15"/>
              </w:rPr>
              <w:t> </w:t>
            </w:r>
            <w:r>
              <w:rPr>
                <w:color w:val="231F20"/>
                <w:sz w:val="15"/>
              </w:rPr>
              <w:t>without</w:t>
            </w:r>
            <w:r>
              <w:rPr>
                <w:color w:val="231F20"/>
                <w:spacing w:val="-7"/>
                <w:sz w:val="15"/>
              </w:rPr>
              <w:t> </w:t>
            </w:r>
            <w:r>
              <w:rPr>
                <w:color w:val="231F20"/>
                <w:sz w:val="15"/>
              </w:rPr>
              <w:t>gadolinium</w:t>
            </w:r>
            <w:r>
              <w:rPr>
                <w:color w:val="231F20"/>
                <w:spacing w:val="-7"/>
                <w:sz w:val="15"/>
              </w:rPr>
              <w:t> </w:t>
            </w:r>
            <w:r>
              <w:rPr>
                <w:color w:val="231F20"/>
                <w:sz w:val="15"/>
              </w:rPr>
              <w:t>if</w:t>
            </w:r>
            <w:r>
              <w:rPr>
                <w:color w:val="231F20"/>
                <w:spacing w:val="-7"/>
                <w:sz w:val="15"/>
              </w:rPr>
              <w:t> </w:t>
            </w:r>
            <w:r>
              <w:rPr>
                <w:color w:val="231F20"/>
                <w:sz w:val="15"/>
              </w:rPr>
              <w:t>a structural disorder is suspected (MRI is preferred in nonemergent situations as it does not involve ionizing radiation and provides a better view of the parenchyma)</w:t>
            </w:r>
          </w:p>
        </w:tc>
      </w:tr>
      <w:tr>
        <w:trPr>
          <w:trHeight w:val="971"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871"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5"/>
                <w:sz w:val="15"/>
              </w:rPr>
              <w:t>HEAD </w:t>
            </w:r>
            <w:r>
              <w:rPr>
                <w:color w:val="231F20"/>
                <w:spacing w:val="-2"/>
                <w:w w:val="115"/>
                <w:sz w:val="15"/>
              </w:rPr>
              <w:t>TRAUMA</w:t>
            </w:r>
          </w:p>
          <w:p>
            <w:pPr>
              <w:pStyle w:val="TableParagraph"/>
              <w:spacing w:line="169" w:lineRule="exact"/>
              <w:ind w:left="69"/>
              <w:rPr>
                <w:sz w:val="15"/>
              </w:rPr>
            </w:pPr>
            <w:r>
              <w:rPr>
                <w:color w:val="231F20"/>
                <w:sz w:val="15"/>
              </w:rPr>
              <w:t>CT</w:t>
            </w:r>
            <w:r>
              <w:rPr>
                <w:color w:val="231F20"/>
                <w:spacing w:val="-11"/>
                <w:sz w:val="15"/>
              </w:rPr>
              <w:t> </w:t>
            </w:r>
            <w:r>
              <w:rPr>
                <w:color w:val="231F20"/>
                <w:sz w:val="15"/>
              </w:rPr>
              <w:t>without</w:t>
            </w:r>
            <w:r>
              <w:rPr>
                <w:color w:val="231F20"/>
                <w:spacing w:val="-11"/>
                <w:sz w:val="15"/>
              </w:rPr>
              <w:t> </w:t>
            </w:r>
            <w:r>
              <w:rPr>
                <w:color w:val="231F20"/>
                <w:sz w:val="15"/>
              </w:rPr>
              <w:t>contrast</w:t>
            </w:r>
            <w:r>
              <w:rPr>
                <w:color w:val="231F20"/>
                <w:spacing w:val="-11"/>
                <w:sz w:val="15"/>
              </w:rPr>
              <w:t> </w:t>
            </w:r>
            <w:r>
              <w:rPr>
                <w:color w:val="231F20"/>
                <w:spacing w:val="-2"/>
                <w:sz w:val="15"/>
              </w:rPr>
              <w:t>initially</w:t>
            </w:r>
          </w:p>
          <w:p>
            <w:pPr>
              <w:pStyle w:val="TableParagraph"/>
              <w:spacing w:line="230" w:lineRule="auto" w:before="2"/>
              <w:ind w:left="181" w:hanging="112"/>
              <w:rPr>
                <w:sz w:val="15"/>
              </w:rPr>
            </w:pPr>
            <w:r>
              <w:rPr>
                <w:color w:val="231F20"/>
                <w:sz w:val="15"/>
              </w:rPr>
              <w:t>MRI</w:t>
            </w:r>
            <w:r>
              <w:rPr>
                <w:color w:val="231F20"/>
                <w:spacing w:val="-2"/>
                <w:sz w:val="15"/>
              </w:rPr>
              <w:t> </w:t>
            </w:r>
            <w:r>
              <w:rPr>
                <w:color w:val="231F20"/>
                <w:sz w:val="15"/>
              </w:rPr>
              <w:t>after</w:t>
            </w:r>
            <w:r>
              <w:rPr>
                <w:color w:val="231F20"/>
                <w:spacing w:val="-2"/>
                <w:sz w:val="15"/>
              </w:rPr>
              <w:t> </w:t>
            </w:r>
            <w:r>
              <w:rPr>
                <w:color w:val="231F20"/>
                <w:sz w:val="15"/>
              </w:rPr>
              <w:t>initial</w:t>
            </w:r>
            <w:r>
              <w:rPr>
                <w:color w:val="231F20"/>
                <w:spacing w:val="-2"/>
                <w:sz w:val="15"/>
              </w:rPr>
              <w:t> </w:t>
            </w:r>
            <w:r>
              <w:rPr>
                <w:color w:val="231F20"/>
                <w:sz w:val="15"/>
              </w:rPr>
              <w:t>assessment</w:t>
            </w:r>
            <w:r>
              <w:rPr>
                <w:color w:val="231F20"/>
                <w:spacing w:val="-2"/>
                <w:sz w:val="15"/>
              </w:rPr>
              <w:t> </w:t>
            </w:r>
            <w:r>
              <w:rPr>
                <w:color w:val="231F20"/>
                <w:sz w:val="15"/>
              </w:rPr>
              <w:t>and</w:t>
            </w:r>
            <w:r>
              <w:rPr>
                <w:color w:val="231F20"/>
                <w:spacing w:val="-2"/>
                <w:sz w:val="15"/>
              </w:rPr>
              <w:t> </w:t>
            </w:r>
            <w:r>
              <w:rPr>
                <w:color w:val="231F20"/>
                <w:sz w:val="15"/>
              </w:rPr>
              <w:t>treatment</w:t>
            </w:r>
            <w:r>
              <w:rPr>
                <w:color w:val="231F20"/>
                <w:spacing w:val="-2"/>
                <w:sz w:val="15"/>
              </w:rPr>
              <w:t> </w:t>
            </w:r>
            <w:r>
              <w:rPr>
                <w:color w:val="231F20"/>
                <w:sz w:val="15"/>
              </w:rPr>
              <w:t>if</w:t>
            </w:r>
            <w:r>
              <w:rPr>
                <w:color w:val="231F20"/>
                <w:spacing w:val="-2"/>
                <w:sz w:val="15"/>
              </w:rPr>
              <w:t> </w:t>
            </w:r>
            <w:r>
              <w:rPr>
                <w:color w:val="231F20"/>
                <w:sz w:val="15"/>
              </w:rPr>
              <w:t>clinically</w:t>
            </w:r>
            <w:r>
              <w:rPr>
                <w:color w:val="231F20"/>
                <w:spacing w:val="-2"/>
                <w:sz w:val="15"/>
              </w:rPr>
              <w:t> </w:t>
            </w:r>
            <w:r>
              <w:rPr>
                <w:color w:val="231F20"/>
                <w:sz w:val="15"/>
              </w:rPr>
              <w:t>indicated. Diffusion</w:t>
            </w:r>
            <w:r>
              <w:rPr>
                <w:color w:val="231F20"/>
                <w:spacing w:val="-5"/>
                <w:sz w:val="15"/>
              </w:rPr>
              <w:t> </w:t>
            </w:r>
            <w:r>
              <w:rPr>
                <w:color w:val="231F20"/>
                <w:sz w:val="15"/>
              </w:rPr>
              <w:t>tensor</w:t>
            </w:r>
            <w:r>
              <w:rPr>
                <w:color w:val="231F20"/>
                <w:spacing w:val="-5"/>
                <w:sz w:val="15"/>
              </w:rPr>
              <w:t> </w:t>
            </w:r>
            <w:r>
              <w:rPr>
                <w:color w:val="231F20"/>
                <w:sz w:val="15"/>
              </w:rPr>
              <w:t>imaging</w:t>
            </w:r>
            <w:r>
              <w:rPr>
                <w:color w:val="231F20"/>
                <w:spacing w:val="-5"/>
                <w:sz w:val="15"/>
              </w:rPr>
              <w:t> </w:t>
            </w:r>
            <w:r>
              <w:rPr>
                <w:color w:val="231F20"/>
                <w:sz w:val="15"/>
              </w:rPr>
              <w:t>and/or</w:t>
            </w:r>
            <w:r>
              <w:rPr>
                <w:color w:val="231F20"/>
                <w:spacing w:val="-5"/>
                <w:sz w:val="15"/>
              </w:rPr>
              <w:t> </w:t>
            </w:r>
            <w:r>
              <w:rPr>
                <w:color w:val="231F20"/>
                <w:sz w:val="15"/>
              </w:rPr>
              <w:t>diffusion</w:t>
            </w:r>
            <w:r>
              <w:rPr>
                <w:color w:val="231F20"/>
                <w:spacing w:val="-5"/>
                <w:sz w:val="15"/>
              </w:rPr>
              <w:t> </w:t>
            </w:r>
            <w:r>
              <w:rPr>
                <w:color w:val="231F20"/>
                <w:sz w:val="15"/>
              </w:rPr>
              <w:t>kurtosis</w:t>
            </w:r>
            <w:r>
              <w:rPr>
                <w:color w:val="231F20"/>
                <w:spacing w:val="-5"/>
                <w:sz w:val="15"/>
              </w:rPr>
              <w:t> </w:t>
            </w:r>
            <w:r>
              <w:rPr>
                <w:color w:val="231F20"/>
                <w:sz w:val="15"/>
              </w:rPr>
              <w:t>sequences</w:t>
            </w:r>
            <w:r>
              <w:rPr>
                <w:color w:val="231F20"/>
                <w:spacing w:val="-5"/>
                <w:sz w:val="15"/>
              </w:rPr>
              <w:t> </w:t>
            </w:r>
            <w:r>
              <w:rPr>
                <w:color w:val="231F20"/>
                <w:sz w:val="15"/>
              </w:rPr>
              <w:t>may</w:t>
            </w:r>
            <w:r>
              <w:rPr>
                <w:color w:val="231F20"/>
                <w:spacing w:val="-5"/>
                <w:sz w:val="15"/>
              </w:rPr>
              <w:t> </w:t>
            </w:r>
            <w:r>
              <w:rPr>
                <w:color w:val="231F20"/>
                <w:sz w:val="15"/>
              </w:rPr>
              <w:t>be useful to detect subtle white matter abnormalities</w:t>
            </w:r>
          </w:p>
        </w:tc>
      </w:tr>
      <w:tr>
        <w:trPr>
          <w:trHeight w:val="938" w:hRule="exact"/>
        </w:trPr>
        <w:tc>
          <w:tcPr>
            <w:tcW w:w="4871" w:type="dxa"/>
            <w:gridSpan w:val="2"/>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77"/>
              <w:ind w:left="74"/>
              <w:rPr>
                <w:sz w:val="15"/>
              </w:rPr>
            </w:pPr>
            <w:r>
              <w:rPr>
                <w:color w:val="231F20"/>
                <w:w w:val="110"/>
                <w:sz w:val="15"/>
              </w:rPr>
              <w:t>INTRAPARENCHYMAL</w:t>
            </w:r>
            <w:r>
              <w:rPr>
                <w:color w:val="231F20"/>
                <w:spacing w:val="38"/>
                <w:w w:val="115"/>
                <w:sz w:val="15"/>
              </w:rPr>
              <w:t> </w:t>
            </w:r>
            <w:r>
              <w:rPr>
                <w:color w:val="231F20"/>
                <w:spacing w:val="-2"/>
                <w:w w:val="115"/>
                <w:sz w:val="15"/>
              </w:rPr>
              <w:t>HEMORRHAGE</w:t>
            </w:r>
          </w:p>
          <w:p>
            <w:pPr>
              <w:pStyle w:val="TableParagraph"/>
              <w:spacing w:line="171" w:lineRule="exact"/>
              <w:ind w:left="74"/>
              <w:rPr>
                <w:sz w:val="15"/>
              </w:rPr>
            </w:pPr>
            <w:r>
              <w:rPr>
                <w:color w:val="231F20"/>
                <w:sz w:val="15"/>
              </w:rPr>
              <w:t>CT</w:t>
            </w:r>
            <w:r>
              <w:rPr>
                <w:color w:val="231F20"/>
                <w:spacing w:val="-5"/>
                <w:sz w:val="15"/>
              </w:rPr>
              <w:t> </w:t>
            </w:r>
            <w:r>
              <w:rPr>
                <w:color w:val="231F20"/>
                <w:sz w:val="15"/>
              </w:rPr>
              <w:t>if</w:t>
            </w:r>
            <w:r>
              <w:rPr>
                <w:color w:val="231F20"/>
                <w:spacing w:val="-4"/>
                <w:sz w:val="15"/>
              </w:rPr>
              <w:t> </w:t>
            </w:r>
            <w:r>
              <w:rPr>
                <w:rFonts w:ascii="Cambria"/>
                <w:color w:val="231F20"/>
                <w:sz w:val="15"/>
              </w:rPr>
              <w:t>&lt;</w:t>
            </w:r>
            <w:r>
              <w:rPr>
                <w:color w:val="231F20"/>
                <w:sz w:val="15"/>
              </w:rPr>
              <w:t>24</w:t>
            </w:r>
            <w:r>
              <w:rPr>
                <w:color w:val="231F20"/>
                <w:spacing w:val="-4"/>
                <w:sz w:val="15"/>
              </w:rPr>
              <w:t> </w:t>
            </w:r>
            <w:r>
              <w:rPr>
                <w:color w:val="231F20"/>
                <w:sz w:val="15"/>
              </w:rPr>
              <w:t>hr;</w:t>
            </w:r>
            <w:r>
              <w:rPr>
                <w:color w:val="231F20"/>
                <w:spacing w:val="-4"/>
                <w:sz w:val="15"/>
              </w:rPr>
              <w:t> </w:t>
            </w:r>
            <w:r>
              <w:rPr>
                <w:color w:val="231F20"/>
                <w:sz w:val="15"/>
              </w:rPr>
              <w:t>MRI</w:t>
            </w:r>
            <w:r>
              <w:rPr>
                <w:color w:val="231F20"/>
                <w:spacing w:val="-4"/>
                <w:sz w:val="15"/>
              </w:rPr>
              <w:t> </w:t>
            </w:r>
            <w:r>
              <w:rPr>
                <w:color w:val="231F20"/>
                <w:sz w:val="15"/>
              </w:rPr>
              <w:t>if</w:t>
            </w:r>
            <w:r>
              <w:rPr>
                <w:color w:val="231F20"/>
                <w:spacing w:val="-5"/>
                <w:sz w:val="15"/>
              </w:rPr>
              <w:t> </w:t>
            </w:r>
            <w:r>
              <w:rPr>
                <w:rFonts w:ascii="Cambria"/>
                <w:color w:val="231F20"/>
                <w:sz w:val="15"/>
              </w:rPr>
              <w:t>&gt;</w:t>
            </w:r>
            <w:r>
              <w:rPr>
                <w:color w:val="231F20"/>
                <w:sz w:val="15"/>
              </w:rPr>
              <w:t>24</w:t>
            </w:r>
            <w:r>
              <w:rPr>
                <w:color w:val="231F20"/>
                <w:spacing w:val="-4"/>
                <w:sz w:val="15"/>
              </w:rPr>
              <w:t> </w:t>
            </w:r>
            <w:r>
              <w:rPr>
                <w:color w:val="231F20"/>
                <w:spacing w:val="-5"/>
                <w:sz w:val="15"/>
              </w:rPr>
              <w:t>hr</w:t>
            </w:r>
          </w:p>
          <w:p>
            <w:pPr>
              <w:pStyle w:val="TableParagraph"/>
              <w:spacing w:line="230" w:lineRule="auto" w:before="3"/>
              <w:ind w:left="186" w:right="199" w:hanging="112"/>
              <w:rPr>
                <w:sz w:val="15"/>
              </w:rPr>
            </w:pPr>
            <w:r>
              <w:rPr>
                <w:color w:val="231F20"/>
                <w:sz w:val="15"/>
              </w:rPr>
              <w:t>MRI</w:t>
            </w:r>
            <w:r>
              <w:rPr>
                <w:color w:val="231F20"/>
                <w:spacing w:val="-5"/>
                <w:sz w:val="15"/>
              </w:rPr>
              <w:t> </w:t>
            </w:r>
            <w:r>
              <w:rPr>
                <w:color w:val="231F20"/>
                <w:sz w:val="15"/>
              </w:rPr>
              <w:t>and</w:t>
            </w:r>
            <w:r>
              <w:rPr>
                <w:color w:val="231F20"/>
                <w:spacing w:val="-5"/>
                <w:sz w:val="15"/>
              </w:rPr>
              <w:t> </w:t>
            </w:r>
            <w:r>
              <w:rPr>
                <w:color w:val="231F20"/>
                <w:sz w:val="15"/>
              </w:rPr>
              <w:t>MRA</w:t>
            </w:r>
            <w:r>
              <w:rPr>
                <w:color w:val="231F20"/>
                <w:spacing w:val="-5"/>
                <w:sz w:val="15"/>
              </w:rPr>
              <w:t> </w:t>
            </w:r>
            <w:r>
              <w:rPr>
                <w:color w:val="231F20"/>
                <w:sz w:val="15"/>
              </w:rPr>
              <w:t>to</w:t>
            </w:r>
            <w:r>
              <w:rPr>
                <w:color w:val="231F20"/>
                <w:spacing w:val="-5"/>
                <w:sz w:val="15"/>
              </w:rPr>
              <w:t> </w:t>
            </w:r>
            <w:r>
              <w:rPr>
                <w:color w:val="231F20"/>
                <w:sz w:val="15"/>
              </w:rPr>
              <w:t>assess</w:t>
            </w:r>
            <w:r>
              <w:rPr>
                <w:color w:val="231F20"/>
                <w:spacing w:val="-5"/>
                <w:sz w:val="15"/>
              </w:rPr>
              <w:t> </w:t>
            </w:r>
            <w:r>
              <w:rPr>
                <w:color w:val="231F20"/>
                <w:sz w:val="15"/>
              </w:rPr>
              <w:t>for</w:t>
            </w:r>
            <w:r>
              <w:rPr>
                <w:color w:val="231F20"/>
                <w:spacing w:val="-5"/>
                <w:sz w:val="15"/>
              </w:rPr>
              <w:t> </w:t>
            </w:r>
            <w:r>
              <w:rPr>
                <w:color w:val="231F20"/>
                <w:sz w:val="15"/>
              </w:rPr>
              <w:t>underlying</w:t>
            </w:r>
            <w:r>
              <w:rPr>
                <w:color w:val="231F20"/>
                <w:spacing w:val="-5"/>
                <w:sz w:val="15"/>
              </w:rPr>
              <w:t> </w:t>
            </w:r>
            <w:r>
              <w:rPr>
                <w:color w:val="231F20"/>
                <w:sz w:val="15"/>
              </w:rPr>
              <w:t>vascular</w:t>
            </w:r>
            <w:r>
              <w:rPr>
                <w:color w:val="231F20"/>
                <w:spacing w:val="-5"/>
                <w:sz w:val="15"/>
              </w:rPr>
              <w:t> </w:t>
            </w:r>
            <w:r>
              <w:rPr>
                <w:color w:val="231F20"/>
                <w:sz w:val="15"/>
              </w:rPr>
              <w:t>malformation,</w:t>
            </w:r>
            <w:r>
              <w:rPr>
                <w:color w:val="231F20"/>
                <w:spacing w:val="-5"/>
                <w:sz w:val="15"/>
              </w:rPr>
              <w:t> </w:t>
            </w:r>
            <w:r>
              <w:rPr>
                <w:color w:val="231F20"/>
                <w:sz w:val="15"/>
              </w:rPr>
              <w:t>tumor, </w:t>
            </w:r>
            <w:r>
              <w:rPr>
                <w:color w:val="231F20"/>
                <w:spacing w:val="-4"/>
                <w:sz w:val="15"/>
              </w:rPr>
              <w:t>etc.</w:t>
            </w:r>
          </w:p>
          <w:p>
            <w:pPr>
              <w:pStyle w:val="TableParagraph"/>
              <w:spacing w:line="151" w:lineRule="exact"/>
              <w:ind w:left="74"/>
              <w:rPr>
                <w:sz w:val="15"/>
              </w:rPr>
            </w:pPr>
            <w:r>
              <w:rPr>
                <w:color w:val="231F20"/>
                <w:sz w:val="15"/>
              </w:rPr>
              <w:t>Catheter</w:t>
            </w:r>
            <w:r>
              <w:rPr>
                <w:color w:val="231F20"/>
                <w:spacing w:val="6"/>
                <w:sz w:val="15"/>
              </w:rPr>
              <w:t> </w:t>
            </w:r>
            <w:r>
              <w:rPr>
                <w:color w:val="231F20"/>
                <w:sz w:val="15"/>
              </w:rPr>
              <w:t>angiography</w:t>
            </w:r>
            <w:r>
              <w:rPr>
                <w:color w:val="231F20"/>
                <w:spacing w:val="7"/>
                <w:sz w:val="15"/>
              </w:rPr>
              <w:t> </w:t>
            </w:r>
            <w:r>
              <w:rPr>
                <w:color w:val="231F20"/>
                <w:sz w:val="15"/>
              </w:rPr>
              <w:t>if</w:t>
            </w:r>
            <w:r>
              <w:rPr>
                <w:color w:val="231F20"/>
                <w:spacing w:val="7"/>
                <w:sz w:val="15"/>
              </w:rPr>
              <w:t> </w:t>
            </w:r>
            <w:r>
              <w:rPr>
                <w:color w:val="231F20"/>
                <w:sz w:val="15"/>
              </w:rPr>
              <w:t>MRA</w:t>
            </w:r>
            <w:r>
              <w:rPr>
                <w:color w:val="231F20"/>
                <w:spacing w:val="7"/>
                <w:sz w:val="15"/>
              </w:rPr>
              <w:t> </w:t>
            </w:r>
            <w:r>
              <w:rPr>
                <w:color w:val="231F20"/>
                <w:sz w:val="15"/>
              </w:rPr>
              <w:t>is</w:t>
            </w:r>
            <w:r>
              <w:rPr>
                <w:color w:val="231F20"/>
                <w:spacing w:val="7"/>
                <w:sz w:val="15"/>
              </w:rPr>
              <w:t> </w:t>
            </w:r>
            <w:r>
              <w:rPr>
                <w:color w:val="231F20"/>
                <w:spacing w:val="-2"/>
                <w:sz w:val="15"/>
              </w:rPr>
              <w:t>nondiagnostic</w:t>
            </w:r>
          </w:p>
        </w:tc>
        <w:tc>
          <w:tcPr>
            <w:tcW w:w="4871"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9"/>
              <w:ind w:left="69"/>
              <w:rPr>
                <w:sz w:val="15"/>
              </w:rPr>
            </w:pPr>
            <w:r>
              <w:rPr>
                <w:color w:val="231F20"/>
                <w:spacing w:val="-2"/>
                <w:w w:val="110"/>
                <w:sz w:val="15"/>
              </w:rPr>
              <w:t>EPILEPSY</w:t>
            </w:r>
          </w:p>
          <w:p>
            <w:pPr>
              <w:pStyle w:val="TableParagraph"/>
              <w:spacing w:line="230" w:lineRule="auto" w:before="3"/>
              <w:ind w:left="181" w:hanging="112"/>
              <w:rPr>
                <w:sz w:val="15"/>
              </w:rPr>
            </w:pPr>
            <w:r>
              <w:rPr>
                <w:color w:val="231F20"/>
                <w:sz w:val="15"/>
              </w:rPr>
              <w:t>MRI</w:t>
            </w:r>
            <w:r>
              <w:rPr>
                <w:color w:val="231F20"/>
                <w:spacing w:val="-3"/>
                <w:sz w:val="15"/>
              </w:rPr>
              <w:t> </w:t>
            </w:r>
            <w:r>
              <w:rPr>
                <w:color w:val="231F20"/>
                <w:sz w:val="15"/>
              </w:rPr>
              <w:t>with</w:t>
            </w:r>
            <w:r>
              <w:rPr>
                <w:color w:val="231F20"/>
                <w:spacing w:val="-3"/>
                <w:sz w:val="15"/>
              </w:rPr>
              <w:t> </w:t>
            </w:r>
            <w:r>
              <w:rPr>
                <w:color w:val="231F20"/>
                <w:sz w:val="15"/>
              </w:rPr>
              <w:t>and</w:t>
            </w:r>
            <w:r>
              <w:rPr>
                <w:color w:val="231F20"/>
                <w:spacing w:val="-3"/>
                <w:sz w:val="15"/>
              </w:rPr>
              <w:t> </w:t>
            </w:r>
            <w:r>
              <w:rPr>
                <w:color w:val="231F20"/>
                <w:sz w:val="15"/>
              </w:rPr>
              <w:t>without</w:t>
            </w:r>
            <w:r>
              <w:rPr>
                <w:color w:val="231F20"/>
                <w:spacing w:val="-3"/>
                <w:sz w:val="15"/>
              </w:rPr>
              <w:t> </w:t>
            </w:r>
            <w:r>
              <w:rPr>
                <w:color w:val="231F20"/>
                <w:sz w:val="15"/>
              </w:rPr>
              <w:t>gadolinium.</w:t>
            </w:r>
            <w:r>
              <w:rPr>
                <w:color w:val="231F20"/>
                <w:spacing w:val="-3"/>
                <w:sz w:val="15"/>
              </w:rPr>
              <w:t> </w:t>
            </w:r>
            <w:r>
              <w:rPr>
                <w:color w:val="231F20"/>
                <w:sz w:val="15"/>
              </w:rPr>
              <w:t>Thin</w:t>
            </w:r>
            <w:r>
              <w:rPr>
                <w:color w:val="231F20"/>
                <w:spacing w:val="-3"/>
                <w:sz w:val="15"/>
              </w:rPr>
              <w:t> </w:t>
            </w:r>
            <w:r>
              <w:rPr>
                <w:color w:val="231F20"/>
                <w:sz w:val="15"/>
              </w:rPr>
              <w:t>slices</w:t>
            </w:r>
            <w:r>
              <w:rPr>
                <w:color w:val="231F20"/>
                <w:spacing w:val="-3"/>
                <w:sz w:val="15"/>
              </w:rPr>
              <w:t> </w:t>
            </w:r>
            <w:r>
              <w:rPr>
                <w:color w:val="231F20"/>
                <w:sz w:val="15"/>
              </w:rPr>
              <w:t>through</w:t>
            </w:r>
            <w:r>
              <w:rPr>
                <w:color w:val="231F20"/>
                <w:spacing w:val="-3"/>
                <w:sz w:val="15"/>
              </w:rPr>
              <w:t> </w:t>
            </w:r>
            <w:r>
              <w:rPr>
                <w:color w:val="231F20"/>
                <w:sz w:val="15"/>
              </w:rPr>
              <w:t>the</w:t>
            </w:r>
            <w:r>
              <w:rPr>
                <w:color w:val="231F20"/>
                <w:spacing w:val="-3"/>
                <w:sz w:val="15"/>
              </w:rPr>
              <w:t> </w:t>
            </w:r>
            <w:r>
              <w:rPr>
                <w:color w:val="231F20"/>
                <w:sz w:val="15"/>
              </w:rPr>
              <w:t>mesial temporal</w:t>
            </w:r>
            <w:r>
              <w:rPr>
                <w:color w:val="231F20"/>
                <w:spacing w:val="-5"/>
                <w:sz w:val="15"/>
              </w:rPr>
              <w:t> </w:t>
            </w:r>
            <w:r>
              <w:rPr>
                <w:color w:val="231F20"/>
                <w:sz w:val="15"/>
              </w:rPr>
              <w:t>lobes</w:t>
            </w:r>
            <w:r>
              <w:rPr>
                <w:color w:val="231F20"/>
                <w:spacing w:val="-5"/>
                <w:sz w:val="15"/>
              </w:rPr>
              <w:t> </w:t>
            </w:r>
            <w:r>
              <w:rPr>
                <w:color w:val="231F20"/>
                <w:sz w:val="15"/>
              </w:rPr>
              <w:t>may</w:t>
            </w:r>
            <w:r>
              <w:rPr>
                <w:color w:val="231F20"/>
                <w:spacing w:val="-5"/>
                <w:sz w:val="15"/>
              </w:rPr>
              <w:t> </w:t>
            </w:r>
            <w:r>
              <w:rPr>
                <w:color w:val="231F20"/>
                <w:sz w:val="15"/>
              </w:rPr>
              <w:t>be</w:t>
            </w:r>
            <w:r>
              <w:rPr>
                <w:color w:val="231F20"/>
                <w:spacing w:val="-5"/>
                <w:sz w:val="15"/>
              </w:rPr>
              <w:t> </w:t>
            </w:r>
            <w:r>
              <w:rPr>
                <w:color w:val="231F20"/>
                <w:sz w:val="15"/>
              </w:rPr>
              <w:t>helpful</w:t>
            </w:r>
            <w:r>
              <w:rPr>
                <w:color w:val="231F20"/>
                <w:spacing w:val="-5"/>
                <w:sz w:val="15"/>
              </w:rPr>
              <w:t> </w:t>
            </w:r>
            <w:r>
              <w:rPr>
                <w:color w:val="231F20"/>
                <w:sz w:val="15"/>
              </w:rPr>
              <w:t>if</w:t>
            </w:r>
            <w:r>
              <w:rPr>
                <w:color w:val="231F20"/>
                <w:spacing w:val="-4"/>
                <w:sz w:val="15"/>
              </w:rPr>
              <w:t> </w:t>
            </w:r>
            <w:r>
              <w:rPr>
                <w:color w:val="231F20"/>
                <w:sz w:val="15"/>
              </w:rPr>
              <w:t>a</w:t>
            </w:r>
            <w:r>
              <w:rPr>
                <w:color w:val="231F20"/>
                <w:spacing w:val="-5"/>
                <w:sz w:val="15"/>
              </w:rPr>
              <w:t> </w:t>
            </w:r>
            <w:r>
              <w:rPr>
                <w:color w:val="231F20"/>
                <w:sz w:val="15"/>
              </w:rPr>
              <w:t>temporal</w:t>
            </w:r>
            <w:r>
              <w:rPr>
                <w:color w:val="231F20"/>
                <w:spacing w:val="-5"/>
                <w:sz w:val="15"/>
              </w:rPr>
              <w:t> </w:t>
            </w:r>
            <w:r>
              <w:rPr>
                <w:color w:val="231F20"/>
                <w:sz w:val="15"/>
              </w:rPr>
              <w:t>focus</w:t>
            </w:r>
            <w:r>
              <w:rPr>
                <w:color w:val="231F20"/>
                <w:spacing w:val="-5"/>
                <w:sz w:val="15"/>
              </w:rPr>
              <w:t> </w:t>
            </w:r>
            <w:r>
              <w:rPr>
                <w:color w:val="231F20"/>
                <w:sz w:val="15"/>
              </w:rPr>
              <w:t>is</w:t>
            </w:r>
            <w:r>
              <w:rPr>
                <w:color w:val="231F20"/>
                <w:spacing w:val="-5"/>
                <w:sz w:val="15"/>
              </w:rPr>
              <w:t> </w:t>
            </w:r>
            <w:r>
              <w:rPr>
                <w:color w:val="231F20"/>
                <w:spacing w:val="-2"/>
                <w:sz w:val="15"/>
              </w:rPr>
              <w:t>suspected</w:t>
            </w:r>
          </w:p>
          <w:p>
            <w:pPr>
              <w:pStyle w:val="TableParagraph"/>
              <w:spacing w:line="167" w:lineRule="exact"/>
              <w:ind w:left="69"/>
              <w:rPr>
                <w:sz w:val="15"/>
              </w:rPr>
            </w:pPr>
            <w:r>
              <w:rPr>
                <w:color w:val="231F20"/>
                <w:spacing w:val="-5"/>
                <w:w w:val="105"/>
                <w:sz w:val="15"/>
              </w:rPr>
              <w:t>PET</w:t>
            </w:r>
          </w:p>
          <w:p>
            <w:pPr>
              <w:pStyle w:val="TableParagraph"/>
              <w:spacing w:line="171" w:lineRule="exact"/>
              <w:ind w:left="69"/>
              <w:rPr>
                <w:sz w:val="15"/>
              </w:rPr>
            </w:pPr>
            <w:r>
              <w:rPr>
                <w:color w:val="231F20"/>
                <w:w w:val="90"/>
                <w:sz w:val="15"/>
              </w:rPr>
              <w:t>Interictal</w:t>
            </w:r>
            <w:r>
              <w:rPr>
                <w:color w:val="231F20"/>
                <w:spacing w:val="13"/>
                <w:sz w:val="15"/>
              </w:rPr>
              <w:t> </w:t>
            </w:r>
            <w:r>
              <w:rPr>
                <w:color w:val="231F20"/>
                <w:spacing w:val="-2"/>
                <w:sz w:val="15"/>
              </w:rPr>
              <w:t>SPECT</w:t>
            </w:r>
          </w:p>
        </w:tc>
      </w:tr>
      <w:tr>
        <w:trPr>
          <w:trHeight w:val="768" w:hRule="exact"/>
        </w:trPr>
        <w:tc>
          <w:tcPr>
            <w:tcW w:w="4871" w:type="dxa"/>
            <w:gridSpan w:val="2"/>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78"/>
              <w:ind w:left="74"/>
              <w:rPr>
                <w:sz w:val="15"/>
              </w:rPr>
            </w:pPr>
            <w:r>
              <w:rPr>
                <w:color w:val="231F20"/>
                <w:w w:val="110"/>
                <w:sz w:val="15"/>
              </w:rPr>
              <w:t>ARTERIOVENOUS</w:t>
            </w:r>
            <w:r>
              <w:rPr>
                <w:color w:val="231F20"/>
                <w:spacing w:val="19"/>
                <w:w w:val="115"/>
                <w:sz w:val="15"/>
              </w:rPr>
              <w:t> </w:t>
            </w:r>
            <w:r>
              <w:rPr>
                <w:color w:val="231F20"/>
                <w:spacing w:val="-2"/>
                <w:w w:val="115"/>
                <w:sz w:val="15"/>
              </w:rPr>
              <w:t>MALFORMATION</w:t>
            </w:r>
          </w:p>
          <w:p>
            <w:pPr>
              <w:pStyle w:val="TableParagraph"/>
              <w:spacing w:line="230" w:lineRule="auto" w:before="3"/>
              <w:ind w:left="186" w:right="58" w:hanging="112"/>
              <w:rPr>
                <w:sz w:val="15"/>
              </w:rPr>
            </w:pPr>
            <w:r>
              <w:rPr>
                <w:color w:val="231F20"/>
                <w:sz w:val="15"/>
              </w:rPr>
              <w:t>CT for acute hemorrhage; MRI and MRA with and without </w:t>
            </w:r>
            <w:r>
              <w:rPr>
                <w:color w:val="231F20"/>
                <w:sz w:val="15"/>
              </w:rPr>
              <w:t>gadolinium as early as possible</w:t>
            </w:r>
          </w:p>
          <w:p>
            <w:pPr>
              <w:pStyle w:val="TableParagraph"/>
              <w:spacing w:line="151" w:lineRule="exact"/>
              <w:ind w:left="74"/>
              <w:rPr>
                <w:sz w:val="15"/>
              </w:rPr>
            </w:pPr>
            <w:r>
              <w:rPr>
                <w:color w:val="231F20"/>
                <w:sz w:val="15"/>
              </w:rPr>
              <w:t>Catheter</w:t>
            </w:r>
            <w:r>
              <w:rPr>
                <w:color w:val="231F20"/>
                <w:spacing w:val="-1"/>
                <w:sz w:val="15"/>
              </w:rPr>
              <w:t> </w:t>
            </w:r>
            <w:r>
              <w:rPr>
                <w:color w:val="231F20"/>
                <w:sz w:val="15"/>
              </w:rPr>
              <w:t>angiography</w:t>
            </w:r>
            <w:r>
              <w:rPr>
                <w:color w:val="231F20"/>
                <w:spacing w:val="-1"/>
                <w:sz w:val="15"/>
              </w:rPr>
              <w:t> </w:t>
            </w:r>
            <w:r>
              <w:rPr>
                <w:color w:val="231F20"/>
                <w:sz w:val="15"/>
              </w:rPr>
              <w:t>if</w:t>
            </w:r>
            <w:r>
              <w:rPr>
                <w:color w:val="231F20"/>
                <w:spacing w:val="-1"/>
                <w:sz w:val="15"/>
              </w:rPr>
              <w:t> </w:t>
            </w:r>
            <w:r>
              <w:rPr>
                <w:color w:val="231F20"/>
                <w:sz w:val="15"/>
              </w:rPr>
              <w:t>noninvasive imaging</w:t>
            </w:r>
            <w:r>
              <w:rPr>
                <w:color w:val="231F20"/>
                <w:spacing w:val="-1"/>
                <w:sz w:val="15"/>
              </w:rPr>
              <w:t> </w:t>
            </w:r>
            <w:r>
              <w:rPr>
                <w:color w:val="231F20"/>
                <w:sz w:val="15"/>
              </w:rPr>
              <w:t>is</w:t>
            </w:r>
            <w:r>
              <w:rPr>
                <w:color w:val="231F20"/>
                <w:spacing w:val="-1"/>
                <w:sz w:val="15"/>
              </w:rPr>
              <w:t> </w:t>
            </w:r>
            <w:r>
              <w:rPr>
                <w:color w:val="231F20"/>
                <w:spacing w:val="-2"/>
                <w:sz w:val="15"/>
              </w:rPr>
              <w:t>nondiagnostic</w:t>
            </w:r>
          </w:p>
        </w:tc>
        <w:tc>
          <w:tcPr>
            <w:tcW w:w="4871"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8"/>
              <w:ind w:left="69"/>
              <w:rPr>
                <w:sz w:val="15"/>
              </w:rPr>
            </w:pPr>
            <w:r>
              <w:rPr>
                <w:color w:val="231F20"/>
                <w:w w:val="115"/>
                <w:sz w:val="15"/>
              </w:rPr>
              <w:t>BRAIN</w:t>
            </w:r>
            <w:r>
              <w:rPr>
                <w:color w:val="231F20"/>
                <w:spacing w:val="-11"/>
                <w:w w:val="115"/>
                <w:sz w:val="15"/>
              </w:rPr>
              <w:t> </w:t>
            </w:r>
            <w:r>
              <w:rPr>
                <w:color w:val="231F20"/>
                <w:spacing w:val="-2"/>
                <w:w w:val="115"/>
                <w:sz w:val="15"/>
              </w:rPr>
              <w:t>TUMOR</w:t>
            </w:r>
          </w:p>
          <w:p>
            <w:pPr>
              <w:pStyle w:val="TableParagraph"/>
              <w:spacing w:line="230" w:lineRule="auto" w:before="3"/>
              <w:ind w:left="69" w:right="2518"/>
              <w:rPr>
                <w:sz w:val="15"/>
              </w:rPr>
            </w:pPr>
            <w:r>
              <w:rPr>
                <w:color w:val="231F20"/>
                <w:sz w:val="15"/>
              </w:rPr>
              <w:t>MRI</w:t>
            </w:r>
            <w:r>
              <w:rPr>
                <w:color w:val="231F20"/>
                <w:spacing w:val="-8"/>
                <w:sz w:val="15"/>
              </w:rPr>
              <w:t> </w:t>
            </w:r>
            <w:r>
              <w:rPr>
                <w:color w:val="231F20"/>
                <w:sz w:val="15"/>
              </w:rPr>
              <w:t>with</w:t>
            </w:r>
            <w:r>
              <w:rPr>
                <w:color w:val="231F20"/>
                <w:spacing w:val="-8"/>
                <w:sz w:val="15"/>
              </w:rPr>
              <w:t> </w:t>
            </w:r>
            <w:r>
              <w:rPr>
                <w:color w:val="231F20"/>
                <w:sz w:val="15"/>
              </w:rPr>
              <w:t>and</w:t>
            </w:r>
            <w:r>
              <w:rPr>
                <w:color w:val="231F20"/>
                <w:spacing w:val="-8"/>
                <w:sz w:val="15"/>
              </w:rPr>
              <w:t> </w:t>
            </w:r>
            <w:r>
              <w:rPr>
                <w:color w:val="231F20"/>
                <w:sz w:val="15"/>
              </w:rPr>
              <w:t>without</w:t>
            </w:r>
            <w:r>
              <w:rPr>
                <w:color w:val="231F20"/>
                <w:spacing w:val="-8"/>
                <w:sz w:val="15"/>
              </w:rPr>
              <w:t> </w:t>
            </w:r>
            <w:r>
              <w:rPr>
                <w:color w:val="231F20"/>
                <w:sz w:val="15"/>
              </w:rPr>
              <w:t>gadolinium </w:t>
            </w:r>
            <w:r>
              <w:rPr>
                <w:color w:val="231F20"/>
                <w:spacing w:val="-4"/>
                <w:sz w:val="15"/>
              </w:rPr>
              <w:t>MRS</w:t>
            </w:r>
          </w:p>
          <w:p>
            <w:pPr>
              <w:pStyle w:val="TableParagraph"/>
              <w:spacing w:line="170" w:lineRule="exact"/>
              <w:ind w:left="69"/>
              <w:rPr>
                <w:sz w:val="15"/>
              </w:rPr>
            </w:pPr>
            <w:r>
              <w:rPr>
                <w:color w:val="231F20"/>
                <w:spacing w:val="-5"/>
                <w:w w:val="105"/>
                <w:sz w:val="15"/>
              </w:rPr>
              <w:t>PET</w:t>
            </w:r>
          </w:p>
        </w:tc>
      </w:tr>
      <w:tr>
        <w:trPr>
          <w:trHeight w:val="565" w:hRule="exact"/>
        </w:trPr>
        <w:tc>
          <w:tcPr>
            <w:tcW w:w="4871"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78"/>
              <w:ind w:left="74"/>
              <w:rPr>
                <w:sz w:val="15"/>
              </w:rPr>
            </w:pPr>
            <w:r>
              <w:rPr>
                <w:color w:val="231F20"/>
                <w:w w:val="110"/>
                <w:sz w:val="15"/>
              </w:rPr>
              <w:t>CEREBRAL</w:t>
            </w:r>
            <w:r>
              <w:rPr>
                <w:color w:val="231F20"/>
                <w:spacing w:val="-1"/>
                <w:w w:val="110"/>
                <w:sz w:val="15"/>
              </w:rPr>
              <w:t> </w:t>
            </w:r>
            <w:r>
              <w:rPr>
                <w:color w:val="231F20"/>
                <w:spacing w:val="-2"/>
                <w:w w:val="115"/>
                <w:sz w:val="15"/>
              </w:rPr>
              <w:t>ANEURYSM</w:t>
            </w:r>
          </w:p>
          <w:p>
            <w:pPr>
              <w:pStyle w:val="TableParagraph"/>
              <w:spacing w:line="230" w:lineRule="auto" w:before="3"/>
              <w:ind w:left="74" w:right="907"/>
              <w:rPr>
                <w:sz w:val="15"/>
              </w:rPr>
            </w:pPr>
            <w:r>
              <w:rPr>
                <w:color w:val="231F20"/>
                <w:sz w:val="15"/>
              </w:rPr>
              <w:t>CT</w:t>
            </w:r>
            <w:r>
              <w:rPr>
                <w:color w:val="231F20"/>
                <w:spacing w:val="-10"/>
                <w:sz w:val="15"/>
              </w:rPr>
              <w:t> </w:t>
            </w:r>
            <w:r>
              <w:rPr>
                <w:color w:val="231F20"/>
                <w:sz w:val="15"/>
              </w:rPr>
              <w:t>without</w:t>
            </w:r>
            <w:r>
              <w:rPr>
                <w:color w:val="231F20"/>
                <w:spacing w:val="-10"/>
                <w:sz w:val="15"/>
              </w:rPr>
              <w:t> </w:t>
            </w:r>
            <w:r>
              <w:rPr>
                <w:color w:val="231F20"/>
                <w:sz w:val="15"/>
              </w:rPr>
              <w:t>contrast</w:t>
            </w:r>
            <w:r>
              <w:rPr>
                <w:color w:val="231F20"/>
                <w:spacing w:val="-10"/>
                <w:sz w:val="15"/>
              </w:rPr>
              <w:t> </w:t>
            </w:r>
            <w:r>
              <w:rPr>
                <w:color w:val="231F20"/>
                <w:sz w:val="15"/>
              </w:rPr>
              <w:t>for</w:t>
            </w:r>
            <w:r>
              <w:rPr>
                <w:color w:val="231F20"/>
                <w:spacing w:val="-10"/>
                <w:sz w:val="15"/>
              </w:rPr>
              <w:t> </w:t>
            </w:r>
            <w:r>
              <w:rPr>
                <w:color w:val="231F20"/>
                <w:sz w:val="15"/>
              </w:rPr>
              <w:t>acute</w:t>
            </w:r>
            <w:r>
              <w:rPr>
                <w:color w:val="231F20"/>
                <w:spacing w:val="-10"/>
                <w:sz w:val="15"/>
              </w:rPr>
              <w:t> </w:t>
            </w:r>
            <w:r>
              <w:rPr>
                <w:color w:val="231F20"/>
                <w:sz w:val="15"/>
              </w:rPr>
              <w:t>subarachnoid</w:t>
            </w:r>
            <w:r>
              <w:rPr>
                <w:color w:val="231F20"/>
                <w:spacing w:val="-10"/>
                <w:sz w:val="15"/>
              </w:rPr>
              <w:t> </w:t>
            </w:r>
            <w:r>
              <w:rPr>
                <w:color w:val="231F20"/>
                <w:sz w:val="15"/>
              </w:rPr>
              <w:t>hemorrhage MRA or CTA to identify the aneurysm</w:t>
            </w:r>
          </w:p>
          <w:p>
            <w:pPr>
              <w:pStyle w:val="TableParagraph"/>
              <w:spacing w:line="230" w:lineRule="auto" w:before="2"/>
              <w:ind w:left="74" w:right="907"/>
              <w:rPr>
                <w:sz w:val="15"/>
              </w:rPr>
            </w:pPr>
            <w:r>
              <w:rPr>
                <w:color w:val="231F20"/>
                <w:sz w:val="15"/>
              </w:rPr>
              <w:t>Catheter</w:t>
            </w:r>
            <w:r>
              <w:rPr>
                <w:color w:val="231F20"/>
                <w:spacing w:val="-1"/>
                <w:sz w:val="15"/>
              </w:rPr>
              <w:t> </w:t>
            </w:r>
            <w:r>
              <w:rPr>
                <w:color w:val="231F20"/>
                <w:sz w:val="15"/>
              </w:rPr>
              <w:t>angiography</w:t>
            </w:r>
            <w:r>
              <w:rPr>
                <w:color w:val="231F20"/>
                <w:spacing w:val="-1"/>
                <w:sz w:val="15"/>
              </w:rPr>
              <w:t> </w:t>
            </w:r>
            <w:r>
              <w:rPr>
                <w:color w:val="231F20"/>
                <w:sz w:val="15"/>
              </w:rPr>
              <w:t>may</w:t>
            </w:r>
            <w:r>
              <w:rPr>
                <w:color w:val="231F20"/>
                <w:spacing w:val="-1"/>
                <w:sz w:val="15"/>
              </w:rPr>
              <w:t> </w:t>
            </w:r>
            <w:r>
              <w:rPr>
                <w:color w:val="231F20"/>
                <w:sz w:val="15"/>
              </w:rPr>
              <w:t>be</w:t>
            </w:r>
            <w:r>
              <w:rPr>
                <w:color w:val="231F20"/>
                <w:spacing w:val="-1"/>
                <w:sz w:val="15"/>
              </w:rPr>
              <w:t> </w:t>
            </w:r>
            <w:r>
              <w:rPr>
                <w:color w:val="231F20"/>
                <w:sz w:val="15"/>
              </w:rPr>
              <w:t>necessary</w:t>
            </w:r>
            <w:r>
              <w:rPr>
                <w:color w:val="231F20"/>
                <w:spacing w:val="-1"/>
                <w:sz w:val="15"/>
              </w:rPr>
              <w:t> </w:t>
            </w:r>
            <w:r>
              <w:rPr>
                <w:color w:val="231F20"/>
                <w:sz w:val="15"/>
              </w:rPr>
              <w:t>in</w:t>
            </w:r>
            <w:r>
              <w:rPr>
                <w:color w:val="231F20"/>
                <w:spacing w:val="-1"/>
                <w:sz w:val="15"/>
              </w:rPr>
              <w:t> </w:t>
            </w:r>
            <w:r>
              <w:rPr>
                <w:color w:val="231F20"/>
                <w:sz w:val="15"/>
              </w:rPr>
              <w:t>some</w:t>
            </w:r>
            <w:r>
              <w:rPr>
                <w:color w:val="231F20"/>
                <w:spacing w:val="-1"/>
                <w:sz w:val="15"/>
              </w:rPr>
              <w:t> </w:t>
            </w:r>
            <w:r>
              <w:rPr>
                <w:color w:val="231F20"/>
                <w:sz w:val="15"/>
              </w:rPr>
              <w:t>cases TCD to detect vasospasm</w:t>
            </w:r>
          </w:p>
        </w:tc>
        <w:tc>
          <w:tcPr>
            <w:tcW w:w="4871"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7"/>
              <w:ind w:left="69"/>
              <w:rPr>
                <w:sz w:val="15"/>
              </w:rPr>
            </w:pPr>
            <w:r>
              <w:rPr>
                <w:color w:val="231F20"/>
                <w:w w:val="105"/>
                <w:sz w:val="15"/>
              </w:rPr>
              <w:t>MULTIPLE</w:t>
            </w:r>
            <w:r>
              <w:rPr>
                <w:color w:val="231F20"/>
                <w:spacing w:val="18"/>
                <w:w w:val="110"/>
                <w:sz w:val="15"/>
              </w:rPr>
              <w:t> </w:t>
            </w:r>
            <w:r>
              <w:rPr>
                <w:color w:val="231F20"/>
                <w:spacing w:val="-2"/>
                <w:w w:val="110"/>
                <w:sz w:val="15"/>
              </w:rPr>
              <w:t>SCLEROSIS</w:t>
            </w:r>
          </w:p>
          <w:p>
            <w:pPr>
              <w:pStyle w:val="TableParagraph"/>
              <w:spacing w:line="230" w:lineRule="auto" w:before="4"/>
              <w:ind w:left="69" w:right="2518"/>
              <w:rPr>
                <w:sz w:val="15"/>
              </w:rPr>
            </w:pPr>
            <w:r>
              <w:rPr>
                <w:color w:val="231F20"/>
                <w:sz w:val="15"/>
              </w:rPr>
              <w:t>MRI</w:t>
            </w:r>
            <w:r>
              <w:rPr>
                <w:color w:val="231F20"/>
                <w:spacing w:val="-8"/>
                <w:sz w:val="15"/>
              </w:rPr>
              <w:t> </w:t>
            </w:r>
            <w:r>
              <w:rPr>
                <w:color w:val="231F20"/>
                <w:sz w:val="15"/>
              </w:rPr>
              <w:t>with</w:t>
            </w:r>
            <w:r>
              <w:rPr>
                <w:color w:val="231F20"/>
                <w:spacing w:val="-8"/>
                <w:sz w:val="15"/>
              </w:rPr>
              <w:t> </w:t>
            </w:r>
            <w:r>
              <w:rPr>
                <w:color w:val="231F20"/>
                <w:sz w:val="15"/>
              </w:rPr>
              <w:t>and</w:t>
            </w:r>
            <w:r>
              <w:rPr>
                <w:color w:val="231F20"/>
                <w:spacing w:val="-8"/>
                <w:sz w:val="15"/>
              </w:rPr>
              <w:t> </w:t>
            </w:r>
            <w:r>
              <w:rPr>
                <w:color w:val="231F20"/>
                <w:sz w:val="15"/>
              </w:rPr>
              <w:t>without</w:t>
            </w:r>
            <w:r>
              <w:rPr>
                <w:color w:val="231F20"/>
                <w:spacing w:val="-8"/>
                <w:sz w:val="15"/>
              </w:rPr>
              <w:t> </w:t>
            </w:r>
            <w:r>
              <w:rPr>
                <w:color w:val="231F20"/>
                <w:sz w:val="15"/>
              </w:rPr>
              <w:t>gadolinium Obtain sagittal FLAIR images</w:t>
            </w:r>
          </w:p>
        </w:tc>
      </w:tr>
      <w:tr>
        <w:trPr>
          <w:trHeight w:val="406"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871"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5"/>
                <w:sz w:val="15"/>
              </w:rPr>
              <w:t>MENINGITIS</w:t>
            </w:r>
            <w:r>
              <w:rPr>
                <w:color w:val="231F20"/>
                <w:spacing w:val="-8"/>
                <w:w w:val="115"/>
                <w:sz w:val="15"/>
              </w:rPr>
              <w:t> </w:t>
            </w:r>
            <w:r>
              <w:rPr>
                <w:color w:val="231F20"/>
                <w:w w:val="115"/>
                <w:sz w:val="15"/>
              </w:rPr>
              <w:t>OR</w:t>
            </w:r>
            <w:r>
              <w:rPr>
                <w:color w:val="231F20"/>
                <w:spacing w:val="-8"/>
                <w:w w:val="115"/>
                <w:sz w:val="15"/>
              </w:rPr>
              <w:t> </w:t>
            </w:r>
            <w:r>
              <w:rPr>
                <w:color w:val="231F20"/>
                <w:spacing w:val="-2"/>
                <w:w w:val="115"/>
                <w:sz w:val="15"/>
              </w:rPr>
              <w:t>ENCEPHALITIS</w:t>
            </w:r>
          </w:p>
          <w:p>
            <w:pPr>
              <w:pStyle w:val="TableParagraph"/>
              <w:spacing w:line="230" w:lineRule="auto" w:before="3"/>
              <w:ind w:left="181" w:right="199" w:hanging="112"/>
              <w:rPr>
                <w:sz w:val="15"/>
              </w:rPr>
            </w:pPr>
            <w:r>
              <w:rPr>
                <w:color w:val="231F20"/>
                <w:sz w:val="15"/>
              </w:rPr>
              <w:t>CT</w:t>
            </w:r>
            <w:r>
              <w:rPr>
                <w:color w:val="231F20"/>
                <w:spacing w:val="-12"/>
                <w:sz w:val="15"/>
              </w:rPr>
              <w:t> </w:t>
            </w:r>
            <w:r>
              <w:rPr>
                <w:color w:val="231F20"/>
                <w:sz w:val="15"/>
              </w:rPr>
              <w:t>without</w:t>
            </w:r>
            <w:r>
              <w:rPr>
                <w:color w:val="231F20"/>
                <w:spacing w:val="-11"/>
                <w:sz w:val="15"/>
              </w:rPr>
              <w:t> </w:t>
            </w:r>
            <w:r>
              <w:rPr>
                <w:color w:val="231F20"/>
                <w:sz w:val="15"/>
              </w:rPr>
              <w:t>and</w:t>
            </w:r>
            <w:r>
              <w:rPr>
                <w:color w:val="231F20"/>
                <w:spacing w:val="-11"/>
                <w:sz w:val="15"/>
              </w:rPr>
              <w:t> </w:t>
            </w:r>
            <w:r>
              <w:rPr>
                <w:color w:val="231F20"/>
                <w:sz w:val="15"/>
              </w:rPr>
              <w:t>with</w:t>
            </w:r>
            <w:r>
              <w:rPr>
                <w:color w:val="231F20"/>
                <w:spacing w:val="-12"/>
                <w:sz w:val="15"/>
              </w:rPr>
              <w:t> </w:t>
            </w:r>
            <w:r>
              <w:rPr>
                <w:color w:val="231F20"/>
                <w:sz w:val="15"/>
              </w:rPr>
              <w:t>contrast</w:t>
            </w:r>
            <w:r>
              <w:rPr>
                <w:color w:val="231F20"/>
                <w:spacing w:val="-11"/>
                <w:sz w:val="15"/>
              </w:rPr>
              <w:t> </w:t>
            </w:r>
            <w:r>
              <w:rPr>
                <w:color w:val="231F20"/>
                <w:sz w:val="15"/>
              </w:rPr>
              <w:t>before</w:t>
            </w:r>
            <w:r>
              <w:rPr>
                <w:color w:val="231F20"/>
                <w:spacing w:val="-11"/>
                <w:sz w:val="15"/>
              </w:rPr>
              <w:t> </w:t>
            </w:r>
            <w:r>
              <w:rPr>
                <w:color w:val="231F20"/>
                <w:sz w:val="15"/>
              </w:rPr>
              <w:t>lumbar</w:t>
            </w:r>
            <w:r>
              <w:rPr>
                <w:color w:val="231F20"/>
                <w:spacing w:val="-12"/>
                <w:sz w:val="15"/>
              </w:rPr>
              <w:t> </w:t>
            </w:r>
            <w:r>
              <w:rPr>
                <w:color w:val="231F20"/>
                <w:sz w:val="15"/>
              </w:rPr>
              <w:t>puncture</w:t>
            </w:r>
            <w:r>
              <w:rPr>
                <w:color w:val="231F20"/>
                <w:spacing w:val="-11"/>
                <w:sz w:val="15"/>
              </w:rPr>
              <w:t> </w:t>
            </w:r>
            <w:r>
              <w:rPr>
                <w:color w:val="231F20"/>
                <w:sz w:val="15"/>
              </w:rPr>
              <w:t>if</w:t>
            </w:r>
            <w:r>
              <w:rPr>
                <w:color w:val="231F20"/>
                <w:spacing w:val="-11"/>
                <w:sz w:val="15"/>
              </w:rPr>
              <w:t> </w:t>
            </w:r>
            <w:r>
              <w:rPr>
                <w:color w:val="231F20"/>
                <w:sz w:val="15"/>
              </w:rPr>
              <w:t>there</w:t>
            </w:r>
            <w:r>
              <w:rPr>
                <w:color w:val="231F20"/>
                <w:spacing w:val="-11"/>
                <w:sz w:val="15"/>
              </w:rPr>
              <w:t> </w:t>
            </w:r>
            <w:r>
              <w:rPr>
                <w:color w:val="231F20"/>
                <w:sz w:val="15"/>
              </w:rPr>
              <w:t>are signs of increased ICP on examination</w:t>
            </w:r>
          </w:p>
          <w:p>
            <w:pPr>
              <w:pStyle w:val="TableParagraph"/>
              <w:spacing w:line="230" w:lineRule="auto" w:before="2"/>
              <w:ind w:left="181" w:right="199" w:hanging="112"/>
              <w:rPr>
                <w:sz w:val="15"/>
              </w:rPr>
            </w:pPr>
            <w:r>
              <w:rPr>
                <w:color w:val="231F20"/>
                <w:sz w:val="15"/>
              </w:rPr>
              <w:t>MRI with and without gadolinium after initial assessment and </w:t>
            </w:r>
            <w:r>
              <w:rPr>
                <w:color w:val="231F20"/>
                <w:spacing w:val="-2"/>
                <w:sz w:val="15"/>
              </w:rPr>
              <w:t>treatment</w:t>
            </w:r>
            <w:r>
              <w:rPr>
                <w:color w:val="231F20"/>
                <w:spacing w:val="-4"/>
                <w:sz w:val="15"/>
              </w:rPr>
              <w:t> </w:t>
            </w:r>
            <w:r>
              <w:rPr>
                <w:color w:val="231F20"/>
                <w:spacing w:val="-2"/>
                <w:sz w:val="15"/>
              </w:rPr>
              <w:t>for</w:t>
            </w:r>
            <w:r>
              <w:rPr>
                <w:color w:val="231F20"/>
                <w:spacing w:val="-4"/>
                <w:sz w:val="15"/>
              </w:rPr>
              <w:t> </w:t>
            </w:r>
            <w:r>
              <w:rPr>
                <w:color w:val="231F20"/>
                <w:spacing w:val="-2"/>
                <w:sz w:val="15"/>
              </w:rPr>
              <w:t>patients</w:t>
            </w:r>
            <w:r>
              <w:rPr>
                <w:color w:val="231F20"/>
                <w:spacing w:val="-4"/>
                <w:sz w:val="15"/>
              </w:rPr>
              <w:t> </w:t>
            </w:r>
            <w:r>
              <w:rPr>
                <w:color w:val="231F20"/>
                <w:spacing w:val="-2"/>
                <w:sz w:val="15"/>
              </w:rPr>
              <w:t>with</w:t>
            </w:r>
            <w:r>
              <w:rPr>
                <w:color w:val="231F20"/>
                <w:spacing w:val="-4"/>
                <w:sz w:val="15"/>
              </w:rPr>
              <w:t> </w:t>
            </w:r>
            <w:r>
              <w:rPr>
                <w:color w:val="231F20"/>
                <w:spacing w:val="-2"/>
                <w:sz w:val="15"/>
              </w:rPr>
              <w:t>complicated</w:t>
            </w:r>
            <w:r>
              <w:rPr>
                <w:color w:val="231F20"/>
                <w:spacing w:val="-4"/>
                <w:sz w:val="15"/>
              </w:rPr>
              <w:t> </w:t>
            </w:r>
            <w:r>
              <w:rPr>
                <w:color w:val="231F20"/>
                <w:spacing w:val="-2"/>
                <w:sz w:val="15"/>
              </w:rPr>
              <w:t>meningitis</w:t>
            </w:r>
            <w:r>
              <w:rPr>
                <w:color w:val="231F20"/>
                <w:spacing w:val="-4"/>
                <w:sz w:val="15"/>
              </w:rPr>
              <w:t> </w:t>
            </w:r>
            <w:r>
              <w:rPr>
                <w:color w:val="231F20"/>
                <w:spacing w:val="-2"/>
                <w:sz w:val="15"/>
              </w:rPr>
              <w:t>or</w:t>
            </w:r>
            <w:r>
              <w:rPr>
                <w:color w:val="231F20"/>
                <w:spacing w:val="-4"/>
                <w:sz w:val="15"/>
              </w:rPr>
              <w:t> </w:t>
            </w:r>
            <w:r>
              <w:rPr>
                <w:color w:val="231F20"/>
                <w:spacing w:val="-2"/>
                <w:sz w:val="15"/>
              </w:rPr>
              <w:t>encephalitis</w:t>
            </w:r>
          </w:p>
        </w:tc>
      </w:tr>
      <w:tr>
        <w:trPr>
          <w:trHeight w:val="530" w:hRule="exact"/>
        </w:trPr>
        <w:tc>
          <w:tcPr>
            <w:tcW w:w="4871"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w w:val="110"/>
                <w:sz w:val="15"/>
              </w:rPr>
              <w:t>HYPOXIC–ISCHEMIC</w:t>
            </w:r>
            <w:r>
              <w:rPr>
                <w:color w:val="231F20"/>
                <w:spacing w:val="30"/>
                <w:w w:val="110"/>
                <w:sz w:val="15"/>
              </w:rPr>
              <w:t> </w:t>
            </w:r>
            <w:r>
              <w:rPr>
                <w:color w:val="231F20"/>
                <w:w w:val="110"/>
                <w:sz w:val="15"/>
              </w:rPr>
              <w:t>BRAIN</w:t>
            </w:r>
            <w:r>
              <w:rPr>
                <w:color w:val="231F20"/>
                <w:spacing w:val="31"/>
                <w:w w:val="110"/>
                <w:sz w:val="15"/>
              </w:rPr>
              <w:t> </w:t>
            </w:r>
            <w:r>
              <w:rPr>
                <w:color w:val="231F20"/>
                <w:spacing w:val="-2"/>
                <w:w w:val="110"/>
                <w:sz w:val="15"/>
              </w:rPr>
              <w:t>INJURY</w:t>
            </w:r>
          </w:p>
          <w:p>
            <w:pPr>
              <w:pStyle w:val="TableParagraph"/>
              <w:spacing w:line="169" w:lineRule="exact"/>
              <w:ind w:left="74"/>
              <w:rPr>
                <w:sz w:val="15"/>
              </w:rPr>
            </w:pPr>
            <w:r>
              <w:rPr>
                <w:color w:val="231F20"/>
                <w:sz w:val="15"/>
              </w:rPr>
              <w:t>Ultrasound</w:t>
            </w:r>
            <w:r>
              <w:rPr>
                <w:color w:val="231F20"/>
                <w:spacing w:val="-6"/>
                <w:sz w:val="15"/>
              </w:rPr>
              <w:t> </w:t>
            </w:r>
            <w:r>
              <w:rPr>
                <w:color w:val="231F20"/>
                <w:sz w:val="15"/>
              </w:rPr>
              <w:t>in</w:t>
            </w:r>
            <w:r>
              <w:rPr>
                <w:color w:val="231F20"/>
                <w:spacing w:val="-6"/>
                <w:sz w:val="15"/>
              </w:rPr>
              <w:t> </w:t>
            </w:r>
            <w:r>
              <w:rPr>
                <w:color w:val="231F20"/>
                <w:spacing w:val="-2"/>
                <w:sz w:val="15"/>
              </w:rPr>
              <w:t>infants</w:t>
            </w:r>
          </w:p>
          <w:p>
            <w:pPr>
              <w:pStyle w:val="TableParagraph"/>
              <w:spacing w:line="230" w:lineRule="auto" w:before="2"/>
              <w:ind w:left="186" w:hanging="112"/>
              <w:rPr>
                <w:sz w:val="15"/>
              </w:rPr>
            </w:pPr>
            <w:r>
              <w:rPr>
                <w:color w:val="231F20"/>
                <w:sz w:val="15"/>
              </w:rPr>
              <w:t>If</w:t>
            </w:r>
            <w:r>
              <w:rPr>
                <w:color w:val="231F20"/>
                <w:spacing w:val="-12"/>
                <w:sz w:val="15"/>
              </w:rPr>
              <w:t> </w:t>
            </w:r>
            <w:r>
              <w:rPr>
                <w:color w:val="231F20"/>
                <w:sz w:val="15"/>
              </w:rPr>
              <w:t>ultrasound</w:t>
            </w:r>
            <w:r>
              <w:rPr>
                <w:color w:val="231F20"/>
                <w:spacing w:val="-11"/>
                <w:sz w:val="15"/>
              </w:rPr>
              <w:t> </w:t>
            </w:r>
            <w:r>
              <w:rPr>
                <w:color w:val="231F20"/>
                <w:sz w:val="15"/>
              </w:rPr>
              <w:t>is</w:t>
            </w:r>
            <w:r>
              <w:rPr>
                <w:color w:val="231F20"/>
                <w:spacing w:val="-11"/>
                <w:sz w:val="15"/>
              </w:rPr>
              <w:t> </w:t>
            </w:r>
            <w:r>
              <w:rPr>
                <w:color w:val="231F20"/>
                <w:sz w:val="15"/>
              </w:rPr>
              <w:t>negative</w:t>
            </w:r>
            <w:r>
              <w:rPr>
                <w:color w:val="231F20"/>
                <w:spacing w:val="-12"/>
                <w:sz w:val="15"/>
              </w:rPr>
              <w:t> </w:t>
            </w:r>
            <w:r>
              <w:rPr>
                <w:color w:val="231F20"/>
                <w:sz w:val="15"/>
              </w:rPr>
              <w:t>or</w:t>
            </w:r>
            <w:r>
              <w:rPr>
                <w:color w:val="231F20"/>
                <w:spacing w:val="-11"/>
                <w:sz w:val="15"/>
              </w:rPr>
              <w:t> </w:t>
            </w:r>
            <w:r>
              <w:rPr>
                <w:color w:val="231F20"/>
                <w:sz w:val="15"/>
              </w:rPr>
              <w:t>there</w:t>
            </w:r>
            <w:r>
              <w:rPr>
                <w:color w:val="231F20"/>
                <w:spacing w:val="-11"/>
                <w:sz w:val="15"/>
              </w:rPr>
              <w:t> </w:t>
            </w:r>
            <w:r>
              <w:rPr>
                <w:color w:val="231F20"/>
                <w:sz w:val="15"/>
              </w:rPr>
              <w:t>is</w:t>
            </w:r>
            <w:r>
              <w:rPr>
                <w:color w:val="231F20"/>
                <w:spacing w:val="-11"/>
                <w:sz w:val="15"/>
              </w:rPr>
              <w:t> </w:t>
            </w:r>
            <w:r>
              <w:rPr>
                <w:color w:val="231F20"/>
                <w:sz w:val="15"/>
              </w:rPr>
              <w:t>a</w:t>
            </w:r>
            <w:r>
              <w:rPr>
                <w:color w:val="231F20"/>
                <w:spacing w:val="-12"/>
                <w:sz w:val="15"/>
              </w:rPr>
              <w:t> </w:t>
            </w:r>
            <w:r>
              <w:rPr>
                <w:color w:val="231F20"/>
                <w:sz w:val="15"/>
              </w:rPr>
              <w:t>discrepancy</w:t>
            </w:r>
            <w:r>
              <w:rPr>
                <w:color w:val="231F20"/>
                <w:spacing w:val="-11"/>
                <w:sz w:val="15"/>
              </w:rPr>
              <w:t> </w:t>
            </w:r>
            <w:r>
              <w:rPr>
                <w:color w:val="231F20"/>
                <w:sz w:val="15"/>
              </w:rPr>
              <w:t>between</w:t>
            </w:r>
            <w:r>
              <w:rPr>
                <w:color w:val="231F20"/>
                <w:spacing w:val="-11"/>
                <w:sz w:val="15"/>
              </w:rPr>
              <w:t> </w:t>
            </w:r>
            <w:r>
              <w:rPr>
                <w:color w:val="231F20"/>
                <w:sz w:val="15"/>
              </w:rPr>
              <w:t>the</w:t>
            </w:r>
            <w:r>
              <w:rPr>
                <w:color w:val="231F20"/>
                <w:spacing w:val="-12"/>
                <w:sz w:val="15"/>
              </w:rPr>
              <w:t> </w:t>
            </w:r>
            <w:r>
              <w:rPr>
                <w:color w:val="231F20"/>
                <w:sz w:val="15"/>
              </w:rPr>
              <w:t>clinical course and the sonogram, obtain an MRI</w:t>
            </w:r>
          </w:p>
          <w:p>
            <w:pPr>
              <w:pStyle w:val="TableParagraph"/>
              <w:spacing w:line="167" w:lineRule="exact"/>
              <w:ind w:left="74"/>
              <w:rPr>
                <w:sz w:val="15"/>
              </w:rPr>
            </w:pPr>
            <w:r>
              <w:rPr>
                <w:color w:val="231F20"/>
                <w:spacing w:val="-2"/>
                <w:sz w:val="15"/>
              </w:rPr>
              <w:t>In</w:t>
            </w:r>
            <w:r>
              <w:rPr>
                <w:color w:val="231F20"/>
                <w:spacing w:val="-3"/>
                <w:sz w:val="15"/>
              </w:rPr>
              <w:t> </w:t>
            </w:r>
            <w:r>
              <w:rPr>
                <w:color w:val="231F20"/>
                <w:spacing w:val="-2"/>
                <w:sz w:val="15"/>
              </w:rPr>
              <w:t>older</w:t>
            </w:r>
            <w:r>
              <w:rPr>
                <w:color w:val="231F20"/>
                <w:spacing w:val="-3"/>
                <w:sz w:val="15"/>
              </w:rPr>
              <w:t> </w:t>
            </w:r>
            <w:r>
              <w:rPr>
                <w:color w:val="231F20"/>
                <w:spacing w:val="-2"/>
                <w:sz w:val="15"/>
              </w:rPr>
              <w:t>children,</w:t>
            </w:r>
            <w:r>
              <w:rPr>
                <w:color w:val="231F20"/>
                <w:spacing w:val="-3"/>
                <w:sz w:val="15"/>
              </w:rPr>
              <w:t> </w:t>
            </w:r>
            <w:r>
              <w:rPr>
                <w:color w:val="231F20"/>
                <w:spacing w:val="-2"/>
                <w:sz w:val="15"/>
              </w:rPr>
              <w:t>CT</w:t>
            </w:r>
            <w:r>
              <w:rPr>
                <w:color w:val="231F20"/>
                <w:spacing w:val="-3"/>
                <w:sz w:val="15"/>
              </w:rPr>
              <w:t> </w:t>
            </w:r>
            <w:r>
              <w:rPr>
                <w:color w:val="231F20"/>
                <w:spacing w:val="-2"/>
                <w:sz w:val="15"/>
              </w:rPr>
              <w:t>if</w:t>
            </w:r>
            <w:r>
              <w:rPr>
                <w:color w:val="231F20"/>
                <w:spacing w:val="-3"/>
                <w:sz w:val="15"/>
              </w:rPr>
              <w:t> </w:t>
            </w:r>
            <w:r>
              <w:rPr>
                <w:color w:val="231F20"/>
                <w:spacing w:val="-2"/>
                <w:sz w:val="15"/>
              </w:rPr>
              <w:t>unstable;</w:t>
            </w:r>
            <w:r>
              <w:rPr>
                <w:color w:val="231F20"/>
                <w:spacing w:val="-3"/>
                <w:sz w:val="15"/>
              </w:rPr>
              <w:t> </w:t>
            </w:r>
            <w:r>
              <w:rPr>
                <w:color w:val="231F20"/>
                <w:spacing w:val="-2"/>
                <w:sz w:val="15"/>
              </w:rPr>
              <w:t>otherwise,</w:t>
            </w:r>
            <w:r>
              <w:rPr>
                <w:color w:val="231F20"/>
                <w:spacing w:val="-3"/>
                <w:sz w:val="15"/>
              </w:rPr>
              <w:t> </w:t>
            </w:r>
            <w:r>
              <w:rPr>
                <w:color w:val="231F20"/>
                <w:spacing w:val="-5"/>
                <w:sz w:val="15"/>
              </w:rPr>
              <w:t>MRI</w:t>
            </w:r>
          </w:p>
          <w:p>
            <w:pPr>
              <w:pStyle w:val="TableParagraph"/>
              <w:spacing w:line="230" w:lineRule="auto" w:before="3"/>
              <w:ind w:left="186" w:hanging="112"/>
              <w:rPr>
                <w:sz w:val="15"/>
              </w:rPr>
            </w:pPr>
            <w:r>
              <w:rPr>
                <w:color w:val="231F20"/>
                <w:sz w:val="15"/>
              </w:rPr>
              <w:t>MRS</w:t>
            </w:r>
            <w:r>
              <w:rPr>
                <w:color w:val="231F20"/>
                <w:spacing w:val="-2"/>
                <w:sz w:val="15"/>
              </w:rPr>
              <w:t> </w:t>
            </w:r>
            <w:r>
              <w:rPr>
                <w:color w:val="231F20"/>
                <w:sz w:val="15"/>
              </w:rPr>
              <w:t>can</w:t>
            </w:r>
            <w:r>
              <w:rPr>
                <w:color w:val="231F20"/>
                <w:spacing w:val="-2"/>
                <w:sz w:val="15"/>
              </w:rPr>
              <w:t> </w:t>
            </w:r>
            <w:r>
              <w:rPr>
                <w:color w:val="231F20"/>
                <w:sz w:val="15"/>
              </w:rPr>
              <w:t>show</w:t>
            </w:r>
            <w:r>
              <w:rPr>
                <w:color w:val="231F20"/>
                <w:spacing w:val="-2"/>
                <w:sz w:val="15"/>
              </w:rPr>
              <w:t> </w:t>
            </w:r>
            <w:r>
              <w:rPr>
                <w:color w:val="231F20"/>
                <w:sz w:val="15"/>
              </w:rPr>
              <w:t>a</w:t>
            </w:r>
            <w:r>
              <w:rPr>
                <w:color w:val="231F20"/>
                <w:spacing w:val="-2"/>
                <w:sz w:val="15"/>
              </w:rPr>
              <w:t> </w:t>
            </w:r>
            <w:r>
              <w:rPr>
                <w:color w:val="231F20"/>
                <w:sz w:val="15"/>
              </w:rPr>
              <w:t>lactate</w:t>
            </w:r>
            <w:r>
              <w:rPr>
                <w:color w:val="231F20"/>
                <w:spacing w:val="-2"/>
                <w:sz w:val="15"/>
              </w:rPr>
              <w:t> </w:t>
            </w:r>
            <w:r>
              <w:rPr>
                <w:color w:val="231F20"/>
                <w:sz w:val="15"/>
              </w:rPr>
              <w:t>peak</w:t>
            </w:r>
            <w:r>
              <w:rPr>
                <w:color w:val="231F20"/>
                <w:spacing w:val="-2"/>
                <w:sz w:val="15"/>
              </w:rPr>
              <w:t> </w:t>
            </w:r>
            <w:r>
              <w:rPr>
                <w:color w:val="231F20"/>
                <w:sz w:val="15"/>
              </w:rPr>
              <w:t>even</w:t>
            </w:r>
            <w:r>
              <w:rPr>
                <w:color w:val="231F20"/>
                <w:spacing w:val="-2"/>
                <w:sz w:val="15"/>
              </w:rPr>
              <w:t> </w:t>
            </w:r>
            <w:r>
              <w:rPr>
                <w:color w:val="231F20"/>
                <w:sz w:val="15"/>
              </w:rPr>
              <w:t>in</w:t>
            </w:r>
            <w:r>
              <w:rPr>
                <w:color w:val="231F20"/>
                <w:spacing w:val="-2"/>
                <w:sz w:val="15"/>
              </w:rPr>
              <w:t> </w:t>
            </w:r>
            <w:r>
              <w:rPr>
                <w:color w:val="231F20"/>
                <w:sz w:val="15"/>
              </w:rPr>
              <w:t>the</w:t>
            </w:r>
            <w:r>
              <w:rPr>
                <w:color w:val="231F20"/>
                <w:spacing w:val="-2"/>
                <w:sz w:val="15"/>
              </w:rPr>
              <w:t> </w:t>
            </w:r>
            <w:r>
              <w:rPr>
                <w:color w:val="231F20"/>
                <w:sz w:val="15"/>
              </w:rPr>
              <w:t>absence</w:t>
            </w:r>
            <w:r>
              <w:rPr>
                <w:color w:val="231F20"/>
                <w:spacing w:val="-2"/>
                <w:sz w:val="15"/>
              </w:rPr>
              <w:t> </w:t>
            </w:r>
            <w:r>
              <w:rPr>
                <w:color w:val="231F20"/>
                <w:sz w:val="15"/>
              </w:rPr>
              <w:t>of</w:t>
            </w:r>
            <w:r>
              <w:rPr>
                <w:color w:val="231F20"/>
                <w:spacing w:val="-2"/>
                <w:sz w:val="15"/>
              </w:rPr>
              <w:t> </w:t>
            </w:r>
            <w:r>
              <w:rPr>
                <w:color w:val="231F20"/>
                <w:sz w:val="15"/>
              </w:rPr>
              <w:t>structural abnormalities</w:t>
            </w:r>
            <w:r>
              <w:rPr>
                <w:color w:val="231F20"/>
                <w:spacing w:val="-6"/>
                <w:sz w:val="15"/>
              </w:rPr>
              <w:t> </w:t>
            </w:r>
            <w:r>
              <w:rPr>
                <w:color w:val="231F20"/>
                <w:sz w:val="15"/>
              </w:rPr>
              <w:t>and</w:t>
            </w:r>
            <w:r>
              <w:rPr>
                <w:color w:val="231F20"/>
                <w:spacing w:val="-6"/>
                <w:sz w:val="15"/>
              </w:rPr>
              <w:t> </w:t>
            </w:r>
            <w:r>
              <w:rPr>
                <w:color w:val="231F20"/>
                <w:sz w:val="15"/>
              </w:rPr>
              <w:t>can</w:t>
            </w:r>
            <w:r>
              <w:rPr>
                <w:color w:val="231F20"/>
                <w:spacing w:val="-5"/>
                <w:sz w:val="15"/>
              </w:rPr>
              <w:t> </w:t>
            </w:r>
            <w:r>
              <w:rPr>
                <w:color w:val="231F20"/>
                <w:sz w:val="15"/>
              </w:rPr>
              <w:t>be</w:t>
            </w:r>
            <w:r>
              <w:rPr>
                <w:color w:val="231F20"/>
                <w:spacing w:val="-6"/>
                <w:sz w:val="15"/>
              </w:rPr>
              <w:t> </w:t>
            </w:r>
            <w:r>
              <w:rPr>
                <w:color w:val="231F20"/>
                <w:sz w:val="15"/>
              </w:rPr>
              <w:t>useful</w:t>
            </w:r>
            <w:r>
              <w:rPr>
                <w:color w:val="231F20"/>
                <w:spacing w:val="-6"/>
                <w:sz w:val="15"/>
              </w:rPr>
              <w:t> </w:t>
            </w:r>
            <w:r>
              <w:rPr>
                <w:color w:val="231F20"/>
                <w:sz w:val="15"/>
              </w:rPr>
              <w:t>for</w:t>
            </w:r>
            <w:r>
              <w:rPr>
                <w:color w:val="231F20"/>
                <w:spacing w:val="-5"/>
                <w:sz w:val="15"/>
              </w:rPr>
              <w:t> </w:t>
            </w:r>
            <w:r>
              <w:rPr>
                <w:color w:val="231F20"/>
                <w:sz w:val="15"/>
              </w:rPr>
              <w:t>prognostication</w:t>
            </w:r>
            <w:r>
              <w:rPr>
                <w:color w:val="231F20"/>
                <w:spacing w:val="-6"/>
                <w:sz w:val="15"/>
              </w:rPr>
              <w:t> </w:t>
            </w:r>
            <w:r>
              <w:rPr>
                <w:color w:val="231F20"/>
                <w:spacing w:val="-2"/>
                <w:sz w:val="15"/>
              </w:rPr>
              <w:t>purposes</w:t>
            </w:r>
          </w:p>
        </w:tc>
        <w:tc>
          <w:tcPr>
            <w:tcW w:w="4871"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742"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871"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5"/>
                <w:sz w:val="15"/>
              </w:rPr>
              <w:t>BRAIN</w:t>
            </w:r>
            <w:r>
              <w:rPr>
                <w:color w:val="231F20"/>
                <w:spacing w:val="-11"/>
                <w:w w:val="115"/>
                <w:sz w:val="15"/>
              </w:rPr>
              <w:t> </w:t>
            </w:r>
            <w:r>
              <w:rPr>
                <w:color w:val="231F20"/>
                <w:spacing w:val="-2"/>
                <w:w w:val="115"/>
                <w:sz w:val="15"/>
              </w:rPr>
              <w:t>ABSCESS</w:t>
            </w:r>
          </w:p>
          <w:p>
            <w:pPr>
              <w:pStyle w:val="TableParagraph"/>
              <w:spacing w:line="169" w:lineRule="exact"/>
              <w:ind w:left="69"/>
              <w:rPr>
                <w:sz w:val="15"/>
              </w:rPr>
            </w:pPr>
            <w:r>
              <w:rPr>
                <w:color w:val="231F20"/>
                <w:sz w:val="15"/>
              </w:rPr>
              <w:t>MRI</w:t>
            </w:r>
            <w:r>
              <w:rPr>
                <w:color w:val="231F20"/>
                <w:spacing w:val="-4"/>
                <w:sz w:val="15"/>
              </w:rPr>
              <w:t> </w:t>
            </w:r>
            <w:r>
              <w:rPr>
                <w:color w:val="231F20"/>
                <w:sz w:val="15"/>
              </w:rPr>
              <w:t>with</w:t>
            </w:r>
            <w:r>
              <w:rPr>
                <w:color w:val="231F20"/>
                <w:spacing w:val="-4"/>
                <w:sz w:val="15"/>
              </w:rPr>
              <w:t> </w:t>
            </w:r>
            <w:r>
              <w:rPr>
                <w:color w:val="231F20"/>
                <w:sz w:val="15"/>
              </w:rPr>
              <w:t>and</w:t>
            </w:r>
            <w:r>
              <w:rPr>
                <w:color w:val="231F20"/>
                <w:spacing w:val="-3"/>
                <w:sz w:val="15"/>
              </w:rPr>
              <w:t> </w:t>
            </w:r>
            <w:r>
              <w:rPr>
                <w:color w:val="231F20"/>
                <w:sz w:val="15"/>
              </w:rPr>
              <w:t>without</w:t>
            </w:r>
            <w:r>
              <w:rPr>
                <w:color w:val="231F20"/>
                <w:spacing w:val="-4"/>
                <w:sz w:val="15"/>
              </w:rPr>
              <w:t> </w:t>
            </w:r>
            <w:r>
              <w:rPr>
                <w:color w:val="231F20"/>
                <w:spacing w:val="-2"/>
                <w:sz w:val="15"/>
              </w:rPr>
              <w:t>gadolinium</w:t>
            </w:r>
          </w:p>
          <w:p>
            <w:pPr>
              <w:pStyle w:val="TableParagraph"/>
              <w:spacing w:line="230" w:lineRule="auto" w:before="2"/>
              <w:ind w:left="181" w:hanging="112"/>
              <w:rPr>
                <w:sz w:val="15"/>
              </w:rPr>
            </w:pPr>
            <w:r>
              <w:rPr>
                <w:color w:val="231F20"/>
                <w:sz w:val="15"/>
              </w:rPr>
              <w:t>Diffusion-weighted</w:t>
            </w:r>
            <w:r>
              <w:rPr>
                <w:color w:val="231F20"/>
                <w:spacing w:val="-2"/>
                <w:sz w:val="15"/>
              </w:rPr>
              <w:t> </w:t>
            </w:r>
            <w:r>
              <w:rPr>
                <w:color w:val="231F20"/>
                <w:sz w:val="15"/>
              </w:rPr>
              <w:t>images</w:t>
            </w:r>
            <w:r>
              <w:rPr>
                <w:color w:val="231F20"/>
                <w:spacing w:val="-2"/>
                <w:sz w:val="15"/>
              </w:rPr>
              <w:t> </w:t>
            </w:r>
            <w:r>
              <w:rPr>
                <w:color w:val="231F20"/>
                <w:sz w:val="15"/>
              </w:rPr>
              <w:t>and</w:t>
            </w:r>
            <w:r>
              <w:rPr>
                <w:color w:val="231F20"/>
                <w:spacing w:val="-2"/>
                <w:sz w:val="15"/>
              </w:rPr>
              <w:t> </w:t>
            </w:r>
            <w:r>
              <w:rPr>
                <w:color w:val="231F20"/>
                <w:sz w:val="15"/>
              </w:rPr>
              <w:t>MRS</w:t>
            </w:r>
            <w:r>
              <w:rPr>
                <w:color w:val="231F20"/>
                <w:spacing w:val="-2"/>
                <w:sz w:val="15"/>
              </w:rPr>
              <w:t> </w:t>
            </w:r>
            <w:r>
              <w:rPr>
                <w:color w:val="231F20"/>
                <w:sz w:val="15"/>
              </w:rPr>
              <w:t>can</w:t>
            </w:r>
            <w:r>
              <w:rPr>
                <w:color w:val="231F20"/>
                <w:spacing w:val="-2"/>
                <w:sz w:val="15"/>
              </w:rPr>
              <w:t> </w:t>
            </w:r>
            <w:r>
              <w:rPr>
                <w:color w:val="231F20"/>
                <w:sz w:val="15"/>
              </w:rPr>
              <w:t>help</w:t>
            </w:r>
            <w:r>
              <w:rPr>
                <w:color w:val="231F20"/>
                <w:spacing w:val="-2"/>
                <w:sz w:val="15"/>
              </w:rPr>
              <w:t> </w:t>
            </w:r>
            <w:r>
              <w:rPr>
                <w:color w:val="231F20"/>
                <w:sz w:val="15"/>
              </w:rPr>
              <w:t>to</w:t>
            </w:r>
            <w:r>
              <w:rPr>
                <w:color w:val="231F20"/>
                <w:spacing w:val="-2"/>
                <w:sz w:val="15"/>
              </w:rPr>
              <w:t> </w:t>
            </w:r>
            <w:r>
              <w:rPr>
                <w:color w:val="231F20"/>
                <w:sz w:val="15"/>
              </w:rPr>
              <w:t>differentiate</w:t>
            </w:r>
            <w:r>
              <w:rPr>
                <w:color w:val="231F20"/>
                <w:spacing w:val="-2"/>
                <w:sz w:val="15"/>
              </w:rPr>
              <w:t> </w:t>
            </w:r>
            <w:r>
              <w:rPr>
                <w:color w:val="231F20"/>
                <w:sz w:val="15"/>
              </w:rPr>
              <w:t>abscess from necrotic tumor</w:t>
            </w:r>
          </w:p>
          <w:p>
            <w:pPr>
              <w:pStyle w:val="TableParagraph"/>
              <w:spacing w:line="230" w:lineRule="auto" w:before="2"/>
              <w:ind w:left="181" w:right="199" w:hanging="112"/>
              <w:rPr>
                <w:sz w:val="15"/>
              </w:rPr>
            </w:pPr>
            <w:r>
              <w:rPr>
                <w:color w:val="231F20"/>
                <w:sz w:val="15"/>
              </w:rPr>
              <w:t>If</w:t>
            </w:r>
            <w:r>
              <w:rPr>
                <w:color w:val="231F20"/>
                <w:spacing w:val="-12"/>
                <w:sz w:val="15"/>
              </w:rPr>
              <w:t> </w:t>
            </w:r>
            <w:r>
              <w:rPr>
                <w:color w:val="231F20"/>
                <w:sz w:val="15"/>
              </w:rPr>
              <w:t>the</w:t>
            </w:r>
            <w:r>
              <w:rPr>
                <w:color w:val="231F20"/>
                <w:spacing w:val="-11"/>
                <w:sz w:val="15"/>
              </w:rPr>
              <w:t> </w:t>
            </w:r>
            <w:r>
              <w:rPr>
                <w:color w:val="231F20"/>
                <w:sz w:val="15"/>
              </w:rPr>
              <w:t>patient</w:t>
            </w:r>
            <w:r>
              <w:rPr>
                <w:color w:val="231F20"/>
                <w:spacing w:val="-11"/>
                <w:sz w:val="15"/>
              </w:rPr>
              <w:t> </w:t>
            </w:r>
            <w:r>
              <w:rPr>
                <w:color w:val="231F20"/>
                <w:sz w:val="15"/>
              </w:rPr>
              <w:t>is</w:t>
            </w:r>
            <w:r>
              <w:rPr>
                <w:color w:val="231F20"/>
                <w:spacing w:val="-12"/>
                <w:sz w:val="15"/>
              </w:rPr>
              <w:t> </w:t>
            </w:r>
            <w:r>
              <w:rPr>
                <w:color w:val="231F20"/>
                <w:sz w:val="15"/>
              </w:rPr>
              <w:t>unstable,</w:t>
            </w:r>
            <w:r>
              <w:rPr>
                <w:color w:val="231F20"/>
                <w:spacing w:val="-11"/>
                <w:sz w:val="15"/>
              </w:rPr>
              <w:t> </w:t>
            </w:r>
            <w:r>
              <w:rPr>
                <w:color w:val="231F20"/>
                <w:sz w:val="15"/>
              </w:rPr>
              <w:t>CT</w:t>
            </w:r>
            <w:r>
              <w:rPr>
                <w:color w:val="231F20"/>
                <w:spacing w:val="-11"/>
                <w:sz w:val="15"/>
              </w:rPr>
              <w:t> </w:t>
            </w:r>
            <w:r>
              <w:rPr>
                <w:color w:val="231F20"/>
                <w:sz w:val="15"/>
              </w:rPr>
              <w:t>with</w:t>
            </w:r>
            <w:r>
              <w:rPr>
                <w:color w:val="231F20"/>
                <w:spacing w:val="-12"/>
                <w:sz w:val="15"/>
              </w:rPr>
              <w:t> </w:t>
            </w:r>
            <w:r>
              <w:rPr>
                <w:color w:val="231F20"/>
                <w:sz w:val="15"/>
              </w:rPr>
              <w:t>and</w:t>
            </w:r>
            <w:r>
              <w:rPr>
                <w:color w:val="231F20"/>
                <w:spacing w:val="-11"/>
                <w:sz w:val="15"/>
              </w:rPr>
              <w:t> </w:t>
            </w:r>
            <w:r>
              <w:rPr>
                <w:color w:val="231F20"/>
                <w:sz w:val="15"/>
              </w:rPr>
              <w:t>without</w:t>
            </w:r>
            <w:r>
              <w:rPr>
                <w:color w:val="231F20"/>
                <w:spacing w:val="-11"/>
                <w:sz w:val="15"/>
              </w:rPr>
              <w:t> </w:t>
            </w:r>
            <w:r>
              <w:rPr>
                <w:color w:val="231F20"/>
                <w:sz w:val="15"/>
              </w:rPr>
              <w:t>contrast</w:t>
            </w:r>
            <w:r>
              <w:rPr>
                <w:color w:val="231F20"/>
                <w:spacing w:val="-11"/>
                <w:sz w:val="15"/>
              </w:rPr>
              <w:t> </w:t>
            </w:r>
            <w:r>
              <w:rPr>
                <w:color w:val="231F20"/>
                <w:sz w:val="15"/>
              </w:rPr>
              <w:t>followed</w:t>
            </w:r>
            <w:r>
              <w:rPr>
                <w:color w:val="231F20"/>
                <w:spacing w:val="-12"/>
                <w:sz w:val="15"/>
              </w:rPr>
              <w:t> </w:t>
            </w:r>
            <w:r>
              <w:rPr>
                <w:color w:val="231F20"/>
                <w:sz w:val="15"/>
              </w:rPr>
              <w:t>by MRI with and without contrast when feasible</w:t>
            </w:r>
          </w:p>
        </w:tc>
      </w:tr>
      <w:tr>
        <w:trPr>
          <w:trHeight w:val="362" w:hRule="exact"/>
        </w:trPr>
        <w:tc>
          <w:tcPr>
            <w:tcW w:w="4871"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w w:val="110"/>
                <w:sz w:val="15"/>
              </w:rPr>
              <w:t>METABOLIC</w:t>
            </w:r>
            <w:r>
              <w:rPr>
                <w:color w:val="231F20"/>
                <w:spacing w:val="19"/>
                <w:w w:val="115"/>
                <w:sz w:val="15"/>
              </w:rPr>
              <w:t> </w:t>
            </w:r>
            <w:r>
              <w:rPr>
                <w:color w:val="231F20"/>
                <w:spacing w:val="-2"/>
                <w:w w:val="115"/>
                <w:sz w:val="15"/>
              </w:rPr>
              <w:t>DISORDERS</w:t>
            </w:r>
          </w:p>
          <w:p>
            <w:pPr>
              <w:pStyle w:val="TableParagraph"/>
              <w:spacing w:line="169" w:lineRule="exact"/>
              <w:ind w:left="74"/>
              <w:rPr>
                <w:sz w:val="15"/>
              </w:rPr>
            </w:pPr>
            <w:r>
              <w:rPr>
                <w:color w:val="231F20"/>
                <w:sz w:val="15"/>
              </w:rPr>
              <w:t>MRI,</w:t>
            </w:r>
            <w:r>
              <w:rPr>
                <w:color w:val="231F20"/>
                <w:spacing w:val="-6"/>
                <w:sz w:val="15"/>
              </w:rPr>
              <w:t> </w:t>
            </w:r>
            <w:r>
              <w:rPr>
                <w:color w:val="231F20"/>
                <w:sz w:val="15"/>
              </w:rPr>
              <w:t>particularly</w:t>
            </w:r>
            <w:r>
              <w:rPr>
                <w:color w:val="231F20"/>
                <w:spacing w:val="-6"/>
                <w:sz w:val="15"/>
              </w:rPr>
              <w:t> </w:t>
            </w:r>
            <w:r>
              <w:rPr>
                <w:color w:val="231F20"/>
                <w:sz w:val="15"/>
              </w:rPr>
              <w:t>T2-weighted</w:t>
            </w:r>
            <w:r>
              <w:rPr>
                <w:color w:val="231F20"/>
                <w:spacing w:val="-6"/>
                <w:sz w:val="15"/>
              </w:rPr>
              <w:t> </w:t>
            </w:r>
            <w:r>
              <w:rPr>
                <w:color w:val="231F20"/>
                <w:sz w:val="15"/>
              </w:rPr>
              <w:t>and</w:t>
            </w:r>
            <w:r>
              <w:rPr>
                <w:color w:val="231F20"/>
                <w:spacing w:val="-6"/>
                <w:sz w:val="15"/>
              </w:rPr>
              <w:t> </w:t>
            </w:r>
            <w:r>
              <w:rPr>
                <w:color w:val="231F20"/>
                <w:sz w:val="15"/>
              </w:rPr>
              <w:t>FLAIR</w:t>
            </w:r>
            <w:r>
              <w:rPr>
                <w:color w:val="231F20"/>
                <w:spacing w:val="-6"/>
                <w:sz w:val="15"/>
              </w:rPr>
              <w:t> </w:t>
            </w:r>
            <w:r>
              <w:rPr>
                <w:color w:val="231F20"/>
                <w:spacing w:val="-2"/>
                <w:sz w:val="15"/>
              </w:rPr>
              <w:t>images</w:t>
            </w:r>
          </w:p>
          <w:p>
            <w:pPr>
              <w:pStyle w:val="TableParagraph"/>
              <w:spacing w:line="230" w:lineRule="auto" w:before="2"/>
              <w:ind w:left="186" w:hanging="112"/>
              <w:rPr>
                <w:sz w:val="15"/>
              </w:rPr>
            </w:pPr>
            <w:r>
              <w:rPr>
                <w:color w:val="231F20"/>
                <w:sz w:val="15"/>
              </w:rPr>
              <w:t>Diffusion-weighted</w:t>
            </w:r>
            <w:r>
              <w:rPr>
                <w:color w:val="231F20"/>
                <w:spacing w:val="-3"/>
                <w:sz w:val="15"/>
              </w:rPr>
              <w:t> </w:t>
            </w:r>
            <w:r>
              <w:rPr>
                <w:color w:val="231F20"/>
                <w:sz w:val="15"/>
              </w:rPr>
              <w:t>images</w:t>
            </w:r>
            <w:r>
              <w:rPr>
                <w:color w:val="231F20"/>
                <w:spacing w:val="-3"/>
                <w:sz w:val="15"/>
              </w:rPr>
              <w:t> </w:t>
            </w:r>
            <w:r>
              <w:rPr>
                <w:color w:val="231F20"/>
                <w:sz w:val="15"/>
              </w:rPr>
              <w:t>may</w:t>
            </w:r>
            <w:r>
              <w:rPr>
                <w:color w:val="231F20"/>
                <w:spacing w:val="-3"/>
                <w:sz w:val="15"/>
              </w:rPr>
              <w:t> </w:t>
            </w:r>
            <w:r>
              <w:rPr>
                <w:color w:val="231F20"/>
                <w:sz w:val="15"/>
              </w:rPr>
              <w:t>be</w:t>
            </w:r>
            <w:r>
              <w:rPr>
                <w:color w:val="231F20"/>
                <w:spacing w:val="-3"/>
                <w:sz w:val="15"/>
              </w:rPr>
              <w:t> </w:t>
            </w:r>
            <w:r>
              <w:rPr>
                <w:color w:val="231F20"/>
                <w:sz w:val="15"/>
              </w:rPr>
              <w:t>useful</w:t>
            </w:r>
            <w:r>
              <w:rPr>
                <w:color w:val="231F20"/>
                <w:spacing w:val="-3"/>
                <w:sz w:val="15"/>
              </w:rPr>
              <w:t> </w:t>
            </w:r>
            <w:r>
              <w:rPr>
                <w:color w:val="231F20"/>
                <w:sz w:val="15"/>
              </w:rPr>
              <w:t>in</w:t>
            </w:r>
            <w:r>
              <w:rPr>
                <w:color w:val="231F20"/>
                <w:spacing w:val="-3"/>
                <w:sz w:val="15"/>
              </w:rPr>
              <w:t> </w:t>
            </w:r>
            <w:r>
              <w:rPr>
                <w:color w:val="231F20"/>
                <w:sz w:val="15"/>
              </w:rPr>
              <w:t>distinguishing</w:t>
            </w:r>
            <w:r>
              <w:rPr>
                <w:color w:val="231F20"/>
                <w:spacing w:val="-3"/>
                <w:sz w:val="15"/>
              </w:rPr>
              <w:t> </w:t>
            </w:r>
            <w:r>
              <w:rPr>
                <w:color w:val="231F20"/>
                <w:sz w:val="15"/>
              </w:rPr>
              <w:t>acute</w:t>
            </w:r>
            <w:r>
              <w:rPr>
                <w:color w:val="231F20"/>
                <w:spacing w:val="-3"/>
                <w:sz w:val="15"/>
              </w:rPr>
              <w:t> </w:t>
            </w:r>
            <w:r>
              <w:rPr>
                <w:color w:val="231F20"/>
                <w:sz w:val="15"/>
              </w:rPr>
              <w:t>and chronic changes</w:t>
            </w:r>
          </w:p>
          <w:p>
            <w:pPr>
              <w:pStyle w:val="TableParagraph"/>
              <w:spacing w:line="170" w:lineRule="exact"/>
              <w:ind w:left="74"/>
              <w:rPr>
                <w:sz w:val="15"/>
              </w:rPr>
            </w:pPr>
            <w:r>
              <w:rPr>
                <w:color w:val="231F20"/>
                <w:sz w:val="15"/>
              </w:rPr>
              <w:t>MRS,</w:t>
            </w:r>
            <w:r>
              <w:rPr>
                <w:color w:val="231F20"/>
                <w:spacing w:val="1"/>
                <w:sz w:val="15"/>
              </w:rPr>
              <w:t> </w:t>
            </w:r>
            <w:r>
              <w:rPr>
                <w:color w:val="231F20"/>
                <w:sz w:val="15"/>
              </w:rPr>
              <w:t>SPECT,</w:t>
            </w:r>
            <w:r>
              <w:rPr>
                <w:color w:val="231F20"/>
                <w:spacing w:val="1"/>
                <w:sz w:val="15"/>
              </w:rPr>
              <w:t> </w:t>
            </w:r>
            <w:r>
              <w:rPr>
                <w:color w:val="231F20"/>
                <w:sz w:val="15"/>
              </w:rPr>
              <w:t>and</w:t>
            </w:r>
            <w:r>
              <w:rPr>
                <w:color w:val="231F20"/>
                <w:spacing w:val="2"/>
                <w:sz w:val="15"/>
              </w:rPr>
              <w:t> </w:t>
            </w:r>
            <w:r>
              <w:rPr>
                <w:color w:val="231F20"/>
                <w:sz w:val="15"/>
              </w:rPr>
              <w:t>PET</w:t>
            </w:r>
            <w:r>
              <w:rPr>
                <w:color w:val="231F20"/>
                <w:spacing w:val="1"/>
                <w:sz w:val="15"/>
              </w:rPr>
              <w:t> </w:t>
            </w:r>
            <w:r>
              <w:rPr>
                <w:color w:val="231F20"/>
                <w:sz w:val="15"/>
              </w:rPr>
              <w:t>may</w:t>
            </w:r>
            <w:r>
              <w:rPr>
                <w:color w:val="231F20"/>
                <w:spacing w:val="2"/>
                <w:sz w:val="15"/>
              </w:rPr>
              <w:t> </w:t>
            </w:r>
            <w:r>
              <w:rPr>
                <w:color w:val="231F20"/>
                <w:sz w:val="15"/>
              </w:rPr>
              <w:t>be</w:t>
            </w:r>
            <w:r>
              <w:rPr>
                <w:color w:val="231F20"/>
                <w:spacing w:val="1"/>
                <w:sz w:val="15"/>
              </w:rPr>
              <w:t> </w:t>
            </w:r>
            <w:r>
              <w:rPr>
                <w:color w:val="231F20"/>
                <w:sz w:val="15"/>
              </w:rPr>
              <w:t>useful</w:t>
            </w:r>
            <w:r>
              <w:rPr>
                <w:color w:val="231F20"/>
                <w:spacing w:val="2"/>
                <w:sz w:val="15"/>
              </w:rPr>
              <w:t> </w:t>
            </w:r>
            <w:r>
              <w:rPr>
                <w:color w:val="231F20"/>
                <w:sz w:val="15"/>
              </w:rPr>
              <w:t>in</w:t>
            </w:r>
            <w:r>
              <w:rPr>
                <w:color w:val="231F20"/>
                <w:spacing w:val="1"/>
                <w:sz w:val="15"/>
              </w:rPr>
              <w:t> </w:t>
            </w:r>
            <w:r>
              <w:rPr>
                <w:color w:val="231F20"/>
                <w:sz w:val="15"/>
              </w:rPr>
              <w:t>certain</w:t>
            </w:r>
            <w:r>
              <w:rPr>
                <w:color w:val="231F20"/>
                <w:spacing w:val="2"/>
                <w:sz w:val="15"/>
              </w:rPr>
              <w:t> </w:t>
            </w:r>
            <w:r>
              <w:rPr>
                <w:color w:val="231F20"/>
                <w:spacing w:val="-2"/>
                <w:sz w:val="15"/>
              </w:rPr>
              <w:t>disorders</w:t>
            </w:r>
          </w:p>
        </w:tc>
        <w:tc>
          <w:tcPr>
            <w:tcW w:w="4871"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574"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871" w:type="dxa"/>
            <w:vMerge w:val="restart"/>
            <w:tcBorders>
              <w:top w:val="single" w:sz="4" w:space="0" w:color="FFFFFF"/>
              <w:left w:val="single" w:sz="4" w:space="0" w:color="231F20"/>
              <w:bottom w:val="single" w:sz="8" w:space="0" w:color="231F20"/>
              <w:right w:val="nil"/>
            </w:tcBorders>
            <w:shd w:val="clear" w:color="auto" w:fill="E8F5F1"/>
          </w:tcPr>
          <w:p>
            <w:pPr>
              <w:pStyle w:val="TableParagraph"/>
              <w:spacing w:line="172" w:lineRule="exact" w:before="43"/>
              <w:ind w:left="69"/>
              <w:rPr>
                <w:sz w:val="15"/>
              </w:rPr>
            </w:pPr>
            <w:r>
              <w:rPr>
                <w:color w:val="231F20"/>
                <w:w w:val="115"/>
                <w:sz w:val="15"/>
              </w:rPr>
              <w:t>MOVEMENT</w:t>
            </w:r>
            <w:r>
              <w:rPr>
                <w:color w:val="231F20"/>
                <w:spacing w:val="12"/>
                <w:w w:val="115"/>
                <w:sz w:val="15"/>
              </w:rPr>
              <w:t> </w:t>
            </w:r>
            <w:r>
              <w:rPr>
                <w:color w:val="231F20"/>
                <w:spacing w:val="-2"/>
                <w:w w:val="115"/>
                <w:sz w:val="15"/>
              </w:rPr>
              <w:t>DISORDERS</w:t>
            </w:r>
          </w:p>
          <w:p>
            <w:pPr>
              <w:pStyle w:val="TableParagraph"/>
              <w:spacing w:line="230" w:lineRule="auto" w:before="3"/>
              <w:ind w:left="69" w:right="2518"/>
              <w:rPr>
                <w:sz w:val="15"/>
              </w:rPr>
            </w:pPr>
            <w:r>
              <w:rPr>
                <w:color w:val="231F20"/>
                <w:sz w:val="15"/>
              </w:rPr>
              <w:t>MRI</w:t>
            </w:r>
            <w:r>
              <w:rPr>
                <w:color w:val="231F20"/>
                <w:spacing w:val="-8"/>
                <w:sz w:val="15"/>
              </w:rPr>
              <w:t> </w:t>
            </w:r>
            <w:r>
              <w:rPr>
                <w:color w:val="231F20"/>
                <w:sz w:val="15"/>
              </w:rPr>
              <w:t>with</w:t>
            </w:r>
            <w:r>
              <w:rPr>
                <w:color w:val="231F20"/>
                <w:spacing w:val="-8"/>
                <w:sz w:val="15"/>
              </w:rPr>
              <w:t> </w:t>
            </w:r>
            <w:r>
              <w:rPr>
                <w:color w:val="231F20"/>
                <w:sz w:val="15"/>
              </w:rPr>
              <w:t>and</w:t>
            </w:r>
            <w:r>
              <w:rPr>
                <w:color w:val="231F20"/>
                <w:spacing w:val="-8"/>
                <w:sz w:val="15"/>
              </w:rPr>
              <w:t> </w:t>
            </w:r>
            <w:r>
              <w:rPr>
                <w:color w:val="231F20"/>
                <w:sz w:val="15"/>
              </w:rPr>
              <w:t>without</w:t>
            </w:r>
            <w:r>
              <w:rPr>
                <w:color w:val="231F20"/>
                <w:spacing w:val="-8"/>
                <w:sz w:val="15"/>
              </w:rPr>
              <w:t> </w:t>
            </w:r>
            <w:r>
              <w:rPr>
                <w:color w:val="231F20"/>
                <w:sz w:val="15"/>
              </w:rPr>
              <w:t>gadolinium </w:t>
            </w:r>
            <w:r>
              <w:rPr>
                <w:color w:val="231F20"/>
                <w:spacing w:val="-4"/>
                <w:sz w:val="15"/>
              </w:rPr>
              <w:t>PET</w:t>
            </w:r>
          </w:p>
          <w:p>
            <w:pPr>
              <w:pStyle w:val="TableParagraph"/>
              <w:spacing w:line="230" w:lineRule="auto" w:before="1"/>
              <w:ind w:left="181" w:hanging="112"/>
              <w:rPr>
                <w:sz w:val="15"/>
              </w:rPr>
            </w:pPr>
            <w:r>
              <w:rPr>
                <w:color w:val="231F20"/>
                <w:sz w:val="15"/>
              </w:rPr>
              <w:t>DaTscan</w:t>
            </w:r>
            <w:r>
              <w:rPr>
                <w:color w:val="231F20"/>
                <w:spacing w:val="-2"/>
                <w:sz w:val="15"/>
              </w:rPr>
              <w:t> </w:t>
            </w:r>
            <w:r>
              <w:rPr>
                <w:color w:val="231F20"/>
                <w:sz w:val="15"/>
              </w:rPr>
              <w:t>(SPECT</w:t>
            </w:r>
            <w:r>
              <w:rPr>
                <w:color w:val="231F20"/>
                <w:spacing w:val="-2"/>
                <w:sz w:val="15"/>
              </w:rPr>
              <w:t> </w:t>
            </w:r>
            <w:r>
              <w:rPr>
                <w:color w:val="231F20"/>
                <w:sz w:val="15"/>
              </w:rPr>
              <w:t>scan</w:t>
            </w:r>
            <w:r>
              <w:rPr>
                <w:color w:val="231F20"/>
                <w:spacing w:val="-2"/>
                <w:sz w:val="15"/>
              </w:rPr>
              <w:t> </w:t>
            </w:r>
            <w:r>
              <w:rPr>
                <w:color w:val="231F20"/>
                <w:sz w:val="15"/>
              </w:rPr>
              <w:t>using</w:t>
            </w:r>
            <w:r>
              <w:rPr>
                <w:color w:val="231F20"/>
                <w:spacing w:val="-2"/>
                <w:sz w:val="15"/>
              </w:rPr>
              <w:t> </w:t>
            </w:r>
            <w:r>
              <w:rPr>
                <w:color w:val="231F20"/>
                <w:sz w:val="15"/>
              </w:rPr>
              <w:t>ioflupane</w:t>
            </w:r>
            <w:r>
              <w:rPr>
                <w:color w:val="231F20"/>
                <w:spacing w:val="-2"/>
                <w:sz w:val="15"/>
              </w:rPr>
              <w:t> </w:t>
            </w:r>
            <w:r>
              <w:rPr>
                <w:color w:val="231F20"/>
                <w:sz w:val="15"/>
              </w:rPr>
              <w:t>iodine-123</w:t>
            </w:r>
            <w:r>
              <w:rPr>
                <w:color w:val="231F20"/>
                <w:spacing w:val="-2"/>
                <w:sz w:val="15"/>
              </w:rPr>
              <w:t> </w:t>
            </w:r>
            <w:r>
              <w:rPr>
                <w:color w:val="231F20"/>
                <w:sz w:val="15"/>
              </w:rPr>
              <w:t>as</w:t>
            </w:r>
            <w:r>
              <w:rPr>
                <w:color w:val="231F20"/>
                <w:spacing w:val="-2"/>
                <w:sz w:val="15"/>
              </w:rPr>
              <w:t> </w:t>
            </w:r>
            <w:r>
              <w:rPr>
                <w:color w:val="231F20"/>
                <w:sz w:val="15"/>
              </w:rPr>
              <w:t>the</w:t>
            </w:r>
            <w:r>
              <w:rPr>
                <w:color w:val="231F20"/>
                <w:spacing w:val="-2"/>
                <w:sz w:val="15"/>
              </w:rPr>
              <w:t> </w:t>
            </w:r>
            <w:r>
              <w:rPr>
                <w:color w:val="231F20"/>
                <w:sz w:val="15"/>
              </w:rPr>
              <w:t>contrast</w:t>
            </w:r>
            <w:r>
              <w:rPr>
                <w:color w:val="231F20"/>
                <w:spacing w:val="-2"/>
                <w:sz w:val="15"/>
              </w:rPr>
              <w:t> </w:t>
            </w:r>
            <w:r>
              <w:rPr>
                <w:color w:val="231F20"/>
                <w:sz w:val="15"/>
              </w:rPr>
              <w:t>agent for detecting dopamine transporters in suspected parkinsonian </w:t>
            </w:r>
            <w:r>
              <w:rPr>
                <w:color w:val="231F20"/>
                <w:spacing w:val="-2"/>
                <w:sz w:val="15"/>
              </w:rPr>
              <w:t>syndromes)</w:t>
            </w:r>
          </w:p>
        </w:tc>
      </w:tr>
      <w:tr>
        <w:trPr>
          <w:trHeight w:val="1282" w:hRule="exact"/>
        </w:trPr>
        <w:tc>
          <w:tcPr>
            <w:tcW w:w="4871" w:type="dxa"/>
            <w:gridSpan w:val="2"/>
            <w:tcBorders>
              <w:top w:val="single" w:sz="4" w:space="0" w:color="FFFFFF"/>
              <w:left w:val="nil"/>
              <w:bottom w:val="single" w:sz="12" w:space="0" w:color="231F20"/>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HYDROCEPHALUS</w:t>
            </w:r>
          </w:p>
          <w:p>
            <w:pPr>
              <w:pStyle w:val="TableParagraph"/>
              <w:spacing w:line="230" w:lineRule="auto" w:before="3"/>
              <w:ind w:left="43" w:right="198"/>
              <w:jc w:val="right"/>
              <w:rPr>
                <w:sz w:val="15"/>
              </w:rPr>
            </w:pPr>
            <w:r>
              <w:rPr>
                <w:color w:val="231F20"/>
                <w:sz w:val="15"/>
              </w:rPr>
              <w:t>Ultrasound</w:t>
            </w:r>
            <w:r>
              <w:rPr>
                <w:color w:val="231F20"/>
                <w:spacing w:val="-12"/>
                <w:sz w:val="15"/>
              </w:rPr>
              <w:t> </w:t>
            </w:r>
            <w:r>
              <w:rPr>
                <w:color w:val="231F20"/>
                <w:sz w:val="15"/>
              </w:rPr>
              <w:t>(in</w:t>
            </w:r>
            <w:r>
              <w:rPr>
                <w:color w:val="231F20"/>
                <w:spacing w:val="-11"/>
                <w:sz w:val="15"/>
              </w:rPr>
              <w:t> </w:t>
            </w:r>
            <w:r>
              <w:rPr>
                <w:color w:val="231F20"/>
                <w:sz w:val="15"/>
              </w:rPr>
              <w:t>infants),</w:t>
            </w:r>
            <w:r>
              <w:rPr>
                <w:color w:val="231F20"/>
                <w:spacing w:val="-11"/>
                <w:sz w:val="15"/>
              </w:rPr>
              <w:t> </w:t>
            </w:r>
            <w:r>
              <w:rPr>
                <w:color w:val="231F20"/>
                <w:sz w:val="15"/>
              </w:rPr>
              <w:t>CT</w:t>
            </w:r>
            <w:r>
              <w:rPr>
                <w:color w:val="231F20"/>
                <w:spacing w:val="-12"/>
                <w:sz w:val="15"/>
              </w:rPr>
              <w:t> </w:t>
            </w:r>
            <w:r>
              <w:rPr>
                <w:color w:val="231F20"/>
                <w:sz w:val="15"/>
              </w:rPr>
              <w:t>with</w:t>
            </w:r>
            <w:r>
              <w:rPr>
                <w:color w:val="231F20"/>
                <w:spacing w:val="-11"/>
                <w:sz w:val="15"/>
              </w:rPr>
              <w:t> </w:t>
            </w:r>
            <w:r>
              <w:rPr>
                <w:color w:val="231F20"/>
                <w:sz w:val="15"/>
              </w:rPr>
              <w:t>and</w:t>
            </w:r>
            <w:r>
              <w:rPr>
                <w:color w:val="231F20"/>
                <w:spacing w:val="-11"/>
                <w:sz w:val="15"/>
              </w:rPr>
              <w:t> </w:t>
            </w:r>
            <w:r>
              <w:rPr>
                <w:color w:val="231F20"/>
                <w:sz w:val="15"/>
              </w:rPr>
              <w:t>without</w:t>
            </w:r>
            <w:r>
              <w:rPr>
                <w:color w:val="231F20"/>
                <w:spacing w:val="-12"/>
                <w:sz w:val="15"/>
              </w:rPr>
              <w:t> </w:t>
            </w:r>
            <w:r>
              <w:rPr>
                <w:color w:val="231F20"/>
                <w:sz w:val="15"/>
              </w:rPr>
              <w:t>contrast,</w:t>
            </w:r>
            <w:r>
              <w:rPr>
                <w:color w:val="231F20"/>
                <w:spacing w:val="-11"/>
                <w:sz w:val="15"/>
              </w:rPr>
              <w:t> </w:t>
            </w:r>
            <w:r>
              <w:rPr>
                <w:color w:val="231F20"/>
                <w:sz w:val="15"/>
              </w:rPr>
              <w:t>or</w:t>
            </w:r>
            <w:r>
              <w:rPr>
                <w:color w:val="231F20"/>
                <w:spacing w:val="-11"/>
                <w:sz w:val="15"/>
              </w:rPr>
              <w:t> </w:t>
            </w:r>
            <w:r>
              <w:rPr>
                <w:color w:val="231F20"/>
                <w:sz w:val="15"/>
              </w:rPr>
              <w:t>MR</w:t>
            </w:r>
            <w:r>
              <w:rPr>
                <w:color w:val="231F20"/>
                <w:spacing w:val="-11"/>
                <w:sz w:val="15"/>
              </w:rPr>
              <w:t> </w:t>
            </w:r>
            <w:r>
              <w:rPr>
                <w:color w:val="231F20"/>
                <w:sz w:val="15"/>
              </w:rPr>
              <w:t>with</w:t>
            </w:r>
            <w:r>
              <w:rPr>
                <w:color w:val="231F20"/>
                <w:spacing w:val="-12"/>
                <w:sz w:val="15"/>
              </w:rPr>
              <w:t> </w:t>
            </w:r>
            <w:r>
              <w:rPr>
                <w:color w:val="231F20"/>
                <w:sz w:val="15"/>
              </w:rPr>
              <w:t>and without gadolinium for diagnosis of communicating hydrocephalus MR with and without gadolinium for diagnosis of </w:t>
            </w:r>
            <w:r>
              <w:rPr>
                <w:color w:val="231F20"/>
                <w:spacing w:val="-2"/>
                <w:sz w:val="15"/>
              </w:rPr>
              <w:t>noncommunicating</w:t>
            </w:r>
          </w:p>
          <w:p>
            <w:pPr>
              <w:pStyle w:val="TableParagraph"/>
              <w:spacing w:line="168" w:lineRule="exact"/>
              <w:ind w:left="186"/>
              <w:rPr>
                <w:sz w:val="15"/>
              </w:rPr>
            </w:pPr>
            <w:r>
              <w:rPr>
                <w:color w:val="231F20"/>
                <w:spacing w:val="-2"/>
                <w:sz w:val="15"/>
              </w:rPr>
              <w:t>hydrocephalus</w:t>
            </w:r>
          </w:p>
          <w:p>
            <w:pPr>
              <w:pStyle w:val="TableParagraph"/>
              <w:spacing w:line="230" w:lineRule="auto" w:before="3"/>
              <w:ind w:left="186" w:hanging="112"/>
              <w:rPr>
                <w:sz w:val="15"/>
              </w:rPr>
            </w:pPr>
            <w:r>
              <w:rPr>
                <w:color w:val="231F20"/>
                <w:sz w:val="15"/>
              </w:rPr>
              <w:t>Ultrasound</w:t>
            </w:r>
            <w:r>
              <w:rPr>
                <w:color w:val="231F20"/>
                <w:spacing w:val="-12"/>
                <w:sz w:val="15"/>
              </w:rPr>
              <w:t> </w:t>
            </w:r>
            <w:r>
              <w:rPr>
                <w:color w:val="231F20"/>
                <w:sz w:val="15"/>
              </w:rPr>
              <w:t>(in</w:t>
            </w:r>
            <w:r>
              <w:rPr>
                <w:color w:val="231F20"/>
                <w:spacing w:val="-11"/>
                <w:sz w:val="15"/>
              </w:rPr>
              <w:t> </w:t>
            </w:r>
            <w:r>
              <w:rPr>
                <w:color w:val="231F20"/>
                <w:sz w:val="15"/>
              </w:rPr>
              <w:t>infants)</w:t>
            </w:r>
            <w:r>
              <w:rPr>
                <w:color w:val="231F20"/>
                <w:spacing w:val="-11"/>
                <w:sz w:val="15"/>
              </w:rPr>
              <w:t> </w:t>
            </w:r>
            <w:r>
              <w:rPr>
                <w:color w:val="231F20"/>
                <w:sz w:val="15"/>
              </w:rPr>
              <w:t>or</w:t>
            </w:r>
            <w:r>
              <w:rPr>
                <w:color w:val="231F20"/>
                <w:spacing w:val="-12"/>
                <w:sz w:val="15"/>
              </w:rPr>
              <w:t> </w:t>
            </w:r>
            <w:r>
              <w:rPr>
                <w:color w:val="231F20"/>
                <w:sz w:val="15"/>
              </w:rPr>
              <w:t>CT</w:t>
            </w:r>
            <w:r>
              <w:rPr>
                <w:color w:val="231F20"/>
                <w:spacing w:val="-11"/>
                <w:sz w:val="15"/>
              </w:rPr>
              <w:t> </w:t>
            </w:r>
            <w:r>
              <w:rPr>
                <w:color w:val="231F20"/>
                <w:sz w:val="15"/>
              </w:rPr>
              <w:t>to</w:t>
            </w:r>
            <w:r>
              <w:rPr>
                <w:color w:val="231F20"/>
                <w:spacing w:val="-11"/>
                <w:sz w:val="15"/>
              </w:rPr>
              <w:t> </w:t>
            </w:r>
            <w:r>
              <w:rPr>
                <w:color w:val="231F20"/>
                <w:sz w:val="15"/>
              </w:rPr>
              <w:t>follow</w:t>
            </w:r>
            <w:r>
              <w:rPr>
                <w:color w:val="231F20"/>
                <w:spacing w:val="-12"/>
                <w:sz w:val="15"/>
              </w:rPr>
              <w:t> </w:t>
            </w:r>
            <w:r>
              <w:rPr>
                <w:color w:val="231F20"/>
                <w:sz w:val="15"/>
              </w:rPr>
              <w:t>ventricular</w:t>
            </w:r>
            <w:r>
              <w:rPr>
                <w:color w:val="231F20"/>
                <w:spacing w:val="-11"/>
                <w:sz w:val="15"/>
              </w:rPr>
              <w:t> </w:t>
            </w:r>
            <w:r>
              <w:rPr>
                <w:color w:val="231F20"/>
                <w:sz w:val="15"/>
              </w:rPr>
              <w:t>size</w:t>
            </w:r>
            <w:r>
              <w:rPr>
                <w:color w:val="231F20"/>
                <w:spacing w:val="-11"/>
                <w:sz w:val="15"/>
              </w:rPr>
              <w:t> </w:t>
            </w:r>
            <w:r>
              <w:rPr>
                <w:color w:val="231F20"/>
                <w:sz w:val="15"/>
              </w:rPr>
              <w:t>in</w:t>
            </w:r>
            <w:r>
              <w:rPr>
                <w:color w:val="231F20"/>
                <w:spacing w:val="-11"/>
                <w:sz w:val="15"/>
              </w:rPr>
              <w:t> </w:t>
            </w:r>
            <w:r>
              <w:rPr>
                <w:color w:val="231F20"/>
                <w:sz w:val="15"/>
              </w:rPr>
              <w:t>response</w:t>
            </w:r>
            <w:r>
              <w:rPr>
                <w:color w:val="231F20"/>
                <w:spacing w:val="-12"/>
                <w:sz w:val="15"/>
              </w:rPr>
              <w:t> </w:t>
            </w:r>
            <w:r>
              <w:rPr>
                <w:color w:val="231F20"/>
                <w:sz w:val="15"/>
              </w:rPr>
              <w:t>to </w:t>
            </w:r>
            <w:r>
              <w:rPr>
                <w:color w:val="231F20"/>
                <w:spacing w:val="-2"/>
                <w:sz w:val="15"/>
              </w:rPr>
              <w:t>treatment</w:t>
            </w:r>
          </w:p>
        </w:tc>
        <w:tc>
          <w:tcPr>
            <w:tcW w:w="4871" w:type="dxa"/>
            <w:vMerge/>
            <w:tcBorders>
              <w:top w:val="nil"/>
              <w:left w:val="single" w:sz="4" w:space="0" w:color="231F20"/>
              <w:bottom w:val="single" w:sz="8" w:space="0" w:color="231F20"/>
              <w:right w:val="nil"/>
            </w:tcBorders>
            <w:shd w:val="clear" w:color="auto" w:fill="E8F5F1"/>
          </w:tcPr>
          <w:p>
            <w:pPr>
              <w:rPr>
                <w:sz w:val="2"/>
                <w:szCs w:val="2"/>
              </w:rPr>
            </w:pPr>
          </w:p>
        </w:tc>
      </w:tr>
    </w:tbl>
    <w:p>
      <w:pPr>
        <w:pStyle w:val="BodyText"/>
        <w:spacing w:line="150" w:lineRule="exact" w:before="84"/>
        <w:ind w:left="822"/>
      </w:pPr>
      <w:r>
        <w:rPr>
          <w:color w:val="231F20"/>
        </w:rPr>
        <w:t>CTA,</w:t>
      </w:r>
      <w:r>
        <w:rPr>
          <w:color w:val="231F20"/>
          <w:spacing w:val="-2"/>
        </w:rPr>
        <w:t> </w:t>
      </w:r>
      <w:r>
        <w:rPr>
          <w:color w:val="231F20"/>
        </w:rPr>
        <w:t>computed</w:t>
      </w:r>
      <w:r>
        <w:rPr>
          <w:color w:val="231F20"/>
          <w:spacing w:val="-2"/>
        </w:rPr>
        <w:t> </w:t>
      </w:r>
      <w:r>
        <w:rPr>
          <w:color w:val="231F20"/>
        </w:rPr>
        <w:t>tomographic</w:t>
      </w:r>
      <w:r>
        <w:rPr>
          <w:color w:val="231F20"/>
          <w:spacing w:val="-1"/>
        </w:rPr>
        <w:t> </w:t>
      </w:r>
      <w:r>
        <w:rPr>
          <w:color w:val="231F20"/>
        </w:rPr>
        <w:t>angiography;</w:t>
      </w:r>
      <w:r>
        <w:rPr>
          <w:color w:val="231F20"/>
          <w:spacing w:val="-2"/>
        </w:rPr>
        <w:t> </w:t>
      </w:r>
      <w:r>
        <w:rPr>
          <w:color w:val="231F20"/>
        </w:rPr>
        <w:t>FLAIR,</w:t>
      </w:r>
      <w:r>
        <w:rPr>
          <w:color w:val="231F20"/>
          <w:spacing w:val="-1"/>
        </w:rPr>
        <w:t> </w:t>
      </w:r>
      <w:r>
        <w:rPr>
          <w:color w:val="231F20"/>
        </w:rPr>
        <w:t>fluid-attenuated</w:t>
      </w:r>
      <w:r>
        <w:rPr>
          <w:color w:val="231F20"/>
          <w:spacing w:val="-2"/>
        </w:rPr>
        <w:t> </w:t>
      </w:r>
      <w:r>
        <w:rPr>
          <w:color w:val="231F20"/>
        </w:rPr>
        <w:t>inversion</w:t>
      </w:r>
      <w:r>
        <w:rPr>
          <w:color w:val="231F20"/>
          <w:spacing w:val="-1"/>
        </w:rPr>
        <w:t> </w:t>
      </w:r>
      <w:r>
        <w:rPr>
          <w:color w:val="231F20"/>
        </w:rPr>
        <w:t>recovery;</w:t>
      </w:r>
      <w:r>
        <w:rPr>
          <w:color w:val="231F20"/>
          <w:spacing w:val="-2"/>
        </w:rPr>
        <w:t> </w:t>
      </w:r>
      <w:r>
        <w:rPr>
          <w:color w:val="231F20"/>
        </w:rPr>
        <w:t>ICP,</w:t>
      </w:r>
      <w:r>
        <w:rPr>
          <w:color w:val="231F20"/>
          <w:spacing w:val="-1"/>
        </w:rPr>
        <w:t> </w:t>
      </w:r>
      <w:r>
        <w:rPr>
          <w:color w:val="231F20"/>
        </w:rPr>
        <w:t>intracranial</w:t>
      </w:r>
      <w:r>
        <w:rPr>
          <w:color w:val="231F20"/>
          <w:spacing w:val="-2"/>
        </w:rPr>
        <w:t> </w:t>
      </w:r>
      <w:r>
        <w:rPr>
          <w:color w:val="231F20"/>
        </w:rPr>
        <w:t>pressure;</w:t>
      </w:r>
      <w:r>
        <w:rPr>
          <w:color w:val="231F20"/>
          <w:spacing w:val="-1"/>
        </w:rPr>
        <w:t> </w:t>
      </w:r>
      <w:r>
        <w:rPr>
          <w:color w:val="231F20"/>
        </w:rPr>
        <w:t>MRA,</w:t>
      </w:r>
      <w:r>
        <w:rPr>
          <w:color w:val="231F20"/>
          <w:spacing w:val="-2"/>
        </w:rPr>
        <w:t> </w:t>
      </w:r>
      <w:r>
        <w:rPr>
          <w:color w:val="231F20"/>
        </w:rPr>
        <w:t>magnetic</w:t>
      </w:r>
      <w:r>
        <w:rPr>
          <w:color w:val="231F20"/>
          <w:spacing w:val="-1"/>
        </w:rPr>
        <w:t> </w:t>
      </w:r>
      <w:r>
        <w:rPr>
          <w:color w:val="231F20"/>
        </w:rPr>
        <w:t>resonance</w:t>
      </w:r>
      <w:r>
        <w:rPr>
          <w:color w:val="231F20"/>
          <w:spacing w:val="-2"/>
        </w:rPr>
        <w:t> angiography;</w:t>
      </w:r>
    </w:p>
    <w:p>
      <w:pPr>
        <w:pStyle w:val="BodyText"/>
        <w:ind w:left="822" w:right="446"/>
      </w:pPr>
      <w:r>
        <w:rPr>
          <w:color w:val="231F20"/>
        </w:rPr>
        <w:t>MRS, magnetic resonance spectroscopy; MRV, magnetic resonance venography; PET, positron emission tomography; SPECT, single-photon emission computed</w:t>
      </w:r>
      <w:r>
        <w:rPr>
          <w:color w:val="231F20"/>
          <w:spacing w:val="40"/>
        </w:rPr>
        <w:t> </w:t>
      </w:r>
      <w:r>
        <w:rPr>
          <w:color w:val="231F20"/>
        </w:rPr>
        <w:t>tomography; TCD, transcranial Doppler ultrasonography.</w:t>
      </w:r>
    </w:p>
    <w:p>
      <w:pPr>
        <w:pStyle w:val="BodyText"/>
        <w:spacing w:before="4"/>
        <w:rPr>
          <w:sz w:val="20"/>
        </w:rPr>
      </w:pPr>
      <w:r>
        <w:rPr>
          <w:sz w:val="20"/>
        </w:rPr>
        <mc:AlternateContent>
          <mc:Choice Requires="wps">
            <w:drawing>
              <wp:anchor distT="0" distB="0" distL="0" distR="0" allowOverlap="1" layoutInCell="1" locked="0" behindDoc="1" simplePos="0" relativeHeight="487587840">
                <wp:simplePos x="0" y="0"/>
                <wp:positionH relativeFrom="page">
                  <wp:posOffset>831039</wp:posOffset>
                </wp:positionH>
                <wp:positionV relativeFrom="paragraph">
                  <wp:posOffset>165745</wp:posOffset>
                </wp:positionV>
                <wp:extent cx="2986405" cy="2908935"/>
                <wp:effectExtent l="0" t="0" r="0" b="0"/>
                <wp:wrapTopAndBottom/>
                <wp:docPr id="200" name="Textbox 200"/>
                <wp:cNvGraphicFramePr>
                  <a:graphicFrameLocks/>
                </wp:cNvGraphicFramePr>
                <a:graphic>
                  <a:graphicData uri="http://schemas.microsoft.com/office/word/2010/wordprocessingShape">
                    <wps:wsp>
                      <wps:cNvPr id="200" name="Textbox 200"/>
                      <wps:cNvSpPr txBox="1"/>
                      <wps:spPr>
                        <a:xfrm>
                          <a:off x="0" y="0"/>
                          <a:ext cx="2986405" cy="290893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591-</w:t>
                                  </w:r>
                                  <w:r>
                                    <w:rPr>
                                      <w:b/>
                                      <w:color w:val="FFFFFF"/>
                                      <w:spacing w:val="-10"/>
                                      <w:w w:val="105"/>
                                      <w:sz w:val="16"/>
                                    </w:rPr>
                                    <w:t>5</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Commonly Used Clinical Genetic Classifications</w:t>
                                  </w:r>
                                  <w:r>
                                    <w:rPr>
                                      <w:color w:val="FFFFFF"/>
                                      <w:spacing w:val="-1"/>
                                      <w:w w:val="105"/>
                                      <w:sz w:val="16"/>
                                    </w:rPr>
                                    <w:t> </w:t>
                                  </w:r>
                                  <w:r>
                                    <w:rPr>
                                      <w:color w:val="FFFFFF"/>
                                      <w:w w:val="105"/>
                                      <w:sz w:val="16"/>
                                    </w:rPr>
                                    <w:t>of</w:t>
                                  </w:r>
                                  <w:r>
                                    <w:rPr>
                                      <w:color w:val="FFFFFF"/>
                                      <w:spacing w:val="-1"/>
                                      <w:w w:val="105"/>
                                      <w:sz w:val="16"/>
                                    </w:rPr>
                                    <w:t> </w:t>
                                  </w:r>
                                  <w:r>
                                    <w:rPr>
                                      <w:color w:val="FFFFFF"/>
                                      <w:w w:val="105"/>
                                      <w:sz w:val="16"/>
                                    </w:rPr>
                                    <w:t>Craniosynostoses</w:t>
                                  </w:r>
                                </w:p>
                              </w:tc>
                            </w:tr>
                            <w:tr>
                              <w:trPr>
                                <w:trHeight w:val="258" w:hRule="atLeast"/>
                              </w:trPr>
                              <w:tc>
                                <w:tcPr>
                                  <w:tcW w:w="4703" w:type="dxa"/>
                                  <w:gridSpan w:val="2"/>
                                  <w:tcBorders>
                                    <w:bottom w:val="single" w:sz="4" w:space="0" w:color="231F20"/>
                                  </w:tcBorders>
                                  <w:shd w:val="clear" w:color="auto" w:fill="E8F5F1"/>
                                </w:tcPr>
                                <w:p>
                                  <w:pPr>
                                    <w:pStyle w:val="TableParagraph"/>
                                    <w:tabs>
                                      <w:tab w:pos="3246" w:val="left" w:leader="none"/>
                                    </w:tabs>
                                    <w:spacing w:before="48"/>
                                    <w:ind w:left="74"/>
                                    <w:rPr>
                                      <w:b/>
                                      <w:sz w:val="15"/>
                                    </w:rPr>
                                  </w:pPr>
                                  <w:r>
                                    <w:rPr>
                                      <w:b/>
                                      <w:color w:val="231F20"/>
                                      <w:spacing w:val="-2"/>
                                      <w:w w:val="110"/>
                                      <w:sz w:val="15"/>
                                    </w:rPr>
                                    <w:t>DISORDER</w:t>
                                  </w:r>
                                  <w:r>
                                    <w:rPr>
                                      <w:b/>
                                      <w:color w:val="231F20"/>
                                      <w:sz w:val="15"/>
                                    </w:rPr>
                                    <w:tab/>
                                  </w:r>
                                  <w:r>
                                    <w:rPr>
                                      <w:b/>
                                      <w:color w:val="231F20"/>
                                      <w:spacing w:val="-2"/>
                                      <w:w w:val="110"/>
                                      <w:sz w:val="15"/>
                                    </w:rPr>
                                    <w:t>CAUSE</w:t>
                                  </w:r>
                                </w:p>
                              </w:tc>
                            </w:tr>
                            <w:tr>
                              <w:trPr>
                                <w:trHeight w:val="591" w:hRule="atLeast"/>
                              </w:trPr>
                              <w:tc>
                                <w:tcPr>
                                  <w:tcW w:w="4703" w:type="dxa"/>
                                  <w:gridSpan w:val="2"/>
                                  <w:tcBorders>
                                    <w:top w:val="single" w:sz="4" w:space="0" w:color="231F20"/>
                                    <w:bottom w:val="single" w:sz="4" w:space="0" w:color="FFFFFF"/>
                                  </w:tcBorders>
                                  <w:shd w:val="clear" w:color="auto" w:fill="E8F5F1"/>
                                </w:tcPr>
                                <w:p>
                                  <w:pPr>
                                    <w:pStyle w:val="TableParagraph"/>
                                    <w:spacing w:line="172" w:lineRule="exact" w:before="43"/>
                                    <w:ind w:left="74"/>
                                    <w:rPr>
                                      <w:sz w:val="15"/>
                                    </w:rPr>
                                  </w:pPr>
                                  <w:r>
                                    <w:rPr>
                                      <w:color w:val="231F20"/>
                                      <w:w w:val="110"/>
                                      <w:sz w:val="15"/>
                                    </w:rPr>
                                    <w:t>ISOLATED</w:t>
                                  </w:r>
                                  <w:r>
                                    <w:rPr>
                                      <w:color w:val="231F20"/>
                                      <w:spacing w:val="8"/>
                                      <w:w w:val="115"/>
                                      <w:sz w:val="15"/>
                                    </w:rPr>
                                    <w:t> </w:t>
                                  </w:r>
                                  <w:r>
                                    <w:rPr>
                                      <w:color w:val="231F20"/>
                                      <w:spacing w:val="-2"/>
                                      <w:w w:val="115"/>
                                      <w:sz w:val="15"/>
                                    </w:rPr>
                                    <w:t>CRANIOSYNOSTOSIS</w:t>
                                  </w:r>
                                </w:p>
                                <w:p>
                                  <w:pPr>
                                    <w:pStyle w:val="TableParagraph"/>
                                    <w:tabs>
                                      <w:tab w:pos="2367" w:val="left" w:leader="none"/>
                                    </w:tabs>
                                    <w:spacing w:line="169" w:lineRule="exact"/>
                                    <w:ind w:left="74"/>
                                    <w:rPr>
                                      <w:sz w:val="15"/>
                                    </w:rPr>
                                  </w:pPr>
                                  <w:r>
                                    <w:rPr>
                                      <w:color w:val="231F20"/>
                                      <w:sz w:val="15"/>
                                    </w:rPr>
                                    <w:t>Morphologically</w:t>
                                  </w:r>
                                  <w:r>
                                    <w:rPr>
                                      <w:color w:val="231F20"/>
                                      <w:spacing w:val="20"/>
                                      <w:sz w:val="15"/>
                                    </w:rPr>
                                    <w:t> </w:t>
                                  </w:r>
                                  <w:r>
                                    <w:rPr>
                                      <w:color w:val="231F20"/>
                                      <w:spacing w:val="-2"/>
                                      <w:sz w:val="15"/>
                                    </w:rPr>
                                    <w:t>described</w:t>
                                  </w:r>
                                  <w:r>
                                    <w:rPr>
                                      <w:color w:val="231F20"/>
                                      <w:sz w:val="15"/>
                                    </w:rPr>
                                    <w:tab/>
                                  </w:r>
                                  <w:r>
                                    <w:rPr>
                                      <w:color w:val="231F20"/>
                                      <w:spacing w:val="-2"/>
                                      <w:sz w:val="15"/>
                                    </w:rPr>
                                    <w:t>Unknown,</w:t>
                                  </w:r>
                                  <w:r>
                                    <w:rPr>
                                      <w:color w:val="231F20"/>
                                      <w:spacing w:val="-9"/>
                                      <w:sz w:val="15"/>
                                    </w:rPr>
                                    <w:t> </w:t>
                                  </w:r>
                                  <w:r>
                                    <w:rPr>
                                      <w:color w:val="231F20"/>
                                      <w:spacing w:val="-2"/>
                                      <w:sz w:val="15"/>
                                    </w:rPr>
                                    <w:t>uterine</w:t>
                                  </w:r>
                                  <w:r>
                                    <w:rPr>
                                      <w:color w:val="231F20"/>
                                      <w:spacing w:val="-9"/>
                                      <w:sz w:val="15"/>
                                    </w:rPr>
                                    <w:t> </w:t>
                                  </w:r>
                                  <w:r>
                                    <w:rPr>
                                      <w:color w:val="231F20"/>
                                      <w:spacing w:val="-2"/>
                                      <w:sz w:val="15"/>
                                    </w:rPr>
                                    <w:t>constraint,</w:t>
                                  </w:r>
                                  <w:r>
                                    <w:rPr>
                                      <w:color w:val="231F20"/>
                                      <w:spacing w:val="-9"/>
                                      <w:sz w:val="15"/>
                                    </w:rPr>
                                    <w:t> </w:t>
                                  </w:r>
                                  <w:r>
                                    <w:rPr>
                                      <w:color w:val="231F20"/>
                                      <w:spacing w:val="-5"/>
                                      <w:sz w:val="15"/>
                                    </w:rPr>
                                    <w:t>or</w:t>
                                  </w:r>
                                </w:p>
                                <w:p>
                                  <w:pPr>
                                    <w:pStyle w:val="TableParagraph"/>
                                    <w:spacing w:line="171" w:lineRule="exact"/>
                                    <w:ind w:left="2479"/>
                                    <w:rPr>
                                      <w:sz w:val="15"/>
                                    </w:rPr>
                                  </w:pPr>
                                  <w:r>
                                    <w:rPr>
                                      <w:i/>
                                      <w:color w:val="231F20"/>
                                      <w:sz w:val="15"/>
                                    </w:rPr>
                                    <w:t>FGFR3</w:t>
                                  </w:r>
                                  <w:r>
                                    <w:rPr>
                                      <w:i/>
                                      <w:color w:val="231F20"/>
                                      <w:spacing w:val="22"/>
                                      <w:sz w:val="15"/>
                                    </w:rPr>
                                    <w:t> </w:t>
                                  </w:r>
                                  <w:r>
                                    <w:rPr>
                                      <w:color w:val="231F20"/>
                                      <w:spacing w:val="-2"/>
                                      <w:sz w:val="15"/>
                                    </w:rPr>
                                    <w:t>mutation</w:t>
                                  </w:r>
                                </w:p>
                              </w:tc>
                            </w:tr>
                            <w:tr>
                              <w:trPr>
                                <w:trHeight w:val="3123"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5"/>
                                      <w:sz w:val="15"/>
                                    </w:rPr>
                                    <w:t>SYNDROMIC</w:t>
                                  </w:r>
                                  <w:r>
                                    <w:rPr>
                                      <w:color w:val="231F20"/>
                                      <w:spacing w:val="4"/>
                                      <w:w w:val="115"/>
                                      <w:sz w:val="15"/>
                                    </w:rPr>
                                    <w:t> </w:t>
                                  </w:r>
                                  <w:r>
                                    <w:rPr>
                                      <w:color w:val="231F20"/>
                                      <w:spacing w:val="-2"/>
                                      <w:w w:val="115"/>
                                      <w:sz w:val="15"/>
                                    </w:rPr>
                                    <w:t>CRANIOSYNOSTOSIS</w:t>
                                  </w:r>
                                </w:p>
                                <w:p>
                                  <w:pPr>
                                    <w:pStyle w:val="TableParagraph"/>
                                    <w:tabs>
                                      <w:tab w:pos="2367" w:val="left" w:leader="none"/>
                                    </w:tabs>
                                    <w:spacing w:line="169" w:lineRule="exact"/>
                                    <w:ind w:left="74"/>
                                    <w:rPr>
                                      <w:sz w:val="15"/>
                                    </w:rPr>
                                  </w:pPr>
                                  <w:r>
                                    <w:rPr>
                                      <w:color w:val="231F20"/>
                                      <w:spacing w:val="-2"/>
                                      <w:sz w:val="15"/>
                                    </w:rPr>
                                    <w:t>Antler-Bixler</w:t>
                                  </w:r>
                                  <w:r>
                                    <w:rPr>
                                      <w:color w:val="231F20"/>
                                      <w:spacing w:val="-8"/>
                                      <w:sz w:val="15"/>
                                    </w:rPr>
                                    <w:t> </w:t>
                                  </w:r>
                                  <w:r>
                                    <w:rPr>
                                      <w:color w:val="231F20"/>
                                      <w:spacing w:val="-2"/>
                                      <w:sz w:val="15"/>
                                    </w:rPr>
                                    <w:t>syndrome</w:t>
                                  </w:r>
                                  <w:r>
                                    <w:rPr>
                                      <w:color w:val="231F20"/>
                                      <w:sz w:val="15"/>
                                    </w:rPr>
                                    <w:tab/>
                                  </w:r>
                                  <w:r>
                                    <w:rPr>
                                      <w:color w:val="231F20"/>
                                      <w:spacing w:val="-2"/>
                                      <w:sz w:val="15"/>
                                    </w:rPr>
                                    <w:t>Unknown</w:t>
                                  </w:r>
                                </w:p>
                                <w:p>
                                  <w:pPr>
                                    <w:pStyle w:val="TableParagraph"/>
                                    <w:tabs>
                                      <w:tab w:pos="2367" w:val="left" w:leader="none"/>
                                    </w:tabs>
                                    <w:spacing w:line="232" w:lineRule="auto" w:before="2"/>
                                    <w:ind w:left="74" w:right="73"/>
                                    <w:rPr>
                                      <w:sz w:val="15"/>
                                    </w:rPr>
                                  </w:pPr>
                                  <w:r>
                                    <w:rPr>
                                      <w:color w:val="231F20"/>
                                      <w:sz w:val="15"/>
                                    </w:rPr>
                                    <w:t>Apert syndrome</w:t>
                                    <w:tab/>
                                    <w:t>Usually</w:t>
                                  </w:r>
                                  <w:r>
                                    <w:rPr>
                                      <w:color w:val="231F20"/>
                                      <w:spacing w:val="-8"/>
                                      <w:sz w:val="15"/>
                                    </w:rPr>
                                    <w:t> </w:t>
                                  </w:r>
                                  <w:r>
                                    <w:rPr>
                                      <w:color w:val="231F20"/>
                                      <w:sz w:val="15"/>
                                    </w:rPr>
                                    <w:t>1</w:t>
                                  </w:r>
                                  <w:r>
                                    <w:rPr>
                                      <w:color w:val="231F20"/>
                                      <w:spacing w:val="-8"/>
                                      <w:sz w:val="15"/>
                                    </w:rPr>
                                    <w:t> </w:t>
                                  </w:r>
                                  <w:r>
                                    <w:rPr>
                                      <w:color w:val="231F20"/>
                                      <w:sz w:val="15"/>
                                    </w:rPr>
                                    <w:t>of</w:t>
                                  </w:r>
                                  <w:r>
                                    <w:rPr>
                                      <w:color w:val="231F20"/>
                                      <w:spacing w:val="-8"/>
                                      <w:sz w:val="15"/>
                                    </w:rPr>
                                    <w:t> </w:t>
                                  </w:r>
                                  <w:r>
                                    <w:rPr>
                                      <w:color w:val="231F20"/>
                                      <w:sz w:val="15"/>
                                    </w:rPr>
                                    <w:t>2</w:t>
                                  </w:r>
                                  <w:r>
                                    <w:rPr>
                                      <w:color w:val="231F20"/>
                                      <w:spacing w:val="-8"/>
                                      <w:sz w:val="15"/>
                                    </w:rPr>
                                    <w:t> </w:t>
                                  </w:r>
                                  <w:r>
                                    <w:rPr>
                                      <w:color w:val="231F20"/>
                                      <w:sz w:val="15"/>
                                    </w:rPr>
                                    <w:t>mutations</w:t>
                                  </w:r>
                                  <w:r>
                                    <w:rPr>
                                      <w:color w:val="231F20"/>
                                      <w:spacing w:val="-8"/>
                                      <w:sz w:val="15"/>
                                    </w:rPr>
                                    <w:t> </w:t>
                                  </w:r>
                                  <w:r>
                                    <w:rPr>
                                      <w:color w:val="231F20"/>
                                      <w:sz w:val="15"/>
                                    </w:rPr>
                                    <w:t>in</w:t>
                                  </w:r>
                                  <w:r>
                                    <w:rPr>
                                      <w:color w:val="231F20"/>
                                      <w:spacing w:val="-8"/>
                                      <w:sz w:val="15"/>
                                    </w:rPr>
                                    <w:t> </w:t>
                                  </w:r>
                                  <w:r>
                                    <w:rPr>
                                      <w:i/>
                                      <w:color w:val="231F20"/>
                                      <w:sz w:val="15"/>
                                    </w:rPr>
                                    <w:t>FGFR2 </w:t>
                                  </w:r>
                                  <w:r>
                                    <w:rPr>
                                      <w:color w:val="231F20"/>
                                      <w:sz w:val="15"/>
                                    </w:rPr>
                                    <w:t>Beare-Stevenson syndrome</w:t>
                                    <w:tab/>
                                    <w:t>Mutation in </w:t>
                                  </w:r>
                                  <w:r>
                                    <w:rPr>
                                      <w:i/>
                                      <w:color w:val="231F20"/>
                                      <w:sz w:val="15"/>
                                    </w:rPr>
                                    <w:t>GFGR2 </w:t>
                                  </w:r>
                                  <w:r>
                                    <w:rPr>
                                      <w:color w:val="231F20"/>
                                      <w:sz w:val="15"/>
                                    </w:rPr>
                                    <w:t>or </w:t>
                                  </w:r>
                                  <w:r>
                                    <w:rPr>
                                      <w:i/>
                                      <w:color w:val="231F20"/>
                                      <w:sz w:val="15"/>
                                    </w:rPr>
                                    <w:t>FGFR3 </w:t>
                                  </w:r>
                                  <w:r>
                                    <w:rPr>
                                      <w:color w:val="231F20"/>
                                      <w:sz w:val="15"/>
                                    </w:rPr>
                                    <w:t>Baller-Gerold syndrome</w:t>
                                    <w:tab/>
                                    <w:t>Mutation in </w:t>
                                  </w:r>
                                  <w:r>
                                    <w:rPr>
                                      <w:i/>
                                      <w:color w:val="231F20"/>
                                      <w:sz w:val="15"/>
                                    </w:rPr>
                                    <w:t>TWIST </w:t>
                                  </w:r>
                                  <w:r>
                                    <w:rPr>
                                      <w:color w:val="231F20"/>
                                      <w:sz w:val="15"/>
                                    </w:rPr>
                                    <w:t>heterogenous Carpenter syndrome</w:t>
                                    <w:tab/>
                                  </w:r>
                                  <w:r>
                                    <w:rPr>
                                      <w:color w:val="231F20"/>
                                      <w:spacing w:val="-2"/>
                                      <w:sz w:val="15"/>
                                    </w:rPr>
                                    <w:t>Unknown</w:t>
                                  </w:r>
                                </w:p>
                                <w:p>
                                  <w:pPr>
                                    <w:pStyle w:val="TableParagraph"/>
                                    <w:tabs>
                                      <w:tab w:pos="2367" w:val="left" w:leader="none"/>
                                    </w:tabs>
                                    <w:spacing w:line="170" w:lineRule="exact"/>
                                    <w:ind w:left="74"/>
                                    <w:rPr>
                                      <w:i/>
                                      <w:sz w:val="15"/>
                                    </w:rPr>
                                  </w:pPr>
                                  <w:r>
                                    <w:rPr>
                                      <w:color w:val="231F20"/>
                                      <w:sz w:val="15"/>
                                    </w:rPr>
                                    <w:t>Craniofrontonasal</w:t>
                                  </w:r>
                                  <w:r>
                                    <w:rPr>
                                      <w:color w:val="231F20"/>
                                      <w:spacing w:val="-11"/>
                                      <w:sz w:val="15"/>
                                    </w:rPr>
                                    <w:t> </w:t>
                                  </w:r>
                                  <w:r>
                                    <w:rPr>
                                      <w:color w:val="231F20"/>
                                      <w:spacing w:val="-2"/>
                                      <w:sz w:val="15"/>
                                    </w:rPr>
                                    <w:t>dysplasia</w:t>
                                  </w:r>
                                  <w:r>
                                    <w:rPr>
                                      <w:color w:val="231F20"/>
                                      <w:sz w:val="15"/>
                                    </w:rPr>
                                    <w:tab/>
                                    <w:t>Unknown</w:t>
                                  </w:r>
                                  <w:r>
                                    <w:rPr>
                                      <w:color w:val="231F20"/>
                                      <w:spacing w:val="3"/>
                                      <w:sz w:val="15"/>
                                    </w:rPr>
                                    <w:t> </w:t>
                                  </w:r>
                                  <w:r>
                                    <w:rPr>
                                      <w:color w:val="231F20"/>
                                      <w:sz w:val="15"/>
                                    </w:rPr>
                                    <w:t>gene</w:t>
                                  </w:r>
                                  <w:r>
                                    <w:rPr>
                                      <w:color w:val="231F20"/>
                                      <w:spacing w:val="3"/>
                                      <w:sz w:val="15"/>
                                    </w:rPr>
                                    <w:t> </w:t>
                                  </w:r>
                                  <w:r>
                                    <w:rPr>
                                      <w:color w:val="231F20"/>
                                      <w:sz w:val="15"/>
                                    </w:rPr>
                                    <w:t>at</w:t>
                                  </w:r>
                                  <w:r>
                                    <w:rPr>
                                      <w:color w:val="231F20"/>
                                      <w:spacing w:val="3"/>
                                      <w:sz w:val="15"/>
                                    </w:rPr>
                                    <w:t> </w:t>
                                  </w:r>
                                  <w:r>
                                    <w:rPr>
                                      <w:i/>
                                      <w:color w:val="231F20"/>
                                      <w:spacing w:val="-4"/>
                                      <w:sz w:val="15"/>
                                    </w:rPr>
                                    <w:t>Xp22</w:t>
                                  </w:r>
                                </w:p>
                                <w:p>
                                  <w:pPr>
                                    <w:pStyle w:val="TableParagraph"/>
                                    <w:tabs>
                                      <w:tab w:pos="2367" w:val="left" w:leader="none"/>
                                    </w:tabs>
                                    <w:spacing w:line="169" w:lineRule="exact"/>
                                    <w:ind w:left="74"/>
                                    <w:rPr>
                                      <w:sz w:val="15"/>
                                    </w:rPr>
                                  </w:pPr>
                                  <w:r>
                                    <w:rPr>
                                      <w:color w:val="231F20"/>
                                      <w:sz w:val="15"/>
                                    </w:rPr>
                                    <w:t>Crouzon</w:t>
                                  </w:r>
                                  <w:r>
                                    <w:rPr>
                                      <w:color w:val="231F20"/>
                                      <w:spacing w:val="17"/>
                                      <w:sz w:val="15"/>
                                    </w:rPr>
                                    <w:t> </w:t>
                                  </w:r>
                                  <w:r>
                                    <w:rPr>
                                      <w:color w:val="231F20"/>
                                      <w:spacing w:val="-2"/>
                                      <w:sz w:val="15"/>
                                    </w:rPr>
                                    <w:t>syndrome</w:t>
                                  </w:r>
                                  <w:r>
                                    <w:rPr>
                                      <w:color w:val="231F20"/>
                                      <w:sz w:val="15"/>
                                    </w:rPr>
                                    <w:tab/>
                                    <w:t>Numerous</w:t>
                                  </w:r>
                                  <w:r>
                                    <w:rPr>
                                      <w:color w:val="231F20"/>
                                      <w:spacing w:val="-9"/>
                                      <w:sz w:val="15"/>
                                    </w:rPr>
                                    <w:t> </w:t>
                                  </w:r>
                                  <w:r>
                                    <w:rPr>
                                      <w:color w:val="231F20"/>
                                      <w:sz w:val="15"/>
                                    </w:rPr>
                                    <w:t>different</w:t>
                                  </w:r>
                                  <w:r>
                                    <w:rPr>
                                      <w:color w:val="231F20"/>
                                      <w:spacing w:val="-9"/>
                                      <w:sz w:val="15"/>
                                    </w:rPr>
                                    <w:t> </w:t>
                                  </w:r>
                                  <w:r>
                                    <w:rPr>
                                      <w:color w:val="231F20"/>
                                      <w:sz w:val="15"/>
                                    </w:rPr>
                                    <w:t>mutations</w:t>
                                  </w:r>
                                  <w:r>
                                    <w:rPr>
                                      <w:color w:val="231F20"/>
                                      <w:spacing w:val="-8"/>
                                      <w:sz w:val="15"/>
                                    </w:rPr>
                                    <w:t> </w:t>
                                  </w:r>
                                  <w:r>
                                    <w:rPr>
                                      <w:color w:val="231F20"/>
                                      <w:spacing w:val="-5"/>
                                      <w:sz w:val="15"/>
                                    </w:rPr>
                                    <w:t>at</w:t>
                                  </w:r>
                                </w:p>
                                <w:p>
                                  <w:pPr>
                                    <w:pStyle w:val="TableParagraph"/>
                                    <w:spacing w:line="169" w:lineRule="exact"/>
                                    <w:ind w:left="705"/>
                                    <w:jc w:val="center"/>
                                    <w:rPr>
                                      <w:i/>
                                      <w:sz w:val="15"/>
                                    </w:rPr>
                                  </w:pPr>
                                  <w:r>
                                    <w:rPr>
                                      <w:i/>
                                      <w:color w:val="231F20"/>
                                      <w:spacing w:val="-2"/>
                                      <w:w w:val="105"/>
                                      <w:sz w:val="15"/>
                                    </w:rPr>
                                    <w:t>FGFR2</w:t>
                                  </w:r>
                                </w:p>
                                <w:p>
                                  <w:pPr>
                                    <w:pStyle w:val="TableParagraph"/>
                                    <w:tabs>
                                      <w:tab w:pos="2367" w:val="left" w:leader="none"/>
                                    </w:tabs>
                                    <w:spacing w:line="169" w:lineRule="exact"/>
                                    <w:ind w:left="74"/>
                                    <w:rPr>
                                      <w:i/>
                                      <w:sz w:val="15"/>
                                    </w:rPr>
                                  </w:pPr>
                                  <w:r>
                                    <w:rPr>
                                      <w:color w:val="231F20"/>
                                      <w:spacing w:val="-2"/>
                                      <w:sz w:val="15"/>
                                    </w:rPr>
                                    <w:t>Crouzonomesodermoskeletal</w:t>
                                  </w:r>
                                  <w:r>
                                    <w:rPr>
                                      <w:color w:val="231F20"/>
                                      <w:sz w:val="15"/>
                                    </w:rPr>
                                    <w:tab/>
                                    <w:t>Mutation in</w:t>
                                  </w:r>
                                  <w:r>
                                    <w:rPr>
                                      <w:color w:val="231F20"/>
                                      <w:spacing w:val="1"/>
                                      <w:sz w:val="15"/>
                                    </w:rPr>
                                    <w:t> </w:t>
                                  </w:r>
                                  <w:r>
                                    <w:rPr>
                                      <w:i/>
                                      <w:color w:val="231F20"/>
                                      <w:spacing w:val="-2"/>
                                      <w:sz w:val="15"/>
                                    </w:rPr>
                                    <w:t>FGFR3</w:t>
                                  </w:r>
                                </w:p>
                                <w:p>
                                  <w:pPr>
                                    <w:pStyle w:val="TableParagraph"/>
                                    <w:spacing w:line="169" w:lineRule="exact"/>
                                    <w:ind w:left="186"/>
                                    <w:rPr>
                                      <w:sz w:val="15"/>
                                    </w:rPr>
                                  </w:pPr>
                                  <w:r>
                                    <w:rPr>
                                      <w:color w:val="231F20"/>
                                      <w:spacing w:val="-2"/>
                                      <w:sz w:val="15"/>
                                    </w:rPr>
                                    <w:t>syndrome</w:t>
                                  </w:r>
                                </w:p>
                                <w:p>
                                  <w:pPr>
                                    <w:pStyle w:val="TableParagraph"/>
                                    <w:tabs>
                                      <w:tab w:pos="2367" w:val="left" w:leader="none"/>
                                    </w:tabs>
                                    <w:spacing w:line="169" w:lineRule="exact"/>
                                    <w:ind w:left="74"/>
                                    <w:rPr>
                                      <w:i/>
                                      <w:sz w:val="15"/>
                                    </w:rPr>
                                  </w:pPr>
                                  <w:r>
                                    <w:rPr>
                                      <w:color w:val="231F20"/>
                                      <w:sz w:val="15"/>
                                    </w:rPr>
                                    <w:t>Jackson-Weiss</w:t>
                                  </w:r>
                                  <w:r>
                                    <w:rPr>
                                      <w:color w:val="231F20"/>
                                      <w:spacing w:val="10"/>
                                      <w:sz w:val="15"/>
                                    </w:rPr>
                                    <w:t> </w:t>
                                  </w:r>
                                  <w:r>
                                    <w:rPr>
                                      <w:color w:val="231F20"/>
                                      <w:spacing w:val="-2"/>
                                      <w:sz w:val="15"/>
                                    </w:rPr>
                                    <w:t>syndrome</w:t>
                                  </w:r>
                                  <w:r>
                                    <w:rPr>
                                      <w:color w:val="231F20"/>
                                      <w:sz w:val="15"/>
                                    </w:rPr>
                                    <w:tab/>
                                    <w:t>Mutation in</w:t>
                                  </w:r>
                                  <w:r>
                                    <w:rPr>
                                      <w:color w:val="231F20"/>
                                      <w:spacing w:val="1"/>
                                      <w:sz w:val="15"/>
                                    </w:rPr>
                                    <w:t> </w:t>
                                  </w:r>
                                  <w:r>
                                    <w:rPr>
                                      <w:i/>
                                      <w:color w:val="231F20"/>
                                      <w:spacing w:val="-2"/>
                                      <w:sz w:val="15"/>
                                    </w:rPr>
                                    <w:t>FGFR2</w:t>
                                  </w:r>
                                </w:p>
                                <w:p>
                                  <w:pPr>
                                    <w:pStyle w:val="TableParagraph"/>
                                    <w:tabs>
                                      <w:tab w:pos="2367" w:val="left" w:leader="none"/>
                                    </w:tabs>
                                    <w:spacing w:line="169" w:lineRule="exact"/>
                                    <w:ind w:left="74"/>
                                    <w:rPr>
                                      <w:i/>
                                      <w:sz w:val="15"/>
                                    </w:rPr>
                                  </w:pPr>
                                  <w:r>
                                    <w:rPr>
                                      <w:color w:val="231F20"/>
                                      <w:sz w:val="15"/>
                                    </w:rPr>
                                    <w:t>Muenke</w:t>
                                  </w:r>
                                  <w:r>
                                    <w:rPr>
                                      <w:color w:val="231F20"/>
                                      <w:spacing w:val="26"/>
                                      <w:sz w:val="15"/>
                                    </w:rPr>
                                    <w:t> </w:t>
                                  </w:r>
                                  <w:r>
                                    <w:rPr>
                                      <w:color w:val="231F20"/>
                                      <w:spacing w:val="-2"/>
                                      <w:sz w:val="15"/>
                                    </w:rPr>
                                    <w:t>syndrome</w:t>
                                  </w:r>
                                  <w:r>
                                    <w:rPr>
                                      <w:color w:val="231F20"/>
                                      <w:sz w:val="15"/>
                                    </w:rPr>
                                    <w:tab/>
                                    <w:t>Mutation in</w:t>
                                  </w:r>
                                  <w:r>
                                    <w:rPr>
                                      <w:color w:val="231F20"/>
                                      <w:spacing w:val="1"/>
                                      <w:sz w:val="15"/>
                                    </w:rPr>
                                    <w:t> </w:t>
                                  </w:r>
                                  <w:r>
                                    <w:rPr>
                                      <w:i/>
                                      <w:color w:val="231F20"/>
                                      <w:spacing w:val="-2"/>
                                      <w:sz w:val="15"/>
                                    </w:rPr>
                                    <w:t>FGFR3</w:t>
                                  </w:r>
                                </w:p>
                                <w:p>
                                  <w:pPr>
                                    <w:pStyle w:val="TableParagraph"/>
                                    <w:tabs>
                                      <w:tab w:pos="2367" w:val="left" w:leader="none"/>
                                    </w:tabs>
                                    <w:spacing w:line="230" w:lineRule="auto" w:before="3"/>
                                    <w:ind w:left="2479" w:right="181" w:hanging="2406"/>
                                    <w:rPr>
                                      <w:i/>
                                      <w:sz w:val="15"/>
                                    </w:rPr>
                                  </w:pPr>
                                  <w:r>
                                    <w:rPr>
                                      <w:color w:val="231F20"/>
                                      <w:sz w:val="15"/>
                                    </w:rPr>
                                    <w:t>Pfeiffer syndrome</w:t>
                                    <w:tab/>
                                    <w:t>Mutation in </w:t>
                                  </w:r>
                                  <w:r>
                                    <w:rPr>
                                      <w:i/>
                                      <w:color w:val="231F20"/>
                                      <w:sz w:val="15"/>
                                    </w:rPr>
                                    <w:t>FGFR1 </w:t>
                                  </w:r>
                                  <w:r>
                                    <w:rPr>
                                      <w:color w:val="231F20"/>
                                      <w:sz w:val="15"/>
                                    </w:rPr>
                                    <w:t>or </w:t>
                                  </w:r>
                                  <w:r>
                                    <w:rPr>
                                      <w:color w:val="231F20"/>
                                      <w:sz w:val="15"/>
                                    </w:rPr>
                                    <w:t>numerous mutation in </w:t>
                                  </w:r>
                                  <w:r>
                                    <w:rPr>
                                      <w:i/>
                                      <w:color w:val="231F20"/>
                                      <w:sz w:val="15"/>
                                    </w:rPr>
                                    <w:t>FGFR2</w:t>
                                  </w:r>
                                </w:p>
                                <w:p>
                                  <w:pPr>
                                    <w:pStyle w:val="TableParagraph"/>
                                    <w:tabs>
                                      <w:tab w:pos="2367" w:val="left" w:leader="none"/>
                                    </w:tabs>
                                    <w:spacing w:line="169" w:lineRule="exact"/>
                                    <w:ind w:left="74"/>
                                    <w:rPr>
                                      <w:i/>
                                      <w:sz w:val="15"/>
                                    </w:rPr>
                                  </w:pPr>
                                  <w:r>
                                    <w:rPr>
                                      <w:color w:val="231F20"/>
                                      <w:sz w:val="15"/>
                                    </w:rPr>
                                    <w:t>Saethre-Chotzen</w:t>
                                  </w:r>
                                  <w:r>
                                    <w:rPr>
                                      <w:color w:val="231F20"/>
                                      <w:spacing w:val="-11"/>
                                      <w:sz w:val="15"/>
                                    </w:rPr>
                                    <w:t> </w:t>
                                  </w:r>
                                  <w:r>
                                    <w:rPr>
                                      <w:color w:val="231F20"/>
                                      <w:spacing w:val="-2"/>
                                      <w:sz w:val="15"/>
                                    </w:rPr>
                                    <w:t>syndrome</w:t>
                                  </w:r>
                                  <w:r>
                                    <w:rPr>
                                      <w:color w:val="231F20"/>
                                      <w:sz w:val="15"/>
                                    </w:rPr>
                                    <w:tab/>
                                    <w:t>Mutation in</w:t>
                                  </w:r>
                                  <w:r>
                                    <w:rPr>
                                      <w:color w:val="231F20"/>
                                      <w:spacing w:val="1"/>
                                      <w:sz w:val="15"/>
                                    </w:rPr>
                                    <w:t> </w:t>
                                  </w:r>
                                  <w:r>
                                    <w:rPr>
                                      <w:i/>
                                      <w:color w:val="231F20"/>
                                      <w:spacing w:val="-2"/>
                                      <w:sz w:val="15"/>
                                    </w:rPr>
                                    <w:t>TWIST</w:t>
                                  </w:r>
                                </w:p>
                                <w:p>
                                  <w:pPr>
                                    <w:pStyle w:val="TableParagraph"/>
                                    <w:tabs>
                                      <w:tab w:pos="2367" w:val="left" w:leader="none"/>
                                    </w:tabs>
                                    <w:spacing w:line="169" w:lineRule="exact"/>
                                    <w:ind w:left="74"/>
                                    <w:rPr>
                                      <w:i/>
                                      <w:sz w:val="15"/>
                                    </w:rPr>
                                  </w:pPr>
                                  <w:r>
                                    <w:rPr>
                                      <w:color w:val="231F20"/>
                                      <w:sz w:val="15"/>
                                    </w:rPr>
                                    <w:t>Shprintzen-</w:t>
                                  </w:r>
                                  <w:r>
                                    <w:rPr>
                                      <w:color w:val="231F20"/>
                                      <w:spacing w:val="-2"/>
                                      <w:sz w:val="15"/>
                                    </w:rPr>
                                    <w:t>Goldberg</w:t>
                                  </w:r>
                                  <w:r>
                                    <w:rPr>
                                      <w:color w:val="231F20"/>
                                      <w:sz w:val="15"/>
                                    </w:rPr>
                                    <w:tab/>
                                    <w:t>Mutation in</w:t>
                                  </w:r>
                                  <w:r>
                                    <w:rPr>
                                      <w:color w:val="231F20"/>
                                      <w:spacing w:val="1"/>
                                      <w:sz w:val="15"/>
                                    </w:rPr>
                                    <w:t> </w:t>
                                  </w:r>
                                  <w:r>
                                    <w:rPr>
                                      <w:i/>
                                      <w:color w:val="231F20"/>
                                      <w:spacing w:val="-2"/>
                                      <w:sz w:val="15"/>
                                    </w:rPr>
                                    <w:t>FBEN1</w:t>
                                  </w:r>
                                </w:p>
                                <w:p>
                                  <w:pPr>
                                    <w:pStyle w:val="TableParagraph"/>
                                    <w:spacing w:line="171" w:lineRule="exact"/>
                                    <w:ind w:left="186"/>
                                    <w:rPr>
                                      <w:sz w:val="15"/>
                                    </w:rPr>
                                  </w:pPr>
                                  <w:r>
                                    <w:rPr>
                                      <w:color w:val="231F20"/>
                                      <w:spacing w:val="-2"/>
                                      <w:sz w:val="15"/>
                                    </w:rPr>
                                    <w:t>syndrome</w:t>
                                  </w:r>
                                </w:p>
                              </w:tc>
                            </w:tr>
                          </w:tbl>
                          <w:p>
                            <w:pPr>
                              <w:pStyle w:val="BodyText"/>
                            </w:pPr>
                          </w:p>
                        </w:txbxContent>
                      </wps:txbx>
                      <wps:bodyPr wrap="square" lIns="0" tIns="0" rIns="0" bIns="0" rtlCol="0">
                        <a:noAutofit/>
                      </wps:bodyPr>
                    </wps:wsp>
                  </a:graphicData>
                </a:graphic>
              </wp:anchor>
            </w:drawing>
          </mc:Choice>
          <mc:Fallback>
            <w:pict>
              <v:shape style="position:absolute;margin-left:65.436157pt;margin-top:13.05081pt;width:235.15pt;height:229.05pt;mso-position-horizontal-relative:page;mso-position-vertical-relative:paragraph;z-index:-15728640;mso-wrap-distance-left:0;mso-wrap-distance-right:0" type="#_x0000_t202" id="docshape15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591-</w:t>
                            </w:r>
                            <w:r>
                              <w:rPr>
                                <w:b/>
                                <w:color w:val="FFFFFF"/>
                                <w:spacing w:val="-10"/>
                                <w:w w:val="105"/>
                                <w:sz w:val="16"/>
                              </w:rPr>
                              <w:t>5</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Commonly Used Clinical Genetic Classifications</w:t>
                            </w:r>
                            <w:r>
                              <w:rPr>
                                <w:color w:val="FFFFFF"/>
                                <w:spacing w:val="-1"/>
                                <w:w w:val="105"/>
                                <w:sz w:val="16"/>
                              </w:rPr>
                              <w:t> </w:t>
                            </w:r>
                            <w:r>
                              <w:rPr>
                                <w:color w:val="FFFFFF"/>
                                <w:w w:val="105"/>
                                <w:sz w:val="16"/>
                              </w:rPr>
                              <w:t>of</w:t>
                            </w:r>
                            <w:r>
                              <w:rPr>
                                <w:color w:val="FFFFFF"/>
                                <w:spacing w:val="-1"/>
                                <w:w w:val="105"/>
                                <w:sz w:val="16"/>
                              </w:rPr>
                              <w:t> </w:t>
                            </w:r>
                            <w:r>
                              <w:rPr>
                                <w:color w:val="FFFFFF"/>
                                <w:w w:val="105"/>
                                <w:sz w:val="16"/>
                              </w:rPr>
                              <w:t>Craniosynostoses</w:t>
                            </w:r>
                          </w:p>
                        </w:tc>
                      </w:tr>
                      <w:tr>
                        <w:trPr>
                          <w:trHeight w:val="258" w:hRule="atLeast"/>
                        </w:trPr>
                        <w:tc>
                          <w:tcPr>
                            <w:tcW w:w="4703" w:type="dxa"/>
                            <w:gridSpan w:val="2"/>
                            <w:tcBorders>
                              <w:bottom w:val="single" w:sz="4" w:space="0" w:color="231F20"/>
                            </w:tcBorders>
                            <w:shd w:val="clear" w:color="auto" w:fill="E8F5F1"/>
                          </w:tcPr>
                          <w:p>
                            <w:pPr>
                              <w:pStyle w:val="TableParagraph"/>
                              <w:tabs>
                                <w:tab w:pos="3246" w:val="left" w:leader="none"/>
                              </w:tabs>
                              <w:spacing w:before="48"/>
                              <w:ind w:left="74"/>
                              <w:rPr>
                                <w:b/>
                                <w:sz w:val="15"/>
                              </w:rPr>
                            </w:pPr>
                            <w:r>
                              <w:rPr>
                                <w:b/>
                                <w:color w:val="231F20"/>
                                <w:spacing w:val="-2"/>
                                <w:w w:val="110"/>
                                <w:sz w:val="15"/>
                              </w:rPr>
                              <w:t>DISORDER</w:t>
                            </w:r>
                            <w:r>
                              <w:rPr>
                                <w:b/>
                                <w:color w:val="231F20"/>
                                <w:sz w:val="15"/>
                              </w:rPr>
                              <w:tab/>
                            </w:r>
                            <w:r>
                              <w:rPr>
                                <w:b/>
                                <w:color w:val="231F20"/>
                                <w:spacing w:val="-2"/>
                                <w:w w:val="110"/>
                                <w:sz w:val="15"/>
                              </w:rPr>
                              <w:t>CAUSE</w:t>
                            </w:r>
                          </w:p>
                        </w:tc>
                      </w:tr>
                      <w:tr>
                        <w:trPr>
                          <w:trHeight w:val="591" w:hRule="atLeast"/>
                        </w:trPr>
                        <w:tc>
                          <w:tcPr>
                            <w:tcW w:w="4703" w:type="dxa"/>
                            <w:gridSpan w:val="2"/>
                            <w:tcBorders>
                              <w:top w:val="single" w:sz="4" w:space="0" w:color="231F20"/>
                              <w:bottom w:val="single" w:sz="4" w:space="0" w:color="FFFFFF"/>
                            </w:tcBorders>
                            <w:shd w:val="clear" w:color="auto" w:fill="E8F5F1"/>
                          </w:tcPr>
                          <w:p>
                            <w:pPr>
                              <w:pStyle w:val="TableParagraph"/>
                              <w:spacing w:line="172" w:lineRule="exact" w:before="43"/>
                              <w:ind w:left="74"/>
                              <w:rPr>
                                <w:sz w:val="15"/>
                              </w:rPr>
                            </w:pPr>
                            <w:r>
                              <w:rPr>
                                <w:color w:val="231F20"/>
                                <w:w w:val="110"/>
                                <w:sz w:val="15"/>
                              </w:rPr>
                              <w:t>ISOLATED</w:t>
                            </w:r>
                            <w:r>
                              <w:rPr>
                                <w:color w:val="231F20"/>
                                <w:spacing w:val="8"/>
                                <w:w w:val="115"/>
                                <w:sz w:val="15"/>
                              </w:rPr>
                              <w:t> </w:t>
                            </w:r>
                            <w:r>
                              <w:rPr>
                                <w:color w:val="231F20"/>
                                <w:spacing w:val="-2"/>
                                <w:w w:val="115"/>
                                <w:sz w:val="15"/>
                              </w:rPr>
                              <w:t>CRANIOSYNOSTOSIS</w:t>
                            </w:r>
                          </w:p>
                          <w:p>
                            <w:pPr>
                              <w:pStyle w:val="TableParagraph"/>
                              <w:tabs>
                                <w:tab w:pos="2367" w:val="left" w:leader="none"/>
                              </w:tabs>
                              <w:spacing w:line="169" w:lineRule="exact"/>
                              <w:ind w:left="74"/>
                              <w:rPr>
                                <w:sz w:val="15"/>
                              </w:rPr>
                            </w:pPr>
                            <w:r>
                              <w:rPr>
                                <w:color w:val="231F20"/>
                                <w:sz w:val="15"/>
                              </w:rPr>
                              <w:t>Morphologically</w:t>
                            </w:r>
                            <w:r>
                              <w:rPr>
                                <w:color w:val="231F20"/>
                                <w:spacing w:val="20"/>
                                <w:sz w:val="15"/>
                              </w:rPr>
                              <w:t> </w:t>
                            </w:r>
                            <w:r>
                              <w:rPr>
                                <w:color w:val="231F20"/>
                                <w:spacing w:val="-2"/>
                                <w:sz w:val="15"/>
                              </w:rPr>
                              <w:t>described</w:t>
                            </w:r>
                            <w:r>
                              <w:rPr>
                                <w:color w:val="231F20"/>
                                <w:sz w:val="15"/>
                              </w:rPr>
                              <w:tab/>
                            </w:r>
                            <w:r>
                              <w:rPr>
                                <w:color w:val="231F20"/>
                                <w:spacing w:val="-2"/>
                                <w:sz w:val="15"/>
                              </w:rPr>
                              <w:t>Unknown,</w:t>
                            </w:r>
                            <w:r>
                              <w:rPr>
                                <w:color w:val="231F20"/>
                                <w:spacing w:val="-9"/>
                                <w:sz w:val="15"/>
                              </w:rPr>
                              <w:t> </w:t>
                            </w:r>
                            <w:r>
                              <w:rPr>
                                <w:color w:val="231F20"/>
                                <w:spacing w:val="-2"/>
                                <w:sz w:val="15"/>
                              </w:rPr>
                              <w:t>uterine</w:t>
                            </w:r>
                            <w:r>
                              <w:rPr>
                                <w:color w:val="231F20"/>
                                <w:spacing w:val="-9"/>
                                <w:sz w:val="15"/>
                              </w:rPr>
                              <w:t> </w:t>
                            </w:r>
                            <w:r>
                              <w:rPr>
                                <w:color w:val="231F20"/>
                                <w:spacing w:val="-2"/>
                                <w:sz w:val="15"/>
                              </w:rPr>
                              <w:t>constraint,</w:t>
                            </w:r>
                            <w:r>
                              <w:rPr>
                                <w:color w:val="231F20"/>
                                <w:spacing w:val="-9"/>
                                <w:sz w:val="15"/>
                              </w:rPr>
                              <w:t> </w:t>
                            </w:r>
                            <w:r>
                              <w:rPr>
                                <w:color w:val="231F20"/>
                                <w:spacing w:val="-5"/>
                                <w:sz w:val="15"/>
                              </w:rPr>
                              <w:t>or</w:t>
                            </w:r>
                          </w:p>
                          <w:p>
                            <w:pPr>
                              <w:pStyle w:val="TableParagraph"/>
                              <w:spacing w:line="171" w:lineRule="exact"/>
                              <w:ind w:left="2479"/>
                              <w:rPr>
                                <w:sz w:val="15"/>
                              </w:rPr>
                            </w:pPr>
                            <w:r>
                              <w:rPr>
                                <w:i/>
                                <w:color w:val="231F20"/>
                                <w:sz w:val="15"/>
                              </w:rPr>
                              <w:t>FGFR3</w:t>
                            </w:r>
                            <w:r>
                              <w:rPr>
                                <w:i/>
                                <w:color w:val="231F20"/>
                                <w:spacing w:val="22"/>
                                <w:sz w:val="15"/>
                              </w:rPr>
                              <w:t> </w:t>
                            </w:r>
                            <w:r>
                              <w:rPr>
                                <w:color w:val="231F20"/>
                                <w:spacing w:val="-2"/>
                                <w:sz w:val="15"/>
                              </w:rPr>
                              <w:t>mutation</w:t>
                            </w:r>
                          </w:p>
                        </w:tc>
                      </w:tr>
                      <w:tr>
                        <w:trPr>
                          <w:trHeight w:val="3123"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5"/>
                                <w:sz w:val="15"/>
                              </w:rPr>
                              <w:t>SYNDROMIC</w:t>
                            </w:r>
                            <w:r>
                              <w:rPr>
                                <w:color w:val="231F20"/>
                                <w:spacing w:val="4"/>
                                <w:w w:val="115"/>
                                <w:sz w:val="15"/>
                              </w:rPr>
                              <w:t> </w:t>
                            </w:r>
                            <w:r>
                              <w:rPr>
                                <w:color w:val="231F20"/>
                                <w:spacing w:val="-2"/>
                                <w:w w:val="115"/>
                                <w:sz w:val="15"/>
                              </w:rPr>
                              <w:t>CRANIOSYNOSTOSIS</w:t>
                            </w:r>
                          </w:p>
                          <w:p>
                            <w:pPr>
                              <w:pStyle w:val="TableParagraph"/>
                              <w:tabs>
                                <w:tab w:pos="2367" w:val="left" w:leader="none"/>
                              </w:tabs>
                              <w:spacing w:line="169" w:lineRule="exact"/>
                              <w:ind w:left="74"/>
                              <w:rPr>
                                <w:sz w:val="15"/>
                              </w:rPr>
                            </w:pPr>
                            <w:r>
                              <w:rPr>
                                <w:color w:val="231F20"/>
                                <w:spacing w:val="-2"/>
                                <w:sz w:val="15"/>
                              </w:rPr>
                              <w:t>Antler-Bixler</w:t>
                            </w:r>
                            <w:r>
                              <w:rPr>
                                <w:color w:val="231F20"/>
                                <w:spacing w:val="-8"/>
                                <w:sz w:val="15"/>
                              </w:rPr>
                              <w:t> </w:t>
                            </w:r>
                            <w:r>
                              <w:rPr>
                                <w:color w:val="231F20"/>
                                <w:spacing w:val="-2"/>
                                <w:sz w:val="15"/>
                              </w:rPr>
                              <w:t>syndrome</w:t>
                            </w:r>
                            <w:r>
                              <w:rPr>
                                <w:color w:val="231F20"/>
                                <w:sz w:val="15"/>
                              </w:rPr>
                              <w:tab/>
                            </w:r>
                            <w:r>
                              <w:rPr>
                                <w:color w:val="231F20"/>
                                <w:spacing w:val="-2"/>
                                <w:sz w:val="15"/>
                              </w:rPr>
                              <w:t>Unknown</w:t>
                            </w:r>
                          </w:p>
                          <w:p>
                            <w:pPr>
                              <w:pStyle w:val="TableParagraph"/>
                              <w:tabs>
                                <w:tab w:pos="2367" w:val="left" w:leader="none"/>
                              </w:tabs>
                              <w:spacing w:line="232" w:lineRule="auto" w:before="2"/>
                              <w:ind w:left="74" w:right="73"/>
                              <w:rPr>
                                <w:sz w:val="15"/>
                              </w:rPr>
                            </w:pPr>
                            <w:r>
                              <w:rPr>
                                <w:color w:val="231F20"/>
                                <w:sz w:val="15"/>
                              </w:rPr>
                              <w:t>Apert syndrome</w:t>
                              <w:tab/>
                              <w:t>Usually</w:t>
                            </w:r>
                            <w:r>
                              <w:rPr>
                                <w:color w:val="231F20"/>
                                <w:spacing w:val="-8"/>
                                <w:sz w:val="15"/>
                              </w:rPr>
                              <w:t> </w:t>
                            </w:r>
                            <w:r>
                              <w:rPr>
                                <w:color w:val="231F20"/>
                                <w:sz w:val="15"/>
                              </w:rPr>
                              <w:t>1</w:t>
                            </w:r>
                            <w:r>
                              <w:rPr>
                                <w:color w:val="231F20"/>
                                <w:spacing w:val="-8"/>
                                <w:sz w:val="15"/>
                              </w:rPr>
                              <w:t> </w:t>
                            </w:r>
                            <w:r>
                              <w:rPr>
                                <w:color w:val="231F20"/>
                                <w:sz w:val="15"/>
                              </w:rPr>
                              <w:t>of</w:t>
                            </w:r>
                            <w:r>
                              <w:rPr>
                                <w:color w:val="231F20"/>
                                <w:spacing w:val="-8"/>
                                <w:sz w:val="15"/>
                              </w:rPr>
                              <w:t> </w:t>
                            </w:r>
                            <w:r>
                              <w:rPr>
                                <w:color w:val="231F20"/>
                                <w:sz w:val="15"/>
                              </w:rPr>
                              <w:t>2</w:t>
                            </w:r>
                            <w:r>
                              <w:rPr>
                                <w:color w:val="231F20"/>
                                <w:spacing w:val="-8"/>
                                <w:sz w:val="15"/>
                              </w:rPr>
                              <w:t> </w:t>
                            </w:r>
                            <w:r>
                              <w:rPr>
                                <w:color w:val="231F20"/>
                                <w:sz w:val="15"/>
                              </w:rPr>
                              <w:t>mutations</w:t>
                            </w:r>
                            <w:r>
                              <w:rPr>
                                <w:color w:val="231F20"/>
                                <w:spacing w:val="-8"/>
                                <w:sz w:val="15"/>
                              </w:rPr>
                              <w:t> </w:t>
                            </w:r>
                            <w:r>
                              <w:rPr>
                                <w:color w:val="231F20"/>
                                <w:sz w:val="15"/>
                              </w:rPr>
                              <w:t>in</w:t>
                            </w:r>
                            <w:r>
                              <w:rPr>
                                <w:color w:val="231F20"/>
                                <w:spacing w:val="-8"/>
                                <w:sz w:val="15"/>
                              </w:rPr>
                              <w:t> </w:t>
                            </w:r>
                            <w:r>
                              <w:rPr>
                                <w:i/>
                                <w:color w:val="231F20"/>
                                <w:sz w:val="15"/>
                              </w:rPr>
                              <w:t>FGFR2 </w:t>
                            </w:r>
                            <w:r>
                              <w:rPr>
                                <w:color w:val="231F20"/>
                                <w:sz w:val="15"/>
                              </w:rPr>
                              <w:t>Beare-Stevenson syndrome</w:t>
                              <w:tab/>
                              <w:t>Mutation in </w:t>
                            </w:r>
                            <w:r>
                              <w:rPr>
                                <w:i/>
                                <w:color w:val="231F20"/>
                                <w:sz w:val="15"/>
                              </w:rPr>
                              <w:t>GFGR2 </w:t>
                            </w:r>
                            <w:r>
                              <w:rPr>
                                <w:color w:val="231F20"/>
                                <w:sz w:val="15"/>
                              </w:rPr>
                              <w:t>or </w:t>
                            </w:r>
                            <w:r>
                              <w:rPr>
                                <w:i/>
                                <w:color w:val="231F20"/>
                                <w:sz w:val="15"/>
                              </w:rPr>
                              <w:t>FGFR3 </w:t>
                            </w:r>
                            <w:r>
                              <w:rPr>
                                <w:color w:val="231F20"/>
                                <w:sz w:val="15"/>
                              </w:rPr>
                              <w:t>Baller-Gerold syndrome</w:t>
                              <w:tab/>
                              <w:t>Mutation in </w:t>
                            </w:r>
                            <w:r>
                              <w:rPr>
                                <w:i/>
                                <w:color w:val="231F20"/>
                                <w:sz w:val="15"/>
                              </w:rPr>
                              <w:t>TWIST </w:t>
                            </w:r>
                            <w:r>
                              <w:rPr>
                                <w:color w:val="231F20"/>
                                <w:sz w:val="15"/>
                              </w:rPr>
                              <w:t>heterogenous Carpenter syndrome</w:t>
                              <w:tab/>
                            </w:r>
                            <w:r>
                              <w:rPr>
                                <w:color w:val="231F20"/>
                                <w:spacing w:val="-2"/>
                                <w:sz w:val="15"/>
                              </w:rPr>
                              <w:t>Unknown</w:t>
                            </w:r>
                          </w:p>
                          <w:p>
                            <w:pPr>
                              <w:pStyle w:val="TableParagraph"/>
                              <w:tabs>
                                <w:tab w:pos="2367" w:val="left" w:leader="none"/>
                              </w:tabs>
                              <w:spacing w:line="170" w:lineRule="exact"/>
                              <w:ind w:left="74"/>
                              <w:rPr>
                                <w:i/>
                                <w:sz w:val="15"/>
                              </w:rPr>
                            </w:pPr>
                            <w:r>
                              <w:rPr>
                                <w:color w:val="231F20"/>
                                <w:sz w:val="15"/>
                              </w:rPr>
                              <w:t>Craniofrontonasal</w:t>
                            </w:r>
                            <w:r>
                              <w:rPr>
                                <w:color w:val="231F20"/>
                                <w:spacing w:val="-11"/>
                                <w:sz w:val="15"/>
                              </w:rPr>
                              <w:t> </w:t>
                            </w:r>
                            <w:r>
                              <w:rPr>
                                <w:color w:val="231F20"/>
                                <w:spacing w:val="-2"/>
                                <w:sz w:val="15"/>
                              </w:rPr>
                              <w:t>dysplasia</w:t>
                            </w:r>
                            <w:r>
                              <w:rPr>
                                <w:color w:val="231F20"/>
                                <w:sz w:val="15"/>
                              </w:rPr>
                              <w:tab/>
                              <w:t>Unknown</w:t>
                            </w:r>
                            <w:r>
                              <w:rPr>
                                <w:color w:val="231F20"/>
                                <w:spacing w:val="3"/>
                                <w:sz w:val="15"/>
                              </w:rPr>
                              <w:t> </w:t>
                            </w:r>
                            <w:r>
                              <w:rPr>
                                <w:color w:val="231F20"/>
                                <w:sz w:val="15"/>
                              </w:rPr>
                              <w:t>gene</w:t>
                            </w:r>
                            <w:r>
                              <w:rPr>
                                <w:color w:val="231F20"/>
                                <w:spacing w:val="3"/>
                                <w:sz w:val="15"/>
                              </w:rPr>
                              <w:t> </w:t>
                            </w:r>
                            <w:r>
                              <w:rPr>
                                <w:color w:val="231F20"/>
                                <w:sz w:val="15"/>
                              </w:rPr>
                              <w:t>at</w:t>
                            </w:r>
                            <w:r>
                              <w:rPr>
                                <w:color w:val="231F20"/>
                                <w:spacing w:val="3"/>
                                <w:sz w:val="15"/>
                              </w:rPr>
                              <w:t> </w:t>
                            </w:r>
                            <w:r>
                              <w:rPr>
                                <w:i/>
                                <w:color w:val="231F20"/>
                                <w:spacing w:val="-4"/>
                                <w:sz w:val="15"/>
                              </w:rPr>
                              <w:t>Xp22</w:t>
                            </w:r>
                          </w:p>
                          <w:p>
                            <w:pPr>
                              <w:pStyle w:val="TableParagraph"/>
                              <w:tabs>
                                <w:tab w:pos="2367" w:val="left" w:leader="none"/>
                              </w:tabs>
                              <w:spacing w:line="169" w:lineRule="exact"/>
                              <w:ind w:left="74"/>
                              <w:rPr>
                                <w:sz w:val="15"/>
                              </w:rPr>
                            </w:pPr>
                            <w:r>
                              <w:rPr>
                                <w:color w:val="231F20"/>
                                <w:sz w:val="15"/>
                              </w:rPr>
                              <w:t>Crouzon</w:t>
                            </w:r>
                            <w:r>
                              <w:rPr>
                                <w:color w:val="231F20"/>
                                <w:spacing w:val="17"/>
                                <w:sz w:val="15"/>
                              </w:rPr>
                              <w:t> </w:t>
                            </w:r>
                            <w:r>
                              <w:rPr>
                                <w:color w:val="231F20"/>
                                <w:spacing w:val="-2"/>
                                <w:sz w:val="15"/>
                              </w:rPr>
                              <w:t>syndrome</w:t>
                            </w:r>
                            <w:r>
                              <w:rPr>
                                <w:color w:val="231F20"/>
                                <w:sz w:val="15"/>
                              </w:rPr>
                              <w:tab/>
                              <w:t>Numerous</w:t>
                            </w:r>
                            <w:r>
                              <w:rPr>
                                <w:color w:val="231F20"/>
                                <w:spacing w:val="-9"/>
                                <w:sz w:val="15"/>
                              </w:rPr>
                              <w:t> </w:t>
                            </w:r>
                            <w:r>
                              <w:rPr>
                                <w:color w:val="231F20"/>
                                <w:sz w:val="15"/>
                              </w:rPr>
                              <w:t>different</w:t>
                            </w:r>
                            <w:r>
                              <w:rPr>
                                <w:color w:val="231F20"/>
                                <w:spacing w:val="-9"/>
                                <w:sz w:val="15"/>
                              </w:rPr>
                              <w:t> </w:t>
                            </w:r>
                            <w:r>
                              <w:rPr>
                                <w:color w:val="231F20"/>
                                <w:sz w:val="15"/>
                              </w:rPr>
                              <w:t>mutations</w:t>
                            </w:r>
                            <w:r>
                              <w:rPr>
                                <w:color w:val="231F20"/>
                                <w:spacing w:val="-8"/>
                                <w:sz w:val="15"/>
                              </w:rPr>
                              <w:t> </w:t>
                            </w:r>
                            <w:r>
                              <w:rPr>
                                <w:color w:val="231F20"/>
                                <w:spacing w:val="-5"/>
                                <w:sz w:val="15"/>
                              </w:rPr>
                              <w:t>at</w:t>
                            </w:r>
                          </w:p>
                          <w:p>
                            <w:pPr>
                              <w:pStyle w:val="TableParagraph"/>
                              <w:spacing w:line="169" w:lineRule="exact"/>
                              <w:ind w:left="705"/>
                              <w:jc w:val="center"/>
                              <w:rPr>
                                <w:i/>
                                <w:sz w:val="15"/>
                              </w:rPr>
                            </w:pPr>
                            <w:r>
                              <w:rPr>
                                <w:i/>
                                <w:color w:val="231F20"/>
                                <w:spacing w:val="-2"/>
                                <w:w w:val="105"/>
                                <w:sz w:val="15"/>
                              </w:rPr>
                              <w:t>FGFR2</w:t>
                            </w:r>
                          </w:p>
                          <w:p>
                            <w:pPr>
                              <w:pStyle w:val="TableParagraph"/>
                              <w:tabs>
                                <w:tab w:pos="2367" w:val="left" w:leader="none"/>
                              </w:tabs>
                              <w:spacing w:line="169" w:lineRule="exact"/>
                              <w:ind w:left="74"/>
                              <w:rPr>
                                <w:i/>
                                <w:sz w:val="15"/>
                              </w:rPr>
                            </w:pPr>
                            <w:r>
                              <w:rPr>
                                <w:color w:val="231F20"/>
                                <w:spacing w:val="-2"/>
                                <w:sz w:val="15"/>
                              </w:rPr>
                              <w:t>Crouzonomesodermoskeletal</w:t>
                            </w:r>
                            <w:r>
                              <w:rPr>
                                <w:color w:val="231F20"/>
                                <w:sz w:val="15"/>
                              </w:rPr>
                              <w:tab/>
                              <w:t>Mutation in</w:t>
                            </w:r>
                            <w:r>
                              <w:rPr>
                                <w:color w:val="231F20"/>
                                <w:spacing w:val="1"/>
                                <w:sz w:val="15"/>
                              </w:rPr>
                              <w:t> </w:t>
                            </w:r>
                            <w:r>
                              <w:rPr>
                                <w:i/>
                                <w:color w:val="231F20"/>
                                <w:spacing w:val="-2"/>
                                <w:sz w:val="15"/>
                              </w:rPr>
                              <w:t>FGFR3</w:t>
                            </w:r>
                          </w:p>
                          <w:p>
                            <w:pPr>
                              <w:pStyle w:val="TableParagraph"/>
                              <w:spacing w:line="169" w:lineRule="exact"/>
                              <w:ind w:left="186"/>
                              <w:rPr>
                                <w:sz w:val="15"/>
                              </w:rPr>
                            </w:pPr>
                            <w:r>
                              <w:rPr>
                                <w:color w:val="231F20"/>
                                <w:spacing w:val="-2"/>
                                <w:sz w:val="15"/>
                              </w:rPr>
                              <w:t>syndrome</w:t>
                            </w:r>
                          </w:p>
                          <w:p>
                            <w:pPr>
                              <w:pStyle w:val="TableParagraph"/>
                              <w:tabs>
                                <w:tab w:pos="2367" w:val="left" w:leader="none"/>
                              </w:tabs>
                              <w:spacing w:line="169" w:lineRule="exact"/>
                              <w:ind w:left="74"/>
                              <w:rPr>
                                <w:i/>
                                <w:sz w:val="15"/>
                              </w:rPr>
                            </w:pPr>
                            <w:r>
                              <w:rPr>
                                <w:color w:val="231F20"/>
                                <w:sz w:val="15"/>
                              </w:rPr>
                              <w:t>Jackson-Weiss</w:t>
                            </w:r>
                            <w:r>
                              <w:rPr>
                                <w:color w:val="231F20"/>
                                <w:spacing w:val="10"/>
                                <w:sz w:val="15"/>
                              </w:rPr>
                              <w:t> </w:t>
                            </w:r>
                            <w:r>
                              <w:rPr>
                                <w:color w:val="231F20"/>
                                <w:spacing w:val="-2"/>
                                <w:sz w:val="15"/>
                              </w:rPr>
                              <w:t>syndrome</w:t>
                            </w:r>
                            <w:r>
                              <w:rPr>
                                <w:color w:val="231F20"/>
                                <w:sz w:val="15"/>
                              </w:rPr>
                              <w:tab/>
                              <w:t>Mutation in</w:t>
                            </w:r>
                            <w:r>
                              <w:rPr>
                                <w:color w:val="231F20"/>
                                <w:spacing w:val="1"/>
                                <w:sz w:val="15"/>
                              </w:rPr>
                              <w:t> </w:t>
                            </w:r>
                            <w:r>
                              <w:rPr>
                                <w:i/>
                                <w:color w:val="231F20"/>
                                <w:spacing w:val="-2"/>
                                <w:sz w:val="15"/>
                              </w:rPr>
                              <w:t>FGFR2</w:t>
                            </w:r>
                          </w:p>
                          <w:p>
                            <w:pPr>
                              <w:pStyle w:val="TableParagraph"/>
                              <w:tabs>
                                <w:tab w:pos="2367" w:val="left" w:leader="none"/>
                              </w:tabs>
                              <w:spacing w:line="169" w:lineRule="exact"/>
                              <w:ind w:left="74"/>
                              <w:rPr>
                                <w:i/>
                                <w:sz w:val="15"/>
                              </w:rPr>
                            </w:pPr>
                            <w:r>
                              <w:rPr>
                                <w:color w:val="231F20"/>
                                <w:sz w:val="15"/>
                              </w:rPr>
                              <w:t>Muenke</w:t>
                            </w:r>
                            <w:r>
                              <w:rPr>
                                <w:color w:val="231F20"/>
                                <w:spacing w:val="26"/>
                                <w:sz w:val="15"/>
                              </w:rPr>
                              <w:t> </w:t>
                            </w:r>
                            <w:r>
                              <w:rPr>
                                <w:color w:val="231F20"/>
                                <w:spacing w:val="-2"/>
                                <w:sz w:val="15"/>
                              </w:rPr>
                              <w:t>syndrome</w:t>
                            </w:r>
                            <w:r>
                              <w:rPr>
                                <w:color w:val="231F20"/>
                                <w:sz w:val="15"/>
                              </w:rPr>
                              <w:tab/>
                              <w:t>Mutation in</w:t>
                            </w:r>
                            <w:r>
                              <w:rPr>
                                <w:color w:val="231F20"/>
                                <w:spacing w:val="1"/>
                                <w:sz w:val="15"/>
                              </w:rPr>
                              <w:t> </w:t>
                            </w:r>
                            <w:r>
                              <w:rPr>
                                <w:i/>
                                <w:color w:val="231F20"/>
                                <w:spacing w:val="-2"/>
                                <w:sz w:val="15"/>
                              </w:rPr>
                              <w:t>FGFR3</w:t>
                            </w:r>
                          </w:p>
                          <w:p>
                            <w:pPr>
                              <w:pStyle w:val="TableParagraph"/>
                              <w:tabs>
                                <w:tab w:pos="2367" w:val="left" w:leader="none"/>
                              </w:tabs>
                              <w:spacing w:line="230" w:lineRule="auto" w:before="3"/>
                              <w:ind w:left="2479" w:right="181" w:hanging="2406"/>
                              <w:rPr>
                                <w:i/>
                                <w:sz w:val="15"/>
                              </w:rPr>
                            </w:pPr>
                            <w:r>
                              <w:rPr>
                                <w:color w:val="231F20"/>
                                <w:sz w:val="15"/>
                              </w:rPr>
                              <w:t>Pfeiffer syndrome</w:t>
                              <w:tab/>
                              <w:t>Mutation in </w:t>
                            </w:r>
                            <w:r>
                              <w:rPr>
                                <w:i/>
                                <w:color w:val="231F20"/>
                                <w:sz w:val="15"/>
                              </w:rPr>
                              <w:t>FGFR1 </w:t>
                            </w:r>
                            <w:r>
                              <w:rPr>
                                <w:color w:val="231F20"/>
                                <w:sz w:val="15"/>
                              </w:rPr>
                              <w:t>or </w:t>
                            </w:r>
                            <w:r>
                              <w:rPr>
                                <w:color w:val="231F20"/>
                                <w:sz w:val="15"/>
                              </w:rPr>
                              <w:t>numerous mutation in </w:t>
                            </w:r>
                            <w:r>
                              <w:rPr>
                                <w:i/>
                                <w:color w:val="231F20"/>
                                <w:sz w:val="15"/>
                              </w:rPr>
                              <w:t>FGFR2</w:t>
                            </w:r>
                          </w:p>
                          <w:p>
                            <w:pPr>
                              <w:pStyle w:val="TableParagraph"/>
                              <w:tabs>
                                <w:tab w:pos="2367" w:val="left" w:leader="none"/>
                              </w:tabs>
                              <w:spacing w:line="169" w:lineRule="exact"/>
                              <w:ind w:left="74"/>
                              <w:rPr>
                                <w:i/>
                                <w:sz w:val="15"/>
                              </w:rPr>
                            </w:pPr>
                            <w:r>
                              <w:rPr>
                                <w:color w:val="231F20"/>
                                <w:sz w:val="15"/>
                              </w:rPr>
                              <w:t>Saethre-Chotzen</w:t>
                            </w:r>
                            <w:r>
                              <w:rPr>
                                <w:color w:val="231F20"/>
                                <w:spacing w:val="-11"/>
                                <w:sz w:val="15"/>
                              </w:rPr>
                              <w:t> </w:t>
                            </w:r>
                            <w:r>
                              <w:rPr>
                                <w:color w:val="231F20"/>
                                <w:spacing w:val="-2"/>
                                <w:sz w:val="15"/>
                              </w:rPr>
                              <w:t>syndrome</w:t>
                            </w:r>
                            <w:r>
                              <w:rPr>
                                <w:color w:val="231F20"/>
                                <w:sz w:val="15"/>
                              </w:rPr>
                              <w:tab/>
                              <w:t>Mutation in</w:t>
                            </w:r>
                            <w:r>
                              <w:rPr>
                                <w:color w:val="231F20"/>
                                <w:spacing w:val="1"/>
                                <w:sz w:val="15"/>
                              </w:rPr>
                              <w:t> </w:t>
                            </w:r>
                            <w:r>
                              <w:rPr>
                                <w:i/>
                                <w:color w:val="231F20"/>
                                <w:spacing w:val="-2"/>
                                <w:sz w:val="15"/>
                              </w:rPr>
                              <w:t>TWIST</w:t>
                            </w:r>
                          </w:p>
                          <w:p>
                            <w:pPr>
                              <w:pStyle w:val="TableParagraph"/>
                              <w:tabs>
                                <w:tab w:pos="2367" w:val="left" w:leader="none"/>
                              </w:tabs>
                              <w:spacing w:line="169" w:lineRule="exact"/>
                              <w:ind w:left="74"/>
                              <w:rPr>
                                <w:i/>
                                <w:sz w:val="15"/>
                              </w:rPr>
                            </w:pPr>
                            <w:r>
                              <w:rPr>
                                <w:color w:val="231F20"/>
                                <w:sz w:val="15"/>
                              </w:rPr>
                              <w:t>Shprintzen-</w:t>
                            </w:r>
                            <w:r>
                              <w:rPr>
                                <w:color w:val="231F20"/>
                                <w:spacing w:val="-2"/>
                                <w:sz w:val="15"/>
                              </w:rPr>
                              <w:t>Goldberg</w:t>
                            </w:r>
                            <w:r>
                              <w:rPr>
                                <w:color w:val="231F20"/>
                                <w:sz w:val="15"/>
                              </w:rPr>
                              <w:tab/>
                              <w:t>Mutation in</w:t>
                            </w:r>
                            <w:r>
                              <w:rPr>
                                <w:color w:val="231F20"/>
                                <w:spacing w:val="1"/>
                                <w:sz w:val="15"/>
                              </w:rPr>
                              <w:t> </w:t>
                            </w:r>
                            <w:r>
                              <w:rPr>
                                <w:i/>
                                <w:color w:val="231F20"/>
                                <w:spacing w:val="-2"/>
                                <w:sz w:val="15"/>
                              </w:rPr>
                              <w:t>FBEN1</w:t>
                            </w:r>
                          </w:p>
                          <w:p>
                            <w:pPr>
                              <w:pStyle w:val="TableParagraph"/>
                              <w:spacing w:line="171" w:lineRule="exact"/>
                              <w:ind w:left="186"/>
                              <w:rPr>
                                <w:sz w:val="15"/>
                              </w:rPr>
                            </w:pPr>
                            <w:r>
                              <w:rPr>
                                <w:color w:val="231F20"/>
                                <w:spacing w:val="-2"/>
                                <w:sz w:val="15"/>
                              </w:rPr>
                              <w:t>syndrome</w:t>
                            </w:r>
                          </w:p>
                        </w:tc>
                      </w:tr>
                    </w:tbl>
                    <w:p>
                      <w:pPr>
                        <w:pStyle w:val="BodyText"/>
                      </w:pPr>
                    </w:p>
                  </w:txbxContent>
                </v:textbox>
                <w10:wrap type="topAndBottom"/>
              </v:shape>
            </w:pict>
          </mc:Fallback>
        </mc:AlternateContent>
      </w:r>
      <w:r>
        <w:rPr>
          <w:sz w:val="20"/>
        </w:rPr>
        <mc:AlternateContent>
          <mc:Choice Requires="wps">
            <w:drawing>
              <wp:anchor distT="0" distB="0" distL="0" distR="0" allowOverlap="1" layoutInCell="1" locked="0" behindDoc="1" simplePos="0" relativeHeight="487587840">
                <wp:simplePos x="0" y="0"/>
                <wp:positionH relativeFrom="page">
                  <wp:posOffset>4118535</wp:posOffset>
                </wp:positionH>
                <wp:positionV relativeFrom="paragraph">
                  <wp:posOffset>187935</wp:posOffset>
                </wp:positionV>
                <wp:extent cx="2986405" cy="2153920"/>
                <wp:effectExtent l="0" t="0" r="0" b="0"/>
                <wp:wrapTopAndBottom/>
                <wp:docPr id="201" name="Textbox 201"/>
                <wp:cNvGraphicFramePr>
                  <a:graphicFrameLocks/>
                </wp:cNvGraphicFramePr>
                <a:graphic>
                  <a:graphicData uri="http://schemas.microsoft.com/office/word/2010/wordprocessingShape">
                    <wps:wsp>
                      <wps:cNvPr id="201" name="Textbox 201"/>
                      <wps:cNvSpPr txBox="1"/>
                      <wps:spPr>
                        <a:xfrm>
                          <a:off x="0" y="0"/>
                          <a:ext cx="2986405" cy="215392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591-</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Cutaneous Lesions Associated with </w:t>
                                  </w:r>
                                  <w:r>
                                    <w:rPr>
                                      <w:color w:val="FFFFFF"/>
                                      <w:w w:val="105"/>
                                      <w:sz w:val="16"/>
                                    </w:rPr>
                                    <w:t>Occult Spinal Dysraphism</w:t>
                                  </w:r>
                                </w:p>
                              </w:tc>
                            </w:tr>
                            <w:tr>
                              <w:trPr>
                                <w:trHeight w:val="160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5"/>
                                      <w:sz w:val="15"/>
                                    </w:rPr>
                                    <w:t>IMAGING</w:t>
                                  </w:r>
                                  <w:r>
                                    <w:rPr>
                                      <w:color w:val="231F20"/>
                                      <w:spacing w:val="1"/>
                                      <w:w w:val="115"/>
                                      <w:sz w:val="15"/>
                                    </w:rPr>
                                    <w:t> </w:t>
                                  </w:r>
                                  <w:r>
                                    <w:rPr>
                                      <w:color w:val="231F20"/>
                                      <w:spacing w:val="-2"/>
                                      <w:w w:val="115"/>
                                      <w:sz w:val="15"/>
                                    </w:rPr>
                                    <w:t>INDICATED</w:t>
                                  </w:r>
                                </w:p>
                                <w:p>
                                  <w:pPr>
                                    <w:pStyle w:val="TableParagraph"/>
                                    <w:spacing w:line="230" w:lineRule="auto" w:before="3"/>
                                    <w:ind w:left="74" w:right="2339"/>
                                    <w:rPr>
                                      <w:sz w:val="15"/>
                                    </w:rPr>
                                  </w:pPr>
                                  <w:r>
                                    <w:rPr>
                                      <w:color w:val="231F20"/>
                                      <w:sz w:val="15"/>
                                    </w:rPr>
                                    <w:t>Subcutaneous</w:t>
                                  </w:r>
                                  <w:r>
                                    <w:rPr>
                                      <w:color w:val="231F20"/>
                                      <w:spacing w:val="-1"/>
                                      <w:sz w:val="15"/>
                                    </w:rPr>
                                    <w:t> </w:t>
                                  </w:r>
                                  <w:r>
                                    <w:rPr>
                                      <w:color w:val="231F20"/>
                                      <w:sz w:val="15"/>
                                    </w:rPr>
                                    <w:t>mass</w:t>
                                  </w:r>
                                  <w:r>
                                    <w:rPr>
                                      <w:color w:val="231F20"/>
                                      <w:spacing w:val="-1"/>
                                      <w:sz w:val="15"/>
                                    </w:rPr>
                                    <w:t> </w:t>
                                  </w:r>
                                  <w:r>
                                    <w:rPr>
                                      <w:color w:val="231F20"/>
                                      <w:sz w:val="15"/>
                                    </w:rPr>
                                    <w:t>or</w:t>
                                  </w:r>
                                  <w:r>
                                    <w:rPr>
                                      <w:color w:val="231F20"/>
                                      <w:spacing w:val="-1"/>
                                      <w:sz w:val="15"/>
                                    </w:rPr>
                                    <w:t> </w:t>
                                  </w:r>
                                  <w:r>
                                    <w:rPr>
                                      <w:color w:val="231F20"/>
                                      <w:sz w:val="15"/>
                                    </w:rPr>
                                    <w:t>lipoma Hairy patch</w:t>
                                  </w:r>
                                </w:p>
                                <w:p>
                                  <w:pPr>
                                    <w:pStyle w:val="TableParagraph"/>
                                    <w:spacing w:line="166" w:lineRule="exact"/>
                                    <w:ind w:left="74"/>
                                    <w:rPr>
                                      <w:sz w:val="15"/>
                                    </w:rPr>
                                  </w:pPr>
                                  <w:r>
                                    <w:rPr>
                                      <w:color w:val="231F20"/>
                                      <w:sz w:val="15"/>
                                    </w:rPr>
                                    <w:t>Dermal</w:t>
                                  </w:r>
                                  <w:r>
                                    <w:rPr>
                                      <w:color w:val="231F20"/>
                                      <w:spacing w:val="1"/>
                                      <w:sz w:val="15"/>
                                    </w:rPr>
                                    <w:t> </w:t>
                                  </w:r>
                                  <w:r>
                                    <w:rPr>
                                      <w:color w:val="231F20"/>
                                      <w:spacing w:val="-2"/>
                                      <w:sz w:val="15"/>
                                    </w:rPr>
                                    <w:t>sinus</w:t>
                                  </w:r>
                                </w:p>
                                <w:p>
                                  <w:pPr>
                                    <w:pStyle w:val="TableParagraph"/>
                                    <w:spacing w:line="230" w:lineRule="auto" w:before="2"/>
                                    <w:ind w:left="74" w:right="434"/>
                                    <w:rPr>
                                      <w:sz w:val="15"/>
                                    </w:rPr>
                                  </w:pPr>
                                  <w:r>
                                    <w:rPr>
                                      <w:color w:val="231F20"/>
                                      <w:sz w:val="15"/>
                                    </w:rPr>
                                    <w:t>Atypical</w:t>
                                  </w:r>
                                  <w:r>
                                    <w:rPr>
                                      <w:color w:val="231F20"/>
                                      <w:spacing w:val="-10"/>
                                      <w:sz w:val="15"/>
                                    </w:rPr>
                                    <w:t> </w:t>
                                  </w:r>
                                  <w:r>
                                    <w:rPr>
                                      <w:color w:val="231F20"/>
                                      <w:sz w:val="15"/>
                                    </w:rPr>
                                    <w:t>dimples</w:t>
                                  </w:r>
                                  <w:r>
                                    <w:rPr>
                                      <w:color w:val="231F20"/>
                                      <w:spacing w:val="-10"/>
                                      <w:sz w:val="15"/>
                                    </w:rPr>
                                    <w:t> </w:t>
                                  </w:r>
                                  <w:r>
                                    <w:rPr>
                                      <w:color w:val="231F20"/>
                                      <w:sz w:val="15"/>
                                    </w:rPr>
                                    <w:t>(deep,</w:t>
                                  </w:r>
                                  <w:r>
                                    <w:rPr>
                                      <w:color w:val="231F20"/>
                                      <w:spacing w:val="-10"/>
                                      <w:sz w:val="15"/>
                                    </w:rPr>
                                    <w:t> </w:t>
                                  </w:r>
                                  <w:r>
                                    <w:rPr>
                                      <w:rFonts w:ascii="Cambria"/>
                                      <w:color w:val="231F20"/>
                                      <w:sz w:val="15"/>
                                    </w:rPr>
                                    <w:t>&gt;</w:t>
                                  </w:r>
                                  <w:r>
                                    <w:rPr>
                                      <w:color w:val="231F20"/>
                                      <w:sz w:val="15"/>
                                    </w:rPr>
                                    <w:t>5</w:t>
                                  </w:r>
                                  <w:r>
                                    <w:rPr>
                                      <w:color w:val="231F20"/>
                                      <w:spacing w:val="-10"/>
                                      <w:sz w:val="15"/>
                                    </w:rPr>
                                    <w:t> </w:t>
                                  </w:r>
                                  <w:r>
                                    <w:rPr>
                                      <w:color w:val="231F20"/>
                                      <w:sz w:val="15"/>
                                    </w:rPr>
                                    <w:t>mm,</w:t>
                                  </w:r>
                                  <w:r>
                                    <w:rPr>
                                      <w:color w:val="231F20"/>
                                      <w:spacing w:val="-10"/>
                                      <w:sz w:val="15"/>
                                    </w:rPr>
                                    <w:t> </w:t>
                                  </w:r>
                                  <w:r>
                                    <w:rPr>
                                      <w:rFonts w:ascii="Cambria"/>
                                      <w:color w:val="231F20"/>
                                      <w:sz w:val="15"/>
                                    </w:rPr>
                                    <w:t>&gt;</w:t>
                                  </w:r>
                                  <w:r>
                                    <w:rPr>
                                      <w:color w:val="231F20"/>
                                      <w:sz w:val="15"/>
                                    </w:rPr>
                                    <w:t>25</w:t>
                                  </w:r>
                                  <w:r>
                                    <w:rPr>
                                      <w:color w:val="231F20"/>
                                      <w:spacing w:val="-10"/>
                                      <w:sz w:val="15"/>
                                    </w:rPr>
                                    <w:t> </w:t>
                                  </w:r>
                                  <w:r>
                                    <w:rPr>
                                      <w:color w:val="231F20"/>
                                      <w:sz w:val="15"/>
                                    </w:rPr>
                                    <w:t>mm</w:t>
                                  </w:r>
                                  <w:r>
                                    <w:rPr>
                                      <w:color w:val="231F20"/>
                                      <w:spacing w:val="-10"/>
                                      <w:sz w:val="15"/>
                                    </w:rPr>
                                    <w:t> </w:t>
                                  </w:r>
                                  <w:r>
                                    <w:rPr>
                                      <w:color w:val="231F20"/>
                                      <w:sz w:val="15"/>
                                    </w:rPr>
                                    <w:t>from</w:t>
                                  </w:r>
                                  <w:r>
                                    <w:rPr>
                                      <w:color w:val="231F20"/>
                                      <w:spacing w:val="-10"/>
                                      <w:sz w:val="15"/>
                                    </w:rPr>
                                    <w:t> </w:t>
                                  </w:r>
                                  <w:r>
                                    <w:rPr>
                                      <w:color w:val="231F20"/>
                                      <w:sz w:val="15"/>
                                    </w:rPr>
                                    <w:t>anal</w:t>
                                  </w:r>
                                  <w:r>
                                    <w:rPr>
                                      <w:color w:val="231F20"/>
                                      <w:spacing w:val="-10"/>
                                      <w:sz w:val="15"/>
                                    </w:rPr>
                                    <w:t> </w:t>
                                  </w:r>
                                  <w:r>
                                    <w:rPr>
                                      <w:color w:val="231F20"/>
                                      <w:sz w:val="15"/>
                                    </w:rPr>
                                    <w:t>verge) Vascular lesion, e.g., hemangioma or telangiectasia</w:t>
                                  </w:r>
                                </w:p>
                                <w:p>
                                  <w:pPr>
                                    <w:pStyle w:val="TableParagraph"/>
                                    <w:spacing w:line="230" w:lineRule="auto" w:before="1"/>
                                    <w:ind w:left="186" w:hanging="112"/>
                                    <w:rPr>
                                      <w:sz w:val="15"/>
                                    </w:rPr>
                                  </w:pPr>
                                  <w:r>
                                    <w:rPr>
                                      <w:color w:val="231F20"/>
                                      <w:sz w:val="15"/>
                                    </w:rPr>
                                    <w:t>Skin</w:t>
                                  </w:r>
                                  <w:r>
                                    <w:rPr>
                                      <w:color w:val="231F20"/>
                                      <w:spacing w:val="-10"/>
                                      <w:sz w:val="15"/>
                                    </w:rPr>
                                    <w:t> </w:t>
                                  </w:r>
                                  <w:r>
                                    <w:rPr>
                                      <w:color w:val="231F20"/>
                                      <w:sz w:val="15"/>
                                    </w:rPr>
                                    <w:t>appendages</w:t>
                                  </w:r>
                                  <w:r>
                                    <w:rPr>
                                      <w:color w:val="231F20"/>
                                      <w:spacing w:val="-10"/>
                                      <w:sz w:val="15"/>
                                    </w:rPr>
                                    <w:t> </w:t>
                                  </w:r>
                                  <w:r>
                                    <w:rPr>
                                      <w:color w:val="231F20"/>
                                      <w:sz w:val="15"/>
                                    </w:rPr>
                                    <w:t>or</w:t>
                                  </w:r>
                                  <w:r>
                                    <w:rPr>
                                      <w:color w:val="231F20"/>
                                      <w:spacing w:val="-10"/>
                                      <w:sz w:val="15"/>
                                    </w:rPr>
                                    <w:t> </w:t>
                                  </w:r>
                                  <w:r>
                                    <w:rPr>
                                      <w:color w:val="231F20"/>
                                      <w:sz w:val="15"/>
                                    </w:rPr>
                                    <w:t>polypoid</w:t>
                                  </w:r>
                                  <w:r>
                                    <w:rPr>
                                      <w:color w:val="231F20"/>
                                      <w:spacing w:val="-10"/>
                                      <w:sz w:val="15"/>
                                    </w:rPr>
                                    <w:t> </w:t>
                                  </w:r>
                                  <w:r>
                                    <w:rPr>
                                      <w:color w:val="231F20"/>
                                      <w:sz w:val="15"/>
                                    </w:rPr>
                                    <w:t>lesions,</w:t>
                                  </w:r>
                                  <w:r>
                                    <w:rPr>
                                      <w:color w:val="231F20"/>
                                      <w:spacing w:val="-10"/>
                                      <w:sz w:val="15"/>
                                    </w:rPr>
                                    <w:t> </w:t>
                                  </w:r>
                                  <w:r>
                                    <w:rPr>
                                      <w:color w:val="231F20"/>
                                      <w:sz w:val="15"/>
                                    </w:rPr>
                                    <w:t>e.g.,</w:t>
                                  </w:r>
                                  <w:r>
                                    <w:rPr>
                                      <w:color w:val="231F20"/>
                                      <w:spacing w:val="-10"/>
                                      <w:sz w:val="15"/>
                                    </w:rPr>
                                    <w:t> </w:t>
                                  </w:r>
                                  <w:r>
                                    <w:rPr>
                                      <w:color w:val="231F20"/>
                                      <w:sz w:val="15"/>
                                    </w:rPr>
                                    <w:t>skin</w:t>
                                  </w:r>
                                  <w:r>
                                    <w:rPr>
                                      <w:color w:val="231F20"/>
                                      <w:spacing w:val="-10"/>
                                      <w:sz w:val="15"/>
                                    </w:rPr>
                                    <w:t> </w:t>
                                  </w:r>
                                  <w:r>
                                    <w:rPr>
                                      <w:color w:val="231F20"/>
                                      <w:sz w:val="15"/>
                                    </w:rPr>
                                    <w:t>tags,</w:t>
                                  </w:r>
                                  <w:r>
                                    <w:rPr>
                                      <w:color w:val="231F20"/>
                                      <w:spacing w:val="-10"/>
                                      <w:sz w:val="15"/>
                                    </w:rPr>
                                    <w:t> </w:t>
                                  </w:r>
                                  <w:r>
                                    <w:rPr>
                                      <w:color w:val="231F20"/>
                                      <w:sz w:val="15"/>
                                    </w:rPr>
                                    <w:t>tail-</w:t>
                                  </w:r>
                                  <w:r>
                                    <w:rPr>
                                      <w:color w:val="231F20"/>
                                      <w:sz w:val="15"/>
                                    </w:rPr>
                                    <w:t>like </w:t>
                                  </w:r>
                                  <w:r>
                                    <w:rPr>
                                      <w:color w:val="231F20"/>
                                      <w:spacing w:val="-2"/>
                                      <w:sz w:val="15"/>
                                    </w:rPr>
                                    <w:t>appendages</w:t>
                                  </w:r>
                                </w:p>
                                <w:p>
                                  <w:pPr>
                                    <w:pStyle w:val="TableParagraph"/>
                                    <w:spacing w:line="170" w:lineRule="exact"/>
                                    <w:ind w:left="74"/>
                                    <w:rPr>
                                      <w:sz w:val="15"/>
                                    </w:rPr>
                                  </w:pPr>
                                  <w:r>
                                    <w:rPr>
                                      <w:color w:val="231F20"/>
                                      <w:spacing w:val="-4"/>
                                      <w:sz w:val="15"/>
                                    </w:rPr>
                                    <w:t>Scar-like</w:t>
                                  </w:r>
                                  <w:r>
                                    <w:rPr>
                                      <w:color w:val="231F20"/>
                                      <w:spacing w:val="7"/>
                                      <w:sz w:val="15"/>
                                    </w:rPr>
                                    <w:t> </w:t>
                                  </w:r>
                                  <w:r>
                                    <w:rPr>
                                      <w:color w:val="231F20"/>
                                      <w:spacing w:val="-4"/>
                                      <w:sz w:val="15"/>
                                    </w:rPr>
                                    <w:t>lesions</w:t>
                                  </w:r>
                                </w:p>
                              </w:tc>
                            </w:tr>
                            <w:tr>
                              <w:trPr>
                                <w:trHeight w:val="591"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IMAGING</w:t>
                                  </w:r>
                                  <w:r>
                                    <w:rPr>
                                      <w:color w:val="231F20"/>
                                      <w:spacing w:val="1"/>
                                      <w:w w:val="115"/>
                                      <w:sz w:val="15"/>
                                    </w:rPr>
                                    <w:t> </w:t>
                                  </w:r>
                                  <w:r>
                                    <w:rPr>
                                      <w:color w:val="231F20"/>
                                      <w:spacing w:val="-2"/>
                                      <w:w w:val="115"/>
                                      <w:sz w:val="15"/>
                                    </w:rPr>
                                    <w:t>UNCERTAIN</w:t>
                                  </w:r>
                                </w:p>
                                <w:p>
                                  <w:pPr>
                                    <w:pStyle w:val="TableParagraph"/>
                                    <w:spacing w:line="230" w:lineRule="auto" w:before="3"/>
                                    <w:ind w:left="74" w:right="2339"/>
                                    <w:rPr>
                                      <w:sz w:val="15"/>
                                    </w:rPr>
                                  </w:pPr>
                                  <w:r>
                                    <w:rPr>
                                      <w:color w:val="231F20"/>
                                      <w:sz w:val="15"/>
                                    </w:rPr>
                                    <w:t>Hyperpigmented patches Deviation</w:t>
                                  </w:r>
                                  <w:r>
                                    <w:rPr>
                                      <w:color w:val="231F20"/>
                                      <w:spacing w:val="-12"/>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gluteal</w:t>
                                  </w:r>
                                  <w:r>
                                    <w:rPr>
                                      <w:color w:val="231F20"/>
                                      <w:spacing w:val="-12"/>
                                      <w:sz w:val="15"/>
                                    </w:rPr>
                                    <w:t> </w:t>
                                  </w:r>
                                  <w:r>
                                    <w:rPr>
                                      <w:color w:val="231F20"/>
                                      <w:sz w:val="15"/>
                                    </w:rPr>
                                    <w:t>fold</w:t>
                                  </w:r>
                                </w:p>
                              </w:tc>
                            </w:tr>
                            <w:tr>
                              <w:trPr>
                                <w:trHeight w:val="588"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5"/>
                                      <w:sz w:val="15"/>
                                    </w:rPr>
                                    <w:t>IMAGING NOT </w:t>
                                  </w:r>
                                  <w:r>
                                    <w:rPr>
                                      <w:color w:val="231F20"/>
                                      <w:spacing w:val="-2"/>
                                      <w:w w:val="115"/>
                                      <w:sz w:val="15"/>
                                    </w:rPr>
                                    <w:t>REQUIRED</w:t>
                                  </w:r>
                                </w:p>
                                <w:p>
                                  <w:pPr>
                                    <w:pStyle w:val="TableParagraph"/>
                                    <w:spacing w:line="230" w:lineRule="auto" w:before="3"/>
                                    <w:ind w:left="74" w:right="1221"/>
                                    <w:rPr>
                                      <w:sz w:val="15"/>
                                    </w:rPr>
                                  </w:pPr>
                                  <w:r>
                                    <w:rPr>
                                      <w:color w:val="231F20"/>
                                      <w:sz w:val="15"/>
                                    </w:rPr>
                                    <w:t>Simple</w:t>
                                  </w:r>
                                  <w:r>
                                    <w:rPr>
                                      <w:color w:val="231F20"/>
                                      <w:spacing w:val="-9"/>
                                      <w:sz w:val="15"/>
                                    </w:rPr>
                                    <w:t> </w:t>
                                  </w:r>
                                  <w:r>
                                    <w:rPr>
                                      <w:color w:val="231F20"/>
                                      <w:sz w:val="15"/>
                                    </w:rPr>
                                    <w:t>dimples</w:t>
                                  </w:r>
                                  <w:r>
                                    <w:rPr>
                                      <w:color w:val="231F20"/>
                                      <w:spacing w:val="-9"/>
                                      <w:sz w:val="15"/>
                                    </w:rPr>
                                    <w:t> </w:t>
                                  </w:r>
                                  <w:r>
                                    <w:rPr>
                                      <w:color w:val="231F20"/>
                                      <w:sz w:val="15"/>
                                    </w:rPr>
                                    <w:t>(</w:t>
                                  </w:r>
                                  <w:r>
                                    <w:rPr>
                                      <w:rFonts w:ascii="Cambria"/>
                                      <w:color w:val="231F20"/>
                                      <w:sz w:val="15"/>
                                    </w:rPr>
                                    <w:t>&lt;</w:t>
                                  </w:r>
                                  <w:r>
                                    <w:rPr>
                                      <w:color w:val="231F20"/>
                                      <w:sz w:val="15"/>
                                    </w:rPr>
                                    <w:t>5</w:t>
                                  </w:r>
                                  <w:r>
                                    <w:rPr>
                                      <w:color w:val="231F20"/>
                                      <w:spacing w:val="-9"/>
                                      <w:sz w:val="15"/>
                                    </w:rPr>
                                    <w:t> </w:t>
                                  </w:r>
                                  <w:r>
                                    <w:rPr>
                                      <w:color w:val="231F20"/>
                                      <w:sz w:val="15"/>
                                    </w:rPr>
                                    <w:t>mm,</w:t>
                                  </w:r>
                                  <w:r>
                                    <w:rPr>
                                      <w:color w:val="231F20"/>
                                      <w:spacing w:val="-9"/>
                                      <w:sz w:val="15"/>
                                    </w:rPr>
                                    <w:t> </w:t>
                                  </w:r>
                                  <w:r>
                                    <w:rPr>
                                      <w:rFonts w:ascii="Cambria"/>
                                      <w:color w:val="231F20"/>
                                      <w:sz w:val="15"/>
                                    </w:rPr>
                                    <w:t>&lt;</w:t>
                                  </w:r>
                                  <w:r>
                                    <w:rPr>
                                      <w:color w:val="231F20"/>
                                      <w:sz w:val="15"/>
                                    </w:rPr>
                                    <w:t>25</w:t>
                                  </w:r>
                                  <w:r>
                                    <w:rPr>
                                      <w:color w:val="231F20"/>
                                      <w:spacing w:val="-9"/>
                                      <w:sz w:val="15"/>
                                    </w:rPr>
                                    <w:t> </w:t>
                                  </w:r>
                                  <w:r>
                                    <w:rPr>
                                      <w:color w:val="231F20"/>
                                      <w:sz w:val="15"/>
                                    </w:rPr>
                                    <w:t>mm</w:t>
                                  </w:r>
                                  <w:r>
                                    <w:rPr>
                                      <w:color w:val="231F20"/>
                                      <w:spacing w:val="-9"/>
                                      <w:sz w:val="15"/>
                                    </w:rPr>
                                    <w:t> </w:t>
                                  </w:r>
                                  <w:r>
                                    <w:rPr>
                                      <w:color w:val="231F20"/>
                                      <w:sz w:val="15"/>
                                    </w:rPr>
                                    <w:t>from</w:t>
                                  </w:r>
                                  <w:r>
                                    <w:rPr>
                                      <w:color w:val="231F20"/>
                                      <w:spacing w:val="-9"/>
                                      <w:sz w:val="15"/>
                                    </w:rPr>
                                    <w:t> </w:t>
                                  </w:r>
                                  <w:r>
                                    <w:rPr>
                                      <w:color w:val="231F20"/>
                                      <w:sz w:val="15"/>
                                    </w:rPr>
                                    <w:t>anal</w:t>
                                  </w:r>
                                  <w:r>
                                    <w:rPr>
                                      <w:color w:val="231F20"/>
                                      <w:spacing w:val="-9"/>
                                      <w:sz w:val="15"/>
                                    </w:rPr>
                                    <w:t> </w:t>
                                  </w:r>
                                  <w:r>
                                    <w:rPr>
                                      <w:color w:val="231F20"/>
                                      <w:sz w:val="15"/>
                                    </w:rPr>
                                    <w:t>verge) Coccygeal pits</w:t>
                                  </w:r>
                                </w:p>
                              </w:tc>
                            </w:tr>
                          </w:tbl>
                          <w:p>
                            <w:pPr>
                              <w:pStyle w:val="BodyText"/>
                            </w:pPr>
                          </w:p>
                        </w:txbxContent>
                      </wps:txbx>
                      <wps:bodyPr wrap="square" lIns="0" tIns="0" rIns="0" bIns="0" rtlCol="0">
                        <a:noAutofit/>
                      </wps:bodyPr>
                    </wps:wsp>
                  </a:graphicData>
                </a:graphic>
              </wp:anchor>
            </w:drawing>
          </mc:Choice>
          <mc:Fallback>
            <w:pict>
              <v:shape style="position:absolute;margin-left:324.294098pt;margin-top:14.79811pt;width:235.15pt;height:169.6pt;mso-position-horizontal-relative:page;mso-position-vertical-relative:paragraph;z-index:-15728640;mso-wrap-distance-left:0;mso-wrap-distance-right:0" type="#_x0000_t202" id="docshape159"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591-</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Cutaneous Lesions Associated with </w:t>
                            </w:r>
                            <w:r>
                              <w:rPr>
                                <w:color w:val="FFFFFF"/>
                                <w:w w:val="105"/>
                                <w:sz w:val="16"/>
                              </w:rPr>
                              <w:t>Occult Spinal Dysraphism</w:t>
                            </w:r>
                          </w:p>
                        </w:tc>
                      </w:tr>
                      <w:tr>
                        <w:trPr>
                          <w:trHeight w:val="160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5"/>
                                <w:sz w:val="15"/>
                              </w:rPr>
                              <w:t>IMAGING</w:t>
                            </w:r>
                            <w:r>
                              <w:rPr>
                                <w:color w:val="231F20"/>
                                <w:spacing w:val="1"/>
                                <w:w w:val="115"/>
                                <w:sz w:val="15"/>
                              </w:rPr>
                              <w:t> </w:t>
                            </w:r>
                            <w:r>
                              <w:rPr>
                                <w:color w:val="231F20"/>
                                <w:spacing w:val="-2"/>
                                <w:w w:val="115"/>
                                <w:sz w:val="15"/>
                              </w:rPr>
                              <w:t>INDICATED</w:t>
                            </w:r>
                          </w:p>
                          <w:p>
                            <w:pPr>
                              <w:pStyle w:val="TableParagraph"/>
                              <w:spacing w:line="230" w:lineRule="auto" w:before="3"/>
                              <w:ind w:left="74" w:right="2339"/>
                              <w:rPr>
                                <w:sz w:val="15"/>
                              </w:rPr>
                            </w:pPr>
                            <w:r>
                              <w:rPr>
                                <w:color w:val="231F20"/>
                                <w:sz w:val="15"/>
                              </w:rPr>
                              <w:t>Subcutaneous</w:t>
                            </w:r>
                            <w:r>
                              <w:rPr>
                                <w:color w:val="231F20"/>
                                <w:spacing w:val="-1"/>
                                <w:sz w:val="15"/>
                              </w:rPr>
                              <w:t> </w:t>
                            </w:r>
                            <w:r>
                              <w:rPr>
                                <w:color w:val="231F20"/>
                                <w:sz w:val="15"/>
                              </w:rPr>
                              <w:t>mass</w:t>
                            </w:r>
                            <w:r>
                              <w:rPr>
                                <w:color w:val="231F20"/>
                                <w:spacing w:val="-1"/>
                                <w:sz w:val="15"/>
                              </w:rPr>
                              <w:t> </w:t>
                            </w:r>
                            <w:r>
                              <w:rPr>
                                <w:color w:val="231F20"/>
                                <w:sz w:val="15"/>
                              </w:rPr>
                              <w:t>or</w:t>
                            </w:r>
                            <w:r>
                              <w:rPr>
                                <w:color w:val="231F20"/>
                                <w:spacing w:val="-1"/>
                                <w:sz w:val="15"/>
                              </w:rPr>
                              <w:t> </w:t>
                            </w:r>
                            <w:r>
                              <w:rPr>
                                <w:color w:val="231F20"/>
                                <w:sz w:val="15"/>
                              </w:rPr>
                              <w:t>lipoma Hairy patch</w:t>
                            </w:r>
                          </w:p>
                          <w:p>
                            <w:pPr>
                              <w:pStyle w:val="TableParagraph"/>
                              <w:spacing w:line="166" w:lineRule="exact"/>
                              <w:ind w:left="74"/>
                              <w:rPr>
                                <w:sz w:val="15"/>
                              </w:rPr>
                            </w:pPr>
                            <w:r>
                              <w:rPr>
                                <w:color w:val="231F20"/>
                                <w:sz w:val="15"/>
                              </w:rPr>
                              <w:t>Dermal</w:t>
                            </w:r>
                            <w:r>
                              <w:rPr>
                                <w:color w:val="231F20"/>
                                <w:spacing w:val="1"/>
                                <w:sz w:val="15"/>
                              </w:rPr>
                              <w:t> </w:t>
                            </w:r>
                            <w:r>
                              <w:rPr>
                                <w:color w:val="231F20"/>
                                <w:spacing w:val="-2"/>
                                <w:sz w:val="15"/>
                              </w:rPr>
                              <w:t>sinus</w:t>
                            </w:r>
                          </w:p>
                          <w:p>
                            <w:pPr>
                              <w:pStyle w:val="TableParagraph"/>
                              <w:spacing w:line="230" w:lineRule="auto" w:before="2"/>
                              <w:ind w:left="74" w:right="434"/>
                              <w:rPr>
                                <w:sz w:val="15"/>
                              </w:rPr>
                            </w:pPr>
                            <w:r>
                              <w:rPr>
                                <w:color w:val="231F20"/>
                                <w:sz w:val="15"/>
                              </w:rPr>
                              <w:t>Atypical</w:t>
                            </w:r>
                            <w:r>
                              <w:rPr>
                                <w:color w:val="231F20"/>
                                <w:spacing w:val="-10"/>
                                <w:sz w:val="15"/>
                              </w:rPr>
                              <w:t> </w:t>
                            </w:r>
                            <w:r>
                              <w:rPr>
                                <w:color w:val="231F20"/>
                                <w:sz w:val="15"/>
                              </w:rPr>
                              <w:t>dimples</w:t>
                            </w:r>
                            <w:r>
                              <w:rPr>
                                <w:color w:val="231F20"/>
                                <w:spacing w:val="-10"/>
                                <w:sz w:val="15"/>
                              </w:rPr>
                              <w:t> </w:t>
                            </w:r>
                            <w:r>
                              <w:rPr>
                                <w:color w:val="231F20"/>
                                <w:sz w:val="15"/>
                              </w:rPr>
                              <w:t>(deep,</w:t>
                            </w:r>
                            <w:r>
                              <w:rPr>
                                <w:color w:val="231F20"/>
                                <w:spacing w:val="-10"/>
                                <w:sz w:val="15"/>
                              </w:rPr>
                              <w:t> </w:t>
                            </w:r>
                            <w:r>
                              <w:rPr>
                                <w:rFonts w:ascii="Cambria"/>
                                <w:color w:val="231F20"/>
                                <w:sz w:val="15"/>
                              </w:rPr>
                              <w:t>&gt;</w:t>
                            </w:r>
                            <w:r>
                              <w:rPr>
                                <w:color w:val="231F20"/>
                                <w:sz w:val="15"/>
                              </w:rPr>
                              <w:t>5</w:t>
                            </w:r>
                            <w:r>
                              <w:rPr>
                                <w:color w:val="231F20"/>
                                <w:spacing w:val="-10"/>
                                <w:sz w:val="15"/>
                              </w:rPr>
                              <w:t> </w:t>
                            </w:r>
                            <w:r>
                              <w:rPr>
                                <w:color w:val="231F20"/>
                                <w:sz w:val="15"/>
                              </w:rPr>
                              <w:t>mm,</w:t>
                            </w:r>
                            <w:r>
                              <w:rPr>
                                <w:color w:val="231F20"/>
                                <w:spacing w:val="-10"/>
                                <w:sz w:val="15"/>
                              </w:rPr>
                              <w:t> </w:t>
                            </w:r>
                            <w:r>
                              <w:rPr>
                                <w:rFonts w:ascii="Cambria"/>
                                <w:color w:val="231F20"/>
                                <w:sz w:val="15"/>
                              </w:rPr>
                              <w:t>&gt;</w:t>
                            </w:r>
                            <w:r>
                              <w:rPr>
                                <w:color w:val="231F20"/>
                                <w:sz w:val="15"/>
                              </w:rPr>
                              <w:t>25</w:t>
                            </w:r>
                            <w:r>
                              <w:rPr>
                                <w:color w:val="231F20"/>
                                <w:spacing w:val="-10"/>
                                <w:sz w:val="15"/>
                              </w:rPr>
                              <w:t> </w:t>
                            </w:r>
                            <w:r>
                              <w:rPr>
                                <w:color w:val="231F20"/>
                                <w:sz w:val="15"/>
                              </w:rPr>
                              <w:t>mm</w:t>
                            </w:r>
                            <w:r>
                              <w:rPr>
                                <w:color w:val="231F20"/>
                                <w:spacing w:val="-10"/>
                                <w:sz w:val="15"/>
                              </w:rPr>
                              <w:t> </w:t>
                            </w:r>
                            <w:r>
                              <w:rPr>
                                <w:color w:val="231F20"/>
                                <w:sz w:val="15"/>
                              </w:rPr>
                              <w:t>from</w:t>
                            </w:r>
                            <w:r>
                              <w:rPr>
                                <w:color w:val="231F20"/>
                                <w:spacing w:val="-10"/>
                                <w:sz w:val="15"/>
                              </w:rPr>
                              <w:t> </w:t>
                            </w:r>
                            <w:r>
                              <w:rPr>
                                <w:color w:val="231F20"/>
                                <w:sz w:val="15"/>
                              </w:rPr>
                              <w:t>anal</w:t>
                            </w:r>
                            <w:r>
                              <w:rPr>
                                <w:color w:val="231F20"/>
                                <w:spacing w:val="-10"/>
                                <w:sz w:val="15"/>
                              </w:rPr>
                              <w:t> </w:t>
                            </w:r>
                            <w:r>
                              <w:rPr>
                                <w:color w:val="231F20"/>
                                <w:sz w:val="15"/>
                              </w:rPr>
                              <w:t>verge) Vascular lesion, e.g., hemangioma or telangiectasia</w:t>
                            </w:r>
                          </w:p>
                          <w:p>
                            <w:pPr>
                              <w:pStyle w:val="TableParagraph"/>
                              <w:spacing w:line="230" w:lineRule="auto" w:before="1"/>
                              <w:ind w:left="186" w:hanging="112"/>
                              <w:rPr>
                                <w:sz w:val="15"/>
                              </w:rPr>
                            </w:pPr>
                            <w:r>
                              <w:rPr>
                                <w:color w:val="231F20"/>
                                <w:sz w:val="15"/>
                              </w:rPr>
                              <w:t>Skin</w:t>
                            </w:r>
                            <w:r>
                              <w:rPr>
                                <w:color w:val="231F20"/>
                                <w:spacing w:val="-10"/>
                                <w:sz w:val="15"/>
                              </w:rPr>
                              <w:t> </w:t>
                            </w:r>
                            <w:r>
                              <w:rPr>
                                <w:color w:val="231F20"/>
                                <w:sz w:val="15"/>
                              </w:rPr>
                              <w:t>appendages</w:t>
                            </w:r>
                            <w:r>
                              <w:rPr>
                                <w:color w:val="231F20"/>
                                <w:spacing w:val="-10"/>
                                <w:sz w:val="15"/>
                              </w:rPr>
                              <w:t> </w:t>
                            </w:r>
                            <w:r>
                              <w:rPr>
                                <w:color w:val="231F20"/>
                                <w:sz w:val="15"/>
                              </w:rPr>
                              <w:t>or</w:t>
                            </w:r>
                            <w:r>
                              <w:rPr>
                                <w:color w:val="231F20"/>
                                <w:spacing w:val="-10"/>
                                <w:sz w:val="15"/>
                              </w:rPr>
                              <w:t> </w:t>
                            </w:r>
                            <w:r>
                              <w:rPr>
                                <w:color w:val="231F20"/>
                                <w:sz w:val="15"/>
                              </w:rPr>
                              <w:t>polypoid</w:t>
                            </w:r>
                            <w:r>
                              <w:rPr>
                                <w:color w:val="231F20"/>
                                <w:spacing w:val="-10"/>
                                <w:sz w:val="15"/>
                              </w:rPr>
                              <w:t> </w:t>
                            </w:r>
                            <w:r>
                              <w:rPr>
                                <w:color w:val="231F20"/>
                                <w:sz w:val="15"/>
                              </w:rPr>
                              <w:t>lesions,</w:t>
                            </w:r>
                            <w:r>
                              <w:rPr>
                                <w:color w:val="231F20"/>
                                <w:spacing w:val="-10"/>
                                <w:sz w:val="15"/>
                              </w:rPr>
                              <w:t> </w:t>
                            </w:r>
                            <w:r>
                              <w:rPr>
                                <w:color w:val="231F20"/>
                                <w:sz w:val="15"/>
                              </w:rPr>
                              <w:t>e.g.,</w:t>
                            </w:r>
                            <w:r>
                              <w:rPr>
                                <w:color w:val="231F20"/>
                                <w:spacing w:val="-10"/>
                                <w:sz w:val="15"/>
                              </w:rPr>
                              <w:t> </w:t>
                            </w:r>
                            <w:r>
                              <w:rPr>
                                <w:color w:val="231F20"/>
                                <w:sz w:val="15"/>
                              </w:rPr>
                              <w:t>skin</w:t>
                            </w:r>
                            <w:r>
                              <w:rPr>
                                <w:color w:val="231F20"/>
                                <w:spacing w:val="-10"/>
                                <w:sz w:val="15"/>
                              </w:rPr>
                              <w:t> </w:t>
                            </w:r>
                            <w:r>
                              <w:rPr>
                                <w:color w:val="231F20"/>
                                <w:sz w:val="15"/>
                              </w:rPr>
                              <w:t>tags,</w:t>
                            </w:r>
                            <w:r>
                              <w:rPr>
                                <w:color w:val="231F20"/>
                                <w:spacing w:val="-10"/>
                                <w:sz w:val="15"/>
                              </w:rPr>
                              <w:t> </w:t>
                            </w:r>
                            <w:r>
                              <w:rPr>
                                <w:color w:val="231F20"/>
                                <w:sz w:val="15"/>
                              </w:rPr>
                              <w:t>tail-</w:t>
                            </w:r>
                            <w:r>
                              <w:rPr>
                                <w:color w:val="231F20"/>
                                <w:sz w:val="15"/>
                              </w:rPr>
                              <w:t>like </w:t>
                            </w:r>
                            <w:r>
                              <w:rPr>
                                <w:color w:val="231F20"/>
                                <w:spacing w:val="-2"/>
                                <w:sz w:val="15"/>
                              </w:rPr>
                              <w:t>appendages</w:t>
                            </w:r>
                          </w:p>
                          <w:p>
                            <w:pPr>
                              <w:pStyle w:val="TableParagraph"/>
                              <w:spacing w:line="170" w:lineRule="exact"/>
                              <w:ind w:left="74"/>
                              <w:rPr>
                                <w:sz w:val="15"/>
                              </w:rPr>
                            </w:pPr>
                            <w:r>
                              <w:rPr>
                                <w:color w:val="231F20"/>
                                <w:spacing w:val="-4"/>
                                <w:sz w:val="15"/>
                              </w:rPr>
                              <w:t>Scar-like</w:t>
                            </w:r>
                            <w:r>
                              <w:rPr>
                                <w:color w:val="231F20"/>
                                <w:spacing w:val="7"/>
                                <w:sz w:val="15"/>
                              </w:rPr>
                              <w:t> </w:t>
                            </w:r>
                            <w:r>
                              <w:rPr>
                                <w:color w:val="231F20"/>
                                <w:spacing w:val="-4"/>
                                <w:sz w:val="15"/>
                              </w:rPr>
                              <w:t>lesions</w:t>
                            </w:r>
                          </w:p>
                        </w:tc>
                      </w:tr>
                      <w:tr>
                        <w:trPr>
                          <w:trHeight w:val="591"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IMAGING</w:t>
                            </w:r>
                            <w:r>
                              <w:rPr>
                                <w:color w:val="231F20"/>
                                <w:spacing w:val="1"/>
                                <w:w w:val="115"/>
                                <w:sz w:val="15"/>
                              </w:rPr>
                              <w:t> </w:t>
                            </w:r>
                            <w:r>
                              <w:rPr>
                                <w:color w:val="231F20"/>
                                <w:spacing w:val="-2"/>
                                <w:w w:val="115"/>
                                <w:sz w:val="15"/>
                              </w:rPr>
                              <w:t>UNCERTAIN</w:t>
                            </w:r>
                          </w:p>
                          <w:p>
                            <w:pPr>
                              <w:pStyle w:val="TableParagraph"/>
                              <w:spacing w:line="230" w:lineRule="auto" w:before="3"/>
                              <w:ind w:left="74" w:right="2339"/>
                              <w:rPr>
                                <w:sz w:val="15"/>
                              </w:rPr>
                            </w:pPr>
                            <w:r>
                              <w:rPr>
                                <w:color w:val="231F20"/>
                                <w:sz w:val="15"/>
                              </w:rPr>
                              <w:t>Hyperpigmented patches Deviation</w:t>
                            </w:r>
                            <w:r>
                              <w:rPr>
                                <w:color w:val="231F20"/>
                                <w:spacing w:val="-12"/>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gluteal</w:t>
                            </w:r>
                            <w:r>
                              <w:rPr>
                                <w:color w:val="231F20"/>
                                <w:spacing w:val="-12"/>
                                <w:sz w:val="15"/>
                              </w:rPr>
                              <w:t> </w:t>
                            </w:r>
                            <w:r>
                              <w:rPr>
                                <w:color w:val="231F20"/>
                                <w:sz w:val="15"/>
                              </w:rPr>
                              <w:t>fold</w:t>
                            </w:r>
                          </w:p>
                        </w:tc>
                      </w:tr>
                      <w:tr>
                        <w:trPr>
                          <w:trHeight w:val="588"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5"/>
                                <w:sz w:val="15"/>
                              </w:rPr>
                              <w:t>IMAGING NOT </w:t>
                            </w:r>
                            <w:r>
                              <w:rPr>
                                <w:color w:val="231F20"/>
                                <w:spacing w:val="-2"/>
                                <w:w w:val="115"/>
                                <w:sz w:val="15"/>
                              </w:rPr>
                              <w:t>REQUIRED</w:t>
                            </w:r>
                          </w:p>
                          <w:p>
                            <w:pPr>
                              <w:pStyle w:val="TableParagraph"/>
                              <w:spacing w:line="230" w:lineRule="auto" w:before="3"/>
                              <w:ind w:left="74" w:right="1221"/>
                              <w:rPr>
                                <w:sz w:val="15"/>
                              </w:rPr>
                            </w:pPr>
                            <w:r>
                              <w:rPr>
                                <w:color w:val="231F20"/>
                                <w:sz w:val="15"/>
                              </w:rPr>
                              <w:t>Simple</w:t>
                            </w:r>
                            <w:r>
                              <w:rPr>
                                <w:color w:val="231F20"/>
                                <w:spacing w:val="-9"/>
                                <w:sz w:val="15"/>
                              </w:rPr>
                              <w:t> </w:t>
                            </w:r>
                            <w:r>
                              <w:rPr>
                                <w:color w:val="231F20"/>
                                <w:sz w:val="15"/>
                              </w:rPr>
                              <w:t>dimples</w:t>
                            </w:r>
                            <w:r>
                              <w:rPr>
                                <w:color w:val="231F20"/>
                                <w:spacing w:val="-9"/>
                                <w:sz w:val="15"/>
                              </w:rPr>
                              <w:t> </w:t>
                            </w:r>
                            <w:r>
                              <w:rPr>
                                <w:color w:val="231F20"/>
                                <w:sz w:val="15"/>
                              </w:rPr>
                              <w:t>(</w:t>
                            </w:r>
                            <w:r>
                              <w:rPr>
                                <w:rFonts w:ascii="Cambria"/>
                                <w:color w:val="231F20"/>
                                <w:sz w:val="15"/>
                              </w:rPr>
                              <w:t>&lt;</w:t>
                            </w:r>
                            <w:r>
                              <w:rPr>
                                <w:color w:val="231F20"/>
                                <w:sz w:val="15"/>
                              </w:rPr>
                              <w:t>5</w:t>
                            </w:r>
                            <w:r>
                              <w:rPr>
                                <w:color w:val="231F20"/>
                                <w:spacing w:val="-9"/>
                                <w:sz w:val="15"/>
                              </w:rPr>
                              <w:t> </w:t>
                            </w:r>
                            <w:r>
                              <w:rPr>
                                <w:color w:val="231F20"/>
                                <w:sz w:val="15"/>
                              </w:rPr>
                              <w:t>mm,</w:t>
                            </w:r>
                            <w:r>
                              <w:rPr>
                                <w:color w:val="231F20"/>
                                <w:spacing w:val="-9"/>
                                <w:sz w:val="15"/>
                              </w:rPr>
                              <w:t> </w:t>
                            </w:r>
                            <w:r>
                              <w:rPr>
                                <w:rFonts w:ascii="Cambria"/>
                                <w:color w:val="231F20"/>
                                <w:sz w:val="15"/>
                              </w:rPr>
                              <w:t>&lt;</w:t>
                            </w:r>
                            <w:r>
                              <w:rPr>
                                <w:color w:val="231F20"/>
                                <w:sz w:val="15"/>
                              </w:rPr>
                              <w:t>25</w:t>
                            </w:r>
                            <w:r>
                              <w:rPr>
                                <w:color w:val="231F20"/>
                                <w:spacing w:val="-9"/>
                                <w:sz w:val="15"/>
                              </w:rPr>
                              <w:t> </w:t>
                            </w:r>
                            <w:r>
                              <w:rPr>
                                <w:color w:val="231F20"/>
                                <w:sz w:val="15"/>
                              </w:rPr>
                              <w:t>mm</w:t>
                            </w:r>
                            <w:r>
                              <w:rPr>
                                <w:color w:val="231F20"/>
                                <w:spacing w:val="-9"/>
                                <w:sz w:val="15"/>
                              </w:rPr>
                              <w:t> </w:t>
                            </w:r>
                            <w:r>
                              <w:rPr>
                                <w:color w:val="231F20"/>
                                <w:sz w:val="15"/>
                              </w:rPr>
                              <w:t>from</w:t>
                            </w:r>
                            <w:r>
                              <w:rPr>
                                <w:color w:val="231F20"/>
                                <w:spacing w:val="-9"/>
                                <w:sz w:val="15"/>
                              </w:rPr>
                              <w:t> </w:t>
                            </w:r>
                            <w:r>
                              <w:rPr>
                                <w:color w:val="231F20"/>
                                <w:sz w:val="15"/>
                              </w:rPr>
                              <w:t>anal</w:t>
                            </w:r>
                            <w:r>
                              <w:rPr>
                                <w:color w:val="231F20"/>
                                <w:spacing w:val="-9"/>
                                <w:sz w:val="15"/>
                              </w:rPr>
                              <w:t> </w:t>
                            </w:r>
                            <w:r>
                              <w:rPr>
                                <w:color w:val="231F20"/>
                                <w:sz w:val="15"/>
                              </w:rPr>
                              <w:t>verge) Coccygeal pits</w:t>
                            </w:r>
                          </w:p>
                        </w:tc>
                      </w:tr>
                    </w:tbl>
                    <w:p>
                      <w:pPr>
                        <w:pStyle w:val="BodyText"/>
                      </w:pPr>
                    </w:p>
                  </w:txbxContent>
                </v:textbox>
                <w10:wrap type="topAndBottom"/>
              </v:shape>
            </w:pict>
          </mc:Fallback>
        </mc:AlternateContent>
      </w:r>
    </w:p>
    <w:p>
      <w:pPr>
        <w:spacing w:line="150" w:lineRule="exact" w:before="64"/>
        <w:ind w:left="883" w:right="0" w:firstLine="0"/>
        <w:jc w:val="left"/>
        <w:rPr>
          <w:sz w:val="13"/>
        </w:rPr>
      </w:pPr>
      <w:r>
        <w:rPr>
          <w:i/>
          <w:color w:val="231F20"/>
          <w:sz w:val="13"/>
        </w:rPr>
        <w:t>From</w:t>
      </w:r>
      <w:r>
        <w:rPr>
          <w:i/>
          <w:color w:val="231F20"/>
          <w:spacing w:val="-5"/>
          <w:sz w:val="13"/>
        </w:rPr>
        <w:t> </w:t>
      </w:r>
      <w:r>
        <w:rPr>
          <w:i/>
          <w:color w:val="231F20"/>
          <w:sz w:val="13"/>
        </w:rPr>
        <w:t>Ridgway</w:t>
      </w:r>
      <w:r>
        <w:rPr>
          <w:i/>
          <w:color w:val="231F20"/>
          <w:spacing w:val="-4"/>
          <w:sz w:val="13"/>
        </w:rPr>
        <w:t> </w:t>
      </w:r>
      <w:r>
        <w:rPr>
          <w:i/>
          <w:color w:val="231F20"/>
          <w:sz w:val="13"/>
        </w:rPr>
        <w:t>EB,</w:t>
      </w:r>
      <w:r>
        <w:rPr>
          <w:i/>
          <w:color w:val="231F20"/>
          <w:spacing w:val="-5"/>
          <w:sz w:val="13"/>
        </w:rPr>
        <w:t> </w:t>
      </w:r>
      <w:r>
        <w:rPr>
          <w:i/>
          <w:color w:val="231F20"/>
          <w:sz w:val="13"/>
        </w:rPr>
        <w:t>Weiner</w:t>
      </w:r>
      <w:r>
        <w:rPr>
          <w:i/>
          <w:color w:val="231F20"/>
          <w:spacing w:val="-4"/>
          <w:sz w:val="13"/>
        </w:rPr>
        <w:t> </w:t>
      </w:r>
      <w:r>
        <w:rPr>
          <w:i/>
          <w:color w:val="231F20"/>
          <w:sz w:val="13"/>
        </w:rPr>
        <w:t>HL:</w:t>
      </w:r>
      <w:r>
        <w:rPr>
          <w:i/>
          <w:color w:val="231F20"/>
          <w:spacing w:val="-5"/>
          <w:sz w:val="13"/>
        </w:rPr>
        <w:t> </w:t>
      </w:r>
      <w:r>
        <w:rPr>
          <w:i/>
          <w:color w:val="231F20"/>
          <w:sz w:val="13"/>
        </w:rPr>
        <w:t>Skull</w:t>
      </w:r>
      <w:r>
        <w:rPr>
          <w:i/>
          <w:color w:val="231F20"/>
          <w:spacing w:val="-4"/>
          <w:sz w:val="13"/>
        </w:rPr>
        <w:t> </w:t>
      </w:r>
      <w:r>
        <w:rPr>
          <w:i/>
          <w:color w:val="231F20"/>
          <w:sz w:val="13"/>
        </w:rPr>
        <w:t>deformities,</w:t>
      </w:r>
      <w:r>
        <w:rPr>
          <w:i/>
          <w:color w:val="231F20"/>
          <w:spacing w:val="-5"/>
          <w:sz w:val="13"/>
        </w:rPr>
        <w:t> </w:t>
      </w:r>
      <w:r>
        <w:rPr>
          <w:color w:val="231F20"/>
          <w:sz w:val="13"/>
        </w:rPr>
        <w:t>Pediatr</w:t>
      </w:r>
      <w:r>
        <w:rPr>
          <w:color w:val="231F20"/>
          <w:spacing w:val="-4"/>
          <w:sz w:val="13"/>
        </w:rPr>
        <w:t> </w:t>
      </w:r>
      <w:r>
        <w:rPr>
          <w:color w:val="231F20"/>
          <w:sz w:val="13"/>
        </w:rPr>
        <w:t>Clin</w:t>
      </w:r>
      <w:r>
        <w:rPr>
          <w:color w:val="231F20"/>
          <w:spacing w:val="-5"/>
          <w:sz w:val="13"/>
        </w:rPr>
        <w:t> </w:t>
      </w:r>
      <w:r>
        <w:rPr>
          <w:color w:val="231F20"/>
          <w:sz w:val="13"/>
        </w:rPr>
        <w:t>North</w:t>
      </w:r>
      <w:r>
        <w:rPr>
          <w:color w:val="231F20"/>
          <w:spacing w:val="-4"/>
          <w:sz w:val="13"/>
        </w:rPr>
        <w:t> </w:t>
      </w:r>
      <w:r>
        <w:rPr>
          <w:color w:val="231F20"/>
          <w:spacing w:val="-5"/>
          <w:sz w:val="13"/>
        </w:rPr>
        <w:t>Am</w:t>
      </w:r>
    </w:p>
    <w:p>
      <w:pPr>
        <w:spacing w:line="150" w:lineRule="exact" w:before="0"/>
        <w:ind w:left="883" w:right="0" w:firstLine="0"/>
        <w:jc w:val="left"/>
        <w:rPr>
          <w:i/>
          <w:sz w:val="13"/>
        </w:rPr>
      </w:pPr>
      <w:r>
        <w:rPr>
          <w:i/>
          <w:color w:val="231F20"/>
          <w:spacing w:val="-2"/>
          <w:sz w:val="13"/>
        </w:rPr>
        <w:t>51:359–387,</w:t>
      </w:r>
      <w:r>
        <w:rPr>
          <w:i/>
          <w:color w:val="231F20"/>
          <w:spacing w:val="9"/>
          <w:sz w:val="13"/>
        </w:rPr>
        <w:t> </w:t>
      </w:r>
      <w:r>
        <w:rPr>
          <w:i/>
          <w:color w:val="231F20"/>
          <w:spacing w:val="-2"/>
          <w:sz w:val="13"/>
        </w:rPr>
        <w:t>2004.</w:t>
      </w:r>
    </w:p>
    <w:p>
      <w:pPr>
        <w:spacing w:after="0" w:line="150" w:lineRule="exact"/>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202" name="Group 202"/>
                <wp:cNvGraphicFramePr>
                  <a:graphicFrameLocks/>
                </wp:cNvGraphicFramePr>
                <a:graphic>
                  <a:graphicData uri="http://schemas.microsoft.com/office/word/2010/wordprocessingGroup">
                    <wpg:wgp>
                      <wpg:cNvPr id="202" name="Group 202"/>
                      <wpg:cNvGrpSpPr/>
                      <wpg:grpSpPr>
                        <a:xfrm>
                          <a:off x="0" y="0"/>
                          <a:ext cx="6185535" cy="170815"/>
                          <a:chExt cx="6185535" cy="170815"/>
                        </a:xfrm>
                      </wpg:grpSpPr>
                      <wps:wsp>
                        <wps:cNvPr id="203" name="Graphic 203"/>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204" name="Graphic 204"/>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205" name="Textbox 205"/>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2810</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60"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161" filled="false" stroked="false">
                  <v:textbox inset="0,0,0,0">
                    <w:txbxContent>
                      <w:p>
                        <w:pPr>
                          <w:spacing w:before="6"/>
                          <w:ind w:left="-1" w:right="0" w:firstLine="0"/>
                          <w:jc w:val="left"/>
                          <w:rPr>
                            <w:sz w:val="18"/>
                          </w:rPr>
                        </w:pPr>
                        <w:r>
                          <w:rPr>
                            <w:b/>
                            <w:color w:val="231F20"/>
                            <w:w w:val="105"/>
                            <w:sz w:val="18"/>
                          </w:rPr>
                          <w:t>2810</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4"/>
        <w:gridCol w:w="302"/>
        <w:gridCol w:w="601"/>
        <w:gridCol w:w="4654"/>
      </w:tblGrid>
      <w:tr>
        <w:trPr>
          <w:trHeight w:val="373" w:hRule="atLeast"/>
        </w:trPr>
        <w:tc>
          <w:tcPr>
            <w:tcW w:w="4184" w:type="dxa"/>
            <w:shd w:val="clear" w:color="auto" w:fill="231F20"/>
          </w:tcPr>
          <w:p>
            <w:pPr>
              <w:pStyle w:val="TableParagraph"/>
              <w:spacing w:before="89"/>
              <w:ind w:left="111"/>
              <w:rPr>
                <w:sz w:val="16"/>
              </w:rPr>
            </w:pPr>
            <w:r>
              <w:rPr>
                <w:b/>
                <w:color w:val="FFFFFF"/>
                <w:w w:val="105"/>
                <w:sz w:val="16"/>
              </w:rPr>
              <w:t>Table</w:t>
            </w:r>
            <w:r>
              <w:rPr>
                <w:b/>
                <w:color w:val="FFFFFF"/>
                <w:spacing w:val="16"/>
                <w:w w:val="105"/>
                <w:sz w:val="16"/>
              </w:rPr>
              <w:t> </w:t>
            </w:r>
            <w:r>
              <w:rPr>
                <w:b/>
                <w:color w:val="FFFFFF"/>
                <w:w w:val="105"/>
                <w:sz w:val="16"/>
              </w:rPr>
              <w:t>591-2</w:t>
            </w:r>
            <w:r>
              <w:rPr>
                <w:b/>
                <w:color w:val="FFFFFF"/>
                <w:spacing w:val="48"/>
                <w:w w:val="105"/>
                <w:sz w:val="16"/>
              </w:rPr>
              <w:t>  </w:t>
            </w:r>
            <w:r>
              <w:rPr>
                <w:color w:val="FFFFFF"/>
                <w:w w:val="105"/>
                <w:sz w:val="16"/>
              </w:rPr>
              <w:t>Disorders</w:t>
            </w:r>
            <w:r>
              <w:rPr>
                <w:color w:val="FFFFFF"/>
                <w:spacing w:val="12"/>
                <w:w w:val="105"/>
                <w:sz w:val="16"/>
              </w:rPr>
              <w:t> </w:t>
            </w:r>
            <w:r>
              <w:rPr>
                <w:color w:val="FFFFFF"/>
                <w:w w:val="105"/>
                <w:sz w:val="16"/>
              </w:rPr>
              <w:t>Associated</w:t>
            </w:r>
            <w:r>
              <w:rPr>
                <w:color w:val="FFFFFF"/>
                <w:spacing w:val="12"/>
                <w:w w:val="105"/>
                <w:sz w:val="16"/>
              </w:rPr>
              <w:t> </w:t>
            </w:r>
            <w:r>
              <w:rPr>
                <w:color w:val="FFFFFF"/>
                <w:w w:val="105"/>
                <w:sz w:val="16"/>
              </w:rPr>
              <w:t>with</w:t>
            </w:r>
            <w:r>
              <w:rPr>
                <w:color w:val="FFFFFF"/>
                <w:spacing w:val="11"/>
                <w:w w:val="105"/>
                <w:sz w:val="16"/>
              </w:rPr>
              <w:t> </w:t>
            </w:r>
            <w:r>
              <w:rPr>
                <w:color w:val="FFFFFF"/>
                <w:w w:val="105"/>
                <w:sz w:val="16"/>
              </w:rPr>
              <w:t>Agenesis</w:t>
            </w:r>
            <w:r>
              <w:rPr>
                <w:color w:val="FFFFFF"/>
                <w:spacing w:val="12"/>
                <w:w w:val="105"/>
                <w:sz w:val="16"/>
              </w:rPr>
              <w:t> </w:t>
            </w:r>
            <w:r>
              <w:rPr>
                <w:color w:val="FFFFFF"/>
                <w:spacing w:val="-5"/>
                <w:w w:val="105"/>
                <w:sz w:val="16"/>
              </w:rPr>
              <w:t>of</w:t>
            </w:r>
          </w:p>
        </w:tc>
        <w:tc>
          <w:tcPr>
            <w:tcW w:w="302" w:type="dxa"/>
            <w:shd w:val="clear" w:color="auto" w:fill="231F20"/>
          </w:tcPr>
          <w:p>
            <w:pPr>
              <w:pStyle w:val="TableParagraph"/>
              <w:spacing w:before="89"/>
              <w:ind w:left="28"/>
              <w:rPr>
                <w:sz w:val="16"/>
              </w:rPr>
            </w:pPr>
            <w:r>
              <w:rPr>
                <w:color w:val="FFFFFF"/>
                <w:spacing w:val="-5"/>
                <w:w w:val="105"/>
                <w:sz w:val="16"/>
              </w:rPr>
              <w:t>the</w:t>
            </w:r>
          </w:p>
        </w:tc>
        <w:tc>
          <w:tcPr>
            <w:tcW w:w="601" w:type="dxa"/>
            <w:shd w:val="clear" w:color="auto" w:fill="231F20"/>
          </w:tcPr>
          <w:p>
            <w:pPr>
              <w:pStyle w:val="TableParagraph"/>
              <w:spacing w:before="89"/>
              <w:ind w:left="28"/>
              <w:rPr>
                <w:sz w:val="16"/>
              </w:rPr>
            </w:pPr>
            <w:r>
              <w:rPr>
                <w:color w:val="FFFFFF"/>
                <w:spacing w:val="-2"/>
                <w:w w:val="110"/>
                <w:sz w:val="16"/>
              </w:rPr>
              <w:t>Corpus</w:t>
            </w:r>
          </w:p>
        </w:tc>
        <w:tc>
          <w:tcPr>
            <w:tcW w:w="4654" w:type="dxa"/>
            <w:shd w:val="clear" w:color="auto" w:fill="231F20"/>
          </w:tcPr>
          <w:p>
            <w:pPr>
              <w:pStyle w:val="TableParagraph"/>
              <w:spacing w:before="89"/>
              <w:ind w:left="28"/>
              <w:rPr>
                <w:sz w:val="16"/>
              </w:rPr>
            </w:pPr>
            <w:r>
              <w:rPr>
                <w:color w:val="FFFFFF"/>
                <w:spacing w:val="-2"/>
                <w:w w:val="110"/>
                <w:sz w:val="16"/>
              </w:rPr>
              <w:t>Callosum</w:t>
            </w:r>
            <w:r>
              <w:rPr>
                <w:color w:val="0080AC"/>
                <w:spacing w:val="-2"/>
                <w:w w:val="110"/>
                <w:sz w:val="16"/>
              </w:rPr>
              <w:t>*</w:t>
            </w:r>
          </w:p>
        </w:tc>
      </w:tr>
      <w:tr>
        <w:trPr>
          <w:trHeight w:val="257" w:hRule="atLeast"/>
        </w:trPr>
        <w:tc>
          <w:tcPr>
            <w:tcW w:w="4184" w:type="dxa"/>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DISORDER</w:t>
            </w:r>
          </w:p>
        </w:tc>
        <w:tc>
          <w:tcPr>
            <w:tcW w:w="5557" w:type="dxa"/>
            <w:gridSpan w:val="3"/>
            <w:tcBorders>
              <w:bottom w:val="single" w:sz="4" w:space="0" w:color="231F20"/>
            </w:tcBorders>
            <w:shd w:val="clear" w:color="auto" w:fill="E8F5F1"/>
          </w:tcPr>
          <w:p>
            <w:pPr>
              <w:pStyle w:val="TableParagraph"/>
              <w:spacing w:before="47"/>
              <w:ind w:left="2508"/>
              <w:rPr>
                <w:b/>
                <w:sz w:val="15"/>
              </w:rPr>
            </w:pPr>
            <w:r>
              <w:rPr>
                <w:b/>
                <w:color w:val="231F20"/>
                <w:w w:val="110"/>
                <w:sz w:val="15"/>
              </w:rPr>
              <w:t>SALIENT</w:t>
            </w:r>
            <w:r>
              <w:rPr>
                <w:b/>
                <w:color w:val="231F20"/>
                <w:spacing w:val="-9"/>
                <w:w w:val="110"/>
                <w:sz w:val="15"/>
              </w:rPr>
              <w:t> </w:t>
            </w:r>
            <w:r>
              <w:rPr>
                <w:b/>
                <w:color w:val="231F20"/>
                <w:spacing w:val="-2"/>
                <w:w w:val="110"/>
                <w:sz w:val="15"/>
              </w:rPr>
              <w:t>FEATURES</w:t>
            </w:r>
          </w:p>
        </w:tc>
      </w:tr>
      <w:tr>
        <w:trPr>
          <w:trHeight w:val="220" w:hRule="atLeast"/>
        </w:trPr>
        <w:tc>
          <w:tcPr>
            <w:tcW w:w="4184" w:type="dxa"/>
            <w:tcBorders>
              <w:top w:val="single" w:sz="4" w:space="0" w:color="231F20"/>
            </w:tcBorders>
            <w:shd w:val="clear" w:color="auto" w:fill="E8F5F1"/>
          </w:tcPr>
          <w:p>
            <w:pPr>
              <w:pStyle w:val="TableParagraph"/>
              <w:spacing w:line="157" w:lineRule="exact" w:before="43"/>
              <w:ind w:left="74"/>
              <w:rPr>
                <w:sz w:val="15"/>
              </w:rPr>
            </w:pPr>
            <w:r>
              <w:rPr>
                <w:color w:val="231F20"/>
                <w:w w:val="110"/>
                <w:sz w:val="15"/>
              </w:rPr>
              <w:t>WITH</w:t>
            </w:r>
            <w:r>
              <w:rPr>
                <w:color w:val="231F20"/>
                <w:spacing w:val="-3"/>
                <w:w w:val="110"/>
                <w:sz w:val="15"/>
              </w:rPr>
              <w:t> </w:t>
            </w:r>
            <w:r>
              <w:rPr>
                <w:color w:val="231F20"/>
                <w:w w:val="110"/>
                <w:sz w:val="15"/>
              </w:rPr>
              <w:t>IDENTIFIED</w:t>
            </w:r>
            <w:r>
              <w:rPr>
                <w:color w:val="231F20"/>
                <w:spacing w:val="-2"/>
                <w:w w:val="110"/>
                <w:sz w:val="15"/>
              </w:rPr>
              <w:t> GENES</w:t>
            </w:r>
            <w:r>
              <w:rPr>
                <w:color w:val="0080AC"/>
                <w:spacing w:val="-2"/>
                <w:w w:val="110"/>
                <w:sz w:val="15"/>
                <w:vertAlign w:val="superscript"/>
              </w:rPr>
              <w:t>†</w:t>
            </w:r>
          </w:p>
        </w:tc>
        <w:tc>
          <w:tcPr>
            <w:tcW w:w="5557" w:type="dxa"/>
            <w:gridSpan w:val="3"/>
            <w:tcBorders>
              <w:top w:val="single" w:sz="4" w:space="0" w:color="231F20"/>
            </w:tcBorders>
            <w:shd w:val="clear" w:color="auto" w:fill="E8F5F1"/>
          </w:tcPr>
          <w:p>
            <w:pPr>
              <w:pStyle w:val="TableParagraph"/>
              <w:rPr>
                <w:rFonts w:ascii="Times New Roman"/>
                <w:sz w:val="14"/>
              </w:rPr>
            </w:pPr>
          </w:p>
        </w:tc>
      </w:tr>
      <w:tr>
        <w:trPr>
          <w:trHeight w:val="166" w:hRule="atLeast"/>
        </w:trPr>
        <w:tc>
          <w:tcPr>
            <w:tcW w:w="4184" w:type="dxa"/>
            <w:shd w:val="clear" w:color="auto" w:fill="E8F5F1"/>
          </w:tcPr>
          <w:p>
            <w:pPr>
              <w:pStyle w:val="TableParagraph"/>
              <w:spacing w:line="146" w:lineRule="exact"/>
              <w:ind w:left="74"/>
              <w:rPr>
                <w:i/>
                <w:sz w:val="15"/>
              </w:rPr>
            </w:pPr>
            <w:r>
              <w:rPr>
                <w:color w:val="231F20"/>
                <w:sz w:val="15"/>
              </w:rPr>
              <w:t>Andermann</w:t>
            </w:r>
            <w:r>
              <w:rPr>
                <w:color w:val="231F20"/>
                <w:spacing w:val="11"/>
                <w:sz w:val="15"/>
              </w:rPr>
              <w:t> </w:t>
            </w:r>
            <w:r>
              <w:rPr>
                <w:color w:val="231F20"/>
                <w:sz w:val="15"/>
              </w:rPr>
              <w:t>syndrome</w:t>
            </w:r>
            <w:r>
              <w:rPr>
                <w:color w:val="231F20"/>
                <w:spacing w:val="12"/>
                <w:sz w:val="15"/>
              </w:rPr>
              <w:t> </w:t>
            </w:r>
            <w:r>
              <w:rPr>
                <w:i/>
                <w:color w:val="231F20"/>
                <w:spacing w:val="-2"/>
                <w:sz w:val="15"/>
              </w:rPr>
              <w:t>(KCC3)</w:t>
            </w:r>
          </w:p>
        </w:tc>
        <w:tc>
          <w:tcPr>
            <w:tcW w:w="5557" w:type="dxa"/>
            <w:gridSpan w:val="3"/>
            <w:shd w:val="clear" w:color="auto" w:fill="E8F5F1"/>
          </w:tcPr>
          <w:p>
            <w:pPr>
              <w:pStyle w:val="TableParagraph"/>
              <w:spacing w:line="146" w:lineRule="exact"/>
              <w:ind w:left="976"/>
              <w:rPr>
                <w:sz w:val="15"/>
              </w:rPr>
            </w:pPr>
            <w:r>
              <w:rPr>
                <w:color w:val="231F20"/>
                <w:sz w:val="15"/>
              </w:rPr>
              <w:t>ACC,</w:t>
            </w:r>
            <w:r>
              <w:rPr>
                <w:color w:val="231F20"/>
                <w:spacing w:val="5"/>
                <w:sz w:val="15"/>
              </w:rPr>
              <w:t> </w:t>
            </w:r>
            <w:r>
              <w:rPr>
                <w:color w:val="231F20"/>
                <w:sz w:val="15"/>
              </w:rPr>
              <w:t>progressive</w:t>
            </w:r>
            <w:r>
              <w:rPr>
                <w:color w:val="231F20"/>
                <w:spacing w:val="5"/>
                <w:sz w:val="15"/>
              </w:rPr>
              <w:t> </w:t>
            </w:r>
            <w:r>
              <w:rPr>
                <w:color w:val="231F20"/>
                <w:sz w:val="15"/>
              </w:rPr>
              <w:t>neuropathy,</w:t>
            </w:r>
            <w:r>
              <w:rPr>
                <w:color w:val="231F20"/>
                <w:spacing w:val="5"/>
                <w:sz w:val="15"/>
              </w:rPr>
              <w:t> </w:t>
            </w:r>
            <w:r>
              <w:rPr>
                <w:color w:val="231F20"/>
                <w:sz w:val="15"/>
              </w:rPr>
              <w:t>and</w:t>
            </w:r>
            <w:r>
              <w:rPr>
                <w:color w:val="231F20"/>
                <w:spacing w:val="5"/>
                <w:sz w:val="15"/>
              </w:rPr>
              <w:t> </w:t>
            </w:r>
            <w:r>
              <w:rPr>
                <w:color w:val="231F20"/>
                <w:spacing w:val="-2"/>
                <w:sz w:val="15"/>
              </w:rPr>
              <w:t>dementia</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Donnai-Barrow</w:t>
            </w:r>
            <w:r>
              <w:rPr>
                <w:color w:val="231F20"/>
                <w:spacing w:val="4"/>
                <w:sz w:val="15"/>
              </w:rPr>
              <w:t> </w:t>
            </w:r>
            <w:r>
              <w:rPr>
                <w:color w:val="231F20"/>
                <w:sz w:val="15"/>
              </w:rPr>
              <w:t>syndrome</w:t>
            </w:r>
            <w:r>
              <w:rPr>
                <w:color w:val="231F20"/>
                <w:spacing w:val="4"/>
                <w:sz w:val="15"/>
              </w:rPr>
              <w:t> </w:t>
            </w:r>
            <w:r>
              <w:rPr>
                <w:i/>
                <w:color w:val="231F20"/>
                <w:spacing w:val="-2"/>
                <w:sz w:val="15"/>
              </w:rPr>
              <w:t>(LRP2)</w:t>
            </w:r>
          </w:p>
        </w:tc>
        <w:tc>
          <w:tcPr>
            <w:tcW w:w="5557" w:type="dxa"/>
            <w:gridSpan w:val="3"/>
            <w:shd w:val="clear" w:color="auto" w:fill="E8F5F1"/>
          </w:tcPr>
          <w:p>
            <w:pPr>
              <w:pStyle w:val="TableParagraph"/>
              <w:spacing w:line="149" w:lineRule="exact"/>
              <w:ind w:left="976"/>
              <w:rPr>
                <w:sz w:val="15"/>
              </w:rPr>
            </w:pPr>
            <w:r>
              <w:rPr>
                <w:color w:val="231F20"/>
                <w:sz w:val="15"/>
              </w:rPr>
              <w:t>Diaphragmatic</w:t>
            </w:r>
            <w:r>
              <w:rPr>
                <w:color w:val="231F20"/>
                <w:spacing w:val="-1"/>
                <w:sz w:val="15"/>
              </w:rPr>
              <w:t> </w:t>
            </w:r>
            <w:r>
              <w:rPr>
                <w:color w:val="231F20"/>
                <w:sz w:val="15"/>
              </w:rPr>
              <w:t>hernia,</w:t>
            </w:r>
            <w:r>
              <w:rPr>
                <w:color w:val="231F20"/>
                <w:spacing w:val="-1"/>
                <w:sz w:val="15"/>
              </w:rPr>
              <w:t> </w:t>
            </w:r>
            <w:r>
              <w:rPr>
                <w:color w:val="231F20"/>
                <w:sz w:val="15"/>
              </w:rPr>
              <w:t>exomphalos,</w:t>
            </w:r>
            <w:r>
              <w:rPr>
                <w:color w:val="231F20"/>
                <w:spacing w:val="-1"/>
                <w:sz w:val="15"/>
              </w:rPr>
              <w:t> </w:t>
            </w:r>
            <w:r>
              <w:rPr>
                <w:color w:val="231F20"/>
                <w:sz w:val="15"/>
              </w:rPr>
              <w:t>ACC,</w:t>
            </w:r>
            <w:r>
              <w:rPr>
                <w:color w:val="231F20"/>
                <w:spacing w:val="-1"/>
                <w:sz w:val="15"/>
              </w:rPr>
              <w:t> </w:t>
            </w:r>
            <w:r>
              <w:rPr>
                <w:color w:val="231F20"/>
                <w:spacing w:val="-2"/>
                <w:sz w:val="15"/>
              </w:rPr>
              <w:t>deafness</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Frontonasal</w:t>
            </w:r>
            <w:r>
              <w:rPr>
                <w:color w:val="231F20"/>
                <w:spacing w:val="-6"/>
                <w:sz w:val="15"/>
              </w:rPr>
              <w:t> </w:t>
            </w:r>
            <w:r>
              <w:rPr>
                <w:color w:val="231F20"/>
                <w:sz w:val="15"/>
              </w:rPr>
              <w:t>dysplasia</w:t>
            </w:r>
            <w:r>
              <w:rPr>
                <w:color w:val="231F20"/>
                <w:spacing w:val="-6"/>
                <w:sz w:val="15"/>
              </w:rPr>
              <w:t> </w:t>
            </w:r>
            <w:r>
              <w:rPr>
                <w:i/>
                <w:color w:val="231F20"/>
                <w:spacing w:val="-2"/>
                <w:sz w:val="15"/>
              </w:rPr>
              <w:t>(ALX1)</w:t>
            </w:r>
          </w:p>
        </w:tc>
        <w:tc>
          <w:tcPr>
            <w:tcW w:w="5557" w:type="dxa"/>
            <w:gridSpan w:val="3"/>
            <w:shd w:val="clear" w:color="auto" w:fill="E8F5F1"/>
          </w:tcPr>
          <w:p>
            <w:pPr>
              <w:pStyle w:val="TableParagraph"/>
              <w:spacing w:line="149" w:lineRule="exact"/>
              <w:ind w:left="976"/>
              <w:rPr>
                <w:sz w:val="15"/>
              </w:rPr>
            </w:pPr>
            <w:r>
              <w:rPr>
                <w:color w:val="231F20"/>
                <w:spacing w:val="-2"/>
                <w:sz w:val="15"/>
              </w:rPr>
              <w:t>ACC,</w:t>
            </w:r>
            <w:r>
              <w:rPr>
                <w:color w:val="231F20"/>
                <w:spacing w:val="-3"/>
                <w:sz w:val="15"/>
              </w:rPr>
              <w:t> </w:t>
            </w:r>
            <w:r>
              <w:rPr>
                <w:color w:val="231F20"/>
                <w:spacing w:val="-2"/>
                <w:sz w:val="15"/>
              </w:rPr>
              <w:t>bilateral</w:t>
            </w:r>
            <w:r>
              <w:rPr>
                <w:color w:val="231F20"/>
                <w:spacing w:val="-3"/>
                <w:sz w:val="15"/>
              </w:rPr>
              <w:t> </w:t>
            </w:r>
            <w:r>
              <w:rPr>
                <w:color w:val="231F20"/>
                <w:spacing w:val="-2"/>
                <w:sz w:val="15"/>
              </w:rPr>
              <w:t>extreme microphthalmia,</w:t>
            </w:r>
            <w:r>
              <w:rPr>
                <w:color w:val="231F20"/>
                <w:spacing w:val="-3"/>
                <w:sz w:val="15"/>
              </w:rPr>
              <w:t> </w:t>
            </w:r>
            <w:r>
              <w:rPr>
                <w:color w:val="231F20"/>
                <w:spacing w:val="-2"/>
                <w:sz w:val="15"/>
              </w:rPr>
              <w:t>bilateral</w:t>
            </w:r>
            <w:r>
              <w:rPr>
                <w:color w:val="231F20"/>
                <w:spacing w:val="-3"/>
                <w:sz w:val="15"/>
              </w:rPr>
              <w:t> </w:t>
            </w:r>
            <w:r>
              <w:rPr>
                <w:color w:val="231F20"/>
                <w:spacing w:val="-2"/>
                <w:sz w:val="15"/>
              </w:rPr>
              <w:t>oblique facial</w:t>
            </w:r>
            <w:r>
              <w:rPr>
                <w:color w:val="231F20"/>
                <w:spacing w:val="-3"/>
                <w:sz w:val="15"/>
              </w:rPr>
              <w:t> </w:t>
            </w:r>
            <w:r>
              <w:rPr>
                <w:color w:val="231F20"/>
                <w:spacing w:val="-2"/>
                <w:sz w:val="15"/>
              </w:rPr>
              <w:t>cleft</w:t>
            </w:r>
          </w:p>
        </w:tc>
      </w:tr>
      <w:tr>
        <w:trPr>
          <w:trHeight w:val="169" w:hRule="atLeast"/>
        </w:trPr>
        <w:tc>
          <w:tcPr>
            <w:tcW w:w="4184" w:type="dxa"/>
            <w:shd w:val="clear" w:color="auto" w:fill="E8F5F1"/>
          </w:tcPr>
          <w:p>
            <w:pPr>
              <w:pStyle w:val="TableParagraph"/>
              <w:spacing w:line="149" w:lineRule="exact"/>
              <w:ind w:left="74"/>
              <w:rPr>
                <w:i/>
                <w:sz w:val="15"/>
              </w:rPr>
            </w:pPr>
            <w:r>
              <w:rPr>
                <w:color w:val="231F20"/>
                <w:w w:val="105"/>
                <w:sz w:val="15"/>
              </w:rPr>
              <w:t>XLAG</w:t>
            </w:r>
            <w:r>
              <w:rPr>
                <w:color w:val="231F20"/>
                <w:spacing w:val="12"/>
                <w:w w:val="105"/>
                <w:sz w:val="15"/>
              </w:rPr>
              <w:t> </w:t>
            </w:r>
            <w:r>
              <w:rPr>
                <w:i/>
                <w:color w:val="231F20"/>
                <w:spacing w:val="-2"/>
                <w:w w:val="105"/>
                <w:sz w:val="15"/>
              </w:rPr>
              <w:t>(ARX)</w:t>
            </w:r>
          </w:p>
        </w:tc>
        <w:tc>
          <w:tcPr>
            <w:tcW w:w="5557" w:type="dxa"/>
            <w:gridSpan w:val="3"/>
            <w:shd w:val="clear" w:color="auto" w:fill="E8F5F1"/>
          </w:tcPr>
          <w:p>
            <w:pPr>
              <w:pStyle w:val="TableParagraph"/>
              <w:spacing w:line="149" w:lineRule="exact"/>
              <w:ind w:left="976"/>
              <w:rPr>
                <w:sz w:val="15"/>
              </w:rPr>
            </w:pPr>
            <w:r>
              <w:rPr>
                <w:color w:val="231F20"/>
                <w:spacing w:val="-2"/>
                <w:sz w:val="15"/>
              </w:rPr>
              <w:t>Lissencephaly,</w:t>
            </w:r>
            <w:r>
              <w:rPr>
                <w:color w:val="231F20"/>
                <w:spacing w:val="4"/>
                <w:sz w:val="15"/>
              </w:rPr>
              <w:t> </w:t>
            </w:r>
            <w:r>
              <w:rPr>
                <w:color w:val="231F20"/>
                <w:spacing w:val="-2"/>
                <w:sz w:val="15"/>
              </w:rPr>
              <w:t>ACC,</w:t>
            </w:r>
            <w:r>
              <w:rPr>
                <w:color w:val="231F20"/>
                <w:spacing w:val="4"/>
                <w:sz w:val="15"/>
              </w:rPr>
              <w:t> </w:t>
            </w:r>
            <w:r>
              <w:rPr>
                <w:color w:val="231F20"/>
                <w:spacing w:val="-2"/>
                <w:sz w:val="15"/>
              </w:rPr>
              <w:t>intractable</w:t>
            </w:r>
            <w:r>
              <w:rPr>
                <w:color w:val="231F20"/>
                <w:spacing w:val="4"/>
                <w:sz w:val="15"/>
              </w:rPr>
              <w:t> </w:t>
            </w:r>
            <w:r>
              <w:rPr>
                <w:color w:val="231F20"/>
                <w:spacing w:val="-2"/>
                <w:sz w:val="15"/>
              </w:rPr>
              <w:t>epilepsy</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Microcephaly</w:t>
            </w:r>
            <w:r>
              <w:rPr>
                <w:color w:val="231F20"/>
                <w:spacing w:val="9"/>
                <w:sz w:val="15"/>
              </w:rPr>
              <w:t> </w:t>
            </w:r>
            <w:r>
              <w:rPr>
                <w:i/>
                <w:color w:val="231F20"/>
                <w:spacing w:val="-2"/>
                <w:sz w:val="15"/>
              </w:rPr>
              <w:t>(TBR2)</w:t>
            </w:r>
          </w:p>
        </w:tc>
        <w:tc>
          <w:tcPr>
            <w:tcW w:w="5557" w:type="dxa"/>
            <w:gridSpan w:val="3"/>
            <w:shd w:val="clear" w:color="auto" w:fill="E8F5F1"/>
          </w:tcPr>
          <w:p>
            <w:pPr>
              <w:pStyle w:val="TableParagraph"/>
              <w:spacing w:line="149" w:lineRule="exact"/>
              <w:ind w:left="976"/>
              <w:rPr>
                <w:sz w:val="15"/>
              </w:rPr>
            </w:pPr>
            <w:r>
              <w:rPr>
                <w:color w:val="231F20"/>
                <w:sz w:val="15"/>
              </w:rPr>
              <w:t>ACC,</w:t>
            </w:r>
            <w:r>
              <w:rPr>
                <w:color w:val="231F20"/>
                <w:spacing w:val="26"/>
                <w:sz w:val="15"/>
              </w:rPr>
              <w:t> </w:t>
            </w:r>
            <w:r>
              <w:rPr>
                <w:color w:val="231F20"/>
                <w:spacing w:val="-2"/>
                <w:sz w:val="15"/>
              </w:rPr>
              <w:t>polymicrogyria</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Microcephaly</w:t>
            </w:r>
            <w:r>
              <w:rPr>
                <w:color w:val="231F20"/>
                <w:spacing w:val="-3"/>
                <w:sz w:val="15"/>
              </w:rPr>
              <w:t> </w:t>
            </w:r>
            <w:r>
              <w:rPr>
                <w:color w:val="231F20"/>
                <w:sz w:val="15"/>
              </w:rPr>
              <w:t>with</w:t>
            </w:r>
            <w:r>
              <w:rPr>
                <w:color w:val="231F20"/>
                <w:spacing w:val="-2"/>
                <w:sz w:val="15"/>
              </w:rPr>
              <w:t> </w:t>
            </w:r>
            <w:r>
              <w:rPr>
                <w:color w:val="231F20"/>
                <w:sz w:val="15"/>
              </w:rPr>
              <w:t>simplified</w:t>
            </w:r>
            <w:r>
              <w:rPr>
                <w:color w:val="231F20"/>
                <w:spacing w:val="-2"/>
                <w:sz w:val="15"/>
              </w:rPr>
              <w:t> </w:t>
            </w:r>
            <w:r>
              <w:rPr>
                <w:color w:val="231F20"/>
                <w:sz w:val="15"/>
              </w:rPr>
              <w:t>gyral</w:t>
            </w:r>
            <w:r>
              <w:rPr>
                <w:color w:val="231F20"/>
                <w:spacing w:val="-2"/>
                <w:sz w:val="15"/>
              </w:rPr>
              <w:t> </w:t>
            </w:r>
            <w:r>
              <w:rPr>
                <w:color w:val="231F20"/>
                <w:sz w:val="15"/>
              </w:rPr>
              <w:t>pattern</w:t>
            </w:r>
            <w:r>
              <w:rPr>
                <w:color w:val="231F20"/>
                <w:spacing w:val="-2"/>
                <w:sz w:val="15"/>
              </w:rPr>
              <w:t> </w:t>
            </w:r>
            <w:r>
              <w:rPr>
                <w:color w:val="231F20"/>
                <w:sz w:val="15"/>
              </w:rPr>
              <w:t>and</w:t>
            </w:r>
            <w:r>
              <w:rPr>
                <w:color w:val="231F20"/>
                <w:spacing w:val="-2"/>
                <w:sz w:val="15"/>
              </w:rPr>
              <w:t> </w:t>
            </w:r>
            <w:r>
              <w:rPr>
                <w:color w:val="231F20"/>
                <w:sz w:val="15"/>
              </w:rPr>
              <w:t>ACC</w:t>
            </w:r>
            <w:r>
              <w:rPr>
                <w:color w:val="231F20"/>
                <w:spacing w:val="-2"/>
                <w:sz w:val="15"/>
              </w:rPr>
              <w:t> </w:t>
            </w:r>
            <w:r>
              <w:rPr>
                <w:i/>
                <w:color w:val="231F20"/>
                <w:spacing w:val="-2"/>
                <w:sz w:val="15"/>
              </w:rPr>
              <w:t>(WDR62)</w:t>
            </w:r>
          </w:p>
        </w:tc>
        <w:tc>
          <w:tcPr>
            <w:tcW w:w="5557" w:type="dxa"/>
            <w:gridSpan w:val="3"/>
            <w:shd w:val="clear" w:color="auto" w:fill="E8F5F1"/>
          </w:tcPr>
          <w:p>
            <w:pPr>
              <w:pStyle w:val="TableParagraph"/>
              <w:rPr>
                <w:rFonts w:ascii="Times New Roman"/>
                <w:sz w:val="10"/>
              </w:rPr>
            </w:pP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Mowat-Wilson</w:t>
            </w:r>
            <w:r>
              <w:rPr>
                <w:color w:val="231F20"/>
                <w:spacing w:val="13"/>
                <w:sz w:val="15"/>
              </w:rPr>
              <w:t> </w:t>
            </w:r>
            <w:r>
              <w:rPr>
                <w:color w:val="231F20"/>
                <w:sz w:val="15"/>
              </w:rPr>
              <w:t>syndrome</w:t>
            </w:r>
            <w:r>
              <w:rPr>
                <w:color w:val="231F20"/>
                <w:spacing w:val="14"/>
                <w:sz w:val="15"/>
              </w:rPr>
              <w:t> </w:t>
            </w:r>
            <w:r>
              <w:rPr>
                <w:i/>
                <w:color w:val="231F20"/>
                <w:spacing w:val="-2"/>
                <w:sz w:val="15"/>
              </w:rPr>
              <w:t>(ZFHX1B)</w:t>
            </w:r>
          </w:p>
        </w:tc>
        <w:tc>
          <w:tcPr>
            <w:tcW w:w="5557" w:type="dxa"/>
            <w:gridSpan w:val="3"/>
            <w:shd w:val="clear" w:color="auto" w:fill="E8F5F1"/>
          </w:tcPr>
          <w:p>
            <w:pPr>
              <w:pStyle w:val="TableParagraph"/>
              <w:spacing w:line="149" w:lineRule="exact"/>
              <w:ind w:left="976"/>
              <w:rPr>
                <w:sz w:val="15"/>
              </w:rPr>
            </w:pPr>
            <w:r>
              <w:rPr>
                <w:color w:val="231F20"/>
                <w:sz w:val="15"/>
              </w:rPr>
              <w:t>Hirschsprung</w:t>
            </w:r>
            <w:r>
              <w:rPr>
                <w:color w:val="231F20"/>
                <w:spacing w:val="-1"/>
                <w:sz w:val="15"/>
              </w:rPr>
              <w:t> </w:t>
            </w:r>
            <w:r>
              <w:rPr>
                <w:color w:val="231F20"/>
                <w:sz w:val="15"/>
              </w:rPr>
              <w:t>disease, </w:t>
            </w:r>
            <w:r>
              <w:rPr>
                <w:color w:val="231F20"/>
                <w:spacing w:val="-5"/>
                <w:sz w:val="15"/>
              </w:rPr>
              <w:t>ACC</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Pyridoxine-dependent</w:t>
            </w:r>
            <w:r>
              <w:rPr>
                <w:color w:val="231F20"/>
                <w:spacing w:val="1"/>
                <w:sz w:val="15"/>
              </w:rPr>
              <w:t> </w:t>
            </w:r>
            <w:r>
              <w:rPr>
                <w:color w:val="231F20"/>
                <w:sz w:val="15"/>
              </w:rPr>
              <w:t>epilepsy</w:t>
            </w:r>
            <w:r>
              <w:rPr>
                <w:color w:val="231F20"/>
                <w:spacing w:val="1"/>
                <w:sz w:val="15"/>
              </w:rPr>
              <w:t> </w:t>
            </w:r>
            <w:r>
              <w:rPr>
                <w:i/>
                <w:color w:val="231F20"/>
                <w:spacing w:val="-2"/>
                <w:sz w:val="15"/>
              </w:rPr>
              <w:t>(ALDH7A1)</w:t>
            </w:r>
          </w:p>
        </w:tc>
        <w:tc>
          <w:tcPr>
            <w:tcW w:w="5557" w:type="dxa"/>
            <w:gridSpan w:val="3"/>
            <w:shd w:val="clear" w:color="auto" w:fill="E8F5F1"/>
          </w:tcPr>
          <w:p>
            <w:pPr>
              <w:pStyle w:val="TableParagraph"/>
              <w:spacing w:line="149" w:lineRule="exact"/>
              <w:ind w:left="976"/>
              <w:rPr>
                <w:sz w:val="15"/>
              </w:rPr>
            </w:pPr>
            <w:r>
              <w:rPr>
                <w:color w:val="231F20"/>
                <w:sz w:val="15"/>
              </w:rPr>
              <w:t>ACC,</w:t>
            </w:r>
            <w:r>
              <w:rPr>
                <w:color w:val="231F20"/>
                <w:spacing w:val="-7"/>
                <w:sz w:val="15"/>
              </w:rPr>
              <w:t> </w:t>
            </w:r>
            <w:r>
              <w:rPr>
                <w:color w:val="231F20"/>
                <w:sz w:val="15"/>
              </w:rPr>
              <w:t>seizures,</w:t>
            </w:r>
            <w:r>
              <w:rPr>
                <w:color w:val="231F20"/>
                <w:spacing w:val="-7"/>
                <w:sz w:val="15"/>
              </w:rPr>
              <w:t> </w:t>
            </w:r>
            <w:r>
              <w:rPr>
                <w:color w:val="231F20"/>
                <w:sz w:val="15"/>
              </w:rPr>
              <w:t>other</w:t>
            </w:r>
            <w:r>
              <w:rPr>
                <w:color w:val="231F20"/>
                <w:spacing w:val="-7"/>
                <w:sz w:val="15"/>
              </w:rPr>
              <w:t> </w:t>
            </w:r>
            <w:r>
              <w:rPr>
                <w:color w:val="231F20"/>
                <w:sz w:val="15"/>
              </w:rPr>
              <w:t>brain</w:t>
            </w:r>
            <w:r>
              <w:rPr>
                <w:color w:val="231F20"/>
                <w:spacing w:val="-7"/>
                <w:sz w:val="15"/>
              </w:rPr>
              <w:t> </w:t>
            </w:r>
            <w:r>
              <w:rPr>
                <w:color w:val="231F20"/>
                <w:spacing w:val="-2"/>
                <w:sz w:val="15"/>
              </w:rPr>
              <w:t>malformations</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Pyruvate</w:t>
            </w:r>
            <w:r>
              <w:rPr>
                <w:color w:val="231F20"/>
                <w:spacing w:val="1"/>
                <w:sz w:val="15"/>
              </w:rPr>
              <w:t> </w:t>
            </w:r>
            <w:r>
              <w:rPr>
                <w:color w:val="231F20"/>
                <w:sz w:val="15"/>
              </w:rPr>
              <w:t>dehydrogenase</w:t>
            </w:r>
            <w:r>
              <w:rPr>
                <w:color w:val="231F20"/>
                <w:spacing w:val="2"/>
                <w:sz w:val="15"/>
              </w:rPr>
              <w:t> </w:t>
            </w:r>
            <w:r>
              <w:rPr>
                <w:color w:val="231F20"/>
                <w:sz w:val="15"/>
              </w:rPr>
              <w:t>deficiency</w:t>
            </w:r>
            <w:r>
              <w:rPr>
                <w:color w:val="231F20"/>
                <w:spacing w:val="1"/>
                <w:sz w:val="15"/>
              </w:rPr>
              <w:t> </w:t>
            </w:r>
            <w:r>
              <w:rPr>
                <w:i/>
                <w:color w:val="231F20"/>
                <w:sz w:val="15"/>
              </w:rPr>
              <w:t>(PDHA1,</w:t>
            </w:r>
            <w:r>
              <w:rPr>
                <w:i/>
                <w:color w:val="231F20"/>
                <w:spacing w:val="2"/>
                <w:sz w:val="15"/>
              </w:rPr>
              <w:t> </w:t>
            </w:r>
            <w:r>
              <w:rPr>
                <w:i/>
                <w:color w:val="231F20"/>
                <w:sz w:val="15"/>
              </w:rPr>
              <w:t>PDHB,</w:t>
            </w:r>
            <w:r>
              <w:rPr>
                <w:i/>
                <w:color w:val="231F20"/>
                <w:spacing w:val="2"/>
                <w:sz w:val="15"/>
              </w:rPr>
              <w:t> </w:t>
            </w:r>
            <w:r>
              <w:rPr>
                <w:i/>
                <w:color w:val="231F20"/>
                <w:spacing w:val="-2"/>
                <w:sz w:val="15"/>
              </w:rPr>
              <w:t>PDHX)</w:t>
            </w:r>
          </w:p>
        </w:tc>
        <w:tc>
          <w:tcPr>
            <w:tcW w:w="5557" w:type="dxa"/>
            <w:gridSpan w:val="3"/>
            <w:shd w:val="clear" w:color="auto" w:fill="E8F5F1"/>
          </w:tcPr>
          <w:p>
            <w:pPr>
              <w:pStyle w:val="TableParagraph"/>
              <w:spacing w:line="149" w:lineRule="exact"/>
              <w:ind w:left="976"/>
              <w:rPr>
                <w:sz w:val="15"/>
              </w:rPr>
            </w:pPr>
            <w:r>
              <w:rPr>
                <w:color w:val="231F20"/>
                <w:sz w:val="15"/>
              </w:rPr>
              <w:t>ACC with other</w:t>
            </w:r>
            <w:r>
              <w:rPr>
                <w:color w:val="231F20"/>
                <w:spacing w:val="1"/>
                <w:sz w:val="15"/>
              </w:rPr>
              <w:t> </w:t>
            </w:r>
            <w:r>
              <w:rPr>
                <w:color w:val="231F20"/>
                <w:sz w:val="15"/>
              </w:rPr>
              <w:t>brain </w:t>
            </w:r>
            <w:r>
              <w:rPr>
                <w:color w:val="231F20"/>
                <w:spacing w:val="-2"/>
                <w:sz w:val="15"/>
              </w:rPr>
              <w:t>changes</w:t>
            </w:r>
          </w:p>
        </w:tc>
      </w:tr>
      <w:tr>
        <w:trPr>
          <w:trHeight w:val="169" w:hRule="atLeast"/>
        </w:trPr>
        <w:tc>
          <w:tcPr>
            <w:tcW w:w="4184" w:type="dxa"/>
            <w:shd w:val="clear" w:color="auto" w:fill="E8F5F1"/>
          </w:tcPr>
          <w:p>
            <w:pPr>
              <w:pStyle w:val="TableParagraph"/>
              <w:spacing w:line="149" w:lineRule="exact"/>
              <w:ind w:left="74"/>
              <w:rPr>
                <w:i/>
                <w:sz w:val="15"/>
              </w:rPr>
            </w:pPr>
            <w:r>
              <w:rPr>
                <w:color w:val="231F20"/>
                <w:sz w:val="15"/>
              </w:rPr>
              <w:t>ACC</w:t>
            </w:r>
            <w:r>
              <w:rPr>
                <w:color w:val="231F20"/>
                <w:spacing w:val="-9"/>
                <w:sz w:val="15"/>
              </w:rPr>
              <w:t> </w:t>
            </w:r>
            <w:r>
              <w:rPr>
                <w:color w:val="231F20"/>
                <w:sz w:val="15"/>
              </w:rPr>
              <w:t>with</w:t>
            </w:r>
            <w:r>
              <w:rPr>
                <w:color w:val="231F20"/>
                <w:spacing w:val="-9"/>
                <w:sz w:val="15"/>
              </w:rPr>
              <w:t> </w:t>
            </w:r>
            <w:r>
              <w:rPr>
                <w:color w:val="231F20"/>
                <w:sz w:val="15"/>
              </w:rPr>
              <w:t>fatal</w:t>
            </w:r>
            <w:r>
              <w:rPr>
                <w:color w:val="231F20"/>
                <w:spacing w:val="-9"/>
                <w:sz w:val="15"/>
              </w:rPr>
              <w:t> </w:t>
            </w:r>
            <w:r>
              <w:rPr>
                <w:color w:val="231F20"/>
                <w:sz w:val="15"/>
              </w:rPr>
              <w:t>lactic</w:t>
            </w:r>
            <w:r>
              <w:rPr>
                <w:color w:val="231F20"/>
                <w:spacing w:val="-9"/>
                <w:sz w:val="15"/>
              </w:rPr>
              <w:t> </w:t>
            </w:r>
            <w:r>
              <w:rPr>
                <w:color w:val="231F20"/>
                <w:sz w:val="15"/>
              </w:rPr>
              <w:t>acidosis</w:t>
            </w:r>
            <w:r>
              <w:rPr>
                <w:color w:val="231F20"/>
                <w:spacing w:val="-9"/>
                <w:sz w:val="15"/>
              </w:rPr>
              <w:t> </w:t>
            </w:r>
            <w:r>
              <w:rPr>
                <w:i/>
                <w:color w:val="231F20"/>
                <w:spacing w:val="-2"/>
                <w:sz w:val="15"/>
              </w:rPr>
              <w:t>(MRPS16)</w:t>
            </w:r>
          </w:p>
        </w:tc>
        <w:tc>
          <w:tcPr>
            <w:tcW w:w="5557" w:type="dxa"/>
            <w:gridSpan w:val="3"/>
            <w:shd w:val="clear" w:color="auto" w:fill="E8F5F1"/>
          </w:tcPr>
          <w:p>
            <w:pPr>
              <w:pStyle w:val="TableParagraph"/>
              <w:spacing w:line="149" w:lineRule="exact"/>
              <w:ind w:left="976"/>
              <w:rPr>
                <w:sz w:val="15"/>
              </w:rPr>
            </w:pPr>
            <w:r>
              <w:rPr>
                <w:color w:val="231F20"/>
                <w:sz w:val="15"/>
              </w:rPr>
              <w:t>Complexes I and IV deficiency, ACC, brain </w:t>
            </w:r>
            <w:r>
              <w:rPr>
                <w:color w:val="231F20"/>
                <w:spacing w:val="-2"/>
                <w:sz w:val="15"/>
              </w:rPr>
              <w:t>malformations</w:t>
            </w:r>
          </w:p>
        </w:tc>
      </w:tr>
      <w:tr>
        <w:trPr>
          <w:trHeight w:val="205" w:hRule="atLeast"/>
        </w:trPr>
        <w:tc>
          <w:tcPr>
            <w:tcW w:w="4184" w:type="dxa"/>
            <w:tcBorders>
              <w:bottom w:val="single" w:sz="4" w:space="0" w:color="FFFFFF"/>
            </w:tcBorders>
            <w:shd w:val="clear" w:color="auto" w:fill="E8F5F1"/>
          </w:tcPr>
          <w:p>
            <w:pPr>
              <w:pStyle w:val="TableParagraph"/>
              <w:spacing w:line="170" w:lineRule="exact"/>
              <w:ind w:left="74"/>
              <w:rPr>
                <w:i/>
                <w:sz w:val="15"/>
              </w:rPr>
            </w:pPr>
            <w:r>
              <w:rPr>
                <w:color w:val="231F20"/>
                <w:w w:val="105"/>
                <w:sz w:val="15"/>
              </w:rPr>
              <w:t>HSAS/MASA</w:t>
            </w:r>
            <w:r>
              <w:rPr>
                <w:color w:val="231F20"/>
                <w:spacing w:val="7"/>
                <w:w w:val="105"/>
                <w:sz w:val="15"/>
              </w:rPr>
              <w:t> </w:t>
            </w:r>
            <w:r>
              <w:rPr>
                <w:color w:val="231F20"/>
                <w:w w:val="105"/>
                <w:sz w:val="15"/>
              </w:rPr>
              <w:t>syndromes</w:t>
            </w:r>
            <w:r>
              <w:rPr>
                <w:color w:val="231F20"/>
                <w:spacing w:val="8"/>
                <w:w w:val="105"/>
                <w:sz w:val="15"/>
              </w:rPr>
              <w:t> </w:t>
            </w:r>
            <w:r>
              <w:rPr>
                <w:i/>
                <w:color w:val="231F20"/>
                <w:spacing w:val="-2"/>
                <w:w w:val="105"/>
                <w:sz w:val="15"/>
              </w:rPr>
              <w:t>(L1CAM)</w:t>
            </w:r>
          </w:p>
        </w:tc>
        <w:tc>
          <w:tcPr>
            <w:tcW w:w="5557" w:type="dxa"/>
            <w:gridSpan w:val="3"/>
            <w:tcBorders>
              <w:bottom w:val="single" w:sz="4" w:space="0" w:color="FFFFFF"/>
            </w:tcBorders>
            <w:shd w:val="clear" w:color="auto" w:fill="E8F5F1"/>
          </w:tcPr>
          <w:p>
            <w:pPr>
              <w:pStyle w:val="TableParagraph"/>
              <w:spacing w:line="170" w:lineRule="exact"/>
              <w:ind w:left="976"/>
              <w:rPr>
                <w:sz w:val="15"/>
              </w:rPr>
            </w:pPr>
            <w:r>
              <w:rPr>
                <w:color w:val="231F20"/>
                <w:sz w:val="15"/>
              </w:rPr>
              <w:t>Hydrocephalus,</w:t>
            </w:r>
            <w:r>
              <w:rPr>
                <w:color w:val="231F20"/>
                <w:spacing w:val="3"/>
                <w:sz w:val="15"/>
              </w:rPr>
              <w:t> </w:t>
            </w:r>
            <w:r>
              <w:rPr>
                <w:color w:val="231F20"/>
                <w:sz w:val="15"/>
              </w:rPr>
              <w:t>adducted</w:t>
            </w:r>
            <w:r>
              <w:rPr>
                <w:color w:val="231F20"/>
                <w:spacing w:val="4"/>
                <w:sz w:val="15"/>
              </w:rPr>
              <w:t> </w:t>
            </w:r>
            <w:r>
              <w:rPr>
                <w:color w:val="231F20"/>
                <w:sz w:val="15"/>
              </w:rPr>
              <w:t>thumbs,</w:t>
            </w:r>
            <w:r>
              <w:rPr>
                <w:color w:val="231F20"/>
                <w:spacing w:val="4"/>
                <w:sz w:val="15"/>
              </w:rPr>
              <w:t> </w:t>
            </w:r>
            <w:r>
              <w:rPr>
                <w:color w:val="231F20"/>
                <w:sz w:val="15"/>
              </w:rPr>
              <w:t>ACC,</w:t>
            </w:r>
            <w:r>
              <w:rPr>
                <w:color w:val="231F20"/>
                <w:spacing w:val="3"/>
                <w:sz w:val="15"/>
              </w:rPr>
              <w:t> </w:t>
            </w:r>
            <w:r>
              <w:rPr>
                <w:color w:val="231F20"/>
                <w:spacing w:val="-5"/>
                <w:sz w:val="15"/>
              </w:rPr>
              <w:t>MR</w:t>
            </w:r>
          </w:p>
        </w:tc>
      </w:tr>
      <w:tr>
        <w:trPr>
          <w:trHeight w:val="220" w:hRule="atLeast"/>
        </w:trPr>
        <w:tc>
          <w:tcPr>
            <w:tcW w:w="4184" w:type="dxa"/>
            <w:tcBorders>
              <w:top w:val="single" w:sz="4" w:space="0" w:color="FFFFFF"/>
            </w:tcBorders>
            <w:shd w:val="clear" w:color="auto" w:fill="E8F5F1"/>
          </w:tcPr>
          <w:p>
            <w:pPr>
              <w:pStyle w:val="TableParagraph"/>
              <w:spacing w:line="157" w:lineRule="exact" w:before="43"/>
              <w:ind w:left="74"/>
              <w:rPr>
                <w:sz w:val="15"/>
              </w:rPr>
            </w:pPr>
            <w:r>
              <w:rPr>
                <w:color w:val="231F20"/>
                <w:w w:val="110"/>
                <w:sz w:val="15"/>
              </w:rPr>
              <w:t>ACC</w:t>
            </w:r>
            <w:r>
              <w:rPr>
                <w:color w:val="231F20"/>
                <w:spacing w:val="11"/>
                <w:w w:val="110"/>
                <w:sz w:val="15"/>
              </w:rPr>
              <w:t> </w:t>
            </w:r>
            <w:r>
              <w:rPr>
                <w:color w:val="231F20"/>
                <w:w w:val="110"/>
                <w:sz w:val="15"/>
              </w:rPr>
              <w:t>SEEN</w:t>
            </w:r>
            <w:r>
              <w:rPr>
                <w:color w:val="231F20"/>
                <w:spacing w:val="12"/>
                <w:w w:val="110"/>
                <w:sz w:val="15"/>
              </w:rPr>
              <w:t> </w:t>
            </w:r>
            <w:r>
              <w:rPr>
                <w:color w:val="231F20"/>
                <w:w w:val="110"/>
                <w:sz w:val="15"/>
              </w:rPr>
              <w:t>CONSISTENTLY</w:t>
            </w:r>
            <w:r>
              <w:rPr>
                <w:color w:val="231F20"/>
                <w:spacing w:val="12"/>
                <w:w w:val="110"/>
                <w:sz w:val="15"/>
              </w:rPr>
              <w:t> </w:t>
            </w:r>
            <w:r>
              <w:rPr>
                <w:color w:val="231F20"/>
                <w:w w:val="110"/>
                <w:sz w:val="15"/>
              </w:rPr>
              <w:t>(NO</w:t>
            </w:r>
            <w:r>
              <w:rPr>
                <w:color w:val="231F20"/>
                <w:spacing w:val="12"/>
                <w:w w:val="110"/>
                <w:sz w:val="15"/>
              </w:rPr>
              <w:t> </w:t>
            </w:r>
            <w:r>
              <w:rPr>
                <w:color w:val="231F20"/>
                <w:w w:val="110"/>
                <w:sz w:val="15"/>
              </w:rPr>
              <w:t>GENE</w:t>
            </w:r>
            <w:r>
              <w:rPr>
                <w:color w:val="231F20"/>
                <w:spacing w:val="12"/>
                <w:w w:val="110"/>
                <w:sz w:val="15"/>
              </w:rPr>
              <w:t> </w:t>
            </w:r>
            <w:r>
              <w:rPr>
                <w:color w:val="231F20"/>
                <w:w w:val="110"/>
                <w:sz w:val="15"/>
              </w:rPr>
              <w:t>YET</w:t>
            </w:r>
            <w:r>
              <w:rPr>
                <w:color w:val="231F20"/>
                <w:spacing w:val="12"/>
                <w:w w:val="110"/>
                <w:sz w:val="15"/>
              </w:rPr>
              <w:t> </w:t>
            </w:r>
            <w:r>
              <w:rPr>
                <w:color w:val="231F20"/>
                <w:spacing w:val="-2"/>
                <w:w w:val="110"/>
                <w:sz w:val="15"/>
              </w:rPr>
              <w:t>IDENTIFIED)</w:t>
            </w:r>
          </w:p>
        </w:tc>
        <w:tc>
          <w:tcPr>
            <w:tcW w:w="5557" w:type="dxa"/>
            <w:gridSpan w:val="3"/>
            <w:tcBorders>
              <w:top w:val="single" w:sz="4" w:space="0" w:color="FFFFFF"/>
            </w:tcBorders>
            <w:shd w:val="clear" w:color="auto" w:fill="E8F5F1"/>
          </w:tcPr>
          <w:p>
            <w:pPr>
              <w:pStyle w:val="TableParagraph"/>
              <w:rPr>
                <w:rFonts w:ascii="Times New Roman"/>
                <w:sz w:val="14"/>
              </w:rPr>
            </w:pPr>
          </w:p>
        </w:tc>
      </w:tr>
      <w:tr>
        <w:trPr>
          <w:trHeight w:val="166" w:hRule="atLeast"/>
        </w:trPr>
        <w:tc>
          <w:tcPr>
            <w:tcW w:w="4184" w:type="dxa"/>
            <w:shd w:val="clear" w:color="auto" w:fill="E8F5F1"/>
          </w:tcPr>
          <w:p>
            <w:pPr>
              <w:pStyle w:val="TableParagraph"/>
              <w:spacing w:line="146" w:lineRule="exact"/>
              <w:ind w:left="74"/>
              <w:rPr>
                <w:sz w:val="15"/>
              </w:rPr>
            </w:pPr>
            <w:r>
              <w:rPr>
                <w:color w:val="231F20"/>
                <w:spacing w:val="-2"/>
                <w:sz w:val="15"/>
              </w:rPr>
              <w:t>Acrocallosal</w:t>
            </w:r>
            <w:r>
              <w:rPr>
                <w:color w:val="231F20"/>
                <w:spacing w:val="8"/>
                <w:sz w:val="15"/>
              </w:rPr>
              <w:t> </w:t>
            </w:r>
            <w:r>
              <w:rPr>
                <w:color w:val="231F20"/>
                <w:spacing w:val="-2"/>
                <w:sz w:val="15"/>
              </w:rPr>
              <w:t>syndrome</w:t>
            </w:r>
          </w:p>
        </w:tc>
        <w:tc>
          <w:tcPr>
            <w:tcW w:w="5557" w:type="dxa"/>
            <w:gridSpan w:val="3"/>
            <w:shd w:val="clear" w:color="auto" w:fill="E8F5F1"/>
          </w:tcPr>
          <w:p>
            <w:pPr>
              <w:pStyle w:val="TableParagraph"/>
              <w:spacing w:line="146" w:lineRule="exact"/>
              <w:ind w:left="976"/>
              <w:rPr>
                <w:sz w:val="15"/>
              </w:rPr>
            </w:pPr>
            <w:r>
              <w:rPr>
                <w:color w:val="231F20"/>
                <w:spacing w:val="-2"/>
                <w:sz w:val="15"/>
              </w:rPr>
              <w:t>ACC,</w:t>
            </w:r>
            <w:r>
              <w:rPr>
                <w:color w:val="231F20"/>
                <w:spacing w:val="3"/>
                <w:sz w:val="15"/>
              </w:rPr>
              <w:t> </w:t>
            </w:r>
            <w:r>
              <w:rPr>
                <w:color w:val="231F20"/>
                <w:spacing w:val="-2"/>
                <w:sz w:val="15"/>
              </w:rPr>
              <w:t>polydactyly,</w:t>
            </w:r>
            <w:r>
              <w:rPr>
                <w:color w:val="231F20"/>
                <w:spacing w:val="3"/>
                <w:sz w:val="15"/>
              </w:rPr>
              <w:t> </w:t>
            </w:r>
            <w:r>
              <w:rPr>
                <w:color w:val="231F20"/>
                <w:spacing w:val="-2"/>
                <w:sz w:val="15"/>
              </w:rPr>
              <w:t>craniofacial</w:t>
            </w:r>
            <w:r>
              <w:rPr>
                <w:color w:val="231F20"/>
                <w:spacing w:val="3"/>
                <w:sz w:val="15"/>
              </w:rPr>
              <w:t> </w:t>
            </w:r>
            <w:r>
              <w:rPr>
                <w:color w:val="231F20"/>
                <w:spacing w:val="-2"/>
                <w:sz w:val="15"/>
              </w:rPr>
              <w:t>changes,</w:t>
            </w:r>
            <w:r>
              <w:rPr>
                <w:color w:val="231F20"/>
                <w:spacing w:val="4"/>
                <w:sz w:val="15"/>
              </w:rPr>
              <w:t> </w:t>
            </w:r>
            <w:r>
              <w:rPr>
                <w:color w:val="231F20"/>
                <w:spacing w:val="-5"/>
                <w:sz w:val="15"/>
              </w:rPr>
              <w:t>MR</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Aicardi</w:t>
            </w:r>
            <w:r>
              <w:rPr>
                <w:color w:val="231F20"/>
                <w:spacing w:val="-9"/>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ACC,</w:t>
            </w:r>
            <w:r>
              <w:rPr>
                <w:color w:val="231F20"/>
                <w:sz w:val="15"/>
              </w:rPr>
              <w:t> </w:t>
            </w:r>
            <w:r>
              <w:rPr>
                <w:color w:val="231F20"/>
                <w:spacing w:val="-2"/>
                <w:sz w:val="15"/>
              </w:rPr>
              <w:t>chorioretinal</w:t>
            </w:r>
            <w:r>
              <w:rPr>
                <w:color w:val="231F20"/>
                <w:spacing w:val="1"/>
                <w:sz w:val="15"/>
              </w:rPr>
              <w:t> </w:t>
            </w:r>
            <w:r>
              <w:rPr>
                <w:color w:val="231F20"/>
                <w:spacing w:val="-2"/>
                <w:sz w:val="15"/>
              </w:rPr>
              <w:t>lacunae,</w:t>
            </w:r>
            <w:r>
              <w:rPr>
                <w:color w:val="231F20"/>
                <w:spacing w:val="1"/>
                <w:sz w:val="15"/>
              </w:rPr>
              <w:t> </w:t>
            </w:r>
            <w:r>
              <w:rPr>
                <w:color w:val="231F20"/>
                <w:spacing w:val="-2"/>
                <w:sz w:val="15"/>
              </w:rPr>
              <w:t>infantile</w:t>
            </w:r>
            <w:r>
              <w:rPr>
                <w:color w:val="231F20"/>
                <w:spacing w:val="1"/>
                <w:sz w:val="15"/>
              </w:rPr>
              <w:t> </w:t>
            </w:r>
            <w:r>
              <w:rPr>
                <w:color w:val="231F20"/>
                <w:spacing w:val="-2"/>
                <w:sz w:val="15"/>
              </w:rPr>
              <w:t>spasms,</w:t>
            </w:r>
            <w:r>
              <w:rPr>
                <w:color w:val="231F20"/>
                <w:sz w:val="15"/>
              </w:rPr>
              <w:t> </w:t>
            </w:r>
            <w:r>
              <w:rPr>
                <w:color w:val="231F20"/>
                <w:spacing w:val="-5"/>
                <w:sz w:val="15"/>
              </w:rPr>
              <w:t>MR</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Chudley-McCullough</w:t>
            </w:r>
            <w:r>
              <w:rPr>
                <w:color w:val="231F20"/>
                <w:spacing w:val="19"/>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z w:val="15"/>
              </w:rPr>
              <w:t>Hearing</w:t>
            </w:r>
            <w:r>
              <w:rPr>
                <w:color w:val="231F20"/>
                <w:spacing w:val="1"/>
                <w:sz w:val="15"/>
              </w:rPr>
              <w:t> </w:t>
            </w:r>
            <w:r>
              <w:rPr>
                <w:color w:val="231F20"/>
                <w:sz w:val="15"/>
              </w:rPr>
              <w:t>loss,</w:t>
            </w:r>
            <w:r>
              <w:rPr>
                <w:color w:val="231F20"/>
                <w:spacing w:val="2"/>
                <w:sz w:val="15"/>
              </w:rPr>
              <w:t> </w:t>
            </w:r>
            <w:r>
              <w:rPr>
                <w:color w:val="231F20"/>
                <w:sz w:val="15"/>
              </w:rPr>
              <w:t>hydrocephalus,</w:t>
            </w:r>
            <w:r>
              <w:rPr>
                <w:color w:val="231F20"/>
                <w:spacing w:val="2"/>
                <w:sz w:val="15"/>
              </w:rPr>
              <w:t> </w:t>
            </w:r>
            <w:r>
              <w:rPr>
                <w:color w:val="231F20"/>
                <w:sz w:val="15"/>
              </w:rPr>
              <w:t>ACC,</w:t>
            </w:r>
            <w:r>
              <w:rPr>
                <w:color w:val="231F20"/>
                <w:spacing w:val="2"/>
                <w:sz w:val="15"/>
              </w:rPr>
              <w:t> </w:t>
            </w:r>
            <w:r>
              <w:rPr>
                <w:color w:val="231F20"/>
                <w:spacing w:val="-2"/>
                <w:sz w:val="15"/>
              </w:rPr>
              <w:t>colpocephaly</w:t>
            </w:r>
          </w:p>
        </w:tc>
      </w:tr>
      <w:tr>
        <w:trPr>
          <w:trHeight w:val="169" w:hRule="atLeast"/>
        </w:trPr>
        <w:tc>
          <w:tcPr>
            <w:tcW w:w="4184" w:type="dxa"/>
            <w:shd w:val="clear" w:color="auto" w:fill="E8F5F1"/>
          </w:tcPr>
          <w:p>
            <w:pPr>
              <w:pStyle w:val="TableParagraph"/>
              <w:spacing w:line="149" w:lineRule="exact"/>
              <w:ind w:left="74"/>
              <w:rPr>
                <w:sz w:val="15"/>
              </w:rPr>
            </w:pPr>
            <w:r>
              <w:rPr>
                <w:color w:val="231F20"/>
                <w:w w:val="105"/>
                <w:sz w:val="15"/>
              </w:rPr>
              <w:t>FG</w:t>
            </w:r>
            <w:r>
              <w:rPr>
                <w:color w:val="231F20"/>
                <w:spacing w:val="7"/>
                <w:w w:val="105"/>
                <w:sz w:val="15"/>
              </w:rPr>
              <w:t> </w:t>
            </w:r>
            <w:r>
              <w:rPr>
                <w:color w:val="231F20"/>
                <w:spacing w:val="-2"/>
                <w:w w:val="105"/>
                <w:sz w:val="15"/>
              </w:rPr>
              <w:t>syndrome</w:t>
            </w:r>
          </w:p>
        </w:tc>
        <w:tc>
          <w:tcPr>
            <w:tcW w:w="5557" w:type="dxa"/>
            <w:gridSpan w:val="3"/>
            <w:shd w:val="clear" w:color="auto" w:fill="E8F5F1"/>
          </w:tcPr>
          <w:p>
            <w:pPr>
              <w:pStyle w:val="TableParagraph"/>
              <w:spacing w:line="149" w:lineRule="exact"/>
              <w:ind w:left="976"/>
              <w:rPr>
                <w:sz w:val="15"/>
              </w:rPr>
            </w:pPr>
            <w:r>
              <w:rPr>
                <w:color w:val="231F20"/>
                <w:sz w:val="15"/>
              </w:rPr>
              <w:t>MR,</w:t>
            </w:r>
            <w:r>
              <w:rPr>
                <w:color w:val="231F20"/>
                <w:spacing w:val="-2"/>
                <w:sz w:val="15"/>
              </w:rPr>
              <w:t> </w:t>
            </w:r>
            <w:r>
              <w:rPr>
                <w:color w:val="231F20"/>
                <w:sz w:val="15"/>
              </w:rPr>
              <w:t>ACC,</w:t>
            </w:r>
            <w:r>
              <w:rPr>
                <w:color w:val="231F20"/>
                <w:spacing w:val="-2"/>
                <w:sz w:val="15"/>
              </w:rPr>
              <w:t> </w:t>
            </w:r>
            <w:r>
              <w:rPr>
                <w:color w:val="231F20"/>
                <w:sz w:val="15"/>
              </w:rPr>
              <w:t>craniofacial</w:t>
            </w:r>
            <w:r>
              <w:rPr>
                <w:color w:val="231F20"/>
                <w:spacing w:val="-2"/>
                <w:sz w:val="15"/>
              </w:rPr>
              <w:t> </w:t>
            </w:r>
            <w:r>
              <w:rPr>
                <w:color w:val="231F20"/>
                <w:sz w:val="15"/>
              </w:rPr>
              <w:t>changes,</w:t>
            </w:r>
            <w:r>
              <w:rPr>
                <w:color w:val="231F20"/>
                <w:spacing w:val="-2"/>
                <w:sz w:val="15"/>
              </w:rPr>
              <w:t> macrocephaly</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Genitopatellar</w:t>
            </w:r>
            <w:r>
              <w:rPr>
                <w:color w:val="231F20"/>
                <w:spacing w:val="-1"/>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Absent</w:t>
            </w:r>
            <w:r>
              <w:rPr>
                <w:color w:val="231F20"/>
                <w:spacing w:val="1"/>
                <w:sz w:val="15"/>
              </w:rPr>
              <w:t> </w:t>
            </w:r>
            <w:r>
              <w:rPr>
                <w:color w:val="231F20"/>
                <w:spacing w:val="-2"/>
                <w:sz w:val="15"/>
              </w:rPr>
              <w:t>patellae,</w:t>
            </w:r>
            <w:r>
              <w:rPr>
                <w:color w:val="231F20"/>
                <w:spacing w:val="1"/>
                <w:sz w:val="15"/>
              </w:rPr>
              <w:t> </w:t>
            </w:r>
            <w:r>
              <w:rPr>
                <w:color w:val="231F20"/>
                <w:spacing w:val="-2"/>
                <w:sz w:val="15"/>
              </w:rPr>
              <w:t>urogenital</w:t>
            </w:r>
            <w:r>
              <w:rPr>
                <w:color w:val="231F20"/>
                <w:spacing w:val="1"/>
                <w:sz w:val="15"/>
              </w:rPr>
              <w:t> </w:t>
            </w:r>
            <w:r>
              <w:rPr>
                <w:color w:val="231F20"/>
                <w:spacing w:val="-2"/>
                <w:sz w:val="15"/>
              </w:rPr>
              <w:t>malformations,</w:t>
            </w:r>
            <w:r>
              <w:rPr>
                <w:color w:val="231F20"/>
                <w:spacing w:val="1"/>
                <w:sz w:val="15"/>
              </w:rPr>
              <w:t> </w:t>
            </w:r>
            <w:r>
              <w:rPr>
                <w:color w:val="231F20"/>
                <w:spacing w:val="-5"/>
                <w:sz w:val="15"/>
              </w:rPr>
              <w:t>ACC</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Temtamy</w:t>
            </w:r>
            <w:r>
              <w:rPr>
                <w:color w:val="231F20"/>
                <w:spacing w:val="2"/>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z w:val="15"/>
              </w:rPr>
              <w:t>ACC,</w:t>
            </w:r>
            <w:r>
              <w:rPr>
                <w:color w:val="231F20"/>
                <w:spacing w:val="-4"/>
                <w:sz w:val="15"/>
              </w:rPr>
              <w:t> </w:t>
            </w:r>
            <w:r>
              <w:rPr>
                <w:color w:val="231F20"/>
                <w:sz w:val="15"/>
              </w:rPr>
              <w:t>optic</w:t>
            </w:r>
            <w:r>
              <w:rPr>
                <w:color w:val="231F20"/>
                <w:spacing w:val="-4"/>
                <w:sz w:val="15"/>
              </w:rPr>
              <w:t> </w:t>
            </w:r>
            <w:r>
              <w:rPr>
                <w:color w:val="231F20"/>
                <w:sz w:val="15"/>
              </w:rPr>
              <w:t>coloboma,</w:t>
            </w:r>
            <w:r>
              <w:rPr>
                <w:color w:val="231F20"/>
                <w:spacing w:val="-5"/>
                <w:sz w:val="15"/>
              </w:rPr>
              <w:t> </w:t>
            </w:r>
            <w:r>
              <w:rPr>
                <w:color w:val="231F20"/>
                <w:sz w:val="15"/>
              </w:rPr>
              <w:t>craniofacial</w:t>
            </w:r>
            <w:r>
              <w:rPr>
                <w:color w:val="231F20"/>
                <w:spacing w:val="-4"/>
                <w:sz w:val="15"/>
              </w:rPr>
              <w:t> </w:t>
            </w:r>
            <w:r>
              <w:rPr>
                <w:color w:val="231F20"/>
                <w:sz w:val="15"/>
              </w:rPr>
              <w:t>changes,</w:t>
            </w:r>
            <w:r>
              <w:rPr>
                <w:color w:val="231F20"/>
                <w:spacing w:val="-4"/>
                <w:sz w:val="15"/>
              </w:rPr>
              <w:t> </w:t>
            </w:r>
            <w:r>
              <w:rPr>
                <w:color w:val="231F20"/>
                <w:spacing w:val="-5"/>
                <w:sz w:val="15"/>
              </w:rPr>
              <w:t>MR</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Toriello-Carey</w:t>
            </w:r>
            <w:r>
              <w:rPr>
                <w:color w:val="231F20"/>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ACC,</w:t>
            </w:r>
            <w:r>
              <w:rPr>
                <w:color w:val="231F20"/>
                <w:spacing w:val="2"/>
                <w:sz w:val="15"/>
              </w:rPr>
              <w:t> </w:t>
            </w:r>
            <w:r>
              <w:rPr>
                <w:color w:val="231F20"/>
                <w:spacing w:val="-2"/>
                <w:sz w:val="15"/>
              </w:rPr>
              <w:t>craniofacial</w:t>
            </w:r>
            <w:r>
              <w:rPr>
                <w:color w:val="231F20"/>
                <w:spacing w:val="3"/>
                <w:sz w:val="15"/>
              </w:rPr>
              <w:t> </w:t>
            </w:r>
            <w:r>
              <w:rPr>
                <w:color w:val="231F20"/>
                <w:spacing w:val="-2"/>
                <w:sz w:val="15"/>
              </w:rPr>
              <w:t>changes,</w:t>
            </w:r>
            <w:r>
              <w:rPr>
                <w:color w:val="231F20"/>
                <w:spacing w:val="3"/>
                <w:sz w:val="15"/>
              </w:rPr>
              <w:t> </w:t>
            </w:r>
            <w:r>
              <w:rPr>
                <w:color w:val="231F20"/>
                <w:spacing w:val="-2"/>
                <w:sz w:val="15"/>
              </w:rPr>
              <w:t>cardiac</w:t>
            </w:r>
            <w:r>
              <w:rPr>
                <w:color w:val="231F20"/>
                <w:spacing w:val="3"/>
                <w:sz w:val="15"/>
              </w:rPr>
              <w:t> </w:t>
            </w:r>
            <w:r>
              <w:rPr>
                <w:color w:val="231F20"/>
                <w:spacing w:val="-2"/>
                <w:sz w:val="15"/>
              </w:rPr>
              <w:t>defects,</w:t>
            </w:r>
            <w:r>
              <w:rPr>
                <w:color w:val="231F20"/>
                <w:spacing w:val="3"/>
                <w:sz w:val="15"/>
              </w:rPr>
              <w:t> </w:t>
            </w:r>
            <w:r>
              <w:rPr>
                <w:color w:val="231F20"/>
                <w:spacing w:val="-5"/>
                <w:sz w:val="15"/>
              </w:rPr>
              <w:t>MR</w:t>
            </w:r>
          </w:p>
        </w:tc>
      </w:tr>
      <w:tr>
        <w:trPr>
          <w:trHeight w:val="205" w:hRule="atLeast"/>
        </w:trPr>
        <w:tc>
          <w:tcPr>
            <w:tcW w:w="4184" w:type="dxa"/>
            <w:tcBorders>
              <w:bottom w:val="single" w:sz="4" w:space="0" w:color="FFFFFF"/>
            </w:tcBorders>
            <w:shd w:val="clear" w:color="auto" w:fill="E8F5F1"/>
          </w:tcPr>
          <w:p>
            <w:pPr>
              <w:pStyle w:val="TableParagraph"/>
              <w:spacing w:line="170" w:lineRule="exact"/>
              <w:ind w:left="74"/>
              <w:rPr>
                <w:sz w:val="15"/>
              </w:rPr>
            </w:pPr>
            <w:r>
              <w:rPr>
                <w:color w:val="231F20"/>
                <w:spacing w:val="-2"/>
                <w:sz w:val="15"/>
              </w:rPr>
              <w:t>Vici</w:t>
            </w:r>
            <w:r>
              <w:rPr>
                <w:color w:val="231F20"/>
                <w:spacing w:val="-9"/>
                <w:sz w:val="15"/>
              </w:rPr>
              <w:t> </w:t>
            </w:r>
            <w:r>
              <w:rPr>
                <w:color w:val="231F20"/>
                <w:spacing w:val="-2"/>
                <w:sz w:val="15"/>
              </w:rPr>
              <w:t>syndrome</w:t>
            </w:r>
          </w:p>
        </w:tc>
        <w:tc>
          <w:tcPr>
            <w:tcW w:w="5557" w:type="dxa"/>
            <w:gridSpan w:val="3"/>
            <w:tcBorders>
              <w:bottom w:val="single" w:sz="4" w:space="0" w:color="FFFFFF"/>
            </w:tcBorders>
            <w:shd w:val="clear" w:color="auto" w:fill="E8F5F1"/>
          </w:tcPr>
          <w:p>
            <w:pPr>
              <w:pStyle w:val="TableParagraph"/>
              <w:spacing w:line="170" w:lineRule="exact"/>
              <w:ind w:left="976"/>
              <w:rPr>
                <w:sz w:val="15"/>
              </w:rPr>
            </w:pPr>
            <w:r>
              <w:rPr>
                <w:color w:val="231F20"/>
                <w:spacing w:val="-2"/>
                <w:sz w:val="15"/>
              </w:rPr>
              <w:t>ACC,</w:t>
            </w:r>
            <w:r>
              <w:rPr>
                <w:color w:val="231F20"/>
                <w:spacing w:val="-5"/>
                <w:sz w:val="15"/>
              </w:rPr>
              <w:t> </w:t>
            </w:r>
            <w:r>
              <w:rPr>
                <w:color w:val="231F20"/>
                <w:spacing w:val="-2"/>
                <w:sz w:val="15"/>
              </w:rPr>
              <w:t>albinism,</w:t>
            </w:r>
            <w:r>
              <w:rPr>
                <w:color w:val="231F20"/>
                <w:spacing w:val="-4"/>
                <w:sz w:val="15"/>
              </w:rPr>
              <w:t> </w:t>
            </w:r>
            <w:r>
              <w:rPr>
                <w:color w:val="231F20"/>
                <w:spacing w:val="-2"/>
                <w:sz w:val="15"/>
              </w:rPr>
              <w:t>recurrent</w:t>
            </w:r>
            <w:r>
              <w:rPr>
                <w:color w:val="231F20"/>
                <w:spacing w:val="-4"/>
                <w:sz w:val="15"/>
              </w:rPr>
              <w:t> </w:t>
            </w:r>
            <w:r>
              <w:rPr>
                <w:color w:val="231F20"/>
                <w:spacing w:val="-2"/>
                <w:sz w:val="15"/>
              </w:rPr>
              <w:t>infections,</w:t>
            </w:r>
            <w:r>
              <w:rPr>
                <w:color w:val="231F20"/>
                <w:spacing w:val="-4"/>
                <w:sz w:val="15"/>
              </w:rPr>
              <w:t> </w:t>
            </w:r>
            <w:r>
              <w:rPr>
                <w:color w:val="231F20"/>
                <w:spacing w:val="-5"/>
                <w:sz w:val="15"/>
              </w:rPr>
              <w:t>MR</w:t>
            </w:r>
          </w:p>
        </w:tc>
      </w:tr>
      <w:tr>
        <w:trPr>
          <w:trHeight w:val="220" w:hRule="atLeast"/>
        </w:trPr>
        <w:tc>
          <w:tcPr>
            <w:tcW w:w="4184" w:type="dxa"/>
            <w:tcBorders>
              <w:top w:val="single" w:sz="4" w:space="0" w:color="FFFFFF"/>
            </w:tcBorders>
            <w:shd w:val="clear" w:color="auto" w:fill="E8F5F1"/>
          </w:tcPr>
          <w:p>
            <w:pPr>
              <w:pStyle w:val="TableParagraph"/>
              <w:spacing w:line="157" w:lineRule="exact" w:before="43"/>
              <w:ind w:left="74"/>
              <w:rPr>
                <w:sz w:val="15"/>
              </w:rPr>
            </w:pPr>
            <w:r>
              <w:rPr>
                <w:color w:val="231F20"/>
                <w:w w:val="110"/>
                <w:sz w:val="15"/>
              </w:rPr>
              <w:t>ACC</w:t>
            </w:r>
            <w:r>
              <w:rPr>
                <w:color w:val="231F20"/>
                <w:spacing w:val="12"/>
                <w:w w:val="110"/>
                <w:sz w:val="15"/>
              </w:rPr>
              <w:t> </w:t>
            </w:r>
            <w:r>
              <w:rPr>
                <w:color w:val="231F20"/>
                <w:w w:val="110"/>
                <w:sz w:val="15"/>
              </w:rPr>
              <w:t>SEEN</w:t>
            </w:r>
            <w:r>
              <w:rPr>
                <w:color w:val="231F20"/>
                <w:spacing w:val="13"/>
                <w:w w:val="110"/>
                <w:sz w:val="15"/>
              </w:rPr>
              <w:t> </w:t>
            </w:r>
            <w:r>
              <w:rPr>
                <w:color w:val="231F20"/>
                <w:w w:val="110"/>
                <w:sz w:val="15"/>
              </w:rPr>
              <w:t>OCCASIONALLY</w:t>
            </w:r>
            <w:r>
              <w:rPr>
                <w:color w:val="231F20"/>
                <w:spacing w:val="12"/>
                <w:w w:val="110"/>
                <w:sz w:val="15"/>
              </w:rPr>
              <w:t> </w:t>
            </w:r>
            <w:r>
              <w:rPr>
                <w:color w:val="231F20"/>
                <w:w w:val="110"/>
                <w:sz w:val="15"/>
              </w:rPr>
              <w:t>(PARTIAL</w:t>
            </w:r>
            <w:r>
              <w:rPr>
                <w:color w:val="231F20"/>
                <w:spacing w:val="13"/>
                <w:w w:val="110"/>
                <w:sz w:val="15"/>
              </w:rPr>
              <w:t> </w:t>
            </w:r>
            <w:r>
              <w:rPr>
                <w:color w:val="231F20"/>
                <w:spacing w:val="-2"/>
                <w:w w:val="110"/>
                <w:sz w:val="15"/>
              </w:rPr>
              <w:t>LIST)</w:t>
            </w:r>
            <w:r>
              <w:rPr>
                <w:color w:val="0080AC"/>
                <w:spacing w:val="-2"/>
                <w:w w:val="110"/>
                <w:sz w:val="15"/>
                <w:vertAlign w:val="superscript"/>
              </w:rPr>
              <w:t>‡</w:t>
            </w:r>
          </w:p>
        </w:tc>
        <w:tc>
          <w:tcPr>
            <w:tcW w:w="5557" w:type="dxa"/>
            <w:gridSpan w:val="3"/>
            <w:tcBorders>
              <w:top w:val="single" w:sz="4" w:space="0" w:color="FFFFFF"/>
            </w:tcBorders>
            <w:shd w:val="clear" w:color="auto" w:fill="E8F5F1"/>
          </w:tcPr>
          <w:p>
            <w:pPr>
              <w:pStyle w:val="TableParagraph"/>
              <w:rPr>
                <w:rFonts w:ascii="Times New Roman"/>
                <w:sz w:val="14"/>
              </w:rPr>
            </w:pPr>
          </w:p>
        </w:tc>
      </w:tr>
      <w:tr>
        <w:trPr>
          <w:trHeight w:val="166" w:hRule="atLeast"/>
        </w:trPr>
        <w:tc>
          <w:tcPr>
            <w:tcW w:w="4184" w:type="dxa"/>
            <w:shd w:val="clear" w:color="auto" w:fill="E8F5F1"/>
          </w:tcPr>
          <w:p>
            <w:pPr>
              <w:pStyle w:val="TableParagraph"/>
              <w:spacing w:line="146" w:lineRule="exact"/>
              <w:ind w:left="74"/>
              <w:rPr>
                <w:i/>
                <w:sz w:val="15"/>
              </w:rPr>
            </w:pPr>
            <w:r>
              <w:rPr>
                <w:color w:val="231F20"/>
                <w:sz w:val="15"/>
              </w:rPr>
              <w:t>ACC with spastic</w:t>
            </w:r>
            <w:r>
              <w:rPr>
                <w:color w:val="231F20"/>
                <w:spacing w:val="1"/>
                <w:sz w:val="15"/>
              </w:rPr>
              <w:t> </w:t>
            </w:r>
            <w:r>
              <w:rPr>
                <w:color w:val="231F20"/>
                <w:sz w:val="15"/>
              </w:rPr>
              <w:t>paraparesis </w:t>
            </w:r>
            <w:r>
              <w:rPr>
                <w:i/>
                <w:color w:val="231F20"/>
                <w:sz w:val="15"/>
              </w:rPr>
              <w:t>(SPG11;</w:t>
            </w:r>
            <w:r>
              <w:rPr>
                <w:i/>
                <w:color w:val="231F20"/>
                <w:spacing w:val="1"/>
                <w:sz w:val="15"/>
              </w:rPr>
              <w:t> </w:t>
            </w:r>
            <w:r>
              <w:rPr>
                <w:i/>
                <w:color w:val="231F20"/>
                <w:spacing w:val="-2"/>
                <w:sz w:val="15"/>
              </w:rPr>
              <w:t>SPG15)</w:t>
            </w:r>
          </w:p>
        </w:tc>
        <w:tc>
          <w:tcPr>
            <w:tcW w:w="5557" w:type="dxa"/>
            <w:gridSpan w:val="3"/>
            <w:shd w:val="clear" w:color="auto" w:fill="E8F5F1"/>
          </w:tcPr>
          <w:p>
            <w:pPr>
              <w:pStyle w:val="TableParagraph"/>
              <w:spacing w:line="146" w:lineRule="exact"/>
              <w:ind w:left="976"/>
              <w:rPr>
                <w:sz w:val="15"/>
              </w:rPr>
            </w:pPr>
            <w:r>
              <w:rPr>
                <w:color w:val="231F20"/>
                <w:sz w:val="15"/>
              </w:rPr>
              <w:t>Progressive</w:t>
            </w:r>
            <w:r>
              <w:rPr>
                <w:color w:val="231F20"/>
                <w:spacing w:val="-10"/>
                <w:sz w:val="15"/>
              </w:rPr>
              <w:t> </w:t>
            </w:r>
            <w:r>
              <w:rPr>
                <w:color w:val="231F20"/>
                <w:sz w:val="15"/>
              </w:rPr>
              <w:t>spasticity</w:t>
            </w:r>
            <w:r>
              <w:rPr>
                <w:color w:val="231F20"/>
                <w:spacing w:val="-9"/>
                <w:sz w:val="15"/>
              </w:rPr>
              <w:t> </w:t>
            </w:r>
            <w:r>
              <w:rPr>
                <w:color w:val="231F20"/>
                <w:sz w:val="15"/>
              </w:rPr>
              <w:t>and</w:t>
            </w:r>
            <w:r>
              <w:rPr>
                <w:color w:val="231F20"/>
                <w:spacing w:val="-9"/>
                <w:sz w:val="15"/>
              </w:rPr>
              <w:t> </w:t>
            </w:r>
            <w:r>
              <w:rPr>
                <w:color w:val="231F20"/>
                <w:sz w:val="15"/>
              </w:rPr>
              <w:t>neuropathy,</w:t>
            </w:r>
            <w:r>
              <w:rPr>
                <w:color w:val="231F20"/>
                <w:spacing w:val="-9"/>
                <w:sz w:val="15"/>
              </w:rPr>
              <w:t> </w:t>
            </w:r>
            <w:r>
              <w:rPr>
                <w:color w:val="231F20"/>
                <w:sz w:val="15"/>
              </w:rPr>
              <w:t>thin</w:t>
            </w:r>
            <w:r>
              <w:rPr>
                <w:color w:val="231F20"/>
                <w:spacing w:val="-9"/>
                <w:sz w:val="15"/>
              </w:rPr>
              <w:t> </w:t>
            </w:r>
            <w:r>
              <w:rPr>
                <w:color w:val="231F20"/>
                <w:sz w:val="15"/>
              </w:rPr>
              <w:t>corpus</w:t>
            </w:r>
            <w:r>
              <w:rPr>
                <w:color w:val="231F20"/>
                <w:spacing w:val="-9"/>
                <w:sz w:val="15"/>
              </w:rPr>
              <w:t> </w:t>
            </w:r>
            <w:r>
              <w:rPr>
                <w:color w:val="231F20"/>
                <w:spacing w:val="-2"/>
                <w:sz w:val="15"/>
              </w:rPr>
              <w:t>callosum</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Craniofrontonasal</w:t>
            </w:r>
            <w:r>
              <w:rPr>
                <w:color w:val="231F20"/>
                <w:spacing w:val="-11"/>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Coronal craniosynostosis,</w:t>
            </w:r>
            <w:r>
              <w:rPr>
                <w:color w:val="231F20"/>
                <w:spacing w:val="-1"/>
                <w:sz w:val="15"/>
              </w:rPr>
              <w:t> </w:t>
            </w:r>
            <w:r>
              <w:rPr>
                <w:color w:val="231F20"/>
                <w:spacing w:val="-2"/>
                <w:sz w:val="15"/>
              </w:rPr>
              <w:t>facial</w:t>
            </w:r>
            <w:r>
              <w:rPr>
                <w:color w:val="231F20"/>
                <w:spacing w:val="-1"/>
                <w:sz w:val="15"/>
              </w:rPr>
              <w:t> </w:t>
            </w:r>
            <w:r>
              <w:rPr>
                <w:color w:val="231F20"/>
                <w:spacing w:val="-2"/>
                <w:sz w:val="15"/>
              </w:rPr>
              <w:t>asymmetry,</w:t>
            </w:r>
            <w:r>
              <w:rPr>
                <w:color w:val="231F20"/>
                <w:spacing w:val="-1"/>
                <w:sz w:val="15"/>
              </w:rPr>
              <w:t> </w:t>
            </w:r>
            <w:r>
              <w:rPr>
                <w:color w:val="231F20"/>
                <w:spacing w:val="-2"/>
                <w:sz w:val="15"/>
              </w:rPr>
              <w:t>bifid </w:t>
            </w:r>
            <w:r>
              <w:rPr>
                <w:color w:val="231F20"/>
                <w:spacing w:val="-4"/>
                <w:sz w:val="15"/>
              </w:rPr>
              <w:t>nose</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Fryns</w:t>
            </w:r>
            <w:r>
              <w:rPr>
                <w:color w:val="231F20"/>
                <w:spacing w:val="-7"/>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z w:val="15"/>
              </w:rPr>
              <w:t>CDH,</w:t>
            </w:r>
            <w:r>
              <w:rPr>
                <w:color w:val="231F20"/>
                <w:spacing w:val="-10"/>
                <w:sz w:val="15"/>
              </w:rPr>
              <w:t> </w:t>
            </w:r>
            <w:r>
              <w:rPr>
                <w:color w:val="231F20"/>
                <w:sz w:val="15"/>
              </w:rPr>
              <w:t>pulmonary</w:t>
            </w:r>
            <w:r>
              <w:rPr>
                <w:color w:val="231F20"/>
                <w:spacing w:val="-10"/>
                <w:sz w:val="15"/>
              </w:rPr>
              <w:t> </w:t>
            </w:r>
            <w:r>
              <w:rPr>
                <w:color w:val="231F20"/>
                <w:sz w:val="15"/>
              </w:rPr>
              <w:t>hypoplasia,</w:t>
            </w:r>
            <w:r>
              <w:rPr>
                <w:color w:val="231F20"/>
                <w:spacing w:val="-10"/>
                <w:sz w:val="15"/>
              </w:rPr>
              <w:t> </w:t>
            </w:r>
            <w:r>
              <w:rPr>
                <w:color w:val="231F20"/>
                <w:sz w:val="15"/>
              </w:rPr>
              <w:t>craniofacial</w:t>
            </w:r>
            <w:r>
              <w:rPr>
                <w:color w:val="231F20"/>
                <w:spacing w:val="-10"/>
                <w:sz w:val="15"/>
              </w:rPr>
              <w:t> </w:t>
            </w:r>
            <w:r>
              <w:rPr>
                <w:color w:val="231F20"/>
                <w:spacing w:val="-2"/>
                <w:sz w:val="15"/>
              </w:rPr>
              <w:t>changes</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Marden-Walker</w:t>
            </w:r>
            <w:r>
              <w:rPr>
                <w:color w:val="231F20"/>
                <w:spacing w:val="11"/>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Blepharophimosis,</w:t>
            </w:r>
            <w:r>
              <w:rPr>
                <w:color w:val="231F20"/>
                <w:spacing w:val="5"/>
                <w:sz w:val="15"/>
              </w:rPr>
              <w:t> </w:t>
            </w:r>
            <w:r>
              <w:rPr>
                <w:color w:val="231F20"/>
                <w:spacing w:val="-2"/>
                <w:sz w:val="15"/>
              </w:rPr>
              <w:t>micrognathia,</w:t>
            </w:r>
            <w:r>
              <w:rPr>
                <w:color w:val="231F20"/>
                <w:spacing w:val="5"/>
                <w:sz w:val="15"/>
              </w:rPr>
              <w:t> </w:t>
            </w:r>
            <w:r>
              <w:rPr>
                <w:color w:val="231F20"/>
                <w:spacing w:val="-2"/>
                <w:sz w:val="15"/>
              </w:rPr>
              <w:t>contractures,</w:t>
            </w:r>
            <w:r>
              <w:rPr>
                <w:color w:val="231F20"/>
                <w:spacing w:val="5"/>
                <w:sz w:val="15"/>
              </w:rPr>
              <w:t> </w:t>
            </w:r>
            <w:r>
              <w:rPr>
                <w:color w:val="231F20"/>
                <w:spacing w:val="-5"/>
                <w:sz w:val="15"/>
              </w:rPr>
              <w:t>ACC</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Meckel-Gruber</w:t>
            </w:r>
            <w:r>
              <w:rPr>
                <w:color w:val="231F20"/>
                <w:spacing w:val="10"/>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Encephalocele, polydactyly,</w:t>
            </w:r>
            <w:r>
              <w:rPr>
                <w:color w:val="231F20"/>
                <w:spacing w:val="-1"/>
                <w:sz w:val="15"/>
              </w:rPr>
              <w:t> </w:t>
            </w:r>
            <w:r>
              <w:rPr>
                <w:color w:val="231F20"/>
                <w:spacing w:val="-2"/>
                <w:sz w:val="15"/>
              </w:rPr>
              <w:t>polycystic</w:t>
            </w:r>
            <w:r>
              <w:rPr>
                <w:color w:val="231F20"/>
                <w:spacing w:val="-1"/>
                <w:sz w:val="15"/>
              </w:rPr>
              <w:t> </w:t>
            </w:r>
            <w:r>
              <w:rPr>
                <w:color w:val="231F20"/>
                <w:spacing w:val="-2"/>
                <w:sz w:val="15"/>
              </w:rPr>
              <w:t>kidneys</w:t>
            </w:r>
          </w:p>
        </w:tc>
      </w:tr>
      <w:tr>
        <w:trPr>
          <w:trHeight w:val="168" w:hRule="atLeast"/>
        </w:trPr>
        <w:tc>
          <w:tcPr>
            <w:tcW w:w="4184" w:type="dxa"/>
            <w:shd w:val="clear" w:color="auto" w:fill="E8F5F1"/>
          </w:tcPr>
          <w:p>
            <w:pPr>
              <w:pStyle w:val="TableParagraph"/>
              <w:spacing w:line="149" w:lineRule="exact"/>
              <w:ind w:left="74"/>
              <w:rPr>
                <w:i/>
                <w:sz w:val="15"/>
              </w:rPr>
            </w:pPr>
            <w:r>
              <w:rPr>
                <w:color w:val="231F20"/>
                <w:sz w:val="15"/>
              </w:rPr>
              <w:t>Nonketotic</w:t>
            </w:r>
            <w:r>
              <w:rPr>
                <w:color w:val="231F20"/>
                <w:spacing w:val="4"/>
                <w:sz w:val="15"/>
              </w:rPr>
              <w:t> </w:t>
            </w:r>
            <w:r>
              <w:rPr>
                <w:color w:val="231F20"/>
                <w:sz w:val="15"/>
              </w:rPr>
              <w:t>hyperglycinemia</w:t>
            </w:r>
            <w:r>
              <w:rPr>
                <w:color w:val="231F20"/>
                <w:spacing w:val="4"/>
                <w:sz w:val="15"/>
              </w:rPr>
              <w:t> </w:t>
            </w:r>
            <w:r>
              <w:rPr>
                <w:i/>
                <w:color w:val="231F20"/>
                <w:sz w:val="15"/>
              </w:rPr>
              <w:t>(GLDC,</w:t>
            </w:r>
            <w:r>
              <w:rPr>
                <w:i/>
                <w:color w:val="231F20"/>
                <w:spacing w:val="4"/>
                <w:sz w:val="15"/>
              </w:rPr>
              <w:t> </w:t>
            </w:r>
            <w:r>
              <w:rPr>
                <w:i/>
                <w:color w:val="231F20"/>
                <w:sz w:val="15"/>
              </w:rPr>
              <w:t>GCST,</w:t>
            </w:r>
            <w:r>
              <w:rPr>
                <w:i/>
                <w:color w:val="231F20"/>
                <w:spacing w:val="4"/>
                <w:sz w:val="15"/>
              </w:rPr>
              <w:t> </w:t>
            </w:r>
            <w:r>
              <w:rPr>
                <w:i/>
                <w:color w:val="231F20"/>
                <w:spacing w:val="-2"/>
                <w:sz w:val="15"/>
              </w:rPr>
              <w:t>GCSH)</w:t>
            </w:r>
          </w:p>
        </w:tc>
        <w:tc>
          <w:tcPr>
            <w:tcW w:w="5557" w:type="dxa"/>
            <w:gridSpan w:val="3"/>
            <w:shd w:val="clear" w:color="auto" w:fill="E8F5F1"/>
          </w:tcPr>
          <w:p>
            <w:pPr>
              <w:pStyle w:val="TableParagraph"/>
              <w:spacing w:line="149" w:lineRule="exact"/>
              <w:ind w:left="976"/>
              <w:rPr>
                <w:sz w:val="15"/>
              </w:rPr>
            </w:pPr>
            <w:r>
              <w:rPr>
                <w:color w:val="231F20"/>
                <w:sz w:val="15"/>
              </w:rPr>
              <w:t>ACC,</w:t>
            </w:r>
            <w:r>
              <w:rPr>
                <w:color w:val="231F20"/>
                <w:spacing w:val="-10"/>
                <w:sz w:val="15"/>
              </w:rPr>
              <w:t> </w:t>
            </w:r>
            <w:r>
              <w:rPr>
                <w:color w:val="231F20"/>
                <w:sz w:val="15"/>
              </w:rPr>
              <w:t>cerebral</w:t>
            </w:r>
            <w:r>
              <w:rPr>
                <w:color w:val="231F20"/>
                <w:spacing w:val="-9"/>
                <w:sz w:val="15"/>
              </w:rPr>
              <w:t> </w:t>
            </w:r>
            <w:r>
              <w:rPr>
                <w:color w:val="231F20"/>
                <w:sz w:val="15"/>
              </w:rPr>
              <w:t>and</w:t>
            </w:r>
            <w:r>
              <w:rPr>
                <w:color w:val="231F20"/>
                <w:spacing w:val="-9"/>
                <w:sz w:val="15"/>
              </w:rPr>
              <w:t> </w:t>
            </w:r>
            <w:r>
              <w:rPr>
                <w:color w:val="231F20"/>
                <w:sz w:val="15"/>
              </w:rPr>
              <w:t>cerebellar</w:t>
            </w:r>
            <w:r>
              <w:rPr>
                <w:color w:val="231F20"/>
                <w:spacing w:val="-9"/>
                <w:sz w:val="15"/>
              </w:rPr>
              <w:t> </w:t>
            </w:r>
            <w:r>
              <w:rPr>
                <w:color w:val="231F20"/>
                <w:sz w:val="15"/>
              </w:rPr>
              <w:t>atrophy,</w:t>
            </w:r>
            <w:r>
              <w:rPr>
                <w:color w:val="231F20"/>
                <w:spacing w:val="-9"/>
                <w:sz w:val="15"/>
              </w:rPr>
              <w:t> </w:t>
            </w:r>
            <w:r>
              <w:rPr>
                <w:color w:val="231F20"/>
                <w:sz w:val="15"/>
              </w:rPr>
              <w:t>myoclonus,</w:t>
            </w:r>
            <w:r>
              <w:rPr>
                <w:color w:val="231F20"/>
                <w:spacing w:val="-9"/>
                <w:sz w:val="15"/>
              </w:rPr>
              <w:t> </w:t>
            </w:r>
            <w:r>
              <w:rPr>
                <w:color w:val="231F20"/>
                <w:spacing w:val="-2"/>
                <w:sz w:val="15"/>
              </w:rPr>
              <w:t>progressive</w:t>
            </w:r>
          </w:p>
        </w:tc>
      </w:tr>
      <w:tr>
        <w:trPr>
          <w:trHeight w:val="168" w:hRule="atLeast"/>
        </w:trPr>
        <w:tc>
          <w:tcPr>
            <w:tcW w:w="4184" w:type="dxa"/>
            <w:shd w:val="clear" w:color="auto" w:fill="E8F5F1"/>
          </w:tcPr>
          <w:p>
            <w:pPr>
              <w:pStyle w:val="TableParagraph"/>
              <w:rPr>
                <w:rFonts w:ascii="Times New Roman"/>
                <w:sz w:val="10"/>
              </w:rPr>
            </w:pPr>
          </w:p>
        </w:tc>
        <w:tc>
          <w:tcPr>
            <w:tcW w:w="5557" w:type="dxa"/>
            <w:gridSpan w:val="3"/>
            <w:shd w:val="clear" w:color="auto" w:fill="E8F5F1"/>
          </w:tcPr>
          <w:p>
            <w:pPr>
              <w:pStyle w:val="TableParagraph"/>
              <w:spacing w:line="149" w:lineRule="exact"/>
              <w:ind w:left="1088"/>
              <w:rPr>
                <w:sz w:val="15"/>
              </w:rPr>
            </w:pPr>
            <w:r>
              <w:rPr>
                <w:color w:val="231F20"/>
                <w:spacing w:val="-2"/>
                <w:sz w:val="15"/>
              </w:rPr>
              <w:t>encephalopathy</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Microphthalmia</w:t>
            </w:r>
            <w:r>
              <w:rPr>
                <w:color w:val="231F20"/>
                <w:spacing w:val="1"/>
                <w:sz w:val="15"/>
              </w:rPr>
              <w:t> </w:t>
            </w:r>
            <w:r>
              <w:rPr>
                <w:color w:val="231F20"/>
                <w:spacing w:val="-2"/>
                <w:sz w:val="15"/>
              </w:rPr>
              <w:t>with</w:t>
            </w:r>
            <w:r>
              <w:rPr>
                <w:color w:val="231F20"/>
                <w:spacing w:val="1"/>
                <w:sz w:val="15"/>
              </w:rPr>
              <w:t> </w:t>
            </w:r>
            <w:r>
              <w:rPr>
                <w:color w:val="231F20"/>
                <w:spacing w:val="-2"/>
                <w:sz w:val="15"/>
              </w:rPr>
              <w:t>linear</w:t>
            </w:r>
            <w:r>
              <w:rPr>
                <w:color w:val="231F20"/>
                <w:spacing w:val="1"/>
                <w:sz w:val="15"/>
              </w:rPr>
              <w:t> </w:t>
            </w:r>
            <w:r>
              <w:rPr>
                <w:color w:val="231F20"/>
                <w:spacing w:val="-2"/>
                <w:sz w:val="15"/>
              </w:rPr>
              <w:t>skin</w:t>
            </w:r>
            <w:r>
              <w:rPr>
                <w:color w:val="231F20"/>
                <w:spacing w:val="2"/>
                <w:sz w:val="15"/>
              </w:rPr>
              <w:t> </w:t>
            </w:r>
            <w:r>
              <w:rPr>
                <w:color w:val="231F20"/>
                <w:spacing w:val="-2"/>
                <w:sz w:val="15"/>
              </w:rPr>
              <w:t>defects</w:t>
            </w:r>
          </w:p>
        </w:tc>
        <w:tc>
          <w:tcPr>
            <w:tcW w:w="5557" w:type="dxa"/>
            <w:gridSpan w:val="3"/>
            <w:shd w:val="clear" w:color="auto" w:fill="E8F5F1"/>
          </w:tcPr>
          <w:p>
            <w:pPr>
              <w:pStyle w:val="TableParagraph"/>
              <w:spacing w:line="149" w:lineRule="exact"/>
              <w:ind w:left="976"/>
              <w:rPr>
                <w:sz w:val="15"/>
              </w:rPr>
            </w:pPr>
            <w:r>
              <w:rPr>
                <w:color w:val="231F20"/>
                <w:spacing w:val="-2"/>
                <w:sz w:val="15"/>
              </w:rPr>
              <w:t>Microphthalmia,</w:t>
            </w:r>
            <w:r>
              <w:rPr>
                <w:color w:val="231F20"/>
                <w:spacing w:val="-1"/>
                <w:sz w:val="15"/>
              </w:rPr>
              <w:t> </w:t>
            </w:r>
            <w:r>
              <w:rPr>
                <w:color w:val="231F20"/>
                <w:spacing w:val="-2"/>
                <w:sz w:val="15"/>
              </w:rPr>
              <w:t>linear</w:t>
            </w:r>
            <w:r>
              <w:rPr>
                <w:color w:val="231F20"/>
                <w:sz w:val="15"/>
              </w:rPr>
              <w:t> </w:t>
            </w:r>
            <w:r>
              <w:rPr>
                <w:color w:val="231F20"/>
                <w:spacing w:val="-2"/>
                <w:sz w:val="15"/>
              </w:rPr>
              <w:t>skin</w:t>
            </w:r>
            <w:r>
              <w:rPr>
                <w:color w:val="231F20"/>
                <w:sz w:val="15"/>
              </w:rPr>
              <w:t> </w:t>
            </w:r>
            <w:r>
              <w:rPr>
                <w:color w:val="231F20"/>
                <w:spacing w:val="-2"/>
                <w:sz w:val="15"/>
              </w:rPr>
              <w:t>markings,</w:t>
            </w:r>
            <w:r>
              <w:rPr>
                <w:color w:val="231F20"/>
                <w:sz w:val="15"/>
              </w:rPr>
              <w:t> </w:t>
            </w:r>
            <w:r>
              <w:rPr>
                <w:color w:val="231F20"/>
                <w:spacing w:val="-2"/>
                <w:sz w:val="15"/>
              </w:rPr>
              <w:t>seizures</w:t>
            </w:r>
          </w:p>
        </w:tc>
      </w:tr>
      <w:tr>
        <w:trPr>
          <w:trHeight w:val="169" w:hRule="atLeast"/>
        </w:trPr>
        <w:tc>
          <w:tcPr>
            <w:tcW w:w="4184" w:type="dxa"/>
            <w:shd w:val="clear" w:color="auto" w:fill="E8F5F1"/>
          </w:tcPr>
          <w:p>
            <w:pPr>
              <w:pStyle w:val="TableParagraph"/>
              <w:spacing w:line="149" w:lineRule="exact"/>
              <w:ind w:left="74"/>
              <w:rPr>
                <w:sz w:val="15"/>
              </w:rPr>
            </w:pPr>
            <w:r>
              <w:rPr>
                <w:color w:val="231F20"/>
                <w:w w:val="105"/>
                <w:sz w:val="15"/>
              </w:rPr>
              <w:t>Opitz</w:t>
            </w:r>
            <w:r>
              <w:rPr>
                <w:color w:val="231F20"/>
                <w:spacing w:val="-4"/>
                <w:w w:val="105"/>
                <w:sz w:val="15"/>
              </w:rPr>
              <w:t> </w:t>
            </w:r>
            <w:r>
              <w:rPr>
                <w:color w:val="231F20"/>
                <w:w w:val="105"/>
                <w:sz w:val="15"/>
              </w:rPr>
              <w:t>G</w:t>
            </w:r>
            <w:r>
              <w:rPr>
                <w:color w:val="231F20"/>
                <w:spacing w:val="-4"/>
                <w:w w:val="105"/>
                <w:sz w:val="15"/>
              </w:rPr>
              <w:t> </w:t>
            </w:r>
            <w:r>
              <w:rPr>
                <w:color w:val="231F20"/>
                <w:spacing w:val="-2"/>
                <w:w w:val="105"/>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Pharyngeal</w:t>
            </w:r>
            <w:r>
              <w:rPr>
                <w:color w:val="231F20"/>
                <w:spacing w:val="1"/>
                <w:sz w:val="15"/>
              </w:rPr>
              <w:t> </w:t>
            </w:r>
            <w:r>
              <w:rPr>
                <w:color w:val="231F20"/>
                <w:spacing w:val="-2"/>
                <w:sz w:val="15"/>
              </w:rPr>
              <w:t>cleft,</w:t>
            </w:r>
            <w:r>
              <w:rPr>
                <w:color w:val="231F20"/>
                <w:spacing w:val="2"/>
                <w:sz w:val="15"/>
              </w:rPr>
              <w:t> </w:t>
            </w:r>
            <w:r>
              <w:rPr>
                <w:color w:val="231F20"/>
                <w:spacing w:val="-2"/>
                <w:sz w:val="15"/>
              </w:rPr>
              <w:t>craniofacial</w:t>
            </w:r>
            <w:r>
              <w:rPr>
                <w:color w:val="231F20"/>
                <w:spacing w:val="1"/>
                <w:sz w:val="15"/>
              </w:rPr>
              <w:t> </w:t>
            </w:r>
            <w:r>
              <w:rPr>
                <w:color w:val="231F20"/>
                <w:spacing w:val="-2"/>
                <w:sz w:val="15"/>
              </w:rPr>
              <w:t>changes,</w:t>
            </w:r>
            <w:r>
              <w:rPr>
                <w:color w:val="231F20"/>
                <w:spacing w:val="2"/>
                <w:sz w:val="15"/>
              </w:rPr>
              <w:t> </w:t>
            </w:r>
            <w:r>
              <w:rPr>
                <w:color w:val="231F20"/>
                <w:spacing w:val="-2"/>
                <w:sz w:val="15"/>
              </w:rPr>
              <w:t>ACC,</w:t>
            </w:r>
            <w:r>
              <w:rPr>
                <w:color w:val="231F20"/>
                <w:spacing w:val="1"/>
                <w:sz w:val="15"/>
              </w:rPr>
              <w:t> </w:t>
            </w:r>
            <w:r>
              <w:rPr>
                <w:color w:val="231F20"/>
                <w:spacing w:val="-5"/>
                <w:sz w:val="15"/>
              </w:rPr>
              <w:t>MR</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Orofaciodigital</w:t>
            </w:r>
            <w:r>
              <w:rPr>
                <w:color w:val="231F20"/>
                <w:spacing w:val="-9"/>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pacing w:val="-2"/>
                <w:sz w:val="15"/>
              </w:rPr>
              <w:t>Tongue</w:t>
            </w:r>
            <w:r>
              <w:rPr>
                <w:color w:val="231F20"/>
                <w:spacing w:val="6"/>
                <w:sz w:val="15"/>
              </w:rPr>
              <w:t> </w:t>
            </w:r>
            <w:r>
              <w:rPr>
                <w:color w:val="231F20"/>
                <w:spacing w:val="-2"/>
                <w:sz w:val="15"/>
              </w:rPr>
              <w:t>hamartoma,</w:t>
            </w:r>
            <w:r>
              <w:rPr>
                <w:color w:val="231F20"/>
                <w:spacing w:val="7"/>
                <w:sz w:val="15"/>
              </w:rPr>
              <w:t> </w:t>
            </w:r>
            <w:r>
              <w:rPr>
                <w:color w:val="231F20"/>
                <w:spacing w:val="-2"/>
                <w:sz w:val="15"/>
              </w:rPr>
              <w:t>microretrognathia,</w:t>
            </w:r>
            <w:r>
              <w:rPr>
                <w:color w:val="231F20"/>
                <w:spacing w:val="6"/>
                <w:sz w:val="15"/>
              </w:rPr>
              <w:t> </w:t>
            </w:r>
            <w:r>
              <w:rPr>
                <w:color w:val="231F20"/>
                <w:spacing w:val="-2"/>
                <w:sz w:val="15"/>
              </w:rPr>
              <w:t>clinodactyly</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Pyruvate</w:t>
            </w:r>
            <w:r>
              <w:rPr>
                <w:color w:val="231F20"/>
                <w:spacing w:val="2"/>
                <w:sz w:val="15"/>
              </w:rPr>
              <w:t> </w:t>
            </w:r>
            <w:r>
              <w:rPr>
                <w:color w:val="231F20"/>
                <w:spacing w:val="-2"/>
                <w:sz w:val="15"/>
              </w:rPr>
              <w:t>decarboxylase</w:t>
            </w:r>
            <w:r>
              <w:rPr>
                <w:color w:val="231F20"/>
                <w:spacing w:val="2"/>
                <w:sz w:val="15"/>
              </w:rPr>
              <w:t> </w:t>
            </w:r>
            <w:r>
              <w:rPr>
                <w:color w:val="231F20"/>
                <w:spacing w:val="-2"/>
                <w:sz w:val="15"/>
              </w:rPr>
              <w:t>deficiency</w:t>
            </w:r>
          </w:p>
        </w:tc>
        <w:tc>
          <w:tcPr>
            <w:tcW w:w="5557" w:type="dxa"/>
            <w:gridSpan w:val="3"/>
            <w:shd w:val="clear" w:color="auto" w:fill="E8F5F1"/>
          </w:tcPr>
          <w:p>
            <w:pPr>
              <w:pStyle w:val="TableParagraph"/>
              <w:spacing w:line="149" w:lineRule="exact"/>
              <w:ind w:left="976"/>
              <w:rPr>
                <w:sz w:val="15"/>
              </w:rPr>
            </w:pPr>
            <w:r>
              <w:rPr>
                <w:color w:val="231F20"/>
                <w:sz w:val="15"/>
              </w:rPr>
              <w:t>Lactic</w:t>
            </w:r>
            <w:r>
              <w:rPr>
                <w:color w:val="231F20"/>
                <w:spacing w:val="-8"/>
                <w:sz w:val="15"/>
              </w:rPr>
              <w:t> </w:t>
            </w:r>
            <w:r>
              <w:rPr>
                <w:color w:val="231F20"/>
                <w:sz w:val="15"/>
              </w:rPr>
              <w:t>acidosis,</w:t>
            </w:r>
            <w:r>
              <w:rPr>
                <w:color w:val="231F20"/>
                <w:spacing w:val="-8"/>
                <w:sz w:val="15"/>
              </w:rPr>
              <w:t> </w:t>
            </w:r>
            <w:r>
              <w:rPr>
                <w:color w:val="231F20"/>
                <w:sz w:val="15"/>
              </w:rPr>
              <w:t>seizures,</w:t>
            </w:r>
            <w:r>
              <w:rPr>
                <w:color w:val="231F20"/>
                <w:spacing w:val="-7"/>
                <w:sz w:val="15"/>
              </w:rPr>
              <w:t> </w:t>
            </w:r>
            <w:r>
              <w:rPr>
                <w:color w:val="231F20"/>
                <w:sz w:val="15"/>
              </w:rPr>
              <w:t>severe</w:t>
            </w:r>
            <w:r>
              <w:rPr>
                <w:color w:val="231F20"/>
                <w:spacing w:val="-8"/>
                <w:sz w:val="15"/>
              </w:rPr>
              <w:t> </w:t>
            </w:r>
            <w:r>
              <w:rPr>
                <w:color w:val="231F20"/>
                <w:sz w:val="15"/>
              </w:rPr>
              <w:t>MR</w:t>
            </w:r>
            <w:r>
              <w:rPr>
                <w:color w:val="231F20"/>
                <w:spacing w:val="-8"/>
                <w:sz w:val="15"/>
              </w:rPr>
              <w:t> </w:t>
            </w:r>
            <w:r>
              <w:rPr>
                <w:color w:val="231F20"/>
                <w:sz w:val="15"/>
              </w:rPr>
              <w:t>and</w:t>
            </w:r>
            <w:r>
              <w:rPr>
                <w:color w:val="231F20"/>
                <w:spacing w:val="-7"/>
                <w:sz w:val="15"/>
              </w:rPr>
              <w:t> </w:t>
            </w:r>
            <w:r>
              <w:rPr>
                <w:color w:val="231F20"/>
                <w:spacing w:val="-2"/>
                <w:sz w:val="15"/>
              </w:rPr>
              <w:t>spasticity</w:t>
            </w:r>
          </w:p>
        </w:tc>
      </w:tr>
      <w:tr>
        <w:trPr>
          <w:trHeight w:val="169" w:hRule="atLeast"/>
        </w:trPr>
        <w:tc>
          <w:tcPr>
            <w:tcW w:w="4184" w:type="dxa"/>
            <w:shd w:val="clear" w:color="auto" w:fill="E8F5F1"/>
          </w:tcPr>
          <w:p>
            <w:pPr>
              <w:pStyle w:val="TableParagraph"/>
              <w:spacing w:line="149" w:lineRule="exact"/>
              <w:ind w:left="74"/>
              <w:rPr>
                <w:sz w:val="15"/>
              </w:rPr>
            </w:pPr>
            <w:r>
              <w:rPr>
                <w:color w:val="231F20"/>
                <w:spacing w:val="-2"/>
                <w:sz w:val="15"/>
              </w:rPr>
              <w:t>Rubinstein-Taybi</w:t>
            </w:r>
            <w:r>
              <w:rPr>
                <w:color w:val="231F20"/>
                <w:spacing w:val="10"/>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z w:val="15"/>
              </w:rPr>
              <w:t>Broad</w:t>
            </w:r>
            <w:r>
              <w:rPr>
                <w:color w:val="231F20"/>
                <w:spacing w:val="3"/>
                <w:sz w:val="15"/>
              </w:rPr>
              <w:t> </w:t>
            </w:r>
            <w:r>
              <w:rPr>
                <w:color w:val="231F20"/>
                <w:sz w:val="15"/>
              </w:rPr>
              <w:t>thumbs</w:t>
            </w:r>
            <w:r>
              <w:rPr>
                <w:color w:val="231F20"/>
                <w:spacing w:val="3"/>
                <w:sz w:val="15"/>
              </w:rPr>
              <w:t> </w:t>
            </w:r>
            <w:r>
              <w:rPr>
                <w:color w:val="231F20"/>
                <w:sz w:val="15"/>
              </w:rPr>
              <w:t>and</w:t>
            </w:r>
            <w:r>
              <w:rPr>
                <w:color w:val="231F20"/>
                <w:spacing w:val="3"/>
                <w:sz w:val="15"/>
              </w:rPr>
              <w:t> </w:t>
            </w:r>
            <w:r>
              <w:rPr>
                <w:color w:val="231F20"/>
                <w:sz w:val="15"/>
              </w:rPr>
              <w:t>great</w:t>
            </w:r>
            <w:r>
              <w:rPr>
                <w:color w:val="231F20"/>
                <w:spacing w:val="3"/>
                <w:sz w:val="15"/>
              </w:rPr>
              <w:t> </w:t>
            </w:r>
            <w:r>
              <w:rPr>
                <w:color w:val="231F20"/>
                <w:sz w:val="15"/>
              </w:rPr>
              <w:t>toes,</w:t>
            </w:r>
            <w:r>
              <w:rPr>
                <w:color w:val="231F20"/>
                <w:spacing w:val="4"/>
                <w:sz w:val="15"/>
              </w:rPr>
              <w:t> </w:t>
            </w:r>
            <w:r>
              <w:rPr>
                <w:color w:val="231F20"/>
                <w:sz w:val="15"/>
              </w:rPr>
              <w:t>MR,</w:t>
            </w:r>
            <w:r>
              <w:rPr>
                <w:color w:val="231F20"/>
                <w:spacing w:val="3"/>
                <w:sz w:val="15"/>
              </w:rPr>
              <w:t> </w:t>
            </w:r>
            <w:r>
              <w:rPr>
                <w:color w:val="231F20"/>
                <w:spacing w:val="-2"/>
                <w:sz w:val="15"/>
              </w:rPr>
              <w:t>microcephaly</w:t>
            </w:r>
          </w:p>
        </w:tc>
      </w:tr>
      <w:tr>
        <w:trPr>
          <w:trHeight w:val="169" w:hRule="atLeast"/>
        </w:trPr>
        <w:tc>
          <w:tcPr>
            <w:tcW w:w="4184" w:type="dxa"/>
            <w:shd w:val="clear" w:color="auto" w:fill="E8F5F1"/>
          </w:tcPr>
          <w:p>
            <w:pPr>
              <w:pStyle w:val="TableParagraph"/>
              <w:spacing w:line="149" w:lineRule="exact"/>
              <w:ind w:left="74"/>
              <w:rPr>
                <w:sz w:val="15"/>
              </w:rPr>
            </w:pPr>
            <w:r>
              <w:rPr>
                <w:color w:val="231F20"/>
                <w:sz w:val="15"/>
              </w:rPr>
              <w:t>Septooptic</w:t>
            </w:r>
            <w:r>
              <w:rPr>
                <w:color w:val="231F20"/>
                <w:spacing w:val="3"/>
                <w:sz w:val="15"/>
              </w:rPr>
              <w:t> </w:t>
            </w:r>
            <w:r>
              <w:rPr>
                <w:color w:val="231F20"/>
                <w:sz w:val="15"/>
              </w:rPr>
              <w:t>dysplasia</w:t>
            </w:r>
            <w:r>
              <w:rPr>
                <w:color w:val="231F20"/>
                <w:spacing w:val="3"/>
                <w:sz w:val="15"/>
              </w:rPr>
              <w:t> </w:t>
            </w:r>
            <w:r>
              <w:rPr>
                <w:color w:val="231F20"/>
                <w:sz w:val="15"/>
              </w:rPr>
              <w:t>(de</w:t>
            </w:r>
            <w:r>
              <w:rPr>
                <w:color w:val="231F20"/>
                <w:spacing w:val="3"/>
                <w:sz w:val="15"/>
              </w:rPr>
              <w:t> </w:t>
            </w:r>
            <w:r>
              <w:rPr>
                <w:color w:val="231F20"/>
                <w:sz w:val="15"/>
              </w:rPr>
              <w:t>Morsier</w:t>
            </w:r>
            <w:r>
              <w:rPr>
                <w:color w:val="231F20"/>
                <w:spacing w:val="4"/>
                <w:sz w:val="15"/>
              </w:rPr>
              <w:t> </w:t>
            </w:r>
            <w:r>
              <w:rPr>
                <w:color w:val="231F20"/>
                <w:spacing w:val="-2"/>
                <w:sz w:val="15"/>
              </w:rPr>
              <w:t>syndrome)</w:t>
            </w:r>
          </w:p>
        </w:tc>
        <w:tc>
          <w:tcPr>
            <w:tcW w:w="5557" w:type="dxa"/>
            <w:gridSpan w:val="3"/>
            <w:shd w:val="clear" w:color="auto" w:fill="E8F5F1"/>
          </w:tcPr>
          <w:p>
            <w:pPr>
              <w:pStyle w:val="TableParagraph"/>
              <w:spacing w:line="149" w:lineRule="exact"/>
              <w:ind w:left="976"/>
              <w:rPr>
                <w:sz w:val="15"/>
              </w:rPr>
            </w:pPr>
            <w:r>
              <w:rPr>
                <w:color w:val="231F20"/>
                <w:sz w:val="15"/>
              </w:rPr>
              <w:t>Hypoplasia</w:t>
            </w:r>
            <w:r>
              <w:rPr>
                <w:color w:val="231F20"/>
                <w:spacing w:val="1"/>
                <w:sz w:val="15"/>
              </w:rPr>
              <w:t> </w:t>
            </w:r>
            <w:r>
              <w:rPr>
                <w:color w:val="231F20"/>
                <w:sz w:val="15"/>
              </w:rPr>
              <w:t>of</w:t>
            </w:r>
            <w:r>
              <w:rPr>
                <w:color w:val="231F20"/>
                <w:spacing w:val="2"/>
                <w:sz w:val="15"/>
              </w:rPr>
              <w:t> </w:t>
            </w:r>
            <w:r>
              <w:rPr>
                <w:color w:val="231F20"/>
                <w:sz w:val="15"/>
              </w:rPr>
              <w:t>septum</w:t>
            </w:r>
            <w:r>
              <w:rPr>
                <w:color w:val="231F20"/>
                <w:spacing w:val="2"/>
                <w:sz w:val="15"/>
              </w:rPr>
              <w:t> </w:t>
            </w:r>
            <w:r>
              <w:rPr>
                <w:color w:val="231F20"/>
                <w:sz w:val="15"/>
              </w:rPr>
              <w:t>pellucidum</w:t>
            </w:r>
            <w:r>
              <w:rPr>
                <w:color w:val="231F20"/>
                <w:spacing w:val="2"/>
                <w:sz w:val="15"/>
              </w:rPr>
              <w:t> </w:t>
            </w:r>
            <w:r>
              <w:rPr>
                <w:color w:val="231F20"/>
                <w:sz w:val="15"/>
              </w:rPr>
              <w:t>and</w:t>
            </w:r>
            <w:r>
              <w:rPr>
                <w:color w:val="231F20"/>
                <w:spacing w:val="1"/>
                <w:sz w:val="15"/>
              </w:rPr>
              <w:t> </w:t>
            </w:r>
            <w:r>
              <w:rPr>
                <w:color w:val="231F20"/>
                <w:sz w:val="15"/>
              </w:rPr>
              <w:t>optic</w:t>
            </w:r>
            <w:r>
              <w:rPr>
                <w:color w:val="231F20"/>
                <w:spacing w:val="2"/>
                <w:sz w:val="15"/>
              </w:rPr>
              <w:t> </w:t>
            </w:r>
            <w:r>
              <w:rPr>
                <w:color w:val="231F20"/>
                <w:spacing w:val="-2"/>
                <w:sz w:val="15"/>
              </w:rPr>
              <w:t>chiasm</w:t>
            </w:r>
          </w:p>
        </w:tc>
      </w:tr>
      <w:tr>
        <w:trPr>
          <w:trHeight w:val="169" w:hRule="atLeast"/>
        </w:trPr>
        <w:tc>
          <w:tcPr>
            <w:tcW w:w="4184" w:type="dxa"/>
            <w:shd w:val="clear" w:color="auto" w:fill="E8F5F1"/>
          </w:tcPr>
          <w:p>
            <w:pPr>
              <w:pStyle w:val="TableParagraph"/>
              <w:spacing w:line="149" w:lineRule="exact"/>
              <w:ind w:left="74"/>
              <w:rPr>
                <w:sz w:val="15"/>
              </w:rPr>
            </w:pPr>
            <w:r>
              <w:rPr>
                <w:color w:val="231F20"/>
                <w:w w:val="105"/>
                <w:sz w:val="15"/>
              </w:rPr>
              <w:t>Sotos</w:t>
            </w:r>
            <w:r>
              <w:rPr>
                <w:color w:val="231F20"/>
                <w:spacing w:val="-2"/>
                <w:w w:val="105"/>
                <w:sz w:val="15"/>
              </w:rPr>
              <w:t> syndrome</w:t>
            </w:r>
          </w:p>
        </w:tc>
        <w:tc>
          <w:tcPr>
            <w:tcW w:w="5557" w:type="dxa"/>
            <w:gridSpan w:val="3"/>
            <w:shd w:val="clear" w:color="auto" w:fill="E8F5F1"/>
          </w:tcPr>
          <w:p>
            <w:pPr>
              <w:pStyle w:val="TableParagraph"/>
              <w:spacing w:line="149" w:lineRule="exact"/>
              <w:ind w:left="976"/>
              <w:rPr>
                <w:sz w:val="15"/>
              </w:rPr>
            </w:pPr>
            <w:r>
              <w:rPr>
                <w:color w:val="231F20"/>
                <w:spacing w:val="-2"/>
                <w:sz w:val="15"/>
              </w:rPr>
              <w:t>Physical</w:t>
            </w:r>
            <w:r>
              <w:rPr>
                <w:color w:val="231F20"/>
                <w:spacing w:val="-3"/>
                <w:sz w:val="15"/>
              </w:rPr>
              <w:t> </w:t>
            </w:r>
            <w:r>
              <w:rPr>
                <w:color w:val="231F20"/>
                <w:spacing w:val="-2"/>
                <w:sz w:val="15"/>
              </w:rPr>
              <w:t>overgrowth,</w:t>
            </w:r>
            <w:r>
              <w:rPr>
                <w:color w:val="231F20"/>
                <w:spacing w:val="-3"/>
                <w:sz w:val="15"/>
              </w:rPr>
              <w:t> </w:t>
            </w:r>
            <w:r>
              <w:rPr>
                <w:color w:val="231F20"/>
                <w:spacing w:val="-2"/>
                <w:sz w:val="15"/>
              </w:rPr>
              <w:t>MR,</w:t>
            </w:r>
            <w:r>
              <w:rPr>
                <w:color w:val="231F20"/>
                <w:spacing w:val="-3"/>
                <w:sz w:val="15"/>
              </w:rPr>
              <w:t> </w:t>
            </w:r>
            <w:r>
              <w:rPr>
                <w:color w:val="231F20"/>
                <w:spacing w:val="-2"/>
                <w:sz w:val="15"/>
              </w:rPr>
              <w:t>craniofacial</w:t>
            </w:r>
            <w:r>
              <w:rPr>
                <w:color w:val="231F20"/>
                <w:spacing w:val="-3"/>
                <w:sz w:val="15"/>
              </w:rPr>
              <w:t> </w:t>
            </w:r>
            <w:r>
              <w:rPr>
                <w:color w:val="231F20"/>
                <w:spacing w:val="-2"/>
                <w:sz w:val="15"/>
              </w:rPr>
              <w:t>changes</w:t>
            </w:r>
          </w:p>
        </w:tc>
      </w:tr>
      <w:tr>
        <w:trPr>
          <w:trHeight w:val="164" w:hRule="atLeast"/>
        </w:trPr>
        <w:tc>
          <w:tcPr>
            <w:tcW w:w="4184" w:type="dxa"/>
            <w:shd w:val="clear" w:color="auto" w:fill="E8F5F1"/>
          </w:tcPr>
          <w:p>
            <w:pPr>
              <w:pStyle w:val="TableParagraph"/>
              <w:spacing w:line="145" w:lineRule="exact"/>
              <w:ind w:left="74"/>
              <w:rPr>
                <w:sz w:val="15"/>
              </w:rPr>
            </w:pPr>
            <w:r>
              <w:rPr>
                <w:color w:val="231F20"/>
                <w:sz w:val="15"/>
              </w:rPr>
              <w:t>Warburg</w:t>
            </w:r>
            <w:r>
              <w:rPr>
                <w:color w:val="231F20"/>
                <w:spacing w:val="5"/>
                <w:sz w:val="15"/>
              </w:rPr>
              <w:t> </w:t>
            </w:r>
            <w:r>
              <w:rPr>
                <w:color w:val="231F20"/>
                <w:sz w:val="15"/>
              </w:rPr>
              <w:t>micro</w:t>
            </w:r>
            <w:r>
              <w:rPr>
                <w:color w:val="231F20"/>
                <w:spacing w:val="6"/>
                <w:sz w:val="15"/>
              </w:rPr>
              <w:t> </w:t>
            </w:r>
            <w:r>
              <w:rPr>
                <w:color w:val="231F20"/>
                <w:spacing w:val="-2"/>
                <w:sz w:val="15"/>
              </w:rPr>
              <w:t>syndrome</w:t>
            </w:r>
          </w:p>
        </w:tc>
        <w:tc>
          <w:tcPr>
            <w:tcW w:w="5557" w:type="dxa"/>
            <w:gridSpan w:val="3"/>
            <w:shd w:val="clear" w:color="auto" w:fill="E8F5F1"/>
          </w:tcPr>
          <w:p>
            <w:pPr>
              <w:pStyle w:val="TableParagraph"/>
              <w:spacing w:line="145" w:lineRule="exact"/>
              <w:ind w:left="976"/>
              <w:rPr>
                <w:sz w:val="15"/>
              </w:rPr>
            </w:pPr>
            <w:r>
              <w:rPr>
                <w:color w:val="231F20"/>
                <w:spacing w:val="-2"/>
                <w:sz w:val="15"/>
              </w:rPr>
              <w:t>Microcephaly, microphthalmia, microgenitalia, </w:t>
            </w:r>
            <w:r>
              <w:rPr>
                <w:color w:val="231F20"/>
                <w:spacing w:val="-5"/>
                <w:sz w:val="15"/>
              </w:rPr>
              <w:t>MR</w:t>
            </w:r>
          </w:p>
        </w:tc>
      </w:tr>
      <w:tr>
        <w:trPr>
          <w:trHeight w:val="207" w:hRule="atLeast"/>
        </w:trPr>
        <w:tc>
          <w:tcPr>
            <w:tcW w:w="4184" w:type="dxa"/>
            <w:tcBorders>
              <w:bottom w:val="single" w:sz="8" w:space="0" w:color="231F20"/>
            </w:tcBorders>
            <w:shd w:val="clear" w:color="auto" w:fill="E8F5F1"/>
          </w:tcPr>
          <w:p>
            <w:pPr>
              <w:pStyle w:val="TableParagraph"/>
              <w:ind w:left="74"/>
              <w:rPr>
                <w:sz w:val="15"/>
              </w:rPr>
            </w:pPr>
            <w:r>
              <w:rPr>
                <w:color w:val="231F20"/>
                <w:sz w:val="15"/>
              </w:rPr>
              <w:t>Wolf-Hirschhorn</w:t>
            </w:r>
            <w:r>
              <w:rPr>
                <w:color w:val="231F20"/>
                <w:spacing w:val="-10"/>
                <w:sz w:val="15"/>
              </w:rPr>
              <w:t> </w:t>
            </w:r>
            <w:r>
              <w:rPr>
                <w:color w:val="231F20"/>
                <w:spacing w:val="-2"/>
                <w:sz w:val="15"/>
              </w:rPr>
              <w:t>syndrome</w:t>
            </w:r>
          </w:p>
        </w:tc>
        <w:tc>
          <w:tcPr>
            <w:tcW w:w="5557" w:type="dxa"/>
            <w:gridSpan w:val="3"/>
            <w:tcBorders>
              <w:bottom w:val="single" w:sz="8" w:space="0" w:color="231F20"/>
            </w:tcBorders>
            <w:shd w:val="clear" w:color="auto" w:fill="E8F5F1"/>
          </w:tcPr>
          <w:p>
            <w:pPr>
              <w:pStyle w:val="TableParagraph"/>
              <w:ind w:left="976"/>
              <w:rPr>
                <w:rFonts w:ascii="Cambria" w:hAnsi="Cambria"/>
                <w:sz w:val="15"/>
              </w:rPr>
            </w:pPr>
            <w:r>
              <w:rPr>
                <w:color w:val="231F20"/>
                <w:spacing w:val="-2"/>
                <w:sz w:val="15"/>
              </w:rPr>
              <w:t>Microcephaly,</w:t>
            </w:r>
            <w:r>
              <w:rPr>
                <w:color w:val="231F20"/>
                <w:spacing w:val="-4"/>
                <w:sz w:val="15"/>
              </w:rPr>
              <w:t> </w:t>
            </w:r>
            <w:r>
              <w:rPr>
                <w:color w:val="231F20"/>
                <w:spacing w:val="-2"/>
                <w:sz w:val="15"/>
              </w:rPr>
              <w:t>seizures,</w:t>
            </w:r>
            <w:r>
              <w:rPr>
                <w:color w:val="231F20"/>
                <w:spacing w:val="-4"/>
                <w:sz w:val="15"/>
              </w:rPr>
              <w:t> </w:t>
            </w:r>
            <w:r>
              <w:rPr>
                <w:color w:val="231F20"/>
                <w:spacing w:val="-2"/>
                <w:sz w:val="15"/>
              </w:rPr>
              <w:t>cardiac</w:t>
            </w:r>
            <w:r>
              <w:rPr>
                <w:color w:val="231F20"/>
                <w:spacing w:val="-3"/>
                <w:sz w:val="15"/>
              </w:rPr>
              <w:t> </w:t>
            </w:r>
            <w:r>
              <w:rPr>
                <w:color w:val="231F20"/>
                <w:spacing w:val="-2"/>
                <w:sz w:val="15"/>
              </w:rPr>
              <w:t>defects,</w:t>
            </w:r>
            <w:r>
              <w:rPr>
                <w:color w:val="231F20"/>
                <w:spacing w:val="-4"/>
                <w:sz w:val="15"/>
              </w:rPr>
              <w:t> </w:t>
            </w:r>
            <w:r>
              <w:rPr>
                <w:color w:val="231F20"/>
                <w:spacing w:val="-5"/>
                <w:sz w:val="15"/>
              </w:rPr>
              <w:t>4p</w:t>
            </w:r>
            <w:r>
              <w:rPr>
                <w:rFonts w:ascii="Cambria" w:hAnsi="Cambria"/>
                <w:color w:val="231F20"/>
                <w:spacing w:val="-5"/>
                <w:sz w:val="15"/>
              </w:rPr>
              <w:t>−</w:t>
            </w:r>
          </w:p>
        </w:tc>
      </w:tr>
    </w:tbl>
    <w:p>
      <w:pPr>
        <w:pStyle w:val="BodyText"/>
        <w:spacing w:line="150" w:lineRule="exact" w:before="92"/>
        <w:ind w:left="486"/>
      </w:pPr>
      <w:r>
        <w:rPr>
          <w:color w:val="231F20"/>
        </w:rPr>
        <w:t>*Reliable</w:t>
      </w:r>
      <w:r>
        <w:rPr>
          <w:color w:val="231F20"/>
          <w:spacing w:val="-7"/>
        </w:rPr>
        <w:t> </w:t>
      </w:r>
      <w:r>
        <w:rPr>
          <w:color w:val="231F20"/>
        </w:rPr>
        <w:t>incidence</w:t>
      </w:r>
      <w:r>
        <w:rPr>
          <w:color w:val="231F20"/>
          <w:spacing w:val="-6"/>
        </w:rPr>
        <w:t> </w:t>
      </w:r>
      <w:r>
        <w:rPr>
          <w:color w:val="231F20"/>
        </w:rPr>
        <w:t>data</w:t>
      </w:r>
      <w:r>
        <w:rPr>
          <w:color w:val="231F20"/>
          <w:spacing w:val="-7"/>
        </w:rPr>
        <w:t> </w:t>
      </w:r>
      <w:r>
        <w:rPr>
          <w:color w:val="231F20"/>
        </w:rPr>
        <w:t>are</w:t>
      </w:r>
      <w:r>
        <w:rPr>
          <w:color w:val="231F20"/>
          <w:spacing w:val="-6"/>
        </w:rPr>
        <w:t> </w:t>
      </w:r>
      <w:r>
        <w:rPr>
          <w:color w:val="231F20"/>
        </w:rPr>
        <w:t>unavailable</w:t>
      </w:r>
      <w:r>
        <w:rPr>
          <w:color w:val="231F20"/>
          <w:spacing w:val="-6"/>
        </w:rPr>
        <w:t> </w:t>
      </w:r>
      <w:r>
        <w:rPr>
          <w:color w:val="231F20"/>
        </w:rPr>
        <w:t>for</w:t>
      </w:r>
      <w:r>
        <w:rPr>
          <w:color w:val="231F20"/>
          <w:spacing w:val="-7"/>
        </w:rPr>
        <w:t> </w:t>
      </w:r>
      <w:r>
        <w:rPr>
          <w:color w:val="231F20"/>
        </w:rPr>
        <w:t>these</w:t>
      </w:r>
      <w:r>
        <w:rPr>
          <w:color w:val="231F20"/>
          <w:spacing w:val="-6"/>
        </w:rPr>
        <w:t> </w:t>
      </w:r>
      <w:r>
        <w:rPr>
          <w:color w:val="231F20"/>
        </w:rPr>
        <w:t>very</w:t>
      </w:r>
      <w:r>
        <w:rPr>
          <w:color w:val="231F20"/>
          <w:spacing w:val="-6"/>
        </w:rPr>
        <w:t> </w:t>
      </w:r>
      <w:r>
        <w:rPr>
          <w:color w:val="231F20"/>
        </w:rPr>
        <w:t>rare</w:t>
      </w:r>
      <w:r>
        <w:rPr>
          <w:color w:val="231F20"/>
          <w:spacing w:val="-7"/>
        </w:rPr>
        <w:t> </w:t>
      </w:r>
      <w:r>
        <w:rPr>
          <w:color w:val="231F20"/>
          <w:spacing w:val="-2"/>
        </w:rPr>
        <w:t>syndromes.</w:t>
      </w:r>
    </w:p>
    <w:p>
      <w:pPr>
        <w:pStyle w:val="BodyText"/>
        <w:spacing w:line="149" w:lineRule="exact"/>
        <w:ind w:left="617"/>
      </w:pPr>
      <w:r>
        <w:rPr>
          <w:color w:val="231F20"/>
          <w:vertAlign w:val="superscript"/>
        </w:rPr>
        <w:t>†</w:t>
      </w:r>
      <w:r>
        <w:rPr>
          <w:color w:val="231F20"/>
          <w:vertAlign w:val="baseline"/>
        </w:rPr>
        <w:t>Gene</w:t>
      </w:r>
      <w:r>
        <w:rPr>
          <w:color w:val="231F20"/>
          <w:spacing w:val="11"/>
          <w:vertAlign w:val="baseline"/>
        </w:rPr>
        <w:t> </w:t>
      </w:r>
      <w:r>
        <w:rPr>
          <w:color w:val="231F20"/>
          <w:vertAlign w:val="baseline"/>
        </w:rPr>
        <w:t>symbols</w:t>
      </w:r>
      <w:r>
        <w:rPr>
          <w:color w:val="231F20"/>
          <w:spacing w:val="11"/>
          <w:vertAlign w:val="baseline"/>
        </w:rPr>
        <w:t> </w:t>
      </w:r>
      <w:r>
        <w:rPr>
          <w:color w:val="231F20"/>
          <w:vertAlign w:val="baseline"/>
        </w:rPr>
        <w:t>in</w:t>
      </w:r>
      <w:r>
        <w:rPr>
          <w:color w:val="231F20"/>
          <w:spacing w:val="11"/>
          <w:vertAlign w:val="baseline"/>
        </w:rPr>
        <w:t> </w:t>
      </w:r>
      <w:r>
        <w:rPr>
          <w:color w:val="231F20"/>
          <w:spacing w:val="-2"/>
          <w:vertAlign w:val="baseline"/>
        </w:rPr>
        <w:t>parentheses.</w:t>
      </w:r>
    </w:p>
    <w:p>
      <w:pPr>
        <w:pStyle w:val="BodyText"/>
        <w:ind w:left="486" w:right="446" w:firstLine="130"/>
      </w:pPr>
      <w:r>
        <w:rPr>
          <w:color w:val="231F20"/>
          <w:vertAlign w:val="superscript"/>
        </w:rPr>
        <w:t>‡</w:t>
      </w:r>
      <w:r>
        <w:rPr>
          <w:color w:val="231F20"/>
          <w:vertAlign w:val="baseline"/>
        </w:rPr>
        <w:t>Many of these also may consistently have a thin of dysplastic corpus callosum, such as Sotos’ syndrome or agenesis of the corpus callosum (ACC) with spastic</w:t>
      </w:r>
      <w:r>
        <w:rPr>
          <w:color w:val="231F20"/>
          <w:spacing w:val="40"/>
          <w:vertAlign w:val="baseline"/>
        </w:rPr>
        <w:t> </w:t>
      </w:r>
      <w:r>
        <w:rPr>
          <w:color w:val="231F20"/>
          <w:vertAlign w:val="baseline"/>
        </w:rPr>
        <w:t>paraparesis (SPG11). The overlap between ACC and these conditions is still under investigation. Other gene symbols are omitted from this section.</w:t>
      </w:r>
    </w:p>
    <w:p>
      <w:pPr>
        <w:pStyle w:val="BodyText"/>
        <w:spacing w:line="237" w:lineRule="auto"/>
        <w:ind w:left="486" w:right="705" w:firstLine="130"/>
      </w:pPr>
      <w:r>
        <w:rPr>
          <w:color w:val="231F20"/>
        </w:rPr>
        <w:t>4p</w:t>
      </w:r>
      <w:r>
        <w:rPr>
          <w:rFonts w:ascii="Cambria" w:hAnsi="Cambria"/>
          <w:color w:val="231F20"/>
        </w:rPr>
        <w:t>−</w:t>
      </w:r>
      <w:r>
        <w:rPr>
          <w:color w:val="231F20"/>
        </w:rPr>
        <w:t>, deletion of the terminal region of the short arm of chromosome 4, defines the genotype for Wolf-Hirschhorn patients; ACC, agenesis of the corpus callosum;</w:t>
      </w:r>
      <w:r>
        <w:rPr>
          <w:color w:val="231F20"/>
          <w:spacing w:val="40"/>
        </w:rPr>
        <w:t> </w:t>
      </w:r>
      <w:r>
        <w:rPr>
          <w:color w:val="231F20"/>
        </w:rPr>
        <w:t>ARX, Aristaless-related homeobox gene; CDH, congenital diaphragmatic hernia; HSAS/MASA, X-linked hydrocephalus/mental retardation, aphasia, shuffling gait, and</w:t>
      </w:r>
      <w:r>
        <w:rPr>
          <w:color w:val="231F20"/>
          <w:spacing w:val="40"/>
        </w:rPr>
        <w:t> </w:t>
      </w:r>
      <w:r>
        <w:rPr>
          <w:color w:val="231F20"/>
        </w:rPr>
        <w:t>adducted thumbs; KCC3, KCl cotransporter 3; L1CAM, L1 cell adhesion molecule; MR, mental retardation; MRPS16, mitochondrial ribosomal protein S16; SPG11,</w:t>
      </w:r>
      <w:r>
        <w:rPr>
          <w:color w:val="231F20"/>
          <w:spacing w:val="40"/>
        </w:rPr>
        <w:t> </w:t>
      </w:r>
      <w:r>
        <w:rPr>
          <w:color w:val="231F20"/>
        </w:rPr>
        <w:t>spastic paraplegia 11; XLAG, X-linked lissencephaly with absent corpus callosum and ambiguous genitalia; ZFHX1B, zinc finger homeobox 1b.</w:t>
      </w:r>
    </w:p>
    <w:p>
      <w:pPr>
        <w:spacing w:before="0"/>
        <w:ind w:left="486" w:right="446" w:firstLine="130"/>
        <w:jc w:val="left"/>
        <w:rPr>
          <w:i/>
          <w:sz w:val="13"/>
        </w:rPr>
      </w:pPr>
      <w:r>
        <w:rPr>
          <w:i/>
          <w:color w:val="231F20"/>
          <w:sz w:val="13"/>
        </w:rPr>
        <w:t>From</w:t>
      </w:r>
      <w:r>
        <w:rPr>
          <w:i/>
          <w:color w:val="231F20"/>
          <w:spacing w:val="-3"/>
          <w:sz w:val="13"/>
        </w:rPr>
        <w:t> </w:t>
      </w:r>
      <w:r>
        <w:rPr>
          <w:i/>
          <w:color w:val="231F20"/>
          <w:sz w:val="13"/>
        </w:rPr>
        <w:t>Sherr</w:t>
      </w:r>
      <w:r>
        <w:rPr>
          <w:i/>
          <w:color w:val="231F20"/>
          <w:spacing w:val="-3"/>
          <w:sz w:val="13"/>
        </w:rPr>
        <w:t> </w:t>
      </w:r>
      <w:r>
        <w:rPr>
          <w:i/>
          <w:color w:val="231F20"/>
          <w:sz w:val="13"/>
        </w:rPr>
        <w:t>EH,</w:t>
      </w:r>
      <w:r>
        <w:rPr>
          <w:i/>
          <w:color w:val="231F20"/>
          <w:spacing w:val="-3"/>
          <w:sz w:val="13"/>
        </w:rPr>
        <w:t> </w:t>
      </w:r>
      <w:r>
        <w:rPr>
          <w:i/>
          <w:color w:val="231F20"/>
          <w:sz w:val="13"/>
        </w:rPr>
        <w:t>Hahn</w:t>
      </w:r>
      <w:r>
        <w:rPr>
          <w:i/>
          <w:color w:val="231F20"/>
          <w:spacing w:val="-3"/>
          <w:sz w:val="13"/>
        </w:rPr>
        <w:t> </w:t>
      </w:r>
      <w:r>
        <w:rPr>
          <w:i/>
          <w:color w:val="231F20"/>
          <w:sz w:val="13"/>
        </w:rPr>
        <w:t>JS:</w:t>
      </w:r>
      <w:r>
        <w:rPr>
          <w:i/>
          <w:color w:val="231F20"/>
          <w:spacing w:val="-3"/>
          <w:sz w:val="13"/>
        </w:rPr>
        <w:t> </w:t>
      </w:r>
      <w:r>
        <w:rPr>
          <w:i/>
          <w:color w:val="231F20"/>
          <w:sz w:val="13"/>
        </w:rPr>
        <w:t>Disorders</w:t>
      </w:r>
      <w:r>
        <w:rPr>
          <w:i/>
          <w:color w:val="231F20"/>
          <w:spacing w:val="-3"/>
          <w:sz w:val="13"/>
        </w:rPr>
        <w:t> </w:t>
      </w:r>
      <w:r>
        <w:rPr>
          <w:i/>
          <w:color w:val="231F20"/>
          <w:sz w:val="13"/>
        </w:rPr>
        <w:t>of</w:t>
      </w:r>
      <w:r>
        <w:rPr>
          <w:i/>
          <w:color w:val="231F20"/>
          <w:spacing w:val="-3"/>
          <w:sz w:val="13"/>
        </w:rPr>
        <w:t> </w:t>
      </w:r>
      <w:r>
        <w:rPr>
          <w:i/>
          <w:color w:val="231F20"/>
          <w:sz w:val="13"/>
        </w:rPr>
        <w:t>forebrain</w:t>
      </w:r>
      <w:r>
        <w:rPr>
          <w:i/>
          <w:color w:val="231F20"/>
          <w:spacing w:val="-3"/>
          <w:sz w:val="13"/>
        </w:rPr>
        <w:t> </w:t>
      </w:r>
      <w:r>
        <w:rPr>
          <w:i/>
          <w:color w:val="231F20"/>
          <w:sz w:val="13"/>
        </w:rPr>
        <w:t>development.</w:t>
      </w:r>
      <w:r>
        <w:rPr>
          <w:i/>
          <w:color w:val="231F20"/>
          <w:spacing w:val="-3"/>
          <w:sz w:val="13"/>
        </w:rPr>
        <w:t> </w:t>
      </w:r>
      <w:r>
        <w:rPr>
          <w:i/>
          <w:color w:val="231F20"/>
          <w:sz w:val="13"/>
        </w:rPr>
        <w:t>In</w:t>
      </w:r>
      <w:r>
        <w:rPr>
          <w:i/>
          <w:color w:val="231F20"/>
          <w:spacing w:val="-3"/>
          <w:sz w:val="13"/>
        </w:rPr>
        <w:t> </w:t>
      </w:r>
      <w:r>
        <w:rPr>
          <w:i/>
          <w:color w:val="231F20"/>
          <w:sz w:val="13"/>
        </w:rPr>
        <w:t>Swaiman</w:t>
      </w:r>
      <w:r>
        <w:rPr>
          <w:i/>
          <w:color w:val="231F20"/>
          <w:spacing w:val="-3"/>
          <w:sz w:val="13"/>
        </w:rPr>
        <w:t> </w:t>
      </w:r>
      <w:r>
        <w:rPr>
          <w:i/>
          <w:color w:val="231F20"/>
          <w:sz w:val="13"/>
        </w:rPr>
        <w:t>KF,</w:t>
      </w:r>
      <w:r>
        <w:rPr>
          <w:i/>
          <w:color w:val="231F20"/>
          <w:spacing w:val="-3"/>
          <w:sz w:val="13"/>
        </w:rPr>
        <w:t> </w:t>
      </w:r>
      <w:r>
        <w:rPr>
          <w:i/>
          <w:color w:val="231F20"/>
          <w:sz w:val="13"/>
        </w:rPr>
        <w:t>Ashwal</w:t>
      </w:r>
      <w:r>
        <w:rPr>
          <w:i/>
          <w:color w:val="231F20"/>
          <w:spacing w:val="-3"/>
          <w:sz w:val="13"/>
        </w:rPr>
        <w:t> </w:t>
      </w:r>
      <w:r>
        <w:rPr>
          <w:i/>
          <w:color w:val="231F20"/>
          <w:sz w:val="13"/>
        </w:rPr>
        <w:t>S,</w:t>
      </w:r>
      <w:r>
        <w:rPr>
          <w:i/>
          <w:color w:val="231F20"/>
          <w:spacing w:val="-3"/>
          <w:sz w:val="13"/>
        </w:rPr>
        <w:t> </w:t>
      </w:r>
      <w:r>
        <w:rPr>
          <w:i/>
          <w:color w:val="231F20"/>
          <w:sz w:val="13"/>
        </w:rPr>
        <w:t>Ferriero</w:t>
      </w:r>
      <w:r>
        <w:rPr>
          <w:i/>
          <w:color w:val="231F20"/>
          <w:spacing w:val="-3"/>
          <w:sz w:val="13"/>
        </w:rPr>
        <w:t> </w:t>
      </w:r>
      <w:r>
        <w:rPr>
          <w:i/>
          <w:color w:val="231F20"/>
          <w:sz w:val="13"/>
        </w:rPr>
        <w:t>DM,</w:t>
      </w:r>
      <w:r>
        <w:rPr>
          <w:i/>
          <w:color w:val="231F20"/>
          <w:spacing w:val="-3"/>
          <w:sz w:val="13"/>
        </w:rPr>
        <w:t> </w:t>
      </w:r>
      <w:r>
        <w:rPr>
          <w:i/>
          <w:color w:val="231F20"/>
          <w:sz w:val="13"/>
        </w:rPr>
        <w:t>Schor</w:t>
      </w:r>
      <w:r>
        <w:rPr>
          <w:i/>
          <w:color w:val="231F20"/>
          <w:spacing w:val="-3"/>
          <w:sz w:val="13"/>
        </w:rPr>
        <w:t> </w:t>
      </w:r>
      <w:r>
        <w:rPr>
          <w:i/>
          <w:color w:val="231F20"/>
          <w:sz w:val="13"/>
        </w:rPr>
        <w:t>NF,</w:t>
      </w:r>
      <w:r>
        <w:rPr>
          <w:i/>
          <w:color w:val="231F20"/>
          <w:spacing w:val="-3"/>
          <w:sz w:val="13"/>
        </w:rPr>
        <w:t> </w:t>
      </w:r>
      <w:r>
        <w:rPr>
          <w:i/>
          <w:color w:val="231F20"/>
          <w:sz w:val="13"/>
        </w:rPr>
        <w:t>editors:</w:t>
      </w:r>
      <w:r>
        <w:rPr>
          <w:i/>
          <w:color w:val="231F20"/>
          <w:spacing w:val="-3"/>
          <w:sz w:val="13"/>
        </w:rPr>
        <w:t> </w:t>
      </w:r>
      <w:r>
        <w:rPr>
          <w:color w:val="231F20"/>
          <w:sz w:val="13"/>
        </w:rPr>
        <w:t>Swaiman’s</w:t>
      </w:r>
      <w:r>
        <w:rPr>
          <w:color w:val="231F20"/>
          <w:spacing w:val="-3"/>
          <w:sz w:val="13"/>
        </w:rPr>
        <w:t> </w:t>
      </w:r>
      <w:r>
        <w:rPr>
          <w:color w:val="231F20"/>
          <w:sz w:val="13"/>
        </w:rPr>
        <w:t>pediatric</w:t>
      </w:r>
      <w:r>
        <w:rPr>
          <w:color w:val="231F20"/>
          <w:spacing w:val="-3"/>
          <w:sz w:val="13"/>
        </w:rPr>
        <w:t> </w:t>
      </w:r>
      <w:r>
        <w:rPr>
          <w:color w:val="231F20"/>
          <w:sz w:val="13"/>
        </w:rPr>
        <w:t>neurology</w:t>
      </w:r>
      <w:r>
        <w:rPr>
          <w:i/>
          <w:color w:val="231F20"/>
          <w:sz w:val="13"/>
        </w:rPr>
        <w:t>,</w:t>
      </w:r>
      <w:r>
        <w:rPr>
          <w:i/>
          <w:color w:val="231F20"/>
          <w:spacing w:val="-3"/>
          <w:sz w:val="13"/>
        </w:rPr>
        <w:t> </w:t>
      </w:r>
      <w:r>
        <w:rPr>
          <w:i/>
          <w:color w:val="231F20"/>
          <w:sz w:val="13"/>
        </w:rPr>
        <w:t>5th</w:t>
      </w:r>
      <w:r>
        <w:rPr>
          <w:i/>
          <w:color w:val="231F20"/>
          <w:spacing w:val="-3"/>
          <w:sz w:val="13"/>
        </w:rPr>
        <w:t> </w:t>
      </w:r>
      <w:r>
        <w:rPr>
          <w:i/>
          <w:color w:val="231F20"/>
          <w:sz w:val="13"/>
        </w:rPr>
        <w:t>ed.</w:t>
      </w:r>
      <w:r>
        <w:rPr>
          <w:i/>
          <w:color w:val="231F20"/>
          <w:spacing w:val="40"/>
          <w:sz w:val="13"/>
        </w:rPr>
        <w:t> </w:t>
      </w:r>
      <w:r>
        <w:rPr>
          <w:i/>
          <w:color w:val="231F20"/>
          <w:sz w:val="13"/>
        </w:rPr>
        <w:t>Philadelphia, 2012, WB Saunders, Table 23-2.</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206" name="Group 206"/>
                <wp:cNvGraphicFramePr>
                  <a:graphicFrameLocks/>
                </wp:cNvGraphicFramePr>
                <a:graphic>
                  <a:graphicData uri="http://schemas.microsoft.com/office/word/2010/wordprocessingGroup">
                    <wpg:wgp>
                      <wpg:cNvPr id="206" name="Group 206"/>
                      <wpg:cNvGrpSpPr/>
                      <wpg:grpSpPr>
                        <a:xfrm>
                          <a:off x="0" y="0"/>
                          <a:ext cx="6185535" cy="170815"/>
                          <a:chExt cx="6185535" cy="170815"/>
                        </a:xfrm>
                      </wpg:grpSpPr>
                      <wps:wsp>
                        <wps:cNvPr id="207" name="Graphic 207"/>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208" name="Graphic 208"/>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209" name="Textbox 209"/>
                        <wps:cNvSpPr txBox="1"/>
                        <wps:spPr>
                          <a:xfrm>
                            <a:off x="0" y="0"/>
                            <a:ext cx="6185535" cy="170815"/>
                          </a:xfrm>
                          <a:prstGeom prst="rect">
                            <a:avLst/>
                          </a:prstGeom>
                        </wps:spPr>
                        <wps:txbx>
                          <w:txbxContent>
                            <w:p>
                              <w:pPr>
                                <w:spacing w:before="6"/>
                                <w:ind w:left="3139" w:right="0" w:firstLine="0"/>
                                <w:jc w:val="left"/>
                                <w:rPr>
                                  <w:b/>
                                  <w:sz w:val="18"/>
                                </w:rPr>
                              </w:pPr>
                              <w:r>
                                <w:rPr>
                                  <w:b/>
                                  <w:color w:val="007431"/>
                                  <w:w w:val="105"/>
                                  <w:sz w:val="18"/>
                                </w:rPr>
                                <w:t>Chapter</w:t>
                              </w:r>
                              <w:r>
                                <w:rPr>
                                  <w:b/>
                                  <w:color w:val="007431"/>
                                  <w:spacing w:val="11"/>
                                  <w:w w:val="105"/>
                                  <w:sz w:val="18"/>
                                </w:rPr>
                                <w:t> </w:t>
                              </w:r>
                              <w:r>
                                <w:rPr>
                                  <w:b/>
                                  <w:color w:val="007431"/>
                                  <w:w w:val="105"/>
                                  <w:sz w:val="18"/>
                                </w:rPr>
                                <w:t>591</w:t>
                              </w:r>
                              <w:r>
                                <w:rPr>
                                  <w:b/>
                                  <w:color w:val="007431"/>
                                  <w:spacing w:val="37"/>
                                  <w:w w:val="105"/>
                                  <w:sz w:val="18"/>
                                </w:rPr>
                                <w:t> </w:t>
                              </w:r>
                              <w:r>
                                <w:rPr>
                                  <w:rFonts w:ascii="MS Gothic" w:hAnsi="MS Gothic"/>
                                  <w:color w:val="659F6F"/>
                                  <w:w w:val="105"/>
                                  <w:sz w:val="15"/>
                                </w:rPr>
                                <w:t>◆</w:t>
                              </w:r>
                              <w:r>
                                <w:rPr>
                                  <w:rFonts w:ascii="MS Gothic" w:hAnsi="MS Gothic"/>
                                  <w:color w:val="659F6F"/>
                                  <w:spacing w:val="17"/>
                                  <w:w w:val="105"/>
                                  <w:sz w:val="15"/>
                                </w:rPr>
                                <w:t> </w:t>
                              </w:r>
                              <w:r>
                                <w:rPr>
                                  <w:color w:val="231F20"/>
                                  <w:w w:val="105"/>
                                  <w:sz w:val="18"/>
                                </w:rPr>
                                <w:t>Congenital</w:t>
                              </w:r>
                              <w:r>
                                <w:rPr>
                                  <w:color w:val="231F20"/>
                                  <w:spacing w:val="7"/>
                                  <w:w w:val="105"/>
                                  <w:sz w:val="18"/>
                                </w:rPr>
                                <w:t> </w:t>
                              </w:r>
                              <w:r>
                                <w:rPr>
                                  <w:color w:val="231F20"/>
                                  <w:w w:val="105"/>
                                  <w:sz w:val="18"/>
                                </w:rPr>
                                <w:t>Anomalies</w:t>
                              </w:r>
                              <w:r>
                                <w:rPr>
                                  <w:color w:val="231F20"/>
                                  <w:spacing w:val="7"/>
                                  <w:w w:val="105"/>
                                  <w:sz w:val="18"/>
                                </w:rPr>
                                <w:t> </w:t>
                              </w:r>
                              <w:r>
                                <w:rPr>
                                  <w:color w:val="231F20"/>
                                  <w:w w:val="105"/>
                                  <w:sz w:val="18"/>
                                </w:rPr>
                                <w:t>of</w:t>
                              </w:r>
                              <w:r>
                                <w:rPr>
                                  <w:color w:val="231F20"/>
                                  <w:spacing w:val="7"/>
                                  <w:w w:val="105"/>
                                  <w:sz w:val="18"/>
                                </w:rPr>
                                <w:t> </w:t>
                              </w:r>
                              <w:r>
                                <w:rPr>
                                  <w:color w:val="231F20"/>
                                  <w:w w:val="105"/>
                                  <w:sz w:val="18"/>
                                </w:rPr>
                                <w:t>the</w:t>
                              </w:r>
                              <w:r>
                                <w:rPr>
                                  <w:color w:val="231F20"/>
                                  <w:spacing w:val="7"/>
                                  <w:w w:val="105"/>
                                  <w:sz w:val="18"/>
                                </w:rPr>
                                <w:t> </w:t>
                              </w:r>
                              <w:r>
                                <w:rPr>
                                  <w:color w:val="231F20"/>
                                  <w:w w:val="105"/>
                                  <w:sz w:val="18"/>
                                </w:rPr>
                                <w:t>Central</w:t>
                              </w:r>
                              <w:r>
                                <w:rPr>
                                  <w:color w:val="231F20"/>
                                  <w:spacing w:val="7"/>
                                  <w:w w:val="105"/>
                                  <w:sz w:val="18"/>
                                </w:rPr>
                                <w:t> </w:t>
                              </w:r>
                              <w:r>
                                <w:rPr>
                                  <w:color w:val="231F20"/>
                                  <w:w w:val="105"/>
                                  <w:sz w:val="18"/>
                                </w:rPr>
                                <w:t>Nervous</w:t>
                              </w:r>
                              <w:r>
                                <w:rPr>
                                  <w:color w:val="231F20"/>
                                  <w:spacing w:val="7"/>
                                  <w:w w:val="105"/>
                                  <w:sz w:val="18"/>
                                </w:rPr>
                                <w:t> </w:t>
                              </w:r>
                              <w:r>
                                <w:rPr>
                                  <w:color w:val="231F20"/>
                                  <w:w w:val="105"/>
                                  <w:sz w:val="18"/>
                                </w:rPr>
                                <w:t>System</w:t>
                              </w:r>
                              <w:r>
                                <w:rPr>
                                  <w:color w:val="231F20"/>
                                  <w:spacing w:val="38"/>
                                  <w:w w:val="105"/>
                                  <w:sz w:val="18"/>
                                </w:rPr>
                                <w:t>  </w:t>
                              </w:r>
                              <w:r>
                                <w:rPr>
                                  <w:b/>
                                  <w:color w:val="231F20"/>
                                  <w:spacing w:val="-4"/>
                                  <w:w w:val="105"/>
                                  <w:sz w:val="18"/>
                                </w:rPr>
                                <w:t>2813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62"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163" filled="false" stroked="false">
                  <v:textbox inset="0,0,0,0">
                    <w:txbxContent>
                      <w:p>
                        <w:pPr>
                          <w:spacing w:before="6"/>
                          <w:ind w:left="3139" w:right="0" w:firstLine="0"/>
                          <w:jc w:val="left"/>
                          <w:rPr>
                            <w:b/>
                            <w:sz w:val="18"/>
                          </w:rPr>
                        </w:pPr>
                        <w:r>
                          <w:rPr>
                            <w:b/>
                            <w:color w:val="007431"/>
                            <w:w w:val="105"/>
                            <w:sz w:val="18"/>
                          </w:rPr>
                          <w:t>Chapter</w:t>
                        </w:r>
                        <w:r>
                          <w:rPr>
                            <w:b/>
                            <w:color w:val="007431"/>
                            <w:spacing w:val="11"/>
                            <w:w w:val="105"/>
                            <w:sz w:val="18"/>
                          </w:rPr>
                          <w:t> </w:t>
                        </w:r>
                        <w:r>
                          <w:rPr>
                            <w:b/>
                            <w:color w:val="007431"/>
                            <w:w w:val="105"/>
                            <w:sz w:val="18"/>
                          </w:rPr>
                          <w:t>591</w:t>
                        </w:r>
                        <w:r>
                          <w:rPr>
                            <w:b/>
                            <w:color w:val="007431"/>
                            <w:spacing w:val="37"/>
                            <w:w w:val="105"/>
                            <w:sz w:val="18"/>
                          </w:rPr>
                          <w:t> </w:t>
                        </w:r>
                        <w:r>
                          <w:rPr>
                            <w:rFonts w:ascii="MS Gothic" w:hAnsi="MS Gothic"/>
                            <w:color w:val="659F6F"/>
                            <w:w w:val="105"/>
                            <w:sz w:val="15"/>
                          </w:rPr>
                          <w:t>◆</w:t>
                        </w:r>
                        <w:r>
                          <w:rPr>
                            <w:rFonts w:ascii="MS Gothic" w:hAnsi="MS Gothic"/>
                            <w:color w:val="659F6F"/>
                            <w:spacing w:val="17"/>
                            <w:w w:val="105"/>
                            <w:sz w:val="15"/>
                          </w:rPr>
                          <w:t> </w:t>
                        </w:r>
                        <w:r>
                          <w:rPr>
                            <w:color w:val="231F20"/>
                            <w:w w:val="105"/>
                            <w:sz w:val="18"/>
                          </w:rPr>
                          <w:t>Congenital</w:t>
                        </w:r>
                        <w:r>
                          <w:rPr>
                            <w:color w:val="231F20"/>
                            <w:spacing w:val="7"/>
                            <w:w w:val="105"/>
                            <w:sz w:val="18"/>
                          </w:rPr>
                          <w:t> </w:t>
                        </w:r>
                        <w:r>
                          <w:rPr>
                            <w:color w:val="231F20"/>
                            <w:w w:val="105"/>
                            <w:sz w:val="18"/>
                          </w:rPr>
                          <w:t>Anomalies</w:t>
                        </w:r>
                        <w:r>
                          <w:rPr>
                            <w:color w:val="231F20"/>
                            <w:spacing w:val="7"/>
                            <w:w w:val="105"/>
                            <w:sz w:val="18"/>
                          </w:rPr>
                          <w:t> </w:t>
                        </w:r>
                        <w:r>
                          <w:rPr>
                            <w:color w:val="231F20"/>
                            <w:w w:val="105"/>
                            <w:sz w:val="18"/>
                          </w:rPr>
                          <w:t>of</w:t>
                        </w:r>
                        <w:r>
                          <w:rPr>
                            <w:color w:val="231F20"/>
                            <w:spacing w:val="7"/>
                            <w:w w:val="105"/>
                            <w:sz w:val="18"/>
                          </w:rPr>
                          <w:t> </w:t>
                        </w:r>
                        <w:r>
                          <w:rPr>
                            <w:color w:val="231F20"/>
                            <w:w w:val="105"/>
                            <w:sz w:val="18"/>
                          </w:rPr>
                          <w:t>the</w:t>
                        </w:r>
                        <w:r>
                          <w:rPr>
                            <w:color w:val="231F20"/>
                            <w:spacing w:val="7"/>
                            <w:w w:val="105"/>
                            <w:sz w:val="18"/>
                          </w:rPr>
                          <w:t> </w:t>
                        </w:r>
                        <w:r>
                          <w:rPr>
                            <w:color w:val="231F20"/>
                            <w:w w:val="105"/>
                            <w:sz w:val="18"/>
                          </w:rPr>
                          <w:t>Central</w:t>
                        </w:r>
                        <w:r>
                          <w:rPr>
                            <w:color w:val="231F20"/>
                            <w:spacing w:val="7"/>
                            <w:w w:val="105"/>
                            <w:sz w:val="18"/>
                          </w:rPr>
                          <w:t> </w:t>
                        </w:r>
                        <w:r>
                          <w:rPr>
                            <w:color w:val="231F20"/>
                            <w:w w:val="105"/>
                            <w:sz w:val="18"/>
                          </w:rPr>
                          <w:t>Nervous</w:t>
                        </w:r>
                        <w:r>
                          <w:rPr>
                            <w:color w:val="231F20"/>
                            <w:spacing w:val="7"/>
                            <w:w w:val="105"/>
                            <w:sz w:val="18"/>
                          </w:rPr>
                          <w:t> </w:t>
                        </w:r>
                        <w:r>
                          <w:rPr>
                            <w:color w:val="231F20"/>
                            <w:w w:val="105"/>
                            <w:sz w:val="18"/>
                          </w:rPr>
                          <w:t>System</w:t>
                        </w:r>
                        <w:r>
                          <w:rPr>
                            <w:color w:val="231F20"/>
                            <w:spacing w:val="38"/>
                            <w:w w:val="105"/>
                            <w:sz w:val="18"/>
                          </w:rPr>
                          <w:t>  </w:t>
                        </w:r>
                        <w:r>
                          <w:rPr>
                            <w:b/>
                            <w:color w:val="231F20"/>
                            <w:spacing w:val="-4"/>
                            <w:w w:val="105"/>
                            <w:sz w:val="18"/>
                          </w:rPr>
                          <w:t>2813</w:t>
                        </w:r>
                      </w:p>
                    </w:txbxContent>
                  </v:textbox>
                  <w10:wrap type="none"/>
                </v:shape>
              </v:group>
            </w:pict>
          </mc:Fallback>
        </mc:AlternateContent>
      </w:r>
      <w:r>
        <w:rPr>
          <w:sz w:val="20"/>
        </w:rPr>
      </w:r>
    </w:p>
    <w:p>
      <w:pPr>
        <w:pStyle w:val="BodyText"/>
        <w:spacing w:before="197"/>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82"/>
      </w:tblGrid>
      <w:tr>
        <w:trPr>
          <w:trHeight w:val="373" w:hRule="atLeast"/>
        </w:trPr>
        <w:tc>
          <w:tcPr>
            <w:tcW w:w="9782" w:type="dxa"/>
            <w:shd w:val="clear" w:color="auto" w:fill="231F20"/>
          </w:tcPr>
          <w:p>
            <w:pPr>
              <w:pStyle w:val="TableParagraph"/>
              <w:spacing w:before="89"/>
              <w:ind w:left="153"/>
              <w:rPr>
                <w:sz w:val="16"/>
              </w:rPr>
            </w:pPr>
            <w:r>
              <w:rPr>
                <w:b/>
                <w:color w:val="FFFFFF"/>
                <w:w w:val="105"/>
                <w:sz w:val="16"/>
              </w:rPr>
              <w:t>Table</w:t>
            </w:r>
            <w:r>
              <w:rPr>
                <w:b/>
                <w:color w:val="FFFFFF"/>
                <w:spacing w:val="10"/>
                <w:w w:val="105"/>
                <w:sz w:val="16"/>
              </w:rPr>
              <w:t> </w:t>
            </w:r>
            <w:r>
              <w:rPr>
                <w:b/>
                <w:color w:val="FFFFFF"/>
                <w:w w:val="105"/>
                <w:sz w:val="16"/>
              </w:rPr>
              <w:t>591-3</w:t>
            </w:r>
            <w:r>
              <w:rPr>
                <w:b/>
                <w:color w:val="FFFFFF"/>
                <w:spacing w:val="40"/>
                <w:w w:val="105"/>
                <w:sz w:val="16"/>
              </w:rPr>
              <w:t>  </w:t>
            </w:r>
            <w:r>
              <w:rPr>
                <w:color w:val="FFFFFF"/>
                <w:w w:val="105"/>
                <w:sz w:val="16"/>
              </w:rPr>
              <w:t>Causes</w:t>
            </w:r>
            <w:r>
              <w:rPr>
                <w:color w:val="FFFFFF"/>
                <w:spacing w:val="7"/>
                <w:w w:val="105"/>
                <w:sz w:val="16"/>
              </w:rPr>
              <w:t> </w:t>
            </w:r>
            <w:r>
              <w:rPr>
                <w:color w:val="FFFFFF"/>
                <w:w w:val="105"/>
                <w:sz w:val="16"/>
              </w:rPr>
              <w:t>of</w:t>
            </w:r>
            <w:r>
              <w:rPr>
                <w:color w:val="FFFFFF"/>
                <w:spacing w:val="7"/>
                <w:w w:val="105"/>
                <w:sz w:val="16"/>
              </w:rPr>
              <w:t> </w:t>
            </w:r>
            <w:r>
              <w:rPr>
                <w:color w:val="FFFFFF"/>
                <w:spacing w:val="-2"/>
                <w:w w:val="105"/>
                <w:sz w:val="16"/>
              </w:rPr>
              <w:t>Microcephaly</w:t>
            </w:r>
          </w:p>
        </w:tc>
      </w:tr>
      <w:tr>
        <w:trPr>
          <w:trHeight w:val="257" w:hRule="atLeast"/>
        </w:trPr>
        <w:tc>
          <w:tcPr>
            <w:tcW w:w="9782" w:type="dxa"/>
            <w:tcBorders>
              <w:bottom w:val="single" w:sz="4" w:space="0" w:color="231F20"/>
            </w:tcBorders>
            <w:shd w:val="clear" w:color="auto" w:fill="E8F5F1"/>
          </w:tcPr>
          <w:p>
            <w:pPr>
              <w:pStyle w:val="TableParagraph"/>
              <w:tabs>
                <w:tab w:pos="5106" w:val="left" w:leader="none"/>
              </w:tabs>
              <w:spacing w:before="47"/>
              <w:ind w:left="115"/>
              <w:rPr>
                <w:b/>
                <w:sz w:val="15"/>
              </w:rPr>
            </w:pPr>
            <w:r>
              <w:rPr>
                <w:b/>
                <w:color w:val="231F20"/>
                <w:spacing w:val="-2"/>
                <w:w w:val="110"/>
                <w:sz w:val="15"/>
              </w:rPr>
              <w:t>CAUSES</w:t>
            </w:r>
            <w:r>
              <w:rPr>
                <w:b/>
                <w:color w:val="231F20"/>
                <w:sz w:val="15"/>
              </w:rPr>
              <w:tab/>
            </w:r>
            <w:r>
              <w:rPr>
                <w:b/>
                <w:color w:val="231F20"/>
                <w:w w:val="105"/>
                <w:sz w:val="15"/>
              </w:rPr>
              <w:t>CHARACTERISTIC</w:t>
            </w:r>
            <w:r>
              <w:rPr>
                <w:b/>
                <w:color w:val="231F20"/>
                <w:spacing w:val="26"/>
                <w:w w:val="110"/>
                <w:sz w:val="15"/>
              </w:rPr>
              <w:t> </w:t>
            </w:r>
            <w:r>
              <w:rPr>
                <w:b/>
                <w:color w:val="231F20"/>
                <w:spacing w:val="-2"/>
                <w:w w:val="110"/>
                <w:sz w:val="15"/>
              </w:rPr>
              <w:t>FINDINGS</w:t>
            </w:r>
          </w:p>
        </w:tc>
      </w:tr>
      <w:tr>
        <w:trPr>
          <w:trHeight w:val="3962" w:hRule="atLeast"/>
        </w:trPr>
        <w:tc>
          <w:tcPr>
            <w:tcW w:w="9782" w:type="dxa"/>
            <w:tcBorders>
              <w:top w:val="single" w:sz="4" w:space="0" w:color="231F20"/>
              <w:bottom w:val="single" w:sz="4" w:space="0" w:color="FFFFFF"/>
            </w:tcBorders>
            <w:shd w:val="clear" w:color="auto" w:fill="E8F5F1"/>
          </w:tcPr>
          <w:p>
            <w:pPr>
              <w:pStyle w:val="TableParagraph"/>
              <w:spacing w:line="172" w:lineRule="exact" w:before="43"/>
              <w:ind w:left="115"/>
              <w:rPr>
                <w:sz w:val="15"/>
              </w:rPr>
            </w:pPr>
            <w:r>
              <w:rPr>
                <w:color w:val="231F20"/>
                <w:w w:val="110"/>
                <w:sz w:val="15"/>
              </w:rPr>
              <w:t>PRIMARY</w:t>
            </w:r>
            <w:r>
              <w:rPr>
                <w:color w:val="231F20"/>
                <w:spacing w:val="-1"/>
                <w:w w:val="110"/>
                <w:sz w:val="15"/>
              </w:rPr>
              <w:t> </w:t>
            </w:r>
            <w:r>
              <w:rPr>
                <w:color w:val="231F20"/>
                <w:spacing w:val="-2"/>
                <w:w w:val="110"/>
                <w:sz w:val="15"/>
              </w:rPr>
              <w:t>(GENETIC)</w:t>
            </w:r>
          </w:p>
          <w:p>
            <w:pPr>
              <w:pStyle w:val="TableParagraph"/>
              <w:tabs>
                <w:tab w:pos="2568" w:val="left" w:leader="none"/>
              </w:tabs>
              <w:spacing w:line="169" w:lineRule="exact"/>
              <w:ind w:left="115"/>
              <w:rPr>
                <w:sz w:val="15"/>
              </w:rPr>
            </w:pPr>
            <w:r>
              <w:rPr>
                <w:color w:val="231F20"/>
                <w:spacing w:val="-4"/>
                <w:sz w:val="15"/>
              </w:rPr>
              <w:t>Familial</w:t>
            </w:r>
            <w:r>
              <w:rPr>
                <w:color w:val="231F20"/>
                <w:spacing w:val="6"/>
                <w:sz w:val="15"/>
              </w:rPr>
              <w:t> </w:t>
            </w:r>
            <w:r>
              <w:rPr>
                <w:color w:val="231F20"/>
                <w:spacing w:val="-2"/>
                <w:sz w:val="15"/>
              </w:rPr>
              <w:t>(autosomal</w:t>
            </w:r>
            <w:r>
              <w:rPr>
                <w:color w:val="231F20"/>
                <w:sz w:val="15"/>
              </w:rPr>
              <w:tab/>
              <w:t>Incidence</w:t>
            </w:r>
            <w:r>
              <w:rPr>
                <w:color w:val="231F20"/>
                <w:spacing w:val="-11"/>
                <w:sz w:val="15"/>
              </w:rPr>
              <w:t> </w:t>
            </w:r>
            <w:r>
              <w:rPr>
                <w:color w:val="231F20"/>
                <w:sz w:val="15"/>
              </w:rPr>
              <w:t>1</w:t>
            </w:r>
            <w:r>
              <w:rPr>
                <w:color w:val="231F20"/>
                <w:spacing w:val="-10"/>
                <w:sz w:val="15"/>
              </w:rPr>
              <w:t> </w:t>
            </w:r>
            <w:r>
              <w:rPr>
                <w:color w:val="231F20"/>
                <w:sz w:val="15"/>
              </w:rPr>
              <w:t>in</w:t>
            </w:r>
            <w:r>
              <w:rPr>
                <w:color w:val="231F20"/>
                <w:spacing w:val="-10"/>
                <w:sz w:val="15"/>
              </w:rPr>
              <w:t> </w:t>
            </w:r>
            <w:r>
              <w:rPr>
                <w:color w:val="231F20"/>
                <w:sz w:val="15"/>
              </w:rPr>
              <w:t>40,000</w:t>
            </w:r>
            <w:r>
              <w:rPr>
                <w:color w:val="231F20"/>
                <w:spacing w:val="-10"/>
                <w:sz w:val="15"/>
              </w:rPr>
              <w:t> </w:t>
            </w:r>
            <w:r>
              <w:rPr>
                <w:color w:val="231F20"/>
                <w:sz w:val="15"/>
              </w:rPr>
              <w:t>live</w:t>
            </w:r>
            <w:r>
              <w:rPr>
                <w:color w:val="231F20"/>
                <w:spacing w:val="-11"/>
                <w:sz w:val="15"/>
              </w:rPr>
              <w:t> </w:t>
            </w:r>
            <w:r>
              <w:rPr>
                <w:color w:val="231F20"/>
                <w:spacing w:val="-2"/>
                <w:sz w:val="15"/>
              </w:rPr>
              <w:t>births</w:t>
            </w:r>
          </w:p>
          <w:p>
            <w:pPr>
              <w:pStyle w:val="TableParagraph"/>
              <w:tabs>
                <w:tab w:pos="2568" w:val="left" w:leader="none"/>
              </w:tabs>
              <w:spacing w:line="230" w:lineRule="auto" w:before="2"/>
              <w:ind w:left="2680" w:right="213" w:hanging="2453"/>
              <w:rPr>
                <w:sz w:val="15"/>
              </w:rPr>
            </w:pPr>
            <w:r>
              <w:rPr>
                <w:color w:val="231F20"/>
                <w:spacing w:val="-2"/>
                <w:sz w:val="15"/>
              </w:rPr>
              <w:t>recessive)</w:t>
            </w:r>
            <w:r>
              <w:rPr>
                <w:color w:val="231F20"/>
                <w:sz w:val="15"/>
              </w:rPr>
              <w:tab/>
              <w:t>Typical appearance with slanted forehead, prominent nose and ears; severe mental retardation and prominent</w:t>
            </w:r>
            <w:r>
              <w:rPr>
                <w:color w:val="231F20"/>
                <w:spacing w:val="-12"/>
                <w:sz w:val="15"/>
              </w:rPr>
              <w:t> </w:t>
            </w:r>
            <w:r>
              <w:rPr>
                <w:color w:val="231F20"/>
                <w:sz w:val="15"/>
              </w:rPr>
              <w:t>seizures;</w:t>
            </w:r>
            <w:r>
              <w:rPr>
                <w:color w:val="231F20"/>
                <w:spacing w:val="-11"/>
                <w:sz w:val="15"/>
              </w:rPr>
              <w:t> </w:t>
            </w:r>
            <w:r>
              <w:rPr>
                <w:color w:val="231F20"/>
                <w:sz w:val="15"/>
              </w:rPr>
              <w:t>surface</w:t>
            </w:r>
            <w:r>
              <w:rPr>
                <w:color w:val="231F20"/>
                <w:spacing w:val="-11"/>
                <w:sz w:val="15"/>
              </w:rPr>
              <w:t> </w:t>
            </w:r>
            <w:r>
              <w:rPr>
                <w:color w:val="231F20"/>
                <w:sz w:val="15"/>
              </w:rPr>
              <w:t>convolutional</w:t>
            </w:r>
            <w:r>
              <w:rPr>
                <w:color w:val="231F20"/>
                <w:spacing w:val="-12"/>
                <w:sz w:val="15"/>
              </w:rPr>
              <w:t> </w:t>
            </w:r>
            <w:r>
              <w:rPr>
                <w:color w:val="231F20"/>
                <w:sz w:val="15"/>
              </w:rPr>
              <w:t>markings</w:t>
            </w:r>
            <w:r>
              <w:rPr>
                <w:color w:val="231F20"/>
                <w:spacing w:val="-11"/>
                <w:sz w:val="15"/>
              </w:rPr>
              <w:t> </w:t>
            </w:r>
            <w:r>
              <w:rPr>
                <w:color w:val="231F20"/>
                <w:sz w:val="15"/>
              </w:rPr>
              <w:t>of</w:t>
            </w:r>
            <w:r>
              <w:rPr>
                <w:color w:val="231F20"/>
                <w:spacing w:val="-11"/>
                <w:sz w:val="15"/>
              </w:rPr>
              <w:t> </w:t>
            </w:r>
            <w:r>
              <w:rPr>
                <w:color w:val="231F20"/>
                <w:sz w:val="15"/>
              </w:rPr>
              <w:t>the</w:t>
            </w:r>
            <w:r>
              <w:rPr>
                <w:color w:val="231F20"/>
                <w:spacing w:val="-12"/>
                <w:sz w:val="15"/>
              </w:rPr>
              <w:t> </w:t>
            </w:r>
            <w:r>
              <w:rPr>
                <w:color w:val="231F20"/>
                <w:sz w:val="15"/>
              </w:rPr>
              <w:t>brain,</w:t>
            </w:r>
            <w:r>
              <w:rPr>
                <w:color w:val="231F20"/>
                <w:spacing w:val="-11"/>
                <w:sz w:val="15"/>
              </w:rPr>
              <w:t> </w:t>
            </w:r>
            <w:r>
              <w:rPr>
                <w:color w:val="231F20"/>
                <w:sz w:val="15"/>
              </w:rPr>
              <w:t>poorly</w:t>
            </w:r>
            <w:r>
              <w:rPr>
                <w:color w:val="231F20"/>
                <w:spacing w:val="-11"/>
                <w:sz w:val="15"/>
              </w:rPr>
              <w:t> </w:t>
            </w:r>
            <w:r>
              <w:rPr>
                <w:color w:val="231F20"/>
                <w:sz w:val="15"/>
              </w:rPr>
              <w:t>differentiated</w:t>
            </w:r>
            <w:r>
              <w:rPr>
                <w:color w:val="231F20"/>
                <w:spacing w:val="-11"/>
                <w:sz w:val="15"/>
              </w:rPr>
              <w:t> </w:t>
            </w:r>
            <w:r>
              <w:rPr>
                <w:color w:val="231F20"/>
                <w:sz w:val="15"/>
              </w:rPr>
              <w:t>and</w:t>
            </w:r>
            <w:r>
              <w:rPr>
                <w:color w:val="231F20"/>
                <w:spacing w:val="-12"/>
                <w:sz w:val="15"/>
              </w:rPr>
              <w:t> </w:t>
            </w:r>
            <w:r>
              <w:rPr>
                <w:color w:val="231F20"/>
                <w:sz w:val="15"/>
              </w:rPr>
              <w:t>disorganized </w:t>
            </w:r>
            <w:r>
              <w:rPr>
                <w:color w:val="231F20"/>
                <w:spacing w:val="-2"/>
                <w:sz w:val="15"/>
              </w:rPr>
              <w:t>cytoarchitecture</w:t>
            </w:r>
          </w:p>
          <w:p>
            <w:pPr>
              <w:pStyle w:val="TableParagraph"/>
              <w:tabs>
                <w:tab w:pos="2568" w:val="left" w:leader="none"/>
              </w:tabs>
              <w:spacing w:line="230" w:lineRule="auto" w:before="4"/>
              <w:ind w:left="2568" w:right="859" w:hanging="2453"/>
              <w:rPr>
                <w:sz w:val="15"/>
              </w:rPr>
            </w:pPr>
            <w:r>
              <w:rPr>
                <w:color w:val="231F20"/>
                <w:sz w:val="15"/>
              </w:rPr>
              <w:t>Autosomal dominant</w:t>
              <w:tab/>
              <w:t>Nondistinctive</w:t>
            </w:r>
            <w:r>
              <w:rPr>
                <w:color w:val="231F20"/>
                <w:spacing w:val="-12"/>
                <w:sz w:val="15"/>
              </w:rPr>
              <w:t> </w:t>
            </w:r>
            <w:r>
              <w:rPr>
                <w:color w:val="231F20"/>
                <w:sz w:val="15"/>
              </w:rPr>
              <w:t>facies,</w:t>
            </w:r>
            <w:r>
              <w:rPr>
                <w:color w:val="231F20"/>
                <w:spacing w:val="-11"/>
                <w:sz w:val="15"/>
              </w:rPr>
              <w:t> </w:t>
            </w:r>
            <w:r>
              <w:rPr>
                <w:color w:val="231F20"/>
                <w:sz w:val="15"/>
              </w:rPr>
              <w:t>upslanting</w:t>
            </w:r>
            <w:r>
              <w:rPr>
                <w:color w:val="231F20"/>
                <w:spacing w:val="-11"/>
                <w:sz w:val="15"/>
              </w:rPr>
              <w:t> </w:t>
            </w:r>
            <w:r>
              <w:rPr>
                <w:color w:val="231F20"/>
                <w:sz w:val="15"/>
              </w:rPr>
              <w:t>palpebral</w:t>
            </w:r>
            <w:r>
              <w:rPr>
                <w:color w:val="231F20"/>
                <w:spacing w:val="-12"/>
                <w:sz w:val="15"/>
              </w:rPr>
              <w:t> </w:t>
            </w:r>
            <w:r>
              <w:rPr>
                <w:color w:val="231F20"/>
                <w:sz w:val="15"/>
              </w:rPr>
              <w:t>fissures,</w:t>
            </w:r>
            <w:r>
              <w:rPr>
                <w:color w:val="231F20"/>
                <w:spacing w:val="-11"/>
                <w:sz w:val="15"/>
              </w:rPr>
              <w:t> </w:t>
            </w:r>
            <w:r>
              <w:rPr>
                <w:color w:val="231F20"/>
                <w:sz w:val="15"/>
              </w:rPr>
              <w:t>mild</w:t>
            </w:r>
            <w:r>
              <w:rPr>
                <w:color w:val="231F20"/>
                <w:spacing w:val="-11"/>
                <w:sz w:val="15"/>
              </w:rPr>
              <w:t> </w:t>
            </w:r>
            <w:r>
              <w:rPr>
                <w:color w:val="231F20"/>
                <w:sz w:val="15"/>
              </w:rPr>
              <w:t>forehead</w:t>
            </w:r>
            <w:r>
              <w:rPr>
                <w:color w:val="231F20"/>
                <w:spacing w:val="-12"/>
                <w:sz w:val="15"/>
              </w:rPr>
              <w:t> </w:t>
            </w:r>
            <w:r>
              <w:rPr>
                <w:color w:val="231F20"/>
                <w:sz w:val="15"/>
              </w:rPr>
              <w:t>slanting,</w:t>
            </w:r>
            <w:r>
              <w:rPr>
                <w:color w:val="231F20"/>
                <w:spacing w:val="-11"/>
                <w:sz w:val="15"/>
              </w:rPr>
              <w:t> </w:t>
            </w:r>
            <w:r>
              <w:rPr>
                <w:color w:val="231F20"/>
                <w:sz w:val="15"/>
              </w:rPr>
              <w:t>and</w:t>
            </w:r>
            <w:r>
              <w:rPr>
                <w:color w:val="231F20"/>
                <w:spacing w:val="-11"/>
                <w:sz w:val="15"/>
              </w:rPr>
              <w:t> </w:t>
            </w:r>
            <w:r>
              <w:rPr>
                <w:color w:val="231F20"/>
                <w:sz w:val="15"/>
              </w:rPr>
              <w:t>prominent</w:t>
            </w:r>
            <w:r>
              <w:rPr>
                <w:color w:val="231F20"/>
                <w:spacing w:val="-11"/>
                <w:sz w:val="15"/>
              </w:rPr>
              <w:t> </w:t>
            </w:r>
            <w:r>
              <w:rPr>
                <w:color w:val="231F20"/>
                <w:sz w:val="15"/>
              </w:rPr>
              <w:t>ears Normal linear growth, seizures readily controlled, and mild or borderline mental retardation</w:t>
            </w:r>
          </w:p>
          <w:p>
            <w:pPr>
              <w:pStyle w:val="TableParagraph"/>
              <w:spacing w:line="170" w:lineRule="exact"/>
              <w:ind w:left="115"/>
              <w:rPr>
                <w:i/>
                <w:sz w:val="15"/>
              </w:rPr>
            </w:pPr>
            <w:r>
              <w:rPr>
                <w:i/>
                <w:color w:val="231F20"/>
                <w:spacing w:val="-2"/>
                <w:w w:val="105"/>
                <w:sz w:val="15"/>
              </w:rPr>
              <w:t>Syndromes</w:t>
            </w:r>
          </w:p>
          <w:p>
            <w:pPr>
              <w:pStyle w:val="TableParagraph"/>
              <w:tabs>
                <w:tab w:pos="2568" w:val="left" w:leader="none"/>
              </w:tabs>
              <w:spacing w:line="169" w:lineRule="exact"/>
              <w:ind w:left="115"/>
              <w:rPr>
                <w:sz w:val="15"/>
              </w:rPr>
            </w:pPr>
            <w:r>
              <w:rPr>
                <w:color w:val="231F20"/>
                <w:sz w:val="15"/>
              </w:rPr>
              <w:t>Down</w:t>
            </w:r>
            <w:r>
              <w:rPr>
                <w:color w:val="231F20"/>
                <w:spacing w:val="-7"/>
                <w:sz w:val="15"/>
              </w:rPr>
              <w:t> </w:t>
            </w:r>
            <w:r>
              <w:rPr>
                <w:color w:val="231F20"/>
                <w:sz w:val="15"/>
              </w:rPr>
              <w:t>(trisomy</w:t>
            </w:r>
            <w:r>
              <w:rPr>
                <w:color w:val="231F20"/>
                <w:spacing w:val="-7"/>
                <w:sz w:val="15"/>
              </w:rPr>
              <w:t> </w:t>
            </w:r>
            <w:r>
              <w:rPr>
                <w:color w:val="231F20"/>
                <w:spacing w:val="-5"/>
                <w:sz w:val="15"/>
              </w:rPr>
              <w:t>21)</w:t>
            </w:r>
            <w:r>
              <w:rPr>
                <w:color w:val="231F20"/>
                <w:sz w:val="15"/>
              </w:rPr>
              <w:tab/>
              <w:t>Incidence</w:t>
            </w:r>
            <w:r>
              <w:rPr>
                <w:color w:val="231F20"/>
                <w:spacing w:val="-7"/>
                <w:sz w:val="15"/>
              </w:rPr>
              <w:t> </w:t>
            </w:r>
            <w:r>
              <w:rPr>
                <w:color w:val="231F20"/>
                <w:sz w:val="15"/>
              </w:rPr>
              <w:t>1</w:t>
            </w:r>
            <w:r>
              <w:rPr>
                <w:color w:val="231F20"/>
                <w:spacing w:val="-7"/>
                <w:sz w:val="15"/>
              </w:rPr>
              <w:t> </w:t>
            </w:r>
            <w:r>
              <w:rPr>
                <w:color w:val="231F20"/>
                <w:sz w:val="15"/>
              </w:rPr>
              <w:t>in</w:t>
            </w:r>
            <w:r>
              <w:rPr>
                <w:color w:val="231F20"/>
                <w:spacing w:val="-7"/>
                <w:sz w:val="15"/>
              </w:rPr>
              <w:t> </w:t>
            </w:r>
            <w:r>
              <w:rPr>
                <w:color w:val="231F20"/>
                <w:sz w:val="15"/>
              </w:rPr>
              <w:t>800</w:t>
            </w:r>
            <w:r>
              <w:rPr>
                <w:color w:val="231F20"/>
                <w:spacing w:val="-6"/>
                <w:sz w:val="15"/>
              </w:rPr>
              <w:t> </w:t>
            </w:r>
            <w:r>
              <w:rPr>
                <w:color w:val="231F20"/>
                <w:sz w:val="15"/>
              </w:rPr>
              <w:t>live</w:t>
            </w:r>
            <w:r>
              <w:rPr>
                <w:color w:val="231F20"/>
                <w:spacing w:val="-7"/>
                <w:sz w:val="15"/>
              </w:rPr>
              <w:t> </w:t>
            </w:r>
            <w:r>
              <w:rPr>
                <w:color w:val="231F20"/>
                <w:spacing w:val="-2"/>
                <w:sz w:val="15"/>
              </w:rPr>
              <w:t>births</w:t>
            </w:r>
          </w:p>
          <w:p>
            <w:pPr>
              <w:pStyle w:val="TableParagraph"/>
              <w:spacing w:line="230" w:lineRule="auto" w:before="3"/>
              <w:ind w:left="2680" w:hanging="112"/>
              <w:rPr>
                <w:sz w:val="15"/>
              </w:rPr>
            </w:pPr>
            <w:r>
              <w:rPr>
                <w:color w:val="231F20"/>
                <w:sz w:val="15"/>
              </w:rPr>
              <w:t>Abnormal</w:t>
            </w:r>
            <w:r>
              <w:rPr>
                <w:color w:val="231F20"/>
                <w:spacing w:val="-7"/>
                <w:sz w:val="15"/>
              </w:rPr>
              <w:t> </w:t>
            </w:r>
            <w:r>
              <w:rPr>
                <w:color w:val="231F20"/>
                <w:sz w:val="15"/>
              </w:rPr>
              <w:t>rounding</w:t>
            </w:r>
            <w:r>
              <w:rPr>
                <w:color w:val="231F20"/>
                <w:spacing w:val="-7"/>
                <w:sz w:val="15"/>
              </w:rPr>
              <w:t> </w:t>
            </w:r>
            <w:r>
              <w:rPr>
                <w:color w:val="231F20"/>
                <w:sz w:val="15"/>
              </w:rPr>
              <w:t>of</w:t>
            </w:r>
            <w:r>
              <w:rPr>
                <w:color w:val="231F20"/>
                <w:spacing w:val="-7"/>
                <w:sz w:val="15"/>
              </w:rPr>
              <w:t> </w:t>
            </w:r>
            <w:r>
              <w:rPr>
                <w:color w:val="231F20"/>
                <w:sz w:val="15"/>
              </w:rPr>
              <w:t>occipital</w:t>
            </w:r>
            <w:r>
              <w:rPr>
                <w:color w:val="231F20"/>
                <w:spacing w:val="-7"/>
                <w:sz w:val="15"/>
              </w:rPr>
              <w:t> </w:t>
            </w:r>
            <w:r>
              <w:rPr>
                <w:color w:val="231F20"/>
                <w:sz w:val="15"/>
              </w:rPr>
              <w:t>and</w:t>
            </w:r>
            <w:r>
              <w:rPr>
                <w:color w:val="231F20"/>
                <w:spacing w:val="-7"/>
                <w:sz w:val="15"/>
              </w:rPr>
              <w:t> </w:t>
            </w:r>
            <w:r>
              <w:rPr>
                <w:color w:val="231F20"/>
                <w:sz w:val="15"/>
              </w:rPr>
              <w:t>frontal</w:t>
            </w:r>
            <w:r>
              <w:rPr>
                <w:color w:val="231F20"/>
                <w:spacing w:val="-7"/>
                <w:sz w:val="15"/>
              </w:rPr>
              <w:t> </w:t>
            </w:r>
            <w:r>
              <w:rPr>
                <w:color w:val="231F20"/>
                <w:sz w:val="15"/>
              </w:rPr>
              <w:t>lobes</w:t>
            </w:r>
            <w:r>
              <w:rPr>
                <w:color w:val="231F20"/>
                <w:spacing w:val="-7"/>
                <w:sz w:val="15"/>
              </w:rPr>
              <w:t> </w:t>
            </w:r>
            <w:r>
              <w:rPr>
                <w:color w:val="231F20"/>
                <w:sz w:val="15"/>
              </w:rPr>
              <w:t>and</w:t>
            </w:r>
            <w:r>
              <w:rPr>
                <w:color w:val="231F20"/>
                <w:spacing w:val="-7"/>
                <w:sz w:val="15"/>
              </w:rPr>
              <w:t> </w:t>
            </w:r>
            <w:r>
              <w:rPr>
                <w:color w:val="231F20"/>
                <w:sz w:val="15"/>
              </w:rPr>
              <w:t>a</w:t>
            </w:r>
            <w:r>
              <w:rPr>
                <w:color w:val="231F20"/>
                <w:spacing w:val="-7"/>
                <w:sz w:val="15"/>
              </w:rPr>
              <w:t> </w:t>
            </w:r>
            <w:r>
              <w:rPr>
                <w:color w:val="231F20"/>
                <w:sz w:val="15"/>
              </w:rPr>
              <w:t>small</w:t>
            </w:r>
            <w:r>
              <w:rPr>
                <w:color w:val="231F20"/>
                <w:spacing w:val="-7"/>
                <w:sz w:val="15"/>
              </w:rPr>
              <w:t> </w:t>
            </w:r>
            <w:r>
              <w:rPr>
                <w:color w:val="231F20"/>
                <w:sz w:val="15"/>
              </w:rPr>
              <w:t>cerebellum;</w:t>
            </w:r>
            <w:r>
              <w:rPr>
                <w:color w:val="231F20"/>
                <w:spacing w:val="-7"/>
                <w:sz w:val="15"/>
              </w:rPr>
              <w:t> </w:t>
            </w:r>
            <w:r>
              <w:rPr>
                <w:color w:val="231F20"/>
                <w:sz w:val="15"/>
              </w:rPr>
              <w:t>narrow</w:t>
            </w:r>
            <w:r>
              <w:rPr>
                <w:color w:val="231F20"/>
                <w:spacing w:val="-7"/>
                <w:sz w:val="15"/>
              </w:rPr>
              <w:t> </w:t>
            </w:r>
            <w:r>
              <w:rPr>
                <w:color w:val="231F20"/>
                <w:sz w:val="15"/>
              </w:rPr>
              <w:t>superior</w:t>
            </w:r>
            <w:r>
              <w:rPr>
                <w:color w:val="231F20"/>
                <w:spacing w:val="-7"/>
                <w:sz w:val="15"/>
              </w:rPr>
              <w:t> </w:t>
            </w:r>
            <w:r>
              <w:rPr>
                <w:color w:val="231F20"/>
                <w:sz w:val="15"/>
              </w:rPr>
              <w:t>temporal</w:t>
            </w:r>
            <w:r>
              <w:rPr>
                <w:color w:val="231F20"/>
                <w:spacing w:val="-7"/>
                <w:sz w:val="15"/>
              </w:rPr>
              <w:t> </w:t>
            </w:r>
            <w:r>
              <w:rPr>
                <w:color w:val="231F20"/>
                <w:sz w:val="15"/>
              </w:rPr>
              <w:t>gyrus, propensity</w:t>
            </w:r>
            <w:r>
              <w:rPr>
                <w:color w:val="231F20"/>
                <w:spacing w:val="-12"/>
                <w:sz w:val="15"/>
              </w:rPr>
              <w:t> </w:t>
            </w:r>
            <w:r>
              <w:rPr>
                <w:color w:val="231F20"/>
                <w:sz w:val="15"/>
              </w:rPr>
              <w:t>for</w:t>
            </w:r>
            <w:r>
              <w:rPr>
                <w:color w:val="231F20"/>
                <w:spacing w:val="-11"/>
                <w:sz w:val="15"/>
              </w:rPr>
              <w:t> </w:t>
            </w:r>
            <w:r>
              <w:rPr>
                <w:color w:val="231F20"/>
                <w:sz w:val="15"/>
              </w:rPr>
              <w:t>Alzheimer</w:t>
            </w:r>
            <w:r>
              <w:rPr>
                <w:color w:val="231F20"/>
                <w:spacing w:val="-11"/>
                <w:sz w:val="15"/>
              </w:rPr>
              <w:t> </w:t>
            </w:r>
            <w:r>
              <w:rPr>
                <w:color w:val="231F20"/>
                <w:sz w:val="15"/>
              </w:rPr>
              <w:t>neurofibrillary</w:t>
            </w:r>
            <w:r>
              <w:rPr>
                <w:color w:val="231F20"/>
                <w:spacing w:val="-12"/>
                <w:sz w:val="15"/>
              </w:rPr>
              <w:t> </w:t>
            </w:r>
            <w:r>
              <w:rPr>
                <w:color w:val="231F20"/>
                <w:sz w:val="15"/>
              </w:rPr>
              <w:t>alterations,</w:t>
            </w:r>
            <w:r>
              <w:rPr>
                <w:color w:val="231F20"/>
                <w:spacing w:val="-11"/>
                <w:sz w:val="15"/>
              </w:rPr>
              <w:t> </w:t>
            </w:r>
            <w:r>
              <w:rPr>
                <w:color w:val="231F20"/>
                <w:sz w:val="15"/>
              </w:rPr>
              <w:t>ultrastructure</w:t>
            </w:r>
            <w:r>
              <w:rPr>
                <w:color w:val="231F20"/>
                <w:spacing w:val="-11"/>
                <w:sz w:val="15"/>
              </w:rPr>
              <w:t> </w:t>
            </w:r>
            <w:r>
              <w:rPr>
                <w:color w:val="231F20"/>
                <w:sz w:val="15"/>
              </w:rPr>
              <w:t>abnormalities</w:t>
            </w:r>
            <w:r>
              <w:rPr>
                <w:color w:val="231F20"/>
                <w:spacing w:val="-12"/>
                <w:sz w:val="15"/>
              </w:rPr>
              <w:t> </w:t>
            </w:r>
            <w:r>
              <w:rPr>
                <w:color w:val="231F20"/>
                <w:sz w:val="15"/>
              </w:rPr>
              <w:t>of</w:t>
            </w:r>
            <w:r>
              <w:rPr>
                <w:color w:val="231F20"/>
                <w:spacing w:val="-11"/>
                <w:sz w:val="15"/>
              </w:rPr>
              <w:t> </w:t>
            </w:r>
            <w:r>
              <w:rPr>
                <w:color w:val="231F20"/>
                <w:sz w:val="15"/>
              </w:rPr>
              <w:t>cerebral</w:t>
            </w:r>
            <w:r>
              <w:rPr>
                <w:color w:val="231F20"/>
                <w:spacing w:val="-11"/>
                <w:sz w:val="15"/>
              </w:rPr>
              <w:t> </w:t>
            </w:r>
            <w:r>
              <w:rPr>
                <w:color w:val="231F20"/>
                <w:sz w:val="15"/>
              </w:rPr>
              <w:t>cortex</w:t>
            </w:r>
          </w:p>
          <w:p>
            <w:pPr>
              <w:pStyle w:val="TableParagraph"/>
              <w:tabs>
                <w:tab w:pos="2568" w:val="left" w:leader="none"/>
              </w:tabs>
              <w:spacing w:line="168" w:lineRule="exact"/>
              <w:ind w:left="115"/>
              <w:rPr>
                <w:sz w:val="15"/>
              </w:rPr>
            </w:pPr>
            <w:r>
              <w:rPr>
                <w:color w:val="231F20"/>
                <w:spacing w:val="-2"/>
                <w:sz w:val="15"/>
              </w:rPr>
              <w:t>Edward</w:t>
            </w:r>
            <w:r>
              <w:rPr>
                <w:color w:val="231F20"/>
                <w:sz w:val="15"/>
              </w:rPr>
              <w:t> </w:t>
            </w:r>
            <w:r>
              <w:rPr>
                <w:color w:val="231F20"/>
                <w:spacing w:val="-2"/>
                <w:sz w:val="15"/>
              </w:rPr>
              <w:t>(trisomy</w:t>
            </w:r>
            <w:r>
              <w:rPr>
                <w:color w:val="231F20"/>
                <w:spacing w:val="1"/>
                <w:sz w:val="15"/>
              </w:rPr>
              <w:t> </w:t>
            </w:r>
            <w:r>
              <w:rPr>
                <w:color w:val="231F20"/>
                <w:spacing w:val="-5"/>
                <w:sz w:val="15"/>
              </w:rPr>
              <w:t>18)</w:t>
            </w:r>
            <w:r>
              <w:rPr>
                <w:color w:val="231F20"/>
                <w:sz w:val="15"/>
              </w:rPr>
              <w:tab/>
              <w:t>Incidence</w:t>
            </w:r>
            <w:r>
              <w:rPr>
                <w:color w:val="231F20"/>
                <w:spacing w:val="-11"/>
                <w:sz w:val="15"/>
              </w:rPr>
              <w:t> </w:t>
            </w:r>
            <w:r>
              <w:rPr>
                <w:color w:val="231F20"/>
                <w:sz w:val="15"/>
              </w:rPr>
              <w:t>1</w:t>
            </w:r>
            <w:r>
              <w:rPr>
                <w:color w:val="231F20"/>
                <w:spacing w:val="-10"/>
                <w:sz w:val="15"/>
              </w:rPr>
              <w:t> </w:t>
            </w:r>
            <w:r>
              <w:rPr>
                <w:color w:val="231F20"/>
                <w:sz w:val="15"/>
              </w:rPr>
              <w:t>in</w:t>
            </w:r>
            <w:r>
              <w:rPr>
                <w:color w:val="231F20"/>
                <w:spacing w:val="-10"/>
                <w:sz w:val="15"/>
              </w:rPr>
              <w:t> </w:t>
            </w:r>
            <w:r>
              <w:rPr>
                <w:color w:val="231F20"/>
                <w:sz w:val="15"/>
              </w:rPr>
              <w:t>6,500</w:t>
            </w:r>
            <w:r>
              <w:rPr>
                <w:color w:val="231F20"/>
                <w:spacing w:val="-10"/>
                <w:sz w:val="15"/>
              </w:rPr>
              <w:t> </w:t>
            </w:r>
            <w:r>
              <w:rPr>
                <w:color w:val="231F20"/>
                <w:sz w:val="15"/>
              </w:rPr>
              <w:t>live</w:t>
            </w:r>
            <w:r>
              <w:rPr>
                <w:color w:val="231F20"/>
                <w:spacing w:val="-10"/>
                <w:sz w:val="15"/>
              </w:rPr>
              <w:t> </w:t>
            </w:r>
            <w:r>
              <w:rPr>
                <w:color w:val="231F20"/>
                <w:spacing w:val="-2"/>
                <w:sz w:val="15"/>
              </w:rPr>
              <w:t>births</w:t>
            </w:r>
          </w:p>
          <w:p>
            <w:pPr>
              <w:pStyle w:val="TableParagraph"/>
              <w:spacing w:line="230" w:lineRule="auto" w:before="2"/>
              <w:ind w:left="2680" w:hanging="112"/>
              <w:rPr>
                <w:sz w:val="15"/>
              </w:rPr>
            </w:pPr>
            <w:r>
              <w:rPr>
                <w:color w:val="231F20"/>
                <w:spacing w:val="-2"/>
                <w:sz w:val="15"/>
              </w:rPr>
              <w:t>Low birthweight, microstomia, micrognathia, low-set malformed ears, prominent occiput, rocker-</w:t>
            </w:r>
            <w:r>
              <w:rPr>
                <w:color w:val="231F20"/>
                <w:spacing w:val="-2"/>
                <w:sz w:val="15"/>
              </w:rPr>
              <w:t>bottom </w:t>
            </w:r>
            <w:r>
              <w:rPr>
                <w:color w:val="231F20"/>
                <w:sz w:val="15"/>
              </w:rPr>
              <w:t>feet,</w:t>
            </w:r>
            <w:r>
              <w:rPr>
                <w:color w:val="231F20"/>
                <w:spacing w:val="-3"/>
                <w:sz w:val="15"/>
              </w:rPr>
              <w:t> </w:t>
            </w:r>
            <w:r>
              <w:rPr>
                <w:color w:val="231F20"/>
                <w:sz w:val="15"/>
              </w:rPr>
              <w:t>flexion</w:t>
            </w:r>
            <w:r>
              <w:rPr>
                <w:color w:val="231F20"/>
                <w:spacing w:val="-3"/>
                <w:sz w:val="15"/>
              </w:rPr>
              <w:t> </w:t>
            </w:r>
            <w:r>
              <w:rPr>
                <w:color w:val="231F20"/>
                <w:sz w:val="15"/>
              </w:rPr>
              <w:t>deformities</w:t>
            </w:r>
            <w:r>
              <w:rPr>
                <w:color w:val="231F20"/>
                <w:spacing w:val="-3"/>
                <w:sz w:val="15"/>
              </w:rPr>
              <w:t> </w:t>
            </w:r>
            <w:r>
              <w:rPr>
                <w:color w:val="231F20"/>
                <w:sz w:val="15"/>
              </w:rPr>
              <w:t>of</w:t>
            </w:r>
            <w:r>
              <w:rPr>
                <w:color w:val="231F20"/>
                <w:spacing w:val="-3"/>
                <w:sz w:val="15"/>
              </w:rPr>
              <w:t> </w:t>
            </w:r>
            <w:r>
              <w:rPr>
                <w:color w:val="231F20"/>
                <w:sz w:val="15"/>
              </w:rPr>
              <w:t>fingers,</w:t>
            </w:r>
            <w:r>
              <w:rPr>
                <w:color w:val="231F20"/>
                <w:spacing w:val="-3"/>
                <w:sz w:val="15"/>
              </w:rPr>
              <w:t> </w:t>
            </w:r>
            <w:r>
              <w:rPr>
                <w:color w:val="231F20"/>
                <w:sz w:val="15"/>
              </w:rPr>
              <w:t>congenital</w:t>
            </w:r>
            <w:r>
              <w:rPr>
                <w:color w:val="231F20"/>
                <w:spacing w:val="-3"/>
                <w:sz w:val="15"/>
              </w:rPr>
              <w:t> </w:t>
            </w:r>
            <w:r>
              <w:rPr>
                <w:color w:val="231F20"/>
                <w:sz w:val="15"/>
              </w:rPr>
              <w:t>heart</w:t>
            </w:r>
            <w:r>
              <w:rPr>
                <w:color w:val="231F20"/>
                <w:spacing w:val="-3"/>
                <w:sz w:val="15"/>
              </w:rPr>
              <w:t> </w:t>
            </w:r>
            <w:r>
              <w:rPr>
                <w:color w:val="231F20"/>
                <w:sz w:val="15"/>
              </w:rPr>
              <w:t>disease,</w:t>
            </w:r>
            <w:r>
              <w:rPr>
                <w:color w:val="231F20"/>
                <w:spacing w:val="-3"/>
                <w:sz w:val="15"/>
              </w:rPr>
              <w:t> </w:t>
            </w:r>
            <w:r>
              <w:rPr>
                <w:color w:val="231F20"/>
                <w:sz w:val="15"/>
              </w:rPr>
              <w:t>increased</w:t>
            </w:r>
            <w:r>
              <w:rPr>
                <w:color w:val="231F20"/>
                <w:spacing w:val="-3"/>
                <w:sz w:val="15"/>
              </w:rPr>
              <w:t> </w:t>
            </w:r>
            <w:r>
              <w:rPr>
                <w:color w:val="231F20"/>
                <w:sz w:val="15"/>
              </w:rPr>
              <w:t>gyri,</w:t>
            </w:r>
            <w:r>
              <w:rPr>
                <w:color w:val="231F20"/>
                <w:spacing w:val="-3"/>
                <w:sz w:val="15"/>
              </w:rPr>
              <w:t> </w:t>
            </w:r>
            <w:r>
              <w:rPr>
                <w:color w:val="231F20"/>
                <w:sz w:val="15"/>
              </w:rPr>
              <w:t>heterotopias</w:t>
            </w:r>
            <w:r>
              <w:rPr>
                <w:color w:val="231F20"/>
                <w:spacing w:val="-3"/>
                <w:sz w:val="15"/>
              </w:rPr>
              <w:t> </w:t>
            </w:r>
            <w:r>
              <w:rPr>
                <w:color w:val="231F20"/>
                <w:sz w:val="15"/>
              </w:rPr>
              <w:t>of</w:t>
            </w:r>
            <w:r>
              <w:rPr>
                <w:color w:val="231F20"/>
                <w:spacing w:val="-3"/>
                <w:sz w:val="15"/>
              </w:rPr>
              <w:t> </w:t>
            </w:r>
            <w:r>
              <w:rPr>
                <w:color w:val="231F20"/>
                <w:sz w:val="15"/>
              </w:rPr>
              <w:t>neurons</w:t>
            </w:r>
          </w:p>
          <w:p>
            <w:pPr>
              <w:pStyle w:val="TableParagraph"/>
              <w:tabs>
                <w:tab w:pos="2568" w:val="left" w:leader="none"/>
              </w:tabs>
              <w:spacing w:line="168" w:lineRule="exact"/>
              <w:ind w:left="115"/>
              <w:rPr>
                <w:sz w:val="15"/>
              </w:rPr>
            </w:pPr>
            <w:r>
              <w:rPr>
                <w:color w:val="231F20"/>
                <w:spacing w:val="-2"/>
                <w:sz w:val="15"/>
              </w:rPr>
              <w:t>Cri-du-chat</w:t>
            </w:r>
            <w:r>
              <w:rPr>
                <w:color w:val="231F20"/>
                <w:spacing w:val="-6"/>
                <w:sz w:val="15"/>
              </w:rPr>
              <w:t> </w:t>
            </w:r>
            <w:r>
              <w:rPr>
                <w:color w:val="231F20"/>
                <w:spacing w:val="-2"/>
                <w:sz w:val="15"/>
              </w:rPr>
              <w:t>(5</w:t>
            </w:r>
            <w:r>
              <w:rPr>
                <w:color w:val="231F20"/>
                <w:spacing w:val="-6"/>
                <w:sz w:val="15"/>
              </w:rPr>
              <w:t> </w:t>
            </w:r>
            <w:r>
              <w:rPr>
                <w:color w:val="231F20"/>
                <w:spacing w:val="-2"/>
                <w:sz w:val="15"/>
              </w:rPr>
              <w:t>p-</w:t>
            </w:r>
            <w:r>
              <w:rPr>
                <w:color w:val="231F20"/>
                <w:spacing w:val="-10"/>
                <w:sz w:val="15"/>
              </w:rPr>
              <w:t>)</w:t>
            </w:r>
            <w:r>
              <w:rPr>
                <w:color w:val="231F20"/>
                <w:sz w:val="15"/>
              </w:rPr>
              <w:tab/>
              <w:t>Incidence</w:t>
            </w:r>
            <w:r>
              <w:rPr>
                <w:color w:val="231F20"/>
                <w:spacing w:val="-11"/>
                <w:sz w:val="15"/>
              </w:rPr>
              <w:t> </w:t>
            </w:r>
            <w:r>
              <w:rPr>
                <w:color w:val="231F20"/>
                <w:sz w:val="15"/>
              </w:rPr>
              <w:t>1</w:t>
            </w:r>
            <w:r>
              <w:rPr>
                <w:color w:val="231F20"/>
                <w:spacing w:val="-10"/>
                <w:sz w:val="15"/>
              </w:rPr>
              <w:t> </w:t>
            </w:r>
            <w:r>
              <w:rPr>
                <w:color w:val="231F20"/>
                <w:sz w:val="15"/>
              </w:rPr>
              <w:t>in</w:t>
            </w:r>
            <w:r>
              <w:rPr>
                <w:color w:val="231F20"/>
                <w:spacing w:val="-10"/>
                <w:sz w:val="15"/>
              </w:rPr>
              <w:t> </w:t>
            </w:r>
            <w:r>
              <w:rPr>
                <w:color w:val="231F20"/>
                <w:sz w:val="15"/>
              </w:rPr>
              <w:t>50,000</w:t>
            </w:r>
            <w:r>
              <w:rPr>
                <w:color w:val="231F20"/>
                <w:spacing w:val="-10"/>
                <w:sz w:val="15"/>
              </w:rPr>
              <w:t> </w:t>
            </w:r>
            <w:r>
              <w:rPr>
                <w:color w:val="231F20"/>
                <w:sz w:val="15"/>
              </w:rPr>
              <w:t>live</w:t>
            </w:r>
            <w:r>
              <w:rPr>
                <w:color w:val="231F20"/>
                <w:spacing w:val="-11"/>
                <w:sz w:val="15"/>
              </w:rPr>
              <w:t> </w:t>
            </w:r>
            <w:r>
              <w:rPr>
                <w:color w:val="231F20"/>
                <w:spacing w:val="-2"/>
                <w:sz w:val="15"/>
              </w:rPr>
              <w:t>births</w:t>
            </w:r>
          </w:p>
          <w:p>
            <w:pPr>
              <w:pStyle w:val="TableParagraph"/>
              <w:spacing w:line="230" w:lineRule="auto" w:before="3"/>
              <w:ind w:left="2568" w:right="1295"/>
              <w:rPr>
                <w:sz w:val="15"/>
              </w:rPr>
            </w:pPr>
            <w:r>
              <w:rPr>
                <w:color w:val="231F20"/>
                <w:spacing w:val="-2"/>
                <w:sz w:val="15"/>
              </w:rPr>
              <w:t>Round</w:t>
            </w:r>
            <w:r>
              <w:rPr>
                <w:color w:val="231F20"/>
                <w:spacing w:val="-8"/>
                <w:sz w:val="15"/>
              </w:rPr>
              <w:t> </w:t>
            </w:r>
            <w:r>
              <w:rPr>
                <w:color w:val="231F20"/>
                <w:spacing w:val="-2"/>
                <w:sz w:val="15"/>
              </w:rPr>
              <w:t>facies,</w:t>
            </w:r>
            <w:r>
              <w:rPr>
                <w:color w:val="231F20"/>
                <w:spacing w:val="-8"/>
                <w:sz w:val="15"/>
              </w:rPr>
              <w:t> </w:t>
            </w:r>
            <w:r>
              <w:rPr>
                <w:color w:val="231F20"/>
                <w:spacing w:val="-2"/>
                <w:sz w:val="15"/>
              </w:rPr>
              <w:t>prominent</w:t>
            </w:r>
            <w:r>
              <w:rPr>
                <w:color w:val="231F20"/>
                <w:spacing w:val="-8"/>
                <w:sz w:val="15"/>
              </w:rPr>
              <w:t> </w:t>
            </w:r>
            <w:r>
              <w:rPr>
                <w:color w:val="231F20"/>
                <w:spacing w:val="-2"/>
                <w:sz w:val="15"/>
              </w:rPr>
              <w:t>epicanthic</w:t>
            </w:r>
            <w:r>
              <w:rPr>
                <w:color w:val="231F20"/>
                <w:spacing w:val="-8"/>
                <w:sz w:val="15"/>
              </w:rPr>
              <w:t> </w:t>
            </w:r>
            <w:r>
              <w:rPr>
                <w:color w:val="231F20"/>
                <w:spacing w:val="-2"/>
                <w:sz w:val="15"/>
              </w:rPr>
              <w:t>folds,</w:t>
            </w:r>
            <w:r>
              <w:rPr>
                <w:color w:val="231F20"/>
                <w:spacing w:val="-8"/>
                <w:sz w:val="15"/>
              </w:rPr>
              <w:t> </w:t>
            </w:r>
            <w:r>
              <w:rPr>
                <w:color w:val="231F20"/>
                <w:spacing w:val="-2"/>
                <w:sz w:val="15"/>
              </w:rPr>
              <w:t>low-set</w:t>
            </w:r>
            <w:r>
              <w:rPr>
                <w:color w:val="231F20"/>
                <w:spacing w:val="-8"/>
                <w:sz w:val="15"/>
              </w:rPr>
              <w:t> </w:t>
            </w:r>
            <w:r>
              <w:rPr>
                <w:color w:val="231F20"/>
                <w:spacing w:val="-2"/>
                <w:sz w:val="15"/>
              </w:rPr>
              <w:t>ears,</w:t>
            </w:r>
            <w:r>
              <w:rPr>
                <w:color w:val="231F20"/>
                <w:spacing w:val="-8"/>
                <w:sz w:val="15"/>
              </w:rPr>
              <w:t> </w:t>
            </w:r>
            <w:r>
              <w:rPr>
                <w:color w:val="231F20"/>
                <w:spacing w:val="-2"/>
                <w:sz w:val="15"/>
              </w:rPr>
              <w:t>hypertelorism,</w:t>
            </w:r>
            <w:r>
              <w:rPr>
                <w:color w:val="231F20"/>
                <w:spacing w:val="-8"/>
                <w:sz w:val="15"/>
              </w:rPr>
              <w:t> </w:t>
            </w:r>
            <w:r>
              <w:rPr>
                <w:color w:val="231F20"/>
                <w:spacing w:val="-2"/>
                <w:sz w:val="15"/>
              </w:rPr>
              <w:t>characteristic</w:t>
            </w:r>
            <w:r>
              <w:rPr>
                <w:color w:val="231F20"/>
                <w:spacing w:val="-8"/>
                <w:sz w:val="15"/>
              </w:rPr>
              <w:t> </w:t>
            </w:r>
            <w:r>
              <w:rPr>
                <w:color w:val="231F20"/>
                <w:spacing w:val="-2"/>
                <w:sz w:val="15"/>
              </w:rPr>
              <w:t>cry </w:t>
            </w:r>
            <w:r>
              <w:rPr>
                <w:color w:val="231F20"/>
                <w:sz w:val="15"/>
              </w:rPr>
              <w:t>No specific neuropathology</w:t>
            </w:r>
          </w:p>
          <w:p>
            <w:pPr>
              <w:pStyle w:val="TableParagraph"/>
              <w:tabs>
                <w:tab w:pos="2568" w:val="left" w:leader="none"/>
              </w:tabs>
              <w:spacing w:line="168" w:lineRule="exact"/>
              <w:ind w:left="115"/>
              <w:rPr>
                <w:sz w:val="15"/>
              </w:rPr>
            </w:pPr>
            <w:r>
              <w:rPr>
                <w:color w:val="231F20"/>
                <w:sz w:val="15"/>
              </w:rPr>
              <w:t>Cornelia</w:t>
            </w:r>
            <w:r>
              <w:rPr>
                <w:color w:val="231F20"/>
                <w:spacing w:val="5"/>
                <w:sz w:val="15"/>
              </w:rPr>
              <w:t> </w:t>
            </w:r>
            <w:r>
              <w:rPr>
                <w:color w:val="231F20"/>
                <w:sz w:val="15"/>
              </w:rPr>
              <w:t>de</w:t>
            </w:r>
            <w:r>
              <w:rPr>
                <w:color w:val="231F20"/>
                <w:spacing w:val="5"/>
                <w:sz w:val="15"/>
              </w:rPr>
              <w:t> </w:t>
            </w:r>
            <w:r>
              <w:rPr>
                <w:color w:val="231F20"/>
                <w:spacing w:val="-2"/>
                <w:sz w:val="15"/>
              </w:rPr>
              <w:t>Lange</w:t>
            </w:r>
            <w:r>
              <w:rPr>
                <w:color w:val="231F20"/>
                <w:sz w:val="15"/>
              </w:rPr>
              <w:tab/>
              <w:t>Prenatal</w:t>
            </w:r>
            <w:r>
              <w:rPr>
                <w:color w:val="231F20"/>
                <w:spacing w:val="-10"/>
                <w:sz w:val="15"/>
              </w:rPr>
              <w:t> </w:t>
            </w:r>
            <w:r>
              <w:rPr>
                <w:color w:val="231F20"/>
                <w:sz w:val="15"/>
              </w:rPr>
              <w:t>and</w:t>
            </w:r>
            <w:r>
              <w:rPr>
                <w:color w:val="231F20"/>
                <w:spacing w:val="-10"/>
                <w:sz w:val="15"/>
              </w:rPr>
              <w:t> </w:t>
            </w:r>
            <w:r>
              <w:rPr>
                <w:color w:val="231F20"/>
                <w:sz w:val="15"/>
              </w:rPr>
              <w:t>postnatal</w:t>
            </w:r>
            <w:r>
              <w:rPr>
                <w:color w:val="231F20"/>
                <w:spacing w:val="-10"/>
                <w:sz w:val="15"/>
              </w:rPr>
              <w:t> </w:t>
            </w:r>
            <w:r>
              <w:rPr>
                <w:color w:val="231F20"/>
                <w:sz w:val="15"/>
              </w:rPr>
              <w:t>growth</w:t>
            </w:r>
            <w:r>
              <w:rPr>
                <w:color w:val="231F20"/>
                <w:spacing w:val="-10"/>
                <w:sz w:val="15"/>
              </w:rPr>
              <w:t> </w:t>
            </w:r>
            <w:r>
              <w:rPr>
                <w:color w:val="231F20"/>
                <w:sz w:val="15"/>
              </w:rPr>
              <w:t>delay;</w:t>
            </w:r>
            <w:r>
              <w:rPr>
                <w:color w:val="231F20"/>
                <w:spacing w:val="-9"/>
                <w:sz w:val="15"/>
              </w:rPr>
              <w:t> </w:t>
            </w:r>
            <w:r>
              <w:rPr>
                <w:color w:val="231F20"/>
                <w:sz w:val="15"/>
              </w:rPr>
              <w:t>synophrys;</w:t>
            </w:r>
            <w:r>
              <w:rPr>
                <w:color w:val="231F20"/>
                <w:spacing w:val="-10"/>
                <w:sz w:val="15"/>
              </w:rPr>
              <w:t> </w:t>
            </w:r>
            <w:r>
              <w:rPr>
                <w:color w:val="231F20"/>
                <w:sz w:val="15"/>
              </w:rPr>
              <w:t>thin,</w:t>
            </w:r>
            <w:r>
              <w:rPr>
                <w:color w:val="231F20"/>
                <w:spacing w:val="-10"/>
                <w:sz w:val="15"/>
              </w:rPr>
              <w:t> </w:t>
            </w:r>
            <w:r>
              <w:rPr>
                <w:color w:val="231F20"/>
                <w:sz w:val="15"/>
              </w:rPr>
              <w:t>downturning</w:t>
            </w:r>
            <w:r>
              <w:rPr>
                <w:color w:val="231F20"/>
                <w:spacing w:val="-10"/>
                <w:sz w:val="15"/>
              </w:rPr>
              <w:t> </w:t>
            </w:r>
            <w:r>
              <w:rPr>
                <w:color w:val="231F20"/>
                <w:sz w:val="15"/>
              </w:rPr>
              <w:t>upper</w:t>
            </w:r>
            <w:r>
              <w:rPr>
                <w:color w:val="231F20"/>
                <w:spacing w:val="-10"/>
                <w:sz w:val="15"/>
              </w:rPr>
              <w:t> </w:t>
            </w:r>
            <w:r>
              <w:rPr>
                <w:color w:val="231F20"/>
                <w:spacing w:val="-5"/>
                <w:sz w:val="15"/>
              </w:rPr>
              <w:t>lip</w:t>
            </w:r>
          </w:p>
          <w:p>
            <w:pPr>
              <w:pStyle w:val="TableParagraph"/>
              <w:spacing w:line="169" w:lineRule="exact"/>
              <w:ind w:left="2568"/>
              <w:rPr>
                <w:sz w:val="15"/>
              </w:rPr>
            </w:pPr>
            <w:r>
              <w:rPr>
                <w:color w:val="231F20"/>
                <w:spacing w:val="-2"/>
                <w:sz w:val="15"/>
              </w:rPr>
              <w:t>Proximally</w:t>
            </w:r>
            <w:r>
              <w:rPr>
                <w:color w:val="231F20"/>
                <w:spacing w:val="-1"/>
                <w:sz w:val="15"/>
              </w:rPr>
              <w:t> </w:t>
            </w:r>
            <w:r>
              <w:rPr>
                <w:color w:val="231F20"/>
                <w:spacing w:val="-2"/>
                <w:sz w:val="15"/>
              </w:rPr>
              <w:t>placed</w:t>
            </w:r>
            <w:r>
              <w:rPr>
                <w:color w:val="231F20"/>
                <w:spacing w:val="-1"/>
                <w:sz w:val="15"/>
              </w:rPr>
              <w:t> </w:t>
            </w:r>
            <w:r>
              <w:rPr>
                <w:color w:val="231F20"/>
                <w:spacing w:val="-2"/>
                <w:sz w:val="15"/>
              </w:rPr>
              <w:t>thumb</w:t>
            </w:r>
          </w:p>
          <w:p>
            <w:pPr>
              <w:pStyle w:val="TableParagraph"/>
              <w:tabs>
                <w:tab w:pos="2568" w:val="left" w:leader="none"/>
              </w:tabs>
              <w:spacing w:line="230" w:lineRule="auto" w:before="3"/>
              <w:ind w:left="2680" w:right="226" w:hanging="2565"/>
              <w:rPr>
                <w:sz w:val="15"/>
              </w:rPr>
            </w:pPr>
            <w:r>
              <w:rPr>
                <w:color w:val="231F20"/>
                <w:spacing w:val="-2"/>
                <w:sz w:val="15"/>
              </w:rPr>
              <w:t>Rubinstein-Taybi</w:t>
            </w:r>
            <w:r>
              <w:rPr>
                <w:color w:val="231F20"/>
                <w:sz w:val="15"/>
              </w:rPr>
              <w:tab/>
              <w:t>Beaked</w:t>
            </w:r>
            <w:r>
              <w:rPr>
                <w:color w:val="231F20"/>
                <w:spacing w:val="-9"/>
                <w:sz w:val="15"/>
              </w:rPr>
              <w:t> </w:t>
            </w:r>
            <w:r>
              <w:rPr>
                <w:color w:val="231F20"/>
                <w:sz w:val="15"/>
              </w:rPr>
              <w:t>nose,</w:t>
            </w:r>
            <w:r>
              <w:rPr>
                <w:color w:val="231F20"/>
                <w:spacing w:val="-9"/>
                <w:sz w:val="15"/>
              </w:rPr>
              <w:t> </w:t>
            </w:r>
            <w:r>
              <w:rPr>
                <w:color w:val="231F20"/>
                <w:sz w:val="15"/>
              </w:rPr>
              <w:t>downward</w:t>
            </w:r>
            <w:r>
              <w:rPr>
                <w:color w:val="231F20"/>
                <w:spacing w:val="-9"/>
                <w:sz w:val="15"/>
              </w:rPr>
              <w:t> </w:t>
            </w:r>
            <w:r>
              <w:rPr>
                <w:color w:val="231F20"/>
                <w:sz w:val="15"/>
              </w:rPr>
              <w:t>slanting</w:t>
            </w:r>
            <w:r>
              <w:rPr>
                <w:color w:val="231F20"/>
                <w:spacing w:val="-9"/>
                <w:sz w:val="15"/>
              </w:rPr>
              <w:t> </w:t>
            </w:r>
            <w:r>
              <w:rPr>
                <w:color w:val="231F20"/>
                <w:sz w:val="15"/>
              </w:rPr>
              <w:t>of</w:t>
            </w:r>
            <w:r>
              <w:rPr>
                <w:color w:val="231F20"/>
                <w:spacing w:val="-9"/>
                <w:sz w:val="15"/>
              </w:rPr>
              <w:t> </w:t>
            </w:r>
            <w:r>
              <w:rPr>
                <w:color w:val="231F20"/>
                <w:sz w:val="15"/>
              </w:rPr>
              <w:t>palpebral</w:t>
            </w:r>
            <w:r>
              <w:rPr>
                <w:color w:val="231F20"/>
                <w:spacing w:val="-9"/>
                <w:sz w:val="15"/>
              </w:rPr>
              <w:t> </w:t>
            </w:r>
            <w:r>
              <w:rPr>
                <w:color w:val="231F20"/>
                <w:sz w:val="15"/>
              </w:rPr>
              <w:t>fissures,</w:t>
            </w:r>
            <w:r>
              <w:rPr>
                <w:color w:val="231F20"/>
                <w:spacing w:val="-9"/>
                <w:sz w:val="15"/>
              </w:rPr>
              <w:t> </w:t>
            </w:r>
            <w:r>
              <w:rPr>
                <w:color w:val="231F20"/>
                <w:sz w:val="15"/>
              </w:rPr>
              <w:t>epicanthic</w:t>
            </w:r>
            <w:r>
              <w:rPr>
                <w:color w:val="231F20"/>
                <w:spacing w:val="-9"/>
                <w:sz w:val="15"/>
              </w:rPr>
              <w:t> </w:t>
            </w:r>
            <w:r>
              <w:rPr>
                <w:color w:val="231F20"/>
                <w:sz w:val="15"/>
              </w:rPr>
              <w:t>folds,</w:t>
            </w:r>
            <w:r>
              <w:rPr>
                <w:color w:val="231F20"/>
                <w:spacing w:val="-9"/>
                <w:sz w:val="15"/>
              </w:rPr>
              <w:t> </w:t>
            </w:r>
            <w:r>
              <w:rPr>
                <w:color w:val="231F20"/>
                <w:sz w:val="15"/>
              </w:rPr>
              <w:t>short</w:t>
            </w:r>
            <w:r>
              <w:rPr>
                <w:color w:val="231F20"/>
                <w:spacing w:val="-9"/>
                <w:sz w:val="15"/>
              </w:rPr>
              <w:t> </w:t>
            </w:r>
            <w:r>
              <w:rPr>
                <w:color w:val="231F20"/>
                <w:sz w:val="15"/>
              </w:rPr>
              <w:t>stature,</w:t>
            </w:r>
            <w:r>
              <w:rPr>
                <w:color w:val="231F20"/>
                <w:spacing w:val="-9"/>
                <w:sz w:val="15"/>
              </w:rPr>
              <w:t> </w:t>
            </w:r>
            <w:r>
              <w:rPr>
                <w:color w:val="231F20"/>
                <w:sz w:val="15"/>
              </w:rPr>
              <w:t>broad</w:t>
            </w:r>
            <w:r>
              <w:rPr>
                <w:color w:val="231F20"/>
                <w:spacing w:val="-9"/>
                <w:sz w:val="15"/>
              </w:rPr>
              <w:t> </w:t>
            </w:r>
            <w:r>
              <w:rPr>
                <w:color w:val="231F20"/>
                <w:sz w:val="15"/>
              </w:rPr>
              <w:t>thumbs</w:t>
            </w:r>
            <w:r>
              <w:rPr>
                <w:color w:val="231F20"/>
                <w:spacing w:val="-9"/>
                <w:sz w:val="15"/>
              </w:rPr>
              <w:t> </w:t>
            </w:r>
            <w:r>
              <w:rPr>
                <w:color w:val="231F20"/>
                <w:sz w:val="15"/>
              </w:rPr>
              <w:t>and </w:t>
            </w:r>
            <w:r>
              <w:rPr>
                <w:color w:val="231F20"/>
                <w:spacing w:val="-4"/>
                <w:sz w:val="15"/>
              </w:rPr>
              <w:t>toes</w:t>
            </w:r>
          </w:p>
          <w:p>
            <w:pPr>
              <w:pStyle w:val="TableParagraph"/>
              <w:tabs>
                <w:tab w:pos="2568" w:val="left" w:leader="none"/>
              </w:tabs>
              <w:spacing w:line="168" w:lineRule="exact"/>
              <w:ind w:left="115"/>
              <w:rPr>
                <w:sz w:val="15"/>
              </w:rPr>
            </w:pPr>
            <w:r>
              <w:rPr>
                <w:color w:val="231F20"/>
                <w:spacing w:val="-2"/>
                <w:sz w:val="15"/>
              </w:rPr>
              <w:t>Smith-Lemli-Opitz</w:t>
            </w:r>
            <w:r>
              <w:rPr>
                <w:color w:val="231F20"/>
                <w:sz w:val="15"/>
              </w:rPr>
              <w:tab/>
            </w:r>
            <w:r>
              <w:rPr>
                <w:color w:val="231F20"/>
                <w:spacing w:val="-2"/>
                <w:sz w:val="15"/>
              </w:rPr>
              <w:t>Ptosis,</w:t>
            </w:r>
            <w:r>
              <w:rPr>
                <w:color w:val="231F20"/>
                <w:sz w:val="15"/>
              </w:rPr>
              <w:t> </w:t>
            </w:r>
            <w:r>
              <w:rPr>
                <w:color w:val="231F20"/>
                <w:spacing w:val="-2"/>
                <w:sz w:val="15"/>
              </w:rPr>
              <w:t>scaphocephaly,</w:t>
            </w:r>
            <w:r>
              <w:rPr>
                <w:color w:val="231F20"/>
                <w:spacing w:val="1"/>
                <w:sz w:val="15"/>
              </w:rPr>
              <w:t> </w:t>
            </w:r>
            <w:r>
              <w:rPr>
                <w:color w:val="231F20"/>
                <w:spacing w:val="-2"/>
                <w:sz w:val="15"/>
              </w:rPr>
              <w:t>inner</w:t>
            </w:r>
            <w:r>
              <w:rPr>
                <w:color w:val="231F20"/>
                <w:spacing w:val="1"/>
                <w:sz w:val="15"/>
              </w:rPr>
              <w:t> </w:t>
            </w:r>
            <w:r>
              <w:rPr>
                <w:color w:val="231F20"/>
                <w:spacing w:val="-2"/>
                <w:sz w:val="15"/>
              </w:rPr>
              <w:t>epicanthic</w:t>
            </w:r>
            <w:r>
              <w:rPr>
                <w:color w:val="231F20"/>
                <w:spacing w:val="1"/>
                <w:sz w:val="15"/>
              </w:rPr>
              <w:t> </w:t>
            </w:r>
            <w:r>
              <w:rPr>
                <w:color w:val="231F20"/>
                <w:spacing w:val="-2"/>
                <w:sz w:val="15"/>
              </w:rPr>
              <w:t>folds,</w:t>
            </w:r>
            <w:r>
              <w:rPr>
                <w:color w:val="231F20"/>
                <w:spacing w:val="1"/>
                <w:sz w:val="15"/>
              </w:rPr>
              <w:t> </w:t>
            </w:r>
            <w:r>
              <w:rPr>
                <w:color w:val="231F20"/>
                <w:spacing w:val="-2"/>
                <w:sz w:val="15"/>
              </w:rPr>
              <w:t>anteverted</w:t>
            </w:r>
            <w:r>
              <w:rPr>
                <w:color w:val="231F20"/>
                <w:spacing w:val="1"/>
                <w:sz w:val="15"/>
              </w:rPr>
              <w:t> </w:t>
            </w:r>
            <w:r>
              <w:rPr>
                <w:color w:val="231F20"/>
                <w:spacing w:val="-2"/>
                <w:sz w:val="15"/>
              </w:rPr>
              <w:t>nostrils</w:t>
            </w:r>
          </w:p>
          <w:p>
            <w:pPr>
              <w:pStyle w:val="TableParagraph"/>
              <w:spacing w:line="171" w:lineRule="exact"/>
              <w:ind w:left="2568"/>
              <w:rPr>
                <w:sz w:val="15"/>
              </w:rPr>
            </w:pPr>
            <w:r>
              <w:rPr>
                <w:color w:val="231F20"/>
                <w:sz w:val="15"/>
              </w:rPr>
              <w:t>Low</w:t>
            </w:r>
            <w:r>
              <w:rPr>
                <w:color w:val="231F20"/>
                <w:spacing w:val="-10"/>
                <w:sz w:val="15"/>
              </w:rPr>
              <w:t> </w:t>
            </w:r>
            <w:r>
              <w:rPr>
                <w:color w:val="231F20"/>
                <w:sz w:val="15"/>
              </w:rPr>
              <w:t>birthweight,</w:t>
            </w:r>
            <w:r>
              <w:rPr>
                <w:color w:val="231F20"/>
                <w:spacing w:val="-9"/>
                <w:sz w:val="15"/>
              </w:rPr>
              <w:t> </w:t>
            </w:r>
            <w:r>
              <w:rPr>
                <w:color w:val="231F20"/>
                <w:sz w:val="15"/>
              </w:rPr>
              <w:t>marked</w:t>
            </w:r>
            <w:r>
              <w:rPr>
                <w:color w:val="231F20"/>
                <w:spacing w:val="-10"/>
                <w:sz w:val="15"/>
              </w:rPr>
              <w:t> </w:t>
            </w:r>
            <w:r>
              <w:rPr>
                <w:color w:val="231F20"/>
                <w:sz w:val="15"/>
              </w:rPr>
              <w:t>feeding</w:t>
            </w:r>
            <w:r>
              <w:rPr>
                <w:color w:val="231F20"/>
                <w:spacing w:val="-9"/>
                <w:sz w:val="15"/>
              </w:rPr>
              <w:t> </w:t>
            </w:r>
            <w:r>
              <w:rPr>
                <w:color w:val="231F20"/>
                <w:spacing w:val="-2"/>
                <w:sz w:val="15"/>
              </w:rPr>
              <w:t>problems</w:t>
            </w:r>
          </w:p>
        </w:tc>
      </w:tr>
      <w:tr>
        <w:trPr>
          <w:trHeight w:val="3799" w:hRule="atLeast"/>
        </w:trPr>
        <w:tc>
          <w:tcPr>
            <w:tcW w:w="9782" w:type="dxa"/>
            <w:tcBorders>
              <w:top w:val="single" w:sz="4" w:space="0" w:color="FFFFFF"/>
              <w:bottom w:val="single" w:sz="8" w:space="0" w:color="231F20"/>
            </w:tcBorders>
            <w:shd w:val="clear" w:color="auto" w:fill="E8F5F1"/>
          </w:tcPr>
          <w:p>
            <w:pPr>
              <w:pStyle w:val="TableParagraph"/>
              <w:spacing w:line="172" w:lineRule="exact" w:before="43"/>
              <w:ind w:left="115"/>
              <w:rPr>
                <w:sz w:val="15"/>
              </w:rPr>
            </w:pPr>
            <w:r>
              <w:rPr>
                <w:color w:val="231F20"/>
                <w:w w:val="115"/>
                <w:sz w:val="15"/>
              </w:rPr>
              <w:t>SECONDARY</w:t>
            </w:r>
            <w:r>
              <w:rPr>
                <w:color w:val="231F20"/>
                <w:spacing w:val="5"/>
                <w:w w:val="115"/>
                <w:sz w:val="15"/>
              </w:rPr>
              <w:t> </w:t>
            </w:r>
            <w:r>
              <w:rPr>
                <w:color w:val="231F20"/>
                <w:spacing w:val="-2"/>
                <w:w w:val="115"/>
                <w:sz w:val="15"/>
              </w:rPr>
              <w:t>(NONGENETIC)</w:t>
            </w:r>
          </w:p>
          <w:p>
            <w:pPr>
              <w:pStyle w:val="TableParagraph"/>
              <w:spacing w:line="170" w:lineRule="exact"/>
              <w:ind w:left="115"/>
              <w:rPr>
                <w:i/>
                <w:sz w:val="15"/>
              </w:rPr>
            </w:pPr>
            <w:r>
              <w:rPr>
                <w:i/>
                <w:color w:val="231F20"/>
                <w:sz w:val="15"/>
              </w:rPr>
              <w:t>Congenital</w:t>
            </w:r>
            <w:r>
              <w:rPr>
                <w:i/>
                <w:color w:val="231F20"/>
                <w:spacing w:val="11"/>
                <w:sz w:val="15"/>
              </w:rPr>
              <w:t> </w:t>
            </w:r>
            <w:r>
              <w:rPr>
                <w:i/>
                <w:color w:val="231F20"/>
                <w:spacing w:val="-2"/>
                <w:sz w:val="15"/>
              </w:rPr>
              <w:t>Infections</w:t>
            </w:r>
          </w:p>
          <w:p>
            <w:pPr>
              <w:pStyle w:val="TableParagraph"/>
              <w:tabs>
                <w:tab w:pos="2568" w:val="left" w:leader="none"/>
              </w:tabs>
              <w:spacing w:line="230" w:lineRule="auto" w:before="3"/>
              <w:ind w:left="2568" w:right="109" w:hanging="2453"/>
              <w:rPr>
                <w:sz w:val="15"/>
              </w:rPr>
            </w:pPr>
            <w:r>
              <w:rPr>
                <w:color w:val="231F20"/>
                <w:spacing w:val="-2"/>
                <w:sz w:val="15"/>
              </w:rPr>
              <w:t>Cytomegalovirus</w:t>
            </w:r>
            <w:r>
              <w:rPr>
                <w:color w:val="231F20"/>
                <w:sz w:val="15"/>
              </w:rPr>
              <w:tab/>
            </w:r>
            <w:r>
              <w:rPr>
                <w:color w:val="231F20"/>
                <w:spacing w:val="-2"/>
                <w:sz w:val="15"/>
              </w:rPr>
              <w:t>Small</w:t>
            </w:r>
            <w:r>
              <w:rPr>
                <w:color w:val="231F20"/>
                <w:spacing w:val="-4"/>
                <w:sz w:val="15"/>
              </w:rPr>
              <w:t> </w:t>
            </w:r>
            <w:r>
              <w:rPr>
                <w:color w:val="231F20"/>
                <w:spacing w:val="-2"/>
                <w:sz w:val="15"/>
              </w:rPr>
              <w:t>for</w:t>
            </w:r>
            <w:r>
              <w:rPr>
                <w:color w:val="231F20"/>
                <w:spacing w:val="-4"/>
                <w:sz w:val="15"/>
              </w:rPr>
              <w:t> </w:t>
            </w:r>
            <w:r>
              <w:rPr>
                <w:color w:val="231F20"/>
                <w:spacing w:val="-2"/>
                <w:sz w:val="15"/>
              </w:rPr>
              <w:t>dates,</w:t>
            </w:r>
            <w:r>
              <w:rPr>
                <w:color w:val="231F20"/>
                <w:spacing w:val="-4"/>
                <w:sz w:val="15"/>
              </w:rPr>
              <w:t> </w:t>
            </w:r>
            <w:r>
              <w:rPr>
                <w:color w:val="231F20"/>
                <w:spacing w:val="-2"/>
                <w:sz w:val="15"/>
              </w:rPr>
              <w:t>petechial</w:t>
            </w:r>
            <w:r>
              <w:rPr>
                <w:color w:val="231F20"/>
                <w:spacing w:val="-4"/>
                <w:sz w:val="15"/>
              </w:rPr>
              <w:t> </w:t>
            </w:r>
            <w:r>
              <w:rPr>
                <w:color w:val="231F20"/>
                <w:spacing w:val="-2"/>
                <w:sz w:val="15"/>
              </w:rPr>
              <w:t>rash,</w:t>
            </w:r>
            <w:r>
              <w:rPr>
                <w:color w:val="231F20"/>
                <w:spacing w:val="-4"/>
                <w:sz w:val="15"/>
              </w:rPr>
              <w:t> </w:t>
            </w:r>
            <w:r>
              <w:rPr>
                <w:color w:val="231F20"/>
                <w:spacing w:val="-2"/>
                <w:sz w:val="15"/>
              </w:rPr>
              <w:t>hepatosplenomegaly,</w:t>
            </w:r>
            <w:r>
              <w:rPr>
                <w:color w:val="231F20"/>
                <w:spacing w:val="-4"/>
                <w:sz w:val="15"/>
              </w:rPr>
              <w:t> </w:t>
            </w:r>
            <w:r>
              <w:rPr>
                <w:color w:val="231F20"/>
                <w:spacing w:val="-2"/>
                <w:sz w:val="15"/>
              </w:rPr>
              <w:t>chorioretinitis,</w:t>
            </w:r>
            <w:r>
              <w:rPr>
                <w:color w:val="231F20"/>
                <w:spacing w:val="-4"/>
                <w:sz w:val="15"/>
              </w:rPr>
              <w:t> </w:t>
            </w:r>
            <w:r>
              <w:rPr>
                <w:color w:val="231F20"/>
                <w:spacing w:val="-2"/>
                <w:sz w:val="15"/>
              </w:rPr>
              <w:t>deafness,</w:t>
            </w:r>
            <w:r>
              <w:rPr>
                <w:color w:val="231F20"/>
                <w:spacing w:val="-4"/>
                <w:sz w:val="15"/>
              </w:rPr>
              <w:t> </w:t>
            </w:r>
            <w:r>
              <w:rPr>
                <w:color w:val="231F20"/>
                <w:spacing w:val="-2"/>
                <w:sz w:val="15"/>
              </w:rPr>
              <w:t>mental</w:t>
            </w:r>
            <w:r>
              <w:rPr>
                <w:color w:val="231F20"/>
                <w:spacing w:val="-4"/>
                <w:sz w:val="15"/>
              </w:rPr>
              <w:t> </w:t>
            </w:r>
            <w:r>
              <w:rPr>
                <w:color w:val="231F20"/>
                <w:spacing w:val="-2"/>
                <w:sz w:val="15"/>
              </w:rPr>
              <w:t>retardation,</w:t>
            </w:r>
            <w:r>
              <w:rPr>
                <w:color w:val="231F20"/>
                <w:spacing w:val="-4"/>
                <w:sz w:val="15"/>
              </w:rPr>
              <w:t> </w:t>
            </w:r>
            <w:r>
              <w:rPr>
                <w:color w:val="231F20"/>
                <w:spacing w:val="-2"/>
                <w:sz w:val="15"/>
              </w:rPr>
              <w:t>seizures </w:t>
            </w:r>
            <w:r>
              <w:rPr>
                <w:color w:val="231F20"/>
                <w:sz w:val="15"/>
              </w:rPr>
              <w:t>Central nervous system calcification and microgyria</w:t>
            </w:r>
          </w:p>
          <w:p>
            <w:pPr>
              <w:pStyle w:val="TableParagraph"/>
              <w:tabs>
                <w:tab w:pos="2568" w:val="left" w:leader="none"/>
              </w:tabs>
              <w:spacing w:line="230" w:lineRule="auto" w:before="3"/>
              <w:ind w:left="2680" w:right="768" w:hanging="2565"/>
              <w:rPr>
                <w:sz w:val="15"/>
              </w:rPr>
            </w:pPr>
            <w:r>
              <w:rPr>
                <w:color w:val="231F20"/>
                <w:spacing w:val="-2"/>
                <w:sz w:val="15"/>
              </w:rPr>
              <w:t>Rubella</w:t>
            </w:r>
            <w:r>
              <w:rPr>
                <w:color w:val="231F20"/>
                <w:sz w:val="15"/>
              </w:rPr>
              <w:tab/>
            </w:r>
            <w:r>
              <w:rPr>
                <w:color w:val="231F20"/>
                <w:spacing w:val="-2"/>
                <w:sz w:val="15"/>
              </w:rPr>
              <w:t>Growth retardation, purpura, thrombocytopenia, hepatosplenomegaly, congenital heart </w:t>
            </w:r>
            <w:r>
              <w:rPr>
                <w:color w:val="231F20"/>
                <w:spacing w:val="-2"/>
                <w:sz w:val="15"/>
              </w:rPr>
              <w:t>disease, </w:t>
            </w:r>
            <w:r>
              <w:rPr>
                <w:color w:val="231F20"/>
                <w:sz w:val="15"/>
              </w:rPr>
              <w:t>chorioretinitis, cataracts, deafness</w:t>
            </w:r>
          </w:p>
          <w:p>
            <w:pPr>
              <w:pStyle w:val="TableParagraph"/>
              <w:spacing w:line="168" w:lineRule="exact"/>
              <w:ind w:left="2568"/>
              <w:rPr>
                <w:sz w:val="15"/>
              </w:rPr>
            </w:pPr>
            <w:r>
              <w:rPr>
                <w:color w:val="231F20"/>
                <w:spacing w:val="-2"/>
                <w:sz w:val="15"/>
              </w:rPr>
              <w:t>Perivascular</w:t>
            </w:r>
            <w:r>
              <w:rPr>
                <w:color w:val="231F20"/>
                <w:sz w:val="15"/>
              </w:rPr>
              <w:t> </w:t>
            </w:r>
            <w:r>
              <w:rPr>
                <w:color w:val="231F20"/>
                <w:spacing w:val="-2"/>
                <w:sz w:val="15"/>
              </w:rPr>
              <w:t>necrotic</w:t>
            </w:r>
            <w:r>
              <w:rPr>
                <w:color w:val="231F20"/>
                <w:sz w:val="15"/>
              </w:rPr>
              <w:t> </w:t>
            </w:r>
            <w:r>
              <w:rPr>
                <w:color w:val="231F20"/>
                <w:spacing w:val="-2"/>
                <w:sz w:val="15"/>
              </w:rPr>
              <w:t>areas,</w:t>
            </w:r>
            <w:r>
              <w:rPr>
                <w:color w:val="231F20"/>
                <w:sz w:val="15"/>
              </w:rPr>
              <w:t> </w:t>
            </w:r>
            <w:r>
              <w:rPr>
                <w:color w:val="231F20"/>
                <w:spacing w:val="-2"/>
                <w:sz w:val="15"/>
              </w:rPr>
              <w:t>polymicrogyria,</w:t>
            </w:r>
            <w:r>
              <w:rPr>
                <w:color w:val="231F20"/>
                <w:sz w:val="15"/>
              </w:rPr>
              <w:t> </w:t>
            </w:r>
            <w:r>
              <w:rPr>
                <w:color w:val="231F20"/>
                <w:spacing w:val="-2"/>
                <w:sz w:val="15"/>
              </w:rPr>
              <w:t>heterotopias,</w:t>
            </w:r>
            <w:r>
              <w:rPr>
                <w:color w:val="231F20"/>
                <w:spacing w:val="1"/>
                <w:sz w:val="15"/>
              </w:rPr>
              <w:t> </w:t>
            </w:r>
            <w:r>
              <w:rPr>
                <w:color w:val="231F20"/>
                <w:spacing w:val="-2"/>
                <w:sz w:val="15"/>
              </w:rPr>
              <w:t>subependymal</w:t>
            </w:r>
            <w:r>
              <w:rPr>
                <w:color w:val="231F20"/>
                <w:sz w:val="15"/>
              </w:rPr>
              <w:t> </w:t>
            </w:r>
            <w:r>
              <w:rPr>
                <w:color w:val="231F20"/>
                <w:spacing w:val="-2"/>
                <w:sz w:val="15"/>
              </w:rPr>
              <w:t>cavitations</w:t>
            </w:r>
          </w:p>
          <w:p>
            <w:pPr>
              <w:pStyle w:val="TableParagraph"/>
              <w:tabs>
                <w:tab w:pos="2568" w:val="left" w:leader="none"/>
              </w:tabs>
              <w:spacing w:line="170" w:lineRule="exact"/>
              <w:ind w:left="115"/>
              <w:rPr>
                <w:sz w:val="15"/>
              </w:rPr>
            </w:pPr>
            <w:r>
              <w:rPr>
                <w:color w:val="231F20"/>
                <w:spacing w:val="-2"/>
                <w:sz w:val="15"/>
              </w:rPr>
              <w:t>Toxoplasmosis</w:t>
            </w:r>
            <w:r>
              <w:rPr>
                <w:color w:val="231F20"/>
                <w:sz w:val="15"/>
              </w:rPr>
              <w:tab/>
            </w:r>
            <w:r>
              <w:rPr>
                <w:color w:val="231F20"/>
                <w:spacing w:val="-2"/>
                <w:sz w:val="15"/>
              </w:rPr>
              <w:t>Purpura, hepatosplenomegaly, jaundice, convulsions,</w:t>
            </w:r>
            <w:r>
              <w:rPr>
                <w:color w:val="231F20"/>
                <w:spacing w:val="-1"/>
                <w:sz w:val="15"/>
              </w:rPr>
              <w:t> </w:t>
            </w:r>
            <w:r>
              <w:rPr>
                <w:color w:val="231F20"/>
                <w:spacing w:val="-2"/>
                <w:sz w:val="15"/>
              </w:rPr>
              <w:t>hydrocephalus, chorioretinitis, cerebral</w:t>
            </w:r>
            <w:r>
              <w:rPr>
                <w:color w:val="231F20"/>
                <w:spacing w:val="-1"/>
                <w:sz w:val="15"/>
              </w:rPr>
              <w:t> </w:t>
            </w:r>
            <w:r>
              <w:rPr>
                <w:color w:val="231F20"/>
                <w:spacing w:val="-2"/>
                <w:sz w:val="15"/>
              </w:rPr>
              <w:t>calcification</w:t>
            </w:r>
          </w:p>
          <w:p>
            <w:pPr>
              <w:pStyle w:val="TableParagraph"/>
              <w:spacing w:line="170" w:lineRule="exact"/>
              <w:ind w:left="115"/>
              <w:rPr>
                <w:i/>
                <w:sz w:val="15"/>
              </w:rPr>
            </w:pPr>
            <w:r>
              <w:rPr>
                <w:i/>
                <w:color w:val="231F20"/>
                <w:spacing w:val="-2"/>
                <w:w w:val="110"/>
                <w:sz w:val="15"/>
              </w:rPr>
              <w:t>Drugs</w:t>
            </w:r>
          </w:p>
          <w:p>
            <w:pPr>
              <w:pStyle w:val="TableParagraph"/>
              <w:tabs>
                <w:tab w:pos="2568" w:val="left" w:leader="none"/>
              </w:tabs>
              <w:spacing w:line="230" w:lineRule="auto" w:before="3"/>
              <w:ind w:left="2680" w:right="251" w:hanging="2565"/>
              <w:rPr>
                <w:sz w:val="15"/>
              </w:rPr>
            </w:pPr>
            <w:r>
              <w:rPr>
                <w:color w:val="231F20"/>
                <w:sz w:val="15"/>
              </w:rPr>
              <w:t>Fetal alcohol</w:t>
              <w:tab/>
              <w:t>Growth</w:t>
            </w:r>
            <w:r>
              <w:rPr>
                <w:color w:val="231F20"/>
                <w:spacing w:val="-11"/>
                <w:sz w:val="15"/>
              </w:rPr>
              <w:t> </w:t>
            </w:r>
            <w:r>
              <w:rPr>
                <w:color w:val="231F20"/>
                <w:sz w:val="15"/>
              </w:rPr>
              <w:t>retardation,</w:t>
            </w:r>
            <w:r>
              <w:rPr>
                <w:color w:val="231F20"/>
                <w:spacing w:val="-11"/>
                <w:sz w:val="15"/>
              </w:rPr>
              <w:t> </w:t>
            </w:r>
            <w:r>
              <w:rPr>
                <w:color w:val="231F20"/>
                <w:sz w:val="15"/>
              </w:rPr>
              <w:t>ptosis,</w:t>
            </w:r>
            <w:r>
              <w:rPr>
                <w:color w:val="231F20"/>
                <w:spacing w:val="-11"/>
                <w:sz w:val="15"/>
              </w:rPr>
              <w:t> </w:t>
            </w:r>
            <w:r>
              <w:rPr>
                <w:color w:val="231F20"/>
                <w:sz w:val="15"/>
              </w:rPr>
              <w:t>absent</w:t>
            </w:r>
            <w:r>
              <w:rPr>
                <w:color w:val="231F20"/>
                <w:spacing w:val="-11"/>
                <w:sz w:val="15"/>
              </w:rPr>
              <w:t> </w:t>
            </w:r>
            <w:r>
              <w:rPr>
                <w:color w:val="231F20"/>
                <w:sz w:val="15"/>
              </w:rPr>
              <w:t>philtrum</w:t>
            </w:r>
            <w:r>
              <w:rPr>
                <w:color w:val="231F20"/>
                <w:spacing w:val="-11"/>
                <w:sz w:val="15"/>
              </w:rPr>
              <w:t> </w:t>
            </w:r>
            <w:r>
              <w:rPr>
                <w:color w:val="231F20"/>
                <w:sz w:val="15"/>
              </w:rPr>
              <w:t>and</w:t>
            </w:r>
            <w:r>
              <w:rPr>
                <w:color w:val="231F20"/>
                <w:spacing w:val="-11"/>
                <w:sz w:val="15"/>
              </w:rPr>
              <w:t> </w:t>
            </w:r>
            <w:r>
              <w:rPr>
                <w:color w:val="231F20"/>
                <w:sz w:val="15"/>
              </w:rPr>
              <w:t>hypoplastic</w:t>
            </w:r>
            <w:r>
              <w:rPr>
                <w:color w:val="231F20"/>
                <w:spacing w:val="-11"/>
                <w:sz w:val="15"/>
              </w:rPr>
              <w:t> </w:t>
            </w:r>
            <w:r>
              <w:rPr>
                <w:color w:val="231F20"/>
                <w:sz w:val="15"/>
              </w:rPr>
              <w:t>upper</w:t>
            </w:r>
            <w:r>
              <w:rPr>
                <w:color w:val="231F20"/>
                <w:spacing w:val="-11"/>
                <w:sz w:val="15"/>
              </w:rPr>
              <w:t> </w:t>
            </w:r>
            <w:r>
              <w:rPr>
                <w:color w:val="231F20"/>
                <w:sz w:val="15"/>
              </w:rPr>
              <w:t>lip,</w:t>
            </w:r>
            <w:r>
              <w:rPr>
                <w:color w:val="231F20"/>
                <w:spacing w:val="-11"/>
                <w:sz w:val="15"/>
              </w:rPr>
              <w:t> </w:t>
            </w:r>
            <w:r>
              <w:rPr>
                <w:color w:val="231F20"/>
                <w:sz w:val="15"/>
              </w:rPr>
              <w:t>congenital</w:t>
            </w:r>
            <w:r>
              <w:rPr>
                <w:color w:val="231F20"/>
                <w:spacing w:val="-11"/>
                <w:sz w:val="15"/>
              </w:rPr>
              <w:t> </w:t>
            </w:r>
            <w:r>
              <w:rPr>
                <w:color w:val="231F20"/>
                <w:sz w:val="15"/>
              </w:rPr>
              <w:t>heart</w:t>
            </w:r>
            <w:r>
              <w:rPr>
                <w:color w:val="231F20"/>
                <w:spacing w:val="-11"/>
                <w:sz w:val="15"/>
              </w:rPr>
              <w:t> </w:t>
            </w:r>
            <w:r>
              <w:rPr>
                <w:color w:val="231F20"/>
                <w:sz w:val="15"/>
              </w:rPr>
              <w:t>disease,</w:t>
            </w:r>
            <w:r>
              <w:rPr>
                <w:color w:val="231F20"/>
                <w:spacing w:val="-11"/>
                <w:sz w:val="15"/>
              </w:rPr>
              <w:t> </w:t>
            </w:r>
            <w:r>
              <w:rPr>
                <w:color w:val="231F20"/>
                <w:sz w:val="15"/>
              </w:rPr>
              <w:t>feeding problems, neuroglial heterotopia, disorganization of neurons</w:t>
            </w:r>
          </w:p>
          <w:p>
            <w:pPr>
              <w:pStyle w:val="TableParagraph"/>
              <w:tabs>
                <w:tab w:pos="2568" w:val="left" w:leader="none"/>
              </w:tabs>
              <w:spacing w:line="170" w:lineRule="exact"/>
              <w:ind w:left="115"/>
              <w:rPr>
                <w:sz w:val="15"/>
              </w:rPr>
            </w:pPr>
            <w:r>
              <w:rPr>
                <w:color w:val="231F20"/>
                <w:spacing w:val="-2"/>
                <w:sz w:val="15"/>
              </w:rPr>
              <w:t>Fetal</w:t>
            </w:r>
            <w:r>
              <w:rPr>
                <w:color w:val="231F20"/>
                <w:spacing w:val="-7"/>
                <w:sz w:val="15"/>
              </w:rPr>
              <w:t> </w:t>
            </w:r>
            <w:r>
              <w:rPr>
                <w:color w:val="231F20"/>
                <w:spacing w:val="-2"/>
                <w:sz w:val="15"/>
              </w:rPr>
              <w:t>hydantoin</w:t>
            </w:r>
            <w:r>
              <w:rPr>
                <w:color w:val="231F20"/>
                <w:sz w:val="15"/>
              </w:rPr>
              <w:tab/>
              <w:t>Growth</w:t>
            </w:r>
            <w:r>
              <w:rPr>
                <w:color w:val="231F20"/>
                <w:spacing w:val="-10"/>
                <w:sz w:val="15"/>
              </w:rPr>
              <w:t> </w:t>
            </w:r>
            <w:r>
              <w:rPr>
                <w:color w:val="231F20"/>
                <w:sz w:val="15"/>
              </w:rPr>
              <w:t>delay,</w:t>
            </w:r>
            <w:r>
              <w:rPr>
                <w:color w:val="231F20"/>
                <w:spacing w:val="-9"/>
                <w:sz w:val="15"/>
              </w:rPr>
              <w:t> </w:t>
            </w:r>
            <w:r>
              <w:rPr>
                <w:color w:val="231F20"/>
                <w:sz w:val="15"/>
              </w:rPr>
              <w:t>hypoplasia</w:t>
            </w:r>
            <w:r>
              <w:rPr>
                <w:color w:val="231F20"/>
                <w:spacing w:val="-10"/>
                <w:sz w:val="15"/>
              </w:rPr>
              <w:t> </w:t>
            </w:r>
            <w:r>
              <w:rPr>
                <w:color w:val="231F20"/>
                <w:sz w:val="15"/>
              </w:rPr>
              <w:t>of</w:t>
            </w:r>
            <w:r>
              <w:rPr>
                <w:color w:val="231F20"/>
                <w:spacing w:val="-9"/>
                <w:sz w:val="15"/>
              </w:rPr>
              <w:t> </w:t>
            </w:r>
            <w:r>
              <w:rPr>
                <w:color w:val="231F20"/>
                <w:sz w:val="15"/>
              </w:rPr>
              <w:t>distal</w:t>
            </w:r>
            <w:r>
              <w:rPr>
                <w:color w:val="231F20"/>
                <w:spacing w:val="-10"/>
                <w:sz w:val="15"/>
              </w:rPr>
              <w:t> </w:t>
            </w:r>
            <w:r>
              <w:rPr>
                <w:color w:val="231F20"/>
                <w:sz w:val="15"/>
              </w:rPr>
              <w:t>phalanges,</w:t>
            </w:r>
            <w:r>
              <w:rPr>
                <w:color w:val="231F20"/>
                <w:spacing w:val="-9"/>
                <w:sz w:val="15"/>
              </w:rPr>
              <w:t> </w:t>
            </w:r>
            <w:r>
              <w:rPr>
                <w:color w:val="231F20"/>
                <w:sz w:val="15"/>
              </w:rPr>
              <w:t>inner</w:t>
            </w:r>
            <w:r>
              <w:rPr>
                <w:color w:val="231F20"/>
                <w:spacing w:val="-9"/>
                <w:sz w:val="15"/>
              </w:rPr>
              <w:t> </w:t>
            </w:r>
            <w:r>
              <w:rPr>
                <w:color w:val="231F20"/>
                <w:sz w:val="15"/>
              </w:rPr>
              <w:t>epicanthic</w:t>
            </w:r>
            <w:r>
              <w:rPr>
                <w:color w:val="231F20"/>
                <w:spacing w:val="-10"/>
                <w:sz w:val="15"/>
              </w:rPr>
              <w:t> </w:t>
            </w:r>
            <w:r>
              <w:rPr>
                <w:color w:val="231F20"/>
                <w:sz w:val="15"/>
              </w:rPr>
              <w:t>folds,</w:t>
            </w:r>
            <w:r>
              <w:rPr>
                <w:color w:val="231F20"/>
                <w:spacing w:val="-9"/>
                <w:sz w:val="15"/>
              </w:rPr>
              <w:t> </w:t>
            </w:r>
            <w:r>
              <w:rPr>
                <w:color w:val="231F20"/>
                <w:sz w:val="15"/>
              </w:rPr>
              <w:t>broad</w:t>
            </w:r>
            <w:r>
              <w:rPr>
                <w:color w:val="231F20"/>
                <w:spacing w:val="-10"/>
                <w:sz w:val="15"/>
              </w:rPr>
              <w:t> </w:t>
            </w:r>
            <w:r>
              <w:rPr>
                <w:color w:val="231F20"/>
                <w:sz w:val="15"/>
              </w:rPr>
              <w:t>nasal</w:t>
            </w:r>
            <w:r>
              <w:rPr>
                <w:color w:val="231F20"/>
                <w:spacing w:val="-9"/>
                <w:sz w:val="15"/>
              </w:rPr>
              <w:t> </w:t>
            </w:r>
            <w:r>
              <w:rPr>
                <w:color w:val="231F20"/>
                <w:sz w:val="15"/>
              </w:rPr>
              <w:t>ridge,</w:t>
            </w:r>
            <w:r>
              <w:rPr>
                <w:color w:val="231F20"/>
                <w:spacing w:val="-9"/>
                <w:sz w:val="15"/>
              </w:rPr>
              <w:t> </w:t>
            </w:r>
            <w:r>
              <w:rPr>
                <w:color w:val="231F20"/>
                <w:sz w:val="15"/>
              </w:rPr>
              <w:t>anteverted</w:t>
            </w:r>
            <w:r>
              <w:rPr>
                <w:color w:val="231F20"/>
                <w:spacing w:val="-10"/>
                <w:sz w:val="15"/>
              </w:rPr>
              <w:t> </w:t>
            </w:r>
            <w:r>
              <w:rPr>
                <w:color w:val="231F20"/>
                <w:spacing w:val="-2"/>
                <w:sz w:val="15"/>
              </w:rPr>
              <w:t>nostrils</w:t>
            </w:r>
          </w:p>
          <w:p>
            <w:pPr>
              <w:pStyle w:val="TableParagraph"/>
              <w:spacing w:line="170" w:lineRule="exact"/>
              <w:ind w:left="115"/>
              <w:rPr>
                <w:i/>
                <w:sz w:val="15"/>
              </w:rPr>
            </w:pPr>
            <w:r>
              <w:rPr>
                <w:i/>
                <w:color w:val="231F20"/>
                <w:w w:val="105"/>
                <w:sz w:val="15"/>
              </w:rPr>
              <w:t>Other</w:t>
            </w:r>
            <w:r>
              <w:rPr>
                <w:i/>
                <w:color w:val="231F20"/>
                <w:spacing w:val="-10"/>
                <w:w w:val="105"/>
                <w:sz w:val="15"/>
              </w:rPr>
              <w:t> </w:t>
            </w:r>
            <w:r>
              <w:rPr>
                <w:i/>
                <w:color w:val="231F20"/>
                <w:spacing w:val="-2"/>
                <w:w w:val="105"/>
                <w:sz w:val="15"/>
              </w:rPr>
              <w:t>Causes</w:t>
            </w:r>
          </w:p>
          <w:p>
            <w:pPr>
              <w:pStyle w:val="TableParagraph"/>
              <w:tabs>
                <w:tab w:pos="2568" w:val="left" w:leader="none"/>
              </w:tabs>
              <w:spacing w:line="232" w:lineRule="auto" w:before="2"/>
              <w:ind w:left="115" w:right="1011"/>
              <w:rPr>
                <w:sz w:val="15"/>
              </w:rPr>
            </w:pPr>
            <w:r>
              <w:rPr>
                <w:color w:val="231F20"/>
                <w:spacing w:val="-2"/>
                <w:sz w:val="15"/>
              </w:rPr>
              <w:t>Radiation</w:t>
            </w:r>
            <w:r>
              <w:rPr>
                <w:color w:val="231F20"/>
                <w:sz w:val="15"/>
              </w:rPr>
              <w:tab/>
              <w:t>Microcephaly</w:t>
            </w:r>
            <w:r>
              <w:rPr>
                <w:color w:val="231F20"/>
                <w:spacing w:val="-8"/>
                <w:sz w:val="15"/>
              </w:rPr>
              <w:t> </w:t>
            </w:r>
            <w:r>
              <w:rPr>
                <w:color w:val="231F20"/>
                <w:sz w:val="15"/>
              </w:rPr>
              <w:t>and</w:t>
            </w:r>
            <w:r>
              <w:rPr>
                <w:color w:val="231F20"/>
                <w:spacing w:val="-8"/>
                <w:sz w:val="15"/>
              </w:rPr>
              <w:t> </w:t>
            </w:r>
            <w:r>
              <w:rPr>
                <w:color w:val="231F20"/>
                <w:sz w:val="15"/>
              </w:rPr>
              <w:t>mental</w:t>
            </w:r>
            <w:r>
              <w:rPr>
                <w:color w:val="231F20"/>
                <w:spacing w:val="-8"/>
                <w:sz w:val="15"/>
              </w:rPr>
              <w:t> </w:t>
            </w:r>
            <w:r>
              <w:rPr>
                <w:color w:val="231F20"/>
                <w:sz w:val="15"/>
              </w:rPr>
              <w:t>retardation</w:t>
            </w:r>
            <w:r>
              <w:rPr>
                <w:color w:val="231F20"/>
                <w:spacing w:val="-8"/>
                <w:sz w:val="15"/>
              </w:rPr>
              <w:t> </w:t>
            </w:r>
            <w:r>
              <w:rPr>
                <w:color w:val="231F20"/>
                <w:sz w:val="15"/>
              </w:rPr>
              <w:t>most</w:t>
            </w:r>
            <w:r>
              <w:rPr>
                <w:color w:val="231F20"/>
                <w:spacing w:val="-8"/>
                <w:sz w:val="15"/>
              </w:rPr>
              <w:t> </w:t>
            </w:r>
            <w:r>
              <w:rPr>
                <w:color w:val="231F20"/>
                <w:sz w:val="15"/>
              </w:rPr>
              <w:t>severe</w:t>
            </w:r>
            <w:r>
              <w:rPr>
                <w:color w:val="231F20"/>
                <w:spacing w:val="-8"/>
                <w:sz w:val="15"/>
              </w:rPr>
              <w:t> </w:t>
            </w:r>
            <w:r>
              <w:rPr>
                <w:color w:val="231F20"/>
                <w:sz w:val="15"/>
              </w:rPr>
              <w:t>with</w:t>
            </w:r>
            <w:r>
              <w:rPr>
                <w:color w:val="231F20"/>
                <w:spacing w:val="-8"/>
                <w:sz w:val="15"/>
              </w:rPr>
              <w:t> </w:t>
            </w:r>
            <w:r>
              <w:rPr>
                <w:color w:val="231F20"/>
                <w:sz w:val="15"/>
              </w:rPr>
              <w:t>exposure</w:t>
            </w:r>
            <w:r>
              <w:rPr>
                <w:color w:val="231F20"/>
                <w:spacing w:val="-8"/>
                <w:sz w:val="15"/>
              </w:rPr>
              <w:t> </w:t>
            </w:r>
            <w:r>
              <w:rPr>
                <w:color w:val="231F20"/>
                <w:sz w:val="15"/>
              </w:rPr>
              <w:t>before</w:t>
            </w:r>
            <w:r>
              <w:rPr>
                <w:color w:val="231F20"/>
                <w:spacing w:val="-8"/>
                <w:sz w:val="15"/>
              </w:rPr>
              <w:t> </w:t>
            </w:r>
            <w:r>
              <w:rPr>
                <w:color w:val="231F20"/>
                <w:sz w:val="15"/>
              </w:rPr>
              <w:t>15th</w:t>
            </w:r>
            <w:r>
              <w:rPr>
                <w:color w:val="231F20"/>
                <w:spacing w:val="-8"/>
                <w:sz w:val="15"/>
              </w:rPr>
              <w:t> </w:t>
            </w:r>
            <w:r>
              <w:rPr>
                <w:color w:val="231F20"/>
                <w:sz w:val="15"/>
              </w:rPr>
              <w:t>wk</w:t>
            </w:r>
            <w:r>
              <w:rPr>
                <w:color w:val="231F20"/>
                <w:spacing w:val="-8"/>
                <w:sz w:val="15"/>
              </w:rPr>
              <w:t> </w:t>
            </w:r>
            <w:r>
              <w:rPr>
                <w:color w:val="231F20"/>
                <w:sz w:val="15"/>
              </w:rPr>
              <w:t>of</w:t>
            </w:r>
            <w:r>
              <w:rPr>
                <w:color w:val="231F20"/>
                <w:spacing w:val="-8"/>
                <w:sz w:val="15"/>
              </w:rPr>
              <w:t> </w:t>
            </w:r>
            <w:r>
              <w:rPr>
                <w:color w:val="231F20"/>
                <w:sz w:val="15"/>
              </w:rPr>
              <w:t>gestation </w:t>
            </w:r>
            <w:r>
              <w:rPr>
                <w:color w:val="231F20"/>
                <w:spacing w:val="-2"/>
                <w:sz w:val="15"/>
              </w:rPr>
              <w:t>Meningitis/encephalitis</w:t>
            </w:r>
            <w:r>
              <w:rPr>
                <w:color w:val="231F20"/>
                <w:sz w:val="15"/>
              </w:rPr>
              <w:tab/>
              <w:t>Cerebral infarcts, cystic cavitation, diffuse loss of neurons</w:t>
            </w:r>
          </w:p>
          <w:p>
            <w:pPr>
              <w:pStyle w:val="TableParagraph"/>
              <w:tabs>
                <w:tab w:pos="2568" w:val="left" w:leader="none"/>
              </w:tabs>
              <w:spacing w:line="169" w:lineRule="exact"/>
              <w:ind w:left="115"/>
              <w:rPr>
                <w:sz w:val="15"/>
              </w:rPr>
            </w:pPr>
            <w:r>
              <w:rPr>
                <w:color w:val="231F20"/>
                <w:spacing w:val="-2"/>
                <w:sz w:val="15"/>
              </w:rPr>
              <w:t>Malnutrition</w:t>
            </w:r>
            <w:r>
              <w:rPr>
                <w:color w:val="231F20"/>
                <w:sz w:val="15"/>
              </w:rPr>
              <w:tab/>
              <w:t>Controversial</w:t>
            </w:r>
            <w:r>
              <w:rPr>
                <w:color w:val="231F20"/>
                <w:spacing w:val="-7"/>
                <w:sz w:val="15"/>
              </w:rPr>
              <w:t> </w:t>
            </w:r>
            <w:r>
              <w:rPr>
                <w:color w:val="231F20"/>
                <w:sz w:val="15"/>
              </w:rPr>
              <w:t>cause</w:t>
            </w:r>
            <w:r>
              <w:rPr>
                <w:color w:val="231F20"/>
                <w:spacing w:val="-6"/>
                <w:sz w:val="15"/>
              </w:rPr>
              <w:t> </w:t>
            </w:r>
            <w:r>
              <w:rPr>
                <w:color w:val="231F20"/>
                <w:sz w:val="15"/>
              </w:rPr>
              <w:t>of</w:t>
            </w:r>
            <w:r>
              <w:rPr>
                <w:color w:val="231F20"/>
                <w:spacing w:val="-6"/>
                <w:sz w:val="15"/>
              </w:rPr>
              <w:t> </w:t>
            </w:r>
            <w:r>
              <w:rPr>
                <w:color w:val="231F20"/>
                <w:spacing w:val="-2"/>
                <w:sz w:val="15"/>
              </w:rPr>
              <w:t>microcephaly</w:t>
            </w:r>
          </w:p>
          <w:p>
            <w:pPr>
              <w:pStyle w:val="TableParagraph"/>
              <w:tabs>
                <w:tab w:pos="2568" w:val="left" w:leader="none"/>
              </w:tabs>
              <w:spacing w:line="169" w:lineRule="exact"/>
              <w:ind w:left="115"/>
              <w:rPr>
                <w:sz w:val="15"/>
              </w:rPr>
            </w:pPr>
            <w:r>
              <w:rPr>
                <w:color w:val="231F20"/>
                <w:spacing w:val="-2"/>
                <w:sz w:val="15"/>
              </w:rPr>
              <w:t>Metabolic</w:t>
            </w:r>
            <w:r>
              <w:rPr>
                <w:color w:val="231F20"/>
                <w:sz w:val="15"/>
              </w:rPr>
              <w:tab/>
              <w:t>Maternal</w:t>
            </w:r>
            <w:r>
              <w:rPr>
                <w:color w:val="231F20"/>
                <w:spacing w:val="-11"/>
                <w:sz w:val="15"/>
              </w:rPr>
              <w:t> </w:t>
            </w:r>
            <w:r>
              <w:rPr>
                <w:color w:val="231F20"/>
                <w:sz w:val="15"/>
              </w:rPr>
              <w:t>diabetes</w:t>
            </w:r>
            <w:r>
              <w:rPr>
                <w:color w:val="231F20"/>
                <w:spacing w:val="-10"/>
                <w:sz w:val="15"/>
              </w:rPr>
              <w:t> </w:t>
            </w:r>
            <w:r>
              <w:rPr>
                <w:color w:val="231F20"/>
                <w:sz w:val="15"/>
              </w:rPr>
              <w:t>mellitus</w:t>
            </w:r>
            <w:r>
              <w:rPr>
                <w:color w:val="231F20"/>
                <w:spacing w:val="-10"/>
                <w:sz w:val="15"/>
              </w:rPr>
              <w:t> </w:t>
            </w:r>
            <w:r>
              <w:rPr>
                <w:color w:val="231F20"/>
                <w:sz w:val="15"/>
              </w:rPr>
              <w:t>and</w:t>
            </w:r>
            <w:r>
              <w:rPr>
                <w:color w:val="231F20"/>
                <w:spacing w:val="-10"/>
                <w:sz w:val="15"/>
              </w:rPr>
              <w:t> </w:t>
            </w:r>
            <w:r>
              <w:rPr>
                <w:color w:val="231F20"/>
                <w:sz w:val="15"/>
              </w:rPr>
              <w:t>maternal</w:t>
            </w:r>
            <w:r>
              <w:rPr>
                <w:color w:val="231F20"/>
                <w:spacing w:val="-10"/>
                <w:sz w:val="15"/>
              </w:rPr>
              <w:t> </w:t>
            </w:r>
            <w:r>
              <w:rPr>
                <w:color w:val="231F20"/>
                <w:spacing w:val="-2"/>
                <w:sz w:val="15"/>
              </w:rPr>
              <w:t>hyperphenylalaninemia</w:t>
            </w:r>
          </w:p>
          <w:p>
            <w:pPr>
              <w:pStyle w:val="TableParagraph"/>
              <w:tabs>
                <w:tab w:pos="2568" w:val="left" w:leader="none"/>
              </w:tabs>
              <w:spacing w:line="230" w:lineRule="auto" w:before="3"/>
              <w:ind w:left="2568" w:right="73" w:hanging="2453"/>
              <w:rPr>
                <w:sz w:val="15"/>
              </w:rPr>
            </w:pPr>
            <w:r>
              <w:rPr>
                <w:color w:val="231F20"/>
                <w:spacing w:val="-2"/>
                <w:sz w:val="15"/>
              </w:rPr>
              <w:t>Hyperthermia</w:t>
            </w:r>
            <w:r>
              <w:rPr>
                <w:color w:val="231F20"/>
                <w:sz w:val="15"/>
              </w:rPr>
              <w:tab/>
              <w:t>Significant</w:t>
            </w:r>
            <w:r>
              <w:rPr>
                <w:color w:val="231F20"/>
                <w:spacing w:val="-11"/>
                <w:sz w:val="15"/>
              </w:rPr>
              <w:t> </w:t>
            </w:r>
            <w:r>
              <w:rPr>
                <w:color w:val="231F20"/>
                <w:sz w:val="15"/>
              </w:rPr>
              <w:t>fever</w:t>
            </w:r>
            <w:r>
              <w:rPr>
                <w:color w:val="231F20"/>
                <w:spacing w:val="-11"/>
                <w:sz w:val="15"/>
              </w:rPr>
              <w:t> </w:t>
            </w:r>
            <w:r>
              <w:rPr>
                <w:color w:val="231F20"/>
                <w:sz w:val="15"/>
              </w:rPr>
              <w:t>during</w:t>
            </w:r>
            <w:r>
              <w:rPr>
                <w:color w:val="231F20"/>
                <w:spacing w:val="-11"/>
                <w:sz w:val="15"/>
              </w:rPr>
              <w:t> </w:t>
            </w:r>
            <w:r>
              <w:rPr>
                <w:color w:val="231F20"/>
                <w:sz w:val="15"/>
              </w:rPr>
              <w:t>1st</w:t>
            </w:r>
            <w:r>
              <w:rPr>
                <w:color w:val="231F20"/>
                <w:spacing w:val="-11"/>
                <w:sz w:val="15"/>
              </w:rPr>
              <w:t> </w:t>
            </w:r>
            <w:r>
              <w:rPr>
                <w:color w:val="231F20"/>
                <w:sz w:val="15"/>
              </w:rPr>
              <w:t>4-6</w:t>
            </w:r>
            <w:r>
              <w:rPr>
                <w:color w:val="231F20"/>
                <w:spacing w:val="-10"/>
                <w:sz w:val="15"/>
              </w:rPr>
              <w:t> </w:t>
            </w:r>
            <w:r>
              <w:rPr>
                <w:color w:val="231F20"/>
                <w:sz w:val="15"/>
              </w:rPr>
              <w:t>wk</w:t>
            </w:r>
            <w:r>
              <w:rPr>
                <w:color w:val="231F20"/>
                <w:spacing w:val="-11"/>
                <w:sz w:val="15"/>
              </w:rPr>
              <w:t> </w:t>
            </w:r>
            <w:r>
              <w:rPr>
                <w:color w:val="231F20"/>
                <w:sz w:val="15"/>
              </w:rPr>
              <w:t>has</w:t>
            </w:r>
            <w:r>
              <w:rPr>
                <w:color w:val="231F20"/>
                <w:spacing w:val="-11"/>
                <w:sz w:val="15"/>
              </w:rPr>
              <w:t> </w:t>
            </w:r>
            <w:r>
              <w:rPr>
                <w:color w:val="231F20"/>
                <w:sz w:val="15"/>
              </w:rPr>
              <w:t>been</w:t>
            </w:r>
            <w:r>
              <w:rPr>
                <w:color w:val="231F20"/>
                <w:spacing w:val="-11"/>
                <w:sz w:val="15"/>
              </w:rPr>
              <w:t> </w:t>
            </w:r>
            <w:r>
              <w:rPr>
                <w:color w:val="231F20"/>
                <w:sz w:val="15"/>
              </w:rPr>
              <w:t>reported</w:t>
            </w:r>
            <w:r>
              <w:rPr>
                <w:color w:val="231F20"/>
                <w:spacing w:val="-11"/>
                <w:sz w:val="15"/>
              </w:rPr>
              <w:t> </w:t>
            </w:r>
            <w:r>
              <w:rPr>
                <w:color w:val="231F20"/>
                <w:sz w:val="15"/>
              </w:rPr>
              <w:t>to</w:t>
            </w:r>
            <w:r>
              <w:rPr>
                <w:color w:val="231F20"/>
                <w:spacing w:val="-11"/>
                <w:sz w:val="15"/>
              </w:rPr>
              <w:t> </w:t>
            </w:r>
            <w:r>
              <w:rPr>
                <w:color w:val="231F20"/>
                <w:sz w:val="15"/>
              </w:rPr>
              <w:t>cause</w:t>
            </w:r>
            <w:r>
              <w:rPr>
                <w:color w:val="231F20"/>
                <w:spacing w:val="-11"/>
                <w:sz w:val="15"/>
              </w:rPr>
              <w:t> </w:t>
            </w:r>
            <w:r>
              <w:rPr>
                <w:color w:val="231F20"/>
                <w:sz w:val="15"/>
              </w:rPr>
              <w:t>microcephaly,</w:t>
            </w:r>
            <w:r>
              <w:rPr>
                <w:color w:val="231F20"/>
                <w:spacing w:val="-11"/>
                <w:sz w:val="15"/>
              </w:rPr>
              <w:t> </w:t>
            </w:r>
            <w:r>
              <w:rPr>
                <w:color w:val="231F20"/>
                <w:sz w:val="15"/>
              </w:rPr>
              <w:t>seizures,</w:t>
            </w:r>
            <w:r>
              <w:rPr>
                <w:color w:val="231F20"/>
                <w:spacing w:val="-11"/>
                <w:sz w:val="15"/>
              </w:rPr>
              <w:t> </w:t>
            </w:r>
            <w:r>
              <w:rPr>
                <w:color w:val="231F20"/>
                <w:sz w:val="15"/>
              </w:rPr>
              <w:t>and</w:t>
            </w:r>
            <w:r>
              <w:rPr>
                <w:color w:val="231F20"/>
                <w:spacing w:val="-11"/>
                <w:sz w:val="15"/>
              </w:rPr>
              <w:t> </w:t>
            </w:r>
            <w:r>
              <w:rPr>
                <w:color w:val="231F20"/>
                <w:sz w:val="15"/>
              </w:rPr>
              <w:t>facial</w:t>
            </w:r>
            <w:r>
              <w:rPr>
                <w:color w:val="231F20"/>
                <w:spacing w:val="-11"/>
                <w:sz w:val="15"/>
              </w:rPr>
              <w:t> </w:t>
            </w:r>
            <w:r>
              <w:rPr>
                <w:color w:val="231F20"/>
                <w:sz w:val="15"/>
              </w:rPr>
              <w:t>anomalies Pathologic studies show neuronal heterotopias</w:t>
            </w:r>
          </w:p>
          <w:p>
            <w:pPr>
              <w:pStyle w:val="TableParagraph"/>
              <w:spacing w:line="168" w:lineRule="exact"/>
              <w:ind w:left="2568"/>
              <w:rPr>
                <w:sz w:val="15"/>
              </w:rPr>
            </w:pPr>
            <w:r>
              <w:rPr>
                <w:color w:val="231F20"/>
                <w:spacing w:val="-2"/>
                <w:sz w:val="15"/>
              </w:rPr>
              <w:t>Further</w:t>
            </w:r>
            <w:r>
              <w:rPr>
                <w:color w:val="231F20"/>
                <w:sz w:val="15"/>
              </w:rPr>
              <w:t> </w:t>
            </w:r>
            <w:r>
              <w:rPr>
                <w:color w:val="231F20"/>
                <w:spacing w:val="-2"/>
                <w:sz w:val="15"/>
              </w:rPr>
              <w:t>studies</w:t>
            </w:r>
            <w:r>
              <w:rPr>
                <w:color w:val="231F20"/>
                <w:sz w:val="15"/>
              </w:rPr>
              <w:t> </w:t>
            </w:r>
            <w:r>
              <w:rPr>
                <w:color w:val="231F20"/>
                <w:spacing w:val="-2"/>
                <w:sz w:val="15"/>
              </w:rPr>
              <w:t>show</w:t>
            </w:r>
            <w:r>
              <w:rPr>
                <w:color w:val="231F20"/>
                <w:sz w:val="15"/>
              </w:rPr>
              <w:t> </w:t>
            </w:r>
            <w:r>
              <w:rPr>
                <w:color w:val="231F20"/>
                <w:spacing w:val="-2"/>
                <w:sz w:val="15"/>
              </w:rPr>
              <w:t>no</w:t>
            </w:r>
            <w:r>
              <w:rPr>
                <w:color w:val="231F20"/>
                <w:spacing w:val="1"/>
                <w:sz w:val="15"/>
              </w:rPr>
              <w:t> </w:t>
            </w:r>
            <w:r>
              <w:rPr>
                <w:color w:val="231F20"/>
                <w:spacing w:val="-2"/>
                <w:sz w:val="15"/>
              </w:rPr>
              <w:t>abnormalities</w:t>
            </w:r>
            <w:r>
              <w:rPr>
                <w:color w:val="231F20"/>
                <w:sz w:val="15"/>
              </w:rPr>
              <w:t> </w:t>
            </w:r>
            <w:r>
              <w:rPr>
                <w:color w:val="231F20"/>
                <w:spacing w:val="-2"/>
                <w:sz w:val="15"/>
              </w:rPr>
              <w:t>with</w:t>
            </w:r>
            <w:r>
              <w:rPr>
                <w:color w:val="231F20"/>
                <w:sz w:val="15"/>
              </w:rPr>
              <w:t> </w:t>
            </w:r>
            <w:r>
              <w:rPr>
                <w:color w:val="231F20"/>
                <w:spacing w:val="-2"/>
                <w:sz w:val="15"/>
              </w:rPr>
              <w:t>maternal</w:t>
            </w:r>
            <w:r>
              <w:rPr>
                <w:color w:val="231F20"/>
                <w:spacing w:val="1"/>
                <w:sz w:val="15"/>
              </w:rPr>
              <w:t> </w:t>
            </w:r>
            <w:r>
              <w:rPr>
                <w:color w:val="231F20"/>
                <w:spacing w:val="-2"/>
                <w:sz w:val="15"/>
              </w:rPr>
              <w:t>fever</w:t>
            </w:r>
          </w:p>
          <w:p>
            <w:pPr>
              <w:pStyle w:val="TableParagraph"/>
              <w:tabs>
                <w:tab w:pos="2568" w:val="left" w:leader="none"/>
              </w:tabs>
              <w:spacing w:line="230" w:lineRule="auto" w:before="4"/>
              <w:ind w:left="227" w:right="73" w:hanging="112"/>
              <w:rPr>
                <w:sz w:val="15"/>
              </w:rPr>
            </w:pPr>
            <w:r>
              <w:rPr>
                <w:color w:val="231F20"/>
                <w:spacing w:val="-2"/>
                <w:sz w:val="15"/>
              </w:rPr>
              <w:t>Hypoxic–ischemic</w:t>
            </w:r>
            <w:r>
              <w:rPr>
                <w:color w:val="231F20"/>
                <w:sz w:val="15"/>
              </w:rPr>
              <w:tab/>
              <w:t>Initially</w:t>
            </w:r>
            <w:r>
              <w:rPr>
                <w:color w:val="231F20"/>
                <w:spacing w:val="-10"/>
                <w:sz w:val="15"/>
              </w:rPr>
              <w:t> </w:t>
            </w:r>
            <w:r>
              <w:rPr>
                <w:color w:val="231F20"/>
                <w:sz w:val="15"/>
              </w:rPr>
              <w:t>diffuse</w:t>
            </w:r>
            <w:r>
              <w:rPr>
                <w:color w:val="231F20"/>
                <w:spacing w:val="-10"/>
                <w:sz w:val="15"/>
              </w:rPr>
              <w:t> </w:t>
            </w:r>
            <w:r>
              <w:rPr>
                <w:color w:val="231F20"/>
                <w:sz w:val="15"/>
              </w:rPr>
              <w:t>cerebral</w:t>
            </w:r>
            <w:r>
              <w:rPr>
                <w:color w:val="231F20"/>
                <w:spacing w:val="-10"/>
                <w:sz w:val="15"/>
              </w:rPr>
              <w:t> </w:t>
            </w:r>
            <w:r>
              <w:rPr>
                <w:color w:val="231F20"/>
                <w:sz w:val="15"/>
              </w:rPr>
              <w:t>edema;</w:t>
            </w:r>
            <w:r>
              <w:rPr>
                <w:color w:val="231F20"/>
                <w:spacing w:val="-10"/>
                <w:sz w:val="15"/>
              </w:rPr>
              <w:t> </w:t>
            </w:r>
            <w:r>
              <w:rPr>
                <w:color w:val="231F20"/>
                <w:sz w:val="15"/>
              </w:rPr>
              <w:t>late</w:t>
            </w:r>
            <w:r>
              <w:rPr>
                <w:color w:val="231F20"/>
                <w:spacing w:val="-10"/>
                <w:sz w:val="15"/>
              </w:rPr>
              <w:t> </w:t>
            </w:r>
            <w:r>
              <w:rPr>
                <w:color w:val="231F20"/>
                <w:sz w:val="15"/>
              </w:rPr>
              <w:t>stages</w:t>
            </w:r>
            <w:r>
              <w:rPr>
                <w:color w:val="231F20"/>
                <w:spacing w:val="-10"/>
                <w:sz w:val="15"/>
              </w:rPr>
              <w:t> </w:t>
            </w:r>
            <w:r>
              <w:rPr>
                <w:color w:val="231F20"/>
                <w:sz w:val="15"/>
              </w:rPr>
              <w:t>characterized</w:t>
            </w:r>
            <w:r>
              <w:rPr>
                <w:color w:val="231F20"/>
                <w:spacing w:val="-10"/>
                <w:sz w:val="15"/>
              </w:rPr>
              <w:t> </w:t>
            </w:r>
            <w:r>
              <w:rPr>
                <w:color w:val="231F20"/>
                <w:sz w:val="15"/>
              </w:rPr>
              <w:t>by</w:t>
            </w:r>
            <w:r>
              <w:rPr>
                <w:color w:val="231F20"/>
                <w:spacing w:val="-10"/>
                <w:sz w:val="15"/>
              </w:rPr>
              <w:t> </w:t>
            </w:r>
            <w:r>
              <w:rPr>
                <w:color w:val="231F20"/>
                <w:sz w:val="15"/>
              </w:rPr>
              <w:t>cerebral</w:t>
            </w:r>
            <w:r>
              <w:rPr>
                <w:color w:val="231F20"/>
                <w:spacing w:val="-10"/>
                <w:sz w:val="15"/>
              </w:rPr>
              <w:t> </w:t>
            </w:r>
            <w:r>
              <w:rPr>
                <w:color w:val="231F20"/>
                <w:sz w:val="15"/>
              </w:rPr>
              <w:t>atrophy</w:t>
            </w:r>
            <w:r>
              <w:rPr>
                <w:color w:val="231F20"/>
                <w:spacing w:val="-10"/>
                <w:sz w:val="15"/>
              </w:rPr>
              <w:t> </w:t>
            </w:r>
            <w:r>
              <w:rPr>
                <w:color w:val="231F20"/>
                <w:sz w:val="15"/>
              </w:rPr>
              <w:t>and</w:t>
            </w:r>
            <w:r>
              <w:rPr>
                <w:color w:val="231F20"/>
                <w:spacing w:val="-10"/>
                <w:sz w:val="15"/>
              </w:rPr>
              <w:t> </w:t>
            </w:r>
            <w:r>
              <w:rPr>
                <w:color w:val="231F20"/>
                <w:sz w:val="15"/>
              </w:rPr>
              <w:t>abnormal</w:t>
            </w:r>
            <w:r>
              <w:rPr>
                <w:color w:val="231F20"/>
                <w:spacing w:val="-10"/>
                <w:sz w:val="15"/>
              </w:rPr>
              <w:t> </w:t>
            </w:r>
            <w:r>
              <w:rPr>
                <w:color w:val="231F20"/>
                <w:sz w:val="15"/>
              </w:rPr>
              <w:t>signals</w:t>
            </w:r>
            <w:r>
              <w:rPr>
                <w:color w:val="231F20"/>
                <w:spacing w:val="-10"/>
                <w:sz w:val="15"/>
              </w:rPr>
              <w:t> </w:t>
            </w:r>
            <w:r>
              <w:rPr>
                <w:color w:val="231F20"/>
                <w:sz w:val="15"/>
              </w:rPr>
              <w:t>on</w:t>
            </w:r>
            <w:r>
              <w:rPr>
                <w:color w:val="231F20"/>
                <w:spacing w:val="-10"/>
                <w:sz w:val="15"/>
              </w:rPr>
              <w:t> </w:t>
            </w:r>
            <w:r>
              <w:rPr>
                <w:color w:val="231F20"/>
                <w:sz w:val="15"/>
              </w:rPr>
              <w:t>MRI </w:t>
            </w:r>
            <w:r>
              <w:rPr>
                <w:color w:val="231F20"/>
                <w:spacing w:val="-2"/>
                <w:sz w:val="15"/>
              </w:rPr>
              <w:t>encephalopathy</w:t>
            </w:r>
          </w:p>
        </w:tc>
      </w:tr>
    </w:tbl>
    <w:p>
      <w:pPr>
        <w:pStyle w:val="TableParagraph"/>
        <w:spacing w:after="0" w:line="230" w:lineRule="auto"/>
        <w:rPr>
          <w:sz w:val="15"/>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210" name="Group 210"/>
                <wp:cNvGraphicFramePr>
                  <a:graphicFrameLocks/>
                </wp:cNvGraphicFramePr>
                <a:graphic>
                  <a:graphicData uri="http://schemas.microsoft.com/office/word/2010/wordprocessingGroup">
                    <wpg:wgp>
                      <wpg:cNvPr id="210" name="Group 210"/>
                      <wpg:cNvGrpSpPr/>
                      <wpg:grpSpPr>
                        <a:xfrm>
                          <a:off x="0" y="0"/>
                          <a:ext cx="6185535" cy="170815"/>
                          <a:chExt cx="6185535" cy="170815"/>
                        </a:xfrm>
                      </wpg:grpSpPr>
                      <wps:wsp>
                        <wps:cNvPr id="211" name="Graphic 211"/>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212" name="Graphic 212"/>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213" name="Textbox 213"/>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2820</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64"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165" filled="false" stroked="false">
                  <v:textbox inset="0,0,0,0">
                    <w:txbxContent>
                      <w:p>
                        <w:pPr>
                          <w:spacing w:before="6"/>
                          <w:ind w:left="-1" w:right="0" w:firstLine="0"/>
                          <w:jc w:val="left"/>
                          <w:rPr>
                            <w:sz w:val="18"/>
                          </w:rPr>
                        </w:pPr>
                        <w:r>
                          <w:rPr>
                            <w:b/>
                            <w:color w:val="231F20"/>
                            <w:w w:val="105"/>
                            <w:sz w:val="18"/>
                          </w:rPr>
                          <w:t>2820</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64"/>
        <w:rPr>
          <w:i/>
          <w:sz w:val="20"/>
        </w:rPr>
      </w:pPr>
    </w:p>
    <w:tbl>
      <w:tblPr>
        <w:tblW w:w="0" w:type="auto"/>
        <w:jc w:val="left"/>
        <w:tblInd w:w="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1"/>
        <w:gridCol w:w="247"/>
        <w:gridCol w:w="2423"/>
        <w:gridCol w:w="2363"/>
        <w:gridCol w:w="3839"/>
      </w:tblGrid>
      <w:tr>
        <w:trPr>
          <w:trHeight w:val="354" w:hRule="atLeast"/>
        </w:trPr>
        <w:tc>
          <w:tcPr>
            <w:tcW w:w="1148" w:type="dxa"/>
            <w:gridSpan w:val="2"/>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591-</w:t>
            </w:r>
            <w:r>
              <w:rPr>
                <w:b/>
                <w:color w:val="FFFFFF"/>
                <w:spacing w:val="-10"/>
                <w:w w:val="105"/>
                <w:sz w:val="16"/>
              </w:rPr>
              <w:t>6</w:t>
            </w:r>
          </w:p>
        </w:tc>
        <w:tc>
          <w:tcPr>
            <w:tcW w:w="8625"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Epidemiology</w:t>
            </w:r>
            <w:r>
              <w:rPr>
                <w:color w:val="FFFFFF"/>
                <w:spacing w:val="10"/>
                <w:w w:val="105"/>
                <w:sz w:val="16"/>
              </w:rPr>
              <w:t> </w:t>
            </w:r>
            <w:r>
              <w:rPr>
                <w:color w:val="FFFFFF"/>
                <w:w w:val="105"/>
                <w:sz w:val="16"/>
              </w:rPr>
              <w:t>and</w:t>
            </w:r>
            <w:r>
              <w:rPr>
                <w:color w:val="FFFFFF"/>
                <w:spacing w:val="11"/>
                <w:w w:val="105"/>
                <w:sz w:val="16"/>
              </w:rPr>
              <w:t> </w:t>
            </w:r>
            <w:r>
              <w:rPr>
                <w:color w:val="FFFFFF"/>
                <w:w w:val="105"/>
                <w:sz w:val="16"/>
              </w:rPr>
              <w:t>Clinical</w:t>
            </w:r>
            <w:r>
              <w:rPr>
                <w:color w:val="FFFFFF"/>
                <w:spacing w:val="10"/>
                <w:w w:val="105"/>
                <w:sz w:val="16"/>
              </w:rPr>
              <w:t> </w:t>
            </w:r>
            <w:r>
              <w:rPr>
                <w:color w:val="FFFFFF"/>
                <w:w w:val="105"/>
                <w:sz w:val="16"/>
              </w:rPr>
              <w:t>Characteristics</w:t>
            </w:r>
            <w:r>
              <w:rPr>
                <w:color w:val="FFFFFF"/>
                <w:spacing w:val="11"/>
                <w:w w:val="105"/>
                <w:sz w:val="16"/>
              </w:rPr>
              <w:t> </w:t>
            </w:r>
            <w:r>
              <w:rPr>
                <w:color w:val="FFFFFF"/>
                <w:w w:val="105"/>
                <w:sz w:val="16"/>
              </w:rPr>
              <w:t>of</w:t>
            </w:r>
            <w:r>
              <w:rPr>
                <w:color w:val="FFFFFF"/>
                <w:spacing w:val="10"/>
                <w:w w:val="105"/>
                <w:sz w:val="16"/>
              </w:rPr>
              <w:t> </w:t>
            </w:r>
            <w:r>
              <w:rPr>
                <w:color w:val="FFFFFF"/>
                <w:w w:val="105"/>
                <w:sz w:val="16"/>
              </w:rPr>
              <w:t>the</w:t>
            </w:r>
            <w:r>
              <w:rPr>
                <w:color w:val="FFFFFF"/>
                <w:spacing w:val="11"/>
                <w:w w:val="105"/>
                <w:sz w:val="16"/>
              </w:rPr>
              <w:t> </w:t>
            </w:r>
            <w:r>
              <w:rPr>
                <w:color w:val="FFFFFF"/>
                <w:w w:val="105"/>
                <w:sz w:val="16"/>
              </w:rPr>
              <w:t>Common</w:t>
            </w:r>
            <w:r>
              <w:rPr>
                <w:color w:val="FFFFFF"/>
                <w:spacing w:val="11"/>
                <w:w w:val="105"/>
                <w:sz w:val="16"/>
              </w:rPr>
              <w:t> </w:t>
            </w:r>
            <w:r>
              <w:rPr>
                <w:color w:val="FFFFFF"/>
                <w:spacing w:val="-2"/>
                <w:w w:val="105"/>
                <w:sz w:val="16"/>
              </w:rPr>
              <w:t>Craniosynostoses</w:t>
            </w:r>
          </w:p>
        </w:tc>
      </w:tr>
      <w:tr>
        <w:trPr>
          <w:trHeight w:val="276" w:hRule="atLeast"/>
        </w:trPr>
        <w:tc>
          <w:tcPr>
            <w:tcW w:w="901" w:type="dxa"/>
            <w:tcBorders>
              <w:bottom w:val="single" w:sz="4" w:space="0" w:color="231F20"/>
            </w:tcBorders>
            <w:shd w:val="clear" w:color="auto" w:fill="E8F5F1"/>
          </w:tcPr>
          <w:p>
            <w:pPr>
              <w:pStyle w:val="TableParagraph"/>
              <w:spacing w:before="66"/>
              <w:ind w:left="74"/>
              <w:rPr>
                <w:b/>
                <w:sz w:val="15"/>
              </w:rPr>
            </w:pPr>
            <w:r>
              <w:rPr>
                <w:b/>
                <w:color w:val="231F20"/>
                <w:spacing w:val="-4"/>
                <w:w w:val="105"/>
                <w:sz w:val="15"/>
              </w:rPr>
              <w:t>TYPE</w:t>
            </w:r>
          </w:p>
        </w:tc>
        <w:tc>
          <w:tcPr>
            <w:tcW w:w="2670" w:type="dxa"/>
            <w:gridSpan w:val="2"/>
            <w:tcBorders>
              <w:bottom w:val="single" w:sz="4" w:space="0" w:color="231F20"/>
            </w:tcBorders>
            <w:shd w:val="clear" w:color="auto" w:fill="E8F5F1"/>
          </w:tcPr>
          <w:p>
            <w:pPr>
              <w:pStyle w:val="TableParagraph"/>
              <w:spacing w:before="66"/>
              <w:ind w:left="751"/>
              <w:rPr>
                <w:b/>
                <w:sz w:val="15"/>
              </w:rPr>
            </w:pPr>
            <w:r>
              <w:rPr>
                <w:b/>
                <w:color w:val="231F20"/>
                <w:spacing w:val="-2"/>
                <w:w w:val="110"/>
                <w:sz w:val="15"/>
              </w:rPr>
              <w:t>EPIDEMIOLOGY</w:t>
            </w:r>
          </w:p>
        </w:tc>
        <w:tc>
          <w:tcPr>
            <w:tcW w:w="2363" w:type="dxa"/>
            <w:tcBorders>
              <w:bottom w:val="single" w:sz="4" w:space="0" w:color="231F20"/>
            </w:tcBorders>
            <w:shd w:val="clear" w:color="auto" w:fill="E8F5F1"/>
          </w:tcPr>
          <w:p>
            <w:pPr>
              <w:pStyle w:val="TableParagraph"/>
              <w:spacing w:before="66"/>
              <w:ind w:left="479"/>
              <w:rPr>
                <w:b/>
                <w:sz w:val="15"/>
              </w:rPr>
            </w:pPr>
            <w:r>
              <w:rPr>
                <w:b/>
                <w:color w:val="231F20"/>
                <w:w w:val="105"/>
                <w:sz w:val="15"/>
              </w:rPr>
              <w:t>SKULL</w:t>
            </w:r>
            <w:r>
              <w:rPr>
                <w:b/>
                <w:color w:val="231F20"/>
                <w:spacing w:val="6"/>
                <w:w w:val="110"/>
                <w:sz w:val="15"/>
              </w:rPr>
              <w:t> </w:t>
            </w:r>
            <w:r>
              <w:rPr>
                <w:b/>
                <w:color w:val="231F20"/>
                <w:spacing w:val="-2"/>
                <w:w w:val="110"/>
                <w:sz w:val="15"/>
              </w:rPr>
              <w:t>DEFORMITY</w:t>
            </w:r>
          </w:p>
        </w:tc>
        <w:tc>
          <w:tcPr>
            <w:tcW w:w="3839" w:type="dxa"/>
            <w:tcBorders>
              <w:bottom w:val="single" w:sz="4" w:space="0" w:color="231F20"/>
            </w:tcBorders>
            <w:shd w:val="clear" w:color="auto" w:fill="E8F5F1"/>
          </w:tcPr>
          <w:p>
            <w:pPr>
              <w:pStyle w:val="TableParagraph"/>
              <w:spacing w:before="66"/>
              <w:ind w:left="991"/>
              <w:rPr>
                <w:b/>
                <w:sz w:val="15"/>
              </w:rPr>
            </w:pPr>
            <w:r>
              <w:rPr>
                <w:b/>
                <w:color w:val="231F20"/>
                <w:w w:val="110"/>
                <w:sz w:val="15"/>
              </w:rPr>
              <w:t>CLINICAL</w:t>
            </w:r>
            <w:r>
              <w:rPr>
                <w:b/>
                <w:color w:val="231F20"/>
                <w:spacing w:val="-4"/>
                <w:w w:val="110"/>
                <w:sz w:val="15"/>
              </w:rPr>
              <w:t> </w:t>
            </w:r>
            <w:r>
              <w:rPr>
                <w:b/>
                <w:color w:val="231F20"/>
                <w:spacing w:val="-2"/>
                <w:w w:val="110"/>
                <w:sz w:val="15"/>
              </w:rPr>
              <w:t>PRESENTATION</w:t>
            </w:r>
          </w:p>
        </w:tc>
      </w:tr>
      <w:tr>
        <w:trPr>
          <w:trHeight w:val="425" w:hRule="atLeast"/>
        </w:trPr>
        <w:tc>
          <w:tcPr>
            <w:tcW w:w="901"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Sagittal</w:t>
            </w:r>
          </w:p>
        </w:tc>
        <w:tc>
          <w:tcPr>
            <w:tcW w:w="2670" w:type="dxa"/>
            <w:gridSpan w:val="2"/>
            <w:tcBorders>
              <w:top w:val="single" w:sz="4" w:space="0" w:color="231F20"/>
              <w:bottom w:val="single" w:sz="4" w:space="0" w:color="FFFFFF"/>
            </w:tcBorders>
            <w:shd w:val="clear" w:color="auto" w:fill="E8F5F1"/>
          </w:tcPr>
          <w:p>
            <w:pPr>
              <w:pStyle w:val="TableParagraph"/>
              <w:spacing w:line="230" w:lineRule="auto" w:before="52"/>
              <w:ind w:left="261" w:right="81" w:hanging="112"/>
              <w:rPr>
                <w:sz w:val="15"/>
              </w:rPr>
            </w:pPr>
            <w:r>
              <w:rPr>
                <w:color w:val="231F20"/>
                <w:w w:val="105"/>
                <w:sz w:val="15"/>
              </w:rPr>
              <w:t>Most</w:t>
            </w:r>
            <w:r>
              <w:rPr>
                <w:color w:val="231F20"/>
                <w:spacing w:val="-12"/>
                <w:w w:val="105"/>
                <w:sz w:val="15"/>
              </w:rPr>
              <w:t> </w:t>
            </w:r>
            <w:r>
              <w:rPr>
                <w:color w:val="231F20"/>
                <w:w w:val="105"/>
                <w:sz w:val="15"/>
              </w:rPr>
              <w:t>common</w:t>
            </w:r>
            <w:r>
              <w:rPr>
                <w:color w:val="231F20"/>
                <w:spacing w:val="-12"/>
                <w:w w:val="105"/>
                <w:sz w:val="15"/>
              </w:rPr>
              <w:t> </w:t>
            </w:r>
            <w:r>
              <w:rPr>
                <w:color w:val="231F20"/>
                <w:w w:val="105"/>
                <w:sz w:val="15"/>
              </w:rPr>
              <w:t>CSO</w:t>
            </w:r>
            <w:r>
              <w:rPr>
                <w:color w:val="231F20"/>
                <w:spacing w:val="-12"/>
                <w:w w:val="105"/>
                <w:sz w:val="15"/>
              </w:rPr>
              <w:t> </w:t>
            </w:r>
            <w:r>
              <w:rPr>
                <w:color w:val="231F20"/>
                <w:w w:val="105"/>
                <w:sz w:val="15"/>
              </w:rPr>
              <w:t>affecting</w:t>
            </w:r>
            <w:r>
              <w:rPr>
                <w:color w:val="231F20"/>
                <w:spacing w:val="-12"/>
                <w:w w:val="105"/>
                <w:sz w:val="15"/>
              </w:rPr>
              <w:t> </w:t>
            </w:r>
            <w:r>
              <w:rPr>
                <w:color w:val="231F20"/>
                <w:w w:val="105"/>
                <w:sz w:val="15"/>
              </w:rPr>
              <w:t>a single suture, 80% male</w:t>
            </w:r>
          </w:p>
        </w:tc>
        <w:tc>
          <w:tcPr>
            <w:tcW w:w="2363" w:type="dxa"/>
            <w:tcBorders>
              <w:top w:val="single" w:sz="4" w:space="0" w:color="231F20"/>
              <w:bottom w:val="single" w:sz="4" w:space="0" w:color="FFFFFF"/>
            </w:tcBorders>
            <w:shd w:val="clear" w:color="auto" w:fill="E8F5F1"/>
          </w:tcPr>
          <w:p>
            <w:pPr>
              <w:pStyle w:val="TableParagraph"/>
              <w:spacing w:line="230" w:lineRule="auto" w:before="52"/>
              <w:ind w:left="259" w:right="148" w:hanging="112"/>
              <w:rPr>
                <w:sz w:val="15"/>
              </w:rPr>
            </w:pPr>
            <w:r>
              <w:rPr>
                <w:color w:val="231F20"/>
                <w:sz w:val="15"/>
              </w:rPr>
              <w:t>Dolicocephaly or </w:t>
            </w:r>
            <w:r>
              <w:rPr>
                <w:color w:val="231F20"/>
                <w:spacing w:val="-2"/>
                <w:sz w:val="15"/>
              </w:rPr>
              <w:t>scaphocephaly</w:t>
            </w:r>
            <w:r>
              <w:rPr>
                <w:color w:val="231F20"/>
                <w:spacing w:val="-5"/>
                <w:sz w:val="15"/>
              </w:rPr>
              <w:t> </w:t>
            </w:r>
            <w:r>
              <w:rPr>
                <w:color w:val="231F20"/>
                <w:spacing w:val="-2"/>
                <w:sz w:val="15"/>
              </w:rPr>
              <w:t>(boat-</w:t>
            </w:r>
            <w:r>
              <w:rPr>
                <w:color w:val="231F20"/>
                <w:spacing w:val="-2"/>
                <w:sz w:val="15"/>
              </w:rPr>
              <w:t>shaped)</w:t>
            </w:r>
          </w:p>
        </w:tc>
        <w:tc>
          <w:tcPr>
            <w:tcW w:w="3839" w:type="dxa"/>
            <w:tcBorders>
              <w:top w:val="single" w:sz="4" w:space="0" w:color="231F20"/>
              <w:bottom w:val="single" w:sz="4" w:space="0" w:color="FFFFFF"/>
            </w:tcBorders>
            <w:shd w:val="clear" w:color="auto" w:fill="E8F5F1"/>
          </w:tcPr>
          <w:p>
            <w:pPr>
              <w:pStyle w:val="TableParagraph"/>
              <w:spacing w:line="230" w:lineRule="auto" w:before="52"/>
              <w:ind w:left="259" w:hanging="112"/>
              <w:rPr>
                <w:sz w:val="15"/>
              </w:rPr>
            </w:pPr>
            <w:r>
              <w:rPr>
                <w:color w:val="231F20"/>
                <w:sz w:val="15"/>
              </w:rPr>
              <w:t>Frontal bossing, prominent occiput, palpable keel ridge.</w:t>
            </w:r>
            <w:r>
              <w:rPr>
                <w:color w:val="231F20"/>
                <w:spacing w:val="-5"/>
                <w:sz w:val="15"/>
              </w:rPr>
              <w:t> </w:t>
            </w:r>
            <w:r>
              <w:rPr>
                <w:color w:val="231F20"/>
                <w:sz w:val="15"/>
              </w:rPr>
              <w:t>OFC</w:t>
            </w:r>
            <w:r>
              <w:rPr>
                <w:color w:val="231F20"/>
                <w:spacing w:val="-5"/>
                <w:sz w:val="15"/>
              </w:rPr>
              <w:t> </w:t>
            </w:r>
            <w:r>
              <w:rPr>
                <w:color w:val="231F20"/>
                <w:sz w:val="15"/>
              </w:rPr>
              <w:t>normal</w:t>
            </w:r>
            <w:r>
              <w:rPr>
                <w:color w:val="231F20"/>
                <w:spacing w:val="-5"/>
                <w:sz w:val="15"/>
              </w:rPr>
              <w:t> </w:t>
            </w:r>
            <w:r>
              <w:rPr>
                <w:color w:val="231F20"/>
                <w:sz w:val="15"/>
              </w:rPr>
              <w:t>and</w:t>
            </w:r>
            <w:r>
              <w:rPr>
                <w:color w:val="231F20"/>
                <w:spacing w:val="-5"/>
                <w:sz w:val="15"/>
              </w:rPr>
              <w:t> </w:t>
            </w:r>
            <w:r>
              <w:rPr>
                <w:color w:val="231F20"/>
                <w:sz w:val="15"/>
              </w:rPr>
              <w:t>reduced</w:t>
            </w:r>
            <w:r>
              <w:rPr>
                <w:color w:val="231F20"/>
                <w:spacing w:val="-5"/>
                <w:sz w:val="15"/>
              </w:rPr>
              <w:t> </w:t>
            </w:r>
            <w:r>
              <w:rPr>
                <w:color w:val="231F20"/>
                <w:sz w:val="15"/>
              </w:rPr>
              <w:t>biparietal</w:t>
            </w:r>
            <w:r>
              <w:rPr>
                <w:color w:val="231F20"/>
                <w:spacing w:val="-5"/>
                <w:sz w:val="15"/>
              </w:rPr>
              <w:t> </w:t>
            </w:r>
            <w:r>
              <w:rPr>
                <w:color w:val="231F20"/>
                <w:sz w:val="15"/>
              </w:rPr>
              <w:t>diameter</w:t>
            </w:r>
          </w:p>
        </w:tc>
      </w:tr>
      <w:tr>
        <w:trPr>
          <w:trHeight w:val="1596" w:hRule="atLeast"/>
        </w:trPr>
        <w:tc>
          <w:tcPr>
            <w:tcW w:w="90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Coronal</w:t>
            </w:r>
          </w:p>
        </w:tc>
        <w:tc>
          <w:tcPr>
            <w:tcW w:w="2670" w:type="dxa"/>
            <w:gridSpan w:val="2"/>
            <w:tcBorders>
              <w:top w:val="single" w:sz="4" w:space="0" w:color="FFFFFF"/>
              <w:bottom w:val="single" w:sz="4" w:space="0" w:color="FFFFFF"/>
            </w:tcBorders>
            <w:shd w:val="clear" w:color="auto" w:fill="E8F5F1"/>
          </w:tcPr>
          <w:p>
            <w:pPr>
              <w:pStyle w:val="TableParagraph"/>
              <w:spacing w:line="230" w:lineRule="auto" w:before="48"/>
              <w:ind w:left="149"/>
              <w:rPr>
                <w:sz w:val="15"/>
              </w:rPr>
            </w:pPr>
            <w:r>
              <w:rPr>
                <w:color w:val="231F20"/>
                <w:sz w:val="15"/>
              </w:rPr>
              <w:t>18% of CSO, more common in </w:t>
            </w:r>
            <w:r>
              <w:rPr>
                <w:color w:val="231F20"/>
                <w:sz w:val="15"/>
              </w:rPr>
              <w:t>girls Associated with Apert syndrome</w:t>
            </w:r>
          </w:p>
          <w:p>
            <w:pPr>
              <w:pStyle w:val="TableParagraph"/>
              <w:spacing w:line="230" w:lineRule="auto" w:before="1"/>
              <w:ind w:left="261" w:right="174"/>
              <w:rPr>
                <w:sz w:val="15"/>
              </w:rPr>
            </w:pPr>
            <w:r>
              <w:rPr>
                <w:color w:val="231F20"/>
                <w:sz w:val="15"/>
              </w:rPr>
              <w:t>(with syndactyly) and Crouzon disease,</w:t>
            </w:r>
            <w:r>
              <w:rPr>
                <w:color w:val="231F20"/>
                <w:spacing w:val="-12"/>
                <w:sz w:val="15"/>
              </w:rPr>
              <w:t> </w:t>
            </w:r>
            <w:r>
              <w:rPr>
                <w:color w:val="231F20"/>
                <w:sz w:val="15"/>
              </w:rPr>
              <w:t>which</w:t>
            </w:r>
            <w:r>
              <w:rPr>
                <w:color w:val="231F20"/>
                <w:spacing w:val="-11"/>
                <w:sz w:val="15"/>
              </w:rPr>
              <w:t> </w:t>
            </w:r>
            <w:r>
              <w:rPr>
                <w:color w:val="231F20"/>
                <w:sz w:val="15"/>
              </w:rPr>
              <w:t>includes</w:t>
            </w:r>
            <w:r>
              <w:rPr>
                <w:color w:val="231F20"/>
                <w:spacing w:val="-11"/>
                <w:sz w:val="15"/>
              </w:rPr>
              <w:t> </w:t>
            </w:r>
            <w:r>
              <w:rPr>
                <w:color w:val="231F20"/>
                <w:sz w:val="15"/>
              </w:rPr>
              <w:t>abnormal sphenoid, orbital, and facial bones (hypoplasia of the</w:t>
            </w:r>
            <w:r>
              <w:rPr>
                <w:color w:val="231F20"/>
                <w:spacing w:val="40"/>
                <w:sz w:val="15"/>
              </w:rPr>
              <w:t> </w:t>
            </w:r>
            <w:r>
              <w:rPr>
                <w:color w:val="231F20"/>
                <w:spacing w:val="-2"/>
                <w:sz w:val="15"/>
              </w:rPr>
              <w:t>midface)</w:t>
            </w:r>
          </w:p>
        </w:tc>
        <w:tc>
          <w:tcPr>
            <w:tcW w:w="2363" w:type="dxa"/>
            <w:tcBorders>
              <w:top w:val="single" w:sz="4" w:space="0" w:color="FFFFFF"/>
              <w:bottom w:val="single" w:sz="4" w:space="0" w:color="FFFFFF"/>
            </w:tcBorders>
            <w:shd w:val="clear" w:color="auto" w:fill="E8F5F1"/>
          </w:tcPr>
          <w:p>
            <w:pPr>
              <w:pStyle w:val="TableParagraph"/>
              <w:spacing w:line="230" w:lineRule="auto" w:before="48"/>
              <w:ind w:left="147" w:right="562"/>
              <w:rPr>
                <w:sz w:val="15"/>
              </w:rPr>
            </w:pPr>
            <w:r>
              <w:rPr>
                <w:color w:val="231F20"/>
                <w:spacing w:val="-2"/>
                <w:sz w:val="15"/>
              </w:rPr>
              <w:t>Unilateral:</w:t>
            </w:r>
            <w:r>
              <w:rPr>
                <w:color w:val="231F20"/>
                <w:spacing w:val="-10"/>
                <w:sz w:val="15"/>
              </w:rPr>
              <w:t> </w:t>
            </w:r>
            <w:r>
              <w:rPr>
                <w:color w:val="231F20"/>
                <w:spacing w:val="-2"/>
                <w:sz w:val="15"/>
              </w:rPr>
              <w:t>plagiocephaly </w:t>
            </w:r>
            <w:r>
              <w:rPr>
                <w:color w:val="231F20"/>
                <w:w w:val="90"/>
                <w:sz w:val="15"/>
              </w:rPr>
              <w:t>Bilateral:</w:t>
            </w:r>
            <w:r>
              <w:rPr>
                <w:color w:val="231F20"/>
                <w:spacing w:val="7"/>
                <w:sz w:val="15"/>
              </w:rPr>
              <w:t> </w:t>
            </w:r>
            <w:r>
              <w:rPr>
                <w:color w:val="231F20"/>
                <w:spacing w:val="-2"/>
                <w:sz w:val="15"/>
              </w:rPr>
              <w:t>brachycephaly,</w:t>
            </w:r>
          </w:p>
          <w:p>
            <w:pPr>
              <w:pStyle w:val="TableParagraph"/>
              <w:spacing w:line="170" w:lineRule="exact"/>
              <w:ind w:left="259"/>
              <w:rPr>
                <w:sz w:val="15"/>
              </w:rPr>
            </w:pPr>
            <w:r>
              <w:rPr>
                <w:color w:val="231F20"/>
                <w:spacing w:val="-2"/>
                <w:sz w:val="15"/>
              </w:rPr>
              <w:t>acrocephaly</w:t>
            </w:r>
          </w:p>
        </w:tc>
        <w:tc>
          <w:tcPr>
            <w:tcW w:w="3839" w:type="dxa"/>
            <w:tcBorders>
              <w:top w:val="single" w:sz="4" w:space="0" w:color="FFFFFF"/>
              <w:bottom w:val="single" w:sz="4" w:space="0" w:color="FFFFFF"/>
            </w:tcBorders>
            <w:shd w:val="clear" w:color="auto" w:fill="E8F5F1"/>
          </w:tcPr>
          <w:p>
            <w:pPr>
              <w:pStyle w:val="TableParagraph"/>
              <w:spacing w:line="230" w:lineRule="auto" w:before="48"/>
              <w:ind w:left="259" w:right="91" w:hanging="112"/>
              <w:rPr>
                <w:sz w:val="15"/>
              </w:rPr>
            </w:pPr>
            <w:r>
              <w:rPr>
                <w:color w:val="231F20"/>
                <w:sz w:val="15"/>
              </w:rPr>
              <w:t>Unilateral:</w:t>
            </w:r>
            <w:r>
              <w:rPr>
                <w:color w:val="231F20"/>
                <w:spacing w:val="-3"/>
                <w:sz w:val="15"/>
              </w:rPr>
              <w:t> </w:t>
            </w:r>
            <w:r>
              <w:rPr>
                <w:color w:val="231F20"/>
                <w:sz w:val="15"/>
              </w:rPr>
              <w:t>flattened</w:t>
            </w:r>
            <w:r>
              <w:rPr>
                <w:color w:val="231F20"/>
                <w:spacing w:val="-3"/>
                <w:sz w:val="15"/>
              </w:rPr>
              <w:t> </w:t>
            </w:r>
            <w:r>
              <w:rPr>
                <w:color w:val="231F20"/>
                <w:sz w:val="15"/>
              </w:rPr>
              <w:t>forehead</w:t>
            </w:r>
            <w:r>
              <w:rPr>
                <w:color w:val="231F20"/>
                <w:spacing w:val="-3"/>
                <w:sz w:val="15"/>
              </w:rPr>
              <w:t> </w:t>
            </w:r>
            <w:r>
              <w:rPr>
                <w:color w:val="231F20"/>
                <w:sz w:val="15"/>
              </w:rPr>
              <w:t>on</w:t>
            </w:r>
            <w:r>
              <w:rPr>
                <w:color w:val="231F20"/>
                <w:spacing w:val="-3"/>
                <w:sz w:val="15"/>
              </w:rPr>
              <w:t> </w:t>
            </w:r>
            <w:r>
              <w:rPr>
                <w:color w:val="231F20"/>
                <w:sz w:val="15"/>
              </w:rPr>
              <w:t>affected</w:t>
            </w:r>
            <w:r>
              <w:rPr>
                <w:color w:val="231F20"/>
                <w:spacing w:val="-3"/>
                <w:sz w:val="15"/>
              </w:rPr>
              <w:t> </w:t>
            </w:r>
            <w:r>
              <w:rPr>
                <w:color w:val="231F20"/>
                <w:sz w:val="15"/>
              </w:rPr>
              <w:t>side,</w:t>
            </w:r>
            <w:r>
              <w:rPr>
                <w:color w:val="231F20"/>
                <w:spacing w:val="-3"/>
                <w:sz w:val="15"/>
              </w:rPr>
              <w:t> </w:t>
            </w:r>
            <w:r>
              <w:rPr>
                <w:color w:val="231F20"/>
                <w:sz w:val="15"/>
              </w:rPr>
              <w:t>flat checks, nose deviation on normal side; higher supraorbital margin leading to harlequin sign on radiograph</w:t>
            </w:r>
            <w:r>
              <w:rPr>
                <w:color w:val="231F20"/>
                <w:spacing w:val="-11"/>
                <w:sz w:val="15"/>
              </w:rPr>
              <w:t> </w:t>
            </w:r>
            <w:r>
              <w:rPr>
                <w:color w:val="231F20"/>
                <w:sz w:val="15"/>
              </w:rPr>
              <w:t>and</w:t>
            </w:r>
            <w:r>
              <w:rPr>
                <w:color w:val="231F20"/>
                <w:spacing w:val="-11"/>
                <w:sz w:val="15"/>
              </w:rPr>
              <w:t> </w:t>
            </w:r>
            <w:r>
              <w:rPr>
                <w:color w:val="231F20"/>
                <w:sz w:val="15"/>
              </w:rPr>
              <w:t>outward</w:t>
            </w:r>
            <w:r>
              <w:rPr>
                <w:color w:val="231F20"/>
                <w:spacing w:val="-11"/>
                <w:sz w:val="15"/>
              </w:rPr>
              <w:t> </w:t>
            </w:r>
            <w:r>
              <w:rPr>
                <w:color w:val="231F20"/>
                <w:sz w:val="15"/>
              </w:rPr>
              <w:t>rotation</w:t>
            </w:r>
            <w:r>
              <w:rPr>
                <w:color w:val="231F20"/>
                <w:spacing w:val="-11"/>
                <w:sz w:val="15"/>
              </w:rPr>
              <w:t> </w:t>
            </w:r>
            <w:r>
              <w:rPr>
                <w:color w:val="231F20"/>
                <w:sz w:val="15"/>
              </w:rPr>
              <w:t>of</w:t>
            </w:r>
            <w:r>
              <w:rPr>
                <w:color w:val="231F20"/>
                <w:spacing w:val="-11"/>
                <w:sz w:val="15"/>
              </w:rPr>
              <w:t> </w:t>
            </w:r>
            <w:r>
              <w:rPr>
                <w:color w:val="231F20"/>
                <w:sz w:val="15"/>
              </w:rPr>
              <w:t>orbit</w:t>
            </w:r>
            <w:r>
              <w:rPr>
                <w:color w:val="231F20"/>
                <w:spacing w:val="-11"/>
                <w:sz w:val="15"/>
              </w:rPr>
              <w:t> </w:t>
            </w:r>
            <w:r>
              <w:rPr>
                <w:color w:val="231F20"/>
                <w:sz w:val="15"/>
              </w:rPr>
              <w:t>can</w:t>
            </w:r>
            <w:r>
              <w:rPr>
                <w:color w:val="231F20"/>
                <w:spacing w:val="-11"/>
                <w:sz w:val="15"/>
              </w:rPr>
              <w:t> </w:t>
            </w:r>
            <w:r>
              <w:rPr>
                <w:color w:val="231F20"/>
                <w:sz w:val="15"/>
              </w:rPr>
              <w:t>result in amblyopia</w:t>
            </w:r>
          </w:p>
          <w:p>
            <w:pPr>
              <w:pStyle w:val="TableParagraph"/>
              <w:spacing w:line="230" w:lineRule="auto" w:before="3"/>
              <w:ind w:left="259" w:right="91" w:hanging="112"/>
              <w:rPr>
                <w:sz w:val="15"/>
              </w:rPr>
            </w:pPr>
            <w:r>
              <w:rPr>
                <w:color w:val="231F20"/>
                <w:sz w:val="15"/>
              </w:rPr>
              <w:t>Bilateral: broad, flattened forehead. In Apert syndrome accompanied by syndactyly and in Crouzon</w:t>
            </w:r>
            <w:r>
              <w:rPr>
                <w:color w:val="231F20"/>
                <w:spacing w:val="-2"/>
                <w:sz w:val="15"/>
              </w:rPr>
              <w:t> </w:t>
            </w:r>
            <w:r>
              <w:rPr>
                <w:color w:val="231F20"/>
                <w:sz w:val="15"/>
              </w:rPr>
              <w:t>disease</w:t>
            </w:r>
            <w:r>
              <w:rPr>
                <w:color w:val="231F20"/>
                <w:spacing w:val="-2"/>
                <w:sz w:val="15"/>
              </w:rPr>
              <w:t> </w:t>
            </w:r>
            <w:r>
              <w:rPr>
                <w:color w:val="231F20"/>
                <w:sz w:val="15"/>
              </w:rPr>
              <w:t>by</w:t>
            </w:r>
            <w:r>
              <w:rPr>
                <w:color w:val="231F20"/>
                <w:spacing w:val="-2"/>
                <w:sz w:val="15"/>
              </w:rPr>
              <w:t> </w:t>
            </w:r>
            <w:r>
              <w:rPr>
                <w:color w:val="231F20"/>
                <w:sz w:val="15"/>
              </w:rPr>
              <w:t>hypoplasia</w:t>
            </w:r>
            <w:r>
              <w:rPr>
                <w:color w:val="231F20"/>
                <w:spacing w:val="-2"/>
                <w:sz w:val="15"/>
              </w:rPr>
              <w:t> </w:t>
            </w:r>
            <w:r>
              <w:rPr>
                <w:color w:val="231F20"/>
                <w:sz w:val="15"/>
              </w:rPr>
              <w:t>of</w:t>
            </w:r>
            <w:r>
              <w:rPr>
                <w:color w:val="231F20"/>
                <w:spacing w:val="-2"/>
                <w:sz w:val="15"/>
              </w:rPr>
              <w:t> </w:t>
            </w:r>
            <w:r>
              <w:rPr>
                <w:color w:val="231F20"/>
                <w:sz w:val="15"/>
              </w:rPr>
              <w:t>the</w:t>
            </w:r>
            <w:r>
              <w:rPr>
                <w:color w:val="231F20"/>
                <w:spacing w:val="-2"/>
                <w:sz w:val="15"/>
              </w:rPr>
              <w:t> </w:t>
            </w:r>
            <w:r>
              <w:rPr>
                <w:color w:val="231F20"/>
                <w:sz w:val="15"/>
              </w:rPr>
              <w:t>midface</w:t>
            </w:r>
            <w:r>
              <w:rPr>
                <w:color w:val="231F20"/>
                <w:spacing w:val="-2"/>
                <w:sz w:val="15"/>
              </w:rPr>
              <w:t> </w:t>
            </w:r>
            <w:r>
              <w:rPr>
                <w:color w:val="231F20"/>
                <w:sz w:val="15"/>
              </w:rPr>
              <w:t>and progressive proptosis</w:t>
            </w:r>
          </w:p>
        </w:tc>
      </w:tr>
      <w:tr>
        <w:trPr>
          <w:trHeight w:val="1092" w:hRule="atLeast"/>
        </w:trPr>
        <w:tc>
          <w:tcPr>
            <w:tcW w:w="90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Lambdoid</w:t>
            </w:r>
          </w:p>
        </w:tc>
        <w:tc>
          <w:tcPr>
            <w:tcW w:w="2670" w:type="dxa"/>
            <w:gridSpan w:val="2"/>
            <w:tcBorders>
              <w:top w:val="single" w:sz="4" w:space="0" w:color="FFFFFF"/>
              <w:bottom w:val="single" w:sz="4" w:space="0" w:color="FFFFFF"/>
            </w:tcBorders>
            <w:shd w:val="clear" w:color="auto" w:fill="E8F5F1"/>
          </w:tcPr>
          <w:p>
            <w:pPr>
              <w:pStyle w:val="TableParagraph"/>
              <w:spacing w:before="42"/>
              <w:ind w:left="149"/>
              <w:rPr>
                <w:sz w:val="15"/>
              </w:rPr>
            </w:pPr>
            <w:r>
              <w:rPr>
                <w:color w:val="231F20"/>
                <w:sz w:val="15"/>
              </w:rPr>
              <w:t>10-20%</w:t>
            </w:r>
            <w:r>
              <w:rPr>
                <w:color w:val="231F20"/>
                <w:spacing w:val="4"/>
                <w:sz w:val="15"/>
              </w:rPr>
              <w:t> </w:t>
            </w:r>
            <w:r>
              <w:rPr>
                <w:color w:val="231F20"/>
                <w:sz w:val="15"/>
              </w:rPr>
              <w:t>of</w:t>
            </w:r>
            <w:r>
              <w:rPr>
                <w:color w:val="231F20"/>
                <w:spacing w:val="4"/>
                <w:sz w:val="15"/>
              </w:rPr>
              <w:t> </w:t>
            </w:r>
            <w:r>
              <w:rPr>
                <w:color w:val="231F20"/>
                <w:sz w:val="15"/>
              </w:rPr>
              <w:t>CSO,</w:t>
            </w:r>
            <w:r>
              <w:rPr>
                <w:color w:val="231F20"/>
                <w:spacing w:val="4"/>
                <w:sz w:val="15"/>
              </w:rPr>
              <w:t> </w:t>
            </w:r>
            <w:r>
              <w:rPr>
                <w:color w:val="231F20"/>
                <w:sz w:val="15"/>
              </w:rPr>
              <w:t>M</w:t>
            </w:r>
            <w:r>
              <w:rPr>
                <w:color w:val="231F20"/>
                <w:spacing w:val="-25"/>
                <w:sz w:val="15"/>
              </w:rPr>
              <w:t> </w:t>
            </w:r>
            <w:r>
              <w:rPr>
                <w:color w:val="231F20"/>
                <w:sz w:val="15"/>
              </w:rPr>
              <w:t>:</w:t>
            </w:r>
            <w:r>
              <w:rPr>
                <w:color w:val="231F20"/>
                <w:spacing w:val="-26"/>
                <w:sz w:val="15"/>
              </w:rPr>
              <w:t> </w:t>
            </w:r>
            <w:r>
              <w:rPr>
                <w:color w:val="231F20"/>
                <w:sz w:val="15"/>
              </w:rPr>
              <w:t>F</w:t>
            </w:r>
            <w:r>
              <w:rPr>
                <w:color w:val="231F20"/>
                <w:spacing w:val="4"/>
                <w:sz w:val="15"/>
              </w:rPr>
              <w:t> </w:t>
            </w:r>
            <w:r>
              <w:rPr>
                <w:color w:val="231F20"/>
                <w:sz w:val="15"/>
              </w:rPr>
              <w:t>ratio</w:t>
            </w:r>
            <w:r>
              <w:rPr>
                <w:color w:val="231F20"/>
                <w:spacing w:val="5"/>
                <w:sz w:val="15"/>
              </w:rPr>
              <w:t> </w:t>
            </w:r>
            <w:r>
              <w:rPr>
                <w:color w:val="231F20"/>
                <w:sz w:val="15"/>
              </w:rPr>
              <w:t>4</w:t>
            </w:r>
            <w:r>
              <w:rPr>
                <w:color w:val="231F20"/>
                <w:spacing w:val="-26"/>
                <w:sz w:val="15"/>
              </w:rPr>
              <w:t> </w:t>
            </w:r>
            <w:r>
              <w:rPr>
                <w:color w:val="231F20"/>
                <w:sz w:val="15"/>
              </w:rPr>
              <w:t>:</w:t>
            </w:r>
            <w:r>
              <w:rPr>
                <w:color w:val="231F20"/>
                <w:spacing w:val="-26"/>
                <w:sz w:val="15"/>
              </w:rPr>
              <w:t> </w:t>
            </w:r>
            <w:r>
              <w:rPr>
                <w:color w:val="231F20"/>
                <w:spacing w:val="-10"/>
                <w:sz w:val="15"/>
              </w:rPr>
              <w:t>1</w:t>
            </w:r>
          </w:p>
        </w:tc>
        <w:tc>
          <w:tcPr>
            <w:tcW w:w="2363" w:type="dxa"/>
            <w:tcBorders>
              <w:top w:val="single" w:sz="4" w:space="0" w:color="FFFFFF"/>
              <w:bottom w:val="single" w:sz="4" w:space="0" w:color="FFFFFF"/>
            </w:tcBorders>
            <w:shd w:val="clear" w:color="auto" w:fill="E8F5F1"/>
          </w:tcPr>
          <w:p>
            <w:pPr>
              <w:pStyle w:val="TableParagraph"/>
              <w:spacing w:line="230" w:lineRule="auto" w:before="48"/>
              <w:ind w:left="259" w:right="451" w:hanging="112"/>
              <w:rPr>
                <w:sz w:val="15"/>
              </w:rPr>
            </w:pPr>
            <w:r>
              <w:rPr>
                <w:color w:val="231F20"/>
                <w:spacing w:val="-2"/>
                <w:sz w:val="15"/>
              </w:rPr>
              <w:t>Lambdoid/occipital </w:t>
            </w:r>
            <w:r>
              <w:rPr>
                <w:color w:val="231F20"/>
                <w:sz w:val="15"/>
              </w:rPr>
              <w:t>plagiocephaly;</w:t>
            </w:r>
            <w:r>
              <w:rPr>
                <w:color w:val="231F20"/>
                <w:spacing w:val="-12"/>
                <w:sz w:val="15"/>
              </w:rPr>
              <w:t> </w:t>
            </w:r>
            <w:r>
              <w:rPr>
                <w:color w:val="231F20"/>
                <w:sz w:val="15"/>
              </w:rPr>
              <w:t>right</w:t>
            </w:r>
            <w:r>
              <w:rPr>
                <w:color w:val="231F20"/>
                <w:spacing w:val="-11"/>
                <w:sz w:val="15"/>
              </w:rPr>
              <w:t> </w:t>
            </w:r>
            <w:r>
              <w:rPr>
                <w:color w:val="231F20"/>
                <w:sz w:val="15"/>
              </w:rPr>
              <w:t>side affected</w:t>
            </w:r>
            <w:r>
              <w:rPr>
                <w:color w:val="231F20"/>
                <w:spacing w:val="-2"/>
                <w:sz w:val="15"/>
              </w:rPr>
              <w:t> </w:t>
            </w:r>
            <w:r>
              <w:rPr>
                <w:color w:val="231F20"/>
                <w:sz w:val="15"/>
              </w:rPr>
              <w:t>in</w:t>
            </w:r>
            <w:r>
              <w:rPr>
                <w:color w:val="231F20"/>
                <w:spacing w:val="-2"/>
                <w:sz w:val="15"/>
              </w:rPr>
              <w:t> </w:t>
            </w:r>
            <w:r>
              <w:rPr>
                <w:color w:val="231F20"/>
                <w:sz w:val="15"/>
              </w:rPr>
              <w:t>70%</w:t>
            </w:r>
            <w:r>
              <w:rPr>
                <w:color w:val="231F20"/>
                <w:spacing w:val="-2"/>
                <w:sz w:val="15"/>
              </w:rPr>
              <w:t> </w:t>
            </w:r>
            <w:r>
              <w:rPr>
                <w:color w:val="231F20"/>
                <w:sz w:val="15"/>
              </w:rPr>
              <w:t>of</w:t>
            </w:r>
            <w:r>
              <w:rPr>
                <w:color w:val="231F20"/>
                <w:spacing w:val="-2"/>
                <w:sz w:val="15"/>
              </w:rPr>
              <w:t> cases</w:t>
            </w:r>
          </w:p>
        </w:tc>
        <w:tc>
          <w:tcPr>
            <w:tcW w:w="3839" w:type="dxa"/>
            <w:tcBorders>
              <w:top w:val="single" w:sz="4" w:space="0" w:color="FFFFFF"/>
              <w:bottom w:val="single" w:sz="4" w:space="0" w:color="FFFFFF"/>
            </w:tcBorders>
            <w:shd w:val="clear" w:color="auto" w:fill="E8F5F1"/>
          </w:tcPr>
          <w:p>
            <w:pPr>
              <w:pStyle w:val="TableParagraph"/>
              <w:spacing w:line="230" w:lineRule="auto" w:before="48"/>
              <w:ind w:left="259" w:hanging="112"/>
              <w:rPr>
                <w:sz w:val="15"/>
              </w:rPr>
            </w:pPr>
            <w:r>
              <w:rPr>
                <w:color w:val="231F20"/>
                <w:sz w:val="15"/>
              </w:rPr>
              <w:t>Unilateral: flattening of occiput, indentation along synostotic suture, bulging of ipsilateral forehead </w:t>
            </w:r>
            <w:r>
              <w:rPr>
                <w:color w:val="231F20"/>
                <w:spacing w:val="-2"/>
                <w:sz w:val="15"/>
              </w:rPr>
              <w:t>leading</w:t>
            </w:r>
            <w:r>
              <w:rPr>
                <w:color w:val="231F20"/>
                <w:spacing w:val="-3"/>
                <w:sz w:val="15"/>
              </w:rPr>
              <w:t> </w:t>
            </w:r>
            <w:r>
              <w:rPr>
                <w:color w:val="231F20"/>
                <w:spacing w:val="-2"/>
                <w:sz w:val="15"/>
              </w:rPr>
              <w:t>to</w:t>
            </w:r>
            <w:r>
              <w:rPr>
                <w:color w:val="231F20"/>
                <w:spacing w:val="-3"/>
                <w:sz w:val="15"/>
              </w:rPr>
              <w:t> </w:t>
            </w:r>
            <w:r>
              <w:rPr>
                <w:color w:val="231F20"/>
                <w:spacing w:val="-2"/>
                <w:sz w:val="15"/>
              </w:rPr>
              <w:t>rhomboid</w:t>
            </w:r>
            <w:r>
              <w:rPr>
                <w:color w:val="231F20"/>
                <w:spacing w:val="-3"/>
                <w:sz w:val="15"/>
              </w:rPr>
              <w:t> </w:t>
            </w:r>
            <w:r>
              <w:rPr>
                <w:color w:val="231F20"/>
                <w:spacing w:val="-2"/>
                <w:sz w:val="15"/>
              </w:rPr>
              <w:t>skull,</w:t>
            </w:r>
            <w:r>
              <w:rPr>
                <w:color w:val="231F20"/>
                <w:spacing w:val="-3"/>
                <w:sz w:val="15"/>
              </w:rPr>
              <w:t> </w:t>
            </w:r>
            <w:r>
              <w:rPr>
                <w:color w:val="231F20"/>
                <w:spacing w:val="-2"/>
                <w:sz w:val="15"/>
              </w:rPr>
              <w:t>ipsilateral</w:t>
            </w:r>
            <w:r>
              <w:rPr>
                <w:color w:val="231F20"/>
                <w:spacing w:val="-3"/>
                <w:sz w:val="15"/>
              </w:rPr>
              <w:t> </w:t>
            </w:r>
            <w:r>
              <w:rPr>
                <w:color w:val="231F20"/>
                <w:spacing w:val="-2"/>
                <w:sz w:val="15"/>
              </w:rPr>
              <w:t>ear</w:t>
            </w:r>
            <w:r>
              <w:rPr>
                <w:color w:val="231F20"/>
                <w:spacing w:val="-3"/>
                <w:sz w:val="15"/>
              </w:rPr>
              <w:t> </w:t>
            </w:r>
            <w:r>
              <w:rPr>
                <w:color w:val="231F20"/>
                <w:spacing w:val="-2"/>
                <w:sz w:val="15"/>
              </w:rPr>
              <w:t>is</w:t>
            </w:r>
            <w:r>
              <w:rPr>
                <w:color w:val="231F20"/>
                <w:spacing w:val="-3"/>
                <w:sz w:val="15"/>
              </w:rPr>
              <w:t> </w:t>
            </w:r>
            <w:r>
              <w:rPr>
                <w:color w:val="231F20"/>
                <w:spacing w:val="-2"/>
                <w:sz w:val="15"/>
              </w:rPr>
              <w:t>anterior </w:t>
            </w:r>
            <w:r>
              <w:rPr>
                <w:color w:val="231F20"/>
                <w:sz w:val="15"/>
              </w:rPr>
              <w:t>and inferior</w:t>
            </w:r>
          </w:p>
          <w:p>
            <w:pPr>
              <w:pStyle w:val="TableParagraph"/>
              <w:spacing w:line="230" w:lineRule="auto" w:before="3"/>
              <w:ind w:left="259" w:hanging="112"/>
              <w:rPr>
                <w:sz w:val="15"/>
              </w:rPr>
            </w:pPr>
            <w:r>
              <w:rPr>
                <w:color w:val="231F20"/>
                <w:spacing w:val="-4"/>
                <w:sz w:val="15"/>
              </w:rPr>
              <w:t>Bilateral: brachycephaly with bilateral anteriorly </w:t>
            </w:r>
            <w:r>
              <w:rPr>
                <w:color w:val="231F20"/>
                <w:spacing w:val="-4"/>
                <w:sz w:val="15"/>
              </w:rPr>
              <w:t>and </w:t>
            </w:r>
            <w:r>
              <w:rPr>
                <w:color w:val="231F20"/>
                <w:sz w:val="15"/>
              </w:rPr>
              <w:t>inferiorly displaced ears</w:t>
            </w:r>
          </w:p>
        </w:tc>
      </w:tr>
      <w:tr>
        <w:trPr>
          <w:trHeight w:val="420" w:hRule="atLeast"/>
        </w:trPr>
        <w:tc>
          <w:tcPr>
            <w:tcW w:w="90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Metopic</w:t>
            </w:r>
          </w:p>
        </w:tc>
        <w:tc>
          <w:tcPr>
            <w:tcW w:w="2670" w:type="dxa"/>
            <w:gridSpan w:val="2"/>
            <w:tcBorders>
              <w:top w:val="single" w:sz="4" w:space="0" w:color="FFFFFF"/>
              <w:bottom w:val="single" w:sz="4" w:space="0" w:color="FFFFFF"/>
            </w:tcBorders>
            <w:shd w:val="clear" w:color="auto" w:fill="E8F5F1"/>
          </w:tcPr>
          <w:p>
            <w:pPr>
              <w:pStyle w:val="TableParagraph"/>
              <w:spacing w:line="230" w:lineRule="auto" w:before="48"/>
              <w:ind w:left="261" w:hanging="112"/>
              <w:rPr>
                <w:sz w:val="15"/>
              </w:rPr>
            </w:pPr>
            <w:r>
              <w:rPr>
                <w:color w:val="231F20"/>
                <w:sz w:val="15"/>
              </w:rPr>
              <w:t>Association</w:t>
            </w:r>
            <w:r>
              <w:rPr>
                <w:color w:val="231F20"/>
                <w:spacing w:val="-6"/>
                <w:sz w:val="15"/>
              </w:rPr>
              <w:t> </w:t>
            </w:r>
            <w:r>
              <w:rPr>
                <w:color w:val="231F20"/>
                <w:sz w:val="15"/>
              </w:rPr>
              <w:t>with</w:t>
            </w:r>
            <w:r>
              <w:rPr>
                <w:color w:val="231F20"/>
                <w:spacing w:val="-6"/>
                <w:sz w:val="15"/>
              </w:rPr>
              <w:t> </w:t>
            </w:r>
            <w:r>
              <w:rPr>
                <w:color w:val="231F20"/>
                <w:sz w:val="15"/>
              </w:rPr>
              <w:t>19p</w:t>
            </w:r>
            <w:r>
              <w:rPr>
                <w:color w:val="231F20"/>
                <w:spacing w:val="-6"/>
                <w:sz w:val="15"/>
              </w:rPr>
              <w:t> </w:t>
            </w:r>
            <w:r>
              <w:rPr>
                <w:color w:val="231F20"/>
                <w:sz w:val="15"/>
              </w:rPr>
              <w:t>chromosome </w:t>
            </w:r>
            <w:r>
              <w:rPr>
                <w:color w:val="231F20"/>
                <w:spacing w:val="-2"/>
                <w:sz w:val="15"/>
              </w:rPr>
              <w:t>abnormality</w:t>
            </w:r>
          </w:p>
        </w:tc>
        <w:tc>
          <w:tcPr>
            <w:tcW w:w="2363" w:type="dxa"/>
            <w:tcBorders>
              <w:top w:val="single" w:sz="4" w:space="0" w:color="FFFFFF"/>
              <w:bottom w:val="single" w:sz="4" w:space="0" w:color="FFFFFF"/>
            </w:tcBorders>
            <w:shd w:val="clear" w:color="auto" w:fill="E8F5F1"/>
          </w:tcPr>
          <w:p>
            <w:pPr>
              <w:pStyle w:val="TableParagraph"/>
              <w:spacing w:before="42"/>
              <w:ind w:left="147"/>
              <w:rPr>
                <w:sz w:val="15"/>
              </w:rPr>
            </w:pPr>
            <w:r>
              <w:rPr>
                <w:color w:val="231F20"/>
                <w:spacing w:val="-2"/>
                <w:sz w:val="15"/>
              </w:rPr>
              <w:t>Trigonocephaly</w:t>
            </w:r>
          </w:p>
        </w:tc>
        <w:tc>
          <w:tcPr>
            <w:tcW w:w="3839" w:type="dxa"/>
            <w:tcBorders>
              <w:top w:val="single" w:sz="4" w:space="0" w:color="FFFFFF"/>
              <w:bottom w:val="single" w:sz="4" w:space="0" w:color="FFFFFF"/>
            </w:tcBorders>
            <w:shd w:val="clear" w:color="auto" w:fill="E8F5F1"/>
          </w:tcPr>
          <w:p>
            <w:pPr>
              <w:pStyle w:val="TableParagraph"/>
              <w:spacing w:before="42"/>
              <w:ind w:left="147"/>
              <w:rPr>
                <w:sz w:val="15"/>
              </w:rPr>
            </w:pPr>
            <w:r>
              <w:rPr>
                <w:color w:val="231F20"/>
                <w:sz w:val="15"/>
              </w:rPr>
              <w:t>Pointed</w:t>
            </w:r>
            <w:r>
              <w:rPr>
                <w:color w:val="231F20"/>
                <w:spacing w:val="-3"/>
                <w:sz w:val="15"/>
              </w:rPr>
              <w:t> </w:t>
            </w:r>
            <w:r>
              <w:rPr>
                <w:color w:val="231F20"/>
                <w:sz w:val="15"/>
              </w:rPr>
              <w:t>forehead</w:t>
            </w:r>
            <w:r>
              <w:rPr>
                <w:color w:val="231F20"/>
                <w:spacing w:val="-2"/>
                <w:sz w:val="15"/>
              </w:rPr>
              <w:t> </w:t>
            </w:r>
            <w:r>
              <w:rPr>
                <w:color w:val="231F20"/>
                <w:sz w:val="15"/>
              </w:rPr>
              <w:t>and</w:t>
            </w:r>
            <w:r>
              <w:rPr>
                <w:color w:val="231F20"/>
                <w:spacing w:val="-2"/>
                <w:sz w:val="15"/>
              </w:rPr>
              <w:t> </w:t>
            </w:r>
            <w:r>
              <w:rPr>
                <w:color w:val="231F20"/>
                <w:sz w:val="15"/>
              </w:rPr>
              <w:t>midline</w:t>
            </w:r>
            <w:r>
              <w:rPr>
                <w:color w:val="231F20"/>
                <w:spacing w:val="-3"/>
                <w:sz w:val="15"/>
              </w:rPr>
              <w:t> </w:t>
            </w:r>
            <w:r>
              <w:rPr>
                <w:color w:val="231F20"/>
                <w:sz w:val="15"/>
              </w:rPr>
              <w:t>ridge,</w:t>
            </w:r>
            <w:r>
              <w:rPr>
                <w:color w:val="231F20"/>
                <w:spacing w:val="-2"/>
                <w:sz w:val="15"/>
              </w:rPr>
              <w:t> hypotelorism</w:t>
            </w:r>
          </w:p>
        </w:tc>
      </w:tr>
      <w:tr>
        <w:trPr>
          <w:trHeight w:val="415" w:hRule="atLeast"/>
        </w:trPr>
        <w:tc>
          <w:tcPr>
            <w:tcW w:w="901"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Multiple</w:t>
            </w:r>
          </w:p>
        </w:tc>
        <w:tc>
          <w:tcPr>
            <w:tcW w:w="2670" w:type="dxa"/>
            <w:gridSpan w:val="2"/>
            <w:tcBorders>
              <w:top w:val="single" w:sz="4" w:space="0" w:color="FFFFFF"/>
              <w:bottom w:val="single" w:sz="8" w:space="0" w:color="231F20"/>
            </w:tcBorders>
            <w:shd w:val="clear" w:color="auto" w:fill="E8F5F1"/>
          </w:tcPr>
          <w:p>
            <w:pPr>
              <w:pStyle w:val="TableParagraph"/>
              <w:rPr>
                <w:rFonts w:ascii="Times New Roman"/>
                <w:sz w:val="14"/>
              </w:rPr>
            </w:pPr>
          </w:p>
        </w:tc>
        <w:tc>
          <w:tcPr>
            <w:tcW w:w="2363" w:type="dxa"/>
            <w:tcBorders>
              <w:top w:val="single" w:sz="4" w:space="0" w:color="FFFFFF"/>
              <w:bottom w:val="single" w:sz="8" w:space="0" w:color="231F20"/>
            </w:tcBorders>
            <w:shd w:val="clear" w:color="auto" w:fill="E8F5F1"/>
          </w:tcPr>
          <w:p>
            <w:pPr>
              <w:pStyle w:val="TableParagraph"/>
              <w:spacing w:before="42"/>
              <w:ind w:left="147"/>
              <w:rPr>
                <w:sz w:val="15"/>
              </w:rPr>
            </w:pPr>
            <w:r>
              <w:rPr>
                <w:color w:val="231F20"/>
                <w:spacing w:val="-2"/>
                <w:sz w:val="15"/>
              </w:rPr>
              <w:t>Oxycephaly</w:t>
            </w:r>
          </w:p>
        </w:tc>
        <w:tc>
          <w:tcPr>
            <w:tcW w:w="3839" w:type="dxa"/>
            <w:tcBorders>
              <w:top w:val="single" w:sz="4" w:space="0" w:color="FFFFFF"/>
              <w:bottom w:val="single" w:sz="8" w:space="0" w:color="231F20"/>
            </w:tcBorders>
            <w:shd w:val="clear" w:color="auto" w:fill="E8F5F1"/>
          </w:tcPr>
          <w:p>
            <w:pPr>
              <w:pStyle w:val="TableParagraph"/>
              <w:spacing w:line="230" w:lineRule="auto" w:before="48"/>
              <w:ind w:left="259" w:hanging="112"/>
              <w:rPr>
                <w:sz w:val="15"/>
              </w:rPr>
            </w:pPr>
            <w:r>
              <w:rPr>
                <w:color w:val="231F20"/>
                <w:sz w:val="15"/>
              </w:rPr>
              <w:t>Tower</w:t>
            </w:r>
            <w:r>
              <w:rPr>
                <w:color w:val="231F20"/>
                <w:spacing w:val="-9"/>
                <w:sz w:val="15"/>
              </w:rPr>
              <w:t> </w:t>
            </w:r>
            <w:r>
              <w:rPr>
                <w:color w:val="231F20"/>
                <w:sz w:val="15"/>
              </w:rPr>
              <w:t>skull</w:t>
            </w:r>
            <w:r>
              <w:rPr>
                <w:color w:val="231F20"/>
                <w:spacing w:val="-9"/>
                <w:sz w:val="15"/>
              </w:rPr>
              <w:t> </w:t>
            </w:r>
            <w:r>
              <w:rPr>
                <w:color w:val="231F20"/>
                <w:sz w:val="15"/>
              </w:rPr>
              <w:t>with</w:t>
            </w:r>
            <w:r>
              <w:rPr>
                <w:color w:val="231F20"/>
                <w:spacing w:val="-9"/>
                <w:sz w:val="15"/>
              </w:rPr>
              <w:t> </w:t>
            </w:r>
            <w:r>
              <w:rPr>
                <w:color w:val="231F20"/>
                <w:sz w:val="15"/>
              </w:rPr>
              <w:t>undeveloped</w:t>
            </w:r>
            <w:r>
              <w:rPr>
                <w:color w:val="231F20"/>
                <w:spacing w:val="-9"/>
                <w:sz w:val="15"/>
              </w:rPr>
              <w:t> </w:t>
            </w:r>
            <w:r>
              <w:rPr>
                <w:color w:val="231F20"/>
                <w:sz w:val="15"/>
              </w:rPr>
              <w:t>sinuses</w:t>
            </w:r>
            <w:r>
              <w:rPr>
                <w:color w:val="231F20"/>
                <w:spacing w:val="-9"/>
                <w:sz w:val="15"/>
              </w:rPr>
              <w:t> </w:t>
            </w:r>
            <w:r>
              <w:rPr>
                <w:color w:val="231F20"/>
                <w:sz w:val="15"/>
              </w:rPr>
              <w:t>and</w:t>
            </w:r>
            <w:r>
              <w:rPr>
                <w:color w:val="231F20"/>
                <w:spacing w:val="-9"/>
                <w:sz w:val="15"/>
              </w:rPr>
              <w:t> </w:t>
            </w:r>
            <w:r>
              <w:rPr>
                <w:color w:val="231F20"/>
                <w:sz w:val="15"/>
              </w:rPr>
              <w:t>shallow orbits, and elevated intercranial pressure</w:t>
            </w:r>
          </w:p>
        </w:tc>
      </w:tr>
    </w:tbl>
    <w:p>
      <w:pPr>
        <w:pStyle w:val="BodyText"/>
        <w:spacing w:line="150" w:lineRule="exact" w:before="76"/>
        <w:ind w:left="456"/>
      </w:pPr>
      <w:r>
        <w:rPr>
          <w:color w:val="231F20"/>
        </w:rPr>
        <w:t>CSO, craniosynostosis;</w:t>
      </w:r>
      <w:r>
        <w:rPr>
          <w:color w:val="231F20"/>
          <w:spacing w:val="1"/>
        </w:rPr>
        <w:t> </w:t>
      </w:r>
      <w:r>
        <w:rPr>
          <w:color w:val="231F20"/>
        </w:rPr>
        <w:t>OFC, occipital-frontal</w:t>
      </w:r>
      <w:r>
        <w:rPr>
          <w:color w:val="231F20"/>
          <w:spacing w:val="1"/>
        </w:rPr>
        <w:t> </w:t>
      </w:r>
      <w:r>
        <w:rPr>
          <w:color w:val="231F20"/>
          <w:spacing w:val="-2"/>
        </w:rPr>
        <w:t>circumference.</w:t>
      </w:r>
    </w:p>
    <w:p>
      <w:pPr>
        <w:spacing w:line="150" w:lineRule="exact" w:before="0"/>
        <w:ind w:left="587" w:right="0" w:firstLine="0"/>
        <w:jc w:val="left"/>
        <w:rPr>
          <w:i/>
          <w:sz w:val="13"/>
        </w:rPr>
      </w:pPr>
      <w:r>
        <w:rPr>
          <w:i/>
          <w:color w:val="231F20"/>
          <w:sz w:val="13"/>
        </w:rPr>
        <w:t>From</w:t>
      </w:r>
      <w:r>
        <w:rPr>
          <w:i/>
          <w:color w:val="231F20"/>
          <w:spacing w:val="-4"/>
          <w:sz w:val="13"/>
        </w:rPr>
        <w:t> </w:t>
      </w:r>
      <w:r>
        <w:rPr>
          <w:i/>
          <w:color w:val="231F20"/>
          <w:sz w:val="13"/>
        </w:rPr>
        <w:t>Ridgway</w:t>
      </w:r>
      <w:r>
        <w:rPr>
          <w:i/>
          <w:color w:val="231F20"/>
          <w:spacing w:val="-3"/>
          <w:sz w:val="13"/>
        </w:rPr>
        <w:t> </w:t>
      </w:r>
      <w:r>
        <w:rPr>
          <w:i/>
          <w:color w:val="231F20"/>
          <w:sz w:val="13"/>
        </w:rPr>
        <w:t>EB,</w:t>
      </w:r>
      <w:r>
        <w:rPr>
          <w:i/>
          <w:color w:val="231F20"/>
          <w:spacing w:val="-4"/>
          <w:sz w:val="13"/>
        </w:rPr>
        <w:t> </w:t>
      </w:r>
      <w:r>
        <w:rPr>
          <w:i/>
          <w:color w:val="231F20"/>
          <w:sz w:val="13"/>
        </w:rPr>
        <w:t>Weiner</w:t>
      </w:r>
      <w:r>
        <w:rPr>
          <w:i/>
          <w:color w:val="231F20"/>
          <w:spacing w:val="-3"/>
          <w:sz w:val="13"/>
        </w:rPr>
        <w:t> </w:t>
      </w:r>
      <w:r>
        <w:rPr>
          <w:i/>
          <w:color w:val="231F20"/>
          <w:sz w:val="13"/>
        </w:rPr>
        <w:t>HL:</w:t>
      </w:r>
      <w:r>
        <w:rPr>
          <w:i/>
          <w:color w:val="231F20"/>
          <w:spacing w:val="-4"/>
          <w:sz w:val="13"/>
        </w:rPr>
        <w:t> </w:t>
      </w:r>
      <w:r>
        <w:rPr>
          <w:i/>
          <w:color w:val="231F20"/>
          <w:sz w:val="13"/>
        </w:rPr>
        <w:t>Skull</w:t>
      </w:r>
      <w:r>
        <w:rPr>
          <w:i/>
          <w:color w:val="231F20"/>
          <w:spacing w:val="-3"/>
          <w:sz w:val="13"/>
        </w:rPr>
        <w:t> </w:t>
      </w:r>
      <w:r>
        <w:rPr>
          <w:i/>
          <w:color w:val="231F20"/>
          <w:sz w:val="13"/>
        </w:rPr>
        <w:t>deformities,</w:t>
      </w:r>
      <w:r>
        <w:rPr>
          <w:i/>
          <w:color w:val="231F20"/>
          <w:spacing w:val="-4"/>
          <w:sz w:val="13"/>
        </w:rPr>
        <w:t> </w:t>
      </w:r>
      <w:r>
        <w:rPr>
          <w:color w:val="231F20"/>
          <w:sz w:val="13"/>
        </w:rPr>
        <w:t>Pediatr</w:t>
      </w:r>
      <w:r>
        <w:rPr>
          <w:color w:val="231F20"/>
          <w:spacing w:val="-3"/>
          <w:sz w:val="13"/>
        </w:rPr>
        <w:t> </w:t>
      </w:r>
      <w:r>
        <w:rPr>
          <w:color w:val="231F20"/>
          <w:sz w:val="13"/>
        </w:rPr>
        <w:t>Clin</w:t>
      </w:r>
      <w:r>
        <w:rPr>
          <w:color w:val="231F20"/>
          <w:spacing w:val="-4"/>
          <w:sz w:val="13"/>
        </w:rPr>
        <w:t> </w:t>
      </w:r>
      <w:r>
        <w:rPr>
          <w:color w:val="231F20"/>
          <w:sz w:val="13"/>
        </w:rPr>
        <w:t>North</w:t>
      </w:r>
      <w:r>
        <w:rPr>
          <w:color w:val="231F20"/>
          <w:spacing w:val="-3"/>
          <w:sz w:val="13"/>
        </w:rPr>
        <w:t> </w:t>
      </w:r>
      <w:r>
        <w:rPr>
          <w:color w:val="231F20"/>
          <w:sz w:val="13"/>
        </w:rPr>
        <w:t>Am</w:t>
      </w:r>
      <w:r>
        <w:rPr>
          <w:color w:val="231F20"/>
          <w:spacing w:val="-4"/>
          <w:sz w:val="13"/>
        </w:rPr>
        <w:t> </w:t>
      </w:r>
      <w:r>
        <w:rPr>
          <w:i/>
          <w:color w:val="231F20"/>
          <w:sz w:val="13"/>
        </w:rPr>
        <w:t>51:359–387,</w:t>
      </w:r>
      <w:r>
        <w:rPr>
          <w:i/>
          <w:color w:val="231F20"/>
          <w:spacing w:val="-3"/>
          <w:sz w:val="13"/>
        </w:rPr>
        <w:t> </w:t>
      </w:r>
      <w:r>
        <w:rPr>
          <w:i/>
          <w:color w:val="231F20"/>
          <w:spacing w:val="-2"/>
          <w:sz w:val="13"/>
        </w:rPr>
        <w:t>2004.</w:t>
      </w:r>
    </w:p>
    <w:p>
      <w:pPr>
        <w:pStyle w:val="BodyText"/>
        <w:rPr>
          <w:i/>
          <w:sz w:val="20"/>
        </w:rPr>
      </w:pPr>
    </w:p>
    <w:p>
      <w:pPr>
        <w:pStyle w:val="BodyText"/>
        <w:spacing w:before="144"/>
        <w:rPr>
          <w:i/>
          <w:sz w:val="20"/>
        </w:rPr>
      </w:pPr>
    </w:p>
    <w:tbl>
      <w:tblPr>
        <w:tblW w:w="0" w:type="auto"/>
        <w:jc w:val="left"/>
        <w:tblInd w:w="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7"/>
        <w:gridCol w:w="1637"/>
        <w:gridCol w:w="4104"/>
        <w:gridCol w:w="2851"/>
      </w:tblGrid>
      <w:tr>
        <w:trPr>
          <w:trHeight w:val="354" w:hRule="atLeast"/>
        </w:trPr>
        <w:tc>
          <w:tcPr>
            <w:tcW w:w="1177" w:type="dxa"/>
            <w:tcBorders>
              <w:right w:val="single" w:sz="8" w:space="0" w:color="FFFFFF"/>
            </w:tcBorders>
            <w:shd w:val="clear" w:color="auto" w:fill="231F20"/>
          </w:tcPr>
          <w:p>
            <w:pPr>
              <w:pStyle w:val="TableParagraph"/>
              <w:spacing w:before="89"/>
              <w:ind w:left="141"/>
              <w:rPr>
                <w:b/>
                <w:sz w:val="16"/>
              </w:rPr>
            </w:pPr>
            <w:r>
              <w:rPr>
                <w:b/>
                <w:color w:val="FFFFFF"/>
                <w:w w:val="105"/>
                <w:sz w:val="16"/>
              </w:rPr>
              <w:t>Table</w:t>
            </w:r>
            <w:r>
              <w:rPr>
                <w:b/>
                <w:color w:val="FFFFFF"/>
                <w:spacing w:val="-3"/>
                <w:w w:val="105"/>
                <w:sz w:val="16"/>
              </w:rPr>
              <w:t> </w:t>
            </w:r>
            <w:r>
              <w:rPr>
                <w:b/>
                <w:color w:val="FFFFFF"/>
                <w:w w:val="105"/>
                <w:sz w:val="16"/>
              </w:rPr>
              <w:t>592-</w:t>
            </w:r>
            <w:r>
              <w:rPr>
                <w:b/>
                <w:color w:val="FFFFFF"/>
                <w:spacing w:val="-10"/>
                <w:w w:val="105"/>
                <w:sz w:val="16"/>
              </w:rPr>
              <w:t>2</w:t>
            </w:r>
          </w:p>
        </w:tc>
        <w:tc>
          <w:tcPr>
            <w:tcW w:w="8592" w:type="dxa"/>
            <w:gridSpan w:val="3"/>
            <w:tcBorders>
              <w:left w:val="single" w:sz="8" w:space="0" w:color="FFFFFF"/>
            </w:tcBorders>
            <w:shd w:val="clear" w:color="auto" w:fill="231F20"/>
          </w:tcPr>
          <w:p>
            <w:pPr>
              <w:pStyle w:val="TableParagraph"/>
              <w:spacing w:before="89"/>
              <w:ind w:left="74"/>
              <w:rPr>
                <w:sz w:val="16"/>
              </w:rPr>
            </w:pPr>
            <w:r>
              <w:rPr>
                <w:color w:val="FFFFFF"/>
                <w:w w:val="105"/>
                <w:sz w:val="16"/>
              </w:rPr>
              <w:t>Important</w:t>
            </w:r>
            <w:r>
              <w:rPr>
                <w:color w:val="FFFFFF"/>
                <w:spacing w:val="-3"/>
                <w:w w:val="105"/>
                <w:sz w:val="16"/>
              </w:rPr>
              <w:t> </w:t>
            </w:r>
            <w:r>
              <w:rPr>
                <w:color w:val="FFFFFF"/>
                <w:w w:val="105"/>
                <w:sz w:val="16"/>
              </w:rPr>
              <w:t>Historical</w:t>
            </w:r>
            <w:r>
              <w:rPr>
                <w:color w:val="FFFFFF"/>
                <w:spacing w:val="-2"/>
                <w:w w:val="105"/>
                <w:sz w:val="16"/>
              </w:rPr>
              <w:t> </w:t>
            </w:r>
            <w:r>
              <w:rPr>
                <w:color w:val="FFFFFF"/>
                <w:w w:val="105"/>
                <w:sz w:val="16"/>
              </w:rPr>
              <w:t>and</w:t>
            </w:r>
            <w:r>
              <w:rPr>
                <w:color w:val="FFFFFF"/>
                <w:spacing w:val="-3"/>
                <w:w w:val="105"/>
                <w:sz w:val="16"/>
              </w:rPr>
              <w:t> </w:t>
            </w:r>
            <w:r>
              <w:rPr>
                <w:color w:val="FFFFFF"/>
                <w:w w:val="105"/>
                <w:sz w:val="16"/>
              </w:rPr>
              <w:t>Physical</w:t>
            </w:r>
            <w:r>
              <w:rPr>
                <w:color w:val="FFFFFF"/>
                <w:spacing w:val="-2"/>
                <w:w w:val="105"/>
                <w:sz w:val="16"/>
              </w:rPr>
              <w:t> </w:t>
            </w:r>
            <w:r>
              <w:rPr>
                <w:color w:val="FFFFFF"/>
                <w:w w:val="105"/>
                <w:sz w:val="16"/>
              </w:rPr>
              <w:t>Factors</w:t>
            </w:r>
            <w:r>
              <w:rPr>
                <w:color w:val="FFFFFF"/>
                <w:spacing w:val="-2"/>
                <w:w w:val="105"/>
                <w:sz w:val="16"/>
              </w:rPr>
              <w:t> </w:t>
            </w:r>
            <w:r>
              <w:rPr>
                <w:color w:val="FFFFFF"/>
                <w:w w:val="105"/>
                <w:sz w:val="16"/>
              </w:rPr>
              <w:t>in</w:t>
            </w:r>
            <w:r>
              <w:rPr>
                <w:color w:val="FFFFFF"/>
                <w:spacing w:val="-3"/>
                <w:w w:val="105"/>
                <w:sz w:val="16"/>
              </w:rPr>
              <w:t> </w:t>
            </w:r>
            <w:r>
              <w:rPr>
                <w:color w:val="FFFFFF"/>
                <w:w w:val="105"/>
                <w:sz w:val="16"/>
              </w:rPr>
              <w:t>the</w:t>
            </w:r>
            <w:r>
              <w:rPr>
                <w:color w:val="FFFFFF"/>
                <w:spacing w:val="-2"/>
                <w:w w:val="105"/>
                <w:sz w:val="16"/>
              </w:rPr>
              <w:t> </w:t>
            </w:r>
            <w:r>
              <w:rPr>
                <w:color w:val="FFFFFF"/>
                <w:w w:val="105"/>
                <w:sz w:val="16"/>
              </w:rPr>
              <w:t>Evaluation</w:t>
            </w:r>
            <w:r>
              <w:rPr>
                <w:color w:val="FFFFFF"/>
                <w:spacing w:val="-2"/>
                <w:w w:val="105"/>
                <w:sz w:val="16"/>
              </w:rPr>
              <w:t> </w:t>
            </w:r>
            <w:r>
              <w:rPr>
                <w:color w:val="FFFFFF"/>
                <w:w w:val="105"/>
                <w:sz w:val="16"/>
              </w:rPr>
              <w:t>of</w:t>
            </w:r>
            <w:r>
              <w:rPr>
                <w:color w:val="FFFFFF"/>
                <w:spacing w:val="-3"/>
                <w:w w:val="105"/>
                <w:sz w:val="16"/>
              </w:rPr>
              <w:t> </w:t>
            </w:r>
            <w:r>
              <w:rPr>
                <w:color w:val="FFFFFF"/>
                <w:w w:val="105"/>
                <w:sz w:val="16"/>
              </w:rPr>
              <w:t>a</w:t>
            </w:r>
            <w:r>
              <w:rPr>
                <w:color w:val="FFFFFF"/>
                <w:spacing w:val="-2"/>
                <w:w w:val="105"/>
                <w:sz w:val="16"/>
              </w:rPr>
              <w:t> </w:t>
            </w:r>
            <w:r>
              <w:rPr>
                <w:color w:val="FFFFFF"/>
                <w:w w:val="105"/>
                <w:sz w:val="16"/>
              </w:rPr>
              <w:t>Patient</w:t>
            </w:r>
            <w:r>
              <w:rPr>
                <w:color w:val="FFFFFF"/>
                <w:spacing w:val="-2"/>
                <w:w w:val="105"/>
                <w:sz w:val="16"/>
              </w:rPr>
              <w:t> </w:t>
            </w:r>
            <w:r>
              <w:rPr>
                <w:color w:val="FFFFFF"/>
                <w:w w:val="105"/>
                <w:sz w:val="16"/>
              </w:rPr>
              <w:t>with</w:t>
            </w:r>
            <w:r>
              <w:rPr>
                <w:color w:val="FFFFFF"/>
                <w:spacing w:val="-3"/>
                <w:w w:val="105"/>
                <w:sz w:val="16"/>
              </w:rPr>
              <w:t> </w:t>
            </w:r>
            <w:r>
              <w:rPr>
                <w:color w:val="FFFFFF"/>
                <w:spacing w:val="-2"/>
                <w:w w:val="105"/>
                <w:sz w:val="16"/>
              </w:rPr>
              <w:t>Plagiocephaly</w:t>
            </w:r>
          </w:p>
        </w:tc>
      </w:tr>
      <w:tr>
        <w:trPr>
          <w:trHeight w:val="276" w:hRule="atLeast"/>
        </w:trPr>
        <w:tc>
          <w:tcPr>
            <w:tcW w:w="2814" w:type="dxa"/>
            <w:gridSpan w:val="2"/>
            <w:tcBorders>
              <w:bottom w:val="single" w:sz="4" w:space="0" w:color="231F20"/>
            </w:tcBorders>
            <w:shd w:val="clear" w:color="auto" w:fill="E8F5F1"/>
          </w:tcPr>
          <w:p>
            <w:pPr>
              <w:pStyle w:val="TableParagraph"/>
              <w:rPr>
                <w:rFonts w:ascii="Times New Roman"/>
                <w:sz w:val="14"/>
              </w:rPr>
            </w:pPr>
          </w:p>
        </w:tc>
        <w:tc>
          <w:tcPr>
            <w:tcW w:w="4104" w:type="dxa"/>
            <w:tcBorders>
              <w:bottom w:val="single" w:sz="4" w:space="0" w:color="231F20"/>
            </w:tcBorders>
            <w:shd w:val="clear" w:color="auto" w:fill="E8F5F1"/>
          </w:tcPr>
          <w:p>
            <w:pPr>
              <w:pStyle w:val="TableParagraph"/>
              <w:spacing w:before="66"/>
              <w:ind w:left="2"/>
              <w:jc w:val="center"/>
              <w:rPr>
                <w:b/>
                <w:sz w:val="15"/>
              </w:rPr>
            </w:pPr>
            <w:r>
              <w:rPr>
                <w:b/>
                <w:color w:val="231F20"/>
                <w:spacing w:val="-2"/>
                <w:w w:val="110"/>
                <w:sz w:val="15"/>
              </w:rPr>
              <w:t>DEFORMATIONAL</w:t>
            </w:r>
          </w:p>
        </w:tc>
        <w:tc>
          <w:tcPr>
            <w:tcW w:w="2851" w:type="dxa"/>
            <w:tcBorders>
              <w:bottom w:val="single" w:sz="4" w:space="0" w:color="231F20"/>
            </w:tcBorders>
            <w:shd w:val="clear" w:color="auto" w:fill="E8F5F1"/>
          </w:tcPr>
          <w:p>
            <w:pPr>
              <w:pStyle w:val="TableParagraph"/>
              <w:spacing w:before="66"/>
              <w:ind w:left="1110"/>
              <w:rPr>
                <w:b/>
                <w:sz w:val="15"/>
              </w:rPr>
            </w:pPr>
            <w:r>
              <w:rPr>
                <w:b/>
                <w:color w:val="231F20"/>
                <w:spacing w:val="-2"/>
                <w:w w:val="110"/>
                <w:sz w:val="15"/>
              </w:rPr>
              <w:t>SYNOSTOTIC</w:t>
            </w:r>
          </w:p>
        </w:tc>
      </w:tr>
      <w:tr>
        <w:trPr>
          <w:trHeight w:val="425" w:hRule="atLeast"/>
        </w:trPr>
        <w:tc>
          <w:tcPr>
            <w:tcW w:w="2814" w:type="dxa"/>
            <w:gridSpan w:val="2"/>
            <w:tcBorders>
              <w:top w:val="single" w:sz="4" w:space="0" w:color="231F20"/>
              <w:bottom w:val="single" w:sz="4" w:space="0" w:color="FFFFFF"/>
            </w:tcBorders>
            <w:shd w:val="clear" w:color="auto" w:fill="E8F5F1"/>
          </w:tcPr>
          <w:p>
            <w:pPr>
              <w:pStyle w:val="TableParagraph"/>
              <w:spacing w:before="47"/>
              <w:ind w:left="104"/>
              <w:rPr>
                <w:sz w:val="15"/>
              </w:rPr>
            </w:pPr>
            <w:r>
              <w:rPr>
                <w:color w:val="231F20"/>
                <w:spacing w:val="-2"/>
                <w:sz w:val="15"/>
              </w:rPr>
              <w:t>Birth</w:t>
            </w:r>
            <w:r>
              <w:rPr>
                <w:color w:val="231F20"/>
                <w:spacing w:val="-6"/>
                <w:sz w:val="15"/>
              </w:rPr>
              <w:t> </w:t>
            </w:r>
            <w:r>
              <w:rPr>
                <w:color w:val="231F20"/>
                <w:spacing w:val="-2"/>
                <w:sz w:val="15"/>
              </w:rPr>
              <w:t>history</w:t>
            </w:r>
          </w:p>
        </w:tc>
        <w:tc>
          <w:tcPr>
            <w:tcW w:w="4104" w:type="dxa"/>
            <w:tcBorders>
              <w:top w:val="single" w:sz="4" w:space="0" w:color="231F20"/>
              <w:bottom w:val="single" w:sz="4" w:space="0" w:color="FFFFFF"/>
            </w:tcBorders>
            <w:shd w:val="clear" w:color="auto" w:fill="E8F5F1"/>
          </w:tcPr>
          <w:p>
            <w:pPr>
              <w:pStyle w:val="TableParagraph"/>
              <w:numPr>
                <w:ilvl w:val="0"/>
                <w:numId w:val="6"/>
              </w:numPr>
              <w:tabs>
                <w:tab w:pos="547" w:val="left" w:leader="none"/>
              </w:tabs>
              <w:spacing w:line="171" w:lineRule="exact" w:before="47" w:after="0"/>
              <w:ind w:left="547" w:right="0" w:hanging="149"/>
              <w:jc w:val="left"/>
              <w:rPr>
                <w:sz w:val="15"/>
              </w:rPr>
            </w:pPr>
            <w:r>
              <w:rPr>
                <w:color w:val="231F20"/>
                <w:spacing w:val="-5"/>
                <w:sz w:val="15"/>
              </w:rPr>
              <w:t>Intrauterine</w:t>
            </w:r>
            <w:r>
              <w:rPr>
                <w:color w:val="231F20"/>
                <w:spacing w:val="12"/>
                <w:sz w:val="15"/>
              </w:rPr>
              <w:t> </w:t>
            </w:r>
            <w:r>
              <w:rPr>
                <w:color w:val="231F20"/>
                <w:spacing w:val="-2"/>
                <w:sz w:val="15"/>
              </w:rPr>
              <w:t>compression</w:t>
            </w:r>
          </w:p>
          <w:p>
            <w:pPr>
              <w:pStyle w:val="TableParagraph"/>
              <w:numPr>
                <w:ilvl w:val="0"/>
                <w:numId w:val="6"/>
              </w:numPr>
              <w:tabs>
                <w:tab w:pos="547" w:val="left" w:leader="none"/>
              </w:tabs>
              <w:spacing w:line="171" w:lineRule="exact" w:before="0" w:after="0"/>
              <w:ind w:left="547" w:right="0" w:hanging="149"/>
              <w:jc w:val="left"/>
              <w:rPr>
                <w:sz w:val="15"/>
              </w:rPr>
            </w:pPr>
            <w:r>
              <w:rPr>
                <w:color w:val="231F20"/>
                <w:sz w:val="15"/>
              </w:rPr>
              <w:t>Firstborn</w:t>
            </w:r>
            <w:r>
              <w:rPr>
                <w:color w:val="231F20"/>
                <w:spacing w:val="-12"/>
                <w:sz w:val="15"/>
              </w:rPr>
              <w:t> </w:t>
            </w:r>
            <w:r>
              <w:rPr>
                <w:color w:val="231F20"/>
                <w:spacing w:val="-2"/>
                <w:sz w:val="15"/>
              </w:rPr>
              <w:t>child</w:t>
            </w:r>
          </w:p>
        </w:tc>
        <w:tc>
          <w:tcPr>
            <w:tcW w:w="2851" w:type="dxa"/>
            <w:tcBorders>
              <w:top w:val="single" w:sz="4" w:space="0" w:color="231F20"/>
              <w:bottom w:val="single" w:sz="4" w:space="0" w:color="FFFFFF"/>
            </w:tcBorders>
            <w:shd w:val="clear" w:color="auto" w:fill="E8F5F1"/>
          </w:tcPr>
          <w:p>
            <w:pPr>
              <w:pStyle w:val="TableParagraph"/>
              <w:numPr>
                <w:ilvl w:val="0"/>
                <w:numId w:val="7"/>
              </w:numPr>
              <w:tabs>
                <w:tab w:pos="547" w:val="left" w:leader="none"/>
              </w:tabs>
              <w:spacing w:line="240" w:lineRule="auto" w:before="47" w:after="0"/>
              <w:ind w:left="547" w:right="0" w:hanging="149"/>
              <w:jc w:val="left"/>
              <w:rPr>
                <w:sz w:val="15"/>
              </w:rPr>
            </w:pPr>
            <w:r>
              <w:rPr>
                <w:color w:val="231F20"/>
                <w:spacing w:val="-2"/>
                <w:sz w:val="15"/>
              </w:rPr>
              <w:t>Typically</w:t>
            </w:r>
            <w:r>
              <w:rPr>
                <w:color w:val="231F20"/>
                <w:spacing w:val="-3"/>
                <w:sz w:val="15"/>
              </w:rPr>
              <w:t> </w:t>
            </w:r>
            <w:r>
              <w:rPr>
                <w:color w:val="231F20"/>
                <w:spacing w:val="-2"/>
                <w:sz w:val="15"/>
              </w:rPr>
              <w:t>no complications</w:t>
            </w:r>
          </w:p>
        </w:tc>
      </w:tr>
      <w:tr>
        <w:trPr>
          <w:trHeight w:val="252" w:hRule="atLeast"/>
        </w:trPr>
        <w:tc>
          <w:tcPr>
            <w:tcW w:w="2814"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sz w:val="15"/>
              </w:rPr>
              <w:t>Head</w:t>
            </w:r>
            <w:r>
              <w:rPr>
                <w:color w:val="231F20"/>
                <w:spacing w:val="5"/>
                <w:sz w:val="15"/>
              </w:rPr>
              <w:t> </w:t>
            </w:r>
            <w:r>
              <w:rPr>
                <w:color w:val="231F20"/>
                <w:sz w:val="15"/>
              </w:rPr>
              <w:t>shape</w:t>
            </w:r>
            <w:r>
              <w:rPr>
                <w:color w:val="231F20"/>
                <w:spacing w:val="5"/>
                <w:sz w:val="15"/>
              </w:rPr>
              <w:t> </w:t>
            </w:r>
            <w:r>
              <w:rPr>
                <w:color w:val="231F20"/>
                <w:sz w:val="15"/>
              </w:rPr>
              <w:t>at</w:t>
            </w:r>
            <w:r>
              <w:rPr>
                <w:color w:val="231F20"/>
                <w:spacing w:val="5"/>
                <w:sz w:val="15"/>
              </w:rPr>
              <w:t> </w:t>
            </w:r>
            <w:r>
              <w:rPr>
                <w:color w:val="231F20"/>
                <w:spacing w:val="-2"/>
                <w:sz w:val="15"/>
              </w:rPr>
              <w:t>birth</w:t>
            </w:r>
          </w:p>
        </w:tc>
        <w:tc>
          <w:tcPr>
            <w:tcW w:w="4104" w:type="dxa"/>
            <w:tcBorders>
              <w:top w:val="single" w:sz="4" w:space="0" w:color="FFFFFF"/>
              <w:bottom w:val="single" w:sz="4" w:space="0" w:color="FFFFFF"/>
            </w:tcBorders>
            <w:shd w:val="clear" w:color="auto" w:fill="E8F5F1"/>
          </w:tcPr>
          <w:p>
            <w:pPr>
              <w:pStyle w:val="TableParagraph"/>
              <w:numPr>
                <w:ilvl w:val="0"/>
                <w:numId w:val="8"/>
              </w:numPr>
              <w:tabs>
                <w:tab w:pos="547" w:val="left" w:leader="none"/>
              </w:tabs>
              <w:spacing w:line="240" w:lineRule="auto" w:before="42" w:after="0"/>
              <w:ind w:left="547" w:right="0" w:hanging="149"/>
              <w:jc w:val="left"/>
              <w:rPr>
                <w:sz w:val="15"/>
              </w:rPr>
            </w:pPr>
            <w:r>
              <w:rPr>
                <w:color w:val="231F20"/>
                <w:spacing w:val="-4"/>
                <w:sz w:val="15"/>
              </w:rPr>
              <w:t>Typically</w:t>
            </w:r>
            <w:r>
              <w:rPr>
                <w:color w:val="231F20"/>
                <w:sz w:val="15"/>
              </w:rPr>
              <w:t> </w:t>
            </w:r>
            <w:r>
              <w:rPr>
                <w:color w:val="231F20"/>
                <w:spacing w:val="-2"/>
                <w:sz w:val="15"/>
              </w:rPr>
              <w:t>normal</w:t>
            </w:r>
          </w:p>
        </w:tc>
        <w:tc>
          <w:tcPr>
            <w:tcW w:w="2851" w:type="dxa"/>
            <w:tcBorders>
              <w:top w:val="single" w:sz="4" w:space="0" w:color="FFFFFF"/>
              <w:bottom w:val="single" w:sz="4" w:space="0" w:color="FFFFFF"/>
            </w:tcBorders>
            <w:shd w:val="clear" w:color="auto" w:fill="E8F5F1"/>
          </w:tcPr>
          <w:p>
            <w:pPr>
              <w:pStyle w:val="TableParagraph"/>
              <w:numPr>
                <w:ilvl w:val="0"/>
                <w:numId w:val="9"/>
              </w:numPr>
              <w:tabs>
                <w:tab w:pos="547" w:val="left" w:leader="none"/>
              </w:tabs>
              <w:spacing w:line="240" w:lineRule="auto" w:before="42" w:after="0"/>
              <w:ind w:left="547" w:right="0" w:hanging="149"/>
              <w:jc w:val="left"/>
              <w:rPr>
                <w:sz w:val="15"/>
              </w:rPr>
            </w:pPr>
            <w:r>
              <w:rPr>
                <w:color w:val="231F20"/>
                <w:sz w:val="15"/>
              </w:rPr>
              <w:t>Can</w:t>
            </w:r>
            <w:r>
              <w:rPr>
                <w:color w:val="231F20"/>
                <w:spacing w:val="12"/>
                <w:sz w:val="15"/>
              </w:rPr>
              <w:t> </w:t>
            </w:r>
            <w:r>
              <w:rPr>
                <w:color w:val="231F20"/>
                <w:sz w:val="15"/>
              </w:rPr>
              <w:t>be</w:t>
            </w:r>
            <w:r>
              <w:rPr>
                <w:color w:val="231F20"/>
                <w:spacing w:val="13"/>
                <w:sz w:val="15"/>
              </w:rPr>
              <w:t> </w:t>
            </w:r>
            <w:r>
              <w:rPr>
                <w:color w:val="231F20"/>
                <w:spacing w:val="-2"/>
                <w:sz w:val="15"/>
              </w:rPr>
              <w:t>irregular</w:t>
            </w:r>
          </w:p>
        </w:tc>
      </w:tr>
      <w:tr>
        <w:trPr>
          <w:trHeight w:val="252" w:hRule="atLeast"/>
        </w:trPr>
        <w:tc>
          <w:tcPr>
            <w:tcW w:w="2814"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sz w:val="15"/>
              </w:rPr>
              <w:t>Age</w:t>
            </w:r>
            <w:r>
              <w:rPr>
                <w:color w:val="231F20"/>
                <w:spacing w:val="-1"/>
                <w:sz w:val="15"/>
              </w:rPr>
              <w:t> </w:t>
            </w:r>
            <w:r>
              <w:rPr>
                <w:color w:val="231F20"/>
                <w:sz w:val="15"/>
              </w:rPr>
              <w:t>first</w:t>
            </w:r>
            <w:r>
              <w:rPr>
                <w:color w:val="231F20"/>
                <w:spacing w:val="-1"/>
                <w:sz w:val="15"/>
              </w:rPr>
              <w:t> </w:t>
            </w:r>
            <w:r>
              <w:rPr>
                <w:color w:val="231F20"/>
                <w:sz w:val="15"/>
              </w:rPr>
              <w:t>noticed shape</w:t>
            </w:r>
            <w:r>
              <w:rPr>
                <w:color w:val="231F20"/>
                <w:spacing w:val="-1"/>
                <w:sz w:val="15"/>
              </w:rPr>
              <w:t> </w:t>
            </w:r>
            <w:r>
              <w:rPr>
                <w:color w:val="231F20"/>
                <w:spacing w:val="-2"/>
                <w:sz w:val="15"/>
              </w:rPr>
              <w:t>irregularity</w:t>
            </w:r>
          </w:p>
        </w:tc>
        <w:tc>
          <w:tcPr>
            <w:tcW w:w="4104" w:type="dxa"/>
            <w:tcBorders>
              <w:top w:val="single" w:sz="4" w:space="0" w:color="FFFFFF"/>
              <w:bottom w:val="single" w:sz="4" w:space="0" w:color="FFFFFF"/>
            </w:tcBorders>
            <w:shd w:val="clear" w:color="auto" w:fill="E8F5F1"/>
          </w:tcPr>
          <w:p>
            <w:pPr>
              <w:pStyle w:val="TableParagraph"/>
              <w:numPr>
                <w:ilvl w:val="0"/>
                <w:numId w:val="10"/>
              </w:numPr>
              <w:tabs>
                <w:tab w:pos="547" w:val="left" w:leader="none"/>
              </w:tabs>
              <w:spacing w:line="240" w:lineRule="auto" w:before="42" w:after="0"/>
              <w:ind w:left="547" w:right="0" w:hanging="149"/>
              <w:jc w:val="left"/>
              <w:rPr>
                <w:sz w:val="15"/>
              </w:rPr>
            </w:pPr>
            <w:r>
              <w:rPr>
                <w:color w:val="231F20"/>
                <w:sz w:val="15"/>
              </w:rPr>
              <w:t>Usually</w:t>
            </w:r>
            <w:r>
              <w:rPr>
                <w:color w:val="231F20"/>
                <w:spacing w:val="-6"/>
                <w:sz w:val="15"/>
              </w:rPr>
              <w:t> </w:t>
            </w:r>
            <w:r>
              <w:rPr>
                <w:color w:val="231F20"/>
                <w:sz w:val="15"/>
              </w:rPr>
              <w:t>in</w:t>
            </w:r>
            <w:r>
              <w:rPr>
                <w:color w:val="231F20"/>
                <w:spacing w:val="-6"/>
                <w:sz w:val="15"/>
              </w:rPr>
              <w:t> </w:t>
            </w:r>
            <w:r>
              <w:rPr>
                <w:color w:val="231F20"/>
                <w:sz w:val="15"/>
              </w:rPr>
              <w:t>1st</w:t>
            </w:r>
            <w:r>
              <w:rPr>
                <w:color w:val="231F20"/>
                <w:spacing w:val="-5"/>
                <w:sz w:val="15"/>
              </w:rPr>
              <w:t> </w:t>
            </w:r>
            <w:r>
              <w:rPr>
                <w:color w:val="231F20"/>
                <w:sz w:val="15"/>
              </w:rPr>
              <w:t>few</w:t>
            </w:r>
            <w:r>
              <w:rPr>
                <w:color w:val="231F20"/>
                <w:spacing w:val="-6"/>
                <w:sz w:val="15"/>
              </w:rPr>
              <w:t> </w:t>
            </w:r>
            <w:r>
              <w:rPr>
                <w:color w:val="231F20"/>
                <w:sz w:val="15"/>
              </w:rPr>
              <w:t>mo</w:t>
            </w:r>
            <w:r>
              <w:rPr>
                <w:color w:val="231F20"/>
                <w:spacing w:val="-6"/>
                <w:sz w:val="15"/>
              </w:rPr>
              <w:t> </w:t>
            </w:r>
            <w:r>
              <w:rPr>
                <w:color w:val="231F20"/>
                <w:sz w:val="15"/>
              </w:rPr>
              <w:t>of</w:t>
            </w:r>
            <w:r>
              <w:rPr>
                <w:color w:val="231F20"/>
                <w:spacing w:val="-5"/>
                <w:sz w:val="15"/>
              </w:rPr>
              <w:t> </w:t>
            </w:r>
            <w:r>
              <w:rPr>
                <w:color w:val="231F20"/>
                <w:spacing w:val="-4"/>
                <w:sz w:val="15"/>
              </w:rPr>
              <w:t>life</w:t>
            </w:r>
          </w:p>
        </w:tc>
        <w:tc>
          <w:tcPr>
            <w:tcW w:w="2851" w:type="dxa"/>
            <w:tcBorders>
              <w:top w:val="single" w:sz="4" w:space="0" w:color="FFFFFF"/>
              <w:bottom w:val="single" w:sz="4" w:space="0" w:color="FFFFFF"/>
            </w:tcBorders>
            <w:shd w:val="clear" w:color="auto" w:fill="E8F5F1"/>
          </w:tcPr>
          <w:p>
            <w:pPr>
              <w:pStyle w:val="TableParagraph"/>
              <w:numPr>
                <w:ilvl w:val="0"/>
                <w:numId w:val="11"/>
              </w:numPr>
              <w:tabs>
                <w:tab w:pos="547" w:val="left" w:leader="none"/>
              </w:tabs>
              <w:spacing w:line="240" w:lineRule="auto" w:before="42" w:after="0"/>
              <w:ind w:left="547" w:right="0" w:hanging="149"/>
              <w:jc w:val="left"/>
              <w:rPr>
                <w:sz w:val="15"/>
              </w:rPr>
            </w:pPr>
            <w:r>
              <w:rPr>
                <w:color w:val="231F20"/>
                <w:sz w:val="15"/>
              </w:rPr>
              <w:t>Can</w:t>
            </w:r>
            <w:r>
              <w:rPr>
                <w:color w:val="231F20"/>
                <w:spacing w:val="4"/>
                <w:sz w:val="15"/>
              </w:rPr>
              <w:t> </w:t>
            </w:r>
            <w:r>
              <w:rPr>
                <w:color w:val="231F20"/>
                <w:sz w:val="15"/>
              </w:rPr>
              <w:t>be</w:t>
            </w:r>
            <w:r>
              <w:rPr>
                <w:color w:val="231F20"/>
                <w:spacing w:val="5"/>
                <w:sz w:val="15"/>
              </w:rPr>
              <w:t> </w:t>
            </w:r>
            <w:r>
              <w:rPr>
                <w:color w:val="231F20"/>
                <w:sz w:val="15"/>
              </w:rPr>
              <w:t>at</w:t>
            </w:r>
            <w:r>
              <w:rPr>
                <w:color w:val="231F20"/>
                <w:spacing w:val="4"/>
                <w:sz w:val="15"/>
              </w:rPr>
              <w:t> </w:t>
            </w:r>
            <w:r>
              <w:rPr>
                <w:color w:val="231F20"/>
                <w:spacing w:val="-2"/>
                <w:sz w:val="15"/>
              </w:rPr>
              <w:t>birth</w:t>
            </w:r>
          </w:p>
        </w:tc>
      </w:tr>
      <w:tr>
        <w:trPr>
          <w:trHeight w:val="420" w:hRule="atLeast"/>
        </w:trPr>
        <w:tc>
          <w:tcPr>
            <w:tcW w:w="2814"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sz w:val="15"/>
              </w:rPr>
              <w:t>How</w:t>
            </w:r>
            <w:r>
              <w:rPr>
                <w:color w:val="231F20"/>
                <w:spacing w:val="-8"/>
                <w:sz w:val="15"/>
              </w:rPr>
              <w:t> </w:t>
            </w:r>
            <w:r>
              <w:rPr>
                <w:color w:val="231F20"/>
                <w:sz w:val="15"/>
              </w:rPr>
              <w:t>patient</w:t>
            </w:r>
            <w:r>
              <w:rPr>
                <w:color w:val="231F20"/>
                <w:spacing w:val="-7"/>
                <w:sz w:val="15"/>
              </w:rPr>
              <w:t> </w:t>
            </w:r>
            <w:r>
              <w:rPr>
                <w:color w:val="231F20"/>
                <w:sz w:val="15"/>
              </w:rPr>
              <w:t>prefers</w:t>
            </w:r>
            <w:r>
              <w:rPr>
                <w:color w:val="231F20"/>
                <w:spacing w:val="-7"/>
                <w:sz w:val="15"/>
              </w:rPr>
              <w:t> </w:t>
            </w:r>
            <w:r>
              <w:rPr>
                <w:color w:val="231F20"/>
                <w:sz w:val="15"/>
              </w:rPr>
              <w:t>to</w:t>
            </w:r>
            <w:r>
              <w:rPr>
                <w:color w:val="231F20"/>
                <w:spacing w:val="-7"/>
                <w:sz w:val="15"/>
              </w:rPr>
              <w:t> </w:t>
            </w:r>
            <w:r>
              <w:rPr>
                <w:color w:val="231F20"/>
                <w:spacing w:val="-2"/>
                <w:sz w:val="15"/>
              </w:rPr>
              <w:t>sleep</w:t>
            </w:r>
          </w:p>
        </w:tc>
        <w:tc>
          <w:tcPr>
            <w:tcW w:w="4104" w:type="dxa"/>
            <w:tcBorders>
              <w:top w:val="single" w:sz="4" w:space="0" w:color="FFFFFF"/>
              <w:bottom w:val="single" w:sz="4" w:space="0" w:color="FFFFFF"/>
            </w:tcBorders>
            <w:shd w:val="clear" w:color="auto" w:fill="E8F5F1"/>
          </w:tcPr>
          <w:p>
            <w:pPr>
              <w:pStyle w:val="TableParagraph"/>
              <w:numPr>
                <w:ilvl w:val="0"/>
                <w:numId w:val="12"/>
              </w:numPr>
              <w:tabs>
                <w:tab w:pos="547" w:val="left" w:leader="none"/>
              </w:tabs>
              <w:spacing w:line="171" w:lineRule="exact" w:before="42" w:after="0"/>
              <w:ind w:left="547" w:right="0" w:hanging="149"/>
              <w:jc w:val="left"/>
              <w:rPr>
                <w:sz w:val="15"/>
              </w:rPr>
            </w:pPr>
            <w:r>
              <w:rPr>
                <w:color w:val="231F20"/>
                <w:sz w:val="15"/>
              </w:rPr>
              <w:t>Same</w:t>
            </w:r>
            <w:r>
              <w:rPr>
                <w:color w:val="231F20"/>
                <w:spacing w:val="1"/>
                <w:sz w:val="15"/>
              </w:rPr>
              <w:t> </w:t>
            </w:r>
            <w:r>
              <w:rPr>
                <w:color w:val="231F20"/>
                <w:sz w:val="15"/>
              </w:rPr>
              <w:t>side,</w:t>
            </w:r>
            <w:r>
              <w:rPr>
                <w:color w:val="231F20"/>
                <w:spacing w:val="1"/>
                <w:sz w:val="15"/>
              </w:rPr>
              <w:t> </w:t>
            </w:r>
            <w:r>
              <w:rPr>
                <w:color w:val="231F20"/>
                <w:sz w:val="15"/>
              </w:rPr>
              <w:t>same</w:t>
            </w:r>
            <w:r>
              <w:rPr>
                <w:color w:val="231F20"/>
                <w:spacing w:val="2"/>
                <w:sz w:val="15"/>
              </w:rPr>
              <w:t> </w:t>
            </w:r>
            <w:r>
              <w:rPr>
                <w:color w:val="231F20"/>
                <w:spacing w:val="-2"/>
                <w:sz w:val="15"/>
              </w:rPr>
              <w:t>position</w:t>
            </w:r>
          </w:p>
          <w:p>
            <w:pPr>
              <w:pStyle w:val="TableParagraph"/>
              <w:numPr>
                <w:ilvl w:val="0"/>
                <w:numId w:val="12"/>
              </w:numPr>
              <w:tabs>
                <w:tab w:pos="547" w:val="left" w:leader="none"/>
              </w:tabs>
              <w:spacing w:line="171" w:lineRule="exact" w:before="0" w:after="0"/>
              <w:ind w:left="547" w:right="0" w:hanging="149"/>
              <w:jc w:val="left"/>
              <w:rPr>
                <w:sz w:val="15"/>
              </w:rPr>
            </w:pPr>
            <w:r>
              <w:rPr>
                <w:color w:val="231F20"/>
                <w:sz w:val="15"/>
              </w:rPr>
              <w:t>Same</w:t>
            </w:r>
            <w:r>
              <w:rPr>
                <w:color w:val="231F20"/>
                <w:spacing w:val="6"/>
                <w:sz w:val="15"/>
              </w:rPr>
              <w:t> </w:t>
            </w:r>
            <w:r>
              <w:rPr>
                <w:color w:val="231F20"/>
                <w:sz w:val="15"/>
              </w:rPr>
              <w:t>even</w:t>
            </w:r>
            <w:r>
              <w:rPr>
                <w:color w:val="231F20"/>
                <w:spacing w:val="6"/>
                <w:sz w:val="15"/>
              </w:rPr>
              <w:t> </w:t>
            </w:r>
            <w:r>
              <w:rPr>
                <w:color w:val="231F20"/>
                <w:sz w:val="15"/>
              </w:rPr>
              <w:t>during</w:t>
            </w:r>
            <w:r>
              <w:rPr>
                <w:color w:val="231F20"/>
                <w:spacing w:val="7"/>
                <w:sz w:val="15"/>
              </w:rPr>
              <w:t> </w:t>
            </w:r>
            <w:r>
              <w:rPr>
                <w:color w:val="231F20"/>
                <w:spacing w:val="-4"/>
                <w:sz w:val="15"/>
              </w:rPr>
              <w:t>naps</w:t>
            </w:r>
          </w:p>
        </w:tc>
        <w:tc>
          <w:tcPr>
            <w:tcW w:w="2851" w:type="dxa"/>
            <w:tcBorders>
              <w:top w:val="single" w:sz="4" w:space="0" w:color="FFFFFF"/>
              <w:bottom w:val="single" w:sz="4" w:space="0" w:color="FFFFFF"/>
            </w:tcBorders>
            <w:shd w:val="clear" w:color="auto" w:fill="E8F5F1"/>
          </w:tcPr>
          <w:p>
            <w:pPr>
              <w:pStyle w:val="TableParagraph"/>
              <w:numPr>
                <w:ilvl w:val="0"/>
                <w:numId w:val="13"/>
              </w:numPr>
              <w:tabs>
                <w:tab w:pos="547" w:val="left" w:leader="none"/>
              </w:tabs>
              <w:spacing w:line="240" w:lineRule="auto" w:before="42" w:after="0"/>
              <w:ind w:left="547" w:right="0" w:hanging="149"/>
              <w:jc w:val="left"/>
              <w:rPr>
                <w:sz w:val="15"/>
              </w:rPr>
            </w:pPr>
            <w:r>
              <w:rPr>
                <w:color w:val="231F20"/>
                <w:spacing w:val="-2"/>
                <w:sz w:val="15"/>
              </w:rPr>
              <w:t>Variable</w:t>
            </w:r>
          </w:p>
        </w:tc>
      </w:tr>
      <w:tr>
        <w:trPr>
          <w:trHeight w:val="252" w:hRule="atLeast"/>
        </w:trPr>
        <w:tc>
          <w:tcPr>
            <w:tcW w:w="2814"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w w:val="105"/>
                <w:sz w:val="15"/>
              </w:rPr>
              <w:t>Bald</w:t>
            </w:r>
            <w:r>
              <w:rPr>
                <w:color w:val="231F20"/>
                <w:spacing w:val="-12"/>
                <w:w w:val="105"/>
                <w:sz w:val="15"/>
              </w:rPr>
              <w:t> </w:t>
            </w:r>
            <w:r>
              <w:rPr>
                <w:color w:val="231F20"/>
                <w:spacing w:val="-4"/>
                <w:w w:val="105"/>
                <w:sz w:val="15"/>
              </w:rPr>
              <w:t>spot</w:t>
            </w:r>
          </w:p>
        </w:tc>
        <w:tc>
          <w:tcPr>
            <w:tcW w:w="4104" w:type="dxa"/>
            <w:tcBorders>
              <w:top w:val="single" w:sz="4" w:space="0" w:color="FFFFFF"/>
              <w:bottom w:val="single" w:sz="4" w:space="0" w:color="FFFFFF"/>
            </w:tcBorders>
            <w:shd w:val="clear" w:color="auto" w:fill="E8F5F1"/>
          </w:tcPr>
          <w:p>
            <w:pPr>
              <w:pStyle w:val="TableParagraph"/>
              <w:numPr>
                <w:ilvl w:val="0"/>
                <w:numId w:val="14"/>
              </w:numPr>
              <w:tabs>
                <w:tab w:pos="547" w:val="left" w:leader="none"/>
              </w:tabs>
              <w:spacing w:line="240" w:lineRule="auto" w:before="42" w:after="0"/>
              <w:ind w:left="547" w:right="0" w:hanging="149"/>
              <w:jc w:val="left"/>
              <w:rPr>
                <w:sz w:val="15"/>
              </w:rPr>
            </w:pPr>
            <w:r>
              <w:rPr>
                <w:color w:val="231F20"/>
                <w:spacing w:val="-5"/>
                <w:sz w:val="15"/>
              </w:rPr>
              <w:t>Yes</w:t>
            </w:r>
          </w:p>
        </w:tc>
        <w:tc>
          <w:tcPr>
            <w:tcW w:w="2851" w:type="dxa"/>
            <w:tcBorders>
              <w:top w:val="single" w:sz="4" w:space="0" w:color="FFFFFF"/>
              <w:bottom w:val="single" w:sz="4" w:space="0" w:color="FFFFFF"/>
            </w:tcBorders>
            <w:shd w:val="clear" w:color="auto" w:fill="E8F5F1"/>
          </w:tcPr>
          <w:p>
            <w:pPr>
              <w:pStyle w:val="TableParagraph"/>
              <w:numPr>
                <w:ilvl w:val="0"/>
                <w:numId w:val="15"/>
              </w:numPr>
              <w:tabs>
                <w:tab w:pos="547" w:val="left" w:leader="none"/>
              </w:tabs>
              <w:spacing w:line="240" w:lineRule="auto" w:before="42" w:after="0"/>
              <w:ind w:left="547" w:right="0" w:hanging="149"/>
              <w:jc w:val="left"/>
              <w:rPr>
                <w:sz w:val="15"/>
              </w:rPr>
            </w:pPr>
            <w:r>
              <w:rPr>
                <w:color w:val="231F20"/>
                <w:spacing w:val="-5"/>
                <w:w w:val="115"/>
                <w:sz w:val="15"/>
              </w:rPr>
              <w:t>No</w:t>
            </w:r>
          </w:p>
        </w:tc>
      </w:tr>
      <w:tr>
        <w:trPr>
          <w:trHeight w:val="756" w:hRule="atLeast"/>
        </w:trPr>
        <w:tc>
          <w:tcPr>
            <w:tcW w:w="2814"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sz w:val="15"/>
              </w:rPr>
              <w:t>Motor</w:t>
            </w:r>
            <w:r>
              <w:rPr>
                <w:color w:val="231F20"/>
                <w:spacing w:val="4"/>
                <w:sz w:val="15"/>
              </w:rPr>
              <w:t> </w:t>
            </w:r>
            <w:r>
              <w:rPr>
                <w:color w:val="231F20"/>
                <w:sz w:val="15"/>
              </w:rPr>
              <w:t>development</w:t>
            </w:r>
            <w:r>
              <w:rPr>
                <w:color w:val="231F20"/>
                <w:spacing w:val="4"/>
                <w:sz w:val="15"/>
              </w:rPr>
              <w:t> </w:t>
            </w:r>
            <w:r>
              <w:rPr>
                <w:color w:val="231F20"/>
                <w:sz w:val="15"/>
              </w:rPr>
              <w:t>for</w:t>
            </w:r>
            <w:r>
              <w:rPr>
                <w:color w:val="231F20"/>
                <w:spacing w:val="4"/>
                <w:sz w:val="15"/>
              </w:rPr>
              <w:t> </w:t>
            </w:r>
            <w:r>
              <w:rPr>
                <w:color w:val="231F20"/>
                <w:spacing w:val="-5"/>
                <w:sz w:val="15"/>
              </w:rPr>
              <w:t>age</w:t>
            </w:r>
          </w:p>
        </w:tc>
        <w:tc>
          <w:tcPr>
            <w:tcW w:w="4104" w:type="dxa"/>
            <w:tcBorders>
              <w:top w:val="single" w:sz="4" w:space="0" w:color="FFFFFF"/>
              <w:bottom w:val="single" w:sz="4" w:space="0" w:color="FFFFFF"/>
            </w:tcBorders>
            <w:shd w:val="clear" w:color="auto" w:fill="E8F5F1"/>
          </w:tcPr>
          <w:p>
            <w:pPr>
              <w:pStyle w:val="TableParagraph"/>
              <w:numPr>
                <w:ilvl w:val="0"/>
                <w:numId w:val="16"/>
              </w:numPr>
              <w:tabs>
                <w:tab w:pos="547" w:val="left" w:leader="none"/>
              </w:tabs>
              <w:spacing w:line="230" w:lineRule="auto" w:before="48" w:after="0"/>
              <w:ind w:left="547" w:right="393" w:hanging="150"/>
              <w:jc w:val="left"/>
              <w:rPr>
                <w:sz w:val="15"/>
              </w:rPr>
            </w:pPr>
            <w:r>
              <w:rPr>
                <w:color w:val="231F20"/>
                <w:spacing w:val="-2"/>
                <w:sz w:val="15"/>
              </w:rPr>
              <w:t>If age atypical for deformational </w:t>
            </w:r>
            <w:r>
              <w:rPr>
                <w:color w:val="231F20"/>
                <w:spacing w:val="-2"/>
                <w:sz w:val="15"/>
              </w:rPr>
              <w:t>plagiocephaly, </w:t>
            </w:r>
            <w:r>
              <w:rPr>
                <w:color w:val="231F20"/>
                <w:sz w:val="15"/>
              </w:rPr>
              <w:t>typically slow motor development for age</w:t>
            </w:r>
          </w:p>
          <w:p>
            <w:pPr>
              <w:pStyle w:val="TableParagraph"/>
              <w:numPr>
                <w:ilvl w:val="0"/>
                <w:numId w:val="16"/>
              </w:numPr>
              <w:tabs>
                <w:tab w:pos="547" w:val="left" w:leader="none"/>
              </w:tabs>
              <w:spacing w:line="167" w:lineRule="exact" w:before="0" w:after="0"/>
              <w:ind w:left="547" w:right="0" w:hanging="149"/>
              <w:jc w:val="left"/>
              <w:rPr>
                <w:sz w:val="15"/>
              </w:rPr>
            </w:pPr>
            <w:r>
              <w:rPr>
                <w:color w:val="231F20"/>
                <w:spacing w:val="-4"/>
                <w:sz w:val="15"/>
              </w:rPr>
              <w:t>Torticollis</w:t>
            </w:r>
            <w:r>
              <w:rPr>
                <w:color w:val="231F20"/>
                <w:spacing w:val="11"/>
                <w:sz w:val="15"/>
              </w:rPr>
              <w:t> </w:t>
            </w:r>
            <w:r>
              <w:rPr>
                <w:color w:val="231F20"/>
                <w:spacing w:val="-2"/>
                <w:sz w:val="15"/>
              </w:rPr>
              <w:t>present</w:t>
            </w:r>
          </w:p>
          <w:p>
            <w:pPr>
              <w:pStyle w:val="TableParagraph"/>
              <w:numPr>
                <w:ilvl w:val="0"/>
                <w:numId w:val="16"/>
              </w:numPr>
              <w:tabs>
                <w:tab w:pos="547" w:val="left" w:leader="none"/>
              </w:tabs>
              <w:spacing w:line="171" w:lineRule="exact" w:before="0" w:after="0"/>
              <w:ind w:left="547" w:right="0" w:hanging="149"/>
              <w:jc w:val="left"/>
              <w:rPr>
                <w:sz w:val="15"/>
              </w:rPr>
            </w:pPr>
            <w:r>
              <w:rPr>
                <w:color w:val="231F20"/>
                <w:spacing w:val="-2"/>
                <w:sz w:val="15"/>
              </w:rPr>
              <w:t>History</w:t>
            </w:r>
            <w:r>
              <w:rPr>
                <w:color w:val="231F20"/>
                <w:spacing w:val="-7"/>
                <w:sz w:val="15"/>
              </w:rPr>
              <w:t> </w:t>
            </w:r>
            <w:r>
              <w:rPr>
                <w:color w:val="231F20"/>
                <w:spacing w:val="-2"/>
                <w:sz w:val="15"/>
              </w:rPr>
              <w:t>of</w:t>
            </w:r>
            <w:r>
              <w:rPr>
                <w:color w:val="231F20"/>
                <w:spacing w:val="-6"/>
                <w:sz w:val="15"/>
              </w:rPr>
              <w:t> </w:t>
            </w:r>
            <w:r>
              <w:rPr>
                <w:color w:val="231F20"/>
                <w:spacing w:val="-2"/>
                <w:sz w:val="15"/>
              </w:rPr>
              <w:t>limited</w:t>
            </w:r>
            <w:r>
              <w:rPr>
                <w:color w:val="231F20"/>
                <w:spacing w:val="-7"/>
                <w:sz w:val="15"/>
              </w:rPr>
              <w:t> </w:t>
            </w:r>
            <w:r>
              <w:rPr>
                <w:color w:val="231F20"/>
                <w:spacing w:val="-2"/>
                <w:sz w:val="15"/>
              </w:rPr>
              <w:t>activity</w:t>
            </w:r>
            <w:r>
              <w:rPr>
                <w:color w:val="231F20"/>
                <w:spacing w:val="-6"/>
                <w:sz w:val="15"/>
              </w:rPr>
              <w:t> </w:t>
            </w:r>
            <w:r>
              <w:rPr>
                <w:color w:val="231F20"/>
                <w:spacing w:val="-2"/>
                <w:sz w:val="15"/>
              </w:rPr>
              <w:t>or</w:t>
            </w:r>
            <w:r>
              <w:rPr>
                <w:color w:val="231F20"/>
                <w:spacing w:val="-7"/>
                <w:sz w:val="15"/>
              </w:rPr>
              <w:t> </w:t>
            </w:r>
            <w:r>
              <w:rPr>
                <w:color w:val="231F20"/>
                <w:spacing w:val="-2"/>
                <w:sz w:val="15"/>
              </w:rPr>
              <w:t>mobility</w:t>
            </w:r>
          </w:p>
        </w:tc>
        <w:tc>
          <w:tcPr>
            <w:tcW w:w="2851" w:type="dxa"/>
            <w:tcBorders>
              <w:top w:val="single" w:sz="4" w:space="0" w:color="FFFFFF"/>
              <w:bottom w:val="single" w:sz="4" w:space="0" w:color="FFFFFF"/>
            </w:tcBorders>
            <w:shd w:val="clear" w:color="auto" w:fill="E8F5F1"/>
          </w:tcPr>
          <w:p>
            <w:pPr>
              <w:pStyle w:val="TableParagraph"/>
              <w:numPr>
                <w:ilvl w:val="0"/>
                <w:numId w:val="17"/>
              </w:numPr>
              <w:tabs>
                <w:tab w:pos="547" w:val="left" w:leader="none"/>
              </w:tabs>
              <w:spacing w:line="230" w:lineRule="auto" w:before="48" w:after="0"/>
              <w:ind w:left="547" w:right="71" w:hanging="150"/>
              <w:jc w:val="left"/>
              <w:rPr>
                <w:sz w:val="15"/>
              </w:rPr>
            </w:pPr>
            <w:r>
              <w:rPr>
                <w:color w:val="231F20"/>
                <w:sz w:val="15"/>
              </w:rPr>
              <w:t>Varies depending on presence </w:t>
            </w:r>
            <w:r>
              <w:rPr>
                <w:color w:val="231F20"/>
                <w:sz w:val="15"/>
              </w:rPr>
              <w:t>of concomitant syndrome</w:t>
            </w:r>
          </w:p>
        </w:tc>
      </w:tr>
      <w:tr>
        <w:trPr>
          <w:trHeight w:val="252" w:hRule="atLeast"/>
        </w:trPr>
        <w:tc>
          <w:tcPr>
            <w:tcW w:w="2814"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sz w:val="15"/>
              </w:rPr>
              <w:t>Tummy</w:t>
            </w:r>
            <w:r>
              <w:rPr>
                <w:color w:val="231F20"/>
                <w:spacing w:val="1"/>
                <w:sz w:val="15"/>
              </w:rPr>
              <w:t> </w:t>
            </w:r>
            <w:r>
              <w:rPr>
                <w:color w:val="231F20"/>
                <w:spacing w:val="-4"/>
                <w:sz w:val="15"/>
              </w:rPr>
              <w:t>time</w:t>
            </w:r>
          </w:p>
        </w:tc>
        <w:tc>
          <w:tcPr>
            <w:tcW w:w="4104" w:type="dxa"/>
            <w:tcBorders>
              <w:top w:val="single" w:sz="4" w:space="0" w:color="FFFFFF"/>
              <w:bottom w:val="single" w:sz="4" w:space="0" w:color="FFFFFF"/>
            </w:tcBorders>
            <w:shd w:val="clear" w:color="auto" w:fill="E8F5F1"/>
          </w:tcPr>
          <w:p>
            <w:pPr>
              <w:pStyle w:val="TableParagraph"/>
              <w:numPr>
                <w:ilvl w:val="0"/>
                <w:numId w:val="18"/>
              </w:numPr>
              <w:tabs>
                <w:tab w:pos="547" w:val="left" w:leader="none"/>
              </w:tabs>
              <w:spacing w:line="240" w:lineRule="auto" w:before="42" w:after="0"/>
              <w:ind w:left="547" w:right="0" w:hanging="149"/>
              <w:jc w:val="left"/>
              <w:rPr>
                <w:sz w:val="15"/>
              </w:rPr>
            </w:pPr>
            <w:r>
              <w:rPr>
                <w:color w:val="231F20"/>
                <w:spacing w:val="-2"/>
                <w:sz w:val="15"/>
              </w:rPr>
              <w:t>Decreased</w:t>
            </w:r>
          </w:p>
        </w:tc>
        <w:tc>
          <w:tcPr>
            <w:tcW w:w="2851" w:type="dxa"/>
            <w:tcBorders>
              <w:top w:val="single" w:sz="4" w:space="0" w:color="FFFFFF"/>
              <w:bottom w:val="single" w:sz="4" w:space="0" w:color="FFFFFF"/>
            </w:tcBorders>
            <w:shd w:val="clear" w:color="auto" w:fill="E8F5F1"/>
          </w:tcPr>
          <w:p>
            <w:pPr>
              <w:pStyle w:val="TableParagraph"/>
              <w:numPr>
                <w:ilvl w:val="0"/>
                <w:numId w:val="19"/>
              </w:numPr>
              <w:tabs>
                <w:tab w:pos="547" w:val="left" w:leader="none"/>
              </w:tabs>
              <w:spacing w:line="240" w:lineRule="auto" w:before="42" w:after="0"/>
              <w:ind w:left="547" w:right="0" w:hanging="149"/>
              <w:jc w:val="left"/>
              <w:rPr>
                <w:sz w:val="15"/>
              </w:rPr>
            </w:pPr>
            <w:r>
              <w:rPr>
                <w:color w:val="231F20"/>
                <w:w w:val="105"/>
                <w:sz w:val="15"/>
              </w:rPr>
              <w:t>Suggested</w:t>
            </w:r>
            <w:r>
              <w:rPr>
                <w:color w:val="231F20"/>
                <w:spacing w:val="5"/>
                <w:w w:val="105"/>
                <w:sz w:val="15"/>
              </w:rPr>
              <w:t> </w:t>
            </w:r>
            <w:r>
              <w:rPr>
                <w:color w:val="231F20"/>
                <w:spacing w:val="-4"/>
                <w:w w:val="105"/>
                <w:sz w:val="15"/>
              </w:rPr>
              <w:t>time</w:t>
            </w:r>
          </w:p>
        </w:tc>
      </w:tr>
      <w:tr>
        <w:trPr>
          <w:trHeight w:val="415" w:hRule="atLeast"/>
        </w:trPr>
        <w:tc>
          <w:tcPr>
            <w:tcW w:w="2814" w:type="dxa"/>
            <w:gridSpan w:val="2"/>
            <w:tcBorders>
              <w:top w:val="single" w:sz="4" w:space="0" w:color="FFFFFF"/>
              <w:bottom w:val="single" w:sz="8" w:space="0" w:color="231F20"/>
            </w:tcBorders>
            <w:shd w:val="clear" w:color="auto" w:fill="E8F5F1"/>
          </w:tcPr>
          <w:p>
            <w:pPr>
              <w:pStyle w:val="TableParagraph"/>
              <w:spacing w:line="230" w:lineRule="auto" w:before="48"/>
              <w:ind w:left="216" w:hanging="112"/>
              <w:rPr>
                <w:sz w:val="15"/>
              </w:rPr>
            </w:pPr>
            <w:r>
              <w:rPr>
                <w:color w:val="231F20"/>
                <w:sz w:val="15"/>
              </w:rPr>
              <w:t>Signs/symptoms</w:t>
            </w:r>
            <w:r>
              <w:rPr>
                <w:color w:val="231F20"/>
                <w:spacing w:val="-12"/>
                <w:sz w:val="15"/>
              </w:rPr>
              <w:t> </w:t>
            </w:r>
            <w:r>
              <w:rPr>
                <w:color w:val="231F20"/>
                <w:sz w:val="15"/>
              </w:rPr>
              <w:t>of</w:t>
            </w:r>
            <w:r>
              <w:rPr>
                <w:color w:val="231F20"/>
                <w:spacing w:val="-11"/>
                <w:sz w:val="15"/>
              </w:rPr>
              <w:t> </w:t>
            </w:r>
            <w:r>
              <w:rPr>
                <w:color w:val="231F20"/>
                <w:sz w:val="15"/>
              </w:rPr>
              <w:t>increasing intracranial pressure</w:t>
            </w:r>
          </w:p>
        </w:tc>
        <w:tc>
          <w:tcPr>
            <w:tcW w:w="4104" w:type="dxa"/>
            <w:tcBorders>
              <w:top w:val="single" w:sz="4" w:space="0" w:color="FFFFFF"/>
              <w:bottom w:val="single" w:sz="8" w:space="0" w:color="231F20"/>
            </w:tcBorders>
            <w:shd w:val="clear" w:color="auto" w:fill="E8F5F1"/>
          </w:tcPr>
          <w:p>
            <w:pPr>
              <w:pStyle w:val="TableParagraph"/>
              <w:numPr>
                <w:ilvl w:val="0"/>
                <w:numId w:val="20"/>
              </w:numPr>
              <w:tabs>
                <w:tab w:pos="547" w:val="left" w:leader="none"/>
              </w:tabs>
              <w:spacing w:line="240" w:lineRule="auto" w:before="42" w:after="0"/>
              <w:ind w:left="547" w:right="0" w:hanging="149"/>
              <w:jc w:val="left"/>
              <w:rPr>
                <w:sz w:val="15"/>
              </w:rPr>
            </w:pPr>
            <w:r>
              <w:rPr>
                <w:color w:val="231F20"/>
                <w:spacing w:val="-5"/>
                <w:w w:val="115"/>
                <w:sz w:val="15"/>
              </w:rPr>
              <w:t>No</w:t>
            </w:r>
          </w:p>
        </w:tc>
        <w:tc>
          <w:tcPr>
            <w:tcW w:w="2851" w:type="dxa"/>
            <w:tcBorders>
              <w:top w:val="single" w:sz="4" w:space="0" w:color="FFFFFF"/>
              <w:bottom w:val="single" w:sz="8" w:space="0" w:color="231F20"/>
            </w:tcBorders>
            <w:shd w:val="clear" w:color="auto" w:fill="E8F5F1"/>
          </w:tcPr>
          <w:p>
            <w:pPr>
              <w:pStyle w:val="TableParagraph"/>
              <w:numPr>
                <w:ilvl w:val="0"/>
                <w:numId w:val="21"/>
              </w:numPr>
              <w:tabs>
                <w:tab w:pos="547" w:val="left" w:leader="none"/>
              </w:tabs>
              <w:spacing w:line="240" w:lineRule="auto" w:before="42" w:after="0"/>
              <w:ind w:left="547" w:right="0" w:hanging="149"/>
              <w:jc w:val="left"/>
              <w:rPr>
                <w:sz w:val="15"/>
              </w:rPr>
            </w:pPr>
            <w:r>
              <w:rPr>
                <w:color w:val="231F20"/>
                <w:spacing w:val="-2"/>
                <w:sz w:val="15"/>
              </w:rPr>
              <w:t>Possible</w:t>
            </w:r>
          </w:p>
        </w:tc>
      </w:tr>
    </w:tbl>
    <w:p>
      <w:pPr>
        <w:pStyle w:val="BodyText"/>
        <w:spacing w:before="194" w:after="1"/>
        <w:rPr>
          <w:i/>
          <w:sz w:val="20"/>
        </w:rPr>
      </w:pPr>
    </w:p>
    <w:tbl>
      <w:tblPr>
        <w:tblW w:w="0" w:type="auto"/>
        <w:jc w:val="left"/>
        <w:tblInd w:w="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7"/>
        <w:gridCol w:w="1300"/>
        <w:gridCol w:w="4210"/>
        <w:gridCol w:w="3082"/>
      </w:tblGrid>
      <w:tr>
        <w:trPr>
          <w:trHeight w:val="354" w:hRule="atLeast"/>
        </w:trPr>
        <w:tc>
          <w:tcPr>
            <w:tcW w:w="1177" w:type="dxa"/>
            <w:tcBorders>
              <w:right w:val="single" w:sz="8" w:space="0" w:color="FFFFFF"/>
            </w:tcBorders>
            <w:shd w:val="clear" w:color="auto" w:fill="231F20"/>
          </w:tcPr>
          <w:p>
            <w:pPr>
              <w:pStyle w:val="TableParagraph"/>
              <w:spacing w:before="89"/>
              <w:ind w:left="141"/>
              <w:rPr>
                <w:b/>
                <w:sz w:val="16"/>
              </w:rPr>
            </w:pPr>
            <w:r>
              <w:rPr>
                <w:b/>
                <w:color w:val="FFFFFF"/>
                <w:w w:val="105"/>
                <w:sz w:val="16"/>
              </w:rPr>
              <w:t>Table</w:t>
            </w:r>
            <w:r>
              <w:rPr>
                <w:b/>
                <w:color w:val="FFFFFF"/>
                <w:spacing w:val="-3"/>
                <w:w w:val="105"/>
                <w:sz w:val="16"/>
              </w:rPr>
              <w:t> </w:t>
            </w:r>
            <w:r>
              <w:rPr>
                <w:b/>
                <w:color w:val="FFFFFF"/>
                <w:w w:val="105"/>
                <w:sz w:val="16"/>
              </w:rPr>
              <w:t>592-</w:t>
            </w:r>
            <w:r>
              <w:rPr>
                <w:b/>
                <w:color w:val="FFFFFF"/>
                <w:spacing w:val="-10"/>
                <w:w w:val="105"/>
                <w:sz w:val="16"/>
              </w:rPr>
              <w:t>3</w:t>
            </w:r>
          </w:p>
        </w:tc>
        <w:tc>
          <w:tcPr>
            <w:tcW w:w="8592" w:type="dxa"/>
            <w:gridSpan w:val="3"/>
            <w:tcBorders>
              <w:left w:val="single" w:sz="8" w:space="0" w:color="FFFFFF"/>
            </w:tcBorders>
            <w:shd w:val="clear" w:color="auto" w:fill="231F20"/>
          </w:tcPr>
          <w:p>
            <w:pPr>
              <w:pStyle w:val="TableParagraph"/>
              <w:spacing w:before="89"/>
              <w:ind w:left="74"/>
              <w:rPr>
                <w:sz w:val="16"/>
              </w:rPr>
            </w:pPr>
            <w:r>
              <w:rPr>
                <w:color w:val="FFFFFF"/>
                <w:w w:val="105"/>
                <w:sz w:val="16"/>
              </w:rPr>
              <w:t>Key</w:t>
            </w:r>
            <w:r>
              <w:rPr>
                <w:color w:val="FFFFFF"/>
                <w:spacing w:val="7"/>
                <w:w w:val="105"/>
                <w:sz w:val="16"/>
              </w:rPr>
              <w:t> </w:t>
            </w:r>
            <w:r>
              <w:rPr>
                <w:color w:val="FFFFFF"/>
                <w:w w:val="105"/>
                <w:sz w:val="16"/>
              </w:rPr>
              <w:t>Differences</w:t>
            </w:r>
            <w:r>
              <w:rPr>
                <w:color w:val="FFFFFF"/>
                <w:spacing w:val="8"/>
                <w:w w:val="105"/>
                <w:sz w:val="16"/>
              </w:rPr>
              <w:t> </w:t>
            </w:r>
            <w:r>
              <w:rPr>
                <w:color w:val="FFFFFF"/>
                <w:w w:val="105"/>
                <w:sz w:val="16"/>
              </w:rPr>
              <w:t>Between</w:t>
            </w:r>
            <w:r>
              <w:rPr>
                <w:color w:val="FFFFFF"/>
                <w:spacing w:val="7"/>
                <w:w w:val="105"/>
                <w:sz w:val="16"/>
              </w:rPr>
              <w:t> </w:t>
            </w:r>
            <w:r>
              <w:rPr>
                <w:color w:val="FFFFFF"/>
                <w:w w:val="105"/>
                <w:sz w:val="16"/>
              </w:rPr>
              <w:t>Synostotic</w:t>
            </w:r>
            <w:r>
              <w:rPr>
                <w:color w:val="FFFFFF"/>
                <w:spacing w:val="8"/>
                <w:w w:val="105"/>
                <w:sz w:val="16"/>
              </w:rPr>
              <w:t> </w:t>
            </w:r>
            <w:r>
              <w:rPr>
                <w:color w:val="FFFFFF"/>
                <w:w w:val="105"/>
                <w:sz w:val="16"/>
              </w:rPr>
              <w:t>(Craniosynostosis)</w:t>
            </w:r>
            <w:r>
              <w:rPr>
                <w:color w:val="FFFFFF"/>
                <w:spacing w:val="7"/>
                <w:w w:val="105"/>
                <w:sz w:val="16"/>
              </w:rPr>
              <w:t> </w:t>
            </w:r>
            <w:r>
              <w:rPr>
                <w:color w:val="FFFFFF"/>
                <w:w w:val="105"/>
                <w:sz w:val="16"/>
              </w:rPr>
              <w:t>and</w:t>
            </w:r>
            <w:r>
              <w:rPr>
                <w:color w:val="FFFFFF"/>
                <w:spacing w:val="8"/>
                <w:w w:val="105"/>
                <w:sz w:val="16"/>
              </w:rPr>
              <w:t> </w:t>
            </w:r>
            <w:r>
              <w:rPr>
                <w:color w:val="FFFFFF"/>
                <w:w w:val="105"/>
                <w:sz w:val="16"/>
              </w:rPr>
              <w:t>Deformational</w:t>
            </w:r>
            <w:r>
              <w:rPr>
                <w:color w:val="FFFFFF"/>
                <w:spacing w:val="8"/>
                <w:w w:val="105"/>
                <w:sz w:val="16"/>
              </w:rPr>
              <w:t> </w:t>
            </w:r>
            <w:r>
              <w:rPr>
                <w:color w:val="FFFFFF"/>
                <w:spacing w:val="-2"/>
                <w:w w:val="105"/>
                <w:sz w:val="16"/>
              </w:rPr>
              <w:t>Plagiocephaly</w:t>
            </w:r>
          </w:p>
        </w:tc>
      </w:tr>
      <w:tr>
        <w:trPr>
          <w:trHeight w:val="276" w:hRule="atLeast"/>
        </w:trPr>
        <w:tc>
          <w:tcPr>
            <w:tcW w:w="2477" w:type="dxa"/>
            <w:gridSpan w:val="2"/>
            <w:tcBorders>
              <w:bottom w:val="single" w:sz="4" w:space="0" w:color="231F20"/>
            </w:tcBorders>
            <w:shd w:val="clear" w:color="auto" w:fill="E8F5F1"/>
          </w:tcPr>
          <w:p>
            <w:pPr>
              <w:pStyle w:val="TableParagraph"/>
              <w:rPr>
                <w:rFonts w:ascii="Times New Roman"/>
                <w:sz w:val="14"/>
              </w:rPr>
            </w:pPr>
          </w:p>
        </w:tc>
        <w:tc>
          <w:tcPr>
            <w:tcW w:w="4210" w:type="dxa"/>
            <w:tcBorders>
              <w:bottom w:val="single" w:sz="4" w:space="0" w:color="231F20"/>
            </w:tcBorders>
            <w:shd w:val="clear" w:color="auto" w:fill="E8F5F1"/>
          </w:tcPr>
          <w:p>
            <w:pPr>
              <w:pStyle w:val="TableParagraph"/>
              <w:spacing w:before="66"/>
              <w:ind w:left="781"/>
              <w:rPr>
                <w:b/>
                <w:sz w:val="15"/>
              </w:rPr>
            </w:pPr>
            <w:r>
              <w:rPr>
                <w:b/>
                <w:color w:val="231F20"/>
                <w:w w:val="110"/>
                <w:sz w:val="15"/>
              </w:rPr>
              <w:t>DEFORMATIONAL</w:t>
            </w:r>
            <w:r>
              <w:rPr>
                <w:b/>
                <w:color w:val="231F20"/>
                <w:spacing w:val="26"/>
                <w:w w:val="110"/>
                <w:sz w:val="15"/>
              </w:rPr>
              <w:t> </w:t>
            </w:r>
            <w:r>
              <w:rPr>
                <w:b/>
                <w:color w:val="231F20"/>
                <w:spacing w:val="-2"/>
                <w:w w:val="110"/>
                <w:sz w:val="15"/>
              </w:rPr>
              <w:t>PLAGIOCEPHALY</w:t>
            </w:r>
          </w:p>
        </w:tc>
        <w:tc>
          <w:tcPr>
            <w:tcW w:w="3082" w:type="dxa"/>
            <w:tcBorders>
              <w:bottom w:val="single" w:sz="4" w:space="0" w:color="231F20"/>
            </w:tcBorders>
            <w:shd w:val="clear" w:color="auto" w:fill="E8F5F1"/>
          </w:tcPr>
          <w:p>
            <w:pPr>
              <w:pStyle w:val="TableParagraph"/>
              <w:spacing w:before="66"/>
              <w:ind w:left="835"/>
              <w:rPr>
                <w:b/>
                <w:sz w:val="15"/>
              </w:rPr>
            </w:pPr>
            <w:r>
              <w:rPr>
                <w:b/>
                <w:color w:val="231F20"/>
                <w:spacing w:val="-2"/>
                <w:w w:val="110"/>
                <w:sz w:val="15"/>
              </w:rPr>
              <w:t>CRANIOSYNOSTOSIS</w:t>
            </w:r>
          </w:p>
        </w:tc>
      </w:tr>
      <w:tr>
        <w:trPr>
          <w:trHeight w:val="593" w:hRule="atLeast"/>
        </w:trPr>
        <w:tc>
          <w:tcPr>
            <w:tcW w:w="2477" w:type="dxa"/>
            <w:gridSpan w:val="2"/>
            <w:tcBorders>
              <w:top w:val="single" w:sz="4" w:space="0" w:color="231F20"/>
              <w:bottom w:val="single" w:sz="4" w:space="0" w:color="FFFFFF"/>
            </w:tcBorders>
            <w:shd w:val="clear" w:color="auto" w:fill="E8F5F1"/>
          </w:tcPr>
          <w:p>
            <w:pPr>
              <w:pStyle w:val="TableParagraph"/>
              <w:spacing w:before="47"/>
              <w:ind w:left="104"/>
              <w:rPr>
                <w:sz w:val="15"/>
              </w:rPr>
            </w:pPr>
            <w:r>
              <w:rPr>
                <w:color w:val="231F20"/>
                <w:spacing w:val="-2"/>
                <w:w w:val="105"/>
                <w:sz w:val="15"/>
              </w:rPr>
              <w:t>Causes</w:t>
            </w:r>
          </w:p>
        </w:tc>
        <w:tc>
          <w:tcPr>
            <w:tcW w:w="4210" w:type="dxa"/>
            <w:tcBorders>
              <w:top w:val="single" w:sz="4" w:space="0" w:color="231F20"/>
              <w:bottom w:val="single" w:sz="4" w:space="0" w:color="FFFFFF"/>
            </w:tcBorders>
            <w:shd w:val="clear" w:color="auto" w:fill="E8F5F1"/>
          </w:tcPr>
          <w:p>
            <w:pPr>
              <w:pStyle w:val="TableParagraph"/>
              <w:spacing w:line="171" w:lineRule="exact" w:before="47"/>
              <w:ind w:left="201"/>
              <w:rPr>
                <w:sz w:val="15"/>
              </w:rPr>
            </w:pPr>
            <w:r>
              <w:rPr>
                <w:color w:val="231F20"/>
                <w:sz w:val="15"/>
              </w:rPr>
              <w:t>External</w:t>
            </w:r>
            <w:r>
              <w:rPr>
                <w:color w:val="231F20"/>
                <w:spacing w:val="-8"/>
                <w:sz w:val="15"/>
              </w:rPr>
              <w:t> </w:t>
            </w:r>
            <w:r>
              <w:rPr>
                <w:color w:val="231F20"/>
                <w:sz w:val="15"/>
              </w:rPr>
              <w:t>forces</w:t>
            </w:r>
            <w:r>
              <w:rPr>
                <w:color w:val="231F20"/>
                <w:spacing w:val="-7"/>
                <w:sz w:val="15"/>
              </w:rPr>
              <w:t> </w:t>
            </w:r>
            <w:r>
              <w:rPr>
                <w:color w:val="231F20"/>
                <w:sz w:val="15"/>
              </w:rPr>
              <w:t>applied</w:t>
            </w:r>
            <w:r>
              <w:rPr>
                <w:color w:val="231F20"/>
                <w:spacing w:val="-7"/>
                <w:sz w:val="15"/>
              </w:rPr>
              <w:t> </w:t>
            </w:r>
            <w:r>
              <w:rPr>
                <w:color w:val="231F20"/>
                <w:sz w:val="15"/>
              </w:rPr>
              <w:t>to</w:t>
            </w:r>
            <w:r>
              <w:rPr>
                <w:color w:val="231F20"/>
                <w:spacing w:val="-8"/>
                <w:sz w:val="15"/>
              </w:rPr>
              <w:t> </w:t>
            </w:r>
            <w:r>
              <w:rPr>
                <w:color w:val="231F20"/>
                <w:sz w:val="15"/>
              </w:rPr>
              <w:t>the</w:t>
            </w:r>
            <w:r>
              <w:rPr>
                <w:color w:val="231F20"/>
                <w:spacing w:val="-7"/>
                <w:sz w:val="15"/>
              </w:rPr>
              <w:t> </w:t>
            </w:r>
            <w:r>
              <w:rPr>
                <w:color w:val="231F20"/>
                <w:spacing w:val="-2"/>
                <w:sz w:val="15"/>
              </w:rPr>
              <w:t>skull</w:t>
            </w:r>
          </w:p>
          <w:p>
            <w:pPr>
              <w:pStyle w:val="TableParagraph"/>
              <w:numPr>
                <w:ilvl w:val="0"/>
                <w:numId w:val="22"/>
              </w:numPr>
              <w:tabs>
                <w:tab w:pos="350" w:val="left" w:leader="none"/>
              </w:tabs>
              <w:spacing w:line="168" w:lineRule="exact" w:before="0" w:after="0"/>
              <w:ind w:left="350" w:right="0" w:hanging="149"/>
              <w:jc w:val="left"/>
              <w:rPr>
                <w:sz w:val="15"/>
              </w:rPr>
            </w:pPr>
            <w:r>
              <w:rPr>
                <w:color w:val="231F20"/>
                <w:spacing w:val="-2"/>
                <w:sz w:val="15"/>
              </w:rPr>
              <w:t>Prenatal:</w:t>
            </w:r>
            <w:r>
              <w:rPr>
                <w:color w:val="231F20"/>
                <w:spacing w:val="-9"/>
                <w:sz w:val="15"/>
              </w:rPr>
              <w:t> </w:t>
            </w:r>
            <w:r>
              <w:rPr>
                <w:color w:val="231F20"/>
                <w:spacing w:val="-2"/>
                <w:sz w:val="15"/>
              </w:rPr>
              <w:t>uterine</w:t>
            </w:r>
            <w:r>
              <w:rPr>
                <w:color w:val="231F20"/>
                <w:spacing w:val="-8"/>
                <w:sz w:val="15"/>
              </w:rPr>
              <w:t> </w:t>
            </w:r>
            <w:r>
              <w:rPr>
                <w:color w:val="231F20"/>
                <w:spacing w:val="-2"/>
                <w:sz w:val="15"/>
              </w:rPr>
              <w:t>compression,</w:t>
            </w:r>
            <w:r>
              <w:rPr>
                <w:color w:val="231F20"/>
                <w:spacing w:val="-8"/>
                <w:sz w:val="15"/>
              </w:rPr>
              <w:t> </w:t>
            </w:r>
            <w:r>
              <w:rPr>
                <w:color w:val="231F20"/>
                <w:spacing w:val="-2"/>
                <w:sz w:val="15"/>
              </w:rPr>
              <w:t>intrauterine</w:t>
            </w:r>
            <w:r>
              <w:rPr>
                <w:color w:val="231F20"/>
                <w:spacing w:val="-8"/>
                <w:sz w:val="15"/>
              </w:rPr>
              <w:t> </w:t>
            </w:r>
            <w:r>
              <w:rPr>
                <w:color w:val="231F20"/>
                <w:spacing w:val="-2"/>
                <w:sz w:val="15"/>
              </w:rPr>
              <w:t>constrained</w:t>
            </w:r>
          </w:p>
          <w:p>
            <w:pPr>
              <w:pStyle w:val="TableParagraph"/>
              <w:numPr>
                <w:ilvl w:val="0"/>
                <w:numId w:val="22"/>
              </w:numPr>
              <w:tabs>
                <w:tab w:pos="350" w:val="left" w:leader="none"/>
              </w:tabs>
              <w:spacing w:line="171" w:lineRule="exact" w:before="0" w:after="0"/>
              <w:ind w:left="350" w:right="0" w:hanging="149"/>
              <w:jc w:val="left"/>
              <w:rPr>
                <w:sz w:val="15"/>
              </w:rPr>
            </w:pPr>
            <w:r>
              <w:rPr>
                <w:color w:val="231F20"/>
                <w:spacing w:val="-2"/>
                <w:sz w:val="15"/>
              </w:rPr>
              <w:t>Postnatal:</w:t>
            </w:r>
            <w:r>
              <w:rPr>
                <w:color w:val="231F20"/>
                <w:spacing w:val="-3"/>
                <w:sz w:val="15"/>
              </w:rPr>
              <w:t> </w:t>
            </w:r>
            <w:r>
              <w:rPr>
                <w:color w:val="231F20"/>
                <w:spacing w:val="-2"/>
                <w:sz w:val="15"/>
              </w:rPr>
              <w:t>congenital torticollis, sleeping</w:t>
            </w:r>
            <w:r>
              <w:rPr>
                <w:color w:val="231F20"/>
                <w:spacing w:val="-3"/>
                <w:sz w:val="15"/>
              </w:rPr>
              <w:t> </w:t>
            </w:r>
            <w:r>
              <w:rPr>
                <w:color w:val="231F20"/>
                <w:spacing w:val="-2"/>
                <w:sz w:val="15"/>
              </w:rPr>
              <w:t>position</w:t>
            </w:r>
          </w:p>
        </w:tc>
        <w:tc>
          <w:tcPr>
            <w:tcW w:w="3082" w:type="dxa"/>
            <w:tcBorders>
              <w:top w:val="single" w:sz="4" w:space="0" w:color="231F20"/>
              <w:bottom w:val="single" w:sz="4" w:space="0" w:color="FFFFFF"/>
            </w:tcBorders>
            <w:shd w:val="clear" w:color="auto" w:fill="E8F5F1"/>
          </w:tcPr>
          <w:p>
            <w:pPr>
              <w:pStyle w:val="TableParagraph"/>
              <w:spacing w:line="230" w:lineRule="auto" w:before="52"/>
              <w:ind w:left="313" w:hanging="112"/>
              <w:rPr>
                <w:sz w:val="15"/>
              </w:rPr>
            </w:pPr>
            <w:r>
              <w:rPr>
                <w:color w:val="231F20"/>
                <w:sz w:val="15"/>
              </w:rPr>
              <w:t>Premature</w:t>
            </w:r>
            <w:r>
              <w:rPr>
                <w:color w:val="231F20"/>
                <w:spacing w:val="-12"/>
                <w:sz w:val="15"/>
              </w:rPr>
              <w:t> </w:t>
            </w:r>
            <w:r>
              <w:rPr>
                <w:color w:val="231F20"/>
                <w:sz w:val="15"/>
              </w:rPr>
              <w:t>fusion</w:t>
            </w:r>
            <w:r>
              <w:rPr>
                <w:color w:val="231F20"/>
                <w:spacing w:val="-11"/>
                <w:sz w:val="15"/>
              </w:rPr>
              <w:t> </w:t>
            </w:r>
            <w:r>
              <w:rPr>
                <w:color w:val="231F20"/>
                <w:sz w:val="15"/>
              </w:rPr>
              <w:t>of</w:t>
            </w:r>
            <w:r>
              <w:rPr>
                <w:color w:val="231F20"/>
                <w:spacing w:val="-11"/>
                <w:sz w:val="15"/>
              </w:rPr>
              <w:t> </w:t>
            </w:r>
            <w:r>
              <w:rPr>
                <w:color w:val="231F20"/>
                <w:sz w:val="15"/>
              </w:rPr>
              <w:t>1</w:t>
            </w:r>
            <w:r>
              <w:rPr>
                <w:color w:val="231F20"/>
                <w:spacing w:val="-12"/>
                <w:sz w:val="15"/>
              </w:rPr>
              <w:t> </w:t>
            </w:r>
            <w:r>
              <w:rPr>
                <w:color w:val="231F20"/>
                <w:sz w:val="15"/>
              </w:rPr>
              <w:t>or</w:t>
            </w:r>
            <w:r>
              <w:rPr>
                <w:color w:val="231F20"/>
                <w:spacing w:val="-11"/>
                <w:sz w:val="15"/>
              </w:rPr>
              <w:t> </w:t>
            </w:r>
            <w:r>
              <w:rPr>
                <w:color w:val="231F20"/>
                <w:sz w:val="15"/>
              </w:rPr>
              <w:t>more</w:t>
            </w:r>
            <w:r>
              <w:rPr>
                <w:color w:val="231F20"/>
                <w:spacing w:val="-11"/>
                <w:sz w:val="15"/>
              </w:rPr>
              <w:t> </w:t>
            </w:r>
            <w:r>
              <w:rPr>
                <w:color w:val="231F20"/>
                <w:sz w:val="15"/>
              </w:rPr>
              <w:t>cranial </w:t>
            </w:r>
            <w:r>
              <w:rPr>
                <w:color w:val="231F20"/>
                <w:spacing w:val="-2"/>
                <w:sz w:val="15"/>
              </w:rPr>
              <w:t>sutures</w:t>
            </w:r>
          </w:p>
        </w:tc>
      </w:tr>
      <w:tr>
        <w:trPr>
          <w:trHeight w:val="588" w:hRule="atLeast"/>
        </w:trPr>
        <w:tc>
          <w:tcPr>
            <w:tcW w:w="2477"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w w:val="105"/>
                <w:sz w:val="15"/>
              </w:rPr>
              <w:t>Common</w:t>
            </w:r>
            <w:r>
              <w:rPr>
                <w:color w:val="231F20"/>
                <w:spacing w:val="4"/>
                <w:w w:val="105"/>
                <w:sz w:val="15"/>
              </w:rPr>
              <w:t> </w:t>
            </w:r>
            <w:r>
              <w:rPr>
                <w:color w:val="231F20"/>
                <w:spacing w:val="-2"/>
                <w:w w:val="105"/>
                <w:sz w:val="15"/>
              </w:rPr>
              <w:t>types</w:t>
            </w:r>
          </w:p>
        </w:tc>
        <w:tc>
          <w:tcPr>
            <w:tcW w:w="4210" w:type="dxa"/>
            <w:tcBorders>
              <w:top w:val="single" w:sz="4" w:space="0" w:color="FFFFFF"/>
              <w:bottom w:val="single" w:sz="4" w:space="0" w:color="FFFFFF"/>
            </w:tcBorders>
            <w:shd w:val="clear" w:color="auto" w:fill="E8F5F1"/>
          </w:tcPr>
          <w:p>
            <w:pPr>
              <w:pStyle w:val="TableParagraph"/>
              <w:numPr>
                <w:ilvl w:val="0"/>
                <w:numId w:val="23"/>
              </w:numPr>
              <w:tabs>
                <w:tab w:pos="350" w:val="left" w:leader="none"/>
              </w:tabs>
              <w:spacing w:line="171" w:lineRule="exact" w:before="42" w:after="0"/>
              <w:ind w:left="350" w:right="0" w:hanging="149"/>
              <w:jc w:val="left"/>
              <w:rPr>
                <w:sz w:val="15"/>
              </w:rPr>
            </w:pPr>
            <w:r>
              <w:rPr>
                <w:color w:val="231F20"/>
                <w:spacing w:val="-2"/>
                <w:sz w:val="15"/>
              </w:rPr>
              <w:t>Lateral</w:t>
            </w:r>
          </w:p>
          <w:p>
            <w:pPr>
              <w:pStyle w:val="TableParagraph"/>
              <w:numPr>
                <w:ilvl w:val="0"/>
                <w:numId w:val="23"/>
              </w:numPr>
              <w:tabs>
                <w:tab w:pos="350" w:val="left" w:leader="none"/>
              </w:tabs>
              <w:spacing w:line="171" w:lineRule="exact" w:before="0" w:after="0"/>
              <w:ind w:left="350" w:right="0" w:hanging="149"/>
              <w:jc w:val="left"/>
              <w:rPr>
                <w:sz w:val="15"/>
              </w:rPr>
            </w:pPr>
            <w:r>
              <w:rPr>
                <w:color w:val="231F20"/>
                <w:spacing w:val="-2"/>
                <w:sz w:val="15"/>
              </w:rPr>
              <w:t>Posterior</w:t>
            </w:r>
          </w:p>
        </w:tc>
        <w:tc>
          <w:tcPr>
            <w:tcW w:w="3082" w:type="dxa"/>
            <w:tcBorders>
              <w:top w:val="single" w:sz="4" w:space="0" w:color="FFFFFF"/>
              <w:bottom w:val="single" w:sz="4" w:space="0" w:color="FFFFFF"/>
            </w:tcBorders>
            <w:shd w:val="clear" w:color="auto" w:fill="E8F5F1"/>
          </w:tcPr>
          <w:p>
            <w:pPr>
              <w:pStyle w:val="TableParagraph"/>
              <w:numPr>
                <w:ilvl w:val="0"/>
                <w:numId w:val="24"/>
              </w:numPr>
              <w:tabs>
                <w:tab w:pos="350" w:val="left" w:leader="none"/>
              </w:tabs>
              <w:spacing w:line="171" w:lineRule="exact" w:before="42" w:after="0"/>
              <w:ind w:left="350" w:right="0" w:hanging="149"/>
              <w:jc w:val="left"/>
              <w:rPr>
                <w:sz w:val="15"/>
              </w:rPr>
            </w:pPr>
            <w:r>
              <w:rPr>
                <w:color w:val="231F20"/>
                <w:spacing w:val="-5"/>
                <w:sz w:val="15"/>
              </w:rPr>
              <w:t>Bilateral</w:t>
            </w:r>
            <w:r>
              <w:rPr>
                <w:color w:val="231F20"/>
                <w:spacing w:val="5"/>
                <w:sz w:val="15"/>
              </w:rPr>
              <w:t> </w:t>
            </w:r>
            <w:r>
              <w:rPr>
                <w:color w:val="231F20"/>
                <w:spacing w:val="-2"/>
                <w:sz w:val="15"/>
              </w:rPr>
              <w:t>coronal</w:t>
            </w:r>
          </w:p>
          <w:p>
            <w:pPr>
              <w:pStyle w:val="TableParagraph"/>
              <w:numPr>
                <w:ilvl w:val="0"/>
                <w:numId w:val="24"/>
              </w:numPr>
              <w:tabs>
                <w:tab w:pos="350" w:val="left" w:leader="none"/>
              </w:tabs>
              <w:spacing w:line="168" w:lineRule="exact" w:before="0" w:after="0"/>
              <w:ind w:left="350" w:right="0" w:hanging="149"/>
              <w:jc w:val="left"/>
              <w:rPr>
                <w:sz w:val="15"/>
              </w:rPr>
            </w:pPr>
            <w:r>
              <w:rPr>
                <w:color w:val="231F20"/>
                <w:spacing w:val="-2"/>
                <w:sz w:val="15"/>
              </w:rPr>
              <w:t>Sagittal</w:t>
            </w:r>
          </w:p>
          <w:p>
            <w:pPr>
              <w:pStyle w:val="TableParagraph"/>
              <w:numPr>
                <w:ilvl w:val="0"/>
                <w:numId w:val="24"/>
              </w:numPr>
              <w:tabs>
                <w:tab w:pos="350" w:val="left" w:leader="none"/>
              </w:tabs>
              <w:spacing w:line="171" w:lineRule="exact" w:before="0" w:after="0"/>
              <w:ind w:left="350" w:right="0" w:hanging="149"/>
              <w:jc w:val="left"/>
              <w:rPr>
                <w:sz w:val="15"/>
              </w:rPr>
            </w:pPr>
            <w:r>
              <w:rPr>
                <w:color w:val="231F20"/>
                <w:spacing w:val="-2"/>
                <w:w w:val="105"/>
                <w:sz w:val="15"/>
              </w:rPr>
              <w:t>Metopic</w:t>
            </w:r>
          </w:p>
        </w:tc>
      </w:tr>
      <w:tr>
        <w:trPr>
          <w:trHeight w:val="756" w:hRule="atLeast"/>
        </w:trPr>
        <w:tc>
          <w:tcPr>
            <w:tcW w:w="2477" w:type="dxa"/>
            <w:gridSpan w:val="2"/>
            <w:tcBorders>
              <w:top w:val="single" w:sz="4" w:space="0" w:color="FFFFFF"/>
              <w:bottom w:val="single" w:sz="4" w:space="0" w:color="FFFFFF"/>
            </w:tcBorders>
            <w:shd w:val="clear" w:color="auto" w:fill="E8F5F1"/>
          </w:tcPr>
          <w:p>
            <w:pPr>
              <w:pStyle w:val="TableParagraph"/>
              <w:spacing w:before="42"/>
              <w:ind w:left="104"/>
              <w:rPr>
                <w:sz w:val="15"/>
              </w:rPr>
            </w:pPr>
            <w:r>
              <w:rPr>
                <w:color w:val="231F20"/>
                <w:sz w:val="15"/>
              </w:rPr>
              <w:t>Common</w:t>
            </w:r>
            <w:r>
              <w:rPr>
                <w:color w:val="231F20"/>
                <w:spacing w:val="23"/>
                <w:sz w:val="15"/>
              </w:rPr>
              <w:t> </w:t>
            </w:r>
            <w:r>
              <w:rPr>
                <w:color w:val="231F20"/>
                <w:sz w:val="15"/>
              </w:rPr>
              <w:t>distinguishing</w:t>
            </w:r>
            <w:r>
              <w:rPr>
                <w:color w:val="231F20"/>
                <w:spacing w:val="23"/>
                <w:sz w:val="15"/>
              </w:rPr>
              <w:t> </w:t>
            </w:r>
            <w:r>
              <w:rPr>
                <w:color w:val="231F20"/>
                <w:spacing w:val="-2"/>
                <w:sz w:val="15"/>
              </w:rPr>
              <w:t>features</w:t>
            </w:r>
          </w:p>
        </w:tc>
        <w:tc>
          <w:tcPr>
            <w:tcW w:w="4210" w:type="dxa"/>
            <w:tcBorders>
              <w:top w:val="single" w:sz="4" w:space="0" w:color="FFFFFF"/>
              <w:bottom w:val="single" w:sz="4" w:space="0" w:color="FFFFFF"/>
            </w:tcBorders>
            <w:shd w:val="clear" w:color="auto" w:fill="E8F5F1"/>
          </w:tcPr>
          <w:p>
            <w:pPr>
              <w:pStyle w:val="TableParagraph"/>
              <w:numPr>
                <w:ilvl w:val="0"/>
                <w:numId w:val="25"/>
              </w:numPr>
              <w:tabs>
                <w:tab w:pos="350" w:val="left" w:leader="none"/>
              </w:tabs>
              <w:spacing w:line="171" w:lineRule="exact" w:before="42" w:after="0"/>
              <w:ind w:left="350" w:right="0" w:hanging="149"/>
              <w:jc w:val="left"/>
              <w:rPr>
                <w:sz w:val="15"/>
              </w:rPr>
            </w:pPr>
            <w:r>
              <w:rPr>
                <w:color w:val="231F20"/>
                <w:sz w:val="15"/>
              </w:rPr>
              <w:t>Normal</w:t>
            </w:r>
            <w:r>
              <w:rPr>
                <w:color w:val="231F20"/>
                <w:spacing w:val="4"/>
                <w:sz w:val="15"/>
              </w:rPr>
              <w:t> </w:t>
            </w:r>
            <w:r>
              <w:rPr>
                <w:color w:val="231F20"/>
                <w:sz w:val="15"/>
              </w:rPr>
              <w:t>round</w:t>
            </w:r>
            <w:r>
              <w:rPr>
                <w:color w:val="231F20"/>
                <w:spacing w:val="5"/>
                <w:sz w:val="15"/>
              </w:rPr>
              <w:t> </w:t>
            </w:r>
            <w:r>
              <w:rPr>
                <w:color w:val="231F20"/>
                <w:sz w:val="15"/>
              </w:rPr>
              <w:t>head</w:t>
            </w:r>
            <w:r>
              <w:rPr>
                <w:color w:val="231F20"/>
                <w:spacing w:val="5"/>
                <w:sz w:val="15"/>
              </w:rPr>
              <w:t> </w:t>
            </w:r>
            <w:r>
              <w:rPr>
                <w:color w:val="231F20"/>
                <w:sz w:val="15"/>
              </w:rPr>
              <w:t>shape</w:t>
            </w:r>
            <w:r>
              <w:rPr>
                <w:color w:val="231F20"/>
                <w:spacing w:val="5"/>
                <w:sz w:val="15"/>
              </w:rPr>
              <w:t> </w:t>
            </w:r>
            <w:r>
              <w:rPr>
                <w:color w:val="231F20"/>
                <w:sz w:val="15"/>
              </w:rPr>
              <w:t>at</w:t>
            </w:r>
            <w:r>
              <w:rPr>
                <w:color w:val="231F20"/>
                <w:spacing w:val="5"/>
                <w:sz w:val="15"/>
              </w:rPr>
              <w:t> </w:t>
            </w:r>
            <w:r>
              <w:rPr>
                <w:color w:val="231F20"/>
                <w:spacing w:val="-2"/>
                <w:sz w:val="15"/>
              </w:rPr>
              <w:t>birth</w:t>
            </w:r>
          </w:p>
          <w:p>
            <w:pPr>
              <w:pStyle w:val="TableParagraph"/>
              <w:numPr>
                <w:ilvl w:val="0"/>
                <w:numId w:val="25"/>
              </w:numPr>
              <w:tabs>
                <w:tab w:pos="350" w:val="left" w:leader="none"/>
              </w:tabs>
              <w:spacing w:line="168" w:lineRule="exact" w:before="0" w:after="0"/>
              <w:ind w:left="350" w:right="0" w:hanging="149"/>
              <w:jc w:val="left"/>
              <w:rPr>
                <w:sz w:val="15"/>
              </w:rPr>
            </w:pPr>
            <w:r>
              <w:rPr>
                <w:color w:val="231F20"/>
                <w:sz w:val="15"/>
              </w:rPr>
              <w:t>Parallelogram</w:t>
            </w:r>
            <w:r>
              <w:rPr>
                <w:color w:val="231F20"/>
                <w:spacing w:val="-4"/>
                <w:sz w:val="15"/>
              </w:rPr>
              <w:t> </w:t>
            </w:r>
            <w:r>
              <w:rPr>
                <w:color w:val="231F20"/>
                <w:sz w:val="15"/>
              </w:rPr>
              <w:t>shape</w:t>
            </w:r>
            <w:r>
              <w:rPr>
                <w:color w:val="231F20"/>
                <w:spacing w:val="-4"/>
                <w:sz w:val="15"/>
              </w:rPr>
              <w:t> </w:t>
            </w:r>
            <w:r>
              <w:rPr>
                <w:color w:val="231F20"/>
                <w:sz w:val="15"/>
              </w:rPr>
              <w:t>to</w:t>
            </w:r>
            <w:r>
              <w:rPr>
                <w:color w:val="231F20"/>
                <w:spacing w:val="-3"/>
                <w:sz w:val="15"/>
              </w:rPr>
              <w:t> </w:t>
            </w:r>
            <w:r>
              <w:rPr>
                <w:color w:val="231F20"/>
                <w:spacing w:val="-4"/>
                <w:sz w:val="15"/>
              </w:rPr>
              <w:t>head</w:t>
            </w:r>
          </w:p>
          <w:p>
            <w:pPr>
              <w:pStyle w:val="TableParagraph"/>
              <w:numPr>
                <w:ilvl w:val="0"/>
                <w:numId w:val="25"/>
              </w:numPr>
              <w:tabs>
                <w:tab w:pos="350" w:val="left" w:leader="none"/>
              </w:tabs>
              <w:spacing w:line="168" w:lineRule="exact" w:before="0" w:after="0"/>
              <w:ind w:left="350" w:right="0" w:hanging="149"/>
              <w:jc w:val="left"/>
              <w:rPr>
                <w:sz w:val="15"/>
              </w:rPr>
            </w:pPr>
            <w:r>
              <w:rPr>
                <w:color w:val="231F20"/>
                <w:spacing w:val="-4"/>
                <w:sz w:val="15"/>
              </w:rPr>
              <w:t>Ipsilateral</w:t>
            </w:r>
            <w:r>
              <w:rPr>
                <w:color w:val="231F20"/>
                <w:spacing w:val="3"/>
                <w:sz w:val="15"/>
              </w:rPr>
              <w:t> </w:t>
            </w:r>
            <w:r>
              <w:rPr>
                <w:color w:val="231F20"/>
                <w:spacing w:val="-4"/>
                <w:sz w:val="15"/>
              </w:rPr>
              <w:t>ear</w:t>
            </w:r>
            <w:r>
              <w:rPr>
                <w:color w:val="231F20"/>
                <w:spacing w:val="3"/>
                <w:sz w:val="15"/>
              </w:rPr>
              <w:t> </w:t>
            </w:r>
            <w:r>
              <w:rPr>
                <w:color w:val="231F20"/>
                <w:spacing w:val="-4"/>
                <w:sz w:val="15"/>
              </w:rPr>
              <w:t>anteriorly</w:t>
            </w:r>
            <w:r>
              <w:rPr>
                <w:color w:val="231F20"/>
                <w:spacing w:val="4"/>
                <w:sz w:val="15"/>
              </w:rPr>
              <w:t> </w:t>
            </w:r>
            <w:r>
              <w:rPr>
                <w:color w:val="231F20"/>
                <w:spacing w:val="-4"/>
                <w:sz w:val="15"/>
              </w:rPr>
              <w:t>displaced</w:t>
            </w:r>
          </w:p>
          <w:p>
            <w:pPr>
              <w:pStyle w:val="TableParagraph"/>
              <w:numPr>
                <w:ilvl w:val="0"/>
                <w:numId w:val="25"/>
              </w:numPr>
              <w:tabs>
                <w:tab w:pos="350" w:val="left" w:leader="none"/>
              </w:tabs>
              <w:spacing w:line="171" w:lineRule="exact" w:before="0" w:after="0"/>
              <w:ind w:left="350" w:right="0" w:hanging="149"/>
              <w:jc w:val="left"/>
              <w:rPr>
                <w:sz w:val="15"/>
              </w:rPr>
            </w:pPr>
            <w:r>
              <w:rPr>
                <w:color w:val="231F20"/>
                <w:w w:val="105"/>
                <w:sz w:val="15"/>
              </w:rPr>
              <w:t>No</w:t>
            </w:r>
            <w:r>
              <w:rPr>
                <w:color w:val="231F20"/>
                <w:spacing w:val="-7"/>
                <w:w w:val="105"/>
                <w:sz w:val="15"/>
              </w:rPr>
              <w:t> </w:t>
            </w:r>
            <w:r>
              <w:rPr>
                <w:color w:val="231F20"/>
                <w:w w:val="105"/>
                <w:sz w:val="15"/>
              </w:rPr>
              <w:t>palpable</w:t>
            </w:r>
            <w:r>
              <w:rPr>
                <w:color w:val="231F20"/>
                <w:spacing w:val="-7"/>
                <w:w w:val="105"/>
                <w:sz w:val="15"/>
              </w:rPr>
              <w:t> </w:t>
            </w:r>
            <w:r>
              <w:rPr>
                <w:color w:val="231F20"/>
                <w:w w:val="105"/>
                <w:sz w:val="15"/>
              </w:rPr>
              <w:t>bony</w:t>
            </w:r>
            <w:r>
              <w:rPr>
                <w:color w:val="231F20"/>
                <w:spacing w:val="-6"/>
                <w:w w:val="105"/>
                <w:sz w:val="15"/>
              </w:rPr>
              <w:t> </w:t>
            </w:r>
            <w:r>
              <w:rPr>
                <w:color w:val="231F20"/>
                <w:spacing w:val="-2"/>
                <w:w w:val="105"/>
                <w:sz w:val="15"/>
              </w:rPr>
              <w:t>ridges</w:t>
            </w:r>
          </w:p>
        </w:tc>
        <w:tc>
          <w:tcPr>
            <w:tcW w:w="3082" w:type="dxa"/>
            <w:tcBorders>
              <w:top w:val="single" w:sz="4" w:space="0" w:color="FFFFFF"/>
              <w:bottom w:val="single" w:sz="4" w:space="0" w:color="FFFFFF"/>
            </w:tcBorders>
            <w:shd w:val="clear" w:color="auto" w:fill="E8F5F1"/>
          </w:tcPr>
          <w:p>
            <w:pPr>
              <w:pStyle w:val="TableParagraph"/>
              <w:numPr>
                <w:ilvl w:val="0"/>
                <w:numId w:val="26"/>
              </w:numPr>
              <w:tabs>
                <w:tab w:pos="350" w:val="left" w:leader="none"/>
              </w:tabs>
              <w:spacing w:line="171" w:lineRule="exact" w:before="42" w:after="0"/>
              <w:ind w:left="350" w:right="0" w:hanging="149"/>
              <w:jc w:val="left"/>
              <w:rPr>
                <w:sz w:val="15"/>
              </w:rPr>
            </w:pPr>
            <w:r>
              <w:rPr>
                <w:color w:val="231F20"/>
                <w:sz w:val="15"/>
              </w:rPr>
              <w:t>Can</w:t>
            </w:r>
            <w:r>
              <w:rPr>
                <w:color w:val="231F20"/>
                <w:spacing w:val="1"/>
                <w:sz w:val="15"/>
              </w:rPr>
              <w:t> </w:t>
            </w:r>
            <w:r>
              <w:rPr>
                <w:color w:val="231F20"/>
                <w:sz w:val="15"/>
              </w:rPr>
              <w:t>have</w:t>
            </w:r>
            <w:r>
              <w:rPr>
                <w:color w:val="231F20"/>
                <w:spacing w:val="2"/>
                <w:sz w:val="15"/>
              </w:rPr>
              <w:t> </w:t>
            </w:r>
            <w:r>
              <w:rPr>
                <w:color w:val="231F20"/>
                <w:sz w:val="15"/>
              </w:rPr>
              <w:t>abnormal</w:t>
            </w:r>
            <w:r>
              <w:rPr>
                <w:color w:val="231F20"/>
                <w:spacing w:val="2"/>
                <w:sz w:val="15"/>
              </w:rPr>
              <w:t> </w:t>
            </w:r>
            <w:r>
              <w:rPr>
                <w:color w:val="231F20"/>
                <w:sz w:val="15"/>
              </w:rPr>
              <w:t>head</w:t>
            </w:r>
            <w:r>
              <w:rPr>
                <w:color w:val="231F20"/>
                <w:spacing w:val="1"/>
                <w:sz w:val="15"/>
              </w:rPr>
              <w:t> </w:t>
            </w:r>
            <w:r>
              <w:rPr>
                <w:color w:val="231F20"/>
                <w:sz w:val="15"/>
              </w:rPr>
              <w:t>shape</w:t>
            </w:r>
            <w:r>
              <w:rPr>
                <w:color w:val="231F20"/>
                <w:spacing w:val="2"/>
                <w:sz w:val="15"/>
              </w:rPr>
              <w:t> </w:t>
            </w:r>
            <w:r>
              <w:rPr>
                <w:color w:val="231F20"/>
                <w:sz w:val="15"/>
              </w:rPr>
              <w:t>at</w:t>
            </w:r>
            <w:r>
              <w:rPr>
                <w:color w:val="231F20"/>
                <w:spacing w:val="2"/>
                <w:sz w:val="15"/>
              </w:rPr>
              <w:t> </w:t>
            </w:r>
            <w:r>
              <w:rPr>
                <w:color w:val="231F20"/>
                <w:spacing w:val="-2"/>
                <w:sz w:val="15"/>
              </w:rPr>
              <w:t>birth</w:t>
            </w:r>
          </w:p>
          <w:p>
            <w:pPr>
              <w:pStyle w:val="TableParagraph"/>
              <w:numPr>
                <w:ilvl w:val="0"/>
                <w:numId w:val="26"/>
              </w:numPr>
              <w:tabs>
                <w:tab w:pos="350" w:val="left" w:leader="none"/>
              </w:tabs>
              <w:spacing w:line="168" w:lineRule="exact" w:before="0" w:after="0"/>
              <w:ind w:left="350" w:right="0" w:hanging="149"/>
              <w:jc w:val="left"/>
              <w:rPr>
                <w:sz w:val="15"/>
              </w:rPr>
            </w:pPr>
            <w:r>
              <w:rPr>
                <w:color w:val="231F20"/>
                <w:sz w:val="15"/>
              </w:rPr>
              <w:t>Trapezoid shape to</w:t>
            </w:r>
            <w:r>
              <w:rPr>
                <w:color w:val="231F20"/>
                <w:spacing w:val="1"/>
                <w:sz w:val="15"/>
              </w:rPr>
              <w:t> </w:t>
            </w:r>
            <w:r>
              <w:rPr>
                <w:color w:val="231F20"/>
                <w:spacing w:val="-4"/>
                <w:sz w:val="15"/>
              </w:rPr>
              <w:t>head</w:t>
            </w:r>
          </w:p>
          <w:p>
            <w:pPr>
              <w:pStyle w:val="TableParagraph"/>
              <w:numPr>
                <w:ilvl w:val="0"/>
                <w:numId w:val="26"/>
              </w:numPr>
              <w:tabs>
                <w:tab w:pos="350" w:val="left" w:leader="none"/>
              </w:tabs>
              <w:spacing w:line="168" w:lineRule="exact" w:before="0" w:after="0"/>
              <w:ind w:left="350" w:right="0" w:hanging="149"/>
              <w:jc w:val="left"/>
              <w:rPr>
                <w:sz w:val="15"/>
              </w:rPr>
            </w:pPr>
            <w:r>
              <w:rPr>
                <w:color w:val="231F20"/>
                <w:spacing w:val="-2"/>
                <w:sz w:val="15"/>
              </w:rPr>
              <w:t>Ipsilateral</w:t>
            </w:r>
            <w:r>
              <w:rPr>
                <w:color w:val="231F20"/>
                <w:spacing w:val="-6"/>
                <w:sz w:val="15"/>
              </w:rPr>
              <w:t> </w:t>
            </w:r>
            <w:r>
              <w:rPr>
                <w:color w:val="231F20"/>
                <w:spacing w:val="-2"/>
                <w:sz w:val="15"/>
              </w:rPr>
              <w:t>ear</w:t>
            </w:r>
            <w:r>
              <w:rPr>
                <w:color w:val="231F20"/>
                <w:spacing w:val="-6"/>
                <w:sz w:val="15"/>
              </w:rPr>
              <w:t> </w:t>
            </w:r>
            <w:r>
              <w:rPr>
                <w:color w:val="231F20"/>
                <w:spacing w:val="-2"/>
                <w:sz w:val="15"/>
              </w:rPr>
              <w:t>posteriorly</w:t>
            </w:r>
            <w:r>
              <w:rPr>
                <w:color w:val="231F20"/>
                <w:spacing w:val="-6"/>
                <w:sz w:val="15"/>
              </w:rPr>
              <w:t> </w:t>
            </w:r>
            <w:r>
              <w:rPr>
                <w:color w:val="231F20"/>
                <w:spacing w:val="-2"/>
                <w:sz w:val="15"/>
              </w:rPr>
              <w:t>displaced</w:t>
            </w:r>
          </w:p>
          <w:p>
            <w:pPr>
              <w:pStyle w:val="TableParagraph"/>
              <w:numPr>
                <w:ilvl w:val="0"/>
                <w:numId w:val="26"/>
              </w:numPr>
              <w:tabs>
                <w:tab w:pos="350" w:val="left" w:leader="none"/>
              </w:tabs>
              <w:spacing w:line="171" w:lineRule="exact" w:before="0" w:after="0"/>
              <w:ind w:left="350" w:right="0" w:hanging="149"/>
              <w:jc w:val="left"/>
              <w:rPr>
                <w:sz w:val="15"/>
              </w:rPr>
            </w:pPr>
            <w:r>
              <w:rPr>
                <w:color w:val="231F20"/>
                <w:sz w:val="15"/>
              </w:rPr>
              <w:t>Palpable</w:t>
            </w:r>
            <w:r>
              <w:rPr>
                <w:color w:val="231F20"/>
                <w:spacing w:val="2"/>
                <w:sz w:val="15"/>
              </w:rPr>
              <w:t> </w:t>
            </w:r>
            <w:r>
              <w:rPr>
                <w:color w:val="231F20"/>
                <w:sz w:val="15"/>
              </w:rPr>
              <w:t>bony</w:t>
            </w:r>
            <w:r>
              <w:rPr>
                <w:color w:val="231F20"/>
                <w:spacing w:val="3"/>
                <w:sz w:val="15"/>
              </w:rPr>
              <w:t> </w:t>
            </w:r>
            <w:r>
              <w:rPr>
                <w:color w:val="231F20"/>
                <w:spacing w:val="-2"/>
                <w:sz w:val="15"/>
              </w:rPr>
              <w:t>ridges</w:t>
            </w:r>
          </w:p>
        </w:tc>
      </w:tr>
      <w:tr>
        <w:trPr>
          <w:trHeight w:val="583" w:hRule="atLeast"/>
        </w:trPr>
        <w:tc>
          <w:tcPr>
            <w:tcW w:w="2477" w:type="dxa"/>
            <w:gridSpan w:val="2"/>
            <w:tcBorders>
              <w:top w:val="single" w:sz="4" w:space="0" w:color="FFFFFF"/>
              <w:bottom w:val="single" w:sz="8" w:space="0" w:color="231F20"/>
            </w:tcBorders>
            <w:shd w:val="clear" w:color="auto" w:fill="E8F5F1"/>
          </w:tcPr>
          <w:p>
            <w:pPr>
              <w:pStyle w:val="TableParagraph"/>
              <w:spacing w:before="42"/>
              <w:ind w:left="104"/>
              <w:rPr>
                <w:sz w:val="15"/>
              </w:rPr>
            </w:pPr>
            <w:r>
              <w:rPr>
                <w:color w:val="231F20"/>
                <w:spacing w:val="-2"/>
                <w:w w:val="105"/>
                <w:sz w:val="15"/>
              </w:rPr>
              <w:t>Management</w:t>
            </w:r>
          </w:p>
        </w:tc>
        <w:tc>
          <w:tcPr>
            <w:tcW w:w="4210" w:type="dxa"/>
            <w:tcBorders>
              <w:top w:val="single" w:sz="4" w:space="0" w:color="FFFFFF"/>
              <w:bottom w:val="single" w:sz="8" w:space="0" w:color="231F20"/>
            </w:tcBorders>
            <w:shd w:val="clear" w:color="auto" w:fill="E8F5F1"/>
          </w:tcPr>
          <w:p>
            <w:pPr>
              <w:pStyle w:val="TableParagraph"/>
              <w:numPr>
                <w:ilvl w:val="0"/>
                <w:numId w:val="27"/>
              </w:numPr>
              <w:tabs>
                <w:tab w:pos="350" w:val="left" w:leader="none"/>
              </w:tabs>
              <w:spacing w:line="171" w:lineRule="exact" w:before="42" w:after="0"/>
              <w:ind w:left="350" w:right="0" w:hanging="149"/>
              <w:jc w:val="left"/>
              <w:rPr>
                <w:sz w:val="15"/>
              </w:rPr>
            </w:pPr>
            <w:r>
              <w:rPr>
                <w:color w:val="231F20"/>
                <w:spacing w:val="-2"/>
                <w:sz w:val="15"/>
              </w:rPr>
              <w:t>Repositioning</w:t>
            </w:r>
          </w:p>
          <w:p>
            <w:pPr>
              <w:pStyle w:val="TableParagraph"/>
              <w:numPr>
                <w:ilvl w:val="0"/>
                <w:numId w:val="27"/>
              </w:numPr>
              <w:tabs>
                <w:tab w:pos="350" w:val="left" w:leader="none"/>
              </w:tabs>
              <w:spacing w:line="168" w:lineRule="exact" w:before="0" w:after="0"/>
              <w:ind w:left="350" w:right="0" w:hanging="149"/>
              <w:jc w:val="left"/>
              <w:rPr>
                <w:sz w:val="15"/>
              </w:rPr>
            </w:pPr>
            <w:r>
              <w:rPr>
                <w:color w:val="231F20"/>
                <w:spacing w:val="-2"/>
                <w:sz w:val="15"/>
              </w:rPr>
              <w:t>Physical</w:t>
            </w:r>
            <w:r>
              <w:rPr>
                <w:color w:val="231F20"/>
                <w:spacing w:val="-5"/>
                <w:sz w:val="15"/>
              </w:rPr>
              <w:t> </w:t>
            </w:r>
            <w:r>
              <w:rPr>
                <w:color w:val="231F20"/>
                <w:spacing w:val="-2"/>
                <w:sz w:val="15"/>
              </w:rPr>
              <w:t>therapy</w:t>
            </w:r>
          </w:p>
          <w:p>
            <w:pPr>
              <w:pStyle w:val="TableParagraph"/>
              <w:numPr>
                <w:ilvl w:val="0"/>
                <w:numId w:val="27"/>
              </w:numPr>
              <w:tabs>
                <w:tab w:pos="350" w:val="left" w:leader="none"/>
              </w:tabs>
              <w:spacing w:line="171" w:lineRule="exact" w:before="0" w:after="0"/>
              <w:ind w:left="350" w:right="0" w:hanging="149"/>
              <w:jc w:val="left"/>
              <w:rPr>
                <w:sz w:val="15"/>
              </w:rPr>
            </w:pPr>
            <w:r>
              <w:rPr>
                <w:color w:val="231F20"/>
                <w:sz w:val="15"/>
              </w:rPr>
              <w:t>Helmet</w:t>
            </w:r>
            <w:r>
              <w:rPr>
                <w:color w:val="231F20"/>
                <w:spacing w:val="1"/>
                <w:sz w:val="15"/>
              </w:rPr>
              <w:t> </w:t>
            </w:r>
            <w:r>
              <w:rPr>
                <w:color w:val="231F20"/>
                <w:sz w:val="15"/>
              </w:rPr>
              <w:t>in</w:t>
            </w:r>
            <w:r>
              <w:rPr>
                <w:color w:val="231F20"/>
                <w:spacing w:val="2"/>
                <w:sz w:val="15"/>
              </w:rPr>
              <w:t> </w:t>
            </w:r>
            <w:r>
              <w:rPr>
                <w:color w:val="231F20"/>
                <w:sz w:val="15"/>
              </w:rPr>
              <w:t>some</w:t>
            </w:r>
            <w:r>
              <w:rPr>
                <w:color w:val="231F20"/>
                <w:spacing w:val="2"/>
                <w:sz w:val="15"/>
              </w:rPr>
              <w:t> </w:t>
            </w:r>
            <w:r>
              <w:rPr>
                <w:color w:val="231F20"/>
                <w:spacing w:val="-2"/>
                <w:sz w:val="15"/>
              </w:rPr>
              <w:t>cases</w:t>
            </w:r>
          </w:p>
        </w:tc>
        <w:tc>
          <w:tcPr>
            <w:tcW w:w="3082" w:type="dxa"/>
            <w:tcBorders>
              <w:top w:val="single" w:sz="4" w:space="0" w:color="FFFFFF"/>
              <w:bottom w:val="single" w:sz="8" w:space="0" w:color="231F20"/>
            </w:tcBorders>
            <w:shd w:val="clear" w:color="auto" w:fill="E8F5F1"/>
          </w:tcPr>
          <w:p>
            <w:pPr>
              <w:pStyle w:val="TableParagraph"/>
              <w:numPr>
                <w:ilvl w:val="0"/>
                <w:numId w:val="28"/>
              </w:numPr>
              <w:tabs>
                <w:tab w:pos="350" w:val="left" w:leader="none"/>
              </w:tabs>
              <w:spacing w:line="171" w:lineRule="exact" w:before="42" w:after="0"/>
              <w:ind w:left="350" w:right="0" w:hanging="149"/>
              <w:jc w:val="left"/>
              <w:rPr>
                <w:sz w:val="15"/>
              </w:rPr>
            </w:pPr>
            <w:r>
              <w:rPr>
                <w:color w:val="231F20"/>
                <w:spacing w:val="-2"/>
                <w:sz w:val="15"/>
              </w:rPr>
              <w:t>Surgery</w:t>
            </w:r>
          </w:p>
          <w:p>
            <w:pPr>
              <w:pStyle w:val="TableParagraph"/>
              <w:numPr>
                <w:ilvl w:val="0"/>
                <w:numId w:val="28"/>
              </w:numPr>
              <w:tabs>
                <w:tab w:pos="350" w:val="left" w:leader="none"/>
              </w:tabs>
              <w:spacing w:line="171" w:lineRule="exact" w:before="0" w:after="0"/>
              <w:ind w:left="350" w:right="0" w:hanging="149"/>
              <w:jc w:val="left"/>
              <w:rPr>
                <w:sz w:val="15"/>
              </w:rPr>
            </w:pPr>
            <w:r>
              <w:rPr>
                <w:color w:val="231F20"/>
                <w:sz w:val="15"/>
              </w:rPr>
              <w:t>Helmet</w:t>
            </w:r>
            <w:r>
              <w:rPr>
                <w:color w:val="231F20"/>
                <w:spacing w:val="1"/>
                <w:sz w:val="15"/>
              </w:rPr>
              <w:t> </w:t>
            </w:r>
            <w:r>
              <w:rPr>
                <w:color w:val="231F20"/>
                <w:sz w:val="15"/>
              </w:rPr>
              <w:t>in</w:t>
            </w:r>
            <w:r>
              <w:rPr>
                <w:color w:val="231F20"/>
                <w:spacing w:val="2"/>
                <w:sz w:val="15"/>
              </w:rPr>
              <w:t> </w:t>
            </w:r>
            <w:r>
              <w:rPr>
                <w:color w:val="231F20"/>
                <w:sz w:val="15"/>
              </w:rPr>
              <w:t>some</w:t>
            </w:r>
            <w:r>
              <w:rPr>
                <w:color w:val="231F20"/>
                <w:spacing w:val="2"/>
                <w:sz w:val="15"/>
              </w:rPr>
              <w:t> </w:t>
            </w:r>
            <w:r>
              <w:rPr>
                <w:color w:val="231F20"/>
                <w:spacing w:val="-2"/>
                <w:sz w:val="15"/>
              </w:rPr>
              <w:t>cases</w:t>
            </w:r>
          </w:p>
        </w:tc>
      </w:tr>
    </w:tbl>
    <w:p>
      <w:pPr>
        <w:spacing w:before="76"/>
        <w:ind w:left="486" w:right="0" w:firstLine="0"/>
        <w:jc w:val="left"/>
        <w:rPr>
          <w:i/>
          <w:sz w:val="13"/>
        </w:rPr>
      </w:pPr>
      <w:r>
        <w:rPr>
          <w:i/>
          <w:color w:val="231F20"/>
          <w:sz w:val="13"/>
        </w:rPr>
        <w:t>Adapted</w:t>
      </w:r>
      <w:r>
        <w:rPr>
          <w:i/>
          <w:color w:val="231F20"/>
          <w:spacing w:val="-4"/>
          <w:sz w:val="13"/>
        </w:rPr>
        <w:t> </w:t>
      </w:r>
      <w:r>
        <w:rPr>
          <w:i/>
          <w:color w:val="231F20"/>
          <w:sz w:val="13"/>
        </w:rPr>
        <w:t>from</w:t>
      </w:r>
      <w:r>
        <w:rPr>
          <w:i/>
          <w:color w:val="231F20"/>
          <w:spacing w:val="-4"/>
          <w:sz w:val="13"/>
        </w:rPr>
        <w:t> </w:t>
      </w:r>
      <w:r>
        <w:rPr>
          <w:i/>
          <w:color w:val="231F20"/>
          <w:sz w:val="13"/>
        </w:rPr>
        <w:t>Nield</w:t>
      </w:r>
      <w:r>
        <w:rPr>
          <w:i/>
          <w:color w:val="231F20"/>
          <w:spacing w:val="-4"/>
          <w:sz w:val="13"/>
        </w:rPr>
        <w:t> </w:t>
      </w:r>
      <w:r>
        <w:rPr>
          <w:i/>
          <w:color w:val="231F20"/>
          <w:sz w:val="13"/>
        </w:rPr>
        <w:t>LS,</w:t>
      </w:r>
      <w:r>
        <w:rPr>
          <w:i/>
          <w:color w:val="231F20"/>
          <w:spacing w:val="-4"/>
          <w:sz w:val="13"/>
        </w:rPr>
        <w:t> </w:t>
      </w:r>
      <w:r>
        <w:rPr>
          <w:i/>
          <w:color w:val="231F20"/>
          <w:sz w:val="13"/>
        </w:rPr>
        <w:t>Brunner</w:t>
      </w:r>
      <w:r>
        <w:rPr>
          <w:i/>
          <w:color w:val="231F20"/>
          <w:spacing w:val="-4"/>
          <w:sz w:val="13"/>
        </w:rPr>
        <w:t> </w:t>
      </w:r>
      <w:r>
        <w:rPr>
          <w:i/>
          <w:color w:val="231F20"/>
          <w:sz w:val="13"/>
        </w:rPr>
        <w:t>MD,</w:t>
      </w:r>
      <w:r>
        <w:rPr>
          <w:i/>
          <w:color w:val="231F20"/>
          <w:spacing w:val="-4"/>
          <w:sz w:val="13"/>
        </w:rPr>
        <w:t> </w:t>
      </w:r>
      <w:r>
        <w:rPr>
          <w:i/>
          <w:color w:val="231F20"/>
          <w:sz w:val="13"/>
        </w:rPr>
        <w:t>Kamat</w:t>
      </w:r>
      <w:r>
        <w:rPr>
          <w:i/>
          <w:color w:val="231F20"/>
          <w:spacing w:val="-4"/>
          <w:sz w:val="13"/>
        </w:rPr>
        <w:t> </w:t>
      </w:r>
      <w:r>
        <w:rPr>
          <w:i/>
          <w:color w:val="231F20"/>
          <w:sz w:val="13"/>
        </w:rPr>
        <w:t>D:</w:t>
      </w:r>
      <w:r>
        <w:rPr>
          <w:i/>
          <w:color w:val="231F20"/>
          <w:spacing w:val="-4"/>
          <w:sz w:val="13"/>
        </w:rPr>
        <w:t> </w:t>
      </w:r>
      <w:r>
        <w:rPr>
          <w:i/>
          <w:color w:val="231F20"/>
          <w:sz w:val="13"/>
        </w:rPr>
        <w:t>The</w:t>
      </w:r>
      <w:r>
        <w:rPr>
          <w:i/>
          <w:color w:val="231F20"/>
          <w:spacing w:val="-4"/>
          <w:sz w:val="13"/>
        </w:rPr>
        <w:t> </w:t>
      </w:r>
      <w:r>
        <w:rPr>
          <w:i/>
          <w:color w:val="231F20"/>
          <w:sz w:val="13"/>
        </w:rPr>
        <w:t>infant</w:t>
      </w:r>
      <w:r>
        <w:rPr>
          <w:i/>
          <w:color w:val="231F20"/>
          <w:spacing w:val="-4"/>
          <w:sz w:val="13"/>
        </w:rPr>
        <w:t> </w:t>
      </w:r>
      <w:r>
        <w:rPr>
          <w:i/>
          <w:color w:val="231F20"/>
          <w:sz w:val="13"/>
        </w:rPr>
        <w:t>with</w:t>
      </w:r>
      <w:r>
        <w:rPr>
          <w:i/>
          <w:color w:val="231F20"/>
          <w:spacing w:val="-4"/>
          <w:sz w:val="13"/>
        </w:rPr>
        <w:t> </w:t>
      </w:r>
      <w:r>
        <w:rPr>
          <w:i/>
          <w:color w:val="231F20"/>
          <w:sz w:val="13"/>
        </w:rPr>
        <w:t>a</w:t>
      </w:r>
      <w:r>
        <w:rPr>
          <w:i/>
          <w:color w:val="231F20"/>
          <w:spacing w:val="-4"/>
          <w:sz w:val="13"/>
        </w:rPr>
        <w:t> </w:t>
      </w:r>
      <w:r>
        <w:rPr>
          <w:i/>
          <w:color w:val="231F20"/>
          <w:sz w:val="13"/>
        </w:rPr>
        <w:t>misshapen</w:t>
      </w:r>
      <w:r>
        <w:rPr>
          <w:i/>
          <w:color w:val="231F20"/>
          <w:spacing w:val="-4"/>
          <w:sz w:val="13"/>
        </w:rPr>
        <w:t> </w:t>
      </w:r>
      <w:r>
        <w:rPr>
          <w:i/>
          <w:color w:val="231F20"/>
          <w:sz w:val="13"/>
        </w:rPr>
        <w:t>head.</w:t>
      </w:r>
      <w:r>
        <w:rPr>
          <w:i/>
          <w:color w:val="231F20"/>
          <w:spacing w:val="-4"/>
          <w:sz w:val="13"/>
        </w:rPr>
        <w:t> </w:t>
      </w:r>
      <w:r>
        <w:rPr>
          <w:color w:val="231F20"/>
          <w:sz w:val="13"/>
        </w:rPr>
        <w:t>Clin</w:t>
      </w:r>
      <w:r>
        <w:rPr>
          <w:color w:val="231F20"/>
          <w:spacing w:val="-4"/>
          <w:sz w:val="13"/>
        </w:rPr>
        <w:t> </w:t>
      </w:r>
      <w:r>
        <w:rPr>
          <w:color w:val="231F20"/>
          <w:sz w:val="13"/>
        </w:rPr>
        <w:t>Pediatr</w:t>
      </w:r>
      <w:r>
        <w:rPr>
          <w:color w:val="231F20"/>
          <w:spacing w:val="-4"/>
          <w:sz w:val="13"/>
        </w:rPr>
        <w:t> </w:t>
      </w:r>
      <w:r>
        <w:rPr>
          <w:color w:val="231F20"/>
          <w:sz w:val="13"/>
        </w:rPr>
        <w:t>(Phila)</w:t>
      </w:r>
      <w:r>
        <w:rPr>
          <w:color w:val="231F20"/>
          <w:spacing w:val="-4"/>
          <w:sz w:val="13"/>
        </w:rPr>
        <w:t> </w:t>
      </w:r>
      <w:r>
        <w:rPr>
          <w:i/>
          <w:color w:val="231F20"/>
          <w:sz w:val="13"/>
        </w:rPr>
        <w:t>46:292–298,</w:t>
      </w:r>
      <w:r>
        <w:rPr>
          <w:i/>
          <w:color w:val="231F20"/>
          <w:spacing w:val="-4"/>
          <w:sz w:val="13"/>
        </w:rPr>
        <w:t> </w:t>
      </w:r>
      <w:r>
        <w:rPr>
          <w:i/>
          <w:color w:val="231F20"/>
          <w:sz w:val="13"/>
        </w:rPr>
        <w:t>2007,</w:t>
      </w:r>
      <w:r>
        <w:rPr>
          <w:i/>
          <w:color w:val="231F20"/>
          <w:spacing w:val="-4"/>
          <w:sz w:val="13"/>
        </w:rPr>
        <w:t> </w:t>
      </w:r>
      <w:r>
        <w:rPr>
          <w:i/>
          <w:color w:val="231F20"/>
          <w:sz w:val="13"/>
        </w:rPr>
        <w:t>Tables</w:t>
      </w:r>
      <w:r>
        <w:rPr>
          <w:i/>
          <w:color w:val="231F20"/>
          <w:spacing w:val="-3"/>
          <w:sz w:val="13"/>
        </w:rPr>
        <w:t> </w:t>
      </w:r>
      <w:r>
        <w:rPr>
          <w:i/>
          <w:color w:val="231F20"/>
          <w:sz w:val="13"/>
        </w:rPr>
        <w:t>1</w:t>
      </w:r>
      <w:r>
        <w:rPr>
          <w:i/>
          <w:color w:val="231F20"/>
          <w:spacing w:val="-4"/>
          <w:sz w:val="13"/>
        </w:rPr>
        <w:t> </w:t>
      </w:r>
      <w:r>
        <w:rPr>
          <w:i/>
          <w:color w:val="231F20"/>
          <w:sz w:val="13"/>
        </w:rPr>
        <w:t>and</w:t>
      </w:r>
      <w:r>
        <w:rPr>
          <w:i/>
          <w:color w:val="231F20"/>
          <w:spacing w:val="-4"/>
          <w:sz w:val="13"/>
        </w:rPr>
        <w:t> </w:t>
      </w:r>
      <w:r>
        <w:rPr>
          <w:i/>
          <w:color w:val="231F20"/>
          <w:spacing w:val="-5"/>
          <w:sz w:val="13"/>
        </w:rPr>
        <w:t>2.</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214" name="Group 214"/>
                <wp:cNvGraphicFramePr>
                  <a:graphicFrameLocks/>
                </wp:cNvGraphicFramePr>
                <a:graphic>
                  <a:graphicData uri="http://schemas.microsoft.com/office/word/2010/wordprocessingGroup">
                    <wpg:wgp>
                      <wpg:cNvPr id="214" name="Group 214"/>
                      <wpg:cNvGrpSpPr/>
                      <wpg:grpSpPr>
                        <a:xfrm>
                          <a:off x="0" y="0"/>
                          <a:ext cx="6185535" cy="170815"/>
                          <a:chExt cx="6185535" cy="170815"/>
                        </a:xfrm>
                      </wpg:grpSpPr>
                      <wps:wsp>
                        <wps:cNvPr id="215" name="Graphic 215"/>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216" name="Graphic 216"/>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217" name="Textbox 217"/>
                        <wps:cNvSpPr txBox="1"/>
                        <wps:spPr>
                          <a:xfrm>
                            <a:off x="0" y="0"/>
                            <a:ext cx="6185535" cy="170815"/>
                          </a:xfrm>
                          <a:prstGeom prst="rect">
                            <a:avLst/>
                          </a:prstGeom>
                        </wps:spPr>
                        <wps:txbx>
                          <w:txbxContent>
                            <w:p>
                              <w:pPr>
                                <w:spacing w:before="6"/>
                                <w:ind w:left="5264" w:right="0" w:firstLine="0"/>
                                <w:jc w:val="left"/>
                                <w:rPr>
                                  <w:b/>
                                  <w:sz w:val="18"/>
                                </w:rPr>
                              </w:pPr>
                              <w:r>
                                <w:rPr>
                                  <w:b/>
                                  <w:color w:val="007431"/>
                                  <w:sz w:val="18"/>
                                </w:rPr>
                                <w:t>Chapter</w:t>
                              </w:r>
                              <w:r>
                                <w:rPr>
                                  <w:b/>
                                  <w:color w:val="007431"/>
                                  <w:spacing w:val="28"/>
                                  <w:sz w:val="18"/>
                                </w:rPr>
                                <w:t> </w:t>
                              </w:r>
                              <w:r>
                                <w:rPr>
                                  <w:b/>
                                  <w:color w:val="007431"/>
                                  <w:sz w:val="18"/>
                                </w:rPr>
                                <w:t>592</w:t>
                              </w:r>
                              <w:r>
                                <w:rPr>
                                  <w:b/>
                                  <w:color w:val="007431"/>
                                  <w:spacing w:val="62"/>
                                  <w:sz w:val="18"/>
                                </w:rPr>
                                <w:t> </w:t>
                              </w:r>
                              <w:r>
                                <w:rPr>
                                  <w:rFonts w:ascii="MS Gothic" w:hAnsi="MS Gothic"/>
                                  <w:color w:val="659F6F"/>
                                  <w:sz w:val="15"/>
                                </w:rPr>
                                <w:t>◆</w:t>
                              </w:r>
                              <w:r>
                                <w:rPr>
                                  <w:rFonts w:ascii="MS Gothic" w:hAnsi="MS Gothic"/>
                                  <w:color w:val="659F6F"/>
                                  <w:spacing w:val="41"/>
                                  <w:sz w:val="15"/>
                                </w:rPr>
                                <w:t> </w:t>
                              </w:r>
                              <w:r>
                                <w:rPr>
                                  <w:color w:val="231F20"/>
                                  <w:sz w:val="18"/>
                                </w:rPr>
                                <w:t>Deformational</w:t>
                              </w:r>
                              <w:r>
                                <w:rPr>
                                  <w:color w:val="231F20"/>
                                  <w:spacing w:val="24"/>
                                  <w:sz w:val="18"/>
                                </w:rPr>
                                <w:t> </w:t>
                              </w:r>
                              <w:r>
                                <w:rPr>
                                  <w:color w:val="231F20"/>
                                  <w:sz w:val="18"/>
                                </w:rPr>
                                <w:t>Plagiocephaly</w:t>
                              </w:r>
                              <w:r>
                                <w:rPr>
                                  <w:color w:val="231F20"/>
                                  <w:spacing w:val="61"/>
                                  <w:sz w:val="18"/>
                                </w:rPr>
                                <w:t>  </w:t>
                              </w:r>
                              <w:r>
                                <w:rPr>
                                  <w:b/>
                                  <w:color w:val="231F20"/>
                                  <w:spacing w:val="-4"/>
                                  <w:sz w:val="18"/>
                                </w:rPr>
                                <w:t>2821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66"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167" filled="false" stroked="false">
                  <v:textbox inset="0,0,0,0">
                    <w:txbxContent>
                      <w:p>
                        <w:pPr>
                          <w:spacing w:before="6"/>
                          <w:ind w:left="5264" w:right="0" w:firstLine="0"/>
                          <w:jc w:val="left"/>
                          <w:rPr>
                            <w:b/>
                            <w:sz w:val="18"/>
                          </w:rPr>
                        </w:pPr>
                        <w:r>
                          <w:rPr>
                            <w:b/>
                            <w:color w:val="007431"/>
                            <w:sz w:val="18"/>
                          </w:rPr>
                          <w:t>Chapter</w:t>
                        </w:r>
                        <w:r>
                          <w:rPr>
                            <w:b/>
                            <w:color w:val="007431"/>
                            <w:spacing w:val="28"/>
                            <w:sz w:val="18"/>
                          </w:rPr>
                          <w:t> </w:t>
                        </w:r>
                        <w:r>
                          <w:rPr>
                            <w:b/>
                            <w:color w:val="007431"/>
                            <w:sz w:val="18"/>
                          </w:rPr>
                          <w:t>592</w:t>
                        </w:r>
                        <w:r>
                          <w:rPr>
                            <w:b/>
                            <w:color w:val="007431"/>
                            <w:spacing w:val="62"/>
                            <w:sz w:val="18"/>
                          </w:rPr>
                          <w:t> </w:t>
                        </w:r>
                        <w:r>
                          <w:rPr>
                            <w:rFonts w:ascii="MS Gothic" w:hAnsi="MS Gothic"/>
                            <w:color w:val="659F6F"/>
                            <w:sz w:val="15"/>
                          </w:rPr>
                          <w:t>◆</w:t>
                        </w:r>
                        <w:r>
                          <w:rPr>
                            <w:rFonts w:ascii="MS Gothic" w:hAnsi="MS Gothic"/>
                            <w:color w:val="659F6F"/>
                            <w:spacing w:val="41"/>
                            <w:sz w:val="15"/>
                          </w:rPr>
                          <w:t> </w:t>
                        </w:r>
                        <w:r>
                          <w:rPr>
                            <w:color w:val="231F20"/>
                            <w:sz w:val="18"/>
                          </w:rPr>
                          <w:t>Deformational</w:t>
                        </w:r>
                        <w:r>
                          <w:rPr>
                            <w:color w:val="231F20"/>
                            <w:spacing w:val="24"/>
                            <w:sz w:val="18"/>
                          </w:rPr>
                          <w:t> </w:t>
                        </w:r>
                        <w:r>
                          <w:rPr>
                            <w:color w:val="231F20"/>
                            <w:sz w:val="18"/>
                          </w:rPr>
                          <w:t>Plagiocephaly</w:t>
                        </w:r>
                        <w:r>
                          <w:rPr>
                            <w:color w:val="231F20"/>
                            <w:spacing w:val="61"/>
                            <w:sz w:val="18"/>
                          </w:rPr>
                          <w:t>  </w:t>
                        </w:r>
                        <w:r>
                          <w:rPr>
                            <w:b/>
                            <w:color w:val="231F20"/>
                            <w:spacing w:val="-4"/>
                            <w:sz w:val="18"/>
                          </w:rPr>
                          <w:t>2821</w:t>
                        </w:r>
                      </w:p>
                    </w:txbxContent>
                  </v:textbox>
                  <w10:wrap type="none"/>
                </v:shape>
              </v:group>
            </w:pict>
          </mc:Fallback>
        </mc:AlternateContent>
      </w:r>
      <w:r>
        <w:rPr>
          <w:sz w:val="20"/>
        </w:rPr>
      </w:r>
    </w:p>
    <w:p>
      <w:pPr>
        <w:pStyle w:val="BodyText"/>
        <w:spacing w:before="8"/>
        <w:rPr>
          <w:i/>
          <w:sz w:val="15"/>
        </w:rPr>
      </w:pPr>
    </w:p>
    <w:p>
      <w:pPr>
        <w:pStyle w:val="Heading6"/>
        <w:tabs>
          <w:tab w:pos="7880" w:val="left" w:leader="none"/>
        </w:tabs>
        <w:ind w:left="5084"/>
        <w:rPr>
          <w:rFonts w:ascii="Arial MT"/>
        </w:rPr>
      </w:pPr>
      <w:r>
        <w:rPr>
          <w:rFonts w:ascii="Arial MT"/>
        </w:rPr>
        <mc:AlternateContent>
          <mc:Choice Requires="wps">
            <w:drawing>
              <wp:anchor distT="0" distB="0" distL="0" distR="0" allowOverlap="1" layoutInCell="1" locked="0" behindDoc="1" simplePos="0" relativeHeight="475171328">
                <wp:simplePos x="0" y="0"/>
                <wp:positionH relativeFrom="page">
                  <wp:posOffset>3042866</wp:posOffset>
                </wp:positionH>
                <wp:positionV relativeFrom="paragraph">
                  <wp:posOffset>179607</wp:posOffset>
                </wp:positionV>
                <wp:extent cx="1717039" cy="203263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1717039" cy="2032635"/>
                          <a:chExt cx="1717039" cy="2032635"/>
                        </a:xfrm>
                      </wpg:grpSpPr>
                      <pic:pic>
                        <pic:nvPicPr>
                          <pic:cNvPr id="219" name="Image 219"/>
                          <pic:cNvPicPr/>
                        </pic:nvPicPr>
                        <pic:blipFill>
                          <a:blip r:embed="rId9" cstate="print"/>
                          <a:stretch>
                            <a:fillRect/>
                          </a:stretch>
                        </pic:blipFill>
                        <pic:spPr>
                          <a:xfrm>
                            <a:off x="1505373" y="684788"/>
                            <a:ext cx="205423" cy="456968"/>
                          </a:xfrm>
                          <a:prstGeom prst="rect">
                            <a:avLst/>
                          </a:prstGeom>
                        </pic:spPr>
                      </pic:pic>
                      <wps:wsp>
                        <wps:cNvPr id="220" name="Graphic 220"/>
                        <wps:cNvSpPr/>
                        <wps:spPr>
                          <a:xfrm>
                            <a:off x="1505341" y="687346"/>
                            <a:ext cx="205740" cy="454659"/>
                          </a:xfrm>
                          <a:custGeom>
                            <a:avLst/>
                            <a:gdLst/>
                            <a:ahLst/>
                            <a:cxnLst/>
                            <a:rect l="l" t="t" r="r" b="b"/>
                            <a:pathLst>
                              <a:path w="205740" h="454659">
                                <a:moveTo>
                                  <a:pt x="22822" y="1285"/>
                                </a:moveTo>
                                <a:lnTo>
                                  <a:pt x="39503" y="20590"/>
                                </a:lnTo>
                                <a:lnTo>
                                  <a:pt x="59393" y="40471"/>
                                </a:lnTo>
                                <a:lnTo>
                                  <a:pt x="74322" y="64075"/>
                                </a:lnTo>
                                <a:lnTo>
                                  <a:pt x="76120" y="94550"/>
                                </a:lnTo>
                                <a:lnTo>
                                  <a:pt x="77931" y="132824"/>
                                </a:lnTo>
                                <a:lnTo>
                                  <a:pt x="91149" y="183351"/>
                                </a:lnTo>
                                <a:lnTo>
                                  <a:pt x="110177" y="230283"/>
                                </a:lnTo>
                                <a:lnTo>
                                  <a:pt x="129418" y="257773"/>
                                </a:lnTo>
                                <a:lnTo>
                                  <a:pt x="145339" y="274002"/>
                                </a:lnTo>
                                <a:lnTo>
                                  <a:pt x="156893" y="295236"/>
                                </a:lnTo>
                                <a:lnTo>
                                  <a:pt x="162204" y="317724"/>
                                </a:lnTo>
                                <a:lnTo>
                                  <a:pt x="159396" y="337719"/>
                                </a:lnTo>
                                <a:lnTo>
                                  <a:pt x="164826" y="345807"/>
                                </a:lnTo>
                                <a:lnTo>
                                  <a:pt x="175080" y="359378"/>
                                </a:lnTo>
                                <a:lnTo>
                                  <a:pt x="188598" y="377355"/>
                                </a:lnTo>
                                <a:lnTo>
                                  <a:pt x="203819" y="398660"/>
                                </a:lnTo>
                                <a:lnTo>
                                  <a:pt x="205457" y="422134"/>
                                </a:lnTo>
                                <a:lnTo>
                                  <a:pt x="187600" y="443772"/>
                                </a:lnTo>
                                <a:lnTo>
                                  <a:pt x="160078" y="454414"/>
                                </a:lnTo>
                                <a:lnTo>
                                  <a:pt x="132724" y="444895"/>
                                </a:lnTo>
                                <a:lnTo>
                                  <a:pt x="119481" y="429285"/>
                                </a:lnTo>
                                <a:lnTo>
                                  <a:pt x="104120" y="407952"/>
                                </a:lnTo>
                                <a:lnTo>
                                  <a:pt x="91406" y="389121"/>
                                </a:lnTo>
                                <a:lnTo>
                                  <a:pt x="86109" y="381016"/>
                                </a:lnTo>
                                <a:lnTo>
                                  <a:pt x="77471" y="382313"/>
                                </a:lnTo>
                                <a:lnTo>
                                  <a:pt x="32716" y="371163"/>
                                </a:lnTo>
                                <a:lnTo>
                                  <a:pt x="7034" y="318015"/>
                                </a:lnTo>
                                <a:lnTo>
                                  <a:pt x="2962" y="275928"/>
                                </a:lnTo>
                                <a:lnTo>
                                  <a:pt x="617" y="223588"/>
                                </a:lnTo>
                                <a:lnTo>
                                  <a:pt x="0" y="166478"/>
                                </a:lnTo>
                                <a:lnTo>
                                  <a:pt x="1109" y="110081"/>
                                </a:lnTo>
                                <a:lnTo>
                                  <a:pt x="3947" y="59880"/>
                                </a:lnTo>
                                <a:lnTo>
                                  <a:pt x="8511" y="21359"/>
                                </a:lnTo>
                                <a:lnTo>
                                  <a:pt x="14803" y="0"/>
                                </a:lnTo>
                                <a:lnTo>
                                  <a:pt x="22822" y="1285"/>
                                </a:lnTo>
                                <a:close/>
                              </a:path>
                            </a:pathLst>
                          </a:custGeom>
                          <a:ln w="11849">
                            <a:solidFill>
                              <a:srgbClr val="231F20"/>
                            </a:solidFill>
                            <a:prstDash val="solid"/>
                          </a:ln>
                        </wps:spPr>
                        <wps:bodyPr wrap="square" lIns="0" tIns="0" rIns="0" bIns="0" rtlCol="0">
                          <a:prstTxWarp prst="textNoShape">
                            <a:avLst/>
                          </a:prstTxWarp>
                          <a:noAutofit/>
                        </wps:bodyPr>
                      </wps:wsp>
                      <pic:pic>
                        <pic:nvPicPr>
                          <pic:cNvPr id="221" name="Image 221"/>
                          <pic:cNvPicPr/>
                        </pic:nvPicPr>
                        <pic:blipFill>
                          <a:blip r:embed="rId10" cstate="print"/>
                          <a:stretch>
                            <a:fillRect/>
                          </a:stretch>
                        </pic:blipFill>
                        <pic:spPr>
                          <a:xfrm>
                            <a:off x="5921" y="1217210"/>
                            <a:ext cx="184045" cy="436728"/>
                          </a:xfrm>
                          <a:prstGeom prst="rect">
                            <a:avLst/>
                          </a:prstGeom>
                        </pic:spPr>
                      </pic:pic>
                      <wps:wsp>
                        <wps:cNvPr id="222" name="Graphic 222"/>
                        <wps:cNvSpPr/>
                        <wps:spPr>
                          <a:xfrm>
                            <a:off x="5924" y="1219151"/>
                            <a:ext cx="184150" cy="434975"/>
                          </a:xfrm>
                          <a:custGeom>
                            <a:avLst/>
                            <a:gdLst/>
                            <a:ahLst/>
                            <a:cxnLst/>
                            <a:rect l="l" t="t" r="r" b="b"/>
                            <a:pathLst>
                              <a:path w="184150" h="434975">
                                <a:moveTo>
                                  <a:pt x="149892" y="2409"/>
                                </a:moveTo>
                                <a:lnTo>
                                  <a:pt x="133848" y="25518"/>
                                </a:lnTo>
                                <a:lnTo>
                                  <a:pt x="117957" y="51361"/>
                                </a:lnTo>
                                <a:lnTo>
                                  <a:pt x="106373" y="81048"/>
                                </a:lnTo>
                                <a:lnTo>
                                  <a:pt x="103253" y="115687"/>
                                </a:lnTo>
                                <a:lnTo>
                                  <a:pt x="97533" y="157207"/>
                                </a:lnTo>
                                <a:lnTo>
                                  <a:pt x="79943" y="203105"/>
                                </a:lnTo>
                                <a:lnTo>
                                  <a:pt x="57354" y="247757"/>
                                </a:lnTo>
                                <a:lnTo>
                                  <a:pt x="36637" y="285545"/>
                                </a:lnTo>
                                <a:lnTo>
                                  <a:pt x="21950" y="316406"/>
                                </a:lnTo>
                                <a:lnTo>
                                  <a:pt x="11898" y="343409"/>
                                </a:lnTo>
                                <a:lnTo>
                                  <a:pt x="5056" y="365629"/>
                                </a:lnTo>
                                <a:lnTo>
                                  <a:pt x="0" y="382140"/>
                                </a:lnTo>
                                <a:lnTo>
                                  <a:pt x="2081" y="412247"/>
                                </a:lnTo>
                                <a:lnTo>
                                  <a:pt x="24113" y="431752"/>
                                </a:lnTo>
                                <a:lnTo>
                                  <a:pt x="54907" y="434781"/>
                                </a:lnTo>
                                <a:lnTo>
                                  <a:pt x="83276" y="415460"/>
                                </a:lnTo>
                                <a:lnTo>
                                  <a:pt x="105706" y="402703"/>
                                </a:lnTo>
                                <a:lnTo>
                                  <a:pt x="149317" y="393440"/>
                                </a:lnTo>
                                <a:lnTo>
                                  <a:pt x="176697" y="359637"/>
                                </a:lnTo>
                                <a:lnTo>
                                  <a:pt x="183613" y="274845"/>
                                </a:lnTo>
                                <a:lnTo>
                                  <a:pt x="183953" y="218979"/>
                                </a:lnTo>
                                <a:lnTo>
                                  <a:pt x="182375" y="160634"/>
                                </a:lnTo>
                                <a:lnTo>
                                  <a:pt x="178997" y="104687"/>
                                </a:lnTo>
                                <a:lnTo>
                                  <a:pt x="173940" y="56015"/>
                                </a:lnTo>
                                <a:lnTo>
                                  <a:pt x="167324" y="19494"/>
                                </a:lnTo>
                                <a:lnTo>
                                  <a:pt x="159268" y="0"/>
                                </a:lnTo>
                                <a:lnTo>
                                  <a:pt x="149892" y="2409"/>
                                </a:lnTo>
                                <a:close/>
                              </a:path>
                            </a:pathLst>
                          </a:custGeom>
                          <a:ln w="11849">
                            <a:solidFill>
                              <a:srgbClr val="231F20"/>
                            </a:solidFill>
                            <a:prstDash val="solid"/>
                          </a:ln>
                        </wps:spPr>
                        <wps:bodyPr wrap="square" lIns="0" tIns="0" rIns="0" bIns="0" rtlCol="0">
                          <a:prstTxWarp prst="textNoShape">
                            <a:avLst/>
                          </a:prstTxWarp>
                          <a:noAutofit/>
                        </wps:bodyPr>
                      </wps:wsp>
                      <pic:pic>
                        <pic:nvPicPr>
                          <pic:cNvPr id="223" name="Image 223"/>
                          <pic:cNvPicPr/>
                        </pic:nvPicPr>
                        <pic:blipFill>
                          <a:blip r:embed="rId11" cstate="print"/>
                          <a:stretch>
                            <a:fillRect/>
                          </a:stretch>
                        </pic:blipFill>
                        <pic:spPr>
                          <a:xfrm>
                            <a:off x="275732" y="5185"/>
                            <a:ext cx="1244104" cy="558533"/>
                          </a:xfrm>
                          <a:prstGeom prst="rect">
                            <a:avLst/>
                          </a:prstGeom>
                        </pic:spPr>
                      </pic:pic>
                      <pic:pic>
                        <pic:nvPicPr>
                          <pic:cNvPr id="224" name="Image 224"/>
                          <pic:cNvPicPr/>
                        </pic:nvPicPr>
                        <pic:blipFill>
                          <a:blip r:embed="rId12" cstate="print"/>
                          <a:stretch>
                            <a:fillRect/>
                          </a:stretch>
                        </pic:blipFill>
                        <pic:spPr>
                          <a:xfrm>
                            <a:off x="28141" y="0"/>
                            <a:ext cx="1641040" cy="1955347"/>
                          </a:xfrm>
                          <a:prstGeom prst="rect">
                            <a:avLst/>
                          </a:prstGeom>
                        </pic:spPr>
                      </pic:pic>
                      <pic:pic>
                        <pic:nvPicPr>
                          <pic:cNvPr id="225" name="Image 225"/>
                          <pic:cNvPicPr/>
                        </pic:nvPicPr>
                        <pic:blipFill>
                          <a:blip r:embed="rId13" cstate="print"/>
                          <a:stretch>
                            <a:fillRect/>
                          </a:stretch>
                        </pic:blipFill>
                        <pic:spPr>
                          <a:xfrm>
                            <a:off x="208333" y="1684849"/>
                            <a:ext cx="139700" cy="165100"/>
                          </a:xfrm>
                          <a:prstGeom prst="rect">
                            <a:avLst/>
                          </a:prstGeom>
                        </pic:spPr>
                      </pic:pic>
                      <pic:pic>
                        <pic:nvPicPr>
                          <pic:cNvPr id="226" name="Image 226"/>
                          <pic:cNvPicPr/>
                        </pic:nvPicPr>
                        <pic:blipFill>
                          <a:blip r:embed="rId14" cstate="print"/>
                          <a:stretch>
                            <a:fillRect/>
                          </a:stretch>
                        </pic:blipFill>
                        <pic:spPr>
                          <a:xfrm>
                            <a:off x="157533" y="1608649"/>
                            <a:ext cx="139700" cy="152400"/>
                          </a:xfrm>
                          <a:prstGeom prst="rect">
                            <a:avLst/>
                          </a:prstGeom>
                        </pic:spPr>
                      </pic:pic>
                      <pic:pic>
                        <pic:nvPicPr>
                          <pic:cNvPr id="227" name="Image 227"/>
                          <pic:cNvPicPr/>
                        </pic:nvPicPr>
                        <pic:blipFill>
                          <a:blip r:embed="rId15" cstate="print"/>
                          <a:stretch>
                            <a:fillRect/>
                          </a:stretch>
                        </pic:blipFill>
                        <pic:spPr>
                          <a:xfrm>
                            <a:off x="284533" y="1748349"/>
                            <a:ext cx="139700" cy="139700"/>
                          </a:xfrm>
                          <a:prstGeom prst="rect">
                            <a:avLst/>
                          </a:prstGeom>
                        </pic:spPr>
                      </pic:pic>
                      <pic:pic>
                        <pic:nvPicPr>
                          <pic:cNvPr id="228" name="Image 228"/>
                          <pic:cNvPicPr/>
                        </pic:nvPicPr>
                        <pic:blipFill>
                          <a:blip r:embed="rId16" cstate="print"/>
                          <a:stretch>
                            <a:fillRect/>
                          </a:stretch>
                        </pic:blipFill>
                        <pic:spPr>
                          <a:xfrm>
                            <a:off x="246433" y="1659449"/>
                            <a:ext cx="127000" cy="139700"/>
                          </a:xfrm>
                          <a:prstGeom prst="rect">
                            <a:avLst/>
                          </a:prstGeom>
                        </pic:spPr>
                      </pic:pic>
                      <pic:pic>
                        <pic:nvPicPr>
                          <pic:cNvPr id="229" name="Image 229"/>
                          <pic:cNvPicPr/>
                        </pic:nvPicPr>
                        <pic:blipFill>
                          <a:blip r:embed="rId17" cstate="print"/>
                          <a:stretch>
                            <a:fillRect/>
                          </a:stretch>
                        </pic:blipFill>
                        <pic:spPr>
                          <a:xfrm>
                            <a:off x="360733" y="1786449"/>
                            <a:ext cx="177800" cy="152400"/>
                          </a:xfrm>
                          <a:prstGeom prst="rect">
                            <a:avLst/>
                          </a:prstGeom>
                        </pic:spPr>
                      </pic:pic>
                      <pic:pic>
                        <pic:nvPicPr>
                          <pic:cNvPr id="230" name="Image 230"/>
                          <pic:cNvPicPr/>
                        </pic:nvPicPr>
                        <pic:blipFill>
                          <a:blip r:embed="rId18" cstate="print"/>
                          <a:stretch>
                            <a:fillRect/>
                          </a:stretch>
                        </pic:blipFill>
                        <pic:spPr>
                          <a:xfrm>
                            <a:off x="335333" y="1697549"/>
                            <a:ext cx="165100" cy="139700"/>
                          </a:xfrm>
                          <a:prstGeom prst="rect">
                            <a:avLst/>
                          </a:prstGeom>
                        </pic:spPr>
                      </pic:pic>
                      <pic:pic>
                        <pic:nvPicPr>
                          <pic:cNvPr id="231" name="Image 231"/>
                          <pic:cNvPicPr/>
                        </pic:nvPicPr>
                        <pic:blipFill>
                          <a:blip r:embed="rId19" cstate="print"/>
                          <a:stretch>
                            <a:fillRect/>
                          </a:stretch>
                        </pic:blipFill>
                        <pic:spPr>
                          <a:xfrm>
                            <a:off x="487733" y="1824549"/>
                            <a:ext cx="127000" cy="118097"/>
                          </a:xfrm>
                          <a:prstGeom prst="rect">
                            <a:avLst/>
                          </a:prstGeom>
                        </pic:spPr>
                      </pic:pic>
                      <pic:pic>
                        <pic:nvPicPr>
                          <pic:cNvPr id="232" name="Image 232"/>
                          <pic:cNvPicPr/>
                        </pic:nvPicPr>
                        <pic:blipFill>
                          <a:blip r:embed="rId20" cstate="print"/>
                          <a:stretch>
                            <a:fillRect/>
                          </a:stretch>
                        </pic:blipFill>
                        <pic:spPr>
                          <a:xfrm>
                            <a:off x="475033" y="1722949"/>
                            <a:ext cx="127000" cy="127000"/>
                          </a:xfrm>
                          <a:prstGeom prst="rect">
                            <a:avLst/>
                          </a:prstGeom>
                        </pic:spPr>
                      </pic:pic>
                      <pic:pic>
                        <pic:nvPicPr>
                          <pic:cNvPr id="233" name="Image 233"/>
                          <pic:cNvPicPr/>
                        </pic:nvPicPr>
                        <pic:blipFill>
                          <a:blip r:embed="rId21" cstate="print"/>
                          <a:stretch>
                            <a:fillRect/>
                          </a:stretch>
                        </pic:blipFill>
                        <pic:spPr>
                          <a:xfrm>
                            <a:off x="589333" y="1824549"/>
                            <a:ext cx="114300" cy="118097"/>
                          </a:xfrm>
                          <a:prstGeom prst="rect">
                            <a:avLst/>
                          </a:prstGeom>
                        </pic:spPr>
                      </pic:pic>
                      <pic:pic>
                        <pic:nvPicPr>
                          <pic:cNvPr id="234" name="Image 234"/>
                          <pic:cNvPicPr/>
                        </pic:nvPicPr>
                        <pic:blipFill>
                          <a:blip r:embed="rId22" cstate="print"/>
                          <a:stretch>
                            <a:fillRect/>
                          </a:stretch>
                        </pic:blipFill>
                        <pic:spPr>
                          <a:xfrm>
                            <a:off x="576633" y="1710249"/>
                            <a:ext cx="114300" cy="139700"/>
                          </a:xfrm>
                          <a:prstGeom prst="rect">
                            <a:avLst/>
                          </a:prstGeom>
                        </pic:spPr>
                      </pic:pic>
                      <pic:pic>
                        <pic:nvPicPr>
                          <pic:cNvPr id="235" name="Image 235"/>
                          <pic:cNvPicPr/>
                        </pic:nvPicPr>
                        <pic:blipFill>
                          <a:blip r:embed="rId23" cstate="print"/>
                          <a:stretch>
                            <a:fillRect/>
                          </a:stretch>
                        </pic:blipFill>
                        <pic:spPr>
                          <a:xfrm>
                            <a:off x="678233" y="1786449"/>
                            <a:ext cx="165100" cy="152400"/>
                          </a:xfrm>
                          <a:prstGeom prst="rect">
                            <a:avLst/>
                          </a:prstGeom>
                        </pic:spPr>
                      </pic:pic>
                      <pic:pic>
                        <pic:nvPicPr>
                          <pic:cNvPr id="236" name="Image 236"/>
                          <pic:cNvPicPr/>
                        </pic:nvPicPr>
                        <pic:blipFill>
                          <a:blip r:embed="rId24" cstate="print"/>
                          <a:stretch>
                            <a:fillRect/>
                          </a:stretch>
                        </pic:blipFill>
                        <pic:spPr>
                          <a:xfrm>
                            <a:off x="678233" y="1659449"/>
                            <a:ext cx="203200" cy="177800"/>
                          </a:xfrm>
                          <a:prstGeom prst="rect">
                            <a:avLst/>
                          </a:prstGeom>
                        </pic:spPr>
                      </pic:pic>
                      <pic:pic>
                        <pic:nvPicPr>
                          <pic:cNvPr id="237" name="Image 237"/>
                          <pic:cNvPicPr/>
                        </pic:nvPicPr>
                        <pic:blipFill>
                          <a:blip r:embed="rId25" cstate="print"/>
                          <a:stretch>
                            <a:fillRect/>
                          </a:stretch>
                        </pic:blipFill>
                        <pic:spPr>
                          <a:xfrm>
                            <a:off x="792533" y="1710249"/>
                            <a:ext cx="254000" cy="203200"/>
                          </a:xfrm>
                          <a:prstGeom prst="rect">
                            <a:avLst/>
                          </a:prstGeom>
                        </pic:spPr>
                      </pic:pic>
                      <pic:pic>
                        <pic:nvPicPr>
                          <pic:cNvPr id="238" name="Image 238"/>
                          <pic:cNvPicPr/>
                        </pic:nvPicPr>
                        <pic:blipFill>
                          <a:blip r:embed="rId26" cstate="print"/>
                          <a:stretch>
                            <a:fillRect/>
                          </a:stretch>
                        </pic:blipFill>
                        <pic:spPr>
                          <a:xfrm>
                            <a:off x="830633" y="1608649"/>
                            <a:ext cx="228600" cy="190500"/>
                          </a:xfrm>
                          <a:prstGeom prst="rect">
                            <a:avLst/>
                          </a:prstGeom>
                        </pic:spPr>
                      </pic:pic>
                      <pic:pic>
                        <pic:nvPicPr>
                          <pic:cNvPr id="239" name="Image 239"/>
                          <pic:cNvPicPr/>
                        </pic:nvPicPr>
                        <pic:blipFill>
                          <a:blip r:embed="rId27" cstate="print"/>
                          <a:stretch>
                            <a:fillRect/>
                          </a:stretch>
                        </pic:blipFill>
                        <pic:spPr>
                          <a:xfrm>
                            <a:off x="1008433" y="1634049"/>
                            <a:ext cx="165100" cy="177800"/>
                          </a:xfrm>
                          <a:prstGeom prst="rect">
                            <a:avLst/>
                          </a:prstGeom>
                        </pic:spPr>
                      </pic:pic>
                      <pic:pic>
                        <pic:nvPicPr>
                          <pic:cNvPr id="240" name="Image 240"/>
                          <pic:cNvPicPr/>
                        </pic:nvPicPr>
                        <pic:blipFill>
                          <a:blip r:embed="rId28" cstate="print"/>
                          <a:stretch>
                            <a:fillRect/>
                          </a:stretch>
                        </pic:blipFill>
                        <pic:spPr>
                          <a:xfrm>
                            <a:off x="1033833" y="1532449"/>
                            <a:ext cx="190500" cy="190500"/>
                          </a:xfrm>
                          <a:prstGeom prst="rect">
                            <a:avLst/>
                          </a:prstGeom>
                        </pic:spPr>
                      </pic:pic>
                      <pic:pic>
                        <pic:nvPicPr>
                          <pic:cNvPr id="241" name="Image 241"/>
                          <pic:cNvPicPr/>
                        </pic:nvPicPr>
                        <pic:blipFill>
                          <a:blip r:embed="rId29" cstate="print"/>
                          <a:stretch>
                            <a:fillRect/>
                          </a:stretch>
                        </pic:blipFill>
                        <pic:spPr>
                          <a:xfrm>
                            <a:off x="1110033" y="1621349"/>
                            <a:ext cx="88900" cy="127000"/>
                          </a:xfrm>
                          <a:prstGeom prst="rect">
                            <a:avLst/>
                          </a:prstGeom>
                        </pic:spPr>
                      </pic:pic>
                      <pic:pic>
                        <pic:nvPicPr>
                          <pic:cNvPr id="242" name="Image 242"/>
                          <pic:cNvPicPr/>
                        </pic:nvPicPr>
                        <pic:blipFill>
                          <a:blip r:embed="rId30" cstate="print"/>
                          <a:stretch>
                            <a:fillRect/>
                          </a:stretch>
                        </pic:blipFill>
                        <pic:spPr>
                          <a:xfrm>
                            <a:off x="1160833" y="1519749"/>
                            <a:ext cx="88900" cy="127000"/>
                          </a:xfrm>
                          <a:prstGeom prst="rect">
                            <a:avLst/>
                          </a:prstGeom>
                        </pic:spPr>
                      </pic:pic>
                      <pic:pic>
                        <pic:nvPicPr>
                          <pic:cNvPr id="243" name="Image 243"/>
                          <pic:cNvPicPr/>
                        </pic:nvPicPr>
                        <pic:blipFill>
                          <a:blip r:embed="rId31" cstate="print"/>
                          <a:stretch>
                            <a:fillRect/>
                          </a:stretch>
                        </pic:blipFill>
                        <pic:spPr>
                          <a:xfrm>
                            <a:off x="1122733" y="1608649"/>
                            <a:ext cx="152400" cy="127000"/>
                          </a:xfrm>
                          <a:prstGeom prst="rect">
                            <a:avLst/>
                          </a:prstGeom>
                        </pic:spPr>
                      </pic:pic>
                      <pic:pic>
                        <pic:nvPicPr>
                          <pic:cNvPr id="244" name="Image 244"/>
                          <pic:cNvPicPr/>
                        </pic:nvPicPr>
                        <pic:blipFill>
                          <a:blip r:embed="rId32" cstate="print"/>
                          <a:stretch>
                            <a:fillRect/>
                          </a:stretch>
                        </pic:blipFill>
                        <pic:spPr>
                          <a:xfrm>
                            <a:off x="1198933" y="1595949"/>
                            <a:ext cx="127000" cy="101600"/>
                          </a:xfrm>
                          <a:prstGeom prst="rect">
                            <a:avLst/>
                          </a:prstGeom>
                        </pic:spPr>
                      </pic:pic>
                      <pic:pic>
                        <pic:nvPicPr>
                          <pic:cNvPr id="245" name="Image 245"/>
                          <pic:cNvPicPr/>
                        </pic:nvPicPr>
                        <pic:blipFill>
                          <a:blip r:embed="rId33" cstate="print"/>
                          <a:stretch>
                            <a:fillRect/>
                          </a:stretch>
                        </pic:blipFill>
                        <pic:spPr>
                          <a:xfrm>
                            <a:off x="1249733" y="1557849"/>
                            <a:ext cx="139700" cy="101600"/>
                          </a:xfrm>
                          <a:prstGeom prst="rect">
                            <a:avLst/>
                          </a:prstGeom>
                        </pic:spPr>
                      </pic:pic>
                      <pic:pic>
                        <pic:nvPicPr>
                          <pic:cNvPr id="246" name="Image 246"/>
                          <pic:cNvPicPr/>
                        </pic:nvPicPr>
                        <pic:blipFill>
                          <a:blip r:embed="rId34" cstate="print"/>
                          <a:stretch>
                            <a:fillRect/>
                          </a:stretch>
                        </pic:blipFill>
                        <pic:spPr>
                          <a:xfrm>
                            <a:off x="1173533" y="1557849"/>
                            <a:ext cx="152400" cy="101600"/>
                          </a:xfrm>
                          <a:prstGeom prst="rect">
                            <a:avLst/>
                          </a:prstGeom>
                        </pic:spPr>
                      </pic:pic>
                      <pic:pic>
                        <pic:nvPicPr>
                          <pic:cNvPr id="247" name="Image 247"/>
                          <pic:cNvPicPr/>
                        </pic:nvPicPr>
                        <pic:blipFill>
                          <a:blip r:embed="rId35" cstate="print"/>
                          <a:stretch>
                            <a:fillRect/>
                          </a:stretch>
                        </pic:blipFill>
                        <pic:spPr>
                          <a:xfrm>
                            <a:off x="1211633" y="1507049"/>
                            <a:ext cx="152400" cy="88900"/>
                          </a:xfrm>
                          <a:prstGeom prst="rect">
                            <a:avLst/>
                          </a:prstGeom>
                        </pic:spPr>
                      </pic:pic>
                      <pic:pic>
                        <pic:nvPicPr>
                          <pic:cNvPr id="248" name="Image 248"/>
                          <pic:cNvPicPr/>
                        </pic:nvPicPr>
                        <pic:blipFill>
                          <a:blip r:embed="rId36" cstate="print"/>
                          <a:stretch>
                            <a:fillRect/>
                          </a:stretch>
                        </pic:blipFill>
                        <pic:spPr>
                          <a:xfrm>
                            <a:off x="1262433" y="1519749"/>
                            <a:ext cx="165100" cy="101600"/>
                          </a:xfrm>
                          <a:prstGeom prst="rect">
                            <a:avLst/>
                          </a:prstGeom>
                        </pic:spPr>
                      </pic:pic>
                      <pic:pic>
                        <pic:nvPicPr>
                          <pic:cNvPr id="249" name="Image 249"/>
                          <pic:cNvPicPr/>
                        </pic:nvPicPr>
                        <pic:blipFill>
                          <a:blip r:embed="rId37" cstate="print"/>
                          <a:stretch>
                            <a:fillRect/>
                          </a:stretch>
                        </pic:blipFill>
                        <pic:spPr>
                          <a:xfrm>
                            <a:off x="1313233" y="1481649"/>
                            <a:ext cx="152400" cy="88900"/>
                          </a:xfrm>
                          <a:prstGeom prst="rect">
                            <a:avLst/>
                          </a:prstGeom>
                        </pic:spPr>
                      </pic:pic>
                      <pic:pic>
                        <pic:nvPicPr>
                          <pic:cNvPr id="250" name="Image 250"/>
                          <pic:cNvPicPr/>
                        </pic:nvPicPr>
                        <pic:blipFill>
                          <a:blip r:embed="rId38" cstate="print"/>
                          <a:stretch>
                            <a:fillRect/>
                          </a:stretch>
                        </pic:blipFill>
                        <pic:spPr>
                          <a:xfrm>
                            <a:off x="140260" y="1456249"/>
                            <a:ext cx="118873" cy="215900"/>
                          </a:xfrm>
                          <a:prstGeom prst="rect">
                            <a:avLst/>
                          </a:prstGeom>
                        </pic:spPr>
                      </pic:pic>
                      <pic:pic>
                        <pic:nvPicPr>
                          <pic:cNvPr id="251" name="Image 251"/>
                          <pic:cNvPicPr/>
                        </pic:nvPicPr>
                        <pic:blipFill>
                          <a:blip r:embed="rId39" cstate="print"/>
                          <a:stretch>
                            <a:fillRect/>
                          </a:stretch>
                        </pic:blipFill>
                        <pic:spPr>
                          <a:xfrm>
                            <a:off x="140260" y="1430849"/>
                            <a:ext cx="207773" cy="279400"/>
                          </a:xfrm>
                          <a:prstGeom prst="rect">
                            <a:avLst/>
                          </a:prstGeom>
                        </pic:spPr>
                      </pic:pic>
                      <pic:pic>
                        <pic:nvPicPr>
                          <pic:cNvPr id="252" name="Image 252"/>
                          <pic:cNvPicPr/>
                        </pic:nvPicPr>
                        <pic:blipFill>
                          <a:blip r:embed="rId40" cstate="print"/>
                          <a:stretch>
                            <a:fillRect/>
                          </a:stretch>
                        </pic:blipFill>
                        <pic:spPr>
                          <a:xfrm>
                            <a:off x="271833" y="1456249"/>
                            <a:ext cx="152400" cy="279400"/>
                          </a:xfrm>
                          <a:prstGeom prst="rect">
                            <a:avLst/>
                          </a:prstGeom>
                        </pic:spPr>
                      </pic:pic>
                      <pic:pic>
                        <pic:nvPicPr>
                          <pic:cNvPr id="253" name="Image 253"/>
                          <pic:cNvPicPr/>
                        </pic:nvPicPr>
                        <pic:blipFill>
                          <a:blip r:embed="rId41" cstate="print"/>
                          <a:stretch>
                            <a:fillRect/>
                          </a:stretch>
                        </pic:blipFill>
                        <pic:spPr>
                          <a:xfrm>
                            <a:off x="373433" y="1595949"/>
                            <a:ext cx="114300" cy="139700"/>
                          </a:xfrm>
                          <a:prstGeom prst="rect">
                            <a:avLst/>
                          </a:prstGeom>
                        </pic:spPr>
                      </pic:pic>
                      <pic:pic>
                        <pic:nvPicPr>
                          <pic:cNvPr id="254" name="Image 254"/>
                          <pic:cNvPicPr/>
                        </pic:nvPicPr>
                        <pic:blipFill>
                          <a:blip r:embed="rId42" cstate="print"/>
                          <a:stretch>
                            <a:fillRect/>
                          </a:stretch>
                        </pic:blipFill>
                        <pic:spPr>
                          <a:xfrm>
                            <a:off x="348033" y="1468949"/>
                            <a:ext cx="114300" cy="139700"/>
                          </a:xfrm>
                          <a:prstGeom prst="rect">
                            <a:avLst/>
                          </a:prstGeom>
                        </pic:spPr>
                      </pic:pic>
                      <pic:pic>
                        <pic:nvPicPr>
                          <pic:cNvPr id="255" name="Image 255"/>
                          <pic:cNvPicPr/>
                        </pic:nvPicPr>
                        <pic:blipFill>
                          <a:blip r:embed="rId43" cstate="print"/>
                          <a:stretch>
                            <a:fillRect/>
                          </a:stretch>
                        </pic:blipFill>
                        <pic:spPr>
                          <a:xfrm>
                            <a:off x="449633" y="1595949"/>
                            <a:ext cx="139700" cy="152400"/>
                          </a:xfrm>
                          <a:prstGeom prst="rect">
                            <a:avLst/>
                          </a:prstGeom>
                        </pic:spPr>
                      </pic:pic>
                      <pic:pic>
                        <pic:nvPicPr>
                          <pic:cNvPr id="256" name="Image 256"/>
                          <pic:cNvPicPr/>
                        </pic:nvPicPr>
                        <pic:blipFill>
                          <a:blip r:embed="rId44" cstate="print"/>
                          <a:stretch>
                            <a:fillRect/>
                          </a:stretch>
                        </pic:blipFill>
                        <pic:spPr>
                          <a:xfrm>
                            <a:off x="436933" y="1468949"/>
                            <a:ext cx="139700" cy="139700"/>
                          </a:xfrm>
                          <a:prstGeom prst="rect">
                            <a:avLst/>
                          </a:prstGeom>
                        </pic:spPr>
                      </pic:pic>
                      <pic:pic>
                        <pic:nvPicPr>
                          <pic:cNvPr id="257" name="Image 257"/>
                          <pic:cNvPicPr/>
                        </pic:nvPicPr>
                        <pic:blipFill>
                          <a:blip r:embed="rId45" cstate="print"/>
                          <a:stretch>
                            <a:fillRect/>
                          </a:stretch>
                        </pic:blipFill>
                        <pic:spPr>
                          <a:xfrm>
                            <a:off x="576633" y="1646749"/>
                            <a:ext cx="114300" cy="88900"/>
                          </a:xfrm>
                          <a:prstGeom prst="rect">
                            <a:avLst/>
                          </a:prstGeom>
                        </pic:spPr>
                      </pic:pic>
                      <pic:pic>
                        <pic:nvPicPr>
                          <pic:cNvPr id="258" name="Image 258"/>
                          <pic:cNvPicPr/>
                        </pic:nvPicPr>
                        <pic:blipFill>
                          <a:blip r:embed="rId46" cstate="print"/>
                          <a:stretch>
                            <a:fillRect/>
                          </a:stretch>
                        </pic:blipFill>
                        <pic:spPr>
                          <a:xfrm>
                            <a:off x="563933" y="1570549"/>
                            <a:ext cx="127000" cy="101600"/>
                          </a:xfrm>
                          <a:prstGeom prst="rect">
                            <a:avLst/>
                          </a:prstGeom>
                        </pic:spPr>
                      </pic:pic>
                      <pic:pic>
                        <pic:nvPicPr>
                          <pic:cNvPr id="259" name="Image 259"/>
                          <pic:cNvPicPr/>
                        </pic:nvPicPr>
                        <pic:blipFill>
                          <a:blip r:embed="rId47" cstate="print"/>
                          <a:stretch>
                            <a:fillRect/>
                          </a:stretch>
                        </pic:blipFill>
                        <pic:spPr>
                          <a:xfrm>
                            <a:off x="551233" y="1443549"/>
                            <a:ext cx="139700" cy="165100"/>
                          </a:xfrm>
                          <a:prstGeom prst="rect">
                            <a:avLst/>
                          </a:prstGeom>
                        </pic:spPr>
                      </pic:pic>
                      <pic:pic>
                        <pic:nvPicPr>
                          <pic:cNvPr id="260" name="Image 260"/>
                          <pic:cNvPicPr/>
                        </pic:nvPicPr>
                        <pic:blipFill>
                          <a:blip r:embed="rId48" cstate="print"/>
                          <a:stretch>
                            <a:fillRect/>
                          </a:stretch>
                        </pic:blipFill>
                        <pic:spPr>
                          <a:xfrm>
                            <a:off x="665533" y="1418149"/>
                            <a:ext cx="127000" cy="304800"/>
                          </a:xfrm>
                          <a:prstGeom prst="rect">
                            <a:avLst/>
                          </a:prstGeom>
                        </pic:spPr>
                      </pic:pic>
                      <pic:pic>
                        <pic:nvPicPr>
                          <pic:cNvPr id="261" name="Image 261"/>
                          <pic:cNvPicPr/>
                        </pic:nvPicPr>
                        <pic:blipFill>
                          <a:blip r:embed="rId49" cstate="print"/>
                          <a:stretch>
                            <a:fillRect/>
                          </a:stretch>
                        </pic:blipFill>
                        <pic:spPr>
                          <a:xfrm>
                            <a:off x="716333" y="1380049"/>
                            <a:ext cx="76200" cy="190500"/>
                          </a:xfrm>
                          <a:prstGeom prst="rect">
                            <a:avLst/>
                          </a:prstGeom>
                        </pic:spPr>
                      </pic:pic>
                      <pic:pic>
                        <pic:nvPicPr>
                          <pic:cNvPr id="262" name="Image 262"/>
                          <pic:cNvPicPr/>
                        </pic:nvPicPr>
                        <pic:blipFill>
                          <a:blip r:embed="rId50" cstate="print"/>
                          <a:stretch>
                            <a:fillRect/>
                          </a:stretch>
                        </pic:blipFill>
                        <pic:spPr>
                          <a:xfrm>
                            <a:off x="779833" y="1494349"/>
                            <a:ext cx="114300" cy="203200"/>
                          </a:xfrm>
                          <a:prstGeom prst="rect">
                            <a:avLst/>
                          </a:prstGeom>
                        </pic:spPr>
                      </pic:pic>
                      <pic:pic>
                        <pic:nvPicPr>
                          <pic:cNvPr id="263" name="Image 263"/>
                          <pic:cNvPicPr/>
                        </pic:nvPicPr>
                        <pic:blipFill>
                          <a:blip r:embed="rId51" cstate="print"/>
                          <a:stretch>
                            <a:fillRect/>
                          </a:stretch>
                        </pic:blipFill>
                        <pic:spPr>
                          <a:xfrm>
                            <a:off x="779833" y="1329249"/>
                            <a:ext cx="127000" cy="215900"/>
                          </a:xfrm>
                          <a:prstGeom prst="rect">
                            <a:avLst/>
                          </a:prstGeom>
                        </pic:spPr>
                      </pic:pic>
                      <pic:pic>
                        <pic:nvPicPr>
                          <pic:cNvPr id="264" name="Image 264"/>
                          <pic:cNvPicPr/>
                        </pic:nvPicPr>
                        <pic:blipFill>
                          <a:blip r:embed="rId52" cstate="print"/>
                          <a:stretch>
                            <a:fillRect/>
                          </a:stretch>
                        </pic:blipFill>
                        <pic:spPr>
                          <a:xfrm>
                            <a:off x="868733" y="1329249"/>
                            <a:ext cx="177800" cy="342900"/>
                          </a:xfrm>
                          <a:prstGeom prst="rect">
                            <a:avLst/>
                          </a:prstGeom>
                        </pic:spPr>
                      </pic:pic>
                      <pic:pic>
                        <pic:nvPicPr>
                          <pic:cNvPr id="265" name="Image 265"/>
                          <pic:cNvPicPr/>
                        </pic:nvPicPr>
                        <pic:blipFill>
                          <a:blip r:embed="rId53" cstate="print"/>
                          <a:stretch>
                            <a:fillRect/>
                          </a:stretch>
                        </pic:blipFill>
                        <pic:spPr>
                          <a:xfrm>
                            <a:off x="957633" y="1354649"/>
                            <a:ext cx="228600" cy="304800"/>
                          </a:xfrm>
                          <a:prstGeom prst="rect">
                            <a:avLst/>
                          </a:prstGeom>
                        </pic:spPr>
                      </pic:pic>
                      <pic:pic>
                        <pic:nvPicPr>
                          <pic:cNvPr id="266" name="Image 266"/>
                          <pic:cNvPicPr/>
                        </pic:nvPicPr>
                        <pic:blipFill>
                          <a:blip r:embed="rId54" cstate="print"/>
                          <a:stretch>
                            <a:fillRect/>
                          </a:stretch>
                        </pic:blipFill>
                        <pic:spPr>
                          <a:xfrm>
                            <a:off x="1046533" y="1354649"/>
                            <a:ext cx="381000" cy="266700"/>
                          </a:xfrm>
                          <a:prstGeom prst="rect">
                            <a:avLst/>
                          </a:prstGeom>
                        </pic:spPr>
                      </pic:pic>
                      <pic:pic>
                        <pic:nvPicPr>
                          <pic:cNvPr id="267" name="Image 267"/>
                          <pic:cNvPicPr/>
                        </pic:nvPicPr>
                        <pic:blipFill>
                          <a:blip r:embed="rId55" cstate="print"/>
                          <a:stretch>
                            <a:fillRect/>
                          </a:stretch>
                        </pic:blipFill>
                        <pic:spPr>
                          <a:xfrm>
                            <a:off x="1237033" y="1278449"/>
                            <a:ext cx="304800" cy="254000"/>
                          </a:xfrm>
                          <a:prstGeom prst="rect">
                            <a:avLst/>
                          </a:prstGeom>
                        </pic:spPr>
                      </pic:pic>
                      <pic:pic>
                        <pic:nvPicPr>
                          <pic:cNvPr id="268" name="Image 268"/>
                          <pic:cNvPicPr/>
                        </pic:nvPicPr>
                        <pic:blipFill>
                          <a:blip r:embed="rId56" cstate="print"/>
                          <a:stretch>
                            <a:fillRect/>
                          </a:stretch>
                        </pic:blipFill>
                        <pic:spPr>
                          <a:xfrm>
                            <a:off x="140260" y="1227649"/>
                            <a:ext cx="93473" cy="228600"/>
                          </a:xfrm>
                          <a:prstGeom prst="rect">
                            <a:avLst/>
                          </a:prstGeom>
                        </pic:spPr>
                      </pic:pic>
                      <pic:pic>
                        <pic:nvPicPr>
                          <pic:cNvPr id="269" name="Image 269"/>
                          <pic:cNvPicPr/>
                        </pic:nvPicPr>
                        <pic:blipFill>
                          <a:blip r:embed="rId57" cstate="print"/>
                          <a:stretch>
                            <a:fillRect/>
                          </a:stretch>
                        </pic:blipFill>
                        <pic:spPr>
                          <a:xfrm>
                            <a:off x="208333" y="1240349"/>
                            <a:ext cx="88900" cy="228600"/>
                          </a:xfrm>
                          <a:prstGeom prst="rect">
                            <a:avLst/>
                          </a:prstGeom>
                        </pic:spPr>
                      </pic:pic>
                      <pic:pic>
                        <pic:nvPicPr>
                          <pic:cNvPr id="270" name="Image 270"/>
                          <pic:cNvPicPr/>
                        </pic:nvPicPr>
                        <pic:blipFill>
                          <a:blip r:embed="rId58" cstate="print"/>
                          <a:stretch>
                            <a:fillRect/>
                          </a:stretch>
                        </pic:blipFill>
                        <pic:spPr>
                          <a:xfrm>
                            <a:off x="144833" y="1151449"/>
                            <a:ext cx="241300" cy="330200"/>
                          </a:xfrm>
                          <a:prstGeom prst="rect">
                            <a:avLst/>
                          </a:prstGeom>
                        </pic:spPr>
                      </pic:pic>
                      <pic:pic>
                        <pic:nvPicPr>
                          <pic:cNvPr id="271" name="Image 271"/>
                          <pic:cNvPicPr/>
                        </pic:nvPicPr>
                        <pic:blipFill>
                          <a:blip r:embed="rId59" cstate="print"/>
                          <a:stretch>
                            <a:fillRect/>
                          </a:stretch>
                        </pic:blipFill>
                        <pic:spPr>
                          <a:xfrm>
                            <a:off x="348033" y="1151449"/>
                            <a:ext cx="88900" cy="342900"/>
                          </a:xfrm>
                          <a:prstGeom prst="rect">
                            <a:avLst/>
                          </a:prstGeom>
                        </pic:spPr>
                      </pic:pic>
                      <pic:pic>
                        <pic:nvPicPr>
                          <pic:cNvPr id="272" name="Image 272"/>
                          <pic:cNvPicPr/>
                        </pic:nvPicPr>
                        <pic:blipFill>
                          <a:blip r:embed="rId60" cstate="print"/>
                          <a:stretch>
                            <a:fillRect/>
                          </a:stretch>
                        </pic:blipFill>
                        <pic:spPr>
                          <a:xfrm>
                            <a:off x="386133" y="1138749"/>
                            <a:ext cx="88900" cy="355600"/>
                          </a:xfrm>
                          <a:prstGeom prst="rect">
                            <a:avLst/>
                          </a:prstGeom>
                        </pic:spPr>
                      </pic:pic>
                      <pic:pic>
                        <pic:nvPicPr>
                          <pic:cNvPr id="273" name="Image 273"/>
                          <pic:cNvPicPr/>
                        </pic:nvPicPr>
                        <pic:blipFill>
                          <a:blip r:embed="rId61" cstate="print"/>
                          <a:stretch>
                            <a:fillRect/>
                          </a:stretch>
                        </pic:blipFill>
                        <pic:spPr>
                          <a:xfrm>
                            <a:off x="436933" y="1126049"/>
                            <a:ext cx="165100" cy="368300"/>
                          </a:xfrm>
                          <a:prstGeom prst="rect">
                            <a:avLst/>
                          </a:prstGeom>
                        </pic:spPr>
                      </pic:pic>
                      <pic:pic>
                        <pic:nvPicPr>
                          <pic:cNvPr id="274" name="Image 274"/>
                          <pic:cNvPicPr/>
                        </pic:nvPicPr>
                        <pic:blipFill>
                          <a:blip r:embed="rId62" cstate="print"/>
                          <a:stretch>
                            <a:fillRect/>
                          </a:stretch>
                        </pic:blipFill>
                        <pic:spPr>
                          <a:xfrm>
                            <a:off x="551233" y="1100649"/>
                            <a:ext cx="190500" cy="381000"/>
                          </a:xfrm>
                          <a:prstGeom prst="rect">
                            <a:avLst/>
                          </a:prstGeom>
                        </pic:spPr>
                      </pic:pic>
                      <pic:pic>
                        <pic:nvPicPr>
                          <pic:cNvPr id="275" name="Image 275"/>
                          <pic:cNvPicPr/>
                        </pic:nvPicPr>
                        <pic:blipFill>
                          <a:blip r:embed="rId63" cstate="print"/>
                          <a:stretch>
                            <a:fillRect/>
                          </a:stretch>
                        </pic:blipFill>
                        <pic:spPr>
                          <a:xfrm>
                            <a:off x="678233" y="1100649"/>
                            <a:ext cx="127000" cy="355600"/>
                          </a:xfrm>
                          <a:prstGeom prst="rect">
                            <a:avLst/>
                          </a:prstGeom>
                        </pic:spPr>
                      </pic:pic>
                      <pic:pic>
                        <pic:nvPicPr>
                          <pic:cNvPr id="276" name="Image 276"/>
                          <pic:cNvPicPr/>
                        </pic:nvPicPr>
                        <pic:blipFill>
                          <a:blip r:embed="rId64" cstate="print"/>
                          <a:stretch>
                            <a:fillRect/>
                          </a:stretch>
                        </pic:blipFill>
                        <pic:spPr>
                          <a:xfrm>
                            <a:off x="716333" y="1100649"/>
                            <a:ext cx="177800" cy="330200"/>
                          </a:xfrm>
                          <a:prstGeom prst="rect">
                            <a:avLst/>
                          </a:prstGeom>
                        </pic:spPr>
                      </pic:pic>
                      <pic:pic>
                        <pic:nvPicPr>
                          <pic:cNvPr id="277" name="Image 277"/>
                          <pic:cNvPicPr/>
                        </pic:nvPicPr>
                        <pic:blipFill>
                          <a:blip r:embed="rId65" cstate="print"/>
                          <a:stretch>
                            <a:fillRect/>
                          </a:stretch>
                        </pic:blipFill>
                        <pic:spPr>
                          <a:xfrm>
                            <a:off x="779833" y="1202249"/>
                            <a:ext cx="203200" cy="190500"/>
                          </a:xfrm>
                          <a:prstGeom prst="rect">
                            <a:avLst/>
                          </a:prstGeom>
                        </pic:spPr>
                      </pic:pic>
                      <pic:pic>
                        <pic:nvPicPr>
                          <pic:cNvPr id="278" name="Image 278"/>
                          <pic:cNvPicPr/>
                        </pic:nvPicPr>
                        <pic:blipFill>
                          <a:blip r:embed="rId66" cstate="print"/>
                          <a:stretch>
                            <a:fillRect/>
                          </a:stretch>
                        </pic:blipFill>
                        <pic:spPr>
                          <a:xfrm>
                            <a:off x="843333" y="1138749"/>
                            <a:ext cx="190500" cy="114300"/>
                          </a:xfrm>
                          <a:prstGeom prst="rect">
                            <a:avLst/>
                          </a:prstGeom>
                        </pic:spPr>
                      </pic:pic>
                      <pic:pic>
                        <pic:nvPicPr>
                          <pic:cNvPr id="279" name="Image 279"/>
                          <pic:cNvPicPr/>
                        </pic:nvPicPr>
                        <pic:blipFill>
                          <a:blip r:embed="rId67" cstate="print"/>
                          <a:stretch>
                            <a:fillRect/>
                          </a:stretch>
                        </pic:blipFill>
                        <pic:spPr>
                          <a:xfrm>
                            <a:off x="868733" y="1100649"/>
                            <a:ext cx="190500" cy="76200"/>
                          </a:xfrm>
                          <a:prstGeom prst="rect">
                            <a:avLst/>
                          </a:prstGeom>
                        </pic:spPr>
                      </pic:pic>
                      <pic:pic>
                        <pic:nvPicPr>
                          <pic:cNvPr id="280" name="Image 280"/>
                          <pic:cNvPicPr/>
                        </pic:nvPicPr>
                        <pic:blipFill>
                          <a:blip r:embed="rId68" cstate="print"/>
                          <a:stretch>
                            <a:fillRect/>
                          </a:stretch>
                        </pic:blipFill>
                        <pic:spPr>
                          <a:xfrm>
                            <a:off x="894133" y="1265749"/>
                            <a:ext cx="177800" cy="101600"/>
                          </a:xfrm>
                          <a:prstGeom prst="rect">
                            <a:avLst/>
                          </a:prstGeom>
                        </pic:spPr>
                      </pic:pic>
                      <pic:pic>
                        <pic:nvPicPr>
                          <pic:cNvPr id="281" name="Image 281"/>
                          <pic:cNvPicPr/>
                        </pic:nvPicPr>
                        <pic:blipFill>
                          <a:blip r:embed="rId69" cstate="print"/>
                          <a:stretch>
                            <a:fillRect/>
                          </a:stretch>
                        </pic:blipFill>
                        <pic:spPr>
                          <a:xfrm>
                            <a:off x="932233" y="1202249"/>
                            <a:ext cx="177800" cy="88900"/>
                          </a:xfrm>
                          <a:prstGeom prst="rect">
                            <a:avLst/>
                          </a:prstGeom>
                        </pic:spPr>
                      </pic:pic>
                      <pic:pic>
                        <pic:nvPicPr>
                          <pic:cNvPr id="282" name="Image 282"/>
                          <pic:cNvPicPr/>
                        </pic:nvPicPr>
                        <pic:blipFill>
                          <a:blip r:embed="rId70" cstate="print"/>
                          <a:stretch>
                            <a:fillRect/>
                          </a:stretch>
                        </pic:blipFill>
                        <pic:spPr>
                          <a:xfrm>
                            <a:off x="970333" y="1138749"/>
                            <a:ext cx="177800" cy="88900"/>
                          </a:xfrm>
                          <a:prstGeom prst="rect">
                            <a:avLst/>
                          </a:prstGeom>
                        </pic:spPr>
                      </pic:pic>
                      <pic:pic>
                        <pic:nvPicPr>
                          <pic:cNvPr id="283" name="Image 283"/>
                          <pic:cNvPicPr/>
                        </pic:nvPicPr>
                        <pic:blipFill>
                          <a:blip r:embed="rId71" cstate="print"/>
                          <a:stretch>
                            <a:fillRect/>
                          </a:stretch>
                        </pic:blipFill>
                        <pic:spPr>
                          <a:xfrm>
                            <a:off x="1021133" y="1075249"/>
                            <a:ext cx="152400" cy="76200"/>
                          </a:xfrm>
                          <a:prstGeom prst="rect">
                            <a:avLst/>
                          </a:prstGeom>
                        </pic:spPr>
                      </pic:pic>
                      <pic:pic>
                        <pic:nvPicPr>
                          <pic:cNvPr id="284" name="Image 284"/>
                          <pic:cNvPicPr/>
                        </pic:nvPicPr>
                        <pic:blipFill>
                          <a:blip r:embed="rId72" cstate="print"/>
                          <a:stretch>
                            <a:fillRect/>
                          </a:stretch>
                        </pic:blipFill>
                        <pic:spPr>
                          <a:xfrm>
                            <a:off x="1033833" y="1278449"/>
                            <a:ext cx="177800" cy="114300"/>
                          </a:xfrm>
                          <a:prstGeom prst="rect">
                            <a:avLst/>
                          </a:prstGeom>
                        </pic:spPr>
                      </pic:pic>
                      <pic:pic>
                        <pic:nvPicPr>
                          <pic:cNvPr id="285" name="Image 285"/>
                          <pic:cNvPicPr/>
                        </pic:nvPicPr>
                        <pic:blipFill>
                          <a:blip r:embed="rId73" cstate="print"/>
                          <a:stretch>
                            <a:fillRect/>
                          </a:stretch>
                        </pic:blipFill>
                        <pic:spPr>
                          <a:xfrm>
                            <a:off x="1059233" y="1214949"/>
                            <a:ext cx="177800" cy="101600"/>
                          </a:xfrm>
                          <a:prstGeom prst="rect">
                            <a:avLst/>
                          </a:prstGeom>
                        </pic:spPr>
                      </pic:pic>
                      <pic:pic>
                        <pic:nvPicPr>
                          <pic:cNvPr id="286" name="Image 286"/>
                          <pic:cNvPicPr/>
                        </pic:nvPicPr>
                        <pic:blipFill>
                          <a:blip r:embed="rId74" cstate="print"/>
                          <a:stretch>
                            <a:fillRect/>
                          </a:stretch>
                        </pic:blipFill>
                        <pic:spPr>
                          <a:xfrm>
                            <a:off x="1097333" y="1138749"/>
                            <a:ext cx="165100" cy="101600"/>
                          </a:xfrm>
                          <a:prstGeom prst="rect">
                            <a:avLst/>
                          </a:prstGeom>
                        </pic:spPr>
                      </pic:pic>
                      <pic:pic>
                        <pic:nvPicPr>
                          <pic:cNvPr id="287" name="Image 287"/>
                          <pic:cNvPicPr/>
                        </pic:nvPicPr>
                        <pic:blipFill>
                          <a:blip r:embed="rId75" cstate="print"/>
                          <a:stretch>
                            <a:fillRect/>
                          </a:stretch>
                        </pic:blipFill>
                        <pic:spPr>
                          <a:xfrm>
                            <a:off x="1135433" y="1075249"/>
                            <a:ext cx="139700" cy="88900"/>
                          </a:xfrm>
                          <a:prstGeom prst="rect">
                            <a:avLst/>
                          </a:prstGeom>
                        </pic:spPr>
                      </pic:pic>
                      <pic:pic>
                        <pic:nvPicPr>
                          <pic:cNvPr id="288" name="Image 288"/>
                          <pic:cNvPicPr/>
                        </pic:nvPicPr>
                        <pic:blipFill>
                          <a:blip r:embed="rId76" cstate="print"/>
                          <a:stretch>
                            <a:fillRect/>
                          </a:stretch>
                        </pic:blipFill>
                        <pic:spPr>
                          <a:xfrm>
                            <a:off x="1173533" y="1214949"/>
                            <a:ext cx="165100" cy="177800"/>
                          </a:xfrm>
                          <a:prstGeom prst="rect">
                            <a:avLst/>
                          </a:prstGeom>
                        </pic:spPr>
                      </pic:pic>
                      <pic:pic>
                        <pic:nvPicPr>
                          <pic:cNvPr id="289" name="Image 289"/>
                          <pic:cNvPicPr/>
                        </pic:nvPicPr>
                        <pic:blipFill>
                          <a:blip r:embed="rId77" cstate="print"/>
                          <a:stretch>
                            <a:fillRect/>
                          </a:stretch>
                        </pic:blipFill>
                        <pic:spPr>
                          <a:xfrm>
                            <a:off x="1224333" y="1062549"/>
                            <a:ext cx="127000" cy="177800"/>
                          </a:xfrm>
                          <a:prstGeom prst="rect">
                            <a:avLst/>
                          </a:prstGeom>
                        </pic:spPr>
                      </pic:pic>
                      <pic:pic>
                        <pic:nvPicPr>
                          <pic:cNvPr id="290" name="Image 290"/>
                          <pic:cNvPicPr/>
                        </pic:nvPicPr>
                        <pic:blipFill>
                          <a:blip r:embed="rId78" cstate="print"/>
                          <a:stretch>
                            <a:fillRect/>
                          </a:stretch>
                        </pic:blipFill>
                        <pic:spPr>
                          <a:xfrm>
                            <a:off x="1300533" y="1062549"/>
                            <a:ext cx="127000" cy="317500"/>
                          </a:xfrm>
                          <a:prstGeom prst="rect">
                            <a:avLst/>
                          </a:prstGeom>
                        </pic:spPr>
                      </pic:pic>
                      <pic:pic>
                        <pic:nvPicPr>
                          <pic:cNvPr id="291" name="Image 291"/>
                          <pic:cNvPicPr/>
                        </pic:nvPicPr>
                        <pic:blipFill>
                          <a:blip r:embed="rId79" cstate="print"/>
                          <a:stretch>
                            <a:fillRect/>
                          </a:stretch>
                        </pic:blipFill>
                        <pic:spPr>
                          <a:xfrm>
                            <a:off x="1402133" y="1037149"/>
                            <a:ext cx="143674" cy="330200"/>
                          </a:xfrm>
                          <a:prstGeom prst="rect">
                            <a:avLst/>
                          </a:prstGeom>
                        </pic:spPr>
                      </pic:pic>
                      <pic:pic>
                        <pic:nvPicPr>
                          <pic:cNvPr id="292" name="Image 292"/>
                          <pic:cNvPicPr/>
                        </pic:nvPicPr>
                        <pic:blipFill>
                          <a:blip r:embed="rId80" cstate="print"/>
                          <a:stretch>
                            <a:fillRect/>
                          </a:stretch>
                        </pic:blipFill>
                        <pic:spPr>
                          <a:xfrm>
                            <a:off x="1402133" y="986349"/>
                            <a:ext cx="143674" cy="139700"/>
                          </a:xfrm>
                          <a:prstGeom prst="rect">
                            <a:avLst/>
                          </a:prstGeom>
                        </pic:spPr>
                      </pic:pic>
                      <pic:pic>
                        <pic:nvPicPr>
                          <pic:cNvPr id="293" name="Image 293"/>
                          <pic:cNvPicPr/>
                        </pic:nvPicPr>
                        <pic:blipFill>
                          <a:blip r:embed="rId81" cstate="print"/>
                          <a:stretch>
                            <a:fillRect/>
                          </a:stretch>
                        </pic:blipFill>
                        <pic:spPr>
                          <a:xfrm>
                            <a:off x="144833" y="922849"/>
                            <a:ext cx="114300" cy="241300"/>
                          </a:xfrm>
                          <a:prstGeom prst="rect">
                            <a:avLst/>
                          </a:prstGeom>
                        </pic:spPr>
                      </pic:pic>
                      <pic:pic>
                        <pic:nvPicPr>
                          <pic:cNvPr id="294" name="Image 294"/>
                          <pic:cNvPicPr/>
                        </pic:nvPicPr>
                        <pic:blipFill>
                          <a:blip r:embed="rId82" cstate="print"/>
                          <a:stretch>
                            <a:fillRect/>
                          </a:stretch>
                        </pic:blipFill>
                        <pic:spPr>
                          <a:xfrm>
                            <a:off x="221033" y="910149"/>
                            <a:ext cx="114300" cy="254000"/>
                          </a:xfrm>
                          <a:prstGeom prst="rect">
                            <a:avLst/>
                          </a:prstGeom>
                        </pic:spPr>
                      </pic:pic>
                      <pic:pic>
                        <pic:nvPicPr>
                          <pic:cNvPr id="295" name="Image 295"/>
                          <pic:cNvPicPr/>
                        </pic:nvPicPr>
                        <pic:blipFill>
                          <a:blip r:embed="rId83" cstate="print"/>
                          <a:stretch>
                            <a:fillRect/>
                          </a:stretch>
                        </pic:blipFill>
                        <pic:spPr>
                          <a:xfrm>
                            <a:off x="284533" y="897449"/>
                            <a:ext cx="88900" cy="266700"/>
                          </a:xfrm>
                          <a:prstGeom prst="rect">
                            <a:avLst/>
                          </a:prstGeom>
                        </pic:spPr>
                      </pic:pic>
                      <pic:pic>
                        <pic:nvPicPr>
                          <pic:cNvPr id="296" name="Image 296"/>
                          <pic:cNvPicPr/>
                        </pic:nvPicPr>
                        <pic:blipFill>
                          <a:blip r:embed="rId84" cstate="print"/>
                          <a:stretch>
                            <a:fillRect/>
                          </a:stretch>
                        </pic:blipFill>
                        <pic:spPr>
                          <a:xfrm>
                            <a:off x="322633" y="897449"/>
                            <a:ext cx="114300" cy="266700"/>
                          </a:xfrm>
                          <a:prstGeom prst="rect">
                            <a:avLst/>
                          </a:prstGeom>
                        </pic:spPr>
                      </pic:pic>
                      <pic:pic>
                        <pic:nvPicPr>
                          <pic:cNvPr id="297" name="Image 297"/>
                          <pic:cNvPicPr/>
                        </pic:nvPicPr>
                        <pic:blipFill>
                          <a:blip r:embed="rId85" cstate="print"/>
                          <a:stretch>
                            <a:fillRect/>
                          </a:stretch>
                        </pic:blipFill>
                        <pic:spPr>
                          <a:xfrm>
                            <a:off x="373433" y="897449"/>
                            <a:ext cx="127000" cy="266700"/>
                          </a:xfrm>
                          <a:prstGeom prst="rect">
                            <a:avLst/>
                          </a:prstGeom>
                        </pic:spPr>
                      </pic:pic>
                      <pic:pic>
                        <pic:nvPicPr>
                          <pic:cNvPr id="298" name="Image 298"/>
                          <pic:cNvPicPr/>
                        </pic:nvPicPr>
                        <pic:blipFill>
                          <a:blip r:embed="rId86" cstate="print"/>
                          <a:stretch>
                            <a:fillRect/>
                          </a:stretch>
                        </pic:blipFill>
                        <pic:spPr>
                          <a:xfrm>
                            <a:off x="424233" y="884749"/>
                            <a:ext cx="127000" cy="279400"/>
                          </a:xfrm>
                          <a:prstGeom prst="rect">
                            <a:avLst/>
                          </a:prstGeom>
                        </pic:spPr>
                      </pic:pic>
                      <pic:pic>
                        <pic:nvPicPr>
                          <pic:cNvPr id="299" name="Image 299"/>
                          <pic:cNvPicPr/>
                        </pic:nvPicPr>
                        <pic:blipFill>
                          <a:blip r:embed="rId87" cstate="print"/>
                          <a:stretch>
                            <a:fillRect/>
                          </a:stretch>
                        </pic:blipFill>
                        <pic:spPr>
                          <a:xfrm>
                            <a:off x="462333" y="859349"/>
                            <a:ext cx="279400" cy="292100"/>
                          </a:xfrm>
                          <a:prstGeom prst="rect">
                            <a:avLst/>
                          </a:prstGeom>
                        </pic:spPr>
                      </pic:pic>
                      <pic:pic>
                        <pic:nvPicPr>
                          <pic:cNvPr id="300" name="Image 300"/>
                          <pic:cNvPicPr/>
                        </pic:nvPicPr>
                        <pic:blipFill>
                          <a:blip r:embed="rId88" cstate="print"/>
                          <a:stretch>
                            <a:fillRect/>
                          </a:stretch>
                        </pic:blipFill>
                        <pic:spPr>
                          <a:xfrm>
                            <a:off x="729033" y="783149"/>
                            <a:ext cx="330200" cy="330200"/>
                          </a:xfrm>
                          <a:prstGeom prst="rect">
                            <a:avLst/>
                          </a:prstGeom>
                        </pic:spPr>
                      </pic:pic>
                      <pic:pic>
                        <pic:nvPicPr>
                          <pic:cNvPr id="301" name="Image 301"/>
                          <pic:cNvPicPr/>
                        </pic:nvPicPr>
                        <pic:blipFill>
                          <a:blip r:embed="rId89" cstate="print"/>
                          <a:stretch>
                            <a:fillRect/>
                          </a:stretch>
                        </pic:blipFill>
                        <pic:spPr>
                          <a:xfrm>
                            <a:off x="983033" y="757749"/>
                            <a:ext cx="190500" cy="355600"/>
                          </a:xfrm>
                          <a:prstGeom prst="rect">
                            <a:avLst/>
                          </a:prstGeom>
                        </pic:spPr>
                      </pic:pic>
                      <pic:pic>
                        <pic:nvPicPr>
                          <pic:cNvPr id="302" name="Image 302"/>
                          <pic:cNvPicPr/>
                        </pic:nvPicPr>
                        <pic:blipFill>
                          <a:blip r:embed="rId90" cstate="print"/>
                          <a:stretch>
                            <a:fillRect/>
                          </a:stretch>
                        </pic:blipFill>
                        <pic:spPr>
                          <a:xfrm>
                            <a:off x="1059233" y="757749"/>
                            <a:ext cx="215900" cy="330200"/>
                          </a:xfrm>
                          <a:prstGeom prst="rect">
                            <a:avLst/>
                          </a:prstGeom>
                        </pic:spPr>
                      </pic:pic>
                      <pic:pic>
                        <pic:nvPicPr>
                          <pic:cNvPr id="303" name="Image 303"/>
                          <pic:cNvPicPr/>
                        </pic:nvPicPr>
                        <pic:blipFill>
                          <a:blip r:embed="rId91" cstate="print"/>
                          <a:stretch>
                            <a:fillRect/>
                          </a:stretch>
                        </pic:blipFill>
                        <pic:spPr>
                          <a:xfrm>
                            <a:off x="1148133" y="745049"/>
                            <a:ext cx="203200" cy="342900"/>
                          </a:xfrm>
                          <a:prstGeom prst="rect">
                            <a:avLst/>
                          </a:prstGeom>
                        </pic:spPr>
                      </pic:pic>
                      <pic:pic>
                        <pic:nvPicPr>
                          <pic:cNvPr id="304" name="Image 304"/>
                          <pic:cNvPicPr/>
                        </pic:nvPicPr>
                        <pic:blipFill>
                          <a:blip r:embed="rId92" cstate="print"/>
                          <a:stretch>
                            <a:fillRect/>
                          </a:stretch>
                        </pic:blipFill>
                        <pic:spPr>
                          <a:xfrm>
                            <a:off x="1262433" y="745049"/>
                            <a:ext cx="283374" cy="342900"/>
                          </a:xfrm>
                          <a:prstGeom prst="rect">
                            <a:avLst/>
                          </a:prstGeom>
                        </pic:spPr>
                      </pic:pic>
                      <pic:pic>
                        <pic:nvPicPr>
                          <pic:cNvPr id="305" name="Image 305"/>
                          <pic:cNvPicPr/>
                        </pic:nvPicPr>
                        <pic:blipFill>
                          <a:blip r:embed="rId93" cstate="print"/>
                          <a:stretch>
                            <a:fillRect/>
                          </a:stretch>
                        </pic:blipFill>
                        <pic:spPr>
                          <a:xfrm>
                            <a:off x="182933" y="668849"/>
                            <a:ext cx="139700" cy="279400"/>
                          </a:xfrm>
                          <a:prstGeom prst="rect">
                            <a:avLst/>
                          </a:prstGeom>
                        </pic:spPr>
                      </pic:pic>
                      <pic:pic>
                        <pic:nvPicPr>
                          <pic:cNvPr id="306" name="Image 306"/>
                          <pic:cNvPicPr/>
                        </pic:nvPicPr>
                        <pic:blipFill>
                          <a:blip r:embed="rId94" cstate="print"/>
                          <a:stretch>
                            <a:fillRect/>
                          </a:stretch>
                        </pic:blipFill>
                        <pic:spPr>
                          <a:xfrm>
                            <a:off x="246433" y="656149"/>
                            <a:ext cx="165100" cy="279400"/>
                          </a:xfrm>
                          <a:prstGeom prst="rect">
                            <a:avLst/>
                          </a:prstGeom>
                        </pic:spPr>
                      </pic:pic>
                      <pic:pic>
                        <pic:nvPicPr>
                          <pic:cNvPr id="307" name="Image 307"/>
                          <pic:cNvPicPr/>
                        </pic:nvPicPr>
                        <pic:blipFill>
                          <a:blip r:embed="rId95" cstate="print"/>
                          <a:stretch>
                            <a:fillRect/>
                          </a:stretch>
                        </pic:blipFill>
                        <pic:spPr>
                          <a:xfrm>
                            <a:off x="322633" y="643449"/>
                            <a:ext cx="165100" cy="279400"/>
                          </a:xfrm>
                          <a:prstGeom prst="rect">
                            <a:avLst/>
                          </a:prstGeom>
                        </pic:spPr>
                      </pic:pic>
                      <pic:pic>
                        <pic:nvPicPr>
                          <pic:cNvPr id="308" name="Image 308"/>
                          <pic:cNvPicPr/>
                        </pic:nvPicPr>
                        <pic:blipFill>
                          <a:blip r:embed="rId96" cstate="print"/>
                          <a:stretch>
                            <a:fillRect/>
                          </a:stretch>
                        </pic:blipFill>
                        <pic:spPr>
                          <a:xfrm>
                            <a:off x="424233" y="630749"/>
                            <a:ext cx="139700" cy="279400"/>
                          </a:xfrm>
                          <a:prstGeom prst="rect">
                            <a:avLst/>
                          </a:prstGeom>
                        </pic:spPr>
                      </pic:pic>
                      <pic:pic>
                        <pic:nvPicPr>
                          <pic:cNvPr id="309" name="Image 309"/>
                          <pic:cNvPicPr/>
                        </pic:nvPicPr>
                        <pic:blipFill>
                          <a:blip r:embed="rId97" cstate="print"/>
                          <a:stretch>
                            <a:fillRect/>
                          </a:stretch>
                        </pic:blipFill>
                        <pic:spPr>
                          <a:xfrm>
                            <a:off x="538533" y="592649"/>
                            <a:ext cx="228600" cy="304800"/>
                          </a:xfrm>
                          <a:prstGeom prst="rect">
                            <a:avLst/>
                          </a:prstGeom>
                        </pic:spPr>
                      </pic:pic>
                      <pic:pic>
                        <pic:nvPicPr>
                          <pic:cNvPr id="310" name="Image 310"/>
                          <pic:cNvPicPr/>
                        </pic:nvPicPr>
                        <pic:blipFill>
                          <a:blip r:embed="rId98" cstate="print"/>
                          <a:stretch>
                            <a:fillRect/>
                          </a:stretch>
                        </pic:blipFill>
                        <pic:spPr>
                          <a:xfrm>
                            <a:off x="729033" y="694249"/>
                            <a:ext cx="152400" cy="177800"/>
                          </a:xfrm>
                          <a:prstGeom prst="rect">
                            <a:avLst/>
                          </a:prstGeom>
                        </pic:spPr>
                      </pic:pic>
                      <pic:pic>
                        <pic:nvPicPr>
                          <pic:cNvPr id="311" name="Image 311"/>
                          <pic:cNvPicPr/>
                        </pic:nvPicPr>
                        <pic:blipFill>
                          <a:blip r:embed="rId99" cstate="print"/>
                          <a:stretch>
                            <a:fillRect/>
                          </a:stretch>
                        </pic:blipFill>
                        <pic:spPr>
                          <a:xfrm>
                            <a:off x="741733" y="567249"/>
                            <a:ext cx="152400" cy="165100"/>
                          </a:xfrm>
                          <a:prstGeom prst="rect">
                            <a:avLst/>
                          </a:prstGeom>
                        </pic:spPr>
                      </pic:pic>
                      <pic:pic>
                        <pic:nvPicPr>
                          <pic:cNvPr id="312" name="Image 312"/>
                          <pic:cNvPicPr/>
                        </pic:nvPicPr>
                        <pic:blipFill>
                          <a:blip r:embed="rId100" cstate="print"/>
                          <a:stretch>
                            <a:fillRect/>
                          </a:stretch>
                        </pic:blipFill>
                        <pic:spPr>
                          <a:xfrm>
                            <a:off x="856033" y="656149"/>
                            <a:ext cx="139700" cy="177800"/>
                          </a:xfrm>
                          <a:prstGeom prst="rect">
                            <a:avLst/>
                          </a:prstGeom>
                        </pic:spPr>
                      </pic:pic>
                      <pic:pic>
                        <pic:nvPicPr>
                          <pic:cNvPr id="313" name="Image 313"/>
                          <pic:cNvPicPr/>
                        </pic:nvPicPr>
                        <pic:blipFill>
                          <a:blip r:embed="rId101" cstate="print"/>
                          <a:stretch>
                            <a:fillRect/>
                          </a:stretch>
                        </pic:blipFill>
                        <pic:spPr>
                          <a:xfrm>
                            <a:off x="868733" y="529149"/>
                            <a:ext cx="139700" cy="177800"/>
                          </a:xfrm>
                          <a:prstGeom prst="rect">
                            <a:avLst/>
                          </a:prstGeom>
                        </pic:spPr>
                      </pic:pic>
                      <pic:pic>
                        <pic:nvPicPr>
                          <pic:cNvPr id="314" name="Image 314"/>
                          <pic:cNvPicPr/>
                        </pic:nvPicPr>
                        <pic:blipFill>
                          <a:blip r:embed="rId102" cstate="print"/>
                          <a:stretch>
                            <a:fillRect/>
                          </a:stretch>
                        </pic:blipFill>
                        <pic:spPr>
                          <a:xfrm>
                            <a:off x="983033" y="630749"/>
                            <a:ext cx="88900" cy="165100"/>
                          </a:xfrm>
                          <a:prstGeom prst="rect">
                            <a:avLst/>
                          </a:prstGeom>
                        </pic:spPr>
                      </pic:pic>
                      <pic:pic>
                        <pic:nvPicPr>
                          <pic:cNvPr id="315" name="Image 315"/>
                          <pic:cNvPicPr/>
                        </pic:nvPicPr>
                        <pic:blipFill>
                          <a:blip r:embed="rId103" cstate="print"/>
                          <a:stretch>
                            <a:fillRect/>
                          </a:stretch>
                        </pic:blipFill>
                        <pic:spPr>
                          <a:xfrm>
                            <a:off x="983033" y="491049"/>
                            <a:ext cx="101600" cy="177800"/>
                          </a:xfrm>
                          <a:prstGeom prst="rect">
                            <a:avLst/>
                          </a:prstGeom>
                        </pic:spPr>
                      </pic:pic>
                      <pic:pic>
                        <pic:nvPicPr>
                          <pic:cNvPr id="316" name="Image 316"/>
                          <pic:cNvPicPr/>
                        </pic:nvPicPr>
                        <pic:blipFill>
                          <a:blip r:embed="rId104" cstate="print"/>
                          <a:stretch>
                            <a:fillRect/>
                          </a:stretch>
                        </pic:blipFill>
                        <pic:spPr>
                          <a:xfrm>
                            <a:off x="1059233" y="478349"/>
                            <a:ext cx="215900" cy="292100"/>
                          </a:xfrm>
                          <a:prstGeom prst="rect">
                            <a:avLst/>
                          </a:prstGeom>
                        </pic:spPr>
                      </pic:pic>
                      <pic:pic>
                        <pic:nvPicPr>
                          <pic:cNvPr id="317" name="Image 317"/>
                          <pic:cNvPicPr/>
                        </pic:nvPicPr>
                        <pic:blipFill>
                          <a:blip r:embed="rId105" cstate="print"/>
                          <a:stretch>
                            <a:fillRect/>
                          </a:stretch>
                        </pic:blipFill>
                        <pic:spPr>
                          <a:xfrm>
                            <a:off x="1262433" y="605349"/>
                            <a:ext cx="127000" cy="152400"/>
                          </a:xfrm>
                          <a:prstGeom prst="rect">
                            <a:avLst/>
                          </a:prstGeom>
                        </pic:spPr>
                      </pic:pic>
                      <pic:pic>
                        <pic:nvPicPr>
                          <pic:cNvPr id="318" name="Image 318"/>
                          <pic:cNvPicPr/>
                        </pic:nvPicPr>
                        <pic:blipFill>
                          <a:blip r:embed="rId106" cstate="print"/>
                          <a:stretch>
                            <a:fillRect/>
                          </a:stretch>
                        </pic:blipFill>
                        <pic:spPr>
                          <a:xfrm>
                            <a:off x="1249733" y="478349"/>
                            <a:ext cx="127000" cy="139700"/>
                          </a:xfrm>
                          <a:prstGeom prst="rect">
                            <a:avLst/>
                          </a:prstGeom>
                        </pic:spPr>
                      </pic:pic>
                      <pic:pic>
                        <pic:nvPicPr>
                          <pic:cNvPr id="319" name="Image 319"/>
                          <pic:cNvPicPr/>
                        </pic:nvPicPr>
                        <pic:blipFill>
                          <a:blip r:embed="rId107" cstate="print"/>
                          <a:stretch>
                            <a:fillRect/>
                          </a:stretch>
                        </pic:blipFill>
                        <pic:spPr>
                          <a:xfrm>
                            <a:off x="1364033" y="491049"/>
                            <a:ext cx="177800" cy="279400"/>
                          </a:xfrm>
                          <a:prstGeom prst="rect">
                            <a:avLst/>
                          </a:prstGeom>
                        </pic:spPr>
                      </pic:pic>
                      <pic:pic>
                        <pic:nvPicPr>
                          <pic:cNvPr id="320" name="Image 320"/>
                          <pic:cNvPicPr/>
                        </pic:nvPicPr>
                        <pic:blipFill>
                          <a:blip r:embed="rId108" cstate="print"/>
                          <a:stretch>
                            <a:fillRect/>
                          </a:stretch>
                        </pic:blipFill>
                        <pic:spPr>
                          <a:xfrm>
                            <a:off x="221033" y="541849"/>
                            <a:ext cx="139700" cy="152400"/>
                          </a:xfrm>
                          <a:prstGeom prst="rect">
                            <a:avLst/>
                          </a:prstGeom>
                        </pic:spPr>
                      </pic:pic>
                      <pic:pic>
                        <pic:nvPicPr>
                          <pic:cNvPr id="321" name="Image 321"/>
                          <pic:cNvPicPr/>
                        </pic:nvPicPr>
                        <pic:blipFill>
                          <a:blip r:embed="rId109" cstate="print"/>
                          <a:stretch>
                            <a:fillRect/>
                          </a:stretch>
                        </pic:blipFill>
                        <pic:spPr>
                          <a:xfrm>
                            <a:off x="309933" y="516449"/>
                            <a:ext cx="127000" cy="165100"/>
                          </a:xfrm>
                          <a:prstGeom prst="rect">
                            <a:avLst/>
                          </a:prstGeom>
                        </pic:spPr>
                      </pic:pic>
                      <pic:pic>
                        <pic:nvPicPr>
                          <pic:cNvPr id="322" name="Image 322"/>
                          <pic:cNvPicPr/>
                        </pic:nvPicPr>
                        <pic:blipFill>
                          <a:blip r:embed="rId110" cstate="print"/>
                          <a:stretch>
                            <a:fillRect/>
                          </a:stretch>
                        </pic:blipFill>
                        <pic:spPr>
                          <a:xfrm>
                            <a:off x="398833" y="503749"/>
                            <a:ext cx="114300" cy="165100"/>
                          </a:xfrm>
                          <a:prstGeom prst="rect">
                            <a:avLst/>
                          </a:prstGeom>
                        </pic:spPr>
                      </pic:pic>
                      <pic:pic>
                        <pic:nvPicPr>
                          <pic:cNvPr id="323" name="Image 323"/>
                          <pic:cNvPicPr/>
                        </pic:nvPicPr>
                        <pic:blipFill>
                          <a:blip r:embed="rId111" cstate="print"/>
                          <a:stretch>
                            <a:fillRect/>
                          </a:stretch>
                        </pic:blipFill>
                        <pic:spPr>
                          <a:xfrm>
                            <a:off x="475033" y="503749"/>
                            <a:ext cx="114300" cy="152400"/>
                          </a:xfrm>
                          <a:prstGeom prst="rect">
                            <a:avLst/>
                          </a:prstGeom>
                        </pic:spPr>
                      </pic:pic>
                      <pic:pic>
                        <pic:nvPicPr>
                          <pic:cNvPr id="324" name="Image 324"/>
                          <pic:cNvPicPr/>
                        </pic:nvPicPr>
                        <pic:blipFill>
                          <a:blip r:embed="rId112" cstate="print"/>
                          <a:stretch>
                            <a:fillRect/>
                          </a:stretch>
                        </pic:blipFill>
                        <pic:spPr>
                          <a:xfrm>
                            <a:off x="551233" y="465649"/>
                            <a:ext cx="241300" cy="177800"/>
                          </a:xfrm>
                          <a:prstGeom prst="rect">
                            <a:avLst/>
                          </a:prstGeom>
                        </pic:spPr>
                      </pic:pic>
                      <pic:pic>
                        <pic:nvPicPr>
                          <pic:cNvPr id="325" name="Image 325"/>
                          <pic:cNvPicPr/>
                        </pic:nvPicPr>
                        <pic:blipFill>
                          <a:blip r:embed="rId113" cstate="print"/>
                          <a:stretch>
                            <a:fillRect/>
                          </a:stretch>
                        </pic:blipFill>
                        <pic:spPr>
                          <a:xfrm>
                            <a:off x="754433" y="427549"/>
                            <a:ext cx="139700" cy="177800"/>
                          </a:xfrm>
                          <a:prstGeom prst="rect">
                            <a:avLst/>
                          </a:prstGeom>
                        </pic:spPr>
                      </pic:pic>
                      <pic:pic>
                        <pic:nvPicPr>
                          <pic:cNvPr id="326" name="Image 326"/>
                          <pic:cNvPicPr/>
                        </pic:nvPicPr>
                        <pic:blipFill>
                          <a:blip r:embed="rId114" cstate="print"/>
                          <a:stretch>
                            <a:fillRect/>
                          </a:stretch>
                        </pic:blipFill>
                        <pic:spPr>
                          <a:xfrm>
                            <a:off x="881433" y="465649"/>
                            <a:ext cx="127000" cy="114300"/>
                          </a:xfrm>
                          <a:prstGeom prst="rect">
                            <a:avLst/>
                          </a:prstGeom>
                        </pic:spPr>
                      </pic:pic>
                      <pic:pic>
                        <pic:nvPicPr>
                          <pic:cNvPr id="327" name="Image 327"/>
                          <pic:cNvPicPr/>
                        </pic:nvPicPr>
                        <pic:blipFill>
                          <a:blip r:embed="rId115" cstate="print"/>
                          <a:stretch>
                            <a:fillRect/>
                          </a:stretch>
                        </pic:blipFill>
                        <pic:spPr>
                          <a:xfrm>
                            <a:off x="881433" y="402149"/>
                            <a:ext cx="127000" cy="114300"/>
                          </a:xfrm>
                          <a:prstGeom prst="rect">
                            <a:avLst/>
                          </a:prstGeom>
                        </pic:spPr>
                      </pic:pic>
                      <pic:pic>
                        <pic:nvPicPr>
                          <pic:cNvPr id="328" name="Image 328"/>
                          <pic:cNvPicPr/>
                        </pic:nvPicPr>
                        <pic:blipFill>
                          <a:blip r:embed="rId116" cstate="print"/>
                          <a:stretch>
                            <a:fillRect/>
                          </a:stretch>
                        </pic:blipFill>
                        <pic:spPr>
                          <a:xfrm>
                            <a:off x="995733" y="414849"/>
                            <a:ext cx="177800" cy="127000"/>
                          </a:xfrm>
                          <a:prstGeom prst="rect">
                            <a:avLst/>
                          </a:prstGeom>
                        </pic:spPr>
                      </pic:pic>
                      <pic:pic>
                        <pic:nvPicPr>
                          <pic:cNvPr id="329" name="Image 329"/>
                          <pic:cNvPicPr/>
                        </pic:nvPicPr>
                        <pic:blipFill>
                          <a:blip r:embed="rId117" cstate="print"/>
                          <a:stretch>
                            <a:fillRect/>
                          </a:stretch>
                        </pic:blipFill>
                        <pic:spPr>
                          <a:xfrm>
                            <a:off x="995733" y="351349"/>
                            <a:ext cx="177800" cy="127000"/>
                          </a:xfrm>
                          <a:prstGeom prst="rect">
                            <a:avLst/>
                          </a:prstGeom>
                        </pic:spPr>
                      </pic:pic>
                      <pic:pic>
                        <pic:nvPicPr>
                          <pic:cNvPr id="330" name="Image 330"/>
                          <pic:cNvPicPr/>
                        </pic:nvPicPr>
                        <pic:blipFill>
                          <a:blip r:embed="rId118" cstate="print"/>
                          <a:stretch>
                            <a:fillRect/>
                          </a:stretch>
                        </pic:blipFill>
                        <pic:spPr>
                          <a:xfrm>
                            <a:off x="1148133" y="351349"/>
                            <a:ext cx="228600" cy="152400"/>
                          </a:xfrm>
                          <a:prstGeom prst="rect">
                            <a:avLst/>
                          </a:prstGeom>
                        </pic:spPr>
                      </pic:pic>
                      <pic:pic>
                        <pic:nvPicPr>
                          <pic:cNvPr id="331" name="Image 331"/>
                          <pic:cNvPicPr/>
                        </pic:nvPicPr>
                        <pic:blipFill>
                          <a:blip r:embed="rId119" cstate="print"/>
                          <a:stretch>
                            <a:fillRect/>
                          </a:stretch>
                        </pic:blipFill>
                        <pic:spPr>
                          <a:xfrm>
                            <a:off x="1313233" y="351349"/>
                            <a:ext cx="215900" cy="152400"/>
                          </a:xfrm>
                          <a:prstGeom prst="rect">
                            <a:avLst/>
                          </a:prstGeom>
                        </pic:spPr>
                      </pic:pic>
                      <pic:pic>
                        <pic:nvPicPr>
                          <pic:cNvPr id="332" name="Image 332"/>
                          <pic:cNvPicPr/>
                        </pic:nvPicPr>
                        <pic:blipFill>
                          <a:blip r:embed="rId120" cstate="print"/>
                          <a:stretch>
                            <a:fillRect/>
                          </a:stretch>
                        </pic:blipFill>
                        <pic:spPr>
                          <a:xfrm>
                            <a:off x="271833" y="465649"/>
                            <a:ext cx="114300" cy="101600"/>
                          </a:xfrm>
                          <a:prstGeom prst="rect">
                            <a:avLst/>
                          </a:prstGeom>
                        </pic:spPr>
                      </pic:pic>
                      <pic:pic>
                        <pic:nvPicPr>
                          <pic:cNvPr id="333" name="Image 333"/>
                          <pic:cNvPicPr/>
                        </pic:nvPicPr>
                        <pic:blipFill>
                          <a:blip r:embed="rId121" cstate="print"/>
                          <a:stretch>
                            <a:fillRect/>
                          </a:stretch>
                        </pic:blipFill>
                        <pic:spPr>
                          <a:xfrm>
                            <a:off x="348033" y="452949"/>
                            <a:ext cx="114300" cy="101600"/>
                          </a:xfrm>
                          <a:prstGeom prst="rect">
                            <a:avLst/>
                          </a:prstGeom>
                        </pic:spPr>
                      </pic:pic>
                      <pic:pic>
                        <pic:nvPicPr>
                          <pic:cNvPr id="334" name="Image 334"/>
                          <pic:cNvPicPr/>
                        </pic:nvPicPr>
                        <pic:blipFill>
                          <a:blip r:embed="rId122" cstate="print"/>
                          <a:stretch>
                            <a:fillRect/>
                          </a:stretch>
                        </pic:blipFill>
                        <pic:spPr>
                          <a:xfrm>
                            <a:off x="297233" y="351349"/>
                            <a:ext cx="152400" cy="152400"/>
                          </a:xfrm>
                          <a:prstGeom prst="rect">
                            <a:avLst/>
                          </a:prstGeom>
                        </pic:spPr>
                      </pic:pic>
                      <pic:pic>
                        <pic:nvPicPr>
                          <pic:cNvPr id="335" name="Image 335"/>
                          <pic:cNvPicPr/>
                        </pic:nvPicPr>
                        <pic:blipFill>
                          <a:blip r:embed="rId123" cstate="print"/>
                          <a:stretch>
                            <a:fillRect/>
                          </a:stretch>
                        </pic:blipFill>
                        <pic:spPr>
                          <a:xfrm>
                            <a:off x="373433" y="313249"/>
                            <a:ext cx="139700" cy="165100"/>
                          </a:xfrm>
                          <a:prstGeom prst="rect">
                            <a:avLst/>
                          </a:prstGeom>
                        </pic:spPr>
                      </pic:pic>
                      <pic:pic>
                        <pic:nvPicPr>
                          <pic:cNvPr id="336" name="Image 336"/>
                          <pic:cNvPicPr/>
                        </pic:nvPicPr>
                        <pic:blipFill>
                          <a:blip r:embed="rId124" cstate="print"/>
                          <a:stretch>
                            <a:fillRect/>
                          </a:stretch>
                        </pic:blipFill>
                        <pic:spPr>
                          <a:xfrm>
                            <a:off x="424233" y="275149"/>
                            <a:ext cx="228600" cy="254000"/>
                          </a:xfrm>
                          <a:prstGeom prst="rect">
                            <a:avLst/>
                          </a:prstGeom>
                        </pic:spPr>
                      </pic:pic>
                      <pic:pic>
                        <pic:nvPicPr>
                          <pic:cNvPr id="337" name="Image 337"/>
                          <pic:cNvPicPr/>
                        </pic:nvPicPr>
                        <pic:blipFill>
                          <a:blip r:embed="rId125" cstate="print"/>
                          <a:stretch>
                            <a:fillRect/>
                          </a:stretch>
                        </pic:blipFill>
                        <pic:spPr>
                          <a:xfrm>
                            <a:off x="576633" y="364049"/>
                            <a:ext cx="152400" cy="152400"/>
                          </a:xfrm>
                          <a:prstGeom prst="rect">
                            <a:avLst/>
                          </a:prstGeom>
                        </pic:spPr>
                      </pic:pic>
                      <pic:pic>
                        <pic:nvPicPr>
                          <pic:cNvPr id="338" name="Image 338"/>
                          <pic:cNvPicPr/>
                        </pic:nvPicPr>
                        <pic:blipFill>
                          <a:blip r:embed="rId126" cstate="print"/>
                          <a:stretch>
                            <a:fillRect/>
                          </a:stretch>
                        </pic:blipFill>
                        <pic:spPr>
                          <a:xfrm>
                            <a:off x="602033" y="249749"/>
                            <a:ext cx="152400" cy="152400"/>
                          </a:xfrm>
                          <a:prstGeom prst="rect">
                            <a:avLst/>
                          </a:prstGeom>
                        </pic:spPr>
                      </pic:pic>
                      <pic:pic>
                        <pic:nvPicPr>
                          <pic:cNvPr id="339" name="Image 339"/>
                          <pic:cNvPicPr/>
                        </pic:nvPicPr>
                        <pic:blipFill>
                          <a:blip r:embed="rId127" cstate="print"/>
                          <a:stretch>
                            <a:fillRect/>
                          </a:stretch>
                        </pic:blipFill>
                        <pic:spPr>
                          <a:xfrm>
                            <a:off x="690933" y="338649"/>
                            <a:ext cx="127000" cy="152400"/>
                          </a:xfrm>
                          <a:prstGeom prst="rect">
                            <a:avLst/>
                          </a:prstGeom>
                        </pic:spPr>
                      </pic:pic>
                      <pic:pic>
                        <pic:nvPicPr>
                          <pic:cNvPr id="340" name="Image 340"/>
                          <pic:cNvPicPr/>
                        </pic:nvPicPr>
                        <pic:blipFill>
                          <a:blip r:embed="rId128" cstate="print"/>
                          <a:stretch>
                            <a:fillRect/>
                          </a:stretch>
                        </pic:blipFill>
                        <pic:spPr>
                          <a:xfrm>
                            <a:off x="716333" y="224349"/>
                            <a:ext cx="114300" cy="152400"/>
                          </a:xfrm>
                          <a:prstGeom prst="rect">
                            <a:avLst/>
                          </a:prstGeom>
                        </pic:spPr>
                      </pic:pic>
                      <pic:pic>
                        <pic:nvPicPr>
                          <pic:cNvPr id="341" name="Image 341"/>
                          <pic:cNvPicPr/>
                        </pic:nvPicPr>
                        <pic:blipFill>
                          <a:blip r:embed="rId129" cstate="print"/>
                          <a:stretch>
                            <a:fillRect/>
                          </a:stretch>
                        </pic:blipFill>
                        <pic:spPr>
                          <a:xfrm>
                            <a:off x="779833" y="287849"/>
                            <a:ext cx="228600" cy="190500"/>
                          </a:xfrm>
                          <a:prstGeom prst="rect">
                            <a:avLst/>
                          </a:prstGeom>
                        </pic:spPr>
                      </pic:pic>
                      <pic:pic>
                        <pic:nvPicPr>
                          <pic:cNvPr id="342" name="Image 342"/>
                          <pic:cNvPicPr/>
                        </pic:nvPicPr>
                        <pic:blipFill>
                          <a:blip r:embed="rId130" cstate="print"/>
                          <a:stretch>
                            <a:fillRect/>
                          </a:stretch>
                        </pic:blipFill>
                        <pic:spPr>
                          <a:xfrm>
                            <a:off x="805233" y="186249"/>
                            <a:ext cx="190500" cy="165100"/>
                          </a:xfrm>
                          <a:prstGeom prst="rect">
                            <a:avLst/>
                          </a:prstGeom>
                        </pic:spPr>
                      </pic:pic>
                      <pic:pic>
                        <pic:nvPicPr>
                          <pic:cNvPr id="343" name="Image 343"/>
                          <pic:cNvPicPr/>
                        </pic:nvPicPr>
                        <pic:blipFill>
                          <a:blip r:embed="rId131" cstate="print"/>
                          <a:stretch>
                            <a:fillRect/>
                          </a:stretch>
                        </pic:blipFill>
                        <pic:spPr>
                          <a:xfrm>
                            <a:off x="944933" y="143653"/>
                            <a:ext cx="241300" cy="271195"/>
                          </a:xfrm>
                          <a:prstGeom prst="rect">
                            <a:avLst/>
                          </a:prstGeom>
                        </pic:spPr>
                      </pic:pic>
                      <pic:pic>
                        <pic:nvPicPr>
                          <pic:cNvPr id="344" name="Image 344"/>
                          <pic:cNvPicPr/>
                        </pic:nvPicPr>
                        <pic:blipFill>
                          <a:blip r:embed="rId132" cstate="print"/>
                          <a:stretch>
                            <a:fillRect/>
                          </a:stretch>
                        </pic:blipFill>
                        <pic:spPr>
                          <a:xfrm>
                            <a:off x="1160833" y="249749"/>
                            <a:ext cx="88900" cy="114300"/>
                          </a:xfrm>
                          <a:prstGeom prst="rect">
                            <a:avLst/>
                          </a:prstGeom>
                        </pic:spPr>
                      </pic:pic>
                      <pic:pic>
                        <pic:nvPicPr>
                          <pic:cNvPr id="345" name="Image 345"/>
                          <pic:cNvPicPr/>
                        </pic:nvPicPr>
                        <pic:blipFill>
                          <a:blip r:embed="rId133" cstate="print"/>
                          <a:stretch>
                            <a:fillRect/>
                          </a:stretch>
                        </pic:blipFill>
                        <pic:spPr>
                          <a:xfrm>
                            <a:off x="1148133" y="143653"/>
                            <a:ext cx="101600" cy="118795"/>
                          </a:xfrm>
                          <a:prstGeom prst="rect">
                            <a:avLst/>
                          </a:prstGeom>
                        </pic:spPr>
                      </pic:pic>
                      <pic:pic>
                        <pic:nvPicPr>
                          <pic:cNvPr id="346" name="Image 346"/>
                          <pic:cNvPicPr/>
                        </pic:nvPicPr>
                        <pic:blipFill>
                          <a:blip r:embed="rId134" cstate="print"/>
                          <a:stretch>
                            <a:fillRect/>
                          </a:stretch>
                        </pic:blipFill>
                        <pic:spPr>
                          <a:xfrm>
                            <a:off x="1237033" y="249749"/>
                            <a:ext cx="88900" cy="114300"/>
                          </a:xfrm>
                          <a:prstGeom prst="rect">
                            <a:avLst/>
                          </a:prstGeom>
                        </pic:spPr>
                      </pic:pic>
                      <pic:pic>
                        <pic:nvPicPr>
                          <pic:cNvPr id="347" name="Image 347"/>
                          <pic:cNvPicPr/>
                        </pic:nvPicPr>
                        <pic:blipFill>
                          <a:blip r:embed="rId135" cstate="print"/>
                          <a:stretch>
                            <a:fillRect/>
                          </a:stretch>
                        </pic:blipFill>
                        <pic:spPr>
                          <a:xfrm>
                            <a:off x="1211633" y="148149"/>
                            <a:ext cx="101600" cy="114300"/>
                          </a:xfrm>
                          <a:prstGeom prst="rect">
                            <a:avLst/>
                          </a:prstGeom>
                        </pic:spPr>
                      </pic:pic>
                      <pic:pic>
                        <pic:nvPicPr>
                          <pic:cNvPr id="348" name="Image 348"/>
                          <pic:cNvPicPr/>
                        </pic:nvPicPr>
                        <pic:blipFill>
                          <a:blip r:embed="rId136" cstate="print"/>
                          <a:stretch>
                            <a:fillRect/>
                          </a:stretch>
                        </pic:blipFill>
                        <pic:spPr>
                          <a:xfrm>
                            <a:off x="1300533" y="249749"/>
                            <a:ext cx="127000" cy="127000"/>
                          </a:xfrm>
                          <a:prstGeom prst="rect">
                            <a:avLst/>
                          </a:prstGeom>
                        </pic:spPr>
                      </pic:pic>
                      <pic:pic>
                        <pic:nvPicPr>
                          <pic:cNvPr id="349" name="Image 349"/>
                          <pic:cNvPicPr/>
                        </pic:nvPicPr>
                        <pic:blipFill>
                          <a:blip r:embed="rId137" cstate="print"/>
                          <a:stretch>
                            <a:fillRect/>
                          </a:stretch>
                        </pic:blipFill>
                        <pic:spPr>
                          <a:xfrm>
                            <a:off x="1275133" y="160849"/>
                            <a:ext cx="139700" cy="127000"/>
                          </a:xfrm>
                          <a:prstGeom prst="rect">
                            <a:avLst/>
                          </a:prstGeom>
                        </pic:spPr>
                      </pic:pic>
                      <pic:pic>
                        <pic:nvPicPr>
                          <pic:cNvPr id="350" name="Image 350"/>
                          <pic:cNvPicPr/>
                        </pic:nvPicPr>
                        <pic:blipFill>
                          <a:blip r:embed="rId138" cstate="print"/>
                          <a:stretch>
                            <a:fillRect/>
                          </a:stretch>
                        </pic:blipFill>
                        <pic:spPr>
                          <a:xfrm>
                            <a:off x="1402133" y="275149"/>
                            <a:ext cx="127000" cy="127000"/>
                          </a:xfrm>
                          <a:prstGeom prst="rect">
                            <a:avLst/>
                          </a:prstGeom>
                        </pic:spPr>
                      </pic:pic>
                      <pic:pic>
                        <pic:nvPicPr>
                          <pic:cNvPr id="351" name="Image 351"/>
                          <pic:cNvPicPr/>
                        </pic:nvPicPr>
                        <pic:blipFill>
                          <a:blip r:embed="rId139" cstate="print"/>
                          <a:stretch>
                            <a:fillRect/>
                          </a:stretch>
                        </pic:blipFill>
                        <pic:spPr>
                          <a:xfrm>
                            <a:off x="1364033" y="198949"/>
                            <a:ext cx="139700" cy="127000"/>
                          </a:xfrm>
                          <a:prstGeom prst="rect">
                            <a:avLst/>
                          </a:prstGeom>
                        </pic:spPr>
                      </pic:pic>
                      <wps:wsp>
                        <wps:cNvPr id="352" name="Graphic 352"/>
                        <wps:cNvSpPr/>
                        <wps:spPr>
                          <a:xfrm>
                            <a:off x="140480" y="44083"/>
                            <a:ext cx="1405890" cy="1898650"/>
                          </a:xfrm>
                          <a:custGeom>
                            <a:avLst/>
                            <a:gdLst/>
                            <a:ahLst/>
                            <a:cxnLst/>
                            <a:rect l="l" t="t" r="r" b="b"/>
                            <a:pathLst>
                              <a:path w="1405890" h="1898650">
                                <a:moveTo>
                                  <a:pt x="165240" y="459677"/>
                                </a:moveTo>
                                <a:lnTo>
                                  <a:pt x="194018" y="417711"/>
                                </a:lnTo>
                                <a:lnTo>
                                  <a:pt x="223484" y="381359"/>
                                </a:lnTo>
                                <a:lnTo>
                                  <a:pt x="254186" y="350033"/>
                                </a:lnTo>
                                <a:lnTo>
                                  <a:pt x="286670" y="323144"/>
                                </a:lnTo>
                                <a:lnTo>
                                  <a:pt x="321484" y="300107"/>
                                </a:lnTo>
                                <a:lnTo>
                                  <a:pt x="359174" y="280332"/>
                                </a:lnTo>
                                <a:lnTo>
                                  <a:pt x="400288" y="263234"/>
                                </a:lnTo>
                                <a:lnTo>
                                  <a:pt x="445372" y="248224"/>
                                </a:lnTo>
                                <a:lnTo>
                                  <a:pt x="494973" y="234714"/>
                                </a:lnTo>
                                <a:lnTo>
                                  <a:pt x="549639" y="222118"/>
                                </a:lnTo>
                                <a:lnTo>
                                  <a:pt x="609916" y="209849"/>
                                </a:lnTo>
                                <a:lnTo>
                                  <a:pt x="671522" y="195291"/>
                                </a:lnTo>
                                <a:lnTo>
                                  <a:pt x="723350" y="178624"/>
                                </a:lnTo>
                                <a:lnTo>
                                  <a:pt x="768269" y="161020"/>
                                </a:lnTo>
                                <a:lnTo>
                                  <a:pt x="809148" y="143650"/>
                                </a:lnTo>
                                <a:lnTo>
                                  <a:pt x="848856" y="127685"/>
                                </a:lnTo>
                                <a:lnTo>
                                  <a:pt x="890263" y="114297"/>
                                </a:lnTo>
                                <a:lnTo>
                                  <a:pt x="936237" y="104656"/>
                                </a:lnTo>
                                <a:lnTo>
                                  <a:pt x="989647" y="99936"/>
                                </a:lnTo>
                                <a:lnTo>
                                  <a:pt x="1036606" y="101131"/>
                                </a:lnTo>
                                <a:lnTo>
                                  <a:pt x="1084090" y="107482"/>
                                </a:lnTo>
                                <a:lnTo>
                                  <a:pt x="1131153" y="118642"/>
                                </a:lnTo>
                                <a:lnTo>
                                  <a:pt x="1176854" y="134269"/>
                                </a:lnTo>
                                <a:lnTo>
                                  <a:pt x="1220249" y="154016"/>
                                </a:lnTo>
                                <a:lnTo>
                                  <a:pt x="1260395" y="177541"/>
                                </a:lnTo>
                                <a:lnTo>
                                  <a:pt x="1296348" y="204498"/>
                                </a:lnTo>
                                <a:lnTo>
                                  <a:pt x="1327165" y="234543"/>
                                </a:lnTo>
                                <a:lnTo>
                                  <a:pt x="1351902" y="267332"/>
                                </a:lnTo>
                                <a:lnTo>
                                  <a:pt x="1369617" y="302520"/>
                                </a:lnTo>
                                <a:lnTo>
                                  <a:pt x="1379366" y="339763"/>
                                </a:lnTo>
                                <a:lnTo>
                                  <a:pt x="1384652" y="401347"/>
                                </a:lnTo>
                                <a:lnTo>
                                  <a:pt x="1387080" y="446353"/>
                                </a:lnTo>
                                <a:lnTo>
                                  <a:pt x="1389370" y="498466"/>
                                </a:lnTo>
                                <a:lnTo>
                                  <a:pt x="1391525" y="555911"/>
                                </a:lnTo>
                                <a:lnTo>
                                  <a:pt x="1393549" y="616912"/>
                                </a:lnTo>
                                <a:lnTo>
                                  <a:pt x="1395445" y="679693"/>
                                </a:lnTo>
                                <a:lnTo>
                                  <a:pt x="1397218" y="742478"/>
                                </a:lnTo>
                                <a:lnTo>
                                  <a:pt x="1398870" y="803491"/>
                                </a:lnTo>
                                <a:lnTo>
                                  <a:pt x="1400405" y="860955"/>
                                </a:lnTo>
                                <a:lnTo>
                                  <a:pt x="1401827" y="913095"/>
                                </a:lnTo>
                                <a:lnTo>
                                  <a:pt x="1403139" y="958136"/>
                                </a:lnTo>
                                <a:lnTo>
                                  <a:pt x="1404345" y="994300"/>
                                </a:lnTo>
                                <a:lnTo>
                                  <a:pt x="1405278" y="1030734"/>
                                </a:lnTo>
                                <a:lnTo>
                                  <a:pt x="1405252" y="1071922"/>
                                </a:lnTo>
                                <a:lnTo>
                                  <a:pt x="1403776" y="1116856"/>
                                </a:lnTo>
                                <a:lnTo>
                                  <a:pt x="1400361" y="1164531"/>
                                </a:lnTo>
                                <a:lnTo>
                                  <a:pt x="1394517" y="1213941"/>
                                </a:lnTo>
                                <a:lnTo>
                                  <a:pt x="1385755" y="1264081"/>
                                </a:lnTo>
                                <a:lnTo>
                                  <a:pt x="1373584" y="1313943"/>
                                </a:lnTo>
                                <a:lnTo>
                                  <a:pt x="1357515" y="1362523"/>
                                </a:lnTo>
                                <a:lnTo>
                                  <a:pt x="1337058" y="1408815"/>
                                </a:lnTo>
                                <a:lnTo>
                                  <a:pt x="1311724" y="1451812"/>
                                </a:lnTo>
                                <a:lnTo>
                                  <a:pt x="1281022" y="1490509"/>
                                </a:lnTo>
                                <a:lnTo>
                                  <a:pt x="1244464" y="1523899"/>
                                </a:lnTo>
                                <a:lnTo>
                                  <a:pt x="1175555" y="1573954"/>
                                </a:lnTo>
                                <a:lnTo>
                                  <a:pt x="1117888" y="1611242"/>
                                </a:lnTo>
                                <a:lnTo>
                                  <a:pt x="1070214" y="1638816"/>
                                </a:lnTo>
                                <a:lnTo>
                                  <a:pt x="1031284" y="1659728"/>
                                </a:lnTo>
                                <a:lnTo>
                                  <a:pt x="999848" y="1677032"/>
                                </a:lnTo>
                                <a:lnTo>
                                  <a:pt x="974658" y="1693781"/>
                                </a:lnTo>
                                <a:lnTo>
                                  <a:pt x="923993" y="1731521"/>
                                </a:lnTo>
                                <a:lnTo>
                                  <a:pt x="876010" y="1763842"/>
                                </a:lnTo>
                                <a:lnTo>
                                  <a:pt x="829811" y="1791444"/>
                                </a:lnTo>
                                <a:lnTo>
                                  <a:pt x="784498" y="1815026"/>
                                </a:lnTo>
                                <a:lnTo>
                                  <a:pt x="739171" y="1835287"/>
                                </a:lnTo>
                                <a:lnTo>
                                  <a:pt x="692932" y="1852925"/>
                                </a:lnTo>
                                <a:lnTo>
                                  <a:pt x="644883" y="1868639"/>
                                </a:lnTo>
                                <a:lnTo>
                                  <a:pt x="591654" y="1883062"/>
                                </a:lnTo>
                                <a:lnTo>
                                  <a:pt x="541858" y="1892799"/>
                                </a:lnTo>
                                <a:lnTo>
                                  <a:pt x="495077" y="1897858"/>
                                </a:lnTo>
                                <a:lnTo>
                                  <a:pt x="450889" y="1898243"/>
                                </a:lnTo>
                                <a:lnTo>
                                  <a:pt x="408873" y="1893959"/>
                                </a:lnTo>
                                <a:lnTo>
                                  <a:pt x="368609" y="1885013"/>
                                </a:lnTo>
                                <a:lnTo>
                                  <a:pt x="329676" y="1871411"/>
                                </a:lnTo>
                                <a:lnTo>
                                  <a:pt x="291655" y="1853156"/>
                                </a:lnTo>
                                <a:lnTo>
                                  <a:pt x="254123" y="1830256"/>
                                </a:lnTo>
                                <a:lnTo>
                                  <a:pt x="216660" y="1802716"/>
                                </a:lnTo>
                                <a:lnTo>
                                  <a:pt x="178847" y="1770541"/>
                                </a:lnTo>
                                <a:lnTo>
                                  <a:pt x="140262" y="1733736"/>
                                </a:lnTo>
                                <a:lnTo>
                                  <a:pt x="97590" y="1686473"/>
                                </a:lnTo>
                                <a:lnTo>
                                  <a:pt x="63419" y="1639263"/>
                                </a:lnTo>
                                <a:lnTo>
                                  <a:pt x="37186" y="1592676"/>
                                </a:lnTo>
                                <a:lnTo>
                                  <a:pt x="18326" y="1547284"/>
                                </a:lnTo>
                                <a:lnTo>
                                  <a:pt x="6276" y="1503657"/>
                                </a:lnTo>
                                <a:lnTo>
                                  <a:pt x="470" y="1462364"/>
                                </a:lnTo>
                                <a:lnTo>
                                  <a:pt x="347" y="1423975"/>
                                </a:lnTo>
                                <a:lnTo>
                                  <a:pt x="3269" y="1350666"/>
                                </a:lnTo>
                                <a:lnTo>
                                  <a:pt x="2114" y="1299185"/>
                                </a:lnTo>
                                <a:lnTo>
                                  <a:pt x="0" y="1261374"/>
                                </a:lnTo>
                                <a:lnTo>
                                  <a:pt x="42" y="1229077"/>
                                </a:lnTo>
                                <a:lnTo>
                                  <a:pt x="5359" y="1194136"/>
                                </a:lnTo>
                                <a:lnTo>
                                  <a:pt x="8996" y="1173717"/>
                                </a:lnTo>
                                <a:lnTo>
                                  <a:pt x="12912" y="1144045"/>
                                </a:lnTo>
                                <a:lnTo>
                                  <a:pt x="17276" y="1106315"/>
                                </a:lnTo>
                                <a:lnTo>
                                  <a:pt x="22253" y="1061720"/>
                                </a:lnTo>
                                <a:lnTo>
                                  <a:pt x="28011" y="1011455"/>
                                </a:lnTo>
                                <a:lnTo>
                                  <a:pt x="34717" y="956713"/>
                                </a:lnTo>
                                <a:lnTo>
                                  <a:pt x="42537" y="898690"/>
                                </a:lnTo>
                                <a:lnTo>
                                  <a:pt x="51638" y="838580"/>
                                </a:lnTo>
                                <a:lnTo>
                                  <a:pt x="62188" y="777577"/>
                                </a:lnTo>
                                <a:lnTo>
                                  <a:pt x="74352" y="716874"/>
                                </a:lnTo>
                                <a:lnTo>
                                  <a:pt x="88298" y="657667"/>
                                </a:lnTo>
                                <a:lnTo>
                                  <a:pt x="104193" y="601149"/>
                                </a:lnTo>
                                <a:lnTo>
                                  <a:pt x="122204" y="548516"/>
                                </a:lnTo>
                                <a:lnTo>
                                  <a:pt x="142497" y="500960"/>
                                </a:lnTo>
                                <a:lnTo>
                                  <a:pt x="165240" y="459677"/>
                                </a:lnTo>
                                <a:close/>
                              </a:path>
                              <a:path w="1405890" h="1898650">
                                <a:moveTo>
                                  <a:pt x="567449" y="97435"/>
                                </a:moveTo>
                                <a:lnTo>
                                  <a:pt x="572485" y="72964"/>
                                </a:lnTo>
                                <a:lnTo>
                                  <a:pt x="585251" y="53410"/>
                                </a:lnTo>
                                <a:lnTo>
                                  <a:pt x="607851" y="35259"/>
                                </a:lnTo>
                                <a:lnTo>
                                  <a:pt x="642395" y="15001"/>
                                </a:lnTo>
                              </a:path>
                              <a:path w="1405890" h="1898650">
                                <a:moveTo>
                                  <a:pt x="859732" y="0"/>
                                </a:moveTo>
                                <a:lnTo>
                                  <a:pt x="874298" y="10506"/>
                                </a:lnTo>
                                <a:lnTo>
                                  <a:pt x="893780" y="24053"/>
                                </a:lnTo>
                                <a:lnTo>
                                  <a:pt x="909979" y="41813"/>
                                </a:lnTo>
                                <a:lnTo>
                                  <a:pt x="914701" y="64957"/>
                                </a:lnTo>
                              </a:path>
                            </a:pathLst>
                          </a:custGeom>
                          <a:ln w="11849">
                            <a:solidFill>
                              <a:srgbClr val="231F20"/>
                            </a:solidFill>
                            <a:prstDash val="solid"/>
                          </a:ln>
                        </wps:spPr>
                        <wps:bodyPr wrap="square" lIns="0" tIns="0" rIns="0" bIns="0" rtlCol="0">
                          <a:prstTxWarp prst="textNoShape">
                            <a:avLst/>
                          </a:prstTxWarp>
                          <a:noAutofit/>
                        </wps:bodyPr>
                      </wps:wsp>
                      <wps:wsp>
                        <wps:cNvPr id="353" name="Graphic 353"/>
                        <wps:cNvSpPr/>
                        <wps:spPr>
                          <a:xfrm>
                            <a:off x="440623" y="228810"/>
                            <a:ext cx="234950" cy="95250"/>
                          </a:xfrm>
                          <a:custGeom>
                            <a:avLst/>
                            <a:gdLst/>
                            <a:ahLst/>
                            <a:cxnLst/>
                            <a:rect l="l" t="t" r="r" b="b"/>
                            <a:pathLst>
                              <a:path w="234950" h="95250">
                                <a:moveTo>
                                  <a:pt x="0" y="95091"/>
                                </a:moveTo>
                                <a:lnTo>
                                  <a:pt x="37467" y="55112"/>
                                </a:lnTo>
                                <a:lnTo>
                                  <a:pt x="80891" y="28361"/>
                                </a:lnTo>
                                <a:lnTo>
                                  <a:pt x="122413" y="12657"/>
                                </a:lnTo>
                                <a:lnTo>
                                  <a:pt x="186116" y="784"/>
                                </a:lnTo>
                                <a:lnTo>
                                  <a:pt x="214451" y="0"/>
                                </a:lnTo>
                                <a:lnTo>
                                  <a:pt x="234827" y="7644"/>
                                </a:lnTo>
                              </a:path>
                            </a:pathLst>
                          </a:custGeom>
                          <a:ln w="5924">
                            <a:solidFill>
                              <a:srgbClr val="231F20"/>
                            </a:solidFill>
                            <a:prstDash val="solid"/>
                          </a:ln>
                        </wps:spPr>
                        <wps:bodyPr wrap="square" lIns="0" tIns="0" rIns="0" bIns="0" rtlCol="0">
                          <a:prstTxWarp prst="textNoShape">
                            <a:avLst/>
                          </a:prstTxWarp>
                          <a:noAutofit/>
                        </wps:bodyPr>
                      </wps:wsp>
                      <wps:wsp>
                        <wps:cNvPr id="354" name="Graphic 354"/>
                        <wps:cNvSpPr/>
                        <wps:spPr>
                          <a:xfrm>
                            <a:off x="455612" y="208135"/>
                            <a:ext cx="222885" cy="90805"/>
                          </a:xfrm>
                          <a:custGeom>
                            <a:avLst/>
                            <a:gdLst/>
                            <a:ahLst/>
                            <a:cxnLst/>
                            <a:rect l="l" t="t" r="r" b="b"/>
                            <a:pathLst>
                              <a:path w="222885" h="90805">
                                <a:moveTo>
                                  <a:pt x="0" y="90776"/>
                                </a:moveTo>
                                <a:lnTo>
                                  <a:pt x="27758" y="47562"/>
                                </a:lnTo>
                                <a:lnTo>
                                  <a:pt x="64467" y="22857"/>
                                </a:lnTo>
                                <a:lnTo>
                                  <a:pt x="111735" y="4746"/>
                                </a:lnTo>
                                <a:lnTo>
                                  <a:pt x="157657" y="0"/>
                                </a:lnTo>
                                <a:lnTo>
                                  <a:pt x="184205" y="2243"/>
                                </a:lnTo>
                                <a:lnTo>
                                  <a:pt x="207961" y="10030"/>
                                </a:lnTo>
                                <a:lnTo>
                                  <a:pt x="222338" y="25819"/>
                                </a:lnTo>
                              </a:path>
                            </a:pathLst>
                          </a:custGeom>
                          <a:ln w="11849">
                            <a:solidFill>
                              <a:srgbClr val="231F20"/>
                            </a:solidFill>
                            <a:prstDash val="solid"/>
                          </a:ln>
                        </wps:spPr>
                        <wps:bodyPr wrap="square" lIns="0" tIns="0" rIns="0" bIns="0" rtlCol="0">
                          <a:prstTxWarp prst="textNoShape">
                            <a:avLst/>
                          </a:prstTxWarp>
                          <a:noAutofit/>
                        </wps:bodyPr>
                      </wps:wsp>
                      <wps:wsp>
                        <wps:cNvPr id="355" name="Graphic 355"/>
                        <wps:cNvSpPr/>
                        <wps:spPr>
                          <a:xfrm>
                            <a:off x="652961" y="101564"/>
                            <a:ext cx="340360" cy="114935"/>
                          </a:xfrm>
                          <a:custGeom>
                            <a:avLst/>
                            <a:gdLst/>
                            <a:ahLst/>
                            <a:cxnLst/>
                            <a:rect l="l" t="t" r="r" b="b"/>
                            <a:pathLst>
                              <a:path w="340360" h="114935">
                                <a:moveTo>
                                  <a:pt x="179882" y="114913"/>
                                </a:moveTo>
                                <a:lnTo>
                                  <a:pt x="176718" y="90202"/>
                                </a:lnTo>
                                <a:lnTo>
                                  <a:pt x="173320" y="63382"/>
                                </a:lnTo>
                                <a:lnTo>
                                  <a:pt x="167581" y="37969"/>
                                </a:lnTo>
                                <a:lnTo>
                                  <a:pt x="157392" y="17477"/>
                                </a:lnTo>
                              </a:path>
                              <a:path w="340360" h="114935">
                                <a:moveTo>
                                  <a:pt x="327262" y="72445"/>
                                </a:moveTo>
                                <a:lnTo>
                                  <a:pt x="328161" y="59364"/>
                                </a:lnTo>
                                <a:lnTo>
                                  <a:pt x="330700" y="39026"/>
                                </a:lnTo>
                                <a:lnTo>
                                  <a:pt x="334645" y="17286"/>
                                </a:lnTo>
                                <a:lnTo>
                                  <a:pt x="339763" y="0"/>
                                </a:lnTo>
                              </a:path>
                              <a:path w="340360" h="114935">
                                <a:moveTo>
                                  <a:pt x="72457" y="57456"/>
                                </a:moveTo>
                                <a:lnTo>
                                  <a:pt x="57973" y="48748"/>
                                </a:lnTo>
                                <a:lnTo>
                                  <a:pt x="40912" y="36529"/>
                                </a:lnTo>
                                <a:lnTo>
                                  <a:pt x="21509" y="24779"/>
                                </a:lnTo>
                                <a:lnTo>
                                  <a:pt x="0" y="17477"/>
                                </a:lnTo>
                              </a:path>
                            </a:pathLst>
                          </a:custGeom>
                          <a:ln w="8886">
                            <a:solidFill>
                              <a:srgbClr val="231F20"/>
                            </a:solidFill>
                            <a:prstDash val="solid"/>
                          </a:ln>
                        </wps:spPr>
                        <wps:bodyPr wrap="square" lIns="0" tIns="0" rIns="0" bIns="0" rtlCol="0">
                          <a:prstTxWarp prst="textNoShape">
                            <a:avLst/>
                          </a:prstTxWarp>
                          <a:noAutofit/>
                        </wps:bodyPr>
                      </wps:wsp>
                      <wps:wsp>
                        <wps:cNvPr id="356" name="Graphic 356"/>
                        <wps:cNvSpPr/>
                        <wps:spPr>
                          <a:xfrm>
                            <a:off x="458113" y="183999"/>
                            <a:ext cx="182880" cy="92710"/>
                          </a:xfrm>
                          <a:custGeom>
                            <a:avLst/>
                            <a:gdLst/>
                            <a:ahLst/>
                            <a:cxnLst/>
                            <a:rect l="l" t="t" r="r" b="b"/>
                            <a:pathLst>
                              <a:path w="182880" h="92710">
                                <a:moveTo>
                                  <a:pt x="22477" y="92435"/>
                                </a:moveTo>
                                <a:lnTo>
                                  <a:pt x="18757" y="85457"/>
                                </a:lnTo>
                                <a:lnTo>
                                  <a:pt x="13847" y="79139"/>
                                </a:lnTo>
                                <a:lnTo>
                                  <a:pt x="7632" y="74471"/>
                                </a:lnTo>
                                <a:lnTo>
                                  <a:pt x="0" y="72445"/>
                                </a:lnTo>
                              </a:path>
                              <a:path w="182880" h="92710">
                                <a:moveTo>
                                  <a:pt x="37478" y="67445"/>
                                </a:moveTo>
                                <a:lnTo>
                                  <a:pt x="31429" y="61402"/>
                                </a:lnTo>
                                <a:lnTo>
                                  <a:pt x="24641" y="56068"/>
                                </a:lnTo>
                                <a:lnTo>
                                  <a:pt x="18025" y="50804"/>
                                </a:lnTo>
                                <a:lnTo>
                                  <a:pt x="12489" y="44967"/>
                                </a:lnTo>
                              </a:path>
                              <a:path w="182880" h="92710">
                                <a:moveTo>
                                  <a:pt x="57456" y="54956"/>
                                </a:moveTo>
                                <a:lnTo>
                                  <a:pt x="57618" y="50021"/>
                                </a:lnTo>
                                <a:lnTo>
                                  <a:pt x="53276" y="41977"/>
                                </a:lnTo>
                                <a:lnTo>
                                  <a:pt x="46655" y="33552"/>
                                </a:lnTo>
                                <a:lnTo>
                                  <a:pt x="39979" y="27478"/>
                                </a:lnTo>
                              </a:path>
                              <a:path w="182880" h="92710">
                                <a:moveTo>
                                  <a:pt x="87435" y="49968"/>
                                </a:moveTo>
                                <a:lnTo>
                                  <a:pt x="85444" y="40640"/>
                                </a:lnTo>
                                <a:lnTo>
                                  <a:pt x="81624" y="31874"/>
                                </a:lnTo>
                                <a:lnTo>
                                  <a:pt x="76962" y="23410"/>
                                </a:lnTo>
                                <a:lnTo>
                                  <a:pt x="72445" y="14989"/>
                                </a:lnTo>
                              </a:path>
                              <a:path w="182880" h="92710">
                                <a:moveTo>
                                  <a:pt x="104924" y="34966"/>
                                </a:moveTo>
                                <a:lnTo>
                                  <a:pt x="107300" y="26770"/>
                                </a:lnTo>
                                <a:lnTo>
                                  <a:pt x="106741" y="17421"/>
                                </a:lnTo>
                                <a:lnTo>
                                  <a:pt x="107772" y="8102"/>
                                </a:lnTo>
                                <a:lnTo>
                                  <a:pt x="114913" y="0"/>
                                </a:lnTo>
                              </a:path>
                              <a:path w="182880" h="92710">
                                <a:moveTo>
                                  <a:pt x="132402" y="29978"/>
                                </a:moveTo>
                                <a:lnTo>
                                  <a:pt x="134102" y="22537"/>
                                </a:lnTo>
                                <a:lnTo>
                                  <a:pt x="136893" y="15506"/>
                                </a:lnTo>
                                <a:lnTo>
                                  <a:pt x="140564" y="8841"/>
                                </a:lnTo>
                                <a:lnTo>
                                  <a:pt x="144903" y="2500"/>
                                </a:lnTo>
                              </a:path>
                              <a:path w="182880" h="92710">
                                <a:moveTo>
                                  <a:pt x="162381" y="27478"/>
                                </a:moveTo>
                                <a:lnTo>
                                  <a:pt x="167492" y="21866"/>
                                </a:lnTo>
                                <a:lnTo>
                                  <a:pt x="171660" y="15688"/>
                                </a:lnTo>
                                <a:lnTo>
                                  <a:pt x="176186" y="9785"/>
                                </a:lnTo>
                                <a:lnTo>
                                  <a:pt x="182370" y="5000"/>
                                </a:lnTo>
                              </a:path>
                            </a:pathLst>
                          </a:custGeom>
                          <a:ln w="5924">
                            <a:solidFill>
                              <a:srgbClr val="231F20"/>
                            </a:solidFill>
                            <a:prstDash val="solid"/>
                          </a:ln>
                        </wps:spPr>
                        <wps:bodyPr wrap="square" lIns="0" tIns="0" rIns="0" bIns="0" rtlCol="0">
                          <a:prstTxWarp prst="textNoShape">
                            <a:avLst/>
                          </a:prstTxWarp>
                          <a:noAutofit/>
                        </wps:bodyPr>
                      </wps:wsp>
                      <wps:wsp>
                        <wps:cNvPr id="357" name="Graphic 357"/>
                        <wps:cNvSpPr/>
                        <wps:spPr>
                          <a:xfrm>
                            <a:off x="147451" y="144020"/>
                            <a:ext cx="1264285" cy="1760855"/>
                          </a:xfrm>
                          <a:custGeom>
                            <a:avLst/>
                            <a:gdLst/>
                            <a:ahLst/>
                            <a:cxnLst/>
                            <a:rect l="l" t="t" r="r" b="b"/>
                            <a:pathLst>
                              <a:path w="1264285" h="1760855">
                                <a:moveTo>
                                  <a:pt x="90810" y="522134"/>
                                </a:moveTo>
                                <a:lnTo>
                                  <a:pt x="105319" y="486853"/>
                                </a:lnTo>
                                <a:lnTo>
                                  <a:pt x="125203" y="445147"/>
                                </a:lnTo>
                                <a:lnTo>
                                  <a:pt x="150332" y="400076"/>
                                </a:lnTo>
                                <a:lnTo>
                                  <a:pt x="180574" y="354699"/>
                                </a:lnTo>
                                <a:lnTo>
                                  <a:pt x="215796" y="312075"/>
                                </a:lnTo>
                                <a:lnTo>
                                  <a:pt x="255869" y="275265"/>
                                </a:lnTo>
                                <a:lnTo>
                                  <a:pt x="300659" y="247327"/>
                                </a:lnTo>
                                <a:lnTo>
                                  <a:pt x="352892" y="222714"/>
                                </a:lnTo>
                                <a:lnTo>
                                  <a:pt x="401237" y="201155"/>
                                </a:lnTo>
                                <a:lnTo>
                                  <a:pt x="448056" y="182373"/>
                                </a:lnTo>
                                <a:lnTo>
                                  <a:pt x="495707" y="166089"/>
                                </a:lnTo>
                                <a:lnTo>
                                  <a:pt x="546549" y="152026"/>
                                </a:lnTo>
                                <a:lnTo>
                                  <a:pt x="602944" y="139903"/>
                                </a:lnTo>
                                <a:lnTo>
                                  <a:pt x="649795" y="127335"/>
                                </a:lnTo>
                                <a:lnTo>
                                  <a:pt x="699515" y="108208"/>
                                </a:lnTo>
                                <a:lnTo>
                                  <a:pt x="750758" y="85099"/>
                                </a:lnTo>
                                <a:lnTo>
                                  <a:pt x="802176" y="60584"/>
                                </a:lnTo>
                                <a:lnTo>
                                  <a:pt x="852424" y="37240"/>
                                </a:lnTo>
                                <a:lnTo>
                                  <a:pt x="900154" y="17644"/>
                                </a:lnTo>
                                <a:lnTo>
                                  <a:pt x="944020" y="4371"/>
                                </a:lnTo>
                                <a:lnTo>
                                  <a:pt x="982675" y="0"/>
                                </a:lnTo>
                              </a:path>
                              <a:path w="1264285" h="1760855">
                                <a:moveTo>
                                  <a:pt x="384765" y="1760397"/>
                                </a:moveTo>
                                <a:lnTo>
                                  <a:pt x="320187" y="1751655"/>
                                </a:lnTo>
                                <a:lnTo>
                                  <a:pt x="266037" y="1731243"/>
                                </a:lnTo>
                                <a:lnTo>
                                  <a:pt x="221859" y="1704875"/>
                                </a:lnTo>
                                <a:lnTo>
                                  <a:pt x="187198" y="1678267"/>
                                </a:lnTo>
                                <a:lnTo>
                                  <a:pt x="132556" y="1628821"/>
                                </a:lnTo>
                                <a:lnTo>
                                  <a:pt x="96646" y="1585525"/>
                                </a:lnTo>
                                <a:lnTo>
                                  <a:pt x="63233" y="1537233"/>
                                </a:lnTo>
                                <a:lnTo>
                                  <a:pt x="41684" y="1493933"/>
                                </a:lnTo>
                                <a:lnTo>
                                  <a:pt x="29041" y="1448077"/>
                                </a:lnTo>
                                <a:lnTo>
                                  <a:pt x="17959" y="1391916"/>
                                </a:lnTo>
                                <a:lnTo>
                                  <a:pt x="11244" y="1335130"/>
                                </a:lnTo>
                                <a:lnTo>
                                  <a:pt x="11705" y="1287401"/>
                                </a:lnTo>
                                <a:lnTo>
                                  <a:pt x="11549" y="1238953"/>
                                </a:lnTo>
                                <a:lnTo>
                                  <a:pt x="5462" y="1179572"/>
                                </a:lnTo>
                                <a:lnTo>
                                  <a:pt x="0" y="1118314"/>
                                </a:lnTo>
                                <a:lnTo>
                                  <a:pt x="1716" y="1064234"/>
                                </a:lnTo>
                              </a:path>
                              <a:path w="1264285" h="1760855">
                                <a:moveTo>
                                  <a:pt x="984345" y="1583868"/>
                                </a:moveTo>
                                <a:lnTo>
                                  <a:pt x="1040241" y="1543468"/>
                                </a:lnTo>
                                <a:lnTo>
                                  <a:pt x="1081656" y="1512185"/>
                                </a:lnTo>
                                <a:lnTo>
                                  <a:pt x="1126740" y="1475595"/>
                                </a:lnTo>
                                <a:lnTo>
                                  <a:pt x="1171512" y="1435258"/>
                                </a:lnTo>
                                <a:lnTo>
                                  <a:pt x="1211991" y="1392736"/>
                                </a:lnTo>
                                <a:lnTo>
                                  <a:pt x="1244194" y="1349589"/>
                                </a:lnTo>
                                <a:lnTo>
                                  <a:pt x="1264140" y="1307379"/>
                                </a:lnTo>
                              </a:path>
                            </a:pathLst>
                          </a:custGeom>
                          <a:ln w="8886">
                            <a:solidFill>
                              <a:srgbClr val="231F20"/>
                            </a:solidFill>
                            <a:prstDash val="solid"/>
                          </a:ln>
                        </wps:spPr>
                        <wps:bodyPr wrap="square" lIns="0" tIns="0" rIns="0" bIns="0" rtlCol="0">
                          <a:prstTxWarp prst="textNoShape">
                            <a:avLst/>
                          </a:prstTxWarp>
                          <a:noAutofit/>
                        </wps:bodyPr>
                      </wps:wsp>
                      <wps:wsp>
                        <wps:cNvPr id="358" name="Graphic 358"/>
                        <wps:cNvSpPr/>
                        <wps:spPr>
                          <a:xfrm>
                            <a:off x="261132" y="1116221"/>
                            <a:ext cx="1398270" cy="911860"/>
                          </a:xfrm>
                          <a:custGeom>
                            <a:avLst/>
                            <a:gdLst/>
                            <a:ahLst/>
                            <a:cxnLst/>
                            <a:rect l="l" t="t" r="r" b="b"/>
                            <a:pathLst>
                              <a:path w="1398270" h="911860">
                                <a:moveTo>
                                  <a:pt x="699113" y="911427"/>
                                </a:moveTo>
                                <a:lnTo>
                                  <a:pt x="804026" y="656622"/>
                                </a:lnTo>
                              </a:path>
                              <a:path w="1398270" h="911860">
                                <a:moveTo>
                                  <a:pt x="0" y="856257"/>
                                </a:moveTo>
                                <a:lnTo>
                                  <a:pt x="59577" y="691589"/>
                                </a:lnTo>
                              </a:path>
                              <a:path w="1398270" h="911860">
                                <a:moveTo>
                                  <a:pt x="1271002" y="609166"/>
                                </a:moveTo>
                                <a:lnTo>
                                  <a:pt x="1398262" y="0"/>
                                </a:lnTo>
                              </a:path>
                            </a:pathLst>
                          </a:custGeom>
                          <a:ln w="88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9.595764pt;margin-top:14.14236pt;width:135.2pt;height:160.050pt;mso-position-horizontal-relative:page;mso-position-vertical-relative:paragraph;z-index:-28145152" id="docshapegroup168" coordorigin="4792,283" coordsize="2704,3201">
                <v:shape style="position:absolute;left:7162;top:1361;width:324;height:720" type="#_x0000_t75" id="docshape169" stroked="false">
                  <v:imagedata r:id="rId9" o:title=""/>
                </v:shape>
                <v:shape style="position:absolute;left:7162;top:1365;width:324;height:716" id="docshape170" coordorigin="7163,1365" coordsize="324,716" path="m7198,1367l7225,1398,7256,1429,7280,1466,7282,1514,7285,1574,7306,1654,7336,1728,7366,1771,7391,1797,7410,1830,7418,1866,7414,1897,7422,1910,7438,1931,7460,1960,7484,1993,7486,2030,7458,2064,7415,2081,7372,2066,7351,2041,7327,2008,7306,1978,7298,1965,7285,1967,7214,1950,7174,1866,7167,1800,7164,1717,7163,1627,7164,1539,7169,1460,7176,1399,7186,1365,7198,1367xe" filled="false" stroked="true" strokeweight=".933007pt" strokecolor="#231f20">
                  <v:path arrowok="t"/>
                  <v:stroke dashstyle="solid"/>
                </v:shape>
                <v:shape style="position:absolute;left:4801;top:2199;width:290;height:688" type="#_x0000_t75" id="docshape171" stroked="false">
                  <v:imagedata r:id="rId10" o:title=""/>
                </v:shape>
                <v:shape style="position:absolute;left:4801;top:2202;width:290;height:685" id="docshape172" coordorigin="4801,2203" coordsize="290,685" path="m5037,2207l5012,2243,4987,2284,4969,2330,4964,2385,4955,2450,4927,2523,4892,2593,4859,2652,4836,2701,4820,2744,4809,2779,4801,2805,4805,2852,4839,2883,4888,2887,4932,2857,4968,2837,5036,2822,5080,2769,5090,2636,5091,2548,5088,2456,5083,2368,5075,2291,5065,2233,5052,2203,5037,2207xe" filled="false" stroked="true" strokeweight=".933007pt" strokecolor="#231f20">
                  <v:path arrowok="t"/>
                  <v:stroke dashstyle="solid"/>
                </v:shape>
                <v:shape style="position:absolute;left:5226;top:291;width:1960;height:880" type="#_x0000_t75" id="docshape173" stroked="false">
                  <v:imagedata r:id="rId11" o:title=""/>
                </v:shape>
                <v:shape style="position:absolute;left:4836;top:282;width:2585;height:3080" type="#_x0000_t75" id="docshape174" stroked="false">
                  <v:imagedata r:id="rId12" o:title=""/>
                </v:shape>
                <v:shape style="position:absolute;left:5120;top:2936;width:220;height:260" type="#_x0000_t75" id="docshape175" stroked="false">
                  <v:imagedata r:id="rId13" o:title=""/>
                </v:shape>
                <v:shape style="position:absolute;left:5040;top:2816;width:220;height:240" type="#_x0000_t75" id="docshape176" stroked="false">
                  <v:imagedata r:id="rId14" o:title=""/>
                </v:shape>
                <v:shape style="position:absolute;left:5240;top:3036;width:220;height:220" type="#_x0000_t75" id="docshape177" stroked="false">
                  <v:imagedata r:id="rId15" o:title=""/>
                </v:shape>
                <v:shape style="position:absolute;left:5180;top:2896;width:200;height:220" type="#_x0000_t75" id="docshape178" stroked="false">
                  <v:imagedata r:id="rId16" o:title=""/>
                </v:shape>
                <v:shape style="position:absolute;left:5360;top:3096;width:280;height:240" type="#_x0000_t75" id="docshape179" stroked="false">
                  <v:imagedata r:id="rId17" o:title=""/>
                </v:shape>
                <v:shape style="position:absolute;left:5320;top:2956;width:260;height:220" type="#_x0000_t75" id="docshape180" stroked="false">
                  <v:imagedata r:id="rId18" o:title=""/>
                </v:shape>
                <v:shape style="position:absolute;left:5560;top:3156;width:200;height:186" type="#_x0000_t75" id="docshape181" stroked="false">
                  <v:imagedata r:id="rId19" o:title=""/>
                </v:shape>
                <v:shape style="position:absolute;left:5540;top:2996;width:200;height:200" type="#_x0000_t75" id="docshape182" stroked="false">
                  <v:imagedata r:id="rId20" o:title=""/>
                </v:shape>
                <v:shape style="position:absolute;left:5720;top:3156;width:180;height:186" type="#_x0000_t75" id="docshape183" stroked="false">
                  <v:imagedata r:id="rId21" o:title=""/>
                </v:shape>
                <v:shape style="position:absolute;left:5700;top:2976;width:180;height:220" type="#_x0000_t75" id="docshape184" stroked="false">
                  <v:imagedata r:id="rId22" o:title=""/>
                </v:shape>
                <v:shape style="position:absolute;left:5860;top:3096;width:260;height:240" type="#_x0000_t75" id="docshape185" stroked="false">
                  <v:imagedata r:id="rId23" o:title=""/>
                </v:shape>
                <v:shape style="position:absolute;left:5860;top:2896;width:320;height:280" type="#_x0000_t75" id="docshape186" stroked="false">
                  <v:imagedata r:id="rId24" o:title=""/>
                </v:shape>
                <v:shape style="position:absolute;left:6040;top:2976;width:400;height:320" type="#_x0000_t75" id="docshape187" stroked="false">
                  <v:imagedata r:id="rId25" o:title=""/>
                </v:shape>
                <v:shape style="position:absolute;left:6100;top:2816;width:360;height:300" type="#_x0000_t75" id="docshape188" stroked="false">
                  <v:imagedata r:id="rId26" o:title=""/>
                </v:shape>
                <v:shape style="position:absolute;left:6380;top:2856;width:260;height:280" type="#_x0000_t75" id="docshape189" stroked="false">
                  <v:imagedata r:id="rId27" o:title=""/>
                </v:shape>
                <v:shape style="position:absolute;left:6420;top:2696;width:300;height:300" type="#_x0000_t75" id="docshape190" stroked="false">
                  <v:imagedata r:id="rId28" o:title=""/>
                </v:shape>
                <v:shape style="position:absolute;left:6540;top:2836;width:140;height:200" type="#_x0000_t75" id="docshape191" stroked="false">
                  <v:imagedata r:id="rId29" o:title=""/>
                </v:shape>
                <v:shape style="position:absolute;left:6620;top:2676;width:140;height:200" type="#_x0000_t75" id="docshape192" stroked="false">
                  <v:imagedata r:id="rId30" o:title=""/>
                </v:shape>
                <v:shape style="position:absolute;left:6560;top:2816;width:240;height:200" type="#_x0000_t75" id="docshape193" stroked="false">
                  <v:imagedata r:id="rId31" o:title=""/>
                </v:shape>
                <v:shape style="position:absolute;left:6680;top:2796;width:200;height:160" type="#_x0000_t75" id="docshape194" stroked="false">
                  <v:imagedata r:id="rId32" o:title=""/>
                </v:shape>
                <v:shape style="position:absolute;left:6760;top:2736;width:220;height:160" type="#_x0000_t75" id="docshape195" stroked="false">
                  <v:imagedata r:id="rId33" o:title=""/>
                </v:shape>
                <v:shape style="position:absolute;left:6640;top:2736;width:240;height:160" type="#_x0000_t75" id="docshape196" stroked="false">
                  <v:imagedata r:id="rId34" o:title=""/>
                </v:shape>
                <v:shape style="position:absolute;left:6700;top:2656;width:240;height:140" type="#_x0000_t75" id="docshape197" stroked="false">
                  <v:imagedata r:id="rId35" o:title=""/>
                </v:shape>
                <v:shape style="position:absolute;left:6780;top:2676;width:260;height:160" type="#_x0000_t75" id="docshape198" stroked="false">
                  <v:imagedata r:id="rId36" o:title=""/>
                </v:shape>
                <v:shape style="position:absolute;left:6860;top:2616;width:240;height:140" type="#_x0000_t75" id="docshape199" stroked="false">
                  <v:imagedata r:id="rId37" o:title=""/>
                </v:shape>
                <v:shape style="position:absolute;left:5012;top:2576;width:188;height:340" type="#_x0000_t75" id="docshape200" stroked="false">
                  <v:imagedata r:id="rId38" o:title=""/>
                </v:shape>
                <v:shape style="position:absolute;left:5012;top:2536;width:328;height:440" type="#_x0000_t75" id="docshape201" stroked="false">
                  <v:imagedata r:id="rId39" o:title=""/>
                </v:shape>
                <v:shape style="position:absolute;left:5220;top:2576;width:240;height:440" type="#_x0000_t75" id="docshape202" stroked="false">
                  <v:imagedata r:id="rId40" o:title=""/>
                </v:shape>
                <v:shape style="position:absolute;left:5380;top:2796;width:180;height:220" type="#_x0000_t75" id="docshape203" stroked="false">
                  <v:imagedata r:id="rId41" o:title=""/>
                </v:shape>
                <v:shape style="position:absolute;left:5340;top:2596;width:180;height:220" type="#_x0000_t75" id="docshape204" stroked="false">
                  <v:imagedata r:id="rId42" o:title=""/>
                </v:shape>
                <v:shape style="position:absolute;left:5500;top:2796;width:220;height:240" type="#_x0000_t75" id="docshape205" stroked="false">
                  <v:imagedata r:id="rId43" o:title=""/>
                </v:shape>
                <v:shape style="position:absolute;left:5480;top:2596;width:220;height:220" type="#_x0000_t75" id="docshape206" stroked="false">
                  <v:imagedata r:id="rId44" o:title=""/>
                </v:shape>
                <v:shape style="position:absolute;left:5700;top:2876;width:180;height:140" type="#_x0000_t75" id="docshape207" stroked="false">
                  <v:imagedata r:id="rId45" o:title=""/>
                </v:shape>
                <v:shape style="position:absolute;left:5680;top:2756;width:200;height:160" type="#_x0000_t75" id="docshape208" stroked="false">
                  <v:imagedata r:id="rId46" o:title=""/>
                </v:shape>
                <v:shape style="position:absolute;left:5660;top:2556;width:220;height:260" type="#_x0000_t75" id="docshape209" stroked="false">
                  <v:imagedata r:id="rId47" o:title=""/>
                </v:shape>
                <v:shape style="position:absolute;left:5840;top:2516;width:200;height:480" type="#_x0000_t75" id="docshape210" stroked="false">
                  <v:imagedata r:id="rId48" o:title=""/>
                </v:shape>
                <v:shape style="position:absolute;left:5920;top:2456;width:120;height:300" type="#_x0000_t75" id="docshape211" stroked="false">
                  <v:imagedata r:id="rId49" o:title=""/>
                </v:shape>
                <v:shape style="position:absolute;left:6020;top:2636;width:180;height:320" type="#_x0000_t75" id="docshape212" stroked="false">
                  <v:imagedata r:id="rId50" o:title=""/>
                </v:shape>
                <v:shape style="position:absolute;left:6020;top:2376;width:200;height:340" type="#_x0000_t75" id="docshape213" stroked="false">
                  <v:imagedata r:id="rId51" o:title=""/>
                </v:shape>
                <v:shape style="position:absolute;left:6160;top:2376;width:280;height:540" type="#_x0000_t75" id="docshape214" stroked="false">
                  <v:imagedata r:id="rId52" o:title=""/>
                </v:shape>
                <v:shape style="position:absolute;left:6300;top:2416;width:360;height:480" type="#_x0000_t75" id="docshape215" stroked="false">
                  <v:imagedata r:id="rId53" o:title=""/>
                </v:shape>
                <v:shape style="position:absolute;left:6440;top:2416;width:600;height:420" type="#_x0000_t75" id="docshape216" stroked="false">
                  <v:imagedata r:id="rId54" o:title=""/>
                </v:shape>
                <v:shape style="position:absolute;left:6740;top:2296;width:480;height:400" type="#_x0000_t75" id="docshape217" stroked="false">
                  <v:imagedata r:id="rId55" o:title=""/>
                </v:shape>
                <v:shape style="position:absolute;left:5012;top:2216;width:148;height:360" type="#_x0000_t75" id="docshape218" stroked="false">
                  <v:imagedata r:id="rId56" o:title=""/>
                </v:shape>
                <v:shape style="position:absolute;left:5120;top:2236;width:140;height:360" type="#_x0000_t75" id="docshape219" stroked="false">
                  <v:imagedata r:id="rId57" o:title=""/>
                </v:shape>
                <v:shape style="position:absolute;left:5020;top:2096;width:380;height:520" type="#_x0000_t75" id="docshape220" stroked="false">
                  <v:imagedata r:id="rId58" o:title=""/>
                </v:shape>
                <v:shape style="position:absolute;left:5340;top:2096;width:140;height:540" type="#_x0000_t75" id="docshape221" stroked="false">
                  <v:imagedata r:id="rId59" o:title=""/>
                </v:shape>
                <v:shape style="position:absolute;left:5400;top:2076;width:140;height:560" type="#_x0000_t75" id="docshape222" stroked="false">
                  <v:imagedata r:id="rId60" o:title=""/>
                </v:shape>
                <v:shape style="position:absolute;left:5480;top:2056;width:260;height:580" type="#_x0000_t75" id="docshape223" stroked="false">
                  <v:imagedata r:id="rId61" o:title=""/>
                </v:shape>
                <v:shape style="position:absolute;left:5660;top:2016;width:300;height:600" type="#_x0000_t75" id="docshape224" stroked="false">
                  <v:imagedata r:id="rId62" o:title=""/>
                </v:shape>
                <v:shape style="position:absolute;left:5860;top:2016;width:200;height:560" type="#_x0000_t75" id="docshape225" stroked="false">
                  <v:imagedata r:id="rId63" o:title=""/>
                </v:shape>
                <v:shape style="position:absolute;left:5920;top:2016;width:280;height:520" type="#_x0000_t75" id="docshape226" stroked="false">
                  <v:imagedata r:id="rId64" o:title=""/>
                </v:shape>
                <v:shape style="position:absolute;left:6020;top:2176;width:320;height:300" type="#_x0000_t75" id="docshape227" stroked="false">
                  <v:imagedata r:id="rId65" o:title=""/>
                </v:shape>
                <v:shape style="position:absolute;left:6120;top:2076;width:300;height:180" type="#_x0000_t75" id="docshape228" stroked="false">
                  <v:imagedata r:id="rId66" o:title=""/>
                </v:shape>
                <v:shape style="position:absolute;left:6160;top:2016;width:300;height:120" type="#_x0000_t75" id="docshape229" stroked="false">
                  <v:imagedata r:id="rId67" o:title=""/>
                </v:shape>
                <v:shape style="position:absolute;left:6200;top:2276;width:280;height:160" type="#_x0000_t75" id="docshape230" stroked="false">
                  <v:imagedata r:id="rId68" o:title=""/>
                </v:shape>
                <v:shape style="position:absolute;left:6260;top:2176;width:280;height:140" type="#_x0000_t75" id="docshape231" stroked="false">
                  <v:imagedata r:id="rId69" o:title=""/>
                </v:shape>
                <v:shape style="position:absolute;left:6320;top:2076;width:280;height:140" type="#_x0000_t75" id="docshape232" stroked="false">
                  <v:imagedata r:id="rId70" o:title=""/>
                </v:shape>
                <v:shape style="position:absolute;left:6400;top:1976;width:240;height:120" type="#_x0000_t75" id="docshape233" stroked="false">
                  <v:imagedata r:id="rId71" o:title=""/>
                </v:shape>
                <v:shape style="position:absolute;left:6420;top:2296;width:280;height:180" type="#_x0000_t75" id="docshape234" stroked="false">
                  <v:imagedata r:id="rId72" o:title=""/>
                </v:shape>
                <v:shape style="position:absolute;left:6460;top:2196;width:280;height:160" type="#_x0000_t75" id="docshape235" stroked="false">
                  <v:imagedata r:id="rId73" o:title=""/>
                </v:shape>
                <v:shape style="position:absolute;left:6520;top:2076;width:260;height:160" type="#_x0000_t75" id="docshape236" stroked="false">
                  <v:imagedata r:id="rId74" o:title=""/>
                </v:shape>
                <v:shape style="position:absolute;left:6580;top:1976;width:220;height:140" type="#_x0000_t75" id="docshape237" stroked="false">
                  <v:imagedata r:id="rId75" o:title=""/>
                </v:shape>
                <v:shape style="position:absolute;left:6640;top:2196;width:260;height:280" type="#_x0000_t75" id="docshape238" stroked="false">
                  <v:imagedata r:id="rId76" o:title=""/>
                </v:shape>
                <v:shape style="position:absolute;left:6720;top:1956;width:200;height:280" type="#_x0000_t75" id="docshape239" stroked="false">
                  <v:imagedata r:id="rId77" o:title=""/>
                </v:shape>
                <v:shape style="position:absolute;left:6840;top:1956;width:200;height:500" type="#_x0000_t75" id="docshape240" stroked="false">
                  <v:imagedata r:id="rId78" o:title=""/>
                </v:shape>
                <v:shape style="position:absolute;left:7000;top:1916;width:227;height:520" type="#_x0000_t75" id="docshape241" stroked="false">
                  <v:imagedata r:id="rId79" o:title=""/>
                </v:shape>
                <v:shape style="position:absolute;left:7000;top:1836;width:227;height:220" type="#_x0000_t75" id="docshape242" stroked="false">
                  <v:imagedata r:id="rId80" o:title=""/>
                </v:shape>
                <v:shape style="position:absolute;left:5020;top:1736;width:180;height:380" type="#_x0000_t75" id="docshape243" stroked="false">
                  <v:imagedata r:id="rId81" o:title=""/>
                </v:shape>
                <v:shape style="position:absolute;left:5140;top:1716;width:180;height:400" type="#_x0000_t75" id="docshape244" stroked="false">
                  <v:imagedata r:id="rId82" o:title=""/>
                </v:shape>
                <v:shape style="position:absolute;left:5240;top:1696;width:140;height:420" type="#_x0000_t75" id="docshape245" stroked="false">
                  <v:imagedata r:id="rId83" o:title=""/>
                </v:shape>
                <v:shape style="position:absolute;left:5300;top:1696;width:180;height:420" type="#_x0000_t75" id="docshape246" stroked="false">
                  <v:imagedata r:id="rId84" o:title=""/>
                </v:shape>
                <v:shape style="position:absolute;left:5380;top:1696;width:200;height:420" type="#_x0000_t75" id="docshape247" stroked="false">
                  <v:imagedata r:id="rId85" o:title=""/>
                </v:shape>
                <v:shape style="position:absolute;left:5460;top:1676;width:200;height:440" type="#_x0000_t75" id="docshape248" stroked="false">
                  <v:imagedata r:id="rId86" o:title=""/>
                </v:shape>
                <v:shape style="position:absolute;left:5520;top:1636;width:440;height:460" type="#_x0000_t75" id="docshape249" stroked="false">
                  <v:imagedata r:id="rId87" o:title=""/>
                </v:shape>
                <v:shape style="position:absolute;left:5940;top:1516;width:520;height:520" type="#_x0000_t75" id="docshape250" stroked="false">
                  <v:imagedata r:id="rId88" o:title=""/>
                </v:shape>
                <v:shape style="position:absolute;left:6340;top:1476;width:300;height:560" type="#_x0000_t75" id="docshape251" stroked="false">
                  <v:imagedata r:id="rId89" o:title=""/>
                </v:shape>
                <v:shape style="position:absolute;left:6460;top:1476;width:340;height:520" type="#_x0000_t75" id="docshape252" stroked="false">
                  <v:imagedata r:id="rId90" o:title=""/>
                </v:shape>
                <v:shape style="position:absolute;left:6600;top:1456;width:320;height:540" type="#_x0000_t75" id="docshape253" stroked="false">
                  <v:imagedata r:id="rId91" o:title=""/>
                </v:shape>
                <v:shape style="position:absolute;left:6780;top:1456;width:447;height:540" type="#_x0000_t75" id="docshape254" stroked="false">
                  <v:imagedata r:id="rId92" o:title=""/>
                </v:shape>
                <v:shape style="position:absolute;left:5080;top:1336;width:220;height:440" type="#_x0000_t75" id="docshape255" stroked="false">
                  <v:imagedata r:id="rId93" o:title=""/>
                </v:shape>
                <v:shape style="position:absolute;left:5180;top:1316;width:260;height:440" type="#_x0000_t75" id="docshape256" stroked="false">
                  <v:imagedata r:id="rId94" o:title=""/>
                </v:shape>
                <v:shape style="position:absolute;left:5300;top:1296;width:260;height:440" type="#_x0000_t75" id="docshape257" stroked="false">
                  <v:imagedata r:id="rId95" o:title=""/>
                </v:shape>
                <v:shape style="position:absolute;left:5460;top:1276;width:220;height:440" type="#_x0000_t75" id="docshape258" stroked="false">
                  <v:imagedata r:id="rId96" o:title=""/>
                </v:shape>
                <v:shape style="position:absolute;left:5640;top:1216;width:360;height:480" type="#_x0000_t75" id="docshape259" stroked="false">
                  <v:imagedata r:id="rId97" o:title=""/>
                </v:shape>
                <v:shape style="position:absolute;left:5940;top:1376;width:240;height:280" type="#_x0000_t75" id="docshape260" stroked="false">
                  <v:imagedata r:id="rId98" o:title=""/>
                </v:shape>
                <v:shape style="position:absolute;left:5960;top:1176;width:240;height:260" type="#_x0000_t75" id="docshape261" stroked="false">
                  <v:imagedata r:id="rId99" o:title=""/>
                </v:shape>
                <v:shape style="position:absolute;left:6140;top:1316;width:220;height:280" type="#_x0000_t75" id="docshape262" stroked="false">
                  <v:imagedata r:id="rId100" o:title=""/>
                </v:shape>
                <v:shape style="position:absolute;left:6160;top:1116;width:220;height:280" type="#_x0000_t75" id="docshape263" stroked="false">
                  <v:imagedata r:id="rId101" o:title=""/>
                </v:shape>
                <v:shape style="position:absolute;left:6340;top:1276;width:140;height:260" type="#_x0000_t75" id="docshape264" stroked="false">
                  <v:imagedata r:id="rId102" o:title=""/>
                </v:shape>
                <v:shape style="position:absolute;left:6340;top:1056;width:160;height:280" type="#_x0000_t75" id="docshape265" stroked="false">
                  <v:imagedata r:id="rId103" o:title=""/>
                </v:shape>
                <v:shape style="position:absolute;left:6460;top:1036;width:340;height:460" type="#_x0000_t75" id="docshape266" stroked="false">
                  <v:imagedata r:id="rId104" o:title=""/>
                </v:shape>
                <v:shape style="position:absolute;left:6780;top:1236;width:200;height:240" type="#_x0000_t75" id="docshape267" stroked="false">
                  <v:imagedata r:id="rId105" o:title=""/>
                </v:shape>
                <v:shape style="position:absolute;left:6760;top:1036;width:200;height:220" type="#_x0000_t75" id="docshape268" stroked="false">
                  <v:imagedata r:id="rId106" o:title=""/>
                </v:shape>
                <v:shape style="position:absolute;left:6940;top:1056;width:280;height:440" type="#_x0000_t75" id="docshape269" stroked="false">
                  <v:imagedata r:id="rId107" o:title=""/>
                </v:shape>
                <v:shape style="position:absolute;left:5140;top:1136;width:220;height:240" type="#_x0000_t75" id="docshape270" stroked="false">
                  <v:imagedata r:id="rId108" o:title=""/>
                </v:shape>
                <v:shape style="position:absolute;left:5280;top:1096;width:200;height:260" type="#_x0000_t75" id="docshape271" stroked="false">
                  <v:imagedata r:id="rId109" o:title=""/>
                </v:shape>
                <v:shape style="position:absolute;left:5420;top:1076;width:180;height:260" type="#_x0000_t75" id="docshape272" stroked="false">
                  <v:imagedata r:id="rId110" o:title=""/>
                </v:shape>
                <v:shape style="position:absolute;left:5540;top:1076;width:180;height:240" type="#_x0000_t75" id="docshape273" stroked="false">
                  <v:imagedata r:id="rId111" o:title=""/>
                </v:shape>
                <v:shape style="position:absolute;left:5660;top:1016;width:380;height:280" type="#_x0000_t75" id="docshape274" stroked="false">
                  <v:imagedata r:id="rId112" o:title=""/>
                </v:shape>
                <v:shape style="position:absolute;left:5980;top:956;width:220;height:280" type="#_x0000_t75" id="docshape275" stroked="false">
                  <v:imagedata r:id="rId113" o:title=""/>
                </v:shape>
                <v:shape style="position:absolute;left:6180;top:1016;width:200;height:180" type="#_x0000_t75" id="docshape276" stroked="false">
                  <v:imagedata r:id="rId114" o:title=""/>
                </v:shape>
                <v:shape style="position:absolute;left:6180;top:916;width:200;height:180" type="#_x0000_t75" id="docshape277" stroked="false">
                  <v:imagedata r:id="rId115" o:title=""/>
                </v:shape>
                <v:shape style="position:absolute;left:6360;top:936;width:280;height:200" type="#_x0000_t75" id="docshape278" stroked="false">
                  <v:imagedata r:id="rId116" o:title=""/>
                </v:shape>
                <v:shape style="position:absolute;left:6360;top:836;width:280;height:200" type="#_x0000_t75" id="docshape279" stroked="false">
                  <v:imagedata r:id="rId117" o:title=""/>
                </v:shape>
                <v:shape style="position:absolute;left:6600;top:836;width:360;height:240" type="#_x0000_t75" id="docshape280" stroked="false">
                  <v:imagedata r:id="rId118" o:title=""/>
                </v:shape>
                <v:shape style="position:absolute;left:6860;top:836;width:340;height:240" type="#_x0000_t75" id="docshape281" stroked="false">
                  <v:imagedata r:id="rId119" o:title=""/>
                </v:shape>
                <v:shape style="position:absolute;left:5220;top:1016;width:180;height:160" type="#_x0000_t75" id="docshape282" stroked="false">
                  <v:imagedata r:id="rId120" o:title=""/>
                </v:shape>
                <v:shape style="position:absolute;left:5340;top:996;width:180;height:160" type="#_x0000_t75" id="docshape283" stroked="false">
                  <v:imagedata r:id="rId121" o:title=""/>
                </v:shape>
                <v:shape style="position:absolute;left:5260;top:836;width:240;height:240" type="#_x0000_t75" id="docshape284" stroked="false">
                  <v:imagedata r:id="rId122" o:title=""/>
                </v:shape>
                <v:shape style="position:absolute;left:5380;top:776;width:220;height:260" type="#_x0000_t75" id="docshape285" stroked="false">
                  <v:imagedata r:id="rId123" o:title=""/>
                </v:shape>
                <v:shape style="position:absolute;left:5460;top:716;width:360;height:400" type="#_x0000_t75" id="docshape286" stroked="false">
                  <v:imagedata r:id="rId124" o:title=""/>
                </v:shape>
                <v:shape style="position:absolute;left:5700;top:856;width:240;height:240" type="#_x0000_t75" id="docshape287" stroked="false">
                  <v:imagedata r:id="rId125" o:title=""/>
                </v:shape>
                <v:shape style="position:absolute;left:5740;top:676;width:240;height:240" type="#_x0000_t75" id="docshape288" stroked="false">
                  <v:imagedata r:id="rId126" o:title=""/>
                </v:shape>
                <v:shape style="position:absolute;left:5880;top:816;width:200;height:240" type="#_x0000_t75" id="docshape289" stroked="false">
                  <v:imagedata r:id="rId127" o:title=""/>
                </v:shape>
                <v:shape style="position:absolute;left:5920;top:636;width:180;height:240" type="#_x0000_t75" id="docshape290" stroked="false">
                  <v:imagedata r:id="rId128" o:title=""/>
                </v:shape>
                <v:shape style="position:absolute;left:6020;top:736;width:360;height:300" type="#_x0000_t75" id="docshape291" stroked="false">
                  <v:imagedata r:id="rId129" o:title=""/>
                </v:shape>
                <v:shape style="position:absolute;left:6060;top:576;width:300;height:260" type="#_x0000_t75" id="docshape292" stroked="false">
                  <v:imagedata r:id="rId130" o:title=""/>
                </v:shape>
                <v:shape style="position:absolute;left:6280;top:509;width:380;height:428" type="#_x0000_t75" id="docshape293" stroked="false">
                  <v:imagedata r:id="rId131" o:title=""/>
                </v:shape>
                <v:shape style="position:absolute;left:6620;top:676;width:140;height:180" type="#_x0000_t75" id="docshape294" stroked="false">
                  <v:imagedata r:id="rId132" o:title=""/>
                </v:shape>
                <v:shape style="position:absolute;left:6600;top:509;width:160;height:188" type="#_x0000_t75" id="docshape295" stroked="false">
                  <v:imagedata r:id="rId133" o:title=""/>
                </v:shape>
                <v:shape style="position:absolute;left:6740;top:676;width:140;height:180" type="#_x0000_t75" id="docshape296" stroked="false">
                  <v:imagedata r:id="rId134" o:title=""/>
                </v:shape>
                <v:shape style="position:absolute;left:6700;top:516;width:160;height:180" type="#_x0000_t75" id="docshape297" stroked="false">
                  <v:imagedata r:id="rId135" o:title=""/>
                </v:shape>
                <v:shape style="position:absolute;left:6840;top:676;width:200;height:200" type="#_x0000_t75" id="docshape298" stroked="false">
                  <v:imagedata r:id="rId136" o:title=""/>
                </v:shape>
                <v:shape style="position:absolute;left:6800;top:536;width:220;height:200" type="#_x0000_t75" id="docshape299" stroked="false">
                  <v:imagedata r:id="rId137" o:title=""/>
                </v:shape>
                <v:shape style="position:absolute;left:7000;top:716;width:200;height:200" type="#_x0000_t75" id="docshape300" stroked="false">
                  <v:imagedata r:id="rId138" o:title=""/>
                </v:shape>
                <v:shape style="position:absolute;left:6940;top:596;width:220;height:200" type="#_x0000_t75" id="docshape301" stroked="false">
                  <v:imagedata r:id="rId139" o:title=""/>
                </v:shape>
                <v:shape style="position:absolute;left:5013;top:352;width:2214;height:2990" id="docshape302" coordorigin="5013,352" coordsize="2214,2990" path="m5273,1076l5319,1010,5365,953,5413,904,5465,861,5519,825,5579,794,5644,767,5715,743,5793,722,5879,702,5974,683,6071,660,6152,634,6223,606,6287,578,6350,553,6415,532,6488,517,6572,510,6646,512,6720,522,6794,539,6866,564,6935,595,6998,632,7055,674,7103,722,7142,773,7170,829,7185,887,7190,927,7194,984,7198,1055,7201,1137,7205,1228,7208,1324,7211,1423,7213,1522,7216,1618,7219,1708,7221,1790,7223,1861,7225,1918,7226,1975,7226,2040,7224,2111,7218,2186,7209,2264,7195,2343,7176,2421,7151,2498,7119,2571,7079,2639,7031,2700,6973,2752,6864,2831,6774,2890,6699,2933,6637,2966,6588,2993,6548,3020,6468,3079,6393,3130,6320,3173,6249,3211,6177,3242,6104,3270,6029,3295,5945,3318,5866,3333,5793,3341,5723,3342,5657,3335,5594,3321,5532,3299,5472,3271,5413,3235,5354,3191,5295,3141,5234,3083,5167,3008,5113,2934,5072,2860,5042,2789,5023,2720,5014,2655,5014,2595,5018,2479,5016,2398,5013,2339,5013,2288,5022,2233,5027,2201,5033,2154,5040,2094,5048,2024,5057,1945,5068,1859,5080,1768,5094,1673,5111,1577,5130,1481,5152,1388,5177,1299,5206,1216,5238,1141,5273,1076xm5907,506l5915,467,5935,436,5970,408,6025,376m6367,352l6390,369,6421,390,6446,418,6454,455e" filled="false" stroked="true" strokeweight=".933007pt" strokecolor="#231f20">
                  <v:path arrowok="t"/>
                  <v:stroke dashstyle="solid"/>
                </v:shape>
                <v:shape style="position:absolute;left:5485;top:643;width:370;height:150" id="docshape303" coordorigin="5486,643" coordsize="370,150" path="m5486,793l5545,730,5613,688,5679,663,5779,644,5824,643,5856,655e" filled="false" stroked="true" strokeweight=".466503pt" strokecolor="#231f20">
                  <v:path arrowok="t"/>
                  <v:stroke dashstyle="solid"/>
                </v:shape>
                <v:shape style="position:absolute;left:5509;top:610;width:351;height:143" id="docshape304" coordorigin="5509,611" coordsize="351,143" path="m5509,754l5553,686,5611,647,5685,618,5758,611,5800,614,5837,626,5860,651e" filled="false" stroked="true" strokeweight=".933007pt" strokecolor="#231f20">
                  <v:path arrowok="t"/>
                  <v:stroke dashstyle="solid"/>
                </v:shape>
                <v:shape style="position:absolute;left:5820;top:442;width:536;height:181" id="docshape305" coordorigin="5820,443" coordsize="536,181" path="m6103,624l6098,585,6093,543,6084,503,6068,470m6336,557l6337,536,6341,504,6347,470,6355,443m5934,533l5911,520,5885,500,5854,482,5820,470e" filled="false" stroked="true" strokeweight=".699755pt" strokecolor="#231f20">
                  <v:path arrowok="t"/>
                  <v:stroke dashstyle="solid"/>
                </v:shape>
                <v:shape style="position:absolute;left:5513;top:572;width:288;height:146" id="docshape306" coordorigin="5513,573" coordsize="288,146" path="m5549,718l5543,707,5535,697,5525,690,5513,687m5572,679l5563,669,5552,661,5542,653,5533,643m5604,659l5604,651,5597,639,5587,625,5576,616m5651,651l5648,637,5642,623,5635,609,5627,596m5679,628l5682,615,5681,600,5683,585,5694,573m5722,620l5725,608,5729,597,5735,587,5742,577m5769,616l5777,607,5784,597,5791,588,5801,580e" filled="false" stroked="true" strokeweight=".466503pt" strokecolor="#231f20">
                  <v:path arrowok="t"/>
                  <v:stroke dashstyle="solid"/>
                </v:shape>
                <v:shape style="position:absolute;left:5024;top:509;width:1991;height:2773" id="docshape307" coordorigin="5024,510" coordsize="1991,2773" path="m5167,1332l5190,1276,5221,1211,5261,1140,5308,1068,5364,1001,5427,943,5498,899,5580,860,5656,826,5730,797,5805,771,5885,749,5974,730,6047,710,6126,680,6206,644,6287,605,6367,568,6442,537,6511,517,6572,510m5630,3282l5528,3268,5443,3236,5374,3194,5319,3153,5279,3119,5233,3075,5176,3007,5124,2930,5090,2862,5070,2790,5052,2702,5042,2612,5043,2537,5042,2461,5033,2367,5024,2271,5027,2186m6574,3004l6609,2979,6662,2940,6728,2891,6799,2833,6869,2770,6933,2703,6983,2635,7015,2569e" filled="false" stroked="true" strokeweight=".699755pt" strokecolor="#231f20">
                  <v:path arrowok="t"/>
                  <v:stroke dashstyle="solid"/>
                </v:shape>
                <v:shape style="position:absolute;left:5203;top:2040;width:2202;height:1436" id="docshape308" coordorigin="5203,2041" coordsize="2202,1436" path="m6304,3476l6469,3075m5203,3389l5297,3130m7205,3000l7405,2041e" filled="false" stroked="true" strokeweight=".699755pt" strokecolor="#231f20">
                  <v:path arrowok="t"/>
                  <v:stroke dashstyle="solid"/>
                </v:shape>
                <w10:wrap type="none"/>
              </v:group>
            </w:pict>
          </mc:Fallback>
        </mc:AlternateContent>
      </w:r>
      <w:r>
        <w:rPr>
          <w:rFonts w:ascii="Arial MT"/>
          <w:color w:val="231F20"/>
          <w:spacing w:val="-2"/>
        </w:rPr>
        <w:t>Positional</w:t>
      </w:r>
      <w:r>
        <w:rPr>
          <w:rFonts w:ascii="Arial MT"/>
          <w:color w:val="231F20"/>
          <w:spacing w:val="3"/>
        </w:rPr>
        <w:t> </w:t>
      </w:r>
      <w:r>
        <w:rPr>
          <w:rFonts w:ascii="Arial MT"/>
          <w:color w:val="231F20"/>
          <w:spacing w:val="-2"/>
        </w:rPr>
        <w:t>molding</w:t>
      </w:r>
      <w:r>
        <w:rPr>
          <w:rFonts w:ascii="Arial MT"/>
          <w:color w:val="231F20"/>
        </w:rPr>
        <w:tab/>
      </w:r>
      <w:r>
        <w:rPr>
          <w:rFonts w:ascii="Arial MT"/>
          <w:color w:val="231F20"/>
          <w:spacing w:val="-2"/>
        </w:rPr>
        <w:t>Unilateral</w:t>
      </w:r>
      <w:r>
        <w:rPr>
          <w:rFonts w:ascii="Arial MT"/>
          <w:color w:val="231F20"/>
          <w:spacing w:val="2"/>
        </w:rPr>
        <w:t> </w:t>
      </w:r>
      <w:r>
        <w:rPr>
          <w:rFonts w:ascii="Arial MT"/>
          <w:color w:val="231F20"/>
          <w:spacing w:val="-2"/>
        </w:rPr>
        <w:t>lambdoid</w:t>
      </w:r>
      <w:r>
        <w:rPr>
          <w:rFonts w:ascii="Arial MT"/>
          <w:color w:val="231F20"/>
          <w:spacing w:val="3"/>
        </w:rPr>
        <w:t> </w:t>
      </w:r>
      <w:r>
        <w:rPr>
          <w:rFonts w:ascii="Arial MT"/>
          <w:color w:val="231F20"/>
          <w:spacing w:val="-2"/>
        </w:rPr>
        <w:t>synostosis</w:t>
      </w: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1"/>
        <w:rPr>
          <w:rFonts w:ascii="Arial MT"/>
          <w:sz w:val="20"/>
        </w:rPr>
      </w:pPr>
    </w:p>
    <w:p>
      <w:pPr>
        <w:pStyle w:val="BodyText"/>
        <w:spacing w:after="0"/>
        <w:rPr>
          <w:rFonts w:ascii="Arial MT"/>
          <w:sz w:val="20"/>
        </w:rPr>
        <w:sectPr>
          <w:pgSz w:w="11900" w:h="16840"/>
          <w:pgMar w:header="0" w:footer="0" w:top="720" w:bottom="280" w:left="425" w:right="566"/>
        </w:sectPr>
      </w:pPr>
    </w:p>
    <w:p>
      <w:pPr>
        <w:pStyle w:val="BodyText"/>
        <w:rPr>
          <w:rFonts w:ascii="Arial MT"/>
          <w:sz w:val="15"/>
        </w:rPr>
      </w:pPr>
    </w:p>
    <w:p>
      <w:pPr>
        <w:pStyle w:val="BodyText"/>
        <w:spacing w:before="100"/>
        <w:rPr>
          <w:rFonts w:ascii="Arial MT"/>
          <w:sz w:val="15"/>
        </w:rPr>
      </w:pPr>
    </w:p>
    <w:p>
      <w:pPr>
        <w:spacing w:line="152" w:lineRule="exact" w:before="0"/>
        <w:ind w:left="4512" w:right="0" w:hanging="157"/>
        <w:jc w:val="left"/>
        <w:rPr>
          <w:rFonts w:ascii="Arial MT"/>
          <w:sz w:val="15"/>
        </w:rPr>
      </w:pPr>
      <w:r>
        <w:rPr>
          <w:rFonts w:ascii="Arial MT"/>
          <w:color w:val="231F20"/>
          <w:spacing w:val="-2"/>
          <w:sz w:val="15"/>
        </w:rPr>
        <w:t>Contralateral</w:t>
      </w:r>
      <w:r>
        <w:rPr>
          <w:rFonts w:ascii="Arial MT"/>
          <w:color w:val="231F20"/>
          <w:sz w:val="15"/>
        </w:rPr>
        <w:t> </w:t>
      </w:r>
      <w:r>
        <w:rPr>
          <w:rFonts w:ascii="Arial MT"/>
          <w:color w:val="231F20"/>
          <w:spacing w:val="-2"/>
          <w:sz w:val="15"/>
        </w:rPr>
        <w:t>occipital</w:t>
      </w:r>
    </w:p>
    <w:p>
      <w:pPr>
        <w:spacing w:line="240" w:lineRule="auto" w:before="0"/>
        <w:rPr>
          <w:rFonts w:ascii="Arial MT"/>
          <w:sz w:val="15"/>
        </w:rPr>
      </w:pPr>
      <w:r>
        <w:rPr/>
        <w:br w:type="column"/>
      </w:r>
      <w:r>
        <w:rPr>
          <w:rFonts w:ascii="Arial MT"/>
          <w:sz w:val="15"/>
        </w:rPr>
      </w:r>
    </w:p>
    <w:p>
      <w:pPr>
        <w:pStyle w:val="BodyText"/>
        <w:rPr>
          <w:rFonts w:ascii="Arial MT"/>
          <w:sz w:val="15"/>
        </w:rPr>
      </w:pPr>
    </w:p>
    <w:p>
      <w:pPr>
        <w:pStyle w:val="BodyText"/>
        <w:spacing w:before="25"/>
        <w:rPr>
          <w:rFonts w:ascii="Arial MT"/>
          <w:sz w:val="15"/>
        </w:rPr>
      </w:pPr>
    </w:p>
    <w:p>
      <w:pPr>
        <w:pStyle w:val="Heading6"/>
        <w:spacing w:line="157" w:lineRule="exact"/>
        <w:ind w:left="284"/>
        <w:rPr>
          <w:rFonts w:ascii="Arial MT"/>
        </w:rPr>
      </w:pPr>
      <w:r>
        <w:rPr>
          <w:rFonts w:ascii="Arial MT"/>
          <w:color w:val="231F20"/>
          <w:spacing w:val="-2"/>
        </w:rPr>
        <w:t>Flattening</w:t>
      </w:r>
    </w:p>
    <w:p>
      <w:pPr>
        <w:spacing w:line="211" w:lineRule="auto" w:before="91"/>
        <w:ind w:left="104" w:right="0" w:firstLine="1"/>
        <w:jc w:val="center"/>
        <w:rPr>
          <w:rFonts w:ascii="Arial MT"/>
          <w:sz w:val="15"/>
        </w:rPr>
      </w:pPr>
      <w:r>
        <w:rPr/>
        <w:br w:type="column"/>
      </w:r>
      <w:r>
        <w:rPr>
          <w:rFonts w:ascii="Arial MT"/>
          <w:color w:val="231F20"/>
          <w:spacing w:val="-2"/>
          <w:sz w:val="15"/>
        </w:rPr>
        <w:t>Ipsilateral</w:t>
      </w:r>
      <w:r>
        <w:rPr>
          <w:rFonts w:ascii="Arial MT"/>
          <w:color w:val="231F20"/>
          <w:spacing w:val="80"/>
          <w:sz w:val="15"/>
        </w:rPr>
        <w:t> </w:t>
      </w:r>
      <w:r>
        <w:rPr>
          <w:rFonts w:ascii="Arial MT"/>
          <w:color w:val="231F20"/>
          <w:spacing w:val="-2"/>
          <w:sz w:val="15"/>
        </w:rPr>
        <w:t>ear</w:t>
      </w:r>
      <w:r>
        <w:rPr>
          <w:rFonts w:ascii="Arial MT"/>
          <w:color w:val="231F20"/>
          <w:spacing w:val="-9"/>
          <w:sz w:val="15"/>
        </w:rPr>
        <w:t> </w:t>
      </w:r>
      <w:r>
        <w:rPr>
          <w:rFonts w:ascii="Arial MT"/>
          <w:color w:val="231F20"/>
          <w:spacing w:val="-2"/>
          <w:sz w:val="15"/>
        </w:rPr>
        <w:t>displaced</w:t>
      </w:r>
      <w:r>
        <w:rPr>
          <w:rFonts w:ascii="Arial MT"/>
          <w:color w:val="231F20"/>
          <w:sz w:val="15"/>
        </w:rPr>
        <w:t> </w:t>
      </w:r>
      <w:r>
        <w:rPr>
          <w:rFonts w:ascii="Arial MT"/>
          <w:color w:val="231F20"/>
          <w:spacing w:val="-2"/>
          <w:sz w:val="15"/>
        </w:rPr>
        <w:t>anteriorly</w:t>
      </w:r>
    </w:p>
    <w:p>
      <w:pPr>
        <w:spacing w:line="240" w:lineRule="auto" w:before="0"/>
        <w:rPr>
          <w:rFonts w:ascii="Arial MT"/>
          <w:sz w:val="15"/>
        </w:rPr>
      </w:pPr>
      <w:r>
        <w:rPr/>
        <w:br w:type="column"/>
      </w:r>
      <w:r>
        <w:rPr>
          <w:rFonts w:ascii="Arial MT"/>
          <w:sz w:val="15"/>
        </w:rPr>
      </w:r>
    </w:p>
    <w:p>
      <w:pPr>
        <w:pStyle w:val="BodyText"/>
        <w:spacing w:before="49"/>
        <w:rPr>
          <w:rFonts w:ascii="Arial MT"/>
          <w:sz w:val="15"/>
        </w:rPr>
      </w:pPr>
    </w:p>
    <w:p>
      <w:pPr>
        <w:pStyle w:val="Heading6"/>
        <w:spacing w:line="211" w:lineRule="auto"/>
        <w:ind w:left="328" w:firstLine="6"/>
        <w:rPr>
          <w:rFonts w:ascii="Arial MT"/>
        </w:rPr>
      </w:pPr>
      <w:r>
        <w:rPr>
          <w:rFonts w:ascii="Arial MT"/>
          <w:color w:val="231F20"/>
          <w:spacing w:val="-2"/>
        </w:rPr>
        <w:t>Parietal</w:t>
      </w:r>
      <w:r>
        <w:rPr>
          <w:rFonts w:ascii="Arial MT"/>
          <w:color w:val="231F20"/>
        </w:rPr>
        <w:t> </w:t>
      </w:r>
      <w:r>
        <w:rPr>
          <w:rFonts w:ascii="Arial MT"/>
          <w:color w:val="231F20"/>
          <w:spacing w:val="-2"/>
        </w:rPr>
        <w:t>bossing</w:t>
      </w:r>
    </w:p>
    <w:p>
      <w:pPr>
        <w:spacing w:line="240" w:lineRule="auto" w:before="0"/>
        <w:rPr>
          <w:rFonts w:ascii="Arial MT"/>
          <w:sz w:val="15"/>
        </w:rPr>
      </w:pPr>
      <w:r>
        <w:rPr/>
        <w:br w:type="column"/>
      </w:r>
      <w:r>
        <w:rPr>
          <w:rFonts w:ascii="Arial MT"/>
          <w:sz w:val="15"/>
        </w:rPr>
      </w:r>
    </w:p>
    <w:p>
      <w:pPr>
        <w:pStyle w:val="BodyText"/>
        <w:spacing w:before="74"/>
        <w:rPr>
          <w:rFonts w:ascii="Arial MT"/>
          <w:sz w:val="15"/>
        </w:rPr>
      </w:pPr>
    </w:p>
    <w:p>
      <w:pPr>
        <w:pStyle w:val="Heading6"/>
        <w:ind w:left="579"/>
        <w:rPr>
          <w:rFonts w:ascii="Arial MT"/>
        </w:rPr>
      </w:pPr>
      <w:r>
        <w:rPr>
          <w:rFonts w:ascii="Arial MT"/>
          <w:color w:val="231F20"/>
          <w:spacing w:val="-2"/>
        </w:rPr>
        <w:t>Flattening</w:t>
      </w:r>
    </w:p>
    <w:p>
      <w:pPr>
        <w:spacing w:line="240" w:lineRule="auto" w:before="64"/>
        <w:rPr>
          <w:rFonts w:ascii="Arial MT"/>
          <w:sz w:val="15"/>
        </w:rPr>
      </w:pPr>
      <w:r>
        <w:rPr/>
        <w:br w:type="column"/>
      </w:r>
      <w:r>
        <w:rPr>
          <w:rFonts w:ascii="Arial MT"/>
          <w:sz w:val="15"/>
        </w:rPr>
      </w:r>
    </w:p>
    <w:p>
      <w:pPr>
        <w:spacing w:line="211" w:lineRule="auto" w:before="0"/>
        <w:ind w:left="247" w:right="342" w:firstLine="0"/>
        <w:jc w:val="center"/>
        <w:rPr>
          <w:rFonts w:ascii="Arial MT"/>
          <w:sz w:val="15"/>
        </w:rPr>
      </w:pPr>
      <w:r>
        <w:rPr>
          <w:rFonts w:ascii="Arial MT"/>
          <w:color w:val="231F20"/>
          <w:spacing w:val="-2"/>
          <w:sz w:val="15"/>
        </w:rPr>
        <w:t>Ipsilateral</w:t>
      </w:r>
      <w:r>
        <w:rPr>
          <w:rFonts w:ascii="Arial MT"/>
          <w:color w:val="231F20"/>
          <w:spacing w:val="-9"/>
          <w:sz w:val="15"/>
        </w:rPr>
        <w:t> </w:t>
      </w:r>
      <w:r>
        <w:rPr>
          <w:rFonts w:ascii="Arial MT"/>
          <w:color w:val="231F20"/>
          <w:spacing w:val="-2"/>
          <w:sz w:val="15"/>
        </w:rPr>
        <w:t>ear</w:t>
      </w:r>
      <w:r>
        <w:rPr>
          <w:rFonts w:ascii="Arial MT"/>
          <w:color w:val="231F20"/>
          <w:sz w:val="15"/>
        </w:rPr>
        <w:t> </w:t>
      </w:r>
      <w:r>
        <w:rPr>
          <w:rFonts w:ascii="Arial MT"/>
          <w:color w:val="231F20"/>
          <w:spacing w:val="-2"/>
          <w:sz w:val="15"/>
        </w:rPr>
        <w:t>displaced</w:t>
      </w:r>
      <w:r>
        <w:rPr>
          <w:rFonts w:ascii="Arial MT"/>
          <w:color w:val="231F20"/>
          <w:sz w:val="15"/>
        </w:rPr>
        <w:t> </w:t>
      </w:r>
      <w:r>
        <w:rPr>
          <w:rFonts w:ascii="Arial MT"/>
          <w:color w:val="231F20"/>
          <w:spacing w:val="-2"/>
          <w:sz w:val="15"/>
        </w:rPr>
        <w:t>posteriorly</w:t>
      </w:r>
    </w:p>
    <w:p>
      <w:pPr>
        <w:spacing w:after="0" w:line="211" w:lineRule="auto"/>
        <w:jc w:val="center"/>
        <w:rPr>
          <w:rFonts w:ascii="Arial MT"/>
          <w:sz w:val="15"/>
        </w:rPr>
        <w:sectPr>
          <w:type w:val="continuous"/>
          <w:pgSz w:w="11900" w:h="16840"/>
          <w:pgMar w:header="0" w:footer="0" w:top="620" w:bottom="280" w:left="425" w:right="566"/>
          <w:cols w:num="6" w:equalWidth="0">
            <w:col w:w="5211" w:space="40"/>
            <w:col w:w="941" w:space="39"/>
            <w:col w:w="993" w:space="39"/>
            <w:col w:w="844" w:space="40"/>
            <w:col w:w="1235" w:space="39"/>
            <w:col w:w="1488"/>
          </w:cols>
        </w:sectPr>
      </w:pPr>
    </w:p>
    <w:p>
      <w:pPr>
        <w:spacing w:before="9"/>
        <w:ind w:left="0" w:right="0" w:firstLine="0"/>
        <w:jc w:val="right"/>
        <w:rPr>
          <w:rFonts w:ascii="Arial MT"/>
          <w:sz w:val="15"/>
        </w:rPr>
      </w:pPr>
      <w:r>
        <w:rPr>
          <w:rFonts w:ascii="Arial MT"/>
          <w:color w:val="231F20"/>
          <w:spacing w:val="-2"/>
          <w:sz w:val="15"/>
        </w:rPr>
        <w:t>bossing</w:t>
      </w:r>
    </w:p>
    <w:p>
      <w:pPr>
        <w:spacing w:before="26"/>
        <w:ind w:left="0" w:right="0" w:firstLine="0"/>
        <w:jc w:val="right"/>
        <w:rPr>
          <w:rFonts w:ascii="Arial MT"/>
          <w:sz w:val="15"/>
        </w:rPr>
      </w:pPr>
      <w:r>
        <w:rPr/>
        <w:br w:type="column"/>
      </w:r>
      <w:r>
        <w:rPr>
          <w:rFonts w:ascii="Arial MT"/>
          <w:color w:val="231F20"/>
          <w:spacing w:val="-2"/>
          <w:sz w:val="15"/>
        </w:rPr>
        <w:t>Ipsilateral</w:t>
      </w:r>
    </w:p>
    <w:p>
      <w:pPr>
        <w:spacing w:line="97" w:lineRule="exact" w:before="0"/>
        <w:ind w:left="67" w:right="0" w:firstLine="0"/>
        <w:jc w:val="left"/>
        <w:rPr>
          <w:rFonts w:ascii="Arial MT"/>
          <w:sz w:val="15"/>
        </w:rPr>
      </w:pPr>
      <w:r>
        <w:rPr/>
        <w:br w:type="column"/>
      </w:r>
      <w:r>
        <w:rPr>
          <w:rFonts w:ascii="Arial MT"/>
          <w:color w:val="231F20"/>
          <w:spacing w:val="-2"/>
          <w:sz w:val="15"/>
        </w:rPr>
        <w:t>(variable)</w:t>
      </w:r>
    </w:p>
    <w:p>
      <w:pPr>
        <w:spacing w:after="0" w:line="97" w:lineRule="exact"/>
        <w:jc w:val="left"/>
        <w:rPr>
          <w:rFonts w:ascii="Arial MT"/>
          <w:sz w:val="15"/>
        </w:rPr>
        <w:sectPr>
          <w:type w:val="continuous"/>
          <w:pgSz w:w="11900" w:h="16840"/>
          <w:pgMar w:header="0" w:footer="0" w:top="620" w:bottom="280" w:left="425" w:right="566"/>
          <w:cols w:num="3" w:equalWidth="0">
            <w:col w:w="5040" w:space="40"/>
            <w:col w:w="4621" w:space="39"/>
            <w:col w:w="1169"/>
          </w:cols>
        </w:sectPr>
      </w:pPr>
    </w:p>
    <w:p>
      <w:pPr>
        <w:spacing w:line="113" w:lineRule="exact" w:before="0"/>
        <w:ind w:left="0" w:right="1012" w:firstLine="0"/>
        <w:jc w:val="right"/>
        <w:rPr>
          <w:rFonts w:ascii="Arial MT"/>
          <w:sz w:val="15"/>
        </w:rPr>
      </w:pPr>
      <w:r>
        <w:rPr>
          <w:rFonts w:ascii="Arial MT"/>
          <w:sz w:val="15"/>
        </w:rPr>
        <mc:AlternateContent>
          <mc:Choice Requires="wps">
            <w:drawing>
              <wp:anchor distT="0" distB="0" distL="0" distR="0" allowOverlap="1" layoutInCell="1" locked="0" behindDoc="1" simplePos="0" relativeHeight="475171840">
                <wp:simplePos x="0" y="0"/>
                <wp:positionH relativeFrom="page">
                  <wp:posOffset>5074594</wp:posOffset>
                </wp:positionH>
                <wp:positionV relativeFrom="paragraph">
                  <wp:posOffset>-2204419</wp:posOffset>
                </wp:positionV>
                <wp:extent cx="1652270" cy="2105025"/>
                <wp:effectExtent l="0" t="0" r="0" b="0"/>
                <wp:wrapNone/>
                <wp:docPr id="359" name="Group 359"/>
                <wp:cNvGraphicFramePr>
                  <a:graphicFrameLocks/>
                </wp:cNvGraphicFramePr>
                <a:graphic>
                  <a:graphicData uri="http://schemas.microsoft.com/office/word/2010/wordprocessingGroup">
                    <wpg:wgp>
                      <wpg:cNvPr id="359" name="Group 359"/>
                      <wpg:cNvGrpSpPr/>
                      <wpg:grpSpPr>
                        <a:xfrm>
                          <a:off x="0" y="0"/>
                          <a:ext cx="1652270" cy="2105025"/>
                          <a:chExt cx="1652270" cy="2105025"/>
                        </a:xfrm>
                      </wpg:grpSpPr>
                      <pic:pic>
                        <pic:nvPicPr>
                          <pic:cNvPr id="360" name="Image 360"/>
                          <pic:cNvPicPr/>
                        </pic:nvPicPr>
                        <pic:blipFill>
                          <a:blip r:embed="rId140" cstate="print"/>
                          <a:stretch>
                            <a:fillRect/>
                          </a:stretch>
                        </pic:blipFill>
                        <pic:spPr>
                          <a:xfrm>
                            <a:off x="5926" y="518777"/>
                            <a:ext cx="206074" cy="529510"/>
                          </a:xfrm>
                          <a:prstGeom prst="rect">
                            <a:avLst/>
                          </a:prstGeom>
                        </pic:spPr>
                      </pic:pic>
                      <wps:wsp>
                        <wps:cNvPr id="361" name="Graphic 361"/>
                        <wps:cNvSpPr/>
                        <wps:spPr>
                          <a:xfrm>
                            <a:off x="5924" y="521325"/>
                            <a:ext cx="206375" cy="527050"/>
                          </a:xfrm>
                          <a:custGeom>
                            <a:avLst/>
                            <a:gdLst/>
                            <a:ahLst/>
                            <a:cxnLst/>
                            <a:rect l="l" t="t" r="r" b="b"/>
                            <a:pathLst>
                              <a:path w="206375" h="527050">
                                <a:moveTo>
                                  <a:pt x="188015" y="789"/>
                                </a:moveTo>
                                <a:lnTo>
                                  <a:pt x="172072" y="39109"/>
                                </a:lnTo>
                                <a:lnTo>
                                  <a:pt x="150057" y="89100"/>
                                </a:lnTo>
                                <a:lnTo>
                                  <a:pt x="124690" y="143248"/>
                                </a:lnTo>
                                <a:lnTo>
                                  <a:pt x="98689" y="194038"/>
                                </a:lnTo>
                                <a:lnTo>
                                  <a:pt x="74772" y="233957"/>
                                </a:lnTo>
                                <a:lnTo>
                                  <a:pt x="65541" y="256108"/>
                                </a:lnTo>
                                <a:lnTo>
                                  <a:pt x="65734" y="278163"/>
                                </a:lnTo>
                                <a:lnTo>
                                  <a:pt x="70446" y="301432"/>
                                </a:lnTo>
                                <a:lnTo>
                                  <a:pt x="74772" y="327222"/>
                                </a:lnTo>
                                <a:lnTo>
                                  <a:pt x="70394" y="335854"/>
                                </a:lnTo>
                                <a:lnTo>
                                  <a:pt x="59772" y="356794"/>
                                </a:lnTo>
                                <a:lnTo>
                                  <a:pt x="39555" y="396793"/>
                                </a:lnTo>
                                <a:lnTo>
                                  <a:pt x="6390" y="462599"/>
                                </a:lnTo>
                                <a:lnTo>
                                  <a:pt x="0" y="480870"/>
                                </a:lnTo>
                                <a:lnTo>
                                  <a:pt x="658" y="496539"/>
                                </a:lnTo>
                                <a:lnTo>
                                  <a:pt x="8440" y="509780"/>
                                </a:lnTo>
                                <a:lnTo>
                                  <a:pt x="23418" y="520766"/>
                                </a:lnTo>
                                <a:lnTo>
                                  <a:pt x="43738" y="526957"/>
                                </a:lnTo>
                                <a:lnTo>
                                  <a:pt x="63354" y="524958"/>
                                </a:lnTo>
                                <a:lnTo>
                                  <a:pt x="80230" y="515907"/>
                                </a:lnTo>
                                <a:lnTo>
                                  <a:pt x="92332" y="500943"/>
                                </a:lnTo>
                                <a:lnTo>
                                  <a:pt x="100209" y="486637"/>
                                </a:lnTo>
                                <a:lnTo>
                                  <a:pt x="107416" y="474803"/>
                                </a:lnTo>
                                <a:lnTo>
                                  <a:pt x="112678" y="466747"/>
                                </a:lnTo>
                                <a:lnTo>
                                  <a:pt x="114716" y="463772"/>
                                </a:lnTo>
                                <a:lnTo>
                                  <a:pt x="120444" y="467939"/>
                                </a:lnTo>
                                <a:lnTo>
                                  <a:pt x="135543" y="474609"/>
                                </a:lnTo>
                                <a:lnTo>
                                  <a:pt x="181343" y="460466"/>
                                </a:lnTo>
                                <a:lnTo>
                                  <a:pt x="197349" y="402677"/>
                                </a:lnTo>
                                <a:lnTo>
                                  <a:pt x="202090" y="352413"/>
                                </a:lnTo>
                                <a:lnTo>
                                  <a:pt x="204922" y="293593"/>
                                </a:lnTo>
                                <a:lnTo>
                                  <a:pt x="206043" y="230485"/>
                                </a:lnTo>
                                <a:lnTo>
                                  <a:pt x="205654" y="167357"/>
                                </a:lnTo>
                                <a:lnTo>
                                  <a:pt x="203953" y="108476"/>
                                </a:lnTo>
                                <a:lnTo>
                                  <a:pt x="201140" y="58111"/>
                                </a:lnTo>
                                <a:lnTo>
                                  <a:pt x="197413" y="20530"/>
                                </a:lnTo>
                                <a:lnTo>
                                  <a:pt x="192971" y="0"/>
                                </a:lnTo>
                                <a:lnTo>
                                  <a:pt x="188015" y="789"/>
                                </a:lnTo>
                                <a:close/>
                              </a:path>
                            </a:pathLst>
                          </a:custGeom>
                          <a:ln w="11849">
                            <a:solidFill>
                              <a:srgbClr val="231F20"/>
                            </a:solidFill>
                            <a:prstDash val="solid"/>
                          </a:ln>
                        </wps:spPr>
                        <wps:bodyPr wrap="square" lIns="0" tIns="0" rIns="0" bIns="0" rtlCol="0">
                          <a:prstTxWarp prst="textNoShape">
                            <a:avLst/>
                          </a:prstTxWarp>
                          <a:noAutofit/>
                        </wps:bodyPr>
                      </wps:wsp>
                      <pic:pic>
                        <pic:nvPicPr>
                          <pic:cNvPr id="362" name="Image 362"/>
                          <pic:cNvPicPr/>
                        </pic:nvPicPr>
                        <pic:blipFill>
                          <a:blip r:embed="rId141" cstate="print"/>
                          <a:stretch>
                            <a:fillRect/>
                          </a:stretch>
                        </pic:blipFill>
                        <pic:spPr>
                          <a:xfrm>
                            <a:off x="1423105" y="911284"/>
                            <a:ext cx="223102" cy="492687"/>
                          </a:xfrm>
                          <a:prstGeom prst="rect">
                            <a:avLst/>
                          </a:prstGeom>
                        </pic:spPr>
                      </pic:pic>
                      <wps:wsp>
                        <wps:cNvPr id="363" name="Graphic 363"/>
                        <wps:cNvSpPr/>
                        <wps:spPr>
                          <a:xfrm>
                            <a:off x="1423257" y="913186"/>
                            <a:ext cx="223520" cy="490855"/>
                          </a:xfrm>
                          <a:custGeom>
                            <a:avLst/>
                            <a:gdLst/>
                            <a:ahLst/>
                            <a:cxnLst/>
                            <a:rect l="l" t="t" r="r" b="b"/>
                            <a:pathLst>
                              <a:path w="223520" h="490855">
                                <a:moveTo>
                                  <a:pt x="31434" y="1988"/>
                                </a:moveTo>
                                <a:lnTo>
                                  <a:pt x="45153" y="28460"/>
                                </a:lnTo>
                                <a:lnTo>
                                  <a:pt x="64784" y="72824"/>
                                </a:lnTo>
                                <a:lnTo>
                                  <a:pt x="87522" y="126712"/>
                                </a:lnTo>
                                <a:lnTo>
                                  <a:pt x="110565" y="181751"/>
                                </a:lnTo>
                                <a:lnTo>
                                  <a:pt x="131108" y="229573"/>
                                </a:lnTo>
                                <a:lnTo>
                                  <a:pt x="167214" y="306978"/>
                                </a:lnTo>
                                <a:lnTo>
                                  <a:pt x="190893" y="365893"/>
                                </a:lnTo>
                                <a:lnTo>
                                  <a:pt x="211451" y="421065"/>
                                </a:lnTo>
                                <a:lnTo>
                                  <a:pt x="222953" y="455006"/>
                                </a:lnTo>
                                <a:lnTo>
                                  <a:pt x="216413" y="471826"/>
                                </a:lnTo>
                                <a:lnTo>
                                  <a:pt x="193778" y="486851"/>
                                </a:lnTo>
                                <a:lnTo>
                                  <a:pt x="163089" y="490799"/>
                                </a:lnTo>
                                <a:lnTo>
                                  <a:pt x="132386" y="474391"/>
                                </a:lnTo>
                                <a:lnTo>
                                  <a:pt x="109710" y="428346"/>
                                </a:lnTo>
                                <a:lnTo>
                                  <a:pt x="95718" y="418200"/>
                                </a:lnTo>
                                <a:lnTo>
                                  <a:pt x="69790" y="420251"/>
                                </a:lnTo>
                                <a:lnTo>
                                  <a:pt x="41339" y="424682"/>
                                </a:lnTo>
                                <a:lnTo>
                                  <a:pt x="19775" y="421675"/>
                                </a:lnTo>
                                <a:lnTo>
                                  <a:pt x="5895" y="372922"/>
                                </a:lnTo>
                                <a:lnTo>
                                  <a:pt x="2046" y="327319"/>
                                </a:lnTo>
                                <a:lnTo>
                                  <a:pt x="116" y="273109"/>
                                </a:lnTo>
                                <a:lnTo>
                                  <a:pt x="0" y="214451"/>
                                </a:lnTo>
                                <a:lnTo>
                                  <a:pt x="1590" y="155503"/>
                                </a:lnTo>
                                <a:lnTo>
                                  <a:pt x="4781" y="100426"/>
                                </a:lnTo>
                                <a:lnTo>
                                  <a:pt x="9467" y="53377"/>
                                </a:lnTo>
                                <a:lnTo>
                                  <a:pt x="15542" y="18515"/>
                                </a:lnTo>
                                <a:lnTo>
                                  <a:pt x="22900" y="0"/>
                                </a:lnTo>
                                <a:lnTo>
                                  <a:pt x="31434" y="1988"/>
                                </a:lnTo>
                                <a:close/>
                              </a:path>
                            </a:pathLst>
                          </a:custGeom>
                          <a:ln w="11849">
                            <a:solidFill>
                              <a:srgbClr val="231F20"/>
                            </a:solidFill>
                            <a:prstDash val="solid"/>
                          </a:ln>
                        </wps:spPr>
                        <wps:bodyPr wrap="square" lIns="0" tIns="0" rIns="0" bIns="0" rtlCol="0">
                          <a:prstTxWarp prst="textNoShape">
                            <a:avLst/>
                          </a:prstTxWarp>
                          <a:noAutofit/>
                        </wps:bodyPr>
                      </wps:wsp>
                      <pic:pic>
                        <pic:nvPicPr>
                          <pic:cNvPr id="364" name="Image 364"/>
                          <pic:cNvPicPr/>
                        </pic:nvPicPr>
                        <pic:blipFill>
                          <a:blip r:embed="rId142" cstate="print"/>
                          <a:stretch>
                            <a:fillRect/>
                          </a:stretch>
                        </pic:blipFill>
                        <pic:spPr>
                          <a:xfrm>
                            <a:off x="237231" y="5216"/>
                            <a:ext cx="1162850" cy="533577"/>
                          </a:xfrm>
                          <a:prstGeom prst="rect">
                            <a:avLst/>
                          </a:prstGeom>
                        </pic:spPr>
                      </pic:pic>
                      <pic:pic>
                        <pic:nvPicPr>
                          <pic:cNvPr id="365" name="Image 365"/>
                          <pic:cNvPicPr/>
                        </pic:nvPicPr>
                        <pic:blipFill>
                          <a:blip r:embed="rId143" cstate="print"/>
                          <a:stretch>
                            <a:fillRect/>
                          </a:stretch>
                        </pic:blipFill>
                        <pic:spPr>
                          <a:xfrm>
                            <a:off x="79606" y="0"/>
                            <a:ext cx="1457816" cy="1858668"/>
                          </a:xfrm>
                          <a:prstGeom prst="rect">
                            <a:avLst/>
                          </a:prstGeom>
                        </pic:spPr>
                      </pic:pic>
                      <pic:pic>
                        <pic:nvPicPr>
                          <pic:cNvPr id="366" name="Image 366"/>
                          <pic:cNvPicPr/>
                        </pic:nvPicPr>
                        <pic:blipFill>
                          <a:blip r:embed="rId144" cstate="print"/>
                          <a:stretch>
                            <a:fillRect/>
                          </a:stretch>
                        </pic:blipFill>
                        <pic:spPr>
                          <a:xfrm>
                            <a:off x="246705" y="1699878"/>
                            <a:ext cx="76200" cy="88900"/>
                          </a:xfrm>
                          <a:prstGeom prst="rect">
                            <a:avLst/>
                          </a:prstGeom>
                        </pic:spPr>
                      </pic:pic>
                      <pic:pic>
                        <pic:nvPicPr>
                          <pic:cNvPr id="367" name="Image 367"/>
                          <pic:cNvPicPr/>
                        </pic:nvPicPr>
                        <pic:blipFill>
                          <a:blip r:embed="rId145" cstate="print"/>
                          <a:stretch>
                            <a:fillRect/>
                          </a:stretch>
                        </pic:blipFill>
                        <pic:spPr>
                          <a:xfrm>
                            <a:off x="221305" y="1661778"/>
                            <a:ext cx="88900" cy="88900"/>
                          </a:xfrm>
                          <a:prstGeom prst="rect">
                            <a:avLst/>
                          </a:prstGeom>
                        </pic:spPr>
                      </pic:pic>
                      <pic:pic>
                        <pic:nvPicPr>
                          <pic:cNvPr id="368" name="Image 368"/>
                          <pic:cNvPicPr/>
                        </pic:nvPicPr>
                        <pic:blipFill>
                          <a:blip r:embed="rId146" cstate="print"/>
                          <a:stretch>
                            <a:fillRect/>
                          </a:stretch>
                        </pic:blipFill>
                        <pic:spPr>
                          <a:xfrm>
                            <a:off x="297505" y="1737978"/>
                            <a:ext cx="76200" cy="76200"/>
                          </a:xfrm>
                          <a:prstGeom prst="rect">
                            <a:avLst/>
                          </a:prstGeom>
                        </pic:spPr>
                      </pic:pic>
                      <pic:pic>
                        <pic:nvPicPr>
                          <pic:cNvPr id="369" name="Image 369"/>
                          <pic:cNvPicPr/>
                        </pic:nvPicPr>
                        <pic:blipFill>
                          <a:blip r:embed="rId147" cstate="print"/>
                          <a:stretch>
                            <a:fillRect/>
                          </a:stretch>
                        </pic:blipFill>
                        <pic:spPr>
                          <a:xfrm>
                            <a:off x="284805" y="1699878"/>
                            <a:ext cx="88900" cy="88900"/>
                          </a:xfrm>
                          <a:prstGeom prst="rect">
                            <a:avLst/>
                          </a:prstGeom>
                        </pic:spPr>
                      </pic:pic>
                      <pic:pic>
                        <pic:nvPicPr>
                          <pic:cNvPr id="370" name="Image 370"/>
                          <pic:cNvPicPr/>
                        </pic:nvPicPr>
                        <pic:blipFill>
                          <a:blip r:embed="rId148" cstate="print"/>
                          <a:stretch>
                            <a:fillRect/>
                          </a:stretch>
                        </pic:blipFill>
                        <pic:spPr>
                          <a:xfrm>
                            <a:off x="361005" y="1776078"/>
                            <a:ext cx="139700" cy="69892"/>
                          </a:xfrm>
                          <a:prstGeom prst="rect">
                            <a:avLst/>
                          </a:prstGeom>
                        </pic:spPr>
                      </pic:pic>
                      <pic:pic>
                        <pic:nvPicPr>
                          <pic:cNvPr id="371" name="Image 371"/>
                          <pic:cNvPicPr/>
                        </pic:nvPicPr>
                        <pic:blipFill>
                          <a:blip r:embed="rId149" cstate="print"/>
                          <a:stretch>
                            <a:fillRect/>
                          </a:stretch>
                        </pic:blipFill>
                        <pic:spPr>
                          <a:xfrm>
                            <a:off x="361005" y="1750678"/>
                            <a:ext cx="254000" cy="95292"/>
                          </a:xfrm>
                          <a:prstGeom prst="rect">
                            <a:avLst/>
                          </a:prstGeom>
                        </pic:spPr>
                      </pic:pic>
                      <pic:pic>
                        <pic:nvPicPr>
                          <pic:cNvPr id="372" name="Image 372"/>
                          <pic:cNvPicPr/>
                        </pic:nvPicPr>
                        <pic:blipFill>
                          <a:blip r:embed="rId150" cstate="print"/>
                          <a:stretch>
                            <a:fillRect/>
                          </a:stretch>
                        </pic:blipFill>
                        <pic:spPr>
                          <a:xfrm>
                            <a:off x="576905" y="1763378"/>
                            <a:ext cx="152400" cy="82592"/>
                          </a:xfrm>
                          <a:prstGeom prst="rect">
                            <a:avLst/>
                          </a:prstGeom>
                        </pic:spPr>
                      </pic:pic>
                      <pic:pic>
                        <pic:nvPicPr>
                          <pic:cNvPr id="373" name="Image 373"/>
                          <pic:cNvPicPr/>
                        </pic:nvPicPr>
                        <pic:blipFill>
                          <a:blip r:embed="rId151" cstate="print"/>
                          <a:stretch>
                            <a:fillRect/>
                          </a:stretch>
                        </pic:blipFill>
                        <pic:spPr>
                          <a:xfrm>
                            <a:off x="589605" y="1725278"/>
                            <a:ext cx="152400" cy="88900"/>
                          </a:xfrm>
                          <a:prstGeom prst="rect">
                            <a:avLst/>
                          </a:prstGeom>
                        </pic:spPr>
                      </pic:pic>
                      <pic:pic>
                        <pic:nvPicPr>
                          <pic:cNvPr id="374" name="Image 374"/>
                          <pic:cNvPicPr/>
                        </pic:nvPicPr>
                        <pic:blipFill>
                          <a:blip r:embed="rId152" cstate="print"/>
                          <a:stretch>
                            <a:fillRect/>
                          </a:stretch>
                        </pic:blipFill>
                        <pic:spPr>
                          <a:xfrm>
                            <a:off x="716605" y="1737978"/>
                            <a:ext cx="76200" cy="76200"/>
                          </a:xfrm>
                          <a:prstGeom prst="rect">
                            <a:avLst/>
                          </a:prstGeom>
                        </pic:spPr>
                      </pic:pic>
                      <pic:pic>
                        <pic:nvPicPr>
                          <pic:cNvPr id="375" name="Image 375"/>
                          <pic:cNvPicPr/>
                        </pic:nvPicPr>
                        <pic:blipFill>
                          <a:blip r:embed="rId153" cstate="print"/>
                          <a:stretch>
                            <a:fillRect/>
                          </a:stretch>
                        </pic:blipFill>
                        <pic:spPr>
                          <a:xfrm>
                            <a:off x="716605" y="1699878"/>
                            <a:ext cx="88900" cy="76200"/>
                          </a:xfrm>
                          <a:prstGeom prst="rect">
                            <a:avLst/>
                          </a:prstGeom>
                        </pic:spPr>
                      </pic:pic>
                      <pic:pic>
                        <pic:nvPicPr>
                          <pic:cNvPr id="376" name="Image 376"/>
                          <pic:cNvPicPr/>
                        </pic:nvPicPr>
                        <pic:blipFill>
                          <a:blip r:embed="rId154" cstate="print"/>
                          <a:stretch>
                            <a:fillRect/>
                          </a:stretch>
                        </pic:blipFill>
                        <pic:spPr>
                          <a:xfrm>
                            <a:off x="767405" y="1712578"/>
                            <a:ext cx="88900" cy="88900"/>
                          </a:xfrm>
                          <a:prstGeom prst="rect">
                            <a:avLst/>
                          </a:prstGeom>
                        </pic:spPr>
                      </pic:pic>
                      <pic:pic>
                        <pic:nvPicPr>
                          <pic:cNvPr id="377" name="Image 377"/>
                          <pic:cNvPicPr/>
                        </pic:nvPicPr>
                        <pic:blipFill>
                          <a:blip r:embed="rId155" cstate="print"/>
                          <a:stretch>
                            <a:fillRect/>
                          </a:stretch>
                        </pic:blipFill>
                        <pic:spPr>
                          <a:xfrm>
                            <a:off x="780105" y="1661778"/>
                            <a:ext cx="101600" cy="88900"/>
                          </a:xfrm>
                          <a:prstGeom prst="rect">
                            <a:avLst/>
                          </a:prstGeom>
                        </pic:spPr>
                      </pic:pic>
                      <pic:pic>
                        <pic:nvPicPr>
                          <pic:cNvPr id="378" name="Image 378"/>
                          <pic:cNvPicPr/>
                        </pic:nvPicPr>
                        <pic:blipFill>
                          <a:blip r:embed="rId156" cstate="print"/>
                          <a:stretch>
                            <a:fillRect/>
                          </a:stretch>
                        </pic:blipFill>
                        <pic:spPr>
                          <a:xfrm>
                            <a:off x="830905" y="1649078"/>
                            <a:ext cx="190500" cy="127000"/>
                          </a:xfrm>
                          <a:prstGeom prst="rect">
                            <a:avLst/>
                          </a:prstGeom>
                        </pic:spPr>
                      </pic:pic>
                      <pic:pic>
                        <pic:nvPicPr>
                          <pic:cNvPr id="379" name="Image 379"/>
                          <pic:cNvPicPr/>
                        </pic:nvPicPr>
                        <pic:blipFill>
                          <a:blip r:embed="rId157" cstate="print"/>
                          <a:stretch>
                            <a:fillRect/>
                          </a:stretch>
                        </pic:blipFill>
                        <pic:spPr>
                          <a:xfrm>
                            <a:off x="843605" y="1598278"/>
                            <a:ext cx="203200" cy="127000"/>
                          </a:xfrm>
                          <a:prstGeom prst="rect">
                            <a:avLst/>
                          </a:prstGeom>
                        </pic:spPr>
                      </pic:pic>
                      <pic:pic>
                        <pic:nvPicPr>
                          <pic:cNvPr id="380" name="Image 380"/>
                          <pic:cNvPicPr/>
                        </pic:nvPicPr>
                        <pic:blipFill>
                          <a:blip r:embed="rId158" cstate="print"/>
                          <a:stretch>
                            <a:fillRect/>
                          </a:stretch>
                        </pic:blipFill>
                        <pic:spPr>
                          <a:xfrm>
                            <a:off x="983305" y="1585578"/>
                            <a:ext cx="190500" cy="127000"/>
                          </a:xfrm>
                          <a:prstGeom prst="rect">
                            <a:avLst/>
                          </a:prstGeom>
                        </pic:spPr>
                      </pic:pic>
                      <pic:pic>
                        <pic:nvPicPr>
                          <pic:cNvPr id="381" name="Image 381"/>
                          <pic:cNvPicPr/>
                        </pic:nvPicPr>
                        <pic:blipFill>
                          <a:blip r:embed="rId159" cstate="print"/>
                          <a:stretch>
                            <a:fillRect/>
                          </a:stretch>
                        </pic:blipFill>
                        <pic:spPr>
                          <a:xfrm>
                            <a:off x="1008705" y="1522078"/>
                            <a:ext cx="203200" cy="139700"/>
                          </a:xfrm>
                          <a:prstGeom prst="rect">
                            <a:avLst/>
                          </a:prstGeom>
                        </pic:spPr>
                      </pic:pic>
                      <pic:pic>
                        <pic:nvPicPr>
                          <pic:cNvPr id="382" name="Image 382"/>
                          <pic:cNvPicPr/>
                        </pic:nvPicPr>
                        <pic:blipFill>
                          <a:blip r:embed="rId160" cstate="print"/>
                          <a:stretch>
                            <a:fillRect/>
                          </a:stretch>
                        </pic:blipFill>
                        <pic:spPr>
                          <a:xfrm>
                            <a:off x="1123005" y="1496678"/>
                            <a:ext cx="241300" cy="152400"/>
                          </a:xfrm>
                          <a:prstGeom prst="rect">
                            <a:avLst/>
                          </a:prstGeom>
                        </pic:spPr>
                      </pic:pic>
                      <pic:pic>
                        <pic:nvPicPr>
                          <pic:cNvPr id="383" name="Image 383"/>
                          <pic:cNvPicPr/>
                        </pic:nvPicPr>
                        <pic:blipFill>
                          <a:blip r:embed="rId161" cstate="print"/>
                          <a:stretch>
                            <a:fillRect/>
                          </a:stretch>
                        </pic:blipFill>
                        <pic:spPr>
                          <a:xfrm>
                            <a:off x="208605" y="1623678"/>
                            <a:ext cx="88900" cy="88900"/>
                          </a:xfrm>
                          <a:prstGeom prst="rect">
                            <a:avLst/>
                          </a:prstGeom>
                        </pic:spPr>
                      </pic:pic>
                      <pic:pic>
                        <pic:nvPicPr>
                          <pic:cNvPr id="384" name="Image 384"/>
                          <pic:cNvPicPr/>
                        </pic:nvPicPr>
                        <pic:blipFill>
                          <a:blip r:embed="rId162" cstate="print"/>
                          <a:stretch>
                            <a:fillRect/>
                          </a:stretch>
                        </pic:blipFill>
                        <pic:spPr>
                          <a:xfrm>
                            <a:off x="195905" y="1598278"/>
                            <a:ext cx="88900" cy="88900"/>
                          </a:xfrm>
                          <a:prstGeom prst="rect">
                            <a:avLst/>
                          </a:prstGeom>
                        </pic:spPr>
                      </pic:pic>
                      <pic:pic>
                        <pic:nvPicPr>
                          <pic:cNvPr id="385" name="Image 385"/>
                          <pic:cNvPicPr/>
                        </pic:nvPicPr>
                        <pic:blipFill>
                          <a:blip r:embed="rId163" cstate="print"/>
                          <a:stretch>
                            <a:fillRect/>
                          </a:stretch>
                        </pic:blipFill>
                        <pic:spPr>
                          <a:xfrm>
                            <a:off x="183205" y="1572878"/>
                            <a:ext cx="88900" cy="76200"/>
                          </a:xfrm>
                          <a:prstGeom prst="rect">
                            <a:avLst/>
                          </a:prstGeom>
                        </pic:spPr>
                      </pic:pic>
                      <pic:pic>
                        <pic:nvPicPr>
                          <pic:cNvPr id="386" name="Image 386"/>
                          <pic:cNvPicPr/>
                        </pic:nvPicPr>
                        <pic:blipFill>
                          <a:blip r:embed="rId164" cstate="print"/>
                          <a:stretch>
                            <a:fillRect/>
                          </a:stretch>
                        </pic:blipFill>
                        <pic:spPr>
                          <a:xfrm>
                            <a:off x="183205" y="1534778"/>
                            <a:ext cx="76200" cy="76200"/>
                          </a:xfrm>
                          <a:prstGeom prst="rect">
                            <a:avLst/>
                          </a:prstGeom>
                        </pic:spPr>
                      </pic:pic>
                      <pic:pic>
                        <pic:nvPicPr>
                          <pic:cNvPr id="387" name="Image 387"/>
                          <pic:cNvPicPr/>
                        </pic:nvPicPr>
                        <pic:blipFill>
                          <a:blip r:embed="rId165" cstate="print"/>
                          <a:stretch>
                            <a:fillRect/>
                          </a:stretch>
                        </pic:blipFill>
                        <pic:spPr>
                          <a:xfrm>
                            <a:off x="272105" y="1674478"/>
                            <a:ext cx="101600" cy="88900"/>
                          </a:xfrm>
                          <a:prstGeom prst="rect">
                            <a:avLst/>
                          </a:prstGeom>
                        </pic:spPr>
                      </pic:pic>
                      <pic:pic>
                        <pic:nvPicPr>
                          <pic:cNvPr id="388" name="Image 388"/>
                          <pic:cNvPicPr/>
                        </pic:nvPicPr>
                        <pic:blipFill>
                          <a:blip r:embed="rId166" cstate="print"/>
                          <a:stretch>
                            <a:fillRect/>
                          </a:stretch>
                        </pic:blipFill>
                        <pic:spPr>
                          <a:xfrm>
                            <a:off x="259405" y="1636378"/>
                            <a:ext cx="101600" cy="88900"/>
                          </a:xfrm>
                          <a:prstGeom prst="rect">
                            <a:avLst/>
                          </a:prstGeom>
                        </pic:spPr>
                      </pic:pic>
                      <pic:pic>
                        <pic:nvPicPr>
                          <pic:cNvPr id="389" name="Image 389"/>
                          <pic:cNvPicPr/>
                        </pic:nvPicPr>
                        <pic:blipFill>
                          <a:blip r:embed="rId167" cstate="print"/>
                          <a:stretch>
                            <a:fillRect/>
                          </a:stretch>
                        </pic:blipFill>
                        <pic:spPr>
                          <a:xfrm>
                            <a:off x="246705" y="1598278"/>
                            <a:ext cx="101600" cy="88900"/>
                          </a:xfrm>
                          <a:prstGeom prst="rect">
                            <a:avLst/>
                          </a:prstGeom>
                        </pic:spPr>
                      </pic:pic>
                      <pic:pic>
                        <pic:nvPicPr>
                          <pic:cNvPr id="390" name="Image 390"/>
                          <pic:cNvPicPr/>
                        </pic:nvPicPr>
                        <pic:blipFill>
                          <a:blip r:embed="rId168" cstate="print"/>
                          <a:stretch>
                            <a:fillRect/>
                          </a:stretch>
                        </pic:blipFill>
                        <pic:spPr>
                          <a:xfrm>
                            <a:off x="234005" y="1560178"/>
                            <a:ext cx="88900" cy="76200"/>
                          </a:xfrm>
                          <a:prstGeom prst="rect">
                            <a:avLst/>
                          </a:prstGeom>
                        </pic:spPr>
                      </pic:pic>
                      <pic:pic>
                        <pic:nvPicPr>
                          <pic:cNvPr id="391" name="Image 391"/>
                          <pic:cNvPicPr/>
                        </pic:nvPicPr>
                        <pic:blipFill>
                          <a:blip r:embed="rId169" cstate="print"/>
                          <a:stretch>
                            <a:fillRect/>
                          </a:stretch>
                        </pic:blipFill>
                        <pic:spPr>
                          <a:xfrm>
                            <a:off x="348305" y="1712578"/>
                            <a:ext cx="152400" cy="88900"/>
                          </a:xfrm>
                          <a:prstGeom prst="rect">
                            <a:avLst/>
                          </a:prstGeom>
                        </pic:spPr>
                      </pic:pic>
                      <pic:pic>
                        <pic:nvPicPr>
                          <pic:cNvPr id="392" name="Image 392"/>
                          <pic:cNvPicPr/>
                        </pic:nvPicPr>
                        <pic:blipFill>
                          <a:blip r:embed="rId170" cstate="print"/>
                          <a:stretch>
                            <a:fillRect/>
                          </a:stretch>
                        </pic:blipFill>
                        <pic:spPr>
                          <a:xfrm>
                            <a:off x="335605" y="1674478"/>
                            <a:ext cx="165100" cy="101600"/>
                          </a:xfrm>
                          <a:prstGeom prst="rect">
                            <a:avLst/>
                          </a:prstGeom>
                        </pic:spPr>
                      </pic:pic>
                      <pic:pic>
                        <pic:nvPicPr>
                          <pic:cNvPr id="393" name="Image 393"/>
                          <pic:cNvPicPr/>
                        </pic:nvPicPr>
                        <pic:blipFill>
                          <a:blip r:embed="rId171" cstate="print"/>
                          <a:stretch>
                            <a:fillRect/>
                          </a:stretch>
                        </pic:blipFill>
                        <pic:spPr>
                          <a:xfrm>
                            <a:off x="310205" y="1623678"/>
                            <a:ext cx="177800" cy="114300"/>
                          </a:xfrm>
                          <a:prstGeom prst="rect">
                            <a:avLst/>
                          </a:prstGeom>
                        </pic:spPr>
                      </pic:pic>
                      <pic:pic>
                        <pic:nvPicPr>
                          <pic:cNvPr id="394" name="Image 394"/>
                          <pic:cNvPicPr/>
                        </pic:nvPicPr>
                        <pic:blipFill>
                          <a:blip r:embed="rId172" cstate="print"/>
                          <a:stretch>
                            <a:fillRect/>
                          </a:stretch>
                        </pic:blipFill>
                        <pic:spPr>
                          <a:xfrm>
                            <a:off x="310205" y="1585578"/>
                            <a:ext cx="304800" cy="215900"/>
                          </a:xfrm>
                          <a:prstGeom prst="rect">
                            <a:avLst/>
                          </a:prstGeom>
                        </pic:spPr>
                      </pic:pic>
                      <pic:pic>
                        <pic:nvPicPr>
                          <pic:cNvPr id="395" name="Image 395"/>
                          <pic:cNvPicPr/>
                        </pic:nvPicPr>
                        <pic:blipFill>
                          <a:blip r:embed="rId173" cstate="print"/>
                          <a:stretch>
                            <a:fillRect/>
                          </a:stretch>
                        </pic:blipFill>
                        <pic:spPr>
                          <a:xfrm>
                            <a:off x="475305" y="1636378"/>
                            <a:ext cx="165100" cy="139700"/>
                          </a:xfrm>
                          <a:prstGeom prst="rect">
                            <a:avLst/>
                          </a:prstGeom>
                        </pic:spPr>
                      </pic:pic>
                      <pic:pic>
                        <pic:nvPicPr>
                          <pic:cNvPr id="396" name="Image 396"/>
                          <pic:cNvPicPr/>
                        </pic:nvPicPr>
                        <pic:blipFill>
                          <a:blip r:embed="rId174" cstate="print"/>
                          <a:stretch>
                            <a:fillRect/>
                          </a:stretch>
                        </pic:blipFill>
                        <pic:spPr>
                          <a:xfrm>
                            <a:off x="602305" y="1699878"/>
                            <a:ext cx="152400" cy="76200"/>
                          </a:xfrm>
                          <a:prstGeom prst="rect">
                            <a:avLst/>
                          </a:prstGeom>
                        </pic:spPr>
                      </pic:pic>
                      <pic:pic>
                        <pic:nvPicPr>
                          <pic:cNvPr id="397" name="Image 397"/>
                          <pic:cNvPicPr/>
                        </pic:nvPicPr>
                        <pic:blipFill>
                          <a:blip r:embed="rId175" cstate="print"/>
                          <a:stretch>
                            <a:fillRect/>
                          </a:stretch>
                        </pic:blipFill>
                        <pic:spPr>
                          <a:xfrm>
                            <a:off x="602305" y="1661778"/>
                            <a:ext cx="165100" cy="88900"/>
                          </a:xfrm>
                          <a:prstGeom prst="rect">
                            <a:avLst/>
                          </a:prstGeom>
                        </pic:spPr>
                      </pic:pic>
                      <pic:pic>
                        <pic:nvPicPr>
                          <pic:cNvPr id="398" name="Image 398"/>
                          <pic:cNvPicPr/>
                        </pic:nvPicPr>
                        <pic:blipFill>
                          <a:blip r:embed="rId176" cstate="print"/>
                          <a:stretch>
                            <a:fillRect/>
                          </a:stretch>
                        </pic:blipFill>
                        <pic:spPr>
                          <a:xfrm>
                            <a:off x="615005" y="1636378"/>
                            <a:ext cx="165100" cy="76200"/>
                          </a:xfrm>
                          <a:prstGeom prst="rect">
                            <a:avLst/>
                          </a:prstGeom>
                        </pic:spPr>
                      </pic:pic>
                      <pic:pic>
                        <pic:nvPicPr>
                          <pic:cNvPr id="399" name="Image 399"/>
                          <pic:cNvPicPr/>
                        </pic:nvPicPr>
                        <pic:blipFill>
                          <a:blip r:embed="rId177" cstate="print"/>
                          <a:stretch>
                            <a:fillRect/>
                          </a:stretch>
                        </pic:blipFill>
                        <pic:spPr>
                          <a:xfrm>
                            <a:off x="615005" y="1585578"/>
                            <a:ext cx="228600" cy="152400"/>
                          </a:xfrm>
                          <a:prstGeom prst="rect">
                            <a:avLst/>
                          </a:prstGeom>
                        </pic:spPr>
                      </pic:pic>
                      <pic:pic>
                        <pic:nvPicPr>
                          <pic:cNvPr id="400" name="Image 400"/>
                          <pic:cNvPicPr/>
                        </pic:nvPicPr>
                        <pic:blipFill>
                          <a:blip r:embed="rId178" cstate="print"/>
                          <a:stretch>
                            <a:fillRect/>
                          </a:stretch>
                        </pic:blipFill>
                        <pic:spPr>
                          <a:xfrm>
                            <a:off x="792805" y="1572878"/>
                            <a:ext cx="114300" cy="139700"/>
                          </a:xfrm>
                          <a:prstGeom prst="rect">
                            <a:avLst/>
                          </a:prstGeom>
                        </pic:spPr>
                      </pic:pic>
                      <pic:pic>
                        <pic:nvPicPr>
                          <pic:cNvPr id="401" name="Image 401"/>
                          <pic:cNvPicPr/>
                        </pic:nvPicPr>
                        <pic:blipFill>
                          <a:blip r:embed="rId179" cstate="print"/>
                          <a:stretch>
                            <a:fillRect/>
                          </a:stretch>
                        </pic:blipFill>
                        <pic:spPr>
                          <a:xfrm>
                            <a:off x="869005" y="1547478"/>
                            <a:ext cx="203200" cy="127000"/>
                          </a:xfrm>
                          <a:prstGeom prst="rect">
                            <a:avLst/>
                          </a:prstGeom>
                        </pic:spPr>
                      </pic:pic>
                      <pic:pic>
                        <pic:nvPicPr>
                          <pic:cNvPr id="402" name="Image 402"/>
                          <pic:cNvPicPr/>
                        </pic:nvPicPr>
                        <pic:blipFill>
                          <a:blip r:embed="rId180" cstate="print"/>
                          <a:stretch>
                            <a:fillRect/>
                          </a:stretch>
                        </pic:blipFill>
                        <pic:spPr>
                          <a:xfrm>
                            <a:off x="881705" y="1496678"/>
                            <a:ext cx="203200" cy="139700"/>
                          </a:xfrm>
                          <a:prstGeom prst="rect">
                            <a:avLst/>
                          </a:prstGeom>
                        </pic:spPr>
                      </pic:pic>
                      <pic:pic>
                        <pic:nvPicPr>
                          <pic:cNvPr id="403" name="Image 403"/>
                          <pic:cNvPicPr/>
                        </pic:nvPicPr>
                        <pic:blipFill>
                          <a:blip r:embed="rId181" cstate="print"/>
                          <a:stretch>
                            <a:fillRect/>
                          </a:stretch>
                        </pic:blipFill>
                        <pic:spPr>
                          <a:xfrm>
                            <a:off x="1034105" y="1483978"/>
                            <a:ext cx="190500" cy="127000"/>
                          </a:xfrm>
                          <a:prstGeom prst="rect">
                            <a:avLst/>
                          </a:prstGeom>
                        </pic:spPr>
                      </pic:pic>
                      <pic:pic>
                        <pic:nvPicPr>
                          <pic:cNvPr id="404" name="Image 404"/>
                          <pic:cNvPicPr/>
                        </pic:nvPicPr>
                        <pic:blipFill>
                          <a:blip r:embed="rId182" cstate="print"/>
                          <a:stretch>
                            <a:fillRect/>
                          </a:stretch>
                        </pic:blipFill>
                        <pic:spPr>
                          <a:xfrm>
                            <a:off x="1059505" y="1433178"/>
                            <a:ext cx="254000" cy="127000"/>
                          </a:xfrm>
                          <a:prstGeom prst="rect">
                            <a:avLst/>
                          </a:prstGeom>
                        </pic:spPr>
                      </pic:pic>
                      <pic:pic>
                        <pic:nvPicPr>
                          <pic:cNvPr id="405" name="Image 405"/>
                          <pic:cNvPicPr/>
                        </pic:nvPicPr>
                        <pic:blipFill>
                          <a:blip r:embed="rId183" cstate="print"/>
                          <a:stretch>
                            <a:fillRect/>
                          </a:stretch>
                        </pic:blipFill>
                        <pic:spPr>
                          <a:xfrm>
                            <a:off x="1211905" y="1420478"/>
                            <a:ext cx="215900" cy="101600"/>
                          </a:xfrm>
                          <a:prstGeom prst="rect">
                            <a:avLst/>
                          </a:prstGeom>
                        </pic:spPr>
                      </pic:pic>
                      <pic:pic>
                        <pic:nvPicPr>
                          <pic:cNvPr id="406" name="Image 406"/>
                          <pic:cNvPicPr/>
                        </pic:nvPicPr>
                        <pic:blipFill>
                          <a:blip r:embed="rId184" cstate="print"/>
                          <a:stretch>
                            <a:fillRect/>
                          </a:stretch>
                        </pic:blipFill>
                        <pic:spPr>
                          <a:xfrm>
                            <a:off x="149883" y="1344278"/>
                            <a:ext cx="96822" cy="228600"/>
                          </a:xfrm>
                          <a:prstGeom prst="rect">
                            <a:avLst/>
                          </a:prstGeom>
                        </pic:spPr>
                      </pic:pic>
                      <pic:pic>
                        <pic:nvPicPr>
                          <pic:cNvPr id="407" name="Image 407"/>
                          <pic:cNvPicPr/>
                        </pic:nvPicPr>
                        <pic:blipFill>
                          <a:blip r:embed="rId185" cstate="print"/>
                          <a:stretch>
                            <a:fillRect/>
                          </a:stretch>
                        </pic:blipFill>
                        <pic:spPr>
                          <a:xfrm>
                            <a:off x="221305" y="1369678"/>
                            <a:ext cx="101600" cy="228600"/>
                          </a:xfrm>
                          <a:prstGeom prst="rect">
                            <a:avLst/>
                          </a:prstGeom>
                        </pic:spPr>
                      </pic:pic>
                      <pic:pic>
                        <pic:nvPicPr>
                          <pic:cNvPr id="408" name="Image 408"/>
                          <pic:cNvPicPr/>
                        </pic:nvPicPr>
                        <pic:blipFill>
                          <a:blip r:embed="rId186" cstate="print"/>
                          <a:stretch>
                            <a:fillRect/>
                          </a:stretch>
                        </pic:blipFill>
                        <pic:spPr>
                          <a:xfrm>
                            <a:off x="297505" y="1382378"/>
                            <a:ext cx="190500" cy="292100"/>
                          </a:xfrm>
                          <a:prstGeom prst="rect">
                            <a:avLst/>
                          </a:prstGeom>
                        </pic:spPr>
                      </pic:pic>
                      <pic:pic>
                        <pic:nvPicPr>
                          <pic:cNvPr id="409" name="Image 409"/>
                          <pic:cNvPicPr/>
                        </pic:nvPicPr>
                        <pic:blipFill>
                          <a:blip r:embed="rId187" cstate="print"/>
                          <a:stretch>
                            <a:fillRect/>
                          </a:stretch>
                        </pic:blipFill>
                        <pic:spPr>
                          <a:xfrm>
                            <a:off x="449905" y="1407778"/>
                            <a:ext cx="190500" cy="266700"/>
                          </a:xfrm>
                          <a:prstGeom prst="rect">
                            <a:avLst/>
                          </a:prstGeom>
                        </pic:spPr>
                      </pic:pic>
                      <pic:pic>
                        <pic:nvPicPr>
                          <pic:cNvPr id="410" name="Image 410"/>
                          <pic:cNvPicPr/>
                        </pic:nvPicPr>
                        <pic:blipFill>
                          <a:blip r:embed="rId188" cstate="print"/>
                          <a:stretch>
                            <a:fillRect/>
                          </a:stretch>
                        </pic:blipFill>
                        <pic:spPr>
                          <a:xfrm>
                            <a:off x="576905" y="1395078"/>
                            <a:ext cx="203200" cy="254000"/>
                          </a:xfrm>
                          <a:prstGeom prst="rect">
                            <a:avLst/>
                          </a:prstGeom>
                        </pic:spPr>
                      </pic:pic>
                      <pic:pic>
                        <pic:nvPicPr>
                          <pic:cNvPr id="411" name="Image 411"/>
                          <pic:cNvPicPr/>
                        </pic:nvPicPr>
                        <pic:blipFill>
                          <a:blip r:embed="rId189" cstate="print"/>
                          <a:stretch>
                            <a:fillRect/>
                          </a:stretch>
                        </pic:blipFill>
                        <pic:spPr>
                          <a:xfrm>
                            <a:off x="754705" y="1369678"/>
                            <a:ext cx="165100" cy="241300"/>
                          </a:xfrm>
                          <a:prstGeom prst="rect">
                            <a:avLst/>
                          </a:prstGeom>
                        </pic:spPr>
                      </pic:pic>
                      <pic:pic>
                        <pic:nvPicPr>
                          <pic:cNvPr id="412" name="Image 412"/>
                          <pic:cNvPicPr/>
                        </pic:nvPicPr>
                        <pic:blipFill>
                          <a:blip r:embed="rId190" cstate="print"/>
                          <a:stretch>
                            <a:fillRect/>
                          </a:stretch>
                        </pic:blipFill>
                        <pic:spPr>
                          <a:xfrm>
                            <a:off x="894405" y="1344278"/>
                            <a:ext cx="215900" cy="241300"/>
                          </a:xfrm>
                          <a:prstGeom prst="rect">
                            <a:avLst/>
                          </a:prstGeom>
                        </pic:spPr>
                      </pic:pic>
                      <pic:pic>
                        <pic:nvPicPr>
                          <pic:cNvPr id="413" name="Image 413"/>
                          <pic:cNvPicPr/>
                        </pic:nvPicPr>
                        <pic:blipFill>
                          <a:blip r:embed="rId191" cstate="print"/>
                          <a:stretch>
                            <a:fillRect/>
                          </a:stretch>
                        </pic:blipFill>
                        <pic:spPr>
                          <a:xfrm>
                            <a:off x="1072205" y="1318878"/>
                            <a:ext cx="203200" cy="190500"/>
                          </a:xfrm>
                          <a:prstGeom prst="rect">
                            <a:avLst/>
                          </a:prstGeom>
                        </pic:spPr>
                      </pic:pic>
                      <pic:pic>
                        <pic:nvPicPr>
                          <pic:cNvPr id="414" name="Image 414"/>
                          <pic:cNvPicPr/>
                        </pic:nvPicPr>
                        <pic:blipFill>
                          <a:blip r:embed="rId192" cstate="print"/>
                          <a:stretch>
                            <a:fillRect/>
                          </a:stretch>
                        </pic:blipFill>
                        <pic:spPr>
                          <a:xfrm>
                            <a:off x="1224605" y="1356978"/>
                            <a:ext cx="139700" cy="88900"/>
                          </a:xfrm>
                          <a:prstGeom prst="rect">
                            <a:avLst/>
                          </a:prstGeom>
                        </pic:spPr>
                      </pic:pic>
                      <pic:pic>
                        <pic:nvPicPr>
                          <pic:cNvPr id="415" name="Image 415"/>
                          <pic:cNvPicPr/>
                        </pic:nvPicPr>
                        <pic:blipFill>
                          <a:blip r:embed="rId193" cstate="print"/>
                          <a:stretch>
                            <a:fillRect/>
                          </a:stretch>
                        </pic:blipFill>
                        <pic:spPr>
                          <a:xfrm>
                            <a:off x="1326205" y="1356978"/>
                            <a:ext cx="127000" cy="76200"/>
                          </a:xfrm>
                          <a:prstGeom prst="rect">
                            <a:avLst/>
                          </a:prstGeom>
                        </pic:spPr>
                      </pic:pic>
                      <pic:pic>
                        <pic:nvPicPr>
                          <pic:cNvPr id="416" name="Image 416"/>
                          <pic:cNvPicPr/>
                        </pic:nvPicPr>
                        <pic:blipFill>
                          <a:blip r:embed="rId194" cstate="print"/>
                          <a:stretch>
                            <a:fillRect/>
                          </a:stretch>
                        </pic:blipFill>
                        <pic:spPr>
                          <a:xfrm>
                            <a:off x="1250005" y="1306178"/>
                            <a:ext cx="114300" cy="76200"/>
                          </a:xfrm>
                          <a:prstGeom prst="rect">
                            <a:avLst/>
                          </a:prstGeom>
                        </pic:spPr>
                      </pic:pic>
                      <pic:pic>
                        <pic:nvPicPr>
                          <pic:cNvPr id="417" name="Image 417"/>
                          <pic:cNvPicPr/>
                        </pic:nvPicPr>
                        <pic:blipFill>
                          <a:blip r:embed="rId195" cstate="print"/>
                          <a:stretch>
                            <a:fillRect/>
                          </a:stretch>
                        </pic:blipFill>
                        <pic:spPr>
                          <a:xfrm>
                            <a:off x="1351605" y="1293478"/>
                            <a:ext cx="101600" cy="76200"/>
                          </a:xfrm>
                          <a:prstGeom prst="rect">
                            <a:avLst/>
                          </a:prstGeom>
                        </pic:spPr>
                      </pic:pic>
                      <pic:pic>
                        <pic:nvPicPr>
                          <pic:cNvPr id="418" name="Image 418"/>
                          <pic:cNvPicPr/>
                        </pic:nvPicPr>
                        <pic:blipFill>
                          <a:blip r:embed="rId196" cstate="print"/>
                          <a:stretch>
                            <a:fillRect/>
                          </a:stretch>
                        </pic:blipFill>
                        <pic:spPr>
                          <a:xfrm>
                            <a:off x="149883" y="1153778"/>
                            <a:ext cx="84122" cy="228600"/>
                          </a:xfrm>
                          <a:prstGeom prst="rect">
                            <a:avLst/>
                          </a:prstGeom>
                        </pic:spPr>
                      </pic:pic>
                      <pic:pic>
                        <pic:nvPicPr>
                          <pic:cNvPr id="419" name="Image 419"/>
                          <pic:cNvPicPr/>
                        </pic:nvPicPr>
                        <pic:blipFill>
                          <a:blip r:embed="rId197" cstate="print"/>
                          <a:stretch>
                            <a:fillRect/>
                          </a:stretch>
                        </pic:blipFill>
                        <pic:spPr>
                          <a:xfrm>
                            <a:off x="221305" y="1166478"/>
                            <a:ext cx="88900" cy="228600"/>
                          </a:xfrm>
                          <a:prstGeom prst="rect">
                            <a:avLst/>
                          </a:prstGeom>
                        </pic:spPr>
                      </pic:pic>
                      <pic:pic>
                        <pic:nvPicPr>
                          <pic:cNvPr id="420" name="Image 420"/>
                          <pic:cNvPicPr/>
                        </pic:nvPicPr>
                        <pic:blipFill>
                          <a:blip r:embed="rId198" cstate="print"/>
                          <a:stretch>
                            <a:fillRect/>
                          </a:stretch>
                        </pic:blipFill>
                        <pic:spPr>
                          <a:xfrm>
                            <a:off x="297505" y="1179178"/>
                            <a:ext cx="177800" cy="241300"/>
                          </a:xfrm>
                          <a:prstGeom prst="rect">
                            <a:avLst/>
                          </a:prstGeom>
                        </pic:spPr>
                      </pic:pic>
                      <pic:pic>
                        <pic:nvPicPr>
                          <pic:cNvPr id="421" name="Image 421"/>
                          <pic:cNvPicPr/>
                        </pic:nvPicPr>
                        <pic:blipFill>
                          <a:blip r:embed="rId199" cstate="print"/>
                          <a:stretch>
                            <a:fillRect/>
                          </a:stretch>
                        </pic:blipFill>
                        <pic:spPr>
                          <a:xfrm>
                            <a:off x="449905" y="1191878"/>
                            <a:ext cx="228600" cy="228600"/>
                          </a:xfrm>
                          <a:prstGeom prst="rect">
                            <a:avLst/>
                          </a:prstGeom>
                        </pic:spPr>
                      </pic:pic>
                      <pic:pic>
                        <pic:nvPicPr>
                          <pic:cNvPr id="422" name="Image 422"/>
                          <pic:cNvPicPr/>
                        </pic:nvPicPr>
                        <pic:blipFill>
                          <a:blip r:embed="rId200" cstate="print"/>
                          <a:stretch>
                            <a:fillRect/>
                          </a:stretch>
                        </pic:blipFill>
                        <pic:spPr>
                          <a:xfrm>
                            <a:off x="665805" y="1204578"/>
                            <a:ext cx="101600" cy="203200"/>
                          </a:xfrm>
                          <a:prstGeom prst="rect">
                            <a:avLst/>
                          </a:prstGeom>
                        </pic:spPr>
                      </pic:pic>
                      <pic:pic>
                        <pic:nvPicPr>
                          <pic:cNvPr id="423" name="Image 423"/>
                          <pic:cNvPicPr/>
                        </pic:nvPicPr>
                        <pic:blipFill>
                          <a:blip r:embed="rId201" cstate="print"/>
                          <a:stretch>
                            <a:fillRect/>
                          </a:stretch>
                        </pic:blipFill>
                        <pic:spPr>
                          <a:xfrm>
                            <a:off x="754705" y="1191878"/>
                            <a:ext cx="88900" cy="215900"/>
                          </a:xfrm>
                          <a:prstGeom prst="rect">
                            <a:avLst/>
                          </a:prstGeom>
                        </pic:spPr>
                      </pic:pic>
                      <pic:pic>
                        <pic:nvPicPr>
                          <pic:cNvPr id="424" name="Image 424"/>
                          <pic:cNvPicPr/>
                        </pic:nvPicPr>
                        <pic:blipFill>
                          <a:blip r:embed="rId202" cstate="print"/>
                          <a:stretch>
                            <a:fillRect/>
                          </a:stretch>
                        </pic:blipFill>
                        <pic:spPr>
                          <a:xfrm>
                            <a:off x="830905" y="1179178"/>
                            <a:ext cx="88900" cy="215900"/>
                          </a:xfrm>
                          <a:prstGeom prst="rect">
                            <a:avLst/>
                          </a:prstGeom>
                        </pic:spPr>
                      </pic:pic>
                      <pic:pic>
                        <pic:nvPicPr>
                          <pic:cNvPr id="425" name="Image 425"/>
                          <pic:cNvPicPr/>
                        </pic:nvPicPr>
                        <pic:blipFill>
                          <a:blip r:embed="rId203" cstate="print"/>
                          <a:stretch>
                            <a:fillRect/>
                          </a:stretch>
                        </pic:blipFill>
                        <pic:spPr>
                          <a:xfrm>
                            <a:off x="907105" y="1153778"/>
                            <a:ext cx="203200" cy="228600"/>
                          </a:xfrm>
                          <a:prstGeom prst="rect">
                            <a:avLst/>
                          </a:prstGeom>
                        </pic:spPr>
                      </pic:pic>
                      <pic:pic>
                        <pic:nvPicPr>
                          <pic:cNvPr id="426" name="Image 426"/>
                          <pic:cNvPicPr/>
                        </pic:nvPicPr>
                        <pic:blipFill>
                          <a:blip r:embed="rId204" cstate="print"/>
                          <a:stretch>
                            <a:fillRect/>
                          </a:stretch>
                        </pic:blipFill>
                        <pic:spPr>
                          <a:xfrm>
                            <a:off x="1097605" y="1128378"/>
                            <a:ext cx="190500" cy="228600"/>
                          </a:xfrm>
                          <a:prstGeom prst="rect">
                            <a:avLst/>
                          </a:prstGeom>
                        </pic:spPr>
                      </pic:pic>
                      <pic:pic>
                        <pic:nvPicPr>
                          <pic:cNvPr id="427" name="Image 427"/>
                          <pic:cNvPicPr/>
                        </pic:nvPicPr>
                        <pic:blipFill>
                          <a:blip r:embed="rId205" cstate="print"/>
                          <a:stretch>
                            <a:fillRect/>
                          </a:stretch>
                        </pic:blipFill>
                        <pic:spPr>
                          <a:xfrm>
                            <a:off x="1262705" y="1115678"/>
                            <a:ext cx="114300" cy="215900"/>
                          </a:xfrm>
                          <a:prstGeom prst="rect">
                            <a:avLst/>
                          </a:prstGeom>
                        </pic:spPr>
                      </pic:pic>
                      <pic:pic>
                        <pic:nvPicPr>
                          <pic:cNvPr id="428" name="Image 428"/>
                          <pic:cNvPicPr/>
                        </pic:nvPicPr>
                        <pic:blipFill>
                          <a:blip r:embed="rId206" cstate="print"/>
                          <a:stretch>
                            <a:fillRect/>
                          </a:stretch>
                        </pic:blipFill>
                        <pic:spPr>
                          <a:xfrm>
                            <a:off x="1351605" y="1115678"/>
                            <a:ext cx="104395" cy="203200"/>
                          </a:xfrm>
                          <a:prstGeom prst="rect">
                            <a:avLst/>
                          </a:prstGeom>
                        </pic:spPr>
                      </pic:pic>
                      <pic:pic>
                        <pic:nvPicPr>
                          <pic:cNvPr id="429" name="Image 429"/>
                          <pic:cNvPicPr/>
                        </pic:nvPicPr>
                        <pic:blipFill>
                          <a:blip r:embed="rId207" cstate="print"/>
                          <a:stretch>
                            <a:fillRect/>
                          </a:stretch>
                        </pic:blipFill>
                        <pic:spPr>
                          <a:xfrm>
                            <a:off x="149883" y="988678"/>
                            <a:ext cx="96822" cy="190500"/>
                          </a:xfrm>
                          <a:prstGeom prst="rect">
                            <a:avLst/>
                          </a:prstGeom>
                        </pic:spPr>
                      </pic:pic>
                      <pic:pic>
                        <pic:nvPicPr>
                          <pic:cNvPr id="430" name="Image 430"/>
                          <pic:cNvPicPr/>
                        </pic:nvPicPr>
                        <pic:blipFill>
                          <a:blip r:embed="rId208" cstate="print"/>
                          <a:stretch>
                            <a:fillRect/>
                          </a:stretch>
                        </pic:blipFill>
                        <pic:spPr>
                          <a:xfrm>
                            <a:off x="221305" y="988678"/>
                            <a:ext cx="101600" cy="203200"/>
                          </a:xfrm>
                          <a:prstGeom prst="rect">
                            <a:avLst/>
                          </a:prstGeom>
                        </pic:spPr>
                      </pic:pic>
                      <pic:pic>
                        <pic:nvPicPr>
                          <pic:cNvPr id="431" name="Image 431"/>
                          <pic:cNvPicPr/>
                        </pic:nvPicPr>
                        <pic:blipFill>
                          <a:blip r:embed="rId209" cstate="print"/>
                          <a:stretch>
                            <a:fillRect/>
                          </a:stretch>
                        </pic:blipFill>
                        <pic:spPr>
                          <a:xfrm>
                            <a:off x="297505" y="988678"/>
                            <a:ext cx="101600" cy="215900"/>
                          </a:xfrm>
                          <a:prstGeom prst="rect">
                            <a:avLst/>
                          </a:prstGeom>
                        </pic:spPr>
                      </pic:pic>
                      <pic:pic>
                        <pic:nvPicPr>
                          <pic:cNvPr id="432" name="Image 432"/>
                          <pic:cNvPicPr/>
                        </pic:nvPicPr>
                        <pic:blipFill>
                          <a:blip r:embed="rId210" cstate="print"/>
                          <a:stretch>
                            <a:fillRect/>
                          </a:stretch>
                        </pic:blipFill>
                        <pic:spPr>
                          <a:xfrm>
                            <a:off x="373705" y="1077578"/>
                            <a:ext cx="101600" cy="127000"/>
                          </a:xfrm>
                          <a:prstGeom prst="rect">
                            <a:avLst/>
                          </a:prstGeom>
                        </pic:spPr>
                      </pic:pic>
                      <pic:pic>
                        <pic:nvPicPr>
                          <pic:cNvPr id="433" name="Image 433"/>
                          <pic:cNvPicPr/>
                        </pic:nvPicPr>
                        <pic:blipFill>
                          <a:blip r:embed="rId211" cstate="print"/>
                          <a:stretch>
                            <a:fillRect/>
                          </a:stretch>
                        </pic:blipFill>
                        <pic:spPr>
                          <a:xfrm>
                            <a:off x="386405" y="975978"/>
                            <a:ext cx="101600" cy="114300"/>
                          </a:xfrm>
                          <a:prstGeom prst="rect">
                            <a:avLst/>
                          </a:prstGeom>
                        </pic:spPr>
                      </pic:pic>
                      <pic:pic>
                        <pic:nvPicPr>
                          <pic:cNvPr id="434" name="Image 434"/>
                          <pic:cNvPicPr/>
                        </pic:nvPicPr>
                        <pic:blipFill>
                          <a:blip r:embed="rId212" cstate="print"/>
                          <a:stretch>
                            <a:fillRect/>
                          </a:stretch>
                        </pic:blipFill>
                        <pic:spPr>
                          <a:xfrm>
                            <a:off x="462605" y="1077578"/>
                            <a:ext cx="76200" cy="127000"/>
                          </a:xfrm>
                          <a:prstGeom prst="rect">
                            <a:avLst/>
                          </a:prstGeom>
                        </pic:spPr>
                      </pic:pic>
                      <pic:pic>
                        <pic:nvPicPr>
                          <pic:cNvPr id="435" name="Image 435"/>
                          <pic:cNvPicPr/>
                        </pic:nvPicPr>
                        <pic:blipFill>
                          <a:blip r:embed="rId213" cstate="print"/>
                          <a:stretch>
                            <a:fillRect/>
                          </a:stretch>
                        </pic:blipFill>
                        <pic:spPr>
                          <a:xfrm>
                            <a:off x="462605" y="975978"/>
                            <a:ext cx="88900" cy="114300"/>
                          </a:xfrm>
                          <a:prstGeom prst="rect">
                            <a:avLst/>
                          </a:prstGeom>
                        </pic:spPr>
                      </pic:pic>
                      <pic:pic>
                        <pic:nvPicPr>
                          <pic:cNvPr id="436" name="Image 436"/>
                          <pic:cNvPicPr/>
                        </pic:nvPicPr>
                        <pic:blipFill>
                          <a:blip r:embed="rId214" cstate="print"/>
                          <a:stretch>
                            <a:fillRect/>
                          </a:stretch>
                        </pic:blipFill>
                        <pic:spPr>
                          <a:xfrm>
                            <a:off x="513405" y="1077578"/>
                            <a:ext cx="88900" cy="127000"/>
                          </a:xfrm>
                          <a:prstGeom prst="rect">
                            <a:avLst/>
                          </a:prstGeom>
                        </pic:spPr>
                      </pic:pic>
                      <pic:pic>
                        <pic:nvPicPr>
                          <pic:cNvPr id="437" name="Image 437"/>
                          <pic:cNvPicPr/>
                        </pic:nvPicPr>
                        <pic:blipFill>
                          <a:blip r:embed="rId215" cstate="print"/>
                          <a:stretch>
                            <a:fillRect/>
                          </a:stretch>
                        </pic:blipFill>
                        <pic:spPr>
                          <a:xfrm>
                            <a:off x="526105" y="975978"/>
                            <a:ext cx="76200" cy="114300"/>
                          </a:xfrm>
                          <a:prstGeom prst="rect">
                            <a:avLst/>
                          </a:prstGeom>
                        </pic:spPr>
                      </pic:pic>
                      <pic:pic>
                        <pic:nvPicPr>
                          <pic:cNvPr id="438" name="Image 438"/>
                          <pic:cNvPicPr/>
                        </pic:nvPicPr>
                        <pic:blipFill>
                          <a:blip r:embed="rId216" cstate="print"/>
                          <a:stretch>
                            <a:fillRect/>
                          </a:stretch>
                        </pic:blipFill>
                        <pic:spPr>
                          <a:xfrm>
                            <a:off x="576905" y="1077578"/>
                            <a:ext cx="190500" cy="139700"/>
                          </a:xfrm>
                          <a:prstGeom prst="rect">
                            <a:avLst/>
                          </a:prstGeom>
                        </pic:spPr>
                      </pic:pic>
                      <pic:pic>
                        <pic:nvPicPr>
                          <pic:cNvPr id="439" name="Image 439"/>
                          <pic:cNvPicPr/>
                        </pic:nvPicPr>
                        <pic:blipFill>
                          <a:blip r:embed="rId217" cstate="print"/>
                          <a:stretch>
                            <a:fillRect/>
                          </a:stretch>
                        </pic:blipFill>
                        <pic:spPr>
                          <a:xfrm>
                            <a:off x="589605" y="975978"/>
                            <a:ext cx="190500" cy="127000"/>
                          </a:xfrm>
                          <a:prstGeom prst="rect">
                            <a:avLst/>
                          </a:prstGeom>
                        </pic:spPr>
                      </pic:pic>
                      <pic:pic>
                        <pic:nvPicPr>
                          <pic:cNvPr id="440" name="Image 440"/>
                          <pic:cNvPicPr/>
                        </pic:nvPicPr>
                        <pic:blipFill>
                          <a:blip r:embed="rId218" cstate="print"/>
                          <a:stretch>
                            <a:fillRect/>
                          </a:stretch>
                        </pic:blipFill>
                        <pic:spPr>
                          <a:xfrm>
                            <a:off x="754705" y="975978"/>
                            <a:ext cx="177800" cy="241300"/>
                          </a:xfrm>
                          <a:prstGeom prst="rect">
                            <a:avLst/>
                          </a:prstGeom>
                        </pic:spPr>
                      </pic:pic>
                      <pic:pic>
                        <pic:nvPicPr>
                          <pic:cNvPr id="441" name="Image 441"/>
                          <pic:cNvPicPr/>
                        </pic:nvPicPr>
                        <pic:blipFill>
                          <a:blip r:embed="rId219" cstate="print"/>
                          <a:stretch>
                            <a:fillRect/>
                          </a:stretch>
                        </pic:blipFill>
                        <pic:spPr>
                          <a:xfrm>
                            <a:off x="907105" y="963278"/>
                            <a:ext cx="114300" cy="228600"/>
                          </a:xfrm>
                          <a:prstGeom prst="rect">
                            <a:avLst/>
                          </a:prstGeom>
                        </pic:spPr>
                      </pic:pic>
                      <pic:pic>
                        <pic:nvPicPr>
                          <pic:cNvPr id="442" name="Image 442"/>
                          <pic:cNvPicPr/>
                        </pic:nvPicPr>
                        <pic:blipFill>
                          <a:blip r:embed="rId220" cstate="print"/>
                          <a:stretch>
                            <a:fillRect/>
                          </a:stretch>
                        </pic:blipFill>
                        <pic:spPr>
                          <a:xfrm>
                            <a:off x="1008705" y="963278"/>
                            <a:ext cx="114300" cy="215900"/>
                          </a:xfrm>
                          <a:prstGeom prst="rect">
                            <a:avLst/>
                          </a:prstGeom>
                        </pic:spPr>
                      </pic:pic>
                      <pic:pic>
                        <pic:nvPicPr>
                          <pic:cNvPr id="443" name="Image 443"/>
                          <pic:cNvPicPr/>
                        </pic:nvPicPr>
                        <pic:blipFill>
                          <a:blip r:embed="rId221" cstate="print"/>
                          <a:stretch>
                            <a:fillRect/>
                          </a:stretch>
                        </pic:blipFill>
                        <pic:spPr>
                          <a:xfrm>
                            <a:off x="1097605" y="950578"/>
                            <a:ext cx="190500" cy="215900"/>
                          </a:xfrm>
                          <a:prstGeom prst="rect">
                            <a:avLst/>
                          </a:prstGeom>
                        </pic:spPr>
                      </pic:pic>
                      <pic:pic>
                        <pic:nvPicPr>
                          <pic:cNvPr id="444" name="Image 444"/>
                          <pic:cNvPicPr/>
                        </pic:nvPicPr>
                        <pic:blipFill>
                          <a:blip r:embed="rId222" cstate="print"/>
                          <a:stretch>
                            <a:fillRect/>
                          </a:stretch>
                        </pic:blipFill>
                        <pic:spPr>
                          <a:xfrm>
                            <a:off x="1275405" y="950578"/>
                            <a:ext cx="101600" cy="190500"/>
                          </a:xfrm>
                          <a:prstGeom prst="rect">
                            <a:avLst/>
                          </a:prstGeom>
                        </pic:spPr>
                      </pic:pic>
                      <pic:pic>
                        <pic:nvPicPr>
                          <pic:cNvPr id="445" name="Image 445"/>
                          <pic:cNvPicPr/>
                        </pic:nvPicPr>
                        <pic:blipFill>
                          <a:blip r:embed="rId223" cstate="print"/>
                          <a:stretch>
                            <a:fillRect/>
                          </a:stretch>
                        </pic:blipFill>
                        <pic:spPr>
                          <a:xfrm>
                            <a:off x="1364305" y="937878"/>
                            <a:ext cx="91695" cy="190500"/>
                          </a:xfrm>
                          <a:prstGeom prst="rect">
                            <a:avLst/>
                          </a:prstGeom>
                        </pic:spPr>
                      </pic:pic>
                      <pic:pic>
                        <pic:nvPicPr>
                          <pic:cNvPr id="446" name="Image 446"/>
                          <pic:cNvPicPr/>
                        </pic:nvPicPr>
                        <pic:blipFill>
                          <a:blip r:embed="rId224" cstate="print"/>
                          <a:stretch>
                            <a:fillRect/>
                          </a:stretch>
                        </pic:blipFill>
                        <pic:spPr>
                          <a:xfrm>
                            <a:off x="157805" y="721978"/>
                            <a:ext cx="88900" cy="279400"/>
                          </a:xfrm>
                          <a:prstGeom prst="rect">
                            <a:avLst/>
                          </a:prstGeom>
                        </pic:spPr>
                      </pic:pic>
                      <pic:pic>
                        <pic:nvPicPr>
                          <pic:cNvPr id="447" name="Image 447"/>
                          <pic:cNvPicPr/>
                        </pic:nvPicPr>
                        <pic:blipFill>
                          <a:blip r:embed="rId225" cstate="print"/>
                          <a:stretch>
                            <a:fillRect/>
                          </a:stretch>
                        </pic:blipFill>
                        <pic:spPr>
                          <a:xfrm>
                            <a:off x="234005" y="709278"/>
                            <a:ext cx="254000" cy="292100"/>
                          </a:xfrm>
                          <a:prstGeom prst="rect">
                            <a:avLst/>
                          </a:prstGeom>
                        </pic:spPr>
                      </pic:pic>
                      <pic:pic>
                        <pic:nvPicPr>
                          <pic:cNvPr id="448" name="Image 448"/>
                          <pic:cNvPicPr/>
                        </pic:nvPicPr>
                        <pic:blipFill>
                          <a:blip r:embed="rId226" cstate="print"/>
                          <a:stretch>
                            <a:fillRect/>
                          </a:stretch>
                        </pic:blipFill>
                        <pic:spPr>
                          <a:xfrm>
                            <a:off x="475305" y="709278"/>
                            <a:ext cx="304800" cy="279400"/>
                          </a:xfrm>
                          <a:prstGeom prst="rect">
                            <a:avLst/>
                          </a:prstGeom>
                        </pic:spPr>
                      </pic:pic>
                      <pic:pic>
                        <pic:nvPicPr>
                          <pic:cNvPr id="449" name="Image 449"/>
                          <pic:cNvPicPr/>
                        </pic:nvPicPr>
                        <pic:blipFill>
                          <a:blip r:embed="rId227" cstate="print"/>
                          <a:stretch>
                            <a:fillRect/>
                          </a:stretch>
                        </pic:blipFill>
                        <pic:spPr>
                          <a:xfrm>
                            <a:off x="767405" y="721978"/>
                            <a:ext cx="266700" cy="266700"/>
                          </a:xfrm>
                          <a:prstGeom prst="rect">
                            <a:avLst/>
                          </a:prstGeom>
                        </pic:spPr>
                      </pic:pic>
                      <pic:pic>
                        <pic:nvPicPr>
                          <pic:cNvPr id="450" name="Image 450"/>
                          <pic:cNvPicPr/>
                        </pic:nvPicPr>
                        <pic:blipFill>
                          <a:blip r:embed="rId228" cstate="print"/>
                          <a:stretch>
                            <a:fillRect/>
                          </a:stretch>
                        </pic:blipFill>
                        <pic:spPr>
                          <a:xfrm>
                            <a:off x="1008705" y="721978"/>
                            <a:ext cx="114300" cy="254000"/>
                          </a:xfrm>
                          <a:prstGeom prst="rect">
                            <a:avLst/>
                          </a:prstGeom>
                        </pic:spPr>
                      </pic:pic>
                      <pic:pic>
                        <pic:nvPicPr>
                          <pic:cNvPr id="451" name="Image 451"/>
                          <pic:cNvPicPr/>
                        </pic:nvPicPr>
                        <pic:blipFill>
                          <a:blip r:embed="rId229" cstate="print"/>
                          <a:stretch>
                            <a:fillRect/>
                          </a:stretch>
                        </pic:blipFill>
                        <pic:spPr>
                          <a:xfrm>
                            <a:off x="1110305" y="696578"/>
                            <a:ext cx="177800" cy="279400"/>
                          </a:xfrm>
                          <a:prstGeom prst="rect">
                            <a:avLst/>
                          </a:prstGeom>
                        </pic:spPr>
                      </pic:pic>
                      <pic:pic>
                        <pic:nvPicPr>
                          <pic:cNvPr id="452" name="Image 452"/>
                          <pic:cNvPicPr/>
                        </pic:nvPicPr>
                        <pic:blipFill>
                          <a:blip r:embed="rId230" cstate="print"/>
                          <a:stretch>
                            <a:fillRect/>
                          </a:stretch>
                        </pic:blipFill>
                        <pic:spPr>
                          <a:xfrm>
                            <a:off x="1275405" y="683878"/>
                            <a:ext cx="180595" cy="279400"/>
                          </a:xfrm>
                          <a:prstGeom prst="rect">
                            <a:avLst/>
                          </a:prstGeom>
                        </pic:spPr>
                      </pic:pic>
                      <pic:pic>
                        <pic:nvPicPr>
                          <pic:cNvPr id="453" name="Image 453"/>
                          <pic:cNvPicPr/>
                        </pic:nvPicPr>
                        <pic:blipFill>
                          <a:blip r:embed="rId231" cstate="print"/>
                          <a:stretch>
                            <a:fillRect/>
                          </a:stretch>
                        </pic:blipFill>
                        <pic:spPr>
                          <a:xfrm>
                            <a:off x="170505" y="544178"/>
                            <a:ext cx="88900" cy="215900"/>
                          </a:xfrm>
                          <a:prstGeom prst="rect">
                            <a:avLst/>
                          </a:prstGeom>
                        </pic:spPr>
                      </pic:pic>
                      <pic:pic>
                        <pic:nvPicPr>
                          <pic:cNvPr id="454" name="Image 454"/>
                          <pic:cNvPicPr/>
                        </pic:nvPicPr>
                        <pic:blipFill>
                          <a:blip r:embed="rId232" cstate="print"/>
                          <a:stretch>
                            <a:fillRect/>
                          </a:stretch>
                        </pic:blipFill>
                        <pic:spPr>
                          <a:xfrm>
                            <a:off x="234005" y="493378"/>
                            <a:ext cx="254000" cy="241300"/>
                          </a:xfrm>
                          <a:prstGeom prst="rect">
                            <a:avLst/>
                          </a:prstGeom>
                        </pic:spPr>
                      </pic:pic>
                      <pic:pic>
                        <pic:nvPicPr>
                          <pic:cNvPr id="455" name="Image 455"/>
                          <pic:cNvPicPr/>
                        </pic:nvPicPr>
                        <pic:blipFill>
                          <a:blip r:embed="rId233" cstate="print"/>
                          <a:stretch>
                            <a:fillRect/>
                          </a:stretch>
                        </pic:blipFill>
                        <pic:spPr>
                          <a:xfrm>
                            <a:off x="475305" y="493378"/>
                            <a:ext cx="139700" cy="228600"/>
                          </a:xfrm>
                          <a:prstGeom prst="rect">
                            <a:avLst/>
                          </a:prstGeom>
                        </pic:spPr>
                      </pic:pic>
                      <pic:pic>
                        <pic:nvPicPr>
                          <pic:cNvPr id="456" name="Image 456"/>
                          <pic:cNvPicPr/>
                        </pic:nvPicPr>
                        <pic:blipFill>
                          <a:blip r:embed="rId234" cstate="print"/>
                          <a:stretch>
                            <a:fillRect/>
                          </a:stretch>
                        </pic:blipFill>
                        <pic:spPr>
                          <a:xfrm>
                            <a:off x="589605" y="493378"/>
                            <a:ext cx="342900" cy="241300"/>
                          </a:xfrm>
                          <a:prstGeom prst="rect">
                            <a:avLst/>
                          </a:prstGeom>
                        </pic:spPr>
                      </pic:pic>
                      <pic:pic>
                        <pic:nvPicPr>
                          <pic:cNvPr id="457" name="Image 457"/>
                          <pic:cNvPicPr/>
                        </pic:nvPicPr>
                        <pic:blipFill>
                          <a:blip r:embed="rId235" cstate="print"/>
                          <a:stretch>
                            <a:fillRect/>
                          </a:stretch>
                        </pic:blipFill>
                        <pic:spPr>
                          <a:xfrm>
                            <a:off x="919805" y="582278"/>
                            <a:ext cx="203200" cy="152400"/>
                          </a:xfrm>
                          <a:prstGeom prst="rect">
                            <a:avLst/>
                          </a:prstGeom>
                        </pic:spPr>
                      </pic:pic>
                      <pic:pic>
                        <pic:nvPicPr>
                          <pic:cNvPr id="458" name="Image 458"/>
                          <pic:cNvPicPr/>
                        </pic:nvPicPr>
                        <pic:blipFill>
                          <a:blip r:embed="rId236" cstate="print"/>
                          <a:stretch>
                            <a:fillRect/>
                          </a:stretch>
                        </pic:blipFill>
                        <pic:spPr>
                          <a:xfrm>
                            <a:off x="1110305" y="569578"/>
                            <a:ext cx="177800" cy="165100"/>
                          </a:xfrm>
                          <a:prstGeom prst="rect">
                            <a:avLst/>
                          </a:prstGeom>
                        </pic:spPr>
                      </pic:pic>
                      <pic:pic>
                        <pic:nvPicPr>
                          <pic:cNvPr id="459" name="Image 459"/>
                          <pic:cNvPicPr/>
                        </pic:nvPicPr>
                        <pic:blipFill>
                          <a:blip r:embed="rId237" cstate="print"/>
                          <a:stretch>
                            <a:fillRect/>
                          </a:stretch>
                        </pic:blipFill>
                        <pic:spPr>
                          <a:xfrm>
                            <a:off x="1275405" y="556878"/>
                            <a:ext cx="88900" cy="152400"/>
                          </a:xfrm>
                          <a:prstGeom prst="rect">
                            <a:avLst/>
                          </a:prstGeom>
                        </pic:spPr>
                      </pic:pic>
                      <pic:pic>
                        <pic:nvPicPr>
                          <pic:cNvPr id="460" name="Image 460"/>
                          <pic:cNvPicPr/>
                        </pic:nvPicPr>
                        <pic:blipFill>
                          <a:blip r:embed="rId238" cstate="print"/>
                          <a:stretch>
                            <a:fillRect/>
                          </a:stretch>
                        </pic:blipFill>
                        <pic:spPr>
                          <a:xfrm>
                            <a:off x="1351605" y="556878"/>
                            <a:ext cx="101600" cy="139700"/>
                          </a:xfrm>
                          <a:prstGeom prst="rect">
                            <a:avLst/>
                          </a:prstGeom>
                        </pic:spPr>
                      </pic:pic>
                      <pic:pic>
                        <pic:nvPicPr>
                          <pic:cNvPr id="461" name="Image 461"/>
                          <pic:cNvPicPr/>
                        </pic:nvPicPr>
                        <pic:blipFill>
                          <a:blip r:embed="rId239" cstate="print"/>
                          <a:stretch>
                            <a:fillRect/>
                          </a:stretch>
                        </pic:blipFill>
                        <pic:spPr>
                          <a:xfrm>
                            <a:off x="183205" y="442578"/>
                            <a:ext cx="76200" cy="139700"/>
                          </a:xfrm>
                          <a:prstGeom prst="rect">
                            <a:avLst/>
                          </a:prstGeom>
                        </pic:spPr>
                      </pic:pic>
                      <pic:pic>
                        <pic:nvPicPr>
                          <pic:cNvPr id="462" name="Image 462"/>
                          <pic:cNvPicPr/>
                        </pic:nvPicPr>
                        <pic:blipFill>
                          <a:blip r:embed="rId240" cstate="print"/>
                          <a:stretch>
                            <a:fillRect/>
                          </a:stretch>
                        </pic:blipFill>
                        <pic:spPr>
                          <a:xfrm>
                            <a:off x="246705" y="429878"/>
                            <a:ext cx="88900" cy="127000"/>
                          </a:xfrm>
                          <a:prstGeom prst="rect">
                            <a:avLst/>
                          </a:prstGeom>
                        </pic:spPr>
                      </pic:pic>
                      <pic:pic>
                        <pic:nvPicPr>
                          <pic:cNvPr id="463" name="Image 463"/>
                          <pic:cNvPicPr/>
                        </pic:nvPicPr>
                        <pic:blipFill>
                          <a:blip r:embed="rId241" cstate="print"/>
                          <a:stretch>
                            <a:fillRect/>
                          </a:stretch>
                        </pic:blipFill>
                        <pic:spPr>
                          <a:xfrm>
                            <a:off x="322905" y="391778"/>
                            <a:ext cx="76200" cy="152400"/>
                          </a:xfrm>
                          <a:prstGeom prst="rect">
                            <a:avLst/>
                          </a:prstGeom>
                        </pic:spPr>
                      </pic:pic>
                      <pic:pic>
                        <pic:nvPicPr>
                          <pic:cNvPr id="464" name="Image 464"/>
                          <pic:cNvPicPr/>
                        </pic:nvPicPr>
                        <pic:blipFill>
                          <a:blip r:embed="rId242" cstate="print"/>
                          <a:stretch>
                            <a:fillRect/>
                          </a:stretch>
                        </pic:blipFill>
                        <pic:spPr>
                          <a:xfrm>
                            <a:off x="386405" y="353678"/>
                            <a:ext cx="101600" cy="165100"/>
                          </a:xfrm>
                          <a:prstGeom prst="rect">
                            <a:avLst/>
                          </a:prstGeom>
                        </pic:spPr>
                      </pic:pic>
                      <pic:pic>
                        <pic:nvPicPr>
                          <pic:cNvPr id="465" name="Image 465"/>
                          <pic:cNvPicPr/>
                        </pic:nvPicPr>
                        <pic:blipFill>
                          <a:blip r:embed="rId243" cstate="print"/>
                          <a:stretch>
                            <a:fillRect/>
                          </a:stretch>
                        </pic:blipFill>
                        <pic:spPr>
                          <a:xfrm>
                            <a:off x="462605" y="340978"/>
                            <a:ext cx="165100" cy="165100"/>
                          </a:xfrm>
                          <a:prstGeom prst="rect">
                            <a:avLst/>
                          </a:prstGeom>
                        </pic:spPr>
                      </pic:pic>
                      <pic:pic>
                        <pic:nvPicPr>
                          <pic:cNvPr id="466" name="Image 466"/>
                          <pic:cNvPicPr/>
                        </pic:nvPicPr>
                        <pic:blipFill>
                          <a:blip r:embed="rId244" cstate="print"/>
                          <a:stretch>
                            <a:fillRect/>
                          </a:stretch>
                        </pic:blipFill>
                        <pic:spPr>
                          <a:xfrm>
                            <a:off x="589605" y="404478"/>
                            <a:ext cx="177800" cy="101600"/>
                          </a:xfrm>
                          <a:prstGeom prst="rect">
                            <a:avLst/>
                          </a:prstGeom>
                        </pic:spPr>
                      </pic:pic>
                      <pic:pic>
                        <pic:nvPicPr>
                          <pic:cNvPr id="467" name="Image 467"/>
                          <pic:cNvPicPr/>
                        </pic:nvPicPr>
                        <pic:blipFill>
                          <a:blip r:embed="rId245" cstate="print"/>
                          <a:stretch>
                            <a:fillRect/>
                          </a:stretch>
                        </pic:blipFill>
                        <pic:spPr>
                          <a:xfrm>
                            <a:off x="602305" y="340978"/>
                            <a:ext cx="177800" cy="88900"/>
                          </a:xfrm>
                          <a:prstGeom prst="rect">
                            <a:avLst/>
                          </a:prstGeom>
                        </pic:spPr>
                      </pic:pic>
                      <pic:pic>
                        <pic:nvPicPr>
                          <pic:cNvPr id="468" name="Image 468"/>
                          <pic:cNvPicPr/>
                        </pic:nvPicPr>
                        <pic:blipFill>
                          <a:blip r:embed="rId246" cstate="print"/>
                          <a:stretch>
                            <a:fillRect/>
                          </a:stretch>
                        </pic:blipFill>
                        <pic:spPr>
                          <a:xfrm>
                            <a:off x="754705" y="417178"/>
                            <a:ext cx="101600" cy="139700"/>
                          </a:xfrm>
                          <a:prstGeom prst="rect">
                            <a:avLst/>
                          </a:prstGeom>
                        </pic:spPr>
                      </pic:pic>
                      <pic:pic>
                        <pic:nvPicPr>
                          <pic:cNvPr id="469" name="Image 469"/>
                          <pic:cNvPicPr/>
                        </pic:nvPicPr>
                        <pic:blipFill>
                          <a:blip r:embed="rId247" cstate="print"/>
                          <a:stretch>
                            <a:fillRect/>
                          </a:stretch>
                        </pic:blipFill>
                        <pic:spPr>
                          <a:xfrm>
                            <a:off x="754705" y="353678"/>
                            <a:ext cx="101600" cy="127000"/>
                          </a:xfrm>
                          <a:prstGeom prst="rect">
                            <a:avLst/>
                          </a:prstGeom>
                        </pic:spPr>
                      </pic:pic>
                      <pic:pic>
                        <pic:nvPicPr>
                          <pic:cNvPr id="470" name="Image 470"/>
                          <pic:cNvPicPr/>
                        </pic:nvPicPr>
                        <pic:blipFill>
                          <a:blip r:embed="rId248" cstate="print"/>
                          <a:stretch>
                            <a:fillRect/>
                          </a:stretch>
                        </pic:blipFill>
                        <pic:spPr>
                          <a:xfrm>
                            <a:off x="830905" y="391778"/>
                            <a:ext cx="114300" cy="203200"/>
                          </a:xfrm>
                          <a:prstGeom prst="rect">
                            <a:avLst/>
                          </a:prstGeom>
                        </pic:spPr>
                      </pic:pic>
                      <pic:pic>
                        <pic:nvPicPr>
                          <pic:cNvPr id="471" name="Image 471"/>
                          <pic:cNvPicPr/>
                        </pic:nvPicPr>
                        <pic:blipFill>
                          <a:blip r:embed="rId249" cstate="print"/>
                          <a:stretch>
                            <a:fillRect/>
                          </a:stretch>
                        </pic:blipFill>
                        <pic:spPr>
                          <a:xfrm>
                            <a:off x="919805" y="429878"/>
                            <a:ext cx="203200" cy="165100"/>
                          </a:xfrm>
                          <a:prstGeom prst="rect">
                            <a:avLst/>
                          </a:prstGeom>
                        </pic:spPr>
                      </pic:pic>
                      <pic:pic>
                        <pic:nvPicPr>
                          <pic:cNvPr id="472" name="Image 472"/>
                          <pic:cNvPicPr/>
                        </pic:nvPicPr>
                        <pic:blipFill>
                          <a:blip r:embed="rId250" cstate="print"/>
                          <a:stretch>
                            <a:fillRect/>
                          </a:stretch>
                        </pic:blipFill>
                        <pic:spPr>
                          <a:xfrm>
                            <a:off x="1110305" y="493378"/>
                            <a:ext cx="177800" cy="101600"/>
                          </a:xfrm>
                          <a:prstGeom prst="rect">
                            <a:avLst/>
                          </a:prstGeom>
                        </pic:spPr>
                      </pic:pic>
                      <pic:pic>
                        <pic:nvPicPr>
                          <pic:cNvPr id="473" name="Image 473"/>
                          <pic:cNvPicPr/>
                        </pic:nvPicPr>
                        <pic:blipFill>
                          <a:blip r:embed="rId251" cstate="print"/>
                          <a:stretch>
                            <a:fillRect/>
                          </a:stretch>
                        </pic:blipFill>
                        <pic:spPr>
                          <a:xfrm>
                            <a:off x="1262705" y="493378"/>
                            <a:ext cx="177800" cy="88900"/>
                          </a:xfrm>
                          <a:prstGeom prst="rect">
                            <a:avLst/>
                          </a:prstGeom>
                        </pic:spPr>
                      </pic:pic>
                      <pic:pic>
                        <pic:nvPicPr>
                          <pic:cNvPr id="474" name="Image 474"/>
                          <pic:cNvPicPr/>
                        </pic:nvPicPr>
                        <pic:blipFill>
                          <a:blip r:embed="rId252" cstate="print"/>
                          <a:stretch>
                            <a:fillRect/>
                          </a:stretch>
                        </pic:blipFill>
                        <pic:spPr>
                          <a:xfrm>
                            <a:off x="183205" y="328278"/>
                            <a:ext cx="88900" cy="152400"/>
                          </a:xfrm>
                          <a:prstGeom prst="rect">
                            <a:avLst/>
                          </a:prstGeom>
                        </pic:spPr>
                      </pic:pic>
                      <pic:pic>
                        <pic:nvPicPr>
                          <pic:cNvPr id="475" name="Image 475"/>
                          <pic:cNvPicPr/>
                        </pic:nvPicPr>
                        <pic:blipFill>
                          <a:blip r:embed="rId253" cstate="print"/>
                          <a:stretch>
                            <a:fillRect/>
                          </a:stretch>
                        </pic:blipFill>
                        <pic:spPr>
                          <a:xfrm>
                            <a:off x="246705" y="315578"/>
                            <a:ext cx="101600" cy="139700"/>
                          </a:xfrm>
                          <a:prstGeom prst="rect">
                            <a:avLst/>
                          </a:prstGeom>
                        </pic:spPr>
                      </pic:pic>
                      <pic:pic>
                        <pic:nvPicPr>
                          <pic:cNvPr id="476" name="Image 476"/>
                          <pic:cNvPicPr/>
                        </pic:nvPicPr>
                        <pic:blipFill>
                          <a:blip r:embed="rId254" cstate="print"/>
                          <a:stretch>
                            <a:fillRect/>
                          </a:stretch>
                        </pic:blipFill>
                        <pic:spPr>
                          <a:xfrm>
                            <a:off x="208605" y="175878"/>
                            <a:ext cx="127000" cy="203200"/>
                          </a:xfrm>
                          <a:prstGeom prst="rect">
                            <a:avLst/>
                          </a:prstGeom>
                        </pic:spPr>
                      </pic:pic>
                      <pic:pic>
                        <pic:nvPicPr>
                          <pic:cNvPr id="477" name="Image 477"/>
                          <pic:cNvPicPr/>
                        </pic:nvPicPr>
                        <pic:blipFill>
                          <a:blip r:embed="rId255" cstate="print"/>
                          <a:stretch>
                            <a:fillRect/>
                          </a:stretch>
                        </pic:blipFill>
                        <pic:spPr>
                          <a:xfrm>
                            <a:off x="259405" y="137778"/>
                            <a:ext cx="127000" cy="203200"/>
                          </a:xfrm>
                          <a:prstGeom prst="rect">
                            <a:avLst/>
                          </a:prstGeom>
                        </pic:spPr>
                      </pic:pic>
                      <pic:pic>
                        <pic:nvPicPr>
                          <pic:cNvPr id="478" name="Image 478"/>
                          <pic:cNvPicPr/>
                        </pic:nvPicPr>
                        <pic:blipFill>
                          <a:blip r:embed="rId256" cstate="print"/>
                          <a:stretch>
                            <a:fillRect/>
                          </a:stretch>
                        </pic:blipFill>
                        <pic:spPr>
                          <a:xfrm>
                            <a:off x="322905" y="112378"/>
                            <a:ext cx="127000" cy="330200"/>
                          </a:xfrm>
                          <a:prstGeom prst="rect">
                            <a:avLst/>
                          </a:prstGeom>
                        </pic:spPr>
                      </pic:pic>
                      <pic:pic>
                        <pic:nvPicPr>
                          <pic:cNvPr id="479" name="Image 479"/>
                          <pic:cNvPicPr/>
                        </pic:nvPicPr>
                        <pic:blipFill>
                          <a:blip r:embed="rId257" cstate="print"/>
                          <a:stretch>
                            <a:fillRect/>
                          </a:stretch>
                        </pic:blipFill>
                        <pic:spPr>
                          <a:xfrm>
                            <a:off x="386405" y="112378"/>
                            <a:ext cx="139700" cy="292100"/>
                          </a:xfrm>
                          <a:prstGeom prst="rect">
                            <a:avLst/>
                          </a:prstGeom>
                        </pic:spPr>
                      </pic:pic>
                      <pic:pic>
                        <pic:nvPicPr>
                          <pic:cNvPr id="480" name="Image 480"/>
                          <pic:cNvPicPr/>
                        </pic:nvPicPr>
                        <pic:blipFill>
                          <a:blip r:embed="rId258" cstate="print"/>
                          <a:stretch>
                            <a:fillRect/>
                          </a:stretch>
                        </pic:blipFill>
                        <pic:spPr>
                          <a:xfrm>
                            <a:off x="462605" y="112378"/>
                            <a:ext cx="165100" cy="254000"/>
                          </a:xfrm>
                          <a:prstGeom prst="rect">
                            <a:avLst/>
                          </a:prstGeom>
                        </pic:spPr>
                      </pic:pic>
                      <pic:pic>
                        <pic:nvPicPr>
                          <pic:cNvPr id="481" name="Image 481"/>
                          <pic:cNvPicPr/>
                        </pic:nvPicPr>
                        <pic:blipFill>
                          <a:blip r:embed="rId259" cstate="print"/>
                          <a:stretch>
                            <a:fillRect/>
                          </a:stretch>
                        </pic:blipFill>
                        <pic:spPr>
                          <a:xfrm>
                            <a:off x="615005" y="112378"/>
                            <a:ext cx="165100" cy="254000"/>
                          </a:xfrm>
                          <a:prstGeom prst="rect">
                            <a:avLst/>
                          </a:prstGeom>
                        </pic:spPr>
                      </pic:pic>
                      <pic:pic>
                        <pic:nvPicPr>
                          <pic:cNvPr id="482" name="Image 482"/>
                          <pic:cNvPicPr/>
                        </pic:nvPicPr>
                        <pic:blipFill>
                          <a:blip r:embed="rId260" cstate="print"/>
                          <a:stretch>
                            <a:fillRect/>
                          </a:stretch>
                        </pic:blipFill>
                        <pic:spPr>
                          <a:xfrm>
                            <a:off x="767405" y="252078"/>
                            <a:ext cx="88900" cy="152400"/>
                          </a:xfrm>
                          <a:prstGeom prst="rect">
                            <a:avLst/>
                          </a:prstGeom>
                        </pic:spPr>
                      </pic:pic>
                      <pic:pic>
                        <pic:nvPicPr>
                          <pic:cNvPr id="483" name="Image 483"/>
                          <pic:cNvPicPr/>
                        </pic:nvPicPr>
                        <pic:blipFill>
                          <a:blip r:embed="rId261" cstate="print"/>
                          <a:stretch>
                            <a:fillRect/>
                          </a:stretch>
                        </pic:blipFill>
                        <pic:spPr>
                          <a:xfrm>
                            <a:off x="754705" y="150478"/>
                            <a:ext cx="88900" cy="139700"/>
                          </a:xfrm>
                          <a:prstGeom prst="rect">
                            <a:avLst/>
                          </a:prstGeom>
                        </pic:spPr>
                      </pic:pic>
                      <pic:pic>
                        <pic:nvPicPr>
                          <pic:cNvPr id="484" name="Image 484"/>
                          <pic:cNvPicPr/>
                        </pic:nvPicPr>
                        <pic:blipFill>
                          <a:blip r:embed="rId262" cstate="print"/>
                          <a:stretch>
                            <a:fillRect/>
                          </a:stretch>
                        </pic:blipFill>
                        <pic:spPr>
                          <a:xfrm>
                            <a:off x="830905" y="277478"/>
                            <a:ext cx="114300" cy="165100"/>
                          </a:xfrm>
                          <a:prstGeom prst="rect">
                            <a:avLst/>
                          </a:prstGeom>
                        </pic:spPr>
                      </pic:pic>
                      <pic:pic>
                        <pic:nvPicPr>
                          <pic:cNvPr id="485" name="Image 485"/>
                          <pic:cNvPicPr/>
                        </pic:nvPicPr>
                        <pic:blipFill>
                          <a:blip r:embed="rId263" cstate="print"/>
                          <a:stretch>
                            <a:fillRect/>
                          </a:stretch>
                        </pic:blipFill>
                        <pic:spPr>
                          <a:xfrm>
                            <a:off x="818205" y="175878"/>
                            <a:ext cx="101600" cy="152400"/>
                          </a:xfrm>
                          <a:prstGeom prst="rect">
                            <a:avLst/>
                          </a:prstGeom>
                        </pic:spPr>
                      </pic:pic>
                      <pic:pic>
                        <pic:nvPicPr>
                          <pic:cNvPr id="486" name="Image 486"/>
                          <pic:cNvPicPr/>
                        </pic:nvPicPr>
                        <pic:blipFill>
                          <a:blip r:embed="rId264" cstate="print"/>
                          <a:stretch>
                            <a:fillRect/>
                          </a:stretch>
                        </pic:blipFill>
                        <pic:spPr>
                          <a:xfrm>
                            <a:off x="907105" y="315578"/>
                            <a:ext cx="114300" cy="152400"/>
                          </a:xfrm>
                          <a:prstGeom prst="rect">
                            <a:avLst/>
                          </a:prstGeom>
                        </pic:spPr>
                      </pic:pic>
                      <pic:pic>
                        <pic:nvPicPr>
                          <pic:cNvPr id="487" name="Image 487"/>
                          <pic:cNvPicPr/>
                        </pic:nvPicPr>
                        <pic:blipFill>
                          <a:blip r:embed="rId265" cstate="print"/>
                          <a:stretch>
                            <a:fillRect/>
                          </a:stretch>
                        </pic:blipFill>
                        <pic:spPr>
                          <a:xfrm>
                            <a:off x="881705" y="201278"/>
                            <a:ext cx="114300" cy="139700"/>
                          </a:xfrm>
                          <a:prstGeom prst="rect">
                            <a:avLst/>
                          </a:prstGeom>
                        </pic:spPr>
                      </pic:pic>
                      <pic:pic>
                        <pic:nvPicPr>
                          <pic:cNvPr id="488" name="Image 488"/>
                          <pic:cNvPicPr/>
                        </pic:nvPicPr>
                        <pic:blipFill>
                          <a:blip r:embed="rId266" cstate="print"/>
                          <a:stretch>
                            <a:fillRect/>
                          </a:stretch>
                        </pic:blipFill>
                        <pic:spPr>
                          <a:xfrm>
                            <a:off x="983305" y="328278"/>
                            <a:ext cx="139700" cy="177800"/>
                          </a:xfrm>
                          <a:prstGeom prst="rect">
                            <a:avLst/>
                          </a:prstGeom>
                        </pic:spPr>
                      </pic:pic>
                      <pic:pic>
                        <pic:nvPicPr>
                          <pic:cNvPr id="489" name="Image 489"/>
                          <pic:cNvPicPr/>
                        </pic:nvPicPr>
                        <pic:blipFill>
                          <a:blip r:embed="rId267" cstate="print"/>
                          <a:stretch>
                            <a:fillRect/>
                          </a:stretch>
                        </pic:blipFill>
                        <pic:spPr>
                          <a:xfrm>
                            <a:off x="945205" y="213978"/>
                            <a:ext cx="139700" cy="165100"/>
                          </a:xfrm>
                          <a:prstGeom prst="rect">
                            <a:avLst/>
                          </a:prstGeom>
                        </pic:spPr>
                      </pic:pic>
                      <pic:pic>
                        <pic:nvPicPr>
                          <pic:cNvPr id="490" name="Image 490"/>
                          <pic:cNvPicPr/>
                        </pic:nvPicPr>
                        <pic:blipFill>
                          <a:blip r:embed="rId268" cstate="print"/>
                          <a:stretch>
                            <a:fillRect/>
                          </a:stretch>
                        </pic:blipFill>
                        <pic:spPr>
                          <a:xfrm>
                            <a:off x="1034105" y="252078"/>
                            <a:ext cx="241300" cy="254000"/>
                          </a:xfrm>
                          <a:prstGeom prst="rect">
                            <a:avLst/>
                          </a:prstGeom>
                        </pic:spPr>
                      </pic:pic>
                      <pic:pic>
                        <pic:nvPicPr>
                          <pic:cNvPr id="491" name="Image 491"/>
                          <pic:cNvPicPr/>
                        </pic:nvPicPr>
                        <pic:blipFill>
                          <a:blip r:embed="rId269" cstate="print"/>
                          <a:stretch>
                            <a:fillRect/>
                          </a:stretch>
                        </pic:blipFill>
                        <pic:spPr>
                          <a:xfrm>
                            <a:off x="1237305" y="429878"/>
                            <a:ext cx="190500" cy="88900"/>
                          </a:xfrm>
                          <a:prstGeom prst="rect">
                            <a:avLst/>
                          </a:prstGeom>
                        </pic:spPr>
                      </pic:pic>
                      <pic:pic>
                        <pic:nvPicPr>
                          <pic:cNvPr id="492" name="Image 492"/>
                          <pic:cNvPicPr/>
                        </pic:nvPicPr>
                        <pic:blipFill>
                          <a:blip r:embed="rId270" cstate="print"/>
                          <a:stretch>
                            <a:fillRect/>
                          </a:stretch>
                        </pic:blipFill>
                        <pic:spPr>
                          <a:xfrm>
                            <a:off x="1161105" y="302878"/>
                            <a:ext cx="165100" cy="152400"/>
                          </a:xfrm>
                          <a:prstGeom prst="rect">
                            <a:avLst/>
                          </a:prstGeom>
                        </pic:spPr>
                      </pic:pic>
                      <pic:pic>
                        <pic:nvPicPr>
                          <pic:cNvPr id="493" name="Image 493"/>
                          <pic:cNvPicPr/>
                        </pic:nvPicPr>
                        <pic:blipFill>
                          <a:blip r:embed="rId271" cstate="print"/>
                          <a:stretch>
                            <a:fillRect/>
                          </a:stretch>
                        </pic:blipFill>
                        <pic:spPr>
                          <a:xfrm>
                            <a:off x="1224605" y="328278"/>
                            <a:ext cx="165100" cy="139700"/>
                          </a:xfrm>
                          <a:prstGeom prst="rect">
                            <a:avLst/>
                          </a:prstGeom>
                        </pic:spPr>
                      </pic:pic>
                      <wps:wsp>
                        <wps:cNvPr id="494" name="Graphic 494"/>
                        <wps:cNvSpPr/>
                        <wps:spPr>
                          <a:xfrm>
                            <a:off x="382981" y="1519732"/>
                            <a:ext cx="882015" cy="311785"/>
                          </a:xfrm>
                          <a:custGeom>
                            <a:avLst/>
                            <a:gdLst/>
                            <a:ahLst/>
                            <a:cxnLst/>
                            <a:rect l="l" t="t" r="r" b="b"/>
                            <a:pathLst>
                              <a:path w="882015" h="311785">
                                <a:moveTo>
                                  <a:pt x="0" y="297284"/>
                                </a:moveTo>
                                <a:lnTo>
                                  <a:pt x="43817" y="308687"/>
                                </a:lnTo>
                                <a:lnTo>
                                  <a:pt x="98673" y="311745"/>
                                </a:lnTo>
                                <a:lnTo>
                                  <a:pt x="158887" y="307899"/>
                                </a:lnTo>
                                <a:lnTo>
                                  <a:pt x="218779" y="298591"/>
                                </a:lnTo>
                                <a:lnTo>
                                  <a:pt x="272669" y="285263"/>
                                </a:lnTo>
                                <a:lnTo>
                                  <a:pt x="314879" y="269358"/>
                                </a:lnTo>
                                <a:lnTo>
                                  <a:pt x="339727" y="252316"/>
                                </a:lnTo>
                              </a:path>
                              <a:path w="882015" h="311785">
                                <a:moveTo>
                                  <a:pt x="413868" y="214837"/>
                                </a:moveTo>
                                <a:lnTo>
                                  <a:pt x="460222" y="198563"/>
                                </a:lnTo>
                                <a:lnTo>
                                  <a:pt x="504691" y="182588"/>
                                </a:lnTo>
                                <a:lnTo>
                                  <a:pt x="547772" y="166242"/>
                                </a:lnTo>
                                <a:lnTo>
                                  <a:pt x="589963" y="148852"/>
                                </a:lnTo>
                                <a:lnTo>
                                  <a:pt x="631761" y="129746"/>
                                </a:lnTo>
                                <a:lnTo>
                                  <a:pt x="673661" y="108254"/>
                                </a:lnTo>
                                <a:lnTo>
                                  <a:pt x="726005" y="80364"/>
                                </a:lnTo>
                                <a:lnTo>
                                  <a:pt x="770677" y="57433"/>
                                </a:lnTo>
                                <a:lnTo>
                                  <a:pt x="809995" y="37622"/>
                                </a:lnTo>
                                <a:lnTo>
                                  <a:pt x="846280" y="19091"/>
                                </a:lnTo>
                                <a:lnTo>
                                  <a:pt x="881851" y="0"/>
                                </a:lnTo>
                              </a:path>
                            </a:pathLst>
                          </a:custGeom>
                          <a:ln w="8886">
                            <a:solidFill>
                              <a:srgbClr val="231F20"/>
                            </a:solidFill>
                            <a:prstDash val="solid"/>
                          </a:ln>
                        </wps:spPr>
                        <wps:bodyPr wrap="square" lIns="0" tIns="0" rIns="0" bIns="0" rtlCol="0">
                          <a:prstTxWarp prst="textNoShape">
                            <a:avLst/>
                          </a:prstTxWarp>
                          <a:noAutofit/>
                        </wps:bodyPr>
                      </wps:wsp>
                      <pic:pic>
                        <pic:nvPicPr>
                          <pic:cNvPr id="495" name="Image 495"/>
                          <pic:cNvPicPr/>
                        </pic:nvPicPr>
                        <pic:blipFill>
                          <a:blip r:embed="rId272" cstate="print"/>
                          <a:stretch>
                            <a:fillRect/>
                          </a:stretch>
                        </pic:blipFill>
                        <pic:spPr>
                          <a:xfrm>
                            <a:off x="1262060" y="1210504"/>
                            <a:ext cx="155449" cy="245384"/>
                          </a:xfrm>
                          <a:prstGeom prst="rect">
                            <a:avLst/>
                          </a:prstGeom>
                        </pic:spPr>
                      </pic:pic>
                      <wps:wsp>
                        <wps:cNvPr id="496" name="Graphic 496"/>
                        <wps:cNvSpPr/>
                        <wps:spPr>
                          <a:xfrm>
                            <a:off x="1219850" y="841900"/>
                            <a:ext cx="233679" cy="523240"/>
                          </a:xfrm>
                          <a:custGeom>
                            <a:avLst/>
                            <a:gdLst/>
                            <a:ahLst/>
                            <a:cxnLst/>
                            <a:rect l="l" t="t" r="r" b="b"/>
                            <a:pathLst>
                              <a:path w="233679" h="523240">
                                <a:moveTo>
                                  <a:pt x="233159" y="0"/>
                                </a:moveTo>
                                <a:lnTo>
                                  <a:pt x="232929" y="38320"/>
                                </a:lnTo>
                                <a:lnTo>
                                  <a:pt x="225930" y="82609"/>
                                </a:lnTo>
                                <a:lnTo>
                                  <a:pt x="213144" y="131361"/>
                                </a:lnTo>
                                <a:lnTo>
                                  <a:pt x="195556" y="183074"/>
                                </a:lnTo>
                                <a:lnTo>
                                  <a:pt x="174149" y="236244"/>
                                </a:lnTo>
                                <a:lnTo>
                                  <a:pt x="149907" y="289367"/>
                                </a:lnTo>
                                <a:lnTo>
                                  <a:pt x="123814" y="340941"/>
                                </a:lnTo>
                                <a:lnTo>
                                  <a:pt x="96852" y="389462"/>
                                </a:lnTo>
                                <a:lnTo>
                                  <a:pt x="70006" y="433427"/>
                                </a:lnTo>
                                <a:lnTo>
                                  <a:pt x="44260" y="471331"/>
                                </a:lnTo>
                                <a:lnTo>
                                  <a:pt x="20596" y="501673"/>
                                </a:lnTo>
                                <a:lnTo>
                                  <a:pt x="0" y="522947"/>
                                </a:lnTo>
                                <a:lnTo>
                                  <a:pt x="15620" y="510760"/>
                                </a:lnTo>
                                <a:lnTo>
                                  <a:pt x="57971" y="464909"/>
                                </a:lnTo>
                                <a:lnTo>
                                  <a:pt x="79388" y="432767"/>
                                </a:lnTo>
                                <a:lnTo>
                                  <a:pt x="104802" y="391691"/>
                                </a:lnTo>
                                <a:lnTo>
                                  <a:pt x="132284" y="344341"/>
                                </a:lnTo>
                                <a:lnTo>
                                  <a:pt x="159903" y="293376"/>
                                </a:lnTo>
                                <a:lnTo>
                                  <a:pt x="185730" y="241458"/>
                                </a:lnTo>
                                <a:lnTo>
                                  <a:pt x="207835" y="191245"/>
                                </a:lnTo>
                                <a:lnTo>
                                  <a:pt x="224288" y="145399"/>
                                </a:lnTo>
                                <a:lnTo>
                                  <a:pt x="233159" y="106578"/>
                                </a:lnTo>
                                <a:lnTo>
                                  <a:pt x="233159" y="0"/>
                                </a:lnTo>
                                <a:close/>
                              </a:path>
                            </a:pathLst>
                          </a:custGeom>
                          <a:solidFill>
                            <a:srgbClr val="DDC7B5"/>
                          </a:solidFill>
                        </wps:spPr>
                        <wps:bodyPr wrap="square" lIns="0" tIns="0" rIns="0" bIns="0" rtlCol="0">
                          <a:prstTxWarp prst="textNoShape">
                            <a:avLst/>
                          </a:prstTxWarp>
                          <a:noAutofit/>
                        </wps:bodyPr>
                      </wps:wsp>
                      <wps:wsp>
                        <wps:cNvPr id="497" name="Graphic 497"/>
                        <wps:cNvSpPr/>
                        <wps:spPr>
                          <a:xfrm>
                            <a:off x="1219853" y="425520"/>
                            <a:ext cx="233679" cy="939800"/>
                          </a:xfrm>
                          <a:custGeom>
                            <a:avLst/>
                            <a:gdLst/>
                            <a:ahLst/>
                            <a:cxnLst/>
                            <a:rect l="l" t="t" r="r" b="b"/>
                            <a:pathLst>
                              <a:path w="233679" h="939800">
                                <a:moveTo>
                                  <a:pt x="233156" y="416380"/>
                                </a:moveTo>
                                <a:lnTo>
                                  <a:pt x="232927" y="454701"/>
                                </a:lnTo>
                                <a:lnTo>
                                  <a:pt x="225928" y="498989"/>
                                </a:lnTo>
                                <a:lnTo>
                                  <a:pt x="213143" y="547741"/>
                                </a:lnTo>
                                <a:lnTo>
                                  <a:pt x="195556" y="599454"/>
                                </a:lnTo>
                                <a:lnTo>
                                  <a:pt x="174150" y="652624"/>
                                </a:lnTo>
                                <a:lnTo>
                                  <a:pt x="149908" y="705747"/>
                                </a:lnTo>
                                <a:lnTo>
                                  <a:pt x="123815" y="757321"/>
                                </a:lnTo>
                                <a:lnTo>
                                  <a:pt x="96853" y="805842"/>
                                </a:lnTo>
                                <a:lnTo>
                                  <a:pt x="70008" y="849807"/>
                                </a:lnTo>
                                <a:lnTo>
                                  <a:pt x="44261" y="887713"/>
                                </a:lnTo>
                                <a:lnTo>
                                  <a:pt x="20597" y="918055"/>
                                </a:lnTo>
                                <a:lnTo>
                                  <a:pt x="0" y="939332"/>
                                </a:lnTo>
                              </a:path>
                              <a:path w="233679" h="939800">
                                <a:moveTo>
                                  <a:pt x="136573" y="0"/>
                                </a:moveTo>
                                <a:lnTo>
                                  <a:pt x="155628" y="24776"/>
                                </a:lnTo>
                                <a:lnTo>
                                  <a:pt x="171555" y="55800"/>
                                </a:lnTo>
                                <a:lnTo>
                                  <a:pt x="182483" y="88073"/>
                                </a:lnTo>
                                <a:lnTo>
                                  <a:pt x="186541" y="116595"/>
                                </a:lnTo>
                                <a:lnTo>
                                  <a:pt x="192266" y="143705"/>
                                </a:lnTo>
                                <a:lnTo>
                                  <a:pt x="204860" y="176126"/>
                                </a:lnTo>
                                <a:lnTo>
                                  <a:pt x="217454" y="215417"/>
                                </a:lnTo>
                                <a:lnTo>
                                  <a:pt x="223179" y="263134"/>
                                </a:lnTo>
                                <a:lnTo>
                                  <a:pt x="224038" y="304447"/>
                                </a:lnTo>
                                <a:lnTo>
                                  <a:pt x="226301" y="342703"/>
                                </a:lnTo>
                                <a:lnTo>
                                  <a:pt x="229497" y="379486"/>
                                </a:lnTo>
                                <a:lnTo>
                                  <a:pt x="233156" y="416380"/>
                                </a:lnTo>
                              </a:path>
                            </a:pathLst>
                          </a:custGeom>
                          <a:ln w="8886">
                            <a:solidFill>
                              <a:srgbClr val="231F20"/>
                            </a:solidFill>
                            <a:prstDash val="solid"/>
                          </a:ln>
                        </wps:spPr>
                        <wps:bodyPr wrap="square" lIns="0" tIns="0" rIns="0" bIns="0" rtlCol="0">
                          <a:prstTxWarp prst="textNoShape">
                            <a:avLst/>
                          </a:prstTxWarp>
                          <a:noAutofit/>
                        </wps:bodyPr>
                      </wps:wsp>
                      <wps:wsp>
                        <wps:cNvPr id="498" name="Graphic 498"/>
                        <wps:cNvSpPr/>
                        <wps:spPr>
                          <a:xfrm>
                            <a:off x="155649" y="900174"/>
                            <a:ext cx="113030" cy="477520"/>
                          </a:xfrm>
                          <a:custGeom>
                            <a:avLst/>
                            <a:gdLst/>
                            <a:ahLst/>
                            <a:cxnLst/>
                            <a:rect l="l" t="t" r="r" b="b"/>
                            <a:pathLst>
                              <a:path w="113030" h="477520">
                                <a:moveTo>
                                  <a:pt x="12469" y="0"/>
                                </a:moveTo>
                                <a:lnTo>
                                  <a:pt x="7213" y="75888"/>
                                </a:lnTo>
                                <a:lnTo>
                                  <a:pt x="4989" y="99936"/>
                                </a:lnTo>
                                <a:lnTo>
                                  <a:pt x="2261" y="118237"/>
                                </a:lnTo>
                                <a:lnTo>
                                  <a:pt x="0" y="147080"/>
                                </a:lnTo>
                                <a:lnTo>
                                  <a:pt x="1483" y="192317"/>
                                </a:lnTo>
                                <a:lnTo>
                                  <a:pt x="9993" y="259803"/>
                                </a:lnTo>
                                <a:lnTo>
                                  <a:pt x="33367" y="339093"/>
                                </a:lnTo>
                                <a:lnTo>
                                  <a:pt x="67752" y="408774"/>
                                </a:lnTo>
                                <a:lnTo>
                                  <a:pt x="98861" y="458310"/>
                                </a:lnTo>
                                <a:lnTo>
                                  <a:pt x="112406" y="477164"/>
                                </a:lnTo>
                                <a:lnTo>
                                  <a:pt x="92885" y="447432"/>
                                </a:lnTo>
                                <a:lnTo>
                                  <a:pt x="72807" y="402577"/>
                                </a:lnTo>
                                <a:lnTo>
                                  <a:pt x="53700" y="349121"/>
                                </a:lnTo>
                                <a:lnTo>
                                  <a:pt x="37090" y="293585"/>
                                </a:lnTo>
                                <a:lnTo>
                                  <a:pt x="24505" y="242491"/>
                                </a:lnTo>
                                <a:lnTo>
                                  <a:pt x="17473" y="202361"/>
                                </a:lnTo>
                                <a:lnTo>
                                  <a:pt x="13536" y="148957"/>
                                </a:lnTo>
                                <a:lnTo>
                                  <a:pt x="12166" y="91808"/>
                                </a:lnTo>
                                <a:lnTo>
                                  <a:pt x="12199" y="39344"/>
                                </a:lnTo>
                                <a:lnTo>
                                  <a:pt x="12469" y="0"/>
                                </a:lnTo>
                                <a:close/>
                              </a:path>
                            </a:pathLst>
                          </a:custGeom>
                          <a:solidFill>
                            <a:srgbClr val="DDC7B5"/>
                          </a:solidFill>
                        </wps:spPr>
                        <wps:bodyPr wrap="square" lIns="0" tIns="0" rIns="0" bIns="0" rtlCol="0">
                          <a:prstTxWarp prst="textNoShape">
                            <a:avLst/>
                          </a:prstTxWarp>
                          <a:noAutofit/>
                        </wps:bodyPr>
                      </wps:wsp>
                      <wps:wsp>
                        <wps:cNvPr id="499" name="Graphic 499"/>
                        <wps:cNvSpPr/>
                        <wps:spPr>
                          <a:xfrm>
                            <a:off x="160631" y="900174"/>
                            <a:ext cx="107950" cy="477520"/>
                          </a:xfrm>
                          <a:custGeom>
                            <a:avLst/>
                            <a:gdLst/>
                            <a:ahLst/>
                            <a:cxnLst/>
                            <a:rect l="l" t="t" r="r" b="b"/>
                            <a:pathLst>
                              <a:path w="107950" h="477520">
                                <a:moveTo>
                                  <a:pt x="0" y="99936"/>
                                </a:moveTo>
                                <a:lnTo>
                                  <a:pt x="2223" y="75887"/>
                                </a:lnTo>
                                <a:lnTo>
                                  <a:pt x="4675" y="42471"/>
                                </a:lnTo>
                                <a:lnTo>
                                  <a:pt x="6660" y="12803"/>
                                </a:lnTo>
                                <a:lnTo>
                                  <a:pt x="7476" y="0"/>
                                </a:lnTo>
                                <a:lnTo>
                                  <a:pt x="7206" y="39345"/>
                                </a:lnTo>
                                <a:lnTo>
                                  <a:pt x="7173" y="91808"/>
                                </a:lnTo>
                                <a:lnTo>
                                  <a:pt x="8541" y="148958"/>
                                </a:lnTo>
                                <a:lnTo>
                                  <a:pt x="12477" y="202360"/>
                                </a:lnTo>
                                <a:lnTo>
                                  <a:pt x="19511" y="242489"/>
                                </a:lnTo>
                                <a:lnTo>
                                  <a:pt x="32097" y="293584"/>
                                </a:lnTo>
                                <a:lnTo>
                                  <a:pt x="48707" y="349121"/>
                                </a:lnTo>
                                <a:lnTo>
                                  <a:pt x="67814" y="402579"/>
                                </a:lnTo>
                                <a:lnTo>
                                  <a:pt x="87892" y="447434"/>
                                </a:lnTo>
                                <a:lnTo>
                                  <a:pt x="107412" y="477166"/>
                                </a:lnTo>
                              </a:path>
                            </a:pathLst>
                          </a:custGeom>
                          <a:ln w="8886">
                            <a:solidFill>
                              <a:srgbClr val="231F20"/>
                            </a:solidFill>
                            <a:prstDash val="solid"/>
                          </a:ln>
                        </wps:spPr>
                        <wps:bodyPr wrap="square" lIns="0" tIns="0" rIns="0" bIns="0" rtlCol="0">
                          <a:prstTxWarp prst="textNoShape">
                            <a:avLst/>
                          </a:prstTxWarp>
                          <a:noAutofit/>
                        </wps:bodyPr>
                      </wps:wsp>
                      <wps:wsp>
                        <wps:cNvPr id="500" name="Graphic 500"/>
                        <wps:cNvSpPr/>
                        <wps:spPr>
                          <a:xfrm>
                            <a:off x="153154" y="1299882"/>
                            <a:ext cx="229870" cy="517525"/>
                          </a:xfrm>
                          <a:custGeom>
                            <a:avLst/>
                            <a:gdLst/>
                            <a:ahLst/>
                            <a:cxnLst/>
                            <a:rect l="l" t="t" r="r" b="b"/>
                            <a:pathLst>
                              <a:path w="229870" h="517525">
                                <a:moveTo>
                                  <a:pt x="0" y="0"/>
                                </a:moveTo>
                                <a:lnTo>
                                  <a:pt x="5266" y="73782"/>
                                </a:lnTo>
                                <a:lnTo>
                                  <a:pt x="7492" y="112420"/>
                                </a:lnTo>
                                <a:lnTo>
                                  <a:pt x="10906" y="146820"/>
                                </a:lnTo>
                                <a:lnTo>
                                  <a:pt x="18637" y="189733"/>
                                </a:lnTo>
                                <a:lnTo>
                                  <a:pt x="31406" y="240677"/>
                                </a:lnTo>
                                <a:lnTo>
                                  <a:pt x="49930" y="299174"/>
                                </a:lnTo>
                                <a:lnTo>
                                  <a:pt x="74929" y="364744"/>
                                </a:lnTo>
                                <a:lnTo>
                                  <a:pt x="119162" y="437037"/>
                                </a:lnTo>
                                <a:lnTo>
                                  <a:pt x="170189" y="484033"/>
                                </a:lnTo>
                                <a:lnTo>
                                  <a:pt x="212315" y="509481"/>
                                </a:lnTo>
                                <a:lnTo>
                                  <a:pt x="229844" y="517131"/>
                                </a:lnTo>
                                <a:lnTo>
                                  <a:pt x="182828" y="484225"/>
                                </a:lnTo>
                                <a:lnTo>
                                  <a:pt x="145769" y="438845"/>
                                </a:lnTo>
                                <a:lnTo>
                                  <a:pt x="118261" y="392012"/>
                                </a:lnTo>
                                <a:lnTo>
                                  <a:pt x="99898" y="354749"/>
                                </a:lnTo>
                                <a:lnTo>
                                  <a:pt x="86659" y="329907"/>
                                </a:lnTo>
                                <a:lnTo>
                                  <a:pt x="59947" y="282690"/>
                                </a:lnTo>
                                <a:lnTo>
                                  <a:pt x="34093" y="213183"/>
                                </a:lnTo>
                                <a:lnTo>
                                  <a:pt x="21927" y="160481"/>
                                </a:lnTo>
                                <a:lnTo>
                                  <a:pt x="10504" y="90699"/>
                                </a:lnTo>
                                <a:lnTo>
                                  <a:pt x="0" y="0"/>
                                </a:lnTo>
                                <a:close/>
                              </a:path>
                            </a:pathLst>
                          </a:custGeom>
                          <a:solidFill>
                            <a:srgbClr val="DDC7B5"/>
                          </a:solidFill>
                        </wps:spPr>
                        <wps:bodyPr wrap="square" lIns="0" tIns="0" rIns="0" bIns="0" rtlCol="0">
                          <a:prstTxWarp prst="textNoShape">
                            <a:avLst/>
                          </a:prstTxWarp>
                          <a:noAutofit/>
                        </wps:bodyPr>
                      </wps:wsp>
                      <wps:wsp>
                        <wps:cNvPr id="501" name="Graphic 501"/>
                        <wps:cNvSpPr/>
                        <wps:spPr>
                          <a:xfrm>
                            <a:off x="153154" y="1299882"/>
                            <a:ext cx="229870" cy="517525"/>
                          </a:xfrm>
                          <a:custGeom>
                            <a:avLst/>
                            <a:gdLst/>
                            <a:ahLst/>
                            <a:cxnLst/>
                            <a:rect l="l" t="t" r="r" b="b"/>
                            <a:pathLst>
                              <a:path w="229870" h="517525">
                                <a:moveTo>
                                  <a:pt x="0" y="0"/>
                                </a:moveTo>
                                <a:lnTo>
                                  <a:pt x="10506" y="90697"/>
                                </a:lnTo>
                                <a:lnTo>
                                  <a:pt x="21929" y="160479"/>
                                </a:lnTo>
                                <a:lnTo>
                                  <a:pt x="34095" y="213181"/>
                                </a:lnTo>
                                <a:lnTo>
                                  <a:pt x="46826" y="252639"/>
                                </a:lnTo>
                                <a:lnTo>
                                  <a:pt x="73285" y="307167"/>
                                </a:lnTo>
                                <a:lnTo>
                                  <a:pt x="86661" y="329909"/>
                                </a:lnTo>
                                <a:lnTo>
                                  <a:pt x="99900" y="354752"/>
                                </a:lnTo>
                                <a:lnTo>
                                  <a:pt x="118262" y="392013"/>
                                </a:lnTo>
                                <a:lnTo>
                                  <a:pt x="145767" y="438844"/>
                                </a:lnTo>
                                <a:lnTo>
                                  <a:pt x="182823" y="484225"/>
                                </a:lnTo>
                                <a:lnTo>
                                  <a:pt x="229838" y="517133"/>
                                </a:lnTo>
                                <a:lnTo>
                                  <a:pt x="212309" y="509483"/>
                                </a:lnTo>
                                <a:lnTo>
                                  <a:pt x="170186" y="484034"/>
                                </a:lnTo>
                                <a:lnTo>
                                  <a:pt x="119163" y="437036"/>
                                </a:lnTo>
                                <a:lnTo>
                                  <a:pt x="74934" y="364741"/>
                                </a:lnTo>
                                <a:lnTo>
                                  <a:pt x="49932" y="299170"/>
                                </a:lnTo>
                                <a:lnTo>
                                  <a:pt x="31407" y="240674"/>
                                </a:lnTo>
                                <a:lnTo>
                                  <a:pt x="18638" y="189731"/>
                                </a:lnTo>
                                <a:lnTo>
                                  <a:pt x="10906" y="146821"/>
                                </a:lnTo>
                                <a:lnTo>
                                  <a:pt x="5263" y="73783"/>
                                </a:lnTo>
                                <a:lnTo>
                                  <a:pt x="2806" y="37478"/>
                                </a:lnTo>
                                <a:lnTo>
                                  <a:pt x="818" y="10541"/>
                                </a:lnTo>
                                <a:lnTo>
                                  <a:pt x="0" y="0"/>
                                </a:lnTo>
                                <a:close/>
                              </a:path>
                            </a:pathLst>
                          </a:custGeom>
                          <a:ln w="8886">
                            <a:solidFill>
                              <a:srgbClr val="231F20"/>
                            </a:solidFill>
                            <a:prstDash val="solid"/>
                          </a:ln>
                        </wps:spPr>
                        <wps:bodyPr wrap="square" lIns="0" tIns="0" rIns="0" bIns="0" rtlCol="0">
                          <a:prstTxWarp prst="textNoShape">
                            <a:avLst/>
                          </a:prstTxWarp>
                          <a:noAutofit/>
                        </wps:bodyPr>
                      </wps:wsp>
                      <wps:wsp>
                        <wps:cNvPr id="502" name="Graphic 502"/>
                        <wps:cNvSpPr/>
                        <wps:spPr>
                          <a:xfrm>
                            <a:off x="149844" y="112417"/>
                            <a:ext cx="1306195" cy="1733550"/>
                          </a:xfrm>
                          <a:custGeom>
                            <a:avLst/>
                            <a:gdLst/>
                            <a:ahLst/>
                            <a:cxnLst/>
                            <a:rect l="l" t="t" r="r" b="b"/>
                            <a:pathLst>
                              <a:path w="1306195" h="1733550">
                                <a:moveTo>
                                  <a:pt x="1239889" y="346410"/>
                                </a:moveTo>
                                <a:lnTo>
                                  <a:pt x="1201276" y="309748"/>
                                </a:lnTo>
                                <a:lnTo>
                                  <a:pt x="1164008" y="278383"/>
                                </a:lnTo>
                                <a:lnTo>
                                  <a:pt x="1127136" y="251443"/>
                                </a:lnTo>
                                <a:lnTo>
                                  <a:pt x="1089708" y="228051"/>
                                </a:lnTo>
                                <a:lnTo>
                                  <a:pt x="1050773" y="207334"/>
                                </a:lnTo>
                                <a:lnTo>
                                  <a:pt x="1009381" y="188415"/>
                                </a:lnTo>
                                <a:lnTo>
                                  <a:pt x="964580" y="170422"/>
                                </a:lnTo>
                                <a:lnTo>
                                  <a:pt x="915419" y="152478"/>
                                </a:lnTo>
                                <a:lnTo>
                                  <a:pt x="860947" y="133710"/>
                                </a:lnTo>
                                <a:lnTo>
                                  <a:pt x="800214" y="113242"/>
                                </a:lnTo>
                                <a:lnTo>
                                  <a:pt x="740643" y="92167"/>
                                </a:lnTo>
                                <a:lnTo>
                                  <a:pt x="687973" y="72113"/>
                                </a:lnTo>
                                <a:lnTo>
                                  <a:pt x="640245" y="53559"/>
                                </a:lnTo>
                                <a:lnTo>
                                  <a:pt x="595500" y="36981"/>
                                </a:lnTo>
                                <a:lnTo>
                                  <a:pt x="551778" y="22858"/>
                                </a:lnTo>
                                <a:lnTo>
                                  <a:pt x="507121" y="11668"/>
                                </a:lnTo>
                                <a:lnTo>
                                  <a:pt x="459570" y="3890"/>
                                </a:lnTo>
                                <a:lnTo>
                                  <a:pt x="407164" y="0"/>
                                </a:lnTo>
                                <a:lnTo>
                                  <a:pt x="359600" y="1140"/>
                                </a:lnTo>
                                <a:lnTo>
                                  <a:pt x="314505" y="7699"/>
                                </a:lnTo>
                                <a:lnTo>
                                  <a:pt x="272039" y="19672"/>
                                </a:lnTo>
                                <a:lnTo>
                                  <a:pt x="232361" y="37052"/>
                                </a:lnTo>
                                <a:lnTo>
                                  <a:pt x="195630" y="59832"/>
                                </a:lnTo>
                                <a:lnTo>
                                  <a:pt x="162005" y="88007"/>
                                </a:lnTo>
                                <a:lnTo>
                                  <a:pt x="131645" y="121571"/>
                                </a:lnTo>
                                <a:lnTo>
                                  <a:pt x="104710" y="160517"/>
                                </a:lnTo>
                                <a:lnTo>
                                  <a:pt x="81358" y="204839"/>
                                </a:lnTo>
                                <a:lnTo>
                                  <a:pt x="61749" y="254532"/>
                                </a:lnTo>
                                <a:lnTo>
                                  <a:pt x="50578" y="312742"/>
                                </a:lnTo>
                                <a:lnTo>
                                  <a:pt x="45603" y="356051"/>
                                </a:lnTo>
                                <a:lnTo>
                                  <a:pt x="40994" y="406468"/>
                                </a:lnTo>
                                <a:lnTo>
                                  <a:pt x="36719" y="462219"/>
                                </a:lnTo>
                                <a:lnTo>
                                  <a:pt x="32746" y="521534"/>
                                </a:lnTo>
                                <a:lnTo>
                                  <a:pt x="29045" y="582641"/>
                                </a:lnTo>
                                <a:lnTo>
                                  <a:pt x="25584" y="643768"/>
                                </a:lnTo>
                                <a:lnTo>
                                  <a:pt x="22332" y="703143"/>
                                </a:lnTo>
                                <a:lnTo>
                                  <a:pt x="19258" y="758995"/>
                                </a:lnTo>
                                <a:lnTo>
                                  <a:pt x="16329" y="809552"/>
                                </a:lnTo>
                                <a:lnTo>
                                  <a:pt x="13516" y="853042"/>
                                </a:lnTo>
                                <a:lnTo>
                                  <a:pt x="10785" y="887693"/>
                                </a:lnTo>
                                <a:lnTo>
                                  <a:pt x="8406" y="915085"/>
                                </a:lnTo>
                                <a:lnTo>
                                  <a:pt x="5928" y="947410"/>
                                </a:lnTo>
                                <a:lnTo>
                                  <a:pt x="3601" y="984083"/>
                                </a:lnTo>
                                <a:lnTo>
                                  <a:pt x="1671" y="1024519"/>
                                </a:lnTo>
                                <a:lnTo>
                                  <a:pt x="388" y="1068131"/>
                                </a:lnTo>
                                <a:lnTo>
                                  <a:pt x="0" y="1114334"/>
                                </a:lnTo>
                                <a:lnTo>
                                  <a:pt x="753" y="1162543"/>
                                </a:lnTo>
                                <a:lnTo>
                                  <a:pt x="2896" y="1212173"/>
                                </a:lnTo>
                                <a:lnTo>
                                  <a:pt x="6678" y="1262638"/>
                                </a:lnTo>
                                <a:lnTo>
                                  <a:pt x="12345" y="1313353"/>
                                </a:lnTo>
                                <a:lnTo>
                                  <a:pt x="20147" y="1363731"/>
                                </a:lnTo>
                                <a:lnTo>
                                  <a:pt x="30330" y="1413189"/>
                                </a:lnTo>
                                <a:lnTo>
                                  <a:pt x="43143" y="1461139"/>
                                </a:lnTo>
                                <a:lnTo>
                                  <a:pt x="58835" y="1506998"/>
                                </a:lnTo>
                                <a:lnTo>
                                  <a:pt x="77652" y="1550179"/>
                                </a:lnTo>
                                <a:lnTo>
                                  <a:pt x="99843" y="1590097"/>
                                </a:lnTo>
                                <a:lnTo>
                                  <a:pt x="125656" y="1626166"/>
                                </a:lnTo>
                                <a:lnTo>
                                  <a:pt x="155339" y="1657801"/>
                                </a:lnTo>
                                <a:lnTo>
                                  <a:pt x="189139" y="1684417"/>
                                </a:lnTo>
                                <a:lnTo>
                                  <a:pt x="227306" y="1705429"/>
                                </a:lnTo>
                                <a:lnTo>
                                  <a:pt x="298113" y="1727436"/>
                                </a:lnTo>
                                <a:lnTo>
                                  <a:pt x="373514" y="1733550"/>
                                </a:lnTo>
                                <a:lnTo>
                                  <a:pt x="413110" y="1731257"/>
                                </a:lnTo>
                                <a:lnTo>
                                  <a:pt x="454063" y="1725720"/>
                                </a:lnTo>
                                <a:lnTo>
                                  <a:pt x="496441" y="1717184"/>
                                </a:lnTo>
                                <a:lnTo>
                                  <a:pt x="540314" y="1705892"/>
                                </a:lnTo>
                                <a:lnTo>
                                  <a:pt x="585750" y="1692088"/>
                                </a:lnTo>
                                <a:lnTo>
                                  <a:pt x="632821" y="1676014"/>
                                </a:lnTo>
                                <a:lnTo>
                                  <a:pt x="681594" y="1657914"/>
                                </a:lnTo>
                                <a:lnTo>
                                  <a:pt x="732139" y="1638032"/>
                                </a:lnTo>
                                <a:lnTo>
                                  <a:pt x="784525" y="1616611"/>
                                </a:lnTo>
                                <a:lnTo>
                                  <a:pt x="838821" y="1593894"/>
                                </a:lnTo>
                                <a:lnTo>
                                  <a:pt x="895098" y="1570125"/>
                                </a:lnTo>
                                <a:lnTo>
                                  <a:pt x="953423" y="1545548"/>
                                </a:lnTo>
                                <a:lnTo>
                                  <a:pt x="1012907" y="1519025"/>
                                </a:lnTo>
                                <a:lnTo>
                                  <a:pt x="1067310" y="1491488"/>
                                </a:lnTo>
                                <a:lnTo>
                                  <a:pt x="1116440" y="1463029"/>
                                </a:lnTo>
                                <a:lnTo>
                                  <a:pt x="1160104" y="1433741"/>
                                </a:lnTo>
                                <a:lnTo>
                                  <a:pt x="1198109" y="1403716"/>
                                </a:lnTo>
                                <a:lnTo>
                                  <a:pt x="1230264" y="1373046"/>
                                </a:lnTo>
                                <a:lnTo>
                                  <a:pt x="1256374" y="1341823"/>
                                </a:lnTo>
                                <a:lnTo>
                                  <a:pt x="1289693" y="1278090"/>
                                </a:lnTo>
                                <a:lnTo>
                                  <a:pt x="1301130" y="1191775"/>
                                </a:lnTo>
                                <a:lnTo>
                                  <a:pt x="1304073" y="1135313"/>
                                </a:lnTo>
                                <a:lnTo>
                                  <a:pt x="1305645" y="1078067"/>
                                </a:lnTo>
                                <a:lnTo>
                                  <a:pt x="1306150" y="1021726"/>
                                </a:lnTo>
                                <a:lnTo>
                                  <a:pt x="1305887" y="967980"/>
                                </a:lnTo>
                                <a:lnTo>
                                  <a:pt x="1305158" y="918520"/>
                                </a:lnTo>
                                <a:lnTo>
                                  <a:pt x="1304264" y="875034"/>
                                </a:lnTo>
                                <a:lnTo>
                                  <a:pt x="1303507" y="839213"/>
                                </a:lnTo>
                                <a:lnTo>
                                  <a:pt x="1303188" y="812747"/>
                                </a:lnTo>
                                <a:lnTo>
                                  <a:pt x="1302674" y="744289"/>
                                </a:lnTo>
                                <a:lnTo>
                                  <a:pt x="1301081" y="679189"/>
                                </a:lnTo>
                                <a:lnTo>
                                  <a:pt x="1298328" y="618006"/>
                                </a:lnTo>
                                <a:lnTo>
                                  <a:pt x="1294335" y="561300"/>
                                </a:lnTo>
                                <a:lnTo>
                                  <a:pt x="1289023" y="509630"/>
                                </a:lnTo>
                                <a:lnTo>
                                  <a:pt x="1282313" y="463556"/>
                                </a:lnTo>
                                <a:lnTo>
                                  <a:pt x="1274124" y="423638"/>
                                </a:lnTo>
                                <a:lnTo>
                                  <a:pt x="1252992" y="364505"/>
                                </a:lnTo>
                                <a:lnTo>
                                  <a:pt x="1239889" y="346410"/>
                                </a:lnTo>
                                <a:close/>
                              </a:path>
                            </a:pathLst>
                          </a:custGeom>
                          <a:ln w="11849">
                            <a:solidFill>
                              <a:srgbClr val="231F20"/>
                            </a:solidFill>
                            <a:prstDash val="solid"/>
                          </a:ln>
                        </wps:spPr>
                        <wps:bodyPr wrap="square" lIns="0" tIns="0" rIns="0" bIns="0" rtlCol="0">
                          <a:prstTxWarp prst="textNoShape">
                            <a:avLst/>
                          </a:prstTxWarp>
                          <a:noAutofit/>
                        </wps:bodyPr>
                      </wps:wsp>
                      <wps:wsp>
                        <wps:cNvPr id="503" name="Graphic 503"/>
                        <wps:cNvSpPr/>
                        <wps:spPr>
                          <a:xfrm>
                            <a:off x="177267" y="1371511"/>
                            <a:ext cx="1442085" cy="728980"/>
                          </a:xfrm>
                          <a:custGeom>
                            <a:avLst/>
                            <a:gdLst/>
                            <a:ahLst/>
                            <a:cxnLst/>
                            <a:rect l="l" t="t" r="r" b="b"/>
                            <a:pathLst>
                              <a:path w="1442085" h="728980">
                                <a:moveTo>
                                  <a:pt x="777318" y="491373"/>
                                </a:moveTo>
                                <a:lnTo>
                                  <a:pt x="846079" y="319750"/>
                                </a:lnTo>
                              </a:path>
                              <a:path w="1442085" h="728980">
                                <a:moveTo>
                                  <a:pt x="0" y="464642"/>
                                </a:moveTo>
                                <a:lnTo>
                                  <a:pt x="144903" y="349728"/>
                                </a:lnTo>
                              </a:path>
                              <a:path w="1442085" h="728980">
                                <a:moveTo>
                                  <a:pt x="1441666" y="359717"/>
                                </a:moveTo>
                                <a:lnTo>
                                  <a:pt x="1412339" y="0"/>
                                </a:lnTo>
                              </a:path>
                              <a:path w="1442085" h="728980">
                                <a:moveTo>
                                  <a:pt x="1183851" y="112638"/>
                                </a:moveTo>
                                <a:lnTo>
                                  <a:pt x="974382" y="728772"/>
                                </a:lnTo>
                              </a:path>
                            </a:pathLst>
                          </a:custGeom>
                          <a:ln w="888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9.574371pt;margin-top:-173.57637pt;width:130.1pt;height:165.75pt;mso-position-horizontal-relative:page;mso-position-vertical-relative:paragraph;z-index:-28144640" id="docshapegroup309" coordorigin="7991,-3472" coordsize="2602,3315">
                <v:shape style="position:absolute;left:8000;top:-2655;width:325;height:834" type="#_x0000_t75" id="docshape310" stroked="false">
                  <v:imagedata r:id="rId140" o:title=""/>
                </v:shape>
                <v:shape style="position:absolute;left:8000;top:-2651;width:325;height:830" id="docshape311" coordorigin="8001,-2651" coordsize="325,830" path="m8297,-2649l8272,-2589,8237,-2510,8197,-2425,8156,-2345,8119,-2282,8104,-2247,8104,-2212,8112,-2176,8119,-2135,8112,-2122,8095,-2089,8063,-2026,8011,-1922,8001,-1893,8002,-1869,8014,-1848,8038,-1830,8070,-1821,8101,-1824,8127,-1838,8146,-1862,8159,-1884,8170,-1903,8178,-1916,8181,-1920,8190,-1914,8214,-1903,8286,-1925,8312,-2016,8319,-2096,8324,-2188,8325,-2288,8325,-2387,8322,-2480,8318,-2559,8312,-2618,8305,-2651,8297,-2649xe" filled="false" stroked="true" strokeweight=".933007pt" strokecolor="#231f20">
                  <v:path arrowok="t"/>
                  <v:stroke dashstyle="solid"/>
                </v:shape>
                <v:shape style="position:absolute;left:10232;top:-2037;width:352;height:776" type="#_x0000_t75" id="docshape312" stroked="false">
                  <v:imagedata r:id="rId141" o:title=""/>
                </v:shape>
                <v:shape style="position:absolute;left:10232;top:-2034;width:352;height:773" id="docshape313" coordorigin="10233,-2033" coordsize="352,773" path="m10282,-2030l10304,-1989,10335,-1919,10371,-1834,10407,-1747,10439,-1672,10496,-1550,10533,-1457,10566,-1370,10584,-1317,10574,-1290,10538,-1267,10490,-1261,10441,-1286,10406,-1359,10384,-1375,10343,-1372,10298,-1365,10264,-1369,10242,-1446,10236,-1518,10233,-1603,10233,-1696,10235,-1789,10240,-1875,10248,-1949,10257,-2004,10269,-2033,10282,-2030xe" filled="false" stroked="true" strokeweight=".933007pt" strokecolor="#231f20">
                  <v:path arrowok="t"/>
                  <v:stroke dashstyle="solid"/>
                </v:shape>
                <v:shape style="position:absolute;left:8365;top:-3464;width:1832;height:841" type="#_x0000_t75" id="docshape314" stroked="false">
                  <v:imagedata r:id="rId142" o:title=""/>
                </v:shape>
                <v:shape style="position:absolute;left:8116;top:-3472;width:2296;height:2928" type="#_x0000_t75" id="docshape315" stroked="false">
                  <v:imagedata r:id="rId143" o:title=""/>
                </v:shape>
                <v:shape style="position:absolute;left:8380;top:-795;width:120;height:140" type="#_x0000_t75" id="docshape316" stroked="false">
                  <v:imagedata r:id="rId144" o:title=""/>
                </v:shape>
                <v:shape style="position:absolute;left:8340;top:-855;width:140;height:140" type="#_x0000_t75" id="docshape317" stroked="false">
                  <v:imagedata r:id="rId145" o:title=""/>
                </v:shape>
                <v:shape style="position:absolute;left:8460;top:-735;width:120;height:120" type="#_x0000_t75" id="docshape318" stroked="false">
                  <v:imagedata r:id="rId146" o:title=""/>
                </v:shape>
                <v:shape style="position:absolute;left:8440;top:-795;width:140;height:140" type="#_x0000_t75" id="docshape319" stroked="false">
                  <v:imagedata r:id="rId147" o:title=""/>
                </v:shape>
                <v:shape style="position:absolute;left:8560;top:-675;width:220;height:111" type="#_x0000_t75" id="docshape320" stroked="false">
                  <v:imagedata r:id="rId148" o:title=""/>
                </v:shape>
                <v:shape style="position:absolute;left:8560;top:-715;width:400;height:151" type="#_x0000_t75" id="docshape321" stroked="false">
                  <v:imagedata r:id="rId149" o:title=""/>
                </v:shape>
                <v:shape style="position:absolute;left:8900;top:-695;width:240;height:131" type="#_x0000_t75" id="docshape322" stroked="false">
                  <v:imagedata r:id="rId150" o:title=""/>
                </v:shape>
                <v:shape style="position:absolute;left:8920;top:-755;width:240;height:140" type="#_x0000_t75" id="docshape323" stroked="false">
                  <v:imagedata r:id="rId151" o:title=""/>
                </v:shape>
                <v:shape style="position:absolute;left:9120;top:-735;width:120;height:120" type="#_x0000_t75" id="docshape324" stroked="false">
                  <v:imagedata r:id="rId152" o:title=""/>
                </v:shape>
                <v:shape style="position:absolute;left:9120;top:-795;width:140;height:120" type="#_x0000_t75" id="docshape325" stroked="false">
                  <v:imagedata r:id="rId153" o:title=""/>
                </v:shape>
                <v:shape style="position:absolute;left:9200;top:-775;width:140;height:140" type="#_x0000_t75" id="docshape326" stroked="false">
                  <v:imagedata r:id="rId154" o:title=""/>
                </v:shape>
                <v:shape style="position:absolute;left:9220;top:-855;width:160;height:140" type="#_x0000_t75" id="docshape327" stroked="false">
                  <v:imagedata r:id="rId155" o:title=""/>
                </v:shape>
                <v:shape style="position:absolute;left:9300;top:-875;width:300;height:200" type="#_x0000_t75" id="docshape328" stroked="false">
                  <v:imagedata r:id="rId156" o:title=""/>
                </v:shape>
                <v:shape style="position:absolute;left:9320;top:-955;width:320;height:200" type="#_x0000_t75" id="docshape329" stroked="false">
                  <v:imagedata r:id="rId157" o:title=""/>
                </v:shape>
                <v:shape style="position:absolute;left:9540;top:-975;width:300;height:200" type="#_x0000_t75" id="docshape330" stroked="false">
                  <v:imagedata r:id="rId158" o:title=""/>
                </v:shape>
                <v:shape style="position:absolute;left:9580;top:-1075;width:320;height:220" type="#_x0000_t75" id="docshape331" stroked="false">
                  <v:imagedata r:id="rId159" o:title=""/>
                </v:shape>
                <v:shape style="position:absolute;left:9760;top:-1115;width:380;height:240" type="#_x0000_t75" id="docshape332" stroked="false">
                  <v:imagedata r:id="rId160" o:title=""/>
                </v:shape>
                <v:shape style="position:absolute;left:8320;top:-915;width:140;height:140" type="#_x0000_t75" id="docshape333" stroked="false">
                  <v:imagedata r:id="rId161" o:title=""/>
                </v:shape>
                <v:shape style="position:absolute;left:8300;top:-955;width:140;height:140" type="#_x0000_t75" id="docshape334" stroked="false">
                  <v:imagedata r:id="rId162" o:title=""/>
                </v:shape>
                <v:shape style="position:absolute;left:8280;top:-995;width:140;height:120" type="#_x0000_t75" id="docshape335" stroked="false">
                  <v:imagedata r:id="rId163" o:title=""/>
                </v:shape>
                <v:shape style="position:absolute;left:8280;top:-1055;width:120;height:120" type="#_x0000_t75" id="docshape336" stroked="false">
                  <v:imagedata r:id="rId164" o:title=""/>
                </v:shape>
                <v:shape style="position:absolute;left:8420;top:-835;width:160;height:140" type="#_x0000_t75" id="docshape337" stroked="false">
                  <v:imagedata r:id="rId165" o:title=""/>
                </v:shape>
                <v:shape style="position:absolute;left:8400;top:-895;width:160;height:140" type="#_x0000_t75" id="docshape338" stroked="false">
                  <v:imagedata r:id="rId166" o:title=""/>
                </v:shape>
                <v:shape style="position:absolute;left:8380;top:-955;width:160;height:140" type="#_x0000_t75" id="docshape339" stroked="false">
                  <v:imagedata r:id="rId167" o:title=""/>
                </v:shape>
                <v:shape style="position:absolute;left:8360;top:-1015;width:140;height:120" type="#_x0000_t75" id="docshape340" stroked="false">
                  <v:imagedata r:id="rId168" o:title=""/>
                </v:shape>
                <v:shape style="position:absolute;left:8540;top:-775;width:240;height:140" type="#_x0000_t75" id="docshape341" stroked="false">
                  <v:imagedata r:id="rId169" o:title=""/>
                </v:shape>
                <v:shape style="position:absolute;left:8520;top:-835;width:260;height:160" type="#_x0000_t75" id="docshape342" stroked="false">
                  <v:imagedata r:id="rId170" o:title=""/>
                </v:shape>
                <v:shape style="position:absolute;left:8480;top:-915;width:280;height:180" type="#_x0000_t75" id="docshape343" stroked="false">
                  <v:imagedata r:id="rId171" o:title=""/>
                </v:shape>
                <v:shape style="position:absolute;left:8480;top:-975;width:480;height:340" type="#_x0000_t75" id="docshape344" stroked="false">
                  <v:imagedata r:id="rId172" o:title=""/>
                </v:shape>
                <v:shape style="position:absolute;left:8740;top:-895;width:260;height:220" type="#_x0000_t75" id="docshape345" stroked="false">
                  <v:imagedata r:id="rId173" o:title=""/>
                </v:shape>
                <v:shape style="position:absolute;left:8940;top:-795;width:240;height:120" type="#_x0000_t75" id="docshape346" stroked="false">
                  <v:imagedata r:id="rId174" o:title=""/>
                </v:shape>
                <v:shape style="position:absolute;left:8940;top:-855;width:260;height:140" type="#_x0000_t75" id="docshape347" stroked="false">
                  <v:imagedata r:id="rId175" o:title=""/>
                </v:shape>
                <v:shape style="position:absolute;left:8960;top:-895;width:260;height:120" type="#_x0000_t75" id="docshape348" stroked="false">
                  <v:imagedata r:id="rId176" o:title=""/>
                </v:shape>
                <v:shape style="position:absolute;left:8960;top:-975;width:360;height:240" type="#_x0000_t75" id="docshape349" stroked="false">
                  <v:imagedata r:id="rId177" o:title=""/>
                </v:shape>
                <v:shape style="position:absolute;left:9240;top:-995;width:180;height:220" type="#_x0000_t75" id="docshape350" stroked="false">
                  <v:imagedata r:id="rId178" o:title=""/>
                </v:shape>
                <v:shape style="position:absolute;left:9360;top:-1035;width:320;height:200" type="#_x0000_t75" id="docshape351" stroked="false">
                  <v:imagedata r:id="rId179" o:title=""/>
                </v:shape>
                <v:shape style="position:absolute;left:9380;top:-1115;width:320;height:220" type="#_x0000_t75" id="docshape352" stroked="false">
                  <v:imagedata r:id="rId180" o:title=""/>
                </v:shape>
                <v:shape style="position:absolute;left:9620;top:-1135;width:300;height:200" type="#_x0000_t75" id="docshape353" stroked="false">
                  <v:imagedata r:id="rId181" o:title=""/>
                </v:shape>
                <v:shape style="position:absolute;left:9660;top:-1215;width:400;height:200" type="#_x0000_t75" id="docshape354" stroked="false">
                  <v:imagedata r:id="rId182" o:title=""/>
                </v:shape>
                <v:shape style="position:absolute;left:9900;top:-1235;width:340;height:160" type="#_x0000_t75" id="docshape355" stroked="false">
                  <v:imagedata r:id="rId183" o:title=""/>
                </v:shape>
                <v:shape style="position:absolute;left:8227;top:-1355;width:153;height:360" type="#_x0000_t75" id="docshape356" stroked="false">
                  <v:imagedata r:id="rId184" o:title=""/>
                </v:shape>
                <v:shape style="position:absolute;left:8340;top:-1315;width:160;height:360" type="#_x0000_t75" id="docshape357" stroked="false">
                  <v:imagedata r:id="rId185" o:title=""/>
                </v:shape>
                <v:shape style="position:absolute;left:8460;top:-1295;width:300;height:460" type="#_x0000_t75" id="docshape358" stroked="false">
                  <v:imagedata r:id="rId186" o:title=""/>
                </v:shape>
                <v:shape style="position:absolute;left:8700;top:-1255;width:300;height:420" type="#_x0000_t75" id="docshape359" stroked="false">
                  <v:imagedata r:id="rId187" o:title=""/>
                </v:shape>
                <v:shape style="position:absolute;left:8900;top:-1275;width:320;height:400" type="#_x0000_t75" id="docshape360" stroked="false">
                  <v:imagedata r:id="rId188" o:title=""/>
                </v:shape>
                <v:shape style="position:absolute;left:9180;top:-1315;width:260;height:380" type="#_x0000_t75" id="docshape361" stroked="false">
                  <v:imagedata r:id="rId189" o:title=""/>
                </v:shape>
                <v:shape style="position:absolute;left:9400;top:-1355;width:340;height:380" type="#_x0000_t75" id="docshape362" stroked="false">
                  <v:imagedata r:id="rId190" o:title=""/>
                </v:shape>
                <v:shape style="position:absolute;left:9680;top:-1395;width:320;height:300" type="#_x0000_t75" id="docshape363" stroked="false">
                  <v:imagedata r:id="rId191" o:title=""/>
                </v:shape>
                <v:shape style="position:absolute;left:9920;top:-1335;width:220;height:140" type="#_x0000_t75" id="docshape364" stroked="false">
                  <v:imagedata r:id="rId192" o:title=""/>
                </v:shape>
                <v:shape style="position:absolute;left:10080;top:-1335;width:200;height:120" type="#_x0000_t75" id="docshape365" stroked="false">
                  <v:imagedata r:id="rId193" o:title=""/>
                </v:shape>
                <v:shape style="position:absolute;left:9960;top:-1415;width:180;height:120" type="#_x0000_t75" id="docshape366" stroked="false">
                  <v:imagedata r:id="rId194" o:title=""/>
                </v:shape>
                <v:shape style="position:absolute;left:10120;top:-1435;width:160;height:120" type="#_x0000_t75" id="docshape367" stroked="false">
                  <v:imagedata r:id="rId195" o:title=""/>
                </v:shape>
                <v:shape style="position:absolute;left:8227;top:-1655;width:133;height:360" type="#_x0000_t75" id="docshape368" stroked="false">
                  <v:imagedata r:id="rId196" o:title=""/>
                </v:shape>
                <v:shape style="position:absolute;left:8340;top:-1635;width:140;height:360" type="#_x0000_t75" id="docshape369" stroked="false">
                  <v:imagedata r:id="rId197" o:title=""/>
                </v:shape>
                <v:shape style="position:absolute;left:8460;top:-1615;width:280;height:380" type="#_x0000_t75" id="docshape370" stroked="false">
                  <v:imagedata r:id="rId198" o:title=""/>
                </v:shape>
                <v:shape style="position:absolute;left:8700;top:-1595;width:360;height:360" type="#_x0000_t75" id="docshape371" stroked="false">
                  <v:imagedata r:id="rId199" o:title=""/>
                </v:shape>
                <v:shape style="position:absolute;left:9040;top:-1575;width:160;height:320" type="#_x0000_t75" id="docshape372" stroked="false">
                  <v:imagedata r:id="rId200" o:title=""/>
                </v:shape>
                <v:shape style="position:absolute;left:9180;top:-1595;width:140;height:340" type="#_x0000_t75" id="docshape373" stroked="false">
                  <v:imagedata r:id="rId201" o:title=""/>
                </v:shape>
                <v:shape style="position:absolute;left:9300;top:-1615;width:140;height:340" type="#_x0000_t75" id="docshape374" stroked="false">
                  <v:imagedata r:id="rId202" o:title=""/>
                </v:shape>
                <v:shape style="position:absolute;left:9420;top:-1655;width:320;height:360" type="#_x0000_t75" id="docshape375" stroked="false">
                  <v:imagedata r:id="rId203" o:title=""/>
                </v:shape>
                <v:shape style="position:absolute;left:9720;top:-1695;width:300;height:360" type="#_x0000_t75" id="docshape376" stroked="false">
                  <v:imagedata r:id="rId204" o:title=""/>
                </v:shape>
                <v:shape style="position:absolute;left:9980;top:-1715;width:180;height:340" type="#_x0000_t75" id="docshape377" stroked="false">
                  <v:imagedata r:id="rId205" o:title=""/>
                </v:shape>
                <v:shape style="position:absolute;left:10120;top:-1715;width:165;height:320" type="#_x0000_t75" id="docshape378" stroked="false">
                  <v:imagedata r:id="rId206" o:title=""/>
                </v:shape>
                <v:shape style="position:absolute;left:8227;top:-1915;width:153;height:300" type="#_x0000_t75" id="docshape379" stroked="false">
                  <v:imagedata r:id="rId207" o:title=""/>
                </v:shape>
                <v:shape style="position:absolute;left:8340;top:-1915;width:160;height:320" type="#_x0000_t75" id="docshape380" stroked="false">
                  <v:imagedata r:id="rId208" o:title=""/>
                </v:shape>
                <v:shape style="position:absolute;left:8460;top:-1915;width:160;height:340" type="#_x0000_t75" id="docshape381" stroked="false">
                  <v:imagedata r:id="rId209" o:title=""/>
                </v:shape>
                <v:shape style="position:absolute;left:8580;top:-1775;width:160;height:200" type="#_x0000_t75" id="docshape382" stroked="false">
                  <v:imagedata r:id="rId210" o:title=""/>
                </v:shape>
                <v:shape style="position:absolute;left:8600;top:-1935;width:160;height:180" type="#_x0000_t75" id="docshape383" stroked="false">
                  <v:imagedata r:id="rId211" o:title=""/>
                </v:shape>
                <v:shape style="position:absolute;left:8720;top:-1775;width:120;height:200" type="#_x0000_t75" id="docshape384" stroked="false">
                  <v:imagedata r:id="rId212" o:title=""/>
                </v:shape>
                <v:shape style="position:absolute;left:8720;top:-1935;width:140;height:180" type="#_x0000_t75" id="docshape385" stroked="false">
                  <v:imagedata r:id="rId213" o:title=""/>
                </v:shape>
                <v:shape style="position:absolute;left:8800;top:-1775;width:140;height:200" type="#_x0000_t75" id="docshape386" stroked="false">
                  <v:imagedata r:id="rId214" o:title=""/>
                </v:shape>
                <v:shape style="position:absolute;left:8820;top:-1935;width:120;height:180" type="#_x0000_t75" id="docshape387" stroked="false">
                  <v:imagedata r:id="rId215" o:title=""/>
                </v:shape>
                <v:shape style="position:absolute;left:8900;top:-1775;width:300;height:220" type="#_x0000_t75" id="docshape388" stroked="false">
                  <v:imagedata r:id="rId216" o:title=""/>
                </v:shape>
                <v:shape style="position:absolute;left:8920;top:-1935;width:300;height:200" type="#_x0000_t75" id="docshape389" stroked="false">
                  <v:imagedata r:id="rId217" o:title=""/>
                </v:shape>
                <v:shape style="position:absolute;left:9180;top:-1935;width:280;height:380" type="#_x0000_t75" id="docshape390" stroked="false">
                  <v:imagedata r:id="rId218" o:title=""/>
                </v:shape>
                <v:shape style="position:absolute;left:9420;top:-1955;width:180;height:360" type="#_x0000_t75" id="docshape391" stroked="false">
                  <v:imagedata r:id="rId219" o:title=""/>
                </v:shape>
                <v:shape style="position:absolute;left:9580;top:-1955;width:180;height:340" type="#_x0000_t75" id="docshape392" stroked="false">
                  <v:imagedata r:id="rId220" o:title=""/>
                </v:shape>
                <v:shape style="position:absolute;left:9720;top:-1975;width:300;height:340" type="#_x0000_t75" id="docshape393" stroked="false">
                  <v:imagedata r:id="rId221" o:title=""/>
                </v:shape>
                <v:shape style="position:absolute;left:10000;top:-1975;width:160;height:300" type="#_x0000_t75" id="docshape394" stroked="false">
                  <v:imagedata r:id="rId222" o:title=""/>
                </v:shape>
                <v:shape style="position:absolute;left:10140;top:-1995;width:145;height:300" type="#_x0000_t75" id="docshape395" stroked="false">
                  <v:imagedata r:id="rId223" o:title=""/>
                </v:shape>
                <v:shape style="position:absolute;left:8240;top:-2335;width:140;height:440" type="#_x0000_t75" id="docshape396" stroked="false">
                  <v:imagedata r:id="rId224" o:title=""/>
                </v:shape>
                <v:shape style="position:absolute;left:8360;top:-2355;width:400;height:460" type="#_x0000_t75" id="docshape397" stroked="false">
                  <v:imagedata r:id="rId225" o:title=""/>
                </v:shape>
                <v:shape style="position:absolute;left:8740;top:-2355;width:480;height:440" type="#_x0000_t75" id="docshape398" stroked="false">
                  <v:imagedata r:id="rId226" o:title=""/>
                </v:shape>
                <v:shape style="position:absolute;left:9200;top:-2335;width:420;height:420" type="#_x0000_t75" id="docshape399" stroked="false">
                  <v:imagedata r:id="rId227" o:title=""/>
                </v:shape>
                <v:shape style="position:absolute;left:9580;top:-2335;width:180;height:400" type="#_x0000_t75" id="docshape400" stroked="false">
                  <v:imagedata r:id="rId228" o:title=""/>
                </v:shape>
                <v:shape style="position:absolute;left:9740;top:-2375;width:280;height:440" type="#_x0000_t75" id="docshape401" stroked="false">
                  <v:imagedata r:id="rId229" o:title=""/>
                </v:shape>
                <v:shape style="position:absolute;left:10000;top:-2395;width:285;height:440" type="#_x0000_t75" id="docshape402" stroked="false">
                  <v:imagedata r:id="rId230" o:title=""/>
                </v:shape>
                <v:shape style="position:absolute;left:8260;top:-2615;width:140;height:340" type="#_x0000_t75" id="docshape403" stroked="false">
                  <v:imagedata r:id="rId231" o:title=""/>
                </v:shape>
                <v:shape style="position:absolute;left:8360;top:-2695;width:400;height:380" type="#_x0000_t75" id="docshape404" stroked="false">
                  <v:imagedata r:id="rId232" o:title=""/>
                </v:shape>
                <v:shape style="position:absolute;left:8740;top:-2695;width:220;height:360" type="#_x0000_t75" id="docshape405" stroked="false">
                  <v:imagedata r:id="rId233" o:title=""/>
                </v:shape>
                <v:shape style="position:absolute;left:8920;top:-2695;width:540;height:380" type="#_x0000_t75" id="docshape406" stroked="false">
                  <v:imagedata r:id="rId234" o:title=""/>
                </v:shape>
                <v:shape style="position:absolute;left:9440;top:-2555;width:320;height:240" type="#_x0000_t75" id="docshape407" stroked="false">
                  <v:imagedata r:id="rId235" o:title=""/>
                </v:shape>
                <v:shape style="position:absolute;left:9740;top:-2575;width:280;height:260" type="#_x0000_t75" id="docshape408" stroked="false">
                  <v:imagedata r:id="rId236" o:title=""/>
                </v:shape>
                <v:shape style="position:absolute;left:10000;top:-2595;width:140;height:240" type="#_x0000_t75" id="docshape409" stroked="false">
                  <v:imagedata r:id="rId237" o:title=""/>
                </v:shape>
                <v:shape style="position:absolute;left:10120;top:-2595;width:160;height:220" type="#_x0000_t75" id="docshape410" stroked="false">
                  <v:imagedata r:id="rId238" o:title=""/>
                </v:shape>
                <v:shape style="position:absolute;left:8280;top:-2775;width:120;height:220" type="#_x0000_t75" id="docshape411" stroked="false">
                  <v:imagedata r:id="rId239" o:title=""/>
                </v:shape>
                <v:shape style="position:absolute;left:8380;top:-2795;width:140;height:200" type="#_x0000_t75" id="docshape412" stroked="false">
                  <v:imagedata r:id="rId240" o:title=""/>
                </v:shape>
                <v:shape style="position:absolute;left:8500;top:-2855;width:120;height:240" type="#_x0000_t75" id="docshape413" stroked="false">
                  <v:imagedata r:id="rId241" o:title=""/>
                </v:shape>
                <v:shape style="position:absolute;left:8600;top:-2915;width:160;height:260" type="#_x0000_t75" id="docshape414" stroked="false">
                  <v:imagedata r:id="rId242" o:title=""/>
                </v:shape>
                <v:shape style="position:absolute;left:8720;top:-2935;width:260;height:260" type="#_x0000_t75" id="docshape415" stroked="false">
                  <v:imagedata r:id="rId243" o:title=""/>
                </v:shape>
                <v:shape style="position:absolute;left:8920;top:-2835;width:280;height:160" type="#_x0000_t75" id="docshape416" stroked="false">
                  <v:imagedata r:id="rId244" o:title=""/>
                </v:shape>
                <v:shape style="position:absolute;left:8940;top:-2935;width:280;height:140" type="#_x0000_t75" id="docshape417" stroked="false">
                  <v:imagedata r:id="rId245" o:title=""/>
                </v:shape>
                <v:shape style="position:absolute;left:9180;top:-2815;width:160;height:220" type="#_x0000_t75" id="docshape418" stroked="false">
                  <v:imagedata r:id="rId246" o:title=""/>
                </v:shape>
                <v:shape style="position:absolute;left:9180;top:-2915;width:160;height:200" type="#_x0000_t75" id="docshape419" stroked="false">
                  <v:imagedata r:id="rId247" o:title=""/>
                </v:shape>
                <v:shape style="position:absolute;left:9300;top:-2855;width:180;height:320" type="#_x0000_t75" id="docshape420" stroked="false">
                  <v:imagedata r:id="rId248" o:title=""/>
                </v:shape>
                <v:shape style="position:absolute;left:9440;top:-2795;width:320;height:260" type="#_x0000_t75" id="docshape421" stroked="false">
                  <v:imagedata r:id="rId249" o:title=""/>
                </v:shape>
                <v:shape style="position:absolute;left:9740;top:-2695;width:280;height:160" type="#_x0000_t75" id="docshape422" stroked="false">
                  <v:imagedata r:id="rId250" o:title=""/>
                </v:shape>
                <v:shape style="position:absolute;left:9980;top:-2695;width:280;height:140" type="#_x0000_t75" id="docshape423" stroked="false">
                  <v:imagedata r:id="rId251" o:title=""/>
                </v:shape>
                <v:shape style="position:absolute;left:8280;top:-2955;width:140;height:240" type="#_x0000_t75" id="docshape424" stroked="false">
                  <v:imagedata r:id="rId252" o:title=""/>
                </v:shape>
                <v:shape style="position:absolute;left:8380;top:-2975;width:160;height:220" type="#_x0000_t75" id="docshape425" stroked="false">
                  <v:imagedata r:id="rId253" o:title=""/>
                </v:shape>
                <v:shape style="position:absolute;left:8320;top:-3195;width:200;height:320" type="#_x0000_t75" id="docshape426" stroked="false">
                  <v:imagedata r:id="rId254" o:title=""/>
                </v:shape>
                <v:shape style="position:absolute;left:8400;top:-3255;width:200;height:320" type="#_x0000_t75" id="docshape427" stroked="false">
                  <v:imagedata r:id="rId255" o:title=""/>
                </v:shape>
                <v:shape style="position:absolute;left:8500;top:-3295;width:200;height:520" type="#_x0000_t75" id="docshape428" stroked="false">
                  <v:imagedata r:id="rId256" o:title=""/>
                </v:shape>
                <v:shape style="position:absolute;left:8600;top:-3295;width:220;height:460" type="#_x0000_t75" id="docshape429" stroked="false">
                  <v:imagedata r:id="rId257" o:title=""/>
                </v:shape>
                <v:shape style="position:absolute;left:8720;top:-3295;width:260;height:400" type="#_x0000_t75" id="docshape430" stroked="false">
                  <v:imagedata r:id="rId258" o:title=""/>
                </v:shape>
                <v:shape style="position:absolute;left:8960;top:-3295;width:260;height:400" type="#_x0000_t75" id="docshape431" stroked="false">
                  <v:imagedata r:id="rId259" o:title=""/>
                </v:shape>
                <v:shape style="position:absolute;left:9200;top:-3075;width:140;height:240" type="#_x0000_t75" id="docshape432" stroked="false">
                  <v:imagedata r:id="rId260" o:title=""/>
                </v:shape>
                <v:shape style="position:absolute;left:9180;top:-3235;width:140;height:220" type="#_x0000_t75" id="docshape433" stroked="false">
                  <v:imagedata r:id="rId261" o:title=""/>
                </v:shape>
                <v:shape style="position:absolute;left:9300;top:-3035;width:180;height:260" type="#_x0000_t75" id="docshape434" stroked="false">
                  <v:imagedata r:id="rId262" o:title=""/>
                </v:shape>
                <v:shape style="position:absolute;left:9280;top:-3195;width:160;height:240" type="#_x0000_t75" id="docshape435" stroked="false">
                  <v:imagedata r:id="rId263" o:title=""/>
                </v:shape>
                <v:shape style="position:absolute;left:9420;top:-2975;width:180;height:240" type="#_x0000_t75" id="docshape436" stroked="false">
                  <v:imagedata r:id="rId264" o:title=""/>
                </v:shape>
                <v:shape style="position:absolute;left:9380;top:-3155;width:180;height:220" type="#_x0000_t75" id="docshape437" stroked="false">
                  <v:imagedata r:id="rId265" o:title=""/>
                </v:shape>
                <v:shape style="position:absolute;left:9540;top:-2955;width:220;height:280" type="#_x0000_t75" id="docshape438" stroked="false">
                  <v:imagedata r:id="rId266" o:title=""/>
                </v:shape>
                <v:shape style="position:absolute;left:9480;top:-3135;width:220;height:260" type="#_x0000_t75" id="docshape439" stroked="false">
                  <v:imagedata r:id="rId267" o:title=""/>
                </v:shape>
                <v:shape style="position:absolute;left:9620;top:-3075;width:380;height:400" type="#_x0000_t75" id="docshape440" stroked="false">
                  <v:imagedata r:id="rId268" o:title=""/>
                </v:shape>
                <v:shape style="position:absolute;left:9940;top:-2795;width:300;height:140" type="#_x0000_t75" id="docshape441" stroked="false">
                  <v:imagedata r:id="rId269" o:title=""/>
                </v:shape>
                <v:shape style="position:absolute;left:9820;top:-2995;width:260;height:240" type="#_x0000_t75" id="docshape442" stroked="false">
                  <v:imagedata r:id="rId270" o:title=""/>
                </v:shape>
                <v:shape style="position:absolute;left:9920;top:-2955;width:260;height:220" type="#_x0000_t75" id="docshape443" stroked="false">
                  <v:imagedata r:id="rId271" o:title=""/>
                </v:shape>
                <v:shape style="position:absolute;left:8594;top:-1079;width:1389;height:491" id="docshape444" coordorigin="8595,-1078" coordsize="1389,491" path="m8595,-610l8664,-592,8750,-587,8845,-593,8939,-608,9024,-629,9090,-654,9130,-681m9246,-740l9319,-766,9389,-791,9457,-816,9524,-844,9590,-874,9655,-908,9738,-952,9808,-988,9870,-1019,9927,-1048,9983,-1078e" filled="false" stroked="true" strokeweight=".699755pt" strokecolor="#231f20">
                  <v:path arrowok="t"/>
                  <v:stroke dashstyle="solid"/>
                </v:shape>
                <v:shape style="position:absolute;left:9978;top:-1566;width:245;height:387" type="#_x0000_t75" id="docshape445" stroked="false">
                  <v:imagedata r:id="rId272" o:title=""/>
                </v:shape>
                <v:shape style="position:absolute;left:9912;top:-2146;width:368;height:824" id="docshape446" coordorigin="9913,-2146" coordsize="368,824" path="m10280,-2146l10279,-2085,10268,-2016,10248,-1939,10220,-1857,10187,-1774,10149,-1690,10107,-1609,10065,-1532,10023,-1463,9982,-1403,9945,-1356,9913,-1322,9937,-1341,10004,-1414,10038,-1464,10078,-1529,10121,-1603,10164,-1684,10205,-1765,10240,-1845,10266,-1917,10280,-1978,10280,-2146xe" filled="true" fillcolor="#ddc7b5" stroked="false">
                  <v:path arrowok="t"/>
                  <v:fill type="solid"/>
                </v:shape>
                <v:shape style="position:absolute;left:9912;top:-2802;width:368;height:1480" id="docshape447" coordorigin="9913,-2801" coordsize="368,1480" path="m10280,-2146l10279,-2085,10268,-2016,10248,-1939,10220,-1857,10187,-1774,10149,-1690,10108,-1609,10065,-1532,10023,-1463,9982,-1403,9945,-1356,9913,-1322m10128,-2801l10158,-2762,10183,-2714,10200,-2663,10206,-2618,10215,-2575,10235,-2524,10255,-2462,10264,-2387,10265,-2322,10269,-2262,10274,-2204,10280,-2146e" filled="false" stroked="true" strokeweight=".699755pt" strokecolor="#231f20">
                  <v:path arrowok="t"/>
                  <v:stroke dashstyle="solid"/>
                </v:shape>
                <v:shape style="position:absolute;left:8236;top:-2054;width:178;height:752" id="docshape448" coordorigin="8237,-2054" coordsize="178,752" path="m8256,-2054l8248,-1934,8244,-1897,8240,-1868,8237,-1822,8239,-1751,8252,-1645,8289,-1520,8343,-1410,8392,-1332,8414,-1302,8383,-1349,8351,-1420,8321,-1504,8295,-1592,8275,-1672,8264,-1735,8258,-1819,8256,-1909,8256,-1992,8256,-2054xe" filled="true" fillcolor="#ddc7b5" stroked="false">
                  <v:path arrowok="t"/>
                  <v:fill type="solid"/>
                </v:shape>
                <v:shape style="position:absolute;left:8244;top:-2054;width:170;height:752" id="docshape449" coordorigin="8244,-2054" coordsize="170,752" path="m8244,-1897l8248,-1934,8252,-1987,8255,-2034,8256,-2054,8256,-1992,8256,-1909,8258,-1819,8264,-1735,8275,-1672,8295,-1592,8321,-1504,8351,-1420,8383,-1349,8414,-1302e" filled="false" stroked="true" strokeweight=".699755pt" strokecolor="#231f20">
                  <v:path arrowok="t"/>
                  <v:stroke dashstyle="solid"/>
                </v:shape>
                <v:shape style="position:absolute;left:8232;top:-1425;width:362;height:815" id="docshape450" coordorigin="8233,-1424" coordsize="362,815" path="m8233,-1424l8241,-1308,8244,-1247,8250,-1193,8262,-1126,8282,-1045,8311,-953,8351,-850,8420,-736,8501,-662,8567,-622,8595,-610,8521,-662,8462,-733,8419,-807,8390,-866,8369,-905,8327,-979,8286,-1089,8267,-1172,8249,-1282,8233,-1424xe" filled="true" fillcolor="#ddc7b5" stroked="false">
                  <v:path arrowok="t"/>
                  <v:fill type="solid"/>
                </v:shape>
                <v:shape style="position:absolute;left:8232;top:-1425;width:362;height:815" id="docshape451" coordorigin="8233,-1424" coordsize="362,815" path="m8233,-1424l8249,-1282,8267,-1172,8286,-1089,8306,-1027,8348,-941,8369,-905,8390,-866,8419,-807,8462,-733,8521,-662,8595,-610,8567,-622,8501,-662,8420,-736,8351,-850,8311,-953,8282,-1045,8262,-1126,8250,-1193,8241,-1308,8237,-1365,8234,-1408,8233,-1424xe" filled="false" stroked="true" strokeweight=".699755pt" strokecolor="#231f20">
                  <v:path arrowok="t"/>
                  <v:stroke dashstyle="solid"/>
                </v:shape>
                <v:shape style="position:absolute;left:8227;top:-3295;width:2057;height:2730" id="docshape452" coordorigin="8227,-3294" coordsize="2057,2730" path="m10180,-2749l10119,-2807,10061,-2856,10002,-2899,9944,-2935,9882,-2968,9817,-2998,9746,-3026,9669,-3054,9583,-3084,9488,-3116,9394,-3149,9311,-3181,9236,-3210,9165,-3236,9096,-3258,9026,-3276,8951,-3288,8869,-3294,8794,-3293,8723,-3282,8656,-3264,8593,-3236,8536,-3200,8483,-3156,8435,-3103,8392,-3042,8356,-2972,8325,-2894,8307,-2802,8299,-2734,8292,-2654,8285,-2567,8279,-2473,8273,-2377,8268,-2281,8263,-2187,8258,-2099,8253,-2020,8249,-1951,8244,-1897,8241,-1853,8237,-1803,8233,-1745,8230,-1681,8228,-1612,8227,-1540,8229,-1464,8232,-1386,8238,-1306,8247,-1226,8259,-1147,8275,-1069,8295,-993,8320,-921,8350,-853,8385,-790,8425,-734,8472,-684,8525,-642,8585,-609,8697,-574,8816,-564,8878,-568,8943,-577,9009,-590,9078,-608,9150,-630,9224,-655,9301,-684,9380,-715,9463,-749,9548,-784,9637,-822,9729,-861,9823,-902,9908,-946,9986,-991,10054,-1037,10114,-1084,10165,-1132,10206,-1181,10258,-1282,10276,-1418,10281,-1507,10284,-1597,10284,-1685,10284,-1770,10283,-1848,10281,-1916,10280,-1973,10280,-2015,10279,-2122,10276,-2225,10272,-2321,10266,-2411,10257,-2492,10247,-2564,10234,-2627,10201,-2720,10180,-2749xe" filled="false" stroked="true" strokeweight=".933007pt" strokecolor="#231f20">
                  <v:path arrowok="t"/>
                  <v:stroke dashstyle="solid"/>
                </v:shape>
                <v:shape style="position:absolute;left:8270;top:-1312;width:2271;height:1148" id="docshape453" coordorigin="8271,-1312" coordsize="2271,1148" path="m9495,-538l9603,-808m8271,-580l8499,-761m10541,-745l10495,-1312m10135,-1134l9805,-164e" filled="false" stroked="true" strokeweight=".699755pt" strokecolor="#231f20">
                  <v:path arrowok="t"/>
                  <v:stroke dashstyle="solid"/>
                </v:shape>
                <w10:wrap type="none"/>
              </v:group>
            </w:pict>
          </mc:Fallback>
        </mc:AlternateContent>
      </w:r>
      <w:r>
        <w:rPr>
          <w:rFonts w:ascii="Arial MT"/>
          <w:color w:val="231F20"/>
          <w:spacing w:val="-2"/>
          <w:sz w:val="15"/>
        </w:rPr>
        <w:t>occipitomastoid</w:t>
      </w:r>
    </w:p>
    <w:p>
      <w:pPr>
        <w:tabs>
          <w:tab w:pos="7420" w:val="left" w:leader="none"/>
          <w:tab w:pos="9122" w:val="left" w:leader="none"/>
        </w:tabs>
        <w:spacing w:line="208" w:lineRule="exact" w:before="0"/>
        <w:ind w:left="4135" w:right="0" w:firstLine="0"/>
        <w:jc w:val="left"/>
        <w:rPr>
          <w:rFonts w:ascii="Arial MT"/>
          <w:position w:val="1"/>
          <w:sz w:val="15"/>
        </w:rPr>
      </w:pPr>
      <w:r>
        <w:rPr>
          <w:rFonts w:ascii="Arial MT"/>
          <w:color w:val="231F20"/>
          <w:spacing w:val="-10"/>
          <w:position w:val="4"/>
          <w:sz w:val="18"/>
        </w:rPr>
        <w:t>A</w:t>
      </w:r>
      <w:r>
        <w:rPr>
          <w:rFonts w:ascii="Arial MT"/>
          <w:color w:val="231F20"/>
          <w:position w:val="4"/>
          <w:sz w:val="18"/>
        </w:rPr>
        <w:tab/>
      </w:r>
      <w:r>
        <w:rPr>
          <w:rFonts w:ascii="Arial MT"/>
          <w:color w:val="231F20"/>
          <w:spacing w:val="-10"/>
          <w:sz w:val="18"/>
        </w:rPr>
        <w:t>B</w:t>
      </w:r>
      <w:r>
        <w:rPr>
          <w:rFonts w:ascii="Arial MT"/>
          <w:color w:val="231F20"/>
          <w:sz w:val="18"/>
        </w:rPr>
        <w:tab/>
      </w:r>
      <w:r>
        <w:rPr>
          <w:rFonts w:ascii="Arial MT"/>
          <w:color w:val="231F20"/>
          <w:spacing w:val="-2"/>
          <w:position w:val="1"/>
          <w:sz w:val="15"/>
        </w:rPr>
        <w:t>bossing</w:t>
      </w:r>
    </w:p>
    <w:p>
      <w:pPr>
        <w:pStyle w:val="BodyText"/>
        <w:rPr>
          <w:rFonts w:ascii="Arial MT"/>
          <w:sz w:val="20"/>
        </w:rPr>
      </w:pPr>
    </w:p>
    <w:p>
      <w:pPr>
        <w:pStyle w:val="BodyText"/>
        <w:spacing w:before="51"/>
        <w:rPr>
          <w:rFonts w:ascii="Arial MT"/>
          <w:sz w:val="20"/>
        </w:rPr>
      </w:pPr>
    </w:p>
    <w:p>
      <w:pPr>
        <w:pStyle w:val="Heading3"/>
        <w:spacing w:line="230" w:lineRule="auto"/>
        <w:ind w:left="4475" w:right="33"/>
        <w:jc w:val="both"/>
      </w:pPr>
      <w:r>
        <w:rPr>
          <w:b/>
          <w:color w:val="4A0C62"/>
        </w:rPr>
        <w:t>Figure</w:t>
      </w:r>
      <w:r>
        <w:rPr>
          <w:b/>
          <w:color w:val="4A0C62"/>
          <w:spacing w:val="40"/>
        </w:rPr>
        <w:t> </w:t>
      </w:r>
      <w:r>
        <w:rPr>
          <w:b/>
          <w:color w:val="4A0C62"/>
        </w:rPr>
        <w:t>592-1 </w:t>
      </w:r>
      <w:r>
        <w:rPr>
          <w:color w:val="231F20"/>
        </w:rPr>
        <w:t>Differentiating physical find-ings</w:t>
      </w:r>
      <w:r>
        <w:rPr>
          <w:color w:val="231F20"/>
          <w:spacing w:val="40"/>
        </w:rPr>
        <w:t> </w:t>
      </w:r>
      <w:r>
        <w:rPr>
          <w:color w:val="231F20"/>
        </w:rPr>
        <w:t>between</w:t>
      </w:r>
      <w:r>
        <w:rPr>
          <w:color w:val="231F20"/>
          <w:spacing w:val="40"/>
        </w:rPr>
        <w:t> </w:t>
      </w:r>
      <w:r>
        <w:rPr>
          <w:color w:val="231F20"/>
        </w:rPr>
        <w:t>deformational</w:t>
      </w:r>
      <w:r>
        <w:rPr>
          <w:color w:val="231F20"/>
          <w:spacing w:val="40"/>
        </w:rPr>
        <w:t> </w:t>
      </w:r>
      <w:r>
        <w:rPr>
          <w:color w:val="231F20"/>
        </w:rPr>
        <w:t>plagiocephaly and craniosynostosis. Vertex views. </w:t>
      </w:r>
      <w:r>
        <w:rPr>
          <w:b/>
          <w:color w:val="231F20"/>
        </w:rPr>
        <w:t>A, </w:t>
      </w:r>
      <w:r>
        <w:rPr>
          <w:color w:val="231F20"/>
        </w:rPr>
        <w:t>Right-sided</w:t>
      </w:r>
      <w:r>
        <w:rPr>
          <w:color w:val="231F20"/>
          <w:spacing w:val="80"/>
        </w:rPr>
        <w:t> </w:t>
      </w:r>
      <w:r>
        <w:rPr>
          <w:color w:val="231F20"/>
        </w:rPr>
        <w:t>deformational</w:t>
      </w:r>
      <w:r>
        <w:rPr>
          <w:color w:val="231F20"/>
          <w:spacing w:val="80"/>
        </w:rPr>
        <w:t> </w:t>
      </w:r>
      <w:r>
        <w:rPr>
          <w:color w:val="231F20"/>
        </w:rPr>
        <w:t>plagiocephaly</w:t>
      </w:r>
      <w:r>
        <w:rPr>
          <w:color w:val="231F20"/>
          <w:spacing w:val="80"/>
        </w:rPr>
        <w:t> </w:t>
      </w:r>
      <w:r>
        <w:rPr>
          <w:color w:val="231F20"/>
        </w:rPr>
        <w:t>exhibit-ing</w:t>
      </w:r>
      <w:r>
        <w:rPr>
          <w:color w:val="231F20"/>
          <w:spacing w:val="80"/>
        </w:rPr>
        <w:t> </w:t>
      </w:r>
      <w:r>
        <w:rPr>
          <w:color w:val="231F20"/>
        </w:rPr>
        <w:t>a</w:t>
      </w:r>
      <w:r>
        <w:rPr>
          <w:color w:val="231F20"/>
          <w:spacing w:val="40"/>
        </w:rPr>
        <w:t> </w:t>
      </w:r>
      <w:r>
        <w:rPr>
          <w:color w:val="231F20"/>
        </w:rPr>
        <w:t>parallelogram head shape. </w:t>
      </w:r>
      <w:r>
        <w:rPr>
          <w:b/>
          <w:color w:val="231F20"/>
        </w:rPr>
        <w:t>B, </w:t>
      </w:r>
      <w:r>
        <w:rPr>
          <w:color w:val="231F20"/>
        </w:rPr>
        <w:t>Right-sided lambdoid craniosynostosis exhibiting</w:t>
      </w:r>
      <w:r>
        <w:rPr>
          <w:color w:val="231F20"/>
          <w:spacing w:val="40"/>
        </w:rPr>
        <w:t> </w:t>
      </w:r>
      <w:r>
        <w:rPr>
          <w:color w:val="231F20"/>
        </w:rPr>
        <w:t>a</w:t>
      </w:r>
      <w:r>
        <w:rPr>
          <w:color w:val="231F20"/>
          <w:spacing w:val="40"/>
        </w:rPr>
        <w:t> </w:t>
      </w:r>
      <w:r>
        <w:rPr>
          <w:color w:val="231F20"/>
        </w:rPr>
        <w:t>trapezoid-like</w:t>
      </w:r>
      <w:r>
        <w:rPr>
          <w:color w:val="231F20"/>
          <w:spacing w:val="40"/>
        </w:rPr>
        <w:t> </w:t>
      </w:r>
      <w:r>
        <w:rPr>
          <w:color w:val="231F20"/>
        </w:rPr>
        <w:t>head</w:t>
      </w:r>
      <w:r>
        <w:rPr>
          <w:color w:val="231F20"/>
          <w:spacing w:val="40"/>
        </w:rPr>
        <w:t> </w:t>
      </w:r>
      <w:r>
        <w:rPr>
          <w:color w:val="231F20"/>
        </w:rPr>
        <w:t>shape.</w:t>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86"/>
        <w:rPr>
          <w:sz w:val="15"/>
        </w:rPr>
      </w:pPr>
    </w:p>
    <w:p>
      <w:pPr>
        <w:spacing w:before="0"/>
        <w:ind w:left="1017" w:right="1700" w:firstLine="0"/>
        <w:jc w:val="center"/>
        <w:rPr>
          <w:rFonts w:ascii="Arial MT"/>
          <w:sz w:val="15"/>
        </w:rPr>
      </w:pPr>
      <w:r>
        <w:rPr>
          <w:rFonts w:ascii="Arial MT"/>
          <w:sz w:val="15"/>
        </w:rPr>
        <mc:AlternateContent>
          <mc:Choice Requires="wps">
            <w:drawing>
              <wp:anchor distT="0" distB="0" distL="0" distR="0" allowOverlap="1" layoutInCell="1" locked="0" behindDoc="0" simplePos="0" relativeHeight="15747072">
                <wp:simplePos x="0" y="0"/>
                <wp:positionH relativeFrom="page">
                  <wp:posOffset>3548416</wp:posOffset>
                </wp:positionH>
                <wp:positionV relativeFrom="paragraph">
                  <wp:posOffset>-421359</wp:posOffset>
                </wp:positionV>
                <wp:extent cx="3451860" cy="907415"/>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3451860" cy="907415"/>
                          <a:chExt cx="3451860" cy="907415"/>
                        </a:xfrm>
                      </wpg:grpSpPr>
                      <pic:pic>
                        <pic:nvPicPr>
                          <pic:cNvPr id="505" name="Image 505"/>
                          <pic:cNvPicPr/>
                        </pic:nvPicPr>
                        <pic:blipFill>
                          <a:blip r:embed="rId273" cstate="print"/>
                          <a:stretch>
                            <a:fillRect/>
                          </a:stretch>
                        </pic:blipFill>
                        <pic:spPr>
                          <a:xfrm>
                            <a:off x="0" y="0"/>
                            <a:ext cx="3451821" cy="907055"/>
                          </a:xfrm>
                          <a:prstGeom prst="rect">
                            <a:avLst/>
                          </a:prstGeom>
                        </pic:spPr>
                      </pic:pic>
                      <pic:pic>
                        <pic:nvPicPr>
                          <pic:cNvPr id="506" name="Image 506"/>
                          <pic:cNvPicPr/>
                        </pic:nvPicPr>
                        <pic:blipFill>
                          <a:blip r:embed="rId274" cstate="print"/>
                          <a:stretch>
                            <a:fillRect/>
                          </a:stretch>
                        </pic:blipFill>
                        <pic:spPr>
                          <a:xfrm>
                            <a:off x="22941" y="44538"/>
                            <a:ext cx="799529" cy="832713"/>
                          </a:xfrm>
                          <a:prstGeom prst="rect">
                            <a:avLst/>
                          </a:prstGeom>
                        </pic:spPr>
                      </pic:pic>
                      <pic:pic>
                        <pic:nvPicPr>
                          <pic:cNvPr id="507" name="Image 507"/>
                          <pic:cNvPicPr/>
                        </pic:nvPicPr>
                        <pic:blipFill>
                          <a:blip r:embed="rId275" cstate="print"/>
                          <a:stretch>
                            <a:fillRect/>
                          </a:stretch>
                        </pic:blipFill>
                        <pic:spPr>
                          <a:xfrm>
                            <a:off x="1391386" y="44538"/>
                            <a:ext cx="799522" cy="832713"/>
                          </a:xfrm>
                          <a:prstGeom prst="rect">
                            <a:avLst/>
                          </a:prstGeom>
                        </pic:spPr>
                      </pic:pic>
                      <pic:pic>
                        <pic:nvPicPr>
                          <pic:cNvPr id="508" name="Image 508"/>
                          <pic:cNvPicPr/>
                        </pic:nvPicPr>
                        <pic:blipFill>
                          <a:blip r:embed="rId276" cstate="print"/>
                          <a:stretch>
                            <a:fillRect/>
                          </a:stretch>
                        </pic:blipFill>
                        <pic:spPr>
                          <a:xfrm>
                            <a:off x="2675297" y="47980"/>
                            <a:ext cx="703702" cy="827125"/>
                          </a:xfrm>
                          <a:prstGeom prst="rect">
                            <a:avLst/>
                          </a:prstGeom>
                        </pic:spPr>
                      </pic:pic>
                      <wps:wsp>
                        <wps:cNvPr id="509" name="Graphic 509"/>
                        <wps:cNvSpPr/>
                        <wps:spPr>
                          <a:xfrm>
                            <a:off x="134161" y="458357"/>
                            <a:ext cx="579755" cy="1270"/>
                          </a:xfrm>
                          <a:custGeom>
                            <a:avLst/>
                            <a:gdLst/>
                            <a:ahLst/>
                            <a:cxnLst/>
                            <a:rect l="l" t="t" r="r" b="b"/>
                            <a:pathLst>
                              <a:path w="579755" h="1270">
                                <a:moveTo>
                                  <a:pt x="579749" y="663"/>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510" name="Graphic 510"/>
                        <wps:cNvSpPr/>
                        <wps:spPr>
                          <a:xfrm>
                            <a:off x="67235" y="419890"/>
                            <a:ext cx="710565" cy="77470"/>
                          </a:xfrm>
                          <a:custGeom>
                            <a:avLst/>
                            <a:gdLst/>
                            <a:ahLst/>
                            <a:cxnLst/>
                            <a:rect l="l" t="t" r="r" b="b"/>
                            <a:pathLst>
                              <a:path w="710565" h="77470">
                                <a:moveTo>
                                  <a:pt x="94399" y="12"/>
                                </a:moveTo>
                                <a:lnTo>
                                  <a:pt x="0" y="38315"/>
                                </a:lnTo>
                                <a:lnTo>
                                  <a:pt x="94234" y="77063"/>
                                </a:lnTo>
                                <a:lnTo>
                                  <a:pt x="71932" y="38481"/>
                                </a:lnTo>
                                <a:lnTo>
                                  <a:pt x="94399" y="12"/>
                                </a:lnTo>
                                <a:close/>
                              </a:path>
                              <a:path w="710565" h="77470">
                                <a:moveTo>
                                  <a:pt x="710565" y="38747"/>
                                </a:moveTo>
                                <a:lnTo>
                                  <a:pt x="616331" y="0"/>
                                </a:lnTo>
                                <a:lnTo>
                                  <a:pt x="638632" y="38582"/>
                                </a:lnTo>
                                <a:lnTo>
                                  <a:pt x="616165" y="77050"/>
                                </a:lnTo>
                                <a:lnTo>
                                  <a:pt x="710565" y="38747"/>
                                </a:lnTo>
                                <a:close/>
                              </a:path>
                            </a:pathLst>
                          </a:custGeom>
                          <a:solidFill>
                            <a:srgbClr val="231F20"/>
                          </a:solidFill>
                        </wps:spPr>
                        <wps:bodyPr wrap="square" lIns="0" tIns="0" rIns="0" bIns="0" rtlCol="0">
                          <a:prstTxWarp prst="textNoShape">
                            <a:avLst/>
                          </a:prstTxWarp>
                          <a:noAutofit/>
                        </wps:bodyPr>
                      </wps:wsp>
                      <wps:wsp>
                        <wps:cNvPr id="511" name="Graphic 511"/>
                        <wps:cNvSpPr/>
                        <wps:spPr>
                          <a:xfrm>
                            <a:off x="1790515" y="119703"/>
                            <a:ext cx="1270" cy="677545"/>
                          </a:xfrm>
                          <a:custGeom>
                            <a:avLst/>
                            <a:gdLst/>
                            <a:ahLst/>
                            <a:cxnLst/>
                            <a:rect l="l" t="t" r="r" b="b"/>
                            <a:pathLst>
                              <a:path w="1270" h="677545">
                                <a:moveTo>
                                  <a:pt x="0" y="677506"/>
                                </a:moveTo>
                                <a:lnTo>
                                  <a:pt x="663" y="0"/>
                                </a:lnTo>
                              </a:path>
                            </a:pathLst>
                          </a:custGeom>
                          <a:ln w="11849">
                            <a:solidFill>
                              <a:srgbClr val="231F20"/>
                            </a:solidFill>
                            <a:prstDash val="solid"/>
                          </a:ln>
                        </wps:spPr>
                        <wps:bodyPr wrap="square" lIns="0" tIns="0" rIns="0" bIns="0" rtlCol="0">
                          <a:prstTxWarp prst="textNoShape">
                            <a:avLst/>
                          </a:prstTxWarp>
                          <a:noAutofit/>
                        </wps:bodyPr>
                      </wps:wsp>
                      <wps:wsp>
                        <wps:cNvPr id="512" name="Graphic 512"/>
                        <wps:cNvSpPr/>
                        <wps:spPr>
                          <a:xfrm>
                            <a:off x="1752576" y="52784"/>
                            <a:ext cx="77470" cy="808355"/>
                          </a:xfrm>
                          <a:custGeom>
                            <a:avLst/>
                            <a:gdLst/>
                            <a:ahLst/>
                            <a:cxnLst/>
                            <a:rect l="l" t="t" r="r" b="b"/>
                            <a:pathLst>
                              <a:path w="77470" h="808355">
                                <a:moveTo>
                                  <a:pt x="77050" y="94399"/>
                                </a:moveTo>
                                <a:lnTo>
                                  <a:pt x="38735" y="0"/>
                                </a:lnTo>
                                <a:lnTo>
                                  <a:pt x="0" y="94221"/>
                                </a:lnTo>
                                <a:lnTo>
                                  <a:pt x="38582" y="71932"/>
                                </a:lnTo>
                                <a:lnTo>
                                  <a:pt x="77050" y="94399"/>
                                </a:lnTo>
                                <a:close/>
                              </a:path>
                              <a:path w="77470" h="808355">
                                <a:moveTo>
                                  <a:pt x="77063" y="714082"/>
                                </a:moveTo>
                                <a:lnTo>
                                  <a:pt x="38481" y="736371"/>
                                </a:lnTo>
                                <a:lnTo>
                                  <a:pt x="12" y="713917"/>
                                </a:lnTo>
                                <a:lnTo>
                                  <a:pt x="38315" y="808304"/>
                                </a:lnTo>
                                <a:lnTo>
                                  <a:pt x="77063" y="714082"/>
                                </a:lnTo>
                                <a:close/>
                              </a:path>
                            </a:pathLst>
                          </a:custGeom>
                          <a:solidFill>
                            <a:srgbClr val="231F20"/>
                          </a:solidFill>
                        </wps:spPr>
                        <wps:bodyPr wrap="square" lIns="0" tIns="0" rIns="0" bIns="0" rtlCol="0">
                          <a:prstTxWarp prst="textNoShape">
                            <a:avLst/>
                          </a:prstTxWarp>
                          <a:noAutofit/>
                        </wps:bodyPr>
                      </wps:wsp>
                      <wps:wsp>
                        <wps:cNvPr id="513" name="Graphic 513"/>
                        <wps:cNvSpPr/>
                        <wps:spPr>
                          <a:xfrm>
                            <a:off x="2859596" y="120935"/>
                            <a:ext cx="326390" cy="641985"/>
                          </a:xfrm>
                          <a:custGeom>
                            <a:avLst/>
                            <a:gdLst/>
                            <a:ahLst/>
                            <a:cxnLst/>
                            <a:rect l="l" t="t" r="r" b="b"/>
                            <a:pathLst>
                              <a:path w="326390" h="641985">
                                <a:moveTo>
                                  <a:pt x="0" y="641934"/>
                                </a:moveTo>
                                <a:lnTo>
                                  <a:pt x="325831" y="0"/>
                                </a:lnTo>
                              </a:path>
                            </a:pathLst>
                          </a:custGeom>
                          <a:ln w="11849">
                            <a:solidFill>
                              <a:srgbClr val="231F20"/>
                            </a:solidFill>
                            <a:prstDash val="solid"/>
                          </a:ln>
                        </wps:spPr>
                        <wps:bodyPr wrap="square" lIns="0" tIns="0" rIns="0" bIns="0" rtlCol="0">
                          <a:prstTxWarp prst="textNoShape">
                            <a:avLst/>
                          </a:prstTxWarp>
                          <a:noAutofit/>
                        </wps:bodyPr>
                      </wps:wsp>
                      <wps:wsp>
                        <wps:cNvPr id="514" name="Graphic 514"/>
                        <wps:cNvSpPr/>
                        <wps:spPr>
                          <a:xfrm>
                            <a:off x="2830945" y="61369"/>
                            <a:ext cx="385445" cy="758825"/>
                          </a:xfrm>
                          <a:custGeom>
                            <a:avLst/>
                            <a:gdLst/>
                            <a:ahLst/>
                            <a:cxnLst/>
                            <a:rect l="l" t="t" r="r" b="b"/>
                            <a:pathLst>
                              <a:path w="385445" h="758825">
                                <a:moveTo>
                                  <a:pt x="77279" y="692200"/>
                                </a:moveTo>
                                <a:lnTo>
                                  <a:pt x="32778" y="694575"/>
                                </a:lnTo>
                                <a:lnTo>
                                  <a:pt x="8699" y="657098"/>
                                </a:lnTo>
                                <a:lnTo>
                                  <a:pt x="0" y="758596"/>
                                </a:lnTo>
                                <a:lnTo>
                                  <a:pt x="77279" y="692200"/>
                                </a:lnTo>
                                <a:close/>
                              </a:path>
                              <a:path w="385445" h="758825">
                                <a:moveTo>
                                  <a:pt x="384949" y="0"/>
                                </a:moveTo>
                                <a:lnTo>
                                  <a:pt x="307670" y="66395"/>
                                </a:lnTo>
                                <a:lnTo>
                                  <a:pt x="352171" y="64020"/>
                                </a:lnTo>
                                <a:lnTo>
                                  <a:pt x="376262" y="101498"/>
                                </a:lnTo>
                                <a:lnTo>
                                  <a:pt x="384949" y="0"/>
                                </a:lnTo>
                                <a:close/>
                              </a:path>
                            </a:pathLst>
                          </a:custGeom>
                          <a:solidFill>
                            <a:srgbClr val="231F20"/>
                          </a:solidFill>
                        </wps:spPr>
                        <wps:bodyPr wrap="square" lIns="0" tIns="0" rIns="0" bIns="0" rtlCol="0">
                          <a:prstTxWarp prst="textNoShape">
                            <a:avLst/>
                          </a:prstTxWarp>
                          <a:noAutofit/>
                        </wps:bodyPr>
                      </wps:wsp>
                      <wps:wsp>
                        <wps:cNvPr id="515" name="Graphic 515"/>
                        <wps:cNvSpPr/>
                        <wps:spPr>
                          <a:xfrm>
                            <a:off x="2865471" y="196866"/>
                            <a:ext cx="296545" cy="517525"/>
                          </a:xfrm>
                          <a:custGeom>
                            <a:avLst/>
                            <a:gdLst/>
                            <a:ahLst/>
                            <a:cxnLst/>
                            <a:rect l="l" t="t" r="r" b="b"/>
                            <a:pathLst>
                              <a:path w="296545" h="517525">
                                <a:moveTo>
                                  <a:pt x="296279" y="517161"/>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516" name="Graphic 516"/>
                        <wps:cNvSpPr/>
                        <wps:spPr>
                          <a:xfrm>
                            <a:off x="2831771" y="139043"/>
                            <a:ext cx="362585" cy="629920"/>
                          </a:xfrm>
                          <a:custGeom>
                            <a:avLst/>
                            <a:gdLst/>
                            <a:ahLst/>
                            <a:cxnLst/>
                            <a:rect l="l" t="t" r="r" b="b"/>
                            <a:pathLst>
                              <a:path w="362585" h="629920">
                                <a:moveTo>
                                  <a:pt x="80746" y="62103"/>
                                </a:moveTo>
                                <a:lnTo>
                                  <a:pt x="0" y="0"/>
                                </a:lnTo>
                                <a:lnTo>
                                  <a:pt x="14147" y="100888"/>
                                </a:lnTo>
                                <a:lnTo>
                                  <a:pt x="36195" y="62141"/>
                                </a:lnTo>
                                <a:lnTo>
                                  <a:pt x="80746" y="62103"/>
                                </a:lnTo>
                                <a:close/>
                              </a:path>
                              <a:path w="362585" h="629920">
                                <a:moveTo>
                                  <a:pt x="362559" y="629920"/>
                                </a:moveTo>
                                <a:lnTo>
                                  <a:pt x="348399" y="529018"/>
                                </a:lnTo>
                                <a:lnTo>
                                  <a:pt x="326364" y="567740"/>
                                </a:lnTo>
                                <a:lnTo>
                                  <a:pt x="281813" y="567791"/>
                                </a:lnTo>
                                <a:lnTo>
                                  <a:pt x="362559" y="629920"/>
                                </a:lnTo>
                                <a:close/>
                              </a:path>
                            </a:pathLst>
                          </a:custGeom>
                          <a:solidFill>
                            <a:srgbClr val="231F20"/>
                          </a:solidFill>
                        </wps:spPr>
                        <wps:bodyPr wrap="square" lIns="0" tIns="0" rIns="0" bIns="0" rtlCol="0">
                          <a:prstTxWarp prst="textNoShape">
                            <a:avLst/>
                          </a:prstTxWarp>
                          <a:noAutofit/>
                        </wps:bodyPr>
                      </wps:wsp>
                      <wps:wsp>
                        <wps:cNvPr id="517" name="Textbox 517"/>
                        <wps:cNvSpPr txBox="1"/>
                        <wps:spPr>
                          <a:xfrm>
                            <a:off x="842619" y="437710"/>
                            <a:ext cx="8128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10"/>
                                  <w:sz w:val="15"/>
                                </w:rPr>
                                <w:t>R</w:t>
                              </w:r>
                            </w:p>
                          </w:txbxContent>
                        </wps:txbx>
                        <wps:bodyPr wrap="square" lIns="0" tIns="0" rIns="0" bIns="0" rtlCol="0">
                          <a:noAutofit/>
                        </wps:bodyPr>
                      </wps:wsp>
                    </wpg:wgp>
                  </a:graphicData>
                </a:graphic>
              </wp:anchor>
            </w:drawing>
          </mc:Choice>
          <mc:Fallback>
            <w:pict>
              <v:group style="position:absolute;margin-left:279.402893pt;margin-top:-33.177887pt;width:271.8pt;height:71.45pt;mso-position-horizontal-relative:page;mso-position-vertical-relative:paragraph;z-index:15747072" id="docshapegroup454" coordorigin="5588,-664" coordsize="5436,1429">
                <v:shape style="position:absolute;left:5588;top:-664;width:5436;height:1429" type="#_x0000_t75" id="docshape455" stroked="false">
                  <v:imagedata r:id="rId273" o:title=""/>
                </v:shape>
                <v:shape style="position:absolute;left:5624;top:-594;width:1260;height:1312" type="#_x0000_t75" id="docshape456" stroked="false">
                  <v:imagedata r:id="rId274" o:title=""/>
                </v:shape>
                <v:shape style="position:absolute;left:7779;top:-594;width:1260;height:1312" type="#_x0000_t75" id="docshape457" stroked="false">
                  <v:imagedata r:id="rId275" o:title=""/>
                </v:shape>
                <v:shape style="position:absolute;left:9801;top:-588;width:1109;height:1303" type="#_x0000_t75" id="docshape458" stroked="false">
                  <v:imagedata r:id="rId276" o:title=""/>
                </v:shape>
                <v:line style="position:absolute" from="6712,59" to="5799,58" stroked="true" strokeweight=".933014pt" strokecolor="#231f20">
                  <v:stroke dashstyle="solid"/>
                </v:line>
                <v:shape style="position:absolute;left:5693;top:-3;width:1119;height:122" id="docshape459" coordorigin="5694,-2" coordsize="1119,122" path="m5843,-2l5694,58,5842,119,5807,58,5843,-2xm6813,59l6665,-2,6700,58,6664,119,6813,59xe" filled="true" fillcolor="#231f20" stroked="false">
                  <v:path arrowok="t"/>
                  <v:fill type="solid"/>
                </v:shape>
                <v:line style="position:absolute" from="8408,592" to="8409,-475" stroked="true" strokeweight=".933014pt" strokecolor="#231f20">
                  <v:stroke dashstyle="solid"/>
                </v:line>
                <v:shape style="position:absolute;left:8348;top:-581;width:122;height:1273" id="docshape460" coordorigin="8348,-580" coordsize="122,1273" path="m8469,-432l8409,-580,8348,-432,8409,-467,8469,-432xm8469,544l8409,579,8348,544,8408,692,8469,544xe" filled="true" fillcolor="#231f20" stroked="false">
                  <v:path arrowok="t"/>
                  <v:fill type="solid"/>
                </v:shape>
                <v:line style="position:absolute" from="10091,538" to="10604,-473" stroked="true" strokeweight=".933014pt" strokecolor="#231f20">
                  <v:stroke dashstyle="solid"/>
                </v:line>
                <v:shape style="position:absolute;left:10046;top:-567;width:607;height:1195" id="docshape461" coordorigin="10046,-567" coordsize="607,1195" path="m10168,523l10098,527,10060,468,10046,628,10168,523xm10652,-567l10531,-462,10601,-466,10639,-407,10652,-567xe" filled="true" fillcolor="#231f20" stroked="false">
                  <v:path arrowok="t"/>
                  <v:fill type="solid"/>
                </v:shape>
                <v:line style="position:absolute" from="10567,461" to="10101,-354" stroked="true" strokeweight=".933014pt" strokecolor="#231f20">
                  <v:stroke dashstyle="solid"/>
                </v:line>
                <v:shape style="position:absolute;left:10047;top:-445;width:571;height:992" id="docshape462" coordorigin="10048,-445" coordsize="571,992" path="m10175,-347l10048,-445,10070,-286,10105,-347,10175,-347xm10619,547l10596,389,10562,449,10491,450,10619,547xe" filled="true" fillcolor="#231f20" stroked="false">
                  <v:path arrowok="t"/>
                  <v:fill type="solid"/>
                </v:shape>
                <v:shape style="position:absolute;left:6915;top:25;width:128;height:150" type="#_x0000_t202" id="docshape463" filled="false" stroked="false">
                  <v:textbox inset="0,0,0,0">
                    <w:txbxContent>
                      <w:p>
                        <w:pPr>
                          <w:spacing w:line="147" w:lineRule="exact" w:before="0"/>
                          <w:ind w:left="0" w:right="0" w:firstLine="0"/>
                          <w:jc w:val="left"/>
                          <w:rPr>
                            <w:rFonts w:ascii="Arial MT"/>
                            <w:sz w:val="15"/>
                          </w:rPr>
                        </w:pPr>
                        <w:r>
                          <w:rPr>
                            <w:rFonts w:ascii="Arial MT"/>
                            <w:color w:val="231F20"/>
                            <w:spacing w:val="-10"/>
                            <w:sz w:val="15"/>
                          </w:rPr>
                          <w:t>R</w:t>
                        </w:r>
                      </w:p>
                    </w:txbxContent>
                  </v:textbox>
                  <w10:wrap type="none"/>
                </v:shape>
                <w10:wrap type="none"/>
              </v:group>
            </w:pict>
          </mc:Fallback>
        </mc:AlternateContent>
      </w:r>
      <w:r>
        <w:rPr>
          <w:rFonts w:ascii="Arial MT"/>
          <w:color w:val="231F20"/>
          <w:spacing w:val="-10"/>
          <w:sz w:val="15"/>
        </w:rPr>
        <w:t>L</w:t>
      </w:r>
    </w:p>
    <w:p>
      <w:pPr>
        <w:pStyle w:val="BodyText"/>
        <w:rPr>
          <w:rFonts w:ascii="Arial MT"/>
          <w:sz w:val="20"/>
        </w:rPr>
      </w:pPr>
    </w:p>
    <w:p>
      <w:pPr>
        <w:pStyle w:val="BodyText"/>
        <w:spacing w:before="201"/>
        <w:rPr>
          <w:rFonts w:ascii="Arial MT"/>
          <w:sz w:val="20"/>
        </w:rPr>
      </w:pPr>
    </w:p>
    <w:p>
      <w:pPr>
        <w:pStyle w:val="BodyText"/>
        <w:spacing w:after="0"/>
        <w:rPr>
          <w:rFonts w:ascii="Arial MT"/>
          <w:sz w:val="20"/>
        </w:rPr>
        <w:sectPr>
          <w:type w:val="continuous"/>
          <w:pgSz w:w="11900" w:h="16840"/>
          <w:pgMar w:header="0" w:footer="0" w:top="620" w:bottom="280" w:left="425" w:right="566"/>
        </w:sectPr>
      </w:pPr>
    </w:p>
    <w:p>
      <w:pPr>
        <w:spacing w:before="74"/>
        <w:ind w:left="0" w:right="0" w:firstLine="0"/>
        <w:jc w:val="right"/>
        <w:rPr>
          <w:rFonts w:ascii="Arial MT"/>
          <w:sz w:val="15"/>
        </w:rPr>
      </w:pPr>
      <w:r>
        <w:rPr>
          <w:rFonts w:ascii="Arial MT"/>
          <w:sz w:val="15"/>
        </w:rPr>
        <mc:AlternateContent>
          <mc:Choice Requires="wps">
            <w:drawing>
              <wp:anchor distT="0" distB="0" distL="0" distR="0" allowOverlap="1" layoutInCell="1" locked="0" behindDoc="0" simplePos="0" relativeHeight="15747584">
                <wp:simplePos x="0" y="0"/>
                <wp:positionH relativeFrom="page">
                  <wp:posOffset>259096</wp:posOffset>
                </wp:positionH>
                <wp:positionV relativeFrom="paragraph">
                  <wp:posOffset>-284617</wp:posOffset>
                </wp:positionV>
                <wp:extent cx="3062605" cy="3519804"/>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3062605" cy="351980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02"/>
                            </w:tblGrid>
                            <w:tr>
                              <w:trPr>
                                <w:trHeight w:val="373" w:hRule="atLeast"/>
                              </w:trPr>
                              <w:tc>
                                <w:tcPr>
                                  <w:tcW w:w="4702" w:type="dxa"/>
                                  <w:shd w:val="clear" w:color="auto" w:fill="231F20"/>
                                </w:tcPr>
                                <w:p>
                                  <w:pPr>
                                    <w:pStyle w:val="TableParagraph"/>
                                    <w:spacing w:before="89"/>
                                    <w:ind w:left="111"/>
                                    <w:rPr>
                                      <w:sz w:val="16"/>
                                    </w:rPr>
                                  </w:pPr>
                                  <w:r>
                                    <w:rPr>
                                      <w:b/>
                                      <w:color w:val="FFFFFF"/>
                                      <w:w w:val="105"/>
                                      <w:sz w:val="16"/>
                                    </w:rPr>
                                    <w:t>Table</w:t>
                                  </w:r>
                                  <w:r>
                                    <w:rPr>
                                      <w:b/>
                                      <w:color w:val="FFFFFF"/>
                                      <w:spacing w:val="10"/>
                                      <w:w w:val="105"/>
                                      <w:sz w:val="16"/>
                                    </w:rPr>
                                    <w:t> </w:t>
                                  </w:r>
                                  <w:r>
                                    <w:rPr>
                                      <w:b/>
                                      <w:color w:val="FFFFFF"/>
                                      <w:w w:val="105"/>
                                      <w:sz w:val="16"/>
                                    </w:rPr>
                                    <w:t>591-4</w:t>
                                  </w:r>
                                  <w:r>
                                    <w:rPr>
                                      <w:b/>
                                      <w:color w:val="FFFFFF"/>
                                      <w:spacing w:val="40"/>
                                      <w:w w:val="105"/>
                                      <w:sz w:val="16"/>
                                    </w:rPr>
                                    <w:t>  </w:t>
                                  </w:r>
                                  <w:r>
                                    <w:rPr>
                                      <w:color w:val="FFFFFF"/>
                                      <w:w w:val="105"/>
                                      <w:sz w:val="16"/>
                                    </w:rPr>
                                    <w:t>Causes</w:t>
                                  </w:r>
                                  <w:r>
                                    <w:rPr>
                                      <w:color w:val="FFFFFF"/>
                                      <w:spacing w:val="7"/>
                                      <w:w w:val="105"/>
                                      <w:sz w:val="16"/>
                                    </w:rPr>
                                    <w:t> </w:t>
                                  </w:r>
                                  <w:r>
                                    <w:rPr>
                                      <w:color w:val="FFFFFF"/>
                                      <w:w w:val="105"/>
                                      <w:sz w:val="16"/>
                                    </w:rPr>
                                    <w:t>of</w:t>
                                  </w:r>
                                  <w:r>
                                    <w:rPr>
                                      <w:color w:val="FFFFFF"/>
                                      <w:spacing w:val="7"/>
                                      <w:w w:val="105"/>
                                      <w:sz w:val="16"/>
                                    </w:rPr>
                                    <w:t> </w:t>
                                  </w:r>
                                  <w:r>
                                    <w:rPr>
                                      <w:color w:val="FFFFFF"/>
                                      <w:spacing w:val="-2"/>
                                      <w:w w:val="105"/>
                                      <w:sz w:val="16"/>
                                    </w:rPr>
                                    <w:t>Hydrocephalus</w:t>
                                  </w:r>
                                </w:p>
                              </w:tc>
                            </w:tr>
                            <w:tr>
                              <w:trPr>
                                <w:trHeight w:val="1435" w:hRule="atLeast"/>
                              </w:trPr>
                              <w:tc>
                                <w:tcPr>
                                  <w:tcW w:w="4702" w:type="dxa"/>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COMMUNICATING</w:t>
                                  </w:r>
                                </w:p>
                                <w:p>
                                  <w:pPr>
                                    <w:pStyle w:val="TableParagraph"/>
                                    <w:spacing w:line="230" w:lineRule="auto" w:before="3"/>
                                    <w:ind w:left="74" w:right="3225"/>
                                    <w:rPr>
                                      <w:sz w:val="15"/>
                                    </w:rPr>
                                  </w:pPr>
                                  <w:r>
                                    <w:rPr>
                                      <w:color w:val="231F20"/>
                                      <w:spacing w:val="-2"/>
                                      <w:sz w:val="15"/>
                                    </w:rPr>
                                    <w:t>Achondroplasia Basilar</w:t>
                                  </w:r>
                                  <w:r>
                                    <w:rPr>
                                      <w:color w:val="231F20"/>
                                      <w:spacing w:val="-10"/>
                                      <w:sz w:val="15"/>
                                    </w:rPr>
                                    <w:t> </w:t>
                                  </w:r>
                                  <w:r>
                                    <w:rPr>
                                      <w:color w:val="231F20"/>
                                      <w:spacing w:val="-2"/>
                                      <w:sz w:val="15"/>
                                    </w:rPr>
                                    <w:t>impression</w:t>
                                  </w:r>
                                </w:p>
                                <w:p>
                                  <w:pPr>
                                    <w:pStyle w:val="TableParagraph"/>
                                    <w:spacing w:line="230" w:lineRule="auto" w:before="2"/>
                                    <w:ind w:left="74" w:right="1248"/>
                                    <w:rPr>
                                      <w:sz w:val="15"/>
                                    </w:rPr>
                                  </w:pPr>
                                  <w:r>
                                    <w:rPr>
                                      <w:color w:val="231F20"/>
                                      <w:sz w:val="15"/>
                                    </w:rPr>
                                    <w:t>Benign enlargement of subarachnoid </w:t>
                                  </w:r>
                                  <w:r>
                                    <w:rPr>
                                      <w:color w:val="231F20"/>
                                      <w:sz w:val="15"/>
                                    </w:rPr>
                                    <w:t>space Choroid plexus papilloma</w:t>
                                  </w:r>
                                </w:p>
                                <w:p>
                                  <w:pPr>
                                    <w:pStyle w:val="TableParagraph"/>
                                    <w:spacing w:line="230" w:lineRule="auto" w:before="1"/>
                                    <w:ind w:left="74" w:right="2908"/>
                                    <w:rPr>
                                      <w:sz w:val="15"/>
                                    </w:rPr>
                                  </w:pPr>
                                  <w:r>
                                    <w:rPr>
                                      <w:color w:val="231F20"/>
                                      <w:sz w:val="15"/>
                                    </w:rPr>
                                    <w:t>Meningeal</w:t>
                                  </w:r>
                                  <w:r>
                                    <w:rPr>
                                      <w:color w:val="231F20"/>
                                      <w:spacing w:val="-11"/>
                                      <w:sz w:val="15"/>
                                    </w:rPr>
                                    <w:t> </w:t>
                                  </w:r>
                                  <w:r>
                                    <w:rPr>
                                      <w:color w:val="231F20"/>
                                      <w:sz w:val="15"/>
                                    </w:rPr>
                                    <w:t>malignancy </w:t>
                                  </w:r>
                                  <w:r>
                                    <w:rPr>
                                      <w:color w:val="231F20"/>
                                      <w:spacing w:val="-2"/>
                                      <w:sz w:val="15"/>
                                    </w:rPr>
                                    <w:t>Meningitis Posthemorrhagic</w:t>
                                  </w:r>
                                </w:p>
                              </w:tc>
                            </w:tr>
                            <w:tr>
                              <w:trPr>
                                <w:trHeight w:val="2942" w:hRule="atLeast"/>
                              </w:trPr>
                              <w:tc>
                                <w:tcPr>
                                  <w:tcW w:w="4702" w:type="dxa"/>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20"/>
                                      <w:sz w:val="15"/>
                                    </w:rPr>
                                    <w:t>NONCOMMUNICATING</w:t>
                                  </w:r>
                                </w:p>
                                <w:p>
                                  <w:pPr>
                                    <w:pStyle w:val="TableParagraph"/>
                                    <w:spacing w:line="230" w:lineRule="auto" w:before="3"/>
                                    <w:ind w:left="74" w:right="3225"/>
                                    <w:rPr>
                                      <w:sz w:val="15"/>
                                    </w:rPr>
                                  </w:pPr>
                                  <w:r>
                                    <w:rPr>
                                      <w:color w:val="231F20"/>
                                      <w:sz w:val="15"/>
                                    </w:rPr>
                                    <w:t>Aqueductal</w:t>
                                  </w:r>
                                  <w:r>
                                    <w:rPr>
                                      <w:color w:val="231F20"/>
                                      <w:spacing w:val="-12"/>
                                      <w:sz w:val="15"/>
                                    </w:rPr>
                                    <w:t> </w:t>
                                  </w:r>
                                  <w:r>
                                    <w:rPr>
                                      <w:color w:val="231F20"/>
                                      <w:sz w:val="15"/>
                                    </w:rPr>
                                    <w:t>stenosis </w:t>
                                  </w:r>
                                  <w:r>
                                    <w:rPr>
                                      <w:color w:val="231F20"/>
                                      <w:spacing w:val="-2"/>
                                      <w:sz w:val="15"/>
                                    </w:rPr>
                                    <w:t>Infectious</w:t>
                                  </w:r>
                                  <w:r>
                                    <w:rPr>
                                      <w:color w:val="0080AC"/>
                                      <w:spacing w:val="-2"/>
                                      <w:sz w:val="15"/>
                                    </w:rPr>
                                    <w:t>*</w:t>
                                  </w:r>
                                </w:p>
                                <w:p>
                                  <w:pPr>
                                    <w:pStyle w:val="TableParagraph"/>
                                    <w:spacing w:line="230" w:lineRule="auto" w:before="2"/>
                                    <w:ind w:left="74" w:right="3225"/>
                                    <w:rPr>
                                      <w:sz w:val="15"/>
                                    </w:rPr>
                                  </w:pPr>
                                  <w:r>
                                    <w:rPr>
                                      <w:color w:val="231F20"/>
                                      <w:spacing w:val="-2"/>
                                      <w:sz w:val="15"/>
                                    </w:rPr>
                                    <w:t>X-linked Mitochondrial </w:t>
                                  </w:r>
                                  <w:r>
                                    <w:rPr>
                                      <w:color w:val="231F20"/>
                                      <w:sz w:val="15"/>
                                    </w:rPr>
                                    <w:t>Autosomal recessive Autosomal</w:t>
                                  </w:r>
                                  <w:r>
                                    <w:rPr>
                                      <w:color w:val="231F20"/>
                                      <w:spacing w:val="-12"/>
                                      <w:sz w:val="15"/>
                                    </w:rPr>
                                    <w:t> </w:t>
                                  </w:r>
                                  <w:r>
                                    <w:rPr>
                                      <w:color w:val="231F20"/>
                                      <w:sz w:val="15"/>
                                    </w:rPr>
                                    <w:t>dominant </w:t>
                                  </w:r>
                                  <w:r>
                                    <w:rPr>
                                      <w:i/>
                                      <w:color w:val="231F20"/>
                                      <w:sz w:val="15"/>
                                    </w:rPr>
                                    <w:t>L1CAM </w:t>
                                  </w:r>
                                  <w:r>
                                    <w:rPr>
                                      <w:color w:val="231F20"/>
                                      <w:sz w:val="15"/>
                                    </w:rPr>
                                    <w:t>mutations Chiari malformation</w:t>
                                  </w:r>
                                </w:p>
                                <w:p>
                                  <w:pPr>
                                    <w:pStyle w:val="TableParagraph"/>
                                    <w:spacing w:line="230" w:lineRule="auto" w:before="4"/>
                                    <w:ind w:left="74" w:right="2753"/>
                                    <w:rPr>
                                      <w:sz w:val="15"/>
                                    </w:rPr>
                                  </w:pPr>
                                  <w:r>
                                    <w:rPr>
                                      <w:color w:val="231F20"/>
                                      <w:spacing w:val="-2"/>
                                      <w:sz w:val="15"/>
                                    </w:rPr>
                                    <w:t>Dandy-Walker</w:t>
                                  </w:r>
                                  <w:r>
                                    <w:rPr>
                                      <w:color w:val="231F20"/>
                                      <w:spacing w:val="-5"/>
                                      <w:sz w:val="15"/>
                                    </w:rPr>
                                    <w:t> </w:t>
                                  </w:r>
                                  <w:r>
                                    <w:rPr>
                                      <w:color w:val="231F20"/>
                                      <w:spacing w:val="-2"/>
                                      <w:sz w:val="15"/>
                                    </w:rPr>
                                    <w:t>malformation </w:t>
                                  </w:r>
                                  <w:r>
                                    <w:rPr>
                                      <w:color w:val="231F20"/>
                                      <w:sz w:val="15"/>
                                    </w:rPr>
                                    <w:t>Klippel-Feil syndrome</w:t>
                                  </w:r>
                                </w:p>
                                <w:p>
                                  <w:pPr>
                                    <w:pStyle w:val="TableParagraph"/>
                                    <w:spacing w:line="230" w:lineRule="auto" w:before="2"/>
                                    <w:ind w:left="74" w:right="3379"/>
                                    <w:rPr>
                                      <w:sz w:val="15"/>
                                    </w:rPr>
                                  </w:pPr>
                                  <w:r>
                                    <w:rPr>
                                      <w:color w:val="231F20"/>
                                      <w:spacing w:val="-2"/>
                                      <w:w w:val="105"/>
                                      <w:sz w:val="15"/>
                                    </w:rPr>
                                    <w:t>Mass</w:t>
                                  </w:r>
                                  <w:r>
                                    <w:rPr>
                                      <w:color w:val="231F20"/>
                                      <w:spacing w:val="-10"/>
                                      <w:w w:val="105"/>
                                      <w:sz w:val="15"/>
                                    </w:rPr>
                                    <w:t> </w:t>
                                  </w:r>
                                  <w:r>
                                    <w:rPr>
                                      <w:color w:val="231F20"/>
                                      <w:spacing w:val="-2"/>
                                      <w:w w:val="105"/>
                                      <w:sz w:val="15"/>
                                    </w:rPr>
                                    <w:t>lesions Abscess Hematoma</w:t>
                                  </w:r>
                                </w:p>
                                <w:p>
                                  <w:pPr>
                                    <w:pStyle w:val="TableParagraph"/>
                                    <w:spacing w:line="230" w:lineRule="auto" w:before="2"/>
                                    <w:ind w:left="74" w:right="1816"/>
                                    <w:rPr>
                                      <w:sz w:val="15"/>
                                    </w:rPr>
                                  </w:pPr>
                                  <w:r>
                                    <w:rPr>
                                      <w:color w:val="231F20"/>
                                      <w:sz w:val="15"/>
                                    </w:rPr>
                                    <w:t>Tumors</w:t>
                                  </w:r>
                                  <w:r>
                                    <w:rPr>
                                      <w:color w:val="231F20"/>
                                      <w:spacing w:val="-4"/>
                                      <w:sz w:val="15"/>
                                    </w:rPr>
                                    <w:t> </w:t>
                                  </w:r>
                                  <w:r>
                                    <w:rPr>
                                      <w:color w:val="231F20"/>
                                      <w:sz w:val="15"/>
                                    </w:rPr>
                                    <w:t>and</w:t>
                                  </w:r>
                                  <w:r>
                                    <w:rPr>
                                      <w:color w:val="231F20"/>
                                      <w:spacing w:val="-4"/>
                                      <w:sz w:val="15"/>
                                    </w:rPr>
                                    <w:t> </w:t>
                                  </w:r>
                                  <w:r>
                                    <w:rPr>
                                      <w:color w:val="231F20"/>
                                      <w:sz w:val="15"/>
                                    </w:rPr>
                                    <w:t>neurocutaneous</w:t>
                                  </w:r>
                                  <w:r>
                                    <w:rPr>
                                      <w:color w:val="231F20"/>
                                      <w:spacing w:val="-4"/>
                                      <w:sz w:val="15"/>
                                    </w:rPr>
                                    <w:t> </w:t>
                                  </w:r>
                                  <w:r>
                                    <w:rPr>
                                      <w:color w:val="231F20"/>
                                      <w:sz w:val="15"/>
                                    </w:rPr>
                                    <w:t>disorders Vein of Galen malformation</w:t>
                                  </w:r>
                                </w:p>
                                <w:p>
                                  <w:pPr>
                                    <w:pStyle w:val="TableParagraph"/>
                                    <w:spacing w:line="170" w:lineRule="exact"/>
                                    <w:ind w:left="74"/>
                                    <w:rPr>
                                      <w:sz w:val="15"/>
                                    </w:rPr>
                                  </w:pPr>
                                  <w:r>
                                    <w:rPr>
                                      <w:color w:val="231F20"/>
                                      <w:sz w:val="15"/>
                                    </w:rPr>
                                    <w:t>Walker-Warburg</w:t>
                                  </w:r>
                                  <w:r>
                                    <w:rPr>
                                      <w:color w:val="231F20"/>
                                      <w:spacing w:val="-1"/>
                                      <w:sz w:val="15"/>
                                    </w:rPr>
                                    <w:t> </w:t>
                                  </w:r>
                                  <w:r>
                                    <w:rPr>
                                      <w:color w:val="231F20"/>
                                      <w:spacing w:val="-2"/>
                                      <w:sz w:val="15"/>
                                    </w:rPr>
                                    <w:t>syndrome</w:t>
                                  </w:r>
                                </w:p>
                              </w:tc>
                            </w:tr>
                            <w:tr>
                              <w:trPr>
                                <w:trHeight w:val="753" w:hRule="atLeast"/>
                              </w:trPr>
                              <w:tc>
                                <w:tcPr>
                                  <w:tcW w:w="4702" w:type="dxa"/>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15"/>
                                      <w:sz w:val="15"/>
                                    </w:rPr>
                                    <w:t>HYDRANENCEPHALY</w:t>
                                  </w:r>
                                </w:p>
                                <w:p>
                                  <w:pPr>
                                    <w:pStyle w:val="TableParagraph"/>
                                    <w:spacing w:line="230" w:lineRule="auto" w:before="3"/>
                                    <w:ind w:left="74" w:right="2908"/>
                                    <w:rPr>
                                      <w:sz w:val="15"/>
                                    </w:rPr>
                                  </w:pPr>
                                  <w:r>
                                    <w:rPr>
                                      <w:color w:val="231F20"/>
                                      <w:spacing w:val="-2"/>
                                      <w:sz w:val="15"/>
                                    </w:rPr>
                                    <w:t>Holoprosencephaly </w:t>
                                  </w:r>
                                  <w:r>
                                    <w:rPr>
                                      <w:color w:val="231F20"/>
                                      <w:sz w:val="15"/>
                                    </w:rPr>
                                    <w:t>Massive</w:t>
                                  </w:r>
                                  <w:r>
                                    <w:rPr>
                                      <w:color w:val="231F20"/>
                                      <w:spacing w:val="-10"/>
                                      <w:sz w:val="15"/>
                                    </w:rPr>
                                    <w:t> </w:t>
                                  </w:r>
                                  <w:r>
                                    <w:rPr>
                                      <w:color w:val="231F20"/>
                                      <w:sz w:val="15"/>
                                    </w:rPr>
                                    <w:t>hydrocephalus </w:t>
                                  </w:r>
                                  <w:r>
                                    <w:rPr>
                                      <w:color w:val="231F20"/>
                                      <w:spacing w:val="-2"/>
                                      <w:sz w:val="15"/>
                                    </w:rPr>
                                    <w:t>Porencephaly</w:t>
                                  </w:r>
                                </w:p>
                              </w:tc>
                            </w:tr>
                          </w:tbl>
                          <w:p>
                            <w:pPr>
                              <w:pStyle w:val="BodyText"/>
                            </w:pPr>
                          </w:p>
                        </w:txbxContent>
                      </wps:txbx>
                      <wps:bodyPr wrap="square" lIns="0" tIns="0" rIns="0" bIns="0" rtlCol="0">
                        <a:noAutofit/>
                      </wps:bodyPr>
                    </wps:wsp>
                  </a:graphicData>
                </a:graphic>
              </wp:anchor>
            </w:drawing>
          </mc:Choice>
          <mc:Fallback>
            <w:pict>
              <v:shape style="position:absolute;margin-left:20.401279pt;margin-top:-22.410809pt;width:241.15pt;height:277.150pt;mso-position-horizontal-relative:page;mso-position-vertical-relative:paragraph;z-index:15747584" type="#_x0000_t202" id="docshape4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02"/>
                      </w:tblGrid>
                      <w:tr>
                        <w:trPr>
                          <w:trHeight w:val="373" w:hRule="atLeast"/>
                        </w:trPr>
                        <w:tc>
                          <w:tcPr>
                            <w:tcW w:w="4702" w:type="dxa"/>
                            <w:shd w:val="clear" w:color="auto" w:fill="231F20"/>
                          </w:tcPr>
                          <w:p>
                            <w:pPr>
                              <w:pStyle w:val="TableParagraph"/>
                              <w:spacing w:before="89"/>
                              <w:ind w:left="111"/>
                              <w:rPr>
                                <w:sz w:val="16"/>
                              </w:rPr>
                            </w:pPr>
                            <w:r>
                              <w:rPr>
                                <w:b/>
                                <w:color w:val="FFFFFF"/>
                                <w:w w:val="105"/>
                                <w:sz w:val="16"/>
                              </w:rPr>
                              <w:t>Table</w:t>
                            </w:r>
                            <w:r>
                              <w:rPr>
                                <w:b/>
                                <w:color w:val="FFFFFF"/>
                                <w:spacing w:val="10"/>
                                <w:w w:val="105"/>
                                <w:sz w:val="16"/>
                              </w:rPr>
                              <w:t> </w:t>
                            </w:r>
                            <w:r>
                              <w:rPr>
                                <w:b/>
                                <w:color w:val="FFFFFF"/>
                                <w:w w:val="105"/>
                                <w:sz w:val="16"/>
                              </w:rPr>
                              <w:t>591-4</w:t>
                            </w:r>
                            <w:r>
                              <w:rPr>
                                <w:b/>
                                <w:color w:val="FFFFFF"/>
                                <w:spacing w:val="40"/>
                                <w:w w:val="105"/>
                                <w:sz w:val="16"/>
                              </w:rPr>
                              <w:t>  </w:t>
                            </w:r>
                            <w:r>
                              <w:rPr>
                                <w:color w:val="FFFFFF"/>
                                <w:w w:val="105"/>
                                <w:sz w:val="16"/>
                              </w:rPr>
                              <w:t>Causes</w:t>
                            </w:r>
                            <w:r>
                              <w:rPr>
                                <w:color w:val="FFFFFF"/>
                                <w:spacing w:val="7"/>
                                <w:w w:val="105"/>
                                <w:sz w:val="16"/>
                              </w:rPr>
                              <w:t> </w:t>
                            </w:r>
                            <w:r>
                              <w:rPr>
                                <w:color w:val="FFFFFF"/>
                                <w:w w:val="105"/>
                                <w:sz w:val="16"/>
                              </w:rPr>
                              <w:t>of</w:t>
                            </w:r>
                            <w:r>
                              <w:rPr>
                                <w:color w:val="FFFFFF"/>
                                <w:spacing w:val="7"/>
                                <w:w w:val="105"/>
                                <w:sz w:val="16"/>
                              </w:rPr>
                              <w:t> </w:t>
                            </w:r>
                            <w:r>
                              <w:rPr>
                                <w:color w:val="FFFFFF"/>
                                <w:spacing w:val="-2"/>
                                <w:w w:val="105"/>
                                <w:sz w:val="16"/>
                              </w:rPr>
                              <w:t>Hydrocephalus</w:t>
                            </w:r>
                          </w:p>
                        </w:tc>
                      </w:tr>
                      <w:tr>
                        <w:trPr>
                          <w:trHeight w:val="1435" w:hRule="atLeast"/>
                        </w:trPr>
                        <w:tc>
                          <w:tcPr>
                            <w:tcW w:w="4702" w:type="dxa"/>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COMMUNICATING</w:t>
                            </w:r>
                          </w:p>
                          <w:p>
                            <w:pPr>
                              <w:pStyle w:val="TableParagraph"/>
                              <w:spacing w:line="230" w:lineRule="auto" w:before="3"/>
                              <w:ind w:left="74" w:right="3225"/>
                              <w:rPr>
                                <w:sz w:val="15"/>
                              </w:rPr>
                            </w:pPr>
                            <w:r>
                              <w:rPr>
                                <w:color w:val="231F20"/>
                                <w:spacing w:val="-2"/>
                                <w:sz w:val="15"/>
                              </w:rPr>
                              <w:t>Achondroplasia Basilar</w:t>
                            </w:r>
                            <w:r>
                              <w:rPr>
                                <w:color w:val="231F20"/>
                                <w:spacing w:val="-10"/>
                                <w:sz w:val="15"/>
                              </w:rPr>
                              <w:t> </w:t>
                            </w:r>
                            <w:r>
                              <w:rPr>
                                <w:color w:val="231F20"/>
                                <w:spacing w:val="-2"/>
                                <w:sz w:val="15"/>
                              </w:rPr>
                              <w:t>impression</w:t>
                            </w:r>
                          </w:p>
                          <w:p>
                            <w:pPr>
                              <w:pStyle w:val="TableParagraph"/>
                              <w:spacing w:line="230" w:lineRule="auto" w:before="2"/>
                              <w:ind w:left="74" w:right="1248"/>
                              <w:rPr>
                                <w:sz w:val="15"/>
                              </w:rPr>
                            </w:pPr>
                            <w:r>
                              <w:rPr>
                                <w:color w:val="231F20"/>
                                <w:sz w:val="15"/>
                              </w:rPr>
                              <w:t>Benign enlargement of subarachnoid </w:t>
                            </w:r>
                            <w:r>
                              <w:rPr>
                                <w:color w:val="231F20"/>
                                <w:sz w:val="15"/>
                              </w:rPr>
                              <w:t>space Choroid plexus papilloma</w:t>
                            </w:r>
                          </w:p>
                          <w:p>
                            <w:pPr>
                              <w:pStyle w:val="TableParagraph"/>
                              <w:spacing w:line="230" w:lineRule="auto" w:before="1"/>
                              <w:ind w:left="74" w:right="2908"/>
                              <w:rPr>
                                <w:sz w:val="15"/>
                              </w:rPr>
                            </w:pPr>
                            <w:r>
                              <w:rPr>
                                <w:color w:val="231F20"/>
                                <w:sz w:val="15"/>
                              </w:rPr>
                              <w:t>Meningeal</w:t>
                            </w:r>
                            <w:r>
                              <w:rPr>
                                <w:color w:val="231F20"/>
                                <w:spacing w:val="-11"/>
                                <w:sz w:val="15"/>
                              </w:rPr>
                              <w:t> </w:t>
                            </w:r>
                            <w:r>
                              <w:rPr>
                                <w:color w:val="231F20"/>
                                <w:sz w:val="15"/>
                              </w:rPr>
                              <w:t>malignancy </w:t>
                            </w:r>
                            <w:r>
                              <w:rPr>
                                <w:color w:val="231F20"/>
                                <w:spacing w:val="-2"/>
                                <w:sz w:val="15"/>
                              </w:rPr>
                              <w:t>Meningitis Posthemorrhagic</w:t>
                            </w:r>
                          </w:p>
                        </w:tc>
                      </w:tr>
                      <w:tr>
                        <w:trPr>
                          <w:trHeight w:val="2942" w:hRule="atLeast"/>
                        </w:trPr>
                        <w:tc>
                          <w:tcPr>
                            <w:tcW w:w="4702" w:type="dxa"/>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20"/>
                                <w:sz w:val="15"/>
                              </w:rPr>
                              <w:t>NONCOMMUNICATING</w:t>
                            </w:r>
                          </w:p>
                          <w:p>
                            <w:pPr>
                              <w:pStyle w:val="TableParagraph"/>
                              <w:spacing w:line="230" w:lineRule="auto" w:before="3"/>
                              <w:ind w:left="74" w:right="3225"/>
                              <w:rPr>
                                <w:sz w:val="15"/>
                              </w:rPr>
                            </w:pPr>
                            <w:r>
                              <w:rPr>
                                <w:color w:val="231F20"/>
                                <w:sz w:val="15"/>
                              </w:rPr>
                              <w:t>Aqueductal</w:t>
                            </w:r>
                            <w:r>
                              <w:rPr>
                                <w:color w:val="231F20"/>
                                <w:spacing w:val="-12"/>
                                <w:sz w:val="15"/>
                              </w:rPr>
                              <w:t> </w:t>
                            </w:r>
                            <w:r>
                              <w:rPr>
                                <w:color w:val="231F20"/>
                                <w:sz w:val="15"/>
                              </w:rPr>
                              <w:t>stenosis </w:t>
                            </w:r>
                            <w:r>
                              <w:rPr>
                                <w:color w:val="231F20"/>
                                <w:spacing w:val="-2"/>
                                <w:sz w:val="15"/>
                              </w:rPr>
                              <w:t>Infectious</w:t>
                            </w:r>
                            <w:r>
                              <w:rPr>
                                <w:color w:val="0080AC"/>
                                <w:spacing w:val="-2"/>
                                <w:sz w:val="15"/>
                              </w:rPr>
                              <w:t>*</w:t>
                            </w:r>
                          </w:p>
                          <w:p>
                            <w:pPr>
                              <w:pStyle w:val="TableParagraph"/>
                              <w:spacing w:line="230" w:lineRule="auto" w:before="2"/>
                              <w:ind w:left="74" w:right="3225"/>
                              <w:rPr>
                                <w:sz w:val="15"/>
                              </w:rPr>
                            </w:pPr>
                            <w:r>
                              <w:rPr>
                                <w:color w:val="231F20"/>
                                <w:spacing w:val="-2"/>
                                <w:sz w:val="15"/>
                              </w:rPr>
                              <w:t>X-linked Mitochondrial </w:t>
                            </w:r>
                            <w:r>
                              <w:rPr>
                                <w:color w:val="231F20"/>
                                <w:sz w:val="15"/>
                              </w:rPr>
                              <w:t>Autosomal recessive Autosomal</w:t>
                            </w:r>
                            <w:r>
                              <w:rPr>
                                <w:color w:val="231F20"/>
                                <w:spacing w:val="-12"/>
                                <w:sz w:val="15"/>
                              </w:rPr>
                              <w:t> </w:t>
                            </w:r>
                            <w:r>
                              <w:rPr>
                                <w:color w:val="231F20"/>
                                <w:sz w:val="15"/>
                              </w:rPr>
                              <w:t>dominant </w:t>
                            </w:r>
                            <w:r>
                              <w:rPr>
                                <w:i/>
                                <w:color w:val="231F20"/>
                                <w:sz w:val="15"/>
                              </w:rPr>
                              <w:t>L1CAM </w:t>
                            </w:r>
                            <w:r>
                              <w:rPr>
                                <w:color w:val="231F20"/>
                                <w:sz w:val="15"/>
                              </w:rPr>
                              <w:t>mutations Chiari malformation</w:t>
                            </w:r>
                          </w:p>
                          <w:p>
                            <w:pPr>
                              <w:pStyle w:val="TableParagraph"/>
                              <w:spacing w:line="230" w:lineRule="auto" w:before="4"/>
                              <w:ind w:left="74" w:right="2753"/>
                              <w:rPr>
                                <w:sz w:val="15"/>
                              </w:rPr>
                            </w:pPr>
                            <w:r>
                              <w:rPr>
                                <w:color w:val="231F20"/>
                                <w:spacing w:val="-2"/>
                                <w:sz w:val="15"/>
                              </w:rPr>
                              <w:t>Dandy-Walker</w:t>
                            </w:r>
                            <w:r>
                              <w:rPr>
                                <w:color w:val="231F20"/>
                                <w:spacing w:val="-5"/>
                                <w:sz w:val="15"/>
                              </w:rPr>
                              <w:t> </w:t>
                            </w:r>
                            <w:r>
                              <w:rPr>
                                <w:color w:val="231F20"/>
                                <w:spacing w:val="-2"/>
                                <w:sz w:val="15"/>
                              </w:rPr>
                              <w:t>malformation </w:t>
                            </w:r>
                            <w:r>
                              <w:rPr>
                                <w:color w:val="231F20"/>
                                <w:sz w:val="15"/>
                              </w:rPr>
                              <w:t>Klippel-Feil syndrome</w:t>
                            </w:r>
                          </w:p>
                          <w:p>
                            <w:pPr>
                              <w:pStyle w:val="TableParagraph"/>
                              <w:spacing w:line="230" w:lineRule="auto" w:before="2"/>
                              <w:ind w:left="74" w:right="3379"/>
                              <w:rPr>
                                <w:sz w:val="15"/>
                              </w:rPr>
                            </w:pPr>
                            <w:r>
                              <w:rPr>
                                <w:color w:val="231F20"/>
                                <w:spacing w:val="-2"/>
                                <w:w w:val="105"/>
                                <w:sz w:val="15"/>
                              </w:rPr>
                              <w:t>Mass</w:t>
                            </w:r>
                            <w:r>
                              <w:rPr>
                                <w:color w:val="231F20"/>
                                <w:spacing w:val="-10"/>
                                <w:w w:val="105"/>
                                <w:sz w:val="15"/>
                              </w:rPr>
                              <w:t> </w:t>
                            </w:r>
                            <w:r>
                              <w:rPr>
                                <w:color w:val="231F20"/>
                                <w:spacing w:val="-2"/>
                                <w:w w:val="105"/>
                                <w:sz w:val="15"/>
                              </w:rPr>
                              <w:t>lesions Abscess Hematoma</w:t>
                            </w:r>
                          </w:p>
                          <w:p>
                            <w:pPr>
                              <w:pStyle w:val="TableParagraph"/>
                              <w:spacing w:line="230" w:lineRule="auto" w:before="2"/>
                              <w:ind w:left="74" w:right="1816"/>
                              <w:rPr>
                                <w:sz w:val="15"/>
                              </w:rPr>
                            </w:pPr>
                            <w:r>
                              <w:rPr>
                                <w:color w:val="231F20"/>
                                <w:sz w:val="15"/>
                              </w:rPr>
                              <w:t>Tumors</w:t>
                            </w:r>
                            <w:r>
                              <w:rPr>
                                <w:color w:val="231F20"/>
                                <w:spacing w:val="-4"/>
                                <w:sz w:val="15"/>
                              </w:rPr>
                              <w:t> </w:t>
                            </w:r>
                            <w:r>
                              <w:rPr>
                                <w:color w:val="231F20"/>
                                <w:sz w:val="15"/>
                              </w:rPr>
                              <w:t>and</w:t>
                            </w:r>
                            <w:r>
                              <w:rPr>
                                <w:color w:val="231F20"/>
                                <w:spacing w:val="-4"/>
                                <w:sz w:val="15"/>
                              </w:rPr>
                              <w:t> </w:t>
                            </w:r>
                            <w:r>
                              <w:rPr>
                                <w:color w:val="231F20"/>
                                <w:sz w:val="15"/>
                              </w:rPr>
                              <w:t>neurocutaneous</w:t>
                            </w:r>
                            <w:r>
                              <w:rPr>
                                <w:color w:val="231F20"/>
                                <w:spacing w:val="-4"/>
                                <w:sz w:val="15"/>
                              </w:rPr>
                              <w:t> </w:t>
                            </w:r>
                            <w:r>
                              <w:rPr>
                                <w:color w:val="231F20"/>
                                <w:sz w:val="15"/>
                              </w:rPr>
                              <w:t>disorders Vein of Galen malformation</w:t>
                            </w:r>
                          </w:p>
                          <w:p>
                            <w:pPr>
                              <w:pStyle w:val="TableParagraph"/>
                              <w:spacing w:line="170" w:lineRule="exact"/>
                              <w:ind w:left="74"/>
                              <w:rPr>
                                <w:sz w:val="15"/>
                              </w:rPr>
                            </w:pPr>
                            <w:r>
                              <w:rPr>
                                <w:color w:val="231F20"/>
                                <w:sz w:val="15"/>
                              </w:rPr>
                              <w:t>Walker-Warburg</w:t>
                            </w:r>
                            <w:r>
                              <w:rPr>
                                <w:color w:val="231F20"/>
                                <w:spacing w:val="-1"/>
                                <w:sz w:val="15"/>
                              </w:rPr>
                              <w:t> </w:t>
                            </w:r>
                            <w:r>
                              <w:rPr>
                                <w:color w:val="231F20"/>
                                <w:spacing w:val="-2"/>
                                <w:sz w:val="15"/>
                              </w:rPr>
                              <w:t>syndrome</w:t>
                            </w:r>
                          </w:p>
                        </w:tc>
                      </w:tr>
                      <w:tr>
                        <w:trPr>
                          <w:trHeight w:val="753" w:hRule="atLeast"/>
                        </w:trPr>
                        <w:tc>
                          <w:tcPr>
                            <w:tcW w:w="4702" w:type="dxa"/>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15"/>
                                <w:sz w:val="15"/>
                              </w:rPr>
                              <w:t>HYDRANENCEPHALY</w:t>
                            </w:r>
                          </w:p>
                          <w:p>
                            <w:pPr>
                              <w:pStyle w:val="TableParagraph"/>
                              <w:spacing w:line="230" w:lineRule="auto" w:before="3"/>
                              <w:ind w:left="74" w:right="2908"/>
                              <w:rPr>
                                <w:sz w:val="15"/>
                              </w:rPr>
                            </w:pPr>
                            <w:r>
                              <w:rPr>
                                <w:color w:val="231F20"/>
                                <w:spacing w:val="-2"/>
                                <w:sz w:val="15"/>
                              </w:rPr>
                              <w:t>Holoprosencephaly </w:t>
                            </w:r>
                            <w:r>
                              <w:rPr>
                                <w:color w:val="231F20"/>
                                <w:sz w:val="15"/>
                              </w:rPr>
                              <w:t>Massive</w:t>
                            </w:r>
                            <w:r>
                              <w:rPr>
                                <w:color w:val="231F20"/>
                                <w:spacing w:val="-10"/>
                                <w:sz w:val="15"/>
                              </w:rPr>
                              <w:t> </w:t>
                            </w:r>
                            <w:r>
                              <w:rPr>
                                <w:color w:val="231F20"/>
                                <w:sz w:val="15"/>
                              </w:rPr>
                              <w:t>hydrocephalus </w:t>
                            </w:r>
                            <w:r>
                              <w:rPr>
                                <w:color w:val="231F20"/>
                                <w:spacing w:val="-2"/>
                                <w:sz w:val="15"/>
                              </w:rPr>
                              <w:t>Porencephaly</w:t>
                            </w:r>
                          </w:p>
                        </w:tc>
                      </w:tr>
                    </w:tbl>
                    <w:p>
                      <w:pPr>
                        <w:pStyle w:val="BodyText"/>
                      </w:pPr>
                    </w:p>
                  </w:txbxContent>
                </v:textbox>
                <w10:wrap type="none"/>
              </v:shape>
            </w:pict>
          </mc:Fallback>
        </mc:AlternateContent>
      </w:r>
      <w:r>
        <w:rPr>
          <w:rFonts w:ascii="Arial MT"/>
          <w:color w:val="231F20"/>
          <w:spacing w:val="-2"/>
          <w:sz w:val="15"/>
        </w:rPr>
        <w:t>Width</w:t>
      </w:r>
    </w:p>
    <w:p>
      <w:pPr>
        <w:tabs>
          <w:tab w:pos="3443" w:val="left" w:leader="none"/>
        </w:tabs>
        <w:spacing w:line="162" w:lineRule="exact" w:before="74"/>
        <w:ind w:left="1631" w:right="0" w:firstLine="0"/>
        <w:jc w:val="left"/>
        <w:rPr>
          <w:rFonts w:ascii="Arial MT"/>
          <w:sz w:val="15"/>
        </w:rPr>
      </w:pPr>
      <w:r>
        <w:rPr/>
        <w:br w:type="column"/>
      </w:r>
      <w:r>
        <w:rPr>
          <w:rFonts w:ascii="Arial MT"/>
          <w:color w:val="231F20"/>
          <w:spacing w:val="-2"/>
          <w:sz w:val="15"/>
        </w:rPr>
        <w:t>Length</w:t>
      </w:r>
      <w:r>
        <w:rPr>
          <w:rFonts w:ascii="Arial MT"/>
          <w:color w:val="231F20"/>
          <w:sz w:val="15"/>
        </w:rPr>
        <w:tab/>
      </w:r>
      <w:r>
        <w:rPr>
          <w:rFonts w:ascii="Arial MT"/>
          <w:color w:val="231F20"/>
          <w:spacing w:val="-2"/>
          <w:sz w:val="15"/>
        </w:rPr>
        <w:t>Transcranial</w:t>
      </w:r>
    </w:p>
    <w:p>
      <w:pPr>
        <w:spacing w:line="162" w:lineRule="exact" w:before="0"/>
        <w:ind w:left="3215" w:right="0" w:firstLine="0"/>
        <w:jc w:val="left"/>
        <w:rPr>
          <w:rFonts w:ascii="Arial MT"/>
          <w:sz w:val="15"/>
        </w:rPr>
      </w:pPr>
      <w:r>
        <w:rPr>
          <w:rFonts w:ascii="Arial MT"/>
          <w:color w:val="231F20"/>
          <w:spacing w:val="-2"/>
          <w:sz w:val="15"/>
        </w:rPr>
        <w:t>diagonal</w:t>
      </w:r>
      <w:r>
        <w:rPr>
          <w:rFonts w:ascii="Arial MT"/>
          <w:color w:val="231F20"/>
          <w:spacing w:val="2"/>
          <w:sz w:val="15"/>
        </w:rPr>
        <w:t> </w:t>
      </w:r>
      <w:r>
        <w:rPr>
          <w:rFonts w:ascii="Arial MT"/>
          <w:color w:val="231F20"/>
          <w:spacing w:val="-2"/>
          <w:sz w:val="15"/>
        </w:rPr>
        <w:t>difference</w:t>
      </w:r>
    </w:p>
    <w:p>
      <w:pPr>
        <w:spacing w:after="0" w:line="162" w:lineRule="exact"/>
        <w:jc w:val="left"/>
        <w:rPr>
          <w:rFonts w:ascii="Arial MT"/>
          <w:sz w:val="15"/>
        </w:rPr>
        <w:sectPr>
          <w:type w:val="continuous"/>
          <w:pgSz w:w="11900" w:h="16840"/>
          <w:pgMar w:header="0" w:footer="0" w:top="620" w:bottom="280" w:left="425" w:right="566"/>
          <w:cols w:num="2" w:equalWidth="0">
            <w:col w:w="6020" w:space="40"/>
            <w:col w:w="4849"/>
          </w:cols>
        </w:sectPr>
      </w:pPr>
    </w:p>
    <w:p>
      <w:pPr>
        <w:pStyle w:val="BodyText"/>
        <w:rPr>
          <w:rFonts w:ascii="Arial MT"/>
          <w:sz w:val="20"/>
        </w:rPr>
      </w:pPr>
    </w:p>
    <w:p>
      <w:pPr>
        <w:pStyle w:val="BodyText"/>
        <w:spacing w:before="99"/>
        <w:rPr>
          <w:rFonts w:ascii="Arial MT"/>
          <w:sz w:val="20"/>
        </w:rPr>
      </w:pPr>
    </w:p>
    <w:p>
      <w:pPr>
        <w:pStyle w:val="BodyText"/>
        <w:spacing w:after="0"/>
        <w:rPr>
          <w:rFonts w:ascii="Arial MT"/>
          <w:sz w:val="20"/>
        </w:rPr>
        <w:sectPr>
          <w:type w:val="continuous"/>
          <w:pgSz w:w="11900" w:h="16840"/>
          <w:pgMar w:header="0" w:footer="0" w:top="620" w:bottom="280" w:left="425" w:right="566"/>
        </w:sect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27"/>
        <w:rPr>
          <w:rFonts w:ascii="Arial MT"/>
        </w:rPr>
      </w:pPr>
    </w:p>
    <w:p>
      <w:pPr>
        <w:pStyle w:val="BodyText"/>
        <w:ind w:left="43"/>
      </w:pPr>
      <w:r>
        <w:rPr>
          <w:color w:val="231F20"/>
        </w:rPr>
        <w:t>*Toxoplasmosis,</w:t>
      </w:r>
      <w:r>
        <w:rPr>
          <w:color w:val="231F20"/>
          <w:spacing w:val="4"/>
        </w:rPr>
        <w:t> </w:t>
      </w:r>
      <w:r>
        <w:rPr>
          <w:color w:val="231F20"/>
        </w:rPr>
        <w:t>neurocysticercosis</w:t>
      </w:r>
      <w:r>
        <w:rPr>
          <w:color w:val="231F20"/>
          <w:spacing w:val="5"/>
        </w:rPr>
        <w:t> </w:t>
      </w:r>
      <w:r>
        <w:rPr>
          <w:color w:val="231F20"/>
          <w:spacing w:val="-2"/>
        </w:rPr>
        <w:t>mumps.</w:t>
      </w:r>
    </w:p>
    <w:p>
      <w:pPr>
        <w:spacing w:before="100"/>
        <w:ind w:left="43" w:right="0" w:firstLine="0"/>
        <w:jc w:val="left"/>
        <w:rPr>
          <w:sz w:val="20"/>
        </w:rPr>
      </w:pPr>
      <w:r>
        <w:rPr/>
        <w:br w:type="column"/>
      </w:r>
      <w:r>
        <w:rPr>
          <w:b/>
          <w:color w:val="4A0C62"/>
          <w:sz w:val="20"/>
        </w:rPr>
        <w:t>Figure</w:t>
      </w:r>
      <w:r>
        <w:rPr>
          <w:b/>
          <w:color w:val="4A0C62"/>
          <w:spacing w:val="75"/>
          <w:sz w:val="20"/>
        </w:rPr>
        <w:t> </w:t>
      </w:r>
      <w:r>
        <w:rPr>
          <w:b/>
          <w:color w:val="4A0C62"/>
          <w:sz w:val="20"/>
        </w:rPr>
        <w:t>592-2</w:t>
      </w:r>
      <w:r>
        <w:rPr>
          <w:b/>
          <w:color w:val="4A0C62"/>
          <w:spacing w:val="60"/>
          <w:sz w:val="20"/>
        </w:rPr>
        <w:t> </w:t>
      </w:r>
      <w:r>
        <w:rPr>
          <w:color w:val="231F20"/>
          <w:sz w:val="20"/>
        </w:rPr>
        <w:t>Cranial</w:t>
      </w:r>
      <w:r>
        <w:rPr>
          <w:color w:val="231F20"/>
          <w:spacing w:val="59"/>
          <w:sz w:val="20"/>
        </w:rPr>
        <w:t> </w:t>
      </w:r>
      <w:r>
        <w:rPr>
          <w:color w:val="231F20"/>
          <w:spacing w:val="-2"/>
          <w:sz w:val="20"/>
        </w:rPr>
        <w:t>measurements.</w:t>
      </w:r>
    </w:p>
    <w:p>
      <w:pPr>
        <w:spacing w:after="0"/>
        <w:jc w:val="left"/>
        <w:rPr>
          <w:sz w:val="20"/>
        </w:rPr>
        <w:sectPr>
          <w:type w:val="continuous"/>
          <w:pgSz w:w="11900" w:h="16840"/>
          <w:pgMar w:header="0" w:footer="0" w:top="620" w:bottom="280" w:left="425" w:right="566"/>
          <w:cols w:num="2" w:equalWidth="0">
            <w:col w:w="2595" w:space="2886"/>
            <w:col w:w="5428"/>
          </w:cols>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519" name="Group 519"/>
                <wp:cNvGraphicFramePr>
                  <a:graphicFrameLocks/>
                </wp:cNvGraphicFramePr>
                <a:graphic>
                  <a:graphicData uri="http://schemas.microsoft.com/office/word/2010/wordprocessingGroup">
                    <wpg:wgp>
                      <wpg:cNvPr id="519" name="Group 519"/>
                      <wpg:cNvGrpSpPr/>
                      <wpg:grpSpPr>
                        <a:xfrm>
                          <a:off x="0" y="0"/>
                          <a:ext cx="6185535" cy="170815"/>
                          <a:chExt cx="6185535" cy="170815"/>
                        </a:xfrm>
                      </wpg:grpSpPr>
                      <wps:wsp>
                        <wps:cNvPr id="520" name="Graphic 520"/>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521" name="Graphic 521"/>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522" name="Textbox 522"/>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2822</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65"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466" filled="false" stroked="false">
                  <v:textbox inset="0,0,0,0">
                    <w:txbxContent>
                      <w:p>
                        <w:pPr>
                          <w:spacing w:before="6"/>
                          <w:ind w:left="-1" w:right="0" w:firstLine="0"/>
                          <w:jc w:val="left"/>
                          <w:rPr>
                            <w:sz w:val="18"/>
                          </w:rPr>
                        </w:pPr>
                        <w:r>
                          <w:rPr>
                            <w:b/>
                            <w:color w:val="231F20"/>
                            <w:w w:val="105"/>
                            <w:sz w:val="18"/>
                          </w:rPr>
                          <w:t>2822</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52"/>
        <w:gridCol w:w="3688"/>
      </w:tblGrid>
      <w:tr>
        <w:trPr>
          <w:trHeight w:val="373" w:hRule="atLeast"/>
        </w:trPr>
        <w:tc>
          <w:tcPr>
            <w:tcW w:w="6052" w:type="dxa"/>
            <w:shd w:val="clear" w:color="auto" w:fill="231F20"/>
          </w:tcPr>
          <w:p>
            <w:pPr>
              <w:pStyle w:val="TableParagraph"/>
              <w:spacing w:before="89"/>
              <w:ind w:left="111"/>
              <w:rPr>
                <w:sz w:val="16"/>
              </w:rPr>
            </w:pPr>
            <w:r>
              <w:rPr>
                <w:b/>
                <w:color w:val="FFFFFF"/>
                <w:w w:val="105"/>
                <w:sz w:val="16"/>
              </w:rPr>
              <w:t>Table</w:t>
            </w:r>
            <w:r>
              <w:rPr>
                <w:b/>
                <w:color w:val="FFFFFF"/>
                <w:spacing w:val="12"/>
                <w:w w:val="105"/>
                <w:sz w:val="16"/>
              </w:rPr>
              <w:t> </w:t>
            </w:r>
            <w:r>
              <w:rPr>
                <w:b/>
                <w:color w:val="FFFFFF"/>
                <w:w w:val="105"/>
                <w:sz w:val="16"/>
              </w:rPr>
              <w:t>592-4</w:t>
            </w:r>
            <w:r>
              <w:rPr>
                <w:b/>
                <w:color w:val="FFFFFF"/>
                <w:spacing w:val="43"/>
                <w:w w:val="105"/>
                <w:sz w:val="16"/>
              </w:rPr>
              <w:t>  </w:t>
            </w:r>
            <w:r>
              <w:rPr>
                <w:color w:val="FFFFFF"/>
                <w:w w:val="105"/>
                <w:sz w:val="16"/>
              </w:rPr>
              <w:t>Diagnostic</w:t>
            </w:r>
            <w:r>
              <w:rPr>
                <w:color w:val="FFFFFF"/>
                <w:spacing w:val="9"/>
                <w:w w:val="105"/>
                <w:sz w:val="16"/>
              </w:rPr>
              <w:t> </w:t>
            </w:r>
            <w:r>
              <w:rPr>
                <w:color w:val="FFFFFF"/>
                <w:w w:val="105"/>
                <w:sz w:val="16"/>
              </w:rPr>
              <w:t>Guide</w:t>
            </w:r>
            <w:r>
              <w:rPr>
                <w:color w:val="FFFFFF"/>
                <w:spacing w:val="8"/>
                <w:w w:val="105"/>
                <w:sz w:val="16"/>
              </w:rPr>
              <w:t> </w:t>
            </w:r>
            <w:r>
              <w:rPr>
                <w:color w:val="FFFFFF"/>
                <w:w w:val="105"/>
                <w:sz w:val="16"/>
              </w:rPr>
              <w:t>for</w:t>
            </w:r>
            <w:r>
              <w:rPr>
                <w:color w:val="FFFFFF"/>
                <w:spacing w:val="8"/>
                <w:w w:val="105"/>
                <w:sz w:val="16"/>
              </w:rPr>
              <w:t> </w:t>
            </w:r>
            <w:r>
              <w:rPr>
                <w:color w:val="FFFFFF"/>
                <w:w w:val="105"/>
                <w:sz w:val="16"/>
              </w:rPr>
              <w:t>Determining</w:t>
            </w:r>
            <w:r>
              <w:rPr>
                <w:color w:val="FFFFFF"/>
                <w:spacing w:val="8"/>
                <w:w w:val="105"/>
                <w:sz w:val="16"/>
              </w:rPr>
              <w:t> </w:t>
            </w:r>
            <w:r>
              <w:rPr>
                <w:color w:val="FFFFFF"/>
                <w:w w:val="105"/>
                <w:sz w:val="16"/>
              </w:rPr>
              <w:t>Type</w:t>
            </w:r>
            <w:r>
              <w:rPr>
                <w:color w:val="FFFFFF"/>
                <w:spacing w:val="9"/>
                <w:w w:val="105"/>
                <w:sz w:val="16"/>
              </w:rPr>
              <w:t> </w:t>
            </w:r>
            <w:r>
              <w:rPr>
                <w:color w:val="FFFFFF"/>
                <w:w w:val="105"/>
                <w:sz w:val="16"/>
              </w:rPr>
              <w:t>and</w:t>
            </w:r>
            <w:r>
              <w:rPr>
                <w:color w:val="FFFFFF"/>
                <w:spacing w:val="8"/>
                <w:w w:val="105"/>
                <w:sz w:val="16"/>
              </w:rPr>
              <w:t> </w:t>
            </w:r>
            <w:r>
              <w:rPr>
                <w:color w:val="FFFFFF"/>
                <w:w w:val="105"/>
                <w:sz w:val="16"/>
              </w:rPr>
              <w:t>Severity</w:t>
            </w:r>
            <w:r>
              <w:rPr>
                <w:color w:val="FFFFFF"/>
                <w:spacing w:val="8"/>
                <w:w w:val="105"/>
                <w:sz w:val="16"/>
              </w:rPr>
              <w:t> </w:t>
            </w:r>
            <w:r>
              <w:rPr>
                <w:color w:val="FFFFFF"/>
                <w:w w:val="105"/>
                <w:sz w:val="16"/>
              </w:rPr>
              <w:t>of</w:t>
            </w:r>
            <w:r>
              <w:rPr>
                <w:color w:val="FFFFFF"/>
                <w:spacing w:val="8"/>
                <w:w w:val="105"/>
                <w:sz w:val="16"/>
              </w:rPr>
              <w:t> </w:t>
            </w:r>
            <w:r>
              <w:rPr>
                <w:color w:val="FFFFFF"/>
                <w:spacing w:val="-2"/>
                <w:w w:val="105"/>
                <w:sz w:val="16"/>
              </w:rPr>
              <w:t>Lateral</w:t>
            </w:r>
          </w:p>
        </w:tc>
        <w:tc>
          <w:tcPr>
            <w:tcW w:w="3688" w:type="dxa"/>
            <w:shd w:val="clear" w:color="auto" w:fill="231F20"/>
          </w:tcPr>
          <w:p>
            <w:pPr>
              <w:pStyle w:val="TableParagraph"/>
              <w:spacing w:before="89"/>
              <w:ind w:left="18"/>
              <w:rPr>
                <w:sz w:val="16"/>
              </w:rPr>
            </w:pPr>
            <w:r>
              <w:rPr>
                <w:color w:val="FFFFFF"/>
                <w:w w:val="105"/>
                <w:sz w:val="16"/>
              </w:rPr>
              <w:t>and</w:t>
            </w:r>
            <w:r>
              <w:rPr>
                <w:color w:val="FFFFFF"/>
                <w:spacing w:val="7"/>
                <w:w w:val="105"/>
                <w:sz w:val="16"/>
              </w:rPr>
              <w:t> </w:t>
            </w:r>
            <w:r>
              <w:rPr>
                <w:color w:val="FFFFFF"/>
                <w:w w:val="105"/>
                <w:sz w:val="16"/>
              </w:rPr>
              <w:t>Posterior</w:t>
            </w:r>
            <w:r>
              <w:rPr>
                <w:color w:val="FFFFFF"/>
                <w:spacing w:val="7"/>
                <w:w w:val="105"/>
                <w:sz w:val="16"/>
              </w:rPr>
              <w:t> </w:t>
            </w:r>
            <w:r>
              <w:rPr>
                <w:color w:val="FFFFFF"/>
                <w:w w:val="105"/>
                <w:sz w:val="16"/>
              </w:rPr>
              <w:t>Deformational</w:t>
            </w:r>
            <w:r>
              <w:rPr>
                <w:color w:val="FFFFFF"/>
                <w:spacing w:val="7"/>
                <w:w w:val="105"/>
                <w:sz w:val="16"/>
              </w:rPr>
              <w:t> </w:t>
            </w:r>
            <w:r>
              <w:rPr>
                <w:color w:val="FFFFFF"/>
                <w:spacing w:val="-2"/>
                <w:w w:val="105"/>
                <w:sz w:val="16"/>
              </w:rPr>
              <w:t>Plagiocephaly</w:t>
            </w:r>
          </w:p>
        </w:tc>
      </w:tr>
      <w:tr>
        <w:trPr>
          <w:trHeight w:val="614" w:hRule="atLeast"/>
        </w:trPr>
        <w:tc>
          <w:tcPr>
            <w:tcW w:w="6052" w:type="dxa"/>
            <w:tcBorders>
              <w:bottom w:val="single" w:sz="4" w:space="0" w:color="231F20"/>
            </w:tcBorders>
            <w:shd w:val="clear" w:color="auto" w:fill="E8F5F1"/>
          </w:tcPr>
          <w:p>
            <w:pPr>
              <w:pStyle w:val="TableParagraph"/>
              <w:spacing w:before="48"/>
              <w:ind w:left="74"/>
              <w:rPr>
                <w:sz w:val="15"/>
              </w:rPr>
            </w:pPr>
            <w:r>
              <w:rPr>
                <w:color w:val="231F20"/>
                <w:spacing w:val="-4"/>
                <w:w w:val="105"/>
                <w:sz w:val="15"/>
              </w:rPr>
              <w:t>TYPE</w:t>
            </w:r>
          </w:p>
          <w:p>
            <w:pPr>
              <w:pStyle w:val="TableParagraph"/>
              <w:spacing w:before="7"/>
              <w:rPr>
                <w:sz w:val="15"/>
              </w:rPr>
            </w:pPr>
          </w:p>
          <w:p>
            <w:pPr>
              <w:pStyle w:val="TableParagraph"/>
              <w:tabs>
                <w:tab w:pos="2685" w:val="left" w:leader="none"/>
              </w:tabs>
              <w:spacing w:before="1"/>
              <w:ind w:left="74"/>
              <w:rPr>
                <w:b/>
                <w:sz w:val="15"/>
              </w:rPr>
            </w:pPr>
            <w:r>
              <w:rPr>
                <w:b/>
                <w:color w:val="231F20"/>
                <w:w w:val="110"/>
                <w:sz w:val="15"/>
              </w:rPr>
              <w:t>CLINICAL</w:t>
            </w:r>
            <w:r>
              <w:rPr>
                <w:b/>
                <w:color w:val="231F20"/>
                <w:spacing w:val="-4"/>
                <w:w w:val="110"/>
                <w:sz w:val="15"/>
              </w:rPr>
              <w:t> </w:t>
            </w:r>
            <w:r>
              <w:rPr>
                <w:b/>
                <w:color w:val="231F20"/>
                <w:spacing w:val="-2"/>
                <w:w w:val="110"/>
                <w:sz w:val="15"/>
              </w:rPr>
              <w:t>FINDINGS</w:t>
            </w:r>
            <w:r>
              <w:rPr>
                <w:b/>
                <w:color w:val="231F20"/>
                <w:sz w:val="15"/>
              </w:rPr>
              <w:tab/>
            </w:r>
            <w:r>
              <w:rPr>
                <w:b/>
                <w:color w:val="231F20"/>
                <w:w w:val="110"/>
                <w:sz w:val="15"/>
              </w:rPr>
              <w:t>LATERAL</w:t>
            </w:r>
            <w:r>
              <w:rPr>
                <w:b/>
                <w:color w:val="231F20"/>
                <w:spacing w:val="-8"/>
                <w:w w:val="110"/>
                <w:sz w:val="15"/>
              </w:rPr>
              <w:t> </w:t>
            </w:r>
            <w:r>
              <w:rPr>
                <w:b/>
                <w:color w:val="231F20"/>
                <w:w w:val="110"/>
                <w:sz w:val="15"/>
              </w:rPr>
              <w:t>DEFORMATIONAL</w:t>
            </w:r>
            <w:r>
              <w:rPr>
                <w:b/>
                <w:color w:val="231F20"/>
                <w:spacing w:val="-7"/>
                <w:w w:val="110"/>
                <w:sz w:val="15"/>
              </w:rPr>
              <w:t> </w:t>
            </w:r>
            <w:r>
              <w:rPr>
                <w:b/>
                <w:color w:val="231F20"/>
                <w:spacing w:val="-2"/>
                <w:w w:val="110"/>
                <w:sz w:val="15"/>
              </w:rPr>
              <w:t>PLAGIOCEPHALY</w:t>
            </w:r>
          </w:p>
        </w:tc>
        <w:tc>
          <w:tcPr>
            <w:tcW w:w="3688" w:type="dxa"/>
            <w:tcBorders>
              <w:bottom w:val="single" w:sz="4" w:space="0" w:color="231F20"/>
            </w:tcBorders>
            <w:shd w:val="clear" w:color="auto" w:fill="E8F5F1"/>
          </w:tcPr>
          <w:p>
            <w:pPr>
              <w:pStyle w:val="TableParagraph"/>
              <w:spacing w:before="67"/>
              <w:rPr>
                <w:sz w:val="15"/>
              </w:rPr>
            </w:pPr>
          </w:p>
          <w:p>
            <w:pPr>
              <w:pStyle w:val="TableParagraph"/>
              <w:spacing w:line="230" w:lineRule="auto"/>
              <w:ind w:left="677" w:firstLine="240"/>
              <w:rPr>
                <w:b/>
                <w:sz w:val="15"/>
              </w:rPr>
            </w:pPr>
            <w:r>
              <w:rPr>
                <w:b/>
                <w:color w:val="231F20"/>
                <w:w w:val="110"/>
                <w:sz w:val="15"/>
              </w:rPr>
              <w:t>POSTERIOR DEFORMATIONAL </w:t>
            </w:r>
            <w:r>
              <w:rPr>
                <w:b/>
                <w:color w:val="231F20"/>
                <w:spacing w:val="-2"/>
                <w:w w:val="110"/>
                <w:sz w:val="15"/>
              </w:rPr>
              <w:t>PLAGIOCEPHALY</w:t>
            </w:r>
            <w:r>
              <w:rPr>
                <w:b/>
                <w:color w:val="231F20"/>
                <w:spacing w:val="-11"/>
                <w:w w:val="110"/>
                <w:sz w:val="15"/>
              </w:rPr>
              <w:t> </w:t>
            </w:r>
            <w:r>
              <w:rPr>
                <w:b/>
                <w:color w:val="231F20"/>
                <w:spacing w:val="-2"/>
                <w:w w:val="110"/>
                <w:sz w:val="15"/>
              </w:rPr>
              <w:t>(BRACHYCEPHALY)</w:t>
            </w:r>
          </w:p>
        </w:tc>
      </w:tr>
      <w:tr>
        <w:trPr>
          <w:trHeight w:val="1595" w:hRule="atLeast"/>
        </w:trPr>
        <w:tc>
          <w:tcPr>
            <w:tcW w:w="6052" w:type="dxa"/>
            <w:tcBorders>
              <w:top w:val="single" w:sz="4" w:space="0" w:color="231F20"/>
              <w:bottom w:val="single" w:sz="8" w:space="0" w:color="FFFFFF"/>
            </w:tcBorders>
            <w:shd w:val="clear" w:color="auto" w:fill="E8F5F1"/>
          </w:tcPr>
          <w:p>
            <w:pPr>
              <w:pStyle w:val="TableParagraph"/>
              <w:tabs>
                <w:tab w:pos="2685" w:val="left" w:leader="none"/>
              </w:tabs>
              <w:spacing w:line="230" w:lineRule="auto" w:before="29"/>
              <w:ind w:left="2797" w:right="529" w:hanging="2724"/>
              <w:rPr>
                <w:sz w:val="15"/>
              </w:rPr>
            </w:pPr>
            <w:r>
              <w:rPr>
                <w:color w:val="231F20"/>
                <w:sz w:val="15"/>
              </w:rPr>
              <w:t>Occiput (vertex view)</w:t>
              <w:tab/>
            </w:r>
            <w:r>
              <w:rPr>
                <w:color w:val="231F20"/>
                <w:spacing w:val="-4"/>
                <w:sz w:val="15"/>
              </w:rPr>
              <w:t>Ipsilateral</w:t>
            </w:r>
            <w:r>
              <w:rPr>
                <w:color w:val="231F20"/>
                <w:spacing w:val="-5"/>
                <w:sz w:val="15"/>
              </w:rPr>
              <w:t> </w:t>
            </w:r>
            <w:r>
              <w:rPr>
                <w:color w:val="231F20"/>
                <w:spacing w:val="-4"/>
                <w:sz w:val="15"/>
              </w:rPr>
              <w:t>occipital</w:t>
            </w:r>
            <w:r>
              <w:rPr>
                <w:color w:val="231F20"/>
                <w:spacing w:val="-5"/>
                <w:sz w:val="15"/>
              </w:rPr>
              <w:t> </w:t>
            </w:r>
            <w:r>
              <w:rPr>
                <w:color w:val="231F20"/>
                <w:spacing w:val="-4"/>
                <w:sz w:val="15"/>
              </w:rPr>
              <w:t>flattening;</w:t>
            </w:r>
            <w:r>
              <w:rPr>
                <w:color w:val="231F20"/>
                <w:spacing w:val="-5"/>
                <w:sz w:val="15"/>
              </w:rPr>
              <w:t> </w:t>
            </w:r>
            <w:r>
              <w:rPr>
                <w:color w:val="231F20"/>
                <w:spacing w:val="-4"/>
                <w:sz w:val="15"/>
              </w:rPr>
              <w:t>contralateral </w:t>
            </w:r>
            <w:r>
              <w:rPr>
                <w:color w:val="231F20"/>
                <w:sz w:val="15"/>
              </w:rPr>
              <w:t>occipital bossing</w:t>
            </w:r>
          </w:p>
          <w:p>
            <w:pPr>
              <w:pStyle w:val="TableParagraph"/>
              <w:tabs>
                <w:tab w:pos="2685" w:val="left" w:leader="none"/>
              </w:tabs>
              <w:spacing w:line="169" w:lineRule="exact"/>
              <w:ind w:left="74"/>
              <w:rPr>
                <w:sz w:val="15"/>
              </w:rPr>
            </w:pPr>
            <w:r>
              <w:rPr>
                <w:color w:val="231F20"/>
                <w:spacing w:val="-2"/>
                <w:sz w:val="15"/>
              </w:rPr>
              <w:t>Ear</w:t>
            </w:r>
            <w:r>
              <w:rPr>
                <w:color w:val="231F20"/>
                <w:spacing w:val="-3"/>
                <w:sz w:val="15"/>
              </w:rPr>
              <w:t> </w:t>
            </w:r>
            <w:r>
              <w:rPr>
                <w:color w:val="231F20"/>
                <w:spacing w:val="-2"/>
                <w:sz w:val="15"/>
              </w:rPr>
              <w:t>position (vertex view)</w:t>
            </w:r>
            <w:r>
              <w:rPr>
                <w:color w:val="231F20"/>
                <w:sz w:val="15"/>
              </w:rPr>
              <w:tab/>
            </w:r>
            <w:r>
              <w:rPr>
                <w:color w:val="231F20"/>
                <w:spacing w:val="-2"/>
                <w:sz w:val="15"/>
              </w:rPr>
              <w:t>Ipsilateral</w:t>
            </w:r>
            <w:r>
              <w:rPr>
                <w:color w:val="231F20"/>
                <w:spacing w:val="-5"/>
                <w:sz w:val="15"/>
              </w:rPr>
              <w:t> </w:t>
            </w:r>
            <w:r>
              <w:rPr>
                <w:color w:val="231F20"/>
                <w:spacing w:val="-2"/>
                <w:sz w:val="15"/>
              </w:rPr>
              <w:t>ear</w:t>
            </w:r>
            <w:r>
              <w:rPr>
                <w:color w:val="231F20"/>
                <w:spacing w:val="-5"/>
                <w:sz w:val="15"/>
              </w:rPr>
              <w:t> </w:t>
            </w:r>
            <w:r>
              <w:rPr>
                <w:color w:val="231F20"/>
                <w:spacing w:val="-2"/>
                <w:sz w:val="15"/>
              </w:rPr>
              <w:t>may</w:t>
            </w:r>
            <w:r>
              <w:rPr>
                <w:color w:val="231F20"/>
                <w:spacing w:val="-4"/>
                <w:sz w:val="15"/>
              </w:rPr>
              <w:t> </w:t>
            </w:r>
            <w:r>
              <w:rPr>
                <w:color w:val="231F20"/>
                <w:spacing w:val="-2"/>
                <w:sz w:val="15"/>
              </w:rPr>
              <w:t>be</w:t>
            </w:r>
            <w:r>
              <w:rPr>
                <w:color w:val="231F20"/>
                <w:spacing w:val="-5"/>
                <w:sz w:val="15"/>
              </w:rPr>
              <w:t> </w:t>
            </w:r>
            <w:r>
              <w:rPr>
                <w:color w:val="231F20"/>
                <w:spacing w:val="-2"/>
                <w:sz w:val="15"/>
              </w:rPr>
              <w:t>anteriorly</w:t>
            </w:r>
            <w:r>
              <w:rPr>
                <w:color w:val="231F20"/>
                <w:spacing w:val="-5"/>
                <w:sz w:val="15"/>
              </w:rPr>
              <w:t> </w:t>
            </w:r>
            <w:r>
              <w:rPr>
                <w:color w:val="231F20"/>
                <w:spacing w:val="-2"/>
                <w:sz w:val="15"/>
              </w:rPr>
              <w:t>displaced</w:t>
            </w:r>
          </w:p>
          <w:p>
            <w:pPr>
              <w:pStyle w:val="TableParagraph"/>
              <w:tabs>
                <w:tab w:pos="2685" w:val="left" w:leader="none"/>
                <w:tab w:pos="2797" w:val="left" w:leader="none"/>
              </w:tabs>
              <w:spacing w:line="230" w:lineRule="auto" w:before="3"/>
              <w:ind w:left="186" w:right="164" w:hanging="112"/>
              <w:rPr>
                <w:sz w:val="15"/>
              </w:rPr>
            </w:pPr>
            <w:r>
              <w:rPr>
                <w:color w:val="231F20"/>
                <w:sz w:val="15"/>
              </w:rPr>
              <w:t>Face, forehead (anterior, lateral,</w:t>
              <w:tab/>
              <w:t>May</w:t>
            </w:r>
            <w:r>
              <w:rPr>
                <w:color w:val="231F20"/>
                <w:spacing w:val="-6"/>
                <w:sz w:val="15"/>
              </w:rPr>
              <w:t> </w:t>
            </w:r>
            <w:r>
              <w:rPr>
                <w:color w:val="231F20"/>
                <w:sz w:val="15"/>
              </w:rPr>
              <w:t>be</w:t>
            </w:r>
            <w:r>
              <w:rPr>
                <w:color w:val="231F20"/>
                <w:spacing w:val="-6"/>
                <w:sz w:val="15"/>
              </w:rPr>
              <w:t> </w:t>
            </w:r>
            <w:r>
              <w:rPr>
                <w:color w:val="231F20"/>
                <w:sz w:val="15"/>
              </w:rPr>
              <w:t>normal;</w:t>
            </w:r>
            <w:r>
              <w:rPr>
                <w:color w:val="231F20"/>
                <w:spacing w:val="-6"/>
                <w:sz w:val="15"/>
              </w:rPr>
              <w:t> </w:t>
            </w:r>
            <w:r>
              <w:rPr>
                <w:color w:val="231F20"/>
                <w:sz w:val="15"/>
              </w:rPr>
              <w:t>more-severe</w:t>
            </w:r>
            <w:r>
              <w:rPr>
                <w:color w:val="231F20"/>
                <w:spacing w:val="-6"/>
                <w:sz w:val="15"/>
              </w:rPr>
              <w:t> </w:t>
            </w:r>
            <w:r>
              <w:rPr>
                <w:color w:val="231F20"/>
                <w:sz w:val="15"/>
              </w:rPr>
              <w:t>cases</w:t>
            </w:r>
            <w:r>
              <w:rPr>
                <w:color w:val="231F20"/>
                <w:spacing w:val="-6"/>
                <w:sz w:val="15"/>
              </w:rPr>
              <w:t> </w:t>
            </w:r>
            <w:r>
              <w:rPr>
                <w:color w:val="231F20"/>
                <w:sz w:val="15"/>
              </w:rPr>
              <w:t>may</w:t>
            </w:r>
            <w:r>
              <w:rPr>
                <w:color w:val="231F20"/>
                <w:spacing w:val="-6"/>
                <w:sz w:val="15"/>
              </w:rPr>
              <w:t> </w:t>
            </w:r>
            <w:r>
              <w:rPr>
                <w:color w:val="231F20"/>
                <w:sz w:val="15"/>
              </w:rPr>
              <w:t>present and vertex views)</w:t>
              <w:tab/>
              <w:tab/>
              <w:t>with the following: mandibular asymmetry,</w:t>
            </w:r>
          </w:p>
          <w:p>
            <w:pPr>
              <w:pStyle w:val="TableParagraph"/>
              <w:spacing w:line="230" w:lineRule="auto" w:before="2"/>
              <w:ind w:left="2797"/>
              <w:rPr>
                <w:sz w:val="15"/>
              </w:rPr>
            </w:pPr>
            <w:r>
              <w:rPr>
                <w:color w:val="231F20"/>
                <w:spacing w:val="-2"/>
                <w:sz w:val="15"/>
              </w:rPr>
              <w:t>ipsilateral</w:t>
            </w:r>
            <w:r>
              <w:rPr>
                <w:color w:val="231F20"/>
                <w:spacing w:val="-10"/>
                <w:sz w:val="15"/>
              </w:rPr>
              <w:t> </w:t>
            </w:r>
            <w:r>
              <w:rPr>
                <w:color w:val="231F20"/>
                <w:spacing w:val="-2"/>
                <w:sz w:val="15"/>
              </w:rPr>
              <w:t>frontal</w:t>
            </w:r>
            <w:r>
              <w:rPr>
                <w:color w:val="231F20"/>
                <w:spacing w:val="-9"/>
                <w:sz w:val="15"/>
              </w:rPr>
              <w:t> </w:t>
            </w:r>
            <w:r>
              <w:rPr>
                <w:color w:val="231F20"/>
                <w:spacing w:val="-2"/>
                <w:sz w:val="15"/>
              </w:rPr>
              <w:t>bossing,</w:t>
            </w:r>
            <w:r>
              <w:rPr>
                <w:color w:val="231F20"/>
                <w:spacing w:val="-9"/>
                <w:sz w:val="15"/>
              </w:rPr>
              <w:t> </w:t>
            </w:r>
            <w:r>
              <w:rPr>
                <w:color w:val="231F20"/>
                <w:spacing w:val="-2"/>
                <w:sz w:val="15"/>
              </w:rPr>
              <w:t>contralateral</w:t>
            </w:r>
            <w:r>
              <w:rPr>
                <w:color w:val="231F20"/>
                <w:spacing w:val="-10"/>
                <w:sz w:val="15"/>
              </w:rPr>
              <w:t> </w:t>
            </w:r>
            <w:r>
              <w:rPr>
                <w:color w:val="231F20"/>
                <w:spacing w:val="-2"/>
                <w:sz w:val="15"/>
              </w:rPr>
              <w:t>forehead </w:t>
            </w:r>
            <w:r>
              <w:rPr>
                <w:color w:val="231F20"/>
                <w:sz w:val="15"/>
              </w:rPr>
              <w:t>flattening,</w:t>
            </w:r>
            <w:r>
              <w:rPr>
                <w:color w:val="231F20"/>
                <w:spacing w:val="-12"/>
                <w:sz w:val="15"/>
              </w:rPr>
              <w:t> </w:t>
            </w:r>
            <w:r>
              <w:rPr>
                <w:color w:val="231F20"/>
                <w:sz w:val="15"/>
              </w:rPr>
              <w:t>ipsilateral</w:t>
            </w:r>
            <w:r>
              <w:rPr>
                <w:color w:val="231F20"/>
                <w:spacing w:val="-11"/>
                <w:sz w:val="15"/>
              </w:rPr>
              <w:t> </w:t>
            </w:r>
            <w:r>
              <w:rPr>
                <w:color w:val="231F20"/>
                <w:sz w:val="15"/>
              </w:rPr>
              <w:t>cheek</w:t>
            </w:r>
            <w:r>
              <w:rPr>
                <w:color w:val="231F20"/>
                <w:spacing w:val="-11"/>
                <w:sz w:val="15"/>
              </w:rPr>
              <w:t> </w:t>
            </w:r>
            <w:r>
              <w:rPr>
                <w:color w:val="231F20"/>
                <w:sz w:val="15"/>
              </w:rPr>
              <w:t>anteriorly</w:t>
            </w:r>
            <w:r>
              <w:rPr>
                <w:color w:val="231F20"/>
                <w:spacing w:val="-12"/>
                <w:sz w:val="15"/>
              </w:rPr>
              <w:t> </w:t>
            </w:r>
            <w:r>
              <w:rPr>
                <w:color w:val="231F20"/>
                <w:sz w:val="15"/>
              </w:rPr>
              <w:t>displaced</w:t>
            </w:r>
          </w:p>
          <w:p>
            <w:pPr>
              <w:pStyle w:val="TableParagraph"/>
              <w:tabs>
                <w:tab w:pos="2686" w:val="left" w:leader="none"/>
              </w:tabs>
              <w:spacing w:before="16"/>
              <w:ind w:left="74"/>
              <w:rPr>
                <w:sz w:val="15"/>
              </w:rPr>
            </w:pPr>
            <w:r>
              <w:rPr>
                <w:color w:val="231F20"/>
                <w:spacing w:val="-2"/>
                <w:sz w:val="15"/>
              </w:rPr>
              <w:t>Other</w:t>
            </w:r>
            <w:r>
              <w:rPr>
                <w:color w:val="231F20"/>
                <w:sz w:val="15"/>
              </w:rPr>
              <w:tab/>
            </w:r>
            <w:r>
              <w:rPr>
                <w:color w:val="231F20"/>
                <w:spacing w:val="-2"/>
                <w:sz w:val="15"/>
              </w:rPr>
              <w:t>Torticollis,</w:t>
            </w:r>
            <w:r>
              <w:rPr>
                <w:color w:val="231F20"/>
                <w:spacing w:val="2"/>
                <w:sz w:val="15"/>
              </w:rPr>
              <w:t> </w:t>
            </w:r>
            <w:r>
              <w:rPr>
                <w:color w:val="231F20"/>
                <w:spacing w:val="-2"/>
                <w:sz w:val="15"/>
              </w:rPr>
              <w:t>head</w:t>
            </w:r>
            <w:r>
              <w:rPr>
                <w:color w:val="231F20"/>
                <w:spacing w:val="2"/>
                <w:sz w:val="15"/>
              </w:rPr>
              <w:t> </w:t>
            </w:r>
            <w:r>
              <w:rPr>
                <w:color w:val="231F20"/>
                <w:spacing w:val="-2"/>
                <w:sz w:val="15"/>
              </w:rPr>
              <w:t>position</w:t>
            </w:r>
            <w:r>
              <w:rPr>
                <w:color w:val="231F20"/>
                <w:spacing w:val="2"/>
                <w:sz w:val="15"/>
              </w:rPr>
              <w:t> </w:t>
            </w:r>
            <w:r>
              <w:rPr>
                <w:color w:val="231F20"/>
                <w:spacing w:val="-2"/>
                <w:sz w:val="15"/>
              </w:rPr>
              <w:t>preference</w:t>
            </w:r>
          </w:p>
        </w:tc>
        <w:tc>
          <w:tcPr>
            <w:tcW w:w="3688" w:type="dxa"/>
            <w:tcBorders>
              <w:top w:val="single" w:sz="4" w:space="0" w:color="231F20"/>
              <w:bottom w:val="single" w:sz="8" w:space="0" w:color="FFFFFF"/>
            </w:tcBorders>
            <w:shd w:val="clear" w:color="auto" w:fill="E8F5F1"/>
          </w:tcPr>
          <w:p>
            <w:pPr>
              <w:pStyle w:val="TableParagraph"/>
              <w:spacing w:before="23"/>
              <w:ind w:left="456"/>
              <w:rPr>
                <w:sz w:val="15"/>
              </w:rPr>
            </w:pPr>
            <w:r>
              <w:rPr>
                <w:color w:val="231F20"/>
                <w:spacing w:val="-2"/>
                <w:sz w:val="15"/>
              </w:rPr>
              <w:t>Uniform</w:t>
            </w:r>
            <w:r>
              <w:rPr>
                <w:color w:val="231F20"/>
                <w:spacing w:val="-1"/>
                <w:sz w:val="15"/>
              </w:rPr>
              <w:t> </w:t>
            </w:r>
            <w:r>
              <w:rPr>
                <w:color w:val="231F20"/>
                <w:spacing w:val="-2"/>
                <w:sz w:val="15"/>
              </w:rPr>
              <w:t>occipital</w:t>
            </w:r>
            <w:r>
              <w:rPr>
                <w:color w:val="231F20"/>
                <w:sz w:val="15"/>
              </w:rPr>
              <w:t> </w:t>
            </w:r>
            <w:r>
              <w:rPr>
                <w:color w:val="231F20"/>
                <w:spacing w:val="-2"/>
                <w:sz w:val="15"/>
              </w:rPr>
              <w:t>flattening</w:t>
            </w:r>
          </w:p>
          <w:p>
            <w:pPr>
              <w:pStyle w:val="TableParagraph"/>
              <w:spacing w:line="172" w:lineRule="exact" w:before="163"/>
              <w:ind w:left="456"/>
              <w:rPr>
                <w:sz w:val="15"/>
              </w:rPr>
            </w:pPr>
            <w:r>
              <w:rPr>
                <w:color w:val="231F20"/>
                <w:spacing w:val="-2"/>
                <w:sz w:val="15"/>
              </w:rPr>
              <w:t>Normal</w:t>
            </w:r>
          </w:p>
          <w:p>
            <w:pPr>
              <w:pStyle w:val="TableParagraph"/>
              <w:spacing w:line="230" w:lineRule="auto" w:before="4"/>
              <w:ind w:left="568" w:hanging="112"/>
              <w:rPr>
                <w:sz w:val="15"/>
              </w:rPr>
            </w:pPr>
            <w:r>
              <w:rPr>
                <w:color w:val="231F20"/>
                <w:sz w:val="15"/>
              </w:rPr>
              <w:t>Temporal</w:t>
            </w:r>
            <w:r>
              <w:rPr>
                <w:color w:val="231F20"/>
                <w:spacing w:val="-12"/>
                <w:sz w:val="15"/>
              </w:rPr>
              <w:t> </w:t>
            </w:r>
            <w:r>
              <w:rPr>
                <w:color w:val="231F20"/>
                <w:sz w:val="15"/>
              </w:rPr>
              <w:t>bossing,</w:t>
            </w:r>
            <w:r>
              <w:rPr>
                <w:color w:val="231F20"/>
                <w:spacing w:val="-11"/>
                <w:sz w:val="15"/>
              </w:rPr>
              <w:t> </w:t>
            </w:r>
            <w:r>
              <w:rPr>
                <w:color w:val="231F20"/>
                <w:sz w:val="15"/>
              </w:rPr>
              <w:t>increase</w:t>
            </w:r>
            <w:r>
              <w:rPr>
                <w:color w:val="231F20"/>
                <w:spacing w:val="-11"/>
                <w:sz w:val="15"/>
              </w:rPr>
              <w:t> </w:t>
            </w:r>
            <w:r>
              <w:rPr>
                <w:color w:val="231F20"/>
                <w:sz w:val="15"/>
              </w:rPr>
              <w:t>in</w:t>
            </w:r>
            <w:r>
              <w:rPr>
                <w:color w:val="231F20"/>
                <w:spacing w:val="-12"/>
                <w:sz w:val="15"/>
              </w:rPr>
              <w:t> </w:t>
            </w:r>
            <w:r>
              <w:rPr>
                <w:color w:val="231F20"/>
                <w:sz w:val="15"/>
              </w:rPr>
              <w:t>vertical</w:t>
            </w:r>
            <w:r>
              <w:rPr>
                <w:color w:val="231F20"/>
                <w:spacing w:val="-11"/>
                <w:sz w:val="15"/>
              </w:rPr>
              <w:t> </w:t>
            </w:r>
            <w:r>
              <w:rPr>
                <w:color w:val="231F20"/>
                <w:sz w:val="15"/>
              </w:rPr>
              <w:t>height</w:t>
            </w:r>
            <w:r>
              <w:rPr>
                <w:color w:val="231F20"/>
                <w:spacing w:val="-11"/>
                <w:sz w:val="15"/>
              </w:rPr>
              <w:t> </w:t>
            </w:r>
            <w:r>
              <w:rPr>
                <w:color w:val="231F20"/>
                <w:sz w:val="15"/>
              </w:rPr>
              <w:t>in severe cases</w:t>
            </w:r>
          </w:p>
          <w:p>
            <w:pPr>
              <w:pStyle w:val="TableParagraph"/>
              <w:rPr>
                <w:sz w:val="15"/>
              </w:rPr>
            </w:pPr>
          </w:p>
          <w:p>
            <w:pPr>
              <w:pStyle w:val="TableParagraph"/>
              <w:spacing w:before="9"/>
              <w:rPr>
                <w:sz w:val="15"/>
              </w:rPr>
            </w:pPr>
          </w:p>
          <w:p>
            <w:pPr>
              <w:pStyle w:val="TableParagraph"/>
              <w:spacing w:line="230" w:lineRule="auto"/>
              <w:ind w:left="568" w:hanging="112"/>
              <w:rPr>
                <w:sz w:val="15"/>
              </w:rPr>
            </w:pPr>
            <w:r>
              <w:rPr>
                <w:color w:val="231F20"/>
                <w:spacing w:val="-2"/>
                <w:sz w:val="15"/>
              </w:rPr>
              <w:t>Large</w:t>
            </w:r>
            <w:r>
              <w:rPr>
                <w:color w:val="231F20"/>
                <w:spacing w:val="-10"/>
                <w:sz w:val="15"/>
              </w:rPr>
              <w:t> </w:t>
            </w:r>
            <w:r>
              <w:rPr>
                <w:color w:val="231F20"/>
                <w:spacing w:val="-2"/>
                <w:sz w:val="15"/>
              </w:rPr>
              <w:t>size,</w:t>
            </w:r>
            <w:r>
              <w:rPr>
                <w:color w:val="231F20"/>
                <w:spacing w:val="-9"/>
                <w:sz w:val="15"/>
              </w:rPr>
              <w:t> </w:t>
            </w:r>
            <w:r>
              <w:rPr>
                <w:color w:val="231F20"/>
                <w:spacing w:val="-2"/>
                <w:sz w:val="15"/>
              </w:rPr>
              <w:t>history</w:t>
            </w:r>
            <w:r>
              <w:rPr>
                <w:color w:val="231F20"/>
                <w:spacing w:val="-9"/>
                <w:sz w:val="15"/>
              </w:rPr>
              <w:t> </w:t>
            </w:r>
            <w:r>
              <w:rPr>
                <w:color w:val="231F20"/>
                <w:spacing w:val="-2"/>
                <w:sz w:val="15"/>
              </w:rPr>
              <w:t>of</w:t>
            </w:r>
            <w:r>
              <w:rPr>
                <w:color w:val="231F20"/>
                <w:spacing w:val="-10"/>
                <w:sz w:val="15"/>
              </w:rPr>
              <w:t> </w:t>
            </w:r>
            <w:r>
              <w:rPr>
                <w:color w:val="231F20"/>
                <w:spacing w:val="-2"/>
                <w:sz w:val="15"/>
              </w:rPr>
              <w:t>limited</w:t>
            </w:r>
            <w:r>
              <w:rPr>
                <w:color w:val="231F20"/>
                <w:spacing w:val="-9"/>
                <w:sz w:val="15"/>
              </w:rPr>
              <w:t> </w:t>
            </w:r>
            <w:r>
              <w:rPr>
                <w:color w:val="231F20"/>
                <w:spacing w:val="-2"/>
                <w:sz w:val="15"/>
              </w:rPr>
              <w:t>activity</w:t>
            </w:r>
            <w:r>
              <w:rPr>
                <w:color w:val="231F20"/>
                <w:spacing w:val="-9"/>
                <w:sz w:val="15"/>
              </w:rPr>
              <w:t> </w:t>
            </w:r>
            <w:r>
              <w:rPr>
                <w:color w:val="231F20"/>
                <w:spacing w:val="-2"/>
                <w:sz w:val="15"/>
              </w:rPr>
              <w:t>or</w:t>
            </w:r>
            <w:r>
              <w:rPr>
                <w:color w:val="231F20"/>
                <w:spacing w:val="-10"/>
                <w:sz w:val="15"/>
              </w:rPr>
              <w:t> </w:t>
            </w:r>
            <w:r>
              <w:rPr>
                <w:color w:val="231F20"/>
                <w:spacing w:val="-2"/>
                <w:sz w:val="15"/>
              </w:rPr>
              <w:t>limited mobility</w:t>
            </w:r>
          </w:p>
        </w:tc>
      </w:tr>
      <w:tr>
        <w:trPr>
          <w:trHeight w:val="688" w:hRule="atLeast"/>
        </w:trPr>
        <w:tc>
          <w:tcPr>
            <w:tcW w:w="6052" w:type="dxa"/>
            <w:tcBorders>
              <w:top w:val="single" w:sz="8" w:space="0" w:color="FFFFFF"/>
              <w:bottom w:val="single" w:sz="4" w:space="0" w:color="231F20"/>
            </w:tcBorders>
            <w:shd w:val="clear" w:color="auto" w:fill="E8F5F1"/>
          </w:tcPr>
          <w:p>
            <w:pPr>
              <w:pStyle w:val="TableParagraph"/>
              <w:spacing w:before="122"/>
              <w:ind w:left="74"/>
              <w:rPr>
                <w:sz w:val="15"/>
              </w:rPr>
            </w:pPr>
            <w:r>
              <w:rPr>
                <w:color w:val="231F20"/>
                <w:spacing w:val="-2"/>
                <w:w w:val="105"/>
                <w:sz w:val="15"/>
              </w:rPr>
              <w:t>SEVERITY</w:t>
            </w:r>
          </w:p>
          <w:p>
            <w:pPr>
              <w:pStyle w:val="TableParagraph"/>
              <w:spacing w:before="7"/>
              <w:rPr>
                <w:sz w:val="15"/>
              </w:rPr>
            </w:pPr>
          </w:p>
          <w:p>
            <w:pPr>
              <w:pStyle w:val="TableParagraph"/>
              <w:spacing w:before="1"/>
              <w:ind w:left="1849"/>
              <w:rPr>
                <w:b/>
                <w:sz w:val="15"/>
              </w:rPr>
            </w:pPr>
            <w:r>
              <w:rPr>
                <w:b/>
                <w:color w:val="231F20"/>
                <w:w w:val="110"/>
                <w:sz w:val="15"/>
              </w:rPr>
              <w:t>LATERAL</w:t>
            </w:r>
            <w:r>
              <w:rPr>
                <w:b/>
                <w:color w:val="231F20"/>
                <w:spacing w:val="-2"/>
                <w:w w:val="110"/>
                <w:sz w:val="15"/>
              </w:rPr>
              <w:t> </w:t>
            </w:r>
            <w:r>
              <w:rPr>
                <w:b/>
                <w:color w:val="231F20"/>
                <w:w w:val="110"/>
                <w:sz w:val="15"/>
              </w:rPr>
              <w:t>DEFORMATIONAL</w:t>
            </w:r>
            <w:r>
              <w:rPr>
                <w:b/>
                <w:color w:val="231F20"/>
                <w:spacing w:val="-1"/>
                <w:w w:val="110"/>
                <w:sz w:val="15"/>
              </w:rPr>
              <w:t> </w:t>
            </w:r>
            <w:r>
              <w:rPr>
                <w:b/>
                <w:color w:val="231F20"/>
                <w:spacing w:val="-2"/>
                <w:w w:val="110"/>
                <w:sz w:val="15"/>
              </w:rPr>
              <w:t>PLAGIOCEPHALY</w:t>
            </w:r>
          </w:p>
        </w:tc>
        <w:tc>
          <w:tcPr>
            <w:tcW w:w="3688" w:type="dxa"/>
            <w:tcBorders>
              <w:top w:val="single" w:sz="8" w:space="0" w:color="FFFFFF"/>
              <w:bottom w:val="single" w:sz="4" w:space="0" w:color="231F20"/>
            </w:tcBorders>
            <w:shd w:val="clear" w:color="auto" w:fill="E8F5F1"/>
          </w:tcPr>
          <w:p>
            <w:pPr>
              <w:pStyle w:val="TableParagraph"/>
              <w:spacing w:before="141"/>
              <w:rPr>
                <w:sz w:val="15"/>
              </w:rPr>
            </w:pPr>
          </w:p>
          <w:p>
            <w:pPr>
              <w:pStyle w:val="TableParagraph"/>
              <w:spacing w:line="230" w:lineRule="auto"/>
              <w:ind w:left="424" w:firstLine="240"/>
              <w:rPr>
                <w:b/>
                <w:sz w:val="15"/>
              </w:rPr>
            </w:pPr>
            <w:r>
              <w:rPr>
                <w:b/>
                <w:color w:val="231F20"/>
                <w:w w:val="110"/>
                <w:sz w:val="15"/>
              </w:rPr>
              <w:t>POSTERIOR DEFORMATIONAL </w:t>
            </w:r>
            <w:r>
              <w:rPr>
                <w:b/>
                <w:color w:val="231F20"/>
                <w:spacing w:val="-2"/>
                <w:w w:val="110"/>
                <w:sz w:val="15"/>
              </w:rPr>
              <w:t>PLAGIOCEPHALY</w:t>
            </w:r>
            <w:r>
              <w:rPr>
                <w:b/>
                <w:color w:val="231F20"/>
                <w:spacing w:val="-11"/>
                <w:w w:val="110"/>
                <w:sz w:val="15"/>
              </w:rPr>
              <w:t> </w:t>
            </w:r>
            <w:r>
              <w:rPr>
                <w:b/>
                <w:color w:val="231F20"/>
                <w:spacing w:val="-2"/>
                <w:w w:val="110"/>
                <w:sz w:val="15"/>
              </w:rPr>
              <w:t>(BRACHYCEPHALY)</w:t>
            </w:r>
          </w:p>
        </w:tc>
      </w:tr>
      <w:tr>
        <w:trPr>
          <w:trHeight w:val="1093" w:hRule="atLeast"/>
        </w:trPr>
        <w:tc>
          <w:tcPr>
            <w:tcW w:w="6052" w:type="dxa"/>
            <w:tcBorders>
              <w:top w:val="single" w:sz="4" w:space="0" w:color="231F20"/>
              <w:bottom w:val="single" w:sz="8" w:space="0" w:color="231F20"/>
            </w:tcBorders>
            <w:shd w:val="clear" w:color="auto" w:fill="E8F5F1"/>
          </w:tcPr>
          <w:p>
            <w:pPr>
              <w:pStyle w:val="TableParagraph"/>
              <w:tabs>
                <w:tab w:pos="1205" w:val="left" w:leader="none"/>
                <w:tab w:pos="2696" w:val="left" w:leader="none"/>
                <w:tab w:pos="3675" w:val="left" w:leader="none"/>
              </w:tabs>
              <w:spacing w:line="171" w:lineRule="exact" w:before="23"/>
              <w:ind w:left="74"/>
              <w:rPr>
                <w:sz w:val="15"/>
              </w:rPr>
            </w:pPr>
            <w:r>
              <w:rPr>
                <w:color w:val="231F20"/>
                <w:spacing w:val="-4"/>
                <w:sz w:val="15"/>
              </w:rPr>
              <w:t>Mild</w:t>
            </w:r>
            <w:r>
              <w:rPr>
                <w:color w:val="231F20"/>
                <w:sz w:val="15"/>
              </w:rPr>
              <w:tab/>
              <w:t>TDD</w:t>
            </w:r>
            <w:r>
              <w:rPr>
                <w:color w:val="231F20"/>
                <w:spacing w:val="14"/>
                <w:sz w:val="15"/>
              </w:rPr>
              <w:t> </w:t>
            </w:r>
            <w:r>
              <w:rPr>
                <w:color w:val="231F20"/>
                <w:sz w:val="15"/>
              </w:rPr>
              <w:t>3-10</w:t>
            </w:r>
            <w:r>
              <w:rPr>
                <w:color w:val="231F20"/>
                <w:spacing w:val="14"/>
                <w:sz w:val="15"/>
              </w:rPr>
              <w:t> </w:t>
            </w:r>
            <w:r>
              <w:rPr>
                <w:color w:val="231F20"/>
                <w:spacing w:val="-5"/>
                <w:sz w:val="15"/>
              </w:rPr>
              <w:t>mm</w:t>
            </w:r>
            <w:r>
              <w:rPr>
                <w:color w:val="231F20"/>
                <w:sz w:val="15"/>
              </w:rPr>
              <w:tab/>
              <w:t>Type</w:t>
            </w:r>
            <w:r>
              <w:rPr>
                <w:color w:val="231F20"/>
                <w:spacing w:val="1"/>
                <w:sz w:val="15"/>
              </w:rPr>
              <w:t> </w:t>
            </w:r>
            <w:r>
              <w:rPr>
                <w:color w:val="231F20"/>
                <w:spacing w:val="-10"/>
                <w:sz w:val="15"/>
              </w:rPr>
              <w:t>I</w:t>
            </w:r>
            <w:r>
              <w:rPr>
                <w:color w:val="231F20"/>
                <w:sz w:val="15"/>
              </w:rPr>
              <w:tab/>
            </w:r>
            <w:r>
              <w:rPr>
                <w:color w:val="231F20"/>
                <w:spacing w:val="-2"/>
                <w:sz w:val="15"/>
              </w:rPr>
              <w:t>Flattening</w:t>
            </w:r>
            <w:r>
              <w:rPr>
                <w:color w:val="231F20"/>
                <w:spacing w:val="-3"/>
                <w:sz w:val="15"/>
              </w:rPr>
              <w:t> </w:t>
            </w:r>
            <w:r>
              <w:rPr>
                <w:color w:val="231F20"/>
                <w:spacing w:val="-2"/>
                <w:sz w:val="15"/>
              </w:rPr>
              <w:t>restricted</w:t>
            </w:r>
            <w:r>
              <w:rPr>
                <w:color w:val="231F20"/>
                <w:spacing w:val="-3"/>
                <w:sz w:val="15"/>
              </w:rPr>
              <w:t> </w:t>
            </w:r>
            <w:r>
              <w:rPr>
                <w:color w:val="231F20"/>
                <w:spacing w:val="-2"/>
                <w:sz w:val="15"/>
              </w:rPr>
              <w:t>to</w:t>
            </w:r>
            <w:r>
              <w:rPr>
                <w:color w:val="231F20"/>
                <w:spacing w:val="-3"/>
                <w:sz w:val="15"/>
              </w:rPr>
              <w:t> </w:t>
            </w:r>
            <w:r>
              <w:rPr>
                <w:color w:val="231F20"/>
                <w:spacing w:val="-2"/>
                <w:sz w:val="15"/>
              </w:rPr>
              <w:t>the</w:t>
            </w:r>
            <w:r>
              <w:rPr>
                <w:color w:val="231F20"/>
                <w:spacing w:val="-3"/>
                <w:sz w:val="15"/>
              </w:rPr>
              <w:t> </w:t>
            </w:r>
            <w:r>
              <w:rPr>
                <w:color w:val="231F20"/>
                <w:spacing w:val="-4"/>
                <w:sz w:val="15"/>
              </w:rPr>
              <w:t>back</w:t>
            </w:r>
          </w:p>
          <w:p>
            <w:pPr>
              <w:pStyle w:val="TableParagraph"/>
              <w:tabs>
                <w:tab w:pos="1205" w:val="left" w:leader="none"/>
                <w:tab w:pos="2696" w:val="left" w:leader="none"/>
                <w:tab w:pos="3675" w:val="left" w:leader="none"/>
              </w:tabs>
              <w:spacing w:line="232" w:lineRule="auto" w:before="1"/>
              <w:ind w:left="74" w:right="1155" w:firstLine="3712"/>
              <w:rPr>
                <w:sz w:val="15"/>
              </w:rPr>
            </w:pPr>
            <w:r>
              <w:rPr>
                <w:color w:val="231F20"/>
                <w:sz w:val="15"/>
              </w:rPr>
              <w:t>of the skull </w:t>
            </w:r>
            <w:r>
              <w:rPr>
                <w:color w:val="231F20"/>
                <w:spacing w:val="-2"/>
                <w:sz w:val="15"/>
              </w:rPr>
              <w:t>Moderate</w:t>
            </w:r>
            <w:r>
              <w:rPr>
                <w:color w:val="231F20"/>
                <w:sz w:val="15"/>
              </w:rPr>
              <w:tab/>
              <w:t>TDD 10-12 mm</w:t>
              <w:tab/>
              <w:t>Type II</w:t>
              <w:tab/>
              <w:t>Malposition</w:t>
            </w:r>
            <w:r>
              <w:rPr>
                <w:color w:val="231F20"/>
                <w:spacing w:val="-12"/>
                <w:sz w:val="15"/>
              </w:rPr>
              <w:t> </w:t>
            </w:r>
            <w:r>
              <w:rPr>
                <w:color w:val="231F20"/>
                <w:sz w:val="15"/>
              </w:rPr>
              <w:t>of</w:t>
            </w:r>
            <w:r>
              <w:rPr>
                <w:color w:val="231F20"/>
                <w:spacing w:val="-11"/>
                <w:sz w:val="15"/>
              </w:rPr>
              <w:t> </w:t>
            </w:r>
            <w:r>
              <w:rPr>
                <w:color w:val="231F20"/>
                <w:sz w:val="15"/>
              </w:rPr>
              <w:t>ear</w:t>
            </w:r>
          </w:p>
          <w:p>
            <w:pPr>
              <w:pStyle w:val="TableParagraph"/>
              <w:tabs>
                <w:tab w:pos="1205" w:val="left" w:leader="none"/>
                <w:tab w:pos="2696" w:val="left" w:leader="none"/>
                <w:tab w:pos="3675" w:val="left" w:leader="none"/>
              </w:tabs>
              <w:spacing w:line="232" w:lineRule="auto" w:before="1"/>
              <w:ind w:left="74" w:right="1049" w:firstLine="2621"/>
              <w:rPr>
                <w:sz w:val="15"/>
              </w:rPr>
            </w:pPr>
            <w:r>
              <w:rPr>
                <w:color w:val="231F20"/>
                <w:sz w:val="15"/>
              </w:rPr>
              <w:t>Type III</w:t>
              <w:tab/>
            </w:r>
            <w:r>
              <w:rPr>
                <w:color w:val="231F20"/>
                <w:spacing w:val="-2"/>
                <w:sz w:val="15"/>
              </w:rPr>
              <w:t>Forehead</w:t>
            </w:r>
            <w:r>
              <w:rPr>
                <w:color w:val="231F20"/>
                <w:spacing w:val="-10"/>
                <w:sz w:val="15"/>
              </w:rPr>
              <w:t> </w:t>
            </w:r>
            <w:r>
              <w:rPr>
                <w:color w:val="231F20"/>
                <w:spacing w:val="-2"/>
                <w:sz w:val="15"/>
              </w:rPr>
              <w:t>deformity </w:t>
            </w:r>
            <w:r>
              <w:rPr>
                <w:color w:val="231F20"/>
                <w:spacing w:val="-2"/>
                <w:position w:val="-1"/>
                <w:sz w:val="15"/>
              </w:rPr>
              <w:t>Severe</w:t>
            </w:r>
            <w:r>
              <w:rPr>
                <w:color w:val="231F20"/>
                <w:position w:val="-1"/>
                <w:sz w:val="15"/>
              </w:rPr>
              <w:tab/>
              <w:t>TDD </w:t>
            </w:r>
            <w:r>
              <w:rPr>
                <w:rFonts w:ascii="Cambria"/>
                <w:color w:val="231F20"/>
                <w:position w:val="-1"/>
                <w:sz w:val="15"/>
              </w:rPr>
              <w:t>&gt;</w:t>
            </w:r>
            <w:r>
              <w:rPr>
                <w:color w:val="231F20"/>
                <w:position w:val="-1"/>
                <w:sz w:val="15"/>
              </w:rPr>
              <w:t>12 mm</w:t>
              <w:tab/>
            </w:r>
            <w:r>
              <w:rPr>
                <w:color w:val="231F20"/>
                <w:sz w:val="15"/>
              </w:rPr>
              <w:t>Type IV</w:t>
              <w:tab/>
              <w:t>Malar deformity</w:t>
            </w:r>
          </w:p>
          <w:p>
            <w:pPr>
              <w:pStyle w:val="TableParagraph"/>
              <w:tabs>
                <w:tab w:pos="3675" w:val="left" w:leader="none"/>
              </w:tabs>
              <w:spacing w:line="170" w:lineRule="exact"/>
              <w:ind w:left="2696"/>
              <w:rPr>
                <w:sz w:val="15"/>
              </w:rPr>
            </w:pPr>
            <w:r>
              <w:rPr>
                <w:color w:val="231F20"/>
                <w:sz w:val="15"/>
              </w:rPr>
              <w:t>Type</w:t>
            </w:r>
            <w:r>
              <w:rPr>
                <w:color w:val="231F20"/>
                <w:spacing w:val="1"/>
                <w:sz w:val="15"/>
              </w:rPr>
              <w:t> </w:t>
            </w:r>
            <w:r>
              <w:rPr>
                <w:color w:val="231F20"/>
                <w:spacing w:val="-10"/>
                <w:sz w:val="15"/>
              </w:rPr>
              <w:t>V</w:t>
            </w:r>
            <w:r>
              <w:rPr>
                <w:color w:val="231F20"/>
                <w:sz w:val="15"/>
              </w:rPr>
              <w:tab/>
            </w:r>
            <w:r>
              <w:rPr>
                <w:color w:val="231F20"/>
                <w:spacing w:val="-2"/>
                <w:sz w:val="15"/>
              </w:rPr>
              <w:t>Vertical</w:t>
            </w:r>
            <w:r>
              <w:rPr>
                <w:color w:val="231F20"/>
                <w:spacing w:val="-5"/>
                <w:sz w:val="15"/>
              </w:rPr>
              <w:t> </w:t>
            </w:r>
            <w:r>
              <w:rPr>
                <w:color w:val="231F20"/>
                <w:spacing w:val="-2"/>
                <w:sz w:val="15"/>
              </w:rPr>
              <w:t>or</w:t>
            </w:r>
            <w:r>
              <w:rPr>
                <w:color w:val="231F20"/>
                <w:spacing w:val="-5"/>
                <w:sz w:val="15"/>
              </w:rPr>
              <w:t> </w:t>
            </w:r>
            <w:r>
              <w:rPr>
                <w:color w:val="231F20"/>
                <w:spacing w:val="-2"/>
                <w:sz w:val="15"/>
              </w:rPr>
              <w:t>temporal</w:t>
            </w:r>
            <w:r>
              <w:rPr>
                <w:color w:val="231F20"/>
                <w:spacing w:val="-5"/>
                <w:sz w:val="15"/>
              </w:rPr>
              <w:t> </w:t>
            </w:r>
            <w:r>
              <w:rPr>
                <w:color w:val="231F20"/>
                <w:spacing w:val="-2"/>
                <w:sz w:val="15"/>
              </w:rPr>
              <w:t>skull</w:t>
            </w:r>
            <w:r>
              <w:rPr>
                <w:color w:val="231F20"/>
                <w:spacing w:val="-4"/>
                <w:sz w:val="15"/>
              </w:rPr>
              <w:t> </w:t>
            </w:r>
            <w:r>
              <w:rPr>
                <w:color w:val="231F20"/>
                <w:spacing w:val="-2"/>
                <w:sz w:val="15"/>
              </w:rPr>
              <w:t>growth</w:t>
            </w:r>
          </w:p>
        </w:tc>
        <w:tc>
          <w:tcPr>
            <w:tcW w:w="3688" w:type="dxa"/>
            <w:tcBorders>
              <w:top w:val="single" w:sz="4" w:space="0" w:color="231F20"/>
              <w:bottom w:val="single" w:sz="8" w:space="0" w:color="231F20"/>
            </w:tcBorders>
            <w:shd w:val="clear" w:color="auto" w:fill="E8F5F1"/>
          </w:tcPr>
          <w:p>
            <w:pPr>
              <w:pStyle w:val="TableParagraph"/>
              <w:tabs>
                <w:tab w:pos="1498" w:val="left" w:leader="none"/>
              </w:tabs>
              <w:spacing w:line="171" w:lineRule="exact" w:before="23"/>
              <w:ind w:left="276"/>
              <w:rPr>
                <w:sz w:val="15"/>
              </w:rPr>
            </w:pPr>
            <w:r>
              <w:rPr>
                <w:color w:val="231F20"/>
                <w:spacing w:val="-4"/>
                <w:sz w:val="15"/>
              </w:rPr>
              <w:t>CI:</w:t>
            </w:r>
            <w:r>
              <w:rPr>
                <w:color w:val="231F20"/>
                <w:spacing w:val="-1"/>
                <w:sz w:val="15"/>
              </w:rPr>
              <w:t> </w:t>
            </w:r>
            <w:r>
              <w:rPr>
                <w:color w:val="231F20"/>
                <w:spacing w:val="-4"/>
                <w:sz w:val="15"/>
              </w:rPr>
              <w:t>0.82-</w:t>
            </w:r>
            <w:r>
              <w:rPr>
                <w:color w:val="231F20"/>
                <w:spacing w:val="-5"/>
                <w:sz w:val="15"/>
              </w:rPr>
              <w:t>0.9</w:t>
            </w:r>
            <w:r>
              <w:rPr>
                <w:color w:val="231F20"/>
                <w:sz w:val="15"/>
              </w:rPr>
              <w:tab/>
              <w:t>Central</w:t>
            </w:r>
            <w:r>
              <w:rPr>
                <w:color w:val="231F20"/>
                <w:spacing w:val="-10"/>
                <w:sz w:val="15"/>
              </w:rPr>
              <w:t> </w:t>
            </w:r>
            <w:r>
              <w:rPr>
                <w:color w:val="231F20"/>
                <w:sz w:val="15"/>
              </w:rPr>
              <w:t>posterior</w:t>
            </w:r>
            <w:r>
              <w:rPr>
                <w:color w:val="231F20"/>
                <w:spacing w:val="-9"/>
                <w:sz w:val="15"/>
              </w:rPr>
              <w:t> </w:t>
            </w:r>
            <w:r>
              <w:rPr>
                <w:color w:val="231F20"/>
                <w:spacing w:val="-2"/>
                <w:sz w:val="15"/>
              </w:rPr>
              <w:t>deformity</w:t>
            </w:r>
          </w:p>
          <w:p>
            <w:pPr>
              <w:pStyle w:val="TableParagraph"/>
              <w:spacing w:line="169" w:lineRule="exact"/>
              <w:ind w:left="276" w:firstLine="1333"/>
              <w:rPr>
                <w:sz w:val="15"/>
              </w:rPr>
            </w:pPr>
            <w:r>
              <w:rPr>
                <w:color w:val="231F20"/>
                <w:sz w:val="15"/>
              </w:rPr>
              <w:t>(“ping-pong</w:t>
            </w:r>
            <w:r>
              <w:rPr>
                <w:color w:val="231F20"/>
                <w:spacing w:val="6"/>
                <w:sz w:val="15"/>
              </w:rPr>
              <w:t> </w:t>
            </w:r>
            <w:r>
              <w:rPr>
                <w:color w:val="231F20"/>
                <w:sz w:val="15"/>
              </w:rPr>
              <w:t>ball</w:t>
            </w:r>
            <w:r>
              <w:rPr>
                <w:color w:val="231F20"/>
                <w:spacing w:val="7"/>
                <w:sz w:val="15"/>
              </w:rPr>
              <w:t> </w:t>
            </w:r>
            <w:r>
              <w:rPr>
                <w:color w:val="231F20"/>
                <w:spacing w:val="-2"/>
                <w:sz w:val="15"/>
              </w:rPr>
              <w:t>depression”)</w:t>
            </w:r>
          </w:p>
          <w:p>
            <w:pPr>
              <w:pStyle w:val="TableParagraph"/>
              <w:tabs>
                <w:tab w:pos="1498" w:val="left" w:leader="none"/>
              </w:tabs>
              <w:spacing w:line="169" w:lineRule="exact"/>
              <w:ind w:left="276"/>
              <w:rPr>
                <w:sz w:val="15"/>
              </w:rPr>
            </w:pPr>
            <w:r>
              <w:rPr>
                <w:color w:val="231F20"/>
                <w:spacing w:val="-4"/>
                <w:sz w:val="15"/>
              </w:rPr>
              <w:t>CI:</w:t>
            </w:r>
            <w:r>
              <w:rPr>
                <w:color w:val="231F20"/>
                <w:spacing w:val="-1"/>
                <w:sz w:val="15"/>
              </w:rPr>
              <w:t> </w:t>
            </w:r>
            <w:r>
              <w:rPr>
                <w:color w:val="231F20"/>
                <w:spacing w:val="-4"/>
                <w:sz w:val="15"/>
              </w:rPr>
              <w:t>0.9-</w:t>
            </w:r>
            <w:r>
              <w:rPr>
                <w:color w:val="231F20"/>
                <w:spacing w:val="-5"/>
                <w:sz w:val="15"/>
              </w:rPr>
              <w:t>1.0</w:t>
            </w:r>
            <w:r>
              <w:rPr>
                <w:color w:val="231F20"/>
                <w:sz w:val="15"/>
              </w:rPr>
              <w:tab/>
            </w:r>
            <w:r>
              <w:rPr>
                <w:color w:val="231F20"/>
                <w:spacing w:val="-2"/>
                <w:sz w:val="15"/>
              </w:rPr>
              <w:t>Central</w:t>
            </w:r>
            <w:r>
              <w:rPr>
                <w:color w:val="231F20"/>
                <w:spacing w:val="1"/>
                <w:sz w:val="15"/>
              </w:rPr>
              <w:t> </w:t>
            </w:r>
            <w:r>
              <w:rPr>
                <w:color w:val="231F20"/>
                <w:spacing w:val="-2"/>
                <w:sz w:val="15"/>
              </w:rPr>
              <w:t>posterior</w:t>
            </w:r>
            <w:r>
              <w:rPr>
                <w:color w:val="231F20"/>
                <w:spacing w:val="2"/>
                <w:sz w:val="15"/>
              </w:rPr>
              <w:t> </w:t>
            </w:r>
            <w:r>
              <w:rPr>
                <w:color w:val="231F20"/>
                <w:spacing w:val="-2"/>
                <w:sz w:val="15"/>
              </w:rPr>
              <w:t>deformity</w:t>
            </w:r>
            <w:r>
              <w:rPr>
                <w:color w:val="231F20"/>
                <w:spacing w:val="2"/>
                <w:sz w:val="15"/>
              </w:rPr>
              <w:t> </w:t>
            </w:r>
            <w:r>
              <w:rPr>
                <w:color w:val="231F20"/>
                <w:spacing w:val="-5"/>
                <w:sz w:val="15"/>
              </w:rPr>
              <w:t>and</w:t>
            </w:r>
          </w:p>
          <w:p>
            <w:pPr>
              <w:pStyle w:val="TableParagraph"/>
              <w:spacing w:line="171" w:lineRule="exact"/>
              <w:ind w:left="1610"/>
              <w:rPr>
                <w:sz w:val="15"/>
              </w:rPr>
            </w:pPr>
            <w:r>
              <w:rPr>
                <w:color w:val="231F20"/>
                <w:sz w:val="15"/>
              </w:rPr>
              <w:t>widening</w:t>
            </w:r>
            <w:r>
              <w:rPr>
                <w:color w:val="231F20"/>
                <w:spacing w:val="-1"/>
                <w:sz w:val="15"/>
              </w:rPr>
              <w:t> </w:t>
            </w:r>
            <w:r>
              <w:rPr>
                <w:color w:val="231F20"/>
                <w:sz w:val="15"/>
              </w:rPr>
              <w:t>of posterior</w:t>
            </w:r>
            <w:r>
              <w:rPr>
                <w:color w:val="231F20"/>
                <w:spacing w:val="-1"/>
                <w:sz w:val="15"/>
              </w:rPr>
              <w:t> </w:t>
            </w:r>
            <w:r>
              <w:rPr>
                <w:color w:val="231F20"/>
                <w:spacing w:val="-2"/>
                <w:sz w:val="15"/>
              </w:rPr>
              <w:t>skull</w:t>
            </w:r>
          </w:p>
          <w:p>
            <w:pPr>
              <w:pStyle w:val="TableParagraph"/>
              <w:tabs>
                <w:tab w:pos="1498" w:val="left" w:leader="none"/>
              </w:tabs>
              <w:spacing w:line="228" w:lineRule="auto" w:before="23"/>
              <w:ind w:left="1610" w:right="156" w:hanging="1334"/>
              <w:rPr>
                <w:sz w:val="15"/>
              </w:rPr>
            </w:pPr>
            <w:r>
              <w:rPr>
                <w:color w:val="231F20"/>
                <w:sz w:val="15"/>
              </w:rPr>
              <w:t>CI: </w:t>
            </w:r>
            <w:r>
              <w:rPr>
                <w:rFonts w:ascii="Cambria"/>
                <w:color w:val="231F20"/>
                <w:sz w:val="15"/>
              </w:rPr>
              <w:t>&gt;</w:t>
            </w:r>
            <w:r>
              <w:rPr>
                <w:color w:val="231F20"/>
                <w:sz w:val="15"/>
              </w:rPr>
              <w:t>1.0</w:t>
              <w:tab/>
            </w:r>
            <w:r>
              <w:rPr>
                <w:color w:val="231F20"/>
                <w:spacing w:val="-2"/>
                <w:sz w:val="15"/>
              </w:rPr>
              <w:t>Vertical</w:t>
            </w:r>
            <w:r>
              <w:rPr>
                <w:color w:val="231F20"/>
                <w:spacing w:val="-8"/>
                <w:sz w:val="15"/>
              </w:rPr>
              <w:t> </w:t>
            </w:r>
            <w:r>
              <w:rPr>
                <w:color w:val="231F20"/>
                <w:spacing w:val="-2"/>
                <w:sz w:val="15"/>
              </w:rPr>
              <w:t>head,</w:t>
            </w:r>
            <w:r>
              <w:rPr>
                <w:color w:val="231F20"/>
                <w:spacing w:val="-8"/>
                <w:sz w:val="15"/>
              </w:rPr>
              <w:t> </w:t>
            </w:r>
            <w:r>
              <w:rPr>
                <w:color w:val="231F20"/>
                <w:spacing w:val="-2"/>
                <w:sz w:val="15"/>
              </w:rPr>
              <w:t>head</w:t>
            </w:r>
            <w:r>
              <w:rPr>
                <w:color w:val="231F20"/>
                <w:spacing w:val="-8"/>
                <w:sz w:val="15"/>
              </w:rPr>
              <w:t> </w:t>
            </w:r>
            <w:r>
              <w:rPr>
                <w:color w:val="231F20"/>
                <w:spacing w:val="-2"/>
                <w:sz w:val="15"/>
              </w:rPr>
              <w:t>growth,</w:t>
            </w:r>
            <w:r>
              <w:rPr>
                <w:color w:val="231F20"/>
                <w:spacing w:val="-8"/>
                <w:sz w:val="15"/>
              </w:rPr>
              <w:t> </w:t>
            </w:r>
            <w:r>
              <w:rPr>
                <w:color w:val="231F20"/>
                <w:spacing w:val="-2"/>
                <w:sz w:val="15"/>
              </w:rPr>
              <w:t>or </w:t>
            </w:r>
            <w:r>
              <w:rPr>
                <w:color w:val="231F20"/>
                <w:sz w:val="15"/>
              </w:rPr>
              <w:t>temporal bossing</w:t>
            </w:r>
          </w:p>
        </w:tc>
      </w:tr>
    </w:tbl>
    <w:p>
      <w:pPr>
        <w:pStyle w:val="BodyText"/>
        <w:spacing w:before="76"/>
        <w:ind w:left="486"/>
      </w:pPr>
      <w:r>
        <w:rPr>
          <w:color w:val="231F20"/>
          <w:spacing w:val="-2"/>
        </w:rPr>
        <w:t>CI,</w:t>
      </w:r>
      <w:r>
        <w:rPr>
          <w:color w:val="231F20"/>
          <w:spacing w:val="1"/>
        </w:rPr>
        <w:t> </w:t>
      </w:r>
      <w:r>
        <w:rPr>
          <w:color w:val="231F20"/>
          <w:spacing w:val="-2"/>
        </w:rPr>
        <w:t>cephalic</w:t>
      </w:r>
      <w:r>
        <w:rPr>
          <w:color w:val="231F20"/>
          <w:spacing w:val="2"/>
        </w:rPr>
        <w:t> </w:t>
      </w:r>
      <w:r>
        <w:rPr>
          <w:color w:val="231F20"/>
          <w:spacing w:val="-2"/>
        </w:rPr>
        <w:t>index</w:t>
      </w:r>
      <w:r>
        <w:rPr>
          <w:color w:val="231F20"/>
          <w:spacing w:val="2"/>
        </w:rPr>
        <w:t> </w:t>
      </w:r>
      <w:r>
        <w:rPr>
          <w:color w:val="231F20"/>
          <w:spacing w:val="-2"/>
        </w:rPr>
        <w:t>(cranial</w:t>
      </w:r>
      <w:r>
        <w:rPr>
          <w:color w:val="231F20"/>
          <w:spacing w:val="2"/>
        </w:rPr>
        <w:t> </w:t>
      </w:r>
      <w:r>
        <w:rPr>
          <w:color w:val="231F20"/>
          <w:spacing w:val="-2"/>
        </w:rPr>
        <w:t>index);</w:t>
      </w:r>
      <w:r>
        <w:rPr>
          <w:color w:val="231F20"/>
          <w:spacing w:val="2"/>
        </w:rPr>
        <w:t> </w:t>
      </w:r>
      <w:r>
        <w:rPr>
          <w:color w:val="231F20"/>
          <w:spacing w:val="-2"/>
        </w:rPr>
        <w:t>TDD,</w:t>
      </w:r>
      <w:r>
        <w:rPr>
          <w:color w:val="231F20"/>
          <w:spacing w:val="2"/>
        </w:rPr>
        <w:t> </w:t>
      </w:r>
      <w:r>
        <w:rPr>
          <w:color w:val="231F20"/>
          <w:spacing w:val="-2"/>
        </w:rPr>
        <w:t>transcranial</w:t>
      </w:r>
      <w:r>
        <w:rPr>
          <w:color w:val="231F20"/>
          <w:spacing w:val="2"/>
        </w:rPr>
        <w:t> </w:t>
      </w:r>
      <w:r>
        <w:rPr>
          <w:color w:val="231F20"/>
          <w:spacing w:val="-2"/>
        </w:rPr>
        <w:t>diameter</w:t>
      </w:r>
      <w:r>
        <w:rPr>
          <w:color w:val="231F20"/>
          <w:spacing w:val="2"/>
        </w:rPr>
        <w:t> </w:t>
      </w:r>
      <w:r>
        <w:rPr>
          <w:color w:val="231F20"/>
          <w:spacing w:val="-2"/>
        </w:rPr>
        <w:t>difference.</w:t>
      </w:r>
    </w:p>
    <w:p>
      <w:pPr>
        <w:pStyle w:val="BodyText"/>
        <w:rPr>
          <w:sz w:val="20"/>
        </w:rPr>
      </w:pPr>
    </w:p>
    <w:p>
      <w:pPr>
        <w:pStyle w:val="BodyText"/>
        <w:spacing w:before="102"/>
        <w:rPr>
          <w:sz w:val="20"/>
        </w:rPr>
      </w:pPr>
      <w:r>
        <w:rPr>
          <w:sz w:val="20"/>
        </w:rPr>
        <mc:AlternateContent>
          <mc:Choice Requires="wps">
            <w:drawing>
              <wp:anchor distT="0" distB="0" distL="0" distR="0" allowOverlap="1" layoutInCell="1" locked="0" behindDoc="1" simplePos="0" relativeHeight="487607808">
                <wp:simplePos x="0" y="0"/>
                <wp:positionH relativeFrom="page">
                  <wp:posOffset>913984</wp:posOffset>
                </wp:positionH>
                <wp:positionV relativeFrom="paragraph">
                  <wp:posOffset>227829</wp:posOffset>
                </wp:positionV>
                <wp:extent cx="5468620" cy="3519170"/>
                <wp:effectExtent l="0" t="0" r="0" b="0"/>
                <wp:wrapTopAndBottom/>
                <wp:docPr id="523" name="Group 523"/>
                <wp:cNvGraphicFramePr>
                  <a:graphicFrameLocks/>
                </wp:cNvGraphicFramePr>
                <a:graphic>
                  <a:graphicData uri="http://schemas.microsoft.com/office/word/2010/wordprocessingGroup">
                    <wpg:wgp>
                      <wpg:cNvPr id="523" name="Group 523"/>
                      <wpg:cNvGrpSpPr/>
                      <wpg:grpSpPr>
                        <a:xfrm>
                          <a:off x="0" y="0"/>
                          <a:ext cx="5468620" cy="3519170"/>
                          <a:chExt cx="5468620" cy="3519170"/>
                        </a:xfrm>
                      </wpg:grpSpPr>
                      <pic:pic>
                        <pic:nvPicPr>
                          <pic:cNvPr id="524" name="Image 524"/>
                          <pic:cNvPicPr/>
                        </pic:nvPicPr>
                        <pic:blipFill>
                          <a:blip r:embed="rId277" cstate="print"/>
                          <a:stretch>
                            <a:fillRect/>
                          </a:stretch>
                        </pic:blipFill>
                        <pic:spPr>
                          <a:xfrm>
                            <a:off x="0" y="0"/>
                            <a:ext cx="5468328" cy="3518801"/>
                          </a:xfrm>
                          <a:prstGeom prst="rect">
                            <a:avLst/>
                          </a:prstGeom>
                        </pic:spPr>
                      </pic:pic>
                      <pic:pic>
                        <pic:nvPicPr>
                          <pic:cNvPr id="525" name="Image 525"/>
                          <pic:cNvPicPr/>
                        </pic:nvPicPr>
                        <pic:blipFill>
                          <a:blip r:embed="rId278" cstate="print"/>
                          <a:stretch>
                            <a:fillRect/>
                          </a:stretch>
                        </pic:blipFill>
                        <pic:spPr>
                          <a:xfrm>
                            <a:off x="14706" y="16649"/>
                            <a:ext cx="5440680" cy="146469"/>
                          </a:xfrm>
                          <a:prstGeom prst="rect">
                            <a:avLst/>
                          </a:prstGeom>
                        </pic:spPr>
                      </pic:pic>
                      <pic:pic>
                        <pic:nvPicPr>
                          <pic:cNvPr id="526" name="Image 526"/>
                          <pic:cNvPicPr/>
                        </pic:nvPicPr>
                        <pic:blipFill>
                          <a:blip r:embed="rId279" cstate="print"/>
                          <a:stretch>
                            <a:fillRect/>
                          </a:stretch>
                        </pic:blipFill>
                        <pic:spPr>
                          <a:xfrm>
                            <a:off x="16014" y="163080"/>
                            <a:ext cx="5026051" cy="1258697"/>
                          </a:xfrm>
                          <a:prstGeom prst="rect">
                            <a:avLst/>
                          </a:prstGeom>
                        </pic:spPr>
                      </pic:pic>
                      <pic:pic>
                        <pic:nvPicPr>
                          <pic:cNvPr id="527" name="Image 527"/>
                          <pic:cNvPicPr/>
                        </pic:nvPicPr>
                        <pic:blipFill>
                          <a:blip r:embed="rId280" cstate="print"/>
                          <a:stretch>
                            <a:fillRect/>
                          </a:stretch>
                        </pic:blipFill>
                        <pic:spPr>
                          <a:xfrm>
                            <a:off x="5038662" y="163080"/>
                            <a:ext cx="418045" cy="3355721"/>
                          </a:xfrm>
                          <a:prstGeom prst="rect">
                            <a:avLst/>
                          </a:prstGeom>
                        </pic:spPr>
                      </pic:pic>
                      <pic:pic>
                        <pic:nvPicPr>
                          <pic:cNvPr id="528" name="Image 528"/>
                          <pic:cNvPicPr/>
                        </pic:nvPicPr>
                        <pic:blipFill>
                          <a:blip r:embed="rId281" cstate="print"/>
                          <a:stretch>
                            <a:fillRect/>
                          </a:stretch>
                        </pic:blipFill>
                        <pic:spPr>
                          <a:xfrm>
                            <a:off x="16014" y="1418361"/>
                            <a:ext cx="3350489" cy="1264361"/>
                          </a:xfrm>
                          <a:prstGeom prst="rect">
                            <a:avLst/>
                          </a:prstGeom>
                        </pic:spPr>
                      </pic:pic>
                      <pic:pic>
                        <pic:nvPicPr>
                          <pic:cNvPr id="529" name="Image 529"/>
                          <pic:cNvPicPr/>
                        </pic:nvPicPr>
                        <pic:blipFill>
                          <a:blip r:embed="rId282" cstate="print"/>
                          <a:stretch>
                            <a:fillRect/>
                          </a:stretch>
                        </pic:blipFill>
                        <pic:spPr>
                          <a:xfrm>
                            <a:off x="3362661" y="1418361"/>
                            <a:ext cx="1259657" cy="1684108"/>
                          </a:xfrm>
                          <a:prstGeom prst="rect">
                            <a:avLst/>
                          </a:prstGeom>
                        </pic:spPr>
                      </pic:pic>
                      <pic:pic>
                        <pic:nvPicPr>
                          <pic:cNvPr id="530" name="Image 530"/>
                          <pic:cNvPicPr/>
                        </pic:nvPicPr>
                        <pic:blipFill>
                          <a:blip r:embed="rId283" cstate="print"/>
                          <a:stretch>
                            <a:fillRect/>
                          </a:stretch>
                        </pic:blipFill>
                        <pic:spPr>
                          <a:xfrm>
                            <a:off x="4618914" y="1418361"/>
                            <a:ext cx="423151" cy="683869"/>
                          </a:xfrm>
                          <a:prstGeom prst="rect">
                            <a:avLst/>
                          </a:prstGeom>
                        </pic:spPr>
                      </pic:pic>
                      <pic:pic>
                        <pic:nvPicPr>
                          <pic:cNvPr id="531" name="Image 531"/>
                          <pic:cNvPicPr/>
                        </pic:nvPicPr>
                        <pic:blipFill>
                          <a:blip r:embed="rId284" cstate="print"/>
                          <a:stretch>
                            <a:fillRect/>
                          </a:stretch>
                        </pic:blipFill>
                        <pic:spPr>
                          <a:xfrm>
                            <a:off x="16014" y="2679306"/>
                            <a:ext cx="3350489" cy="839495"/>
                          </a:xfrm>
                          <a:prstGeom prst="rect">
                            <a:avLst/>
                          </a:prstGeom>
                        </pic:spPr>
                      </pic:pic>
                      <pic:pic>
                        <pic:nvPicPr>
                          <pic:cNvPr id="532" name="Image 532"/>
                          <pic:cNvPicPr/>
                        </pic:nvPicPr>
                        <pic:blipFill>
                          <a:blip r:embed="rId285" cstate="print"/>
                          <a:stretch>
                            <a:fillRect/>
                          </a:stretch>
                        </pic:blipFill>
                        <pic:spPr>
                          <a:xfrm>
                            <a:off x="4618914" y="2819171"/>
                            <a:ext cx="423151" cy="699630"/>
                          </a:xfrm>
                          <a:prstGeom prst="rect">
                            <a:avLst/>
                          </a:prstGeom>
                        </pic:spPr>
                      </pic:pic>
                      <pic:pic>
                        <pic:nvPicPr>
                          <pic:cNvPr id="533" name="Image 533"/>
                          <pic:cNvPicPr/>
                        </pic:nvPicPr>
                        <pic:blipFill>
                          <a:blip r:embed="rId286" cstate="print"/>
                          <a:stretch>
                            <a:fillRect/>
                          </a:stretch>
                        </pic:blipFill>
                        <pic:spPr>
                          <a:xfrm>
                            <a:off x="3363087" y="3099054"/>
                            <a:ext cx="1259230" cy="419747"/>
                          </a:xfrm>
                          <a:prstGeom prst="rect">
                            <a:avLst/>
                          </a:prstGeom>
                        </pic:spPr>
                      </pic:pic>
                      <pic:pic>
                        <pic:nvPicPr>
                          <pic:cNvPr id="534" name="Image 534"/>
                          <pic:cNvPicPr/>
                        </pic:nvPicPr>
                        <pic:blipFill>
                          <a:blip r:embed="rId287" cstate="print"/>
                          <a:stretch>
                            <a:fillRect/>
                          </a:stretch>
                        </pic:blipFill>
                        <pic:spPr>
                          <a:xfrm>
                            <a:off x="1685747" y="262534"/>
                            <a:ext cx="759713" cy="860336"/>
                          </a:xfrm>
                          <a:prstGeom prst="rect">
                            <a:avLst/>
                          </a:prstGeom>
                        </pic:spPr>
                      </pic:pic>
                      <pic:pic>
                        <pic:nvPicPr>
                          <pic:cNvPr id="535" name="Image 535"/>
                          <pic:cNvPicPr/>
                        </pic:nvPicPr>
                        <pic:blipFill>
                          <a:blip r:embed="rId288" cstate="print"/>
                          <a:stretch>
                            <a:fillRect/>
                          </a:stretch>
                        </pic:blipFill>
                        <pic:spPr>
                          <a:xfrm>
                            <a:off x="1646276" y="2078418"/>
                            <a:ext cx="799007" cy="832853"/>
                          </a:xfrm>
                          <a:prstGeom prst="rect">
                            <a:avLst/>
                          </a:prstGeom>
                        </pic:spPr>
                      </pic:pic>
                      <pic:pic>
                        <pic:nvPicPr>
                          <pic:cNvPr id="536" name="Image 536"/>
                          <pic:cNvPicPr/>
                        </pic:nvPicPr>
                        <pic:blipFill>
                          <a:blip r:embed="rId289" cstate="print"/>
                          <a:stretch>
                            <a:fillRect/>
                          </a:stretch>
                        </pic:blipFill>
                        <pic:spPr>
                          <a:xfrm>
                            <a:off x="3043402" y="2038426"/>
                            <a:ext cx="755993" cy="784656"/>
                          </a:xfrm>
                          <a:prstGeom prst="rect">
                            <a:avLst/>
                          </a:prstGeom>
                        </pic:spPr>
                      </pic:pic>
                      <pic:pic>
                        <pic:nvPicPr>
                          <pic:cNvPr id="537" name="Image 537"/>
                          <pic:cNvPicPr/>
                        </pic:nvPicPr>
                        <pic:blipFill>
                          <a:blip r:embed="rId290" cstate="print"/>
                          <a:stretch>
                            <a:fillRect/>
                          </a:stretch>
                        </pic:blipFill>
                        <pic:spPr>
                          <a:xfrm>
                            <a:off x="4361599" y="2002121"/>
                            <a:ext cx="822832" cy="834384"/>
                          </a:xfrm>
                          <a:prstGeom prst="rect">
                            <a:avLst/>
                          </a:prstGeom>
                        </pic:spPr>
                      </pic:pic>
                      <pic:pic>
                        <pic:nvPicPr>
                          <pic:cNvPr id="538" name="Image 538"/>
                          <pic:cNvPicPr/>
                        </pic:nvPicPr>
                        <pic:blipFill>
                          <a:blip r:embed="rId291" cstate="print"/>
                          <a:stretch>
                            <a:fillRect/>
                          </a:stretch>
                        </pic:blipFill>
                        <pic:spPr>
                          <a:xfrm>
                            <a:off x="3020809" y="265163"/>
                            <a:ext cx="790346" cy="872032"/>
                          </a:xfrm>
                          <a:prstGeom prst="rect">
                            <a:avLst/>
                          </a:prstGeom>
                        </pic:spPr>
                      </pic:pic>
                      <pic:pic>
                        <pic:nvPicPr>
                          <pic:cNvPr id="539" name="Image 539"/>
                          <pic:cNvPicPr/>
                        </pic:nvPicPr>
                        <pic:blipFill>
                          <a:blip r:embed="rId292" cstate="print"/>
                          <a:stretch>
                            <a:fillRect/>
                          </a:stretch>
                        </pic:blipFill>
                        <pic:spPr>
                          <a:xfrm>
                            <a:off x="4386923" y="224010"/>
                            <a:ext cx="758990" cy="893259"/>
                          </a:xfrm>
                          <a:prstGeom prst="rect">
                            <a:avLst/>
                          </a:prstGeom>
                        </pic:spPr>
                      </pic:pic>
                    </wpg:wgp>
                  </a:graphicData>
                </a:graphic>
              </wp:anchor>
            </w:drawing>
          </mc:Choice>
          <mc:Fallback>
            <w:pict>
              <v:group style="position:absolute;margin-left:71.967247pt;margin-top:17.939312pt;width:430.6pt;height:277.1pt;mso-position-horizontal-relative:page;mso-position-vertical-relative:paragraph;z-index:-15708672;mso-wrap-distance-left:0;mso-wrap-distance-right:0" id="docshapegroup467" coordorigin="1439,359" coordsize="8612,5542">
                <v:shape style="position:absolute;left:1439;top:358;width:8612;height:5542" type="#_x0000_t75" id="docshape468" stroked="false">
                  <v:imagedata r:id="rId277" o:title=""/>
                </v:shape>
                <v:shape style="position:absolute;left:1462;top:385;width:8568;height:231" type="#_x0000_t75" id="docshape469" stroked="false">
                  <v:imagedata r:id="rId278" o:title=""/>
                </v:shape>
                <v:shape style="position:absolute;left:1464;top:615;width:7916;height:1983" type="#_x0000_t75" id="docshape470" stroked="false">
                  <v:imagedata r:id="rId279" o:title=""/>
                </v:shape>
                <v:shape style="position:absolute;left:9374;top:615;width:659;height:5285" type="#_x0000_t75" id="docshape471" stroked="false">
                  <v:imagedata r:id="rId280" o:title=""/>
                </v:shape>
                <v:shape style="position:absolute;left:1464;top:2592;width:5277;height:1992" type="#_x0000_t75" id="docshape472" stroked="false">
                  <v:imagedata r:id="rId281" o:title=""/>
                </v:shape>
                <v:shape style="position:absolute;left:6734;top:2592;width:1984;height:2653" type="#_x0000_t75" id="docshape473" stroked="false">
                  <v:imagedata r:id="rId282" o:title=""/>
                </v:shape>
                <v:shape style="position:absolute;left:8713;top:2592;width:667;height:1077" type="#_x0000_t75" id="docshape474" stroked="false">
                  <v:imagedata r:id="rId283" o:title=""/>
                </v:shape>
                <v:shape style="position:absolute;left:1464;top:4578;width:5277;height:1323" type="#_x0000_t75" id="docshape475" stroked="false">
                  <v:imagedata r:id="rId284" o:title=""/>
                </v:shape>
                <v:shape style="position:absolute;left:8713;top:4798;width:667;height:1102" type="#_x0000_t75" id="docshape476" stroked="false">
                  <v:imagedata r:id="rId285" o:title=""/>
                </v:shape>
                <v:shape style="position:absolute;left:6735;top:5239;width:1984;height:662" type="#_x0000_t75" id="docshape477" stroked="false">
                  <v:imagedata r:id="rId286" o:title=""/>
                </v:shape>
                <v:shape style="position:absolute;left:4094;top:772;width:1197;height:1355" type="#_x0000_t75" id="docshape478" stroked="false">
                  <v:imagedata r:id="rId287" o:title=""/>
                </v:shape>
                <v:shape style="position:absolute;left:4031;top:3631;width:1259;height:1312" type="#_x0000_t75" id="docshape479" stroked="false">
                  <v:imagedata r:id="rId288" o:title=""/>
                </v:shape>
                <v:shape style="position:absolute;left:6232;top:3568;width:1191;height:1236" type="#_x0000_t75" id="docshape480" stroked="false">
                  <v:imagedata r:id="rId289" o:title=""/>
                </v:shape>
                <v:shape style="position:absolute;left:8308;top:3511;width:1296;height:1314" type="#_x0000_t75" id="docshape481" stroked="false">
                  <v:imagedata r:id="rId290" o:title=""/>
                </v:shape>
                <v:shape style="position:absolute;left:6196;top:776;width:1245;height:1374" type="#_x0000_t75" id="docshape482" stroked="false">
                  <v:imagedata r:id="rId291" o:title=""/>
                </v:shape>
                <v:shape style="position:absolute;left:8347;top:711;width:1196;height:1407" type="#_x0000_t75" id="docshape483" stroked="false">
                  <v:imagedata r:id="rId292" o:title=""/>
                </v:shape>
                <w10:wrap type="topAndBottom"/>
              </v:group>
            </w:pict>
          </mc:Fallback>
        </mc:AlternateContent>
      </w:r>
    </w:p>
    <w:p>
      <w:pPr>
        <w:pStyle w:val="BodyText"/>
        <w:spacing w:before="149"/>
        <w:rPr>
          <w:sz w:val="20"/>
        </w:rPr>
      </w:pPr>
    </w:p>
    <w:p>
      <w:pPr>
        <w:spacing w:before="0"/>
        <w:ind w:left="1017" w:right="1284" w:firstLine="0"/>
        <w:jc w:val="center"/>
        <w:rPr>
          <w:sz w:val="20"/>
        </w:rPr>
      </w:pPr>
      <w:r>
        <w:rPr>
          <w:b/>
          <w:color w:val="4A0C62"/>
          <w:sz w:val="20"/>
        </w:rPr>
        <w:t>Figure</w:t>
      </w:r>
      <w:r>
        <w:rPr>
          <w:b/>
          <w:color w:val="4A0C62"/>
          <w:spacing w:val="27"/>
          <w:sz w:val="20"/>
        </w:rPr>
        <w:t> </w:t>
      </w:r>
      <w:r>
        <w:rPr>
          <w:b/>
          <w:color w:val="4A0C62"/>
          <w:sz w:val="20"/>
        </w:rPr>
        <w:t>592-3</w:t>
      </w:r>
      <w:r>
        <w:rPr>
          <w:b/>
          <w:color w:val="4A0C62"/>
          <w:spacing w:val="21"/>
          <w:sz w:val="20"/>
        </w:rPr>
        <w:t> </w:t>
      </w:r>
      <w:r>
        <w:rPr>
          <w:color w:val="231F20"/>
          <w:sz w:val="20"/>
        </w:rPr>
        <w:t>Types</w:t>
      </w:r>
      <w:r>
        <w:rPr>
          <w:color w:val="231F20"/>
          <w:spacing w:val="20"/>
          <w:sz w:val="20"/>
        </w:rPr>
        <w:t> </w:t>
      </w:r>
      <w:r>
        <w:rPr>
          <w:color w:val="231F20"/>
          <w:sz w:val="20"/>
        </w:rPr>
        <w:t>of</w:t>
      </w:r>
      <w:r>
        <w:rPr>
          <w:color w:val="231F20"/>
          <w:spacing w:val="19"/>
          <w:sz w:val="20"/>
        </w:rPr>
        <w:t> </w:t>
      </w:r>
      <w:r>
        <w:rPr>
          <w:color w:val="231F20"/>
          <w:sz w:val="20"/>
        </w:rPr>
        <w:t>deformational</w:t>
      </w:r>
      <w:r>
        <w:rPr>
          <w:color w:val="231F20"/>
          <w:spacing w:val="20"/>
          <w:sz w:val="20"/>
        </w:rPr>
        <w:t> </w:t>
      </w:r>
      <w:r>
        <w:rPr>
          <w:color w:val="231F20"/>
          <w:spacing w:val="-2"/>
          <w:sz w:val="20"/>
        </w:rPr>
        <w:t>plagiocephaly.</w:t>
      </w:r>
    </w:p>
    <w:p>
      <w:pPr>
        <w:spacing w:after="0"/>
        <w:jc w:val="center"/>
        <w:rPr>
          <w:sz w:val="20"/>
        </w:rPr>
        <w:sectPr>
          <w:pgSz w:w="11900" w:h="16840"/>
          <w:pgMar w:header="0" w:footer="0" w:top="720" w:bottom="280" w:left="425" w:right="566"/>
        </w:sectPr>
      </w:pPr>
    </w:p>
    <w:p>
      <w:pPr>
        <w:pStyle w:val="BodyText"/>
        <w:ind w:left="467"/>
        <w:rPr>
          <w:sz w:val="20"/>
        </w:rPr>
      </w:pPr>
      <w:r>
        <w:rPr>
          <w:sz w:val="20"/>
        </w:rPr>
        <mc:AlternateContent>
          <mc:Choice Requires="wps">
            <w:drawing>
              <wp:inline distT="0" distB="0" distL="0" distR="0">
                <wp:extent cx="6185535" cy="170815"/>
                <wp:effectExtent l="19050" t="0" r="62864" b="635"/>
                <wp:docPr id="540" name="Group 540"/>
                <wp:cNvGraphicFramePr>
                  <a:graphicFrameLocks/>
                </wp:cNvGraphicFramePr>
                <a:graphic>
                  <a:graphicData uri="http://schemas.microsoft.com/office/word/2010/wordprocessingGroup">
                    <wpg:wgp>
                      <wpg:cNvPr id="540" name="Group 540"/>
                      <wpg:cNvGrpSpPr/>
                      <wpg:grpSpPr>
                        <a:xfrm>
                          <a:off x="0" y="0"/>
                          <a:ext cx="6185535" cy="170815"/>
                          <a:chExt cx="6185535" cy="170815"/>
                        </a:xfrm>
                      </wpg:grpSpPr>
                      <wps:wsp>
                        <wps:cNvPr id="541" name="Graphic 541"/>
                        <wps:cNvSpPr/>
                        <wps:spPr>
                          <a:xfrm>
                            <a:off x="6161574"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542" name="Graphic 542"/>
                        <wps:cNvSpPr/>
                        <wps:spPr>
                          <a:xfrm>
                            <a:off x="0" y="15866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543" name="Textbox 543"/>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2824</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84" coordorigin="0,0" coordsize="9741,269">
                <v:line style="position:absolute" from="9703,145" to="9741,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485" filled="false" stroked="false">
                  <v:textbox inset="0,0,0,0">
                    <w:txbxContent>
                      <w:p>
                        <w:pPr>
                          <w:spacing w:before="6"/>
                          <w:ind w:left="-1" w:right="0" w:firstLine="0"/>
                          <w:jc w:val="left"/>
                          <w:rPr>
                            <w:sz w:val="18"/>
                          </w:rPr>
                        </w:pPr>
                        <w:r>
                          <w:rPr>
                            <w:b/>
                            <w:color w:val="231F20"/>
                            <w:w w:val="105"/>
                            <w:sz w:val="18"/>
                          </w:rPr>
                          <w:t>2824</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9"/>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723"/>
        <w:gridCol w:w="4876"/>
      </w:tblGrid>
      <w:tr>
        <w:trPr>
          <w:trHeight w:val="377" w:hRule="exac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1</w:t>
            </w:r>
          </w:p>
        </w:tc>
        <w:tc>
          <w:tcPr>
            <w:tcW w:w="8599"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Types</w:t>
            </w:r>
            <w:r>
              <w:rPr>
                <w:color w:val="FFFFFF"/>
                <w:spacing w:val="5"/>
                <w:w w:val="105"/>
                <w:sz w:val="16"/>
              </w:rPr>
              <w:t> </w:t>
            </w:r>
            <w:r>
              <w:rPr>
                <w:color w:val="FFFFFF"/>
                <w:w w:val="105"/>
                <w:sz w:val="16"/>
              </w:rPr>
              <w:t>of</w:t>
            </w:r>
            <w:r>
              <w:rPr>
                <w:color w:val="FFFFFF"/>
                <w:spacing w:val="5"/>
                <w:w w:val="105"/>
                <w:sz w:val="16"/>
              </w:rPr>
              <w:t> </w:t>
            </w:r>
            <w:r>
              <w:rPr>
                <w:color w:val="FFFFFF"/>
                <w:w w:val="105"/>
                <w:sz w:val="16"/>
              </w:rPr>
              <w:t>Epileptic</w:t>
            </w:r>
            <w:r>
              <w:rPr>
                <w:color w:val="FFFFFF"/>
                <w:spacing w:val="5"/>
                <w:w w:val="105"/>
                <w:sz w:val="16"/>
              </w:rPr>
              <w:t> </w:t>
            </w:r>
            <w:r>
              <w:rPr>
                <w:color w:val="FFFFFF"/>
                <w:spacing w:val="-2"/>
                <w:w w:val="105"/>
                <w:sz w:val="16"/>
              </w:rPr>
              <w:t>Seizures</w:t>
            </w:r>
          </w:p>
        </w:tc>
      </w:tr>
      <w:tr>
        <w:trPr>
          <w:trHeight w:val="222" w:hRule="exact"/>
        </w:trPr>
        <w:tc>
          <w:tcPr>
            <w:tcW w:w="4871" w:type="dxa"/>
            <w:gridSpan w:val="2"/>
            <w:tcBorders>
              <w:right w:val="single" w:sz="4" w:space="0" w:color="231F20"/>
            </w:tcBorders>
            <w:shd w:val="clear" w:color="auto" w:fill="E8F5F1"/>
          </w:tcPr>
          <w:p>
            <w:pPr>
              <w:pStyle w:val="TableParagraph"/>
              <w:spacing w:line="159" w:lineRule="exact" w:before="43"/>
              <w:ind w:left="74"/>
              <w:rPr>
                <w:sz w:val="15"/>
              </w:rPr>
            </w:pPr>
            <w:r>
              <w:rPr>
                <w:color w:val="231F20"/>
                <w:w w:val="110"/>
                <w:sz w:val="15"/>
              </w:rPr>
              <w:t>SELF-LIMITED</w:t>
            </w:r>
            <w:r>
              <w:rPr>
                <w:color w:val="231F20"/>
                <w:spacing w:val="-8"/>
                <w:w w:val="110"/>
                <w:sz w:val="15"/>
              </w:rPr>
              <w:t> </w:t>
            </w:r>
            <w:r>
              <w:rPr>
                <w:color w:val="231F20"/>
                <w:w w:val="110"/>
                <w:sz w:val="15"/>
              </w:rPr>
              <w:t>SEIZURE</w:t>
            </w:r>
            <w:r>
              <w:rPr>
                <w:color w:val="231F20"/>
                <w:spacing w:val="-8"/>
                <w:w w:val="110"/>
                <w:sz w:val="15"/>
              </w:rPr>
              <w:t> </w:t>
            </w:r>
            <w:r>
              <w:rPr>
                <w:color w:val="231F20"/>
                <w:spacing w:val="-2"/>
                <w:w w:val="110"/>
                <w:sz w:val="15"/>
              </w:rPr>
              <w:t>TYPES</w:t>
            </w:r>
          </w:p>
        </w:tc>
        <w:tc>
          <w:tcPr>
            <w:tcW w:w="4876" w:type="dxa"/>
            <w:tcBorders>
              <w:top w:val="single" w:sz="4" w:space="0" w:color="FFFFFF"/>
              <w:left w:val="single" w:sz="4" w:space="0" w:color="231F20"/>
            </w:tcBorders>
            <w:shd w:val="clear" w:color="auto" w:fill="E8F5F1"/>
          </w:tcPr>
          <w:p>
            <w:pPr>
              <w:pStyle w:val="TableParagraph"/>
              <w:spacing w:line="155" w:lineRule="exact" w:before="43"/>
              <w:ind w:left="69"/>
              <w:rPr>
                <w:sz w:val="15"/>
              </w:rPr>
            </w:pPr>
            <w:r>
              <w:rPr>
                <w:color w:val="231F20"/>
                <w:w w:val="110"/>
                <w:sz w:val="15"/>
              </w:rPr>
              <w:t>CONTINUOUS</w:t>
            </w:r>
            <w:r>
              <w:rPr>
                <w:color w:val="231F20"/>
                <w:spacing w:val="18"/>
                <w:w w:val="110"/>
                <w:sz w:val="15"/>
              </w:rPr>
              <w:t> </w:t>
            </w:r>
            <w:r>
              <w:rPr>
                <w:color w:val="231F20"/>
                <w:w w:val="110"/>
                <w:sz w:val="15"/>
              </w:rPr>
              <w:t>SEIZURE</w:t>
            </w:r>
            <w:r>
              <w:rPr>
                <w:color w:val="231F20"/>
                <w:spacing w:val="19"/>
                <w:w w:val="110"/>
                <w:sz w:val="15"/>
              </w:rPr>
              <w:t> </w:t>
            </w:r>
            <w:r>
              <w:rPr>
                <w:color w:val="231F20"/>
                <w:spacing w:val="-2"/>
                <w:w w:val="110"/>
                <w:sz w:val="15"/>
              </w:rPr>
              <w:t>TYPES</w:t>
            </w:r>
          </w:p>
        </w:tc>
      </w:tr>
      <w:tr>
        <w:trPr>
          <w:trHeight w:val="169" w:hRule="exact"/>
        </w:trPr>
        <w:tc>
          <w:tcPr>
            <w:tcW w:w="4871" w:type="dxa"/>
            <w:gridSpan w:val="2"/>
            <w:tcBorders>
              <w:right w:val="single" w:sz="4" w:space="0" w:color="231F20"/>
            </w:tcBorders>
            <w:shd w:val="clear" w:color="auto" w:fill="E8F5F1"/>
          </w:tcPr>
          <w:p>
            <w:pPr>
              <w:pStyle w:val="TableParagraph"/>
              <w:spacing w:line="149" w:lineRule="exact"/>
              <w:ind w:left="74"/>
              <w:rPr>
                <w:i/>
                <w:sz w:val="15"/>
              </w:rPr>
            </w:pPr>
            <w:r>
              <w:rPr>
                <w:i/>
                <w:color w:val="231F20"/>
                <w:sz w:val="15"/>
              </w:rPr>
              <w:t>Focal</w:t>
            </w:r>
            <w:r>
              <w:rPr>
                <w:i/>
                <w:color w:val="231F20"/>
                <w:spacing w:val="7"/>
                <w:sz w:val="15"/>
              </w:rPr>
              <w:t> </w:t>
            </w:r>
            <w:r>
              <w:rPr>
                <w:i/>
                <w:color w:val="231F20"/>
                <w:spacing w:val="-2"/>
                <w:sz w:val="15"/>
              </w:rPr>
              <w:t>Seizures</w:t>
            </w:r>
          </w:p>
        </w:tc>
        <w:tc>
          <w:tcPr>
            <w:tcW w:w="4876" w:type="dxa"/>
            <w:tcBorders>
              <w:left w:val="single" w:sz="4" w:space="0" w:color="231F20"/>
            </w:tcBorders>
            <w:shd w:val="clear" w:color="auto" w:fill="E8F5F1"/>
          </w:tcPr>
          <w:p>
            <w:pPr>
              <w:pStyle w:val="TableParagraph"/>
              <w:spacing w:line="149" w:lineRule="exact"/>
              <w:ind w:left="69"/>
              <w:rPr>
                <w:i/>
                <w:sz w:val="15"/>
              </w:rPr>
            </w:pPr>
            <w:r>
              <w:rPr>
                <w:i/>
                <w:color w:val="231F20"/>
                <w:sz w:val="15"/>
              </w:rPr>
              <w:t>Generalized</w:t>
            </w:r>
            <w:r>
              <w:rPr>
                <w:i/>
                <w:color w:val="231F20"/>
                <w:spacing w:val="-3"/>
                <w:sz w:val="15"/>
              </w:rPr>
              <w:t> </w:t>
            </w:r>
            <w:r>
              <w:rPr>
                <w:i/>
                <w:color w:val="231F20"/>
                <w:sz w:val="15"/>
              </w:rPr>
              <w:t>Status</w:t>
            </w:r>
            <w:r>
              <w:rPr>
                <w:i/>
                <w:color w:val="231F20"/>
                <w:spacing w:val="-2"/>
                <w:sz w:val="15"/>
              </w:rPr>
              <w:t> Epilepticus</w:t>
            </w:r>
          </w:p>
        </w:tc>
      </w:tr>
      <w:tr>
        <w:trPr>
          <w:trHeight w:val="165" w:hRule="exact"/>
        </w:trPr>
        <w:tc>
          <w:tcPr>
            <w:tcW w:w="4871" w:type="dxa"/>
            <w:gridSpan w:val="2"/>
            <w:tcBorders>
              <w:right w:val="single" w:sz="4" w:space="0" w:color="231F20"/>
            </w:tcBorders>
            <w:shd w:val="clear" w:color="auto" w:fill="E8F5F1"/>
          </w:tcPr>
          <w:p>
            <w:pPr>
              <w:pStyle w:val="TableParagraph"/>
              <w:spacing w:line="146" w:lineRule="exact"/>
              <w:ind w:left="74"/>
              <w:rPr>
                <w:sz w:val="15"/>
              </w:rPr>
            </w:pPr>
            <w:r>
              <w:rPr>
                <w:color w:val="231F20"/>
                <w:sz w:val="15"/>
              </w:rPr>
              <w:t>Focal</w:t>
            </w:r>
            <w:r>
              <w:rPr>
                <w:color w:val="231F20"/>
                <w:spacing w:val="1"/>
                <w:sz w:val="15"/>
              </w:rPr>
              <w:t> </w:t>
            </w:r>
            <w:r>
              <w:rPr>
                <w:color w:val="231F20"/>
                <w:sz w:val="15"/>
              </w:rPr>
              <w:t>sensory</w:t>
            </w:r>
            <w:r>
              <w:rPr>
                <w:color w:val="231F20"/>
                <w:spacing w:val="1"/>
                <w:sz w:val="15"/>
              </w:rPr>
              <w:t> </w:t>
            </w:r>
            <w:r>
              <w:rPr>
                <w:color w:val="231F20"/>
                <w:spacing w:val="-2"/>
                <w:sz w:val="15"/>
              </w:rPr>
              <w:t>seizures</w:t>
            </w:r>
          </w:p>
        </w:tc>
        <w:tc>
          <w:tcPr>
            <w:tcW w:w="4876" w:type="dxa"/>
            <w:tcBorders>
              <w:left w:val="single" w:sz="4" w:space="0" w:color="231F20"/>
            </w:tcBorders>
            <w:shd w:val="clear" w:color="auto" w:fill="E8F5F1"/>
          </w:tcPr>
          <w:p>
            <w:pPr>
              <w:pStyle w:val="TableParagraph"/>
              <w:spacing w:line="146" w:lineRule="exact"/>
              <w:ind w:left="69"/>
              <w:rPr>
                <w:sz w:val="15"/>
              </w:rPr>
            </w:pPr>
            <w:r>
              <w:rPr>
                <w:color w:val="231F20"/>
                <w:spacing w:val="-2"/>
                <w:sz w:val="15"/>
              </w:rPr>
              <w:t>Generalized</w:t>
            </w:r>
            <w:r>
              <w:rPr>
                <w:color w:val="231F20"/>
                <w:spacing w:val="1"/>
                <w:sz w:val="15"/>
              </w:rPr>
              <w:t> </w:t>
            </w:r>
            <w:r>
              <w:rPr>
                <w:color w:val="231F20"/>
                <w:spacing w:val="-2"/>
                <w:sz w:val="15"/>
              </w:rPr>
              <w:t>tonic-clonic</w:t>
            </w:r>
            <w:r>
              <w:rPr>
                <w:color w:val="231F20"/>
                <w:spacing w:val="2"/>
                <w:sz w:val="15"/>
              </w:rPr>
              <w:t> </w:t>
            </w:r>
            <w:r>
              <w:rPr>
                <w:color w:val="231F20"/>
                <w:spacing w:val="-2"/>
                <w:sz w:val="15"/>
              </w:rPr>
              <w:t>status</w:t>
            </w:r>
            <w:r>
              <w:rPr>
                <w:color w:val="231F20"/>
                <w:spacing w:val="2"/>
                <w:sz w:val="15"/>
              </w:rPr>
              <w:t> </w:t>
            </w:r>
            <w:r>
              <w:rPr>
                <w:color w:val="231F20"/>
                <w:spacing w:val="-2"/>
                <w:sz w:val="15"/>
              </w:rPr>
              <w:t>epilepticus</w:t>
            </w: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29"/>
              </w:numPr>
              <w:tabs>
                <w:tab w:pos="223" w:val="left" w:leader="none"/>
              </w:tabs>
              <w:spacing w:line="148" w:lineRule="exact" w:before="0" w:after="0"/>
              <w:ind w:left="223" w:right="0" w:hanging="149"/>
              <w:jc w:val="left"/>
              <w:rPr>
                <w:sz w:val="15"/>
              </w:rPr>
            </w:pPr>
            <w:r>
              <w:rPr>
                <w:color w:val="231F20"/>
                <w:spacing w:val="-2"/>
                <w:sz w:val="15"/>
              </w:rPr>
              <w:t>With</w:t>
            </w:r>
            <w:r>
              <w:rPr>
                <w:color w:val="231F20"/>
                <w:spacing w:val="-1"/>
                <w:sz w:val="15"/>
              </w:rPr>
              <w:t> </w:t>
            </w:r>
            <w:r>
              <w:rPr>
                <w:color w:val="231F20"/>
                <w:spacing w:val="-2"/>
                <w:sz w:val="15"/>
              </w:rPr>
              <w:t>elementary</w:t>
            </w:r>
            <w:r>
              <w:rPr>
                <w:color w:val="231F20"/>
                <w:spacing w:val="-1"/>
                <w:sz w:val="15"/>
              </w:rPr>
              <w:t> </w:t>
            </w:r>
            <w:r>
              <w:rPr>
                <w:color w:val="231F20"/>
                <w:spacing w:val="-2"/>
                <w:sz w:val="15"/>
              </w:rPr>
              <w:t>sensory</w:t>
            </w:r>
            <w:r>
              <w:rPr>
                <w:color w:val="231F20"/>
                <w:spacing w:val="-1"/>
                <w:sz w:val="15"/>
              </w:rPr>
              <w:t> </w:t>
            </w:r>
            <w:r>
              <w:rPr>
                <w:color w:val="231F20"/>
                <w:spacing w:val="-2"/>
                <w:sz w:val="15"/>
              </w:rPr>
              <w:t>symptoms</w:t>
            </w:r>
            <w:r>
              <w:rPr>
                <w:color w:val="231F20"/>
                <w:sz w:val="15"/>
              </w:rPr>
              <w:t> </w:t>
            </w:r>
            <w:r>
              <w:rPr>
                <w:color w:val="231F20"/>
                <w:spacing w:val="-2"/>
                <w:sz w:val="15"/>
              </w:rPr>
              <w:t>(e.g.,</w:t>
            </w:r>
            <w:r>
              <w:rPr>
                <w:color w:val="231F20"/>
                <w:spacing w:val="-1"/>
                <w:sz w:val="15"/>
              </w:rPr>
              <w:t> </w:t>
            </w:r>
            <w:r>
              <w:rPr>
                <w:color w:val="231F20"/>
                <w:spacing w:val="-2"/>
                <w:sz w:val="15"/>
              </w:rPr>
              <w:t>occipital</w:t>
            </w:r>
            <w:r>
              <w:rPr>
                <w:color w:val="231F20"/>
                <w:spacing w:val="-1"/>
                <w:sz w:val="15"/>
              </w:rPr>
              <w:t> </w:t>
            </w:r>
            <w:r>
              <w:rPr>
                <w:color w:val="231F20"/>
                <w:spacing w:val="-2"/>
                <w:sz w:val="15"/>
              </w:rPr>
              <w:t>and</w:t>
            </w:r>
            <w:r>
              <w:rPr>
                <w:color w:val="231F20"/>
                <w:spacing w:val="-1"/>
                <w:sz w:val="15"/>
              </w:rPr>
              <w:t> </w:t>
            </w:r>
            <w:r>
              <w:rPr>
                <w:color w:val="231F20"/>
                <w:spacing w:val="-2"/>
                <w:sz w:val="15"/>
              </w:rPr>
              <w:t>parietal</w:t>
            </w:r>
            <w:r>
              <w:rPr>
                <w:color w:val="231F20"/>
                <w:sz w:val="15"/>
              </w:rPr>
              <w:t> </w:t>
            </w:r>
            <w:r>
              <w:rPr>
                <w:color w:val="231F20"/>
                <w:spacing w:val="-4"/>
                <w:sz w:val="15"/>
              </w:rPr>
              <w:t>lobe</w:t>
            </w:r>
          </w:p>
        </w:tc>
        <w:tc>
          <w:tcPr>
            <w:tcW w:w="4876" w:type="dxa"/>
            <w:tcBorders>
              <w:left w:val="single" w:sz="4" w:space="0" w:color="231F20"/>
            </w:tcBorders>
            <w:shd w:val="clear" w:color="auto" w:fill="E8F5F1"/>
          </w:tcPr>
          <w:p>
            <w:pPr>
              <w:pStyle w:val="TableParagraph"/>
              <w:spacing w:line="148" w:lineRule="exact"/>
              <w:ind w:left="69"/>
              <w:rPr>
                <w:sz w:val="15"/>
              </w:rPr>
            </w:pPr>
            <w:r>
              <w:rPr>
                <w:color w:val="231F20"/>
                <w:sz w:val="15"/>
              </w:rPr>
              <w:t>Clonic</w:t>
            </w:r>
            <w:r>
              <w:rPr>
                <w:color w:val="231F20"/>
                <w:spacing w:val="-5"/>
                <w:sz w:val="15"/>
              </w:rPr>
              <w:t> </w:t>
            </w:r>
            <w:r>
              <w:rPr>
                <w:color w:val="231F20"/>
                <w:sz w:val="15"/>
              </w:rPr>
              <w:t>status</w:t>
            </w:r>
            <w:r>
              <w:rPr>
                <w:color w:val="231F20"/>
                <w:spacing w:val="-5"/>
                <w:sz w:val="15"/>
              </w:rPr>
              <w:t> </w:t>
            </w:r>
            <w:r>
              <w:rPr>
                <w:color w:val="231F20"/>
                <w:spacing w:val="-2"/>
                <w:sz w:val="15"/>
              </w:rPr>
              <w:t>epilepticus</w:t>
            </w: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223"/>
              <w:rPr>
                <w:sz w:val="15"/>
              </w:rPr>
            </w:pPr>
            <w:r>
              <w:rPr>
                <w:color w:val="231F20"/>
                <w:spacing w:val="-2"/>
                <w:sz w:val="15"/>
              </w:rPr>
              <w:t>seizures)</w:t>
            </w:r>
          </w:p>
        </w:tc>
        <w:tc>
          <w:tcPr>
            <w:tcW w:w="4876" w:type="dxa"/>
            <w:tcBorders>
              <w:left w:val="single" w:sz="4" w:space="0" w:color="231F20"/>
            </w:tcBorders>
            <w:shd w:val="clear" w:color="auto" w:fill="E8F5F1"/>
          </w:tcPr>
          <w:p>
            <w:pPr>
              <w:pStyle w:val="TableParagraph"/>
              <w:spacing w:line="148" w:lineRule="exact"/>
              <w:ind w:left="69"/>
              <w:rPr>
                <w:sz w:val="15"/>
              </w:rPr>
            </w:pPr>
            <w:r>
              <w:rPr>
                <w:color w:val="231F20"/>
                <w:sz w:val="15"/>
              </w:rPr>
              <w:t>Absence</w:t>
            </w:r>
            <w:r>
              <w:rPr>
                <w:color w:val="231F20"/>
                <w:spacing w:val="4"/>
                <w:sz w:val="15"/>
              </w:rPr>
              <w:t> </w:t>
            </w:r>
            <w:r>
              <w:rPr>
                <w:color w:val="231F20"/>
                <w:sz w:val="15"/>
              </w:rPr>
              <w:t>status</w:t>
            </w:r>
            <w:r>
              <w:rPr>
                <w:color w:val="231F20"/>
                <w:spacing w:val="4"/>
                <w:sz w:val="15"/>
              </w:rPr>
              <w:t> </w:t>
            </w:r>
            <w:r>
              <w:rPr>
                <w:color w:val="231F20"/>
                <w:spacing w:val="-2"/>
                <w:sz w:val="15"/>
              </w:rPr>
              <w:t>epilepticus</w:t>
            </w: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0"/>
              </w:numPr>
              <w:tabs>
                <w:tab w:pos="223" w:val="left" w:leader="none"/>
              </w:tabs>
              <w:spacing w:line="148" w:lineRule="exact" w:before="0" w:after="0"/>
              <w:ind w:left="223" w:right="0" w:hanging="149"/>
              <w:jc w:val="left"/>
              <w:rPr>
                <w:sz w:val="15"/>
              </w:rPr>
            </w:pPr>
            <w:r>
              <w:rPr>
                <w:color w:val="231F20"/>
                <w:spacing w:val="-2"/>
                <w:sz w:val="15"/>
              </w:rPr>
              <w:t>With experiential</w:t>
            </w:r>
            <w:r>
              <w:rPr>
                <w:color w:val="231F20"/>
                <w:spacing w:val="-1"/>
                <w:sz w:val="15"/>
              </w:rPr>
              <w:t> </w:t>
            </w:r>
            <w:r>
              <w:rPr>
                <w:color w:val="231F20"/>
                <w:spacing w:val="-2"/>
                <w:sz w:val="15"/>
              </w:rPr>
              <w:t>sensory symptoms</w:t>
            </w:r>
            <w:r>
              <w:rPr>
                <w:color w:val="231F20"/>
                <w:spacing w:val="-1"/>
                <w:sz w:val="15"/>
              </w:rPr>
              <w:t> </w:t>
            </w:r>
            <w:r>
              <w:rPr>
                <w:color w:val="231F20"/>
                <w:spacing w:val="-2"/>
                <w:sz w:val="15"/>
              </w:rPr>
              <w:t>(e.g., temporoparietooccipital</w:t>
            </w:r>
          </w:p>
        </w:tc>
        <w:tc>
          <w:tcPr>
            <w:tcW w:w="4876" w:type="dxa"/>
            <w:tcBorders>
              <w:left w:val="single" w:sz="4" w:space="0" w:color="231F20"/>
            </w:tcBorders>
            <w:shd w:val="clear" w:color="auto" w:fill="E8F5F1"/>
          </w:tcPr>
          <w:p>
            <w:pPr>
              <w:pStyle w:val="TableParagraph"/>
              <w:spacing w:line="148" w:lineRule="exact"/>
              <w:ind w:left="69"/>
              <w:rPr>
                <w:sz w:val="15"/>
              </w:rPr>
            </w:pPr>
            <w:r>
              <w:rPr>
                <w:color w:val="231F20"/>
                <w:sz w:val="15"/>
              </w:rPr>
              <w:t>Tonic</w:t>
            </w:r>
            <w:r>
              <w:rPr>
                <w:color w:val="231F20"/>
                <w:spacing w:val="-9"/>
                <w:sz w:val="15"/>
              </w:rPr>
              <w:t> </w:t>
            </w:r>
            <w:r>
              <w:rPr>
                <w:color w:val="231F20"/>
                <w:sz w:val="15"/>
              </w:rPr>
              <w:t>status</w:t>
            </w:r>
            <w:r>
              <w:rPr>
                <w:color w:val="231F20"/>
                <w:spacing w:val="-9"/>
                <w:sz w:val="15"/>
              </w:rPr>
              <w:t> </w:t>
            </w:r>
            <w:r>
              <w:rPr>
                <w:color w:val="231F20"/>
                <w:spacing w:val="-2"/>
                <w:sz w:val="15"/>
              </w:rPr>
              <w:t>epilepticus</w:t>
            </w:r>
          </w:p>
        </w:tc>
      </w:tr>
      <w:tr>
        <w:trPr>
          <w:trHeight w:val="168" w:hRule="exact"/>
        </w:trPr>
        <w:tc>
          <w:tcPr>
            <w:tcW w:w="4871" w:type="dxa"/>
            <w:gridSpan w:val="2"/>
            <w:tcBorders>
              <w:right w:val="single" w:sz="4" w:space="0" w:color="231F20"/>
            </w:tcBorders>
            <w:shd w:val="clear" w:color="auto" w:fill="E8F5F1"/>
          </w:tcPr>
          <w:p>
            <w:pPr>
              <w:pStyle w:val="TableParagraph"/>
              <w:spacing w:line="148" w:lineRule="exact"/>
              <w:ind w:left="223"/>
              <w:rPr>
                <w:sz w:val="15"/>
              </w:rPr>
            </w:pPr>
            <w:r>
              <w:rPr>
                <w:color w:val="231F20"/>
                <w:spacing w:val="-4"/>
                <w:sz w:val="15"/>
              </w:rPr>
              <w:t>junction</w:t>
            </w:r>
            <w:r>
              <w:rPr>
                <w:color w:val="231F20"/>
                <w:spacing w:val="5"/>
                <w:sz w:val="15"/>
              </w:rPr>
              <w:t> </w:t>
            </w:r>
            <w:r>
              <w:rPr>
                <w:color w:val="231F20"/>
                <w:spacing w:val="-2"/>
                <w:sz w:val="15"/>
              </w:rPr>
              <w:t>seizures)</w:t>
            </w:r>
          </w:p>
        </w:tc>
        <w:tc>
          <w:tcPr>
            <w:tcW w:w="4876" w:type="dxa"/>
            <w:tcBorders>
              <w:left w:val="single" w:sz="4" w:space="0" w:color="231F20"/>
            </w:tcBorders>
            <w:shd w:val="clear" w:color="auto" w:fill="E8F5F1"/>
          </w:tcPr>
          <w:p>
            <w:pPr>
              <w:pStyle w:val="TableParagraph"/>
              <w:spacing w:line="149" w:lineRule="exact"/>
              <w:ind w:left="69"/>
              <w:rPr>
                <w:sz w:val="15"/>
              </w:rPr>
            </w:pPr>
            <w:r>
              <w:rPr>
                <w:color w:val="231F20"/>
                <w:sz w:val="15"/>
              </w:rPr>
              <w:t>Myoclonic</w:t>
            </w:r>
            <w:r>
              <w:rPr>
                <w:color w:val="231F20"/>
                <w:spacing w:val="-1"/>
                <w:sz w:val="15"/>
              </w:rPr>
              <w:t> </w:t>
            </w:r>
            <w:r>
              <w:rPr>
                <w:color w:val="231F20"/>
                <w:sz w:val="15"/>
              </w:rPr>
              <w:t>status </w:t>
            </w:r>
            <w:r>
              <w:rPr>
                <w:color w:val="231F20"/>
                <w:spacing w:val="-2"/>
                <w:sz w:val="15"/>
              </w:rPr>
              <w:t>epilepticus</w:t>
            </w:r>
          </w:p>
        </w:tc>
      </w:tr>
      <w:tr>
        <w:trPr>
          <w:trHeight w:val="169" w:hRule="exact"/>
        </w:trPr>
        <w:tc>
          <w:tcPr>
            <w:tcW w:w="4871" w:type="dxa"/>
            <w:gridSpan w:val="2"/>
            <w:tcBorders>
              <w:right w:val="single" w:sz="4" w:space="0" w:color="231F20"/>
            </w:tcBorders>
            <w:shd w:val="clear" w:color="auto" w:fill="E8F5F1"/>
          </w:tcPr>
          <w:p>
            <w:pPr>
              <w:pStyle w:val="TableParagraph"/>
              <w:spacing w:line="149" w:lineRule="exact"/>
              <w:ind w:left="74"/>
              <w:rPr>
                <w:sz w:val="15"/>
              </w:rPr>
            </w:pPr>
            <w:r>
              <w:rPr>
                <w:color w:val="231F20"/>
                <w:sz w:val="15"/>
              </w:rPr>
              <w:t>Focal</w:t>
            </w:r>
            <w:r>
              <w:rPr>
                <w:color w:val="231F20"/>
                <w:spacing w:val="1"/>
                <w:sz w:val="15"/>
              </w:rPr>
              <w:t> </w:t>
            </w:r>
            <w:r>
              <w:rPr>
                <w:color w:val="231F20"/>
                <w:sz w:val="15"/>
              </w:rPr>
              <w:t>motor</w:t>
            </w:r>
            <w:r>
              <w:rPr>
                <w:color w:val="231F20"/>
                <w:spacing w:val="1"/>
                <w:sz w:val="15"/>
              </w:rPr>
              <w:t> </w:t>
            </w:r>
            <w:r>
              <w:rPr>
                <w:color w:val="231F20"/>
                <w:spacing w:val="-2"/>
                <w:sz w:val="15"/>
              </w:rPr>
              <w:t>seizures</w:t>
            </w:r>
          </w:p>
        </w:tc>
        <w:tc>
          <w:tcPr>
            <w:tcW w:w="4876" w:type="dxa"/>
            <w:tcBorders>
              <w:left w:val="single" w:sz="4" w:space="0" w:color="231F20"/>
            </w:tcBorders>
            <w:shd w:val="clear" w:color="auto" w:fill="E8F5F1"/>
          </w:tcPr>
          <w:p>
            <w:pPr>
              <w:pStyle w:val="TableParagraph"/>
              <w:spacing w:line="149" w:lineRule="exact"/>
              <w:ind w:left="69"/>
              <w:rPr>
                <w:i/>
                <w:sz w:val="15"/>
              </w:rPr>
            </w:pPr>
            <w:r>
              <w:rPr>
                <w:i/>
                <w:color w:val="231F20"/>
                <w:sz w:val="15"/>
              </w:rPr>
              <w:t>Focal</w:t>
            </w:r>
            <w:r>
              <w:rPr>
                <w:i/>
                <w:color w:val="231F20"/>
                <w:spacing w:val="3"/>
                <w:sz w:val="15"/>
              </w:rPr>
              <w:t> </w:t>
            </w:r>
            <w:r>
              <w:rPr>
                <w:i/>
                <w:color w:val="231F20"/>
                <w:sz w:val="15"/>
              </w:rPr>
              <w:t>Status</w:t>
            </w:r>
            <w:r>
              <w:rPr>
                <w:i/>
                <w:color w:val="231F20"/>
                <w:spacing w:val="4"/>
                <w:sz w:val="15"/>
              </w:rPr>
              <w:t> </w:t>
            </w:r>
            <w:r>
              <w:rPr>
                <w:i/>
                <w:color w:val="231F20"/>
                <w:spacing w:val="-2"/>
                <w:sz w:val="15"/>
              </w:rPr>
              <w:t>Epilepticus</w:t>
            </w: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1"/>
              </w:numPr>
              <w:tabs>
                <w:tab w:pos="223" w:val="left" w:leader="none"/>
              </w:tabs>
              <w:spacing w:line="147" w:lineRule="exact" w:before="0" w:after="0"/>
              <w:ind w:left="223" w:right="0" w:hanging="149"/>
              <w:jc w:val="left"/>
              <w:rPr>
                <w:sz w:val="15"/>
              </w:rPr>
            </w:pPr>
            <w:r>
              <w:rPr>
                <w:color w:val="231F20"/>
                <w:sz w:val="15"/>
              </w:rPr>
              <w:t>With</w:t>
            </w:r>
            <w:r>
              <w:rPr>
                <w:color w:val="231F20"/>
                <w:spacing w:val="-11"/>
                <w:sz w:val="15"/>
              </w:rPr>
              <w:t> </w:t>
            </w:r>
            <w:r>
              <w:rPr>
                <w:color w:val="231F20"/>
                <w:sz w:val="15"/>
              </w:rPr>
              <w:t>elementary</w:t>
            </w:r>
            <w:r>
              <w:rPr>
                <w:color w:val="231F20"/>
                <w:spacing w:val="-10"/>
                <w:sz w:val="15"/>
              </w:rPr>
              <w:t> </w:t>
            </w:r>
            <w:r>
              <w:rPr>
                <w:color w:val="231F20"/>
                <w:sz w:val="15"/>
              </w:rPr>
              <w:t>clonic</w:t>
            </w:r>
            <w:r>
              <w:rPr>
                <w:color w:val="231F20"/>
                <w:spacing w:val="-11"/>
                <w:sz w:val="15"/>
              </w:rPr>
              <w:t> </w:t>
            </w:r>
            <w:r>
              <w:rPr>
                <w:color w:val="231F20"/>
                <w:sz w:val="15"/>
              </w:rPr>
              <w:t>motor</w:t>
            </w:r>
            <w:r>
              <w:rPr>
                <w:color w:val="231F20"/>
                <w:spacing w:val="-10"/>
                <w:sz w:val="15"/>
              </w:rPr>
              <w:t> </w:t>
            </w:r>
            <w:r>
              <w:rPr>
                <w:color w:val="231F20"/>
                <w:spacing w:val="-4"/>
                <w:sz w:val="15"/>
              </w:rPr>
              <w:t>signs</w:t>
            </w:r>
          </w:p>
        </w:tc>
        <w:tc>
          <w:tcPr>
            <w:tcW w:w="4876" w:type="dxa"/>
            <w:tcBorders>
              <w:left w:val="single" w:sz="4" w:space="0" w:color="231F20"/>
            </w:tcBorders>
            <w:shd w:val="clear" w:color="auto" w:fill="E8F5F1"/>
          </w:tcPr>
          <w:p>
            <w:pPr>
              <w:pStyle w:val="TableParagraph"/>
              <w:spacing w:line="147" w:lineRule="exact"/>
              <w:ind w:left="69"/>
              <w:rPr>
                <w:sz w:val="15"/>
              </w:rPr>
            </w:pPr>
            <w:r>
              <w:rPr>
                <w:color w:val="231F20"/>
                <w:sz w:val="15"/>
              </w:rPr>
              <w:t>Epilepsia</w:t>
            </w:r>
            <w:r>
              <w:rPr>
                <w:color w:val="231F20"/>
                <w:spacing w:val="-12"/>
                <w:sz w:val="15"/>
              </w:rPr>
              <w:t> </w:t>
            </w:r>
            <w:r>
              <w:rPr>
                <w:color w:val="231F20"/>
                <w:sz w:val="15"/>
              </w:rPr>
              <w:t>partialis</w:t>
            </w:r>
            <w:r>
              <w:rPr>
                <w:color w:val="231F20"/>
                <w:spacing w:val="-11"/>
                <w:sz w:val="15"/>
              </w:rPr>
              <w:t> </w:t>
            </w:r>
            <w:r>
              <w:rPr>
                <w:color w:val="231F20"/>
                <w:sz w:val="15"/>
              </w:rPr>
              <w:t>continua</w:t>
            </w:r>
            <w:r>
              <w:rPr>
                <w:color w:val="231F20"/>
                <w:spacing w:val="-11"/>
                <w:sz w:val="15"/>
              </w:rPr>
              <w:t> </w:t>
            </w:r>
            <w:r>
              <w:rPr>
                <w:color w:val="231F20"/>
                <w:sz w:val="15"/>
              </w:rPr>
              <w:t>of</w:t>
            </w:r>
            <w:r>
              <w:rPr>
                <w:color w:val="231F20"/>
                <w:spacing w:val="-11"/>
                <w:sz w:val="15"/>
              </w:rPr>
              <w:t> </w:t>
            </w:r>
            <w:r>
              <w:rPr>
                <w:color w:val="231F20"/>
                <w:spacing w:val="-2"/>
                <w:sz w:val="15"/>
              </w:rPr>
              <w:t>Kojevnikov</w:t>
            </w: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2"/>
              </w:numPr>
              <w:tabs>
                <w:tab w:pos="223" w:val="left" w:leader="none"/>
              </w:tabs>
              <w:spacing w:line="148" w:lineRule="exact" w:before="0" w:after="0"/>
              <w:ind w:left="223" w:right="0" w:hanging="149"/>
              <w:jc w:val="left"/>
              <w:rPr>
                <w:sz w:val="15"/>
              </w:rPr>
            </w:pPr>
            <w:r>
              <w:rPr>
                <w:color w:val="231F20"/>
                <w:spacing w:val="-2"/>
                <w:sz w:val="15"/>
              </w:rPr>
              <w:t>With asymmetrical tonic</w:t>
            </w:r>
            <w:r>
              <w:rPr>
                <w:color w:val="231F20"/>
                <w:spacing w:val="-1"/>
                <w:sz w:val="15"/>
              </w:rPr>
              <w:t> </w:t>
            </w:r>
            <w:r>
              <w:rPr>
                <w:color w:val="231F20"/>
                <w:spacing w:val="-2"/>
                <w:sz w:val="15"/>
              </w:rPr>
              <w:t>motor seizures (e.g.,</w:t>
            </w:r>
            <w:r>
              <w:rPr>
                <w:color w:val="231F20"/>
                <w:spacing w:val="-1"/>
                <w:sz w:val="15"/>
              </w:rPr>
              <w:t> </w:t>
            </w:r>
            <w:r>
              <w:rPr>
                <w:color w:val="231F20"/>
                <w:spacing w:val="-2"/>
                <w:sz w:val="15"/>
              </w:rPr>
              <w:t>supplementary motor</w:t>
            </w:r>
          </w:p>
        </w:tc>
        <w:tc>
          <w:tcPr>
            <w:tcW w:w="4876" w:type="dxa"/>
            <w:tcBorders>
              <w:left w:val="single" w:sz="4" w:space="0" w:color="231F20"/>
            </w:tcBorders>
            <w:shd w:val="clear" w:color="auto" w:fill="E8F5F1"/>
          </w:tcPr>
          <w:p>
            <w:pPr>
              <w:pStyle w:val="TableParagraph"/>
              <w:spacing w:line="147" w:lineRule="exact"/>
              <w:ind w:left="69"/>
              <w:rPr>
                <w:sz w:val="15"/>
              </w:rPr>
            </w:pPr>
            <w:r>
              <w:rPr>
                <w:color w:val="231F20"/>
                <w:sz w:val="15"/>
              </w:rPr>
              <w:t>Aura</w:t>
            </w:r>
            <w:r>
              <w:rPr>
                <w:color w:val="231F20"/>
                <w:spacing w:val="4"/>
                <w:sz w:val="15"/>
              </w:rPr>
              <w:t> </w:t>
            </w:r>
            <w:r>
              <w:rPr>
                <w:color w:val="231F20"/>
                <w:spacing w:val="-2"/>
                <w:sz w:val="15"/>
              </w:rPr>
              <w:t>continua</w:t>
            </w: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223"/>
              <w:rPr>
                <w:sz w:val="15"/>
              </w:rPr>
            </w:pPr>
            <w:r>
              <w:rPr>
                <w:color w:val="231F20"/>
                <w:spacing w:val="-2"/>
                <w:sz w:val="15"/>
              </w:rPr>
              <w:t>seizures)</w:t>
            </w:r>
          </w:p>
        </w:tc>
        <w:tc>
          <w:tcPr>
            <w:tcW w:w="4876" w:type="dxa"/>
            <w:tcBorders>
              <w:left w:val="single" w:sz="4" w:space="0" w:color="231F20"/>
            </w:tcBorders>
            <w:shd w:val="clear" w:color="auto" w:fill="E8F5F1"/>
          </w:tcPr>
          <w:p>
            <w:pPr>
              <w:pStyle w:val="TableParagraph"/>
              <w:spacing w:line="147" w:lineRule="exact"/>
              <w:ind w:left="69"/>
              <w:rPr>
                <w:sz w:val="15"/>
              </w:rPr>
            </w:pPr>
            <w:r>
              <w:rPr>
                <w:color w:val="231F20"/>
                <w:sz w:val="15"/>
              </w:rPr>
              <w:t>Limbic</w:t>
            </w:r>
            <w:r>
              <w:rPr>
                <w:color w:val="231F20"/>
                <w:spacing w:val="-12"/>
                <w:sz w:val="15"/>
              </w:rPr>
              <w:t> </w:t>
            </w:r>
            <w:r>
              <w:rPr>
                <w:color w:val="231F20"/>
                <w:sz w:val="15"/>
              </w:rPr>
              <w:t>status</w:t>
            </w:r>
            <w:r>
              <w:rPr>
                <w:color w:val="231F20"/>
                <w:spacing w:val="-11"/>
                <w:sz w:val="15"/>
              </w:rPr>
              <w:t> </w:t>
            </w:r>
            <w:r>
              <w:rPr>
                <w:color w:val="231F20"/>
                <w:sz w:val="15"/>
              </w:rPr>
              <w:t>epilepticus</w:t>
            </w:r>
            <w:r>
              <w:rPr>
                <w:color w:val="231F20"/>
                <w:spacing w:val="-11"/>
                <w:sz w:val="15"/>
              </w:rPr>
              <w:t> </w:t>
            </w:r>
            <w:r>
              <w:rPr>
                <w:color w:val="231F20"/>
                <w:sz w:val="15"/>
              </w:rPr>
              <w:t>(psychomotor</w:t>
            </w:r>
            <w:r>
              <w:rPr>
                <w:color w:val="231F20"/>
                <w:spacing w:val="-11"/>
                <w:sz w:val="15"/>
              </w:rPr>
              <w:t> </w:t>
            </w:r>
            <w:r>
              <w:rPr>
                <w:color w:val="231F20"/>
                <w:spacing w:val="-2"/>
                <w:sz w:val="15"/>
              </w:rPr>
              <w:t>status)</w:t>
            </w:r>
          </w:p>
        </w:tc>
      </w:tr>
      <w:tr>
        <w:trPr>
          <w:trHeight w:val="168" w:hRule="exact"/>
        </w:trPr>
        <w:tc>
          <w:tcPr>
            <w:tcW w:w="4871" w:type="dxa"/>
            <w:gridSpan w:val="2"/>
            <w:tcBorders>
              <w:right w:val="single" w:sz="4" w:space="0" w:color="231F20"/>
            </w:tcBorders>
            <w:shd w:val="clear" w:color="auto" w:fill="E8F5F1"/>
          </w:tcPr>
          <w:p>
            <w:pPr>
              <w:pStyle w:val="TableParagraph"/>
              <w:numPr>
                <w:ilvl w:val="0"/>
                <w:numId w:val="33"/>
              </w:numPr>
              <w:tabs>
                <w:tab w:pos="223" w:val="left" w:leader="none"/>
              </w:tabs>
              <w:spacing w:line="149" w:lineRule="exact" w:before="0" w:after="0"/>
              <w:ind w:left="223" w:right="0" w:hanging="149"/>
              <w:jc w:val="left"/>
              <w:rPr>
                <w:sz w:val="15"/>
              </w:rPr>
            </w:pPr>
            <w:r>
              <w:rPr>
                <w:color w:val="231F20"/>
                <w:spacing w:val="-2"/>
                <w:sz w:val="15"/>
              </w:rPr>
              <w:t>With</w:t>
            </w:r>
            <w:r>
              <w:rPr>
                <w:color w:val="231F20"/>
                <w:spacing w:val="-7"/>
                <w:sz w:val="15"/>
              </w:rPr>
              <w:t> </w:t>
            </w:r>
            <w:r>
              <w:rPr>
                <w:color w:val="231F20"/>
                <w:spacing w:val="-2"/>
                <w:sz w:val="15"/>
              </w:rPr>
              <w:t>typical</w:t>
            </w:r>
            <w:r>
              <w:rPr>
                <w:color w:val="231F20"/>
                <w:spacing w:val="-6"/>
                <w:sz w:val="15"/>
              </w:rPr>
              <w:t> </w:t>
            </w:r>
            <w:r>
              <w:rPr>
                <w:color w:val="231F20"/>
                <w:spacing w:val="-2"/>
                <w:sz w:val="15"/>
              </w:rPr>
              <w:t>(temporal</w:t>
            </w:r>
            <w:r>
              <w:rPr>
                <w:color w:val="231F20"/>
                <w:spacing w:val="-6"/>
                <w:sz w:val="15"/>
              </w:rPr>
              <w:t> </w:t>
            </w:r>
            <w:r>
              <w:rPr>
                <w:color w:val="231F20"/>
                <w:spacing w:val="-2"/>
                <w:sz w:val="15"/>
              </w:rPr>
              <w:t>lobe)</w:t>
            </w:r>
            <w:r>
              <w:rPr>
                <w:color w:val="231F20"/>
                <w:spacing w:val="-6"/>
                <w:sz w:val="15"/>
              </w:rPr>
              <w:t> </w:t>
            </w:r>
            <w:r>
              <w:rPr>
                <w:color w:val="231F20"/>
                <w:spacing w:val="-2"/>
                <w:sz w:val="15"/>
              </w:rPr>
              <w:t>automatisms</w:t>
            </w:r>
            <w:r>
              <w:rPr>
                <w:color w:val="231F20"/>
                <w:spacing w:val="-7"/>
                <w:sz w:val="15"/>
              </w:rPr>
              <w:t> </w:t>
            </w:r>
            <w:r>
              <w:rPr>
                <w:color w:val="231F20"/>
                <w:spacing w:val="-2"/>
                <w:sz w:val="15"/>
              </w:rPr>
              <w:t>(e.g.,</w:t>
            </w:r>
            <w:r>
              <w:rPr>
                <w:color w:val="231F20"/>
                <w:spacing w:val="-6"/>
                <w:sz w:val="15"/>
              </w:rPr>
              <w:t> </w:t>
            </w:r>
            <w:r>
              <w:rPr>
                <w:color w:val="231F20"/>
                <w:spacing w:val="-2"/>
                <w:sz w:val="15"/>
              </w:rPr>
              <w:t>mesial</w:t>
            </w:r>
            <w:r>
              <w:rPr>
                <w:color w:val="231F20"/>
                <w:spacing w:val="-6"/>
                <w:sz w:val="15"/>
              </w:rPr>
              <w:t> </w:t>
            </w:r>
            <w:r>
              <w:rPr>
                <w:color w:val="231F20"/>
                <w:spacing w:val="-2"/>
                <w:sz w:val="15"/>
              </w:rPr>
              <w:t>temporal</w:t>
            </w:r>
          </w:p>
        </w:tc>
        <w:tc>
          <w:tcPr>
            <w:tcW w:w="4876" w:type="dxa"/>
            <w:vMerge w:val="restart"/>
            <w:tcBorders>
              <w:left w:val="single" w:sz="4" w:space="0" w:color="231F20"/>
            </w:tcBorders>
            <w:shd w:val="clear" w:color="auto" w:fill="E8F5F1"/>
          </w:tcPr>
          <w:p>
            <w:pPr>
              <w:pStyle w:val="TableParagraph"/>
              <w:spacing w:line="172" w:lineRule="exact"/>
              <w:ind w:left="69"/>
              <w:rPr>
                <w:sz w:val="15"/>
              </w:rPr>
            </w:pPr>
            <w:r>
              <w:rPr>
                <w:color w:val="231F20"/>
                <w:spacing w:val="-2"/>
                <w:sz w:val="15"/>
              </w:rPr>
              <w:t>Hemiconvulsive</w:t>
            </w:r>
            <w:r>
              <w:rPr>
                <w:color w:val="231F20"/>
                <w:sz w:val="15"/>
              </w:rPr>
              <w:t> </w:t>
            </w:r>
            <w:r>
              <w:rPr>
                <w:color w:val="231F20"/>
                <w:spacing w:val="-2"/>
                <w:sz w:val="15"/>
              </w:rPr>
              <w:t>status</w:t>
            </w:r>
            <w:r>
              <w:rPr>
                <w:color w:val="231F20"/>
                <w:sz w:val="15"/>
              </w:rPr>
              <w:t> </w:t>
            </w:r>
            <w:r>
              <w:rPr>
                <w:color w:val="231F20"/>
                <w:spacing w:val="-2"/>
                <w:sz w:val="15"/>
              </w:rPr>
              <w:t>with</w:t>
            </w:r>
            <w:r>
              <w:rPr>
                <w:color w:val="231F20"/>
                <w:sz w:val="15"/>
              </w:rPr>
              <w:t> </w:t>
            </w:r>
            <w:r>
              <w:rPr>
                <w:color w:val="231F20"/>
                <w:spacing w:val="-2"/>
                <w:sz w:val="15"/>
              </w:rPr>
              <w:t>hemiparesis</w:t>
            </w:r>
          </w:p>
        </w:tc>
      </w:tr>
      <w:tr>
        <w:trPr>
          <w:trHeight w:val="47" w:hRule="exact"/>
        </w:trPr>
        <w:tc>
          <w:tcPr>
            <w:tcW w:w="4871" w:type="dxa"/>
            <w:gridSpan w:val="2"/>
            <w:vMerge w:val="restart"/>
            <w:tcBorders>
              <w:right w:val="single" w:sz="4" w:space="0" w:color="231F20"/>
            </w:tcBorders>
            <w:shd w:val="clear" w:color="auto" w:fill="E8F5F1"/>
          </w:tcPr>
          <w:p>
            <w:pPr>
              <w:pStyle w:val="TableParagraph"/>
              <w:spacing w:line="145" w:lineRule="exact"/>
              <w:ind w:left="223"/>
              <w:rPr>
                <w:sz w:val="15"/>
              </w:rPr>
            </w:pPr>
            <w:r>
              <w:rPr>
                <w:color w:val="231F20"/>
                <w:sz w:val="15"/>
              </w:rPr>
              <w:t>lobe</w:t>
            </w:r>
            <w:r>
              <w:rPr>
                <w:color w:val="231F20"/>
                <w:spacing w:val="6"/>
                <w:sz w:val="15"/>
              </w:rPr>
              <w:t> </w:t>
            </w:r>
            <w:r>
              <w:rPr>
                <w:color w:val="231F20"/>
                <w:spacing w:val="-2"/>
                <w:sz w:val="15"/>
              </w:rPr>
              <w:t>seizures)</w:t>
            </w:r>
          </w:p>
        </w:tc>
        <w:tc>
          <w:tcPr>
            <w:tcW w:w="4876" w:type="dxa"/>
            <w:vMerge/>
            <w:tcBorders>
              <w:top w:val="nil"/>
              <w:left w:val="single" w:sz="4" w:space="0" w:color="231F20"/>
            </w:tcBorders>
            <w:shd w:val="clear" w:color="auto" w:fill="E8F5F1"/>
          </w:tcPr>
          <w:p>
            <w:pPr>
              <w:rPr>
                <w:sz w:val="2"/>
                <w:szCs w:val="2"/>
              </w:rPr>
            </w:pPr>
          </w:p>
        </w:tc>
      </w:tr>
      <w:tr>
        <w:trPr>
          <w:trHeight w:val="117" w:hRule="exact"/>
        </w:trPr>
        <w:tc>
          <w:tcPr>
            <w:tcW w:w="4871" w:type="dxa"/>
            <w:gridSpan w:val="2"/>
            <w:vMerge/>
            <w:tcBorders>
              <w:top w:val="nil"/>
              <w:right w:val="single" w:sz="4" w:space="0" w:color="231F20"/>
            </w:tcBorders>
            <w:shd w:val="clear" w:color="auto" w:fill="E8F5F1"/>
          </w:tcPr>
          <w:p>
            <w:pPr>
              <w:rPr>
                <w:sz w:val="2"/>
                <w:szCs w:val="2"/>
              </w:rPr>
            </w:pPr>
          </w:p>
        </w:tc>
        <w:tc>
          <w:tcPr>
            <w:tcW w:w="4876" w:type="dxa"/>
            <w:vMerge w:val="restart"/>
            <w:tcBorders>
              <w:top w:val="single" w:sz="4" w:space="0" w:color="FFFFFF"/>
              <w:left w:val="single" w:sz="4" w:space="0" w:color="231F20"/>
              <w:bottom w:val="single" w:sz="8" w:space="0" w:color="231F20"/>
            </w:tcBorders>
            <w:shd w:val="clear" w:color="auto" w:fill="E8F5F1"/>
          </w:tcPr>
          <w:p>
            <w:pPr>
              <w:pStyle w:val="TableParagraph"/>
              <w:spacing w:line="172" w:lineRule="exact" w:before="43"/>
              <w:ind w:left="69"/>
              <w:rPr>
                <w:sz w:val="15"/>
              </w:rPr>
            </w:pPr>
            <w:r>
              <w:rPr>
                <w:color w:val="231F20"/>
                <w:w w:val="110"/>
                <w:sz w:val="15"/>
              </w:rPr>
              <w:t>PRECIPITATING</w:t>
            </w:r>
            <w:r>
              <w:rPr>
                <w:color w:val="231F20"/>
                <w:spacing w:val="-7"/>
                <w:w w:val="110"/>
                <w:sz w:val="15"/>
              </w:rPr>
              <w:t> </w:t>
            </w:r>
            <w:r>
              <w:rPr>
                <w:color w:val="231F20"/>
                <w:w w:val="110"/>
                <w:sz w:val="15"/>
              </w:rPr>
              <w:t>STIMULI</w:t>
            </w:r>
            <w:r>
              <w:rPr>
                <w:color w:val="231F20"/>
                <w:spacing w:val="-7"/>
                <w:w w:val="110"/>
                <w:sz w:val="15"/>
              </w:rPr>
              <w:t> </w:t>
            </w:r>
            <w:r>
              <w:rPr>
                <w:color w:val="231F20"/>
                <w:w w:val="110"/>
                <w:sz w:val="15"/>
              </w:rPr>
              <w:t>FOR</w:t>
            </w:r>
            <w:r>
              <w:rPr>
                <w:color w:val="231F20"/>
                <w:spacing w:val="-7"/>
                <w:w w:val="110"/>
                <w:sz w:val="15"/>
              </w:rPr>
              <w:t> </w:t>
            </w:r>
            <w:r>
              <w:rPr>
                <w:color w:val="231F20"/>
                <w:w w:val="110"/>
                <w:sz w:val="15"/>
              </w:rPr>
              <w:t>REFLEX</w:t>
            </w:r>
            <w:r>
              <w:rPr>
                <w:color w:val="231F20"/>
                <w:spacing w:val="-7"/>
                <w:w w:val="110"/>
                <w:sz w:val="15"/>
              </w:rPr>
              <w:t> </w:t>
            </w:r>
            <w:r>
              <w:rPr>
                <w:color w:val="231F20"/>
                <w:spacing w:val="-2"/>
                <w:w w:val="110"/>
                <w:sz w:val="15"/>
              </w:rPr>
              <w:t>SEIZURES</w:t>
            </w:r>
          </w:p>
          <w:p>
            <w:pPr>
              <w:pStyle w:val="TableParagraph"/>
              <w:spacing w:line="169" w:lineRule="exact"/>
              <w:ind w:left="69"/>
              <w:rPr>
                <w:sz w:val="15"/>
              </w:rPr>
            </w:pPr>
            <w:r>
              <w:rPr>
                <w:color w:val="231F20"/>
                <w:spacing w:val="-2"/>
                <w:sz w:val="15"/>
              </w:rPr>
              <w:t>Visual</w:t>
            </w:r>
            <w:r>
              <w:rPr>
                <w:color w:val="231F20"/>
                <w:spacing w:val="-3"/>
                <w:sz w:val="15"/>
              </w:rPr>
              <w:t> </w:t>
            </w:r>
            <w:r>
              <w:rPr>
                <w:color w:val="231F20"/>
                <w:spacing w:val="-2"/>
                <w:sz w:val="15"/>
              </w:rPr>
              <w:t>stimuli</w:t>
            </w:r>
          </w:p>
          <w:p>
            <w:pPr>
              <w:pStyle w:val="TableParagraph"/>
              <w:numPr>
                <w:ilvl w:val="0"/>
                <w:numId w:val="34"/>
              </w:numPr>
              <w:tabs>
                <w:tab w:pos="218" w:val="left" w:leader="none"/>
              </w:tabs>
              <w:spacing w:line="168" w:lineRule="exact" w:before="0" w:after="0"/>
              <w:ind w:left="218" w:right="0" w:hanging="149"/>
              <w:jc w:val="left"/>
              <w:rPr>
                <w:sz w:val="15"/>
              </w:rPr>
            </w:pPr>
            <w:r>
              <w:rPr>
                <w:color w:val="231F20"/>
                <w:sz w:val="15"/>
              </w:rPr>
              <w:t>Flickering</w:t>
            </w:r>
            <w:r>
              <w:rPr>
                <w:color w:val="231F20"/>
                <w:spacing w:val="-1"/>
                <w:sz w:val="15"/>
              </w:rPr>
              <w:t> </w:t>
            </w:r>
            <w:r>
              <w:rPr>
                <w:color w:val="231F20"/>
                <w:sz w:val="15"/>
              </w:rPr>
              <w:t>light—color to be specified</w:t>
            </w:r>
            <w:r>
              <w:rPr>
                <w:color w:val="231F20"/>
                <w:spacing w:val="-1"/>
                <w:sz w:val="15"/>
              </w:rPr>
              <w:t> </w:t>
            </w:r>
            <w:r>
              <w:rPr>
                <w:color w:val="231F20"/>
                <w:sz w:val="15"/>
              </w:rPr>
              <w:t>when </w:t>
            </w:r>
            <w:r>
              <w:rPr>
                <w:color w:val="231F20"/>
                <w:spacing w:val="-2"/>
                <w:sz w:val="15"/>
              </w:rPr>
              <w:t>possible</w:t>
            </w:r>
          </w:p>
          <w:p>
            <w:pPr>
              <w:pStyle w:val="TableParagraph"/>
              <w:numPr>
                <w:ilvl w:val="0"/>
                <w:numId w:val="34"/>
              </w:numPr>
              <w:tabs>
                <w:tab w:pos="218" w:val="left" w:leader="none"/>
              </w:tabs>
              <w:spacing w:line="168" w:lineRule="exact" w:before="0" w:after="0"/>
              <w:ind w:left="218" w:right="0" w:hanging="149"/>
              <w:jc w:val="left"/>
              <w:rPr>
                <w:sz w:val="15"/>
              </w:rPr>
            </w:pPr>
            <w:r>
              <w:rPr>
                <w:color w:val="231F20"/>
                <w:spacing w:val="-2"/>
                <w:sz w:val="15"/>
              </w:rPr>
              <w:t>Patterns</w:t>
            </w:r>
          </w:p>
          <w:p>
            <w:pPr>
              <w:pStyle w:val="TableParagraph"/>
              <w:numPr>
                <w:ilvl w:val="0"/>
                <w:numId w:val="34"/>
              </w:numPr>
              <w:tabs>
                <w:tab w:pos="218" w:val="left" w:leader="none"/>
              </w:tabs>
              <w:spacing w:line="230" w:lineRule="auto" w:before="2" w:after="0"/>
              <w:ind w:left="69" w:right="3370" w:firstLine="0"/>
              <w:jc w:val="left"/>
              <w:rPr>
                <w:sz w:val="15"/>
              </w:rPr>
            </w:pPr>
            <w:r>
              <w:rPr>
                <w:color w:val="231F20"/>
                <w:spacing w:val="-2"/>
                <w:sz w:val="15"/>
              </w:rPr>
              <w:t>Other</w:t>
            </w:r>
            <w:r>
              <w:rPr>
                <w:color w:val="231F20"/>
                <w:spacing w:val="-10"/>
                <w:sz w:val="15"/>
              </w:rPr>
              <w:t> </w:t>
            </w:r>
            <w:r>
              <w:rPr>
                <w:color w:val="231F20"/>
                <w:spacing w:val="-2"/>
                <w:sz w:val="15"/>
              </w:rPr>
              <w:t>visual</w:t>
            </w:r>
            <w:r>
              <w:rPr>
                <w:color w:val="231F20"/>
                <w:spacing w:val="-9"/>
                <w:sz w:val="15"/>
              </w:rPr>
              <w:t> </w:t>
            </w:r>
            <w:r>
              <w:rPr>
                <w:color w:val="231F20"/>
                <w:spacing w:val="-2"/>
                <w:sz w:val="15"/>
              </w:rPr>
              <w:t>stimuli Thinking</w:t>
            </w:r>
          </w:p>
          <w:p>
            <w:pPr>
              <w:pStyle w:val="TableParagraph"/>
              <w:spacing w:line="230" w:lineRule="auto" w:before="2"/>
              <w:ind w:left="69" w:right="4373"/>
              <w:jc w:val="both"/>
              <w:rPr>
                <w:sz w:val="15"/>
              </w:rPr>
            </w:pPr>
            <w:r>
              <w:rPr>
                <w:color w:val="231F20"/>
                <w:spacing w:val="-2"/>
                <w:sz w:val="15"/>
              </w:rPr>
              <w:t>Music Eating Praxis</w:t>
            </w:r>
          </w:p>
          <w:p>
            <w:pPr>
              <w:pStyle w:val="TableParagraph"/>
              <w:spacing w:line="230" w:lineRule="auto" w:before="2"/>
              <w:ind w:left="69" w:right="3783"/>
              <w:jc w:val="both"/>
              <w:rPr>
                <w:sz w:val="15"/>
              </w:rPr>
            </w:pPr>
            <w:r>
              <w:rPr>
                <w:color w:val="231F20"/>
                <w:spacing w:val="-2"/>
                <w:sz w:val="15"/>
              </w:rPr>
              <w:t>Somatosensory Proprioceptive Reading</w:t>
            </w:r>
          </w:p>
          <w:p>
            <w:pPr>
              <w:pStyle w:val="TableParagraph"/>
              <w:spacing w:line="230" w:lineRule="auto" w:before="2"/>
              <w:ind w:left="69" w:right="4141"/>
              <w:jc w:val="both"/>
              <w:rPr>
                <w:sz w:val="15"/>
              </w:rPr>
            </w:pPr>
            <w:r>
              <w:rPr>
                <w:color w:val="231F20"/>
                <w:spacing w:val="-2"/>
                <w:sz w:val="15"/>
              </w:rPr>
              <w:t>Hot</w:t>
            </w:r>
            <w:r>
              <w:rPr>
                <w:color w:val="231F20"/>
                <w:spacing w:val="-10"/>
                <w:sz w:val="15"/>
              </w:rPr>
              <w:t> </w:t>
            </w:r>
            <w:r>
              <w:rPr>
                <w:color w:val="231F20"/>
                <w:spacing w:val="-2"/>
                <w:sz w:val="15"/>
              </w:rPr>
              <w:t>water Startle</w:t>
            </w: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5"/>
              </w:numPr>
              <w:tabs>
                <w:tab w:pos="223" w:val="left" w:leader="none"/>
              </w:tabs>
              <w:spacing w:line="148" w:lineRule="exact" w:before="0" w:after="0"/>
              <w:ind w:left="223" w:right="0" w:hanging="149"/>
              <w:jc w:val="left"/>
              <w:rPr>
                <w:sz w:val="15"/>
              </w:rPr>
            </w:pPr>
            <w:r>
              <w:rPr>
                <w:color w:val="231F20"/>
                <w:spacing w:val="-2"/>
                <w:sz w:val="15"/>
              </w:rPr>
              <w:t>With hyperkinetic</w:t>
            </w:r>
            <w:r>
              <w:rPr>
                <w:color w:val="231F20"/>
                <w:spacing w:val="-1"/>
                <w:sz w:val="15"/>
              </w:rPr>
              <w:t> </w:t>
            </w:r>
            <w:r>
              <w:rPr>
                <w:color w:val="231F20"/>
                <w:spacing w:val="-2"/>
                <w:sz w:val="15"/>
              </w:rPr>
              <w:t>automatisms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6"/>
              </w:numPr>
              <w:tabs>
                <w:tab w:pos="223" w:val="left" w:leader="none"/>
              </w:tabs>
              <w:spacing w:line="148" w:lineRule="exact" w:before="0" w:after="0"/>
              <w:ind w:left="223" w:right="0" w:hanging="149"/>
              <w:jc w:val="left"/>
              <w:rPr>
                <w:sz w:val="15"/>
              </w:rPr>
            </w:pPr>
            <w:r>
              <w:rPr>
                <w:color w:val="231F20"/>
                <w:sz w:val="15"/>
              </w:rPr>
              <w:t>With</w:t>
            </w:r>
            <w:r>
              <w:rPr>
                <w:color w:val="231F20"/>
                <w:spacing w:val="-8"/>
                <w:sz w:val="15"/>
              </w:rPr>
              <w:t> </w:t>
            </w:r>
            <w:r>
              <w:rPr>
                <w:color w:val="231F20"/>
                <w:sz w:val="15"/>
              </w:rPr>
              <w:t>focal</w:t>
            </w:r>
            <w:r>
              <w:rPr>
                <w:color w:val="231F20"/>
                <w:spacing w:val="-8"/>
                <w:sz w:val="15"/>
              </w:rPr>
              <w:t> </w:t>
            </w:r>
            <w:r>
              <w:rPr>
                <w:color w:val="231F20"/>
                <w:sz w:val="15"/>
              </w:rPr>
              <w:t>negative</w:t>
            </w:r>
            <w:r>
              <w:rPr>
                <w:color w:val="231F20"/>
                <w:spacing w:val="-7"/>
                <w:sz w:val="15"/>
              </w:rPr>
              <w:t> </w:t>
            </w:r>
            <w:r>
              <w:rPr>
                <w:color w:val="231F20"/>
                <w:spacing w:val="-2"/>
                <w:sz w:val="15"/>
              </w:rPr>
              <w:t>myoclonus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7"/>
              </w:numPr>
              <w:tabs>
                <w:tab w:pos="223" w:val="left" w:leader="none"/>
              </w:tabs>
              <w:spacing w:line="148" w:lineRule="exact" w:before="0" w:after="0"/>
              <w:ind w:left="223" w:right="0" w:hanging="149"/>
              <w:jc w:val="left"/>
              <w:rPr>
                <w:sz w:val="15"/>
              </w:rPr>
            </w:pPr>
            <w:r>
              <w:rPr>
                <w:color w:val="231F20"/>
                <w:sz w:val="15"/>
              </w:rPr>
              <w:t>With</w:t>
            </w:r>
            <w:r>
              <w:rPr>
                <w:color w:val="231F20"/>
                <w:spacing w:val="-11"/>
                <w:sz w:val="15"/>
              </w:rPr>
              <w:t> </w:t>
            </w:r>
            <w:r>
              <w:rPr>
                <w:color w:val="231F20"/>
                <w:sz w:val="15"/>
              </w:rPr>
              <w:t>inhibitory</w:t>
            </w:r>
            <w:r>
              <w:rPr>
                <w:color w:val="231F20"/>
                <w:spacing w:val="-11"/>
                <w:sz w:val="15"/>
              </w:rPr>
              <w:t> </w:t>
            </w:r>
            <w:r>
              <w:rPr>
                <w:color w:val="231F20"/>
                <w:sz w:val="15"/>
              </w:rPr>
              <w:t>motor</w:t>
            </w:r>
            <w:r>
              <w:rPr>
                <w:color w:val="231F20"/>
                <w:spacing w:val="-11"/>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Gelastic</w:t>
            </w:r>
            <w:r>
              <w:rPr>
                <w:color w:val="231F20"/>
                <w:spacing w:val="-10"/>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Hemiclonic</w:t>
            </w:r>
            <w:r>
              <w:rPr>
                <w:color w:val="231F20"/>
                <w:spacing w:val="-7"/>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Secondarily</w:t>
            </w:r>
            <w:r>
              <w:rPr>
                <w:color w:val="231F20"/>
                <w:spacing w:val="-7"/>
                <w:sz w:val="15"/>
              </w:rPr>
              <w:t> </w:t>
            </w:r>
            <w:r>
              <w:rPr>
                <w:color w:val="231F20"/>
                <w:sz w:val="15"/>
              </w:rPr>
              <w:t>generalized</w:t>
            </w:r>
            <w:r>
              <w:rPr>
                <w:color w:val="231F20"/>
                <w:spacing w:val="-7"/>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9" w:hRule="exact"/>
        </w:trPr>
        <w:tc>
          <w:tcPr>
            <w:tcW w:w="4871" w:type="dxa"/>
            <w:gridSpan w:val="2"/>
            <w:tcBorders>
              <w:right w:val="single" w:sz="4" w:space="0" w:color="231F20"/>
            </w:tcBorders>
            <w:shd w:val="clear" w:color="auto" w:fill="E8F5F1"/>
          </w:tcPr>
          <w:p>
            <w:pPr>
              <w:pStyle w:val="TableParagraph"/>
              <w:spacing w:line="150" w:lineRule="exact"/>
              <w:ind w:left="74"/>
              <w:rPr>
                <w:sz w:val="15"/>
              </w:rPr>
            </w:pPr>
            <w:r>
              <w:rPr>
                <w:color w:val="231F20"/>
                <w:spacing w:val="-2"/>
                <w:sz w:val="15"/>
              </w:rPr>
              <w:t>Reflex</w:t>
            </w:r>
            <w:r>
              <w:rPr>
                <w:color w:val="231F20"/>
                <w:spacing w:val="-1"/>
                <w:sz w:val="15"/>
              </w:rPr>
              <w:t> </w:t>
            </w:r>
            <w:r>
              <w:rPr>
                <w:color w:val="231F20"/>
                <w:spacing w:val="-2"/>
                <w:sz w:val="15"/>
              </w:rPr>
              <w:t>seizures</w:t>
            </w:r>
            <w:r>
              <w:rPr>
                <w:color w:val="231F20"/>
                <w:sz w:val="15"/>
              </w:rPr>
              <w:t> </w:t>
            </w:r>
            <w:r>
              <w:rPr>
                <w:color w:val="231F20"/>
                <w:spacing w:val="-2"/>
                <w:sz w:val="15"/>
              </w:rPr>
              <w:t>in</w:t>
            </w:r>
            <w:r>
              <w:rPr>
                <w:color w:val="231F20"/>
                <w:sz w:val="15"/>
              </w:rPr>
              <w:t> </w:t>
            </w:r>
            <w:r>
              <w:rPr>
                <w:color w:val="231F20"/>
                <w:spacing w:val="-2"/>
                <w:sz w:val="15"/>
              </w:rPr>
              <w:t>focal</w:t>
            </w:r>
            <w:r>
              <w:rPr>
                <w:color w:val="231F20"/>
                <w:spacing w:val="-1"/>
                <w:sz w:val="15"/>
              </w:rPr>
              <w:t> </w:t>
            </w:r>
            <w:r>
              <w:rPr>
                <w:color w:val="231F20"/>
                <w:spacing w:val="-2"/>
                <w:sz w:val="15"/>
              </w:rPr>
              <w:t>epilepsy</w:t>
            </w:r>
            <w:r>
              <w:rPr>
                <w:color w:val="231F20"/>
                <w:sz w:val="15"/>
              </w:rPr>
              <w:t> </w:t>
            </w:r>
            <w:r>
              <w:rPr>
                <w:color w:val="231F20"/>
                <w:spacing w:val="-2"/>
                <w:sz w:val="15"/>
              </w:rPr>
              <w:t>syndromes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72" w:hRule="exact"/>
        </w:trPr>
        <w:tc>
          <w:tcPr>
            <w:tcW w:w="4871" w:type="dxa"/>
            <w:gridSpan w:val="2"/>
            <w:tcBorders>
              <w:right w:val="single" w:sz="4" w:space="0" w:color="231F20"/>
            </w:tcBorders>
            <w:shd w:val="clear" w:color="auto" w:fill="E8F5F1"/>
          </w:tcPr>
          <w:p>
            <w:pPr>
              <w:pStyle w:val="TableParagraph"/>
              <w:spacing w:line="152" w:lineRule="exact"/>
              <w:ind w:left="74"/>
              <w:rPr>
                <w:i/>
                <w:sz w:val="15"/>
              </w:rPr>
            </w:pPr>
            <w:r>
              <w:rPr>
                <w:i/>
                <w:color w:val="231F20"/>
                <w:sz w:val="15"/>
              </w:rPr>
              <w:t>Generalized</w:t>
            </w:r>
            <w:r>
              <w:rPr>
                <w:i/>
                <w:color w:val="231F20"/>
                <w:spacing w:val="-5"/>
                <w:sz w:val="15"/>
              </w:rPr>
              <w:t> </w:t>
            </w:r>
            <w:r>
              <w:rPr>
                <w:i/>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5" w:hRule="exact"/>
        </w:trPr>
        <w:tc>
          <w:tcPr>
            <w:tcW w:w="4871" w:type="dxa"/>
            <w:gridSpan w:val="2"/>
            <w:tcBorders>
              <w:right w:val="single" w:sz="4" w:space="0" w:color="231F20"/>
            </w:tcBorders>
            <w:shd w:val="clear" w:color="auto" w:fill="E8F5F1"/>
          </w:tcPr>
          <w:p>
            <w:pPr>
              <w:pStyle w:val="TableParagraph"/>
              <w:spacing w:line="146" w:lineRule="exact"/>
              <w:ind w:left="74"/>
              <w:rPr>
                <w:sz w:val="15"/>
              </w:rPr>
            </w:pPr>
            <w:r>
              <w:rPr>
                <w:color w:val="231F20"/>
                <w:spacing w:val="-2"/>
                <w:sz w:val="15"/>
              </w:rPr>
              <w:t>Tonic-clonic</w:t>
            </w:r>
            <w:r>
              <w:rPr>
                <w:color w:val="231F20"/>
                <w:spacing w:val="2"/>
                <w:sz w:val="15"/>
              </w:rPr>
              <w:t> </w:t>
            </w:r>
            <w:r>
              <w:rPr>
                <w:color w:val="231F20"/>
                <w:spacing w:val="-2"/>
                <w:sz w:val="15"/>
              </w:rPr>
              <w:t>seizures</w:t>
            </w:r>
            <w:r>
              <w:rPr>
                <w:color w:val="231F20"/>
                <w:spacing w:val="2"/>
                <w:sz w:val="15"/>
              </w:rPr>
              <w:t> </w:t>
            </w:r>
            <w:r>
              <w:rPr>
                <w:color w:val="231F20"/>
                <w:spacing w:val="-2"/>
                <w:sz w:val="15"/>
              </w:rPr>
              <w:t>(includes</w:t>
            </w:r>
            <w:r>
              <w:rPr>
                <w:color w:val="231F20"/>
                <w:spacing w:val="2"/>
                <w:sz w:val="15"/>
              </w:rPr>
              <w:t> </w:t>
            </w:r>
            <w:r>
              <w:rPr>
                <w:color w:val="231F20"/>
                <w:spacing w:val="-2"/>
                <w:sz w:val="15"/>
              </w:rPr>
              <w:t>variations</w:t>
            </w:r>
            <w:r>
              <w:rPr>
                <w:color w:val="231F20"/>
                <w:spacing w:val="2"/>
                <w:sz w:val="15"/>
              </w:rPr>
              <w:t> </w:t>
            </w:r>
            <w:r>
              <w:rPr>
                <w:color w:val="231F20"/>
                <w:spacing w:val="-2"/>
                <w:sz w:val="15"/>
              </w:rPr>
              <w:t>beginning</w:t>
            </w:r>
            <w:r>
              <w:rPr>
                <w:color w:val="231F20"/>
                <w:spacing w:val="2"/>
                <w:sz w:val="15"/>
              </w:rPr>
              <w:t> </w:t>
            </w:r>
            <w:r>
              <w:rPr>
                <w:color w:val="231F20"/>
                <w:spacing w:val="-2"/>
                <w:sz w:val="15"/>
              </w:rPr>
              <w:t>with</w:t>
            </w:r>
            <w:r>
              <w:rPr>
                <w:color w:val="231F20"/>
                <w:spacing w:val="2"/>
                <w:sz w:val="15"/>
              </w:rPr>
              <w:t> </w:t>
            </w:r>
            <w:r>
              <w:rPr>
                <w:color w:val="231F20"/>
                <w:spacing w:val="-2"/>
                <w:sz w:val="15"/>
              </w:rPr>
              <w:t>a</w:t>
            </w:r>
            <w:r>
              <w:rPr>
                <w:color w:val="231F20"/>
                <w:spacing w:val="2"/>
                <w:sz w:val="15"/>
              </w:rPr>
              <w:t> </w:t>
            </w:r>
            <w:r>
              <w:rPr>
                <w:color w:val="231F20"/>
                <w:spacing w:val="-2"/>
                <w:sz w:val="15"/>
              </w:rPr>
              <w:t>clonic</w:t>
            </w:r>
            <w:r>
              <w:rPr>
                <w:color w:val="231F20"/>
                <w:spacing w:val="2"/>
                <w:sz w:val="15"/>
              </w:rPr>
              <w:t> </w:t>
            </w:r>
            <w:r>
              <w:rPr>
                <w:color w:val="231F20"/>
                <w:spacing w:val="-5"/>
                <w:sz w:val="15"/>
              </w:rPr>
              <w:t>or</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186"/>
              <w:rPr>
                <w:sz w:val="15"/>
              </w:rPr>
            </w:pPr>
            <w:r>
              <w:rPr>
                <w:color w:val="231F20"/>
                <w:sz w:val="15"/>
              </w:rPr>
              <w:t>myoclonic</w:t>
            </w:r>
            <w:r>
              <w:rPr>
                <w:color w:val="231F20"/>
                <w:spacing w:val="-6"/>
                <w:sz w:val="15"/>
              </w:rPr>
              <w:t> </w:t>
            </w:r>
            <w:r>
              <w:rPr>
                <w:color w:val="231F20"/>
                <w:spacing w:val="-2"/>
                <w:sz w:val="15"/>
              </w:rPr>
              <w:t>phase)</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Clonic</w:t>
            </w:r>
            <w:r>
              <w:rPr>
                <w:color w:val="231F20"/>
                <w:spacing w:val="5"/>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8"/>
              </w:numPr>
              <w:tabs>
                <w:tab w:pos="223" w:val="left" w:leader="none"/>
              </w:tabs>
              <w:spacing w:line="148" w:lineRule="exact" w:before="0" w:after="0"/>
              <w:ind w:left="223" w:right="0" w:hanging="149"/>
              <w:jc w:val="left"/>
              <w:rPr>
                <w:sz w:val="15"/>
              </w:rPr>
            </w:pPr>
            <w:r>
              <w:rPr>
                <w:color w:val="231F20"/>
                <w:sz w:val="15"/>
              </w:rPr>
              <w:t>Without</w:t>
            </w:r>
            <w:r>
              <w:rPr>
                <w:color w:val="231F20"/>
                <w:spacing w:val="-7"/>
                <w:sz w:val="15"/>
              </w:rPr>
              <w:t> </w:t>
            </w:r>
            <w:r>
              <w:rPr>
                <w:color w:val="231F20"/>
                <w:sz w:val="15"/>
              </w:rPr>
              <w:t>tonic</w:t>
            </w:r>
            <w:r>
              <w:rPr>
                <w:color w:val="231F20"/>
                <w:spacing w:val="-7"/>
                <w:sz w:val="15"/>
              </w:rPr>
              <w:t> </w:t>
            </w:r>
            <w:r>
              <w:rPr>
                <w:color w:val="231F20"/>
                <w:spacing w:val="-2"/>
                <w:sz w:val="15"/>
              </w:rPr>
              <w:t>features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39"/>
              </w:numPr>
              <w:tabs>
                <w:tab w:pos="223" w:val="left" w:leader="none"/>
              </w:tabs>
              <w:spacing w:line="148" w:lineRule="exact" w:before="0" w:after="0"/>
              <w:ind w:left="223" w:right="0" w:hanging="149"/>
              <w:jc w:val="left"/>
              <w:rPr>
                <w:sz w:val="15"/>
              </w:rPr>
            </w:pPr>
            <w:r>
              <w:rPr>
                <w:color w:val="231F20"/>
                <w:sz w:val="15"/>
              </w:rPr>
              <w:t>With</w:t>
            </w:r>
            <w:r>
              <w:rPr>
                <w:color w:val="231F20"/>
                <w:spacing w:val="-6"/>
                <w:sz w:val="15"/>
              </w:rPr>
              <w:t> </w:t>
            </w:r>
            <w:r>
              <w:rPr>
                <w:color w:val="231F20"/>
                <w:sz w:val="15"/>
              </w:rPr>
              <w:t>tonic</w:t>
            </w:r>
            <w:r>
              <w:rPr>
                <w:color w:val="231F20"/>
                <w:spacing w:val="-6"/>
                <w:sz w:val="15"/>
              </w:rPr>
              <w:t> </w:t>
            </w:r>
            <w:r>
              <w:rPr>
                <w:color w:val="231F20"/>
                <w:spacing w:val="-2"/>
                <w:sz w:val="15"/>
              </w:rPr>
              <w:t>features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Typical</w:t>
            </w:r>
            <w:r>
              <w:rPr>
                <w:color w:val="231F20"/>
                <w:spacing w:val="-6"/>
                <w:sz w:val="15"/>
              </w:rPr>
              <w:t> </w:t>
            </w:r>
            <w:r>
              <w:rPr>
                <w:color w:val="231F20"/>
                <w:sz w:val="15"/>
              </w:rPr>
              <w:t>absence</w:t>
            </w:r>
            <w:r>
              <w:rPr>
                <w:color w:val="231F20"/>
                <w:spacing w:val="-6"/>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Atypical</w:t>
            </w:r>
            <w:r>
              <w:rPr>
                <w:color w:val="231F20"/>
                <w:spacing w:val="-5"/>
                <w:sz w:val="15"/>
              </w:rPr>
              <w:t> </w:t>
            </w:r>
            <w:r>
              <w:rPr>
                <w:color w:val="231F20"/>
                <w:sz w:val="15"/>
              </w:rPr>
              <w:t>absence</w:t>
            </w:r>
            <w:r>
              <w:rPr>
                <w:color w:val="231F20"/>
                <w:spacing w:val="-4"/>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Absence</w:t>
            </w:r>
            <w:r>
              <w:rPr>
                <w:color w:val="231F20"/>
                <w:spacing w:val="-3"/>
                <w:sz w:val="15"/>
              </w:rPr>
              <w:t> </w:t>
            </w:r>
            <w:r>
              <w:rPr>
                <w:color w:val="231F20"/>
                <w:sz w:val="15"/>
              </w:rPr>
              <w:t>with</w:t>
            </w:r>
            <w:r>
              <w:rPr>
                <w:color w:val="231F20"/>
                <w:spacing w:val="-3"/>
                <w:sz w:val="15"/>
              </w:rPr>
              <w:t> </w:t>
            </w:r>
            <w:r>
              <w:rPr>
                <w:color w:val="231F20"/>
                <w:sz w:val="15"/>
              </w:rPr>
              <w:t>special</w:t>
            </w:r>
            <w:r>
              <w:rPr>
                <w:color w:val="231F20"/>
                <w:spacing w:val="-2"/>
                <w:sz w:val="15"/>
              </w:rPr>
              <w:t> features: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40"/>
              </w:numPr>
              <w:tabs>
                <w:tab w:pos="223" w:val="left" w:leader="none"/>
              </w:tabs>
              <w:spacing w:line="148" w:lineRule="exact" w:before="0" w:after="0"/>
              <w:ind w:left="223" w:right="0" w:hanging="149"/>
              <w:jc w:val="left"/>
              <w:rPr>
                <w:sz w:val="15"/>
              </w:rPr>
            </w:pPr>
            <w:r>
              <w:rPr>
                <w:color w:val="231F20"/>
                <w:sz w:val="15"/>
              </w:rPr>
              <w:t>Eyelid</w:t>
            </w:r>
            <w:r>
              <w:rPr>
                <w:color w:val="231F20"/>
                <w:spacing w:val="-4"/>
                <w:sz w:val="15"/>
              </w:rPr>
              <w:t> </w:t>
            </w:r>
            <w:r>
              <w:rPr>
                <w:color w:val="231F20"/>
                <w:spacing w:val="-2"/>
                <w:sz w:val="15"/>
              </w:rPr>
              <w:t>myoclonia</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numPr>
                <w:ilvl w:val="0"/>
                <w:numId w:val="41"/>
              </w:numPr>
              <w:tabs>
                <w:tab w:pos="223" w:val="left" w:leader="none"/>
              </w:tabs>
              <w:spacing w:line="148" w:lineRule="exact" w:before="0" w:after="0"/>
              <w:ind w:left="223" w:right="0" w:hanging="149"/>
              <w:jc w:val="left"/>
              <w:rPr>
                <w:sz w:val="15"/>
              </w:rPr>
            </w:pPr>
            <w:r>
              <w:rPr>
                <w:color w:val="231F20"/>
                <w:sz w:val="15"/>
              </w:rPr>
              <w:t>Myoclonic</w:t>
            </w:r>
            <w:r>
              <w:rPr>
                <w:color w:val="231F20"/>
                <w:spacing w:val="14"/>
                <w:sz w:val="15"/>
              </w:rPr>
              <w:t> </w:t>
            </w:r>
            <w:r>
              <w:rPr>
                <w:color w:val="231F20"/>
                <w:spacing w:val="-2"/>
                <w:sz w:val="15"/>
              </w:rPr>
              <w:t>absence</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Tonic</w:t>
            </w:r>
            <w:r>
              <w:rPr>
                <w:color w:val="231F20"/>
                <w:spacing w:val="-3"/>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Myoclonic</w:t>
            </w:r>
            <w:r>
              <w:rPr>
                <w:color w:val="231F20"/>
                <w:spacing w:val="14"/>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Myoclonic</w:t>
            </w:r>
            <w:r>
              <w:rPr>
                <w:color w:val="231F20"/>
                <w:spacing w:val="1"/>
                <w:sz w:val="15"/>
              </w:rPr>
              <w:t> </w:t>
            </w:r>
            <w:r>
              <w:rPr>
                <w:color w:val="231F20"/>
                <w:sz w:val="15"/>
              </w:rPr>
              <w:t>atonic</w:t>
            </w:r>
            <w:r>
              <w:rPr>
                <w:color w:val="231F20"/>
                <w:spacing w:val="1"/>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Negative</w:t>
            </w:r>
            <w:r>
              <w:rPr>
                <w:color w:val="231F20"/>
                <w:spacing w:val="12"/>
                <w:sz w:val="15"/>
              </w:rPr>
              <w:t> </w:t>
            </w:r>
            <w:r>
              <w:rPr>
                <w:color w:val="231F20"/>
                <w:spacing w:val="-2"/>
                <w:sz w:val="15"/>
              </w:rPr>
              <w:t>myoclonus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Atonic</w:t>
            </w:r>
            <w:r>
              <w:rPr>
                <w:color w:val="231F20"/>
                <w:spacing w:val="1"/>
                <w:sz w:val="15"/>
              </w:rPr>
              <w:t> </w:t>
            </w:r>
            <w:r>
              <w:rPr>
                <w:color w:val="231F20"/>
                <w:spacing w:val="-2"/>
                <w:sz w:val="15"/>
              </w:rPr>
              <w:t>seizures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69" w:hRule="exact"/>
        </w:trPr>
        <w:tc>
          <w:tcPr>
            <w:tcW w:w="4871" w:type="dxa"/>
            <w:gridSpan w:val="2"/>
            <w:tcBorders>
              <w:right w:val="single" w:sz="4" w:space="0" w:color="231F20"/>
            </w:tcBorders>
            <w:shd w:val="clear" w:color="auto" w:fill="E8F5F1"/>
          </w:tcPr>
          <w:p>
            <w:pPr>
              <w:pStyle w:val="TableParagraph"/>
              <w:spacing w:line="150" w:lineRule="exact"/>
              <w:ind w:left="74"/>
              <w:rPr>
                <w:sz w:val="15"/>
              </w:rPr>
            </w:pPr>
            <w:r>
              <w:rPr>
                <w:color w:val="231F20"/>
                <w:sz w:val="15"/>
              </w:rPr>
              <w:t>Reflex</w:t>
            </w:r>
            <w:r>
              <w:rPr>
                <w:color w:val="231F20"/>
                <w:spacing w:val="-11"/>
                <w:sz w:val="15"/>
              </w:rPr>
              <w:t> </w:t>
            </w:r>
            <w:r>
              <w:rPr>
                <w:color w:val="231F20"/>
                <w:sz w:val="15"/>
              </w:rPr>
              <w:t>seizures</w:t>
            </w:r>
            <w:r>
              <w:rPr>
                <w:color w:val="231F20"/>
                <w:spacing w:val="-10"/>
                <w:sz w:val="15"/>
              </w:rPr>
              <w:t> </w:t>
            </w:r>
            <w:r>
              <w:rPr>
                <w:color w:val="231F20"/>
                <w:sz w:val="15"/>
              </w:rPr>
              <w:t>in</w:t>
            </w:r>
            <w:r>
              <w:rPr>
                <w:color w:val="231F20"/>
                <w:spacing w:val="-10"/>
                <w:sz w:val="15"/>
              </w:rPr>
              <w:t> </w:t>
            </w:r>
            <w:r>
              <w:rPr>
                <w:color w:val="231F20"/>
                <w:sz w:val="15"/>
              </w:rPr>
              <w:t>generalized</w:t>
            </w:r>
            <w:r>
              <w:rPr>
                <w:color w:val="231F20"/>
                <w:spacing w:val="-10"/>
                <w:sz w:val="15"/>
              </w:rPr>
              <w:t> </w:t>
            </w:r>
            <w:r>
              <w:rPr>
                <w:color w:val="231F20"/>
                <w:sz w:val="15"/>
              </w:rPr>
              <w:t>epilepsy</w:t>
            </w:r>
            <w:r>
              <w:rPr>
                <w:color w:val="231F20"/>
                <w:spacing w:val="-10"/>
                <w:sz w:val="15"/>
              </w:rPr>
              <w:t> </w:t>
            </w:r>
            <w:r>
              <w:rPr>
                <w:color w:val="231F20"/>
                <w:spacing w:val="-2"/>
                <w:sz w:val="15"/>
              </w:rPr>
              <w:t>syndromes</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173" w:hRule="exact"/>
        </w:trPr>
        <w:tc>
          <w:tcPr>
            <w:tcW w:w="4871" w:type="dxa"/>
            <w:gridSpan w:val="2"/>
            <w:tcBorders>
              <w:right w:val="single" w:sz="4" w:space="0" w:color="231F20"/>
            </w:tcBorders>
            <w:shd w:val="clear" w:color="auto" w:fill="E8F5F1"/>
          </w:tcPr>
          <w:p>
            <w:pPr>
              <w:pStyle w:val="TableParagraph"/>
              <w:spacing w:line="153" w:lineRule="exact"/>
              <w:ind w:left="74"/>
              <w:rPr>
                <w:i/>
                <w:sz w:val="15"/>
              </w:rPr>
            </w:pPr>
            <w:r>
              <w:rPr>
                <w:i/>
                <w:color w:val="231F20"/>
                <w:spacing w:val="-2"/>
                <w:w w:val="105"/>
                <w:sz w:val="15"/>
              </w:rPr>
              <w:t>Unknown</w:t>
            </w:r>
          </w:p>
        </w:tc>
        <w:tc>
          <w:tcPr>
            <w:tcW w:w="4876" w:type="dxa"/>
            <w:vMerge/>
            <w:tcBorders>
              <w:top w:val="nil"/>
              <w:left w:val="single" w:sz="4" w:space="0" w:color="231F20"/>
              <w:bottom w:val="single" w:sz="8" w:space="0" w:color="231F20"/>
            </w:tcBorders>
            <w:shd w:val="clear" w:color="auto" w:fill="E8F5F1"/>
          </w:tcPr>
          <w:p>
            <w:pPr>
              <w:rPr>
                <w:sz w:val="2"/>
                <w:szCs w:val="2"/>
              </w:rPr>
            </w:pPr>
          </w:p>
        </w:tc>
      </w:tr>
      <w:tr>
        <w:trPr>
          <w:trHeight w:val="216" w:hRule="exact"/>
        </w:trPr>
        <w:tc>
          <w:tcPr>
            <w:tcW w:w="4871" w:type="dxa"/>
            <w:gridSpan w:val="2"/>
            <w:tcBorders>
              <w:bottom w:val="single" w:sz="12" w:space="0" w:color="231F20"/>
              <w:right w:val="single" w:sz="4" w:space="0" w:color="231F20"/>
            </w:tcBorders>
            <w:shd w:val="clear" w:color="auto" w:fill="E8F5F1"/>
          </w:tcPr>
          <w:p>
            <w:pPr>
              <w:pStyle w:val="TableParagraph"/>
              <w:spacing w:line="166" w:lineRule="exact"/>
              <w:ind w:left="74"/>
              <w:rPr>
                <w:i/>
                <w:sz w:val="15"/>
              </w:rPr>
            </w:pPr>
            <w:r>
              <w:rPr>
                <w:i/>
                <w:color w:val="231F20"/>
                <w:sz w:val="15"/>
              </w:rPr>
              <w:t>Epileptic</w:t>
            </w:r>
            <w:r>
              <w:rPr>
                <w:i/>
                <w:color w:val="231F20"/>
                <w:spacing w:val="-10"/>
                <w:sz w:val="15"/>
              </w:rPr>
              <w:t> </w:t>
            </w:r>
            <w:r>
              <w:rPr>
                <w:i/>
                <w:color w:val="231F20"/>
                <w:spacing w:val="-2"/>
                <w:sz w:val="15"/>
              </w:rPr>
              <w:t>Spasms</w:t>
            </w:r>
          </w:p>
        </w:tc>
        <w:tc>
          <w:tcPr>
            <w:tcW w:w="4876" w:type="dxa"/>
            <w:vMerge/>
            <w:tcBorders>
              <w:top w:val="nil"/>
              <w:left w:val="single" w:sz="4" w:space="0" w:color="231F20"/>
              <w:bottom w:val="single" w:sz="8" w:space="0" w:color="231F20"/>
            </w:tcBorders>
            <w:shd w:val="clear" w:color="auto" w:fill="E8F5F1"/>
          </w:tcPr>
          <w:p>
            <w:pPr>
              <w:rPr>
                <w:sz w:val="2"/>
                <w:szCs w:val="2"/>
              </w:rPr>
            </w:pPr>
          </w:p>
        </w:tc>
      </w:tr>
    </w:tbl>
    <w:p>
      <w:pPr>
        <w:pStyle w:val="BodyText"/>
        <w:rPr>
          <w:sz w:val="20"/>
        </w:rPr>
      </w:pPr>
    </w:p>
    <w:p>
      <w:pPr>
        <w:pStyle w:val="BodyText"/>
        <w:spacing w:before="162"/>
        <w:rPr>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3"/>
        <w:gridCol w:w="3723"/>
        <w:gridCol w:w="4871"/>
      </w:tblGrid>
      <w:tr>
        <w:trPr>
          <w:trHeight w:val="377" w:hRule="exact"/>
        </w:trPr>
        <w:tc>
          <w:tcPr>
            <w:tcW w:w="1153" w:type="dxa"/>
            <w:tcBorders>
              <w:right w:val="single" w:sz="8" w:space="0" w:color="FFFFFF"/>
            </w:tcBorders>
            <w:shd w:val="clear" w:color="auto" w:fill="231F20"/>
          </w:tcPr>
          <w:p>
            <w:pPr>
              <w:pStyle w:val="TableParagraph"/>
              <w:spacing w:before="89"/>
              <w:ind w:left="117"/>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1</w:t>
            </w:r>
          </w:p>
        </w:tc>
        <w:tc>
          <w:tcPr>
            <w:tcW w:w="8594" w:type="dxa"/>
            <w:gridSpan w:val="2"/>
            <w:tcBorders>
              <w:left w:val="single" w:sz="8" w:space="0" w:color="FFFFFF"/>
            </w:tcBorders>
            <w:shd w:val="clear" w:color="auto" w:fill="231F20"/>
          </w:tcPr>
          <w:p>
            <w:pPr>
              <w:pStyle w:val="TableParagraph"/>
              <w:spacing w:before="89"/>
              <w:ind w:left="74"/>
              <w:rPr>
                <w:sz w:val="16"/>
              </w:rPr>
            </w:pPr>
            <w:r>
              <w:rPr>
                <w:color w:val="FFFFFF"/>
                <w:w w:val="105"/>
                <w:sz w:val="16"/>
              </w:rPr>
              <w:t>Types</w:t>
            </w:r>
            <w:r>
              <w:rPr>
                <w:color w:val="FFFFFF"/>
                <w:spacing w:val="5"/>
                <w:w w:val="105"/>
                <w:sz w:val="16"/>
              </w:rPr>
              <w:t> </w:t>
            </w:r>
            <w:r>
              <w:rPr>
                <w:color w:val="FFFFFF"/>
                <w:w w:val="105"/>
                <w:sz w:val="16"/>
              </w:rPr>
              <w:t>of</w:t>
            </w:r>
            <w:r>
              <w:rPr>
                <w:color w:val="FFFFFF"/>
                <w:spacing w:val="5"/>
                <w:w w:val="105"/>
                <w:sz w:val="16"/>
              </w:rPr>
              <w:t> </w:t>
            </w:r>
            <w:r>
              <w:rPr>
                <w:color w:val="FFFFFF"/>
                <w:w w:val="105"/>
                <w:sz w:val="16"/>
              </w:rPr>
              <w:t>Epileptic</w:t>
            </w:r>
            <w:r>
              <w:rPr>
                <w:color w:val="FFFFFF"/>
                <w:spacing w:val="5"/>
                <w:w w:val="105"/>
                <w:sz w:val="16"/>
              </w:rPr>
              <w:t> </w:t>
            </w:r>
            <w:r>
              <w:rPr>
                <w:color w:val="FFFFFF"/>
                <w:spacing w:val="-2"/>
                <w:w w:val="105"/>
                <w:sz w:val="16"/>
              </w:rPr>
              <w:t>Seizures</w:t>
            </w:r>
          </w:p>
        </w:tc>
      </w:tr>
      <w:tr>
        <w:trPr>
          <w:trHeight w:val="222" w:hRule="exact"/>
        </w:trPr>
        <w:tc>
          <w:tcPr>
            <w:tcW w:w="4876" w:type="dxa"/>
            <w:gridSpan w:val="2"/>
            <w:tcBorders>
              <w:right w:val="single" w:sz="4" w:space="0" w:color="231F20"/>
            </w:tcBorders>
            <w:shd w:val="clear" w:color="auto" w:fill="E8F5F1"/>
          </w:tcPr>
          <w:p>
            <w:pPr>
              <w:pStyle w:val="TableParagraph"/>
              <w:spacing w:line="159" w:lineRule="exact" w:before="43"/>
              <w:ind w:left="79"/>
              <w:rPr>
                <w:sz w:val="15"/>
              </w:rPr>
            </w:pPr>
            <w:r>
              <w:rPr>
                <w:color w:val="231F20"/>
                <w:w w:val="110"/>
                <w:sz w:val="15"/>
              </w:rPr>
              <w:t>SELF-LIMITED</w:t>
            </w:r>
            <w:r>
              <w:rPr>
                <w:color w:val="231F20"/>
                <w:spacing w:val="-8"/>
                <w:w w:val="110"/>
                <w:sz w:val="15"/>
              </w:rPr>
              <w:t> </w:t>
            </w:r>
            <w:r>
              <w:rPr>
                <w:color w:val="231F20"/>
                <w:w w:val="110"/>
                <w:sz w:val="15"/>
              </w:rPr>
              <w:t>SEIZURE</w:t>
            </w:r>
            <w:r>
              <w:rPr>
                <w:color w:val="231F20"/>
                <w:spacing w:val="-8"/>
                <w:w w:val="110"/>
                <w:sz w:val="15"/>
              </w:rPr>
              <w:t> </w:t>
            </w:r>
            <w:r>
              <w:rPr>
                <w:color w:val="231F20"/>
                <w:spacing w:val="-2"/>
                <w:w w:val="110"/>
                <w:sz w:val="15"/>
              </w:rPr>
              <w:t>TYPES</w:t>
            </w:r>
          </w:p>
        </w:tc>
        <w:tc>
          <w:tcPr>
            <w:tcW w:w="4871" w:type="dxa"/>
            <w:tcBorders>
              <w:top w:val="single" w:sz="4" w:space="0" w:color="FFFFFF"/>
              <w:left w:val="single" w:sz="4" w:space="0" w:color="231F20"/>
            </w:tcBorders>
            <w:shd w:val="clear" w:color="auto" w:fill="E8F5F1"/>
          </w:tcPr>
          <w:p>
            <w:pPr>
              <w:pStyle w:val="TableParagraph"/>
              <w:spacing w:line="155" w:lineRule="exact" w:before="43"/>
              <w:ind w:left="69"/>
              <w:rPr>
                <w:sz w:val="15"/>
              </w:rPr>
            </w:pPr>
            <w:r>
              <w:rPr>
                <w:color w:val="231F20"/>
                <w:w w:val="110"/>
                <w:sz w:val="15"/>
              </w:rPr>
              <w:t>CONTINUOUS</w:t>
            </w:r>
            <w:r>
              <w:rPr>
                <w:color w:val="231F20"/>
                <w:spacing w:val="18"/>
                <w:w w:val="110"/>
                <w:sz w:val="15"/>
              </w:rPr>
              <w:t> </w:t>
            </w:r>
            <w:r>
              <w:rPr>
                <w:color w:val="231F20"/>
                <w:w w:val="110"/>
                <w:sz w:val="15"/>
              </w:rPr>
              <w:t>SEIZURE</w:t>
            </w:r>
            <w:r>
              <w:rPr>
                <w:color w:val="231F20"/>
                <w:spacing w:val="19"/>
                <w:w w:val="110"/>
                <w:sz w:val="15"/>
              </w:rPr>
              <w:t> </w:t>
            </w:r>
            <w:r>
              <w:rPr>
                <w:color w:val="231F20"/>
                <w:spacing w:val="-2"/>
                <w:w w:val="110"/>
                <w:sz w:val="15"/>
              </w:rPr>
              <w:t>TYPES</w:t>
            </w:r>
          </w:p>
        </w:tc>
      </w:tr>
      <w:tr>
        <w:trPr>
          <w:trHeight w:val="169" w:hRule="exact"/>
        </w:trPr>
        <w:tc>
          <w:tcPr>
            <w:tcW w:w="4876" w:type="dxa"/>
            <w:gridSpan w:val="2"/>
            <w:tcBorders>
              <w:right w:val="single" w:sz="4" w:space="0" w:color="231F20"/>
            </w:tcBorders>
            <w:shd w:val="clear" w:color="auto" w:fill="E8F5F1"/>
          </w:tcPr>
          <w:p>
            <w:pPr>
              <w:pStyle w:val="TableParagraph"/>
              <w:spacing w:line="149" w:lineRule="exact"/>
              <w:ind w:left="79"/>
              <w:rPr>
                <w:i/>
                <w:sz w:val="15"/>
              </w:rPr>
            </w:pPr>
            <w:r>
              <w:rPr>
                <w:i/>
                <w:color w:val="231F20"/>
                <w:sz w:val="15"/>
              </w:rPr>
              <w:t>Focal</w:t>
            </w:r>
            <w:r>
              <w:rPr>
                <w:i/>
                <w:color w:val="231F20"/>
                <w:spacing w:val="7"/>
                <w:sz w:val="15"/>
              </w:rPr>
              <w:t> </w:t>
            </w:r>
            <w:r>
              <w:rPr>
                <w:i/>
                <w:color w:val="231F20"/>
                <w:spacing w:val="-2"/>
                <w:sz w:val="15"/>
              </w:rPr>
              <w:t>Seizures</w:t>
            </w:r>
          </w:p>
        </w:tc>
        <w:tc>
          <w:tcPr>
            <w:tcW w:w="4871" w:type="dxa"/>
            <w:tcBorders>
              <w:left w:val="single" w:sz="4" w:space="0" w:color="231F20"/>
            </w:tcBorders>
            <w:shd w:val="clear" w:color="auto" w:fill="E8F5F1"/>
          </w:tcPr>
          <w:p>
            <w:pPr>
              <w:pStyle w:val="TableParagraph"/>
              <w:spacing w:line="149" w:lineRule="exact"/>
              <w:ind w:left="69"/>
              <w:rPr>
                <w:i/>
                <w:sz w:val="15"/>
              </w:rPr>
            </w:pPr>
            <w:r>
              <w:rPr>
                <w:i/>
                <w:color w:val="231F20"/>
                <w:sz w:val="15"/>
              </w:rPr>
              <w:t>Generalized</w:t>
            </w:r>
            <w:r>
              <w:rPr>
                <w:i/>
                <w:color w:val="231F20"/>
                <w:spacing w:val="-3"/>
                <w:sz w:val="15"/>
              </w:rPr>
              <w:t> </w:t>
            </w:r>
            <w:r>
              <w:rPr>
                <w:i/>
                <w:color w:val="231F20"/>
                <w:sz w:val="15"/>
              </w:rPr>
              <w:t>Status</w:t>
            </w:r>
            <w:r>
              <w:rPr>
                <w:i/>
                <w:color w:val="231F20"/>
                <w:spacing w:val="-2"/>
                <w:sz w:val="15"/>
              </w:rPr>
              <w:t> Epilepticus</w:t>
            </w:r>
          </w:p>
        </w:tc>
      </w:tr>
      <w:tr>
        <w:trPr>
          <w:trHeight w:val="165" w:hRule="exact"/>
        </w:trPr>
        <w:tc>
          <w:tcPr>
            <w:tcW w:w="4876" w:type="dxa"/>
            <w:gridSpan w:val="2"/>
            <w:tcBorders>
              <w:right w:val="single" w:sz="4" w:space="0" w:color="231F20"/>
            </w:tcBorders>
            <w:shd w:val="clear" w:color="auto" w:fill="E8F5F1"/>
          </w:tcPr>
          <w:p>
            <w:pPr>
              <w:pStyle w:val="TableParagraph"/>
              <w:spacing w:line="146" w:lineRule="exact"/>
              <w:ind w:left="79"/>
              <w:rPr>
                <w:sz w:val="15"/>
              </w:rPr>
            </w:pPr>
            <w:r>
              <w:rPr>
                <w:color w:val="231F20"/>
                <w:sz w:val="15"/>
              </w:rPr>
              <w:t>Focal</w:t>
            </w:r>
            <w:r>
              <w:rPr>
                <w:color w:val="231F20"/>
                <w:spacing w:val="1"/>
                <w:sz w:val="15"/>
              </w:rPr>
              <w:t> </w:t>
            </w:r>
            <w:r>
              <w:rPr>
                <w:color w:val="231F20"/>
                <w:sz w:val="15"/>
              </w:rPr>
              <w:t>sensory</w:t>
            </w:r>
            <w:r>
              <w:rPr>
                <w:color w:val="231F20"/>
                <w:spacing w:val="1"/>
                <w:sz w:val="15"/>
              </w:rPr>
              <w:t> </w:t>
            </w:r>
            <w:r>
              <w:rPr>
                <w:color w:val="231F20"/>
                <w:spacing w:val="-2"/>
                <w:sz w:val="15"/>
              </w:rPr>
              <w:t>seizures</w:t>
            </w:r>
          </w:p>
        </w:tc>
        <w:tc>
          <w:tcPr>
            <w:tcW w:w="4871" w:type="dxa"/>
            <w:tcBorders>
              <w:left w:val="single" w:sz="4" w:space="0" w:color="231F20"/>
            </w:tcBorders>
            <w:shd w:val="clear" w:color="auto" w:fill="E8F5F1"/>
          </w:tcPr>
          <w:p>
            <w:pPr>
              <w:pStyle w:val="TableParagraph"/>
              <w:spacing w:line="146" w:lineRule="exact"/>
              <w:ind w:left="69"/>
              <w:rPr>
                <w:sz w:val="15"/>
              </w:rPr>
            </w:pPr>
            <w:r>
              <w:rPr>
                <w:color w:val="231F20"/>
                <w:spacing w:val="-2"/>
                <w:sz w:val="15"/>
              </w:rPr>
              <w:t>Generalized</w:t>
            </w:r>
            <w:r>
              <w:rPr>
                <w:color w:val="231F20"/>
                <w:spacing w:val="1"/>
                <w:sz w:val="15"/>
              </w:rPr>
              <w:t> </w:t>
            </w:r>
            <w:r>
              <w:rPr>
                <w:color w:val="231F20"/>
                <w:spacing w:val="-2"/>
                <w:sz w:val="15"/>
              </w:rPr>
              <w:t>tonic-clonic</w:t>
            </w:r>
            <w:r>
              <w:rPr>
                <w:color w:val="231F20"/>
                <w:spacing w:val="2"/>
                <w:sz w:val="15"/>
              </w:rPr>
              <w:t> </w:t>
            </w:r>
            <w:r>
              <w:rPr>
                <w:color w:val="231F20"/>
                <w:spacing w:val="-2"/>
                <w:sz w:val="15"/>
              </w:rPr>
              <w:t>status</w:t>
            </w:r>
            <w:r>
              <w:rPr>
                <w:color w:val="231F20"/>
                <w:spacing w:val="2"/>
                <w:sz w:val="15"/>
              </w:rPr>
              <w:t> </w:t>
            </w:r>
            <w:r>
              <w:rPr>
                <w:color w:val="231F20"/>
                <w:spacing w:val="-2"/>
                <w:sz w:val="15"/>
              </w:rPr>
              <w:t>epilepticus</w:t>
            </w: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42"/>
              </w:numPr>
              <w:tabs>
                <w:tab w:pos="228" w:val="left" w:leader="none"/>
              </w:tabs>
              <w:spacing w:line="148" w:lineRule="exact" w:before="0" w:after="0"/>
              <w:ind w:left="228" w:right="0" w:hanging="149"/>
              <w:jc w:val="left"/>
              <w:rPr>
                <w:sz w:val="15"/>
              </w:rPr>
            </w:pPr>
            <w:r>
              <w:rPr>
                <w:color w:val="231F20"/>
                <w:spacing w:val="-2"/>
                <w:sz w:val="15"/>
              </w:rPr>
              <w:t>With</w:t>
            </w:r>
            <w:r>
              <w:rPr>
                <w:color w:val="231F20"/>
                <w:spacing w:val="-1"/>
                <w:sz w:val="15"/>
              </w:rPr>
              <w:t> </w:t>
            </w:r>
            <w:r>
              <w:rPr>
                <w:color w:val="231F20"/>
                <w:spacing w:val="-2"/>
                <w:sz w:val="15"/>
              </w:rPr>
              <w:t>elementary</w:t>
            </w:r>
            <w:r>
              <w:rPr>
                <w:color w:val="231F20"/>
                <w:spacing w:val="-1"/>
                <w:sz w:val="15"/>
              </w:rPr>
              <w:t> </w:t>
            </w:r>
            <w:r>
              <w:rPr>
                <w:color w:val="231F20"/>
                <w:spacing w:val="-2"/>
                <w:sz w:val="15"/>
              </w:rPr>
              <w:t>sensory</w:t>
            </w:r>
            <w:r>
              <w:rPr>
                <w:color w:val="231F20"/>
                <w:spacing w:val="-1"/>
                <w:sz w:val="15"/>
              </w:rPr>
              <w:t> </w:t>
            </w:r>
            <w:r>
              <w:rPr>
                <w:color w:val="231F20"/>
                <w:spacing w:val="-2"/>
                <w:sz w:val="15"/>
              </w:rPr>
              <w:t>symptoms</w:t>
            </w:r>
            <w:r>
              <w:rPr>
                <w:color w:val="231F20"/>
                <w:sz w:val="15"/>
              </w:rPr>
              <w:t> </w:t>
            </w:r>
            <w:r>
              <w:rPr>
                <w:color w:val="231F20"/>
                <w:spacing w:val="-2"/>
                <w:sz w:val="15"/>
              </w:rPr>
              <w:t>(e.g.,</w:t>
            </w:r>
            <w:r>
              <w:rPr>
                <w:color w:val="231F20"/>
                <w:spacing w:val="-1"/>
                <w:sz w:val="15"/>
              </w:rPr>
              <w:t> </w:t>
            </w:r>
            <w:r>
              <w:rPr>
                <w:color w:val="231F20"/>
                <w:spacing w:val="-2"/>
                <w:sz w:val="15"/>
              </w:rPr>
              <w:t>occipital</w:t>
            </w:r>
            <w:r>
              <w:rPr>
                <w:color w:val="231F20"/>
                <w:spacing w:val="-1"/>
                <w:sz w:val="15"/>
              </w:rPr>
              <w:t> </w:t>
            </w:r>
            <w:r>
              <w:rPr>
                <w:color w:val="231F20"/>
                <w:spacing w:val="-2"/>
                <w:sz w:val="15"/>
              </w:rPr>
              <w:t>and</w:t>
            </w:r>
            <w:r>
              <w:rPr>
                <w:color w:val="231F20"/>
                <w:spacing w:val="-1"/>
                <w:sz w:val="15"/>
              </w:rPr>
              <w:t> </w:t>
            </w:r>
            <w:r>
              <w:rPr>
                <w:color w:val="231F20"/>
                <w:spacing w:val="-2"/>
                <w:sz w:val="15"/>
              </w:rPr>
              <w:t>parietal</w:t>
            </w:r>
            <w:r>
              <w:rPr>
                <w:color w:val="231F20"/>
                <w:sz w:val="15"/>
              </w:rPr>
              <w:t> </w:t>
            </w:r>
            <w:r>
              <w:rPr>
                <w:color w:val="231F20"/>
                <w:spacing w:val="-4"/>
                <w:sz w:val="15"/>
              </w:rPr>
              <w:t>lobe</w:t>
            </w:r>
          </w:p>
        </w:tc>
        <w:tc>
          <w:tcPr>
            <w:tcW w:w="4871" w:type="dxa"/>
            <w:tcBorders>
              <w:left w:val="single" w:sz="4" w:space="0" w:color="231F20"/>
            </w:tcBorders>
            <w:shd w:val="clear" w:color="auto" w:fill="E8F5F1"/>
          </w:tcPr>
          <w:p>
            <w:pPr>
              <w:pStyle w:val="TableParagraph"/>
              <w:spacing w:line="148" w:lineRule="exact"/>
              <w:ind w:left="69"/>
              <w:rPr>
                <w:sz w:val="15"/>
              </w:rPr>
            </w:pPr>
            <w:r>
              <w:rPr>
                <w:color w:val="231F20"/>
                <w:sz w:val="15"/>
              </w:rPr>
              <w:t>Clonic</w:t>
            </w:r>
            <w:r>
              <w:rPr>
                <w:color w:val="231F20"/>
                <w:spacing w:val="-5"/>
                <w:sz w:val="15"/>
              </w:rPr>
              <w:t> </w:t>
            </w:r>
            <w:r>
              <w:rPr>
                <w:color w:val="231F20"/>
                <w:sz w:val="15"/>
              </w:rPr>
              <w:t>status</w:t>
            </w:r>
            <w:r>
              <w:rPr>
                <w:color w:val="231F20"/>
                <w:spacing w:val="-5"/>
                <w:sz w:val="15"/>
              </w:rPr>
              <w:t> </w:t>
            </w:r>
            <w:r>
              <w:rPr>
                <w:color w:val="231F20"/>
                <w:spacing w:val="-2"/>
                <w:sz w:val="15"/>
              </w:rPr>
              <w:t>epilepticus</w:t>
            </w: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229"/>
              <w:rPr>
                <w:sz w:val="15"/>
              </w:rPr>
            </w:pPr>
            <w:r>
              <w:rPr>
                <w:color w:val="231F20"/>
                <w:spacing w:val="-2"/>
                <w:sz w:val="15"/>
              </w:rPr>
              <w:t>seizures)</w:t>
            </w:r>
          </w:p>
        </w:tc>
        <w:tc>
          <w:tcPr>
            <w:tcW w:w="4871" w:type="dxa"/>
            <w:tcBorders>
              <w:left w:val="single" w:sz="4" w:space="0" w:color="231F20"/>
            </w:tcBorders>
            <w:shd w:val="clear" w:color="auto" w:fill="E8F5F1"/>
          </w:tcPr>
          <w:p>
            <w:pPr>
              <w:pStyle w:val="TableParagraph"/>
              <w:spacing w:line="148" w:lineRule="exact"/>
              <w:ind w:left="69"/>
              <w:rPr>
                <w:sz w:val="15"/>
              </w:rPr>
            </w:pPr>
            <w:r>
              <w:rPr>
                <w:color w:val="231F20"/>
                <w:sz w:val="15"/>
              </w:rPr>
              <w:t>Absence</w:t>
            </w:r>
            <w:r>
              <w:rPr>
                <w:color w:val="231F20"/>
                <w:spacing w:val="4"/>
                <w:sz w:val="15"/>
              </w:rPr>
              <w:t> </w:t>
            </w:r>
            <w:r>
              <w:rPr>
                <w:color w:val="231F20"/>
                <w:sz w:val="15"/>
              </w:rPr>
              <w:t>status</w:t>
            </w:r>
            <w:r>
              <w:rPr>
                <w:color w:val="231F20"/>
                <w:spacing w:val="4"/>
                <w:sz w:val="15"/>
              </w:rPr>
              <w:t> </w:t>
            </w:r>
            <w:r>
              <w:rPr>
                <w:color w:val="231F20"/>
                <w:spacing w:val="-2"/>
                <w:sz w:val="15"/>
              </w:rPr>
              <w:t>epilepticus</w:t>
            </w: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43"/>
              </w:numPr>
              <w:tabs>
                <w:tab w:pos="228" w:val="left" w:leader="none"/>
              </w:tabs>
              <w:spacing w:line="148" w:lineRule="exact" w:before="0" w:after="0"/>
              <w:ind w:left="228" w:right="0" w:hanging="149"/>
              <w:jc w:val="left"/>
              <w:rPr>
                <w:sz w:val="15"/>
              </w:rPr>
            </w:pPr>
            <w:r>
              <w:rPr>
                <w:color w:val="231F20"/>
                <w:spacing w:val="-2"/>
                <w:sz w:val="15"/>
              </w:rPr>
              <w:t>With experiential</w:t>
            </w:r>
            <w:r>
              <w:rPr>
                <w:color w:val="231F20"/>
                <w:spacing w:val="-1"/>
                <w:sz w:val="15"/>
              </w:rPr>
              <w:t> </w:t>
            </w:r>
            <w:r>
              <w:rPr>
                <w:color w:val="231F20"/>
                <w:spacing w:val="-2"/>
                <w:sz w:val="15"/>
              </w:rPr>
              <w:t>sensory symptoms</w:t>
            </w:r>
            <w:r>
              <w:rPr>
                <w:color w:val="231F20"/>
                <w:spacing w:val="-1"/>
                <w:sz w:val="15"/>
              </w:rPr>
              <w:t> </w:t>
            </w:r>
            <w:r>
              <w:rPr>
                <w:color w:val="231F20"/>
                <w:spacing w:val="-2"/>
                <w:sz w:val="15"/>
              </w:rPr>
              <w:t>(e.g., temporoparietooccipital</w:t>
            </w:r>
          </w:p>
        </w:tc>
        <w:tc>
          <w:tcPr>
            <w:tcW w:w="4871" w:type="dxa"/>
            <w:tcBorders>
              <w:left w:val="single" w:sz="4" w:space="0" w:color="231F20"/>
            </w:tcBorders>
            <w:shd w:val="clear" w:color="auto" w:fill="E8F5F1"/>
          </w:tcPr>
          <w:p>
            <w:pPr>
              <w:pStyle w:val="TableParagraph"/>
              <w:spacing w:line="148" w:lineRule="exact"/>
              <w:ind w:left="69"/>
              <w:rPr>
                <w:sz w:val="15"/>
              </w:rPr>
            </w:pPr>
            <w:r>
              <w:rPr>
                <w:color w:val="231F20"/>
                <w:sz w:val="15"/>
              </w:rPr>
              <w:t>Tonic</w:t>
            </w:r>
            <w:r>
              <w:rPr>
                <w:color w:val="231F20"/>
                <w:spacing w:val="-9"/>
                <w:sz w:val="15"/>
              </w:rPr>
              <w:t> </w:t>
            </w:r>
            <w:r>
              <w:rPr>
                <w:color w:val="231F20"/>
                <w:sz w:val="15"/>
              </w:rPr>
              <w:t>status</w:t>
            </w:r>
            <w:r>
              <w:rPr>
                <w:color w:val="231F20"/>
                <w:spacing w:val="-9"/>
                <w:sz w:val="15"/>
              </w:rPr>
              <w:t> </w:t>
            </w:r>
            <w:r>
              <w:rPr>
                <w:color w:val="231F20"/>
                <w:spacing w:val="-2"/>
                <w:sz w:val="15"/>
              </w:rPr>
              <w:t>epilepticus</w:t>
            </w:r>
          </w:p>
        </w:tc>
      </w:tr>
      <w:tr>
        <w:trPr>
          <w:trHeight w:val="168" w:hRule="exact"/>
        </w:trPr>
        <w:tc>
          <w:tcPr>
            <w:tcW w:w="4876" w:type="dxa"/>
            <w:gridSpan w:val="2"/>
            <w:tcBorders>
              <w:right w:val="single" w:sz="4" w:space="0" w:color="231F20"/>
            </w:tcBorders>
            <w:shd w:val="clear" w:color="auto" w:fill="E8F5F1"/>
          </w:tcPr>
          <w:p>
            <w:pPr>
              <w:pStyle w:val="TableParagraph"/>
              <w:spacing w:line="148" w:lineRule="exact"/>
              <w:ind w:left="229"/>
              <w:rPr>
                <w:sz w:val="15"/>
              </w:rPr>
            </w:pPr>
            <w:r>
              <w:rPr>
                <w:color w:val="231F20"/>
                <w:spacing w:val="-4"/>
                <w:sz w:val="15"/>
              </w:rPr>
              <w:t>junction</w:t>
            </w:r>
            <w:r>
              <w:rPr>
                <w:color w:val="231F20"/>
                <w:spacing w:val="5"/>
                <w:sz w:val="15"/>
              </w:rPr>
              <w:t> </w:t>
            </w:r>
            <w:r>
              <w:rPr>
                <w:color w:val="231F20"/>
                <w:spacing w:val="-2"/>
                <w:sz w:val="15"/>
              </w:rPr>
              <w:t>seizures)</w:t>
            </w:r>
          </w:p>
        </w:tc>
        <w:tc>
          <w:tcPr>
            <w:tcW w:w="4871" w:type="dxa"/>
            <w:tcBorders>
              <w:left w:val="single" w:sz="4" w:space="0" w:color="231F20"/>
            </w:tcBorders>
            <w:shd w:val="clear" w:color="auto" w:fill="E8F5F1"/>
          </w:tcPr>
          <w:p>
            <w:pPr>
              <w:pStyle w:val="TableParagraph"/>
              <w:spacing w:line="149" w:lineRule="exact"/>
              <w:ind w:left="69"/>
              <w:rPr>
                <w:sz w:val="15"/>
              </w:rPr>
            </w:pPr>
            <w:r>
              <w:rPr>
                <w:color w:val="231F20"/>
                <w:sz w:val="15"/>
              </w:rPr>
              <w:t>Myoclonic</w:t>
            </w:r>
            <w:r>
              <w:rPr>
                <w:color w:val="231F20"/>
                <w:spacing w:val="-1"/>
                <w:sz w:val="15"/>
              </w:rPr>
              <w:t> </w:t>
            </w:r>
            <w:r>
              <w:rPr>
                <w:color w:val="231F20"/>
                <w:sz w:val="15"/>
              </w:rPr>
              <w:t>status </w:t>
            </w:r>
            <w:r>
              <w:rPr>
                <w:color w:val="231F20"/>
                <w:spacing w:val="-2"/>
                <w:sz w:val="15"/>
              </w:rPr>
              <w:t>epilepticus</w:t>
            </w:r>
          </w:p>
        </w:tc>
      </w:tr>
      <w:tr>
        <w:trPr>
          <w:trHeight w:val="169" w:hRule="exact"/>
        </w:trPr>
        <w:tc>
          <w:tcPr>
            <w:tcW w:w="4876" w:type="dxa"/>
            <w:gridSpan w:val="2"/>
            <w:tcBorders>
              <w:right w:val="single" w:sz="4" w:space="0" w:color="231F20"/>
            </w:tcBorders>
            <w:shd w:val="clear" w:color="auto" w:fill="E8F5F1"/>
          </w:tcPr>
          <w:p>
            <w:pPr>
              <w:pStyle w:val="TableParagraph"/>
              <w:spacing w:line="149" w:lineRule="exact"/>
              <w:ind w:left="79"/>
              <w:rPr>
                <w:sz w:val="15"/>
              </w:rPr>
            </w:pPr>
            <w:r>
              <w:rPr>
                <w:color w:val="231F20"/>
                <w:sz w:val="15"/>
              </w:rPr>
              <w:t>Focal</w:t>
            </w:r>
            <w:r>
              <w:rPr>
                <w:color w:val="231F20"/>
                <w:spacing w:val="1"/>
                <w:sz w:val="15"/>
              </w:rPr>
              <w:t> </w:t>
            </w:r>
            <w:r>
              <w:rPr>
                <w:color w:val="231F20"/>
                <w:sz w:val="15"/>
              </w:rPr>
              <w:t>motor</w:t>
            </w:r>
            <w:r>
              <w:rPr>
                <w:color w:val="231F20"/>
                <w:spacing w:val="1"/>
                <w:sz w:val="15"/>
              </w:rPr>
              <w:t> </w:t>
            </w:r>
            <w:r>
              <w:rPr>
                <w:color w:val="231F20"/>
                <w:spacing w:val="-2"/>
                <w:sz w:val="15"/>
              </w:rPr>
              <w:t>seizures</w:t>
            </w:r>
          </w:p>
        </w:tc>
        <w:tc>
          <w:tcPr>
            <w:tcW w:w="4871" w:type="dxa"/>
            <w:tcBorders>
              <w:left w:val="single" w:sz="4" w:space="0" w:color="231F20"/>
            </w:tcBorders>
            <w:shd w:val="clear" w:color="auto" w:fill="E8F5F1"/>
          </w:tcPr>
          <w:p>
            <w:pPr>
              <w:pStyle w:val="TableParagraph"/>
              <w:spacing w:line="149" w:lineRule="exact"/>
              <w:ind w:left="69"/>
              <w:rPr>
                <w:i/>
                <w:sz w:val="15"/>
              </w:rPr>
            </w:pPr>
            <w:r>
              <w:rPr>
                <w:i/>
                <w:color w:val="231F20"/>
                <w:sz w:val="15"/>
              </w:rPr>
              <w:t>Focal</w:t>
            </w:r>
            <w:r>
              <w:rPr>
                <w:i/>
                <w:color w:val="231F20"/>
                <w:spacing w:val="3"/>
                <w:sz w:val="15"/>
              </w:rPr>
              <w:t> </w:t>
            </w:r>
            <w:r>
              <w:rPr>
                <w:i/>
                <w:color w:val="231F20"/>
                <w:sz w:val="15"/>
              </w:rPr>
              <w:t>Status</w:t>
            </w:r>
            <w:r>
              <w:rPr>
                <w:i/>
                <w:color w:val="231F20"/>
                <w:spacing w:val="4"/>
                <w:sz w:val="15"/>
              </w:rPr>
              <w:t> </w:t>
            </w:r>
            <w:r>
              <w:rPr>
                <w:i/>
                <w:color w:val="231F20"/>
                <w:spacing w:val="-2"/>
                <w:sz w:val="15"/>
              </w:rPr>
              <w:t>Epilepticus</w:t>
            </w: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44"/>
              </w:numPr>
              <w:tabs>
                <w:tab w:pos="228" w:val="left" w:leader="none"/>
              </w:tabs>
              <w:spacing w:line="147" w:lineRule="exact" w:before="0" w:after="0"/>
              <w:ind w:left="228" w:right="0" w:hanging="149"/>
              <w:jc w:val="left"/>
              <w:rPr>
                <w:sz w:val="15"/>
              </w:rPr>
            </w:pPr>
            <w:r>
              <w:rPr>
                <w:color w:val="231F20"/>
                <w:sz w:val="15"/>
              </w:rPr>
              <w:t>With</w:t>
            </w:r>
            <w:r>
              <w:rPr>
                <w:color w:val="231F20"/>
                <w:spacing w:val="-11"/>
                <w:sz w:val="15"/>
              </w:rPr>
              <w:t> </w:t>
            </w:r>
            <w:r>
              <w:rPr>
                <w:color w:val="231F20"/>
                <w:sz w:val="15"/>
              </w:rPr>
              <w:t>elementary</w:t>
            </w:r>
            <w:r>
              <w:rPr>
                <w:color w:val="231F20"/>
                <w:spacing w:val="-10"/>
                <w:sz w:val="15"/>
              </w:rPr>
              <w:t> </w:t>
            </w:r>
            <w:r>
              <w:rPr>
                <w:color w:val="231F20"/>
                <w:sz w:val="15"/>
              </w:rPr>
              <w:t>clonic</w:t>
            </w:r>
            <w:r>
              <w:rPr>
                <w:color w:val="231F20"/>
                <w:spacing w:val="-11"/>
                <w:sz w:val="15"/>
              </w:rPr>
              <w:t> </w:t>
            </w:r>
            <w:r>
              <w:rPr>
                <w:color w:val="231F20"/>
                <w:sz w:val="15"/>
              </w:rPr>
              <w:t>motor</w:t>
            </w:r>
            <w:r>
              <w:rPr>
                <w:color w:val="231F20"/>
                <w:spacing w:val="-10"/>
                <w:sz w:val="15"/>
              </w:rPr>
              <w:t> </w:t>
            </w:r>
            <w:r>
              <w:rPr>
                <w:color w:val="231F20"/>
                <w:spacing w:val="-4"/>
                <w:sz w:val="15"/>
              </w:rPr>
              <w:t>signs</w:t>
            </w:r>
          </w:p>
        </w:tc>
        <w:tc>
          <w:tcPr>
            <w:tcW w:w="4871" w:type="dxa"/>
            <w:tcBorders>
              <w:left w:val="single" w:sz="4" w:space="0" w:color="231F20"/>
            </w:tcBorders>
            <w:shd w:val="clear" w:color="auto" w:fill="E8F5F1"/>
          </w:tcPr>
          <w:p>
            <w:pPr>
              <w:pStyle w:val="TableParagraph"/>
              <w:spacing w:line="147" w:lineRule="exact"/>
              <w:ind w:left="69"/>
              <w:rPr>
                <w:sz w:val="15"/>
              </w:rPr>
            </w:pPr>
            <w:r>
              <w:rPr>
                <w:color w:val="231F20"/>
                <w:sz w:val="15"/>
              </w:rPr>
              <w:t>Epilepsia</w:t>
            </w:r>
            <w:r>
              <w:rPr>
                <w:color w:val="231F20"/>
                <w:spacing w:val="-12"/>
                <w:sz w:val="15"/>
              </w:rPr>
              <w:t> </w:t>
            </w:r>
            <w:r>
              <w:rPr>
                <w:color w:val="231F20"/>
                <w:sz w:val="15"/>
              </w:rPr>
              <w:t>partialis</w:t>
            </w:r>
            <w:r>
              <w:rPr>
                <w:color w:val="231F20"/>
                <w:spacing w:val="-11"/>
                <w:sz w:val="15"/>
              </w:rPr>
              <w:t> </w:t>
            </w:r>
            <w:r>
              <w:rPr>
                <w:color w:val="231F20"/>
                <w:sz w:val="15"/>
              </w:rPr>
              <w:t>continua</w:t>
            </w:r>
            <w:r>
              <w:rPr>
                <w:color w:val="231F20"/>
                <w:spacing w:val="-11"/>
                <w:sz w:val="15"/>
              </w:rPr>
              <w:t> </w:t>
            </w:r>
            <w:r>
              <w:rPr>
                <w:color w:val="231F20"/>
                <w:sz w:val="15"/>
              </w:rPr>
              <w:t>of</w:t>
            </w:r>
            <w:r>
              <w:rPr>
                <w:color w:val="231F20"/>
                <w:spacing w:val="-11"/>
                <w:sz w:val="15"/>
              </w:rPr>
              <w:t> </w:t>
            </w:r>
            <w:r>
              <w:rPr>
                <w:color w:val="231F20"/>
                <w:spacing w:val="-2"/>
                <w:sz w:val="15"/>
              </w:rPr>
              <w:t>Kojevnikov</w:t>
            </w: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45"/>
              </w:numPr>
              <w:tabs>
                <w:tab w:pos="228" w:val="left" w:leader="none"/>
              </w:tabs>
              <w:spacing w:line="148" w:lineRule="exact" w:before="0" w:after="0"/>
              <w:ind w:left="228" w:right="0" w:hanging="149"/>
              <w:jc w:val="left"/>
              <w:rPr>
                <w:sz w:val="15"/>
              </w:rPr>
            </w:pPr>
            <w:r>
              <w:rPr>
                <w:color w:val="231F20"/>
                <w:spacing w:val="-2"/>
                <w:sz w:val="15"/>
              </w:rPr>
              <w:t>With asymmetrical tonic</w:t>
            </w:r>
            <w:r>
              <w:rPr>
                <w:color w:val="231F20"/>
                <w:spacing w:val="-1"/>
                <w:sz w:val="15"/>
              </w:rPr>
              <w:t> </w:t>
            </w:r>
            <w:r>
              <w:rPr>
                <w:color w:val="231F20"/>
                <w:spacing w:val="-2"/>
                <w:sz w:val="15"/>
              </w:rPr>
              <w:t>motor seizures (e.g.,</w:t>
            </w:r>
            <w:r>
              <w:rPr>
                <w:color w:val="231F20"/>
                <w:spacing w:val="-1"/>
                <w:sz w:val="15"/>
              </w:rPr>
              <w:t> </w:t>
            </w:r>
            <w:r>
              <w:rPr>
                <w:color w:val="231F20"/>
                <w:spacing w:val="-2"/>
                <w:sz w:val="15"/>
              </w:rPr>
              <w:t>supplementary motor</w:t>
            </w:r>
          </w:p>
        </w:tc>
        <w:tc>
          <w:tcPr>
            <w:tcW w:w="4871" w:type="dxa"/>
            <w:tcBorders>
              <w:left w:val="single" w:sz="4" w:space="0" w:color="231F20"/>
            </w:tcBorders>
            <w:shd w:val="clear" w:color="auto" w:fill="E8F5F1"/>
          </w:tcPr>
          <w:p>
            <w:pPr>
              <w:pStyle w:val="TableParagraph"/>
              <w:spacing w:line="147" w:lineRule="exact"/>
              <w:ind w:left="69"/>
              <w:rPr>
                <w:sz w:val="15"/>
              </w:rPr>
            </w:pPr>
            <w:r>
              <w:rPr>
                <w:color w:val="231F20"/>
                <w:sz w:val="15"/>
              </w:rPr>
              <w:t>Aura</w:t>
            </w:r>
            <w:r>
              <w:rPr>
                <w:color w:val="231F20"/>
                <w:spacing w:val="4"/>
                <w:sz w:val="15"/>
              </w:rPr>
              <w:t> </w:t>
            </w:r>
            <w:r>
              <w:rPr>
                <w:color w:val="231F20"/>
                <w:spacing w:val="-2"/>
                <w:sz w:val="15"/>
              </w:rPr>
              <w:t>continua</w:t>
            </w: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229"/>
              <w:rPr>
                <w:sz w:val="15"/>
              </w:rPr>
            </w:pPr>
            <w:r>
              <w:rPr>
                <w:color w:val="231F20"/>
                <w:spacing w:val="-2"/>
                <w:sz w:val="15"/>
              </w:rPr>
              <w:t>seizures)</w:t>
            </w:r>
          </w:p>
        </w:tc>
        <w:tc>
          <w:tcPr>
            <w:tcW w:w="4871" w:type="dxa"/>
            <w:tcBorders>
              <w:left w:val="single" w:sz="4" w:space="0" w:color="231F20"/>
            </w:tcBorders>
            <w:shd w:val="clear" w:color="auto" w:fill="E8F5F1"/>
          </w:tcPr>
          <w:p>
            <w:pPr>
              <w:pStyle w:val="TableParagraph"/>
              <w:spacing w:line="147" w:lineRule="exact"/>
              <w:ind w:left="69"/>
              <w:rPr>
                <w:sz w:val="15"/>
              </w:rPr>
            </w:pPr>
            <w:r>
              <w:rPr>
                <w:color w:val="231F20"/>
                <w:sz w:val="15"/>
              </w:rPr>
              <w:t>Limbic</w:t>
            </w:r>
            <w:r>
              <w:rPr>
                <w:color w:val="231F20"/>
                <w:spacing w:val="-12"/>
                <w:sz w:val="15"/>
              </w:rPr>
              <w:t> </w:t>
            </w:r>
            <w:r>
              <w:rPr>
                <w:color w:val="231F20"/>
                <w:sz w:val="15"/>
              </w:rPr>
              <w:t>status</w:t>
            </w:r>
            <w:r>
              <w:rPr>
                <w:color w:val="231F20"/>
                <w:spacing w:val="-11"/>
                <w:sz w:val="15"/>
              </w:rPr>
              <w:t> </w:t>
            </w:r>
            <w:r>
              <w:rPr>
                <w:color w:val="231F20"/>
                <w:sz w:val="15"/>
              </w:rPr>
              <w:t>epilepticus</w:t>
            </w:r>
            <w:r>
              <w:rPr>
                <w:color w:val="231F20"/>
                <w:spacing w:val="-11"/>
                <w:sz w:val="15"/>
              </w:rPr>
              <w:t> </w:t>
            </w:r>
            <w:r>
              <w:rPr>
                <w:color w:val="231F20"/>
                <w:sz w:val="15"/>
              </w:rPr>
              <w:t>(psychomotor</w:t>
            </w:r>
            <w:r>
              <w:rPr>
                <w:color w:val="231F20"/>
                <w:spacing w:val="-11"/>
                <w:sz w:val="15"/>
              </w:rPr>
              <w:t> </w:t>
            </w:r>
            <w:r>
              <w:rPr>
                <w:color w:val="231F20"/>
                <w:spacing w:val="-2"/>
                <w:sz w:val="15"/>
              </w:rPr>
              <w:t>status)</w:t>
            </w:r>
          </w:p>
        </w:tc>
      </w:tr>
      <w:tr>
        <w:trPr>
          <w:trHeight w:val="168" w:hRule="exact"/>
        </w:trPr>
        <w:tc>
          <w:tcPr>
            <w:tcW w:w="4876" w:type="dxa"/>
            <w:gridSpan w:val="2"/>
            <w:tcBorders>
              <w:right w:val="single" w:sz="4" w:space="0" w:color="231F20"/>
            </w:tcBorders>
            <w:shd w:val="clear" w:color="auto" w:fill="E8F5F1"/>
          </w:tcPr>
          <w:p>
            <w:pPr>
              <w:pStyle w:val="TableParagraph"/>
              <w:numPr>
                <w:ilvl w:val="0"/>
                <w:numId w:val="46"/>
              </w:numPr>
              <w:tabs>
                <w:tab w:pos="228" w:val="left" w:leader="none"/>
              </w:tabs>
              <w:spacing w:line="149" w:lineRule="exact" w:before="0" w:after="0"/>
              <w:ind w:left="228" w:right="0" w:hanging="149"/>
              <w:jc w:val="left"/>
              <w:rPr>
                <w:sz w:val="15"/>
              </w:rPr>
            </w:pPr>
            <w:r>
              <w:rPr>
                <w:color w:val="231F20"/>
                <w:spacing w:val="-2"/>
                <w:sz w:val="15"/>
              </w:rPr>
              <w:t>With</w:t>
            </w:r>
            <w:r>
              <w:rPr>
                <w:color w:val="231F20"/>
                <w:spacing w:val="-7"/>
                <w:sz w:val="15"/>
              </w:rPr>
              <w:t> </w:t>
            </w:r>
            <w:r>
              <w:rPr>
                <w:color w:val="231F20"/>
                <w:spacing w:val="-2"/>
                <w:sz w:val="15"/>
              </w:rPr>
              <w:t>typical</w:t>
            </w:r>
            <w:r>
              <w:rPr>
                <w:color w:val="231F20"/>
                <w:spacing w:val="-6"/>
                <w:sz w:val="15"/>
              </w:rPr>
              <w:t> </w:t>
            </w:r>
            <w:r>
              <w:rPr>
                <w:color w:val="231F20"/>
                <w:spacing w:val="-2"/>
                <w:sz w:val="15"/>
              </w:rPr>
              <w:t>(temporal</w:t>
            </w:r>
            <w:r>
              <w:rPr>
                <w:color w:val="231F20"/>
                <w:spacing w:val="-6"/>
                <w:sz w:val="15"/>
              </w:rPr>
              <w:t> </w:t>
            </w:r>
            <w:r>
              <w:rPr>
                <w:color w:val="231F20"/>
                <w:spacing w:val="-2"/>
                <w:sz w:val="15"/>
              </w:rPr>
              <w:t>lobe)</w:t>
            </w:r>
            <w:r>
              <w:rPr>
                <w:color w:val="231F20"/>
                <w:spacing w:val="-6"/>
                <w:sz w:val="15"/>
              </w:rPr>
              <w:t> </w:t>
            </w:r>
            <w:r>
              <w:rPr>
                <w:color w:val="231F20"/>
                <w:spacing w:val="-2"/>
                <w:sz w:val="15"/>
              </w:rPr>
              <w:t>automatisms</w:t>
            </w:r>
            <w:r>
              <w:rPr>
                <w:color w:val="231F20"/>
                <w:spacing w:val="-7"/>
                <w:sz w:val="15"/>
              </w:rPr>
              <w:t> </w:t>
            </w:r>
            <w:r>
              <w:rPr>
                <w:color w:val="231F20"/>
                <w:spacing w:val="-2"/>
                <w:sz w:val="15"/>
              </w:rPr>
              <w:t>(e.g.,</w:t>
            </w:r>
            <w:r>
              <w:rPr>
                <w:color w:val="231F20"/>
                <w:spacing w:val="-6"/>
                <w:sz w:val="15"/>
              </w:rPr>
              <w:t> </w:t>
            </w:r>
            <w:r>
              <w:rPr>
                <w:color w:val="231F20"/>
                <w:spacing w:val="-2"/>
                <w:sz w:val="15"/>
              </w:rPr>
              <w:t>mesial</w:t>
            </w:r>
            <w:r>
              <w:rPr>
                <w:color w:val="231F20"/>
                <w:spacing w:val="-6"/>
                <w:sz w:val="15"/>
              </w:rPr>
              <w:t> </w:t>
            </w:r>
            <w:r>
              <w:rPr>
                <w:color w:val="231F20"/>
                <w:spacing w:val="-2"/>
                <w:sz w:val="15"/>
              </w:rPr>
              <w:t>temporal</w:t>
            </w:r>
          </w:p>
        </w:tc>
        <w:tc>
          <w:tcPr>
            <w:tcW w:w="4871" w:type="dxa"/>
            <w:vMerge w:val="restart"/>
            <w:tcBorders>
              <w:left w:val="single" w:sz="4" w:space="0" w:color="231F20"/>
            </w:tcBorders>
            <w:shd w:val="clear" w:color="auto" w:fill="E8F5F1"/>
          </w:tcPr>
          <w:p>
            <w:pPr>
              <w:pStyle w:val="TableParagraph"/>
              <w:spacing w:line="172" w:lineRule="exact"/>
              <w:ind w:left="69"/>
              <w:rPr>
                <w:sz w:val="15"/>
              </w:rPr>
            </w:pPr>
            <w:r>
              <w:rPr>
                <w:color w:val="231F20"/>
                <w:spacing w:val="-2"/>
                <w:sz w:val="15"/>
              </w:rPr>
              <w:t>Hemiconvulsive</w:t>
            </w:r>
            <w:r>
              <w:rPr>
                <w:color w:val="231F20"/>
                <w:sz w:val="15"/>
              </w:rPr>
              <w:t> </w:t>
            </w:r>
            <w:r>
              <w:rPr>
                <w:color w:val="231F20"/>
                <w:spacing w:val="-2"/>
                <w:sz w:val="15"/>
              </w:rPr>
              <w:t>status</w:t>
            </w:r>
            <w:r>
              <w:rPr>
                <w:color w:val="231F20"/>
                <w:sz w:val="15"/>
              </w:rPr>
              <w:t> </w:t>
            </w:r>
            <w:r>
              <w:rPr>
                <w:color w:val="231F20"/>
                <w:spacing w:val="-2"/>
                <w:sz w:val="15"/>
              </w:rPr>
              <w:t>with</w:t>
            </w:r>
            <w:r>
              <w:rPr>
                <w:color w:val="231F20"/>
                <w:sz w:val="15"/>
              </w:rPr>
              <w:t> </w:t>
            </w:r>
            <w:r>
              <w:rPr>
                <w:color w:val="231F20"/>
                <w:spacing w:val="-2"/>
                <w:sz w:val="15"/>
              </w:rPr>
              <w:t>hemiparesis</w:t>
            </w:r>
          </w:p>
        </w:tc>
      </w:tr>
      <w:tr>
        <w:trPr>
          <w:trHeight w:val="47" w:hRule="exact"/>
        </w:trPr>
        <w:tc>
          <w:tcPr>
            <w:tcW w:w="4876" w:type="dxa"/>
            <w:gridSpan w:val="2"/>
            <w:vMerge w:val="restart"/>
            <w:tcBorders>
              <w:right w:val="single" w:sz="4" w:space="0" w:color="231F20"/>
            </w:tcBorders>
            <w:shd w:val="clear" w:color="auto" w:fill="E8F5F1"/>
          </w:tcPr>
          <w:p>
            <w:pPr>
              <w:pStyle w:val="TableParagraph"/>
              <w:spacing w:line="145" w:lineRule="exact"/>
              <w:ind w:left="229"/>
              <w:rPr>
                <w:sz w:val="15"/>
              </w:rPr>
            </w:pPr>
            <w:r>
              <w:rPr>
                <w:color w:val="231F20"/>
                <w:sz w:val="15"/>
              </w:rPr>
              <w:t>lobe</w:t>
            </w:r>
            <w:r>
              <w:rPr>
                <w:color w:val="231F20"/>
                <w:spacing w:val="6"/>
                <w:sz w:val="15"/>
              </w:rPr>
              <w:t> </w:t>
            </w:r>
            <w:r>
              <w:rPr>
                <w:color w:val="231F20"/>
                <w:spacing w:val="-2"/>
                <w:sz w:val="15"/>
              </w:rPr>
              <w:t>seizures)</w:t>
            </w:r>
          </w:p>
        </w:tc>
        <w:tc>
          <w:tcPr>
            <w:tcW w:w="4871" w:type="dxa"/>
            <w:vMerge/>
            <w:tcBorders>
              <w:top w:val="nil"/>
              <w:left w:val="single" w:sz="4" w:space="0" w:color="231F20"/>
            </w:tcBorders>
            <w:shd w:val="clear" w:color="auto" w:fill="E8F5F1"/>
          </w:tcPr>
          <w:p>
            <w:pPr>
              <w:rPr>
                <w:sz w:val="2"/>
                <w:szCs w:val="2"/>
              </w:rPr>
            </w:pPr>
          </w:p>
        </w:tc>
      </w:tr>
      <w:tr>
        <w:trPr>
          <w:trHeight w:val="117" w:hRule="exact"/>
        </w:trPr>
        <w:tc>
          <w:tcPr>
            <w:tcW w:w="4876" w:type="dxa"/>
            <w:gridSpan w:val="2"/>
            <w:vMerge/>
            <w:tcBorders>
              <w:top w:val="nil"/>
              <w:right w:val="single" w:sz="4" w:space="0" w:color="231F20"/>
            </w:tcBorders>
            <w:shd w:val="clear" w:color="auto" w:fill="E8F5F1"/>
          </w:tcPr>
          <w:p>
            <w:pPr>
              <w:rPr>
                <w:sz w:val="2"/>
                <w:szCs w:val="2"/>
              </w:rPr>
            </w:pPr>
          </w:p>
        </w:tc>
        <w:tc>
          <w:tcPr>
            <w:tcW w:w="4871" w:type="dxa"/>
            <w:vMerge w:val="restart"/>
            <w:tcBorders>
              <w:top w:val="single" w:sz="4" w:space="0" w:color="FFFFFF"/>
              <w:left w:val="single" w:sz="4" w:space="0" w:color="231F20"/>
              <w:bottom w:val="single" w:sz="8" w:space="0" w:color="231F20"/>
            </w:tcBorders>
            <w:shd w:val="clear" w:color="auto" w:fill="E8F5F1"/>
          </w:tcPr>
          <w:p>
            <w:pPr>
              <w:pStyle w:val="TableParagraph"/>
              <w:spacing w:line="172" w:lineRule="exact" w:before="43"/>
              <w:ind w:left="69"/>
              <w:rPr>
                <w:sz w:val="15"/>
              </w:rPr>
            </w:pPr>
            <w:r>
              <w:rPr>
                <w:color w:val="231F20"/>
                <w:w w:val="110"/>
                <w:sz w:val="15"/>
              </w:rPr>
              <w:t>PRECIPITATING</w:t>
            </w:r>
            <w:r>
              <w:rPr>
                <w:color w:val="231F20"/>
                <w:spacing w:val="-7"/>
                <w:w w:val="110"/>
                <w:sz w:val="15"/>
              </w:rPr>
              <w:t> </w:t>
            </w:r>
            <w:r>
              <w:rPr>
                <w:color w:val="231F20"/>
                <w:w w:val="110"/>
                <w:sz w:val="15"/>
              </w:rPr>
              <w:t>STIMULI</w:t>
            </w:r>
            <w:r>
              <w:rPr>
                <w:color w:val="231F20"/>
                <w:spacing w:val="-7"/>
                <w:w w:val="110"/>
                <w:sz w:val="15"/>
              </w:rPr>
              <w:t> </w:t>
            </w:r>
            <w:r>
              <w:rPr>
                <w:color w:val="231F20"/>
                <w:w w:val="110"/>
                <w:sz w:val="15"/>
              </w:rPr>
              <w:t>FOR</w:t>
            </w:r>
            <w:r>
              <w:rPr>
                <w:color w:val="231F20"/>
                <w:spacing w:val="-7"/>
                <w:w w:val="110"/>
                <w:sz w:val="15"/>
              </w:rPr>
              <w:t> </w:t>
            </w:r>
            <w:r>
              <w:rPr>
                <w:color w:val="231F20"/>
                <w:w w:val="110"/>
                <w:sz w:val="15"/>
              </w:rPr>
              <w:t>REFLEX</w:t>
            </w:r>
            <w:r>
              <w:rPr>
                <w:color w:val="231F20"/>
                <w:spacing w:val="-7"/>
                <w:w w:val="110"/>
                <w:sz w:val="15"/>
              </w:rPr>
              <w:t> </w:t>
            </w:r>
            <w:r>
              <w:rPr>
                <w:color w:val="231F20"/>
                <w:spacing w:val="-2"/>
                <w:w w:val="110"/>
                <w:sz w:val="15"/>
              </w:rPr>
              <w:t>SEIZURES</w:t>
            </w:r>
          </w:p>
          <w:p>
            <w:pPr>
              <w:pStyle w:val="TableParagraph"/>
              <w:spacing w:line="169" w:lineRule="exact"/>
              <w:ind w:left="69"/>
              <w:rPr>
                <w:sz w:val="15"/>
              </w:rPr>
            </w:pPr>
            <w:r>
              <w:rPr>
                <w:color w:val="231F20"/>
                <w:spacing w:val="-2"/>
                <w:sz w:val="15"/>
              </w:rPr>
              <w:t>Visual</w:t>
            </w:r>
            <w:r>
              <w:rPr>
                <w:color w:val="231F20"/>
                <w:spacing w:val="-3"/>
                <w:sz w:val="15"/>
              </w:rPr>
              <w:t> </w:t>
            </w:r>
            <w:r>
              <w:rPr>
                <w:color w:val="231F20"/>
                <w:spacing w:val="-2"/>
                <w:sz w:val="15"/>
              </w:rPr>
              <w:t>stimuli</w:t>
            </w:r>
          </w:p>
          <w:p>
            <w:pPr>
              <w:pStyle w:val="TableParagraph"/>
              <w:numPr>
                <w:ilvl w:val="0"/>
                <w:numId w:val="47"/>
              </w:numPr>
              <w:tabs>
                <w:tab w:pos="218" w:val="left" w:leader="none"/>
              </w:tabs>
              <w:spacing w:line="168" w:lineRule="exact" w:before="0" w:after="0"/>
              <w:ind w:left="218" w:right="0" w:hanging="149"/>
              <w:jc w:val="left"/>
              <w:rPr>
                <w:sz w:val="15"/>
              </w:rPr>
            </w:pPr>
            <w:r>
              <w:rPr>
                <w:color w:val="231F20"/>
                <w:sz w:val="15"/>
              </w:rPr>
              <w:t>Flickering</w:t>
            </w:r>
            <w:r>
              <w:rPr>
                <w:color w:val="231F20"/>
                <w:spacing w:val="-1"/>
                <w:sz w:val="15"/>
              </w:rPr>
              <w:t> </w:t>
            </w:r>
            <w:r>
              <w:rPr>
                <w:color w:val="231F20"/>
                <w:sz w:val="15"/>
              </w:rPr>
              <w:t>light—color to be specified</w:t>
            </w:r>
            <w:r>
              <w:rPr>
                <w:color w:val="231F20"/>
                <w:spacing w:val="-1"/>
                <w:sz w:val="15"/>
              </w:rPr>
              <w:t> </w:t>
            </w:r>
            <w:r>
              <w:rPr>
                <w:color w:val="231F20"/>
                <w:sz w:val="15"/>
              </w:rPr>
              <w:t>when </w:t>
            </w:r>
            <w:r>
              <w:rPr>
                <w:color w:val="231F20"/>
                <w:spacing w:val="-2"/>
                <w:sz w:val="15"/>
              </w:rPr>
              <w:t>possible</w:t>
            </w:r>
          </w:p>
          <w:p>
            <w:pPr>
              <w:pStyle w:val="TableParagraph"/>
              <w:numPr>
                <w:ilvl w:val="0"/>
                <w:numId w:val="47"/>
              </w:numPr>
              <w:tabs>
                <w:tab w:pos="218" w:val="left" w:leader="none"/>
              </w:tabs>
              <w:spacing w:line="168" w:lineRule="exact" w:before="0" w:after="0"/>
              <w:ind w:left="218" w:right="0" w:hanging="149"/>
              <w:jc w:val="left"/>
              <w:rPr>
                <w:sz w:val="15"/>
              </w:rPr>
            </w:pPr>
            <w:r>
              <w:rPr>
                <w:color w:val="231F20"/>
                <w:spacing w:val="-2"/>
                <w:sz w:val="15"/>
              </w:rPr>
              <w:t>Patterns</w:t>
            </w:r>
          </w:p>
          <w:p>
            <w:pPr>
              <w:pStyle w:val="TableParagraph"/>
              <w:numPr>
                <w:ilvl w:val="0"/>
                <w:numId w:val="47"/>
              </w:numPr>
              <w:tabs>
                <w:tab w:pos="218" w:val="left" w:leader="none"/>
              </w:tabs>
              <w:spacing w:line="230" w:lineRule="auto" w:before="2" w:after="0"/>
              <w:ind w:left="69" w:right="3365" w:firstLine="0"/>
              <w:jc w:val="left"/>
              <w:rPr>
                <w:sz w:val="15"/>
              </w:rPr>
            </w:pPr>
            <w:r>
              <w:rPr>
                <w:color w:val="231F20"/>
                <w:spacing w:val="-2"/>
                <w:sz w:val="15"/>
              </w:rPr>
              <w:t>Other</w:t>
            </w:r>
            <w:r>
              <w:rPr>
                <w:color w:val="231F20"/>
                <w:spacing w:val="-10"/>
                <w:sz w:val="15"/>
              </w:rPr>
              <w:t> </w:t>
            </w:r>
            <w:r>
              <w:rPr>
                <w:color w:val="231F20"/>
                <w:spacing w:val="-2"/>
                <w:sz w:val="15"/>
              </w:rPr>
              <w:t>visual</w:t>
            </w:r>
            <w:r>
              <w:rPr>
                <w:color w:val="231F20"/>
                <w:spacing w:val="-9"/>
                <w:sz w:val="15"/>
              </w:rPr>
              <w:t> </w:t>
            </w:r>
            <w:r>
              <w:rPr>
                <w:color w:val="231F20"/>
                <w:spacing w:val="-2"/>
                <w:sz w:val="15"/>
              </w:rPr>
              <w:t>stimuli Thinking</w:t>
            </w:r>
          </w:p>
          <w:p>
            <w:pPr>
              <w:pStyle w:val="TableParagraph"/>
              <w:spacing w:line="230" w:lineRule="auto" w:before="2"/>
              <w:ind w:left="69" w:right="4367"/>
              <w:jc w:val="both"/>
              <w:rPr>
                <w:sz w:val="15"/>
              </w:rPr>
            </w:pPr>
            <w:r>
              <w:rPr>
                <w:color w:val="231F20"/>
                <w:spacing w:val="-2"/>
                <w:sz w:val="15"/>
              </w:rPr>
              <w:t>Music Eating Praxis</w:t>
            </w:r>
          </w:p>
          <w:p>
            <w:pPr>
              <w:pStyle w:val="TableParagraph"/>
              <w:spacing w:line="230" w:lineRule="auto" w:before="2"/>
              <w:ind w:left="69" w:right="3778"/>
              <w:jc w:val="both"/>
              <w:rPr>
                <w:sz w:val="15"/>
              </w:rPr>
            </w:pPr>
            <w:r>
              <w:rPr>
                <w:color w:val="231F20"/>
                <w:spacing w:val="-2"/>
                <w:sz w:val="15"/>
              </w:rPr>
              <w:t>Somatosensory Proprioceptive Reading</w:t>
            </w:r>
          </w:p>
          <w:p>
            <w:pPr>
              <w:pStyle w:val="TableParagraph"/>
              <w:spacing w:line="230" w:lineRule="auto" w:before="2"/>
              <w:ind w:left="69" w:right="4135"/>
              <w:jc w:val="both"/>
              <w:rPr>
                <w:sz w:val="15"/>
              </w:rPr>
            </w:pPr>
            <w:r>
              <w:rPr>
                <w:color w:val="231F20"/>
                <w:spacing w:val="-2"/>
                <w:sz w:val="15"/>
              </w:rPr>
              <w:t>Hot</w:t>
            </w:r>
            <w:r>
              <w:rPr>
                <w:color w:val="231F20"/>
                <w:spacing w:val="-10"/>
                <w:sz w:val="15"/>
              </w:rPr>
              <w:t> </w:t>
            </w:r>
            <w:r>
              <w:rPr>
                <w:color w:val="231F20"/>
                <w:spacing w:val="-2"/>
                <w:sz w:val="15"/>
              </w:rPr>
              <w:t>water Startle</w:t>
            </w: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48"/>
              </w:numPr>
              <w:tabs>
                <w:tab w:pos="228" w:val="left" w:leader="none"/>
              </w:tabs>
              <w:spacing w:line="148" w:lineRule="exact" w:before="0" w:after="0"/>
              <w:ind w:left="228" w:right="0" w:hanging="149"/>
              <w:jc w:val="left"/>
              <w:rPr>
                <w:sz w:val="15"/>
              </w:rPr>
            </w:pPr>
            <w:r>
              <w:rPr>
                <w:color w:val="231F20"/>
                <w:spacing w:val="-2"/>
                <w:sz w:val="15"/>
              </w:rPr>
              <w:t>With hyperkinetic</w:t>
            </w:r>
            <w:r>
              <w:rPr>
                <w:color w:val="231F20"/>
                <w:spacing w:val="-1"/>
                <w:sz w:val="15"/>
              </w:rPr>
              <w:t> </w:t>
            </w:r>
            <w:r>
              <w:rPr>
                <w:color w:val="231F20"/>
                <w:spacing w:val="-2"/>
                <w:sz w:val="15"/>
              </w:rPr>
              <w:t>automatisms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49"/>
              </w:numPr>
              <w:tabs>
                <w:tab w:pos="228" w:val="left" w:leader="none"/>
              </w:tabs>
              <w:spacing w:line="148" w:lineRule="exact" w:before="0" w:after="0"/>
              <w:ind w:left="228" w:right="0" w:hanging="149"/>
              <w:jc w:val="left"/>
              <w:rPr>
                <w:sz w:val="15"/>
              </w:rPr>
            </w:pPr>
            <w:r>
              <w:rPr>
                <w:color w:val="231F20"/>
                <w:sz w:val="15"/>
              </w:rPr>
              <w:t>With</w:t>
            </w:r>
            <w:r>
              <w:rPr>
                <w:color w:val="231F20"/>
                <w:spacing w:val="-8"/>
                <w:sz w:val="15"/>
              </w:rPr>
              <w:t> </w:t>
            </w:r>
            <w:r>
              <w:rPr>
                <w:color w:val="231F20"/>
                <w:sz w:val="15"/>
              </w:rPr>
              <w:t>focal</w:t>
            </w:r>
            <w:r>
              <w:rPr>
                <w:color w:val="231F20"/>
                <w:spacing w:val="-8"/>
                <w:sz w:val="15"/>
              </w:rPr>
              <w:t> </w:t>
            </w:r>
            <w:r>
              <w:rPr>
                <w:color w:val="231F20"/>
                <w:sz w:val="15"/>
              </w:rPr>
              <w:t>negative</w:t>
            </w:r>
            <w:r>
              <w:rPr>
                <w:color w:val="231F20"/>
                <w:spacing w:val="-7"/>
                <w:sz w:val="15"/>
              </w:rPr>
              <w:t> </w:t>
            </w:r>
            <w:r>
              <w:rPr>
                <w:color w:val="231F20"/>
                <w:spacing w:val="-2"/>
                <w:sz w:val="15"/>
              </w:rPr>
              <w:t>myoclonus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50"/>
              </w:numPr>
              <w:tabs>
                <w:tab w:pos="228" w:val="left" w:leader="none"/>
              </w:tabs>
              <w:spacing w:line="148" w:lineRule="exact" w:before="0" w:after="0"/>
              <w:ind w:left="228" w:right="0" w:hanging="149"/>
              <w:jc w:val="left"/>
              <w:rPr>
                <w:sz w:val="15"/>
              </w:rPr>
            </w:pPr>
            <w:r>
              <w:rPr>
                <w:color w:val="231F20"/>
                <w:sz w:val="15"/>
              </w:rPr>
              <w:t>With</w:t>
            </w:r>
            <w:r>
              <w:rPr>
                <w:color w:val="231F20"/>
                <w:spacing w:val="-11"/>
                <w:sz w:val="15"/>
              </w:rPr>
              <w:t> </w:t>
            </w:r>
            <w:r>
              <w:rPr>
                <w:color w:val="231F20"/>
                <w:sz w:val="15"/>
              </w:rPr>
              <w:t>inhibitory</w:t>
            </w:r>
            <w:r>
              <w:rPr>
                <w:color w:val="231F20"/>
                <w:spacing w:val="-11"/>
                <w:sz w:val="15"/>
              </w:rPr>
              <w:t> </w:t>
            </w:r>
            <w:r>
              <w:rPr>
                <w:color w:val="231F20"/>
                <w:sz w:val="15"/>
              </w:rPr>
              <w:t>motor</w:t>
            </w:r>
            <w:r>
              <w:rPr>
                <w:color w:val="231F20"/>
                <w:spacing w:val="-11"/>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Gelastic</w:t>
            </w:r>
            <w:r>
              <w:rPr>
                <w:color w:val="231F20"/>
                <w:spacing w:val="-10"/>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Hemiclonic</w:t>
            </w:r>
            <w:r>
              <w:rPr>
                <w:color w:val="231F20"/>
                <w:spacing w:val="-7"/>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Secondarily</w:t>
            </w:r>
            <w:r>
              <w:rPr>
                <w:color w:val="231F20"/>
                <w:spacing w:val="-7"/>
                <w:sz w:val="15"/>
              </w:rPr>
              <w:t> </w:t>
            </w:r>
            <w:r>
              <w:rPr>
                <w:color w:val="231F20"/>
                <w:sz w:val="15"/>
              </w:rPr>
              <w:t>generalized</w:t>
            </w:r>
            <w:r>
              <w:rPr>
                <w:color w:val="231F20"/>
                <w:spacing w:val="-7"/>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9" w:hRule="exact"/>
        </w:trPr>
        <w:tc>
          <w:tcPr>
            <w:tcW w:w="4876" w:type="dxa"/>
            <w:gridSpan w:val="2"/>
            <w:tcBorders>
              <w:right w:val="single" w:sz="4" w:space="0" w:color="231F20"/>
            </w:tcBorders>
            <w:shd w:val="clear" w:color="auto" w:fill="E8F5F1"/>
          </w:tcPr>
          <w:p>
            <w:pPr>
              <w:pStyle w:val="TableParagraph"/>
              <w:spacing w:line="150" w:lineRule="exact"/>
              <w:ind w:left="79"/>
              <w:rPr>
                <w:sz w:val="15"/>
              </w:rPr>
            </w:pPr>
            <w:r>
              <w:rPr>
                <w:color w:val="231F20"/>
                <w:spacing w:val="-2"/>
                <w:sz w:val="15"/>
              </w:rPr>
              <w:t>Reflex</w:t>
            </w:r>
            <w:r>
              <w:rPr>
                <w:color w:val="231F20"/>
                <w:spacing w:val="-1"/>
                <w:sz w:val="15"/>
              </w:rPr>
              <w:t> </w:t>
            </w:r>
            <w:r>
              <w:rPr>
                <w:color w:val="231F20"/>
                <w:spacing w:val="-2"/>
                <w:sz w:val="15"/>
              </w:rPr>
              <w:t>seizures</w:t>
            </w:r>
            <w:r>
              <w:rPr>
                <w:color w:val="231F20"/>
                <w:sz w:val="15"/>
              </w:rPr>
              <w:t> </w:t>
            </w:r>
            <w:r>
              <w:rPr>
                <w:color w:val="231F20"/>
                <w:spacing w:val="-2"/>
                <w:sz w:val="15"/>
              </w:rPr>
              <w:t>in</w:t>
            </w:r>
            <w:r>
              <w:rPr>
                <w:color w:val="231F20"/>
                <w:sz w:val="15"/>
              </w:rPr>
              <w:t> </w:t>
            </w:r>
            <w:r>
              <w:rPr>
                <w:color w:val="231F20"/>
                <w:spacing w:val="-2"/>
                <w:sz w:val="15"/>
              </w:rPr>
              <w:t>focal</w:t>
            </w:r>
            <w:r>
              <w:rPr>
                <w:color w:val="231F20"/>
                <w:spacing w:val="-1"/>
                <w:sz w:val="15"/>
              </w:rPr>
              <w:t> </w:t>
            </w:r>
            <w:r>
              <w:rPr>
                <w:color w:val="231F20"/>
                <w:spacing w:val="-2"/>
                <w:sz w:val="15"/>
              </w:rPr>
              <w:t>epilepsy</w:t>
            </w:r>
            <w:r>
              <w:rPr>
                <w:color w:val="231F20"/>
                <w:sz w:val="15"/>
              </w:rPr>
              <w:t> </w:t>
            </w:r>
            <w:r>
              <w:rPr>
                <w:color w:val="231F20"/>
                <w:spacing w:val="-2"/>
                <w:sz w:val="15"/>
              </w:rPr>
              <w:t>syndromes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72" w:hRule="exact"/>
        </w:trPr>
        <w:tc>
          <w:tcPr>
            <w:tcW w:w="4876" w:type="dxa"/>
            <w:gridSpan w:val="2"/>
            <w:tcBorders>
              <w:right w:val="single" w:sz="4" w:space="0" w:color="231F20"/>
            </w:tcBorders>
            <w:shd w:val="clear" w:color="auto" w:fill="E8F5F1"/>
          </w:tcPr>
          <w:p>
            <w:pPr>
              <w:pStyle w:val="TableParagraph"/>
              <w:spacing w:line="152" w:lineRule="exact"/>
              <w:ind w:left="79"/>
              <w:rPr>
                <w:i/>
                <w:sz w:val="15"/>
              </w:rPr>
            </w:pPr>
            <w:r>
              <w:rPr>
                <w:i/>
                <w:color w:val="231F20"/>
                <w:sz w:val="15"/>
              </w:rPr>
              <w:t>Generalized</w:t>
            </w:r>
            <w:r>
              <w:rPr>
                <w:i/>
                <w:color w:val="231F20"/>
                <w:spacing w:val="-5"/>
                <w:sz w:val="15"/>
              </w:rPr>
              <w:t> </w:t>
            </w:r>
            <w:r>
              <w:rPr>
                <w:i/>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5" w:hRule="exact"/>
        </w:trPr>
        <w:tc>
          <w:tcPr>
            <w:tcW w:w="4876" w:type="dxa"/>
            <w:gridSpan w:val="2"/>
            <w:tcBorders>
              <w:right w:val="single" w:sz="4" w:space="0" w:color="231F20"/>
            </w:tcBorders>
            <w:shd w:val="clear" w:color="auto" w:fill="E8F5F1"/>
          </w:tcPr>
          <w:p>
            <w:pPr>
              <w:pStyle w:val="TableParagraph"/>
              <w:spacing w:line="146" w:lineRule="exact"/>
              <w:ind w:left="79"/>
              <w:rPr>
                <w:sz w:val="15"/>
              </w:rPr>
            </w:pPr>
            <w:r>
              <w:rPr>
                <w:color w:val="231F20"/>
                <w:spacing w:val="-2"/>
                <w:sz w:val="15"/>
              </w:rPr>
              <w:t>Tonic-clonic</w:t>
            </w:r>
            <w:r>
              <w:rPr>
                <w:color w:val="231F20"/>
                <w:spacing w:val="2"/>
                <w:sz w:val="15"/>
              </w:rPr>
              <w:t> </w:t>
            </w:r>
            <w:r>
              <w:rPr>
                <w:color w:val="231F20"/>
                <w:spacing w:val="-2"/>
                <w:sz w:val="15"/>
              </w:rPr>
              <w:t>seizures</w:t>
            </w:r>
            <w:r>
              <w:rPr>
                <w:color w:val="231F20"/>
                <w:spacing w:val="2"/>
                <w:sz w:val="15"/>
              </w:rPr>
              <w:t> </w:t>
            </w:r>
            <w:r>
              <w:rPr>
                <w:color w:val="231F20"/>
                <w:spacing w:val="-2"/>
                <w:sz w:val="15"/>
              </w:rPr>
              <w:t>(includes</w:t>
            </w:r>
            <w:r>
              <w:rPr>
                <w:color w:val="231F20"/>
                <w:spacing w:val="2"/>
                <w:sz w:val="15"/>
              </w:rPr>
              <w:t> </w:t>
            </w:r>
            <w:r>
              <w:rPr>
                <w:color w:val="231F20"/>
                <w:spacing w:val="-2"/>
                <w:sz w:val="15"/>
              </w:rPr>
              <w:t>variations</w:t>
            </w:r>
            <w:r>
              <w:rPr>
                <w:color w:val="231F20"/>
                <w:spacing w:val="2"/>
                <w:sz w:val="15"/>
              </w:rPr>
              <w:t> </w:t>
            </w:r>
            <w:r>
              <w:rPr>
                <w:color w:val="231F20"/>
                <w:spacing w:val="-2"/>
                <w:sz w:val="15"/>
              </w:rPr>
              <w:t>beginning</w:t>
            </w:r>
            <w:r>
              <w:rPr>
                <w:color w:val="231F20"/>
                <w:spacing w:val="2"/>
                <w:sz w:val="15"/>
              </w:rPr>
              <w:t> </w:t>
            </w:r>
            <w:r>
              <w:rPr>
                <w:color w:val="231F20"/>
                <w:spacing w:val="-2"/>
                <w:sz w:val="15"/>
              </w:rPr>
              <w:t>with</w:t>
            </w:r>
            <w:r>
              <w:rPr>
                <w:color w:val="231F20"/>
                <w:spacing w:val="2"/>
                <w:sz w:val="15"/>
              </w:rPr>
              <w:t> </w:t>
            </w:r>
            <w:r>
              <w:rPr>
                <w:color w:val="231F20"/>
                <w:spacing w:val="-2"/>
                <w:sz w:val="15"/>
              </w:rPr>
              <w:t>a</w:t>
            </w:r>
            <w:r>
              <w:rPr>
                <w:color w:val="231F20"/>
                <w:spacing w:val="2"/>
                <w:sz w:val="15"/>
              </w:rPr>
              <w:t> </w:t>
            </w:r>
            <w:r>
              <w:rPr>
                <w:color w:val="231F20"/>
                <w:spacing w:val="-2"/>
                <w:sz w:val="15"/>
              </w:rPr>
              <w:t>clonic</w:t>
            </w:r>
            <w:r>
              <w:rPr>
                <w:color w:val="231F20"/>
                <w:spacing w:val="2"/>
                <w:sz w:val="15"/>
              </w:rPr>
              <w:t> </w:t>
            </w:r>
            <w:r>
              <w:rPr>
                <w:color w:val="231F20"/>
                <w:spacing w:val="-5"/>
                <w:sz w:val="15"/>
              </w:rPr>
              <w:t>or</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191"/>
              <w:rPr>
                <w:sz w:val="15"/>
              </w:rPr>
            </w:pPr>
            <w:r>
              <w:rPr>
                <w:color w:val="231F20"/>
                <w:sz w:val="15"/>
              </w:rPr>
              <w:t>myoclonic</w:t>
            </w:r>
            <w:r>
              <w:rPr>
                <w:color w:val="231F20"/>
                <w:spacing w:val="-6"/>
                <w:sz w:val="15"/>
              </w:rPr>
              <w:t> </w:t>
            </w:r>
            <w:r>
              <w:rPr>
                <w:color w:val="231F20"/>
                <w:spacing w:val="-2"/>
                <w:sz w:val="15"/>
              </w:rPr>
              <w:t>phase)</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Clonic</w:t>
            </w:r>
            <w:r>
              <w:rPr>
                <w:color w:val="231F20"/>
                <w:spacing w:val="5"/>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51"/>
              </w:numPr>
              <w:tabs>
                <w:tab w:pos="228" w:val="left" w:leader="none"/>
              </w:tabs>
              <w:spacing w:line="148" w:lineRule="exact" w:before="0" w:after="0"/>
              <w:ind w:left="228" w:right="0" w:hanging="149"/>
              <w:jc w:val="left"/>
              <w:rPr>
                <w:sz w:val="15"/>
              </w:rPr>
            </w:pPr>
            <w:r>
              <w:rPr>
                <w:color w:val="231F20"/>
                <w:sz w:val="15"/>
              </w:rPr>
              <w:t>Without</w:t>
            </w:r>
            <w:r>
              <w:rPr>
                <w:color w:val="231F20"/>
                <w:spacing w:val="-7"/>
                <w:sz w:val="15"/>
              </w:rPr>
              <w:t> </w:t>
            </w:r>
            <w:r>
              <w:rPr>
                <w:color w:val="231F20"/>
                <w:sz w:val="15"/>
              </w:rPr>
              <w:t>tonic</w:t>
            </w:r>
            <w:r>
              <w:rPr>
                <w:color w:val="231F20"/>
                <w:spacing w:val="-7"/>
                <w:sz w:val="15"/>
              </w:rPr>
              <w:t> </w:t>
            </w:r>
            <w:r>
              <w:rPr>
                <w:color w:val="231F20"/>
                <w:spacing w:val="-2"/>
                <w:sz w:val="15"/>
              </w:rPr>
              <w:t>features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52"/>
              </w:numPr>
              <w:tabs>
                <w:tab w:pos="228" w:val="left" w:leader="none"/>
              </w:tabs>
              <w:spacing w:line="148" w:lineRule="exact" w:before="0" w:after="0"/>
              <w:ind w:left="228" w:right="0" w:hanging="149"/>
              <w:jc w:val="left"/>
              <w:rPr>
                <w:sz w:val="15"/>
              </w:rPr>
            </w:pPr>
            <w:r>
              <w:rPr>
                <w:color w:val="231F20"/>
                <w:sz w:val="15"/>
              </w:rPr>
              <w:t>With</w:t>
            </w:r>
            <w:r>
              <w:rPr>
                <w:color w:val="231F20"/>
                <w:spacing w:val="-6"/>
                <w:sz w:val="15"/>
              </w:rPr>
              <w:t> </w:t>
            </w:r>
            <w:r>
              <w:rPr>
                <w:color w:val="231F20"/>
                <w:sz w:val="15"/>
              </w:rPr>
              <w:t>tonic</w:t>
            </w:r>
            <w:r>
              <w:rPr>
                <w:color w:val="231F20"/>
                <w:spacing w:val="-6"/>
                <w:sz w:val="15"/>
              </w:rPr>
              <w:t> </w:t>
            </w:r>
            <w:r>
              <w:rPr>
                <w:color w:val="231F20"/>
                <w:spacing w:val="-2"/>
                <w:sz w:val="15"/>
              </w:rPr>
              <w:t>features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Typical</w:t>
            </w:r>
            <w:r>
              <w:rPr>
                <w:color w:val="231F20"/>
                <w:spacing w:val="-6"/>
                <w:sz w:val="15"/>
              </w:rPr>
              <w:t> </w:t>
            </w:r>
            <w:r>
              <w:rPr>
                <w:color w:val="231F20"/>
                <w:sz w:val="15"/>
              </w:rPr>
              <w:t>absence</w:t>
            </w:r>
            <w:r>
              <w:rPr>
                <w:color w:val="231F20"/>
                <w:spacing w:val="-6"/>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Atypical</w:t>
            </w:r>
            <w:r>
              <w:rPr>
                <w:color w:val="231F20"/>
                <w:spacing w:val="-5"/>
                <w:sz w:val="15"/>
              </w:rPr>
              <w:t> </w:t>
            </w:r>
            <w:r>
              <w:rPr>
                <w:color w:val="231F20"/>
                <w:sz w:val="15"/>
              </w:rPr>
              <w:t>absence</w:t>
            </w:r>
            <w:r>
              <w:rPr>
                <w:color w:val="231F20"/>
                <w:spacing w:val="-4"/>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Absence</w:t>
            </w:r>
            <w:r>
              <w:rPr>
                <w:color w:val="231F20"/>
                <w:spacing w:val="-3"/>
                <w:sz w:val="15"/>
              </w:rPr>
              <w:t> </w:t>
            </w:r>
            <w:r>
              <w:rPr>
                <w:color w:val="231F20"/>
                <w:sz w:val="15"/>
              </w:rPr>
              <w:t>with</w:t>
            </w:r>
            <w:r>
              <w:rPr>
                <w:color w:val="231F20"/>
                <w:spacing w:val="-3"/>
                <w:sz w:val="15"/>
              </w:rPr>
              <w:t> </w:t>
            </w:r>
            <w:r>
              <w:rPr>
                <w:color w:val="231F20"/>
                <w:sz w:val="15"/>
              </w:rPr>
              <w:t>special</w:t>
            </w:r>
            <w:r>
              <w:rPr>
                <w:color w:val="231F20"/>
                <w:spacing w:val="-2"/>
                <w:sz w:val="15"/>
              </w:rPr>
              <w:t> features: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53"/>
              </w:numPr>
              <w:tabs>
                <w:tab w:pos="228" w:val="left" w:leader="none"/>
              </w:tabs>
              <w:spacing w:line="148" w:lineRule="exact" w:before="0" w:after="0"/>
              <w:ind w:left="228" w:right="0" w:hanging="149"/>
              <w:jc w:val="left"/>
              <w:rPr>
                <w:sz w:val="15"/>
              </w:rPr>
            </w:pPr>
            <w:r>
              <w:rPr>
                <w:color w:val="231F20"/>
                <w:sz w:val="15"/>
              </w:rPr>
              <w:t>Eyelid</w:t>
            </w:r>
            <w:r>
              <w:rPr>
                <w:color w:val="231F20"/>
                <w:spacing w:val="-4"/>
                <w:sz w:val="15"/>
              </w:rPr>
              <w:t> </w:t>
            </w:r>
            <w:r>
              <w:rPr>
                <w:color w:val="231F20"/>
                <w:spacing w:val="-2"/>
                <w:sz w:val="15"/>
              </w:rPr>
              <w:t>myoclonia</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numPr>
                <w:ilvl w:val="0"/>
                <w:numId w:val="54"/>
              </w:numPr>
              <w:tabs>
                <w:tab w:pos="228" w:val="left" w:leader="none"/>
              </w:tabs>
              <w:spacing w:line="148" w:lineRule="exact" w:before="0" w:after="0"/>
              <w:ind w:left="228" w:right="0" w:hanging="149"/>
              <w:jc w:val="left"/>
              <w:rPr>
                <w:sz w:val="15"/>
              </w:rPr>
            </w:pPr>
            <w:r>
              <w:rPr>
                <w:color w:val="231F20"/>
                <w:sz w:val="15"/>
              </w:rPr>
              <w:t>Myoclonic</w:t>
            </w:r>
            <w:r>
              <w:rPr>
                <w:color w:val="231F20"/>
                <w:spacing w:val="14"/>
                <w:sz w:val="15"/>
              </w:rPr>
              <w:t> </w:t>
            </w:r>
            <w:r>
              <w:rPr>
                <w:color w:val="231F20"/>
                <w:spacing w:val="-2"/>
                <w:sz w:val="15"/>
              </w:rPr>
              <w:t>absence</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Tonic</w:t>
            </w:r>
            <w:r>
              <w:rPr>
                <w:color w:val="231F20"/>
                <w:spacing w:val="-3"/>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Myoclonic</w:t>
            </w:r>
            <w:r>
              <w:rPr>
                <w:color w:val="231F20"/>
                <w:spacing w:val="14"/>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Myoclonic</w:t>
            </w:r>
            <w:r>
              <w:rPr>
                <w:color w:val="231F20"/>
                <w:spacing w:val="1"/>
                <w:sz w:val="15"/>
              </w:rPr>
              <w:t> </w:t>
            </w:r>
            <w:r>
              <w:rPr>
                <w:color w:val="231F20"/>
                <w:sz w:val="15"/>
              </w:rPr>
              <w:t>atonic</w:t>
            </w:r>
            <w:r>
              <w:rPr>
                <w:color w:val="231F20"/>
                <w:spacing w:val="1"/>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Negative</w:t>
            </w:r>
            <w:r>
              <w:rPr>
                <w:color w:val="231F20"/>
                <w:spacing w:val="12"/>
                <w:sz w:val="15"/>
              </w:rPr>
              <w:t> </w:t>
            </w:r>
            <w:r>
              <w:rPr>
                <w:color w:val="231F20"/>
                <w:spacing w:val="-2"/>
                <w:sz w:val="15"/>
              </w:rPr>
              <w:t>myoclonus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4876" w:type="dxa"/>
            <w:gridSpan w:val="2"/>
            <w:tcBorders>
              <w:right w:val="single" w:sz="4" w:space="0" w:color="231F20"/>
            </w:tcBorders>
            <w:shd w:val="clear" w:color="auto" w:fill="E8F5F1"/>
          </w:tcPr>
          <w:p>
            <w:pPr>
              <w:pStyle w:val="TableParagraph"/>
              <w:spacing w:line="148" w:lineRule="exact"/>
              <w:ind w:left="79"/>
              <w:rPr>
                <w:sz w:val="15"/>
              </w:rPr>
            </w:pPr>
            <w:r>
              <w:rPr>
                <w:color w:val="231F20"/>
                <w:sz w:val="15"/>
              </w:rPr>
              <w:t>Atonic</w:t>
            </w:r>
            <w:r>
              <w:rPr>
                <w:color w:val="231F20"/>
                <w:spacing w:val="1"/>
                <w:sz w:val="15"/>
              </w:rPr>
              <w:t> </w:t>
            </w:r>
            <w:r>
              <w:rPr>
                <w:color w:val="231F20"/>
                <w:spacing w:val="-2"/>
                <w:sz w:val="15"/>
              </w:rPr>
              <w:t>seizures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69" w:hRule="exact"/>
        </w:trPr>
        <w:tc>
          <w:tcPr>
            <w:tcW w:w="4876" w:type="dxa"/>
            <w:gridSpan w:val="2"/>
            <w:tcBorders>
              <w:right w:val="single" w:sz="4" w:space="0" w:color="231F20"/>
            </w:tcBorders>
            <w:shd w:val="clear" w:color="auto" w:fill="E8F5F1"/>
          </w:tcPr>
          <w:p>
            <w:pPr>
              <w:pStyle w:val="TableParagraph"/>
              <w:spacing w:line="150" w:lineRule="exact"/>
              <w:ind w:left="79"/>
              <w:rPr>
                <w:sz w:val="15"/>
              </w:rPr>
            </w:pPr>
            <w:r>
              <w:rPr>
                <w:color w:val="231F20"/>
                <w:sz w:val="15"/>
              </w:rPr>
              <w:t>Reflex</w:t>
            </w:r>
            <w:r>
              <w:rPr>
                <w:color w:val="231F20"/>
                <w:spacing w:val="-11"/>
                <w:sz w:val="15"/>
              </w:rPr>
              <w:t> </w:t>
            </w:r>
            <w:r>
              <w:rPr>
                <w:color w:val="231F20"/>
                <w:sz w:val="15"/>
              </w:rPr>
              <w:t>seizures</w:t>
            </w:r>
            <w:r>
              <w:rPr>
                <w:color w:val="231F20"/>
                <w:spacing w:val="-10"/>
                <w:sz w:val="15"/>
              </w:rPr>
              <w:t> </w:t>
            </w:r>
            <w:r>
              <w:rPr>
                <w:color w:val="231F20"/>
                <w:sz w:val="15"/>
              </w:rPr>
              <w:t>in</w:t>
            </w:r>
            <w:r>
              <w:rPr>
                <w:color w:val="231F20"/>
                <w:spacing w:val="-10"/>
                <w:sz w:val="15"/>
              </w:rPr>
              <w:t> </w:t>
            </w:r>
            <w:r>
              <w:rPr>
                <w:color w:val="231F20"/>
                <w:sz w:val="15"/>
              </w:rPr>
              <w:t>generalized</w:t>
            </w:r>
            <w:r>
              <w:rPr>
                <w:color w:val="231F20"/>
                <w:spacing w:val="-10"/>
                <w:sz w:val="15"/>
              </w:rPr>
              <w:t> </w:t>
            </w:r>
            <w:r>
              <w:rPr>
                <w:color w:val="231F20"/>
                <w:sz w:val="15"/>
              </w:rPr>
              <w:t>epilepsy</w:t>
            </w:r>
            <w:r>
              <w:rPr>
                <w:color w:val="231F20"/>
                <w:spacing w:val="-10"/>
                <w:sz w:val="15"/>
              </w:rPr>
              <w:t> </w:t>
            </w:r>
            <w:r>
              <w:rPr>
                <w:color w:val="231F20"/>
                <w:spacing w:val="-2"/>
                <w:sz w:val="15"/>
              </w:rPr>
              <w:t>syndromes</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173" w:hRule="exact"/>
        </w:trPr>
        <w:tc>
          <w:tcPr>
            <w:tcW w:w="4876" w:type="dxa"/>
            <w:gridSpan w:val="2"/>
            <w:tcBorders>
              <w:right w:val="single" w:sz="4" w:space="0" w:color="231F20"/>
            </w:tcBorders>
            <w:shd w:val="clear" w:color="auto" w:fill="E8F5F1"/>
          </w:tcPr>
          <w:p>
            <w:pPr>
              <w:pStyle w:val="TableParagraph"/>
              <w:spacing w:line="153" w:lineRule="exact"/>
              <w:ind w:left="79"/>
              <w:rPr>
                <w:i/>
                <w:sz w:val="15"/>
              </w:rPr>
            </w:pPr>
            <w:r>
              <w:rPr>
                <w:i/>
                <w:color w:val="231F20"/>
                <w:spacing w:val="-2"/>
                <w:w w:val="105"/>
                <w:sz w:val="15"/>
              </w:rPr>
              <w:t>Unknown</w:t>
            </w:r>
          </w:p>
        </w:tc>
        <w:tc>
          <w:tcPr>
            <w:tcW w:w="4871" w:type="dxa"/>
            <w:vMerge/>
            <w:tcBorders>
              <w:top w:val="nil"/>
              <w:left w:val="single" w:sz="4" w:space="0" w:color="231F20"/>
              <w:bottom w:val="single" w:sz="8" w:space="0" w:color="231F20"/>
            </w:tcBorders>
            <w:shd w:val="clear" w:color="auto" w:fill="E8F5F1"/>
          </w:tcPr>
          <w:p>
            <w:pPr>
              <w:rPr>
                <w:sz w:val="2"/>
                <w:szCs w:val="2"/>
              </w:rPr>
            </w:pPr>
          </w:p>
        </w:tc>
      </w:tr>
      <w:tr>
        <w:trPr>
          <w:trHeight w:val="216" w:hRule="exact"/>
        </w:trPr>
        <w:tc>
          <w:tcPr>
            <w:tcW w:w="4876" w:type="dxa"/>
            <w:gridSpan w:val="2"/>
            <w:tcBorders>
              <w:bottom w:val="single" w:sz="12" w:space="0" w:color="231F20"/>
              <w:right w:val="single" w:sz="4" w:space="0" w:color="231F20"/>
            </w:tcBorders>
            <w:shd w:val="clear" w:color="auto" w:fill="E8F5F1"/>
          </w:tcPr>
          <w:p>
            <w:pPr>
              <w:pStyle w:val="TableParagraph"/>
              <w:spacing w:line="166" w:lineRule="exact"/>
              <w:ind w:left="79"/>
              <w:rPr>
                <w:i/>
                <w:sz w:val="15"/>
              </w:rPr>
            </w:pPr>
            <w:r>
              <w:rPr>
                <w:i/>
                <w:color w:val="231F20"/>
                <w:sz w:val="15"/>
              </w:rPr>
              <w:t>Epileptic</w:t>
            </w:r>
            <w:r>
              <w:rPr>
                <w:i/>
                <w:color w:val="231F20"/>
                <w:spacing w:val="-10"/>
                <w:sz w:val="15"/>
              </w:rPr>
              <w:t> </w:t>
            </w:r>
            <w:r>
              <w:rPr>
                <w:i/>
                <w:color w:val="231F20"/>
                <w:spacing w:val="-2"/>
                <w:sz w:val="15"/>
              </w:rPr>
              <w:t>Spasms</w:t>
            </w:r>
          </w:p>
        </w:tc>
        <w:tc>
          <w:tcPr>
            <w:tcW w:w="4871" w:type="dxa"/>
            <w:vMerge/>
            <w:tcBorders>
              <w:top w:val="nil"/>
              <w:left w:val="single" w:sz="4" w:space="0" w:color="231F20"/>
              <w:bottom w:val="single" w:sz="8" w:space="0" w:color="231F20"/>
            </w:tcBorders>
            <w:shd w:val="clear" w:color="auto" w:fill="E8F5F1"/>
          </w:tcPr>
          <w:p>
            <w:pPr>
              <w:rPr>
                <w:sz w:val="2"/>
                <w:szCs w:val="2"/>
              </w:rPr>
            </w:pPr>
          </w:p>
        </w:tc>
      </w:tr>
    </w:tbl>
    <w:p>
      <w:pPr>
        <w:spacing w:after="0"/>
        <w:rPr>
          <w:sz w:val="2"/>
          <w:szCs w:val="2"/>
        </w:rPr>
        <w:sectPr>
          <w:pgSz w:w="11900" w:h="16840"/>
          <w:pgMar w:header="0" w:footer="0" w:top="6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544" name="Group 544"/>
                <wp:cNvGraphicFramePr>
                  <a:graphicFrameLocks/>
                </wp:cNvGraphicFramePr>
                <a:graphic>
                  <a:graphicData uri="http://schemas.microsoft.com/office/word/2010/wordprocessingGroup">
                    <wpg:wgp>
                      <wpg:cNvPr id="544" name="Group 544"/>
                      <wpg:cNvGrpSpPr/>
                      <wpg:grpSpPr>
                        <a:xfrm>
                          <a:off x="0" y="0"/>
                          <a:ext cx="6185535" cy="170815"/>
                          <a:chExt cx="6185535" cy="170815"/>
                        </a:xfrm>
                      </wpg:grpSpPr>
                      <wps:wsp>
                        <wps:cNvPr id="545" name="Graphic 545"/>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546" name="Graphic 546"/>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547" name="Textbox 547"/>
                        <wps:cNvSpPr txBox="1"/>
                        <wps:spPr>
                          <a:xfrm>
                            <a:off x="0" y="0"/>
                            <a:ext cx="6185535" cy="170815"/>
                          </a:xfrm>
                          <a:prstGeom prst="rect">
                            <a:avLst/>
                          </a:prstGeom>
                        </wps:spPr>
                        <wps:txbx>
                          <w:txbxContent>
                            <w:p>
                              <w:pPr>
                                <w:spacing w:before="6"/>
                                <w:ind w:left="5855" w:right="0" w:firstLine="0"/>
                                <w:jc w:val="left"/>
                                <w:rPr>
                                  <w:b/>
                                  <w:sz w:val="18"/>
                                </w:rPr>
                              </w:pPr>
                              <w:r>
                                <w:rPr>
                                  <w:b/>
                                  <w:color w:val="007431"/>
                                  <w:w w:val="105"/>
                                  <w:sz w:val="18"/>
                                </w:rPr>
                                <w:t>Chapter</w:t>
                              </w:r>
                              <w:r>
                                <w:rPr>
                                  <w:b/>
                                  <w:color w:val="007431"/>
                                  <w:spacing w:val="6"/>
                                  <w:w w:val="105"/>
                                  <w:sz w:val="18"/>
                                </w:rPr>
                                <w:t> </w:t>
                              </w:r>
                              <w:r>
                                <w:rPr>
                                  <w:b/>
                                  <w:color w:val="007431"/>
                                  <w:w w:val="105"/>
                                  <w:sz w:val="18"/>
                                </w:rPr>
                                <w:t>593</w:t>
                              </w:r>
                              <w:r>
                                <w:rPr>
                                  <w:b/>
                                  <w:color w:val="007431"/>
                                  <w:spacing w:val="32"/>
                                  <w:w w:val="105"/>
                                  <w:sz w:val="18"/>
                                </w:rPr>
                                <w:t> </w:t>
                              </w:r>
                              <w:r>
                                <w:rPr>
                                  <w:rFonts w:ascii="MS Gothic" w:hAnsi="MS Gothic"/>
                                  <w:color w:val="659F6F"/>
                                  <w:w w:val="105"/>
                                  <w:sz w:val="15"/>
                                </w:rPr>
                                <w:t>◆</w:t>
                              </w:r>
                              <w:r>
                                <w:rPr>
                                  <w:rFonts w:ascii="MS Gothic" w:hAnsi="MS Gothic"/>
                                  <w:color w:val="659F6F"/>
                                  <w:spacing w:val="11"/>
                                  <w:w w:val="105"/>
                                  <w:sz w:val="15"/>
                                </w:rPr>
                                <w:t> </w:t>
                              </w:r>
                              <w:r>
                                <w:rPr>
                                  <w:color w:val="231F20"/>
                                  <w:w w:val="105"/>
                                  <w:sz w:val="18"/>
                                </w:rPr>
                                <w:t>Seizures</w:t>
                              </w:r>
                              <w:r>
                                <w:rPr>
                                  <w:color w:val="231F20"/>
                                  <w:spacing w:val="3"/>
                                  <w:w w:val="105"/>
                                  <w:sz w:val="18"/>
                                </w:rPr>
                                <w:t> </w:t>
                              </w:r>
                              <w:r>
                                <w:rPr>
                                  <w:color w:val="231F20"/>
                                  <w:w w:val="105"/>
                                  <w:sz w:val="18"/>
                                </w:rPr>
                                <w:t>in</w:t>
                              </w:r>
                              <w:r>
                                <w:rPr>
                                  <w:color w:val="231F20"/>
                                  <w:spacing w:val="3"/>
                                  <w:w w:val="105"/>
                                  <w:sz w:val="18"/>
                                </w:rPr>
                                <w:t> </w:t>
                              </w:r>
                              <w:r>
                                <w:rPr>
                                  <w:color w:val="231F20"/>
                                  <w:w w:val="105"/>
                                  <w:sz w:val="18"/>
                                </w:rPr>
                                <w:t>Childhood</w:t>
                              </w:r>
                              <w:r>
                                <w:rPr>
                                  <w:color w:val="231F20"/>
                                  <w:spacing w:val="32"/>
                                  <w:w w:val="105"/>
                                  <w:sz w:val="18"/>
                                </w:rPr>
                                <w:t>  </w:t>
                              </w:r>
                              <w:r>
                                <w:rPr>
                                  <w:b/>
                                  <w:color w:val="231F20"/>
                                  <w:spacing w:val="-4"/>
                                  <w:w w:val="105"/>
                                  <w:sz w:val="18"/>
                                </w:rPr>
                                <w:t>2825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86"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487" filled="false" stroked="false">
                  <v:textbox inset="0,0,0,0">
                    <w:txbxContent>
                      <w:p>
                        <w:pPr>
                          <w:spacing w:before="6"/>
                          <w:ind w:left="5855" w:right="0" w:firstLine="0"/>
                          <w:jc w:val="left"/>
                          <w:rPr>
                            <w:b/>
                            <w:sz w:val="18"/>
                          </w:rPr>
                        </w:pPr>
                        <w:r>
                          <w:rPr>
                            <w:b/>
                            <w:color w:val="007431"/>
                            <w:w w:val="105"/>
                            <w:sz w:val="18"/>
                          </w:rPr>
                          <w:t>Chapter</w:t>
                        </w:r>
                        <w:r>
                          <w:rPr>
                            <w:b/>
                            <w:color w:val="007431"/>
                            <w:spacing w:val="6"/>
                            <w:w w:val="105"/>
                            <w:sz w:val="18"/>
                          </w:rPr>
                          <w:t> </w:t>
                        </w:r>
                        <w:r>
                          <w:rPr>
                            <w:b/>
                            <w:color w:val="007431"/>
                            <w:w w:val="105"/>
                            <w:sz w:val="18"/>
                          </w:rPr>
                          <w:t>593</w:t>
                        </w:r>
                        <w:r>
                          <w:rPr>
                            <w:b/>
                            <w:color w:val="007431"/>
                            <w:spacing w:val="32"/>
                            <w:w w:val="105"/>
                            <w:sz w:val="18"/>
                          </w:rPr>
                          <w:t> </w:t>
                        </w:r>
                        <w:r>
                          <w:rPr>
                            <w:rFonts w:ascii="MS Gothic" w:hAnsi="MS Gothic"/>
                            <w:color w:val="659F6F"/>
                            <w:w w:val="105"/>
                            <w:sz w:val="15"/>
                          </w:rPr>
                          <w:t>◆</w:t>
                        </w:r>
                        <w:r>
                          <w:rPr>
                            <w:rFonts w:ascii="MS Gothic" w:hAnsi="MS Gothic"/>
                            <w:color w:val="659F6F"/>
                            <w:spacing w:val="11"/>
                            <w:w w:val="105"/>
                            <w:sz w:val="15"/>
                          </w:rPr>
                          <w:t> </w:t>
                        </w:r>
                        <w:r>
                          <w:rPr>
                            <w:color w:val="231F20"/>
                            <w:w w:val="105"/>
                            <w:sz w:val="18"/>
                          </w:rPr>
                          <w:t>Seizures</w:t>
                        </w:r>
                        <w:r>
                          <w:rPr>
                            <w:color w:val="231F20"/>
                            <w:spacing w:val="3"/>
                            <w:w w:val="105"/>
                            <w:sz w:val="18"/>
                          </w:rPr>
                          <w:t> </w:t>
                        </w:r>
                        <w:r>
                          <w:rPr>
                            <w:color w:val="231F20"/>
                            <w:w w:val="105"/>
                            <w:sz w:val="18"/>
                          </w:rPr>
                          <w:t>in</w:t>
                        </w:r>
                        <w:r>
                          <w:rPr>
                            <w:color w:val="231F20"/>
                            <w:spacing w:val="3"/>
                            <w:w w:val="105"/>
                            <w:sz w:val="18"/>
                          </w:rPr>
                          <w:t> </w:t>
                        </w:r>
                        <w:r>
                          <w:rPr>
                            <w:color w:val="231F20"/>
                            <w:w w:val="105"/>
                            <w:sz w:val="18"/>
                          </w:rPr>
                          <w:t>Childhood</w:t>
                        </w:r>
                        <w:r>
                          <w:rPr>
                            <w:color w:val="231F20"/>
                            <w:spacing w:val="32"/>
                            <w:w w:val="105"/>
                            <w:sz w:val="18"/>
                          </w:rPr>
                          <w:t>  </w:t>
                        </w:r>
                        <w:r>
                          <w:rPr>
                            <w:b/>
                            <w:color w:val="231F20"/>
                            <w:spacing w:val="-4"/>
                            <w:w w:val="105"/>
                            <w:sz w:val="18"/>
                          </w:rPr>
                          <w:t>2825</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8"/>
        <w:gridCol w:w="1141"/>
        <w:gridCol w:w="1513"/>
        <w:gridCol w:w="1540"/>
        <w:gridCol w:w="1460"/>
      </w:tblGrid>
      <w:tr>
        <w:trPr>
          <w:trHeight w:val="577" w:hRule="atLeast"/>
        </w:trPr>
        <w:tc>
          <w:tcPr>
            <w:tcW w:w="4088" w:type="dxa"/>
            <w:shd w:val="clear" w:color="auto" w:fill="231F20"/>
          </w:tcPr>
          <w:p>
            <w:pPr>
              <w:pStyle w:val="TableParagraph"/>
              <w:spacing w:before="89"/>
              <w:ind w:left="1231" w:hanging="1120"/>
              <w:rPr>
                <w:sz w:val="16"/>
              </w:rPr>
            </w:pPr>
            <w:r>
              <w:rPr>
                <w:b/>
                <w:color w:val="FFFFFF"/>
                <w:w w:val="105"/>
                <w:sz w:val="16"/>
              </w:rPr>
              <w:t>Table 593-2</w:t>
            </w:r>
            <w:r>
              <w:rPr>
                <w:b/>
                <w:color w:val="FFFFFF"/>
                <w:spacing w:val="80"/>
                <w:w w:val="105"/>
                <w:sz w:val="16"/>
              </w:rPr>
              <w:t> </w:t>
            </w:r>
            <w:r>
              <w:rPr>
                <w:color w:val="FFFFFF"/>
                <w:w w:val="105"/>
                <w:sz w:val="16"/>
              </w:rPr>
              <w:t>Classification for Epilepsy </w:t>
            </w:r>
            <w:r>
              <w:rPr>
                <w:color w:val="FFFFFF"/>
                <w:w w:val="105"/>
                <w:sz w:val="16"/>
              </w:rPr>
              <w:t>Syndromes Prognosis, and Therapeutic Options</w:t>
            </w:r>
          </w:p>
        </w:tc>
        <w:tc>
          <w:tcPr>
            <w:tcW w:w="4194" w:type="dxa"/>
            <w:gridSpan w:val="3"/>
            <w:shd w:val="clear" w:color="auto" w:fill="231F20"/>
          </w:tcPr>
          <w:p>
            <w:pPr>
              <w:pStyle w:val="TableParagraph"/>
              <w:spacing w:before="89"/>
              <w:ind w:left="27"/>
              <w:rPr>
                <w:sz w:val="16"/>
              </w:rPr>
            </w:pPr>
            <w:r>
              <w:rPr>
                <w:color w:val="FFFFFF"/>
                <w:w w:val="105"/>
                <w:sz w:val="16"/>
              </w:rPr>
              <w:t>with</w:t>
            </w:r>
            <w:r>
              <w:rPr>
                <w:color w:val="FFFFFF"/>
                <w:spacing w:val="7"/>
                <w:w w:val="105"/>
                <w:sz w:val="16"/>
              </w:rPr>
              <w:t> </w:t>
            </w:r>
            <w:r>
              <w:rPr>
                <w:color w:val="FFFFFF"/>
                <w:w w:val="105"/>
                <w:sz w:val="16"/>
              </w:rPr>
              <w:t>an</w:t>
            </w:r>
            <w:r>
              <w:rPr>
                <w:color w:val="FFFFFF"/>
                <w:spacing w:val="7"/>
                <w:w w:val="105"/>
                <w:sz w:val="16"/>
              </w:rPr>
              <w:t> </w:t>
            </w:r>
            <w:r>
              <w:rPr>
                <w:color w:val="FFFFFF"/>
                <w:w w:val="105"/>
                <w:sz w:val="16"/>
              </w:rPr>
              <w:t>Indication</w:t>
            </w:r>
            <w:r>
              <w:rPr>
                <w:color w:val="FFFFFF"/>
                <w:spacing w:val="7"/>
                <w:w w:val="105"/>
                <w:sz w:val="16"/>
              </w:rPr>
              <w:t> </w:t>
            </w:r>
            <w:r>
              <w:rPr>
                <w:color w:val="FFFFFF"/>
                <w:w w:val="105"/>
                <w:sz w:val="16"/>
              </w:rPr>
              <w:t>of</w:t>
            </w:r>
            <w:r>
              <w:rPr>
                <w:color w:val="FFFFFF"/>
                <w:spacing w:val="7"/>
                <w:w w:val="105"/>
                <w:sz w:val="16"/>
              </w:rPr>
              <w:t> </w:t>
            </w:r>
            <w:r>
              <w:rPr>
                <w:color w:val="FFFFFF"/>
                <w:w w:val="105"/>
                <w:sz w:val="16"/>
              </w:rPr>
              <w:t>Age</w:t>
            </w:r>
            <w:r>
              <w:rPr>
                <w:color w:val="FFFFFF"/>
                <w:spacing w:val="7"/>
                <w:w w:val="105"/>
                <w:sz w:val="16"/>
              </w:rPr>
              <w:t> </w:t>
            </w:r>
            <w:r>
              <w:rPr>
                <w:color w:val="FFFFFF"/>
                <w:w w:val="105"/>
                <w:sz w:val="16"/>
              </w:rPr>
              <w:t>of</w:t>
            </w:r>
            <w:r>
              <w:rPr>
                <w:color w:val="FFFFFF"/>
                <w:spacing w:val="7"/>
                <w:w w:val="105"/>
                <w:sz w:val="16"/>
              </w:rPr>
              <w:t> </w:t>
            </w:r>
            <w:r>
              <w:rPr>
                <w:color w:val="FFFFFF"/>
                <w:w w:val="105"/>
                <w:sz w:val="16"/>
              </w:rPr>
              <w:t>Onset,</w:t>
            </w:r>
            <w:r>
              <w:rPr>
                <w:color w:val="FFFFFF"/>
                <w:spacing w:val="7"/>
                <w:w w:val="105"/>
                <w:sz w:val="16"/>
              </w:rPr>
              <w:t> </w:t>
            </w:r>
            <w:r>
              <w:rPr>
                <w:color w:val="FFFFFF"/>
                <w:w w:val="105"/>
                <w:sz w:val="16"/>
              </w:rPr>
              <w:t>Duration</w:t>
            </w:r>
            <w:r>
              <w:rPr>
                <w:color w:val="FFFFFF"/>
                <w:spacing w:val="7"/>
                <w:w w:val="105"/>
                <w:sz w:val="16"/>
              </w:rPr>
              <w:t> </w:t>
            </w:r>
            <w:r>
              <w:rPr>
                <w:color w:val="FFFFFF"/>
                <w:w w:val="105"/>
                <w:sz w:val="16"/>
              </w:rPr>
              <w:t>of</w:t>
            </w:r>
            <w:r>
              <w:rPr>
                <w:color w:val="FFFFFF"/>
                <w:spacing w:val="7"/>
                <w:w w:val="105"/>
                <w:sz w:val="16"/>
              </w:rPr>
              <w:t> </w:t>
            </w:r>
            <w:r>
              <w:rPr>
                <w:color w:val="FFFFFF"/>
                <w:spacing w:val="-2"/>
                <w:w w:val="105"/>
                <w:sz w:val="16"/>
              </w:rPr>
              <w:t>Active</w:t>
            </w:r>
          </w:p>
        </w:tc>
        <w:tc>
          <w:tcPr>
            <w:tcW w:w="1460" w:type="dxa"/>
            <w:shd w:val="clear" w:color="auto" w:fill="231F20"/>
          </w:tcPr>
          <w:p>
            <w:pPr>
              <w:pStyle w:val="TableParagraph"/>
              <w:spacing w:before="89"/>
              <w:ind w:left="38"/>
              <w:rPr>
                <w:sz w:val="16"/>
              </w:rPr>
            </w:pPr>
            <w:r>
              <w:rPr>
                <w:color w:val="FFFFFF"/>
                <w:spacing w:val="-2"/>
                <w:w w:val="105"/>
                <w:sz w:val="16"/>
              </w:rPr>
              <w:t>Epilepsy,</w:t>
            </w:r>
          </w:p>
        </w:tc>
      </w:tr>
      <w:tr>
        <w:trPr>
          <w:trHeight w:val="408" w:hRule="atLeast"/>
        </w:trPr>
        <w:tc>
          <w:tcPr>
            <w:tcW w:w="4088" w:type="dxa"/>
            <w:tcBorders>
              <w:bottom w:val="single" w:sz="4" w:space="0" w:color="231F20"/>
            </w:tcBorders>
            <w:shd w:val="clear" w:color="auto" w:fill="E8F5F1"/>
          </w:tcPr>
          <w:p>
            <w:pPr>
              <w:pStyle w:val="TableParagraph"/>
              <w:tabs>
                <w:tab w:pos="2012" w:val="left" w:leader="none"/>
                <w:tab w:pos="3206" w:val="left" w:leader="none"/>
              </w:tabs>
              <w:spacing w:line="171" w:lineRule="exact" w:before="30"/>
              <w:ind w:left="74"/>
              <w:rPr>
                <w:b/>
                <w:sz w:val="15"/>
              </w:rPr>
            </w:pPr>
            <w:r>
              <w:rPr>
                <w:b/>
                <w:color w:val="231F20"/>
                <w:spacing w:val="-2"/>
                <w:w w:val="110"/>
                <w:sz w:val="15"/>
              </w:rPr>
              <w:t>SPECIFIC</w:t>
            </w:r>
            <w:r>
              <w:rPr>
                <w:b/>
                <w:color w:val="231F20"/>
                <w:sz w:val="15"/>
              </w:rPr>
              <w:tab/>
            </w:r>
            <w:r>
              <w:rPr>
                <w:b/>
                <w:color w:val="231F20"/>
                <w:w w:val="110"/>
                <w:sz w:val="15"/>
              </w:rPr>
              <w:t>AGE</w:t>
            </w:r>
            <w:r>
              <w:rPr>
                <w:b/>
                <w:color w:val="231F20"/>
                <w:spacing w:val="13"/>
                <w:w w:val="110"/>
                <w:sz w:val="15"/>
              </w:rPr>
              <w:t> </w:t>
            </w:r>
            <w:r>
              <w:rPr>
                <w:b/>
                <w:color w:val="231F20"/>
                <w:spacing w:val="-5"/>
                <w:w w:val="110"/>
                <w:sz w:val="15"/>
              </w:rPr>
              <w:t>AT</w:t>
            </w:r>
            <w:r>
              <w:rPr>
                <w:b/>
                <w:color w:val="231F20"/>
                <w:sz w:val="15"/>
              </w:rPr>
              <w:tab/>
            </w:r>
            <w:r>
              <w:rPr>
                <w:b/>
                <w:color w:val="231F20"/>
                <w:w w:val="110"/>
                <w:sz w:val="15"/>
              </w:rPr>
              <w:t>AGE</w:t>
            </w:r>
            <w:r>
              <w:rPr>
                <w:b/>
                <w:color w:val="231F20"/>
                <w:spacing w:val="13"/>
                <w:w w:val="110"/>
                <w:sz w:val="15"/>
              </w:rPr>
              <w:t> </w:t>
            </w:r>
            <w:r>
              <w:rPr>
                <w:b/>
                <w:color w:val="231F20"/>
                <w:spacing w:val="-5"/>
                <w:w w:val="110"/>
                <w:sz w:val="15"/>
              </w:rPr>
              <w:t>AT</w:t>
            </w:r>
          </w:p>
          <w:p>
            <w:pPr>
              <w:pStyle w:val="TableParagraph"/>
              <w:tabs>
                <w:tab w:pos="2041" w:val="left" w:leader="none"/>
                <w:tab w:pos="3072" w:val="left" w:leader="none"/>
              </w:tabs>
              <w:spacing w:line="171" w:lineRule="exact"/>
              <w:ind w:left="74"/>
              <w:rPr>
                <w:b/>
                <w:sz w:val="15"/>
              </w:rPr>
            </w:pPr>
            <w:r>
              <w:rPr>
                <w:b/>
                <w:color w:val="231F20"/>
                <w:spacing w:val="-2"/>
                <w:w w:val="115"/>
                <w:sz w:val="15"/>
              </w:rPr>
              <w:t>SYNDROMES</w:t>
            </w:r>
            <w:r>
              <w:rPr>
                <w:b/>
                <w:color w:val="231F20"/>
                <w:sz w:val="15"/>
              </w:rPr>
              <w:tab/>
            </w:r>
            <w:r>
              <w:rPr>
                <w:b/>
                <w:color w:val="231F20"/>
                <w:spacing w:val="-2"/>
                <w:w w:val="115"/>
                <w:sz w:val="15"/>
              </w:rPr>
              <w:t>ONSET</w:t>
            </w:r>
            <w:r>
              <w:rPr>
                <w:b/>
                <w:color w:val="231F20"/>
                <w:sz w:val="15"/>
              </w:rPr>
              <w:tab/>
            </w:r>
            <w:r>
              <w:rPr>
                <w:b/>
                <w:color w:val="231F20"/>
                <w:spacing w:val="-2"/>
                <w:w w:val="115"/>
                <w:sz w:val="15"/>
              </w:rPr>
              <w:t>REMISSION</w:t>
            </w:r>
          </w:p>
        </w:tc>
        <w:tc>
          <w:tcPr>
            <w:tcW w:w="1141" w:type="dxa"/>
            <w:tcBorders>
              <w:bottom w:val="single" w:sz="4" w:space="0" w:color="231F20"/>
            </w:tcBorders>
            <w:shd w:val="clear" w:color="auto" w:fill="E8F5F1"/>
          </w:tcPr>
          <w:p>
            <w:pPr>
              <w:pStyle w:val="TableParagraph"/>
              <w:spacing w:before="23"/>
              <w:rPr>
                <w:sz w:val="15"/>
              </w:rPr>
            </w:pPr>
          </w:p>
          <w:p>
            <w:pPr>
              <w:pStyle w:val="TableParagraph"/>
              <w:ind w:left="124"/>
              <w:rPr>
                <w:b/>
                <w:sz w:val="15"/>
              </w:rPr>
            </w:pPr>
            <w:r>
              <w:rPr>
                <w:b/>
                <w:color w:val="231F20"/>
                <w:spacing w:val="-2"/>
                <w:w w:val="115"/>
                <w:sz w:val="15"/>
              </w:rPr>
              <w:t>PROGNOSIS</w:t>
            </w:r>
          </w:p>
        </w:tc>
        <w:tc>
          <w:tcPr>
            <w:tcW w:w="1513" w:type="dxa"/>
            <w:tcBorders>
              <w:bottom w:val="single" w:sz="4" w:space="0" w:color="231F20"/>
            </w:tcBorders>
            <w:shd w:val="clear" w:color="auto" w:fill="E8F5F1"/>
          </w:tcPr>
          <w:p>
            <w:pPr>
              <w:pStyle w:val="TableParagraph"/>
              <w:spacing w:line="230" w:lineRule="auto" w:before="35"/>
              <w:ind w:left="272" w:right="153" w:hanging="118"/>
              <w:rPr>
                <w:sz w:val="15"/>
              </w:rPr>
            </w:pPr>
            <w:r>
              <w:rPr>
                <w:b/>
                <w:color w:val="231F20"/>
                <w:spacing w:val="-2"/>
                <w:w w:val="110"/>
                <w:sz w:val="15"/>
              </w:rPr>
              <w:t>MONOTHERAPY </w:t>
            </w:r>
            <w:r>
              <w:rPr>
                <w:b/>
                <w:color w:val="231F20"/>
                <w:w w:val="115"/>
                <w:sz w:val="15"/>
              </w:rPr>
              <w:t>OR ADD-ON</w:t>
            </w:r>
            <w:r>
              <w:rPr>
                <w:color w:val="0080AC"/>
                <w:w w:val="115"/>
                <w:sz w:val="15"/>
              </w:rPr>
              <w:t>*</w:t>
            </w:r>
          </w:p>
        </w:tc>
        <w:tc>
          <w:tcPr>
            <w:tcW w:w="1540" w:type="dxa"/>
            <w:tcBorders>
              <w:bottom w:val="single" w:sz="4" w:space="0" w:color="231F20"/>
            </w:tcBorders>
            <w:shd w:val="clear" w:color="auto" w:fill="E8F5F1"/>
          </w:tcPr>
          <w:p>
            <w:pPr>
              <w:pStyle w:val="TableParagraph"/>
              <w:spacing w:line="230" w:lineRule="auto" w:before="35"/>
              <w:ind w:left="378" w:right="469" w:hanging="14"/>
              <w:rPr>
                <w:sz w:val="15"/>
              </w:rPr>
            </w:pPr>
            <w:r>
              <w:rPr>
                <w:b/>
                <w:color w:val="231F20"/>
                <w:spacing w:val="-2"/>
                <w:sz w:val="15"/>
              </w:rPr>
              <w:t>POSSIBLE </w:t>
            </w:r>
            <w:r>
              <w:rPr>
                <w:b/>
                <w:color w:val="231F20"/>
                <w:w w:val="110"/>
                <w:sz w:val="15"/>
              </w:rPr>
              <w:t>ADD-</w:t>
            </w:r>
            <w:r>
              <w:rPr>
                <w:b/>
                <w:color w:val="231F20"/>
                <w:spacing w:val="-5"/>
                <w:w w:val="110"/>
                <w:sz w:val="15"/>
              </w:rPr>
              <w:t>ON</w:t>
            </w:r>
            <w:r>
              <w:rPr>
                <w:color w:val="0080AC"/>
                <w:spacing w:val="-5"/>
                <w:w w:val="110"/>
                <w:sz w:val="15"/>
                <w:vertAlign w:val="superscript"/>
              </w:rPr>
              <w:t>†</w:t>
            </w:r>
          </w:p>
        </w:tc>
        <w:tc>
          <w:tcPr>
            <w:tcW w:w="1460" w:type="dxa"/>
            <w:tcBorders>
              <w:bottom w:val="single" w:sz="4" w:space="0" w:color="231F20"/>
            </w:tcBorders>
            <w:shd w:val="clear" w:color="auto" w:fill="E8F5F1"/>
          </w:tcPr>
          <w:p>
            <w:pPr>
              <w:pStyle w:val="TableParagraph"/>
              <w:spacing w:before="23"/>
              <w:rPr>
                <w:sz w:val="15"/>
              </w:rPr>
            </w:pPr>
          </w:p>
          <w:p>
            <w:pPr>
              <w:pStyle w:val="TableParagraph"/>
              <w:ind w:left="327"/>
              <w:rPr>
                <w:sz w:val="15"/>
              </w:rPr>
            </w:pPr>
            <w:r>
              <w:rPr>
                <w:b/>
                <w:color w:val="231F20"/>
                <w:spacing w:val="-2"/>
                <w:w w:val="110"/>
                <w:sz w:val="15"/>
              </w:rPr>
              <w:t>SURGERY</w:t>
            </w:r>
            <w:r>
              <w:rPr>
                <w:color w:val="0080AC"/>
                <w:spacing w:val="-2"/>
                <w:w w:val="110"/>
                <w:sz w:val="15"/>
                <w:vertAlign w:val="superscript"/>
              </w:rPr>
              <w:t>†</w:t>
            </w:r>
          </w:p>
        </w:tc>
      </w:tr>
      <w:tr>
        <w:trPr>
          <w:trHeight w:val="1769" w:hRule="atLeast"/>
        </w:trPr>
        <w:tc>
          <w:tcPr>
            <w:tcW w:w="5229" w:type="dxa"/>
            <w:gridSpan w:val="2"/>
            <w:tcBorders>
              <w:top w:val="single" w:sz="4" w:space="0" w:color="231F20"/>
              <w:bottom w:val="single" w:sz="4" w:space="0" w:color="FFFFFF"/>
            </w:tcBorders>
            <w:shd w:val="clear" w:color="auto" w:fill="E8F5F1"/>
          </w:tcPr>
          <w:p>
            <w:pPr>
              <w:pStyle w:val="TableParagraph"/>
              <w:spacing w:line="172" w:lineRule="exact" w:before="43"/>
              <w:ind w:left="74"/>
              <w:rPr>
                <w:sz w:val="15"/>
              </w:rPr>
            </w:pPr>
            <w:r>
              <w:rPr>
                <w:color w:val="231F20"/>
                <w:w w:val="115"/>
                <w:sz w:val="15"/>
              </w:rPr>
              <w:t>EPILEPSIES</w:t>
            </w:r>
            <w:r>
              <w:rPr>
                <w:color w:val="231F20"/>
                <w:spacing w:val="-4"/>
                <w:w w:val="115"/>
                <w:sz w:val="15"/>
              </w:rPr>
              <w:t> </w:t>
            </w:r>
            <w:r>
              <w:rPr>
                <w:color w:val="231F20"/>
                <w:w w:val="115"/>
                <w:sz w:val="15"/>
              </w:rPr>
              <w:t>OF</w:t>
            </w:r>
            <w:r>
              <w:rPr>
                <w:color w:val="231F20"/>
                <w:spacing w:val="-4"/>
                <w:w w:val="115"/>
                <w:sz w:val="15"/>
              </w:rPr>
              <w:t> </w:t>
            </w:r>
            <w:r>
              <w:rPr>
                <w:color w:val="231F20"/>
                <w:w w:val="115"/>
                <w:sz w:val="15"/>
              </w:rPr>
              <w:t>UNKNOWN</w:t>
            </w:r>
            <w:r>
              <w:rPr>
                <w:color w:val="231F20"/>
                <w:spacing w:val="-3"/>
                <w:w w:val="115"/>
                <w:sz w:val="15"/>
              </w:rPr>
              <w:t> </w:t>
            </w:r>
            <w:r>
              <w:rPr>
                <w:color w:val="231F20"/>
                <w:w w:val="115"/>
                <w:sz w:val="15"/>
              </w:rPr>
              <w:t>CAUSE</w:t>
            </w:r>
            <w:r>
              <w:rPr>
                <w:color w:val="231F20"/>
                <w:spacing w:val="-4"/>
                <w:w w:val="115"/>
                <w:sz w:val="15"/>
              </w:rPr>
              <w:t> </w:t>
            </w:r>
            <w:r>
              <w:rPr>
                <w:color w:val="231F20"/>
                <w:w w:val="115"/>
                <w:sz w:val="15"/>
              </w:rPr>
              <w:t>OF</w:t>
            </w:r>
            <w:r>
              <w:rPr>
                <w:color w:val="231F20"/>
                <w:spacing w:val="-4"/>
                <w:w w:val="115"/>
                <w:sz w:val="15"/>
              </w:rPr>
              <w:t> </w:t>
            </w:r>
            <w:r>
              <w:rPr>
                <w:color w:val="231F20"/>
                <w:w w:val="115"/>
                <w:sz w:val="15"/>
              </w:rPr>
              <w:t>INFANCY</w:t>
            </w:r>
            <w:r>
              <w:rPr>
                <w:color w:val="231F20"/>
                <w:spacing w:val="-3"/>
                <w:w w:val="115"/>
                <w:sz w:val="15"/>
              </w:rPr>
              <w:t> </w:t>
            </w:r>
            <w:r>
              <w:rPr>
                <w:color w:val="231F20"/>
                <w:w w:val="115"/>
                <w:sz w:val="15"/>
              </w:rPr>
              <w:t>AND</w:t>
            </w:r>
            <w:r>
              <w:rPr>
                <w:color w:val="231F20"/>
                <w:spacing w:val="-4"/>
                <w:w w:val="115"/>
                <w:sz w:val="15"/>
              </w:rPr>
              <w:t> </w:t>
            </w:r>
            <w:r>
              <w:rPr>
                <w:color w:val="231F20"/>
                <w:spacing w:val="-2"/>
                <w:w w:val="115"/>
                <w:sz w:val="15"/>
              </w:rPr>
              <w:t>CHILDHOOD</w:t>
            </w:r>
          </w:p>
          <w:p>
            <w:pPr>
              <w:pStyle w:val="TableParagraph"/>
              <w:tabs>
                <w:tab w:pos="1825" w:val="left" w:leader="none"/>
                <w:tab w:pos="3017" w:val="left" w:leader="none"/>
                <w:tab w:pos="4212" w:val="left" w:leader="none"/>
              </w:tabs>
              <w:spacing w:line="230" w:lineRule="auto" w:before="3"/>
              <w:ind w:left="186" w:right="629" w:hanging="112"/>
              <w:rPr>
                <w:sz w:val="15"/>
              </w:rPr>
            </w:pPr>
            <w:r>
              <w:rPr>
                <w:color w:val="231F20"/>
                <w:sz w:val="15"/>
              </w:rPr>
              <w:t>Benign infantile</w:t>
              <w:tab/>
            </w:r>
            <w:r>
              <w:rPr>
                <w:color w:val="231F20"/>
                <w:spacing w:val="-2"/>
                <w:sz w:val="15"/>
              </w:rPr>
              <w:t>Infant</w:t>
            </w:r>
            <w:r>
              <w:rPr>
                <w:color w:val="231F20"/>
                <w:sz w:val="15"/>
              </w:rPr>
              <w:tab/>
            </w:r>
            <w:r>
              <w:rPr>
                <w:color w:val="231F20"/>
                <w:spacing w:val="-2"/>
                <w:sz w:val="15"/>
              </w:rPr>
              <w:t>Infant</w:t>
            </w:r>
            <w:r>
              <w:rPr>
                <w:color w:val="231F20"/>
                <w:sz w:val="15"/>
              </w:rPr>
              <w:tab/>
            </w:r>
            <w:r>
              <w:rPr>
                <w:color w:val="231F20"/>
                <w:spacing w:val="-4"/>
                <w:sz w:val="15"/>
              </w:rPr>
              <w:t>Good </w:t>
            </w:r>
            <w:r>
              <w:rPr>
                <w:color w:val="231F20"/>
                <w:sz w:val="15"/>
              </w:rPr>
              <w:t>seizures (nonfamilial)</w:t>
            </w:r>
          </w:p>
          <w:p>
            <w:pPr>
              <w:pStyle w:val="TableParagraph"/>
              <w:tabs>
                <w:tab w:pos="1825" w:val="left" w:leader="none"/>
                <w:tab w:pos="3017" w:val="left" w:leader="none"/>
                <w:tab w:pos="4212" w:val="left" w:leader="none"/>
              </w:tabs>
              <w:spacing w:line="230" w:lineRule="auto" w:before="3"/>
              <w:ind w:left="186" w:right="629" w:hanging="112"/>
              <w:rPr>
                <w:sz w:val="15"/>
              </w:rPr>
            </w:pPr>
            <w:r>
              <w:rPr>
                <w:color w:val="231F20"/>
                <w:sz w:val="15"/>
              </w:rPr>
              <w:t>Benign childhood</w:t>
              <w:tab/>
              <w:t>3-13 yr</w:t>
              <w:tab/>
              <w:t>16 yr</w:t>
              <w:tab/>
            </w:r>
            <w:r>
              <w:rPr>
                <w:color w:val="231F20"/>
                <w:spacing w:val="-4"/>
                <w:sz w:val="15"/>
              </w:rPr>
              <w:t>Good </w:t>
            </w:r>
            <w:r>
              <w:rPr>
                <w:color w:val="231F20"/>
                <w:sz w:val="15"/>
              </w:rPr>
              <w:t>epilepsy with</w:t>
            </w:r>
          </w:p>
          <w:p>
            <w:pPr>
              <w:pStyle w:val="TableParagraph"/>
              <w:spacing w:line="230" w:lineRule="auto" w:before="2"/>
              <w:ind w:left="186" w:right="4003"/>
              <w:rPr>
                <w:sz w:val="15"/>
              </w:rPr>
            </w:pPr>
            <w:r>
              <w:rPr>
                <w:color w:val="231F20"/>
                <w:spacing w:val="-2"/>
                <w:sz w:val="15"/>
              </w:rPr>
              <w:t>centrotemporal spikes</w:t>
            </w:r>
          </w:p>
          <w:p>
            <w:pPr>
              <w:pStyle w:val="TableParagraph"/>
              <w:tabs>
                <w:tab w:pos="1825" w:val="left" w:leader="none"/>
                <w:tab w:pos="3017" w:val="left" w:leader="none"/>
                <w:tab w:pos="3129" w:val="left" w:leader="none"/>
                <w:tab w:pos="4212" w:val="left" w:leader="none"/>
              </w:tabs>
              <w:spacing w:line="230" w:lineRule="auto" w:before="3"/>
              <w:ind w:left="186" w:right="629" w:hanging="112"/>
              <w:rPr>
                <w:sz w:val="15"/>
              </w:rPr>
            </w:pPr>
            <w:r>
              <w:rPr>
                <w:color w:val="231F20"/>
                <w:sz w:val="15"/>
              </w:rPr>
              <w:t>Early and late-onset</w:t>
              <w:tab/>
              <w:t>2-8 yr; 6-17 yr</w:t>
              <w:tab/>
              <w:t>12 yr or</w:t>
              <w:tab/>
            </w:r>
            <w:r>
              <w:rPr>
                <w:color w:val="231F20"/>
                <w:spacing w:val="-4"/>
                <w:sz w:val="15"/>
              </w:rPr>
              <w:t>Good </w:t>
            </w:r>
            <w:r>
              <w:rPr>
                <w:color w:val="231F20"/>
                <w:sz w:val="15"/>
              </w:rPr>
              <w:t>idiopathic occipital</w:t>
              <w:tab/>
              <w:tab/>
              <w:tab/>
            </w:r>
            <w:r>
              <w:rPr>
                <w:color w:val="231F20"/>
                <w:spacing w:val="-2"/>
                <w:sz w:val="15"/>
              </w:rPr>
              <w:t>younger;</w:t>
            </w:r>
          </w:p>
          <w:p>
            <w:pPr>
              <w:pStyle w:val="TableParagraph"/>
              <w:tabs>
                <w:tab w:pos="3129" w:val="left" w:leader="none"/>
              </w:tabs>
              <w:spacing w:line="170" w:lineRule="exact"/>
              <w:ind w:left="186"/>
              <w:rPr>
                <w:sz w:val="15"/>
              </w:rPr>
            </w:pPr>
            <w:r>
              <w:rPr>
                <w:color w:val="231F20"/>
                <w:spacing w:val="-2"/>
                <w:sz w:val="15"/>
              </w:rPr>
              <w:t>epilepsy</w:t>
            </w:r>
            <w:r>
              <w:rPr>
                <w:color w:val="231F20"/>
                <w:sz w:val="15"/>
              </w:rPr>
              <w:tab/>
              <w:t>18</w:t>
            </w:r>
            <w:r>
              <w:rPr>
                <w:color w:val="231F20"/>
                <w:spacing w:val="-3"/>
                <w:sz w:val="15"/>
              </w:rPr>
              <w:t> </w:t>
            </w:r>
            <w:r>
              <w:rPr>
                <w:color w:val="231F20"/>
                <w:spacing w:val="-5"/>
                <w:sz w:val="15"/>
              </w:rPr>
              <w:t>yr</w:t>
            </w:r>
          </w:p>
        </w:tc>
        <w:tc>
          <w:tcPr>
            <w:tcW w:w="1513" w:type="dxa"/>
            <w:tcBorders>
              <w:top w:val="single" w:sz="4" w:space="0" w:color="231F20"/>
              <w:bottom w:val="single" w:sz="4" w:space="0" w:color="FFFFFF"/>
            </w:tcBorders>
            <w:shd w:val="clear" w:color="auto" w:fill="E8F5F1"/>
          </w:tcPr>
          <w:p>
            <w:pPr>
              <w:pStyle w:val="TableParagraph"/>
              <w:spacing w:before="38"/>
              <w:rPr>
                <w:sz w:val="15"/>
              </w:rPr>
            </w:pPr>
          </w:p>
          <w:p>
            <w:pPr>
              <w:pStyle w:val="TableParagraph"/>
              <w:ind w:left="123"/>
              <w:rPr>
                <w:sz w:val="15"/>
              </w:rPr>
            </w:pPr>
            <w:r>
              <w:rPr>
                <w:color w:val="231F20"/>
                <w:spacing w:val="-5"/>
                <w:w w:val="105"/>
                <w:sz w:val="15"/>
              </w:rPr>
              <w:t>PB</w:t>
            </w:r>
          </w:p>
          <w:p>
            <w:pPr>
              <w:pStyle w:val="TableParagraph"/>
              <w:spacing w:line="230" w:lineRule="auto" w:before="169"/>
              <w:ind w:left="236" w:right="286" w:hanging="112"/>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spacing w:val="-4"/>
                <w:w w:val="105"/>
                <w:sz w:val="15"/>
              </w:rPr>
              <w:t>VPA</w:t>
            </w:r>
          </w:p>
          <w:p>
            <w:pPr>
              <w:pStyle w:val="TableParagraph"/>
              <w:spacing w:before="164"/>
              <w:rPr>
                <w:sz w:val="15"/>
              </w:rPr>
            </w:pPr>
          </w:p>
          <w:p>
            <w:pPr>
              <w:pStyle w:val="TableParagraph"/>
              <w:spacing w:line="230" w:lineRule="auto" w:before="1"/>
              <w:ind w:left="236" w:right="286" w:hanging="112"/>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spacing w:val="-4"/>
                <w:w w:val="105"/>
                <w:sz w:val="15"/>
              </w:rPr>
              <w:t>VPA</w:t>
            </w:r>
          </w:p>
        </w:tc>
        <w:tc>
          <w:tcPr>
            <w:tcW w:w="1540" w:type="dxa"/>
            <w:tcBorders>
              <w:top w:val="single" w:sz="4" w:space="0" w:color="231F20"/>
              <w:bottom w:val="single" w:sz="4" w:space="0" w:color="FFFFFF"/>
            </w:tcBorders>
            <w:shd w:val="clear" w:color="auto" w:fill="E8F5F1"/>
          </w:tcPr>
          <w:p>
            <w:pPr>
              <w:pStyle w:val="TableParagraph"/>
              <w:spacing w:before="38"/>
              <w:rPr>
                <w:sz w:val="15"/>
              </w:rPr>
            </w:pPr>
          </w:p>
          <w:p>
            <w:pPr>
              <w:pStyle w:val="TableParagraph"/>
              <w:ind w:left="124"/>
              <w:rPr>
                <w:sz w:val="15"/>
              </w:rPr>
            </w:pPr>
            <w:r>
              <w:rPr>
                <w:color w:val="231F20"/>
                <w:spacing w:val="-10"/>
                <w:w w:val="135"/>
                <w:sz w:val="15"/>
              </w:rPr>
              <w:t>—</w:t>
            </w:r>
          </w:p>
          <w:p>
            <w:pPr>
              <w:pStyle w:val="TableParagraph"/>
              <w:spacing w:before="163"/>
              <w:ind w:left="124"/>
              <w:rPr>
                <w:sz w:val="15"/>
              </w:rPr>
            </w:pPr>
            <w:r>
              <w:rPr>
                <w:color w:val="231F20"/>
                <w:spacing w:val="-10"/>
                <w:w w:val="135"/>
                <w:sz w:val="15"/>
              </w:rPr>
              <w:t>—</w:t>
            </w:r>
          </w:p>
          <w:p>
            <w:pPr>
              <w:pStyle w:val="TableParagraph"/>
              <w:rPr>
                <w:sz w:val="15"/>
              </w:rPr>
            </w:pPr>
          </w:p>
          <w:p>
            <w:pPr>
              <w:pStyle w:val="TableParagraph"/>
              <w:spacing w:before="151"/>
              <w:rPr>
                <w:sz w:val="15"/>
              </w:rPr>
            </w:pPr>
          </w:p>
          <w:p>
            <w:pPr>
              <w:pStyle w:val="TableParagraph"/>
              <w:ind w:left="124"/>
              <w:rPr>
                <w:sz w:val="15"/>
              </w:rPr>
            </w:pPr>
            <w:r>
              <w:rPr>
                <w:color w:val="231F20"/>
                <w:spacing w:val="-10"/>
                <w:w w:val="135"/>
                <w:sz w:val="15"/>
              </w:rPr>
              <w:t>—</w:t>
            </w:r>
          </w:p>
        </w:tc>
        <w:tc>
          <w:tcPr>
            <w:tcW w:w="1460" w:type="dxa"/>
            <w:tcBorders>
              <w:top w:val="single" w:sz="4" w:space="0" w:color="231F20"/>
              <w:bottom w:val="single" w:sz="4" w:space="0" w:color="FFFFFF"/>
            </w:tcBorders>
            <w:shd w:val="clear" w:color="auto" w:fill="E8F5F1"/>
          </w:tcPr>
          <w:p>
            <w:pPr>
              <w:pStyle w:val="TableParagraph"/>
              <w:spacing w:before="38"/>
              <w:rPr>
                <w:sz w:val="15"/>
              </w:rPr>
            </w:pPr>
          </w:p>
          <w:p>
            <w:pPr>
              <w:pStyle w:val="TableParagraph"/>
              <w:spacing w:line="465" w:lineRule="auto"/>
              <w:ind w:left="16" w:right="1231" w:hanging="1"/>
              <w:rPr>
                <w:sz w:val="15"/>
              </w:rPr>
            </w:pPr>
            <w:r>
              <w:rPr>
                <w:color w:val="231F20"/>
                <w:spacing w:val="-6"/>
                <w:w w:val="115"/>
                <w:sz w:val="15"/>
              </w:rPr>
              <w:t>No </w:t>
            </w:r>
            <w:r>
              <w:rPr>
                <w:color w:val="231F20"/>
                <w:spacing w:val="-5"/>
                <w:w w:val="115"/>
                <w:sz w:val="15"/>
              </w:rPr>
              <w:t>No</w:t>
            </w:r>
          </w:p>
          <w:p>
            <w:pPr>
              <w:pStyle w:val="TableParagraph"/>
              <w:spacing w:before="161"/>
              <w:rPr>
                <w:sz w:val="15"/>
              </w:rPr>
            </w:pPr>
          </w:p>
          <w:p>
            <w:pPr>
              <w:pStyle w:val="TableParagraph"/>
              <w:ind w:left="16"/>
              <w:rPr>
                <w:sz w:val="15"/>
              </w:rPr>
            </w:pPr>
            <w:r>
              <w:rPr>
                <w:color w:val="231F20"/>
                <w:spacing w:val="-5"/>
                <w:w w:val="115"/>
                <w:sz w:val="15"/>
              </w:rPr>
              <w:t>No</w:t>
            </w:r>
          </w:p>
        </w:tc>
      </w:tr>
      <w:tr>
        <w:trPr>
          <w:trHeight w:val="2444" w:hRule="atLeast"/>
        </w:trPr>
        <w:tc>
          <w:tcPr>
            <w:tcW w:w="4088" w:type="dxa"/>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FAMILIAL</w:t>
            </w:r>
            <w:r>
              <w:rPr>
                <w:color w:val="231F20"/>
                <w:spacing w:val="22"/>
                <w:w w:val="110"/>
                <w:sz w:val="15"/>
              </w:rPr>
              <w:t> </w:t>
            </w:r>
            <w:r>
              <w:rPr>
                <w:color w:val="231F20"/>
                <w:w w:val="110"/>
                <w:sz w:val="15"/>
              </w:rPr>
              <w:t>(AUTOSOMAL</w:t>
            </w:r>
            <w:r>
              <w:rPr>
                <w:color w:val="231F20"/>
                <w:spacing w:val="23"/>
                <w:w w:val="110"/>
                <w:sz w:val="15"/>
              </w:rPr>
              <w:t> </w:t>
            </w:r>
            <w:r>
              <w:rPr>
                <w:color w:val="231F20"/>
                <w:w w:val="110"/>
                <w:sz w:val="15"/>
              </w:rPr>
              <w:t>DOMINANT)</w:t>
            </w:r>
            <w:r>
              <w:rPr>
                <w:color w:val="231F20"/>
                <w:spacing w:val="23"/>
                <w:w w:val="110"/>
                <w:sz w:val="15"/>
              </w:rPr>
              <w:t> </w:t>
            </w:r>
            <w:r>
              <w:rPr>
                <w:color w:val="231F20"/>
                <w:spacing w:val="-2"/>
                <w:w w:val="110"/>
                <w:sz w:val="15"/>
              </w:rPr>
              <w:t>EPILEPSIES</w:t>
            </w:r>
          </w:p>
          <w:p>
            <w:pPr>
              <w:pStyle w:val="TableParagraph"/>
              <w:tabs>
                <w:tab w:pos="1825" w:val="left" w:leader="none"/>
                <w:tab w:pos="1937" w:val="left" w:leader="none"/>
                <w:tab w:pos="3017" w:val="left" w:leader="none"/>
                <w:tab w:pos="3129" w:val="left" w:leader="none"/>
              </w:tabs>
              <w:spacing w:line="230" w:lineRule="auto" w:before="3"/>
              <w:ind w:left="186" w:right="121" w:hanging="112"/>
              <w:rPr>
                <w:sz w:val="15"/>
              </w:rPr>
            </w:pPr>
            <w:r>
              <w:rPr>
                <w:color w:val="231F20"/>
                <w:sz w:val="15"/>
              </w:rPr>
              <w:t>Benign familial</w:t>
              <w:tab/>
              <w:t>Newborn to</w:t>
              <w:tab/>
              <w:t>Newborn to neonatal convulsions</w:t>
              <w:tab/>
              <w:tab/>
              <w:t>young infant</w:t>
              <w:tab/>
              <w:tab/>
              <w:t>young</w:t>
            </w:r>
            <w:r>
              <w:rPr>
                <w:color w:val="231F20"/>
                <w:spacing w:val="-12"/>
                <w:sz w:val="15"/>
              </w:rPr>
              <w:t> </w:t>
            </w:r>
            <w:r>
              <w:rPr>
                <w:color w:val="231F20"/>
                <w:sz w:val="15"/>
              </w:rPr>
              <w:t>infant</w:t>
            </w:r>
          </w:p>
          <w:p>
            <w:pPr>
              <w:pStyle w:val="TableParagraph"/>
              <w:tabs>
                <w:tab w:pos="1824" w:val="left" w:leader="none"/>
                <w:tab w:pos="3017" w:val="left" w:leader="none"/>
              </w:tabs>
              <w:spacing w:line="230" w:lineRule="auto" w:before="3"/>
              <w:ind w:left="186" w:right="692" w:hanging="112"/>
              <w:rPr>
                <w:sz w:val="15"/>
              </w:rPr>
            </w:pPr>
            <w:r>
              <w:rPr>
                <w:color w:val="231F20"/>
                <w:sz w:val="15"/>
              </w:rPr>
              <w:t>Benign familial</w:t>
              <w:tab/>
            </w:r>
            <w:r>
              <w:rPr>
                <w:color w:val="231F20"/>
                <w:spacing w:val="-2"/>
                <w:sz w:val="15"/>
              </w:rPr>
              <w:t>Infant</w:t>
            </w:r>
            <w:r>
              <w:rPr>
                <w:color w:val="231F20"/>
                <w:sz w:val="15"/>
              </w:rPr>
              <w:tab/>
            </w:r>
            <w:r>
              <w:rPr>
                <w:color w:val="231F20"/>
                <w:spacing w:val="-6"/>
                <w:sz w:val="15"/>
              </w:rPr>
              <w:t>Infant</w:t>
            </w:r>
            <w:r>
              <w:rPr>
                <w:color w:val="231F20"/>
                <w:sz w:val="15"/>
              </w:rPr>
              <w:t> infantile convulsions</w:t>
            </w:r>
          </w:p>
          <w:p>
            <w:pPr>
              <w:pStyle w:val="TableParagraph"/>
              <w:tabs>
                <w:tab w:pos="1824" w:val="left" w:leader="none"/>
              </w:tabs>
              <w:spacing w:line="230" w:lineRule="auto" w:before="3"/>
              <w:ind w:left="185" w:right="1558" w:hanging="112"/>
              <w:rPr>
                <w:sz w:val="15"/>
              </w:rPr>
            </w:pPr>
            <w:r>
              <w:rPr>
                <w:color w:val="231F20"/>
                <w:sz w:val="15"/>
              </w:rPr>
              <w:t>Autosomal dominant</w:t>
              <w:tab/>
            </w:r>
            <w:r>
              <w:rPr>
                <w:color w:val="231F20"/>
                <w:spacing w:val="-2"/>
                <w:sz w:val="15"/>
              </w:rPr>
              <w:t>Childhood </w:t>
            </w:r>
            <w:r>
              <w:rPr>
                <w:color w:val="231F20"/>
                <w:sz w:val="15"/>
              </w:rPr>
              <w:t>nocturnal frontal</w:t>
            </w:r>
          </w:p>
          <w:p>
            <w:pPr>
              <w:pStyle w:val="TableParagraph"/>
              <w:spacing w:line="168" w:lineRule="exact"/>
              <w:ind w:left="185"/>
              <w:rPr>
                <w:sz w:val="15"/>
              </w:rPr>
            </w:pPr>
            <w:r>
              <w:rPr>
                <w:color w:val="231F20"/>
                <w:sz w:val="15"/>
              </w:rPr>
              <w:t>lobe</w:t>
            </w:r>
            <w:r>
              <w:rPr>
                <w:color w:val="231F20"/>
                <w:spacing w:val="6"/>
                <w:sz w:val="15"/>
              </w:rPr>
              <w:t> </w:t>
            </w:r>
            <w:r>
              <w:rPr>
                <w:color w:val="231F20"/>
                <w:spacing w:val="-2"/>
                <w:sz w:val="15"/>
              </w:rPr>
              <w:t>epilepsy</w:t>
            </w:r>
          </w:p>
          <w:p>
            <w:pPr>
              <w:pStyle w:val="TableParagraph"/>
              <w:tabs>
                <w:tab w:pos="1824" w:val="left" w:leader="none"/>
              </w:tabs>
              <w:spacing w:line="169" w:lineRule="exact"/>
              <w:ind w:left="73"/>
              <w:rPr>
                <w:sz w:val="15"/>
              </w:rPr>
            </w:pPr>
            <w:r>
              <w:rPr>
                <w:color w:val="231F20"/>
                <w:spacing w:val="-4"/>
                <w:sz w:val="15"/>
              </w:rPr>
              <w:t>Familial</w:t>
            </w:r>
            <w:r>
              <w:rPr>
                <w:color w:val="231F20"/>
                <w:spacing w:val="6"/>
                <w:sz w:val="15"/>
              </w:rPr>
              <w:t> </w:t>
            </w:r>
            <w:r>
              <w:rPr>
                <w:color w:val="231F20"/>
                <w:spacing w:val="-2"/>
                <w:sz w:val="15"/>
              </w:rPr>
              <w:t>lateral</w:t>
            </w:r>
            <w:r>
              <w:rPr>
                <w:color w:val="231F20"/>
                <w:sz w:val="15"/>
              </w:rPr>
              <w:tab/>
              <w:t>Childhood</w:t>
            </w:r>
            <w:r>
              <w:rPr>
                <w:color w:val="231F20"/>
                <w:spacing w:val="34"/>
                <w:sz w:val="15"/>
              </w:rPr>
              <w:t> </w:t>
            </w:r>
            <w:r>
              <w:rPr>
                <w:color w:val="231F20"/>
                <w:spacing w:val="-7"/>
                <w:sz w:val="15"/>
              </w:rPr>
              <w:t>to</w:t>
            </w:r>
          </w:p>
          <w:p>
            <w:pPr>
              <w:pStyle w:val="TableParagraph"/>
              <w:tabs>
                <w:tab w:pos="1936" w:val="left" w:leader="none"/>
              </w:tabs>
              <w:spacing w:line="230" w:lineRule="auto" w:before="3"/>
              <w:ind w:left="185" w:right="1317"/>
              <w:rPr>
                <w:sz w:val="15"/>
              </w:rPr>
            </w:pPr>
            <w:r>
              <w:rPr>
                <w:color w:val="231F20"/>
                <w:sz w:val="15"/>
              </w:rPr>
              <w:t>temporal lobe</w:t>
              <w:tab/>
            </w:r>
            <w:r>
              <w:rPr>
                <w:color w:val="231F20"/>
                <w:spacing w:val="-2"/>
                <w:sz w:val="15"/>
              </w:rPr>
              <w:t>adolescence epilepsy</w:t>
            </w:r>
          </w:p>
          <w:p>
            <w:pPr>
              <w:pStyle w:val="TableParagraph"/>
              <w:tabs>
                <w:tab w:pos="1823" w:val="left" w:leader="none"/>
              </w:tabs>
              <w:spacing w:line="168" w:lineRule="exact"/>
              <w:ind w:left="73"/>
              <w:rPr>
                <w:sz w:val="15"/>
              </w:rPr>
            </w:pPr>
            <w:r>
              <w:rPr>
                <w:color w:val="231F20"/>
                <w:spacing w:val="-2"/>
                <w:sz w:val="15"/>
              </w:rPr>
              <w:t>Generalized</w:t>
            </w:r>
            <w:r>
              <w:rPr>
                <w:color w:val="231F20"/>
                <w:sz w:val="15"/>
              </w:rPr>
              <w:tab/>
              <w:t>Childhood</w:t>
            </w:r>
            <w:r>
              <w:rPr>
                <w:color w:val="231F20"/>
                <w:spacing w:val="34"/>
                <w:sz w:val="15"/>
              </w:rPr>
              <w:t> </w:t>
            </w:r>
            <w:r>
              <w:rPr>
                <w:color w:val="231F20"/>
                <w:spacing w:val="-5"/>
                <w:sz w:val="15"/>
              </w:rPr>
              <w:t>to</w:t>
            </w:r>
          </w:p>
          <w:p>
            <w:pPr>
              <w:pStyle w:val="TableParagraph"/>
              <w:tabs>
                <w:tab w:pos="1935" w:val="left" w:leader="none"/>
              </w:tabs>
              <w:spacing w:line="230" w:lineRule="auto" w:before="2"/>
              <w:ind w:left="185" w:right="1317"/>
              <w:rPr>
                <w:sz w:val="15"/>
              </w:rPr>
            </w:pPr>
            <w:r>
              <w:rPr>
                <w:color w:val="231F20"/>
                <w:sz w:val="15"/>
              </w:rPr>
              <w:t>epilepsies with</w:t>
              <w:tab/>
            </w:r>
            <w:r>
              <w:rPr>
                <w:color w:val="231F20"/>
                <w:spacing w:val="-2"/>
                <w:sz w:val="15"/>
              </w:rPr>
              <w:t>adolescence </w:t>
            </w:r>
            <w:r>
              <w:rPr>
                <w:color w:val="231F20"/>
                <w:sz w:val="15"/>
              </w:rPr>
              <w:t>febrile seizures plus</w:t>
            </w:r>
          </w:p>
        </w:tc>
        <w:tc>
          <w:tcPr>
            <w:tcW w:w="1141" w:type="dxa"/>
            <w:tcBorders>
              <w:top w:val="single" w:sz="4" w:space="0" w:color="FFFFFF"/>
              <w:bottom w:val="single" w:sz="4" w:space="0" w:color="FFFFFF"/>
            </w:tcBorders>
            <w:shd w:val="clear" w:color="auto" w:fill="E8F5F1"/>
          </w:tcPr>
          <w:p>
            <w:pPr>
              <w:pStyle w:val="TableParagraph"/>
              <w:spacing w:before="38"/>
              <w:rPr>
                <w:sz w:val="15"/>
              </w:rPr>
            </w:pPr>
          </w:p>
          <w:p>
            <w:pPr>
              <w:pStyle w:val="TableParagraph"/>
              <w:spacing w:line="465" w:lineRule="auto"/>
              <w:ind w:left="123" w:right="473"/>
              <w:rPr>
                <w:sz w:val="15"/>
              </w:rPr>
            </w:pPr>
            <w:r>
              <w:rPr>
                <w:color w:val="231F20"/>
                <w:spacing w:val="-4"/>
                <w:w w:val="105"/>
                <w:sz w:val="15"/>
              </w:rPr>
              <w:t>Good Good </w:t>
            </w:r>
            <w:r>
              <w:rPr>
                <w:color w:val="231F20"/>
                <w:spacing w:val="-5"/>
                <w:sz w:val="15"/>
              </w:rPr>
              <w:t>Variable</w:t>
            </w:r>
          </w:p>
          <w:p>
            <w:pPr>
              <w:pStyle w:val="TableParagraph"/>
              <w:spacing w:line="696" w:lineRule="auto" w:before="167"/>
              <w:ind w:left="123" w:right="473"/>
              <w:rPr>
                <w:sz w:val="15"/>
              </w:rPr>
            </w:pPr>
            <w:r>
              <w:rPr>
                <w:color w:val="231F20"/>
                <w:spacing w:val="-4"/>
                <w:sz w:val="15"/>
              </w:rPr>
              <w:t>Variable </w:t>
            </w:r>
            <w:r>
              <w:rPr>
                <w:color w:val="231F20"/>
                <w:spacing w:val="-5"/>
                <w:sz w:val="15"/>
              </w:rPr>
              <w:t>Variable</w:t>
            </w:r>
          </w:p>
        </w:tc>
        <w:tc>
          <w:tcPr>
            <w:tcW w:w="1513" w:type="dxa"/>
            <w:tcBorders>
              <w:top w:val="single" w:sz="4" w:space="0" w:color="FFFFFF"/>
              <w:bottom w:val="single" w:sz="4" w:space="0" w:color="FFFFFF"/>
            </w:tcBorders>
            <w:shd w:val="clear" w:color="auto" w:fill="E8F5F1"/>
          </w:tcPr>
          <w:p>
            <w:pPr>
              <w:pStyle w:val="TableParagraph"/>
              <w:spacing w:before="38"/>
              <w:rPr>
                <w:sz w:val="15"/>
              </w:rPr>
            </w:pPr>
          </w:p>
          <w:p>
            <w:pPr>
              <w:pStyle w:val="TableParagraph"/>
              <w:ind w:left="123"/>
              <w:rPr>
                <w:sz w:val="15"/>
              </w:rPr>
            </w:pPr>
            <w:r>
              <w:rPr>
                <w:color w:val="231F20"/>
                <w:spacing w:val="-5"/>
                <w:w w:val="105"/>
                <w:sz w:val="15"/>
              </w:rPr>
              <w:t>PB</w:t>
            </w:r>
          </w:p>
          <w:p>
            <w:pPr>
              <w:pStyle w:val="TableParagraph"/>
              <w:spacing w:before="163"/>
              <w:ind w:left="123"/>
              <w:rPr>
                <w:sz w:val="15"/>
              </w:rPr>
            </w:pPr>
            <w:r>
              <w:rPr>
                <w:color w:val="231F20"/>
                <w:w w:val="105"/>
                <w:sz w:val="15"/>
              </w:rPr>
              <w:t>CBZ,</w:t>
            </w:r>
            <w:r>
              <w:rPr>
                <w:color w:val="231F20"/>
                <w:spacing w:val="-11"/>
                <w:w w:val="105"/>
                <w:sz w:val="15"/>
              </w:rPr>
              <w:t> </w:t>
            </w:r>
            <w:r>
              <w:rPr>
                <w:color w:val="231F20"/>
                <w:spacing w:val="-5"/>
                <w:w w:val="105"/>
                <w:sz w:val="15"/>
              </w:rPr>
              <w:t>PB</w:t>
            </w:r>
          </w:p>
          <w:p>
            <w:pPr>
              <w:pStyle w:val="TableParagraph"/>
              <w:spacing w:line="230" w:lineRule="auto" w:before="169"/>
              <w:ind w:left="235" w:right="286" w:hanging="112"/>
              <w:rPr>
                <w:sz w:val="15"/>
              </w:rPr>
            </w:pPr>
            <w:r>
              <w:rPr>
                <w:color w:val="231F20"/>
                <w:sz w:val="15"/>
              </w:rPr>
              <w:t>CBZ, GBP, </w:t>
            </w:r>
            <w:r>
              <w:rPr>
                <w:color w:val="231F20"/>
                <w:sz w:val="15"/>
              </w:rPr>
              <w:t>OXC, PHT, TPM</w:t>
            </w:r>
          </w:p>
          <w:p>
            <w:pPr>
              <w:pStyle w:val="TableParagraph"/>
              <w:spacing w:line="230" w:lineRule="auto" w:before="171"/>
              <w:ind w:left="234" w:hanging="112"/>
              <w:rPr>
                <w:sz w:val="15"/>
              </w:rPr>
            </w:pPr>
            <w:r>
              <w:rPr>
                <w:color w:val="231F20"/>
                <w:w w:val="105"/>
                <w:sz w:val="15"/>
              </w:rPr>
              <w:t>CBZ,</w:t>
            </w:r>
            <w:r>
              <w:rPr>
                <w:color w:val="231F20"/>
                <w:spacing w:val="-3"/>
                <w:w w:val="105"/>
                <w:sz w:val="15"/>
              </w:rPr>
              <w:t> </w:t>
            </w:r>
            <w:r>
              <w:rPr>
                <w:color w:val="231F20"/>
                <w:w w:val="105"/>
                <w:sz w:val="15"/>
              </w:rPr>
              <w:t>GBP,</w:t>
            </w:r>
            <w:r>
              <w:rPr>
                <w:color w:val="231F20"/>
                <w:spacing w:val="-3"/>
                <w:w w:val="105"/>
                <w:sz w:val="15"/>
              </w:rPr>
              <w:t> </w:t>
            </w:r>
            <w:r>
              <w:rPr>
                <w:color w:val="231F20"/>
                <w:w w:val="105"/>
                <w:sz w:val="15"/>
              </w:rPr>
              <w:t>OXC, </w:t>
            </w:r>
            <w:r>
              <w:rPr>
                <w:color w:val="231F20"/>
                <w:sz w:val="15"/>
              </w:rPr>
              <w:t>PHT,</w:t>
            </w:r>
            <w:r>
              <w:rPr>
                <w:color w:val="231F20"/>
                <w:spacing w:val="2"/>
                <w:sz w:val="15"/>
              </w:rPr>
              <w:t> </w:t>
            </w:r>
            <w:r>
              <w:rPr>
                <w:color w:val="231F20"/>
                <w:sz w:val="15"/>
              </w:rPr>
              <w:t>TPM,</w:t>
            </w:r>
            <w:r>
              <w:rPr>
                <w:color w:val="231F20"/>
                <w:spacing w:val="3"/>
                <w:sz w:val="15"/>
              </w:rPr>
              <w:t> </w:t>
            </w:r>
            <w:r>
              <w:rPr>
                <w:color w:val="231F20"/>
                <w:spacing w:val="-5"/>
                <w:sz w:val="15"/>
              </w:rPr>
              <w:t>VPA</w:t>
            </w:r>
          </w:p>
          <w:p>
            <w:pPr>
              <w:pStyle w:val="TableParagraph"/>
              <w:spacing w:line="230" w:lineRule="auto" w:before="171"/>
              <w:ind w:left="234" w:right="286" w:hanging="112"/>
              <w:rPr>
                <w:sz w:val="15"/>
              </w:rPr>
            </w:pPr>
            <w:r>
              <w:rPr>
                <w:color w:val="231F20"/>
                <w:w w:val="105"/>
                <w:sz w:val="15"/>
              </w:rPr>
              <w:t>ESM,</w:t>
            </w:r>
            <w:r>
              <w:rPr>
                <w:color w:val="231F20"/>
                <w:spacing w:val="-12"/>
                <w:w w:val="105"/>
                <w:sz w:val="15"/>
              </w:rPr>
              <w:t> </w:t>
            </w:r>
            <w:r>
              <w:rPr>
                <w:color w:val="231F20"/>
                <w:w w:val="105"/>
                <w:sz w:val="15"/>
              </w:rPr>
              <w:t>LTG,</w:t>
            </w:r>
            <w:r>
              <w:rPr>
                <w:color w:val="231F20"/>
                <w:spacing w:val="-12"/>
                <w:w w:val="105"/>
                <w:sz w:val="15"/>
              </w:rPr>
              <w:t> </w:t>
            </w:r>
            <w:r>
              <w:rPr>
                <w:color w:val="231F20"/>
                <w:w w:val="105"/>
                <w:sz w:val="15"/>
              </w:rPr>
              <w:t>TPM, </w:t>
            </w:r>
            <w:r>
              <w:rPr>
                <w:color w:val="231F20"/>
                <w:spacing w:val="-4"/>
                <w:w w:val="105"/>
                <w:sz w:val="15"/>
              </w:rPr>
              <w:t>VPA</w:t>
            </w:r>
          </w:p>
        </w:tc>
        <w:tc>
          <w:tcPr>
            <w:tcW w:w="1540" w:type="dxa"/>
            <w:tcBorders>
              <w:top w:val="single" w:sz="4" w:space="0" w:color="FFFFFF"/>
              <w:bottom w:val="single" w:sz="4" w:space="0" w:color="FFFFFF"/>
            </w:tcBorders>
            <w:shd w:val="clear" w:color="auto" w:fill="E8F5F1"/>
          </w:tcPr>
          <w:p>
            <w:pPr>
              <w:pStyle w:val="TableParagraph"/>
              <w:spacing w:before="38"/>
              <w:rPr>
                <w:sz w:val="15"/>
              </w:rPr>
            </w:pPr>
          </w:p>
          <w:p>
            <w:pPr>
              <w:pStyle w:val="TableParagraph"/>
              <w:ind w:left="124"/>
              <w:rPr>
                <w:sz w:val="15"/>
              </w:rPr>
            </w:pPr>
            <w:r>
              <w:rPr>
                <w:color w:val="231F20"/>
                <w:spacing w:val="-10"/>
                <w:w w:val="135"/>
                <w:sz w:val="15"/>
              </w:rPr>
              <w:t>—</w:t>
            </w:r>
          </w:p>
          <w:p>
            <w:pPr>
              <w:pStyle w:val="TableParagraph"/>
              <w:spacing w:before="163"/>
              <w:ind w:left="123"/>
              <w:rPr>
                <w:sz w:val="15"/>
              </w:rPr>
            </w:pPr>
            <w:r>
              <w:rPr>
                <w:color w:val="231F20"/>
                <w:spacing w:val="-10"/>
                <w:w w:val="135"/>
                <w:sz w:val="15"/>
              </w:rPr>
              <w:t>—</w:t>
            </w:r>
          </w:p>
          <w:p>
            <w:pPr>
              <w:pStyle w:val="TableParagraph"/>
              <w:spacing w:line="230" w:lineRule="auto" w:before="169"/>
              <w:ind w:left="235" w:right="297" w:hanging="112"/>
              <w:rPr>
                <w:sz w:val="15"/>
              </w:rPr>
            </w:pPr>
            <w:r>
              <w:rPr>
                <w:color w:val="231F20"/>
                <w:sz w:val="15"/>
              </w:rPr>
              <w:t>CLB,</w:t>
            </w:r>
            <w:r>
              <w:rPr>
                <w:color w:val="231F20"/>
                <w:spacing w:val="-12"/>
                <w:sz w:val="15"/>
              </w:rPr>
              <w:t> </w:t>
            </w:r>
            <w:r>
              <w:rPr>
                <w:color w:val="231F20"/>
                <w:sz w:val="15"/>
              </w:rPr>
              <w:t>LEV,</w:t>
            </w:r>
            <w:r>
              <w:rPr>
                <w:color w:val="231F20"/>
                <w:spacing w:val="-11"/>
                <w:sz w:val="15"/>
              </w:rPr>
              <w:t> </w:t>
            </w:r>
            <w:r>
              <w:rPr>
                <w:color w:val="231F20"/>
                <w:sz w:val="15"/>
              </w:rPr>
              <w:t>PB, </w:t>
            </w:r>
            <w:r>
              <w:rPr>
                <w:color w:val="231F20"/>
                <w:spacing w:val="-4"/>
                <w:sz w:val="15"/>
              </w:rPr>
              <w:t>PHT</w:t>
            </w:r>
          </w:p>
          <w:p>
            <w:pPr>
              <w:pStyle w:val="TableParagraph"/>
              <w:spacing w:line="230" w:lineRule="auto" w:before="171"/>
              <w:ind w:left="235" w:right="297" w:hanging="112"/>
              <w:rPr>
                <w:sz w:val="15"/>
              </w:rPr>
            </w:pPr>
            <w:r>
              <w:rPr>
                <w:color w:val="231F20"/>
                <w:sz w:val="15"/>
              </w:rPr>
              <w:t>CLB,</w:t>
            </w:r>
            <w:r>
              <w:rPr>
                <w:color w:val="231F20"/>
                <w:spacing w:val="-12"/>
                <w:sz w:val="15"/>
              </w:rPr>
              <w:t> </w:t>
            </w:r>
            <w:r>
              <w:rPr>
                <w:color w:val="231F20"/>
                <w:sz w:val="15"/>
              </w:rPr>
              <w:t>LEV,</w:t>
            </w:r>
            <w:r>
              <w:rPr>
                <w:color w:val="231F20"/>
                <w:spacing w:val="-11"/>
                <w:sz w:val="15"/>
              </w:rPr>
              <w:t> </w:t>
            </w:r>
            <w:r>
              <w:rPr>
                <w:color w:val="231F20"/>
                <w:sz w:val="15"/>
              </w:rPr>
              <w:t>PB, </w:t>
            </w:r>
            <w:r>
              <w:rPr>
                <w:color w:val="231F20"/>
                <w:spacing w:val="-4"/>
                <w:sz w:val="15"/>
              </w:rPr>
              <w:t>PHT</w:t>
            </w:r>
          </w:p>
          <w:p>
            <w:pPr>
              <w:pStyle w:val="TableParagraph"/>
              <w:spacing w:before="165"/>
              <w:ind w:left="122"/>
              <w:rPr>
                <w:sz w:val="15"/>
              </w:rPr>
            </w:pPr>
            <w:r>
              <w:rPr>
                <w:color w:val="231F20"/>
                <w:sz w:val="15"/>
              </w:rPr>
              <w:t>CLB,</w:t>
            </w:r>
            <w:r>
              <w:rPr>
                <w:color w:val="231F20"/>
                <w:spacing w:val="7"/>
                <w:sz w:val="15"/>
              </w:rPr>
              <w:t> </w:t>
            </w:r>
            <w:r>
              <w:rPr>
                <w:color w:val="231F20"/>
                <w:spacing w:val="-5"/>
                <w:sz w:val="15"/>
              </w:rPr>
              <w:t>LEV</w:t>
            </w:r>
          </w:p>
        </w:tc>
        <w:tc>
          <w:tcPr>
            <w:tcW w:w="1460" w:type="dxa"/>
            <w:tcBorders>
              <w:top w:val="single" w:sz="4" w:space="0" w:color="FFFFFF"/>
              <w:bottom w:val="single" w:sz="4" w:space="0" w:color="FFFFFF"/>
            </w:tcBorders>
            <w:shd w:val="clear" w:color="auto" w:fill="E8F5F1"/>
          </w:tcPr>
          <w:p>
            <w:pPr>
              <w:pStyle w:val="TableParagraph"/>
              <w:spacing w:before="38"/>
              <w:rPr>
                <w:sz w:val="15"/>
              </w:rPr>
            </w:pPr>
          </w:p>
          <w:p>
            <w:pPr>
              <w:pStyle w:val="TableParagraph"/>
              <w:spacing w:line="465" w:lineRule="auto"/>
              <w:ind w:left="15" w:right="1236"/>
              <w:jc w:val="both"/>
              <w:rPr>
                <w:sz w:val="15"/>
              </w:rPr>
            </w:pPr>
            <w:r>
              <w:rPr>
                <w:color w:val="231F20"/>
                <w:spacing w:val="-6"/>
                <w:w w:val="115"/>
                <w:sz w:val="15"/>
              </w:rPr>
              <w:t>No No </w:t>
            </w:r>
            <w:r>
              <w:rPr>
                <w:color w:val="231F20"/>
                <w:spacing w:val="-5"/>
                <w:w w:val="115"/>
                <w:sz w:val="15"/>
              </w:rPr>
              <w:t>No</w:t>
            </w:r>
          </w:p>
          <w:p>
            <w:pPr>
              <w:pStyle w:val="TableParagraph"/>
              <w:spacing w:line="696" w:lineRule="auto" w:before="167"/>
              <w:ind w:left="14" w:right="1233"/>
              <w:rPr>
                <w:sz w:val="15"/>
              </w:rPr>
            </w:pPr>
            <w:r>
              <w:rPr>
                <w:color w:val="231F20"/>
                <w:spacing w:val="-6"/>
                <w:w w:val="115"/>
                <w:sz w:val="15"/>
              </w:rPr>
              <w:t>No </w:t>
            </w:r>
            <w:r>
              <w:rPr>
                <w:color w:val="231F20"/>
                <w:spacing w:val="-5"/>
                <w:w w:val="115"/>
                <w:sz w:val="15"/>
              </w:rPr>
              <w:t>No</w:t>
            </w:r>
          </w:p>
        </w:tc>
      </w:tr>
      <w:tr>
        <w:trPr>
          <w:trHeight w:val="4131" w:hRule="atLeast"/>
        </w:trPr>
        <w:tc>
          <w:tcPr>
            <w:tcW w:w="4088" w:type="dxa"/>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STRUCTURAL–METABOLIC</w:t>
            </w:r>
            <w:r>
              <w:rPr>
                <w:color w:val="231F20"/>
                <w:spacing w:val="16"/>
                <w:w w:val="110"/>
                <w:sz w:val="15"/>
              </w:rPr>
              <w:t> </w:t>
            </w:r>
            <w:r>
              <w:rPr>
                <w:color w:val="231F20"/>
                <w:w w:val="110"/>
                <w:sz w:val="15"/>
              </w:rPr>
              <w:t>FOCAL</w:t>
            </w:r>
            <w:r>
              <w:rPr>
                <w:color w:val="231F20"/>
                <w:spacing w:val="17"/>
                <w:w w:val="110"/>
                <w:sz w:val="15"/>
              </w:rPr>
              <w:t> </w:t>
            </w:r>
            <w:r>
              <w:rPr>
                <w:color w:val="231F20"/>
                <w:spacing w:val="-2"/>
                <w:w w:val="110"/>
                <w:sz w:val="15"/>
              </w:rPr>
              <w:t>EPILEPSIES</w:t>
            </w:r>
          </w:p>
          <w:p>
            <w:pPr>
              <w:pStyle w:val="TableParagraph"/>
              <w:spacing w:line="170" w:lineRule="exact"/>
              <w:ind w:left="74"/>
              <w:rPr>
                <w:i/>
                <w:sz w:val="15"/>
              </w:rPr>
            </w:pPr>
            <w:r>
              <w:rPr>
                <w:i/>
                <w:color w:val="231F20"/>
                <w:sz w:val="15"/>
              </w:rPr>
              <w:t>Limbic</w:t>
            </w:r>
            <w:r>
              <w:rPr>
                <w:i/>
                <w:color w:val="231F20"/>
                <w:spacing w:val="-5"/>
                <w:sz w:val="15"/>
              </w:rPr>
              <w:t> </w:t>
            </w:r>
            <w:r>
              <w:rPr>
                <w:i/>
                <w:color w:val="231F20"/>
                <w:spacing w:val="-2"/>
                <w:sz w:val="15"/>
              </w:rPr>
              <w:t>Epilepsy</w:t>
            </w:r>
          </w:p>
          <w:p>
            <w:pPr>
              <w:pStyle w:val="TableParagraph"/>
              <w:tabs>
                <w:tab w:pos="1825" w:val="left" w:leader="none"/>
                <w:tab w:pos="1937" w:val="left" w:leader="none"/>
                <w:tab w:pos="3017" w:val="left" w:leader="none"/>
              </w:tabs>
              <w:spacing w:line="230" w:lineRule="auto" w:before="3"/>
              <w:ind w:left="186" w:right="247" w:hanging="112"/>
              <w:rPr>
                <w:sz w:val="15"/>
              </w:rPr>
            </w:pPr>
            <w:r>
              <w:rPr>
                <w:color w:val="231F20"/>
                <w:sz w:val="15"/>
              </w:rPr>
              <w:t>Mesial temporal lobe</w:t>
              <w:tab/>
              <w:t>School-age or</w:t>
              <w:tab/>
              <w:t>Long</w:t>
            </w:r>
            <w:r>
              <w:rPr>
                <w:color w:val="231F20"/>
                <w:spacing w:val="-12"/>
                <w:sz w:val="15"/>
              </w:rPr>
              <w:t> </w:t>
            </w:r>
            <w:r>
              <w:rPr>
                <w:color w:val="231F20"/>
                <w:sz w:val="15"/>
              </w:rPr>
              <w:t>lasting epilepsy with</w:t>
              <w:tab/>
              <w:tab/>
            </w:r>
            <w:r>
              <w:rPr>
                <w:color w:val="231F20"/>
                <w:spacing w:val="-2"/>
                <w:sz w:val="15"/>
              </w:rPr>
              <w:t>earlier</w:t>
            </w:r>
          </w:p>
          <w:p>
            <w:pPr>
              <w:pStyle w:val="TableParagraph"/>
              <w:spacing w:line="230" w:lineRule="auto" w:before="2"/>
              <w:ind w:left="186" w:right="2541"/>
              <w:rPr>
                <w:sz w:val="15"/>
              </w:rPr>
            </w:pPr>
            <w:r>
              <w:rPr>
                <w:color w:val="231F20"/>
                <w:spacing w:val="-2"/>
                <w:sz w:val="15"/>
              </w:rPr>
              <w:t>hippocampal sclerosis</w:t>
            </w:r>
          </w:p>
          <w:p>
            <w:pPr>
              <w:pStyle w:val="TableParagraph"/>
              <w:tabs>
                <w:tab w:pos="1824" w:val="left" w:leader="none"/>
                <w:tab w:pos="3017" w:val="left" w:leader="none"/>
              </w:tabs>
              <w:spacing w:line="230" w:lineRule="auto" w:before="3"/>
              <w:ind w:left="186" w:right="247" w:hanging="112"/>
              <w:rPr>
                <w:sz w:val="15"/>
              </w:rPr>
            </w:pPr>
            <w:r>
              <w:rPr>
                <w:color w:val="231F20"/>
                <w:sz w:val="15"/>
              </w:rPr>
              <w:t>Mesial temporal lobe</w:t>
              <w:tab/>
            </w:r>
            <w:r>
              <w:rPr>
                <w:color w:val="231F20"/>
                <w:spacing w:val="-2"/>
                <w:sz w:val="15"/>
              </w:rPr>
              <w:t>Variable</w:t>
            </w:r>
            <w:r>
              <w:rPr>
                <w:color w:val="231F20"/>
                <w:sz w:val="15"/>
              </w:rPr>
              <w:tab/>
              <w:t>Long</w:t>
            </w:r>
            <w:r>
              <w:rPr>
                <w:color w:val="231F20"/>
                <w:spacing w:val="-12"/>
                <w:sz w:val="15"/>
              </w:rPr>
              <w:t> </w:t>
            </w:r>
            <w:r>
              <w:rPr>
                <w:color w:val="231F20"/>
                <w:sz w:val="15"/>
              </w:rPr>
              <w:t>lasting epilepsy defined by</w:t>
            </w:r>
          </w:p>
          <w:p>
            <w:pPr>
              <w:pStyle w:val="TableParagraph"/>
              <w:spacing w:line="168" w:lineRule="exact"/>
              <w:ind w:left="186"/>
              <w:rPr>
                <w:sz w:val="15"/>
              </w:rPr>
            </w:pPr>
            <w:r>
              <w:rPr>
                <w:color w:val="231F20"/>
                <w:spacing w:val="-2"/>
                <w:sz w:val="15"/>
              </w:rPr>
              <w:t>specific</w:t>
            </w:r>
            <w:r>
              <w:rPr>
                <w:color w:val="231F20"/>
                <w:spacing w:val="-9"/>
                <w:sz w:val="15"/>
              </w:rPr>
              <w:t> </w:t>
            </w:r>
            <w:r>
              <w:rPr>
                <w:color w:val="231F20"/>
                <w:spacing w:val="-2"/>
                <w:sz w:val="15"/>
              </w:rPr>
              <w:t>causes</w:t>
            </w:r>
          </w:p>
          <w:p>
            <w:pPr>
              <w:pStyle w:val="TableParagraph"/>
              <w:tabs>
                <w:tab w:pos="1824" w:val="left" w:leader="none"/>
                <w:tab w:pos="3016" w:val="left" w:leader="none"/>
              </w:tabs>
              <w:spacing w:line="230" w:lineRule="auto" w:before="3"/>
              <w:ind w:left="185" w:right="248" w:hanging="112"/>
              <w:rPr>
                <w:sz w:val="15"/>
              </w:rPr>
            </w:pPr>
            <w:r>
              <w:rPr>
                <w:color w:val="231F20"/>
                <w:sz w:val="15"/>
              </w:rPr>
              <w:t>Other types defined</w:t>
              <w:tab/>
            </w:r>
            <w:r>
              <w:rPr>
                <w:color w:val="231F20"/>
                <w:spacing w:val="-2"/>
                <w:sz w:val="15"/>
              </w:rPr>
              <w:t>Variable</w:t>
            </w:r>
            <w:r>
              <w:rPr>
                <w:color w:val="231F20"/>
                <w:sz w:val="15"/>
              </w:rPr>
              <w:tab/>
              <w:t>Long</w:t>
            </w:r>
            <w:r>
              <w:rPr>
                <w:color w:val="231F20"/>
                <w:spacing w:val="-12"/>
                <w:sz w:val="15"/>
              </w:rPr>
              <w:t> </w:t>
            </w:r>
            <w:r>
              <w:rPr>
                <w:color w:val="231F20"/>
                <w:sz w:val="15"/>
              </w:rPr>
              <w:t>lasting by location and</w:t>
            </w:r>
          </w:p>
          <w:p>
            <w:pPr>
              <w:pStyle w:val="TableParagraph"/>
              <w:spacing w:line="168" w:lineRule="exact"/>
              <w:ind w:left="185"/>
              <w:rPr>
                <w:sz w:val="15"/>
              </w:rPr>
            </w:pPr>
            <w:r>
              <w:rPr>
                <w:color w:val="231F20"/>
                <w:spacing w:val="-2"/>
                <w:sz w:val="15"/>
              </w:rPr>
              <w:t>causes</w:t>
            </w:r>
          </w:p>
          <w:p>
            <w:pPr>
              <w:pStyle w:val="TableParagraph"/>
              <w:spacing w:line="170" w:lineRule="exact"/>
              <w:ind w:left="73"/>
              <w:rPr>
                <w:i/>
                <w:sz w:val="15"/>
              </w:rPr>
            </w:pPr>
            <w:r>
              <w:rPr>
                <w:i/>
                <w:color w:val="231F20"/>
                <w:sz w:val="15"/>
              </w:rPr>
              <w:t>Neocortical</w:t>
            </w:r>
            <w:r>
              <w:rPr>
                <w:i/>
                <w:color w:val="231F20"/>
                <w:spacing w:val="11"/>
                <w:sz w:val="15"/>
              </w:rPr>
              <w:t> </w:t>
            </w:r>
            <w:r>
              <w:rPr>
                <w:i/>
                <w:color w:val="231F20"/>
                <w:spacing w:val="-2"/>
                <w:sz w:val="15"/>
              </w:rPr>
              <w:t>Epilepsies</w:t>
            </w:r>
          </w:p>
          <w:p>
            <w:pPr>
              <w:pStyle w:val="TableParagraph"/>
              <w:tabs>
                <w:tab w:pos="1825" w:val="left" w:leader="none"/>
                <w:tab w:pos="3017" w:val="left" w:leader="none"/>
              </w:tabs>
              <w:spacing w:line="172" w:lineRule="exact"/>
              <w:ind w:left="73"/>
              <w:rPr>
                <w:sz w:val="15"/>
              </w:rPr>
            </w:pPr>
            <w:r>
              <w:rPr>
                <w:color w:val="231F20"/>
                <w:sz w:val="15"/>
              </w:rPr>
              <w:t>Rasmussen</w:t>
            </w:r>
            <w:r>
              <w:rPr>
                <w:color w:val="231F20"/>
                <w:spacing w:val="15"/>
                <w:sz w:val="15"/>
              </w:rPr>
              <w:t> </w:t>
            </w:r>
            <w:r>
              <w:rPr>
                <w:color w:val="231F20"/>
                <w:spacing w:val="-2"/>
                <w:sz w:val="15"/>
              </w:rPr>
              <w:t>syndrome</w:t>
            </w:r>
            <w:r>
              <w:rPr>
                <w:color w:val="231F20"/>
                <w:sz w:val="15"/>
              </w:rPr>
              <w:tab/>
              <w:t>6-12</w:t>
            </w:r>
            <w:r>
              <w:rPr>
                <w:color w:val="231F20"/>
                <w:spacing w:val="-8"/>
                <w:sz w:val="15"/>
              </w:rPr>
              <w:t> </w:t>
            </w:r>
            <w:r>
              <w:rPr>
                <w:color w:val="231F20"/>
                <w:spacing w:val="-5"/>
                <w:sz w:val="15"/>
              </w:rPr>
              <w:t>yr</w:t>
            </w:r>
            <w:r>
              <w:rPr>
                <w:color w:val="231F20"/>
                <w:sz w:val="15"/>
              </w:rPr>
              <w:tab/>
            </w:r>
            <w:r>
              <w:rPr>
                <w:color w:val="231F20"/>
                <w:spacing w:val="-2"/>
                <w:sz w:val="15"/>
              </w:rPr>
              <w:t>Progressive</w:t>
            </w:r>
          </w:p>
          <w:p>
            <w:pPr>
              <w:pStyle w:val="TableParagraph"/>
              <w:tabs>
                <w:tab w:pos="1825" w:val="left" w:leader="none"/>
                <w:tab w:pos="3017" w:val="left" w:leader="none"/>
              </w:tabs>
              <w:spacing w:line="230" w:lineRule="auto" w:before="169"/>
              <w:ind w:left="186" w:right="551" w:hanging="112"/>
              <w:rPr>
                <w:sz w:val="15"/>
              </w:rPr>
            </w:pPr>
            <w:r>
              <w:rPr>
                <w:color w:val="231F20"/>
                <w:spacing w:val="-2"/>
                <w:sz w:val="15"/>
              </w:rPr>
              <w:t>Hemiconvulsion-</w:t>
            </w:r>
            <w:r>
              <w:rPr>
                <w:color w:val="231F20"/>
                <w:sz w:val="15"/>
              </w:rPr>
              <w:tab/>
              <w:t>1-5 yr</w:t>
              <w:tab/>
            </w:r>
            <w:r>
              <w:rPr>
                <w:color w:val="231F20"/>
                <w:spacing w:val="-2"/>
                <w:sz w:val="15"/>
              </w:rPr>
              <w:t>Chronic hemiplegia</w:t>
            </w:r>
          </w:p>
          <w:p>
            <w:pPr>
              <w:pStyle w:val="TableParagraph"/>
              <w:spacing w:line="168" w:lineRule="exact"/>
              <w:ind w:left="186"/>
              <w:rPr>
                <w:sz w:val="15"/>
              </w:rPr>
            </w:pPr>
            <w:r>
              <w:rPr>
                <w:color w:val="231F20"/>
                <w:spacing w:val="-2"/>
                <w:sz w:val="15"/>
              </w:rPr>
              <w:t>syndrome</w:t>
            </w:r>
          </w:p>
          <w:p>
            <w:pPr>
              <w:pStyle w:val="TableParagraph"/>
              <w:tabs>
                <w:tab w:pos="1824" w:val="left" w:leader="none"/>
                <w:tab w:pos="3017" w:val="left" w:leader="none"/>
              </w:tabs>
              <w:spacing w:line="230" w:lineRule="auto" w:before="3"/>
              <w:ind w:left="186" w:right="247" w:hanging="112"/>
              <w:rPr>
                <w:sz w:val="15"/>
              </w:rPr>
            </w:pPr>
            <w:r>
              <w:rPr>
                <w:color w:val="231F20"/>
                <w:sz w:val="15"/>
              </w:rPr>
              <w:t>Other types defined</w:t>
              <w:tab/>
            </w:r>
            <w:r>
              <w:rPr>
                <w:color w:val="231F20"/>
                <w:spacing w:val="-2"/>
                <w:sz w:val="15"/>
              </w:rPr>
              <w:t>Variable</w:t>
            </w:r>
            <w:r>
              <w:rPr>
                <w:color w:val="231F20"/>
                <w:sz w:val="15"/>
              </w:rPr>
              <w:tab/>
              <w:t>Long</w:t>
            </w:r>
            <w:r>
              <w:rPr>
                <w:color w:val="231F20"/>
                <w:spacing w:val="-12"/>
                <w:sz w:val="15"/>
              </w:rPr>
              <w:t> </w:t>
            </w:r>
            <w:r>
              <w:rPr>
                <w:color w:val="231F20"/>
                <w:sz w:val="15"/>
              </w:rPr>
              <w:t>lasting by location and</w:t>
            </w:r>
          </w:p>
          <w:p>
            <w:pPr>
              <w:pStyle w:val="TableParagraph"/>
              <w:spacing w:line="168" w:lineRule="exact"/>
              <w:ind w:left="186"/>
              <w:rPr>
                <w:sz w:val="15"/>
              </w:rPr>
            </w:pPr>
            <w:r>
              <w:rPr>
                <w:color w:val="231F20"/>
                <w:spacing w:val="-2"/>
                <w:sz w:val="15"/>
              </w:rPr>
              <w:t>cause</w:t>
            </w:r>
          </w:p>
          <w:p>
            <w:pPr>
              <w:pStyle w:val="TableParagraph"/>
              <w:tabs>
                <w:tab w:pos="1824" w:val="left" w:leader="none"/>
                <w:tab w:pos="3016" w:val="left" w:leader="none"/>
              </w:tabs>
              <w:spacing w:line="230" w:lineRule="auto" w:before="3"/>
              <w:ind w:left="185" w:right="187" w:hanging="112"/>
              <w:rPr>
                <w:sz w:val="15"/>
              </w:rPr>
            </w:pPr>
            <w:r>
              <w:rPr>
                <w:color w:val="231F20"/>
                <w:sz w:val="15"/>
              </w:rPr>
              <w:t>Migrating partial</w:t>
              <w:tab/>
            </w:r>
            <w:r>
              <w:rPr>
                <w:color w:val="231F20"/>
                <w:spacing w:val="-2"/>
                <w:sz w:val="15"/>
              </w:rPr>
              <w:t>Infant</w:t>
            </w:r>
            <w:r>
              <w:rPr>
                <w:color w:val="231F20"/>
                <w:sz w:val="15"/>
              </w:rPr>
              <w:tab/>
              <w:t>No</w:t>
            </w:r>
            <w:r>
              <w:rPr>
                <w:color w:val="231F20"/>
                <w:spacing w:val="-11"/>
                <w:sz w:val="15"/>
              </w:rPr>
              <w:t> </w:t>
            </w:r>
            <w:r>
              <w:rPr>
                <w:color w:val="231F20"/>
                <w:sz w:val="15"/>
              </w:rPr>
              <w:t>remission seizures of early</w:t>
            </w:r>
          </w:p>
          <w:p>
            <w:pPr>
              <w:pStyle w:val="TableParagraph"/>
              <w:spacing w:line="170" w:lineRule="exact"/>
              <w:ind w:left="185"/>
              <w:rPr>
                <w:sz w:val="15"/>
              </w:rPr>
            </w:pPr>
            <w:r>
              <w:rPr>
                <w:color w:val="231F20"/>
                <w:spacing w:val="-2"/>
                <w:sz w:val="15"/>
              </w:rPr>
              <w:t>infancy</w:t>
            </w:r>
          </w:p>
        </w:tc>
        <w:tc>
          <w:tcPr>
            <w:tcW w:w="1141" w:type="dxa"/>
            <w:tcBorders>
              <w:top w:val="single" w:sz="4" w:space="0" w:color="FFFFFF"/>
              <w:bottom w:val="single" w:sz="4" w:space="0" w:color="FFFFFF"/>
            </w:tcBorders>
            <w:shd w:val="clear" w:color="auto" w:fill="E8F5F1"/>
          </w:tcPr>
          <w:p>
            <w:pPr>
              <w:pStyle w:val="TableParagraph"/>
              <w:rPr>
                <w:sz w:val="15"/>
              </w:rPr>
            </w:pPr>
          </w:p>
          <w:p>
            <w:pPr>
              <w:pStyle w:val="TableParagraph"/>
              <w:spacing w:before="34"/>
              <w:rPr>
                <w:sz w:val="15"/>
              </w:rPr>
            </w:pPr>
          </w:p>
          <w:p>
            <w:pPr>
              <w:pStyle w:val="TableParagraph"/>
              <w:ind w:left="124"/>
              <w:rPr>
                <w:sz w:val="15"/>
              </w:rPr>
            </w:pPr>
            <w:r>
              <w:rPr>
                <w:color w:val="231F20"/>
                <w:spacing w:val="-2"/>
                <w:sz w:val="15"/>
              </w:rPr>
              <w:t>Variable</w:t>
            </w:r>
          </w:p>
          <w:p>
            <w:pPr>
              <w:pStyle w:val="TableParagraph"/>
              <w:rPr>
                <w:sz w:val="15"/>
              </w:rPr>
            </w:pPr>
          </w:p>
          <w:p>
            <w:pPr>
              <w:pStyle w:val="TableParagraph"/>
              <w:spacing w:before="151"/>
              <w:rPr>
                <w:sz w:val="15"/>
              </w:rPr>
            </w:pPr>
          </w:p>
          <w:p>
            <w:pPr>
              <w:pStyle w:val="TableParagraph"/>
              <w:spacing w:line="696" w:lineRule="auto"/>
              <w:ind w:left="123" w:right="473"/>
              <w:rPr>
                <w:sz w:val="15"/>
              </w:rPr>
            </w:pPr>
            <w:r>
              <w:rPr>
                <w:color w:val="231F20"/>
                <w:spacing w:val="-4"/>
                <w:sz w:val="15"/>
              </w:rPr>
              <w:t>Variable Variable</w:t>
            </w:r>
          </w:p>
          <w:p>
            <w:pPr>
              <w:pStyle w:val="TableParagraph"/>
              <w:spacing w:line="465" w:lineRule="auto" w:before="171"/>
              <w:ind w:left="124"/>
              <w:rPr>
                <w:sz w:val="15"/>
              </w:rPr>
            </w:pPr>
            <w:r>
              <w:rPr>
                <w:color w:val="231F20"/>
                <w:spacing w:val="-2"/>
                <w:w w:val="105"/>
                <w:sz w:val="15"/>
              </w:rPr>
              <w:t>Ominous Severe</w:t>
            </w:r>
          </w:p>
          <w:p>
            <w:pPr>
              <w:pStyle w:val="TableParagraph"/>
              <w:spacing w:line="696" w:lineRule="auto" w:before="167"/>
              <w:ind w:left="123"/>
              <w:rPr>
                <w:sz w:val="15"/>
              </w:rPr>
            </w:pPr>
            <w:r>
              <w:rPr>
                <w:color w:val="231F20"/>
                <w:spacing w:val="-2"/>
                <w:sz w:val="15"/>
              </w:rPr>
              <w:t>Variable Ominous</w:t>
            </w:r>
          </w:p>
        </w:tc>
        <w:tc>
          <w:tcPr>
            <w:tcW w:w="1513" w:type="dxa"/>
            <w:tcBorders>
              <w:top w:val="single" w:sz="4" w:space="0" w:color="FFFFFF"/>
              <w:bottom w:val="single" w:sz="4" w:space="0" w:color="FFFFFF"/>
            </w:tcBorders>
            <w:shd w:val="clear" w:color="auto" w:fill="E8F5F1"/>
          </w:tcPr>
          <w:p>
            <w:pPr>
              <w:pStyle w:val="TableParagraph"/>
              <w:rPr>
                <w:sz w:val="15"/>
              </w:rPr>
            </w:pPr>
          </w:p>
          <w:p>
            <w:pPr>
              <w:pStyle w:val="TableParagraph"/>
              <w:spacing w:before="40"/>
              <w:rPr>
                <w:sz w:val="15"/>
              </w:rPr>
            </w:pPr>
          </w:p>
          <w:p>
            <w:pPr>
              <w:pStyle w:val="TableParagraph"/>
              <w:spacing w:line="230" w:lineRule="auto"/>
              <w:ind w:left="235" w:right="322" w:hanging="112"/>
              <w:jc w:val="both"/>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w w:val="105"/>
                <w:sz w:val="15"/>
              </w:rPr>
              <w:t>TPM, VPA</w:t>
            </w:r>
          </w:p>
          <w:p>
            <w:pPr>
              <w:pStyle w:val="TableParagraph"/>
              <w:spacing w:before="164"/>
              <w:rPr>
                <w:sz w:val="15"/>
              </w:rPr>
            </w:pPr>
          </w:p>
          <w:p>
            <w:pPr>
              <w:pStyle w:val="TableParagraph"/>
              <w:spacing w:line="230" w:lineRule="auto" w:before="1"/>
              <w:ind w:left="235" w:right="323" w:hanging="112"/>
              <w:jc w:val="both"/>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w w:val="105"/>
                <w:sz w:val="15"/>
              </w:rPr>
              <w:t>TPM, VPA</w:t>
            </w:r>
          </w:p>
          <w:p>
            <w:pPr>
              <w:pStyle w:val="TableParagraph"/>
              <w:spacing w:line="230" w:lineRule="auto" w:before="171"/>
              <w:ind w:left="235" w:right="323" w:hanging="112"/>
              <w:jc w:val="both"/>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w w:val="105"/>
                <w:sz w:val="15"/>
              </w:rPr>
              <w:t>TPM, VPA</w:t>
            </w:r>
          </w:p>
          <w:p>
            <w:pPr>
              <w:pStyle w:val="TableParagraph"/>
              <w:spacing w:before="166"/>
              <w:rPr>
                <w:sz w:val="15"/>
              </w:rPr>
            </w:pPr>
          </w:p>
          <w:p>
            <w:pPr>
              <w:pStyle w:val="TableParagraph"/>
              <w:spacing w:line="230" w:lineRule="auto" w:before="1"/>
              <w:ind w:left="235" w:hanging="112"/>
              <w:rPr>
                <w:sz w:val="15"/>
              </w:rPr>
            </w:pPr>
            <w:r>
              <w:rPr>
                <w:color w:val="231F20"/>
                <w:spacing w:val="-2"/>
                <w:sz w:val="15"/>
              </w:rPr>
              <w:t>Plasmapheresis, immunoglobulins</w:t>
            </w:r>
          </w:p>
          <w:p>
            <w:pPr>
              <w:pStyle w:val="TableParagraph"/>
              <w:spacing w:line="230" w:lineRule="auto" w:before="3"/>
              <w:ind w:left="235" w:right="322" w:hanging="112"/>
              <w:jc w:val="both"/>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w w:val="105"/>
                <w:sz w:val="15"/>
              </w:rPr>
              <w:t>TPM, VPA</w:t>
            </w:r>
          </w:p>
          <w:p>
            <w:pPr>
              <w:pStyle w:val="TableParagraph"/>
              <w:spacing w:line="230" w:lineRule="auto" w:before="170"/>
              <w:ind w:left="235" w:right="323" w:hanging="112"/>
              <w:jc w:val="both"/>
              <w:rPr>
                <w:sz w:val="15"/>
              </w:rPr>
            </w:pPr>
            <w:r>
              <w:rPr>
                <w:color w:val="231F20"/>
                <w:spacing w:val="-2"/>
                <w:w w:val="105"/>
                <w:sz w:val="15"/>
              </w:rPr>
              <w:t>CBZ,</w:t>
            </w:r>
            <w:r>
              <w:rPr>
                <w:color w:val="231F20"/>
                <w:spacing w:val="-10"/>
                <w:w w:val="105"/>
                <w:sz w:val="15"/>
              </w:rPr>
              <w:t> </w:t>
            </w:r>
            <w:r>
              <w:rPr>
                <w:color w:val="231F20"/>
                <w:spacing w:val="-2"/>
                <w:w w:val="105"/>
                <w:sz w:val="15"/>
              </w:rPr>
              <w:t>LEV,</w:t>
            </w:r>
            <w:r>
              <w:rPr>
                <w:color w:val="231F20"/>
                <w:spacing w:val="-10"/>
                <w:w w:val="105"/>
                <w:sz w:val="15"/>
              </w:rPr>
              <w:t> </w:t>
            </w:r>
            <w:r>
              <w:rPr>
                <w:color w:val="231F20"/>
                <w:spacing w:val="-2"/>
                <w:w w:val="105"/>
                <w:sz w:val="15"/>
              </w:rPr>
              <w:t>OXC, </w:t>
            </w:r>
            <w:r>
              <w:rPr>
                <w:color w:val="231F20"/>
                <w:w w:val="105"/>
                <w:sz w:val="15"/>
              </w:rPr>
              <w:t>TPM, VPA</w:t>
            </w:r>
          </w:p>
          <w:p>
            <w:pPr>
              <w:pStyle w:val="TableParagraph"/>
              <w:spacing w:line="230" w:lineRule="auto" w:before="171"/>
              <w:ind w:left="235" w:right="348" w:hanging="112"/>
              <w:jc w:val="both"/>
              <w:rPr>
                <w:sz w:val="15"/>
              </w:rPr>
            </w:pPr>
            <w:r>
              <w:rPr>
                <w:color w:val="231F20"/>
                <w:sz w:val="15"/>
              </w:rPr>
              <w:t>Bromides,</w:t>
            </w:r>
            <w:r>
              <w:rPr>
                <w:color w:val="231F20"/>
                <w:spacing w:val="-12"/>
                <w:sz w:val="15"/>
              </w:rPr>
              <w:t> </w:t>
            </w:r>
            <w:r>
              <w:rPr>
                <w:color w:val="231F20"/>
                <w:sz w:val="15"/>
              </w:rPr>
              <w:t>CBZ, LEV,</w:t>
            </w:r>
            <w:r>
              <w:rPr>
                <w:color w:val="231F20"/>
                <w:spacing w:val="-12"/>
                <w:sz w:val="15"/>
              </w:rPr>
              <w:t> </w:t>
            </w:r>
            <w:r>
              <w:rPr>
                <w:color w:val="231F20"/>
                <w:sz w:val="15"/>
              </w:rPr>
              <w:t>PB,</w:t>
            </w:r>
            <w:r>
              <w:rPr>
                <w:color w:val="231F20"/>
                <w:spacing w:val="-11"/>
                <w:sz w:val="15"/>
              </w:rPr>
              <w:t> </w:t>
            </w:r>
            <w:r>
              <w:rPr>
                <w:color w:val="231F20"/>
                <w:sz w:val="15"/>
              </w:rPr>
              <w:t>PHT, TPM, VPA</w:t>
            </w:r>
          </w:p>
        </w:tc>
        <w:tc>
          <w:tcPr>
            <w:tcW w:w="1540" w:type="dxa"/>
            <w:tcBorders>
              <w:top w:val="single" w:sz="4" w:space="0" w:color="FFFFFF"/>
              <w:bottom w:val="single" w:sz="4" w:space="0" w:color="FFFFFF"/>
            </w:tcBorders>
            <w:shd w:val="clear" w:color="auto" w:fill="E8F5F1"/>
          </w:tcPr>
          <w:p>
            <w:pPr>
              <w:pStyle w:val="TableParagraph"/>
              <w:rPr>
                <w:sz w:val="15"/>
              </w:rPr>
            </w:pPr>
          </w:p>
          <w:p>
            <w:pPr>
              <w:pStyle w:val="TableParagraph"/>
              <w:spacing w:before="40"/>
              <w:rPr>
                <w:sz w:val="15"/>
              </w:rPr>
            </w:pPr>
          </w:p>
          <w:p>
            <w:pPr>
              <w:pStyle w:val="TableParagraph"/>
              <w:spacing w:line="230" w:lineRule="auto"/>
              <w:ind w:left="236" w:right="348" w:hanging="112"/>
              <w:jc w:val="both"/>
              <w:rPr>
                <w:sz w:val="15"/>
              </w:rPr>
            </w:pPr>
            <w:r>
              <w:rPr>
                <w:color w:val="231F20"/>
                <w:spacing w:val="-2"/>
                <w:w w:val="105"/>
                <w:sz w:val="15"/>
              </w:rPr>
              <w:t>CLB,</w:t>
            </w:r>
            <w:r>
              <w:rPr>
                <w:color w:val="231F20"/>
                <w:spacing w:val="-10"/>
                <w:w w:val="105"/>
                <w:sz w:val="15"/>
              </w:rPr>
              <w:t> </w:t>
            </w:r>
            <w:r>
              <w:rPr>
                <w:color w:val="231F20"/>
                <w:spacing w:val="-2"/>
                <w:w w:val="105"/>
                <w:sz w:val="15"/>
              </w:rPr>
              <w:t>GBP,</w:t>
            </w:r>
            <w:r>
              <w:rPr>
                <w:color w:val="231F20"/>
                <w:spacing w:val="-10"/>
                <w:w w:val="105"/>
                <w:sz w:val="15"/>
              </w:rPr>
              <w:t> </w:t>
            </w:r>
            <w:r>
              <w:rPr>
                <w:color w:val="231F20"/>
                <w:spacing w:val="-2"/>
                <w:w w:val="105"/>
                <w:sz w:val="15"/>
              </w:rPr>
              <w:t>LAC, </w:t>
            </w:r>
            <w:r>
              <w:rPr>
                <w:color w:val="231F20"/>
                <w:sz w:val="15"/>
              </w:rPr>
              <w:t>PB,</w:t>
            </w:r>
            <w:r>
              <w:rPr>
                <w:color w:val="231F20"/>
                <w:spacing w:val="-6"/>
                <w:sz w:val="15"/>
              </w:rPr>
              <w:t> </w:t>
            </w:r>
            <w:r>
              <w:rPr>
                <w:color w:val="231F20"/>
                <w:sz w:val="15"/>
              </w:rPr>
              <w:t>PHT,</w:t>
            </w:r>
            <w:r>
              <w:rPr>
                <w:color w:val="231F20"/>
                <w:spacing w:val="-6"/>
                <w:sz w:val="15"/>
              </w:rPr>
              <w:t> </w:t>
            </w:r>
            <w:r>
              <w:rPr>
                <w:color w:val="231F20"/>
                <w:spacing w:val="-5"/>
                <w:sz w:val="15"/>
              </w:rPr>
              <w:t>ZON</w:t>
            </w:r>
          </w:p>
          <w:p>
            <w:pPr>
              <w:pStyle w:val="TableParagraph"/>
              <w:spacing w:before="164"/>
              <w:rPr>
                <w:sz w:val="15"/>
              </w:rPr>
            </w:pPr>
          </w:p>
          <w:p>
            <w:pPr>
              <w:pStyle w:val="TableParagraph"/>
              <w:spacing w:line="230" w:lineRule="auto" w:before="1"/>
              <w:ind w:left="235" w:right="349" w:hanging="112"/>
              <w:jc w:val="both"/>
              <w:rPr>
                <w:sz w:val="15"/>
              </w:rPr>
            </w:pPr>
            <w:r>
              <w:rPr>
                <w:color w:val="231F20"/>
                <w:spacing w:val="-2"/>
                <w:w w:val="105"/>
                <w:sz w:val="15"/>
              </w:rPr>
              <w:t>CLB,</w:t>
            </w:r>
            <w:r>
              <w:rPr>
                <w:color w:val="231F20"/>
                <w:spacing w:val="-10"/>
                <w:w w:val="105"/>
                <w:sz w:val="15"/>
              </w:rPr>
              <w:t> </w:t>
            </w:r>
            <w:r>
              <w:rPr>
                <w:color w:val="231F20"/>
                <w:spacing w:val="-2"/>
                <w:w w:val="105"/>
                <w:sz w:val="15"/>
              </w:rPr>
              <w:t>GBP,</w:t>
            </w:r>
            <w:r>
              <w:rPr>
                <w:color w:val="231F20"/>
                <w:spacing w:val="-10"/>
                <w:w w:val="105"/>
                <w:sz w:val="15"/>
              </w:rPr>
              <w:t> </w:t>
            </w:r>
            <w:r>
              <w:rPr>
                <w:color w:val="231F20"/>
                <w:spacing w:val="-2"/>
                <w:w w:val="105"/>
                <w:sz w:val="15"/>
              </w:rPr>
              <w:t>LAC, </w:t>
            </w:r>
            <w:r>
              <w:rPr>
                <w:color w:val="231F20"/>
                <w:sz w:val="15"/>
              </w:rPr>
              <w:t>PB,</w:t>
            </w:r>
            <w:r>
              <w:rPr>
                <w:color w:val="231F20"/>
                <w:spacing w:val="-6"/>
                <w:sz w:val="15"/>
              </w:rPr>
              <w:t> </w:t>
            </w:r>
            <w:r>
              <w:rPr>
                <w:color w:val="231F20"/>
                <w:sz w:val="15"/>
              </w:rPr>
              <w:t>PHT,</w:t>
            </w:r>
            <w:r>
              <w:rPr>
                <w:color w:val="231F20"/>
                <w:spacing w:val="-6"/>
                <w:sz w:val="15"/>
              </w:rPr>
              <w:t> </w:t>
            </w:r>
            <w:r>
              <w:rPr>
                <w:color w:val="231F20"/>
                <w:spacing w:val="-5"/>
                <w:sz w:val="15"/>
              </w:rPr>
              <w:t>ZON</w:t>
            </w:r>
          </w:p>
          <w:p>
            <w:pPr>
              <w:pStyle w:val="TableParagraph"/>
              <w:spacing w:line="230" w:lineRule="auto" w:before="171"/>
              <w:ind w:left="235" w:right="325" w:hanging="112"/>
              <w:jc w:val="both"/>
              <w:rPr>
                <w:sz w:val="15"/>
              </w:rPr>
            </w:pPr>
            <w:r>
              <w:rPr>
                <w:color w:val="231F20"/>
                <w:w w:val="105"/>
                <w:sz w:val="15"/>
              </w:rPr>
              <w:t>CLB,</w:t>
            </w:r>
            <w:r>
              <w:rPr>
                <w:color w:val="231F20"/>
                <w:spacing w:val="-12"/>
                <w:w w:val="105"/>
                <w:sz w:val="15"/>
              </w:rPr>
              <w:t> </w:t>
            </w:r>
            <w:r>
              <w:rPr>
                <w:color w:val="231F20"/>
                <w:w w:val="105"/>
                <w:sz w:val="15"/>
              </w:rPr>
              <w:t>FBM,</w:t>
            </w:r>
            <w:r>
              <w:rPr>
                <w:color w:val="231F20"/>
                <w:spacing w:val="-12"/>
                <w:w w:val="105"/>
                <w:sz w:val="15"/>
              </w:rPr>
              <w:t> </w:t>
            </w:r>
            <w:r>
              <w:rPr>
                <w:color w:val="231F20"/>
                <w:w w:val="105"/>
                <w:sz w:val="15"/>
              </w:rPr>
              <w:t>GBP, </w:t>
            </w:r>
            <w:r>
              <w:rPr>
                <w:color w:val="231F20"/>
                <w:spacing w:val="-2"/>
                <w:w w:val="105"/>
                <w:sz w:val="15"/>
              </w:rPr>
              <w:t>LAC,</w:t>
            </w:r>
            <w:r>
              <w:rPr>
                <w:color w:val="231F20"/>
                <w:spacing w:val="-10"/>
                <w:w w:val="105"/>
                <w:sz w:val="15"/>
              </w:rPr>
              <w:t> </w:t>
            </w:r>
            <w:r>
              <w:rPr>
                <w:color w:val="231F20"/>
                <w:spacing w:val="-2"/>
                <w:w w:val="105"/>
                <w:sz w:val="15"/>
              </w:rPr>
              <w:t>PB,</w:t>
            </w:r>
            <w:r>
              <w:rPr>
                <w:color w:val="231F20"/>
                <w:spacing w:val="-10"/>
                <w:w w:val="105"/>
                <w:sz w:val="15"/>
              </w:rPr>
              <w:t> </w:t>
            </w:r>
            <w:r>
              <w:rPr>
                <w:color w:val="231F20"/>
                <w:spacing w:val="-2"/>
                <w:w w:val="105"/>
                <w:sz w:val="15"/>
              </w:rPr>
              <w:t>PHT, </w:t>
            </w:r>
            <w:r>
              <w:rPr>
                <w:color w:val="231F20"/>
                <w:spacing w:val="-4"/>
                <w:w w:val="105"/>
                <w:sz w:val="15"/>
              </w:rPr>
              <w:t>ZON</w:t>
            </w:r>
          </w:p>
          <w:p>
            <w:pPr>
              <w:pStyle w:val="TableParagraph"/>
              <w:spacing w:line="230" w:lineRule="auto" w:before="174"/>
              <w:ind w:left="236" w:right="297" w:hanging="112"/>
              <w:rPr>
                <w:sz w:val="15"/>
              </w:rPr>
            </w:pPr>
            <w:r>
              <w:rPr>
                <w:color w:val="231F20"/>
                <w:sz w:val="15"/>
              </w:rPr>
              <w:t>CBZ,</w:t>
            </w:r>
            <w:r>
              <w:rPr>
                <w:color w:val="231F20"/>
                <w:spacing w:val="-10"/>
                <w:sz w:val="15"/>
              </w:rPr>
              <w:t> </w:t>
            </w:r>
            <w:r>
              <w:rPr>
                <w:color w:val="231F20"/>
                <w:sz w:val="15"/>
              </w:rPr>
              <w:t>LAC,</w:t>
            </w:r>
            <w:r>
              <w:rPr>
                <w:color w:val="231F20"/>
                <w:spacing w:val="-10"/>
                <w:sz w:val="15"/>
              </w:rPr>
              <w:t> </w:t>
            </w:r>
            <w:r>
              <w:rPr>
                <w:color w:val="231F20"/>
                <w:sz w:val="15"/>
              </w:rPr>
              <w:t>PB, PHT, TPM</w:t>
            </w:r>
          </w:p>
          <w:p>
            <w:pPr>
              <w:pStyle w:val="TableParagraph"/>
              <w:spacing w:line="230" w:lineRule="auto" w:before="3"/>
              <w:ind w:left="236" w:right="297" w:hanging="112"/>
              <w:rPr>
                <w:sz w:val="15"/>
              </w:rPr>
            </w:pPr>
            <w:r>
              <w:rPr>
                <w:color w:val="231F20"/>
                <w:spacing w:val="-2"/>
                <w:w w:val="105"/>
                <w:sz w:val="15"/>
              </w:rPr>
              <w:t>CLB,</w:t>
            </w:r>
            <w:r>
              <w:rPr>
                <w:color w:val="231F20"/>
                <w:spacing w:val="-10"/>
                <w:w w:val="105"/>
                <w:sz w:val="15"/>
              </w:rPr>
              <w:t> </w:t>
            </w:r>
            <w:r>
              <w:rPr>
                <w:color w:val="231F20"/>
                <w:spacing w:val="-2"/>
                <w:w w:val="105"/>
                <w:sz w:val="15"/>
              </w:rPr>
              <w:t>GBP,</w:t>
            </w:r>
            <w:r>
              <w:rPr>
                <w:color w:val="231F20"/>
                <w:spacing w:val="-10"/>
                <w:w w:val="105"/>
                <w:sz w:val="15"/>
              </w:rPr>
              <w:t> </w:t>
            </w:r>
            <w:r>
              <w:rPr>
                <w:color w:val="231F20"/>
                <w:spacing w:val="-2"/>
                <w:w w:val="105"/>
                <w:sz w:val="15"/>
              </w:rPr>
              <w:t>LAC, </w:t>
            </w:r>
            <w:r>
              <w:rPr>
                <w:color w:val="231F20"/>
                <w:sz w:val="15"/>
              </w:rPr>
              <w:t>PB,</w:t>
            </w:r>
            <w:r>
              <w:rPr>
                <w:color w:val="231F20"/>
                <w:spacing w:val="-6"/>
                <w:sz w:val="15"/>
              </w:rPr>
              <w:t> </w:t>
            </w:r>
            <w:r>
              <w:rPr>
                <w:color w:val="231F20"/>
                <w:sz w:val="15"/>
              </w:rPr>
              <w:t>PHT,</w:t>
            </w:r>
            <w:r>
              <w:rPr>
                <w:color w:val="231F20"/>
                <w:spacing w:val="-6"/>
                <w:sz w:val="15"/>
              </w:rPr>
              <w:t> </w:t>
            </w:r>
            <w:r>
              <w:rPr>
                <w:color w:val="231F20"/>
                <w:spacing w:val="-5"/>
                <w:sz w:val="15"/>
              </w:rPr>
              <w:t>ZON</w:t>
            </w:r>
          </w:p>
          <w:p>
            <w:pPr>
              <w:pStyle w:val="TableParagraph"/>
              <w:spacing w:line="230" w:lineRule="auto" w:before="170"/>
              <w:ind w:left="235" w:right="104" w:hanging="112"/>
              <w:rPr>
                <w:sz w:val="15"/>
              </w:rPr>
            </w:pPr>
            <w:r>
              <w:rPr>
                <w:color w:val="231F20"/>
                <w:w w:val="105"/>
                <w:sz w:val="15"/>
              </w:rPr>
              <w:t>PHT, PB, CLB, GBP,</w:t>
            </w:r>
            <w:r>
              <w:rPr>
                <w:color w:val="231F20"/>
                <w:spacing w:val="-10"/>
                <w:w w:val="105"/>
                <w:sz w:val="15"/>
              </w:rPr>
              <w:t> </w:t>
            </w:r>
            <w:r>
              <w:rPr>
                <w:color w:val="231F20"/>
                <w:w w:val="105"/>
                <w:sz w:val="15"/>
              </w:rPr>
              <w:t>LAC,</w:t>
            </w:r>
            <w:r>
              <w:rPr>
                <w:color w:val="231F20"/>
                <w:spacing w:val="-10"/>
                <w:w w:val="105"/>
                <w:sz w:val="15"/>
              </w:rPr>
              <w:t> </w:t>
            </w:r>
            <w:r>
              <w:rPr>
                <w:color w:val="231F20"/>
                <w:w w:val="105"/>
                <w:sz w:val="15"/>
              </w:rPr>
              <w:t>ZON</w:t>
            </w:r>
          </w:p>
          <w:p>
            <w:pPr>
              <w:pStyle w:val="TableParagraph"/>
              <w:spacing w:before="166"/>
              <w:ind w:left="123"/>
              <w:rPr>
                <w:sz w:val="15"/>
              </w:rPr>
            </w:pPr>
            <w:r>
              <w:rPr>
                <w:color w:val="231F20"/>
                <w:w w:val="105"/>
                <w:sz w:val="15"/>
              </w:rPr>
              <w:t>BDZ,</w:t>
            </w:r>
            <w:r>
              <w:rPr>
                <w:color w:val="231F20"/>
                <w:spacing w:val="-8"/>
                <w:w w:val="105"/>
                <w:sz w:val="15"/>
              </w:rPr>
              <w:t> </w:t>
            </w:r>
            <w:r>
              <w:rPr>
                <w:color w:val="231F20"/>
                <w:w w:val="105"/>
                <w:sz w:val="15"/>
              </w:rPr>
              <w:t>LAC,</w:t>
            </w:r>
            <w:r>
              <w:rPr>
                <w:color w:val="231F20"/>
                <w:spacing w:val="-7"/>
                <w:w w:val="105"/>
                <w:sz w:val="15"/>
              </w:rPr>
              <w:t> </w:t>
            </w:r>
            <w:r>
              <w:rPr>
                <w:color w:val="231F20"/>
                <w:spacing w:val="-5"/>
                <w:w w:val="105"/>
                <w:sz w:val="15"/>
              </w:rPr>
              <w:t>ZON</w:t>
            </w:r>
          </w:p>
        </w:tc>
        <w:tc>
          <w:tcPr>
            <w:tcW w:w="1460" w:type="dxa"/>
            <w:tcBorders>
              <w:top w:val="single" w:sz="4" w:space="0" w:color="FFFFFF"/>
              <w:bottom w:val="single" w:sz="4" w:space="0" w:color="FFFFFF"/>
            </w:tcBorders>
            <w:shd w:val="clear" w:color="auto" w:fill="E8F5F1"/>
          </w:tcPr>
          <w:p>
            <w:pPr>
              <w:pStyle w:val="TableParagraph"/>
              <w:rPr>
                <w:sz w:val="15"/>
              </w:rPr>
            </w:pPr>
          </w:p>
          <w:p>
            <w:pPr>
              <w:pStyle w:val="TableParagraph"/>
              <w:spacing w:before="34"/>
              <w:rPr>
                <w:sz w:val="15"/>
              </w:rPr>
            </w:pPr>
          </w:p>
          <w:p>
            <w:pPr>
              <w:pStyle w:val="TableParagraph"/>
              <w:ind w:left="16"/>
              <w:rPr>
                <w:sz w:val="15"/>
              </w:rPr>
            </w:pPr>
            <w:r>
              <w:rPr>
                <w:color w:val="231F20"/>
                <w:sz w:val="15"/>
              </w:rPr>
              <w:t>Temporal</w:t>
            </w:r>
            <w:r>
              <w:rPr>
                <w:color w:val="231F20"/>
                <w:spacing w:val="-6"/>
                <w:sz w:val="15"/>
              </w:rPr>
              <w:t> </w:t>
            </w:r>
            <w:r>
              <w:rPr>
                <w:color w:val="231F20"/>
                <w:spacing w:val="-2"/>
                <w:sz w:val="15"/>
              </w:rPr>
              <w:t>resection</w:t>
            </w:r>
          </w:p>
          <w:p>
            <w:pPr>
              <w:pStyle w:val="TableParagraph"/>
              <w:rPr>
                <w:sz w:val="15"/>
              </w:rPr>
            </w:pPr>
          </w:p>
          <w:p>
            <w:pPr>
              <w:pStyle w:val="TableParagraph"/>
              <w:spacing w:before="151"/>
              <w:rPr>
                <w:sz w:val="15"/>
              </w:rPr>
            </w:pPr>
          </w:p>
          <w:p>
            <w:pPr>
              <w:pStyle w:val="TableParagraph"/>
              <w:ind w:left="15"/>
              <w:rPr>
                <w:sz w:val="15"/>
              </w:rPr>
            </w:pPr>
            <w:r>
              <w:rPr>
                <w:color w:val="231F20"/>
                <w:sz w:val="15"/>
              </w:rPr>
              <w:t>Temporal</w:t>
            </w:r>
            <w:r>
              <w:rPr>
                <w:color w:val="231F20"/>
                <w:spacing w:val="-6"/>
                <w:sz w:val="15"/>
              </w:rPr>
              <w:t> </w:t>
            </w:r>
            <w:r>
              <w:rPr>
                <w:color w:val="231F20"/>
                <w:spacing w:val="-2"/>
                <w:sz w:val="15"/>
              </w:rPr>
              <w:t>resection</w:t>
            </w:r>
          </w:p>
          <w:p>
            <w:pPr>
              <w:pStyle w:val="TableParagraph"/>
              <w:spacing w:before="157"/>
              <w:rPr>
                <w:sz w:val="15"/>
              </w:rPr>
            </w:pPr>
          </w:p>
          <w:p>
            <w:pPr>
              <w:pStyle w:val="TableParagraph"/>
              <w:spacing w:line="173" w:lineRule="exact" w:before="1"/>
              <w:ind w:left="15"/>
              <w:rPr>
                <w:rFonts w:ascii="Cambria" w:hAnsi="Cambria"/>
                <w:sz w:val="15"/>
              </w:rPr>
            </w:pPr>
            <w:r>
              <w:rPr>
                <w:color w:val="231F20"/>
                <w:sz w:val="15"/>
              </w:rPr>
              <w:t>Lesionectomy</w:t>
            </w:r>
            <w:r>
              <w:rPr>
                <w:color w:val="231F20"/>
                <w:spacing w:val="1"/>
                <w:sz w:val="15"/>
              </w:rPr>
              <w:t> </w:t>
            </w:r>
            <w:r>
              <w:rPr>
                <w:rFonts w:ascii="Cambria" w:hAnsi="Cambria"/>
                <w:color w:val="231F20"/>
                <w:spacing w:val="-10"/>
                <w:sz w:val="15"/>
              </w:rPr>
              <w:t>±</w:t>
            </w:r>
          </w:p>
          <w:p>
            <w:pPr>
              <w:pStyle w:val="TableParagraph"/>
              <w:spacing w:line="171" w:lineRule="exact"/>
              <w:ind w:left="127"/>
              <w:rPr>
                <w:sz w:val="15"/>
              </w:rPr>
            </w:pPr>
            <w:r>
              <w:rPr>
                <w:color w:val="231F20"/>
                <w:spacing w:val="-2"/>
                <w:sz w:val="15"/>
              </w:rPr>
              <w:t>temporal</w:t>
            </w:r>
            <w:r>
              <w:rPr>
                <w:color w:val="231F20"/>
                <w:spacing w:val="2"/>
                <w:sz w:val="15"/>
              </w:rPr>
              <w:t> </w:t>
            </w:r>
            <w:r>
              <w:rPr>
                <w:color w:val="231F20"/>
                <w:spacing w:val="-2"/>
                <w:sz w:val="15"/>
              </w:rPr>
              <w:t>resection</w:t>
            </w:r>
          </w:p>
          <w:p>
            <w:pPr>
              <w:pStyle w:val="TableParagraph"/>
              <w:spacing w:before="162"/>
              <w:rPr>
                <w:sz w:val="15"/>
              </w:rPr>
            </w:pPr>
          </w:p>
          <w:p>
            <w:pPr>
              <w:pStyle w:val="TableParagraph"/>
              <w:spacing w:line="230" w:lineRule="auto"/>
              <w:ind w:left="128" w:hanging="112"/>
              <w:rPr>
                <w:sz w:val="15"/>
              </w:rPr>
            </w:pPr>
            <w:r>
              <w:rPr>
                <w:color w:val="231F20"/>
                <w:spacing w:val="-2"/>
                <w:sz w:val="15"/>
              </w:rPr>
              <w:t>Functional hemispherectomy</w:t>
            </w:r>
          </w:p>
          <w:p>
            <w:pPr>
              <w:pStyle w:val="TableParagraph"/>
              <w:spacing w:line="230" w:lineRule="auto" w:before="3"/>
              <w:ind w:left="128" w:hanging="112"/>
              <w:rPr>
                <w:sz w:val="15"/>
              </w:rPr>
            </w:pPr>
            <w:r>
              <w:rPr>
                <w:color w:val="231F20"/>
                <w:spacing w:val="-2"/>
                <w:sz w:val="15"/>
              </w:rPr>
              <w:t>Functional hemispherectomy</w:t>
            </w:r>
          </w:p>
          <w:p>
            <w:pPr>
              <w:pStyle w:val="TableParagraph"/>
              <w:spacing w:line="173" w:lineRule="exact" w:before="166"/>
              <w:ind w:left="15"/>
              <w:rPr>
                <w:rFonts w:ascii="Cambria" w:hAnsi="Cambria"/>
                <w:sz w:val="15"/>
              </w:rPr>
            </w:pPr>
            <w:r>
              <w:rPr>
                <w:color w:val="231F20"/>
                <w:sz w:val="15"/>
              </w:rPr>
              <w:t>Lesionectomy</w:t>
            </w:r>
            <w:r>
              <w:rPr>
                <w:color w:val="231F20"/>
                <w:spacing w:val="1"/>
                <w:sz w:val="15"/>
              </w:rPr>
              <w:t> </w:t>
            </w:r>
            <w:r>
              <w:rPr>
                <w:rFonts w:ascii="Cambria" w:hAnsi="Cambria"/>
                <w:color w:val="231F20"/>
                <w:spacing w:val="-10"/>
                <w:sz w:val="15"/>
              </w:rPr>
              <w:t>±</w:t>
            </w:r>
          </w:p>
          <w:p>
            <w:pPr>
              <w:pStyle w:val="TableParagraph"/>
              <w:spacing w:line="460" w:lineRule="auto"/>
              <w:ind w:left="15" w:right="123" w:firstLine="112"/>
              <w:rPr>
                <w:sz w:val="15"/>
              </w:rPr>
            </w:pPr>
            <w:r>
              <w:rPr>
                <w:color w:val="231F20"/>
                <w:spacing w:val="-4"/>
                <w:sz w:val="15"/>
              </w:rPr>
              <w:t>cortical</w:t>
            </w:r>
            <w:r>
              <w:rPr>
                <w:color w:val="231F20"/>
                <w:spacing w:val="-8"/>
                <w:sz w:val="15"/>
              </w:rPr>
              <w:t> </w:t>
            </w:r>
            <w:r>
              <w:rPr>
                <w:color w:val="231F20"/>
                <w:spacing w:val="-4"/>
                <w:sz w:val="15"/>
              </w:rPr>
              <w:t>resection </w:t>
            </w:r>
            <w:r>
              <w:rPr>
                <w:color w:val="231F20"/>
                <w:spacing w:val="-6"/>
                <w:sz w:val="15"/>
              </w:rPr>
              <w:t>No</w:t>
            </w:r>
          </w:p>
        </w:tc>
      </w:tr>
      <w:tr>
        <w:trPr>
          <w:trHeight w:val="1936" w:hRule="atLeast"/>
        </w:trPr>
        <w:tc>
          <w:tcPr>
            <w:tcW w:w="4088" w:type="dxa"/>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GENERALIZED</w:t>
            </w:r>
            <w:r>
              <w:rPr>
                <w:color w:val="231F20"/>
                <w:spacing w:val="18"/>
                <w:w w:val="110"/>
                <w:sz w:val="15"/>
              </w:rPr>
              <w:t> </w:t>
            </w:r>
            <w:r>
              <w:rPr>
                <w:color w:val="231F20"/>
                <w:w w:val="110"/>
                <w:sz w:val="15"/>
              </w:rPr>
              <w:t>EPILEPSIES</w:t>
            </w:r>
            <w:r>
              <w:rPr>
                <w:color w:val="231F20"/>
                <w:spacing w:val="19"/>
                <w:w w:val="110"/>
                <w:sz w:val="15"/>
              </w:rPr>
              <w:t> </w:t>
            </w:r>
            <w:r>
              <w:rPr>
                <w:color w:val="231F20"/>
                <w:w w:val="110"/>
                <w:sz w:val="15"/>
              </w:rPr>
              <w:t>OF</w:t>
            </w:r>
            <w:r>
              <w:rPr>
                <w:color w:val="231F20"/>
                <w:spacing w:val="19"/>
                <w:w w:val="110"/>
                <w:sz w:val="15"/>
              </w:rPr>
              <w:t> </w:t>
            </w:r>
            <w:r>
              <w:rPr>
                <w:color w:val="231F20"/>
                <w:w w:val="110"/>
                <w:sz w:val="15"/>
              </w:rPr>
              <w:t>UNKNOWN</w:t>
            </w:r>
            <w:r>
              <w:rPr>
                <w:color w:val="231F20"/>
                <w:spacing w:val="19"/>
                <w:w w:val="110"/>
                <w:sz w:val="15"/>
              </w:rPr>
              <w:t> </w:t>
            </w:r>
            <w:r>
              <w:rPr>
                <w:color w:val="231F20"/>
                <w:spacing w:val="-2"/>
                <w:w w:val="110"/>
                <w:sz w:val="15"/>
              </w:rPr>
              <w:t>CAUSE</w:t>
            </w:r>
          </w:p>
          <w:p>
            <w:pPr>
              <w:pStyle w:val="TableParagraph"/>
              <w:tabs>
                <w:tab w:pos="1825" w:val="left" w:leader="none"/>
                <w:tab w:pos="3017" w:val="left" w:leader="none"/>
              </w:tabs>
              <w:spacing w:line="230" w:lineRule="auto" w:before="3"/>
              <w:ind w:left="186" w:right="698" w:hanging="112"/>
              <w:rPr>
                <w:sz w:val="15"/>
              </w:rPr>
            </w:pPr>
            <w:r>
              <w:rPr>
                <w:color w:val="231F20"/>
                <w:sz w:val="15"/>
              </w:rPr>
              <w:t>Benign myoclonic</w:t>
              <w:tab/>
              <w:t>3 mo-3 yr</w:t>
              <w:tab/>
            </w:r>
            <w:r>
              <w:rPr>
                <w:color w:val="231F20"/>
                <w:spacing w:val="-4"/>
                <w:sz w:val="15"/>
              </w:rPr>
              <w:t>3-5</w:t>
            </w:r>
            <w:r>
              <w:rPr>
                <w:color w:val="231F20"/>
                <w:spacing w:val="-8"/>
                <w:sz w:val="15"/>
              </w:rPr>
              <w:t> </w:t>
            </w:r>
            <w:r>
              <w:rPr>
                <w:color w:val="231F20"/>
                <w:spacing w:val="-4"/>
                <w:sz w:val="15"/>
              </w:rPr>
              <w:t>yr </w:t>
            </w:r>
            <w:r>
              <w:rPr>
                <w:color w:val="231F20"/>
                <w:sz w:val="15"/>
              </w:rPr>
              <w:t>epilepsy in infancy</w:t>
            </w:r>
          </w:p>
          <w:p>
            <w:pPr>
              <w:pStyle w:val="TableParagraph"/>
              <w:tabs>
                <w:tab w:pos="1825" w:val="left" w:leader="none"/>
                <w:tab w:pos="3017" w:val="left" w:leader="none"/>
              </w:tabs>
              <w:spacing w:line="230" w:lineRule="auto" w:before="3"/>
              <w:ind w:left="186" w:right="529" w:hanging="112"/>
              <w:rPr>
                <w:sz w:val="15"/>
              </w:rPr>
            </w:pPr>
            <w:r>
              <w:rPr>
                <w:color w:val="231F20"/>
                <w:sz w:val="15"/>
              </w:rPr>
              <w:t>Epilepsy with</w:t>
              <w:tab/>
              <w:t>3-5 yr</w:t>
              <w:tab/>
            </w:r>
            <w:r>
              <w:rPr>
                <w:color w:val="231F20"/>
                <w:spacing w:val="-4"/>
                <w:sz w:val="15"/>
              </w:rPr>
              <w:t>Variable </w:t>
            </w:r>
            <w:r>
              <w:rPr>
                <w:color w:val="231F20"/>
                <w:sz w:val="15"/>
              </w:rPr>
              <w:t>myoclonic astatic</w:t>
            </w:r>
          </w:p>
          <w:p>
            <w:pPr>
              <w:pStyle w:val="TableParagraph"/>
              <w:spacing w:line="168" w:lineRule="exact"/>
              <w:ind w:left="186"/>
              <w:rPr>
                <w:sz w:val="15"/>
              </w:rPr>
            </w:pPr>
            <w:r>
              <w:rPr>
                <w:color w:val="231F20"/>
                <w:spacing w:val="-2"/>
                <w:sz w:val="15"/>
              </w:rPr>
              <w:t>seizures</w:t>
            </w:r>
          </w:p>
          <w:p>
            <w:pPr>
              <w:pStyle w:val="TableParagraph"/>
              <w:tabs>
                <w:tab w:pos="1825" w:val="left" w:leader="none"/>
                <w:tab w:pos="3017" w:val="left" w:leader="none"/>
              </w:tabs>
              <w:spacing w:line="230" w:lineRule="auto" w:before="3"/>
              <w:ind w:left="185" w:right="542" w:hanging="112"/>
              <w:rPr>
                <w:sz w:val="15"/>
              </w:rPr>
            </w:pPr>
            <w:r>
              <w:rPr>
                <w:color w:val="231F20"/>
                <w:sz w:val="15"/>
              </w:rPr>
              <w:t>Childhood absence</w:t>
              <w:tab/>
              <w:t>5-6 yr</w:t>
              <w:tab/>
            </w:r>
            <w:r>
              <w:rPr>
                <w:color w:val="231F20"/>
                <w:spacing w:val="-4"/>
                <w:sz w:val="15"/>
              </w:rPr>
              <w:t>10-12</w:t>
            </w:r>
            <w:r>
              <w:rPr>
                <w:color w:val="231F20"/>
                <w:spacing w:val="-8"/>
                <w:sz w:val="15"/>
              </w:rPr>
              <w:t> </w:t>
            </w:r>
            <w:r>
              <w:rPr>
                <w:color w:val="231F20"/>
                <w:spacing w:val="-4"/>
                <w:sz w:val="15"/>
              </w:rPr>
              <w:t>yr </w:t>
            </w:r>
            <w:r>
              <w:rPr>
                <w:color w:val="231F20"/>
                <w:spacing w:val="-2"/>
                <w:sz w:val="15"/>
              </w:rPr>
              <w:t>epilepsy</w:t>
            </w:r>
          </w:p>
          <w:p>
            <w:pPr>
              <w:pStyle w:val="TableParagraph"/>
              <w:tabs>
                <w:tab w:pos="1824" w:val="left" w:leader="none"/>
                <w:tab w:pos="3017" w:val="left" w:leader="none"/>
              </w:tabs>
              <w:spacing w:line="230" w:lineRule="auto" w:before="171"/>
              <w:ind w:left="185" w:right="529" w:hanging="112"/>
              <w:rPr>
                <w:sz w:val="15"/>
              </w:rPr>
            </w:pPr>
            <w:r>
              <w:rPr>
                <w:color w:val="231F20"/>
                <w:sz w:val="15"/>
              </w:rPr>
              <w:t>Epilepsy with</w:t>
              <w:tab/>
              <w:t>1-12 yr</w:t>
              <w:tab/>
            </w:r>
            <w:r>
              <w:rPr>
                <w:color w:val="231F20"/>
                <w:spacing w:val="-4"/>
                <w:sz w:val="15"/>
              </w:rPr>
              <w:t>Variable </w:t>
            </w:r>
            <w:r>
              <w:rPr>
                <w:color w:val="231F20"/>
                <w:sz w:val="15"/>
              </w:rPr>
              <w:t>myoclonic absences</w:t>
            </w:r>
          </w:p>
        </w:tc>
        <w:tc>
          <w:tcPr>
            <w:tcW w:w="1141" w:type="dxa"/>
            <w:tcBorders>
              <w:top w:val="single" w:sz="4" w:space="0" w:color="FFFFFF"/>
              <w:bottom w:val="single" w:sz="8" w:space="0" w:color="231F20"/>
            </w:tcBorders>
            <w:shd w:val="clear" w:color="auto" w:fill="E8F5F1"/>
          </w:tcPr>
          <w:p>
            <w:pPr>
              <w:pStyle w:val="TableParagraph"/>
              <w:spacing w:before="38"/>
              <w:rPr>
                <w:sz w:val="15"/>
              </w:rPr>
            </w:pPr>
          </w:p>
          <w:p>
            <w:pPr>
              <w:pStyle w:val="TableParagraph"/>
              <w:spacing w:line="465" w:lineRule="auto"/>
              <w:ind w:left="124" w:right="472"/>
              <w:rPr>
                <w:sz w:val="15"/>
              </w:rPr>
            </w:pPr>
            <w:r>
              <w:rPr>
                <w:color w:val="231F20"/>
                <w:spacing w:val="-4"/>
                <w:sz w:val="15"/>
              </w:rPr>
              <w:t>Variable </w:t>
            </w:r>
            <w:r>
              <w:rPr>
                <w:color w:val="231F20"/>
                <w:spacing w:val="-5"/>
                <w:sz w:val="15"/>
              </w:rPr>
              <w:t>Variable</w:t>
            </w:r>
          </w:p>
          <w:p>
            <w:pPr>
              <w:pStyle w:val="TableParagraph"/>
              <w:spacing w:before="167"/>
              <w:ind w:left="124"/>
              <w:rPr>
                <w:sz w:val="15"/>
              </w:rPr>
            </w:pPr>
            <w:r>
              <w:rPr>
                <w:color w:val="231F20"/>
                <w:spacing w:val="-4"/>
                <w:w w:val="110"/>
                <w:sz w:val="15"/>
              </w:rPr>
              <w:t>Good</w:t>
            </w:r>
          </w:p>
          <w:p>
            <w:pPr>
              <w:pStyle w:val="TableParagraph"/>
              <w:spacing w:before="157"/>
              <w:rPr>
                <w:sz w:val="15"/>
              </w:rPr>
            </w:pPr>
          </w:p>
          <w:p>
            <w:pPr>
              <w:pStyle w:val="TableParagraph"/>
              <w:ind w:left="123"/>
              <w:rPr>
                <w:sz w:val="15"/>
              </w:rPr>
            </w:pPr>
            <w:r>
              <w:rPr>
                <w:color w:val="231F20"/>
                <w:spacing w:val="-2"/>
                <w:w w:val="105"/>
                <w:sz w:val="15"/>
              </w:rPr>
              <w:t>Guarded</w:t>
            </w:r>
          </w:p>
        </w:tc>
        <w:tc>
          <w:tcPr>
            <w:tcW w:w="1513" w:type="dxa"/>
            <w:tcBorders>
              <w:top w:val="single" w:sz="4" w:space="0" w:color="FFFFFF"/>
              <w:bottom w:val="single" w:sz="8" w:space="0" w:color="231F20"/>
            </w:tcBorders>
            <w:shd w:val="clear" w:color="auto" w:fill="E8F5F1"/>
          </w:tcPr>
          <w:p>
            <w:pPr>
              <w:pStyle w:val="TableParagraph"/>
              <w:spacing w:before="38"/>
              <w:rPr>
                <w:sz w:val="15"/>
              </w:rPr>
            </w:pPr>
          </w:p>
          <w:p>
            <w:pPr>
              <w:pStyle w:val="TableParagraph"/>
              <w:spacing w:line="465" w:lineRule="auto"/>
              <w:ind w:left="123" w:right="286"/>
              <w:rPr>
                <w:sz w:val="15"/>
              </w:rPr>
            </w:pPr>
            <w:r>
              <w:rPr>
                <w:color w:val="231F20"/>
                <w:w w:val="105"/>
                <w:sz w:val="15"/>
              </w:rPr>
              <w:t>LEV,</w:t>
            </w:r>
            <w:r>
              <w:rPr>
                <w:color w:val="231F20"/>
                <w:spacing w:val="-7"/>
                <w:w w:val="105"/>
                <w:sz w:val="15"/>
              </w:rPr>
              <w:t> </w:t>
            </w:r>
            <w:r>
              <w:rPr>
                <w:color w:val="231F20"/>
                <w:w w:val="105"/>
                <w:sz w:val="15"/>
              </w:rPr>
              <w:t>TPM,</w:t>
            </w:r>
            <w:r>
              <w:rPr>
                <w:color w:val="231F20"/>
                <w:spacing w:val="-7"/>
                <w:w w:val="105"/>
                <w:sz w:val="15"/>
              </w:rPr>
              <w:t> </w:t>
            </w:r>
            <w:r>
              <w:rPr>
                <w:color w:val="231F20"/>
                <w:w w:val="105"/>
                <w:sz w:val="15"/>
              </w:rPr>
              <w:t>VPA ESM,</w:t>
            </w:r>
            <w:r>
              <w:rPr>
                <w:color w:val="231F20"/>
                <w:spacing w:val="1"/>
                <w:w w:val="105"/>
                <w:sz w:val="15"/>
              </w:rPr>
              <w:t> </w:t>
            </w:r>
            <w:r>
              <w:rPr>
                <w:color w:val="231F20"/>
                <w:w w:val="105"/>
                <w:sz w:val="15"/>
              </w:rPr>
              <w:t>TPM,</w:t>
            </w:r>
            <w:r>
              <w:rPr>
                <w:color w:val="231F20"/>
                <w:spacing w:val="2"/>
                <w:w w:val="105"/>
                <w:sz w:val="15"/>
              </w:rPr>
              <w:t> </w:t>
            </w:r>
            <w:r>
              <w:rPr>
                <w:color w:val="231F20"/>
                <w:spacing w:val="-5"/>
                <w:w w:val="105"/>
                <w:sz w:val="15"/>
              </w:rPr>
              <w:t>VPA</w:t>
            </w:r>
          </w:p>
          <w:p>
            <w:pPr>
              <w:pStyle w:val="TableParagraph"/>
              <w:spacing w:before="167"/>
              <w:ind w:left="123"/>
              <w:rPr>
                <w:sz w:val="15"/>
              </w:rPr>
            </w:pPr>
            <w:r>
              <w:rPr>
                <w:color w:val="231F20"/>
                <w:w w:val="105"/>
                <w:sz w:val="15"/>
              </w:rPr>
              <w:t>ESM,</w:t>
            </w:r>
            <w:r>
              <w:rPr>
                <w:color w:val="231F20"/>
                <w:spacing w:val="-7"/>
                <w:w w:val="105"/>
                <w:sz w:val="15"/>
              </w:rPr>
              <w:t> </w:t>
            </w:r>
            <w:r>
              <w:rPr>
                <w:color w:val="231F20"/>
                <w:w w:val="105"/>
                <w:sz w:val="15"/>
              </w:rPr>
              <w:t>LTG,</w:t>
            </w:r>
            <w:r>
              <w:rPr>
                <w:color w:val="231F20"/>
                <w:spacing w:val="-6"/>
                <w:w w:val="105"/>
                <w:sz w:val="15"/>
              </w:rPr>
              <w:t> </w:t>
            </w:r>
            <w:r>
              <w:rPr>
                <w:color w:val="231F20"/>
                <w:spacing w:val="-5"/>
                <w:w w:val="105"/>
                <w:sz w:val="15"/>
              </w:rPr>
              <w:t>VPA</w:t>
            </w:r>
          </w:p>
          <w:p>
            <w:pPr>
              <w:pStyle w:val="TableParagraph"/>
              <w:spacing w:before="157"/>
              <w:rPr>
                <w:sz w:val="15"/>
              </w:rPr>
            </w:pPr>
          </w:p>
          <w:p>
            <w:pPr>
              <w:pStyle w:val="TableParagraph"/>
              <w:ind w:left="123"/>
              <w:rPr>
                <w:sz w:val="15"/>
              </w:rPr>
            </w:pPr>
            <w:r>
              <w:rPr>
                <w:color w:val="231F20"/>
                <w:w w:val="110"/>
                <w:sz w:val="15"/>
              </w:rPr>
              <w:t>ESM,</w:t>
            </w:r>
            <w:r>
              <w:rPr>
                <w:color w:val="231F20"/>
                <w:spacing w:val="-7"/>
                <w:w w:val="110"/>
                <w:sz w:val="15"/>
              </w:rPr>
              <w:t> </w:t>
            </w:r>
            <w:r>
              <w:rPr>
                <w:color w:val="231F20"/>
                <w:spacing w:val="-5"/>
                <w:w w:val="110"/>
                <w:sz w:val="15"/>
              </w:rPr>
              <w:t>VPA</w:t>
            </w:r>
          </w:p>
        </w:tc>
        <w:tc>
          <w:tcPr>
            <w:tcW w:w="1540" w:type="dxa"/>
            <w:tcBorders>
              <w:top w:val="single" w:sz="4" w:space="0" w:color="FFFFFF"/>
              <w:bottom w:val="single" w:sz="8" w:space="0" w:color="231F20"/>
            </w:tcBorders>
            <w:shd w:val="clear" w:color="auto" w:fill="E8F5F1"/>
          </w:tcPr>
          <w:p>
            <w:pPr>
              <w:pStyle w:val="TableParagraph"/>
              <w:spacing w:before="38"/>
              <w:rPr>
                <w:sz w:val="15"/>
              </w:rPr>
            </w:pPr>
          </w:p>
          <w:p>
            <w:pPr>
              <w:pStyle w:val="TableParagraph"/>
              <w:ind w:left="123"/>
              <w:rPr>
                <w:sz w:val="15"/>
              </w:rPr>
            </w:pPr>
            <w:r>
              <w:rPr>
                <w:color w:val="231F20"/>
                <w:w w:val="105"/>
                <w:sz w:val="15"/>
              </w:rPr>
              <w:t>BDZ,</w:t>
            </w:r>
            <w:r>
              <w:rPr>
                <w:color w:val="231F20"/>
                <w:spacing w:val="-8"/>
                <w:w w:val="105"/>
                <w:sz w:val="15"/>
              </w:rPr>
              <w:t> </w:t>
            </w:r>
            <w:r>
              <w:rPr>
                <w:color w:val="231F20"/>
                <w:spacing w:val="-5"/>
                <w:w w:val="110"/>
                <w:sz w:val="15"/>
              </w:rPr>
              <w:t>ZON</w:t>
            </w:r>
          </w:p>
          <w:p>
            <w:pPr>
              <w:pStyle w:val="TableParagraph"/>
              <w:spacing w:line="230" w:lineRule="auto" w:before="169"/>
              <w:ind w:left="235" w:right="297" w:hanging="112"/>
              <w:rPr>
                <w:sz w:val="15"/>
              </w:rPr>
            </w:pPr>
            <w:r>
              <w:rPr>
                <w:color w:val="231F20"/>
                <w:sz w:val="15"/>
              </w:rPr>
              <w:t>BDZ, ketogenic </w:t>
            </w:r>
            <w:r>
              <w:rPr>
                <w:color w:val="231F20"/>
                <w:spacing w:val="-2"/>
                <w:sz w:val="15"/>
              </w:rPr>
              <w:t>diet,</w:t>
            </w:r>
            <w:r>
              <w:rPr>
                <w:color w:val="231F20"/>
                <w:spacing w:val="-10"/>
                <w:sz w:val="15"/>
              </w:rPr>
              <w:t> </w:t>
            </w:r>
            <w:r>
              <w:rPr>
                <w:color w:val="231F20"/>
                <w:spacing w:val="-2"/>
                <w:sz w:val="15"/>
              </w:rPr>
              <w:t>LEV,</w:t>
            </w:r>
            <w:r>
              <w:rPr>
                <w:color w:val="231F20"/>
                <w:spacing w:val="-9"/>
                <w:sz w:val="15"/>
              </w:rPr>
              <w:t> </w:t>
            </w:r>
            <w:r>
              <w:rPr>
                <w:color w:val="231F20"/>
                <w:spacing w:val="-2"/>
                <w:sz w:val="15"/>
              </w:rPr>
              <w:t>LTG, </w:t>
            </w:r>
            <w:r>
              <w:rPr>
                <w:color w:val="231F20"/>
                <w:sz w:val="15"/>
              </w:rPr>
              <w:t>steroids, ZON</w:t>
            </w:r>
          </w:p>
          <w:p>
            <w:pPr>
              <w:pStyle w:val="TableParagraph"/>
              <w:spacing w:line="230" w:lineRule="auto" w:before="4"/>
              <w:ind w:left="235" w:right="297" w:hanging="112"/>
              <w:rPr>
                <w:sz w:val="15"/>
              </w:rPr>
            </w:pPr>
            <w:r>
              <w:rPr>
                <w:color w:val="231F20"/>
                <w:spacing w:val="-2"/>
                <w:sz w:val="15"/>
              </w:rPr>
              <w:t>Acetazolamide, ketogenic</w:t>
            </w:r>
            <w:r>
              <w:rPr>
                <w:color w:val="231F20"/>
                <w:spacing w:val="-10"/>
                <w:sz w:val="15"/>
              </w:rPr>
              <w:t> </w:t>
            </w:r>
            <w:r>
              <w:rPr>
                <w:color w:val="231F20"/>
                <w:spacing w:val="-2"/>
                <w:sz w:val="15"/>
              </w:rPr>
              <w:t>diet, </w:t>
            </w:r>
            <w:r>
              <w:rPr>
                <w:color w:val="231F20"/>
                <w:spacing w:val="-4"/>
                <w:sz w:val="15"/>
              </w:rPr>
              <w:t>ZON</w:t>
            </w:r>
          </w:p>
          <w:p>
            <w:pPr>
              <w:pStyle w:val="TableParagraph"/>
              <w:spacing w:line="172" w:lineRule="exact"/>
              <w:ind w:left="123"/>
              <w:rPr>
                <w:sz w:val="15"/>
              </w:rPr>
            </w:pPr>
            <w:r>
              <w:rPr>
                <w:color w:val="231F20"/>
                <w:w w:val="105"/>
                <w:sz w:val="15"/>
              </w:rPr>
              <w:t>BDZ,</w:t>
            </w:r>
            <w:r>
              <w:rPr>
                <w:color w:val="231F20"/>
                <w:spacing w:val="-8"/>
                <w:w w:val="105"/>
                <w:sz w:val="15"/>
              </w:rPr>
              <w:t> </w:t>
            </w:r>
            <w:r>
              <w:rPr>
                <w:color w:val="231F20"/>
                <w:spacing w:val="-5"/>
                <w:w w:val="110"/>
                <w:sz w:val="15"/>
              </w:rPr>
              <w:t>ZON</w:t>
            </w:r>
          </w:p>
        </w:tc>
        <w:tc>
          <w:tcPr>
            <w:tcW w:w="1460" w:type="dxa"/>
            <w:tcBorders>
              <w:top w:val="single" w:sz="4" w:space="0" w:color="FFFFFF"/>
              <w:bottom w:val="single" w:sz="8" w:space="0" w:color="231F20"/>
            </w:tcBorders>
            <w:shd w:val="clear" w:color="auto" w:fill="E8F5F1"/>
          </w:tcPr>
          <w:p>
            <w:pPr>
              <w:pStyle w:val="TableParagraph"/>
              <w:spacing w:before="38"/>
              <w:rPr>
                <w:sz w:val="15"/>
              </w:rPr>
            </w:pPr>
          </w:p>
          <w:p>
            <w:pPr>
              <w:pStyle w:val="TableParagraph"/>
              <w:spacing w:line="465" w:lineRule="auto"/>
              <w:ind w:left="15" w:right="1232"/>
              <w:rPr>
                <w:sz w:val="15"/>
              </w:rPr>
            </w:pPr>
            <w:r>
              <w:rPr>
                <w:color w:val="231F20"/>
                <w:spacing w:val="-6"/>
                <w:w w:val="115"/>
                <w:sz w:val="15"/>
              </w:rPr>
              <w:t>No </w:t>
            </w:r>
            <w:r>
              <w:rPr>
                <w:color w:val="231F20"/>
                <w:spacing w:val="-5"/>
                <w:w w:val="115"/>
                <w:sz w:val="15"/>
              </w:rPr>
              <w:t>No</w:t>
            </w:r>
          </w:p>
          <w:p>
            <w:pPr>
              <w:pStyle w:val="TableParagraph"/>
              <w:spacing w:before="167"/>
              <w:ind w:left="15"/>
              <w:rPr>
                <w:sz w:val="15"/>
              </w:rPr>
            </w:pPr>
            <w:r>
              <w:rPr>
                <w:color w:val="231F20"/>
                <w:spacing w:val="-5"/>
                <w:w w:val="115"/>
                <w:sz w:val="15"/>
              </w:rPr>
              <w:t>No</w:t>
            </w:r>
          </w:p>
          <w:p>
            <w:pPr>
              <w:pStyle w:val="TableParagraph"/>
              <w:spacing w:before="157"/>
              <w:rPr>
                <w:sz w:val="15"/>
              </w:rPr>
            </w:pPr>
          </w:p>
          <w:p>
            <w:pPr>
              <w:pStyle w:val="TableParagraph"/>
              <w:ind w:left="15"/>
              <w:rPr>
                <w:sz w:val="15"/>
              </w:rPr>
            </w:pPr>
            <w:r>
              <w:rPr>
                <w:color w:val="231F20"/>
                <w:spacing w:val="-5"/>
                <w:w w:val="115"/>
                <w:sz w:val="15"/>
              </w:rPr>
              <w:t>No</w:t>
            </w:r>
          </w:p>
        </w:tc>
      </w:tr>
    </w:tbl>
    <w:p>
      <w:pPr>
        <w:pStyle w:val="BodyText"/>
        <w:spacing w:line="150" w:lineRule="exact" w:before="75"/>
        <w:ind w:left="822"/>
      </w:pPr>
      <w:r>
        <w:rPr>
          <w:color w:val="231F20"/>
        </w:rPr>
        <w:t>*Reflects</w:t>
      </w:r>
      <w:r>
        <w:rPr>
          <w:color w:val="231F20"/>
          <w:spacing w:val="-2"/>
        </w:rPr>
        <w:t> </w:t>
      </w:r>
      <w:r>
        <w:rPr>
          <w:color w:val="231F20"/>
        </w:rPr>
        <w:t>current</w:t>
      </w:r>
      <w:r>
        <w:rPr>
          <w:color w:val="231F20"/>
          <w:spacing w:val="-2"/>
        </w:rPr>
        <w:t> </w:t>
      </w:r>
      <w:r>
        <w:rPr>
          <w:color w:val="231F20"/>
        </w:rPr>
        <w:t>trends</w:t>
      </w:r>
      <w:r>
        <w:rPr>
          <w:color w:val="231F20"/>
          <w:spacing w:val="-2"/>
        </w:rPr>
        <w:t> </w:t>
      </w:r>
      <w:r>
        <w:rPr>
          <w:color w:val="231F20"/>
        </w:rPr>
        <w:t>in</w:t>
      </w:r>
      <w:r>
        <w:rPr>
          <w:color w:val="231F20"/>
          <w:spacing w:val="-1"/>
        </w:rPr>
        <w:t> </w:t>
      </w:r>
      <w:r>
        <w:rPr>
          <w:color w:val="231F20"/>
        </w:rPr>
        <w:t>practice,</w:t>
      </w:r>
      <w:r>
        <w:rPr>
          <w:color w:val="231F20"/>
          <w:spacing w:val="-2"/>
        </w:rPr>
        <w:t> </w:t>
      </w:r>
      <w:r>
        <w:rPr>
          <w:color w:val="231F20"/>
        </w:rPr>
        <w:t>which</w:t>
      </w:r>
      <w:r>
        <w:rPr>
          <w:color w:val="231F20"/>
          <w:spacing w:val="-2"/>
        </w:rPr>
        <w:t> </w:t>
      </w:r>
      <w:r>
        <w:rPr>
          <w:color w:val="231F20"/>
        </w:rPr>
        <w:t>may</w:t>
      </w:r>
      <w:r>
        <w:rPr>
          <w:color w:val="231F20"/>
          <w:spacing w:val="-1"/>
        </w:rPr>
        <w:t> </w:t>
      </w:r>
      <w:r>
        <w:rPr>
          <w:color w:val="231F20"/>
        </w:rPr>
        <w:t>be</w:t>
      </w:r>
      <w:r>
        <w:rPr>
          <w:color w:val="231F20"/>
          <w:spacing w:val="-2"/>
        </w:rPr>
        <w:t> </w:t>
      </w:r>
      <w:r>
        <w:rPr>
          <w:color w:val="231F20"/>
        </w:rPr>
        <w:t>off-label</w:t>
      </w:r>
      <w:r>
        <w:rPr>
          <w:color w:val="231F20"/>
          <w:spacing w:val="-2"/>
        </w:rPr>
        <w:t> </w:t>
      </w:r>
      <w:r>
        <w:rPr>
          <w:color w:val="231F20"/>
        </w:rPr>
        <w:t>and</w:t>
      </w:r>
      <w:r>
        <w:rPr>
          <w:color w:val="231F20"/>
          <w:spacing w:val="-2"/>
        </w:rPr>
        <w:t> </w:t>
      </w:r>
      <w:r>
        <w:rPr>
          <w:color w:val="231F20"/>
        </w:rPr>
        <w:t>may</w:t>
      </w:r>
      <w:r>
        <w:rPr>
          <w:color w:val="231F20"/>
          <w:spacing w:val="-1"/>
        </w:rPr>
        <w:t> </w:t>
      </w:r>
      <w:r>
        <w:rPr>
          <w:color w:val="231F20"/>
        </w:rPr>
        <w:t>not</w:t>
      </w:r>
      <w:r>
        <w:rPr>
          <w:color w:val="231F20"/>
          <w:spacing w:val="-2"/>
        </w:rPr>
        <w:t> </w:t>
      </w:r>
      <w:r>
        <w:rPr>
          <w:color w:val="231F20"/>
        </w:rPr>
        <w:t>be</w:t>
      </w:r>
      <w:r>
        <w:rPr>
          <w:color w:val="231F20"/>
          <w:spacing w:val="-2"/>
        </w:rPr>
        <w:t> </w:t>
      </w:r>
      <w:r>
        <w:rPr>
          <w:color w:val="231F20"/>
        </w:rPr>
        <w:t>FDA</w:t>
      </w:r>
      <w:r>
        <w:rPr>
          <w:color w:val="231F20"/>
          <w:spacing w:val="-1"/>
        </w:rPr>
        <w:t> </w:t>
      </w:r>
      <w:r>
        <w:rPr>
          <w:color w:val="231F20"/>
        </w:rPr>
        <w:t>approved</w:t>
      </w:r>
      <w:r>
        <w:rPr>
          <w:color w:val="231F20"/>
          <w:spacing w:val="-2"/>
        </w:rPr>
        <w:t> </w:t>
      </w:r>
      <w:r>
        <w:rPr>
          <w:color w:val="231F20"/>
        </w:rPr>
        <w:t>for</w:t>
      </w:r>
      <w:r>
        <w:rPr>
          <w:color w:val="231F20"/>
          <w:spacing w:val="-2"/>
        </w:rPr>
        <w:t> </w:t>
      </w:r>
      <w:r>
        <w:rPr>
          <w:color w:val="231F20"/>
        </w:rPr>
        <w:t>that</w:t>
      </w:r>
      <w:r>
        <w:rPr>
          <w:color w:val="231F20"/>
          <w:spacing w:val="-2"/>
        </w:rPr>
        <w:t> </w:t>
      </w:r>
      <w:r>
        <w:rPr>
          <w:color w:val="231F20"/>
        </w:rPr>
        <w:t>indication.</w:t>
      </w:r>
      <w:r>
        <w:rPr>
          <w:color w:val="231F20"/>
          <w:spacing w:val="-1"/>
        </w:rPr>
        <w:t> </w:t>
      </w:r>
      <w:r>
        <w:rPr>
          <w:color w:val="231F20"/>
        </w:rPr>
        <w:t>See</w:t>
      </w:r>
      <w:r>
        <w:rPr>
          <w:color w:val="231F20"/>
          <w:spacing w:val="-2"/>
        </w:rPr>
        <w:t> </w:t>
      </w:r>
      <w:r>
        <w:rPr>
          <w:color w:val="0080AC"/>
        </w:rPr>
        <w:t>Table</w:t>
      </w:r>
      <w:r>
        <w:rPr>
          <w:color w:val="0080AC"/>
          <w:spacing w:val="-2"/>
        </w:rPr>
        <w:t> </w:t>
      </w:r>
      <w:r>
        <w:rPr>
          <w:color w:val="0080AC"/>
        </w:rPr>
        <w:t>593-10</w:t>
      </w:r>
      <w:r>
        <w:rPr>
          <w:color w:val="0080AC"/>
          <w:spacing w:val="-1"/>
        </w:rPr>
        <w:t> </w:t>
      </w:r>
      <w:r>
        <w:rPr>
          <w:color w:val="231F20"/>
        </w:rPr>
        <w:t>for</w:t>
      </w:r>
      <w:r>
        <w:rPr>
          <w:color w:val="231F20"/>
          <w:spacing w:val="-2"/>
        </w:rPr>
        <w:t> </w:t>
      </w:r>
      <w:r>
        <w:rPr>
          <w:color w:val="231F20"/>
        </w:rPr>
        <w:t>FDA</w:t>
      </w:r>
      <w:r>
        <w:rPr>
          <w:color w:val="231F20"/>
          <w:spacing w:val="-2"/>
        </w:rPr>
        <w:t> indications.</w:t>
      </w:r>
    </w:p>
    <w:p>
      <w:pPr>
        <w:pStyle w:val="BodyText"/>
        <w:spacing w:line="150" w:lineRule="exact"/>
        <w:ind w:left="953"/>
      </w:pPr>
      <w:r>
        <w:rPr>
          <w:color w:val="231F20"/>
          <w:vertAlign w:val="superscript"/>
        </w:rPr>
        <w:t>†</w:t>
      </w:r>
      <w:r>
        <w:rPr>
          <w:color w:val="231F20"/>
          <w:vertAlign w:val="baseline"/>
        </w:rPr>
        <w:t>May</w:t>
      </w:r>
      <w:r>
        <w:rPr>
          <w:color w:val="231F20"/>
          <w:spacing w:val="-1"/>
          <w:vertAlign w:val="baseline"/>
        </w:rPr>
        <w:t> </w:t>
      </w:r>
      <w:r>
        <w:rPr>
          <w:color w:val="231F20"/>
          <w:vertAlign w:val="baseline"/>
        </w:rPr>
        <w:t>apply</w:t>
      </w:r>
      <w:r>
        <w:rPr>
          <w:color w:val="231F20"/>
          <w:spacing w:val="-1"/>
          <w:vertAlign w:val="baseline"/>
        </w:rPr>
        <w:t> </w:t>
      </w:r>
      <w:r>
        <w:rPr>
          <w:color w:val="231F20"/>
          <w:vertAlign w:val="baseline"/>
        </w:rPr>
        <w:t>to</w:t>
      </w:r>
      <w:r>
        <w:rPr>
          <w:color w:val="231F20"/>
          <w:spacing w:val="-1"/>
          <w:vertAlign w:val="baseline"/>
        </w:rPr>
        <w:t> </w:t>
      </w:r>
      <w:r>
        <w:rPr>
          <w:color w:val="231F20"/>
          <w:vertAlign w:val="baseline"/>
        </w:rPr>
        <w:t>selected</w:t>
      </w:r>
      <w:r>
        <w:rPr>
          <w:color w:val="231F20"/>
          <w:spacing w:val="-1"/>
          <w:vertAlign w:val="baseline"/>
        </w:rPr>
        <w:t> </w:t>
      </w:r>
      <w:r>
        <w:rPr>
          <w:color w:val="231F20"/>
          <w:vertAlign w:val="baseline"/>
        </w:rPr>
        <w:t>cases</w:t>
      </w:r>
      <w:r>
        <w:rPr>
          <w:color w:val="231F20"/>
          <w:spacing w:val="-1"/>
          <w:vertAlign w:val="baseline"/>
        </w:rPr>
        <w:t> </w:t>
      </w:r>
      <w:r>
        <w:rPr>
          <w:color w:val="231F20"/>
          <w:vertAlign w:val="baseline"/>
        </w:rPr>
        <w:t>only.</w:t>
      </w:r>
      <w:r>
        <w:rPr>
          <w:color w:val="231F20"/>
          <w:spacing w:val="-1"/>
          <w:vertAlign w:val="baseline"/>
        </w:rPr>
        <w:t> </w:t>
      </w:r>
      <w:r>
        <w:rPr>
          <w:color w:val="231F20"/>
          <w:vertAlign w:val="baseline"/>
        </w:rPr>
        <w:t>Vagus</w:t>
      </w:r>
      <w:r>
        <w:rPr>
          <w:color w:val="231F20"/>
          <w:spacing w:val="-1"/>
          <w:vertAlign w:val="baseline"/>
        </w:rPr>
        <w:t> </w:t>
      </w:r>
      <w:r>
        <w:rPr>
          <w:color w:val="231F20"/>
          <w:vertAlign w:val="baseline"/>
        </w:rPr>
        <w:t>nerve</w:t>
      </w:r>
      <w:r>
        <w:rPr>
          <w:color w:val="231F20"/>
          <w:spacing w:val="-1"/>
          <w:vertAlign w:val="baseline"/>
        </w:rPr>
        <w:t> </w:t>
      </w:r>
      <w:r>
        <w:rPr>
          <w:color w:val="231F20"/>
          <w:vertAlign w:val="baseline"/>
        </w:rPr>
        <w:t>stimulation</w:t>
      </w:r>
      <w:r>
        <w:rPr>
          <w:color w:val="231F20"/>
          <w:spacing w:val="-1"/>
          <w:vertAlign w:val="baseline"/>
        </w:rPr>
        <w:t> </w:t>
      </w:r>
      <w:r>
        <w:rPr>
          <w:color w:val="231F20"/>
          <w:vertAlign w:val="baseline"/>
        </w:rPr>
        <w:t>has been</w:t>
      </w:r>
      <w:r>
        <w:rPr>
          <w:color w:val="231F20"/>
          <w:spacing w:val="-1"/>
          <w:vertAlign w:val="baseline"/>
        </w:rPr>
        <w:t> </w:t>
      </w:r>
      <w:r>
        <w:rPr>
          <w:color w:val="231F20"/>
          <w:vertAlign w:val="baseline"/>
        </w:rPr>
        <w:t>used</w:t>
      </w:r>
      <w:r>
        <w:rPr>
          <w:color w:val="231F20"/>
          <w:spacing w:val="-1"/>
          <w:vertAlign w:val="baseline"/>
        </w:rPr>
        <w:t> </w:t>
      </w:r>
      <w:r>
        <w:rPr>
          <w:color w:val="231F20"/>
          <w:vertAlign w:val="baseline"/>
        </w:rPr>
        <w:t>for</w:t>
      </w:r>
      <w:r>
        <w:rPr>
          <w:color w:val="231F20"/>
          <w:spacing w:val="-1"/>
          <w:vertAlign w:val="baseline"/>
        </w:rPr>
        <w:t> </w:t>
      </w:r>
      <w:r>
        <w:rPr>
          <w:color w:val="231F20"/>
          <w:vertAlign w:val="baseline"/>
        </w:rPr>
        <w:t>all</w:t>
      </w:r>
      <w:r>
        <w:rPr>
          <w:color w:val="231F20"/>
          <w:spacing w:val="-1"/>
          <w:vertAlign w:val="baseline"/>
        </w:rPr>
        <w:t> </w:t>
      </w:r>
      <w:r>
        <w:rPr>
          <w:color w:val="231F20"/>
          <w:vertAlign w:val="baseline"/>
        </w:rPr>
        <w:t>types</w:t>
      </w:r>
      <w:r>
        <w:rPr>
          <w:color w:val="231F20"/>
          <w:spacing w:val="-1"/>
          <w:vertAlign w:val="baseline"/>
        </w:rPr>
        <w:t> </w:t>
      </w:r>
      <w:r>
        <w:rPr>
          <w:color w:val="231F20"/>
          <w:vertAlign w:val="baseline"/>
        </w:rPr>
        <w:t>of</w:t>
      </w:r>
      <w:r>
        <w:rPr>
          <w:color w:val="231F20"/>
          <w:spacing w:val="-1"/>
          <w:vertAlign w:val="baseline"/>
        </w:rPr>
        <w:t> </w:t>
      </w:r>
      <w:r>
        <w:rPr>
          <w:color w:val="231F20"/>
          <w:vertAlign w:val="baseline"/>
        </w:rPr>
        <w:t>refractory</w:t>
      </w:r>
      <w:r>
        <w:rPr>
          <w:color w:val="231F20"/>
          <w:spacing w:val="-1"/>
          <w:vertAlign w:val="baseline"/>
        </w:rPr>
        <w:t> </w:t>
      </w:r>
      <w:r>
        <w:rPr>
          <w:color w:val="231F20"/>
          <w:vertAlign w:val="baseline"/>
        </w:rPr>
        <w:t>seizures</w:t>
      </w:r>
      <w:r>
        <w:rPr>
          <w:color w:val="231F20"/>
          <w:spacing w:val="-1"/>
          <w:vertAlign w:val="baseline"/>
        </w:rPr>
        <w:t> </w:t>
      </w:r>
      <w:r>
        <w:rPr>
          <w:color w:val="231F20"/>
          <w:vertAlign w:val="baseline"/>
        </w:rPr>
        <w:t>and epilepsy</w:t>
      </w:r>
      <w:r>
        <w:rPr>
          <w:color w:val="231F20"/>
          <w:spacing w:val="-1"/>
          <w:vertAlign w:val="baseline"/>
        </w:rPr>
        <w:t> </w:t>
      </w:r>
      <w:r>
        <w:rPr>
          <w:color w:val="231F20"/>
          <w:spacing w:val="-2"/>
          <w:vertAlign w:val="baseline"/>
        </w:rPr>
        <w:t>types.</w:t>
      </w:r>
    </w:p>
    <w:p>
      <w:pPr>
        <w:pStyle w:val="BodyText"/>
        <w:spacing w:before="17"/>
        <w:ind w:left="822" w:right="446" w:firstLine="130"/>
      </w:pPr>
      <w:r>
        <w:rPr>
          <w:color w:val="231F20"/>
        </w:rPr>
        <w:t>ACTH, adrenocorticotropic hormone; BDZ, benzodiazepine; CBZ, carbamazepine; CLB, clobazam; DZP: diazepam; ESM, ethosuximide; FBM: felbamate; GBP,</w:t>
      </w:r>
      <w:r>
        <w:rPr>
          <w:color w:val="231F20"/>
          <w:spacing w:val="40"/>
        </w:rPr>
        <w:t> </w:t>
      </w:r>
      <w:r>
        <w:rPr>
          <w:color w:val="231F20"/>
        </w:rPr>
        <w:t>gabapentin;</w:t>
      </w:r>
      <w:r>
        <w:rPr>
          <w:color w:val="231F20"/>
          <w:spacing w:val="-7"/>
        </w:rPr>
        <w:t> </w:t>
      </w:r>
      <w:r>
        <w:rPr>
          <w:color w:val="231F20"/>
        </w:rPr>
        <w:t>IVIG,</w:t>
      </w:r>
      <w:r>
        <w:rPr>
          <w:color w:val="231F20"/>
          <w:spacing w:val="-7"/>
        </w:rPr>
        <w:t> </w:t>
      </w:r>
      <w:r>
        <w:rPr>
          <w:color w:val="231F20"/>
        </w:rPr>
        <w:t>intravenous</w:t>
      </w:r>
      <w:r>
        <w:rPr>
          <w:color w:val="231F20"/>
          <w:spacing w:val="-7"/>
        </w:rPr>
        <w:t> </w:t>
      </w:r>
      <w:r>
        <w:rPr>
          <w:color w:val="231F20"/>
        </w:rPr>
        <w:t>immunoglobulin;</w:t>
      </w:r>
      <w:r>
        <w:rPr>
          <w:color w:val="231F20"/>
          <w:spacing w:val="-7"/>
        </w:rPr>
        <w:t> </w:t>
      </w:r>
      <w:r>
        <w:rPr>
          <w:color w:val="231F20"/>
        </w:rPr>
        <w:t>LAC,</w:t>
      </w:r>
      <w:r>
        <w:rPr>
          <w:color w:val="231F20"/>
          <w:spacing w:val="-7"/>
        </w:rPr>
        <w:t> </w:t>
      </w:r>
      <w:r>
        <w:rPr>
          <w:color w:val="231F20"/>
        </w:rPr>
        <w:t>lacosamide;</w:t>
      </w:r>
      <w:r>
        <w:rPr>
          <w:color w:val="231F20"/>
          <w:spacing w:val="-7"/>
        </w:rPr>
        <w:t> </w:t>
      </w:r>
      <w:r>
        <w:rPr>
          <w:color w:val="231F20"/>
        </w:rPr>
        <w:t>LEV,</w:t>
      </w:r>
      <w:r>
        <w:rPr>
          <w:color w:val="231F20"/>
          <w:spacing w:val="-7"/>
        </w:rPr>
        <w:t> </w:t>
      </w:r>
      <w:r>
        <w:rPr>
          <w:color w:val="231F20"/>
        </w:rPr>
        <w:t>levetiracetam;</w:t>
      </w:r>
      <w:r>
        <w:rPr>
          <w:color w:val="231F20"/>
          <w:spacing w:val="-7"/>
        </w:rPr>
        <w:t> </w:t>
      </w:r>
      <w:r>
        <w:rPr>
          <w:color w:val="231F20"/>
        </w:rPr>
        <w:t>LTG,</w:t>
      </w:r>
      <w:r>
        <w:rPr>
          <w:color w:val="231F20"/>
          <w:spacing w:val="-7"/>
        </w:rPr>
        <w:t> </w:t>
      </w:r>
      <w:r>
        <w:rPr>
          <w:color w:val="231F20"/>
        </w:rPr>
        <w:t>lamotrigine;</w:t>
      </w:r>
      <w:r>
        <w:rPr>
          <w:color w:val="231F20"/>
          <w:spacing w:val="-7"/>
        </w:rPr>
        <w:t> </w:t>
      </w:r>
      <w:r>
        <w:rPr>
          <w:color w:val="231F20"/>
        </w:rPr>
        <w:t>n/a,</w:t>
      </w:r>
      <w:r>
        <w:rPr>
          <w:color w:val="231F20"/>
          <w:spacing w:val="-7"/>
        </w:rPr>
        <w:t> </w:t>
      </w:r>
      <w:r>
        <w:rPr>
          <w:color w:val="231F20"/>
        </w:rPr>
        <w:t>not</w:t>
      </w:r>
      <w:r>
        <w:rPr>
          <w:color w:val="231F20"/>
          <w:spacing w:val="-7"/>
        </w:rPr>
        <w:t> </w:t>
      </w:r>
      <w:r>
        <w:rPr>
          <w:color w:val="231F20"/>
        </w:rPr>
        <w:t>applicable;</w:t>
      </w:r>
      <w:r>
        <w:rPr>
          <w:color w:val="231F20"/>
          <w:spacing w:val="-7"/>
        </w:rPr>
        <w:t> </w:t>
      </w:r>
      <w:r>
        <w:rPr>
          <w:color w:val="231F20"/>
        </w:rPr>
        <w:t>OXC:</w:t>
      </w:r>
      <w:r>
        <w:rPr>
          <w:color w:val="231F20"/>
          <w:spacing w:val="-7"/>
        </w:rPr>
        <w:t> </w:t>
      </w:r>
      <w:r>
        <w:rPr>
          <w:color w:val="231F20"/>
        </w:rPr>
        <w:t>oxcarbazepine;</w:t>
      </w:r>
      <w:r>
        <w:rPr>
          <w:color w:val="231F20"/>
          <w:spacing w:val="-7"/>
        </w:rPr>
        <w:t> </w:t>
      </w:r>
      <w:r>
        <w:rPr>
          <w:color w:val="231F20"/>
        </w:rPr>
        <w:t>PB,</w:t>
      </w:r>
      <w:r>
        <w:rPr>
          <w:color w:val="231F20"/>
          <w:spacing w:val="-7"/>
        </w:rPr>
        <w:t> </w:t>
      </w:r>
      <w:r>
        <w:rPr>
          <w:color w:val="231F20"/>
        </w:rPr>
        <w:t>phenobarbital;</w:t>
      </w:r>
      <w:r>
        <w:rPr>
          <w:color w:val="231F20"/>
          <w:spacing w:val="40"/>
        </w:rPr>
        <w:t> </w:t>
      </w:r>
      <w:r>
        <w:rPr>
          <w:color w:val="231F20"/>
        </w:rPr>
        <w:t>PHT, phenytoin; PRM, primidone; RFD, rufinamide; TPM, topiramate; VGB: vigabatrin; VPA, valproic acid; ZON, zonisamide.</w:t>
      </w:r>
    </w:p>
    <w:p>
      <w:pPr>
        <w:pStyle w:val="Heading7"/>
        <w:spacing w:before="14"/>
        <w:ind w:right="343"/>
        <w:rPr>
          <w:rFonts w:ascii="Trebuchet MS"/>
        </w:rPr>
      </w:pPr>
      <w:r>
        <w:rPr>
          <w:rFonts w:ascii="Trebuchet MS"/>
          <w:color w:val="231F20"/>
          <w:spacing w:val="-2"/>
        </w:rPr>
        <w:t>Continued</w:t>
      </w:r>
    </w:p>
    <w:p>
      <w:pPr>
        <w:pStyle w:val="Heading7"/>
        <w:spacing w:after="0"/>
        <w:rPr>
          <w:rFonts w:ascii="Trebuchet MS"/>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548" name="Group 548"/>
                <wp:cNvGraphicFramePr>
                  <a:graphicFrameLocks/>
                </wp:cNvGraphicFramePr>
                <a:graphic>
                  <a:graphicData uri="http://schemas.microsoft.com/office/word/2010/wordprocessingGroup">
                    <wpg:wgp>
                      <wpg:cNvPr id="548" name="Group 548"/>
                      <wpg:cNvGrpSpPr/>
                      <wpg:grpSpPr>
                        <a:xfrm>
                          <a:off x="0" y="0"/>
                          <a:ext cx="6185535" cy="170815"/>
                          <a:chExt cx="6185535" cy="170815"/>
                        </a:xfrm>
                      </wpg:grpSpPr>
                      <wps:wsp>
                        <wps:cNvPr id="549" name="Graphic 549"/>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550" name="Graphic 550"/>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551" name="Textbox 551"/>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2826</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88"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489" filled="false" stroked="false">
                  <v:textbox inset="0,0,0,0">
                    <w:txbxContent>
                      <w:p>
                        <w:pPr>
                          <w:spacing w:before="6"/>
                          <w:ind w:left="-1" w:right="0" w:firstLine="0"/>
                          <w:jc w:val="left"/>
                          <w:rPr>
                            <w:sz w:val="18"/>
                          </w:rPr>
                        </w:pPr>
                        <w:r>
                          <w:rPr>
                            <w:b/>
                            <w:color w:val="231F20"/>
                            <w:w w:val="105"/>
                            <w:sz w:val="18"/>
                          </w:rPr>
                          <w:t>2826</w:t>
                        </w:r>
                        <w:r>
                          <w:rPr>
                            <w:b/>
                            <w:color w:val="231F20"/>
                            <w:spacing w:val="37"/>
                            <w:w w:val="105"/>
                            <w:sz w:val="18"/>
                          </w:rPr>
                          <w:t>  </w:t>
                        </w:r>
                        <w:r>
                          <w:rPr>
                            <w:b/>
                            <w:color w:val="007431"/>
                            <w:w w:val="105"/>
                            <w:sz w:val="18"/>
                          </w:rPr>
                          <w:t>Part</w:t>
                        </w:r>
                        <w:r>
                          <w:rPr>
                            <w:b/>
                            <w:color w:val="007431"/>
                            <w:spacing w:val="11"/>
                            <w:w w:val="105"/>
                            <w:sz w:val="18"/>
                          </w:rPr>
                          <w:t> </w:t>
                        </w:r>
                        <w:r>
                          <w:rPr>
                            <w:b/>
                            <w:color w:val="007431"/>
                            <w:w w:val="105"/>
                            <w:sz w:val="18"/>
                          </w:rPr>
                          <w:t>XXVII</w:t>
                        </w:r>
                        <w:r>
                          <w:rPr>
                            <w:b/>
                            <w:color w:val="007431"/>
                            <w:spacing w:val="37"/>
                            <w:w w:val="105"/>
                            <w:sz w:val="18"/>
                          </w:rPr>
                          <w:t> </w:t>
                        </w:r>
                        <w:r>
                          <w:rPr>
                            <w:rFonts w:ascii="MS Gothic" w:hAnsi="MS Gothic"/>
                            <w:color w:val="659F6F"/>
                            <w:w w:val="105"/>
                            <w:sz w:val="15"/>
                          </w:rPr>
                          <w:t>◆</w:t>
                        </w:r>
                        <w:r>
                          <w:rPr>
                            <w:rFonts w:ascii="MS Gothic" w:hAnsi="MS Gothic"/>
                            <w:color w:val="659F6F"/>
                            <w:spacing w:val="16"/>
                            <w:w w:val="105"/>
                            <w:sz w:val="15"/>
                          </w:rPr>
                          <w:t> </w:t>
                        </w:r>
                        <w:r>
                          <w:rPr>
                            <w:color w:val="231F20"/>
                            <w:w w:val="105"/>
                            <w:sz w:val="18"/>
                          </w:rPr>
                          <w:t>The</w:t>
                        </w:r>
                        <w:r>
                          <w:rPr>
                            <w:color w:val="231F20"/>
                            <w:spacing w:val="6"/>
                            <w:w w:val="105"/>
                            <w:sz w:val="18"/>
                          </w:rPr>
                          <w:t> </w:t>
                        </w:r>
                        <w:r>
                          <w:rPr>
                            <w:color w:val="231F20"/>
                            <w:w w:val="105"/>
                            <w:sz w:val="18"/>
                          </w:rPr>
                          <w:t>Nervous</w:t>
                        </w:r>
                        <w:r>
                          <w:rPr>
                            <w:color w:val="231F20"/>
                            <w:spacing w:val="6"/>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2"/>
        <w:gridCol w:w="1106"/>
        <w:gridCol w:w="1161"/>
        <w:gridCol w:w="1497"/>
        <w:gridCol w:w="1555"/>
        <w:gridCol w:w="1460"/>
      </w:tblGrid>
      <w:tr>
        <w:trPr>
          <w:trHeight w:val="566" w:hRule="atLeast"/>
        </w:trPr>
        <w:tc>
          <w:tcPr>
            <w:tcW w:w="8281" w:type="dxa"/>
            <w:gridSpan w:val="5"/>
            <w:shd w:val="clear" w:color="auto" w:fill="231F20"/>
          </w:tcPr>
          <w:p>
            <w:pPr>
              <w:pStyle w:val="TableParagraph"/>
              <w:spacing w:before="89"/>
              <w:ind w:left="1231" w:right="14" w:hanging="1120"/>
              <w:rPr>
                <w:sz w:val="16"/>
              </w:rPr>
            </w:pPr>
            <w:r>
              <w:rPr>
                <w:b/>
                <w:color w:val="FFFFFF"/>
                <w:w w:val="105"/>
                <w:sz w:val="16"/>
              </w:rPr>
              <w:t>Table 593-2</w:t>
            </w:r>
            <w:r>
              <w:rPr>
                <w:b/>
                <w:color w:val="FFFFFF"/>
                <w:spacing w:val="80"/>
                <w:w w:val="150"/>
                <w:sz w:val="16"/>
              </w:rPr>
              <w:t> </w:t>
            </w:r>
            <w:r>
              <w:rPr>
                <w:color w:val="FFFFFF"/>
                <w:w w:val="105"/>
                <w:sz w:val="16"/>
              </w:rPr>
              <w:t>Classification for Epilepsy Syndromes with an Indication of Age of Onset, Duration of Active Prognosis, and Therapeutic Options—cont’d</w:t>
            </w:r>
          </w:p>
        </w:tc>
        <w:tc>
          <w:tcPr>
            <w:tcW w:w="1460" w:type="dxa"/>
            <w:shd w:val="clear" w:color="auto" w:fill="231F20"/>
          </w:tcPr>
          <w:p>
            <w:pPr>
              <w:pStyle w:val="TableParagraph"/>
              <w:spacing w:before="89"/>
              <w:ind w:left="39"/>
              <w:rPr>
                <w:sz w:val="16"/>
              </w:rPr>
            </w:pPr>
            <w:r>
              <w:rPr>
                <w:color w:val="FFFFFF"/>
                <w:spacing w:val="-2"/>
                <w:w w:val="105"/>
                <w:sz w:val="16"/>
              </w:rPr>
              <w:t>Epilepsy,</w:t>
            </w:r>
          </w:p>
        </w:tc>
      </w:tr>
      <w:tr>
        <w:trPr>
          <w:trHeight w:val="210" w:hRule="atLeast"/>
        </w:trPr>
        <w:tc>
          <w:tcPr>
            <w:tcW w:w="2962" w:type="dxa"/>
            <w:shd w:val="clear" w:color="auto" w:fill="E8F5F1"/>
          </w:tcPr>
          <w:p>
            <w:pPr>
              <w:pStyle w:val="TableParagraph"/>
              <w:tabs>
                <w:tab w:pos="2012" w:val="left" w:leader="none"/>
              </w:tabs>
              <w:spacing w:line="150" w:lineRule="exact" w:before="40"/>
              <w:ind w:left="74"/>
              <w:rPr>
                <w:b/>
                <w:sz w:val="15"/>
              </w:rPr>
            </w:pPr>
            <w:r>
              <w:rPr>
                <w:b/>
                <w:color w:val="231F20"/>
                <w:spacing w:val="-2"/>
                <w:w w:val="110"/>
                <w:sz w:val="15"/>
              </w:rPr>
              <w:t>SPECIFIC</w:t>
            </w:r>
            <w:r>
              <w:rPr>
                <w:b/>
                <w:color w:val="231F20"/>
                <w:sz w:val="15"/>
              </w:rPr>
              <w:tab/>
            </w:r>
            <w:r>
              <w:rPr>
                <w:b/>
                <w:color w:val="231F20"/>
                <w:w w:val="110"/>
                <w:sz w:val="15"/>
              </w:rPr>
              <w:t>AGE</w:t>
            </w:r>
            <w:r>
              <w:rPr>
                <w:b/>
                <w:color w:val="231F20"/>
                <w:spacing w:val="13"/>
                <w:w w:val="110"/>
                <w:sz w:val="15"/>
              </w:rPr>
              <w:t> </w:t>
            </w:r>
            <w:r>
              <w:rPr>
                <w:b/>
                <w:color w:val="231F20"/>
                <w:spacing w:val="-5"/>
                <w:w w:val="110"/>
                <w:sz w:val="15"/>
              </w:rPr>
              <w:t>AT</w:t>
            </w:r>
          </w:p>
        </w:tc>
        <w:tc>
          <w:tcPr>
            <w:tcW w:w="1106" w:type="dxa"/>
            <w:shd w:val="clear" w:color="auto" w:fill="E8F5F1"/>
          </w:tcPr>
          <w:p>
            <w:pPr>
              <w:pStyle w:val="TableParagraph"/>
              <w:spacing w:line="150" w:lineRule="exact" w:before="40"/>
              <w:ind w:left="244"/>
              <w:rPr>
                <w:b/>
                <w:sz w:val="15"/>
              </w:rPr>
            </w:pPr>
            <w:r>
              <w:rPr>
                <w:b/>
                <w:color w:val="231F20"/>
                <w:w w:val="110"/>
                <w:sz w:val="15"/>
              </w:rPr>
              <w:t>AGE</w:t>
            </w:r>
            <w:r>
              <w:rPr>
                <w:b/>
                <w:color w:val="231F20"/>
                <w:spacing w:val="13"/>
                <w:w w:val="110"/>
                <w:sz w:val="15"/>
              </w:rPr>
              <w:t> </w:t>
            </w:r>
            <w:r>
              <w:rPr>
                <w:b/>
                <w:color w:val="231F20"/>
                <w:spacing w:val="-5"/>
                <w:w w:val="110"/>
                <w:sz w:val="15"/>
              </w:rPr>
              <w:t>AT</w:t>
            </w:r>
          </w:p>
        </w:tc>
        <w:tc>
          <w:tcPr>
            <w:tcW w:w="1161" w:type="dxa"/>
            <w:shd w:val="clear" w:color="auto" w:fill="E8F5F1"/>
          </w:tcPr>
          <w:p>
            <w:pPr>
              <w:pStyle w:val="TableParagraph"/>
              <w:rPr>
                <w:rFonts w:ascii="Times New Roman"/>
                <w:sz w:val="14"/>
              </w:rPr>
            </w:pPr>
          </w:p>
        </w:tc>
        <w:tc>
          <w:tcPr>
            <w:tcW w:w="1497" w:type="dxa"/>
            <w:shd w:val="clear" w:color="auto" w:fill="E8F5F1"/>
          </w:tcPr>
          <w:p>
            <w:pPr>
              <w:pStyle w:val="TableParagraph"/>
              <w:spacing w:line="150" w:lineRule="exact" w:before="40"/>
              <w:ind w:left="155"/>
              <w:rPr>
                <w:b/>
                <w:sz w:val="15"/>
              </w:rPr>
            </w:pPr>
            <w:r>
              <w:rPr>
                <w:b/>
                <w:color w:val="231F20"/>
                <w:spacing w:val="-2"/>
                <w:w w:val="110"/>
                <w:sz w:val="15"/>
              </w:rPr>
              <w:t>MONOTHERAPY</w:t>
            </w:r>
          </w:p>
        </w:tc>
        <w:tc>
          <w:tcPr>
            <w:tcW w:w="1555" w:type="dxa"/>
            <w:shd w:val="clear" w:color="auto" w:fill="E8F5F1"/>
          </w:tcPr>
          <w:p>
            <w:pPr>
              <w:pStyle w:val="TableParagraph"/>
              <w:spacing w:line="150" w:lineRule="exact" w:before="40"/>
              <w:ind w:right="468"/>
              <w:jc w:val="right"/>
              <w:rPr>
                <w:b/>
                <w:sz w:val="15"/>
              </w:rPr>
            </w:pPr>
            <w:r>
              <w:rPr>
                <w:b/>
                <w:color w:val="231F20"/>
                <w:spacing w:val="-2"/>
                <w:w w:val="110"/>
                <w:sz w:val="15"/>
              </w:rPr>
              <w:t>POSSIBLE</w:t>
            </w:r>
          </w:p>
        </w:tc>
        <w:tc>
          <w:tcPr>
            <w:tcW w:w="1460" w:type="dxa"/>
            <w:shd w:val="clear" w:color="auto" w:fill="E8F5F1"/>
          </w:tcPr>
          <w:p>
            <w:pPr>
              <w:pStyle w:val="TableParagraph"/>
              <w:rPr>
                <w:rFonts w:ascii="Times New Roman"/>
                <w:sz w:val="14"/>
              </w:rPr>
            </w:pPr>
          </w:p>
        </w:tc>
      </w:tr>
      <w:tr>
        <w:trPr>
          <w:trHeight w:val="208" w:hRule="atLeast"/>
        </w:trPr>
        <w:tc>
          <w:tcPr>
            <w:tcW w:w="2962" w:type="dxa"/>
            <w:tcBorders>
              <w:bottom w:val="single" w:sz="4" w:space="0" w:color="231F20"/>
            </w:tcBorders>
            <w:shd w:val="clear" w:color="auto" w:fill="E8F5F1"/>
          </w:tcPr>
          <w:p>
            <w:pPr>
              <w:pStyle w:val="TableParagraph"/>
              <w:tabs>
                <w:tab w:pos="2041" w:val="left" w:leader="none"/>
              </w:tabs>
              <w:spacing w:line="172" w:lineRule="exact"/>
              <w:ind w:left="74"/>
              <w:rPr>
                <w:b/>
                <w:sz w:val="15"/>
              </w:rPr>
            </w:pPr>
            <w:r>
              <w:rPr>
                <w:b/>
                <w:color w:val="231F20"/>
                <w:spacing w:val="-2"/>
                <w:w w:val="115"/>
                <w:sz w:val="15"/>
              </w:rPr>
              <w:t>SYNDROMES</w:t>
            </w:r>
            <w:r>
              <w:rPr>
                <w:b/>
                <w:color w:val="231F20"/>
                <w:sz w:val="15"/>
              </w:rPr>
              <w:tab/>
            </w:r>
            <w:r>
              <w:rPr>
                <w:b/>
                <w:color w:val="231F20"/>
                <w:spacing w:val="-2"/>
                <w:w w:val="115"/>
                <w:sz w:val="15"/>
              </w:rPr>
              <w:t>ONSET</w:t>
            </w:r>
          </w:p>
        </w:tc>
        <w:tc>
          <w:tcPr>
            <w:tcW w:w="1106" w:type="dxa"/>
            <w:tcBorders>
              <w:bottom w:val="single" w:sz="4" w:space="0" w:color="231F20"/>
            </w:tcBorders>
            <w:shd w:val="clear" w:color="auto" w:fill="E8F5F1"/>
          </w:tcPr>
          <w:p>
            <w:pPr>
              <w:pStyle w:val="TableParagraph"/>
              <w:spacing w:line="172" w:lineRule="exact"/>
              <w:ind w:left="110"/>
              <w:rPr>
                <w:b/>
                <w:sz w:val="15"/>
              </w:rPr>
            </w:pPr>
            <w:r>
              <w:rPr>
                <w:b/>
                <w:color w:val="231F20"/>
                <w:spacing w:val="-2"/>
                <w:w w:val="115"/>
                <w:sz w:val="15"/>
              </w:rPr>
              <w:t>REMISSION</w:t>
            </w:r>
          </w:p>
        </w:tc>
        <w:tc>
          <w:tcPr>
            <w:tcW w:w="1161" w:type="dxa"/>
            <w:tcBorders>
              <w:bottom w:val="single" w:sz="4" w:space="0" w:color="231F20"/>
            </w:tcBorders>
            <w:shd w:val="clear" w:color="auto" w:fill="E8F5F1"/>
          </w:tcPr>
          <w:p>
            <w:pPr>
              <w:pStyle w:val="TableParagraph"/>
              <w:spacing w:line="172" w:lineRule="exact"/>
              <w:ind w:left="144"/>
              <w:rPr>
                <w:b/>
                <w:sz w:val="15"/>
              </w:rPr>
            </w:pPr>
            <w:r>
              <w:rPr>
                <w:b/>
                <w:color w:val="231F20"/>
                <w:spacing w:val="-2"/>
                <w:w w:val="115"/>
                <w:sz w:val="15"/>
              </w:rPr>
              <w:t>PROGNOSIS</w:t>
            </w:r>
          </w:p>
        </w:tc>
        <w:tc>
          <w:tcPr>
            <w:tcW w:w="1497" w:type="dxa"/>
            <w:tcBorders>
              <w:bottom w:val="single" w:sz="4" w:space="0" w:color="231F20"/>
            </w:tcBorders>
            <w:shd w:val="clear" w:color="auto" w:fill="E8F5F1"/>
          </w:tcPr>
          <w:p>
            <w:pPr>
              <w:pStyle w:val="TableParagraph"/>
              <w:spacing w:line="172" w:lineRule="exact"/>
              <w:ind w:left="272"/>
              <w:rPr>
                <w:sz w:val="15"/>
              </w:rPr>
            </w:pPr>
            <w:r>
              <w:rPr>
                <w:b/>
                <w:color w:val="231F20"/>
                <w:w w:val="115"/>
                <w:sz w:val="15"/>
              </w:rPr>
              <w:t>OR</w:t>
            </w:r>
            <w:r>
              <w:rPr>
                <w:b/>
                <w:color w:val="231F20"/>
                <w:spacing w:val="-10"/>
                <w:w w:val="115"/>
                <w:sz w:val="15"/>
              </w:rPr>
              <w:t> </w:t>
            </w:r>
            <w:r>
              <w:rPr>
                <w:b/>
                <w:color w:val="231F20"/>
                <w:w w:val="115"/>
                <w:sz w:val="15"/>
              </w:rPr>
              <w:t>ADD-</w:t>
            </w:r>
            <w:r>
              <w:rPr>
                <w:b/>
                <w:color w:val="231F20"/>
                <w:spacing w:val="-5"/>
                <w:w w:val="115"/>
                <w:sz w:val="15"/>
              </w:rPr>
              <w:t>ON</w:t>
            </w:r>
            <w:r>
              <w:rPr>
                <w:color w:val="231F20"/>
                <w:spacing w:val="-5"/>
                <w:w w:val="115"/>
                <w:sz w:val="15"/>
              </w:rPr>
              <w:t>*</w:t>
            </w:r>
          </w:p>
        </w:tc>
        <w:tc>
          <w:tcPr>
            <w:tcW w:w="1555" w:type="dxa"/>
            <w:tcBorders>
              <w:bottom w:val="single" w:sz="4" w:space="0" w:color="231F20"/>
            </w:tcBorders>
            <w:shd w:val="clear" w:color="auto" w:fill="E8F5F1"/>
          </w:tcPr>
          <w:p>
            <w:pPr>
              <w:pStyle w:val="TableParagraph"/>
              <w:spacing w:line="172" w:lineRule="exact"/>
              <w:ind w:right="483"/>
              <w:jc w:val="right"/>
              <w:rPr>
                <w:sz w:val="15"/>
              </w:rPr>
            </w:pPr>
            <w:r>
              <w:rPr>
                <w:b/>
                <w:color w:val="231F20"/>
                <w:w w:val="110"/>
                <w:sz w:val="15"/>
              </w:rPr>
              <w:t>ADD-</w:t>
            </w:r>
            <w:r>
              <w:rPr>
                <w:b/>
                <w:color w:val="231F20"/>
                <w:spacing w:val="-5"/>
                <w:w w:val="115"/>
                <w:sz w:val="15"/>
              </w:rPr>
              <w:t>ON</w:t>
            </w:r>
            <w:r>
              <w:rPr>
                <w:color w:val="231F20"/>
                <w:spacing w:val="-5"/>
                <w:w w:val="115"/>
                <w:sz w:val="15"/>
                <w:vertAlign w:val="superscript"/>
              </w:rPr>
              <w:t>†</w:t>
            </w:r>
          </w:p>
        </w:tc>
        <w:tc>
          <w:tcPr>
            <w:tcW w:w="1460" w:type="dxa"/>
            <w:tcBorders>
              <w:bottom w:val="single" w:sz="4" w:space="0" w:color="231F20"/>
            </w:tcBorders>
            <w:shd w:val="clear" w:color="auto" w:fill="E8F5F1"/>
          </w:tcPr>
          <w:p>
            <w:pPr>
              <w:pStyle w:val="TableParagraph"/>
              <w:spacing w:line="172" w:lineRule="exact"/>
              <w:ind w:left="328"/>
              <w:rPr>
                <w:sz w:val="15"/>
              </w:rPr>
            </w:pPr>
            <w:r>
              <w:rPr>
                <w:b/>
                <w:color w:val="231F20"/>
                <w:spacing w:val="-2"/>
                <w:w w:val="110"/>
                <w:sz w:val="15"/>
              </w:rPr>
              <w:t>SURGERY</w:t>
            </w:r>
            <w:r>
              <w:rPr>
                <w:color w:val="231F20"/>
                <w:spacing w:val="-2"/>
                <w:w w:val="110"/>
                <w:sz w:val="15"/>
                <w:vertAlign w:val="superscript"/>
              </w:rPr>
              <w:t>†</w:t>
            </w:r>
          </w:p>
        </w:tc>
      </w:tr>
      <w:tr>
        <w:trPr>
          <w:trHeight w:val="1601" w:hRule="atLeast"/>
        </w:trPr>
        <w:tc>
          <w:tcPr>
            <w:tcW w:w="6726" w:type="dxa"/>
            <w:gridSpan w:val="4"/>
            <w:tcBorders>
              <w:top w:val="single" w:sz="4" w:space="0" w:color="231F20"/>
              <w:bottom w:val="single" w:sz="4" w:space="0" w:color="FFFFFF"/>
            </w:tcBorders>
            <w:shd w:val="clear" w:color="auto" w:fill="E8F5F1"/>
          </w:tcPr>
          <w:p>
            <w:pPr>
              <w:pStyle w:val="TableParagraph"/>
              <w:spacing w:line="172" w:lineRule="exact" w:before="43"/>
              <w:ind w:left="74"/>
              <w:rPr>
                <w:sz w:val="15"/>
              </w:rPr>
            </w:pPr>
            <w:r>
              <w:rPr>
                <w:color w:val="231F20"/>
                <w:w w:val="110"/>
                <w:sz w:val="15"/>
              </w:rPr>
              <w:t>GENERALIZED</w:t>
            </w:r>
            <w:r>
              <w:rPr>
                <w:color w:val="231F20"/>
                <w:spacing w:val="11"/>
                <w:w w:val="110"/>
                <w:sz w:val="15"/>
              </w:rPr>
              <w:t> </w:t>
            </w:r>
            <w:r>
              <w:rPr>
                <w:color w:val="231F20"/>
                <w:w w:val="110"/>
                <w:sz w:val="15"/>
              </w:rPr>
              <w:t>EPILEPSIES</w:t>
            </w:r>
            <w:r>
              <w:rPr>
                <w:color w:val="231F20"/>
                <w:spacing w:val="12"/>
                <w:w w:val="110"/>
                <w:sz w:val="15"/>
              </w:rPr>
              <w:t> </w:t>
            </w:r>
            <w:r>
              <w:rPr>
                <w:color w:val="231F20"/>
                <w:w w:val="110"/>
                <w:sz w:val="15"/>
              </w:rPr>
              <w:t>OF</w:t>
            </w:r>
            <w:r>
              <w:rPr>
                <w:color w:val="231F20"/>
                <w:spacing w:val="11"/>
                <w:w w:val="110"/>
                <w:sz w:val="15"/>
              </w:rPr>
              <w:t> </w:t>
            </w:r>
            <w:r>
              <w:rPr>
                <w:color w:val="231F20"/>
                <w:w w:val="110"/>
                <w:sz w:val="15"/>
              </w:rPr>
              <w:t>UNKNOWN</w:t>
            </w:r>
            <w:r>
              <w:rPr>
                <w:color w:val="231F20"/>
                <w:spacing w:val="12"/>
                <w:w w:val="110"/>
                <w:sz w:val="15"/>
              </w:rPr>
              <w:t> </w:t>
            </w:r>
            <w:r>
              <w:rPr>
                <w:color w:val="231F20"/>
                <w:w w:val="110"/>
                <w:sz w:val="15"/>
              </w:rPr>
              <w:t>CAUSE</w:t>
            </w:r>
            <w:r>
              <w:rPr>
                <w:color w:val="231F20"/>
                <w:spacing w:val="11"/>
                <w:w w:val="110"/>
                <w:sz w:val="15"/>
              </w:rPr>
              <w:t> </w:t>
            </w:r>
            <w:r>
              <w:rPr>
                <w:color w:val="231F20"/>
                <w:w w:val="110"/>
                <w:sz w:val="15"/>
              </w:rPr>
              <w:t>WITH</w:t>
            </w:r>
            <w:r>
              <w:rPr>
                <w:color w:val="231F20"/>
                <w:spacing w:val="12"/>
                <w:w w:val="110"/>
                <w:sz w:val="15"/>
              </w:rPr>
              <w:t> </w:t>
            </w:r>
            <w:r>
              <w:rPr>
                <w:color w:val="231F20"/>
                <w:w w:val="110"/>
                <w:sz w:val="15"/>
              </w:rPr>
              <w:t>VARIABLE</w:t>
            </w:r>
            <w:r>
              <w:rPr>
                <w:color w:val="231F20"/>
                <w:spacing w:val="11"/>
                <w:w w:val="110"/>
                <w:sz w:val="15"/>
              </w:rPr>
              <w:t> </w:t>
            </w:r>
            <w:r>
              <w:rPr>
                <w:color w:val="231F20"/>
                <w:spacing w:val="-2"/>
                <w:w w:val="110"/>
                <w:sz w:val="15"/>
              </w:rPr>
              <w:t>PHENOTYPES</w:t>
            </w:r>
          </w:p>
          <w:p>
            <w:pPr>
              <w:pStyle w:val="TableParagraph"/>
              <w:tabs>
                <w:tab w:pos="1825" w:val="left" w:leader="none"/>
                <w:tab w:pos="3017" w:val="left" w:leader="none"/>
                <w:tab w:pos="3129" w:val="left" w:leader="none"/>
                <w:tab w:pos="4212" w:val="left" w:leader="none"/>
                <w:tab w:pos="5352" w:val="left" w:leader="none"/>
              </w:tabs>
              <w:spacing w:line="230" w:lineRule="auto" w:before="3"/>
              <w:ind w:left="186" w:right="343" w:hanging="112"/>
              <w:rPr>
                <w:sz w:val="15"/>
              </w:rPr>
            </w:pPr>
            <w:r>
              <w:rPr>
                <w:color w:val="231F20"/>
                <w:sz w:val="15"/>
              </w:rPr>
              <w:t>Juvenile absence</w:t>
              <w:tab/>
              <w:t>10-12 yr</w:t>
              <w:tab/>
            </w:r>
            <w:r>
              <w:rPr>
                <w:color w:val="231F20"/>
                <w:spacing w:val="-2"/>
                <w:sz w:val="15"/>
              </w:rPr>
              <w:t>Usually</w:t>
            </w:r>
            <w:r>
              <w:rPr>
                <w:color w:val="231F20"/>
                <w:sz w:val="15"/>
              </w:rPr>
              <w:tab/>
            </w:r>
            <w:r>
              <w:rPr>
                <w:color w:val="231F20"/>
                <w:spacing w:val="-4"/>
                <w:sz w:val="15"/>
              </w:rPr>
              <w:t>Good</w:t>
            </w:r>
            <w:r>
              <w:rPr>
                <w:color w:val="231F20"/>
                <w:sz w:val="15"/>
              </w:rPr>
              <w:tab/>
              <w:t>ESM, LTG, </w:t>
            </w:r>
            <w:r>
              <w:rPr>
                <w:color w:val="231F20"/>
                <w:sz w:val="15"/>
              </w:rPr>
              <w:t>VPA </w:t>
            </w:r>
            <w:r>
              <w:rPr>
                <w:color w:val="231F20"/>
                <w:spacing w:val="-2"/>
                <w:sz w:val="15"/>
              </w:rPr>
              <w:t>epilepsy</w:t>
            </w:r>
            <w:r>
              <w:rPr>
                <w:color w:val="231F20"/>
                <w:sz w:val="15"/>
              </w:rPr>
              <w:tab/>
              <w:tab/>
              <w:tab/>
            </w:r>
            <w:r>
              <w:rPr>
                <w:color w:val="231F20"/>
                <w:spacing w:val="-2"/>
                <w:sz w:val="15"/>
              </w:rPr>
              <w:t>lifelong</w:t>
            </w:r>
          </w:p>
          <w:p>
            <w:pPr>
              <w:pStyle w:val="TableParagraph"/>
              <w:tabs>
                <w:tab w:pos="1825" w:val="left" w:leader="none"/>
                <w:tab w:pos="3017" w:val="left" w:leader="none"/>
                <w:tab w:pos="3129" w:val="left" w:leader="none"/>
                <w:tab w:pos="4212" w:val="left" w:leader="none"/>
                <w:tab w:pos="5352" w:val="left" w:leader="none"/>
              </w:tabs>
              <w:spacing w:line="230" w:lineRule="auto" w:before="3"/>
              <w:ind w:left="186" w:right="368" w:hanging="112"/>
              <w:rPr>
                <w:sz w:val="15"/>
              </w:rPr>
            </w:pPr>
            <w:r>
              <w:rPr>
                <w:color w:val="231F20"/>
                <w:sz w:val="15"/>
              </w:rPr>
              <w:t>Juvenile myoclonic</w:t>
              <w:tab/>
              <w:t>12-18 yr</w:t>
              <w:tab/>
            </w:r>
            <w:r>
              <w:rPr>
                <w:color w:val="231F20"/>
                <w:spacing w:val="-2"/>
                <w:sz w:val="15"/>
              </w:rPr>
              <w:t>Usually</w:t>
            </w:r>
            <w:r>
              <w:rPr>
                <w:color w:val="231F20"/>
                <w:sz w:val="15"/>
              </w:rPr>
              <w:tab/>
            </w:r>
            <w:r>
              <w:rPr>
                <w:color w:val="231F20"/>
                <w:spacing w:val="-4"/>
                <w:sz w:val="15"/>
              </w:rPr>
              <w:t>Good</w:t>
            </w:r>
            <w:r>
              <w:rPr>
                <w:color w:val="231F20"/>
                <w:sz w:val="15"/>
              </w:rPr>
              <w:tab/>
              <w:t>LEV,</w:t>
            </w:r>
            <w:r>
              <w:rPr>
                <w:color w:val="231F20"/>
                <w:spacing w:val="-9"/>
                <w:sz w:val="15"/>
              </w:rPr>
              <w:t> </w:t>
            </w:r>
            <w:r>
              <w:rPr>
                <w:color w:val="231F20"/>
                <w:sz w:val="15"/>
              </w:rPr>
              <w:t>TPM,</w:t>
            </w:r>
            <w:r>
              <w:rPr>
                <w:color w:val="231F20"/>
                <w:spacing w:val="-9"/>
                <w:sz w:val="15"/>
              </w:rPr>
              <w:t> </w:t>
            </w:r>
            <w:r>
              <w:rPr>
                <w:color w:val="231F20"/>
                <w:sz w:val="15"/>
              </w:rPr>
              <w:t>VPA </w:t>
            </w:r>
            <w:r>
              <w:rPr>
                <w:color w:val="231F20"/>
                <w:spacing w:val="-2"/>
                <w:sz w:val="15"/>
              </w:rPr>
              <w:t>epilepsy</w:t>
            </w:r>
            <w:r>
              <w:rPr>
                <w:color w:val="231F20"/>
                <w:sz w:val="15"/>
              </w:rPr>
              <w:tab/>
              <w:tab/>
              <w:tab/>
            </w:r>
            <w:r>
              <w:rPr>
                <w:color w:val="231F20"/>
                <w:spacing w:val="-2"/>
                <w:sz w:val="15"/>
              </w:rPr>
              <w:t>lifelong</w:t>
            </w:r>
          </w:p>
          <w:p>
            <w:pPr>
              <w:pStyle w:val="TableParagraph"/>
              <w:tabs>
                <w:tab w:pos="1824" w:val="left" w:leader="none"/>
                <w:tab w:pos="3017" w:val="left" w:leader="none"/>
                <w:tab w:pos="3129" w:val="left" w:leader="none"/>
                <w:tab w:pos="4211" w:val="left" w:leader="none"/>
                <w:tab w:pos="5352" w:val="left" w:leader="none"/>
                <w:tab w:pos="5464" w:val="left" w:leader="none"/>
              </w:tabs>
              <w:spacing w:line="230" w:lineRule="auto" w:before="3"/>
              <w:ind w:left="186" w:right="329" w:hanging="112"/>
              <w:rPr>
                <w:sz w:val="15"/>
              </w:rPr>
            </w:pPr>
            <w:r>
              <w:rPr>
                <w:color w:val="231F20"/>
                <w:sz w:val="15"/>
              </w:rPr>
              <w:t>Epilepsy with</w:t>
              <w:tab/>
              <w:t>12-18 yr</w:t>
              <w:tab/>
            </w:r>
            <w:r>
              <w:rPr>
                <w:color w:val="231F20"/>
                <w:spacing w:val="-2"/>
                <w:sz w:val="15"/>
              </w:rPr>
              <w:t>Usually</w:t>
            </w:r>
            <w:r>
              <w:rPr>
                <w:color w:val="231F20"/>
                <w:sz w:val="15"/>
              </w:rPr>
              <w:tab/>
            </w:r>
            <w:r>
              <w:rPr>
                <w:color w:val="231F20"/>
                <w:spacing w:val="-4"/>
                <w:sz w:val="15"/>
              </w:rPr>
              <w:t>Good</w:t>
            </w:r>
            <w:r>
              <w:rPr>
                <w:color w:val="231F20"/>
                <w:sz w:val="15"/>
              </w:rPr>
              <w:tab/>
              <w:t>LEV,</w:t>
            </w:r>
            <w:r>
              <w:rPr>
                <w:color w:val="231F20"/>
                <w:spacing w:val="-12"/>
                <w:sz w:val="15"/>
              </w:rPr>
              <w:t> </w:t>
            </w:r>
            <w:r>
              <w:rPr>
                <w:color w:val="231F20"/>
                <w:sz w:val="15"/>
              </w:rPr>
              <w:t>LTG,</w:t>
            </w:r>
            <w:r>
              <w:rPr>
                <w:color w:val="231F20"/>
                <w:spacing w:val="-11"/>
                <w:sz w:val="15"/>
              </w:rPr>
              <w:t> </w:t>
            </w:r>
            <w:r>
              <w:rPr>
                <w:color w:val="231F20"/>
                <w:sz w:val="15"/>
              </w:rPr>
              <w:t>TPM, </w:t>
            </w:r>
            <w:r>
              <w:rPr>
                <w:color w:val="231F20"/>
                <w:spacing w:val="-2"/>
                <w:sz w:val="15"/>
              </w:rPr>
              <w:t>generalized</w:t>
            </w:r>
            <w:r>
              <w:rPr>
                <w:color w:val="231F20"/>
                <w:sz w:val="15"/>
              </w:rPr>
              <w:tab/>
              <w:tab/>
              <w:tab/>
            </w:r>
            <w:r>
              <w:rPr>
                <w:color w:val="231F20"/>
                <w:spacing w:val="-2"/>
                <w:sz w:val="15"/>
              </w:rPr>
              <w:t>lifelong</w:t>
            </w:r>
            <w:r>
              <w:rPr>
                <w:color w:val="231F20"/>
                <w:sz w:val="15"/>
              </w:rPr>
              <w:tab/>
              <w:tab/>
              <w:tab/>
            </w:r>
            <w:r>
              <w:rPr>
                <w:color w:val="231F20"/>
                <w:spacing w:val="-4"/>
                <w:sz w:val="15"/>
              </w:rPr>
              <w:t>VPA</w:t>
            </w:r>
          </w:p>
          <w:p>
            <w:pPr>
              <w:pStyle w:val="TableParagraph"/>
              <w:spacing w:line="230" w:lineRule="auto" w:before="2"/>
              <w:ind w:left="186" w:right="5193"/>
              <w:rPr>
                <w:sz w:val="15"/>
              </w:rPr>
            </w:pPr>
            <w:r>
              <w:rPr>
                <w:color w:val="231F20"/>
                <w:spacing w:val="-2"/>
                <w:sz w:val="15"/>
              </w:rPr>
              <w:t>tonic-clonic</w:t>
            </w:r>
            <w:r>
              <w:rPr>
                <w:color w:val="231F20"/>
                <w:spacing w:val="-10"/>
                <w:sz w:val="15"/>
              </w:rPr>
              <w:t> </w:t>
            </w:r>
            <w:r>
              <w:rPr>
                <w:color w:val="231F20"/>
                <w:spacing w:val="-2"/>
                <w:sz w:val="15"/>
              </w:rPr>
              <w:t>seizures </w:t>
            </w:r>
            <w:r>
              <w:rPr>
                <w:color w:val="231F20"/>
                <w:spacing w:val="-4"/>
                <w:sz w:val="15"/>
              </w:rPr>
              <w:t>only</w:t>
            </w:r>
          </w:p>
        </w:tc>
        <w:tc>
          <w:tcPr>
            <w:tcW w:w="1555"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ind w:left="140"/>
              <w:rPr>
                <w:sz w:val="15"/>
              </w:rPr>
            </w:pPr>
            <w:r>
              <w:rPr>
                <w:color w:val="231F20"/>
                <w:spacing w:val="-5"/>
                <w:w w:val="110"/>
                <w:sz w:val="15"/>
              </w:rPr>
              <w:t>BDZ</w:t>
            </w:r>
          </w:p>
          <w:p>
            <w:pPr>
              <w:pStyle w:val="TableParagraph"/>
              <w:spacing w:line="230" w:lineRule="auto" w:before="169"/>
              <w:ind w:left="251" w:right="322" w:hanging="112"/>
              <w:rPr>
                <w:sz w:val="15"/>
              </w:rPr>
            </w:pPr>
            <w:r>
              <w:rPr>
                <w:color w:val="231F20"/>
                <w:spacing w:val="-4"/>
                <w:w w:val="105"/>
                <w:sz w:val="15"/>
              </w:rPr>
              <w:t>BDZ,</w:t>
            </w:r>
            <w:r>
              <w:rPr>
                <w:color w:val="231F20"/>
                <w:spacing w:val="-8"/>
                <w:w w:val="105"/>
                <w:sz w:val="15"/>
              </w:rPr>
              <w:t> </w:t>
            </w:r>
            <w:r>
              <w:rPr>
                <w:color w:val="231F20"/>
                <w:spacing w:val="-4"/>
                <w:w w:val="105"/>
                <w:sz w:val="15"/>
              </w:rPr>
              <w:t>LTG,</w:t>
            </w:r>
            <w:r>
              <w:rPr>
                <w:color w:val="231F20"/>
                <w:spacing w:val="-8"/>
                <w:w w:val="105"/>
                <w:sz w:val="15"/>
              </w:rPr>
              <w:t> </w:t>
            </w:r>
            <w:r>
              <w:rPr>
                <w:color w:val="231F20"/>
                <w:spacing w:val="-4"/>
                <w:w w:val="105"/>
                <w:sz w:val="15"/>
              </w:rPr>
              <w:t>PB, </w:t>
            </w:r>
            <w:r>
              <w:rPr>
                <w:color w:val="231F20"/>
                <w:w w:val="105"/>
                <w:sz w:val="15"/>
              </w:rPr>
              <w:t>PRM, ZON</w:t>
            </w:r>
          </w:p>
          <w:p>
            <w:pPr>
              <w:pStyle w:val="TableParagraph"/>
              <w:spacing w:line="172" w:lineRule="exact"/>
              <w:ind w:left="139"/>
              <w:rPr>
                <w:sz w:val="15"/>
              </w:rPr>
            </w:pPr>
            <w:r>
              <w:rPr>
                <w:color w:val="231F20"/>
                <w:w w:val="105"/>
                <w:sz w:val="15"/>
              </w:rPr>
              <w:t>BDZ,</w:t>
            </w:r>
            <w:r>
              <w:rPr>
                <w:color w:val="231F20"/>
                <w:spacing w:val="-10"/>
                <w:w w:val="105"/>
                <w:sz w:val="15"/>
              </w:rPr>
              <w:t> </w:t>
            </w:r>
            <w:r>
              <w:rPr>
                <w:color w:val="231F20"/>
                <w:w w:val="105"/>
                <w:sz w:val="15"/>
              </w:rPr>
              <w:t>CBZ,</w:t>
            </w:r>
            <w:r>
              <w:rPr>
                <w:color w:val="231F20"/>
                <w:spacing w:val="-9"/>
                <w:w w:val="105"/>
                <w:sz w:val="15"/>
              </w:rPr>
              <w:t> </w:t>
            </w:r>
            <w:r>
              <w:rPr>
                <w:color w:val="231F20"/>
                <w:spacing w:val="-5"/>
                <w:w w:val="105"/>
                <w:sz w:val="15"/>
              </w:rPr>
              <w:t>ZON</w:t>
            </w:r>
          </w:p>
        </w:tc>
        <w:tc>
          <w:tcPr>
            <w:tcW w:w="1460"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spacing w:line="465" w:lineRule="auto"/>
              <w:ind w:left="16" w:right="1235"/>
              <w:jc w:val="both"/>
              <w:rPr>
                <w:sz w:val="15"/>
              </w:rPr>
            </w:pPr>
            <w:r>
              <w:rPr>
                <w:color w:val="231F20"/>
                <w:spacing w:val="-6"/>
                <w:w w:val="115"/>
                <w:sz w:val="15"/>
              </w:rPr>
              <w:t>No No </w:t>
            </w:r>
            <w:r>
              <w:rPr>
                <w:color w:val="231F20"/>
                <w:spacing w:val="-5"/>
                <w:w w:val="115"/>
                <w:sz w:val="15"/>
              </w:rPr>
              <w:t>No</w:t>
            </w:r>
          </w:p>
        </w:tc>
      </w:tr>
      <w:tr>
        <w:trPr>
          <w:trHeight w:val="1771" w:hRule="atLeast"/>
        </w:trPr>
        <w:tc>
          <w:tcPr>
            <w:tcW w:w="2962" w:type="dxa"/>
            <w:tcBorders>
              <w:top w:val="single" w:sz="4" w:space="0" w:color="FFFFFF"/>
              <w:bottom w:val="single" w:sz="4" w:space="0" w:color="FFFFFF"/>
            </w:tcBorders>
            <w:shd w:val="clear" w:color="auto" w:fill="E8F5F1"/>
          </w:tcPr>
          <w:p>
            <w:pPr>
              <w:pStyle w:val="TableParagraph"/>
              <w:spacing w:line="172" w:lineRule="exact" w:before="43"/>
              <w:ind w:left="73"/>
              <w:rPr>
                <w:sz w:val="15"/>
              </w:rPr>
            </w:pPr>
            <w:r>
              <w:rPr>
                <w:color w:val="231F20"/>
                <w:w w:val="110"/>
                <w:sz w:val="15"/>
              </w:rPr>
              <w:t>REFLEX</w:t>
            </w:r>
            <w:r>
              <w:rPr>
                <w:color w:val="231F20"/>
                <w:spacing w:val="-6"/>
                <w:w w:val="110"/>
                <w:sz w:val="15"/>
              </w:rPr>
              <w:t> </w:t>
            </w:r>
            <w:r>
              <w:rPr>
                <w:color w:val="231F20"/>
                <w:spacing w:val="-2"/>
                <w:w w:val="110"/>
                <w:sz w:val="15"/>
              </w:rPr>
              <w:t>EPILEPSIES</w:t>
            </w:r>
          </w:p>
          <w:p>
            <w:pPr>
              <w:pStyle w:val="TableParagraph"/>
              <w:tabs>
                <w:tab w:pos="1824" w:val="left" w:leader="none"/>
              </w:tabs>
              <w:spacing w:line="230" w:lineRule="auto" w:before="3"/>
              <w:ind w:left="185" w:right="609" w:hanging="112"/>
              <w:rPr>
                <w:sz w:val="15"/>
              </w:rPr>
            </w:pPr>
            <w:r>
              <w:rPr>
                <w:color w:val="231F20"/>
                <w:spacing w:val="-2"/>
                <w:sz w:val="15"/>
              </w:rPr>
              <w:t>Idiopathic</w:t>
            </w:r>
            <w:r>
              <w:rPr>
                <w:color w:val="231F20"/>
                <w:sz w:val="15"/>
              </w:rPr>
              <w:tab/>
            </w:r>
            <w:r>
              <w:rPr>
                <w:color w:val="231F20"/>
                <w:spacing w:val="-4"/>
                <w:sz w:val="15"/>
              </w:rPr>
              <w:t>10-12</w:t>
            </w:r>
            <w:r>
              <w:rPr>
                <w:color w:val="231F20"/>
                <w:spacing w:val="-8"/>
                <w:sz w:val="15"/>
              </w:rPr>
              <w:t> </w:t>
            </w:r>
            <w:r>
              <w:rPr>
                <w:color w:val="231F20"/>
                <w:spacing w:val="-4"/>
                <w:sz w:val="15"/>
              </w:rPr>
              <w:t>yr </w:t>
            </w:r>
            <w:r>
              <w:rPr>
                <w:color w:val="231F20"/>
                <w:spacing w:val="-2"/>
                <w:sz w:val="15"/>
              </w:rPr>
              <w:t>photosensitive</w:t>
            </w:r>
          </w:p>
          <w:p>
            <w:pPr>
              <w:pStyle w:val="TableParagraph"/>
              <w:spacing w:line="230" w:lineRule="auto" w:before="2"/>
              <w:ind w:left="185" w:right="1694"/>
              <w:rPr>
                <w:sz w:val="15"/>
              </w:rPr>
            </w:pPr>
            <w:r>
              <w:rPr>
                <w:color w:val="231F20"/>
                <w:spacing w:val="-2"/>
                <w:sz w:val="15"/>
              </w:rPr>
              <w:t>occipital</w:t>
            </w:r>
            <w:r>
              <w:rPr>
                <w:color w:val="231F20"/>
                <w:spacing w:val="-10"/>
                <w:sz w:val="15"/>
              </w:rPr>
              <w:t> </w:t>
            </w:r>
            <w:r>
              <w:rPr>
                <w:color w:val="231F20"/>
                <w:spacing w:val="-2"/>
                <w:sz w:val="15"/>
              </w:rPr>
              <w:t>lobe epilepsy</w:t>
            </w:r>
          </w:p>
          <w:p>
            <w:pPr>
              <w:pStyle w:val="TableParagraph"/>
              <w:tabs>
                <w:tab w:pos="1824" w:val="left" w:leader="none"/>
              </w:tabs>
              <w:spacing w:line="230" w:lineRule="auto" w:before="3"/>
              <w:ind w:left="185" w:right="765" w:hanging="112"/>
              <w:rPr>
                <w:sz w:val="15"/>
              </w:rPr>
            </w:pPr>
            <w:r>
              <w:rPr>
                <w:color w:val="231F20"/>
                <w:sz w:val="15"/>
              </w:rPr>
              <w:t>Other visual sensitive</w:t>
              <w:tab/>
            </w:r>
            <w:r>
              <w:rPr>
                <w:color w:val="231F20"/>
                <w:spacing w:val="-4"/>
                <w:sz w:val="15"/>
              </w:rPr>
              <w:t>2-5</w:t>
            </w:r>
            <w:r>
              <w:rPr>
                <w:color w:val="231F20"/>
                <w:spacing w:val="-8"/>
                <w:sz w:val="15"/>
              </w:rPr>
              <w:t> </w:t>
            </w:r>
            <w:r>
              <w:rPr>
                <w:color w:val="231F20"/>
                <w:spacing w:val="-4"/>
                <w:sz w:val="15"/>
              </w:rPr>
              <w:t>yr </w:t>
            </w:r>
            <w:r>
              <w:rPr>
                <w:color w:val="231F20"/>
                <w:spacing w:val="-2"/>
                <w:sz w:val="15"/>
              </w:rPr>
              <w:t>epilepsies</w:t>
            </w:r>
          </w:p>
          <w:p>
            <w:pPr>
              <w:pStyle w:val="TableParagraph"/>
              <w:tabs>
                <w:tab w:pos="1824" w:val="left" w:leader="none"/>
              </w:tabs>
              <w:spacing w:line="172" w:lineRule="exact"/>
              <w:ind w:left="73"/>
              <w:rPr>
                <w:sz w:val="15"/>
              </w:rPr>
            </w:pPr>
            <w:r>
              <w:rPr>
                <w:color w:val="231F20"/>
                <w:spacing w:val="-4"/>
                <w:sz w:val="15"/>
              </w:rPr>
              <w:t>Startle</w:t>
            </w:r>
            <w:r>
              <w:rPr>
                <w:color w:val="231F20"/>
                <w:spacing w:val="1"/>
                <w:sz w:val="15"/>
              </w:rPr>
              <w:t> </w:t>
            </w:r>
            <w:r>
              <w:rPr>
                <w:color w:val="231F20"/>
                <w:spacing w:val="-2"/>
                <w:sz w:val="15"/>
              </w:rPr>
              <w:t>epilepsy</w:t>
            </w:r>
            <w:r>
              <w:rPr>
                <w:color w:val="231F20"/>
                <w:sz w:val="15"/>
              </w:rPr>
              <w:tab/>
            </w:r>
            <w:r>
              <w:rPr>
                <w:color w:val="231F20"/>
                <w:spacing w:val="-2"/>
                <w:sz w:val="15"/>
              </w:rPr>
              <w:t>Variable</w:t>
            </w:r>
          </w:p>
        </w:tc>
        <w:tc>
          <w:tcPr>
            <w:tcW w:w="1106"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54"/>
              <w:rPr>
                <w:sz w:val="15"/>
              </w:rPr>
            </w:pPr>
            <w:r>
              <w:rPr>
                <w:color w:val="231F20"/>
                <w:spacing w:val="-2"/>
                <w:sz w:val="15"/>
              </w:rPr>
              <w:t>Unclear</w:t>
            </w:r>
          </w:p>
          <w:p>
            <w:pPr>
              <w:pStyle w:val="TableParagraph"/>
              <w:rPr>
                <w:i/>
                <w:sz w:val="15"/>
              </w:rPr>
            </w:pPr>
          </w:p>
          <w:p>
            <w:pPr>
              <w:pStyle w:val="TableParagraph"/>
              <w:spacing w:before="151"/>
              <w:rPr>
                <w:i/>
                <w:sz w:val="15"/>
              </w:rPr>
            </w:pPr>
          </w:p>
          <w:p>
            <w:pPr>
              <w:pStyle w:val="TableParagraph"/>
              <w:spacing w:line="465" w:lineRule="auto"/>
              <w:ind w:left="54" w:right="228"/>
              <w:rPr>
                <w:sz w:val="15"/>
              </w:rPr>
            </w:pPr>
            <w:r>
              <w:rPr>
                <w:color w:val="231F20"/>
                <w:spacing w:val="-2"/>
                <w:sz w:val="15"/>
              </w:rPr>
              <w:t>Unclear</w:t>
            </w:r>
            <w:r>
              <w:rPr>
                <w:color w:val="231F20"/>
                <w:spacing w:val="40"/>
                <w:sz w:val="15"/>
              </w:rPr>
              <w:t> </w:t>
            </w:r>
            <w:r>
              <w:rPr>
                <w:color w:val="231F20"/>
                <w:sz w:val="15"/>
              </w:rPr>
              <w:t>Long</w:t>
            </w:r>
            <w:r>
              <w:rPr>
                <w:color w:val="231F20"/>
                <w:spacing w:val="-12"/>
                <w:sz w:val="15"/>
              </w:rPr>
              <w:t> </w:t>
            </w:r>
            <w:r>
              <w:rPr>
                <w:color w:val="231F20"/>
                <w:sz w:val="15"/>
              </w:rPr>
              <w:t>lasting</w:t>
            </w:r>
          </w:p>
        </w:tc>
        <w:tc>
          <w:tcPr>
            <w:tcW w:w="1161"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43"/>
              <w:rPr>
                <w:sz w:val="15"/>
              </w:rPr>
            </w:pPr>
            <w:r>
              <w:rPr>
                <w:color w:val="231F20"/>
                <w:spacing w:val="-2"/>
                <w:sz w:val="15"/>
              </w:rPr>
              <w:t>Variable</w:t>
            </w:r>
          </w:p>
          <w:p>
            <w:pPr>
              <w:pStyle w:val="TableParagraph"/>
              <w:rPr>
                <w:i/>
                <w:sz w:val="15"/>
              </w:rPr>
            </w:pPr>
          </w:p>
          <w:p>
            <w:pPr>
              <w:pStyle w:val="TableParagraph"/>
              <w:spacing w:before="151"/>
              <w:rPr>
                <w:i/>
                <w:sz w:val="15"/>
              </w:rPr>
            </w:pPr>
          </w:p>
          <w:p>
            <w:pPr>
              <w:pStyle w:val="TableParagraph"/>
              <w:spacing w:line="465" w:lineRule="auto"/>
              <w:ind w:left="143"/>
              <w:rPr>
                <w:sz w:val="15"/>
              </w:rPr>
            </w:pPr>
            <w:r>
              <w:rPr>
                <w:color w:val="231F20"/>
                <w:spacing w:val="-2"/>
                <w:sz w:val="15"/>
              </w:rPr>
              <w:t>Variable Guarded</w:t>
            </w:r>
          </w:p>
        </w:tc>
        <w:tc>
          <w:tcPr>
            <w:tcW w:w="1497"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23"/>
              <w:rPr>
                <w:sz w:val="15"/>
              </w:rPr>
            </w:pPr>
            <w:r>
              <w:rPr>
                <w:color w:val="231F20"/>
                <w:spacing w:val="-5"/>
                <w:w w:val="105"/>
                <w:sz w:val="15"/>
              </w:rPr>
              <w:t>VPA</w:t>
            </w:r>
          </w:p>
          <w:p>
            <w:pPr>
              <w:pStyle w:val="TableParagraph"/>
              <w:rPr>
                <w:i/>
                <w:sz w:val="15"/>
              </w:rPr>
            </w:pPr>
          </w:p>
          <w:p>
            <w:pPr>
              <w:pStyle w:val="TableParagraph"/>
              <w:spacing w:before="151"/>
              <w:rPr>
                <w:i/>
                <w:sz w:val="15"/>
              </w:rPr>
            </w:pPr>
          </w:p>
          <w:p>
            <w:pPr>
              <w:pStyle w:val="TableParagraph"/>
              <w:ind w:left="123"/>
              <w:rPr>
                <w:sz w:val="15"/>
              </w:rPr>
            </w:pPr>
            <w:r>
              <w:rPr>
                <w:color w:val="231F20"/>
                <w:spacing w:val="-5"/>
                <w:w w:val="105"/>
                <w:sz w:val="15"/>
              </w:rPr>
              <w:t>VPA</w:t>
            </w:r>
          </w:p>
          <w:p>
            <w:pPr>
              <w:pStyle w:val="TableParagraph"/>
              <w:spacing w:line="230" w:lineRule="auto" w:before="169"/>
              <w:ind w:left="234" w:hanging="112"/>
              <w:rPr>
                <w:sz w:val="15"/>
              </w:rPr>
            </w:pPr>
            <w:r>
              <w:rPr>
                <w:color w:val="231F20"/>
                <w:w w:val="105"/>
                <w:sz w:val="15"/>
              </w:rPr>
              <w:t>CBZ,</w:t>
            </w:r>
            <w:r>
              <w:rPr>
                <w:color w:val="231F20"/>
                <w:spacing w:val="-3"/>
                <w:w w:val="105"/>
                <w:sz w:val="15"/>
              </w:rPr>
              <w:t> </w:t>
            </w:r>
            <w:r>
              <w:rPr>
                <w:color w:val="231F20"/>
                <w:w w:val="105"/>
                <w:sz w:val="15"/>
              </w:rPr>
              <w:t>GBP,</w:t>
            </w:r>
            <w:r>
              <w:rPr>
                <w:color w:val="231F20"/>
                <w:spacing w:val="-3"/>
                <w:w w:val="105"/>
                <w:sz w:val="15"/>
              </w:rPr>
              <w:t> </w:t>
            </w:r>
            <w:r>
              <w:rPr>
                <w:color w:val="231F20"/>
                <w:w w:val="105"/>
                <w:sz w:val="15"/>
              </w:rPr>
              <w:t>OXC, </w:t>
            </w:r>
            <w:r>
              <w:rPr>
                <w:color w:val="231F20"/>
                <w:sz w:val="15"/>
              </w:rPr>
              <w:t>PHT,</w:t>
            </w:r>
            <w:r>
              <w:rPr>
                <w:color w:val="231F20"/>
                <w:spacing w:val="2"/>
                <w:sz w:val="15"/>
              </w:rPr>
              <w:t> </w:t>
            </w:r>
            <w:r>
              <w:rPr>
                <w:color w:val="231F20"/>
                <w:sz w:val="15"/>
              </w:rPr>
              <w:t>TPM,</w:t>
            </w:r>
            <w:r>
              <w:rPr>
                <w:color w:val="231F20"/>
                <w:spacing w:val="3"/>
                <w:sz w:val="15"/>
              </w:rPr>
              <w:t> </w:t>
            </w:r>
            <w:r>
              <w:rPr>
                <w:color w:val="231F20"/>
                <w:spacing w:val="-5"/>
                <w:sz w:val="15"/>
              </w:rPr>
              <w:t>VPA</w:t>
            </w:r>
          </w:p>
        </w:tc>
        <w:tc>
          <w:tcPr>
            <w:tcW w:w="1555" w:type="dxa"/>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251" w:right="322" w:hanging="112"/>
              <w:rPr>
                <w:sz w:val="15"/>
              </w:rPr>
            </w:pPr>
            <w:r>
              <w:rPr>
                <w:color w:val="231F20"/>
                <w:sz w:val="15"/>
              </w:rPr>
              <w:t>BDZ,</w:t>
            </w:r>
            <w:r>
              <w:rPr>
                <w:color w:val="231F20"/>
                <w:spacing w:val="-12"/>
                <w:sz w:val="15"/>
              </w:rPr>
              <w:t> </w:t>
            </w:r>
            <w:r>
              <w:rPr>
                <w:color w:val="231F20"/>
                <w:sz w:val="15"/>
              </w:rPr>
              <w:t>LEV,</w:t>
            </w:r>
            <w:r>
              <w:rPr>
                <w:color w:val="231F20"/>
                <w:spacing w:val="-11"/>
                <w:sz w:val="15"/>
              </w:rPr>
              <w:t> </w:t>
            </w:r>
            <w:r>
              <w:rPr>
                <w:color w:val="231F20"/>
                <w:sz w:val="15"/>
              </w:rPr>
              <w:t>LTG, </w:t>
            </w:r>
            <w:r>
              <w:rPr>
                <w:color w:val="231F20"/>
                <w:spacing w:val="-4"/>
                <w:w w:val="105"/>
                <w:sz w:val="15"/>
              </w:rPr>
              <w:t>ZON</w:t>
            </w:r>
          </w:p>
          <w:p>
            <w:pPr>
              <w:pStyle w:val="TableParagraph"/>
              <w:spacing w:before="164"/>
              <w:rPr>
                <w:i/>
                <w:sz w:val="15"/>
              </w:rPr>
            </w:pPr>
          </w:p>
          <w:p>
            <w:pPr>
              <w:pStyle w:val="TableParagraph"/>
              <w:spacing w:line="230" w:lineRule="auto"/>
              <w:ind w:left="251" w:right="322" w:hanging="112"/>
              <w:rPr>
                <w:sz w:val="15"/>
              </w:rPr>
            </w:pPr>
            <w:r>
              <w:rPr>
                <w:color w:val="231F20"/>
                <w:sz w:val="15"/>
              </w:rPr>
              <w:t>BDZ,</w:t>
            </w:r>
            <w:r>
              <w:rPr>
                <w:color w:val="231F20"/>
                <w:spacing w:val="-12"/>
                <w:sz w:val="15"/>
              </w:rPr>
              <w:t> </w:t>
            </w:r>
            <w:r>
              <w:rPr>
                <w:color w:val="231F20"/>
                <w:sz w:val="15"/>
              </w:rPr>
              <w:t>LEV,</w:t>
            </w:r>
            <w:r>
              <w:rPr>
                <w:color w:val="231F20"/>
                <w:spacing w:val="-11"/>
                <w:sz w:val="15"/>
              </w:rPr>
              <w:t> </w:t>
            </w:r>
            <w:r>
              <w:rPr>
                <w:color w:val="231F20"/>
                <w:sz w:val="15"/>
              </w:rPr>
              <w:t>LTG, </w:t>
            </w:r>
            <w:r>
              <w:rPr>
                <w:color w:val="231F20"/>
                <w:spacing w:val="-4"/>
                <w:w w:val="105"/>
                <w:sz w:val="15"/>
              </w:rPr>
              <w:t>ZON</w:t>
            </w:r>
          </w:p>
          <w:p>
            <w:pPr>
              <w:pStyle w:val="TableParagraph"/>
              <w:spacing w:line="230" w:lineRule="auto" w:before="3"/>
              <w:ind w:left="250" w:right="322" w:hanging="112"/>
              <w:rPr>
                <w:sz w:val="15"/>
              </w:rPr>
            </w:pPr>
            <w:r>
              <w:rPr>
                <w:color w:val="231F20"/>
                <w:sz w:val="15"/>
              </w:rPr>
              <w:t>CLB,</w:t>
            </w:r>
            <w:r>
              <w:rPr>
                <w:color w:val="231F20"/>
                <w:spacing w:val="-12"/>
                <w:sz w:val="15"/>
              </w:rPr>
              <w:t> </w:t>
            </w:r>
            <w:r>
              <w:rPr>
                <w:color w:val="231F20"/>
                <w:sz w:val="15"/>
              </w:rPr>
              <w:t>LEV,</w:t>
            </w:r>
            <w:r>
              <w:rPr>
                <w:color w:val="231F20"/>
                <w:spacing w:val="-11"/>
                <w:sz w:val="15"/>
              </w:rPr>
              <w:t> </w:t>
            </w:r>
            <w:r>
              <w:rPr>
                <w:color w:val="231F20"/>
                <w:sz w:val="15"/>
              </w:rPr>
              <w:t>PB, PHT, ZON</w:t>
            </w:r>
          </w:p>
        </w:tc>
        <w:tc>
          <w:tcPr>
            <w:tcW w:w="1460"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6"/>
              <w:rPr>
                <w:sz w:val="15"/>
              </w:rPr>
            </w:pPr>
            <w:r>
              <w:rPr>
                <w:color w:val="231F20"/>
                <w:spacing w:val="-5"/>
                <w:w w:val="115"/>
                <w:sz w:val="15"/>
              </w:rPr>
              <w:t>No</w:t>
            </w:r>
          </w:p>
          <w:p>
            <w:pPr>
              <w:pStyle w:val="TableParagraph"/>
              <w:rPr>
                <w:i/>
                <w:sz w:val="15"/>
              </w:rPr>
            </w:pPr>
          </w:p>
          <w:p>
            <w:pPr>
              <w:pStyle w:val="TableParagraph"/>
              <w:spacing w:before="151"/>
              <w:rPr>
                <w:i/>
                <w:sz w:val="15"/>
              </w:rPr>
            </w:pPr>
          </w:p>
          <w:p>
            <w:pPr>
              <w:pStyle w:val="TableParagraph"/>
              <w:ind w:left="16"/>
              <w:rPr>
                <w:sz w:val="15"/>
              </w:rPr>
            </w:pPr>
            <w:r>
              <w:rPr>
                <w:color w:val="231F20"/>
                <w:spacing w:val="-5"/>
                <w:w w:val="115"/>
                <w:sz w:val="15"/>
              </w:rPr>
              <w:t>No</w:t>
            </w:r>
          </w:p>
          <w:p>
            <w:pPr>
              <w:pStyle w:val="TableParagraph"/>
              <w:spacing w:line="230" w:lineRule="auto" w:before="169"/>
              <w:ind w:left="128" w:right="123" w:hanging="112"/>
              <w:rPr>
                <w:sz w:val="15"/>
              </w:rPr>
            </w:pPr>
            <w:r>
              <w:rPr>
                <w:color w:val="231F20"/>
                <w:sz w:val="15"/>
              </w:rPr>
              <w:t>Lesionectomy </w:t>
            </w:r>
            <w:r>
              <w:rPr>
                <w:rFonts w:ascii="Cambria" w:hAnsi="Cambria"/>
                <w:color w:val="231F20"/>
                <w:sz w:val="15"/>
              </w:rPr>
              <w:t>±</w:t>
            </w:r>
            <w:r>
              <w:rPr>
                <w:rFonts w:ascii="Cambria" w:hAnsi="Cambria"/>
                <w:color w:val="231F20"/>
                <w:spacing w:val="40"/>
                <w:sz w:val="15"/>
              </w:rPr>
              <w:t> </w:t>
            </w:r>
            <w:r>
              <w:rPr>
                <w:color w:val="231F20"/>
                <w:spacing w:val="-4"/>
                <w:sz w:val="15"/>
              </w:rPr>
              <w:t>cortical</w:t>
            </w:r>
            <w:r>
              <w:rPr>
                <w:color w:val="231F20"/>
                <w:spacing w:val="-8"/>
                <w:sz w:val="15"/>
              </w:rPr>
              <w:t> </w:t>
            </w:r>
            <w:r>
              <w:rPr>
                <w:color w:val="231F20"/>
                <w:spacing w:val="-4"/>
                <w:sz w:val="15"/>
              </w:rPr>
              <w:t>resection </w:t>
            </w:r>
            <w:r>
              <w:rPr>
                <w:color w:val="231F20"/>
                <w:sz w:val="15"/>
              </w:rPr>
              <w:t>in some</w:t>
            </w:r>
          </w:p>
        </w:tc>
      </w:tr>
      <w:tr>
        <w:trPr>
          <w:trHeight w:val="796" w:hRule="atLeast"/>
        </w:trPr>
        <w:tc>
          <w:tcPr>
            <w:tcW w:w="2962" w:type="dxa"/>
            <w:vMerge w:val="restart"/>
            <w:tcBorders>
              <w:top w:val="single" w:sz="4" w:space="0" w:color="FFFFFF"/>
              <w:bottom w:val="single" w:sz="4" w:space="0" w:color="FFFFFF"/>
            </w:tcBorders>
            <w:shd w:val="clear" w:color="auto" w:fill="E8F5F1"/>
          </w:tcPr>
          <w:p>
            <w:pPr>
              <w:pStyle w:val="TableParagraph"/>
              <w:spacing w:line="172" w:lineRule="exact" w:before="43"/>
              <w:ind w:left="73"/>
              <w:rPr>
                <w:sz w:val="15"/>
              </w:rPr>
            </w:pPr>
            <w:r>
              <w:rPr>
                <w:color w:val="231F20"/>
                <w:w w:val="105"/>
                <w:sz w:val="15"/>
              </w:rPr>
              <w:t>EPILEPTIC</w:t>
            </w:r>
            <w:r>
              <w:rPr>
                <w:color w:val="231F20"/>
                <w:spacing w:val="12"/>
                <w:w w:val="110"/>
                <w:sz w:val="15"/>
              </w:rPr>
              <w:t> </w:t>
            </w:r>
            <w:r>
              <w:rPr>
                <w:color w:val="231F20"/>
                <w:spacing w:val="-2"/>
                <w:w w:val="110"/>
                <w:sz w:val="15"/>
              </w:rPr>
              <w:t>ENCEPHALOPATHIES</w:t>
            </w:r>
          </w:p>
          <w:p>
            <w:pPr>
              <w:pStyle w:val="TableParagraph"/>
              <w:tabs>
                <w:tab w:pos="1823" w:val="left" w:leader="none"/>
                <w:tab w:pos="1935" w:val="left" w:leader="none"/>
              </w:tabs>
              <w:spacing w:line="230" w:lineRule="auto" w:before="3"/>
              <w:ind w:left="185" w:right="469" w:hanging="112"/>
              <w:rPr>
                <w:sz w:val="15"/>
              </w:rPr>
            </w:pPr>
            <w:r>
              <w:rPr>
                <w:color w:val="231F20"/>
                <w:sz w:val="15"/>
              </w:rPr>
              <w:t>Early myoclonic</w:t>
              <w:tab/>
            </w:r>
            <w:r>
              <w:rPr>
                <w:color w:val="231F20"/>
                <w:spacing w:val="-2"/>
                <w:sz w:val="15"/>
              </w:rPr>
              <w:t>Newborn- </w:t>
            </w:r>
            <w:r>
              <w:rPr>
                <w:color w:val="231F20"/>
                <w:sz w:val="15"/>
              </w:rPr>
              <w:t>encephalopathy and</w:t>
              <w:tab/>
              <w:tab/>
            </w:r>
            <w:r>
              <w:rPr>
                <w:color w:val="231F20"/>
                <w:spacing w:val="-2"/>
                <w:sz w:val="15"/>
              </w:rPr>
              <w:t>infant </w:t>
            </w:r>
            <w:r>
              <w:rPr>
                <w:color w:val="231F20"/>
                <w:sz w:val="15"/>
              </w:rPr>
              <w:t>Ohtahara syndrome</w:t>
            </w:r>
          </w:p>
          <w:p>
            <w:pPr>
              <w:pStyle w:val="TableParagraph"/>
              <w:rPr>
                <w:i/>
                <w:sz w:val="15"/>
              </w:rPr>
            </w:pPr>
          </w:p>
          <w:p>
            <w:pPr>
              <w:pStyle w:val="TableParagraph"/>
              <w:spacing w:before="153"/>
              <w:rPr>
                <w:i/>
                <w:sz w:val="15"/>
              </w:rPr>
            </w:pPr>
          </w:p>
          <w:p>
            <w:pPr>
              <w:pStyle w:val="TableParagraph"/>
              <w:tabs>
                <w:tab w:pos="1823" w:val="left" w:leader="none"/>
              </w:tabs>
              <w:spacing w:before="1"/>
              <w:ind w:left="73"/>
              <w:rPr>
                <w:sz w:val="15"/>
              </w:rPr>
            </w:pPr>
            <w:r>
              <w:rPr>
                <w:color w:val="231F20"/>
                <w:sz w:val="15"/>
              </w:rPr>
              <w:t>West</w:t>
            </w:r>
            <w:r>
              <w:rPr>
                <w:color w:val="231F20"/>
                <w:spacing w:val="7"/>
                <w:sz w:val="15"/>
              </w:rPr>
              <w:t> </w:t>
            </w:r>
            <w:r>
              <w:rPr>
                <w:color w:val="231F20"/>
                <w:spacing w:val="-2"/>
                <w:sz w:val="15"/>
              </w:rPr>
              <w:t>syndrome</w:t>
            </w:r>
            <w:r>
              <w:rPr>
                <w:color w:val="231F20"/>
                <w:sz w:val="15"/>
              </w:rPr>
              <w:tab/>
            </w:r>
            <w:r>
              <w:rPr>
                <w:color w:val="231F20"/>
                <w:spacing w:val="-2"/>
                <w:sz w:val="15"/>
              </w:rPr>
              <w:t>Infant</w:t>
            </w:r>
          </w:p>
          <w:p>
            <w:pPr>
              <w:pStyle w:val="TableParagraph"/>
              <w:tabs>
                <w:tab w:pos="1823" w:val="left" w:leader="none"/>
              </w:tabs>
              <w:spacing w:line="230" w:lineRule="auto" w:before="171"/>
              <w:ind w:left="184" w:right="760" w:hanging="112"/>
              <w:rPr>
                <w:sz w:val="15"/>
              </w:rPr>
            </w:pPr>
            <w:r>
              <w:rPr>
                <w:color w:val="231F20"/>
                <w:sz w:val="15"/>
              </w:rPr>
              <w:t>Dravet syndrome</w:t>
              <w:tab/>
            </w:r>
            <w:r>
              <w:rPr>
                <w:color w:val="231F20"/>
                <w:spacing w:val="-6"/>
                <w:sz w:val="15"/>
              </w:rPr>
              <w:t>Infant</w:t>
            </w:r>
            <w:r>
              <w:rPr>
                <w:color w:val="231F20"/>
                <w:sz w:val="15"/>
              </w:rPr>
              <w:t> (severe myoclonic</w:t>
            </w:r>
          </w:p>
          <w:p>
            <w:pPr>
              <w:pStyle w:val="TableParagraph"/>
              <w:spacing w:line="168" w:lineRule="exact"/>
              <w:ind w:left="184"/>
              <w:rPr>
                <w:sz w:val="15"/>
              </w:rPr>
            </w:pPr>
            <w:r>
              <w:rPr>
                <w:color w:val="231F20"/>
                <w:sz w:val="15"/>
              </w:rPr>
              <w:t>epilepsy</w:t>
            </w:r>
            <w:r>
              <w:rPr>
                <w:color w:val="231F20"/>
                <w:spacing w:val="-3"/>
                <w:sz w:val="15"/>
              </w:rPr>
              <w:t> </w:t>
            </w:r>
            <w:r>
              <w:rPr>
                <w:color w:val="231F20"/>
                <w:sz w:val="15"/>
              </w:rPr>
              <w:t>in</w:t>
            </w:r>
            <w:r>
              <w:rPr>
                <w:color w:val="231F20"/>
                <w:spacing w:val="-2"/>
                <w:sz w:val="15"/>
              </w:rPr>
              <w:t> infancy)</w:t>
            </w:r>
          </w:p>
          <w:p>
            <w:pPr>
              <w:pStyle w:val="TableParagraph"/>
              <w:tabs>
                <w:tab w:pos="1823" w:val="left" w:leader="none"/>
              </w:tabs>
              <w:spacing w:line="230" w:lineRule="auto" w:before="3"/>
              <w:ind w:left="184" w:right="688" w:hanging="112"/>
              <w:rPr>
                <w:sz w:val="15"/>
              </w:rPr>
            </w:pPr>
            <w:r>
              <w:rPr>
                <w:color w:val="231F20"/>
                <w:spacing w:val="-2"/>
                <w:sz w:val="15"/>
              </w:rPr>
              <w:t>Lennox-Gastaut</w:t>
            </w:r>
            <w:r>
              <w:rPr>
                <w:color w:val="231F20"/>
                <w:sz w:val="15"/>
              </w:rPr>
              <w:tab/>
            </w:r>
            <w:r>
              <w:rPr>
                <w:color w:val="231F20"/>
                <w:spacing w:val="-4"/>
                <w:sz w:val="15"/>
              </w:rPr>
              <w:t>3-10</w:t>
            </w:r>
            <w:r>
              <w:rPr>
                <w:color w:val="231F20"/>
                <w:spacing w:val="-8"/>
                <w:sz w:val="15"/>
              </w:rPr>
              <w:t> </w:t>
            </w:r>
            <w:r>
              <w:rPr>
                <w:color w:val="231F20"/>
                <w:spacing w:val="-4"/>
                <w:sz w:val="15"/>
              </w:rPr>
              <w:t>yr </w:t>
            </w:r>
            <w:r>
              <w:rPr>
                <w:color w:val="231F20"/>
                <w:spacing w:val="-2"/>
                <w:sz w:val="15"/>
              </w:rPr>
              <w:t>syndrome</w:t>
            </w:r>
          </w:p>
          <w:p>
            <w:pPr>
              <w:pStyle w:val="TableParagraph"/>
              <w:tabs>
                <w:tab w:pos="1823" w:val="left" w:leader="none"/>
              </w:tabs>
              <w:spacing w:line="230" w:lineRule="auto" w:before="3"/>
              <w:ind w:left="184" w:right="766" w:hanging="112"/>
              <w:rPr>
                <w:sz w:val="15"/>
              </w:rPr>
            </w:pPr>
            <w:r>
              <w:rPr>
                <w:color w:val="231F20"/>
                <w:spacing w:val="-2"/>
                <w:sz w:val="15"/>
              </w:rPr>
              <w:t>Landau-Kleffner</w:t>
            </w:r>
            <w:r>
              <w:rPr>
                <w:color w:val="231F20"/>
                <w:sz w:val="15"/>
              </w:rPr>
              <w:tab/>
            </w:r>
            <w:r>
              <w:rPr>
                <w:color w:val="231F20"/>
                <w:spacing w:val="-4"/>
                <w:sz w:val="15"/>
              </w:rPr>
              <w:t>3-6</w:t>
            </w:r>
            <w:r>
              <w:rPr>
                <w:color w:val="231F20"/>
                <w:spacing w:val="-8"/>
                <w:sz w:val="15"/>
              </w:rPr>
              <w:t> </w:t>
            </w:r>
            <w:r>
              <w:rPr>
                <w:color w:val="231F20"/>
                <w:spacing w:val="-4"/>
                <w:sz w:val="15"/>
              </w:rPr>
              <w:t>yr </w:t>
            </w:r>
            <w:r>
              <w:rPr>
                <w:color w:val="231F20"/>
                <w:spacing w:val="-2"/>
                <w:sz w:val="15"/>
              </w:rPr>
              <w:t>syndrome</w:t>
            </w:r>
          </w:p>
          <w:p>
            <w:pPr>
              <w:pStyle w:val="TableParagraph"/>
              <w:tabs>
                <w:tab w:pos="1822" w:val="left" w:leader="none"/>
              </w:tabs>
              <w:spacing w:line="230" w:lineRule="auto" w:before="171"/>
              <w:ind w:left="184" w:right="766" w:hanging="112"/>
              <w:rPr>
                <w:sz w:val="15"/>
              </w:rPr>
            </w:pPr>
            <w:r>
              <w:rPr>
                <w:color w:val="231F20"/>
                <w:sz w:val="15"/>
              </w:rPr>
              <w:t>Epilepsy with</w:t>
              <w:tab/>
            </w:r>
            <w:r>
              <w:rPr>
                <w:color w:val="231F20"/>
                <w:spacing w:val="-4"/>
                <w:sz w:val="15"/>
              </w:rPr>
              <w:t>4-7</w:t>
            </w:r>
            <w:r>
              <w:rPr>
                <w:color w:val="231F20"/>
                <w:spacing w:val="-8"/>
                <w:sz w:val="15"/>
              </w:rPr>
              <w:t> </w:t>
            </w:r>
            <w:r>
              <w:rPr>
                <w:color w:val="231F20"/>
                <w:spacing w:val="-4"/>
                <w:sz w:val="15"/>
              </w:rPr>
              <w:t>yr </w:t>
            </w:r>
            <w:r>
              <w:rPr>
                <w:color w:val="231F20"/>
                <w:sz w:val="15"/>
              </w:rPr>
              <w:t>continuous spike</w:t>
            </w:r>
          </w:p>
          <w:p>
            <w:pPr>
              <w:pStyle w:val="TableParagraph"/>
              <w:spacing w:line="230" w:lineRule="auto" w:before="1"/>
              <w:ind w:left="184" w:right="1694"/>
              <w:rPr>
                <w:sz w:val="15"/>
              </w:rPr>
            </w:pPr>
            <w:r>
              <w:rPr>
                <w:color w:val="231F20"/>
                <w:sz w:val="15"/>
              </w:rPr>
              <w:t>waves during </w:t>
            </w:r>
            <w:r>
              <w:rPr>
                <w:color w:val="231F20"/>
                <w:spacing w:val="-2"/>
                <w:sz w:val="15"/>
              </w:rPr>
              <w:t>slow-wave</w:t>
            </w:r>
            <w:r>
              <w:rPr>
                <w:color w:val="231F20"/>
                <w:spacing w:val="-10"/>
                <w:sz w:val="15"/>
              </w:rPr>
              <w:t> </w:t>
            </w:r>
            <w:r>
              <w:rPr>
                <w:color w:val="231F20"/>
                <w:spacing w:val="-2"/>
                <w:sz w:val="15"/>
              </w:rPr>
              <w:t>sleep</w:t>
            </w:r>
          </w:p>
        </w:tc>
        <w:tc>
          <w:tcPr>
            <w:tcW w:w="1106" w:type="dxa"/>
            <w:vMerge w:val="restart"/>
            <w:tcBorders>
              <w:top w:val="single" w:sz="4" w:space="0" w:color="FFFFFF"/>
              <w:bottom w:val="single" w:sz="4" w:space="0" w:color="FFFFFF"/>
            </w:tcBorders>
            <w:shd w:val="clear" w:color="auto" w:fill="E8F5F1"/>
          </w:tcPr>
          <w:p>
            <w:pPr>
              <w:pStyle w:val="TableParagraph"/>
              <w:spacing w:before="38"/>
              <w:rPr>
                <w:i/>
                <w:sz w:val="15"/>
              </w:rPr>
            </w:pPr>
          </w:p>
          <w:p>
            <w:pPr>
              <w:pStyle w:val="TableParagraph"/>
              <w:spacing w:line="171" w:lineRule="exact"/>
              <w:ind w:left="54"/>
              <w:rPr>
                <w:sz w:val="15"/>
              </w:rPr>
            </w:pPr>
            <w:r>
              <w:rPr>
                <w:color w:val="231F20"/>
                <w:spacing w:val="-2"/>
                <w:sz w:val="15"/>
              </w:rPr>
              <w:t>Poor,</w:t>
            </w:r>
          </w:p>
          <w:p>
            <w:pPr>
              <w:pStyle w:val="TableParagraph"/>
              <w:spacing w:line="230" w:lineRule="auto" w:before="3"/>
              <w:ind w:left="166" w:right="16"/>
              <w:rPr>
                <w:sz w:val="15"/>
              </w:rPr>
            </w:pPr>
            <w:r>
              <w:rPr>
                <w:color w:val="231F20"/>
                <w:spacing w:val="-2"/>
                <w:sz w:val="15"/>
              </w:rPr>
              <w:t>Ohtahara syndrome evolves</w:t>
            </w:r>
            <w:r>
              <w:rPr>
                <w:color w:val="231F20"/>
                <w:spacing w:val="-10"/>
                <w:sz w:val="15"/>
              </w:rPr>
              <w:t> </w:t>
            </w:r>
            <w:r>
              <w:rPr>
                <w:color w:val="231F20"/>
                <w:spacing w:val="-2"/>
                <w:sz w:val="15"/>
              </w:rPr>
              <w:t>into </w:t>
            </w:r>
            <w:r>
              <w:rPr>
                <w:color w:val="231F20"/>
                <w:spacing w:val="-4"/>
                <w:sz w:val="15"/>
              </w:rPr>
              <w:t>West </w:t>
            </w:r>
            <w:r>
              <w:rPr>
                <w:color w:val="231F20"/>
                <w:spacing w:val="-2"/>
                <w:sz w:val="15"/>
              </w:rPr>
              <w:t>syndrome</w:t>
            </w:r>
          </w:p>
          <w:p>
            <w:pPr>
              <w:pStyle w:val="TableParagraph"/>
              <w:spacing w:line="174" w:lineRule="exact"/>
              <w:ind w:left="54"/>
              <w:rPr>
                <w:sz w:val="15"/>
              </w:rPr>
            </w:pPr>
            <w:r>
              <w:rPr>
                <w:color w:val="231F20"/>
                <w:spacing w:val="-2"/>
                <w:sz w:val="15"/>
              </w:rPr>
              <w:t>Variable</w:t>
            </w:r>
          </w:p>
          <w:p>
            <w:pPr>
              <w:pStyle w:val="TableParagraph"/>
              <w:spacing w:before="165"/>
              <w:ind w:left="53"/>
              <w:rPr>
                <w:sz w:val="15"/>
              </w:rPr>
            </w:pPr>
            <w:r>
              <w:rPr>
                <w:color w:val="231F20"/>
                <w:w w:val="105"/>
                <w:sz w:val="15"/>
              </w:rPr>
              <w:t>No</w:t>
            </w:r>
            <w:r>
              <w:rPr>
                <w:color w:val="231F20"/>
                <w:spacing w:val="18"/>
                <w:w w:val="105"/>
                <w:sz w:val="15"/>
              </w:rPr>
              <w:t> </w:t>
            </w:r>
            <w:r>
              <w:rPr>
                <w:color w:val="231F20"/>
                <w:spacing w:val="-2"/>
                <w:w w:val="105"/>
                <w:sz w:val="15"/>
              </w:rPr>
              <w:t>remission</w:t>
            </w:r>
          </w:p>
          <w:p>
            <w:pPr>
              <w:pStyle w:val="TableParagraph"/>
              <w:spacing w:before="157"/>
              <w:rPr>
                <w:i/>
                <w:sz w:val="15"/>
              </w:rPr>
            </w:pPr>
          </w:p>
          <w:p>
            <w:pPr>
              <w:pStyle w:val="TableParagraph"/>
              <w:spacing w:line="465" w:lineRule="auto"/>
              <w:ind w:left="53" w:right="168"/>
              <w:rPr>
                <w:sz w:val="15"/>
              </w:rPr>
            </w:pPr>
            <w:r>
              <w:rPr>
                <w:color w:val="231F20"/>
                <w:sz w:val="15"/>
              </w:rPr>
              <w:t>No</w:t>
            </w:r>
            <w:r>
              <w:rPr>
                <w:color w:val="231F20"/>
                <w:spacing w:val="-11"/>
                <w:sz w:val="15"/>
              </w:rPr>
              <w:t> </w:t>
            </w:r>
            <w:r>
              <w:rPr>
                <w:color w:val="231F20"/>
                <w:sz w:val="15"/>
              </w:rPr>
              <w:t>remission 8-12 yr</w:t>
            </w:r>
          </w:p>
          <w:p>
            <w:pPr>
              <w:pStyle w:val="TableParagraph"/>
              <w:spacing w:before="167"/>
              <w:ind w:left="53"/>
              <w:rPr>
                <w:sz w:val="15"/>
              </w:rPr>
            </w:pPr>
            <w:r>
              <w:rPr>
                <w:color w:val="231F20"/>
                <w:sz w:val="15"/>
              </w:rPr>
              <w:t>8-12</w:t>
            </w:r>
            <w:r>
              <w:rPr>
                <w:color w:val="231F20"/>
                <w:spacing w:val="-8"/>
                <w:sz w:val="15"/>
              </w:rPr>
              <w:t> </w:t>
            </w:r>
            <w:r>
              <w:rPr>
                <w:color w:val="231F20"/>
                <w:spacing w:val="-5"/>
                <w:sz w:val="15"/>
              </w:rPr>
              <w:t>yr</w:t>
            </w:r>
          </w:p>
        </w:tc>
        <w:tc>
          <w:tcPr>
            <w:tcW w:w="1161" w:type="dxa"/>
            <w:vMerge w:val="restart"/>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43"/>
              <w:rPr>
                <w:sz w:val="15"/>
              </w:rPr>
            </w:pPr>
            <w:r>
              <w:rPr>
                <w:color w:val="231F20"/>
                <w:spacing w:val="-2"/>
                <w:w w:val="105"/>
                <w:sz w:val="15"/>
              </w:rPr>
              <w:t>Ominous</w:t>
            </w:r>
          </w:p>
          <w:p>
            <w:pPr>
              <w:pStyle w:val="TableParagraph"/>
              <w:rPr>
                <w:i/>
                <w:sz w:val="15"/>
              </w:rPr>
            </w:pPr>
          </w:p>
          <w:p>
            <w:pPr>
              <w:pStyle w:val="TableParagraph"/>
              <w:rPr>
                <w:i/>
                <w:sz w:val="15"/>
              </w:rPr>
            </w:pPr>
          </w:p>
          <w:p>
            <w:pPr>
              <w:pStyle w:val="TableParagraph"/>
              <w:rPr>
                <w:i/>
                <w:sz w:val="15"/>
              </w:rPr>
            </w:pPr>
          </w:p>
          <w:p>
            <w:pPr>
              <w:pStyle w:val="TableParagraph"/>
              <w:spacing w:before="138"/>
              <w:rPr>
                <w:i/>
                <w:sz w:val="15"/>
              </w:rPr>
            </w:pPr>
          </w:p>
          <w:p>
            <w:pPr>
              <w:pStyle w:val="TableParagraph"/>
              <w:spacing w:line="468" w:lineRule="auto"/>
              <w:ind w:left="142" w:right="474"/>
              <w:rPr>
                <w:sz w:val="15"/>
              </w:rPr>
            </w:pPr>
            <w:r>
              <w:rPr>
                <w:color w:val="231F20"/>
                <w:spacing w:val="-4"/>
                <w:sz w:val="15"/>
              </w:rPr>
              <w:t>Variable </w:t>
            </w:r>
            <w:r>
              <w:rPr>
                <w:color w:val="231F20"/>
                <w:spacing w:val="-2"/>
                <w:sz w:val="15"/>
              </w:rPr>
              <w:t>Severe</w:t>
            </w:r>
          </w:p>
          <w:p>
            <w:pPr>
              <w:pStyle w:val="TableParagraph"/>
              <w:spacing w:line="465" w:lineRule="auto" w:before="166"/>
              <w:ind w:left="142" w:right="46"/>
              <w:rPr>
                <w:sz w:val="15"/>
              </w:rPr>
            </w:pPr>
            <w:r>
              <w:rPr>
                <w:color w:val="231F20"/>
                <w:spacing w:val="-2"/>
                <w:sz w:val="15"/>
              </w:rPr>
              <w:t>Severe Guarded</w:t>
            </w:r>
          </w:p>
          <w:p>
            <w:pPr>
              <w:pStyle w:val="TableParagraph"/>
              <w:spacing w:before="167"/>
              <w:ind w:left="142"/>
              <w:rPr>
                <w:sz w:val="15"/>
              </w:rPr>
            </w:pPr>
            <w:r>
              <w:rPr>
                <w:color w:val="231F20"/>
                <w:spacing w:val="-2"/>
                <w:w w:val="105"/>
                <w:sz w:val="15"/>
              </w:rPr>
              <w:t>Guarded</w:t>
            </w:r>
          </w:p>
        </w:tc>
        <w:tc>
          <w:tcPr>
            <w:tcW w:w="1497" w:type="dxa"/>
            <w:vMerge w:val="restart"/>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22"/>
              <w:rPr>
                <w:sz w:val="15"/>
              </w:rPr>
            </w:pPr>
            <w:r>
              <w:rPr>
                <w:color w:val="231F20"/>
                <w:spacing w:val="-2"/>
                <w:sz w:val="15"/>
              </w:rPr>
              <w:t>PB,</w:t>
            </w:r>
            <w:r>
              <w:rPr>
                <w:color w:val="231F20"/>
                <w:spacing w:val="-3"/>
                <w:sz w:val="15"/>
              </w:rPr>
              <w:t> </w:t>
            </w:r>
            <w:r>
              <w:rPr>
                <w:color w:val="231F20"/>
                <w:spacing w:val="-2"/>
                <w:sz w:val="15"/>
              </w:rPr>
              <w:t>steroids, </w:t>
            </w:r>
            <w:r>
              <w:rPr>
                <w:color w:val="231F20"/>
                <w:spacing w:val="-5"/>
                <w:sz w:val="15"/>
              </w:rPr>
              <w:t>VGB</w:t>
            </w:r>
          </w:p>
          <w:p>
            <w:pPr>
              <w:pStyle w:val="TableParagraph"/>
              <w:rPr>
                <w:i/>
                <w:sz w:val="15"/>
              </w:rPr>
            </w:pPr>
          </w:p>
          <w:p>
            <w:pPr>
              <w:pStyle w:val="TableParagraph"/>
              <w:rPr>
                <w:i/>
                <w:sz w:val="15"/>
              </w:rPr>
            </w:pPr>
          </w:p>
          <w:p>
            <w:pPr>
              <w:pStyle w:val="TableParagraph"/>
              <w:rPr>
                <w:i/>
                <w:sz w:val="15"/>
              </w:rPr>
            </w:pPr>
          </w:p>
          <w:p>
            <w:pPr>
              <w:pStyle w:val="TableParagraph"/>
              <w:spacing w:before="144"/>
              <w:rPr>
                <w:i/>
                <w:sz w:val="15"/>
              </w:rPr>
            </w:pPr>
          </w:p>
          <w:p>
            <w:pPr>
              <w:pStyle w:val="TableParagraph"/>
              <w:spacing w:line="230" w:lineRule="auto"/>
              <w:ind w:left="234" w:right="320" w:hanging="112"/>
              <w:rPr>
                <w:sz w:val="15"/>
              </w:rPr>
            </w:pPr>
            <w:r>
              <w:rPr>
                <w:color w:val="231F20"/>
                <w:sz w:val="15"/>
              </w:rPr>
              <w:t>ACTH,</w:t>
            </w:r>
            <w:r>
              <w:rPr>
                <w:color w:val="231F20"/>
                <w:spacing w:val="-12"/>
                <w:sz w:val="15"/>
              </w:rPr>
              <w:t> </w:t>
            </w:r>
            <w:r>
              <w:rPr>
                <w:color w:val="231F20"/>
                <w:sz w:val="15"/>
              </w:rPr>
              <w:t>steroids, </w:t>
            </w:r>
            <w:r>
              <w:rPr>
                <w:color w:val="231F20"/>
                <w:spacing w:val="-4"/>
                <w:w w:val="105"/>
                <w:sz w:val="15"/>
              </w:rPr>
              <w:t>VGB</w:t>
            </w:r>
          </w:p>
          <w:p>
            <w:pPr>
              <w:pStyle w:val="TableParagraph"/>
              <w:spacing w:line="230" w:lineRule="auto" w:before="5"/>
              <w:ind w:left="234" w:right="33" w:hanging="112"/>
              <w:rPr>
                <w:sz w:val="15"/>
              </w:rPr>
            </w:pPr>
            <w:r>
              <w:rPr>
                <w:color w:val="231F20"/>
                <w:spacing w:val="-4"/>
                <w:sz w:val="15"/>
              </w:rPr>
              <w:t>CLB,</w:t>
            </w:r>
            <w:r>
              <w:rPr>
                <w:color w:val="231F20"/>
                <w:spacing w:val="-8"/>
                <w:sz w:val="15"/>
              </w:rPr>
              <w:t> </w:t>
            </w:r>
            <w:r>
              <w:rPr>
                <w:color w:val="231F20"/>
                <w:spacing w:val="-4"/>
                <w:sz w:val="15"/>
              </w:rPr>
              <w:t>stiripentol, </w:t>
            </w:r>
            <w:r>
              <w:rPr>
                <w:color w:val="231F20"/>
                <w:sz w:val="15"/>
              </w:rPr>
              <w:t>TPM, VPA</w:t>
            </w:r>
          </w:p>
          <w:p>
            <w:pPr>
              <w:pStyle w:val="TableParagraph"/>
              <w:spacing w:line="230" w:lineRule="auto" w:before="171"/>
              <w:ind w:left="234" w:right="320" w:hanging="112"/>
              <w:rPr>
                <w:sz w:val="15"/>
              </w:rPr>
            </w:pPr>
            <w:r>
              <w:rPr>
                <w:color w:val="231F20"/>
                <w:sz w:val="15"/>
              </w:rPr>
              <w:t>CLB,</w:t>
            </w:r>
            <w:r>
              <w:rPr>
                <w:color w:val="231F20"/>
                <w:spacing w:val="-12"/>
                <w:sz w:val="15"/>
              </w:rPr>
              <w:t> </w:t>
            </w:r>
            <w:r>
              <w:rPr>
                <w:color w:val="231F20"/>
                <w:sz w:val="15"/>
              </w:rPr>
              <w:t>LTG,</w:t>
            </w:r>
            <w:r>
              <w:rPr>
                <w:color w:val="231F20"/>
                <w:spacing w:val="-11"/>
                <w:sz w:val="15"/>
              </w:rPr>
              <w:t> </w:t>
            </w:r>
            <w:r>
              <w:rPr>
                <w:color w:val="231F20"/>
                <w:sz w:val="15"/>
              </w:rPr>
              <w:t>RFD, TPM, VPA</w:t>
            </w:r>
          </w:p>
          <w:p>
            <w:pPr>
              <w:pStyle w:val="TableParagraph"/>
              <w:spacing w:line="230" w:lineRule="auto" w:before="3"/>
              <w:ind w:left="233" w:right="320" w:hanging="112"/>
              <w:rPr>
                <w:sz w:val="15"/>
              </w:rPr>
            </w:pPr>
            <w:r>
              <w:rPr>
                <w:color w:val="231F20"/>
                <w:sz w:val="15"/>
              </w:rPr>
              <w:t>LEV, nocturnal </w:t>
            </w:r>
            <w:r>
              <w:rPr>
                <w:color w:val="231F20"/>
                <w:spacing w:val="-2"/>
                <w:sz w:val="15"/>
              </w:rPr>
              <w:t>DZP,</w:t>
            </w:r>
            <w:r>
              <w:rPr>
                <w:color w:val="231F20"/>
                <w:spacing w:val="-10"/>
                <w:sz w:val="15"/>
              </w:rPr>
              <w:t> </w:t>
            </w:r>
            <w:r>
              <w:rPr>
                <w:color w:val="231F20"/>
                <w:spacing w:val="-2"/>
                <w:sz w:val="15"/>
              </w:rPr>
              <w:t>steroids, </w:t>
            </w:r>
            <w:r>
              <w:rPr>
                <w:color w:val="231F20"/>
                <w:spacing w:val="-4"/>
                <w:sz w:val="15"/>
              </w:rPr>
              <w:t>VPA</w:t>
            </w:r>
          </w:p>
          <w:p>
            <w:pPr>
              <w:pStyle w:val="TableParagraph"/>
              <w:spacing w:line="230" w:lineRule="auto" w:before="4"/>
              <w:ind w:left="233" w:right="320" w:hanging="112"/>
              <w:rPr>
                <w:sz w:val="15"/>
              </w:rPr>
            </w:pPr>
            <w:r>
              <w:rPr>
                <w:color w:val="231F20"/>
                <w:sz w:val="15"/>
              </w:rPr>
              <w:t>LEV, nocturnal </w:t>
            </w:r>
            <w:r>
              <w:rPr>
                <w:color w:val="231F20"/>
                <w:spacing w:val="-2"/>
                <w:sz w:val="15"/>
              </w:rPr>
              <w:t>DZP,</w:t>
            </w:r>
            <w:r>
              <w:rPr>
                <w:color w:val="231F20"/>
                <w:spacing w:val="-10"/>
                <w:sz w:val="15"/>
              </w:rPr>
              <w:t> </w:t>
            </w:r>
            <w:r>
              <w:rPr>
                <w:color w:val="231F20"/>
                <w:spacing w:val="-2"/>
                <w:sz w:val="15"/>
              </w:rPr>
              <w:t>steroids, </w:t>
            </w:r>
            <w:r>
              <w:rPr>
                <w:color w:val="231F20"/>
                <w:spacing w:val="-4"/>
                <w:sz w:val="15"/>
              </w:rPr>
              <w:t>VPA</w:t>
            </w:r>
          </w:p>
        </w:tc>
        <w:tc>
          <w:tcPr>
            <w:tcW w:w="1555" w:type="dxa"/>
            <w:tcBorders>
              <w:top w:val="single" w:sz="4" w:space="0" w:color="FFFFFF"/>
            </w:tcBorders>
            <w:shd w:val="clear" w:color="auto" w:fill="E8F5F1"/>
          </w:tcPr>
          <w:p>
            <w:pPr>
              <w:pStyle w:val="TableParagraph"/>
              <w:spacing w:before="38"/>
              <w:rPr>
                <w:i/>
                <w:sz w:val="15"/>
              </w:rPr>
            </w:pPr>
          </w:p>
          <w:p>
            <w:pPr>
              <w:pStyle w:val="TableParagraph"/>
              <w:ind w:left="138"/>
              <w:rPr>
                <w:sz w:val="15"/>
              </w:rPr>
            </w:pPr>
            <w:r>
              <w:rPr>
                <w:color w:val="231F20"/>
                <w:w w:val="105"/>
                <w:sz w:val="15"/>
              </w:rPr>
              <w:t>BDZ,</w:t>
            </w:r>
            <w:r>
              <w:rPr>
                <w:color w:val="231F20"/>
                <w:spacing w:val="-8"/>
                <w:w w:val="105"/>
                <w:sz w:val="15"/>
              </w:rPr>
              <w:t> </w:t>
            </w:r>
            <w:r>
              <w:rPr>
                <w:color w:val="231F20"/>
                <w:spacing w:val="-5"/>
                <w:w w:val="110"/>
                <w:sz w:val="15"/>
              </w:rPr>
              <w:t>ZON</w:t>
            </w:r>
          </w:p>
        </w:tc>
        <w:tc>
          <w:tcPr>
            <w:tcW w:w="1460" w:type="dxa"/>
            <w:tcBorders>
              <w:top w:val="single" w:sz="4" w:space="0" w:color="FFFFFF"/>
            </w:tcBorders>
            <w:shd w:val="clear" w:color="auto" w:fill="E8F5F1"/>
          </w:tcPr>
          <w:p>
            <w:pPr>
              <w:pStyle w:val="TableParagraph"/>
              <w:spacing w:before="38"/>
              <w:rPr>
                <w:i/>
                <w:sz w:val="15"/>
              </w:rPr>
            </w:pPr>
          </w:p>
          <w:p>
            <w:pPr>
              <w:pStyle w:val="TableParagraph"/>
              <w:ind w:left="16"/>
              <w:rPr>
                <w:sz w:val="15"/>
              </w:rPr>
            </w:pPr>
            <w:r>
              <w:rPr>
                <w:color w:val="231F20"/>
                <w:spacing w:val="-5"/>
                <w:w w:val="115"/>
                <w:sz w:val="15"/>
              </w:rPr>
              <w:t>No</w:t>
            </w:r>
          </w:p>
        </w:tc>
      </w:tr>
      <w:tr>
        <w:trPr>
          <w:trHeight w:val="1091" w:hRule="atLeast"/>
        </w:trPr>
        <w:tc>
          <w:tcPr>
            <w:tcW w:w="2962" w:type="dxa"/>
            <w:vMerge/>
            <w:tcBorders>
              <w:top w:val="nil"/>
              <w:bottom w:val="single" w:sz="4" w:space="0" w:color="FFFFFF"/>
            </w:tcBorders>
            <w:shd w:val="clear" w:color="auto" w:fill="E8F5F1"/>
          </w:tcPr>
          <w:p>
            <w:pPr>
              <w:rPr>
                <w:sz w:val="2"/>
                <w:szCs w:val="2"/>
              </w:rPr>
            </w:pPr>
          </w:p>
        </w:tc>
        <w:tc>
          <w:tcPr>
            <w:tcW w:w="1106" w:type="dxa"/>
            <w:vMerge/>
            <w:tcBorders>
              <w:top w:val="nil"/>
              <w:bottom w:val="single" w:sz="4" w:space="0" w:color="FFFFFF"/>
            </w:tcBorders>
            <w:shd w:val="clear" w:color="auto" w:fill="E8F5F1"/>
          </w:tcPr>
          <w:p>
            <w:pPr>
              <w:rPr>
                <w:sz w:val="2"/>
                <w:szCs w:val="2"/>
              </w:rPr>
            </w:pPr>
          </w:p>
        </w:tc>
        <w:tc>
          <w:tcPr>
            <w:tcW w:w="1161" w:type="dxa"/>
            <w:vMerge/>
            <w:tcBorders>
              <w:top w:val="nil"/>
              <w:bottom w:val="single" w:sz="4" w:space="0" w:color="FFFFFF"/>
            </w:tcBorders>
            <w:shd w:val="clear" w:color="auto" w:fill="E8F5F1"/>
          </w:tcPr>
          <w:p>
            <w:pPr>
              <w:rPr>
                <w:sz w:val="2"/>
                <w:szCs w:val="2"/>
              </w:rPr>
            </w:pPr>
          </w:p>
        </w:tc>
        <w:tc>
          <w:tcPr>
            <w:tcW w:w="1497" w:type="dxa"/>
            <w:vMerge/>
            <w:tcBorders>
              <w:top w:val="nil"/>
              <w:bottom w:val="single" w:sz="4" w:space="0" w:color="FFFFFF"/>
            </w:tcBorders>
            <w:shd w:val="clear" w:color="auto" w:fill="E8F5F1"/>
          </w:tcPr>
          <w:p>
            <w:pPr>
              <w:rPr>
                <w:sz w:val="2"/>
                <w:szCs w:val="2"/>
              </w:rPr>
            </w:pPr>
          </w:p>
        </w:tc>
        <w:tc>
          <w:tcPr>
            <w:tcW w:w="1555" w:type="dxa"/>
            <w:shd w:val="clear" w:color="auto" w:fill="E8F5F1"/>
          </w:tcPr>
          <w:p>
            <w:pPr>
              <w:pStyle w:val="TableParagraph"/>
              <w:rPr>
                <w:i/>
                <w:sz w:val="15"/>
              </w:rPr>
            </w:pPr>
          </w:p>
          <w:p>
            <w:pPr>
              <w:pStyle w:val="TableParagraph"/>
              <w:spacing w:before="72"/>
              <w:rPr>
                <w:i/>
                <w:sz w:val="15"/>
              </w:rPr>
            </w:pPr>
          </w:p>
          <w:p>
            <w:pPr>
              <w:pStyle w:val="TableParagraph"/>
              <w:spacing w:line="230" w:lineRule="auto"/>
              <w:ind w:left="250" w:right="322" w:hanging="112"/>
              <w:rPr>
                <w:sz w:val="15"/>
              </w:rPr>
            </w:pPr>
            <w:r>
              <w:rPr>
                <w:color w:val="231F20"/>
                <w:spacing w:val="-2"/>
                <w:w w:val="105"/>
                <w:sz w:val="15"/>
              </w:rPr>
              <w:t>BDZ,</w:t>
            </w:r>
            <w:r>
              <w:rPr>
                <w:color w:val="231F20"/>
                <w:spacing w:val="-10"/>
                <w:w w:val="105"/>
                <w:sz w:val="15"/>
              </w:rPr>
              <w:t> </w:t>
            </w:r>
            <w:r>
              <w:rPr>
                <w:color w:val="231F20"/>
                <w:spacing w:val="-2"/>
                <w:w w:val="105"/>
                <w:sz w:val="15"/>
              </w:rPr>
              <w:t>FBM,</w:t>
            </w:r>
            <w:r>
              <w:rPr>
                <w:color w:val="231F20"/>
                <w:spacing w:val="-10"/>
                <w:w w:val="105"/>
                <w:sz w:val="15"/>
              </w:rPr>
              <w:t> </w:t>
            </w:r>
            <w:r>
              <w:rPr>
                <w:color w:val="231F20"/>
                <w:spacing w:val="-2"/>
                <w:w w:val="105"/>
                <w:sz w:val="15"/>
              </w:rPr>
              <w:t>IVIG, </w:t>
            </w:r>
            <w:r>
              <w:rPr>
                <w:color w:val="231F20"/>
                <w:w w:val="105"/>
                <w:sz w:val="15"/>
              </w:rPr>
              <w:t>TPM, ZON</w:t>
            </w:r>
          </w:p>
          <w:p>
            <w:pPr>
              <w:pStyle w:val="TableParagraph"/>
              <w:spacing w:line="174" w:lineRule="exact"/>
              <w:ind w:left="138"/>
              <w:rPr>
                <w:sz w:val="15"/>
              </w:rPr>
            </w:pPr>
            <w:r>
              <w:rPr>
                <w:color w:val="231F20"/>
                <w:w w:val="105"/>
                <w:sz w:val="15"/>
              </w:rPr>
              <w:t>BDZ,</w:t>
            </w:r>
            <w:r>
              <w:rPr>
                <w:color w:val="231F20"/>
                <w:spacing w:val="-8"/>
                <w:w w:val="105"/>
                <w:sz w:val="15"/>
              </w:rPr>
              <w:t> </w:t>
            </w:r>
            <w:r>
              <w:rPr>
                <w:color w:val="231F20"/>
                <w:spacing w:val="-5"/>
                <w:w w:val="110"/>
                <w:sz w:val="15"/>
              </w:rPr>
              <w:t>ZON</w:t>
            </w:r>
          </w:p>
        </w:tc>
        <w:tc>
          <w:tcPr>
            <w:tcW w:w="1460" w:type="dxa"/>
            <w:shd w:val="clear" w:color="auto" w:fill="E8F5F1"/>
          </w:tcPr>
          <w:p>
            <w:pPr>
              <w:pStyle w:val="TableParagraph"/>
              <w:rPr>
                <w:i/>
                <w:sz w:val="15"/>
              </w:rPr>
            </w:pPr>
          </w:p>
          <w:p>
            <w:pPr>
              <w:pStyle w:val="TableParagraph"/>
              <w:spacing w:before="67"/>
              <w:rPr>
                <w:i/>
                <w:sz w:val="15"/>
              </w:rPr>
            </w:pPr>
          </w:p>
          <w:p>
            <w:pPr>
              <w:pStyle w:val="TableParagraph"/>
              <w:spacing w:line="173" w:lineRule="exact"/>
              <w:ind w:left="15"/>
              <w:rPr>
                <w:rFonts w:ascii="Cambria" w:hAnsi="Cambria"/>
                <w:sz w:val="15"/>
              </w:rPr>
            </w:pPr>
            <w:r>
              <w:rPr>
                <w:color w:val="231F20"/>
                <w:sz w:val="15"/>
              </w:rPr>
              <w:t>Lesionectomy</w:t>
            </w:r>
            <w:r>
              <w:rPr>
                <w:color w:val="231F20"/>
                <w:spacing w:val="1"/>
                <w:sz w:val="15"/>
              </w:rPr>
              <w:t> </w:t>
            </w:r>
            <w:r>
              <w:rPr>
                <w:rFonts w:ascii="Cambria" w:hAnsi="Cambria"/>
                <w:color w:val="231F20"/>
                <w:spacing w:val="-10"/>
                <w:sz w:val="15"/>
              </w:rPr>
              <w:t>±</w:t>
            </w:r>
          </w:p>
          <w:p>
            <w:pPr>
              <w:pStyle w:val="TableParagraph"/>
              <w:spacing w:line="232" w:lineRule="auto" w:before="1"/>
              <w:ind w:left="15" w:right="123" w:firstLine="112"/>
              <w:rPr>
                <w:sz w:val="15"/>
              </w:rPr>
            </w:pPr>
            <w:r>
              <w:rPr>
                <w:color w:val="231F20"/>
                <w:spacing w:val="-4"/>
                <w:sz w:val="15"/>
              </w:rPr>
              <w:t>cortical</w:t>
            </w:r>
            <w:r>
              <w:rPr>
                <w:color w:val="231F20"/>
                <w:spacing w:val="-8"/>
                <w:sz w:val="15"/>
              </w:rPr>
              <w:t> </w:t>
            </w:r>
            <w:r>
              <w:rPr>
                <w:color w:val="231F20"/>
                <w:spacing w:val="-4"/>
                <w:sz w:val="15"/>
              </w:rPr>
              <w:t>resection </w:t>
            </w:r>
            <w:r>
              <w:rPr>
                <w:color w:val="231F20"/>
                <w:spacing w:val="-6"/>
                <w:sz w:val="15"/>
              </w:rPr>
              <w:t>No</w:t>
            </w:r>
          </w:p>
        </w:tc>
      </w:tr>
      <w:tr>
        <w:trPr>
          <w:trHeight w:val="1715" w:hRule="atLeast"/>
        </w:trPr>
        <w:tc>
          <w:tcPr>
            <w:tcW w:w="2962" w:type="dxa"/>
            <w:vMerge/>
            <w:tcBorders>
              <w:top w:val="nil"/>
              <w:bottom w:val="single" w:sz="4" w:space="0" w:color="FFFFFF"/>
            </w:tcBorders>
            <w:shd w:val="clear" w:color="auto" w:fill="E8F5F1"/>
          </w:tcPr>
          <w:p>
            <w:pPr>
              <w:rPr>
                <w:sz w:val="2"/>
                <w:szCs w:val="2"/>
              </w:rPr>
            </w:pPr>
          </w:p>
        </w:tc>
        <w:tc>
          <w:tcPr>
            <w:tcW w:w="1106" w:type="dxa"/>
            <w:vMerge/>
            <w:tcBorders>
              <w:top w:val="nil"/>
              <w:bottom w:val="single" w:sz="4" w:space="0" w:color="FFFFFF"/>
            </w:tcBorders>
            <w:shd w:val="clear" w:color="auto" w:fill="E8F5F1"/>
          </w:tcPr>
          <w:p>
            <w:pPr>
              <w:rPr>
                <w:sz w:val="2"/>
                <w:szCs w:val="2"/>
              </w:rPr>
            </w:pPr>
          </w:p>
        </w:tc>
        <w:tc>
          <w:tcPr>
            <w:tcW w:w="1161" w:type="dxa"/>
            <w:vMerge/>
            <w:tcBorders>
              <w:top w:val="nil"/>
              <w:bottom w:val="single" w:sz="4" w:space="0" w:color="FFFFFF"/>
            </w:tcBorders>
            <w:shd w:val="clear" w:color="auto" w:fill="E8F5F1"/>
          </w:tcPr>
          <w:p>
            <w:pPr>
              <w:rPr>
                <w:sz w:val="2"/>
                <w:szCs w:val="2"/>
              </w:rPr>
            </w:pPr>
          </w:p>
        </w:tc>
        <w:tc>
          <w:tcPr>
            <w:tcW w:w="1497" w:type="dxa"/>
            <w:vMerge/>
            <w:tcBorders>
              <w:top w:val="nil"/>
              <w:bottom w:val="single" w:sz="4" w:space="0" w:color="FFFFFF"/>
            </w:tcBorders>
            <w:shd w:val="clear" w:color="auto" w:fill="E8F5F1"/>
          </w:tcPr>
          <w:p>
            <w:pPr>
              <w:rPr>
                <w:sz w:val="2"/>
                <w:szCs w:val="2"/>
              </w:rPr>
            </w:pPr>
          </w:p>
        </w:tc>
        <w:tc>
          <w:tcPr>
            <w:tcW w:w="1555" w:type="dxa"/>
            <w:tcBorders>
              <w:bottom w:val="single" w:sz="4" w:space="0" w:color="FFFFFF"/>
            </w:tcBorders>
            <w:shd w:val="clear" w:color="auto" w:fill="E8F5F1"/>
          </w:tcPr>
          <w:p>
            <w:pPr>
              <w:pStyle w:val="TableParagraph"/>
              <w:spacing w:line="171" w:lineRule="exact" w:before="158"/>
              <w:ind w:left="138"/>
              <w:rPr>
                <w:sz w:val="15"/>
              </w:rPr>
            </w:pPr>
            <w:r>
              <w:rPr>
                <w:color w:val="231F20"/>
                <w:w w:val="105"/>
                <w:sz w:val="15"/>
              </w:rPr>
              <w:t>BDZ,</w:t>
            </w:r>
            <w:r>
              <w:rPr>
                <w:color w:val="231F20"/>
                <w:spacing w:val="-2"/>
                <w:w w:val="105"/>
                <w:sz w:val="15"/>
              </w:rPr>
              <w:t> </w:t>
            </w:r>
            <w:r>
              <w:rPr>
                <w:color w:val="231F20"/>
                <w:w w:val="105"/>
                <w:sz w:val="15"/>
              </w:rPr>
              <w:t>FBM,</w:t>
            </w:r>
            <w:r>
              <w:rPr>
                <w:color w:val="231F20"/>
                <w:spacing w:val="-1"/>
                <w:w w:val="105"/>
                <w:sz w:val="15"/>
              </w:rPr>
              <w:t> </w:t>
            </w:r>
            <w:r>
              <w:rPr>
                <w:color w:val="231F20"/>
                <w:spacing w:val="-2"/>
                <w:w w:val="105"/>
                <w:sz w:val="15"/>
              </w:rPr>
              <w:t>IVIG,</w:t>
            </w:r>
          </w:p>
          <w:p>
            <w:pPr>
              <w:pStyle w:val="TableParagraph"/>
              <w:spacing w:line="232" w:lineRule="auto" w:before="1"/>
              <w:ind w:left="137" w:right="330" w:firstLine="112"/>
              <w:rPr>
                <w:sz w:val="15"/>
              </w:rPr>
            </w:pPr>
            <w:r>
              <w:rPr>
                <w:color w:val="231F20"/>
                <w:w w:val="105"/>
                <w:sz w:val="15"/>
              </w:rPr>
              <w:t>steroids,</w:t>
            </w:r>
            <w:r>
              <w:rPr>
                <w:color w:val="231F20"/>
                <w:spacing w:val="-12"/>
                <w:w w:val="105"/>
                <w:sz w:val="15"/>
              </w:rPr>
              <w:t> </w:t>
            </w:r>
            <w:r>
              <w:rPr>
                <w:color w:val="231F20"/>
                <w:w w:val="105"/>
                <w:sz w:val="15"/>
              </w:rPr>
              <w:t>ZON BDZ,</w:t>
            </w:r>
            <w:r>
              <w:rPr>
                <w:color w:val="231F20"/>
                <w:spacing w:val="1"/>
                <w:w w:val="105"/>
                <w:sz w:val="15"/>
              </w:rPr>
              <w:t> </w:t>
            </w:r>
            <w:r>
              <w:rPr>
                <w:color w:val="231F20"/>
                <w:w w:val="105"/>
                <w:sz w:val="15"/>
              </w:rPr>
              <w:t>ESM,</w:t>
            </w:r>
            <w:r>
              <w:rPr>
                <w:color w:val="231F20"/>
                <w:spacing w:val="2"/>
                <w:w w:val="105"/>
                <w:sz w:val="15"/>
              </w:rPr>
              <w:t> </w:t>
            </w:r>
            <w:r>
              <w:rPr>
                <w:color w:val="231F20"/>
                <w:spacing w:val="-7"/>
                <w:w w:val="105"/>
                <w:sz w:val="15"/>
              </w:rPr>
              <w:t>IVIG,</w:t>
            </w:r>
          </w:p>
          <w:p>
            <w:pPr>
              <w:pStyle w:val="TableParagraph"/>
              <w:spacing w:line="169" w:lineRule="exact"/>
              <w:ind w:left="249"/>
              <w:rPr>
                <w:sz w:val="15"/>
              </w:rPr>
            </w:pPr>
            <w:r>
              <w:rPr>
                <w:color w:val="231F20"/>
                <w:spacing w:val="-5"/>
                <w:w w:val="105"/>
                <w:sz w:val="15"/>
              </w:rPr>
              <w:t>LTG</w:t>
            </w:r>
          </w:p>
          <w:p>
            <w:pPr>
              <w:pStyle w:val="TableParagraph"/>
              <w:spacing w:line="230" w:lineRule="auto" w:before="169"/>
              <w:ind w:left="249" w:right="322" w:hanging="112"/>
              <w:rPr>
                <w:sz w:val="15"/>
              </w:rPr>
            </w:pPr>
            <w:r>
              <w:rPr>
                <w:color w:val="231F20"/>
                <w:w w:val="105"/>
                <w:sz w:val="15"/>
              </w:rPr>
              <w:t>BDZ,</w:t>
            </w:r>
            <w:r>
              <w:rPr>
                <w:color w:val="231F20"/>
                <w:spacing w:val="-12"/>
                <w:w w:val="105"/>
                <w:sz w:val="15"/>
              </w:rPr>
              <w:t> </w:t>
            </w:r>
            <w:r>
              <w:rPr>
                <w:color w:val="231F20"/>
                <w:w w:val="105"/>
                <w:sz w:val="15"/>
              </w:rPr>
              <w:t>ESM,</w:t>
            </w:r>
            <w:r>
              <w:rPr>
                <w:color w:val="231F20"/>
                <w:spacing w:val="-12"/>
                <w:w w:val="105"/>
                <w:sz w:val="15"/>
              </w:rPr>
              <w:t> </w:t>
            </w:r>
            <w:r>
              <w:rPr>
                <w:color w:val="231F20"/>
                <w:w w:val="105"/>
                <w:sz w:val="15"/>
              </w:rPr>
              <w:t>IVIG, </w:t>
            </w:r>
            <w:r>
              <w:rPr>
                <w:color w:val="231F20"/>
                <w:spacing w:val="-4"/>
                <w:w w:val="105"/>
                <w:sz w:val="15"/>
              </w:rPr>
              <w:t>LTG</w:t>
            </w:r>
          </w:p>
        </w:tc>
        <w:tc>
          <w:tcPr>
            <w:tcW w:w="1460" w:type="dxa"/>
            <w:tcBorders>
              <w:bottom w:val="single" w:sz="4" w:space="0" w:color="FFFFFF"/>
            </w:tcBorders>
            <w:shd w:val="clear" w:color="auto" w:fill="E8F5F1"/>
          </w:tcPr>
          <w:p>
            <w:pPr>
              <w:pStyle w:val="TableParagraph"/>
              <w:spacing w:before="158"/>
              <w:ind w:left="15"/>
              <w:rPr>
                <w:sz w:val="15"/>
              </w:rPr>
            </w:pPr>
            <w:r>
              <w:rPr>
                <w:color w:val="231F20"/>
                <w:spacing w:val="-2"/>
                <w:sz w:val="15"/>
              </w:rPr>
              <w:t>Callosotomy</w:t>
            </w:r>
          </w:p>
          <w:p>
            <w:pPr>
              <w:pStyle w:val="TableParagraph"/>
              <w:spacing w:line="230" w:lineRule="auto" w:before="169"/>
              <w:ind w:left="127" w:right="80" w:hanging="112"/>
              <w:rPr>
                <w:sz w:val="15"/>
              </w:rPr>
            </w:pPr>
            <w:r>
              <w:rPr>
                <w:color w:val="231F20"/>
                <w:sz w:val="15"/>
              </w:rPr>
              <w:t>Multiple subpial </w:t>
            </w:r>
            <w:r>
              <w:rPr>
                <w:color w:val="231F20"/>
                <w:spacing w:val="-4"/>
                <w:sz w:val="15"/>
              </w:rPr>
              <w:t>transections,</w:t>
            </w:r>
            <w:r>
              <w:rPr>
                <w:color w:val="231F20"/>
                <w:spacing w:val="-8"/>
                <w:sz w:val="15"/>
              </w:rPr>
              <w:t> </w:t>
            </w:r>
            <w:r>
              <w:rPr>
                <w:color w:val="231F20"/>
                <w:spacing w:val="-4"/>
                <w:sz w:val="15"/>
              </w:rPr>
              <w:t>rarely </w:t>
            </w:r>
            <w:r>
              <w:rPr>
                <w:color w:val="231F20"/>
                <w:spacing w:val="-2"/>
                <w:sz w:val="15"/>
              </w:rPr>
              <w:t>lesionectomy</w:t>
            </w:r>
          </w:p>
          <w:p>
            <w:pPr>
              <w:pStyle w:val="TableParagraph"/>
              <w:spacing w:line="172" w:lineRule="exact"/>
              <w:ind w:left="15"/>
              <w:rPr>
                <w:sz w:val="15"/>
              </w:rPr>
            </w:pPr>
            <w:r>
              <w:rPr>
                <w:color w:val="231F20"/>
                <w:spacing w:val="-5"/>
                <w:w w:val="115"/>
                <w:sz w:val="15"/>
              </w:rPr>
              <w:t>No</w:t>
            </w:r>
          </w:p>
        </w:tc>
      </w:tr>
      <w:tr>
        <w:trPr>
          <w:trHeight w:val="758" w:hRule="atLeast"/>
        </w:trPr>
        <w:tc>
          <w:tcPr>
            <w:tcW w:w="2962" w:type="dxa"/>
            <w:tcBorders>
              <w:top w:val="single" w:sz="4" w:space="0" w:color="FFFFFF"/>
              <w:bottom w:val="single" w:sz="4" w:space="0" w:color="FFFFFF"/>
            </w:tcBorders>
            <w:shd w:val="clear" w:color="auto" w:fill="E8F5F1"/>
          </w:tcPr>
          <w:p>
            <w:pPr>
              <w:pStyle w:val="TableParagraph"/>
              <w:spacing w:line="172" w:lineRule="exact" w:before="43"/>
              <w:ind w:left="71"/>
              <w:rPr>
                <w:sz w:val="15"/>
              </w:rPr>
            </w:pPr>
            <w:r>
              <w:rPr>
                <w:color w:val="231F20"/>
                <w:w w:val="110"/>
                <w:sz w:val="15"/>
              </w:rPr>
              <w:t>PROGRESSIVE</w:t>
            </w:r>
            <w:r>
              <w:rPr>
                <w:color w:val="231F20"/>
                <w:spacing w:val="28"/>
                <w:w w:val="110"/>
                <w:sz w:val="15"/>
              </w:rPr>
              <w:t> </w:t>
            </w:r>
            <w:r>
              <w:rPr>
                <w:color w:val="231F20"/>
                <w:w w:val="110"/>
                <w:sz w:val="15"/>
              </w:rPr>
              <w:t>MYOCLONUS</w:t>
            </w:r>
            <w:r>
              <w:rPr>
                <w:color w:val="231F20"/>
                <w:spacing w:val="29"/>
                <w:w w:val="110"/>
                <w:sz w:val="15"/>
              </w:rPr>
              <w:t> </w:t>
            </w:r>
            <w:r>
              <w:rPr>
                <w:color w:val="231F20"/>
                <w:spacing w:val="-2"/>
                <w:w w:val="110"/>
                <w:sz w:val="15"/>
              </w:rPr>
              <w:t>EPILEPSIES</w:t>
            </w:r>
          </w:p>
          <w:p>
            <w:pPr>
              <w:pStyle w:val="TableParagraph"/>
              <w:tabs>
                <w:tab w:pos="1822" w:val="left" w:leader="none"/>
                <w:tab w:pos="1934" w:val="left" w:leader="none"/>
              </w:tabs>
              <w:spacing w:line="230" w:lineRule="auto" w:before="3"/>
              <w:ind w:left="183" w:right="247" w:hanging="112"/>
              <w:rPr>
                <w:sz w:val="15"/>
              </w:rPr>
            </w:pPr>
            <w:r>
              <w:rPr>
                <w:color w:val="231F20"/>
                <w:spacing w:val="-2"/>
                <w:sz w:val="15"/>
              </w:rPr>
              <w:t>Unverricht-Lundborg,</w:t>
            </w:r>
            <w:r>
              <w:rPr>
                <w:color w:val="231F20"/>
                <w:sz w:val="15"/>
              </w:rPr>
              <w:tab/>
            </w:r>
            <w:r>
              <w:rPr>
                <w:color w:val="231F20"/>
                <w:spacing w:val="-4"/>
                <w:sz w:val="15"/>
              </w:rPr>
              <w:t>Late</w:t>
            </w:r>
            <w:r>
              <w:rPr>
                <w:color w:val="231F20"/>
                <w:spacing w:val="-8"/>
                <w:sz w:val="15"/>
              </w:rPr>
              <w:t> </w:t>
            </w:r>
            <w:r>
              <w:rPr>
                <w:color w:val="231F20"/>
                <w:spacing w:val="-4"/>
                <w:sz w:val="15"/>
              </w:rPr>
              <w:t>infant</w:t>
            </w:r>
            <w:r>
              <w:rPr>
                <w:color w:val="231F20"/>
                <w:spacing w:val="-7"/>
                <w:sz w:val="15"/>
              </w:rPr>
              <w:t> </w:t>
            </w:r>
            <w:r>
              <w:rPr>
                <w:color w:val="231F20"/>
                <w:spacing w:val="-4"/>
                <w:sz w:val="15"/>
              </w:rPr>
              <w:t>to </w:t>
            </w:r>
            <w:r>
              <w:rPr>
                <w:color w:val="231F20"/>
                <w:sz w:val="15"/>
              </w:rPr>
              <w:t>Lafora, ceroid</w:t>
              <w:tab/>
              <w:tab/>
            </w:r>
            <w:r>
              <w:rPr>
                <w:color w:val="231F20"/>
                <w:spacing w:val="-2"/>
                <w:sz w:val="15"/>
              </w:rPr>
              <w:t>adolescent </w:t>
            </w:r>
            <w:r>
              <w:rPr>
                <w:color w:val="231F20"/>
                <w:sz w:val="15"/>
              </w:rPr>
              <w:t>lipofuscinoses, etc.</w:t>
            </w:r>
          </w:p>
        </w:tc>
        <w:tc>
          <w:tcPr>
            <w:tcW w:w="1106"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53"/>
              <w:rPr>
                <w:sz w:val="15"/>
              </w:rPr>
            </w:pPr>
            <w:r>
              <w:rPr>
                <w:color w:val="231F20"/>
                <w:spacing w:val="-2"/>
                <w:sz w:val="15"/>
              </w:rPr>
              <w:t>Progressive</w:t>
            </w:r>
          </w:p>
        </w:tc>
        <w:tc>
          <w:tcPr>
            <w:tcW w:w="1161"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41"/>
              <w:rPr>
                <w:sz w:val="15"/>
              </w:rPr>
            </w:pPr>
            <w:r>
              <w:rPr>
                <w:color w:val="231F20"/>
                <w:spacing w:val="-2"/>
                <w:w w:val="105"/>
                <w:sz w:val="15"/>
              </w:rPr>
              <w:t>Ominous</w:t>
            </w:r>
          </w:p>
        </w:tc>
        <w:tc>
          <w:tcPr>
            <w:tcW w:w="1497"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21"/>
              <w:rPr>
                <w:sz w:val="15"/>
              </w:rPr>
            </w:pPr>
            <w:r>
              <w:rPr>
                <w:color w:val="231F20"/>
                <w:sz w:val="15"/>
              </w:rPr>
              <w:t>TPM,</w:t>
            </w:r>
            <w:r>
              <w:rPr>
                <w:color w:val="231F20"/>
                <w:spacing w:val="5"/>
                <w:sz w:val="15"/>
              </w:rPr>
              <w:t> </w:t>
            </w:r>
            <w:r>
              <w:rPr>
                <w:color w:val="231F20"/>
                <w:sz w:val="15"/>
              </w:rPr>
              <w:t>VPA,</w:t>
            </w:r>
            <w:r>
              <w:rPr>
                <w:color w:val="231F20"/>
                <w:spacing w:val="6"/>
                <w:sz w:val="15"/>
              </w:rPr>
              <w:t> </w:t>
            </w:r>
            <w:r>
              <w:rPr>
                <w:color w:val="231F20"/>
                <w:spacing w:val="-5"/>
                <w:sz w:val="15"/>
              </w:rPr>
              <w:t>ZON</w:t>
            </w:r>
          </w:p>
        </w:tc>
        <w:tc>
          <w:tcPr>
            <w:tcW w:w="1555"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37"/>
              <w:rPr>
                <w:sz w:val="15"/>
              </w:rPr>
            </w:pPr>
            <w:r>
              <w:rPr>
                <w:color w:val="231F20"/>
                <w:w w:val="105"/>
                <w:sz w:val="15"/>
              </w:rPr>
              <w:t>BDZ,</w:t>
            </w:r>
            <w:r>
              <w:rPr>
                <w:color w:val="231F20"/>
                <w:spacing w:val="-8"/>
                <w:w w:val="105"/>
                <w:sz w:val="15"/>
              </w:rPr>
              <w:t> </w:t>
            </w:r>
            <w:r>
              <w:rPr>
                <w:color w:val="231F20"/>
                <w:spacing w:val="-5"/>
                <w:w w:val="105"/>
                <w:sz w:val="15"/>
              </w:rPr>
              <w:t>PB</w:t>
            </w:r>
          </w:p>
        </w:tc>
        <w:tc>
          <w:tcPr>
            <w:tcW w:w="1460"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ind w:left="14"/>
              <w:rPr>
                <w:sz w:val="15"/>
              </w:rPr>
            </w:pPr>
            <w:r>
              <w:rPr>
                <w:color w:val="231F20"/>
                <w:spacing w:val="-5"/>
                <w:w w:val="115"/>
                <w:sz w:val="15"/>
              </w:rPr>
              <w:t>No</w:t>
            </w:r>
          </w:p>
        </w:tc>
      </w:tr>
      <w:tr>
        <w:trPr>
          <w:trHeight w:val="460" w:hRule="atLeast"/>
        </w:trPr>
        <w:tc>
          <w:tcPr>
            <w:tcW w:w="6726" w:type="dxa"/>
            <w:gridSpan w:val="4"/>
            <w:vMerge w:val="restart"/>
            <w:tcBorders>
              <w:top w:val="single" w:sz="4" w:space="0" w:color="FFFFFF"/>
              <w:bottom w:val="single" w:sz="8" w:space="0" w:color="231F20"/>
            </w:tcBorders>
            <w:shd w:val="clear" w:color="auto" w:fill="E8F5F1"/>
          </w:tcPr>
          <w:p>
            <w:pPr>
              <w:pStyle w:val="TableParagraph"/>
              <w:spacing w:line="172" w:lineRule="exact" w:before="43"/>
              <w:ind w:left="71"/>
              <w:rPr>
                <w:sz w:val="15"/>
              </w:rPr>
            </w:pPr>
            <w:r>
              <w:rPr>
                <w:color w:val="231F20"/>
                <w:w w:val="110"/>
                <w:sz w:val="15"/>
              </w:rPr>
              <w:t>OTHER</w:t>
            </w:r>
            <w:r>
              <w:rPr>
                <w:color w:val="231F20"/>
                <w:spacing w:val="12"/>
                <w:w w:val="110"/>
                <w:sz w:val="15"/>
              </w:rPr>
              <w:t> </w:t>
            </w:r>
            <w:r>
              <w:rPr>
                <w:color w:val="231F20"/>
                <w:w w:val="110"/>
                <w:sz w:val="15"/>
              </w:rPr>
              <w:t>EPILEPSIES</w:t>
            </w:r>
            <w:r>
              <w:rPr>
                <w:color w:val="231F20"/>
                <w:spacing w:val="12"/>
                <w:w w:val="110"/>
                <w:sz w:val="15"/>
              </w:rPr>
              <w:t> </w:t>
            </w:r>
            <w:r>
              <w:rPr>
                <w:color w:val="231F20"/>
                <w:w w:val="110"/>
                <w:sz w:val="15"/>
              </w:rPr>
              <w:t>AND</w:t>
            </w:r>
            <w:r>
              <w:rPr>
                <w:color w:val="231F20"/>
                <w:spacing w:val="12"/>
                <w:w w:val="110"/>
                <w:sz w:val="15"/>
              </w:rPr>
              <w:t> </w:t>
            </w:r>
            <w:r>
              <w:rPr>
                <w:color w:val="231F20"/>
                <w:w w:val="110"/>
                <w:sz w:val="15"/>
              </w:rPr>
              <w:t>SEIZURE</w:t>
            </w:r>
            <w:r>
              <w:rPr>
                <w:color w:val="231F20"/>
                <w:spacing w:val="12"/>
                <w:w w:val="110"/>
                <w:sz w:val="15"/>
              </w:rPr>
              <w:t> </w:t>
            </w:r>
            <w:r>
              <w:rPr>
                <w:color w:val="231F20"/>
                <w:w w:val="110"/>
                <w:sz w:val="15"/>
              </w:rPr>
              <w:t>DISORDERS</w:t>
            </w:r>
            <w:r>
              <w:rPr>
                <w:color w:val="231F20"/>
                <w:spacing w:val="12"/>
                <w:w w:val="110"/>
                <w:sz w:val="15"/>
              </w:rPr>
              <w:t> </w:t>
            </w:r>
            <w:r>
              <w:rPr>
                <w:color w:val="231F20"/>
                <w:w w:val="110"/>
                <w:sz w:val="15"/>
              </w:rPr>
              <w:t>OF</w:t>
            </w:r>
            <w:r>
              <w:rPr>
                <w:color w:val="231F20"/>
                <w:spacing w:val="12"/>
                <w:w w:val="110"/>
                <w:sz w:val="15"/>
              </w:rPr>
              <w:t> </w:t>
            </w:r>
            <w:r>
              <w:rPr>
                <w:color w:val="231F20"/>
                <w:w w:val="110"/>
                <w:sz w:val="15"/>
              </w:rPr>
              <w:t>UNKNOWN</w:t>
            </w:r>
            <w:r>
              <w:rPr>
                <w:color w:val="231F20"/>
                <w:spacing w:val="12"/>
                <w:w w:val="110"/>
                <w:sz w:val="15"/>
              </w:rPr>
              <w:t> </w:t>
            </w:r>
            <w:r>
              <w:rPr>
                <w:color w:val="231F20"/>
                <w:w w:val="110"/>
                <w:sz w:val="15"/>
              </w:rPr>
              <w:t>OR</w:t>
            </w:r>
            <w:r>
              <w:rPr>
                <w:color w:val="231F20"/>
                <w:spacing w:val="13"/>
                <w:w w:val="110"/>
                <w:sz w:val="15"/>
              </w:rPr>
              <w:t> </w:t>
            </w:r>
            <w:r>
              <w:rPr>
                <w:color w:val="231F20"/>
                <w:w w:val="110"/>
                <w:sz w:val="15"/>
              </w:rPr>
              <w:t>OTHER</w:t>
            </w:r>
            <w:r>
              <w:rPr>
                <w:color w:val="231F20"/>
                <w:spacing w:val="12"/>
                <w:w w:val="110"/>
                <w:sz w:val="15"/>
              </w:rPr>
              <w:t> </w:t>
            </w:r>
            <w:r>
              <w:rPr>
                <w:color w:val="231F20"/>
                <w:spacing w:val="-2"/>
                <w:w w:val="110"/>
                <w:sz w:val="15"/>
              </w:rPr>
              <w:t>CAUSES</w:t>
            </w:r>
          </w:p>
          <w:p>
            <w:pPr>
              <w:pStyle w:val="TableParagraph"/>
              <w:tabs>
                <w:tab w:pos="1822" w:val="left" w:leader="none"/>
                <w:tab w:pos="3014" w:val="left" w:leader="none"/>
                <w:tab w:pos="4209" w:val="left" w:leader="none"/>
                <w:tab w:pos="5350" w:val="left" w:leader="none"/>
              </w:tabs>
              <w:spacing w:line="230" w:lineRule="auto" w:before="3"/>
              <w:ind w:left="183" w:right="856" w:hanging="112"/>
              <w:rPr>
                <w:sz w:val="15"/>
              </w:rPr>
            </w:pPr>
            <w:r>
              <w:rPr>
                <w:color w:val="231F20"/>
                <w:sz w:val="15"/>
              </w:rPr>
              <w:t>Benign neonatal</w:t>
              <w:tab/>
            </w:r>
            <w:r>
              <w:rPr>
                <w:color w:val="231F20"/>
                <w:spacing w:val="-2"/>
                <w:sz w:val="15"/>
              </w:rPr>
              <w:t>Newborn</w:t>
            </w:r>
            <w:r>
              <w:rPr>
                <w:color w:val="231F20"/>
                <w:sz w:val="15"/>
              </w:rPr>
              <w:tab/>
            </w:r>
            <w:r>
              <w:rPr>
                <w:color w:val="231F20"/>
                <w:spacing w:val="-2"/>
                <w:sz w:val="15"/>
              </w:rPr>
              <w:t>Newborn</w:t>
            </w:r>
            <w:r>
              <w:rPr>
                <w:color w:val="231F20"/>
                <w:sz w:val="15"/>
              </w:rPr>
              <w:tab/>
            </w:r>
            <w:r>
              <w:rPr>
                <w:color w:val="231F20"/>
                <w:spacing w:val="-4"/>
                <w:sz w:val="15"/>
              </w:rPr>
              <w:t>Good</w:t>
            </w:r>
            <w:r>
              <w:rPr>
                <w:color w:val="231F20"/>
                <w:sz w:val="15"/>
              </w:rPr>
              <w:tab/>
              <w:t>LEV,</w:t>
            </w:r>
            <w:r>
              <w:rPr>
                <w:color w:val="231F20"/>
                <w:spacing w:val="-12"/>
                <w:sz w:val="15"/>
              </w:rPr>
              <w:t> </w:t>
            </w:r>
            <w:r>
              <w:rPr>
                <w:color w:val="231F20"/>
                <w:sz w:val="15"/>
              </w:rPr>
              <w:t>PB </w:t>
            </w:r>
            <w:r>
              <w:rPr>
                <w:color w:val="231F20"/>
                <w:spacing w:val="-2"/>
                <w:sz w:val="15"/>
              </w:rPr>
              <w:t>seizures</w:t>
            </w:r>
          </w:p>
          <w:p>
            <w:pPr>
              <w:pStyle w:val="TableParagraph"/>
              <w:tabs>
                <w:tab w:pos="1822" w:val="left" w:leader="none"/>
                <w:tab w:pos="3014" w:val="left" w:leader="none"/>
                <w:tab w:pos="4209" w:val="left" w:leader="none"/>
                <w:tab w:pos="5349" w:val="left" w:leader="none"/>
              </w:tabs>
              <w:spacing w:line="168" w:lineRule="exact"/>
              <w:ind w:left="71"/>
              <w:rPr>
                <w:sz w:val="15"/>
              </w:rPr>
            </w:pPr>
            <w:r>
              <w:rPr>
                <w:color w:val="231F20"/>
                <w:spacing w:val="-2"/>
                <w:sz w:val="15"/>
              </w:rPr>
              <w:t>Febrile</w:t>
            </w:r>
            <w:r>
              <w:rPr>
                <w:color w:val="231F20"/>
                <w:sz w:val="15"/>
              </w:rPr>
              <w:t> </w:t>
            </w:r>
            <w:r>
              <w:rPr>
                <w:color w:val="231F20"/>
                <w:spacing w:val="-2"/>
                <w:sz w:val="15"/>
              </w:rPr>
              <w:t>seizures</w:t>
            </w:r>
            <w:r>
              <w:rPr>
                <w:color w:val="231F20"/>
                <w:sz w:val="15"/>
              </w:rPr>
              <w:tab/>
              <w:t>3-5</w:t>
            </w:r>
            <w:r>
              <w:rPr>
                <w:color w:val="231F20"/>
                <w:spacing w:val="-8"/>
                <w:sz w:val="15"/>
              </w:rPr>
              <w:t> </w:t>
            </w:r>
            <w:r>
              <w:rPr>
                <w:color w:val="231F20"/>
                <w:spacing w:val="-5"/>
                <w:sz w:val="15"/>
              </w:rPr>
              <w:t>yr</w:t>
            </w:r>
            <w:r>
              <w:rPr>
                <w:color w:val="231F20"/>
                <w:sz w:val="15"/>
              </w:rPr>
              <w:tab/>
              <w:t>3-6</w:t>
            </w:r>
            <w:r>
              <w:rPr>
                <w:color w:val="231F20"/>
                <w:spacing w:val="-8"/>
                <w:sz w:val="15"/>
              </w:rPr>
              <w:t> </w:t>
            </w:r>
            <w:r>
              <w:rPr>
                <w:color w:val="231F20"/>
                <w:spacing w:val="-5"/>
                <w:sz w:val="15"/>
              </w:rPr>
              <w:t>yr</w:t>
            </w:r>
            <w:r>
              <w:rPr>
                <w:color w:val="231F20"/>
                <w:sz w:val="15"/>
              </w:rPr>
              <w:tab/>
            </w:r>
            <w:r>
              <w:rPr>
                <w:color w:val="231F20"/>
                <w:spacing w:val="-4"/>
                <w:sz w:val="15"/>
              </w:rPr>
              <w:t>Good</w:t>
            </w:r>
            <w:r>
              <w:rPr>
                <w:color w:val="231F20"/>
                <w:sz w:val="15"/>
              </w:rPr>
              <w:tab/>
              <w:t>PB</w:t>
            </w:r>
            <w:r>
              <w:rPr>
                <w:color w:val="231F20"/>
                <w:spacing w:val="9"/>
                <w:sz w:val="15"/>
              </w:rPr>
              <w:t> </w:t>
            </w:r>
            <w:r>
              <w:rPr>
                <w:color w:val="231F20"/>
                <w:sz w:val="15"/>
              </w:rPr>
              <w:t>or</w:t>
            </w:r>
            <w:r>
              <w:rPr>
                <w:color w:val="231F20"/>
                <w:spacing w:val="9"/>
                <w:sz w:val="15"/>
              </w:rPr>
              <w:t> </w:t>
            </w:r>
            <w:r>
              <w:rPr>
                <w:color w:val="231F20"/>
                <w:sz w:val="15"/>
              </w:rPr>
              <w:t>VPA</w:t>
            </w:r>
            <w:r>
              <w:rPr>
                <w:color w:val="231F20"/>
                <w:spacing w:val="9"/>
                <w:sz w:val="15"/>
              </w:rPr>
              <w:t> </w:t>
            </w:r>
            <w:r>
              <w:rPr>
                <w:color w:val="231F20"/>
                <w:spacing w:val="-5"/>
                <w:sz w:val="15"/>
              </w:rPr>
              <w:t>if</w:t>
            </w:r>
          </w:p>
          <w:p>
            <w:pPr>
              <w:pStyle w:val="TableParagraph"/>
              <w:spacing w:line="230" w:lineRule="auto" w:before="3"/>
              <w:ind w:left="5461"/>
              <w:rPr>
                <w:sz w:val="15"/>
              </w:rPr>
            </w:pPr>
            <w:r>
              <w:rPr>
                <w:color w:val="231F20"/>
                <w:sz w:val="15"/>
              </w:rPr>
              <w:t>repeated</w:t>
            </w:r>
            <w:r>
              <w:rPr>
                <w:color w:val="231F20"/>
                <w:spacing w:val="-12"/>
                <w:sz w:val="15"/>
              </w:rPr>
              <w:t> </w:t>
            </w:r>
            <w:r>
              <w:rPr>
                <w:color w:val="231F20"/>
                <w:sz w:val="15"/>
              </w:rPr>
              <w:t>and </w:t>
            </w:r>
            <w:r>
              <w:rPr>
                <w:color w:val="231F20"/>
                <w:spacing w:val="-2"/>
                <w:sz w:val="15"/>
              </w:rPr>
              <w:t>prolonged</w:t>
            </w:r>
          </w:p>
          <w:p>
            <w:pPr>
              <w:pStyle w:val="TableParagraph"/>
              <w:tabs>
                <w:tab w:pos="1822" w:val="left" w:leader="none"/>
                <w:tab w:pos="3014" w:val="left" w:leader="none"/>
                <w:tab w:pos="5349" w:val="left" w:leader="none"/>
              </w:tabs>
              <w:spacing w:line="169" w:lineRule="exact"/>
              <w:ind w:left="71"/>
              <w:rPr>
                <w:sz w:val="15"/>
              </w:rPr>
            </w:pPr>
            <w:r>
              <w:rPr>
                <w:color w:val="231F20"/>
                <w:spacing w:val="-4"/>
                <w:sz w:val="15"/>
              </w:rPr>
              <w:t>Reflex</w:t>
            </w:r>
            <w:r>
              <w:rPr>
                <w:color w:val="231F20"/>
                <w:spacing w:val="-1"/>
                <w:sz w:val="15"/>
              </w:rPr>
              <w:t> </w:t>
            </w:r>
            <w:r>
              <w:rPr>
                <w:color w:val="231F20"/>
                <w:spacing w:val="-2"/>
                <w:sz w:val="15"/>
              </w:rPr>
              <w:t>seizures</w:t>
            </w:r>
            <w:r>
              <w:rPr>
                <w:color w:val="231F20"/>
                <w:sz w:val="15"/>
              </w:rPr>
              <w:tab/>
            </w:r>
            <w:r>
              <w:rPr>
                <w:color w:val="231F20"/>
                <w:spacing w:val="-2"/>
                <w:sz w:val="15"/>
              </w:rPr>
              <w:t>Variable</w:t>
            </w:r>
            <w:r>
              <w:rPr>
                <w:color w:val="231F20"/>
                <w:sz w:val="15"/>
              </w:rPr>
              <w:tab/>
            </w:r>
            <w:r>
              <w:rPr>
                <w:color w:val="231F20"/>
                <w:spacing w:val="-5"/>
                <w:sz w:val="15"/>
              </w:rPr>
              <w:t>n/a</w:t>
            </w:r>
            <w:r>
              <w:rPr>
                <w:color w:val="231F20"/>
                <w:sz w:val="15"/>
              </w:rPr>
              <w:tab/>
              <w:t>LEV,</w:t>
            </w:r>
            <w:r>
              <w:rPr>
                <w:color w:val="231F20"/>
                <w:spacing w:val="-8"/>
                <w:sz w:val="15"/>
              </w:rPr>
              <w:t> </w:t>
            </w:r>
            <w:r>
              <w:rPr>
                <w:color w:val="231F20"/>
                <w:spacing w:val="-5"/>
                <w:sz w:val="15"/>
              </w:rPr>
              <w:t>VPA</w:t>
            </w:r>
          </w:p>
          <w:p>
            <w:pPr>
              <w:pStyle w:val="TableParagraph"/>
              <w:tabs>
                <w:tab w:pos="1821" w:val="left" w:leader="none"/>
                <w:tab w:pos="3014" w:val="left" w:leader="none"/>
                <w:tab w:pos="5349" w:val="left" w:leader="none"/>
              </w:tabs>
              <w:spacing w:line="169" w:lineRule="exact"/>
              <w:ind w:left="71"/>
              <w:rPr>
                <w:sz w:val="15"/>
              </w:rPr>
            </w:pPr>
            <w:r>
              <w:rPr>
                <w:color w:val="231F20"/>
                <w:sz w:val="15"/>
              </w:rPr>
              <w:t>Drug</w:t>
            </w:r>
            <w:r>
              <w:rPr>
                <w:color w:val="231F20"/>
                <w:spacing w:val="12"/>
                <w:sz w:val="15"/>
              </w:rPr>
              <w:t> </w:t>
            </w:r>
            <w:r>
              <w:rPr>
                <w:color w:val="231F20"/>
                <w:sz w:val="15"/>
              </w:rPr>
              <w:t>or</w:t>
            </w:r>
            <w:r>
              <w:rPr>
                <w:color w:val="231F20"/>
                <w:spacing w:val="13"/>
                <w:sz w:val="15"/>
              </w:rPr>
              <w:t> </w:t>
            </w:r>
            <w:r>
              <w:rPr>
                <w:color w:val="231F20"/>
                <w:spacing w:val="-2"/>
                <w:sz w:val="15"/>
              </w:rPr>
              <w:t>other</w:t>
            </w:r>
            <w:r>
              <w:rPr>
                <w:color w:val="231F20"/>
                <w:sz w:val="15"/>
              </w:rPr>
              <w:tab/>
            </w:r>
            <w:r>
              <w:rPr>
                <w:color w:val="231F20"/>
                <w:spacing w:val="-2"/>
                <w:sz w:val="15"/>
              </w:rPr>
              <w:t>Variable</w:t>
            </w:r>
            <w:r>
              <w:rPr>
                <w:color w:val="231F20"/>
                <w:sz w:val="15"/>
              </w:rPr>
              <w:tab/>
            </w:r>
            <w:r>
              <w:rPr>
                <w:color w:val="231F20"/>
                <w:spacing w:val="-5"/>
                <w:sz w:val="15"/>
              </w:rPr>
              <w:t>n/a</w:t>
            </w:r>
            <w:r>
              <w:rPr>
                <w:color w:val="231F20"/>
                <w:sz w:val="15"/>
              </w:rPr>
              <w:tab/>
            </w:r>
            <w:r>
              <w:rPr>
                <w:color w:val="231F20"/>
                <w:spacing w:val="-2"/>
                <w:sz w:val="15"/>
              </w:rPr>
              <w:t>Withdraw</w:t>
            </w:r>
          </w:p>
          <w:p>
            <w:pPr>
              <w:pStyle w:val="TableParagraph"/>
              <w:tabs>
                <w:tab w:pos="5461" w:val="left" w:leader="none"/>
              </w:tabs>
              <w:spacing w:line="168" w:lineRule="exact"/>
              <w:ind w:left="183"/>
              <w:rPr>
                <w:sz w:val="15"/>
              </w:rPr>
            </w:pPr>
            <w:r>
              <w:rPr>
                <w:color w:val="231F20"/>
                <w:spacing w:val="-4"/>
                <w:sz w:val="15"/>
              </w:rPr>
              <w:t>chemically</w:t>
            </w:r>
            <w:r>
              <w:rPr>
                <w:color w:val="231F20"/>
                <w:spacing w:val="4"/>
                <w:sz w:val="15"/>
              </w:rPr>
              <w:t> </w:t>
            </w:r>
            <w:r>
              <w:rPr>
                <w:color w:val="231F20"/>
                <w:spacing w:val="-2"/>
                <w:sz w:val="15"/>
              </w:rPr>
              <w:t>induced</w:t>
            </w:r>
            <w:r>
              <w:rPr>
                <w:color w:val="231F20"/>
                <w:sz w:val="15"/>
              </w:rPr>
              <w:tab/>
              <w:t>offending</w:t>
            </w:r>
            <w:r>
              <w:rPr>
                <w:color w:val="231F20"/>
                <w:spacing w:val="1"/>
                <w:sz w:val="15"/>
              </w:rPr>
              <w:t> </w:t>
            </w:r>
            <w:r>
              <w:rPr>
                <w:color w:val="231F20"/>
                <w:spacing w:val="-2"/>
                <w:sz w:val="15"/>
              </w:rPr>
              <w:t>agent</w:t>
            </w:r>
          </w:p>
          <w:p>
            <w:pPr>
              <w:pStyle w:val="TableParagraph"/>
              <w:spacing w:line="169" w:lineRule="exact"/>
              <w:ind w:left="183"/>
              <w:rPr>
                <w:sz w:val="15"/>
              </w:rPr>
            </w:pPr>
            <w:r>
              <w:rPr>
                <w:color w:val="231F20"/>
                <w:spacing w:val="-2"/>
                <w:sz w:val="15"/>
              </w:rPr>
              <w:t>seizures</w:t>
            </w:r>
          </w:p>
          <w:p>
            <w:pPr>
              <w:pStyle w:val="TableParagraph"/>
              <w:tabs>
                <w:tab w:pos="1821" w:val="left" w:leader="none"/>
                <w:tab w:pos="3014" w:val="left" w:leader="none"/>
                <w:tab w:pos="5349" w:val="left" w:leader="none"/>
              </w:tabs>
              <w:spacing w:line="230" w:lineRule="auto" w:before="3"/>
              <w:ind w:left="183" w:right="758" w:hanging="112"/>
              <w:rPr>
                <w:sz w:val="15"/>
              </w:rPr>
            </w:pPr>
            <w:r>
              <w:rPr>
                <w:color w:val="231F20"/>
                <w:sz w:val="15"/>
              </w:rPr>
              <w:t>Immediate and early</w:t>
              <w:tab/>
            </w:r>
            <w:r>
              <w:rPr>
                <w:color w:val="231F20"/>
                <w:spacing w:val="-2"/>
                <w:sz w:val="15"/>
              </w:rPr>
              <w:t>Variable</w:t>
            </w:r>
            <w:r>
              <w:rPr>
                <w:color w:val="231F20"/>
                <w:sz w:val="15"/>
              </w:rPr>
              <w:tab/>
            </w:r>
            <w:r>
              <w:rPr>
                <w:color w:val="231F20"/>
                <w:spacing w:val="-4"/>
                <w:sz w:val="15"/>
              </w:rPr>
              <w:t>n/a</w:t>
            </w:r>
            <w:r>
              <w:rPr>
                <w:color w:val="231F20"/>
                <w:sz w:val="15"/>
              </w:rPr>
              <w:tab/>
              <w:t>LEV,</w:t>
            </w:r>
            <w:r>
              <w:rPr>
                <w:color w:val="231F20"/>
                <w:spacing w:val="-12"/>
                <w:sz w:val="15"/>
              </w:rPr>
              <w:t> </w:t>
            </w:r>
            <w:r>
              <w:rPr>
                <w:color w:val="231F20"/>
                <w:sz w:val="15"/>
              </w:rPr>
              <w:t>PHT </w:t>
            </w:r>
            <w:r>
              <w:rPr>
                <w:color w:val="231F20"/>
                <w:spacing w:val="-2"/>
                <w:sz w:val="15"/>
              </w:rPr>
              <w:t>posttraumatic</w:t>
            </w:r>
          </w:p>
          <w:p>
            <w:pPr>
              <w:pStyle w:val="TableParagraph"/>
              <w:spacing w:line="170" w:lineRule="exact"/>
              <w:ind w:left="183"/>
              <w:rPr>
                <w:sz w:val="15"/>
              </w:rPr>
            </w:pPr>
            <w:r>
              <w:rPr>
                <w:color w:val="231F20"/>
                <w:spacing w:val="-2"/>
                <w:sz w:val="15"/>
              </w:rPr>
              <w:t>seizures</w:t>
            </w:r>
          </w:p>
        </w:tc>
        <w:tc>
          <w:tcPr>
            <w:tcW w:w="1555" w:type="dxa"/>
            <w:tcBorders>
              <w:top w:val="single" w:sz="4" w:space="0" w:color="FFFFFF"/>
            </w:tcBorders>
            <w:shd w:val="clear" w:color="auto" w:fill="E8F5F1"/>
          </w:tcPr>
          <w:p>
            <w:pPr>
              <w:pStyle w:val="TableParagraph"/>
              <w:spacing w:before="38"/>
              <w:rPr>
                <w:i/>
                <w:sz w:val="15"/>
              </w:rPr>
            </w:pPr>
          </w:p>
          <w:p>
            <w:pPr>
              <w:pStyle w:val="TableParagraph"/>
              <w:ind w:left="137"/>
              <w:rPr>
                <w:sz w:val="15"/>
              </w:rPr>
            </w:pPr>
            <w:r>
              <w:rPr>
                <w:color w:val="231F20"/>
                <w:spacing w:val="-10"/>
                <w:w w:val="135"/>
                <w:sz w:val="15"/>
              </w:rPr>
              <w:t>—</w:t>
            </w:r>
          </w:p>
        </w:tc>
        <w:tc>
          <w:tcPr>
            <w:tcW w:w="1460" w:type="dxa"/>
            <w:tcBorders>
              <w:top w:val="single" w:sz="4" w:space="0" w:color="FFFFFF"/>
            </w:tcBorders>
            <w:shd w:val="clear" w:color="auto" w:fill="E8F5F1"/>
          </w:tcPr>
          <w:p>
            <w:pPr>
              <w:pStyle w:val="TableParagraph"/>
              <w:spacing w:before="38"/>
              <w:rPr>
                <w:i/>
                <w:sz w:val="15"/>
              </w:rPr>
            </w:pPr>
          </w:p>
          <w:p>
            <w:pPr>
              <w:pStyle w:val="TableParagraph"/>
              <w:ind w:left="14"/>
              <w:rPr>
                <w:sz w:val="15"/>
              </w:rPr>
            </w:pPr>
            <w:r>
              <w:rPr>
                <w:color w:val="231F20"/>
                <w:spacing w:val="-5"/>
                <w:w w:val="115"/>
                <w:sz w:val="15"/>
              </w:rPr>
              <w:t>No</w:t>
            </w:r>
          </w:p>
        </w:tc>
      </w:tr>
      <w:tr>
        <w:trPr>
          <w:trHeight w:val="401" w:hRule="atLeast"/>
        </w:trPr>
        <w:tc>
          <w:tcPr>
            <w:tcW w:w="6726" w:type="dxa"/>
            <w:gridSpan w:val="4"/>
            <w:vMerge/>
            <w:tcBorders>
              <w:top w:val="nil"/>
              <w:bottom w:val="single" w:sz="8" w:space="0" w:color="231F20"/>
            </w:tcBorders>
            <w:shd w:val="clear" w:color="auto" w:fill="E8F5F1"/>
          </w:tcPr>
          <w:p>
            <w:pPr>
              <w:rPr>
                <w:sz w:val="2"/>
                <w:szCs w:val="2"/>
              </w:rPr>
            </w:pPr>
          </w:p>
        </w:tc>
        <w:tc>
          <w:tcPr>
            <w:tcW w:w="1555" w:type="dxa"/>
            <w:shd w:val="clear" w:color="auto" w:fill="E8F5F1"/>
          </w:tcPr>
          <w:p>
            <w:pPr>
              <w:pStyle w:val="TableParagraph"/>
              <w:spacing w:before="69"/>
              <w:ind w:left="137"/>
              <w:rPr>
                <w:sz w:val="15"/>
              </w:rPr>
            </w:pPr>
            <w:r>
              <w:rPr>
                <w:color w:val="231F20"/>
                <w:spacing w:val="-10"/>
                <w:w w:val="135"/>
                <w:sz w:val="15"/>
              </w:rPr>
              <w:t>—</w:t>
            </w:r>
          </w:p>
        </w:tc>
        <w:tc>
          <w:tcPr>
            <w:tcW w:w="1460" w:type="dxa"/>
            <w:shd w:val="clear" w:color="auto" w:fill="E8F5F1"/>
          </w:tcPr>
          <w:p>
            <w:pPr>
              <w:pStyle w:val="TableParagraph"/>
              <w:spacing w:before="69"/>
              <w:ind w:left="14"/>
              <w:rPr>
                <w:sz w:val="15"/>
              </w:rPr>
            </w:pPr>
            <w:r>
              <w:rPr>
                <w:color w:val="231F20"/>
                <w:spacing w:val="-5"/>
                <w:w w:val="115"/>
                <w:sz w:val="15"/>
              </w:rPr>
              <w:t>No</w:t>
            </w:r>
          </w:p>
        </w:tc>
      </w:tr>
      <w:tr>
        <w:trPr>
          <w:trHeight w:val="317" w:hRule="atLeast"/>
        </w:trPr>
        <w:tc>
          <w:tcPr>
            <w:tcW w:w="6726" w:type="dxa"/>
            <w:gridSpan w:val="4"/>
            <w:vMerge/>
            <w:tcBorders>
              <w:top w:val="nil"/>
              <w:bottom w:val="single" w:sz="8" w:space="0" w:color="231F20"/>
            </w:tcBorders>
            <w:shd w:val="clear" w:color="auto" w:fill="E8F5F1"/>
          </w:tcPr>
          <w:p>
            <w:pPr>
              <w:rPr>
                <w:sz w:val="2"/>
                <w:szCs w:val="2"/>
              </w:rPr>
            </w:pPr>
          </w:p>
        </w:tc>
        <w:tc>
          <w:tcPr>
            <w:tcW w:w="1555" w:type="dxa"/>
            <w:shd w:val="clear" w:color="auto" w:fill="E8F5F1"/>
          </w:tcPr>
          <w:p>
            <w:pPr>
              <w:pStyle w:val="TableParagraph"/>
              <w:spacing w:line="144" w:lineRule="exact" w:before="153"/>
              <w:ind w:left="136"/>
              <w:rPr>
                <w:sz w:val="15"/>
              </w:rPr>
            </w:pPr>
            <w:r>
              <w:rPr>
                <w:color w:val="231F20"/>
                <w:sz w:val="15"/>
              </w:rPr>
              <w:t>LTG,</w:t>
            </w:r>
            <w:r>
              <w:rPr>
                <w:color w:val="231F20"/>
                <w:spacing w:val="-6"/>
                <w:sz w:val="15"/>
              </w:rPr>
              <w:t> </w:t>
            </w:r>
            <w:r>
              <w:rPr>
                <w:color w:val="231F20"/>
                <w:spacing w:val="-5"/>
                <w:sz w:val="15"/>
              </w:rPr>
              <w:t>ZON</w:t>
            </w:r>
          </w:p>
        </w:tc>
        <w:tc>
          <w:tcPr>
            <w:tcW w:w="1460" w:type="dxa"/>
            <w:shd w:val="clear" w:color="auto" w:fill="E8F5F1"/>
          </w:tcPr>
          <w:p>
            <w:pPr>
              <w:pStyle w:val="TableParagraph"/>
              <w:spacing w:line="144" w:lineRule="exact" w:before="153"/>
              <w:ind w:left="14"/>
              <w:rPr>
                <w:sz w:val="15"/>
              </w:rPr>
            </w:pPr>
            <w:r>
              <w:rPr>
                <w:color w:val="231F20"/>
                <w:spacing w:val="-5"/>
                <w:w w:val="115"/>
                <w:sz w:val="15"/>
              </w:rPr>
              <w:t>No</w:t>
            </w:r>
          </w:p>
        </w:tc>
      </w:tr>
      <w:tr>
        <w:trPr>
          <w:trHeight w:val="317" w:hRule="atLeast"/>
        </w:trPr>
        <w:tc>
          <w:tcPr>
            <w:tcW w:w="6726" w:type="dxa"/>
            <w:gridSpan w:val="4"/>
            <w:vMerge/>
            <w:tcBorders>
              <w:top w:val="nil"/>
              <w:bottom w:val="single" w:sz="8" w:space="0" w:color="231F20"/>
            </w:tcBorders>
            <w:shd w:val="clear" w:color="auto" w:fill="E8F5F1"/>
          </w:tcPr>
          <w:p>
            <w:pPr>
              <w:rPr>
                <w:sz w:val="2"/>
                <w:szCs w:val="2"/>
              </w:rPr>
            </w:pPr>
          </w:p>
        </w:tc>
        <w:tc>
          <w:tcPr>
            <w:tcW w:w="1555" w:type="dxa"/>
            <w:shd w:val="clear" w:color="auto" w:fill="E8F5F1"/>
          </w:tcPr>
          <w:p>
            <w:pPr>
              <w:pStyle w:val="TableParagraph"/>
              <w:spacing w:line="160" w:lineRule="exact"/>
              <w:ind w:left="136"/>
              <w:rPr>
                <w:sz w:val="15"/>
              </w:rPr>
            </w:pPr>
            <w:r>
              <w:rPr>
                <w:color w:val="231F20"/>
                <w:spacing w:val="-10"/>
                <w:w w:val="135"/>
                <w:sz w:val="15"/>
              </w:rPr>
              <w:t>—</w:t>
            </w:r>
          </w:p>
        </w:tc>
        <w:tc>
          <w:tcPr>
            <w:tcW w:w="1460" w:type="dxa"/>
            <w:shd w:val="clear" w:color="auto" w:fill="E8F5F1"/>
          </w:tcPr>
          <w:p>
            <w:pPr>
              <w:pStyle w:val="TableParagraph"/>
              <w:spacing w:line="160" w:lineRule="exact"/>
              <w:ind w:left="14"/>
              <w:rPr>
                <w:sz w:val="15"/>
              </w:rPr>
            </w:pPr>
            <w:r>
              <w:rPr>
                <w:color w:val="231F20"/>
                <w:spacing w:val="-5"/>
                <w:w w:val="115"/>
                <w:sz w:val="15"/>
              </w:rPr>
              <w:t>No</w:t>
            </w:r>
          </w:p>
        </w:tc>
      </w:tr>
      <w:tr>
        <w:trPr>
          <w:trHeight w:val="694" w:hRule="atLeast"/>
        </w:trPr>
        <w:tc>
          <w:tcPr>
            <w:tcW w:w="6726" w:type="dxa"/>
            <w:gridSpan w:val="4"/>
            <w:vMerge/>
            <w:tcBorders>
              <w:top w:val="nil"/>
              <w:bottom w:val="single" w:sz="8" w:space="0" w:color="231F20"/>
            </w:tcBorders>
            <w:shd w:val="clear" w:color="auto" w:fill="E8F5F1"/>
          </w:tcPr>
          <w:p>
            <w:pPr>
              <w:rPr>
                <w:sz w:val="2"/>
                <w:szCs w:val="2"/>
              </w:rPr>
            </w:pPr>
          </w:p>
        </w:tc>
        <w:tc>
          <w:tcPr>
            <w:tcW w:w="1555" w:type="dxa"/>
            <w:tcBorders>
              <w:bottom w:val="single" w:sz="8" w:space="0" w:color="231F20"/>
            </w:tcBorders>
            <w:shd w:val="clear" w:color="auto" w:fill="E8F5F1"/>
          </w:tcPr>
          <w:p>
            <w:pPr>
              <w:pStyle w:val="TableParagraph"/>
              <w:spacing w:before="153"/>
              <w:ind w:left="136"/>
              <w:rPr>
                <w:sz w:val="15"/>
              </w:rPr>
            </w:pPr>
            <w:r>
              <w:rPr>
                <w:color w:val="231F20"/>
                <w:spacing w:val="-10"/>
                <w:w w:val="135"/>
                <w:sz w:val="15"/>
              </w:rPr>
              <w:t>—</w:t>
            </w:r>
          </w:p>
        </w:tc>
        <w:tc>
          <w:tcPr>
            <w:tcW w:w="1460" w:type="dxa"/>
            <w:tcBorders>
              <w:bottom w:val="single" w:sz="8" w:space="0" w:color="231F20"/>
            </w:tcBorders>
            <w:shd w:val="clear" w:color="auto" w:fill="E8F5F1"/>
          </w:tcPr>
          <w:p>
            <w:pPr>
              <w:pStyle w:val="TableParagraph"/>
              <w:spacing w:before="153"/>
              <w:ind w:left="14"/>
              <w:rPr>
                <w:sz w:val="15"/>
              </w:rPr>
            </w:pPr>
            <w:r>
              <w:rPr>
                <w:color w:val="231F20"/>
                <w:spacing w:val="-5"/>
                <w:w w:val="115"/>
                <w:sz w:val="15"/>
              </w:rPr>
              <w:t>No</w:t>
            </w:r>
          </w:p>
        </w:tc>
      </w:tr>
    </w:tbl>
    <w:p>
      <w:pPr>
        <w:pStyle w:val="TableParagraph"/>
        <w:spacing w:after="0"/>
        <w:rPr>
          <w:sz w:val="15"/>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552" name="Group 552"/>
                <wp:cNvGraphicFramePr>
                  <a:graphicFrameLocks/>
                </wp:cNvGraphicFramePr>
                <a:graphic>
                  <a:graphicData uri="http://schemas.microsoft.com/office/word/2010/wordprocessingGroup">
                    <wpg:wgp>
                      <wpg:cNvPr id="552" name="Group 552"/>
                      <wpg:cNvGrpSpPr/>
                      <wpg:grpSpPr>
                        <a:xfrm>
                          <a:off x="0" y="0"/>
                          <a:ext cx="6185535" cy="170815"/>
                          <a:chExt cx="6185535" cy="170815"/>
                        </a:xfrm>
                      </wpg:grpSpPr>
                      <wps:wsp>
                        <wps:cNvPr id="553" name="Graphic 553"/>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554" name="Graphic 554"/>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555" name="Textbox 555"/>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2828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90"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491" filled="false" stroked="false">
                  <v:textbox inset="0,0,0,0">
                    <w:txbxContent>
                      <w:p>
                        <w:pPr>
                          <w:spacing w:before="6"/>
                          <w:ind w:left="-1" w:right="0" w:firstLine="0"/>
                          <w:jc w:val="left"/>
                          <w:rPr>
                            <w:sz w:val="18"/>
                          </w:rPr>
                        </w:pPr>
                        <w:r>
                          <w:rPr>
                            <w:b/>
                            <w:color w:val="231F20"/>
                            <w:w w:val="105"/>
                            <w:sz w:val="18"/>
                          </w:rPr>
                          <w:t>2828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2401"/>
        <w:gridCol w:w="1438"/>
        <w:gridCol w:w="4779"/>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4</w:t>
            </w:r>
          </w:p>
        </w:tc>
        <w:tc>
          <w:tcPr>
            <w:tcW w:w="8618" w:type="dxa"/>
            <w:gridSpan w:val="3"/>
            <w:tcBorders>
              <w:left w:val="single" w:sz="8" w:space="0" w:color="FFFFFF"/>
            </w:tcBorders>
            <w:shd w:val="clear" w:color="auto" w:fill="231F20"/>
          </w:tcPr>
          <w:p>
            <w:pPr>
              <w:pStyle w:val="TableParagraph"/>
              <w:spacing w:before="89"/>
              <w:ind w:left="73"/>
              <w:rPr>
                <w:sz w:val="16"/>
              </w:rPr>
            </w:pPr>
            <w:r>
              <w:rPr>
                <w:color w:val="FFFFFF"/>
                <w:sz w:val="16"/>
              </w:rPr>
              <w:t>Identified</w:t>
            </w:r>
            <w:r>
              <w:rPr>
                <w:color w:val="FFFFFF"/>
                <w:spacing w:val="37"/>
                <w:sz w:val="16"/>
              </w:rPr>
              <w:t> </w:t>
            </w:r>
            <w:r>
              <w:rPr>
                <w:color w:val="FFFFFF"/>
                <w:sz w:val="16"/>
              </w:rPr>
              <w:t>Genes</w:t>
            </w:r>
            <w:r>
              <w:rPr>
                <w:color w:val="FFFFFF"/>
                <w:spacing w:val="38"/>
                <w:sz w:val="16"/>
              </w:rPr>
              <w:t> </w:t>
            </w:r>
            <w:r>
              <w:rPr>
                <w:color w:val="FFFFFF"/>
                <w:sz w:val="16"/>
              </w:rPr>
              <w:t>for</w:t>
            </w:r>
            <w:r>
              <w:rPr>
                <w:color w:val="FFFFFF"/>
                <w:spacing w:val="38"/>
                <w:sz w:val="16"/>
              </w:rPr>
              <w:t> </w:t>
            </w:r>
            <w:r>
              <w:rPr>
                <w:color w:val="FFFFFF"/>
                <w:sz w:val="16"/>
              </w:rPr>
              <w:t>Syndromic</w:t>
            </w:r>
            <w:r>
              <w:rPr>
                <w:color w:val="FFFFFF"/>
                <w:spacing w:val="38"/>
                <w:sz w:val="16"/>
              </w:rPr>
              <w:t> </w:t>
            </w:r>
            <w:r>
              <w:rPr>
                <w:color w:val="FFFFFF"/>
                <w:sz w:val="16"/>
              </w:rPr>
              <w:t>Epilepsy</w:t>
            </w:r>
            <w:r>
              <w:rPr>
                <w:color w:val="FFFFFF"/>
                <w:spacing w:val="38"/>
                <w:sz w:val="16"/>
              </w:rPr>
              <w:t> </w:t>
            </w:r>
            <w:r>
              <w:rPr>
                <w:color w:val="FFFFFF"/>
                <w:spacing w:val="-2"/>
                <w:sz w:val="16"/>
              </w:rPr>
              <w:t>Syndromes</w:t>
            </w:r>
            <w:r>
              <w:rPr>
                <w:color w:val="0080AC"/>
                <w:spacing w:val="-2"/>
                <w:sz w:val="16"/>
              </w:rPr>
              <w:t>*</w:t>
            </w:r>
          </w:p>
        </w:tc>
      </w:tr>
      <w:tr>
        <w:trPr>
          <w:trHeight w:val="276" w:hRule="atLeast"/>
        </w:trPr>
        <w:tc>
          <w:tcPr>
            <w:tcW w:w="3549"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15"/>
                <w:sz w:val="15"/>
              </w:rPr>
              <w:t>SYNDROME</w:t>
            </w:r>
          </w:p>
        </w:tc>
        <w:tc>
          <w:tcPr>
            <w:tcW w:w="1438" w:type="dxa"/>
            <w:tcBorders>
              <w:bottom w:val="single" w:sz="4" w:space="0" w:color="231F20"/>
            </w:tcBorders>
            <w:shd w:val="clear" w:color="auto" w:fill="E8F5F1"/>
          </w:tcPr>
          <w:p>
            <w:pPr>
              <w:pStyle w:val="TableParagraph"/>
              <w:spacing w:before="66"/>
              <w:ind w:left="383"/>
              <w:rPr>
                <w:b/>
                <w:sz w:val="15"/>
              </w:rPr>
            </w:pPr>
            <w:r>
              <w:rPr>
                <w:b/>
                <w:color w:val="231F20"/>
                <w:spacing w:val="-4"/>
                <w:w w:val="115"/>
                <w:sz w:val="15"/>
              </w:rPr>
              <w:t>GENE</w:t>
            </w:r>
          </w:p>
        </w:tc>
        <w:tc>
          <w:tcPr>
            <w:tcW w:w="4779" w:type="dxa"/>
            <w:tcBorders>
              <w:bottom w:val="single" w:sz="4" w:space="0" w:color="231F20"/>
            </w:tcBorders>
            <w:shd w:val="clear" w:color="auto" w:fill="E8F5F1"/>
          </w:tcPr>
          <w:p>
            <w:pPr>
              <w:pStyle w:val="TableParagraph"/>
              <w:spacing w:before="66"/>
              <w:ind w:left="217"/>
              <w:jc w:val="center"/>
              <w:rPr>
                <w:b/>
                <w:sz w:val="15"/>
              </w:rPr>
            </w:pPr>
            <w:r>
              <w:rPr>
                <w:b/>
                <w:color w:val="231F20"/>
                <w:spacing w:val="-2"/>
                <w:w w:val="110"/>
                <w:sz w:val="15"/>
              </w:rPr>
              <w:t>PROTEIN</w:t>
            </w:r>
          </w:p>
        </w:tc>
      </w:tr>
      <w:tr>
        <w:trPr>
          <w:trHeight w:val="935" w:hRule="atLeast"/>
        </w:trPr>
        <w:tc>
          <w:tcPr>
            <w:tcW w:w="3549"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w w:val="90"/>
                <w:sz w:val="15"/>
              </w:rPr>
              <w:t>Rett/atypical</w:t>
            </w:r>
            <w:r>
              <w:rPr>
                <w:color w:val="231F20"/>
                <w:spacing w:val="15"/>
                <w:sz w:val="15"/>
              </w:rPr>
              <w:t> </w:t>
            </w:r>
            <w:r>
              <w:rPr>
                <w:color w:val="231F20"/>
                <w:w w:val="90"/>
                <w:sz w:val="15"/>
              </w:rPr>
              <w:t>Rett</w:t>
            </w:r>
            <w:r>
              <w:rPr>
                <w:color w:val="231F20"/>
                <w:spacing w:val="16"/>
                <w:sz w:val="15"/>
              </w:rPr>
              <w:t> </w:t>
            </w:r>
            <w:r>
              <w:rPr>
                <w:color w:val="231F20"/>
                <w:spacing w:val="-2"/>
                <w:w w:val="90"/>
                <w:sz w:val="15"/>
              </w:rPr>
              <w:t>syndromes</w:t>
            </w:r>
          </w:p>
        </w:tc>
        <w:tc>
          <w:tcPr>
            <w:tcW w:w="1438" w:type="dxa"/>
            <w:tcBorders>
              <w:top w:val="single" w:sz="4" w:space="0" w:color="231F20"/>
              <w:bottom w:val="single" w:sz="4" w:space="0" w:color="FFFFFF"/>
            </w:tcBorders>
            <w:shd w:val="clear" w:color="auto" w:fill="E8F5F1"/>
          </w:tcPr>
          <w:p>
            <w:pPr>
              <w:pStyle w:val="TableParagraph"/>
              <w:spacing w:line="232" w:lineRule="auto" w:before="51"/>
              <w:ind w:left="73" w:right="866"/>
              <w:rPr>
                <w:i/>
                <w:sz w:val="15"/>
              </w:rPr>
            </w:pPr>
            <w:r>
              <w:rPr>
                <w:i/>
                <w:color w:val="231F20"/>
                <w:spacing w:val="-2"/>
                <w:w w:val="110"/>
                <w:sz w:val="15"/>
              </w:rPr>
              <w:t>MECP2 CDKL5 FOXG1 </w:t>
            </w:r>
            <w:r>
              <w:rPr>
                <w:i/>
                <w:color w:val="231F20"/>
                <w:spacing w:val="-4"/>
                <w:w w:val="110"/>
                <w:sz w:val="15"/>
              </w:rPr>
              <w:t>MBD5 </w:t>
            </w:r>
            <w:r>
              <w:rPr>
                <w:i/>
                <w:color w:val="231F20"/>
                <w:spacing w:val="-2"/>
                <w:w w:val="110"/>
                <w:sz w:val="15"/>
              </w:rPr>
              <w:t>MEF2C</w:t>
            </w:r>
          </w:p>
        </w:tc>
        <w:tc>
          <w:tcPr>
            <w:tcW w:w="4779" w:type="dxa"/>
            <w:tcBorders>
              <w:top w:val="single" w:sz="4" w:space="0" w:color="231F20"/>
              <w:bottom w:val="single" w:sz="4" w:space="0" w:color="FFFFFF"/>
            </w:tcBorders>
            <w:shd w:val="clear" w:color="auto" w:fill="E8F5F1"/>
          </w:tcPr>
          <w:p>
            <w:pPr>
              <w:pStyle w:val="TableParagraph"/>
              <w:spacing w:line="232" w:lineRule="auto" w:before="51"/>
              <w:ind w:left="317" w:right="2409"/>
              <w:jc w:val="both"/>
              <w:rPr>
                <w:sz w:val="15"/>
              </w:rPr>
            </w:pPr>
            <w:r>
              <w:rPr>
                <w:color w:val="231F20"/>
                <w:sz w:val="15"/>
              </w:rPr>
              <w:t>Methyl CpG binding protein 2 </w:t>
            </w:r>
            <w:r>
              <w:rPr>
                <w:color w:val="231F20"/>
                <w:spacing w:val="-2"/>
                <w:sz w:val="15"/>
              </w:rPr>
              <w:t>Cyclin-dependent kinase-like </w:t>
            </w:r>
            <w:r>
              <w:rPr>
                <w:color w:val="231F20"/>
                <w:spacing w:val="-2"/>
                <w:sz w:val="15"/>
              </w:rPr>
              <w:t>5 </w:t>
            </w:r>
            <w:r>
              <w:rPr>
                <w:color w:val="231F20"/>
                <w:sz w:val="15"/>
              </w:rPr>
              <w:t>Forkhead box protein G1</w:t>
            </w:r>
          </w:p>
          <w:p>
            <w:pPr>
              <w:pStyle w:val="TableParagraph"/>
              <w:spacing w:line="232" w:lineRule="auto" w:before="1"/>
              <w:ind w:left="317" w:right="1881"/>
              <w:jc w:val="both"/>
              <w:rPr>
                <w:sz w:val="15"/>
              </w:rPr>
            </w:pPr>
            <w:r>
              <w:rPr>
                <w:color w:val="231F20"/>
                <w:sz w:val="15"/>
              </w:rPr>
              <w:t>Methyl-CpG-binding domain protein </w:t>
            </w:r>
            <w:r>
              <w:rPr>
                <w:color w:val="231F20"/>
                <w:sz w:val="15"/>
              </w:rPr>
              <w:t>5 Myocyte-specific enhancer factor 2C</w:t>
            </w:r>
          </w:p>
        </w:tc>
      </w:tr>
      <w:tr>
        <w:trPr>
          <w:trHeight w:val="1099" w:hRule="atLeast"/>
        </w:trPr>
        <w:tc>
          <w:tcPr>
            <w:tcW w:w="3549" w:type="dxa"/>
            <w:gridSpan w:val="2"/>
            <w:tcBorders>
              <w:top w:val="single" w:sz="4" w:space="0" w:color="FFFFFF"/>
              <w:bottom w:val="single" w:sz="4" w:space="0" w:color="FFFFFF"/>
            </w:tcBorders>
            <w:shd w:val="clear" w:color="auto" w:fill="E8F5F1"/>
          </w:tcPr>
          <w:p>
            <w:pPr>
              <w:pStyle w:val="TableParagraph"/>
              <w:spacing w:line="230" w:lineRule="auto" w:before="48"/>
              <w:ind w:left="186" w:right="282" w:hanging="112"/>
              <w:rPr>
                <w:sz w:val="15"/>
              </w:rPr>
            </w:pPr>
            <w:r>
              <w:rPr>
                <w:color w:val="231F20"/>
                <w:spacing w:val="-2"/>
                <w:sz w:val="15"/>
              </w:rPr>
              <w:t>Angelman/Angelman-like/Pitt-</w:t>
            </w:r>
            <w:r>
              <w:rPr>
                <w:color w:val="231F20"/>
                <w:spacing w:val="-2"/>
                <w:sz w:val="15"/>
              </w:rPr>
              <w:t>Hopkins syndromes</w:t>
            </w:r>
          </w:p>
        </w:tc>
        <w:tc>
          <w:tcPr>
            <w:tcW w:w="1438" w:type="dxa"/>
            <w:tcBorders>
              <w:top w:val="single" w:sz="4" w:space="0" w:color="FFFFFF"/>
              <w:bottom w:val="single" w:sz="4" w:space="0" w:color="FFFFFF"/>
            </w:tcBorders>
            <w:shd w:val="clear" w:color="auto" w:fill="E8F5F1"/>
          </w:tcPr>
          <w:p>
            <w:pPr>
              <w:pStyle w:val="TableParagraph"/>
              <w:spacing w:line="232" w:lineRule="auto" w:before="46"/>
              <w:ind w:left="73" w:right="642"/>
              <w:rPr>
                <w:i/>
                <w:sz w:val="15"/>
              </w:rPr>
            </w:pPr>
            <w:r>
              <w:rPr>
                <w:i/>
                <w:color w:val="231F20"/>
                <w:spacing w:val="-2"/>
                <w:w w:val="110"/>
                <w:sz w:val="15"/>
              </w:rPr>
              <w:t>UBE3A SLC9A6 </w:t>
            </w:r>
            <w:r>
              <w:rPr>
                <w:i/>
                <w:color w:val="231F20"/>
                <w:spacing w:val="-4"/>
                <w:w w:val="110"/>
                <w:sz w:val="15"/>
              </w:rPr>
              <w:t>MBD5 TCF4 </w:t>
            </w:r>
            <w:r>
              <w:rPr>
                <w:i/>
                <w:color w:val="231F20"/>
                <w:spacing w:val="-2"/>
                <w:w w:val="110"/>
                <w:sz w:val="15"/>
              </w:rPr>
              <w:t>NRXN1 CNTNAP2</w:t>
            </w:r>
          </w:p>
        </w:tc>
        <w:tc>
          <w:tcPr>
            <w:tcW w:w="4779" w:type="dxa"/>
            <w:tcBorders>
              <w:top w:val="single" w:sz="4" w:space="0" w:color="FFFFFF"/>
              <w:bottom w:val="single" w:sz="4" w:space="0" w:color="FFFFFF"/>
            </w:tcBorders>
            <w:shd w:val="clear" w:color="auto" w:fill="E8F5F1"/>
          </w:tcPr>
          <w:p>
            <w:pPr>
              <w:pStyle w:val="TableParagraph"/>
              <w:spacing w:line="232" w:lineRule="auto" w:before="46"/>
              <w:ind w:left="317" w:right="1429"/>
              <w:rPr>
                <w:sz w:val="15"/>
              </w:rPr>
            </w:pPr>
            <w:r>
              <w:rPr>
                <w:color w:val="231F20"/>
                <w:sz w:val="15"/>
              </w:rPr>
              <w:t>Ubiquitin protein ligase E3A Sodium/hydrogen</w:t>
            </w:r>
            <w:r>
              <w:rPr>
                <w:color w:val="231F20"/>
                <w:spacing w:val="-5"/>
                <w:sz w:val="15"/>
              </w:rPr>
              <w:t> </w:t>
            </w:r>
            <w:r>
              <w:rPr>
                <w:color w:val="231F20"/>
                <w:sz w:val="15"/>
              </w:rPr>
              <w:t>exchanger</w:t>
            </w:r>
            <w:r>
              <w:rPr>
                <w:color w:val="231F20"/>
                <w:spacing w:val="-5"/>
                <w:sz w:val="15"/>
              </w:rPr>
              <w:t> </w:t>
            </w:r>
            <w:r>
              <w:rPr>
                <w:color w:val="231F20"/>
                <w:sz w:val="15"/>
              </w:rPr>
              <w:t>6</w:t>
            </w:r>
          </w:p>
          <w:p>
            <w:pPr>
              <w:pStyle w:val="TableParagraph"/>
              <w:spacing w:line="232" w:lineRule="auto" w:before="1"/>
              <w:ind w:left="317" w:right="1429"/>
              <w:rPr>
                <w:sz w:val="15"/>
              </w:rPr>
            </w:pPr>
            <w:r>
              <w:rPr>
                <w:color w:val="231F20"/>
                <w:sz w:val="15"/>
              </w:rPr>
              <w:t>Methyl-CpG-binding domain protein </w:t>
            </w:r>
            <w:r>
              <w:rPr>
                <w:color w:val="231F20"/>
                <w:sz w:val="15"/>
              </w:rPr>
              <w:t>5 Transcription factor 4</w:t>
            </w:r>
          </w:p>
          <w:p>
            <w:pPr>
              <w:pStyle w:val="TableParagraph"/>
              <w:spacing w:line="169" w:lineRule="exact"/>
              <w:ind w:left="317"/>
              <w:rPr>
                <w:sz w:val="15"/>
              </w:rPr>
            </w:pPr>
            <w:r>
              <w:rPr>
                <w:color w:val="231F20"/>
                <w:spacing w:val="-2"/>
                <w:sz w:val="15"/>
              </w:rPr>
              <w:t>Neurexin-</w:t>
            </w:r>
            <w:r>
              <w:rPr>
                <w:color w:val="231F20"/>
                <w:spacing w:val="-10"/>
                <w:sz w:val="15"/>
              </w:rPr>
              <w:t>1</w:t>
            </w:r>
          </w:p>
          <w:p>
            <w:pPr>
              <w:pStyle w:val="TableParagraph"/>
              <w:spacing w:line="172" w:lineRule="exact"/>
              <w:ind w:left="317"/>
              <w:rPr>
                <w:sz w:val="15"/>
              </w:rPr>
            </w:pPr>
            <w:r>
              <w:rPr>
                <w:color w:val="231F20"/>
                <w:spacing w:val="-2"/>
                <w:sz w:val="15"/>
              </w:rPr>
              <w:t>Contactin-associated</w:t>
            </w:r>
            <w:r>
              <w:rPr>
                <w:color w:val="231F20"/>
                <w:spacing w:val="10"/>
                <w:sz w:val="15"/>
              </w:rPr>
              <w:t> </w:t>
            </w:r>
            <w:r>
              <w:rPr>
                <w:color w:val="231F20"/>
                <w:spacing w:val="-2"/>
                <w:sz w:val="15"/>
              </w:rPr>
              <w:t>protein-like</w:t>
            </w:r>
            <w:r>
              <w:rPr>
                <w:color w:val="231F20"/>
                <w:spacing w:val="10"/>
                <w:sz w:val="15"/>
              </w:rPr>
              <w:t> </w:t>
            </w:r>
            <w:r>
              <w:rPr>
                <w:color w:val="231F20"/>
                <w:spacing w:val="-10"/>
                <w:sz w:val="15"/>
              </w:rPr>
              <w:t>2</w:t>
            </w:r>
          </w:p>
        </w:tc>
      </w:tr>
      <w:tr>
        <w:trPr>
          <w:trHeight w:val="252" w:hRule="atLeast"/>
        </w:trPr>
        <w:tc>
          <w:tcPr>
            <w:tcW w:w="3549" w:type="dxa"/>
            <w:gridSpan w:val="2"/>
            <w:vMerge w:val="restart"/>
            <w:tcBorders>
              <w:top w:val="single" w:sz="4" w:space="0" w:color="FFFFFF"/>
              <w:bottom w:val="single" w:sz="4" w:space="0" w:color="FFFFFF"/>
            </w:tcBorders>
            <w:shd w:val="clear" w:color="auto" w:fill="E8F5F1"/>
          </w:tcPr>
          <w:p>
            <w:pPr>
              <w:pStyle w:val="TableParagraph"/>
              <w:spacing w:line="362" w:lineRule="auto" w:before="42"/>
              <w:ind w:left="74" w:right="1315"/>
              <w:rPr>
                <w:sz w:val="15"/>
              </w:rPr>
            </w:pPr>
            <w:r>
              <w:rPr>
                <w:color w:val="231F20"/>
                <w:sz w:val="15"/>
              </w:rPr>
              <w:t>Mowat-Wilson syndrome </w:t>
            </w:r>
            <w:r>
              <w:rPr>
                <w:color w:val="231F20"/>
                <w:spacing w:val="-2"/>
                <w:sz w:val="15"/>
              </w:rPr>
              <w:t>Creatine deficiency </w:t>
            </w:r>
            <w:r>
              <w:rPr>
                <w:color w:val="231F20"/>
                <w:spacing w:val="-2"/>
                <w:sz w:val="15"/>
              </w:rPr>
              <w:t>syndromes</w:t>
            </w:r>
          </w:p>
        </w:tc>
        <w:tc>
          <w:tcPr>
            <w:tcW w:w="1438" w:type="dxa"/>
            <w:tcBorders>
              <w:top w:val="single" w:sz="4" w:space="0" w:color="FFFFFF"/>
              <w:bottom w:val="single" w:sz="4" w:space="0" w:color="FFFFFF"/>
            </w:tcBorders>
            <w:shd w:val="clear" w:color="auto" w:fill="E8F5F1"/>
          </w:tcPr>
          <w:p>
            <w:pPr>
              <w:pStyle w:val="TableParagraph"/>
              <w:spacing w:before="42"/>
              <w:ind w:left="73"/>
              <w:rPr>
                <w:i/>
                <w:sz w:val="15"/>
              </w:rPr>
            </w:pPr>
            <w:r>
              <w:rPr>
                <w:i/>
                <w:color w:val="231F20"/>
                <w:spacing w:val="-4"/>
                <w:w w:val="105"/>
                <w:sz w:val="15"/>
              </w:rPr>
              <w:t>ZEB2</w:t>
            </w:r>
          </w:p>
        </w:tc>
        <w:tc>
          <w:tcPr>
            <w:tcW w:w="4779" w:type="dxa"/>
            <w:tcBorders>
              <w:top w:val="single" w:sz="4" w:space="0" w:color="FFFFFF"/>
              <w:bottom w:val="single" w:sz="4" w:space="0" w:color="FFFFFF"/>
            </w:tcBorders>
            <w:shd w:val="clear" w:color="auto" w:fill="E8F5F1"/>
          </w:tcPr>
          <w:p>
            <w:pPr>
              <w:pStyle w:val="TableParagraph"/>
              <w:spacing w:before="42"/>
              <w:ind w:left="317"/>
              <w:rPr>
                <w:sz w:val="15"/>
              </w:rPr>
            </w:pPr>
            <w:r>
              <w:rPr>
                <w:color w:val="231F20"/>
                <w:sz w:val="15"/>
              </w:rPr>
              <w:t>Zinc</w:t>
            </w:r>
            <w:r>
              <w:rPr>
                <w:color w:val="231F20"/>
                <w:spacing w:val="9"/>
                <w:sz w:val="15"/>
              </w:rPr>
              <w:t> </w:t>
            </w:r>
            <w:r>
              <w:rPr>
                <w:color w:val="231F20"/>
                <w:sz w:val="15"/>
              </w:rPr>
              <w:t>finger</w:t>
            </w:r>
            <w:r>
              <w:rPr>
                <w:color w:val="231F20"/>
                <w:spacing w:val="10"/>
                <w:sz w:val="15"/>
              </w:rPr>
              <w:t> </w:t>
            </w:r>
            <w:r>
              <w:rPr>
                <w:color w:val="231F20"/>
                <w:sz w:val="15"/>
              </w:rPr>
              <w:t>E-box-binding</w:t>
            </w:r>
            <w:r>
              <w:rPr>
                <w:color w:val="231F20"/>
                <w:spacing w:val="10"/>
                <w:sz w:val="15"/>
              </w:rPr>
              <w:t> </w:t>
            </w:r>
            <w:r>
              <w:rPr>
                <w:color w:val="231F20"/>
                <w:sz w:val="15"/>
              </w:rPr>
              <w:t>homeobox</w:t>
            </w:r>
            <w:r>
              <w:rPr>
                <w:color w:val="231F20"/>
                <w:spacing w:val="9"/>
                <w:sz w:val="15"/>
              </w:rPr>
              <w:t> </w:t>
            </w:r>
            <w:r>
              <w:rPr>
                <w:color w:val="231F20"/>
                <w:spacing w:val="-10"/>
                <w:sz w:val="15"/>
              </w:rPr>
              <w:t>2</w:t>
            </w:r>
          </w:p>
        </w:tc>
      </w:tr>
      <w:tr>
        <w:trPr>
          <w:trHeight w:val="422" w:hRule="atLeast"/>
        </w:trPr>
        <w:tc>
          <w:tcPr>
            <w:tcW w:w="3549" w:type="dxa"/>
            <w:gridSpan w:val="2"/>
            <w:vMerge/>
            <w:tcBorders>
              <w:top w:val="nil"/>
              <w:bottom w:val="single" w:sz="4" w:space="0" w:color="FFFFFF"/>
            </w:tcBorders>
            <w:shd w:val="clear" w:color="auto" w:fill="E8F5F1"/>
          </w:tcPr>
          <w:p>
            <w:pPr>
              <w:rPr>
                <w:sz w:val="2"/>
                <w:szCs w:val="2"/>
              </w:rPr>
            </w:pPr>
          </w:p>
        </w:tc>
        <w:tc>
          <w:tcPr>
            <w:tcW w:w="1438" w:type="dxa"/>
            <w:tcBorders>
              <w:top w:val="single" w:sz="4" w:space="0" w:color="FFFFFF"/>
              <w:bottom w:val="single" w:sz="4" w:space="0" w:color="FFFFFF"/>
            </w:tcBorders>
            <w:shd w:val="clear" w:color="auto" w:fill="E8F5F1"/>
          </w:tcPr>
          <w:p>
            <w:pPr>
              <w:pStyle w:val="TableParagraph"/>
              <w:spacing w:line="232" w:lineRule="auto" w:before="46"/>
              <w:ind w:left="73" w:right="866"/>
              <w:rPr>
                <w:i/>
                <w:sz w:val="15"/>
              </w:rPr>
            </w:pPr>
            <w:r>
              <w:rPr>
                <w:i/>
                <w:color w:val="231F20"/>
                <w:spacing w:val="-4"/>
                <w:w w:val="110"/>
                <w:sz w:val="15"/>
              </w:rPr>
              <w:t>GAMT GATM</w:t>
            </w:r>
          </w:p>
        </w:tc>
        <w:tc>
          <w:tcPr>
            <w:tcW w:w="4779" w:type="dxa"/>
            <w:tcBorders>
              <w:top w:val="single" w:sz="4" w:space="0" w:color="FFFFFF"/>
              <w:bottom w:val="single" w:sz="4" w:space="0" w:color="FFFFFF"/>
            </w:tcBorders>
            <w:shd w:val="clear" w:color="auto" w:fill="E8F5F1"/>
          </w:tcPr>
          <w:p>
            <w:pPr>
              <w:pStyle w:val="TableParagraph"/>
              <w:spacing w:line="232" w:lineRule="auto" w:before="46"/>
              <w:ind w:left="317" w:right="1429"/>
              <w:rPr>
                <w:sz w:val="15"/>
              </w:rPr>
            </w:pPr>
            <w:r>
              <w:rPr>
                <w:color w:val="231F20"/>
                <w:sz w:val="15"/>
              </w:rPr>
              <w:t>Guanidinoacetate </w:t>
            </w:r>
            <w:r>
              <w:rPr>
                <w:i/>
                <w:color w:val="231F20"/>
                <w:sz w:val="15"/>
              </w:rPr>
              <w:t>N</w:t>
            </w:r>
            <w:r>
              <w:rPr>
                <w:color w:val="231F20"/>
                <w:sz w:val="15"/>
              </w:rPr>
              <w:t>-methyltransferase </w:t>
            </w:r>
            <w:r>
              <w:rPr>
                <w:color w:val="231F20"/>
                <w:spacing w:val="-2"/>
                <w:sz w:val="15"/>
              </w:rPr>
              <w:t>Glycine</w:t>
            </w:r>
            <w:r>
              <w:rPr>
                <w:color w:val="231F20"/>
                <w:spacing w:val="-10"/>
                <w:sz w:val="15"/>
              </w:rPr>
              <w:t> </w:t>
            </w:r>
            <w:r>
              <w:rPr>
                <w:color w:val="231F20"/>
                <w:spacing w:val="-2"/>
                <w:sz w:val="15"/>
              </w:rPr>
              <w:t>amidinotransferase,</w:t>
            </w:r>
            <w:r>
              <w:rPr>
                <w:color w:val="231F20"/>
                <w:spacing w:val="-9"/>
                <w:sz w:val="15"/>
              </w:rPr>
              <w:t> </w:t>
            </w:r>
            <w:r>
              <w:rPr>
                <w:color w:val="231F20"/>
                <w:spacing w:val="-2"/>
                <w:sz w:val="15"/>
              </w:rPr>
              <w:t>mitochondrial</w:t>
            </w:r>
          </w:p>
        </w:tc>
      </w:tr>
      <w:tr>
        <w:trPr>
          <w:trHeight w:val="1608" w:hRule="atLeast"/>
        </w:trPr>
        <w:tc>
          <w:tcPr>
            <w:tcW w:w="354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Neuronal ceroid</w:t>
            </w:r>
            <w:r>
              <w:rPr>
                <w:color w:val="231F20"/>
                <w:spacing w:val="1"/>
                <w:sz w:val="15"/>
              </w:rPr>
              <w:t> </w:t>
            </w:r>
            <w:r>
              <w:rPr>
                <w:color w:val="231F20"/>
                <w:sz w:val="15"/>
              </w:rPr>
              <w:t>lipofuscinosis </w:t>
            </w:r>
            <w:r>
              <w:rPr>
                <w:color w:val="231F20"/>
                <w:spacing w:val="-2"/>
                <w:sz w:val="15"/>
              </w:rPr>
              <w:t>(NCL)</w:t>
            </w:r>
          </w:p>
        </w:tc>
        <w:tc>
          <w:tcPr>
            <w:tcW w:w="1438" w:type="dxa"/>
            <w:tcBorders>
              <w:top w:val="single" w:sz="4" w:space="0" w:color="FFFFFF"/>
              <w:bottom w:val="single" w:sz="4" w:space="0" w:color="FFFFFF"/>
            </w:tcBorders>
            <w:shd w:val="clear" w:color="auto" w:fill="E8F5F1"/>
          </w:tcPr>
          <w:p>
            <w:pPr>
              <w:pStyle w:val="TableParagraph"/>
              <w:spacing w:line="232" w:lineRule="auto" w:before="46"/>
              <w:ind w:left="73" w:right="530"/>
              <w:jc w:val="both"/>
              <w:rPr>
                <w:i/>
                <w:sz w:val="15"/>
              </w:rPr>
            </w:pPr>
            <w:r>
              <w:rPr>
                <w:i/>
                <w:color w:val="231F20"/>
                <w:sz w:val="15"/>
              </w:rPr>
              <w:t>PPT1</w:t>
            </w:r>
            <w:r>
              <w:rPr>
                <w:i/>
                <w:color w:val="231F20"/>
                <w:spacing w:val="-12"/>
                <w:sz w:val="15"/>
              </w:rPr>
              <w:t> </w:t>
            </w:r>
            <w:r>
              <w:rPr>
                <w:i/>
                <w:color w:val="231F20"/>
                <w:sz w:val="15"/>
              </w:rPr>
              <w:t>(CLN1) TPP1</w:t>
            </w:r>
            <w:r>
              <w:rPr>
                <w:i/>
                <w:color w:val="231F20"/>
                <w:spacing w:val="-12"/>
                <w:sz w:val="15"/>
              </w:rPr>
              <w:t> </w:t>
            </w:r>
            <w:r>
              <w:rPr>
                <w:i/>
                <w:color w:val="231F20"/>
                <w:sz w:val="15"/>
              </w:rPr>
              <w:t>(CLN2) </w:t>
            </w:r>
            <w:r>
              <w:rPr>
                <w:i/>
                <w:color w:val="231F20"/>
                <w:spacing w:val="-4"/>
                <w:sz w:val="15"/>
              </w:rPr>
              <w:t>CLN3</w:t>
            </w:r>
          </w:p>
          <w:p>
            <w:pPr>
              <w:pStyle w:val="TableParagraph"/>
              <w:spacing w:line="232" w:lineRule="auto" w:before="2"/>
              <w:ind w:left="73" w:right="986"/>
              <w:rPr>
                <w:i/>
                <w:sz w:val="15"/>
              </w:rPr>
            </w:pPr>
            <w:r>
              <w:rPr>
                <w:i/>
                <w:color w:val="231F20"/>
                <w:spacing w:val="-4"/>
                <w:w w:val="110"/>
                <w:sz w:val="15"/>
              </w:rPr>
              <w:t>CLN5 CLN6</w:t>
            </w:r>
          </w:p>
          <w:p>
            <w:pPr>
              <w:pStyle w:val="TableParagraph"/>
              <w:spacing w:line="232" w:lineRule="auto" w:before="1"/>
              <w:ind w:left="73" w:right="316"/>
              <w:rPr>
                <w:i/>
                <w:sz w:val="15"/>
              </w:rPr>
            </w:pPr>
            <w:r>
              <w:rPr>
                <w:i/>
                <w:color w:val="231F20"/>
                <w:sz w:val="15"/>
              </w:rPr>
              <w:t>MFSD8 </w:t>
            </w:r>
            <w:r>
              <w:rPr>
                <w:i/>
                <w:color w:val="231F20"/>
                <w:sz w:val="15"/>
              </w:rPr>
              <w:t>(CLN7) </w:t>
            </w:r>
            <w:r>
              <w:rPr>
                <w:i/>
                <w:color w:val="231F20"/>
                <w:spacing w:val="-4"/>
                <w:w w:val="110"/>
                <w:sz w:val="15"/>
              </w:rPr>
              <w:t>CLN8</w:t>
            </w:r>
          </w:p>
          <w:p>
            <w:pPr>
              <w:pStyle w:val="TableParagraph"/>
              <w:spacing w:line="232" w:lineRule="auto" w:before="1"/>
              <w:ind w:left="73" w:right="316"/>
              <w:rPr>
                <w:i/>
                <w:sz w:val="15"/>
              </w:rPr>
            </w:pPr>
            <w:r>
              <w:rPr>
                <w:i/>
                <w:color w:val="231F20"/>
                <w:w w:val="105"/>
                <w:sz w:val="15"/>
              </w:rPr>
              <w:t>CTSD (CLN10) </w:t>
            </w:r>
            <w:r>
              <w:rPr>
                <w:i/>
                <w:color w:val="231F20"/>
                <w:sz w:val="15"/>
              </w:rPr>
              <w:t>KCTD7</w:t>
            </w:r>
            <w:r>
              <w:rPr>
                <w:i/>
                <w:color w:val="231F20"/>
                <w:spacing w:val="35"/>
                <w:sz w:val="15"/>
              </w:rPr>
              <w:t> </w:t>
            </w:r>
            <w:r>
              <w:rPr>
                <w:i/>
                <w:color w:val="231F20"/>
                <w:spacing w:val="-2"/>
                <w:sz w:val="15"/>
              </w:rPr>
              <w:t>(CLN14)</w:t>
            </w:r>
          </w:p>
        </w:tc>
        <w:tc>
          <w:tcPr>
            <w:tcW w:w="4779" w:type="dxa"/>
            <w:tcBorders>
              <w:top w:val="single" w:sz="4" w:space="0" w:color="FFFFFF"/>
              <w:bottom w:val="single" w:sz="4" w:space="0" w:color="FFFFFF"/>
            </w:tcBorders>
            <w:shd w:val="clear" w:color="auto" w:fill="E8F5F1"/>
          </w:tcPr>
          <w:p>
            <w:pPr>
              <w:pStyle w:val="TableParagraph"/>
              <w:spacing w:line="172" w:lineRule="exact" w:before="42"/>
              <w:ind w:left="316"/>
              <w:rPr>
                <w:sz w:val="15"/>
              </w:rPr>
            </w:pPr>
            <w:r>
              <w:rPr>
                <w:color w:val="231F20"/>
                <w:spacing w:val="-2"/>
                <w:sz w:val="15"/>
              </w:rPr>
              <w:t>Palmitoyl-protein</w:t>
            </w:r>
            <w:r>
              <w:rPr>
                <w:color w:val="231F20"/>
                <w:spacing w:val="-6"/>
                <w:sz w:val="15"/>
              </w:rPr>
              <w:t> </w:t>
            </w:r>
            <w:r>
              <w:rPr>
                <w:color w:val="231F20"/>
                <w:spacing w:val="-2"/>
                <w:sz w:val="15"/>
              </w:rPr>
              <w:t>thioesterase</w:t>
            </w:r>
            <w:r>
              <w:rPr>
                <w:color w:val="231F20"/>
                <w:spacing w:val="-6"/>
                <w:sz w:val="15"/>
              </w:rPr>
              <w:t> </w:t>
            </w:r>
            <w:r>
              <w:rPr>
                <w:color w:val="231F20"/>
                <w:spacing w:val="-10"/>
                <w:sz w:val="15"/>
              </w:rPr>
              <w:t>1</w:t>
            </w:r>
          </w:p>
          <w:p>
            <w:pPr>
              <w:pStyle w:val="TableParagraph"/>
              <w:spacing w:line="232" w:lineRule="auto" w:before="2"/>
              <w:ind w:left="316" w:right="2405"/>
              <w:rPr>
                <w:sz w:val="15"/>
              </w:rPr>
            </w:pPr>
            <w:r>
              <w:rPr>
                <w:color w:val="231F20"/>
                <w:spacing w:val="-2"/>
                <w:sz w:val="15"/>
              </w:rPr>
              <w:t>Tripeptidyl-peptidase</w:t>
            </w:r>
            <w:r>
              <w:rPr>
                <w:color w:val="231F20"/>
                <w:spacing w:val="-10"/>
                <w:sz w:val="15"/>
              </w:rPr>
              <w:t> </w:t>
            </w:r>
            <w:r>
              <w:rPr>
                <w:color w:val="231F20"/>
                <w:spacing w:val="-2"/>
                <w:sz w:val="15"/>
              </w:rPr>
              <w:t>1 Battenin</w:t>
            </w:r>
          </w:p>
          <w:p>
            <w:pPr>
              <w:pStyle w:val="TableParagraph"/>
              <w:spacing w:line="232" w:lineRule="auto" w:before="1"/>
              <w:ind w:left="316" w:right="1789"/>
              <w:rPr>
                <w:sz w:val="15"/>
              </w:rPr>
            </w:pPr>
            <w:r>
              <w:rPr>
                <w:color w:val="231F20"/>
                <w:sz w:val="15"/>
              </w:rPr>
              <w:t>Ceroid-lipofuscinosis</w:t>
            </w:r>
            <w:r>
              <w:rPr>
                <w:color w:val="231F20"/>
                <w:spacing w:val="-12"/>
                <w:sz w:val="15"/>
              </w:rPr>
              <w:t> </w:t>
            </w:r>
            <w:r>
              <w:rPr>
                <w:color w:val="231F20"/>
                <w:sz w:val="15"/>
              </w:rPr>
              <w:t>neuronal</w:t>
            </w:r>
            <w:r>
              <w:rPr>
                <w:color w:val="231F20"/>
                <w:spacing w:val="-11"/>
                <w:sz w:val="15"/>
              </w:rPr>
              <w:t> </w:t>
            </w:r>
            <w:r>
              <w:rPr>
                <w:color w:val="231F20"/>
                <w:sz w:val="15"/>
              </w:rPr>
              <w:t>protein</w:t>
            </w:r>
            <w:r>
              <w:rPr>
                <w:color w:val="231F20"/>
                <w:spacing w:val="-11"/>
                <w:sz w:val="15"/>
              </w:rPr>
              <w:t> </w:t>
            </w:r>
            <w:r>
              <w:rPr>
                <w:color w:val="231F20"/>
                <w:sz w:val="15"/>
              </w:rPr>
              <w:t>5 Ceroid-lipofuscinosis</w:t>
            </w:r>
            <w:r>
              <w:rPr>
                <w:color w:val="231F20"/>
                <w:spacing w:val="-5"/>
                <w:sz w:val="15"/>
              </w:rPr>
              <w:t> </w:t>
            </w:r>
            <w:r>
              <w:rPr>
                <w:color w:val="231F20"/>
                <w:sz w:val="15"/>
              </w:rPr>
              <w:t>neuronal</w:t>
            </w:r>
            <w:r>
              <w:rPr>
                <w:color w:val="231F20"/>
                <w:spacing w:val="-4"/>
                <w:sz w:val="15"/>
              </w:rPr>
              <w:t> </w:t>
            </w:r>
            <w:r>
              <w:rPr>
                <w:color w:val="231F20"/>
                <w:sz w:val="15"/>
              </w:rPr>
              <w:t>protein</w:t>
            </w:r>
            <w:r>
              <w:rPr>
                <w:color w:val="231F20"/>
                <w:spacing w:val="-4"/>
                <w:sz w:val="15"/>
              </w:rPr>
              <w:t> </w:t>
            </w:r>
            <w:r>
              <w:rPr>
                <w:color w:val="231F20"/>
                <w:spacing w:val="-10"/>
                <w:sz w:val="15"/>
              </w:rPr>
              <w:t>6</w:t>
            </w:r>
          </w:p>
          <w:p>
            <w:pPr>
              <w:pStyle w:val="TableParagraph"/>
              <w:spacing w:line="232" w:lineRule="auto" w:before="1"/>
              <w:ind w:left="316" w:right="654"/>
              <w:rPr>
                <w:sz w:val="15"/>
              </w:rPr>
            </w:pPr>
            <w:r>
              <w:rPr>
                <w:color w:val="231F20"/>
                <w:spacing w:val="-2"/>
                <w:sz w:val="15"/>
              </w:rPr>
              <w:t>Major facilitator superfamily domain-containing protein </w:t>
            </w:r>
            <w:r>
              <w:rPr>
                <w:color w:val="231F20"/>
                <w:spacing w:val="-2"/>
                <w:sz w:val="15"/>
              </w:rPr>
              <w:t>8 </w:t>
            </w:r>
            <w:r>
              <w:rPr>
                <w:color w:val="231F20"/>
                <w:sz w:val="15"/>
              </w:rPr>
              <w:t>Ceroid-lipofuscinosis neuronal protein 8</w:t>
            </w:r>
          </w:p>
          <w:p>
            <w:pPr>
              <w:pStyle w:val="TableParagraph"/>
              <w:spacing w:line="169" w:lineRule="exact"/>
              <w:ind w:left="316"/>
              <w:rPr>
                <w:sz w:val="15"/>
              </w:rPr>
            </w:pPr>
            <w:r>
              <w:rPr>
                <w:color w:val="231F20"/>
                <w:sz w:val="15"/>
              </w:rPr>
              <w:t>Cathepsin</w:t>
            </w:r>
            <w:r>
              <w:rPr>
                <w:color w:val="231F20"/>
                <w:spacing w:val="3"/>
                <w:w w:val="110"/>
                <w:sz w:val="15"/>
              </w:rPr>
              <w:t> </w:t>
            </w:r>
            <w:r>
              <w:rPr>
                <w:color w:val="231F20"/>
                <w:spacing w:val="-10"/>
                <w:w w:val="110"/>
                <w:sz w:val="15"/>
              </w:rPr>
              <w:t>D</w:t>
            </w:r>
          </w:p>
          <w:p>
            <w:pPr>
              <w:pStyle w:val="TableParagraph"/>
              <w:spacing w:line="172" w:lineRule="exact"/>
              <w:ind w:left="316"/>
              <w:rPr>
                <w:sz w:val="15"/>
              </w:rPr>
            </w:pPr>
            <w:r>
              <w:rPr>
                <w:color w:val="231F20"/>
                <w:sz w:val="15"/>
              </w:rPr>
              <w:t>BTB/POZ</w:t>
            </w:r>
            <w:r>
              <w:rPr>
                <w:color w:val="231F20"/>
                <w:spacing w:val="3"/>
                <w:sz w:val="15"/>
              </w:rPr>
              <w:t> </w:t>
            </w:r>
            <w:r>
              <w:rPr>
                <w:color w:val="231F20"/>
                <w:sz w:val="15"/>
              </w:rPr>
              <w:t>domain-containing</w:t>
            </w:r>
            <w:r>
              <w:rPr>
                <w:color w:val="231F20"/>
                <w:spacing w:val="4"/>
                <w:sz w:val="15"/>
              </w:rPr>
              <w:t> </w:t>
            </w:r>
            <w:r>
              <w:rPr>
                <w:color w:val="231F20"/>
                <w:sz w:val="15"/>
              </w:rPr>
              <w:t>protein</w:t>
            </w:r>
            <w:r>
              <w:rPr>
                <w:color w:val="231F20"/>
                <w:spacing w:val="4"/>
                <w:sz w:val="15"/>
              </w:rPr>
              <w:t> </w:t>
            </w:r>
            <w:r>
              <w:rPr>
                <w:color w:val="231F20"/>
                <w:spacing w:val="-2"/>
                <w:sz w:val="15"/>
              </w:rPr>
              <w:t>KCTD7</w:t>
            </w:r>
          </w:p>
        </w:tc>
      </w:tr>
      <w:tr>
        <w:trPr>
          <w:trHeight w:val="252" w:hRule="atLeast"/>
        </w:trPr>
        <w:tc>
          <w:tcPr>
            <w:tcW w:w="3549"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z w:val="15"/>
              </w:rPr>
              <w:t>Adenosuccinate</w:t>
            </w:r>
            <w:r>
              <w:rPr>
                <w:color w:val="231F20"/>
                <w:spacing w:val="-1"/>
                <w:sz w:val="15"/>
              </w:rPr>
              <w:t> </w:t>
            </w:r>
            <w:r>
              <w:rPr>
                <w:color w:val="231F20"/>
                <w:sz w:val="15"/>
              </w:rPr>
              <w:t>lyase</w:t>
            </w:r>
            <w:r>
              <w:rPr>
                <w:color w:val="231F20"/>
                <w:spacing w:val="-1"/>
                <w:sz w:val="15"/>
              </w:rPr>
              <w:t> </w:t>
            </w:r>
            <w:r>
              <w:rPr>
                <w:color w:val="231F20"/>
                <w:spacing w:val="-2"/>
                <w:sz w:val="15"/>
              </w:rPr>
              <w:t>deficiency</w:t>
            </w:r>
          </w:p>
        </w:tc>
        <w:tc>
          <w:tcPr>
            <w:tcW w:w="1438" w:type="dxa"/>
            <w:tcBorders>
              <w:top w:val="single" w:sz="4" w:space="0" w:color="FFFFFF"/>
              <w:bottom w:val="single" w:sz="4" w:space="0" w:color="FFFFFF"/>
            </w:tcBorders>
            <w:shd w:val="clear" w:color="auto" w:fill="E8F5F1"/>
          </w:tcPr>
          <w:p>
            <w:pPr>
              <w:pStyle w:val="TableParagraph"/>
              <w:spacing w:before="42"/>
              <w:ind w:left="72"/>
              <w:rPr>
                <w:i/>
                <w:sz w:val="15"/>
              </w:rPr>
            </w:pPr>
            <w:r>
              <w:rPr>
                <w:i/>
                <w:color w:val="231F20"/>
                <w:spacing w:val="-4"/>
                <w:w w:val="110"/>
                <w:sz w:val="15"/>
              </w:rPr>
              <w:t>ADSL</w:t>
            </w:r>
          </w:p>
        </w:tc>
        <w:tc>
          <w:tcPr>
            <w:tcW w:w="4779" w:type="dxa"/>
            <w:tcBorders>
              <w:top w:val="single" w:sz="4" w:space="0" w:color="FFFFFF"/>
              <w:bottom w:val="single" w:sz="4" w:space="0" w:color="FFFFFF"/>
            </w:tcBorders>
            <w:shd w:val="clear" w:color="auto" w:fill="E8F5F1"/>
          </w:tcPr>
          <w:p>
            <w:pPr>
              <w:pStyle w:val="TableParagraph"/>
              <w:spacing w:before="42"/>
              <w:ind w:left="316"/>
              <w:rPr>
                <w:sz w:val="15"/>
              </w:rPr>
            </w:pPr>
            <w:r>
              <w:rPr>
                <w:color w:val="231F20"/>
                <w:sz w:val="15"/>
              </w:rPr>
              <w:t>Adenylosuccinate</w:t>
            </w:r>
            <w:r>
              <w:rPr>
                <w:color w:val="231F20"/>
                <w:spacing w:val="1"/>
                <w:sz w:val="15"/>
              </w:rPr>
              <w:t> </w:t>
            </w:r>
            <w:r>
              <w:rPr>
                <w:color w:val="231F20"/>
                <w:spacing w:val="-4"/>
                <w:sz w:val="15"/>
              </w:rPr>
              <w:t>lyase</w:t>
            </w:r>
          </w:p>
        </w:tc>
      </w:tr>
      <w:tr>
        <w:trPr>
          <w:trHeight w:val="252" w:hRule="atLeast"/>
        </w:trPr>
        <w:tc>
          <w:tcPr>
            <w:tcW w:w="3549"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pacing w:val="-2"/>
                <w:sz w:val="15"/>
              </w:rPr>
              <w:t>Cerebral</w:t>
            </w:r>
            <w:r>
              <w:rPr>
                <w:color w:val="231F20"/>
                <w:sz w:val="15"/>
              </w:rPr>
              <w:t> </w:t>
            </w:r>
            <w:r>
              <w:rPr>
                <w:color w:val="231F20"/>
                <w:spacing w:val="-2"/>
                <w:sz w:val="15"/>
              </w:rPr>
              <w:t>folate</w:t>
            </w:r>
            <w:r>
              <w:rPr>
                <w:color w:val="231F20"/>
                <w:sz w:val="15"/>
              </w:rPr>
              <w:t> </w:t>
            </w:r>
            <w:r>
              <w:rPr>
                <w:color w:val="231F20"/>
                <w:spacing w:val="-2"/>
                <w:sz w:val="15"/>
              </w:rPr>
              <w:t>deficiency</w:t>
            </w:r>
          </w:p>
        </w:tc>
        <w:tc>
          <w:tcPr>
            <w:tcW w:w="1438" w:type="dxa"/>
            <w:tcBorders>
              <w:top w:val="single" w:sz="4" w:space="0" w:color="FFFFFF"/>
              <w:bottom w:val="single" w:sz="4" w:space="0" w:color="FFFFFF"/>
            </w:tcBorders>
            <w:shd w:val="clear" w:color="auto" w:fill="E8F5F1"/>
          </w:tcPr>
          <w:p>
            <w:pPr>
              <w:pStyle w:val="TableParagraph"/>
              <w:spacing w:before="42"/>
              <w:ind w:left="72"/>
              <w:rPr>
                <w:i/>
                <w:sz w:val="15"/>
              </w:rPr>
            </w:pPr>
            <w:r>
              <w:rPr>
                <w:i/>
                <w:color w:val="231F20"/>
                <w:spacing w:val="-2"/>
                <w:w w:val="105"/>
                <w:sz w:val="15"/>
              </w:rPr>
              <w:t>FOLR1</w:t>
            </w:r>
          </w:p>
        </w:tc>
        <w:tc>
          <w:tcPr>
            <w:tcW w:w="4779" w:type="dxa"/>
            <w:tcBorders>
              <w:top w:val="single" w:sz="4" w:space="0" w:color="FFFFFF"/>
              <w:bottom w:val="single" w:sz="4" w:space="0" w:color="FFFFFF"/>
            </w:tcBorders>
            <w:shd w:val="clear" w:color="auto" w:fill="E8F5F1"/>
          </w:tcPr>
          <w:p>
            <w:pPr>
              <w:pStyle w:val="TableParagraph"/>
              <w:spacing w:before="42"/>
              <w:ind w:left="316"/>
              <w:rPr>
                <w:sz w:val="15"/>
              </w:rPr>
            </w:pPr>
            <w:r>
              <w:rPr>
                <w:color w:val="231F20"/>
                <w:sz w:val="15"/>
              </w:rPr>
              <w:t>Folate</w:t>
            </w:r>
            <w:r>
              <w:rPr>
                <w:color w:val="231F20"/>
                <w:spacing w:val="-10"/>
                <w:sz w:val="15"/>
              </w:rPr>
              <w:t> </w:t>
            </w:r>
            <w:r>
              <w:rPr>
                <w:color w:val="231F20"/>
                <w:sz w:val="15"/>
              </w:rPr>
              <w:t>receptor</w:t>
            </w:r>
            <w:r>
              <w:rPr>
                <w:color w:val="231F20"/>
                <w:spacing w:val="-9"/>
                <w:sz w:val="15"/>
              </w:rPr>
              <w:t> </w:t>
            </w:r>
            <w:r>
              <w:rPr>
                <w:color w:val="231F20"/>
                <w:spacing w:val="-2"/>
                <w:sz w:val="15"/>
              </w:rPr>
              <w:t>alpha</w:t>
            </w:r>
          </w:p>
        </w:tc>
      </w:tr>
      <w:tr>
        <w:trPr>
          <w:trHeight w:val="422" w:hRule="atLeast"/>
        </w:trPr>
        <w:tc>
          <w:tcPr>
            <w:tcW w:w="3549" w:type="dxa"/>
            <w:gridSpan w:val="2"/>
            <w:tcBorders>
              <w:top w:val="single" w:sz="4" w:space="0" w:color="FFFFFF"/>
              <w:bottom w:val="single" w:sz="4" w:space="0" w:color="FFFFFF"/>
            </w:tcBorders>
            <w:shd w:val="clear" w:color="auto" w:fill="E8F5F1"/>
          </w:tcPr>
          <w:p>
            <w:pPr>
              <w:pStyle w:val="TableParagraph"/>
              <w:spacing w:line="230" w:lineRule="auto" w:before="48"/>
              <w:ind w:left="185" w:right="1143" w:hanging="112"/>
              <w:rPr>
                <w:sz w:val="15"/>
              </w:rPr>
            </w:pPr>
            <w:r>
              <w:rPr>
                <w:color w:val="231F20"/>
                <w:sz w:val="15"/>
              </w:rPr>
              <w:t>Epilepsy</w:t>
            </w:r>
            <w:r>
              <w:rPr>
                <w:color w:val="231F20"/>
                <w:spacing w:val="-12"/>
                <w:sz w:val="15"/>
              </w:rPr>
              <w:t> </w:t>
            </w:r>
            <w:r>
              <w:rPr>
                <w:color w:val="231F20"/>
                <w:sz w:val="15"/>
              </w:rPr>
              <w:t>with</w:t>
            </w:r>
            <w:r>
              <w:rPr>
                <w:color w:val="231F20"/>
                <w:spacing w:val="-11"/>
                <w:sz w:val="15"/>
              </w:rPr>
              <w:t> </w:t>
            </w:r>
            <w:r>
              <w:rPr>
                <w:color w:val="231F20"/>
                <w:sz w:val="15"/>
              </w:rPr>
              <w:t>variable</w:t>
            </w:r>
            <w:r>
              <w:rPr>
                <w:color w:val="231F20"/>
                <w:spacing w:val="-11"/>
                <w:sz w:val="15"/>
              </w:rPr>
              <w:t> </w:t>
            </w:r>
            <w:r>
              <w:rPr>
                <w:color w:val="231F20"/>
                <w:sz w:val="15"/>
              </w:rPr>
              <w:t>learning</w:t>
            </w:r>
            <w:r>
              <w:rPr>
                <w:color w:val="231F20"/>
                <w:spacing w:val="-12"/>
                <w:sz w:val="15"/>
              </w:rPr>
              <w:t> </w:t>
            </w:r>
            <w:r>
              <w:rPr>
                <w:color w:val="231F20"/>
                <w:sz w:val="15"/>
              </w:rPr>
              <w:t>and behavioral disorders</w:t>
            </w:r>
          </w:p>
        </w:tc>
        <w:tc>
          <w:tcPr>
            <w:tcW w:w="1438" w:type="dxa"/>
            <w:tcBorders>
              <w:top w:val="single" w:sz="4" w:space="0" w:color="FFFFFF"/>
              <w:bottom w:val="single" w:sz="4" w:space="0" w:color="FFFFFF"/>
            </w:tcBorders>
            <w:shd w:val="clear" w:color="auto" w:fill="E8F5F1"/>
          </w:tcPr>
          <w:p>
            <w:pPr>
              <w:pStyle w:val="TableParagraph"/>
              <w:spacing w:line="232" w:lineRule="auto" w:before="46"/>
              <w:ind w:left="73" w:right="642" w:hanging="1"/>
              <w:rPr>
                <w:i/>
                <w:sz w:val="15"/>
              </w:rPr>
            </w:pPr>
            <w:r>
              <w:rPr>
                <w:i/>
                <w:color w:val="231F20"/>
                <w:spacing w:val="-2"/>
                <w:sz w:val="15"/>
              </w:rPr>
              <w:t>GRIN2A </w:t>
            </w:r>
            <w:r>
              <w:rPr>
                <w:i/>
                <w:color w:val="231F20"/>
                <w:spacing w:val="-4"/>
                <w:w w:val="110"/>
                <w:sz w:val="15"/>
              </w:rPr>
              <w:t>SYN1</w:t>
            </w:r>
          </w:p>
        </w:tc>
        <w:tc>
          <w:tcPr>
            <w:tcW w:w="4779" w:type="dxa"/>
            <w:tcBorders>
              <w:top w:val="single" w:sz="4" w:space="0" w:color="FFFFFF"/>
              <w:bottom w:val="single" w:sz="4" w:space="0" w:color="FFFFFF"/>
            </w:tcBorders>
            <w:shd w:val="clear" w:color="auto" w:fill="E8F5F1"/>
          </w:tcPr>
          <w:p>
            <w:pPr>
              <w:pStyle w:val="TableParagraph"/>
              <w:spacing w:line="232" w:lineRule="auto" w:before="46"/>
              <w:ind w:left="317" w:right="98" w:hanging="1"/>
              <w:rPr>
                <w:sz w:val="15"/>
              </w:rPr>
            </w:pPr>
            <w:r>
              <w:rPr>
                <w:color w:val="231F20"/>
                <w:sz w:val="15"/>
              </w:rPr>
              <w:t>Glutamate</w:t>
            </w:r>
            <w:r>
              <w:rPr>
                <w:color w:val="231F20"/>
                <w:spacing w:val="-6"/>
                <w:sz w:val="15"/>
              </w:rPr>
              <w:t> </w:t>
            </w:r>
            <w:r>
              <w:rPr>
                <w:color w:val="231F20"/>
                <w:sz w:val="15"/>
              </w:rPr>
              <w:t>receptor</w:t>
            </w:r>
            <w:r>
              <w:rPr>
                <w:color w:val="231F20"/>
                <w:spacing w:val="-6"/>
                <w:sz w:val="15"/>
              </w:rPr>
              <w:t> </w:t>
            </w:r>
            <w:r>
              <w:rPr>
                <w:color w:val="231F20"/>
                <w:sz w:val="15"/>
              </w:rPr>
              <w:t>ionotropic,</w:t>
            </w:r>
            <w:r>
              <w:rPr>
                <w:color w:val="231F20"/>
                <w:spacing w:val="-6"/>
                <w:sz w:val="15"/>
              </w:rPr>
              <w:t> </w:t>
            </w:r>
            <w:r>
              <w:rPr>
                <w:i/>
                <w:color w:val="231F20"/>
                <w:sz w:val="15"/>
              </w:rPr>
              <w:t>N</w:t>
            </w:r>
            <w:r>
              <w:rPr>
                <w:color w:val="231F20"/>
                <w:sz w:val="15"/>
              </w:rPr>
              <w:t>-methyl-</w:t>
            </w:r>
            <w:r>
              <w:rPr>
                <w:color w:val="231F20"/>
                <w:sz w:val="12"/>
              </w:rPr>
              <w:t>D</w:t>
            </w:r>
            <w:r>
              <w:rPr>
                <w:color w:val="231F20"/>
                <w:sz w:val="15"/>
              </w:rPr>
              <w:t>-aspartate</w:t>
            </w:r>
            <w:r>
              <w:rPr>
                <w:color w:val="231F20"/>
                <w:spacing w:val="-6"/>
                <w:sz w:val="15"/>
              </w:rPr>
              <w:t> </w:t>
            </w:r>
            <w:r>
              <w:rPr>
                <w:color w:val="231F20"/>
                <w:sz w:val="15"/>
              </w:rPr>
              <w:t>(NMDA)</w:t>
            </w:r>
            <w:r>
              <w:rPr>
                <w:color w:val="231F20"/>
                <w:spacing w:val="-6"/>
                <w:sz w:val="15"/>
              </w:rPr>
              <w:t> </w:t>
            </w:r>
            <w:r>
              <w:rPr>
                <w:color w:val="231F20"/>
                <w:sz w:val="15"/>
              </w:rPr>
              <w:t>2A </w:t>
            </w:r>
            <w:r>
              <w:rPr>
                <w:color w:val="231F20"/>
                <w:spacing w:val="-2"/>
                <w:sz w:val="15"/>
              </w:rPr>
              <w:t>Synapsin-1</w:t>
            </w:r>
          </w:p>
        </w:tc>
      </w:tr>
      <w:tr>
        <w:trPr>
          <w:trHeight w:val="252" w:hRule="atLeast"/>
        </w:trPr>
        <w:tc>
          <w:tcPr>
            <w:tcW w:w="354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17q21.31</w:t>
            </w:r>
            <w:r>
              <w:rPr>
                <w:color w:val="231F20"/>
                <w:spacing w:val="3"/>
                <w:sz w:val="15"/>
              </w:rPr>
              <w:t> </w:t>
            </w:r>
            <w:r>
              <w:rPr>
                <w:color w:val="231F20"/>
                <w:spacing w:val="-2"/>
                <w:sz w:val="15"/>
              </w:rPr>
              <w:t>microdeletion</w:t>
            </w:r>
            <w:r>
              <w:rPr>
                <w:color w:val="231F20"/>
                <w:spacing w:val="3"/>
                <w:sz w:val="15"/>
              </w:rPr>
              <w:t> </w:t>
            </w:r>
            <w:r>
              <w:rPr>
                <w:color w:val="231F20"/>
                <w:spacing w:val="-2"/>
                <w:sz w:val="15"/>
              </w:rPr>
              <w:t>syndrome</w:t>
            </w:r>
          </w:p>
        </w:tc>
        <w:tc>
          <w:tcPr>
            <w:tcW w:w="1438" w:type="dxa"/>
            <w:tcBorders>
              <w:top w:val="single" w:sz="4" w:space="0" w:color="FFFFFF"/>
              <w:bottom w:val="single" w:sz="4" w:space="0" w:color="FFFFFF"/>
            </w:tcBorders>
            <w:shd w:val="clear" w:color="auto" w:fill="E8F5F1"/>
          </w:tcPr>
          <w:p>
            <w:pPr>
              <w:pStyle w:val="TableParagraph"/>
              <w:spacing w:before="42"/>
              <w:ind w:left="73"/>
              <w:rPr>
                <w:i/>
                <w:sz w:val="15"/>
              </w:rPr>
            </w:pPr>
            <w:r>
              <w:rPr>
                <w:i/>
                <w:color w:val="231F20"/>
                <w:spacing w:val="-2"/>
                <w:w w:val="110"/>
                <w:sz w:val="15"/>
              </w:rPr>
              <w:t>KANSL1</w:t>
            </w:r>
          </w:p>
        </w:tc>
        <w:tc>
          <w:tcPr>
            <w:tcW w:w="4779" w:type="dxa"/>
            <w:tcBorders>
              <w:top w:val="single" w:sz="4" w:space="0" w:color="FFFFFF"/>
              <w:bottom w:val="single" w:sz="4" w:space="0" w:color="FFFFFF"/>
            </w:tcBorders>
            <w:shd w:val="clear" w:color="auto" w:fill="E8F5F1"/>
          </w:tcPr>
          <w:p>
            <w:pPr>
              <w:pStyle w:val="TableParagraph"/>
              <w:spacing w:before="42"/>
              <w:ind w:left="317"/>
              <w:rPr>
                <w:sz w:val="15"/>
              </w:rPr>
            </w:pPr>
            <w:r>
              <w:rPr>
                <w:color w:val="231F20"/>
                <w:sz w:val="15"/>
              </w:rPr>
              <w:t>KAT8</w:t>
            </w:r>
            <w:r>
              <w:rPr>
                <w:color w:val="231F20"/>
                <w:spacing w:val="-8"/>
                <w:sz w:val="15"/>
              </w:rPr>
              <w:t> </w:t>
            </w:r>
            <w:r>
              <w:rPr>
                <w:color w:val="231F20"/>
                <w:sz w:val="15"/>
              </w:rPr>
              <w:t>regulatory</w:t>
            </w:r>
            <w:r>
              <w:rPr>
                <w:color w:val="231F20"/>
                <w:spacing w:val="-7"/>
                <w:sz w:val="15"/>
              </w:rPr>
              <w:t> </w:t>
            </w:r>
            <w:r>
              <w:rPr>
                <w:color w:val="231F20"/>
                <w:sz w:val="15"/>
              </w:rPr>
              <w:t>nonspecific</w:t>
            </w:r>
            <w:r>
              <w:rPr>
                <w:color w:val="231F20"/>
                <w:spacing w:val="-7"/>
                <w:sz w:val="15"/>
              </w:rPr>
              <w:t> </w:t>
            </w:r>
            <w:r>
              <w:rPr>
                <w:color w:val="231F20"/>
                <w:sz w:val="15"/>
              </w:rPr>
              <w:t>lethal</w:t>
            </w:r>
            <w:r>
              <w:rPr>
                <w:color w:val="231F20"/>
                <w:spacing w:val="-8"/>
                <w:sz w:val="15"/>
              </w:rPr>
              <w:t> </w:t>
            </w:r>
            <w:r>
              <w:rPr>
                <w:color w:val="231F20"/>
                <w:sz w:val="15"/>
              </w:rPr>
              <w:t>(NSL)</w:t>
            </w:r>
            <w:r>
              <w:rPr>
                <w:color w:val="231F20"/>
                <w:spacing w:val="-7"/>
                <w:sz w:val="15"/>
              </w:rPr>
              <w:t> </w:t>
            </w:r>
            <w:r>
              <w:rPr>
                <w:color w:val="231F20"/>
                <w:sz w:val="15"/>
              </w:rPr>
              <w:t>complex</w:t>
            </w:r>
            <w:r>
              <w:rPr>
                <w:color w:val="231F20"/>
                <w:spacing w:val="-7"/>
                <w:sz w:val="15"/>
              </w:rPr>
              <w:t> </w:t>
            </w:r>
            <w:r>
              <w:rPr>
                <w:color w:val="231F20"/>
                <w:sz w:val="15"/>
              </w:rPr>
              <w:t>subunit</w:t>
            </w:r>
            <w:r>
              <w:rPr>
                <w:color w:val="231F20"/>
                <w:spacing w:val="-8"/>
                <w:sz w:val="15"/>
              </w:rPr>
              <w:t> </w:t>
            </w:r>
            <w:r>
              <w:rPr>
                <w:color w:val="231F20"/>
                <w:spacing w:val="-10"/>
                <w:sz w:val="15"/>
              </w:rPr>
              <w:t>1</w:t>
            </w:r>
          </w:p>
        </w:tc>
      </w:tr>
      <w:tr>
        <w:trPr>
          <w:trHeight w:val="415" w:hRule="atLeast"/>
        </w:trPr>
        <w:tc>
          <w:tcPr>
            <w:tcW w:w="3549" w:type="dxa"/>
            <w:gridSpan w:val="2"/>
            <w:tcBorders>
              <w:top w:val="single" w:sz="4" w:space="0" w:color="FFFFFF"/>
              <w:bottom w:val="single" w:sz="8" w:space="0" w:color="231F20"/>
            </w:tcBorders>
            <w:shd w:val="clear" w:color="auto" w:fill="E8F5F1"/>
          </w:tcPr>
          <w:p>
            <w:pPr>
              <w:pStyle w:val="TableParagraph"/>
              <w:spacing w:line="230" w:lineRule="auto" w:before="48"/>
              <w:ind w:left="186" w:right="282" w:hanging="112"/>
              <w:rPr>
                <w:sz w:val="15"/>
              </w:rPr>
            </w:pPr>
            <w:r>
              <w:rPr>
                <w:color w:val="231F20"/>
                <w:sz w:val="15"/>
              </w:rPr>
              <w:t>Microcephaly with early-onset intractable seizures</w:t>
            </w:r>
            <w:r>
              <w:rPr>
                <w:color w:val="231F20"/>
                <w:spacing w:val="-7"/>
                <w:sz w:val="15"/>
              </w:rPr>
              <w:t> </w:t>
            </w:r>
            <w:r>
              <w:rPr>
                <w:color w:val="231F20"/>
                <w:sz w:val="15"/>
              </w:rPr>
              <w:t>and</w:t>
            </w:r>
            <w:r>
              <w:rPr>
                <w:color w:val="231F20"/>
                <w:spacing w:val="-7"/>
                <w:sz w:val="15"/>
              </w:rPr>
              <w:t> </w:t>
            </w:r>
            <w:r>
              <w:rPr>
                <w:color w:val="231F20"/>
                <w:sz w:val="15"/>
              </w:rPr>
              <w:t>developmental</w:t>
            </w:r>
            <w:r>
              <w:rPr>
                <w:color w:val="231F20"/>
                <w:spacing w:val="-7"/>
                <w:sz w:val="15"/>
              </w:rPr>
              <w:t> </w:t>
            </w:r>
            <w:r>
              <w:rPr>
                <w:color w:val="231F20"/>
                <w:sz w:val="15"/>
              </w:rPr>
              <w:t>delay</w:t>
            </w:r>
            <w:r>
              <w:rPr>
                <w:color w:val="231F20"/>
                <w:spacing w:val="-7"/>
                <w:sz w:val="15"/>
              </w:rPr>
              <w:t> </w:t>
            </w:r>
            <w:r>
              <w:rPr>
                <w:color w:val="231F20"/>
                <w:sz w:val="15"/>
              </w:rPr>
              <w:t>(MCSZ)</w:t>
            </w:r>
          </w:p>
        </w:tc>
        <w:tc>
          <w:tcPr>
            <w:tcW w:w="1438" w:type="dxa"/>
            <w:tcBorders>
              <w:top w:val="single" w:sz="4" w:space="0" w:color="FFFFFF"/>
              <w:bottom w:val="single" w:sz="8" w:space="0" w:color="231F20"/>
            </w:tcBorders>
            <w:shd w:val="clear" w:color="auto" w:fill="E8F5F1"/>
          </w:tcPr>
          <w:p>
            <w:pPr>
              <w:pStyle w:val="TableParagraph"/>
              <w:spacing w:before="42"/>
              <w:ind w:left="73"/>
              <w:rPr>
                <w:i/>
                <w:sz w:val="15"/>
              </w:rPr>
            </w:pPr>
            <w:r>
              <w:rPr>
                <w:i/>
                <w:color w:val="231F20"/>
                <w:spacing w:val="-4"/>
                <w:w w:val="110"/>
                <w:sz w:val="15"/>
              </w:rPr>
              <w:t>PNKP</w:t>
            </w:r>
          </w:p>
        </w:tc>
        <w:tc>
          <w:tcPr>
            <w:tcW w:w="4779" w:type="dxa"/>
            <w:tcBorders>
              <w:top w:val="single" w:sz="4" w:space="0" w:color="FFFFFF"/>
              <w:bottom w:val="single" w:sz="8" w:space="0" w:color="231F20"/>
            </w:tcBorders>
            <w:shd w:val="clear" w:color="auto" w:fill="E8F5F1"/>
          </w:tcPr>
          <w:p>
            <w:pPr>
              <w:pStyle w:val="TableParagraph"/>
              <w:spacing w:before="42"/>
              <w:ind w:left="317"/>
              <w:rPr>
                <w:sz w:val="15"/>
              </w:rPr>
            </w:pPr>
            <w:r>
              <w:rPr>
                <w:color w:val="231F20"/>
                <w:spacing w:val="-2"/>
                <w:sz w:val="15"/>
              </w:rPr>
              <w:t>Bifunctional</w:t>
            </w:r>
            <w:r>
              <w:rPr>
                <w:color w:val="231F20"/>
                <w:spacing w:val="5"/>
                <w:sz w:val="15"/>
              </w:rPr>
              <w:t> </w:t>
            </w:r>
            <w:r>
              <w:rPr>
                <w:color w:val="231F20"/>
                <w:spacing w:val="-2"/>
                <w:sz w:val="15"/>
              </w:rPr>
              <w:t>polynucleotide</w:t>
            </w:r>
            <w:r>
              <w:rPr>
                <w:color w:val="231F20"/>
                <w:spacing w:val="6"/>
                <w:sz w:val="15"/>
              </w:rPr>
              <w:t> </w:t>
            </w:r>
            <w:r>
              <w:rPr>
                <w:color w:val="231F20"/>
                <w:spacing w:val="-2"/>
                <w:sz w:val="15"/>
              </w:rPr>
              <w:t>phosphatase/kinase</w:t>
            </w:r>
          </w:p>
        </w:tc>
      </w:tr>
    </w:tbl>
    <w:p>
      <w:pPr>
        <w:pStyle w:val="BodyText"/>
        <w:spacing w:before="79"/>
        <w:ind w:left="486" w:right="705"/>
      </w:pPr>
      <w:r>
        <w:rPr>
          <w:color w:val="231F20"/>
        </w:rPr>
        <w:t>*Most of these genes can be tested for through commercially available targeted single-gene sequencing or through commercially available gene panels or though</w:t>
      </w:r>
      <w:r>
        <w:rPr>
          <w:color w:val="231F20"/>
          <w:spacing w:val="40"/>
        </w:rPr>
        <w:t> </w:t>
      </w:r>
      <w:r>
        <w:rPr>
          <w:color w:val="231F20"/>
        </w:rPr>
        <w:t>exome sequencing.</w:t>
      </w:r>
    </w:p>
    <w:p>
      <w:pPr>
        <w:pStyle w:val="BodyText"/>
        <w:spacing w:before="170"/>
        <w:rPr>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1"/>
        <w:gridCol w:w="2400"/>
        <w:gridCol w:w="6192"/>
      </w:tblGrid>
      <w:tr>
        <w:trPr>
          <w:trHeight w:val="354" w:hRule="atLeast"/>
        </w:trPr>
        <w:tc>
          <w:tcPr>
            <w:tcW w:w="1171" w:type="dxa"/>
            <w:tcBorders>
              <w:right w:val="single" w:sz="8" w:space="0" w:color="FFFFFF"/>
            </w:tcBorders>
            <w:shd w:val="clear" w:color="auto" w:fill="231F20"/>
          </w:tcPr>
          <w:p>
            <w:pPr>
              <w:pStyle w:val="TableParagraph"/>
              <w:spacing w:before="89"/>
              <w:ind w:left="135"/>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5</w:t>
            </w:r>
          </w:p>
        </w:tc>
        <w:tc>
          <w:tcPr>
            <w:tcW w:w="8592" w:type="dxa"/>
            <w:gridSpan w:val="2"/>
            <w:tcBorders>
              <w:left w:val="single" w:sz="8" w:space="0" w:color="FFFFFF"/>
            </w:tcBorders>
            <w:shd w:val="clear" w:color="auto" w:fill="231F20"/>
          </w:tcPr>
          <w:p>
            <w:pPr>
              <w:pStyle w:val="TableParagraph"/>
              <w:spacing w:before="89"/>
              <w:ind w:left="74"/>
              <w:rPr>
                <w:sz w:val="16"/>
              </w:rPr>
            </w:pPr>
            <w:r>
              <w:rPr>
                <w:color w:val="FFFFFF"/>
                <w:sz w:val="16"/>
              </w:rPr>
              <w:t>Childhood</w:t>
            </w:r>
            <w:r>
              <w:rPr>
                <w:color w:val="FFFFFF"/>
                <w:spacing w:val="49"/>
                <w:sz w:val="16"/>
              </w:rPr>
              <w:t> </w:t>
            </w:r>
            <w:r>
              <w:rPr>
                <w:color w:val="FFFFFF"/>
                <w:sz w:val="16"/>
              </w:rPr>
              <w:t>Epileptic</w:t>
            </w:r>
            <w:r>
              <w:rPr>
                <w:color w:val="FFFFFF"/>
                <w:spacing w:val="50"/>
                <w:sz w:val="16"/>
              </w:rPr>
              <w:t> </w:t>
            </w:r>
            <w:r>
              <w:rPr>
                <w:color w:val="FFFFFF"/>
                <w:sz w:val="16"/>
              </w:rPr>
              <w:t>Syndromes</w:t>
            </w:r>
            <w:r>
              <w:rPr>
                <w:color w:val="FFFFFF"/>
                <w:spacing w:val="49"/>
                <w:sz w:val="16"/>
              </w:rPr>
              <w:t> </w:t>
            </w:r>
            <w:r>
              <w:rPr>
                <w:color w:val="FFFFFF"/>
                <w:sz w:val="16"/>
              </w:rPr>
              <w:t>with</w:t>
            </w:r>
            <w:r>
              <w:rPr>
                <w:color w:val="FFFFFF"/>
                <w:spacing w:val="50"/>
                <w:sz w:val="16"/>
              </w:rPr>
              <w:t> </w:t>
            </w:r>
            <w:r>
              <w:rPr>
                <w:color w:val="FFFFFF"/>
                <w:sz w:val="16"/>
              </w:rPr>
              <w:t>Generally</w:t>
            </w:r>
            <w:r>
              <w:rPr>
                <w:color w:val="FFFFFF"/>
                <w:spacing w:val="50"/>
                <w:sz w:val="16"/>
              </w:rPr>
              <w:t> </w:t>
            </w:r>
            <w:r>
              <w:rPr>
                <w:color w:val="FFFFFF"/>
                <w:sz w:val="16"/>
              </w:rPr>
              <w:t>Good</w:t>
            </w:r>
            <w:r>
              <w:rPr>
                <w:color w:val="FFFFFF"/>
                <w:spacing w:val="49"/>
                <w:sz w:val="16"/>
              </w:rPr>
              <w:t> </w:t>
            </w:r>
            <w:r>
              <w:rPr>
                <w:color w:val="FFFFFF"/>
                <w:spacing w:val="-2"/>
                <w:sz w:val="16"/>
              </w:rPr>
              <w:t>Prognosis</w:t>
            </w:r>
          </w:p>
        </w:tc>
      </w:tr>
      <w:tr>
        <w:trPr>
          <w:trHeight w:val="276" w:hRule="atLeast"/>
        </w:trPr>
        <w:tc>
          <w:tcPr>
            <w:tcW w:w="3571" w:type="dxa"/>
            <w:gridSpan w:val="2"/>
            <w:tcBorders>
              <w:bottom w:val="single" w:sz="4" w:space="0" w:color="231F20"/>
            </w:tcBorders>
            <w:shd w:val="clear" w:color="auto" w:fill="E8F5F1"/>
          </w:tcPr>
          <w:p>
            <w:pPr>
              <w:pStyle w:val="TableParagraph"/>
              <w:spacing w:before="66"/>
              <w:ind w:left="98"/>
              <w:rPr>
                <w:b/>
                <w:sz w:val="15"/>
              </w:rPr>
            </w:pPr>
            <w:r>
              <w:rPr>
                <w:b/>
                <w:color w:val="231F20"/>
                <w:spacing w:val="-2"/>
                <w:w w:val="115"/>
                <w:sz w:val="15"/>
              </w:rPr>
              <w:t>SYNDROME</w:t>
            </w:r>
          </w:p>
        </w:tc>
        <w:tc>
          <w:tcPr>
            <w:tcW w:w="6192" w:type="dxa"/>
            <w:tcBorders>
              <w:bottom w:val="single" w:sz="4" w:space="0" w:color="231F20"/>
            </w:tcBorders>
            <w:shd w:val="clear" w:color="auto" w:fill="E8F5F1"/>
          </w:tcPr>
          <w:p>
            <w:pPr>
              <w:pStyle w:val="TableParagraph"/>
              <w:spacing w:before="66"/>
              <w:ind w:left="293"/>
              <w:jc w:val="center"/>
              <w:rPr>
                <w:b/>
                <w:sz w:val="15"/>
              </w:rPr>
            </w:pPr>
            <w:r>
              <w:rPr>
                <w:b/>
                <w:color w:val="231F20"/>
                <w:spacing w:val="-2"/>
                <w:w w:val="115"/>
                <w:sz w:val="15"/>
              </w:rPr>
              <w:t>COMMENT</w:t>
            </w:r>
          </w:p>
        </w:tc>
      </w:tr>
      <w:tr>
        <w:trPr>
          <w:trHeight w:val="425" w:hRule="atLeast"/>
        </w:trPr>
        <w:tc>
          <w:tcPr>
            <w:tcW w:w="3571" w:type="dxa"/>
            <w:gridSpan w:val="2"/>
            <w:tcBorders>
              <w:top w:val="single" w:sz="4" w:space="0" w:color="231F20"/>
              <w:bottom w:val="single" w:sz="4" w:space="0" w:color="FFFFFF"/>
            </w:tcBorders>
            <w:shd w:val="clear" w:color="auto" w:fill="E8F5F1"/>
          </w:tcPr>
          <w:p>
            <w:pPr>
              <w:pStyle w:val="TableParagraph"/>
              <w:spacing w:before="47"/>
              <w:ind w:left="98"/>
              <w:rPr>
                <w:sz w:val="15"/>
              </w:rPr>
            </w:pPr>
            <w:r>
              <w:rPr>
                <w:color w:val="231F20"/>
                <w:spacing w:val="-2"/>
                <w:sz w:val="15"/>
              </w:rPr>
              <w:t>Benign</w:t>
            </w:r>
            <w:r>
              <w:rPr>
                <w:color w:val="231F20"/>
                <w:spacing w:val="2"/>
                <w:sz w:val="15"/>
              </w:rPr>
              <w:t> </w:t>
            </w:r>
            <w:r>
              <w:rPr>
                <w:color w:val="231F20"/>
                <w:spacing w:val="-2"/>
                <w:sz w:val="15"/>
              </w:rPr>
              <w:t>neonatal</w:t>
            </w:r>
            <w:r>
              <w:rPr>
                <w:color w:val="231F20"/>
                <w:spacing w:val="2"/>
                <w:sz w:val="15"/>
              </w:rPr>
              <w:t> </w:t>
            </w:r>
            <w:r>
              <w:rPr>
                <w:color w:val="231F20"/>
                <w:spacing w:val="-2"/>
                <w:sz w:val="15"/>
              </w:rPr>
              <w:t>familial</w:t>
            </w:r>
            <w:r>
              <w:rPr>
                <w:color w:val="231F20"/>
                <w:spacing w:val="3"/>
                <w:sz w:val="15"/>
              </w:rPr>
              <w:t> </w:t>
            </w:r>
            <w:r>
              <w:rPr>
                <w:color w:val="231F20"/>
                <w:spacing w:val="-2"/>
                <w:sz w:val="15"/>
              </w:rPr>
              <w:t>convulsions</w:t>
            </w:r>
          </w:p>
        </w:tc>
        <w:tc>
          <w:tcPr>
            <w:tcW w:w="6192" w:type="dxa"/>
            <w:tcBorders>
              <w:top w:val="single" w:sz="4" w:space="0" w:color="231F20"/>
              <w:bottom w:val="single" w:sz="4" w:space="0" w:color="FFFFFF"/>
            </w:tcBorders>
            <w:shd w:val="clear" w:color="auto" w:fill="E8F5F1"/>
          </w:tcPr>
          <w:p>
            <w:pPr>
              <w:pStyle w:val="TableParagraph"/>
              <w:spacing w:line="230" w:lineRule="auto" w:before="52"/>
              <w:ind w:left="366" w:right="1757"/>
              <w:rPr>
                <w:sz w:val="15"/>
              </w:rPr>
            </w:pPr>
            <w:r>
              <w:rPr>
                <w:color w:val="231F20"/>
                <w:sz w:val="15"/>
              </w:rPr>
              <w:t>Dominant, may be severe and resistant for a few days </w:t>
            </w:r>
            <w:r>
              <w:rPr>
                <w:color w:val="231F20"/>
                <w:spacing w:val="-2"/>
                <w:sz w:val="15"/>
              </w:rPr>
              <w:t>Febrile</w:t>
            </w:r>
            <w:r>
              <w:rPr>
                <w:color w:val="231F20"/>
                <w:spacing w:val="-5"/>
                <w:sz w:val="15"/>
              </w:rPr>
              <w:t> </w:t>
            </w:r>
            <w:r>
              <w:rPr>
                <w:color w:val="231F20"/>
                <w:spacing w:val="-2"/>
                <w:sz w:val="15"/>
              </w:rPr>
              <w:t>or</w:t>
            </w:r>
            <w:r>
              <w:rPr>
                <w:color w:val="231F20"/>
                <w:spacing w:val="-5"/>
                <w:sz w:val="15"/>
              </w:rPr>
              <w:t> </w:t>
            </w:r>
            <w:r>
              <w:rPr>
                <w:color w:val="231F20"/>
                <w:spacing w:val="-2"/>
                <w:sz w:val="15"/>
              </w:rPr>
              <w:t>afebrile</w:t>
            </w:r>
            <w:r>
              <w:rPr>
                <w:color w:val="231F20"/>
                <w:spacing w:val="-5"/>
                <w:sz w:val="15"/>
              </w:rPr>
              <w:t> </w:t>
            </w:r>
            <w:r>
              <w:rPr>
                <w:color w:val="231F20"/>
                <w:spacing w:val="-2"/>
                <w:sz w:val="15"/>
              </w:rPr>
              <w:t>seizures</w:t>
            </w:r>
            <w:r>
              <w:rPr>
                <w:color w:val="231F20"/>
                <w:spacing w:val="-5"/>
                <w:sz w:val="15"/>
              </w:rPr>
              <w:t> </w:t>
            </w:r>
            <w:r>
              <w:rPr>
                <w:color w:val="231F20"/>
                <w:spacing w:val="-2"/>
                <w:sz w:val="15"/>
              </w:rPr>
              <w:t>(benign)</w:t>
            </w:r>
            <w:r>
              <w:rPr>
                <w:color w:val="231F20"/>
                <w:spacing w:val="-5"/>
                <w:sz w:val="15"/>
              </w:rPr>
              <w:t> </w:t>
            </w:r>
            <w:r>
              <w:rPr>
                <w:color w:val="231F20"/>
                <w:spacing w:val="-2"/>
                <w:sz w:val="15"/>
              </w:rPr>
              <w:t>occur</w:t>
            </w:r>
            <w:r>
              <w:rPr>
                <w:color w:val="231F20"/>
                <w:spacing w:val="-5"/>
                <w:sz w:val="15"/>
              </w:rPr>
              <w:t> </w:t>
            </w:r>
            <w:r>
              <w:rPr>
                <w:color w:val="231F20"/>
                <w:spacing w:val="-2"/>
                <w:sz w:val="15"/>
              </w:rPr>
              <w:t>later</w:t>
            </w:r>
            <w:r>
              <w:rPr>
                <w:color w:val="231F20"/>
                <w:spacing w:val="-5"/>
                <w:sz w:val="15"/>
              </w:rPr>
              <w:t> </w:t>
            </w:r>
            <w:r>
              <w:rPr>
                <w:color w:val="231F20"/>
                <w:spacing w:val="-2"/>
                <w:sz w:val="15"/>
              </w:rPr>
              <w:t>in</w:t>
            </w:r>
            <w:r>
              <w:rPr>
                <w:color w:val="231F20"/>
                <w:spacing w:val="-5"/>
                <w:sz w:val="15"/>
              </w:rPr>
              <w:t> </w:t>
            </w:r>
            <w:r>
              <w:rPr>
                <w:color w:val="231F20"/>
                <w:spacing w:val="-2"/>
                <w:sz w:val="15"/>
              </w:rPr>
              <w:t>a</w:t>
            </w:r>
            <w:r>
              <w:rPr>
                <w:color w:val="231F20"/>
                <w:spacing w:val="-5"/>
                <w:sz w:val="15"/>
              </w:rPr>
              <w:t> </w:t>
            </w:r>
            <w:r>
              <w:rPr>
                <w:color w:val="231F20"/>
                <w:spacing w:val="-2"/>
                <w:sz w:val="15"/>
              </w:rPr>
              <w:t>minority</w:t>
            </w:r>
          </w:p>
        </w:tc>
      </w:tr>
      <w:tr>
        <w:trPr>
          <w:trHeight w:val="252" w:hRule="atLeast"/>
        </w:trPr>
        <w:tc>
          <w:tcPr>
            <w:tcW w:w="3571" w:type="dxa"/>
            <w:gridSpan w:val="2"/>
            <w:tcBorders>
              <w:top w:val="single" w:sz="4" w:space="0" w:color="FFFFFF"/>
              <w:bottom w:val="single" w:sz="4" w:space="0" w:color="FFFFFF"/>
            </w:tcBorders>
            <w:shd w:val="clear" w:color="auto" w:fill="E8F5F1"/>
          </w:tcPr>
          <w:p>
            <w:pPr>
              <w:pStyle w:val="TableParagraph"/>
              <w:spacing w:before="42"/>
              <w:ind w:left="98"/>
              <w:rPr>
                <w:sz w:val="15"/>
              </w:rPr>
            </w:pPr>
            <w:r>
              <w:rPr>
                <w:color w:val="231F20"/>
                <w:w w:val="90"/>
                <w:sz w:val="15"/>
              </w:rPr>
              <w:t>Infantile</w:t>
            </w:r>
            <w:r>
              <w:rPr>
                <w:color w:val="231F20"/>
                <w:spacing w:val="12"/>
                <w:sz w:val="15"/>
              </w:rPr>
              <w:t> </w:t>
            </w:r>
            <w:r>
              <w:rPr>
                <w:color w:val="231F20"/>
                <w:w w:val="90"/>
                <w:sz w:val="15"/>
              </w:rPr>
              <w:t>familial</w:t>
            </w:r>
            <w:r>
              <w:rPr>
                <w:color w:val="231F20"/>
                <w:spacing w:val="12"/>
                <w:sz w:val="15"/>
              </w:rPr>
              <w:t> </w:t>
            </w:r>
            <w:r>
              <w:rPr>
                <w:color w:val="231F20"/>
                <w:spacing w:val="-2"/>
                <w:w w:val="90"/>
                <w:sz w:val="15"/>
              </w:rPr>
              <w:t>convulsions</w:t>
            </w:r>
          </w:p>
        </w:tc>
        <w:tc>
          <w:tcPr>
            <w:tcW w:w="6192" w:type="dxa"/>
            <w:tcBorders>
              <w:top w:val="single" w:sz="4" w:space="0" w:color="FFFFFF"/>
              <w:bottom w:val="single" w:sz="4" w:space="0" w:color="FFFFFF"/>
            </w:tcBorders>
            <w:shd w:val="clear" w:color="auto" w:fill="E8F5F1"/>
          </w:tcPr>
          <w:p>
            <w:pPr>
              <w:pStyle w:val="TableParagraph"/>
              <w:spacing w:before="42"/>
              <w:ind w:left="366"/>
              <w:rPr>
                <w:sz w:val="15"/>
              </w:rPr>
            </w:pPr>
            <w:r>
              <w:rPr>
                <w:color w:val="231F20"/>
                <w:sz w:val="15"/>
              </w:rPr>
              <w:t>Dominant;</w:t>
            </w:r>
            <w:r>
              <w:rPr>
                <w:color w:val="231F20"/>
                <w:spacing w:val="-10"/>
                <w:sz w:val="15"/>
              </w:rPr>
              <w:t> </w:t>
            </w:r>
            <w:r>
              <w:rPr>
                <w:color w:val="231F20"/>
                <w:sz w:val="15"/>
              </w:rPr>
              <w:t>seizures</w:t>
            </w:r>
            <w:r>
              <w:rPr>
                <w:color w:val="231F20"/>
                <w:spacing w:val="-9"/>
                <w:sz w:val="15"/>
              </w:rPr>
              <w:t> </w:t>
            </w:r>
            <w:r>
              <w:rPr>
                <w:color w:val="231F20"/>
                <w:sz w:val="15"/>
              </w:rPr>
              <w:t>often</w:t>
            </w:r>
            <w:r>
              <w:rPr>
                <w:color w:val="231F20"/>
                <w:spacing w:val="-9"/>
                <w:sz w:val="15"/>
              </w:rPr>
              <w:t> </w:t>
            </w:r>
            <w:r>
              <w:rPr>
                <w:color w:val="231F20"/>
                <w:sz w:val="15"/>
              </w:rPr>
              <w:t>in</w:t>
            </w:r>
            <w:r>
              <w:rPr>
                <w:color w:val="231F20"/>
                <w:spacing w:val="-9"/>
                <w:sz w:val="15"/>
              </w:rPr>
              <w:t> </w:t>
            </w:r>
            <w:r>
              <w:rPr>
                <w:color w:val="231F20"/>
                <w:spacing w:val="-2"/>
                <w:sz w:val="15"/>
              </w:rPr>
              <w:t>clusters</w:t>
            </w:r>
          </w:p>
        </w:tc>
      </w:tr>
      <w:tr>
        <w:trPr>
          <w:trHeight w:val="588" w:hRule="atLeast"/>
        </w:trPr>
        <w:tc>
          <w:tcPr>
            <w:tcW w:w="3571" w:type="dxa"/>
            <w:gridSpan w:val="2"/>
            <w:tcBorders>
              <w:top w:val="single" w:sz="4" w:space="0" w:color="FFFFFF"/>
              <w:bottom w:val="single" w:sz="4" w:space="0" w:color="FFFFFF"/>
            </w:tcBorders>
            <w:shd w:val="clear" w:color="auto" w:fill="E8F5F1"/>
          </w:tcPr>
          <w:p>
            <w:pPr>
              <w:pStyle w:val="TableParagraph"/>
              <w:spacing w:line="230" w:lineRule="auto" w:before="48"/>
              <w:ind w:left="210" w:right="891" w:hanging="112"/>
              <w:rPr>
                <w:sz w:val="15"/>
              </w:rPr>
            </w:pPr>
            <w:r>
              <w:rPr>
                <w:color w:val="231F20"/>
                <w:sz w:val="15"/>
              </w:rPr>
              <w:t>Febrile</w:t>
            </w:r>
            <w:r>
              <w:rPr>
                <w:color w:val="231F20"/>
                <w:spacing w:val="-8"/>
                <w:sz w:val="15"/>
              </w:rPr>
              <w:t> </w:t>
            </w:r>
            <w:r>
              <w:rPr>
                <w:color w:val="231F20"/>
                <w:sz w:val="15"/>
              </w:rPr>
              <w:t>convulsions</w:t>
            </w:r>
            <w:r>
              <w:rPr>
                <w:color w:val="231F20"/>
                <w:spacing w:val="-8"/>
                <w:sz w:val="15"/>
              </w:rPr>
              <w:t> </w:t>
            </w:r>
            <w:r>
              <w:rPr>
                <w:color w:val="231F20"/>
                <w:sz w:val="15"/>
              </w:rPr>
              <w:t>plus</w:t>
            </w:r>
            <w:r>
              <w:rPr>
                <w:color w:val="231F20"/>
                <w:spacing w:val="-8"/>
                <w:sz w:val="15"/>
              </w:rPr>
              <w:t> </w:t>
            </w:r>
            <w:r>
              <w:rPr>
                <w:color w:val="231F20"/>
                <w:sz w:val="15"/>
              </w:rPr>
              <w:t>syndromes (see </w:t>
            </w:r>
            <w:r>
              <w:rPr>
                <w:color w:val="0080AC"/>
                <w:sz w:val="15"/>
              </w:rPr>
              <w:t>Table 593-2</w:t>
            </w:r>
            <w:r>
              <w:rPr>
                <w:color w:val="231F20"/>
                <w:sz w:val="15"/>
              </w:rPr>
              <w:t>)</w:t>
            </w:r>
          </w:p>
        </w:tc>
        <w:tc>
          <w:tcPr>
            <w:tcW w:w="6192" w:type="dxa"/>
            <w:tcBorders>
              <w:top w:val="single" w:sz="4" w:space="0" w:color="FFFFFF"/>
              <w:bottom w:val="single" w:sz="4" w:space="0" w:color="FFFFFF"/>
            </w:tcBorders>
            <w:shd w:val="clear" w:color="auto" w:fill="E8F5F1"/>
          </w:tcPr>
          <w:p>
            <w:pPr>
              <w:pStyle w:val="TableParagraph"/>
              <w:spacing w:line="230" w:lineRule="auto" w:before="48"/>
              <w:ind w:left="478" w:right="16" w:hanging="112"/>
              <w:rPr>
                <w:sz w:val="15"/>
              </w:rPr>
            </w:pPr>
            <w:r>
              <w:rPr>
                <w:color w:val="231F20"/>
                <w:sz w:val="15"/>
              </w:rPr>
              <w:t>Febrile</w:t>
            </w:r>
            <w:r>
              <w:rPr>
                <w:color w:val="231F20"/>
                <w:spacing w:val="-9"/>
                <w:sz w:val="15"/>
              </w:rPr>
              <w:t> </w:t>
            </w:r>
            <w:r>
              <w:rPr>
                <w:color w:val="231F20"/>
                <w:sz w:val="15"/>
              </w:rPr>
              <w:t>and</w:t>
            </w:r>
            <w:r>
              <w:rPr>
                <w:color w:val="231F20"/>
                <w:spacing w:val="-9"/>
                <w:sz w:val="15"/>
              </w:rPr>
              <w:t> </w:t>
            </w:r>
            <w:r>
              <w:rPr>
                <w:color w:val="231F20"/>
                <w:sz w:val="15"/>
              </w:rPr>
              <w:t>afebrile</w:t>
            </w:r>
            <w:r>
              <w:rPr>
                <w:color w:val="231F20"/>
                <w:spacing w:val="-9"/>
                <w:sz w:val="15"/>
              </w:rPr>
              <w:t> </w:t>
            </w:r>
            <w:r>
              <w:rPr>
                <w:color w:val="231F20"/>
                <w:sz w:val="15"/>
              </w:rPr>
              <w:t>generalized</w:t>
            </w:r>
            <w:r>
              <w:rPr>
                <w:color w:val="231F20"/>
                <w:spacing w:val="-9"/>
                <w:sz w:val="15"/>
              </w:rPr>
              <w:t> </w:t>
            </w:r>
            <w:r>
              <w:rPr>
                <w:color w:val="231F20"/>
                <w:sz w:val="15"/>
              </w:rPr>
              <w:t>convulsions,</w:t>
            </w:r>
            <w:r>
              <w:rPr>
                <w:color w:val="231F20"/>
                <w:spacing w:val="-9"/>
                <w:sz w:val="15"/>
              </w:rPr>
              <w:t> </w:t>
            </w:r>
            <w:r>
              <w:rPr>
                <w:color w:val="231F20"/>
                <w:sz w:val="15"/>
              </w:rPr>
              <w:t>absence</w:t>
            </w:r>
            <w:r>
              <w:rPr>
                <w:color w:val="231F20"/>
                <w:spacing w:val="-9"/>
                <w:sz w:val="15"/>
              </w:rPr>
              <w:t> </w:t>
            </w:r>
            <w:r>
              <w:rPr>
                <w:color w:val="231F20"/>
                <w:sz w:val="15"/>
              </w:rPr>
              <w:t>and</w:t>
            </w:r>
            <w:r>
              <w:rPr>
                <w:color w:val="231F20"/>
                <w:spacing w:val="-9"/>
                <w:sz w:val="15"/>
              </w:rPr>
              <w:t> </w:t>
            </w:r>
            <w:r>
              <w:rPr>
                <w:color w:val="231F20"/>
                <w:sz w:val="15"/>
              </w:rPr>
              <w:t>myoclonic</w:t>
            </w:r>
            <w:r>
              <w:rPr>
                <w:color w:val="231F20"/>
                <w:spacing w:val="-9"/>
                <w:sz w:val="15"/>
              </w:rPr>
              <w:t> </w:t>
            </w:r>
            <w:r>
              <w:rPr>
                <w:color w:val="231F20"/>
                <w:sz w:val="15"/>
              </w:rPr>
              <w:t>seizures</w:t>
            </w:r>
            <w:r>
              <w:rPr>
                <w:color w:val="231F20"/>
                <w:spacing w:val="-9"/>
                <w:sz w:val="15"/>
              </w:rPr>
              <w:t> </w:t>
            </w:r>
            <w:r>
              <w:rPr>
                <w:color w:val="231F20"/>
                <w:sz w:val="15"/>
              </w:rPr>
              <w:t>occur</w:t>
            </w:r>
            <w:r>
              <w:rPr>
                <w:color w:val="231F20"/>
                <w:spacing w:val="-9"/>
                <w:sz w:val="15"/>
              </w:rPr>
              <w:t> </w:t>
            </w:r>
            <w:r>
              <w:rPr>
                <w:color w:val="231F20"/>
                <w:sz w:val="15"/>
              </w:rPr>
              <w:t>in different members. Seizures usually generalized (GEFS</w:t>
            </w:r>
            <w:r>
              <w:rPr>
                <w:rFonts w:ascii="Cambria"/>
                <w:color w:val="231F20"/>
                <w:sz w:val="15"/>
              </w:rPr>
              <w:t>+</w:t>
            </w:r>
            <w:r>
              <w:rPr>
                <w:color w:val="231F20"/>
                <w:sz w:val="15"/>
              </w:rPr>
              <w:t>) but in some families may be focal</w:t>
            </w:r>
          </w:p>
        </w:tc>
      </w:tr>
      <w:tr>
        <w:trPr>
          <w:trHeight w:val="252" w:hRule="atLeast"/>
        </w:trPr>
        <w:tc>
          <w:tcPr>
            <w:tcW w:w="3571" w:type="dxa"/>
            <w:gridSpan w:val="2"/>
            <w:tcBorders>
              <w:top w:val="single" w:sz="4" w:space="0" w:color="FFFFFF"/>
              <w:bottom w:val="single" w:sz="4" w:space="0" w:color="FFFFFF"/>
            </w:tcBorders>
            <w:shd w:val="clear" w:color="auto" w:fill="E8F5F1"/>
          </w:tcPr>
          <w:p>
            <w:pPr>
              <w:pStyle w:val="TableParagraph"/>
              <w:spacing w:before="42"/>
              <w:ind w:left="98"/>
              <w:rPr>
                <w:sz w:val="15"/>
              </w:rPr>
            </w:pPr>
            <w:r>
              <w:rPr>
                <w:color w:val="231F20"/>
                <w:sz w:val="15"/>
              </w:rPr>
              <w:t>Benign</w:t>
            </w:r>
            <w:r>
              <w:rPr>
                <w:color w:val="231F20"/>
                <w:spacing w:val="2"/>
                <w:sz w:val="15"/>
              </w:rPr>
              <w:t> </w:t>
            </w:r>
            <w:r>
              <w:rPr>
                <w:color w:val="231F20"/>
                <w:sz w:val="15"/>
              </w:rPr>
              <w:t>myoclonic</w:t>
            </w:r>
            <w:r>
              <w:rPr>
                <w:color w:val="231F20"/>
                <w:spacing w:val="3"/>
                <w:sz w:val="15"/>
              </w:rPr>
              <w:t> </w:t>
            </w:r>
            <w:r>
              <w:rPr>
                <w:color w:val="231F20"/>
                <w:sz w:val="15"/>
              </w:rPr>
              <w:t>epilepsy</w:t>
            </w:r>
            <w:r>
              <w:rPr>
                <w:color w:val="231F20"/>
                <w:spacing w:val="3"/>
                <w:sz w:val="15"/>
              </w:rPr>
              <w:t> </w:t>
            </w:r>
            <w:r>
              <w:rPr>
                <w:color w:val="231F20"/>
                <w:sz w:val="15"/>
              </w:rPr>
              <w:t>of</w:t>
            </w:r>
            <w:r>
              <w:rPr>
                <w:color w:val="231F20"/>
                <w:spacing w:val="3"/>
                <w:sz w:val="15"/>
              </w:rPr>
              <w:t> </w:t>
            </w:r>
            <w:r>
              <w:rPr>
                <w:color w:val="231F20"/>
                <w:spacing w:val="-2"/>
                <w:sz w:val="15"/>
              </w:rPr>
              <w:t>infancy</w:t>
            </w:r>
          </w:p>
        </w:tc>
        <w:tc>
          <w:tcPr>
            <w:tcW w:w="6192" w:type="dxa"/>
            <w:tcBorders>
              <w:top w:val="single" w:sz="4" w:space="0" w:color="FFFFFF"/>
              <w:bottom w:val="single" w:sz="4" w:space="0" w:color="FFFFFF"/>
            </w:tcBorders>
            <w:shd w:val="clear" w:color="auto" w:fill="E8F5F1"/>
          </w:tcPr>
          <w:p>
            <w:pPr>
              <w:pStyle w:val="TableParagraph"/>
              <w:spacing w:before="42"/>
              <w:ind w:left="366"/>
              <w:rPr>
                <w:sz w:val="15"/>
              </w:rPr>
            </w:pPr>
            <w:r>
              <w:rPr>
                <w:color w:val="231F20"/>
                <w:spacing w:val="-2"/>
                <w:sz w:val="15"/>
              </w:rPr>
              <w:t>Often</w:t>
            </w:r>
            <w:r>
              <w:rPr>
                <w:color w:val="231F20"/>
                <w:spacing w:val="-4"/>
                <w:sz w:val="15"/>
              </w:rPr>
              <w:t> </w:t>
            </w:r>
            <w:r>
              <w:rPr>
                <w:color w:val="231F20"/>
                <w:spacing w:val="-2"/>
                <w:sz w:val="15"/>
              </w:rPr>
              <w:t>seizures</w:t>
            </w:r>
            <w:r>
              <w:rPr>
                <w:color w:val="231F20"/>
                <w:spacing w:val="-3"/>
                <w:sz w:val="15"/>
              </w:rPr>
              <w:t> </w:t>
            </w:r>
            <w:r>
              <w:rPr>
                <w:color w:val="231F20"/>
                <w:spacing w:val="-2"/>
                <w:sz w:val="15"/>
              </w:rPr>
              <w:t>during</w:t>
            </w:r>
            <w:r>
              <w:rPr>
                <w:color w:val="231F20"/>
                <w:spacing w:val="-4"/>
                <w:sz w:val="15"/>
              </w:rPr>
              <w:t> </w:t>
            </w:r>
            <w:r>
              <w:rPr>
                <w:color w:val="231F20"/>
                <w:spacing w:val="-2"/>
                <w:sz w:val="15"/>
              </w:rPr>
              <w:t>sleep;</w:t>
            </w:r>
            <w:r>
              <w:rPr>
                <w:color w:val="231F20"/>
                <w:spacing w:val="-3"/>
                <w:sz w:val="15"/>
              </w:rPr>
              <w:t> </w:t>
            </w:r>
            <w:r>
              <w:rPr>
                <w:color w:val="231F20"/>
                <w:spacing w:val="-2"/>
                <w:sz w:val="15"/>
              </w:rPr>
              <w:t>1</w:t>
            </w:r>
            <w:r>
              <w:rPr>
                <w:color w:val="231F20"/>
                <w:spacing w:val="-4"/>
                <w:sz w:val="15"/>
              </w:rPr>
              <w:t> </w:t>
            </w:r>
            <w:r>
              <w:rPr>
                <w:color w:val="231F20"/>
                <w:spacing w:val="-2"/>
                <w:sz w:val="15"/>
              </w:rPr>
              <w:t>rare</w:t>
            </w:r>
            <w:r>
              <w:rPr>
                <w:color w:val="231F20"/>
                <w:spacing w:val="-3"/>
                <w:sz w:val="15"/>
              </w:rPr>
              <w:t> </w:t>
            </w:r>
            <w:r>
              <w:rPr>
                <w:color w:val="231F20"/>
                <w:spacing w:val="-2"/>
                <w:sz w:val="15"/>
              </w:rPr>
              <w:t>variety</w:t>
            </w:r>
            <w:r>
              <w:rPr>
                <w:color w:val="231F20"/>
                <w:spacing w:val="-4"/>
                <w:sz w:val="15"/>
              </w:rPr>
              <w:t> </w:t>
            </w:r>
            <w:r>
              <w:rPr>
                <w:color w:val="231F20"/>
                <w:spacing w:val="-2"/>
                <w:sz w:val="15"/>
              </w:rPr>
              <w:t>with</w:t>
            </w:r>
            <w:r>
              <w:rPr>
                <w:color w:val="231F20"/>
                <w:spacing w:val="-3"/>
                <w:sz w:val="15"/>
              </w:rPr>
              <w:t> </w:t>
            </w:r>
            <w:r>
              <w:rPr>
                <w:color w:val="231F20"/>
                <w:spacing w:val="-2"/>
                <w:sz w:val="15"/>
              </w:rPr>
              <w:t>reflex</w:t>
            </w:r>
            <w:r>
              <w:rPr>
                <w:color w:val="231F20"/>
                <w:spacing w:val="-4"/>
                <w:sz w:val="15"/>
              </w:rPr>
              <w:t> </w:t>
            </w:r>
            <w:r>
              <w:rPr>
                <w:color w:val="231F20"/>
                <w:spacing w:val="-2"/>
                <w:sz w:val="15"/>
              </w:rPr>
              <w:t>myoclonic</w:t>
            </w:r>
            <w:r>
              <w:rPr>
                <w:color w:val="231F20"/>
                <w:spacing w:val="-3"/>
                <w:sz w:val="15"/>
              </w:rPr>
              <w:t> </w:t>
            </w:r>
            <w:r>
              <w:rPr>
                <w:color w:val="231F20"/>
                <w:spacing w:val="-2"/>
                <w:sz w:val="15"/>
              </w:rPr>
              <w:t>seizures</w:t>
            </w:r>
            <w:r>
              <w:rPr>
                <w:color w:val="231F20"/>
                <w:spacing w:val="-4"/>
                <w:sz w:val="15"/>
              </w:rPr>
              <w:t> </w:t>
            </w:r>
            <w:r>
              <w:rPr>
                <w:color w:val="231F20"/>
                <w:spacing w:val="-2"/>
                <w:sz w:val="15"/>
              </w:rPr>
              <w:t>(touch,</w:t>
            </w:r>
            <w:r>
              <w:rPr>
                <w:color w:val="231F20"/>
                <w:spacing w:val="-3"/>
                <w:sz w:val="15"/>
              </w:rPr>
              <w:t> </w:t>
            </w:r>
            <w:r>
              <w:rPr>
                <w:color w:val="231F20"/>
                <w:spacing w:val="-2"/>
                <w:sz w:val="15"/>
              </w:rPr>
              <w:t>noise)</w:t>
            </w:r>
          </w:p>
        </w:tc>
      </w:tr>
      <w:tr>
        <w:trPr>
          <w:trHeight w:val="420" w:hRule="atLeast"/>
        </w:trPr>
        <w:tc>
          <w:tcPr>
            <w:tcW w:w="3571" w:type="dxa"/>
            <w:gridSpan w:val="2"/>
            <w:tcBorders>
              <w:top w:val="single" w:sz="4" w:space="0" w:color="FFFFFF"/>
              <w:bottom w:val="single" w:sz="4" w:space="0" w:color="FFFFFF"/>
            </w:tcBorders>
            <w:shd w:val="clear" w:color="auto" w:fill="E8F5F1"/>
          </w:tcPr>
          <w:p>
            <w:pPr>
              <w:pStyle w:val="TableParagraph"/>
              <w:spacing w:line="230" w:lineRule="auto" w:before="48"/>
              <w:ind w:left="210" w:right="356" w:hanging="112"/>
              <w:rPr>
                <w:sz w:val="15"/>
              </w:rPr>
            </w:pPr>
            <w:r>
              <w:rPr>
                <w:color w:val="231F20"/>
                <w:sz w:val="15"/>
              </w:rPr>
              <w:t>Partial</w:t>
            </w:r>
            <w:r>
              <w:rPr>
                <w:color w:val="231F20"/>
                <w:spacing w:val="-12"/>
                <w:sz w:val="15"/>
              </w:rPr>
              <w:t> </w:t>
            </w:r>
            <w:r>
              <w:rPr>
                <w:color w:val="231F20"/>
                <w:sz w:val="15"/>
              </w:rPr>
              <w:t>idiopathic</w:t>
            </w:r>
            <w:r>
              <w:rPr>
                <w:color w:val="231F20"/>
                <w:spacing w:val="-11"/>
                <w:sz w:val="15"/>
              </w:rPr>
              <w:t> </w:t>
            </w:r>
            <w:r>
              <w:rPr>
                <w:color w:val="231F20"/>
                <w:sz w:val="15"/>
              </w:rPr>
              <w:t>epilepsy</w:t>
            </w:r>
            <w:r>
              <w:rPr>
                <w:color w:val="231F20"/>
                <w:spacing w:val="-11"/>
                <w:sz w:val="15"/>
              </w:rPr>
              <w:t> </w:t>
            </w:r>
            <w:r>
              <w:rPr>
                <w:color w:val="231F20"/>
                <w:sz w:val="15"/>
              </w:rPr>
              <w:t>with</w:t>
            </w:r>
            <w:r>
              <w:rPr>
                <w:color w:val="231F20"/>
                <w:spacing w:val="-12"/>
                <w:sz w:val="15"/>
              </w:rPr>
              <w:t> </w:t>
            </w:r>
            <w:r>
              <w:rPr>
                <w:color w:val="231F20"/>
                <w:sz w:val="15"/>
              </w:rPr>
              <w:t>rolandic</w:t>
            </w:r>
            <w:r>
              <w:rPr>
                <w:color w:val="231F20"/>
                <w:spacing w:val="-11"/>
                <w:sz w:val="15"/>
              </w:rPr>
              <w:t> </w:t>
            </w:r>
            <w:r>
              <w:rPr>
                <w:color w:val="231F20"/>
                <w:sz w:val="15"/>
              </w:rPr>
              <w:t>spikes (benign</w:t>
            </w:r>
            <w:r>
              <w:rPr>
                <w:color w:val="231F20"/>
                <w:spacing w:val="-11"/>
                <w:sz w:val="15"/>
              </w:rPr>
              <w:t> </w:t>
            </w:r>
            <w:r>
              <w:rPr>
                <w:color w:val="231F20"/>
                <w:sz w:val="15"/>
              </w:rPr>
              <w:t>epilepsy</w:t>
            </w:r>
            <w:r>
              <w:rPr>
                <w:color w:val="231F20"/>
                <w:spacing w:val="-10"/>
                <w:sz w:val="15"/>
              </w:rPr>
              <w:t> </w:t>
            </w:r>
            <w:r>
              <w:rPr>
                <w:color w:val="231F20"/>
                <w:sz w:val="15"/>
              </w:rPr>
              <w:t>with</w:t>
            </w:r>
            <w:r>
              <w:rPr>
                <w:color w:val="231F20"/>
                <w:spacing w:val="-10"/>
                <w:sz w:val="15"/>
              </w:rPr>
              <w:t> </w:t>
            </w:r>
            <w:r>
              <w:rPr>
                <w:color w:val="231F20"/>
                <w:sz w:val="15"/>
              </w:rPr>
              <w:t>centrotemporal</w:t>
            </w:r>
            <w:r>
              <w:rPr>
                <w:color w:val="231F20"/>
                <w:spacing w:val="-10"/>
                <w:sz w:val="15"/>
              </w:rPr>
              <w:t> </w:t>
            </w:r>
            <w:r>
              <w:rPr>
                <w:color w:val="231F20"/>
                <w:spacing w:val="-2"/>
                <w:sz w:val="15"/>
              </w:rPr>
              <w:t>spikes)</w:t>
            </w:r>
          </w:p>
        </w:tc>
        <w:tc>
          <w:tcPr>
            <w:tcW w:w="6192" w:type="dxa"/>
            <w:tcBorders>
              <w:top w:val="single" w:sz="4" w:space="0" w:color="FFFFFF"/>
              <w:bottom w:val="single" w:sz="4" w:space="0" w:color="FFFFFF"/>
            </w:tcBorders>
            <w:shd w:val="clear" w:color="auto" w:fill="E8F5F1"/>
          </w:tcPr>
          <w:p>
            <w:pPr>
              <w:pStyle w:val="TableParagraph"/>
              <w:spacing w:line="230" w:lineRule="auto" w:before="48"/>
              <w:ind w:left="478" w:right="16" w:hanging="112"/>
              <w:rPr>
                <w:sz w:val="15"/>
              </w:rPr>
            </w:pPr>
            <w:r>
              <w:rPr>
                <w:color w:val="231F20"/>
                <w:sz w:val="15"/>
              </w:rPr>
              <w:t>Seizures</w:t>
            </w:r>
            <w:r>
              <w:rPr>
                <w:color w:val="231F20"/>
                <w:spacing w:val="-12"/>
                <w:sz w:val="15"/>
              </w:rPr>
              <w:t> </w:t>
            </w:r>
            <w:r>
              <w:rPr>
                <w:color w:val="231F20"/>
                <w:sz w:val="15"/>
              </w:rPr>
              <w:t>with</w:t>
            </w:r>
            <w:r>
              <w:rPr>
                <w:color w:val="231F20"/>
                <w:spacing w:val="-11"/>
                <w:sz w:val="15"/>
              </w:rPr>
              <w:t> </w:t>
            </w:r>
            <w:r>
              <w:rPr>
                <w:color w:val="231F20"/>
                <w:sz w:val="15"/>
              </w:rPr>
              <w:t>falling</w:t>
            </w:r>
            <w:r>
              <w:rPr>
                <w:color w:val="231F20"/>
                <w:spacing w:val="-11"/>
                <w:sz w:val="15"/>
              </w:rPr>
              <w:t> </w:t>
            </w:r>
            <w:r>
              <w:rPr>
                <w:color w:val="231F20"/>
                <w:sz w:val="15"/>
              </w:rPr>
              <w:t>asleep</w:t>
            </w:r>
            <w:r>
              <w:rPr>
                <w:color w:val="231F20"/>
                <w:spacing w:val="-12"/>
                <w:sz w:val="15"/>
              </w:rPr>
              <w:t> </w:t>
            </w:r>
            <w:r>
              <w:rPr>
                <w:color w:val="231F20"/>
                <w:sz w:val="15"/>
              </w:rPr>
              <w:t>or</w:t>
            </w:r>
            <w:r>
              <w:rPr>
                <w:color w:val="231F20"/>
                <w:spacing w:val="-11"/>
                <w:sz w:val="15"/>
              </w:rPr>
              <w:t> </w:t>
            </w:r>
            <w:r>
              <w:rPr>
                <w:color w:val="231F20"/>
                <w:sz w:val="15"/>
              </w:rPr>
              <w:t>on</w:t>
            </w:r>
            <w:r>
              <w:rPr>
                <w:color w:val="231F20"/>
                <w:spacing w:val="-11"/>
                <w:sz w:val="15"/>
              </w:rPr>
              <w:t> </w:t>
            </w:r>
            <w:r>
              <w:rPr>
                <w:color w:val="231F20"/>
                <w:sz w:val="15"/>
              </w:rPr>
              <w:t>awakening;</w:t>
            </w:r>
            <w:r>
              <w:rPr>
                <w:color w:val="231F20"/>
                <w:spacing w:val="-12"/>
                <w:sz w:val="15"/>
              </w:rPr>
              <w:t> </w:t>
            </w:r>
            <w:r>
              <w:rPr>
                <w:color w:val="231F20"/>
                <w:sz w:val="15"/>
              </w:rPr>
              <w:t>focal</w:t>
            </w:r>
            <w:r>
              <w:rPr>
                <w:color w:val="231F20"/>
                <w:spacing w:val="-11"/>
                <w:sz w:val="15"/>
              </w:rPr>
              <w:t> </w:t>
            </w:r>
            <w:r>
              <w:rPr>
                <w:color w:val="231F20"/>
                <w:sz w:val="15"/>
              </w:rPr>
              <w:t>sharp</w:t>
            </w:r>
            <w:r>
              <w:rPr>
                <w:color w:val="231F20"/>
                <w:spacing w:val="-11"/>
                <w:sz w:val="15"/>
              </w:rPr>
              <w:t> </w:t>
            </w:r>
            <w:r>
              <w:rPr>
                <w:color w:val="231F20"/>
                <w:sz w:val="15"/>
              </w:rPr>
              <w:t>waves</w:t>
            </w:r>
            <w:r>
              <w:rPr>
                <w:color w:val="231F20"/>
                <w:spacing w:val="-11"/>
                <w:sz w:val="15"/>
              </w:rPr>
              <w:t> </w:t>
            </w:r>
            <w:r>
              <w:rPr>
                <w:color w:val="231F20"/>
                <w:sz w:val="15"/>
              </w:rPr>
              <w:t>with</w:t>
            </w:r>
            <w:r>
              <w:rPr>
                <w:color w:val="231F20"/>
                <w:spacing w:val="-12"/>
                <w:sz w:val="15"/>
              </w:rPr>
              <w:t> </w:t>
            </w:r>
            <w:r>
              <w:rPr>
                <w:color w:val="231F20"/>
                <w:sz w:val="15"/>
              </w:rPr>
              <w:t>centrotemporal location on EEG</w:t>
            </w:r>
          </w:p>
        </w:tc>
      </w:tr>
      <w:tr>
        <w:trPr>
          <w:trHeight w:val="756" w:hRule="atLeast"/>
        </w:trPr>
        <w:tc>
          <w:tcPr>
            <w:tcW w:w="3571" w:type="dxa"/>
            <w:gridSpan w:val="2"/>
            <w:tcBorders>
              <w:top w:val="single" w:sz="4" w:space="0" w:color="FFFFFF"/>
              <w:bottom w:val="single" w:sz="4" w:space="0" w:color="FFFFFF"/>
            </w:tcBorders>
            <w:shd w:val="clear" w:color="auto" w:fill="E8F5F1"/>
          </w:tcPr>
          <w:p>
            <w:pPr>
              <w:pStyle w:val="TableParagraph"/>
              <w:spacing w:before="42"/>
              <w:ind w:left="98"/>
              <w:rPr>
                <w:sz w:val="15"/>
              </w:rPr>
            </w:pPr>
            <w:r>
              <w:rPr>
                <w:color w:val="231F20"/>
                <w:spacing w:val="-2"/>
                <w:sz w:val="15"/>
              </w:rPr>
              <w:t>Idiopathic</w:t>
            </w:r>
            <w:r>
              <w:rPr>
                <w:color w:val="231F20"/>
                <w:spacing w:val="-3"/>
                <w:sz w:val="15"/>
              </w:rPr>
              <w:t> </w:t>
            </w:r>
            <w:r>
              <w:rPr>
                <w:color w:val="231F20"/>
                <w:spacing w:val="-2"/>
                <w:sz w:val="15"/>
              </w:rPr>
              <w:t>occipital partial epilepsy</w:t>
            </w:r>
          </w:p>
        </w:tc>
        <w:tc>
          <w:tcPr>
            <w:tcW w:w="6192" w:type="dxa"/>
            <w:tcBorders>
              <w:top w:val="single" w:sz="4" w:space="0" w:color="FFFFFF"/>
              <w:bottom w:val="single" w:sz="4" w:space="0" w:color="FFFFFF"/>
            </w:tcBorders>
            <w:shd w:val="clear" w:color="auto" w:fill="E8F5F1"/>
          </w:tcPr>
          <w:p>
            <w:pPr>
              <w:pStyle w:val="TableParagraph"/>
              <w:spacing w:line="230" w:lineRule="auto" w:before="48"/>
              <w:ind w:left="478" w:right="156" w:hanging="112"/>
              <w:rPr>
                <w:sz w:val="15"/>
              </w:rPr>
            </w:pPr>
            <w:r>
              <w:rPr>
                <w:color w:val="231F20"/>
                <w:sz w:val="15"/>
              </w:rPr>
              <w:t>Early</w:t>
            </w:r>
            <w:r>
              <w:rPr>
                <w:color w:val="231F20"/>
                <w:spacing w:val="-8"/>
                <w:sz w:val="15"/>
              </w:rPr>
              <w:t> </w:t>
            </w:r>
            <w:r>
              <w:rPr>
                <w:color w:val="231F20"/>
                <w:sz w:val="15"/>
              </w:rPr>
              <w:t>childhood</w:t>
            </w:r>
            <w:r>
              <w:rPr>
                <w:color w:val="231F20"/>
                <w:spacing w:val="-8"/>
                <w:sz w:val="15"/>
              </w:rPr>
              <w:t> </w:t>
            </w:r>
            <w:r>
              <w:rPr>
                <w:color w:val="231F20"/>
                <w:sz w:val="15"/>
              </w:rPr>
              <w:t>form</w:t>
            </w:r>
            <w:r>
              <w:rPr>
                <w:color w:val="231F20"/>
                <w:spacing w:val="-8"/>
                <w:sz w:val="15"/>
              </w:rPr>
              <w:t> </w:t>
            </w:r>
            <w:r>
              <w:rPr>
                <w:color w:val="231F20"/>
                <w:sz w:val="15"/>
              </w:rPr>
              <w:t>with</w:t>
            </w:r>
            <w:r>
              <w:rPr>
                <w:color w:val="231F20"/>
                <w:spacing w:val="-8"/>
                <w:sz w:val="15"/>
              </w:rPr>
              <w:t> </w:t>
            </w:r>
            <w:r>
              <w:rPr>
                <w:color w:val="231F20"/>
                <w:sz w:val="15"/>
              </w:rPr>
              <w:t>seizures</w:t>
            </w:r>
            <w:r>
              <w:rPr>
                <w:color w:val="231F20"/>
                <w:spacing w:val="-8"/>
                <w:sz w:val="15"/>
              </w:rPr>
              <w:t> </w:t>
            </w:r>
            <w:r>
              <w:rPr>
                <w:color w:val="231F20"/>
                <w:sz w:val="15"/>
              </w:rPr>
              <w:t>during</w:t>
            </w:r>
            <w:r>
              <w:rPr>
                <w:color w:val="231F20"/>
                <w:spacing w:val="-8"/>
                <w:sz w:val="15"/>
              </w:rPr>
              <w:t> </w:t>
            </w:r>
            <w:r>
              <w:rPr>
                <w:color w:val="231F20"/>
                <w:sz w:val="15"/>
              </w:rPr>
              <w:t>sleep</w:t>
            </w:r>
            <w:r>
              <w:rPr>
                <w:color w:val="231F20"/>
                <w:spacing w:val="-8"/>
                <w:sz w:val="15"/>
              </w:rPr>
              <w:t> </w:t>
            </w:r>
            <w:r>
              <w:rPr>
                <w:color w:val="231F20"/>
                <w:sz w:val="15"/>
              </w:rPr>
              <w:t>and</w:t>
            </w:r>
            <w:r>
              <w:rPr>
                <w:color w:val="231F20"/>
                <w:spacing w:val="-8"/>
                <w:sz w:val="15"/>
              </w:rPr>
              <w:t> </w:t>
            </w:r>
            <w:r>
              <w:rPr>
                <w:color w:val="231F20"/>
                <w:sz w:val="15"/>
              </w:rPr>
              <w:t>ictal</w:t>
            </w:r>
            <w:r>
              <w:rPr>
                <w:color w:val="231F20"/>
                <w:spacing w:val="-8"/>
                <w:sz w:val="15"/>
              </w:rPr>
              <w:t> </w:t>
            </w:r>
            <w:r>
              <w:rPr>
                <w:color w:val="231F20"/>
                <w:sz w:val="15"/>
              </w:rPr>
              <w:t>vomiting;</w:t>
            </w:r>
            <w:r>
              <w:rPr>
                <w:color w:val="231F20"/>
                <w:spacing w:val="-8"/>
                <w:sz w:val="15"/>
              </w:rPr>
              <w:t> </w:t>
            </w:r>
            <w:r>
              <w:rPr>
                <w:color w:val="231F20"/>
                <w:sz w:val="15"/>
              </w:rPr>
              <w:t>can</w:t>
            </w:r>
            <w:r>
              <w:rPr>
                <w:color w:val="231F20"/>
                <w:spacing w:val="-8"/>
                <w:sz w:val="15"/>
              </w:rPr>
              <w:t> </w:t>
            </w:r>
            <w:r>
              <w:rPr>
                <w:color w:val="231F20"/>
                <w:sz w:val="15"/>
              </w:rPr>
              <w:t>occur</w:t>
            </w:r>
            <w:r>
              <w:rPr>
                <w:color w:val="231F20"/>
                <w:spacing w:val="-8"/>
                <w:sz w:val="15"/>
              </w:rPr>
              <w:t> </w:t>
            </w:r>
            <w:r>
              <w:rPr>
                <w:color w:val="231F20"/>
                <w:sz w:val="15"/>
              </w:rPr>
              <w:t>as status epilepticus</w:t>
            </w:r>
          </w:p>
          <w:p>
            <w:pPr>
              <w:pStyle w:val="TableParagraph"/>
              <w:spacing w:line="230" w:lineRule="auto" w:before="1"/>
              <w:ind w:left="478" w:right="16" w:hanging="112"/>
              <w:rPr>
                <w:sz w:val="15"/>
              </w:rPr>
            </w:pPr>
            <w:r>
              <w:rPr>
                <w:color w:val="231F20"/>
                <w:sz w:val="15"/>
              </w:rPr>
              <w:t>Later</w:t>
            </w:r>
            <w:r>
              <w:rPr>
                <w:color w:val="231F20"/>
                <w:spacing w:val="-6"/>
                <w:sz w:val="15"/>
              </w:rPr>
              <w:t> </w:t>
            </w:r>
            <w:r>
              <w:rPr>
                <w:color w:val="231F20"/>
                <w:sz w:val="15"/>
              </w:rPr>
              <w:t>form</w:t>
            </w:r>
            <w:r>
              <w:rPr>
                <w:color w:val="231F20"/>
                <w:spacing w:val="-6"/>
                <w:sz w:val="15"/>
              </w:rPr>
              <w:t> </w:t>
            </w:r>
            <w:r>
              <w:rPr>
                <w:color w:val="231F20"/>
                <w:sz w:val="15"/>
              </w:rPr>
              <w:t>with</w:t>
            </w:r>
            <w:r>
              <w:rPr>
                <w:color w:val="231F20"/>
                <w:spacing w:val="-6"/>
                <w:sz w:val="15"/>
              </w:rPr>
              <w:t> </w:t>
            </w:r>
            <w:r>
              <w:rPr>
                <w:color w:val="231F20"/>
                <w:sz w:val="15"/>
              </w:rPr>
              <w:t>occipital</w:t>
            </w:r>
            <w:r>
              <w:rPr>
                <w:color w:val="231F20"/>
                <w:spacing w:val="-6"/>
                <w:sz w:val="15"/>
              </w:rPr>
              <w:t> </w:t>
            </w:r>
            <w:r>
              <w:rPr>
                <w:color w:val="231F20"/>
                <w:sz w:val="15"/>
              </w:rPr>
              <w:t>spikes</w:t>
            </w:r>
            <w:r>
              <w:rPr>
                <w:color w:val="231F20"/>
                <w:spacing w:val="-6"/>
                <w:sz w:val="15"/>
              </w:rPr>
              <w:t> </w:t>
            </w:r>
            <w:r>
              <w:rPr>
                <w:color w:val="231F20"/>
                <w:sz w:val="15"/>
              </w:rPr>
              <w:t>that</w:t>
            </w:r>
            <w:r>
              <w:rPr>
                <w:color w:val="231F20"/>
                <w:spacing w:val="-6"/>
                <w:sz w:val="15"/>
              </w:rPr>
              <w:t> </w:t>
            </w:r>
            <w:r>
              <w:rPr>
                <w:color w:val="231F20"/>
                <w:sz w:val="15"/>
              </w:rPr>
              <w:t>block</w:t>
            </w:r>
            <w:r>
              <w:rPr>
                <w:color w:val="231F20"/>
                <w:spacing w:val="-6"/>
                <w:sz w:val="15"/>
              </w:rPr>
              <w:t> </w:t>
            </w:r>
            <w:r>
              <w:rPr>
                <w:color w:val="231F20"/>
                <w:sz w:val="15"/>
              </w:rPr>
              <w:t>on</w:t>
            </w:r>
            <w:r>
              <w:rPr>
                <w:color w:val="231F20"/>
                <w:spacing w:val="-6"/>
                <w:sz w:val="15"/>
              </w:rPr>
              <w:t> </w:t>
            </w:r>
            <w:r>
              <w:rPr>
                <w:color w:val="231F20"/>
                <w:sz w:val="15"/>
              </w:rPr>
              <w:t>eye</w:t>
            </w:r>
            <w:r>
              <w:rPr>
                <w:color w:val="231F20"/>
                <w:spacing w:val="-6"/>
                <w:sz w:val="15"/>
              </w:rPr>
              <w:t> </w:t>
            </w:r>
            <w:r>
              <w:rPr>
                <w:color w:val="231F20"/>
                <w:sz w:val="15"/>
              </w:rPr>
              <w:t>opening;</w:t>
            </w:r>
            <w:r>
              <w:rPr>
                <w:color w:val="231F20"/>
                <w:spacing w:val="-6"/>
                <w:sz w:val="15"/>
              </w:rPr>
              <w:t> </w:t>
            </w:r>
            <w:r>
              <w:rPr>
                <w:color w:val="231F20"/>
                <w:sz w:val="15"/>
              </w:rPr>
              <w:t>migrainous</w:t>
            </w:r>
            <w:r>
              <w:rPr>
                <w:color w:val="231F20"/>
                <w:spacing w:val="-6"/>
                <w:sz w:val="15"/>
              </w:rPr>
              <w:t> </w:t>
            </w:r>
            <w:r>
              <w:rPr>
                <w:color w:val="231F20"/>
                <w:sz w:val="15"/>
              </w:rPr>
              <w:t>symptoms</w:t>
            </w:r>
            <w:r>
              <w:rPr>
                <w:color w:val="231F20"/>
                <w:spacing w:val="-6"/>
                <w:sz w:val="15"/>
              </w:rPr>
              <w:t> </w:t>
            </w:r>
            <w:r>
              <w:rPr>
                <w:color w:val="231F20"/>
                <w:sz w:val="15"/>
              </w:rPr>
              <w:t>and seizures; not always benign</w:t>
            </w:r>
          </w:p>
        </w:tc>
      </w:tr>
      <w:tr>
        <w:trPr>
          <w:trHeight w:val="588" w:hRule="atLeast"/>
        </w:trPr>
        <w:tc>
          <w:tcPr>
            <w:tcW w:w="3571" w:type="dxa"/>
            <w:gridSpan w:val="2"/>
            <w:tcBorders>
              <w:top w:val="single" w:sz="4" w:space="0" w:color="FFFFFF"/>
              <w:bottom w:val="single" w:sz="4" w:space="0" w:color="FFFFFF"/>
            </w:tcBorders>
            <w:shd w:val="clear" w:color="auto" w:fill="E8F5F1"/>
          </w:tcPr>
          <w:p>
            <w:pPr>
              <w:pStyle w:val="TableParagraph"/>
              <w:spacing w:before="42"/>
              <w:ind w:left="98"/>
              <w:rPr>
                <w:sz w:val="15"/>
              </w:rPr>
            </w:pPr>
            <w:r>
              <w:rPr>
                <w:color w:val="231F20"/>
                <w:sz w:val="15"/>
              </w:rPr>
              <w:t>Petit</w:t>
            </w:r>
            <w:r>
              <w:rPr>
                <w:color w:val="231F20"/>
                <w:spacing w:val="-9"/>
                <w:sz w:val="15"/>
              </w:rPr>
              <w:t> </w:t>
            </w:r>
            <w:r>
              <w:rPr>
                <w:color w:val="231F20"/>
                <w:sz w:val="15"/>
              </w:rPr>
              <w:t>mal</w:t>
            </w:r>
            <w:r>
              <w:rPr>
                <w:color w:val="231F20"/>
                <w:spacing w:val="-8"/>
                <w:sz w:val="15"/>
              </w:rPr>
              <w:t> </w:t>
            </w:r>
            <w:r>
              <w:rPr>
                <w:color w:val="231F20"/>
                <w:sz w:val="15"/>
              </w:rPr>
              <w:t>absence</w:t>
            </w:r>
            <w:r>
              <w:rPr>
                <w:color w:val="231F20"/>
                <w:spacing w:val="-9"/>
                <w:sz w:val="15"/>
              </w:rPr>
              <w:t> </w:t>
            </w:r>
            <w:r>
              <w:rPr>
                <w:color w:val="231F20"/>
                <w:spacing w:val="-2"/>
                <w:sz w:val="15"/>
              </w:rPr>
              <w:t>epilepsy</w:t>
            </w:r>
          </w:p>
        </w:tc>
        <w:tc>
          <w:tcPr>
            <w:tcW w:w="6192" w:type="dxa"/>
            <w:tcBorders>
              <w:top w:val="single" w:sz="4" w:space="0" w:color="FFFFFF"/>
              <w:bottom w:val="single" w:sz="4" w:space="0" w:color="FFFFFF"/>
            </w:tcBorders>
            <w:shd w:val="clear" w:color="auto" w:fill="E8F5F1"/>
          </w:tcPr>
          <w:p>
            <w:pPr>
              <w:pStyle w:val="TableParagraph"/>
              <w:spacing w:line="171" w:lineRule="exact" w:before="42"/>
              <w:ind w:left="366"/>
              <w:rPr>
                <w:sz w:val="15"/>
              </w:rPr>
            </w:pPr>
            <w:r>
              <w:rPr>
                <w:color w:val="231F20"/>
                <w:sz w:val="15"/>
              </w:rPr>
              <w:t>Cases</w:t>
            </w:r>
            <w:r>
              <w:rPr>
                <w:color w:val="231F20"/>
                <w:spacing w:val="-2"/>
                <w:sz w:val="15"/>
              </w:rPr>
              <w:t> </w:t>
            </w:r>
            <w:r>
              <w:rPr>
                <w:color w:val="231F20"/>
                <w:sz w:val="15"/>
              </w:rPr>
              <w:t>with</w:t>
            </w:r>
            <w:r>
              <w:rPr>
                <w:color w:val="231F20"/>
                <w:spacing w:val="-1"/>
                <w:sz w:val="15"/>
              </w:rPr>
              <w:t> </w:t>
            </w:r>
            <w:r>
              <w:rPr>
                <w:color w:val="231F20"/>
                <w:sz w:val="15"/>
              </w:rPr>
              <w:t>absences</w:t>
            </w:r>
            <w:r>
              <w:rPr>
                <w:color w:val="231F20"/>
                <w:spacing w:val="-2"/>
                <w:sz w:val="15"/>
              </w:rPr>
              <w:t> </w:t>
            </w:r>
            <w:r>
              <w:rPr>
                <w:color w:val="231F20"/>
                <w:sz w:val="15"/>
              </w:rPr>
              <w:t>only;</w:t>
            </w:r>
            <w:r>
              <w:rPr>
                <w:color w:val="231F20"/>
                <w:spacing w:val="-1"/>
                <w:sz w:val="15"/>
              </w:rPr>
              <w:t> </w:t>
            </w:r>
            <w:r>
              <w:rPr>
                <w:color w:val="231F20"/>
                <w:sz w:val="15"/>
              </w:rPr>
              <w:t>some</w:t>
            </w:r>
            <w:r>
              <w:rPr>
                <w:color w:val="231F20"/>
                <w:spacing w:val="-1"/>
                <w:sz w:val="15"/>
              </w:rPr>
              <w:t> </w:t>
            </w:r>
            <w:r>
              <w:rPr>
                <w:color w:val="231F20"/>
                <w:sz w:val="15"/>
              </w:rPr>
              <w:t>have</w:t>
            </w:r>
            <w:r>
              <w:rPr>
                <w:color w:val="231F20"/>
                <w:spacing w:val="-2"/>
                <w:sz w:val="15"/>
              </w:rPr>
              <w:t> </w:t>
            </w:r>
            <w:r>
              <w:rPr>
                <w:color w:val="231F20"/>
                <w:sz w:val="15"/>
              </w:rPr>
              <w:t>generalized</w:t>
            </w:r>
            <w:r>
              <w:rPr>
                <w:color w:val="231F20"/>
                <w:spacing w:val="-1"/>
                <w:sz w:val="15"/>
              </w:rPr>
              <w:t> </w:t>
            </w:r>
            <w:r>
              <w:rPr>
                <w:color w:val="231F20"/>
                <w:spacing w:val="-2"/>
                <w:sz w:val="15"/>
              </w:rPr>
              <w:t>seizures</w:t>
            </w:r>
          </w:p>
          <w:p>
            <w:pPr>
              <w:pStyle w:val="TableParagraph"/>
              <w:spacing w:line="230" w:lineRule="auto" w:before="2"/>
              <w:ind w:left="478" w:right="16" w:hanging="112"/>
              <w:rPr>
                <w:sz w:val="15"/>
              </w:rPr>
            </w:pPr>
            <w:r>
              <w:rPr>
                <w:color w:val="231F20"/>
                <w:sz w:val="15"/>
              </w:rPr>
              <w:t>In</w:t>
            </w:r>
            <w:r>
              <w:rPr>
                <w:color w:val="231F20"/>
                <w:spacing w:val="-7"/>
                <w:sz w:val="15"/>
              </w:rPr>
              <w:t> </w:t>
            </w:r>
            <w:r>
              <w:rPr>
                <w:color w:val="231F20"/>
                <w:sz w:val="15"/>
              </w:rPr>
              <w:t>most</w:t>
            </w:r>
            <w:r>
              <w:rPr>
                <w:color w:val="231F20"/>
                <w:spacing w:val="-7"/>
                <w:sz w:val="15"/>
              </w:rPr>
              <w:t> </w:t>
            </w:r>
            <w:r>
              <w:rPr>
                <w:color w:val="231F20"/>
                <w:sz w:val="15"/>
              </w:rPr>
              <w:t>cases,</w:t>
            </w:r>
            <w:r>
              <w:rPr>
                <w:color w:val="231F20"/>
                <w:spacing w:val="-7"/>
                <w:sz w:val="15"/>
              </w:rPr>
              <w:t> </w:t>
            </w:r>
            <w:r>
              <w:rPr>
                <w:color w:val="231F20"/>
                <w:sz w:val="15"/>
              </w:rPr>
              <w:t>absences</w:t>
            </w:r>
            <w:r>
              <w:rPr>
                <w:color w:val="231F20"/>
                <w:spacing w:val="-7"/>
                <w:sz w:val="15"/>
              </w:rPr>
              <w:t> </w:t>
            </w:r>
            <w:r>
              <w:rPr>
                <w:color w:val="231F20"/>
                <w:sz w:val="15"/>
              </w:rPr>
              <w:t>disappear</w:t>
            </w:r>
            <w:r>
              <w:rPr>
                <w:color w:val="231F20"/>
                <w:spacing w:val="-7"/>
                <w:sz w:val="15"/>
              </w:rPr>
              <w:t> </w:t>
            </w:r>
            <w:r>
              <w:rPr>
                <w:color w:val="231F20"/>
                <w:sz w:val="15"/>
              </w:rPr>
              <w:t>on</w:t>
            </w:r>
            <w:r>
              <w:rPr>
                <w:color w:val="231F20"/>
                <w:spacing w:val="-7"/>
                <w:sz w:val="15"/>
              </w:rPr>
              <w:t> </w:t>
            </w:r>
            <w:r>
              <w:rPr>
                <w:color w:val="231F20"/>
                <w:sz w:val="15"/>
              </w:rPr>
              <w:t>therapy</w:t>
            </w:r>
            <w:r>
              <w:rPr>
                <w:color w:val="231F20"/>
                <w:spacing w:val="-7"/>
                <w:sz w:val="15"/>
              </w:rPr>
              <w:t> </w:t>
            </w:r>
            <w:r>
              <w:rPr>
                <w:color w:val="231F20"/>
                <w:sz w:val="15"/>
              </w:rPr>
              <w:t>but</w:t>
            </w:r>
            <w:r>
              <w:rPr>
                <w:color w:val="231F20"/>
                <w:spacing w:val="-7"/>
                <w:sz w:val="15"/>
              </w:rPr>
              <w:t> </w:t>
            </w:r>
            <w:r>
              <w:rPr>
                <w:color w:val="231F20"/>
                <w:sz w:val="15"/>
              </w:rPr>
              <w:t>there</w:t>
            </w:r>
            <w:r>
              <w:rPr>
                <w:color w:val="231F20"/>
                <w:spacing w:val="-7"/>
                <w:sz w:val="15"/>
              </w:rPr>
              <w:t> </w:t>
            </w:r>
            <w:r>
              <w:rPr>
                <w:color w:val="231F20"/>
                <w:sz w:val="15"/>
              </w:rPr>
              <w:t>are</w:t>
            </w:r>
            <w:r>
              <w:rPr>
                <w:color w:val="231F20"/>
                <w:spacing w:val="-7"/>
                <w:sz w:val="15"/>
              </w:rPr>
              <w:t> </w:t>
            </w:r>
            <w:r>
              <w:rPr>
                <w:color w:val="231F20"/>
                <w:sz w:val="15"/>
              </w:rPr>
              <w:t>resistant</w:t>
            </w:r>
            <w:r>
              <w:rPr>
                <w:color w:val="231F20"/>
                <w:spacing w:val="-7"/>
                <w:sz w:val="15"/>
              </w:rPr>
              <w:t> </w:t>
            </w:r>
            <w:r>
              <w:rPr>
                <w:color w:val="231F20"/>
                <w:sz w:val="15"/>
              </w:rPr>
              <w:t>cases (unpredictable); 60-80% full remission</w:t>
            </w:r>
          </w:p>
        </w:tc>
      </w:tr>
      <w:tr>
        <w:trPr>
          <w:trHeight w:val="415" w:hRule="atLeast"/>
        </w:trPr>
        <w:tc>
          <w:tcPr>
            <w:tcW w:w="3571" w:type="dxa"/>
            <w:gridSpan w:val="2"/>
            <w:tcBorders>
              <w:top w:val="single" w:sz="4" w:space="0" w:color="FFFFFF"/>
              <w:bottom w:val="single" w:sz="8" w:space="0" w:color="231F20"/>
            </w:tcBorders>
            <w:shd w:val="clear" w:color="auto" w:fill="E8F5F1"/>
          </w:tcPr>
          <w:p>
            <w:pPr>
              <w:pStyle w:val="TableParagraph"/>
              <w:spacing w:before="42"/>
              <w:ind w:left="98"/>
              <w:rPr>
                <w:sz w:val="15"/>
              </w:rPr>
            </w:pPr>
            <w:r>
              <w:rPr>
                <w:color w:val="231F20"/>
                <w:sz w:val="15"/>
              </w:rPr>
              <w:t>Juvenile</w:t>
            </w:r>
            <w:r>
              <w:rPr>
                <w:color w:val="231F20"/>
                <w:spacing w:val="-11"/>
                <w:sz w:val="15"/>
              </w:rPr>
              <w:t> </w:t>
            </w:r>
            <w:r>
              <w:rPr>
                <w:color w:val="231F20"/>
                <w:sz w:val="15"/>
              </w:rPr>
              <w:t>myoclonic</w:t>
            </w:r>
            <w:r>
              <w:rPr>
                <w:color w:val="231F20"/>
                <w:spacing w:val="-11"/>
                <w:sz w:val="15"/>
              </w:rPr>
              <w:t> </w:t>
            </w:r>
            <w:r>
              <w:rPr>
                <w:color w:val="231F20"/>
                <w:spacing w:val="-2"/>
                <w:sz w:val="15"/>
              </w:rPr>
              <w:t>epilepsy</w:t>
            </w:r>
          </w:p>
        </w:tc>
        <w:tc>
          <w:tcPr>
            <w:tcW w:w="6192" w:type="dxa"/>
            <w:tcBorders>
              <w:top w:val="single" w:sz="4" w:space="0" w:color="FFFFFF"/>
              <w:bottom w:val="single" w:sz="8" w:space="0" w:color="231F20"/>
            </w:tcBorders>
            <w:shd w:val="clear" w:color="auto" w:fill="E8F5F1"/>
          </w:tcPr>
          <w:p>
            <w:pPr>
              <w:pStyle w:val="TableParagraph"/>
              <w:spacing w:line="230" w:lineRule="auto" w:before="48"/>
              <w:ind w:left="478" w:right="16" w:hanging="112"/>
              <w:rPr>
                <w:sz w:val="15"/>
              </w:rPr>
            </w:pPr>
            <w:r>
              <w:rPr>
                <w:color w:val="231F20"/>
                <w:sz w:val="15"/>
              </w:rPr>
              <w:t>Adolescence</w:t>
            </w:r>
            <w:r>
              <w:rPr>
                <w:color w:val="231F20"/>
                <w:spacing w:val="-9"/>
                <w:sz w:val="15"/>
              </w:rPr>
              <w:t> </w:t>
            </w:r>
            <w:r>
              <w:rPr>
                <w:color w:val="231F20"/>
                <w:sz w:val="15"/>
              </w:rPr>
              <w:t>onset,</w:t>
            </w:r>
            <w:r>
              <w:rPr>
                <w:color w:val="231F20"/>
                <w:spacing w:val="-9"/>
                <w:sz w:val="15"/>
              </w:rPr>
              <w:t> </w:t>
            </w:r>
            <w:r>
              <w:rPr>
                <w:color w:val="231F20"/>
                <w:sz w:val="15"/>
              </w:rPr>
              <w:t>with</w:t>
            </w:r>
            <w:r>
              <w:rPr>
                <w:color w:val="231F20"/>
                <w:spacing w:val="-9"/>
                <w:sz w:val="15"/>
              </w:rPr>
              <w:t> </w:t>
            </w:r>
            <w:r>
              <w:rPr>
                <w:color w:val="231F20"/>
                <w:sz w:val="15"/>
              </w:rPr>
              <w:t>early</w:t>
            </w:r>
            <w:r>
              <w:rPr>
                <w:color w:val="231F20"/>
                <w:spacing w:val="-9"/>
                <w:sz w:val="15"/>
              </w:rPr>
              <w:t> </w:t>
            </w:r>
            <w:r>
              <w:rPr>
                <w:color w:val="231F20"/>
                <w:sz w:val="15"/>
              </w:rPr>
              <w:t>morning</w:t>
            </w:r>
            <w:r>
              <w:rPr>
                <w:color w:val="231F20"/>
                <w:spacing w:val="-9"/>
                <w:sz w:val="15"/>
              </w:rPr>
              <w:t> </w:t>
            </w:r>
            <w:r>
              <w:rPr>
                <w:color w:val="231F20"/>
                <w:sz w:val="15"/>
              </w:rPr>
              <w:t>myoclonic</w:t>
            </w:r>
            <w:r>
              <w:rPr>
                <w:color w:val="231F20"/>
                <w:spacing w:val="-9"/>
                <w:sz w:val="15"/>
              </w:rPr>
              <w:t> </w:t>
            </w:r>
            <w:r>
              <w:rPr>
                <w:color w:val="231F20"/>
                <w:sz w:val="15"/>
              </w:rPr>
              <w:t>seizures</w:t>
            </w:r>
            <w:r>
              <w:rPr>
                <w:color w:val="231F20"/>
                <w:spacing w:val="-9"/>
                <w:sz w:val="15"/>
              </w:rPr>
              <w:t> </w:t>
            </w:r>
            <w:r>
              <w:rPr>
                <w:color w:val="231F20"/>
                <w:sz w:val="15"/>
              </w:rPr>
              <w:t>and</w:t>
            </w:r>
            <w:r>
              <w:rPr>
                <w:color w:val="231F20"/>
                <w:spacing w:val="-9"/>
                <w:sz w:val="15"/>
              </w:rPr>
              <w:t> </w:t>
            </w:r>
            <w:r>
              <w:rPr>
                <w:color w:val="231F20"/>
                <w:sz w:val="15"/>
              </w:rPr>
              <w:t>generalized</w:t>
            </w:r>
            <w:r>
              <w:rPr>
                <w:color w:val="231F20"/>
                <w:spacing w:val="-9"/>
                <w:sz w:val="15"/>
              </w:rPr>
              <w:t> </w:t>
            </w:r>
            <w:r>
              <w:rPr>
                <w:color w:val="231F20"/>
                <w:sz w:val="15"/>
              </w:rPr>
              <w:t>seizures during sleep or upon awakening; often history of absences in childhood</w:t>
            </w:r>
          </w:p>
        </w:tc>
      </w:tr>
    </w:tbl>
    <w:p>
      <w:pPr>
        <w:pStyle w:val="Heading4"/>
        <w:spacing w:before="70"/>
        <w:ind w:left="510"/>
        <w:jc w:val="left"/>
      </w:pPr>
      <w:r>
        <w:rPr>
          <w:color w:val="231F20"/>
        </w:rPr>
        <w:t>EEG,</w:t>
      </w:r>
      <w:r>
        <w:rPr>
          <w:color w:val="231F20"/>
          <w:spacing w:val="-10"/>
        </w:rPr>
        <w:t> </w:t>
      </w:r>
      <w:r>
        <w:rPr>
          <w:color w:val="231F20"/>
        </w:rPr>
        <w:t>electroencephalogram;</w:t>
      </w:r>
      <w:r>
        <w:rPr>
          <w:color w:val="231F20"/>
          <w:spacing w:val="-9"/>
        </w:rPr>
        <w:t> </w:t>
      </w:r>
      <w:r>
        <w:rPr>
          <w:color w:val="231F20"/>
        </w:rPr>
        <w:t>GEFS</w:t>
      </w:r>
      <w:r>
        <w:rPr>
          <w:rFonts w:ascii="Cambria"/>
          <w:color w:val="231F20"/>
        </w:rPr>
        <w:t>+</w:t>
      </w:r>
      <w:r>
        <w:rPr>
          <w:color w:val="231F20"/>
        </w:rPr>
        <w:t>,</w:t>
      </w:r>
      <w:r>
        <w:rPr>
          <w:color w:val="231F20"/>
          <w:spacing w:val="-9"/>
        </w:rPr>
        <w:t> </w:t>
      </w:r>
      <w:r>
        <w:rPr>
          <w:color w:val="231F20"/>
        </w:rPr>
        <w:t>generalized</w:t>
      </w:r>
      <w:r>
        <w:rPr>
          <w:color w:val="231F20"/>
          <w:spacing w:val="-10"/>
        </w:rPr>
        <w:t> </w:t>
      </w:r>
      <w:r>
        <w:rPr>
          <w:color w:val="231F20"/>
        </w:rPr>
        <w:t>epilepsy</w:t>
      </w:r>
      <w:r>
        <w:rPr>
          <w:color w:val="231F20"/>
          <w:spacing w:val="-9"/>
        </w:rPr>
        <w:t> </w:t>
      </w:r>
      <w:r>
        <w:rPr>
          <w:color w:val="231F20"/>
        </w:rPr>
        <w:t>with</w:t>
      </w:r>
      <w:r>
        <w:rPr>
          <w:color w:val="231F20"/>
          <w:spacing w:val="-9"/>
        </w:rPr>
        <w:t> </w:t>
      </w:r>
      <w:r>
        <w:rPr>
          <w:color w:val="231F20"/>
        </w:rPr>
        <w:t>febrile</w:t>
      </w:r>
      <w:r>
        <w:rPr>
          <w:color w:val="231F20"/>
          <w:spacing w:val="-9"/>
        </w:rPr>
        <w:t> </w:t>
      </w:r>
      <w:r>
        <w:rPr>
          <w:color w:val="231F20"/>
        </w:rPr>
        <w:t>seizures</w:t>
      </w:r>
      <w:r>
        <w:rPr>
          <w:color w:val="231F20"/>
          <w:spacing w:val="-10"/>
        </w:rPr>
        <w:t> </w:t>
      </w:r>
      <w:r>
        <w:rPr>
          <w:color w:val="231F20"/>
          <w:spacing w:val="-2"/>
        </w:rPr>
        <w:t>plus.</w:t>
      </w:r>
    </w:p>
    <w:p>
      <w:pPr>
        <w:pStyle w:val="Heading4"/>
        <w:spacing w:after="0"/>
        <w:jc w:val="left"/>
        <w:sectPr>
          <w:pgSz w:w="11900" w:h="16840"/>
          <w:pgMar w:header="0" w:footer="0" w:top="720" w:bottom="280" w:left="425" w:right="566"/>
        </w:sectPr>
      </w:pPr>
    </w:p>
    <w:p>
      <w:pPr>
        <w:pStyle w:val="BodyText"/>
        <w:spacing w:before="191"/>
        <w:rPr>
          <w:sz w:val="20"/>
        </w:rPr>
      </w:pPr>
    </w:p>
    <w:p>
      <w:pPr>
        <w:pStyle w:val="BodyText"/>
        <w:ind w:left="640"/>
        <w:rPr>
          <w:sz w:val="20"/>
        </w:rPr>
      </w:pPr>
      <w:r>
        <w:rPr>
          <w:sz w:val="20"/>
        </w:rPr>
        <mc:AlternateContent>
          <mc:Choice Requires="wps">
            <w:drawing>
              <wp:inline distT="0" distB="0" distL="0" distR="0">
                <wp:extent cx="6185535" cy="170815"/>
                <wp:effectExtent l="76200" t="0" r="5714" b="635"/>
                <wp:docPr id="556" name="Group 556"/>
                <wp:cNvGraphicFramePr>
                  <a:graphicFrameLocks/>
                </wp:cNvGraphicFramePr>
                <a:graphic>
                  <a:graphicData uri="http://schemas.microsoft.com/office/word/2010/wordprocessingGroup">
                    <wpg:wgp>
                      <wpg:cNvPr id="556" name="Group 556"/>
                      <wpg:cNvGrpSpPr/>
                      <wpg:grpSpPr>
                        <a:xfrm>
                          <a:off x="0" y="0"/>
                          <a:ext cx="6185535" cy="170815"/>
                          <a:chExt cx="6185535" cy="170815"/>
                        </a:xfrm>
                      </wpg:grpSpPr>
                      <wps:wsp>
                        <wps:cNvPr id="557" name="Graphic 557"/>
                        <wps:cNvSpPr/>
                        <wps:spPr>
                          <a:xfrm>
                            <a:off x="0"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558" name="Graphic 558"/>
                        <wps:cNvSpPr/>
                        <wps:spPr>
                          <a:xfrm>
                            <a:off x="0" y="15866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559" name="Textbox 559"/>
                        <wps:cNvSpPr txBox="1"/>
                        <wps:spPr>
                          <a:xfrm>
                            <a:off x="0" y="0"/>
                            <a:ext cx="6185535" cy="170815"/>
                          </a:xfrm>
                          <a:prstGeom prst="rect">
                            <a:avLst/>
                          </a:prstGeom>
                        </wps:spPr>
                        <wps:txbx>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2829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492" coordorigin="0,0" coordsize="9741,269">
                <v:line style="position:absolute" from="0,145" to="37,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493" filled="false" stroked="false">
                  <v:textbox inset="0,0,0,0">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2829</w:t>
                        </w:r>
                      </w:p>
                    </w:txbxContent>
                  </v:textbox>
                  <w10:wrap type="none"/>
                </v:shape>
              </v:group>
            </w:pict>
          </mc:Fallback>
        </mc:AlternateContent>
      </w:r>
      <w:r>
        <w:rPr>
          <w:sz w:val="20"/>
        </w:rPr>
      </w:r>
    </w:p>
    <w:p>
      <w:pPr>
        <w:pStyle w:val="BodyText"/>
        <w:spacing w:before="174"/>
        <w:rPr>
          <w:sz w:val="20"/>
        </w:rPr>
      </w:pPr>
      <w:r>
        <w:rPr>
          <w:sz w:val="20"/>
        </w:rPr>
        <mc:AlternateContent>
          <mc:Choice Requires="wps">
            <w:drawing>
              <wp:anchor distT="0" distB="0" distL="0" distR="0" allowOverlap="1" layoutInCell="1" locked="0" behindDoc="1" simplePos="0" relativeHeight="487610880">
                <wp:simplePos x="0" y="0"/>
                <wp:positionH relativeFrom="page">
                  <wp:posOffset>4394491</wp:posOffset>
                </wp:positionH>
                <wp:positionV relativeFrom="paragraph">
                  <wp:posOffset>274037</wp:posOffset>
                </wp:positionV>
                <wp:extent cx="2552065" cy="2860675"/>
                <wp:effectExtent l="0" t="0" r="0" b="0"/>
                <wp:wrapTopAndBottom/>
                <wp:docPr id="560" name="Group 560"/>
                <wp:cNvGraphicFramePr>
                  <a:graphicFrameLocks/>
                </wp:cNvGraphicFramePr>
                <a:graphic>
                  <a:graphicData uri="http://schemas.microsoft.com/office/word/2010/wordprocessingGroup">
                    <wpg:wgp>
                      <wpg:cNvPr id="560" name="Group 560"/>
                      <wpg:cNvGrpSpPr/>
                      <wpg:grpSpPr>
                        <a:xfrm>
                          <a:off x="0" y="0"/>
                          <a:ext cx="2552065" cy="2860675"/>
                          <a:chExt cx="2552065" cy="2860675"/>
                        </a:xfrm>
                      </wpg:grpSpPr>
                      <wps:wsp>
                        <wps:cNvPr id="561" name="Graphic 561"/>
                        <wps:cNvSpPr/>
                        <wps:spPr>
                          <a:xfrm>
                            <a:off x="281853" y="1040767"/>
                            <a:ext cx="1988185" cy="295910"/>
                          </a:xfrm>
                          <a:custGeom>
                            <a:avLst/>
                            <a:gdLst/>
                            <a:ahLst/>
                            <a:cxnLst/>
                            <a:rect l="l" t="t" r="r" b="b"/>
                            <a:pathLst>
                              <a:path w="1988185" h="295910">
                                <a:moveTo>
                                  <a:pt x="1987854" y="0"/>
                                </a:moveTo>
                                <a:lnTo>
                                  <a:pt x="0" y="0"/>
                                </a:lnTo>
                                <a:lnTo>
                                  <a:pt x="0" y="295363"/>
                                </a:lnTo>
                                <a:lnTo>
                                  <a:pt x="1987854" y="295363"/>
                                </a:lnTo>
                                <a:lnTo>
                                  <a:pt x="1987854" y="0"/>
                                </a:lnTo>
                                <a:close/>
                              </a:path>
                            </a:pathLst>
                          </a:custGeom>
                          <a:solidFill>
                            <a:srgbClr val="D7EDDD"/>
                          </a:solidFill>
                        </wps:spPr>
                        <wps:bodyPr wrap="square" lIns="0" tIns="0" rIns="0" bIns="0" rtlCol="0">
                          <a:prstTxWarp prst="textNoShape">
                            <a:avLst/>
                          </a:prstTxWarp>
                          <a:noAutofit/>
                        </wps:bodyPr>
                      </wps:wsp>
                      <wps:wsp>
                        <wps:cNvPr id="562" name="Graphic 562"/>
                        <wps:cNvSpPr/>
                        <wps:spPr>
                          <a:xfrm>
                            <a:off x="281845" y="1040766"/>
                            <a:ext cx="1988185" cy="295910"/>
                          </a:xfrm>
                          <a:custGeom>
                            <a:avLst/>
                            <a:gdLst/>
                            <a:ahLst/>
                            <a:cxnLst/>
                            <a:rect l="l" t="t" r="r" b="b"/>
                            <a:pathLst>
                              <a:path w="1988185" h="295910">
                                <a:moveTo>
                                  <a:pt x="1987870" y="295366"/>
                                </a:moveTo>
                                <a:lnTo>
                                  <a:pt x="0" y="295366"/>
                                </a:lnTo>
                                <a:lnTo>
                                  <a:pt x="0" y="0"/>
                                </a:lnTo>
                                <a:lnTo>
                                  <a:pt x="1987870" y="0"/>
                                </a:lnTo>
                                <a:lnTo>
                                  <a:pt x="1987870" y="295366"/>
                                </a:lnTo>
                                <a:close/>
                              </a:path>
                            </a:pathLst>
                          </a:custGeom>
                          <a:ln w="11849">
                            <a:solidFill>
                              <a:srgbClr val="231F20"/>
                            </a:solidFill>
                            <a:prstDash val="solid"/>
                          </a:ln>
                        </wps:spPr>
                        <wps:bodyPr wrap="square" lIns="0" tIns="0" rIns="0" bIns="0" rtlCol="0">
                          <a:prstTxWarp prst="textNoShape">
                            <a:avLst/>
                          </a:prstTxWarp>
                          <a:noAutofit/>
                        </wps:bodyPr>
                      </wps:wsp>
                      <wps:wsp>
                        <wps:cNvPr id="563" name="Graphic 563"/>
                        <wps:cNvSpPr/>
                        <wps:spPr>
                          <a:xfrm>
                            <a:off x="352947" y="1510779"/>
                            <a:ext cx="1845945" cy="295910"/>
                          </a:xfrm>
                          <a:custGeom>
                            <a:avLst/>
                            <a:gdLst/>
                            <a:ahLst/>
                            <a:cxnLst/>
                            <a:rect l="l" t="t" r="r" b="b"/>
                            <a:pathLst>
                              <a:path w="1845945" h="295910">
                                <a:moveTo>
                                  <a:pt x="1845665" y="0"/>
                                </a:moveTo>
                                <a:lnTo>
                                  <a:pt x="0" y="0"/>
                                </a:lnTo>
                                <a:lnTo>
                                  <a:pt x="0" y="295351"/>
                                </a:lnTo>
                                <a:lnTo>
                                  <a:pt x="1845665" y="295351"/>
                                </a:lnTo>
                                <a:lnTo>
                                  <a:pt x="1845665" y="0"/>
                                </a:lnTo>
                                <a:close/>
                              </a:path>
                            </a:pathLst>
                          </a:custGeom>
                          <a:solidFill>
                            <a:srgbClr val="D7EDDD"/>
                          </a:solidFill>
                        </wps:spPr>
                        <wps:bodyPr wrap="square" lIns="0" tIns="0" rIns="0" bIns="0" rtlCol="0">
                          <a:prstTxWarp prst="textNoShape">
                            <a:avLst/>
                          </a:prstTxWarp>
                          <a:noAutofit/>
                        </wps:bodyPr>
                      </wps:wsp>
                      <wps:wsp>
                        <wps:cNvPr id="564" name="Graphic 564"/>
                        <wps:cNvSpPr/>
                        <wps:spPr>
                          <a:xfrm>
                            <a:off x="352941" y="1510775"/>
                            <a:ext cx="1845945" cy="295910"/>
                          </a:xfrm>
                          <a:custGeom>
                            <a:avLst/>
                            <a:gdLst/>
                            <a:ahLst/>
                            <a:cxnLst/>
                            <a:rect l="l" t="t" r="r" b="b"/>
                            <a:pathLst>
                              <a:path w="1845945" h="295910">
                                <a:moveTo>
                                  <a:pt x="1845678" y="295355"/>
                                </a:moveTo>
                                <a:lnTo>
                                  <a:pt x="0" y="295355"/>
                                </a:lnTo>
                                <a:lnTo>
                                  <a:pt x="0" y="0"/>
                                </a:lnTo>
                                <a:lnTo>
                                  <a:pt x="1845678" y="0"/>
                                </a:lnTo>
                                <a:lnTo>
                                  <a:pt x="1845678" y="295355"/>
                                </a:lnTo>
                                <a:close/>
                              </a:path>
                            </a:pathLst>
                          </a:custGeom>
                          <a:ln w="11849">
                            <a:solidFill>
                              <a:srgbClr val="231F20"/>
                            </a:solidFill>
                            <a:prstDash val="solid"/>
                          </a:ln>
                        </wps:spPr>
                        <wps:bodyPr wrap="square" lIns="0" tIns="0" rIns="0" bIns="0" rtlCol="0">
                          <a:prstTxWarp prst="textNoShape">
                            <a:avLst/>
                          </a:prstTxWarp>
                          <a:noAutofit/>
                        </wps:bodyPr>
                      </wps:wsp>
                      <wps:wsp>
                        <wps:cNvPr id="565" name="Graphic 565"/>
                        <wps:cNvSpPr/>
                        <wps:spPr>
                          <a:xfrm>
                            <a:off x="5954" y="2052872"/>
                            <a:ext cx="765810" cy="600710"/>
                          </a:xfrm>
                          <a:custGeom>
                            <a:avLst/>
                            <a:gdLst/>
                            <a:ahLst/>
                            <a:cxnLst/>
                            <a:rect l="l" t="t" r="r" b="b"/>
                            <a:pathLst>
                              <a:path w="765810" h="600710">
                                <a:moveTo>
                                  <a:pt x="765543" y="0"/>
                                </a:moveTo>
                                <a:lnTo>
                                  <a:pt x="0" y="0"/>
                                </a:lnTo>
                                <a:lnTo>
                                  <a:pt x="0" y="600379"/>
                                </a:lnTo>
                                <a:lnTo>
                                  <a:pt x="765543" y="600379"/>
                                </a:lnTo>
                                <a:lnTo>
                                  <a:pt x="765543" y="0"/>
                                </a:lnTo>
                                <a:close/>
                              </a:path>
                            </a:pathLst>
                          </a:custGeom>
                          <a:solidFill>
                            <a:srgbClr val="D7EDDD"/>
                          </a:solidFill>
                        </wps:spPr>
                        <wps:bodyPr wrap="square" lIns="0" tIns="0" rIns="0" bIns="0" rtlCol="0">
                          <a:prstTxWarp prst="textNoShape">
                            <a:avLst/>
                          </a:prstTxWarp>
                          <a:noAutofit/>
                        </wps:bodyPr>
                      </wps:wsp>
                      <wps:wsp>
                        <wps:cNvPr id="566" name="Graphic 566"/>
                        <wps:cNvSpPr/>
                        <wps:spPr>
                          <a:xfrm>
                            <a:off x="5951" y="2052874"/>
                            <a:ext cx="765810" cy="600710"/>
                          </a:xfrm>
                          <a:custGeom>
                            <a:avLst/>
                            <a:gdLst/>
                            <a:ahLst/>
                            <a:cxnLst/>
                            <a:rect l="l" t="t" r="r" b="b"/>
                            <a:pathLst>
                              <a:path w="765810" h="600710">
                                <a:moveTo>
                                  <a:pt x="765546" y="600379"/>
                                </a:moveTo>
                                <a:lnTo>
                                  <a:pt x="0" y="600379"/>
                                </a:lnTo>
                                <a:lnTo>
                                  <a:pt x="0" y="0"/>
                                </a:lnTo>
                                <a:lnTo>
                                  <a:pt x="765546" y="0"/>
                                </a:lnTo>
                                <a:lnTo>
                                  <a:pt x="765546" y="600379"/>
                                </a:lnTo>
                                <a:close/>
                              </a:path>
                            </a:pathLst>
                          </a:custGeom>
                          <a:ln w="11849">
                            <a:solidFill>
                              <a:srgbClr val="231F20"/>
                            </a:solidFill>
                            <a:prstDash val="solid"/>
                          </a:ln>
                        </wps:spPr>
                        <wps:bodyPr wrap="square" lIns="0" tIns="0" rIns="0" bIns="0" rtlCol="0">
                          <a:prstTxWarp prst="textNoShape">
                            <a:avLst/>
                          </a:prstTxWarp>
                          <a:noAutofit/>
                        </wps:bodyPr>
                      </wps:wsp>
                      <wps:wsp>
                        <wps:cNvPr id="567" name="Graphic 567"/>
                        <wps:cNvSpPr/>
                        <wps:spPr>
                          <a:xfrm>
                            <a:off x="1157875" y="2052873"/>
                            <a:ext cx="1388110" cy="802005"/>
                          </a:xfrm>
                          <a:custGeom>
                            <a:avLst/>
                            <a:gdLst/>
                            <a:ahLst/>
                            <a:cxnLst/>
                            <a:rect l="l" t="t" r="r" b="b"/>
                            <a:pathLst>
                              <a:path w="1388110" h="802005">
                                <a:moveTo>
                                  <a:pt x="1387741" y="0"/>
                                </a:moveTo>
                                <a:lnTo>
                                  <a:pt x="0" y="0"/>
                                </a:lnTo>
                                <a:lnTo>
                                  <a:pt x="0" y="801814"/>
                                </a:lnTo>
                                <a:lnTo>
                                  <a:pt x="1387741" y="801814"/>
                                </a:lnTo>
                                <a:lnTo>
                                  <a:pt x="1387741" y="0"/>
                                </a:lnTo>
                                <a:close/>
                              </a:path>
                            </a:pathLst>
                          </a:custGeom>
                          <a:solidFill>
                            <a:srgbClr val="D7EDDD"/>
                          </a:solidFill>
                        </wps:spPr>
                        <wps:bodyPr wrap="square" lIns="0" tIns="0" rIns="0" bIns="0" rtlCol="0">
                          <a:prstTxWarp prst="textNoShape">
                            <a:avLst/>
                          </a:prstTxWarp>
                          <a:noAutofit/>
                        </wps:bodyPr>
                      </wps:wsp>
                      <wps:wsp>
                        <wps:cNvPr id="568" name="Graphic 568"/>
                        <wps:cNvSpPr/>
                        <wps:spPr>
                          <a:xfrm>
                            <a:off x="1157870" y="2052874"/>
                            <a:ext cx="1388110" cy="802005"/>
                          </a:xfrm>
                          <a:custGeom>
                            <a:avLst/>
                            <a:gdLst/>
                            <a:ahLst/>
                            <a:cxnLst/>
                            <a:rect l="l" t="t" r="r" b="b"/>
                            <a:pathLst>
                              <a:path w="1388110" h="802005">
                                <a:moveTo>
                                  <a:pt x="1387751" y="801816"/>
                                </a:moveTo>
                                <a:lnTo>
                                  <a:pt x="0" y="801816"/>
                                </a:lnTo>
                                <a:lnTo>
                                  <a:pt x="0" y="0"/>
                                </a:lnTo>
                                <a:lnTo>
                                  <a:pt x="1387751" y="0"/>
                                </a:lnTo>
                                <a:lnTo>
                                  <a:pt x="1387751" y="801816"/>
                                </a:lnTo>
                                <a:close/>
                              </a:path>
                            </a:pathLst>
                          </a:custGeom>
                          <a:ln w="11849">
                            <a:solidFill>
                              <a:srgbClr val="231F20"/>
                            </a:solidFill>
                            <a:prstDash val="solid"/>
                          </a:ln>
                        </wps:spPr>
                        <wps:bodyPr wrap="square" lIns="0" tIns="0" rIns="0" bIns="0" rtlCol="0">
                          <a:prstTxWarp prst="textNoShape">
                            <a:avLst/>
                          </a:prstTxWarp>
                          <a:noAutofit/>
                        </wps:bodyPr>
                      </wps:wsp>
                      <wps:wsp>
                        <wps:cNvPr id="569" name="Graphic 569"/>
                        <wps:cNvSpPr/>
                        <wps:spPr>
                          <a:xfrm>
                            <a:off x="1270431" y="870920"/>
                            <a:ext cx="1270" cy="97155"/>
                          </a:xfrm>
                          <a:custGeom>
                            <a:avLst/>
                            <a:gdLst/>
                            <a:ahLst/>
                            <a:cxnLst/>
                            <a:rect l="l" t="t" r="r" b="b"/>
                            <a:pathLst>
                              <a:path w="0" h="97155">
                                <a:moveTo>
                                  <a:pt x="0" y="0"/>
                                </a:moveTo>
                                <a:lnTo>
                                  <a:pt x="0" y="96773"/>
                                </a:lnTo>
                              </a:path>
                            </a:pathLst>
                          </a:custGeom>
                          <a:ln w="11849">
                            <a:solidFill>
                              <a:srgbClr val="231F20"/>
                            </a:solidFill>
                            <a:prstDash val="solid"/>
                          </a:ln>
                        </wps:spPr>
                        <wps:bodyPr wrap="square" lIns="0" tIns="0" rIns="0" bIns="0" rtlCol="0">
                          <a:prstTxWarp prst="textNoShape">
                            <a:avLst/>
                          </a:prstTxWarp>
                          <a:noAutofit/>
                        </wps:bodyPr>
                      </wps:wsp>
                      <wps:wsp>
                        <wps:cNvPr id="570" name="Graphic 570"/>
                        <wps:cNvSpPr/>
                        <wps:spPr>
                          <a:xfrm>
                            <a:off x="1231899" y="940294"/>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571" name="Graphic 571"/>
                        <wps:cNvSpPr/>
                        <wps:spPr>
                          <a:xfrm>
                            <a:off x="1270431" y="1340953"/>
                            <a:ext cx="1270" cy="97155"/>
                          </a:xfrm>
                          <a:custGeom>
                            <a:avLst/>
                            <a:gdLst/>
                            <a:ahLst/>
                            <a:cxnLst/>
                            <a:rect l="l" t="t" r="r" b="b"/>
                            <a:pathLst>
                              <a:path w="0" h="97155">
                                <a:moveTo>
                                  <a:pt x="0" y="0"/>
                                </a:moveTo>
                                <a:lnTo>
                                  <a:pt x="0" y="96761"/>
                                </a:lnTo>
                              </a:path>
                            </a:pathLst>
                          </a:custGeom>
                          <a:ln w="11849">
                            <a:solidFill>
                              <a:srgbClr val="231F20"/>
                            </a:solidFill>
                            <a:prstDash val="solid"/>
                          </a:ln>
                        </wps:spPr>
                        <wps:bodyPr wrap="square" lIns="0" tIns="0" rIns="0" bIns="0" rtlCol="0">
                          <a:prstTxWarp prst="textNoShape">
                            <a:avLst/>
                          </a:prstTxWarp>
                          <a:noAutofit/>
                        </wps:bodyPr>
                      </wps:wsp>
                      <wps:wsp>
                        <wps:cNvPr id="572" name="Graphic 572"/>
                        <wps:cNvSpPr/>
                        <wps:spPr>
                          <a:xfrm>
                            <a:off x="1231899" y="1410327"/>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573" name="Graphic 573"/>
                        <wps:cNvSpPr/>
                        <wps:spPr>
                          <a:xfrm>
                            <a:off x="388478" y="1880091"/>
                            <a:ext cx="1463675" cy="97155"/>
                          </a:xfrm>
                          <a:custGeom>
                            <a:avLst/>
                            <a:gdLst/>
                            <a:ahLst/>
                            <a:cxnLst/>
                            <a:rect l="l" t="t" r="r" b="b"/>
                            <a:pathLst>
                              <a:path w="1463675" h="97155">
                                <a:moveTo>
                                  <a:pt x="0" y="96761"/>
                                </a:moveTo>
                                <a:lnTo>
                                  <a:pt x="0" y="0"/>
                                </a:lnTo>
                                <a:lnTo>
                                  <a:pt x="1463290" y="0"/>
                                </a:lnTo>
                                <a:lnTo>
                                  <a:pt x="1463290" y="96761"/>
                                </a:lnTo>
                              </a:path>
                            </a:pathLst>
                          </a:custGeom>
                          <a:ln w="11849">
                            <a:solidFill>
                              <a:srgbClr val="231F20"/>
                            </a:solidFill>
                            <a:prstDash val="solid"/>
                          </a:ln>
                        </wps:spPr>
                        <wps:bodyPr wrap="square" lIns="0" tIns="0" rIns="0" bIns="0" rtlCol="0">
                          <a:prstTxWarp prst="textNoShape">
                            <a:avLst/>
                          </a:prstTxWarp>
                          <a:noAutofit/>
                        </wps:bodyPr>
                      </wps:wsp>
                      <wps:wsp>
                        <wps:cNvPr id="574" name="Graphic 574"/>
                        <wps:cNvSpPr/>
                        <wps:spPr>
                          <a:xfrm>
                            <a:off x="349949" y="1949467"/>
                            <a:ext cx="1540510" cy="94615"/>
                          </a:xfrm>
                          <a:custGeom>
                            <a:avLst/>
                            <a:gdLst/>
                            <a:ahLst/>
                            <a:cxnLst/>
                            <a:rect l="l" t="t" r="r" b="b"/>
                            <a:pathLst>
                              <a:path w="1540510" h="94615">
                                <a:moveTo>
                                  <a:pt x="77050" y="0"/>
                                </a:moveTo>
                                <a:lnTo>
                                  <a:pt x="38531" y="22390"/>
                                </a:lnTo>
                                <a:lnTo>
                                  <a:pt x="0" y="0"/>
                                </a:lnTo>
                                <a:lnTo>
                                  <a:pt x="38531" y="94322"/>
                                </a:lnTo>
                                <a:lnTo>
                                  <a:pt x="77050" y="0"/>
                                </a:lnTo>
                                <a:close/>
                              </a:path>
                              <a:path w="1540510" h="94615">
                                <a:moveTo>
                                  <a:pt x="1540332" y="0"/>
                                </a:moveTo>
                                <a:lnTo>
                                  <a:pt x="1501800" y="22390"/>
                                </a:lnTo>
                                <a:lnTo>
                                  <a:pt x="1463268" y="0"/>
                                </a:lnTo>
                                <a:lnTo>
                                  <a:pt x="1501800" y="94322"/>
                                </a:lnTo>
                                <a:lnTo>
                                  <a:pt x="1540332" y="0"/>
                                </a:lnTo>
                                <a:close/>
                              </a:path>
                            </a:pathLst>
                          </a:custGeom>
                          <a:solidFill>
                            <a:srgbClr val="231F20"/>
                          </a:solidFill>
                        </wps:spPr>
                        <wps:bodyPr wrap="square" lIns="0" tIns="0" rIns="0" bIns="0" rtlCol="0">
                          <a:prstTxWarp prst="textNoShape">
                            <a:avLst/>
                          </a:prstTxWarp>
                          <a:noAutofit/>
                        </wps:bodyPr>
                      </wps:wsp>
                      <wps:wsp>
                        <wps:cNvPr id="575" name="Graphic 575"/>
                        <wps:cNvSpPr/>
                        <wps:spPr>
                          <a:xfrm>
                            <a:off x="1270431" y="1806035"/>
                            <a:ext cx="1270" cy="74295"/>
                          </a:xfrm>
                          <a:custGeom>
                            <a:avLst/>
                            <a:gdLst/>
                            <a:ahLst/>
                            <a:cxnLst/>
                            <a:rect l="l" t="t" r="r" b="b"/>
                            <a:pathLst>
                              <a:path w="0" h="74295">
                                <a:moveTo>
                                  <a:pt x="0" y="74057"/>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576" name="Textbox 576"/>
                        <wps:cNvSpPr txBox="1"/>
                        <wps:spPr>
                          <a:xfrm>
                            <a:off x="326727" y="1092154"/>
                            <a:ext cx="1910080" cy="201930"/>
                          </a:xfrm>
                          <a:prstGeom prst="rect">
                            <a:avLst/>
                          </a:prstGeom>
                        </wps:spPr>
                        <wps:txbx>
                          <w:txbxContent>
                            <w:p>
                              <w:pPr>
                                <w:spacing w:line="144" w:lineRule="exact" w:before="0"/>
                                <w:ind w:left="0" w:right="18" w:firstLine="0"/>
                                <w:jc w:val="right"/>
                                <w:rPr>
                                  <w:rFonts w:ascii="Arial MT"/>
                                  <w:sz w:val="15"/>
                                </w:rPr>
                              </w:pPr>
                              <w:r>
                                <w:rPr>
                                  <w:rFonts w:ascii="Arial MT"/>
                                  <w:color w:val="231F20"/>
                                  <w:sz w:val="15"/>
                                </w:rPr>
                                <w:t>Counsel</w:t>
                              </w:r>
                              <w:r>
                                <w:rPr>
                                  <w:rFonts w:ascii="Arial MT"/>
                                  <w:color w:val="231F20"/>
                                  <w:spacing w:val="-8"/>
                                  <w:sz w:val="15"/>
                                </w:rPr>
                                <w:t> </w:t>
                              </w:r>
                              <w:r>
                                <w:rPr>
                                  <w:rFonts w:ascii="Arial MT"/>
                                  <w:color w:val="231F20"/>
                                  <w:sz w:val="15"/>
                                </w:rPr>
                                <w:t>parents</w:t>
                              </w:r>
                              <w:r>
                                <w:rPr>
                                  <w:rFonts w:ascii="Arial MT"/>
                                  <w:color w:val="231F20"/>
                                  <w:spacing w:val="-8"/>
                                  <w:sz w:val="15"/>
                                </w:rPr>
                                <w:t> </w:t>
                              </w:r>
                              <w:r>
                                <w:rPr>
                                  <w:rFonts w:ascii="Arial MT"/>
                                  <w:color w:val="231F20"/>
                                  <w:sz w:val="15"/>
                                </w:rPr>
                                <w:t>about</w:t>
                              </w:r>
                              <w:r>
                                <w:rPr>
                                  <w:rFonts w:ascii="Arial MT"/>
                                  <w:color w:val="231F20"/>
                                  <w:spacing w:val="-7"/>
                                  <w:sz w:val="15"/>
                                </w:rPr>
                                <w:t> </w:t>
                              </w:r>
                              <w:r>
                                <w:rPr>
                                  <w:rFonts w:ascii="Arial MT"/>
                                  <w:color w:val="231F20"/>
                                  <w:sz w:val="15"/>
                                </w:rPr>
                                <w:t>risk</w:t>
                              </w:r>
                              <w:r>
                                <w:rPr>
                                  <w:rFonts w:ascii="Arial MT"/>
                                  <w:color w:val="231F20"/>
                                  <w:spacing w:val="-8"/>
                                  <w:sz w:val="15"/>
                                </w:rPr>
                                <w:t> </w:t>
                              </w:r>
                              <w:r>
                                <w:rPr>
                                  <w:rFonts w:ascii="Arial MT"/>
                                  <w:color w:val="231F20"/>
                                  <w:sz w:val="15"/>
                                </w:rPr>
                                <w:t>of</w:t>
                              </w:r>
                              <w:r>
                                <w:rPr>
                                  <w:rFonts w:ascii="Arial MT"/>
                                  <w:color w:val="231F20"/>
                                  <w:spacing w:val="-8"/>
                                  <w:sz w:val="15"/>
                                </w:rPr>
                                <w:t> </w:t>
                              </w:r>
                              <w:r>
                                <w:rPr>
                                  <w:rFonts w:ascii="Arial MT"/>
                                  <w:color w:val="231F20"/>
                                  <w:sz w:val="15"/>
                                </w:rPr>
                                <w:t>recurrence</w:t>
                              </w:r>
                              <w:r>
                                <w:rPr>
                                  <w:rFonts w:ascii="Arial MT"/>
                                  <w:color w:val="231F20"/>
                                  <w:spacing w:val="-8"/>
                                  <w:sz w:val="15"/>
                                </w:rPr>
                                <w:t> </w:t>
                              </w:r>
                              <w:r>
                                <w:rPr>
                                  <w:rFonts w:ascii="Arial MT"/>
                                  <w:color w:val="231F20"/>
                                  <w:spacing w:val="-5"/>
                                  <w:sz w:val="15"/>
                                </w:rPr>
                                <w:t>and</w:t>
                              </w:r>
                            </w:p>
                            <w:p>
                              <w:pPr>
                                <w:spacing w:line="170" w:lineRule="exact" w:before="0"/>
                                <w:ind w:left="0" w:right="112" w:firstLine="0"/>
                                <w:jc w:val="right"/>
                                <w:rPr>
                                  <w:rFonts w:ascii="Arial MT"/>
                                  <w:sz w:val="15"/>
                                </w:rPr>
                              </w:pPr>
                              <w:r>
                                <w:rPr>
                                  <w:rFonts w:ascii="Arial MT"/>
                                  <w:color w:val="231F20"/>
                                  <w:sz w:val="15"/>
                                </w:rPr>
                                <w:t>how</w:t>
                              </w:r>
                              <w:r>
                                <w:rPr>
                                  <w:rFonts w:ascii="Arial MT"/>
                                  <w:color w:val="231F20"/>
                                  <w:spacing w:val="-7"/>
                                  <w:sz w:val="15"/>
                                </w:rPr>
                                <w:t> </w:t>
                              </w:r>
                              <w:r>
                                <w:rPr>
                                  <w:rFonts w:ascii="Arial MT"/>
                                  <w:color w:val="231F20"/>
                                  <w:sz w:val="15"/>
                                </w:rPr>
                                <w:t>to</w:t>
                              </w:r>
                              <w:r>
                                <w:rPr>
                                  <w:rFonts w:ascii="Arial MT"/>
                                  <w:color w:val="231F20"/>
                                  <w:spacing w:val="-7"/>
                                  <w:sz w:val="15"/>
                                </w:rPr>
                                <w:t> </w:t>
                              </w:r>
                              <w:r>
                                <w:rPr>
                                  <w:rFonts w:ascii="Arial MT"/>
                                  <w:color w:val="231F20"/>
                                  <w:sz w:val="15"/>
                                </w:rPr>
                                <w:t>provide</w:t>
                              </w:r>
                              <w:r>
                                <w:rPr>
                                  <w:rFonts w:ascii="Arial MT"/>
                                  <w:color w:val="231F20"/>
                                  <w:spacing w:val="-6"/>
                                  <w:sz w:val="15"/>
                                </w:rPr>
                                <w:t> </w:t>
                              </w:r>
                              <w:r>
                                <w:rPr>
                                  <w:rFonts w:ascii="Arial MT"/>
                                  <w:color w:val="231F20"/>
                                  <w:sz w:val="15"/>
                                </w:rPr>
                                <w:t>first</w:t>
                              </w:r>
                              <w:r>
                                <w:rPr>
                                  <w:rFonts w:ascii="Arial MT"/>
                                  <w:color w:val="231F20"/>
                                  <w:spacing w:val="-7"/>
                                  <w:sz w:val="15"/>
                                </w:rPr>
                                <w:t> </w:t>
                              </w:r>
                              <w:r>
                                <w:rPr>
                                  <w:rFonts w:ascii="Arial MT"/>
                                  <w:color w:val="231F20"/>
                                  <w:sz w:val="15"/>
                                </w:rPr>
                                <w:t>aid</w:t>
                              </w:r>
                              <w:r>
                                <w:rPr>
                                  <w:rFonts w:ascii="Arial MT"/>
                                  <w:color w:val="231F20"/>
                                  <w:spacing w:val="-7"/>
                                  <w:sz w:val="15"/>
                                </w:rPr>
                                <w:t> </w:t>
                              </w:r>
                              <w:r>
                                <w:rPr>
                                  <w:rFonts w:ascii="Arial MT"/>
                                  <w:color w:val="231F20"/>
                                  <w:sz w:val="15"/>
                                </w:rPr>
                                <w:t>and</w:t>
                              </w:r>
                              <w:r>
                                <w:rPr>
                                  <w:rFonts w:ascii="Arial MT"/>
                                  <w:color w:val="231F20"/>
                                  <w:spacing w:val="-6"/>
                                  <w:sz w:val="15"/>
                                </w:rPr>
                                <w:t> </w:t>
                              </w:r>
                              <w:r>
                                <w:rPr>
                                  <w:rFonts w:ascii="Arial MT"/>
                                  <w:color w:val="231F20"/>
                                  <w:sz w:val="15"/>
                                </w:rPr>
                                <w:t>manage</w:t>
                              </w:r>
                              <w:r>
                                <w:rPr>
                                  <w:rFonts w:ascii="Arial MT"/>
                                  <w:color w:val="231F20"/>
                                  <w:spacing w:val="-7"/>
                                  <w:sz w:val="15"/>
                                </w:rPr>
                                <w:t> </w:t>
                              </w:r>
                              <w:r>
                                <w:rPr>
                                  <w:rFonts w:ascii="Arial MT"/>
                                  <w:color w:val="231F20"/>
                                  <w:spacing w:val="-2"/>
                                  <w:sz w:val="15"/>
                                </w:rPr>
                                <w:t>fever.</w:t>
                              </w:r>
                            </w:p>
                          </w:txbxContent>
                        </wps:txbx>
                        <wps:bodyPr wrap="square" lIns="0" tIns="0" rIns="0" bIns="0" rtlCol="0">
                          <a:noAutofit/>
                        </wps:bodyPr>
                      </wps:wsp>
                      <wps:wsp>
                        <wps:cNvPr id="577" name="Textbox 577"/>
                        <wps:cNvSpPr txBox="1"/>
                        <wps:spPr>
                          <a:xfrm>
                            <a:off x="454036" y="1562143"/>
                            <a:ext cx="1656714" cy="201930"/>
                          </a:xfrm>
                          <a:prstGeom prst="rect">
                            <a:avLst/>
                          </a:prstGeom>
                        </wps:spPr>
                        <wps:txbx>
                          <w:txbxContent>
                            <w:p>
                              <w:pPr>
                                <w:spacing w:line="144" w:lineRule="exact" w:before="0"/>
                                <w:ind w:left="0" w:right="18" w:firstLine="0"/>
                                <w:jc w:val="center"/>
                                <w:rPr>
                                  <w:rFonts w:ascii="Arial MT"/>
                                  <w:sz w:val="15"/>
                                </w:rPr>
                              </w:pPr>
                              <w:r>
                                <w:rPr>
                                  <w:rFonts w:ascii="Arial MT"/>
                                  <w:color w:val="231F20"/>
                                  <w:sz w:val="15"/>
                                </w:rPr>
                                <w:t>Determine</w:t>
                              </w:r>
                              <w:r>
                                <w:rPr>
                                  <w:rFonts w:ascii="Arial MT"/>
                                  <w:color w:val="231F20"/>
                                  <w:spacing w:val="-7"/>
                                  <w:sz w:val="15"/>
                                </w:rPr>
                                <w:t> </w:t>
                              </w:r>
                              <w:r>
                                <w:rPr>
                                  <w:rFonts w:ascii="Arial MT"/>
                                  <w:color w:val="231F20"/>
                                  <w:sz w:val="15"/>
                                </w:rPr>
                                <w:t>risk</w:t>
                              </w:r>
                              <w:r>
                                <w:rPr>
                                  <w:rFonts w:ascii="Arial MT"/>
                                  <w:color w:val="231F20"/>
                                  <w:spacing w:val="-6"/>
                                  <w:sz w:val="15"/>
                                </w:rPr>
                                <w:t> </w:t>
                              </w:r>
                              <w:r>
                                <w:rPr>
                                  <w:rFonts w:ascii="Arial MT"/>
                                  <w:color w:val="231F20"/>
                                  <w:sz w:val="15"/>
                                </w:rPr>
                                <w:t>factors</w:t>
                              </w:r>
                              <w:r>
                                <w:rPr>
                                  <w:rFonts w:ascii="Arial MT"/>
                                  <w:color w:val="231F20"/>
                                  <w:spacing w:val="-6"/>
                                  <w:sz w:val="15"/>
                                </w:rPr>
                                <w:t> </w:t>
                              </w:r>
                              <w:r>
                                <w:rPr>
                                  <w:rFonts w:ascii="Arial MT"/>
                                  <w:color w:val="231F20"/>
                                  <w:sz w:val="15"/>
                                </w:rPr>
                                <w:t>for</w:t>
                              </w:r>
                              <w:r>
                                <w:rPr>
                                  <w:rFonts w:ascii="Arial MT"/>
                                  <w:color w:val="231F20"/>
                                  <w:spacing w:val="-7"/>
                                  <w:sz w:val="15"/>
                                </w:rPr>
                                <w:t> </w:t>
                              </w:r>
                              <w:r>
                                <w:rPr>
                                  <w:rFonts w:ascii="Arial MT"/>
                                  <w:color w:val="231F20"/>
                                  <w:sz w:val="15"/>
                                </w:rPr>
                                <w:t>later</w:t>
                              </w:r>
                              <w:r>
                                <w:rPr>
                                  <w:rFonts w:ascii="Arial MT"/>
                                  <w:color w:val="231F20"/>
                                  <w:spacing w:val="-6"/>
                                  <w:sz w:val="15"/>
                                </w:rPr>
                                <w:t> </w:t>
                              </w:r>
                              <w:r>
                                <w:rPr>
                                  <w:rFonts w:ascii="Arial MT"/>
                                  <w:color w:val="231F20"/>
                                  <w:spacing w:val="-2"/>
                                  <w:sz w:val="15"/>
                                </w:rPr>
                                <w:t>epilepsy</w:t>
                              </w:r>
                            </w:p>
                            <w:p>
                              <w:pPr>
                                <w:spacing w:line="170" w:lineRule="exact" w:before="0"/>
                                <w:ind w:left="0" w:right="18" w:firstLine="0"/>
                                <w:jc w:val="center"/>
                                <w:rPr>
                                  <w:rFonts w:ascii="Arial MT"/>
                                  <w:sz w:val="15"/>
                                </w:rPr>
                              </w:pPr>
                              <w:r>
                                <w:rPr>
                                  <w:rFonts w:ascii="Arial MT"/>
                                  <w:color w:val="231F20"/>
                                  <w:spacing w:val="-2"/>
                                  <w:sz w:val="15"/>
                                </w:rPr>
                                <w:t>(Table</w:t>
                              </w:r>
                              <w:r>
                                <w:rPr>
                                  <w:rFonts w:ascii="Arial MT"/>
                                  <w:color w:val="231F20"/>
                                  <w:spacing w:val="-9"/>
                                  <w:sz w:val="15"/>
                                </w:rPr>
                                <w:t> </w:t>
                              </w:r>
                              <w:r>
                                <w:rPr>
                                  <w:rFonts w:ascii="Arial MT"/>
                                  <w:color w:val="231F20"/>
                                  <w:spacing w:val="-2"/>
                                  <w:sz w:val="15"/>
                                </w:rPr>
                                <w:t>593-</w:t>
                              </w:r>
                              <w:r>
                                <w:rPr>
                                  <w:rFonts w:ascii="Arial MT"/>
                                  <w:color w:val="231F20"/>
                                  <w:spacing w:val="-5"/>
                                  <w:sz w:val="15"/>
                                </w:rPr>
                                <w:t>7)</w:t>
                              </w:r>
                            </w:p>
                          </w:txbxContent>
                        </wps:txbx>
                        <wps:bodyPr wrap="square" lIns="0" tIns="0" rIns="0" bIns="0" rtlCol="0">
                          <a:noAutofit/>
                        </wps:bodyPr>
                      </wps:wsp>
                      <wps:wsp>
                        <wps:cNvPr id="578" name="Textbox 578"/>
                        <wps:cNvSpPr txBox="1"/>
                        <wps:spPr>
                          <a:xfrm>
                            <a:off x="196101" y="2092421"/>
                            <a:ext cx="397510" cy="95250"/>
                          </a:xfrm>
                          <a:prstGeom prst="rect">
                            <a:avLst/>
                          </a:prstGeom>
                        </wps:spPr>
                        <wps:txbx>
                          <w:txbxContent>
                            <w:p>
                              <w:pPr>
                                <w:spacing w:line="147" w:lineRule="exact" w:before="0"/>
                                <w:ind w:left="0" w:right="0" w:firstLine="0"/>
                                <w:jc w:val="left"/>
                                <w:rPr>
                                  <w:rFonts w:ascii="Arial"/>
                                  <w:b/>
                                  <w:sz w:val="15"/>
                                </w:rPr>
                              </w:pPr>
                              <w:r>
                                <w:rPr>
                                  <w:rFonts w:ascii="Arial"/>
                                  <w:b/>
                                  <w:color w:val="231F20"/>
                                  <w:sz w:val="15"/>
                                </w:rPr>
                                <w:t>Low</w:t>
                              </w:r>
                              <w:r>
                                <w:rPr>
                                  <w:rFonts w:ascii="Arial"/>
                                  <w:b/>
                                  <w:color w:val="231F20"/>
                                  <w:spacing w:val="-4"/>
                                  <w:sz w:val="15"/>
                                </w:rPr>
                                <w:t> risk</w:t>
                              </w:r>
                            </w:p>
                          </w:txbxContent>
                        </wps:txbx>
                        <wps:bodyPr wrap="square" lIns="0" tIns="0" rIns="0" bIns="0" rtlCol="0">
                          <a:noAutofit/>
                        </wps:bodyPr>
                      </wps:wsp>
                      <wps:wsp>
                        <wps:cNvPr id="579" name="Textbox 579"/>
                        <wps:cNvSpPr txBox="1"/>
                        <wps:spPr>
                          <a:xfrm>
                            <a:off x="1298272" y="2092421"/>
                            <a:ext cx="1118870" cy="95250"/>
                          </a:xfrm>
                          <a:prstGeom prst="rect">
                            <a:avLst/>
                          </a:prstGeom>
                        </wps:spPr>
                        <wps:txbx>
                          <w:txbxContent>
                            <w:p>
                              <w:pPr>
                                <w:spacing w:line="147" w:lineRule="exact" w:before="0"/>
                                <w:ind w:left="0" w:right="0" w:firstLine="0"/>
                                <w:jc w:val="left"/>
                                <w:rPr>
                                  <w:rFonts w:ascii="Arial"/>
                                  <w:b/>
                                  <w:sz w:val="15"/>
                                </w:rPr>
                              </w:pPr>
                              <w:r>
                                <w:rPr>
                                  <w:rFonts w:ascii="Arial"/>
                                  <w:b/>
                                  <w:color w:val="231F20"/>
                                  <w:sz w:val="15"/>
                                </w:rPr>
                                <w:t>Intermediate</w:t>
                              </w:r>
                              <w:r>
                                <w:rPr>
                                  <w:rFonts w:ascii="Arial"/>
                                  <w:b/>
                                  <w:color w:val="231F20"/>
                                  <w:spacing w:val="-10"/>
                                  <w:sz w:val="15"/>
                                </w:rPr>
                                <w:t> </w:t>
                              </w:r>
                              <w:r>
                                <w:rPr>
                                  <w:rFonts w:ascii="Arial"/>
                                  <w:b/>
                                  <w:color w:val="231F20"/>
                                  <w:sz w:val="15"/>
                                </w:rPr>
                                <w:t>or</w:t>
                              </w:r>
                              <w:r>
                                <w:rPr>
                                  <w:rFonts w:ascii="Arial"/>
                                  <w:b/>
                                  <w:color w:val="231F20"/>
                                  <w:spacing w:val="-10"/>
                                  <w:sz w:val="15"/>
                                </w:rPr>
                                <w:t> </w:t>
                              </w:r>
                              <w:r>
                                <w:rPr>
                                  <w:rFonts w:ascii="Arial"/>
                                  <w:b/>
                                  <w:color w:val="231F20"/>
                                  <w:sz w:val="15"/>
                                </w:rPr>
                                <w:t>high</w:t>
                              </w:r>
                              <w:r>
                                <w:rPr>
                                  <w:rFonts w:ascii="Arial"/>
                                  <w:b/>
                                  <w:color w:val="231F20"/>
                                  <w:spacing w:val="-9"/>
                                  <w:sz w:val="15"/>
                                </w:rPr>
                                <w:t> </w:t>
                              </w:r>
                              <w:r>
                                <w:rPr>
                                  <w:rFonts w:ascii="Arial"/>
                                  <w:b/>
                                  <w:color w:val="231F20"/>
                                  <w:spacing w:val="-4"/>
                                  <w:sz w:val="15"/>
                                </w:rPr>
                                <w:t>risk</w:t>
                              </w:r>
                            </w:p>
                          </w:txbxContent>
                        </wps:txbx>
                        <wps:bodyPr wrap="square" lIns="0" tIns="0" rIns="0" bIns="0" rtlCol="0">
                          <a:noAutofit/>
                        </wps:bodyPr>
                      </wps:wsp>
                      <wps:wsp>
                        <wps:cNvPr id="580" name="Textbox 580"/>
                        <wps:cNvSpPr txBox="1"/>
                        <wps:spPr>
                          <a:xfrm>
                            <a:off x="89363" y="2299830"/>
                            <a:ext cx="608330" cy="308610"/>
                          </a:xfrm>
                          <a:prstGeom prst="rect">
                            <a:avLst/>
                          </a:prstGeom>
                        </wps:spPr>
                        <wps:txbx>
                          <w:txbxContent>
                            <w:p>
                              <w:pPr>
                                <w:spacing w:line="144" w:lineRule="exact" w:before="0"/>
                                <w:ind w:left="21" w:right="0" w:firstLine="0"/>
                                <w:jc w:val="left"/>
                                <w:rPr>
                                  <w:rFonts w:ascii="Arial MT"/>
                                  <w:sz w:val="15"/>
                                </w:rPr>
                              </w:pPr>
                              <w:r>
                                <w:rPr>
                                  <w:rFonts w:ascii="Arial MT"/>
                                  <w:color w:val="231F20"/>
                                  <w:sz w:val="15"/>
                                </w:rPr>
                                <w:t>No</w:t>
                              </w:r>
                              <w:r>
                                <w:rPr>
                                  <w:rFonts w:ascii="Arial MT"/>
                                  <w:color w:val="231F20"/>
                                  <w:spacing w:val="-5"/>
                                  <w:sz w:val="15"/>
                                </w:rPr>
                                <w:t> </w:t>
                              </w:r>
                              <w:r>
                                <w:rPr>
                                  <w:rFonts w:ascii="Arial MT"/>
                                  <w:color w:val="231F20"/>
                                  <w:sz w:val="15"/>
                                </w:rPr>
                                <w:t>therapy</w:t>
                              </w:r>
                              <w:r>
                                <w:rPr>
                                  <w:rFonts w:ascii="Arial MT"/>
                                  <w:color w:val="231F20"/>
                                  <w:spacing w:val="-5"/>
                                  <w:sz w:val="15"/>
                                </w:rPr>
                                <w:t> or</w:t>
                              </w:r>
                            </w:p>
                            <w:p>
                              <w:pPr>
                                <w:spacing w:line="232" w:lineRule="auto" w:before="2"/>
                                <w:ind w:left="0" w:right="0" w:firstLine="22"/>
                                <w:jc w:val="left"/>
                                <w:rPr>
                                  <w:rFonts w:ascii="Arial MT"/>
                                  <w:sz w:val="15"/>
                                </w:rPr>
                              </w:pPr>
                              <w:r>
                                <w:rPr>
                                  <w:rFonts w:ascii="Arial MT"/>
                                  <w:color w:val="231F20"/>
                                  <w:spacing w:val="-2"/>
                                  <w:sz w:val="15"/>
                                </w:rPr>
                                <w:t>investigations</w:t>
                              </w:r>
                              <w:r>
                                <w:rPr>
                                  <w:rFonts w:ascii="Arial MT"/>
                                  <w:color w:val="231F20"/>
                                  <w:sz w:val="15"/>
                                </w:rPr>
                                <w:t> are</w:t>
                              </w:r>
                              <w:r>
                                <w:rPr>
                                  <w:rFonts w:ascii="Arial MT"/>
                                  <w:color w:val="231F20"/>
                                  <w:spacing w:val="-6"/>
                                  <w:sz w:val="15"/>
                                </w:rPr>
                                <w:t> </w:t>
                              </w:r>
                              <w:r>
                                <w:rPr>
                                  <w:rFonts w:ascii="Arial MT"/>
                                  <w:color w:val="231F20"/>
                                  <w:spacing w:val="-2"/>
                                  <w:sz w:val="15"/>
                                </w:rPr>
                                <w:t>necessary</w:t>
                              </w:r>
                            </w:p>
                          </w:txbxContent>
                        </wps:txbx>
                        <wps:bodyPr wrap="square" lIns="0" tIns="0" rIns="0" bIns="0" rtlCol="0">
                          <a:noAutofit/>
                        </wps:bodyPr>
                      </wps:wsp>
                      <wps:wsp>
                        <wps:cNvPr id="581" name="Textbox 581"/>
                        <wps:cNvSpPr txBox="1"/>
                        <wps:spPr>
                          <a:xfrm>
                            <a:off x="1209070" y="2299830"/>
                            <a:ext cx="1299210" cy="521970"/>
                          </a:xfrm>
                          <a:prstGeom prst="rect">
                            <a:avLst/>
                          </a:prstGeom>
                        </wps:spPr>
                        <wps:txbx>
                          <w:txbxContent>
                            <w:p>
                              <w:pPr>
                                <w:numPr>
                                  <w:ilvl w:val="0"/>
                                  <w:numId w:val="55"/>
                                </w:numPr>
                                <w:tabs>
                                  <w:tab w:pos="165" w:val="left" w:leader="none"/>
                                </w:tabs>
                                <w:spacing w:line="144" w:lineRule="exact" w:before="0"/>
                                <w:ind w:left="165" w:right="0" w:hanging="165"/>
                                <w:jc w:val="left"/>
                                <w:rPr>
                                  <w:rFonts w:ascii="Arial MT"/>
                                  <w:sz w:val="15"/>
                                </w:rPr>
                              </w:pPr>
                              <w:r>
                                <w:rPr>
                                  <w:rFonts w:ascii="Arial MT"/>
                                  <w:color w:val="231F20"/>
                                  <w:sz w:val="15"/>
                                </w:rPr>
                                <w:t>Consider</w:t>
                              </w:r>
                              <w:r>
                                <w:rPr>
                                  <w:rFonts w:ascii="Arial MT"/>
                                  <w:color w:val="231F20"/>
                                  <w:spacing w:val="-6"/>
                                  <w:sz w:val="15"/>
                                </w:rPr>
                                <w:t> </w:t>
                              </w:r>
                              <w:r>
                                <w:rPr>
                                  <w:rFonts w:ascii="Arial MT"/>
                                  <w:color w:val="231F20"/>
                                  <w:sz w:val="15"/>
                                </w:rPr>
                                <w:t>EEG</w:t>
                              </w:r>
                              <w:r>
                                <w:rPr>
                                  <w:rFonts w:ascii="Arial MT"/>
                                  <w:color w:val="231F20"/>
                                  <w:spacing w:val="-6"/>
                                  <w:sz w:val="15"/>
                                </w:rPr>
                                <w:t> </w:t>
                              </w:r>
                              <w:r>
                                <w:rPr>
                                  <w:rFonts w:ascii="Arial MT"/>
                                  <w:color w:val="231F20"/>
                                  <w:sz w:val="15"/>
                                </w:rPr>
                                <w:t>and</w:t>
                              </w:r>
                              <w:r>
                                <w:rPr>
                                  <w:rFonts w:ascii="Arial MT"/>
                                  <w:color w:val="231F20"/>
                                  <w:spacing w:val="-5"/>
                                  <w:sz w:val="15"/>
                                </w:rPr>
                                <w:t> </w:t>
                              </w:r>
                              <w:r>
                                <w:rPr>
                                  <w:rFonts w:ascii="Arial MT"/>
                                  <w:color w:val="231F20"/>
                                  <w:spacing w:val="-2"/>
                                  <w:sz w:val="15"/>
                                </w:rPr>
                                <w:t>imaging</w:t>
                              </w:r>
                            </w:p>
                            <w:p>
                              <w:pPr>
                                <w:numPr>
                                  <w:ilvl w:val="0"/>
                                  <w:numId w:val="55"/>
                                </w:numPr>
                                <w:tabs>
                                  <w:tab w:pos="166" w:val="left" w:leader="none"/>
                                </w:tabs>
                                <w:spacing w:line="232" w:lineRule="auto" w:before="2"/>
                                <w:ind w:left="166" w:right="18" w:hanging="166"/>
                                <w:jc w:val="left"/>
                                <w:rPr>
                                  <w:rFonts w:ascii="Arial MT"/>
                                  <w:sz w:val="15"/>
                                </w:rPr>
                              </w:pPr>
                              <w:r>
                                <w:rPr>
                                  <w:rFonts w:ascii="Arial MT"/>
                                  <w:color w:val="231F20"/>
                                  <w:sz w:val="15"/>
                                </w:rPr>
                                <w:t>Consider intermittent oral diazepam</w:t>
                              </w:r>
                              <w:r>
                                <w:rPr>
                                  <w:rFonts w:ascii="Arial MT"/>
                                  <w:color w:val="231F20"/>
                                  <w:spacing w:val="-2"/>
                                  <w:sz w:val="15"/>
                                </w:rPr>
                                <w:t> </w:t>
                              </w:r>
                              <w:r>
                                <w:rPr>
                                  <w:rFonts w:ascii="Arial MT"/>
                                  <w:color w:val="231F20"/>
                                  <w:sz w:val="15"/>
                                </w:rPr>
                                <w:t>or,</w:t>
                              </w:r>
                              <w:r>
                                <w:rPr>
                                  <w:rFonts w:ascii="Arial MT"/>
                                  <w:color w:val="231F20"/>
                                  <w:spacing w:val="-2"/>
                                  <w:sz w:val="15"/>
                                </w:rPr>
                                <w:t> </w:t>
                              </w:r>
                              <w:r>
                                <w:rPr>
                                  <w:rFonts w:ascii="Arial MT"/>
                                  <w:color w:val="231F20"/>
                                  <w:sz w:val="15"/>
                                </w:rPr>
                                <w:t>in</w:t>
                              </w:r>
                              <w:r>
                                <w:rPr>
                                  <w:rFonts w:ascii="Arial MT"/>
                                  <w:color w:val="231F20"/>
                                  <w:spacing w:val="-2"/>
                                  <w:sz w:val="15"/>
                                </w:rPr>
                                <w:t> </w:t>
                              </w:r>
                              <w:r>
                                <w:rPr>
                                  <w:rFonts w:ascii="Arial MT"/>
                                  <w:color w:val="231F20"/>
                                  <w:sz w:val="15"/>
                                </w:rPr>
                                <w:t>exceptional cases</w:t>
                              </w:r>
                              <w:r>
                                <w:rPr>
                                  <w:rFonts w:ascii="Arial MT"/>
                                  <w:color w:val="231F20"/>
                                  <w:spacing w:val="-11"/>
                                  <w:sz w:val="15"/>
                                </w:rPr>
                                <w:t> </w:t>
                              </w:r>
                              <w:r>
                                <w:rPr>
                                  <w:rFonts w:ascii="Arial MT"/>
                                  <w:color w:val="231F20"/>
                                  <w:sz w:val="15"/>
                                </w:rPr>
                                <w:t>that</w:t>
                              </w:r>
                              <w:r>
                                <w:rPr>
                                  <w:rFonts w:ascii="Arial MT"/>
                                  <w:color w:val="231F20"/>
                                  <w:spacing w:val="-10"/>
                                  <w:sz w:val="15"/>
                                </w:rPr>
                                <w:t> </w:t>
                              </w:r>
                              <w:r>
                                <w:rPr>
                                  <w:rFonts w:ascii="Arial MT"/>
                                  <w:color w:val="231F20"/>
                                  <w:sz w:val="15"/>
                                </w:rPr>
                                <w:t>recur,</w:t>
                              </w:r>
                              <w:r>
                                <w:rPr>
                                  <w:rFonts w:ascii="Arial MT"/>
                                  <w:color w:val="231F20"/>
                                  <w:spacing w:val="-11"/>
                                  <w:sz w:val="15"/>
                                </w:rPr>
                                <w:t> </w:t>
                              </w:r>
                              <w:r>
                                <w:rPr>
                                  <w:rFonts w:ascii="Arial MT"/>
                                  <w:color w:val="231F20"/>
                                  <w:sz w:val="15"/>
                                </w:rPr>
                                <w:t>continuous </w:t>
                              </w:r>
                              <w:r>
                                <w:rPr>
                                  <w:rFonts w:ascii="Arial MT"/>
                                  <w:color w:val="231F20"/>
                                  <w:spacing w:val="-2"/>
                                  <w:sz w:val="15"/>
                                </w:rPr>
                                <w:t>therapy</w:t>
                              </w:r>
                            </w:p>
                          </w:txbxContent>
                        </wps:txbx>
                        <wps:bodyPr wrap="square" lIns="0" tIns="0" rIns="0" bIns="0" rtlCol="0">
                          <a:noAutofit/>
                        </wps:bodyPr>
                      </wps:wsp>
                      <wps:wsp>
                        <wps:cNvPr id="582" name="Textbox 582"/>
                        <wps:cNvSpPr txBox="1"/>
                        <wps:spPr>
                          <a:xfrm>
                            <a:off x="5924" y="5924"/>
                            <a:ext cx="2540000" cy="865505"/>
                          </a:xfrm>
                          <a:prstGeom prst="rect">
                            <a:avLst/>
                          </a:prstGeom>
                          <a:solidFill>
                            <a:srgbClr val="D7EDDD"/>
                          </a:solidFill>
                          <a:ln w="11849">
                            <a:solidFill>
                              <a:srgbClr val="231F20"/>
                            </a:solidFill>
                            <a:prstDash val="solid"/>
                          </a:ln>
                        </wps:spPr>
                        <wps:txbx>
                          <w:txbxContent>
                            <w:p>
                              <w:pPr>
                                <w:numPr>
                                  <w:ilvl w:val="0"/>
                                  <w:numId w:val="56"/>
                                </w:numPr>
                                <w:tabs>
                                  <w:tab w:pos="164" w:val="left" w:leader="none"/>
                                </w:tabs>
                                <w:spacing w:before="39"/>
                                <w:ind w:left="164" w:right="0" w:hanging="106"/>
                                <w:jc w:val="left"/>
                                <w:rPr>
                                  <w:rFonts w:ascii="Arial MT"/>
                                  <w:color w:val="000000"/>
                                  <w:sz w:val="15"/>
                                </w:rPr>
                              </w:pPr>
                              <w:r>
                                <w:rPr>
                                  <w:rFonts w:ascii="Arial MT"/>
                                  <w:color w:val="231F20"/>
                                  <w:spacing w:val="-2"/>
                                  <w:sz w:val="15"/>
                                </w:rPr>
                                <w:t>History</w:t>
                              </w:r>
                            </w:p>
                            <w:p>
                              <w:pPr>
                                <w:numPr>
                                  <w:ilvl w:val="0"/>
                                  <w:numId w:val="56"/>
                                </w:numPr>
                                <w:tabs>
                                  <w:tab w:pos="164" w:val="left" w:leader="none"/>
                                </w:tabs>
                                <w:spacing w:before="70"/>
                                <w:ind w:left="164" w:right="0" w:hanging="106"/>
                                <w:jc w:val="left"/>
                                <w:rPr>
                                  <w:rFonts w:ascii="Arial MT"/>
                                  <w:color w:val="000000"/>
                                  <w:sz w:val="15"/>
                                </w:rPr>
                              </w:pPr>
                              <w:r>
                                <w:rPr>
                                  <w:rFonts w:ascii="Arial MT"/>
                                  <w:color w:val="231F20"/>
                                  <w:spacing w:val="-4"/>
                                  <w:sz w:val="15"/>
                                </w:rPr>
                                <w:t>Exam</w:t>
                              </w:r>
                            </w:p>
                            <w:p>
                              <w:pPr>
                                <w:numPr>
                                  <w:ilvl w:val="0"/>
                                  <w:numId w:val="56"/>
                                </w:numPr>
                                <w:tabs>
                                  <w:tab w:pos="163" w:val="left" w:leader="none"/>
                                  <w:tab w:pos="165" w:val="left" w:leader="none"/>
                                </w:tabs>
                                <w:spacing w:line="232" w:lineRule="auto" w:before="75"/>
                                <w:ind w:left="165" w:right="129" w:hanging="108"/>
                                <w:jc w:val="left"/>
                                <w:rPr>
                                  <w:rFonts w:ascii="Arial MT"/>
                                  <w:color w:val="000000"/>
                                  <w:sz w:val="15"/>
                                </w:rPr>
                              </w:pPr>
                              <w:r>
                                <w:rPr>
                                  <w:rFonts w:ascii="Arial MT"/>
                                  <w:color w:val="231F20"/>
                                  <w:sz w:val="15"/>
                                </w:rPr>
                                <w:t>Manage</w:t>
                              </w:r>
                              <w:r>
                                <w:rPr>
                                  <w:rFonts w:ascii="Arial MT"/>
                                  <w:color w:val="231F20"/>
                                  <w:spacing w:val="-7"/>
                                  <w:sz w:val="15"/>
                                </w:rPr>
                                <w:t> </w:t>
                              </w:r>
                              <w:r>
                                <w:rPr>
                                  <w:rFonts w:ascii="Arial MT"/>
                                  <w:color w:val="231F20"/>
                                  <w:sz w:val="15"/>
                                </w:rPr>
                                <w:t>acute</w:t>
                              </w:r>
                              <w:r>
                                <w:rPr>
                                  <w:rFonts w:ascii="Arial MT"/>
                                  <w:color w:val="231F20"/>
                                  <w:spacing w:val="-7"/>
                                  <w:sz w:val="15"/>
                                </w:rPr>
                                <w:t> </w:t>
                              </w:r>
                              <w:r>
                                <w:rPr>
                                  <w:rFonts w:ascii="Arial MT"/>
                                  <w:color w:val="231F20"/>
                                  <w:sz w:val="15"/>
                                </w:rPr>
                                <w:t>febrile</w:t>
                              </w:r>
                              <w:r>
                                <w:rPr>
                                  <w:rFonts w:ascii="Arial MT"/>
                                  <w:color w:val="231F20"/>
                                  <w:spacing w:val="-7"/>
                                  <w:sz w:val="15"/>
                                </w:rPr>
                                <w:t> </w:t>
                              </w:r>
                              <w:r>
                                <w:rPr>
                                  <w:rFonts w:ascii="Arial MT"/>
                                  <w:color w:val="231F20"/>
                                  <w:sz w:val="15"/>
                                </w:rPr>
                                <w:t>seizure</w:t>
                              </w:r>
                              <w:r>
                                <w:rPr>
                                  <w:rFonts w:ascii="Arial MT"/>
                                  <w:color w:val="231F20"/>
                                  <w:spacing w:val="-7"/>
                                  <w:sz w:val="15"/>
                                </w:rPr>
                                <w:t> </w:t>
                              </w:r>
                              <w:r>
                                <w:rPr>
                                  <w:rFonts w:ascii="Arial MT"/>
                                  <w:color w:val="231F20"/>
                                  <w:sz w:val="15"/>
                                </w:rPr>
                                <w:t>and</w:t>
                              </w:r>
                              <w:r>
                                <w:rPr>
                                  <w:rFonts w:ascii="Arial MT"/>
                                  <w:color w:val="231F20"/>
                                  <w:spacing w:val="-7"/>
                                  <w:sz w:val="15"/>
                                </w:rPr>
                                <w:t> </w:t>
                              </w:r>
                              <w:r>
                                <w:rPr>
                                  <w:rFonts w:ascii="Arial MT"/>
                                  <w:color w:val="231F20"/>
                                  <w:sz w:val="15"/>
                                </w:rPr>
                                <w:t>acute</w:t>
                              </w:r>
                              <w:r>
                                <w:rPr>
                                  <w:rFonts w:ascii="Arial MT"/>
                                  <w:color w:val="231F20"/>
                                  <w:spacing w:val="-7"/>
                                  <w:sz w:val="15"/>
                                </w:rPr>
                                <w:t> </w:t>
                              </w:r>
                              <w:r>
                                <w:rPr>
                                  <w:rFonts w:ascii="Arial MT"/>
                                  <w:color w:val="231F20"/>
                                  <w:sz w:val="15"/>
                                </w:rPr>
                                <w:t>illness</w:t>
                              </w:r>
                              <w:r>
                                <w:rPr>
                                  <w:rFonts w:ascii="Arial MT"/>
                                  <w:color w:val="231F20"/>
                                  <w:spacing w:val="-7"/>
                                  <w:sz w:val="15"/>
                                </w:rPr>
                                <w:t> </w:t>
                              </w:r>
                              <w:r>
                                <w:rPr>
                                  <w:rFonts w:ascii="Arial MT"/>
                                  <w:color w:val="231F20"/>
                                  <w:sz w:val="15"/>
                                </w:rPr>
                                <w:t>(first</w:t>
                              </w:r>
                              <w:r>
                                <w:rPr>
                                  <w:rFonts w:ascii="Arial MT"/>
                                  <w:color w:val="231F20"/>
                                  <w:spacing w:val="-7"/>
                                  <w:sz w:val="15"/>
                                </w:rPr>
                                <w:t> </w:t>
                              </w:r>
                              <w:r>
                                <w:rPr>
                                  <w:rFonts w:ascii="Arial MT"/>
                                  <w:color w:val="231F20"/>
                                  <w:sz w:val="15"/>
                                </w:rPr>
                                <w:t>aid, midazolam, diazepam, diagnostic tests) as needed.</w:t>
                              </w:r>
                            </w:p>
                            <w:p>
                              <w:pPr>
                                <w:numPr>
                                  <w:ilvl w:val="0"/>
                                  <w:numId w:val="56"/>
                                </w:numPr>
                                <w:tabs>
                                  <w:tab w:pos="163" w:val="left" w:leader="none"/>
                                  <w:tab w:pos="165" w:val="left" w:leader="none"/>
                                </w:tabs>
                                <w:spacing w:line="232" w:lineRule="auto" w:before="76"/>
                                <w:ind w:left="165" w:right="55" w:hanging="108"/>
                                <w:jc w:val="left"/>
                                <w:rPr>
                                  <w:rFonts w:ascii="Arial MT"/>
                                  <w:color w:val="000000"/>
                                  <w:sz w:val="15"/>
                                </w:rPr>
                              </w:pPr>
                              <w:r>
                                <w:rPr>
                                  <w:rFonts w:ascii="Arial MT"/>
                                  <w:color w:val="231F20"/>
                                  <w:sz w:val="15"/>
                                </w:rPr>
                                <w:t>Determine</w:t>
                              </w:r>
                              <w:r>
                                <w:rPr>
                                  <w:rFonts w:ascii="Arial MT"/>
                                  <w:color w:val="231F20"/>
                                  <w:spacing w:val="-7"/>
                                  <w:sz w:val="15"/>
                                </w:rPr>
                                <w:t> </w:t>
                              </w:r>
                              <w:r>
                                <w:rPr>
                                  <w:rFonts w:ascii="Arial MT"/>
                                  <w:color w:val="231F20"/>
                                  <w:sz w:val="15"/>
                                </w:rPr>
                                <w:t>risk</w:t>
                              </w:r>
                              <w:r>
                                <w:rPr>
                                  <w:rFonts w:ascii="Arial MT"/>
                                  <w:color w:val="231F20"/>
                                  <w:spacing w:val="-7"/>
                                  <w:sz w:val="15"/>
                                </w:rPr>
                                <w:t> </w:t>
                              </w:r>
                              <w:r>
                                <w:rPr>
                                  <w:rFonts w:ascii="Arial MT"/>
                                  <w:color w:val="231F20"/>
                                  <w:sz w:val="15"/>
                                </w:rPr>
                                <w:t>factors</w:t>
                              </w:r>
                              <w:r>
                                <w:rPr>
                                  <w:rFonts w:ascii="Arial MT"/>
                                  <w:color w:val="231F20"/>
                                  <w:spacing w:val="-7"/>
                                  <w:sz w:val="15"/>
                                </w:rPr>
                                <w:t> </w:t>
                              </w:r>
                              <w:r>
                                <w:rPr>
                                  <w:rFonts w:ascii="Arial MT"/>
                                  <w:color w:val="231F20"/>
                                  <w:sz w:val="15"/>
                                </w:rPr>
                                <w:t>for</w:t>
                              </w:r>
                              <w:r>
                                <w:rPr>
                                  <w:rFonts w:ascii="Arial MT"/>
                                  <w:color w:val="231F20"/>
                                  <w:spacing w:val="-7"/>
                                  <w:sz w:val="15"/>
                                </w:rPr>
                                <w:t> </w:t>
                              </w:r>
                              <w:r>
                                <w:rPr>
                                  <w:rFonts w:ascii="Arial MT"/>
                                  <w:color w:val="231F20"/>
                                  <w:sz w:val="15"/>
                                </w:rPr>
                                <w:t>recurrence</w:t>
                              </w:r>
                              <w:r>
                                <w:rPr>
                                  <w:rFonts w:ascii="Arial MT"/>
                                  <w:color w:val="231F20"/>
                                  <w:spacing w:val="-7"/>
                                  <w:sz w:val="15"/>
                                </w:rPr>
                                <w:t> </w:t>
                              </w:r>
                              <w:r>
                                <w:rPr>
                                  <w:rFonts w:ascii="Arial MT"/>
                                  <w:color w:val="231F20"/>
                                  <w:sz w:val="15"/>
                                </w:rPr>
                                <w:t>and</w:t>
                              </w:r>
                              <w:r>
                                <w:rPr>
                                  <w:rFonts w:ascii="Arial MT"/>
                                  <w:color w:val="231F20"/>
                                  <w:spacing w:val="-7"/>
                                  <w:sz w:val="15"/>
                                </w:rPr>
                                <w:t> </w:t>
                              </w:r>
                              <w:r>
                                <w:rPr>
                                  <w:rFonts w:ascii="Arial MT"/>
                                  <w:color w:val="231F20"/>
                                  <w:sz w:val="15"/>
                                </w:rPr>
                                <w:t>estimate</w:t>
                              </w:r>
                              <w:r>
                                <w:rPr>
                                  <w:rFonts w:ascii="Arial MT"/>
                                  <w:color w:val="231F20"/>
                                  <w:spacing w:val="-7"/>
                                  <w:sz w:val="15"/>
                                </w:rPr>
                                <w:t> </w:t>
                              </w:r>
                              <w:r>
                                <w:rPr>
                                  <w:rFonts w:ascii="Arial MT"/>
                                  <w:color w:val="231F20"/>
                                  <w:sz w:val="15"/>
                                </w:rPr>
                                <w:t>risk</w:t>
                              </w:r>
                              <w:r>
                                <w:rPr>
                                  <w:rFonts w:ascii="Arial MT"/>
                                  <w:color w:val="231F20"/>
                                  <w:spacing w:val="-7"/>
                                  <w:sz w:val="15"/>
                                </w:rPr>
                                <w:t> </w:t>
                              </w:r>
                              <w:r>
                                <w:rPr>
                                  <w:rFonts w:ascii="Arial MT"/>
                                  <w:color w:val="231F20"/>
                                  <w:sz w:val="15"/>
                                </w:rPr>
                                <w:t>of recurrence of the febrile seizures (Table 593-6).</w:t>
                              </w:r>
                            </w:p>
                          </w:txbxContent>
                        </wps:txbx>
                        <wps:bodyPr wrap="square" lIns="0" tIns="0" rIns="0" bIns="0" rtlCol="0">
                          <a:noAutofit/>
                        </wps:bodyPr>
                      </wps:wsp>
                    </wpg:wgp>
                  </a:graphicData>
                </a:graphic>
              </wp:anchor>
            </w:drawing>
          </mc:Choice>
          <mc:Fallback>
            <w:pict>
              <v:group style="position:absolute;margin-left:346.022919pt;margin-top:21.577742pt;width:200.95pt;height:225.25pt;mso-position-horizontal-relative:page;mso-position-vertical-relative:paragraph;z-index:-15705600;mso-wrap-distance-left:0;mso-wrap-distance-right:0" id="docshapegroup494" coordorigin="6920,432" coordsize="4019,4505">
                <v:rect style="position:absolute;left:7364;top:2070;width:3131;height:466" id="docshape495" filled="true" fillcolor="#d7eddd" stroked="false">
                  <v:fill type="solid"/>
                </v:rect>
                <v:rect style="position:absolute;left:7364;top:2070;width:3131;height:466" id="docshape496" filled="false" stroked="true" strokeweight=".933014pt" strokecolor="#231f20">
                  <v:stroke dashstyle="solid"/>
                </v:rect>
                <v:rect style="position:absolute;left:7476;top:2810;width:2907;height:466" id="docshape497" filled="true" fillcolor="#d7eddd" stroked="false">
                  <v:fill type="solid"/>
                </v:rect>
                <v:rect style="position:absolute;left:7476;top:2810;width:2907;height:466" id="docshape498" filled="false" stroked="true" strokeweight=".933014pt" strokecolor="#231f20">
                  <v:stroke dashstyle="solid"/>
                </v:rect>
                <v:rect style="position:absolute;left:6929;top:3664;width:1206;height:946" id="docshape499" filled="true" fillcolor="#d7eddd" stroked="false">
                  <v:fill type="solid"/>
                </v:rect>
                <v:rect style="position:absolute;left:6929;top:3664;width:1206;height:946" id="docshape500" filled="false" stroked="true" strokeweight=".933014pt" strokecolor="#231f20">
                  <v:stroke dashstyle="solid"/>
                </v:rect>
                <v:rect style="position:absolute;left:8743;top:3664;width:2186;height:1263" id="docshape501" filled="true" fillcolor="#d7eddd" stroked="false">
                  <v:fill type="solid"/>
                </v:rect>
                <v:rect style="position:absolute;left:8743;top:3664;width:2186;height:1263" id="docshape502" filled="false" stroked="true" strokeweight=".933014pt" strokecolor="#231f20">
                  <v:stroke dashstyle="solid"/>
                </v:rect>
                <v:line style="position:absolute" from="8921,1803" to="8921,1955" stroked="true" strokeweight=".933014pt" strokecolor="#231f20">
                  <v:stroke dashstyle="solid"/>
                </v:line>
                <v:shape style="position:absolute;left:8860;top:1912;width:122;height:149" id="docshape503" coordorigin="8860,1912" coordsize="122,149" path="m8982,1912l8921,1948,8860,1912,8921,2061,8982,1912xe" filled="true" fillcolor="#231f20" stroked="false">
                  <v:path arrowok="t"/>
                  <v:fill type="solid"/>
                </v:shape>
                <v:line style="position:absolute" from="8921,2543" to="8921,2696" stroked="true" strokeweight=".933014pt" strokecolor="#231f20">
                  <v:stroke dashstyle="solid"/>
                </v:line>
                <v:shape style="position:absolute;left:8860;top:2652;width:122;height:149" id="docshape504" coordorigin="8860,2653" coordsize="122,149" path="m8982,2653l8921,2688,8860,2653,8921,2801,8982,2653xe" filled="true" fillcolor="#231f20" stroked="false">
                  <v:path arrowok="t"/>
                  <v:fill type="solid"/>
                </v:shape>
                <v:shape style="position:absolute;left:7532;top:3392;width:2305;height:153" id="docshape505" coordorigin="7532,3392" coordsize="2305,153" path="m7532,3545l7532,3392,9837,3392,9837,3545e" filled="false" stroked="true" strokeweight=".933014pt" strokecolor="#231f20">
                  <v:path arrowok="t"/>
                  <v:stroke dashstyle="solid"/>
                </v:shape>
                <v:shape style="position:absolute;left:7471;top:3501;width:2426;height:149" id="docshape506" coordorigin="7472,3502" coordsize="2426,149" path="m7593,3502l7532,3537,7472,3502,7532,3650,7593,3502xm9897,3502l9837,3537,9776,3502,9837,3650,9897,3502xe" filled="true" fillcolor="#231f20" stroked="false">
                  <v:path arrowok="t"/>
                  <v:fill type="solid"/>
                </v:shape>
                <v:line style="position:absolute" from="8921,3392" to="8921,3276" stroked="true" strokeweight=".933014pt" strokecolor="#231f20">
                  <v:stroke dashstyle="solid"/>
                </v:line>
                <v:shape style="position:absolute;left:7434;top:2151;width:3008;height:318" type="#_x0000_t202" id="docshape507" filled="false" stroked="false">
                  <v:textbox inset="0,0,0,0">
                    <w:txbxContent>
                      <w:p>
                        <w:pPr>
                          <w:spacing w:line="144" w:lineRule="exact" w:before="0"/>
                          <w:ind w:left="0" w:right="18" w:firstLine="0"/>
                          <w:jc w:val="right"/>
                          <w:rPr>
                            <w:rFonts w:ascii="Arial MT"/>
                            <w:sz w:val="15"/>
                          </w:rPr>
                        </w:pPr>
                        <w:r>
                          <w:rPr>
                            <w:rFonts w:ascii="Arial MT"/>
                            <w:color w:val="231F20"/>
                            <w:sz w:val="15"/>
                          </w:rPr>
                          <w:t>Counsel</w:t>
                        </w:r>
                        <w:r>
                          <w:rPr>
                            <w:rFonts w:ascii="Arial MT"/>
                            <w:color w:val="231F20"/>
                            <w:spacing w:val="-8"/>
                            <w:sz w:val="15"/>
                          </w:rPr>
                          <w:t> </w:t>
                        </w:r>
                        <w:r>
                          <w:rPr>
                            <w:rFonts w:ascii="Arial MT"/>
                            <w:color w:val="231F20"/>
                            <w:sz w:val="15"/>
                          </w:rPr>
                          <w:t>parents</w:t>
                        </w:r>
                        <w:r>
                          <w:rPr>
                            <w:rFonts w:ascii="Arial MT"/>
                            <w:color w:val="231F20"/>
                            <w:spacing w:val="-8"/>
                            <w:sz w:val="15"/>
                          </w:rPr>
                          <w:t> </w:t>
                        </w:r>
                        <w:r>
                          <w:rPr>
                            <w:rFonts w:ascii="Arial MT"/>
                            <w:color w:val="231F20"/>
                            <w:sz w:val="15"/>
                          </w:rPr>
                          <w:t>about</w:t>
                        </w:r>
                        <w:r>
                          <w:rPr>
                            <w:rFonts w:ascii="Arial MT"/>
                            <w:color w:val="231F20"/>
                            <w:spacing w:val="-7"/>
                            <w:sz w:val="15"/>
                          </w:rPr>
                          <w:t> </w:t>
                        </w:r>
                        <w:r>
                          <w:rPr>
                            <w:rFonts w:ascii="Arial MT"/>
                            <w:color w:val="231F20"/>
                            <w:sz w:val="15"/>
                          </w:rPr>
                          <w:t>risk</w:t>
                        </w:r>
                        <w:r>
                          <w:rPr>
                            <w:rFonts w:ascii="Arial MT"/>
                            <w:color w:val="231F20"/>
                            <w:spacing w:val="-8"/>
                            <w:sz w:val="15"/>
                          </w:rPr>
                          <w:t> </w:t>
                        </w:r>
                        <w:r>
                          <w:rPr>
                            <w:rFonts w:ascii="Arial MT"/>
                            <w:color w:val="231F20"/>
                            <w:sz w:val="15"/>
                          </w:rPr>
                          <w:t>of</w:t>
                        </w:r>
                        <w:r>
                          <w:rPr>
                            <w:rFonts w:ascii="Arial MT"/>
                            <w:color w:val="231F20"/>
                            <w:spacing w:val="-8"/>
                            <w:sz w:val="15"/>
                          </w:rPr>
                          <w:t> </w:t>
                        </w:r>
                        <w:r>
                          <w:rPr>
                            <w:rFonts w:ascii="Arial MT"/>
                            <w:color w:val="231F20"/>
                            <w:sz w:val="15"/>
                          </w:rPr>
                          <w:t>recurrence</w:t>
                        </w:r>
                        <w:r>
                          <w:rPr>
                            <w:rFonts w:ascii="Arial MT"/>
                            <w:color w:val="231F20"/>
                            <w:spacing w:val="-8"/>
                            <w:sz w:val="15"/>
                          </w:rPr>
                          <w:t> </w:t>
                        </w:r>
                        <w:r>
                          <w:rPr>
                            <w:rFonts w:ascii="Arial MT"/>
                            <w:color w:val="231F20"/>
                            <w:spacing w:val="-5"/>
                            <w:sz w:val="15"/>
                          </w:rPr>
                          <w:t>and</w:t>
                        </w:r>
                      </w:p>
                      <w:p>
                        <w:pPr>
                          <w:spacing w:line="170" w:lineRule="exact" w:before="0"/>
                          <w:ind w:left="0" w:right="112" w:firstLine="0"/>
                          <w:jc w:val="right"/>
                          <w:rPr>
                            <w:rFonts w:ascii="Arial MT"/>
                            <w:sz w:val="15"/>
                          </w:rPr>
                        </w:pPr>
                        <w:r>
                          <w:rPr>
                            <w:rFonts w:ascii="Arial MT"/>
                            <w:color w:val="231F20"/>
                            <w:sz w:val="15"/>
                          </w:rPr>
                          <w:t>how</w:t>
                        </w:r>
                        <w:r>
                          <w:rPr>
                            <w:rFonts w:ascii="Arial MT"/>
                            <w:color w:val="231F20"/>
                            <w:spacing w:val="-7"/>
                            <w:sz w:val="15"/>
                          </w:rPr>
                          <w:t> </w:t>
                        </w:r>
                        <w:r>
                          <w:rPr>
                            <w:rFonts w:ascii="Arial MT"/>
                            <w:color w:val="231F20"/>
                            <w:sz w:val="15"/>
                          </w:rPr>
                          <w:t>to</w:t>
                        </w:r>
                        <w:r>
                          <w:rPr>
                            <w:rFonts w:ascii="Arial MT"/>
                            <w:color w:val="231F20"/>
                            <w:spacing w:val="-7"/>
                            <w:sz w:val="15"/>
                          </w:rPr>
                          <w:t> </w:t>
                        </w:r>
                        <w:r>
                          <w:rPr>
                            <w:rFonts w:ascii="Arial MT"/>
                            <w:color w:val="231F20"/>
                            <w:sz w:val="15"/>
                          </w:rPr>
                          <w:t>provide</w:t>
                        </w:r>
                        <w:r>
                          <w:rPr>
                            <w:rFonts w:ascii="Arial MT"/>
                            <w:color w:val="231F20"/>
                            <w:spacing w:val="-6"/>
                            <w:sz w:val="15"/>
                          </w:rPr>
                          <w:t> </w:t>
                        </w:r>
                        <w:r>
                          <w:rPr>
                            <w:rFonts w:ascii="Arial MT"/>
                            <w:color w:val="231F20"/>
                            <w:sz w:val="15"/>
                          </w:rPr>
                          <w:t>first</w:t>
                        </w:r>
                        <w:r>
                          <w:rPr>
                            <w:rFonts w:ascii="Arial MT"/>
                            <w:color w:val="231F20"/>
                            <w:spacing w:val="-7"/>
                            <w:sz w:val="15"/>
                          </w:rPr>
                          <w:t> </w:t>
                        </w:r>
                        <w:r>
                          <w:rPr>
                            <w:rFonts w:ascii="Arial MT"/>
                            <w:color w:val="231F20"/>
                            <w:sz w:val="15"/>
                          </w:rPr>
                          <w:t>aid</w:t>
                        </w:r>
                        <w:r>
                          <w:rPr>
                            <w:rFonts w:ascii="Arial MT"/>
                            <w:color w:val="231F20"/>
                            <w:spacing w:val="-7"/>
                            <w:sz w:val="15"/>
                          </w:rPr>
                          <w:t> </w:t>
                        </w:r>
                        <w:r>
                          <w:rPr>
                            <w:rFonts w:ascii="Arial MT"/>
                            <w:color w:val="231F20"/>
                            <w:sz w:val="15"/>
                          </w:rPr>
                          <w:t>and</w:t>
                        </w:r>
                        <w:r>
                          <w:rPr>
                            <w:rFonts w:ascii="Arial MT"/>
                            <w:color w:val="231F20"/>
                            <w:spacing w:val="-6"/>
                            <w:sz w:val="15"/>
                          </w:rPr>
                          <w:t> </w:t>
                        </w:r>
                        <w:r>
                          <w:rPr>
                            <w:rFonts w:ascii="Arial MT"/>
                            <w:color w:val="231F20"/>
                            <w:sz w:val="15"/>
                          </w:rPr>
                          <w:t>manage</w:t>
                        </w:r>
                        <w:r>
                          <w:rPr>
                            <w:rFonts w:ascii="Arial MT"/>
                            <w:color w:val="231F20"/>
                            <w:spacing w:val="-7"/>
                            <w:sz w:val="15"/>
                          </w:rPr>
                          <w:t> </w:t>
                        </w:r>
                        <w:r>
                          <w:rPr>
                            <w:rFonts w:ascii="Arial MT"/>
                            <w:color w:val="231F20"/>
                            <w:spacing w:val="-2"/>
                            <w:sz w:val="15"/>
                          </w:rPr>
                          <w:t>fever.</w:t>
                        </w:r>
                      </w:p>
                    </w:txbxContent>
                  </v:textbox>
                  <w10:wrap type="none"/>
                </v:shape>
                <v:shape style="position:absolute;left:7635;top:2891;width:2609;height:318" type="#_x0000_t202" id="docshape508" filled="false" stroked="false">
                  <v:textbox inset="0,0,0,0">
                    <w:txbxContent>
                      <w:p>
                        <w:pPr>
                          <w:spacing w:line="144" w:lineRule="exact" w:before="0"/>
                          <w:ind w:left="0" w:right="18" w:firstLine="0"/>
                          <w:jc w:val="center"/>
                          <w:rPr>
                            <w:rFonts w:ascii="Arial MT"/>
                            <w:sz w:val="15"/>
                          </w:rPr>
                        </w:pPr>
                        <w:r>
                          <w:rPr>
                            <w:rFonts w:ascii="Arial MT"/>
                            <w:color w:val="231F20"/>
                            <w:sz w:val="15"/>
                          </w:rPr>
                          <w:t>Determine</w:t>
                        </w:r>
                        <w:r>
                          <w:rPr>
                            <w:rFonts w:ascii="Arial MT"/>
                            <w:color w:val="231F20"/>
                            <w:spacing w:val="-7"/>
                            <w:sz w:val="15"/>
                          </w:rPr>
                          <w:t> </w:t>
                        </w:r>
                        <w:r>
                          <w:rPr>
                            <w:rFonts w:ascii="Arial MT"/>
                            <w:color w:val="231F20"/>
                            <w:sz w:val="15"/>
                          </w:rPr>
                          <w:t>risk</w:t>
                        </w:r>
                        <w:r>
                          <w:rPr>
                            <w:rFonts w:ascii="Arial MT"/>
                            <w:color w:val="231F20"/>
                            <w:spacing w:val="-6"/>
                            <w:sz w:val="15"/>
                          </w:rPr>
                          <w:t> </w:t>
                        </w:r>
                        <w:r>
                          <w:rPr>
                            <w:rFonts w:ascii="Arial MT"/>
                            <w:color w:val="231F20"/>
                            <w:sz w:val="15"/>
                          </w:rPr>
                          <w:t>factors</w:t>
                        </w:r>
                        <w:r>
                          <w:rPr>
                            <w:rFonts w:ascii="Arial MT"/>
                            <w:color w:val="231F20"/>
                            <w:spacing w:val="-6"/>
                            <w:sz w:val="15"/>
                          </w:rPr>
                          <w:t> </w:t>
                        </w:r>
                        <w:r>
                          <w:rPr>
                            <w:rFonts w:ascii="Arial MT"/>
                            <w:color w:val="231F20"/>
                            <w:sz w:val="15"/>
                          </w:rPr>
                          <w:t>for</w:t>
                        </w:r>
                        <w:r>
                          <w:rPr>
                            <w:rFonts w:ascii="Arial MT"/>
                            <w:color w:val="231F20"/>
                            <w:spacing w:val="-7"/>
                            <w:sz w:val="15"/>
                          </w:rPr>
                          <w:t> </w:t>
                        </w:r>
                        <w:r>
                          <w:rPr>
                            <w:rFonts w:ascii="Arial MT"/>
                            <w:color w:val="231F20"/>
                            <w:sz w:val="15"/>
                          </w:rPr>
                          <w:t>later</w:t>
                        </w:r>
                        <w:r>
                          <w:rPr>
                            <w:rFonts w:ascii="Arial MT"/>
                            <w:color w:val="231F20"/>
                            <w:spacing w:val="-6"/>
                            <w:sz w:val="15"/>
                          </w:rPr>
                          <w:t> </w:t>
                        </w:r>
                        <w:r>
                          <w:rPr>
                            <w:rFonts w:ascii="Arial MT"/>
                            <w:color w:val="231F20"/>
                            <w:spacing w:val="-2"/>
                            <w:sz w:val="15"/>
                          </w:rPr>
                          <w:t>epilepsy</w:t>
                        </w:r>
                      </w:p>
                      <w:p>
                        <w:pPr>
                          <w:spacing w:line="170" w:lineRule="exact" w:before="0"/>
                          <w:ind w:left="0" w:right="18" w:firstLine="0"/>
                          <w:jc w:val="center"/>
                          <w:rPr>
                            <w:rFonts w:ascii="Arial MT"/>
                            <w:sz w:val="15"/>
                          </w:rPr>
                        </w:pPr>
                        <w:r>
                          <w:rPr>
                            <w:rFonts w:ascii="Arial MT"/>
                            <w:color w:val="231F20"/>
                            <w:spacing w:val="-2"/>
                            <w:sz w:val="15"/>
                          </w:rPr>
                          <w:t>(Table</w:t>
                        </w:r>
                        <w:r>
                          <w:rPr>
                            <w:rFonts w:ascii="Arial MT"/>
                            <w:color w:val="231F20"/>
                            <w:spacing w:val="-9"/>
                            <w:sz w:val="15"/>
                          </w:rPr>
                          <w:t> </w:t>
                        </w:r>
                        <w:r>
                          <w:rPr>
                            <w:rFonts w:ascii="Arial MT"/>
                            <w:color w:val="231F20"/>
                            <w:spacing w:val="-2"/>
                            <w:sz w:val="15"/>
                          </w:rPr>
                          <w:t>593-</w:t>
                        </w:r>
                        <w:r>
                          <w:rPr>
                            <w:rFonts w:ascii="Arial MT"/>
                            <w:color w:val="231F20"/>
                            <w:spacing w:val="-5"/>
                            <w:sz w:val="15"/>
                          </w:rPr>
                          <w:t>7)</w:t>
                        </w:r>
                      </w:p>
                    </w:txbxContent>
                  </v:textbox>
                  <w10:wrap type="none"/>
                </v:shape>
                <v:shape style="position:absolute;left:7229;top:3726;width:626;height:150" type="#_x0000_t202" id="docshape509" filled="false" stroked="false">
                  <v:textbox inset="0,0,0,0">
                    <w:txbxContent>
                      <w:p>
                        <w:pPr>
                          <w:spacing w:line="147" w:lineRule="exact" w:before="0"/>
                          <w:ind w:left="0" w:right="0" w:firstLine="0"/>
                          <w:jc w:val="left"/>
                          <w:rPr>
                            <w:rFonts w:ascii="Arial"/>
                            <w:b/>
                            <w:sz w:val="15"/>
                          </w:rPr>
                        </w:pPr>
                        <w:r>
                          <w:rPr>
                            <w:rFonts w:ascii="Arial"/>
                            <w:b/>
                            <w:color w:val="231F20"/>
                            <w:sz w:val="15"/>
                          </w:rPr>
                          <w:t>Low</w:t>
                        </w:r>
                        <w:r>
                          <w:rPr>
                            <w:rFonts w:ascii="Arial"/>
                            <w:b/>
                            <w:color w:val="231F20"/>
                            <w:spacing w:val="-4"/>
                            <w:sz w:val="15"/>
                          </w:rPr>
                          <w:t> risk</w:t>
                        </w:r>
                      </w:p>
                    </w:txbxContent>
                  </v:textbox>
                  <w10:wrap type="none"/>
                </v:shape>
                <v:shape style="position:absolute;left:8964;top:3726;width:1762;height:150" type="#_x0000_t202" id="docshape510" filled="false" stroked="false">
                  <v:textbox inset="0,0,0,0">
                    <w:txbxContent>
                      <w:p>
                        <w:pPr>
                          <w:spacing w:line="147" w:lineRule="exact" w:before="0"/>
                          <w:ind w:left="0" w:right="0" w:firstLine="0"/>
                          <w:jc w:val="left"/>
                          <w:rPr>
                            <w:rFonts w:ascii="Arial"/>
                            <w:b/>
                            <w:sz w:val="15"/>
                          </w:rPr>
                        </w:pPr>
                        <w:r>
                          <w:rPr>
                            <w:rFonts w:ascii="Arial"/>
                            <w:b/>
                            <w:color w:val="231F20"/>
                            <w:sz w:val="15"/>
                          </w:rPr>
                          <w:t>Intermediate</w:t>
                        </w:r>
                        <w:r>
                          <w:rPr>
                            <w:rFonts w:ascii="Arial"/>
                            <w:b/>
                            <w:color w:val="231F20"/>
                            <w:spacing w:val="-10"/>
                            <w:sz w:val="15"/>
                          </w:rPr>
                          <w:t> </w:t>
                        </w:r>
                        <w:r>
                          <w:rPr>
                            <w:rFonts w:ascii="Arial"/>
                            <w:b/>
                            <w:color w:val="231F20"/>
                            <w:sz w:val="15"/>
                          </w:rPr>
                          <w:t>or</w:t>
                        </w:r>
                        <w:r>
                          <w:rPr>
                            <w:rFonts w:ascii="Arial"/>
                            <w:b/>
                            <w:color w:val="231F20"/>
                            <w:spacing w:val="-10"/>
                            <w:sz w:val="15"/>
                          </w:rPr>
                          <w:t> </w:t>
                        </w:r>
                        <w:r>
                          <w:rPr>
                            <w:rFonts w:ascii="Arial"/>
                            <w:b/>
                            <w:color w:val="231F20"/>
                            <w:sz w:val="15"/>
                          </w:rPr>
                          <w:t>high</w:t>
                        </w:r>
                        <w:r>
                          <w:rPr>
                            <w:rFonts w:ascii="Arial"/>
                            <w:b/>
                            <w:color w:val="231F20"/>
                            <w:spacing w:val="-9"/>
                            <w:sz w:val="15"/>
                          </w:rPr>
                          <w:t> </w:t>
                        </w:r>
                        <w:r>
                          <w:rPr>
                            <w:rFonts w:ascii="Arial"/>
                            <w:b/>
                            <w:color w:val="231F20"/>
                            <w:spacing w:val="-4"/>
                            <w:sz w:val="15"/>
                          </w:rPr>
                          <w:t>risk</w:t>
                        </w:r>
                      </w:p>
                    </w:txbxContent>
                  </v:textbox>
                  <w10:wrap type="none"/>
                </v:shape>
                <v:shape style="position:absolute;left:7061;top:4053;width:958;height:486" type="#_x0000_t202" id="docshape511" filled="false" stroked="false">
                  <v:textbox inset="0,0,0,0">
                    <w:txbxContent>
                      <w:p>
                        <w:pPr>
                          <w:spacing w:line="144" w:lineRule="exact" w:before="0"/>
                          <w:ind w:left="21" w:right="0" w:firstLine="0"/>
                          <w:jc w:val="left"/>
                          <w:rPr>
                            <w:rFonts w:ascii="Arial MT"/>
                            <w:sz w:val="15"/>
                          </w:rPr>
                        </w:pPr>
                        <w:r>
                          <w:rPr>
                            <w:rFonts w:ascii="Arial MT"/>
                            <w:color w:val="231F20"/>
                            <w:sz w:val="15"/>
                          </w:rPr>
                          <w:t>No</w:t>
                        </w:r>
                        <w:r>
                          <w:rPr>
                            <w:rFonts w:ascii="Arial MT"/>
                            <w:color w:val="231F20"/>
                            <w:spacing w:val="-5"/>
                            <w:sz w:val="15"/>
                          </w:rPr>
                          <w:t> </w:t>
                        </w:r>
                        <w:r>
                          <w:rPr>
                            <w:rFonts w:ascii="Arial MT"/>
                            <w:color w:val="231F20"/>
                            <w:sz w:val="15"/>
                          </w:rPr>
                          <w:t>therapy</w:t>
                        </w:r>
                        <w:r>
                          <w:rPr>
                            <w:rFonts w:ascii="Arial MT"/>
                            <w:color w:val="231F20"/>
                            <w:spacing w:val="-5"/>
                            <w:sz w:val="15"/>
                          </w:rPr>
                          <w:t> or</w:t>
                        </w:r>
                      </w:p>
                      <w:p>
                        <w:pPr>
                          <w:spacing w:line="232" w:lineRule="auto" w:before="2"/>
                          <w:ind w:left="0" w:right="0" w:firstLine="22"/>
                          <w:jc w:val="left"/>
                          <w:rPr>
                            <w:rFonts w:ascii="Arial MT"/>
                            <w:sz w:val="15"/>
                          </w:rPr>
                        </w:pPr>
                        <w:r>
                          <w:rPr>
                            <w:rFonts w:ascii="Arial MT"/>
                            <w:color w:val="231F20"/>
                            <w:spacing w:val="-2"/>
                            <w:sz w:val="15"/>
                          </w:rPr>
                          <w:t>investigations</w:t>
                        </w:r>
                        <w:r>
                          <w:rPr>
                            <w:rFonts w:ascii="Arial MT"/>
                            <w:color w:val="231F20"/>
                            <w:sz w:val="15"/>
                          </w:rPr>
                          <w:t> are</w:t>
                        </w:r>
                        <w:r>
                          <w:rPr>
                            <w:rFonts w:ascii="Arial MT"/>
                            <w:color w:val="231F20"/>
                            <w:spacing w:val="-6"/>
                            <w:sz w:val="15"/>
                          </w:rPr>
                          <w:t> </w:t>
                        </w:r>
                        <w:r>
                          <w:rPr>
                            <w:rFonts w:ascii="Arial MT"/>
                            <w:color w:val="231F20"/>
                            <w:spacing w:val="-2"/>
                            <w:sz w:val="15"/>
                          </w:rPr>
                          <w:t>necessary</w:t>
                        </w:r>
                      </w:p>
                    </w:txbxContent>
                  </v:textbox>
                  <w10:wrap type="none"/>
                </v:shape>
                <v:shape style="position:absolute;left:8824;top:4053;width:2046;height:822" type="#_x0000_t202" id="docshape512" filled="false" stroked="false">
                  <v:textbox inset="0,0,0,0">
                    <w:txbxContent>
                      <w:p>
                        <w:pPr>
                          <w:numPr>
                            <w:ilvl w:val="0"/>
                            <w:numId w:val="55"/>
                          </w:numPr>
                          <w:tabs>
                            <w:tab w:pos="165" w:val="left" w:leader="none"/>
                          </w:tabs>
                          <w:spacing w:line="144" w:lineRule="exact" w:before="0"/>
                          <w:ind w:left="165" w:right="0" w:hanging="165"/>
                          <w:jc w:val="left"/>
                          <w:rPr>
                            <w:rFonts w:ascii="Arial MT"/>
                            <w:sz w:val="15"/>
                          </w:rPr>
                        </w:pPr>
                        <w:r>
                          <w:rPr>
                            <w:rFonts w:ascii="Arial MT"/>
                            <w:color w:val="231F20"/>
                            <w:sz w:val="15"/>
                          </w:rPr>
                          <w:t>Consider</w:t>
                        </w:r>
                        <w:r>
                          <w:rPr>
                            <w:rFonts w:ascii="Arial MT"/>
                            <w:color w:val="231F20"/>
                            <w:spacing w:val="-6"/>
                            <w:sz w:val="15"/>
                          </w:rPr>
                          <w:t> </w:t>
                        </w:r>
                        <w:r>
                          <w:rPr>
                            <w:rFonts w:ascii="Arial MT"/>
                            <w:color w:val="231F20"/>
                            <w:sz w:val="15"/>
                          </w:rPr>
                          <w:t>EEG</w:t>
                        </w:r>
                        <w:r>
                          <w:rPr>
                            <w:rFonts w:ascii="Arial MT"/>
                            <w:color w:val="231F20"/>
                            <w:spacing w:val="-6"/>
                            <w:sz w:val="15"/>
                          </w:rPr>
                          <w:t> </w:t>
                        </w:r>
                        <w:r>
                          <w:rPr>
                            <w:rFonts w:ascii="Arial MT"/>
                            <w:color w:val="231F20"/>
                            <w:sz w:val="15"/>
                          </w:rPr>
                          <w:t>and</w:t>
                        </w:r>
                        <w:r>
                          <w:rPr>
                            <w:rFonts w:ascii="Arial MT"/>
                            <w:color w:val="231F20"/>
                            <w:spacing w:val="-5"/>
                            <w:sz w:val="15"/>
                          </w:rPr>
                          <w:t> </w:t>
                        </w:r>
                        <w:r>
                          <w:rPr>
                            <w:rFonts w:ascii="Arial MT"/>
                            <w:color w:val="231F20"/>
                            <w:spacing w:val="-2"/>
                            <w:sz w:val="15"/>
                          </w:rPr>
                          <w:t>imaging</w:t>
                        </w:r>
                      </w:p>
                      <w:p>
                        <w:pPr>
                          <w:numPr>
                            <w:ilvl w:val="0"/>
                            <w:numId w:val="55"/>
                          </w:numPr>
                          <w:tabs>
                            <w:tab w:pos="166" w:val="left" w:leader="none"/>
                          </w:tabs>
                          <w:spacing w:line="232" w:lineRule="auto" w:before="2"/>
                          <w:ind w:left="166" w:right="18" w:hanging="166"/>
                          <w:jc w:val="left"/>
                          <w:rPr>
                            <w:rFonts w:ascii="Arial MT"/>
                            <w:sz w:val="15"/>
                          </w:rPr>
                        </w:pPr>
                        <w:r>
                          <w:rPr>
                            <w:rFonts w:ascii="Arial MT"/>
                            <w:color w:val="231F20"/>
                            <w:sz w:val="15"/>
                          </w:rPr>
                          <w:t>Consider intermittent oral diazepam</w:t>
                        </w:r>
                        <w:r>
                          <w:rPr>
                            <w:rFonts w:ascii="Arial MT"/>
                            <w:color w:val="231F20"/>
                            <w:spacing w:val="-2"/>
                            <w:sz w:val="15"/>
                          </w:rPr>
                          <w:t> </w:t>
                        </w:r>
                        <w:r>
                          <w:rPr>
                            <w:rFonts w:ascii="Arial MT"/>
                            <w:color w:val="231F20"/>
                            <w:sz w:val="15"/>
                          </w:rPr>
                          <w:t>or,</w:t>
                        </w:r>
                        <w:r>
                          <w:rPr>
                            <w:rFonts w:ascii="Arial MT"/>
                            <w:color w:val="231F20"/>
                            <w:spacing w:val="-2"/>
                            <w:sz w:val="15"/>
                          </w:rPr>
                          <w:t> </w:t>
                        </w:r>
                        <w:r>
                          <w:rPr>
                            <w:rFonts w:ascii="Arial MT"/>
                            <w:color w:val="231F20"/>
                            <w:sz w:val="15"/>
                          </w:rPr>
                          <w:t>in</w:t>
                        </w:r>
                        <w:r>
                          <w:rPr>
                            <w:rFonts w:ascii="Arial MT"/>
                            <w:color w:val="231F20"/>
                            <w:spacing w:val="-2"/>
                            <w:sz w:val="15"/>
                          </w:rPr>
                          <w:t> </w:t>
                        </w:r>
                        <w:r>
                          <w:rPr>
                            <w:rFonts w:ascii="Arial MT"/>
                            <w:color w:val="231F20"/>
                            <w:sz w:val="15"/>
                          </w:rPr>
                          <w:t>exceptional cases</w:t>
                        </w:r>
                        <w:r>
                          <w:rPr>
                            <w:rFonts w:ascii="Arial MT"/>
                            <w:color w:val="231F20"/>
                            <w:spacing w:val="-11"/>
                            <w:sz w:val="15"/>
                          </w:rPr>
                          <w:t> </w:t>
                        </w:r>
                        <w:r>
                          <w:rPr>
                            <w:rFonts w:ascii="Arial MT"/>
                            <w:color w:val="231F20"/>
                            <w:sz w:val="15"/>
                          </w:rPr>
                          <w:t>that</w:t>
                        </w:r>
                        <w:r>
                          <w:rPr>
                            <w:rFonts w:ascii="Arial MT"/>
                            <w:color w:val="231F20"/>
                            <w:spacing w:val="-10"/>
                            <w:sz w:val="15"/>
                          </w:rPr>
                          <w:t> </w:t>
                        </w:r>
                        <w:r>
                          <w:rPr>
                            <w:rFonts w:ascii="Arial MT"/>
                            <w:color w:val="231F20"/>
                            <w:sz w:val="15"/>
                          </w:rPr>
                          <w:t>recur,</w:t>
                        </w:r>
                        <w:r>
                          <w:rPr>
                            <w:rFonts w:ascii="Arial MT"/>
                            <w:color w:val="231F20"/>
                            <w:spacing w:val="-11"/>
                            <w:sz w:val="15"/>
                          </w:rPr>
                          <w:t> </w:t>
                        </w:r>
                        <w:r>
                          <w:rPr>
                            <w:rFonts w:ascii="Arial MT"/>
                            <w:color w:val="231F20"/>
                            <w:sz w:val="15"/>
                          </w:rPr>
                          <w:t>continuous </w:t>
                        </w:r>
                        <w:r>
                          <w:rPr>
                            <w:rFonts w:ascii="Arial MT"/>
                            <w:color w:val="231F20"/>
                            <w:spacing w:val="-2"/>
                            <w:sz w:val="15"/>
                          </w:rPr>
                          <w:t>therapy</w:t>
                        </w:r>
                      </w:p>
                    </w:txbxContent>
                  </v:textbox>
                  <w10:wrap type="none"/>
                </v:shape>
                <v:shape style="position:absolute;left:6929;top:440;width:4000;height:1363" type="#_x0000_t202" id="docshape513" filled="true" fillcolor="#d7eddd" stroked="true" strokeweight=".933014pt" strokecolor="#231f20">
                  <v:textbox inset="0,0,0,0">
                    <w:txbxContent>
                      <w:p>
                        <w:pPr>
                          <w:numPr>
                            <w:ilvl w:val="0"/>
                            <w:numId w:val="56"/>
                          </w:numPr>
                          <w:tabs>
                            <w:tab w:pos="164" w:val="left" w:leader="none"/>
                          </w:tabs>
                          <w:spacing w:before="39"/>
                          <w:ind w:left="164" w:right="0" w:hanging="106"/>
                          <w:jc w:val="left"/>
                          <w:rPr>
                            <w:rFonts w:ascii="Arial MT"/>
                            <w:color w:val="000000"/>
                            <w:sz w:val="15"/>
                          </w:rPr>
                        </w:pPr>
                        <w:r>
                          <w:rPr>
                            <w:rFonts w:ascii="Arial MT"/>
                            <w:color w:val="231F20"/>
                            <w:spacing w:val="-2"/>
                            <w:sz w:val="15"/>
                          </w:rPr>
                          <w:t>History</w:t>
                        </w:r>
                      </w:p>
                      <w:p>
                        <w:pPr>
                          <w:numPr>
                            <w:ilvl w:val="0"/>
                            <w:numId w:val="56"/>
                          </w:numPr>
                          <w:tabs>
                            <w:tab w:pos="164" w:val="left" w:leader="none"/>
                          </w:tabs>
                          <w:spacing w:before="70"/>
                          <w:ind w:left="164" w:right="0" w:hanging="106"/>
                          <w:jc w:val="left"/>
                          <w:rPr>
                            <w:rFonts w:ascii="Arial MT"/>
                            <w:color w:val="000000"/>
                            <w:sz w:val="15"/>
                          </w:rPr>
                        </w:pPr>
                        <w:r>
                          <w:rPr>
                            <w:rFonts w:ascii="Arial MT"/>
                            <w:color w:val="231F20"/>
                            <w:spacing w:val="-4"/>
                            <w:sz w:val="15"/>
                          </w:rPr>
                          <w:t>Exam</w:t>
                        </w:r>
                      </w:p>
                      <w:p>
                        <w:pPr>
                          <w:numPr>
                            <w:ilvl w:val="0"/>
                            <w:numId w:val="56"/>
                          </w:numPr>
                          <w:tabs>
                            <w:tab w:pos="163" w:val="left" w:leader="none"/>
                            <w:tab w:pos="165" w:val="left" w:leader="none"/>
                          </w:tabs>
                          <w:spacing w:line="232" w:lineRule="auto" w:before="75"/>
                          <w:ind w:left="165" w:right="129" w:hanging="108"/>
                          <w:jc w:val="left"/>
                          <w:rPr>
                            <w:rFonts w:ascii="Arial MT"/>
                            <w:color w:val="000000"/>
                            <w:sz w:val="15"/>
                          </w:rPr>
                        </w:pPr>
                        <w:r>
                          <w:rPr>
                            <w:rFonts w:ascii="Arial MT"/>
                            <w:color w:val="231F20"/>
                            <w:sz w:val="15"/>
                          </w:rPr>
                          <w:t>Manage</w:t>
                        </w:r>
                        <w:r>
                          <w:rPr>
                            <w:rFonts w:ascii="Arial MT"/>
                            <w:color w:val="231F20"/>
                            <w:spacing w:val="-7"/>
                            <w:sz w:val="15"/>
                          </w:rPr>
                          <w:t> </w:t>
                        </w:r>
                        <w:r>
                          <w:rPr>
                            <w:rFonts w:ascii="Arial MT"/>
                            <w:color w:val="231F20"/>
                            <w:sz w:val="15"/>
                          </w:rPr>
                          <w:t>acute</w:t>
                        </w:r>
                        <w:r>
                          <w:rPr>
                            <w:rFonts w:ascii="Arial MT"/>
                            <w:color w:val="231F20"/>
                            <w:spacing w:val="-7"/>
                            <w:sz w:val="15"/>
                          </w:rPr>
                          <w:t> </w:t>
                        </w:r>
                        <w:r>
                          <w:rPr>
                            <w:rFonts w:ascii="Arial MT"/>
                            <w:color w:val="231F20"/>
                            <w:sz w:val="15"/>
                          </w:rPr>
                          <w:t>febrile</w:t>
                        </w:r>
                        <w:r>
                          <w:rPr>
                            <w:rFonts w:ascii="Arial MT"/>
                            <w:color w:val="231F20"/>
                            <w:spacing w:val="-7"/>
                            <w:sz w:val="15"/>
                          </w:rPr>
                          <w:t> </w:t>
                        </w:r>
                        <w:r>
                          <w:rPr>
                            <w:rFonts w:ascii="Arial MT"/>
                            <w:color w:val="231F20"/>
                            <w:sz w:val="15"/>
                          </w:rPr>
                          <w:t>seizure</w:t>
                        </w:r>
                        <w:r>
                          <w:rPr>
                            <w:rFonts w:ascii="Arial MT"/>
                            <w:color w:val="231F20"/>
                            <w:spacing w:val="-7"/>
                            <w:sz w:val="15"/>
                          </w:rPr>
                          <w:t> </w:t>
                        </w:r>
                        <w:r>
                          <w:rPr>
                            <w:rFonts w:ascii="Arial MT"/>
                            <w:color w:val="231F20"/>
                            <w:sz w:val="15"/>
                          </w:rPr>
                          <w:t>and</w:t>
                        </w:r>
                        <w:r>
                          <w:rPr>
                            <w:rFonts w:ascii="Arial MT"/>
                            <w:color w:val="231F20"/>
                            <w:spacing w:val="-7"/>
                            <w:sz w:val="15"/>
                          </w:rPr>
                          <w:t> </w:t>
                        </w:r>
                        <w:r>
                          <w:rPr>
                            <w:rFonts w:ascii="Arial MT"/>
                            <w:color w:val="231F20"/>
                            <w:sz w:val="15"/>
                          </w:rPr>
                          <w:t>acute</w:t>
                        </w:r>
                        <w:r>
                          <w:rPr>
                            <w:rFonts w:ascii="Arial MT"/>
                            <w:color w:val="231F20"/>
                            <w:spacing w:val="-7"/>
                            <w:sz w:val="15"/>
                          </w:rPr>
                          <w:t> </w:t>
                        </w:r>
                        <w:r>
                          <w:rPr>
                            <w:rFonts w:ascii="Arial MT"/>
                            <w:color w:val="231F20"/>
                            <w:sz w:val="15"/>
                          </w:rPr>
                          <w:t>illness</w:t>
                        </w:r>
                        <w:r>
                          <w:rPr>
                            <w:rFonts w:ascii="Arial MT"/>
                            <w:color w:val="231F20"/>
                            <w:spacing w:val="-7"/>
                            <w:sz w:val="15"/>
                          </w:rPr>
                          <w:t> </w:t>
                        </w:r>
                        <w:r>
                          <w:rPr>
                            <w:rFonts w:ascii="Arial MT"/>
                            <w:color w:val="231F20"/>
                            <w:sz w:val="15"/>
                          </w:rPr>
                          <w:t>(first</w:t>
                        </w:r>
                        <w:r>
                          <w:rPr>
                            <w:rFonts w:ascii="Arial MT"/>
                            <w:color w:val="231F20"/>
                            <w:spacing w:val="-7"/>
                            <w:sz w:val="15"/>
                          </w:rPr>
                          <w:t> </w:t>
                        </w:r>
                        <w:r>
                          <w:rPr>
                            <w:rFonts w:ascii="Arial MT"/>
                            <w:color w:val="231F20"/>
                            <w:sz w:val="15"/>
                          </w:rPr>
                          <w:t>aid, midazolam, diazepam, diagnostic tests) as needed.</w:t>
                        </w:r>
                      </w:p>
                      <w:p>
                        <w:pPr>
                          <w:numPr>
                            <w:ilvl w:val="0"/>
                            <w:numId w:val="56"/>
                          </w:numPr>
                          <w:tabs>
                            <w:tab w:pos="163" w:val="left" w:leader="none"/>
                            <w:tab w:pos="165" w:val="left" w:leader="none"/>
                          </w:tabs>
                          <w:spacing w:line="232" w:lineRule="auto" w:before="76"/>
                          <w:ind w:left="165" w:right="55" w:hanging="108"/>
                          <w:jc w:val="left"/>
                          <w:rPr>
                            <w:rFonts w:ascii="Arial MT"/>
                            <w:color w:val="000000"/>
                            <w:sz w:val="15"/>
                          </w:rPr>
                        </w:pPr>
                        <w:r>
                          <w:rPr>
                            <w:rFonts w:ascii="Arial MT"/>
                            <w:color w:val="231F20"/>
                            <w:sz w:val="15"/>
                          </w:rPr>
                          <w:t>Determine</w:t>
                        </w:r>
                        <w:r>
                          <w:rPr>
                            <w:rFonts w:ascii="Arial MT"/>
                            <w:color w:val="231F20"/>
                            <w:spacing w:val="-7"/>
                            <w:sz w:val="15"/>
                          </w:rPr>
                          <w:t> </w:t>
                        </w:r>
                        <w:r>
                          <w:rPr>
                            <w:rFonts w:ascii="Arial MT"/>
                            <w:color w:val="231F20"/>
                            <w:sz w:val="15"/>
                          </w:rPr>
                          <w:t>risk</w:t>
                        </w:r>
                        <w:r>
                          <w:rPr>
                            <w:rFonts w:ascii="Arial MT"/>
                            <w:color w:val="231F20"/>
                            <w:spacing w:val="-7"/>
                            <w:sz w:val="15"/>
                          </w:rPr>
                          <w:t> </w:t>
                        </w:r>
                        <w:r>
                          <w:rPr>
                            <w:rFonts w:ascii="Arial MT"/>
                            <w:color w:val="231F20"/>
                            <w:sz w:val="15"/>
                          </w:rPr>
                          <w:t>factors</w:t>
                        </w:r>
                        <w:r>
                          <w:rPr>
                            <w:rFonts w:ascii="Arial MT"/>
                            <w:color w:val="231F20"/>
                            <w:spacing w:val="-7"/>
                            <w:sz w:val="15"/>
                          </w:rPr>
                          <w:t> </w:t>
                        </w:r>
                        <w:r>
                          <w:rPr>
                            <w:rFonts w:ascii="Arial MT"/>
                            <w:color w:val="231F20"/>
                            <w:sz w:val="15"/>
                          </w:rPr>
                          <w:t>for</w:t>
                        </w:r>
                        <w:r>
                          <w:rPr>
                            <w:rFonts w:ascii="Arial MT"/>
                            <w:color w:val="231F20"/>
                            <w:spacing w:val="-7"/>
                            <w:sz w:val="15"/>
                          </w:rPr>
                          <w:t> </w:t>
                        </w:r>
                        <w:r>
                          <w:rPr>
                            <w:rFonts w:ascii="Arial MT"/>
                            <w:color w:val="231F20"/>
                            <w:sz w:val="15"/>
                          </w:rPr>
                          <w:t>recurrence</w:t>
                        </w:r>
                        <w:r>
                          <w:rPr>
                            <w:rFonts w:ascii="Arial MT"/>
                            <w:color w:val="231F20"/>
                            <w:spacing w:val="-7"/>
                            <w:sz w:val="15"/>
                          </w:rPr>
                          <w:t> </w:t>
                        </w:r>
                        <w:r>
                          <w:rPr>
                            <w:rFonts w:ascii="Arial MT"/>
                            <w:color w:val="231F20"/>
                            <w:sz w:val="15"/>
                          </w:rPr>
                          <w:t>and</w:t>
                        </w:r>
                        <w:r>
                          <w:rPr>
                            <w:rFonts w:ascii="Arial MT"/>
                            <w:color w:val="231F20"/>
                            <w:spacing w:val="-7"/>
                            <w:sz w:val="15"/>
                          </w:rPr>
                          <w:t> </w:t>
                        </w:r>
                        <w:r>
                          <w:rPr>
                            <w:rFonts w:ascii="Arial MT"/>
                            <w:color w:val="231F20"/>
                            <w:sz w:val="15"/>
                          </w:rPr>
                          <w:t>estimate</w:t>
                        </w:r>
                        <w:r>
                          <w:rPr>
                            <w:rFonts w:ascii="Arial MT"/>
                            <w:color w:val="231F20"/>
                            <w:spacing w:val="-7"/>
                            <w:sz w:val="15"/>
                          </w:rPr>
                          <w:t> </w:t>
                        </w:r>
                        <w:r>
                          <w:rPr>
                            <w:rFonts w:ascii="Arial MT"/>
                            <w:color w:val="231F20"/>
                            <w:sz w:val="15"/>
                          </w:rPr>
                          <w:t>risk</w:t>
                        </w:r>
                        <w:r>
                          <w:rPr>
                            <w:rFonts w:ascii="Arial MT"/>
                            <w:color w:val="231F20"/>
                            <w:spacing w:val="-7"/>
                            <w:sz w:val="15"/>
                          </w:rPr>
                          <w:t> </w:t>
                        </w:r>
                        <w:r>
                          <w:rPr>
                            <w:rFonts w:ascii="Arial MT"/>
                            <w:color w:val="231F20"/>
                            <w:sz w:val="15"/>
                          </w:rPr>
                          <w:t>of recurrence of the febrile seizures (Table 593-6).</w:t>
                        </w:r>
                      </w:p>
                    </w:txbxContent>
                  </v:textbox>
                  <v:fill type="solid"/>
                  <v:stroke dashstyle="solid"/>
                  <w10:wrap type="none"/>
                </v:shape>
                <w10:wrap type="topAndBottom"/>
              </v:group>
            </w:pict>
          </mc:Fallback>
        </mc:AlternateContent>
      </w:r>
    </w:p>
    <w:p>
      <w:pPr>
        <w:spacing w:before="74"/>
        <w:ind w:left="6153" w:right="0" w:firstLine="0"/>
        <w:jc w:val="left"/>
        <w:rPr>
          <w:sz w:val="15"/>
        </w:rPr>
      </w:pPr>
      <w:r>
        <w:rPr>
          <w:b/>
          <w:color w:val="4A0C62"/>
          <w:w w:val="105"/>
          <w:sz w:val="16"/>
        </w:rPr>
        <w:t>Figure</w:t>
      </w:r>
      <w:r>
        <w:rPr>
          <w:b/>
          <w:color w:val="4A0C62"/>
          <w:spacing w:val="60"/>
          <w:w w:val="105"/>
          <w:sz w:val="16"/>
        </w:rPr>
        <w:t> </w:t>
      </w:r>
      <w:r>
        <w:rPr>
          <w:b/>
          <w:color w:val="4A0C62"/>
          <w:w w:val="105"/>
          <w:sz w:val="16"/>
        </w:rPr>
        <w:t>593-1</w:t>
      </w:r>
      <w:r>
        <w:rPr>
          <w:b/>
          <w:color w:val="4A0C62"/>
          <w:spacing w:val="42"/>
          <w:w w:val="105"/>
          <w:sz w:val="16"/>
        </w:rPr>
        <w:t> </w:t>
      </w:r>
      <w:r>
        <w:rPr>
          <w:color w:val="231F20"/>
          <w:w w:val="105"/>
          <w:sz w:val="15"/>
        </w:rPr>
        <w:t>Management</w:t>
      </w:r>
      <w:r>
        <w:rPr>
          <w:color w:val="231F20"/>
          <w:spacing w:val="45"/>
          <w:w w:val="105"/>
          <w:sz w:val="15"/>
        </w:rPr>
        <w:t> </w:t>
      </w:r>
      <w:r>
        <w:rPr>
          <w:color w:val="231F20"/>
          <w:w w:val="105"/>
          <w:sz w:val="15"/>
        </w:rPr>
        <w:t>of</w:t>
      </w:r>
      <w:r>
        <w:rPr>
          <w:color w:val="231F20"/>
          <w:spacing w:val="45"/>
          <w:w w:val="105"/>
          <w:sz w:val="15"/>
        </w:rPr>
        <w:t> </w:t>
      </w:r>
      <w:r>
        <w:rPr>
          <w:color w:val="231F20"/>
          <w:w w:val="105"/>
          <w:sz w:val="15"/>
        </w:rPr>
        <w:t>febrile</w:t>
      </w:r>
      <w:r>
        <w:rPr>
          <w:color w:val="231F20"/>
          <w:spacing w:val="45"/>
          <w:w w:val="105"/>
          <w:sz w:val="15"/>
        </w:rPr>
        <w:t> </w:t>
      </w:r>
      <w:r>
        <w:rPr>
          <w:color w:val="231F20"/>
          <w:spacing w:val="-2"/>
          <w:w w:val="105"/>
          <w:sz w:val="15"/>
        </w:rPr>
        <w:t>seizures.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9"/>
        <w:rPr>
          <w:sz w:val="20"/>
        </w:rPr>
      </w:pPr>
    </w:p>
    <w:tbl>
      <w:tblPr>
        <w:tblW w:w="0" w:type="auto"/>
        <w:jc w:val="left"/>
        <w:tblInd w:w="57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6</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Risk</w:t>
            </w:r>
            <w:r>
              <w:rPr>
                <w:color w:val="FFFFFF"/>
                <w:spacing w:val="-5"/>
                <w:w w:val="105"/>
                <w:sz w:val="16"/>
              </w:rPr>
              <w:t> </w:t>
            </w:r>
            <w:r>
              <w:rPr>
                <w:color w:val="FFFFFF"/>
                <w:w w:val="105"/>
                <w:sz w:val="16"/>
              </w:rPr>
              <w:t>Factors</w:t>
            </w:r>
            <w:r>
              <w:rPr>
                <w:color w:val="FFFFFF"/>
                <w:spacing w:val="-5"/>
                <w:w w:val="105"/>
                <w:sz w:val="16"/>
              </w:rPr>
              <w:t> </w:t>
            </w:r>
            <w:r>
              <w:rPr>
                <w:color w:val="FFFFFF"/>
                <w:w w:val="105"/>
                <w:sz w:val="16"/>
              </w:rPr>
              <w:t>for</w:t>
            </w:r>
            <w:r>
              <w:rPr>
                <w:color w:val="FFFFFF"/>
                <w:spacing w:val="-5"/>
                <w:w w:val="105"/>
                <w:sz w:val="16"/>
              </w:rPr>
              <w:t> </w:t>
            </w:r>
            <w:r>
              <w:rPr>
                <w:color w:val="FFFFFF"/>
                <w:w w:val="105"/>
                <w:sz w:val="16"/>
              </w:rPr>
              <w:t>Recurrence</w:t>
            </w:r>
            <w:r>
              <w:rPr>
                <w:color w:val="FFFFFF"/>
                <w:spacing w:val="-5"/>
                <w:w w:val="105"/>
                <w:sz w:val="16"/>
              </w:rPr>
              <w:t> </w:t>
            </w:r>
            <w:r>
              <w:rPr>
                <w:color w:val="FFFFFF"/>
                <w:w w:val="105"/>
                <w:sz w:val="16"/>
              </w:rPr>
              <w:t>of</w:t>
            </w:r>
            <w:r>
              <w:rPr>
                <w:color w:val="FFFFFF"/>
                <w:spacing w:val="-5"/>
                <w:w w:val="105"/>
                <w:sz w:val="16"/>
              </w:rPr>
              <w:t> </w:t>
            </w:r>
            <w:r>
              <w:rPr>
                <w:color w:val="FFFFFF"/>
                <w:w w:val="105"/>
                <w:sz w:val="16"/>
              </w:rPr>
              <w:t>Febrile </w:t>
            </w:r>
            <w:r>
              <w:rPr>
                <w:color w:val="FFFFFF"/>
                <w:spacing w:val="-2"/>
                <w:w w:val="105"/>
                <w:sz w:val="16"/>
              </w:rPr>
              <w:t>Seizures</w:t>
            </w:r>
          </w:p>
        </w:tc>
      </w:tr>
      <w:tr>
        <w:trPr>
          <w:trHeight w:val="766"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MAJOR</w:t>
            </w:r>
          </w:p>
          <w:p>
            <w:pPr>
              <w:pStyle w:val="TableParagraph"/>
              <w:spacing w:line="170" w:lineRule="exact"/>
              <w:ind w:left="74"/>
              <w:rPr>
                <w:sz w:val="15"/>
              </w:rPr>
            </w:pPr>
            <w:r>
              <w:rPr>
                <w:color w:val="231F20"/>
                <w:sz w:val="15"/>
              </w:rPr>
              <w:t>Age</w:t>
            </w:r>
            <w:r>
              <w:rPr>
                <w:color w:val="231F20"/>
                <w:spacing w:val="14"/>
                <w:sz w:val="15"/>
              </w:rPr>
              <w:t> </w:t>
            </w:r>
            <w:r>
              <w:rPr>
                <w:rFonts w:ascii="Cambria"/>
                <w:color w:val="231F20"/>
                <w:sz w:val="15"/>
              </w:rPr>
              <w:t>&lt;</w:t>
            </w:r>
            <w:r>
              <w:rPr>
                <w:color w:val="231F20"/>
                <w:sz w:val="15"/>
              </w:rPr>
              <w:t>1</w:t>
            </w:r>
            <w:r>
              <w:rPr>
                <w:color w:val="231F20"/>
                <w:spacing w:val="14"/>
                <w:sz w:val="15"/>
              </w:rPr>
              <w:t> </w:t>
            </w:r>
            <w:r>
              <w:rPr>
                <w:color w:val="231F20"/>
                <w:spacing w:val="-5"/>
                <w:sz w:val="15"/>
              </w:rPr>
              <w:t>yr</w:t>
            </w:r>
          </w:p>
          <w:p>
            <w:pPr>
              <w:pStyle w:val="TableParagraph"/>
              <w:spacing w:line="230" w:lineRule="auto" w:before="2"/>
              <w:ind w:left="74" w:right="2667"/>
              <w:rPr>
                <w:sz w:val="15"/>
              </w:rPr>
            </w:pPr>
            <w:r>
              <w:rPr>
                <w:color w:val="231F20"/>
                <w:sz w:val="15"/>
              </w:rPr>
              <w:t>Duration of fever </w:t>
            </w:r>
            <w:r>
              <w:rPr>
                <w:rFonts w:ascii="Cambria" w:hAnsi="Cambria"/>
                <w:color w:val="231F20"/>
                <w:sz w:val="15"/>
              </w:rPr>
              <w:t>&lt;</w:t>
            </w:r>
            <w:r>
              <w:rPr>
                <w:color w:val="231F20"/>
                <w:sz w:val="15"/>
              </w:rPr>
              <w:t>24 hr </w:t>
            </w:r>
            <w:r>
              <w:rPr>
                <w:color w:val="231F20"/>
                <w:spacing w:val="-4"/>
                <w:sz w:val="15"/>
              </w:rPr>
              <w:t>Fever</w:t>
            </w:r>
            <w:r>
              <w:rPr>
                <w:color w:val="231F20"/>
                <w:spacing w:val="-8"/>
                <w:sz w:val="15"/>
              </w:rPr>
              <w:t> </w:t>
            </w:r>
            <w:r>
              <w:rPr>
                <w:color w:val="231F20"/>
                <w:spacing w:val="-4"/>
                <w:sz w:val="15"/>
              </w:rPr>
              <w:t>38-39°C</w:t>
            </w:r>
            <w:r>
              <w:rPr>
                <w:color w:val="231F20"/>
                <w:spacing w:val="-7"/>
                <w:sz w:val="15"/>
              </w:rPr>
              <w:t> </w:t>
            </w:r>
            <w:r>
              <w:rPr>
                <w:color w:val="231F20"/>
                <w:spacing w:val="-4"/>
                <w:sz w:val="15"/>
              </w:rPr>
              <w:t>(100.4-</w:t>
            </w:r>
            <w:r>
              <w:rPr>
                <w:color w:val="231F20"/>
                <w:spacing w:val="-4"/>
                <w:sz w:val="15"/>
              </w:rPr>
              <w:t>102.2°F)</w:t>
            </w:r>
          </w:p>
        </w:tc>
      </w:tr>
      <w:tr>
        <w:trPr>
          <w:trHeight w:val="1257"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20"/>
                <w:sz w:val="15"/>
              </w:rPr>
              <w:t>MINOR</w:t>
            </w:r>
          </w:p>
          <w:p>
            <w:pPr>
              <w:pStyle w:val="TableParagraph"/>
              <w:spacing w:line="230" w:lineRule="auto" w:before="3"/>
              <w:ind w:left="74" w:right="2491"/>
              <w:rPr>
                <w:sz w:val="15"/>
              </w:rPr>
            </w:pPr>
            <w:r>
              <w:rPr>
                <w:color w:val="231F20"/>
                <w:spacing w:val="-2"/>
                <w:sz w:val="15"/>
              </w:rPr>
              <w:t>Family</w:t>
            </w:r>
            <w:r>
              <w:rPr>
                <w:color w:val="231F20"/>
                <w:spacing w:val="-10"/>
                <w:sz w:val="15"/>
              </w:rPr>
              <w:t> </w:t>
            </w:r>
            <w:r>
              <w:rPr>
                <w:color w:val="231F20"/>
                <w:spacing w:val="-2"/>
                <w:sz w:val="15"/>
              </w:rPr>
              <w:t>history</w:t>
            </w:r>
            <w:r>
              <w:rPr>
                <w:color w:val="231F20"/>
                <w:spacing w:val="-9"/>
                <w:sz w:val="15"/>
              </w:rPr>
              <w:t> </w:t>
            </w:r>
            <w:r>
              <w:rPr>
                <w:color w:val="231F20"/>
                <w:spacing w:val="-2"/>
                <w:sz w:val="15"/>
              </w:rPr>
              <w:t>of</w:t>
            </w:r>
            <w:r>
              <w:rPr>
                <w:color w:val="231F20"/>
                <w:spacing w:val="-9"/>
                <w:sz w:val="15"/>
              </w:rPr>
              <w:t> </w:t>
            </w:r>
            <w:r>
              <w:rPr>
                <w:color w:val="231F20"/>
                <w:spacing w:val="-2"/>
                <w:sz w:val="15"/>
              </w:rPr>
              <w:t>febrile</w:t>
            </w:r>
            <w:r>
              <w:rPr>
                <w:color w:val="231F20"/>
                <w:spacing w:val="-10"/>
                <w:sz w:val="15"/>
              </w:rPr>
              <w:t> </w:t>
            </w:r>
            <w:r>
              <w:rPr>
                <w:color w:val="231F20"/>
                <w:spacing w:val="-2"/>
                <w:sz w:val="15"/>
              </w:rPr>
              <w:t>seizures </w:t>
            </w:r>
            <w:r>
              <w:rPr>
                <w:color w:val="231F20"/>
                <w:sz w:val="15"/>
              </w:rPr>
              <w:t>Family history of epilepsy Complex febrile seizure</w:t>
            </w:r>
            <w:r>
              <w:rPr>
                <w:color w:val="231F20"/>
                <w:spacing w:val="40"/>
                <w:sz w:val="15"/>
              </w:rPr>
              <w:t> </w:t>
            </w:r>
            <w:r>
              <w:rPr>
                <w:color w:val="231F20"/>
                <w:spacing w:val="-2"/>
                <w:sz w:val="15"/>
              </w:rPr>
              <w:t>Daycare</w:t>
            </w:r>
          </w:p>
          <w:p>
            <w:pPr>
              <w:pStyle w:val="TableParagraph"/>
              <w:spacing w:line="168" w:lineRule="exact"/>
              <w:ind w:left="74"/>
              <w:rPr>
                <w:sz w:val="15"/>
              </w:rPr>
            </w:pPr>
            <w:r>
              <w:rPr>
                <w:color w:val="231F20"/>
                <w:w w:val="105"/>
                <w:sz w:val="15"/>
              </w:rPr>
              <w:t>Male</w:t>
            </w:r>
            <w:r>
              <w:rPr>
                <w:color w:val="231F20"/>
                <w:spacing w:val="-2"/>
                <w:w w:val="105"/>
                <w:sz w:val="15"/>
              </w:rPr>
              <w:t> gender</w:t>
            </w:r>
          </w:p>
          <w:p>
            <w:pPr>
              <w:pStyle w:val="TableParagraph"/>
              <w:spacing w:line="171" w:lineRule="exact"/>
              <w:ind w:left="74"/>
              <w:rPr>
                <w:sz w:val="15"/>
              </w:rPr>
            </w:pPr>
            <w:r>
              <w:rPr>
                <w:color w:val="231F20"/>
                <w:sz w:val="15"/>
              </w:rPr>
              <w:t>Lower</w:t>
            </w:r>
            <w:r>
              <w:rPr>
                <w:color w:val="231F20"/>
                <w:spacing w:val="-4"/>
                <w:sz w:val="15"/>
              </w:rPr>
              <w:t> </w:t>
            </w:r>
            <w:r>
              <w:rPr>
                <w:color w:val="231F20"/>
                <w:sz w:val="15"/>
              </w:rPr>
              <w:t>serum</w:t>
            </w:r>
            <w:r>
              <w:rPr>
                <w:color w:val="231F20"/>
                <w:spacing w:val="-4"/>
                <w:sz w:val="15"/>
              </w:rPr>
              <w:t> </w:t>
            </w:r>
            <w:r>
              <w:rPr>
                <w:color w:val="231F20"/>
                <w:sz w:val="15"/>
              </w:rPr>
              <w:t>sodium</w:t>
            </w:r>
            <w:r>
              <w:rPr>
                <w:color w:val="231F20"/>
                <w:spacing w:val="-4"/>
                <w:sz w:val="15"/>
              </w:rPr>
              <w:t> </w:t>
            </w:r>
            <w:r>
              <w:rPr>
                <w:color w:val="231F20"/>
                <w:sz w:val="15"/>
              </w:rPr>
              <w:t>at</w:t>
            </w:r>
            <w:r>
              <w:rPr>
                <w:color w:val="231F20"/>
                <w:spacing w:val="-4"/>
                <w:sz w:val="15"/>
              </w:rPr>
              <w:t> </w:t>
            </w:r>
            <w:r>
              <w:rPr>
                <w:color w:val="231F20"/>
                <w:sz w:val="15"/>
              </w:rPr>
              <w:t>time</w:t>
            </w:r>
            <w:r>
              <w:rPr>
                <w:color w:val="231F20"/>
                <w:spacing w:val="-4"/>
                <w:sz w:val="15"/>
              </w:rPr>
              <w:t> </w:t>
            </w:r>
            <w:r>
              <w:rPr>
                <w:color w:val="231F20"/>
                <w:sz w:val="15"/>
              </w:rPr>
              <w:t>of</w:t>
            </w:r>
            <w:r>
              <w:rPr>
                <w:color w:val="231F20"/>
                <w:spacing w:val="-4"/>
                <w:sz w:val="15"/>
              </w:rPr>
              <w:t> </w:t>
            </w:r>
            <w:r>
              <w:rPr>
                <w:color w:val="231F20"/>
                <w:spacing w:val="-2"/>
                <w:sz w:val="15"/>
              </w:rPr>
              <w:t>presentation</w:t>
            </w:r>
          </w:p>
        </w:tc>
      </w:tr>
    </w:tbl>
    <w:p>
      <w:pPr>
        <w:pStyle w:val="BodyText"/>
        <w:spacing w:before="75"/>
        <w:ind w:left="5790" w:right="446"/>
      </w:pPr>
      <w:r>
        <w:rPr/>
        <mc:AlternateContent>
          <mc:Choice Requires="wps">
            <w:drawing>
              <wp:anchor distT="0" distB="0" distL="0" distR="0" allowOverlap="1" layoutInCell="1" locked="0" behindDoc="0" simplePos="0" relativeHeight="15752704">
                <wp:simplePos x="0" y="0"/>
                <wp:positionH relativeFrom="page">
                  <wp:posOffset>746394</wp:posOffset>
                </wp:positionH>
                <wp:positionV relativeFrom="paragraph">
                  <wp:posOffset>-5674431</wp:posOffset>
                </wp:positionV>
                <wp:extent cx="3062605" cy="6718934"/>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3062605" cy="671893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8</w:t>
                                  </w:r>
                                </w:p>
                              </w:tc>
                              <w:tc>
                                <w:tcPr>
                                  <w:tcW w:w="3555" w:type="dxa"/>
                                  <w:tcBorders>
                                    <w:left w:val="single" w:sz="8" w:space="0" w:color="FFFFFF"/>
                                  </w:tcBorders>
                                  <w:shd w:val="clear" w:color="auto" w:fill="231F20"/>
                                </w:tcPr>
                                <w:p>
                                  <w:pPr>
                                    <w:pStyle w:val="TableParagraph"/>
                                    <w:spacing w:before="89"/>
                                    <w:ind w:left="73" w:right="613"/>
                                    <w:rPr>
                                      <w:sz w:val="16"/>
                                    </w:rPr>
                                  </w:pPr>
                                  <w:r>
                                    <w:rPr>
                                      <w:color w:val="FFFFFF"/>
                                      <w:w w:val="110"/>
                                      <w:sz w:val="16"/>
                                    </w:rPr>
                                    <w:t>Selected</w:t>
                                  </w:r>
                                  <w:r>
                                    <w:rPr>
                                      <w:color w:val="FFFFFF"/>
                                      <w:spacing w:val="-11"/>
                                      <w:w w:val="110"/>
                                      <w:sz w:val="16"/>
                                    </w:rPr>
                                    <w:t> </w:t>
                                  </w:r>
                                  <w:r>
                                    <w:rPr>
                                      <w:color w:val="FFFFFF"/>
                                      <w:w w:val="110"/>
                                      <w:sz w:val="16"/>
                                    </w:rPr>
                                    <w:t>Epilepsy</w:t>
                                  </w:r>
                                  <w:r>
                                    <w:rPr>
                                      <w:color w:val="FFFFFF"/>
                                      <w:spacing w:val="-11"/>
                                      <w:w w:val="110"/>
                                      <w:sz w:val="16"/>
                                    </w:rPr>
                                    <w:t> </w:t>
                                  </w:r>
                                  <w:r>
                                    <w:rPr>
                                      <w:color w:val="FFFFFF"/>
                                      <w:w w:val="110"/>
                                      <w:sz w:val="16"/>
                                    </w:rPr>
                                    <w:t>Syndromes</w:t>
                                  </w:r>
                                  <w:r>
                                    <w:rPr>
                                      <w:color w:val="FFFFFF"/>
                                      <w:spacing w:val="-11"/>
                                      <w:w w:val="110"/>
                                      <w:sz w:val="16"/>
                                    </w:rPr>
                                    <w:t> </w:t>
                                  </w:r>
                                  <w:r>
                                    <w:rPr>
                                      <w:color w:val="FFFFFF"/>
                                      <w:w w:val="110"/>
                                      <w:sz w:val="16"/>
                                    </w:rPr>
                                    <w:t>by</w:t>
                                  </w:r>
                                  <w:r>
                                    <w:rPr>
                                      <w:color w:val="FFFFFF"/>
                                      <w:spacing w:val="-11"/>
                                      <w:w w:val="110"/>
                                      <w:sz w:val="16"/>
                                    </w:rPr>
                                    <w:t> </w:t>
                                  </w:r>
                                  <w:r>
                                    <w:rPr>
                                      <w:color w:val="FFFFFF"/>
                                      <w:w w:val="110"/>
                                      <w:sz w:val="16"/>
                                    </w:rPr>
                                    <w:t>Age of Onset</w:t>
                                  </w:r>
                                </w:p>
                              </w:tc>
                            </w:tr>
                            <w:tr>
                              <w:trPr>
                                <w:trHeight w:val="76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5"/>
                                      <w:sz w:val="15"/>
                                    </w:rPr>
                                    <w:t>NEONATAL</w:t>
                                  </w:r>
                                  <w:r>
                                    <w:rPr>
                                      <w:color w:val="231F20"/>
                                      <w:spacing w:val="-3"/>
                                      <w:w w:val="115"/>
                                      <w:sz w:val="15"/>
                                    </w:rPr>
                                    <w:t> </w:t>
                                  </w:r>
                                  <w:r>
                                    <w:rPr>
                                      <w:color w:val="231F20"/>
                                      <w:spacing w:val="-2"/>
                                      <w:w w:val="115"/>
                                      <w:sz w:val="15"/>
                                    </w:rPr>
                                    <w:t>PERIOD</w:t>
                                  </w:r>
                                </w:p>
                                <w:p>
                                  <w:pPr>
                                    <w:pStyle w:val="TableParagraph"/>
                                    <w:spacing w:line="230" w:lineRule="auto" w:before="3"/>
                                    <w:ind w:left="74" w:right="1899"/>
                                    <w:rPr>
                                      <w:sz w:val="15"/>
                                    </w:rPr>
                                  </w:pPr>
                                  <w:r>
                                    <w:rPr>
                                      <w:color w:val="231F20"/>
                                      <w:sz w:val="15"/>
                                    </w:rPr>
                                    <w:t>Benign</w:t>
                                  </w:r>
                                  <w:r>
                                    <w:rPr>
                                      <w:color w:val="231F20"/>
                                      <w:spacing w:val="-12"/>
                                      <w:sz w:val="15"/>
                                    </w:rPr>
                                    <w:t> </w:t>
                                  </w:r>
                                  <w:r>
                                    <w:rPr>
                                      <w:color w:val="231F20"/>
                                      <w:sz w:val="15"/>
                                    </w:rPr>
                                    <w:t>familial</w:t>
                                  </w:r>
                                  <w:r>
                                    <w:rPr>
                                      <w:color w:val="231F20"/>
                                      <w:spacing w:val="-11"/>
                                      <w:sz w:val="15"/>
                                    </w:rPr>
                                    <w:t> </w:t>
                                  </w:r>
                                  <w:r>
                                    <w:rPr>
                                      <w:color w:val="231F20"/>
                                      <w:sz w:val="15"/>
                                    </w:rPr>
                                    <w:t>neonatal</w:t>
                                  </w:r>
                                  <w:r>
                                    <w:rPr>
                                      <w:color w:val="231F20"/>
                                      <w:spacing w:val="-11"/>
                                      <w:sz w:val="15"/>
                                    </w:rPr>
                                    <w:t> </w:t>
                                  </w:r>
                                  <w:r>
                                    <w:rPr>
                                      <w:color w:val="231F20"/>
                                      <w:sz w:val="15"/>
                                    </w:rPr>
                                    <w:t>seizures</w:t>
                                  </w:r>
                                  <w:r>
                                    <w:rPr>
                                      <w:color w:val="231F20"/>
                                      <w:spacing w:val="-12"/>
                                      <w:sz w:val="15"/>
                                    </w:rPr>
                                    <w:t> </w:t>
                                  </w:r>
                                  <w:r>
                                    <w:rPr>
                                      <w:color w:val="231F20"/>
                                      <w:sz w:val="15"/>
                                    </w:rPr>
                                    <w:t>(BFNS) Early myoclonic encephalopathy (EME) Ohtahara syndrome</w:t>
                                  </w:r>
                                </w:p>
                              </w:tc>
                            </w:tr>
                            <w:tr>
                              <w:trPr>
                                <w:trHeight w:val="1430"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INFANCY</w:t>
                                  </w:r>
                                </w:p>
                                <w:p>
                                  <w:pPr>
                                    <w:pStyle w:val="TableParagraph"/>
                                    <w:spacing w:line="230" w:lineRule="auto" w:before="3"/>
                                    <w:ind w:left="74" w:right="1221"/>
                                    <w:rPr>
                                      <w:sz w:val="15"/>
                                    </w:rPr>
                                  </w:pPr>
                                  <w:r>
                                    <w:rPr>
                                      <w:color w:val="231F20"/>
                                      <w:spacing w:val="-2"/>
                                      <w:sz w:val="15"/>
                                    </w:rPr>
                                    <w:t>Epilepsy</w:t>
                                  </w:r>
                                  <w:r>
                                    <w:rPr>
                                      <w:color w:val="231F20"/>
                                      <w:spacing w:val="-3"/>
                                      <w:sz w:val="15"/>
                                    </w:rPr>
                                    <w:t> </w:t>
                                  </w:r>
                                  <w:r>
                                    <w:rPr>
                                      <w:color w:val="231F20"/>
                                      <w:spacing w:val="-2"/>
                                      <w:sz w:val="15"/>
                                    </w:rPr>
                                    <w:t>of</w:t>
                                  </w:r>
                                  <w:r>
                                    <w:rPr>
                                      <w:color w:val="231F20"/>
                                      <w:spacing w:val="-3"/>
                                      <w:sz w:val="15"/>
                                    </w:rPr>
                                    <w:t> </w:t>
                                  </w:r>
                                  <w:r>
                                    <w:rPr>
                                      <w:color w:val="231F20"/>
                                      <w:spacing w:val="-2"/>
                                      <w:sz w:val="15"/>
                                    </w:rPr>
                                    <w:t>infancy</w:t>
                                  </w:r>
                                  <w:r>
                                    <w:rPr>
                                      <w:color w:val="231F20"/>
                                      <w:spacing w:val="-3"/>
                                      <w:sz w:val="15"/>
                                    </w:rPr>
                                    <w:t> </w:t>
                                  </w:r>
                                  <w:r>
                                    <w:rPr>
                                      <w:color w:val="231F20"/>
                                      <w:spacing w:val="-2"/>
                                      <w:sz w:val="15"/>
                                    </w:rPr>
                                    <w:t>with</w:t>
                                  </w:r>
                                  <w:r>
                                    <w:rPr>
                                      <w:color w:val="231F20"/>
                                      <w:spacing w:val="-3"/>
                                      <w:sz w:val="15"/>
                                    </w:rPr>
                                    <w:t> </w:t>
                                  </w:r>
                                  <w:r>
                                    <w:rPr>
                                      <w:color w:val="231F20"/>
                                      <w:spacing w:val="-2"/>
                                      <w:sz w:val="15"/>
                                    </w:rPr>
                                    <w:t>migrating</w:t>
                                  </w:r>
                                  <w:r>
                                    <w:rPr>
                                      <w:color w:val="231F20"/>
                                      <w:spacing w:val="-3"/>
                                      <w:sz w:val="15"/>
                                    </w:rPr>
                                    <w:t> </w:t>
                                  </w:r>
                                  <w:r>
                                    <w:rPr>
                                      <w:color w:val="231F20"/>
                                      <w:spacing w:val="-2"/>
                                      <w:sz w:val="15"/>
                                    </w:rPr>
                                    <w:t>focal</w:t>
                                  </w:r>
                                  <w:r>
                                    <w:rPr>
                                      <w:color w:val="231F20"/>
                                      <w:spacing w:val="-3"/>
                                      <w:sz w:val="15"/>
                                    </w:rPr>
                                    <w:t> </w:t>
                                  </w:r>
                                  <w:r>
                                    <w:rPr>
                                      <w:color w:val="231F20"/>
                                      <w:spacing w:val="-2"/>
                                      <w:sz w:val="15"/>
                                    </w:rPr>
                                    <w:t>seizures </w:t>
                                  </w:r>
                                  <w:r>
                                    <w:rPr>
                                      <w:color w:val="231F20"/>
                                      <w:sz w:val="15"/>
                                    </w:rPr>
                                    <w:t>West syndrome</w:t>
                                  </w:r>
                                </w:p>
                                <w:p>
                                  <w:pPr>
                                    <w:pStyle w:val="TableParagraph"/>
                                    <w:spacing w:line="230" w:lineRule="auto" w:before="2"/>
                                    <w:ind w:left="74" w:right="1899"/>
                                    <w:rPr>
                                      <w:sz w:val="15"/>
                                    </w:rPr>
                                  </w:pPr>
                                  <w:r>
                                    <w:rPr>
                                      <w:color w:val="231F20"/>
                                      <w:sz w:val="15"/>
                                    </w:rPr>
                                    <w:t>Myoclonic</w:t>
                                  </w:r>
                                  <w:r>
                                    <w:rPr>
                                      <w:color w:val="231F20"/>
                                      <w:spacing w:val="-11"/>
                                      <w:sz w:val="15"/>
                                    </w:rPr>
                                    <w:t> </w:t>
                                  </w:r>
                                  <w:r>
                                    <w:rPr>
                                      <w:color w:val="231F20"/>
                                      <w:sz w:val="15"/>
                                    </w:rPr>
                                    <w:t>epilepsy</w:t>
                                  </w:r>
                                  <w:r>
                                    <w:rPr>
                                      <w:color w:val="231F20"/>
                                      <w:spacing w:val="-11"/>
                                      <w:sz w:val="15"/>
                                    </w:rPr>
                                    <w:t> </w:t>
                                  </w:r>
                                  <w:r>
                                    <w:rPr>
                                      <w:color w:val="231F20"/>
                                      <w:sz w:val="15"/>
                                    </w:rPr>
                                    <w:t>in</w:t>
                                  </w:r>
                                  <w:r>
                                    <w:rPr>
                                      <w:color w:val="231F20"/>
                                      <w:spacing w:val="-11"/>
                                      <w:sz w:val="15"/>
                                    </w:rPr>
                                    <w:t> </w:t>
                                  </w:r>
                                  <w:r>
                                    <w:rPr>
                                      <w:color w:val="231F20"/>
                                      <w:sz w:val="15"/>
                                    </w:rPr>
                                    <w:t>infancy</w:t>
                                  </w:r>
                                  <w:r>
                                    <w:rPr>
                                      <w:color w:val="231F20"/>
                                      <w:spacing w:val="-11"/>
                                      <w:sz w:val="15"/>
                                    </w:rPr>
                                    <w:t> </w:t>
                                  </w:r>
                                  <w:r>
                                    <w:rPr>
                                      <w:color w:val="231F20"/>
                                      <w:sz w:val="15"/>
                                    </w:rPr>
                                    <w:t>(MEI) Benign infantile seizures</w:t>
                                  </w:r>
                                </w:p>
                                <w:p>
                                  <w:pPr>
                                    <w:pStyle w:val="TableParagraph"/>
                                    <w:spacing w:line="230" w:lineRule="auto" w:before="1"/>
                                    <w:ind w:left="74" w:right="2339"/>
                                    <w:rPr>
                                      <w:sz w:val="15"/>
                                    </w:rPr>
                                  </w:pPr>
                                  <w:r>
                                    <w:rPr>
                                      <w:color w:val="231F20"/>
                                      <w:spacing w:val="-2"/>
                                      <w:sz w:val="15"/>
                                    </w:rPr>
                                    <w:t>Benign</w:t>
                                  </w:r>
                                  <w:r>
                                    <w:rPr>
                                      <w:color w:val="231F20"/>
                                      <w:spacing w:val="-10"/>
                                      <w:sz w:val="15"/>
                                    </w:rPr>
                                    <w:t> </w:t>
                                  </w:r>
                                  <w:r>
                                    <w:rPr>
                                      <w:color w:val="231F20"/>
                                      <w:spacing w:val="-2"/>
                                      <w:sz w:val="15"/>
                                    </w:rPr>
                                    <w:t>familial</w:t>
                                  </w:r>
                                  <w:r>
                                    <w:rPr>
                                      <w:color w:val="231F20"/>
                                      <w:spacing w:val="-9"/>
                                      <w:sz w:val="15"/>
                                    </w:rPr>
                                    <w:t> </w:t>
                                  </w:r>
                                  <w:r>
                                    <w:rPr>
                                      <w:color w:val="231F20"/>
                                      <w:spacing w:val="-2"/>
                                      <w:sz w:val="15"/>
                                    </w:rPr>
                                    <w:t>infantile</w:t>
                                  </w:r>
                                  <w:r>
                                    <w:rPr>
                                      <w:color w:val="231F20"/>
                                      <w:spacing w:val="-9"/>
                                      <w:sz w:val="15"/>
                                    </w:rPr>
                                    <w:t> </w:t>
                                  </w:r>
                                  <w:r>
                                    <w:rPr>
                                      <w:color w:val="231F20"/>
                                      <w:spacing w:val="-2"/>
                                      <w:sz w:val="15"/>
                                    </w:rPr>
                                    <w:t>epilepsy </w:t>
                                  </w:r>
                                  <w:r>
                                    <w:rPr>
                                      <w:color w:val="231F20"/>
                                      <w:sz w:val="15"/>
                                    </w:rPr>
                                    <w:t>Dravet syndrome</w:t>
                                  </w:r>
                                </w:p>
                                <w:p>
                                  <w:pPr>
                                    <w:pStyle w:val="TableParagraph"/>
                                    <w:spacing w:line="170" w:lineRule="exact"/>
                                    <w:ind w:left="74"/>
                                    <w:rPr>
                                      <w:sz w:val="15"/>
                                    </w:rPr>
                                  </w:pPr>
                                  <w:r>
                                    <w:rPr>
                                      <w:color w:val="231F20"/>
                                      <w:sz w:val="15"/>
                                    </w:rPr>
                                    <w:t>Myoclonic</w:t>
                                  </w:r>
                                  <w:r>
                                    <w:rPr>
                                      <w:color w:val="231F20"/>
                                      <w:spacing w:val="7"/>
                                      <w:sz w:val="15"/>
                                    </w:rPr>
                                    <w:t> </w:t>
                                  </w:r>
                                  <w:r>
                                    <w:rPr>
                                      <w:color w:val="231F20"/>
                                      <w:sz w:val="15"/>
                                    </w:rPr>
                                    <w:t>encephalopathy</w:t>
                                  </w:r>
                                  <w:r>
                                    <w:rPr>
                                      <w:color w:val="231F20"/>
                                      <w:spacing w:val="8"/>
                                      <w:sz w:val="15"/>
                                    </w:rPr>
                                    <w:t> </w:t>
                                  </w:r>
                                  <w:r>
                                    <w:rPr>
                                      <w:color w:val="231F20"/>
                                      <w:sz w:val="15"/>
                                    </w:rPr>
                                    <w:t>in</w:t>
                                  </w:r>
                                  <w:r>
                                    <w:rPr>
                                      <w:color w:val="231F20"/>
                                      <w:spacing w:val="8"/>
                                      <w:sz w:val="15"/>
                                    </w:rPr>
                                    <w:t> </w:t>
                                  </w:r>
                                  <w:r>
                                    <w:rPr>
                                      <w:color w:val="231F20"/>
                                      <w:sz w:val="15"/>
                                    </w:rPr>
                                    <w:t>nonprogressive</w:t>
                                  </w:r>
                                  <w:r>
                                    <w:rPr>
                                      <w:color w:val="231F20"/>
                                      <w:spacing w:val="7"/>
                                      <w:sz w:val="15"/>
                                    </w:rPr>
                                    <w:t> </w:t>
                                  </w:r>
                                  <w:r>
                                    <w:rPr>
                                      <w:color w:val="231F20"/>
                                      <w:spacing w:val="-2"/>
                                      <w:sz w:val="15"/>
                                    </w:rPr>
                                    <w:t>disorders</w:t>
                                  </w:r>
                                </w:p>
                              </w:tc>
                            </w:tr>
                            <w:tr>
                              <w:trPr>
                                <w:trHeight w:val="260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CHILDHOOD</w:t>
                                  </w:r>
                                </w:p>
                                <w:p>
                                  <w:pPr>
                                    <w:pStyle w:val="TableParagraph"/>
                                    <w:spacing w:line="230" w:lineRule="auto" w:before="3"/>
                                    <w:ind w:left="186" w:hanging="112"/>
                                    <w:rPr>
                                      <w:sz w:val="15"/>
                                    </w:rPr>
                                  </w:pPr>
                                  <w:r>
                                    <w:rPr>
                                      <w:color w:val="231F20"/>
                                      <w:spacing w:val="-2"/>
                                      <w:sz w:val="15"/>
                                    </w:rPr>
                                    <w:t>Febrile</w:t>
                                  </w:r>
                                  <w:r>
                                    <w:rPr>
                                      <w:color w:val="231F20"/>
                                      <w:spacing w:val="-7"/>
                                      <w:sz w:val="15"/>
                                    </w:rPr>
                                    <w:t> </w:t>
                                  </w:r>
                                  <w:r>
                                    <w:rPr>
                                      <w:color w:val="231F20"/>
                                      <w:spacing w:val="-2"/>
                                      <w:sz w:val="15"/>
                                    </w:rPr>
                                    <w:t>seizures</w:t>
                                  </w:r>
                                  <w:r>
                                    <w:rPr>
                                      <w:color w:val="231F20"/>
                                      <w:spacing w:val="-7"/>
                                      <w:sz w:val="15"/>
                                    </w:rPr>
                                    <w:t> </w:t>
                                  </w:r>
                                  <w:r>
                                    <w:rPr>
                                      <w:color w:val="231F20"/>
                                      <w:spacing w:val="-2"/>
                                      <w:sz w:val="15"/>
                                    </w:rPr>
                                    <w:t>plus</w:t>
                                  </w:r>
                                  <w:r>
                                    <w:rPr>
                                      <w:color w:val="231F20"/>
                                      <w:spacing w:val="-7"/>
                                      <w:sz w:val="15"/>
                                    </w:rPr>
                                    <w:t> </w:t>
                                  </w:r>
                                  <w:r>
                                    <w:rPr>
                                      <w:color w:val="231F20"/>
                                      <w:spacing w:val="-2"/>
                                      <w:sz w:val="15"/>
                                    </w:rPr>
                                    <w:t>(FS</w:t>
                                  </w:r>
                                  <w:r>
                                    <w:rPr>
                                      <w:rFonts w:ascii="Cambria"/>
                                      <w:color w:val="231F20"/>
                                      <w:spacing w:val="-2"/>
                                      <w:sz w:val="15"/>
                                    </w:rPr>
                                    <w:t>+</w:t>
                                  </w:r>
                                  <w:r>
                                    <w:rPr>
                                      <w:color w:val="231F20"/>
                                      <w:spacing w:val="-2"/>
                                      <w:sz w:val="15"/>
                                    </w:rPr>
                                    <w:t>)</w:t>
                                  </w:r>
                                  <w:r>
                                    <w:rPr>
                                      <w:color w:val="231F20"/>
                                      <w:spacing w:val="-7"/>
                                      <w:sz w:val="15"/>
                                    </w:rPr>
                                    <w:t> </w:t>
                                  </w:r>
                                  <w:r>
                                    <w:rPr>
                                      <w:color w:val="231F20"/>
                                      <w:spacing w:val="-2"/>
                                      <w:sz w:val="15"/>
                                    </w:rPr>
                                    <w:t>(can</w:t>
                                  </w:r>
                                  <w:r>
                                    <w:rPr>
                                      <w:color w:val="231F20"/>
                                      <w:spacing w:val="-7"/>
                                      <w:sz w:val="15"/>
                                    </w:rPr>
                                    <w:t> </w:t>
                                  </w:r>
                                  <w:r>
                                    <w:rPr>
                                      <w:color w:val="231F20"/>
                                      <w:spacing w:val="-2"/>
                                      <w:sz w:val="15"/>
                                    </w:rPr>
                                    <w:t>start</w:t>
                                  </w:r>
                                  <w:r>
                                    <w:rPr>
                                      <w:color w:val="231F20"/>
                                      <w:spacing w:val="-7"/>
                                      <w:sz w:val="15"/>
                                    </w:rPr>
                                    <w:t> </w:t>
                                  </w:r>
                                  <w:r>
                                    <w:rPr>
                                      <w:color w:val="231F20"/>
                                      <w:spacing w:val="-2"/>
                                      <w:sz w:val="15"/>
                                    </w:rPr>
                                    <w:t>in</w:t>
                                  </w:r>
                                  <w:r>
                                    <w:rPr>
                                      <w:color w:val="231F20"/>
                                      <w:spacing w:val="-7"/>
                                      <w:sz w:val="15"/>
                                    </w:rPr>
                                    <w:t> </w:t>
                                  </w:r>
                                  <w:r>
                                    <w:rPr>
                                      <w:color w:val="231F20"/>
                                      <w:spacing w:val="-2"/>
                                      <w:sz w:val="15"/>
                                    </w:rPr>
                                    <w:t>infancy;</w:t>
                                  </w:r>
                                  <w:r>
                                    <w:rPr>
                                      <w:color w:val="231F20"/>
                                      <w:spacing w:val="-7"/>
                                      <w:sz w:val="15"/>
                                    </w:rPr>
                                    <w:t> </w:t>
                                  </w:r>
                                  <w:r>
                                    <w:rPr>
                                      <w:color w:val="231F20"/>
                                      <w:spacing w:val="-2"/>
                                      <w:sz w:val="15"/>
                                    </w:rPr>
                                    <w:t>this</w:t>
                                  </w:r>
                                  <w:r>
                                    <w:rPr>
                                      <w:color w:val="231F20"/>
                                      <w:spacing w:val="-7"/>
                                      <w:sz w:val="15"/>
                                    </w:rPr>
                                    <w:t> </w:t>
                                  </w:r>
                                  <w:r>
                                    <w:rPr>
                                      <w:color w:val="231F20"/>
                                      <w:spacing w:val="-2"/>
                                      <w:sz w:val="15"/>
                                    </w:rPr>
                                    <w:t>can</w:t>
                                  </w:r>
                                  <w:r>
                                    <w:rPr>
                                      <w:color w:val="231F20"/>
                                      <w:spacing w:val="-7"/>
                                      <w:sz w:val="15"/>
                                    </w:rPr>
                                    <w:t> </w:t>
                                  </w:r>
                                  <w:r>
                                    <w:rPr>
                                      <w:color w:val="231F20"/>
                                      <w:spacing w:val="-2"/>
                                      <w:sz w:val="15"/>
                                    </w:rPr>
                                    <w:t>be</w:t>
                                  </w:r>
                                  <w:r>
                                    <w:rPr>
                                      <w:color w:val="231F20"/>
                                      <w:spacing w:val="-7"/>
                                      <w:sz w:val="15"/>
                                    </w:rPr>
                                    <w:t> </w:t>
                                  </w:r>
                                  <w:r>
                                    <w:rPr>
                                      <w:color w:val="231F20"/>
                                      <w:spacing w:val="-2"/>
                                      <w:sz w:val="15"/>
                                    </w:rPr>
                                    <w:t>with </w:t>
                                  </w:r>
                                  <w:r>
                                    <w:rPr>
                                      <w:color w:val="231F20"/>
                                      <w:sz w:val="15"/>
                                    </w:rPr>
                                    <w:t>generalized [GEFS</w:t>
                                  </w:r>
                                  <w:r>
                                    <w:rPr>
                                      <w:rFonts w:ascii="Cambria"/>
                                      <w:color w:val="231F20"/>
                                      <w:sz w:val="15"/>
                                    </w:rPr>
                                    <w:t>+</w:t>
                                  </w:r>
                                  <w:r>
                                    <w:rPr>
                                      <w:color w:val="231F20"/>
                                      <w:sz w:val="15"/>
                                    </w:rPr>
                                    <w:t>] or with focal seizures)</w:t>
                                  </w:r>
                                </w:p>
                                <w:p>
                                  <w:pPr>
                                    <w:pStyle w:val="TableParagraph"/>
                                    <w:spacing w:line="230" w:lineRule="auto"/>
                                    <w:ind w:left="186" w:hanging="112"/>
                                    <w:rPr>
                                      <w:sz w:val="15"/>
                                    </w:rPr>
                                  </w:pPr>
                                  <w:r>
                                    <w:rPr>
                                      <w:color w:val="231F20"/>
                                      <w:sz w:val="15"/>
                                    </w:rPr>
                                    <w:t>Early-onset</w:t>
                                  </w:r>
                                  <w:r>
                                    <w:rPr>
                                      <w:color w:val="231F20"/>
                                      <w:spacing w:val="-8"/>
                                      <w:sz w:val="15"/>
                                    </w:rPr>
                                    <w:t> </w:t>
                                  </w:r>
                                  <w:r>
                                    <w:rPr>
                                      <w:color w:val="231F20"/>
                                      <w:sz w:val="15"/>
                                    </w:rPr>
                                    <w:t>benign</w:t>
                                  </w:r>
                                  <w:r>
                                    <w:rPr>
                                      <w:color w:val="231F20"/>
                                      <w:spacing w:val="-8"/>
                                      <w:sz w:val="15"/>
                                    </w:rPr>
                                    <w:t> </w:t>
                                  </w:r>
                                  <w:r>
                                    <w:rPr>
                                      <w:color w:val="231F20"/>
                                      <w:sz w:val="15"/>
                                    </w:rPr>
                                    <w:t>childhood</w:t>
                                  </w:r>
                                  <w:r>
                                    <w:rPr>
                                      <w:color w:val="231F20"/>
                                      <w:spacing w:val="-8"/>
                                      <w:sz w:val="15"/>
                                    </w:rPr>
                                    <w:t> </w:t>
                                  </w:r>
                                  <w:r>
                                    <w:rPr>
                                      <w:color w:val="231F20"/>
                                      <w:sz w:val="15"/>
                                    </w:rPr>
                                    <w:t>occipital</w:t>
                                  </w:r>
                                  <w:r>
                                    <w:rPr>
                                      <w:color w:val="231F20"/>
                                      <w:spacing w:val="-8"/>
                                      <w:sz w:val="15"/>
                                    </w:rPr>
                                    <w:t> </w:t>
                                  </w:r>
                                  <w:r>
                                    <w:rPr>
                                      <w:color w:val="231F20"/>
                                      <w:sz w:val="15"/>
                                    </w:rPr>
                                    <w:t>epilepsy</w:t>
                                  </w:r>
                                  <w:r>
                                    <w:rPr>
                                      <w:color w:val="231F20"/>
                                      <w:spacing w:val="-8"/>
                                      <w:sz w:val="15"/>
                                    </w:rPr>
                                    <w:t> </w:t>
                                  </w:r>
                                  <w:r>
                                    <w:rPr>
                                      <w:color w:val="231F20"/>
                                      <w:sz w:val="15"/>
                                    </w:rPr>
                                    <w:t>(Panayiotopoulos </w:t>
                                  </w:r>
                                  <w:r>
                                    <w:rPr>
                                      <w:color w:val="231F20"/>
                                      <w:spacing w:val="-2"/>
                                      <w:sz w:val="15"/>
                                    </w:rPr>
                                    <w:t>type)</w:t>
                                  </w:r>
                                </w:p>
                                <w:p>
                                  <w:pPr>
                                    <w:pStyle w:val="TableParagraph"/>
                                    <w:spacing w:line="230" w:lineRule="auto" w:before="2"/>
                                    <w:ind w:left="74" w:right="738"/>
                                    <w:rPr>
                                      <w:sz w:val="15"/>
                                    </w:rPr>
                                  </w:pPr>
                                  <w:r>
                                    <w:rPr>
                                      <w:color w:val="231F20"/>
                                      <w:spacing w:val="-2"/>
                                      <w:sz w:val="15"/>
                                    </w:rPr>
                                    <w:t>Epilepsy</w:t>
                                  </w:r>
                                  <w:r>
                                    <w:rPr>
                                      <w:color w:val="231F20"/>
                                      <w:spacing w:val="-7"/>
                                      <w:sz w:val="15"/>
                                    </w:rPr>
                                    <w:t> </w:t>
                                  </w:r>
                                  <w:r>
                                    <w:rPr>
                                      <w:color w:val="231F20"/>
                                      <w:spacing w:val="-2"/>
                                      <w:sz w:val="15"/>
                                    </w:rPr>
                                    <w:t>with</w:t>
                                  </w:r>
                                  <w:r>
                                    <w:rPr>
                                      <w:color w:val="231F20"/>
                                      <w:spacing w:val="-7"/>
                                      <w:sz w:val="15"/>
                                    </w:rPr>
                                    <w:t> </w:t>
                                  </w:r>
                                  <w:r>
                                    <w:rPr>
                                      <w:color w:val="231F20"/>
                                      <w:spacing w:val="-2"/>
                                      <w:sz w:val="15"/>
                                    </w:rPr>
                                    <w:t>myoclonic</w:t>
                                  </w:r>
                                  <w:r>
                                    <w:rPr>
                                      <w:color w:val="231F20"/>
                                      <w:spacing w:val="-7"/>
                                      <w:sz w:val="15"/>
                                    </w:rPr>
                                    <w:t> </w:t>
                                  </w:r>
                                  <w:r>
                                    <w:rPr>
                                      <w:color w:val="231F20"/>
                                      <w:spacing w:val="-2"/>
                                      <w:sz w:val="15"/>
                                    </w:rPr>
                                    <w:t>atonic</w:t>
                                  </w:r>
                                  <w:r>
                                    <w:rPr>
                                      <w:color w:val="231F20"/>
                                      <w:spacing w:val="-7"/>
                                      <w:sz w:val="15"/>
                                    </w:rPr>
                                    <w:t> </w:t>
                                  </w:r>
                                  <w:r>
                                    <w:rPr>
                                      <w:color w:val="231F20"/>
                                      <w:spacing w:val="-2"/>
                                      <w:sz w:val="15"/>
                                    </w:rPr>
                                    <w:t>(previously</w:t>
                                  </w:r>
                                  <w:r>
                                    <w:rPr>
                                      <w:color w:val="231F20"/>
                                      <w:spacing w:val="-7"/>
                                      <w:sz w:val="15"/>
                                    </w:rPr>
                                    <w:t> </w:t>
                                  </w:r>
                                  <w:r>
                                    <w:rPr>
                                      <w:color w:val="231F20"/>
                                      <w:spacing w:val="-2"/>
                                      <w:sz w:val="15"/>
                                    </w:rPr>
                                    <w:t>astatic)</w:t>
                                  </w:r>
                                  <w:r>
                                    <w:rPr>
                                      <w:color w:val="231F20"/>
                                      <w:spacing w:val="-7"/>
                                      <w:sz w:val="15"/>
                                    </w:rPr>
                                    <w:t> </w:t>
                                  </w:r>
                                  <w:r>
                                    <w:rPr>
                                      <w:color w:val="231F20"/>
                                      <w:spacing w:val="-2"/>
                                      <w:sz w:val="15"/>
                                    </w:rPr>
                                    <w:t>seizures </w:t>
                                  </w:r>
                                  <w:r>
                                    <w:rPr>
                                      <w:color w:val="231F20"/>
                                      <w:sz w:val="15"/>
                                    </w:rPr>
                                    <w:t>Benign epilepsy with centrotemporal spikes (BCECTS) Late-onset childhood occipital epilepsy (Gastaut type)</w:t>
                                  </w:r>
                                </w:p>
                                <w:p>
                                  <w:pPr>
                                    <w:pStyle w:val="TableParagraph"/>
                                    <w:spacing w:line="230" w:lineRule="auto" w:before="2"/>
                                    <w:ind w:left="74"/>
                                    <w:rPr>
                                      <w:sz w:val="15"/>
                                    </w:rPr>
                                  </w:pPr>
                                  <w:r>
                                    <w:rPr>
                                      <w:color w:val="231F20"/>
                                      <w:sz w:val="15"/>
                                    </w:rPr>
                                    <w:t>Autosomal</w:t>
                                  </w:r>
                                  <w:r>
                                    <w:rPr>
                                      <w:color w:val="231F20"/>
                                      <w:spacing w:val="-4"/>
                                      <w:sz w:val="15"/>
                                    </w:rPr>
                                    <w:t> </w:t>
                                  </w:r>
                                  <w:r>
                                    <w:rPr>
                                      <w:color w:val="231F20"/>
                                      <w:sz w:val="15"/>
                                    </w:rPr>
                                    <w:t>dominant</w:t>
                                  </w:r>
                                  <w:r>
                                    <w:rPr>
                                      <w:color w:val="231F20"/>
                                      <w:spacing w:val="-4"/>
                                      <w:sz w:val="15"/>
                                    </w:rPr>
                                    <w:t> </w:t>
                                  </w:r>
                                  <w:r>
                                    <w:rPr>
                                      <w:color w:val="231F20"/>
                                      <w:sz w:val="15"/>
                                    </w:rPr>
                                    <w:t>nocturnal</w:t>
                                  </w:r>
                                  <w:r>
                                    <w:rPr>
                                      <w:color w:val="231F20"/>
                                      <w:spacing w:val="-4"/>
                                      <w:sz w:val="15"/>
                                    </w:rPr>
                                    <w:t> </w:t>
                                  </w:r>
                                  <w:r>
                                    <w:rPr>
                                      <w:color w:val="231F20"/>
                                      <w:sz w:val="15"/>
                                    </w:rPr>
                                    <w:t>frontal</w:t>
                                  </w:r>
                                  <w:r>
                                    <w:rPr>
                                      <w:color w:val="231F20"/>
                                      <w:spacing w:val="-4"/>
                                      <w:sz w:val="15"/>
                                    </w:rPr>
                                    <w:t> </w:t>
                                  </w:r>
                                  <w:r>
                                    <w:rPr>
                                      <w:color w:val="231F20"/>
                                      <w:sz w:val="15"/>
                                    </w:rPr>
                                    <w:t>lobe</w:t>
                                  </w:r>
                                  <w:r>
                                    <w:rPr>
                                      <w:color w:val="231F20"/>
                                      <w:spacing w:val="-4"/>
                                      <w:sz w:val="15"/>
                                    </w:rPr>
                                    <w:t> </w:t>
                                  </w:r>
                                  <w:r>
                                    <w:rPr>
                                      <w:color w:val="231F20"/>
                                      <w:sz w:val="15"/>
                                    </w:rPr>
                                    <w:t>epilepsy</w:t>
                                  </w:r>
                                  <w:r>
                                    <w:rPr>
                                      <w:color w:val="231F20"/>
                                      <w:spacing w:val="-4"/>
                                      <w:sz w:val="15"/>
                                    </w:rPr>
                                    <w:t> </w:t>
                                  </w:r>
                                  <w:r>
                                    <w:rPr>
                                      <w:color w:val="231F20"/>
                                      <w:sz w:val="15"/>
                                    </w:rPr>
                                    <w:t>(AD-</w:t>
                                  </w:r>
                                  <w:r>
                                    <w:rPr>
                                      <w:color w:val="231F20"/>
                                      <w:sz w:val="15"/>
                                    </w:rPr>
                                    <w:t>NFLE) Epilepsy with myoclonic absences</w:t>
                                  </w:r>
                                </w:p>
                                <w:p>
                                  <w:pPr>
                                    <w:pStyle w:val="TableParagraph"/>
                                    <w:spacing w:line="167" w:lineRule="exact"/>
                                    <w:ind w:left="74"/>
                                    <w:rPr>
                                      <w:sz w:val="15"/>
                                    </w:rPr>
                                  </w:pPr>
                                  <w:r>
                                    <w:rPr>
                                      <w:color w:val="231F20"/>
                                      <w:sz w:val="15"/>
                                    </w:rPr>
                                    <w:t>Lennox-Gastaut</w:t>
                                  </w:r>
                                  <w:r>
                                    <w:rPr>
                                      <w:color w:val="231F20"/>
                                      <w:spacing w:val="-10"/>
                                      <w:sz w:val="15"/>
                                    </w:rPr>
                                    <w:t> </w:t>
                                  </w:r>
                                  <w:r>
                                    <w:rPr>
                                      <w:color w:val="231F20"/>
                                      <w:spacing w:val="-2"/>
                                      <w:sz w:val="15"/>
                                    </w:rPr>
                                    <w:t>syndrome</w:t>
                                  </w:r>
                                </w:p>
                                <w:p>
                                  <w:pPr>
                                    <w:pStyle w:val="TableParagraph"/>
                                    <w:spacing w:line="230" w:lineRule="auto" w:before="3"/>
                                    <w:ind w:left="186" w:hanging="112"/>
                                    <w:rPr>
                                      <w:sz w:val="15"/>
                                    </w:rPr>
                                  </w:pPr>
                                  <w:r>
                                    <w:rPr>
                                      <w:color w:val="231F20"/>
                                      <w:sz w:val="15"/>
                                    </w:rPr>
                                    <w:t>Epileptic</w:t>
                                  </w:r>
                                  <w:r>
                                    <w:rPr>
                                      <w:color w:val="231F20"/>
                                      <w:spacing w:val="-12"/>
                                      <w:sz w:val="15"/>
                                    </w:rPr>
                                    <w:t> </w:t>
                                  </w:r>
                                  <w:r>
                                    <w:rPr>
                                      <w:color w:val="231F20"/>
                                      <w:sz w:val="15"/>
                                    </w:rPr>
                                    <w:t>encephalopathy</w:t>
                                  </w:r>
                                  <w:r>
                                    <w:rPr>
                                      <w:color w:val="231F20"/>
                                      <w:spacing w:val="-11"/>
                                      <w:sz w:val="15"/>
                                    </w:rPr>
                                    <w:t> </w:t>
                                  </w:r>
                                  <w:r>
                                    <w:rPr>
                                      <w:color w:val="231F20"/>
                                      <w:sz w:val="15"/>
                                    </w:rPr>
                                    <w:t>with</w:t>
                                  </w:r>
                                  <w:r>
                                    <w:rPr>
                                      <w:color w:val="231F20"/>
                                      <w:spacing w:val="-11"/>
                                      <w:sz w:val="15"/>
                                    </w:rPr>
                                    <w:t> </w:t>
                                  </w:r>
                                  <w:r>
                                    <w:rPr>
                                      <w:color w:val="231F20"/>
                                      <w:sz w:val="15"/>
                                    </w:rPr>
                                    <w:t>continuous</w:t>
                                  </w:r>
                                  <w:r>
                                    <w:rPr>
                                      <w:color w:val="231F20"/>
                                      <w:spacing w:val="-12"/>
                                      <w:sz w:val="15"/>
                                    </w:rPr>
                                    <w:t> </w:t>
                                  </w:r>
                                  <w:r>
                                    <w:rPr>
                                      <w:color w:val="231F20"/>
                                      <w:sz w:val="15"/>
                                    </w:rPr>
                                    <w:t>spike-and-wave</w:t>
                                  </w:r>
                                  <w:r>
                                    <w:rPr>
                                      <w:color w:val="231F20"/>
                                      <w:spacing w:val="-11"/>
                                      <w:sz w:val="15"/>
                                    </w:rPr>
                                    <w:t> </w:t>
                                  </w:r>
                                  <w:r>
                                    <w:rPr>
                                      <w:color w:val="231F20"/>
                                      <w:sz w:val="15"/>
                                    </w:rPr>
                                    <w:t>during sleep (CSWS)</w:t>
                                  </w:r>
                                </w:p>
                                <w:p>
                                  <w:pPr>
                                    <w:pStyle w:val="TableParagraph"/>
                                    <w:spacing w:line="230" w:lineRule="auto" w:before="1"/>
                                    <w:ind w:left="74" w:right="2208"/>
                                    <w:rPr>
                                      <w:sz w:val="15"/>
                                    </w:rPr>
                                  </w:pPr>
                                  <w:r>
                                    <w:rPr>
                                      <w:color w:val="231F20"/>
                                      <w:sz w:val="15"/>
                                    </w:rPr>
                                    <w:t>Landau-Kleffner syndrome Childhood absence epilepsy </w:t>
                                  </w:r>
                                  <w:r>
                                    <w:rPr>
                                      <w:color w:val="231F20"/>
                                      <w:sz w:val="15"/>
                                    </w:rPr>
                                    <w:t>(CAE)</w:t>
                                  </w:r>
                                </w:p>
                              </w:tc>
                            </w:tr>
                            <w:tr>
                              <w:trPr>
                                <w:trHeight w:val="126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ADOLESCENCE–ADULT</w:t>
                                  </w:r>
                                </w:p>
                                <w:p>
                                  <w:pPr>
                                    <w:pStyle w:val="TableParagraph"/>
                                    <w:spacing w:line="230" w:lineRule="auto" w:before="3"/>
                                    <w:ind w:left="74" w:right="2339"/>
                                    <w:rPr>
                                      <w:sz w:val="15"/>
                                    </w:rPr>
                                  </w:pPr>
                                  <w:r>
                                    <w:rPr>
                                      <w:color w:val="231F20"/>
                                      <w:sz w:val="15"/>
                                    </w:rPr>
                                    <w:t>Juvenile absence epilepsy (JAE) Juvenile</w:t>
                                  </w:r>
                                  <w:r>
                                    <w:rPr>
                                      <w:color w:val="231F20"/>
                                      <w:spacing w:val="-12"/>
                                      <w:sz w:val="15"/>
                                    </w:rPr>
                                    <w:t> </w:t>
                                  </w:r>
                                  <w:r>
                                    <w:rPr>
                                      <w:color w:val="231F20"/>
                                      <w:sz w:val="15"/>
                                    </w:rPr>
                                    <w:t>myoclonic</w:t>
                                  </w:r>
                                  <w:r>
                                    <w:rPr>
                                      <w:color w:val="231F20"/>
                                      <w:spacing w:val="-11"/>
                                      <w:sz w:val="15"/>
                                    </w:rPr>
                                    <w:t> </w:t>
                                  </w:r>
                                  <w:r>
                                    <w:rPr>
                                      <w:color w:val="231F20"/>
                                      <w:sz w:val="15"/>
                                    </w:rPr>
                                    <w:t>epilepsy</w:t>
                                  </w:r>
                                  <w:r>
                                    <w:rPr>
                                      <w:color w:val="231F20"/>
                                      <w:spacing w:val="-11"/>
                                      <w:sz w:val="15"/>
                                    </w:rPr>
                                    <w:t> </w:t>
                                  </w:r>
                                  <w:r>
                                    <w:rPr>
                                      <w:color w:val="231F20"/>
                                      <w:sz w:val="15"/>
                                    </w:rPr>
                                    <w:t>(JME)</w:t>
                                  </w:r>
                                </w:p>
                                <w:p>
                                  <w:pPr>
                                    <w:pStyle w:val="TableParagraph"/>
                                    <w:spacing w:line="230" w:lineRule="auto" w:before="2"/>
                                    <w:ind w:left="74" w:right="434"/>
                                    <w:rPr>
                                      <w:sz w:val="15"/>
                                    </w:rPr>
                                  </w:pPr>
                                  <w:r>
                                    <w:rPr>
                                      <w:color w:val="231F20"/>
                                      <w:sz w:val="15"/>
                                    </w:rPr>
                                    <w:t>Epilepsy</w:t>
                                  </w:r>
                                  <w:r>
                                    <w:rPr>
                                      <w:color w:val="231F20"/>
                                      <w:spacing w:val="-12"/>
                                      <w:sz w:val="15"/>
                                    </w:rPr>
                                    <w:t> </w:t>
                                  </w:r>
                                  <w:r>
                                    <w:rPr>
                                      <w:color w:val="231F20"/>
                                      <w:sz w:val="15"/>
                                    </w:rPr>
                                    <w:t>with</w:t>
                                  </w:r>
                                  <w:r>
                                    <w:rPr>
                                      <w:color w:val="231F20"/>
                                      <w:spacing w:val="-11"/>
                                      <w:sz w:val="15"/>
                                    </w:rPr>
                                    <w:t> </w:t>
                                  </w:r>
                                  <w:r>
                                    <w:rPr>
                                      <w:color w:val="231F20"/>
                                      <w:sz w:val="15"/>
                                    </w:rPr>
                                    <w:t>generalized</w:t>
                                  </w:r>
                                  <w:r>
                                    <w:rPr>
                                      <w:color w:val="231F20"/>
                                      <w:spacing w:val="-11"/>
                                      <w:sz w:val="15"/>
                                    </w:rPr>
                                    <w:t> </w:t>
                                  </w:r>
                                  <w:r>
                                    <w:rPr>
                                      <w:color w:val="231F20"/>
                                      <w:sz w:val="15"/>
                                    </w:rPr>
                                    <w:t>tonic–clonic</w:t>
                                  </w:r>
                                  <w:r>
                                    <w:rPr>
                                      <w:color w:val="231F20"/>
                                      <w:spacing w:val="-12"/>
                                      <w:sz w:val="15"/>
                                    </w:rPr>
                                    <w:t> </w:t>
                                  </w:r>
                                  <w:r>
                                    <w:rPr>
                                      <w:color w:val="231F20"/>
                                      <w:sz w:val="15"/>
                                    </w:rPr>
                                    <w:t>seizures</w:t>
                                  </w:r>
                                  <w:r>
                                    <w:rPr>
                                      <w:color w:val="231F20"/>
                                      <w:spacing w:val="-11"/>
                                      <w:sz w:val="15"/>
                                    </w:rPr>
                                    <w:t> </w:t>
                                  </w:r>
                                  <w:r>
                                    <w:rPr>
                                      <w:color w:val="231F20"/>
                                      <w:sz w:val="15"/>
                                    </w:rPr>
                                    <w:t>alone Progressive myoclonus epilepsies (PME)</w:t>
                                  </w:r>
                                </w:p>
                                <w:p>
                                  <w:pPr>
                                    <w:pStyle w:val="TableParagraph"/>
                                    <w:spacing w:line="230" w:lineRule="auto" w:before="1"/>
                                    <w:ind w:left="74" w:right="434"/>
                                    <w:rPr>
                                      <w:sz w:val="15"/>
                                    </w:rPr>
                                  </w:pPr>
                                  <w:r>
                                    <w:rPr>
                                      <w:color w:val="231F20"/>
                                      <w:sz w:val="15"/>
                                    </w:rPr>
                                    <w:t>Autosomal</w:t>
                                  </w:r>
                                  <w:r>
                                    <w:rPr>
                                      <w:color w:val="231F20"/>
                                      <w:spacing w:val="-8"/>
                                      <w:sz w:val="15"/>
                                    </w:rPr>
                                    <w:t> </w:t>
                                  </w:r>
                                  <w:r>
                                    <w:rPr>
                                      <w:color w:val="231F20"/>
                                      <w:sz w:val="15"/>
                                    </w:rPr>
                                    <w:t>dominant</w:t>
                                  </w:r>
                                  <w:r>
                                    <w:rPr>
                                      <w:color w:val="231F20"/>
                                      <w:spacing w:val="-8"/>
                                      <w:sz w:val="15"/>
                                    </w:rPr>
                                    <w:t> </w:t>
                                  </w:r>
                                  <w:r>
                                    <w:rPr>
                                      <w:color w:val="231F20"/>
                                      <w:sz w:val="15"/>
                                    </w:rPr>
                                    <w:t>epilepsy</w:t>
                                  </w:r>
                                  <w:r>
                                    <w:rPr>
                                      <w:color w:val="231F20"/>
                                      <w:spacing w:val="-8"/>
                                      <w:sz w:val="15"/>
                                    </w:rPr>
                                    <w:t> </w:t>
                                  </w:r>
                                  <w:r>
                                    <w:rPr>
                                      <w:color w:val="231F20"/>
                                      <w:sz w:val="15"/>
                                    </w:rPr>
                                    <w:t>with</w:t>
                                  </w:r>
                                  <w:r>
                                    <w:rPr>
                                      <w:color w:val="231F20"/>
                                      <w:spacing w:val="-8"/>
                                      <w:sz w:val="15"/>
                                    </w:rPr>
                                    <w:t> </w:t>
                                  </w:r>
                                  <w:r>
                                    <w:rPr>
                                      <w:color w:val="231F20"/>
                                      <w:sz w:val="15"/>
                                    </w:rPr>
                                    <w:t>auditory</w:t>
                                  </w:r>
                                  <w:r>
                                    <w:rPr>
                                      <w:color w:val="231F20"/>
                                      <w:spacing w:val="-8"/>
                                      <w:sz w:val="15"/>
                                    </w:rPr>
                                    <w:t> </w:t>
                                  </w:r>
                                  <w:r>
                                    <w:rPr>
                                      <w:color w:val="231F20"/>
                                      <w:sz w:val="15"/>
                                    </w:rPr>
                                    <w:t>features</w:t>
                                  </w:r>
                                  <w:r>
                                    <w:rPr>
                                      <w:color w:val="231F20"/>
                                      <w:spacing w:val="-8"/>
                                      <w:sz w:val="15"/>
                                    </w:rPr>
                                    <w:t> </w:t>
                                  </w:r>
                                  <w:r>
                                    <w:rPr>
                                      <w:color w:val="231F20"/>
                                      <w:sz w:val="15"/>
                                    </w:rPr>
                                    <w:t>(ADEAF) Other familial temporal lobe epilepsies</w:t>
                                  </w:r>
                                </w:p>
                              </w:tc>
                            </w:tr>
                            <w:tr>
                              <w:trPr>
                                <w:trHeight w:val="591"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AGE-RELATED</w:t>
                                  </w:r>
                                  <w:r>
                                    <w:rPr>
                                      <w:color w:val="231F20"/>
                                      <w:spacing w:val="5"/>
                                      <w:w w:val="110"/>
                                      <w:sz w:val="15"/>
                                    </w:rPr>
                                    <w:t> </w:t>
                                  </w:r>
                                  <w:r>
                                    <w:rPr>
                                      <w:color w:val="231F20"/>
                                      <w:w w:val="110"/>
                                      <w:sz w:val="15"/>
                                    </w:rPr>
                                    <w:t>(AGE</w:t>
                                  </w:r>
                                  <w:r>
                                    <w:rPr>
                                      <w:color w:val="231F20"/>
                                      <w:spacing w:val="5"/>
                                      <w:w w:val="110"/>
                                      <w:sz w:val="15"/>
                                    </w:rPr>
                                    <w:t> </w:t>
                                  </w:r>
                                  <w:r>
                                    <w:rPr>
                                      <w:color w:val="231F20"/>
                                      <w:w w:val="110"/>
                                      <w:sz w:val="15"/>
                                    </w:rPr>
                                    <w:t>OF</w:t>
                                  </w:r>
                                  <w:r>
                                    <w:rPr>
                                      <w:color w:val="231F20"/>
                                      <w:spacing w:val="5"/>
                                      <w:w w:val="110"/>
                                      <w:sz w:val="15"/>
                                    </w:rPr>
                                    <w:t> </w:t>
                                  </w:r>
                                  <w:r>
                                    <w:rPr>
                                      <w:color w:val="231F20"/>
                                      <w:w w:val="110"/>
                                      <w:sz w:val="15"/>
                                    </w:rPr>
                                    <w:t>ONSET</w:t>
                                  </w:r>
                                  <w:r>
                                    <w:rPr>
                                      <w:color w:val="231F20"/>
                                      <w:spacing w:val="6"/>
                                      <w:w w:val="110"/>
                                      <w:sz w:val="15"/>
                                    </w:rPr>
                                    <w:t> </w:t>
                                  </w:r>
                                  <w:r>
                                    <w:rPr>
                                      <w:color w:val="231F20"/>
                                      <w:w w:val="110"/>
                                      <w:sz w:val="15"/>
                                    </w:rPr>
                                    <w:t>LESS</w:t>
                                  </w:r>
                                  <w:r>
                                    <w:rPr>
                                      <w:color w:val="231F20"/>
                                      <w:spacing w:val="5"/>
                                      <w:w w:val="110"/>
                                      <w:sz w:val="15"/>
                                    </w:rPr>
                                    <w:t> </w:t>
                                  </w:r>
                                  <w:r>
                                    <w:rPr>
                                      <w:color w:val="231F20"/>
                                      <w:spacing w:val="-2"/>
                                      <w:w w:val="110"/>
                                      <w:sz w:val="15"/>
                                    </w:rPr>
                                    <w:t>SPECIFIC)</w:t>
                                  </w:r>
                                </w:p>
                                <w:p>
                                  <w:pPr>
                                    <w:pStyle w:val="TableParagraph"/>
                                    <w:spacing w:line="230" w:lineRule="auto" w:before="3"/>
                                    <w:ind w:left="74" w:right="434"/>
                                    <w:rPr>
                                      <w:sz w:val="15"/>
                                    </w:rPr>
                                  </w:pPr>
                                  <w:r>
                                    <w:rPr>
                                      <w:color w:val="231F20"/>
                                      <w:spacing w:val="-2"/>
                                      <w:sz w:val="15"/>
                                    </w:rPr>
                                    <w:t>Familial</w:t>
                                  </w:r>
                                  <w:r>
                                    <w:rPr>
                                      <w:color w:val="231F20"/>
                                      <w:spacing w:val="-6"/>
                                      <w:sz w:val="15"/>
                                    </w:rPr>
                                    <w:t> </w:t>
                                  </w:r>
                                  <w:r>
                                    <w:rPr>
                                      <w:color w:val="231F20"/>
                                      <w:spacing w:val="-2"/>
                                      <w:sz w:val="15"/>
                                    </w:rPr>
                                    <w:t>focal</w:t>
                                  </w:r>
                                  <w:r>
                                    <w:rPr>
                                      <w:color w:val="231F20"/>
                                      <w:spacing w:val="-6"/>
                                      <w:sz w:val="15"/>
                                    </w:rPr>
                                    <w:t> </w:t>
                                  </w:r>
                                  <w:r>
                                    <w:rPr>
                                      <w:color w:val="231F20"/>
                                      <w:spacing w:val="-2"/>
                                      <w:sz w:val="15"/>
                                    </w:rPr>
                                    <w:t>epilepsy</w:t>
                                  </w:r>
                                  <w:r>
                                    <w:rPr>
                                      <w:color w:val="231F20"/>
                                      <w:spacing w:val="-6"/>
                                      <w:sz w:val="15"/>
                                    </w:rPr>
                                    <w:t> </w:t>
                                  </w:r>
                                  <w:r>
                                    <w:rPr>
                                      <w:color w:val="231F20"/>
                                      <w:spacing w:val="-2"/>
                                      <w:sz w:val="15"/>
                                    </w:rPr>
                                    <w:t>with</w:t>
                                  </w:r>
                                  <w:r>
                                    <w:rPr>
                                      <w:color w:val="231F20"/>
                                      <w:spacing w:val="-6"/>
                                      <w:sz w:val="15"/>
                                    </w:rPr>
                                    <w:t> </w:t>
                                  </w:r>
                                  <w:r>
                                    <w:rPr>
                                      <w:color w:val="231F20"/>
                                      <w:spacing w:val="-2"/>
                                      <w:sz w:val="15"/>
                                    </w:rPr>
                                    <w:t>variable</w:t>
                                  </w:r>
                                  <w:r>
                                    <w:rPr>
                                      <w:color w:val="231F20"/>
                                      <w:spacing w:val="-6"/>
                                      <w:sz w:val="15"/>
                                    </w:rPr>
                                    <w:t> </w:t>
                                  </w:r>
                                  <w:r>
                                    <w:rPr>
                                      <w:color w:val="231F20"/>
                                      <w:spacing w:val="-2"/>
                                      <w:sz w:val="15"/>
                                    </w:rPr>
                                    <w:t>foci</w:t>
                                  </w:r>
                                  <w:r>
                                    <w:rPr>
                                      <w:color w:val="231F20"/>
                                      <w:spacing w:val="-6"/>
                                      <w:sz w:val="15"/>
                                    </w:rPr>
                                    <w:t> </w:t>
                                  </w:r>
                                  <w:r>
                                    <w:rPr>
                                      <w:color w:val="231F20"/>
                                      <w:spacing w:val="-2"/>
                                      <w:sz w:val="15"/>
                                    </w:rPr>
                                    <w:t>(childhood</w:t>
                                  </w:r>
                                  <w:r>
                                    <w:rPr>
                                      <w:color w:val="231F20"/>
                                      <w:spacing w:val="-6"/>
                                      <w:sz w:val="15"/>
                                    </w:rPr>
                                    <w:t> </w:t>
                                  </w:r>
                                  <w:r>
                                    <w:rPr>
                                      <w:color w:val="231F20"/>
                                      <w:spacing w:val="-2"/>
                                      <w:sz w:val="15"/>
                                    </w:rPr>
                                    <w:t>to</w:t>
                                  </w:r>
                                  <w:r>
                                    <w:rPr>
                                      <w:color w:val="231F20"/>
                                      <w:spacing w:val="-6"/>
                                      <w:sz w:val="15"/>
                                    </w:rPr>
                                    <w:t> </w:t>
                                  </w:r>
                                  <w:r>
                                    <w:rPr>
                                      <w:color w:val="231F20"/>
                                      <w:spacing w:val="-2"/>
                                      <w:sz w:val="15"/>
                                    </w:rPr>
                                    <w:t>adult) </w:t>
                                  </w:r>
                                  <w:r>
                                    <w:rPr>
                                      <w:color w:val="231F20"/>
                                      <w:sz w:val="15"/>
                                    </w:rPr>
                                    <w:t>Reflex epilepsies</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230" w:lineRule="auto" w:before="49"/>
                                    <w:ind w:left="74" w:right="108"/>
                                    <w:rPr>
                                      <w:sz w:val="15"/>
                                    </w:rPr>
                                  </w:pPr>
                                  <w:r>
                                    <w:rPr>
                                      <w:color w:val="231F20"/>
                                      <w:w w:val="110"/>
                                      <w:sz w:val="15"/>
                                    </w:rPr>
                                    <w:t>SEIZURE DISORDERS THAT ARE NOT TRADITIONALLY </w:t>
                                  </w:r>
                                  <w:r>
                                    <w:rPr>
                                      <w:color w:val="231F20"/>
                                      <w:w w:val="110"/>
                                      <w:sz w:val="15"/>
                                    </w:rPr>
                                    <w:t>GIVEN THE DIAGNOSIS OF EPILEPSY</w:t>
                                  </w:r>
                                </w:p>
                                <w:p>
                                  <w:pPr>
                                    <w:pStyle w:val="TableParagraph"/>
                                    <w:spacing w:line="230" w:lineRule="auto" w:before="3"/>
                                    <w:ind w:left="74" w:right="2339"/>
                                    <w:rPr>
                                      <w:sz w:val="15"/>
                                    </w:rPr>
                                  </w:pPr>
                                  <w:r>
                                    <w:rPr>
                                      <w:color w:val="231F20"/>
                                      <w:sz w:val="15"/>
                                    </w:rPr>
                                    <w:t>Benign</w:t>
                                  </w:r>
                                  <w:r>
                                    <w:rPr>
                                      <w:color w:val="231F20"/>
                                      <w:spacing w:val="-10"/>
                                      <w:sz w:val="15"/>
                                    </w:rPr>
                                    <w:t> </w:t>
                                  </w:r>
                                  <w:r>
                                    <w:rPr>
                                      <w:color w:val="231F20"/>
                                      <w:sz w:val="15"/>
                                    </w:rPr>
                                    <w:t>neonatal</w:t>
                                  </w:r>
                                  <w:r>
                                    <w:rPr>
                                      <w:color w:val="231F20"/>
                                      <w:spacing w:val="-10"/>
                                      <w:sz w:val="15"/>
                                    </w:rPr>
                                    <w:t> </w:t>
                                  </w:r>
                                  <w:r>
                                    <w:rPr>
                                      <w:color w:val="231F20"/>
                                      <w:sz w:val="15"/>
                                    </w:rPr>
                                    <w:t>seizures</w:t>
                                  </w:r>
                                  <w:r>
                                    <w:rPr>
                                      <w:color w:val="231F20"/>
                                      <w:spacing w:val="-10"/>
                                      <w:sz w:val="15"/>
                                    </w:rPr>
                                    <w:t> </w:t>
                                  </w:r>
                                  <w:r>
                                    <w:rPr>
                                      <w:color w:val="231F20"/>
                                      <w:sz w:val="15"/>
                                    </w:rPr>
                                    <w:t>(BNS) Febrile seizures (FS)</w:t>
                                  </w:r>
                                </w:p>
                              </w:tc>
                            </w:tr>
                            <w:tr>
                              <w:trPr>
                                <w:trHeight w:val="193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05"/>
                                      <w:sz w:val="15"/>
                                    </w:rPr>
                                    <w:t>EPILEPTIC</w:t>
                                  </w:r>
                                  <w:r>
                                    <w:rPr>
                                      <w:color w:val="231F20"/>
                                      <w:spacing w:val="12"/>
                                      <w:w w:val="110"/>
                                      <w:sz w:val="15"/>
                                    </w:rPr>
                                    <w:t> </w:t>
                                  </w:r>
                                  <w:r>
                                    <w:rPr>
                                      <w:color w:val="231F20"/>
                                      <w:spacing w:val="-2"/>
                                      <w:w w:val="110"/>
                                      <w:sz w:val="15"/>
                                    </w:rPr>
                                    <w:t>ENCEPHALOPATHIES</w:t>
                                  </w:r>
                                </w:p>
                                <w:p>
                                  <w:pPr>
                                    <w:pStyle w:val="TableParagraph"/>
                                    <w:spacing w:line="169" w:lineRule="exact"/>
                                    <w:ind w:left="74"/>
                                    <w:rPr>
                                      <w:sz w:val="15"/>
                                    </w:rPr>
                                  </w:pPr>
                                  <w:r>
                                    <w:rPr>
                                      <w:color w:val="231F20"/>
                                      <w:spacing w:val="-5"/>
                                      <w:w w:val="115"/>
                                      <w:sz w:val="15"/>
                                    </w:rPr>
                                    <w:t>EME</w:t>
                                  </w:r>
                                </w:p>
                                <w:p>
                                  <w:pPr>
                                    <w:pStyle w:val="TableParagraph"/>
                                    <w:spacing w:line="168" w:lineRule="exact"/>
                                    <w:ind w:left="74"/>
                                    <w:rPr>
                                      <w:sz w:val="15"/>
                                    </w:rPr>
                                  </w:pPr>
                                  <w:r>
                                    <w:rPr>
                                      <w:color w:val="231F20"/>
                                      <w:sz w:val="15"/>
                                    </w:rPr>
                                    <w:t>Ohtahara</w:t>
                                  </w:r>
                                  <w:r>
                                    <w:rPr>
                                      <w:color w:val="231F20"/>
                                      <w:spacing w:val="-1"/>
                                      <w:sz w:val="15"/>
                                    </w:rPr>
                                    <w:t> </w:t>
                                  </w:r>
                                  <w:r>
                                    <w:rPr>
                                      <w:color w:val="231F20"/>
                                      <w:spacing w:val="-2"/>
                                      <w:sz w:val="15"/>
                                    </w:rPr>
                                    <w:t>syndrome</w:t>
                                  </w:r>
                                </w:p>
                                <w:p>
                                  <w:pPr>
                                    <w:pStyle w:val="TableParagraph"/>
                                    <w:spacing w:line="230" w:lineRule="auto" w:before="2"/>
                                    <w:ind w:left="74" w:right="2208"/>
                                    <w:rPr>
                                      <w:sz w:val="15"/>
                                    </w:rPr>
                                  </w:pPr>
                                  <w:r>
                                    <w:rPr>
                                      <w:color w:val="231F20"/>
                                      <w:spacing w:val="-2"/>
                                      <w:sz w:val="15"/>
                                    </w:rPr>
                                    <w:t>Migrating</w:t>
                                  </w:r>
                                  <w:r>
                                    <w:rPr>
                                      <w:color w:val="231F20"/>
                                      <w:spacing w:val="-3"/>
                                      <w:sz w:val="15"/>
                                    </w:rPr>
                                    <w:t> </w:t>
                                  </w:r>
                                  <w:r>
                                    <w:rPr>
                                      <w:color w:val="231F20"/>
                                      <w:spacing w:val="-2"/>
                                      <w:sz w:val="15"/>
                                    </w:rPr>
                                    <w:t>partial</w:t>
                                  </w:r>
                                  <w:r>
                                    <w:rPr>
                                      <w:color w:val="231F20"/>
                                      <w:spacing w:val="-3"/>
                                      <w:sz w:val="15"/>
                                    </w:rPr>
                                    <w:t> </w:t>
                                  </w:r>
                                  <w:r>
                                    <w:rPr>
                                      <w:color w:val="231F20"/>
                                      <w:spacing w:val="-2"/>
                                      <w:sz w:val="15"/>
                                    </w:rPr>
                                    <w:t>seizures</w:t>
                                  </w:r>
                                  <w:r>
                                    <w:rPr>
                                      <w:color w:val="231F20"/>
                                      <w:spacing w:val="-3"/>
                                      <w:sz w:val="15"/>
                                    </w:rPr>
                                    <w:t> </w:t>
                                  </w:r>
                                  <w:r>
                                    <w:rPr>
                                      <w:color w:val="231F20"/>
                                      <w:spacing w:val="-2"/>
                                      <w:sz w:val="15"/>
                                    </w:rPr>
                                    <w:t>of</w:t>
                                  </w:r>
                                  <w:r>
                                    <w:rPr>
                                      <w:color w:val="231F20"/>
                                      <w:spacing w:val="-3"/>
                                      <w:sz w:val="15"/>
                                    </w:rPr>
                                    <w:t> </w:t>
                                  </w:r>
                                  <w:r>
                                    <w:rPr>
                                      <w:color w:val="231F20"/>
                                      <w:spacing w:val="-2"/>
                                      <w:sz w:val="15"/>
                                    </w:rPr>
                                    <w:t>infancy </w:t>
                                  </w:r>
                                  <w:r>
                                    <w:rPr>
                                      <w:color w:val="231F20"/>
                                      <w:sz w:val="15"/>
                                    </w:rPr>
                                    <w:t>West syndrome</w:t>
                                  </w:r>
                                </w:p>
                                <w:p>
                                  <w:pPr>
                                    <w:pStyle w:val="TableParagraph"/>
                                    <w:spacing w:line="167" w:lineRule="exact"/>
                                    <w:ind w:left="74"/>
                                    <w:rPr>
                                      <w:sz w:val="15"/>
                                    </w:rPr>
                                  </w:pPr>
                                  <w:r>
                                    <w:rPr>
                                      <w:color w:val="231F20"/>
                                      <w:sz w:val="15"/>
                                    </w:rPr>
                                    <w:t>Dravet</w:t>
                                  </w:r>
                                  <w:r>
                                    <w:rPr>
                                      <w:color w:val="231F20"/>
                                      <w:spacing w:val="-4"/>
                                      <w:sz w:val="15"/>
                                    </w:rPr>
                                    <w:t> </w:t>
                                  </w:r>
                                  <w:r>
                                    <w:rPr>
                                      <w:color w:val="231F20"/>
                                      <w:spacing w:val="-2"/>
                                      <w:sz w:val="15"/>
                                    </w:rPr>
                                    <w:t>syndrome</w:t>
                                  </w:r>
                                </w:p>
                                <w:p>
                                  <w:pPr>
                                    <w:pStyle w:val="TableParagraph"/>
                                    <w:spacing w:line="230" w:lineRule="auto" w:before="3"/>
                                    <w:ind w:left="74" w:right="738"/>
                                    <w:rPr>
                                      <w:sz w:val="15"/>
                                    </w:rPr>
                                  </w:pPr>
                                  <w:r>
                                    <w:rPr>
                                      <w:color w:val="231F20"/>
                                      <w:sz w:val="15"/>
                                    </w:rPr>
                                    <w:t>Myoclonic encephalopathy in nonprogressive </w:t>
                                  </w:r>
                                  <w:r>
                                    <w:rPr>
                                      <w:color w:val="231F20"/>
                                      <w:sz w:val="15"/>
                                    </w:rPr>
                                    <w:t>disorders Epilepsy with myoclonic astatic seizures</w:t>
                                  </w:r>
                                </w:p>
                                <w:p>
                                  <w:pPr>
                                    <w:pStyle w:val="TableParagraph"/>
                                    <w:spacing w:line="167" w:lineRule="exact"/>
                                    <w:ind w:left="74"/>
                                    <w:rPr>
                                      <w:sz w:val="15"/>
                                    </w:rPr>
                                  </w:pPr>
                                  <w:r>
                                    <w:rPr>
                                      <w:color w:val="231F20"/>
                                      <w:sz w:val="15"/>
                                    </w:rPr>
                                    <w:t>Lennox-Gastaut</w:t>
                                  </w:r>
                                  <w:r>
                                    <w:rPr>
                                      <w:color w:val="231F20"/>
                                      <w:spacing w:val="-10"/>
                                      <w:sz w:val="15"/>
                                    </w:rPr>
                                    <w:t> </w:t>
                                  </w:r>
                                  <w:r>
                                    <w:rPr>
                                      <w:color w:val="231F20"/>
                                      <w:spacing w:val="-2"/>
                                      <w:sz w:val="15"/>
                                    </w:rPr>
                                    <w:t>syndrome</w:t>
                                  </w:r>
                                </w:p>
                                <w:p>
                                  <w:pPr>
                                    <w:pStyle w:val="TableParagraph"/>
                                    <w:spacing w:line="230" w:lineRule="auto" w:before="2"/>
                                    <w:ind w:left="74" w:right="2150"/>
                                    <w:rPr>
                                      <w:sz w:val="15"/>
                                    </w:rPr>
                                  </w:pPr>
                                  <w:r>
                                    <w:rPr>
                                      <w:color w:val="231F20"/>
                                      <w:sz w:val="15"/>
                                    </w:rPr>
                                    <w:t>Epileptic</w:t>
                                  </w:r>
                                  <w:r>
                                    <w:rPr>
                                      <w:color w:val="231F20"/>
                                      <w:spacing w:val="-5"/>
                                      <w:sz w:val="15"/>
                                    </w:rPr>
                                    <w:t> </w:t>
                                  </w:r>
                                  <w:r>
                                    <w:rPr>
                                      <w:color w:val="231F20"/>
                                      <w:sz w:val="15"/>
                                    </w:rPr>
                                    <w:t>encephalopathy</w:t>
                                  </w:r>
                                  <w:r>
                                    <w:rPr>
                                      <w:color w:val="231F20"/>
                                      <w:spacing w:val="-5"/>
                                      <w:sz w:val="15"/>
                                    </w:rPr>
                                    <w:t> </w:t>
                                  </w:r>
                                  <w:r>
                                    <w:rPr>
                                      <w:color w:val="231F20"/>
                                      <w:sz w:val="15"/>
                                    </w:rPr>
                                    <w:t>with</w:t>
                                  </w:r>
                                  <w:r>
                                    <w:rPr>
                                      <w:color w:val="231F20"/>
                                      <w:spacing w:val="-5"/>
                                      <w:sz w:val="15"/>
                                    </w:rPr>
                                    <w:t> </w:t>
                                  </w:r>
                                  <w:r>
                                    <w:rPr>
                                      <w:color w:val="231F20"/>
                                      <w:sz w:val="15"/>
                                    </w:rPr>
                                    <w:t>CSWS Landau-Kleffner syndrome</w:t>
                                  </w:r>
                                </w:p>
                              </w:tc>
                            </w:tr>
                            <w:tr>
                              <w:trPr>
                                <w:trHeight w:val="586"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OTHER</w:t>
                                  </w:r>
                                  <w:r>
                                    <w:rPr>
                                      <w:color w:val="231F20"/>
                                      <w:spacing w:val="21"/>
                                      <w:w w:val="110"/>
                                      <w:sz w:val="15"/>
                                    </w:rPr>
                                    <w:t> </w:t>
                                  </w:r>
                                  <w:r>
                                    <w:rPr>
                                      <w:color w:val="231F20"/>
                                      <w:w w:val="110"/>
                                      <w:sz w:val="15"/>
                                    </w:rPr>
                                    <w:t>SECONDARY</w:t>
                                  </w:r>
                                  <w:r>
                                    <w:rPr>
                                      <w:color w:val="231F20"/>
                                      <w:spacing w:val="21"/>
                                      <w:w w:val="110"/>
                                      <w:sz w:val="15"/>
                                    </w:rPr>
                                    <w:t> </w:t>
                                  </w:r>
                                  <w:r>
                                    <w:rPr>
                                      <w:color w:val="231F20"/>
                                      <w:w w:val="110"/>
                                      <w:sz w:val="15"/>
                                    </w:rPr>
                                    <w:t>GENERALIZED</w:t>
                                  </w:r>
                                  <w:r>
                                    <w:rPr>
                                      <w:color w:val="231F20"/>
                                      <w:spacing w:val="22"/>
                                      <w:w w:val="110"/>
                                      <w:sz w:val="15"/>
                                    </w:rPr>
                                    <w:t> </w:t>
                                  </w:r>
                                  <w:r>
                                    <w:rPr>
                                      <w:color w:val="231F20"/>
                                      <w:spacing w:val="-2"/>
                                      <w:w w:val="110"/>
                                      <w:sz w:val="15"/>
                                    </w:rPr>
                                    <w:t>EPILEPSIES</w:t>
                                  </w:r>
                                </w:p>
                                <w:p>
                                  <w:pPr>
                                    <w:pStyle w:val="TableParagraph"/>
                                    <w:spacing w:line="230" w:lineRule="auto" w:before="3"/>
                                    <w:ind w:left="74"/>
                                    <w:rPr>
                                      <w:sz w:val="15"/>
                                    </w:rPr>
                                  </w:pPr>
                                  <w:r>
                                    <w:rPr>
                                      <w:color w:val="231F20"/>
                                      <w:sz w:val="15"/>
                                    </w:rPr>
                                    <w:t>Generalized</w:t>
                                  </w:r>
                                  <w:r>
                                    <w:rPr>
                                      <w:color w:val="231F20"/>
                                      <w:spacing w:val="-5"/>
                                      <w:sz w:val="15"/>
                                    </w:rPr>
                                    <w:t> </w:t>
                                  </w:r>
                                  <w:r>
                                    <w:rPr>
                                      <w:color w:val="231F20"/>
                                      <w:sz w:val="15"/>
                                    </w:rPr>
                                    <w:t>epilepsy</w:t>
                                  </w:r>
                                  <w:r>
                                    <w:rPr>
                                      <w:color w:val="231F20"/>
                                      <w:spacing w:val="-5"/>
                                      <w:sz w:val="15"/>
                                    </w:rPr>
                                    <w:t> </w:t>
                                  </w:r>
                                  <w:r>
                                    <w:rPr>
                                      <w:color w:val="231F20"/>
                                      <w:sz w:val="15"/>
                                    </w:rPr>
                                    <w:t>secondary</w:t>
                                  </w:r>
                                  <w:r>
                                    <w:rPr>
                                      <w:color w:val="231F20"/>
                                      <w:spacing w:val="-5"/>
                                      <w:sz w:val="15"/>
                                    </w:rPr>
                                    <w:t> </w:t>
                                  </w:r>
                                  <w:r>
                                    <w:rPr>
                                      <w:color w:val="231F20"/>
                                      <w:sz w:val="15"/>
                                    </w:rPr>
                                    <w:t>to</w:t>
                                  </w:r>
                                  <w:r>
                                    <w:rPr>
                                      <w:color w:val="231F20"/>
                                      <w:spacing w:val="-5"/>
                                      <w:sz w:val="15"/>
                                    </w:rPr>
                                    <w:t> </w:t>
                                  </w:r>
                                  <w:r>
                                    <w:rPr>
                                      <w:color w:val="231F20"/>
                                      <w:sz w:val="15"/>
                                    </w:rPr>
                                    <w:t>neurodegenerative</w:t>
                                  </w:r>
                                  <w:r>
                                    <w:rPr>
                                      <w:color w:val="231F20"/>
                                      <w:spacing w:val="-5"/>
                                      <w:sz w:val="15"/>
                                    </w:rPr>
                                    <w:t> </w:t>
                                  </w:r>
                                  <w:r>
                                    <w:rPr>
                                      <w:color w:val="231F20"/>
                                      <w:sz w:val="15"/>
                                    </w:rPr>
                                    <w:t>disease Progressive myoclonus epilepsies</w:t>
                                  </w:r>
                                </w:p>
                              </w:tc>
                            </w:tr>
                          </w:tbl>
                          <w:p>
                            <w:pPr>
                              <w:pStyle w:val="BodyText"/>
                            </w:pPr>
                          </w:p>
                        </w:txbxContent>
                      </wps:txbx>
                      <wps:bodyPr wrap="square" lIns="0" tIns="0" rIns="0" bIns="0" rtlCol="0">
                        <a:noAutofit/>
                      </wps:bodyPr>
                    </wps:wsp>
                  </a:graphicData>
                </a:graphic>
              </wp:anchor>
            </w:drawing>
          </mc:Choice>
          <mc:Fallback>
            <w:pict>
              <v:shape style="position:absolute;margin-left:58.771191pt;margin-top:-446.805603pt;width:241.15pt;height:529.050pt;mso-position-horizontal-relative:page;mso-position-vertical-relative:paragraph;z-index:15752704" type="#_x0000_t202" id="docshape5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8</w:t>
                            </w:r>
                          </w:p>
                        </w:tc>
                        <w:tc>
                          <w:tcPr>
                            <w:tcW w:w="3555" w:type="dxa"/>
                            <w:tcBorders>
                              <w:left w:val="single" w:sz="8" w:space="0" w:color="FFFFFF"/>
                            </w:tcBorders>
                            <w:shd w:val="clear" w:color="auto" w:fill="231F20"/>
                          </w:tcPr>
                          <w:p>
                            <w:pPr>
                              <w:pStyle w:val="TableParagraph"/>
                              <w:spacing w:before="89"/>
                              <w:ind w:left="73" w:right="613"/>
                              <w:rPr>
                                <w:sz w:val="16"/>
                              </w:rPr>
                            </w:pPr>
                            <w:r>
                              <w:rPr>
                                <w:color w:val="FFFFFF"/>
                                <w:w w:val="110"/>
                                <w:sz w:val="16"/>
                              </w:rPr>
                              <w:t>Selected</w:t>
                            </w:r>
                            <w:r>
                              <w:rPr>
                                <w:color w:val="FFFFFF"/>
                                <w:spacing w:val="-11"/>
                                <w:w w:val="110"/>
                                <w:sz w:val="16"/>
                              </w:rPr>
                              <w:t> </w:t>
                            </w:r>
                            <w:r>
                              <w:rPr>
                                <w:color w:val="FFFFFF"/>
                                <w:w w:val="110"/>
                                <w:sz w:val="16"/>
                              </w:rPr>
                              <w:t>Epilepsy</w:t>
                            </w:r>
                            <w:r>
                              <w:rPr>
                                <w:color w:val="FFFFFF"/>
                                <w:spacing w:val="-11"/>
                                <w:w w:val="110"/>
                                <w:sz w:val="16"/>
                              </w:rPr>
                              <w:t> </w:t>
                            </w:r>
                            <w:r>
                              <w:rPr>
                                <w:color w:val="FFFFFF"/>
                                <w:w w:val="110"/>
                                <w:sz w:val="16"/>
                              </w:rPr>
                              <w:t>Syndromes</w:t>
                            </w:r>
                            <w:r>
                              <w:rPr>
                                <w:color w:val="FFFFFF"/>
                                <w:spacing w:val="-11"/>
                                <w:w w:val="110"/>
                                <w:sz w:val="16"/>
                              </w:rPr>
                              <w:t> </w:t>
                            </w:r>
                            <w:r>
                              <w:rPr>
                                <w:color w:val="FFFFFF"/>
                                <w:w w:val="110"/>
                                <w:sz w:val="16"/>
                              </w:rPr>
                              <w:t>by</w:t>
                            </w:r>
                            <w:r>
                              <w:rPr>
                                <w:color w:val="FFFFFF"/>
                                <w:spacing w:val="-11"/>
                                <w:w w:val="110"/>
                                <w:sz w:val="16"/>
                              </w:rPr>
                              <w:t> </w:t>
                            </w:r>
                            <w:r>
                              <w:rPr>
                                <w:color w:val="FFFFFF"/>
                                <w:w w:val="110"/>
                                <w:sz w:val="16"/>
                              </w:rPr>
                              <w:t>Age of Onset</w:t>
                            </w:r>
                          </w:p>
                        </w:tc>
                      </w:tr>
                      <w:tr>
                        <w:trPr>
                          <w:trHeight w:val="76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5"/>
                                <w:sz w:val="15"/>
                              </w:rPr>
                              <w:t>NEONATAL</w:t>
                            </w:r>
                            <w:r>
                              <w:rPr>
                                <w:color w:val="231F20"/>
                                <w:spacing w:val="-3"/>
                                <w:w w:val="115"/>
                                <w:sz w:val="15"/>
                              </w:rPr>
                              <w:t> </w:t>
                            </w:r>
                            <w:r>
                              <w:rPr>
                                <w:color w:val="231F20"/>
                                <w:spacing w:val="-2"/>
                                <w:w w:val="115"/>
                                <w:sz w:val="15"/>
                              </w:rPr>
                              <w:t>PERIOD</w:t>
                            </w:r>
                          </w:p>
                          <w:p>
                            <w:pPr>
                              <w:pStyle w:val="TableParagraph"/>
                              <w:spacing w:line="230" w:lineRule="auto" w:before="3"/>
                              <w:ind w:left="74" w:right="1899"/>
                              <w:rPr>
                                <w:sz w:val="15"/>
                              </w:rPr>
                            </w:pPr>
                            <w:r>
                              <w:rPr>
                                <w:color w:val="231F20"/>
                                <w:sz w:val="15"/>
                              </w:rPr>
                              <w:t>Benign</w:t>
                            </w:r>
                            <w:r>
                              <w:rPr>
                                <w:color w:val="231F20"/>
                                <w:spacing w:val="-12"/>
                                <w:sz w:val="15"/>
                              </w:rPr>
                              <w:t> </w:t>
                            </w:r>
                            <w:r>
                              <w:rPr>
                                <w:color w:val="231F20"/>
                                <w:sz w:val="15"/>
                              </w:rPr>
                              <w:t>familial</w:t>
                            </w:r>
                            <w:r>
                              <w:rPr>
                                <w:color w:val="231F20"/>
                                <w:spacing w:val="-11"/>
                                <w:sz w:val="15"/>
                              </w:rPr>
                              <w:t> </w:t>
                            </w:r>
                            <w:r>
                              <w:rPr>
                                <w:color w:val="231F20"/>
                                <w:sz w:val="15"/>
                              </w:rPr>
                              <w:t>neonatal</w:t>
                            </w:r>
                            <w:r>
                              <w:rPr>
                                <w:color w:val="231F20"/>
                                <w:spacing w:val="-11"/>
                                <w:sz w:val="15"/>
                              </w:rPr>
                              <w:t> </w:t>
                            </w:r>
                            <w:r>
                              <w:rPr>
                                <w:color w:val="231F20"/>
                                <w:sz w:val="15"/>
                              </w:rPr>
                              <w:t>seizures</w:t>
                            </w:r>
                            <w:r>
                              <w:rPr>
                                <w:color w:val="231F20"/>
                                <w:spacing w:val="-12"/>
                                <w:sz w:val="15"/>
                              </w:rPr>
                              <w:t> </w:t>
                            </w:r>
                            <w:r>
                              <w:rPr>
                                <w:color w:val="231F20"/>
                                <w:sz w:val="15"/>
                              </w:rPr>
                              <w:t>(BFNS) Early myoclonic encephalopathy (EME) Ohtahara syndrome</w:t>
                            </w:r>
                          </w:p>
                        </w:tc>
                      </w:tr>
                      <w:tr>
                        <w:trPr>
                          <w:trHeight w:val="1430"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INFANCY</w:t>
                            </w:r>
                          </w:p>
                          <w:p>
                            <w:pPr>
                              <w:pStyle w:val="TableParagraph"/>
                              <w:spacing w:line="230" w:lineRule="auto" w:before="3"/>
                              <w:ind w:left="74" w:right="1221"/>
                              <w:rPr>
                                <w:sz w:val="15"/>
                              </w:rPr>
                            </w:pPr>
                            <w:r>
                              <w:rPr>
                                <w:color w:val="231F20"/>
                                <w:spacing w:val="-2"/>
                                <w:sz w:val="15"/>
                              </w:rPr>
                              <w:t>Epilepsy</w:t>
                            </w:r>
                            <w:r>
                              <w:rPr>
                                <w:color w:val="231F20"/>
                                <w:spacing w:val="-3"/>
                                <w:sz w:val="15"/>
                              </w:rPr>
                              <w:t> </w:t>
                            </w:r>
                            <w:r>
                              <w:rPr>
                                <w:color w:val="231F20"/>
                                <w:spacing w:val="-2"/>
                                <w:sz w:val="15"/>
                              </w:rPr>
                              <w:t>of</w:t>
                            </w:r>
                            <w:r>
                              <w:rPr>
                                <w:color w:val="231F20"/>
                                <w:spacing w:val="-3"/>
                                <w:sz w:val="15"/>
                              </w:rPr>
                              <w:t> </w:t>
                            </w:r>
                            <w:r>
                              <w:rPr>
                                <w:color w:val="231F20"/>
                                <w:spacing w:val="-2"/>
                                <w:sz w:val="15"/>
                              </w:rPr>
                              <w:t>infancy</w:t>
                            </w:r>
                            <w:r>
                              <w:rPr>
                                <w:color w:val="231F20"/>
                                <w:spacing w:val="-3"/>
                                <w:sz w:val="15"/>
                              </w:rPr>
                              <w:t> </w:t>
                            </w:r>
                            <w:r>
                              <w:rPr>
                                <w:color w:val="231F20"/>
                                <w:spacing w:val="-2"/>
                                <w:sz w:val="15"/>
                              </w:rPr>
                              <w:t>with</w:t>
                            </w:r>
                            <w:r>
                              <w:rPr>
                                <w:color w:val="231F20"/>
                                <w:spacing w:val="-3"/>
                                <w:sz w:val="15"/>
                              </w:rPr>
                              <w:t> </w:t>
                            </w:r>
                            <w:r>
                              <w:rPr>
                                <w:color w:val="231F20"/>
                                <w:spacing w:val="-2"/>
                                <w:sz w:val="15"/>
                              </w:rPr>
                              <w:t>migrating</w:t>
                            </w:r>
                            <w:r>
                              <w:rPr>
                                <w:color w:val="231F20"/>
                                <w:spacing w:val="-3"/>
                                <w:sz w:val="15"/>
                              </w:rPr>
                              <w:t> </w:t>
                            </w:r>
                            <w:r>
                              <w:rPr>
                                <w:color w:val="231F20"/>
                                <w:spacing w:val="-2"/>
                                <w:sz w:val="15"/>
                              </w:rPr>
                              <w:t>focal</w:t>
                            </w:r>
                            <w:r>
                              <w:rPr>
                                <w:color w:val="231F20"/>
                                <w:spacing w:val="-3"/>
                                <w:sz w:val="15"/>
                              </w:rPr>
                              <w:t> </w:t>
                            </w:r>
                            <w:r>
                              <w:rPr>
                                <w:color w:val="231F20"/>
                                <w:spacing w:val="-2"/>
                                <w:sz w:val="15"/>
                              </w:rPr>
                              <w:t>seizures </w:t>
                            </w:r>
                            <w:r>
                              <w:rPr>
                                <w:color w:val="231F20"/>
                                <w:sz w:val="15"/>
                              </w:rPr>
                              <w:t>West syndrome</w:t>
                            </w:r>
                          </w:p>
                          <w:p>
                            <w:pPr>
                              <w:pStyle w:val="TableParagraph"/>
                              <w:spacing w:line="230" w:lineRule="auto" w:before="2"/>
                              <w:ind w:left="74" w:right="1899"/>
                              <w:rPr>
                                <w:sz w:val="15"/>
                              </w:rPr>
                            </w:pPr>
                            <w:r>
                              <w:rPr>
                                <w:color w:val="231F20"/>
                                <w:sz w:val="15"/>
                              </w:rPr>
                              <w:t>Myoclonic</w:t>
                            </w:r>
                            <w:r>
                              <w:rPr>
                                <w:color w:val="231F20"/>
                                <w:spacing w:val="-11"/>
                                <w:sz w:val="15"/>
                              </w:rPr>
                              <w:t> </w:t>
                            </w:r>
                            <w:r>
                              <w:rPr>
                                <w:color w:val="231F20"/>
                                <w:sz w:val="15"/>
                              </w:rPr>
                              <w:t>epilepsy</w:t>
                            </w:r>
                            <w:r>
                              <w:rPr>
                                <w:color w:val="231F20"/>
                                <w:spacing w:val="-11"/>
                                <w:sz w:val="15"/>
                              </w:rPr>
                              <w:t> </w:t>
                            </w:r>
                            <w:r>
                              <w:rPr>
                                <w:color w:val="231F20"/>
                                <w:sz w:val="15"/>
                              </w:rPr>
                              <w:t>in</w:t>
                            </w:r>
                            <w:r>
                              <w:rPr>
                                <w:color w:val="231F20"/>
                                <w:spacing w:val="-11"/>
                                <w:sz w:val="15"/>
                              </w:rPr>
                              <w:t> </w:t>
                            </w:r>
                            <w:r>
                              <w:rPr>
                                <w:color w:val="231F20"/>
                                <w:sz w:val="15"/>
                              </w:rPr>
                              <w:t>infancy</w:t>
                            </w:r>
                            <w:r>
                              <w:rPr>
                                <w:color w:val="231F20"/>
                                <w:spacing w:val="-11"/>
                                <w:sz w:val="15"/>
                              </w:rPr>
                              <w:t> </w:t>
                            </w:r>
                            <w:r>
                              <w:rPr>
                                <w:color w:val="231F20"/>
                                <w:sz w:val="15"/>
                              </w:rPr>
                              <w:t>(MEI) Benign infantile seizures</w:t>
                            </w:r>
                          </w:p>
                          <w:p>
                            <w:pPr>
                              <w:pStyle w:val="TableParagraph"/>
                              <w:spacing w:line="230" w:lineRule="auto" w:before="1"/>
                              <w:ind w:left="74" w:right="2339"/>
                              <w:rPr>
                                <w:sz w:val="15"/>
                              </w:rPr>
                            </w:pPr>
                            <w:r>
                              <w:rPr>
                                <w:color w:val="231F20"/>
                                <w:spacing w:val="-2"/>
                                <w:sz w:val="15"/>
                              </w:rPr>
                              <w:t>Benign</w:t>
                            </w:r>
                            <w:r>
                              <w:rPr>
                                <w:color w:val="231F20"/>
                                <w:spacing w:val="-10"/>
                                <w:sz w:val="15"/>
                              </w:rPr>
                              <w:t> </w:t>
                            </w:r>
                            <w:r>
                              <w:rPr>
                                <w:color w:val="231F20"/>
                                <w:spacing w:val="-2"/>
                                <w:sz w:val="15"/>
                              </w:rPr>
                              <w:t>familial</w:t>
                            </w:r>
                            <w:r>
                              <w:rPr>
                                <w:color w:val="231F20"/>
                                <w:spacing w:val="-9"/>
                                <w:sz w:val="15"/>
                              </w:rPr>
                              <w:t> </w:t>
                            </w:r>
                            <w:r>
                              <w:rPr>
                                <w:color w:val="231F20"/>
                                <w:spacing w:val="-2"/>
                                <w:sz w:val="15"/>
                              </w:rPr>
                              <w:t>infantile</w:t>
                            </w:r>
                            <w:r>
                              <w:rPr>
                                <w:color w:val="231F20"/>
                                <w:spacing w:val="-9"/>
                                <w:sz w:val="15"/>
                              </w:rPr>
                              <w:t> </w:t>
                            </w:r>
                            <w:r>
                              <w:rPr>
                                <w:color w:val="231F20"/>
                                <w:spacing w:val="-2"/>
                                <w:sz w:val="15"/>
                              </w:rPr>
                              <w:t>epilepsy </w:t>
                            </w:r>
                            <w:r>
                              <w:rPr>
                                <w:color w:val="231F20"/>
                                <w:sz w:val="15"/>
                              </w:rPr>
                              <w:t>Dravet syndrome</w:t>
                            </w:r>
                          </w:p>
                          <w:p>
                            <w:pPr>
                              <w:pStyle w:val="TableParagraph"/>
                              <w:spacing w:line="170" w:lineRule="exact"/>
                              <w:ind w:left="74"/>
                              <w:rPr>
                                <w:sz w:val="15"/>
                              </w:rPr>
                            </w:pPr>
                            <w:r>
                              <w:rPr>
                                <w:color w:val="231F20"/>
                                <w:sz w:val="15"/>
                              </w:rPr>
                              <w:t>Myoclonic</w:t>
                            </w:r>
                            <w:r>
                              <w:rPr>
                                <w:color w:val="231F20"/>
                                <w:spacing w:val="7"/>
                                <w:sz w:val="15"/>
                              </w:rPr>
                              <w:t> </w:t>
                            </w:r>
                            <w:r>
                              <w:rPr>
                                <w:color w:val="231F20"/>
                                <w:sz w:val="15"/>
                              </w:rPr>
                              <w:t>encephalopathy</w:t>
                            </w:r>
                            <w:r>
                              <w:rPr>
                                <w:color w:val="231F20"/>
                                <w:spacing w:val="8"/>
                                <w:sz w:val="15"/>
                              </w:rPr>
                              <w:t> </w:t>
                            </w:r>
                            <w:r>
                              <w:rPr>
                                <w:color w:val="231F20"/>
                                <w:sz w:val="15"/>
                              </w:rPr>
                              <w:t>in</w:t>
                            </w:r>
                            <w:r>
                              <w:rPr>
                                <w:color w:val="231F20"/>
                                <w:spacing w:val="8"/>
                                <w:sz w:val="15"/>
                              </w:rPr>
                              <w:t> </w:t>
                            </w:r>
                            <w:r>
                              <w:rPr>
                                <w:color w:val="231F20"/>
                                <w:sz w:val="15"/>
                              </w:rPr>
                              <w:t>nonprogressive</w:t>
                            </w:r>
                            <w:r>
                              <w:rPr>
                                <w:color w:val="231F20"/>
                                <w:spacing w:val="7"/>
                                <w:sz w:val="15"/>
                              </w:rPr>
                              <w:t> </w:t>
                            </w:r>
                            <w:r>
                              <w:rPr>
                                <w:color w:val="231F20"/>
                                <w:spacing w:val="-2"/>
                                <w:sz w:val="15"/>
                              </w:rPr>
                              <w:t>disorders</w:t>
                            </w:r>
                          </w:p>
                        </w:tc>
                      </w:tr>
                      <w:tr>
                        <w:trPr>
                          <w:trHeight w:val="260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CHILDHOOD</w:t>
                            </w:r>
                          </w:p>
                          <w:p>
                            <w:pPr>
                              <w:pStyle w:val="TableParagraph"/>
                              <w:spacing w:line="230" w:lineRule="auto" w:before="3"/>
                              <w:ind w:left="186" w:hanging="112"/>
                              <w:rPr>
                                <w:sz w:val="15"/>
                              </w:rPr>
                            </w:pPr>
                            <w:r>
                              <w:rPr>
                                <w:color w:val="231F20"/>
                                <w:spacing w:val="-2"/>
                                <w:sz w:val="15"/>
                              </w:rPr>
                              <w:t>Febrile</w:t>
                            </w:r>
                            <w:r>
                              <w:rPr>
                                <w:color w:val="231F20"/>
                                <w:spacing w:val="-7"/>
                                <w:sz w:val="15"/>
                              </w:rPr>
                              <w:t> </w:t>
                            </w:r>
                            <w:r>
                              <w:rPr>
                                <w:color w:val="231F20"/>
                                <w:spacing w:val="-2"/>
                                <w:sz w:val="15"/>
                              </w:rPr>
                              <w:t>seizures</w:t>
                            </w:r>
                            <w:r>
                              <w:rPr>
                                <w:color w:val="231F20"/>
                                <w:spacing w:val="-7"/>
                                <w:sz w:val="15"/>
                              </w:rPr>
                              <w:t> </w:t>
                            </w:r>
                            <w:r>
                              <w:rPr>
                                <w:color w:val="231F20"/>
                                <w:spacing w:val="-2"/>
                                <w:sz w:val="15"/>
                              </w:rPr>
                              <w:t>plus</w:t>
                            </w:r>
                            <w:r>
                              <w:rPr>
                                <w:color w:val="231F20"/>
                                <w:spacing w:val="-7"/>
                                <w:sz w:val="15"/>
                              </w:rPr>
                              <w:t> </w:t>
                            </w:r>
                            <w:r>
                              <w:rPr>
                                <w:color w:val="231F20"/>
                                <w:spacing w:val="-2"/>
                                <w:sz w:val="15"/>
                              </w:rPr>
                              <w:t>(FS</w:t>
                            </w:r>
                            <w:r>
                              <w:rPr>
                                <w:rFonts w:ascii="Cambria"/>
                                <w:color w:val="231F20"/>
                                <w:spacing w:val="-2"/>
                                <w:sz w:val="15"/>
                              </w:rPr>
                              <w:t>+</w:t>
                            </w:r>
                            <w:r>
                              <w:rPr>
                                <w:color w:val="231F20"/>
                                <w:spacing w:val="-2"/>
                                <w:sz w:val="15"/>
                              </w:rPr>
                              <w:t>)</w:t>
                            </w:r>
                            <w:r>
                              <w:rPr>
                                <w:color w:val="231F20"/>
                                <w:spacing w:val="-7"/>
                                <w:sz w:val="15"/>
                              </w:rPr>
                              <w:t> </w:t>
                            </w:r>
                            <w:r>
                              <w:rPr>
                                <w:color w:val="231F20"/>
                                <w:spacing w:val="-2"/>
                                <w:sz w:val="15"/>
                              </w:rPr>
                              <w:t>(can</w:t>
                            </w:r>
                            <w:r>
                              <w:rPr>
                                <w:color w:val="231F20"/>
                                <w:spacing w:val="-7"/>
                                <w:sz w:val="15"/>
                              </w:rPr>
                              <w:t> </w:t>
                            </w:r>
                            <w:r>
                              <w:rPr>
                                <w:color w:val="231F20"/>
                                <w:spacing w:val="-2"/>
                                <w:sz w:val="15"/>
                              </w:rPr>
                              <w:t>start</w:t>
                            </w:r>
                            <w:r>
                              <w:rPr>
                                <w:color w:val="231F20"/>
                                <w:spacing w:val="-7"/>
                                <w:sz w:val="15"/>
                              </w:rPr>
                              <w:t> </w:t>
                            </w:r>
                            <w:r>
                              <w:rPr>
                                <w:color w:val="231F20"/>
                                <w:spacing w:val="-2"/>
                                <w:sz w:val="15"/>
                              </w:rPr>
                              <w:t>in</w:t>
                            </w:r>
                            <w:r>
                              <w:rPr>
                                <w:color w:val="231F20"/>
                                <w:spacing w:val="-7"/>
                                <w:sz w:val="15"/>
                              </w:rPr>
                              <w:t> </w:t>
                            </w:r>
                            <w:r>
                              <w:rPr>
                                <w:color w:val="231F20"/>
                                <w:spacing w:val="-2"/>
                                <w:sz w:val="15"/>
                              </w:rPr>
                              <w:t>infancy;</w:t>
                            </w:r>
                            <w:r>
                              <w:rPr>
                                <w:color w:val="231F20"/>
                                <w:spacing w:val="-7"/>
                                <w:sz w:val="15"/>
                              </w:rPr>
                              <w:t> </w:t>
                            </w:r>
                            <w:r>
                              <w:rPr>
                                <w:color w:val="231F20"/>
                                <w:spacing w:val="-2"/>
                                <w:sz w:val="15"/>
                              </w:rPr>
                              <w:t>this</w:t>
                            </w:r>
                            <w:r>
                              <w:rPr>
                                <w:color w:val="231F20"/>
                                <w:spacing w:val="-7"/>
                                <w:sz w:val="15"/>
                              </w:rPr>
                              <w:t> </w:t>
                            </w:r>
                            <w:r>
                              <w:rPr>
                                <w:color w:val="231F20"/>
                                <w:spacing w:val="-2"/>
                                <w:sz w:val="15"/>
                              </w:rPr>
                              <w:t>can</w:t>
                            </w:r>
                            <w:r>
                              <w:rPr>
                                <w:color w:val="231F20"/>
                                <w:spacing w:val="-7"/>
                                <w:sz w:val="15"/>
                              </w:rPr>
                              <w:t> </w:t>
                            </w:r>
                            <w:r>
                              <w:rPr>
                                <w:color w:val="231F20"/>
                                <w:spacing w:val="-2"/>
                                <w:sz w:val="15"/>
                              </w:rPr>
                              <w:t>be</w:t>
                            </w:r>
                            <w:r>
                              <w:rPr>
                                <w:color w:val="231F20"/>
                                <w:spacing w:val="-7"/>
                                <w:sz w:val="15"/>
                              </w:rPr>
                              <w:t> </w:t>
                            </w:r>
                            <w:r>
                              <w:rPr>
                                <w:color w:val="231F20"/>
                                <w:spacing w:val="-2"/>
                                <w:sz w:val="15"/>
                              </w:rPr>
                              <w:t>with </w:t>
                            </w:r>
                            <w:r>
                              <w:rPr>
                                <w:color w:val="231F20"/>
                                <w:sz w:val="15"/>
                              </w:rPr>
                              <w:t>generalized [GEFS</w:t>
                            </w:r>
                            <w:r>
                              <w:rPr>
                                <w:rFonts w:ascii="Cambria"/>
                                <w:color w:val="231F20"/>
                                <w:sz w:val="15"/>
                              </w:rPr>
                              <w:t>+</w:t>
                            </w:r>
                            <w:r>
                              <w:rPr>
                                <w:color w:val="231F20"/>
                                <w:sz w:val="15"/>
                              </w:rPr>
                              <w:t>] or with focal seizures)</w:t>
                            </w:r>
                          </w:p>
                          <w:p>
                            <w:pPr>
                              <w:pStyle w:val="TableParagraph"/>
                              <w:spacing w:line="230" w:lineRule="auto"/>
                              <w:ind w:left="186" w:hanging="112"/>
                              <w:rPr>
                                <w:sz w:val="15"/>
                              </w:rPr>
                            </w:pPr>
                            <w:r>
                              <w:rPr>
                                <w:color w:val="231F20"/>
                                <w:sz w:val="15"/>
                              </w:rPr>
                              <w:t>Early-onset</w:t>
                            </w:r>
                            <w:r>
                              <w:rPr>
                                <w:color w:val="231F20"/>
                                <w:spacing w:val="-8"/>
                                <w:sz w:val="15"/>
                              </w:rPr>
                              <w:t> </w:t>
                            </w:r>
                            <w:r>
                              <w:rPr>
                                <w:color w:val="231F20"/>
                                <w:sz w:val="15"/>
                              </w:rPr>
                              <w:t>benign</w:t>
                            </w:r>
                            <w:r>
                              <w:rPr>
                                <w:color w:val="231F20"/>
                                <w:spacing w:val="-8"/>
                                <w:sz w:val="15"/>
                              </w:rPr>
                              <w:t> </w:t>
                            </w:r>
                            <w:r>
                              <w:rPr>
                                <w:color w:val="231F20"/>
                                <w:sz w:val="15"/>
                              </w:rPr>
                              <w:t>childhood</w:t>
                            </w:r>
                            <w:r>
                              <w:rPr>
                                <w:color w:val="231F20"/>
                                <w:spacing w:val="-8"/>
                                <w:sz w:val="15"/>
                              </w:rPr>
                              <w:t> </w:t>
                            </w:r>
                            <w:r>
                              <w:rPr>
                                <w:color w:val="231F20"/>
                                <w:sz w:val="15"/>
                              </w:rPr>
                              <w:t>occipital</w:t>
                            </w:r>
                            <w:r>
                              <w:rPr>
                                <w:color w:val="231F20"/>
                                <w:spacing w:val="-8"/>
                                <w:sz w:val="15"/>
                              </w:rPr>
                              <w:t> </w:t>
                            </w:r>
                            <w:r>
                              <w:rPr>
                                <w:color w:val="231F20"/>
                                <w:sz w:val="15"/>
                              </w:rPr>
                              <w:t>epilepsy</w:t>
                            </w:r>
                            <w:r>
                              <w:rPr>
                                <w:color w:val="231F20"/>
                                <w:spacing w:val="-8"/>
                                <w:sz w:val="15"/>
                              </w:rPr>
                              <w:t> </w:t>
                            </w:r>
                            <w:r>
                              <w:rPr>
                                <w:color w:val="231F20"/>
                                <w:sz w:val="15"/>
                              </w:rPr>
                              <w:t>(Panayiotopoulos </w:t>
                            </w:r>
                            <w:r>
                              <w:rPr>
                                <w:color w:val="231F20"/>
                                <w:spacing w:val="-2"/>
                                <w:sz w:val="15"/>
                              </w:rPr>
                              <w:t>type)</w:t>
                            </w:r>
                          </w:p>
                          <w:p>
                            <w:pPr>
                              <w:pStyle w:val="TableParagraph"/>
                              <w:spacing w:line="230" w:lineRule="auto" w:before="2"/>
                              <w:ind w:left="74" w:right="738"/>
                              <w:rPr>
                                <w:sz w:val="15"/>
                              </w:rPr>
                            </w:pPr>
                            <w:r>
                              <w:rPr>
                                <w:color w:val="231F20"/>
                                <w:spacing w:val="-2"/>
                                <w:sz w:val="15"/>
                              </w:rPr>
                              <w:t>Epilepsy</w:t>
                            </w:r>
                            <w:r>
                              <w:rPr>
                                <w:color w:val="231F20"/>
                                <w:spacing w:val="-7"/>
                                <w:sz w:val="15"/>
                              </w:rPr>
                              <w:t> </w:t>
                            </w:r>
                            <w:r>
                              <w:rPr>
                                <w:color w:val="231F20"/>
                                <w:spacing w:val="-2"/>
                                <w:sz w:val="15"/>
                              </w:rPr>
                              <w:t>with</w:t>
                            </w:r>
                            <w:r>
                              <w:rPr>
                                <w:color w:val="231F20"/>
                                <w:spacing w:val="-7"/>
                                <w:sz w:val="15"/>
                              </w:rPr>
                              <w:t> </w:t>
                            </w:r>
                            <w:r>
                              <w:rPr>
                                <w:color w:val="231F20"/>
                                <w:spacing w:val="-2"/>
                                <w:sz w:val="15"/>
                              </w:rPr>
                              <w:t>myoclonic</w:t>
                            </w:r>
                            <w:r>
                              <w:rPr>
                                <w:color w:val="231F20"/>
                                <w:spacing w:val="-7"/>
                                <w:sz w:val="15"/>
                              </w:rPr>
                              <w:t> </w:t>
                            </w:r>
                            <w:r>
                              <w:rPr>
                                <w:color w:val="231F20"/>
                                <w:spacing w:val="-2"/>
                                <w:sz w:val="15"/>
                              </w:rPr>
                              <w:t>atonic</w:t>
                            </w:r>
                            <w:r>
                              <w:rPr>
                                <w:color w:val="231F20"/>
                                <w:spacing w:val="-7"/>
                                <w:sz w:val="15"/>
                              </w:rPr>
                              <w:t> </w:t>
                            </w:r>
                            <w:r>
                              <w:rPr>
                                <w:color w:val="231F20"/>
                                <w:spacing w:val="-2"/>
                                <w:sz w:val="15"/>
                              </w:rPr>
                              <w:t>(previously</w:t>
                            </w:r>
                            <w:r>
                              <w:rPr>
                                <w:color w:val="231F20"/>
                                <w:spacing w:val="-7"/>
                                <w:sz w:val="15"/>
                              </w:rPr>
                              <w:t> </w:t>
                            </w:r>
                            <w:r>
                              <w:rPr>
                                <w:color w:val="231F20"/>
                                <w:spacing w:val="-2"/>
                                <w:sz w:val="15"/>
                              </w:rPr>
                              <w:t>astatic)</w:t>
                            </w:r>
                            <w:r>
                              <w:rPr>
                                <w:color w:val="231F20"/>
                                <w:spacing w:val="-7"/>
                                <w:sz w:val="15"/>
                              </w:rPr>
                              <w:t> </w:t>
                            </w:r>
                            <w:r>
                              <w:rPr>
                                <w:color w:val="231F20"/>
                                <w:spacing w:val="-2"/>
                                <w:sz w:val="15"/>
                              </w:rPr>
                              <w:t>seizures </w:t>
                            </w:r>
                            <w:r>
                              <w:rPr>
                                <w:color w:val="231F20"/>
                                <w:sz w:val="15"/>
                              </w:rPr>
                              <w:t>Benign epilepsy with centrotemporal spikes (BCECTS) Late-onset childhood occipital epilepsy (Gastaut type)</w:t>
                            </w:r>
                          </w:p>
                          <w:p>
                            <w:pPr>
                              <w:pStyle w:val="TableParagraph"/>
                              <w:spacing w:line="230" w:lineRule="auto" w:before="2"/>
                              <w:ind w:left="74"/>
                              <w:rPr>
                                <w:sz w:val="15"/>
                              </w:rPr>
                            </w:pPr>
                            <w:r>
                              <w:rPr>
                                <w:color w:val="231F20"/>
                                <w:sz w:val="15"/>
                              </w:rPr>
                              <w:t>Autosomal</w:t>
                            </w:r>
                            <w:r>
                              <w:rPr>
                                <w:color w:val="231F20"/>
                                <w:spacing w:val="-4"/>
                                <w:sz w:val="15"/>
                              </w:rPr>
                              <w:t> </w:t>
                            </w:r>
                            <w:r>
                              <w:rPr>
                                <w:color w:val="231F20"/>
                                <w:sz w:val="15"/>
                              </w:rPr>
                              <w:t>dominant</w:t>
                            </w:r>
                            <w:r>
                              <w:rPr>
                                <w:color w:val="231F20"/>
                                <w:spacing w:val="-4"/>
                                <w:sz w:val="15"/>
                              </w:rPr>
                              <w:t> </w:t>
                            </w:r>
                            <w:r>
                              <w:rPr>
                                <w:color w:val="231F20"/>
                                <w:sz w:val="15"/>
                              </w:rPr>
                              <w:t>nocturnal</w:t>
                            </w:r>
                            <w:r>
                              <w:rPr>
                                <w:color w:val="231F20"/>
                                <w:spacing w:val="-4"/>
                                <w:sz w:val="15"/>
                              </w:rPr>
                              <w:t> </w:t>
                            </w:r>
                            <w:r>
                              <w:rPr>
                                <w:color w:val="231F20"/>
                                <w:sz w:val="15"/>
                              </w:rPr>
                              <w:t>frontal</w:t>
                            </w:r>
                            <w:r>
                              <w:rPr>
                                <w:color w:val="231F20"/>
                                <w:spacing w:val="-4"/>
                                <w:sz w:val="15"/>
                              </w:rPr>
                              <w:t> </w:t>
                            </w:r>
                            <w:r>
                              <w:rPr>
                                <w:color w:val="231F20"/>
                                <w:sz w:val="15"/>
                              </w:rPr>
                              <w:t>lobe</w:t>
                            </w:r>
                            <w:r>
                              <w:rPr>
                                <w:color w:val="231F20"/>
                                <w:spacing w:val="-4"/>
                                <w:sz w:val="15"/>
                              </w:rPr>
                              <w:t> </w:t>
                            </w:r>
                            <w:r>
                              <w:rPr>
                                <w:color w:val="231F20"/>
                                <w:sz w:val="15"/>
                              </w:rPr>
                              <w:t>epilepsy</w:t>
                            </w:r>
                            <w:r>
                              <w:rPr>
                                <w:color w:val="231F20"/>
                                <w:spacing w:val="-4"/>
                                <w:sz w:val="15"/>
                              </w:rPr>
                              <w:t> </w:t>
                            </w:r>
                            <w:r>
                              <w:rPr>
                                <w:color w:val="231F20"/>
                                <w:sz w:val="15"/>
                              </w:rPr>
                              <w:t>(AD-</w:t>
                            </w:r>
                            <w:r>
                              <w:rPr>
                                <w:color w:val="231F20"/>
                                <w:sz w:val="15"/>
                              </w:rPr>
                              <w:t>NFLE) Epilepsy with myoclonic absences</w:t>
                            </w:r>
                          </w:p>
                          <w:p>
                            <w:pPr>
                              <w:pStyle w:val="TableParagraph"/>
                              <w:spacing w:line="167" w:lineRule="exact"/>
                              <w:ind w:left="74"/>
                              <w:rPr>
                                <w:sz w:val="15"/>
                              </w:rPr>
                            </w:pPr>
                            <w:r>
                              <w:rPr>
                                <w:color w:val="231F20"/>
                                <w:sz w:val="15"/>
                              </w:rPr>
                              <w:t>Lennox-Gastaut</w:t>
                            </w:r>
                            <w:r>
                              <w:rPr>
                                <w:color w:val="231F20"/>
                                <w:spacing w:val="-10"/>
                                <w:sz w:val="15"/>
                              </w:rPr>
                              <w:t> </w:t>
                            </w:r>
                            <w:r>
                              <w:rPr>
                                <w:color w:val="231F20"/>
                                <w:spacing w:val="-2"/>
                                <w:sz w:val="15"/>
                              </w:rPr>
                              <w:t>syndrome</w:t>
                            </w:r>
                          </w:p>
                          <w:p>
                            <w:pPr>
                              <w:pStyle w:val="TableParagraph"/>
                              <w:spacing w:line="230" w:lineRule="auto" w:before="3"/>
                              <w:ind w:left="186" w:hanging="112"/>
                              <w:rPr>
                                <w:sz w:val="15"/>
                              </w:rPr>
                            </w:pPr>
                            <w:r>
                              <w:rPr>
                                <w:color w:val="231F20"/>
                                <w:sz w:val="15"/>
                              </w:rPr>
                              <w:t>Epileptic</w:t>
                            </w:r>
                            <w:r>
                              <w:rPr>
                                <w:color w:val="231F20"/>
                                <w:spacing w:val="-12"/>
                                <w:sz w:val="15"/>
                              </w:rPr>
                              <w:t> </w:t>
                            </w:r>
                            <w:r>
                              <w:rPr>
                                <w:color w:val="231F20"/>
                                <w:sz w:val="15"/>
                              </w:rPr>
                              <w:t>encephalopathy</w:t>
                            </w:r>
                            <w:r>
                              <w:rPr>
                                <w:color w:val="231F20"/>
                                <w:spacing w:val="-11"/>
                                <w:sz w:val="15"/>
                              </w:rPr>
                              <w:t> </w:t>
                            </w:r>
                            <w:r>
                              <w:rPr>
                                <w:color w:val="231F20"/>
                                <w:sz w:val="15"/>
                              </w:rPr>
                              <w:t>with</w:t>
                            </w:r>
                            <w:r>
                              <w:rPr>
                                <w:color w:val="231F20"/>
                                <w:spacing w:val="-11"/>
                                <w:sz w:val="15"/>
                              </w:rPr>
                              <w:t> </w:t>
                            </w:r>
                            <w:r>
                              <w:rPr>
                                <w:color w:val="231F20"/>
                                <w:sz w:val="15"/>
                              </w:rPr>
                              <w:t>continuous</w:t>
                            </w:r>
                            <w:r>
                              <w:rPr>
                                <w:color w:val="231F20"/>
                                <w:spacing w:val="-12"/>
                                <w:sz w:val="15"/>
                              </w:rPr>
                              <w:t> </w:t>
                            </w:r>
                            <w:r>
                              <w:rPr>
                                <w:color w:val="231F20"/>
                                <w:sz w:val="15"/>
                              </w:rPr>
                              <w:t>spike-and-wave</w:t>
                            </w:r>
                            <w:r>
                              <w:rPr>
                                <w:color w:val="231F20"/>
                                <w:spacing w:val="-11"/>
                                <w:sz w:val="15"/>
                              </w:rPr>
                              <w:t> </w:t>
                            </w:r>
                            <w:r>
                              <w:rPr>
                                <w:color w:val="231F20"/>
                                <w:sz w:val="15"/>
                              </w:rPr>
                              <w:t>during sleep (CSWS)</w:t>
                            </w:r>
                          </w:p>
                          <w:p>
                            <w:pPr>
                              <w:pStyle w:val="TableParagraph"/>
                              <w:spacing w:line="230" w:lineRule="auto" w:before="1"/>
                              <w:ind w:left="74" w:right="2208"/>
                              <w:rPr>
                                <w:sz w:val="15"/>
                              </w:rPr>
                            </w:pPr>
                            <w:r>
                              <w:rPr>
                                <w:color w:val="231F20"/>
                                <w:sz w:val="15"/>
                              </w:rPr>
                              <w:t>Landau-Kleffner syndrome Childhood absence epilepsy </w:t>
                            </w:r>
                            <w:r>
                              <w:rPr>
                                <w:color w:val="231F20"/>
                                <w:sz w:val="15"/>
                              </w:rPr>
                              <w:t>(CAE)</w:t>
                            </w:r>
                          </w:p>
                        </w:tc>
                      </w:tr>
                      <w:tr>
                        <w:trPr>
                          <w:trHeight w:val="126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ADOLESCENCE–ADULT</w:t>
                            </w:r>
                          </w:p>
                          <w:p>
                            <w:pPr>
                              <w:pStyle w:val="TableParagraph"/>
                              <w:spacing w:line="230" w:lineRule="auto" w:before="3"/>
                              <w:ind w:left="74" w:right="2339"/>
                              <w:rPr>
                                <w:sz w:val="15"/>
                              </w:rPr>
                            </w:pPr>
                            <w:r>
                              <w:rPr>
                                <w:color w:val="231F20"/>
                                <w:sz w:val="15"/>
                              </w:rPr>
                              <w:t>Juvenile absence epilepsy (JAE) Juvenile</w:t>
                            </w:r>
                            <w:r>
                              <w:rPr>
                                <w:color w:val="231F20"/>
                                <w:spacing w:val="-12"/>
                                <w:sz w:val="15"/>
                              </w:rPr>
                              <w:t> </w:t>
                            </w:r>
                            <w:r>
                              <w:rPr>
                                <w:color w:val="231F20"/>
                                <w:sz w:val="15"/>
                              </w:rPr>
                              <w:t>myoclonic</w:t>
                            </w:r>
                            <w:r>
                              <w:rPr>
                                <w:color w:val="231F20"/>
                                <w:spacing w:val="-11"/>
                                <w:sz w:val="15"/>
                              </w:rPr>
                              <w:t> </w:t>
                            </w:r>
                            <w:r>
                              <w:rPr>
                                <w:color w:val="231F20"/>
                                <w:sz w:val="15"/>
                              </w:rPr>
                              <w:t>epilepsy</w:t>
                            </w:r>
                            <w:r>
                              <w:rPr>
                                <w:color w:val="231F20"/>
                                <w:spacing w:val="-11"/>
                                <w:sz w:val="15"/>
                              </w:rPr>
                              <w:t> </w:t>
                            </w:r>
                            <w:r>
                              <w:rPr>
                                <w:color w:val="231F20"/>
                                <w:sz w:val="15"/>
                              </w:rPr>
                              <w:t>(JME)</w:t>
                            </w:r>
                          </w:p>
                          <w:p>
                            <w:pPr>
                              <w:pStyle w:val="TableParagraph"/>
                              <w:spacing w:line="230" w:lineRule="auto" w:before="2"/>
                              <w:ind w:left="74" w:right="434"/>
                              <w:rPr>
                                <w:sz w:val="15"/>
                              </w:rPr>
                            </w:pPr>
                            <w:r>
                              <w:rPr>
                                <w:color w:val="231F20"/>
                                <w:sz w:val="15"/>
                              </w:rPr>
                              <w:t>Epilepsy</w:t>
                            </w:r>
                            <w:r>
                              <w:rPr>
                                <w:color w:val="231F20"/>
                                <w:spacing w:val="-12"/>
                                <w:sz w:val="15"/>
                              </w:rPr>
                              <w:t> </w:t>
                            </w:r>
                            <w:r>
                              <w:rPr>
                                <w:color w:val="231F20"/>
                                <w:sz w:val="15"/>
                              </w:rPr>
                              <w:t>with</w:t>
                            </w:r>
                            <w:r>
                              <w:rPr>
                                <w:color w:val="231F20"/>
                                <w:spacing w:val="-11"/>
                                <w:sz w:val="15"/>
                              </w:rPr>
                              <w:t> </w:t>
                            </w:r>
                            <w:r>
                              <w:rPr>
                                <w:color w:val="231F20"/>
                                <w:sz w:val="15"/>
                              </w:rPr>
                              <w:t>generalized</w:t>
                            </w:r>
                            <w:r>
                              <w:rPr>
                                <w:color w:val="231F20"/>
                                <w:spacing w:val="-11"/>
                                <w:sz w:val="15"/>
                              </w:rPr>
                              <w:t> </w:t>
                            </w:r>
                            <w:r>
                              <w:rPr>
                                <w:color w:val="231F20"/>
                                <w:sz w:val="15"/>
                              </w:rPr>
                              <w:t>tonic–clonic</w:t>
                            </w:r>
                            <w:r>
                              <w:rPr>
                                <w:color w:val="231F20"/>
                                <w:spacing w:val="-12"/>
                                <w:sz w:val="15"/>
                              </w:rPr>
                              <w:t> </w:t>
                            </w:r>
                            <w:r>
                              <w:rPr>
                                <w:color w:val="231F20"/>
                                <w:sz w:val="15"/>
                              </w:rPr>
                              <w:t>seizures</w:t>
                            </w:r>
                            <w:r>
                              <w:rPr>
                                <w:color w:val="231F20"/>
                                <w:spacing w:val="-11"/>
                                <w:sz w:val="15"/>
                              </w:rPr>
                              <w:t> </w:t>
                            </w:r>
                            <w:r>
                              <w:rPr>
                                <w:color w:val="231F20"/>
                                <w:sz w:val="15"/>
                              </w:rPr>
                              <w:t>alone Progressive myoclonus epilepsies (PME)</w:t>
                            </w:r>
                          </w:p>
                          <w:p>
                            <w:pPr>
                              <w:pStyle w:val="TableParagraph"/>
                              <w:spacing w:line="230" w:lineRule="auto" w:before="1"/>
                              <w:ind w:left="74" w:right="434"/>
                              <w:rPr>
                                <w:sz w:val="15"/>
                              </w:rPr>
                            </w:pPr>
                            <w:r>
                              <w:rPr>
                                <w:color w:val="231F20"/>
                                <w:sz w:val="15"/>
                              </w:rPr>
                              <w:t>Autosomal</w:t>
                            </w:r>
                            <w:r>
                              <w:rPr>
                                <w:color w:val="231F20"/>
                                <w:spacing w:val="-8"/>
                                <w:sz w:val="15"/>
                              </w:rPr>
                              <w:t> </w:t>
                            </w:r>
                            <w:r>
                              <w:rPr>
                                <w:color w:val="231F20"/>
                                <w:sz w:val="15"/>
                              </w:rPr>
                              <w:t>dominant</w:t>
                            </w:r>
                            <w:r>
                              <w:rPr>
                                <w:color w:val="231F20"/>
                                <w:spacing w:val="-8"/>
                                <w:sz w:val="15"/>
                              </w:rPr>
                              <w:t> </w:t>
                            </w:r>
                            <w:r>
                              <w:rPr>
                                <w:color w:val="231F20"/>
                                <w:sz w:val="15"/>
                              </w:rPr>
                              <w:t>epilepsy</w:t>
                            </w:r>
                            <w:r>
                              <w:rPr>
                                <w:color w:val="231F20"/>
                                <w:spacing w:val="-8"/>
                                <w:sz w:val="15"/>
                              </w:rPr>
                              <w:t> </w:t>
                            </w:r>
                            <w:r>
                              <w:rPr>
                                <w:color w:val="231F20"/>
                                <w:sz w:val="15"/>
                              </w:rPr>
                              <w:t>with</w:t>
                            </w:r>
                            <w:r>
                              <w:rPr>
                                <w:color w:val="231F20"/>
                                <w:spacing w:val="-8"/>
                                <w:sz w:val="15"/>
                              </w:rPr>
                              <w:t> </w:t>
                            </w:r>
                            <w:r>
                              <w:rPr>
                                <w:color w:val="231F20"/>
                                <w:sz w:val="15"/>
                              </w:rPr>
                              <w:t>auditory</w:t>
                            </w:r>
                            <w:r>
                              <w:rPr>
                                <w:color w:val="231F20"/>
                                <w:spacing w:val="-8"/>
                                <w:sz w:val="15"/>
                              </w:rPr>
                              <w:t> </w:t>
                            </w:r>
                            <w:r>
                              <w:rPr>
                                <w:color w:val="231F20"/>
                                <w:sz w:val="15"/>
                              </w:rPr>
                              <w:t>features</w:t>
                            </w:r>
                            <w:r>
                              <w:rPr>
                                <w:color w:val="231F20"/>
                                <w:spacing w:val="-8"/>
                                <w:sz w:val="15"/>
                              </w:rPr>
                              <w:t> </w:t>
                            </w:r>
                            <w:r>
                              <w:rPr>
                                <w:color w:val="231F20"/>
                                <w:sz w:val="15"/>
                              </w:rPr>
                              <w:t>(ADEAF) Other familial temporal lobe epilepsies</w:t>
                            </w:r>
                          </w:p>
                        </w:tc>
                      </w:tr>
                      <w:tr>
                        <w:trPr>
                          <w:trHeight w:val="591"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AGE-RELATED</w:t>
                            </w:r>
                            <w:r>
                              <w:rPr>
                                <w:color w:val="231F20"/>
                                <w:spacing w:val="5"/>
                                <w:w w:val="110"/>
                                <w:sz w:val="15"/>
                              </w:rPr>
                              <w:t> </w:t>
                            </w:r>
                            <w:r>
                              <w:rPr>
                                <w:color w:val="231F20"/>
                                <w:w w:val="110"/>
                                <w:sz w:val="15"/>
                              </w:rPr>
                              <w:t>(AGE</w:t>
                            </w:r>
                            <w:r>
                              <w:rPr>
                                <w:color w:val="231F20"/>
                                <w:spacing w:val="5"/>
                                <w:w w:val="110"/>
                                <w:sz w:val="15"/>
                              </w:rPr>
                              <w:t> </w:t>
                            </w:r>
                            <w:r>
                              <w:rPr>
                                <w:color w:val="231F20"/>
                                <w:w w:val="110"/>
                                <w:sz w:val="15"/>
                              </w:rPr>
                              <w:t>OF</w:t>
                            </w:r>
                            <w:r>
                              <w:rPr>
                                <w:color w:val="231F20"/>
                                <w:spacing w:val="5"/>
                                <w:w w:val="110"/>
                                <w:sz w:val="15"/>
                              </w:rPr>
                              <w:t> </w:t>
                            </w:r>
                            <w:r>
                              <w:rPr>
                                <w:color w:val="231F20"/>
                                <w:w w:val="110"/>
                                <w:sz w:val="15"/>
                              </w:rPr>
                              <w:t>ONSET</w:t>
                            </w:r>
                            <w:r>
                              <w:rPr>
                                <w:color w:val="231F20"/>
                                <w:spacing w:val="6"/>
                                <w:w w:val="110"/>
                                <w:sz w:val="15"/>
                              </w:rPr>
                              <w:t> </w:t>
                            </w:r>
                            <w:r>
                              <w:rPr>
                                <w:color w:val="231F20"/>
                                <w:w w:val="110"/>
                                <w:sz w:val="15"/>
                              </w:rPr>
                              <w:t>LESS</w:t>
                            </w:r>
                            <w:r>
                              <w:rPr>
                                <w:color w:val="231F20"/>
                                <w:spacing w:val="5"/>
                                <w:w w:val="110"/>
                                <w:sz w:val="15"/>
                              </w:rPr>
                              <w:t> </w:t>
                            </w:r>
                            <w:r>
                              <w:rPr>
                                <w:color w:val="231F20"/>
                                <w:spacing w:val="-2"/>
                                <w:w w:val="110"/>
                                <w:sz w:val="15"/>
                              </w:rPr>
                              <w:t>SPECIFIC)</w:t>
                            </w:r>
                          </w:p>
                          <w:p>
                            <w:pPr>
                              <w:pStyle w:val="TableParagraph"/>
                              <w:spacing w:line="230" w:lineRule="auto" w:before="3"/>
                              <w:ind w:left="74" w:right="434"/>
                              <w:rPr>
                                <w:sz w:val="15"/>
                              </w:rPr>
                            </w:pPr>
                            <w:r>
                              <w:rPr>
                                <w:color w:val="231F20"/>
                                <w:spacing w:val="-2"/>
                                <w:sz w:val="15"/>
                              </w:rPr>
                              <w:t>Familial</w:t>
                            </w:r>
                            <w:r>
                              <w:rPr>
                                <w:color w:val="231F20"/>
                                <w:spacing w:val="-6"/>
                                <w:sz w:val="15"/>
                              </w:rPr>
                              <w:t> </w:t>
                            </w:r>
                            <w:r>
                              <w:rPr>
                                <w:color w:val="231F20"/>
                                <w:spacing w:val="-2"/>
                                <w:sz w:val="15"/>
                              </w:rPr>
                              <w:t>focal</w:t>
                            </w:r>
                            <w:r>
                              <w:rPr>
                                <w:color w:val="231F20"/>
                                <w:spacing w:val="-6"/>
                                <w:sz w:val="15"/>
                              </w:rPr>
                              <w:t> </w:t>
                            </w:r>
                            <w:r>
                              <w:rPr>
                                <w:color w:val="231F20"/>
                                <w:spacing w:val="-2"/>
                                <w:sz w:val="15"/>
                              </w:rPr>
                              <w:t>epilepsy</w:t>
                            </w:r>
                            <w:r>
                              <w:rPr>
                                <w:color w:val="231F20"/>
                                <w:spacing w:val="-6"/>
                                <w:sz w:val="15"/>
                              </w:rPr>
                              <w:t> </w:t>
                            </w:r>
                            <w:r>
                              <w:rPr>
                                <w:color w:val="231F20"/>
                                <w:spacing w:val="-2"/>
                                <w:sz w:val="15"/>
                              </w:rPr>
                              <w:t>with</w:t>
                            </w:r>
                            <w:r>
                              <w:rPr>
                                <w:color w:val="231F20"/>
                                <w:spacing w:val="-6"/>
                                <w:sz w:val="15"/>
                              </w:rPr>
                              <w:t> </w:t>
                            </w:r>
                            <w:r>
                              <w:rPr>
                                <w:color w:val="231F20"/>
                                <w:spacing w:val="-2"/>
                                <w:sz w:val="15"/>
                              </w:rPr>
                              <w:t>variable</w:t>
                            </w:r>
                            <w:r>
                              <w:rPr>
                                <w:color w:val="231F20"/>
                                <w:spacing w:val="-6"/>
                                <w:sz w:val="15"/>
                              </w:rPr>
                              <w:t> </w:t>
                            </w:r>
                            <w:r>
                              <w:rPr>
                                <w:color w:val="231F20"/>
                                <w:spacing w:val="-2"/>
                                <w:sz w:val="15"/>
                              </w:rPr>
                              <w:t>foci</w:t>
                            </w:r>
                            <w:r>
                              <w:rPr>
                                <w:color w:val="231F20"/>
                                <w:spacing w:val="-6"/>
                                <w:sz w:val="15"/>
                              </w:rPr>
                              <w:t> </w:t>
                            </w:r>
                            <w:r>
                              <w:rPr>
                                <w:color w:val="231F20"/>
                                <w:spacing w:val="-2"/>
                                <w:sz w:val="15"/>
                              </w:rPr>
                              <w:t>(childhood</w:t>
                            </w:r>
                            <w:r>
                              <w:rPr>
                                <w:color w:val="231F20"/>
                                <w:spacing w:val="-6"/>
                                <w:sz w:val="15"/>
                              </w:rPr>
                              <w:t> </w:t>
                            </w:r>
                            <w:r>
                              <w:rPr>
                                <w:color w:val="231F20"/>
                                <w:spacing w:val="-2"/>
                                <w:sz w:val="15"/>
                              </w:rPr>
                              <w:t>to</w:t>
                            </w:r>
                            <w:r>
                              <w:rPr>
                                <w:color w:val="231F20"/>
                                <w:spacing w:val="-6"/>
                                <w:sz w:val="15"/>
                              </w:rPr>
                              <w:t> </w:t>
                            </w:r>
                            <w:r>
                              <w:rPr>
                                <w:color w:val="231F20"/>
                                <w:spacing w:val="-2"/>
                                <w:sz w:val="15"/>
                              </w:rPr>
                              <w:t>adult) </w:t>
                            </w:r>
                            <w:r>
                              <w:rPr>
                                <w:color w:val="231F20"/>
                                <w:sz w:val="15"/>
                              </w:rPr>
                              <w:t>Reflex epilepsies</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230" w:lineRule="auto" w:before="49"/>
                              <w:ind w:left="74" w:right="108"/>
                              <w:rPr>
                                <w:sz w:val="15"/>
                              </w:rPr>
                            </w:pPr>
                            <w:r>
                              <w:rPr>
                                <w:color w:val="231F20"/>
                                <w:w w:val="110"/>
                                <w:sz w:val="15"/>
                              </w:rPr>
                              <w:t>SEIZURE DISORDERS THAT ARE NOT TRADITIONALLY </w:t>
                            </w:r>
                            <w:r>
                              <w:rPr>
                                <w:color w:val="231F20"/>
                                <w:w w:val="110"/>
                                <w:sz w:val="15"/>
                              </w:rPr>
                              <w:t>GIVEN THE DIAGNOSIS OF EPILEPSY</w:t>
                            </w:r>
                          </w:p>
                          <w:p>
                            <w:pPr>
                              <w:pStyle w:val="TableParagraph"/>
                              <w:spacing w:line="230" w:lineRule="auto" w:before="3"/>
                              <w:ind w:left="74" w:right="2339"/>
                              <w:rPr>
                                <w:sz w:val="15"/>
                              </w:rPr>
                            </w:pPr>
                            <w:r>
                              <w:rPr>
                                <w:color w:val="231F20"/>
                                <w:sz w:val="15"/>
                              </w:rPr>
                              <w:t>Benign</w:t>
                            </w:r>
                            <w:r>
                              <w:rPr>
                                <w:color w:val="231F20"/>
                                <w:spacing w:val="-10"/>
                                <w:sz w:val="15"/>
                              </w:rPr>
                              <w:t> </w:t>
                            </w:r>
                            <w:r>
                              <w:rPr>
                                <w:color w:val="231F20"/>
                                <w:sz w:val="15"/>
                              </w:rPr>
                              <w:t>neonatal</w:t>
                            </w:r>
                            <w:r>
                              <w:rPr>
                                <w:color w:val="231F20"/>
                                <w:spacing w:val="-10"/>
                                <w:sz w:val="15"/>
                              </w:rPr>
                              <w:t> </w:t>
                            </w:r>
                            <w:r>
                              <w:rPr>
                                <w:color w:val="231F20"/>
                                <w:sz w:val="15"/>
                              </w:rPr>
                              <w:t>seizures</w:t>
                            </w:r>
                            <w:r>
                              <w:rPr>
                                <w:color w:val="231F20"/>
                                <w:spacing w:val="-10"/>
                                <w:sz w:val="15"/>
                              </w:rPr>
                              <w:t> </w:t>
                            </w:r>
                            <w:r>
                              <w:rPr>
                                <w:color w:val="231F20"/>
                                <w:sz w:val="15"/>
                              </w:rPr>
                              <w:t>(BNS) Febrile seizures (FS)</w:t>
                            </w:r>
                          </w:p>
                        </w:tc>
                      </w:tr>
                      <w:tr>
                        <w:trPr>
                          <w:trHeight w:val="193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05"/>
                                <w:sz w:val="15"/>
                              </w:rPr>
                              <w:t>EPILEPTIC</w:t>
                            </w:r>
                            <w:r>
                              <w:rPr>
                                <w:color w:val="231F20"/>
                                <w:spacing w:val="12"/>
                                <w:w w:val="110"/>
                                <w:sz w:val="15"/>
                              </w:rPr>
                              <w:t> </w:t>
                            </w:r>
                            <w:r>
                              <w:rPr>
                                <w:color w:val="231F20"/>
                                <w:spacing w:val="-2"/>
                                <w:w w:val="110"/>
                                <w:sz w:val="15"/>
                              </w:rPr>
                              <w:t>ENCEPHALOPATHIES</w:t>
                            </w:r>
                          </w:p>
                          <w:p>
                            <w:pPr>
                              <w:pStyle w:val="TableParagraph"/>
                              <w:spacing w:line="169" w:lineRule="exact"/>
                              <w:ind w:left="74"/>
                              <w:rPr>
                                <w:sz w:val="15"/>
                              </w:rPr>
                            </w:pPr>
                            <w:r>
                              <w:rPr>
                                <w:color w:val="231F20"/>
                                <w:spacing w:val="-5"/>
                                <w:w w:val="115"/>
                                <w:sz w:val="15"/>
                              </w:rPr>
                              <w:t>EME</w:t>
                            </w:r>
                          </w:p>
                          <w:p>
                            <w:pPr>
                              <w:pStyle w:val="TableParagraph"/>
                              <w:spacing w:line="168" w:lineRule="exact"/>
                              <w:ind w:left="74"/>
                              <w:rPr>
                                <w:sz w:val="15"/>
                              </w:rPr>
                            </w:pPr>
                            <w:r>
                              <w:rPr>
                                <w:color w:val="231F20"/>
                                <w:sz w:val="15"/>
                              </w:rPr>
                              <w:t>Ohtahara</w:t>
                            </w:r>
                            <w:r>
                              <w:rPr>
                                <w:color w:val="231F20"/>
                                <w:spacing w:val="-1"/>
                                <w:sz w:val="15"/>
                              </w:rPr>
                              <w:t> </w:t>
                            </w:r>
                            <w:r>
                              <w:rPr>
                                <w:color w:val="231F20"/>
                                <w:spacing w:val="-2"/>
                                <w:sz w:val="15"/>
                              </w:rPr>
                              <w:t>syndrome</w:t>
                            </w:r>
                          </w:p>
                          <w:p>
                            <w:pPr>
                              <w:pStyle w:val="TableParagraph"/>
                              <w:spacing w:line="230" w:lineRule="auto" w:before="2"/>
                              <w:ind w:left="74" w:right="2208"/>
                              <w:rPr>
                                <w:sz w:val="15"/>
                              </w:rPr>
                            </w:pPr>
                            <w:r>
                              <w:rPr>
                                <w:color w:val="231F20"/>
                                <w:spacing w:val="-2"/>
                                <w:sz w:val="15"/>
                              </w:rPr>
                              <w:t>Migrating</w:t>
                            </w:r>
                            <w:r>
                              <w:rPr>
                                <w:color w:val="231F20"/>
                                <w:spacing w:val="-3"/>
                                <w:sz w:val="15"/>
                              </w:rPr>
                              <w:t> </w:t>
                            </w:r>
                            <w:r>
                              <w:rPr>
                                <w:color w:val="231F20"/>
                                <w:spacing w:val="-2"/>
                                <w:sz w:val="15"/>
                              </w:rPr>
                              <w:t>partial</w:t>
                            </w:r>
                            <w:r>
                              <w:rPr>
                                <w:color w:val="231F20"/>
                                <w:spacing w:val="-3"/>
                                <w:sz w:val="15"/>
                              </w:rPr>
                              <w:t> </w:t>
                            </w:r>
                            <w:r>
                              <w:rPr>
                                <w:color w:val="231F20"/>
                                <w:spacing w:val="-2"/>
                                <w:sz w:val="15"/>
                              </w:rPr>
                              <w:t>seizures</w:t>
                            </w:r>
                            <w:r>
                              <w:rPr>
                                <w:color w:val="231F20"/>
                                <w:spacing w:val="-3"/>
                                <w:sz w:val="15"/>
                              </w:rPr>
                              <w:t> </w:t>
                            </w:r>
                            <w:r>
                              <w:rPr>
                                <w:color w:val="231F20"/>
                                <w:spacing w:val="-2"/>
                                <w:sz w:val="15"/>
                              </w:rPr>
                              <w:t>of</w:t>
                            </w:r>
                            <w:r>
                              <w:rPr>
                                <w:color w:val="231F20"/>
                                <w:spacing w:val="-3"/>
                                <w:sz w:val="15"/>
                              </w:rPr>
                              <w:t> </w:t>
                            </w:r>
                            <w:r>
                              <w:rPr>
                                <w:color w:val="231F20"/>
                                <w:spacing w:val="-2"/>
                                <w:sz w:val="15"/>
                              </w:rPr>
                              <w:t>infancy </w:t>
                            </w:r>
                            <w:r>
                              <w:rPr>
                                <w:color w:val="231F20"/>
                                <w:sz w:val="15"/>
                              </w:rPr>
                              <w:t>West syndrome</w:t>
                            </w:r>
                          </w:p>
                          <w:p>
                            <w:pPr>
                              <w:pStyle w:val="TableParagraph"/>
                              <w:spacing w:line="167" w:lineRule="exact"/>
                              <w:ind w:left="74"/>
                              <w:rPr>
                                <w:sz w:val="15"/>
                              </w:rPr>
                            </w:pPr>
                            <w:r>
                              <w:rPr>
                                <w:color w:val="231F20"/>
                                <w:sz w:val="15"/>
                              </w:rPr>
                              <w:t>Dravet</w:t>
                            </w:r>
                            <w:r>
                              <w:rPr>
                                <w:color w:val="231F20"/>
                                <w:spacing w:val="-4"/>
                                <w:sz w:val="15"/>
                              </w:rPr>
                              <w:t> </w:t>
                            </w:r>
                            <w:r>
                              <w:rPr>
                                <w:color w:val="231F20"/>
                                <w:spacing w:val="-2"/>
                                <w:sz w:val="15"/>
                              </w:rPr>
                              <w:t>syndrome</w:t>
                            </w:r>
                          </w:p>
                          <w:p>
                            <w:pPr>
                              <w:pStyle w:val="TableParagraph"/>
                              <w:spacing w:line="230" w:lineRule="auto" w:before="3"/>
                              <w:ind w:left="74" w:right="738"/>
                              <w:rPr>
                                <w:sz w:val="15"/>
                              </w:rPr>
                            </w:pPr>
                            <w:r>
                              <w:rPr>
                                <w:color w:val="231F20"/>
                                <w:sz w:val="15"/>
                              </w:rPr>
                              <w:t>Myoclonic encephalopathy in nonprogressive </w:t>
                            </w:r>
                            <w:r>
                              <w:rPr>
                                <w:color w:val="231F20"/>
                                <w:sz w:val="15"/>
                              </w:rPr>
                              <w:t>disorders Epilepsy with myoclonic astatic seizures</w:t>
                            </w:r>
                          </w:p>
                          <w:p>
                            <w:pPr>
                              <w:pStyle w:val="TableParagraph"/>
                              <w:spacing w:line="167" w:lineRule="exact"/>
                              <w:ind w:left="74"/>
                              <w:rPr>
                                <w:sz w:val="15"/>
                              </w:rPr>
                            </w:pPr>
                            <w:r>
                              <w:rPr>
                                <w:color w:val="231F20"/>
                                <w:sz w:val="15"/>
                              </w:rPr>
                              <w:t>Lennox-Gastaut</w:t>
                            </w:r>
                            <w:r>
                              <w:rPr>
                                <w:color w:val="231F20"/>
                                <w:spacing w:val="-10"/>
                                <w:sz w:val="15"/>
                              </w:rPr>
                              <w:t> </w:t>
                            </w:r>
                            <w:r>
                              <w:rPr>
                                <w:color w:val="231F20"/>
                                <w:spacing w:val="-2"/>
                                <w:sz w:val="15"/>
                              </w:rPr>
                              <w:t>syndrome</w:t>
                            </w:r>
                          </w:p>
                          <w:p>
                            <w:pPr>
                              <w:pStyle w:val="TableParagraph"/>
                              <w:spacing w:line="230" w:lineRule="auto" w:before="2"/>
                              <w:ind w:left="74" w:right="2150"/>
                              <w:rPr>
                                <w:sz w:val="15"/>
                              </w:rPr>
                            </w:pPr>
                            <w:r>
                              <w:rPr>
                                <w:color w:val="231F20"/>
                                <w:sz w:val="15"/>
                              </w:rPr>
                              <w:t>Epileptic</w:t>
                            </w:r>
                            <w:r>
                              <w:rPr>
                                <w:color w:val="231F20"/>
                                <w:spacing w:val="-5"/>
                                <w:sz w:val="15"/>
                              </w:rPr>
                              <w:t> </w:t>
                            </w:r>
                            <w:r>
                              <w:rPr>
                                <w:color w:val="231F20"/>
                                <w:sz w:val="15"/>
                              </w:rPr>
                              <w:t>encephalopathy</w:t>
                            </w:r>
                            <w:r>
                              <w:rPr>
                                <w:color w:val="231F20"/>
                                <w:spacing w:val="-5"/>
                                <w:sz w:val="15"/>
                              </w:rPr>
                              <w:t> </w:t>
                            </w:r>
                            <w:r>
                              <w:rPr>
                                <w:color w:val="231F20"/>
                                <w:sz w:val="15"/>
                              </w:rPr>
                              <w:t>with</w:t>
                            </w:r>
                            <w:r>
                              <w:rPr>
                                <w:color w:val="231F20"/>
                                <w:spacing w:val="-5"/>
                                <w:sz w:val="15"/>
                              </w:rPr>
                              <w:t> </w:t>
                            </w:r>
                            <w:r>
                              <w:rPr>
                                <w:color w:val="231F20"/>
                                <w:sz w:val="15"/>
                              </w:rPr>
                              <w:t>CSWS Landau-Kleffner syndrome</w:t>
                            </w:r>
                          </w:p>
                        </w:tc>
                      </w:tr>
                      <w:tr>
                        <w:trPr>
                          <w:trHeight w:val="586"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OTHER</w:t>
                            </w:r>
                            <w:r>
                              <w:rPr>
                                <w:color w:val="231F20"/>
                                <w:spacing w:val="21"/>
                                <w:w w:val="110"/>
                                <w:sz w:val="15"/>
                              </w:rPr>
                              <w:t> </w:t>
                            </w:r>
                            <w:r>
                              <w:rPr>
                                <w:color w:val="231F20"/>
                                <w:w w:val="110"/>
                                <w:sz w:val="15"/>
                              </w:rPr>
                              <w:t>SECONDARY</w:t>
                            </w:r>
                            <w:r>
                              <w:rPr>
                                <w:color w:val="231F20"/>
                                <w:spacing w:val="21"/>
                                <w:w w:val="110"/>
                                <w:sz w:val="15"/>
                              </w:rPr>
                              <w:t> </w:t>
                            </w:r>
                            <w:r>
                              <w:rPr>
                                <w:color w:val="231F20"/>
                                <w:w w:val="110"/>
                                <w:sz w:val="15"/>
                              </w:rPr>
                              <w:t>GENERALIZED</w:t>
                            </w:r>
                            <w:r>
                              <w:rPr>
                                <w:color w:val="231F20"/>
                                <w:spacing w:val="22"/>
                                <w:w w:val="110"/>
                                <w:sz w:val="15"/>
                              </w:rPr>
                              <w:t> </w:t>
                            </w:r>
                            <w:r>
                              <w:rPr>
                                <w:color w:val="231F20"/>
                                <w:spacing w:val="-2"/>
                                <w:w w:val="110"/>
                                <w:sz w:val="15"/>
                              </w:rPr>
                              <w:t>EPILEPSIES</w:t>
                            </w:r>
                          </w:p>
                          <w:p>
                            <w:pPr>
                              <w:pStyle w:val="TableParagraph"/>
                              <w:spacing w:line="230" w:lineRule="auto" w:before="3"/>
                              <w:ind w:left="74"/>
                              <w:rPr>
                                <w:sz w:val="15"/>
                              </w:rPr>
                            </w:pPr>
                            <w:r>
                              <w:rPr>
                                <w:color w:val="231F20"/>
                                <w:sz w:val="15"/>
                              </w:rPr>
                              <w:t>Generalized</w:t>
                            </w:r>
                            <w:r>
                              <w:rPr>
                                <w:color w:val="231F20"/>
                                <w:spacing w:val="-5"/>
                                <w:sz w:val="15"/>
                              </w:rPr>
                              <w:t> </w:t>
                            </w:r>
                            <w:r>
                              <w:rPr>
                                <w:color w:val="231F20"/>
                                <w:sz w:val="15"/>
                              </w:rPr>
                              <w:t>epilepsy</w:t>
                            </w:r>
                            <w:r>
                              <w:rPr>
                                <w:color w:val="231F20"/>
                                <w:spacing w:val="-5"/>
                                <w:sz w:val="15"/>
                              </w:rPr>
                              <w:t> </w:t>
                            </w:r>
                            <w:r>
                              <w:rPr>
                                <w:color w:val="231F20"/>
                                <w:sz w:val="15"/>
                              </w:rPr>
                              <w:t>secondary</w:t>
                            </w:r>
                            <w:r>
                              <w:rPr>
                                <w:color w:val="231F20"/>
                                <w:spacing w:val="-5"/>
                                <w:sz w:val="15"/>
                              </w:rPr>
                              <w:t> </w:t>
                            </w:r>
                            <w:r>
                              <w:rPr>
                                <w:color w:val="231F20"/>
                                <w:sz w:val="15"/>
                              </w:rPr>
                              <w:t>to</w:t>
                            </w:r>
                            <w:r>
                              <w:rPr>
                                <w:color w:val="231F20"/>
                                <w:spacing w:val="-5"/>
                                <w:sz w:val="15"/>
                              </w:rPr>
                              <w:t> </w:t>
                            </w:r>
                            <w:r>
                              <w:rPr>
                                <w:color w:val="231F20"/>
                                <w:sz w:val="15"/>
                              </w:rPr>
                              <w:t>neurodegenerative</w:t>
                            </w:r>
                            <w:r>
                              <w:rPr>
                                <w:color w:val="231F20"/>
                                <w:spacing w:val="-5"/>
                                <w:sz w:val="15"/>
                              </w:rPr>
                              <w:t> </w:t>
                            </w:r>
                            <w:r>
                              <w:rPr>
                                <w:color w:val="231F20"/>
                                <w:sz w:val="15"/>
                              </w:rPr>
                              <w:t>disease Progressive myoclonus epilepsies</w:t>
                            </w:r>
                          </w:p>
                        </w:tc>
                      </w:tr>
                    </w:tbl>
                    <w:p>
                      <w:pPr>
                        <w:pStyle w:val="BodyText"/>
                      </w:pPr>
                    </w:p>
                  </w:txbxContent>
                </v:textbox>
                <w10:wrap type="none"/>
              </v:shape>
            </w:pict>
          </mc:Fallback>
        </mc:AlternateContent>
      </w:r>
      <w:r>
        <w:rPr>
          <w:color w:val="231F20"/>
        </w:rPr>
        <w:t>Having</w:t>
      </w:r>
      <w:r>
        <w:rPr>
          <w:color w:val="231F20"/>
          <w:spacing w:val="-7"/>
        </w:rPr>
        <w:t> </w:t>
      </w:r>
      <w:r>
        <w:rPr>
          <w:color w:val="231F20"/>
        </w:rPr>
        <w:t>no</w:t>
      </w:r>
      <w:r>
        <w:rPr>
          <w:color w:val="231F20"/>
          <w:spacing w:val="-7"/>
        </w:rPr>
        <w:t> </w:t>
      </w:r>
      <w:r>
        <w:rPr>
          <w:color w:val="231F20"/>
        </w:rPr>
        <w:t>risk</w:t>
      </w:r>
      <w:r>
        <w:rPr>
          <w:color w:val="231F20"/>
          <w:spacing w:val="-7"/>
        </w:rPr>
        <w:t> </w:t>
      </w:r>
      <w:r>
        <w:rPr>
          <w:color w:val="231F20"/>
        </w:rPr>
        <w:t>factors</w:t>
      </w:r>
      <w:r>
        <w:rPr>
          <w:color w:val="231F20"/>
          <w:spacing w:val="-7"/>
        </w:rPr>
        <w:t> </w:t>
      </w:r>
      <w:r>
        <w:rPr>
          <w:color w:val="231F20"/>
        </w:rPr>
        <w:t>carries</w:t>
      </w:r>
      <w:r>
        <w:rPr>
          <w:color w:val="231F20"/>
          <w:spacing w:val="-7"/>
        </w:rPr>
        <w:t> </w:t>
      </w:r>
      <w:r>
        <w:rPr>
          <w:color w:val="231F20"/>
        </w:rPr>
        <w:t>a</w:t>
      </w:r>
      <w:r>
        <w:rPr>
          <w:color w:val="231F20"/>
          <w:spacing w:val="-7"/>
        </w:rPr>
        <w:t> </w:t>
      </w:r>
      <w:r>
        <w:rPr>
          <w:color w:val="231F20"/>
        </w:rPr>
        <w:t>recurrence</w:t>
      </w:r>
      <w:r>
        <w:rPr>
          <w:color w:val="231F20"/>
          <w:spacing w:val="-7"/>
        </w:rPr>
        <w:t> </w:t>
      </w:r>
      <w:r>
        <w:rPr>
          <w:color w:val="231F20"/>
        </w:rPr>
        <w:t>risk</w:t>
      </w:r>
      <w:r>
        <w:rPr>
          <w:color w:val="231F20"/>
          <w:spacing w:val="-7"/>
        </w:rPr>
        <w:t> </w:t>
      </w:r>
      <w:r>
        <w:rPr>
          <w:color w:val="231F20"/>
        </w:rPr>
        <w:t>of</w:t>
      </w:r>
      <w:r>
        <w:rPr>
          <w:color w:val="231F20"/>
          <w:spacing w:val="-7"/>
        </w:rPr>
        <w:t> </w:t>
      </w:r>
      <w:r>
        <w:rPr>
          <w:color w:val="231F20"/>
        </w:rPr>
        <w:t>approximately</w:t>
      </w:r>
      <w:r>
        <w:rPr>
          <w:color w:val="231F20"/>
          <w:spacing w:val="-7"/>
        </w:rPr>
        <w:t> </w:t>
      </w:r>
      <w:r>
        <w:rPr>
          <w:color w:val="231F20"/>
        </w:rPr>
        <w:t>12%;</w:t>
      </w:r>
      <w:r>
        <w:rPr>
          <w:color w:val="231F20"/>
          <w:spacing w:val="-7"/>
        </w:rPr>
        <w:t> </w:t>
      </w:r>
      <w:r>
        <w:rPr>
          <w:color w:val="231F20"/>
        </w:rPr>
        <w:t>1</w:t>
      </w:r>
      <w:r>
        <w:rPr>
          <w:color w:val="231F20"/>
          <w:spacing w:val="-7"/>
        </w:rPr>
        <w:t> </w:t>
      </w:r>
      <w:r>
        <w:rPr>
          <w:color w:val="231F20"/>
        </w:rPr>
        <w:t>risk</w:t>
      </w:r>
      <w:r>
        <w:rPr>
          <w:color w:val="231F20"/>
          <w:spacing w:val="40"/>
        </w:rPr>
        <w:t> </w:t>
      </w:r>
      <w:r>
        <w:rPr>
          <w:color w:val="231F20"/>
        </w:rPr>
        <w:t>factor, 25-50%; 2 risk factors, 50-59%; 3 or more risk factors, 73-100%.</w:t>
      </w:r>
    </w:p>
    <w:p>
      <w:pPr>
        <w:pStyle w:val="BodyText"/>
        <w:spacing w:before="8"/>
        <w:rPr>
          <w:sz w:val="19"/>
        </w:rPr>
      </w:pPr>
      <w:r>
        <w:rPr>
          <w:sz w:val="19"/>
        </w:rPr>
        <mc:AlternateContent>
          <mc:Choice Requires="wps">
            <w:drawing>
              <wp:anchor distT="0" distB="0" distL="0" distR="0" allowOverlap="1" layoutInCell="1" locked="0" behindDoc="1" simplePos="0" relativeHeight="487611392">
                <wp:simplePos x="0" y="0"/>
                <wp:positionH relativeFrom="page">
                  <wp:posOffset>789377</wp:posOffset>
                </wp:positionH>
                <wp:positionV relativeFrom="paragraph">
                  <wp:posOffset>920658</wp:posOffset>
                </wp:positionV>
                <wp:extent cx="2986405" cy="2447925"/>
                <wp:effectExtent l="0" t="0" r="0" b="0"/>
                <wp:wrapTopAndBottom/>
                <wp:docPr id="584" name="Group 584"/>
                <wp:cNvGraphicFramePr>
                  <a:graphicFrameLocks/>
                </wp:cNvGraphicFramePr>
                <a:graphic>
                  <a:graphicData uri="http://schemas.microsoft.com/office/word/2010/wordprocessingGroup">
                    <wpg:wgp>
                      <wpg:cNvPr id="584" name="Group 584"/>
                      <wpg:cNvGrpSpPr/>
                      <wpg:grpSpPr>
                        <a:xfrm>
                          <a:off x="0" y="0"/>
                          <a:ext cx="2986405" cy="2447925"/>
                          <a:chExt cx="2986405" cy="2447925"/>
                        </a:xfrm>
                      </wpg:grpSpPr>
                      <wps:wsp>
                        <wps:cNvPr id="585" name="Textbox 585"/>
                        <wps:cNvSpPr txBox="1"/>
                        <wps:spPr>
                          <a:xfrm>
                            <a:off x="11" y="355478"/>
                            <a:ext cx="2986405" cy="2086610"/>
                          </a:xfrm>
                          <a:prstGeom prst="rect">
                            <a:avLst/>
                          </a:prstGeom>
                          <a:solidFill>
                            <a:srgbClr val="E8F5F1"/>
                          </a:solidFill>
                        </wps:spPr>
                        <wps:txbx>
                          <w:txbxContent>
                            <w:p>
                              <w:pPr>
                                <w:spacing w:line="230" w:lineRule="auto" w:before="53"/>
                                <w:ind w:left="186" w:right="258" w:hanging="112"/>
                                <w:jc w:val="left"/>
                                <w:rPr>
                                  <w:color w:val="000000"/>
                                  <w:sz w:val="15"/>
                                </w:rPr>
                              </w:pPr>
                              <w:r>
                                <w:rPr>
                                  <w:color w:val="231F20"/>
                                  <w:sz w:val="15"/>
                                </w:rPr>
                                <w:t>Epileptic seizures and epilepsy syndromes are to be described and categorized according to a system that uses standardized </w:t>
                              </w:r>
                              <w:r>
                                <w:rPr>
                                  <w:color w:val="231F20"/>
                                  <w:spacing w:val="-2"/>
                                  <w:sz w:val="15"/>
                                </w:rPr>
                                <w:t>terminology</w:t>
                              </w:r>
                              <w:r>
                                <w:rPr>
                                  <w:color w:val="231F20"/>
                                  <w:spacing w:val="-6"/>
                                  <w:sz w:val="15"/>
                                </w:rPr>
                                <w:t> </w:t>
                              </w:r>
                              <w:r>
                                <w:rPr>
                                  <w:color w:val="231F20"/>
                                  <w:spacing w:val="-2"/>
                                  <w:sz w:val="15"/>
                                </w:rPr>
                                <w:t>and</w:t>
                              </w:r>
                              <w:r>
                                <w:rPr>
                                  <w:color w:val="231F20"/>
                                  <w:spacing w:val="-6"/>
                                  <w:sz w:val="15"/>
                                </w:rPr>
                                <w:t> </w:t>
                              </w:r>
                              <w:r>
                                <w:rPr>
                                  <w:color w:val="231F20"/>
                                  <w:spacing w:val="-2"/>
                                  <w:sz w:val="15"/>
                                </w:rPr>
                                <w:t>that</w:t>
                              </w:r>
                              <w:r>
                                <w:rPr>
                                  <w:color w:val="231F20"/>
                                  <w:spacing w:val="-6"/>
                                  <w:sz w:val="15"/>
                                </w:rPr>
                                <w:t> </w:t>
                              </w:r>
                              <w:r>
                                <w:rPr>
                                  <w:color w:val="231F20"/>
                                  <w:spacing w:val="-2"/>
                                  <w:sz w:val="15"/>
                                </w:rPr>
                                <w:t>is</w:t>
                              </w:r>
                              <w:r>
                                <w:rPr>
                                  <w:color w:val="231F20"/>
                                  <w:spacing w:val="-6"/>
                                  <w:sz w:val="15"/>
                                </w:rPr>
                                <w:t> </w:t>
                              </w:r>
                              <w:r>
                                <w:rPr>
                                  <w:color w:val="231F20"/>
                                  <w:spacing w:val="-2"/>
                                  <w:sz w:val="15"/>
                                </w:rPr>
                                <w:t>sufficiently</w:t>
                              </w:r>
                              <w:r>
                                <w:rPr>
                                  <w:color w:val="231F20"/>
                                  <w:spacing w:val="-6"/>
                                  <w:sz w:val="15"/>
                                </w:rPr>
                                <w:t> </w:t>
                              </w:r>
                              <w:r>
                                <w:rPr>
                                  <w:color w:val="231F20"/>
                                  <w:spacing w:val="-2"/>
                                  <w:sz w:val="15"/>
                                </w:rPr>
                                <w:t>flexible</w:t>
                              </w:r>
                              <w:r>
                                <w:rPr>
                                  <w:color w:val="231F20"/>
                                  <w:spacing w:val="-6"/>
                                  <w:sz w:val="15"/>
                                </w:rPr>
                                <w:t> </w:t>
                              </w:r>
                              <w:r>
                                <w:rPr>
                                  <w:color w:val="231F20"/>
                                  <w:spacing w:val="-2"/>
                                  <w:sz w:val="15"/>
                                </w:rPr>
                                <w:t>to</w:t>
                              </w:r>
                              <w:r>
                                <w:rPr>
                                  <w:color w:val="231F20"/>
                                  <w:spacing w:val="-6"/>
                                  <w:sz w:val="15"/>
                                </w:rPr>
                                <w:t> </w:t>
                              </w:r>
                              <w:r>
                                <w:rPr>
                                  <w:color w:val="231F20"/>
                                  <w:spacing w:val="-2"/>
                                  <w:sz w:val="15"/>
                                </w:rPr>
                                <w:t>take</w:t>
                              </w:r>
                              <w:r>
                                <w:rPr>
                                  <w:color w:val="231F20"/>
                                  <w:spacing w:val="-6"/>
                                  <w:sz w:val="15"/>
                                </w:rPr>
                                <w:t> </w:t>
                              </w:r>
                              <w:r>
                                <w:rPr>
                                  <w:color w:val="231F20"/>
                                  <w:spacing w:val="-2"/>
                                  <w:sz w:val="15"/>
                                </w:rPr>
                                <w:t>into</w:t>
                              </w:r>
                              <w:r>
                                <w:rPr>
                                  <w:color w:val="231F20"/>
                                  <w:spacing w:val="-6"/>
                                  <w:sz w:val="15"/>
                                </w:rPr>
                                <w:t> </w:t>
                              </w:r>
                              <w:r>
                                <w:rPr>
                                  <w:color w:val="231F20"/>
                                  <w:spacing w:val="-2"/>
                                  <w:sz w:val="15"/>
                                </w:rPr>
                                <w:t>account </w:t>
                              </w:r>
                              <w:r>
                                <w:rPr>
                                  <w:color w:val="231F20"/>
                                  <w:sz w:val="15"/>
                                </w:rPr>
                                <w:t>the practical and dynamic aspects of epilepsy diagnosis:</w:t>
                              </w:r>
                            </w:p>
                            <w:p>
                              <w:pPr>
                                <w:numPr>
                                  <w:ilvl w:val="0"/>
                                  <w:numId w:val="57"/>
                                </w:numPr>
                                <w:tabs>
                                  <w:tab w:pos="223" w:val="left" w:leader="none"/>
                                </w:tabs>
                                <w:spacing w:line="230" w:lineRule="auto" w:before="3"/>
                                <w:ind w:left="223" w:right="255" w:hanging="150"/>
                                <w:jc w:val="left"/>
                                <w:rPr>
                                  <w:color w:val="000000"/>
                                  <w:sz w:val="15"/>
                                </w:rPr>
                              </w:pPr>
                              <w:r>
                                <w:rPr>
                                  <w:color w:val="231F20"/>
                                  <w:sz w:val="15"/>
                                </w:rPr>
                                <w:t>Axis</w:t>
                              </w:r>
                              <w:r>
                                <w:rPr>
                                  <w:color w:val="231F20"/>
                                  <w:spacing w:val="-9"/>
                                  <w:sz w:val="15"/>
                                </w:rPr>
                                <w:t> </w:t>
                              </w:r>
                              <w:r>
                                <w:rPr>
                                  <w:color w:val="231F20"/>
                                  <w:sz w:val="15"/>
                                </w:rPr>
                                <w:t>1:</w:t>
                              </w:r>
                              <w:r>
                                <w:rPr>
                                  <w:color w:val="231F20"/>
                                  <w:spacing w:val="-9"/>
                                  <w:sz w:val="15"/>
                                </w:rPr>
                                <w:t> </w:t>
                              </w:r>
                              <w:r>
                                <w:rPr>
                                  <w:color w:val="231F20"/>
                                  <w:sz w:val="15"/>
                                </w:rPr>
                                <w:t>Ictal</w:t>
                              </w:r>
                              <w:r>
                                <w:rPr>
                                  <w:color w:val="231F20"/>
                                  <w:spacing w:val="-9"/>
                                  <w:sz w:val="15"/>
                                </w:rPr>
                                <w:t> </w:t>
                              </w:r>
                              <w:r>
                                <w:rPr>
                                  <w:color w:val="231F20"/>
                                  <w:sz w:val="15"/>
                                </w:rPr>
                                <w:t>phenomenology,</w:t>
                              </w:r>
                              <w:r>
                                <w:rPr>
                                  <w:color w:val="231F20"/>
                                  <w:spacing w:val="-9"/>
                                  <w:sz w:val="15"/>
                                </w:rPr>
                                <w:t> </w:t>
                              </w:r>
                              <w:r>
                                <w:rPr>
                                  <w:color w:val="231F20"/>
                                  <w:sz w:val="15"/>
                                </w:rPr>
                                <w:t>used</w:t>
                              </w:r>
                              <w:r>
                                <w:rPr>
                                  <w:color w:val="231F20"/>
                                  <w:spacing w:val="-9"/>
                                  <w:sz w:val="15"/>
                                </w:rPr>
                                <w:t> </w:t>
                              </w:r>
                              <w:r>
                                <w:rPr>
                                  <w:color w:val="231F20"/>
                                  <w:sz w:val="15"/>
                                </w:rPr>
                                <w:t>to</w:t>
                              </w:r>
                              <w:r>
                                <w:rPr>
                                  <w:color w:val="231F20"/>
                                  <w:spacing w:val="-9"/>
                                  <w:sz w:val="15"/>
                                </w:rPr>
                                <w:t> </w:t>
                              </w:r>
                              <w:r>
                                <w:rPr>
                                  <w:color w:val="231F20"/>
                                  <w:sz w:val="15"/>
                                </w:rPr>
                                <w:t>describe</w:t>
                              </w:r>
                              <w:r>
                                <w:rPr>
                                  <w:color w:val="231F20"/>
                                  <w:spacing w:val="-9"/>
                                  <w:sz w:val="15"/>
                                </w:rPr>
                                <w:t> </w:t>
                              </w:r>
                              <w:r>
                                <w:rPr>
                                  <w:color w:val="231F20"/>
                                  <w:sz w:val="15"/>
                                </w:rPr>
                                <w:t>ictal</w:t>
                              </w:r>
                              <w:r>
                                <w:rPr>
                                  <w:color w:val="231F20"/>
                                  <w:spacing w:val="-9"/>
                                  <w:sz w:val="15"/>
                                </w:rPr>
                                <w:t> </w:t>
                              </w:r>
                              <w:r>
                                <w:rPr>
                                  <w:color w:val="231F20"/>
                                  <w:sz w:val="15"/>
                                </w:rPr>
                                <w:t>events</w:t>
                              </w:r>
                              <w:r>
                                <w:rPr>
                                  <w:color w:val="231F20"/>
                                  <w:spacing w:val="-9"/>
                                  <w:sz w:val="15"/>
                                </w:rPr>
                                <w:t> </w:t>
                              </w:r>
                              <w:r>
                                <w:rPr>
                                  <w:color w:val="231F20"/>
                                  <w:sz w:val="15"/>
                                </w:rPr>
                                <w:t>with any degree of detail needed.</w:t>
                              </w:r>
                            </w:p>
                            <w:p>
                              <w:pPr>
                                <w:numPr>
                                  <w:ilvl w:val="0"/>
                                  <w:numId w:val="57"/>
                                </w:numPr>
                                <w:tabs>
                                  <w:tab w:pos="223" w:val="left" w:leader="none"/>
                                </w:tabs>
                                <w:spacing w:line="230" w:lineRule="auto" w:before="1"/>
                                <w:ind w:left="223" w:right="223" w:hanging="150"/>
                                <w:jc w:val="left"/>
                                <w:rPr>
                                  <w:color w:val="000000"/>
                                  <w:sz w:val="15"/>
                                </w:rPr>
                              </w:pPr>
                              <w:r>
                                <w:rPr>
                                  <w:color w:val="231F20"/>
                                  <w:sz w:val="15"/>
                                </w:rPr>
                                <w:t>Axis</w:t>
                              </w:r>
                              <w:r>
                                <w:rPr>
                                  <w:color w:val="231F20"/>
                                  <w:spacing w:val="-12"/>
                                  <w:sz w:val="15"/>
                                </w:rPr>
                                <w:t> </w:t>
                              </w:r>
                              <w:r>
                                <w:rPr>
                                  <w:color w:val="231F20"/>
                                  <w:sz w:val="15"/>
                                </w:rPr>
                                <w:t>2:</w:t>
                              </w:r>
                              <w:r>
                                <w:rPr>
                                  <w:color w:val="231F20"/>
                                  <w:spacing w:val="-11"/>
                                  <w:sz w:val="15"/>
                                </w:rPr>
                                <w:t> </w:t>
                              </w:r>
                              <w:r>
                                <w:rPr>
                                  <w:color w:val="231F20"/>
                                  <w:sz w:val="15"/>
                                </w:rPr>
                                <w:t>Seizure</w:t>
                              </w:r>
                              <w:r>
                                <w:rPr>
                                  <w:color w:val="231F20"/>
                                  <w:spacing w:val="-11"/>
                                  <w:sz w:val="15"/>
                                </w:rPr>
                                <w:t> </w:t>
                              </w:r>
                              <w:r>
                                <w:rPr>
                                  <w:color w:val="231F20"/>
                                  <w:sz w:val="15"/>
                                </w:rPr>
                                <w:t>type,</w:t>
                              </w:r>
                              <w:r>
                                <w:rPr>
                                  <w:color w:val="231F20"/>
                                  <w:spacing w:val="-12"/>
                                  <w:sz w:val="15"/>
                                </w:rPr>
                                <w:t> </w:t>
                              </w:r>
                              <w:r>
                                <w:rPr>
                                  <w:color w:val="231F20"/>
                                  <w:sz w:val="15"/>
                                </w:rPr>
                                <w:t>from</w:t>
                              </w:r>
                              <w:r>
                                <w:rPr>
                                  <w:color w:val="231F20"/>
                                  <w:spacing w:val="-11"/>
                                  <w:sz w:val="15"/>
                                </w:rPr>
                                <w:t> </w:t>
                              </w:r>
                              <w:r>
                                <w:rPr>
                                  <w:color w:val="231F20"/>
                                  <w:sz w:val="15"/>
                                </w:rPr>
                                <w:t>the</w:t>
                              </w:r>
                              <w:r>
                                <w:rPr>
                                  <w:color w:val="231F20"/>
                                  <w:spacing w:val="-11"/>
                                  <w:sz w:val="15"/>
                                </w:rPr>
                                <w:t> </w:t>
                              </w:r>
                              <w:r>
                                <w:rPr>
                                  <w:color w:val="231F20"/>
                                  <w:sz w:val="15"/>
                                </w:rPr>
                                <w:t>List</w:t>
                              </w:r>
                              <w:r>
                                <w:rPr>
                                  <w:color w:val="231F20"/>
                                  <w:spacing w:val="-12"/>
                                  <w:sz w:val="15"/>
                                </w:rPr>
                                <w:t> </w:t>
                              </w:r>
                              <w:r>
                                <w:rPr>
                                  <w:color w:val="231F20"/>
                                  <w:sz w:val="15"/>
                                </w:rPr>
                                <w:t>of</w:t>
                              </w:r>
                              <w:r>
                                <w:rPr>
                                  <w:color w:val="231F20"/>
                                  <w:spacing w:val="-11"/>
                                  <w:sz w:val="15"/>
                                </w:rPr>
                                <w:t> </w:t>
                              </w:r>
                              <w:r>
                                <w:rPr>
                                  <w:color w:val="231F20"/>
                                  <w:sz w:val="15"/>
                                </w:rPr>
                                <w:t>types</w:t>
                              </w:r>
                              <w:r>
                                <w:rPr>
                                  <w:color w:val="231F20"/>
                                  <w:spacing w:val="-11"/>
                                  <w:sz w:val="15"/>
                                </w:rPr>
                                <w:t> </w:t>
                              </w:r>
                              <w:r>
                                <w:rPr>
                                  <w:color w:val="231F20"/>
                                  <w:sz w:val="15"/>
                                </w:rPr>
                                <w:t>of</w:t>
                              </w:r>
                              <w:r>
                                <w:rPr>
                                  <w:color w:val="231F20"/>
                                  <w:spacing w:val="-11"/>
                                  <w:sz w:val="15"/>
                                </w:rPr>
                                <w:t> </w:t>
                              </w:r>
                              <w:r>
                                <w:rPr>
                                  <w:color w:val="231F20"/>
                                  <w:sz w:val="15"/>
                                </w:rPr>
                                <w:t>Epileptic</w:t>
                              </w:r>
                              <w:r>
                                <w:rPr>
                                  <w:color w:val="231F20"/>
                                  <w:spacing w:val="-12"/>
                                  <w:sz w:val="15"/>
                                </w:rPr>
                                <w:t> </w:t>
                              </w:r>
                              <w:r>
                                <w:rPr>
                                  <w:color w:val="231F20"/>
                                  <w:sz w:val="15"/>
                                </w:rPr>
                                <w:t>Seizures. Localization</w:t>
                              </w:r>
                              <w:r>
                                <w:rPr>
                                  <w:color w:val="231F20"/>
                                  <w:spacing w:val="-12"/>
                                  <w:sz w:val="15"/>
                                </w:rPr>
                                <w:t> </w:t>
                              </w:r>
                              <w:r>
                                <w:rPr>
                                  <w:color w:val="231F20"/>
                                  <w:sz w:val="15"/>
                                </w:rPr>
                                <w:t>within</w:t>
                              </w:r>
                              <w:r>
                                <w:rPr>
                                  <w:color w:val="231F20"/>
                                  <w:spacing w:val="-11"/>
                                  <w:sz w:val="15"/>
                                </w:rPr>
                                <w:t> </w:t>
                              </w:r>
                              <w:r>
                                <w:rPr>
                                  <w:color w:val="231F20"/>
                                  <w:sz w:val="15"/>
                                </w:rPr>
                                <w:t>the</w:t>
                              </w:r>
                              <w:r>
                                <w:rPr>
                                  <w:color w:val="231F20"/>
                                  <w:spacing w:val="-11"/>
                                  <w:sz w:val="15"/>
                                </w:rPr>
                                <w:t> </w:t>
                              </w:r>
                              <w:r>
                                <w:rPr>
                                  <w:color w:val="231F20"/>
                                  <w:sz w:val="15"/>
                                </w:rPr>
                                <w:t>brain</w:t>
                              </w:r>
                              <w:r>
                                <w:rPr>
                                  <w:color w:val="231F20"/>
                                  <w:spacing w:val="-12"/>
                                  <w:sz w:val="15"/>
                                </w:rPr>
                                <w:t> </w:t>
                              </w:r>
                              <w:r>
                                <w:rPr>
                                  <w:color w:val="231F20"/>
                                  <w:sz w:val="15"/>
                                </w:rPr>
                                <w:t>and</w:t>
                              </w:r>
                              <w:r>
                                <w:rPr>
                                  <w:color w:val="231F20"/>
                                  <w:spacing w:val="-11"/>
                                  <w:sz w:val="15"/>
                                </w:rPr>
                                <w:t> </w:t>
                              </w:r>
                              <w:r>
                                <w:rPr>
                                  <w:color w:val="231F20"/>
                                  <w:sz w:val="15"/>
                                </w:rPr>
                                <w:t>precipitating</w:t>
                              </w:r>
                              <w:r>
                                <w:rPr>
                                  <w:color w:val="231F20"/>
                                  <w:spacing w:val="-11"/>
                                  <w:sz w:val="15"/>
                                </w:rPr>
                                <w:t> </w:t>
                              </w:r>
                              <w:r>
                                <w:rPr>
                                  <w:color w:val="231F20"/>
                                  <w:sz w:val="15"/>
                                </w:rPr>
                                <w:t>stimuli</w:t>
                              </w:r>
                              <w:r>
                                <w:rPr>
                                  <w:color w:val="231F20"/>
                                  <w:spacing w:val="-12"/>
                                  <w:sz w:val="15"/>
                                </w:rPr>
                                <w:t> </w:t>
                              </w:r>
                              <w:r>
                                <w:rPr>
                                  <w:color w:val="231F20"/>
                                  <w:sz w:val="15"/>
                                </w:rPr>
                                <w:t>for</w:t>
                              </w:r>
                              <w:r>
                                <w:rPr>
                                  <w:color w:val="231F20"/>
                                  <w:spacing w:val="-11"/>
                                  <w:sz w:val="15"/>
                                </w:rPr>
                                <w:t> </w:t>
                              </w:r>
                              <w:r>
                                <w:rPr>
                                  <w:color w:val="231F20"/>
                                  <w:sz w:val="15"/>
                                </w:rPr>
                                <w:t>reflex seizures should be specified when appropriate.</w:t>
                              </w:r>
                            </w:p>
                            <w:p>
                              <w:pPr>
                                <w:numPr>
                                  <w:ilvl w:val="0"/>
                                  <w:numId w:val="57"/>
                                </w:numPr>
                                <w:tabs>
                                  <w:tab w:pos="223" w:val="left" w:leader="none"/>
                                </w:tabs>
                                <w:spacing w:line="230" w:lineRule="auto" w:before="2"/>
                                <w:ind w:left="223" w:right="199" w:hanging="150"/>
                                <w:jc w:val="left"/>
                                <w:rPr>
                                  <w:color w:val="000000"/>
                                  <w:sz w:val="15"/>
                                </w:rPr>
                              </w:pPr>
                              <w:r>
                                <w:rPr>
                                  <w:color w:val="231F20"/>
                                  <w:sz w:val="15"/>
                                </w:rPr>
                                <w:t>Axis</w:t>
                              </w:r>
                              <w:r>
                                <w:rPr>
                                  <w:color w:val="231F20"/>
                                  <w:spacing w:val="-9"/>
                                  <w:sz w:val="15"/>
                                </w:rPr>
                                <w:t> </w:t>
                              </w:r>
                              <w:r>
                                <w:rPr>
                                  <w:color w:val="231F20"/>
                                  <w:sz w:val="15"/>
                                </w:rPr>
                                <w:t>3:</w:t>
                              </w:r>
                              <w:r>
                                <w:rPr>
                                  <w:color w:val="231F20"/>
                                  <w:spacing w:val="-9"/>
                                  <w:sz w:val="15"/>
                                </w:rPr>
                                <w:t> </w:t>
                              </w:r>
                              <w:r>
                                <w:rPr>
                                  <w:color w:val="231F20"/>
                                  <w:sz w:val="15"/>
                                </w:rPr>
                                <w:t>Syndrome,</w:t>
                              </w:r>
                              <w:r>
                                <w:rPr>
                                  <w:color w:val="231F20"/>
                                  <w:spacing w:val="-9"/>
                                  <w:sz w:val="15"/>
                                </w:rPr>
                                <w:t> </w:t>
                              </w:r>
                              <w:r>
                                <w:rPr>
                                  <w:color w:val="231F20"/>
                                  <w:sz w:val="15"/>
                                </w:rPr>
                                <w:t>from</w:t>
                              </w:r>
                              <w:r>
                                <w:rPr>
                                  <w:color w:val="231F20"/>
                                  <w:spacing w:val="-9"/>
                                  <w:sz w:val="15"/>
                                </w:rPr>
                                <w:t> </w:t>
                              </w:r>
                              <w:r>
                                <w:rPr>
                                  <w:color w:val="231F20"/>
                                  <w:sz w:val="15"/>
                                </w:rPr>
                                <w:t>the</w:t>
                              </w:r>
                              <w:r>
                                <w:rPr>
                                  <w:color w:val="231F20"/>
                                  <w:spacing w:val="-9"/>
                                  <w:sz w:val="15"/>
                                </w:rPr>
                                <w:t> </w:t>
                              </w:r>
                              <w:r>
                                <w:rPr>
                                  <w:color w:val="231F20"/>
                                  <w:sz w:val="15"/>
                                </w:rPr>
                                <w:t>List</w:t>
                              </w:r>
                              <w:r>
                                <w:rPr>
                                  <w:color w:val="231F20"/>
                                  <w:spacing w:val="-9"/>
                                  <w:sz w:val="15"/>
                                </w:rPr>
                                <w:t> </w:t>
                              </w:r>
                              <w:r>
                                <w:rPr>
                                  <w:color w:val="231F20"/>
                                  <w:sz w:val="15"/>
                                </w:rPr>
                                <w:t>of</w:t>
                              </w:r>
                              <w:r>
                                <w:rPr>
                                  <w:color w:val="231F20"/>
                                  <w:spacing w:val="-9"/>
                                  <w:sz w:val="15"/>
                                </w:rPr>
                                <w:t> </w:t>
                              </w:r>
                              <w:r>
                                <w:rPr>
                                  <w:color w:val="231F20"/>
                                  <w:sz w:val="15"/>
                                </w:rPr>
                                <w:t>Epilepsy</w:t>
                              </w:r>
                              <w:r>
                                <w:rPr>
                                  <w:color w:val="231F20"/>
                                  <w:spacing w:val="-9"/>
                                  <w:sz w:val="15"/>
                                </w:rPr>
                                <w:t> </w:t>
                              </w:r>
                              <w:r>
                                <w:rPr>
                                  <w:color w:val="231F20"/>
                                  <w:sz w:val="15"/>
                                </w:rPr>
                                <w:t>Syndromes,</w:t>
                              </w:r>
                              <w:r>
                                <w:rPr>
                                  <w:color w:val="231F20"/>
                                  <w:spacing w:val="-9"/>
                                  <w:sz w:val="15"/>
                                </w:rPr>
                                <w:t> </w:t>
                              </w:r>
                              <w:r>
                                <w:rPr>
                                  <w:color w:val="231F20"/>
                                  <w:sz w:val="15"/>
                                </w:rPr>
                                <w:t>with</w:t>
                              </w:r>
                              <w:r>
                                <w:rPr>
                                  <w:color w:val="231F20"/>
                                  <w:spacing w:val="-9"/>
                                  <w:sz w:val="15"/>
                                </w:rPr>
                                <w:t> </w:t>
                              </w:r>
                              <w:r>
                                <w:rPr>
                                  <w:color w:val="231F20"/>
                                  <w:sz w:val="15"/>
                                </w:rPr>
                                <w:t>the understanding that a syndromic diagnosis may not always be </w:t>
                              </w:r>
                              <w:r>
                                <w:rPr>
                                  <w:color w:val="231F20"/>
                                  <w:spacing w:val="-2"/>
                                  <w:sz w:val="15"/>
                                </w:rPr>
                                <w:t>possible.</w:t>
                              </w:r>
                            </w:p>
                            <w:p>
                              <w:pPr>
                                <w:numPr>
                                  <w:ilvl w:val="0"/>
                                  <w:numId w:val="57"/>
                                </w:numPr>
                                <w:tabs>
                                  <w:tab w:pos="223" w:val="left" w:leader="none"/>
                                </w:tabs>
                                <w:spacing w:line="230" w:lineRule="auto" w:before="2"/>
                                <w:ind w:left="223" w:right="232" w:hanging="150"/>
                                <w:jc w:val="left"/>
                                <w:rPr>
                                  <w:color w:val="000000"/>
                                  <w:sz w:val="15"/>
                                </w:rPr>
                              </w:pPr>
                              <w:r>
                                <w:rPr>
                                  <w:color w:val="231F20"/>
                                  <w:sz w:val="15"/>
                                </w:rPr>
                                <w:t>Axis 4: Etiology, from a Classification of Diseases Frequently Associated</w:t>
                              </w:r>
                              <w:r>
                                <w:rPr>
                                  <w:color w:val="231F20"/>
                                  <w:spacing w:val="-4"/>
                                  <w:sz w:val="15"/>
                                </w:rPr>
                                <w:t> </w:t>
                              </w:r>
                              <w:r>
                                <w:rPr>
                                  <w:color w:val="231F20"/>
                                  <w:sz w:val="15"/>
                                </w:rPr>
                                <w:t>with</w:t>
                              </w:r>
                              <w:r>
                                <w:rPr>
                                  <w:color w:val="231F20"/>
                                  <w:spacing w:val="-4"/>
                                  <w:sz w:val="15"/>
                                </w:rPr>
                                <w:t> </w:t>
                              </w:r>
                              <w:r>
                                <w:rPr>
                                  <w:color w:val="231F20"/>
                                  <w:sz w:val="15"/>
                                </w:rPr>
                                <w:t>Epileptic</w:t>
                              </w:r>
                              <w:r>
                                <w:rPr>
                                  <w:color w:val="231F20"/>
                                  <w:spacing w:val="-4"/>
                                  <w:sz w:val="15"/>
                                </w:rPr>
                                <w:t> </w:t>
                              </w:r>
                              <w:r>
                                <w:rPr>
                                  <w:color w:val="231F20"/>
                                  <w:sz w:val="15"/>
                                </w:rPr>
                                <w:t>Seizures</w:t>
                              </w:r>
                              <w:r>
                                <w:rPr>
                                  <w:color w:val="231F20"/>
                                  <w:spacing w:val="-4"/>
                                  <w:sz w:val="15"/>
                                </w:rPr>
                                <w:t> </w:t>
                              </w:r>
                              <w:r>
                                <w:rPr>
                                  <w:color w:val="231F20"/>
                                  <w:sz w:val="15"/>
                                </w:rPr>
                                <w:t>or</w:t>
                              </w:r>
                              <w:r>
                                <w:rPr>
                                  <w:color w:val="231F20"/>
                                  <w:spacing w:val="-4"/>
                                  <w:sz w:val="15"/>
                                </w:rPr>
                                <w:t> </w:t>
                              </w:r>
                              <w:r>
                                <w:rPr>
                                  <w:color w:val="231F20"/>
                                  <w:sz w:val="15"/>
                                </w:rPr>
                                <w:t>Epilepsy</w:t>
                              </w:r>
                              <w:r>
                                <w:rPr>
                                  <w:color w:val="231F20"/>
                                  <w:spacing w:val="-4"/>
                                  <w:sz w:val="15"/>
                                </w:rPr>
                                <w:t> </w:t>
                              </w:r>
                              <w:r>
                                <w:rPr>
                                  <w:color w:val="231F20"/>
                                  <w:sz w:val="15"/>
                                </w:rPr>
                                <w:t>Syndromes</w:t>
                              </w:r>
                              <w:r>
                                <w:rPr>
                                  <w:color w:val="231F20"/>
                                  <w:spacing w:val="-4"/>
                                  <w:sz w:val="15"/>
                                </w:rPr>
                                <w:t> </w:t>
                              </w:r>
                              <w:r>
                                <w:rPr>
                                  <w:color w:val="231F20"/>
                                  <w:sz w:val="15"/>
                                </w:rPr>
                                <w:t>when possible, genetic defects, or specific pathologic substrates for symptomatic focal epilepsies.</w:t>
                              </w:r>
                            </w:p>
                            <w:p>
                              <w:pPr>
                                <w:numPr>
                                  <w:ilvl w:val="0"/>
                                  <w:numId w:val="57"/>
                                </w:numPr>
                                <w:tabs>
                                  <w:tab w:pos="223" w:val="left" w:leader="none"/>
                                </w:tabs>
                                <w:spacing w:line="230" w:lineRule="auto" w:before="3"/>
                                <w:ind w:left="223" w:right="73" w:hanging="150"/>
                                <w:jc w:val="left"/>
                                <w:rPr>
                                  <w:color w:val="000000"/>
                                  <w:sz w:val="15"/>
                                </w:rPr>
                              </w:pPr>
                              <w:r>
                                <w:rPr>
                                  <w:color w:val="231F20"/>
                                  <w:sz w:val="15"/>
                                </w:rPr>
                                <w:t>Axis</w:t>
                              </w:r>
                              <w:r>
                                <w:rPr>
                                  <w:color w:val="231F20"/>
                                  <w:spacing w:val="-7"/>
                                  <w:sz w:val="15"/>
                                </w:rPr>
                                <w:t> </w:t>
                              </w:r>
                              <w:r>
                                <w:rPr>
                                  <w:color w:val="231F20"/>
                                  <w:sz w:val="15"/>
                                </w:rPr>
                                <w:t>5:</w:t>
                              </w:r>
                              <w:r>
                                <w:rPr>
                                  <w:color w:val="231F20"/>
                                  <w:spacing w:val="-7"/>
                                  <w:sz w:val="15"/>
                                </w:rPr>
                                <w:t> </w:t>
                              </w:r>
                              <w:r>
                                <w:rPr>
                                  <w:color w:val="231F20"/>
                                  <w:sz w:val="15"/>
                                </w:rPr>
                                <w:t>Impairment;</w:t>
                              </w:r>
                              <w:r>
                                <w:rPr>
                                  <w:color w:val="231F20"/>
                                  <w:spacing w:val="-7"/>
                                  <w:sz w:val="15"/>
                                </w:rPr>
                                <w:t> </w:t>
                              </w:r>
                              <w:r>
                                <w:rPr>
                                  <w:color w:val="231F20"/>
                                  <w:sz w:val="15"/>
                                </w:rPr>
                                <w:t>this</w:t>
                              </w:r>
                              <w:r>
                                <w:rPr>
                                  <w:color w:val="231F20"/>
                                  <w:spacing w:val="-7"/>
                                  <w:sz w:val="15"/>
                                </w:rPr>
                                <w:t> </w:t>
                              </w:r>
                              <w:r>
                                <w:rPr>
                                  <w:color w:val="231F20"/>
                                  <w:sz w:val="15"/>
                                </w:rPr>
                                <w:t>is</w:t>
                              </w:r>
                              <w:r>
                                <w:rPr>
                                  <w:color w:val="231F20"/>
                                  <w:spacing w:val="-7"/>
                                  <w:sz w:val="15"/>
                                </w:rPr>
                                <w:t> </w:t>
                              </w:r>
                              <w:r>
                                <w:rPr>
                                  <w:color w:val="231F20"/>
                                  <w:sz w:val="15"/>
                                </w:rPr>
                                <w:t>often</w:t>
                              </w:r>
                              <w:r>
                                <w:rPr>
                                  <w:color w:val="231F20"/>
                                  <w:spacing w:val="-7"/>
                                  <w:sz w:val="15"/>
                                </w:rPr>
                                <w:t> </w:t>
                              </w:r>
                              <w:r>
                                <w:rPr>
                                  <w:color w:val="231F20"/>
                                  <w:sz w:val="15"/>
                                </w:rPr>
                                <w:t>useful</w:t>
                              </w:r>
                              <w:r>
                                <w:rPr>
                                  <w:color w:val="231F20"/>
                                  <w:spacing w:val="-7"/>
                                  <w:sz w:val="15"/>
                                </w:rPr>
                                <w:t> </w:t>
                              </w:r>
                              <w:r>
                                <w:rPr>
                                  <w:color w:val="231F20"/>
                                  <w:sz w:val="15"/>
                                </w:rPr>
                                <w:t>to</w:t>
                              </w:r>
                              <w:r>
                                <w:rPr>
                                  <w:color w:val="231F20"/>
                                  <w:spacing w:val="-7"/>
                                  <w:sz w:val="15"/>
                                </w:rPr>
                                <w:t> </w:t>
                              </w:r>
                              <w:r>
                                <w:rPr>
                                  <w:color w:val="231F20"/>
                                  <w:sz w:val="15"/>
                                </w:rPr>
                                <w:t>make</w:t>
                              </w:r>
                              <w:r>
                                <w:rPr>
                                  <w:color w:val="231F20"/>
                                  <w:spacing w:val="-7"/>
                                  <w:sz w:val="15"/>
                                </w:rPr>
                                <w:t> </w:t>
                              </w:r>
                              <w:r>
                                <w:rPr>
                                  <w:color w:val="231F20"/>
                                  <w:sz w:val="15"/>
                                </w:rPr>
                                <w:t>sure</w:t>
                              </w:r>
                              <w:r>
                                <w:rPr>
                                  <w:color w:val="231F20"/>
                                  <w:spacing w:val="-7"/>
                                  <w:sz w:val="15"/>
                                </w:rPr>
                                <w:t> </w:t>
                              </w:r>
                              <w:r>
                                <w:rPr>
                                  <w:color w:val="231F20"/>
                                  <w:sz w:val="15"/>
                                </w:rPr>
                                <w:t>one</w:t>
                              </w:r>
                              <w:r>
                                <w:rPr>
                                  <w:color w:val="231F20"/>
                                  <w:spacing w:val="-7"/>
                                  <w:sz w:val="15"/>
                                </w:rPr>
                                <w:t> </w:t>
                              </w:r>
                              <w:r>
                                <w:rPr>
                                  <w:color w:val="231F20"/>
                                  <w:sz w:val="15"/>
                                </w:rPr>
                                <w:t>does</w:t>
                              </w:r>
                              <w:r>
                                <w:rPr>
                                  <w:color w:val="231F20"/>
                                  <w:spacing w:val="-7"/>
                                  <w:sz w:val="15"/>
                                </w:rPr>
                                <w:t> </w:t>
                              </w:r>
                              <w:r>
                                <w:rPr>
                                  <w:color w:val="231F20"/>
                                  <w:sz w:val="15"/>
                                </w:rPr>
                                <w:t>not overlook the consequences of epilepsy, such as medication side effects, and learning and socialization difficulties.</w:t>
                              </w:r>
                            </w:p>
                          </w:txbxContent>
                        </wps:txbx>
                        <wps:bodyPr wrap="square" lIns="0" tIns="0" rIns="0" bIns="0" rtlCol="0">
                          <a:noAutofit/>
                        </wps:bodyPr>
                      </wps:wsp>
                      <wps:wsp>
                        <wps:cNvPr id="586" name="Graphic 586"/>
                        <wps:cNvSpPr/>
                        <wps:spPr>
                          <a:xfrm>
                            <a:off x="0" y="2435957"/>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587" name="Textbox 587"/>
                        <wps:cNvSpPr txBox="1"/>
                        <wps:spPr>
                          <a:xfrm>
                            <a:off x="734656" y="0"/>
                            <a:ext cx="2251710" cy="344170"/>
                          </a:xfrm>
                          <a:prstGeom prst="rect">
                            <a:avLst/>
                          </a:prstGeom>
                          <a:solidFill>
                            <a:srgbClr val="231F20"/>
                          </a:solidFill>
                        </wps:spPr>
                        <wps:txbx>
                          <w:txbxContent>
                            <w:p>
                              <w:pPr>
                                <w:spacing w:before="89"/>
                                <w:ind w:left="74" w:right="289" w:firstLine="0"/>
                                <w:jc w:val="left"/>
                                <w:rPr>
                                  <w:color w:val="000000"/>
                                  <w:sz w:val="16"/>
                                </w:rPr>
                              </w:pPr>
                              <w:r>
                                <w:rPr>
                                  <w:color w:val="FFFFFF"/>
                                  <w:w w:val="105"/>
                                  <w:sz w:val="16"/>
                                </w:rPr>
                                <w:t>Proposed Diagnostic Scheme for People with</w:t>
                              </w:r>
                              <w:r>
                                <w:rPr>
                                  <w:color w:val="FFFFFF"/>
                                  <w:spacing w:val="-2"/>
                                  <w:w w:val="105"/>
                                  <w:sz w:val="16"/>
                                </w:rPr>
                                <w:t> </w:t>
                              </w:r>
                              <w:r>
                                <w:rPr>
                                  <w:color w:val="FFFFFF"/>
                                  <w:w w:val="105"/>
                                  <w:sz w:val="16"/>
                                </w:rPr>
                                <w:t>Epileptic</w:t>
                              </w:r>
                              <w:r>
                                <w:rPr>
                                  <w:color w:val="FFFFFF"/>
                                  <w:spacing w:val="-1"/>
                                  <w:w w:val="105"/>
                                  <w:sz w:val="16"/>
                                </w:rPr>
                                <w:t> </w:t>
                              </w:r>
                              <w:r>
                                <w:rPr>
                                  <w:color w:val="FFFFFF"/>
                                  <w:w w:val="105"/>
                                  <w:sz w:val="16"/>
                                </w:rPr>
                                <w:t>Seizures</w:t>
                              </w:r>
                              <w:r>
                                <w:rPr>
                                  <w:color w:val="FFFFFF"/>
                                  <w:spacing w:val="-2"/>
                                  <w:w w:val="105"/>
                                  <w:sz w:val="16"/>
                                </w:rPr>
                                <w:t> </w:t>
                              </w:r>
                              <w:r>
                                <w:rPr>
                                  <w:color w:val="FFFFFF"/>
                                  <w:w w:val="105"/>
                                  <w:sz w:val="16"/>
                                </w:rPr>
                                <w:t>and</w:t>
                              </w:r>
                              <w:r>
                                <w:rPr>
                                  <w:color w:val="FFFFFF"/>
                                  <w:spacing w:val="-1"/>
                                  <w:w w:val="105"/>
                                  <w:sz w:val="16"/>
                                </w:rPr>
                                <w:t> </w:t>
                              </w:r>
                              <w:r>
                                <w:rPr>
                                  <w:color w:val="FFFFFF"/>
                                  <w:w w:val="105"/>
                                  <w:sz w:val="16"/>
                                </w:rPr>
                                <w:t>with</w:t>
                              </w:r>
                              <w:r>
                                <w:rPr>
                                  <w:color w:val="FFFFFF"/>
                                  <w:spacing w:val="-2"/>
                                  <w:w w:val="105"/>
                                  <w:sz w:val="16"/>
                                </w:rPr>
                                <w:t> </w:t>
                              </w:r>
                              <w:r>
                                <w:rPr>
                                  <w:color w:val="FFFFFF"/>
                                  <w:spacing w:val="-2"/>
                                  <w:w w:val="105"/>
                                  <w:sz w:val="16"/>
                                </w:rPr>
                                <w:t>Epilepsy</w:t>
                              </w:r>
                            </w:p>
                          </w:txbxContent>
                        </wps:txbx>
                        <wps:bodyPr wrap="square" lIns="0" tIns="0" rIns="0" bIns="0" rtlCol="0">
                          <a:noAutofit/>
                        </wps:bodyPr>
                      </wps:wsp>
                      <wps:wsp>
                        <wps:cNvPr id="588" name="Textbox 588"/>
                        <wps:cNvSpPr txBox="1"/>
                        <wps:spPr>
                          <a:xfrm>
                            <a:off x="11" y="0"/>
                            <a:ext cx="723265" cy="34417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9</w:t>
                              </w:r>
                            </w:p>
                          </w:txbxContent>
                        </wps:txbx>
                        <wps:bodyPr wrap="square" lIns="0" tIns="0" rIns="0" bIns="0" rtlCol="0">
                          <a:noAutofit/>
                        </wps:bodyPr>
                      </wps:wsp>
                    </wpg:wgp>
                  </a:graphicData>
                </a:graphic>
              </wp:anchor>
            </w:drawing>
          </mc:Choice>
          <mc:Fallback>
            <w:pict>
              <v:group style="position:absolute;margin-left:62.155731pt;margin-top:72.492767pt;width:235.15pt;height:192.75pt;mso-position-horizontal-relative:page;mso-position-vertical-relative:paragraph;z-index:-15705088;mso-wrap-distance-left:0;mso-wrap-distance-right:0" id="docshapegroup515" coordorigin="1243,1450" coordsize="4703,3855">
                <v:shape style="position:absolute;left:1243;top:2009;width:4703;height:3286" type="#_x0000_t202" id="docshape516" filled="true" fillcolor="#e8f5f1" stroked="false">
                  <v:textbox inset="0,0,0,0">
                    <w:txbxContent>
                      <w:p>
                        <w:pPr>
                          <w:spacing w:line="230" w:lineRule="auto" w:before="53"/>
                          <w:ind w:left="186" w:right="258" w:hanging="112"/>
                          <w:jc w:val="left"/>
                          <w:rPr>
                            <w:color w:val="000000"/>
                            <w:sz w:val="15"/>
                          </w:rPr>
                        </w:pPr>
                        <w:r>
                          <w:rPr>
                            <w:color w:val="231F20"/>
                            <w:sz w:val="15"/>
                          </w:rPr>
                          <w:t>Epileptic seizures and epilepsy syndromes are to be described and categorized according to a system that uses standardized </w:t>
                        </w:r>
                        <w:r>
                          <w:rPr>
                            <w:color w:val="231F20"/>
                            <w:spacing w:val="-2"/>
                            <w:sz w:val="15"/>
                          </w:rPr>
                          <w:t>terminology</w:t>
                        </w:r>
                        <w:r>
                          <w:rPr>
                            <w:color w:val="231F20"/>
                            <w:spacing w:val="-6"/>
                            <w:sz w:val="15"/>
                          </w:rPr>
                          <w:t> </w:t>
                        </w:r>
                        <w:r>
                          <w:rPr>
                            <w:color w:val="231F20"/>
                            <w:spacing w:val="-2"/>
                            <w:sz w:val="15"/>
                          </w:rPr>
                          <w:t>and</w:t>
                        </w:r>
                        <w:r>
                          <w:rPr>
                            <w:color w:val="231F20"/>
                            <w:spacing w:val="-6"/>
                            <w:sz w:val="15"/>
                          </w:rPr>
                          <w:t> </w:t>
                        </w:r>
                        <w:r>
                          <w:rPr>
                            <w:color w:val="231F20"/>
                            <w:spacing w:val="-2"/>
                            <w:sz w:val="15"/>
                          </w:rPr>
                          <w:t>that</w:t>
                        </w:r>
                        <w:r>
                          <w:rPr>
                            <w:color w:val="231F20"/>
                            <w:spacing w:val="-6"/>
                            <w:sz w:val="15"/>
                          </w:rPr>
                          <w:t> </w:t>
                        </w:r>
                        <w:r>
                          <w:rPr>
                            <w:color w:val="231F20"/>
                            <w:spacing w:val="-2"/>
                            <w:sz w:val="15"/>
                          </w:rPr>
                          <w:t>is</w:t>
                        </w:r>
                        <w:r>
                          <w:rPr>
                            <w:color w:val="231F20"/>
                            <w:spacing w:val="-6"/>
                            <w:sz w:val="15"/>
                          </w:rPr>
                          <w:t> </w:t>
                        </w:r>
                        <w:r>
                          <w:rPr>
                            <w:color w:val="231F20"/>
                            <w:spacing w:val="-2"/>
                            <w:sz w:val="15"/>
                          </w:rPr>
                          <w:t>sufficiently</w:t>
                        </w:r>
                        <w:r>
                          <w:rPr>
                            <w:color w:val="231F20"/>
                            <w:spacing w:val="-6"/>
                            <w:sz w:val="15"/>
                          </w:rPr>
                          <w:t> </w:t>
                        </w:r>
                        <w:r>
                          <w:rPr>
                            <w:color w:val="231F20"/>
                            <w:spacing w:val="-2"/>
                            <w:sz w:val="15"/>
                          </w:rPr>
                          <w:t>flexible</w:t>
                        </w:r>
                        <w:r>
                          <w:rPr>
                            <w:color w:val="231F20"/>
                            <w:spacing w:val="-6"/>
                            <w:sz w:val="15"/>
                          </w:rPr>
                          <w:t> </w:t>
                        </w:r>
                        <w:r>
                          <w:rPr>
                            <w:color w:val="231F20"/>
                            <w:spacing w:val="-2"/>
                            <w:sz w:val="15"/>
                          </w:rPr>
                          <w:t>to</w:t>
                        </w:r>
                        <w:r>
                          <w:rPr>
                            <w:color w:val="231F20"/>
                            <w:spacing w:val="-6"/>
                            <w:sz w:val="15"/>
                          </w:rPr>
                          <w:t> </w:t>
                        </w:r>
                        <w:r>
                          <w:rPr>
                            <w:color w:val="231F20"/>
                            <w:spacing w:val="-2"/>
                            <w:sz w:val="15"/>
                          </w:rPr>
                          <w:t>take</w:t>
                        </w:r>
                        <w:r>
                          <w:rPr>
                            <w:color w:val="231F20"/>
                            <w:spacing w:val="-6"/>
                            <w:sz w:val="15"/>
                          </w:rPr>
                          <w:t> </w:t>
                        </w:r>
                        <w:r>
                          <w:rPr>
                            <w:color w:val="231F20"/>
                            <w:spacing w:val="-2"/>
                            <w:sz w:val="15"/>
                          </w:rPr>
                          <w:t>into</w:t>
                        </w:r>
                        <w:r>
                          <w:rPr>
                            <w:color w:val="231F20"/>
                            <w:spacing w:val="-6"/>
                            <w:sz w:val="15"/>
                          </w:rPr>
                          <w:t> </w:t>
                        </w:r>
                        <w:r>
                          <w:rPr>
                            <w:color w:val="231F20"/>
                            <w:spacing w:val="-2"/>
                            <w:sz w:val="15"/>
                          </w:rPr>
                          <w:t>account </w:t>
                        </w:r>
                        <w:r>
                          <w:rPr>
                            <w:color w:val="231F20"/>
                            <w:sz w:val="15"/>
                          </w:rPr>
                          <w:t>the practical and dynamic aspects of epilepsy diagnosis:</w:t>
                        </w:r>
                      </w:p>
                      <w:p>
                        <w:pPr>
                          <w:numPr>
                            <w:ilvl w:val="0"/>
                            <w:numId w:val="57"/>
                          </w:numPr>
                          <w:tabs>
                            <w:tab w:pos="223" w:val="left" w:leader="none"/>
                          </w:tabs>
                          <w:spacing w:line="230" w:lineRule="auto" w:before="3"/>
                          <w:ind w:left="223" w:right="255" w:hanging="150"/>
                          <w:jc w:val="left"/>
                          <w:rPr>
                            <w:color w:val="000000"/>
                            <w:sz w:val="15"/>
                          </w:rPr>
                        </w:pPr>
                        <w:r>
                          <w:rPr>
                            <w:color w:val="231F20"/>
                            <w:sz w:val="15"/>
                          </w:rPr>
                          <w:t>Axis</w:t>
                        </w:r>
                        <w:r>
                          <w:rPr>
                            <w:color w:val="231F20"/>
                            <w:spacing w:val="-9"/>
                            <w:sz w:val="15"/>
                          </w:rPr>
                          <w:t> </w:t>
                        </w:r>
                        <w:r>
                          <w:rPr>
                            <w:color w:val="231F20"/>
                            <w:sz w:val="15"/>
                          </w:rPr>
                          <w:t>1:</w:t>
                        </w:r>
                        <w:r>
                          <w:rPr>
                            <w:color w:val="231F20"/>
                            <w:spacing w:val="-9"/>
                            <w:sz w:val="15"/>
                          </w:rPr>
                          <w:t> </w:t>
                        </w:r>
                        <w:r>
                          <w:rPr>
                            <w:color w:val="231F20"/>
                            <w:sz w:val="15"/>
                          </w:rPr>
                          <w:t>Ictal</w:t>
                        </w:r>
                        <w:r>
                          <w:rPr>
                            <w:color w:val="231F20"/>
                            <w:spacing w:val="-9"/>
                            <w:sz w:val="15"/>
                          </w:rPr>
                          <w:t> </w:t>
                        </w:r>
                        <w:r>
                          <w:rPr>
                            <w:color w:val="231F20"/>
                            <w:sz w:val="15"/>
                          </w:rPr>
                          <w:t>phenomenology,</w:t>
                        </w:r>
                        <w:r>
                          <w:rPr>
                            <w:color w:val="231F20"/>
                            <w:spacing w:val="-9"/>
                            <w:sz w:val="15"/>
                          </w:rPr>
                          <w:t> </w:t>
                        </w:r>
                        <w:r>
                          <w:rPr>
                            <w:color w:val="231F20"/>
                            <w:sz w:val="15"/>
                          </w:rPr>
                          <w:t>used</w:t>
                        </w:r>
                        <w:r>
                          <w:rPr>
                            <w:color w:val="231F20"/>
                            <w:spacing w:val="-9"/>
                            <w:sz w:val="15"/>
                          </w:rPr>
                          <w:t> </w:t>
                        </w:r>
                        <w:r>
                          <w:rPr>
                            <w:color w:val="231F20"/>
                            <w:sz w:val="15"/>
                          </w:rPr>
                          <w:t>to</w:t>
                        </w:r>
                        <w:r>
                          <w:rPr>
                            <w:color w:val="231F20"/>
                            <w:spacing w:val="-9"/>
                            <w:sz w:val="15"/>
                          </w:rPr>
                          <w:t> </w:t>
                        </w:r>
                        <w:r>
                          <w:rPr>
                            <w:color w:val="231F20"/>
                            <w:sz w:val="15"/>
                          </w:rPr>
                          <w:t>describe</w:t>
                        </w:r>
                        <w:r>
                          <w:rPr>
                            <w:color w:val="231F20"/>
                            <w:spacing w:val="-9"/>
                            <w:sz w:val="15"/>
                          </w:rPr>
                          <w:t> </w:t>
                        </w:r>
                        <w:r>
                          <w:rPr>
                            <w:color w:val="231F20"/>
                            <w:sz w:val="15"/>
                          </w:rPr>
                          <w:t>ictal</w:t>
                        </w:r>
                        <w:r>
                          <w:rPr>
                            <w:color w:val="231F20"/>
                            <w:spacing w:val="-9"/>
                            <w:sz w:val="15"/>
                          </w:rPr>
                          <w:t> </w:t>
                        </w:r>
                        <w:r>
                          <w:rPr>
                            <w:color w:val="231F20"/>
                            <w:sz w:val="15"/>
                          </w:rPr>
                          <w:t>events</w:t>
                        </w:r>
                        <w:r>
                          <w:rPr>
                            <w:color w:val="231F20"/>
                            <w:spacing w:val="-9"/>
                            <w:sz w:val="15"/>
                          </w:rPr>
                          <w:t> </w:t>
                        </w:r>
                        <w:r>
                          <w:rPr>
                            <w:color w:val="231F20"/>
                            <w:sz w:val="15"/>
                          </w:rPr>
                          <w:t>with any degree of detail needed.</w:t>
                        </w:r>
                      </w:p>
                      <w:p>
                        <w:pPr>
                          <w:numPr>
                            <w:ilvl w:val="0"/>
                            <w:numId w:val="57"/>
                          </w:numPr>
                          <w:tabs>
                            <w:tab w:pos="223" w:val="left" w:leader="none"/>
                          </w:tabs>
                          <w:spacing w:line="230" w:lineRule="auto" w:before="1"/>
                          <w:ind w:left="223" w:right="223" w:hanging="150"/>
                          <w:jc w:val="left"/>
                          <w:rPr>
                            <w:color w:val="000000"/>
                            <w:sz w:val="15"/>
                          </w:rPr>
                        </w:pPr>
                        <w:r>
                          <w:rPr>
                            <w:color w:val="231F20"/>
                            <w:sz w:val="15"/>
                          </w:rPr>
                          <w:t>Axis</w:t>
                        </w:r>
                        <w:r>
                          <w:rPr>
                            <w:color w:val="231F20"/>
                            <w:spacing w:val="-12"/>
                            <w:sz w:val="15"/>
                          </w:rPr>
                          <w:t> </w:t>
                        </w:r>
                        <w:r>
                          <w:rPr>
                            <w:color w:val="231F20"/>
                            <w:sz w:val="15"/>
                          </w:rPr>
                          <w:t>2:</w:t>
                        </w:r>
                        <w:r>
                          <w:rPr>
                            <w:color w:val="231F20"/>
                            <w:spacing w:val="-11"/>
                            <w:sz w:val="15"/>
                          </w:rPr>
                          <w:t> </w:t>
                        </w:r>
                        <w:r>
                          <w:rPr>
                            <w:color w:val="231F20"/>
                            <w:sz w:val="15"/>
                          </w:rPr>
                          <w:t>Seizure</w:t>
                        </w:r>
                        <w:r>
                          <w:rPr>
                            <w:color w:val="231F20"/>
                            <w:spacing w:val="-11"/>
                            <w:sz w:val="15"/>
                          </w:rPr>
                          <w:t> </w:t>
                        </w:r>
                        <w:r>
                          <w:rPr>
                            <w:color w:val="231F20"/>
                            <w:sz w:val="15"/>
                          </w:rPr>
                          <w:t>type,</w:t>
                        </w:r>
                        <w:r>
                          <w:rPr>
                            <w:color w:val="231F20"/>
                            <w:spacing w:val="-12"/>
                            <w:sz w:val="15"/>
                          </w:rPr>
                          <w:t> </w:t>
                        </w:r>
                        <w:r>
                          <w:rPr>
                            <w:color w:val="231F20"/>
                            <w:sz w:val="15"/>
                          </w:rPr>
                          <w:t>from</w:t>
                        </w:r>
                        <w:r>
                          <w:rPr>
                            <w:color w:val="231F20"/>
                            <w:spacing w:val="-11"/>
                            <w:sz w:val="15"/>
                          </w:rPr>
                          <w:t> </w:t>
                        </w:r>
                        <w:r>
                          <w:rPr>
                            <w:color w:val="231F20"/>
                            <w:sz w:val="15"/>
                          </w:rPr>
                          <w:t>the</w:t>
                        </w:r>
                        <w:r>
                          <w:rPr>
                            <w:color w:val="231F20"/>
                            <w:spacing w:val="-11"/>
                            <w:sz w:val="15"/>
                          </w:rPr>
                          <w:t> </w:t>
                        </w:r>
                        <w:r>
                          <w:rPr>
                            <w:color w:val="231F20"/>
                            <w:sz w:val="15"/>
                          </w:rPr>
                          <w:t>List</w:t>
                        </w:r>
                        <w:r>
                          <w:rPr>
                            <w:color w:val="231F20"/>
                            <w:spacing w:val="-12"/>
                            <w:sz w:val="15"/>
                          </w:rPr>
                          <w:t> </w:t>
                        </w:r>
                        <w:r>
                          <w:rPr>
                            <w:color w:val="231F20"/>
                            <w:sz w:val="15"/>
                          </w:rPr>
                          <w:t>of</w:t>
                        </w:r>
                        <w:r>
                          <w:rPr>
                            <w:color w:val="231F20"/>
                            <w:spacing w:val="-11"/>
                            <w:sz w:val="15"/>
                          </w:rPr>
                          <w:t> </w:t>
                        </w:r>
                        <w:r>
                          <w:rPr>
                            <w:color w:val="231F20"/>
                            <w:sz w:val="15"/>
                          </w:rPr>
                          <w:t>types</w:t>
                        </w:r>
                        <w:r>
                          <w:rPr>
                            <w:color w:val="231F20"/>
                            <w:spacing w:val="-11"/>
                            <w:sz w:val="15"/>
                          </w:rPr>
                          <w:t> </w:t>
                        </w:r>
                        <w:r>
                          <w:rPr>
                            <w:color w:val="231F20"/>
                            <w:sz w:val="15"/>
                          </w:rPr>
                          <w:t>of</w:t>
                        </w:r>
                        <w:r>
                          <w:rPr>
                            <w:color w:val="231F20"/>
                            <w:spacing w:val="-11"/>
                            <w:sz w:val="15"/>
                          </w:rPr>
                          <w:t> </w:t>
                        </w:r>
                        <w:r>
                          <w:rPr>
                            <w:color w:val="231F20"/>
                            <w:sz w:val="15"/>
                          </w:rPr>
                          <w:t>Epileptic</w:t>
                        </w:r>
                        <w:r>
                          <w:rPr>
                            <w:color w:val="231F20"/>
                            <w:spacing w:val="-12"/>
                            <w:sz w:val="15"/>
                          </w:rPr>
                          <w:t> </w:t>
                        </w:r>
                        <w:r>
                          <w:rPr>
                            <w:color w:val="231F20"/>
                            <w:sz w:val="15"/>
                          </w:rPr>
                          <w:t>Seizures. Localization</w:t>
                        </w:r>
                        <w:r>
                          <w:rPr>
                            <w:color w:val="231F20"/>
                            <w:spacing w:val="-12"/>
                            <w:sz w:val="15"/>
                          </w:rPr>
                          <w:t> </w:t>
                        </w:r>
                        <w:r>
                          <w:rPr>
                            <w:color w:val="231F20"/>
                            <w:sz w:val="15"/>
                          </w:rPr>
                          <w:t>within</w:t>
                        </w:r>
                        <w:r>
                          <w:rPr>
                            <w:color w:val="231F20"/>
                            <w:spacing w:val="-11"/>
                            <w:sz w:val="15"/>
                          </w:rPr>
                          <w:t> </w:t>
                        </w:r>
                        <w:r>
                          <w:rPr>
                            <w:color w:val="231F20"/>
                            <w:sz w:val="15"/>
                          </w:rPr>
                          <w:t>the</w:t>
                        </w:r>
                        <w:r>
                          <w:rPr>
                            <w:color w:val="231F20"/>
                            <w:spacing w:val="-11"/>
                            <w:sz w:val="15"/>
                          </w:rPr>
                          <w:t> </w:t>
                        </w:r>
                        <w:r>
                          <w:rPr>
                            <w:color w:val="231F20"/>
                            <w:sz w:val="15"/>
                          </w:rPr>
                          <w:t>brain</w:t>
                        </w:r>
                        <w:r>
                          <w:rPr>
                            <w:color w:val="231F20"/>
                            <w:spacing w:val="-12"/>
                            <w:sz w:val="15"/>
                          </w:rPr>
                          <w:t> </w:t>
                        </w:r>
                        <w:r>
                          <w:rPr>
                            <w:color w:val="231F20"/>
                            <w:sz w:val="15"/>
                          </w:rPr>
                          <w:t>and</w:t>
                        </w:r>
                        <w:r>
                          <w:rPr>
                            <w:color w:val="231F20"/>
                            <w:spacing w:val="-11"/>
                            <w:sz w:val="15"/>
                          </w:rPr>
                          <w:t> </w:t>
                        </w:r>
                        <w:r>
                          <w:rPr>
                            <w:color w:val="231F20"/>
                            <w:sz w:val="15"/>
                          </w:rPr>
                          <w:t>precipitating</w:t>
                        </w:r>
                        <w:r>
                          <w:rPr>
                            <w:color w:val="231F20"/>
                            <w:spacing w:val="-11"/>
                            <w:sz w:val="15"/>
                          </w:rPr>
                          <w:t> </w:t>
                        </w:r>
                        <w:r>
                          <w:rPr>
                            <w:color w:val="231F20"/>
                            <w:sz w:val="15"/>
                          </w:rPr>
                          <w:t>stimuli</w:t>
                        </w:r>
                        <w:r>
                          <w:rPr>
                            <w:color w:val="231F20"/>
                            <w:spacing w:val="-12"/>
                            <w:sz w:val="15"/>
                          </w:rPr>
                          <w:t> </w:t>
                        </w:r>
                        <w:r>
                          <w:rPr>
                            <w:color w:val="231F20"/>
                            <w:sz w:val="15"/>
                          </w:rPr>
                          <w:t>for</w:t>
                        </w:r>
                        <w:r>
                          <w:rPr>
                            <w:color w:val="231F20"/>
                            <w:spacing w:val="-11"/>
                            <w:sz w:val="15"/>
                          </w:rPr>
                          <w:t> </w:t>
                        </w:r>
                        <w:r>
                          <w:rPr>
                            <w:color w:val="231F20"/>
                            <w:sz w:val="15"/>
                          </w:rPr>
                          <w:t>reflex seizures should be specified when appropriate.</w:t>
                        </w:r>
                      </w:p>
                      <w:p>
                        <w:pPr>
                          <w:numPr>
                            <w:ilvl w:val="0"/>
                            <w:numId w:val="57"/>
                          </w:numPr>
                          <w:tabs>
                            <w:tab w:pos="223" w:val="left" w:leader="none"/>
                          </w:tabs>
                          <w:spacing w:line="230" w:lineRule="auto" w:before="2"/>
                          <w:ind w:left="223" w:right="199" w:hanging="150"/>
                          <w:jc w:val="left"/>
                          <w:rPr>
                            <w:color w:val="000000"/>
                            <w:sz w:val="15"/>
                          </w:rPr>
                        </w:pPr>
                        <w:r>
                          <w:rPr>
                            <w:color w:val="231F20"/>
                            <w:sz w:val="15"/>
                          </w:rPr>
                          <w:t>Axis</w:t>
                        </w:r>
                        <w:r>
                          <w:rPr>
                            <w:color w:val="231F20"/>
                            <w:spacing w:val="-9"/>
                            <w:sz w:val="15"/>
                          </w:rPr>
                          <w:t> </w:t>
                        </w:r>
                        <w:r>
                          <w:rPr>
                            <w:color w:val="231F20"/>
                            <w:sz w:val="15"/>
                          </w:rPr>
                          <w:t>3:</w:t>
                        </w:r>
                        <w:r>
                          <w:rPr>
                            <w:color w:val="231F20"/>
                            <w:spacing w:val="-9"/>
                            <w:sz w:val="15"/>
                          </w:rPr>
                          <w:t> </w:t>
                        </w:r>
                        <w:r>
                          <w:rPr>
                            <w:color w:val="231F20"/>
                            <w:sz w:val="15"/>
                          </w:rPr>
                          <w:t>Syndrome,</w:t>
                        </w:r>
                        <w:r>
                          <w:rPr>
                            <w:color w:val="231F20"/>
                            <w:spacing w:val="-9"/>
                            <w:sz w:val="15"/>
                          </w:rPr>
                          <w:t> </w:t>
                        </w:r>
                        <w:r>
                          <w:rPr>
                            <w:color w:val="231F20"/>
                            <w:sz w:val="15"/>
                          </w:rPr>
                          <w:t>from</w:t>
                        </w:r>
                        <w:r>
                          <w:rPr>
                            <w:color w:val="231F20"/>
                            <w:spacing w:val="-9"/>
                            <w:sz w:val="15"/>
                          </w:rPr>
                          <w:t> </w:t>
                        </w:r>
                        <w:r>
                          <w:rPr>
                            <w:color w:val="231F20"/>
                            <w:sz w:val="15"/>
                          </w:rPr>
                          <w:t>the</w:t>
                        </w:r>
                        <w:r>
                          <w:rPr>
                            <w:color w:val="231F20"/>
                            <w:spacing w:val="-9"/>
                            <w:sz w:val="15"/>
                          </w:rPr>
                          <w:t> </w:t>
                        </w:r>
                        <w:r>
                          <w:rPr>
                            <w:color w:val="231F20"/>
                            <w:sz w:val="15"/>
                          </w:rPr>
                          <w:t>List</w:t>
                        </w:r>
                        <w:r>
                          <w:rPr>
                            <w:color w:val="231F20"/>
                            <w:spacing w:val="-9"/>
                            <w:sz w:val="15"/>
                          </w:rPr>
                          <w:t> </w:t>
                        </w:r>
                        <w:r>
                          <w:rPr>
                            <w:color w:val="231F20"/>
                            <w:sz w:val="15"/>
                          </w:rPr>
                          <w:t>of</w:t>
                        </w:r>
                        <w:r>
                          <w:rPr>
                            <w:color w:val="231F20"/>
                            <w:spacing w:val="-9"/>
                            <w:sz w:val="15"/>
                          </w:rPr>
                          <w:t> </w:t>
                        </w:r>
                        <w:r>
                          <w:rPr>
                            <w:color w:val="231F20"/>
                            <w:sz w:val="15"/>
                          </w:rPr>
                          <w:t>Epilepsy</w:t>
                        </w:r>
                        <w:r>
                          <w:rPr>
                            <w:color w:val="231F20"/>
                            <w:spacing w:val="-9"/>
                            <w:sz w:val="15"/>
                          </w:rPr>
                          <w:t> </w:t>
                        </w:r>
                        <w:r>
                          <w:rPr>
                            <w:color w:val="231F20"/>
                            <w:sz w:val="15"/>
                          </w:rPr>
                          <w:t>Syndromes,</w:t>
                        </w:r>
                        <w:r>
                          <w:rPr>
                            <w:color w:val="231F20"/>
                            <w:spacing w:val="-9"/>
                            <w:sz w:val="15"/>
                          </w:rPr>
                          <w:t> </w:t>
                        </w:r>
                        <w:r>
                          <w:rPr>
                            <w:color w:val="231F20"/>
                            <w:sz w:val="15"/>
                          </w:rPr>
                          <w:t>with</w:t>
                        </w:r>
                        <w:r>
                          <w:rPr>
                            <w:color w:val="231F20"/>
                            <w:spacing w:val="-9"/>
                            <w:sz w:val="15"/>
                          </w:rPr>
                          <w:t> </w:t>
                        </w:r>
                        <w:r>
                          <w:rPr>
                            <w:color w:val="231F20"/>
                            <w:sz w:val="15"/>
                          </w:rPr>
                          <w:t>the understanding that a syndromic diagnosis may not always be </w:t>
                        </w:r>
                        <w:r>
                          <w:rPr>
                            <w:color w:val="231F20"/>
                            <w:spacing w:val="-2"/>
                            <w:sz w:val="15"/>
                          </w:rPr>
                          <w:t>possible.</w:t>
                        </w:r>
                      </w:p>
                      <w:p>
                        <w:pPr>
                          <w:numPr>
                            <w:ilvl w:val="0"/>
                            <w:numId w:val="57"/>
                          </w:numPr>
                          <w:tabs>
                            <w:tab w:pos="223" w:val="left" w:leader="none"/>
                          </w:tabs>
                          <w:spacing w:line="230" w:lineRule="auto" w:before="2"/>
                          <w:ind w:left="223" w:right="232" w:hanging="150"/>
                          <w:jc w:val="left"/>
                          <w:rPr>
                            <w:color w:val="000000"/>
                            <w:sz w:val="15"/>
                          </w:rPr>
                        </w:pPr>
                        <w:r>
                          <w:rPr>
                            <w:color w:val="231F20"/>
                            <w:sz w:val="15"/>
                          </w:rPr>
                          <w:t>Axis 4: Etiology, from a Classification of Diseases Frequently Associated</w:t>
                        </w:r>
                        <w:r>
                          <w:rPr>
                            <w:color w:val="231F20"/>
                            <w:spacing w:val="-4"/>
                            <w:sz w:val="15"/>
                          </w:rPr>
                          <w:t> </w:t>
                        </w:r>
                        <w:r>
                          <w:rPr>
                            <w:color w:val="231F20"/>
                            <w:sz w:val="15"/>
                          </w:rPr>
                          <w:t>with</w:t>
                        </w:r>
                        <w:r>
                          <w:rPr>
                            <w:color w:val="231F20"/>
                            <w:spacing w:val="-4"/>
                            <w:sz w:val="15"/>
                          </w:rPr>
                          <w:t> </w:t>
                        </w:r>
                        <w:r>
                          <w:rPr>
                            <w:color w:val="231F20"/>
                            <w:sz w:val="15"/>
                          </w:rPr>
                          <w:t>Epileptic</w:t>
                        </w:r>
                        <w:r>
                          <w:rPr>
                            <w:color w:val="231F20"/>
                            <w:spacing w:val="-4"/>
                            <w:sz w:val="15"/>
                          </w:rPr>
                          <w:t> </w:t>
                        </w:r>
                        <w:r>
                          <w:rPr>
                            <w:color w:val="231F20"/>
                            <w:sz w:val="15"/>
                          </w:rPr>
                          <w:t>Seizures</w:t>
                        </w:r>
                        <w:r>
                          <w:rPr>
                            <w:color w:val="231F20"/>
                            <w:spacing w:val="-4"/>
                            <w:sz w:val="15"/>
                          </w:rPr>
                          <w:t> </w:t>
                        </w:r>
                        <w:r>
                          <w:rPr>
                            <w:color w:val="231F20"/>
                            <w:sz w:val="15"/>
                          </w:rPr>
                          <w:t>or</w:t>
                        </w:r>
                        <w:r>
                          <w:rPr>
                            <w:color w:val="231F20"/>
                            <w:spacing w:val="-4"/>
                            <w:sz w:val="15"/>
                          </w:rPr>
                          <w:t> </w:t>
                        </w:r>
                        <w:r>
                          <w:rPr>
                            <w:color w:val="231F20"/>
                            <w:sz w:val="15"/>
                          </w:rPr>
                          <w:t>Epilepsy</w:t>
                        </w:r>
                        <w:r>
                          <w:rPr>
                            <w:color w:val="231F20"/>
                            <w:spacing w:val="-4"/>
                            <w:sz w:val="15"/>
                          </w:rPr>
                          <w:t> </w:t>
                        </w:r>
                        <w:r>
                          <w:rPr>
                            <w:color w:val="231F20"/>
                            <w:sz w:val="15"/>
                          </w:rPr>
                          <w:t>Syndromes</w:t>
                        </w:r>
                        <w:r>
                          <w:rPr>
                            <w:color w:val="231F20"/>
                            <w:spacing w:val="-4"/>
                            <w:sz w:val="15"/>
                          </w:rPr>
                          <w:t> </w:t>
                        </w:r>
                        <w:r>
                          <w:rPr>
                            <w:color w:val="231F20"/>
                            <w:sz w:val="15"/>
                          </w:rPr>
                          <w:t>when possible, genetic defects, or specific pathologic substrates for symptomatic focal epilepsies.</w:t>
                        </w:r>
                      </w:p>
                      <w:p>
                        <w:pPr>
                          <w:numPr>
                            <w:ilvl w:val="0"/>
                            <w:numId w:val="57"/>
                          </w:numPr>
                          <w:tabs>
                            <w:tab w:pos="223" w:val="left" w:leader="none"/>
                          </w:tabs>
                          <w:spacing w:line="230" w:lineRule="auto" w:before="3"/>
                          <w:ind w:left="223" w:right="73" w:hanging="150"/>
                          <w:jc w:val="left"/>
                          <w:rPr>
                            <w:color w:val="000000"/>
                            <w:sz w:val="15"/>
                          </w:rPr>
                        </w:pPr>
                        <w:r>
                          <w:rPr>
                            <w:color w:val="231F20"/>
                            <w:sz w:val="15"/>
                          </w:rPr>
                          <w:t>Axis</w:t>
                        </w:r>
                        <w:r>
                          <w:rPr>
                            <w:color w:val="231F20"/>
                            <w:spacing w:val="-7"/>
                            <w:sz w:val="15"/>
                          </w:rPr>
                          <w:t> </w:t>
                        </w:r>
                        <w:r>
                          <w:rPr>
                            <w:color w:val="231F20"/>
                            <w:sz w:val="15"/>
                          </w:rPr>
                          <w:t>5:</w:t>
                        </w:r>
                        <w:r>
                          <w:rPr>
                            <w:color w:val="231F20"/>
                            <w:spacing w:val="-7"/>
                            <w:sz w:val="15"/>
                          </w:rPr>
                          <w:t> </w:t>
                        </w:r>
                        <w:r>
                          <w:rPr>
                            <w:color w:val="231F20"/>
                            <w:sz w:val="15"/>
                          </w:rPr>
                          <w:t>Impairment;</w:t>
                        </w:r>
                        <w:r>
                          <w:rPr>
                            <w:color w:val="231F20"/>
                            <w:spacing w:val="-7"/>
                            <w:sz w:val="15"/>
                          </w:rPr>
                          <w:t> </w:t>
                        </w:r>
                        <w:r>
                          <w:rPr>
                            <w:color w:val="231F20"/>
                            <w:sz w:val="15"/>
                          </w:rPr>
                          <w:t>this</w:t>
                        </w:r>
                        <w:r>
                          <w:rPr>
                            <w:color w:val="231F20"/>
                            <w:spacing w:val="-7"/>
                            <w:sz w:val="15"/>
                          </w:rPr>
                          <w:t> </w:t>
                        </w:r>
                        <w:r>
                          <w:rPr>
                            <w:color w:val="231F20"/>
                            <w:sz w:val="15"/>
                          </w:rPr>
                          <w:t>is</w:t>
                        </w:r>
                        <w:r>
                          <w:rPr>
                            <w:color w:val="231F20"/>
                            <w:spacing w:val="-7"/>
                            <w:sz w:val="15"/>
                          </w:rPr>
                          <w:t> </w:t>
                        </w:r>
                        <w:r>
                          <w:rPr>
                            <w:color w:val="231F20"/>
                            <w:sz w:val="15"/>
                          </w:rPr>
                          <w:t>often</w:t>
                        </w:r>
                        <w:r>
                          <w:rPr>
                            <w:color w:val="231F20"/>
                            <w:spacing w:val="-7"/>
                            <w:sz w:val="15"/>
                          </w:rPr>
                          <w:t> </w:t>
                        </w:r>
                        <w:r>
                          <w:rPr>
                            <w:color w:val="231F20"/>
                            <w:sz w:val="15"/>
                          </w:rPr>
                          <w:t>useful</w:t>
                        </w:r>
                        <w:r>
                          <w:rPr>
                            <w:color w:val="231F20"/>
                            <w:spacing w:val="-7"/>
                            <w:sz w:val="15"/>
                          </w:rPr>
                          <w:t> </w:t>
                        </w:r>
                        <w:r>
                          <w:rPr>
                            <w:color w:val="231F20"/>
                            <w:sz w:val="15"/>
                          </w:rPr>
                          <w:t>to</w:t>
                        </w:r>
                        <w:r>
                          <w:rPr>
                            <w:color w:val="231F20"/>
                            <w:spacing w:val="-7"/>
                            <w:sz w:val="15"/>
                          </w:rPr>
                          <w:t> </w:t>
                        </w:r>
                        <w:r>
                          <w:rPr>
                            <w:color w:val="231F20"/>
                            <w:sz w:val="15"/>
                          </w:rPr>
                          <w:t>make</w:t>
                        </w:r>
                        <w:r>
                          <w:rPr>
                            <w:color w:val="231F20"/>
                            <w:spacing w:val="-7"/>
                            <w:sz w:val="15"/>
                          </w:rPr>
                          <w:t> </w:t>
                        </w:r>
                        <w:r>
                          <w:rPr>
                            <w:color w:val="231F20"/>
                            <w:sz w:val="15"/>
                          </w:rPr>
                          <w:t>sure</w:t>
                        </w:r>
                        <w:r>
                          <w:rPr>
                            <w:color w:val="231F20"/>
                            <w:spacing w:val="-7"/>
                            <w:sz w:val="15"/>
                          </w:rPr>
                          <w:t> </w:t>
                        </w:r>
                        <w:r>
                          <w:rPr>
                            <w:color w:val="231F20"/>
                            <w:sz w:val="15"/>
                          </w:rPr>
                          <w:t>one</w:t>
                        </w:r>
                        <w:r>
                          <w:rPr>
                            <w:color w:val="231F20"/>
                            <w:spacing w:val="-7"/>
                            <w:sz w:val="15"/>
                          </w:rPr>
                          <w:t> </w:t>
                        </w:r>
                        <w:r>
                          <w:rPr>
                            <w:color w:val="231F20"/>
                            <w:sz w:val="15"/>
                          </w:rPr>
                          <w:t>does</w:t>
                        </w:r>
                        <w:r>
                          <w:rPr>
                            <w:color w:val="231F20"/>
                            <w:spacing w:val="-7"/>
                            <w:sz w:val="15"/>
                          </w:rPr>
                          <w:t> </w:t>
                        </w:r>
                        <w:r>
                          <w:rPr>
                            <w:color w:val="231F20"/>
                            <w:sz w:val="15"/>
                          </w:rPr>
                          <w:t>not overlook the consequences of epilepsy, such as medication side effects, and learning and socialization difficulties.</w:t>
                        </w:r>
                      </w:p>
                    </w:txbxContent>
                  </v:textbox>
                  <v:fill type="solid"/>
                  <w10:wrap type="none"/>
                </v:shape>
                <v:rect style="position:absolute;left:1243;top:5286;width:4703;height:19" id="docshape517" filled="true" fillcolor="#231f20" stroked="false">
                  <v:fill type="solid"/>
                </v:rect>
                <v:shape style="position:absolute;left:2400;top:1449;width:3546;height:542" type="#_x0000_t202" id="docshape518" filled="true" fillcolor="#231f20" stroked="false">
                  <v:textbox inset="0,0,0,0">
                    <w:txbxContent>
                      <w:p>
                        <w:pPr>
                          <w:spacing w:before="89"/>
                          <w:ind w:left="74" w:right="289" w:firstLine="0"/>
                          <w:jc w:val="left"/>
                          <w:rPr>
                            <w:color w:val="000000"/>
                            <w:sz w:val="16"/>
                          </w:rPr>
                        </w:pPr>
                        <w:r>
                          <w:rPr>
                            <w:color w:val="FFFFFF"/>
                            <w:w w:val="105"/>
                            <w:sz w:val="16"/>
                          </w:rPr>
                          <w:t>Proposed Diagnostic Scheme for People with</w:t>
                        </w:r>
                        <w:r>
                          <w:rPr>
                            <w:color w:val="FFFFFF"/>
                            <w:spacing w:val="-2"/>
                            <w:w w:val="105"/>
                            <w:sz w:val="16"/>
                          </w:rPr>
                          <w:t> </w:t>
                        </w:r>
                        <w:r>
                          <w:rPr>
                            <w:color w:val="FFFFFF"/>
                            <w:w w:val="105"/>
                            <w:sz w:val="16"/>
                          </w:rPr>
                          <w:t>Epileptic</w:t>
                        </w:r>
                        <w:r>
                          <w:rPr>
                            <w:color w:val="FFFFFF"/>
                            <w:spacing w:val="-1"/>
                            <w:w w:val="105"/>
                            <w:sz w:val="16"/>
                          </w:rPr>
                          <w:t> </w:t>
                        </w:r>
                        <w:r>
                          <w:rPr>
                            <w:color w:val="FFFFFF"/>
                            <w:w w:val="105"/>
                            <w:sz w:val="16"/>
                          </w:rPr>
                          <w:t>Seizures</w:t>
                        </w:r>
                        <w:r>
                          <w:rPr>
                            <w:color w:val="FFFFFF"/>
                            <w:spacing w:val="-2"/>
                            <w:w w:val="105"/>
                            <w:sz w:val="16"/>
                          </w:rPr>
                          <w:t> </w:t>
                        </w:r>
                        <w:r>
                          <w:rPr>
                            <w:color w:val="FFFFFF"/>
                            <w:w w:val="105"/>
                            <w:sz w:val="16"/>
                          </w:rPr>
                          <w:t>and</w:t>
                        </w:r>
                        <w:r>
                          <w:rPr>
                            <w:color w:val="FFFFFF"/>
                            <w:spacing w:val="-1"/>
                            <w:w w:val="105"/>
                            <w:sz w:val="16"/>
                          </w:rPr>
                          <w:t> </w:t>
                        </w:r>
                        <w:r>
                          <w:rPr>
                            <w:color w:val="FFFFFF"/>
                            <w:w w:val="105"/>
                            <w:sz w:val="16"/>
                          </w:rPr>
                          <w:t>with</w:t>
                        </w:r>
                        <w:r>
                          <w:rPr>
                            <w:color w:val="FFFFFF"/>
                            <w:spacing w:val="-2"/>
                            <w:w w:val="105"/>
                            <w:sz w:val="16"/>
                          </w:rPr>
                          <w:t> </w:t>
                        </w:r>
                        <w:r>
                          <w:rPr>
                            <w:color w:val="FFFFFF"/>
                            <w:spacing w:val="-2"/>
                            <w:w w:val="105"/>
                            <w:sz w:val="16"/>
                          </w:rPr>
                          <w:t>Epilepsy</w:t>
                        </w:r>
                      </w:p>
                    </w:txbxContent>
                  </v:textbox>
                  <v:fill type="solid"/>
                  <w10:wrap type="none"/>
                </v:shape>
                <v:shape style="position:absolute;left:1243;top:1449;width:1139;height:542" type="#_x0000_t202" id="docshape519"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9</w:t>
                        </w:r>
                      </w:p>
                    </w:txbxContent>
                  </v:textbox>
                  <v:fill type="solid"/>
                  <w10:wrap type="none"/>
                </v:shape>
                <w10:wrap type="topAndBottom"/>
              </v:group>
            </w:pict>
          </mc:Fallback>
        </mc:AlternateContent>
      </w:r>
      <w:r>
        <w:rPr>
          <w:sz w:val="19"/>
        </w:rPr>
        <mc:AlternateContent>
          <mc:Choice Requires="wps">
            <w:drawing>
              <wp:anchor distT="0" distB="0" distL="0" distR="0" allowOverlap="1" layoutInCell="1" locked="0" behindDoc="1" simplePos="0" relativeHeight="487587840">
                <wp:simplePos x="0" y="0"/>
                <wp:positionH relativeFrom="page">
                  <wp:posOffset>3946861</wp:posOffset>
                </wp:positionH>
                <wp:positionV relativeFrom="paragraph">
                  <wp:posOffset>160410</wp:posOffset>
                </wp:positionV>
                <wp:extent cx="2986405" cy="2145030"/>
                <wp:effectExtent l="0" t="0" r="0" b="0"/>
                <wp:wrapTopAndBottom/>
                <wp:docPr id="589" name="Textbox 589"/>
                <wp:cNvGraphicFramePr>
                  <a:graphicFrameLocks/>
                </wp:cNvGraphicFramePr>
                <a:graphic>
                  <a:graphicData uri="http://schemas.microsoft.com/office/word/2010/wordprocessingShape">
                    <wps:wsp>
                      <wps:cNvPr id="589" name="Textbox 589"/>
                      <wps:cNvSpPr txBox="1"/>
                      <wps:spPr>
                        <a:xfrm>
                          <a:off x="0" y="0"/>
                          <a:ext cx="2986405" cy="214503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494"/>
                              <w:gridCol w:w="2061"/>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7</w:t>
                                  </w:r>
                                </w:p>
                              </w:tc>
                              <w:tc>
                                <w:tcPr>
                                  <w:tcW w:w="3555" w:type="dxa"/>
                                  <w:gridSpan w:val="2"/>
                                  <w:tcBorders>
                                    <w:left w:val="single" w:sz="8" w:space="0" w:color="FFFFFF"/>
                                  </w:tcBorders>
                                  <w:shd w:val="clear" w:color="auto" w:fill="231F20"/>
                                </w:tcPr>
                                <w:p>
                                  <w:pPr>
                                    <w:pStyle w:val="TableParagraph"/>
                                    <w:spacing w:before="89"/>
                                    <w:ind w:left="73" w:right="350"/>
                                    <w:rPr>
                                      <w:sz w:val="16"/>
                                    </w:rPr>
                                  </w:pPr>
                                  <w:r>
                                    <w:rPr>
                                      <w:color w:val="FFFFFF"/>
                                      <w:w w:val="105"/>
                                      <w:sz w:val="16"/>
                                    </w:rPr>
                                    <w:t>Risk Factors for Occurrence of Subsequent Epilepsy After a </w:t>
                                  </w:r>
                                  <w:r>
                                    <w:rPr>
                                      <w:color w:val="FFFFFF"/>
                                      <w:w w:val="105"/>
                                      <w:sz w:val="16"/>
                                    </w:rPr>
                                    <w:t>Febrile </w:t>
                                  </w:r>
                                  <w:r>
                                    <w:rPr>
                                      <w:color w:val="FFFFFF"/>
                                      <w:spacing w:val="-2"/>
                                      <w:w w:val="105"/>
                                      <w:sz w:val="16"/>
                                    </w:rPr>
                                    <w:t>Seizure</w:t>
                                  </w:r>
                                </w:p>
                              </w:tc>
                            </w:tr>
                            <w:tr>
                              <w:trPr>
                                <w:trHeight w:val="425" w:hRule="atLeast"/>
                              </w:trPr>
                              <w:tc>
                                <w:tcPr>
                                  <w:tcW w:w="2642" w:type="dxa"/>
                                  <w:gridSpan w:val="2"/>
                                  <w:tcBorders>
                                    <w:bottom w:val="single" w:sz="4" w:space="0" w:color="231F20"/>
                                  </w:tcBorders>
                                  <w:shd w:val="clear" w:color="auto" w:fill="E8F5F1"/>
                                </w:tcPr>
                                <w:p>
                                  <w:pPr>
                                    <w:pStyle w:val="TableParagraph"/>
                                    <w:spacing w:before="41"/>
                                    <w:rPr>
                                      <w:sz w:val="15"/>
                                    </w:rPr>
                                  </w:pPr>
                                </w:p>
                                <w:p>
                                  <w:pPr>
                                    <w:pStyle w:val="TableParagraph"/>
                                    <w:ind w:left="74"/>
                                    <w:rPr>
                                      <w:b/>
                                      <w:sz w:val="15"/>
                                    </w:rPr>
                                  </w:pPr>
                                  <w:r>
                                    <w:rPr>
                                      <w:b/>
                                      <w:color w:val="231F20"/>
                                      <w:w w:val="110"/>
                                      <w:sz w:val="15"/>
                                    </w:rPr>
                                    <w:t>RISK</w:t>
                                  </w:r>
                                  <w:r>
                                    <w:rPr>
                                      <w:b/>
                                      <w:color w:val="231F20"/>
                                      <w:spacing w:val="2"/>
                                      <w:w w:val="110"/>
                                      <w:sz w:val="15"/>
                                    </w:rPr>
                                    <w:t> </w:t>
                                  </w:r>
                                  <w:r>
                                    <w:rPr>
                                      <w:b/>
                                      <w:color w:val="231F20"/>
                                      <w:spacing w:val="-2"/>
                                      <w:w w:val="110"/>
                                      <w:sz w:val="15"/>
                                    </w:rPr>
                                    <w:t>FACTOR</w:t>
                                  </w:r>
                                </w:p>
                              </w:tc>
                              <w:tc>
                                <w:tcPr>
                                  <w:tcW w:w="2061" w:type="dxa"/>
                                  <w:tcBorders>
                                    <w:bottom w:val="single" w:sz="4" w:space="0" w:color="231F20"/>
                                  </w:tcBorders>
                                  <w:shd w:val="clear" w:color="auto" w:fill="E8F5F1"/>
                                </w:tcPr>
                                <w:p>
                                  <w:pPr>
                                    <w:pStyle w:val="TableParagraph"/>
                                    <w:spacing w:line="230" w:lineRule="auto" w:before="53"/>
                                    <w:ind w:left="742" w:hanging="540"/>
                                    <w:rPr>
                                      <w:b/>
                                      <w:sz w:val="15"/>
                                    </w:rPr>
                                  </w:pPr>
                                  <w:r>
                                    <w:rPr>
                                      <w:b/>
                                      <w:color w:val="231F20"/>
                                      <w:w w:val="110"/>
                                      <w:sz w:val="15"/>
                                    </w:rPr>
                                    <w:t>RISK</w:t>
                                  </w:r>
                                  <w:r>
                                    <w:rPr>
                                      <w:b/>
                                      <w:color w:val="231F20"/>
                                      <w:spacing w:val="-13"/>
                                      <w:w w:val="110"/>
                                      <w:sz w:val="15"/>
                                    </w:rPr>
                                    <w:t> </w:t>
                                  </w:r>
                                  <w:r>
                                    <w:rPr>
                                      <w:b/>
                                      <w:color w:val="231F20"/>
                                      <w:w w:val="110"/>
                                      <w:sz w:val="15"/>
                                    </w:rPr>
                                    <w:t>FOR</w:t>
                                  </w:r>
                                  <w:r>
                                    <w:rPr>
                                      <w:b/>
                                      <w:color w:val="231F20"/>
                                      <w:spacing w:val="-12"/>
                                      <w:w w:val="110"/>
                                      <w:sz w:val="15"/>
                                    </w:rPr>
                                    <w:t> </w:t>
                                  </w:r>
                                  <w:r>
                                    <w:rPr>
                                      <w:b/>
                                      <w:color w:val="231F20"/>
                                      <w:w w:val="110"/>
                                      <w:sz w:val="15"/>
                                    </w:rPr>
                                    <w:t>SUBSEQUENT </w:t>
                                  </w:r>
                                  <w:r>
                                    <w:rPr>
                                      <w:b/>
                                      <w:color w:val="231F20"/>
                                      <w:spacing w:val="-2"/>
                                      <w:w w:val="110"/>
                                      <w:sz w:val="15"/>
                                    </w:rPr>
                                    <w:t>EPILEPSY</w:t>
                                  </w:r>
                                </w:p>
                              </w:tc>
                            </w:tr>
                            <w:tr>
                              <w:trPr>
                                <w:trHeight w:val="257" w:hRule="atLeast"/>
                              </w:trPr>
                              <w:tc>
                                <w:tcPr>
                                  <w:tcW w:w="264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Simple</w:t>
                                  </w:r>
                                  <w:r>
                                    <w:rPr>
                                      <w:color w:val="231F20"/>
                                      <w:spacing w:val="-11"/>
                                      <w:sz w:val="15"/>
                                    </w:rPr>
                                    <w:t> </w:t>
                                  </w:r>
                                  <w:r>
                                    <w:rPr>
                                      <w:color w:val="231F20"/>
                                      <w:sz w:val="15"/>
                                    </w:rPr>
                                    <w:t>febrile</w:t>
                                  </w:r>
                                  <w:r>
                                    <w:rPr>
                                      <w:color w:val="231F20"/>
                                      <w:spacing w:val="-10"/>
                                      <w:sz w:val="15"/>
                                    </w:rPr>
                                    <w:t> </w:t>
                                  </w:r>
                                  <w:r>
                                    <w:rPr>
                                      <w:color w:val="231F20"/>
                                      <w:spacing w:val="-2"/>
                                      <w:sz w:val="15"/>
                                    </w:rPr>
                                    <w:t>seizure</w:t>
                                  </w:r>
                                </w:p>
                              </w:tc>
                              <w:tc>
                                <w:tcPr>
                                  <w:tcW w:w="2061" w:type="dxa"/>
                                  <w:tcBorders>
                                    <w:top w:val="single" w:sz="4" w:space="0" w:color="231F20"/>
                                    <w:bottom w:val="single" w:sz="4" w:space="0" w:color="FFFFFF"/>
                                  </w:tcBorders>
                                  <w:shd w:val="clear" w:color="auto" w:fill="E8F5F1"/>
                                </w:tcPr>
                                <w:p>
                                  <w:pPr>
                                    <w:pStyle w:val="TableParagraph"/>
                                    <w:spacing w:before="47"/>
                                    <w:ind w:left="174"/>
                                    <w:jc w:val="center"/>
                                    <w:rPr>
                                      <w:sz w:val="15"/>
                                    </w:rPr>
                                  </w:pPr>
                                  <w:r>
                                    <w:rPr>
                                      <w:color w:val="231F20"/>
                                      <w:spacing w:val="-5"/>
                                      <w:w w:val="120"/>
                                      <w:sz w:val="15"/>
                                    </w:rPr>
                                    <w:t>1%</w:t>
                                  </w:r>
                                </w:p>
                              </w:tc>
                            </w:tr>
                            <w:tr>
                              <w:trPr>
                                <w:trHeight w:val="252"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Recurrent</w:t>
                                  </w:r>
                                  <w:r>
                                    <w:rPr>
                                      <w:color w:val="231F20"/>
                                      <w:spacing w:val="6"/>
                                      <w:sz w:val="15"/>
                                    </w:rPr>
                                    <w:t> </w:t>
                                  </w:r>
                                  <w:r>
                                    <w:rPr>
                                      <w:color w:val="231F20"/>
                                      <w:spacing w:val="-4"/>
                                      <w:sz w:val="15"/>
                                    </w:rPr>
                                    <w:t>febrile</w:t>
                                  </w:r>
                                  <w:r>
                                    <w:rPr>
                                      <w:color w:val="231F20"/>
                                      <w:spacing w:val="6"/>
                                      <w:sz w:val="15"/>
                                    </w:rPr>
                                    <w:t> </w:t>
                                  </w:r>
                                  <w:r>
                                    <w:rPr>
                                      <w:color w:val="231F20"/>
                                      <w:spacing w:val="-4"/>
                                      <w:sz w:val="15"/>
                                    </w:rPr>
                                    <w:t>seizures</w:t>
                                  </w:r>
                                </w:p>
                              </w:tc>
                              <w:tc>
                                <w:tcPr>
                                  <w:tcW w:w="2061" w:type="dxa"/>
                                  <w:tcBorders>
                                    <w:top w:val="single" w:sz="4" w:space="0" w:color="FFFFFF"/>
                                    <w:bottom w:val="single" w:sz="4" w:space="0" w:color="FFFFFF"/>
                                  </w:tcBorders>
                                  <w:shd w:val="clear" w:color="auto" w:fill="E8F5F1"/>
                                </w:tcPr>
                                <w:p>
                                  <w:pPr>
                                    <w:pStyle w:val="TableParagraph"/>
                                    <w:spacing w:before="42"/>
                                    <w:ind w:left="174"/>
                                    <w:jc w:val="center"/>
                                    <w:rPr>
                                      <w:sz w:val="15"/>
                                    </w:rPr>
                                  </w:pPr>
                                  <w:r>
                                    <w:rPr>
                                      <w:color w:val="231F20"/>
                                      <w:spacing w:val="-5"/>
                                      <w:w w:val="120"/>
                                      <w:sz w:val="15"/>
                                    </w:rPr>
                                    <w:t>4%</w:t>
                                  </w:r>
                                </w:p>
                              </w:tc>
                            </w:tr>
                            <w:tr>
                              <w:trPr>
                                <w:trHeight w:val="588" w:hRule="atLeast"/>
                              </w:trPr>
                              <w:tc>
                                <w:tcPr>
                                  <w:tcW w:w="2642" w:type="dxa"/>
                                  <w:gridSpan w:val="2"/>
                                  <w:tcBorders>
                                    <w:top w:val="single" w:sz="4" w:space="0" w:color="FFFFFF"/>
                                    <w:bottom w:val="single" w:sz="4" w:space="0" w:color="FFFFFF"/>
                                  </w:tcBorders>
                                  <w:shd w:val="clear" w:color="auto" w:fill="E8F5F1"/>
                                </w:tcPr>
                                <w:p>
                                  <w:pPr>
                                    <w:pStyle w:val="TableParagraph"/>
                                    <w:spacing w:line="230" w:lineRule="auto" w:before="48"/>
                                    <w:ind w:left="186" w:right="191" w:hanging="112"/>
                                    <w:rPr>
                                      <w:sz w:val="15"/>
                                    </w:rPr>
                                  </w:pPr>
                                  <w:r>
                                    <w:rPr>
                                      <w:color w:val="231F20"/>
                                      <w:sz w:val="15"/>
                                    </w:rPr>
                                    <w:t>Complex febrile seizures (more </w:t>
                                  </w:r>
                                  <w:r>
                                    <w:rPr>
                                      <w:color w:val="231F20"/>
                                      <w:spacing w:val="-2"/>
                                      <w:sz w:val="15"/>
                                    </w:rPr>
                                    <w:t>than</w:t>
                                  </w:r>
                                  <w:r>
                                    <w:rPr>
                                      <w:color w:val="231F20"/>
                                      <w:spacing w:val="-7"/>
                                      <w:sz w:val="15"/>
                                    </w:rPr>
                                    <w:t> </w:t>
                                  </w:r>
                                  <w:r>
                                    <w:rPr>
                                      <w:color w:val="231F20"/>
                                      <w:spacing w:val="-2"/>
                                      <w:sz w:val="15"/>
                                    </w:rPr>
                                    <w:t>15</w:t>
                                  </w:r>
                                  <w:r>
                                    <w:rPr>
                                      <w:color w:val="231F20"/>
                                      <w:spacing w:val="-7"/>
                                      <w:sz w:val="15"/>
                                    </w:rPr>
                                    <w:t> </w:t>
                                  </w:r>
                                  <w:r>
                                    <w:rPr>
                                      <w:color w:val="231F20"/>
                                      <w:spacing w:val="-2"/>
                                      <w:sz w:val="15"/>
                                    </w:rPr>
                                    <w:t>min</w:t>
                                  </w:r>
                                  <w:r>
                                    <w:rPr>
                                      <w:color w:val="231F20"/>
                                      <w:spacing w:val="-7"/>
                                      <w:sz w:val="15"/>
                                    </w:rPr>
                                    <w:t> </w:t>
                                  </w:r>
                                  <w:r>
                                    <w:rPr>
                                      <w:color w:val="231F20"/>
                                      <w:spacing w:val="-2"/>
                                      <w:sz w:val="15"/>
                                    </w:rPr>
                                    <w:t>duration</w:t>
                                  </w:r>
                                  <w:r>
                                    <w:rPr>
                                      <w:color w:val="231F20"/>
                                      <w:spacing w:val="-7"/>
                                      <w:sz w:val="15"/>
                                    </w:rPr>
                                    <w:t> </w:t>
                                  </w:r>
                                  <w:r>
                                    <w:rPr>
                                      <w:color w:val="231F20"/>
                                      <w:spacing w:val="-2"/>
                                      <w:sz w:val="15"/>
                                    </w:rPr>
                                    <w:t>or</w:t>
                                  </w:r>
                                  <w:r>
                                    <w:rPr>
                                      <w:color w:val="231F20"/>
                                      <w:spacing w:val="-7"/>
                                      <w:sz w:val="15"/>
                                    </w:rPr>
                                    <w:t> </w:t>
                                  </w:r>
                                  <w:r>
                                    <w:rPr>
                                      <w:color w:val="231F20"/>
                                      <w:spacing w:val="-2"/>
                                      <w:sz w:val="15"/>
                                    </w:rPr>
                                    <w:t>recurrent </w:t>
                                  </w:r>
                                  <w:r>
                                    <w:rPr>
                                      <w:color w:val="231F20"/>
                                      <w:sz w:val="15"/>
                                    </w:rPr>
                                    <w:t>within 24 hr)</w:t>
                                  </w:r>
                                </w:p>
                              </w:tc>
                              <w:tc>
                                <w:tcPr>
                                  <w:tcW w:w="2061" w:type="dxa"/>
                                  <w:tcBorders>
                                    <w:top w:val="single" w:sz="4" w:space="0" w:color="FFFFFF"/>
                                    <w:bottom w:val="single" w:sz="4" w:space="0" w:color="FFFFFF"/>
                                  </w:tcBorders>
                                  <w:shd w:val="clear" w:color="auto" w:fill="E8F5F1"/>
                                </w:tcPr>
                                <w:p>
                                  <w:pPr>
                                    <w:pStyle w:val="TableParagraph"/>
                                    <w:spacing w:before="42"/>
                                    <w:ind w:left="174" w:right="1"/>
                                    <w:jc w:val="center"/>
                                    <w:rPr>
                                      <w:sz w:val="15"/>
                                    </w:rPr>
                                  </w:pPr>
                                  <w:r>
                                    <w:rPr>
                                      <w:color w:val="231F20"/>
                                      <w:spacing w:val="-5"/>
                                      <w:w w:val="120"/>
                                      <w:sz w:val="15"/>
                                    </w:rPr>
                                    <w:t>6%</w:t>
                                  </w:r>
                                </w:p>
                              </w:tc>
                            </w:tr>
                            <w:tr>
                              <w:trPr>
                                <w:trHeight w:val="254"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Fever</w:t>
                                  </w:r>
                                  <w:r>
                                    <w:rPr>
                                      <w:color w:val="231F20"/>
                                      <w:spacing w:val="-10"/>
                                      <w:sz w:val="15"/>
                                    </w:rPr>
                                    <w:t> </w:t>
                                  </w:r>
                                  <w:r>
                                    <w:rPr>
                                      <w:rFonts w:ascii="Cambria"/>
                                      <w:color w:val="231F20"/>
                                      <w:sz w:val="15"/>
                                    </w:rPr>
                                    <w:t>&lt;</w:t>
                                  </w:r>
                                  <w:r>
                                    <w:rPr>
                                      <w:color w:val="231F20"/>
                                      <w:sz w:val="15"/>
                                    </w:rPr>
                                    <w:t>1</w:t>
                                  </w:r>
                                  <w:r>
                                    <w:rPr>
                                      <w:color w:val="231F20"/>
                                      <w:spacing w:val="-9"/>
                                      <w:sz w:val="15"/>
                                    </w:rPr>
                                    <w:t> </w:t>
                                  </w:r>
                                  <w:r>
                                    <w:rPr>
                                      <w:color w:val="231F20"/>
                                      <w:sz w:val="15"/>
                                    </w:rPr>
                                    <w:t>hr</w:t>
                                  </w:r>
                                  <w:r>
                                    <w:rPr>
                                      <w:color w:val="231F20"/>
                                      <w:spacing w:val="-9"/>
                                      <w:sz w:val="15"/>
                                    </w:rPr>
                                    <w:t> </w:t>
                                  </w:r>
                                  <w:r>
                                    <w:rPr>
                                      <w:color w:val="231F20"/>
                                      <w:sz w:val="15"/>
                                    </w:rPr>
                                    <w:t>before</w:t>
                                  </w:r>
                                  <w:r>
                                    <w:rPr>
                                      <w:color w:val="231F20"/>
                                      <w:spacing w:val="-9"/>
                                      <w:sz w:val="15"/>
                                    </w:rPr>
                                    <w:t> </w:t>
                                  </w:r>
                                  <w:r>
                                    <w:rPr>
                                      <w:color w:val="231F20"/>
                                      <w:sz w:val="15"/>
                                    </w:rPr>
                                    <w:t>febrile</w:t>
                                  </w:r>
                                  <w:r>
                                    <w:rPr>
                                      <w:color w:val="231F20"/>
                                      <w:spacing w:val="-9"/>
                                      <w:sz w:val="15"/>
                                    </w:rPr>
                                    <w:t> </w:t>
                                  </w:r>
                                  <w:r>
                                    <w:rPr>
                                      <w:color w:val="231F20"/>
                                      <w:spacing w:val="-2"/>
                                      <w:sz w:val="15"/>
                                    </w:rPr>
                                    <w:t>seizure</w:t>
                                  </w:r>
                                </w:p>
                              </w:tc>
                              <w:tc>
                                <w:tcPr>
                                  <w:tcW w:w="2061" w:type="dxa"/>
                                  <w:tcBorders>
                                    <w:top w:val="single" w:sz="4" w:space="0" w:color="FFFFFF"/>
                                    <w:bottom w:val="single" w:sz="4" w:space="0" w:color="FFFFFF"/>
                                  </w:tcBorders>
                                  <w:shd w:val="clear" w:color="auto" w:fill="E8F5F1"/>
                                </w:tcPr>
                                <w:p>
                                  <w:pPr>
                                    <w:pStyle w:val="TableParagraph"/>
                                    <w:spacing w:before="42"/>
                                    <w:ind w:left="174" w:right="78"/>
                                    <w:jc w:val="center"/>
                                    <w:rPr>
                                      <w:sz w:val="15"/>
                                    </w:rPr>
                                  </w:pPr>
                                  <w:r>
                                    <w:rPr>
                                      <w:color w:val="231F20"/>
                                      <w:spacing w:val="-5"/>
                                      <w:w w:val="110"/>
                                      <w:sz w:val="15"/>
                                    </w:rPr>
                                    <w:t>11%</w:t>
                                  </w:r>
                                </w:p>
                              </w:tc>
                            </w:tr>
                            <w:tr>
                              <w:trPr>
                                <w:trHeight w:val="252"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Family</w:t>
                                  </w:r>
                                  <w:r>
                                    <w:rPr>
                                      <w:color w:val="231F20"/>
                                      <w:spacing w:val="-3"/>
                                      <w:sz w:val="15"/>
                                    </w:rPr>
                                    <w:t> </w:t>
                                  </w:r>
                                  <w:r>
                                    <w:rPr>
                                      <w:color w:val="231F20"/>
                                      <w:spacing w:val="-2"/>
                                      <w:sz w:val="15"/>
                                    </w:rPr>
                                    <w:t>history of</w:t>
                                  </w:r>
                                  <w:r>
                                    <w:rPr>
                                      <w:color w:val="231F20"/>
                                      <w:spacing w:val="-3"/>
                                      <w:sz w:val="15"/>
                                    </w:rPr>
                                    <w:t> </w:t>
                                  </w:r>
                                  <w:r>
                                    <w:rPr>
                                      <w:color w:val="231F20"/>
                                      <w:spacing w:val="-2"/>
                                      <w:sz w:val="15"/>
                                    </w:rPr>
                                    <w:t>epilepsy</w:t>
                                  </w:r>
                                </w:p>
                              </w:tc>
                              <w:tc>
                                <w:tcPr>
                                  <w:tcW w:w="2061" w:type="dxa"/>
                                  <w:tcBorders>
                                    <w:top w:val="single" w:sz="4" w:space="0" w:color="FFFFFF"/>
                                    <w:bottom w:val="single" w:sz="4" w:space="0" w:color="FFFFFF"/>
                                  </w:tcBorders>
                                  <w:shd w:val="clear" w:color="auto" w:fill="E8F5F1"/>
                                </w:tcPr>
                                <w:p>
                                  <w:pPr>
                                    <w:pStyle w:val="TableParagraph"/>
                                    <w:spacing w:before="42"/>
                                    <w:ind w:left="174" w:right="78"/>
                                    <w:jc w:val="center"/>
                                    <w:rPr>
                                      <w:sz w:val="15"/>
                                    </w:rPr>
                                  </w:pPr>
                                  <w:r>
                                    <w:rPr>
                                      <w:color w:val="231F20"/>
                                      <w:spacing w:val="-5"/>
                                      <w:w w:val="110"/>
                                      <w:sz w:val="15"/>
                                    </w:rPr>
                                    <w:t>18%</w:t>
                                  </w:r>
                                </w:p>
                              </w:tc>
                            </w:tr>
                            <w:tr>
                              <w:trPr>
                                <w:trHeight w:val="252"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Complex</w:t>
                                  </w:r>
                                  <w:r>
                                    <w:rPr>
                                      <w:color w:val="231F20"/>
                                      <w:spacing w:val="-6"/>
                                      <w:sz w:val="15"/>
                                    </w:rPr>
                                    <w:t> </w:t>
                                  </w:r>
                                  <w:r>
                                    <w:rPr>
                                      <w:color w:val="231F20"/>
                                      <w:sz w:val="15"/>
                                    </w:rPr>
                                    <w:t>febrile</w:t>
                                  </w:r>
                                  <w:r>
                                    <w:rPr>
                                      <w:color w:val="231F20"/>
                                      <w:spacing w:val="-6"/>
                                      <w:sz w:val="15"/>
                                    </w:rPr>
                                    <w:t> </w:t>
                                  </w:r>
                                  <w:r>
                                    <w:rPr>
                                      <w:color w:val="231F20"/>
                                      <w:sz w:val="15"/>
                                    </w:rPr>
                                    <w:t>seizures</w:t>
                                  </w:r>
                                  <w:r>
                                    <w:rPr>
                                      <w:color w:val="231F20"/>
                                      <w:spacing w:val="-5"/>
                                      <w:sz w:val="15"/>
                                    </w:rPr>
                                    <w:t> </w:t>
                                  </w:r>
                                  <w:r>
                                    <w:rPr>
                                      <w:color w:val="231F20"/>
                                      <w:spacing w:val="-2"/>
                                      <w:sz w:val="15"/>
                                    </w:rPr>
                                    <w:t>(focal)</w:t>
                                  </w:r>
                                </w:p>
                              </w:tc>
                              <w:tc>
                                <w:tcPr>
                                  <w:tcW w:w="2061" w:type="dxa"/>
                                  <w:tcBorders>
                                    <w:top w:val="single" w:sz="4" w:space="0" w:color="FFFFFF"/>
                                    <w:bottom w:val="single" w:sz="4" w:space="0" w:color="FFFFFF"/>
                                  </w:tcBorders>
                                  <w:shd w:val="clear" w:color="auto" w:fill="E8F5F1"/>
                                </w:tcPr>
                                <w:p>
                                  <w:pPr>
                                    <w:pStyle w:val="TableParagraph"/>
                                    <w:spacing w:before="42"/>
                                    <w:ind w:left="174" w:right="78"/>
                                    <w:jc w:val="center"/>
                                    <w:rPr>
                                      <w:sz w:val="15"/>
                                    </w:rPr>
                                  </w:pPr>
                                  <w:r>
                                    <w:rPr>
                                      <w:color w:val="231F20"/>
                                      <w:spacing w:val="-5"/>
                                      <w:w w:val="110"/>
                                      <w:sz w:val="15"/>
                                    </w:rPr>
                                    <w:t>29%</w:t>
                                  </w:r>
                                </w:p>
                              </w:tc>
                            </w:tr>
                            <w:tr>
                              <w:trPr>
                                <w:trHeight w:val="247" w:hRule="atLeast"/>
                              </w:trPr>
                              <w:tc>
                                <w:tcPr>
                                  <w:tcW w:w="264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Neurodevelopmental</w:t>
                                  </w:r>
                                  <w:r>
                                    <w:rPr>
                                      <w:color w:val="231F20"/>
                                      <w:spacing w:val="14"/>
                                      <w:sz w:val="15"/>
                                    </w:rPr>
                                    <w:t> </w:t>
                                  </w:r>
                                  <w:r>
                                    <w:rPr>
                                      <w:color w:val="231F20"/>
                                      <w:spacing w:val="-2"/>
                                      <w:sz w:val="15"/>
                                    </w:rPr>
                                    <w:t>abnormalities</w:t>
                                  </w:r>
                                </w:p>
                              </w:tc>
                              <w:tc>
                                <w:tcPr>
                                  <w:tcW w:w="2061" w:type="dxa"/>
                                  <w:tcBorders>
                                    <w:top w:val="single" w:sz="4" w:space="0" w:color="FFFFFF"/>
                                    <w:bottom w:val="single" w:sz="8" w:space="0" w:color="231F20"/>
                                  </w:tcBorders>
                                  <w:shd w:val="clear" w:color="auto" w:fill="E8F5F1"/>
                                </w:tcPr>
                                <w:p>
                                  <w:pPr>
                                    <w:pStyle w:val="TableParagraph"/>
                                    <w:spacing w:before="42"/>
                                    <w:ind w:left="174" w:right="78"/>
                                    <w:jc w:val="center"/>
                                    <w:rPr>
                                      <w:sz w:val="15"/>
                                    </w:rPr>
                                  </w:pPr>
                                  <w:r>
                                    <w:rPr>
                                      <w:color w:val="231F20"/>
                                      <w:spacing w:val="-5"/>
                                      <w:w w:val="110"/>
                                      <w:sz w:val="15"/>
                                    </w:rPr>
                                    <w:t>33%</w:t>
                                  </w:r>
                                </w:p>
                              </w:tc>
                            </w:tr>
                          </w:tbl>
                          <w:p>
                            <w:pPr>
                              <w:pStyle w:val="BodyText"/>
                            </w:pPr>
                          </w:p>
                        </w:txbxContent>
                      </wps:txbx>
                      <wps:bodyPr wrap="square" lIns="0" tIns="0" rIns="0" bIns="0" rtlCol="0">
                        <a:noAutofit/>
                      </wps:bodyPr>
                    </wps:wsp>
                  </a:graphicData>
                </a:graphic>
              </wp:anchor>
            </w:drawing>
          </mc:Choice>
          <mc:Fallback>
            <w:pict>
              <v:shape style="position:absolute;margin-left:310.776489pt;margin-top:12.630762pt;width:235.15pt;height:168.9pt;mso-position-horizontal-relative:page;mso-position-vertical-relative:paragraph;z-index:-15728640;mso-wrap-distance-left:0;mso-wrap-distance-right:0" type="#_x0000_t202" id="docshape52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494"/>
                        <w:gridCol w:w="2061"/>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593-</w:t>
                            </w:r>
                            <w:r>
                              <w:rPr>
                                <w:b/>
                                <w:color w:val="FFFFFF"/>
                                <w:spacing w:val="-10"/>
                                <w:w w:val="105"/>
                                <w:sz w:val="16"/>
                              </w:rPr>
                              <w:t>7</w:t>
                            </w:r>
                          </w:p>
                        </w:tc>
                        <w:tc>
                          <w:tcPr>
                            <w:tcW w:w="3555" w:type="dxa"/>
                            <w:gridSpan w:val="2"/>
                            <w:tcBorders>
                              <w:left w:val="single" w:sz="8" w:space="0" w:color="FFFFFF"/>
                            </w:tcBorders>
                            <w:shd w:val="clear" w:color="auto" w:fill="231F20"/>
                          </w:tcPr>
                          <w:p>
                            <w:pPr>
                              <w:pStyle w:val="TableParagraph"/>
                              <w:spacing w:before="89"/>
                              <w:ind w:left="73" w:right="350"/>
                              <w:rPr>
                                <w:sz w:val="16"/>
                              </w:rPr>
                            </w:pPr>
                            <w:r>
                              <w:rPr>
                                <w:color w:val="FFFFFF"/>
                                <w:w w:val="105"/>
                                <w:sz w:val="16"/>
                              </w:rPr>
                              <w:t>Risk Factors for Occurrence of Subsequent Epilepsy After a </w:t>
                            </w:r>
                            <w:r>
                              <w:rPr>
                                <w:color w:val="FFFFFF"/>
                                <w:w w:val="105"/>
                                <w:sz w:val="16"/>
                              </w:rPr>
                              <w:t>Febrile </w:t>
                            </w:r>
                            <w:r>
                              <w:rPr>
                                <w:color w:val="FFFFFF"/>
                                <w:spacing w:val="-2"/>
                                <w:w w:val="105"/>
                                <w:sz w:val="16"/>
                              </w:rPr>
                              <w:t>Seizure</w:t>
                            </w:r>
                          </w:p>
                        </w:tc>
                      </w:tr>
                      <w:tr>
                        <w:trPr>
                          <w:trHeight w:val="425" w:hRule="atLeast"/>
                        </w:trPr>
                        <w:tc>
                          <w:tcPr>
                            <w:tcW w:w="2642" w:type="dxa"/>
                            <w:gridSpan w:val="2"/>
                            <w:tcBorders>
                              <w:bottom w:val="single" w:sz="4" w:space="0" w:color="231F20"/>
                            </w:tcBorders>
                            <w:shd w:val="clear" w:color="auto" w:fill="E8F5F1"/>
                          </w:tcPr>
                          <w:p>
                            <w:pPr>
                              <w:pStyle w:val="TableParagraph"/>
                              <w:spacing w:before="41"/>
                              <w:rPr>
                                <w:sz w:val="15"/>
                              </w:rPr>
                            </w:pPr>
                          </w:p>
                          <w:p>
                            <w:pPr>
                              <w:pStyle w:val="TableParagraph"/>
                              <w:ind w:left="74"/>
                              <w:rPr>
                                <w:b/>
                                <w:sz w:val="15"/>
                              </w:rPr>
                            </w:pPr>
                            <w:r>
                              <w:rPr>
                                <w:b/>
                                <w:color w:val="231F20"/>
                                <w:w w:val="110"/>
                                <w:sz w:val="15"/>
                              </w:rPr>
                              <w:t>RISK</w:t>
                            </w:r>
                            <w:r>
                              <w:rPr>
                                <w:b/>
                                <w:color w:val="231F20"/>
                                <w:spacing w:val="2"/>
                                <w:w w:val="110"/>
                                <w:sz w:val="15"/>
                              </w:rPr>
                              <w:t> </w:t>
                            </w:r>
                            <w:r>
                              <w:rPr>
                                <w:b/>
                                <w:color w:val="231F20"/>
                                <w:spacing w:val="-2"/>
                                <w:w w:val="110"/>
                                <w:sz w:val="15"/>
                              </w:rPr>
                              <w:t>FACTOR</w:t>
                            </w:r>
                          </w:p>
                        </w:tc>
                        <w:tc>
                          <w:tcPr>
                            <w:tcW w:w="2061" w:type="dxa"/>
                            <w:tcBorders>
                              <w:bottom w:val="single" w:sz="4" w:space="0" w:color="231F20"/>
                            </w:tcBorders>
                            <w:shd w:val="clear" w:color="auto" w:fill="E8F5F1"/>
                          </w:tcPr>
                          <w:p>
                            <w:pPr>
                              <w:pStyle w:val="TableParagraph"/>
                              <w:spacing w:line="230" w:lineRule="auto" w:before="53"/>
                              <w:ind w:left="742" w:hanging="540"/>
                              <w:rPr>
                                <w:b/>
                                <w:sz w:val="15"/>
                              </w:rPr>
                            </w:pPr>
                            <w:r>
                              <w:rPr>
                                <w:b/>
                                <w:color w:val="231F20"/>
                                <w:w w:val="110"/>
                                <w:sz w:val="15"/>
                              </w:rPr>
                              <w:t>RISK</w:t>
                            </w:r>
                            <w:r>
                              <w:rPr>
                                <w:b/>
                                <w:color w:val="231F20"/>
                                <w:spacing w:val="-13"/>
                                <w:w w:val="110"/>
                                <w:sz w:val="15"/>
                              </w:rPr>
                              <w:t> </w:t>
                            </w:r>
                            <w:r>
                              <w:rPr>
                                <w:b/>
                                <w:color w:val="231F20"/>
                                <w:w w:val="110"/>
                                <w:sz w:val="15"/>
                              </w:rPr>
                              <w:t>FOR</w:t>
                            </w:r>
                            <w:r>
                              <w:rPr>
                                <w:b/>
                                <w:color w:val="231F20"/>
                                <w:spacing w:val="-12"/>
                                <w:w w:val="110"/>
                                <w:sz w:val="15"/>
                              </w:rPr>
                              <w:t> </w:t>
                            </w:r>
                            <w:r>
                              <w:rPr>
                                <w:b/>
                                <w:color w:val="231F20"/>
                                <w:w w:val="110"/>
                                <w:sz w:val="15"/>
                              </w:rPr>
                              <w:t>SUBSEQUENT </w:t>
                            </w:r>
                            <w:r>
                              <w:rPr>
                                <w:b/>
                                <w:color w:val="231F20"/>
                                <w:spacing w:val="-2"/>
                                <w:w w:val="110"/>
                                <w:sz w:val="15"/>
                              </w:rPr>
                              <w:t>EPILEPSY</w:t>
                            </w:r>
                          </w:p>
                        </w:tc>
                      </w:tr>
                      <w:tr>
                        <w:trPr>
                          <w:trHeight w:val="257" w:hRule="atLeast"/>
                        </w:trPr>
                        <w:tc>
                          <w:tcPr>
                            <w:tcW w:w="264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Simple</w:t>
                            </w:r>
                            <w:r>
                              <w:rPr>
                                <w:color w:val="231F20"/>
                                <w:spacing w:val="-11"/>
                                <w:sz w:val="15"/>
                              </w:rPr>
                              <w:t> </w:t>
                            </w:r>
                            <w:r>
                              <w:rPr>
                                <w:color w:val="231F20"/>
                                <w:sz w:val="15"/>
                              </w:rPr>
                              <w:t>febrile</w:t>
                            </w:r>
                            <w:r>
                              <w:rPr>
                                <w:color w:val="231F20"/>
                                <w:spacing w:val="-10"/>
                                <w:sz w:val="15"/>
                              </w:rPr>
                              <w:t> </w:t>
                            </w:r>
                            <w:r>
                              <w:rPr>
                                <w:color w:val="231F20"/>
                                <w:spacing w:val="-2"/>
                                <w:sz w:val="15"/>
                              </w:rPr>
                              <w:t>seizure</w:t>
                            </w:r>
                          </w:p>
                        </w:tc>
                        <w:tc>
                          <w:tcPr>
                            <w:tcW w:w="2061" w:type="dxa"/>
                            <w:tcBorders>
                              <w:top w:val="single" w:sz="4" w:space="0" w:color="231F20"/>
                              <w:bottom w:val="single" w:sz="4" w:space="0" w:color="FFFFFF"/>
                            </w:tcBorders>
                            <w:shd w:val="clear" w:color="auto" w:fill="E8F5F1"/>
                          </w:tcPr>
                          <w:p>
                            <w:pPr>
                              <w:pStyle w:val="TableParagraph"/>
                              <w:spacing w:before="47"/>
                              <w:ind w:left="174"/>
                              <w:jc w:val="center"/>
                              <w:rPr>
                                <w:sz w:val="15"/>
                              </w:rPr>
                            </w:pPr>
                            <w:r>
                              <w:rPr>
                                <w:color w:val="231F20"/>
                                <w:spacing w:val="-5"/>
                                <w:w w:val="120"/>
                                <w:sz w:val="15"/>
                              </w:rPr>
                              <w:t>1%</w:t>
                            </w:r>
                          </w:p>
                        </w:tc>
                      </w:tr>
                      <w:tr>
                        <w:trPr>
                          <w:trHeight w:val="252"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Recurrent</w:t>
                            </w:r>
                            <w:r>
                              <w:rPr>
                                <w:color w:val="231F20"/>
                                <w:spacing w:val="6"/>
                                <w:sz w:val="15"/>
                              </w:rPr>
                              <w:t> </w:t>
                            </w:r>
                            <w:r>
                              <w:rPr>
                                <w:color w:val="231F20"/>
                                <w:spacing w:val="-4"/>
                                <w:sz w:val="15"/>
                              </w:rPr>
                              <w:t>febrile</w:t>
                            </w:r>
                            <w:r>
                              <w:rPr>
                                <w:color w:val="231F20"/>
                                <w:spacing w:val="6"/>
                                <w:sz w:val="15"/>
                              </w:rPr>
                              <w:t> </w:t>
                            </w:r>
                            <w:r>
                              <w:rPr>
                                <w:color w:val="231F20"/>
                                <w:spacing w:val="-4"/>
                                <w:sz w:val="15"/>
                              </w:rPr>
                              <w:t>seizures</w:t>
                            </w:r>
                          </w:p>
                        </w:tc>
                        <w:tc>
                          <w:tcPr>
                            <w:tcW w:w="2061" w:type="dxa"/>
                            <w:tcBorders>
                              <w:top w:val="single" w:sz="4" w:space="0" w:color="FFFFFF"/>
                              <w:bottom w:val="single" w:sz="4" w:space="0" w:color="FFFFFF"/>
                            </w:tcBorders>
                            <w:shd w:val="clear" w:color="auto" w:fill="E8F5F1"/>
                          </w:tcPr>
                          <w:p>
                            <w:pPr>
                              <w:pStyle w:val="TableParagraph"/>
                              <w:spacing w:before="42"/>
                              <w:ind w:left="174"/>
                              <w:jc w:val="center"/>
                              <w:rPr>
                                <w:sz w:val="15"/>
                              </w:rPr>
                            </w:pPr>
                            <w:r>
                              <w:rPr>
                                <w:color w:val="231F20"/>
                                <w:spacing w:val="-5"/>
                                <w:w w:val="120"/>
                                <w:sz w:val="15"/>
                              </w:rPr>
                              <w:t>4%</w:t>
                            </w:r>
                          </w:p>
                        </w:tc>
                      </w:tr>
                      <w:tr>
                        <w:trPr>
                          <w:trHeight w:val="588" w:hRule="atLeast"/>
                        </w:trPr>
                        <w:tc>
                          <w:tcPr>
                            <w:tcW w:w="2642" w:type="dxa"/>
                            <w:gridSpan w:val="2"/>
                            <w:tcBorders>
                              <w:top w:val="single" w:sz="4" w:space="0" w:color="FFFFFF"/>
                              <w:bottom w:val="single" w:sz="4" w:space="0" w:color="FFFFFF"/>
                            </w:tcBorders>
                            <w:shd w:val="clear" w:color="auto" w:fill="E8F5F1"/>
                          </w:tcPr>
                          <w:p>
                            <w:pPr>
                              <w:pStyle w:val="TableParagraph"/>
                              <w:spacing w:line="230" w:lineRule="auto" w:before="48"/>
                              <w:ind w:left="186" w:right="191" w:hanging="112"/>
                              <w:rPr>
                                <w:sz w:val="15"/>
                              </w:rPr>
                            </w:pPr>
                            <w:r>
                              <w:rPr>
                                <w:color w:val="231F20"/>
                                <w:sz w:val="15"/>
                              </w:rPr>
                              <w:t>Complex febrile seizures (more </w:t>
                            </w:r>
                            <w:r>
                              <w:rPr>
                                <w:color w:val="231F20"/>
                                <w:spacing w:val="-2"/>
                                <w:sz w:val="15"/>
                              </w:rPr>
                              <w:t>than</w:t>
                            </w:r>
                            <w:r>
                              <w:rPr>
                                <w:color w:val="231F20"/>
                                <w:spacing w:val="-7"/>
                                <w:sz w:val="15"/>
                              </w:rPr>
                              <w:t> </w:t>
                            </w:r>
                            <w:r>
                              <w:rPr>
                                <w:color w:val="231F20"/>
                                <w:spacing w:val="-2"/>
                                <w:sz w:val="15"/>
                              </w:rPr>
                              <w:t>15</w:t>
                            </w:r>
                            <w:r>
                              <w:rPr>
                                <w:color w:val="231F20"/>
                                <w:spacing w:val="-7"/>
                                <w:sz w:val="15"/>
                              </w:rPr>
                              <w:t> </w:t>
                            </w:r>
                            <w:r>
                              <w:rPr>
                                <w:color w:val="231F20"/>
                                <w:spacing w:val="-2"/>
                                <w:sz w:val="15"/>
                              </w:rPr>
                              <w:t>min</w:t>
                            </w:r>
                            <w:r>
                              <w:rPr>
                                <w:color w:val="231F20"/>
                                <w:spacing w:val="-7"/>
                                <w:sz w:val="15"/>
                              </w:rPr>
                              <w:t> </w:t>
                            </w:r>
                            <w:r>
                              <w:rPr>
                                <w:color w:val="231F20"/>
                                <w:spacing w:val="-2"/>
                                <w:sz w:val="15"/>
                              </w:rPr>
                              <w:t>duration</w:t>
                            </w:r>
                            <w:r>
                              <w:rPr>
                                <w:color w:val="231F20"/>
                                <w:spacing w:val="-7"/>
                                <w:sz w:val="15"/>
                              </w:rPr>
                              <w:t> </w:t>
                            </w:r>
                            <w:r>
                              <w:rPr>
                                <w:color w:val="231F20"/>
                                <w:spacing w:val="-2"/>
                                <w:sz w:val="15"/>
                              </w:rPr>
                              <w:t>or</w:t>
                            </w:r>
                            <w:r>
                              <w:rPr>
                                <w:color w:val="231F20"/>
                                <w:spacing w:val="-7"/>
                                <w:sz w:val="15"/>
                              </w:rPr>
                              <w:t> </w:t>
                            </w:r>
                            <w:r>
                              <w:rPr>
                                <w:color w:val="231F20"/>
                                <w:spacing w:val="-2"/>
                                <w:sz w:val="15"/>
                              </w:rPr>
                              <w:t>recurrent </w:t>
                            </w:r>
                            <w:r>
                              <w:rPr>
                                <w:color w:val="231F20"/>
                                <w:sz w:val="15"/>
                              </w:rPr>
                              <w:t>within 24 hr)</w:t>
                            </w:r>
                          </w:p>
                        </w:tc>
                        <w:tc>
                          <w:tcPr>
                            <w:tcW w:w="2061" w:type="dxa"/>
                            <w:tcBorders>
                              <w:top w:val="single" w:sz="4" w:space="0" w:color="FFFFFF"/>
                              <w:bottom w:val="single" w:sz="4" w:space="0" w:color="FFFFFF"/>
                            </w:tcBorders>
                            <w:shd w:val="clear" w:color="auto" w:fill="E8F5F1"/>
                          </w:tcPr>
                          <w:p>
                            <w:pPr>
                              <w:pStyle w:val="TableParagraph"/>
                              <w:spacing w:before="42"/>
                              <w:ind w:left="174" w:right="1"/>
                              <w:jc w:val="center"/>
                              <w:rPr>
                                <w:sz w:val="15"/>
                              </w:rPr>
                            </w:pPr>
                            <w:r>
                              <w:rPr>
                                <w:color w:val="231F20"/>
                                <w:spacing w:val="-5"/>
                                <w:w w:val="120"/>
                                <w:sz w:val="15"/>
                              </w:rPr>
                              <w:t>6%</w:t>
                            </w:r>
                          </w:p>
                        </w:tc>
                      </w:tr>
                      <w:tr>
                        <w:trPr>
                          <w:trHeight w:val="254"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Fever</w:t>
                            </w:r>
                            <w:r>
                              <w:rPr>
                                <w:color w:val="231F20"/>
                                <w:spacing w:val="-10"/>
                                <w:sz w:val="15"/>
                              </w:rPr>
                              <w:t> </w:t>
                            </w:r>
                            <w:r>
                              <w:rPr>
                                <w:rFonts w:ascii="Cambria"/>
                                <w:color w:val="231F20"/>
                                <w:sz w:val="15"/>
                              </w:rPr>
                              <w:t>&lt;</w:t>
                            </w:r>
                            <w:r>
                              <w:rPr>
                                <w:color w:val="231F20"/>
                                <w:sz w:val="15"/>
                              </w:rPr>
                              <w:t>1</w:t>
                            </w:r>
                            <w:r>
                              <w:rPr>
                                <w:color w:val="231F20"/>
                                <w:spacing w:val="-9"/>
                                <w:sz w:val="15"/>
                              </w:rPr>
                              <w:t> </w:t>
                            </w:r>
                            <w:r>
                              <w:rPr>
                                <w:color w:val="231F20"/>
                                <w:sz w:val="15"/>
                              </w:rPr>
                              <w:t>hr</w:t>
                            </w:r>
                            <w:r>
                              <w:rPr>
                                <w:color w:val="231F20"/>
                                <w:spacing w:val="-9"/>
                                <w:sz w:val="15"/>
                              </w:rPr>
                              <w:t> </w:t>
                            </w:r>
                            <w:r>
                              <w:rPr>
                                <w:color w:val="231F20"/>
                                <w:sz w:val="15"/>
                              </w:rPr>
                              <w:t>before</w:t>
                            </w:r>
                            <w:r>
                              <w:rPr>
                                <w:color w:val="231F20"/>
                                <w:spacing w:val="-9"/>
                                <w:sz w:val="15"/>
                              </w:rPr>
                              <w:t> </w:t>
                            </w:r>
                            <w:r>
                              <w:rPr>
                                <w:color w:val="231F20"/>
                                <w:sz w:val="15"/>
                              </w:rPr>
                              <w:t>febrile</w:t>
                            </w:r>
                            <w:r>
                              <w:rPr>
                                <w:color w:val="231F20"/>
                                <w:spacing w:val="-9"/>
                                <w:sz w:val="15"/>
                              </w:rPr>
                              <w:t> </w:t>
                            </w:r>
                            <w:r>
                              <w:rPr>
                                <w:color w:val="231F20"/>
                                <w:spacing w:val="-2"/>
                                <w:sz w:val="15"/>
                              </w:rPr>
                              <w:t>seizure</w:t>
                            </w:r>
                          </w:p>
                        </w:tc>
                        <w:tc>
                          <w:tcPr>
                            <w:tcW w:w="2061" w:type="dxa"/>
                            <w:tcBorders>
                              <w:top w:val="single" w:sz="4" w:space="0" w:color="FFFFFF"/>
                              <w:bottom w:val="single" w:sz="4" w:space="0" w:color="FFFFFF"/>
                            </w:tcBorders>
                            <w:shd w:val="clear" w:color="auto" w:fill="E8F5F1"/>
                          </w:tcPr>
                          <w:p>
                            <w:pPr>
                              <w:pStyle w:val="TableParagraph"/>
                              <w:spacing w:before="42"/>
                              <w:ind w:left="174" w:right="78"/>
                              <w:jc w:val="center"/>
                              <w:rPr>
                                <w:sz w:val="15"/>
                              </w:rPr>
                            </w:pPr>
                            <w:r>
                              <w:rPr>
                                <w:color w:val="231F20"/>
                                <w:spacing w:val="-5"/>
                                <w:w w:val="110"/>
                                <w:sz w:val="15"/>
                              </w:rPr>
                              <w:t>11%</w:t>
                            </w:r>
                          </w:p>
                        </w:tc>
                      </w:tr>
                      <w:tr>
                        <w:trPr>
                          <w:trHeight w:val="252"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Family</w:t>
                            </w:r>
                            <w:r>
                              <w:rPr>
                                <w:color w:val="231F20"/>
                                <w:spacing w:val="-3"/>
                                <w:sz w:val="15"/>
                              </w:rPr>
                              <w:t> </w:t>
                            </w:r>
                            <w:r>
                              <w:rPr>
                                <w:color w:val="231F20"/>
                                <w:spacing w:val="-2"/>
                                <w:sz w:val="15"/>
                              </w:rPr>
                              <w:t>history of</w:t>
                            </w:r>
                            <w:r>
                              <w:rPr>
                                <w:color w:val="231F20"/>
                                <w:spacing w:val="-3"/>
                                <w:sz w:val="15"/>
                              </w:rPr>
                              <w:t> </w:t>
                            </w:r>
                            <w:r>
                              <w:rPr>
                                <w:color w:val="231F20"/>
                                <w:spacing w:val="-2"/>
                                <w:sz w:val="15"/>
                              </w:rPr>
                              <w:t>epilepsy</w:t>
                            </w:r>
                          </w:p>
                        </w:tc>
                        <w:tc>
                          <w:tcPr>
                            <w:tcW w:w="2061" w:type="dxa"/>
                            <w:tcBorders>
                              <w:top w:val="single" w:sz="4" w:space="0" w:color="FFFFFF"/>
                              <w:bottom w:val="single" w:sz="4" w:space="0" w:color="FFFFFF"/>
                            </w:tcBorders>
                            <w:shd w:val="clear" w:color="auto" w:fill="E8F5F1"/>
                          </w:tcPr>
                          <w:p>
                            <w:pPr>
                              <w:pStyle w:val="TableParagraph"/>
                              <w:spacing w:before="42"/>
                              <w:ind w:left="174" w:right="78"/>
                              <w:jc w:val="center"/>
                              <w:rPr>
                                <w:sz w:val="15"/>
                              </w:rPr>
                            </w:pPr>
                            <w:r>
                              <w:rPr>
                                <w:color w:val="231F20"/>
                                <w:spacing w:val="-5"/>
                                <w:w w:val="110"/>
                                <w:sz w:val="15"/>
                              </w:rPr>
                              <w:t>18%</w:t>
                            </w:r>
                          </w:p>
                        </w:tc>
                      </w:tr>
                      <w:tr>
                        <w:trPr>
                          <w:trHeight w:val="252" w:hRule="atLeast"/>
                        </w:trPr>
                        <w:tc>
                          <w:tcPr>
                            <w:tcW w:w="264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Complex</w:t>
                            </w:r>
                            <w:r>
                              <w:rPr>
                                <w:color w:val="231F20"/>
                                <w:spacing w:val="-6"/>
                                <w:sz w:val="15"/>
                              </w:rPr>
                              <w:t> </w:t>
                            </w:r>
                            <w:r>
                              <w:rPr>
                                <w:color w:val="231F20"/>
                                <w:sz w:val="15"/>
                              </w:rPr>
                              <w:t>febrile</w:t>
                            </w:r>
                            <w:r>
                              <w:rPr>
                                <w:color w:val="231F20"/>
                                <w:spacing w:val="-6"/>
                                <w:sz w:val="15"/>
                              </w:rPr>
                              <w:t> </w:t>
                            </w:r>
                            <w:r>
                              <w:rPr>
                                <w:color w:val="231F20"/>
                                <w:sz w:val="15"/>
                              </w:rPr>
                              <w:t>seizures</w:t>
                            </w:r>
                            <w:r>
                              <w:rPr>
                                <w:color w:val="231F20"/>
                                <w:spacing w:val="-5"/>
                                <w:sz w:val="15"/>
                              </w:rPr>
                              <w:t> </w:t>
                            </w:r>
                            <w:r>
                              <w:rPr>
                                <w:color w:val="231F20"/>
                                <w:spacing w:val="-2"/>
                                <w:sz w:val="15"/>
                              </w:rPr>
                              <w:t>(focal)</w:t>
                            </w:r>
                          </w:p>
                        </w:tc>
                        <w:tc>
                          <w:tcPr>
                            <w:tcW w:w="2061" w:type="dxa"/>
                            <w:tcBorders>
                              <w:top w:val="single" w:sz="4" w:space="0" w:color="FFFFFF"/>
                              <w:bottom w:val="single" w:sz="4" w:space="0" w:color="FFFFFF"/>
                            </w:tcBorders>
                            <w:shd w:val="clear" w:color="auto" w:fill="E8F5F1"/>
                          </w:tcPr>
                          <w:p>
                            <w:pPr>
                              <w:pStyle w:val="TableParagraph"/>
                              <w:spacing w:before="42"/>
                              <w:ind w:left="174" w:right="78"/>
                              <w:jc w:val="center"/>
                              <w:rPr>
                                <w:sz w:val="15"/>
                              </w:rPr>
                            </w:pPr>
                            <w:r>
                              <w:rPr>
                                <w:color w:val="231F20"/>
                                <w:spacing w:val="-5"/>
                                <w:w w:val="110"/>
                                <w:sz w:val="15"/>
                              </w:rPr>
                              <w:t>29%</w:t>
                            </w:r>
                          </w:p>
                        </w:tc>
                      </w:tr>
                      <w:tr>
                        <w:trPr>
                          <w:trHeight w:val="247" w:hRule="atLeast"/>
                        </w:trPr>
                        <w:tc>
                          <w:tcPr>
                            <w:tcW w:w="264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Neurodevelopmental</w:t>
                            </w:r>
                            <w:r>
                              <w:rPr>
                                <w:color w:val="231F20"/>
                                <w:spacing w:val="14"/>
                                <w:sz w:val="15"/>
                              </w:rPr>
                              <w:t> </w:t>
                            </w:r>
                            <w:r>
                              <w:rPr>
                                <w:color w:val="231F20"/>
                                <w:spacing w:val="-2"/>
                                <w:sz w:val="15"/>
                              </w:rPr>
                              <w:t>abnormalities</w:t>
                            </w:r>
                          </w:p>
                        </w:tc>
                        <w:tc>
                          <w:tcPr>
                            <w:tcW w:w="2061" w:type="dxa"/>
                            <w:tcBorders>
                              <w:top w:val="single" w:sz="4" w:space="0" w:color="FFFFFF"/>
                              <w:bottom w:val="single" w:sz="8" w:space="0" w:color="231F20"/>
                            </w:tcBorders>
                            <w:shd w:val="clear" w:color="auto" w:fill="E8F5F1"/>
                          </w:tcPr>
                          <w:p>
                            <w:pPr>
                              <w:pStyle w:val="TableParagraph"/>
                              <w:spacing w:before="42"/>
                              <w:ind w:left="174" w:right="78"/>
                              <w:jc w:val="center"/>
                              <w:rPr>
                                <w:sz w:val="15"/>
                              </w:rPr>
                            </w:pPr>
                            <w:r>
                              <w:rPr>
                                <w:color w:val="231F20"/>
                                <w:spacing w:val="-5"/>
                                <w:w w:val="110"/>
                                <w:sz w:val="15"/>
                              </w:rPr>
                              <w:t>33%</w:t>
                            </w:r>
                          </w:p>
                        </w:tc>
                      </w:tr>
                    </w:tbl>
                    <w:p>
                      <w:pPr>
                        <w:pStyle w:val="BodyText"/>
                      </w:pPr>
                    </w:p>
                  </w:txbxContent>
                </v:textbox>
                <w10:wrap type="topAndBottom"/>
              </v:shape>
            </w:pict>
          </mc:Fallback>
        </mc:AlternateContent>
      </w:r>
    </w:p>
    <w:p>
      <w:pPr>
        <w:pStyle w:val="BodyText"/>
        <w:spacing w:after="0"/>
        <w:rPr>
          <w:sz w:val="19"/>
        </w:rPr>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590" name="Group 590"/>
                <wp:cNvGraphicFramePr>
                  <a:graphicFrameLocks/>
                </wp:cNvGraphicFramePr>
                <a:graphic>
                  <a:graphicData uri="http://schemas.microsoft.com/office/word/2010/wordprocessingGroup">
                    <wpg:wgp>
                      <wpg:cNvPr id="590" name="Group 590"/>
                      <wpg:cNvGrpSpPr/>
                      <wpg:grpSpPr>
                        <a:xfrm>
                          <a:off x="0" y="0"/>
                          <a:ext cx="6185535" cy="170815"/>
                          <a:chExt cx="6185535" cy="170815"/>
                        </a:xfrm>
                      </wpg:grpSpPr>
                      <wps:wsp>
                        <wps:cNvPr id="591" name="Graphic 591"/>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592" name="Graphic 592"/>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593" name="Textbox 593"/>
                        <wps:cNvSpPr txBox="1"/>
                        <wps:spPr>
                          <a:xfrm>
                            <a:off x="0" y="0"/>
                            <a:ext cx="6185535" cy="170815"/>
                          </a:xfrm>
                          <a:prstGeom prst="rect">
                            <a:avLst/>
                          </a:prstGeom>
                        </wps:spPr>
                        <wps:txbx>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2839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21"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22" filled="false" stroked="false">
                  <v:textbox inset="0,0,0,0">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2839</w:t>
                        </w:r>
                      </w:p>
                    </w:txbxContent>
                  </v:textbox>
                  <w10:wrap type="none"/>
                </v:shape>
              </v:group>
            </w:pict>
          </mc:Fallback>
        </mc:AlternateContent>
      </w:r>
      <w:r>
        <w:rPr>
          <w:sz w:val="20"/>
        </w:rPr>
      </w:r>
    </w:p>
    <w:p>
      <w:pPr>
        <w:pStyle w:val="BodyText"/>
        <w:spacing w:before="34"/>
      </w:pPr>
    </w:p>
    <w:p>
      <w:pPr>
        <w:pStyle w:val="BodyText"/>
        <w:spacing w:after="4"/>
        <w:ind w:left="1379" w:right="983"/>
        <w:jc w:val="center"/>
        <w:rPr>
          <w:rFonts w:ascii="Arial MT"/>
        </w:rPr>
      </w:pPr>
      <w:r>
        <w:rPr>
          <w:rFonts w:ascii="Arial MT"/>
          <w:color w:val="231F20"/>
        </w:rPr>
        <w:t>Did</w:t>
      </w:r>
      <w:r>
        <w:rPr>
          <w:rFonts w:ascii="Arial MT"/>
          <w:color w:val="231F20"/>
          <w:spacing w:val="-3"/>
        </w:rPr>
        <w:t> </w:t>
      </w:r>
      <w:r>
        <w:rPr>
          <w:rFonts w:ascii="Arial MT"/>
          <w:color w:val="231F20"/>
        </w:rPr>
        <w:t>the</w:t>
      </w:r>
      <w:r>
        <w:rPr>
          <w:rFonts w:ascii="Arial MT"/>
          <w:color w:val="231F20"/>
          <w:spacing w:val="-2"/>
        </w:rPr>
        <w:t> </w:t>
      </w:r>
      <w:r>
        <w:rPr>
          <w:rFonts w:ascii="Arial MT"/>
          <w:color w:val="231F20"/>
        </w:rPr>
        <w:t>child</w:t>
      </w:r>
      <w:r>
        <w:rPr>
          <w:rFonts w:ascii="Arial MT"/>
          <w:color w:val="231F20"/>
          <w:spacing w:val="-2"/>
        </w:rPr>
        <w:t> </w:t>
      </w:r>
      <w:r>
        <w:rPr>
          <w:rFonts w:ascii="Arial MT"/>
          <w:color w:val="231F20"/>
        </w:rPr>
        <w:t>have</w:t>
      </w:r>
      <w:r>
        <w:rPr>
          <w:rFonts w:ascii="Arial MT"/>
          <w:color w:val="231F20"/>
          <w:spacing w:val="-2"/>
        </w:rPr>
        <w:t> </w:t>
      </w:r>
      <w:r>
        <w:rPr>
          <w:rFonts w:ascii="Arial MT"/>
          <w:color w:val="231F20"/>
        </w:rPr>
        <w:t>a</w:t>
      </w:r>
      <w:r>
        <w:rPr>
          <w:rFonts w:ascii="Arial MT"/>
          <w:color w:val="231F20"/>
          <w:spacing w:val="-2"/>
        </w:rPr>
        <w:t> seizure?</w:t>
      </w:r>
    </w:p>
    <w:p>
      <w:pPr>
        <w:pStyle w:val="BodyText"/>
        <w:spacing w:line="175" w:lineRule="exact"/>
        <w:ind w:left="3521"/>
        <w:rPr>
          <w:rFonts w:ascii="Arial MT"/>
          <w:position w:val="-3"/>
          <w:sz w:val="17"/>
        </w:rPr>
      </w:pPr>
      <w:r>
        <w:rPr>
          <w:rFonts w:ascii="Arial MT"/>
          <w:position w:val="-3"/>
          <w:sz w:val="17"/>
        </w:rPr>
        <mc:AlternateContent>
          <mc:Choice Requires="wps">
            <w:drawing>
              <wp:inline distT="0" distB="0" distL="0" distR="0">
                <wp:extent cx="2063750" cy="104775"/>
                <wp:effectExtent l="0" t="0" r="0" b="0"/>
                <wp:docPr id="594" name="Group 594"/>
                <wp:cNvGraphicFramePr>
                  <a:graphicFrameLocks/>
                </wp:cNvGraphicFramePr>
                <a:graphic>
                  <a:graphicData uri="http://schemas.microsoft.com/office/word/2010/wordprocessingGroup">
                    <wpg:wgp>
                      <wpg:cNvPr id="594" name="Group 594"/>
                      <wpg:cNvGrpSpPr/>
                      <wpg:grpSpPr>
                        <a:xfrm>
                          <a:off x="0" y="0"/>
                          <a:ext cx="2063750" cy="104775"/>
                          <a:chExt cx="2063750" cy="104775"/>
                        </a:xfrm>
                      </wpg:grpSpPr>
                      <wps:wsp>
                        <wps:cNvPr id="595" name="Graphic 595"/>
                        <wps:cNvSpPr/>
                        <wps:spPr>
                          <a:xfrm>
                            <a:off x="5924" y="0"/>
                            <a:ext cx="2051685" cy="99060"/>
                          </a:xfrm>
                          <a:custGeom>
                            <a:avLst/>
                            <a:gdLst/>
                            <a:ahLst/>
                            <a:cxnLst/>
                            <a:rect l="l" t="t" r="r" b="b"/>
                            <a:pathLst>
                              <a:path w="2051685" h="99060">
                                <a:moveTo>
                                  <a:pt x="0" y="98443"/>
                                </a:moveTo>
                                <a:lnTo>
                                  <a:pt x="0" y="58238"/>
                                </a:lnTo>
                                <a:lnTo>
                                  <a:pt x="2051425" y="58238"/>
                                </a:lnTo>
                                <a:lnTo>
                                  <a:pt x="2051425" y="98443"/>
                                </a:lnTo>
                              </a:path>
                              <a:path w="2051685" h="99060">
                                <a:moveTo>
                                  <a:pt x="1338957" y="54411"/>
                                </a:moveTo>
                                <a:lnTo>
                                  <a:pt x="1338957" y="0"/>
                                </a:lnTo>
                              </a:path>
                            </a:pathLst>
                          </a:custGeom>
                          <a:ln w="11849">
                            <a:solidFill>
                              <a:srgbClr val="295CAA"/>
                            </a:solidFill>
                            <a:prstDash val="solid"/>
                          </a:ln>
                        </wps:spPr>
                        <wps:bodyPr wrap="square" lIns="0" tIns="0" rIns="0" bIns="0" rtlCol="0">
                          <a:prstTxWarp prst="textNoShape">
                            <a:avLst/>
                          </a:prstTxWarp>
                          <a:noAutofit/>
                        </wps:bodyPr>
                      </wps:wsp>
                    </wpg:wgp>
                  </a:graphicData>
                </a:graphic>
              </wp:inline>
            </w:drawing>
          </mc:Choice>
          <mc:Fallback>
            <w:pict>
              <v:group style="width:162.5pt;height:8.25pt;mso-position-horizontal-relative:char;mso-position-vertical-relative:line" id="docshapegroup523" coordorigin="0,0" coordsize="3250,165">
                <v:shape style="position:absolute;left:9;top:0;width:3231;height:156" id="docshape524" coordorigin="9,0" coordsize="3231,156" path="m9,155l9,92,3240,92,3240,155m2118,86l2118,0e" filled="false" stroked="true" strokeweight=".933007pt" strokecolor="#295caa">
                  <v:path arrowok="t"/>
                  <v:stroke dashstyle="solid"/>
                </v:shape>
              </v:group>
            </w:pict>
          </mc:Fallback>
        </mc:AlternateContent>
      </w:r>
      <w:r>
        <w:rPr>
          <w:rFonts w:ascii="Arial MT"/>
          <w:position w:val="-3"/>
          <w:sz w:val="17"/>
        </w:rPr>
      </w:r>
    </w:p>
    <w:p>
      <w:pPr>
        <w:pStyle w:val="BodyText"/>
        <w:tabs>
          <w:tab w:pos="6641" w:val="left" w:leader="none"/>
        </w:tabs>
        <w:spacing w:before="19" w:after="13"/>
        <w:ind w:left="3443"/>
        <w:rPr>
          <w:rFonts w:ascii="Arial MT"/>
        </w:rPr>
      </w:pPr>
      <w:r>
        <w:rPr>
          <w:rFonts w:ascii="Arial MT"/>
          <w:color w:val="231F20"/>
          <w:spacing w:val="-5"/>
        </w:rPr>
        <w:t>NO</w:t>
      </w:r>
      <w:r>
        <w:rPr>
          <w:rFonts w:ascii="Arial MT"/>
          <w:color w:val="231F20"/>
        </w:rPr>
        <w:tab/>
      </w:r>
      <w:r>
        <w:rPr>
          <w:rFonts w:ascii="Arial MT"/>
          <w:color w:val="231F20"/>
          <w:spacing w:val="-5"/>
        </w:rPr>
        <w:t>YES</w:t>
      </w:r>
    </w:p>
    <w:p>
      <w:pPr>
        <w:tabs>
          <w:tab w:pos="5581" w:val="left" w:leader="none"/>
        </w:tabs>
        <w:spacing w:line="240" w:lineRule="auto"/>
        <w:ind w:left="3467" w:right="0" w:firstLine="0"/>
        <w:rPr>
          <w:rFonts w:ascii="Arial MT"/>
          <w:sz w:val="20"/>
        </w:rPr>
      </w:pPr>
      <w:r>
        <w:rPr>
          <w:rFonts w:ascii="Arial MT"/>
          <w:position w:val="14"/>
          <w:sz w:val="20"/>
        </w:rPr>
        <mc:AlternateContent>
          <mc:Choice Requires="wps">
            <w:drawing>
              <wp:inline distT="0" distB="0" distL="0" distR="0">
                <wp:extent cx="77470" cy="111125"/>
                <wp:effectExtent l="0" t="0" r="0" b="3175"/>
                <wp:docPr id="596" name="Group 596"/>
                <wp:cNvGraphicFramePr>
                  <a:graphicFrameLocks/>
                </wp:cNvGraphicFramePr>
                <a:graphic>
                  <a:graphicData uri="http://schemas.microsoft.com/office/word/2010/wordprocessingGroup">
                    <wpg:wgp>
                      <wpg:cNvPr id="596" name="Group 596"/>
                      <wpg:cNvGrpSpPr/>
                      <wpg:grpSpPr>
                        <a:xfrm>
                          <a:off x="0" y="0"/>
                          <a:ext cx="77470" cy="111125"/>
                          <a:chExt cx="77470" cy="111125"/>
                        </a:xfrm>
                      </wpg:grpSpPr>
                      <wps:wsp>
                        <wps:cNvPr id="597" name="Graphic 597"/>
                        <wps:cNvSpPr/>
                        <wps:spPr>
                          <a:xfrm>
                            <a:off x="38531" y="0"/>
                            <a:ext cx="1270" cy="44450"/>
                          </a:xfrm>
                          <a:custGeom>
                            <a:avLst/>
                            <a:gdLst/>
                            <a:ahLst/>
                            <a:cxnLst/>
                            <a:rect l="l" t="t" r="r" b="b"/>
                            <a:pathLst>
                              <a:path w="0" h="44450">
                                <a:moveTo>
                                  <a:pt x="0" y="0"/>
                                </a:moveTo>
                                <a:lnTo>
                                  <a:pt x="0" y="44185"/>
                                </a:lnTo>
                              </a:path>
                            </a:pathLst>
                          </a:custGeom>
                          <a:ln w="11849">
                            <a:solidFill>
                              <a:srgbClr val="295CAA"/>
                            </a:solidFill>
                            <a:prstDash val="solid"/>
                          </a:ln>
                        </wps:spPr>
                        <wps:bodyPr wrap="square" lIns="0" tIns="0" rIns="0" bIns="0" rtlCol="0">
                          <a:prstTxWarp prst="textNoShape">
                            <a:avLst/>
                          </a:prstTxWarp>
                          <a:noAutofit/>
                        </wps:bodyPr>
                      </wps:wsp>
                      <wps:wsp>
                        <wps:cNvPr id="598" name="Graphic 598"/>
                        <wps:cNvSpPr/>
                        <wps:spPr>
                          <a:xfrm>
                            <a:off x="0" y="16798"/>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95CAA"/>
                          </a:solidFill>
                        </wps:spPr>
                        <wps:bodyPr wrap="square" lIns="0" tIns="0" rIns="0" bIns="0" rtlCol="0">
                          <a:prstTxWarp prst="textNoShape">
                            <a:avLst/>
                          </a:prstTxWarp>
                          <a:noAutofit/>
                        </wps:bodyPr>
                      </wps:wsp>
                    </wpg:wgp>
                  </a:graphicData>
                </a:graphic>
              </wp:inline>
            </w:drawing>
          </mc:Choice>
          <mc:Fallback>
            <w:pict>
              <v:group style="width:6.1pt;height:8.75pt;mso-position-horizontal-relative:char;mso-position-vertical-relative:line" id="docshapegroup525" coordorigin="0,0" coordsize="122,175">
                <v:line style="position:absolute" from="61,0" to="61,70" stroked="true" strokeweight=".933007pt" strokecolor="#295caa">
                  <v:stroke dashstyle="solid"/>
                </v:line>
                <v:shape style="position:absolute;left:0;top:26;width:122;height:149" id="docshape526" coordorigin="0,26" coordsize="122,149" path="m121,26l61,62,0,26,61,175,121,26xe" filled="true" fillcolor="#295caa" stroked="false">
                  <v:path arrowok="t"/>
                  <v:fill type="solid"/>
                </v:shape>
              </v:group>
            </w:pict>
          </mc:Fallback>
        </mc:AlternateContent>
      </w:r>
      <w:r>
        <w:rPr>
          <w:rFonts w:ascii="Arial MT"/>
          <w:position w:val="14"/>
          <w:sz w:val="20"/>
        </w:rPr>
      </w:r>
      <w:r>
        <w:rPr>
          <w:rFonts w:ascii="Arial MT"/>
          <w:position w:val="14"/>
          <w:sz w:val="20"/>
        </w:rPr>
        <w:tab/>
      </w:r>
      <w:r>
        <w:rPr>
          <w:rFonts w:ascii="Arial MT"/>
          <w:sz w:val="20"/>
        </w:rPr>
        <mc:AlternateContent>
          <mc:Choice Requires="wps">
            <w:drawing>
              <wp:inline distT="0" distB="0" distL="0" distR="0">
                <wp:extent cx="1291590" cy="196850"/>
                <wp:effectExtent l="9525" t="0" r="0" b="3175"/>
                <wp:docPr id="599" name="Group 599"/>
                <wp:cNvGraphicFramePr>
                  <a:graphicFrameLocks/>
                </wp:cNvGraphicFramePr>
                <a:graphic>
                  <a:graphicData uri="http://schemas.microsoft.com/office/word/2010/wordprocessingGroup">
                    <wpg:wgp>
                      <wpg:cNvPr id="599" name="Group 599"/>
                      <wpg:cNvGrpSpPr/>
                      <wpg:grpSpPr>
                        <a:xfrm>
                          <a:off x="0" y="0"/>
                          <a:ext cx="1291590" cy="196850"/>
                          <a:chExt cx="1291590" cy="196850"/>
                        </a:xfrm>
                      </wpg:grpSpPr>
                      <wps:wsp>
                        <wps:cNvPr id="600" name="Graphic 600"/>
                        <wps:cNvSpPr/>
                        <wps:spPr>
                          <a:xfrm>
                            <a:off x="38531" y="37489"/>
                            <a:ext cx="1214755" cy="92075"/>
                          </a:xfrm>
                          <a:custGeom>
                            <a:avLst/>
                            <a:gdLst/>
                            <a:ahLst/>
                            <a:cxnLst/>
                            <a:rect l="l" t="t" r="r" b="b"/>
                            <a:pathLst>
                              <a:path w="1214755" h="92075">
                                <a:moveTo>
                                  <a:pt x="0" y="92044"/>
                                </a:moveTo>
                                <a:lnTo>
                                  <a:pt x="0" y="0"/>
                                </a:lnTo>
                                <a:lnTo>
                                  <a:pt x="1214233" y="0"/>
                                </a:lnTo>
                                <a:lnTo>
                                  <a:pt x="1214233" y="92044"/>
                                </a:lnTo>
                              </a:path>
                            </a:pathLst>
                          </a:custGeom>
                          <a:ln w="11849">
                            <a:solidFill>
                              <a:srgbClr val="295CAA"/>
                            </a:solidFill>
                            <a:prstDash val="solid"/>
                          </a:ln>
                        </wps:spPr>
                        <wps:bodyPr wrap="square" lIns="0" tIns="0" rIns="0" bIns="0" rtlCol="0">
                          <a:prstTxWarp prst="textNoShape">
                            <a:avLst/>
                          </a:prstTxWarp>
                          <a:noAutofit/>
                        </wps:bodyPr>
                      </wps:wsp>
                      <wps:wsp>
                        <wps:cNvPr id="601" name="Graphic 601"/>
                        <wps:cNvSpPr/>
                        <wps:spPr>
                          <a:xfrm>
                            <a:off x="-1" y="102145"/>
                            <a:ext cx="1291590" cy="94615"/>
                          </a:xfrm>
                          <a:custGeom>
                            <a:avLst/>
                            <a:gdLst/>
                            <a:ahLst/>
                            <a:cxnLst/>
                            <a:rect l="l" t="t" r="r" b="b"/>
                            <a:pathLst>
                              <a:path w="1291590" h="94615">
                                <a:moveTo>
                                  <a:pt x="77063" y="0"/>
                                </a:moveTo>
                                <a:lnTo>
                                  <a:pt x="38531" y="22390"/>
                                </a:lnTo>
                                <a:lnTo>
                                  <a:pt x="0" y="0"/>
                                </a:lnTo>
                                <a:lnTo>
                                  <a:pt x="38531" y="94322"/>
                                </a:lnTo>
                                <a:lnTo>
                                  <a:pt x="77063" y="0"/>
                                </a:lnTo>
                                <a:close/>
                              </a:path>
                              <a:path w="1291590" h="94615">
                                <a:moveTo>
                                  <a:pt x="1291297" y="0"/>
                                </a:moveTo>
                                <a:lnTo>
                                  <a:pt x="1252766" y="22390"/>
                                </a:lnTo>
                                <a:lnTo>
                                  <a:pt x="1214234" y="0"/>
                                </a:lnTo>
                                <a:lnTo>
                                  <a:pt x="1252766" y="94322"/>
                                </a:lnTo>
                                <a:lnTo>
                                  <a:pt x="1291297" y="0"/>
                                </a:lnTo>
                                <a:close/>
                              </a:path>
                            </a:pathLst>
                          </a:custGeom>
                          <a:solidFill>
                            <a:srgbClr val="295CAA"/>
                          </a:solidFill>
                        </wps:spPr>
                        <wps:bodyPr wrap="square" lIns="0" tIns="0" rIns="0" bIns="0" rtlCol="0">
                          <a:prstTxWarp prst="textNoShape">
                            <a:avLst/>
                          </a:prstTxWarp>
                          <a:noAutofit/>
                        </wps:bodyPr>
                      </wps:wsp>
                      <wps:wsp>
                        <wps:cNvPr id="602" name="Graphic 602"/>
                        <wps:cNvSpPr/>
                        <wps:spPr>
                          <a:xfrm>
                            <a:off x="749612" y="0"/>
                            <a:ext cx="1270" cy="34290"/>
                          </a:xfrm>
                          <a:custGeom>
                            <a:avLst/>
                            <a:gdLst/>
                            <a:ahLst/>
                            <a:cxnLst/>
                            <a:rect l="l" t="t" r="r" b="b"/>
                            <a:pathLst>
                              <a:path w="0" h="34290">
                                <a:moveTo>
                                  <a:pt x="0" y="33663"/>
                                </a:moveTo>
                                <a:lnTo>
                                  <a:pt x="0" y="0"/>
                                </a:lnTo>
                              </a:path>
                            </a:pathLst>
                          </a:custGeom>
                          <a:ln w="11849">
                            <a:solidFill>
                              <a:srgbClr val="295CAA"/>
                            </a:solidFill>
                            <a:prstDash val="solid"/>
                          </a:ln>
                        </wps:spPr>
                        <wps:bodyPr wrap="square" lIns="0" tIns="0" rIns="0" bIns="0" rtlCol="0">
                          <a:prstTxWarp prst="textNoShape">
                            <a:avLst/>
                          </a:prstTxWarp>
                          <a:noAutofit/>
                        </wps:bodyPr>
                      </wps:wsp>
                    </wpg:wgp>
                  </a:graphicData>
                </a:graphic>
              </wp:inline>
            </w:drawing>
          </mc:Choice>
          <mc:Fallback>
            <w:pict>
              <v:group style="width:101.7pt;height:15.5pt;mso-position-horizontal-relative:char;mso-position-vertical-relative:line" id="docshapegroup527" coordorigin="0,0" coordsize="2034,310">
                <v:shape style="position:absolute;left:60;top:59;width:1913;height:145" id="docshape528" coordorigin="61,59" coordsize="1913,145" path="m61,204l61,59,1973,59,1973,204e" filled="false" stroked="true" strokeweight=".933007pt" strokecolor="#295caa">
                  <v:path arrowok="t"/>
                  <v:stroke dashstyle="solid"/>
                </v:shape>
                <v:shape style="position:absolute;left:0;top:160;width:2034;height:149" id="docshape529" coordorigin="0,161" coordsize="2034,149" path="m121,161l61,196,0,161,61,309,121,161xm2034,161l1973,196,1912,161,1973,309,2034,161xe" filled="true" fillcolor="#295caa" stroked="false">
                  <v:path arrowok="t"/>
                  <v:fill type="solid"/>
                </v:shape>
                <v:line style="position:absolute" from="1180,53" to="1180,0" stroked="true" strokeweight=".933007pt" strokecolor="#295caa">
                  <v:stroke dashstyle="solid"/>
                </v:line>
              </v:group>
            </w:pict>
          </mc:Fallback>
        </mc:AlternateContent>
      </w:r>
      <w:r>
        <w:rPr>
          <w:rFonts w:ascii="Arial MT"/>
          <w:sz w:val="20"/>
        </w:rPr>
      </w:r>
    </w:p>
    <w:p>
      <w:pPr>
        <w:spacing w:after="0" w:line="240" w:lineRule="auto"/>
        <w:rPr>
          <w:rFonts w:ascii="Arial MT"/>
          <w:sz w:val="20"/>
        </w:rPr>
        <w:sectPr>
          <w:pgSz w:w="11900" w:h="16840"/>
          <w:pgMar w:header="0" w:footer="0" w:top="720" w:bottom="280" w:left="425" w:right="566"/>
        </w:sectPr>
      </w:pPr>
    </w:p>
    <w:p>
      <w:pPr>
        <w:pStyle w:val="BodyText"/>
        <w:spacing w:line="112" w:lineRule="exact"/>
        <w:ind w:left="2867"/>
        <w:rPr>
          <w:rFonts w:ascii="Arial MT"/>
        </w:rPr>
      </w:pPr>
      <w:r>
        <w:rPr>
          <w:rFonts w:ascii="Arial MT"/>
          <w:color w:val="231F20"/>
        </w:rPr>
        <w:t>Benign</w:t>
      </w:r>
      <w:r>
        <w:rPr>
          <w:rFonts w:ascii="Arial MT"/>
          <w:color w:val="231F20"/>
          <w:spacing w:val="-5"/>
        </w:rPr>
        <w:t> </w:t>
      </w:r>
      <w:r>
        <w:rPr>
          <w:rFonts w:ascii="Arial MT"/>
          <w:color w:val="231F20"/>
          <w:spacing w:val="-2"/>
        </w:rPr>
        <w:t>paroxysmal</w:t>
      </w:r>
    </w:p>
    <w:p>
      <w:pPr>
        <w:pStyle w:val="BodyText"/>
        <w:spacing w:line="235" w:lineRule="auto" w:before="1"/>
        <w:ind w:left="2867" w:right="542" w:firstLine="130"/>
        <w:rPr>
          <w:rFonts w:ascii="Arial MT"/>
        </w:rPr>
      </w:pPr>
      <w:r>
        <w:rPr>
          <w:rFonts w:ascii="Arial MT"/>
          <w:color w:val="231F20"/>
          <w:spacing w:val="-2"/>
        </w:rPr>
        <w:t>vertigo</w:t>
      </w:r>
      <w:r>
        <w:rPr>
          <w:rFonts w:ascii="Arial MT"/>
          <w:color w:val="231F20"/>
          <w:spacing w:val="40"/>
        </w:rPr>
        <w:t> </w:t>
      </w:r>
      <w:r>
        <w:rPr>
          <w:rFonts w:ascii="Arial MT"/>
          <w:color w:val="231F20"/>
        </w:rPr>
        <w:t>Breath</w:t>
      </w:r>
      <w:r>
        <w:rPr>
          <w:rFonts w:ascii="Arial MT"/>
          <w:color w:val="231F20"/>
          <w:spacing w:val="-5"/>
        </w:rPr>
        <w:t> </w:t>
      </w:r>
      <w:r>
        <w:rPr>
          <w:rFonts w:ascii="Arial MT"/>
          <w:color w:val="231F20"/>
        </w:rPr>
        <w:t>holding</w:t>
      </w:r>
      <w:r>
        <w:rPr>
          <w:rFonts w:ascii="Arial MT"/>
          <w:color w:val="231F20"/>
          <w:spacing w:val="40"/>
        </w:rPr>
        <w:t> </w:t>
      </w:r>
      <w:r>
        <w:rPr>
          <w:rFonts w:ascii="Arial MT"/>
          <w:color w:val="231F20"/>
        </w:rPr>
        <w:t>Cough</w:t>
      </w:r>
      <w:r>
        <w:rPr>
          <w:rFonts w:ascii="Arial MT"/>
          <w:color w:val="231F20"/>
          <w:spacing w:val="-10"/>
        </w:rPr>
        <w:t> </w:t>
      </w:r>
      <w:r>
        <w:rPr>
          <w:rFonts w:ascii="Arial MT"/>
          <w:color w:val="231F20"/>
        </w:rPr>
        <w:t>syncope</w:t>
      </w:r>
    </w:p>
    <w:p>
      <w:pPr>
        <w:pStyle w:val="BodyText"/>
        <w:spacing w:line="235" w:lineRule="auto" w:before="1"/>
        <w:ind w:left="2867"/>
        <w:rPr>
          <w:rFonts w:ascii="Arial MT"/>
        </w:rPr>
      </w:pPr>
      <w:r>
        <w:rPr>
          <w:rFonts w:ascii="Arial MT"/>
          <w:color w:val="231F20"/>
        </w:rPr>
        <w:t>Familial</w:t>
      </w:r>
      <w:r>
        <w:rPr>
          <w:rFonts w:ascii="Arial MT"/>
          <w:color w:val="231F20"/>
          <w:spacing w:val="-5"/>
        </w:rPr>
        <w:t> </w:t>
      </w:r>
      <w:r>
        <w:rPr>
          <w:rFonts w:ascii="Arial MT"/>
          <w:color w:val="231F20"/>
        </w:rPr>
        <w:t>choreoathetosis</w:t>
      </w:r>
      <w:r>
        <w:rPr>
          <w:rFonts w:ascii="Arial MT"/>
          <w:color w:val="231F20"/>
          <w:spacing w:val="40"/>
        </w:rPr>
        <w:t> </w:t>
      </w:r>
      <w:r>
        <w:rPr>
          <w:rFonts w:ascii="Arial MT"/>
          <w:color w:val="231F20"/>
        </w:rPr>
        <w:t>Hereditary</w:t>
      </w:r>
      <w:r>
        <w:rPr>
          <w:rFonts w:ascii="Arial MT"/>
          <w:color w:val="231F20"/>
          <w:spacing w:val="-10"/>
        </w:rPr>
        <w:t> </w:t>
      </w:r>
      <w:r>
        <w:rPr>
          <w:rFonts w:ascii="Arial MT"/>
          <w:color w:val="231F20"/>
        </w:rPr>
        <w:t>chin</w:t>
      </w:r>
      <w:r>
        <w:rPr>
          <w:rFonts w:ascii="Arial MT"/>
          <w:color w:val="231F20"/>
          <w:spacing w:val="-9"/>
        </w:rPr>
        <w:t> </w:t>
      </w:r>
      <w:r>
        <w:rPr>
          <w:rFonts w:ascii="Arial MT"/>
          <w:color w:val="231F20"/>
        </w:rPr>
        <w:t>trembling</w:t>
      </w:r>
      <w:r>
        <w:rPr>
          <w:rFonts w:ascii="Arial MT"/>
          <w:color w:val="231F20"/>
          <w:spacing w:val="40"/>
        </w:rPr>
        <w:t> </w:t>
      </w:r>
      <w:r>
        <w:rPr>
          <w:rFonts w:ascii="Arial MT"/>
          <w:color w:val="231F20"/>
        </w:rPr>
        <w:t>Shuddering</w:t>
      </w:r>
      <w:r>
        <w:rPr>
          <w:rFonts w:ascii="Arial MT"/>
          <w:color w:val="231F20"/>
          <w:spacing w:val="-5"/>
        </w:rPr>
        <w:t> </w:t>
      </w:r>
      <w:r>
        <w:rPr>
          <w:rFonts w:ascii="Arial MT"/>
          <w:color w:val="231F20"/>
        </w:rPr>
        <w:t>attacks</w:t>
      </w:r>
      <w:r>
        <w:rPr>
          <w:rFonts w:ascii="Arial MT"/>
          <w:color w:val="231F20"/>
          <w:spacing w:val="40"/>
        </w:rPr>
        <w:t> </w:t>
      </w:r>
      <w:r>
        <w:rPr>
          <w:rFonts w:ascii="Arial MT"/>
          <w:color w:val="231F20"/>
          <w:spacing w:val="-2"/>
        </w:rPr>
        <w:t>Narcolepsy</w:t>
      </w:r>
    </w:p>
    <w:p>
      <w:pPr>
        <w:pStyle w:val="BodyText"/>
        <w:spacing w:line="235" w:lineRule="auto" w:before="2"/>
        <w:ind w:left="2867" w:right="264"/>
        <w:rPr>
          <w:rFonts w:ascii="Arial MT"/>
        </w:rPr>
      </w:pPr>
      <w:r>
        <w:rPr>
          <w:rFonts w:ascii="Arial MT"/>
        </w:rPr>
        <mc:AlternateContent>
          <mc:Choice Requires="wps">
            <w:drawing>
              <wp:anchor distT="0" distB="0" distL="0" distR="0" allowOverlap="1" layoutInCell="1" locked="0" behindDoc="1" simplePos="0" relativeHeight="475181056">
                <wp:simplePos x="0" y="0"/>
                <wp:positionH relativeFrom="page">
                  <wp:posOffset>2492046</wp:posOffset>
                </wp:positionH>
                <wp:positionV relativeFrom="paragraph">
                  <wp:posOffset>135268</wp:posOffset>
                </wp:positionV>
                <wp:extent cx="2584450" cy="1075055"/>
                <wp:effectExtent l="0" t="0" r="0" b="0"/>
                <wp:wrapNone/>
                <wp:docPr id="603" name="Group 603"/>
                <wp:cNvGraphicFramePr>
                  <a:graphicFrameLocks/>
                </wp:cNvGraphicFramePr>
                <a:graphic>
                  <a:graphicData uri="http://schemas.microsoft.com/office/word/2010/wordprocessingGroup">
                    <wpg:wgp>
                      <wpg:cNvPr id="603" name="Group 603"/>
                      <wpg:cNvGrpSpPr/>
                      <wpg:grpSpPr>
                        <a:xfrm>
                          <a:off x="0" y="0"/>
                          <a:ext cx="2584450" cy="1075055"/>
                          <a:chExt cx="2584450" cy="1075055"/>
                        </a:xfrm>
                      </wpg:grpSpPr>
                      <wps:wsp>
                        <wps:cNvPr id="604" name="Graphic 604"/>
                        <wps:cNvSpPr/>
                        <wps:spPr>
                          <a:xfrm>
                            <a:off x="2150850" y="936251"/>
                            <a:ext cx="1270" cy="71755"/>
                          </a:xfrm>
                          <a:custGeom>
                            <a:avLst/>
                            <a:gdLst/>
                            <a:ahLst/>
                            <a:cxnLst/>
                            <a:rect l="l" t="t" r="r" b="b"/>
                            <a:pathLst>
                              <a:path w="0" h="71755">
                                <a:moveTo>
                                  <a:pt x="0" y="0"/>
                                </a:moveTo>
                                <a:lnTo>
                                  <a:pt x="0" y="71545"/>
                                </a:lnTo>
                              </a:path>
                            </a:pathLst>
                          </a:custGeom>
                          <a:ln w="11849">
                            <a:solidFill>
                              <a:srgbClr val="295CAA"/>
                            </a:solidFill>
                            <a:prstDash val="solid"/>
                          </a:ln>
                        </wps:spPr>
                        <wps:bodyPr wrap="square" lIns="0" tIns="0" rIns="0" bIns="0" rtlCol="0">
                          <a:prstTxWarp prst="textNoShape">
                            <a:avLst/>
                          </a:prstTxWarp>
                          <a:noAutofit/>
                        </wps:bodyPr>
                      </wps:wsp>
                      <wps:wsp>
                        <wps:cNvPr id="605" name="Graphic 605"/>
                        <wps:cNvSpPr/>
                        <wps:spPr>
                          <a:xfrm>
                            <a:off x="2112318" y="980410"/>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95CAA"/>
                          </a:solidFill>
                        </wps:spPr>
                        <wps:bodyPr wrap="square" lIns="0" tIns="0" rIns="0" bIns="0" rtlCol="0">
                          <a:prstTxWarp prst="textNoShape">
                            <a:avLst/>
                          </a:prstTxWarp>
                          <a:noAutofit/>
                        </wps:bodyPr>
                      </wps:wsp>
                      <wps:wsp>
                        <wps:cNvPr id="606" name="Graphic 606"/>
                        <wps:cNvSpPr/>
                        <wps:spPr>
                          <a:xfrm>
                            <a:off x="895192" y="503863"/>
                            <a:ext cx="1270" cy="71755"/>
                          </a:xfrm>
                          <a:custGeom>
                            <a:avLst/>
                            <a:gdLst/>
                            <a:ahLst/>
                            <a:cxnLst/>
                            <a:rect l="l" t="t" r="r" b="b"/>
                            <a:pathLst>
                              <a:path w="0" h="71755">
                                <a:moveTo>
                                  <a:pt x="0" y="0"/>
                                </a:moveTo>
                                <a:lnTo>
                                  <a:pt x="0" y="71545"/>
                                </a:lnTo>
                              </a:path>
                            </a:pathLst>
                          </a:custGeom>
                          <a:ln w="11849">
                            <a:solidFill>
                              <a:srgbClr val="295CAA"/>
                            </a:solidFill>
                            <a:prstDash val="solid"/>
                          </a:ln>
                        </wps:spPr>
                        <wps:bodyPr wrap="square" lIns="0" tIns="0" rIns="0" bIns="0" rtlCol="0">
                          <a:prstTxWarp prst="textNoShape">
                            <a:avLst/>
                          </a:prstTxWarp>
                          <a:noAutofit/>
                        </wps:bodyPr>
                      </wps:wsp>
                      <wps:wsp>
                        <wps:cNvPr id="607" name="Graphic 607"/>
                        <wps:cNvSpPr/>
                        <wps:spPr>
                          <a:xfrm>
                            <a:off x="856660" y="548009"/>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95CAA"/>
                          </a:solidFill>
                        </wps:spPr>
                        <wps:bodyPr wrap="square" lIns="0" tIns="0" rIns="0" bIns="0" rtlCol="0">
                          <a:prstTxWarp prst="textNoShape">
                            <a:avLst/>
                          </a:prstTxWarp>
                          <a:noAutofit/>
                        </wps:bodyPr>
                      </wps:wsp>
                      <wps:wsp>
                        <wps:cNvPr id="608" name="Graphic 608"/>
                        <wps:cNvSpPr/>
                        <wps:spPr>
                          <a:xfrm>
                            <a:off x="38532" y="505142"/>
                            <a:ext cx="1703070" cy="71755"/>
                          </a:xfrm>
                          <a:custGeom>
                            <a:avLst/>
                            <a:gdLst/>
                            <a:ahLst/>
                            <a:cxnLst/>
                            <a:rect l="l" t="t" r="r" b="b"/>
                            <a:pathLst>
                              <a:path w="1703070" h="71755">
                                <a:moveTo>
                                  <a:pt x="0" y="71308"/>
                                </a:moveTo>
                                <a:lnTo>
                                  <a:pt x="0" y="0"/>
                                </a:lnTo>
                                <a:lnTo>
                                  <a:pt x="1702869" y="0"/>
                                </a:lnTo>
                                <a:lnTo>
                                  <a:pt x="1702869" y="71308"/>
                                </a:lnTo>
                              </a:path>
                            </a:pathLst>
                          </a:custGeom>
                          <a:ln w="11849">
                            <a:solidFill>
                              <a:srgbClr val="295CAA"/>
                            </a:solidFill>
                            <a:prstDash val="solid"/>
                          </a:ln>
                        </wps:spPr>
                        <wps:bodyPr wrap="square" lIns="0" tIns="0" rIns="0" bIns="0" rtlCol="0">
                          <a:prstTxWarp prst="textNoShape">
                            <a:avLst/>
                          </a:prstTxWarp>
                          <a:noAutofit/>
                        </wps:bodyPr>
                      </wps:wsp>
                      <wps:wsp>
                        <wps:cNvPr id="609" name="Graphic 609"/>
                        <wps:cNvSpPr/>
                        <wps:spPr>
                          <a:xfrm>
                            <a:off x="-1" y="549066"/>
                            <a:ext cx="1779905" cy="94615"/>
                          </a:xfrm>
                          <a:custGeom>
                            <a:avLst/>
                            <a:gdLst/>
                            <a:ahLst/>
                            <a:cxnLst/>
                            <a:rect l="l" t="t" r="r" b="b"/>
                            <a:pathLst>
                              <a:path w="1779905" h="94615">
                                <a:moveTo>
                                  <a:pt x="77050" y="0"/>
                                </a:moveTo>
                                <a:lnTo>
                                  <a:pt x="38531" y="22390"/>
                                </a:lnTo>
                                <a:lnTo>
                                  <a:pt x="0" y="0"/>
                                </a:lnTo>
                                <a:lnTo>
                                  <a:pt x="38531" y="94322"/>
                                </a:lnTo>
                                <a:lnTo>
                                  <a:pt x="77050" y="0"/>
                                </a:lnTo>
                                <a:close/>
                              </a:path>
                              <a:path w="1779905" h="94615">
                                <a:moveTo>
                                  <a:pt x="1779905" y="0"/>
                                </a:moveTo>
                                <a:lnTo>
                                  <a:pt x="1741385" y="22390"/>
                                </a:lnTo>
                                <a:lnTo>
                                  <a:pt x="1702854" y="0"/>
                                </a:lnTo>
                                <a:lnTo>
                                  <a:pt x="1741385" y="94322"/>
                                </a:lnTo>
                                <a:lnTo>
                                  <a:pt x="1779905" y="0"/>
                                </a:lnTo>
                                <a:close/>
                              </a:path>
                            </a:pathLst>
                          </a:custGeom>
                          <a:solidFill>
                            <a:srgbClr val="295CAA"/>
                          </a:solidFill>
                        </wps:spPr>
                        <wps:bodyPr wrap="square" lIns="0" tIns="0" rIns="0" bIns="0" rtlCol="0">
                          <a:prstTxWarp prst="textNoShape">
                            <a:avLst/>
                          </a:prstTxWarp>
                          <a:noAutofit/>
                        </wps:bodyPr>
                      </wps:wsp>
                      <wps:wsp>
                        <wps:cNvPr id="610" name="Graphic 610"/>
                        <wps:cNvSpPr/>
                        <wps:spPr>
                          <a:xfrm>
                            <a:off x="1357358" y="5924"/>
                            <a:ext cx="1221105" cy="930275"/>
                          </a:xfrm>
                          <a:custGeom>
                            <a:avLst/>
                            <a:gdLst/>
                            <a:ahLst/>
                            <a:cxnLst/>
                            <a:rect l="l" t="t" r="r" b="b"/>
                            <a:pathLst>
                              <a:path w="1221105" h="930275">
                                <a:moveTo>
                                  <a:pt x="0" y="495402"/>
                                </a:moveTo>
                                <a:lnTo>
                                  <a:pt x="0" y="451359"/>
                                </a:lnTo>
                              </a:path>
                              <a:path w="1221105" h="930275">
                                <a:moveTo>
                                  <a:pt x="1220904" y="0"/>
                                </a:moveTo>
                                <a:lnTo>
                                  <a:pt x="1220904" y="929663"/>
                                </a:lnTo>
                                <a:lnTo>
                                  <a:pt x="377645" y="929663"/>
                                </a:lnTo>
                                <a:lnTo>
                                  <a:pt x="377645" y="863995"/>
                                </a:lnTo>
                              </a:path>
                            </a:pathLst>
                          </a:custGeom>
                          <a:ln w="11849">
                            <a:solidFill>
                              <a:srgbClr val="295CA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6.224106pt;margin-top:10.651029pt;width:203.5pt;height:84.65pt;mso-position-horizontal-relative:page;mso-position-vertical-relative:paragraph;z-index:-28135424" id="docshapegroup530" coordorigin="3924,213" coordsize="4070,1693">
                <v:line style="position:absolute" from="7312,1687" to="7312,1800" stroked="true" strokeweight=".933007pt" strokecolor="#295caa">
                  <v:stroke dashstyle="solid"/>
                </v:line>
                <v:shape style="position:absolute;left:7250;top:1756;width:122;height:149" id="docshape531" coordorigin="7251,1757" coordsize="122,149" path="m7372,1757l7312,1792,7251,1757,7312,1906,7372,1757xe" filled="true" fillcolor="#295caa" stroked="false">
                  <v:path arrowok="t"/>
                  <v:fill type="solid"/>
                </v:shape>
                <v:line style="position:absolute" from="5334,1007" to="5334,1119" stroked="true" strokeweight=".933007pt" strokecolor="#295caa">
                  <v:stroke dashstyle="solid"/>
                </v:line>
                <v:shape style="position:absolute;left:5273;top:1076;width:122;height:149" id="docshape532" coordorigin="5274,1076" coordsize="122,149" path="m5395,1076l5334,1111,5274,1076,5334,1225,5395,1076xe" filled="true" fillcolor="#295caa" stroked="false">
                  <v:path arrowok="t"/>
                  <v:fill type="solid"/>
                </v:shape>
                <v:shape style="position:absolute;left:3985;top:1008;width:2682;height:113" id="docshape533" coordorigin="3985,1009" coordsize="2682,113" path="m3985,1121l3985,1009,6667,1009,6667,1121e" filled="false" stroked="true" strokeweight=".933007pt" strokecolor="#295caa">
                  <v:path arrowok="t"/>
                  <v:stroke dashstyle="solid"/>
                </v:shape>
                <v:shape style="position:absolute;left:3924;top:1077;width:2803;height:149" id="docshape534" coordorigin="3924,1078" coordsize="2803,149" path="m4046,1078l3985,1113,3924,1078,3985,1226,4046,1078xm6727,1078l6667,1113,6606,1078,6667,1226,6727,1078xe" filled="true" fillcolor="#295caa" stroked="false">
                  <v:path arrowok="t"/>
                  <v:fill type="solid"/>
                </v:shape>
                <v:shape style="position:absolute;left:6062;top:222;width:1923;height:1465" id="docshape535" coordorigin="6062,222" coordsize="1923,1465" path="m6062,1003l6062,933m7985,222l7985,1686,6657,1686,6657,1583e" filled="false" stroked="true" strokeweight=".933007pt" strokecolor="#295caa">
                  <v:path arrowok="t"/>
                  <v:stroke dashstyle="solid"/>
                </v:shape>
                <w10:wrap type="none"/>
              </v:group>
            </w:pict>
          </mc:Fallback>
        </mc:AlternateContent>
      </w:r>
      <w:r>
        <w:rPr>
          <w:rFonts w:ascii="Arial MT"/>
          <w:color w:val="231F20"/>
        </w:rPr>
        <w:t>Night</w:t>
      </w:r>
      <w:r>
        <w:rPr>
          <w:rFonts w:ascii="Arial MT"/>
          <w:color w:val="231F20"/>
          <w:spacing w:val="-5"/>
        </w:rPr>
        <w:t> </w:t>
      </w:r>
      <w:r>
        <w:rPr>
          <w:rFonts w:ascii="Arial MT"/>
          <w:color w:val="231F20"/>
        </w:rPr>
        <w:t>terror</w:t>
      </w:r>
      <w:r>
        <w:rPr>
          <w:rFonts w:ascii="Arial MT"/>
          <w:color w:val="231F20"/>
          <w:spacing w:val="40"/>
        </w:rPr>
        <w:t> </w:t>
      </w:r>
      <w:r>
        <w:rPr>
          <w:rFonts w:ascii="Arial MT"/>
          <w:color w:val="231F20"/>
          <w:spacing w:val="-2"/>
        </w:rPr>
        <w:t>Pseudoseizures</w:t>
      </w:r>
      <w:r>
        <w:rPr>
          <w:rFonts w:ascii="Arial MT"/>
          <w:color w:val="231F20"/>
          <w:spacing w:val="40"/>
        </w:rPr>
        <w:t> </w:t>
      </w:r>
      <w:r>
        <w:rPr>
          <w:rFonts w:ascii="Arial MT"/>
          <w:color w:val="231F20"/>
        </w:rPr>
        <w:t>Rage</w:t>
      </w:r>
      <w:r>
        <w:rPr>
          <w:rFonts w:ascii="Arial MT"/>
          <w:color w:val="231F20"/>
          <w:spacing w:val="-5"/>
        </w:rPr>
        <w:t> </w:t>
      </w:r>
      <w:r>
        <w:rPr>
          <w:rFonts w:ascii="Arial MT"/>
          <w:color w:val="231F20"/>
        </w:rPr>
        <w:t>attack</w:t>
      </w:r>
    </w:p>
    <w:p>
      <w:pPr>
        <w:pStyle w:val="BodyText"/>
        <w:spacing w:line="235" w:lineRule="auto" w:before="1"/>
        <w:ind w:left="2997" w:hanging="131"/>
        <w:rPr>
          <w:rFonts w:ascii="Arial MT"/>
        </w:rPr>
      </w:pPr>
      <w:r>
        <w:rPr>
          <w:rFonts w:ascii="Arial MT"/>
          <w:color w:val="231F20"/>
        </w:rPr>
        <w:t>Benign</w:t>
      </w:r>
      <w:r>
        <w:rPr>
          <w:rFonts w:ascii="Arial MT"/>
          <w:color w:val="231F20"/>
          <w:spacing w:val="-10"/>
        </w:rPr>
        <w:t> </w:t>
      </w:r>
      <w:r>
        <w:rPr>
          <w:rFonts w:ascii="Arial MT"/>
          <w:color w:val="231F20"/>
        </w:rPr>
        <w:t>myoclonus</w:t>
      </w:r>
      <w:r>
        <w:rPr>
          <w:rFonts w:ascii="Arial MT"/>
          <w:color w:val="231F20"/>
          <w:spacing w:val="-9"/>
        </w:rPr>
        <w:t> </w:t>
      </w:r>
      <w:r>
        <w:rPr>
          <w:rFonts w:ascii="Arial MT"/>
          <w:color w:val="231F20"/>
        </w:rPr>
        <w:t>of</w:t>
      </w:r>
      <w:r>
        <w:rPr>
          <w:rFonts w:ascii="Arial MT"/>
          <w:color w:val="231F20"/>
          <w:spacing w:val="40"/>
        </w:rPr>
        <w:t> </w:t>
      </w:r>
      <w:r>
        <w:rPr>
          <w:rFonts w:ascii="Arial MT"/>
          <w:color w:val="231F20"/>
          <w:spacing w:val="-2"/>
        </w:rPr>
        <w:t>infancy</w:t>
      </w:r>
    </w:p>
    <w:p>
      <w:pPr>
        <w:pStyle w:val="BodyText"/>
        <w:spacing w:line="148" w:lineRule="exact"/>
        <w:ind w:left="2867"/>
        <w:rPr>
          <w:rFonts w:ascii="Arial MT"/>
        </w:rPr>
      </w:pPr>
      <w:r>
        <w:rPr>
          <w:rFonts w:ascii="Arial MT"/>
          <w:color w:val="231F20"/>
          <w:spacing w:val="-4"/>
        </w:rPr>
        <w:t>Tics</w:t>
      </w:r>
    </w:p>
    <w:p>
      <w:pPr>
        <w:spacing w:line="148" w:lineRule="exact" w:before="6"/>
        <w:ind w:left="625" w:right="0" w:firstLine="0"/>
        <w:jc w:val="left"/>
        <w:rPr>
          <w:rFonts w:ascii="Arial"/>
          <w:i/>
          <w:sz w:val="13"/>
        </w:rPr>
      </w:pPr>
      <w:r>
        <w:rPr/>
        <w:br w:type="column"/>
      </w:r>
      <w:r>
        <w:rPr>
          <w:rFonts w:ascii="Arial"/>
          <w:i/>
          <w:color w:val="231F20"/>
          <w:sz w:val="13"/>
        </w:rPr>
        <w:t>Initial</w:t>
      </w:r>
      <w:r>
        <w:rPr>
          <w:rFonts w:ascii="Arial"/>
          <w:i/>
          <w:color w:val="231F20"/>
          <w:spacing w:val="-6"/>
          <w:sz w:val="13"/>
        </w:rPr>
        <w:t> </w:t>
      </w:r>
      <w:r>
        <w:rPr>
          <w:rFonts w:ascii="Arial"/>
          <w:i/>
          <w:color w:val="231F20"/>
          <w:spacing w:val="-2"/>
          <w:sz w:val="13"/>
        </w:rPr>
        <w:t>Seizure</w:t>
      </w:r>
    </w:p>
    <w:p>
      <w:pPr>
        <w:pStyle w:val="BodyText"/>
        <w:spacing w:line="235" w:lineRule="auto" w:before="1"/>
        <w:ind w:left="756" w:hanging="131"/>
        <w:rPr>
          <w:rFonts w:ascii="Arial MT"/>
        </w:rPr>
      </w:pPr>
      <w:r>
        <w:rPr>
          <w:rFonts w:ascii="Arial MT"/>
          <w:color w:val="231F20"/>
        </w:rPr>
        <w:t>Fasting blood sugar,</w:t>
      </w:r>
      <w:r>
        <w:rPr>
          <w:rFonts w:ascii="Arial MT"/>
          <w:color w:val="231F20"/>
          <w:spacing w:val="40"/>
        </w:rPr>
        <w:t> </w:t>
      </w:r>
      <w:r>
        <w:rPr>
          <w:rFonts w:ascii="Arial MT"/>
          <w:color w:val="231F20"/>
        </w:rPr>
        <w:t>calcium,</w:t>
      </w:r>
      <w:r>
        <w:rPr>
          <w:rFonts w:ascii="Arial MT"/>
          <w:color w:val="231F20"/>
          <w:spacing w:val="-5"/>
        </w:rPr>
        <w:t> </w:t>
      </w:r>
      <w:r>
        <w:rPr>
          <w:rFonts w:ascii="Arial MT"/>
          <w:color w:val="231F20"/>
        </w:rPr>
        <w:t>metabolic</w:t>
      </w:r>
      <w:r>
        <w:rPr>
          <w:rFonts w:ascii="Arial MT"/>
          <w:color w:val="231F20"/>
          <w:spacing w:val="40"/>
        </w:rPr>
        <w:t> </w:t>
      </w:r>
      <w:r>
        <w:rPr>
          <w:rFonts w:ascii="Arial MT"/>
          <w:color w:val="231F20"/>
        </w:rPr>
        <w:t>studies dictated by</w:t>
      </w:r>
      <w:r>
        <w:rPr>
          <w:rFonts w:ascii="Arial MT"/>
          <w:color w:val="231F20"/>
          <w:spacing w:val="40"/>
        </w:rPr>
        <w:t> </w:t>
      </w:r>
      <w:r>
        <w:rPr>
          <w:rFonts w:ascii="Arial MT"/>
          <w:color w:val="231F20"/>
        </w:rPr>
        <w:t>history and physical;</w:t>
      </w:r>
      <w:r>
        <w:rPr>
          <w:rFonts w:ascii="Arial MT"/>
          <w:color w:val="231F20"/>
          <w:spacing w:val="40"/>
        </w:rPr>
        <w:t> </w:t>
      </w:r>
      <w:r>
        <w:rPr>
          <w:rFonts w:ascii="Arial MT"/>
          <w:color w:val="231F20"/>
        </w:rPr>
        <w:t>EEG?</w:t>
      </w:r>
      <w:r>
        <w:rPr>
          <w:rFonts w:ascii="Arial MT"/>
          <w:color w:val="231F20"/>
          <w:spacing w:val="-10"/>
        </w:rPr>
        <w:t> </w:t>
      </w:r>
      <w:r>
        <w:rPr>
          <w:rFonts w:ascii="Arial MT"/>
          <w:color w:val="231F20"/>
        </w:rPr>
        <w:t>CT</w:t>
      </w:r>
      <w:r>
        <w:rPr>
          <w:rFonts w:ascii="Arial MT"/>
          <w:color w:val="231F20"/>
          <w:spacing w:val="-9"/>
        </w:rPr>
        <w:t> </w:t>
      </w:r>
      <w:r>
        <w:rPr>
          <w:rFonts w:ascii="Arial MT"/>
          <w:color w:val="231F20"/>
        </w:rPr>
        <w:t>scan?</w:t>
      </w:r>
      <w:r>
        <w:rPr>
          <w:rFonts w:ascii="Arial MT"/>
          <w:color w:val="231F20"/>
          <w:spacing w:val="-9"/>
        </w:rPr>
        <w:t> </w:t>
      </w:r>
      <w:r>
        <w:rPr>
          <w:rFonts w:ascii="Arial MT"/>
          <w:color w:val="231F20"/>
        </w:rPr>
        <w:t>MRI?</w:t>
      </w:r>
    </w:p>
    <w:p>
      <w:pPr>
        <w:pStyle w:val="BodyText"/>
        <w:ind w:left="756"/>
        <w:rPr>
          <w:rFonts w:ascii="Arial MT"/>
        </w:rPr>
      </w:pPr>
      <w:r>
        <w:rPr>
          <w:rFonts w:ascii="Arial MT"/>
          <w:color w:val="231F20"/>
        </w:rPr>
        <w:t>CSF </w:t>
      </w:r>
      <w:r>
        <w:rPr>
          <w:rFonts w:ascii="Arial MT"/>
          <w:color w:val="231F20"/>
          <w:spacing w:val="-2"/>
        </w:rPr>
        <w:t>examination?</w:t>
      </w:r>
    </w:p>
    <w:p>
      <w:pPr>
        <w:pStyle w:val="BodyText"/>
        <w:spacing w:before="8"/>
        <w:rPr>
          <w:rFonts w:ascii="Arial MT"/>
          <w:sz w:val="2"/>
        </w:rPr>
      </w:pPr>
    </w:p>
    <w:p>
      <w:pPr>
        <w:pStyle w:val="BodyText"/>
        <w:ind w:left="1215"/>
        <w:rPr>
          <w:rFonts w:ascii="Arial MT"/>
          <w:sz w:val="20"/>
        </w:rPr>
      </w:pPr>
      <w:r>
        <w:rPr>
          <w:rFonts w:ascii="Arial MT"/>
          <w:sz w:val="20"/>
        </w:rPr>
        <mc:AlternateContent>
          <mc:Choice Requires="wps">
            <w:drawing>
              <wp:inline distT="0" distB="0" distL="0" distR="0">
                <wp:extent cx="77470" cy="501650"/>
                <wp:effectExtent l="0" t="0" r="0" b="3175"/>
                <wp:docPr id="611" name="Group 611"/>
                <wp:cNvGraphicFramePr>
                  <a:graphicFrameLocks/>
                </wp:cNvGraphicFramePr>
                <a:graphic>
                  <a:graphicData uri="http://schemas.microsoft.com/office/word/2010/wordprocessingGroup">
                    <wpg:wgp>
                      <wpg:cNvPr id="611" name="Group 611"/>
                      <wpg:cNvGrpSpPr/>
                      <wpg:grpSpPr>
                        <a:xfrm>
                          <a:off x="0" y="0"/>
                          <a:ext cx="77470" cy="501650"/>
                          <a:chExt cx="77470" cy="501650"/>
                        </a:xfrm>
                      </wpg:grpSpPr>
                      <wps:wsp>
                        <wps:cNvPr id="612" name="Graphic 612"/>
                        <wps:cNvSpPr/>
                        <wps:spPr>
                          <a:xfrm>
                            <a:off x="38531" y="0"/>
                            <a:ext cx="1270" cy="434975"/>
                          </a:xfrm>
                          <a:custGeom>
                            <a:avLst/>
                            <a:gdLst/>
                            <a:ahLst/>
                            <a:cxnLst/>
                            <a:rect l="l" t="t" r="r" b="b"/>
                            <a:pathLst>
                              <a:path w="0" h="434975">
                                <a:moveTo>
                                  <a:pt x="0" y="0"/>
                                </a:moveTo>
                                <a:lnTo>
                                  <a:pt x="0" y="434450"/>
                                </a:lnTo>
                              </a:path>
                            </a:pathLst>
                          </a:custGeom>
                          <a:ln w="11849">
                            <a:solidFill>
                              <a:srgbClr val="295CAA"/>
                            </a:solidFill>
                            <a:prstDash val="solid"/>
                          </a:ln>
                        </wps:spPr>
                        <wps:bodyPr wrap="square" lIns="0" tIns="0" rIns="0" bIns="0" rtlCol="0">
                          <a:prstTxWarp prst="textNoShape">
                            <a:avLst/>
                          </a:prstTxWarp>
                          <a:noAutofit/>
                        </wps:bodyPr>
                      </wps:wsp>
                      <wps:wsp>
                        <wps:cNvPr id="613" name="Graphic 613"/>
                        <wps:cNvSpPr/>
                        <wps:spPr>
                          <a:xfrm>
                            <a:off x="0" y="407051"/>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95CAA"/>
                          </a:solidFill>
                        </wps:spPr>
                        <wps:bodyPr wrap="square" lIns="0" tIns="0" rIns="0" bIns="0" rtlCol="0">
                          <a:prstTxWarp prst="textNoShape">
                            <a:avLst/>
                          </a:prstTxWarp>
                          <a:noAutofit/>
                        </wps:bodyPr>
                      </wps:wsp>
                    </wpg:wgp>
                  </a:graphicData>
                </a:graphic>
              </wp:inline>
            </w:drawing>
          </mc:Choice>
          <mc:Fallback>
            <w:pict>
              <v:group style="width:6.1pt;height:39.5pt;mso-position-horizontal-relative:char;mso-position-vertical-relative:line" id="docshapegroup536" coordorigin="0,0" coordsize="122,790">
                <v:line style="position:absolute" from="61,0" to="61,684" stroked="true" strokeweight=".933007pt" strokecolor="#295caa">
                  <v:stroke dashstyle="solid"/>
                </v:line>
                <v:shape style="position:absolute;left:0;top:641;width:122;height:149" id="docshape537" coordorigin="0,641" coordsize="122,149" path="m121,641l61,676,0,641,61,790,121,641xe" filled="true" fillcolor="#295caa" stroked="false">
                  <v:path arrowok="t"/>
                  <v:fill type="solid"/>
                </v:shape>
              </v:group>
            </w:pict>
          </mc:Fallback>
        </mc:AlternateContent>
      </w:r>
      <w:r>
        <w:rPr>
          <w:rFonts w:ascii="Arial MT"/>
          <w:sz w:val="20"/>
        </w:rPr>
      </w:r>
    </w:p>
    <w:p>
      <w:pPr>
        <w:spacing w:before="0"/>
        <w:ind w:left="565" w:right="0" w:firstLine="0"/>
        <w:jc w:val="left"/>
        <w:rPr>
          <w:rFonts w:ascii="Arial"/>
          <w:i/>
          <w:sz w:val="13"/>
        </w:rPr>
      </w:pPr>
      <w:r>
        <w:rPr>
          <w:rFonts w:ascii="Arial"/>
          <w:i/>
          <w:color w:val="231F20"/>
          <w:sz w:val="13"/>
        </w:rPr>
        <w:t>Studies</w:t>
      </w:r>
      <w:r>
        <w:rPr>
          <w:rFonts w:ascii="Arial"/>
          <w:i/>
          <w:color w:val="231F20"/>
          <w:spacing w:val="-3"/>
          <w:sz w:val="13"/>
        </w:rPr>
        <w:t> </w:t>
      </w:r>
      <w:r>
        <w:rPr>
          <w:rFonts w:ascii="Arial"/>
          <w:i/>
          <w:color w:val="231F20"/>
          <w:sz w:val="13"/>
        </w:rPr>
        <w:t>and</w:t>
      </w:r>
      <w:r>
        <w:rPr>
          <w:rFonts w:ascii="Arial"/>
          <w:i/>
          <w:color w:val="231F20"/>
          <w:spacing w:val="-1"/>
          <w:sz w:val="13"/>
        </w:rPr>
        <w:t> </w:t>
      </w:r>
      <w:r>
        <w:rPr>
          <w:rFonts w:ascii="Arial"/>
          <w:i/>
          <w:color w:val="231F20"/>
          <w:spacing w:val="-2"/>
          <w:sz w:val="13"/>
        </w:rPr>
        <w:t>Examination</w:t>
      </w:r>
    </w:p>
    <w:p>
      <w:pPr>
        <w:spacing w:line="235" w:lineRule="auto" w:before="8"/>
        <w:ind w:left="355" w:right="2987" w:firstLine="0"/>
        <w:jc w:val="left"/>
        <w:rPr>
          <w:rFonts w:ascii="Arial MT"/>
          <w:sz w:val="13"/>
        </w:rPr>
      </w:pPr>
      <w:r>
        <w:rPr/>
        <w:br w:type="column"/>
      </w:r>
      <w:r>
        <w:rPr>
          <w:rFonts w:ascii="Arial"/>
          <w:i/>
          <w:color w:val="231F20"/>
          <w:sz w:val="13"/>
        </w:rPr>
        <w:t>Recurrent</w:t>
      </w:r>
      <w:r>
        <w:rPr>
          <w:rFonts w:ascii="Arial"/>
          <w:i/>
          <w:color w:val="231F20"/>
          <w:spacing w:val="-10"/>
          <w:sz w:val="13"/>
        </w:rPr>
        <w:t> </w:t>
      </w:r>
      <w:r>
        <w:rPr>
          <w:rFonts w:ascii="Arial"/>
          <w:i/>
          <w:color w:val="231F20"/>
          <w:sz w:val="13"/>
        </w:rPr>
        <w:t>Seizures</w:t>
      </w:r>
      <w:r>
        <w:rPr>
          <w:rFonts w:ascii="Arial"/>
          <w:i/>
          <w:color w:val="231F20"/>
          <w:spacing w:val="40"/>
          <w:sz w:val="13"/>
        </w:rPr>
        <w:t> </w:t>
      </w:r>
      <w:r>
        <w:rPr>
          <w:rFonts w:ascii="Arial MT"/>
          <w:color w:val="231F20"/>
          <w:sz w:val="13"/>
        </w:rPr>
        <w:t>Drug</w:t>
      </w:r>
      <w:r>
        <w:rPr>
          <w:rFonts w:ascii="Arial MT"/>
          <w:color w:val="231F20"/>
          <w:spacing w:val="-5"/>
          <w:sz w:val="13"/>
        </w:rPr>
        <w:t> </w:t>
      </w:r>
      <w:r>
        <w:rPr>
          <w:rFonts w:ascii="Arial MT"/>
          <w:color w:val="231F20"/>
          <w:sz w:val="13"/>
        </w:rPr>
        <w:t>compliance?</w:t>
      </w:r>
      <w:r>
        <w:rPr>
          <w:rFonts w:ascii="Arial MT"/>
          <w:color w:val="231F20"/>
          <w:spacing w:val="40"/>
          <w:sz w:val="13"/>
        </w:rPr>
        <w:t> </w:t>
      </w:r>
      <w:r>
        <w:rPr>
          <w:rFonts w:ascii="Arial MT"/>
          <w:color w:val="231F20"/>
          <w:sz w:val="13"/>
        </w:rPr>
        <w:t>Improper</w:t>
      </w:r>
      <w:r>
        <w:rPr>
          <w:rFonts w:ascii="Arial MT"/>
          <w:color w:val="231F20"/>
          <w:spacing w:val="-5"/>
          <w:sz w:val="13"/>
        </w:rPr>
        <w:t> </w:t>
      </w:r>
      <w:r>
        <w:rPr>
          <w:rFonts w:ascii="Arial MT"/>
          <w:color w:val="231F20"/>
          <w:sz w:val="13"/>
        </w:rPr>
        <w:t>dose?</w:t>
      </w:r>
    </w:p>
    <w:p>
      <w:pPr>
        <w:pStyle w:val="BodyText"/>
        <w:spacing w:line="235" w:lineRule="auto" w:before="2"/>
        <w:ind w:left="355" w:right="2965"/>
        <w:rPr>
          <w:rFonts w:ascii="Arial MT"/>
        </w:rPr>
      </w:pPr>
      <w:r>
        <w:rPr>
          <w:rFonts w:ascii="Arial MT"/>
          <w:color w:val="231F20"/>
        </w:rPr>
        <w:t>Incorrect</w:t>
      </w:r>
      <w:r>
        <w:rPr>
          <w:rFonts w:ascii="Arial MT"/>
          <w:color w:val="231F20"/>
          <w:spacing w:val="-5"/>
        </w:rPr>
        <w:t> </w:t>
      </w:r>
      <w:r>
        <w:rPr>
          <w:rFonts w:ascii="Arial MT"/>
          <w:color w:val="231F20"/>
        </w:rPr>
        <w:t>drug?</w:t>
      </w:r>
      <w:r>
        <w:rPr>
          <w:rFonts w:ascii="Arial MT"/>
          <w:color w:val="231F20"/>
          <w:spacing w:val="40"/>
        </w:rPr>
        <w:t> </w:t>
      </w:r>
      <w:r>
        <w:rPr>
          <w:rFonts w:ascii="Arial MT"/>
          <w:color w:val="231F20"/>
        </w:rPr>
        <w:t>Metabolic</w:t>
      </w:r>
      <w:r>
        <w:rPr>
          <w:rFonts w:ascii="Arial MT"/>
          <w:color w:val="231F20"/>
          <w:spacing w:val="-10"/>
        </w:rPr>
        <w:t> </w:t>
      </w:r>
      <w:r>
        <w:rPr>
          <w:rFonts w:ascii="Arial MT"/>
          <w:color w:val="231F20"/>
        </w:rPr>
        <w:t>disorder?</w:t>
      </w:r>
    </w:p>
    <w:p>
      <w:pPr>
        <w:pStyle w:val="BodyText"/>
        <w:spacing w:line="235" w:lineRule="auto"/>
        <w:ind w:left="355" w:right="2227"/>
        <w:rPr>
          <w:rFonts w:ascii="Arial MT"/>
        </w:rPr>
      </w:pPr>
      <w:r>
        <w:rPr>
          <w:rFonts w:ascii="Arial MT"/>
          <w:color w:val="231F20"/>
        </w:rPr>
        <w:t>Underlying</w:t>
      </w:r>
      <w:r>
        <w:rPr>
          <w:rFonts w:ascii="Arial MT"/>
          <w:color w:val="231F20"/>
          <w:spacing w:val="-10"/>
        </w:rPr>
        <w:t> </w:t>
      </w:r>
      <w:r>
        <w:rPr>
          <w:rFonts w:ascii="Arial MT"/>
          <w:color w:val="231F20"/>
        </w:rPr>
        <w:t>structural</w:t>
      </w:r>
      <w:r>
        <w:rPr>
          <w:rFonts w:ascii="Arial MT"/>
          <w:color w:val="231F20"/>
          <w:spacing w:val="-9"/>
        </w:rPr>
        <w:t> </w:t>
      </w:r>
      <w:r>
        <w:rPr>
          <w:rFonts w:ascii="Arial MT"/>
          <w:color w:val="231F20"/>
        </w:rPr>
        <w:t>lesion?</w:t>
      </w:r>
      <w:r>
        <w:rPr>
          <w:rFonts w:ascii="Arial MT"/>
          <w:color w:val="231F20"/>
          <w:spacing w:val="40"/>
        </w:rPr>
        <w:t> </w:t>
      </w:r>
      <w:r>
        <w:rPr>
          <w:rFonts w:ascii="Arial MT"/>
          <w:color w:val="231F20"/>
        </w:rPr>
        <w:t>Drug</w:t>
      </w:r>
      <w:r>
        <w:rPr>
          <w:rFonts w:ascii="Arial MT"/>
          <w:color w:val="231F20"/>
          <w:spacing w:val="-5"/>
        </w:rPr>
        <w:t> </w:t>
      </w:r>
      <w:r>
        <w:rPr>
          <w:rFonts w:ascii="Arial MT"/>
          <w:color w:val="231F20"/>
        </w:rPr>
        <w:t>interaction?</w:t>
      </w:r>
    </w:p>
    <w:p>
      <w:pPr>
        <w:pStyle w:val="BodyText"/>
        <w:spacing w:line="235" w:lineRule="auto" w:before="1"/>
        <w:ind w:left="355" w:right="2227"/>
        <w:rPr>
          <w:rFonts w:ascii="Arial MT"/>
        </w:rPr>
      </w:pPr>
      <w:r>
        <w:rPr>
          <w:rFonts w:ascii="Arial MT"/>
          <w:color w:val="231F20"/>
        </w:rPr>
        <w:t>CNS</w:t>
      </w:r>
      <w:r>
        <w:rPr>
          <w:rFonts w:ascii="Arial MT"/>
          <w:color w:val="231F20"/>
          <w:spacing w:val="-10"/>
        </w:rPr>
        <w:t> </w:t>
      </w:r>
      <w:r>
        <w:rPr>
          <w:rFonts w:ascii="Arial MT"/>
          <w:color w:val="231F20"/>
        </w:rPr>
        <w:t>degenerative</w:t>
      </w:r>
      <w:r>
        <w:rPr>
          <w:rFonts w:ascii="Arial MT"/>
          <w:color w:val="231F20"/>
          <w:spacing w:val="-9"/>
        </w:rPr>
        <w:t> </w:t>
      </w:r>
      <w:r>
        <w:rPr>
          <w:rFonts w:ascii="Arial MT"/>
          <w:color w:val="231F20"/>
        </w:rPr>
        <w:t>disease?</w:t>
      </w:r>
      <w:r>
        <w:rPr>
          <w:rFonts w:ascii="Arial MT"/>
          <w:color w:val="231F20"/>
          <w:spacing w:val="40"/>
        </w:rPr>
        <w:t> </w:t>
      </w:r>
      <w:r>
        <w:rPr>
          <w:rFonts w:ascii="Arial MT"/>
          <w:color w:val="231F20"/>
        </w:rPr>
        <w:t>Intractable</w:t>
      </w:r>
      <w:r>
        <w:rPr>
          <w:rFonts w:ascii="Arial MT"/>
          <w:color w:val="231F20"/>
          <w:spacing w:val="-5"/>
        </w:rPr>
        <w:t> </w:t>
      </w:r>
      <w:r>
        <w:rPr>
          <w:rFonts w:ascii="Arial MT"/>
          <w:color w:val="231F20"/>
        </w:rPr>
        <w:t>seizures?</w:t>
      </w:r>
    </w:p>
    <w:p>
      <w:pPr>
        <w:pStyle w:val="BodyText"/>
        <w:spacing w:after="0" w:line="235" w:lineRule="auto"/>
        <w:rPr>
          <w:rFonts w:ascii="Arial MT"/>
        </w:rPr>
        <w:sectPr>
          <w:type w:val="continuous"/>
          <w:pgSz w:w="11900" w:h="16840"/>
          <w:pgMar w:header="0" w:footer="0" w:top="620" w:bottom="280" w:left="425" w:right="566"/>
          <w:cols w:num="3" w:equalWidth="0">
            <w:col w:w="4319" w:space="40"/>
            <w:col w:w="2046" w:space="39"/>
            <w:col w:w="4465"/>
          </w:cols>
        </w:sectPr>
      </w:pPr>
    </w:p>
    <w:p>
      <w:pPr>
        <w:pStyle w:val="BodyText"/>
        <w:spacing w:before="43"/>
        <w:rPr>
          <w:rFonts w:ascii="Arial MT"/>
          <w:sz w:val="20"/>
        </w:rPr>
      </w:pPr>
    </w:p>
    <w:p>
      <w:pPr>
        <w:pStyle w:val="BodyText"/>
        <w:spacing w:after="0"/>
        <w:rPr>
          <w:rFonts w:ascii="Arial MT"/>
          <w:sz w:val="20"/>
        </w:rPr>
        <w:sectPr>
          <w:type w:val="continuous"/>
          <w:pgSz w:w="11900" w:h="16840"/>
          <w:pgMar w:header="0" w:footer="0" w:top="620" w:bottom="280" w:left="425" w:right="566"/>
        </w:sectPr>
      </w:pPr>
    </w:p>
    <w:p>
      <w:pPr>
        <w:spacing w:line="235" w:lineRule="auto" w:before="81"/>
        <w:ind w:left="2860" w:right="0" w:firstLine="0"/>
        <w:jc w:val="left"/>
        <w:rPr>
          <w:rFonts w:ascii="Arial MT"/>
          <w:sz w:val="13"/>
        </w:rPr>
      </w:pPr>
      <w:r>
        <w:rPr>
          <w:rFonts w:ascii="Arial"/>
          <w:i/>
          <w:color w:val="231F20"/>
          <w:spacing w:val="-2"/>
          <w:sz w:val="13"/>
        </w:rPr>
        <w:t>Abnormal</w:t>
      </w:r>
      <w:r>
        <w:rPr>
          <w:rFonts w:ascii="Arial"/>
          <w:i/>
          <w:color w:val="231F20"/>
          <w:spacing w:val="40"/>
          <w:sz w:val="13"/>
        </w:rPr>
        <w:t> </w:t>
      </w:r>
      <w:r>
        <w:rPr>
          <w:rFonts w:ascii="Arial"/>
          <w:i/>
          <w:color w:val="231F20"/>
          <w:sz w:val="13"/>
        </w:rPr>
        <w:t>Symptomatic</w:t>
      </w:r>
      <w:r>
        <w:rPr>
          <w:rFonts w:ascii="Arial"/>
          <w:i/>
          <w:color w:val="231F20"/>
          <w:spacing w:val="-10"/>
          <w:sz w:val="13"/>
        </w:rPr>
        <w:t> </w:t>
      </w:r>
      <w:r>
        <w:rPr>
          <w:rFonts w:ascii="Arial"/>
          <w:i/>
          <w:color w:val="231F20"/>
          <w:sz w:val="13"/>
        </w:rPr>
        <w:t>Seizures</w:t>
      </w:r>
      <w:r>
        <w:rPr>
          <w:rFonts w:ascii="Arial"/>
          <w:i/>
          <w:color w:val="231F20"/>
          <w:spacing w:val="40"/>
          <w:sz w:val="13"/>
        </w:rPr>
        <w:t> </w:t>
      </w:r>
      <w:r>
        <w:rPr>
          <w:rFonts w:ascii="Arial MT"/>
          <w:color w:val="231F20"/>
          <w:sz w:val="13"/>
        </w:rPr>
        <w:t>Treat</w:t>
      </w:r>
      <w:r>
        <w:rPr>
          <w:rFonts w:ascii="Arial MT"/>
          <w:color w:val="231F20"/>
          <w:spacing w:val="-7"/>
          <w:sz w:val="13"/>
        </w:rPr>
        <w:t> </w:t>
      </w:r>
      <w:r>
        <w:rPr>
          <w:rFonts w:ascii="Arial MT"/>
          <w:color w:val="231F20"/>
          <w:sz w:val="13"/>
        </w:rPr>
        <w:t>underlying</w:t>
      </w:r>
      <w:r>
        <w:rPr>
          <w:rFonts w:ascii="Arial MT"/>
          <w:color w:val="231F20"/>
          <w:spacing w:val="-7"/>
          <w:sz w:val="13"/>
        </w:rPr>
        <w:t> </w:t>
      </w:r>
      <w:r>
        <w:rPr>
          <w:rFonts w:ascii="Arial MT"/>
          <w:color w:val="231F20"/>
          <w:spacing w:val="-2"/>
          <w:sz w:val="13"/>
        </w:rPr>
        <w:t>cause</w:t>
      </w:r>
    </w:p>
    <w:p>
      <w:pPr>
        <w:pStyle w:val="BodyText"/>
        <w:spacing w:line="235" w:lineRule="auto" w:before="2"/>
        <w:ind w:left="2990" w:right="13"/>
        <w:rPr>
          <w:rFonts w:ascii="Arial MT"/>
        </w:rPr>
      </w:pPr>
      <w:r>
        <w:rPr>
          <w:rFonts w:ascii="Arial MT"/>
          <w:color w:val="231F20"/>
        </w:rPr>
        <w:t>(hypoglycemia,</w:t>
      </w:r>
      <w:r>
        <w:rPr>
          <w:rFonts w:ascii="Arial MT"/>
          <w:color w:val="231F20"/>
          <w:spacing w:val="-10"/>
        </w:rPr>
        <w:t> </w:t>
      </w:r>
      <w:r>
        <w:rPr>
          <w:rFonts w:ascii="Arial MT"/>
          <w:color w:val="231F20"/>
        </w:rPr>
        <w:t>urea</w:t>
      </w:r>
      <w:r>
        <w:rPr>
          <w:rFonts w:ascii="Arial MT"/>
          <w:color w:val="231F20"/>
          <w:spacing w:val="40"/>
        </w:rPr>
        <w:t> </w:t>
      </w:r>
      <w:r>
        <w:rPr>
          <w:rFonts w:ascii="Arial MT"/>
          <w:color w:val="231F20"/>
        </w:rPr>
        <w:t>cycle</w:t>
      </w:r>
      <w:r>
        <w:rPr>
          <w:rFonts w:ascii="Arial MT"/>
          <w:color w:val="231F20"/>
          <w:spacing w:val="-5"/>
        </w:rPr>
        <w:t> </w:t>
      </w:r>
      <w:r>
        <w:rPr>
          <w:rFonts w:ascii="Arial MT"/>
          <w:color w:val="231F20"/>
        </w:rPr>
        <w:t>abnormality,</w:t>
      </w:r>
      <w:r>
        <w:rPr>
          <w:rFonts w:ascii="Arial MT"/>
          <w:color w:val="231F20"/>
          <w:spacing w:val="40"/>
        </w:rPr>
        <w:t> </w:t>
      </w:r>
      <w:r>
        <w:rPr>
          <w:rFonts w:ascii="Arial MT"/>
          <w:color w:val="231F20"/>
        </w:rPr>
        <w:t>meningitis,</w:t>
      </w:r>
      <w:r>
        <w:rPr>
          <w:rFonts w:ascii="Arial MT"/>
          <w:color w:val="231F20"/>
          <w:spacing w:val="-10"/>
        </w:rPr>
        <w:t> </w:t>
      </w:r>
      <w:r>
        <w:rPr>
          <w:rFonts w:ascii="Arial MT"/>
          <w:color w:val="231F20"/>
        </w:rPr>
        <w:t>temporal</w:t>
      </w:r>
      <w:r>
        <w:rPr>
          <w:rFonts w:ascii="Arial MT"/>
          <w:color w:val="231F20"/>
          <w:spacing w:val="40"/>
        </w:rPr>
        <w:t> </w:t>
      </w:r>
      <w:r>
        <w:rPr>
          <w:rFonts w:ascii="Arial MT"/>
          <w:color w:val="231F20"/>
        </w:rPr>
        <w:t>lobe tumor, etc.)</w:t>
      </w:r>
    </w:p>
    <w:p>
      <w:pPr>
        <w:pStyle w:val="BodyText"/>
        <w:spacing w:line="235" w:lineRule="auto" w:before="1"/>
        <w:ind w:left="2990" w:hanging="131"/>
        <w:rPr>
          <w:rFonts w:ascii="Arial MT"/>
        </w:rPr>
      </w:pPr>
      <w:r>
        <w:rPr>
          <w:rFonts w:ascii="Arial MT"/>
          <w:color w:val="231F20"/>
        </w:rPr>
        <w:t>Antiepileptic</w:t>
      </w:r>
      <w:r>
        <w:rPr>
          <w:rFonts w:ascii="Arial MT"/>
          <w:color w:val="231F20"/>
          <w:spacing w:val="-10"/>
        </w:rPr>
        <w:t> </w:t>
      </w:r>
      <w:r>
        <w:rPr>
          <w:rFonts w:ascii="Arial MT"/>
          <w:color w:val="231F20"/>
        </w:rPr>
        <w:t>drugs</w:t>
      </w:r>
      <w:r>
        <w:rPr>
          <w:rFonts w:ascii="Arial MT"/>
          <w:color w:val="231F20"/>
          <w:spacing w:val="-9"/>
        </w:rPr>
        <w:t> </w:t>
      </w:r>
      <w:r>
        <w:rPr>
          <w:rFonts w:ascii="Arial MT"/>
          <w:color w:val="231F20"/>
        </w:rPr>
        <w:t>if</w:t>
      </w:r>
      <w:r>
        <w:rPr>
          <w:rFonts w:ascii="Arial MT"/>
          <w:color w:val="231F20"/>
          <w:spacing w:val="40"/>
        </w:rPr>
        <w:t> </w:t>
      </w:r>
      <w:r>
        <w:rPr>
          <w:rFonts w:ascii="Arial MT"/>
          <w:color w:val="231F20"/>
          <w:spacing w:val="-2"/>
        </w:rPr>
        <w:t>necessary</w:t>
      </w:r>
    </w:p>
    <w:p>
      <w:pPr>
        <w:spacing w:line="148" w:lineRule="exact" w:before="79"/>
        <w:ind w:left="454" w:right="0" w:firstLine="0"/>
        <w:jc w:val="left"/>
        <w:rPr>
          <w:rFonts w:ascii="Arial"/>
          <w:i/>
          <w:sz w:val="13"/>
        </w:rPr>
      </w:pPr>
      <w:r>
        <w:rPr/>
        <w:br w:type="column"/>
      </w:r>
      <w:r>
        <w:rPr>
          <w:rFonts w:ascii="Arial"/>
          <w:i/>
          <w:color w:val="231F20"/>
          <w:spacing w:val="-2"/>
          <w:sz w:val="13"/>
        </w:rPr>
        <w:t>Normal</w:t>
      </w:r>
    </w:p>
    <w:p>
      <w:pPr>
        <w:pStyle w:val="BodyText"/>
        <w:spacing w:line="235" w:lineRule="auto" w:before="1"/>
        <w:ind w:left="186" w:hanging="131"/>
        <w:rPr>
          <w:rFonts w:ascii="Arial MT"/>
        </w:rPr>
      </w:pPr>
      <w:r>
        <w:rPr>
          <w:rFonts w:ascii="Arial MT"/>
          <w:color w:val="231F20"/>
        </w:rPr>
        <w:t>Isolated</w:t>
      </w:r>
      <w:r>
        <w:rPr>
          <w:rFonts w:ascii="Arial MT"/>
          <w:color w:val="231F20"/>
          <w:spacing w:val="-10"/>
        </w:rPr>
        <w:t> </w:t>
      </w:r>
      <w:r>
        <w:rPr>
          <w:rFonts w:ascii="Arial MT"/>
          <w:color w:val="231F20"/>
        </w:rPr>
        <w:t>first</w:t>
      </w:r>
      <w:r>
        <w:rPr>
          <w:rFonts w:ascii="Arial MT"/>
          <w:color w:val="231F20"/>
          <w:spacing w:val="-9"/>
        </w:rPr>
        <w:t> </w:t>
      </w:r>
      <w:r>
        <w:rPr>
          <w:rFonts w:ascii="Arial MT"/>
          <w:color w:val="231F20"/>
        </w:rPr>
        <w:t>seizure</w:t>
      </w:r>
      <w:r>
        <w:rPr>
          <w:rFonts w:ascii="Arial MT"/>
          <w:color w:val="231F20"/>
          <w:spacing w:val="40"/>
        </w:rPr>
        <w:t> </w:t>
      </w:r>
      <w:r>
        <w:rPr>
          <w:rFonts w:ascii="Arial MT"/>
          <w:color w:val="231F20"/>
        </w:rPr>
        <w:t>with normal EEG</w:t>
      </w:r>
    </w:p>
    <w:p>
      <w:pPr>
        <w:pStyle w:val="BodyText"/>
        <w:spacing w:line="235" w:lineRule="auto" w:before="1"/>
        <w:ind w:left="55"/>
        <w:rPr>
          <w:rFonts w:ascii="Arial MT"/>
        </w:rPr>
      </w:pPr>
      <w:r>
        <w:rPr>
          <w:rFonts w:ascii="Arial MT"/>
          <w:color w:val="231F20"/>
        </w:rPr>
        <w:t>Negative</w:t>
      </w:r>
      <w:r>
        <w:rPr>
          <w:rFonts w:ascii="Arial MT"/>
          <w:color w:val="231F20"/>
          <w:spacing w:val="-10"/>
        </w:rPr>
        <w:t> </w:t>
      </w:r>
      <w:r>
        <w:rPr>
          <w:rFonts w:ascii="Arial MT"/>
          <w:color w:val="231F20"/>
        </w:rPr>
        <w:t>family</w:t>
      </w:r>
      <w:r>
        <w:rPr>
          <w:rFonts w:ascii="Arial MT"/>
          <w:color w:val="231F20"/>
          <w:spacing w:val="-9"/>
        </w:rPr>
        <w:t> </w:t>
      </w:r>
      <w:r>
        <w:rPr>
          <w:rFonts w:ascii="Arial MT"/>
          <w:color w:val="231F20"/>
        </w:rPr>
        <w:t>history</w:t>
      </w:r>
      <w:r>
        <w:rPr>
          <w:rFonts w:ascii="Arial MT"/>
          <w:color w:val="231F20"/>
          <w:spacing w:val="40"/>
        </w:rPr>
        <w:t> </w:t>
      </w:r>
      <w:r>
        <w:rPr>
          <w:rFonts w:ascii="Arial MT"/>
          <w:color w:val="231F20"/>
        </w:rPr>
        <w:t>No continuous drug</w:t>
      </w:r>
    </w:p>
    <w:p>
      <w:pPr>
        <w:pStyle w:val="BodyText"/>
        <w:spacing w:line="235" w:lineRule="auto" w:before="1"/>
        <w:ind w:left="55" w:right="266" w:firstLine="130"/>
        <w:rPr>
          <w:rFonts w:ascii="Arial MT"/>
        </w:rPr>
      </w:pPr>
      <w:r>
        <w:rPr>
          <w:rFonts w:ascii="Arial MT"/>
          <w:color w:val="231F20"/>
          <w:spacing w:val="-2"/>
        </w:rPr>
        <w:t>treatment</w:t>
      </w:r>
      <w:r>
        <w:rPr>
          <w:rFonts w:ascii="Arial MT"/>
          <w:color w:val="231F20"/>
          <w:spacing w:val="80"/>
        </w:rPr>
        <w:t> </w:t>
      </w:r>
      <w:r>
        <w:rPr>
          <w:rFonts w:ascii="Arial MT"/>
          <w:color w:val="231F20"/>
        </w:rPr>
        <w:t>Close</w:t>
      </w:r>
      <w:r>
        <w:rPr>
          <w:rFonts w:ascii="Arial MT"/>
          <w:color w:val="231F20"/>
          <w:spacing w:val="-10"/>
        </w:rPr>
        <w:t> </w:t>
      </w:r>
      <w:r>
        <w:rPr>
          <w:rFonts w:ascii="Arial MT"/>
          <w:color w:val="231F20"/>
        </w:rPr>
        <w:t>observation</w:t>
      </w:r>
      <w:r>
        <w:rPr>
          <w:rFonts w:ascii="Arial MT"/>
          <w:color w:val="231F20"/>
          <w:spacing w:val="40"/>
        </w:rPr>
        <w:t> </w:t>
      </w:r>
      <w:r>
        <w:rPr>
          <w:rFonts w:ascii="Arial MT"/>
          <w:color w:val="231F20"/>
        </w:rPr>
        <w:t>Prescribe</w:t>
      </w:r>
      <w:r>
        <w:rPr>
          <w:rFonts w:ascii="Arial MT"/>
          <w:color w:val="231F20"/>
          <w:spacing w:val="-5"/>
        </w:rPr>
        <w:t> </w:t>
      </w:r>
      <w:r>
        <w:rPr>
          <w:rFonts w:ascii="Arial MT"/>
          <w:color w:val="231F20"/>
        </w:rPr>
        <w:t>rescue</w:t>
      </w:r>
    </w:p>
    <w:p>
      <w:pPr>
        <w:pStyle w:val="BodyText"/>
        <w:spacing w:line="235" w:lineRule="auto" w:before="1"/>
        <w:ind w:left="185"/>
        <w:rPr>
          <w:rFonts w:ascii="Arial MT"/>
        </w:rPr>
      </w:pPr>
      <w:r>
        <w:rPr>
          <w:rFonts w:ascii="Arial MT"/>
          <w:color w:val="231F20"/>
        </w:rPr>
        <w:t>medications</w:t>
      </w:r>
      <w:r>
        <w:rPr>
          <w:rFonts w:ascii="Arial MT"/>
          <w:color w:val="231F20"/>
          <w:spacing w:val="-5"/>
        </w:rPr>
        <w:t> </w:t>
      </w:r>
      <w:r>
        <w:rPr>
          <w:rFonts w:ascii="Arial MT"/>
          <w:color w:val="231F20"/>
        </w:rPr>
        <w:t>(rectal</w:t>
      </w:r>
      <w:r>
        <w:rPr>
          <w:rFonts w:ascii="Arial MT"/>
          <w:color w:val="231F20"/>
          <w:spacing w:val="40"/>
        </w:rPr>
        <w:t> </w:t>
      </w:r>
      <w:r>
        <w:rPr>
          <w:rFonts w:ascii="Arial MT"/>
          <w:color w:val="231F20"/>
        </w:rPr>
        <w:t>diazepam)</w:t>
      </w:r>
      <w:r>
        <w:rPr>
          <w:rFonts w:ascii="Arial MT"/>
          <w:color w:val="231F20"/>
          <w:spacing w:val="-5"/>
        </w:rPr>
        <w:t> </w:t>
      </w:r>
      <w:r>
        <w:rPr>
          <w:rFonts w:ascii="Arial MT"/>
          <w:color w:val="231F20"/>
        </w:rPr>
        <w:t>for</w:t>
      </w:r>
      <w:r>
        <w:rPr>
          <w:rFonts w:ascii="Arial MT"/>
          <w:color w:val="231F20"/>
          <w:spacing w:val="40"/>
        </w:rPr>
        <w:t> </w:t>
      </w:r>
      <w:r>
        <w:rPr>
          <w:rFonts w:ascii="Arial MT"/>
          <w:color w:val="231F20"/>
        </w:rPr>
        <w:t>seizures</w:t>
      </w:r>
      <w:r>
        <w:rPr>
          <w:rFonts w:ascii="Arial MT"/>
          <w:color w:val="231F20"/>
          <w:spacing w:val="-10"/>
        </w:rPr>
        <w:t> </w:t>
      </w:r>
      <w:r>
        <w:rPr>
          <w:rFonts w:ascii="Arial MT"/>
          <w:color w:val="231F20"/>
        </w:rPr>
        <w:t>longer</w:t>
      </w:r>
      <w:r>
        <w:rPr>
          <w:rFonts w:ascii="Arial MT"/>
          <w:color w:val="231F20"/>
          <w:spacing w:val="-9"/>
        </w:rPr>
        <w:t> </w:t>
      </w:r>
      <w:r>
        <w:rPr>
          <w:rFonts w:ascii="Arial MT"/>
          <w:color w:val="231F20"/>
        </w:rPr>
        <w:t>than</w:t>
      </w:r>
      <w:r>
        <w:rPr>
          <w:rFonts w:ascii="Arial MT"/>
          <w:color w:val="231F20"/>
          <w:spacing w:val="40"/>
        </w:rPr>
        <w:t> </w:t>
      </w:r>
      <w:r>
        <w:rPr>
          <w:rFonts w:ascii="Arial MT"/>
          <w:color w:val="231F20"/>
        </w:rPr>
        <w:t>5</w:t>
      </w:r>
      <w:r>
        <w:rPr>
          <w:rFonts w:ascii="Arial MT"/>
          <w:color w:val="231F20"/>
          <w:spacing w:val="-5"/>
        </w:rPr>
        <w:t> </w:t>
      </w:r>
      <w:r>
        <w:rPr>
          <w:rFonts w:ascii="Arial MT"/>
          <w:color w:val="231F20"/>
        </w:rPr>
        <w:t>min</w:t>
      </w:r>
    </w:p>
    <w:p>
      <w:pPr>
        <w:spacing w:line="235" w:lineRule="auto" w:before="81"/>
        <w:ind w:left="49" w:right="3491" w:firstLine="0"/>
        <w:jc w:val="left"/>
        <w:rPr>
          <w:rFonts w:ascii="Arial"/>
          <w:i/>
          <w:sz w:val="13"/>
        </w:rPr>
      </w:pPr>
      <w:r>
        <w:rPr/>
        <w:br w:type="column"/>
      </w:r>
      <w:r>
        <w:rPr>
          <w:rFonts w:ascii="Arial"/>
          <w:i/>
          <w:color w:val="231F20"/>
          <w:sz w:val="13"/>
        </w:rPr>
        <w:t>Normal (except EEG)</w:t>
      </w:r>
      <w:r>
        <w:rPr>
          <w:rFonts w:ascii="Arial"/>
          <w:i/>
          <w:color w:val="231F20"/>
          <w:spacing w:val="40"/>
          <w:sz w:val="13"/>
        </w:rPr>
        <w:t> </w:t>
      </w:r>
      <w:r>
        <w:rPr>
          <w:rFonts w:ascii="Arial"/>
          <w:i/>
          <w:color w:val="231F20"/>
          <w:sz w:val="13"/>
        </w:rPr>
        <w:t>Consider</w:t>
      </w:r>
      <w:r>
        <w:rPr>
          <w:rFonts w:ascii="Arial"/>
          <w:i/>
          <w:color w:val="231F20"/>
          <w:spacing w:val="-2"/>
          <w:sz w:val="13"/>
        </w:rPr>
        <w:t> </w:t>
      </w:r>
      <w:r>
        <w:rPr>
          <w:rFonts w:ascii="Arial"/>
          <w:i/>
          <w:color w:val="231F20"/>
          <w:sz w:val="13"/>
        </w:rPr>
        <w:t>drug</w:t>
      </w:r>
      <w:r>
        <w:rPr>
          <w:rFonts w:ascii="Arial"/>
          <w:i/>
          <w:color w:val="231F20"/>
          <w:spacing w:val="-1"/>
          <w:sz w:val="13"/>
        </w:rPr>
        <w:t> </w:t>
      </w:r>
      <w:r>
        <w:rPr>
          <w:rFonts w:ascii="Arial"/>
          <w:i/>
          <w:color w:val="231F20"/>
          <w:spacing w:val="-2"/>
          <w:sz w:val="13"/>
        </w:rPr>
        <w:t>therapy</w:t>
      </w:r>
    </w:p>
    <w:p>
      <w:pPr>
        <w:pStyle w:val="BodyText"/>
        <w:rPr>
          <w:rFonts w:ascii="Arial"/>
          <w:i/>
        </w:rPr>
      </w:pPr>
    </w:p>
    <w:p>
      <w:pPr>
        <w:pStyle w:val="BodyText"/>
        <w:spacing w:before="107"/>
        <w:rPr>
          <w:rFonts w:ascii="Arial"/>
          <w:i/>
        </w:rPr>
      </w:pPr>
    </w:p>
    <w:p>
      <w:pPr>
        <w:spacing w:before="1"/>
        <w:ind w:left="982" w:right="0" w:firstLine="0"/>
        <w:jc w:val="left"/>
        <w:rPr>
          <w:rFonts w:ascii="Arial"/>
          <w:i/>
          <w:sz w:val="13"/>
        </w:rPr>
      </w:pPr>
      <w:r>
        <w:rPr>
          <w:rFonts w:ascii="Arial"/>
          <w:i/>
          <w:sz w:val="13"/>
        </w:rPr>
        <mc:AlternateContent>
          <mc:Choice Requires="wps">
            <w:drawing>
              <wp:anchor distT="0" distB="0" distL="0" distR="0" allowOverlap="1" layoutInCell="1" locked="0" behindDoc="0" simplePos="0" relativeHeight="15756288">
                <wp:simplePos x="0" y="0"/>
                <wp:positionH relativeFrom="page">
                  <wp:posOffset>3969687</wp:posOffset>
                </wp:positionH>
                <wp:positionV relativeFrom="paragraph">
                  <wp:posOffset>136092</wp:posOffset>
                </wp:positionV>
                <wp:extent cx="1219200" cy="561340"/>
                <wp:effectExtent l="0" t="0" r="0" b="0"/>
                <wp:wrapNone/>
                <wp:docPr id="614" name="Group 614"/>
                <wp:cNvGraphicFramePr>
                  <a:graphicFrameLocks/>
                </wp:cNvGraphicFramePr>
                <a:graphic>
                  <a:graphicData uri="http://schemas.microsoft.com/office/word/2010/wordprocessingGroup">
                    <wpg:wgp>
                      <wpg:cNvPr id="614" name="Group 614"/>
                      <wpg:cNvGrpSpPr/>
                      <wpg:grpSpPr>
                        <a:xfrm>
                          <a:off x="0" y="0"/>
                          <a:ext cx="1219200" cy="561340"/>
                          <a:chExt cx="1219200" cy="561340"/>
                        </a:xfrm>
                      </wpg:grpSpPr>
                      <wps:wsp>
                        <wps:cNvPr id="615" name="Graphic 615"/>
                        <wps:cNvSpPr/>
                        <wps:spPr>
                          <a:xfrm>
                            <a:off x="38531" y="433988"/>
                            <a:ext cx="1141730" cy="60325"/>
                          </a:xfrm>
                          <a:custGeom>
                            <a:avLst/>
                            <a:gdLst/>
                            <a:ahLst/>
                            <a:cxnLst/>
                            <a:rect l="l" t="t" r="r" b="b"/>
                            <a:pathLst>
                              <a:path w="1141730" h="60325">
                                <a:moveTo>
                                  <a:pt x="0" y="60170"/>
                                </a:moveTo>
                                <a:lnTo>
                                  <a:pt x="0" y="0"/>
                                </a:lnTo>
                                <a:lnTo>
                                  <a:pt x="1141656" y="0"/>
                                </a:lnTo>
                                <a:lnTo>
                                  <a:pt x="1141656" y="60170"/>
                                </a:lnTo>
                              </a:path>
                            </a:pathLst>
                          </a:custGeom>
                          <a:ln w="11849">
                            <a:solidFill>
                              <a:srgbClr val="295CAA"/>
                            </a:solidFill>
                            <a:prstDash val="solid"/>
                          </a:ln>
                        </wps:spPr>
                        <wps:bodyPr wrap="square" lIns="0" tIns="0" rIns="0" bIns="0" rtlCol="0">
                          <a:prstTxWarp prst="textNoShape">
                            <a:avLst/>
                          </a:prstTxWarp>
                          <a:noAutofit/>
                        </wps:bodyPr>
                      </wps:wsp>
                      <wps:wsp>
                        <wps:cNvPr id="616" name="Graphic 616"/>
                        <wps:cNvSpPr/>
                        <wps:spPr>
                          <a:xfrm>
                            <a:off x="-9" y="466759"/>
                            <a:ext cx="1219200" cy="94615"/>
                          </a:xfrm>
                          <a:custGeom>
                            <a:avLst/>
                            <a:gdLst/>
                            <a:ahLst/>
                            <a:cxnLst/>
                            <a:rect l="l" t="t" r="r" b="b"/>
                            <a:pathLst>
                              <a:path w="1219200" h="94615">
                                <a:moveTo>
                                  <a:pt x="77063" y="0"/>
                                </a:moveTo>
                                <a:lnTo>
                                  <a:pt x="38531" y="22390"/>
                                </a:lnTo>
                                <a:lnTo>
                                  <a:pt x="0" y="0"/>
                                </a:lnTo>
                                <a:lnTo>
                                  <a:pt x="38531" y="94322"/>
                                </a:lnTo>
                                <a:lnTo>
                                  <a:pt x="77063" y="0"/>
                                </a:lnTo>
                                <a:close/>
                              </a:path>
                              <a:path w="1219200" h="94615">
                                <a:moveTo>
                                  <a:pt x="1218730" y="0"/>
                                </a:moveTo>
                                <a:lnTo>
                                  <a:pt x="1180198" y="22390"/>
                                </a:lnTo>
                                <a:lnTo>
                                  <a:pt x="1141666" y="0"/>
                                </a:lnTo>
                                <a:lnTo>
                                  <a:pt x="1180198" y="94322"/>
                                </a:lnTo>
                                <a:lnTo>
                                  <a:pt x="1218730" y="0"/>
                                </a:lnTo>
                                <a:close/>
                              </a:path>
                            </a:pathLst>
                          </a:custGeom>
                          <a:solidFill>
                            <a:srgbClr val="295CAA"/>
                          </a:solidFill>
                        </wps:spPr>
                        <wps:bodyPr wrap="square" lIns="0" tIns="0" rIns="0" bIns="0" rtlCol="0">
                          <a:prstTxWarp prst="textNoShape">
                            <a:avLst/>
                          </a:prstTxWarp>
                          <a:noAutofit/>
                        </wps:bodyPr>
                      </wps:wsp>
                      <wps:wsp>
                        <wps:cNvPr id="617" name="Graphic 617"/>
                        <wps:cNvSpPr/>
                        <wps:spPr>
                          <a:xfrm>
                            <a:off x="677037" y="0"/>
                            <a:ext cx="1270" cy="430530"/>
                          </a:xfrm>
                          <a:custGeom>
                            <a:avLst/>
                            <a:gdLst/>
                            <a:ahLst/>
                            <a:cxnLst/>
                            <a:rect l="l" t="t" r="r" b="b"/>
                            <a:pathLst>
                              <a:path w="0" h="430530">
                                <a:moveTo>
                                  <a:pt x="0" y="430149"/>
                                </a:moveTo>
                                <a:lnTo>
                                  <a:pt x="0" y="0"/>
                                </a:lnTo>
                              </a:path>
                            </a:pathLst>
                          </a:custGeom>
                          <a:ln w="11849">
                            <a:solidFill>
                              <a:srgbClr val="295CA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2.573792pt;margin-top:10.715919pt;width:96pt;height:44.2pt;mso-position-horizontal-relative:page;mso-position-vertical-relative:paragraph;z-index:15756288" id="docshapegroup538" coordorigin="6251,214" coordsize="1920,884">
                <v:shape style="position:absolute;left:6312;top:897;width:1798;height:95" id="docshape539" coordorigin="6312,898" coordsize="1798,95" path="m6312,993l6312,898,8110,898,8110,993e" filled="false" stroked="true" strokeweight=".933007pt" strokecolor="#295caa">
                  <v:path arrowok="t"/>
                  <v:stroke dashstyle="solid"/>
                </v:shape>
                <v:shape style="position:absolute;left:6251;top:949;width:1920;height:149" id="docshape540" coordorigin="6251,949" coordsize="1920,149" path="m6373,949l6312,985,6251,949,6312,1098,6373,949xm8171,949l8110,985,8049,949,8110,1098,8171,949xe" filled="true" fillcolor="#295caa" stroked="false">
                  <v:path arrowok="t"/>
                  <v:fill type="solid"/>
                </v:shape>
                <v:line style="position:absolute" from="7318,892" to="7318,214" stroked="true" strokeweight=".933007pt" strokecolor="#295caa">
                  <v:stroke dashstyle="solid"/>
                </v:line>
                <w10:wrap type="none"/>
              </v:group>
            </w:pict>
          </mc:Fallback>
        </mc:AlternateContent>
      </w:r>
      <w:r>
        <w:rPr>
          <w:rFonts w:ascii="Arial"/>
          <w:i/>
          <w:color w:val="231F20"/>
          <w:spacing w:val="-2"/>
          <w:sz w:val="13"/>
        </w:rPr>
        <w:t>Follow-</w:t>
      </w:r>
      <w:r>
        <w:rPr>
          <w:rFonts w:ascii="Arial"/>
          <w:i/>
          <w:color w:val="231F20"/>
          <w:spacing w:val="-5"/>
          <w:sz w:val="13"/>
        </w:rPr>
        <w:t>up</w:t>
      </w:r>
    </w:p>
    <w:p>
      <w:pPr>
        <w:spacing w:after="0"/>
        <w:jc w:val="left"/>
        <w:rPr>
          <w:rFonts w:ascii="Arial"/>
          <w:i/>
          <w:sz w:val="13"/>
        </w:rPr>
        <w:sectPr>
          <w:type w:val="continuous"/>
          <w:pgSz w:w="11900" w:h="16840"/>
          <w:pgMar w:header="0" w:footer="0" w:top="620" w:bottom="280" w:left="425" w:right="566"/>
          <w:cols w:num="3" w:equalWidth="0">
            <w:col w:w="4184" w:space="40"/>
            <w:col w:w="1370" w:space="39"/>
            <w:col w:w="5276"/>
          </w:cols>
        </w:sectPr>
      </w:pPr>
    </w:p>
    <w:p>
      <w:pPr>
        <w:spacing w:line="148" w:lineRule="exact" w:before="65"/>
        <w:ind w:left="5196" w:right="0" w:firstLine="0"/>
        <w:jc w:val="left"/>
        <w:rPr>
          <w:rFonts w:ascii="Arial"/>
          <w:i/>
          <w:sz w:val="13"/>
        </w:rPr>
      </w:pPr>
      <w:r>
        <w:rPr>
          <w:rFonts w:ascii="Arial"/>
          <w:i/>
          <w:color w:val="231F20"/>
          <w:sz w:val="13"/>
        </w:rPr>
        <w:t>Good</w:t>
      </w:r>
      <w:r>
        <w:rPr>
          <w:rFonts w:ascii="Arial"/>
          <w:i/>
          <w:color w:val="231F20"/>
          <w:spacing w:val="-5"/>
          <w:sz w:val="13"/>
        </w:rPr>
        <w:t> </w:t>
      </w:r>
      <w:r>
        <w:rPr>
          <w:rFonts w:ascii="Arial"/>
          <w:i/>
          <w:color w:val="231F20"/>
          <w:spacing w:val="-2"/>
          <w:sz w:val="13"/>
        </w:rPr>
        <w:t>Control</w:t>
      </w:r>
    </w:p>
    <w:p>
      <w:pPr>
        <w:pStyle w:val="BodyText"/>
        <w:spacing w:line="235" w:lineRule="auto" w:before="1"/>
        <w:ind w:left="5196"/>
        <w:rPr>
          <w:rFonts w:ascii="Arial MT"/>
        </w:rPr>
      </w:pPr>
      <w:r>
        <w:rPr>
          <w:rFonts w:ascii="Arial MT"/>
          <w:color w:val="231F20"/>
        </w:rPr>
        <w:t>Regular</w:t>
      </w:r>
      <w:r>
        <w:rPr>
          <w:rFonts w:ascii="Arial MT"/>
          <w:color w:val="231F20"/>
          <w:spacing w:val="-5"/>
        </w:rPr>
        <w:t> </w:t>
      </w:r>
      <w:r>
        <w:rPr>
          <w:rFonts w:ascii="Arial MT"/>
          <w:color w:val="231F20"/>
        </w:rPr>
        <w:t>follow-up</w:t>
      </w:r>
      <w:r>
        <w:rPr>
          <w:rFonts w:ascii="Arial MT"/>
          <w:color w:val="231F20"/>
          <w:spacing w:val="40"/>
        </w:rPr>
        <w:t> </w:t>
      </w:r>
      <w:r>
        <w:rPr>
          <w:rFonts w:ascii="Arial MT"/>
          <w:color w:val="231F20"/>
        </w:rPr>
        <w:t>Antiepileptic</w:t>
      </w:r>
      <w:r>
        <w:rPr>
          <w:rFonts w:ascii="Arial MT"/>
          <w:color w:val="231F20"/>
          <w:spacing w:val="-10"/>
        </w:rPr>
        <w:t> </w:t>
      </w:r>
      <w:r>
        <w:rPr>
          <w:rFonts w:ascii="Arial MT"/>
          <w:color w:val="231F20"/>
        </w:rPr>
        <w:t>drug</w:t>
      </w:r>
      <w:r>
        <w:rPr>
          <w:rFonts w:ascii="Arial MT"/>
          <w:color w:val="231F20"/>
          <w:spacing w:val="-9"/>
        </w:rPr>
        <w:t> </w:t>
      </w:r>
      <w:r>
        <w:rPr>
          <w:rFonts w:ascii="Arial MT"/>
          <w:color w:val="231F20"/>
        </w:rPr>
        <w:t>levels</w:t>
      </w:r>
      <w:r>
        <w:rPr>
          <w:rFonts w:ascii="Arial MT"/>
          <w:color w:val="231F20"/>
          <w:spacing w:val="40"/>
        </w:rPr>
        <w:t> </w:t>
      </w:r>
      <w:r>
        <w:rPr>
          <w:rFonts w:ascii="Arial MT"/>
          <w:color w:val="231F20"/>
        </w:rPr>
        <w:t>Monitor toxicity (CBC,</w:t>
      </w:r>
    </w:p>
    <w:p>
      <w:pPr>
        <w:pStyle w:val="BodyText"/>
        <w:spacing w:line="235" w:lineRule="auto" w:before="1"/>
        <w:ind w:left="5327" w:right="54"/>
        <w:rPr>
          <w:rFonts w:ascii="Arial MT"/>
        </w:rPr>
      </w:pPr>
      <w:r>
        <w:rPr>
          <w:rFonts w:ascii="Arial MT"/>
          <w:color w:val="231F20"/>
        </w:rPr>
        <w:t>liver</w:t>
      </w:r>
      <w:r>
        <w:rPr>
          <w:rFonts w:ascii="Arial MT"/>
          <w:color w:val="231F20"/>
          <w:spacing w:val="-5"/>
        </w:rPr>
        <w:t> </w:t>
      </w:r>
      <w:r>
        <w:rPr>
          <w:rFonts w:ascii="Arial MT"/>
          <w:color w:val="231F20"/>
        </w:rPr>
        <w:t>function,</w:t>
      </w:r>
      <w:r>
        <w:rPr>
          <w:rFonts w:ascii="Arial MT"/>
          <w:color w:val="231F20"/>
          <w:spacing w:val="40"/>
        </w:rPr>
        <w:t> </w:t>
      </w:r>
      <w:r>
        <w:rPr>
          <w:rFonts w:ascii="Arial MT"/>
          <w:color w:val="231F20"/>
        </w:rPr>
        <w:t>behavioral,</w:t>
      </w:r>
      <w:r>
        <w:rPr>
          <w:rFonts w:ascii="Arial MT"/>
          <w:color w:val="231F20"/>
          <w:spacing w:val="-10"/>
        </w:rPr>
        <w:t> </w:t>
      </w:r>
      <w:r>
        <w:rPr>
          <w:rFonts w:ascii="Arial MT"/>
          <w:color w:val="231F20"/>
        </w:rPr>
        <w:t>learning)</w:t>
      </w:r>
    </w:p>
    <w:p>
      <w:pPr>
        <w:pStyle w:val="BodyText"/>
        <w:spacing w:line="148" w:lineRule="exact"/>
        <w:ind w:left="5196"/>
        <w:rPr>
          <w:rFonts w:ascii="Arial MT"/>
        </w:rPr>
      </w:pPr>
      <w:r>
        <w:rPr>
          <w:rFonts w:ascii="Arial MT"/>
          <w:color w:val="231F20"/>
        </w:rPr>
        <w:t>EEG as </w:t>
      </w:r>
      <w:r>
        <w:rPr>
          <w:rFonts w:ascii="Arial MT"/>
          <w:color w:val="231F20"/>
          <w:spacing w:val="-2"/>
        </w:rPr>
        <w:t>indicated</w:t>
      </w:r>
    </w:p>
    <w:p>
      <w:pPr>
        <w:spacing w:line="148" w:lineRule="exact" w:before="65"/>
        <w:ind w:left="387" w:right="0" w:firstLine="0"/>
        <w:jc w:val="left"/>
        <w:rPr>
          <w:rFonts w:ascii="Arial"/>
          <w:i/>
          <w:sz w:val="13"/>
        </w:rPr>
      </w:pPr>
      <w:r>
        <w:rPr/>
        <w:br w:type="column"/>
      </w:r>
      <w:r>
        <w:rPr>
          <w:rFonts w:ascii="Arial"/>
          <w:i/>
          <w:color w:val="231F20"/>
          <w:sz w:val="13"/>
        </w:rPr>
        <w:t>Poor </w:t>
      </w:r>
      <w:r>
        <w:rPr>
          <w:rFonts w:ascii="Arial"/>
          <w:i/>
          <w:color w:val="231F20"/>
          <w:spacing w:val="-2"/>
          <w:sz w:val="13"/>
        </w:rPr>
        <w:t>Control</w:t>
      </w:r>
    </w:p>
    <w:p>
      <w:pPr>
        <w:pStyle w:val="BodyText"/>
        <w:spacing w:line="235" w:lineRule="auto" w:before="1"/>
        <w:ind w:left="387" w:right="2522"/>
        <w:rPr>
          <w:rFonts w:ascii="Arial MT"/>
        </w:rPr>
      </w:pPr>
      <w:r>
        <w:rPr>
          <w:rFonts w:ascii="Arial MT"/>
          <w:color w:val="231F20"/>
        </w:rPr>
        <w:t>Consider</w:t>
      </w:r>
      <w:r>
        <w:rPr>
          <w:rFonts w:ascii="Arial MT"/>
          <w:color w:val="231F20"/>
          <w:spacing w:val="-10"/>
        </w:rPr>
        <w:t> </w:t>
      </w:r>
      <w:r>
        <w:rPr>
          <w:rFonts w:ascii="Arial MT"/>
          <w:color w:val="231F20"/>
        </w:rPr>
        <w:t>hospitalization</w:t>
      </w:r>
      <w:r>
        <w:rPr>
          <w:rFonts w:ascii="Arial MT"/>
          <w:color w:val="231F20"/>
          <w:spacing w:val="40"/>
        </w:rPr>
        <w:t> </w:t>
      </w:r>
      <w:r>
        <w:rPr>
          <w:rFonts w:ascii="Arial MT"/>
          <w:color w:val="231F20"/>
        </w:rPr>
        <w:t>Prolonged</w:t>
      </w:r>
      <w:r>
        <w:rPr>
          <w:rFonts w:ascii="Arial MT"/>
          <w:color w:val="231F20"/>
          <w:spacing w:val="-5"/>
        </w:rPr>
        <w:t> </w:t>
      </w:r>
      <w:r>
        <w:rPr>
          <w:rFonts w:ascii="Arial MT"/>
          <w:color w:val="231F20"/>
        </w:rPr>
        <w:t>EEG</w:t>
      </w:r>
    </w:p>
    <w:p>
      <w:pPr>
        <w:pStyle w:val="BodyText"/>
        <w:spacing w:line="235" w:lineRule="auto" w:before="1"/>
        <w:ind w:left="518" w:right="2609"/>
        <w:rPr>
          <w:rFonts w:ascii="Arial MT"/>
        </w:rPr>
      </w:pPr>
      <w:r>
        <w:rPr>
          <w:rFonts w:ascii="Arial MT"/>
          <w:color w:val="231F20"/>
        </w:rPr>
        <w:t>recording</w:t>
      </w:r>
      <w:r>
        <w:rPr>
          <w:rFonts w:ascii="Arial MT"/>
          <w:color w:val="231F20"/>
          <w:spacing w:val="-10"/>
        </w:rPr>
        <w:t> </w:t>
      </w:r>
      <w:r>
        <w:rPr>
          <w:rFonts w:ascii="Arial MT"/>
          <w:color w:val="231F20"/>
        </w:rPr>
        <w:t>and</w:t>
      </w:r>
      <w:r>
        <w:rPr>
          <w:rFonts w:ascii="Arial MT"/>
          <w:color w:val="231F20"/>
          <w:spacing w:val="-9"/>
        </w:rPr>
        <w:t> </w:t>
      </w:r>
      <w:r>
        <w:rPr>
          <w:rFonts w:ascii="Arial MT"/>
          <w:color w:val="231F20"/>
        </w:rPr>
        <w:t>video</w:t>
      </w:r>
      <w:r>
        <w:rPr>
          <w:rFonts w:ascii="Arial MT"/>
          <w:color w:val="231F20"/>
          <w:spacing w:val="40"/>
        </w:rPr>
        <w:t> </w:t>
      </w:r>
      <w:r>
        <w:rPr>
          <w:rFonts w:ascii="Arial MT"/>
          <w:color w:val="231F20"/>
        </w:rPr>
        <w:t>monitoring</w:t>
      </w:r>
      <w:r>
        <w:rPr>
          <w:rFonts w:ascii="Arial MT"/>
          <w:color w:val="231F20"/>
          <w:spacing w:val="-5"/>
        </w:rPr>
        <w:t> </w:t>
      </w:r>
      <w:r>
        <w:rPr>
          <w:rFonts w:ascii="Arial MT"/>
          <w:color w:val="231F20"/>
        </w:rPr>
        <w:t>for</w:t>
      </w:r>
      <w:r>
        <w:rPr>
          <w:rFonts w:ascii="Arial MT"/>
          <w:color w:val="231F20"/>
          <w:spacing w:val="40"/>
        </w:rPr>
        <w:t> </w:t>
      </w:r>
      <w:r>
        <w:rPr>
          <w:rFonts w:ascii="Arial MT"/>
          <w:color w:val="231F20"/>
        </w:rPr>
        <w:t>possible</w:t>
      </w:r>
      <w:r>
        <w:rPr>
          <w:rFonts w:ascii="Arial MT"/>
          <w:color w:val="231F20"/>
          <w:spacing w:val="-5"/>
        </w:rPr>
        <w:t> </w:t>
      </w:r>
      <w:r>
        <w:rPr>
          <w:rFonts w:ascii="Arial MT"/>
          <w:color w:val="231F20"/>
        </w:rPr>
        <w:t>epilepsy</w:t>
      </w:r>
      <w:r>
        <w:rPr>
          <w:rFonts w:ascii="Arial MT"/>
          <w:color w:val="231F20"/>
          <w:spacing w:val="40"/>
        </w:rPr>
        <w:t> </w:t>
      </w:r>
      <w:r>
        <w:rPr>
          <w:rFonts w:ascii="Arial MT"/>
          <w:color w:val="231F20"/>
        </w:rPr>
        <w:t>surgery</w:t>
      </w:r>
      <w:r>
        <w:rPr>
          <w:rFonts w:ascii="Arial MT"/>
          <w:color w:val="231F20"/>
          <w:spacing w:val="-5"/>
        </w:rPr>
        <w:t> </w:t>
      </w:r>
      <w:r>
        <w:rPr>
          <w:rFonts w:ascii="Arial MT"/>
          <w:color w:val="231F20"/>
        </w:rPr>
        <w:t>candidacy</w:t>
      </w:r>
    </w:p>
    <w:p>
      <w:pPr>
        <w:pStyle w:val="BodyText"/>
        <w:spacing w:line="235" w:lineRule="auto" w:before="2"/>
        <w:ind w:left="387" w:right="2609"/>
        <w:rPr>
          <w:rFonts w:ascii="Arial MT"/>
        </w:rPr>
      </w:pPr>
      <w:r>
        <w:rPr>
          <w:rFonts w:ascii="Arial MT"/>
          <w:color w:val="231F20"/>
        </w:rPr>
        <w:t>Readjust</w:t>
      </w:r>
      <w:r>
        <w:rPr>
          <w:rFonts w:ascii="Arial MT"/>
          <w:color w:val="231F20"/>
          <w:spacing w:val="-5"/>
        </w:rPr>
        <w:t> </w:t>
      </w:r>
      <w:r>
        <w:rPr>
          <w:rFonts w:ascii="Arial MT"/>
          <w:color w:val="231F20"/>
        </w:rPr>
        <w:t>medication</w:t>
      </w:r>
      <w:r>
        <w:rPr>
          <w:rFonts w:ascii="Arial MT"/>
          <w:color w:val="231F20"/>
          <w:spacing w:val="40"/>
        </w:rPr>
        <w:t> </w:t>
      </w:r>
      <w:r>
        <w:rPr>
          <w:rFonts w:ascii="Arial MT"/>
          <w:color w:val="231F20"/>
        </w:rPr>
        <w:t>Reconsider</w:t>
      </w:r>
      <w:r>
        <w:rPr>
          <w:rFonts w:ascii="Arial MT"/>
          <w:color w:val="231F20"/>
          <w:spacing w:val="-10"/>
        </w:rPr>
        <w:t> </w:t>
      </w:r>
      <w:r>
        <w:rPr>
          <w:rFonts w:ascii="Arial MT"/>
          <w:color w:val="231F20"/>
        </w:rPr>
        <w:t>underlying</w:t>
      </w:r>
    </w:p>
    <w:p>
      <w:pPr>
        <w:pStyle w:val="BodyText"/>
        <w:spacing w:line="235" w:lineRule="auto"/>
        <w:ind w:left="518" w:right="2666"/>
        <w:rPr>
          <w:rFonts w:ascii="Arial MT"/>
        </w:rPr>
      </w:pPr>
      <w:r>
        <w:rPr>
          <w:rFonts w:ascii="Arial MT"/>
          <w:color w:val="231F20"/>
        </w:rPr>
        <w:t>pathology</w:t>
      </w:r>
      <w:r>
        <w:rPr>
          <w:rFonts w:ascii="Arial MT"/>
          <w:color w:val="231F20"/>
          <w:spacing w:val="-5"/>
        </w:rPr>
        <w:t> </w:t>
      </w:r>
      <w:r>
        <w:rPr>
          <w:rFonts w:ascii="Arial MT"/>
          <w:color w:val="231F20"/>
        </w:rPr>
        <w:t>with</w:t>
      </w:r>
      <w:r>
        <w:rPr>
          <w:rFonts w:ascii="Arial MT"/>
          <w:color w:val="231F20"/>
          <w:spacing w:val="40"/>
        </w:rPr>
        <w:t> </w:t>
      </w:r>
      <w:r>
        <w:rPr>
          <w:rFonts w:ascii="Arial MT"/>
          <w:color w:val="231F20"/>
        </w:rPr>
        <w:t>reinvestigation</w:t>
      </w:r>
      <w:r>
        <w:rPr>
          <w:rFonts w:ascii="Arial MT"/>
          <w:color w:val="231F20"/>
          <w:spacing w:val="-10"/>
        </w:rPr>
        <w:t> </w:t>
      </w:r>
      <w:r>
        <w:rPr>
          <w:rFonts w:ascii="Arial MT"/>
          <w:color w:val="231F20"/>
        </w:rPr>
        <w:t>with</w:t>
      </w:r>
      <w:r>
        <w:rPr>
          <w:rFonts w:ascii="Arial MT"/>
          <w:color w:val="231F20"/>
          <w:spacing w:val="40"/>
        </w:rPr>
        <w:t> </w:t>
      </w:r>
      <w:r>
        <w:rPr>
          <w:rFonts w:ascii="Arial MT"/>
          <w:color w:val="231F20"/>
        </w:rPr>
        <w:t>CT or MRI</w:t>
      </w:r>
    </w:p>
    <w:p>
      <w:pPr>
        <w:pStyle w:val="BodyText"/>
        <w:spacing w:line="148" w:lineRule="exact"/>
        <w:ind w:left="387"/>
        <w:rPr>
          <w:rFonts w:ascii="Arial MT"/>
        </w:rPr>
      </w:pPr>
      <w:r>
        <w:rPr>
          <w:rFonts w:ascii="Arial MT"/>
          <w:color w:val="231F20"/>
        </w:rPr>
        <w:t>Frequent</w:t>
      </w:r>
      <w:r>
        <w:rPr>
          <w:rFonts w:ascii="Arial MT"/>
          <w:color w:val="231F20"/>
          <w:spacing w:val="-7"/>
        </w:rPr>
        <w:t> </w:t>
      </w:r>
      <w:r>
        <w:rPr>
          <w:rFonts w:ascii="Arial MT"/>
          <w:color w:val="231F20"/>
        </w:rPr>
        <w:t>follow-</w:t>
      </w:r>
      <w:r>
        <w:rPr>
          <w:rFonts w:ascii="Arial MT"/>
          <w:color w:val="231F20"/>
          <w:spacing w:val="-5"/>
        </w:rPr>
        <w:t>up</w:t>
      </w:r>
    </w:p>
    <w:p>
      <w:pPr>
        <w:pStyle w:val="BodyText"/>
        <w:spacing w:after="0" w:line="148" w:lineRule="exact"/>
        <w:rPr>
          <w:rFonts w:ascii="Arial MT"/>
        </w:rPr>
        <w:sectPr>
          <w:type w:val="continuous"/>
          <w:pgSz w:w="11900" w:h="16840"/>
          <w:pgMar w:header="0" w:footer="0" w:top="620" w:bottom="280" w:left="425" w:right="566"/>
          <w:cols w:num="2" w:equalWidth="0">
            <w:col w:w="6569" w:space="40"/>
            <w:col w:w="4300"/>
          </w:cols>
        </w:sectPr>
      </w:pPr>
    </w:p>
    <w:p>
      <w:pPr>
        <w:spacing w:before="117"/>
        <w:ind w:left="3107" w:right="0" w:firstLine="0"/>
        <w:jc w:val="left"/>
        <w:rPr>
          <w:sz w:val="15"/>
        </w:rPr>
      </w:pPr>
      <w:r>
        <w:rPr>
          <w:b/>
          <w:color w:val="4A0C62"/>
          <w:sz w:val="16"/>
        </w:rPr>
        <w:t>Figure</w:t>
      </w:r>
      <w:r>
        <w:rPr>
          <w:b/>
          <w:color w:val="4A0C62"/>
          <w:spacing w:val="19"/>
          <w:sz w:val="16"/>
        </w:rPr>
        <w:t> </w:t>
      </w:r>
      <w:r>
        <w:rPr>
          <w:b/>
          <w:color w:val="4A0C62"/>
          <w:sz w:val="16"/>
        </w:rPr>
        <w:t>593-4</w:t>
      </w:r>
      <w:r>
        <w:rPr>
          <w:b/>
          <w:color w:val="4A0C62"/>
          <w:spacing w:val="7"/>
          <w:sz w:val="16"/>
        </w:rPr>
        <w:t> </w:t>
      </w:r>
      <w:r>
        <w:rPr>
          <w:color w:val="231F20"/>
          <w:sz w:val="15"/>
        </w:rPr>
        <w:t>Approach</w:t>
      </w:r>
      <w:r>
        <w:rPr>
          <w:color w:val="231F20"/>
          <w:spacing w:val="11"/>
          <w:sz w:val="15"/>
        </w:rPr>
        <w:t> </w:t>
      </w:r>
      <w:r>
        <w:rPr>
          <w:color w:val="231F20"/>
          <w:sz w:val="15"/>
        </w:rPr>
        <w:t>to</w:t>
      </w:r>
      <w:r>
        <w:rPr>
          <w:color w:val="231F20"/>
          <w:spacing w:val="11"/>
          <w:sz w:val="15"/>
        </w:rPr>
        <w:t> </w:t>
      </w:r>
      <w:r>
        <w:rPr>
          <w:color w:val="231F20"/>
          <w:sz w:val="15"/>
        </w:rPr>
        <w:t>the</w:t>
      </w:r>
      <w:r>
        <w:rPr>
          <w:color w:val="231F20"/>
          <w:spacing w:val="11"/>
          <w:sz w:val="15"/>
        </w:rPr>
        <w:t> </w:t>
      </w:r>
      <w:r>
        <w:rPr>
          <w:color w:val="231F20"/>
          <w:sz w:val="15"/>
        </w:rPr>
        <w:t>child</w:t>
      </w:r>
      <w:r>
        <w:rPr>
          <w:color w:val="231F20"/>
          <w:spacing w:val="10"/>
          <w:sz w:val="15"/>
        </w:rPr>
        <w:t> </w:t>
      </w:r>
      <w:r>
        <w:rPr>
          <w:color w:val="231F20"/>
          <w:sz w:val="15"/>
        </w:rPr>
        <w:t>with</w:t>
      </w:r>
      <w:r>
        <w:rPr>
          <w:color w:val="231F20"/>
          <w:spacing w:val="11"/>
          <w:sz w:val="15"/>
        </w:rPr>
        <w:t> </w:t>
      </w:r>
      <w:r>
        <w:rPr>
          <w:color w:val="231F20"/>
          <w:sz w:val="15"/>
        </w:rPr>
        <w:t>a</w:t>
      </w:r>
      <w:r>
        <w:rPr>
          <w:color w:val="231F20"/>
          <w:spacing w:val="11"/>
          <w:sz w:val="15"/>
        </w:rPr>
        <w:t> </w:t>
      </w:r>
      <w:r>
        <w:rPr>
          <w:color w:val="231F20"/>
          <w:sz w:val="15"/>
        </w:rPr>
        <w:t>suspected</w:t>
      </w:r>
      <w:r>
        <w:rPr>
          <w:color w:val="231F20"/>
          <w:spacing w:val="10"/>
          <w:sz w:val="15"/>
        </w:rPr>
        <w:t> </w:t>
      </w:r>
      <w:r>
        <w:rPr>
          <w:color w:val="231F20"/>
          <w:sz w:val="15"/>
        </w:rPr>
        <w:t>convulsive</w:t>
      </w:r>
      <w:r>
        <w:rPr>
          <w:color w:val="231F20"/>
          <w:spacing w:val="11"/>
          <w:sz w:val="15"/>
        </w:rPr>
        <w:t> </w:t>
      </w:r>
      <w:r>
        <w:rPr>
          <w:color w:val="231F20"/>
          <w:spacing w:val="-2"/>
          <w:sz w:val="15"/>
        </w:rPr>
        <w:t>disorder.</w:t>
      </w:r>
    </w:p>
    <w:p>
      <w:pPr>
        <w:pStyle w:val="BodyText"/>
        <w:rPr>
          <w:sz w:val="20"/>
        </w:rPr>
      </w:pPr>
    </w:p>
    <w:p>
      <w:pPr>
        <w:pStyle w:val="BodyText"/>
        <w:rPr>
          <w:sz w:val="20"/>
        </w:rPr>
      </w:pPr>
    </w:p>
    <w:p>
      <w:pPr>
        <w:pStyle w:val="BodyText"/>
        <w:rPr>
          <w:sz w:val="20"/>
        </w:rPr>
      </w:pPr>
    </w:p>
    <w:p>
      <w:pPr>
        <w:pStyle w:val="BodyText"/>
        <w:spacing w:before="135"/>
        <w:rPr>
          <w:sz w:val="20"/>
        </w:rPr>
      </w:pPr>
    </w:p>
    <w:tbl>
      <w:tblPr>
        <w:tblW w:w="0" w:type="auto"/>
        <w:jc w:val="left"/>
        <w:tblInd w:w="3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3480"/>
      </w:tblGrid>
      <w:tr>
        <w:trPr>
          <w:trHeight w:val="559" w:hRule="atLeast"/>
        </w:trPr>
        <w:tc>
          <w:tcPr>
            <w:tcW w:w="1222" w:type="dxa"/>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593-</w:t>
            </w:r>
            <w:r>
              <w:rPr>
                <w:b/>
                <w:color w:val="FFFFFF"/>
                <w:spacing w:val="-5"/>
                <w:sz w:val="16"/>
              </w:rPr>
              <w:t>10</w:t>
            </w:r>
          </w:p>
        </w:tc>
        <w:tc>
          <w:tcPr>
            <w:tcW w:w="3480" w:type="dxa"/>
            <w:shd w:val="clear" w:color="auto" w:fill="231F20"/>
          </w:tcPr>
          <w:p>
            <w:pPr>
              <w:pStyle w:val="TableParagraph"/>
              <w:spacing w:before="89"/>
              <w:ind w:left="84"/>
              <w:rPr>
                <w:sz w:val="16"/>
              </w:rPr>
            </w:pPr>
            <w:r>
              <w:rPr>
                <w:color w:val="FFFFFF"/>
                <w:w w:val="105"/>
                <w:sz w:val="16"/>
              </w:rPr>
              <w:t>Sports and Special Considerations for </w:t>
            </w:r>
            <w:r>
              <w:rPr>
                <w:color w:val="FFFFFF"/>
                <w:w w:val="105"/>
                <w:sz w:val="16"/>
              </w:rPr>
              <w:t>the Child with Epilepsy</w:t>
            </w:r>
            <w:r>
              <w:rPr>
                <w:color w:val="0080AC"/>
                <w:w w:val="105"/>
                <w:sz w:val="16"/>
              </w:rPr>
              <w:t>*</w:t>
            </w:r>
          </w:p>
        </w:tc>
      </w:tr>
      <w:tr>
        <w:trPr>
          <w:trHeight w:val="257" w:hRule="atLeast"/>
        </w:trPr>
        <w:tc>
          <w:tcPr>
            <w:tcW w:w="1222" w:type="dxa"/>
            <w:tcBorders>
              <w:bottom w:val="single" w:sz="4" w:space="0" w:color="231F20"/>
            </w:tcBorders>
            <w:shd w:val="clear" w:color="auto" w:fill="E8F5F1"/>
          </w:tcPr>
          <w:p>
            <w:pPr>
              <w:pStyle w:val="TableParagraph"/>
              <w:spacing w:before="47"/>
              <w:ind w:left="74"/>
              <w:rPr>
                <w:b/>
                <w:sz w:val="15"/>
              </w:rPr>
            </w:pPr>
            <w:r>
              <w:rPr>
                <w:b/>
                <w:color w:val="231F20"/>
                <w:w w:val="105"/>
                <w:sz w:val="15"/>
              </w:rPr>
              <w:t>SPORTS</w:t>
            </w:r>
            <w:r>
              <w:rPr>
                <w:b/>
                <w:color w:val="231F20"/>
                <w:spacing w:val="15"/>
                <w:w w:val="105"/>
                <w:sz w:val="15"/>
              </w:rPr>
              <w:t> </w:t>
            </w:r>
            <w:r>
              <w:rPr>
                <w:b/>
                <w:color w:val="231F20"/>
                <w:spacing w:val="-4"/>
                <w:w w:val="105"/>
                <w:sz w:val="15"/>
              </w:rPr>
              <w:t>TYPE</w:t>
            </w:r>
          </w:p>
        </w:tc>
        <w:tc>
          <w:tcPr>
            <w:tcW w:w="3480" w:type="dxa"/>
            <w:tcBorders>
              <w:bottom w:val="single" w:sz="4" w:space="0" w:color="231F20"/>
            </w:tcBorders>
            <w:shd w:val="clear" w:color="auto" w:fill="E8F5F1"/>
          </w:tcPr>
          <w:p>
            <w:pPr>
              <w:pStyle w:val="TableParagraph"/>
              <w:spacing w:before="47"/>
              <w:ind w:left="872"/>
              <w:rPr>
                <w:b/>
                <w:sz w:val="15"/>
              </w:rPr>
            </w:pPr>
            <w:r>
              <w:rPr>
                <w:b/>
                <w:color w:val="231F20"/>
                <w:w w:val="110"/>
                <w:sz w:val="15"/>
              </w:rPr>
              <w:t>SPECIAL</w:t>
            </w:r>
            <w:r>
              <w:rPr>
                <w:b/>
                <w:color w:val="231F20"/>
                <w:spacing w:val="-9"/>
                <w:w w:val="110"/>
                <w:sz w:val="15"/>
              </w:rPr>
              <w:t> </w:t>
            </w:r>
            <w:r>
              <w:rPr>
                <w:b/>
                <w:color w:val="231F20"/>
                <w:spacing w:val="-2"/>
                <w:w w:val="110"/>
                <w:sz w:val="15"/>
              </w:rPr>
              <w:t>CONSIDERATIONS</w:t>
            </w:r>
          </w:p>
        </w:tc>
      </w:tr>
      <w:tr>
        <w:trPr>
          <w:trHeight w:val="929" w:hRule="atLeast"/>
        </w:trPr>
        <w:tc>
          <w:tcPr>
            <w:tcW w:w="1222" w:type="dxa"/>
            <w:tcBorders>
              <w:top w:val="single" w:sz="4" w:space="0" w:color="231F20"/>
              <w:bottom w:val="single" w:sz="4" w:space="0" w:color="FFFFFF"/>
            </w:tcBorders>
            <w:shd w:val="clear" w:color="auto" w:fill="E8F5F1"/>
          </w:tcPr>
          <w:p>
            <w:pPr>
              <w:pStyle w:val="TableParagraph"/>
              <w:spacing w:line="230" w:lineRule="auto" w:before="52"/>
              <w:ind w:left="186" w:hanging="112"/>
              <w:rPr>
                <w:sz w:val="15"/>
              </w:rPr>
            </w:pPr>
            <w:r>
              <w:rPr>
                <w:color w:val="231F20"/>
                <w:sz w:val="15"/>
              </w:rPr>
              <w:t>Body</w:t>
            </w:r>
            <w:r>
              <w:rPr>
                <w:color w:val="231F20"/>
                <w:spacing w:val="-12"/>
                <w:sz w:val="15"/>
              </w:rPr>
              <w:t> </w:t>
            </w:r>
            <w:r>
              <w:rPr>
                <w:color w:val="231F20"/>
                <w:sz w:val="15"/>
              </w:rPr>
              <w:t>contact </w:t>
            </w:r>
            <w:r>
              <w:rPr>
                <w:color w:val="231F20"/>
                <w:spacing w:val="-2"/>
                <w:sz w:val="15"/>
              </w:rPr>
              <w:t>sports</w:t>
            </w:r>
          </w:p>
        </w:tc>
        <w:tc>
          <w:tcPr>
            <w:tcW w:w="3480" w:type="dxa"/>
            <w:tcBorders>
              <w:top w:val="single" w:sz="4" w:space="0" w:color="231F20"/>
              <w:bottom w:val="single" w:sz="4" w:space="0" w:color="FFFFFF"/>
            </w:tcBorders>
            <w:shd w:val="clear" w:color="auto" w:fill="E8F5F1"/>
          </w:tcPr>
          <w:p>
            <w:pPr>
              <w:pStyle w:val="TableParagraph"/>
              <w:spacing w:line="230" w:lineRule="auto" w:before="52"/>
              <w:ind w:left="469" w:hanging="112"/>
              <w:rPr>
                <w:sz w:val="15"/>
              </w:rPr>
            </w:pPr>
            <w:r>
              <w:rPr>
                <w:color w:val="231F20"/>
                <w:sz w:val="15"/>
              </w:rPr>
              <w:t>If there are more than occasional seizures, physician</w:t>
            </w:r>
            <w:r>
              <w:rPr>
                <w:color w:val="231F20"/>
                <w:spacing w:val="-12"/>
                <w:sz w:val="15"/>
              </w:rPr>
              <w:t> </w:t>
            </w:r>
            <w:r>
              <w:rPr>
                <w:color w:val="231F20"/>
                <w:sz w:val="15"/>
              </w:rPr>
              <w:t>evaluation</w:t>
            </w:r>
            <w:r>
              <w:rPr>
                <w:color w:val="231F20"/>
                <w:spacing w:val="-11"/>
                <w:sz w:val="15"/>
              </w:rPr>
              <w:t> </w:t>
            </w:r>
            <w:r>
              <w:rPr>
                <w:color w:val="231F20"/>
                <w:sz w:val="15"/>
              </w:rPr>
              <w:t>of</w:t>
            </w:r>
            <w:r>
              <w:rPr>
                <w:color w:val="231F20"/>
                <w:spacing w:val="-11"/>
                <w:sz w:val="15"/>
              </w:rPr>
              <w:t> </w:t>
            </w:r>
            <w:r>
              <w:rPr>
                <w:color w:val="231F20"/>
                <w:sz w:val="15"/>
              </w:rPr>
              <w:t>benefits</w:t>
            </w:r>
            <w:r>
              <w:rPr>
                <w:color w:val="231F20"/>
                <w:spacing w:val="-12"/>
                <w:sz w:val="15"/>
              </w:rPr>
              <w:t> </w:t>
            </w:r>
            <w:r>
              <w:rPr>
                <w:color w:val="231F20"/>
                <w:sz w:val="15"/>
              </w:rPr>
              <w:t>and</w:t>
            </w:r>
            <w:r>
              <w:rPr>
                <w:color w:val="231F20"/>
                <w:spacing w:val="-11"/>
                <w:sz w:val="15"/>
              </w:rPr>
              <w:t> </w:t>
            </w:r>
            <w:r>
              <w:rPr>
                <w:color w:val="231F20"/>
                <w:sz w:val="15"/>
              </w:rPr>
              <w:t>risks</w:t>
            </w:r>
            <w:r>
              <w:rPr>
                <w:color w:val="231F20"/>
                <w:spacing w:val="-11"/>
                <w:sz w:val="15"/>
              </w:rPr>
              <w:t> </w:t>
            </w:r>
            <w:r>
              <w:rPr>
                <w:color w:val="231F20"/>
                <w:sz w:val="15"/>
              </w:rPr>
              <w:t>of participation</w:t>
            </w:r>
            <w:r>
              <w:rPr>
                <w:color w:val="231F20"/>
                <w:spacing w:val="-2"/>
                <w:sz w:val="15"/>
              </w:rPr>
              <w:t> </w:t>
            </w:r>
            <w:r>
              <w:rPr>
                <w:color w:val="231F20"/>
                <w:sz w:val="15"/>
              </w:rPr>
              <w:t>should</w:t>
            </w:r>
            <w:r>
              <w:rPr>
                <w:color w:val="231F20"/>
                <w:spacing w:val="-2"/>
                <w:sz w:val="15"/>
              </w:rPr>
              <w:t> </w:t>
            </w:r>
            <w:r>
              <w:rPr>
                <w:color w:val="231F20"/>
                <w:sz w:val="15"/>
              </w:rPr>
              <w:t>be</w:t>
            </w:r>
            <w:r>
              <w:rPr>
                <w:color w:val="231F20"/>
                <w:spacing w:val="-2"/>
                <w:sz w:val="15"/>
              </w:rPr>
              <w:t> </w:t>
            </w:r>
            <w:r>
              <w:rPr>
                <w:color w:val="231F20"/>
                <w:sz w:val="15"/>
              </w:rPr>
              <w:t>made</w:t>
            </w:r>
            <w:r>
              <w:rPr>
                <w:color w:val="231F20"/>
                <w:spacing w:val="-2"/>
                <w:sz w:val="15"/>
              </w:rPr>
              <w:t> </w:t>
            </w:r>
            <w:r>
              <w:rPr>
                <w:color w:val="231F20"/>
                <w:sz w:val="15"/>
              </w:rPr>
              <w:t>based</w:t>
            </w:r>
            <w:r>
              <w:rPr>
                <w:color w:val="231F20"/>
                <w:spacing w:val="-2"/>
                <w:sz w:val="15"/>
              </w:rPr>
              <w:t> </w:t>
            </w:r>
            <w:r>
              <w:rPr>
                <w:color w:val="231F20"/>
                <w:sz w:val="15"/>
              </w:rPr>
              <w:t>on</w:t>
            </w:r>
            <w:r>
              <w:rPr>
                <w:color w:val="231F20"/>
                <w:spacing w:val="-2"/>
                <w:sz w:val="15"/>
              </w:rPr>
              <w:t> </w:t>
            </w:r>
            <w:r>
              <w:rPr>
                <w:color w:val="231F20"/>
                <w:sz w:val="15"/>
              </w:rPr>
              <w:t>the child’s condition. No contraindications in general except for boxing.</w:t>
            </w:r>
          </w:p>
        </w:tc>
      </w:tr>
      <w:tr>
        <w:trPr>
          <w:trHeight w:val="756" w:hRule="atLeast"/>
        </w:trPr>
        <w:tc>
          <w:tcPr>
            <w:tcW w:w="1222" w:type="dxa"/>
            <w:tcBorders>
              <w:top w:val="single" w:sz="4" w:space="0" w:color="FFFFFF"/>
              <w:bottom w:val="single" w:sz="4" w:space="0" w:color="FFFFFF"/>
            </w:tcBorders>
            <w:shd w:val="clear" w:color="auto" w:fill="E8F5F1"/>
          </w:tcPr>
          <w:p>
            <w:pPr>
              <w:pStyle w:val="TableParagraph"/>
              <w:spacing w:line="230" w:lineRule="auto" w:before="48"/>
              <w:ind w:left="186" w:right="29" w:hanging="112"/>
              <w:rPr>
                <w:sz w:val="15"/>
              </w:rPr>
            </w:pPr>
            <w:r>
              <w:rPr>
                <w:color w:val="231F20"/>
                <w:spacing w:val="-2"/>
                <w:sz w:val="15"/>
              </w:rPr>
              <w:t>Noncontact sports</w:t>
            </w:r>
          </w:p>
        </w:tc>
        <w:tc>
          <w:tcPr>
            <w:tcW w:w="3480" w:type="dxa"/>
            <w:tcBorders>
              <w:top w:val="single" w:sz="4" w:space="0" w:color="FFFFFF"/>
              <w:bottom w:val="single" w:sz="4" w:space="0" w:color="FFFFFF"/>
            </w:tcBorders>
            <w:shd w:val="clear" w:color="auto" w:fill="E8F5F1"/>
          </w:tcPr>
          <w:p>
            <w:pPr>
              <w:pStyle w:val="TableParagraph"/>
              <w:spacing w:line="230" w:lineRule="auto" w:before="48"/>
              <w:ind w:left="469" w:hanging="112"/>
              <w:rPr>
                <w:sz w:val="15"/>
              </w:rPr>
            </w:pPr>
            <w:r>
              <w:rPr>
                <w:color w:val="231F20"/>
                <w:sz w:val="15"/>
              </w:rPr>
              <w:t>Generally</w:t>
            </w:r>
            <w:r>
              <w:rPr>
                <w:color w:val="231F20"/>
                <w:spacing w:val="-12"/>
                <w:sz w:val="15"/>
              </w:rPr>
              <w:t> </w:t>
            </w:r>
            <w:r>
              <w:rPr>
                <w:color w:val="231F20"/>
                <w:sz w:val="15"/>
              </w:rPr>
              <w:t>recommended.</w:t>
            </w:r>
            <w:r>
              <w:rPr>
                <w:color w:val="231F20"/>
                <w:spacing w:val="-11"/>
                <w:sz w:val="15"/>
              </w:rPr>
              <w:t> </w:t>
            </w:r>
            <w:r>
              <w:rPr>
                <w:color w:val="231F20"/>
                <w:sz w:val="15"/>
              </w:rPr>
              <w:t>Anxiety</w:t>
            </w:r>
            <w:r>
              <w:rPr>
                <w:color w:val="231F20"/>
                <w:spacing w:val="-11"/>
                <w:sz w:val="15"/>
              </w:rPr>
              <w:t> </w:t>
            </w:r>
            <w:r>
              <w:rPr>
                <w:color w:val="231F20"/>
                <w:sz w:val="15"/>
              </w:rPr>
              <w:t>and</w:t>
            </w:r>
            <w:r>
              <w:rPr>
                <w:color w:val="231F20"/>
                <w:spacing w:val="-12"/>
                <w:sz w:val="15"/>
              </w:rPr>
              <w:t> </w:t>
            </w:r>
            <w:r>
              <w:rPr>
                <w:color w:val="231F20"/>
                <w:sz w:val="15"/>
              </w:rPr>
              <w:t>fatigue can cause a problem in some children.</w:t>
            </w:r>
          </w:p>
          <w:p>
            <w:pPr>
              <w:pStyle w:val="TableParagraph"/>
              <w:spacing w:line="230" w:lineRule="auto" w:before="1"/>
              <w:ind w:left="469" w:right="313" w:hanging="112"/>
              <w:rPr>
                <w:sz w:val="15"/>
              </w:rPr>
            </w:pPr>
            <w:r>
              <w:rPr>
                <w:color w:val="231F20"/>
                <w:spacing w:val="-2"/>
                <w:sz w:val="15"/>
              </w:rPr>
              <w:t>Individualization</w:t>
            </w:r>
            <w:r>
              <w:rPr>
                <w:color w:val="231F20"/>
                <w:spacing w:val="-5"/>
                <w:sz w:val="15"/>
              </w:rPr>
              <w:t> </w:t>
            </w:r>
            <w:r>
              <w:rPr>
                <w:color w:val="231F20"/>
                <w:spacing w:val="-2"/>
                <w:sz w:val="15"/>
              </w:rPr>
              <w:t>based</w:t>
            </w:r>
            <w:r>
              <w:rPr>
                <w:color w:val="231F20"/>
                <w:spacing w:val="-5"/>
                <w:sz w:val="15"/>
              </w:rPr>
              <w:t> </w:t>
            </w:r>
            <w:r>
              <w:rPr>
                <w:color w:val="231F20"/>
                <w:spacing w:val="-2"/>
                <w:sz w:val="15"/>
              </w:rPr>
              <w:t>on</w:t>
            </w:r>
            <w:r>
              <w:rPr>
                <w:color w:val="231F20"/>
                <w:spacing w:val="-5"/>
                <w:sz w:val="15"/>
              </w:rPr>
              <w:t> </w:t>
            </w:r>
            <w:r>
              <w:rPr>
                <w:color w:val="231F20"/>
                <w:spacing w:val="-2"/>
                <w:sz w:val="15"/>
              </w:rPr>
              <w:t>clinical</w:t>
            </w:r>
            <w:r>
              <w:rPr>
                <w:color w:val="231F20"/>
                <w:spacing w:val="-5"/>
                <w:sz w:val="15"/>
              </w:rPr>
              <w:t> </w:t>
            </w:r>
            <w:r>
              <w:rPr>
                <w:color w:val="231F20"/>
                <w:spacing w:val="-2"/>
                <w:sz w:val="15"/>
              </w:rPr>
              <w:t>history </w:t>
            </w:r>
            <w:r>
              <w:rPr>
                <w:color w:val="231F20"/>
                <w:sz w:val="15"/>
              </w:rPr>
              <w:t>must be the rule.</w:t>
            </w:r>
          </w:p>
        </w:tc>
      </w:tr>
      <w:tr>
        <w:trPr>
          <w:trHeight w:val="1092" w:hRule="atLeast"/>
        </w:trPr>
        <w:tc>
          <w:tcPr>
            <w:tcW w:w="1222"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Gymnastics</w:t>
            </w:r>
          </w:p>
        </w:tc>
        <w:tc>
          <w:tcPr>
            <w:tcW w:w="3480" w:type="dxa"/>
            <w:tcBorders>
              <w:top w:val="single" w:sz="4" w:space="0" w:color="FFFFFF"/>
              <w:bottom w:val="single" w:sz="4" w:space="0" w:color="FFFFFF"/>
            </w:tcBorders>
            <w:shd w:val="clear" w:color="auto" w:fill="E8F5F1"/>
          </w:tcPr>
          <w:p>
            <w:pPr>
              <w:pStyle w:val="TableParagraph"/>
              <w:spacing w:line="230" w:lineRule="auto" w:before="48"/>
              <w:ind w:left="469" w:hanging="112"/>
              <w:rPr>
                <w:sz w:val="15"/>
              </w:rPr>
            </w:pPr>
            <w:r>
              <w:rPr>
                <w:color w:val="231F20"/>
                <w:sz w:val="15"/>
              </w:rPr>
              <w:t>A fall can result if the child experiences a </w:t>
            </w:r>
            <w:r>
              <w:rPr>
                <w:color w:val="231F20"/>
                <w:spacing w:val="-2"/>
                <w:sz w:val="15"/>
              </w:rPr>
              <w:t>sudden</w:t>
            </w:r>
            <w:r>
              <w:rPr>
                <w:color w:val="231F20"/>
                <w:spacing w:val="-9"/>
                <w:sz w:val="15"/>
              </w:rPr>
              <w:t> </w:t>
            </w:r>
            <w:r>
              <w:rPr>
                <w:color w:val="231F20"/>
                <w:spacing w:val="-2"/>
                <w:sz w:val="15"/>
              </w:rPr>
              <w:t>seizure,</w:t>
            </w:r>
            <w:r>
              <w:rPr>
                <w:color w:val="231F20"/>
                <w:spacing w:val="-9"/>
                <w:sz w:val="15"/>
              </w:rPr>
              <w:t> </w:t>
            </w:r>
            <w:r>
              <w:rPr>
                <w:color w:val="231F20"/>
                <w:spacing w:val="-2"/>
                <w:sz w:val="15"/>
              </w:rPr>
              <w:t>especially</w:t>
            </w:r>
            <w:r>
              <w:rPr>
                <w:color w:val="231F20"/>
                <w:spacing w:val="-9"/>
                <w:sz w:val="15"/>
              </w:rPr>
              <w:t> </w:t>
            </w:r>
            <w:r>
              <w:rPr>
                <w:color w:val="231F20"/>
                <w:spacing w:val="-2"/>
                <w:sz w:val="15"/>
              </w:rPr>
              <w:t>with</w:t>
            </w:r>
            <w:r>
              <w:rPr>
                <w:color w:val="231F20"/>
                <w:spacing w:val="-9"/>
                <w:sz w:val="15"/>
              </w:rPr>
              <w:t> </w:t>
            </w:r>
            <w:r>
              <w:rPr>
                <w:color w:val="231F20"/>
                <w:spacing w:val="-2"/>
                <w:sz w:val="15"/>
              </w:rPr>
              <w:t>trampolines, </w:t>
            </w:r>
            <w:r>
              <w:rPr>
                <w:color w:val="231F20"/>
                <w:sz w:val="15"/>
              </w:rPr>
              <w:t>parallel bars, and rope climbing, which should be avoided.</w:t>
            </w:r>
          </w:p>
          <w:p>
            <w:pPr>
              <w:pStyle w:val="TableParagraph"/>
              <w:spacing w:line="230" w:lineRule="auto" w:before="3"/>
              <w:ind w:left="469" w:right="313" w:hanging="112"/>
              <w:rPr>
                <w:sz w:val="15"/>
              </w:rPr>
            </w:pPr>
            <w:r>
              <w:rPr>
                <w:color w:val="231F20"/>
                <w:sz w:val="15"/>
              </w:rPr>
              <w:t>Individual</w:t>
            </w:r>
            <w:r>
              <w:rPr>
                <w:color w:val="231F20"/>
                <w:spacing w:val="-12"/>
                <w:sz w:val="15"/>
              </w:rPr>
              <w:t> </w:t>
            </w:r>
            <w:r>
              <w:rPr>
                <w:color w:val="231F20"/>
                <w:sz w:val="15"/>
              </w:rPr>
              <w:t>consideration</w:t>
            </w:r>
            <w:r>
              <w:rPr>
                <w:color w:val="231F20"/>
                <w:spacing w:val="-11"/>
                <w:sz w:val="15"/>
              </w:rPr>
              <w:t> </w:t>
            </w:r>
            <w:r>
              <w:rPr>
                <w:color w:val="231F20"/>
                <w:sz w:val="15"/>
              </w:rPr>
              <w:t>remains</w:t>
            </w:r>
            <w:r>
              <w:rPr>
                <w:color w:val="231F20"/>
                <w:spacing w:val="-11"/>
                <w:sz w:val="15"/>
              </w:rPr>
              <w:t> </w:t>
            </w:r>
            <w:r>
              <w:rPr>
                <w:color w:val="231F20"/>
                <w:sz w:val="15"/>
              </w:rPr>
              <w:t>the</w:t>
            </w:r>
            <w:r>
              <w:rPr>
                <w:color w:val="231F20"/>
                <w:spacing w:val="-12"/>
                <w:sz w:val="15"/>
              </w:rPr>
              <w:t> </w:t>
            </w:r>
            <w:r>
              <w:rPr>
                <w:color w:val="231F20"/>
                <w:sz w:val="15"/>
              </w:rPr>
              <w:t>basic </w:t>
            </w:r>
            <w:r>
              <w:rPr>
                <w:color w:val="231F20"/>
                <w:spacing w:val="-2"/>
                <w:sz w:val="15"/>
              </w:rPr>
              <w:t>determinant.</w:t>
            </w:r>
          </w:p>
        </w:tc>
      </w:tr>
      <w:tr>
        <w:trPr>
          <w:trHeight w:val="583" w:hRule="atLeast"/>
        </w:trPr>
        <w:tc>
          <w:tcPr>
            <w:tcW w:w="1222"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Swimming</w:t>
            </w:r>
          </w:p>
        </w:tc>
        <w:tc>
          <w:tcPr>
            <w:tcW w:w="3480" w:type="dxa"/>
            <w:tcBorders>
              <w:top w:val="single" w:sz="4" w:space="0" w:color="FFFFFF"/>
              <w:bottom w:val="single" w:sz="8" w:space="0" w:color="231F20"/>
            </w:tcBorders>
            <w:shd w:val="clear" w:color="auto" w:fill="E8F5F1"/>
          </w:tcPr>
          <w:p>
            <w:pPr>
              <w:pStyle w:val="TableParagraph"/>
              <w:spacing w:line="230" w:lineRule="auto" w:before="48"/>
              <w:ind w:left="469" w:right="97" w:hanging="112"/>
              <w:rPr>
                <w:sz w:val="15"/>
              </w:rPr>
            </w:pPr>
            <w:r>
              <w:rPr>
                <w:color w:val="231F20"/>
                <w:sz w:val="15"/>
              </w:rPr>
              <w:t>The child should always be under supervision, and scuba diving should be discouraged</w:t>
            </w:r>
            <w:r>
              <w:rPr>
                <w:color w:val="231F20"/>
                <w:spacing w:val="-12"/>
                <w:sz w:val="15"/>
              </w:rPr>
              <w:t> </w:t>
            </w:r>
            <w:r>
              <w:rPr>
                <w:color w:val="231F20"/>
                <w:sz w:val="15"/>
              </w:rPr>
              <w:t>in</w:t>
            </w:r>
            <w:r>
              <w:rPr>
                <w:color w:val="231F20"/>
                <w:spacing w:val="-11"/>
                <w:sz w:val="15"/>
              </w:rPr>
              <w:t> </w:t>
            </w:r>
            <w:r>
              <w:rPr>
                <w:color w:val="231F20"/>
                <w:sz w:val="15"/>
              </w:rPr>
              <w:t>poorly</w:t>
            </w:r>
            <w:r>
              <w:rPr>
                <w:color w:val="231F20"/>
                <w:spacing w:val="-11"/>
                <w:sz w:val="15"/>
              </w:rPr>
              <w:t> </w:t>
            </w:r>
            <w:r>
              <w:rPr>
                <w:color w:val="231F20"/>
                <w:sz w:val="15"/>
              </w:rPr>
              <w:t>controlled</w:t>
            </w:r>
            <w:r>
              <w:rPr>
                <w:color w:val="231F20"/>
                <w:spacing w:val="-12"/>
                <w:sz w:val="15"/>
              </w:rPr>
              <w:t> </w:t>
            </w:r>
            <w:r>
              <w:rPr>
                <w:color w:val="231F20"/>
                <w:sz w:val="15"/>
              </w:rPr>
              <w:t>epileptics.</w:t>
            </w:r>
          </w:p>
        </w:tc>
      </w:tr>
    </w:tbl>
    <w:p>
      <w:pPr>
        <w:pStyle w:val="Heading3"/>
        <w:spacing w:line="235" w:lineRule="auto" w:before="67"/>
        <w:ind w:left="3524" w:right="2583"/>
      </w:pPr>
      <w:r>
        <w:rPr>
          <w:color w:val="231F20"/>
        </w:rPr>
        <w:t>*Specific</w:t>
      </w:r>
      <w:r>
        <w:rPr>
          <w:color w:val="231F20"/>
          <w:spacing w:val="-5"/>
        </w:rPr>
        <w:t> </w:t>
      </w:r>
      <w:r>
        <w:rPr>
          <w:color w:val="231F20"/>
        </w:rPr>
        <w:t>advice</w:t>
      </w:r>
      <w:r>
        <w:rPr>
          <w:color w:val="231F20"/>
          <w:spacing w:val="-5"/>
        </w:rPr>
        <w:t> </w:t>
      </w:r>
      <w:r>
        <w:rPr>
          <w:color w:val="231F20"/>
        </w:rPr>
        <w:t>should</w:t>
      </w:r>
      <w:r>
        <w:rPr>
          <w:color w:val="231F20"/>
          <w:spacing w:val="-5"/>
        </w:rPr>
        <w:t> </w:t>
      </w:r>
      <w:r>
        <w:rPr>
          <w:color w:val="231F20"/>
        </w:rPr>
        <w:t>be</w:t>
      </w:r>
      <w:r>
        <w:rPr>
          <w:color w:val="231F20"/>
          <w:spacing w:val="-5"/>
        </w:rPr>
        <w:t> </w:t>
      </w:r>
      <w:r>
        <w:rPr>
          <w:color w:val="231F20"/>
        </w:rPr>
        <w:t>individualized</w:t>
      </w:r>
      <w:r>
        <w:rPr>
          <w:color w:val="231F20"/>
          <w:spacing w:val="-5"/>
        </w:rPr>
        <w:t> </w:t>
      </w:r>
      <w:r>
        <w:rPr>
          <w:color w:val="231F20"/>
        </w:rPr>
        <w:t>depending on the patient’s clinical condition. Many patients actually</w:t>
      </w:r>
      <w:r>
        <w:rPr>
          <w:color w:val="231F20"/>
          <w:spacing w:val="-1"/>
        </w:rPr>
        <w:t> </w:t>
      </w:r>
      <w:r>
        <w:rPr>
          <w:color w:val="231F20"/>
        </w:rPr>
        <w:t>have</w:t>
      </w:r>
      <w:r>
        <w:rPr>
          <w:color w:val="231F20"/>
          <w:spacing w:val="-1"/>
        </w:rPr>
        <w:t> </w:t>
      </w:r>
      <w:r>
        <w:rPr>
          <w:color w:val="231F20"/>
        </w:rPr>
        <w:t>fewer</w:t>
      </w:r>
      <w:r>
        <w:rPr>
          <w:color w:val="231F20"/>
          <w:spacing w:val="-1"/>
        </w:rPr>
        <w:t> </w:t>
      </w:r>
      <w:r>
        <w:rPr>
          <w:color w:val="231F20"/>
        </w:rPr>
        <w:t>seizures</w:t>
      </w:r>
      <w:r>
        <w:rPr>
          <w:color w:val="231F20"/>
          <w:spacing w:val="-1"/>
        </w:rPr>
        <w:t> </w:t>
      </w:r>
      <w:r>
        <w:rPr>
          <w:color w:val="231F20"/>
        </w:rPr>
        <w:t>when</w:t>
      </w:r>
      <w:r>
        <w:rPr>
          <w:color w:val="231F20"/>
          <w:spacing w:val="-1"/>
        </w:rPr>
        <w:t> </w:t>
      </w:r>
      <w:r>
        <w:rPr>
          <w:color w:val="231F20"/>
        </w:rPr>
        <w:t>they</w:t>
      </w:r>
      <w:r>
        <w:rPr>
          <w:color w:val="231F20"/>
          <w:spacing w:val="-1"/>
        </w:rPr>
        <w:t> </w:t>
      </w:r>
      <w:r>
        <w:rPr>
          <w:color w:val="231F20"/>
        </w:rPr>
        <w:t>are</w:t>
      </w:r>
      <w:r>
        <w:rPr>
          <w:color w:val="231F20"/>
          <w:spacing w:val="-1"/>
        </w:rPr>
        <w:t> </w:t>
      </w:r>
      <w:r>
        <w:rPr>
          <w:color w:val="231F20"/>
        </w:rPr>
        <w:t>active than when they are idle.</w:t>
      </w:r>
    </w:p>
    <w:p>
      <w:pPr>
        <w:pStyle w:val="Heading3"/>
        <w:spacing w:after="0" w:line="235" w:lineRule="auto"/>
        <w:sectPr>
          <w:type w:val="continuous"/>
          <w:pgSz w:w="11900" w:h="16840"/>
          <w:pgMar w:header="0" w:footer="0" w:top="6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18" name="Group 618"/>
                <wp:cNvGraphicFramePr>
                  <a:graphicFrameLocks/>
                </wp:cNvGraphicFramePr>
                <a:graphic>
                  <a:graphicData uri="http://schemas.microsoft.com/office/word/2010/wordprocessingGroup">
                    <wpg:wgp>
                      <wpg:cNvPr id="618" name="Group 618"/>
                      <wpg:cNvGrpSpPr/>
                      <wpg:grpSpPr>
                        <a:xfrm>
                          <a:off x="0" y="0"/>
                          <a:ext cx="6185535" cy="170815"/>
                          <a:chExt cx="6185535" cy="170815"/>
                        </a:xfrm>
                      </wpg:grpSpPr>
                      <wps:wsp>
                        <wps:cNvPr id="619" name="Graphic 619"/>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20" name="Graphic 620"/>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21" name="Textbox 621"/>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2840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41"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42" filled="false" stroked="false">
                  <v:textbox inset="0,0,0,0">
                    <w:txbxContent>
                      <w:p>
                        <w:pPr>
                          <w:spacing w:before="6"/>
                          <w:ind w:left="-1" w:right="0" w:firstLine="0"/>
                          <w:jc w:val="left"/>
                          <w:rPr>
                            <w:sz w:val="18"/>
                          </w:rPr>
                        </w:pPr>
                        <w:r>
                          <w:rPr>
                            <w:b/>
                            <w:color w:val="231F20"/>
                            <w:w w:val="105"/>
                            <w:sz w:val="18"/>
                          </w:rPr>
                          <w:t>2840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6"/>
        <w:rPr>
          <w:sz w:val="14"/>
        </w:rPr>
      </w:pPr>
      <w:r>
        <w:rPr>
          <w:sz w:val="14"/>
        </w:rPr>
        <w:drawing>
          <wp:anchor distT="0" distB="0" distL="0" distR="0" allowOverlap="1" layoutInCell="1" locked="0" behindDoc="1" simplePos="0" relativeHeight="487616512">
            <wp:simplePos x="0" y="0"/>
            <wp:positionH relativeFrom="page">
              <wp:posOffset>578967</wp:posOffset>
            </wp:positionH>
            <wp:positionV relativeFrom="paragraph">
              <wp:posOffset>122645</wp:posOffset>
            </wp:positionV>
            <wp:extent cx="6125553" cy="4366260"/>
            <wp:effectExtent l="0" t="0" r="0" b="0"/>
            <wp:wrapTopAndBottom/>
            <wp:docPr id="622" name="Image 622"/>
            <wp:cNvGraphicFramePr>
              <a:graphicFrameLocks/>
            </wp:cNvGraphicFramePr>
            <a:graphic>
              <a:graphicData uri="http://schemas.openxmlformats.org/drawingml/2006/picture">
                <pic:pic>
                  <pic:nvPicPr>
                    <pic:cNvPr id="622" name="Image 622"/>
                    <pic:cNvPicPr/>
                  </pic:nvPicPr>
                  <pic:blipFill>
                    <a:blip r:embed="rId293" cstate="print"/>
                    <a:stretch>
                      <a:fillRect/>
                    </a:stretch>
                  </pic:blipFill>
                  <pic:spPr>
                    <a:xfrm>
                      <a:off x="0" y="0"/>
                      <a:ext cx="6125553" cy="4366260"/>
                    </a:xfrm>
                    <a:prstGeom prst="rect">
                      <a:avLst/>
                    </a:prstGeom>
                  </pic:spPr>
                </pic:pic>
              </a:graphicData>
            </a:graphic>
          </wp:anchor>
        </w:drawing>
      </w:r>
    </w:p>
    <w:p>
      <w:pPr>
        <w:pStyle w:val="Heading6"/>
        <w:spacing w:line="230" w:lineRule="auto" w:before="45"/>
        <w:ind w:left="486" w:right="678"/>
        <w:jc w:val="both"/>
        <w:rPr>
          <w:i/>
        </w:rPr>
      </w:pPr>
      <w:r>
        <w:rPr>
          <w:b/>
          <w:color w:val="4A0C62"/>
          <w:sz w:val="16"/>
        </w:rPr>
        <w:t>Figure 593-5</w:t>
      </w:r>
      <w:r>
        <w:rPr>
          <w:b/>
          <w:color w:val="4A0C62"/>
          <w:spacing w:val="-1"/>
          <w:sz w:val="16"/>
        </w:rPr>
        <w:t> </w:t>
      </w:r>
      <w:r>
        <w:rPr>
          <w:color w:val="231F20"/>
        </w:rPr>
        <w:t>Mechanisms of action of antiepileptic drugs, which act by diverse mechanisms, mainly involving modulation of voltage activated ion channels, potentiation of GABA, and inhibition of glutamate. Approved antiepileptic drugs have effects on inhibitory </w:t>
      </w:r>
      <w:r>
        <w:rPr>
          <w:i/>
          <w:color w:val="231F20"/>
        </w:rPr>
        <w:t>(left hand side) </w:t>
      </w:r>
      <w:r>
        <w:rPr>
          <w:color w:val="231F20"/>
        </w:rPr>
        <w:t>and excitatory </w:t>
      </w:r>
      <w:r>
        <w:rPr>
          <w:i/>
          <w:color w:val="231F20"/>
        </w:rPr>
        <w:t>(right hand side) </w:t>
      </w:r>
      <w:r>
        <w:rPr>
          <w:color w:val="231F20"/>
        </w:rPr>
        <w:t>nerve terminals. The antiepileptic efficacy in trials of most of these drugs as initial add-on does not differ greatly, indicating</w:t>
      </w:r>
      <w:r>
        <w:rPr>
          <w:color w:val="231F20"/>
          <w:spacing w:val="-6"/>
        </w:rPr>
        <w:t> </w:t>
      </w:r>
      <w:r>
        <w:rPr>
          <w:color w:val="231F20"/>
        </w:rPr>
        <w:t>that</w:t>
      </w:r>
      <w:r>
        <w:rPr>
          <w:color w:val="231F20"/>
          <w:spacing w:val="-6"/>
        </w:rPr>
        <w:t> </w:t>
      </w:r>
      <w:r>
        <w:rPr>
          <w:color w:val="231F20"/>
        </w:rPr>
        <w:t>seemingly</w:t>
      </w:r>
      <w:r>
        <w:rPr>
          <w:color w:val="231F20"/>
          <w:spacing w:val="-6"/>
        </w:rPr>
        <w:t> </w:t>
      </w:r>
      <w:r>
        <w:rPr>
          <w:color w:val="231F20"/>
        </w:rPr>
        <w:t>similar</w:t>
      </w:r>
      <w:r>
        <w:rPr>
          <w:color w:val="231F20"/>
          <w:spacing w:val="-6"/>
        </w:rPr>
        <w:t> </w:t>
      </w:r>
      <w:r>
        <w:rPr>
          <w:color w:val="231F20"/>
        </w:rPr>
        <w:t>antiseizure</w:t>
      </w:r>
      <w:r>
        <w:rPr>
          <w:color w:val="231F20"/>
          <w:spacing w:val="-6"/>
        </w:rPr>
        <w:t> </w:t>
      </w:r>
      <w:r>
        <w:rPr>
          <w:color w:val="231F20"/>
        </w:rPr>
        <w:t>activity</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obtained</w:t>
      </w:r>
      <w:r>
        <w:rPr>
          <w:color w:val="231F20"/>
          <w:spacing w:val="-6"/>
        </w:rPr>
        <w:t> </w:t>
      </w:r>
      <w:r>
        <w:rPr>
          <w:color w:val="231F20"/>
        </w:rPr>
        <w:t>by</w:t>
      </w:r>
      <w:r>
        <w:rPr>
          <w:color w:val="231F20"/>
          <w:spacing w:val="-6"/>
        </w:rPr>
        <w:t> </w:t>
      </w:r>
      <w:r>
        <w:rPr>
          <w:color w:val="231F20"/>
        </w:rPr>
        <w:t>mechanisms</w:t>
      </w:r>
      <w:r>
        <w:rPr>
          <w:color w:val="231F20"/>
          <w:spacing w:val="-6"/>
        </w:rPr>
        <w:t> </w:t>
      </w:r>
      <w:r>
        <w:rPr>
          <w:color w:val="231F20"/>
        </w:rPr>
        <w:t>aimed</w:t>
      </w:r>
      <w:r>
        <w:rPr>
          <w:color w:val="231F20"/>
          <w:spacing w:val="-6"/>
        </w:rPr>
        <w:t> </w:t>
      </w:r>
      <w:r>
        <w:rPr>
          <w:color w:val="231F20"/>
        </w:rPr>
        <w:t>at</w:t>
      </w:r>
      <w:r>
        <w:rPr>
          <w:color w:val="231F20"/>
          <w:spacing w:val="-6"/>
        </w:rPr>
        <w:t> </w:t>
      </w:r>
      <w:r>
        <w:rPr>
          <w:color w:val="231F20"/>
        </w:rPr>
        <w:t>diverse</w:t>
      </w:r>
      <w:r>
        <w:rPr>
          <w:color w:val="231F20"/>
          <w:spacing w:val="-6"/>
        </w:rPr>
        <w:t> </w:t>
      </w:r>
      <w:r>
        <w:rPr>
          <w:color w:val="231F20"/>
        </w:rPr>
        <w:t>targets.</w:t>
      </w:r>
      <w:r>
        <w:rPr>
          <w:color w:val="231F20"/>
          <w:spacing w:val="-6"/>
        </w:rPr>
        <w:t> </w:t>
      </w:r>
      <w:r>
        <w:rPr>
          <w:color w:val="231F20"/>
        </w:rPr>
        <w:t>However,</w:t>
      </w:r>
      <w:r>
        <w:rPr>
          <w:color w:val="231F20"/>
          <w:spacing w:val="-6"/>
        </w:rPr>
        <w:t> </w:t>
      </w:r>
      <w:r>
        <w:rPr>
          <w:color w:val="231F20"/>
        </w:rPr>
        <w:t>putative</w:t>
      </w:r>
      <w:r>
        <w:rPr>
          <w:color w:val="231F20"/>
          <w:spacing w:val="-6"/>
        </w:rPr>
        <w:t> </w:t>
      </w:r>
      <w:r>
        <w:rPr>
          <w:color w:val="231F20"/>
        </w:rPr>
        <w:t>mechanisms</w:t>
      </w:r>
      <w:r>
        <w:rPr>
          <w:color w:val="231F20"/>
          <w:spacing w:val="-6"/>
        </w:rPr>
        <w:t> </w:t>
      </w:r>
      <w:r>
        <w:rPr>
          <w:color w:val="231F20"/>
        </w:rPr>
        <w:t>of action</w:t>
      </w:r>
      <w:r>
        <w:rPr>
          <w:color w:val="231F20"/>
          <w:spacing w:val="-11"/>
        </w:rPr>
        <w:t> </w:t>
      </w:r>
      <w:r>
        <w:rPr>
          <w:color w:val="231F20"/>
        </w:rPr>
        <w:t>were</w:t>
      </w:r>
      <w:r>
        <w:rPr>
          <w:color w:val="231F20"/>
          <w:spacing w:val="-11"/>
        </w:rPr>
        <w:t> </w:t>
      </w:r>
      <w:r>
        <w:rPr>
          <w:color w:val="231F20"/>
        </w:rPr>
        <w:t>determined</w:t>
      </w:r>
      <w:r>
        <w:rPr>
          <w:color w:val="231F20"/>
          <w:spacing w:val="-11"/>
        </w:rPr>
        <w:t> </w:t>
      </w:r>
      <w:r>
        <w:rPr>
          <w:color w:val="231F20"/>
        </w:rPr>
        <w:t>only</w:t>
      </w:r>
      <w:r>
        <w:rPr>
          <w:color w:val="231F20"/>
          <w:spacing w:val="-11"/>
        </w:rPr>
        <w:t> </w:t>
      </w:r>
      <w:r>
        <w:rPr>
          <w:color w:val="231F20"/>
        </w:rPr>
        <w:t>after</w:t>
      </w:r>
      <w:r>
        <w:rPr>
          <w:color w:val="231F20"/>
          <w:spacing w:val="-11"/>
        </w:rPr>
        <w:t> </w:t>
      </w:r>
      <w:r>
        <w:rPr>
          <w:color w:val="231F20"/>
        </w:rPr>
        <w:t>discovering</w:t>
      </w:r>
      <w:r>
        <w:rPr>
          <w:color w:val="231F20"/>
          <w:spacing w:val="-11"/>
        </w:rPr>
        <w:t> </w:t>
      </w:r>
      <w:r>
        <w:rPr>
          <w:color w:val="231F20"/>
        </w:rPr>
        <w:t>the</w:t>
      </w:r>
      <w:r>
        <w:rPr>
          <w:color w:val="231F20"/>
          <w:spacing w:val="-11"/>
        </w:rPr>
        <w:t> </w:t>
      </w:r>
      <w:r>
        <w:rPr>
          <w:color w:val="231F20"/>
        </w:rPr>
        <w:t>antiseizure</w:t>
      </w:r>
      <w:r>
        <w:rPr>
          <w:color w:val="231F20"/>
          <w:spacing w:val="-11"/>
        </w:rPr>
        <w:t> </w:t>
      </w:r>
      <w:r>
        <w:rPr>
          <w:color w:val="231F20"/>
        </w:rPr>
        <w:t>effects;</w:t>
      </w:r>
      <w:r>
        <w:rPr>
          <w:color w:val="231F20"/>
          <w:spacing w:val="-11"/>
        </w:rPr>
        <w:t> </w:t>
      </w:r>
      <w:r>
        <w:rPr>
          <w:color w:val="231F20"/>
        </w:rPr>
        <w:t>mechanism</w:t>
      </w:r>
      <w:r>
        <w:rPr>
          <w:color w:val="231F20"/>
          <w:spacing w:val="-11"/>
        </w:rPr>
        <w:t> </w:t>
      </w:r>
      <w:r>
        <w:rPr>
          <w:color w:val="231F20"/>
        </w:rPr>
        <w:t>driven</w:t>
      </w:r>
      <w:r>
        <w:rPr>
          <w:color w:val="231F20"/>
          <w:spacing w:val="-11"/>
        </w:rPr>
        <w:t> </w:t>
      </w:r>
      <w:r>
        <w:rPr>
          <w:color w:val="231F20"/>
        </w:rPr>
        <w:t>drug</w:t>
      </w:r>
      <w:r>
        <w:rPr>
          <w:color w:val="231F20"/>
          <w:spacing w:val="-11"/>
        </w:rPr>
        <w:t> </w:t>
      </w:r>
      <w:r>
        <w:rPr>
          <w:color w:val="231F20"/>
        </w:rPr>
        <w:t>discovery</w:t>
      </w:r>
      <w:r>
        <w:rPr>
          <w:color w:val="231F20"/>
          <w:spacing w:val="-11"/>
        </w:rPr>
        <w:t> </w:t>
      </w:r>
      <w:r>
        <w:rPr>
          <w:color w:val="231F20"/>
        </w:rPr>
        <w:t>has</w:t>
      </w:r>
      <w:r>
        <w:rPr>
          <w:color w:val="231F20"/>
          <w:spacing w:val="-11"/>
        </w:rPr>
        <w:t> </w:t>
      </w:r>
      <w:r>
        <w:rPr>
          <w:color w:val="231F20"/>
        </w:rPr>
        <w:t>been</w:t>
      </w:r>
      <w:r>
        <w:rPr>
          <w:color w:val="231F20"/>
          <w:spacing w:val="-11"/>
        </w:rPr>
        <w:t> </w:t>
      </w:r>
      <w:r>
        <w:rPr>
          <w:color w:val="231F20"/>
        </w:rPr>
        <w:t>largely</w:t>
      </w:r>
      <w:r>
        <w:rPr>
          <w:color w:val="231F20"/>
          <w:spacing w:val="-11"/>
        </w:rPr>
        <w:t> </w:t>
      </w:r>
      <w:r>
        <w:rPr>
          <w:color w:val="231F20"/>
        </w:rPr>
        <w:t>ignored.</w:t>
      </w:r>
      <w:r>
        <w:rPr>
          <w:color w:val="231F20"/>
          <w:spacing w:val="-11"/>
        </w:rPr>
        <w:t> </w:t>
      </w:r>
      <w:r>
        <w:rPr>
          <w:color w:val="231F20"/>
        </w:rPr>
        <w:t>AMPA,</w:t>
      </w:r>
      <w:r>
        <w:rPr>
          <w:color w:val="231F20"/>
          <w:spacing w:val="-11"/>
        </w:rPr>
        <w:t> </w:t>
      </w:r>
      <w:r>
        <w:rPr>
          <w:rFonts w:ascii="Cambria" w:hAnsi="Cambria"/>
          <w:color w:val="231F20"/>
        </w:rPr>
        <w:t>α</w:t>
      </w:r>
      <w:r>
        <w:rPr>
          <w:color w:val="231F20"/>
        </w:rPr>
        <w:t>-amino- 3-hydroxy-5-methyl-4-isoxazole</w:t>
      </w:r>
      <w:r>
        <w:rPr>
          <w:color w:val="231F20"/>
          <w:spacing w:val="-5"/>
        </w:rPr>
        <w:t> </w:t>
      </w:r>
      <w:r>
        <w:rPr>
          <w:color w:val="231F20"/>
        </w:rPr>
        <w:t>propionic</w:t>
      </w:r>
      <w:r>
        <w:rPr>
          <w:color w:val="231F20"/>
          <w:spacing w:val="-5"/>
        </w:rPr>
        <w:t> </w:t>
      </w:r>
      <w:r>
        <w:rPr>
          <w:color w:val="231F20"/>
        </w:rPr>
        <w:t>acid;</w:t>
      </w:r>
      <w:r>
        <w:rPr>
          <w:color w:val="231F20"/>
          <w:spacing w:val="-5"/>
        </w:rPr>
        <w:t> </w:t>
      </w:r>
      <w:r>
        <w:rPr>
          <w:color w:val="231F20"/>
        </w:rPr>
        <w:t>GABA,</w:t>
      </w:r>
      <w:r>
        <w:rPr>
          <w:color w:val="231F20"/>
          <w:spacing w:val="-5"/>
        </w:rPr>
        <w:t> </w:t>
      </w:r>
      <w:r>
        <w:rPr>
          <w:rFonts w:ascii="Cambria" w:hAnsi="Cambria"/>
          <w:color w:val="231F20"/>
        </w:rPr>
        <w:t>γ</w:t>
      </w:r>
      <w:r>
        <w:rPr>
          <w:color w:val="231F20"/>
        </w:rPr>
        <w:t>-aminobutyric</w:t>
      </w:r>
      <w:r>
        <w:rPr>
          <w:color w:val="231F20"/>
          <w:spacing w:val="-5"/>
        </w:rPr>
        <w:t> </w:t>
      </w:r>
      <w:r>
        <w:rPr>
          <w:color w:val="231F20"/>
        </w:rPr>
        <w:t>acid;</w:t>
      </w:r>
      <w:r>
        <w:rPr>
          <w:color w:val="231F20"/>
          <w:spacing w:val="-5"/>
        </w:rPr>
        <w:t> </w:t>
      </w:r>
      <w:r>
        <w:rPr>
          <w:color w:val="231F20"/>
        </w:rPr>
        <w:t>GAT-1,</w:t>
      </w:r>
      <w:r>
        <w:rPr>
          <w:color w:val="231F20"/>
          <w:spacing w:val="-5"/>
        </w:rPr>
        <w:t> </w:t>
      </w:r>
      <w:r>
        <w:rPr>
          <w:color w:val="231F20"/>
        </w:rPr>
        <w:t>sodium-dependent</w:t>
      </w:r>
      <w:r>
        <w:rPr>
          <w:color w:val="231F20"/>
          <w:spacing w:val="-5"/>
        </w:rPr>
        <w:t> </w:t>
      </w:r>
      <w:r>
        <w:rPr>
          <w:color w:val="231F20"/>
        </w:rPr>
        <w:t>and</w:t>
      </w:r>
      <w:r>
        <w:rPr>
          <w:color w:val="231F20"/>
          <w:spacing w:val="-5"/>
        </w:rPr>
        <w:t> </w:t>
      </w:r>
      <w:r>
        <w:rPr>
          <w:color w:val="231F20"/>
        </w:rPr>
        <w:t>chloride-dependent</w:t>
      </w:r>
      <w:r>
        <w:rPr>
          <w:color w:val="231F20"/>
          <w:spacing w:val="-5"/>
        </w:rPr>
        <w:t> </w:t>
      </w:r>
      <w:r>
        <w:rPr>
          <w:color w:val="231F20"/>
        </w:rPr>
        <w:t>GABA</w:t>
      </w:r>
      <w:r>
        <w:rPr>
          <w:color w:val="231F20"/>
          <w:spacing w:val="-5"/>
        </w:rPr>
        <w:t> </w:t>
      </w:r>
      <w:r>
        <w:rPr>
          <w:color w:val="231F20"/>
        </w:rPr>
        <w:t>transporter 1; SV2A, synaptic vesicle glycoprotein 2A. </w:t>
      </w:r>
      <w:r>
        <w:rPr>
          <w:i/>
          <w:color w:val="231F20"/>
        </w:rPr>
        <w:t>(From Schmidt D, Schachter SC: Drug treatment of epilepsy in adults. </w:t>
      </w:r>
      <w:r>
        <w:rPr>
          <w:color w:val="231F20"/>
        </w:rPr>
        <w:t>BMJ, </w:t>
      </w:r>
      <w:r>
        <w:rPr>
          <w:i/>
          <w:color w:val="231F20"/>
        </w:rPr>
        <w:t>348:bmj.g254, 2014.)</w:t>
      </w:r>
    </w:p>
    <w:p>
      <w:pPr>
        <w:pStyle w:val="Heading6"/>
        <w:spacing w:after="0" w:line="230" w:lineRule="auto"/>
        <w:jc w:val="both"/>
        <w:rPr>
          <w:i/>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23" name="Group 623"/>
                <wp:cNvGraphicFramePr>
                  <a:graphicFrameLocks/>
                </wp:cNvGraphicFramePr>
                <a:graphic>
                  <a:graphicData uri="http://schemas.microsoft.com/office/word/2010/wordprocessingGroup">
                    <wpg:wgp>
                      <wpg:cNvPr id="623" name="Group 623"/>
                      <wpg:cNvGrpSpPr/>
                      <wpg:grpSpPr>
                        <a:xfrm>
                          <a:off x="0" y="0"/>
                          <a:ext cx="6185535" cy="170815"/>
                          <a:chExt cx="6185535" cy="170815"/>
                        </a:xfrm>
                      </wpg:grpSpPr>
                      <wps:wsp>
                        <wps:cNvPr id="624" name="Graphic 624"/>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25" name="Graphic 625"/>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26" name="Textbox 626"/>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2842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43"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44" filled="false" stroked="false">
                  <v:textbox inset="0,0,0,0">
                    <w:txbxContent>
                      <w:p>
                        <w:pPr>
                          <w:spacing w:before="6"/>
                          <w:ind w:left="-1" w:right="0" w:firstLine="0"/>
                          <w:jc w:val="left"/>
                          <w:rPr>
                            <w:sz w:val="18"/>
                          </w:rPr>
                        </w:pPr>
                        <w:r>
                          <w:rPr>
                            <w:b/>
                            <w:color w:val="231F20"/>
                            <w:w w:val="105"/>
                            <w:sz w:val="18"/>
                          </w:rPr>
                          <w:t>2842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5"/>
        <w:gridCol w:w="1198"/>
        <w:gridCol w:w="1045"/>
        <w:gridCol w:w="1217"/>
        <w:gridCol w:w="1089"/>
        <w:gridCol w:w="1358"/>
        <w:gridCol w:w="1437"/>
        <w:gridCol w:w="1343"/>
      </w:tblGrid>
      <w:tr>
        <w:trPr>
          <w:trHeight w:val="382" w:hRule="atLeast"/>
        </w:trPr>
        <w:tc>
          <w:tcPr>
            <w:tcW w:w="9742" w:type="dxa"/>
            <w:gridSpan w:val="8"/>
            <w:shd w:val="clear" w:color="auto" w:fill="231F20"/>
          </w:tcPr>
          <w:p>
            <w:pPr>
              <w:pStyle w:val="TableParagraph"/>
              <w:spacing w:before="89"/>
              <w:ind w:left="111"/>
              <w:rPr>
                <w:sz w:val="16"/>
              </w:rPr>
            </w:pPr>
            <w:r>
              <w:rPr>
                <w:b/>
                <w:color w:val="FFFFFF"/>
                <w:w w:val="105"/>
                <w:sz w:val="16"/>
              </w:rPr>
              <w:t>Table</w:t>
            </w:r>
            <w:r>
              <w:rPr>
                <w:b/>
                <w:color w:val="FFFFFF"/>
                <w:spacing w:val="-8"/>
                <w:w w:val="105"/>
                <w:sz w:val="16"/>
              </w:rPr>
              <w:t> </w:t>
            </w:r>
            <w:r>
              <w:rPr>
                <w:b/>
                <w:color w:val="FFFFFF"/>
                <w:w w:val="105"/>
                <w:sz w:val="16"/>
              </w:rPr>
              <w:t>593-11</w:t>
            </w:r>
            <w:r>
              <w:rPr>
                <w:b/>
                <w:color w:val="FFFFFF"/>
                <w:spacing w:val="34"/>
                <w:w w:val="105"/>
                <w:sz w:val="16"/>
              </w:rPr>
              <w:t>  </w:t>
            </w:r>
            <w:r>
              <w:rPr>
                <w:color w:val="FFFFFF"/>
                <w:w w:val="105"/>
                <w:sz w:val="16"/>
              </w:rPr>
              <w:t>Comparison</w:t>
            </w:r>
            <w:r>
              <w:rPr>
                <w:color w:val="FFFFFF"/>
                <w:spacing w:val="4"/>
                <w:w w:val="105"/>
                <w:sz w:val="16"/>
              </w:rPr>
              <w:t> </w:t>
            </w:r>
            <w:r>
              <w:rPr>
                <w:color w:val="FFFFFF"/>
                <w:w w:val="105"/>
                <w:sz w:val="16"/>
              </w:rPr>
              <w:t>of</w:t>
            </w:r>
            <w:r>
              <w:rPr>
                <w:color w:val="FFFFFF"/>
                <w:spacing w:val="5"/>
                <w:w w:val="105"/>
                <w:sz w:val="16"/>
              </w:rPr>
              <w:t> </w:t>
            </w:r>
            <w:r>
              <w:rPr>
                <w:color w:val="FFFFFF"/>
                <w:w w:val="105"/>
                <w:sz w:val="16"/>
              </w:rPr>
              <w:t>Recommendations</w:t>
            </w:r>
            <w:r>
              <w:rPr>
                <w:color w:val="FFFFFF"/>
                <w:spacing w:val="5"/>
                <w:w w:val="105"/>
                <w:sz w:val="16"/>
              </w:rPr>
              <w:t> </w:t>
            </w:r>
            <w:r>
              <w:rPr>
                <w:color w:val="FFFFFF"/>
                <w:w w:val="105"/>
                <w:sz w:val="16"/>
              </w:rPr>
              <w:t>for</w:t>
            </w:r>
            <w:r>
              <w:rPr>
                <w:color w:val="FFFFFF"/>
                <w:spacing w:val="5"/>
                <w:w w:val="105"/>
                <w:sz w:val="16"/>
              </w:rPr>
              <w:t> </w:t>
            </w:r>
            <w:r>
              <w:rPr>
                <w:color w:val="FFFFFF"/>
                <w:w w:val="105"/>
                <w:sz w:val="16"/>
              </w:rPr>
              <w:t>the</w:t>
            </w:r>
            <w:r>
              <w:rPr>
                <w:color w:val="FFFFFF"/>
                <w:spacing w:val="5"/>
                <w:w w:val="105"/>
                <w:sz w:val="16"/>
              </w:rPr>
              <w:t> </w:t>
            </w:r>
            <w:r>
              <w:rPr>
                <w:color w:val="FFFFFF"/>
                <w:w w:val="105"/>
                <w:sz w:val="16"/>
              </w:rPr>
              <w:t>Treatment</w:t>
            </w:r>
            <w:r>
              <w:rPr>
                <w:color w:val="FFFFFF"/>
                <w:spacing w:val="5"/>
                <w:w w:val="105"/>
                <w:sz w:val="16"/>
              </w:rPr>
              <w:t> </w:t>
            </w:r>
            <w:r>
              <w:rPr>
                <w:color w:val="FFFFFF"/>
                <w:w w:val="105"/>
                <w:sz w:val="16"/>
              </w:rPr>
              <w:t>of</w:t>
            </w:r>
            <w:r>
              <w:rPr>
                <w:color w:val="FFFFFF"/>
                <w:spacing w:val="5"/>
                <w:w w:val="105"/>
                <w:sz w:val="16"/>
              </w:rPr>
              <w:t> </w:t>
            </w:r>
            <w:r>
              <w:rPr>
                <w:color w:val="FFFFFF"/>
                <w:w w:val="105"/>
                <w:sz w:val="16"/>
              </w:rPr>
              <w:t>Pediatric</w:t>
            </w:r>
            <w:r>
              <w:rPr>
                <w:color w:val="FFFFFF"/>
                <w:spacing w:val="5"/>
                <w:w w:val="105"/>
                <w:sz w:val="16"/>
              </w:rPr>
              <w:t> </w:t>
            </w:r>
            <w:r>
              <w:rPr>
                <w:color w:val="FFFFFF"/>
                <w:spacing w:val="-2"/>
                <w:w w:val="105"/>
                <w:sz w:val="16"/>
              </w:rPr>
              <w:t>Epilepsy</w:t>
            </w:r>
          </w:p>
        </w:tc>
      </w:tr>
      <w:tr>
        <w:trPr>
          <w:trHeight w:val="920" w:hRule="atLeast"/>
        </w:trPr>
        <w:tc>
          <w:tcPr>
            <w:tcW w:w="1055" w:type="dxa"/>
            <w:tcBorders>
              <w:bottom w:val="single" w:sz="4" w:space="0" w:color="231F20"/>
            </w:tcBorders>
            <w:shd w:val="clear" w:color="auto" w:fill="E8F5F1"/>
          </w:tcPr>
          <w:p>
            <w:pPr>
              <w:pStyle w:val="TableParagraph"/>
              <w:spacing w:before="37"/>
              <w:rPr>
                <w:i/>
                <w:sz w:val="15"/>
              </w:rPr>
            </w:pPr>
          </w:p>
          <w:p>
            <w:pPr>
              <w:pStyle w:val="TableParagraph"/>
              <w:spacing w:line="230" w:lineRule="auto"/>
              <w:ind w:left="74"/>
              <w:rPr>
                <w:b/>
                <w:sz w:val="15"/>
              </w:rPr>
            </w:pPr>
            <w:r>
              <w:rPr>
                <w:b/>
                <w:color w:val="231F20"/>
                <w:spacing w:val="-2"/>
                <w:w w:val="110"/>
                <w:sz w:val="15"/>
              </w:rPr>
              <w:t>SEIZURE </w:t>
            </w:r>
            <w:r>
              <w:rPr>
                <w:b/>
                <w:color w:val="231F20"/>
                <w:w w:val="110"/>
                <w:sz w:val="15"/>
              </w:rPr>
              <w:t>TYPE OR </w:t>
            </w:r>
            <w:r>
              <w:rPr>
                <w:b/>
                <w:color w:val="231F20"/>
                <w:spacing w:val="-2"/>
                <w:w w:val="110"/>
                <w:sz w:val="15"/>
              </w:rPr>
              <w:t>EPILEPSY SYNDROME</w:t>
            </w:r>
          </w:p>
        </w:tc>
        <w:tc>
          <w:tcPr>
            <w:tcW w:w="1198"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spacing w:before="25"/>
              <w:rPr>
                <w:i/>
                <w:sz w:val="15"/>
              </w:rPr>
            </w:pPr>
          </w:p>
          <w:p>
            <w:pPr>
              <w:pStyle w:val="TableParagraph"/>
              <w:spacing w:line="230" w:lineRule="auto"/>
              <w:ind w:left="184" w:firstLine="259"/>
              <w:rPr>
                <w:b/>
                <w:sz w:val="15"/>
              </w:rPr>
            </w:pPr>
            <w:r>
              <w:rPr>
                <w:b/>
                <w:color w:val="231F20"/>
                <w:spacing w:val="-4"/>
                <w:w w:val="110"/>
                <w:sz w:val="15"/>
              </w:rPr>
              <w:t>FDA </w:t>
            </w:r>
            <w:r>
              <w:rPr>
                <w:b/>
                <w:color w:val="231F20"/>
                <w:spacing w:val="-2"/>
                <w:w w:val="110"/>
                <w:sz w:val="15"/>
              </w:rPr>
              <w:t>APPROVED</w:t>
            </w:r>
          </w:p>
        </w:tc>
        <w:tc>
          <w:tcPr>
            <w:tcW w:w="1045"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13"/>
              <w:rPr>
                <w:i/>
                <w:sz w:val="15"/>
              </w:rPr>
            </w:pPr>
          </w:p>
          <w:p>
            <w:pPr>
              <w:pStyle w:val="TableParagraph"/>
              <w:ind w:left="106"/>
              <w:rPr>
                <w:b/>
                <w:sz w:val="15"/>
              </w:rPr>
            </w:pPr>
            <w:r>
              <w:rPr>
                <w:b/>
                <w:color w:val="231F20"/>
                <w:w w:val="105"/>
                <w:sz w:val="15"/>
              </w:rPr>
              <w:t>SIGN</w:t>
            </w:r>
            <w:r>
              <w:rPr>
                <w:b/>
                <w:color w:val="231F20"/>
                <w:spacing w:val="36"/>
                <w:w w:val="105"/>
                <w:sz w:val="15"/>
              </w:rPr>
              <w:t> </w:t>
            </w:r>
            <w:r>
              <w:rPr>
                <w:b/>
                <w:color w:val="231F20"/>
                <w:spacing w:val="-2"/>
                <w:w w:val="105"/>
                <w:sz w:val="15"/>
              </w:rPr>
              <w:t>(2005)</w:t>
            </w:r>
          </w:p>
        </w:tc>
        <w:tc>
          <w:tcPr>
            <w:tcW w:w="1217"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13"/>
              <w:rPr>
                <w:i/>
                <w:sz w:val="15"/>
              </w:rPr>
            </w:pPr>
          </w:p>
          <w:p>
            <w:pPr>
              <w:pStyle w:val="TableParagraph"/>
              <w:ind w:left="167"/>
              <w:rPr>
                <w:b/>
                <w:sz w:val="15"/>
              </w:rPr>
            </w:pPr>
            <w:r>
              <w:rPr>
                <w:b/>
                <w:color w:val="231F20"/>
                <w:w w:val="105"/>
                <w:sz w:val="15"/>
              </w:rPr>
              <w:t>NICE</w:t>
            </w:r>
            <w:r>
              <w:rPr>
                <w:b/>
                <w:color w:val="231F20"/>
                <w:spacing w:val="30"/>
                <w:w w:val="105"/>
                <w:sz w:val="15"/>
              </w:rPr>
              <w:t> </w:t>
            </w:r>
            <w:r>
              <w:rPr>
                <w:b/>
                <w:color w:val="231F20"/>
                <w:spacing w:val="-2"/>
                <w:w w:val="105"/>
                <w:sz w:val="15"/>
              </w:rPr>
              <w:t>(2012)</w:t>
            </w:r>
          </w:p>
        </w:tc>
        <w:tc>
          <w:tcPr>
            <w:tcW w:w="1089"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13"/>
              <w:rPr>
                <w:i/>
                <w:sz w:val="15"/>
              </w:rPr>
            </w:pPr>
          </w:p>
          <w:p>
            <w:pPr>
              <w:pStyle w:val="TableParagraph"/>
              <w:ind w:left="129"/>
              <w:rPr>
                <w:b/>
                <w:sz w:val="15"/>
              </w:rPr>
            </w:pPr>
            <w:r>
              <w:rPr>
                <w:b/>
                <w:color w:val="231F20"/>
                <w:w w:val="105"/>
                <w:sz w:val="15"/>
              </w:rPr>
              <w:t>AAN</w:t>
            </w:r>
            <w:r>
              <w:rPr>
                <w:b/>
                <w:color w:val="231F20"/>
                <w:spacing w:val="42"/>
                <w:w w:val="105"/>
                <w:sz w:val="15"/>
              </w:rPr>
              <w:t> </w:t>
            </w:r>
            <w:r>
              <w:rPr>
                <w:b/>
                <w:color w:val="231F20"/>
                <w:spacing w:val="-2"/>
                <w:w w:val="105"/>
                <w:sz w:val="15"/>
              </w:rPr>
              <w:t>(2004)</w:t>
            </w:r>
          </w:p>
        </w:tc>
        <w:tc>
          <w:tcPr>
            <w:tcW w:w="1358"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13"/>
              <w:rPr>
                <w:i/>
                <w:sz w:val="15"/>
              </w:rPr>
            </w:pPr>
          </w:p>
          <w:p>
            <w:pPr>
              <w:pStyle w:val="TableParagraph"/>
              <w:ind w:left="237"/>
              <w:rPr>
                <w:sz w:val="15"/>
              </w:rPr>
            </w:pPr>
            <w:r>
              <w:rPr>
                <w:b/>
                <w:color w:val="231F20"/>
                <w:w w:val="105"/>
                <w:sz w:val="15"/>
              </w:rPr>
              <w:t>ILAE</w:t>
            </w:r>
            <w:r>
              <w:rPr>
                <w:b/>
                <w:color w:val="231F20"/>
                <w:spacing w:val="10"/>
                <w:w w:val="105"/>
                <w:sz w:val="15"/>
              </w:rPr>
              <w:t> </w:t>
            </w:r>
            <w:r>
              <w:rPr>
                <w:b/>
                <w:color w:val="231F20"/>
                <w:spacing w:val="-2"/>
                <w:w w:val="105"/>
                <w:sz w:val="15"/>
              </w:rPr>
              <w:t>(2013)</w:t>
            </w:r>
            <w:r>
              <w:rPr>
                <w:color w:val="0080AC"/>
                <w:spacing w:val="-2"/>
                <w:w w:val="105"/>
                <w:sz w:val="15"/>
              </w:rPr>
              <w:t>*</w:t>
            </w:r>
          </w:p>
        </w:tc>
        <w:tc>
          <w:tcPr>
            <w:tcW w:w="1437" w:type="dxa"/>
            <w:tcBorders>
              <w:bottom w:val="single" w:sz="4" w:space="0" w:color="231F20"/>
            </w:tcBorders>
            <w:shd w:val="clear" w:color="auto" w:fill="E8F5F1"/>
          </w:tcPr>
          <w:p>
            <w:pPr>
              <w:pStyle w:val="TableParagraph"/>
              <w:spacing w:line="230" w:lineRule="auto" w:before="44"/>
              <w:ind w:left="67" w:right="57"/>
              <w:jc w:val="center"/>
              <w:rPr>
                <w:b/>
                <w:sz w:val="15"/>
              </w:rPr>
            </w:pPr>
            <w:r>
              <w:rPr>
                <w:b/>
                <w:color w:val="231F20"/>
                <w:spacing w:val="-2"/>
                <w:w w:val="110"/>
                <w:sz w:val="15"/>
              </w:rPr>
              <w:t>PEDIATRIC EXPERT CONSENSUS SURVEY</w:t>
            </w:r>
            <w:r>
              <w:rPr>
                <w:b/>
                <w:color w:val="231F20"/>
                <w:spacing w:val="-11"/>
                <w:w w:val="110"/>
                <w:sz w:val="15"/>
              </w:rPr>
              <w:t> </w:t>
            </w:r>
            <w:r>
              <w:rPr>
                <w:b/>
                <w:color w:val="231F20"/>
                <w:spacing w:val="-2"/>
                <w:w w:val="110"/>
                <w:sz w:val="15"/>
              </w:rPr>
              <w:t>(NORTH AMERICA–2005)</w:t>
            </w:r>
          </w:p>
        </w:tc>
        <w:tc>
          <w:tcPr>
            <w:tcW w:w="1343" w:type="dxa"/>
            <w:tcBorders>
              <w:bottom w:val="single" w:sz="4" w:space="0" w:color="231F20"/>
            </w:tcBorders>
            <w:shd w:val="clear" w:color="auto" w:fill="E8F5F1"/>
          </w:tcPr>
          <w:p>
            <w:pPr>
              <w:pStyle w:val="TableParagraph"/>
              <w:spacing w:line="230" w:lineRule="auto" w:before="44"/>
              <w:ind w:left="60" w:right="34"/>
              <w:jc w:val="center"/>
              <w:rPr>
                <w:b/>
                <w:sz w:val="15"/>
              </w:rPr>
            </w:pPr>
            <w:r>
              <w:rPr>
                <w:b/>
                <w:color w:val="231F20"/>
                <w:spacing w:val="-2"/>
                <w:w w:val="105"/>
                <w:sz w:val="15"/>
              </w:rPr>
              <w:t>PEDIATRIC EXPERT CONSENSUS SURVEY (EUROPE–2007)</w:t>
            </w:r>
          </w:p>
        </w:tc>
      </w:tr>
      <w:tr>
        <w:trPr>
          <w:trHeight w:val="1432" w:hRule="atLeast"/>
        </w:trPr>
        <w:tc>
          <w:tcPr>
            <w:tcW w:w="1055"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5"/>
                <w:sz w:val="15"/>
              </w:rPr>
              <w:t>Partial-</w:t>
            </w:r>
            <w:r>
              <w:rPr>
                <w:color w:val="231F20"/>
                <w:spacing w:val="-2"/>
                <w:sz w:val="15"/>
              </w:rPr>
              <w:t>onset</w:t>
            </w:r>
          </w:p>
        </w:tc>
        <w:tc>
          <w:tcPr>
            <w:tcW w:w="1198" w:type="dxa"/>
            <w:tcBorders>
              <w:top w:val="single" w:sz="4" w:space="0" w:color="231F20"/>
              <w:bottom w:val="single" w:sz="4" w:space="0" w:color="FFFFFF"/>
            </w:tcBorders>
            <w:shd w:val="clear" w:color="auto" w:fill="E8F5F1"/>
          </w:tcPr>
          <w:p>
            <w:pPr>
              <w:pStyle w:val="TableParagraph"/>
              <w:spacing w:line="171" w:lineRule="exact" w:before="47"/>
              <w:ind w:left="94"/>
              <w:rPr>
                <w:sz w:val="15"/>
              </w:rPr>
            </w:pPr>
            <w:r>
              <w:rPr>
                <w:color w:val="231F20"/>
                <w:spacing w:val="-4"/>
                <w:sz w:val="15"/>
              </w:rPr>
              <w:t>CBZ,</w:t>
            </w:r>
          </w:p>
          <w:p>
            <w:pPr>
              <w:pStyle w:val="TableParagraph"/>
              <w:spacing w:line="230" w:lineRule="auto" w:before="2"/>
              <w:ind w:left="206" w:right="188"/>
              <w:rPr>
                <w:sz w:val="15"/>
              </w:rPr>
            </w:pPr>
            <w:r>
              <w:rPr>
                <w:color w:val="231F20"/>
                <w:spacing w:val="-2"/>
                <w:sz w:val="15"/>
              </w:rPr>
              <w:t>ezogabine, lacosamide, </w:t>
            </w:r>
            <w:r>
              <w:rPr>
                <w:color w:val="231F20"/>
                <w:sz w:val="15"/>
              </w:rPr>
              <w:t>LEV, LTG, OXC, PB,</w:t>
            </w:r>
          </w:p>
          <w:p>
            <w:pPr>
              <w:pStyle w:val="TableParagraph"/>
              <w:spacing w:line="230" w:lineRule="auto" w:before="3"/>
              <w:ind w:left="206" w:right="151"/>
              <w:rPr>
                <w:sz w:val="15"/>
              </w:rPr>
            </w:pPr>
            <w:r>
              <w:rPr>
                <w:color w:val="231F20"/>
                <w:spacing w:val="-2"/>
                <w:sz w:val="15"/>
              </w:rPr>
              <w:t>perampanel, </w:t>
            </w:r>
            <w:r>
              <w:rPr>
                <w:color w:val="231F20"/>
                <w:sz w:val="15"/>
              </w:rPr>
              <w:t>PHT, TPM, </w:t>
            </w:r>
            <w:r>
              <w:rPr>
                <w:color w:val="231F20"/>
                <w:spacing w:val="-4"/>
                <w:sz w:val="15"/>
              </w:rPr>
              <w:t>VGB</w:t>
            </w:r>
          </w:p>
        </w:tc>
        <w:tc>
          <w:tcPr>
            <w:tcW w:w="1045" w:type="dxa"/>
            <w:tcBorders>
              <w:top w:val="single" w:sz="4" w:space="0" w:color="231F20"/>
              <w:bottom w:val="single" w:sz="4" w:space="0" w:color="FFFFFF"/>
            </w:tcBorders>
            <w:shd w:val="clear" w:color="auto" w:fill="E8F5F1"/>
          </w:tcPr>
          <w:p>
            <w:pPr>
              <w:pStyle w:val="TableParagraph"/>
              <w:spacing w:line="230" w:lineRule="auto" w:before="52"/>
              <w:ind w:left="206" w:right="24" w:hanging="112"/>
              <w:rPr>
                <w:sz w:val="15"/>
              </w:rPr>
            </w:pPr>
            <w:r>
              <w:rPr>
                <w:color w:val="231F20"/>
                <w:sz w:val="15"/>
              </w:rPr>
              <w:t>CBZ, CLB, LTG,</w:t>
            </w:r>
            <w:r>
              <w:rPr>
                <w:color w:val="231F20"/>
                <w:spacing w:val="-11"/>
                <w:sz w:val="15"/>
              </w:rPr>
              <w:t> </w:t>
            </w:r>
            <w:r>
              <w:rPr>
                <w:color w:val="231F20"/>
                <w:sz w:val="15"/>
              </w:rPr>
              <w:t>OXC, PHT,</w:t>
            </w:r>
            <w:r>
              <w:rPr>
                <w:color w:val="231F20"/>
                <w:spacing w:val="-12"/>
                <w:sz w:val="15"/>
              </w:rPr>
              <w:t> </w:t>
            </w:r>
            <w:r>
              <w:rPr>
                <w:color w:val="231F20"/>
                <w:sz w:val="15"/>
              </w:rPr>
              <w:t>TPM, VGB, VPA</w:t>
            </w:r>
          </w:p>
        </w:tc>
        <w:tc>
          <w:tcPr>
            <w:tcW w:w="1217" w:type="dxa"/>
            <w:tcBorders>
              <w:top w:val="single" w:sz="4" w:space="0" w:color="231F20"/>
              <w:bottom w:val="single" w:sz="4" w:space="0" w:color="FFFFFF"/>
            </w:tcBorders>
            <w:shd w:val="clear" w:color="auto" w:fill="E8F5F1"/>
          </w:tcPr>
          <w:p>
            <w:pPr>
              <w:pStyle w:val="TableParagraph"/>
              <w:spacing w:line="230" w:lineRule="auto" w:before="52"/>
              <w:ind w:left="183" w:hanging="112"/>
              <w:rPr>
                <w:sz w:val="15"/>
              </w:rPr>
            </w:pPr>
            <w:r>
              <w:rPr>
                <w:color w:val="231F20"/>
                <w:sz w:val="15"/>
              </w:rPr>
              <w:t>CBZ,</w:t>
            </w:r>
            <w:r>
              <w:rPr>
                <w:color w:val="231F20"/>
                <w:spacing w:val="-12"/>
                <w:sz w:val="15"/>
              </w:rPr>
              <w:t> </w:t>
            </w:r>
            <w:r>
              <w:rPr>
                <w:color w:val="231F20"/>
                <w:sz w:val="15"/>
              </w:rPr>
              <w:t>LEV,</w:t>
            </w:r>
            <w:r>
              <w:rPr>
                <w:color w:val="231F20"/>
                <w:spacing w:val="-11"/>
                <w:sz w:val="15"/>
              </w:rPr>
              <w:t> </w:t>
            </w:r>
            <w:r>
              <w:rPr>
                <w:color w:val="231F20"/>
                <w:sz w:val="15"/>
              </w:rPr>
              <w:t>LTG, </w:t>
            </w:r>
            <w:r>
              <w:rPr>
                <w:color w:val="231F20"/>
                <w:w w:val="105"/>
                <w:sz w:val="15"/>
              </w:rPr>
              <w:t>OXC, VPA</w:t>
            </w:r>
          </w:p>
        </w:tc>
        <w:tc>
          <w:tcPr>
            <w:tcW w:w="1089" w:type="dxa"/>
            <w:tcBorders>
              <w:top w:val="single" w:sz="4" w:space="0" w:color="231F20"/>
              <w:bottom w:val="single" w:sz="4" w:space="0" w:color="FFFFFF"/>
            </w:tcBorders>
            <w:shd w:val="clear" w:color="auto" w:fill="E8F5F1"/>
          </w:tcPr>
          <w:p>
            <w:pPr>
              <w:pStyle w:val="TableParagraph"/>
              <w:spacing w:line="230" w:lineRule="auto" w:before="52"/>
              <w:ind w:left="206" w:right="45" w:hanging="112"/>
              <w:rPr>
                <w:sz w:val="15"/>
              </w:rPr>
            </w:pPr>
            <w:r>
              <w:rPr>
                <w:color w:val="231F20"/>
                <w:sz w:val="15"/>
              </w:rPr>
              <w:t>CBZ, GBP, LTG,</w:t>
            </w:r>
            <w:r>
              <w:rPr>
                <w:color w:val="231F20"/>
                <w:spacing w:val="-10"/>
                <w:sz w:val="15"/>
              </w:rPr>
              <w:t> </w:t>
            </w:r>
            <w:r>
              <w:rPr>
                <w:color w:val="231F20"/>
                <w:sz w:val="15"/>
              </w:rPr>
              <w:t>OXC, PB, PHT, </w:t>
            </w:r>
            <w:r>
              <w:rPr>
                <w:color w:val="231F20"/>
                <w:spacing w:val="-4"/>
                <w:sz w:val="15"/>
              </w:rPr>
              <w:t>TPM</w:t>
            </w:r>
          </w:p>
        </w:tc>
        <w:tc>
          <w:tcPr>
            <w:tcW w:w="1358" w:type="dxa"/>
            <w:tcBorders>
              <w:top w:val="single" w:sz="4" w:space="0" w:color="231F20"/>
              <w:bottom w:val="single" w:sz="4" w:space="0" w:color="FFFFFF"/>
            </w:tcBorders>
            <w:shd w:val="clear" w:color="auto" w:fill="E8F5F1"/>
          </w:tcPr>
          <w:p>
            <w:pPr>
              <w:pStyle w:val="TableParagraph"/>
              <w:spacing w:line="171" w:lineRule="exact" w:before="47"/>
              <w:ind w:left="103"/>
              <w:rPr>
                <w:sz w:val="15"/>
              </w:rPr>
            </w:pPr>
            <w:r>
              <w:rPr>
                <w:color w:val="231F20"/>
                <w:w w:val="105"/>
                <w:sz w:val="15"/>
              </w:rPr>
              <w:t>A:</w:t>
            </w:r>
            <w:r>
              <w:rPr>
                <w:color w:val="231F20"/>
                <w:spacing w:val="-12"/>
                <w:w w:val="105"/>
                <w:sz w:val="15"/>
              </w:rPr>
              <w:t> </w:t>
            </w:r>
            <w:r>
              <w:rPr>
                <w:color w:val="231F20"/>
                <w:spacing w:val="-5"/>
                <w:w w:val="110"/>
                <w:sz w:val="15"/>
              </w:rPr>
              <w:t>OXC</w:t>
            </w:r>
          </w:p>
          <w:p>
            <w:pPr>
              <w:pStyle w:val="TableParagraph"/>
              <w:spacing w:line="168" w:lineRule="exact"/>
              <w:ind w:left="103"/>
              <w:rPr>
                <w:sz w:val="15"/>
              </w:rPr>
            </w:pPr>
            <w:r>
              <w:rPr>
                <w:color w:val="231F20"/>
                <w:sz w:val="15"/>
              </w:rPr>
              <w:t>B:</w:t>
            </w:r>
            <w:r>
              <w:rPr>
                <w:color w:val="231F20"/>
                <w:spacing w:val="-8"/>
                <w:sz w:val="15"/>
              </w:rPr>
              <w:t> </w:t>
            </w:r>
            <w:r>
              <w:rPr>
                <w:color w:val="231F20"/>
                <w:spacing w:val="-4"/>
                <w:sz w:val="15"/>
              </w:rPr>
              <w:t>None</w:t>
            </w:r>
          </w:p>
          <w:p>
            <w:pPr>
              <w:pStyle w:val="TableParagraph"/>
              <w:spacing w:line="230" w:lineRule="auto" w:before="2"/>
              <w:ind w:left="215" w:hanging="112"/>
              <w:rPr>
                <w:sz w:val="15"/>
              </w:rPr>
            </w:pPr>
            <w:r>
              <w:rPr>
                <w:color w:val="231F20"/>
                <w:sz w:val="15"/>
              </w:rPr>
              <w:t>C:</w:t>
            </w:r>
            <w:r>
              <w:rPr>
                <w:color w:val="231F20"/>
                <w:spacing w:val="-6"/>
                <w:sz w:val="15"/>
              </w:rPr>
              <w:t> </w:t>
            </w:r>
            <w:r>
              <w:rPr>
                <w:color w:val="231F20"/>
                <w:sz w:val="15"/>
              </w:rPr>
              <w:t>CBZ,</w:t>
            </w:r>
            <w:r>
              <w:rPr>
                <w:color w:val="231F20"/>
                <w:spacing w:val="-6"/>
                <w:sz w:val="15"/>
              </w:rPr>
              <w:t> </w:t>
            </w:r>
            <w:r>
              <w:rPr>
                <w:color w:val="231F20"/>
                <w:sz w:val="15"/>
              </w:rPr>
              <w:t>PB,</w:t>
            </w:r>
            <w:r>
              <w:rPr>
                <w:color w:val="231F20"/>
                <w:spacing w:val="-6"/>
                <w:sz w:val="15"/>
              </w:rPr>
              <w:t> </w:t>
            </w:r>
            <w:r>
              <w:rPr>
                <w:color w:val="231F20"/>
                <w:sz w:val="15"/>
              </w:rPr>
              <w:t>PHT, TPM,</w:t>
            </w:r>
            <w:r>
              <w:rPr>
                <w:color w:val="231F20"/>
                <w:spacing w:val="9"/>
                <w:sz w:val="15"/>
              </w:rPr>
              <w:t> </w:t>
            </w:r>
            <w:r>
              <w:rPr>
                <w:color w:val="231F20"/>
                <w:sz w:val="15"/>
              </w:rPr>
              <w:t>VGB,</w:t>
            </w:r>
            <w:r>
              <w:rPr>
                <w:color w:val="231F20"/>
                <w:spacing w:val="9"/>
                <w:sz w:val="15"/>
              </w:rPr>
              <w:t> </w:t>
            </w:r>
            <w:r>
              <w:rPr>
                <w:color w:val="231F20"/>
                <w:spacing w:val="-5"/>
                <w:sz w:val="15"/>
              </w:rPr>
              <w:t>VPA</w:t>
            </w:r>
          </w:p>
          <w:p>
            <w:pPr>
              <w:pStyle w:val="TableParagraph"/>
              <w:spacing w:line="230" w:lineRule="auto" w:before="2"/>
              <w:ind w:left="215" w:right="240" w:hanging="112"/>
              <w:rPr>
                <w:sz w:val="15"/>
              </w:rPr>
            </w:pPr>
            <w:r>
              <w:rPr>
                <w:color w:val="231F20"/>
                <w:sz w:val="15"/>
              </w:rPr>
              <w:t>D:</w:t>
            </w:r>
            <w:r>
              <w:rPr>
                <w:color w:val="231F20"/>
                <w:spacing w:val="-12"/>
                <w:sz w:val="15"/>
              </w:rPr>
              <w:t> </w:t>
            </w:r>
            <w:r>
              <w:rPr>
                <w:color w:val="231F20"/>
                <w:sz w:val="15"/>
              </w:rPr>
              <w:t>CLB,</w:t>
            </w:r>
            <w:r>
              <w:rPr>
                <w:color w:val="231F20"/>
                <w:spacing w:val="-11"/>
                <w:sz w:val="15"/>
              </w:rPr>
              <w:t> </w:t>
            </w:r>
            <w:r>
              <w:rPr>
                <w:color w:val="231F20"/>
                <w:sz w:val="15"/>
              </w:rPr>
              <w:t>CZP, LTG, ZNS</w:t>
            </w:r>
          </w:p>
        </w:tc>
        <w:tc>
          <w:tcPr>
            <w:tcW w:w="1437" w:type="dxa"/>
            <w:tcBorders>
              <w:top w:val="single" w:sz="4" w:space="0" w:color="231F20"/>
              <w:bottom w:val="single" w:sz="4" w:space="0" w:color="FFFFFF"/>
            </w:tcBorders>
            <w:shd w:val="clear" w:color="auto" w:fill="E8F5F1"/>
          </w:tcPr>
          <w:p>
            <w:pPr>
              <w:pStyle w:val="TableParagraph"/>
              <w:spacing w:before="47"/>
              <w:ind w:left="93"/>
              <w:rPr>
                <w:sz w:val="15"/>
              </w:rPr>
            </w:pPr>
            <w:r>
              <w:rPr>
                <w:color w:val="231F20"/>
                <w:w w:val="105"/>
                <w:sz w:val="15"/>
              </w:rPr>
              <w:t>CBZ,</w:t>
            </w:r>
            <w:r>
              <w:rPr>
                <w:color w:val="231F20"/>
                <w:spacing w:val="-11"/>
                <w:w w:val="105"/>
                <w:sz w:val="15"/>
              </w:rPr>
              <w:t> </w:t>
            </w:r>
            <w:r>
              <w:rPr>
                <w:color w:val="231F20"/>
                <w:spacing w:val="-5"/>
                <w:w w:val="110"/>
                <w:sz w:val="15"/>
              </w:rPr>
              <w:t>OXC</w:t>
            </w:r>
          </w:p>
        </w:tc>
        <w:tc>
          <w:tcPr>
            <w:tcW w:w="1343" w:type="dxa"/>
            <w:tcBorders>
              <w:top w:val="single" w:sz="4" w:space="0" w:color="231F20"/>
              <w:bottom w:val="single" w:sz="4" w:space="0" w:color="FFFFFF"/>
            </w:tcBorders>
            <w:shd w:val="clear" w:color="auto" w:fill="E8F5F1"/>
          </w:tcPr>
          <w:p>
            <w:pPr>
              <w:pStyle w:val="TableParagraph"/>
              <w:spacing w:before="47"/>
              <w:ind w:left="99"/>
              <w:rPr>
                <w:sz w:val="15"/>
              </w:rPr>
            </w:pPr>
            <w:r>
              <w:rPr>
                <w:color w:val="231F20"/>
                <w:w w:val="105"/>
                <w:sz w:val="15"/>
              </w:rPr>
              <w:t>CBZ,</w:t>
            </w:r>
            <w:r>
              <w:rPr>
                <w:color w:val="231F20"/>
                <w:spacing w:val="-11"/>
                <w:w w:val="105"/>
                <w:sz w:val="15"/>
              </w:rPr>
              <w:t> </w:t>
            </w:r>
            <w:r>
              <w:rPr>
                <w:color w:val="231F20"/>
                <w:spacing w:val="-5"/>
                <w:w w:val="110"/>
                <w:sz w:val="15"/>
              </w:rPr>
              <w:t>OXC</w:t>
            </w:r>
          </w:p>
        </w:tc>
      </w:tr>
      <w:tr>
        <w:trPr>
          <w:trHeight w:val="756" w:hRule="atLeast"/>
        </w:trPr>
        <w:tc>
          <w:tcPr>
            <w:tcW w:w="1055"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BCECT</w:t>
            </w:r>
          </w:p>
        </w:tc>
        <w:tc>
          <w:tcPr>
            <w:tcW w:w="1198" w:type="dxa"/>
            <w:tcBorders>
              <w:top w:val="single" w:sz="4" w:space="0" w:color="FFFFFF"/>
              <w:bottom w:val="single" w:sz="4" w:space="0" w:color="FFFFFF"/>
            </w:tcBorders>
            <w:shd w:val="clear" w:color="auto" w:fill="E8F5F1"/>
          </w:tcPr>
          <w:p>
            <w:pPr>
              <w:pStyle w:val="TableParagraph"/>
              <w:spacing w:before="42"/>
              <w:ind w:left="94"/>
              <w:rPr>
                <w:sz w:val="15"/>
              </w:rPr>
            </w:pPr>
            <w:r>
              <w:rPr>
                <w:color w:val="231F20"/>
                <w:spacing w:val="-4"/>
                <w:w w:val="110"/>
                <w:sz w:val="15"/>
              </w:rPr>
              <w:t>None</w:t>
            </w:r>
          </w:p>
        </w:tc>
        <w:tc>
          <w:tcPr>
            <w:tcW w:w="1045" w:type="dxa"/>
            <w:tcBorders>
              <w:top w:val="single" w:sz="4" w:space="0" w:color="FFFFFF"/>
              <w:bottom w:val="single" w:sz="4" w:space="0" w:color="FFFFFF"/>
            </w:tcBorders>
            <w:shd w:val="clear" w:color="auto" w:fill="E8F5F1"/>
          </w:tcPr>
          <w:p>
            <w:pPr>
              <w:pStyle w:val="TableParagraph"/>
              <w:spacing w:line="171" w:lineRule="exact" w:before="42"/>
              <w:ind w:left="93"/>
              <w:rPr>
                <w:sz w:val="15"/>
              </w:rPr>
            </w:pPr>
            <w:r>
              <w:rPr>
                <w:color w:val="231F20"/>
                <w:spacing w:val="-5"/>
                <w:w w:val="105"/>
                <w:sz w:val="15"/>
              </w:rPr>
              <w:t>Not</w:t>
            </w:r>
          </w:p>
          <w:p>
            <w:pPr>
              <w:pStyle w:val="TableParagraph"/>
              <w:spacing w:line="230" w:lineRule="auto" w:before="2"/>
              <w:ind w:left="205" w:right="111"/>
              <w:rPr>
                <w:sz w:val="15"/>
              </w:rPr>
            </w:pPr>
            <w:r>
              <w:rPr>
                <w:color w:val="231F20"/>
                <w:spacing w:val="-4"/>
                <w:sz w:val="15"/>
              </w:rPr>
              <w:t>specifically </w:t>
            </w:r>
            <w:r>
              <w:rPr>
                <w:color w:val="231F20"/>
                <w:spacing w:val="-2"/>
                <w:sz w:val="15"/>
              </w:rPr>
              <w:t>mentioned</w:t>
            </w:r>
          </w:p>
        </w:tc>
        <w:tc>
          <w:tcPr>
            <w:tcW w:w="1217" w:type="dxa"/>
            <w:tcBorders>
              <w:top w:val="single" w:sz="4" w:space="0" w:color="FFFFFF"/>
              <w:bottom w:val="single" w:sz="4" w:space="0" w:color="FFFFFF"/>
            </w:tcBorders>
            <w:shd w:val="clear" w:color="auto" w:fill="E8F5F1"/>
          </w:tcPr>
          <w:p>
            <w:pPr>
              <w:pStyle w:val="TableParagraph"/>
              <w:spacing w:line="230" w:lineRule="auto" w:before="48"/>
              <w:ind w:left="183" w:hanging="112"/>
              <w:rPr>
                <w:sz w:val="15"/>
              </w:rPr>
            </w:pPr>
            <w:r>
              <w:rPr>
                <w:color w:val="231F20"/>
                <w:sz w:val="15"/>
              </w:rPr>
              <w:t>CBZ,</w:t>
            </w:r>
            <w:r>
              <w:rPr>
                <w:color w:val="231F20"/>
                <w:spacing w:val="-12"/>
                <w:sz w:val="15"/>
              </w:rPr>
              <w:t> </w:t>
            </w:r>
            <w:r>
              <w:rPr>
                <w:color w:val="231F20"/>
                <w:sz w:val="15"/>
              </w:rPr>
              <w:t>LEV,</w:t>
            </w:r>
            <w:r>
              <w:rPr>
                <w:color w:val="231F20"/>
                <w:spacing w:val="-11"/>
                <w:sz w:val="15"/>
              </w:rPr>
              <w:t> </w:t>
            </w:r>
            <w:r>
              <w:rPr>
                <w:color w:val="231F20"/>
                <w:sz w:val="15"/>
              </w:rPr>
              <w:t>LTG, </w:t>
            </w:r>
            <w:r>
              <w:rPr>
                <w:color w:val="231F20"/>
                <w:w w:val="105"/>
                <w:sz w:val="15"/>
              </w:rPr>
              <w:t>OXC, VPA</w:t>
            </w:r>
          </w:p>
        </w:tc>
        <w:tc>
          <w:tcPr>
            <w:tcW w:w="1089" w:type="dxa"/>
            <w:tcBorders>
              <w:top w:val="single" w:sz="4" w:space="0" w:color="FFFFFF"/>
              <w:bottom w:val="single" w:sz="4" w:space="0" w:color="FFFFFF"/>
            </w:tcBorders>
            <w:shd w:val="clear" w:color="auto" w:fill="E8F5F1"/>
          </w:tcPr>
          <w:p>
            <w:pPr>
              <w:pStyle w:val="TableParagraph"/>
              <w:spacing w:before="42"/>
              <w:ind w:left="94"/>
              <w:rPr>
                <w:sz w:val="15"/>
              </w:rPr>
            </w:pPr>
            <w:r>
              <w:rPr>
                <w:color w:val="231F20"/>
                <w:sz w:val="15"/>
              </w:rPr>
              <w:t>Not</w:t>
            </w:r>
            <w:r>
              <w:rPr>
                <w:color w:val="231F20"/>
                <w:spacing w:val="17"/>
                <w:sz w:val="15"/>
              </w:rPr>
              <w:t> </w:t>
            </w:r>
            <w:r>
              <w:rPr>
                <w:color w:val="231F20"/>
                <w:spacing w:val="-2"/>
                <w:sz w:val="15"/>
              </w:rPr>
              <w:t>surveyed</w:t>
            </w:r>
          </w:p>
        </w:tc>
        <w:tc>
          <w:tcPr>
            <w:tcW w:w="1358" w:type="dxa"/>
            <w:tcBorders>
              <w:top w:val="single" w:sz="4" w:space="0" w:color="FFFFFF"/>
              <w:bottom w:val="single" w:sz="4" w:space="0" w:color="FFFFFF"/>
            </w:tcBorders>
            <w:shd w:val="clear" w:color="auto" w:fill="E8F5F1"/>
          </w:tcPr>
          <w:p>
            <w:pPr>
              <w:pStyle w:val="TableParagraph"/>
              <w:spacing w:line="230" w:lineRule="auto" w:before="48"/>
              <w:ind w:left="103" w:right="385"/>
              <w:rPr>
                <w:sz w:val="15"/>
              </w:rPr>
            </w:pPr>
            <w:r>
              <w:rPr>
                <w:color w:val="231F20"/>
                <w:sz w:val="15"/>
              </w:rPr>
              <w:t>A, B: None</w:t>
            </w:r>
            <w:r>
              <w:rPr>
                <w:color w:val="231F20"/>
                <w:spacing w:val="40"/>
                <w:sz w:val="15"/>
              </w:rPr>
              <w:t> </w:t>
            </w:r>
            <w:r>
              <w:rPr>
                <w:color w:val="231F20"/>
                <w:sz w:val="15"/>
              </w:rPr>
              <w:t>C: CBZ, VPA D:</w:t>
            </w:r>
            <w:r>
              <w:rPr>
                <w:color w:val="231F20"/>
                <w:spacing w:val="4"/>
                <w:sz w:val="15"/>
              </w:rPr>
              <w:t> </w:t>
            </w:r>
            <w:r>
              <w:rPr>
                <w:color w:val="231F20"/>
                <w:sz w:val="15"/>
              </w:rPr>
              <w:t>GBP,</w:t>
            </w:r>
            <w:r>
              <w:rPr>
                <w:color w:val="231F20"/>
                <w:spacing w:val="5"/>
                <w:sz w:val="15"/>
              </w:rPr>
              <w:t> </w:t>
            </w:r>
            <w:r>
              <w:rPr>
                <w:color w:val="231F20"/>
                <w:spacing w:val="-4"/>
                <w:sz w:val="15"/>
              </w:rPr>
              <w:t>LEV,</w:t>
            </w:r>
          </w:p>
          <w:p>
            <w:pPr>
              <w:pStyle w:val="TableParagraph"/>
              <w:spacing w:line="171" w:lineRule="exact"/>
              <w:ind w:left="215"/>
              <w:rPr>
                <w:sz w:val="15"/>
              </w:rPr>
            </w:pPr>
            <w:r>
              <w:rPr>
                <w:color w:val="231F20"/>
                <w:w w:val="110"/>
                <w:sz w:val="15"/>
              </w:rPr>
              <w:t>OXC,</w:t>
            </w:r>
            <w:r>
              <w:rPr>
                <w:color w:val="231F20"/>
                <w:spacing w:val="-7"/>
                <w:w w:val="110"/>
                <w:sz w:val="15"/>
              </w:rPr>
              <w:t> </w:t>
            </w:r>
            <w:r>
              <w:rPr>
                <w:color w:val="231F20"/>
                <w:spacing w:val="-5"/>
                <w:w w:val="110"/>
                <w:sz w:val="15"/>
              </w:rPr>
              <w:t>STM</w:t>
            </w:r>
          </w:p>
        </w:tc>
        <w:tc>
          <w:tcPr>
            <w:tcW w:w="1437"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w w:val="105"/>
                <w:sz w:val="15"/>
              </w:rPr>
              <w:t>CBZ,</w:t>
            </w:r>
            <w:r>
              <w:rPr>
                <w:color w:val="231F20"/>
                <w:spacing w:val="-11"/>
                <w:w w:val="105"/>
                <w:sz w:val="15"/>
              </w:rPr>
              <w:t> </w:t>
            </w:r>
            <w:r>
              <w:rPr>
                <w:color w:val="231F20"/>
                <w:spacing w:val="-5"/>
                <w:w w:val="110"/>
                <w:sz w:val="15"/>
              </w:rPr>
              <w:t>OXC</w:t>
            </w:r>
          </w:p>
        </w:tc>
        <w:tc>
          <w:tcPr>
            <w:tcW w:w="1343"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5"/>
                <w:w w:val="105"/>
                <w:sz w:val="15"/>
              </w:rPr>
              <w:t>VPA</w:t>
            </w:r>
          </w:p>
        </w:tc>
      </w:tr>
      <w:tr>
        <w:trPr>
          <w:trHeight w:val="756" w:hRule="atLeast"/>
        </w:trPr>
        <w:tc>
          <w:tcPr>
            <w:tcW w:w="1055" w:type="dxa"/>
            <w:tcBorders>
              <w:top w:val="single" w:sz="4" w:space="0" w:color="FFFFFF"/>
              <w:bottom w:val="single" w:sz="4" w:space="0" w:color="FFFFFF"/>
            </w:tcBorders>
            <w:shd w:val="clear" w:color="auto" w:fill="E8F5F1"/>
          </w:tcPr>
          <w:p>
            <w:pPr>
              <w:pStyle w:val="TableParagraph"/>
              <w:spacing w:line="230" w:lineRule="auto" w:before="48"/>
              <w:ind w:left="185" w:right="276" w:hanging="112"/>
              <w:jc w:val="both"/>
              <w:rPr>
                <w:sz w:val="15"/>
              </w:rPr>
            </w:pPr>
            <w:r>
              <w:rPr>
                <w:color w:val="231F20"/>
                <w:spacing w:val="-2"/>
                <w:sz w:val="15"/>
              </w:rPr>
              <w:t>Childhood absence epilepsy</w:t>
            </w:r>
          </w:p>
        </w:tc>
        <w:tc>
          <w:tcPr>
            <w:tcW w:w="1198"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w w:val="110"/>
                <w:sz w:val="15"/>
              </w:rPr>
              <w:t>ESM,</w:t>
            </w:r>
            <w:r>
              <w:rPr>
                <w:color w:val="231F20"/>
                <w:spacing w:val="-7"/>
                <w:w w:val="110"/>
                <w:sz w:val="15"/>
              </w:rPr>
              <w:t> </w:t>
            </w:r>
            <w:r>
              <w:rPr>
                <w:color w:val="231F20"/>
                <w:spacing w:val="-5"/>
                <w:w w:val="110"/>
                <w:sz w:val="15"/>
              </w:rPr>
              <w:t>VPA</w:t>
            </w:r>
          </w:p>
        </w:tc>
        <w:tc>
          <w:tcPr>
            <w:tcW w:w="1045" w:type="dxa"/>
            <w:tcBorders>
              <w:top w:val="single" w:sz="4" w:space="0" w:color="FFFFFF"/>
              <w:bottom w:val="single" w:sz="4" w:space="0" w:color="FFFFFF"/>
            </w:tcBorders>
            <w:shd w:val="clear" w:color="auto" w:fill="E8F5F1"/>
          </w:tcPr>
          <w:p>
            <w:pPr>
              <w:pStyle w:val="TableParagraph"/>
              <w:spacing w:line="230" w:lineRule="auto" w:before="48"/>
              <w:ind w:left="205" w:right="24" w:hanging="112"/>
              <w:rPr>
                <w:sz w:val="15"/>
              </w:rPr>
            </w:pPr>
            <w:r>
              <w:rPr>
                <w:color w:val="231F20"/>
                <w:spacing w:val="-2"/>
                <w:w w:val="105"/>
                <w:sz w:val="15"/>
              </w:rPr>
              <w:t>ESM,</w:t>
            </w:r>
            <w:r>
              <w:rPr>
                <w:color w:val="231F20"/>
                <w:spacing w:val="-10"/>
                <w:w w:val="105"/>
                <w:sz w:val="15"/>
              </w:rPr>
              <w:t> </w:t>
            </w:r>
            <w:r>
              <w:rPr>
                <w:color w:val="231F20"/>
                <w:spacing w:val="-2"/>
                <w:w w:val="105"/>
                <w:sz w:val="15"/>
              </w:rPr>
              <w:t>LTG, </w:t>
            </w:r>
            <w:r>
              <w:rPr>
                <w:color w:val="231F20"/>
                <w:spacing w:val="-4"/>
                <w:w w:val="105"/>
                <w:sz w:val="15"/>
              </w:rPr>
              <w:t>VPA</w:t>
            </w:r>
          </w:p>
        </w:tc>
        <w:tc>
          <w:tcPr>
            <w:tcW w:w="1217" w:type="dxa"/>
            <w:tcBorders>
              <w:top w:val="single" w:sz="4" w:space="0" w:color="FFFFFF"/>
              <w:bottom w:val="single" w:sz="4" w:space="0" w:color="FFFFFF"/>
            </w:tcBorders>
            <w:shd w:val="clear" w:color="auto" w:fill="E8F5F1"/>
          </w:tcPr>
          <w:p>
            <w:pPr>
              <w:pStyle w:val="TableParagraph"/>
              <w:spacing w:before="42"/>
              <w:ind w:left="71"/>
              <w:rPr>
                <w:sz w:val="15"/>
              </w:rPr>
            </w:pPr>
            <w:r>
              <w:rPr>
                <w:color w:val="231F20"/>
                <w:w w:val="105"/>
                <w:sz w:val="15"/>
              </w:rPr>
              <w:t>ESM,</w:t>
            </w:r>
            <w:r>
              <w:rPr>
                <w:color w:val="231F20"/>
                <w:spacing w:val="-7"/>
                <w:w w:val="105"/>
                <w:sz w:val="15"/>
              </w:rPr>
              <w:t> </w:t>
            </w:r>
            <w:r>
              <w:rPr>
                <w:color w:val="231F20"/>
                <w:w w:val="105"/>
                <w:sz w:val="15"/>
              </w:rPr>
              <w:t>LTG,</w:t>
            </w:r>
            <w:r>
              <w:rPr>
                <w:color w:val="231F20"/>
                <w:spacing w:val="-6"/>
                <w:w w:val="105"/>
                <w:sz w:val="15"/>
              </w:rPr>
              <w:t> </w:t>
            </w:r>
            <w:r>
              <w:rPr>
                <w:color w:val="231F20"/>
                <w:spacing w:val="-5"/>
                <w:w w:val="105"/>
                <w:sz w:val="15"/>
              </w:rPr>
              <w:t>VPA</w:t>
            </w:r>
          </w:p>
        </w:tc>
        <w:tc>
          <w:tcPr>
            <w:tcW w:w="1089" w:type="dxa"/>
            <w:tcBorders>
              <w:top w:val="single" w:sz="4" w:space="0" w:color="FFFFFF"/>
              <w:bottom w:val="single" w:sz="4" w:space="0" w:color="FFFFFF"/>
            </w:tcBorders>
            <w:shd w:val="clear" w:color="auto" w:fill="E8F5F1"/>
          </w:tcPr>
          <w:p>
            <w:pPr>
              <w:pStyle w:val="TableParagraph"/>
              <w:spacing w:before="42"/>
              <w:ind w:left="94"/>
              <w:rPr>
                <w:sz w:val="15"/>
              </w:rPr>
            </w:pPr>
            <w:r>
              <w:rPr>
                <w:color w:val="231F20"/>
                <w:spacing w:val="-5"/>
                <w:w w:val="105"/>
                <w:sz w:val="15"/>
              </w:rPr>
              <w:t>LTG</w:t>
            </w:r>
          </w:p>
        </w:tc>
        <w:tc>
          <w:tcPr>
            <w:tcW w:w="1358" w:type="dxa"/>
            <w:tcBorders>
              <w:top w:val="single" w:sz="4" w:space="0" w:color="FFFFFF"/>
              <w:bottom w:val="single" w:sz="4" w:space="0" w:color="FFFFFF"/>
            </w:tcBorders>
            <w:shd w:val="clear" w:color="auto" w:fill="E8F5F1"/>
          </w:tcPr>
          <w:p>
            <w:pPr>
              <w:pStyle w:val="TableParagraph"/>
              <w:spacing w:line="171" w:lineRule="exact" w:before="42"/>
              <w:ind w:left="102"/>
              <w:rPr>
                <w:sz w:val="15"/>
              </w:rPr>
            </w:pPr>
            <w:r>
              <w:rPr>
                <w:color w:val="231F20"/>
                <w:w w:val="105"/>
                <w:sz w:val="15"/>
              </w:rPr>
              <w:t>A:</w:t>
            </w:r>
            <w:r>
              <w:rPr>
                <w:color w:val="231F20"/>
                <w:spacing w:val="-2"/>
                <w:w w:val="105"/>
                <w:sz w:val="15"/>
              </w:rPr>
              <w:t> </w:t>
            </w:r>
            <w:r>
              <w:rPr>
                <w:color w:val="231F20"/>
                <w:w w:val="105"/>
                <w:sz w:val="15"/>
              </w:rPr>
              <w:t>ESM, </w:t>
            </w:r>
            <w:r>
              <w:rPr>
                <w:color w:val="231F20"/>
                <w:spacing w:val="-5"/>
                <w:w w:val="105"/>
                <w:sz w:val="15"/>
              </w:rPr>
              <w:t>VPA</w:t>
            </w:r>
          </w:p>
          <w:p>
            <w:pPr>
              <w:pStyle w:val="TableParagraph"/>
              <w:spacing w:line="230" w:lineRule="auto" w:before="2"/>
              <w:ind w:left="102" w:right="696"/>
              <w:rPr>
                <w:sz w:val="15"/>
              </w:rPr>
            </w:pPr>
            <w:r>
              <w:rPr>
                <w:color w:val="231F20"/>
                <w:w w:val="105"/>
                <w:sz w:val="15"/>
              </w:rPr>
              <w:t>B:</w:t>
            </w:r>
            <w:r>
              <w:rPr>
                <w:color w:val="231F20"/>
                <w:spacing w:val="-12"/>
                <w:w w:val="105"/>
                <w:sz w:val="15"/>
              </w:rPr>
              <w:t> </w:t>
            </w:r>
            <w:r>
              <w:rPr>
                <w:color w:val="231F20"/>
                <w:w w:val="105"/>
                <w:sz w:val="15"/>
              </w:rPr>
              <w:t>None C: LTG</w:t>
            </w:r>
          </w:p>
          <w:p>
            <w:pPr>
              <w:pStyle w:val="TableParagraph"/>
              <w:spacing w:line="170" w:lineRule="exact"/>
              <w:ind w:left="102"/>
              <w:rPr>
                <w:sz w:val="15"/>
              </w:rPr>
            </w:pPr>
            <w:r>
              <w:rPr>
                <w:color w:val="231F20"/>
                <w:w w:val="105"/>
                <w:sz w:val="15"/>
              </w:rPr>
              <w:t>D:</w:t>
            </w:r>
            <w:r>
              <w:rPr>
                <w:color w:val="231F20"/>
                <w:spacing w:val="-8"/>
                <w:w w:val="105"/>
                <w:sz w:val="15"/>
              </w:rPr>
              <w:t> </w:t>
            </w:r>
            <w:r>
              <w:rPr>
                <w:color w:val="231F20"/>
                <w:spacing w:val="-4"/>
                <w:w w:val="105"/>
                <w:sz w:val="15"/>
              </w:rPr>
              <w:t>None</w:t>
            </w:r>
          </w:p>
        </w:tc>
        <w:tc>
          <w:tcPr>
            <w:tcW w:w="1437"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5"/>
                <w:w w:val="115"/>
                <w:sz w:val="15"/>
              </w:rPr>
              <w:t>ESM</w:t>
            </w:r>
          </w:p>
        </w:tc>
        <w:tc>
          <w:tcPr>
            <w:tcW w:w="1343"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5"/>
                <w:w w:val="105"/>
                <w:sz w:val="15"/>
              </w:rPr>
              <w:t>VPA</w:t>
            </w:r>
          </w:p>
        </w:tc>
      </w:tr>
      <w:tr>
        <w:trPr>
          <w:trHeight w:val="588" w:hRule="atLeast"/>
        </w:trPr>
        <w:tc>
          <w:tcPr>
            <w:tcW w:w="1055" w:type="dxa"/>
            <w:tcBorders>
              <w:top w:val="single" w:sz="4" w:space="0" w:color="FFFFFF"/>
              <w:bottom w:val="single" w:sz="4" w:space="0" w:color="FFFFFF"/>
            </w:tcBorders>
            <w:shd w:val="clear" w:color="auto" w:fill="E8F5F1"/>
          </w:tcPr>
          <w:p>
            <w:pPr>
              <w:pStyle w:val="TableParagraph"/>
              <w:spacing w:line="230" w:lineRule="auto" w:before="48"/>
              <w:ind w:left="185" w:right="191" w:hanging="112"/>
              <w:rPr>
                <w:sz w:val="15"/>
              </w:rPr>
            </w:pPr>
            <w:r>
              <w:rPr>
                <w:color w:val="231F20"/>
                <w:spacing w:val="-2"/>
                <w:sz w:val="15"/>
              </w:rPr>
              <w:t>Juvenile myoclonic epilepsy</w:t>
            </w:r>
          </w:p>
        </w:tc>
        <w:tc>
          <w:tcPr>
            <w:tcW w:w="1198"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sz w:val="15"/>
              </w:rPr>
              <w:t>LEV,</w:t>
            </w:r>
            <w:r>
              <w:rPr>
                <w:color w:val="231F20"/>
                <w:spacing w:val="-7"/>
                <w:sz w:val="15"/>
              </w:rPr>
              <w:t> </w:t>
            </w:r>
            <w:r>
              <w:rPr>
                <w:color w:val="231F20"/>
                <w:sz w:val="15"/>
              </w:rPr>
              <w:t>LTG,</w:t>
            </w:r>
            <w:r>
              <w:rPr>
                <w:color w:val="231F20"/>
                <w:spacing w:val="-7"/>
                <w:sz w:val="15"/>
              </w:rPr>
              <w:t> </w:t>
            </w:r>
            <w:r>
              <w:rPr>
                <w:color w:val="231F20"/>
                <w:spacing w:val="-5"/>
                <w:sz w:val="15"/>
              </w:rPr>
              <w:t>TPM</w:t>
            </w:r>
          </w:p>
        </w:tc>
        <w:tc>
          <w:tcPr>
            <w:tcW w:w="1045"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5"/>
                <w:w w:val="105"/>
                <w:sz w:val="15"/>
              </w:rPr>
              <w:t>VPA</w:t>
            </w:r>
          </w:p>
        </w:tc>
        <w:tc>
          <w:tcPr>
            <w:tcW w:w="1217" w:type="dxa"/>
            <w:tcBorders>
              <w:top w:val="single" w:sz="4" w:space="0" w:color="FFFFFF"/>
              <w:bottom w:val="single" w:sz="4" w:space="0" w:color="FFFFFF"/>
            </w:tcBorders>
            <w:shd w:val="clear" w:color="auto" w:fill="E8F5F1"/>
          </w:tcPr>
          <w:p>
            <w:pPr>
              <w:pStyle w:val="TableParagraph"/>
              <w:spacing w:line="230" w:lineRule="auto" w:before="48"/>
              <w:ind w:left="182" w:hanging="112"/>
              <w:rPr>
                <w:sz w:val="15"/>
              </w:rPr>
            </w:pPr>
            <w:r>
              <w:rPr>
                <w:color w:val="231F20"/>
                <w:sz w:val="15"/>
              </w:rPr>
              <w:t>LEV,</w:t>
            </w:r>
            <w:r>
              <w:rPr>
                <w:color w:val="231F20"/>
                <w:spacing w:val="-12"/>
                <w:sz w:val="15"/>
              </w:rPr>
              <w:t> </w:t>
            </w:r>
            <w:r>
              <w:rPr>
                <w:color w:val="231F20"/>
                <w:sz w:val="15"/>
              </w:rPr>
              <w:t>LTG,</w:t>
            </w:r>
            <w:r>
              <w:rPr>
                <w:color w:val="231F20"/>
                <w:spacing w:val="-11"/>
                <w:sz w:val="15"/>
              </w:rPr>
              <w:t> </w:t>
            </w:r>
            <w:r>
              <w:rPr>
                <w:color w:val="231F20"/>
                <w:sz w:val="15"/>
              </w:rPr>
              <w:t>TPM, </w:t>
            </w:r>
            <w:r>
              <w:rPr>
                <w:color w:val="231F20"/>
                <w:spacing w:val="-4"/>
                <w:sz w:val="15"/>
              </w:rPr>
              <w:t>VPA</w:t>
            </w:r>
          </w:p>
        </w:tc>
        <w:tc>
          <w:tcPr>
            <w:tcW w:w="1089"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sz w:val="15"/>
              </w:rPr>
              <w:t>Not</w:t>
            </w:r>
            <w:r>
              <w:rPr>
                <w:color w:val="231F20"/>
                <w:spacing w:val="17"/>
                <w:sz w:val="15"/>
              </w:rPr>
              <w:t> </w:t>
            </w:r>
            <w:r>
              <w:rPr>
                <w:color w:val="231F20"/>
                <w:spacing w:val="-2"/>
                <w:sz w:val="15"/>
              </w:rPr>
              <w:t>surveyed</w:t>
            </w:r>
          </w:p>
        </w:tc>
        <w:tc>
          <w:tcPr>
            <w:tcW w:w="1358" w:type="dxa"/>
            <w:tcBorders>
              <w:top w:val="single" w:sz="4" w:space="0" w:color="FFFFFF"/>
              <w:bottom w:val="single" w:sz="4" w:space="0" w:color="FFFFFF"/>
            </w:tcBorders>
            <w:shd w:val="clear" w:color="auto" w:fill="E8F5F1"/>
          </w:tcPr>
          <w:p>
            <w:pPr>
              <w:pStyle w:val="TableParagraph"/>
              <w:spacing w:line="230" w:lineRule="auto" w:before="48"/>
              <w:ind w:left="102" w:right="240"/>
              <w:rPr>
                <w:sz w:val="15"/>
              </w:rPr>
            </w:pPr>
            <w:r>
              <w:rPr>
                <w:color w:val="231F20"/>
                <w:sz w:val="15"/>
              </w:rPr>
              <w:t>A,</w:t>
            </w:r>
            <w:r>
              <w:rPr>
                <w:color w:val="231F20"/>
                <w:spacing w:val="-5"/>
                <w:sz w:val="15"/>
              </w:rPr>
              <w:t> </w:t>
            </w:r>
            <w:r>
              <w:rPr>
                <w:color w:val="231F20"/>
                <w:sz w:val="15"/>
              </w:rPr>
              <w:t>B,</w:t>
            </w:r>
            <w:r>
              <w:rPr>
                <w:color w:val="231F20"/>
                <w:spacing w:val="-5"/>
                <w:sz w:val="15"/>
              </w:rPr>
              <w:t> </w:t>
            </w:r>
            <w:r>
              <w:rPr>
                <w:color w:val="231F20"/>
                <w:sz w:val="15"/>
              </w:rPr>
              <w:t>C:</w:t>
            </w:r>
            <w:r>
              <w:rPr>
                <w:color w:val="231F20"/>
                <w:spacing w:val="-5"/>
                <w:sz w:val="15"/>
              </w:rPr>
              <w:t> </w:t>
            </w:r>
            <w:r>
              <w:rPr>
                <w:color w:val="231F20"/>
                <w:sz w:val="15"/>
              </w:rPr>
              <w:t>None D: TPM, VPA</w:t>
            </w:r>
          </w:p>
        </w:tc>
        <w:tc>
          <w:tcPr>
            <w:tcW w:w="1437" w:type="dxa"/>
            <w:tcBorders>
              <w:top w:val="single" w:sz="4" w:space="0" w:color="FFFFFF"/>
              <w:bottom w:val="single" w:sz="4" w:space="0" w:color="FFFFFF"/>
            </w:tcBorders>
            <w:shd w:val="clear" w:color="auto" w:fill="E8F5F1"/>
          </w:tcPr>
          <w:p>
            <w:pPr>
              <w:pStyle w:val="TableParagraph"/>
              <w:spacing w:before="42"/>
              <w:ind w:left="92"/>
              <w:rPr>
                <w:sz w:val="15"/>
              </w:rPr>
            </w:pPr>
            <w:r>
              <w:rPr>
                <w:color w:val="231F20"/>
                <w:sz w:val="15"/>
              </w:rPr>
              <w:t>LTG,</w:t>
            </w:r>
            <w:r>
              <w:rPr>
                <w:color w:val="231F20"/>
                <w:spacing w:val="-6"/>
                <w:sz w:val="15"/>
              </w:rPr>
              <w:t> </w:t>
            </w:r>
            <w:r>
              <w:rPr>
                <w:color w:val="231F20"/>
                <w:spacing w:val="-5"/>
                <w:sz w:val="15"/>
              </w:rPr>
              <w:t>VPA</w:t>
            </w:r>
          </w:p>
        </w:tc>
        <w:tc>
          <w:tcPr>
            <w:tcW w:w="1343" w:type="dxa"/>
            <w:tcBorders>
              <w:top w:val="single" w:sz="4" w:space="0" w:color="FFFFFF"/>
              <w:bottom w:val="single" w:sz="4" w:space="0" w:color="FFFFFF"/>
            </w:tcBorders>
            <w:shd w:val="clear" w:color="auto" w:fill="E8F5F1"/>
          </w:tcPr>
          <w:p>
            <w:pPr>
              <w:pStyle w:val="TableParagraph"/>
              <w:spacing w:before="42"/>
              <w:ind w:left="98"/>
              <w:rPr>
                <w:sz w:val="15"/>
              </w:rPr>
            </w:pPr>
            <w:r>
              <w:rPr>
                <w:color w:val="231F20"/>
                <w:spacing w:val="-5"/>
                <w:w w:val="105"/>
                <w:sz w:val="15"/>
              </w:rPr>
              <w:t>VPA</w:t>
            </w:r>
          </w:p>
        </w:tc>
      </w:tr>
      <w:tr>
        <w:trPr>
          <w:trHeight w:val="588" w:hRule="atLeast"/>
        </w:trPr>
        <w:tc>
          <w:tcPr>
            <w:tcW w:w="1055" w:type="dxa"/>
            <w:tcBorders>
              <w:top w:val="single" w:sz="4" w:space="0" w:color="FFFFFF"/>
              <w:bottom w:val="single" w:sz="4" w:space="0" w:color="FFFFFF"/>
            </w:tcBorders>
            <w:shd w:val="clear" w:color="auto" w:fill="E8F5F1"/>
          </w:tcPr>
          <w:p>
            <w:pPr>
              <w:pStyle w:val="TableParagraph"/>
              <w:spacing w:line="230" w:lineRule="auto" w:before="48"/>
              <w:ind w:left="185" w:hanging="112"/>
              <w:rPr>
                <w:sz w:val="15"/>
              </w:rPr>
            </w:pPr>
            <w:r>
              <w:rPr>
                <w:color w:val="231F20"/>
                <w:spacing w:val="-2"/>
                <w:sz w:val="15"/>
              </w:rPr>
              <w:t>Lennox- Gastaut syndrome</w:t>
            </w:r>
          </w:p>
        </w:tc>
        <w:tc>
          <w:tcPr>
            <w:tcW w:w="1198" w:type="dxa"/>
            <w:tcBorders>
              <w:top w:val="single" w:sz="4" w:space="0" w:color="FFFFFF"/>
              <w:bottom w:val="single" w:sz="4" w:space="0" w:color="FFFFFF"/>
            </w:tcBorders>
            <w:shd w:val="clear" w:color="auto" w:fill="E8F5F1"/>
          </w:tcPr>
          <w:p>
            <w:pPr>
              <w:pStyle w:val="TableParagraph"/>
              <w:spacing w:line="171" w:lineRule="exact" w:before="42"/>
              <w:ind w:left="93"/>
              <w:rPr>
                <w:sz w:val="15"/>
              </w:rPr>
            </w:pPr>
            <w:r>
              <w:rPr>
                <w:color w:val="231F20"/>
                <w:sz w:val="15"/>
              </w:rPr>
              <w:t>CLB,</w:t>
            </w:r>
            <w:r>
              <w:rPr>
                <w:color w:val="231F20"/>
                <w:spacing w:val="1"/>
                <w:sz w:val="15"/>
              </w:rPr>
              <w:t> </w:t>
            </w:r>
            <w:r>
              <w:rPr>
                <w:color w:val="231F20"/>
                <w:sz w:val="15"/>
              </w:rPr>
              <w:t>FLB,</w:t>
            </w:r>
            <w:r>
              <w:rPr>
                <w:color w:val="231F20"/>
                <w:spacing w:val="1"/>
                <w:sz w:val="15"/>
              </w:rPr>
              <w:t> </w:t>
            </w:r>
            <w:r>
              <w:rPr>
                <w:color w:val="231F20"/>
                <w:spacing w:val="-4"/>
                <w:sz w:val="15"/>
              </w:rPr>
              <w:t>LTG,</w:t>
            </w:r>
          </w:p>
          <w:p>
            <w:pPr>
              <w:pStyle w:val="TableParagraph"/>
              <w:spacing w:line="230" w:lineRule="auto" w:before="2"/>
              <w:ind w:left="205"/>
              <w:rPr>
                <w:sz w:val="15"/>
              </w:rPr>
            </w:pPr>
            <w:r>
              <w:rPr>
                <w:color w:val="231F20"/>
                <w:spacing w:val="-2"/>
                <w:sz w:val="15"/>
              </w:rPr>
              <w:t>rufinamide </w:t>
            </w:r>
            <w:r>
              <w:rPr>
                <w:color w:val="231F20"/>
                <w:spacing w:val="-4"/>
                <w:sz w:val="15"/>
              </w:rPr>
              <w:t>(atonic),</w:t>
            </w:r>
            <w:r>
              <w:rPr>
                <w:color w:val="231F20"/>
                <w:spacing w:val="-8"/>
                <w:sz w:val="15"/>
              </w:rPr>
              <w:t> </w:t>
            </w:r>
            <w:r>
              <w:rPr>
                <w:color w:val="231F20"/>
                <w:spacing w:val="-4"/>
                <w:sz w:val="15"/>
              </w:rPr>
              <w:t>TPM</w:t>
            </w:r>
          </w:p>
        </w:tc>
        <w:tc>
          <w:tcPr>
            <w:tcW w:w="1045" w:type="dxa"/>
            <w:tcBorders>
              <w:top w:val="single" w:sz="4" w:space="0" w:color="FFFFFF"/>
              <w:bottom w:val="single" w:sz="4" w:space="0" w:color="FFFFFF"/>
            </w:tcBorders>
            <w:shd w:val="clear" w:color="auto" w:fill="E8F5F1"/>
          </w:tcPr>
          <w:p>
            <w:pPr>
              <w:pStyle w:val="TableParagraph"/>
              <w:spacing w:line="230" w:lineRule="auto" w:before="48"/>
              <w:ind w:left="204" w:right="274" w:hanging="112"/>
              <w:rPr>
                <w:sz w:val="15"/>
              </w:rPr>
            </w:pPr>
            <w:r>
              <w:rPr>
                <w:color w:val="231F20"/>
                <w:sz w:val="15"/>
              </w:rPr>
              <w:t>CLB,</w:t>
            </w:r>
            <w:r>
              <w:rPr>
                <w:color w:val="231F20"/>
                <w:spacing w:val="-12"/>
                <w:sz w:val="15"/>
              </w:rPr>
              <w:t> </w:t>
            </w:r>
            <w:r>
              <w:rPr>
                <w:color w:val="231F20"/>
                <w:sz w:val="15"/>
              </w:rPr>
              <w:t>LTG, </w:t>
            </w:r>
            <w:r>
              <w:rPr>
                <w:color w:val="231F20"/>
                <w:spacing w:val="-4"/>
                <w:sz w:val="15"/>
              </w:rPr>
              <w:t>VPA</w:t>
            </w:r>
          </w:p>
        </w:tc>
        <w:tc>
          <w:tcPr>
            <w:tcW w:w="1217" w:type="dxa"/>
            <w:tcBorders>
              <w:top w:val="single" w:sz="4" w:space="0" w:color="FFFFFF"/>
              <w:bottom w:val="single" w:sz="4" w:space="0" w:color="FFFFFF"/>
            </w:tcBorders>
            <w:shd w:val="clear" w:color="auto" w:fill="E8F5F1"/>
          </w:tcPr>
          <w:p>
            <w:pPr>
              <w:pStyle w:val="TableParagraph"/>
              <w:spacing w:before="42"/>
              <w:ind w:left="70"/>
              <w:rPr>
                <w:sz w:val="15"/>
              </w:rPr>
            </w:pPr>
            <w:r>
              <w:rPr>
                <w:color w:val="231F20"/>
                <w:spacing w:val="-5"/>
                <w:w w:val="105"/>
                <w:sz w:val="15"/>
              </w:rPr>
              <w:t>VPA</w:t>
            </w:r>
          </w:p>
        </w:tc>
        <w:tc>
          <w:tcPr>
            <w:tcW w:w="1089" w:type="dxa"/>
            <w:tcBorders>
              <w:top w:val="single" w:sz="4" w:space="0" w:color="FFFFFF"/>
              <w:bottom w:val="single" w:sz="4" w:space="0" w:color="FFFFFF"/>
            </w:tcBorders>
            <w:shd w:val="clear" w:color="auto" w:fill="E8F5F1"/>
          </w:tcPr>
          <w:p>
            <w:pPr>
              <w:pStyle w:val="TableParagraph"/>
              <w:spacing w:before="42"/>
              <w:ind w:left="93"/>
              <w:rPr>
                <w:sz w:val="15"/>
              </w:rPr>
            </w:pPr>
            <w:r>
              <w:rPr>
                <w:color w:val="231F20"/>
                <w:sz w:val="15"/>
              </w:rPr>
              <w:t>Not</w:t>
            </w:r>
            <w:r>
              <w:rPr>
                <w:color w:val="231F20"/>
                <w:spacing w:val="17"/>
                <w:sz w:val="15"/>
              </w:rPr>
              <w:t> </w:t>
            </w:r>
            <w:r>
              <w:rPr>
                <w:color w:val="231F20"/>
                <w:spacing w:val="-2"/>
                <w:sz w:val="15"/>
              </w:rPr>
              <w:t>surveyed</w:t>
            </w:r>
          </w:p>
        </w:tc>
        <w:tc>
          <w:tcPr>
            <w:tcW w:w="1358" w:type="dxa"/>
            <w:tcBorders>
              <w:top w:val="single" w:sz="4" w:space="0" w:color="FFFFFF"/>
              <w:bottom w:val="single" w:sz="4" w:space="0" w:color="FFFFFF"/>
            </w:tcBorders>
            <w:shd w:val="clear" w:color="auto" w:fill="E8F5F1"/>
          </w:tcPr>
          <w:p>
            <w:pPr>
              <w:pStyle w:val="TableParagraph"/>
              <w:spacing w:before="42"/>
              <w:ind w:left="102"/>
              <w:rPr>
                <w:sz w:val="15"/>
              </w:rPr>
            </w:pPr>
            <w:r>
              <w:rPr>
                <w:color w:val="231F20"/>
                <w:sz w:val="15"/>
              </w:rPr>
              <w:t>Not</w:t>
            </w:r>
            <w:r>
              <w:rPr>
                <w:color w:val="231F20"/>
                <w:spacing w:val="17"/>
                <w:sz w:val="15"/>
              </w:rPr>
              <w:t> </w:t>
            </w:r>
            <w:r>
              <w:rPr>
                <w:color w:val="231F20"/>
                <w:spacing w:val="-2"/>
                <w:sz w:val="15"/>
              </w:rPr>
              <w:t>reviewed</w:t>
            </w:r>
          </w:p>
        </w:tc>
        <w:tc>
          <w:tcPr>
            <w:tcW w:w="1437" w:type="dxa"/>
            <w:tcBorders>
              <w:top w:val="single" w:sz="4" w:space="0" w:color="FFFFFF"/>
              <w:bottom w:val="single" w:sz="4" w:space="0" w:color="FFFFFF"/>
            </w:tcBorders>
            <w:shd w:val="clear" w:color="auto" w:fill="E8F5F1"/>
          </w:tcPr>
          <w:p>
            <w:pPr>
              <w:pStyle w:val="TableParagraph"/>
              <w:spacing w:before="42"/>
              <w:ind w:left="92"/>
              <w:rPr>
                <w:sz w:val="15"/>
              </w:rPr>
            </w:pPr>
            <w:r>
              <w:rPr>
                <w:color w:val="231F20"/>
                <w:sz w:val="15"/>
              </w:rPr>
              <w:t>LTG,</w:t>
            </w:r>
            <w:r>
              <w:rPr>
                <w:color w:val="231F20"/>
                <w:spacing w:val="-6"/>
                <w:sz w:val="15"/>
              </w:rPr>
              <w:t> </w:t>
            </w:r>
            <w:r>
              <w:rPr>
                <w:color w:val="231F20"/>
                <w:spacing w:val="-5"/>
                <w:sz w:val="15"/>
              </w:rPr>
              <w:t>VPA</w:t>
            </w:r>
          </w:p>
        </w:tc>
        <w:tc>
          <w:tcPr>
            <w:tcW w:w="1343" w:type="dxa"/>
            <w:tcBorders>
              <w:top w:val="single" w:sz="4" w:space="0" w:color="FFFFFF"/>
              <w:bottom w:val="single" w:sz="4" w:space="0" w:color="FFFFFF"/>
            </w:tcBorders>
            <w:shd w:val="clear" w:color="auto" w:fill="E8F5F1"/>
          </w:tcPr>
          <w:p>
            <w:pPr>
              <w:pStyle w:val="TableParagraph"/>
              <w:spacing w:before="42"/>
              <w:ind w:left="98"/>
              <w:rPr>
                <w:sz w:val="15"/>
              </w:rPr>
            </w:pPr>
            <w:r>
              <w:rPr>
                <w:color w:val="231F20"/>
                <w:spacing w:val="-5"/>
                <w:w w:val="105"/>
                <w:sz w:val="15"/>
              </w:rPr>
              <w:t>VPA</w:t>
            </w:r>
          </w:p>
        </w:tc>
      </w:tr>
      <w:tr>
        <w:trPr>
          <w:trHeight w:val="756" w:hRule="atLeast"/>
        </w:trPr>
        <w:tc>
          <w:tcPr>
            <w:tcW w:w="1055" w:type="dxa"/>
            <w:tcBorders>
              <w:top w:val="single" w:sz="4" w:space="0" w:color="FFFFFF"/>
              <w:bottom w:val="single" w:sz="4" w:space="0" w:color="FFFFFF"/>
            </w:tcBorders>
            <w:shd w:val="clear" w:color="auto" w:fill="E8F5F1"/>
          </w:tcPr>
          <w:p>
            <w:pPr>
              <w:pStyle w:val="TableParagraph"/>
              <w:spacing w:line="230" w:lineRule="auto" w:before="48"/>
              <w:ind w:left="184" w:right="91" w:hanging="112"/>
              <w:rPr>
                <w:sz w:val="15"/>
              </w:rPr>
            </w:pPr>
            <w:r>
              <w:rPr>
                <w:color w:val="231F20"/>
                <w:spacing w:val="-2"/>
                <w:sz w:val="15"/>
              </w:rPr>
              <w:t>Infantile spasms</w:t>
            </w:r>
          </w:p>
        </w:tc>
        <w:tc>
          <w:tcPr>
            <w:tcW w:w="1198" w:type="dxa"/>
            <w:tcBorders>
              <w:top w:val="single" w:sz="4" w:space="0" w:color="FFFFFF"/>
              <w:bottom w:val="single" w:sz="4" w:space="0" w:color="FFFFFF"/>
            </w:tcBorders>
            <w:shd w:val="clear" w:color="auto" w:fill="E8F5F1"/>
          </w:tcPr>
          <w:p>
            <w:pPr>
              <w:pStyle w:val="TableParagraph"/>
              <w:spacing w:before="42"/>
              <w:ind w:left="92"/>
              <w:rPr>
                <w:sz w:val="15"/>
              </w:rPr>
            </w:pPr>
            <w:r>
              <w:rPr>
                <w:color w:val="231F20"/>
                <w:spacing w:val="-5"/>
                <w:w w:val="110"/>
                <w:sz w:val="15"/>
              </w:rPr>
              <w:t>VGB</w:t>
            </w:r>
          </w:p>
        </w:tc>
        <w:tc>
          <w:tcPr>
            <w:tcW w:w="1045" w:type="dxa"/>
            <w:tcBorders>
              <w:top w:val="single" w:sz="4" w:space="0" w:color="FFFFFF"/>
              <w:bottom w:val="single" w:sz="4" w:space="0" w:color="FFFFFF"/>
            </w:tcBorders>
            <w:shd w:val="clear" w:color="auto" w:fill="E8F5F1"/>
          </w:tcPr>
          <w:p>
            <w:pPr>
              <w:pStyle w:val="TableParagraph"/>
              <w:spacing w:line="230" w:lineRule="auto" w:before="48"/>
              <w:ind w:left="204" w:right="111" w:hanging="112"/>
              <w:jc w:val="both"/>
              <w:rPr>
                <w:sz w:val="15"/>
              </w:rPr>
            </w:pPr>
            <w:r>
              <w:rPr>
                <w:color w:val="231F20"/>
                <w:spacing w:val="-2"/>
                <w:sz w:val="15"/>
              </w:rPr>
              <w:t>Nitrazepam, </w:t>
            </w:r>
            <w:r>
              <w:rPr>
                <w:color w:val="231F20"/>
                <w:sz w:val="15"/>
              </w:rPr>
              <w:t>TPM,</w:t>
            </w:r>
            <w:r>
              <w:rPr>
                <w:color w:val="231F20"/>
                <w:spacing w:val="-12"/>
                <w:sz w:val="15"/>
              </w:rPr>
              <w:t> </w:t>
            </w:r>
            <w:r>
              <w:rPr>
                <w:color w:val="231F20"/>
                <w:sz w:val="15"/>
              </w:rPr>
              <w:t>VGB, </w:t>
            </w:r>
            <w:r>
              <w:rPr>
                <w:color w:val="231F20"/>
                <w:spacing w:val="-4"/>
                <w:sz w:val="15"/>
              </w:rPr>
              <w:t>VPA</w:t>
            </w:r>
          </w:p>
        </w:tc>
        <w:tc>
          <w:tcPr>
            <w:tcW w:w="1217" w:type="dxa"/>
            <w:tcBorders>
              <w:top w:val="single" w:sz="4" w:space="0" w:color="FFFFFF"/>
              <w:bottom w:val="single" w:sz="4" w:space="0" w:color="FFFFFF"/>
            </w:tcBorders>
            <w:shd w:val="clear" w:color="auto" w:fill="E8F5F1"/>
          </w:tcPr>
          <w:p>
            <w:pPr>
              <w:pStyle w:val="TableParagraph"/>
              <w:spacing w:line="230" w:lineRule="auto" w:before="48"/>
              <w:ind w:left="182" w:hanging="112"/>
              <w:rPr>
                <w:sz w:val="15"/>
              </w:rPr>
            </w:pPr>
            <w:r>
              <w:rPr>
                <w:color w:val="231F20"/>
                <w:spacing w:val="-2"/>
                <w:sz w:val="15"/>
              </w:rPr>
              <w:t>Corticosteroids, </w:t>
            </w:r>
            <w:r>
              <w:rPr>
                <w:color w:val="231F20"/>
                <w:spacing w:val="-4"/>
                <w:sz w:val="15"/>
              </w:rPr>
              <w:t>VGB</w:t>
            </w:r>
          </w:p>
        </w:tc>
        <w:tc>
          <w:tcPr>
            <w:tcW w:w="1089" w:type="dxa"/>
            <w:tcBorders>
              <w:top w:val="single" w:sz="4" w:space="0" w:color="FFFFFF"/>
              <w:bottom w:val="single" w:sz="4" w:space="0" w:color="FFFFFF"/>
            </w:tcBorders>
            <w:shd w:val="clear" w:color="auto" w:fill="E8F5F1"/>
          </w:tcPr>
          <w:p>
            <w:pPr>
              <w:pStyle w:val="TableParagraph"/>
              <w:spacing w:line="171" w:lineRule="exact" w:before="42"/>
              <w:ind w:left="93"/>
              <w:rPr>
                <w:sz w:val="15"/>
              </w:rPr>
            </w:pPr>
            <w:r>
              <w:rPr>
                <w:color w:val="231F20"/>
                <w:w w:val="105"/>
                <w:sz w:val="15"/>
              </w:rPr>
              <w:t>ACTH,</w:t>
            </w:r>
            <w:r>
              <w:rPr>
                <w:color w:val="231F20"/>
                <w:spacing w:val="-2"/>
                <w:w w:val="105"/>
                <w:sz w:val="15"/>
              </w:rPr>
              <w:t> </w:t>
            </w:r>
            <w:r>
              <w:rPr>
                <w:color w:val="231F20"/>
                <w:spacing w:val="-5"/>
                <w:w w:val="105"/>
                <w:sz w:val="15"/>
              </w:rPr>
              <w:t>VGB</w:t>
            </w:r>
          </w:p>
          <w:p>
            <w:pPr>
              <w:pStyle w:val="TableParagraph"/>
              <w:spacing w:line="230" w:lineRule="auto" w:before="2"/>
              <w:ind w:left="205"/>
              <w:rPr>
                <w:sz w:val="15"/>
              </w:rPr>
            </w:pPr>
            <w:r>
              <w:rPr>
                <w:color w:val="231F20"/>
                <w:sz w:val="15"/>
              </w:rPr>
              <w:t>(updated</w:t>
            </w:r>
            <w:r>
              <w:rPr>
                <w:color w:val="231F20"/>
                <w:spacing w:val="-12"/>
                <w:sz w:val="15"/>
              </w:rPr>
              <w:t> </w:t>
            </w:r>
            <w:r>
              <w:rPr>
                <w:color w:val="231F20"/>
                <w:sz w:val="15"/>
              </w:rPr>
              <w:t>IS </w:t>
            </w:r>
            <w:r>
              <w:rPr>
                <w:color w:val="231F20"/>
                <w:spacing w:val="-2"/>
                <w:sz w:val="15"/>
              </w:rPr>
              <w:t>guidelines 2012)</w:t>
            </w:r>
          </w:p>
        </w:tc>
        <w:tc>
          <w:tcPr>
            <w:tcW w:w="1358" w:type="dxa"/>
            <w:tcBorders>
              <w:top w:val="single" w:sz="4" w:space="0" w:color="FFFFFF"/>
              <w:bottom w:val="single" w:sz="4" w:space="0" w:color="FFFFFF"/>
            </w:tcBorders>
            <w:shd w:val="clear" w:color="auto" w:fill="E8F5F1"/>
          </w:tcPr>
          <w:p>
            <w:pPr>
              <w:pStyle w:val="TableParagraph"/>
              <w:spacing w:before="42"/>
              <w:ind w:left="102"/>
              <w:rPr>
                <w:sz w:val="15"/>
              </w:rPr>
            </w:pPr>
            <w:r>
              <w:rPr>
                <w:color w:val="231F20"/>
                <w:sz w:val="15"/>
              </w:rPr>
              <w:t>Not</w:t>
            </w:r>
            <w:r>
              <w:rPr>
                <w:color w:val="231F20"/>
                <w:spacing w:val="17"/>
                <w:sz w:val="15"/>
              </w:rPr>
              <w:t> </w:t>
            </w:r>
            <w:r>
              <w:rPr>
                <w:color w:val="231F20"/>
                <w:spacing w:val="-2"/>
                <w:sz w:val="15"/>
              </w:rPr>
              <w:t>reviewed</w:t>
            </w:r>
          </w:p>
        </w:tc>
        <w:tc>
          <w:tcPr>
            <w:tcW w:w="1437" w:type="dxa"/>
            <w:tcBorders>
              <w:top w:val="single" w:sz="4" w:space="0" w:color="FFFFFF"/>
              <w:bottom w:val="single" w:sz="4" w:space="0" w:color="FFFFFF"/>
            </w:tcBorders>
            <w:shd w:val="clear" w:color="auto" w:fill="E8F5F1"/>
          </w:tcPr>
          <w:p>
            <w:pPr>
              <w:pStyle w:val="TableParagraph"/>
              <w:spacing w:before="42"/>
              <w:ind w:left="92"/>
              <w:rPr>
                <w:sz w:val="15"/>
              </w:rPr>
            </w:pPr>
            <w:r>
              <w:rPr>
                <w:color w:val="231F20"/>
                <w:w w:val="105"/>
                <w:sz w:val="15"/>
              </w:rPr>
              <w:t>ACTH,</w:t>
            </w:r>
            <w:r>
              <w:rPr>
                <w:color w:val="231F20"/>
                <w:spacing w:val="-2"/>
                <w:w w:val="105"/>
                <w:sz w:val="15"/>
              </w:rPr>
              <w:t> </w:t>
            </w:r>
            <w:r>
              <w:rPr>
                <w:color w:val="231F20"/>
                <w:spacing w:val="-5"/>
                <w:w w:val="105"/>
                <w:sz w:val="15"/>
              </w:rPr>
              <w:t>VGB</w:t>
            </w:r>
          </w:p>
        </w:tc>
        <w:tc>
          <w:tcPr>
            <w:tcW w:w="1343" w:type="dxa"/>
            <w:tcBorders>
              <w:top w:val="single" w:sz="4" w:space="0" w:color="FFFFFF"/>
              <w:bottom w:val="single" w:sz="4" w:space="0" w:color="FFFFFF"/>
            </w:tcBorders>
            <w:shd w:val="clear" w:color="auto" w:fill="E8F5F1"/>
          </w:tcPr>
          <w:p>
            <w:pPr>
              <w:pStyle w:val="TableParagraph"/>
              <w:spacing w:before="42"/>
              <w:ind w:left="98"/>
              <w:rPr>
                <w:sz w:val="15"/>
              </w:rPr>
            </w:pPr>
            <w:r>
              <w:rPr>
                <w:color w:val="231F20"/>
                <w:spacing w:val="-5"/>
                <w:w w:val="110"/>
                <w:sz w:val="15"/>
              </w:rPr>
              <w:t>VGB</w:t>
            </w:r>
          </w:p>
        </w:tc>
      </w:tr>
      <w:tr>
        <w:trPr>
          <w:trHeight w:val="919" w:hRule="atLeast"/>
        </w:trPr>
        <w:tc>
          <w:tcPr>
            <w:tcW w:w="1055" w:type="dxa"/>
            <w:tcBorders>
              <w:top w:val="single" w:sz="4" w:space="0" w:color="FFFFFF"/>
              <w:bottom w:val="single" w:sz="8" w:space="0" w:color="231F20"/>
            </w:tcBorders>
            <w:shd w:val="clear" w:color="auto" w:fill="E8F5F1"/>
          </w:tcPr>
          <w:p>
            <w:pPr>
              <w:pStyle w:val="TableParagraph"/>
              <w:spacing w:line="230" w:lineRule="auto" w:before="48"/>
              <w:ind w:left="184" w:right="91" w:hanging="112"/>
              <w:rPr>
                <w:sz w:val="15"/>
              </w:rPr>
            </w:pPr>
            <w:r>
              <w:rPr>
                <w:color w:val="231F20"/>
                <w:spacing w:val="-2"/>
                <w:sz w:val="15"/>
              </w:rPr>
              <w:t>Primary generalized tonic-clonic seizures</w:t>
            </w:r>
          </w:p>
        </w:tc>
        <w:tc>
          <w:tcPr>
            <w:tcW w:w="1198" w:type="dxa"/>
            <w:tcBorders>
              <w:top w:val="single" w:sz="4" w:space="0" w:color="FFFFFF"/>
              <w:bottom w:val="single" w:sz="8" w:space="0" w:color="231F20"/>
            </w:tcBorders>
            <w:shd w:val="clear" w:color="auto" w:fill="E8F5F1"/>
          </w:tcPr>
          <w:p>
            <w:pPr>
              <w:pStyle w:val="TableParagraph"/>
              <w:spacing w:before="42"/>
              <w:ind w:left="92"/>
              <w:rPr>
                <w:sz w:val="15"/>
              </w:rPr>
            </w:pPr>
            <w:r>
              <w:rPr>
                <w:color w:val="231F20"/>
                <w:sz w:val="15"/>
              </w:rPr>
              <w:t>LEV,</w:t>
            </w:r>
            <w:r>
              <w:rPr>
                <w:color w:val="231F20"/>
                <w:spacing w:val="-7"/>
                <w:sz w:val="15"/>
              </w:rPr>
              <w:t> </w:t>
            </w:r>
            <w:r>
              <w:rPr>
                <w:color w:val="231F20"/>
                <w:sz w:val="15"/>
              </w:rPr>
              <w:t>LTG,</w:t>
            </w:r>
            <w:r>
              <w:rPr>
                <w:color w:val="231F20"/>
                <w:spacing w:val="-7"/>
                <w:sz w:val="15"/>
              </w:rPr>
              <w:t> </w:t>
            </w:r>
            <w:r>
              <w:rPr>
                <w:color w:val="231F20"/>
                <w:spacing w:val="-5"/>
                <w:sz w:val="15"/>
              </w:rPr>
              <w:t>TPM</w:t>
            </w:r>
          </w:p>
        </w:tc>
        <w:tc>
          <w:tcPr>
            <w:tcW w:w="1045" w:type="dxa"/>
            <w:tcBorders>
              <w:top w:val="single" w:sz="4" w:space="0" w:color="FFFFFF"/>
              <w:bottom w:val="single" w:sz="8" w:space="0" w:color="231F20"/>
            </w:tcBorders>
            <w:shd w:val="clear" w:color="auto" w:fill="E8F5F1"/>
          </w:tcPr>
          <w:p>
            <w:pPr>
              <w:pStyle w:val="TableParagraph"/>
              <w:spacing w:before="42"/>
              <w:ind w:left="92"/>
              <w:rPr>
                <w:sz w:val="15"/>
              </w:rPr>
            </w:pPr>
            <w:r>
              <w:rPr>
                <w:color w:val="231F20"/>
                <w:w w:val="105"/>
                <w:sz w:val="15"/>
              </w:rPr>
              <w:t>TPM,</w:t>
            </w:r>
            <w:r>
              <w:rPr>
                <w:color w:val="231F20"/>
                <w:spacing w:val="-8"/>
                <w:w w:val="105"/>
                <w:sz w:val="15"/>
              </w:rPr>
              <w:t> </w:t>
            </w:r>
            <w:r>
              <w:rPr>
                <w:color w:val="231F20"/>
                <w:spacing w:val="-5"/>
                <w:w w:val="105"/>
                <w:sz w:val="15"/>
              </w:rPr>
              <w:t>VPA</w:t>
            </w:r>
          </w:p>
        </w:tc>
        <w:tc>
          <w:tcPr>
            <w:tcW w:w="1217" w:type="dxa"/>
            <w:tcBorders>
              <w:top w:val="single" w:sz="4" w:space="0" w:color="FFFFFF"/>
              <w:bottom w:val="single" w:sz="8" w:space="0" w:color="231F20"/>
            </w:tcBorders>
            <w:shd w:val="clear" w:color="auto" w:fill="E8F5F1"/>
          </w:tcPr>
          <w:p>
            <w:pPr>
              <w:pStyle w:val="TableParagraph"/>
              <w:spacing w:before="42"/>
              <w:ind w:left="70"/>
              <w:rPr>
                <w:sz w:val="15"/>
              </w:rPr>
            </w:pPr>
            <w:r>
              <w:rPr>
                <w:color w:val="231F20"/>
                <w:sz w:val="15"/>
              </w:rPr>
              <w:t>LTG,</w:t>
            </w:r>
            <w:r>
              <w:rPr>
                <w:color w:val="231F20"/>
                <w:spacing w:val="2"/>
                <w:sz w:val="15"/>
              </w:rPr>
              <w:t> </w:t>
            </w:r>
            <w:r>
              <w:rPr>
                <w:color w:val="231F20"/>
                <w:sz w:val="15"/>
              </w:rPr>
              <w:t>TPM,</w:t>
            </w:r>
            <w:r>
              <w:rPr>
                <w:color w:val="231F20"/>
                <w:spacing w:val="3"/>
                <w:sz w:val="15"/>
              </w:rPr>
              <w:t> </w:t>
            </w:r>
            <w:r>
              <w:rPr>
                <w:color w:val="231F20"/>
                <w:spacing w:val="-5"/>
                <w:sz w:val="15"/>
              </w:rPr>
              <w:t>VPA</w:t>
            </w:r>
          </w:p>
        </w:tc>
        <w:tc>
          <w:tcPr>
            <w:tcW w:w="1089" w:type="dxa"/>
            <w:tcBorders>
              <w:top w:val="single" w:sz="4" w:space="0" w:color="FFFFFF"/>
              <w:bottom w:val="single" w:sz="8" w:space="0" w:color="231F20"/>
            </w:tcBorders>
            <w:shd w:val="clear" w:color="auto" w:fill="E8F5F1"/>
          </w:tcPr>
          <w:p>
            <w:pPr>
              <w:pStyle w:val="TableParagraph"/>
              <w:spacing w:line="230" w:lineRule="auto" w:before="48"/>
              <w:ind w:left="204" w:hanging="112"/>
              <w:rPr>
                <w:sz w:val="15"/>
              </w:rPr>
            </w:pPr>
            <w:r>
              <w:rPr>
                <w:color w:val="231F20"/>
                <w:spacing w:val="-2"/>
                <w:w w:val="105"/>
                <w:sz w:val="15"/>
              </w:rPr>
              <w:t>No</w:t>
            </w:r>
            <w:r>
              <w:rPr>
                <w:color w:val="231F20"/>
                <w:spacing w:val="-10"/>
                <w:w w:val="105"/>
                <w:sz w:val="15"/>
              </w:rPr>
              <w:t> </w:t>
            </w:r>
            <w:r>
              <w:rPr>
                <w:color w:val="231F20"/>
                <w:spacing w:val="-2"/>
                <w:w w:val="105"/>
                <w:sz w:val="15"/>
              </w:rPr>
              <w:t>evidence given</w:t>
            </w:r>
          </w:p>
        </w:tc>
        <w:tc>
          <w:tcPr>
            <w:tcW w:w="1358" w:type="dxa"/>
            <w:tcBorders>
              <w:top w:val="single" w:sz="4" w:space="0" w:color="FFFFFF"/>
              <w:bottom w:val="single" w:sz="8" w:space="0" w:color="231F20"/>
            </w:tcBorders>
            <w:shd w:val="clear" w:color="auto" w:fill="E8F5F1"/>
          </w:tcPr>
          <w:p>
            <w:pPr>
              <w:pStyle w:val="TableParagraph"/>
              <w:spacing w:line="230" w:lineRule="auto" w:before="48"/>
              <w:ind w:left="101" w:right="693"/>
              <w:rPr>
                <w:sz w:val="15"/>
              </w:rPr>
            </w:pPr>
            <w:r>
              <w:rPr>
                <w:color w:val="231F20"/>
                <w:w w:val="105"/>
                <w:sz w:val="15"/>
              </w:rPr>
              <w:t>A:</w:t>
            </w:r>
            <w:r>
              <w:rPr>
                <w:color w:val="231F20"/>
                <w:spacing w:val="-12"/>
                <w:w w:val="105"/>
                <w:sz w:val="15"/>
              </w:rPr>
              <w:t> </w:t>
            </w:r>
            <w:r>
              <w:rPr>
                <w:color w:val="231F20"/>
                <w:w w:val="105"/>
                <w:sz w:val="15"/>
              </w:rPr>
              <w:t>None </w:t>
            </w:r>
            <w:r>
              <w:rPr>
                <w:color w:val="231F20"/>
                <w:sz w:val="15"/>
              </w:rPr>
              <w:t>B:</w:t>
            </w:r>
            <w:r>
              <w:rPr>
                <w:color w:val="231F20"/>
                <w:spacing w:val="-8"/>
                <w:sz w:val="15"/>
              </w:rPr>
              <w:t> </w:t>
            </w:r>
            <w:r>
              <w:rPr>
                <w:color w:val="231F20"/>
                <w:spacing w:val="-4"/>
                <w:sz w:val="15"/>
              </w:rPr>
              <w:t>None</w:t>
            </w:r>
          </w:p>
          <w:p>
            <w:pPr>
              <w:pStyle w:val="TableParagraph"/>
              <w:spacing w:line="230" w:lineRule="auto" w:before="1"/>
              <w:ind w:left="213" w:hanging="112"/>
              <w:rPr>
                <w:sz w:val="15"/>
              </w:rPr>
            </w:pPr>
            <w:r>
              <w:rPr>
                <w:color w:val="231F20"/>
                <w:sz w:val="15"/>
              </w:rPr>
              <w:t>C:</w:t>
            </w:r>
            <w:r>
              <w:rPr>
                <w:color w:val="231F20"/>
                <w:spacing w:val="-12"/>
                <w:sz w:val="15"/>
              </w:rPr>
              <w:t> </w:t>
            </w:r>
            <w:r>
              <w:rPr>
                <w:color w:val="231F20"/>
                <w:sz w:val="15"/>
              </w:rPr>
              <w:t>CBZ,</w:t>
            </w:r>
            <w:r>
              <w:rPr>
                <w:color w:val="231F20"/>
                <w:spacing w:val="-11"/>
                <w:sz w:val="15"/>
              </w:rPr>
              <w:t> </w:t>
            </w:r>
            <w:r>
              <w:rPr>
                <w:color w:val="231F20"/>
                <w:sz w:val="15"/>
              </w:rPr>
              <w:t>PB,</w:t>
            </w:r>
            <w:r>
              <w:rPr>
                <w:color w:val="231F20"/>
                <w:spacing w:val="-11"/>
                <w:sz w:val="15"/>
              </w:rPr>
              <w:t> </w:t>
            </w:r>
            <w:r>
              <w:rPr>
                <w:color w:val="231F20"/>
                <w:sz w:val="15"/>
              </w:rPr>
              <w:t>PHT, TPM, VPA</w:t>
            </w:r>
          </w:p>
          <w:p>
            <w:pPr>
              <w:pStyle w:val="TableParagraph"/>
              <w:spacing w:line="170" w:lineRule="exact"/>
              <w:ind w:left="101"/>
              <w:rPr>
                <w:sz w:val="15"/>
              </w:rPr>
            </w:pPr>
            <w:r>
              <w:rPr>
                <w:color w:val="231F20"/>
                <w:w w:val="105"/>
                <w:sz w:val="15"/>
              </w:rPr>
              <w:t>D:</w:t>
            </w:r>
            <w:r>
              <w:rPr>
                <w:color w:val="231F20"/>
                <w:spacing w:val="-8"/>
                <w:w w:val="105"/>
                <w:sz w:val="15"/>
              </w:rPr>
              <w:t> </w:t>
            </w:r>
            <w:r>
              <w:rPr>
                <w:color w:val="231F20"/>
                <w:spacing w:val="-5"/>
                <w:w w:val="110"/>
                <w:sz w:val="15"/>
              </w:rPr>
              <w:t>OXC</w:t>
            </w:r>
          </w:p>
        </w:tc>
        <w:tc>
          <w:tcPr>
            <w:tcW w:w="1437" w:type="dxa"/>
            <w:tcBorders>
              <w:top w:val="single" w:sz="4" w:space="0" w:color="FFFFFF"/>
              <w:bottom w:val="single" w:sz="8" w:space="0" w:color="231F20"/>
            </w:tcBorders>
            <w:shd w:val="clear" w:color="auto" w:fill="E8F5F1"/>
          </w:tcPr>
          <w:p>
            <w:pPr>
              <w:pStyle w:val="TableParagraph"/>
              <w:rPr>
                <w:rFonts w:ascii="Times New Roman"/>
                <w:sz w:val="14"/>
              </w:rPr>
            </w:pPr>
          </w:p>
        </w:tc>
        <w:tc>
          <w:tcPr>
            <w:tcW w:w="1343" w:type="dxa"/>
            <w:tcBorders>
              <w:top w:val="single" w:sz="4" w:space="0" w:color="FFFFFF"/>
              <w:bottom w:val="single" w:sz="8" w:space="0" w:color="231F20"/>
            </w:tcBorders>
            <w:shd w:val="clear" w:color="auto" w:fill="E8F5F1"/>
          </w:tcPr>
          <w:p>
            <w:pPr>
              <w:pStyle w:val="TableParagraph"/>
              <w:rPr>
                <w:rFonts w:ascii="Times New Roman"/>
                <w:sz w:val="14"/>
              </w:rPr>
            </w:pPr>
          </w:p>
        </w:tc>
      </w:tr>
    </w:tbl>
    <w:p>
      <w:pPr>
        <w:pStyle w:val="BodyText"/>
        <w:spacing w:line="235" w:lineRule="auto" w:before="79"/>
        <w:ind w:left="486" w:right="878"/>
        <w:jc w:val="both"/>
      </w:pPr>
      <w:r>
        <w:rPr>
          <w:color w:val="231F20"/>
        </w:rPr>
        <w:t>*ILAE</w:t>
      </w:r>
      <w:r>
        <w:rPr>
          <w:color w:val="231F20"/>
          <w:spacing w:val="-2"/>
        </w:rPr>
        <w:t> </w:t>
      </w:r>
      <w:r>
        <w:rPr>
          <w:color w:val="231F20"/>
        </w:rPr>
        <w:t>recommendations</w:t>
      </w:r>
      <w:r>
        <w:rPr>
          <w:color w:val="231F20"/>
          <w:spacing w:val="-2"/>
        </w:rPr>
        <w:t> </w:t>
      </w:r>
      <w:r>
        <w:rPr>
          <w:color w:val="231F20"/>
        </w:rPr>
        <w:t>are</w:t>
      </w:r>
      <w:r>
        <w:rPr>
          <w:color w:val="231F20"/>
          <w:spacing w:val="-2"/>
        </w:rPr>
        <w:t> </w:t>
      </w:r>
      <w:r>
        <w:rPr>
          <w:color w:val="231F20"/>
        </w:rPr>
        <w:t>listed</w:t>
      </w:r>
      <w:r>
        <w:rPr>
          <w:color w:val="231F20"/>
          <w:spacing w:val="-2"/>
        </w:rPr>
        <w:t> </w:t>
      </w:r>
      <w:r>
        <w:rPr>
          <w:color w:val="231F20"/>
        </w:rPr>
        <w:t>according</w:t>
      </w:r>
      <w:r>
        <w:rPr>
          <w:color w:val="231F20"/>
          <w:spacing w:val="-2"/>
        </w:rPr>
        <w:t> </w:t>
      </w:r>
      <w:r>
        <w:rPr>
          <w:color w:val="231F20"/>
        </w:rPr>
        <w:t>to</w:t>
      </w:r>
      <w:r>
        <w:rPr>
          <w:color w:val="231F20"/>
          <w:spacing w:val="-2"/>
        </w:rPr>
        <w:t> </w:t>
      </w:r>
      <w:r>
        <w:rPr>
          <w:color w:val="231F20"/>
        </w:rPr>
        <w:t>levels</w:t>
      </w:r>
      <w:r>
        <w:rPr>
          <w:color w:val="231F20"/>
          <w:spacing w:val="-2"/>
        </w:rPr>
        <w:t> </w:t>
      </w:r>
      <w:r>
        <w:rPr>
          <w:color w:val="231F20"/>
        </w:rPr>
        <w:t>of</w:t>
      </w:r>
      <w:r>
        <w:rPr>
          <w:color w:val="231F20"/>
          <w:spacing w:val="-2"/>
        </w:rPr>
        <w:t> </w:t>
      </w:r>
      <w:r>
        <w:rPr>
          <w:color w:val="231F20"/>
        </w:rPr>
        <w:t>evidence</w:t>
      </w:r>
      <w:r>
        <w:rPr>
          <w:color w:val="231F20"/>
          <w:spacing w:val="-2"/>
        </w:rPr>
        <w:t> </w:t>
      </w:r>
      <w:r>
        <w:rPr>
          <w:color w:val="231F20"/>
        </w:rPr>
        <w:t>supporting</w:t>
      </w:r>
      <w:r>
        <w:rPr>
          <w:color w:val="231F20"/>
          <w:spacing w:val="-2"/>
        </w:rPr>
        <w:t> </w:t>
      </w:r>
      <w:r>
        <w:rPr>
          <w:color w:val="231F20"/>
        </w:rPr>
        <w:t>the</w:t>
      </w:r>
      <w:r>
        <w:rPr>
          <w:color w:val="231F20"/>
          <w:spacing w:val="-2"/>
        </w:rPr>
        <w:t> </w:t>
      </w:r>
      <w:r>
        <w:rPr>
          <w:color w:val="231F20"/>
        </w:rPr>
        <w:t>efficacy</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options.</w:t>
      </w:r>
      <w:r>
        <w:rPr>
          <w:color w:val="231F20"/>
          <w:spacing w:val="-2"/>
        </w:rPr>
        <w:t> </w:t>
      </w:r>
      <w:r>
        <w:rPr>
          <w:color w:val="231F20"/>
        </w:rPr>
        <w:t>Level</w:t>
      </w:r>
      <w:r>
        <w:rPr>
          <w:color w:val="231F20"/>
          <w:spacing w:val="-2"/>
        </w:rPr>
        <w:t> </w:t>
      </w:r>
      <w:r>
        <w:rPr>
          <w:color w:val="231F20"/>
        </w:rPr>
        <w:t>A:</w:t>
      </w:r>
      <w:r>
        <w:rPr>
          <w:color w:val="231F20"/>
          <w:spacing w:val="-2"/>
        </w:rPr>
        <w:t> </w:t>
      </w:r>
      <w:r>
        <w:rPr>
          <w:rFonts w:ascii="Cambria" w:hAnsi="Cambria"/>
          <w:color w:val="231F20"/>
        </w:rPr>
        <w:t>≥</w:t>
      </w:r>
      <w:r>
        <w:rPr>
          <w:color w:val="231F20"/>
        </w:rPr>
        <w:t>1</w:t>
      </w:r>
      <w:r>
        <w:rPr>
          <w:color w:val="231F20"/>
          <w:spacing w:val="-2"/>
        </w:rPr>
        <w:t> </w:t>
      </w:r>
      <w:r>
        <w:rPr>
          <w:color w:val="231F20"/>
        </w:rPr>
        <w:t>class</w:t>
      </w:r>
      <w:r>
        <w:rPr>
          <w:color w:val="231F20"/>
          <w:spacing w:val="-2"/>
        </w:rPr>
        <w:t> </w:t>
      </w:r>
      <w:r>
        <w:rPr>
          <w:color w:val="231F20"/>
        </w:rPr>
        <w:t>I</w:t>
      </w:r>
      <w:r>
        <w:rPr>
          <w:color w:val="231F20"/>
          <w:spacing w:val="-2"/>
        </w:rPr>
        <w:t> </w:t>
      </w:r>
      <w:r>
        <w:rPr>
          <w:color w:val="231F20"/>
        </w:rPr>
        <w:t>randomized</w:t>
      </w:r>
      <w:r>
        <w:rPr>
          <w:color w:val="231F20"/>
          <w:spacing w:val="-2"/>
        </w:rPr>
        <w:t> </w:t>
      </w:r>
      <w:r>
        <w:rPr>
          <w:color w:val="231F20"/>
        </w:rPr>
        <w:t>controlled</w:t>
      </w:r>
      <w:r>
        <w:rPr>
          <w:color w:val="231F20"/>
          <w:spacing w:val="-2"/>
        </w:rPr>
        <w:t> </w:t>
      </w:r>
      <w:r>
        <w:rPr>
          <w:color w:val="231F20"/>
        </w:rPr>
        <w:t>trial</w:t>
      </w:r>
      <w:r>
        <w:rPr>
          <w:color w:val="231F20"/>
          <w:spacing w:val="-2"/>
        </w:rPr>
        <w:t> </w:t>
      </w:r>
      <w:r>
        <w:rPr>
          <w:color w:val="231F20"/>
        </w:rPr>
        <w:t>(RCT)</w:t>
      </w:r>
      <w:r>
        <w:rPr>
          <w:color w:val="231F20"/>
          <w:spacing w:val="-2"/>
        </w:rPr>
        <w:t> </w:t>
      </w:r>
      <w:r>
        <w:rPr>
          <w:color w:val="231F20"/>
        </w:rPr>
        <w:t>or</w:t>
      </w:r>
      <w:r>
        <w:rPr>
          <w:color w:val="231F20"/>
          <w:spacing w:val="-2"/>
        </w:rPr>
        <w:t> </w:t>
      </w:r>
      <w:r>
        <w:rPr>
          <w:rFonts w:ascii="Cambria" w:hAnsi="Cambria"/>
          <w:color w:val="231F20"/>
        </w:rPr>
        <w:t>≥</w:t>
      </w:r>
      <w:r>
        <w:rPr>
          <w:color w:val="231F20"/>
        </w:rPr>
        <w:t>2</w:t>
      </w:r>
      <w:r>
        <w:rPr>
          <w:color w:val="231F20"/>
          <w:spacing w:val="40"/>
        </w:rPr>
        <w:t> </w:t>
      </w:r>
      <w:r>
        <w:rPr>
          <w:color w:val="231F20"/>
        </w:rPr>
        <w:t>class II RCTs; Level B: 1 class II RCT or </w:t>
      </w:r>
      <w:r>
        <w:rPr>
          <w:rFonts w:ascii="Cambria" w:hAnsi="Cambria"/>
          <w:color w:val="231F20"/>
        </w:rPr>
        <w:t>≥</w:t>
      </w:r>
      <w:r>
        <w:rPr>
          <w:color w:val="231F20"/>
        </w:rPr>
        <w:t>2 class III RCTs; Level C: </w:t>
      </w:r>
      <w:r>
        <w:rPr>
          <w:rFonts w:ascii="Cambria" w:hAnsi="Cambria"/>
          <w:color w:val="231F20"/>
        </w:rPr>
        <w:t>≥</w:t>
      </w:r>
      <w:r>
        <w:rPr>
          <w:color w:val="231F20"/>
        </w:rPr>
        <w:t>2 class III RCTs; Level D: 1 class III double-blind or open-label study </w:t>
      </w:r>
      <w:r>
        <w:rPr>
          <w:i/>
          <w:color w:val="231F20"/>
        </w:rPr>
        <w:t>or </w:t>
      </w:r>
      <w:r>
        <w:rPr>
          <w:color w:val="231F20"/>
        </w:rPr>
        <w:t>1 class IV clinical study </w:t>
      </w:r>
      <w:r>
        <w:rPr>
          <w:i/>
          <w:color w:val="231F20"/>
        </w:rPr>
        <w:t>or</w:t>
      </w:r>
      <w:r>
        <w:rPr>
          <w:i/>
          <w:color w:val="231F20"/>
          <w:spacing w:val="40"/>
        </w:rPr>
        <w:t> </w:t>
      </w:r>
      <w:r>
        <w:rPr>
          <w:color w:val="231F20"/>
        </w:rPr>
        <w:t>data from expert committee reports, opinions from experienced clinicians.</w:t>
      </w:r>
    </w:p>
    <w:p>
      <w:pPr>
        <w:pStyle w:val="BodyText"/>
        <w:ind w:left="486" w:right="705" w:firstLine="130"/>
      </w:pPr>
      <w:r>
        <w:rPr>
          <w:color w:val="231F20"/>
        </w:rPr>
        <w:t>AAN, American Academy of Neurology; ACTH, adrenocorticotropic hormone; BCECT, benign childhood epilepsy with centrotemporal spikes; CBZ, carbamazepine;</w:t>
      </w:r>
      <w:r>
        <w:rPr>
          <w:color w:val="231F20"/>
          <w:spacing w:val="40"/>
        </w:rPr>
        <w:t> </w:t>
      </w:r>
      <w:r>
        <w:rPr>
          <w:color w:val="231F20"/>
        </w:rPr>
        <w:t>CLB, clobazam; CZP, clonazepam; ESM, ethosuximide; FDA, Food and Drug Administration; FLB, felbamate; GBP, gabapentin; ILAE, International League against</w:t>
      </w:r>
      <w:r>
        <w:rPr>
          <w:color w:val="231F20"/>
          <w:spacing w:val="40"/>
        </w:rPr>
        <w:t> </w:t>
      </w:r>
      <w:r>
        <w:rPr>
          <w:color w:val="231F20"/>
        </w:rPr>
        <w:t>Epilepsy; LEV, levetiracetam; LTG, lamotrigine; NICE, National Institute for Clinical Excellence; OXC, oxcarbazepine; PB, phenobarbital; PHT, phenytoin; SIGN,</w:t>
      </w:r>
      <w:r>
        <w:rPr>
          <w:color w:val="231F20"/>
          <w:spacing w:val="40"/>
        </w:rPr>
        <w:t> </w:t>
      </w:r>
      <w:r>
        <w:rPr>
          <w:color w:val="231F20"/>
        </w:rPr>
        <w:t>Scottish Intercollegiate Guidelines Network; STM, sulthiame; TPM, topiramate; VGB, vigabatrin; VPA, valproic acid; ZNS, zonisamide.</w:t>
      </w:r>
    </w:p>
    <w:p>
      <w:pPr>
        <w:spacing w:line="237" w:lineRule="auto" w:before="0"/>
        <w:ind w:left="486" w:right="705" w:firstLine="130"/>
        <w:jc w:val="left"/>
        <w:rPr>
          <w:i/>
          <w:sz w:val="13"/>
        </w:rPr>
      </w:pPr>
      <w:r>
        <w:rPr>
          <w:i/>
          <w:color w:val="231F20"/>
          <w:sz w:val="13"/>
        </w:rPr>
        <w:t>Modified</w:t>
      </w:r>
      <w:r>
        <w:rPr>
          <w:i/>
          <w:color w:val="231F20"/>
          <w:spacing w:val="-3"/>
          <w:sz w:val="13"/>
        </w:rPr>
        <w:t> </w:t>
      </w:r>
      <w:r>
        <w:rPr>
          <w:i/>
          <w:color w:val="231F20"/>
          <w:sz w:val="13"/>
        </w:rPr>
        <w:t>and</w:t>
      </w:r>
      <w:r>
        <w:rPr>
          <w:i/>
          <w:color w:val="231F20"/>
          <w:spacing w:val="-3"/>
          <w:sz w:val="13"/>
        </w:rPr>
        <w:t> </w:t>
      </w:r>
      <w:r>
        <w:rPr>
          <w:i/>
          <w:color w:val="231F20"/>
          <w:sz w:val="13"/>
        </w:rPr>
        <w:t>updated</w:t>
      </w:r>
      <w:r>
        <w:rPr>
          <w:i/>
          <w:color w:val="231F20"/>
          <w:spacing w:val="-3"/>
          <w:sz w:val="13"/>
        </w:rPr>
        <w:t> </w:t>
      </w:r>
      <w:r>
        <w:rPr>
          <w:i/>
          <w:color w:val="231F20"/>
          <w:sz w:val="13"/>
        </w:rPr>
        <w:t>from</w:t>
      </w:r>
      <w:r>
        <w:rPr>
          <w:i/>
          <w:color w:val="231F20"/>
          <w:spacing w:val="-3"/>
          <w:sz w:val="13"/>
        </w:rPr>
        <w:t> </w:t>
      </w:r>
      <w:r>
        <w:rPr>
          <w:i/>
          <w:color w:val="231F20"/>
          <w:sz w:val="13"/>
        </w:rPr>
        <w:t>Wheless</w:t>
      </w:r>
      <w:r>
        <w:rPr>
          <w:i/>
          <w:color w:val="231F20"/>
          <w:spacing w:val="-3"/>
          <w:sz w:val="13"/>
        </w:rPr>
        <w:t> </w:t>
      </w:r>
      <w:r>
        <w:rPr>
          <w:i/>
          <w:color w:val="231F20"/>
          <w:sz w:val="13"/>
        </w:rPr>
        <w:t>JW,</w:t>
      </w:r>
      <w:r>
        <w:rPr>
          <w:i/>
          <w:color w:val="231F20"/>
          <w:spacing w:val="-3"/>
          <w:sz w:val="13"/>
        </w:rPr>
        <w:t> </w:t>
      </w:r>
      <w:r>
        <w:rPr>
          <w:i/>
          <w:color w:val="231F20"/>
          <w:sz w:val="13"/>
        </w:rPr>
        <w:t>Clarke</w:t>
      </w:r>
      <w:r>
        <w:rPr>
          <w:i/>
          <w:color w:val="231F20"/>
          <w:spacing w:val="-3"/>
          <w:sz w:val="13"/>
        </w:rPr>
        <w:t> </w:t>
      </w:r>
      <w:r>
        <w:rPr>
          <w:i/>
          <w:color w:val="231F20"/>
          <w:sz w:val="13"/>
        </w:rPr>
        <w:t>DF,</w:t>
      </w:r>
      <w:r>
        <w:rPr>
          <w:i/>
          <w:color w:val="231F20"/>
          <w:spacing w:val="-3"/>
          <w:sz w:val="13"/>
        </w:rPr>
        <w:t> </w:t>
      </w:r>
      <w:r>
        <w:rPr>
          <w:i/>
          <w:color w:val="231F20"/>
          <w:sz w:val="13"/>
        </w:rPr>
        <w:t>Arzimanoglou</w:t>
      </w:r>
      <w:r>
        <w:rPr>
          <w:i/>
          <w:color w:val="231F20"/>
          <w:spacing w:val="-3"/>
          <w:sz w:val="13"/>
        </w:rPr>
        <w:t> </w:t>
      </w:r>
      <w:r>
        <w:rPr>
          <w:i/>
          <w:color w:val="231F20"/>
          <w:sz w:val="13"/>
        </w:rPr>
        <w:t>A,</w:t>
      </w:r>
      <w:r>
        <w:rPr>
          <w:i/>
          <w:color w:val="231F20"/>
          <w:spacing w:val="-3"/>
          <w:sz w:val="13"/>
        </w:rPr>
        <w:t> </w:t>
      </w:r>
      <w:r>
        <w:rPr>
          <w:i/>
          <w:color w:val="231F20"/>
          <w:sz w:val="13"/>
        </w:rPr>
        <w:t>et</w:t>
      </w:r>
      <w:r>
        <w:rPr>
          <w:i/>
          <w:color w:val="231F20"/>
          <w:spacing w:val="-3"/>
          <w:sz w:val="13"/>
        </w:rPr>
        <w:t> </w:t>
      </w:r>
      <w:r>
        <w:rPr>
          <w:i/>
          <w:color w:val="231F20"/>
          <w:sz w:val="13"/>
        </w:rPr>
        <w:t>al:</w:t>
      </w:r>
      <w:r>
        <w:rPr>
          <w:i/>
          <w:color w:val="231F20"/>
          <w:spacing w:val="-3"/>
          <w:sz w:val="13"/>
        </w:rPr>
        <w:t> </w:t>
      </w:r>
      <w:r>
        <w:rPr>
          <w:i/>
          <w:color w:val="231F20"/>
          <w:sz w:val="13"/>
        </w:rPr>
        <w:t>Treatment</w:t>
      </w:r>
      <w:r>
        <w:rPr>
          <w:i/>
          <w:color w:val="231F20"/>
          <w:spacing w:val="-3"/>
          <w:sz w:val="13"/>
        </w:rPr>
        <w:t> </w:t>
      </w:r>
      <w:r>
        <w:rPr>
          <w:i/>
          <w:color w:val="231F20"/>
          <w:sz w:val="13"/>
        </w:rPr>
        <w:t>of</w:t>
      </w:r>
      <w:r>
        <w:rPr>
          <w:i/>
          <w:color w:val="231F20"/>
          <w:spacing w:val="-3"/>
          <w:sz w:val="13"/>
        </w:rPr>
        <w:t> </w:t>
      </w:r>
      <w:r>
        <w:rPr>
          <w:i/>
          <w:color w:val="231F20"/>
          <w:sz w:val="13"/>
        </w:rPr>
        <w:t>pediatric</w:t>
      </w:r>
      <w:r>
        <w:rPr>
          <w:i/>
          <w:color w:val="231F20"/>
          <w:spacing w:val="-3"/>
          <w:sz w:val="13"/>
        </w:rPr>
        <w:t> </w:t>
      </w:r>
      <w:r>
        <w:rPr>
          <w:i/>
          <w:color w:val="231F20"/>
          <w:sz w:val="13"/>
        </w:rPr>
        <w:t>epilepsy:</w:t>
      </w:r>
      <w:r>
        <w:rPr>
          <w:i/>
          <w:color w:val="231F20"/>
          <w:spacing w:val="-3"/>
          <w:sz w:val="13"/>
        </w:rPr>
        <w:t> </w:t>
      </w:r>
      <w:r>
        <w:rPr>
          <w:i/>
          <w:color w:val="231F20"/>
          <w:sz w:val="13"/>
        </w:rPr>
        <w:t>European</w:t>
      </w:r>
      <w:r>
        <w:rPr>
          <w:i/>
          <w:color w:val="231F20"/>
          <w:spacing w:val="-3"/>
          <w:sz w:val="13"/>
        </w:rPr>
        <w:t> </w:t>
      </w:r>
      <w:r>
        <w:rPr>
          <w:i/>
          <w:color w:val="231F20"/>
          <w:sz w:val="13"/>
        </w:rPr>
        <w:t>expert</w:t>
      </w:r>
      <w:r>
        <w:rPr>
          <w:i/>
          <w:color w:val="231F20"/>
          <w:spacing w:val="-3"/>
          <w:sz w:val="13"/>
        </w:rPr>
        <w:t> </w:t>
      </w:r>
      <w:r>
        <w:rPr>
          <w:i/>
          <w:color w:val="231F20"/>
          <w:sz w:val="13"/>
        </w:rPr>
        <w:t>opinion,</w:t>
      </w:r>
      <w:r>
        <w:rPr>
          <w:i/>
          <w:color w:val="231F20"/>
          <w:spacing w:val="-3"/>
          <w:sz w:val="13"/>
        </w:rPr>
        <w:t> </w:t>
      </w:r>
      <w:r>
        <w:rPr>
          <w:color w:val="231F20"/>
          <w:sz w:val="13"/>
        </w:rPr>
        <w:t>Epileptic</w:t>
      </w:r>
      <w:r>
        <w:rPr>
          <w:color w:val="231F20"/>
          <w:spacing w:val="-3"/>
          <w:sz w:val="13"/>
        </w:rPr>
        <w:t> </w:t>
      </w:r>
      <w:r>
        <w:rPr>
          <w:color w:val="231F20"/>
          <w:sz w:val="13"/>
        </w:rPr>
        <w:t>Disord</w:t>
      </w:r>
      <w:r>
        <w:rPr>
          <w:color w:val="231F20"/>
          <w:spacing w:val="-3"/>
          <w:sz w:val="13"/>
        </w:rPr>
        <w:t> </w:t>
      </w:r>
      <w:r>
        <w:rPr>
          <w:i/>
          <w:color w:val="231F20"/>
          <w:sz w:val="13"/>
        </w:rPr>
        <w:t>9:353–412,</w:t>
      </w:r>
      <w:r>
        <w:rPr>
          <w:i/>
          <w:color w:val="231F20"/>
          <w:spacing w:val="40"/>
          <w:sz w:val="13"/>
        </w:rPr>
        <w:t> </w:t>
      </w:r>
      <w:r>
        <w:rPr>
          <w:i/>
          <w:color w:val="231F20"/>
          <w:sz w:val="13"/>
        </w:rPr>
        <w:t>2007; and Perucca E, Tomson T; ILAE Subcommission on AED Guidelines. Updated ILAE evidence review of antiepileptic drug efficacy and effectiveness as initial</w:t>
      </w:r>
      <w:r>
        <w:rPr>
          <w:i/>
          <w:color w:val="231F20"/>
          <w:spacing w:val="40"/>
          <w:sz w:val="13"/>
        </w:rPr>
        <w:t> </w:t>
      </w:r>
      <w:r>
        <w:rPr>
          <w:i/>
          <w:color w:val="231F20"/>
          <w:sz w:val="13"/>
        </w:rPr>
        <w:t>monotherapy for epileptic seizures and syndromes. </w:t>
      </w:r>
      <w:r>
        <w:rPr>
          <w:color w:val="231F20"/>
          <w:sz w:val="13"/>
        </w:rPr>
        <w:t>Epilepsia </w:t>
      </w:r>
      <w:r>
        <w:rPr>
          <w:i/>
          <w:color w:val="231F20"/>
          <w:sz w:val="13"/>
        </w:rPr>
        <w:t>54(3):551–563, 2013.</w:t>
      </w:r>
    </w:p>
    <w:p>
      <w:pPr>
        <w:spacing w:after="0" w:line="237" w:lineRule="auto"/>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27" name="Group 627"/>
                <wp:cNvGraphicFramePr>
                  <a:graphicFrameLocks/>
                </wp:cNvGraphicFramePr>
                <a:graphic>
                  <a:graphicData uri="http://schemas.microsoft.com/office/word/2010/wordprocessingGroup">
                    <wpg:wgp>
                      <wpg:cNvPr id="627" name="Group 627"/>
                      <wpg:cNvGrpSpPr/>
                      <wpg:grpSpPr>
                        <a:xfrm>
                          <a:off x="0" y="0"/>
                          <a:ext cx="6185535" cy="170815"/>
                          <a:chExt cx="6185535" cy="170815"/>
                        </a:xfrm>
                      </wpg:grpSpPr>
                      <wps:wsp>
                        <wps:cNvPr id="628" name="Graphic 628"/>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29" name="Graphic 629"/>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30" name="Textbox 630"/>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2844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45"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46" filled="false" stroked="false">
                  <v:textbox inset="0,0,0,0">
                    <w:txbxContent>
                      <w:p>
                        <w:pPr>
                          <w:spacing w:before="6"/>
                          <w:ind w:left="-1" w:right="0" w:firstLine="0"/>
                          <w:jc w:val="left"/>
                          <w:rPr>
                            <w:sz w:val="18"/>
                          </w:rPr>
                        </w:pPr>
                        <w:r>
                          <w:rPr>
                            <w:b/>
                            <w:color w:val="231F20"/>
                            <w:w w:val="105"/>
                            <w:sz w:val="18"/>
                          </w:rPr>
                          <w:t>2844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20"/>
        <w:rPr>
          <w:i/>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8"/>
        <w:gridCol w:w="2471"/>
        <w:gridCol w:w="4181"/>
        <w:gridCol w:w="1865"/>
      </w:tblGrid>
      <w:tr>
        <w:trPr>
          <w:trHeight w:val="354" w:hRule="atLeast"/>
        </w:trPr>
        <w:tc>
          <w:tcPr>
            <w:tcW w:w="1268" w:type="dxa"/>
            <w:tcBorders>
              <w:right w:val="single" w:sz="8" w:space="0" w:color="FFFFFF"/>
            </w:tcBorders>
            <w:shd w:val="clear" w:color="auto" w:fill="231F20"/>
          </w:tcPr>
          <w:p>
            <w:pPr>
              <w:pStyle w:val="TableParagraph"/>
              <w:spacing w:before="89"/>
              <w:ind w:left="157"/>
              <w:rPr>
                <w:b/>
                <w:sz w:val="16"/>
              </w:rPr>
            </w:pPr>
            <w:r>
              <w:rPr>
                <w:b/>
                <w:color w:val="FFFFFF"/>
                <w:sz w:val="16"/>
              </w:rPr>
              <w:t>Table</w:t>
            </w:r>
            <w:r>
              <w:rPr>
                <w:b/>
                <w:color w:val="FFFFFF"/>
                <w:spacing w:val="25"/>
                <w:sz w:val="16"/>
              </w:rPr>
              <w:t> </w:t>
            </w:r>
            <w:r>
              <w:rPr>
                <w:b/>
                <w:color w:val="FFFFFF"/>
                <w:sz w:val="16"/>
              </w:rPr>
              <w:t>593-</w:t>
            </w:r>
            <w:r>
              <w:rPr>
                <w:b/>
                <w:color w:val="FFFFFF"/>
                <w:spacing w:val="-5"/>
                <w:sz w:val="16"/>
              </w:rPr>
              <w:t>12</w:t>
            </w:r>
          </w:p>
        </w:tc>
        <w:tc>
          <w:tcPr>
            <w:tcW w:w="8517" w:type="dxa"/>
            <w:gridSpan w:val="3"/>
            <w:tcBorders>
              <w:left w:val="single" w:sz="8" w:space="0" w:color="FFFFFF"/>
            </w:tcBorders>
            <w:shd w:val="clear" w:color="auto" w:fill="231F20"/>
          </w:tcPr>
          <w:p>
            <w:pPr>
              <w:pStyle w:val="TableParagraph"/>
              <w:spacing w:before="89"/>
              <w:ind w:left="74"/>
              <w:rPr>
                <w:sz w:val="16"/>
              </w:rPr>
            </w:pPr>
            <w:r>
              <w:rPr>
                <w:color w:val="FFFFFF"/>
                <w:w w:val="105"/>
                <w:sz w:val="16"/>
              </w:rPr>
              <w:t>Teratogenesis</w:t>
            </w:r>
            <w:r>
              <w:rPr>
                <w:color w:val="FFFFFF"/>
                <w:spacing w:val="7"/>
                <w:w w:val="105"/>
                <w:sz w:val="16"/>
              </w:rPr>
              <w:t> </w:t>
            </w:r>
            <w:r>
              <w:rPr>
                <w:color w:val="FFFFFF"/>
                <w:w w:val="105"/>
                <w:sz w:val="16"/>
              </w:rPr>
              <w:t>and</w:t>
            </w:r>
            <w:r>
              <w:rPr>
                <w:color w:val="FFFFFF"/>
                <w:spacing w:val="8"/>
                <w:w w:val="105"/>
                <w:sz w:val="16"/>
              </w:rPr>
              <w:t> </w:t>
            </w:r>
            <w:r>
              <w:rPr>
                <w:color w:val="FFFFFF"/>
                <w:w w:val="105"/>
                <w:sz w:val="16"/>
              </w:rPr>
              <w:t>Perinatal</w:t>
            </w:r>
            <w:r>
              <w:rPr>
                <w:color w:val="FFFFFF"/>
                <w:spacing w:val="7"/>
                <w:w w:val="105"/>
                <w:sz w:val="16"/>
              </w:rPr>
              <w:t> </w:t>
            </w:r>
            <w:r>
              <w:rPr>
                <w:color w:val="FFFFFF"/>
                <w:w w:val="105"/>
                <w:sz w:val="16"/>
              </w:rPr>
              <w:t>Outcomes</w:t>
            </w:r>
            <w:r>
              <w:rPr>
                <w:color w:val="FFFFFF"/>
                <w:spacing w:val="8"/>
                <w:w w:val="105"/>
                <w:sz w:val="16"/>
              </w:rPr>
              <w:t> </w:t>
            </w:r>
            <w:r>
              <w:rPr>
                <w:color w:val="FFFFFF"/>
                <w:w w:val="105"/>
                <w:sz w:val="16"/>
              </w:rPr>
              <w:t>of</w:t>
            </w:r>
            <w:r>
              <w:rPr>
                <w:color w:val="FFFFFF"/>
                <w:spacing w:val="7"/>
                <w:w w:val="105"/>
                <w:sz w:val="16"/>
              </w:rPr>
              <w:t> </w:t>
            </w:r>
            <w:r>
              <w:rPr>
                <w:color w:val="FFFFFF"/>
                <w:w w:val="105"/>
                <w:sz w:val="16"/>
              </w:rPr>
              <w:t>Antiepileptic</w:t>
            </w:r>
            <w:r>
              <w:rPr>
                <w:color w:val="FFFFFF"/>
                <w:spacing w:val="8"/>
                <w:w w:val="105"/>
                <w:sz w:val="16"/>
              </w:rPr>
              <w:t> </w:t>
            </w:r>
            <w:r>
              <w:rPr>
                <w:color w:val="FFFFFF"/>
                <w:spacing w:val="-2"/>
                <w:w w:val="105"/>
                <w:sz w:val="16"/>
              </w:rPr>
              <w:t>Drugs</w:t>
            </w:r>
          </w:p>
        </w:tc>
      </w:tr>
      <w:tr>
        <w:trPr>
          <w:trHeight w:val="444" w:hRule="atLeast"/>
        </w:trPr>
        <w:tc>
          <w:tcPr>
            <w:tcW w:w="3739" w:type="dxa"/>
            <w:gridSpan w:val="2"/>
            <w:tcBorders>
              <w:bottom w:val="single" w:sz="4" w:space="0" w:color="231F20"/>
            </w:tcBorders>
            <w:shd w:val="clear" w:color="auto" w:fill="E8F5F1"/>
          </w:tcPr>
          <w:p>
            <w:pPr>
              <w:pStyle w:val="TableParagraph"/>
              <w:spacing w:before="59"/>
              <w:rPr>
                <w:i/>
                <w:sz w:val="15"/>
              </w:rPr>
            </w:pPr>
          </w:p>
          <w:p>
            <w:pPr>
              <w:pStyle w:val="TableParagraph"/>
              <w:ind w:left="120"/>
              <w:rPr>
                <w:b/>
                <w:sz w:val="15"/>
              </w:rPr>
            </w:pPr>
            <w:r>
              <w:rPr>
                <w:b/>
                <w:color w:val="231F20"/>
                <w:spacing w:val="-2"/>
                <w:w w:val="115"/>
                <w:sz w:val="15"/>
              </w:rPr>
              <w:t>FINDING</w:t>
            </w:r>
          </w:p>
        </w:tc>
        <w:tc>
          <w:tcPr>
            <w:tcW w:w="4181" w:type="dxa"/>
            <w:tcBorders>
              <w:bottom w:val="single" w:sz="4" w:space="0" w:color="231F20"/>
            </w:tcBorders>
            <w:shd w:val="clear" w:color="auto" w:fill="E8F5F1"/>
          </w:tcPr>
          <w:p>
            <w:pPr>
              <w:pStyle w:val="TableParagraph"/>
              <w:spacing w:before="59"/>
              <w:rPr>
                <w:i/>
                <w:sz w:val="15"/>
              </w:rPr>
            </w:pPr>
          </w:p>
          <w:p>
            <w:pPr>
              <w:pStyle w:val="TableParagraph"/>
              <w:ind w:left="1334"/>
              <w:rPr>
                <w:b/>
                <w:sz w:val="15"/>
              </w:rPr>
            </w:pPr>
            <w:r>
              <w:rPr>
                <w:b/>
                <w:color w:val="231F20"/>
                <w:spacing w:val="-2"/>
                <w:w w:val="115"/>
                <w:sz w:val="15"/>
              </w:rPr>
              <w:t>RECOMMENDATION</w:t>
            </w:r>
          </w:p>
        </w:tc>
        <w:tc>
          <w:tcPr>
            <w:tcW w:w="1865" w:type="dxa"/>
            <w:tcBorders>
              <w:bottom w:val="single" w:sz="4" w:space="0" w:color="231F20"/>
            </w:tcBorders>
            <w:shd w:val="clear" w:color="auto" w:fill="E8F5F1"/>
          </w:tcPr>
          <w:p>
            <w:pPr>
              <w:pStyle w:val="TableParagraph"/>
              <w:spacing w:line="230" w:lineRule="auto" w:before="71"/>
              <w:ind w:left="277" w:firstLine="397"/>
              <w:rPr>
                <w:b/>
                <w:sz w:val="15"/>
              </w:rPr>
            </w:pPr>
            <w:r>
              <w:rPr>
                <w:b/>
                <w:color w:val="231F20"/>
                <w:w w:val="110"/>
                <w:sz w:val="15"/>
              </w:rPr>
              <w:t>LEVEL OF </w:t>
            </w:r>
            <w:r>
              <w:rPr>
                <w:b/>
                <w:color w:val="231F20"/>
                <w:spacing w:val="-2"/>
                <w:w w:val="110"/>
                <w:sz w:val="15"/>
              </w:rPr>
              <w:t>RECOMMENDATION</w:t>
            </w:r>
          </w:p>
        </w:tc>
      </w:tr>
      <w:tr>
        <w:trPr>
          <w:trHeight w:val="761" w:hRule="atLeast"/>
        </w:trPr>
        <w:tc>
          <w:tcPr>
            <w:tcW w:w="3739" w:type="dxa"/>
            <w:gridSpan w:val="2"/>
            <w:tcBorders>
              <w:top w:val="single" w:sz="4" w:space="0" w:color="231F20"/>
              <w:bottom w:val="single" w:sz="4" w:space="0" w:color="FFFFFF"/>
            </w:tcBorders>
            <w:shd w:val="clear" w:color="auto" w:fill="E8F5F1"/>
          </w:tcPr>
          <w:p>
            <w:pPr>
              <w:pStyle w:val="TableParagraph"/>
              <w:spacing w:line="230" w:lineRule="auto" w:before="52"/>
              <w:ind w:left="232" w:right="270" w:hanging="112"/>
              <w:rPr>
                <w:sz w:val="15"/>
              </w:rPr>
            </w:pPr>
            <w:r>
              <w:rPr>
                <w:color w:val="231F20"/>
                <w:sz w:val="15"/>
              </w:rPr>
              <w:t>VPA as part of polytherapy and possibly monotherapy probably contributes to the development</w:t>
            </w:r>
            <w:r>
              <w:rPr>
                <w:color w:val="231F20"/>
                <w:spacing w:val="-12"/>
                <w:sz w:val="15"/>
              </w:rPr>
              <w:t> </w:t>
            </w:r>
            <w:r>
              <w:rPr>
                <w:color w:val="231F20"/>
                <w:sz w:val="15"/>
              </w:rPr>
              <w:t>of</w:t>
            </w:r>
            <w:r>
              <w:rPr>
                <w:color w:val="231F20"/>
                <w:spacing w:val="-11"/>
                <w:sz w:val="15"/>
              </w:rPr>
              <w:t> </w:t>
            </w:r>
            <w:r>
              <w:rPr>
                <w:color w:val="231F20"/>
                <w:sz w:val="15"/>
              </w:rPr>
              <w:t>major</w:t>
            </w:r>
            <w:r>
              <w:rPr>
                <w:color w:val="231F20"/>
                <w:spacing w:val="-11"/>
                <w:sz w:val="15"/>
              </w:rPr>
              <w:t> </w:t>
            </w:r>
            <w:r>
              <w:rPr>
                <w:color w:val="231F20"/>
                <w:sz w:val="15"/>
              </w:rPr>
              <w:t>congenital</w:t>
            </w:r>
            <w:r>
              <w:rPr>
                <w:color w:val="231F20"/>
                <w:spacing w:val="-12"/>
                <w:sz w:val="15"/>
              </w:rPr>
              <w:t> </w:t>
            </w:r>
            <w:r>
              <w:rPr>
                <w:color w:val="231F20"/>
                <w:sz w:val="15"/>
              </w:rPr>
              <w:t>malformations and adverse cognitive outcome</w:t>
            </w:r>
          </w:p>
        </w:tc>
        <w:tc>
          <w:tcPr>
            <w:tcW w:w="4181" w:type="dxa"/>
            <w:tcBorders>
              <w:top w:val="single" w:sz="4" w:space="0" w:color="231F20"/>
              <w:bottom w:val="single" w:sz="4" w:space="0" w:color="FFFFFF"/>
            </w:tcBorders>
            <w:shd w:val="clear" w:color="auto" w:fill="E8F5F1"/>
          </w:tcPr>
          <w:p>
            <w:pPr>
              <w:pStyle w:val="TableParagraph"/>
              <w:spacing w:line="230" w:lineRule="auto" w:before="52"/>
              <w:ind w:left="389" w:right="264" w:hanging="112"/>
              <w:rPr>
                <w:sz w:val="15"/>
              </w:rPr>
            </w:pPr>
            <w:r>
              <w:rPr>
                <w:color w:val="231F20"/>
                <w:sz w:val="15"/>
              </w:rPr>
              <w:t>If</w:t>
            </w:r>
            <w:r>
              <w:rPr>
                <w:color w:val="231F20"/>
                <w:spacing w:val="-8"/>
                <w:sz w:val="15"/>
              </w:rPr>
              <w:t> </w:t>
            </w:r>
            <w:r>
              <w:rPr>
                <w:color w:val="231F20"/>
                <w:sz w:val="15"/>
              </w:rPr>
              <w:t>possible,</w:t>
            </w:r>
            <w:r>
              <w:rPr>
                <w:color w:val="231F20"/>
                <w:spacing w:val="-8"/>
                <w:sz w:val="15"/>
              </w:rPr>
              <w:t> </w:t>
            </w:r>
            <w:r>
              <w:rPr>
                <w:color w:val="231F20"/>
                <w:sz w:val="15"/>
              </w:rPr>
              <w:t>avoidance</w:t>
            </w:r>
            <w:r>
              <w:rPr>
                <w:color w:val="231F20"/>
                <w:spacing w:val="-8"/>
                <w:sz w:val="15"/>
              </w:rPr>
              <w:t> </w:t>
            </w:r>
            <w:r>
              <w:rPr>
                <w:color w:val="231F20"/>
                <w:sz w:val="15"/>
              </w:rPr>
              <w:t>of</w:t>
            </w:r>
            <w:r>
              <w:rPr>
                <w:color w:val="231F20"/>
                <w:spacing w:val="-8"/>
                <w:sz w:val="15"/>
              </w:rPr>
              <w:t> </w:t>
            </w:r>
            <w:r>
              <w:rPr>
                <w:color w:val="231F20"/>
                <w:sz w:val="15"/>
              </w:rPr>
              <w:t>valproate</w:t>
            </w:r>
            <w:r>
              <w:rPr>
                <w:color w:val="231F20"/>
                <w:spacing w:val="-8"/>
                <w:sz w:val="15"/>
              </w:rPr>
              <w:t> </w:t>
            </w:r>
            <w:r>
              <w:rPr>
                <w:color w:val="231F20"/>
                <w:sz w:val="15"/>
              </w:rPr>
              <w:t>polytherapy</w:t>
            </w:r>
            <w:r>
              <w:rPr>
                <w:color w:val="231F20"/>
                <w:spacing w:val="-8"/>
                <w:sz w:val="15"/>
              </w:rPr>
              <w:t> </w:t>
            </w:r>
            <w:r>
              <w:rPr>
                <w:color w:val="231F20"/>
                <w:sz w:val="15"/>
              </w:rPr>
              <w:t>during the</w:t>
            </w:r>
            <w:r>
              <w:rPr>
                <w:color w:val="231F20"/>
                <w:spacing w:val="-6"/>
                <w:sz w:val="15"/>
              </w:rPr>
              <w:t> </w:t>
            </w:r>
            <w:r>
              <w:rPr>
                <w:color w:val="231F20"/>
                <w:sz w:val="15"/>
              </w:rPr>
              <w:t>1st</w:t>
            </w:r>
            <w:r>
              <w:rPr>
                <w:color w:val="231F20"/>
                <w:spacing w:val="-6"/>
                <w:sz w:val="15"/>
              </w:rPr>
              <w:t> </w:t>
            </w:r>
            <w:r>
              <w:rPr>
                <w:color w:val="231F20"/>
                <w:sz w:val="15"/>
              </w:rPr>
              <w:t>trimester</w:t>
            </w:r>
            <w:r>
              <w:rPr>
                <w:color w:val="231F20"/>
                <w:spacing w:val="-6"/>
                <w:sz w:val="15"/>
              </w:rPr>
              <w:t> </w:t>
            </w:r>
            <w:r>
              <w:rPr>
                <w:color w:val="231F20"/>
                <w:sz w:val="15"/>
              </w:rPr>
              <w:t>of</w:t>
            </w:r>
            <w:r>
              <w:rPr>
                <w:color w:val="231F20"/>
                <w:spacing w:val="-6"/>
                <w:sz w:val="15"/>
              </w:rPr>
              <w:t> </w:t>
            </w:r>
            <w:r>
              <w:rPr>
                <w:color w:val="231F20"/>
                <w:sz w:val="15"/>
              </w:rPr>
              <w:t>pregnancy</w:t>
            </w:r>
            <w:r>
              <w:rPr>
                <w:color w:val="231F20"/>
                <w:spacing w:val="-6"/>
                <w:sz w:val="15"/>
              </w:rPr>
              <w:t> </w:t>
            </w:r>
            <w:r>
              <w:rPr>
                <w:color w:val="231F20"/>
                <w:sz w:val="15"/>
              </w:rPr>
              <w:t>should</w:t>
            </w:r>
            <w:r>
              <w:rPr>
                <w:color w:val="231F20"/>
                <w:spacing w:val="-6"/>
                <w:sz w:val="15"/>
              </w:rPr>
              <w:t> </w:t>
            </w:r>
            <w:r>
              <w:rPr>
                <w:color w:val="231F20"/>
                <w:sz w:val="15"/>
              </w:rPr>
              <w:t>be</w:t>
            </w:r>
            <w:r>
              <w:rPr>
                <w:color w:val="231F20"/>
                <w:spacing w:val="-6"/>
                <w:sz w:val="15"/>
              </w:rPr>
              <w:t> </w:t>
            </w:r>
            <w:r>
              <w:rPr>
                <w:color w:val="231F20"/>
                <w:sz w:val="15"/>
              </w:rPr>
              <w:t>considered so as to decrease the risk of major congenital malformations and adverse cognitive outcome</w:t>
            </w:r>
          </w:p>
        </w:tc>
        <w:tc>
          <w:tcPr>
            <w:tcW w:w="1865" w:type="dxa"/>
            <w:tcBorders>
              <w:top w:val="single" w:sz="4" w:space="0" w:color="231F20"/>
              <w:bottom w:val="single" w:sz="4" w:space="0" w:color="FFFFFF"/>
            </w:tcBorders>
            <w:shd w:val="clear" w:color="auto" w:fill="E8F5F1"/>
          </w:tcPr>
          <w:p>
            <w:pPr>
              <w:pStyle w:val="TableParagraph"/>
              <w:spacing w:before="47"/>
              <w:ind w:right="781"/>
              <w:jc w:val="right"/>
              <w:rPr>
                <w:sz w:val="15"/>
              </w:rPr>
            </w:pPr>
            <w:r>
              <w:rPr>
                <w:color w:val="231F20"/>
                <w:spacing w:val="-10"/>
                <w:w w:val="110"/>
                <w:sz w:val="15"/>
              </w:rPr>
              <w:t>B</w:t>
            </w:r>
          </w:p>
        </w:tc>
      </w:tr>
      <w:tr>
        <w:trPr>
          <w:trHeight w:val="756" w:hRule="atLeast"/>
        </w:trPr>
        <w:tc>
          <w:tcPr>
            <w:tcW w:w="3739" w:type="dxa"/>
            <w:gridSpan w:val="2"/>
            <w:tcBorders>
              <w:top w:val="single" w:sz="4" w:space="0" w:color="FFFFFF"/>
              <w:bottom w:val="single" w:sz="4" w:space="0" w:color="FFFFFF"/>
            </w:tcBorders>
            <w:shd w:val="clear" w:color="auto" w:fill="E8F5F1"/>
          </w:tcPr>
          <w:p>
            <w:pPr>
              <w:pStyle w:val="TableParagraph"/>
              <w:spacing w:line="230" w:lineRule="auto" w:before="48"/>
              <w:ind w:left="232" w:right="270" w:hanging="112"/>
              <w:rPr>
                <w:sz w:val="15"/>
              </w:rPr>
            </w:pPr>
            <w:r>
              <w:rPr>
                <w:color w:val="231F20"/>
                <w:sz w:val="15"/>
              </w:rPr>
              <w:t>AED polytherapy, as compared to monotherapy, regimens probably contribute to the development</w:t>
            </w:r>
            <w:r>
              <w:rPr>
                <w:color w:val="231F20"/>
                <w:spacing w:val="-12"/>
                <w:sz w:val="15"/>
              </w:rPr>
              <w:t> </w:t>
            </w:r>
            <w:r>
              <w:rPr>
                <w:color w:val="231F20"/>
                <w:sz w:val="15"/>
              </w:rPr>
              <w:t>of</w:t>
            </w:r>
            <w:r>
              <w:rPr>
                <w:color w:val="231F20"/>
                <w:spacing w:val="-11"/>
                <w:sz w:val="15"/>
              </w:rPr>
              <w:t> </w:t>
            </w:r>
            <w:r>
              <w:rPr>
                <w:color w:val="231F20"/>
                <w:sz w:val="15"/>
              </w:rPr>
              <w:t>major</w:t>
            </w:r>
            <w:r>
              <w:rPr>
                <w:color w:val="231F20"/>
                <w:spacing w:val="-11"/>
                <w:sz w:val="15"/>
              </w:rPr>
              <w:t> </w:t>
            </w:r>
            <w:r>
              <w:rPr>
                <w:color w:val="231F20"/>
                <w:sz w:val="15"/>
              </w:rPr>
              <w:t>congenital</w:t>
            </w:r>
            <w:r>
              <w:rPr>
                <w:color w:val="231F20"/>
                <w:spacing w:val="-12"/>
                <w:sz w:val="15"/>
              </w:rPr>
              <w:t> </w:t>
            </w:r>
            <w:r>
              <w:rPr>
                <w:color w:val="231F20"/>
                <w:sz w:val="15"/>
              </w:rPr>
              <w:t>malformations and to adverse cognitive outcomes</w:t>
            </w:r>
          </w:p>
        </w:tc>
        <w:tc>
          <w:tcPr>
            <w:tcW w:w="4181" w:type="dxa"/>
            <w:tcBorders>
              <w:top w:val="single" w:sz="4" w:space="0" w:color="FFFFFF"/>
              <w:bottom w:val="single" w:sz="4" w:space="0" w:color="FFFFFF"/>
            </w:tcBorders>
            <w:shd w:val="clear" w:color="auto" w:fill="E8F5F1"/>
          </w:tcPr>
          <w:p>
            <w:pPr>
              <w:pStyle w:val="TableParagraph"/>
              <w:spacing w:line="230" w:lineRule="auto" w:before="48"/>
              <w:ind w:left="389" w:right="311" w:hanging="112"/>
              <w:jc w:val="both"/>
              <w:rPr>
                <w:sz w:val="15"/>
              </w:rPr>
            </w:pPr>
            <w:r>
              <w:rPr>
                <w:color w:val="231F20"/>
                <w:sz w:val="15"/>
              </w:rPr>
              <w:t>If possible, avoidance of AED polytherapy during the 1st trimester of pregnancy should be considered to decrease</w:t>
            </w:r>
            <w:r>
              <w:rPr>
                <w:color w:val="231F20"/>
                <w:spacing w:val="-12"/>
                <w:sz w:val="15"/>
              </w:rPr>
              <w:t> </w:t>
            </w:r>
            <w:r>
              <w:rPr>
                <w:color w:val="231F20"/>
                <w:sz w:val="15"/>
              </w:rPr>
              <w:t>the</w:t>
            </w:r>
            <w:r>
              <w:rPr>
                <w:color w:val="231F20"/>
                <w:spacing w:val="-11"/>
                <w:sz w:val="15"/>
              </w:rPr>
              <w:t> </w:t>
            </w:r>
            <w:r>
              <w:rPr>
                <w:color w:val="231F20"/>
                <w:sz w:val="15"/>
              </w:rPr>
              <w:t>risk</w:t>
            </w:r>
            <w:r>
              <w:rPr>
                <w:color w:val="231F20"/>
                <w:spacing w:val="-11"/>
                <w:sz w:val="15"/>
              </w:rPr>
              <w:t> </w:t>
            </w:r>
            <w:r>
              <w:rPr>
                <w:color w:val="231F20"/>
                <w:sz w:val="15"/>
              </w:rPr>
              <w:t>of</w:t>
            </w:r>
            <w:r>
              <w:rPr>
                <w:color w:val="231F20"/>
                <w:spacing w:val="-12"/>
                <w:sz w:val="15"/>
              </w:rPr>
              <w:t> </w:t>
            </w:r>
            <w:r>
              <w:rPr>
                <w:color w:val="231F20"/>
                <w:sz w:val="15"/>
              </w:rPr>
              <w:t>major</w:t>
            </w:r>
            <w:r>
              <w:rPr>
                <w:color w:val="231F20"/>
                <w:spacing w:val="-11"/>
                <w:sz w:val="15"/>
              </w:rPr>
              <w:t> </w:t>
            </w:r>
            <w:r>
              <w:rPr>
                <w:color w:val="231F20"/>
                <w:sz w:val="15"/>
              </w:rPr>
              <w:t>congenital</w:t>
            </w:r>
            <w:r>
              <w:rPr>
                <w:color w:val="231F20"/>
                <w:spacing w:val="-11"/>
                <w:sz w:val="15"/>
              </w:rPr>
              <w:t> </w:t>
            </w:r>
            <w:r>
              <w:rPr>
                <w:color w:val="231F20"/>
                <w:sz w:val="15"/>
              </w:rPr>
              <w:t>malformations and adverse cognitive outcome</w:t>
            </w:r>
          </w:p>
        </w:tc>
        <w:tc>
          <w:tcPr>
            <w:tcW w:w="1865" w:type="dxa"/>
            <w:tcBorders>
              <w:top w:val="single" w:sz="4" w:space="0" w:color="FFFFFF"/>
              <w:bottom w:val="single" w:sz="4" w:space="0" w:color="FFFFFF"/>
            </w:tcBorders>
            <w:shd w:val="clear" w:color="auto" w:fill="E8F5F1"/>
          </w:tcPr>
          <w:p>
            <w:pPr>
              <w:pStyle w:val="TableParagraph"/>
              <w:spacing w:before="42"/>
              <w:ind w:right="781"/>
              <w:jc w:val="right"/>
              <w:rPr>
                <w:sz w:val="15"/>
              </w:rPr>
            </w:pPr>
            <w:r>
              <w:rPr>
                <w:color w:val="231F20"/>
                <w:spacing w:val="-10"/>
                <w:w w:val="110"/>
                <w:sz w:val="15"/>
              </w:rPr>
              <w:t>B</w:t>
            </w:r>
          </w:p>
        </w:tc>
      </w:tr>
      <w:tr>
        <w:trPr>
          <w:trHeight w:val="588" w:hRule="atLeast"/>
        </w:trPr>
        <w:tc>
          <w:tcPr>
            <w:tcW w:w="3739" w:type="dxa"/>
            <w:gridSpan w:val="2"/>
            <w:tcBorders>
              <w:top w:val="single" w:sz="4" w:space="0" w:color="FFFFFF"/>
              <w:bottom w:val="single" w:sz="4" w:space="0" w:color="FFFFFF"/>
            </w:tcBorders>
            <w:shd w:val="clear" w:color="auto" w:fill="E8F5F1"/>
          </w:tcPr>
          <w:p>
            <w:pPr>
              <w:pStyle w:val="TableParagraph"/>
              <w:spacing w:line="230" w:lineRule="auto" w:before="48"/>
              <w:ind w:left="232" w:right="284" w:hanging="112"/>
              <w:rPr>
                <w:sz w:val="15"/>
              </w:rPr>
            </w:pPr>
            <w:r>
              <w:rPr>
                <w:color w:val="231F20"/>
                <w:sz w:val="15"/>
              </w:rPr>
              <w:t>Monotherapy exposure to phenytoin or phenobarbital</w:t>
            </w:r>
            <w:r>
              <w:rPr>
                <w:color w:val="231F20"/>
                <w:spacing w:val="-12"/>
                <w:sz w:val="15"/>
              </w:rPr>
              <w:t> </w:t>
            </w:r>
            <w:r>
              <w:rPr>
                <w:color w:val="231F20"/>
                <w:sz w:val="15"/>
              </w:rPr>
              <w:t>possibly</w:t>
            </w:r>
            <w:r>
              <w:rPr>
                <w:color w:val="231F20"/>
                <w:spacing w:val="-11"/>
                <w:sz w:val="15"/>
              </w:rPr>
              <w:t> </w:t>
            </w:r>
            <w:r>
              <w:rPr>
                <w:color w:val="231F20"/>
                <w:sz w:val="15"/>
              </w:rPr>
              <w:t>increases</w:t>
            </w:r>
            <w:r>
              <w:rPr>
                <w:color w:val="231F20"/>
                <w:spacing w:val="-11"/>
                <w:sz w:val="15"/>
              </w:rPr>
              <w:t> </w:t>
            </w:r>
            <w:r>
              <w:rPr>
                <w:color w:val="231F20"/>
                <w:sz w:val="15"/>
              </w:rPr>
              <w:t>the</w:t>
            </w:r>
            <w:r>
              <w:rPr>
                <w:color w:val="231F20"/>
                <w:spacing w:val="-12"/>
                <w:sz w:val="15"/>
              </w:rPr>
              <w:t> </w:t>
            </w:r>
            <w:r>
              <w:rPr>
                <w:color w:val="231F20"/>
                <w:sz w:val="15"/>
              </w:rPr>
              <w:t>likelihood of adverse cognitive outcomes</w:t>
            </w:r>
          </w:p>
        </w:tc>
        <w:tc>
          <w:tcPr>
            <w:tcW w:w="4181" w:type="dxa"/>
            <w:tcBorders>
              <w:top w:val="single" w:sz="4" w:space="0" w:color="FFFFFF"/>
              <w:bottom w:val="single" w:sz="4" w:space="0" w:color="FFFFFF"/>
            </w:tcBorders>
            <w:shd w:val="clear" w:color="auto" w:fill="E8F5F1"/>
          </w:tcPr>
          <w:p>
            <w:pPr>
              <w:pStyle w:val="TableParagraph"/>
              <w:spacing w:line="230" w:lineRule="auto" w:before="48"/>
              <w:ind w:left="389" w:right="264" w:hanging="112"/>
              <w:rPr>
                <w:sz w:val="15"/>
              </w:rPr>
            </w:pPr>
            <w:r>
              <w:rPr>
                <w:color w:val="231F20"/>
                <w:sz w:val="15"/>
              </w:rPr>
              <w:t>If</w:t>
            </w:r>
            <w:r>
              <w:rPr>
                <w:color w:val="231F20"/>
                <w:spacing w:val="-7"/>
                <w:sz w:val="15"/>
              </w:rPr>
              <w:t> </w:t>
            </w:r>
            <w:r>
              <w:rPr>
                <w:color w:val="231F20"/>
                <w:sz w:val="15"/>
              </w:rPr>
              <w:t>possible,</w:t>
            </w:r>
            <w:r>
              <w:rPr>
                <w:color w:val="231F20"/>
                <w:spacing w:val="-7"/>
                <w:sz w:val="15"/>
              </w:rPr>
              <w:t> </w:t>
            </w:r>
            <w:r>
              <w:rPr>
                <w:color w:val="231F20"/>
                <w:sz w:val="15"/>
              </w:rPr>
              <w:t>avoidance</w:t>
            </w:r>
            <w:r>
              <w:rPr>
                <w:color w:val="231F20"/>
                <w:spacing w:val="-8"/>
                <w:sz w:val="15"/>
              </w:rPr>
              <w:t> </w:t>
            </w:r>
            <w:r>
              <w:rPr>
                <w:color w:val="231F20"/>
                <w:sz w:val="15"/>
              </w:rPr>
              <w:t>of</w:t>
            </w:r>
            <w:r>
              <w:rPr>
                <w:color w:val="231F20"/>
                <w:spacing w:val="-7"/>
                <w:sz w:val="15"/>
              </w:rPr>
              <w:t> </w:t>
            </w:r>
            <w:r>
              <w:rPr>
                <w:color w:val="231F20"/>
                <w:sz w:val="15"/>
              </w:rPr>
              <w:t>phenytoin</w:t>
            </w:r>
            <w:r>
              <w:rPr>
                <w:color w:val="231F20"/>
                <w:spacing w:val="-7"/>
                <w:sz w:val="15"/>
              </w:rPr>
              <w:t> </w:t>
            </w:r>
            <w:r>
              <w:rPr>
                <w:color w:val="231F20"/>
                <w:sz w:val="15"/>
              </w:rPr>
              <w:t>and</w:t>
            </w:r>
            <w:r>
              <w:rPr>
                <w:color w:val="231F20"/>
                <w:spacing w:val="-8"/>
                <w:sz w:val="15"/>
              </w:rPr>
              <w:t> </w:t>
            </w:r>
            <w:r>
              <w:rPr>
                <w:color w:val="231F20"/>
                <w:sz w:val="15"/>
              </w:rPr>
              <w:t>phenobarbital during pregnancy may be considered to prevent adverse cognitive outcomes</w:t>
            </w:r>
          </w:p>
        </w:tc>
        <w:tc>
          <w:tcPr>
            <w:tcW w:w="1865" w:type="dxa"/>
            <w:tcBorders>
              <w:top w:val="single" w:sz="4" w:space="0" w:color="FFFFFF"/>
              <w:bottom w:val="single" w:sz="4" w:space="0" w:color="FFFFFF"/>
            </w:tcBorders>
            <w:shd w:val="clear" w:color="auto" w:fill="E8F5F1"/>
          </w:tcPr>
          <w:p>
            <w:pPr>
              <w:pStyle w:val="TableParagraph"/>
              <w:spacing w:before="42"/>
              <w:ind w:right="775"/>
              <w:jc w:val="right"/>
              <w:rPr>
                <w:sz w:val="15"/>
              </w:rPr>
            </w:pPr>
            <w:r>
              <w:rPr>
                <w:color w:val="231F20"/>
                <w:spacing w:val="-10"/>
                <w:w w:val="115"/>
                <w:sz w:val="15"/>
              </w:rPr>
              <w:t>C</w:t>
            </w:r>
          </w:p>
        </w:tc>
      </w:tr>
      <w:tr>
        <w:trPr>
          <w:trHeight w:val="919" w:hRule="atLeast"/>
        </w:trPr>
        <w:tc>
          <w:tcPr>
            <w:tcW w:w="3739" w:type="dxa"/>
            <w:gridSpan w:val="2"/>
            <w:tcBorders>
              <w:top w:val="single" w:sz="4" w:space="0" w:color="FFFFFF"/>
              <w:bottom w:val="single" w:sz="8" w:space="0" w:color="231F20"/>
            </w:tcBorders>
            <w:shd w:val="clear" w:color="auto" w:fill="E8F5F1"/>
          </w:tcPr>
          <w:p>
            <w:pPr>
              <w:pStyle w:val="TableParagraph"/>
              <w:spacing w:line="230" w:lineRule="auto" w:before="48"/>
              <w:ind w:left="232" w:right="270" w:hanging="112"/>
              <w:rPr>
                <w:sz w:val="15"/>
              </w:rPr>
            </w:pPr>
            <w:r>
              <w:rPr>
                <w:color w:val="231F20"/>
                <w:sz w:val="15"/>
              </w:rPr>
              <w:t>Neonates of women with epilepsy taking AEDs probably</w:t>
            </w:r>
            <w:r>
              <w:rPr>
                <w:color w:val="231F20"/>
                <w:spacing w:val="-7"/>
                <w:sz w:val="15"/>
              </w:rPr>
              <w:t> </w:t>
            </w:r>
            <w:r>
              <w:rPr>
                <w:color w:val="231F20"/>
                <w:sz w:val="15"/>
              </w:rPr>
              <w:t>have</w:t>
            </w:r>
            <w:r>
              <w:rPr>
                <w:color w:val="231F20"/>
                <w:spacing w:val="-7"/>
                <w:sz w:val="15"/>
              </w:rPr>
              <w:t> </w:t>
            </w:r>
            <w:r>
              <w:rPr>
                <w:color w:val="231F20"/>
                <w:sz w:val="15"/>
              </w:rPr>
              <w:t>an</w:t>
            </w:r>
            <w:r>
              <w:rPr>
                <w:color w:val="231F20"/>
                <w:spacing w:val="-7"/>
                <w:sz w:val="15"/>
              </w:rPr>
              <w:t> </w:t>
            </w:r>
            <w:r>
              <w:rPr>
                <w:color w:val="231F20"/>
                <w:sz w:val="15"/>
              </w:rPr>
              <w:t>increased</w:t>
            </w:r>
            <w:r>
              <w:rPr>
                <w:color w:val="231F20"/>
                <w:spacing w:val="-7"/>
                <w:sz w:val="15"/>
              </w:rPr>
              <w:t> </w:t>
            </w:r>
            <w:r>
              <w:rPr>
                <w:color w:val="231F20"/>
                <w:sz w:val="15"/>
              </w:rPr>
              <w:t>risk</w:t>
            </w:r>
            <w:r>
              <w:rPr>
                <w:color w:val="231F20"/>
                <w:spacing w:val="-7"/>
                <w:sz w:val="15"/>
              </w:rPr>
              <w:t> </w:t>
            </w:r>
            <w:r>
              <w:rPr>
                <w:color w:val="231F20"/>
                <w:sz w:val="15"/>
              </w:rPr>
              <w:t>of</w:t>
            </w:r>
            <w:r>
              <w:rPr>
                <w:color w:val="231F20"/>
                <w:spacing w:val="-7"/>
                <w:sz w:val="15"/>
              </w:rPr>
              <w:t> </w:t>
            </w:r>
            <w:r>
              <w:rPr>
                <w:color w:val="231F20"/>
                <w:sz w:val="15"/>
              </w:rPr>
              <w:t>being</w:t>
            </w:r>
            <w:r>
              <w:rPr>
                <w:color w:val="231F20"/>
                <w:spacing w:val="-7"/>
                <w:sz w:val="15"/>
              </w:rPr>
              <w:t> </w:t>
            </w:r>
            <w:r>
              <w:rPr>
                <w:color w:val="231F20"/>
                <w:sz w:val="15"/>
              </w:rPr>
              <w:t>small for gestational age and possibly have an increased risk of a 1 min Apgar score of </w:t>
            </w:r>
            <w:r>
              <w:rPr>
                <w:rFonts w:ascii="Cambria"/>
                <w:color w:val="231F20"/>
                <w:sz w:val="15"/>
              </w:rPr>
              <w:t>&lt;</w:t>
            </w:r>
            <w:r>
              <w:rPr>
                <w:color w:val="231F20"/>
                <w:sz w:val="15"/>
              </w:rPr>
              <w:t>7</w:t>
            </w:r>
          </w:p>
        </w:tc>
        <w:tc>
          <w:tcPr>
            <w:tcW w:w="4181" w:type="dxa"/>
            <w:tcBorders>
              <w:top w:val="single" w:sz="4" w:space="0" w:color="FFFFFF"/>
              <w:bottom w:val="single" w:sz="8" w:space="0" w:color="231F20"/>
            </w:tcBorders>
            <w:shd w:val="clear" w:color="auto" w:fill="E8F5F1"/>
          </w:tcPr>
          <w:p>
            <w:pPr>
              <w:pStyle w:val="TableParagraph"/>
              <w:spacing w:line="230" w:lineRule="auto" w:before="48"/>
              <w:ind w:left="389" w:right="264" w:hanging="112"/>
              <w:rPr>
                <w:sz w:val="15"/>
              </w:rPr>
            </w:pPr>
            <w:r>
              <w:rPr>
                <w:color w:val="231F20"/>
                <w:sz w:val="15"/>
              </w:rPr>
              <w:t>Pregnancy</w:t>
            </w:r>
            <w:r>
              <w:rPr>
                <w:color w:val="231F20"/>
                <w:spacing w:val="-8"/>
                <w:sz w:val="15"/>
              </w:rPr>
              <w:t> </w:t>
            </w:r>
            <w:r>
              <w:rPr>
                <w:color w:val="231F20"/>
                <w:sz w:val="15"/>
              </w:rPr>
              <w:t>risk</w:t>
            </w:r>
            <w:r>
              <w:rPr>
                <w:color w:val="231F20"/>
                <w:spacing w:val="-8"/>
                <w:sz w:val="15"/>
              </w:rPr>
              <w:t> </w:t>
            </w:r>
            <w:r>
              <w:rPr>
                <w:color w:val="231F20"/>
                <w:sz w:val="15"/>
              </w:rPr>
              <w:t>stratification</w:t>
            </w:r>
            <w:r>
              <w:rPr>
                <w:color w:val="231F20"/>
                <w:spacing w:val="-8"/>
                <w:sz w:val="15"/>
              </w:rPr>
              <w:t> </w:t>
            </w:r>
            <w:r>
              <w:rPr>
                <w:color w:val="231F20"/>
                <w:sz w:val="15"/>
              </w:rPr>
              <w:t>should</w:t>
            </w:r>
            <w:r>
              <w:rPr>
                <w:color w:val="231F20"/>
                <w:spacing w:val="-8"/>
                <w:sz w:val="15"/>
              </w:rPr>
              <w:t> </w:t>
            </w:r>
            <w:r>
              <w:rPr>
                <w:color w:val="231F20"/>
                <w:sz w:val="15"/>
              </w:rPr>
              <w:t>reflect</w:t>
            </w:r>
            <w:r>
              <w:rPr>
                <w:color w:val="231F20"/>
                <w:spacing w:val="-8"/>
                <w:sz w:val="15"/>
              </w:rPr>
              <w:t> </w:t>
            </w:r>
            <w:r>
              <w:rPr>
                <w:color w:val="231F20"/>
                <w:sz w:val="15"/>
              </w:rPr>
              <w:t>that</w:t>
            </w:r>
            <w:r>
              <w:rPr>
                <w:color w:val="231F20"/>
                <w:spacing w:val="-8"/>
                <w:sz w:val="15"/>
              </w:rPr>
              <w:t> </w:t>
            </w:r>
            <w:r>
              <w:rPr>
                <w:color w:val="231F20"/>
                <w:sz w:val="15"/>
              </w:rPr>
              <w:t>the offspring</w:t>
            </w:r>
            <w:r>
              <w:rPr>
                <w:color w:val="231F20"/>
                <w:spacing w:val="-3"/>
                <w:sz w:val="15"/>
              </w:rPr>
              <w:t> </w:t>
            </w:r>
            <w:r>
              <w:rPr>
                <w:color w:val="231F20"/>
                <w:sz w:val="15"/>
              </w:rPr>
              <w:t>of</w:t>
            </w:r>
            <w:r>
              <w:rPr>
                <w:color w:val="231F20"/>
                <w:spacing w:val="-3"/>
                <w:sz w:val="15"/>
              </w:rPr>
              <w:t> </w:t>
            </w:r>
            <w:r>
              <w:rPr>
                <w:color w:val="231F20"/>
                <w:sz w:val="15"/>
              </w:rPr>
              <w:t>women</w:t>
            </w:r>
            <w:r>
              <w:rPr>
                <w:color w:val="231F20"/>
                <w:spacing w:val="-3"/>
                <w:sz w:val="15"/>
              </w:rPr>
              <w:t> </w:t>
            </w:r>
            <w:r>
              <w:rPr>
                <w:color w:val="231F20"/>
                <w:sz w:val="15"/>
              </w:rPr>
              <w:t>with</w:t>
            </w:r>
            <w:r>
              <w:rPr>
                <w:color w:val="231F20"/>
                <w:spacing w:val="-3"/>
                <w:sz w:val="15"/>
              </w:rPr>
              <w:t> </w:t>
            </w:r>
            <w:r>
              <w:rPr>
                <w:color w:val="231F20"/>
                <w:sz w:val="15"/>
              </w:rPr>
              <w:t>epilepsy</w:t>
            </w:r>
            <w:r>
              <w:rPr>
                <w:color w:val="231F20"/>
                <w:spacing w:val="-3"/>
                <w:sz w:val="15"/>
              </w:rPr>
              <w:t> </w:t>
            </w:r>
            <w:r>
              <w:rPr>
                <w:color w:val="231F20"/>
                <w:sz w:val="15"/>
              </w:rPr>
              <w:t>taking</w:t>
            </w:r>
            <w:r>
              <w:rPr>
                <w:color w:val="231F20"/>
                <w:spacing w:val="-3"/>
                <w:sz w:val="15"/>
              </w:rPr>
              <w:t> </w:t>
            </w:r>
            <w:r>
              <w:rPr>
                <w:color w:val="231F20"/>
                <w:sz w:val="15"/>
              </w:rPr>
              <w:t>AEDs</w:t>
            </w:r>
            <w:r>
              <w:rPr>
                <w:color w:val="231F20"/>
                <w:spacing w:val="-3"/>
                <w:sz w:val="15"/>
              </w:rPr>
              <w:t> </w:t>
            </w:r>
            <w:r>
              <w:rPr>
                <w:color w:val="231F20"/>
                <w:sz w:val="15"/>
              </w:rPr>
              <w:t>are probably at increased risk for being small for gestational</w:t>
            </w:r>
            <w:r>
              <w:rPr>
                <w:color w:val="231F20"/>
                <w:spacing w:val="-9"/>
                <w:sz w:val="15"/>
              </w:rPr>
              <w:t> </w:t>
            </w:r>
            <w:r>
              <w:rPr>
                <w:color w:val="231F20"/>
                <w:sz w:val="15"/>
              </w:rPr>
              <w:t>age</w:t>
            </w:r>
            <w:r>
              <w:rPr>
                <w:color w:val="231F20"/>
                <w:spacing w:val="-9"/>
                <w:sz w:val="15"/>
              </w:rPr>
              <w:t> </w:t>
            </w:r>
            <w:r>
              <w:rPr>
                <w:color w:val="231F20"/>
                <w:sz w:val="15"/>
              </w:rPr>
              <w:t>(level</w:t>
            </w:r>
            <w:r>
              <w:rPr>
                <w:color w:val="231F20"/>
                <w:spacing w:val="-9"/>
                <w:sz w:val="15"/>
              </w:rPr>
              <w:t> </w:t>
            </w:r>
            <w:r>
              <w:rPr>
                <w:color w:val="231F20"/>
                <w:sz w:val="15"/>
              </w:rPr>
              <w:t>B)</w:t>
            </w:r>
            <w:r>
              <w:rPr>
                <w:color w:val="231F20"/>
                <w:spacing w:val="-9"/>
                <w:sz w:val="15"/>
              </w:rPr>
              <w:t> </w:t>
            </w:r>
            <w:r>
              <w:rPr>
                <w:color w:val="231F20"/>
                <w:sz w:val="15"/>
              </w:rPr>
              <w:t>and</w:t>
            </w:r>
            <w:r>
              <w:rPr>
                <w:color w:val="231F20"/>
                <w:spacing w:val="-9"/>
                <w:sz w:val="15"/>
              </w:rPr>
              <w:t> </w:t>
            </w:r>
            <w:r>
              <w:rPr>
                <w:color w:val="231F20"/>
                <w:sz w:val="15"/>
              </w:rPr>
              <w:t>possibly</w:t>
            </w:r>
            <w:r>
              <w:rPr>
                <w:color w:val="231F20"/>
                <w:spacing w:val="-9"/>
                <w:sz w:val="15"/>
              </w:rPr>
              <w:t> </w:t>
            </w:r>
            <w:r>
              <w:rPr>
                <w:color w:val="231F20"/>
                <w:sz w:val="15"/>
              </w:rPr>
              <w:t>at</w:t>
            </w:r>
            <w:r>
              <w:rPr>
                <w:color w:val="231F20"/>
                <w:spacing w:val="-9"/>
                <w:sz w:val="15"/>
              </w:rPr>
              <w:t> </w:t>
            </w:r>
            <w:r>
              <w:rPr>
                <w:color w:val="231F20"/>
                <w:sz w:val="15"/>
              </w:rPr>
              <w:t>increased risk of 1 min Apgar scores of </w:t>
            </w:r>
            <w:r>
              <w:rPr>
                <w:rFonts w:ascii="Cambria"/>
                <w:color w:val="231F20"/>
                <w:sz w:val="15"/>
              </w:rPr>
              <w:t>&lt;</w:t>
            </w:r>
            <w:r>
              <w:rPr>
                <w:color w:val="231F20"/>
                <w:sz w:val="15"/>
              </w:rPr>
              <w:t>7</w:t>
            </w:r>
          </w:p>
        </w:tc>
        <w:tc>
          <w:tcPr>
            <w:tcW w:w="1865" w:type="dxa"/>
            <w:tcBorders>
              <w:top w:val="single" w:sz="4" w:space="0" w:color="FFFFFF"/>
              <w:bottom w:val="single" w:sz="8" w:space="0" w:color="231F20"/>
            </w:tcBorders>
            <w:shd w:val="clear" w:color="auto" w:fill="E8F5F1"/>
          </w:tcPr>
          <w:p>
            <w:pPr>
              <w:pStyle w:val="TableParagraph"/>
              <w:spacing w:before="42"/>
              <w:ind w:right="775"/>
              <w:jc w:val="right"/>
              <w:rPr>
                <w:sz w:val="15"/>
              </w:rPr>
            </w:pPr>
            <w:r>
              <w:rPr>
                <w:color w:val="231F20"/>
                <w:spacing w:val="-10"/>
                <w:w w:val="115"/>
                <w:sz w:val="15"/>
              </w:rPr>
              <w:t>C</w:t>
            </w:r>
          </w:p>
        </w:tc>
      </w:tr>
    </w:tbl>
    <w:p>
      <w:pPr>
        <w:pStyle w:val="BodyText"/>
        <w:spacing w:line="150" w:lineRule="exact" w:before="76"/>
        <w:ind w:left="532"/>
      </w:pPr>
      <w:r>
        <w:rPr>
          <w:color w:val="231F20"/>
        </w:rPr>
        <w:t>Levels</w:t>
      </w:r>
      <w:r>
        <w:rPr>
          <w:color w:val="231F20"/>
          <w:spacing w:val="-1"/>
        </w:rPr>
        <w:t> </w:t>
      </w:r>
      <w:r>
        <w:rPr>
          <w:color w:val="231F20"/>
        </w:rPr>
        <w:t>of</w:t>
      </w:r>
      <w:r>
        <w:rPr>
          <w:color w:val="231F20"/>
          <w:spacing w:val="-1"/>
        </w:rPr>
        <w:t> </w:t>
      </w:r>
      <w:r>
        <w:rPr>
          <w:color w:val="231F20"/>
        </w:rPr>
        <w:t>recommendation:</w:t>
      </w:r>
      <w:r>
        <w:rPr>
          <w:color w:val="231F20"/>
          <w:spacing w:val="-1"/>
        </w:rPr>
        <w:t> </w:t>
      </w:r>
      <w:r>
        <w:rPr>
          <w:color w:val="231F20"/>
        </w:rPr>
        <w:t>A: strongest</w:t>
      </w:r>
      <w:r>
        <w:rPr>
          <w:color w:val="231F20"/>
          <w:spacing w:val="-1"/>
        </w:rPr>
        <w:t> </w:t>
      </w:r>
      <w:r>
        <w:rPr>
          <w:color w:val="231F20"/>
        </w:rPr>
        <w:t>recommendation;</w:t>
      </w:r>
      <w:r>
        <w:rPr>
          <w:color w:val="231F20"/>
          <w:spacing w:val="-1"/>
        </w:rPr>
        <w:t> </w:t>
      </w:r>
      <w:r>
        <w:rPr>
          <w:color w:val="231F20"/>
        </w:rPr>
        <w:t>based</w:t>
      </w:r>
      <w:r>
        <w:rPr>
          <w:color w:val="231F20"/>
          <w:spacing w:val="-1"/>
        </w:rPr>
        <w:t> </w:t>
      </w:r>
      <w:r>
        <w:rPr>
          <w:color w:val="231F20"/>
        </w:rPr>
        <w:t>on class</w:t>
      </w:r>
      <w:r>
        <w:rPr>
          <w:color w:val="231F20"/>
          <w:spacing w:val="-1"/>
        </w:rPr>
        <w:t> </w:t>
      </w:r>
      <w:r>
        <w:rPr>
          <w:color w:val="231F20"/>
        </w:rPr>
        <w:t>1</w:t>
      </w:r>
      <w:r>
        <w:rPr>
          <w:color w:val="231F20"/>
          <w:spacing w:val="-1"/>
        </w:rPr>
        <w:t> </w:t>
      </w:r>
      <w:r>
        <w:rPr>
          <w:color w:val="231F20"/>
        </w:rPr>
        <w:t>evidence;</w:t>
      </w:r>
      <w:r>
        <w:rPr>
          <w:color w:val="231F20"/>
          <w:spacing w:val="-1"/>
        </w:rPr>
        <w:t> </w:t>
      </w:r>
      <w:r>
        <w:rPr>
          <w:color w:val="231F20"/>
        </w:rPr>
        <w:t>B and</w:t>
      </w:r>
      <w:r>
        <w:rPr>
          <w:color w:val="231F20"/>
          <w:spacing w:val="-1"/>
        </w:rPr>
        <w:t> </w:t>
      </w:r>
      <w:r>
        <w:rPr>
          <w:color w:val="231F20"/>
        </w:rPr>
        <w:t>C:</w:t>
      </w:r>
      <w:r>
        <w:rPr>
          <w:color w:val="231F20"/>
          <w:spacing w:val="-1"/>
        </w:rPr>
        <w:t> </w:t>
      </w:r>
      <w:r>
        <w:rPr>
          <w:color w:val="231F20"/>
        </w:rPr>
        <w:t>lower</w:t>
      </w:r>
      <w:r>
        <w:rPr>
          <w:color w:val="231F20"/>
          <w:spacing w:val="-1"/>
        </w:rPr>
        <w:t> </w:t>
      </w:r>
      <w:r>
        <w:rPr>
          <w:color w:val="231F20"/>
        </w:rPr>
        <w:t>levels of</w:t>
      </w:r>
      <w:r>
        <w:rPr>
          <w:color w:val="231F20"/>
          <w:spacing w:val="-1"/>
        </w:rPr>
        <w:t> </w:t>
      </w:r>
      <w:r>
        <w:rPr>
          <w:color w:val="231F20"/>
          <w:spacing w:val="-2"/>
        </w:rPr>
        <w:t>recommendations.</w:t>
      </w:r>
    </w:p>
    <w:p>
      <w:pPr>
        <w:pStyle w:val="BodyText"/>
        <w:ind w:left="532" w:right="609" w:firstLine="130"/>
      </w:pPr>
      <w:r>
        <w:rPr>
          <w:color w:val="231F20"/>
        </w:rPr>
        <w:t>Types</w:t>
      </w:r>
      <w:r>
        <w:rPr>
          <w:color w:val="231F20"/>
          <w:spacing w:val="-5"/>
        </w:rPr>
        <w:t> </w:t>
      </w:r>
      <w:r>
        <w:rPr>
          <w:color w:val="231F20"/>
        </w:rPr>
        <w:t>of</w:t>
      </w:r>
      <w:r>
        <w:rPr>
          <w:color w:val="231F20"/>
          <w:spacing w:val="-5"/>
        </w:rPr>
        <w:t> </w:t>
      </w:r>
      <w:r>
        <w:rPr>
          <w:color w:val="231F20"/>
        </w:rPr>
        <w:t>malformations:</w:t>
      </w:r>
      <w:r>
        <w:rPr>
          <w:color w:val="231F20"/>
          <w:spacing w:val="-5"/>
        </w:rPr>
        <w:t> </w:t>
      </w:r>
      <w:r>
        <w:rPr>
          <w:color w:val="231F20"/>
        </w:rPr>
        <w:t>Prior</w:t>
      </w:r>
      <w:r>
        <w:rPr>
          <w:color w:val="231F20"/>
          <w:spacing w:val="-5"/>
        </w:rPr>
        <w:t> </w:t>
      </w:r>
      <w:r>
        <w:rPr>
          <w:color w:val="231F20"/>
        </w:rPr>
        <w:t>studies</w:t>
      </w:r>
      <w:r>
        <w:rPr>
          <w:color w:val="231F20"/>
          <w:spacing w:val="-5"/>
        </w:rPr>
        <w:t> </w:t>
      </w:r>
      <w:r>
        <w:rPr>
          <w:color w:val="231F20"/>
        </w:rPr>
        <w:t>had</w:t>
      </w:r>
      <w:r>
        <w:rPr>
          <w:color w:val="231F20"/>
          <w:spacing w:val="-5"/>
        </w:rPr>
        <w:t> </w:t>
      </w:r>
      <w:r>
        <w:rPr>
          <w:color w:val="231F20"/>
        </w:rPr>
        <w:t>reported</w:t>
      </w:r>
      <w:r>
        <w:rPr>
          <w:color w:val="231F20"/>
          <w:spacing w:val="-5"/>
        </w:rPr>
        <w:t> </w:t>
      </w:r>
      <w:r>
        <w:rPr>
          <w:color w:val="231F20"/>
        </w:rPr>
        <w:t>the</w:t>
      </w:r>
      <w:r>
        <w:rPr>
          <w:color w:val="231F20"/>
          <w:spacing w:val="-5"/>
        </w:rPr>
        <w:t> </w:t>
      </w:r>
      <w:r>
        <w:rPr>
          <w:color w:val="231F20"/>
        </w:rPr>
        <w:t>occurrence</w:t>
      </w:r>
      <w:r>
        <w:rPr>
          <w:color w:val="231F20"/>
          <w:spacing w:val="-5"/>
        </w:rPr>
        <w:t> </w:t>
      </w:r>
      <w:r>
        <w:rPr>
          <w:color w:val="231F20"/>
        </w:rPr>
        <w:t>of</w:t>
      </w:r>
      <w:r>
        <w:rPr>
          <w:color w:val="231F20"/>
          <w:spacing w:val="-5"/>
        </w:rPr>
        <w:t> </w:t>
      </w:r>
      <w:r>
        <w:rPr>
          <w:color w:val="231F20"/>
        </w:rPr>
        <w:t>spina</w:t>
      </w:r>
      <w:r>
        <w:rPr>
          <w:color w:val="231F20"/>
          <w:spacing w:val="-5"/>
        </w:rPr>
        <w:t> </w:t>
      </w:r>
      <w:r>
        <w:rPr>
          <w:color w:val="231F20"/>
        </w:rPr>
        <w:t>bifida</w:t>
      </w:r>
      <w:r>
        <w:rPr>
          <w:color w:val="231F20"/>
          <w:spacing w:val="-5"/>
        </w:rPr>
        <w:t> </w:t>
      </w:r>
      <w:r>
        <w:rPr>
          <w:color w:val="231F20"/>
        </w:rPr>
        <w:t>with</w:t>
      </w:r>
      <w:r>
        <w:rPr>
          <w:color w:val="231F20"/>
          <w:spacing w:val="-5"/>
        </w:rPr>
        <w:t> </w:t>
      </w:r>
      <w:r>
        <w:rPr>
          <w:color w:val="231F20"/>
        </w:rPr>
        <w:t>valproate</w:t>
      </w:r>
      <w:r>
        <w:rPr>
          <w:color w:val="231F20"/>
          <w:spacing w:val="-5"/>
        </w:rPr>
        <w:t> </w:t>
      </w:r>
      <w:r>
        <w:rPr>
          <w:color w:val="231F20"/>
        </w:rPr>
        <w:t>and</w:t>
      </w:r>
      <w:r>
        <w:rPr>
          <w:color w:val="231F20"/>
          <w:spacing w:val="-5"/>
        </w:rPr>
        <w:t> </w:t>
      </w:r>
      <w:r>
        <w:rPr>
          <w:color w:val="231F20"/>
        </w:rPr>
        <w:t>carbamazepine</w:t>
      </w:r>
      <w:r>
        <w:rPr>
          <w:color w:val="231F20"/>
          <w:spacing w:val="-5"/>
        </w:rPr>
        <w:t> </w:t>
      </w:r>
      <w:r>
        <w:rPr>
          <w:color w:val="231F20"/>
        </w:rPr>
        <w:t>therapy,</w:t>
      </w:r>
      <w:r>
        <w:rPr>
          <w:color w:val="231F20"/>
          <w:spacing w:val="-5"/>
        </w:rPr>
        <w:t> </w:t>
      </w:r>
      <w:r>
        <w:rPr>
          <w:color w:val="231F20"/>
        </w:rPr>
        <w:t>and</w:t>
      </w:r>
      <w:r>
        <w:rPr>
          <w:color w:val="231F20"/>
          <w:spacing w:val="-5"/>
        </w:rPr>
        <w:t> </w:t>
      </w:r>
      <w:r>
        <w:rPr>
          <w:color w:val="231F20"/>
        </w:rPr>
        <w:t>of</w:t>
      </w:r>
      <w:r>
        <w:rPr>
          <w:color w:val="231F20"/>
          <w:spacing w:val="-5"/>
        </w:rPr>
        <w:t> </w:t>
      </w:r>
      <w:r>
        <w:rPr>
          <w:color w:val="231F20"/>
        </w:rPr>
        <w:t>cardiac</w:t>
      </w:r>
      <w:r>
        <w:rPr>
          <w:color w:val="231F20"/>
          <w:spacing w:val="-5"/>
        </w:rPr>
        <w:t> </w:t>
      </w:r>
      <w:r>
        <w:rPr>
          <w:color w:val="231F20"/>
        </w:rPr>
        <w:t>malformation</w:t>
      </w:r>
      <w:r>
        <w:rPr>
          <w:color w:val="231F20"/>
          <w:spacing w:val="-5"/>
        </w:rPr>
        <w:t> </w:t>
      </w:r>
      <w:r>
        <w:rPr>
          <w:color w:val="231F20"/>
        </w:rPr>
        <w:t>and</w:t>
      </w:r>
      <w:r>
        <w:rPr>
          <w:color w:val="231F20"/>
          <w:spacing w:val="-5"/>
        </w:rPr>
        <w:t> </w:t>
      </w:r>
      <w:r>
        <w:rPr>
          <w:color w:val="231F20"/>
        </w:rPr>
        <w:t>cleft</w:t>
      </w:r>
      <w:r>
        <w:rPr>
          <w:color w:val="231F20"/>
          <w:spacing w:val="40"/>
        </w:rPr>
        <w:t> </w:t>
      </w:r>
      <w:r>
        <w:rPr>
          <w:color w:val="231F20"/>
        </w:rPr>
        <w:t>palate</w:t>
      </w:r>
      <w:r>
        <w:rPr>
          <w:color w:val="231F20"/>
          <w:spacing w:val="-2"/>
        </w:rPr>
        <w:t> </w:t>
      </w:r>
      <w:r>
        <w:rPr>
          <w:color w:val="231F20"/>
        </w:rPr>
        <w:t>after</w:t>
      </w:r>
      <w:r>
        <w:rPr>
          <w:color w:val="231F20"/>
          <w:spacing w:val="-2"/>
        </w:rPr>
        <w:t> </w:t>
      </w:r>
      <w:r>
        <w:rPr>
          <w:color w:val="231F20"/>
        </w:rPr>
        <w:t>carbamazepine,</w:t>
      </w:r>
      <w:r>
        <w:rPr>
          <w:color w:val="231F20"/>
          <w:spacing w:val="-2"/>
        </w:rPr>
        <w:t> </w:t>
      </w:r>
      <w:r>
        <w:rPr>
          <w:color w:val="231F20"/>
        </w:rPr>
        <w:t>phenytoin,</w:t>
      </w:r>
      <w:r>
        <w:rPr>
          <w:color w:val="231F20"/>
          <w:spacing w:val="-2"/>
        </w:rPr>
        <w:t> </w:t>
      </w:r>
      <w:r>
        <w:rPr>
          <w:color w:val="231F20"/>
        </w:rPr>
        <w:t>and</w:t>
      </w:r>
      <w:r>
        <w:rPr>
          <w:color w:val="231F20"/>
          <w:spacing w:val="-2"/>
        </w:rPr>
        <w:t> </w:t>
      </w:r>
      <w:r>
        <w:rPr>
          <w:color w:val="231F20"/>
        </w:rPr>
        <w:t>phenobarbital</w:t>
      </w:r>
      <w:r>
        <w:rPr>
          <w:color w:val="231F20"/>
          <w:spacing w:val="-2"/>
        </w:rPr>
        <w:t> </w:t>
      </w:r>
      <w:r>
        <w:rPr>
          <w:color w:val="231F20"/>
        </w:rPr>
        <w:t>exposure.</w:t>
      </w:r>
      <w:r>
        <w:rPr>
          <w:color w:val="231F20"/>
          <w:spacing w:val="-2"/>
        </w:rPr>
        <w:t> </w:t>
      </w:r>
      <w:r>
        <w:rPr>
          <w:color w:val="231F20"/>
        </w:rPr>
        <w:t>There</w:t>
      </w:r>
      <w:r>
        <w:rPr>
          <w:color w:val="231F20"/>
          <w:spacing w:val="-2"/>
        </w:rPr>
        <w:t> </w:t>
      </w:r>
      <w:r>
        <w:rPr>
          <w:color w:val="231F20"/>
        </w:rPr>
        <w:t>is</w:t>
      </w:r>
      <w:r>
        <w:rPr>
          <w:color w:val="231F20"/>
          <w:spacing w:val="-2"/>
        </w:rPr>
        <w:t> </w:t>
      </w:r>
      <w:r>
        <w:rPr>
          <w:color w:val="231F20"/>
        </w:rPr>
        <w:t>variability</w:t>
      </w:r>
      <w:r>
        <w:rPr>
          <w:color w:val="231F20"/>
          <w:spacing w:val="-2"/>
        </w:rPr>
        <w:t> </w:t>
      </w:r>
      <w:r>
        <w:rPr>
          <w:color w:val="231F20"/>
        </w:rPr>
        <w:t>from</w:t>
      </w:r>
      <w:r>
        <w:rPr>
          <w:color w:val="231F20"/>
          <w:spacing w:val="-2"/>
        </w:rPr>
        <w:t> </w:t>
      </w:r>
      <w:r>
        <w:rPr>
          <w:color w:val="231F20"/>
        </w:rPr>
        <w:t>study</w:t>
      </w:r>
      <w:r>
        <w:rPr>
          <w:color w:val="231F20"/>
          <w:spacing w:val="-2"/>
        </w:rPr>
        <w:t> </w:t>
      </w:r>
      <w:r>
        <w:rPr>
          <w:color w:val="231F20"/>
        </w:rPr>
        <w:t>to</w:t>
      </w:r>
      <w:r>
        <w:rPr>
          <w:color w:val="231F20"/>
          <w:spacing w:val="-2"/>
        </w:rPr>
        <w:t> </w:t>
      </w:r>
      <w:r>
        <w:rPr>
          <w:color w:val="231F20"/>
        </w:rPr>
        <w:t>study.</w:t>
      </w:r>
      <w:r>
        <w:rPr>
          <w:color w:val="231F20"/>
          <w:spacing w:val="-2"/>
        </w:rPr>
        <w:t> </w:t>
      </w:r>
      <w:r>
        <w:rPr>
          <w:color w:val="231F20"/>
        </w:rPr>
        <w:t>However,</w:t>
      </w:r>
      <w:r>
        <w:rPr>
          <w:color w:val="231F20"/>
          <w:spacing w:val="-2"/>
        </w:rPr>
        <w:t> </w:t>
      </w:r>
      <w:r>
        <w:rPr>
          <w:color w:val="231F20"/>
        </w:rPr>
        <w:t>in</w:t>
      </w:r>
      <w:r>
        <w:rPr>
          <w:color w:val="231F20"/>
          <w:spacing w:val="-2"/>
        </w:rPr>
        <w:t> </w:t>
      </w:r>
      <w:r>
        <w:rPr>
          <w:color w:val="231F20"/>
        </w:rPr>
        <w:t>general</w:t>
      </w:r>
      <w:r>
        <w:rPr>
          <w:color w:val="231F20"/>
          <w:spacing w:val="-2"/>
        </w:rPr>
        <w:t> </w:t>
      </w:r>
      <w:r>
        <w:rPr>
          <w:color w:val="231F20"/>
        </w:rPr>
        <w:t>the</w:t>
      </w:r>
      <w:r>
        <w:rPr>
          <w:color w:val="231F20"/>
          <w:spacing w:val="-2"/>
        </w:rPr>
        <w:t> </w:t>
      </w:r>
      <w:r>
        <w:rPr>
          <w:color w:val="231F20"/>
        </w:rPr>
        <w:t>relative</w:t>
      </w:r>
      <w:r>
        <w:rPr>
          <w:color w:val="231F20"/>
          <w:spacing w:val="-2"/>
        </w:rPr>
        <w:t> </w:t>
      </w:r>
      <w:r>
        <w:rPr>
          <w:color w:val="231F20"/>
        </w:rPr>
        <w:t>incidence</w:t>
      </w:r>
      <w:r>
        <w:rPr>
          <w:color w:val="231F20"/>
          <w:spacing w:val="-2"/>
        </w:rPr>
        <w:t> </w:t>
      </w:r>
      <w:r>
        <w:rPr>
          <w:color w:val="231F20"/>
        </w:rPr>
        <w:t>of</w:t>
      </w:r>
      <w:r>
        <w:rPr>
          <w:color w:val="231F20"/>
          <w:spacing w:val="-2"/>
        </w:rPr>
        <w:t> </w:t>
      </w:r>
      <w:r>
        <w:rPr>
          <w:color w:val="231F20"/>
        </w:rPr>
        <w:t>major</w:t>
      </w:r>
      <w:r>
        <w:rPr>
          <w:color w:val="231F20"/>
          <w:spacing w:val="40"/>
        </w:rPr>
        <w:t> </w:t>
      </w:r>
      <w:r>
        <w:rPr>
          <w:color w:val="231F20"/>
        </w:rPr>
        <w:t>malformations of approximately 10% for valproate monotherapy, higher with valproate polytherapy, and in the range of 5% for monotherapy with the other above 3</w:t>
      </w:r>
      <w:r>
        <w:rPr>
          <w:color w:val="231F20"/>
          <w:spacing w:val="40"/>
        </w:rPr>
        <w:t> </w:t>
      </w:r>
      <w:r>
        <w:rPr>
          <w:color w:val="231F20"/>
        </w:rPr>
        <w:t>AEDs and higher with polytherapy.</w:t>
      </w:r>
    </w:p>
    <w:p>
      <w:pPr>
        <w:pStyle w:val="BodyText"/>
        <w:spacing w:line="237" w:lineRule="auto"/>
        <w:ind w:left="532" w:right="609" w:firstLine="130"/>
      </w:pPr>
      <w:r>
        <w:rPr>
          <w:color w:val="231F20"/>
        </w:rPr>
        <w:t>FDA categories: Valproate, phenobarbital, carbamazepine, and phenytoin are classified by the FDA as category D. Ethosuximide, felbamate, gabapentin,</w:t>
      </w:r>
      <w:r>
        <w:rPr>
          <w:color w:val="231F20"/>
          <w:spacing w:val="40"/>
        </w:rPr>
        <w:t> </w:t>
      </w:r>
      <w:r>
        <w:rPr>
          <w:color w:val="231F20"/>
        </w:rPr>
        <w:t>lamotrigine,</w:t>
      </w:r>
      <w:r>
        <w:rPr>
          <w:color w:val="231F20"/>
          <w:spacing w:val="-5"/>
        </w:rPr>
        <w:t> </w:t>
      </w:r>
      <w:r>
        <w:rPr>
          <w:color w:val="231F20"/>
        </w:rPr>
        <w:t>levetiracetam,</w:t>
      </w:r>
      <w:r>
        <w:rPr>
          <w:color w:val="231F20"/>
          <w:spacing w:val="-5"/>
        </w:rPr>
        <w:t> </w:t>
      </w:r>
      <w:r>
        <w:rPr>
          <w:color w:val="231F20"/>
        </w:rPr>
        <w:t>oxcarbazepine,</w:t>
      </w:r>
      <w:r>
        <w:rPr>
          <w:color w:val="231F20"/>
          <w:spacing w:val="-5"/>
        </w:rPr>
        <w:t> </w:t>
      </w:r>
      <w:r>
        <w:rPr>
          <w:color w:val="231F20"/>
        </w:rPr>
        <w:t>tiagabine,</w:t>
      </w:r>
      <w:r>
        <w:rPr>
          <w:color w:val="231F20"/>
          <w:spacing w:val="-5"/>
        </w:rPr>
        <w:t> </w:t>
      </w:r>
      <w:r>
        <w:rPr>
          <w:color w:val="231F20"/>
        </w:rPr>
        <w:t>topiramate,</w:t>
      </w:r>
      <w:r>
        <w:rPr>
          <w:color w:val="231F20"/>
          <w:spacing w:val="-5"/>
        </w:rPr>
        <w:t> </w:t>
      </w:r>
      <w:r>
        <w:rPr>
          <w:color w:val="231F20"/>
        </w:rPr>
        <w:t>and</w:t>
      </w:r>
      <w:r>
        <w:rPr>
          <w:color w:val="231F20"/>
          <w:spacing w:val="-5"/>
        </w:rPr>
        <w:t> </w:t>
      </w:r>
      <w:r>
        <w:rPr>
          <w:color w:val="231F20"/>
        </w:rPr>
        <w:t>zonisamide</w:t>
      </w:r>
      <w:r>
        <w:rPr>
          <w:color w:val="231F20"/>
          <w:spacing w:val="-5"/>
        </w:rPr>
        <w:t> </w:t>
      </w:r>
      <w:r>
        <w:rPr>
          <w:color w:val="231F20"/>
        </w:rPr>
        <w:t>are</w:t>
      </w:r>
      <w:r>
        <w:rPr>
          <w:color w:val="231F20"/>
          <w:spacing w:val="-5"/>
        </w:rPr>
        <w:t> </w:t>
      </w:r>
      <w:r>
        <w:rPr>
          <w:color w:val="231F20"/>
        </w:rPr>
        <w:t>category</w:t>
      </w:r>
      <w:r>
        <w:rPr>
          <w:color w:val="231F20"/>
          <w:spacing w:val="-5"/>
        </w:rPr>
        <w:t> </w:t>
      </w:r>
      <w:r>
        <w:rPr>
          <w:color w:val="231F20"/>
        </w:rPr>
        <w:t>C.</w:t>
      </w:r>
      <w:r>
        <w:rPr>
          <w:color w:val="231F20"/>
          <w:spacing w:val="-5"/>
        </w:rPr>
        <w:t> </w:t>
      </w:r>
      <w:r>
        <w:rPr>
          <w:color w:val="231F20"/>
        </w:rPr>
        <w:t>Category</w:t>
      </w:r>
      <w:r>
        <w:rPr>
          <w:color w:val="231F20"/>
          <w:spacing w:val="-5"/>
        </w:rPr>
        <w:t> </w:t>
      </w:r>
      <w:r>
        <w:rPr>
          <w:color w:val="231F20"/>
        </w:rPr>
        <w:t>C:</w:t>
      </w:r>
      <w:r>
        <w:rPr>
          <w:color w:val="231F20"/>
          <w:spacing w:val="-5"/>
        </w:rPr>
        <w:t> </w:t>
      </w:r>
      <w:r>
        <w:rPr>
          <w:color w:val="231F20"/>
        </w:rPr>
        <w:t>Animal</w:t>
      </w:r>
      <w:r>
        <w:rPr>
          <w:color w:val="231F20"/>
          <w:spacing w:val="-5"/>
        </w:rPr>
        <w:t> </w:t>
      </w:r>
      <w:r>
        <w:rPr>
          <w:color w:val="231F20"/>
        </w:rPr>
        <w:t>studies</w:t>
      </w:r>
      <w:r>
        <w:rPr>
          <w:color w:val="231F20"/>
          <w:spacing w:val="-5"/>
        </w:rPr>
        <w:t> </w:t>
      </w:r>
      <w:r>
        <w:rPr>
          <w:color w:val="231F20"/>
        </w:rPr>
        <w:t>have</w:t>
      </w:r>
      <w:r>
        <w:rPr>
          <w:color w:val="231F20"/>
          <w:spacing w:val="-5"/>
        </w:rPr>
        <w:t> </w:t>
      </w:r>
      <w:r>
        <w:rPr>
          <w:color w:val="231F20"/>
        </w:rPr>
        <w:t>shown</w:t>
      </w:r>
      <w:r>
        <w:rPr>
          <w:color w:val="231F20"/>
          <w:spacing w:val="-5"/>
        </w:rPr>
        <w:t> </w:t>
      </w:r>
      <w:r>
        <w:rPr>
          <w:color w:val="231F20"/>
        </w:rPr>
        <w:t>an</w:t>
      </w:r>
      <w:r>
        <w:rPr>
          <w:color w:val="231F20"/>
          <w:spacing w:val="-5"/>
        </w:rPr>
        <w:t> </w:t>
      </w:r>
      <w:r>
        <w:rPr>
          <w:color w:val="231F20"/>
        </w:rPr>
        <w:t>adverse</w:t>
      </w:r>
      <w:r>
        <w:rPr>
          <w:color w:val="231F20"/>
          <w:spacing w:val="-5"/>
        </w:rPr>
        <w:t> </w:t>
      </w:r>
      <w:r>
        <w:rPr>
          <w:color w:val="231F20"/>
        </w:rPr>
        <w:t>effect</w:t>
      </w:r>
      <w:r>
        <w:rPr>
          <w:color w:val="231F20"/>
          <w:spacing w:val="-5"/>
        </w:rPr>
        <w:t> </w:t>
      </w:r>
      <w:r>
        <w:rPr>
          <w:color w:val="231F20"/>
        </w:rPr>
        <w:t>and</w:t>
      </w:r>
      <w:r>
        <w:rPr>
          <w:color w:val="231F20"/>
          <w:spacing w:val="-5"/>
        </w:rPr>
        <w:t> </w:t>
      </w:r>
      <w:r>
        <w:rPr>
          <w:color w:val="231F20"/>
        </w:rPr>
        <w:t>there</w:t>
      </w:r>
      <w:r>
        <w:rPr>
          <w:color w:val="231F20"/>
          <w:spacing w:val="40"/>
        </w:rPr>
        <w:t> </w:t>
      </w:r>
      <w:r>
        <w:rPr>
          <w:color w:val="231F20"/>
        </w:rPr>
        <w:t>are no adequate and well-controlled studies in pregnant women or no animal studies have been conducted and there are no adequate and well-controlled studies in</w:t>
      </w:r>
      <w:r>
        <w:rPr>
          <w:color w:val="231F20"/>
          <w:spacing w:val="40"/>
        </w:rPr>
        <w:t> </w:t>
      </w:r>
      <w:r>
        <w:rPr>
          <w:color w:val="231F20"/>
        </w:rPr>
        <w:t>pregnant women. Category D: Studies, adequate, well-controlled, or observational, in pregnant women have demonstrated a risk to the fetus. However, the benefits</w:t>
      </w:r>
      <w:r>
        <w:rPr>
          <w:color w:val="231F20"/>
          <w:spacing w:val="40"/>
        </w:rPr>
        <w:t> </w:t>
      </w:r>
      <w:r>
        <w:rPr>
          <w:color w:val="231F20"/>
        </w:rPr>
        <w:t>of therapy might outweigh the potential risk.</w:t>
      </w:r>
    </w:p>
    <w:p>
      <w:pPr>
        <w:pStyle w:val="BodyText"/>
        <w:spacing w:line="149" w:lineRule="exact"/>
        <w:ind w:left="663"/>
      </w:pPr>
      <w:r>
        <w:rPr>
          <w:color w:val="231F20"/>
        </w:rPr>
        <w:t>AED,</w:t>
      </w:r>
      <w:r>
        <w:rPr>
          <w:color w:val="231F20"/>
          <w:spacing w:val="-1"/>
        </w:rPr>
        <w:t> </w:t>
      </w:r>
      <w:r>
        <w:rPr>
          <w:color w:val="231F20"/>
        </w:rPr>
        <w:t>antiepileptic</w:t>
      </w:r>
      <w:r>
        <w:rPr>
          <w:color w:val="231F20"/>
          <w:spacing w:val="-1"/>
        </w:rPr>
        <w:t> </w:t>
      </w:r>
      <w:r>
        <w:rPr>
          <w:color w:val="231F20"/>
        </w:rPr>
        <w:t>drug;</w:t>
      </w:r>
      <w:r>
        <w:rPr>
          <w:color w:val="231F20"/>
          <w:spacing w:val="-1"/>
        </w:rPr>
        <w:t> </w:t>
      </w:r>
      <w:r>
        <w:rPr>
          <w:color w:val="231F20"/>
        </w:rPr>
        <w:t>VPA,</w:t>
      </w:r>
      <w:r>
        <w:rPr>
          <w:color w:val="231F20"/>
          <w:spacing w:val="-1"/>
        </w:rPr>
        <w:t> </w:t>
      </w:r>
      <w:r>
        <w:rPr>
          <w:color w:val="231F20"/>
          <w:spacing w:val="-2"/>
        </w:rPr>
        <w:t>valproate.</w:t>
      </w:r>
    </w:p>
    <w:p>
      <w:pPr>
        <w:pStyle w:val="BodyText"/>
        <w:spacing w:before="144" w:after="1"/>
        <w:rPr>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7"/>
        <w:gridCol w:w="1960"/>
        <w:gridCol w:w="1989"/>
        <w:gridCol w:w="1253"/>
        <w:gridCol w:w="1353"/>
        <w:gridCol w:w="1983"/>
      </w:tblGrid>
      <w:tr>
        <w:trPr>
          <w:trHeight w:val="354" w:hRule="atLeast"/>
        </w:trPr>
        <w:tc>
          <w:tcPr>
            <w:tcW w:w="1247" w:type="dxa"/>
            <w:tcBorders>
              <w:right w:val="single" w:sz="8" w:space="0" w:color="FFFFFF"/>
            </w:tcBorders>
            <w:shd w:val="clear" w:color="auto" w:fill="231F20"/>
          </w:tcPr>
          <w:p>
            <w:pPr>
              <w:pStyle w:val="TableParagraph"/>
              <w:spacing w:before="89"/>
              <w:ind w:left="137"/>
              <w:rPr>
                <w:b/>
                <w:sz w:val="16"/>
              </w:rPr>
            </w:pPr>
            <w:r>
              <w:rPr>
                <w:b/>
                <w:color w:val="FFFFFF"/>
                <w:sz w:val="16"/>
              </w:rPr>
              <w:t>Table</w:t>
            </w:r>
            <w:r>
              <w:rPr>
                <w:b/>
                <w:color w:val="FFFFFF"/>
                <w:spacing w:val="25"/>
                <w:sz w:val="16"/>
              </w:rPr>
              <w:t> </w:t>
            </w:r>
            <w:r>
              <w:rPr>
                <w:b/>
                <w:color w:val="FFFFFF"/>
                <w:sz w:val="16"/>
              </w:rPr>
              <w:t>593-</w:t>
            </w:r>
            <w:r>
              <w:rPr>
                <w:b/>
                <w:color w:val="FFFFFF"/>
                <w:spacing w:val="-5"/>
                <w:sz w:val="16"/>
              </w:rPr>
              <w:t>13</w:t>
            </w:r>
          </w:p>
        </w:tc>
        <w:tc>
          <w:tcPr>
            <w:tcW w:w="8538" w:type="dxa"/>
            <w:gridSpan w:val="5"/>
            <w:tcBorders>
              <w:left w:val="single" w:sz="8" w:space="0" w:color="FFFFFF"/>
            </w:tcBorders>
            <w:shd w:val="clear" w:color="auto" w:fill="231F20"/>
          </w:tcPr>
          <w:p>
            <w:pPr>
              <w:pStyle w:val="TableParagraph"/>
              <w:spacing w:before="89"/>
              <w:ind w:left="74"/>
              <w:rPr>
                <w:sz w:val="16"/>
              </w:rPr>
            </w:pPr>
            <w:r>
              <w:rPr>
                <w:color w:val="FFFFFF"/>
                <w:w w:val="105"/>
                <w:sz w:val="16"/>
              </w:rPr>
              <w:t>Dosages</w:t>
            </w:r>
            <w:r>
              <w:rPr>
                <w:color w:val="FFFFFF"/>
                <w:spacing w:val="17"/>
                <w:w w:val="105"/>
                <w:sz w:val="16"/>
              </w:rPr>
              <w:t> </w:t>
            </w:r>
            <w:r>
              <w:rPr>
                <w:color w:val="FFFFFF"/>
                <w:w w:val="105"/>
                <w:sz w:val="16"/>
              </w:rPr>
              <w:t>of</w:t>
            </w:r>
            <w:r>
              <w:rPr>
                <w:color w:val="FFFFFF"/>
                <w:spacing w:val="18"/>
                <w:w w:val="105"/>
                <w:sz w:val="16"/>
              </w:rPr>
              <w:t> </w:t>
            </w:r>
            <w:r>
              <w:rPr>
                <w:color w:val="FFFFFF"/>
                <w:w w:val="105"/>
                <w:sz w:val="16"/>
              </w:rPr>
              <w:t>Selected</w:t>
            </w:r>
            <w:r>
              <w:rPr>
                <w:color w:val="FFFFFF"/>
                <w:spacing w:val="18"/>
                <w:w w:val="105"/>
                <w:sz w:val="16"/>
              </w:rPr>
              <w:t> </w:t>
            </w:r>
            <w:r>
              <w:rPr>
                <w:color w:val="FFFFFF"/>
                <w:w w:val="105"/>
                <w:sz w:val="16"/>
              </w:rPr>
              <w:t>Antiepileptic</w:t>
            </w:r>
            <w:r>
              <w:rPr>
                <w:color w:val="FFFFFF"/>
                <w:spacing w:val="18"/>
                <w:w w:val="105"/>
                <w:sz w:val="16"/>
              </w:rPr>
              <w:t> </w:t>
            </w:r>
            <w:r>
              <w:rPr>
                <w:color w:val="FFFFFF"/>
                <w:spacing w:val="-2"/>
                <w:w w:val="105"/>
                <w:sz w:val="16"/>
              </w:rPr>
              <w:t>Drugs</w:t>
            </w:r>
          </w:p>
        </w:tc>
      </w:tr>
      <w:tr>
        <w:trPr>
          <w:trHeight w:val="780" w:hRule="atLeast"/>
        </w:trPr>
        <w:tc>
          <w:tcPr>
            <w:tcW w:w="1247" w:type="dxa"/>
            <w:tcBorders>
              <w:bottom w:val="single" w:sz="4" w:space="0" w:color="231F20"/>
            </w:tcBorders>
            <w:shd w:val="clear" w:color="auto" w:fill="E8F5F1"/>
          </w:tcPr>
          <w:p>
            <w:pPr>
              <w:pStyle w:val="TableParagraph"/>
              <w:rPr>
                <w:sz w:val="15"/>
              </w:rPr>
            </w:pPr>
          </w:p>
          <w:p>
            <w:pPr>
              <w:pStyle w:val="TableParagraph"/>
              <w:rPr>
                <w:sz w:val="15"/>
              </w:rPr>
            </w:pPr>
          </w:p>
          <w:p>
            <w:pPr>
              <w:pStyle w:val="TableParagraph"/>
              <w:spacing w:before="47"/>
              <w:rPr>
                <w:sz w:val="15"/>
              </w:rPr>
            </w:pPr>
          </w:p>
          <w:p>
            <w:pPr>
              <w:pStyle w:val="TableParagraph"/>
              <w:ind w:left="99"/>
              <w:rPr>
                <w:b/>
                <w:sz w:val="15"/>
              </w:rPr>
            </w:pPr>
            <w:r>
              <w:rPr>
                <w:b/>
                <w:color w:val="231F20"/>
                <w:spacing w:val="-2"/>
                <w:w w:val="115"/>
                <w:sz w:val="15"/>
              </w:rPr>
              <w:t>MEDICATION</w:t>
            </w:r>
          </w:p>
        </w:tc>
        <w:tc>
          <w:tcPr>
            <w:tcW w:w="1960"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445" w:right="37" w:firstLine="59"/>
              <w:rPr>
                <w:b/>
                <w:sz w:val="15"/>
              </w:rPr>
            </w:pPr>
            <w:r>
              <w:rPr>
                <w:b/>
                <w:color w:val="231F20"/>
                <w:w w:val="110"/>
                <w:sz w:val="15"/>
              </w:rPr>
              <w:t>FDA APPROVAL (AGE</w:t>
            </w:r>
            <w:r>
              <w:rPr>
                <w:b/>
                <w:color w:val="231F20"/>
                <w:spacing w:val="-1"/>
                <w:w w:val="110"/>
                <w:sz w:val="15"/>
              </w:rPr>
              <w:t> </w:t>
            </w:r>
            <w:r>
              <w:rPr>
                <w:b/>
                <w:color w:val="231F20"/>
                <w:spacing w:val="-2"/>
                <w:w w:val="110"/>
                <w:sz w:val="15"/>
              </w:rPr>
              <w:t>APPROVED)</w:t>
            </w:r>
          </w:p>
        </w:tc>
        <w:tc>
          <w:tcPr>
            <w:tcW w:w="1989" w:type="dxa"/>
            <w:tcBorders>
              <w:bottom w:val="single" w:sz="4" w:space="0" w:color="231F20"/>
            </w:tcBorders>
            <w:shd w:val="clear" w:color="auto" w:fill="E8F5F1"/>
          </w:tcPr>
          <w:p>
            <w:pPr>
              <w:pStyle w:val="TableParagraph"/>
              <w:spacing w:line="171" w:lineRule="exact" w:before="66"/>
              <w:ind w:left="57" w:right="2"/>
              <w:jc w:val="center"/>
              <w:rPr>
                <w:b/>
                <w:sz w:val="15"/>
              </w:rPr>
            </w:pPr>
            <w:r>
              <w:rPr>
                <w:b/>
                <w:color w:val="231F20"/>
                <w:w w:val="110"/>
                <w:sz w:val="15"/>
              </w:rPr>
              <w:t>MAINTENANCE</w:t>
            </w:r>
            <w:r>
              <w:rPr>
                <w:b/>
                <w:color w:val="231F20"/>
                <w:spacing w:val="42"/>
                <w:w w:val="110"/>
                <w:sz w:val="15"/>
              </w:rPr>
              <w:t> </w:t>
            </w:r>
            <w:r>
              <w:rPr>
                <w:b/>
                <w:color w:val="231F20"/>
                <w:spacing w:val="-4"/>
                <w:w w:val="110"/>
                <w:sz w:val="15"/>
              </w:rPr>
              <w:t>ORAL</w:t>
            </w:r>
          </w:p>
          <w:p>
            <w:pPr>
              <w:pStyle w:val="TableParagraph"/>
              <w:spacing w:line="230" w:lineRule="auto" w:before="2"/>
              <w:ind w:left="57"/>
              <w:jc w:val="center"/>
              <w:rPr>
                <w:b/>
                <w:sz w:val="15"/>
              </w:rPr>
            </w:pPr>
            <w:r>
              <w:rPr>
                <w:b/>
                <w:color w:val="231F20"/>
                <w:spacing w:val="-2"/>
                <w:w w:val="110"/>
                <w:sz w:val="15"/>
              </w:rPr>
              <w:t>DOSAGE</w:t>
            </w:r>
            <w:r>
              <w:rPr>
                <w:b/>
                <w:color w:val="231F20"/>
                <w:spacing w:val="-11"/>
                <w:w w:val="110"/>
                <w:sz w:val="15"/>
              </w:rPr>
              <w:t> </w:t>
            </w:r>
            <w:r>
              <w:rPr>
                <w:b/>
                <w:color w:val="231F20"/>
                <w:spacing w:val="-2"/>
                <w:w w:val="110"/>
                <w:sz w:val="15"/>
              </w:rPr>
              <w:t>(mg/kg/day) </w:t>
            </w:r>
            <w:r>
              <w:rPr>
                <w:b/>
                <w:color w:val="231F20"/>
                <w:w w:val="110"/>
                <w:sz w:val="15"/>
              </w:rPr>
              <w:t>UNLESS OTHERWISE </w:t>
            </w:r>
            <w:r>
              <w:rPr>
                <w:b/>
                <w:color w:val="231F20"/>
                <w:spacing w:val="-2"/>
                <w:w w:val="110"/>
                <w:sz w:val="15"/>
              </w:rPr>
              <w:t>SPECIFIED</w:t>
            </w:r>
          </w:p>
        </w:tc>
        <w:tc>
          <w:tcPr>
            <w:tcW w:w="1253"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324" w:firstLine="53"/>
              <w:rPr>
                <w:b/>
                <w:sz w:val="15"/>
              </w:rPr>
            </w:pPr>
            <w:r>
              <w:rPr>
                <w:b/>
                <w:color w:val="231F20"/>
                <w:spacing w:val="-2"/>
                <w:w w:val="115"/>
                <w:sz w:val="15"/>
              </w:rPr>
              <w:t>USUAL DOSING</w:t>
            </w:r>
          </w:p>
        </w:tc>
        <w:tc>
          <w:tcPr>
            <w:tcW w:w="1353"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407" w:hanging="247"/>
              <w:rPr>
                <w:b/>
                <w:sz w:val="15"/>
              </w:rPr>
            </w:pPr>
            <w:r>
              <w:rPr>
                <w:b/>
                <w:color w:val="231F20"/>
                <w:spacing w:val="-2"/>
                <w:w w:val="105"/>
                <w:sz w:val="15"/>
              </w:rPr>
              <w:t>THERAPEUTIC LEVELS</w:t>
            </w:r>
          </w:p>
        </w:tc>
        <w:tc>
          <w:tcPr>
            <w:tcW w:w="1983" w:type="dxa"/>
            <w:tcBorders>
              <w:bottom w:val="single" w:sz="4" w:space="0" w:color="231F20"/>
            </w:tcBorders>
            <w:shd w:val="clear" w:color="auto" w:fill="E8F5F1"/>
          </w:tcPr>
          <w:p>
            <w:pPr>
              <w:pStyle w:val="TableParagraph"/>
              <w:rPr>
                <w:sz w:val="15"/>
              </w:rPr>
            </w:pPr>
          </w:p>
          <w:p>
            <w:pPr>
              <w:pStyle w:val="TableParagraph"/>
              <w:rPr>
                <w:sz w:val="15"/>
              </w:rPr>
            </w:pPr>
          </w:p>
          <w:p>
            <w:pPr>
              <w:pStyle w:val="TableParagraph"/>
              <w:spacing w:before="47"/>
              <w:rPr>
                <w:sz w:val="15"/>
              </w:rPr>
            </w:pPr>
          </w:p>
          <w:p>
            <w:pPr>
              <w:pStyle w:val="TableParagraph"/>
              <w:ind w:left="446"/>
              <w:rPr>
                <w:b/>
                <w:sz w:val="15"/>
              </w:rPr>
            </w:pPr>
            <w:r>
              <w:rPr>
                <w:b/>
                <w:color w:val="231F20"/>
                <w:spacing w:val="-2"/>
                <w:w w:val="110"/>
                <w:sz w:val="15"/>
              </w:rPr>
              <w:t>PREPARATIONS</w:t>
            </w:r>
          </w:p>
        </w:tc>
      </w:tr>
      <w:tr>
        <w:trPr>
          <w:trHeight w:val="425" w:hRule="atLeast"/>
        </w:trPr>
        <w:tc>
          <w:tcPr>
            <w:tcW w:w="1247" w:type="dxa"/>
            <w:tcBorders>
              <w:top w:val="single" w:sz="4" w:space="0" w:color="231F20"/>
              <w:bottom w:val="single" w:sz="4" w:space="0" w:color="FFFFFF"/>
            </w:tcBorders>
            <w:shd w:val="clear" w:color="auto" w:fill="E8F5F1"/>
          </w:tcPr>
          <w:p>
            <w:pPr>
              <w:pStyle w:val="TableParagraph"/>
              <w:spacing w:before="47"/>
              <w:ind w:left="99"/>
              <w:rPr>
                <w:sz w:val="15"/>
              </w:rPr>
            </w:pPr>
            <w:r>
              <w:rPr>
                <w:color w:val="231F20"/>
                <w:spacing w:val="-2"/>
                <w:sz w:val="15"/>
              </w:rPr>
              <w:t>Acetazolamide</w:t>
            </w:r>
          </w:p>
        </w:tc>
        <w:tc>
          <w:tcPr>
            <w:tcW w:w="1960" w:type="dxa"/>
            <w:tcBorders>
              <w:top w:val="single" w:sz="4" w:space="0" w:color="231F20"/>
              <w:bottom w:val="single" w:sz="4" w:space="0" w:color="FFFFFF"/>
            </w:tcBorders>
            <w:shd w:val="clear" w:color="auto" w:fill="E8F5F1"/>
          </w:tcPr>
          <w:p>
            <w:pPr>
              <w:pStyle w:val="TableParagraph"/>
              <w:spacing w:line="230" w:lineRule="auto" w:before="52"/>
              <w:ind w:left="448" w:right="37" w:hanging="112"/>
              <w:rPr>
                <w:sz w:val="15"/>
              </w:rPr>
            </w:pPr>
            <w:r>
              <w:rPr>
                <w:color w:val="231F20"/>
                <w:sz w:val="15"/>
              </w:rPr>
              <w:t>Absence</w:t>
            </w:r>
            <w:r>
              <w:rPr>
                <w:color w:val="231F20"/>
                <w:spacing w:val="-12"/>
                <w:sz w:val="15"/>
              </w:rPr>
              <w:t> </w:t>
            </w:r>
            <w:r>
              <w:rPr>
                <w:color w:val="231F20"/>
                <w:sz w:val="15"/>
              </w:rPr>
              <w:t>seizures </w:t>
            </w:r>
            <w:r>
              <w:rPr>
                <w:color w:val="231F20"/>
                <w:spacing w:val="-2"/>
                <w:sz w:val="15"/>
              </w:rPr>
              <w:t>(adults)</w:t>
            </w:r>
          </w:p>
        </w:tc>
        <w:tc>
          <w:tcPr>
            <w:tcW w:w="1989" w:type="dxa"/>
            <w:tcBorders>
              <w:top w:val="single" w:sz="4" w:space="0" w:color="231F20"/>
              <w:bottom w:val="single" w:sz="4" w:space="0" w:color="FFFFFF"/>
            </w:tcBorders>
            <w:shd w:val="clear" w:color="auto" w:fill="E8F5F1"/>
          </w:tcPr>
          <w:p>
            <w:pPr>
              <w:pStyle w:val="TableParagraph"/>
              <w:spacing w:before="47"/>
              <w:ind w:left="216"/>
              <w:rPr>
                <w:sz w:val="15"/>
              </w:rPr>
            </w:pPr>
            <w:r>
              <w:rPr>
                <w:color w:val="231F20"/>
                <w:sz w:val="15"/>
              </w:rPr>
              <w:t>1-12</w:t>
            </w:r>
            <w:r>
              <w:rPr>
                <w:color w:val="231F20"/>
                <w:spacing w:val="-11"/>
                <w:sz w:val="15"/>
              </w:rPr>
              <w:t> </w:t>
            </w:r>
            <w:r>
              <w:rPr>
                <w:color w:val="231F20"/>
                <w:sz w:val="15"/>
              </w:rPr>
              <w:t>mo;</w:t>
            </w:r>
            <w:r>
              <w:rPr>
                <w:color w:val="231F20"/>
                <w:spacing w:val="-11"/>
                <w:sz w:val="15"/>
              </w:rPr>
              <w:t> </w:t>
            </w:r>
            <w:r>
              <w:rPr>
                <w:color w:val="231F20"/>
                <w:sz w:val="15"/>
              </w:rPr>
              <w:t>10</w:t>
            </w:r>
            <w:r>
              <w:rPr>
                <w:color w:val="231F20"/>
                <w:spacing w:val="-11"/>
                <w:sz w:val="15"/>
              </w:rPr>
              <w:t> </w:t>
            </w:r>
            <w:r>
              <w:rPr>
                <w:rFonts w:ascii="Cambria"/>
                <w:color w:val="231F20"/>
                <w:sz w:val="15"/>
              </w:rPr>
              <w:t>&lt;</w:t>
            </w:r>
            <w:r>
              <w:rPr>
                <w:color w:val="231F20"/>
                <w:sz w:val="15"/>
              </w:rPr>
              <w:t>1</w:t>
            </w:r>
            <w:r>
              <w:rPr>
                <w:color w:val="231F20"/>
                <w:spacing w:val="-11"/>
                <w:sz w:val="15"/>
              </w:rPr>
              <w:t> </w:t>
            </w:r>
            <w:r>
              <w:rPr>
                <w:color w:val="231F20"/>
                <w:sz w:val="15"/>
              </w:rPr>
              <w:t>yr:</w:t>
            </w:r>
            <w:r>
              <w:rPr>
                <w:color w:val="231F20"/>
                <w:spacing w:val="-11"/>
                <w:sz w:val="15"/>
              </w:rPr>
              <w:t> </w:t>
            </w:r>
            <w:r>
              <w:rPr>
                <w:color w:val="231F20"/>
                <w:sz w:val="15"/>
              </w:rPr>
              <w:t>20-</w:t>
            </w:r>
            <w:r>
              <w:rPr>
                <w:color w:val="231F20"/>
                <w:spacing w:val="-5"/>
                <w:sz w:val="15"/>
              </w:rPr>
              <w:t>30</w:t>
            </w:r>
          </w:p>
        </w:tc>
        <w:tc>
          <w:tcPr>
            <w:tcW w:w="1253" w:type="dxa"/>
            <w:tcBorders>
              <w:top w:val="single" w:sz="4" w:space="0" w:color="231F20"/>
              <w:bottom w:val="single" w:sz="4" w:space="0" w:color="FFFFFF"/>
            </w:tcBorders>
            <w:shd w:val="clear" w:color="auto" w:fill="E8F5F1"/>
          </w:tcPr>
          <w:p>
            <w:pPr>
              <w:pStyle w:val="TableParagraph"/>
              <w:spacing w:before="47"/>
              <w:ind w:left="161"/>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231F20"/>
              <w:bottom w:val="single" w:sz="4" w:space="0" w:color="FFFFFF"/>
            </w:tcBorders>
            <w:shd w:val="clear" w:color="auto" w:fill="E8F5F1"/>
          </w:tcPr>
          <w:p>
            <w:pPr>
              <w:pStyle w:val="TableParagraph"/>
              <w:spacing w:before="47"/>
              <w:ind w:left="161"/>
              <w:rPr>
                <w:sz w:val="15"/>
              </w:rPr>
            </w:pPr>
            <w:r>
              <w:rPr>
                <w:color w:val="231F20"/>
                <w:sz w:val="15"/>
              </w:rPr>
              <w:t>10-15</w:t>
            </w:r>
            <w:r>
              <w:rPr>
                <w:color w:val="231F20"/>
                <w:spacing w:val="-11"/>
                <w:sz w:val="15"/>
              </w:rPr>
              <w:t> </w:t>
            </w:r>
            <w:r>
              <w:rPr>
                <w:color w:val="231F20"/>
                <w:spacing w:val="-4"/>
                <w:sz w:val="15"/>
              </w:rPr>
              <w:t>mg/L</w:t>
            </w:r>
          </w:p>
        </w:tc>
        <w:tc>
          <w:tcPr>
            <w:tcW w:w="1983" w:type="dxa"/>
            <w:tcBorders>
              <w:top w:val="single" w:sz="4" w:space="0" w:color="231F20"/>
              <w:bottom w:val="single" w:sz="4" w:space="0" w:color="FFFFFF"/>
            </w:tcBorders>
            <w:shd w:val="clear" w:color="auto" w:fill="E8F5F1"/>
          </w:tcPr>
          <w:p>
            <w:pPr>
              <w:pStyle w:val="TableParagraph"/>
              <w:spacing w:before="47"/>
              <w:ind w:left="162"/>
              <w:rPr>
                <w:sz w:val="15"/>
              </w:rPr>
            </w:pPr>
            <w:r>
              <w:rPr>
                <w:color w:val="231F20"/>
                <w:sz w:val="15"/>
              </w:rPr>
              <w:t>125,</w:t>
            </w:r>
            <w:r>
              <w:rPr>
                <w:color w:val="231F20"/>
                <w:spacing w:val="-6"/>
                <w:sz w:val="15"/>
              </w:rPr>
              <w:t> </w:t>
            </w:r>
            <w:r>
              <w:rPr>
                <w:color w:val="231F20"/>
                <w:sz w:val="15"/>
              </w:rPr>
              <w:t>250,</w:t>
            </w:r>
            <w:r>
              <w:rPr>
                <w:color w:val="231F20"/>
                <w:spacing w:val="-6"/>
                <w:sz w:val="15"/>
              </w:rPr>
              <w:t> </w:t>
            </w:r>
            <w:r>
              <w:rPr>
                <w:color w:val="231F20"/>
                <w:sz w:val="15"/>
              </w:rPr>
              <w:t>500</w:t>
            </w:r>
            <w:r>
              <w:rPr>
                <w:color w:val="231F20"/>
                <w:spacing w:val="-6"/>
                <w:sz w:val="15"/>
              </w:rPr>
              <w:t> </w:t>
            </w:r>
            <w:r>
              <w:rPr>
                <w:color w:val="231F20"/>
                <w:sz w:val="15"/>
              </w:rPr>
              <w:t>mg</w:t>
            </w:r>
            <w:r>
              <w:rPr>
                <w:color w:val="231F20"/>
                <w:spacing w:val="-6"/>
                <w:sz w:val="15"/>
              </w:rPr>
              <w:t> </w:t>
            </w:r>
            <w:r>
              <w:rPr>
                <w:color w:val="231F20"/>
                <w:spacing w:val="-4"/>
                <w:sz w:val="15"/>
              </w:rPr>
              <w:t>tabs</w:t>
            </w:r>
          </w:p>
        </w:tc>
      </w:tr>
      <w:tr>
        <w:trPr>
          <w:trHeight w:val="588"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Bromide</w:t>
            </w:r>
          </w:p>
        </w:tc>
        <w:tc>
          <w:tcPr>
            <w:tcW w:w="1960" w:type="dxa"/>
            <w:tcBorders>
              <w:top w:val="single" w:sz="4" w:space="0" w:color="FFFFFF"/>
              <w:bottom w:val="single" w:sz="4" w:space="0" w:color="FFFFFF"/>
            </w:tcBorders>
            <w:shd w:val="clear" w:color="auto" w:fill="E8F5F1"/>
          </w:tcPr>
          <w:p>
            <w:pPr>
              <w:pStyle w:val="TableParagraph"/>
              <w:rPr>
                <w:rFonts w:ascii="Times New Roman"/>
                <w:sz w:val="14"/>
              </w:rPr>
            </w:pP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spacing w:val="-4"/>
                <w:sz w:val="15"/>
              </w:rPr>
              <w:t>50-</w:t>
            </w:r>
            <w:r>
              <w:rPr>
                <w:color w:val="231F20"/>
                <w:spacing w:val="-5"/>
                <w:sz w:val="15"/>
              </w:rPr>
              <w:t>100</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w w:val="105"/>
                <w:sz w:val="15"/>
              </w:rPr>
              <w:t>bid</w:t>
            </w:r>
            <w:r>
              <w:rPr>
                <w:color w:val="231F20"/>
                <w:spacing w:val="-8"/>
                <w:w w:val="105"/>
                <w:sz w:val="15"/>
              </w:rPr>
              <w:t> </w:t>
            </w:r>
            <w:r>
              <w:rPr>
                <w:color w:val="231F20"/>
                <w:w w:val="105"/>
                <w:sz w:val="15"/>
              </w:rPr>
              <w:t>or</w:t>
            </w:r>
            <w:r>
              <w:rPr>
                <w:color w:val="231F20"/>
                <w:spacing w:val="-8"/>
                <w:w w:val="105"/>
                <w:sz w:val="15"/>
              </w:rPr>
              <w:t> </w:t>
            </w:r>
            <w:r>
              <w:rPr>
                <w:color w:val="231F20"/>
                <w:spacing w:val="-5"/>
                <w:w w:val="105"/>
                <w:sz w:val="15"/>
              </w:rPr>
              <w:t>qd</w:t>
            </w:r>
          </w:p>
        </w:tc>
        <w:tc>
          <w:tcPr>
            <w:tcW w:w="13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10-15</w:t>
            </w:r>
            <w:r>
              <w:rPr>
                <w:color w:val="231F20"/>
                <w:spacing w:val="-11"/>
                <w:sz w:val="15"/>
              </w:rPr>
              <w:t> </w:t>
            </w:r>
            <w:r>
              <w:rPr>
                <w:color w:val="231F20"/>
                <w:spacing w:val="-2"/>
                <w:sz w:val="15"/>
              </w:rPr>
              <w:t>mEq/L</w:t>
            </w:r>
          </w:p>
        </w:tc>
        <w:tc>
          <w:tcPr>
            <w:tcW w:w="1983" w:type="dxa"/>
            <w:tcBorders>
              <w:top w:val="single" w:sz="4" w:space="0" w:color="FFFFFF"/>
              <w:bottom w:val="single" w:sz="4" w:space="0" w:color="FFFFFF"/>
            </w:tcBorders>
            <w:shd w:val="clear" w:color="auto" w:fill="E8F5F1"/>
          </w:tcPr>
          <w:p>
            <w:pPr>
              <w:pStyle w:val="TableParagraph"/>
              <w:spacing w:line="230" w:lineRule="auto" w:before="48"/>
              <w:ind w:left="274" w:right="113" w:hanging="112"/>
              <w:rPr>
                <w:sz w:val="15"/>
              </w:rPr>
            </w:pPr>
            <w:r>
              <w:rPr>
                <w:color w:val="231F20"/>
                <w:sz w:val="15"/>
              </w:rPr>
              <w:t>Supplied as triple bromide</w:t>
            </w:r>
            <w:r>
              <w:rPr>
                <w:color w:val="231F20"/>
                <w:spacing w:val="-12"/>
                <w:sz w:val="15"/>
              </w:rPr>
              <w:t> </w:t>
            </w:r>
            <w:r>
              <w:rPr>
                <w:color w:val="231F20"/>
                <w:sz w:val="15"/>
              </w:rPr>
              <w:t>soln</w:t>
            </w:r>
            <w:r>
              <w:rPr>
                <w:color w:val="231F20"/>
                <w:spacing w:val="-11"/>
                <w:sz w:val="15"/>
              </w:rPr>
              <w:t> </w:t>
            </w:r>
            <w:r>
              <w:rPr>
                <w:color w:val="231F20"/>
                <w:sz w:val="15"/>
              </w:rPr>
              <w:t>(240</w:t>
            </w:r>
            <w:r>
              <w:rPr>
                <w:color w:val="231F20"/>
                <w:spacing w:val="-11"/>
                <w:sz w:val="15"/>
              </w:rPr>
              <w:t> </w:t>
            </w:r>
            <w:r>
              <w:rPr>
                <w:color w:val="231F20"/>
                <w:sz w:val="15"/>
              </w:rPr>
              <w:t>mg/ mL of bromide salt)</w:t>
            </w:r>
          </w:p>
        </w:tc>
      </w:tr>
      <w:tr>
        <w:trPr>
          <w:trHeight w:val="924"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Carbamazepine</w:t>
            </w:r>
            <w:r>
              <w:rPr>
                <w:color w:val="0080AC"/>
                <w:spacing w:val="-2"/>
                <w:sz w:val="15"/>
              </w:rPr>
              <w:t>*</w:t>
            </w:r>
          </w:p>
        </w:tc>
        <w:tc>
          <w:tcPr>
            <w:tcW w:w="1960" w:type="dxa"/>
            <w:tcBorders>
              <w:top w:val="single" w:sz="4" w:space="0" w:color="FFFFFF"/>
              <w:bottom w:val="single" w:sz="4" w:space="0" w:color="FFFFFF"/>
            </w:tcBorders>
            <w:shd w:val="clear" w:color="auto" w:fill="E8F5F1"/>
          </w:tcPr>
          <w:p>
            <w:pPr>
              <w:pStyle w:val="TableParagraph"/>
              <w:spacing w:line="230" w:lineRule="auto" w:before="48"/>
              <w:ind w:left="448" w:right="37" w:hanging="112"/>
              <w:rPr>
                <w:sz w:val="15"/>
              </w:rPr>
            </w:pPr>
            <w:r>
              <w:rPr>
                <w:color w:val="231F20"/>
                <w:spacing w:val="-2"/>
                <w:sz w:val="15"/>
              </w:rPr>
              <w:t>Partial</w:t>
            </w:r>
            <w:r>
              <w:rPr>
                <w:color w:val="231F20"/>
                <w:spacing w:val="-10"/>
                <w:sz w:val="15"/>
              </w:rPr>
              <w:t> </w:t>
            </w:r>
            <w:r>
              <w:rPr>
                <w:color w:val="231F20"/>
                <w:spacing w:val="-2"/>
                <w:sz w:val="15"/>
              </w:rPr>
              <w:t>and</w:t>
            </w:r>
            <w:r>
              <w:rPr>
                <w:color w:val="231F20"/>
                <w:spacing w:val="-9"/>
                <w:sz w:val="15"/>
              </w:rPr>
              <w:t> </w:t>
            </w:r>
            <w:r>
              <w:rPr>
                <w:color w:val="231F20"/>
                <w:spacing w:val="-2"/>
                <w:sz w:val="15"/>
              </w:rPr>
              <w:t>GTC</w:t>
            </w:r>
            <w:r>
              <w:rPr>
                <w:color w:val="231F20"/>
                <w:spacing w:val="-9"/>
                <w:sz w:val="15"/>
              </w:rPr>
              <w:t> </w:t>
            </w:r>
            <w:r>
              <w:rPr>
                <w:color w:val="231F20"/>
                <w:spacing w:val="-2"/>
                <w:sz w:val="15"/>
              </w:rPr>
              <w:t>(all ages)</w:t>
            </w: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spacing w:val="-4"/>
                <w:sz w:val="15"/>
              </w:rPr>
              <w:t>10-</w:t>
            </w:r>
            <w:r>
              <w:rPr>
                <w:color w:val="231F20"/>
                <w:spacing w:val="-5"/>
                <w:sz w:val="15"/>
              </w:rPr>
              <w:t>20</w:t>
            </w:r>
          </w:p>
        </w:tc>
        <w:tc>
          <w:tcPr>
            <w:tcW w:w="1253" w:type="dxa"/>
            <w:tcBorders>
              <w:top w:val="single" w:sz="4" w:space="0" w:color="FFFFFF"/>
              <w:bottom w:val="single" w:sz="4" w:space="0" w:color="FFFFFF"/>
            </w:tcBorders>
            <w:shd w:val="clear" w:color="auto" w:fill="E8F5F1"/>
          </w:tcPr>
          <w:p>
            <w:pPr>
              <w:pStyle w:val="TableParagraph"/>
              <w:spacing w:line="171" w:lineRule="exact" w:before="42"/>
              <w:ind w:left="161"/>
              <w:rPr>
                <w:sz w:val="15"/>
              </w:rPr>
            </w:pPr>
            <w:r>
              <w:rPr>
                <w:color w:val="231F20"/>
                <w:sz w:val="15"/>
              </w:rPr>
              <w:t>tid</w:t>
            </w:r>
            <w:r>
              <w:rPr>
                <w:color w:val="231F20"/>
                <w:spacing w:val="-5"/>
                <w:sz w:val="15"/>
              </w:rPr>
              <w:t> </w:t>
            </w:r>
            <w:r>
              <w:rPr>
                <w:color w:val="231F20"/>
                <w:sz w:val="15"/>
              </w:rPr>
              <w:t>or</w:t>
            </w:r>
            <w:r>
              <w:rPr>
                <w:color w:val="231F20"/>
                <w:spacing w:val="-4"/>
                <w:sz w:val="15"/>
              </w:rPr>
              <w:t> </w:t>
            </w:r>
            <w:r>
              <w:rPr>
                <w:color w:val="231F20"/>
                <w:spacing w:val="-5"/>
                <w:sz w:val="15"/>
              </w:rPr>
              <w:t>qid</w:t>
            </w:r>
          </w:p>
          <w:p>
            <w:pPr>
              <w:pStyle w:val="TableParagraph"/>
              <w:spacing w:line="171" w:lineRule="exact"/>
              <w:ind w:left="161"/>
              <w:rPr>
                <w:sz w:val="15"/>
              </w:rPr>
            </w:pPr>
            <w:r>
              <w:rPr>
                <w:color w:val="231F20"/>
                <w:sz w:val="15"/>
              </w:rPr>
              <w:t>SR</w:t>
            </w:r>
            <w:r>
              <w:rPr>
                <w:color w:val="231F20"/>
                <w:spacing w:val="-3"/>
                <w:sz w:val="15"/>
              </w:rPr>
              <w:t> </w:t>
            </w:r>
            <w:r>
              <w:rPr>
                <w:color w:val="231F20"/>
                <w:sz w:val="15"/>
              </w:rPr>
              <w:t>usually</w:t>
            </w:r>
            <w:r>
              <w:rPr>
                <w:color w:val="231F20"/>
                <w:spacing w:val="-3"/>
                <w:sz w:val="15"/>
              </w:rPr>
              <w:t> </w:t>
            </w:r>
            <w:r>
              <w:rPr>
                <w:color w:val="231F20"/>
                <w:spacing w:val="-5"/>
                <w:sz w:val="15"/>
              </w:rPr>
              <w:t>bid</w:t>
            </w:r>
          </w:p>
        </w:tc>
        <w:tc>
          <w:tcPr>
            <w:tcW w:w="13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3-12</w:t>
            </w:r>
            <w:r>
              <w:rPr>
                <w:color w:val="231F20"/>
                <w:spacing w:val="-8"/>
                <w:sz w:val="15"/>
              </w:rPr>
              <w:t> </w:t>
            </w:r>
            <w:r>
              <w:rPr>
                <w:color w:val="231F20"/>
                <w:spacing w:val="-4"/>
                <w:sz w:val="15"/>
              </w:rPr>
              <w:t>mg/L</w:t>
            </w:r>
          </w:p>
        </w:tc>
        <w:tc>
          <w:tcPr>
            <w:tcW w:w="1983" w:type="dxa"/>
            <w:tcBorders>
              <w:top w:val="single" w:sz="4" w:space="0" w:color="FFFFFF"/>
              <w:bottom w:val="single" w:sz="4" w:space="0" w:color="FFFFFF"/>
            </w:tcBorders>
            <w:shd w:val="clear" w:color="auto" w:fill="E8F5F1"/>
          </w:tcPr>
          <w:p>
            <w:pPr>
              <w:pStyle w:val="TableParagraph"/>
              <w:spacing w:line="171" w:lineRule="exact" w:before="42"/>
              <w:ind w:left="162"/>
              <w:rPr>
                <w:sz w:val="15"/>
              </w:rPr>
            </w:pPr>
            <w:r>
              <w:rPr>
                <w:color w:val="231F20"/>
                <w:sz w:val="15"/>
              </w:rPr>
              <w:t>150,</w:t>
            </w:r>
            <w:r>
              <w:rPr>
                <w:color w:val="231F20"/>
                <w:spacing w:val="1"/>
                <w:sz w:val="15"/>
              </w:rPr>
              <w:t> </w:t>
            </w:r>
            <w:r>
              <w:rPr>
                <w:color w:val="231F20"/>
                <w:sz w:val="15"/>
              </w:rPr>
              <w:t>300</w:t>
            </w:r>
            <w:r>
              <w:rPr>
                <w:color w:val="231F20"/>
                <w:spacing w:val="1"/>
                <w:sz w:val="15"/>
              </w:rPr>
              <w:t> </w:t>
            </w:r>
            <w:r>
              <w:rPr>
                <w:color w:val="231F20"/>
                <w:sz w:val="15"/>
              </w:rPr>
              <w:t>mg</w:t>
            </w:r>
            <w:r>
              <w:rPr>
                <w:color w:val="231F20"/>
                <w:spacing w:val="1"/>
                <w:sz w:val="15"/>
              </w:rPr>
              <w:t> </w:t>
            </w:r>
            <w:r>
              <w:rPr>
                <w:color w:val="231F20"/>
                <w:sz w:val="15"/>
              </w:rPr>
              <w:t>ER</w:t>
            </w:r>
            <w:r>
              <w:rPr>
                <w:color w:val="231F20"/>
                <w:spacing w:val="2"/>
                <w:sz w:val="15"/>
              </w:rPr>
              <w:t> </w:t>
            </w:r>
            <w:r>
              <w:rPr>
                <w:color w:val="231F20"/>
                <w:spacing w:val="-4"/>
                <w:sz w:val="15"/>
              </w:rPr>
              <w:t>caps</w:t>
            </w:r>
          </w:p>
          <w:p>
            <w:pPr>
              <w:pStyle w:val="TableParagraph"/>
              <w:spacing w:line="230" w:lineRule="auto" w:before="2"/>
              <w:ind w:left="162" w:right="113"/>
              <w:rPr>
                <w:sz w:val="15"/>
              </w:rPr>
            </w:pPr>
            <w:r>
              <w:rPr>
                <w:color w:val="231F20"/>
                <w:sz w:val="15"/>
              </w:rPr>
              <w:t>100,</w:t>
            </w:r>
            <w:r>
              <w:rPr>
                <w:color w:val="231F20"/>
                <w:spacing w:val="-9"/>
                <w:sz w:val="15"/>
              </w:rPr>
              <w:t> </w:t>
            </w:r>
            <w:r>
              <w:rPr>
                <w:color w:val="231F20"/>
                <w:sz w:val="15"/>
              </w:rPr>
              <w:t>200,</w:t>
            </w:r>
            <w:r>
              <w:rPr>
                <w:color w:val="231F20"/>
                <w:spacing w:val="-9"/>
                <w:sz w:val="15"/>
              </w:rPr>
              <w:t> </w:t>
            </w:r>
            <w:r>
              <w:rPr>
                <w:color w:val="231F20"/>
                <w:sz w:val="15"/>
              </w:rPr>
              <w:t>400</w:t>
            </w:r>
            <w:r>
              <w:rPr>
                <w:color w:val="231F20"/>
                <w:spacing w:val="-9"/>
                <w:sz w:val="15"/>
              </w:rPr>
              <w:t> </w:t>
            </w:r>
            <w:r>
              <w:rPr>
                <w:color w:val="231F20"/>
                <w:sz w:val="15"/>
              </w:rPr>
              <w:t>mg</w:t>
            </w:r>
            <w:r>
              <w:rPr>
                <w:color w:val="231F20"/>
                <w:spacing w:val="-9"/>
                <w:sz w:val="15"/>
              </w:rPr>
              <w:t> </w:t>
            </w:r>
            <w:r>
              <w:rPr>
                <w:color w:val="231F20"/>
                <w:sz w:val="15"/>
              </w:rPr>
              <w:t>ER</w:t>
            </w:r>
            <w:r>
              <w:rPr>
                <w:color w:val="231F20"/>
                <w:spacing w:val="-9"/>
                <w:sz w:val="15"/>
              </w:rPr>
              <w:t> </w:t>
            </w:r>
            <w:r>
              <w:rPr>
                <w:color w:val="231F20"/>
                <w:sz w:val="15"/>
              </w:rPr>
              <w:t>tabs 100 mg chewable tabs 200 mg tabs</w:t>
            </w:r>
          </w:p>
          <w:p>
            <w:pPr>
              <w:pStyle w:val="TableParagraph"/>
              <w:spacing w:line="171" w:lineRule="exact"/>
              <w:ind w:left="162"/>
              <w:rPr>
                <w:sz w:val="15"/>
              </w:rPr>
            </w:pPr>
            <w:r>
              <w:rPr>
                <w:color w:val="231F20"/>
                <w:sz w:val="15"/>
              </w:rPr>
              <w:t>100</w:t>
            </w:r>
            <w:r>
              <w:rPr>
                <w:color w:val="231F20"/>
                <w:spacing w:val="-3"/>
                <w:sz w:val="15"/>
              </w:rPr>
              <w:t> </w:t>
            </w:r>
            <w:r>
              <w:rPr>
                <w:color w:val="231F20"/>
                <w:sz w:val="15"/>
              </w:rPr>
              <w:t>mg/5</w:t>
            </w:r>
            <w:r>
              <w:rPr>
                <w:color w:val="231F20"/>
                <w:spacing w:val="-3"/>
                <w:sz w:val="15"/>
              </w:rPr>
              <w:t> </w:t>
            </w:r>
            <w:r>
              <w:rPr>
                <w:color w:val="231F20"/>
                <w:sz w:val="15"/>
              </w:rPr>
              <w:t>mL</w:t>
            </w:r>
            <w:r>
              <w:rPr>
                <w:color w:val="231F20"/>
                <w:spacing w:val="-3"/>
                <w:sz w:val="15"/>
              </w:rPr>
              <w:t> </w:t>
            </w:r>
            <w:r>
              <w:rPr>
                <w:color w:val="231F20"/>
                <w:spacing w:val="-4"/>
                <w:sz w:val="15"/>
              </w:rPr>
              <w:t>susp</w:t>
            </w:r>
          </w:p>
        </w:tc>
      </w:tr>
      <w:tr>
        <w:trPr>
          <w:trHeight w:val="420"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Clobazam</w:t>
            </w:r>
            <w:r>
              <w:rPr>
                <w:color w:val="0080AC"/>
                <w:spacing w:val="-2"/>
                <w:sz w:val="15"/>
                <w:vertAlign w:val="superscript"/>
              </w:rPr>
              <w:t>†</w:t>
            </w:r>
          </w:p>
        </w:tc>
        <w:tc>
          <w:tcPr>
            <w:tcW w:w="1960" w:type="dxa"/>
            <w:tcBorders>
              <w:top w:val="single" w:sz="4" w:space="0" w:color="FFFFFF"/>
              <w:bottom w:val="single" w:sz="4" w:space="0" w:color="FFFFFF"/>
            </w:tcBorders>
            <w:shd w:val="clear" w:color="auto" w:fill="E8F5F1"/>
          </w:tcPr>
          <w:p>
            <w:pPr>
              <w:pStyle w:val="TableParagraph"/>
              <w:spacing w:line="230" w:lineRule="auto" w:before="48"/>
              <w:ind w:left="448" w:right="278" w:hanging="112"/>
              <w:rPr>
                <w:sz w:val="15"/>
              </w:rPr>
            </w:pPr>
            <w:r>
              <w:rPr>
                <w:color w:val="231F20"/>
                <w:sz w:val="15"/>
              </w:rPr>
              <w:t>LGS</w:t>
            </w:r>
            <w:r>
              <w:rPr>
                <w:color w:val="231F20"/>
                <w:spacing w:val="-5"/>
                <w:sz w:val="15"/>
              </w:rPr>
              <w:t> </w:t>
            </w:r>
            <w:r>
              <w:rPr>
                <w:color w:val="231F20"/>
                <w:sz w:val="15"/>
              </w:rPr>
              <w:t>(all</w:t>
            </w:r>
            <w:r>
              <w:rPr>
                <w:color w:val="231F20"/>
                <w:spacing w:val="-5"/>
                <w:sz w:val="15"/>
              </w:rPr>
              <w:t> </w:t>
            </w:r>
            <w:r>
              <w:rPr>
                <w:color w:val="231F20"/>
                <w:sz w:val="15"/>
              </w:rPr>
              <w:t>ages</w:t>
            </w:r>
            <w:r>
              <w:rPr>
                <w:color w:val="231F20"/>
                <w:spacing w:val="-5"/>
                <w:sz w:val="15"/>
              </w:rPr>
              <w:t> </w:t>
            </w:r>
            <w:r>
              <w:rPr>
                <w:color w:val="231F20"/>
                <w:sz w:val="15"/>
              </w:rPr>
              <w:t>above 2 yr)</w:t>
            </w: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sz w:val="15"/>
              </w:rPr>
              <w:t>10-20</w:t>
            </w:r>
            <w:r>
              <w:rPr>
                <w:color w:val="231F20"/>
                <w:spacing w:val="-11"/>
                <w:sz w:val="15"/>
              </w:rPr>
              <w:t> </w:t>
            </w:r>
            <w:r>
              <w:rPr>
                <w:color w:val="231F20"/>
                <w:spacing w:val="-2"/>
                <w:sz w:val="15"/>
              </w:rPr>
              <w:t>mg/day</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3"/>
              <w:ind w:left="161"/>
              <w:rPr>
                <w:sz w:val="15"/>
              </w:rPr>
            </w:pPr>
            <w:r>
              <w:rPr>
                <w:color w:val="231F20"/>
                <w:spacing w:val="-2"/>
                <w:sz w:val="15"/>
              </w:rPr>
              <w:t>60-200</w:t>
            </w:r>
            <w:r>
              <w:rPr>
                <w:color w:val="231F20"/>
                <w:spacing w:val="-1"/>
                <w:sz w:val="15"/>
              </w:rPr>
              <w:t> </w:t>
            </w:r>
            <w:r>
              <w:rPr>
                <w:rFonts w:ascii="Cambria" w:hAnsi="Cambria"/>
                <w:color w:val="231F20"/>
                <w:spacing w:val="-4"/>
                <w:sz w:val="15"/>
              </w:rPr>
              <w:t>μ</w:t>
            </w:r>
            <w:r>
              <w:rPr>
                <w:color w:val="231F20"/>
                <w:spacing w:val="-4"/>
                <w:sz w:val="15"/>
              </w:rPr>
              <w:t>g/L</w:t>
            </w:r>
          </w:p>
        </w:tc>
        <w:tc>
          <w:tcPr>
            <w:tcW w:w="1983" w:type="dxa"/>
            <w:tcBorders>
              <w:top w:val="single" w:sz="4" w:space="0" w:color="FFFFFF"/>
              <w:bottom w:val="single" w:sz="4" w:space="0" w:color="FFFFFF"/>
            </w:tcBorders>
            <w:shd w:val="clear" w:color="auto" w:fill="E8F5F1"/>
          </w:tcPr>
          <w:p>
            <w:pPr>
              <w:pStyle w:val="TableParagraph"/>
              <w:spacing w:line="171" w:lineRule="exact" w:before="42"/>
              <w:ind w:left="162"/>
              <w:rPr>
                <w:sz w:val="15"/>
              </w:rPr>
            </w:pPr>
            <w:r>
              <w:rPr>
                <w:color w:val="231F20"/>
                <w:sz w:val="15"/>
              </w:rPr>
              <w:t>5</w:t>
            </w:r>
            <w:r>
              <w:rPr>
                <w:color w:val="231F20"/>
                <w:spacing w:val="2"/>
                <w:sz w:val="15"/>
              </w:rPr>
              <w:t> </w:t>
            </w:r>
            <w:r>
              <w:rPr>
                <w:color w:val="231F20"/>
                <w:sz w:val="15"/>
              </w:rPr>
              <w:t>mg,</w:t>
            </w:r>
            <w:r>
              <w:rPr>
                <w:color w:val="231F20"/>
                <w:spacing w:val="3"/>
                <w:sz w:val="15"/>
              </w:rPr>
              <w:t> </w:t>
            </w:r>
            <w:r>
              <w:rPr>
                <w:color w:val="231F20"/>
                <w:sz w:val="15"/>
              </w:rPr>
              <w:t>10</w:t>
            </w:r>
            <w:r>
              <w:rPr>
                <w:color w:val="231F20"/>
                <w:spacing w:val="3"/>
                <w:sz w:val="15"/>
              </w:rPr>
              <w:t> </w:t>
            </w:r>
            <w:r>
              <w:rPr>
                <w:color w:val="231F20"/>
                <w:sz w:val="15"/>
              </w:rPr>
              <w:t>mg,</w:t>
            </w:r>
            <w:r>
              <w:rPr>
                <w:color w:val="231F20"/>
                <w:spacing w:val="2"/>
                <w:sz w:val="15"/>
              </w:rPr>
              <w:t> </w:t>
            </w:r>
            <w:r>
              <w:rPr>
                <w:color w:val="231F20"/>
                <w:sz w:val="15"/>
              </w:rPr>
              <w:t>20</w:t>
            </w:r>
            <w:r>
              <w:rPr>
                <w:color w:val="231F20"/>
                <w:spacing w:val="3"/>
                <w:sz w:val="15"/>
              </w:rPr>
              <w:t> </w:t>
            </w:r>
            <w:r>
              <w:rPr>
                <w:color w:val="231F20"/>
                <w:sz w:val="15"/>
              </w:rPr>
              <w:t>mg</w:t>
            </w:r>
            <w:r>
              <w:rPr>
                <w:color w:val="231F20"/>
                <w:spacing w:val="3"/>
                <w:sz w:val="15"/>
              </w:rPr>
              <w:t> </w:t>
            </w:r>
            <w:r>
              <w:rPr>
                <w:color w:val="231F20"/>
                <w:spacing w:val="-4"/>
                <w:sz w:val="15"/>
              </w:rPr>
              <w:t>tabs</w:t>
            </w:r>
          </w:p>
          <w:p>
            <w:pPr>
              <w:pStyle w:val="TableParagraph"/>
              <w:spacing w:line="171" w:lineRule="exact"/>
              <w:ind w:left="162"/>
              <w:rPr>
                <w:sz w:val="15"/>
              </w:rPr>
            </w:pPr>
            <w:r>
              <w:rPr>
                <w:color w:val="231F20"/>
                <w:sz w:val="15"/>
              </w:rPr>
              <w:t>2.5</w:t>
            </w:r>
            <w:r>
              <w:rPr>
                <w:color w:val="231F20"/>
                <w:spacing w:val="-11"/>
                <w:sz w:val="15"/>
              </w:rPr>
              <w:t> </w:t>
            </w:r>
            <w:r>
              <w:rPr>
                <w:color w:val="231F20"/>
                <w:sz w:val="15"/>
              </w:rPr>
              <w:t>mg/mL</w:t>
            </w:r>
            <w:r>
              <w:rPr>
                <w:color w:val="231F20"/>
                <w:spacing w:val="-11"/>
                <w:sz w:val="15"/>
              </w:rPr>
              <w:t> </w:t>
            </w:r>
            <w:r>
              <w:rPr>
                <w:color w:val="231F20"/>
                <w:spacing w:val="-4"/>
                <w:sz w:val="15"/>
              </w:rPr>
              <w:t>soln</w:t>
            </w:r>
          </w:p>
        </w:tc>
      </w:tr>
      <w:tr>
        <w:trPr>
          <w:trHeight w:val="588"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Clonazepam</w:t>
            </w:r>
            <w:r>
              <w:rPr>
                <w:color w:val="0080AC"/>
                <w:spacing w:val="-2"/>
                <w:sz w:val="15"/>
                <w:vertAlign w:val="superscript"/>
              </w:rPr>
              <w:t>†</w:t>
            </w:r>
          </w:p>
        </w:tc>
        <w:tc>
          <w:tcPr>
            <w:tcW w:w="1960" w:type="dxa"/>
            <w:tcBorders>
              <w:top w:val="single" w:sz="4" w:space="0" w:color="FFFFFF"/>
              <w:bottom w:val="single" w:sz="4" w:space="0" w:color="FFFFFF"/>
            </w:tcBorders>
            <w:shd w:val="clear" w:color="auto" w:fill="E8F5F1"/>
          </w:tcPr>
          <w:p>
            <w:pPr>
              <w:pStyle w:val="TableParagraph"/>
              <w:spacing w:line="230" w:lineRule="auto" w:before="48"/>
              <w:ind w:left="448" w:right="429" w:hanging="112"/>
              <w:jc w:val="both"/>
              <w:rPr>
                <w:sz w:val="15"/>
              </w:rPr>
            </w:pPr>
            <w:r>
              <w:rPr>
                <w:color w:val="231F20"/>
                <w:sz w:val="15"/>
              </w:rPr>
              <w:t>Absence sz, LGS, </w:t>
            </w:r>
            <w:r>
              <w:rPr>
                <w:color w:val="231F20"/>
                <w:spacing w:val="-4"/>
                <w:sz w:val="15"/>
              </w:rPr>
              <w:t>myoclonic</w:t>
            </w:r>
            <w:r>
              <w:rPr>
                <w:color w:val="231F20"/>
                <w:spacing w:val="-8"/>
                <w:sz w:val="15"/>
              </w:rPr>
              <w:t> </w:t>
            </w:r>
            <w:r>
              <w:rPr>
                <w:color w:val="231F20"/>
                <w:spacing w:val="-4"/>
                <w:sz w:val="15"/>
              </w:rPr>
              <w:t>sz</w:t>
            </w:r>
            <w:r>
              <w:rPr>
                <w:color w:val="231F20"/>
                <w:spacing w:val="-7"/>
                <w:sz w:val="15"/>
              </w:rPr>
              <w:t> </w:t>
            </w:r>
            <w:r>
              <w:rPr>
                <w:color w:val="231F20"/>
                <w:spacing w:val="-4"/>
                <w:sz w:val="15"/>
              </w:rPr>
              <w:t>(all </w:t>
            </w:r>
            <w:r>
              <w:rPr>
                <w:color w:val="231F20"/>
                <w:spacing w:val="-2"/>
                <w:sz w:val="15"/>
              </w:rPr>
              <w:t>ages)</w:t>
            </w: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w w:val="90"/>
                <w:sz w:val="15"/>
              </w:rPr>
              <w:t>0.05-</w:t>
            </w:r>
            <w:r>
              <w:rPr>
                <w:color w:val="231F20"/>
                <w:spacing w:val="-5"/>
                <w:sz w:val="15"/>
              </w:rPr>
              <w:t>0.2</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3"/>
              <w:ind w:left="161"/>
              <w:rPr>
                <w:sz w:val="15"/>
              </w:rPr>
            </w:pPr>
            <w:r>
              <w:rPr>
                <w:color w:val="231F20"/>
                <w:sz w:val="15"/>
              </w:rPr>
              <w:t>25-85</w:t>
            </w:r>
            <w:r>
              <w:rPr>
                <w:color w:val="231F20"/>
                <w:spacing w:val="-11"/>
                <w:sz w:val="15"/>
              </w:rPr>
              <w:t> </w:t>
            </w:r>
            <w:r>
              <w:rPr>
                <w:rFonts w:ascii="Cambria" w:hAnsi="Cambria"/>
                <w:color w:val="231F20"/>
                <w:spacing w:val="-4"/>
                <w:sz w:val="15"/>
              </w:rPr>
              <w:t>μ</w:t>
            </w:r>
            <w:r>
              <w:rPr>
                <w:color w:val="231F20"/>
                <w:spacing w:val="-4"/>
                <w:sz w:val="15"/>
              </w:rPr>
              <w:t>g/L</w:t>
            </w:r>
          </w:p>
        </w:tc>
        <w:tc>
          <w:tcPr>
            <w:tcW w:w="1983" w:type="dxa"/>
            <w:tcBorders>
              <w:top w:val="single" w:sz="4" w:space="0" w:color="FFFFFF"/>
              <w:bottom w:val="single" w:sz="4" w:space="0" w:color="FFFFFF"/>
            </w:tcBorders>
            <w:shd w:val="clear" w:color="auto" w:fill="E8F5F1"/>
          </w:tcPr>
          <w:p>
            <w:pPr>
              <w:pStyle w:val="TableParagraph"/>
              <w:spacing w:line="171" w:lineRule="exact" w:before="42"/>
              <w:ind w:left="162"/>
              <w:rPr>
                <w:sz w:val="15"/>
              </w:rPr>
            </w:pPr>
            <w:r>
              <w:rPr>
                <w:color w:val="231F20"/>
                <w:sz w:val="15"/>
              </w:rPr>
              <w:t>0.5,</w:t>
            </w:r>
            <w:r>
              <w:rPr>
                <w:color w:val="231F20"/>
                <w:spacing w:val="-9"/>
                <w:sz w:val="15"/>
              </w:rPr>
              <w:t> </w:t>
            </w:r>
            <w:r>
              <w:rPr>
                <w:color w:val="231F20"/>
                <w:sz w:val="15"/>
              </w:rPr>
              <w:t>1,</w:t>
            </w:r>
            <w:r>
              <w:rPr>
                <w:color w:val="231F20"/>
                <w:spacing w:val="-8"/>
                <w:sz w:val="15"/>
              </w:rPr>
              <w:t> </w:t>
            </w:r>
            <w:r>
              <w:rPr>
                <w:color w:val="231F20"/>
                <w:sz w:val="15"/>
              </w:rPr>
              <w:t>2</w:t>
            </w:r>
            <w:r>
              <w:rPr>
                <w:color w:val="231F20"/>
                <w:spacing w:val="-8"/>
                <w:sz w:val="15"/>
              </w:rPr>
              <w:t> </w:t>
            </w:r>
            <w:r>
              <w:rPr>
                <w:color w:val="231F20"/>
                <w:sz w:val="15"/>
              </w:rPr>
              <w:t>mg</w:t>
            </w:r>
            <w:r>
              <w:rPr>
                <w:color w:val="231F20"/>
                <w:spacing w:val="-8"/>
                <w:sz w:val="15"/>
              </w:rPr>
              <w:t> </w:t>
            </w:r>
            <w:r>
              <w:rPr>
                <w:color w:val="231F20"/>
                <w:spacing w:val="-4"/>
                <w:sz w:val="15"/>
              </w:rPr>
              <w:t>tabs</w:t>
            </w:r>
          </w:p>
          <w:p>
            <w:pPr>
              <w:pStyle w:val="TableParagraph"/>
              <w:spacing w:line="230" w:lineRule="auto" w:before="2"/>
              <w:ind w:left="274" w:hanging="112"/>
              <w:rPr>
                <w:sz w:val="15"/>
              </w:rPr>
            </w:pPr>
            <w:r>
              <w:rPr>
                <w:color w:val="231F20"/>
                <w:spacing w:val="-4"/>
                <w:sz w:val="15"/>
              </w:rPr>
              <w:t>0.125,</w:t>
            </w:r>
            <w:r>
              <w:rPr>
                <w:color w:val="231F20"/>
                <w:spacing w:val="-8"/>
                <w:sz w:val="15"/>
              </w:rPr>
              <w:t> </w:t>
            </w:r>
            <w:r>
              <w:rPr>
                <w:color w:val="231F20"/>
                <w:spacing w:val="-4"/>
                <w:sz w:val="15"/>
              </w:rPr>
              <w:t>0.25,</w:t>
            </w:r>
            <w:r>
              <w:rPr>
                <w:color w:val="231F20"/>
                <w:spacing w:val="-7"/>
                <w:sz w:val="15"/>
              </w:rPr>
              <w:t> </w:t>
            </w:r>
            <w:r>
              <w:rPr>
                <w:color w:val="231F20"/>
                <w:spacing w:val="-4"/>
                <w:sz w:val="15"/>
              </w:rPr>
              <w:t>0.5</w:t>
            </w:r>
            <w:r>
              <w:rPr>
                <w:color w:val="231F20"/>
                <w:spacing w:val="-7"/>
                <w:sz w:val="15"/>
              </w:rPr>
              <w:t> </w:t>
            </w:r>
            <w:r>
              <w:rPr>
                <w:color w:val="231F20"/>
                <w:spacing w:val="-4"/>
                <w:sz w:val="15"/>
              </w:rPr>
              <w:t>mg</w:t>
            </w:r>
            <w:r>
              <w:rPr>
                <w:color w:val="231F20"/>
                <w:spacing w:val="-8"/>
                <w:sz w:val="15"/>
              </w:rPr>
              <w:t> </w:t>
            </w:r>
            <w:r>
              <w:rPr>
                <w:color w:val="231F20"/>
                <w:spacing w:val="-4"/>
                <w:sz w:val="15"/>
              </w:rPr>
              <w:t>orall</w:t>
            </w:r>
            <w:r>
              <w:rPr>
                <w:color w:val="231F20"/>
                <w:spacing w:val="-4"/>
                <w:sz w:val="15"/>
              </w:rPr>
              <w:t>y</w:t>
            </w:r>
            <w:r>
              <w:rPr>
                <w:color w:val="231F20"/>
                <w:spacing w:val="-4"/>
                <w:sz w:val="15"/>
              </w:rPr>
              <w:t> </w:t>
            </w:r>
            <w:r>
              <w:rPr>
                <w:color w:val="231F20"/>
                <w:sz w:val="15"/>
              </w:rPr>
              <w:t>disintegrating tabs</w:t>
            </w:r>
          </w:p>
        </w:tc>
      </w:tr>
      <w:tr>
        <w:trPr>
          <w:trHeight w:val="1092"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Diazepam</w:t>
            </w:r>
          </w:p>
        </w:tc>
        <w:tc>
          <w:tcPr>
            <w:tcW w:w="1960" w:type="dxa"/>
            <w:tcBorders>
              <w:top w:val="single" w:sz="4" w:space="0" w:color="FFFFFF"/>
              <w:bottom w:val="single" w:sz="4" w:space="0" w:color="FFFFFF"/>
            </w:tcBorders>
            <w:shd w:val="clear" w:color="auto" w:fill="E8F5F1"/>
          </w:tcPr>
          <w:p>
            <w:pPr>
              <w:pStyle w:val="TableParagraph"/>
              <w:spacing w:line="170" w:lineRule="exact" w:before="42"/>
              <w:ind w:left="336"/>
              <w:rPr>
                <w:sz w:val="15"/>
              </w:rPr>
            </w:pPr>
            <w:r>
              <w:rPr>
                <w:color w:val="231F20"/>
                <w:spacing w:val="-4"/>
                <w:sz w:val="15"/>
              </w:rPr>
              <w:t>Partial</w:t>
            </w:r>
            <w:r>
              <w:rPr>
                <w:color w:val="231F20"/>
                <w:spacing w:val="-8"/>
                <w:sz w:val="15"/>
              </w:rPr>
              <w:t> </w:t>
            </w:r>
            <w:r>
              <w:rPr>
                <w:color w:val="231F20"/>
                <w:spacing w:val="-4"/>
                <w:sz w:val="15"/>
              </w:rPr>
              <w:t>sz</w:t>
            </w:r>
            <w:r>
              <w:rPr>
                <w:color w:val="231F20"/>
                <w:spacing w:val="-7"/>
                <w:sz w:val="15"/>
              </w:rPr>
              <w:t> </w:t>
            </w:r>
            <w:r>
              <w:rPr>
                <w:color w:val="231F20"/>
                <w:spacing w:val="-4"/>
                <w:sz w:val="15"/>
              </w:rPr>
              <w:t>(all</w:t>
            </w:r>
            <w:r>
              <w:rPr>
                <w:color w:val="231F20"/>
                <w:spacing w:val="-7"/>
                <w:sz w:val="15"/>
              </w:rPr>
              <w:t> </w:t>
            </w:r>
            <w:r>
              <w:rPr>
                <w:color w:val="231F20"/>
                <w:spacing w:val="-4"/>
                <w:sz w:val="15"/>
              </w:rPr>
              <w:t>ages</w:t>
            </w:r>
          </w:p>
          <w:p>
            <w:pPr>
              <w:pStyle w:val="TableParagraph"/>
              <w:spacing w:line="172" w:lineRule="exact"/>
              <w:ind w:left="448"/>
              <w:rPr>
                <w:sz w:val="15"/>
              </w:rPr>
            </w:pPr>
            <w:r>
              <w:rPr>
                <w:rFonts w:ascii="Cambria"/>
                <w:color w:val="231F20"/>
                <w:sz w:val="15"/>
              </w:rPr>
              <w:t>&gt;</w:t>
            </w:r>
            <w:r>
              <w:rPr>
                <w:color w:val="231F20"/>
                <w:sz w:val="15"/>
              </w:rPr>
              <w:t>6</w:t>
            </w:r>
            <w:r>
              <w:rPr>
                <w:color w:val="231F20"/>
                <w:spacing w:val="-3"/>
                <w:sz w:val="15"/>
              </w:rPr>
              <w:t> </w:t>
            </w:r>
            <w:r>
              <w:rPr>
                <w:color w:val="231F20"/>
                <w:spacing w:val="-5"/>
                <w:sz w:val="15"/>
              </w:rPr>
              <w:t>mo)</w:t>
            </w:r>
          </w:p>
        </w:tc>
        <w:tc>
          <w:tcPr>
            <w:tcW w:w="1989" w:type="dxa"/>
            <w:tcBorders>
              <w:top w:val="single" w:sz="4" w:space="0" w:color="FFFFFF"/>
              <w:bottom w:val="single" w:sz="4" w:space="0" w:color="FFFFFF"/>
            </w:tcBorders>
            <w:shd w:val="clear" w:color="auto" w:fill="E8F5F1"/>
          </w:tcPr>
          <w:p>
            <w:pPr>
              <w:pStyle w:val="TableParagraph"/>
              <w:spacing w:line="171" w:lineRule="exact" w:before="42"/>
              <w:ind w:left="216"/>
              <w:rPr>
                <w:sz w:val="15"/>
              </w:rPr>
            </w:pPr>
            <w:r>
              <w:rPr>
                <w:color w:val="231F20"/>
                <w:w w:val="90"/>
                <w:sz w:val="15"/>
              </w:rPr>
              <w:t>0.25-</w:t>
            </w:r>
            <w:r>
              <w:rPr>
                <w:color w:val="231F20"/>
                <w:spacing w:val="-5"/>
                <w:sz w:val="15"/>
              </w:rPr>
              <w:t>1.5</w:t>
            </w:r>
          </w:p>
          <w:p>
            <w:pPr>
              <w:pStyle w:val="TableParagraph"/>
              <w:spacing w:line="168" w:lineRule="exact"/>
              <w:ind w:left="216"/>
              <w:rPr>
                <w:sz w:val="15"/>
              </w:rPr>
            </w:pPr>
            <w:r>
              <w:rPr>
                <w:color w:val="231F20"/>
                <w:w w:val="90"/>
                <w:sz w:val="15"/>
              </w:rPr>
              <w:t>0.01-0.25</w:t>
            </w:r>
            <w:r>
              <w:rPr>
                <w:color w:val="231F20"/>
                <w:spacing w:val="20"/>
                <w:sz w:val="15"/>
              </w:rPr>
              <w:t> </w:t>
            </w:r>
            <w:r>
              <w:rPr>
                <w:color w:val="231F20"/>
                <w:spacing w:val="-5"/>
                <w:w w:val="90"/>
                <w:sz w:val="15"/>
              </w:rPr>
              <w:t>IV</w:t>
            </w:r>
          </w:p>
          <w:p>
            <w:pPr>
              <w:pStyle w:val="TableParagraph"/>
              <w:spacing w:line="230" w:lineRule="auto" w:before="2"/>
              <w:ind w:left="328" w:hanging="112"/>
              <w:rPr>
                <w:sz w:val="15"/>
              </w:rPr>
            </w:pPr>
            <w:r>
              <w:rPr>
                <w:color w:val="231F20"/>
                <w:sz w:val="15"/>
              </w:rPr>
              <w:t>0.2-0.5 mg/kg rectal (according</w:t>
            </w:r>
            <w:r>
              <w:rPr>
                <w:color w:val="231F20"/>
                <w:spacing w:val="-12"/>
                <w:sz w:val="15"/>
              </w:rPr>
              <w:t> </w:t>
            </w:r>
            <w:r>
              <w:rPr>
                <w:color w:val="231F20"/>
                <w:sz w:val="15"/>
              </w:rPr>
              <w:t>to</w:t>
            </w:r>
            <w:r>
              <w:rPr>
                <w:color w:val="231F20"/>
                <w:spacing w:val="-11"/>
                <w:sz w:val="15"/>
              </w:rPr>
              <w:t> </w:t>
            </w:r>
            <w:r>
              <w:rPr>
                <w:color w:val="231F20"/>
                <w:sz w:val="15"/>
              </w:rPr>
              <w:t>age;</w:t>
            </w:r>
            <w:r>
              <w:rPr>
                <w:color w:val="231F20"/>
                <w:spacing w:val="-11"/>
                <w:sz w:val="15"/>
              </w:rPr>
              <w:t> </w:t>
            </w:r>
            <w:r>
              <w:rPr>
                <w:color w:val="231F20"/>
                <w:sz w:val="15"/>
              </w:rPr>
              <w:t>see </w:t>
            </w:r>
            <w:r>
              <w:rPr>
                <w:color w:val="0080AC"/>
                <w:sz w:val="15"/>
              </w:rPr>
              <w:t>Table 593-15</w:t>
            </w:r>
            <w:r>
              <w:rPr>
                <w:color w:val="231F20"/>
                <w:sz w:val="15"/>
              </w:rPr>
              <w:t>)</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3"/>
              <w:ind w:left="161"/>
              <w:rPr>
                <w:sz w:val="15"/>
              </w:rPr>
            </w:pPr>
            <w:r>
              <w:rPr>
                <w:color w:val="231F20"/>
                <w:spacing w:val="-2"/>
                <w:sz w:val="15"/>
              </w:rPr>
              <w:t>100-700</w:t>
            </w:r>
            <w:r>
              <w:rPr>
                <w:color w:val="231F20"/>
                <w:spacing w:val="-1"/>
                <w:sz w:val="15"/>
              </w:rPr>
              <w:t> </w:t>
            </w:r>
            <w:r>
              <w:rPr>
                <w:rFonts w:ascii="Cambria" w:hAnsi="Cambria"/>
                <w:color w:val="231F20"/>
                <w:spacing w:val="-4"/>
                <w:sz w:val="15"/>
              </w:rPr>
              <w:t>μ</w:t>
            </w:r>
            <w:r>
              <w:rPr>
                <w:color w:val="231F20"/>
                <w:spacing w:val="-4"/>
                <w:sz w:val="15"/>
              </w:rPr>
              <w:t>g/L</w:t>
            </w:r>
          </w:p>
        </w:tc>
        <w:tc>
          <w:tcPr>
            <w:tcW w:w="1983" w:type="dxa"/>
            <w:tcBorders>
              <w:top w:val="single" w:sz="4" w:space="0" w:color="FFFFFF"/>
              <w:bottom w:val="single" w:sz="4" w:space="0" w:color="FFFFFF"/>
            </w:tcBorders>
            <w:shd w:val="clear" w:color="auto" w:fill="E8F5F1"/>
          </w:tcPr>
          <w:p>
            <w:pPr>
              <w:pStyle w:val="TableParagraph"/>
              <w:spacing w:line="171" w:lineRule="exact" w:before="42"/>
              <w:ind w:left="162"/>
              <w:rPr>
                <w:sz w:val="15"/>
              </w:rPr>
            </w:pPr>
            <w:r>
              <w:rPr>
                <w:color w:val="231F20"/>
                <w:sz w:val="15"/>
              </w:rPr>
              <w:t>2,</w:t>
            </w:r>
            <w:r>
              <w:rPr>
                <w:color w:val="231F20"/>
                <w:spacing w:val="-4"/>
                <w:sz w:val="15"/>
              </w:rPr>
              <w:t> </w:t>
            </w:r>
            <w:r>
              <w:rPr>
                <w:color w:val="231F20"/>
                <w:sz w:val="15"/>
              </w:rPr>
              <w:t>5,</w:t>
            </w:r>
            <w:r>
              <w:rPr>
                <w:color w:val="231F20"/>
                <w:spacing w:val="-4"/>
                <w:sz w:val="15"/>
              </w:rPr>
              <w:t> </w:t>
            </w:r>
            <w:r>
              <w:rPr>
                <w:color w:val="231F20"/>
                <w:sz w:val="15"/>
              </w:rPr>
              <w:t>10</w:t>
            </w:r>
            <w:r>
              <w:rPr>
                <w:color w:val="231F20"/>
                <w:spacing w:val="-4"/>
                <w:sz w:val="15"/>
              </w:rPr>
              <w:t> </w:t>
            </w:r>
            <w:r>
              <w:rPr>
                <w:color w:val="231F20"/>
                <w:sz w:val="15"/>
              </w:rPr>
              <w:t>mg</w:t>
            </w:r>
            <w:r>
              <w:rPr>
                <w:color w:val="231F20"/>
                <w:spacing w:val="-4"/>
                <w:sz w:val="15"/>
              </w:rPr>
              <w:t> tabs</w:t>
            </w:r>
          </w:p>
          <w:p>
            <w:pPr>
              <w:pStyle w:val="TableParagraph"/>
              <w:spacing w:line="230" w:lineRule="auto" w:before="2"/>
              <w:ind w:left="162"/>
              <w:rPr>
                <w:sz w:val="15"/>
              </w:rPr>
            </w:pPr>
            <w:r>
              <w:rPr>
                <w:color w:val="231F20"/>
                <w:sz w:val="15"/>
              </w:rPr>
              <w:t>5</w:t>
            </w:r>
            <w:r>
              <w:rPr>
                <w:color w:val="231F20"/>
                <w:spacing w:val="-11"/>
                <w:sz w:val="15"/>
              </w:rPr>
              <w:t> </w:t>
            </w:r>
            <w:r>
              <w:rPr>
                <w:color w:val="231F20"/>
                <w:sz w:val="15"/>
              </w:rPr>
              <w:t>mg/mL,</w:t>
            </w:r>
            <w:r>
              <w:rPr>
                <w:color w:val="231F20"/>
                <w:spacing w:val="-11"/>
                <w:sz w:val="15"/>
              </w:rPr>
              <w:t> </w:t>
            </w:r>
            <w:r>
              <w:rPr>
                <w:color w:val="231F20"/>
                <w:sz w:val="15"/>
              </w:rPr>
              <w:t>5</w:t>
            </w:r>
            <w:r>
              <w:rPr>
                <w:color w:val="231F20"/>
                <w:spacing w:val="-11"/>
                <w:sz w:val="15"/>
              </w:rPr>
              <w:t> </w:t>
            </w:r>
            <w:r>
              <w:rPr>
                <w:color w:val="231F20"/>
                <w:sz w:val="15"/>
              </w:rPr>
              <w:t>mg/5</w:t>
            </w:r>
            <w:r>
              <w:rPr>
                <w:color w:val="231F20"/>
                <w:spacing w:val="-11"/>
                <w:sz w:val="15"/>
              </w:rPr>
              <w:t> </w:t>
            </w:r>
            <w:r>
              <w:rPr>
                <w:color w:val="231F20"/>
                <w:sz w:val="15"/>
              </w:rPr>
              <w:t>mL</w:t>
            </w:r>
            <w:r>
              <w:rPr>
                <w:color w:val="231F20"/>
                <w:spacing w:val="-11"/>
                <w:sz w:val="15"/>
              </w:rPr>
              <w:t> </w:t>
            </w:r>
            <w:r>
              <w:rPr>
                <w:color w:val="231F20"/>
                <w:sz w:val="15"/>
              </w:rPr>
              <w:t>soln</w:t>
            </w:r>
            <w:r>
              <w:rPr>
                <w:color w:val="231F20"/>
                <w:sz w:val="15"/>
              </w:rPr>
              <w:t> Rectal gel that can be</w:t>
            </w:r>
          </w:p>
          <w:p>
            <w:pPr>
              <w:pStyle w:val="TableParagraph"/>
              <w:spacing w:line="230" w:lineRule="auto" w:before="2"/>
              <w:ind w:left="274" w:right="113"/>
              <w:rPr>
                <w:sz w:val="15"/>
              </w:rPr>
            </w:pPr>
            <w:r>
              <w:rPr>
                <w:color w:val="231F20"/>
                <w:sz w:val="15"/>
              </w:rPr>
              <w:t>dialed to dispense 2.5, </w:t>
            </w:r>
            <w:r>
              <w:rPr>
                <w:color w:val="231F20"/>
                <w:w w:val="90"/>
                <w:sz w:val="15"/>
              </w:rPr>
              <w:t>5,</w:t>
            </w:r>
            <w:r>
              <w:rPr>
                <w:color w:val="231F20"/>
                <w:spacing w:val="-2"/>
                <w:sz w:val="15"/>
              </w:rPr>
              <w:t> </w:t>
            </w:r>
            <w:r>
              <w:rPr>
                <w:color w:val="231F20"/>
                <w:w w:val="90"/>
                <w:sz w:val="15"/>
              </w:rPr>
              <w:t>7.5,</w:t>
            </w:r>
            <w:r>
              <w:rPr>
                <w:color w:val="231F20"/>
                <w:spacing w:val="-1"/>
                <w:sz w:val="15"/>
              </w:rPr>
              <w:t> </w:t>
            </w:r>
            <w:r>
              <w:rPr>
                <w:color w:val="231F20"/>
                <w:w w:val="90"/>
                <w:sz w:val="15"/>
              </w:rPr>
              <w:t>10,</w:t>
            </w:r>
            <w:r>
              <w:rPr>
                <w:color w:val="231F20"/>
                <w:spacing w:val="-1"/>
                <w:sz w:val="15"/>
              </w:rPr>
              <w:t> </w:t>
            </w:r>
            <w:r>
              <w:rPr>
                <w:color w:val="231F20"/>
                <w:w w:val="90"/>
                <w:sz w:val="15"/>
              </w:rPr>
              <w:t>12.5,</w:t>
            </w:r>
            <w:r>
              <w:rPr>
                <w:color w:val="231F20"/>
                <w:spacing w:val="-1"/>
                <w:sz w:val="15"/>
              </w:rPr>
              <w:t> </w:t>
            </w:r>
            <w:r>
              <w:rPr>
                <w:color w:val="231F20"/>
                <w:w w:val="90"/>
                <w:sz w:val="15"/>
              </w:rPr>
              <w:t>15,</w:t>
            </w:r>
            <w:r>
              <w:rPr>
                <w:color w:val="231F20"/>
                <w:spacing w:val="-2"/>
                <w:sz w:val="15"/>
              </w:rPr>
              <w:t> </w:t>
            </w:r>
            <w:r>
              <w:rPr>
                <w:color w:val="231F20"/>
                <w:spacing w:val="-2"/>
                <w:w w:val="90"/>
                <w:sz w:val="15"/>
              </w:rPr>
              <w:t>17.5,</w:t>
            </w:r>
          </w:p>
          <w:p>
            <w:pPr>
              <w:pStyle w:val="TableParagraph"/>
              <w:spacing w:line="170" w:lineRule="exact"/>
              <w:ind w:left="274"/>
              <w:rPr>
                <w:sz w:val="15"/>
              </w:rPr>
            </w:pPr>
            <w:r>
              <w:rPr>
                <w:color w:val="231F20"/>
                <w:sz w:val="15"/>
              </w:rPr>
              <w:t>20</w:t>
            </w:r>
            <w:r>
              <w:rPr>
                <w:color w:val="231F20"/>
                <w:spacing w:val="-3"/>
                <w:sz w:val="15"/>
              </w:rPr>
              <w:t> </w:t>
            </w:r>
            <w:r>
              <w:rPr>
                <w:color w:val="231F20"/>
                <w:spacing w:val="-5"/>
                <w:sz w:val="15"/>
              </w:rPr>
              <w:t>mg</w:t>
            </w:r>
          </w:p>
        </w:tc>
      </w:tr>
      <w:tr>
        <w:trPr>
          <w:trHeight w:val="420"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Ethosuximide</w:t>
            </w:r>
          </w:p>
        </w:tc>
        <w:tc>
          <w:tcPr>
            <w:tcW w:w="1960" w:type="dxa"/>
            <w:tcBorders>
              <w:top w:val="single" w:sz="4" w:space="0" w:color="FFFFFF"/>
              <w:bottom w:val="single" w:sz="4" w:space="0" w:color="FFFFFF"/>
            </w:tcBorders>
            <w:shd w:val="clear" w:color="auto" w:fill="E8F5F1"/>
          </w:tcPr>
          <w:p>
            <w:pPr>
              <w:pStyle w:val="TableParagraph"/>
              <w:spacing w:before="43"/>
              <w:ind w:left="168" w:right="251"/>
              <w:jc w:val="center"/>
              <w:rPr>
                <w:sz w:val="15"/>
              </w:rPr>
            </w:pPr>
            <w:r>
              <w:rPr>
                <w:color w:val="231F20"/>
                <w:sz w:val="15"/>
              </w:rPr>
              <w:t>Absence sz (</w:t>
            </w:r>
            <w:r>
              <w:rPr>
                <w:rFonts w:ascii="Cambria"/>
                <w:color w:val="231F20"/>
                <w:sz w:val="15"/>
              </w:rPr>
              <w:t>&gt;</w:t>
            </w:r>
            <w:r>
              <w:rPr>
                <w:color w:val="231F20"/>
                <w:sz w:val="15"/>
              </w:rPr>
              <w:t>3 </w:t>
            </w:r>
            <w:r>
              <w:rPr>
                <w:color w:val="231F20"/>
                <w:spacing w:val="-5"/>
                <w:sz w:val="15"/>
              </w:rPr>
              <w:t>yr)</w:t>
            </w: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spacing w:val="-4"/>
                <w:sz w:val="15"/>
              </w:rPr>
              <w:t>20-</w:t>
            </w:r>
            <w:r>
              <w:rPr>
                <w:color w:val="231F20"/>
                <w:spacing w:val="-5"/>
                <w:sz w:val="15"/>
              </w:rPr>
              <w:t>30</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2"/>
                <w:sz w:val="15"/>
              </w:rPr>
              <w:t>40-100</w:t>
            </w:r>
            <w:r>
              <w:rPr>
                <w:color w:val="231F20"/>
                <w:spacing w:val="-1"/>
                <w:sz w:val="15"/>
              </w:rPr>
              <w:t> </w:t>
            </w:r>
            <w:r>
              <w:rPr>
                <w:color w:val="231F20"/>
                <w:spacing w:val="-4"/>
                <w:sz w:val="15"/>
              </w:rPr>
              <w:t>mg/L</w:t>
            </w:r>
          </w:p>
        </w:tc>
        <w:tc>
          <w:tcPr>
            <w:tcW w:w="1983" w:type="dxa"/>
            <w:tcBorders>
              <w:top w:val="single" w:sz="4" w:space="0" w:color="FFFFFF"/>
              <w:bottom w:val="single" w:sz="4" w:space="0" w:color="FFFFFF"/>
            </w:tcBorders>
            <w:shd w:val="clear" w:color="auto" w:fill="E8F5F1"/>
          </w:tcPr>
          <w:p>
            <w:pPr>
              <w:pStyle w:val="TableParagraph"/>
              <w:spacing w:line="171" w:lineRule="exact" w:before="42"/>
              <w:ind w:left="162"/>
              <w:rPr>
                <w:sz w:val="15"/>
              </w:rPr>
            </w:pPr>
            <w:r>
              <w:rPr>
                <w:color w:val="231F20"/>
                <w:sz w:val="15"/>
              </w:rPr>
              <w:t>250</w:t>
            </w:r>
            <w:r>
              <w:rPr>
                <w:color w:val="231F20"/>
                <w:spacing w:val="7"/>
                <w:sz w:val="15"/>
              </w:rPr>
              <w:t> </w:t>
            </w:r>
            <w:r>
              <w:rPr>
                <w:color w:val="231F20"/>
                <w:sz w:val="15"/>
              </w:rPr>
              <w:t>mg</w:t>
            </w:r>
            <w:r>
              <w:rPr>
                <w:color w:val="231F20"/>
                <w:spacing w:val="8"/>
                <w:sz w:val="15"/>
              </w:rPr>
              <w:t> </w:t>
            </w:r>
            <w:r>
              <w:rPr>
                <w:color w:val="231F20"/>
                <w:spacing w:val="-4"/>
                <w:sz w:val="15"/>
              </w:rPr>
              <w:t>caps</w:t>
            </w:r>
          </w:p>
          <w:p>
            <w:pPr>
              <w:pStyle w:val="TableParagraph"/>
              <w:spacing w:line="171" w:lineRule="exact"/>
              <w:ind w:left="162"/>
              <w:rPr>
                <w:sz w:val="15"/>
              </w:rPr>
            </w:pPr>
            <w:r>
              <w:rPr>
                <w:color w:val="231F20"/>
                <w:sz w:val="15"/>
              </w:rPr>
              <w:t>250</w:t>
            </w:r>
            <w:r>
              <w:rPr>
                <w:color w:val="231F20"/>
                <w:spacing w:val="-8"/>
                <w:sz w:val="15"/>
              </w:rPr>
              <w:t> </w:t>
            </w:r>
            <w:r>
              <w:rPr>
                <w:color w:val="231F20"/>
                <w:sz w:val="15"/>
              </w:rPr>
              <w:t>mg/5</w:t>
            </w:r>
            <w:r>
              <w:rPr>
                <w:color w:val="231F20"/>
                <w:spacing w:val="-7"/>
                <w:sz w:val="15"/>
              </w:rPr>
              <w:t> </w:t>
            </w:r>
            <w:r>
              <w:rPr>
                <w:color w:val="231F20"/>
                <w:sz w:val="15"/>
              </w:rPr>
              <w:t>mL</w:t>
            </w:r>
            <w:r>
              <w:rPr>
                <w:color w:val="231F20"/>
                <w:spacing w:val="-7"/>
                <w:sz w:val="15"/>
              </w:rPr>
              <w:t> </w:t>
            </w:r>
            <w:r>
              <w:rPr>
                <w:color w:val="231F20"/>
                <w:sz w:val="15"/>
              </w:rPr>
              <w:t>syrup,</w:t>
            </w:r>
            <w:r>
              <w:rPr>
                <w:color w:val="231F20"/>
                <w:spacing w:val="-7"/>
                <w:sz w:val="15"/>
              </w:rPr>
              <w:t> </w:t>
            </w:r>
            <w:r>
              <w:rPr>
                <w:color w:val="231F20"/>
                <w:spacing w:val="-4"/>
                <w:sz w:val="15"/>
              </w:rPr>
              <w:t>soln</w:t>
            </w:r>
          </w:p>
        </w:tc>
      </w:tr>
      <w:tr>
        <w:trPr>
          <w:trHeight w:val="420"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w w:val="105"/>
                <w:sz w:val="15"/>
              </w:rPr>
              <w:t>Ezogabine</w:t>
            </w:r>
          </w:p>
        </w:tc>
        <w:tc>
          <w:tcPr>
            <w:tcW w:w="1960" w:type="dxa"/>
            <w:tcBorders>
              <w:top w:val="single" w:sz="4" w:space="0" w:color="FFFFFF"/>
              <w:bottom w:val="single" w:sz="4" w:space="0" w:color="FFFFFF"/>
            </w:tcBorders>
            <w:shd w:val="clear" w:color="auto" w:fill="E8F5F1"/>
          </w:tcPr>
          <w:p>
            <w:pPr>
              <w:pStyle w:val="TableParagraph"/>
              <w:spacing w:before="42"/>
              <w:ind w:left="77" w:right="251"/>
              <w:jc w:val="center"/>
              <w:rPr>
                <w:sz w:val="15"/>
              </w:rPr>
            </w:pPr>
            <w:r>
              <w:rPr>
                <w:color w:val="231F20"/>
                <w:spacing w:val="-4"/>
                <w:sz w:val="15"/>
              </w:rPr>
              <w:t>Partial</w:t>
            </w:r>
            <w:r>
              <w:rPr>
                <w:color w:val="231F20"/>
                <w:spacing w:val="-2"/>
                <w:sz w:val="15"/>
              </w:rPr>
              <w:t> </w:t>
            </w:r>
            <w:r>
              <w:rPr>
                <w:color w:val="231F20"/>
                <w:spacing w:val="-4"/>
                <w:sz w:val="15"/>
              </w:rPr>
              <w:t>sz</w:t>
            </w:r>
            <w:r>
              <w:rPr>
                <w:color w:val="231F20"/>
                <w:spacing w:val="-1"/>
                <w:sz w:val="15"/>
              </w:rPr>
              <w:t> </w:t>
            </w:r>
            <w:r>
              <w:rPr>
                <w:color w:val="231F20"/>
                <w:spacing w:val="-4"/>
                <w:sz w:val="15"/>
              </w:rPr>
              <w:t>(adults)</w:t>
            </w:r>
          </w:p>
        </w:tc>
        <w:tc>
          <w:tcPr>
            <w:tcW w:w="1989" w:type="dxa"/>
            <w:tcBorders>
              <w:top w:val="single" w:sz="4" w:space="0" w:color="FFFFFF"/>
              <w:bottom w:val="single" w:sz="4" w:space="0" w:color="FFFFFF"/>
            </w:tcBorders>
            <w:shd w:val="clear" w:color="auto" w:fill="E8F5F1"/>
          </w:tcPr>
          <w:p>
            <w:pPr>
              <w:pStyle w:val="TableParagraph"/>
              <w:spacing w:line="230" w:lineRule="auto" w:before="48"/>
              <w:ind w:left="328" w:hanging="112"/>
              <w:rPr>
                <w:sz w:val="15"/>
              </w:rPr>
            </w:pPr>
            <w:r>
              <w:rPr>
                <w:color w:val="231F20"/>
                <w:spacing w:val="-2"/>
                <w:w w:val="105"/>
                <w:sz w:val="15"/>
              </w:rPr>
              <w:t>No</w:t>
            </w:r>
            <w:r>
              <w:rPr>
                <w:color w:val="231F20"/>
                <w:spacing w:val="-10"/>
                <w:w w:val="105"/>
                <w:sz w:val="15"/>
              </w:rPr>
              <w:t> </w:t>
            </w:r>
            <w:r>
              <w:rPr>
                <w:color w:val="231F20"/>
                <w:spacing w:val="-2"/>
                <w:w w:val="105"/>
                <w:sz w:val="15"/>
              </w:rPr>
              <w:t>pediatric</w:t>
            </w:r>
            <w:r>
              <w:rPr>
                <w:color w:val="231F20"/>
                <w:spacing w:val="-10"/>
                <w:w w:val="105"/>
                <w:sz w:val="15"/>
              </w:rPr>
              <w:t> </w:t>
            </w:r>
            <w:r>
              <w:rPr>
                <w:color w:val="231F20"/>
                <w:spacing w:val="-2"/>
                <w:w w:val="105"/>
                <w:sz w:val="15"/>
              </w:rPr>
              <w:t>dose approved</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10"/>
                <w:w w:val="135"/>
                <w:sz w:val="15"/>
              </w:rPr>
              <w:t>—</w:t>
            </w:r>
          </w:p>
        </w:tc>
        <w:tc>
          <w:tcPr>
            <w:tcW w:w="198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50,</w:t>
            </w:r>
            <w:r>
              <w:rPr>
                <w:color w:val="231F20"/>
                <w:spacing w:val="-9"/>
                <w:sz w:val="15"/>
              </w:rPr>
              <w:t> </w:t>
            </w:r>
            <w:r>
              <w:rPr>
                <w:color w:val="231F20"/>
                <w:sz w:val="15"/>
              </w:rPr>
              <w:t>200,</w:t>
            </w:r>
            <w:r>
              <w:rPr>
                <w:color w:val="231F20"/>
                <w:spacing w:val="-8"/>
                <w:sz w:val="15"/>
              </w:rPr>
              <w:t> </w:t>
            </w:r>
            <w:r>
              <w:rPr>
                <w:color w:val="231F20"/>
                <w:sz w:val="15"/>
              </w:rPr>
              <w:t>300,</w:t>
            </w:r>
            <w:r>
              <w:rPr>
                <w:color w:val="231F20"/>
                <w:spacing w:val="-8"/>
                <w:sz w:val="15"/>
              </w:rPr>
              <w:t> </w:t>
            </w:r>
            <w:r>
              <w:rPr>
                <w:color w:val="231F20"/>
                <w:sz w:val="15"/>
              </w:rPr>
              <w:t>400</w:t>
            </w:r>
            <w:r>
              <w:rPr>
                <w:color w:val="231F20"/>
                <w:spacing w:val="-9"/>
                <w:sz w:val="15"/>
              </w:rPr>
              <w:t> </w:t>
            </w:r>
            <w:r>
              <w:rPr>
                <w:color w:val="231F20"/>
                <w:sz w:val="15"/>
              </w:rPr>
              <w:t>mg</w:t>
            </w:r>
            <w:r>
              <w:rPr>
                <w:color w:val="231F20"/>
                <w:spacing w:val="-8"/>
                <w:sz w:val="15"/>
              </w:rPr>
              <w:t> </w:t>
            </w:r>
            <w:r>
              <w:rPr>
                <w:color w:val="231F20"/>
                <w:spacing w:val="-4"/>
                <w:sz w:val="15"/>
              </w:rPr>
              <w:t>tabs</w:t>
            </w:r>
          </w:p>
        </w:tc>
      </w:tr>
      <w:tr>
        <w:trPr>
          <w:trHeight w:val="422"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Felbamate</w:t>
            </w:r>
          </w:p>
        </w:tc>
        <w:tc>
          <w:tcPr>
            <w:tcW w:w="1960" w:type="dxa"/>
            <w:tcBorders>
              <w:top w:val="single" w:sz="4" w:space="0" w:color="FFFFFF"/>
              <w:bottom w:val="single" w:sz="4" w:space="0" w:color="FFFFFF"/>
            </w:tcBorders>
            <w:shd w:val="clear" w:color="auto" w:fill="E8F5F1"/>
          </w:tcPr>
          <w:p>
            <w:pPr>
              <w:pStyle w:val="TableParagraph"/>
              <w:spacing w:line="230" w:lineRule="auto" w:before="48"/>
              <w:ind w:left="448" w:right="265" w:hanging="112"/>
              <w:rPr>
                <w:sz w:val="15"/>
              </w:rPr>
            </w:pPr>
            <w:r>
              <w:rPr>
                <w:color w:val="231F20"/>
                <w:spacing w:val="-2"/>
                <w:sz w:val="15"/>
              </w:rPr>
              <w:t>LGS</w:t>
            </w:r>
            <w:r>
              <w:rPr>
                <w:color w:val="231F20"/>
                <w:spacing w:val="-10"/>
                <w:sz w:val="15"/>
              </w:rPr>
              <w:t> </w:t>
            </w:r>
            <w:r>
              <w:rPr>
                <w:color w:val="231F20"/>
                <w:spacing w:val="-2"/>
                <w:sz w:val="15"/>
              </w:rPr>
              <w:t>(</w:t>
            </w:r>
            <w:r>
              <w:rPr>
                <w:rFonts w:ascii="Cambria"/>
                <w:color w:val="231F20"/>
                <w:spacing w:val="-2"/>
                <w:sz w:val="15"/>
              </w:rPr>
              <w:t>&gt;</w:t>
            </w:r>
            <w:r>
              <w:rPr>
                <w:color w:val="231F20"/>
                <w:spacing w:val="-2"/>
                <w:sz w:val="15"/>
              </w:rPr>
              <w:t>2</w:t>
            </w:r>
            <w:r>
              <w:rPr>
                <w:color w:val="231F20"/>
                <w:spacing w:val="-9"/>
                <w:sz w:val="15"/>
              </w:rPr>
              <w:t> </w:t>
            </w:r>
            <w:r>
              <w:rPr>
                <w:color w:val="231F20"/>
                <w:spacing w:val="-2"/>
                <w:sz w:val="15"/>
              </w:rPr>
              <w:t>yr)</w:t>
            </w:r>
            <w:r>
              <w:rPr>
                <w:color w:val="231F20"/>
                <w:spacing w:val="-9"/>
                <w:sz w:val="15"/>
              </w:rPr>
              <w:t> </w:t>
            </w:r>
            <w:r>
              <w:rPr>
                <w:color w:val="231F20"/>
                <w:spacing w:val="-2"/>
                <w:sz w:val="15"/>
              </w:rPr>
              <w:t>Partial</w:t>
            </w:r>
            <w:r>
              <w:rPr>
                <w:color w:val="231F20"/>
                <w:spacing w:val="-10"/>
                <w:sz w:val="15"/>
              </w:rPr>
              <w:t> </w:t>
            </w:r>
            <w:r>
              <w:rPr>
                <w:color w:val="231F20"/>
                <w:spacing w:val="-2"/>
                <w:sz w:val="15"/>
              </w:rPr>
              <w:t>sz </w:t>
            </w:r>
            <w:r>
              <w:rPr>
                <w:color w:val="231F20"/>
                <w:sz w:val="15"/>
              </w:rPr>
              <w:t>(</w:t>
            </w:r>
            <w:r>
              <w:rPr>
                <w:rFonts w:ascii="Cambria"/>
                <w:color w:val="231F20"/>
                <w:sz w:val="15"/>
              </w:rPr>
              <w:t>&gt;</w:t>
            </w:r>
            <w:r>
              <w:rPr>
                <w:color w:val="231F20"/>
                <w:sz w:val="15"/>
              </w:rPr>
              <w:t>14 yr)</w:t>
            </w: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spacing w:val="-4"/>
                <w:sz w:val="15"/>
              </w:rPr>
              <w:t>15-</w:t>
            </w:r>
            <w:r>
              <w:rPr>
                <w:color w:val="231F20"/>
                <w:spacing w:val="-5"/>
                <w:sz w:val="15"/>
              </w:rPr>
              <w:t>45</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2"/>
                <w:sz w:val="15"/>
              </w:rPr>
              <w:t>50-110</w:t>
            </w:r>
            <w:r>
              <w:rPr>
                <w:color w:val="231F20"/>
                <w:spacing w:val="-1"/>
                <w:sz w:val="15"/>
              </w:rPr>
              <w:t> </w:t>
            </w:r>
            <w:r>
              <w:rPr>
                <w:color w:val="231F20"/>
                <w:spacing w:val="-4"/>
                <w:sz w:val="15"/>
              </w:rPr>
              <w:t>mg/L</w:t>
            </w:r>
          </w:p>
        </w:tc>
        <w:tc>
          <w:tcPr>
            <w:tcW w:w="1983" w:type="dxa"/>
            <w:tcBorders>
              <w:top w:val="single" w:sz="4" w:space="0" w:color="FFFFFF"/>
              <w:bottom w:val="single" w:sz="4" w:space="0" w:color="FFFFFF"/>
            </w:tcBorders>
            <w:shd w:val="clear" w:color="auto" w:fill="E8F5F1"/>
          </w:tcPr>
          <w:p>
            <w:pPr>
              <w:pStyle w:val="TableParagraph"/>
              <w:spacing w:line="230" w:lineRule="auto" w:before="48"/>
              <w:ind w:left="162" w:right="460"/>
              <w:rPr>
                <w:sz w:val="15"/>
              </w:rPr>
            </w:pPr>
            <w:r>
              <w:rPr>
                <w:color w:val="231F20"/>
                <w:sz w:val="15"/>
              </w:rPr>
              <w:t>400, 600 mg tabs 600</w:t>
            </w:r>
            <w:r>
              <w:rPr>
                <w:color w:val="231F20"/>
                <w:spacing w:val="-3"/>
                <w:sz w:val="15"/>
              </w:rPr>
              <w:t> </w:t>
            </w:r>
            <w:r>
              <w:rPr>
                <w:color w:val="231F20"/>
                <w:sz w:val="15"/>
              </w:rPr>
              <w:t>mg/5</w:t>
            </w:r>
            <w:r>
              <w:rPr>
                <w:color w:val="231F20"/>
                <w:spacing w:val="-3"/>
                <w:sz w:val="15"/>
              </w:rPr>
              <w:t> </w:t>
            </w:r>
            <w:r>
              <w:rPr>
                <w:color w:val="231F20"/>
                <w:sz w:val="15"/>
              </w:rPr>
              <w:t>mL</w:t>
            </w:r>
            <w:r>
              <w:rPr>
                <w:color w:val="231F20"/>
                <w:spacing w:val="-3"/>
                <w:sz w:val="15"/>
              </w:rPr>
              <w:t> </w:t>
            </w:r>
            <w:r>
              <w:rPr>
                <w:color w:val="231F20"/>
                <w:spacing w:val="-4"/>
                <w:sz w:val="15"/>
              </w:rPr>
              <w:t>susp</w:t>
            </w:r>
          </w:p>
        </w:tc>
      </w:tr>
      <w:tr>
        <w:trPr>
          <w:trHeight w:val="420" w:hRule="atLeast"/>
        </w:trPr>
        <w:tc>
          <w:tcPr>
            <w:tcW w:w="1247" w:type="dxa"/>
            <w:tcBorders>
              <w:top w:val="single" w:sz="4" w:space="0" w:color="FFFFFF"/>
              <w:bottom w:val="single" w:sz="4" w:space="0" w:color="FFFFFF"/>
            </w:tcBorders>
            <w:shd w:val="clear" w:color="auto" w:fill="E8F5F1"/>
          </w:tcPr>
          <w:p>
            <w:pPr>
              <w:pStyle w:val="TableParagraph"/>
              <w:spacing w:before="42"/>
              <w:ind w:left="99"/>
              <w:rPr>
                <w:sz w:val="15"/>
              </w:rPr>
            </w:pPr>
            <w:r>
              <w:rPr>
                <w:color w:val="231F20"/>
                <w:spacing w:val="-2"/>
                <w:sz w:val="15"/>
              </w:rPr>
              <w:t>Gabapentin</w:t>
            </w:r>
            <w:r>
              <w:rPr>
                <w:color w:val="0080AC"/>
                <w:spacing w:val="-2"/>
                <w:sz w:val="15"/>
                <w:vertAlign w:val="superscript"/>
              </w:rPr>
              <w:t>‡</w:t>
            </w:r>
          </w:p>
        </w:tc>
        <w:tc>
          <w:tcPr>
            <w:tcW w:w="1960" w:type="dxa"/>
            <w:tcBorders>
              <w:top w:val="single" w:sz="4" w:space="0" w:color="FFFFFF"/>
              <w:bottom w:val="single" w:sz="4" w:space="0" w:color="FFFFFF"/>
            </w:tcBorders>
            <w:shd w:val="clear" w:color="auto" w:fill="E8F5F1"/>
          </w:tcPr>
          <w:p>
            <w:pPr>
              <w:pStyle w:val="TableParagraph"/>
              <w:spacing w:before="43"/>
              <w:ind w:right="251"/>
              <w:jc w:val="center"/>
              <w:rPr>
                <w:sz w:val="15"/>
              </w:rPr>
            </w:pPr>
            <w:r>
              <w:rPr>
                <w:color w:val="231F20"/>
                <w:spacing w:val="-4"/>
                <w:sz w:val="15"/>
              </w:rPr>
              <w:t>Partial sz</w:t>
            </w:r>
            <w:r>
              <w:rPr>
                <w:color w:val="231F20"/>
                <w:spacing w:val="-3"/>
                <w:sz w:val="15"/>
              </w:rPr>
              <w:t> </w:t>
            </w:r>
            <w:r>
              <w:rPr>
                <w:color w:val="231F20"/>
                <w:spacing w:val="-4"/>
                <w:sz w:val="15"/>
              </w:rPr>
              <w:t>(</w:t>
            </w:r>
            <w:r>
              <w:rPr>
                <w:rFonts w:ascii="Cambria"/>
                <w:color w:val="231F20"/>
                <w:spacing w:val="-4"/>
                <w:sz w:val="15"/>
              </w:rPr>
              <w:t>&gt;</w:t>
            </w:r>
            <w:r>
              <w:rPr>
                <w:color w:val="231F20"/>
                <w:spacing w:val="-4"/>
                <w:sz w:val="15"/>
              </w:rPr>
              <w:t>3</w:t>
            </w:r>
            <w:r>
              <w:rPr>
                <w:color w:val="231F20"/>
                <w:spacing w:val="-3"/>
                <w:sz w:val="15"/>
              </w:rPr>
              <w:t> </w:t>
            </w:r>
            <w:r>
              <w:rPr>
                <w:color w:val="231F20"/>
                <w:spacing w:val="-5"/>
                <w:sz w:val="15"/>
              </w:rPr>
              <w:t>yr)</w:t>
            </w:r>
          </w:p>
        </w:tc>
        <w:tc>
          <w:tcPr>
            <w:tcW w:w="1989" w:type="dxa"/>
            <w:tcBorders>
              <w:top w:val="single" w:sz="4" w:space="0" w:color="FFFFFF"/>
              <w:bottom w:val="single" w:sz="4" w:space="0" w:color="FFFFFF"/>
            </w:tcBorders>
            <w:shd w:val="clear" w:color="auto" w:fill="E8F5F1"/>
          </w:tcPr>
          <w:p>
            <w:pPr>
              <w:pStyle w:val="TableParagraph"/>
              <w:spacing w:before="42"/>
              <w:ind w:left="216"/>
              <w:rPr>
                <w:sz w:val="15"/>
              </w:rPr>
            </w:pPr>
            <w:r>
              <w:rPr>
                <w:color w:val="231F20"/>
                <w:spacing w:val="-4"/>
                <w:sz w:val="15"/>
              </w:rPr>
              <w:t>30-</w:t>
            </w:r>
            <w:r>
              <w:rPr>
                <w:color w:val="231F20"/>
                <w:spacing w:val="-5"/>
                <w:sz w:val="15"/>
              </w:rPr>
              <w:t>60</w:t>
            </w:r>
          </w:p>
        </w:tc>
        <w:tc>
          <w:tcPr>
            <w:tcW w:w="12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z w:val="15"/>
              </w:rPr>
              <w:t>2-20</w:t>
            </w:r>
            <w:r>
              <w:rPr>
                <w:color w:val="231F20"/>
                <w:spacing w:val="-8"/>
                <w:sz w:val="15"/>
              </w:rPr>
              <w:t> </w:t>
            </w:r>
            <w:r>
              <w:rPr>
                <w:color w:val="231F20"/>
                <w:spacing w:val="-4"/>
                <w:sz w:val="15"/>
              </w:rPr>
              <w:t>mg/L</w:t>
            </w:r>
          </w:p>
        </w:tc>
        <w:tc>
          <w:tcPr>
            <w:tcW w:w="1983" w:type="dxa"/>
            <w:tcBorders>
              <w:top w:val="single" w:sz="4" w:space="0" w:color="FFFFFF"/>
              <w:bottom w:val="single" w:sz="4" w:space="0" w:color="FFFFFF"/>
            </w:tcBorders>
            <w:shd w:val="clear" w:color="auto" w:fill="E8F5F1"/>
          </w:tcPr>
          <w:p>
            <w:pPr>
              <w:pStyle w:val="TableParagraph"/>
              <w:spacing w:line="171" w:lineRule="exact" w:before="42"/>
              <w:ind w:left="162"/>
              <w:rPr>
                <w:sz w:val="15"/>
              </w:rPr>
            </w:pPr>
            <w:r>
              <w:rPr>
                <w:color w:val="231F20"/>
                <w:sz w:val="15"/>
              </w:rPr>
              <w:t>100,</w:t>
            </w:r>
            <w:r>
              <w:rPr>
                <w:color w:val="231F20"/>
                <w:spacing w:val="-6"/>
                <w:sz w:val="15"/>
              </w:rPr>
              <w:t> </w:t>
            </w:r>
            <w:r>
              <w:rPr>
                <w:color w:val="231F20"/>
                <w:sz w:val="15"/>
              </w:rPr>
              <w:t>300,</w:t>
            </w:r>
            <w:r>
              <w:rPr>
                <w:color w:val="231F20"/>
                <w:spacing w:val="-6"/>
                <w:sz w:val="15"/>
              </w:rPr>
              <w:t> </w:t>
            </w:r>
            <w:r>
              <w:rPr>
                <w:color w:val="231F20"/>
                <w:sz w:val="15"/>
              </w:rPr>
              <w:t>400</w:t>
            </w:r>
            <w:r>
              <w:rPr>
                <w:color w:val="231F20"/>
                <w:spacing w:val="-6"/>
                <w:sz w:val="15"/>
              </w:rPr>
              <w:t> </w:t>
            </w:r>
            <w:r>
              <w:rPr>
                <w:color w:val="231F20"/>
                <w:sz w:val="15"/>
              </w:rPr>
              <w:t>mg</w:t>
            </w:r>
            <w:r>
              <w:rPr>
                <w:color w:val="231F20"/>
                <w:spacing w:val="-6"/>
                <w:sz w:val="15"/>
              </w:rPr>
              <w:t> </w:t>
            </w:r>
            <w:r>
              <w:rPr>
                <w:color w:val="231F20"/>
                <w:spacing w:val="-2"/>
                <w:sz w:val="15"/>
              </w:rPr>
              <w:t>caps,</w:t>
            </w:r>
          </w:p>
          <w:p>
            <w:pPr>
              <w:pStyle w:val="TableParagraph"/>
              <w:spacing w:line="171" w:lineRule="exact"/>
              <w:ind w:left="274"/>
              <w:rPr>
                <w:sz w:val="15"/>
              </w:rPr>
            </w:pPr>
            <w:r>
              <w:rPr>
                <w:color w:val="231F20"/>
                <w:sz w:val="15"/>
              </w:rPr>
              <w:t>600,</w:t>
            </w:r>
            <w:r>
              <w:rPr>
                <w:color w:val="231F20"/>
                <w:spacing w:val="-2"/>
                <w:sz w:val="15"/>
              </w:rPr>
              <w:t> </w:t>
            </w:r>
            <w:r>
              <w:rPr>
                <w:color w:val="231F20"/>
                <w:sz w:val="15"/>
              </w:rPr>
              <w:t>800</w:t>
            </w:r>
            <w:r>
              <w:rPr>
                <w:color w:val="231F20"/>
                <w:spacing w:val="-1"/>
                <w:sz w:val="15"/>
              </w:rPr>
              <w:t> </w:t>
            </w:r>
            <w:r>
              <w:rPr>
                <w:color w:val="231F20"/>
                <w:sz w:val="15"/>
              </w:rPr>
              <w:t>mg</w:t>
            </w:r>
            <w:r>
              <w:rPr>
                <w:color w:val="231F20"/>
                <w:spacing w:val="-2"/>
                <w:sz w:val="15"/>
              </w:rPr>
              <w:t> </w:t>
            </w:r>
            <w:r>
              <w:rPr>
                <w:color w:val="231F20"/>
                <w:spacing w:val="-4"/>
                <w:sz w:val="15"/>
              </w:rPr>
              <w:t>tabs</w:t>
            </w:r>
          </w:p>
        </w:tc>
      </w:tr>
      <w:tr>
        <w:trPr>
          <w:trHeight w:val="585" w:hRule="atLeast"/>
        </w:trPr>
        <w:tc>
          <w:tcPr>
            <w:tcW w:w="1247" w:type="dxa"/>
            <w:tcBorders>
              <w:top w:val="single" w:sz="4" w:space="0" w:color="FFFFFF"/>
              <w:bottom w:val="single" w:sz="8" w:space="0" w:color="231F20"/>
            </w:tcBorders>
            <w:shd w:val="clear" w:color="auto" w:fill="E8F5F1"/>
          </w:tcPr>
          <w:p>
            <w:pPr>
              <w:pStyle w:val="TableParagraph"/>
              <w:spacing w:before="42"/>
              <w:ind w:left="99"/>
              <w:rPr>
                <w:sz w:val="15"/>
              </w:rPr>
            </w:pPr>
            <w:r>
              <w:rPr>
                <w:color w:val="231F20"/>
                <w:spacing w:val="-2"/>
                <w:sz w:val="15"/>
              </w:rPr>
              <w:t>Lacosamide</w:t>
            </w:r>
          </w:p>
        </w:tc>
        <w:tc>
          <w:tcPr>
            <w:tcW w:w="1960" w:type="dxa"/>
            <w:tcBorders>
              <w:top w:val="single" w:sz="4" w:space="0" w:color="FFFFFF"/>
              <w:bottom w:val="single" w:sz="8" w:space="0" w:color="231F20"/>
            </w:tcBorders>
            <w:shd w:val="clear" w:color="auto" w:fill="E8F5F1"/>
          </w:tcPr>
          <w:p>
            <w:pPr>
              <w:pStyle w:val="TableParagraph"/>
              <w:spacing w:before="43"/>
              <w:ind w:left="79" w:right="251"/>
              <w:jc w:val="center"/>
              <w:rPr>
                <w:sz w:val="15"/>
              </w:rPr>
            </w:pPr>
            <w:r>
              <w:rPr>
                <w:color w:val="231F20"/>
                <w:spacing w:val="-4"/>
                <w:sz w:val="15"/>
              </w:rPr>
              <w:t>Partial</w:t>
            </w:r>
            <w:r>
              <w:rPr>
                <w:color w:val="231F20"/>
                <w:spacing w:val="-3"/>
                <w:sz w:val="15"/>
              </w:rPr>
              <w:t> </w:t>
            </w:r>
            <w:r>
              <w:rPr>
                <w:color w:val="231F20"/>
                <w:spacing w:val="-4"/>
                <w:sz w:val="15"/>
              </w:rPr>
              <w:t>sz</w:t>
            </w:r>
            <w:r>
              <w:rPr>
                <w:color w:val="231F20"/>
                <w:spacing w:val="-2"/>
                <w:sz w:val="15"/>
              </w:rPr>
              <w:t> </w:t>
            </w:r>
            <w:r>
              <w:rPr>
                <w:color w:val="231F20"/>
                <w:spacing w:val="-4"/>
                <w:sz w:val="15"/>
              </w:rPr>
              <w:t>(</w:t>
            </w:r>
            <w:r>
              <w:rPr>
                <w:rFonts w:ascii="Cambria"/>
                <w:color w:val="231F20"/>
                <w:spacing w:val="-4"/>
                <w:sz w:val="15"/>
              </w:rPr>
              <w:t>&gt;</w:t>
            </w:r>
            <w:r>
              <w:rPr>
                <w:color w:val="231F20"/>
                <w:spacing w:val="-4"/>
                <w:sz w:val="15"/>
              </w:rPr>
              <w:t>17</w:t>
            </w:r>
            <w:r>
              <w:rPr>
                <w:color w:val="231F20"/>
                <w:spacing w:val="-3"/>
                <w:sz w:val="15"/>
              </w:rPr>
              <w:t> </w:t>
            </w:r>
            <w:r>
              <w:rPr>
                <w:color w:val="231F20"/>
                <w:spacing w:val="-5"/>
                <w:sz w:val="15"/>
              </w:rPr>
              <w:t>yr)</w:t>
            </w:r>
          </w:p>
        </w:tc>
        <w:tc>
          <w:tcPr>
            <w:tcW w:w="1989" w:type="dxa"/>
            <w:tcBorders>
              <w:top w:val="single" w:sz="4" w:space="0" w:color="FFFFFF"/>
              <w:bottom w:val="single" w:sz="8" w:space="0" w:color="231F20"/>
            </w:tcBorders>
            <w:shd w:val="clear" w:color="auto" w:fill="E8F5F1"/>
          </w:tcPr>
          <w:p>
            <w:pPr>
              <w:pStyle w:val="TableParagraph"/>
              <w:spacing w:line="230" w:lineRule="auto" w:before="48"/>
              <w:ind w:left="328" w:right="187" w:hanging="112"/>
              <w:rPr>
                <w:sz w:val="15"/>
              </w:rPr>
            </w:pPr>
            <w:r>
              <w:rPr>
                <w:color w:val="231F20"/>
                <w:spacing w:val="-2"/>
                <w:w w:val="110"/>
                <w:sz w:val="15"/>
              </w:rPr>
              <w:t>No</w:t>
            </w:r>
            <w:r>
              <w:rPr>
                <w:color w:val="231F20"/>
                <w:spacing w:val="-11"/>
                <w:w w:val="110"/>
                <w:sz w:val="15"/>
              </w:rPr>
              <w:t> </w:t>
            </w:r>
            <w:r>
              <w:rPr>
                <w:color w:val="231F20"/>
                <w:spacing w:val="-2"/>
                <w:w w:val="110"/>
                <w:sz w:val="15"/>
              </w:rPr>
              <w:t>FDA</w:t>
            </w:r>
            <w:r>
              <w:rPr>
                <w:color w:val="231F20"/>
                <w:spacing w:val="-10"/>
                <w:w w:val="110"/>
                <w:sz w:val="15"/>
              </w:rPr>
              <w:t> </w:t>
            </w:r>
            <w:r>
              <w:rPr>
                <w:color w:val="231F20"/>
                <w:spacing w:val="-2"/>
                <w:w w:val="110"/>
                <w:sz w:val="15"/>
              </w:rPr>
              <w:t>approved dose.</w:t>
            </w:r>
          </w:p>
          <w:p>
            <w:pPr>
              <w:pStyle w:val="TableParagraph"/>
              <w:spacing w:line="170" w:lineRule="exact"/>
              <w:ind w:left="216"/>
              <w:rPr>
                <w:sz w:val="15"/>
              </w:rPr>
            </w:pPr>
            <w:r>
              <w:rPr>
                <w:color w:val="231F20"/>
                <w:spacing w:val="-4"/>
                <w:sz w:val="15"/>
              </w:rPr>
              <w:t>4-</w:t>
            </w:r>
            <w:r>
              <w:rPr>
                <w:color w:val="231F20"/>
                <w:spacing w:val="-5"/>
                <w:sz w:val="15"/>
              </w:rPr>
              <w:t>12</w:t>
            </w:r>
          </w:p>
        </w:tc>
        <w:tc>
          <w:tcPr>
            <w:tcW w:w="1253" w:type="dxa"/>
            <w:tcBorders>
              <w:top w:val="single" w:sz="4" w:space="0" w:color="FFFFFF"/>
              <w:bottom w:val="single" w:sz="8" w:space="0" w:color="231F20"/>
            </w:tcBorders>
            <w:shd w:val="clear" w:color="auto" w:fill="E8F5F1"/>
          </w:tcPr>
          <w:p>
            <w:pPr>
              <w:pStyle w:val="TableParagraph"/>
              <w:spacing w:before="42"/>
              <w:ind w:left="161"/>
              <w:rPr>
                <w:sz w:val="15"/>
              </w:rPr>
            </w:pPr>
            <w:r>
              <w:rPr>
                <w:color w:val="231F20"/>
                <w:spacing w:val="-5"/>
                <w:w w:val="105"/>
                <w:sz w:val="15"/>
              </w:rPr>
              <w:t>bid</w:t>
            </w:r>
          </w:p>
        </w:tc>
        <w:tc>
          <w:tcPr>
            <w:tcW w:w="1353" w:type="dxa"/>
            <w:tcBorders>
              <w:top w:val="single" w:sz="4" w:space="0" w:color="FFFFFF"/>
              <w:bottom w:val="single" w:sz="8" w:space="0" w:color="231F20"/>
            </w:tcBorders>
            <w:shd w:val="clear" w:color="auto" w:fill="E8F5F1"/>
          </w:tcPr>
          <w:p>
            <w:pPr>
              <w:pStyle w:val="TableParagraph"/>
              <w:spacing w:before="43"/>
              <w:ind w:left="161"/>
              <w:rPr>
                <w:sz w:val="15"/>
              </w:rPr>
            </w:pPr>
            <w:r>
              <w:rPr>
                <w:rFonts w:ascii="Cambria" w:hAnsi="Cambria"/>
                <w:color w:val="231F20"/>
                <w:sz w:val="15"/>
              </w:rPr>
              <w:t>&lt;=</w:t>
            </w:r>
            <w:r>
              <w:rPr>
                <w:rFonts w:ascii="Cambria" w:hAnsi="Cambria"/>
                <w:color w:val="231F20"/>
                <w:spacing w:val="9"/>
                <w:sz w:val="15"/>
              </w:rPr>
              <w:t> </w:t>
            </w:r>
            <w:r>
              <w:rPr>
                <w:color w:val="231F20"/>
                <w:sz w:val="15"/>
              </w:rPr>
              <w:t>15</w:t>
            </w:r>
            <w:r>
              <w:rPr>
                <w:color w:val="231F20"/>
                <w:spacing w:val="-2"/>
                <w:sz w:val="15"/>
              </w:rPr>
              <w:t> </w:t>
            </w:r>
            <w:r>
              <w:rPr>
                <w:rFonts w:ascii="Cambria" w:hAnsi="Cambria"/>
                <w:color w:val="231F20"/>
                <w:spacing w:val="-4"/>
                <w:sz w:val="15"/>
              </w:rPr>
              <w:t>μ</w:t>
            </w:r>
            <w:r>
              <w:rPr>
                <w:color w:val="231F20"/>
                <w:spacing w:val="-4"/>
                <w:sz w:val="15"/>
              </w:rPr>
              <w:t>g/L</w:t>
            </w:r>
          </w:p>
        </w:tc>
        <w:tc>
          <w:tcPr>
            <w:tcW w:w="1983" w:type="dxa"/>
            <w:tcBorders>
              <w:top w:val="single" w:sz="4" w:space="0" w:color="FFFFFF"/>
              <w:bottom w:val="single" w:sz="8" w:space="0" w:color="231F20"/>
            </w:tcBorders>
            <w:shd w:val="clear" w:color="auto" w:fill="E8F5F1"/>
          </w:tcPr>
          <w:p>
            <w:pPr>
              <w:pStyle w:val="TableParagraph"/>
              <w:spacing w:line="230" w:lineRule="auto" w:before="48"/>
              <w:ind w:left="162" w:right="113"/>
              <w:rPr>
                <w:sz w:val="15"/>
              </w:rPr>
            </w:pPr>
            <w:r>
              <w:rPr>
                <w:color w:val="231F20"/>
                <w:sz w:val="15"/>
              </w:rPr>
              <w:t>50,</w:t>
            </w:r>
            <w:r>
              <w:rPr>
                <w:color w:val="231F20"/>
                <w:spacing w:val="-12"/>
                <w:sz w:val="15"/>
              </w:rPr>
              <w:t> </w:t>
            </w:r>
            <w:r>
              <w:rPr>
                <w:color w:val="231F20"/>
                <w:sz w:val="15"/>
              </w:rPr>
              <w:t>100,</w:t>
            </w:r>
            <w:r>
              <w:rPr>
                <w:color w:val="231F20"/>
                <w:spacing w:val="-11"/>
                <w:sz w:val="15"/>
              </w:rPr>
              <w:t> </w:t>
            </w:r>
            <w:r>
              <w:rPr>
                <w:color w:val="231F20"/>
                <w:sz w:val="15"/>
              </w:rPr>
              <w:t>150,</w:t>
            </w:r>
            <w:r>
              <w:rPr>
                <w:color w:val="231F20"/>
                <w:spacing w:val="-11"/>
                <w:sz w:val="15"/>
              </w:rPr>
              <w:t> </w:t>
            </w:r>
            <w:r>
              <w:rPr>
                <w:color w:val="231F20"/>
                <w:sz w:val="15"/>
              </w:rPr>
              <w:t>200</w:t>
            </w:r>
            <w:r>
              <w:rPr>
                <w:color w:val="231F20"/>
                <w:spacing w:val="-12"/>
                <w:sz w:val="15"/>
              </w:rPr>
              <w:t> </w:t>
            </w:r>
            <w:r>
              <w:rPr>
                <w:color w:val="231F20"/>
                <w:sz w:val="15"/>
              </w:rPr>
              <w:t>mg</w:t>
            </w:r>
            <w:r>
              <w:rPr>
                <w:color w:val="231F20"/>
                <w:spacing w:val="-11"/>
                <w:sz w:val="15"/>
              </w:rPr>
              <w:t> </w:t>
            </w:r>
            <w:r>
              <w:rPr>
                <w:color w:val="231F20"/>
                <w:sz w:val="15"/>
              </w:rPr>
              <w:t>tabs 10 mg/mL oral soln</w:t>
            </w:r>
          </w:p>
        </w:tc>
      </w:tr>
    </w:tbl>
    <w:p>
      <w:pPr>
        <w:pStyle w:val="TableParagraph"/>
        <w:spacing w:after="0" w:line="230" w:lineRule="auto"/>
        <w:rPr>
          <w:sz w:val="15"/>
        </w:rPr>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631" name="Group 631"/>
                <wp:cNvGraphicFramePr>
                  <a:graphicFrameLocks/>
                </wp:cNvGraphicFramePr>
                <a:graphic>
                  <a:graphicData uri="http://schemas.microsoft.com/office/word/2010/wordprocessingGroup">
                    <wpg:wgp>
                      <wpg:cNvPr id="631" name="Group 631"/>
                      <wpg:cNvGrpSpPr/>
                      <wpg:grpSpPr>
                        <a:xfrm>
                          <a:off x="0" y="0"/>
                          <a:ext cx="6185535" cy="170815"/>
                          <a:chExt cx="6185535" cy="170815"/>
                        </a:xfrm>
                      </wpg:grpSpPr>
                      <wps:wsp>
                        <wps:cNvPr id="632" name="Graphic 632"/>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33" name="Graphic 633"/>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34" name="Textbox 634"/>
                        <wps:cNvSpPr txBox="1"/>
                        <wps:spPr>
                          <a:xfrm>
                            <a:off x="0" y="0"/>
                            <a:ext cx="6185535" cy="170815"/>
                          </a:xfrm>
                          <a:prstGeom prst="rect">
                            <a:avLst/>
                          </a:prstGeom>
                        </wps:spPr>
                        <wps:txbx>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2845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47"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48" filled="false" stroked="false">
                  <v:textbox inset="0,0,0,0">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2845</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7"/>
        <w:gridCol w:w="1839"/>
        <w:gridCol w:w="1934"/>
        <w:gridCol w:w="1253"/>
        <w:gridCol w:w="1353"/>
        <w:gridCol w:w="1962"/>
      </w:tblGrid>
      <w:tr>
        <w:trPr>
          <w:trHeight w:val="354" w:hRule="atLeast"/>
        </w:trPr>
        <w:tc>
          <w:tcPr>
            <w:tcW w:w="9738" w:type="dxa"/>
            <w:gridSpan w:val="6"/>
            <w:shd w:val="clear" w:color="auto" w:fill="231F20"/>
          </w:tcPr>
          <w:p>
            <w:pPr>
              <w:pStyle w:val="TableParagraph"/>
              <w:spacing w:before="89"/>
              <w:ind w:left="111"/>
              <w:rPr>
                <w:sz w:val="16"/>
              </w:rPr>
            </w:pPr>
            <w:r>
              <w:rPr>
                <w:b/>
                <w:color w:val="FFFFFF"/>
                <w:w w:val="105"/>
                <w:sz w:val="16"/>
              </w:rPr>
              <w:t>Table</w:t>
            </w:r>
            <w:r>
              <w:rPr>
                <w:b/>
                <w:color w:val="FFFFFF"/>
                <w:spacing w:val="1"/>
                <w:w w:val="105"/>
                <w:sz w:val="16"/>
              </w:rPr>
              <w:t> </w:t>
            </w:r>
            <w:r>
              <w:rPr>
                <w:b/>
                <w:color w:val="FFFFFF"/>
                <w:w w:val="105"/>
                <w:sz w:val="16"/>
              </w:rPr>
              <w:t>593-13</w:t>
            </w:r>
            <w:r>
              <w:rPr>
                <w:b/>
                <w:color w:val="FFFFFF"/>
                <w:spacing w:val="49"/>
                <w:w w:val="105"/>
                <w:sz w:val="16"/>
              </w:rPr>
              <w:t>  </w:t>
            </w:r>
            <w:r>
              <w:rPr>
                <w:color w:val="FFFFFF"/>
                <w:w w:val="105"/>
                <w:sz w:val="16"/>
              </w:rPr>
              <w:t>Dosages</w:t>
            </w:r>
            <w:r>
              <w:rPr>
                <w:color w:val="FFFFFF"/>
                <w:spacing w:val="16"/>
                <w:w w:val="105"/>
                <w:sz w:val="16"/>
              </w:rPr>
              <w:t> </w:t>
            </w:r>
            <w:r>
              <w:rPr>
                <w:color w:val="FFFFFF"/>
                <w:w w:val="105"/>
                <w:sz w:val="16"/>
              </w:rPr>
              <w:t>of</w:t>
            </w:r>
            <w:r>
              <w:rPr>
                <w:color w:val="FFFFFF"/>
                <w:spacing w:val="15"/>
                <w:w w:val="105"/>
                <w:sz w:val="16"/>
              </w:rPr>
              <w:t> </w:t>
            </w:r>
            <w:r>
              <w:rPr>
                <w:color w:val="FFFFFF"/>
                <w:w w:val="105"/>
                <w:sz w:val="16"/>
              </w:rPr>
              <w:t>Selected</w:t>
            </w:r>
            <w:r>
              <w:rPr>
                <w:color w:val="FFFFFF"/>
                <w:spacing w:val="16"/>
                <w:w w:val="105"/>
                <w:sz w:val="16"/>
              </w:rPr>
              <w:t> </w:t>
            </w:r>
            <w:r>
              <w:rPr>
                <w:color w:val="FFFFFF"/>
                <w:w w:val="105"/>
                <w:sz w:val="16"/>
              </w:rPr>
              <w:t>Antiepileptic</w:t>
            </w:r>
            <w:r>
              <w:rPr>
                <w:color w:val="FFFFFF"/>
                <w:spacing w:val="15"/>
                <w:w w:val="105"/>
                <w:sz w:val="16"/>
              </w:rPr>
              <w:t> </w:t>
            </w:r>
            <w:r>
              <w:rPr>
                <w:color w:val="FFFFFF"/>
                <w:w w:val="105"/>
                <w:sz w:val="16"/>
              </w:rPr>
              <w:t>Drugs—</w:t>
            </w:r>
            <w:r>
              <w:rPr>
                <w:color w:val="FFFFFF"/>
                <w:spacing w:val="-2"/>
                <w:w w:val="105"/>
                <w:sz w:val="16"/>
              </w:rPr>
              <w:t>cont’d</w:t>
            </w:r>
          </w:p>
        </w:tc>
      </w:tr>
      <w:tr>
        <w:trPr>
          <w:trHeight w:val="780" w:hRule="atLeast"/>
        </w:trPr>
        <w:tc>
          <w:tcPr>
            <w:tcW w:w="1397" w:type="dxa"/>
            <w:tcBorders>
              <w:bottom w:val="single" w:sz="4" w:space="0" w:color="231F20"/>
            </w:tcBorders>
            <w:shd w:val="clear" w:color="auto" w:fill="E8F5F1"/>
          </w:tcPr>
          <w:p>
            <w:pPr>
              <w:pStyle w:val="TableParagraph"/>
              <w:rPr>
                <w:sz w:val="15"/>
              </w:rPr>
            </w:pPr>
          </w:p>
          <w:p>
            <w:pPr>
              <w:pStyle w:val="TableParagraph"/>
              <w:rPr>
                <w:sz w:val="15"/>
              </w:rPr>
            </w:pPr>
          </w:p>
          <w:p>
            <w:pPr>
              <w:pStyle w:val="TableParagraph"/>
              <w:spacing w:before="47"/>
              <w:rPr>
                <w:sz w:val="15"/>
              </w:rPr>
            </w:pPr>
          </w:p>
          <w:p>
            <w:pPr>
              <w:pStyle w:val="TableParagraph"/>
              <w:ind w:left="74"/>
              <w:rPr>
                <w:b/>
                <w:sz w:val="15"/>
              </w:rPr>
            </w:pPr>
            <w:r>
              <w:rPr>
                <w:b/>
                <w:color w:val="231F20"/>
                <w:spacing w:val="-2"/>
                <w:w w:val="115"/>
                <w:sz w:val="15"/>
              </w:rPr>
              <w:t>MEDICATION</w:t>
            </w:r>
          </w:p>
        </w:tc>
        <w:tc>
          <w:tcPr>
            <w:tcW w:w="1839"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270" w:firstLine="59"/>
              <w:rPr>
                <w:b/>
                <w:sz w:val="15"/>
              </w:rPr>
            </w:pPr>
            <w:r>
              <w:rPr>
                <w:b/>
                <w:color w:val="231F20"/>
                <w:w w:val="110"/>
                <w:sz w:val="15"/>
              </w:rPr>
              <w:t>FDA APPROVAL (AGE</w:t>
            </w:r>
            <w:r>
              <w:rPr>
                <w:b/>
                <w:color w:val="231F20"/>
                <w:spacing w:val="-1"/>
                <w:w w:val="110"/>
                <w:sz w:val="15"/>
              </w:rPr>
              <w:t> </w:t>
            </w:r>
            <w:r>
              <w:rPr>
                <w:b/>
                <w:color w:val="231F20"/>
                <w:spacing w:val="-2"/>
                <w:w w:val="110"/>
                <w:sz w:val="15"/>
              </w:rPr>
              <w:t>APPROVED)</w:t>
            </w:r>
          </w:p>
        </w:tc>
        <w:tc>
          <w:tcPr>
            <w:tcW w:w="1934" w:type="dxa"/>
            <w:tcBorders>
              <w:bottom w:val="single" w:sz="4" w:space="0" w:color="231F20"/>
            </w:tcBorders>
            <w:shd w:val="clear" w:color="auto" w:fill="E8F5F1"/>
          </w:tcPr>
          <w:p>
            <w:pPr>
              <w:pStyle w:val="TableParagraph"/>
              <w:spacing w:line="171" w:lineRule="exact" w:before="66"/>
              <w:ind w:left="4" w:right="2"/>
              <w:jc w:val="center"/>
              <w:rPr>
                <w:b/>
                <w:sz w:val="15"/>
              </w:rPr>
            </w:pPr>
            <w:r>
              <w:rPr>
                <w:b/>
                <w:color w:val="231F20"/>
                <w:w w:val="110"/>
                <w:sz w:val="15"/>
              </w:rPr>
              <w:t>MAINTENANCE</w:t>
            </w:r>
            <w:r>
              <w:rPr>
                <w:b/>
                <w:color w:val="231F20"/>
                <w:spacing w:val="42"/>
                <w:w w:val="110"/>
                <w:sz w:val="15"/>
              </w:rPr>
              <w:t> </w:t>
            </w:r>
            <w:r>
              <w:rPr>
                <w:b/>
                <w:color w:val="231F20"/>
                <w:spacing w:val="-4"/>
                <w:w w:val="110"/>
                <w:sz w:val="15"/>
              </w:rPr>
              <w:t>ORAL</w:t>
            </w:r>
          </w:p>
          <w:p>
            <w:pPr>
              <w:pStyle w:val="TableParagraph"/>
              <w:spacing w:line="230" w:lineRule="auto" w:before="2"/>
              <w:ind w:left="4"/>
              <w:jc w:val="center"/>
              <w:rPr>
                <w:b/>
                <w:sz w:val="15"/>
              </w:rPr>
            </w:pPr>
            <w:r>
              <w:rPr>
                <w:b/>
                <w:color w:val="231F20"/>
                <w:spacing w:val="-2"/>
                <w:w w:val="110"/>
                <w:sz w:val="15"/>
              </w:rPr>
              <w:t>DOSAGE</w:t>
            </w:r>
            <w:r>
              <w:rPr>
                <w:b/>
                <w:color w:val="231F20"/>
                <w:spacing w:val="-11"/>
                <w:w w:val="110"/>
                <w:sz w:val="15"/>
              </w:rPr>
              <w:t> </w:t>
            </w:r>
            <w:r>
              <w:rPr>
                <w:b/>
                <w:color w:val="231F20"/>
                <w:spacing w:val="-2"/>
                <w:w w:val="110"/>
                <w:sz w:val="15"/>
              </w:rPr>
              <w:t>(mg/kg/day) </w:t>
            </w:r>
            <w:r>
              <w:rPr>
                <w:b/>
                <w:color w:val="231F20"/>
                <w:w w:val="110"/>
                <w:sz w:val="15"/>
              </w:rPr>
              <w:t>UNLESS OTHERWISE </w:t>
            </w:r>
            <w:r>
              <w:rPr>
                <w:b/>
                <w:color w:val="231F20"/>
                <w:spacing w:val="-2"/>
                <w:w w:val="110"/>
                <w:sz w:val="15"/>
              </w:rPr>
              <w:t>SPECIFIED</w:t>
            </w:r>
          </w:p>
        </w:tc>
        <w:tc>
          <w:tcPr>
            <w:tcW w:w="1253"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325" w:firstLine="53"/>
              <w:rPr>
                <w:b/>
                <w:sz w:val="15"/>
              </w:rPr>
            </w:pPr>
            <w:r>
              <w:rPr>
                <w:b/>
                <w:color w:val="231F20"/>
                <w:spacing w:val="-2"/>
                <w:w w:val="115"/>
                <w:sz w:val="15"/>
              </w:rPr>
              <w:t>USUAL DOSING</w:t>
            </w:r>
          </w:p>
        </w:tc>
        <w:tc>
          <w:tcPr>
            <w:tcW w:w="1353" w:type="dxa"/>
            <w:tcBorders>
              <w:bottom w:val="single" w:sz="4" w:space="0" w:color="231F20"/>
            </w:tcBorders>
            <w:shd w:val="clear" w:color="auto" w:fill="E8F5F1"/>
          </w:tcPr>
          <w:p>
            <w:pPr>
              <w:pStyle w:val="TableParagraph"/>
              <w:rPr>
                <w:sz w:val="15"/>
              </w:rPr>
            </w:pPr>
          </w:p>
          <w:p>
            <w:pPr>
              <w:pStyle w:val="TableParagraph"/>
              <w:spacing w:before="59"/>
              <w:rPr>
                <w:sz w:val="15"/>
              </w:rPr>
            </w:pPr>
          </w:p>
          <w:p>
            <w:pPr>
              <w:pStyle w:val="TableParagraph"/>
              <w:spacing w:line="230" w:lineRule="auto"/>
              <w:ind w:left="408" w:hanging="247"/>
              <w:rPr>
                <w:b/>
                <w:sz w:val="15"/>
              </w:rPr>
            </w:pPr>
            <w:r>
              <w:rPr>
                <w:b/>
                <w:color w:val="231F20"/>
                <w:spacing w:val="-2"/>
                <w:w w:val="105"/>
                <w:sz w:val="15"/>
              </w:rPr>
              <w:t>THERAPEUTIC LEVELS</w:t>
            </w:r>
          </w:p>
        </w:tc>
        <w:tc>
          <w:tcPr>
            <w:tcW w:w="1962" w:type="dxa"/>
            <w:tcBorders>
              <w:bottom w:val="single" w:sz="4" w:space="0" w:color="231F20"/>
            </w:tcBorders>
            <w:shd w:val="clear" w:color="auto" w:fill="E8F5F1"/>
          </w:tcPr>
          <w:p>
            <w:pPr>
              <w:pStyle w:val="TableParagraph"/>
              <w:rPr>
                <w:sz w:val="15"/>
              </w:rPr>
            </w:pPr>
          </w:p>
          <w:p>
            <w:pPr>
              <w:pStyle w:val="TableParagraph"/>
              <w:rPr>
                <w:sz w:val="15"/>
              </w:rPr>
            </w:pPr>
          </w:p>
          <w:p>
            <w:pPr>
              <w:pStyle w:val="TableParagraph"/>
              <w:spacing w:before="47"/>
              <w:rPr>
                <w:sz w:val="15"/>
              </w:rPr>
            </w:pPr>
          </w:p>
          <w:p>
            <w:pPr>
              <w:pStyle w:val="TableParagraph"/>
              <w:ind w:left="447"/>
              <w:rPr>
                <w:b/>
                <w:sz w:val="15"/>
              </w:rPr>
            </w:pPr>
            <w:r>
              <w:rPr>
                <w:b/>
                <w:color w:val="231F20"/>
                <w:spacing w:val="-2"/>
                <w:w w:val="110"/>
                <w:sz w:val="15"/>
              </w:rPr>
              <w:t>PREPARATIONS</w:t>
            </w:r>
          </w:p>
        </w:tc>
      </w:tr>
      <w:tr>
        <w:trPr>
          <w:trHeight w:val="1092" w:hRule="atLeast"/>
        </w:trPr>
        <w:tc>
          <w:tcPr>
            <w:tcW w:w="1397" w:type="dxa"/>
            <w:tcBorders>
              <w:top w:val="single" w:sz="4" w:space="0" w:color="231F20"/>
              <w:bottom w:val="single" w:sz="4" w:space="0" w:color="FFFFFF"/>
            </w:tcBorders>
            <w:shd w:val="clear" w:color="auto" w:fill="E8F5F1"/>
          </w:tcPr>
          <w:p>
            <w:pPr>
              <w:pStyle w:val="TableParagraph"/>
              <w:spacing w:before="42"/>
              <w:ind w:left="74"/>
              <w:rPr>
                <w:sz w:val="15"/>
              </w:rPr>
            </w:pPr>
            <w:r>
              <w:rPr>
                <w:color w:val="231F20"/>
                <w:spacing w:val="-2"/>
                <w:sz w:val="15"/>
              </w:rPr>
              <w:t>Lamotrigine</w:t>
            </w:r>
          </w:p>
        </w:tc>
        <w:tc>
          <w:tcPr>
            <w:tcW w:w="1839" w:type="dxa"/>
            <w:tcBorders>
              <w:top w:val="single" w:sz="4" w:space="0" w:color="231F20"/>
              <w:bottom w:val="single" w:sz="4" w:space="0" w:color="FFFFFF"/>
            </w:tcBorders>
            <w:shd w:val="clear" w:color="auto" w:fill="E8F5F1"/>
          </w:tcPr>
          <w:p>
            <w:pPr>
              <w:pStyle w:val="TableParagraph"/>
              <w:spacing w:line="230" w:lineRule="auto" w:before="48"/>
              <w:ind w:left="273" w:hanging="112"/>
              <w:rPr>
                <w:sz w:val="15"/>
              </w:rPr>
            </w:pPr>
            <w:r>
              <w:rPr>
                <w:color w:val="231F20"/>
                <w:sz w:val="15"/>
              </w:rPr>
              <w:t>LGS, partial and tonic–clonic</w:t>
            </w:r>
            <w:r>
              <w:rPr>
                <w:color w:val="231F20"/>
                <w:spacing w:val="-12"/>
                <w:sz w:val="15"/>
              </w:rPr>
              <w:t> </w:t>
            </w:r>
            <w:r>
              <w:rPr>
                <w:color w:val="231F20"/>
                <w:sz w:val="15"/>
              </w:rPr>
              <w:t>sz</w:t>
            </w:r>
            <w:r>
              <w:rPr>
                <w:color w:val="231F20"/>
                <w:spacing w:val="-11"/>
                <w:sz w:val="15"/>
              </w:rPr>
              <w:t> </w:t>
            </w:r>
            <w:r>
              <w:rPr>
                <w:color w:val="231F20"/>
                <w:sz w:val="15"/>
              </w:rPr>
              <w:t>(age</w:t>
            </w:r>
          </w:p>
          <w:p>
            <w:pPr>
              <w:pStyle w:val="TableParagraph"/>
              <w:spacing w:line="170" w:lineRule="exact"/>
              <w:ind w:left="273"/>
              <w:rPr>
                <w:sz w:val="15"/>
              </w:rPr>
            </w:pPr>
            <w:r>
              <w:rPr>
                <w:rFonts w:ascii="Cambria"/>
                <w:color w:val="231F20"/>
                <w:sz w:val="15"/>
              </w:rPr>
              <w:t>&gt;</w:t>
            </w:r>
            <w:r>
              <w:rPr>
                <w:color w:val="231F20"/>
                <w:sz w:val="15"/>
              </w:rPr>
              <w:t>2</w:t>
            </w:r>
            <w:r>
              <w:rPr>
                <w:color w:val="231F20"/>
                <w:spacing w:val="-3"/>
                <w:sz w:val="15"/>
              </w:rPr>
              <w:t> </w:t>
            </w:r>
            <w:r>
              <w:rPr>
                <w:color w:val="231F20"/>
                <w:spacing w:val="-5"/>
                <w:sz w:val="15"/>
              </w:rPr>
              <w:t>yr)</w:t>
            </w:r>
          </w:p>
        </w:tc>
        <w:tc>
          <w:tcPr>
            <w:tcW w:w="1934" w:type="dxa"/>
            <w:tcBorders>
              <w:top w:val="single" w:sz="4" w:space="0" w:color="231F20"/>
              <w:bottom w:val="single" w:sz="4" w:space="0" w:color="FFFFFF"/>
            </w:tcBorders>
            <w:shd w:val="clear" w:color="auto" w:fill="E8F5F1"/>
          </w:tcPr>
          <w:p>
            <w:pPr>
              <w:pStyle w:val="TableParagraph"/>
              <w:spacing w:line="172" w:lineRule="exact" w:before="42"/>
              <w:ind w:left="162"/>
              <w:rPr>
                <w:sz w:val="15"/>
              </w:rPr>
            </w:pPr>
            <w:r>
              <w:rPr>
                <w:color w:val="231F20"/>
                <w:spacing w:val="-4"/>
                <w:sz w:val="15"/>
              </w:rPr>
              <w:t>5-</w:t>
            </w:r>
            <w:r>
              <w:rPr>
                <w:color w:val="231F20"/>
                <w:spacing w:val="-5"/>
                <w:sz w:val="15"/>
              </w:rPr>
              <w:t>15</w:t>
            </w:r>
            <w:r>
              <w:rPr>
                <w:color w:val="0080AC"/>
                <w:spacing w:val="-5"/>
                <w:sz w:val="15"/>
                <w:vertAlign w:val="superscript"/>
              </w:rPr>
              <w:t>§</w:t>
            </w:r>
          </w:p>
          <w:p>
            <w:pPr>
              <w:pStyle w:val="TableParagraph"/>
              <w:spacing w:line="172" w:lineRule="exact"/>
              <w:ind w:left="162"/>
              <w:rPr>
                <w:sz w:val="15"/>
              </w:rPr>
            </w:pPr>
            <w:r>
              <w:rPr>
                <w:color w:val="231F20"/>
                <w:spacing w:val="-4"/>
                <w:sz w:val="15"/>
              </w:rPr>
              <w:t>1-</w:t>
            </w:r>
            <w:r>
              <w:rPr>
                <w:color w:val="231F20"/>
                <w:spacing w:val="-5"/>
                <w:sz w:val="15"/>
              </w:rPr>
              <w:t>5</w:t>
            </w:r>
            <w:r>
              <w:rPr>
                <w:color w:val="0080AC"/>
                <w:spacing w:val="-5"/>
                <w:sz w:val="15"/>
                <w:vertAlign w:val="superscript"/>
              </w:rPr>
              <w:t>¶</w:t>
            </w:r>
          </w:p>
        </w:tc>
        <w:tc>
          <w:tcPr>
            <w:tcW w:w="1253" w:type="dxa"/>
            <w:tcBorders>
              <w:top w:val="single" w:sz="4" w:space="0" w:color="231F20"/>
              <w:bottom w:val="single" w:sz="4" w:space="0" w:color="FFFFFF"/>
            </w:tcBorders>
            <w:shd w:val="clear" w:color="auto" w:fill="E8F5F1"/>
          </w:tcPr>
          <w:p>
            <w:pPr>
              <w:pStyle w:val="TableParagraph"/>
              <w:spacing w:line="232" w:lineRule="auto" w:before="46"/>
              <w:ind w:left="162" w:right="739"/>
              <w:rPr>
                <w:sz w:val="15"/>
              </w:rPr>
            </w:pPr>
            <w:r>
              <w:rPr>
                <w:color w:val="231F20"/>
                <w:spacing w:val="-4"/>
                <w:sz w:val="15"/>
              </w:rPr>
              <w:t>tid bid</w:t>
            </w:r>
          </w:p>
        </w:tc>
        <w:tc>
          <w:tcPr>
            <w:tcW w:w="1353" w:type="dxa"/>
            <w:tcBorders>
              <w:top w:val="single" w:sz="4" w:space="0" w:color="231F20"/>
              <w:bottom w:val="single" w:sz="4" w:space="0" w:color="FFFFFF"/>
            </w:tcBorders>
            <w:shd w:val="clear" w:color="auto" w:fill="E8F5F1"/>
          </w:tcPr>
          <w:p>
            <w:pPr>
              <w:pStyle w:val="TableParagraph"/>
              <w:spacing w:before="42"/>
              <w:ind w:left="162"/>
              <w:rPr>
                <w:sz w:val="15"/>
              </w:rPr>
            </w:pPr>
            <w:r>
              <w:rPr>
                <w:color w:val="231F20"/>
                <w:sz w:val="15"/>
              </w:rPr>
              <w:t>1-15</w:t>
            </w:r>
            <w:r>
              <w:rPr>
                <w:color w:val="231F20"/>
                <w:spacing w:val="-8"/>
                <w:sz w:val="15"/>
              </w:rPr>
              <w:t> </w:t>
            </w:r>
            <w:r>
              <w:rPr>
                <w:color w:val="231F20"/>
                <w:spacing w:val="-4"/>
                <w:sz w:val="15"/>
              </w:rPr>
              <w:t>mg/L</w:t>
            </w:r>
          </w:p>
        </w:tc>
        <w:tc>
          <w:tcPr>
            <w:tcW w:w="1962" w:type="dxa"/>
            <w:tcBorders>
              <w:top w:val="single" w:sz="4" w:space="0" w:color="231F20"/>
              <w:bottom w:val="single" w:sz="4" w:space="0" w:color="FFFFFF"/>
            </w:tcBorders>
            <w:shd w:val="clear" w:color="auto" w:fill="E8F5F1"/>
          </w:tcPr>
          <w:p>
            <w:pPr>
              <w:pStyle w:val="TableParagraph"/>
              <w:spacing w:line="171" w:lineRule="exact" w:before="42"/>
              <w:ind w:left="163"/>
              <w:rPr>
                <w:sz w:val="15"/>
              </w:rPr>
            </w:pPr>
            <w:r>
              <w:rPr>
                <w:color w:val="231F20"/>
                <w:sz w:val="15"/>
              </w:rPr>
              <w:t>25,</w:t>
            </w:r>
            <w:r>
              <w:rPr>
                <w:color w:val="231F20"/>
                <w:spacing w:val="-9"/>
                <w:sz w:val="15"/>
              </w:rPr>
              <w:t> </w:t>
            </w:r>
            <w:r>
              <w:rPr>
                <w:color w:val="231F20"/>
                <w:sz w:val="15"/>
              </w:rPr>
              <w:t>100,</w:t>
            </w:r>
            <w:r>
              <w:rPr>
                <w:color w:val="231F20"/>
                <w:spacing w:val="-8"/>
                <w:sz w:val="15"/>
              </w:rPr>
              <w:t> </w:t>
            </w:r>
            <w:r>
              <w:rPr>
                <w:color w:val="231F20"/>
                <w:sz w:val="15"/>
              </w:rPr>
              <w:t>150,</w:t>
            </w:r>
            <w:r>
              <w:rPr>
                <w:color w:val="231F20"/>
                <w:spacing w:val="-8"/>
                <w:sz w:val="15"/>
              </w:rPr>
              <w:t> </w:t>
            </w:r>
            <w:r>
              <w:rPr>
                <w:color w:val="231F20"/>
                <w:sz w:val="15"/>
              </w:rPr>
              <w:t>200</w:t>
            </w:r>
            <w:r>
              <w:rPr>
                <w:color w:val="231F20"/>
                <w:spacing w:val="-9"/>
                <w:sz w:val="15"/>
              </w:rPr>
              <w:t> </w:t>
            </w:r>
            <w:r>
              <w:rPr>
                <w:color w:val="231F20"/>
                <w:sz w:val="15"/>
              </w:rPr>
              <w:t>mg</w:t>
            </w:r>
            <w:r>
              <w:rPr>
                <w:color w:val="231F20"/>
                <w:spacing w:val="-8"/>
                <w:sz w:val="15"/>
              </w:rPr>
              <w:t> </w:t>
            </w:r>
            <w:r>
              <w:rPr>
                <w:color w:val="231F20"/>
                <w:spacing w:val="-4"/>
                <w:sz w:val="15"/>
              </w:rPr>
              <w:t>tabs</w:t>
            </w:r>
          </w:p>
          <w:p>
            <w:pPr>
              <w:pStyle w:val="TableParagraph"/>
              <w:spacing w:line="230" w:lineRule="auto" w:before="2"/>
              <w:ind w:left="275" w:hanging="112"/>
              <w:rPr>
                <w:sz w:val="15"/>
              </w:rPr>
            </w:pPr>
            <w:r>
              <w:rPr>
                <w:color w:val="231F20"/>
                <w:sz w:val="15"/>
              </w:rPr>
              <w:t>5,</w:t>
            </w:r>
            <w:r>
              <w:rPr>
                <w:color w:val="231F20"/>
                <w:spacing w:val="-12"/>
                <w:sz w:val="15"/>
              </w:rPr>
              <w:t> </w:t>
            </w:r>
            <w:r>
              <w:rPr>
                <w:color w:val="231F20"/>
                <w:sz w:val="15"/>
              </w:rPr>
              <w:t>25</w:t>
            </w:r>
            <w:r>
              <w:rPr>
                <w:color w:val="231F20"/>
                <w:spacing w:val="-11"/>
                <w:sz w:val="15"/>
              </w:rPr>
              <w:t> </w:t>
            </w:r>
            <w:r>
              <w:rPr>
                <w:color w:val="231F20"/>
                <w:sz w:val="15"/>
              </w:rPr>
              <w:t>mg</w:t>
            </w:r>
            <w:r>
              <w:rPr>
                <w:color w:val="231F20"/>
                <w:spacing w:val="-11"/>
                <w:sz w:val="15"/>
              </w:rPr>
              <w:t> </w:t>
            </w:r>
            <w:r>
              <w:rPr>
                <w:color w:val="231F20"/>
                <w:sz w:val="15"/>
              </w:rPr>
              <w:t>chewable dispersible tabs</w:t>
            </w:r>
          </w:p>
          <w:p>
            <w:pPr>
              <w:pStyle w:val="TableParagraph"/>
              <w:spacing w:line="167" w:lineRule="exact"/>
              <w:ind w:left="163"/>
              <w:rPr>
                <w:sz w:val="15"/>
              </w:rPr>
            </w:pPr>
            <w:r>
              <w:rPr>
                <w:color w:val="231F20"/>
                <w:sz w:val="15"/>
              </w:rPr>
              <w:t>25,</w:t>
            </w:r>
            <w:r>
              <w:rPr>
                <w:color w:val="231F20"/>
                <w:spacing w:val="-10"/>
                <w:sz w:val="15"/>
              </w:rPr>
              <w:t> </w:t>
            </w:r>
            <w:r>
              <w:rPr>
                <w:color w:val="231F20"/>
                <w:sz w:val="15"/>
              </w:rPr>
              <w:t>50,</w:t>
            </w:r>
            <w:r>
              <w:rPr>
                <w:color w:val="231F20"/>
                <w:spacing w:val="-9"/>
                <w:sz w:val="15"/>
              </w:rPr>
              <w:t> </w:t>
            </w:r>
            <w:r>
              <w:rPr>
                <w:color w:val="231F20"/>
                <w:sz w:val="15"/>
              </w:rPr>
              <w:t>100,</w:t>
            </w:r>
            <w:r>
              <w:rPr>
                <w:color w:val="231F20"/>
                <w:spacing w:val="-9"/>
                <w:sz w:val="15"/>
              </w:rPr>
              <w:t> </w:t>
            </w:r>
            <w:r>
              <w:rPr>
                <w:color w:val="231F20"/>
                <w:sz w:val="15"/>
              </w:rPr>
              <w:t>200</w:t>
            </w:r>
            <w:r>
              <w:rPr>
                <w:color w:val="231F20"/>
                <w:spacing w:val="-8"/>
                <w:sz w:val="15"/>
              </w:rPr>
              <w:t> </w:t>
            </w:r>
            <w:r>
              <w:rPr>
                <w:color w:val="231F20"/>
                <w:sz w:val="15"/>
              </w:rPr>
              <w:t>mg</w:t>
            </w:r>
            <w:r>
              <w:rPr>
                <w:color w:val="231F20"/>
                <w:spacing w:val="-9"/>
                <w:sz w:val="15"/>
              </w:rPr>
              <w:t> </w:t>
            </w:r>
            <w:r>
              <w:rPr>
                <w:color w:val="231F20"/>
                <w:spacing w:val="-4"/>
                <w:sz w:val="15"/>
              </w:rPr>
              <w:t>ODTs</w:t>
            </w:r>
          </w:p>
          <w:p>
            <w:pPr>
              <w:pStyle w:val="TableParagraph"/>
              <w:spacing w:line="168" w:lineRule="exact"/>
              <w:ind w:left="163"/>
              <w:rPr>
                <w:sz w:val="15"/>
              </w:rPr>
            </w:pPr>
            <w:r>
              <w:rPr>
                <w:color w:val="231F20"/>
                <w:spacing w:val="-4"/>
                <w:sz w:val="15"/>
              </w:rPr>
              <w:t>25,</w:t>
            </w:r>
            <w:r>
              <w:rPr>
                <w:color w:val="231F20"/>
                <w:spacing w:val="-5"/>
                <w:sz w:val="15"/>
              </w:rPr>
              <w:t> </w:t>
            </w:r>
            <w:r>
              <w:rPr>
                <w:color w:val="231F20"/>
                <w:spacing w:val="-4"/>
                <w:sz w:val="15"/>
              </w:rPr>
              <w:t>50,</w:t>
            </w:r>
            <w:r>
              <w:rPr>
                <w:color w:val="231F20"/>
                <w:spacing w:val="-5"/>
                <w:sz w:val="15"/>
              </w:rPr>
              <w:t> </w:t>
            </w:r>
            <w:r>
              <w:rPr>
                <w:color w:val="231F20"/>
                <w:spacing w:val="-4"/>
                <w:sz w:val="15"/>
              </w:rPr>
              <w:t>100,</w:t>
            </w:r>
            <w:r>
              <w:rPr>
                <w:color w:val="231F20"/>
                <w:spacing w:val="-5"/>
                <w:sz w:val="15"/>
              </w:rPr>
              <w:t> </w:t>
            </w:r>
            <w:r>
              <w:rPr>
                <w:color w:val="231F20"/>
                <w:spacing w:val="-4"/>
                <w:sz w:val="15"/>
              </w:rPr>
              <w:t>200, 250,</w:t>
            </w:r>
          </w:p>
          <w:p>
            <w:pPr>
              <w:pStyle w:val="TableParagraph"/>
              <w:spacing w:line="171" w:lineRule="exact"/>
              <w:ind w:left="275"/>
              <w:rPr>
                <w:sz w:val="15"/>
              </w:rPr>
            </w:pPr>
            <w:r>
              <w:rPr>
                <w:color w:val="231F20"/>
                <w:sz w:val="15"/>
              </w:rPr>
              <w:t>300</w:t>
            </w:r>
            <w:r>
              <w:rPr>
                <w:color w:val="231F20"/>
                <w:spacing w:val="8"/>
                <w:sz w:val="15"/>
              </w:rPr>
              <w:t> </w:t>
            </w:r>
            <w:r>
              <w:rPr>
                <w:color w:val="231F20"/>
                <w:sz w:val="15"/>
              </w:rPr>
              <w:t>mg</w:t>
            </w:r>
            <w:r>
              <w:rPr>
                <w:color w:val="231F20"/>
                <w:spacing w:val="8"/>
                <w:sz w:val="15"/>
              </w:rPr>
              <w:t> </w:t>
            </w:r>
            <w:r>
              <w:rPr>
                <w:color w:val="231F20"/>
                <w:sz w:val="15"/>
              </w:rPr>
              <w:t>ER</w:t>
            </w:r>
            <w:r>
              <w:rPr>
                <w:color w:val="231F20"/>
                <w:spacing w:val="8"/>
                <w:sz w:val="15"/>
              </w:rPr>
              <w:t> </w:t>
            </w:r>
            <w:r>
              <w:rPr>
                <w:color w:val="231F20"/>
                <w:spacing w:val="-4"/>
                <w:sz w:val="15"/>
              </w:rPr>
              <w:t>tabs</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Levetiracetam</w:t>
            </w:r>
            <w:r>
              <w:rPr>
                <w:color w:val="0080AC"/>
                <w:spacing w:val="-2"/>
                <w:sz w:val="15"/>
                <w:vertAlign w:val="superscript"/>
              </w:rPr>
              <w:t>†</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hanging="112"/>
              <w:rPr>
                <w:sz w:val="15"/>
              </w:rPr>
            </w:pPr>
            <w:r>
              <w:rPr>
                <w:color w:val="231F20"/>
                <w:spacing w:val="-2"/>
                <w:sz w:val="15"/>
              </w:rPr>
              <w:t>Myoclonic,</w:t>
            </w:r>
            <w:r>
              <w:rPr>
                <w:color w:val="231F20"/>
                <w:spacing w:val="-7"/>
                <w:sz w:val="15"/>
              </w:rPr>
              <w:t> </w:t>
            </w:r>
            <w:r>
              <w:rPr>
                <w:color w:val="231F20"/>
                <w:spacing w:val="-2"/>
                <w:sz w:val="15"/>
              </w:rPr>
              <w:t>partial</w:t>
            </w:r>
            <w:r>
              <w:rPr>
                <w:color w:val="231F20"/>
                <w:spacing w:val="-7"/>
                <w:sz w:val="15"/>
              </w:rPr>
              <w:t> </w:t>
            </w:r>
            <w:r>
              <w:rPr>
                <w:color w:val="231F20"/>
                <w:spacing w:val="-2"/>
                <w:sz w:val="15"/>
              </w:rPr>
              <w:t>and </w:t>
            </w:r>
            <w:r>
              <w:rPr>
                <w:color w:val="231F20"/>
                <w:sz w:val="15"/>
              </w:rPr>
              <w:t>tonic–clonic sz (age</w:t>
            </w:r>
          </w:p>
          <w:p>
            <w:pPr>
              <w:pStyle w:val="TableParagraph"/>
              <w:spacing w:line="170" w:lineRule="exact"/>
              <w:ind w:left="273"/>
              <w:rPr>
                <w:sz w:val="15"/>
              </w:rPr>
            </w:pPr>
            <w:r>
              <w:rPr>
                <w:rFonts w:ascii="Cambria"/>
                <w:color w:val="231F20"/>
                <w:sz w:val="15"/>
              </w:rPr>
              <w:t>&gt;</w:t>
            </w:r>
            <w:r>
              <w:rPr>
                <w:color w:val="231F20"/>
                <w:sz w:val="15"/>
              </w:rPr>
              <w:t>4-6</w:t>
            </w:r>
            <w:r>
              <w:rPr>
                <w:color w:val="231F20"/>
                <w:spacing w:val="-10"/>
                <w:sz w:val="15"/>
              </w:rPr>
              <w:t> </w:t>
            </w:r>
            <w:r>
              <w:rPr>
                <w:color w:val="231F20"/>
                <w:spacing w:val="-5"/>
                <w:sz w:val="15"/>
              </w:rPr>
              <w:t>yr)</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20-</w:t>
            </w:r>
            <w:r>
              <w:rPr>
                <w:color w:val="231F20"/>
                <w:spacing w:val="-5"/>
                <w:sz w:val="15"/>
              </w:rPr>
              <w:t>40</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6-20</w:t>
            </w:r>
            <w:r>
              <w:rPr>
                <w:color w:val="231F20"/>
                <w:spacing w:val="-8"/>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250,</w:t>
            </w:r>
            <w:r>
              <w:rPr>
                <w:color w:val="231F20"/>
                <w:spacing w:val="-6"/>
                <w:sz w:val="15"/>
              </w:rPr>
              <w:t> </w:t>
            </w:r>
            <w:r>
              <w:rPr>
                <w:color w:val="231F20"/>
                <w:sz w:val="15"/>
              </w:rPr>
              <w:t>500,</w:t>
            </w:r>
            <w:r>
              <w:rPr>
                <w:color w:val="231F20"/>
                <w:spacing w:val="-6"/>
                <w:sz w:val="15"/>
              </w:rPr>
              <w:t> </w:t>
            </w:r>
            <w:r>
              <w:rPr>
                <w:color w:val="231F20"/>
                <w:sz w:val="15"/>
              </w:rPr>
              <w:t>750</w:t>
            </w:r>
            <w:r>
              <w:rPr>
                <w:color w:val="231F20"/>
                <w:spacing w:val="-6"/>
                <w:sz w:val="15"/>
              </w:rPr>
              <w:t> </w:t>
            </w:r>
            <w:r>
              <w:rPr>
                <w:color w:val="231F20"/>
                <w:sz w:val="15"/>
              </w:rPr>
              <w:t>mg</w:t>
            </w:r>
            <w:r>
              <w:rPr>
                <w:color w:val="231F20"/>
                <w:spacing w:val="-6"/>
                <w:sz w:val="15"/>
              </w:rPr>
              <w:t> </w:t>
            </w:r>
            <w:r>
              <w:rPr>
                <w:color w:val="231F20"/>
                <w:spacing w:val="-4"/>
                <w:sz w:val="15"/>
              </w:rPr>
              <w:t>tabs</w:t>
            </w:r>
          </w:p>
          <w:p>
            <w:pPr>
              <w:pStyle w:val="TableParagraph"/>
              <w:spacing w:line="168" w:lineRule="exact"/>
              <w:ind w:left="163"/>
              <w:rPr>
                <w:sz w:val="15"/>
              </w:rPr>
            </w:pPr>
            <w:r>
              <w:rPr>
                <w:color w:val="231F20"/>
                <w:sz w:val="15"/>
              </w:rPr>
              <w:t>100</w:t>
            </w:r>
            <w:r>
              <w:rPr>
                <w:color w:val="231F20"/>
                <w:spacing w:val="-4"/>
                <w:sz w:val="15"/>
              </w:rPr>
              <w:t> </w:t>
            </w:r>
            <w:r>
              <w:rPr>
                <w:color w:val="231F20"/>
                <w:sz w:val="15"/>
              </w:rPr>
              <w:t>mg/mL</w:t>
            </w:r>
            <w:r>
              <w:rPr>
                <w:color w:val="231F20"/>
                <w:spacing w:val="-4"/>
                <w:sz w:val="15"/>
              </w:rPr>
              <w:t> soln</w:t>
            </w:r>
          </w:p>
          <w:p>
            <w:pPr>
              <w:pStyle w:val="TableParagraph"/>
              <w:spacing w:line="171" w:lineRule="exact"/>
              <w:ind w:left="163"/>
              <w:rPr>
                <w:sz w:val="15"/>
              </w:rPr>
            </w:pPr>
            <w:r>
              <w:rPr>
                <w:color w:val="231F20"/>
                <w:sz w:val="15"/>
              </w:rPr>
              <w:t>500,</w:t>
            </w:r>
            <w:r>
              <w:rPr>
                <w:color w:val="231F20"/>
                <w:spacing w:val="-4"/>
                <w:sz w:val="15"/>
              </w:rPr>
              <w:t> </w:t>
            </w:r>
            <w:r>
              <w:rPr>
                <w:color w:val="231F20"/>
                <w:sz w:val="15"/>
              </w:rPr>
              <w:t>750</w:t>
            </w:r>
            <w:r>
              <w:rPr>
                <w:color w:val="231F20"/>
                <w:spacing w:val="-3"/>
                <w:sz w:val="15"/>
              </w:rPr>
              <w:t> </w:t>
            </w:r>
            <w:r>
              <w:rPr>
                <w:color w:val="231F20"/>
                <w:sz w:val="15"/>
              </w:rPr>
              <w:t>mg</w:t>
            </w:r>
            <w:r>
              <w:rPr>
                <w:color w:val="231F20"/>
                <w:spacing w:val="-3"/>
                <w:sz w:val="15"/>
              </w:rPr>
              <w:t> </w:t>
            </w:r>
            <w:r>
              <w:rPr>
                <w:color w:val="231F20"/>
                <w:sz w:val="15"/>
              </w:rPr>
              <w:t>SR</w:t>
            </w:r>
            <w:r>
              <w:rPr>
                <w:color w:val="231F20"/>
                <w:spacing w:val="-3"/>
                <w:sz w:val="15"/>
              </w:rPr>
              <w:t> </w:t>
            </w:r>
            <w:r>
              <w:rPr>
                <w:color w:val="231F20"/>
                <w:sz w:val="15"/>
              </w:rPr>
              <w:t>(ER)</w:t>
            </w:r>
            <w:r>
              <w:rPr>
                <w:color w:val="231F20"/>
                <w:spacing w:val="-3"/>
                <w:sz w:val="15"/>
              </w:rPr>
              <w:t> </w:t>
            </w:r>
            <w:r>
              <w:rPr>
                <w:color w:val="231F20"/>
                <w:spacing w:val="-4"/>
                <w:sz w:val="15"/>
              </w:rPr>
              <w:t>tabs</w:t>
            </w:r>
          </w:p>
        </w:tc>
      </w:tr>
      <w:tr>
        <w:trPr>
          <w:trHeight w:val="420"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Lorazepam</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256" w:hanging="112"/>
              <w:rPr>
                <w:sz w:val="15"/>
              </w:rPr>
            </w:pPr>
            <w:r>
              <w:rPr>
                <w:color w:val="231F20"/>
                <w:spacing w:val="-2"/>
                <w:sz w:val="15"/>
              </w:rPr>
              <w:t>Status</w:t>
            </w:r>
            <w:r>
              <w:rPr>
                <w:color w:val="231F20"/>
                <w:spacing w:val="-10"/>
                <w:sz w:val="15"/>
              </w:rPr>
              <w:t> </w:t>
            </w:r>
            <w:r>
              <w:rPr>
                <w:color w:val="231F20"/>
                <w:spacing w:val="-2"/>
                <w:sz w:val="15"/>
              </w:rPr>
              <w:t>epilepticus</w:t>
            </w:r>
            <w:r>
              <w:rPr>
                <w:color w:val="231F20"/>
                <w:spacing w:val="-9"/>
                <w:sz w:val="15"/>
              </w:rPr>
              <w:t> </w:t>
            </w:r>
            <w:r>
              <w:rPr>
                <w:color w:val="231F20"/>
                <w:spacing w:val="-2"/>
                <w:sz w:val="15"/>
              </w:rPr>
              <w:t>(all ages)</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w w:val="90"/>
                <w:sz w:val="15"/>
              </w:rPr>
              <w:t>0.05-</w:t>
            </w:r>
            <w:r>
              <w:rPr>
                <w:color w:val="231F20"/>
                <w:spacing w:val="-5"/>
                <w:sz w:val="15"/>
              </w:rPr>
              <w:t>0.1</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3"/>
              <w:ind w:left="162"/>
              <w:rPr>
                <w:sz w:val="15"/>
              </w:rPr>
            </w:pPr>
            <w:r>
              <w:rPr>
                <w:color w:val="231F20"/>
                <w:sz w:val="15"/>
              </w:rPr>
              <w:t>20-30</w:t>
            </w:r>
            <w:r>
              <w:rPr>
                <w:color w:val="231F20"/>
                <w:spacing w:val="-11"/>
                <w:sz w:val="15"/>
              </w:rPr>
              <w:t> </w:t>
            </w:r>
            <w:r>
              <w:rPr>
                <w:rFonts w:ascii="Cambria" w:hAnsi="Cambria"/>
                <w:color w:val="231F20"/>
                <w:spacing w:val="-4"/>
                <w:sz w:val="15"/>
              </w:rPr>
              <w:t>μ</w:t>
            </w:r>
            <w:r>
              <w:rPr>
                <w:color w:val="231F20"/>
                <w:spacing w:val="-4"/>
                <w:sz w:val="15"/>
              </w:rPr>
              <w:t>g/L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0.5,</w:t>
            </w:r>
            <w:r>
              <w:rPr>
                <w:color w:val="231F20"/>
                <w:spacing w:val="-9"/>
                <w:sz w:val="15"/>
              </w:rPr>
              <w:t> </w:t>
            </w:r>
            <w:r>
              <w:rPr>
                <w:color w:val="231F20"/>
                <w:sz w:val="15"/>
              </w:rPr>
              <w:t>1,</w:t>
            </w:r>
            <w:r>
              <w:rPr>
                <w:color w:val="231F20"/>
                <w:spacing w:val="-8"/>
                <w:sz w:val="15"/>
              </w:rPr>
              <w:t> </w:t>
            </w:r>
            <w:r>
              <w:rPr>
                <w:color w:val="231F20"/>
                <w:sz w:val="15"/>
              </w:rPr>
              <w:t>2</w:t>
            </w:r>
            <w:r>
              <w:rPr>
                <w:color w:val="231F20"/>
                <w:spacing w:val="-8"/>
                <w:sz w:val="15"/>
              </w:rPr>
              <w:t> </w:t>
            </w:r>
            <w:r>
              <w:rPr>
                <w:color w:val="231F20"/>
                <w:sz w:val="15"/>
              </w:rPr>
              <w:t>mg</w:t>
            </w:r>
            <w:r>
              <w:rPr>
                <w:color w:val="231F20"/>
                <w:spacing w:val="-8"/>
                <w:sz w:val="15"/>
              </w:rPr>
              <w:t> </w:t>
            </w:r>
            <w:r>
              <w:rPr>
                <w:color w:val="231F20"/>
                <w:spacing w:val="-4"/>
                <w:sz w:val="15"/>
              </w:rPr>
              <w:t>tabs</w:t>
            </w:r>
          </w:p>
          <w:p>
            <w:pPr>
              <w:pStyle w:val="TableParagraph"/>
              <w:spacing w:line="171" w:lineRule="exact"/>
              <w:ind w:left="163"/>
              <w:rPr>
                <w:sz w:val="15"/>
              </w:rPr>
            </w:pPr>
            <w:r>
              <w:rPr>
                <w:color w:val="231F20"/>
                <w:sz w:val="15"/>
              </w:rPr>
              <w:t>2</w:t>
            </w:r>
            <w:r>
              <w:rPr>
                <w:color w:val="231F20"/>
                <w:spacing w:val="-3"/>
                <w:sz w:val="15"/>
              </w:rPr>
              <w:t> </w:t>
            </w:r>
            <w:r>
              <w:rPr>
                <w:color w:val="231F20"/>
                <w:sz w:val="15"/>
              </w:rPr>
              <w:t>mg/mL</w:t>
            </w:r>
            <w:r>
              <w:rPr>
                <w:color w:val="231F20"/>
                <w:spacing w:val="-2"/>
                <w:sz w:val="15"/>
              </w:rPr>
              <w:t> </w:t>
            </w:r>
            <w:r>
              <w:rPr>
                <w:color w:val="231F20"/>
                <w:spacing w:val="-4"/>
                <w:sz w:val="15"/>
              </w:rPr>
              <w:t>soln</w:t>
            </w:r>
          </w:p>
        </w:tc>
      </w:tr>
      <w:tr>
        <w:trPr>
          <w:trHeight w:val="420" w:hRule="atLeast"/>
        </w:trPr>
        <w:tc>
          <w:tcPr>
            <w:tcW w:w="1397" w:type="dxa"/>
            <w:tcBorders>
              <w:top w:val="single" w:sz="4" w:space="0" w:color="FFFFFF"/>
              <w:bottom w:val="single" w:sz="4" w:space="0" w:color="FFFFFF"/>
            </w:tcBorders>
            <w:shd w:val="clear" w:color="auto" w:fill="E8F5F1"/>
          </w:tcPr>
          <w:p>
            <w:pPr>
              <w:pStyle w:val="TableParagraph"/>
              <w:spacing w:line="230" w:lineRule="auto" w:before="48"/>
              <w:ind w:left="186" w:right="153" w:hanging="112"/>
              <w:rPr>
                <w:sz w:val="15"/>
              </w:rPr>
            </w:pPr>
            <w:r>
              <w:rPr>
                <w:color w:val="231F20"/>
                <w:sz w:val="15"/>
              </w:rPr>
              <w:t>Methsuximide</w:t>
            </w:r>
            <w:r>
              <w:rPr>
                <w:color w:val="231F20"/>
                <w:spacing w:val="-12"/>
                <w:sz w:val="15"/>
              </w:rPr>
              <w:t> </w:t>
            </w:r>
            <w:r>
              <w:rPr>
                <w:color w:val="231F20"/>
                <w:sz w:val="15"/>
              </w:rPr>
              <w:t>(or </w:t>
            </w:r>
            <w:r>
              <w:rPr>
                <w:color w:val="231F20"/>
                <w:spacing w:val="-2"/>
                <w:sz w:val="15"/>
              </w:rPr>
              <w:t>methsuximide)</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302" w:hanging="112"/>
              <w:rPr>
                <w:sz w:val="15"/>
              </w:rPr>
            </w:pPr>
            <w:r>
              <w:rPr>
                <w:color w:val="231F20"/>
                <w:sz w:val="15"/>
              </w:rPr>
              <w:t>Absence</w:t>
            </w:r>
            <w:r>
              <w:rPr>
                <w:color w:val="231F20"/>
                <w:spacing w:val="-12"/>
                <w:sz w:val="15"/>
              </w:rPr>
              <w:t> </w:t>
            </w:r>
            <w:r>
              <w:rPr>
                <w:color w:val="231F20"/>
                <w:sz w:val="15"/>
              </w:rPr>
              <w:t>sz</w:t>
            </w:r>
            <w:r>
              <w:rPr>
                <w:color w:val="231F20"/>
                <w:spacing w:val="-11"/>
                <w:sz w:val="15"/>
              </w:rPr>
              <w:t> </w:t>
            </w:r>
            <w:r>
              <w:rPr>
                <w:color w:val="231F20"/>
                <w:sz w:val="15"/>
              </w:rPr>
              <w:t>(children and older)</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10-</w:t>
            </w:r>
            <w:r>
              <w:rPr>
                <w:color w:val="231F20"/>
                <w:spacing w:val="-5"/>
                <w:sz w:val="15"/>
              </w:rPr>
              <w:t>30</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10-50</w:t>
            </w:r>
            <w:r>
              <w:rPr>
                <w:color w:val="231F20"/>
                <w:spacing w:val="-11"/>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z w:val="15"/>
              </w:rPr>
              <w:t>150,</w:t>
            </w:r>
            <w:r>
              <w:rPr>
                <w:color w:val="231F20"/>
                <w:spacing w:val="-2"/>
                <w:sz w:val="15"/>
              </w:rPr>
              <w:t> </w:t>
            </w:r>
            <w:r>
              <w:rPr>
                <w:color w:val="231F20"/>
                <w:sz w:val="15"/>
              </w:rPr>
              <w:t>300</w:t>
            </w:r>
            <w:r>
              <w:rPr>
                <w:color w:val="231F20"/>
                <w:spacing w:val="-1"/>
                <w:sz w:val="15"/>
              </w:rPr>
              <w:t> </w:t>
            </w:r>
            <w:r>
              <w:rPr>
                <w:color w:val="231F20"/>
                <w:sz w:val="15"/>
              </w:rPr>
              <w:t>mg</w:t>
            </w:r>
            <w:r>
              <w:rPr>
                <w:color w:val="231F20"/>
                <w:spacing w:val="-2"/>
                <w:sz w:val="15"/>
              </w:rPr>
              <w:t> </w:t>
            </w:r>
            <w:r>
              <w:rPr>
                <w:color w:val="231F20"/>
                <w:spacing w:val="-4"/>
                <w:sz w:val="15"/>
              </w:rPr>
              <w:t>caps</w:t>
            </w:r>
          </w:p>
        </w:tc>
      </w:tr>
      <w:tr>
        <w:trPr>
          <w:trHeight w:val="254"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Nitrazepam</w:t>
            </w:r>
          </w:p>
        </w:tc>
        <w:tc>
          <w:tcPr>
            <w:tcW w:w="1839"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10"/>
                <w:w w:val="135"/>
                <w:sz w:val="15"/>
              </w:rPr>
              <w:t>–</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w w:val="90"/>
                <w:sz w:val="15"/>
              </w:rPr>
              <w:t>0.25-</w:t>
            </w:r>
            <w:r>
              <w:rPr>
                <w:color w:val="231F20"/>
                <w:spacing w:val="-10"/>
                <w:sz w:val="15"/>
              </w:rPr>
              <w:t>1</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3"/>
              <w:ind w:left="162"/>
              <w:rPr>
                <w:sz w:val="15"/>
              </w:rPr>
            </w:pPr>
            <w:r>
              <w:rPr>
                <w:rFonts w:ascii="Cambria" w:hAnsi="Cambria"/>
                <w:color w:val="231F20"/>
                <w:sz w:val="15"/>
              </w:rPr>
              <w:t>&lt;</w:t>
            </w:r>
            <w:r>
              <w:rPr>
                <w:color w:val="231F20"/>
                <w:sz w:val="15"/>
              </w:rPr>
              <w:t>200</w:t>
            </w:r>
            <w:r>
              <w:rPr>
                <w:color w:val="231F20"/>
                <w:spacing w:val="-6"/>
                <w:sz w:val="15"/>
              </w:rPr>
              <w:t> </w:t>
            </w:r>
            <w:r>
              <w:rPr>
                <w:rFonts w:ascii="Cambria" w:hAnsi="Cambria"/>
                <w:color w:val="231F20"/>
                <w:spacing w:val="-4"/>
                <w:sz w:val="15"/>
              </w:rPr>
              <w:t>μ</w:t>
            </w:r>
            <w:r>
              <w:rPr>
                <w:color w:val="231F20"/>
                <w:spacing w:val="-4"/>
                <w:sz w:val="15"/>
              </w:rPr>
              <w:t>g/L</w:t>
            </w:r>
          </w:p>
        </w:tc>
        <w:tc>
          <w:tcPr>
            <w:tcW w:w="1962"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z w:val="15"/>
              </w:rPr>
              <w:t>5</w:t>
            </w:r>
            <w:r>
              <w:rPr>
                <w:color w:val="231F20"/>
                <w:spacing w:val="9"/>
                <w:sz w:val="15"/>
              </w:rPr>
              <w:t> </w:t>
            </w:r>
            <w:r>
              <w:rPr>
                <w:color w:val="231F20"/>
                <w:sz w:val="15"/>
              </w:rPr>
              <w:t>mg</w:t>
            </w:r>
            <w:r>
              <w:rPr>
                <w:color w:val="231F20"/>
                <w:spacing w:val="9"/>
                <w:sz w:val="15"/>
              </w:rPr>
              <w:t> </w:t>
            </w:r>
            <w:r>
              <w:rPr>
                <w:color w:val="231F20"/>
                <w:spacing w:val="-4"/>
                <w:sz w:val="15"/>
              </w:rPr>
              <w:t>tabs</w:t>
            </w:r>
          </w:p>
        </w:tc>
      </w:tr>
      <w:tr>
        <w:trPr>
          <w:trHeight w:val="420"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Oxcarbazepine</w:t>
            </w:r>
            <w:r>
              <w:rPr>
                <w:color w:val="0080AC"/>
                <w:spacing w:val="-2"/>
                <w:sz w:val="15"/>
              </w:rPr>
              <w:t>*</w:t>
            </w:r>
          </w:p>
        </w:tc>
        <w:tc>
          <w:tcPr>
            <w:tcW w:w="1839"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4"/>
                <w:sz w:val="15"/>
              </w:rPr>
              <w:t>Partial sz</w:t>
            </w:r>
            <w:r>
              <w:rPr>
                <w:color w:val="231F20"/>
                <w:spacing w:val="-3"/>
                <w:sz w:val="15"/>
              </w:rPr>
              <w:t> </w:t>
            </w:r>
            <w:r>
              <w:rPr>
                <w:color w:val="231F20"/>
                <w:spacing w:val="-4"/>
                <w:sz w:val="15"/>
              </w:rPr>
              <w:t>(</w:t>
            </w:r>
            <w:r>
              <w:rPr>
                <w:rFonts w:ascii="Cambria"/>
                <w:color w:val="231F20"/>
                <w:spacing w:val="-4"/>
                <w:sz w:val="15"/>
              </w:rPr>
              <w:t>&gt;</w:t>
            </w:r>
            <w:r>
              <w:rPr>
                <w:color w:val="231F20"/>
                <w:spacing w:val="-4"/>
                <w:sz w:val="15"/>
              </w:rPr>
              <w:t>2</w:t>
            </w:r>
            <w:r>
              <w:rPr>
                <w:color w:val="231F20"/>
                <w:spacing w:val="-3"/>
                <w:sz w:val="15"/>
              </w:rPr>
              <w:t> </w:t>
            </w:r>
            <w:r>
              <w:rPr>
                <w:color w:val="231F20"/>
                <w:spacing w:val="-5"/>
                <w:sz w:val="15"/>
              </w:rPr>
              <w:t>yr)</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20-</w:t>
            </w:r>
            <w:r>
              <w:rPr>
                <w:color w:val="231F20"/>
                <w:spacing w:val="-5"/>
                <w:sz w:val="15"/>
              </w:rPr>
              <w:t>40</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5"/>
                <w:w w:val="105"/>
                <w:sz w:val="15"/>
              </w:rPr>
              <w:t>bid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13-28</w:t>
            </w:r>
            <w:r>
              <w:rPr>
                <w:color w:val="231F20"/>
                <w:spacing w:val="-11"/>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line="230" w:lineRule="auto" w:before="48"/>
              <w:ind w:left="163" w:right="147"/>
              <w:rPr>
                <w:sz w:val="15"/>
              </w:rPr>
            </w:pPr>
            <w:r>
              <w:rPr>
                <w:color w:val="231F20"/>
                <w:sz w:val="15"/>
              </w:rPr>
              <w:t>150,</w:t>
            </w:r>
            <w:r>
              <w:rPr>
                <w:color w:val="231F20"/>
                <w:spacing w:val="-12"/>
                <w:sz w:val="15"/>
              </w:rPr>
              <w:t> </w:t>
            </w:r>
            <w:r>
              <w:rPr>
                <w:color w:val="231F20"/>
                <w:sz w:val="15"/>
              </w:rPr>
              <w:t>300,</w:t>
            </w:r>
            <w:r>
              <w:rPr>
                <w:color w:val="231F20"/>
                <w:spacing w:val="-11"/>
                <w:sz w:val="15"/>
              </w:rPr>
              <w:t> </w:t>
            </w:r>
            <w:r>
              <w:rPr>
                <w:color w:val="231F20"/>
                <w:sz w:val="15"/>
              </w:rPr>
              <w:t>600</w:t>
            </w:r>
            <w:r>
              <w:rPr>
                <w:color w:val="231F20"/>
                <w:spacing w:val="-11"/>
                <w:sz w:val="15"/>
              </w:rPr>
              <w:t> </w:t>
            </w:r>
            <w:r>
              <w:rPr>
                <w:color w:val="231F20"/>
                <w:sz w:val="15"/>
              </w:rPr>
              <w:t>mg</w:t>
            </w:r>
            <w:r>
              <w:rPr>
                <w:color w:val="231F20"/>
                <w:spacing w:val="-12"/>
                <w:sz w:val="15"/>
              </w:rPr>
              <w:t> </w:t>
            </w:r>
            <w:r>
              <w:rPr>
                <w:color w:val="231F20"/>
                <w:sz w:val="15"/>
              </w:rPr>
              <w:t>tabs 300 mg/5 mL susp</w:t>
            </w:r>
          </w:p>
        </w:tc>
      </w:tr>
      <w:tr>
        <w:trPr>
          <w:trHeight w:val="420"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Perampanel</w:t>
            </w:r>
          </w:p>
        </w:tc>
        <w:tc>
          <w:tcPr>
            <w:tcW w:w="1839" w:type="dxa"/>
            <w:tcBorders>
              <w:top w:val="single" w:sz="4" w:space="0" w:color="FFFFFF"/>
              <w:bottom w:val="single" w:sz="4" w:space="0" w:color="FFFFFF"/>
            </w:tcBorders>
            <w:shd w:val="clear" w:color="auto" w:fill="E8F5F1"/>
          </w:tcPr>
          <w:p>
            <w:pPr>
              <w:pStyle w:val="TableParagraph"/>
              <w:spacing w:before="43"/>
              <w:ind w:left="161"/>
              <w:rPr>
                <w:sz w:val="15"/>
              </w:rPr>
            </w:pPr>
            <w:r>
              <w:rPr>
                <w:color w:val="231F20"/>
                <w:spacing w:val="-4"/>
                <w:sz w:val="15"/>
              </w:rPr>
              <w:t>Partial</w:t>
            </w:r>
            <w:r>
              <w:rPr>
                <w:color w:val="231F20"/>
                <w:spacing w:val="-3"/>
                <w:sz w:val="15"/>
              </w:rPr>
              <w:t> </w:t>
            </w:r>
            <w:r>
              <w:rPr>
                <w:color w:val="231F20"/>
                <w:spacing w:val="-4"/>
                <w:sz w:val="15"/>
              </w:rPr>
              <w:t>sz</w:t>
            </w:r>
            <w:r>
              <w:rPr>
                <w:color w:val="231F20"/>
                <w:spacing w:val="-2"/>
                <w:sz w:val="15"/>
              </w:rPr>
              <w:t> </w:t>
            </w:r>
            <w:r>
              <w:rPr>
                <w:color w:val="231F20"/>
                <w:spacing w:val="-4"/>
                <w:sz w:val="15"/>
              </w:rPr>
              <w:t>(</w:t>
            </w:r>
            <w:r>
              <w:rPr>
                <w:rFonts w:ascii="Cambria"/>
                <w:color w:val="231F20"/>
                <w:spacing w:val="-4"/>
                <w:sz w:val="15"/>
              </w:rPr>
              <w:t>&gt;</w:t>
            </w:r>
            <w:r>
              <w:rPr>
                <w:color w:val="231F20"/>
                <w:spacing w:val="-4"/>
                <w:sz w:val="15"/>
              </w:rPr>
              <w:t>12</w:t>
            </w:r>
            <w:r>
              <w:rPr>
                <w:color w:val="231F20"/>
                <w:spacing w:val="-3"/>
                <w:sz w:val="15"/>
              </w:rPr>
              <w:t> </w:t>
            </w:r>
            <w:r>
              <w:rPr>
                <w:color w:val="231F20"/>
                <w:spacing w:val="-5"/>
                <w:sz w:val="15"/>
              </w:rPr>
              <w:t>yr)</w:t>
            </w:r>
          </w:p>
        </w:tc>
        <w:tc>
          <w:tcPr>
            <w:tcW w:w="1934" w:type="dxa"/>
            <w:tcBorders>
              <w:top w:val="single" w:sz="4" w:space="0" w:color="FFFFFF"/>
              <w:bottom w:val="single" w:sz="4" w:space="0" w:color="FFFFFF"/>
            </w:tcBorders>
            <w:shd w:val="clear" w:color="auto" w:fill="E8F5F1"/>
          </w:tcPr>
          <w:p>
            <w:pPr>
              <w:pStyle w:val="TableParagraph"/>
              <w:spacing w:line="230" w:lineRule="auto" w:before="48"/>
              <w:ind w:left="274" w:hanging="112"/>
              <w:rPr>
                <w:sz w:val="15"/>
              </w:rPr>
            </w:pPr>
            <w:r>
              <w:rPr>
                <w:color w:val="231F20"/>
                <w:sz w:val="15"/>
              </w:rPr>
              <w:t>2-12</w:t>
            </w:r>
            <w:r>
              <w:rPr>
                <w:color w:val="231F20"/>
                <w:spacing w:val="-10"/>
                <w:sz w:val="15"/>
              </w:rPr>
              <w:t> </w:t>
            </w:r>
            <w:r>
              <w:rPr>
                <w:color w:val="231F20"/>
                <w:sz w:val="15"/>
              </w:rPr>
              <w:t>mg</w:t>
            </w:r>
            <w:r>
              <w:rPr>
                <w:color w:val="231F20"/>
                <w:spacing w:val="-10"/>
                <w:sz w:val="15"/>
              </w:rPr>
              <w:t> </w:t>
            </w:r>
            <w:r>
              <w:rPr>
                <w:color w:val="231F20"/>
                <w:sz w:val="15"/>
              </w:rPr>
              <w:t>per</w:t>
            </w:r>
            <w:r>
              <w:rPr>
                <w:color w:val="231F20"/>
                <w:spacing w:val="-10"/>
                <w:sz w:val="15"/>
              </w:rPr>
              <w:t> </w:t>
            </w:r>
            <w:r>
              <w:rPr>
                <w:color w:val="231F20"/>
                <w:sz w:val="15"/>
              </w:rPr>
              <w:t>day</w:t>
            </w:r>
            <w:r>
              <w:rPr>
                <w:color w:val="231F20"/>
                <w:spacing w:val="-10"/>
                <w:sz w:val="15"/>
              </w:rPr>
              <w:t> </w:t>
            </w:r>
            <w:r>
              <w:rPr>
                <w:color w:val="231F20"/>
                <w:sz w:val="15"/>
              </w:rPr>
              <w:t>(older</w:t>
            </w:r>
            <w:r>
              <w:rPr>
                <w:color w:val="231F20"/>
                <w:sz w:val="15"/>
              </w:rPr>
              <w:t> than 12 yr)</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5"/>
                <w:w w:val="105"/>
                <w:sz w:val="15"/>
              </w:rPr>
              <w:t>qhs</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10"/>
                <w:sz w:val="15"/>
              </w:rPr>
              <w:t>-</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2 mg, 4 mg, 6 mg, 8 </w:t>
            </w:r>
            <w:r>
              <w:rPr>
                <w:color w:val="231F20"/>
                <w:spacing w:val="-5"/>
                <w:sz w:val="15"/>
              </w:rPr>
              <w:t>mg,</w:t>
            </w:r>
          </w:p>
          <w:p>
            <w:pPr>
              <w:pStyle w:val="TableParagraph"/>
              <w:spacing w:line="171" w:lineRule="exact"/>
              <w:ind w:left="275"/>
              <w:rPr>
                <w:sz w:val="15"/>
              </w:rPr>
            </w:pPr>
            <w:r>
              <w:rPr>
                <w:color w:val="231F20"/>
                <w:sz w:val="15"/>
              </w:rPr>
              <w:t>10</w:t>
            </w:r>
            <w:r>
              <w:rPr>
                <w:color w:val="231F20"/>
                <w:spacing w:val="3"/>
                <w:sz w:val="15"/>
              </w:rPr>
              <w:t> </w:t>
            </w:r>
            <w:r>
              <w:rPr>
                <w:color w:val="231F20"/>
                <w:sz w:val="15"/>
              </w:rPr>
              <w:t>mg,</w:t>
            </w:r>
            <w:r>
              <w:rPr>
                <w:color w:val="231F20"/>
                <w:spacing w:val="4"/>
                <w:sz w:val="15"/>
              </w:rPr>
              <w:t> </w:t>
            </w:r>
            <w:r>
              <w:rPr>
                <w:color w:val="231F20"/>
                <w:sz w:val="15"/>
              </w:rPr>
              <w:t>12</w:t>
            </w:r>
            <w:r>
              <w:rPr>
                <w:color w:val="231F20"/>
                <w:spacing w:val="4"/>
                <w:sz w:val="15"/>
              </w:rPr>
              <w:t> </w:t>
            </w:r>
            <w:r>
              <w:rPr>
                <w:color w:val="231F20"/>
                <w:sz w:val="15"/>
              </w:rPr>
              <w:t>mg</w:t>
            </w:r>
            <w:r>
              <w:rPr>
                <w:color w:val="231F20"/>
                <w:spacing w:val="4"/>
                <w:sz w:val="15"/>
              </w:rPr>
              <w:t> </w:t>
            </w:r>
            <w:r>
              <w:rPr>
                <w:color w:val="231F20"/>
                <w:spacing w:val="-4"/>
                <w:sz w:val="15"/>
              </w:rPr>
              <w:t>tabs</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Phenobarbital</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hanging="112"/>
              <w:rPr>
                <w:sz w:val="15"/>
              </w:rPr>
            </w:pPr>
            <w:r>
              <w:rPr>
                <w:color w:val="231F20"/>
                <w:spacing w:val="-2"/>
                <w:sz w:val="15"/>
              </w:rPr>
              <w:t>Myoclonic,</w:t>
            </w:r>
            <w:r>
              <w:rPr>
                <w:color w:val="231F20"/>
                <w:spacing w:val="-10"/>
                <w:sz w:val="15"/>
              </w:rPr>
              <w:t> </w:t>
            </w:r>
            <w:r>
              <w:rPr>
                <w:color w:val="231F20"/>
                <w:spacing w:val="-2"/>
                <w:sz w:val="15"/>
              </w:rPr>
              <w:t>partial,</w:t>
            </w:r>
            <w:r>
              <w:rPr>
                <w:color w:val="231F20"/>
                <w:spacing w:val="-9"/>
                <w:sz w:val="15"/>
              </w:rPr>
              <w:t> </w:t>
            </w:r>
            <w:r>
              <w:rPr>
                <w:color w:val="231F20"/>
                <w:spacing w:val="-2"/>
                <w:sz w:val="15"/>
              </w:rPr>
              <w:t>and </w:t>
            </w:r>
            <w:r>
              <w:rPr>
                <w:color w:val="231F20"/>
                <w:sz w:val="15"/>
              </w:rPr>
              <w:t>tonic–clonic sz and status (all ages)</w:t>
            </w:r>
          </w:p>
        </w:tc>
        <w:tc>
          <w:tcPr>
            <w:tcW w:w="1934" w:type="dxa"/>
            <w:tcBorders>
              <w:top w:val="single" w:sz="4" w:space="0" w:color="FFFFFF"/>
              <w:bottom w:val="single" w:sz="4" w:space="0" w:color="FFFFFF"/>
            </w:tcBorders>
            <w:shd w:val="clear" w:color="auto" w:fill="E8F5F1"/>
          </w:tcPr>
          <w:p>
            <w:pPr>
              <w:pStyle w:val="TableParagraph"/>
              <w:spacing w:line="172" w:lineRule="exact" w:before="43"/>
              <w:ind w:left="162"/>
              <w:rPr>
                <w:sz w:val="15"/>
              </w:rPr>
            </w:pPr>
            <w:r>
              <w:rPr>
                <w:rFonts w:ascii="Cambria"/>
                <w:color w:val="231F20"/>
                <w:spacing w:val="-4"/>
                <w:sz w:val="15"/>
              </w:rPr>
              <w:t>&lt;</w:t>
            </w:r>
            <w:r>
              <w:rPr>
                <w:color w:val="231F20"/>
                <w:spacing w:val="-4"/>
                <w:sz w:val="15"/>
              </w:rPr>
              <w:t>5</w:t>
            </w:r>
            <w:r>
              <w:rPr>
                <w:color w:val="231F20"/>
                <w:spacing w:val="-5"/>
                <w:sz w:val="15"/>
              </w:rPr>
              <w:t> </w:t>
            </w:r>
            <w:r>
              <w:rPr>
                <w:color w:val="231F20"/>
                <w:spacing w:val="-4"/>
                <w:sz w:val="15"/>
              </w:rPr>
              <w:t>yr, 3-</w:t>
            </w:r>
            <w:r>
              <w:rPr>
                <w:color w:val="231F20"/>
                <w:spacing w:val="-10"/>
                <w:sz w:val="15"/>
              </w:rPr>
              <w:t>5</w:t>
            </w:r>
          </w:p>
          <w:p>
            <w:pPr>
              <w:pStyle w:val="TableParagraph"/>
              <w:spacing w:line="172" w:lineRule="exact"/>
              <w:ind w:left="162"/>
              <w:rPr>
                <w:sz w:val="15"/>
              </w:rPr>
            </w:pPr>
            <w:r>
              <w:rPr>
                <w:rFonts w:ascii="Cambria"/>
                <w:color w:val="231F20"/>
                <w:spacing w:val="-4"/>
                <w:sz w:val="15"/>
              </w:rPr>
              <w:t>&gt;</w:t>
            </w:r>
            <w:r>
              <w:rPr>
                <w:color w:val="231F20"/>
                <w:spacing w:val="-4"/>
                <w:sz w:val="15"/>
              </w:rPr>
              <w:t>5</w:t>
            </w:r>
            <w:r>
              <w:rPr>
                <w:color w:val="231F20"/>
                <w:spacing w:val="-5"/>
                <w:sz w:val="15"/>
              </w:rPr>
              <w:t> </w:t>
            </w:r>
            <w:r>
              <w:rPr>
                <w:color w:val="231F20"/>
                <w:spacing w:val="-4"/>
                <w:sz w:val="15"/>
              </w:rPr>
              <w:t>yr, 2-</w:t>
            </w:r>
            <w:r>
              <w:rPr>
                <w:color w:val="231F20"/>
                <w:spacing w:val="-10"/>
                <w:sz w:val="15"/>
              </w:rPr>
              <w:t>3</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w w:val="105"/>
                <w:sz w:val="15"/>
              </w:rPr>
              <w:t>bid</w:t>
            </w:r>
            <w:r>
              <w:rPr>
                <w:color w:val="231F20"/>
                <w:spacing w:val="-8"/>
                <w:w w:val="105"/>
                <w:sz w:val="15"/>
              </w:rPr>
              <w:t> </w:t>
            </w:r>
            <w:r>
              <w:rPr>
                <w:color w:val="231F20"/>
                <w:w w:val="105"/>
                <w:sz w:val="15"/>
              </w:rPr>
              <w:t>or</w:t>
            </w:r>
            <w:r>
              <w:rPr>
                <w:color w:val="231F20"/>
                <w:spacing w:val="-8"/>
                <w:w w:val="105"/>
                <w:sz w:val="15"/>
              </w:rPr>
              <w:t> </w:t>
            </w:r>
            <w:r>
              <w:rPr>
                <w:color w:val="231F20"/>
                <w:spacing w:val="-5"/>
                <w:w w:val="105"/>
                <w:sz w:val="15"/>
              </w:rPr>
              <w:t>qd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10-40</w:t>
            </w:r>
            <w:r>
              <w:rPr>
                <w:color w:val="231F20"/>
                <w:spacing w:val="-11"/>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pacing w:val="-2"/>
                <w:sz w:val="15"/>
              </w:rPr>
              <w:t>15,</w:t>
            </w:r>
            <w:r>
              <w:rPr>
                <w:color w:val="231F20"/>
                <w:spacing w:val="-10"/>
                <w:sz w:val="15"/>
              </w:rPr>
              <w:t> </w:t>
            </w:r>
            <w:r>
              <w:rPr>
                <w:color w:val="231F20"/>
                <w:spacing w:val="-2"/>
                <w:sz w:val="15"/>
              </w:rPr>
              <w:t>30,</w:t>
            </w:r>
            <w:r>
              <w:rPr>
                <w:color w:val="231F20"/>
                <w:spacing w:val="-9"/>
                <w:sz w:val="15"/>
              </w:rPr>
              <w:t> </w:t>
            </w:r>
            <w:r>
              <w:rPr>
                <w:color w:val="231F20"/>
                <w:spacing w:val="-2"/>
                <w:sz w:val="15"/>
              </w:rPr>
              <w:t>60,</w:t>
            </w:r>
            <w:r>
              <w:rPr>
                <w:color w:val="231F20"/>
                <w:spacing w:val="-9"/>
                <w:sz w:val="15"/>
              </w:rPr>
              <w:t> </w:t>
            </w:r>
            <w:r>
              <w:rPr>
                <w:color w:val="231F20"/>
                <w:spacing w:val="-2"/>
                <w:sz w:val="15"/>
              </w:rPr>
              <w:t>90,</w:t>
            </w:r>
            <w:r>
              <w:rPr>
                <w:color w:val="231F20"/>
                <w:spacing w:val="-9"/>
                <w:sz w:val="15"/>
              </w:rPr>
              <w:t> </w:t>
            </w:r>
            <w:r>
              <w:rPr>
                <w:color w:val="231F20"/>
                <w:spacing w:val="-2"/>
                <w:sz w:val="15"/>
              </w:rPr>
              <w:t>100</w:t>
            </w:r>
            <w:r>
              <w:rPr>
                <w:color w:val="231F20"/>
                <w:spacing w:val="-10"/>
                <w:sz w:val="15"/>
              </w:rPr>
              <w:t> </w:t>
            </w:r>
            <w:r>
              <w:rPr>
                <w:color w:val="231F20"/>
                <w:spacing w:val="-7"/>
                <w:sz w:val="15"/>
              </w:rPr>
              <w:t>mg</w:t>
            </w:r>
          </w:p>
          <w:p>
            <w:pPr>
              <w:pStyle w:val="TableParagraph"/>
              <w:spacing w:line="168" w:lineRule="exact"/>
              <w:ind w:left="275"/>
              <w:rPr>
                <w:sz w:val="15"/>
              </w:rPr>
            </w:pPr>
            <w:r>
              <w:rPr>
                <w:color w:val="231F20"/>
                <w:spacing w:val="-4"/>
                <w:sz w:val="15"/>
              </w:rPr>
              <w:t>tabs</w:t>
            </w:r>
          </w:p>
          <w:p>
            <w:pPr>
              <w:pStyle w:val="TableParagraph"/>
              <w:spacing w:line="171" w:lineRule="exact"/>
              <w:ind w:left="163"/>
              <w:rPr>
                <w:sz w:val="15"/>
              </w:rPr>
            </w:pPr>
            <w:r>
              <w:rPr>
                <w:color w:val="231F20"/>
                <w:sz w:val="15"/>
              </w:rPr>
              <w:t>4</w:t>
            </w:r>
            <w:r>
              <w:rPr>
                <w:color w:val="231F20"/>
                <w:spacing w:val="-3"/>
                <w:sz w:val="15"/>
              </w:rPr>
              <w:t> </w:t>
            </w:r>
            <w:r>
              <w:rPr>
                <w:color w:val="231F20"/>
                <w:sz w:val="15"/>
              </w:rPr>
              <w:t>mg/mL</w:t>
            </w:r>
            <w:r>
              <w:rPr>
                <w:color w:val="231F20"/>
                <w:spacing w:val="-2"/>
                <w:sz w:val="15"/>
              </w:rPr>
              <w:t> </w:t>
            </w:r>
            <w:r>
              <w:rPr>
                <w:color w:val="231F20"/>
                <w:spacing w:val="-4"/>
                <w:sz w:val="15"/>
              </w:rPr>
              <w:t>soln</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Phenytoin</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205" w:hanging="112"/>
              <w:rPr>
                <w:sz w:val="15"/>
              </w:rPr>
            </w:pPr>
            <w:r>
              <w:rPr>
                <w:color w:val="231F20"/>
                <w:spacing w:val="-2"/>
                <w:sz w:val="15"/>
              </w:rPr>
              <w:t>Partial,</w:t>
            </w:r>
            <w:r>
              <w:rPr>
                <w:color w:val="231F20"/>
                <w:spacing w:val="-10"/>
                <w:sz w:val="15"/>
              </w:rPr>
              <w:t> </w:t>
            </w:r>
            <w:r>
              <w:rPr>
                <w:color w:val="231F20"/>
                <w:spacing w:val="-2"/>
                <w:sz w:val="15"/>
              </w:rPr>
              <w:t>tonic–clonic</w:t>
            </w:r>
            <w:r>
              <w:rPr>
                <w:color w:val="231F20"/>
                <w:spacing w:val="-9"/>
                <w:sz w:val="15"/>
              </w:rPr>
              <w:t> </w:t>
            </w:r>
            <w:r>
              <w:rPr>
                <w:color w:val="231F20"/>
                <w:spacing w:val="-2"/>
                <w:sz w:val="15"/>
              </w:rPr>
              <w:t>sz and</w:t>
            </w:r>
            <w:r>
              <w:rPr>
                <w:color w:val="231F20"/>
                <w:spacing w:val="-6"/>
                <w:sz w:val="15"/>
              </w:rPr>
              <w:t> </w:t>
            </w:r>
            <w:r>
              <w:rPr>
                <w:color w:val="231F20"/>
                <w:spacing w:val="-2"/>
                <w:sz w:val="15"/>
              </w:rPr>
              <w:t>status</w:t>
            </w:r>
            <w:r>
              <w:rPr>
                <w:color w:val="231F20"/>
                <w:spacing w:val="-5"/>
                <w:sz w:val="15"/>
              </w:rPr>
              <w:t> </w:t>
            </w:r>
            <w:r>
              <w:rPr>
                <w:color w:val="231F20"/>
                <w:spacing w:val="-2"/>
                <w:sz w:val="15"/>
              </w:rPr>
              <w:t>(all</w:t>
            </w:r>
            <w:r>
              <w:rPr>
                <w:color w:val="231F20"/>
                <w:spacing w:val="-5"/>
                <w:sz w:val="15"/>
              </w:rPr>
              <w:t> </w:t>
            </w:r>
            <w:r>
              <w:rPr>
                <w:color w:val="231F20"/>
                <w:spacing w:val="-2"/>
                <w:sz w:val="15"/>
              </w:rPr>
              <w:t>ages)</w:t>
            </w:r>
          </w:p>
        </w:tc>
        <w:tc>
          <w:tcPr>
            <w:tcW w:w="1934" w:type="dxa"/>
            <w:tcBorders>
              <w:top w:val="single" w:sz="4" w:space="0" w:color="FFFFFF"/>
              <w:bottom w:val="single" w:sz="4" w:space="0" w:color="FFFFFF"/>
            </w:tcBorders>
            <w:shd w:val="clear" w:color="auto" w:fill="E8F5F1"/>
          </w:tcPr>
          <w:p>
            <w:pPr>
              <w:pStyle w:val="TableParagraph"/>
              <w:spacing w:line="172" w:lineRule="exact" w:before="43"/>
              <w:ind w:left="162"/>
              <w:rPr>
                <w:sz w:val="15"/>
              </w:rPr>
            </w:pPr>
            <w:r>
              <w:rPr>
                <w:rFonts w:ascii="Cambria"/>
                <w:color w:val="231F20"/>
                <w:spacing w:val="-4"/>
                <w:sz w:val="15"/>
              </w:rPr>
              <w:t>&lt;</w:t>
            </w:r>
            <w:r>
              <w:rPr>
                <w:color w:val="231F20"/>
                <w:spacing w:val="-4"/>
                <w:sz w:val="15"/>
              </w:rPr>
              <w:t>3 yr, 8-</w:t>
            </w:r>
            <w:r>
              <w:rPr>
                <w:color w:val="231F20"/>
                <w:spacing w:val="-7"/>
                <w:sz w:val="15"/>
              </w:rPr>
              <w:t>10</w:t>
            </w:r>
          </w:p>
          <w:p>
            <w:pPr>
              <w:pStyle w:val="TableParagraph"/>
              <w:spacing w:line="172" w:lineRule="exact"/>
              <w:ind w:left="162"/>
              <w:rPr>
                <w:sz w:val="15"/>
              </w:rPr>
            </w:pPr>
            <w:r>
              <w:rPr>
                <w:rFonts w:ascii="Cambria"/>
                <w:color w:val="231F20"/>
                <w:spacing w:val="-4"/>
                <w:sz w:val="15"/>
              </w:rPr>
              <w:t>&gt;</w:t>
            </w:r>
            <w:r>
              <w:rPr>
                <w:color w:val="231F20"/>
                <w:spacing w:val="-4"/>
                <w:sz w:val="15"/>
              </w:rPr>
              <w:t>3</w:t>
            </w:r>
            <w:r>
              <w:rPr>
                <w:color w:val="231F20"/>
                <w:spacing w:val="-5"/>
                <w:sz w:val="15"/>
              </w:rPr>
              <w:t> </w:t>
            </w:r>
            <w:r>
              <w:rPr>
                <w:color w:val="231F20"/>
                <w:spacing w:val="-4"/>
                <w:sz w:val="15"/>
              </w:rPr>
              <w:t>yr, 4-</w:t>
            </w:r>
            <w:r>
              <w:rPr>
                <w:color w:val="231F20"/>
                <w:spacing w:val="-10"/>
                <w:sz w:val="15"/>
              </w:rPr>
              <w:t>7</w:t>
            </w:r>
          </w:p>
        </w:tc>
        <w:tc>
          <w:tcPr>
            <w:tcW w:w="1253" w:type="dxa"/>
            <w:tcBorders>
              <w:top w:val="single" w:sz="4" w:space="0" w:color="FFFFFF"/>
              <w:bottom w:val="single" w:sz="4" w:space="0" w:color="FFFFFF"/>
            </w:tcBorders>
            <w:shd w:val="clear" w:color="auto" w:fill="E8F5F1"/>
          </w:tcPr>
          <w:p>
            <w:pPr>
              <w:pStyle w:val="TableParagraph"/>
              <w:spacing w:line="230" w:lineRule="auto" w:before="48"/>
              <w:ind w:left="162"/>
              <w:rPr>
                <w:sz w:val="15"/>
              </w:rPr>
            </w:pPr>
            <w:r>
              <w:rPr>
                <w:color w:val="231F20"/>
                <w:spacing w:val="-2"/>
                <w:sz w:val="15"/>
              </w:rPr>
              <w:t>tabs,</w:t>
            </w:r>
            <w:r>
              <w:rPr>
                <w:color w:val="231F20"/>
                <w:spacing w:val="-10"/>
                <w:sz w:val="15"/>
              </w:rPr>
              <w:t> </w:t>
            </w:r>
            <w:r>
              <w:rPr>
                <w:color w:val="231F20"/>
                <w:spacing w:val="-2"/>
                <w:sz w:val="15"/>
              </w:rPr>
              <w:t>susp:</w:t>
            </w:r>
            <w:r>
              <w:rPr>
                <w:color w:val="231F20"/>
                <w:spacing w:val="-9"/>
                <w:sz w:val="15"/>
              </w:rPr>
              <w:t> </w:t>
            </w:r>
            <w:r>
              <w:rPr>
                <w:color w:val="231F20"/>
                <w:spacing w:val="-2"/>
                <w:sz w:val="15"/>
              </w:rPr>
              <w:t>tid </w:t>
            </w:r>
            <w:r>
              <w:rPr>
                <w:color w:val="231F20"/>
                <w:sz w:val="15"/>
              </w:rPr>
              <w:t>caps: qd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5-20</w:t>
            </w:r>
            <w:r>
              <w:rPr>
                <w:color w:val="231F20"/>
                <w:spacing w:val="-8"/>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50</w:t>
            </w:r>
            <w:r>
              <w:rPr>
                <w:color w:val="231F20"/>
                <w:spacing w:val="8"/>
                <w:sz w:val="15"/>
              </w:rPr>
              <w:t> </w:t>
            </w:r>
            <w:r>
              <w:rPr>
                <w:color w:val="231F20"/>
                <w:sz w:val="15"/>
              </w:rPr>
              <w:t>mg</w:t>
            </w:r>
            <w:r>
              <w:rPr>
                <w:color w:val="231F20"/>
                <w:spacing w:val="8"/>
                <w:sz w:val="15"/>
              </w:rPr>
              <w:t> </w:t>
            </w:r>
            <w:r>
              <w:rPr>
                <w:color w:val="231F20"/>
                <w:spacing w:val="-4"/>
                <w:sz w:val="15"/>
              </w:rPr>
              <w:t>tabs</w:t>
            </w:r>
          </w:p>
          <w:p>
            <w:pPr>
              <w:pStyle w:val="TableParagraph"/>
              <w:spacing w:line="230" w:lineRule="auto" w:before="2"/>
              <w:ind w:left="163" w:right="547"/>
              <w:rPr>
                <w:sz w:val="15"/>
              </w:rPr>
            </w:pPr>
            <w:r>
              <w:rPr>
                <w:color w:val="231F20"/>
                <w:sz w:val="15"/>
              </w:rPr>
              <w:t>30,100 mg caps 125</w:t>
            </w:r>
            <w:r>
              <w:rPr>
                <w:color w:val="231F20"/>
                <w:spacing w:val="-9"/>
                <w:sz w:val="15"/>
              </w:rPr>
              <w:t> </w:t>
            </w:r>
            <w:r>
              <w:rPr>
                <w:color w:val="231F20"/>
                <w:sz w:val="15"/>
              </w:rPr>
              <w:t>mg/5</w:t>
            </w:r>
            <w:r>
              <w:rPr>
                <w:color w:val="231F20"/>
                <w:spacing w:val="-9"/>
                <w:sz w:val="15"/>
              </w:rPr>
              <w:t> </w:t>
            </w:r>
            <w:r>
              <w:rPr>
                <w:color w:val="231F20"/>
                <w:sz w:val="15"/>
              </w:rPr>
              <w:t>mL</w:t>
            </w:r>
            <w:r>
              <w:rPr>
                <w:color w:val="231F20"/>
                <w:spacing w:val="-9"/>
                <w:sz w:val="15"/>
              </w:rPr>
              <w:t> </w:t>
            </w:r>
            <w:r>
              <w:rPr>
                <w:color w:val="231F20"/>
                <w:sz w:val="15"/>
              </w:rPr>
              <w:t>susp</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Pregabalin</w:t>
            </w:r>
          </w:p>
        </w:tc>
        <w:tc>
          <w:tcPr>
            <w:tcW w:w="1839"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4"/>
                <w:sz w:val="15"/>
              </w:rPr>
              <w:t>Partial</w:t>
            </w:r>
            <w:r>
              <w:rPr>
                <w:color w:val="231F20"/>
                <w:spacing w:val="-2"/>
                <w:sz w:val="15"/>
              </w:rPr>
              <w:t> </w:t>
            </w:r>
            <w:r>
              <w:rPr>
                <w:color w:val="231F20"/>
                <w:spacing w:val="-4"/>
                <w:sz w:val="15"/>
              </w:rPr>
              <w:t>sz</w:t>
            </w:r>
            <w:r>
              <w:rPr>
                <w:color w:val="231F20"/>
                <w:spacing w:val="-1"/>
                <w:sz w:val="15"/>
              </w:rPr>
              <w:t> </w:t>
            </w:r>
            <w:r>
              <w:rPr>
                <w:color w:val="231F20"/>
                <w:spacing w:val="-4"/>
                <w:sz w:val="15"/>
              </w:rPr>
              <w:t>(adults)</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2-</w:t>
            </w:r>
            <w:r>
              <w:rPr>
                <w:color w:val="231F20"/>
                <w:spacing w:val="-5"/>
                <w:sz w:val="15"/>
              </w:rPr>
              <w:t>14</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5"/>
                <w:w w:val="105"/>
                <w:sz w:val="15"/>
              </w:rPr>
              <w:t>bid</w:t>
            </w:r>
          </w:p>
        </w:tc>
        <w:tc>
          <w:tcPr>
            <w:tcW w:w="1353" w:type="dxa"/>
            <w:tcBorders>
              <w:top w:val="single" w:sz="4" w:space="0" w:color="FFFFFF"/>
              <w:bottom w:val="single" w:sz="4" w:space="0" w:color="FFFFFF"/>
            </w:tcBorders>
            <w:shd w:val="clear" w:color="auto" w:fill="E8F5F1"/>
          </w:tcPr>
          <w:p>
            <w:pPr>
              <w:pStyle w:val="TableParagraph"/>
              <w:spacing w:line="170" w:lineRule="exact" w:before="42"/>
              <w:ind w:left="162"/>
              <w:rPr>
                <w:sz w:val="15"/>
              </w:rPr>
            </w:pPr>
            <w:r>
              <w:rPr>
                <w:color w:val="231F20"/>
                <w:w w:val="105"/>
                <w:sz w:val="15"/>
              </w:rPr>
              <w:t>Up </w:t>
            </w:r>
            <w:r>
              <w:rPr>
                <w:color w:val="231F20"/>
                <w:spacing w:val="-5"/>
                <w:w w:val="105"/>
                <w:sz w:val="15"/>
              </w:rPr>
              <w:t>to</w:t>
            </w:r>
          </w:p>
          <w:p>
            <w:pPr>
              <w:pStyle w:val="TableParagraph"/>
              <w:spacing w:line="172" w:lineRule="exact"/>
              <w:ind w:left="274"/>
              <w:rPr>
                <w:sz w:val="15"/>
              </w:rPr>
            </w:pPr>
            <w:r>
              <w:rPr>
                <w:color w:val="231F20"/>
                <w:sz w:val="15"/>
              </w:rPr>
              <w:t>10</w:t>
            </w:r>
            <w:r>
              <w:rPr>
                <w:color w:val="231F20"/>
                <w:spacing w:val="-3"/>
                <w:sz w:val="15"/>
              </w:rPr>
              <w:t> </w:t>
            </w:r>
            <w:r>
              <w:rPr>
                <w:rFonts w:ascii="Cambria" w:hAnsi="Cambria"/>
                <w:color w:val="231F20"/>
                <w:spacing w:val="-2"/>
                <w:sz w:val="15"/>
              </w:rPr>
              <w:t>μ</w:t>
            </w:r>
            <w:r>
              <w:rPr>
                <w:color w:val="231F20"/>
                <w:spacing w:val="-2"/>
                <w:sz w:val="15"/>
              </w:rPr>
              <w:t>g/mL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pacing w:val="-4"/>
                <w:sz w:val="15"/>
              </w:rPr>
              <w:t>25,</w:t>
            </w:r>
            <w:r>
              <w:rPr>
                <w:color w:val="231F20"/>
                <w:spacing w:val="-6"/>
                <w:sz w:val="15"/>
              </w:rPr>
              <w:t> </w:t>
            </w:r>
            <w:r>
              <w:rPr>
                <w:color w:val="231F20"/>
                <w:spacing w:val="-4"/>
                <w:sz w:val="15"/>
              </w:rPr>
              <w:t>50,</w:t>
            </w:r>
            <w:r>
              <w:rPr>
                <w:color w:val="231F20"/>
                <w:spacing w:val="-5"/>
                <w:sz w:val="15"/>
              </w:rPr>
              <w:t> </w:t>
            </w:r>
            <w:r>
              <w:rPr>
                <w:color w:val="231F20"/>
                <w:spacing w:val="-4"/>
                <w:sz w:val="15"/>
              </w:rPr>
              <w:t>75,</w:t>
            </w:r>
            <w:r>
              <w:rPr>
                <w:color w:val="231F20"/>
                <w:spacing w:val="-5"/>
                <w:sz w:val="15"/>
              </w:rPr>
              <w:t> </w:t>
            </w:r>
            <w:r>
              <w:rPr>
                <w:color w:val="231F20"/>
                <w:spacing w:val="-4"/>
                <w:sz w:val="15"/>
              </w:rPr>
              <w:t>100,</w:t>
            </w:r>
            <w:r>
              <w:rPr>
                <w:color w:val="231F20"/>
                <w:spacing w:val="-5"/>
                <w:sz w:val="15"/>
              </w:rPr>
              <w:t> </w:t>
            </w:r>
            <w:r>
              <w:rPr>
                <w:color w:val="231F20"/>
                <w:spacing w:val="-4"/>
                <w:sz w:val="15"/>
              </w:rPr>
              <w:t>150,</w:t>
            </w:r>
            <w:r>
              <w:rPr>
                <w:color w:val="231F20"/>
                <w:spacing w:val="-5"/>
                <w:sz w:val="15"/>
              </w:rPr>
              <w:t> </w:t>
            </w:r>
            <w:r>
              <w:rPr>
                <w:color w:val="231F20"/>
                <w:spacing w:val="-4"/>
                <w:sz w:val="15"/>
              </w:rPr>
              <w:t>200,</w:t>
            </w:r>
          </w:p>
          <w:p>
            <w:pPr>
              <w:pStyle w:val="TableParagraph"/>
              <w:spacing w:line="168" w:lineRule="exact"/>
              <w:ind w:left="275"/>
              <w:rPr>
                <w:sz w:val="15"/>
              </w:rPr>
            </w:pPr>
            <w:r>
              <w:rPr>
                <w:color w:val="231F20"/>
                <w:sz w:val="15"/>
              </w:rPr>
              <w:t>225,</w:t>
            </w:r>
            <w:r>
              <w:rPr>
                <w:color w:val="231F20"/>
                <w:spacing w:val="-2"/>
                <w:sz w:val="15"/>
              </w:rPr>
              <w:t> </w:t>
            </w:r>
            <w:r>
              <w:rPr>
                <w:color w:val="231F20"/>
                <w:sz w:val="15"/>
              </w:rPr>
              <w:t>300</w:t>
            </w:r>
            <w:r>
              <w:rPr>
                <w:color w:val="231F20"/>
                <w:spacing w:val="-1"/>
                <w:sz w:val="15"/>
              </w:rPr>
              <w:t> </w:t>
            </w:r>
            <w:r>
              <w:rPr>
                <w:color w:val="231F20"/>
                <w:sz w:val="15"/>
              </w:rPr>
              <w:t>mg</w:t>
            </w:r>
            <w:r>
              <w:rPr>
                <w:color w:val="231F20"/>
                <w:spacing w:val="-2"/>
                <w:sz w:val="15"/>
              </w:rPr>
              <w:t> </w:t>
            </w:r>
            <w:r>
              <w:rPr>
                <w:color w:val="231F20"/>
                <w:spacing w:val="-4"/>
                <w:sz w:val="15"/>
              </w:rPr>
              <w:t>caps</w:t>
            </w:r>
          </w:p>
          <w:p>
            <w:pPr>
              <w:pStyle w:val="TableParagraph"/>
              <w:spacing w:line="171" w:lineRule="exact"/>
              <w:ind w:left="163"/>
              <w:rPr>
                <w:sz w:val="15"/>
              </w:rPr>
            </w:pPr>
            <w:r>
              <w:rPr>
                <w:color w:val="231F20"/>
                <w:sz w:val="15"/>
              </w:rPr>
              <w:t>20</w:t>
            </w:r>
            <w:r>
              <w:rPr>
                <w:color w:val="231F20"/>
                <w:spacing w:val="-3"/>
                <w:sz w:val="15"/>
              </w:rPr>
              <w:t> </w:t>
            </w:r>
            <w:r>
              <w:rPr>
                <w:color w:val="231F20"/>
                <w:sz w:val="15"/>
              </w:rPr>
              <w:t>mg/mL</w:t>
            </w:r>
            <w:r>
              <w:rPr>
                <w:color w:val="231F20"/>
                <w:spacing w:val="-3"/>
                <w:sz w:val="15"/>
              </w:rPr>
              <w:t> </w:t>
            </w:r>
            <w:r>
              <w:rPr>
                <w:color w:val="231F20"/>
                <w:spacing w:val="-4"/>
                <w:sz w:val="15"/>
              </w:rPr>
              <w:t>soln</w:t>
            </w:r>
          </w:p>
        </w:tc>
      </w:tr>
      <w:tr>
        <w:trPr>
          <w:trHeight w:val="420"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Primidone</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256" w:hanging="112"/>
              <w:rPr>
                <w:sz w:val="15"/>
              </w:rPr>
            </w:pPr>
            <w:r>
              <w:rPr>
                <w:color w:val="231F20"/>
                <w:sz w:val="15"/>
              </w:rPr>
              <w:t>Partial and tonic– </w:t>
            </w:r>
            <w:r>
              <w:rPr>
                <w:color w:val="231F20"/>
                <w:spacing w:val="-2"/>
                <w:sz w:val="15"/>
              </w:rPr>
              <w:t>clonic</w:t>
            </w:r>
            <w:r>
              <w:rPr>
                <w:color w:val="231F20"/>
                <w:spacing w:val="-10"/>
                <w:sz w:val="15"/>
              </w:rPr>
              <w:t> </w:t>
            </w:r>
            <w:r>
              <w:rPr>
                <w:color w:val="231F20"/>
                <w:spacing w:val="-2"/>
                <w:sz w:val="15"/>
              </w:rPr>
              <w:t>sz</w:t>
            </w:r>
            <w:r>
              <w:rPr>
                <w:color w:val="231F20"/>
                <w:spacing w:val="-9"/>
                <w:sz w:val="15"/>
              </w:rPr>
              <w:t> </w:t>
            </w:r>
            <w:r>
              <w:rPr>
                <w:color w:val="231F20"/>
                <w:spacing w:val="-2"/>
                <w:sz w:val="15"/>
              </w:rPr>
              <w:t>(all</w:t>
            </w:r>
            <w:r>
              <w:rPr>
                <w:color w:val="231F20"/>
                <w:spacing w:val="-9"/>
                <w:sz w:val="15"/>
              </w:rPr>
              <w:t> </w:t>
            </w:r>
            <w:r>
              <w:rPr>
                <w:color w:val="231F20"/>
                <w:spacing w:val="-2"/>
                <w:sz w:val="15"/>
              </w:rPr>
              <w:t>ages)</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10-</w:t>
            </w:r>
            <w:r>
              <w:rPr>
                <w:color w:val="231F20"/>
                <w:spacing w:val="-5"/>
                <w:sz w:val="15"/>
              </w:rPr>
              <w:t>20</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4-13</w:t>
            </w:r>
            <w:r>
              <w:rPr>
                <w:color w:val="231F20"/>
                <w:spacing w:val="-8"/>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z w:val="15"/>
              </w:rPr>
              <w:t>50,</w:t>
            </w:r>
            <w:r>
              <w:rPr>
                <w:color w:val="231F20"/>
                <w:spacing w:val="-5"/>
                <w:sz w:val="15"/>
              </w:rPr>
              <w:t> </w:t>
            </w:r>
            <w:r>
              <w:rPr>
                <w:color w:val="231F20"/>
                <w:sz w:val="15"/>
              </w:rPr>
              <w:t>250</w:t>
            </w:r>
            <w:r>
              <w:rPr>
                <w:color w:val="231F20"/>
                <w:spacing w:val="-5"/>
                <w:sz w:val="15"/>
              </w:rPr>
              <w:t> </w:t>
            </w:r>
            <w:r>
              <w:rPr>
                <w:color w:val="231F20"/>
                <w:sz w:val="15"/>
              </w:rPr>
              <w:t>mg</w:t>
            </w:r>
            <w:r>
              <w:rPr>
                <w:color w:val="231F20"/>
                <w:spacing w:val="-5"/>
                <w:sz w:val="15"/>
              </w:rPr>
              <w:t> </w:t>
            </w:r>
            <w:r>
              <w:rPr>
                <w:color w:val="231F20"/>
                <w:sz w:val="15"/>
              </w:rPr>
              <w:t>tabs,</w:t>
            </w:r>
            <w:r>
              <w:rPr>
                <w:color w:val="231F20"/>
                <w:spacing w:val="-4"/>
                <w:sz w:val="15"/>
              </w:rPr>
              <w:t> susp</w:t>
            </w:r>
          </w:p>
        </w:tc>
      </w:tr>
      <w:tr>
        <w:trPr>
          <w:trHeight w:val="254"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Rufinamide</w:t>
            </w:r>
            <w:r>
              <w:rPr>
                <w:color w:val="0080AC"/>
                <w:spacing w:val="-2"/>
                <w:sz w:val="15"/>
                <w:vertAlign w:val="superscript"/>
              </w:rPr>
              <w:t>†</w:t>
            </w:r>
          </w:p>
        </w:tc>
        <w:tc>
          <w:tcPr>
            <w:tcW w:w="1839" w:type="dxa"/>
            <w:tcBorders>
              <w:top w:val="single" w:sz="4" w:space="0" w:color="FFFFFF"/>
              <w:bottom w:val="single" w:sz="4" w:space="0" w:color="FFFFFF"/>
            </w:tcBorders>
            <w:shd w:val="clear" w:color="auto" w:fill="E8F5F1"/>
          </w:tcPr>
          <w:p>
            <w:pPr>
              <w:pStyle w:val="TableParagraph"/>
              <w:spacing w:before="43"/>
              <w:ind w:left="161"/>
              <w:rPr>
                <w:sz w:val="15"/>
              </w:rPr>
            </w:pPr>
            <w:r>
              <w:rPr>
                <w:color w:val="231F20"/>
                <w:sz w:val="15"/>
              </w:rPr>
              <w:t>LGS</w:t>
            </w:r>
            <w:r>
              <w:rPr>
                <w:color w:val="231F20"/>
                <w:spacing w:val="6"/>
                <w:sz w:val="15"/>
              </w:rPr>
              <w:t> </w:t>
            </w:r>
            <w:r>
              <w:rPr>
                <w:color w:val="231F20"/>
                <w:sz w:val="15"/>
              </w:rPr>
              <w:t>(age</w:t>
            </w:r>
            <w:r>
              <w:rPr>
                <w:color w:val="231F20"/>
                <w:spacing w:val="6"/>
                <w:sz w:val="15"/>
              </w:rPr>
              <w:t> </w:t>
            </w:r>
            <w:r>
              <w:rPr>
                <w:rFonts w:ascii="Cambria"/>
                <w:color w:val="231F20"/>
                <w:sz w:val="15"/>
              </w:rPr>
              <w:t>&gt;</w:t>
            </w:r>
            <w:r>
              <w:rPr>
                <w:color w:val="231F20"/>
                <w:sz w:val="15"/>
              </w:rPr>
              <w:t>4</w:t>
            </w:r>
            <w:r>
              <w:rPr>
                <w:color w:val="231F20"/>
                <w:spacing w:val="7"/>
                <w:sz w:val="15"/>
              </w:rPr>
              <w:t> </w:t>
            </w:r>
            <w:r>
              <w:rPr>
                <w:color w:val="231F20"/>
                <w:spacing w:val="-5"/>
                <w:sz w:val="15"/>
              </w:rPr>
              <w:t>yr)</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30-</w:t>
            </w:r>
            <w:r>
              <w:rPr>
                <w:color w:val="231F20"/>
                <w:spacing w:val="-5"/>
                <w:sz w:val="15"/>
              </w:rPr>
              <w:t>45</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5"/>
                <w:w w:val="105"/>
                <w:sz w:val="15"/>
              </w:rPr>
              <w:t>bid</w:t>
            </w:r>
          </w:p>
        </w:tc>
        <w:tc>
          <w:tcPr>
            <w:tcW w:w="1353" w:type="dxa"/>
            <w:tcBorders>
              <w:top w:val="single" w:sz="4" w:space="0" w:color="FFFFFF"/>
              <w:bottom w:val="single" w:sz="4" w:space="0" w:color="FFFFFF"/>
            </w:tcBorders>
            <w:shd w:val="clear" w:color="auto" w:fill="E8F5F1"/>
          </w:tcPr>
          <w:p>
            <w:pPr>
              <w:pStyle w:val="TableParagraph"/>
              <w:spacing w:before="43"/>
              <w:ind w:left="162"/>
              <w:rPr>
                <w:sz w:val="15"/>
              </w:rPr>
            </w:pPr>
            <w:r>
              <w:rPr>
                <w:rFonts w:ascii="Cambria" w:hAnsi="Cambria"/>
                <w:color w:val="231F20"/>
                <w:sz w:val="15"/>
              </w:rPr>
              <w:t>&lt;</w:t>
            </w:r>
            <w:r>
              <w:rPr>
                <w:color w:val="231F20"/>
                <w:sz w:val="15"/>
              </w:rPr>
              <w:t>60</w:t>
            </w:r>
            <w:r>
              <w:rPr>
                <w:color w:val="231F20"/>
                <w:spacing w:val="-4"/>
                <w:sz w:val="15"/>
              </w:rPr>
              <w:t> </w:t>
            </w:r>
            <w:r>
              <w:rPr>
                <w:rFonts w:ascii="Cambria" w:hAnsi="Cambria"/>
                <w:color w:val="231F20"/>
                <w:spacing w:val="-2"/>
                <w:sz w:val="15"/>
              </w:rPr>
              <w:t>μ</w:t>
            </w:r>
            <w:r>
              <w:rPr>
                <w:color w:val="231F20"/>
                <w:spacing w:val="-2"/>
                <w:sz w:val="15"/>
              </w:rPr>
              <w:t>g/mL</w:t>
            </w:r>
          </w:p>
        </w:tc>
        <w:tc>
          <w:tcPr>
            <w:tcW w:w="1962"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z w:val="15"/>
              </w:rPr>
              <w:t>200,</w:t>
            </w:r>
            <w:r>
              <w:rPr>
                <w:color w:val="231F20"/>
                <w:spacing w:val="-2"/>
                <w:sz w:val="15"/>
              </w:rPr>
              <w:t> </w:t>
            </w:r>
            <w:r>
              <w:rPr>
                <w:color w:val="231F20"/>
                <w:sz w:val="15"/>
              </w:rPr>
              <w:t>400</w:t>
            </w:r>
            <w:r>
              <w:rPr>
                <w:color w:val="231F20"/>
                <w:spacing w:val="-1"/>
                <w:sz w:val="15"/>
              </w:rPr>
              <w:t> </w:t>
            </w:r>
            <w:r>
              <w:rPr>
                <w:color w:val="231F20"/>
                <w:sz w:val="15"/>
              </w:rPr>
              <w:t>mg</w:t>
            </w:r>
            <w:r>
              <w:rPr>
                <w:color w:val="231F20"/>
                <w:spacing w:val="-2"/>
                <w:sz w:val="15"/>
              </w:rPr>
              <w:t> </w:t>
            </w:r>
            <w:r>
              <w:rPr>
                <w:color w:val="231F20"/>
                <w:spacing w:val="-4"/>
                <w:sz w:val="15"/>
              </w:rPr>
              <w:t>tabs</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5"/>
              <w:ind w:left="74"/>
              <w:rPr>
                <w:position w:val="4"/>
                <w:sz w:val="15"/>
              </w:rPr>
            </w:pPr>
            <w:r>
              <w:rPr>
                <w:color w:val="231F20"/>
                <w:spacing w:val="-2"/>
                <w:sz w:val="15"/>
              </w:rPr>
              <w:t>Sulthiame</w:t>
            </w:r>
            <w:r>
              <w:rPr>
                <w:color w:val="231F20"/>
                <w:spacing w:val="10"/>
                <w:position w:val="4"/>
                <w:sz w:val="15"/>
              </w:rPr>
              <w:drawing>
                <wp:inline distT="0" distB="0" distL="0" distR="0">
                  <wp:extent cx="19049" cy="53974"/>
                  <wp:effectExtent l="0" t="0" r="0" b="0"/>
                  <wp:docPr id="635" name="Image 635"/>
                  <wp:cNvGraphicFramePr>
                    <a:graphicFrameLocks/>
                  </wp:cNvGraphicFramePr>
                  <a:graphic>
                    <a:graphicData uri="http://schemas.openxmlformats.org/drawingml/2006/picture">
                      <pic:pic>
                        <pic:nvPicPr>
                          <pic:cNvPr id="635" name="Image 635"/>
                          <pic:cNvPicPr/>
                        </pic:nvPicPr>
                        <pic:blipFill>
                          <a:blip r:embed="rId294" cstate="print"/>
                          <a:stretch>
                            <a:fillRect/>
                          </a:stretch>
                        </pic:blipFill>
                        <pic:spPr>
                          <a:xfrm>
                            <a:off x="0" y="0"/>
                            <a:ext cx="19049" cy="53974"/>
                          </a:xfrm>
                          <a:prstGeom prst="rect">
                            <a:avLst/>
                          </a:prstGeom>
                        </pic:spPr>
                      </pic:pic>
                    </a:graphicData>
                  </a:graphic>
                </wp:inline>
              </w:drawing>
            </w:r>
            <w:r>
              <w:rPr>
                <w:color w:val="231F20"/>
                <w:spacing w:val="10"/>
                <w:position w:val="4"/>
                <w:sz w:val="15"/>
              </w:rPr>
            </w:r>
          </w:p>
        </w:tc>
        <w:tc>
          <w:tcPr>
            <w:tcW w:w="1839" w:type="dxa"/>
            <w:tcBorders>
              <w:top w:val="single" w:sz="4" w:space="0" w:color="FFFFFF"/>
              <w:bottom w:val="single" w:sz="4" w:space="0" w:color="FFFFFF"/>
            </w:tcBorders>
            <w:shd w:val="clear" w:color="auto" w:fill="E8F5F1"/>
          </w:tcPr>
          <w:p>
            <w:pPr>
              <w:pStyle w:val="TableParagraph"/>
              <w:rPr>
                <w:rFonts w:ascii="Times New Roman"/>
                <w:sz w:val="14"/>
              </w:rPr>
            </w:pP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4"/>
                <w:sz w:val="15"/>
              </w:rPr>
              <w:t>5-</w:t>
            </w:r>
            <w:r>
              <w:rPr>
                <w:color w:val="231F20"/>
                <w:spacing w:val="-5"/>
                <w:sz w:val="15"/>
              </w:rPr>
              <w:t>15</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3"/>
              <w:ind w:left="162"/>
              <w:rPr>
                <w:sz w:val="15"/>
              </w:rPr>
            </w:pPr>
            <w:r>
              <w:rPr>
                <w:color w:val="231F20"/>
                <w:spacing w:val="-4"/>
                <w:sz w:val="15"/>
              </w:rPr>
              <w:t>1.5-20</w:t>
            </w:r>
            <w:r>
              <w:rPr>
                <w:color w:val="231F20"/>
                <w:spacing w:val="-5"/>
                <w:sz w:val="15"/>
              </w:rPr>
              <w:t> </w:t>
            </w:r>
            <w:r>
              <w:rPr>
                <w:rFonts w:ascii="Cambria" w:hAnsi="Cambria"/>
                <w:color w:val="231F20"/>
                <w:spacing w:val="-4"/>
                <w:sz w:val="15"/>
              </w:rPr>
              <w:t>μ</w:t>
            </w:r>
            <w:r>
              <w:rPr>
                <w:color w:val="231F20"/>
                <w:spacing w:val="-4"/>
                <w:sz w:val="15"/>
              </w:rPr>
              <w:t>g/mL</w:t>
            </w:r>
          </w:p>
        </w:tc>
        <w:tc>
          <w:tcPr>
            <w:tcW w:w="1962" w:type="dxa"/>
            <w:tcBorders>
              <w:top w:val="single" w:sz="4" w:space="0" w:color="FFFFFF"/>
              <w:bottom w:val="single" w:sz="4" w:space="0" w:color="FFFFFF"/>
            </w:tcBorders>
            <w:shd w:val="clear" w:color="auto" w:fill="E8F5F1"/>
          </w:tcPr>
          <w:p>
            <w:pPr>
              <w:pStyle w:val="TableParagraph"/>
              <w:spacing w:line="230" w:lineRule="auto" w:before="48"/>
              <w:ind w:left="163" w:right="543"/>
              <w:rPr>
                <w:sz w:val="15"/>
              </w:rPr>
            </w:pPr>
            <w:r>
              <w:rPr>
                <w:color w:val="231F20"/>
                <w:sz w:val="15"/>
              </w:rPr>
              <w:t>50, 200 mg caps Not</w:t>
            </w:r>
            <w:r>
              <w:rPr>
                <w:color w:val="231F20"/>
                <w:spacing w:val="-12"/>
                <w:sz w:val="15"/>
              </w:rPr>
              <w:t> </w:t>
            </w:r>
            <w:r>
              <w:rPr>
                <w:color w:val="231F20"/>
                <w:sz w:val="15"/>
              </w:rPr>
              <w:t>available</w:t>
            </w:r>
            <w:r>
              <w:rPr>
                <w:color w:val="231F20"/>
                <w:spacing w:val="-11"/>
                <w:sz w:val="15"/>
              </w:rPr>
              <w:t> </w:t>
            </w:r>
            <w:r>
              <w:rPr>
                <w:color w:val="231F20"/>
                <w:sz w:val="15"/>
              </w:rPr>
              <w:t>in</w:t>
            </w:r>
            <w:r>
              <w:rPr>
                <w:color w:val="231F20"/>
                <w:spacing w:val="-11"/>
                <w:sz w:val="15"/>
              </w:rPr>
              <w:t> </w:t>
            </w:r>
            <w:r>
              <w:rPr>
                <w:color w:val="231F20"/>
                <w:sz w:val="15"/>
              </w:rPr>
              <w:t>all</w:t>
            </w:r>
          </w:p>
          <w:p>
            <w:pPr>
              <w:pStyle w:val="TableParagraph"/>
              <w:spacing w:line="170" w:lineRule="exact"/>
              <w:ind w:left="275"/>
              <w:rPr>
                <w:sz w:val="15"/>
              </w:rPr>
            </w:pPr>
            <w:r>
              <w:rPr>
                <w:color w:val="231F20"/>
                <w:spacing w:val="-2"/>
                <w:sz w:val="15"/>
              </w:rPr>
              <w:t>countries</w:t>
            </w:r>
          </w:p>
        </w:tc>
      </w:tr>
      <w:tr>
        <w:trPr>
          <w:trHeight w:val="254"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Tiagabine</w:t>
            </w:r>
          </w:p>
        </w:tc>
        <w:tc>
          <w:tcPr>
            <w:tcW w:w="1839" w:type="dxa"/>
            <w:tcBorders>
              <w:top w:val="single" w:sz="4" w:space="0" w:color="FFFFFF"/>
              <w:bottom w:val="single" w:sz="4" w:space="0" w:color="FFFFFF"/>
            </w:tcBorders>
            <w:shd w:val="clear" w:color="auto" w:fill="E8F5F1"/>
          </w:tcPr>
          <w:p>
            <w:pPr>
              <w:pStyle w:val="TableParagraph"/>
              <w:spacing w:before="43"/>
              <w:ind w:left="161"/>
              <w:rPr>
                <w:sz w:val="15"/>
              </w:rPr>
            </w:pPr>
            <w:r>
              <w:rPr>
                <w:color w:val="231F20"/>
                <w:sz w:val="15"/>
              </w:rPr>
              <w:t>Partial</w:t>
            </w:r>
            <w:r>
              <w:rPr>
                <w:color w:val="231F20"/>
                <w:spacing w:val="-12"/>
                <w:sz w:val="15"/>
              </w:rPr>
              <w:t> </w:t>
            </w:r>
            <w:r>
              <w:rPr>
                <w:color w:val="231F20"/>
                <w:sz w:val="15"/>
              </w:rPr>
              <w:t>sz</w:t>
            </w:r>
            <w:r>
              <w:rPr>
                <w:color w:val="231F20"/>
                <w:spacing w:val="-11"/>
                <w:sz w:val="15"/>
              </w:rPr>
              <w:t> </w:t>
            </w:r>
            <w:r>
              <w:rPr>
                <w:color w:val="231F20"/>
                <w:sz w:val="15"/>
              </w:rPr>
              <w:t>(age</w:t>
            </w:r>
            <w:r>
              <w:rPr>
                <w:color w:val="231F20"/>
                <w:spacing w:val="-11"/>
                <w:sz w:val="15"/>
              </w:rPr>
              <w:t> </w:t>
            </w:r>
            <w:r>
              <w:rPr>
                <w:rFonts w:ascii="Cambria"/>
                <w:color w:val="231F20"/>
                <w:sz w:val="15"/>
              </w:rPr>
              <w:t>&gt;</w:t>
            </w:r>
            <w:r>
              <w:rPr>
                <w:color w:val="231F20"/>
                <w:sz w:val="15"/>
              </w:rPr>
              <w:t>2</w:t>
            </w:r>
            <w:r>
              <w:rPr>
                <w:color w:val="231F20"/>
                <w:spacing w:val="-11"/>
                <w:sz w:val="15"/>
              </w:rPr>
              <w:t> </w:t>
            </w:r>
            <w:r>
              <w:rPr>
                <w:color w:val="231F20"/>
                <w:spacing w:val="-5"/>
                <w:sz w:val="15"/>
              </w:rPr>
              <w:t>yr)</w:t>
            </w:r>
          </w:p>
        </w:tc>
        <w:tc>
          <w:tcPr>
            <w:tcW w:w="1934"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w w:val="90"/>
                <w:sz w:val="15"/>
              </w:rPr>
              <w:t>0.5-</w:t>
            </w:r>
            <w:r>
              <w:rPr>
                <w:color w:val="231F20"/>
                <w:spacing w:val="-10"/>
                <w:sz w:val="15"/>
              </w:rPr>
              <w:t>2</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2"/>
                <w:sz w:val="15"/>
              </w:rPr>
              <w:t>bid,</w:t>
            </w:r>
            <w:r>
              <w:rPr>
                <w:color w:val="231F20"/>
                <w:spacing w:val="-9"/>
                <w:sz w:val="15"/>
              </w:rPr>
              <w:t> </w:t>
            </w:r>
            <w:r>
              <w:rPr>
                <w:color w:val="231F20"/>
                <w:spacing w:val="-2"/>
                <w:sz w:val="15"/>
              </w:rPr>
              <w:t>tid,</w:t>
            </w:r>
            <w:r>
              <w:rPr>
                <w:color w:val="231F20"/>
                <w:spacing w:val="-8"/>
                <w:sz w:val="15"/>
              </w:rPr>
              <w:t> </w:t>
            </w:r>
            <w:r>
              <w:rPr>
                <w:color w:val="231F20"/>
                <w:spacing w:val="-5"/>
                <w:sz w:val="15"/>
              </w:rPr>
              <w:t>qid</w:t>
            </w:r>
          </w:p>
        </w:tc>
        <w:tc>
          <w:tcPr>
            <w:tcW w:w="1353" w:type="dxa"/>
            <w:tcBorders>
              <w:top w:val="single" w:sz="4" w:space="0" w:color="FFFFFF"/>
              <w:bottom w:val="single" w:sz="4" w:space="0" w:color="FFFFFF"/>
            </w:tcBorders>
            <w:shd w:val="clear" w:color="auto" w:fill="E8F5F1"/>
          </w:tcPr>
          <w:p>
            <w:pPr>
              <w:pStyle w:val="TableParagraph"/>
              <w:spacing w:before="43"/>
              <w:ind w:left="162"/>
              <w:rPr>
                <w:sz w:val="15"/>
              </w:rPr>
            </w:pPr>
            <w:r>
              <w:rPr>
                <w:color w:val="231F20"/>
                <w:spacing w:val="-2"/>
                <w:sz w:val="15"/>
              </w:rPr>
              <w:t>80-450</w:t>
            </w:r>
            <w:r>
              <w:rPr>
                <w:color w:val="231F20"/>
                <w:spacing w:val="-1"/>
                <w:sz w:val="15"/>
              </w:rPr>
              <w:t> </w:t>
            </w:r>
            <w:r>
              <w:rPr>
                <w:rFonts w:ascii="Cambria" w:hAnsi="Cambria"/>
                <w:color w:val="231F20"/>
                <w:spacing w:val="-4"/>
                <w:sz w:val="15"/>
              </w:rPr>
              <w:t>μ</w:t>
            </w:r>
            <w:r>
              <w:rPr>
                <w:color w:val="231F20"/>
                <w:spacing w:val="-4"/>
                <w:sz w:val="15"/>
              </w:rPr>
              <w:t>g/L</w:t>
            </w:r>
          </w:p>
        </w:tc>
        <w:tc>
          <w:tcPr>
            <w:tcW w:w="1962"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z w:val="15"/>
              </w:rPr>
              <w:t>2,</w:t>
            </w:r>
            <w:r>
              <w:rPr>
                <w:color w:val="231F20"/>
                <w:spacing w:val="-7"/>
                <w:sz w:val="15"/>
              </w:rPr>
              <w:t> </w:t>
            </w:r>
            <w:r>
              <w:rPr>
                <w:color w:val="231F20"/>
                <w:sz w:val="15"/>
              </w:rPr>
              <w:t>4,</w:t>
            </w:r>
            <w:r>
              <w:rPr>
                <w:color w:val="231F20"/>
                <w:spacing w:val="-7"/>
                <w:sz w:val="15"/>
              </w:rPr>
              <w:t> </w:t>
            </w:r>
            <w:r>
              <w:rPr>
                <w:color w:val="231F20"/>
                <w:sz w:val="15"/>
              </w:rPr>
              <w:t>12,</w:t>
            </w:r>
            <w:r>
              <w:rPr>
                <w:color w:val="231F20"/>
                <w:spacing w:val="-7"/>
                <w:sz w:val="15"/>
              </w:rPr>
              <w:t> </w:t>
            </w:r>
            <w:r>
              <w:rPr>
                <w:color w:val="231F20"/>
                <w:sz w:val="15"/>
              </w:rPr>
              <w:t>16</w:t>
            </w:r>
            <w:r>
              <w:rPr>
                <w:color w:val="231F20"/>
                <w:spacing w:val="-7"/>
                <w:sz w:val="15"/>
              </w:rPr>
              <w:t> </w:t>
            </w:r>
            <w:r>
              <w:rPr>
                <w:color w:val="231F20"/>
                <w:sz w:val="15"/>
              </w:rPr>
              <w:t>mg</w:t>
            </w:r>
            <w:r>
              <w:rPr>
                <w:color w:val="231F20"/>
                <w:spacing w:val="-7"/>
                <w:sz w:val="15"/>
              </w:rPr>
              <w:t> </w:t>
            </w:r>
            <w:r>
              <w:rPr>
                <w:color w:val="231F20"/>
                <w:spacing w:val="-4"/>
                <w:sz w:val="15"/>
              </w:rPr>
              <w:t>tabs</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Topiramate</w:t>
            </w:r>
            <w:r>
              <w:rPr>
                <w:color w:val="0080AC"/>
                <w:spacing w:val="-2"/>
                <w:sz w:val="15"/>
                <w:vertAlign w:val="superscript"/>
              </w:rPr>
              <w:t>†</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256" w:hanging="112"/>
              <w:rPr>
                <w:sz w:val="15"/>
              </w:rPr>
            </w:pPr>
            <w:r>
              <w:rPr>
                <w:color w:val="231F20"/>
                <w:sz w:val="15"/>
              </w:rPr>
              <w:t>LGS, partial and </w:t>
            </w:r>
            <w:r>
              <w:rPr>
                <w:color w:val="231F20"/>
                <w:spacing w:val="-2"/>
                <w:sz w:val="15"/>
              </w:rPr>
              <w:t>tonic–clonic</w:t>
            </w:r>
            <w:r>
              <w:rPr>
                <w:color w:val="231F20"/>
                <w:spacing w:val="-10"/>
                <w:sz w:val="15"/>
              </w:rPr>
              <w:t> </w:t>
            </w:r>
            <w:r>
              <w:rPr>
                <w:color w:val="231F20"/>
                <w:spacing w:val="-2"/>
                <w:sz w:val="15"/>
              </w:rPr>
              <w:t>sz</w:t>
            </w:r>
            <w:r>
              <w:rPr>
                <w:color w:val="231F20"/>
                <w:spacing w:val="-9"/>
                <w:sz w:val="15"/>
              </w:rPr>
              <w:t> </w:t>
            </w:r>
            <w:r>
              <w:rPr>
                <w:color w:val="231F20"/>
                <w:spacing w:val="-2"/>
                <w:sz w:val="15"/>
              </w:rPr>
              <w:t>(all ages)</w:t>
            </w:r>
          </w:p>
        </w:tc>
        <w:tc>
          <w:tcPr>
            <w:tcW w:w="1934"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2"/>
                <w:sz w:val="15"/>
              </w:rPr>
              <w:t>3-9,</w:t>
            </w:r>
            <w:r>
              <w:rPr>
                <w:color w:val="231F20"/>
                <w:spacing w:val="-7"/>
                <w:sz w:val="15"/>
              </w:rPr>
              <w:t> </w:t>
            </w:r>
            <w:r>
              <w:rPr>
                <w:color w:val="231F20"/>
                <w:spacing w:val="-2"/>
                <w:sz w:val="15"/>
              </w:rPr>
              <w:t>slow</w:t>
            </w:r>
            <w:r>
              <w:rPr>
                <w:color w:val="231F20"/>
                <w:spacing w:val="-6"/>
                <w:sz w:val="15"/>
              </w:rPr>
              <w:t> </w:t>
            </w:r>
            <w:r>
              <w:rPr>
                <w:color w:val="231F20"/>
                <w:spacing w:val="-2"/>
                <w:sz w:val="15"/>
              </w:rPr>
              <w:t>titration</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bid</w:t>
            </w:r>
            <w:r>
              <w:rPr>
                <w:color w:val="231F20"/>
                <w:spacing w:val="3"/>
                <w:sz w:val="15"/>
              </w:rPr>
              <w:t> </w:t>
            </w:r>
            <w:r>
              <w:rPr>
                <w:color w:val="231F20"/>
                <w:sz w:val="15"/>
              </w:rPr>
              <w:t>or</w:t>
            </w:r>
            <w:r>
              <w:rPr>
                <w:color w:val="231F20"/>
                <w:spacing w:val="3"/>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z w:val="15"/>
              </w:rPr>
              <w:t>2-25</w:t>
            </w:r>
            <w:r>
              <w:rPr>
                <w:color w:val="231F20"/>
                <w:spacing w:val="-8"/>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25,</w:t>
            </w:r>
            <w:r>
              <w:rPr>
                <w:color w:val="231F20"/>
                <w:spacing w:val="-6"/>
                <w:sz w:val="15"/>
              </w:rPr>
              <w:t> </w:t>
            </w:r>
            <w:r>
              <w:rPr>
                <w:color w:val="231F20"/>
                <w:sz w:val="15"/>
              </w:rPr>
              <w:t>100,</w:t>
            </w:r>
            <w:r>
              <w:rPr>
                <w:color w:val="231F20"/>
                <w:spacing w:val="-6"/>
                <w:sz w:val="15"/>
              </w:rPr>
              <w:t> </w:t>
            </w:r>
            <w:r>
              <w:rPr>
                <w:color w:val="231F20"/>
                <w:sz w:val="15"/>
              </w:rPr>
              <w:t>200</w:t>
            </w:r>
            <w:r>
              <w:rPr>
                <w:color w:val="231F20"/>
                <w:spacing w:val="-5"/>
                <w:sz w:val="15"/>
              </w:rPr>
              <w:t> </w:t>
            </w:r>
            <w:r>
              <w:rPr>
                <w:color w:val="231F20"/>
                <w:sz w:val="15"/>
              </w:rPr>
              <w:t>mg</w:t>
            </w:r>
            <w:r>
              <w:rPr>
                <w:color w:val="231F20"/>
                <w:spacing w:val="-6"/>
                <w:sz w:val="15"/>
              </w:rPr>
              <w:t> </w:t>
            </w:r>
            <w:r>
              <w:rPr>
                <w:color w:val="231F20"/>
                <w:spacing w:val="-4"/>
                <w:sz w:val="15"/>
              </w:rPr>
              <w:t>tabs</w:t>
            </w:r>
          </w:p>
          <w:p>
            <w:pPr>
              <w:pStyle w:val="TableParagraph"/>
              <w:spacing w:line="171" w:lineRule="exact"/>
              <w:ind w:left="163"/>
              <w:rPr>
                <w:sz w:val="15"/>
              </w:rPr>
            </w:pPr>
            <w:r>
              <w:rPr>
                <w:color w:val="231F20"/>
                <w:sz w:val="15"/>
              </w:rPr>
              <w:t>15,</w:t>
            </w:r>
            <w:r>
              <w:rPr>
                <w:color w:val="231F20"/>
                <w:spacing w:val="-5"/>
                <w:sz w:val="15"/>
              </w:rPr>
              <w:t> </w:t>
            </w:r>
            <w:r>
              <w:rPr>
                <w:color w:val="231F20"/>
                <w:sz w:val="15"/>
              </w:rPr>
              <w:t>25</w:t>
            </w:r>
            <w:r>
              <w:rPr>
                <w:color w:val="231F20"/>
                <w:spacing w:val="-4"/>
                <w:sz w:val="15"/>
              </w:rPr>
              <w:t> </w:t>
            </w:r>
            <w:r>
              <w:rPr>
                <w:color w:val="231F20"/>
                <w:sz w:val="15"/>
              </w:rPr>
              <w:t>mg</w:t>
            </w:r>
            <w:r>
              <w:rPr>
                <w:color w:val="231F20"/>
                <w:spacing w:val="-4"/>
                <w:sz w:val="15"/>
              </w:rPr>
              <w:t> </w:t>
            </w:r>
            <w:r>
              <w:rPr>
                <w:color w:val="231F20"/>
                <w:sz w:val="15"/>
              </w:rPr>
              <w:t>sprinkle</w:t>
            </w:r>
            <w:r>
              <w:rPr>
                <w:color w:val="231F20"/>
                <w:spacing w:val="-4"/>
                <w:sz w:val="15"/>
              </w:rPr>
              <w:t> caps</w:t>
            </w:r>
          </w:p>
        </w:tc>
      </w:tr>
      <w:tr>
        <w:trPr>
          <w:trHeight w:val="756"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Valproate</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205" w:hanging="112"/>
              <w:rPr>
                <w:sz w:val="15"/>
              </w:rPr>
            </w:pPr>
            <w:r>
              <w:rPr>
                <w:color w:val="231F20"/>
                <w:sz w:val="15"/>
              </w:rPr>
              <w:t>Absence,</w:t>
            </w:r>
            <w:r>
              <w:rPr>
                <w:color w:val="231F20"/>
                <w:spacing w:val="-3"/>
                <w:sz w:val="15"/>
              </w:rPr>
              <w:t> </w:t>
            </w:r>
            <w:r>
              <w:rPr>
                <w:color w:val="231F20"/>
                <w:sz w:val="15"/>
              </w:rPr>
              <w:t>myoclonic, partial and tonic– </w:t>
            </w:r>
            <w:r>
              <w:rPr>
                <w:color w:val="231F20"/>
                <w:spacing w:val="-2"/>
                <w:sz w:val="15"/>
              </w:rPr>
              <w:t>clonic</w:t>
            </w:r>
            <w:r>
              <w:rPr>
                <w:color w:val="231F20"/>
                <w:spacing w:val="-10"/>
                <w:sz w:val="15"/>
              </w:rPr>
              <w:t> </w:t>
            </w:r>
            <w:r>
              <w:rPr>
                <w:color w:val="231F20"/>
                <w:spacing w:val="-2"/>
                <w:sz w:val="15"/>
              </w:rPr>
              <w:t>sz</w:t>
            </w:r>
            <w:r>
              <w:rPr>
                <w:color w:val="231F20"/>
                <w:spacing w:val="-9"/>
                <w:sz w:val="15"/>
              </w:rPr>
              <w:t> </w:t>
            </w:r>
            <w:r>
              <w:rPr>
                <w:color w:val="231F20"/>
                <w:spacing w:val="-2"/>
                <w:sz w:val="15"/>
              </w:rPr>
              <w:t>(age</w:t>
            </w:r>
            <w:r>
              <w:rPr>
                <w:color w:val="231F20"/>
                <w:spacing w:val="-9"/>
                <w:sz w:val="15"/>
              </w:rPr>
              <w:t> </w:t>
            </w:r>
            <w:r>
              <w:rPr>
                <w:rFonts w:ascii="Cambria" w:hAnsi="Cambria"/>
                <w:color w:val="231F20"/>
                <w:spacing w:val="-2"/>
                <w:sz w:val="15"/>
              </w:rPr>
              <w:t>&gt;</w:t>
            </w:r>
            <w:r>
              <w:rPr>
                <w:color w:val="231F20"/>
                <w:spacing w:val="-2"/>
                <w:sz w:val="15"/>
              </w:rPr>
              <w:t>2</w:t>
            </w:r>
            <w:r>
              <w:rPr>
                <w:color w:val="231F20"/>
                <w:spacing w:val="-10"/>
                <w:sz w:val="15"/>
              </w:rPr>
              <w:t> </w:t>
            </w:r>
            <w:r>
              <w:rPr>
                <w:color w:val="231F20"/>
                <w:spacing w:val="-2"/>
                <w:sz w:val="15"/>
              </w:rPr>
              <w:t>yr)</w:t>
            </w:r>
          </w:p>
        </w:tc>
        <w:tc>
          <w:tcPr>
            <w:tcW w:w="1934" w:type="dxa"/>
            <w:tcBorders>
              <w:top w:val="single" w:sz="4" w:space="0" w:color="FFFFFF"/>
              <w:bottom w:val="single" w:sz="4" w:space="0" w:color="FFFFFF"/>
            </w:tcBorders>
            <w:shd w:val="clear" w:color="auto" w:fill="E8F5F1"/>
          </w:tcPr>
          <w:p>
            <w:pPr>
              <w:pStyle w:val="TableParagraph"/>
              <w:spacing w:line="230" w:lineRule="auto" w:before="48"/>
              <w:ind w:left="274" w:right="125" w:hanging="112"/>
              <w:rPr>
                <w:sz w:val="15"/>
              </w:rPr>
            </w:pPr>
            <w:r>
              <w:rPr>
                <w:color w:val="231F20"/>
                <w:sz w:val="15"/>
              </w:rPr>
              <w:t>15-40.</w:t>
            </w:r>
            <w:r>
              <w:rPr>
                <w:color w:val="231F20"/>
                <w:spacing w:val="-12"/>
                <w:sz w:val="15"/>
              </w:rPr>
              <w:t> </w:t>
            </w:r>
            <w:r>
              <w:rPr>
                <w:color w:val="231F20"/>
                <w:sz w:val="15"/>
              </w:rPr>
              <w:t>Higher</w:t>
            </w:r>
            <w:r>
              <w:rPr>
                <w:color w:val="231F20"/>
                <w:spacing w:val="-11"/>
                <w:sz w:val="15"/>
              </w:rPr>
              <w:t> </w:t>
            </w:r>
            <w:r>
              <w:rPr>
                <w:color w:val="231F20"/>
                <w:sz w:val="15"/>
              </w:rPr>
              <w:t>doses</w:t>
            </w:r>
            <w:r>
              <w:rPr>
                <w:color w:val="231F20"/>
                <w:spacing w:val="-11"/>
                <w:sz w:val="15"/>
              </w:rPr>
              <w:t> </w:t>
            </w:r>
            <w:r>
              <w:rPr>
                <w:color w:val="231F20"/>
                <w:sz w:val="15"/>
              </w:rPr>
              <w:t>are used if the patient is on enzyme inducers (up to 60 kg/day)</w:t>
            </w:r>
          </w:p>
        </w:tc>
        <w:tc>
          <w:tcPr>
            <w:tcW w:w="1253" w:type="dxa"/>
            <w:tcBorders>
              <w:top w:val="single" w:sz="4" w:space="0" w:color="FFFFFF"/>
              <w:bottom w:val="single" w:sz="4" w:space="0" w:color="FFFFFF"/>
            </w:tcBorders>
            <w:shd w:val="clear" w:color="auto" w:fill="E8F5F1"/>
          </w:tcPr>
          <w:p>
            <w:pPr>
              <w:pStyle w:val="TableParagraph"/>
              <w:spacing w:line="230" w:lineRule="auto" w:before="48"/>
              <w:ind w:left="274" w:right="11" w:hanging="112"/>
              <w:rPr>
                <w:sz w:val="15"/>
              </w:rPr>
            </w:pPr>
            <w:r>
              <w:rPr>
                <w:color w:val="231F20"/>
                <w:spacing w:val="-2"/>
                <w:sz w:val="15"/>
              </w:rPr>
              <w:t>Sprinkle</w:t>
            </w:r>
            <w:r>
              <w:rPr>
                <w:color w:val="231F20"/>
                <w:spacing w:val="-10"/>
                <w:sz w:val="15"/>
              </w:rPr>
              <w:t> </w:t>
            </w:r>
            <w:r>
              <w:rPr>
                <w:color w:val="231F20"/>
                <w:spacing w:val="-2"/>
                <w:sz w:val="15"/>
              </w:rPr>
              <w:t>caps: </w:t>
            </w:r>
            <w:r>
              <w:rPr>
                <w:color w:val="231F20"/>
                <w:spacing w:val="-4"/>
                <w:sz w:val="15"/>
              </w:rPr>
              <w:t>bid</w:t>
            </w:r>
          </w:p>
          <w:p>
            <w:pPr>
              <w:pStyle w:val="TableParagraph"/>
              <w:spacing w:line="170" w:lineRule="exact"/>
              <w:ind w:left="162"/>
              <w:rPr>
                <w:sz w:val="15"/>
              </w:rPr>
            </w:pPr>
            <w:r>
              <w:rPr>
                <w:color w:val="231F20"/>
                <w:sz w:val="15"/>
              </w:rPr>
              <w:t>Soln:</w:t>
            </w:r>
            <w:r>
              <w:rPr>
                <w:color w:val="231F20"/>
                <w:spacing w:val="-6"/>
                <w:sz w:val="15"/>
              </w:rPr>
              <w:t> </w:t>
            </w:r>
            <w:r>
              <w:rPr>
                <w:color w:val="231F20"/>
                <w:spacing w:val="-5"/>
                <w:sz w:val="15"/>
              </w:rPr>
              <w:t>tid</w:t>
            </w:r>
          </w:p>
        </w:tc>
        <w:tc>
          <w:tcPr>
            <w:tcW w:w="13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2"/>
                <w:sz w:val="15"/>
              </w:rPr>
              <w:t>50-100</w:t>
            </w:r>
            <w:r>
              <w:rPr>
                <w:color w:val="231F20"/>
                <w:spacing w:val="-1"/>
                <w:sz w:val="15"/>
              </w:rPr>
              <w:t> </w:t>
            </w:r>
            <w:r>
              <w:rPr>
                <w:color w:val="231F20"/>
                <w:spacing w:val="-4"/>
                <w:sz w:val="15"/>
              </w:rPr>
              <w:t>mg/L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250</w:t>
            </w:r>
            <w:r>
              <w:rPr>
                <w:color w:val="231F20"/>
                <w:spacing w:val="7"/>
                <w:sz w:val="15"/>
              </w:rPr>
              <w:t> </w:t>
            </w:r>
            <w:r>
              <w:rPr>
                <w:color w:val="231F20"/>
                <w:sz w:val="15"/>
              </w:rPr>
              <w:t>mg</w:t>
            </w:r>
            <w:r>
              <w:rPr>
                <w:color w:val="231F20"/>
                <w:spacing w:val="8"/>
                <w:sz w:val="15"/>
              </w:rPr>
              <w:t> </w:t>
            </w:r>
            <w:r>
              <w:rPr>
                <w:color w:val="231F20"/>
                <w:spacing w:val="-4"/>
                <w:sz w:val="15"/>
              </w:rPr>
              <w:t>caps</w:t>
            </w:r>
          </w:p>
          <w:p>
            <w:pPr>
              <w:pStyle w:val="TableParagraph"/>
              <w:spacing w:line="230" w:lineRule="auto" w:before="2"/>
              <w:ind w:left="163" w:right="147"/>
              <w:rPr>
                <w:sz w:val="15"/>
              </w:rPr>
            </w:pPr>
            <w:r>
              <w:rPr>
                <w:color w:val="231F20"/>
                <w:sz w:val="15"/>
              </w:rPr>
              <w:t>125 mg sprinkle caps 125,</w:t>
            </w:r>
            <w:r>
              <w:rPr>
                <w:color w:val="231F20"/>
                <w:spacing w:val="-12"/>
                <w:sz w:val="15"/>
              </w:rPr>
              <w:t> </w:t>
            </w:r>
            <w:r>
              <w:rPr>
                <w:color w:val="231F20"/>
                <w:sz w:val="15"/>
              </w:rPr>
              <w:t>250,</w:t>
            </w:r>
            <w:r>
              <w:rPr>
                <w:color w:val="231F20"/>
                <w:spacing w:val="-11"/>
                <w:sz w:val="15"/>
              </w:rPr>
              <w:t> </w:t>
            </w:r>
            <w:r>
              <w:rPr>
                <w:color w:val="231F20"/>
                <w:sz w:val="15"/>
              </w:rPr>
              <w:t>500</w:t>
            </w:r>
            <w:r>
              <w:rPr>
                <w:color w:val="231F20"/>
                <w:spacing w:val="-11"/>
                <w:sz w:val="15"/>
              </w:rPr>
              <w:t> </w:t>
            </w:r>
            <w:r>
              <w:rPr>
                <w:color w:val="231F20"/>
                <w:sz w:val="15"/>
              </w:rPr>
              <w:t>mg</w:t>
            </w:r>
            <w:r>
              <w:rPr>
                <w:color w:val="231F20"/>
                <w:spacing w:val="-12"/>
                <w:sz w:val="15"/>
              </w:rPr>
              <w:t> </w:t>
            </w:r>
            <w:r>
              <w:rPr>
                <w:color w:val="231F20"/>
                <w:sz w:val="15"/>
              </w:rPr>
              <w:t>tabs</w:t>
            </w:r>
            <w:r>
              <w:rPr>
                <w:color w:val="231F20"/>
                <w:sz w:val="15"/>
              </w:rPr>
              <w:t> 250 mg/5 mL soln</w:t>
            </w:r>
          </w:p>
        </w:tc>
      </w:tr>
      <w:tr>
        <w:trPr>
          <w:trHeight w:val="588" w:hRule="atLeast"/>
        </w:trPr>
        <w:tc>
          <w:tcPr>
            <w:tcW w:w="1397"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Vigabatrin</w:t>
            </w:r>
          </w:p>
        </w:tc>
        <w:tc>
          <w:tcPr>
            <w:tcW w:w="1839" w:type="dxa"/>
            <w:tcBorders>
              <w:top w:val="single" w:sz="4" w:space="0" w:color="FFFFFF"/>
              <w:bottom w:val="single" w:sz="4" w:space="0" w:color="FFFFFF"/>
            </w:tcBorders>
            <w:shd w:val="clear" w:color="auto" w:fill="E8F5F1"/>
          </w:tcPr>
          <w:p>
            <w:pPr>
              <w:pStyle w:val="TableParagraph"/>
              <w:spacing w:line="230" w:lineRule="auto" w:before="48"/>
              <w:ind w:left="273" w:right="309" w:hanging="112"/>
              <w:rPr>
                <w:sz w:val="15"/>
              </w:rPr>
            </w:pPr>
            <w:r>
              <w:rPr>
                <w:color w:val="231F20"/>
                <w:sz w:val="15"/>
              </w:rPr>
              <w:t>Infantile</w:t>
            </w:r>
            <w:r>
              <w:rPr>
                <w:color w:val="231F20"/>
                <w:spacing w:val="-12"/>
                <w:sz w:val="15"/>
              </w:rPr>
              <w:t> </w:t>
            </w:r>
            <w:r>
              <w:rPr>
                <w:color w:val="231F20"/>
                <w:sz w:val="15"/>
              </w:rPr>
              <w:t>spasms</w:t>
            </w:r>
            <w:r>
              <w:rPr>
                <w:color w:val="231F20"/>
                <w:spacing w:val="-11"/>
                <w:sz w:val="15"/>
              </w:rPr>
              <w:t> </w:t>
            </w:r>
            <w:r>
              <w:rPr>
                <w:color w:val="231F20"/>
                <w:sz w:val="15"/>
              </w:rPr>
              <w:t>and partial sz (age</w:t>
            </w:r>
          </w:p>
          <w:p>
            <w:pPr>
              <w:pStyle w:val="TableParagraph"/>
              <w:spacing w:line="170" w:lineRule="exact"/>
              <w:ind w:left="273"/>
              <w:rPr>
                <w:sz w:val="15"/>
              </w:rPr>
            </w:pPr>
            <w:r>
              <w:rPr>
                <w:rFonts w:ascii="Cambria"/>
                <w:color w:val="231F20"/>
                <w:sz w:val="15"/>
              </w:rPr>
              <w:t>&gt;</w:t>
            </w:r>
            <w:r>
              <w:rPr>
                <w:color w:val="231F20"/>
                <w:sz w:val="15"/>
              </w:rPr>
              <w:t>1</w:t>
            </w:r>
            <w:r>
              <w:rPr>
                <w:color w:val="231F20"/>
                <w:spacing w:val="-3"/>
                <w:sz w:val="15"/>
              </w:rPr>
              <w:t> </w:t>
            </w:r>
            <w:r>
              <w:rPr>
                <w:color w:val="231F20"/>
                <w:spacing w:val="-5"/>
                <w:sz w:val="15"/>
              </w:rPr>
              <w:t>mo)</w:t>
            </w:r>
          </w:p>
        </w:tc>
        <w:tc>
          <w:tcPr>
            <w:tcW w:w="1934" w:type="dxa"/>
            <w:tcBorders>
              <w:top w:val="single" w:sz="4" w:space="0" w:color="FFFFFF"/>
              <w:bottom w:val="single" w:sz="4" w:space="0" w:color="FFFFFF"/>
            </w:tcBorders>
            <w:shd w:val="clear" w:color="auto" w:fill="E8F5F1"/>
          </w:tcPr>
          <w:p>
            <w:pPr>
              <w:pStyle w:val="TableParagraph"/>
              <w:spacing w:before="42"/>
              <w:ind w:left="161"/>
              <w:rPr>
                <w:sz w:val="15"/>
              </w:rPr>
            </w:pPr>
            <w:r>
              <w:rPr>
                <w:color w:val="231F20"/>
                <w:spacing w:val="-4"/>
                <w:sz w:val="15"/>
              </w:rPr>
              <w:t>50-</w:t>
            </w:r>
            <w:r>
              <w:rPr>
                <w:color w:val="231F20"/>
                <w:spacing w:val="-5"/>
                <w:sz w:val="15"/>
              </w:rPr>
              <w:t>150</w:t>
            </w:r>
          </w:p>
        </w:tc>
        <w:tc>
          <w:tcPr>
            <w:tcW w:w="1253"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5"/>
                <w:w w:val="105"/>
                <w:sz w:val="15"/>
              </w:rPr>
              <w:t>bid</w:t>
            </w:r>
          </w:p>
        </w:tc>
        <w:tc>
          <w:tcPr>
            <w:tcW w:w="1353" w:type="dxa"/>
            <w:tcBorders>
              <w:top w:val="single" w:sz="4" w:space="0" w:color="FFFFFF"/>
              <w:bottom w:val="single" w:sz="4" w:space="0" w:color="FFFFFF"/>
            </w:tcBorders>
            <w:shd w:val="clear" w:color="auto" w:fill="E8F5F1"/>
          </w:tcPr>
          <w:p>
            <w:pPr>
              <w:pStyle w:val="TableParagraph"/>
              <w:spacing w:before="43"/>
              <w:ind w:left="162"/>
              <w:rPr>
                <w:sz w:val="15"/>
              </w:rPr>
            </w:pPr>
            <w:r>
              <w:rPr>
                <w:color w:val="231F20"/>
                <w:spacing w:val="-2"/>
                <w:sz w:val="15"/>
              </w:rPr>
              <w:t>20-160</w:t>
            </w:r>
            <w:r>
              <w:rPr>
                <w:color w:val="231F20"/>
                <w:spacing w:val="-1"/>
                <w:sz w:val="15"/>
              </w:rPr>
              <w:t> </w:t>
            </w:r>
            <w:r>
              <w:rPr>
                <w:rFonts w:ascii="Cambria" w:hAnsi="Cambria"/>
                <w:color w:val="231F20"/>
                <w:spacing w:val="-2"/>
                <w:sz w:val="15"/>
              </w:rPr>
              <w:t>μ</w:t>
            </w:r>
            <w:r>
              <w:rPr>
                <w:color w:val="231F20"/>
                <w:spacing w:val="-2"/>
                <w:sz w:val="15"/>
              </w:rPr>
              <w:t>g/mL</w:t>
            </w:r>
          </w:p>
        </w:tc>
        <w:tc>
          <w:tcPr>
            <w:tcW w:w="1962" w:type="dxa"/>
            <w:tcBorders>
              <w:top w:val="single" w:sz="4" w:space="0" w:color="FFFFFF"/>
              <w:bottom w:val="single" w:sz="4" w:space="0" w:color="FFFFFF"/>
            </w:tcBorders>
            <w:shd w:val="clear" w:color="auto" w:fill="E8F5F1"/>
          </w:tcPr>
          <w:p>
            <w:pPr>
              <w:pStyle w:val="TableParagraph"/>
              <w:spacing w:line="171" w:lineRule="exact" w:before="42"/>
              <w:ind w:left="163"/>
              <w:rPr>
                <w:sz w:val="15"/>
              </w:rPr>
            </w:pPr>
            <w:r>
              <w:rPr>
                <w:color w:val="231F20"/>
                <w:sz w:val="15"/>
              </w:rPr>
              <w:t>500</w:t>
            </w:r>
            <w:r>
              <w:rPr>
                <w:color w:val="231F20"/>
                <w:spacing w:val="7"/>
                <w:sz w:val="15"/>
              </w:rPr>
              <w:t> </w:t>
            </w:r>
            <w:r>
              <w:rPr>
                <w:color w:val="231F20"/>
                <w:sz w:val="15"/>
              </w:rPr>
              <w:t>mg</w:t>
            </w:r>
            <w:r>
              <w:rPr>
                <w:color w:val="231F20"/>
                <w:spacing w:val="8"/>
                <w:sz w:val="15"/>
              </w:rPr>
              <w:t> </w:t>
            </w:r>
            <w:r>
              <w:rPr>
                <w:color w:val="231F20"/>
                <w:spacing w:val="-4"/>
                <w:sz w:val="15"/>
              </w:rPr>
              <w:t>tabs</w:t>
            </w:r>
          </w:p>
          <w:p>
            <w:pPr>
              <w:pStyle w:val="TableParagraph"/>
              <w:spacing w:line="171" w:lineRule="exact"/>
              <w:ind w:left="163"/>
              <w:rPr>
                <w:sz w:val="15"/>
              </w:rPr>
            </w:pPr>
            <w:r>
              <w:rPr>
                <w:color w:val="231F20"/>
                <w:sz w:val="15"/>
              </w:rPr>
              <w:t>500</w:t>
            </w:r>
            <w:r>
              <w:rPr>
                <w:color w:val="231F20"/>
                <w:spacing w:val="2"/>
                <w:sz w:val="15"/>
              </w:rPr>
              <w:t> </w:t>
            </w:r>
            <w:r>
              <w:rPr>
                <w:color w:val="231F20"/>
                <w:sz w:val="15"/>
              </w:rPr>
              <w:t>mg</w:t>
            </w:r>
            <w:r>
              <w:rPr>
                <w:color w:val="231F20"/>
                <w:spacing w:val="2"/>
                <w:sz w:val="15"/>
              </w:rPr>
              <w:t> </w:t>
            </w:r>
            <w:r>
              <w:rPr>
                <w:color w:val="231F20"/>
                <w:sz w:val="15"/>
              </w:rPr>
              <w:t>powder</w:t>
            </w:r>
            <w:r>
              <w:rPr>
                <w:color w:val="231F20"/>
                <w:spacing w:val="2"/>
                <w:sz w:val="15"/>
              </w:rPr>
              <w:t> </w:t>
            </w:r>
            <w:r>
              <w:rPr>
                <w:color w:val="231F20"/>
                <w:sz w:val="15"/>
              </w:rPr>
              <w:t>for</w:t>
            </w:r>
            <w:r>
              <w:rPr>
                <w:color w:val="231F20"/>
                <w:spacing w:val="2"/>
                <w:sz w:val="15"/>
              </w:rPr>
              <w:t> </w:t>
            </w:r>
            <w:r>
              <w:rPr>
                <w:color w:val="231F20"/>
                <w:spacing w:val="-4"/>
                <w:sz w:val="15"/>
              </w:rPr>
              <w:t>soln</w:t>
            </w:r>
          </w:p>
        </w:tc>
      </w:tr>
      <w:tr>
        <w:trPr>
          <w:trHeight w:val="249" w:hRule="atLeast"/>
        </w:trPr>
        <w:tc>
          <w:tcPr>
            <w:tcW w:w="1397"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Zonisamide</w:t>
            </w:r>
          </w:p>
        </w:tc>
        <w:tc>
          <w:tcPr>
            <w:tcW w:w="1839" w:type="dxa"/>
            <w:tcBorders>
              <w:top w:val="single" w:sz="4" w:space="0" w:color="FFFFFF"/>
              <w:bottom w:val="single" w:sz="8" w:space="0" w:color="231F20"/>
            </w:tcBorders>
            <w:shd w:val="clear" w:color="auto" w:fill="E8F5F1"/>
          </w:tcPr>
          <w:p>
            <w:pPr>
              <w:pStyle w:val="TableParagraph"/>
              <w:spacing w:before="43"/>
              <w:ind w:left="161"/>
              <w:rPr>
                <w:sz w:val="15"/>
              </w:rPr>
            </w:pPr>
            <w:r>
              <w:rPr>
                <w:color w:val="231F20"/>
                <w:sz w:val="15"/>
              </w:rPr>
              <w:t>Partial</w:t>
            </w:r>
            <w:r>
              <w:rPr>
                <w:color w:val="231F20"/>
                <w:spacing w:val="-12"/>
                <w:sz w:val="15"/>
              </w:rPr>
              <w:t> </w:t>
            </w:r>
            <w:r>
              <w:rPr>
                <w:color w:val="231F20"/>
                <w:sz w:val="15"/>
              </w:rPr>
              <w:t>sz</w:t>
            </w:r>
            <w:r>
              <w:rPr>
                <w:color w:val="231F20"/>
                <w:spacing w:val="-11"/>
                <w:sz w:val="15"/>
              </w:rPr>
              <w:t> </w:t>
            </w:r>
            <w:r>
              <w:rPr>
                <w:color w:val="231F20"/>
                <w:sz w:val="15"/>
              </w:rPr>
              <w:t>(age</w:t>
            </w:r>
            <w:r>
              <w:rPr>
                <w:color w:val="231F20"/>
                <w:spacing w:val="-11"/>
                <w:sz w:val="15"/>
              </w:rPr>
              <w:t> </w:t>
            </w:r>
            <w:r>
              <w:rPr>
                <w:rFonts w:ascii="Cambria"/>
                <w:color w:val="231F20"/>
                <w:sz w:val="15"/>
              </w:rPr>
              <w:t>&gt;</w:t>
            </w:r>
            <w:r>
              <w:rPr>
                <w:color w:val="231F20"/>
                <w:sz w:val="15"/>
              </w:rPr>
              <w:t>16</w:t>
            </w:r>
            <w:r>
              <w:rPr>
                <w:color w:val="231F20"/>
                <w:spacing w:val="-11"/>
                <w:sz w:val="15"/>
              </w:rPr>
              <w:t> </w:t>
            </w:r>
            <w:r>
              <w:rPr>
                <w:color w:val="231F20"/>
                <w:spacing w:val="-5"/>
                <w:sz w:val="15"/>
              </w:rPr>
              <w:t>yr)</w:t>
            </w:r>
          </w:p>
        </w:tc>
        <w:tc>
          <w:tcPr>
            <w:tcW w:w="1934" w:type="dxa"/>
            <w:tcBorders>
              <w:top w:val="single" w:sz="4" w:space="0" w:color="FFFFFF"/>
              <w:bottom w:val="single" w:sz="8" w:space="0" w:color="231F20"/>
            </w:tcBorders>
            <w:shd w:val="clear" w:color="auto" w:fill="E8F5F1"/>
          </w:tcPr>
          <w:p>
            <w:pPr>
              <w:pStyle w:val="TableParagraph"/>
              <w:spacing w:before="42"/>
              <w:ind w:left="161"/>
              <w:rPr>
                <w:sz w:val="15"/>
              </w:rPr>
            </w:pPr>
            <w:r>
              <w:rPr>
                <w:color w:val="231F20"/>
                <w:spacing w:val="-4"/>
                <w:sz w:val="15"/>
              </w:rPr>
              <w:t>4-</w:t>
            </w:r>
            <w:r>
              <w:rPr>
                <w:color w:val="231F20"/>
                <w:spacing w:val="-10"/>
                <w:sz w:val="15"/>
              </w:rPr>
              <w:t>8</w:t>
            </w:r>
          </w:p>
        </w:tc>
        <w:tc>
          <w:tcPr>
            <w:tcW w:w="1253" w:type="dxa"/>
            <w:tcBorders>
              <w:top w:val="single" w:sz="4" w:space="0" w:color="FFFFFF"/>
              <w:bottom w:val="single" w:sz="8" w:space="0" w:color="231F20"/>
            </w:tcBorders>
            <w:shd w:val="clear" w:color="auto" w:fill="E8F5F1"/>
          </w:tcPr>
          <w:p>
            <w:pPr>
              <w:pStyle w:val="TableParagraph"/>
              <w:spacing w:before="42"/>
              <w:ind w:left="162"/>
              <w:rPr>
                <w:sz w:val="15"/>
              </w:rPr>
            </w:pPr>
            <w:r>
              <w:rPr>
                <w:color w:val="231F20"/>
                <w:w w:val="105"/>
                <w:sz w:val="15"/>
              </w:rPr>
              <w:t>bid</w:t>
            </w:r>
            <w:r>
              <w:rPr>
                <w:color w:val="231F20"/>
                <w:spacing w:val="-8"/>
                <w:w w:val="105"/>
                <w:sz w:val="15"/>
              </w:rPr>
              <w:t> </w:t>
            </w:r>
            <w:r>
              <w:rPr>
                <w:color w:val="231F20"/>
                <w:w w:val="105"/>
                <w:sz w:val="15"/>
              </w:rPr>
              <w:t>or</w:t>
            </w:r>
            <w:r>
              <w:rPr>
                <w:color w:val="231F20"/>
                <w:spacing w:val="-8"/>
                <w:w w:val="105"/>
                <w:sz w:val="15"/>
              </w:rPr>
              <w:t> </w:t>
            </w:r>
            <w:r>
              <w:rPr>
                <w:color w:val="231F20"/>
                <w:spacing w:val="-5"/>
                <w:w w:val="105"/>
                <w:sz w:val="15"/>
              </w:rPr>
              <w:t>qd</w:t>
            </w:r>
          </w:p>
        </w:tc>
        <w:tc>
          <w:tcPr>
            <w:tcW w:w="1353" w:type="dxa"/>
            <w:tcBorders>
              <w:top w:val="single" w:sz="4" w:space="0" w:color="FFFFFF"/>
              <w:bottom w:val="single" w:sz="8" w:space="0" w:color="231F20"/>
            </w:tcBorders>
            <w:shd w:val="clear" w:color="auto" w:fill="E8F5F1"/>
          </w:tcPr>
          <w:p>
            <w:pPr>
              <w:pStyle w:val="TableParagraph"/>
              <w:spacing w:before="42"/>
              <w:ind w:left="162"/>
              <w:rPr>
                <w:sz w:val="15"/>
              </w:rPr>
            </w:pPr>
            <w:r>
              <w:rPr>
                <w:color w:val="231F20"/>
                <w:sz w:val="15"/>
              </w:rPr>
              <w:t>10-40</w:t>
            </w:r>
            <w:r>
              <w:rPr>
                <w:color w:val="231F20"/>
                <w:spacing w:val="-11"/>
                <w:sz w:val="15"/>
              </w:rPr>
              <w:t> </w:t>
            </w:r>
            <w:r>
              <w:rPr>
                <w:color w:val="231F20"/>
                <w:spacing w:val="-4"/>
                <w:sz w:val="15"/>
              </w:rPr>
              <w:t>mg/L</w:t>
            </w:r>
          </w:p>
        </w:tc>
        <w:tc>
          <w:tcPr>
            <w:tcW w:w="1962" w:type="dxa"/>
            <w:tcBorders>
              <w:top w:val="single" w:sz="4" w:space="0" w:color="FFFFFF"/>
              <w:bottom w:val="single" w:sz="8" w:space="0" w:color="231F20"/>
            </w:tcBorders>
            <w:shd w:val="clear" w:color="auto" w:fill="E8F5F1"/>
          </w:tcPr>
          <w:p>
            <w:pPr>
              <w:pStyle w:val="TableParagraph"/>
              <w:spacing w:before="42"/>
              <w:ind w:left="163"/>
              <w:rPr>
                <w:sz w:val="15"/>
              </w:rPr>
            </w:pPr>
            <w:r>
              <w:rPr>
                <w:color w:val="231F20"/>
                <w:sz w:val="15"/>
              </w:rPr>
              <w:t>100</w:t>
            </w:r>
            <w:r>
              <w:rPr>
                <w:color w:val="231F20"/>
                <w:spacing w:val="7"/>
                <w:sz w:val="15"/>
              </w:rPr>
              <w:t> </w:t>
            </w:r>
            <w:r>
              <w:rPr>
                <w:color w:val="231F20"/>
                <w:sz w:val="15"/>
              </w:rPr>
              <w:t>mg</w:t>
            </w:r>
            <w:r>
              <w:rPr>
                <w:color w:val="231F20"/>
                <w:spacing w:val="8"/>
                <w:sz w:val="15"/>
              </w:rPr>
              <w:t> </w:t>
            </w:r>
            <w:r>
              <w:rPr>
                <w:color w:val="231F20"/>
                <w:spacing w:val="-4"/>
                <w:sz w:val="15"/>
              </w:rPr>
              <w:t>caps</w:t>
            </w:r>
          </w:p>
        </w:tc>
      </w:tr>
    </w:tbl>
    <w:p>
      <w:pPr>
        <w:pStyle w:val="BodyText"/>
        <w:spacing w:before="86"/>
        <w:ind w:left="822" w:right="446"/>
      </w:pPr>
      <w:r>
        <w:rPr>
          <w:color w:val="231F20"/>
        </w:rPr>
        <w:t>Unless specified otherwise, as above, one would usually target the lower range of therapeutic dose then adjust as needed depending on response and/or levels.</w:t>
      </w:r>
      <w:r>
        <w:rPr>
          <w:color w:val="231F20"/>
          <w:spacing w:val="40"/>
        </w:rPr>
        <w:t> </w:t>
      </w:r>
      <w:r>
        <w:rPr>
          <w:color w:val="231F20"/>
        </w:rPr>
        <w:t>Dosing</w:t>
      </w:r>
      <w:r>
        <w:rPr>
          <w:color w:val="231F20"/>
          <w:spacing w:val="-1"/>
        </w:rPr>
        <w:t> </w:t>
      </w:r>
      <w:r>
        <w:rPr>
          <w:color w:val="231F20"/>
        </w:rPr>
        <w:t>schedule</w:t>
      </w:r>
      <w:r>
        <w:rPr>
          <w:color w:val="231F20"/>
          <w:spacing w:val="-1"/>
        </w:rPr>
        <w:t> </w:t>
      </w:r>
      <w:r>
        <w:rPr>
          <w:color w:val="231F20"/>
        </w:rPr>
        <w:t>(e.g.,</w:t>
      </w:r>
      <w:r>
        <w:rPr>
          <w:color w:val="231F20"/>
          <w:spacing w:val="-1"/>
        </w:rPr>
        <w:t> </w:t>
      </w:r>
      <w:r>
        <w:rPr>
          <w:color w:val="231F20"/>
        </w:rPr>
        <w:t>bid</w:t>
      </w:r>
      <w:r>
        <w:rPr>
          <w:color w:val="231F20"/>
          <w:spacing w:val="-1"/>
        </w:rPr>
        <w:t> </w:t>
      </w:r>
      <w:r>
        <w:rPr>
          <w:color w:val="231F20"/>
        </w:rPr>
        <w:t>or</w:t>
      </w:r>
      <w:r>
        <w:rPr>
          <w:color w:val="231F20"/>
          <w:spacing w:val="-1"/>
        </w:rPr>
        <w:t> </w:t>
      </w:r>
      <w:r>
        <w:rPr>
          <w:color w:val="231F20"/>
        </w:rPr>
        <w:t>tid)</w:t>
      </w:r>
      <w:r>
        <w:rPr>
          <w:color w:val="231F20"/>
          <w:spacing w:val="-1"/>
        </w:rPr>
        <w:t> </w:t>
      </w:r>
      <w:r>
        <w:rPr>
          <w:color w:val="231F20"/>
        </w:rPr>
        <w:t>can</w:t>
      </w:r>
      <w:r>
        <w:rPr>
          <w:color w:val="231F20"/>
          <w:spacing w:val="-1"/>
        </w:rPr>
        <w:t> </w:t>
      </w:r>
      <w:r>
        <w:rPr>
          <w:color w:val="231F20"/>
        </w:rPr>
        <w:t>depend</w:t>
      </w:r>
      <w:r>
        <w:rPr>
          <w:color w:val="231F20"/>
          <w:spacing w:val="-1"/>
        </w:rPr>
        <w:t> </w:t>
      </w:r>
      <w:r>
        <w:rPr>
          <w:color w:val="231F20"/>
        </w:rPr>
        <w:t>on</w:t>
      </w:r>
      <w:r>
        <w:rPr>
          <w:color w:val="231F20"/>
          <w:spacing w:val="-1"/>
        </w:rPr>
        <w:t> </w:t>
      </w:r>
      <w:r>
        <w:rPr>
          <w:color w:val="231F20"/>
        </w:rPr>
        <w:t>if</w:t>
      </w:r>
      <w:r>
        <w:rPr>
          <w:color w:val="231F20"/>
          <w:spacing w:val="-1"/>
        </w:rPr>
        <w:t> </w:t>
      </w:r>
      <w:r>
        <w:rPr>
          <w:color w:val="231F20"/>
        </w:rPr>
        <w:t>a</w:t>
      </w:r>
      <w:r>
        <w:rPr>
          <w:color w:val="231F20"/>
          <w:spacing w:val="-1"/>
        </w:rPr>
        <w:t> </w:t>
      </w:r>
      <w:r>
        <w:rPr>
          <w:color w:val="231F20"/>
        </w:rPr>
        <w:t>sustained</w:t>
      </w:r>
      <w:r>
        <w:rPr>
          <w:color w:val="231F20"/>
          <w:spacing w:val="-1"/>
        </w:rPr>
        <w:t> </w:t>
      </w:r>
      <w:r>
        <w:rPr>
          <w:color w:val="231F20"/>
        </w:rPr>
        <w:t>release</w:t>
      </w:r>
      <w:r>
        <w:rPr>
          <w:color w:val="231F20"/>
          <w:spacing w:val="-1"/>
        </w:rPr>
        <w:t> </w:t>
      </w:r>
      <w:r>
        <w:rPr>
          <w:color w:val="231F20"/>
        </w:rPr>
        <w:t>preparation</w:t>
      </w:r>
      <w:r>
        <w:rPr>
          <w:color w:val="231F20"/>
          <w:spacing w:val="-1"/>
        </w:rPr>
        <w:t> </w:t>
      </w:r>
      <w:r>
        <w:rPr>
          <w:color w:val="231F20"/>
        </w:rPr>
        <w:t>is</w:t>
      </w:r>
      <w:r>
        <w:rPr>
          <w:color w:val="231F20"/>
          <w:spacing w:val="-1"/>
        </w:rPr>
        <w:t> </w:t>
      </w:r>
      <w:r>
        <w:rPr>
          <w:color w:val="231F20"/>
        </w:rPr>
        <w:t>available</w:t>
      </w:r>
      <w:r>
        <w:rPr>
          <w:color w:val="231F20"/>
          <w:spacing w:val="-1"/>
        </w:rPr>
        <w:t> </w:t>
      </w:r>
      <w:r>
        <w:rPr>
          <w:color w:val="231F20"/>
        </w:rPr>
        <w:t>and</w:t>
      </w:r>
      <w:r>
        <w:rPr>
          <w:color w:val="231F20"/>
          <w:spacing w:val="-1"/>
        </w:rPr>
        <w:t> </w:t>
      </w:r>
      <w:r>
        <w:rPr>
          <w:color w:val="231F20"/>
        </w:rPr>
        <w:t>if</w:t>
      </w:r>
      <w:r>
        <w:rPr>
          <w:color w:val="231F20"/>
          <w:spacing w:val="-1"/>
        </w:rPr>
        <w:t> </w:t>
      </w:r>
      <w:r>
        <w:rPr>
          <w:color w:val="231F20"/>
        </w:rPr>
        <w:t>the</w:t>
      </w:r>
      <w:r>
        <w:rPr>
          <w:color w:val="231F20"/>
          <w:spacing w:val="-1"/>
        </w:rPr>
        <w:t> </w:t>
      </w:r>
      <w:r>
        <w:rPr>
          <w:color w:val="231F20"/>
        </w:rPr>
        <w:t>patient</w:t>
      </w:r>
      <w:r>
        <w:rPr>
          <w:color w:val="231F20"/>
          <w:spacing w:val="-1"/>
        </w:rPr>
        <w:t> </w:t>
      </w:r>
      <w:r>
        <w:rPr>
          <w:color w:val="231F20"/>
        </w:rPr>
        <w:t>is</w:t>
      </w:r>
      <w:r>
        <w:rPr>
          <w:color w:val="231F20"/>
          <w:spacing w:val="-1"/>
        </w:rPr>
        <w:t> </w:t>
      </w:r>
      <w:r>
        <w:rPr>
          <w:color w:val="231F20"/>
        </w:rPr>
        <w:t>on</w:t>
      </w:r>
      <w:r>
        <w:rPr>
          <w:color w:val="231F20"/>
          <w:spacing w:val="-1"/>
        </w:rPr>
        <w:t> </w:t>
      </w:r>
      <w:r>
        <w:rPr>
          <w:color w:val="231F20"/>
        </w:rPr>
        <w:t>enzyme</w:t>
      </w:r>
      <w:r>
        <w:rPr>
          <w:color w:val="231F20"/>
          <w:spacing w:val="-1"/>
        </w:rPr>
        <w:t> </w:t>
      </w:r>
      <w:r>
        <w:rPr>
          <w:color w:val="231F20"/>
        </w:rPr>
        <w:t>inducers</w:t>
      </w:r>
      <w:r>
        <w:rPr>
          <w:color w:val="231F20"/>
          <w:spacing w:val="-1"/>
        </w:rPr>
        <w:t> </w:t>
      </w:r>
      <w:r>
        <w:rPr>
          <w:color w:val="231F20"/>
        </w:rPr>
        <w:t>(e.g.,</w:t>
      </w:r>
      <w:r>
        <w:rPr>
          <w:color w:val="231F20"/>
          <w:spacing w:val="-1"/>
        </w:rPr>
        <w:t> </w:t>
      </w:r>
      <w:r>
        <w:rPr>
          <w:color w:val="231F20"/>
        </w:rPr>
        <w:t>carbamazepine)</w:t>
      </w:r>
      <w:r>
        <w:rPr>
          <w:color w:val="231F20"/>
          <w:spacing w:val="-1"/>
        </w:rPr>
        <w:t> </w:t>
      </w:r>
      <w:r>
        <w:rPr>
          <w:color w:val="231F20"/>
        </w:rPr>
        <w:t>or</w:t>
      </w:r>
      <w:r>
        <w:rPr>
          <w:color w:val="231F20"/>
          <w:spacing w:val="40"/>
        </w:rPr>
        <w:t> </w:t>
      </w:r>
      <w:r>
        <w:rPr>
          <w:color w:val="231F20"/>
        </w:rPr>
        <w:t>inhibitors</w:t>
      </w:r>
      <w:r>
        <w:rPr>
          <w:color w:val="231F20"/>
          <w:spacing w:val="-2"/>
        </w:rPr>
        <w:t> </w:t>
      </w:r>
      <w:r>
        <w:rPr>
          <w:color w:val="231F20"/>
        </w:rPr>
        <w:t>(e.g.,</w:t>
      </w:r>
      <w:r>
        <w:rPr>
          <w:color w:val="231F20"/>
          <w:spacing w:val="-2"/>
        </w:rPr>
        <w:t> </w:t>
      </w:r>
      <w:r>
        <w:rPr>
          <w:color w:val="231F20"/>
        </w:rPr>
        <w:t>valproic</w:t>
      </w:r>
      <w:r>
        <w:rPr>
          <w:color w:val="231F20"/>
          <w:spacing w:val="-2"/>
        </w:rPr>
        <w:t> </w:t>
      </w:r>
      <w:r>
        <w:rPr>
          <w:color w:val="231F20"/>
        </w:rPr>
        <w:t>acid)</w:t>
      </w:r>
      <w:r>
        <w:rPr>
          <w:color w:val="231F20"/>
          <w:spacing w:val="-2"/>
        </w:rPr>
        <w:t> </w:t>
      </w:r>
      <w:r>
        <w:rPr>
          <w:color w:val="231F20"/>
        </w:rPr>
        <w:t>that</w:t>
      </w:r>
      <w:r>
        <w:rPr>
          <w:color w:val="231F20"/>
          <w:spacing w:val="-2"/>
        </w:rPr>
        <w:t> </w:t>
      </w:r>
      <w:r>
        <w:rPr>
          <w:color w:val="231F20"/>
        </w:rPr>
        <w:t>could</w:t>
      </w:r>
      <w:r>
        <w:rPr>
          <w:color w:val="231F20"/>
          <w:spacing w:val="-2"/>
        </w:rPr>
        <w:t> </w:t>
      </w:r>
      <w:r>
        <w:rPr>
          <w:color w:val="231F20"/>
        </w:rPr>
        <w:t>affect</w:t>
      </w:r>
      <w:r>
        <w:rPr>
          <w:color w:val="231F20"/>
          <w:spacing w:val="-2"/>
        </w:rPr>
        <w:t> </w:t>
      </w:r>
      <w:r>
        <w:rPr>
          <w:color w:val="231F20"/>
        </w:rPr>
        <w:t>that</w:t>
      </w:r>
      <w:r>
        <w:rPr>
          <w:color w:val="231F20"/>
          <w:spacing w:val="-2"/>
        </w:rPr>
        <w:t> </w:t>
      </w:r>
      <w:r>
        <w:rPr>
          <w:color w:val="231F20"/>
        </w:rPr>
        <w:t>drug</w:t>
      </w:r>
      <w:r>
        <w:rPr>
          <w:color w:val="231F20"/>
          <w:spacing w:val="-2"/>
        </w:rPr>
        <w:t> </w:t>
      </w:r>
      <w:r>
        <w:rPr>
          <w:color w:val="231F20"/>
        </w:rPr>
        <w:t>(as</w:t>
      </w:r>
      <w:r>
        <w:rPr>
          <w:color w:val="231F20"/>
          <w:spacing w:val="-2"/>
        </w:rPr>
        <w:t> </w:t>
      </w:r>
      <w:r>
        <w:rPr>
          <w:color w:val="231F20"/>
        </w:rPr>
        <w:t>indicated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dosing</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table</w:t>
      </w:r>
      <w:r>
        <w:rPr>
          <w:color w:val="231F20"/>
          <w:spacing w:val="-2"/>
        </w:rPr>
        <w:t> </w:t>
      </w:r>
      <w:r>
        <w:rPr>
          <w:color w:val="231F20"/>
        </w:rPr>
        <w:t>and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text).</w:t>
      </w:r>
    </w:p>
    <w:p>
      <w:pPr>
        <w:pStyle w:val="BodyText"/>
        <w:spacing w:line="145" w:lineRule="exact"/>
        <w:ind w:left="953"/>
      </w:pPr>
      <w:r>
        <w:rPr>
          <w:color w:val="231F20"/>
        </w:rPr>
        <w:t>*Usually</w:t>
      </w:r>
      <w:r>
        <w:rPr>
          <w:color w:val="231F20"/>
          <w:spacing w:val="-4"/>
        </w:rPr>
        <w:t> </w:t>
      </w:r>
      <w:r>
        <w:rPr>
          <w:color w:val="231F20"/>
        </w:rPr>
        <w:t>start</w:t>
      </w:r>
      <w:r>
        <w:rPr>
          <w:color w:val="231F20"/>
          <w:spacing w:val="-4"/>
        </w:rPr>
        <w:t> </w:t>
      </w:r>
      <w:r>
        <w:rPr>
          <w:color w:val="231F20"/>
        </w:rPr>
        <w:t>by</w:t>
      </w:r>
      <w:r>
        <w:rPr>
          <w:color w:val="231F20"/>
          <w:spacing w:val="-4"/>
        </w:rPr>
        <w:t> </w:t>
      </w:r>
      <w:r>
        <w:rPr>
          <w:color w:val="231F20"/>
        </w:rPr>
        <w:t>one-fourth</w:t>
      </w:r>
      <w:r>
        <w:rPr>
          <w:color w:val="231F20"/>
          <w:spacing w:val="-4"/>
        </w:rPr>
        <w:t> </w:t>
      </w:r>
      <w:r>
        <w:rPr>
          <w:color w:val="231F20"/>
        </w:rPr>
        <w:t>maintenance</w:t>
      </w:r>
      <w:r>
        <w:rPr>
          <w:color w:val="231F20"/>
          <w:spacing w:val="-3"/>
        </w:rPr>
        <w:t> </w:t>
      </w:r>
      <w:r>
        <w:rPr>
          <w:color w:val="231F20"/>
        </w:rPr>
        <w:t>dose</w:t>
      </w:r>
      <w:r>
        <w:rPr>
          <w:color w:val="231F20"/>
          <w:spacing w:val="-4"/>
        </w:rPr>
        <w:t> </w:t>
      </w:r>
      <w:r>
        <w:rPr>
          <w:color w:val="231F20"/>
        </w:rPr>
        <w:t>and</w:t>
      </w:r>
      <w:r>
        <w:rPr>
          <w:color w:val="231F20"/>
          <w:spacing w:val="-4"/>
        </w:rPr>
        <w:t> </w:t>
      </w:r>
      <w:r>
        <w:rPr>
          <w:color w:val="231F20"/>
        </w:rPr>
        <w:t>increase</w:t>
      </w:r>
      <w:r>
        <w:rPr>
          <w:color w:val="231F20"/>
          <w:spacing w:val="-4"/>
        </w:rPr>
        <w:t> </w:t>
      </w:r>
      <w:r>
        <w:rPr>
          <w:color w:val="231F20"/>
        </w:rPr>
        <w:t>by</w:t>
      </w:r>
      <w:r>
        <w:rPr>
          <w:color w:val="231F20"/>
          <w:spacing w:val="-3"/>
        </w:rPr>
        <w:t> </w:t>
      </w:r>
      <w:r>
        <w:rPr>
          <w:color w:val="231F20"/>
        </w:rPr>
        <w:t>one-fourth</w:t>
      </w:r>
      <w:r>
        <w:rPr>
          <w:color w:val="231F20"/>
          <w:spacing w:val="-4"/>
        </w:rPr>
        <w:t> </w:t>
      </w:r>
      <w:r>
        <w:rPr>
          <w:color w:val="231F20"/>
        </w:rPr>
        <w:t>every</w:t>
      </w:r>
      <w:r>
        <w:rPr>
          <w:color w:val="231F20"/>
          <w:spacing w:val="-4"/>
        </w:rPr>
        <w:t> </w:t>
      </w:r>
      <w:r>
        <w:rPr>
          <w:color w:val="231F20"/>
        </w:rPr>
        <w:t>2-3</w:t>
      </w:r>
      <w:r>
        <w:rPr>
          <w:color w:val="231F20"/>
          <w:spacing w:val="-4"/>
        </w:rPr>
        <w:t> </w:t>
      </w:r>
      <w:r>
        <w:rPr>
          <w:color w:val="231F20"/>
        </w:rPr>
        <w:t>days</w:t>
      </w:r>
      <w:r>
        <w:rPr>
          <w:color w:val="231F20"/>
          <w:spacing w:val="-3"/>
        </w:rPr>
        <w:t> </w:t>
      </w:r>
      <w:r>
        <w:rPr>
          <w:color w:val="231F20"/>
        </w:rPr>
        <w:t>to</w:t>
      </w:r>
      <w:r>
        <w:rPr>
          <w:color w:val="231F20"/>
          <w:spacing w:val="-4"/>
        </w:rPr>
        <w:t> </w:t>
      </w:r>
      <w:r>
        <w:rPr>
          <w:color w:val="231F20"/>
        </w:rPr>
        <w:t>full</w:t>
      </w:r>
      <w:r>
        <w:rPr>
          <w:color w:val="231F20"/>
          <w:spacing w:val="-4"/>
        </w:rPr>
        <w:t> </w:t>
      </w:r>
      <w:r>
        <w:rPr>
          <w:color w:val="231F20"/>
          <w:spacing w:val="-2"/>
        </w:rPr>
        <w:t>dose.</w:t>
      </w:r>
    </w:p>
    <w:p>
      <w:pPr>
        <w:pStyle w:val="BodyText"/>
        <w:spacing w:line="149" w:lineRule="exact"/>
        <w:ind w:left="953"/>
      </w:pPr>
      <w:r>
        <w:rPr>
          <w:color w:val="231F20"/>
          <w:vertAlign w:val="superscript"/>
        </w:rPr>
        <w:t>†</w:t>
      </w:r>
      <w:r>
        <w:rPr>
          <w:color w:val="231F20"/>
          <w:vertAlign w:val="baseline"/>
        </w:rPr>
        <w:t>Usually</w:t>
      </w:r>
      <w:r>
        <w:rPr>
          <w:color w:val="231F20"/>
          <w:spacing w:val="-6"/>
          <w:vertAlign w:val="baseline"/>
        </w:rPr>
        <w:t> </w:t>
      </w:r>
      <w:r>
        <w:rPr>
          <w:color w:val="231F20"/>
          <w:vertAlign w:val="baseline"/>
        </w:rPr>
        <w:t>start</w:t>
      </w:r>
      <w:r>
        <w:rPr>
          <w:color w:val="231F20"/>
          <w:spacing w:val="-5"/>
          <w:vertAlign w:val="baseline"/>
        </w:rPr>
        <w:t> </w:t>
      </w:r>
      <w:r>
        <w:rPr>
          <w:color w:val="231F20"/>
          <w:vertAlign w:val="baseline"/>
        </w:rPr>
        <w:t>with</w:t>
      </w:r>
      <w:r>
        <w:rPr>
          <w:color w:val="231F20"/>
          <w:spacing w:val="-6"/>
          <w:vertAlign w:val="baseline"/>
        </w:rPr>
        <w:t> </w:t>
      </w:r>
      <w:r>
        <w:rPr>
          <w:color w:val="231F20"/>
          <w:vertAlign w:val="baseline"/>
        </w:rPr>
        <w:t>one-fourth</w:t>
      </w:r>
      <w:r>
        <w:rPr>
          <w:color w:val="231F20"/>
          <w:spacing w:val="-5"/>
          <w:vertAlign w:val="baseline"/>
        </w:rPr>
        <w:t> </w:t>
      </w:r>
      <w:r>
        <w:rPr>
          <w:color w:val="231F20"/>
          <w:vertAlign w:val="baseline"/>
        </w:rPr>
        <w:t>maintenance</w:t>
      </w:r>
      <w:r>
        <w:rPr>
          <w:color w:val="231F20"/>
          <w:spacing w:val="-6"/>
          <w:vertAlign w:val="baseline"/>
        </w:rPr>
        <w:t> </w:t>
      </w:r>
      <w:r>
        <w:rPr>
          <w:color w:val="231F20"/>
          <w:vertAlign w:val="baseline"/>
        </w:rPr>
        <w:t>dose</w:t>
      </w:r>
      <w:r>
        <w:rPr>
          <w:color w:val="231F20"/>
          <w:spacing w:val="-5"/>
          <w:vertAlign w:val="baseline"/>
        </w:rPr>
        <w:t> </w:t>
      </w:r>
      <w:r>
        <w:rPr>
          <w:color w:val="231F20"/>
          <w:vertAlign w:val="baseline"/>
        </w:rPr>
        <w:t>and</w:t>
      </w:r>
      <w:r>
        <w:rPr>
          <w:color w:val="231F20"/>
          <w:spacing w:val="-6"/>
          <w:vertAlign w:val="baseline"/>
        </w:rPr>
        <w:t> </w:t>
      </w:r>
      <w:r>
        <w:rPr>
          <w:color w:val="231F20"/>
          <w:vertAlign w:val="baseline"/>
        </w:rPr>
        <w:t>increase</w:t>
      </w:r>
      <w:r>
        <w:rPr>
          <w:color w:val="231F20"/>
          <w:spacing w:val="-5"/>
          <w:vertAlign w:val="baseline"/>
        </w:rPr>
        <w:t> </w:t>
      </w:r>
      <w:r>
        <w:rPr>
          <w:color w:val="231F20"/>
          <w:vertAlign w:val="baseline"/>
        </w:rPr>
        <w:t>by</w:t>
      </w:r>
      <w:r>
        <w:rPr>
          <w:color w:val="231F20"/>
          <w:spacing w:val="-6"/>
          <w:vertAlign w:val="baseline"/>
        </w:rPr>
        <w:t> </w:t>
      </w:r>
      <w:r>
        <w:rPr>
          <w:color w:val="231F20"/>
          <w:vertAlign w:val="baseline"/>
        </w:rPr>
        <w:t>one-fourth</w:t>
      </w:r>
      <w:r>
        <w:rPr>
          <w:color w:val="231F20"/>
          <w:spacing w:val="-5"/>
          <w:vertAlign w:val="baseline"/>
        </w:rPr>
        <w:t> </w:t>
      </w:r>
      <w:r>
        <w:rPr>
          <w:color w:val="231F20"/>
          <w:vertAlign w:val="baseline"/>
        </w:rPr>
        <w:t>every</w:t>
      </w:r>
      <w:r>
        <w:rPr>
          <w:color w:val="231F20"/>
          <w:spacing w:val="-6"/>
          <w:vertAlign w:val="baseline"/>
        </w:rPr>
        <w:t> </w:t>
      </w:r>
      <w:r>
        <w:rPr>
          <w:color w:val="231F20"/>
          <w:vertAlign w:val="baseline"/>
        </w:rPr>
        <w:t>7</w:t>
      </w:r>
      <w:r>
        <w:rPr>
          <w:color w:val="231F20"/>
          <w:spacing w:val="-5"/>
          <w:vertAlign w:val="baseline"/>
        </w:rPr>
        <w:t> </w:t>
      </w:r>
      <w:r>
        <w:rPr>
          <w:color w:val="231F20"/>
          <w:vertAlign w:val="baseline"/>
        </w:rPr>
        <w:t>days</w:t>
      </w:r>
      <w:r>
        <w:rPr>
          <w:color w:val="231F20"/>
          <w:spacing w:val="-6"/>
          <w:vertAlign w:val="baseline"/>
        </w:rPr>
        <w:t> </w:t>
      </w:r>
      <w:r>
        <w:rPr>
          <w:color w:val="231F20"/>
          <w:vertAlign w:val="baseline"/>
        </w:rPr>
        <w:t>to</w:t>
      </w:r>
      <w:r>
        <w:rPr>
          <w:color w:val="231F20"/>
          <w:spacing w:val="-5"/>
          <w:vertAlign w:val="baseline"/>
        </w:rPr>
        <w:t> </w:t>
      </w:r>
      <w:r>
        <w:rPr>
          <w:color w:val="231F20"/>
          <w:vertAlign w:val="baseline"/>
        </w:rPr>
        <w:t>full</w:t>
      </w:r>
      <w:r>
        <w:rPr>
          <w:color w:val="231F20"/>
          <w:spacing w:val="-5"/>
          <w:vertAlign w:val="baseline"/>
        </w:rPr>
        <w:t> </w:t>
      </w:r>
      <w:r>
        <w:rPr>
          <w:color w:val="231F20"/>
          <w:spacing w:val="-2"/>
          <w:vertAlign w:val="baseline"/>
        </w:rPr>
        <w:t>dose.</w:t>
      </w:r>
    </w:p>
    <w:p>
      <w:pPr>
        <w:pStyle w:val="BodyText"/>
        <w:spacing w:line="149" w:lineRule="exact"/>
        <w:ind w:left="953"/>
      </w:pPr>
      <w:r>
        <w:rPr>
          <w:color w:val="231F20"/>
          <w:vertAlign w:val="superscript"/>
        </w:rPr>
        <w:t>‡</w:t>
      </w:r>
      <w:r>
        <w:rPr>
          <w:color w:val="231F20"/>
          <w:vertAlign w:val="baseline"/>
        </w:rPr>
        <w:t>Usually</w:t>
      </w:r>
      <w:r>
        <w:rPr>
          <w:color w:val="231F20"/>
          <w:spacing w:val="-7"/>
          <w:vertAlign w:val="baseline"/>
        </w:rPr>
        <w:t> </w:t>
      </w:r>
      <w:r>
        <w:rPr>
          <w:color w:val="231F20"/>
          <w:vertAlign w:val="baseline"/>
        </w:rPr>
        <w:t>start</w:t>
      </w:r>
      <w:r>
        <w:rPr>
          <w:color w:val="231F20"/>
          <w:spacing w:val="-6"/>
          <w:vertAlign w:val="baseline"/>
        </w:rPr>
        <w:t> </w:t>
      </w:r>
      <w:r>
        <w:rPr>
          <w:color w:val="231F20"/>
          <w:vertAlign w:val="baseline"/>
        </w:rPr>
        <w:t>with</w:t>
      </w:r>
      <w:r>
        <w:rPr>
          <w:color w:val="231F20"/>
          <w:spacing w:val="-6"/>
          <w:vertAlign w:val="baseline"/>
        </w:rPr>
        <w:t> </w:t>
      </w:r>
      <w:r>
        <w:rPr>
          <w:color w:val="231F20"/>
          <w:vertAlign w:val="baseline"/>
        </w:rPr>
        <w:t>one-fourth</w:t>
      </w:r>
      <w:r>
        <w:rPr>
          <w:color w:val="231F20"/>
          <w:spacing w:val="-6"/>
          <w:vertAlign w:val="baseline"/>
        </w:rPr>
        <w:t> </w:t>
      </w:r>
      <w:r>
        <w:rPr>
          <w:color w:val="231F20"/>
          <w:vertAlign w:val="baseline"/>
        </w:rPr>
        <w:t>maintenance</w:t>
      </w:r>
      <w:r>
        <w:rPr>
          <w:color w:val="231F20"/>
          <w:spacing w:val="-6"/>
          <w:vertAlign w:val="baseline"/>
        </w:rPr>
        <w:t> </w:t>
      </w:r>
      <w:r>
        <w:rPr>
          <w:color w:val="231F20"/>
          <w:vertAlign w:val="baseline"/>
        </w:rPr>
        <w:t>dose</w:t>
      </w:r>
      <w:r>
        <w:rPr>
          <w:color w:val="231F20"/>
          <w:spacing w:val="-6"/>
          <w:vertAlign w:val="baseline"/>
        </w:rPr>
        <w:t> </w:t>
      </w:r>
      <w:r>
        <w:rPr>
          <w:color w:val="231F20"/>
          <w:vertAlign w:val="baseline"/>
        </w:rPr>
        <w:t>and</w:t>
      </w:r>
      <w:r>
        <w:rPr>
          <w:color w:val="231F20"/>
          <w:spacing w:val="-6"/>
          <w:vertAlign w:val="baseline"/>
        </w:rPr>
        <w:t> </w:t>
      </w:r>
      <w:r>
        <w:rPr>
          <w:color w:val="231F20"/>
          <w:vertAlign w:val="baseline"/>
        </w:rPr>
        <w:t>increase</w:t>
      </w:r>
      <w:r>
        <w:rPr>
          <w:color w:val="231F20"/>
          <w:spacing w:val="-6"/>
          <w:vertAlign w:val="baseline"/>
        </w:rPr>
        <w:t> </w:t>
      </w:r>
      <w:r>
        <w:rPr>
          <w:color w:val="231F20"/>
          <w:vertAlign w:val="baseline"/>
        </w:rPr>
        <w:t>by</w:t>
      </w:r>
      <w:r>
        <w:rPr>
          <w:color w:val="231F20"/>
          <w:spacing w:val="-6"/>
          <w:vertAlign w:val="baseline"/>
        </w:rPr>
        <w:t> </w:t>
      </w:r>
      <w:r>
        <w:rPr>
          <w:color w:val="231F20"/>
          <w:vertAlign w:val="baseline"/>
        </w:rPr>
        <w:t>one-fourth</w:t>
      </w:r>
      <w:r>
        <w:rPr>
          <w:color w:val="231F20"/>
          <w:spacing w:val="-6"/>
          <w:vertAlign w:val="baseline"/>
        </w:rPr>
        <w:t> </w:t>
      </w:r>
      <w:r>
        <w:rPr>
          <w:color w:val="231F20"/>
          <w:vertAlign w:val="baseline"/>
        </w:rPr>
        <w:t>every</w:t>
      </w:r>
      <w:r>
        <w:rPr>
          <w:color w:val="231F20"/>
          <w:spacing w:val="-7"/>
          <w:vertAlign w:val="baseline"/>
        </w:rPr>
        <w:t> </w:t>
      </w:r>
      <w:r>
        <w:rPr>
          <w:color w:val="231F20"/>
          <w:vertAlign w:val="baseline"/>
        </w:rPr>
        <w:t>day</w:t>
      </w:r>
      <w:r>
        <w:rPr>
          <w:color w:val="231F20"/>
          <w:spacing w:val="-6"/>
          <w:vertAlign w:val="baseline"/>
        </w:rPr>
        <w:t> </w:t>
      </w:r>
      <w:r>
        <w:rPr>
          <w:color w:val="231F20"/>
          <w:vertAlign w:val="baseline"/>
        </w:rPr>
        <w:t>to</w:t>
      </w:r>
      <w:r>
        <w:rPr>
          <w:color w:val="231F20"/>
          <w:spacing w:val="-6"/>
          <w:vertAlign w:val="baseline"/>
        </w:rPr>
        <w:t> </w:t>
      </w:r>
      <w:r>
        <w:rPr>
          <w:color w:val="231F20"/>
          <w:vertAlign w:val="baseline"/>
        </w:rPr>
        <w:t>full</w:t>
      </w:r>
      <w:r>
        <w:rPr>
          <w:color w:val="231F20"/>
          <w:spacing w:val="-6"/>
          <w:vertAlign w:val="baseline"/>
        </w:rPr>
        <w:t> </w:t>
      </w:r>
      <w:r>
        <w:rPr>
          <w:color w:val="231F20"/>
          <w:spacing w:val="-2"/>
          <w:vertAlign w:val="baseline"/>
        </w:rPr>
        <w:t>dose.</w:t>
      </w:r>
    </w:p>
    <w:p>
      <w:pPr>
        <w:pStyle w:val="BodyText"/>
        <w:spacing w:line="149" w:lineRule="exact"/>
        <w:ind w:left="953"/>
      </w:pPr>
      <w:r>
        <w:rPr>
          <w:color w:val="231F20"/>
          <w:vertAlign w:val="superscript"/>
        </w:rPr>
        <w:t>§</w:t>
      </w:r>
      <w:r>
        <w:rPr>
          <w:color w:val="231F20"/>
          <w:vertAlign w:val="baseline"/>
        </w:rPr>
        <w:t>Child</w:t>
      </w:r>
      <w:r>
        <w:rPr>
          <w:color w:val="231F20"/>
          <w:spacing w:val="6"/>
          <w:vertAlign w:val="baseline"/>
        </w:rPr>
        <w:t> </w:t>
      </w:r>
      <w:r>
        <w:rPr>
          <w:color w:val="231F20"/>
          <w:vertAlign w:val="baseline"/>
        </w:rPr>
        <w:t>on</w:t>
      </w:r>
      <w:r>
        <w:rPr>
          <w:color w:val="231F20"/>
          <w:spacing w:val="7"/>
          <w:vertAlign w:val="baseline"/>
        </w:rPr>
        <w:t> </w:t>
      </w:r>
      <w:r>
        <w:rPr>
          <w:color w:val="231F20"/>
          <w:vertAlign w:val="baseline"/>
        </w:rPr>
        <w:t>enzyme</w:t>
      </w:r>
      <w:r>
        <w:rPr>
          <w:color w:val="231F20"/>
          <w:spacing w:val="6"/>
          <w:vertAlign w:val="baseline"/>
        </w:rPr>
        <w:t> </w:t>
      </w:r>
      <w:r>
        <w:rPr>
          <w:color w:val="231F20"/>
          <w:spacing w:val="-2"/>
          <w:vertAlign w:val="baseline"/>
        </w:rPr>
        <w:t>inducers.</w:t>
      </w:r>
    </w:p>
    <w:p>
      <w:pPr>
        <w:pStyle w:val="BodyText"/>
        <w:spacing w:line="149" w:lineRule="exact"/>
        <w:ind w:left="963"/>
      </w:pPr>
      <w:r>
        <w:rPr>
          <w:position w:val="4"/>
        </w:rPr>
        <w:drawing>
          <wp:inline distT="0" distB="0" distL="0" distR="0">
            <wp:extent cx="15874" cy="44449"/>
            <wp:effectExtent l="0" t="0" r="0" b="0"/>
            <wp:docPr id="636" name="Image 636"/>
            <wp:cNvGraphicFramePr>
              <a:graphicFrameLocks/>
            </wp:cNvGraphicFramePr>
            <a:graphic>
              <a:graphicData uri="http://schemas.openxmlformats.org/drawingml/2006/picture">
                <pic:pic>
                  <pic:nvPicPr>
                    <pic:cNvPr id="636" name="Image 636"/>
                    <pic:cNvPicPr/>
                  </pic:nvPicPr>
                  <pic:blipFill>
                    <a:blip r:embed="rId295" cstate="print"/>
                    <a:stretch>
                      <a:fillRect/>
                    </a:stretch>
                  </pic:blipFill>
                  <pic:spPr>
                    <a:xfrm>
                      <a:off x="0" y="0"/>
                      <a:ext cx="15874" cy="44449"/>
                    </a:xfrm>
                    <a:prstGeom prst="rect">
                      <a:avLst/>
                    </a:prstGeom>
                  </pic:spPr>
                </pic:pic>
              </a:graphicData>
            </a:graphic>
          </wp:inline>
        </w:drawing>
      </w:r>
      <w:r>
        <w:rPr>
          <w:position w:val="4"/>
        </w:rPr>
      </w:r>
      <w:r>
        <w:rPr>
          <w:color w:val="231F20"/>
        </w:rPr>
        <w:t>Available</w:t>
      </w:r>
      <w:r>
        <w:rPr>
          <w:color w:val="231F20"/>
          <w:spacing w:val="6"/>
        </w:rPr>
        <w:t> </w:t>
      </w:r>
      <w:r>
        <w:rPr>
          <w:color w:val="231F20"/>
        </w:rPr>
        <w:t>in</w:t>
      </w:r>
      <w:r>
        <w:rPr>
          <w:color w:val="231F20"/>
          <w:spacing w:val="6"/>
        </w:rPr>
        <w:t> </w:t>
      </w:r>
      <w:r>
        <w:rPr>
          <w:color w:val="231F20"/>
        </w:rPr>
        <w:t>some</w:t>
      </w:r>
      <w:r>
        <w:rPr>
          <w:color w:val="231F20"/>
          <w:spacing w:val="7"/>
        </w:rPr>
        <w:t> </w:t>
      </w:r>
      <w:r>
        <w:rPr>
          <w:color w:val="231F20"/>
        </w:rPr>
        <w:t>European</w:t>
      </w:r>
      <w:r>
        <w:rPr>
          <w:color w:val="231F20"/>
          <w:spacing w:val="6"/>
        </w:rPr>
        <w:t> </w:t>
      </w:r>
      <w:r>
        <w:rPr>
          <w:color w:val="231F20"/>
          <w:spacing w:val="-2"/>
        </w:rPr>
        <w:t>countries.</w:t>
      </w:r>
    </w:p>
    <w:p>
      <w:pPr>
        <w:pStyle w:val="BodyText"/>
        <w:spacing w:line="149" w:lineRule="exact"/>
        <w:ind w:left="953"/>
      </w:pPr>
      <w:r>
        <w:rPr>
          <w:color w:val="231F20"/>
          <w:vertAlign w:val="superscript"/>
        </w:rPr>
        <w:t>¶</w:t>
      </w:r>
      <w:r>
        <w:rPr>
          <w:color w:val="231F20"/>
          <w:vertAlign w:val="baseline"/>
        </w:rPr>
        <w:t>Child</w:t>
      </w:r>
      <w:r>
        <w:rPr>
          <w:color w:val="231F20"/>
          <w:spacing w:val="11"/>
          <w:vertAlign w:val="baseline"/>
        </w:rPr>
        <w:t> </w:t>
      </w:r>
      <w:r>
        <w:rPr>
          <w:color w:val="231F20"/>
          <w:vertAlign w:val="baseline"/>
        </w:rPr>
        <w:t>on</w:t>
      </w:r>
      <w:r>
        <w:rPr>
          <w:color w:val="231F20"/>
          <w:spacing w:val="12"/>
          <w:vertAlign w:val="baseline"/>
        </w:rPr>
        <w:t> </w:t>
      </w:r>
      <w:r>
        <w:rPr>
          <w:color w:val="231F20"/>
          <w:spacing w:val="-2"/>
          <w:vertAlign w:val="baseline"/>
        </w:rPr>
        <w:t>valproate.</w:t>
      </w:r>
    </w:p>
    <w:p>
      <w:pPr>
        <w:pStyle w:val="BodyText"/>
        <w:ind w:left="822" w:right="446" w:firstLine="130"/>
      </w:pPr>
      <w:r>
        <w:rPr>
          <w:color w:val="231F20"/>
        </w:rPr>
        <w:t>cap,</w:t>
      </w:r>
      <w:r>
        <w:rPr>
          <w:color w:val="231F20"/>
          <w:spacing w:val="-3"/>
        </w:rPr>
        <w:t> </w:t>
      </w:r>
      <w:r>
        <w:rPr>
          <w:color w:val="231F20"/>
        </w:rPr>
        <w:t>capsule;</w:t>
      </w:r>
      <w:r>
        <w:rPr>
          <w:color w:val="231F20"/>
          <w:spacing w:val="-3"/>
        </w:rPr>
        <w:t> </w:t>
      </w:r>
      <w:r>
        <w:rPr>
          <w:color w:val="231F20"/>
        </w:rPr>
        <w:t>ER,</w:t>
      </w:r>
      <w:r>
        <w:rPr>
          <w:color w:val="231F20"/>
          <w:spacing w:val="-3"/>
        </w:rPr>
        <w:t> </w:t>
      </w:r>
      <w:r>
        <w:rPr>
          <w:color w:val="231F20"/>
        </w:rPr>
        <w:t>extended</w:t>
      </w:r>
      <w:r>
        <w:rPr>
          <w:color w:val="231F20"/>
          <w:spacing w:val="-3"/>
        </w:rPr>
        <w:t> </w:t>
      </w:r>
      <w:r>
        <w:rPr>
          <w:color w:val="231F20"/>
        </w:rPr>
        <w:t>release;</w:t>
      </w:r>
      <w:r>
        <w:rPr>
          <w:color w:val="231F20"/>
          <w:spacing w:val="-3"/>
        </w:rPr>
        <w:t> </w:t>
      </w:r>
      <w:r>
        <w:rPr>
          <w:color w:val="231F20"/>
        </w:rPr>
        <w:t>GTC,</w:t>
      </w:r>
      <w:r>
        <w:rPr>
          <w:color w:val="231F20"/>
          <w:spacing w:val="-3"/>
        </w:rPr>
        <w:t> </w:t>
      </w:r>
      <w:r>
        <w:rPr>
          <w:color w:val="231F20"/>
        </w:rPr>
        <w:t>generalized</w:t>
      </w:r>
      <w:r>
        <w:rPr>
          <w:color w:val="231F20"/>
          <w:spacing w:val="-3"/>
        </w:rPr>
        <w:t> </w:t>
      </w:r>
      <w:r>
        <w:rPr>
          <w:color w:val="231F20"/>
        </w:rPr>
        <w:t>tonic–clonic;</w:t>
      </w:r>
      <w:r>
        <w:rPr>
          <w:color w:val="231F20"/>
          <w:spacing w:val="-3"/>
        </w:rPr>
        <w:t> </w:t>
      </w:r>
      <w:r>
        <w:rPr>
          <w:color w:val="231F20"/>
        </w:rPr>
        <w:t>LGS,</w:t>
      </w:r>
      <w:r>
        <w:rPr>
          <w:color w:val="231F20"/>
          <w:spacing w:val="-3"/>
        </w:rPr>
        <w:t> </w:t>
      </w:r>
      <w:r>
        <w:rPr>
          <w:color w:val="231F20"/>
        </w:rPr>
        <w:t>Lennox-Gastaut</w:t>
      </w:r>
      <w:r>
        <w:rPr>
          <w:color w:val="231F20"/>
          <w:spacing w:val="-3"/>
        </w:rPr>
        <w:t> </w:t>
      </w:r>
      <w:r>
        <w:rPr>
          <w:color w:val="231F20"/>
        </w:rPr>
        <w:t>syndrome;</w:t>
      </w:r>
      <w:r>
        <w:rPr>
          <w:color w:val="231F20"/>
          <w:spacing w:val="-3"/>
        </w:rPr>
        <w:t> </w:t>
      </w:r>
      <w:r>
        <w:rPr>
          <w:color w:val="231F20"/>
        </w:rPr>
        <w:t>ODT,</w:t>
      </w:r>
      <w:r>
        <w:rPr>
          <w:color w:val="231F20"/>
          <w:spacing w:val="-3"/>
        </w:rPr>
        <w:t> </w:t>
      </w:r>
      <w:r>
        <w:rPr>
          <w:color w:val="231F20"/>
        </w:rPr>
        <w:t>orally</w:t>
      </w:r>
      <w:r>
        <w:rPr>
          <w:color w:val="231F20"/>
          <w:spacing w:val="-3"/>
        </w:rPr>
        <w:t> </w:t>
      </w:r>
      <w:r>
        <w:rPr>
          <w:color w:val="231F20"/>
        </w:rPr>
        <w:t>disintegrating</w:t>
      </w:r>
      <w:r>
        <w:rPr>
          <w:color w:val="231F20"/>
          <w:spacing w:val="-3"/>
        </w:rPr>
        <w:t> </w:t>
      </w:r>
      <w:r>
        <w:rPr>
          <w:color w:val="231F20"/>
        </w:rPr>
        <w:t>tablet;</w:t>
      </w:r>
      <w:r>
        <w:rPr>
          <w:color w:val="231F20"/>
          <w:spacing w:val="-3"/>
        </w:rPr>
        <w:t> </w:t>
      </w:r>
      <w:r>
        <w:rPr>
          <w:color w:val="231F20"/>
        </w:rPr>
        <w:t>soln,</w:t>
      </w:r>
      <w:r>
        <w:rPr>
          <w:color w:val="231F20"/>
          <w:spacing w:val="-3"/>
        </w:rPr>
        <w:t> </w:t>
      </w:r>
      <w:r>
        <w:rPr>
          <w:color w:val="231F20"/>
        </w:rPr>
        <w:t>solution;</w:t>
      </w:r>
      <w:r>
        <w:rPr>
          <w:color w:val="231F20"/>
          <w:spacing w:val="-3"/>
        </w:rPr>
        <w:t> </w:t>
      </w:r>
      <w:r>
        <w:rPr>
          <w:color w:val="231F20"/>
        </w:rPr>
        <w:t>SR,</w:t>
      </w:r>
      <w:r>
        <w:rPr>
          <w:color w:val="231F20"/>
          <w:spacing w:val="-3"/>
        </w:rPr>
        <w:t> </w:t>
      </w:r>
      <w:r>
        <w:rPr>
          <w:color w:val="231F20"/>
        </w:rPr>
        <w:t>sustained</w:t>
      </w:r>
      <w:r>
        <w:rPr>
          <w:color w:val="231F20"/>
          <w:spacing w:val="40"/>
        </w:rPr>
        <w:t> </w:t>
      </w:r>
      <w:r>
        <w:rPr>
          <w:color w:val="231F20"/>
        </w:rPr>
        <w:t>release; susp, suspension; sz, seizure(s); tab, tablet.</w:t>
      </w:r>
    </w:p>
    <w:p>
      <w:pPr>
        <w:pStyle w:val="BodyText"/>
        <w:spacing w:after="0"/>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37" name="Group 637"/>
                <wp:cNvGraphicFramePr>
                  <a:graphicFrameLocks/>
                </wp:cNvGraphicFramePr>
                <a:graphic>
                  <a:graphicData uri="http://schemas.microsoft.com/office/word/2010/wordprocessingGroup">
                    <wpg:wgp>
                      <wpg:cNvPr id="637" name="Group 637"/>
                      <wpg:cNvGrpSpPr/>
                      <wpg:grpSpPr>
                        <a:xfrm>
                          <a:off x="0" y="0"/>
                          <a:ext cx="6185535" cy="170815"/>
                          <a:chExt cx="6185535" cy="170815"/>
                        </a:xfrm>
                      </wpg:grpSpPr>
                      <wps:wsp>
                        <wps:cNvPr id="638" name="Graphic 638"/>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39" name="Graphic 639"/>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40" name="Textbox 640"/>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2846</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49"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50" filled="false" stroked="false">
                  <v:textbox inset="0,0,0,0">
                    <w:txbxContent>
                      <w:p>
                        <w:pPr>
                          <w:spacing w:before="6"/>
                          <w:ind w:left="-1" w:right="0" w:firstLine="0"/>
                          <w:jc w:val="left"/>
                          <w:rPr>
                            <w:sz w:val="18"/>
                          </w:rPr>
                        </w:pPr>
                        <w:r>
                          <w:rPr>
                            <w:b/>
                            <w:color w:val="231F20"/>
                            <w:w w:val="105"/>
                            <w:sz w:val="18"/>
                          </w:rPr>
                          <w:t>2846</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4"/>
        <w:gridCol w:w="7977"/>
      </w:tblGrid>
      <w:tr>
        <w:trPr>
          <w:trHeight w:val="354" w:hRule="atLeast"/>
        </w:trPr>
        <w:tc>
          <w:tcPr>
            <w:tcW w:w="1764" w:type="dxa"/>
            <w:shd w:val="clear" w:color="auto" w:fill="231F20"/>
          </w:tcPr>
          <w:p>
            <w:pPr>
              <w:pStyle w:val="TableParagraph"/>
              <w:spacing w:before="89"/>
              <w:ind w:left="111"/>
              <w:rPr>
                <w:sz w:val="16"/>
              </w:rPr>
            </w:pPr>
            <w:r>
              <w:rPr>
                <w:b/>
                <w:color w:val="FFFFFF"/>
                <w:w w:val="105"/>
                <w:sz w:val="16"/>
              </w:rPr>
              <w:t>Table</w:t>
            </w:r>
            <w:r>
              <w:rPr>
                <w:b/>
                <w:color w:val="FFFFFF"/>
                <w:spacing w:val="-10"/>
                <w:w w:val="105"/>
                <w:sz w:val="16"/>
              </w:rPr>
              <w:t> </w:t>
            </w:r>
            <w:r>
              <w:rPr>
                <w:b/>
                <w:color w:val="FFFFFF"/>
                <w:w w:val="105"/>
                <w:sz w:val="16"/>
              </w:rPr>
              <w:t>593-14</w:t>
            </w:r>
            <w:r>
              <w:rPr>
                <w:b/>
                <w:color w:val="FFFFFF"/>
                <w:spacing w:val="29"/>
                <w:w w:val="105"/>
                <w:sz w:val="16"/>
              </w:rPr>
              <w:t>  </w:t>
            </w:r>
            <w:r>
              <w:rPr>
                <w:color w:val="FFFFFF"/>
                <w:spacing w:val="-4"/>
                <w:w w:val="105"/>
                <w:sz w:val="16"/>
              </w:rPr>
              <w:t>Some</w:t>
            </w:r>
          </w:p>
        </w:tc>
        <w:tc>
          <w:tcPr>
            <w:tcW w:w="7977" w:type="dxa"/>
            <w:shd w:val="clear" w:color="auto" w:fill="231F20"/>
          </w:tcPr>
          <w:p>
            <w:pPr>
              <w:pStyle w:val="TableParagraph"/>
              <w:spacing w:before="89"/>
              <w:ind w:left="27"/>
              <w:rPr>
                <w:sz w:val="16"/>
              </w:rPr>
            </w:pPr>
            <w:r>
              <w:rPr>
                <w:color w:val="FFFFFF"/>
                <w:sz w:val="16"/>
              </w:rPr>
              <w:t>Common</w:t>
            </w:r>
            <w:r>
              <w:rPr>
                <w:color w:val="FFFFFF"/>
                <w:spacing w:val="42"/>
                <w:sz w:val="16"/>
              </w:rPr>
              <w:t> </w:t>
            </w:r>
            <w:r>
              <w:rPr>
                <w:color w:val="FFFFFF"/>
                <w:sz w:val="16"/>
              </w:rPr>
              <w:t>Adverse</w:t>
            </w:r>
            <w:r>
              <w:rPr>
                <w:color w:val="FFFFFF"/>
                <w:spacing w:val="43"/>
                <w:sz w:val="16"/>
              </w:rPr>
              <w:t> </w:t>
            </w:r>
            <w:r>
              <w:rPr>
                <w:color w:val="FFFFFF"/>
                <w:sz w:val="16"/>
              </w:rPr>
              <w:t>Effects</w:t>
            </w:r>
            <w:r>
              <w:rPr>
                <w:color w:val="FFFFFF"/>
                <w:spacing w:val="43"/>
                <w:sz w:val="16"/>
              </w:rPr>
              <w:t> </w:t>
            </w:r>
            <w:r>
              <w:rPr>
                <w:color w:val="FFFFFF"/>
                <w:sz w:val="16"/>
              </w:rPr>
              <w:t>of</w:t>
            </w:r>
            <w:r>
              <w:rPr>
                <w:color w:val="FFFFFF"/>
                <w:spacing w:val="43"/>
                <w:sz w:val="16"/>
              </w:rPr>
              <w:t> </w:t>
            </w:r>
            <w:r>
              <w:rPr>
                <w:color w:val="FFFFFF"/>
                <w:sz w:val="16"/>
              </w:rPr>
              <w:t>Antiepileptic</w:t>
            </w:r>
            <w:r>
              <w:rPr>
                <w:color w:val="FFFFFF"/>
                <w:spacing w:val="43"/>
                <w:sz w:val="16"/>
              </w:rPr>
              <w:t> </w:t>
            </w:r>
            <w:r>
              <w:rPr>
                <w:color w:val="FFFFFF"/>
                <w:spacing w:val="-2"/>
                <w:sz w:val="16"/>
              </w:rPr>
              <w:t>Drugs</w:t>
            </w:r>
            <w:r>
              <w:rPr>
                <w:color w:val="0080AC"/>
                <w:spacing w:val="-2"/>
                <w:sz w:val="16"/>
              </w:rPr>
              <w:t>*</w:t>
            </w:r>
          </w:p>
        </w:tc>
      </w:tr>
      <w:tr>
        <w:trPr>
          <w:trHeight w:val="276" w:hRule="atLeast"/>
        </w:trPr>
        <w:tc>
          <w:tcPr>
            <w:tcW w:w="1764" w:type="dxa"/>
            <w:tcBorders>
              <w:bottom w:val="single" w:sz="4" w:space="0" w:color="231F20"/>
            </w:tcBorders>
            <w:shd w:val="clear" w:color="auto" w:fill="E8F5F1"/>
          </w:tcPr>
          <w:p>
            <w:pPr>
              <w:pStyle w:val="TableParagraph"/>
              <w:spacing w:before="66"/>
              <w:ind w:left="74"/>
              <w:rPr>
                <w:b/>
                <w:sz w:val="15"/>
              </w:rPr>
            </w:pPr>
            <w:r>
              <w:rPr>
                <w:b/>
                <w:color w:val="231F20"/>
                <w:w w:val="105"/>
                <w:sz w:val="15"/>
              </w:rPr>
              <w:t>ANTIEPILEPTIC</w:t>
            </w:r>
            <w:r>
              <w:rPr>
                <w:b/>
                <w:color w:val="231F20"/>
                <w:spacing w:val="12"/>
                <w:w w:val="110"/>
                <w:sz w:val="15"/>
              </w:rPr>
              <w:t> </w:t>
            </w:r>
            <w:r>
              <w:rPr>
                <w:b/>
                <w:color w:val="231F20"/>
                <w:spacing w:val="-4"/>
                <w:w w:val="110"/>
                <w:sz w:val="15"/>
              </w:rPr>
              <w:t>DRUG</w:t>
            </w:r>
          </w:p>
        </w:tc>
        <w:tc>
          <w:tcPr>
            <w:tcW w:w="7977" w:type="dxa"/>
            <w:tcBorders>
              <w:bottom w:val="single" w:sz="4" w:space="0" w:color="231F20"/>
            </w:tcBorders>
            <w:shd w:val="clear" w:color="auto" w:fill="E8F5F1"/>
          </w:tcPr>
          <w:p>
            <w:pPr>
              <w:pStyle w:val="TableParagraph"/>
              <w:spacing w:before="66"/>
              <w:ind w:left="301"/>
              <w:jc w:val="center"/>
              <w:rPr>
                <w:b/>
                <w:sz w:val="15"/>
              </w:rPr>
            </w:pPr>
            <w:r>
              <w:rPr>
                <w:b/>
                <w:color w:val="231F20"/>
                <w:w w:val="105"/>
                <w:sz w:val="15"/>
              </w:rPr>
              <w:t>SIDE</w:t>
            </w:r>
            <w:r>
              <w:rPr>
                <w:b/>
                <w:color w:val="231F20"/>
                <w:spacing w:val="25"/>
                <w:w w:val="105"/>
                <w:sz w:val="15"/>
              </w:rPr>
              <w:t> </w:t>
            </w:r>
            <w:r>
              <w:rPr>
                <w:b/>
                <w:color w:val="231F20"/>
                <w:spacing w:val="-2"/>
                <w:w w:val="105"/>
                <w:sz w:val="15"/>
              </w:rPr>
              <w:t>EFFECT(S)</w:t>
            </w:r>
          </w:p>
        </w:tc>
      </w:tr>
      <w:tr>
        <w:trPr>
          <w:trHeight w:val="425" w:hRule="atLeast"/>
        </w:trPr>
        <w:tc>
          <w:tcPr>
            <w:tcW w:w="1764"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Acetazolamide</w:t>
            </w:r>
          </w:p>
        </w:tc>
        <w:tc>
          <w:tcPr>
            <w:tcW w:w="7977" w:type="dxa"/>
            <w:tcBorders>
              <w:top w:val="single" w:sz="4" w:space="0" w:color="231F20"/>
              <w:bottom w:val="single" w:sz="4" w:space="0" w:color="FFFFFF"/>
            </w:tcBorders>
            <w:shd w:val="clear" w:color="auto" w:fill="E8F5F1"/>
          </w:tcPr>
          <w:p>
            <w:pPr>
              <w:pStyle w:val="TableParagraph"/>
              <w:spacing w:line="230" w:lineRule="auto" w:before="52"/>
              <w:ind w:left="377" w:right="3860"/>
              <w:rPr>
                <w:sz w:val="15"/>
              </w:rPr>
            </w:pPr>
            <w:r>
              <w:rPr>
                <w:color w:val="231F20"/>
                <w:spacing w:val="-2"/>
                <w:sz w:val="15"/>
              </w:rPr>
              <w:t>Nuisance:</w:t>
            </w:r>
            <w:r>
              <w:rPr>
                <w:color w:val="231F20"/>
                <w:spacing w:val="-10"/>
                <w:sz w:val="15"/>
              </w:rPr>
              <w:t> </w:t>
            </w:r>
            <w:r>
              <w:rPr>
                <w:color w:val="231F20"/>
                <w:spacing w:val="-2"/>
                <w:sz w:val="15"/>
              </w:rPr>
              <w:t>dizziness,</w:t>
            </w:r>
            <w:r>
              <w:rPr>
                <w:color w:val="231F20"/>
                <w:spacing w:val="-9"/>
                <w:sz w:val="15"/>
              </w:rPr>
              <w:t> </w:t>
            </w:r>
            <w:r>
              <w:rPr>
                <w:color w:val="231F20"/>
                <w:spacing w:val="-2"/>
                <w:sz w:val="15"/>
              </w:rPr>
              <w:t>polyuria,</w:t>
            </w:r>
            <w:r>
              <w:rPr>
                <w:color w:val="231F20"/>
                <w:spacing w:val="-9"/>
                <w:sz w:val="15"/>
              </w:rPr>
              <w:t> </w:t>
            </w:r>
            <w:r>
              <w:rPr>
                <w:color w:val="231F20"/>
                <w:spacing w:val="-2"/>
                <w:sz w:val="15"/>
              </w:rPr>
              <w:t>electrolyte</w:t>
            </w:r>
            <w:r>
              <w:rPr>
                <w:color w:val="231F20"/>
                <w:spacing w:val="-10"/>
                <w:sz w:val="15"/>
              </w:rPr>
              <w:t> </w:t>
            </w:r>
            <w:r>
              <w:rPr>
                <w:color w:val="231F20"/>
                <w:spacing w:val="-2"/>
                <w:sz w:val="15"/>
              </w:rPr>
              <w:t>imbalance </w:t>
            </w:r>
            <w:r>
              <w:rPr>
                <w:color w:val="231F20"/>
                <w:sz w:val="15"/>
              </w:rPr>
              <w:t>Serious: Stevens-Johnson syndrome</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Benzodiazepines</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Pr>
                <w:sz w:val="15"/>
              </w:rPr>
            </w:pPr>
            <w:r>
              <w:rPr>
                <w:color w:val="231F20"/>
                <w:spacing w:val="-2"/>
                <w:sz w:val="15"/>
              </w:rPr>
              <w:t>Nuisance:</w:t>
            </w:r>
            <w:r>
              <w:rPr>
                <w:color w:val="231F20"/>
                <w:spacing w:val="-4"/>
                <w:sz w:val="15"/>
              </w:rPr>
              <w:t> </w:t>
            </w:r>
            <w:r>
              <w:rPr>
                <w:color w:val="231F20"/>
                <w:spacing w:val="-2"/>
                <w:sz w:val="15"/>
              </w:rPr>
              <w:t>dose-related</w:t>
            </w:r>
            <w:r>
              <w:rPr>
                <w:color w:val="231F20"/>
                <w:spacing w:val="-4"/>
                <w:sz w:val="15"/>
              </w:rPr>
              <w:t> </w:t>
            </w:r>
            <w:r>
              <w:rPr>
                <w:color w:val="231F20"/>
                <w:spacing w:val="-2"/>
                <w:sz w:val="15"/>
              </w:rPr>
              <w:t>neurotoxicity</w:t>
            </w:r>
            <w:r>
              <w:rPr>
                <w:color w:val="231F20"/>
                <w:spacing w:val="-4"/>
                <w:sz w:val="15"/>
              </w:rPr>
              <w:t> </w:t>
            </w:r>
            <w:r>
              <w:rPr>
                <w:color w:val="231F20"/>
                <w:spacing w:val="-2"/>
                <w:sz w:val="15"/>
              </w:rPr>
              <w:t>(drowsiness,</w:t>
            </w:r>
            <w:r>
              <w:rPr>
                <w:color w:val="231F20"/>
                <w:spacing w:val="-4"/>
                <w:sz w:val="15"/>
              </w:rPr>
              <w:t> </w:t>
            </w:r>
            <w:r>
              <w:rPr>
                <w:color w:val="231F20"/>
                <w:spacing w:val="-2"/>
                <w:sz w:val="15"/>
              </w:rPr>
              <w:t>sedation,</w:t>
            </w:r>
            <w:r>
              <w:rPr>
                <w:color w:val="231F20"/>
                <w:spacing w:val="-4"/>
                <w:sz w:val="15"/>
              </w:rPr>
              <w:t> </w:t>
            </w:r>
            <w:r>
              <w:rPr>
                <w:color w:val="231F20"/>
                <w:spacing w:val="-2"/>
                <w:sz w:val="15"/>
              </w:rPr>
              <w:t>ataxia),</w:t>
            </w:r>
            <w:r>
              <w:rPr>
                <w:color w:val="231F20"/>
                <w:spacing w:val="-4"/>
                <w:sz w:val="15"/>
              </w:rPr>
              <w:t> </w:t>
            </w:r>
            <w:r>
              <w:rPr>
                <w:color w:val="231F20"/>
                <w:spacing w:val="-2"/>
                <w:sz w:val="15"/>
              </w:rPr>
              <w:t>hyperactivity,</w:t>
            </w:r>
            <w:r>
              <w:rPr>
                <w:color w:val="231F20"/>
                <w:spacing w:val="-4"/>
                <w:sz w:val="15"/>
              </w:rPr>
              <w:t> </w:t>
            </w:r>
            <w:r>
              <w:rPr>
                <w:color w:val="231F20"/>
                <w:spacing w:val="-2"/>
                <w:sz w:val="15"/>
              </w:rPr>
              <w:t>drooling,</w:t>
            </w:r>
            <w:r>
              <w:rPr>
                <w:color w:val="231F20"/>
                <w:spacing w:val="-4"/>
                <w:sz w:val="15"/>
              </w:rPr>
              <w:t> </w:t>
            </w:r>
            <w:r>
              <w:rPr>
                <w:color w:val="231F20"/>
                <w:spacing w:val="-2"/>
                <w:sz w:val="15"/>
              </w:rPr>
              <w:t>increased</w:t>
            </w:r>
            <w:r>
              <w:rPr>
                <w:color w:val="231F20"/>
                <w:spacing w:val="-4"/>
                <w:sz w:val="15"/>
              </w:rPr>
              <w:t> </w:t>
            </w:r>
            <w:r>
              <w:rPr>
                <w:color w:val="231F20"/>
                <w:spacing w:val="-2"/>
                <w:sz w:val="15"/>
              </w:rPr>
              <w:t>secretions </w:t>
            </w:r>
            <w:r>
              <w:rPr>
                <w:color w:val="231F20"/>
                <w:sz w:val="15"/>
              </w:rPr>
              <w:t>Serious: apnea</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Bromide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750"/>
              <w:rPr>
                <w:sz w:val="15"/>
              </w:rPr>
            </w:pPr>
            <w:r>
              <w:rPr>
                <w:color w:val="231F20"/>
                <w:spacing w:val="-2"/>
                <w:sz w:val="15"/>
              </w:rPr>
              <w:t>Nuisance: irritability, spurious hyperchloremia (falsely high chloride owing to </w:t>
            </w:r>
            <w:r>
              <w:rPr>
                <w:color w:val="231F20"/>
                <w:spacing w:val="-2"/>
                <w:sz w:val="15"/>
              </w:rPr>
              <w:t>bromide) </w:t>
            </w:r>
            <w:r>
              <w:rPr>
                <w:color w:val="231F20"/>
                <w:sz w:val="15"/>
              </w:rPr>
              <w:t>Serious: psychosis, rash, toxicity developing slowly owing to the very long half-life</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Carbamazepine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750"/>
              <w:rPr>
                <w:sz w:val="15"/>
              </w:rPr>
            </w:pPr>
            <w:r>
              <w:rPr>
                <w:color w:val="231F20"/>
                <w:sz w:val="15"/>
              </w:rPr>
              <w:t>Nuisance:</w:t>
            </w:r>
            <w:r>
              <w:rPr>
                <w:color w:val="231F20"/>
                <w:spacing w:val="-12"/>
                <w:sz w:val="15"/>
              </w:rPr>
              <w:t> </w:t>
            </w:r>
            <w:r>
              <w:rPr>
                <w:color w:val="231F20"/>
                <w:sz w:val="15"/>
              </w:rPr>
              <w:t>tics,</w:t>
            </w:r>
            <w:r>
              <w:rPr>
                <w:color w:val="231F20"/>
                <w:spacing w:val="-11"/>
                <w:sz w:val="15"/>
              </w:rPr>
              <w:t> </w:t>
            </w:r>
            <w:r>
              <w:rPr>
                <w:color w:val="231F20"/>
                <w:sz w:val="15"/>
              </w:rPr>
              <w:t>transient</w:t>
            </w:r>
            <w:r>
              <w:rPr>
                <w:color w:val="231F20"/>
                <w:spacing w:val="-11"/>
                <w:sz w:val="15"/>
              </w:rPr>
              <w:t> </w:t>
            </w:r>
            <w:r>
              <w:rPr>
                <w:color w:val="231F20"/>
                <w:sz w:val="15"/>
              </w:rPr>
              <w:t>leukopenia;</w:t>
            </w:r>
            <w:r>
              <w:rPr>
                <w:color w:val="231F20"/>
                <w:spacing w:val="-12"/>
                <w:sz w:val="15"/>
              </w:rPr>
              <w:t> </w:t>
            </w:r>
            <w:r>
              <w:rPr>
                <w:color w:val="231F20"/>
                <w:sz w:val="15"/>
              </w:rPr>
              <w:t>hyponatremia,</w:t>
            </w:r>
            <w:r>
              <w:rPr>
                <w:color w:val="231F20"/>
                <w:spacing w:val="-11"/>
                <w:sz w:val="15"/>
              </w:rPr>
              <w:t> </w:t>
            </w:r>
            <w:r>
              <w:rPr>
                <w:color w:val="231F20"/>
                <w:sz w:val="15"/>
              </w:rPr>
              <w:t>weight</w:t>
            </w:r>
            <w:r>
              <w:rPr>
                <w:color w:val="231F20"/>
                <w:spacing w:val="-11"/>
                <w:sz w:val="15"/>
              </w:rPr>
              <w:t> </w:t>
            </w:r>
            <w:r>
              <w:rPr>
                <w:color w:val="231F20"/>
                <w:sz w:val="15"/>
              </w:rPr>
              <w:t>gain,</w:t>
            </w:r>
            <w:r>
              <w:rPr>
                <w:color w:val="231F20"/>
                <w:spacing w:val="-12"/>
                <w:sz w:val="15"/>
              </w:rPr>
              <w:t> </w:t>
            </w:r>
            <w:r>
              <w:rPr>
                <w:color w:val="231F20"/>
                <w:sz w:val="15"/>
              </w:rPr>
              <w:t>nausea;</w:t>
            </w:r>
            <w:r>
              <w:rPr>
                <w:color w:val="231F20"/>
                <w:spacing w:val="-11"/>
                <w:sz w:val="15"/>
              </w:rPr>
              <w:t> </w:t>
            </w:r>
            <w:r>
              <w:rPr>
                <w:color w:val="231F20"/>
                <w:sz w:val="15"/>
              </w:rPr>
              <w:t>dizziness </w:t>
            </w:r>
            <w:r>
              <w:rPr>
                <w:color w:val="231F20"/>
                <w:spacing w:val="-2"/>
                <w:sz w:val="15"/>
              </w:rPr>
              <w:t>Serious:</w:t>
            </w:r>
            <w:r>
              <w:rPr>
                <w:color w:val="231F20"/>
                <w:spacing w:val="5"/>
                <w:sz w:val="15"/>
              </w:rPr>
              <w:t> </w:t>
            </w:r>
            <w:r>
              <w:rPr>
                <w:color w:val="231F20"/>
                <w:spacing w:val="-2"/>
                <w:sz w:val="15"/>
              </w:rPr>
              <w:t>Stevens-Johnson</w:t>
            </w:r>
            <w:r>
              <w:rPr>
                <w:color w:val="231F20"/>
                <w:spacing w:val="6"/>
                <w:sz w:val="15"/>
              </w:rPr>
              <w:t> </w:t>
            </w:r>
            <w:r>
              <w:rPr>
                <w:color w:val="231F20"/>
                <w:spacing w:val="-2"/>
                <w:sz w:val="15"/>
              </w:rPr>
              <w:t>syndrome,</w:t>
            </w:r>
            <w:r>
              <w:rPr>
                <w:color w:val="231F20"/>
                <w:spacing w:val="6"/>
                <w:sz w:val="15"/>
              </w:rPr>
              <w:t> </w:t>
            </w:r>
            <w:r>
              <w:rPr>
                <w:color w:val="231F20"/>
                <w:spacing w:val="-2"/>
                <w:sz w:val="15"/>
              </w:rPr>
              <w:t>agranulocytosis,</w:t>
            </w:r>
            <w:r>
              <w:rPr>
                <w:color w:val="231F20"/>
                <w:spacing w:val="6"/>
                <w:sz w:val="15"/>
              </w:rPr>
              <w:t> </w:t>
            </w:r>
            <w:r>
              <w:rPr>
                <w:color w:val="231F20"/>
                <w:spacing w:val="-2"/>
                <w:sz w:val="15"/>
              </w:rPr>
              <w:t>aplastic</w:t>
            </w:r>
            <w:r>
              <w:rPr>
                <w:color w:val="231F20"/>
                <w:spacing w:val="6"/>
                <w:sz w:val="15"/>
              </w:rPr>
              <w:t> </w:t>
            </w:r>
            <w:r>
              <w:rPr>
                <w:color w:val="231F20"/>
                <w:spacing w:val="-2"/>
                <w:sz w:val="15"/>
              </w:rPr>
              <w:t>anemia,</w:t>
            </w:r>
            <w:r>
              <w:rPr>
                <w:color w:val="231F20"/>
                <w:spacing w:val="6"/>
                <w:sz w:val="15"/>
              </w:rPr>
              <w:t> </w:t>
            </w:r>
            <w:r>
              <w:rPr>
                <w:color w:val="231F20"/>
                <w:spacing w:val="-2"/>
                <w:sz w:val="15"/>
              </w:rPr>
              <w:t>liver</w:t>
            </w:r>
            <w:r>
              <w:rPr>
                <w:color w:val="231F20"/>
                <w:spacing w:val="6"/>
                <w:sz w:val="15"/>
              </w:rPr>
              <w:t> </w:t>
            </w:r>
            <w:r>
              <w:rPr>
                <w:color w:val="231F20"/>
                <w:spacing w:val="-4"/>
                <w:sz w:val="15"/>
              </w:rPr>
              <w:t>toxicity</w:t>
            </w:r>
          </w:p>
        </w:tc>
      </w:tr>
      <w:tr>
        <w:trPr>
          <w:trHeight w:val="756"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Ezogabine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488" w:right="170" w:hanging="112"/>
              <w:rPr>
                <w:sz w:val="15"/>
              </w:rPr>
            </w:pPr>
            <w:r>
              <w:rPr>
                <w:color w:val="231F20"/>
                <w:spacing w:val="-2"/>
                <w:sz w:val="15"/>
              </w:rPr>
              <w:t>Nuisance: dizziness, somnolence tremor, abnormal coordination, disturbance in attention, memory </w:t>
            </w:r>
            <w:r>
              <w:rPr>
                <w:color w:val="231F20"/>
                <w:spacing w:val="-2"/>
                <w:sz w:val="15"/>
              </w:rPr>
              <w:t>impairment, </w:t>
            </w:r>
            <w:r>
              <w:rPr>
                <w:color w:val="231F20"/>
                <w:sz w:val="15"/>
              </w:rPr>
              <w:t>blurred vision, gait disturbance, and dysarthria</w:t>
            </w:r>
          </w:p>
          <w:p>
            <w:pPr>
              <w:pStyle w:val="TableParagraph"/>
              <w:spacing w:line="230" w:lineRule="auto" w:before="1"/>
              <w:ind w:left="488" w:right="170" w:hanging="112"/>
              <w:rPr>
                <w:sz w:val="15"/>
              </w:rPr>
            </w:pPr>
            <w:r>
              <w:rPr>
                <w:color w:val="231F20"/>
                <w:sz w:val="15"/>
              </w:rPr>
              <w:t>Serious:</w:t>
            </w:r>
            <w:r>
              <w:rPr>
                <w:color w:val="231F20"/>
                <w:spacing w:val="-7"/>
                <w:sz w:val="15"/>
              </w:rPr>
              <w:t> </w:t>
            </w:r>
            <w:r>
              <w:rPr>
                <w:color w:val="231F20"/>
                <w:sz w:val="15"/>
              </w:rPr>
              <w:t>blue</w:t>
            </w:r>
            <w:r>
              <w:rPr>
                <w:color w:val="231F20"/>
                <w:spacing w:val="-7"/>
                <w:sz w:val="15"/>
              </w:rPr>
              <w:t> </w:t>
            </w:r>
            <w:r>
              <w:rPr>
                <w:color w:val="231F20"/>
                <w:sz w:val="15"/>
              </w:rPr>
              <w:t>discoloration</w:t>
            </w:r>
            <w:r>
              <w:rPr>
                <w:color w:val="231F20"/>
                <w:spacing w:val="-7"/>
                <w:sz w:val="15"/>
              </w:rPr>
              <w:t> </w:t>
            </w:r>
            <w:r>
              <w:rPr>
                <w:color w:val="231F20"/>
                <w:sz w:val="15"/>
              </w:rPr>
              <w:t>of</w:t>
            </w:r>
            <w:r>
              <w:rPr>
                <w:color w:val="231F20"/>
                <w:spacing w:val="-7"/>
                <w:sz w:val="15"/>
              </w:rPr>
              <w:t> </w:t>
            </w:r>
            <w:r>
              <w:rPr>
                <w:color w:val="231F20"/>
                <w:sz w:val="15"/>
              </w:rPr>
              <w:t>the</w:t>
            </w:r>
            <w:r>
              <w:rPr>
                <w:color w:val="231F20"/>
                <w:spacing w:val="-7"/>
                <w:sz w:val="15"/>
              </w:rPr>
              <w:t> </w:t>
            </w:r>
            <w:r>
              <w:rPr>
                <w:color w:val="231F20"/>
                <w:sz w:val="15"/>
              </w:rPr>
              <w:t>skin</w:t>
            </w:r>
            <w:r>
              <w:rPr>
                <w:color w:val="231F20"/>
                <w:spacing w:val="-7"/>
                <w:sz w:val="15"/>
              </w:rPr>
              <w:t> </w:t>
            </w:r>
            <w:r>
              <w:rPr>
                <w:color w:val="231F20"/>
                <w:sz w:val="15"/>
              </w:rPr>
              <w:t>and</w:t>
            </w:r>
            <w:r>
              <w:rPr>
                <w:color w:val="231F20"/>
                <w:spacing w:val="-7"/>
                <w:sz w:val="15"/>
              </w:rPr>
              <w:t> </w:t>
            </w:r>
            <w:r>
              <w:rPr>
                <w:color w:val="231F20"/>
                <w:sz w:val="15"/>
              </w:rPr>
              <w:t>retinal</w:t>
            </w:r>
            <w:r>
              <w:rPr>
                <w:color w:val="231F20"/>
                <w:spacing w:val="-7"/>
                <w:sz w:val="15"/>
              </w:rPr>
              <w:t> </w:t>
            </w:r>
            <w:r>
              <w:rPr>
                <w:color w:val="231F20"/>
                <w:sz w:val="15"/>
              </w:rPr>
              <w:t>pigmentation</w:t>
            </w:r>
            <w:r>
              <w:rPr>
                <w:color w:val="231F20"/>
                <w:spacing w:val="-7"/>
                <w:sz w:val="15"/>
              </w:rPr>
              <w:t> </w:t>
            </w:r>
            <w:r>
              <w:rPr>
                <w:color w:val="231F20"/>
                <w:sz w:val="15"/>
              </w:rPr>
              <w:t>that</w:t>
            </w:r>
            <w:r>
              <w:rPr>
                <w:color w:val="231F20"/>
                <w:spacing w:val="-7"/>
                <w:sz w:val="15"/>
              </w:rPr>
              <w:t> </w:t>
            </w:r>
            <w:r>
              <w:rPr>
                <w:color w:val="231F20"/>
                <w:sz w:val="15"/>
              </w:rPr>
              <w:t>requires</w:t>
            </w:r>
            <w:r>
              <w:rPr>
                <w:color w:val="231F20"/>
                <w:spacing w:val="-7"/>
                <w:sz w:val="15"/>
              </w:rPr>
              <w:t> </w:t>
            </w:r>
            <w:r>
              <w:rPr>
                <w:color w:val="231F20"/>
                <w:sz w:val="15"/>
              </w:rPr>
              <w:t>close</w:t>
            </w:r>
            <w:r>
              <w:rPr>
                <w:color w:val="231F20"/>
                <w:spacing w:val="-7"/>
                <w:sz w:val="15"/>
              </w:rPr>
              <w:t> </w:t>
            </w:r>
            <w:r>
              <w:rPr>
                <w:color w:val="231F20"/>
                <w:sz w:val="15"/>
              </w:rPr>
              <w:t>ophthalmologic</w:t>
            </w:r>
            <w:r>
              <w:rPr>
                <w:color w:val="231F20"/>
                <w:spacing w:val="-7"/>
                <w:sz w:val="15"/>
              </w:rPr>
              <w:t> </w:t>
            </w:r>
            <w:r>
              <w:rPr>
                <w:color w:val="231F20"/>
                <w:sz w:val="15"/>
              </w:rPr>
              <w:t>monitoring in follow up, urinary retention</w:t>
            </w:r>
          </w:p>
        </w:tc>
      </w:tr>
      <w:tr>
        <w:trPr>
          <w:trHeight w:val="588"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Felbamate</w:t>
            </w:r>
          </w:p>
        </w:tc>
        <w:tc>
          <w:tcPr>
            <w:tcW w:w="7977" w:type="dxa"/>
            <w:tcBorders>
              <w:top w:val="single" w:sz="4" w:space="0" w:color="FFFFFF"/>
              <w:bottom w:val="single" w:sz="4" w:space="0" w:color="FFFFFF"/>
            </w:tcBorders>
            <w:shd w:val="clear" w:color="auto" w:fill="E8F5F1"/>
          </w:tcPr>
          <w:p>
            <w:pPr>
              <w:pStyle w:val="TableParagraph"/>
              <w:spacing w:line="170" w:lineRule="exact" w:before="42"/>
              <w:ind w:left="377"/>
              <w:rPr>
                <w:sz w:val="15"/>
              </w:rPr>
            </w:pPr>
            <w:r>
              <w:rPr>
                <w:color w:val="231F20"/>
                <w:spacing w:val="-4"/>
                <w:sz w:val="15"/>
              </w:rPr>
              <w:t>Nuisance:</w:t>
            </w:r>
            <w:r>
              <w:rPr>
                <w:color w:val="231F20"/>
                <w:spacing w:val="10"/>
                <w:sz w:val="15"/>
              </w:rPr>
              <w:t> </w:t>
            </w:r>
            <w:r>
              <w:rPr>
                <w:color w:val="231F20"/>
                <w:spacing w:val="-4"/>
                <w:sz w:val="15"/>
              </w:rPr>
              <w:t>anorexia,</w:t>
            </w:r>
            <w:r>
              <w:rPr>
                <w:color w:val="231F20"/>
                <w:spacing w:val="11"/>
                <w:sz w:val="15"/>
              </w:rPr>
              <w:t> </w:t>
            </w:r>
            <w:r>
              <w:rPr>
                <w:color w:val="231F20"/>
                <w:spacing w:val="-4"/>
                <w:sz w:val="15"/>
              </w:rPr>
              <w:t>vomiting,</w:t>
            </w:r>
            <w:r>
              <w:rPr>
                <w:color w:val="231F20"/>
                <w:spacing w:val="10"/>
                <w:sz w:val="15"/>
              </w:rPr>
              <w:t> </w:t>
            </w:r>
            <w:r>
              <w:rPr>
                <w:color w:val="231F20"/>
                <w:spacing w:val="-4"/>
                <w:sz w:val="15"/>
              </w:rPr>
              <w:t>insomnia,</w:t>
            </w:r>
            <w:r>
              <w:rPr>
                <w:color w:val="231F20"/>
                <w:spacing w:val="11"/>
                <w:sz w:val="15"/>
              </w:rPr>
              <w:t> </w:t>
            </w:r>
            <w:r>
              <w:rPr>
                <w:color w:val="231F20"/>
                <w:spacing w:val="-4"/>
                <w:sz w:val="15"/>
              </w:rPr>
              <w:t>hyperactivity,</w:t>
            </w:r>
            <w:r>
              <w:rPr>
                <w:color w:val="231F20"/>
                <w:spacing w:val="11"/>
                <w:sz w:val="15"/>
              </w:rPr>
              <w:t> </w:t>
            </w:r>
            <w:r>
              <w:rPr>
                <w:color w:val="231F20"/>
                <w:spacing w:val="-4"/>
                <w:sz w:val="15"/>
              </w:rPr>
              <w:t>dizziness</w:t>
            </w:r>
          </w:p>
          <w:p>
            <w:pPr>
              <w:pStyle w:val="TableParagraph"/>
              <w:spacing w:line="230" w:lineRule="auto" w:before="2"/>
              <w:ind w:left="488" w:right="170" w:hanging="112"/>
              <w:rPr>
                <w:sz w:val="15"/>
              </w:rPr>
            </w:pPr>
            <w:r>
              <w:rPr>
                <w:color w:val="231F20"/>
                <w:sz w:val="15"/>
              </w:rPr>
              <w:t>Serious:</w:t>
            </w:r>
            <w:r>
              <w:rPr>
                <w:color w:val="231F20"/>
                <w:spacing w:val="-11"/>
                <w:sz w:val="15"/>
              </w:rPr>
              <w:t> </w:t>
            </w:r>
            <w:r>
              <w:rPr>
                <w:color w:val="231F20"/>
                <w:sz w:val="15"/>
              </w:rPr>
              <w:t>major</w:t>
            </w:r>
            <w:r>
              <w:rPr>
                <w:color w:val="231F20"/>
                <w:spacing w:val="-11"/>
                <w:sz w:val="15"/>
              </w:rPr>
              <w:t> </w:t>
            </w:r>
            <w:r>
              <w:rPr>
                <w:color w:val="231F20"/>
                <w:sz w:val="15"/>
              </w:rPr>
              <w:t>risks</w:t>
            </w:r>
            <w:r>
              <w:rPr>
                <w:color w:val="231F20"/>
                <w:spacing w:val="-11"/>
                <w:sz w:val="15"/>
              </w:rPr>
              <w:t> </w:t>
            </w:r>
            <w:r>
              <w:rPr>
                <w:color w:val="231F20"/>
                <w:sz w:val="15"/>
              </w:rPr>
              <w:t>for</w:t>
            </w:r>
            <w:r>
              <w:rPr>
                <w:color w:val="231F20"/>
                <w:spacing w:val="-11"/>
                <w:sz w:val="15"/>
              </w:rPr>
              <w:t> </w:t>
            </w:r>
            <w:r>
              <w:rPr>
                <w:color w:val="231F20"/>
                <w:sz w:val="15"/>
              </w:rPr>
              <w:t>liver</w:t>
            </w:r>
            <w:r>
              <w:rPr>
                <w:color w:val="231F20"/>
                <w:spacing w:val="-11"/>
                <w:sz w:val="15"/>
              </w:rPr>
              <w:t> </w:t>
            </w:r>
            <w:r>
              <w:rPr>
                <w:color w:val="231F20"/>
                <w:sz w:val="15"/>
              </w:rPr>
              <w:t>and</w:t>
            </w:r>
            <w:r>
              <w:rPr>
                <w:color w:val="231F20"/>
                <w:spacing w:val="-11"/>
                <w:sz w:val="15"/>
              </w:rPr>
              <w:t> </w:t>
            </w:r>
            <w:r>
              <w:rPr>
                <w:color w:val="231F20"/>
                <w:sz w:val="15"/>
              </w:rPr>
              <w:t>hematologic</w:t>
            </w:r>
            <w:r>
              <w:rPr>
                <w:color w:val="231F20"/>
                <w:spacing w:val="-11"/>
                <w:sz w:val="15"/>
              </w:rPr>
              <w:t> </w:t>
            </w:r>
            <w:r>
              <w:rPr>
                <w:color w:val="231F20"/>
                <w:sz w:val="15"/>
              </w:rPr>
              <w:t>toxicity</w:t>
            </w:r>
            <w:r>
              <w:rPr>
                <w:color w:val="231F20"/>
                <w:spacing w:val="-11"/>
                <w:sz w:val="15"/>
              </w:rPr>
              <w:t> </w:t>
            </w:r>
            <w:r>
              <w:rPr>
                <w:color w:val="231F20"/>
                <w:sz w:val="15"/>
              </w:rPr>
              <w:t>requiring</w:t>
            </w:r>
            <w:r>
              <w:rPr>
                <w:color w:val="231F20"/>
                <w:spacing w:val="-11"/>
                <w:sz w:val="15"/>
              </w:rPr>
              <w:t> </w:t>
            </w:r>
            <w:r>
              <w:rPr>
                <w:color w:val="231F20"/>
                <w:sz w:val="15"/>
              </w:rPr>
              <w:t>close</w:t>
            </w:r>
            <w:r>
              <w:rPr>
                <w:color w:val="231F20"/>
                <w:spacing w:val="-11"/>
                <w:sz w:val="15"/>
              </w:rPr>
              <w:t> </w:t>
            </w:r>
            <w:r>
              <w:rPr>
                <w:color w:val="231F20"/>
                <w:sz w:val="15"/>
              </w:rPr>
              <w:t>monitoring</w:t>
            </w:r>
            <w:r>
              <w:rPr>
                <w:color w:val="231F20"/>
                <w:spacing w:val="-11"/>
                <w:sz w:val="15"/>
              </w:rPr>
              <w:t> </w:t>
            </w:r>
            <w:r>
              <w:rPr>
                <w:color w:val="231F20"/>
                <w:sz w:val="15"/>
              </w:rPr>
              <w:t>(1</w:t>
            </w:r>
            <w:r>
              <w:rPr>
                <w:color w:val="231F20"/>
                <w:spacing w:val="-11"/>
                <w:sz w:val="15"/>
              </w:rPr>
              <w:t> </w:t>
            </w:r>
            <w:r>
              <w:rPr>
                <w:color w:val="231F20"/>
                <w:sz w:val="15"/>
              </w:rPr>
              <w:t>in</w:t>
            </w:r>
            <w:r>
              <w:rPr>
                <w:color w:val="231F20"/>
                <w:spacing w:val="-11"/>
                <w:sz w:val="15"/>
              </w:rPr>
              <w:t> </w:t>
            </w:r>
            <w:r>
              <w:rPr>
                <w:color w:val="231F20"/>
                <w:sz w:val="15"/>
              </w:rPr>
              <w:t>500</w:t>
            </w:r>
            <w:r>
              <w:rPr>
                <w:color w:val="231F20"/>
                <w:spacing w:val="-11"/>
                <w:sz w:val="15"/>
              </w:rPr>
              <w:t> </w:t>
            </w:r>
            <w:r>
              <w:rPr>
                <w:color w:val="231F20"/>
                <w:sz w:val="15"/>
              </w:rPr>
              <w:t>in</w:t>
            </w:r>
            <w:r>
              <w:rPr>
                <w:color w:val="231F20"/>
                <w:spacing w:val="-11"/>
                <w:sz w:val="15"/>
              </w:rPr>
              <w:t> </w:t>
            </w:r>
            <w:r>
              <w:rPr>
                <w:color w:val="231F20"/>
                <w:sz w:val="15"/>
              </w:rPr>
              <w:t>children</w:t>
            </w:r>
            <w:r>
              <w:rPr>
                <w:color w:val="231F20"/>
                <w:spacing w:val="-11"/>
                <w:sz w:val="15"/>
              </w:rPr>
              <w:t> </w:t>
            </w:r>
            <w:r>
              <w:rPr>
                <w:rFonts w:ascii="Cambria"/>
                <w:color w:val="231F20"/>
                <w:sz w:val="15"/>
              </w:rPr>
              <w:t>&gt;</w:t>
            </w:r>
            <w:r>
              <w:rPr>
                <w:color w:val="231F20"/>
                <w:sz w:val="15"/>
              </w:rPr>
              <w:t>2</w:t>
            </w:r>
            <w:r>
              <w:rPr>
                <w:color w:val="231F20"/>
                <w:spacing w:val="-11"/>
                <w:sz w:val="15"/>
              </w:rPr>
              <w:t> </w:t>
            </w:r>
            <w:r>
              <w:rPr>
                <w:color w:val="231F20"/>
                <w:sz w:val="15"/>
              </w:rPr>
              <w:t>yr</w:t>
            </w:r>
            <w:r>
              <w:rPr>
                <w:color w:val="231F20"/>
                <w:spacing w:val="-11"/>
                <w:sz w:val="15"/>
              </w:rPr>
              <w:t> </w:t>
            </w:r>
            <w:r>
              <w:rPr>
                <w:color w:val="231F20"/>
                <w:sz w:val="15"/>
              </w:rPr>
              <w:t>with complex neurological disorders)</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Gabapentin</w:t>
            </w:r>
          </w:p>
        </w:tc>
        <w:tc>
          <w:tcPr>
            <w:tcW w:w="7977" w:type="dxa"/>
            <w:tcBorders>
              <w:top w:val="single" w:sz="4" w:space="0" w:color="FFFFFF"/>
              <w:bottom w:val="single" w:sz="4" w:space="0" w:color="FFFFFF"/>
            </w:tcBorders>
            <w:shd w:val="clear" w:color="auto" w:fill="E8F5F1"/>
          </w:tcPr>
          <w:p>
            <w:pPr>
              <w:pStyle w:val="TableParagraph"/>
              <w:spacing w:line="171" w:lineRule="exact" w:before="42"/>
              <w:ind w:left="377"/>
              <w:rPr>
                <w:sz w:val="15"/>
              </w:rPr>
            </w:pPr>
            <w:r>
              <w:rPr>
                <w:color w:val="231F20"/>
                <w:sz w:val="15"/>
              </w:rPr>
              <w:t>In</w:t>
            </w:r>
            <w:r>
              <w:rPr>
                <w:color w:val="231F20"/>
                <w:spacing w:val="-8"/>
                <w:sz w:val="15"/>
              </w:rPr>
              <w:t> </w:t>
            </w:r>
            <w:r>
              <w:rPr>
                <w:color w:val="231F20"/>
                <w:sz w:val="15"/>
              </w:rPr>
              <w:t>children:</w:t>
            </w:r>
            <w:r>
              <w:rPr>
                <w:color w:val="231F20"/>
                <w:spacing w:val="-7"/>
                <w:sz w:val="15"/>
              </w:rPr>
              <w:t> </w:t>
            </w:r>
            <w:r>
              <w:rPr>
                <w:color w:val="231F20"/>
                <w:sz w:val="15"/>
              </w:rPr>
              <w:t>acute</w:t>
            </w:r>
            <w:r>
              <w:rPr>
                <w:color w:val="231F20"/>
                <w:spacing w:val="-8"/>
                <w:sz w:val="15"/>
              </w:rPr>
              <w:t> </w:t>
            </w:r>
            <w:r>
              <w:rPr>
                <w:color w:val="231F20"/>
                <w:sz w:val="15"/>
              </w:rPr>
              <w:t>onset</w:t>
            </w:r>
            <w:r>
              <w:rPr>
                <w:color w:val="231F20"/>
                <w:spacing w:val="-7"/>
                <w:sz w:val="15"/>
              </w:rPr>
              <w:t> </w:t>
            </w:r>
            <w:r>
              <w:rPr>
                <w:color w:val="231F20"/>
                <w:sz w:val="15"/>
              </w:rPr>
              <w:t>of</w:t>
            </w:r>
            <w:r>
              <w:rPr>
                <w:color w:val="231F20"/>
                <w:spacing w:val="-7"/>
                <w:sz w:val="15"/>
              </w:rPr>
              <w:t> </w:t>
            </w:r>
            <w:r>
              <w:rPr>
                <w:color w:val="231F20"/>
                <w:sz w:val="15"/>
              </w:rPr>
              <w:t>aggression,</w:t>
            </w:r>
            <w:r>
              <w:rPr>
                <w:color w:val="231F20"/>
                <w:spacing w:val="-8"/>
                <w:sz w:val="15"/>
              </w:rPr>
              <w:t> </w:t>
            </w:r>
            <w:r>
              <w:rPr>
                <w:color w:val="231F20"/>
                <w:spacing w:val="-2"/>
                <w:sz w:val="15"/>
              </w:rPr>
              <w:t>hyperactivity</w:t>
            </w:r>
          </w:p>
          <w:p>
            <w:pPr>
              <w:pStyle w:val="TableParagraph"/>
              <w:spacing w:line="171" w:lineRule="exact"/>
              <w:ind w:left="377"/>
              <w:rPr>
                <w:sz w:val="15"/>
              </w:rPr>
            </w:pPr>
            <w:r>
              <w:rPr>
                <w:color w:val="231F20"/>
                <w:sz w:val="15"/>
              </w:rPr>
              <w:t>In</w:t>
            </w:r>
            <w:r>
              <w:rPr>
                <w:color w:val="231F20"/>
                <w:spacing w:val="-11"/>
                <w:sz w:val="15"/>
              </w:rPr>
              <w:t> </w:t>
            </w:r>
            <w:r>
              <w:rPr>
                <w:color w:val="231F20"/>
                <w:sz w:val="15"/>
              </w:rPr>
              <w:t>adults:</w:t>
            </w:r>
            <w:r>
              <w:rPr>
                <w:color w:val="231F20"/>
                <w:spacing w:val="-11"/>
                <w:sz w:val="15"/>
              </w:rPr>
              <w:t> </w:t>
            </w:r>
            <w:r>
              <w:rPr>
                <w:color w:val="231F20"/>
                <w:sz w:val="15"/>
              </w:rPr>
              <w:t>euphoria</w:t>
            </w:r>
            <w:r>
              <w:rPr>
                <w:color w:val="231F20"/>
                <w:spacing w:val="-10"/>
                <w:sz w:val="15"/>
              </w:rPr>
              <w:t> </w:t>
            </w:r>
            <w:r>
              <w:rPr>
                <w:color w:val="231F20"/>
                <w:sz w:val="15"/>
              </w:rPr>
              <w:t>and</w:t>
            </w:r>
            <w:r>
              <w:rPr>
                <w:color w:val="231F20"/>
                <w:spacing w:val="-11"/>
                <w:sz w:val="15"/>
              </w:rPr>
              <w:t> </w:t>
            </w:r>
            <w:r>
              <w:rPr>
                <w:color w:val="231F20"/>
                <w:sz w:val="15"/>
              </w:rPr>
              <w:t>behavioral</w:t>
            </w:r>
            <w:r>
              <w:rPr>
                <w:color w:val="231F20"/>
                <w:spacing w:val="-11"/>
                <w:sz w:val="15"/>
              </w:rPr>
              <w:t> </w:t>
            </w:r>
            <w:r>
              <w:rPr>
                <w:color w:val="231F20"/>
                <w:sz w:val="15"/>
              </w:rPr>
              <w:t>disinhibition,</w:t>
            </w:r>
            <w:r>
              <w:rPr>
                <w:color w:val="231F20"/>
                <w:spacing w:val="-10"/>
                <w:sz w:val="15"/>
              </w:rPr>
              <w:t> </w:t>
            </w:r>
            <w:r>
              <w:rPr>
                <w:color w:val="231F20"/>
                <w:sz w:val="15"/>
              </w:rPr>
              <w:t>weight</w:t>
            </w:r>
            <w:r>
              <w:rPr>
                <w:color w:val="231F20"/>
                <w:spacing w:val="-11"/>
                <w:sz w:val="15"/>
              </w:rPr>
              <w:t> </w:t>
            </w:r>
            <w:r>
              <w:rPr>
                <w:color w:val="231F20"/>
                <w:spacing w:val="-4"/>
                <w:sz w:val="15"/>
              </w:rPr>
              <w:t>gain</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Lacosamide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3860"/>
              <w:rPr>
                <w:sz w:val="15"/>
              </w:rPr>
            </w:pPr>
            <w:r>
              <w:rPr>
                <w:color w:val="231F20"/>
                <w:sz w:val="15"/>
              </w:rPr>
              <w:t>Nuisance: diplopia, headache, dizziness, nausea </w:t>
            </w:r>
            <w:r>
              <w:rPr>
                <w:color w:val="231F20"/>
                <w:spacing w:val="-2"/>
                <w:sz w:val="15"/>
              </w:rPr>
              <w:t>Serious: possibly cardiac arrhythmias (if </w:t>
            </w:r>
            <w:r>
              <w:rPr>
                <w:color w:val="231F20"/>
                <w:spacing w:val="-2"/>
                <w:sz w:val="15"/>
              </w:rPr>
              <w:t>predisposed)</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Lamotrigine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664"/>
              <w:rPr>
                <w:sz w:val="15"/>
              </w:rPr>
            </w:pPr>
            <w:r>
              <w:rPr>
                <w:color w:val="231F20"/>
                <w:sz w:val="15"/>
              </w:rPr>
              <w:t>Nuisance:</w:t>
            </w:r>
            <w:r>
              <w:rPr>
                <w:color w:val="231F20"/>
                <w:spacing w:val="-10"/>
                <w:sz w:val="15"/>
              </w:rPr>
              <w:t> </w:t>
            </w:r>
            <w:r>
              <w:rPr>
                <w:color w:val="231F20"/>
                <w:sz w:val="15"/>
              </w:rPr>
              <w:t>CNS</w:t>
            </w:r>
            <w:r>
              <w:rPr>
                <w:color w:val="231F20"/>
                <w:spacing w:val="-10"/>
                <w:sz w:val="15"/>
              </w:rPr>
              <w:t> </w:t>
            </w:r>
            <w:r>
              <w:rPr>
                <w:color w:val="231F20"/>
                <w:sz w:val="15"/>
              </w:rPr>
              <w:t>side</w:t>
            </w:r>
            <w:r>
              <w:rPr>
                <w:color w:val="231F20"/>
                <w:spacing w:val="-10"/>
                <w:sz w:val="15"/>
              </w:rPr>
              <w:t> </w:t>
            </w:r>
            <w:r>
              <w:rPr>
                <w:color w:val="231F20"/>
                <w:sz w:val="15"/>
              </w:rPr>
              <w:t>effects:</w:t>
            </w:r>
            <w:r>
              <w:rPr>
                <w:color w:val="231F20"/>
                <w:spacing w:val="-10"/>
                <w:sz w:val="15"/>
              </w:rPr>
              <w:t> </w:t>
            </w:r>
            <w:r>
              <w:rPr>
                <w:color w:val="231F20"/>
                <w:sz w:val="15"/>
              </w:rPr>
              <w:t>headache,</w:t>
            </w:r>
            <w:r>
              <w:rPr>
                <w:color w:val="231F20"/>
                <w:spacing w:val="-10"/>
                <w:sz w:val="15"/>
              </w:rPr>
              <w:t> </w:t>
            </w:r>
            <w:r>
              <w:rPr>
                <w:color w:val="231F20"/>
                <w:sz w:val="15"/>
              </w:rPr>
              <w:t>ataxia,</w:t>
            </w:r>
            <w:r>
              <w:rPr>
                <w:color w:val="231F20"/>
                <w:spacing w:val="-10"/>
                <w:sz w:val="15"/>
              </w:rPr>
              <w:t> </w:t>
            </w:r>
            <w:r>
              <w:rPr>
                <w:color w:val="231F20"/>
                <w:sz w:val="15"/>
              </w:rPr>
              <w:t>dizziness,</w:t>
            </w:r>
            <w:r>
              <w:rPr>
                <w:color w:val="231F20"/>
                <w:spacing w:val="-10"/>
                <w:sz w:val="15"/>
              </w:rPr>
              <w:t> </w:t>
            </w:r>
            <w:r>
              <w:rPr>
                <w:color w:val="231F20"/>
                <w:sz w:val="15"/>
              </w:rPr>
              <w:t>tremor,</w:t>
            </w:r>
            <w:r>
              <w:rPr>
                <w:color w:val="231F20"/>
                <w:spacing w:val="-10"/>
                <w:sz w:val="15"/>
              </w:rPr>
              <w:t> </w:t>
            </w:r>
            <w:r>
              <w:rPr>
                <w:color w:val="231F20"/>
                <w:sz w:val="15"/>
              </w:rPr>
              <w:t>but</w:t>
            </w:r>
            <w:r>
              <w:rPr>
                <w:color w:val="231F20"/>
                <w:spacing w:val="-10"/>
                <w:sz w:val="15"/>
              </w:rPr>
              <w:t> </w:t>
            </w:r>
            <w:r>
              <w:rPr>
                <w:color w:val="231F20"/>
                <w:sz w:val="15"/>
              </w:rPr>
              <w:t>usually</w:t>
            </w:r>
            <w:r>
              <w:rPr>
                <w:color w:val="231F20"/>
                <w:spacing w:val="-10"/>
                <w:sz w:val="15"/>
              </w:rPr>
              <w:t> </w:t>
            </w:r>
            <w:r>
              <w:rPr>
                <w:color w:val="231F20"/>
                <w:sz w:val="15"/>
              </w:rPr>
              <w:t>less</w:t>
            </w:r>
            <w:r>
              <w:rPr>
                <w:color w:val="231F20"/>
                <w:spacing w:val="-10"/>
                <w:sz w:val="15"/>
              </w:rPr>
              <w:t> </w:t>
            </w:r>
            <w:r>
              <w:rPr>
                <w:color w:val="231F20"/>
                <w:sz w:val="15"/>
              </w:rPr>
              <w:t>than</w:t>
            </w:r>
            <w:r>
              <w:rPr>
                <w:color w:val="231F20"/>
                <w:spacing w:val="-10"/>
                <w:sz w:val="15"/>
              </w:rPr>
              <w:t> </w:t>
            </w:r>
            <w:r>
              <w:rPr>
                <w:color w:val="231F20"/>
                <w:sz w:val="15"/>
              </w:rPr>
              <w:t>other</w:t>
            </w:r>
            <w:r>
              <w:rPr>
                <w:color w:val="231F20"/>
                <w:spacing w:val="-10"/>
                <w:sz w:val="15"/>
              </w:rPr>
              <w:t> </w:t>
            </w:r>
            <w:r>
              <w:rPr>
                <w:color w:val="231F20"/>
                <w:sz w:val="15"/>
              </w:rPr>
              <w:t>AEDs Serious: Stevens-Johnson syndrome, rarely liver toxicity</w:t>
            </w:r>
          </w:p>
        </w:tc>
      </w:tr>
      <w:tr>
        <w:trPr>
          <w:trHeight w:val="588"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Levetiracetam</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750"/>
              <w:rPr>
                <w:sz w:val="15"/>
              </w:rPr>
            </w:pPr>
            <w:r>
              <w:rPr>
                <w:color w:val="231F20"/>
                <w:sz w:val="15"/>
              </w:rPr>
              <w:t>CNS</w:t>
            </w:r>
            <w:r>
              <w:rPr>
                <w:color w:val="231F20"/>
                <w:spacing w:val="-6"/>
                <w:sz w:val="15"/>
              </w:rPr>
              <w:t> </w:t>
            </w:r>
            <w:r>
              <w:rPr>
                <w:color w:val="231F20"/>
                <w:sz w:val="15"/>
              </w:rPr>
              <w:t>adverse</w:t>
            </w:r>
            <w:r>
              <w:rPr>
                <w:color w:val="231F20"/>
                <w:spacing w:val="-6"/>
                <w:sz w:val="15"/>
              </w:rPr>
              <w:t> </w:t>
            </w:r>
            <w:r>
              <w:rPr>
                <w:color w:val="231F20"/>
                <w:sz w:val="15"/>
              </w:rPr>
              <w:t>events:</w:t>
            </w:r>
            <w:r>
              <w:rPr>
                <w:color w:val="231F20"/>
                <w:spacing w:val="-6"/>
                <w:sz w:val="15"/>
              </w:rPr>
              <w:t> </w:t>
            </w:r>
            <w:r>
              <w:rPr>
                <w:color w:val="231F20"/>
                <w:sz w:val="15"/>
              </w:rPr>
              <w:t>somnolence,</w:t>
            </w:r>
            <w:r>
              <w:rPr>
                <w:color w:val="231F20"/>
                <w:spacing w:val="-6"/>
                <w:sz w:val="15"/>
              </w:rPr>
              <w:t> </w:t>
            </w:r>
            <w:r>
              <w:rPr>
                <w:color w:val="231F20"/>
                <w:sz w:val="15"/>
              </w:rPr>
              <w:t>asthenia,</w:t>
            </w:r>
            <w:r>
              <w:rPr>
                <w:color w:val="231F20"/>
                <w:spacing w:val="-6"/>
                <w:sz w:val="15"/>
              </w:rPr>
              <w:t> </w:t>
            </w:r>
            <w:r>
              <w:rPr>
                <w:color w:val="231F20"/>
                <w:sz w:val="15"/>
              </w:rPr>
              <w:t>dizziness,</w:t>
            </w:r>
            <w:r>
              <w:rPr>
                <w:color w:val="231F20"/>
                <w:spacing w:val="-6"/>
                <w:sz w:val="15"/>
              </w:rPr>
              <w:t> </w:t>
            </w:r>
            <w:r>
              <w:rPr>
                <w:color w:val="231F20"/>
                <w:sz w:val="15"/>
              </w:rPr>
              <w:t>but</w:t>
            </w:r>
            <w:r>
              <w:rPr>
                <w:color w:val="231F20"/>
                <w:spacing w:val="-6"/>
                <w:sz w:val="15"/>
              </w:rPr>
              <w:t> </w:t>
            </w:r>
            <w:r>
              <w:rPr>
                <w:color w:val="231F20"/>
                <w:sz w:val="15"/>
              </w:rPr>
              <w:t>usually</w:t>
            </w:r>
            <w:r>
              <w:rPr>
                <w:color w:val="231F20"/>
                <w:spacing w:val="-6"/>
                <w:sz w:val="15"/>
              </w:rPr>
              <w:t> </w:t>
            </w:r>
            <w:r>
              <w:rPr>
                <w:color w:val="231F20"/>
                <w:sz w:val="15"/>
              </w:rPr>
              <w:t>less</w:t>
            </w:r>
            <w:r>
              <w:rPr>
                <w:color w:val="231F20"/>
                <w:spacing w:val="-6"/>
                <w:sz w:val="15"/>
              </w:rPr>
              <w:t> </w:t>
            </w:r>
            <w:r>
              <w:rPr>
                <w:color w:val="231F20"/>
                <w:sz w:val="15"/>
              </w:rPr>
              <w:t>than</w:t>
            </w:r>
            <w:r>
              <w:rPr>
                <w:color w:val="231F20"/>
                <w:spacing w:val="-6"/>
                <w:sz w:val="15"/>
              </w:rPr>
              <w:t> </w:t>
            </w:r>
            <w:r>
              <w:rPr>
                <w:color w:val="231F20"/>
                <w:sz w:val="15"/>
              </w:rPr>
              <w:t>other</w:t>
            </w:r>
            <w:r>
              <w:rPr>
                <w:color w:val="231F20"/>
                <w:spacing w:val="-6"/>
                <w:sz w:val="15"/>
              </w:rPr>
              <w:t> </w:t>
            </w:r>
            <w:r>
              <w:rPr>
                <w:color w:val="231F20"/>
                <w:sz w:val="15"/>
              </w:rPr>
              <w:t>AEDs In children: behavioral symptoms are common</w:t>
            </w:r>
          </w:p>
          <w:p>
            <w:pPr>
              <w:pStyle w:val="TableParagraph"/>
              <w:spacing w:line="170" w:lineRule="exact"/>
              <w:ind w:left="377"/>
              <w:rPr>
                <w:sz w:val="15"/>
              </w:rPr>
            </w:pPr>
            <w:r>
              <w:rPr>
                <w:color w:val="231F20"/>
                <w:sz w:val="15"/>
              </w:rPr>
              <w:t>In</w:t>
            </w:r>
            <w:r>
              <w:rPr>
                <w:color w:val="231F20"/>
                <w:spacing w:val="-10"/>
                <w:sz w:val="15"/>
              </w:rPr>
              <w:t> </w:t>
            </w:r>
            <w:r>
              <w:rPr>
                <w:color w:val="231F20"/>
                <w:sz w:val="15"/>
              </w:rPr>
              <w:t>adults:</w:t>
            </w:r>
            <w:r>
              <w:rPr>
                <w:color w:val="231F20"/>
                <w:spacing w:val="-9"/>
                <w:sz w:val="15"/>
              </w:rPr>
              <w:t> </w:t>
            </w:r>
            <w:r>
              <w:rPr>
                <w:color w:val="231F20"/>
                <w:sz w:val="15"/>
              </w:rPr>
              <w:t>depressive</w:t>
            </w:r>
            <w:r>
              <w:rPr>
                <w:color w:val="231F20"/>
                <w:spacing w:val="-9"/>
                <w:sz w:val="15"/>
              </w:rPr>
              <w:t> </w:t>
            </w:r>
            <w:r>
              <w:rPr>
                <w:color w:val="231F20"/>
                <w:spacing w:val="-4"/>
                <w:sz w:val="15"/>
              </w:rPr>
              <w:t>mood</w:t>
            </w:r>
          </w:p>
        </w:tc>
      </w:tr>
      <w:tr>
        <w:trPr>
          <w:trHeight w:val="252"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Oxcarbazepine</w:t>
            </w:r>
          </w:p>
        </w:tc>
        <w:tc>
          <w:tcPr>
            <w:tcW w:w="7977" w:type="dxa"/>
            <w:tcBorders>
              <w:top w:val="single" w:sz="4" w:space="0" w:color="FFFFFF"/>
              <w:bottom w:val="single" w:sz="4" w:space="0" w:color="FFFFFF"/>
            </w:tcBorders>
            <w:shd w:val="clear" w:color="auto" w:fill="E8F5F1"/>
          </w:tcPr>
          <w:p>
            <w:pPr>
              <w:pStyle w:val="TableParagraph"/>
              <w:spacing w:before="42"/>
              <w:ind w:left="377"/>
              <w:rPr>
                <w:sz w:val="15"/>
              </w:rPr>
            </w:pPr>
            <w:r>
              <w:rPr>
                <w:color w:val="231F20"/>
                <w:spacing w:val="-2"/>
                <w:sz w:val="15"/>
              </w:rPr>
              <w:t>Somnolence,</w:t>
            </w:r>
            <w:r>
              <w:rPr>
                <w:color w:val="231F20"/>
                <w:spacing w:val="-1"/>
                <w:sz w:val="15"/>
              </w:rPr>
              <w:t> </w:t>
            </w:r>
            <w:r>
              <w:rPr>
                <w:color w:val="231F20"/>
                <w:spacing w:val="-2"/>
                <w:sz w:val="15"/>
              </w:rPr>
              <w:t>headache,</w:t>
            </w:r>
            <w:r>
              <w:rPr>
                <w:color w:val="231F20"/>
                <w:spacing w:val="-1"/>
                <w:sz w:val="15"/>
              </w:rPr>
              <w:t> </w:t>
            </w:r>
            <w:r>
              <w:rPr>
                <w:color w:val="231F20"/>
                <w:spacing w:val="-2"/>
                <w:sz w:val="15"/>
              </w:rPr>
              <w:t>dizziness,</w:t>
            </w:r>
            <w:r>
              <w:rPr>
                <w:color w:val="231F20"/>
                <w:spacing w:val="-1"/>
                <w:sz w:val="15"/>
              </w:rPr>
              <w:t> </w:t>
            </w:r>
            <w:r>
              <w:rPr>
                <w:color w:val="231F20"/>
                <w:spacing w:val="-2"/>
                <w:sz w:val="15"/>
              </w:rPr>
              <w:t>nausea,</w:t>
            </w:r>
            <w:r>
              <w:rPr>
                <w:color w:val="231F20"/>
                <w:spacing w:val="-1"/>
                <w:sz w:val="15"/>
              </w:rPr>
              <w:t> </w:t>
            </w:r>
            <w:r>
              <w:rPr>
                <w:color w:val="231F20"/>
                <w:spacing w:val="-2"/>
                <w:sz w:val="15"/>
              </w:rPr>
              <w:t>apathy,</w:t>
            </w:r>
            <w:r>
              <w:rPr>
                <w:color w:val="231F20"/>
                <w:spacing w:val="-1"/>
                <w:sz w:val="15"/>
              </w:rPr>
              <w:t> </w:t>
            </w:r>
            <w:r>
              <w:rPr>
                <w:color w:val="231F20"/>
                <w:spacing w:val="-2"/>
                <w:sz w:val="15"/>
              </w:rPr>
              <w:t>rash,</w:t>
            </w:r>
            <w:r>
              <w:rPr>
                <w:color w:val="231F20"/>
                <w:spacing w:val="-1"/>
                <w:sz w:val="15"/>
              </w:rPr>
              <w:t> </w:t>
            </w:r>
            <w:r>
              <w:rPr>
                <w:color w:val="231F20"/>
                <w:spacing w:val="-2"/>
                <w:sz w:val="15"/>
              </w:rPr>
              <w:t>hypertrichosis,</w:t>
            </w:r>
            <w:r>
              <w:rPr>
                <w:color w:val="231F20"/>
                <w:spacing w:val="-1"/>
                <w:sz w:val="15"/>
              </w:rPr>
              <w:t> </w:t>
            </w:r>
            <w:r>
              <w:rPr>
                <w:color w:val="231F20"/>
                <w:spacing w:val="-2"/>
                <w:sz w:val="15"/>
              </w:rPr>
              <w:t>gingival</w:t>
            </w:r>
            <w:r>
              <w:rPr>
                <w:color w:val="231F20"/>
                <w:spacing w:val="-1"/>
                <w:sz w:val="15"/>
              </w:rPr>
              <w:t> </w:t>
            </w:r>
            <w:r>
              <w:rPr>
                <w:color w:val="231F20"/>
                <w:spacing w:val="-2"/>
                <w:sz w:val="15"/>
              </w:rPr>
              <w:t>hypertrophy,</w:t>
            </w:r>
            <w:r>
              <w:rPr>
                <w:color w:val="231F20"/>
                <w:spacing w:val="-1"/>
                <w:sz w:val="15"/>
              </w:rPr>
              <w:t> </w:t>
            </w:r>
            <w:r>
              <w:rPr>
                <w:color w:val="231F20"/>
                <w:spacing w:val="-2"/>
                <w:sz w:val="15"/>
              </w:rPr>
              <w:t>hyponatremia</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Perampanel</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488" w:right="170" w:hanging="112"/>
              <w:rPr>
                <w:sz w:val="15"/>
              </w:rPr>
            </w:pPr>
            <w:r>
              <w:rPr>
                <w:color w:val="231F20"/>
                <w:spacing w:val="-2"/>
                <w:sz w:val="15"/>
              </w:rPr>
              <w:t>Dizziness,</w:t>
            </w:r>
            <w:r>
              <w:rPr>
                <w:color w:val="231F20"/>
                <w:spacing w:val="-9"/>
                <w:sz w:val="15"/>
              </w:rPr>
              <w:t> </w:t>
            </w:r>
            <w:r>
              <w:rPr>
                <w:color w:val="231F20"/>
                <w:spacing w:val="-2"/>
                <w:sz w:val="15"/>
              </w:rPr>
              <w:t>somnolence,</w:t>
            </w:r>
            <w:r>
              <w:rPr>
                <w:color w:val="231F20"/>
                <w:spacing w:val="-9"/>
                <w:sz w:val="15"/>
              </w:rPr>
              <w:t> </w:t>
            </w:r>
            <w:r>
              <w:rPr>
                <w:color w:val="231F20"/>
                <w:spacing w:val="-2"/>
                <w:sz w:val="15"/>
              </w:rPr>
              <w:t>fatigue,</w:t>
            </w:r>
            <w:r>
              <w:rPr>
                <w:color w:val="231F20"/>
                <w:spacing w:val="-9"/>
                <w:sz w:val="15"/>
              </w:rPr>
              <w:t> </w:t>
            </w:r>
            <w:r>
              <w:rPr>
                <w:color w:val="231F20"/>
                <w:spacing w:val="-2"/>
                <w:sz w:val="15"/>
              </w:rPr>
              <w:t>irritability,</w:t>
            </w:r>
            <w:r>
              <w:rPr>
                <w:color w:val="231F20"/>
                <w:spacing w:val="-9"/>
                <w:sz w:val="15"/>
              </w:rPr>
              <w:t> </w:t>
            </w:r>
            <w:r>
              <w:rPr>
                <w:color w:val="231F20"/>
                <w:spacing w:val="-2"/>
                <w:sz w:val="15"/>
              </w:rPr>
              <w:t>falls,</w:t>
            </w:r>
            <w:r>
              <w:rPr>
                <w:color w:val="231F20"/>
                <w:spacing w:val="-9"/>
                <w:sz w:val="15"/>
              </w:rPr>
              <w:t> </w:t>
            </w:r>
            <w:r>
              <w:rPr>
                <w:color w:val="231F20"/>
                <w:spacing w:val="-2"/>
                <w:sz w:val="15"/>
              </w:rPr>
              <w:t>nausea,</w:t>
            </w:r>
            <w:r>
              <w:rPr>
                <w:color w:val="231F20"/>
                <w:spacing w:val="-9"/>
                <w:sz w:val="15"/>
              </w:rPr>
              <w:t> </w:t>
            </w:r>
            <w:r>
              <w:rPr>
                <w:color w:val="231F20"/>
                <w:spacing w:val="-2"/>
                <w:sz w:val="15"/>
              </w:rPr>
              <w:t>weight</w:t>
            </w:r>
            <w:r>
              <w:rPr>
                <w:color w:val="231F20"/>
                <w:spacing w:val="-9"/>
                <w:sz w:val="15"/>
              </w:rPr>
              <w:t> </w:t>
            </w:r>
            <w:r>
              <w:rPr>
                <w:color w:val="231F20"/>
                <w:spacing w:val="-2"/>
                <w:sz w:val="15"/>
              </w:rPr>
              <w:t>gain,</w:t>
            </w:r>
            <w:r>
              <w:rPr>
                <w:color w:val="231F20"/>
                <w:spacing w:val="-9"/>
                <w:sz w:val="15"/>
              </w:rPr>
              <w:t> </w:t>
            </w:r>
            <w:r>
              <w:rPr>
                <w:color w:val="231F20"/>
                <w:spacing w:val="-2"/>
                <w:sz w:val="15"/>
              </w:rPr>
              <w:t>vertigo,</w:t>
            </w:r>
            <w:r>
              <w:rPr>
                <w:color w:val="231F20"/>
                <w:spacing w:val="-9"/>
                <w:sz w:val="15"/>
              </w:rPr>
              <w:t> </w:t>
            </w:r>
            <w:r>
              <w:rPr>
                <w:color w:val="231F20"/>
                <w:spacing w:val="-2"/>
                <w:sz w:val="15"/>
              </w:rPr>
              <w:t>ataxia,</w:t>
            </w:r>
            <w:r>
              <w:rPr>
                <w:color w:val="231F20"/>
                <w:spacing w:val="-9"/>
                <w:sz w:val="15"/>
              </w:rPr>
              <w:t> </w:t>
            </w:r>
            <w:r>
              <w:rPr>
                <w:color w:val="231F20"/>
                <w:spacing w:val="-2"/>
                <w:sz w:val="15"/>
              </w:rPr>
              <w:t>gait</w:t>
            </w:r>
            <w:r>
              <w:rPr>
                <w:color w:val="231F20"/>
                <w:spacing w:val="-9"/>
                <w:sz w:val="15"/>
              </w:rPr>
              <w:t> </w:t>
            </w:r>
            <w:r>
              <w:rPr>
                <w:color w:val="231F20"/>
                <w:spacing w:val="-2"/>
                <w:sz w:val="15"/>
              </w:rPr>
              <w:t>disturbance,</w:t>
            </w:r>
            <w:r>
              <w:rPr>
                <w:color w:val="231F20"/>
                <w:spacing w:val="-9"/>
                <w:sz w:val="15"/>
              </w:rPr>
              <w:t> </w:t>
            </w:r>
            <w:r>
              <w:rPr>
                <w:color w:val="231F20"/>
                <w:spacing w:val="-2"/>
                <w:sz w:val="15"/>
              </w:rPr>
              <w:t>and </w:t>
            </w:r>
            <w:r>
              <w:rPr>
                <w:color w:val="231F20"/>
                <w:sz w:val="15"/>
              </w:rPr>
              <w:t>balance disorder</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line="230" w:lineRule="auto" w:before="48"/>
              <w:ind w:left="186" w:right="119" w:hanging="112"/>
              <w:rPr>
                <w:sz w:val="15"/>
              </w:rPr>
            </w:pPr>
            <w:r>
              <w:rPr>
                <w:color w:val="231F20"/>
                <w:sz w:val="15"/>
              </w:rPr>
              <w:t>Phenobarbital and other</w:t>
            </w:r>
            <w:r>
              <w:rPr>
                <w:color w:val="231F20"/>
                <w:spacing w:val="-10"/>
                <w:sz w:val="15"/>
              </w:rPr>
              <w:t> </w:t>
            </w:r>
            <w:r>
              <w:rPr>
                <w:color w:val="231F20"/>
                <w:spacing w:val="-4"/>
                <w:sz w:val="15"/>
              </w:rPr>
              <w:t>barbiturates</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Pr>
                <w:sz w:val="15"/>
              </w:rPr>
            </w:pPr>
            <w:r>
              <w:rPr>
                <w:color w:val="231F20"/>
                <w:spacing w:val="-2"/>
                <w:sz w:val="15"/>
              </w:rPr>
              <w:t>Nuisance:</w:t>
            </w:r>
            <w:r>
              <w:rPr>
                <w:color w:val="231F20"/>
                <w:spacing w:val="-3"/>
                <w:sz w:val="15"/>
              </w:rPr>
              <w:t> </w:t>
            </w:r>
            <w:r>
              <w:rPr>
                <w:color w:val="231F20"/>
                <w:spacing w:val="-2"/>
                <w:sz w:val="15"/>
              </w:rPr>
              <w:t>neurotoxicity,</w:t>
            </w:r>
            <w:r>
              <w:rPr>
                <w:color w:val="231F20"/>
                <w:spacing w:val="-3"/>
                <w:sz w:val="15"/>
              </w:rPr>
              <w:t> </w:t>
            </w:r>
            <w:r>
              <w:rPr>
                <w:color w:val="231F20"/>
                <w:spacing w:val="-2"/>
                <w:sz w:val="15"/>
              </w:rPr>
              <w:t>insomnia,</w:t>
            </w:r>
            <w:r>
              <w:rPr>
                <w:color w:val="231F20"/>
                <w:spacing w:val="-3"/>
                <w:sz w:val="15"/>
              </w:rPr>
              <w:t> </w:t>
            </w:r>
            <w:r>
              <w:rPr>
                <w:color w:val="231F20"/>
                <w:spacing w:val="-2"/>
                <w:sz w:val="15"/>
              </w:rPr>
              <w:t>hyperactivity,</w:t>
            </w:r>
            <w:r>
              <w:rPr>
                <w:color w:val="231F20"/>
                <w:spacing w:val="-3"/>
                <w:sz w:val="15"/>
              </w:rPr>
              <w:t> </w:t>
            </w:r>
            <w:r>
              <w:rPr>
                <w:color w:val="231F20"/>
                <w:spacing w:val="-2"/>
                <w:sz w:val="15"/>
              </w:rPr>
              <w:t>signs</w:t>
            </w:r>
            <w:r>
              <w:rPr>
                <w:color w:val="231F20"/>
                <w:spacing w:val="-3"/>
                <w:sz w:val="15"/>
              </w:rPr>
              <w:t> </w:t>
            </w:r>
            <w:r>
              <w:rPr>
                <w:color w:val="231F20"/>
                <w:spacing w:val="-2"/>
                <w:sz w:val="15"/>
              </w:rPr>
              <w:t>of</w:t>
            </w:r>
            <w:r>
              <w:rPr>
                <w:color w:val="231F20"/>
                <w:spacing w:val="-3"/>
                <w:sz w:val="15"/>
              </w:rPr>
              <w:t> </w:t>
            </w:r>
            <w:r>
              <w:rPr>
                <w:color w:val="231F20"/>
                <w:spacing w:val="-2"/>
                <w:sz w:val="15"/>
              </w:rPr>
              <w:t>distractibility,</w:t>
            </w:r>
            <w:r>
              <w:rPr>
                <w:color w:val="231F20"/>
                <w:spacing w:val="-3"/>
                <w:sz w:val="15"/>
              </w:rPr>
              <w:t> </w:t>
            </w:r>
            <w:r>
              <w:rPr>
                <w:color w:val="231F20"/>
                <w:spacing w:val="-2"/>
                <w:sz w:val="15"/>
              </w:rPr>
              <w:t>fluctuation</w:t>
            </w:r>
            <w:r>
              <w:rPr>
                <w:color w:val="231F20"/>
                <w:spacing w:val="-3"/>
                <w:sz w:val="15"/>
              </w:rPr>
              <w:t> </w:t>
            </w:r>
            <w:r>
              <w:rPr>
                <w:color w:val="231F20"/>
                <w:spacing w:val="-2"/>
                <w:sz w:val="15"/>
              </w:rPr>
              <w:t>of</w:t>
            </w:r>
            <w:r>
              <w:rPr>
                <w:color w:val="231F20"/>
                <w:spacing w:val="-3"/>
                <w:sz w:val="15"/>
              </w:rPr>
              <w:t> </w:t>
            </w:r>
            <w:r>
              <w:rPr>
                <w:color w:val="231F20"/>
                <w:spacing w:val="-2"/>
                <w:sz w:val="15"/>
              </w:rPr>
              <w:t>mood,</w:t>
            </w:r>
            <w:r>
              <w:rPr>
                <w:color w:val="231F20"/>
                <w:spacing w:val="-3"/>
                <w:sz w:val="15"/>
              </w:rPr>
              <w:t> </w:t>
            </w:r>
            <w:r>
              <w:rPr>
                <w:color w:val="231F20"/>
                <w:spacing w:val="-2"/>
                <w:sz w:val="15"/>
              </w:rPr>
              <w:t>aggressive</w:t>
            </w:r>
            <w:r>
              <w:rPr>
                <w:color w:val="231F20"/>
                <w:spacing w:val="-3"/>
                <w:sz w:val="15"/>
              </w:rPr>
              <w:t> </w:t>
            </w:r>
            <w:r>
              <w:rPr>
                <w:color w:val="231F20"/>
                <w:spacing w:val="-2"/>
                <w:sz w:val="15"/>
              </w:rPr>
              <w:t>outbursts </w:t>
            </w:r>
            <w:r>
              <w:rPr>
                <w:color w:val="231F20"/>
                <w:sz w:val="15"/>
              </w:rPr>
              <w:t>Serious: liver toxicity, Stevens-Johnson syndrome</w:t>
            </w:r>
          </w:p>
        </w:tc>
      </w:tr>
      <w:tr>
        <w:trPr>
          <w:trHeight w:val="588" w:hRule="atLeast"/>
        </w:trPr>
        <w:tc>
          <w:tcPr>
            <w:tcW w:w="1764" w:type="dxa"/>
            <w:tcBorders>
              <w:top w:val="single" w:sz="4" w:space="0" w:color="FFFFFF"/>
              <w:bottom w:val="single" w:sz="4" w:space="0" w:color="FFFFFF"/>
            </w:tcBorders>
            <w:shd w:val="clear" w:color="auto" w:fill="E8F5F1"/>
          </w:tcPr>
          <w:p>
            <w:pPr>
              <w:pStyle w:val="TableParagraph"/>
              <w:spacing w:line="230" w:lineRule="auto" w:before="48"/>
              <w:ind w:left="186" w:right="327" w:hanging="112"/>
              <w:rPr>
                <w:sz w:val="15"/>
              </w:rPr>
            </w:pPr>
            <w:r>
              <w:rPr>
                <w:color w:val="231F20"/>
                <w:sz w:val="15"/>
              </w:rPr>
              <w:t>Phenytoin</w:t>
            </w:r>
            <w:r>
              <w:rPr>
                <w:color w:val="231F20"/>
                <w:spacing w:val="-12"/>
                <w:sz w:val="15"/>
              </w:rPr>
              <w:t> </w:t>
            </w:r>
            <w:r>
              <w:rPr>
                <w:color w:val="231F20"/>
                <w:sz w:val="15"/>
              </w:rPr>
              <w:t>and</w:t>
            </w:r>
            <w:r>
              <w:rPr>
                <w:color w:val="231F20"/>
                <w:spacing w:val="-11"/>
                <w:sz w:val="15"/>
              </w:rPr>
              <w:t> </w:t>
            </w:r>
            <w:r>
              <w:rPr>
                <w:color w:val="231F20"/>
                <w:sz w:val="15"/>
              </w:rPr>
              <w:t>other </w:t>
            </w:r>
            <w:r>
              <w:rPr>
                <w:color w:val="231F20"/>
                <w:spacing w:val="-2"/>
                <w:sz w:val="15"/>
              </w:rPr>
              <w:t>hydantoins</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488" w:right="240" w:hanging="112"/>
              <w:rPr>
                <w:sz w:val="15"/>
              </w:rPr>
            </w:pPr>
            <w:r>
              <w:rPr>
                <w:color w:val="231F20"/>
                <w:spacing w:val="-2"/>
                <w:sz w:val="15"/>
              </w:rPr>
              <w:t>Nuisance: gingival hyperplasia, coarsening of the facies, hirsutism, cerebellovestibular symptoms </w:t>
            </w:r>
            <w:r>
              <w:rPr>
                <w:color w:val="231F20"/>
                <w:spacing w:val="-2"/>
                <w:sz w:val="15"/>
              </w:rPr>
              <w:t>(nystagmus </w:t>
            </w:r>
            <w:r>
              <w:rPr>
                <w:color w:val="231F20"/>
                <w:sz w:val="15"/>
              </w:rPr>
              <w:t>and ataxia)</w:t>
            </w:r>
          </w:p>
          <w:p>
            <w:pPr>
              <w:pStyle w:val="TableParagraph"/>
              <w:spacing w:line="170" w:lineRule="exact"/>
              <w:ind w:left="377"/>
              <w:rPr>
                <w:sz w:val="15"/>
              </w:rPr>
            </w:pPr>
            <w:r>
              <w:rPr>
                <w:color w:val="231F20"/>
                <w:sz w:val="15"/>
              </w:rPr>
              <w:t>Serious:</w:t>
            </w:r>
            <w:r>
              <w:rPr>
                <w:color w:val="231F20"/>
                <w:spacing w:val="-9"/>
                <w:sz w:val="15"/>
              </w:rPr>
              <w:t> </w:t>
            </w:r>
            <w:r>
              <w:rPr>
                <w:color w:val="231F20"/>
                <w:sz w:val="15"/>
              </w:rPr>
              <w:t>Stevens-Johnson</w:t>
            </w:r>
            <w:r>
              <w:rPr>
                <w:color w:val="231F20"/>
                <w:spacing w:val="-8"/>
                <w:sz w:val="15"/>
              </w:rPr>
              <w:t> </w:t>
            </w:r>
            <w:r>
              <w:rPr>
                <w:color w:val="231F20"/>
                <w:sz w:val="15"/>
              </w:rPr>
              <w:t>syndrome,</w:t>
            </w:r>
            <w:r>
              <w:rPr>
                <w:color w:val="231F20"/>
                <w:spacing w:val="-8"/>
                <w:sz w:val="15"/>
              </w:rPr>
              <w:t> </w:t>
            </w:r>
            <w:r>
              <w:rPr>
                <w:color w:val="231F20"/>
                <w:sz w:val="15"/>
              </w:rPr>
              <w:t>liver</w:t>
            </w:r>
            <w:r>
              <w:rPr>
                <w:color w:val="231F20"/>
                <w:spacing w:val="-8"/>
                <w:sz w:val="15"/>
              </w:rPr>
              <w:t> </w:t>
            </w:r>
            <w:r>
              <w:rPr>
                <w:color w:val="231F20"/>
                <w:spacing w:val="-2"/>
                <w:sz w:val="15"/>
              </w:rPr>
              <w:t>toxicity</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Pregabalin</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862"/>
              <w:rPr>
                <w:sz w:val="15"/>
              </w:rPr>
            </w:pPr>
            <w:r>
              <w:rPr>
                <w:color w:val="231F20"/>
                <w:sz w:val="15"/>
              </w:rPr>
              <w:t>Nuisance:</w:t>
            </w:r>
            <w:r>
              <w:rPr>
                <w:color w:val="231F20"/>
                <w:spacing w:val="-12"/>
                <w:sz w:val="15"/>
              </w:rPr>
              <w:t> </w:t>
            </w:r>
            <w:r>
              <w:rPr>
                <w:color w:val="231F20"/>
                <w:sz w:val="15"/>
              </w:rPr>
              <w:t>dizziness,</w:t>
            </w:r>
            <w:r>
              <w:rPr>
                <w:color w:val="231F20"/>
                <w:spacing w:val="-11"/>
                <w:sz w:val="15"/>
              </w:rPr>
              <w:t> </w:t>
            </w:r>
            <w:r>
              <w:rPr>
                <w:color w:val="231F20"/>
                <w:sz w:val="15"/>
              </w:rPr>
              <w:t>peripheral</w:t>
            </w:r>
            <w:r>
              <w:rPr>
                <w:color w:val="231F20"/>
                <w:spacing w:val="-11"/>
                <w:sz w:val="15"/>
              </w:rPr>
              <w:t> </w:t>
            </w:r>
            <w:r>
              <w:rPr>
                <w:color w:val="231F20"/>
                <w:sz w:val="15"/>
              </w:rPr>
              <w:t>edema,</w:t>
            </w:r>
            <w:r>
              <w:rPr>
                <w:color w:val="231F20"/>
                <w:spacing w:val="-12"/>
                <w:sz w:val="15"/>
              </w:rPr>
              <w:t> </w:t>
            </w:r>
            <w:r>
              <w:rPr>
                <w:color w:val="231F20"/>
                <w:sz w:val="15"/>
              </w:rPr>
              <w:t>blurred</w:t>
            </w:r>
            <w:r>
              <w:rPr>
                <w:color w:val="231F20"/>
                <w:spacing w:val="-11"/>
                <w:sz w:val="15"/>
              </w:rPr>
              <w:t> </w:t>
            </w:r>
            <w:r>
              <w:rPr>
                <w:color w:val="231F20"/>
                <w:sz w:val="15"/>
              </w:rPr>
              <w:t>vision,</w:t>
            </w:r>
            <w:r>
              <w:rPr>
                <w:color w:val="231F20"/>
                <w:spacing w:val="-11"/>
                <w:sz w:val="15"/>
              </w:rPr>
              <w:t> </w:t>
            </w:r>
            <w:r>
              <w:rPr>
                <w:color w:val="231F20"/>
                <w:sz w:val="15"/>
              </w:rPr>
              <w:t>weight</w:t>
            </w:r>
            <w:r>
              <w:rPr>
                <w:color w:val="231F20"/>
                <w:spacing w:val="-12"/>
                <w:sz w:val="15"/>
              </w:rPr>
              <w:t> </w:t>
            </w:r>
            <w:r>
              <w:rPr>
                <w:color w:val="231F20"/>
                <w:sz w:val="15"/>
              </w:rPr>
              <w:t>gain,</w:t>
            </w:r>
            <w:r>
              <w:rPr>
                <w:color w:val="231F20"/>
                <w:spacing w:val="-11"/>
                <w:sz w:val="15"/>
              </w:rPr>
              <w:t> </w:t>
            </w:r>
            <w:r>
              <w:rPr>
                <w:color w:val="231F20"/>
                <w:sz w:val="15"/>
              </w:rPr>
              <w:t>thrombocytopenia Serious: hypersensitivity reactions, rhabdomyolysis</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Primidone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750"/>
              <w:rPr>
                <w:sz w:val="15"/>
              </w:rPr>
            </w:pPr>
            <w:r>
              <w:rPr>
                <w:color w:val="231F20"/>
                <w:sz w:val="15"/>
              </w:rPr>
              <w:t>Nuisance:</w:t>
            </w:r>
            <w:r>
              <w:rPr>
                <w:color w:val="231F20"/>
                <w:spacing w:val="-11"/>
                <w:sz w:val="15"/>
              </w:rPr>
              <w:t> </w:t>
            </w:r>
            <w:r>
              <w:rPr>
                <w:color w:val="231F20"/>
                <w:sz w:val="15"/>
              </w:rPr>
              <w:t>CNS</w:t>
            </w:r>
            <w:r>
              <w:rPr>
                <w:color w:val="231F20"/>
                <w:spacing w:val="-11"/>
                <w:sz w:val="15"/>
              </w:rPr>
              <w:t> </w:t>
            </w:r>
            <w:r>
              <w:rPr>
                <w:color w:val="231F20"/>
                <w:sz w:val="15"/>
              </w:rPr>
              <w:t>toxicity</w:t>
            </w:r>
            <w:r>
              <w:rPr>
                <w:color w:val="231F20"/>
                <w:spacing w:val="-11"/>
                <w:sz w:val="15"/>
              </w:rPr>
              <w:t> </w:t>
            </w:r>
            <w:r>
              <w:rPr>
                <w:color w:val="231F20"/>
                <w:sz w:val="15"/>
              </w:rPr>
              <w:t>(dizziness,</w:t>
            </w:r>
            <w:r>
              <w:rPr>
                <w:color w:val="231F20"/>
                <w:spacing w:val="-11"/>
                <w:sz w:val="15"/>
              </w:rPr>
              <w:t> </w:t>
            </w:r>
            <w:r>
              <w:rPr>
                <w:color w:val="231F20"/>
                <w:sz w:val="15"/>
              </w:rPr>
              <w:t>slurred</w:t>
            </w:r>
            <w:r>
              <w:rPr>
                <w:color w:val="231F20"/>
                <w:spacing w:val="-11"/>
                <w:sz w:val="15"/>
              </w:rPr>
              <w:t> </w:t>
            </w:r>
            <w:r>
              <w:rPr>
                <w:color w:val="231F20"/>
                <w:sz w:val="15"/>
              </w:rPr>
              <w:t>speech,</w:t>
            </w:r>
            <w:r>
              <w:rPr>
                <w:color w:val="231F20"/>
                <w:spacing w:val="-11"/>
                <w:sz w:val="15"/>
              </w:rPr>
              <w:t> </w:t>
            </w:r>
            <w:r>
              <w:rPr>
                <w:color w:val="231F20"/>
                <w:sz w:val="15"/>
              </w:rPr>
              <w:t>giddiness,</w:t>
            </w:r>
            <w:r>
              <w:rPr>
                <w:color w:val="231F20"/>
                <w:spacing w:val="-11"/>
                <w:sz w:val="15"/>
              </w:rPr>
              <w:t> </w:t>
            </w:r>
            <w:r>
              <w:rPr>
                <w:color w:val="231F20"/>
                <w:sz w:val="15"/>
              </w:rPr>
              <w:t>drowsiness,</w:t>
            </w:r>
            <w:r>
              <w:rPr>
                <w:color w:val="231F20"/>
                <w:spacing w:val="-11"/>
                <w:sz w:val="15"/>
              </w:rPr>
              <w:t> </w:t>
            </w:r>
            <w:r>
              <w:rPr>
                <w:color w:val="231F20"/>
                <w:sz w:val="15"/>
              </w:rPr>
              <w:t>depression) Serious: liver toxicity, Stevens-Johnson syndrome</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Rufinamide</w:t>
            </w:r>
          </w:p>
        </w:tc>
        <w:tc>
          <w:tcPr>
            <w:tcW w:w="7977" w:type="dxa"/>
            <w:tcBorders>
              <w:top w:val="single" w:sz="4" w:space="0" w:color="FFFFFF"/>
              <w:bottom w:val="single" w:sz="4" w:space="0" w:color="FFFFFF"/>
            </w:tcBorders>
            <w:shd w:val="clear" w:color="auto" w:fill="E8F5F1"/>
          </w:tcPr>
          <w:p>
            <w:pPr>
              <w:pStyle w:val="TableParagraph"/>
              <w:spacing w:line="171" w:lineRule="exact" w:before="42"/>
              <w:ind w:left="377"/>
              <w:rPr>
                <w:sz w:val="15"/>
              </w:rPr>
            </w:pPr>
            <w:r>
              <w:rPr>
                <w:color w:val="231F20"/>
                <w:sz w:val="15"/>
              </w:rPr>
              <w:t>Nuisance:</w:t>
            </w:r>
            <w:r>
              <w:rPr>
                <w:color w:val="231F20"/>
                <w:spacing w:val="-9"/>
                <w:sz w:val="15"/>
              </w:rPr>
              <w:t> </w:t>
            </w:r>
            <w:r>
              <w:rPr>
                <w:color w:val="231F20"/>
                <w:sz w:val="15"/>
              </w:rPr>
              <w:t>somnolence,</w:t>
            </w:r>
            <w:r>
              <w:rPr>
                <w:color w:val="231F20"/>
                <w:spacing w:val="-6"/>
                <w:sz w:val="15"/>
              </w:rPr>
              <w:t> </w:t>
            </w:r>
            <w:r>
              <w:rPr>
                <w:color w:val="231F20"/>
                <w:spacing w:val="-2"/>
                <w:sz w:val="15"/>
              </w:rPr>
              <w:t>vomiting</w:t>
            </w:r>
          </w:p>
          <w:p>
            <w:pPr>
              <w:pStyle w:val="TableParagraph"/>
              <w:spacing w:line="171" w:lineRule="exact"/>
              <w:ind w:left="377"/>
              <w:rPr>
                <w:sz w:val="15"/>
              </w:rPr>
            </w:pPr>
            <w:r>
              <w:rPr>
                <w:color w:val="231F20"/>
                <w:spacing w:val="-2"/>
                <w:sz w:val="15"/>
              </w:rPr>
              <w:t>Serious:</w:t>
            </w:r>
            <w:r>
              <w:rPr>
                <w:color w:val="231F20"/>
                <w:sz w:val="15"/>
              </w:rPr>
              <w:t> </w:t>
            </w:r>
            <w:r>
              <w:rPr>
                <w:color w:val="231F20"/>
                <w:spacing w:val="-2"/>
                <w:sz w:val="15"/>
              </w:rPr>
              <w:t>contraindicated</w:t>
            </w:r>
            <w:r>
              <w:rPr>
                <w:color w:val="231F20"/>
                <w:spacing w:val="1"/>
                <w:sz w:val="15"/>
              </w:rPr>
              <w:t> </w:t>
            </w:r>
            <w:r>
              <w:rPr>
                <w:color w:val="231F20"/>
                <w:spacing w:val="-2"/>
                <w:sz w:val="15"/>
              </w:rPr>
              <w:t>in</w:t>
            </w:r>
            <w:r>
              <w:rPr>
                <w:color w:val="231F20"/>
                <w:spacing w:val="1"/>
                <w:sz w:val="15"/>
              </w:rPr>
              <w:t> </w:t>
            </w:r>
            <w:r>
              <w:rPr>
                <w:color w:val="231F20"/>
                <w:spacing w:val="-2"/>
                <w:sz w:val="15"/>
              </w:rPr>
              <w:t>familial</w:t>
            </w:r>
            <w:r>
              <w:rPr>
                <w:color w:val="231F20"/>
                <w:spacing w:val="1"/>
                <w:sz w:val="15"/>
              </w:rPr>
              <w:t> </w:t>
            </w:r>
            <w:r>
              <w:rPr>
                <w:color w:val="231F20"/>
                <w:spacing w:val="-2"/>
                <w:sz w:val="15"/>
              </w:rPr>
              <w:t>short</w:t>
            </w:r>
            <w:r>
              <w:rPr>
                <w:color w:val="231F20"/>
                <w:spacing w:val="1"/>
                <w:sz w:val="15"/>
              </w:rPr>
              <w:t> </w:t>
            </w:r>
            <w:r>
              <w:rPr>
                <w:color w:val="231F20"/>
                <w:spacing w:val="-2"/>
                <w:sz w:val="15"/>
              </w:rPr>
              <w:t>QT</w:t>
            </w:r>
            <w:r>
              <w:rPr>
                <w:color w:val="231F20"/>
                <w:spacing w:val="1"/>
                <w:sz w:val="15"/>
              </w:rPr>
              <w:t> </w:t>
            </w:r>
            <w:r>
              <w:rPr>
                <w:color w:val="231F20"/>
                <w:spacing w:val="-2"/>
                <w:sz w:val="15"/>
              </w:rPr>
              <w:t>interval</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Succinimides</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3195"/>
              <w:rPr>
                <w:sz w:val="15"/>
              </w:rPr>
            </w:pPr>
            <w:r>
              <w:rPr>
                <w:color w:val="231F20"/>
                <w:spacing w:val="-2"/>
                <w:sz w:val="15"/>
              </w:rPr>
              <w:t>Nuisance: nausea, abdominal discomfort, anorexia, </w:t>
            </w:r>
            <w:r>
              <w:rPr>
                <w:color w:val="231F20"/>
                <w:spacing w:val="-2"/>
                <w:sz w:val="15"/>
              </w:rPr>
              <w:t>hiccups </w:t>
            </w:r>
            <w:r>
              <w:rPr>
                <w:color w:val="231F20"/>
                <w:sz w:val="15"/>
              </w:rPr>
              <w:t>Serious: Stevens-Johnson syndrome, drug-induced lupus</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Tiagabine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Pr>
                <w:sz w:val="15"/>
              </w:rPr>
            </w:pPr>
            <w:r>
              <w:rPr>
                <w:color w:val="231F20"/>
                <w:sz w:val="15"/>
              </w:rPr>
              <w:t>Nuisance:</w:t>
            </w:r>
            <w:r>
              <w:rPr>
                <w:color w:val="231F20"/>
                <w:spacing w:val="-12"/>
                <w:sz w:val="15"/>
              </w:rPr>
              <w:t> </w:t>
            </w:r>
            <w:r>
              <w:rPr>
                <w:color w:val="231F20"/>
                <w:sz w:val="15"/>
              </w:rPr>
              <w:t>dizziness,</w:t>
            </w:r>
            <w:r>
              <w:rPr>
                <w:color w:val="231F20"/>
                <w:spacing w:val="-11"/>
                <w:sz w:val="15"/>
              </w:rPr>
              <w:t> </w:t>
            </w:r>
            <w:r>
              <w:rPr>
                <w:color w:val="231F20"/>
                <w:sz w:val="15"/>
              </w:rPr>
              <w:t>somnolence,</w:t>
            </w:r>
            <w:r>
              <w:rPr>
                <w:color w:val="231F20"/>
                <w:spacing w:val="-11"/>
                <w:sz w:val="15"/>
              </w:rPr>
              <w:t> </w:t>
            </w:r>
            <w:r>
              <w:rPr>
                <w:color w:val="231F20"/>
                <w:sz w:val="15"/>
              </w:rPr>
              <w:t>asthenia,</w:t>
            </w:r>
            <w:r>
              <w:rPr>
                <w:color w:val="231F20"/>
                <w:spacing w:val="-12"/>
                <w:sz w:val="15"/>
              </w:rPr>
              <w:t> </w:t>
            </w:r>
            <w:r>
              <w:rPr>
                <w:color w:val="231F20"/>
                <w:sz w:val="15"/>
              </w:rPr>
              <w:t>headache</w:t>
            </w:r>
            <w:r>
              <w:rPr>
                <w:color w:val="231F20"/>
                <w:spacing w:val="-11"/>
                <w:sz w:val="15"/>
              </w:rPr>
              <w:t> </w:t>
            </w:r>
            <w:r>
              <w:rPr>
                <w:color w:val="231F20"/>
                <w:sz w:val="15"/>
              </w:rPr>
              <w:t>and</w:t>
            </w:r>
            <w:r>
              <w:rPr>
                <w:color w:val="231F20"/>
                <w:spacing w:val="-11"/>
                <w:sz w:val="15"/>
              </w:rPr>
              <w:t> </w:t>
            </w:r>
            <w:r>
              <w:rPr>
                <w:color w:val="231F20"/>
                <w:sz w:val="15"/>
              </w:rPr>
              <w:t>tremor,</w:t>
            </w:r>
            <w:r>
              <w:rPr>
                <w:color w:val="231F20"/>
                <w:spacing w:val="-12"/>
                <w:sz w:val="15"/>
              </w:rPr>
              <w:t> </w:t>
            </w:r>
            <w:r>
              <w:rPr>
                <w:color w:val="231F20"/>
                <w:sz w:val="15"/>
              </w:rPr>
              <w:t>precipitation</w:t>
            </w:r>
            <w:r>
              <w:rPr>
                <w:color w:val="231F20"/>
                <w:spacing w:val="-11"/>
                <w:sz w:val="15"/>
              </w:rPr>
              <w:t> </w:t>
            </w:r>
            <w:r>
              <w:rPr>
                <w:color w:val="231F20"/>
                <w:sz w:val="15"/>
              </w:rPr>
              <w:t>of</w:t>
            </w:r>
            <w:r>
              <w:rPr>
                <w:color w:val="231F20"/>
                <w:spacing w:val="-11"/>
                <w:sz w:val="15"/>
              </w:rPr>
              <w:t> </w:t>
            </w:r>
            <w:r>
              <w:rPr>
                <w:color w:val="231F20"/>
                <w:sz w:val="15"/>
              </w:rPr>
              <w:t>absence</w:t>
            </w:r>
            <w:r>
              <w:rPr>
                <w:color w:val="231F20"/>
                <w:spacing w:val="-11"/>
                <w:sz w:val="15"/>
              </w:rPr>
              <w:t> </w:t>
            </w:r>
            <w:r>
              <w:rPr>
                <w:color w:val="231F20"/>
                <w:sz w:val="15"/>
              </w:rPr>
              <w:t>or</w:t>
            </w:r>
            <w:r>
              <w:rPr>
                <w:color w:val="231F20"/>
                <w:spacing w:val="-12"/>
                <w:sz w:val="15"/>
              </w:rPr>
              <w:t> </w:t>
            </w:r>
            <w:r>
              <w:rPr>
                <w:color w:val="231F20"/>
                <w:sz w:val="15"/>
              </w:rPr>
              <w:t>myoclonic</w:t>
            </w:r>
            <w:r>
              <w:rPr>
                <w:color w:val="231F20"/>
                <w:spacing w:val="-11"/>
                <w:sz w:val="15"/>
              </w:rPr>
              <w:t> </w:t>
            </w:r>
            <w:r>
              <w:rPr>
                <w:color w:val="231F20"/>
                <w:sz w:val="15"/>
              </w:rPr>
              <w:t>seizures Serious: precipitation of nonconvulsive status epilepticus</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Topiramate</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964"/>
              <w:rPr>
                <w:sz w:val="15"/>
              </w:rPr>
            </w:pPr>
            <w:r>
              <w:rPr>
                <w:color w:val="231F20"/>
                <w:spacing w:val="-2"/>
                <w:sz w:val="15"/>
              </w:rPr>
              <w:t>Nuisance:</w:t>
            </w:r>
            <w:r>
              <w:rPr>
                <w:color w:val="231F20"/>
                <w:spacing w:val="-3"/>
                <w:sz w:val="15"/>
              </w:rPr>
              <w:t> </w:t>
            </w:r>
            <w:r>
              <w:rPr>
                <w:color w:val="231F20"/>
                <w:spacing w:val="-2"/>
                <w:sz w:val="15"/>
              </w:rPr>
              <w:t>cognitive</w:t>
            </w:r>
            <w:r>
              <w:rPr>
                <w:color w:val="231F20"/>
                <w:spacing w:val="-3"/>
                <w:sz w:val="15"/>
              </w:rPr>
              <w:t> </w:t>
            </w:r>
            <w:r>
              <w:rPr>
                <w:color w:val="231F20"/>
                <w:spacing w:val="-2"/>
                <w:sz w:val="15"/>
              </w:rPr>
              <w:t>dysfunction,</w:t>
            </w:r>
            <w:r>
              <w:rPr>
                <w:color w:val="231F20"/>
                <w:spacing w:val="-3"/>
                <w:sz w:val="15"/>
              </w:rPr>
              <w:t> </w:t>
            </w:r>
            <w:r>
              <w:rPr>
                <w:color w:val="231F20"/>
                <w:spacing w:val="-2"/>
                <w:sz w:val="15"/>
              </w:rPr>
              <w:t>weight</w:t>
            </w:r>
            <w:r>
              <w:rPr>
                <w:color w:val="231F20"/>
                <w:spacing w:val="-3"/>
                <w:sz w:val="15"/>
              </w:rPr>
              <w:t> </w:t>
            </w:r>
            <w:r>
              <w:rPr>
                <w:color w:val="231F20"/>
                <w:spacing w:val="-2"/>
                <w:sz w:val="15"/>
              </w:rPr>
              <w:t>loss,</w:t>
            </w:r>
            <w:r>
              <w:rPr>
                <w:color w:val="231F20"/>
                <w:spacing w:val="-3"/>
                <w:sz w:val="15"/>
              </w:rPr>
              <w:t> </w:t>
            </w:r>
            <w:r>
              <w:rPr>
                <w:color w:val="231F20"/>
                <w:spacing w:val="-2"/>
                <w:sz w:val="15"/>
              </w:rPr>
              <w:t>renal</w:t>
            </w:r>
            <w:r>
              <w:rPr>
                <w:color w:val="231F20"/>
                <w:spacing w:val="-3"/>
                <w:sz w:val="15"/>
              </w:rPr>
              <w:t> </w:t>
            </w:r>
            <w:r>
              <w:rPr>
                <w:color w:val="231F20"/>
                <w:spacing w:val="-2"/>
                <w:sz w:val="15"/>
              </w:rPr>
              <w:t>calculi,</w:t>
            </w:r>
            <w:r>
              <w:rPr>
                <w:color w:val="231F20"/>
                <w:spacing w:val="-3"/>
                <w:sz w:val="15"/>
              </w:rPr>
              <w:t> </w:t>
            </w:r>
            <w:r>
              <w:rPr>
                <w:color w:val="231F20"/>
                <w:spacing w:val="-2"/>
                <w:sz w:val="15"/>
              </w:rPr>
              <w:t>hypohidrosis,</w:t>
            </w:r>
            <w:r>
              <w:rPr>
                <w:color w:val="231F20"/>
                <w:spacing w:val="-3"/>
                <w:sz w:val="15"/>
              </w:rPr>
              <w:t> </w:t>
            </w:r>
            <w:r>
              <w:rPr>
                <w:color w:val="231F20"/>
                <w:spacing w:val="-2"/>
                <w:sz w:val="15"/>
              </w:rPr>
              <w:t>fever </w:t>
            </w:r>
            <w:r>
              <w:rPr>
                <w:color w:val="231F20"/>
                <w:sz w:val="15"/>
              </w:rPr>
              <w:t>Serious: precipitation of glaucoma</w:t>
            </w:r>
          </w:p>
        </w:tc>
      </w:tr>
      <w:tr>
        <w:trPr>
          <w:trHeight w:val="420"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Valproic</w:t>
            </w:r>
            <w:r>
              <w:rPr>
                <w:color w:val="231F20"/>
                <w:sz w:val="15"/>
              </w:rPr>
              <w:t> </w:t>
            </w:r>
            <w:r>
              <w:rPr>
                <w:color w:val="231F20"/>
                <w:spacing w:val="-4"/>
                <w:sz w:val="15"/>
              </w:rPr>
              <w:t>acid</w:t>
            </w:r>
          </w:p>
        </w:tc>
        <w:tc>
          <w:tcPr>
            <w:tcW w:w="7977" w:type="dxa"/>
            <w:tcBorders>
              <w:top w:val="single" w:sz="4" w:space="0" w:color="FFFFFF"/>
              <w:bottom w:val="single" w:sz="4" w:space="0" w:color="FFFFFF"/>
            </w:tcBorders>
            <w:shd w:val="clear" w:color="auto" w:fill="E8F5F1"/>
          </w:tcPr>
          <w:p>
            <w:pPr>
              <w:pStyle w:val="TableParagraph"/>
              <w:spacing w:line="230" w:lineRule="auto" w:before="48"/>
              <w:ind w:left="377" w:right="1750"/>
              <w:rPr>
                <w:sz w:val="15"/>
              </w:rPr>
            </w:pPr>
            <w:r>
              <w:rPr>
                <w:color w:val="231F20"/>
                <w:spacing w:val="-2"/>
                <w:sz w:val="15"/>
              </w:rPr>
              <w:t>Nuisance: weight gain; hyperammonemia tremor, alopecia, menstrual </w:t>
            </w:r>
            <w:r>
              <w:rPr>
                <w:color w:val="231F20"/>
                <w:spacing w:val="-2"/>
                <w:sz w:val="15"/>
              </w:rPr>
              <w:t>irregularities </w:t>
            </w:r>
            <w:r>
              <w:rPr>
                <w:color w:val="231F20"/>
                <w:sz w:val="15"/>
              </w:rPr>
              <w:t>Serious: hepatic and pancreatic toxicity</w:t>
            </w:r>
          </w:p>
        </w:tc>
      </w:tr>
      <w:tr>
        <w:trPr>
          <w:trHeight w:val="588" w:hRule="atLeast"/>
        </w:trPr>
        <w:tc>
          <w:tcPr>
            <w:tcW w:w="176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Vigabatrin</w:t>
            </w:r>
          </w:p>
        </w:tc>
        <w:tc>
          <w:tcPr>
            <w:tcW w:w="7977" w:type="dxa"/>
            <w:tcBorders>
              <w:top w:val="single" w:sz="4" w:space="0" w:color="FFFFFF"/>
              <w:bottom w:val="single" w:sz="4" w:space="0" w:color="FFFFFF"/>
            </w:tcBorders>
            <w:shd w:val="clear" w:color="auto" w:fill="E8F5F1"/>
          </w:tcPr>
          <w:p>
            <w:pPr>
              <w:pStyle w:val="TableParagraph"/>
              <w:spacing w:line="171" w:lineRule="exact" w:before="42"/>
              <w:ind w:left="377"/>
              <w:rPr>
                <w:sz w:val="15"/>
              </w:rPr>
            </w:pPr>
            <w:r>
              <w:rPr>
                <w:color w:val="231F20"/>
                <w:sz w:val="15"/>
              </w:rPr>
              <w:t>Nuisance:</w:t>
            </w:r>
            <w:r>
              <w:rPr>
                <w:color w:val="231F20"/>
                <w:spacing w:val="-6"/>
                <w:sz w:val="15"/>
              </w:rPr>
              <w:t> </w:t>
            </w:r>
            <w:r>
              <w:rPr>
                <w:color w:val="231F20"/>
                <w:spacing w:val="-2"/>
                <w:sz w:val="15"/>
              </w:rPr>
              <w:t>hyperactivity</w:t>
            </w:r>
          </w:p>
          <w:p>
            <w:pPr>
              <w:pStyle w:val="TableParagraph"/>
              <w:spacing w:line="230" w:lineRule="auto" w:before="3"/>
              <w:ind w:left="488" w:right="170" w:hanging="112"/>
              <w:rPr>
                <w:sz w:val="15"/>
              </w:rPr>
            </w:pPr>
            <w:r>
              <w:rPr>
                <w:color w:val="231F20"/>
                <w:spacing w:val="-2"/>
                <w:sz w:val="15"/>
              </w:rPr>
              <w:t>Serious: irreversible visual field deficits, retinopathy that requires frequent ophthalmologic evaluations </w:t>
            </w:r>
            <w:r>
              <w:rPr>
                <w:color w:val="231F20"/>
                <w:spacing w:val="-2"/>
                <w:sz w:val="15"/>
              </w:rPr>
              <w:t>and </w:t>
            </w:r>
            <w:r>
              <w:rPr>
                <w:color w:val="231F20"/>
                <w:sz w:val="15"/>
              </w:rPr>
              <w:t>follow up</w:t>
            </w:r>
          </w:p>
        </w:tc>
      </w:tr>
      <w:tr>
        <w:trPr>
          <w:trHeight w:val="247" w:hRule="atLeast"/>
        </w:trPr>
        <w:tc>
          <w:tcPr>
            <w:tcW w:w="1764"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Zonisamide</w:t>
            </w:r>
          </w:p>
        </w:tc>
        <w:tc>
          <w:tcPr>
            <w:tcW w:w="7977" w:type="dxa"/>
            <w:tcBorders>
              <w:top w:val="single" w:sz="4" w:space="0" w:color="FFFFFF"/>
              <w:bottom w:val="single" w:sz="8" w:space="0" w:color="231F20"/>
            </w:tcBorders>
            <w:shd w:val="clear" w:color="auto" w:fill="E8F5F1"/>
          </w:tcPr>
          <w:p>
            <w:pPr>
              <w:pStyle w:val="TableParagraph"/>
              <w:spacing w:before="42"/>
              <w:ind w:left="377"/>
              <w:rPr>
                <w:sz w:val="15"/>
              </w:rPr>
            </w:pPr>
            <w:r>
              <w:rPr>
                <w:color w:val="231F20"/>
                <w:spacing w:val="-2"/>
                <w:sz w:val="15"/>
              </w:rPr>
              <w:t>Fatigue,</w:t>
            </w:r>
            <w:r>
              <w:rPr>
                <w:color w:val="231F20"/>
                <w:spacing w:val="-1"/>
                <w:sz w:val="15"/>
              </w:rPr>
              <w:t> </w:t>
            </w:r>
            <w:r>
              <w:rPr>
                <w:color w:val="231F20"/>
                <w:spacing w:val="-2"/>
                <w:sz w:val="15"/>
              </w:rPr>
              <w:t>dizziness,</w:t>
            </w:r>
            <w:r>
              <w:rPr>
                <w:color w:val="231F20"/>
                <w:sz w:val="15"/>
              </w:rPr>
              <w:t> </w:t>
            </w:r>
            <w:r>
              <w:rPr>
                <w:color w:val="231F20"/>
                <w:spacing w:val="-2"/>
                <w:sz w:val="15"/>
              </w:rPr>
              <w:t>anorexia,</w:t>
            </w:r>
            <w:r>
              <w:rPr>
                <w:color w:val="231F20"/>
                <w:sz w:val="15"/>
              </w:rPr>
              <w:t> </w:t>
            </w:r>
            <w:r>
              <w:rPr>
                <w:color w:val="231F20"/>
                <w:spacing w:val="-2"/>
                <w:sz w:val="15"/>
              </w:rPr>
              <w:t>psychomotor</w:t>
            </w:r>
            <w:r>
              <w:rPr>
                <w:color w:val="231F20"/>
                <w:spacing w:val="-1"/>
                <w:sz w:val="15"/>
              </w:rPr>
              <w:t> </w:t>
            </w:r>
            <w:r>
              <w:rPr>
                <w:color w:val="231F20"/>
                <w:spacing w:val="-2"/>
                <w:sz w:val="15"/>
              </w:rPr>
              <w:t>slowing,</w:t>
            </w:r>
            <w:r>
              <w:rPr>
                <w:color w:val="231F20"/>
                <w:sz w:val="15"/>
              </w:rPr>
              <w:t> </w:t>
            </w:r>
            <w:r>
              <w:rPr>
                <w:color w:val="231F20"/>
                <w:spacing w:val="-2"/>
                <w:sz w:val="15"/>
              </w:rPr>
              <w:t>ataxia,</w:t>
            </w:r>
            <w:r>
              <w:rPr>
                <w:color w:val="231F20"/>
                <w:sz w:val="15"/>
              </w:rPr>
              <w:t> </w:t>
            </w:r>
            <w:r>
              <w:rPr>
                <w:color w:val="231F20"/>
                <w:spacing w:val="-2"/>
                <w:sz w:val="15"/>
              </w:rPr>
              <w:t>rarely</w:t>
            </w:r>
            <w:r>
              <w:rPr>
                <w:color w:val="231F20"/>
                <w:spacing w:val="-1"/>
                <w:sz w:val="15"/>
              </w:rPr>
              <w:t> </w:t>
            </w:r>
            <w:r>
              <w:rPr>
                <w:color w:val="231F20"/>
                <w:spacing w:val="-2"/>
                <w:sz w:val="15"/>
              </w:rPr>
              <w:t>hallucinations,</w:t>
            </w:r>
            <w:r>
              <w:rPr>
                <w:color w:val="231F20"/>
                <w:sz w:val="15"/>
              </w:rPr>
              <w:t> </w:t>
            </w:r>
            <w:r>
              <w:rPr>
                <w:color w:val="231F20"/>
                <w:spacing w:val="-2"/>
                <w:sz w:val="15"/>
              </w:rPr>
              <w:t>hypohidrosis</w:t>
            </w:r>
            <w:r>
              <w:rPr>
                <w:color w:val="231F20"/>
                <w:sz w:val="15"/>
              </w:rPr>
              <w:t> </w:t>
            </w:r>
            <w:r>
              <w:rPr>
                <w:color w:val="231F20"/>
                <w:spacing w:val="-2"/>
                <w:sz w:val="15"/>
              </w:rPr>
              <w:t>and</w:t>
            </w:r>
            <w:r>
              <w:rPr>
                <w:color w:val="231F20"/>
                <w:sz w:val="15"/>
              </w:rPr>
              <w:t> </w:t>
            </w:r>
            <w:r>
              <w:rPr>
                <w:color w:val="231F20"/>
                <w:spacing w:val="-2"/>
                <w:sz w:val="15"/>
              </w:rPr>
              <w:t>fever</w:t>
            </w:r>
          </w:p>
        </w:tc>
      </w:tr>
    </w:tbl>
    <w:p>
      <w:pPr>
        <w:pStyle w:val="BodyText"/>
        <w:spacing w:before="89"/>
        <w:ind w:left="617" w:right="4548" w:hanging="131"/>
      </w:pPr>
      <w:r>
        <w:rPr>
          <w:color w:val="231F20"/>
        </w:rPr>
        <w:t>*Essentially</w:t>
      </w:r>
      <w:r>
        <w:rPr>
          <w:color w:val="231F20"/>
          <w:spacing w:val="-1"/>
        </w:rPr>
        <w:t> </w:t>
      </w:r>
      <w:r>
        <w:rPr>
          <w:color w:val="231F20"/>
        </w:rPr>
        <w:t>all</w:t>
      </w:r>
      <w:r>
        <w:rPr>
          <w:color w:val="231F20"/>
          <w:spacing w:val="-1"/>
        </w:rPr>
        <w:t> </w:t>
      </w:r>
      <w:r>
        <w:rPr>
          <w:color w:val="231F20"/>
        </w:rPr>
        <w:t>AEDs</w:t>
      </w:r>
      <w:r>
        <w:rPr>
          <w:color w:val="231F20"/>
          <w:spacing w:val="-1"/>
        </w:rPr>
        <w:t> </w:t>
      </w:r>
      <w:r>
        <w:rPr>
          <w:color w:val="231F20"/>
        </w:rPr>
        <w:t>can</w:t>
      </w:r>
      <w:r>
        <w:rPr>
          <w:color w:val="231F20"/>
          <w:spacing w:val="-1"/>
        </w:rPr>
        <w:t> </w:t>
      </w:r>
      <w:r>
        <w:rPr>
          <w:color w:val="231F20"/>
        </w:rPr>
        <w:t>cause</w:t>
      </w:r>
      <w:r>
        <w:rPr>
          <w:color w:val="231F20"/>
          <w:spacing w:val="-1"/>
        </w:rPr>
        <w:t> </w:t>
      </w:r>
      <w:r>
        <w:rPr>
          <w:color w:val="231F20"/>
        </w:rPr>
        <w:t>CNS</w:t>
      </w:r>
      <w:r>
        <w:rPr>
          <w:color w:val="231F20"/>
          <w:spacing w:val="-1"/>
        </w:rPr>
        <w:t> </w:t>
      </w:r>
      <w:r>
        <w:rPr>
          <w:color w:val="231F20"/>
        </w:rPr>
        <w:t>toxicity</w:t>
      </w:r>
      <w:r>
        <w:rPr>
          <w:color w:val="231F20"/>
          <w:spacing w:val="-1"/>
        </w:rPr>
        <w:t> </w:t>
      </w:r>
      <w:r>
        <w:rPr>
          <w:color w:val="231F20"/>
        </w:rPr>
        <w:t>and</w:t>
      </w:r>
      <w:r>
        <w:rPr>
          <w:color w:val="231F20"/>
          <w:spacing w:val="-1"/>
        </w:rPr>
        <w:t> </w:t>
      </w:r>
      <w:r>
        <w:rPr>
          <w:color w:val="231F20"/>
        </w:rPr>
        <w:t>potentially</w:t>
      </w:r>
      <w:r>
        <w:rPr>
          <w:color w:val="231F20"/>
          <w:spacing w:val="-1"/>
        </w:rPr>
        <w:t> </w:t>
      </w:r>
      <w:r>
        <w:rPr>
          <w:color w:val="231F20"/>
        </w:rPr>
        <w:t>rashes</w:t>
      </w:r>
      <w:r>
        <w:rPr>
          <w:color w:val="231F20"/>
          <w:spacing w:val="-1"/>
        </w:rPr>
        <w:t> </w:t>
      </w:r>
      <w:r>
        <w:rPr>
          <w:color w:val="231F20"/>
        </w:rPr>
        <w:t>and</w:t>
      </w:r>
      <w:r>
        <w:rPr>
          <w:color w:val="231F20"/>
          <w:spacing w:val="-1"/>
        </w:rPr>
        <w:t> </w:t>
      </w:r>
      <w:r>
        <w:rPr>
          <w:color w:val="231F20"/>
        </w:rPr>
        <w:t>serious</w:t>
      </w:r>
      <w:r>
        <w:rPr>
          <w:color w:val="231F20"/>
          <w:spacing w:val="-1"/>
        </w:rPr>
        <w:t> </w:t>
      </w:r>
      <w:r>
        <w:rPr>
          <w:color w:val="231F20"/>
        </w:rPr>
        <w:t>allergic</w:t>
      </w:r>
      <w:r>
        <w:rPr>
          <w:color w:val="231F20"/>
          <w:spacing w:val="-1"/>
        </w:rPr>
        <w:t> </w:t>
      </w:r>
      <w:r>
        <w:rPr>
          <w:color w:val="231F20"/>
        </w:rPr>
        <w:t>reactions.</w:t>
      </w:r>
      <w:r>
        <w:rPr>
          <w:color w:val="231F20"/>
          <w:spacing w:val="40"/>
        </w:rPr>
        <w:t> </w:t>
      </w:r>
      <w:r>
        <w:rPr>
          <w:color w:val="231F20"/>
        </w:rPr>
        <w:t>AED, antiepileptic drug; CNS, central nervous system.</w:t>
      </w:r>
    </w:p>
    <w:p>
      <w:pPr>
        <w:pStyle w:val="BodyText"/>
        <w:spacing w:after="0"/>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41" name="Group 641"/>
                <wp:cNvGraphicFramePr>
                  <a:graphicFrameLocks/>
                </wp:cNvGraphicFramePr>
                <a:graphic>
                  <a:graphicData uri="http://schemas.microsoft.com/office/word/2010/wordprocessingGroup">
                    <wpg:wgp>
                      <wpg:cNvPr id="641" name="Group 641"/>
                      <wpg:cNvGrpSpPr/>
                      <wpg:grpSpPr>
                        <a:xfrm>
                          <a:off x="0" y="0"/>
                          <a:ext cx="6185535" cy="170815"/>
                          <a:chExt cx="6185535" cy="170815"/>
                        </a:xfrm>
                      </wpg:grpSpPr>
                      <wps:wsp>
                        <wps:cNvPr id="642" name="Graphic 642"/>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43" name="Graphic 643"/>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44" name="Textbox 644"/>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2850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51"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52" filled="false" stroked="false">
                  <v:textbox inset="0,0,0,0">
                    <w:txbxContent>
                      <w:p>
                        <w:pPr>
                          <w:spacing w:before="6"/>
                          <w:ind w:left="-1" w:right="0" w:firstLine="0"/>
                          <w:jc w:val="left"/>
                          <w:rPr>
                            <w:sz w:val="18"/>
                          </w:rPr>
                        </w:pPr>
                        <w:r>
                          <w:rPr>
                            <w:b/>
                            <w:color w:val="231F20"/>
                            <w:w w:val="105"/>
                            <w:sz w:val="18"/>
                          </w:rPr>
                          <w:t>2850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4"/>
        <w:gridCol w:w="6557"/>
      </w:tblGrid>
      <w:tr>
        <w:trPr>
          <w:trHeight w:val="386" w:hRule="atLeast"/>
        </w:trPr>
        <w:tc>
          <w:tcPr>
            <w:tcW w:w="9741" w:type="dxa"/>
            <w:gridSpan w:val="2"/>
            <w:shd w:val="clear" w:color="auto" w:fill="231F20"/>
          </w:tcPr>
          <w:p>
            <w:pPr>
              <w:pStyle w:val="TableParagraph"/>
              <w:spacing w:before="89"/>
              <w:ind w:left="111"/>
              <w:rPr>
                <w:sz w:val="16"/>
              </w:rPr>
            </w:pPr>
            <w:r>
              <w:rPr>
                <w:b/>
                <w:color w:val="FFFFFF"/>
                <w:w w:val="105"/>
                <w:sz w:val="16"/>
              </w:rPr>
              <w:t>Table</w:t>
            </w:r>
            <w:r>
              <w:rPr>
                <w:b/>
                <w:color w:val="FFFFFF"/>
                <w:spacing w:val="-11"/>
                <w:w w:val="105"/>
                <w:sz w:val="16"/>
              </w:rPr>
              <w:t> </w:t>
            </w:r>
            <w:r>
              <w:rPr>
                <w:b/>
                <w:color w:val="FFFFFF"/>
                <w:w w:val="105"/>
                <w:sz w:val="16"/>
              </w:rPr>
              <w:t>593-16</w:t>
            </w:r>
            <w:r>
              <w:rPr>
                <w:b/>
                <w:color w:val="FFFFFF"/>
                <w:spacing w:val="27"/>
                <w:w w:val="105"/>
                <w:sz w:val="16"/>
              </w:rPr>
              <w:t>  </w:t>
            </w:r>
            <w:r>
              <w:rPr>
                <w:color w:val="FFFFFF"/>
                <w:w w:val="105"/>
                <w:sz w:val="16"/>
              </w:rPr>
              <w:t>Clinical</w:t>
            </w:r>
            <w:r>
              <w:rPr>
                <w:color w:val="FFFFFF"/>
                <w:spacing w:val="1"/>
                <w:w w:val="105"/>
                <w:sz w:val="16"/>
              </w:rPr>
              <w:t> </w:t>
            </w:r>
            <w:r>
              <w:rPr>
                <w:color w:val="FFFFFF"/>
                <w:w w:val="105"/>
                <w:sz w:val="16"/>
              </w:rPr>
              <w:t>Characteristics, Classification,</w:t>
            </w:r>
            <w:r>
              <w:rPr>
                <w:color w:val="FFFFFF"/>
                <w:spacing w:val="1"/>
                <w:w w:val="105"/>
                <w:sz w:val="16"/>
              </w:rPr>
              <w:t> </w:t>
            </w:r>
            <w:r>
              <w:rPr>
                <w:color w:val="FFFFFF"/>
                <w:w w:val="105"/>
                <w:sz w:val="16"/>
              </w:rPr>
              <w:t>and Presumed</w:t>
            </w:r>
            <w:r>
              <w:rPr>
                <w:color w:val="FFFFFF"/>
                <w:spacing w:val="1"/>
                <w:w w:val="105"/>
                <w:sz w:val="16"/>
              </w:rPr>
              <w:t> </w:t>
            </w:r>
            <w:r>
              <w:rPr>
                <w:color w:val="FFFFFF"/>
                <w:w w:val="105"/>
                <w:sz w:val="16"/>
              </w:rPr>
              <w:t>Pathophysiology</w:t>
            </w:r>
            <w:r>
              <w:rPr>
                <w:color w:val="FFFFFF"/>
                <w:spacing w:val="1"/>
                <w:w w:val="105"/>
                <w:sz w:val="16"/>
              </w:rPr>
              <w:t> </w:t>
            </w:r>
            <w:r>
              <w:rPr>
                <w:color w:val="FFFFFF"/>
                <w:w w:val="105"/>
                <w:sz w:val="16"/>
              </w:rPr>
              <w:t>of Neonatal</w:t>
            </w:r>
            <w:r>
              <w:rPr>
                <w:color w:val="FFFFFF"/>
                <w:spacing w:val="1"/>
                <w:w w:val="105"/>
                <w:sz w:val="16"/>
              </w:rPr>
              <w:t> </w:t>
            </w:r>
            <w:r>
              <w:rPr>
                <w:color w:val="FFFFFF"/>
                <w:spacing w:val="-2"/>
                <w:w w:val="105"/>
                <w:sz w:val="16"/>
              </w:rPr>
              <w:t>Seizures</w:t>
            </w:r>
          </w:p>
        </w:tc>
      </w:tr>
      <w:tr>
        <w:trPr>
          <w:trHeight w:val="244" w:hRule="atLeast"/>
        </w:trPr>
        <w:tc>
          <w:tcPr>
            <w:tcW w:w="3184" w:type="dxa"/>
            <w:tcBorders>
              <w:bottom w:val="single" w:sz="4" w:space="0" w:color="231F20"/>
            </w:tcBorders>
            <w:shd w:val="clear" w:color="auto" w:fill="E8F5F1"/>
          </w:tcPr>
          <w:p>
            <w:pPr>
              <w:pStyle w:val="TableParagraph"/>
              <w:spacing w:before="34"/>
              <w:ind w:left="74"/>
              <w:rPr>
                <w:b/>
                <w:sz w:val="15"/>
              </w:rPr>
            </w:pPr>
            <w:r>
              <w:rPr>
                <w:b/>
                <w:color w:val="231F20"/>
                <w:spacing w:val="-2"/>
                <w:w w:val="110"/>
                <w:sz w:val="15"/>
              </w:rPr>
              <w:t>CLASSIFICATION</w:t>
            </w:r>
          </w:p>
        </w:tc>
        <w:tc>
          <w:tcPr>
            <w:tcW w:w="6557" w:type="dxa"/>
            <w:tcBorders>
              <w:bottom w:val="single" w:sz="4" w:space="0" w:color="231F20"/>
            </w:tcBorders>
            <w:shd w:val="clear" w:color="auto" w:fill="E8F5F1"/>
          </w:tcPr>
          <w:p>
            <w:pPr>
              <w:pStyle w:val="TableParagraph"/>
              <w:spacing w:before="34"/>
              <w:ind w:left="2893"/>
              <w:rPr>
                <w:b/>
                <w:sz w:val="15"/>
              </w:rPr>
            </w:pPr>
            <w:r>
              <w:rPr>
                <w:b/>
                <w:color w:val="231F20"/>
                <w:spacing w:val="-2"/>
                <w:w w:val="110"/>
                <w:sz w:val="15"/>
              </w:rPr>
              <w:t>CHARACTERIZATION</w:t>
            </w:r>
          </w:p>
        </w:tc>
      </w:tr>
      <w:tr>
        <w:trPr>
          <w:trHeight w:val="1099" w:hRule="atLeast"/>
        </w:trPr>
        <w:tc>
          <w:tcPr>
            <w:tcW w:w="3184" w:type="dxa"/>
            <w:tcBorders>
              <w:top w:val="single" w:sz="4" w:space="0" w:color="231F20"/>
              <w:bottom w:val="single" w:sz="4" w:space="0" w:color="FFFFFF"/>
            </w:tcBorders>
            <w:shd w:val="clear" w:color="auto" w:fill="E8F5F1"/>
          </w:tcPr>
          <w:p>
            <w:pPr>
              <w:pStyle w:val="TableParagraph"/>
              <w:spacing w:before="42"/>
              <w:ind w:left="74"/>
              <w:rPr>
                <w:sz w:val="15"/>
              </w:rPr>
            </w:pPr>
            <w:r>
              <w:rPr>
                <w:color w:val="231F20"/>
                <w:sz w:val="15"/>
              </w:rPr>
              <w:t>Focal</w:t>
            </w:r>
            <w:r>
              <w:rPr>
                <w:color w:val="231F20"/>
                <w:spacing w:val="1"/>
                <w:sz w:val="15"/>
              </w:rPr>
              <w:t> </w:t>
            </w:r>
            <w:r>
              <w:rPr>
                <w:color w:val="231F20"/>
                <w:spacing w:val="-2"/>
                <w:sz w:val="15"/>
              </w:rPr>
              <w:t>clonic</w:t>
            </w:r>
          </w:p>
        </w:tc>
        <w:tc>
          <w:tcPr>
            <w:tcW w:w="6557" w:type="dxa"/>
            <w:tcBorders>
              <w:top w:val="single" w:sz="4" w:space="0" w:color="231F20"/>
              <w:bottom w:val="single" w:sz="4" w:space="0" w:color="FFFFFF"/>
            </w:tcBorders>
            <w:shd w:val="clear" w:color="auto" w:fill="E8F5F1"/>
          </w:tcPr>
          <w:p>
            <w:pPr>
              <w:pStyle w:val="TableParagraph"/>
              <w:spacing w:line="232" w:lineRule="auto" w:before="46"/>
              <w:ind w:left="842" w:right="475"/>
              <w:rPr>
                <w:sz w:val="15"/>
              </w:rPr>
            </w:pPr>
            <w:r>
              <w:rPr>
                <w:color w:val="231F20"/>
                <w:spacing w:val="-2"/>
                <w:sz w:val="15"/>
              </w:rPr>
              <w:t>Repetitive,</w:t>
            </w:r>
            <w:r>
              <w:rPr>
                <w:color w:val="231F20"/>
                <w:spacing w:val="-4"/>
                <w:sz w:val="15"/>
              </w:rPr>
              <w:t> </w:t>
            </w:r>
            <w:r>
              <w:rPr>
                <w:color w:val="231F20"/>
                <w:spacing w:val="-2"/>
                <w:sz w:val="15"/>
              </w:rPr>
              <w:t>rhythmic</w:t>
            </w:r>
            <w:r>
              <w:rPr>
                <w:color w:val="231F20"/>
                <w:spacing w:val="-4"/>
                <w:sz w:val="15"/>
              </w:rPr>
              <w:t> </w:t>
            </w:r>
            <w:r>
              <w:rPr>
                <w:color w:val="231F20"/>
                <w:spacing w:val="-2"/>
                <w:sz w:val="15"/>
              </w:rPr>
              <w:t>contractions</w:t>
            </w:r>
            <w:r>
              <w:rPr>
                <w:color w:val="231F20"/>
                <w:spacing w:val="-4"/>
                <w:sz w:val="15"/>
              </w:rPr>
              <w:t> </w:t>
            </w:r>
            <w:r>
              <w:rPr>
                <w:color w:val="231F20"/>
                <w:spacing w:val="-2"/>
                <w:sz w:val="15"/>
              </w:rPr>
              <w:t>of</w:t>
            </w:r>
            <w:r>
              <w:rPr>
                <w:color w:val="231F20"/>
                <w:spacing w:val="-4"/>
                <w:sz w:val="15"/>
              </w:rPr>
              <w:t> </w:t>
            </w:r>
            <w:r>
              <w:rPr>
                <w:color w:val="231F20"/>
                <w:spacing w:val="-2"/>
                <w:sz w:val="15"/>
              </w:rPr>
              <w:t>muscle</w:t>
            </w:r>
            <w:r>
              <w:rPr>
                <w:color w:val="231F20"/>
                <w:spacing w:val="-4"/>
                <w:sz w:val="15"/>
              </w:rPr>
              <w:t> </w:t>
            </w:r>
            <w:r>
              <w:rPr>
                <w:color w:val="231F20"/>
                <w:spacing w:val="-2"/>
                <w:sz w:val="15"/>
              </w:rPr>
              <w:t>groups</w:t>
            </w:r>
            <w:r>
              <w:rPr>
                <w:color w:val="231F20"/>
                <w:spacing w:val="-4"/>
                <w:sz w:val="15"/>
              </w:rPr>
              <w:t> </w:t>
            </w:r>
            <w:r>
              <w:rPr>
                <w:color w:val="231F20"/>
                <w:spacing w:val="-2"/>
                <w:sz w:val="15"/>
              </w:rPr>
              <w:t>of</w:t>
            </w:r>
            <w:r>
              <w:rPr>
                <w:color w:val="231F20"/>
                <w:spacing w:val="-4"/>
                <w:sz w:val="15"/>
              </w:rPr>
              <w:t> </w:t>
            </w:r>
            <w:r>
              <w:rPr>
                <w:color w:val="231F20"/>
                <w:spacing w:val="-2"/>
                <w:sz w:val="15"/>
              </w:rPr>
              <w:t>the</w:t>
            </w:r>
            <w:r>
              <w:rPr>
                <w:color w:val="231F20"/>
                <w:spacing w:val="-4"/>
                <w:sz w:val="15"/>
              </w:rPr>
              <w:t> </w:t>
            </w:r>
            <w:r>
              <w:rPr>
                <w:color w:val="231F20"/>
                <w:spacing w:val="-2"/>
                <w:sz w:val="15"/>
              </w:rPr>
              <w:t>limbs,</w:t>
            </w:r>
            <w:r>
              <w:rPr>
                <w:color w:val="231F20"/>
                <w:spacing w:val="-4"/>
                <w:sz w:val="15"/>
              </w:rPr>
              <w:t> </w:t>
            </w:r>
            <w:r>
              <w:rPr>
                <w:color w:val="231F20"/>
                <w:spacing w:val="-2"/>
                <w:sz w:val="15"/>
              </w:rPr>
              <w:t>face,</w:t>
            </w:r>
            <w:r>
              <w:rPr>
                <w:color w:val="231F20"/>
                <w:spacing w:val="-4"/>
                <w:sz w:val="15"/>
              </w:rPr>
              <w:t> </w:t>
            </w:r>
            <w:r>
              <w:rPr>
                <w:color w:val="231F20"/>
                <w:spacing w:val="-2"/>
                <w:sz w:val="15"/>
              </w:rPr>
              <w:t>or</w:t>
            </w:r>
            <w:r>
              <w:rPr>
                <w:color w:val="231F20"/>
                <w:spacing w:val="-4"/>
                <w:sz w:val="15"/>
              </w:rPr>
              <w:t> </w:t>
            </w:r>
            <w:r>
              <w:rPr>
                <w:color w:val="231F20"/>
                <w:spacing w:val="-2"/>
                <w:sz w:val="15"/>
              </w:rPr>
              <w:t>trunk </w:t>
            </w:r>
            <w:r>
              <w:rPr>
                <w:color w:val="231F20"/>
                <w:sz w:val="15"/>
              </w:rPr>
              <w:t>May be unifocal or multifocal</w:t>
            </w:r>
          </w:p>
          <w:p>
            <w:pPr>
              <w:pStyle w:val="TableParagraph"/>
              <w:spacing w:line="232" w:lineRule="auto" w:before="1"/>
              <w:ind w:left="842"/>
              <w:rPr>
                <w:sz w:val="15"/>
              </w:rPr>
            </w:pPr>
            <w:r>
              <w:rPr>
                <w:color w:val="231F20"/>
                <w:sz w:val="15"/>
              </w:rPr>
              <w:t>May occur synchronously or asynchronously in muscle groups on 1 side of the </w:t>
            </w:r>
            <w:r>
              <w:rPr>
                <w:color w:val="231F20"/>
                <w:sz w:val="15"/>
              </w:rPr>
              <w:t>body May occur simultaneously but asynchronously on both sides</w:t>
            </w:r>
          </w:p>
          <w:p>
            <w:pPr>
              <w:pStyle w:val="TableParagraph"/>
              <w:spacing w:line="232" w:lineRule="auto" w:before="1"/>
              <w:ind w:left="842" w:right="2639"/>
              <w:rPr>
                <w:sz w:val="15"/>
              </w:rPr>
            </w:pPr>
            <w:r>
              <w:rPr>
                <w:color w:val="231F20"/>
                <w:sz w:val="15"/>
              </w:rPr>
              <w:t>Cannot</w:t>
            </w:r>
            <w:r>
              <w:rPr>
                <w:color w:val="231F20"/>
                <w:spacing w:val="-5"/>
                <w:sz w:val="15"/>
              </w:rPr>
              <w:t> </w:t>
            </w:r>
            <w:r>
              <w:rPr>
                <w:color w:val="231F20"/>
                <w:sz w:val="15"/>
              </w:rPr>
              <w:t>be</w:t>
            </w:r>
            <w:r>
              <w:rPr>
                <w:color w:val="231F20"/>
                <w:spacing w:val="-5"/>
                <w:sz w:val="15"/>
              </w:rPr>
              <w:t> </w:t>
            </w:r>
            <w:r>
              <w:rPr>
                <w:color w:val="231F20"/>
                <w:sz w:val="15"/>
              </w:rPr>
              <w:t>suppressed</w:t>
            </w:r>
            <w:r>
              <w:rPr>
                <w:color w:val="231F20"/>
                <w:spacing w:val="-5"/>
                <w:sz w:val="15"/>
              </w:rPr>
              <w:t> </w:t>
            </w:r>
            <w:r>
              <w:rPr>
                <w:color w:val="231F20"/>
                <w:sz w:val="15"/>
              </w:rPr>
              <w:t>by</w:t>
            </w:r>
            <w:r>
              <w:rPr>
                <w:color w:val="231F20"/>
                <w:spacing w:val="-5"/>
                <w:sz w:val="15"/>
              </w:rPr>
              <w:t> </w:t>
            </w:r>
            <w:r>
              <w:rPr>
                <w:color w:val="231F20"/>
                <w:sz w:val="15"/>
              </w:rPr>
              <w:t>restraint Pathophysiology: epileptic</w:t>
            </w:r>
          </w:p>
        </w:tc>
      </w:tr>
      <w:tr>
        <w:trPr>
          <w:trHeight w:val="930"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Focal</w:t>
            </w:r>
            <w:r>
              <w:rPr>
                <w:color w:val="231F20"/>
                <w:spacing w:val="1"/>
                <w:sz w:val="15"/>
              </w:rPr>
              <w:t> </w:t>
            </w:r>
            <w:r>
              <w:rPr>
                <w:color w:val="231F20"/>
                <w:spacing w:val="-2"/>
                <w:sz w:val="15"/>
              </w:rPr>
              <w:t>tonic</w:t>
            </w:r>
          </w:p>
        </w:tc>
        <w:tc>
          <w:tcPr>
            <w:tcW w:w="6557" w:type="dxa"/>
            <w:tcBorders>
              <w:top w:val="single" w:sz="4" w:space="0" w:color="FFFFFF"/>
              <w:bottom w:val="single" w:sz="4" w:space="0" w:color="FFFFFF"/>
            </w:tcBorders>
            <w:shd w:val="clear" w:color="auto" w:fill="E8F5F1"/>
          </w:tcPr>
          <w:p>
            <w:pPr>
              <w:pStyle w:val="TableParagraph"/>
              <w:spacing w:line="172" w:lineRule="exact" w:before="42"/>
              <w:ind w:left="842"/>
              <w:rPr>
                <w:sz w:val="15"/>
              </w:rPr>
            </w:pPr>
            <w:r>
              <w:rPr>
                <w:color w:val="231F20"/>
                <w:sz w:val="15"/>
              </w:rPr>
              <w:t>Sustained</w:t>
            </w:r>
            <w:r>
              <w:rPr>
                <w:color w:val="231F20"/>
                <w:spacing w:val="4"/>
                <w:sz w:val="15"/>
              </w:rPr>
              <w:t> </w:t>
            </w:r>
            <w:r>
              <w:rPr>
                <w:color w:val="231F20"/>
                <w:sz w:val="15"/>
              </w:rPr>
              <w:t>posturing</w:t>
            </w:r>
            <w:r>
              <w:rPr>
                <w:color w:val="231F20"/>
                <w:spacing w:val="4"/>
                <w:sz w:val="15"/>
              </w:rPr>
              <w:t> </w:t>
            </w:r>
            <w:r>
              <w:rPr>
                <w:color w:val="231F20"/>
                <w:sz w:val="15"/>
              </w:rPr>
              <w:t>of</w:t>
            </w:r>
            <w:r>
              <w:rPr>
                <w:color w:val="231F20"/>
                <w:spacing w:val="4"/>
                <w:sz w:val="15"/>
              </w:rPr>
              <w:t> </w:t>
            </w:r>
            <w:r>
              <w:rPr>
                <w:color w:val="231F20"/>
                <w:sz w:val="15"/>
              </w:rPr>
              <w:t>single</w:t>
            </w:r>
            <w:r>
              <w:rPr>
                <w:color w:val="231F20"/>
                <w:spacing w:val="4"/>
                <w:sz w:val="15"/>
              </w:rPr>
              <w:t> </w:t>
            </w:r>
            <w:r>
              <w:rPr>
                <w:color w:val="231F20"/>
                <w:spacing w:val="-2"/>
                <w:sz w:val="15"/>
              </w:rPr>
              <w:t>limbs</w:t>
            </w:r>
          </w:p>
          <w:p>
            <w:pPr>
              <w:pStyle w:val="TableParagraph"/>
              <w:spacing w:line="232" w:lineRule="auto" w:before="2"/>
              <w:ind w:left="842" w:right="2639"/>
              <w:rPr>
                <w:sz w:val="15"/>
              </w:rPr>
            </w:pPr>
            <w:r>
              <w:rPr>
                <w:color w:val="231F20"/>
                <w:sz w:val="15"/>
              </w:rPr>
              <w:t>Sustained</w:t>
            </w:r>
            <w:r>
              <w:rPr>
                <w:color w:val="231F20"/>
                <w:spacing w:val="-12"/>
                <w:sz w:val="15"/>
              </w:rPr>
              <w:t> </w:t>
            </w:r>
            <w:r>
              <w:rPr>
                <w:color w:val="231F20"/>
                <w:sz w:val="15"/>
              </w:rPr>
              <w:t>asymmetrical</w:t>
            </w:r>
            <w:r>
              <w:rPr>
                <w:color w:val="231F20"/>
                <w:spacing w:val="-11"/>
                <w:sz w:val="15"/>
              </w:rPr>
              <w:t> </w:t>
            </w:r>
            <w:r>
              <w:rPr>
                <w:color w:val="231F20"/>
                <w:sz w:val="15"/>
              </w:rPr>
              <w:t>posturing</w:t>
            </w:r>
            <w:r>
              <w:rPr>
                <w:color w:val="231F20"/>
                <w:spacing w:val="-11"/>
                <w:sz w:val="15"/>
              </w:rPr>
              <w:t> </w:t>
            </w:r>
            <w:r>
              <w:rPr>
                <w:color w:val="231F20"/>
                <w:sz w:val="15"/>
              </w:rPr>
              <w:t>of</w:t>
            </w:r>
            <w:r>
              <w:rPr>
                <w:color w:val="231F20"/>
                <w:spacing w:val="-12"/>
                <w:sz w:val="15"/>
              </w:rPr>
              <w:t> </w:t>
            </w:r>
            <w:r>
              <w:rPr>
                <w:color w:val="231F20"/>
                <w:sz w:val="15"/>
              </w:rPr>
              <w:t>the</w:t>
            </w:r>
            <w:r>
              <w:rPr>
                <w:color w:val="231F20"/>
                <w:spacing w:val="-11"/>
                <w:sz w:val="15"/>
              </w:rPr>
              <w:t> </w:t>
            </w:r>
            <w:r>
              <w:rPr>
                <w:color w:val="231F20"/>
                <w:sz w:val="15"/>
              </w:rPr>
              <w:t>trunk Sustained eye deviation</w:t>
            </w:r>
          </w:p>
          <w:p>
            <w:pPr>
              <w:pStyle w:val="TableParagraph"/>
              <w:spacing w:line="232" w:lineRule="auto" w:before="1"/>
              <w:ind w:left="842" w:right="475"/>
              <w:rPr>
                <w:sz w:val="15"/>
              </w:rPr>
            </w:pPr>
            <w:r>
              <w:rPr>
                <w:color w:val="231F20"/>
                <w:sz w:val="15"/>
              </w:rPr>
              <w:t>Cannot</w:t>
            </w:r>
            <w:r>
              <w:rPr>
                <w:color w:val="231F20"/>
                <w:spacing w:val="-3"/>
                <w:sz w:val="15"/>
              </w:rPr>
              <w:t> </w:t>
            </w:r>
            <w:r>
              <w:rPr>
                <w:color w:val="231F20"/>
                <w:sz w:val="15"/>
              </w:rPr>
              <w:t>be</w:t>
            </w:r>
            <w:r>
              <w:rPr>
                <w:color w:val="231F20"/>
                <w:spacing w:val="-3"/>
                <w:sz w:val="15"/>
              </w:rPr>
              <w:t> </w:t>
            </w:r>
            <w:r>
              <w:rPr>
                <w:color w:val="231F20"/>
                <w:sz w:val="15"/>
              </w:rPr>
              <w:t>provoked</w:t>
            </w:r>
            <w:r>
              <w:rPr>
                <w:color w:val="231F20"/>
                <w:spacing w:val="-3"/>
                <w:sz w:val="15"/>
              </w:rPr>
              <w:t> </w:t>
            </w:r>
            <w:r>
              <w:rPr>
                <w:color w:val="231F20"/>
                <w:sz w:val="15"/>
              </w:rPr>
              <w:t>by</w:t>
            </w:r>
            <w:r>
              <w:rPr>
                <w:color w:val="231F20"/>
                <w:spacing w:val="-3"/>
                <w:sz w:val="15"/>
              </w:rPr>
              <w:t> </w:t>
            </w:r>
            <w:r>
              <w:rPr>
                <w:color w:val="231F20"/>
                <w:sz w:val="15"/>
              </w:rPr>
              <w:t>stimulation</w:t>
            </w:r>
            <w:r>
              <w:rPr>
                <w:color w:val="231F20"/>
                <w:spacing w:val="-3"/>
                <w:sz w:val="15"/>
              </w:rPr>
              <w:t> </w:t>
            </w:r>
            <w:r>
              <w:rPr>
                <w:color w:val="231F20"/>
                <w:sz w:val="15"/>
              </w:rPr>
              <w:t>or</w:t>
            </w:r>
            <w:r>
              <w:rPr>
                <w:color w:val="231F20"/>
                <w:spacing w:val="-3"/>
                <w:sz w:val="15"/>
              </w:rPr>
              <w:t> </w:t>
            </w:r>
            <w:r>
              <w:rPr>
                <w:color w:val="231F20"/>
                <w:sz w:val="15"/>
              </w:rPr>
              <w:t>suppressed</w:t>
            </w:r>
            <w:r>
              <w:rPr>
                <w:color w:val="231F20"/>
                <w:spacing w:val="-3"/>
                <w:sz w:val="15"/>
              </w:rPr>
              <w:t> </w:t>
            </w:r>
            <w:r>
              <w:rPr>
                <w:color w:val="231F20"/>
                <w:sz w:val="15"/>
              </w:rPr>
              <w:t>by</w:t>
            </w:r>
            <w:r>
              <w:rPr>
                <w:color w:val="231F20"/>
                <w:spacing w:val="-3"/>
                <w:sz w:val="15"/>
              </w:rPr>
              <w:t> </w:t>
            </w:r>
            <w:r>
              <w:rPr>
                <w:color w:val="231F20"/>
                <w:sz w:val="15"/>
              </w:rPr>
              <w:t>restraint Pathophysiology: epileptic</w:t>
            </w:r>
          </w:p>
        </w:tc>
      </w:tr>
      <w:tr>
        <w:trPr>
          <w:trHeight w:val="930"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Generalized</w:t>
            </w:r>
            <w:r>
              <w:rPr>
                <w:color w:val="231F20"/>
                <w:spacing w:val="-8"/>
                <w:sz w:val="15"/>
              </w:rPr>
              <w:t> </w:t>
            </w:r>
            <w:r>
              <w:rPr>
                <w:color w:val="231F20"/>
                <w:spacing w:val="-2"/>
                <w:sz w:val="15"/>
              </w:rPr>
              <w:t>tonic</w:t>
            </w:r>
          </w:p>
        </w:tc>
        <w:tc>
          <w:tcPr>
            <w:tcW w:w="6557" w:type="dxa"/>
            <w:tcBorders>
              <w:top w:val="single" w:sz="4" w:space="0" w:color="FFFFFF"/>
              <w:bottom w:val="single" w:sz="4" w:space="0" w:color="FFFFFF"/>
            </w:tcBorders>
            <w:shd w:val="clear" w:color="auto" w:fill="E8F5F1"/>
          </w:tcPr>
          <w:p>
            <w:pPr>
              <w:pStyle w:val="TableParagraph"/>
              <w:spacing w:line="232" w:lineRule="auto" w:before="46"/>
              <w:ind w:left="842" w:right="1631"/>
              <w:rPr>
                <w:sz w:val="15"/>
              </w:rPr>
            </w:pPr>
            <w:r>
              <w:rPr>
                <w:color w:val="231F20"/>
                <w:sz w:val="15"/>
              </w:rPr>
              <w:t>Sustained</w:t>
            </w:r>
            <w:r>
              <w:rPr>
                <w:color w:val="231F20"/>
                <w:spacing w:val="-12"/>
                <w:sz w:val="15"/>
              </w:rPr>
              <w:t> </w:t>
            </w:r>
            <w:r>
              <w:rPr>
                <w:color w:val="231F20"/>
                <w:sz w:val="15"/>
              </w:rPr>
              <w:t>symmetrical</w:t>
            </w:r>
            <w:r>
              <w:rPr>
                <w:color w:val="231F20"/>
                <w:spacing w:val="-11"/>
                <w:sz w:val="15"/>
              </w:rPr>
              <w:t> </w:t>
            </w:r>
            <w:r>
              <w:rPr>
                <w:color w:val="231F20"/>
                <w:sz w:val="15"/>
              </w:rPr>
              <w:t>posturing</w:t>
            </w:r>
            <w:r>
              <w:rPr>
                <w:color w:val="231F20"/>
                <w:spacing w:val="-11"/>
                <w:sz w:val="15"/>
              </w:rPr>
              <w:t> </w:t>
            </w:r>
            <w:r>
              <w:rPr>
                <w:color w:val="231F20"/>
                <w:sz w:val="15"/>
              </w:rPr>
              <w:t>of</w:t>
            </w:r>
            <w:r>
              <w:rPr>
                <w:color w:val="231F20"/>
                <w:spacing w:val="-12"/>
                <w:sz w:val="15"/>
              </w:rPr>
              <w:t> </w:t>
            </w:r>
            <w:r>
              <w:rPr>
                <w:color w:val="231F20"/>
                <w:sz w:val="15"/>
              </w:rPr>
              <w:t>limbs,</w:t>
            </w:r>
            <w:r>
              <w:rPr>
                <w:color w:val="231F20"/>
                <w:spacing w:val="-11"/>
                <w:sz w:val="15"/>
              </w:rPr>
              <w:t> </w:t>
            </w:r>
            <w:r>
              <w:rPr>
                <w:color w:val="231F20"/>
                <w:sz w:val="15"/>
              </w:rPr>
              <w:t>trunk,</w:t>
            </w:r>
            <w:r>
              <w:rPr>
                <w:color w:val="231F20"/>
                <w:spacing w:val="-11"/>
                <w:sz w:val="15"/>
              </w:rPr>
              <w:t> </w:t>
            </w:r>
            <w:r>
              <w:rPr>
                <w:color w:val="231F20"/>
                <w:sz w:val="15"/>
              </w:rPr>
              <w:t>and</w:t>
            </w:r>
            <w:r>
              <w:rPr>
                <w:color w:val="231F20"/>
                <w:spacing w:val="-12"/>
                <w:sz w:val="15"/>
              </w:rPr>
              <w:t> </w:t>
            </w:r>
            <w:r>
              <w:rPr>
                <w:color w:val="231F20"/>
                <w:sz w:val="15"/>
              </w:rPr>
              <w:t>neck May be flexor, extensor, or mixed extensor/flexor</w:t>
            </w:r>
          </w:p>
          <w:p>
            <w:pPr>
              <w:pStyle w:val="TableParagraph"/>
              <w:spacing w:line="232" w:lineRule="auto" w:before="1"/>
              <w:ind w:left="842" w:right="2394"/>
              <w:rPr>
                <w:sz w:val="15"/>
              </w:rPr>
            </w:pPr>
            <w:r>
              <w:rPr>
                <w:color w:val="231F20"/>
                <w:sz w:val="15"/>
              </w:rPr>
              <w:t>May be provoked or intensified by stimulation May</w:t>
            </w:r>
            <w:r>
              <w:rPr>
                <w:color w:val="231F20"/>
                <w:spacing w:val="-1"/>
                <w:sz w:val="15"/>
              </w:rPr>
              <w:t> </w:t>
            </w:r>
            <w:r>
              <w:rPr>
                <w:color w:val="231F20"/>
                <w:sz w:val="15"/>
              </w:rPr>
              <w:t>be</w:t>
            </w:r>
            <w:r>
              <w:rPr>
                <w:color w:val="231F20"/>
                <w:spacing w:val="-1"/>
                <w:sz w:val="15"/>
              </w:rPr>
              <w:t> </w:t>
            </w:r>
            <w:r>
              <w:rPr>
                <w:color w:val="231F20"/>
                <w:sz w:val="15"/>
              </w:rPr>
              <w:t>suppressed</w:t>
            </w:r>
            <w:r>
              <w:rPr>
                <w:color w:val="231F20"/>
                <w:spacing w:val="-1"/>
                <w:sz w:val="15"/>
              </w:rPr>
              <w:t> </w:t>
            </w:r>
            <w:r>
              <w:rPr>
                <w:color w:val="231F20"/>
                <w:sz w:val="15"/>
              </w:rPr>
              <w:t>by</w:t>
            </w:r>
            <w:r>
              <w:rPr>
                <w:color w:val="231F20"/>
                <w:spacing w:val="-1"/>
                <w:sz w:val="15"/>
              </w:rPr>
              <w:t> </w:t>
            </w:r>
            <w:r>
              <w:rPr>
                <w:color w:val="231F20"/>
                <w:sz w:val="15"/>
              </w:rPr>
              <w:t>restraint</w:t>
            </w:r>
            <w:r>
              <w:rPr>
                <w:color w:val="231F20"/>
                <w:spacing w:val="-1"/>
                <w:sz w:val="15"/>
              </w:rPr>
              <w:t> </w:t>
            </w:r>
            <w:r>
              <w:rPr>
                <w:color w:val="231F20"/>
                <w:sz w:val="15"/>
              </w:rPr>
              <w:t>or</w:t>
            </w:r>
            <w:r>
              <w:rPr>
                <w:color w:val="231F20"/>
                <w:spacing w:val="-1"/>
                <w:sz w:val="15"/>
              </w:rPr>
              <w:t> </w:t>
            </w:r>
            <w:r>
              <w:rPr>
                <w:color w:val="231F20"/>
                <w:sz w:val="15"/>
              </w:rPr>
              <w:t>repositioning Presumed pathophysiology: nonepileptic</w:t>
            </w:r>
          </w:p>
        </w:tc>
      </w:tr>
      <w:tr>
        <w:trPr>
          <w:trHeight w:val="930"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Myoclonic</w:t>
            </w:r>
          </w:p>
        </w:tc>
        <w:tc>
          <w:tcPr>
            <w:tcW w:w="6557" w:type="dxa"/>
            <w:tcBorders>
              <w:top w:val="single" w:sz="4" w:space="0" w:color="FFFFFF"/>
              <w:bottom w:val="single" w:sz="4" w:space="0" w:color="FFFFFF"/>
            </w:tcBorders>
            <w:shd w:val="clear" w:color="auto" w:fill="E8F5F1"/>
          </w:tcPr>
          <w:p>
            <w:pPr>
              <w:pStyle w:val="TableParagraph"/>
              <w:spacing w:line="232" w:lineRule="auto" w:before="46"/>
              <w:ind w:left="842"/>
              <w:rPr>
                <w:sz w:val="15"/>
              </w:rPr>
            </w:pPr>
            <w:r>
              <w:rPr>
                <w:color w:val="231F20"/>
                <w:sz w:val="15"/>
              </w:rPr>
              <w:t>Random,</w:t>
            </w:r>
            <w:r>
              <w:rPr>
                <w:color w:val="231F20"/>
                <w:spacing w:val="-10"/>
                <w:sz w:val="15"/>
              </w:rPr>
              <w:t> </w:t>
            </w:r>
            <w:r>
              <w:rPr>
                <w:color w:val="231F20"/>
                <w:sz w:val="15"/>
              </w:rPr>
              <w:t>single,</w:t>
            </w:r>
            <w:r>
              <w:rPr>
                <w:color w:val="231F20"/>
                <w:spacing w:val="-10"/>
                <w:sz w:val="15"/>
              </w:rPr>
              <w:t> </w:t>
            </w:r>
            <w:r>
              <w:rPr>
                <w:color w:val="231F20"/>
                <w:sz w:val="15"/>
              </w:rPr>
              <w:t>rapid</w:t>
            </w:r>
            <w:r>
              <w:rPr>
                <w:color w:val="231F20"/>
                <w:spacing w:val="-10"/>
                <w:sz w:val="15"/>
              </w:rPr>
              <w:t> </w:t>
            </w:r>
            <w:r>
              <w:rPr>
                <w:color w:val="231F20"/>
                <w:sz w:val="15"/>
              </w:rPr>
              <w:t>contractions</w:t>
            </w:r>
            <w:r>
              <w:rPr>
                <w:color w:val="231F20"/>
                <w:spacing w:val="-10"/>
                <w:sz w:val="15"/>
              </w:rPr>
              <w:t> </w:t>
            </w:r>
            <w:r>
              <w:rPr>
                <w:color w:val="231F20"/>
                <w:sz w:val="15"/>
              </w:rPr>
              <w:t>of</w:t>
            </w:r>
            <w:r>
              <w:rPr>
                <w:color w:val="231F20"/>
                <w:spacing w:val="-10"/>
                <w:sz w:val="15"/>
              </w:rPr>
              <w:t> </w:t>
            </w:r>
            <w:r>
              <w:rPr>
                <w:color w:val="231F20"/>
                <w:sz w:val="15"/>
              </w:rPr>
              <w:t>muscle</w:t>
            </w:r>
            <w:r>
              <w:rPr>
                <w:color w:val="231F20"/>
                <w:spacing w:val="-10"/>
                <w:sz w:val="15"/>
              </w:rPr>
              <w:t> </w:t>
            </w:r>
            <w:r>
              <w:rPr>
                <w:color w:val="231F20"/>
                <w:sz w:val="15"/>
              </w:rPr>
              <w:t>groups</w:t>
            </w:r>
            <w:r>
              <w:rPr>
                <w:color w:val="231F20"/>
                <w:spacing w:val="-10"/>
                <w:sz w:val="15"/>
              </w:rPr>
              <w:t> </w:t>
            </w:r>
            <w:r>
              <w:rPr>
                <w:color w:val="231F20"/>
                <w:sz w:val="15"/>
              </w:rPr>
              <w:t>of</w:t>
            </w:r>
            <w:r>
              <w:rPr>
                <w:color w:val="231F20"/>
                <w:spacing w:val="-10"/>
                <w:sz w:val="15"/>
              </w:rPr>
              <w:t> </w:t>
            </w:r>
            <w:r>
              <w:rPr>
                <w:color w:val="231F20"/>
                <w:sz w:val="15"/>
              </w:rPr>
              <w:t>the</w:t>
            </w:r>
            <w:r>
              <w:rPr>
                <w:color w:val="231F20"/>
                <w:spacing w:val="-10"/>
                <w:sz w:val="15"/>
              </w:rPr>
              <w:t> </w:t>
            </w:r>
            <w:r>
              <w:rPr>
                <w:color w:val="231F20"/>
                <w:sz w:val="15"/>
              </w:rPr>
              <w:t>limbs,</w:t>
            </w:r>
            <w:r>
              <w:rPr>
                <w:color w:val="231F20"/>
                <w:spacing w:val="-10"/>
                <w:sz w:val="15"/>
              </w:rPr>
              <w:t> </w:t>
            </w:r>
            <w:r>
              <w:rPr>
                <w:color w:val="231F20"/>
                <w:sz w:val="15"/>
              </w:rPr>
              <w:t>face,</w:t>
            </w:r>
            <w:r>
              <w:rPr>
                <w:color w:val="231F20"/>
                <w:spacing w:val="-10"/>
                <w:sz w:val="15"/>
              </w:rPr>
              <w:t> </w:t>
            </w:r>
            <w:r>
              <w:rPr>
                <w:color w:val="231F20"/>
                <w:sz w:val="15"/>
              </w:rPr>
              <w:t>or</w:t>
            </w:r>
            <w:r>
              <w:rPr>
                <w:color w:val="231F20"/>
                <w:spacing w:val="-10"/>
                <w:sz w:val="15"/>
              </w:rPr>
              <w:t> </w:t>
            </w:r>
            <w:r>
              <w:rPr>
                <w:color w:val="231F20"/>
                <w:sz w:val="15"/>
              </w:rPr>
              <w:t>trunk Typically not repetitive or may recur at a slow rate</w:t>
            </w:r>
          </w:p>
          <w:p>
            <w:pPr>
              <w:pStyle w:val="TableParagraph"/>
              <w:spacing w:line="232" w:lineRule="auto" w:before="1"/>
              <w:ind w:left="842" w:right="2911"/>
              <w:rPr>
                <w:sz w:val="15"/>
              </w:rPr>
            </w:pPr>
            <w:r>
              <w:rPr>
                <w:color w:val="231F20"/>
                <w:sz w:val="15"/>
              </w:rPr>
              <w:t>May</w:t>
            </w:r>
            <w:r>
              <w:rPr>
                <w:color w:val="231F20"/>
                <w:spacing w:val="-12"/>
                <w:sz w:val="15"/>
              </w:rPr>
              <w:t> </w:t>
            </w:r>
            <w:r>
              <w:rPr>
                <w:color w:val="231F20"/>
                <w:sz w:val="15"/>
              </w:rPr>
              <w:t>be</w:t>
            </w:r>
            <w:r>
              <w:rPr>
                <w:color w:val="231F20"/>
                <w:spacing w:val="-11"/>
                <w:sz w:val="15"/>
              </w:rPr>
              <w:t> </w:t>
            </w:r>
            <w:r>
              <w:rPr>
                <w:color w:val="231F20"/>
                <w:sz w:val="15"/>
              </w:rPr>
              <w:t>generalized,</w:t>
            </w:r>
            <w:r>
              <w:rPr>
                <w:color w:val="231F20"/>
                <w:spacing w:val="-11"/>
                <w:sz w:val="15"/>
              </w:rPr>
              <w:t> </w:t>
            </w:r>
            <w:r>
              <w:rPr>
                <w:color w:val="231F20"/>
                <w:sz w:val="15"/>
              </w:rPr>
              <w:t>focal,</w:t>
            </w:r>
            <w:r>
              <w:rPr>
                <w:color w:val="231F20"/>
                <w:spacing w:val="-12"/>
                <w:sz w:val="15"/>
              </w:rPr>
              <w:t> </w:t>
            </w:r>
            <w:r>
              <w:rPr>
                <w:color w:val="231F20"/>
                <w:sz w:val="15"/>
              </w:rPr>
              <w:t>or</w:t>
            </w:r>
            <w:r>
              <w:rPr>
                <w:color w:val="231F20"/>
                <w:spacing w:val="-11"/>
                <w:sz w:val="15"/>
              </w:rPr>
              <w:t> </w:t>
            </w:r>
            <w:r>
              <w:rPr>
                <w:color w:val="231F20"/>
                <w:sz w:val="15"/>
              </w:rPr>
              <w:t>fragmentary May be provoked by stimulation</w:t>
            </w:r>
          </w:p>
          <w:p>
            <w:pPr>
              <w:pStyle w:val="TableParagraph"/>
              <w:spacing w:line="171" w:lineRule="exact"/>
              <w:ind w:left="842"/>
              <w:rPr>
                <w:sz w:val="15"/>
              </w:rPr>
            </w:pPr>
            <w:r>
              <w:rPr>
                <w:color w:val="231F20"/>
                <w:sz w:val="15"/>
              </w:rPr>
              <w:t>Presumed</w:t>
            </w:r>
            <w:r>
              <w:rPr>
                <w:color w:val="231F20"/>
                <w:spacing w:val="-1"/>
                <w:sz w:val="15"/>
              </w:rPr>
              <w:t> </w:t>
            </w:r>
            <w:r>
              <w:rPr>
                <w:color w:val="231F20"/>
                <w:sz w:val="15"/>
              </w:rPr>
              <w:t>pathophysiology:</w:t>
            </w:r>
            <w:r>
              <w:rPr>
                <w:color w:val="231F20"/>
                <w:spacing w:val="-1"/>
                <w:sz w:val="15"/>
              </w:rPr>
              <w:t> </w:t>
            </w:r>
            <w:r>
              <w:rPr>
                <w:color w:val="231F20"/>
                <w:sz w:val="15"/>
              </w:rPr>
              <w:t>may be</w:t>
            </w:r>
            <w:r>
              <w:rPr>
                <w:color w:val="231F20"/>
                <w:spacing w:val="-1"/>
                <w:sz w:val="15"/>
              </w:rPr>
              <w:t> </w:t>
            </w:r>
            <w:r>
              <w:rPr>
                <w:color w:val="231F20"/>
                <w:sz w:val="15"/>
              </w:rPr>
              <w:t>epileptic</w:t>
            </w:r>
            <w:r>
              <w:rPr>
                <w:color w:val="231F20"/>
                <w:spacing w:val="-1"/>
                <w:sz w:val="15"/>
              </w:rPr>
              <w:t> </w:t>
            </w:r>
            <w:r>
              <w:rPr>
                <w:color w:val="231F20"/>
                <w:sz w:val="15"/>
              </w:rPr>
              <w:t>or </w:t>
            </w:r>
            <w:r>
              <w:rPr>
                <w:color w:val="231F20"/>
                <w:spacing w:val="-2"/>
                <w:sz w:val="15"/>
              </w:rPr>
              <w:t>nonepileptic</w:t>
            </w:r>
          </w:p>
        </w:tc>
      </w:tr>
      <w:tr>
        <w:trPr>
          <w:trHeight w:val="761"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Spasms</w:t>
            </w:r>
          </w:p>
        </w:tc>
        <w:tc>
          <w:tcPr>
            <w:tcW w:w="6557" w:type="dxa"/>
            <w:tcBorders>
              <w:top w:val="single" w:sz="4" w:space="0" w:color="FFFFFF"/>
              <w:bottom w:val="single" w:sz="4" w:space="0" w:color="FFFFFF"/>
            </w:tcBorders>
            <w:shd w:val="clear" w:color="auto" w:fill="E8F5F1"/>
          </w:tcPr>
          <w:p>
            <w:pPr>
              <w:pStyle w:val="TableParagraph"/>
              <w:spacing w:line="232" w:lineRule="auto" w:before="46"/>
              <w:ind w:left="842" w:right="2394"/>
              <w:rPr>
                <w:sz w:val="15"/>
              </w:rPr>
            </w:pPr>
            <w:r>
              <w:rPr>
                <w:color w:val="231F20"/>
                <w:spacing w:val="-2"/>
                <w:sz w:val="15"/>
              </w:rPr>
              <w:t>May</w:t>
            </w:r>
            <w:r>
              <w:rPr>
                <w:color w:val="231F20"/>
                <w:spacing w:val="-6"/>
                <w:sz w:val="15"/>
              </w:rPr>
              <w:t> </w:t>
            </w:r>
            <w:r>
              <w:rPr>
                <w:color w:val="231F20"/>
                <w:spacing w:val="-2"/>
                <w:sz w:val="15"/>
              </w:rPr>
              <w:t>be</w:t>
            </w:r>
            <w:r>
              <w:rPr>
                <w:color w:val="231F20"/>
                <w:spacing w:val="-6"/>
                <w:sz w:val="15"/>
              </w:rPr>
              <w:t> </w:t>
            </w:r>
            <w:r>
              <w:rPr>
                <w:color w:val="231F20"/>
                <w:spacing w:val="-2"/>
                <w:sz w:val="15"/>
              </w:rPr>
              <w:t>flexor,</w:t>
            </w:r>
            <w:r>
              <w:rPr>
                <w:color w:val="231F20"/>
                <w:spacing w:val="-6"/>
                <w:sz w:val="15"/>
              </w:rPr>
              <w:t> </w:t>
            </w:r>
            <w:r>
              <w:rPr>
                <w:color w:val="231F20"/>
                <w:spacing w:val="-2"/>
                <w:sz w:val="15"/>
              </w:rPr>
              <w:t>extensor,</w:t>
            </w:r>
            <w:r>
              <w:rPr>
                <w:color w:val="231F20"/>
                <w:spacing w:val="-6"/>
                <w:sz w:val="15"/>
              </w:rPr>
              <w:t> </w:t>
            </w:r>
            <w:r>
              <w:rPr>
                <w:color w:val="231F20"/>
                <w:spacing w:val="-2"/>
                <w:sz w:val="15"/>
              </w:rPr>
              <w:t>or</w:t>
            </w:r>
            <w:r>
              <w:rPr>
                <w:color w:val="231F20"/>
                <w:spacing w:val="-6"/>
                <w:sz w:val="15"/>
              </w:rPr>
              <w:t> </w:t>
            </w:r>
            <w:r>
              <w:rPr>
                <w:color w:val="231F20"/>
                <w:spacing w:val="-2"/>
                <w:sz w:val="15"/>
              </w:rPr>
              <w:t>mixed</w:t>
            </w:r>
            <w:r>
              <w:rPr>
                <w:color w:val="231F20"/>
                <w:spacing w:val="-6"/>
                <w:sz w:val="15"/>
              </w:rPr>
              <w:t> </w:t>
            </w:r>
            <w:r>
              <w:rPr>
                <w:color w:val="231F20"/>
                <w:spacing w:val="-2"/>
                <w:sz w:val="15"/>
              </w:rPr>
              <w:t>extensor/flexor </w:t>
            </w:r>
            <w:r>
              <w:rPr>
                <w:color w:val="231F20"/>
                <w:sz w:val="15"/>
              </w:rPr>
              <w:t>May occur in clusters</w:t>
            </w:r>
          </w:p>
          <w:p>
            <w:pPr>
              <w:pStyle w:val="TableParagraph"/>
              <w:spacing w:line="232" w:lineRule="auto" w:before="1"/>
              <w:ind w:left="842" w:right="475"/>
              <w:rPr>
                <w:sz w:val="15"/>
              </w:rPr>
            </w:pPr>
            <w:r>
              <w:rPr>
                <w:color w:val="231F20"/>
                <w:sz w:val="15"/>
              </w:rPr>
              <w:t>Cannot</w:t>
            </w:r>
            <w:r>
              <w:rPr>
                <w:color w:val="231F20"/>
                <w:spacing w:val="-3"/>
                <w:sz w:val="15"/>
              </w:rPr>
              <w:t> </w:t>
            </w:r>
            <w:r>
              <w:rPr>
                <w:color w:val="231F20"/>
                <w:sz w:val="15"/>
              </w:rPr>
              <w:t>be</w:t>
            </w:r>
            <w:r>
              <w:rPr>
                <w:color w:val="231F20"/>
                <w:spacing w:val="-3"/>
                <w:sz w:val="15"/>
              </w:rPr>
              <w:t> </w:t>
            </w:r>
            <w:r>
              <w:rPr>
                <w:color w:val="231F20"/>
                <w:sz w:val="15"/>
              </w:rPr>
              <w:t>provoked</w:t>
            </w:r>
            <w:r>
              <w:rPr>
                <w:color w:val="231F20"/>
                <w:spacing w:val="-3"/>
                <w:sz w:val="15"/>
              </w:rPr>
              <w:t> </w:t>
            </w:r>
            <w:r>
              <w:rPr>
                <w:color w:val="231F20"/>
                <w:sz w:val="15"/>
              </w:rPr>
              <w:t>by</w:t>
            </w:r>
            <w:r>
              <w:rPr>
                <w:color w:val="231F20"/>
                <w:spacing w:val="-3"/>
                <w:sz w:val="15"/>
              </w:rPr>
              <w:t> </w:t>
            </w:r>
            <w:r>
              <w:rPr>
                <w:color w:val="231F20"/>
                <w:sz w:val="15"/>
              </w:rPr>
              <w:t>stimulation</w:t>
            </w:r>
            <w:r>
              <w:rPr>
                <w:color w:val="231F20"/>
                <w:spacing w:val="-3"/>
                <w:sz w:val="15"/>
              </w:rPr>
              <w:t> </w:t>
            </w:r>
            <w:r>
              <w:rPr>
                <w:color w:val="231F20"/>
                <w:sz w:val="15"/>
              </w:rPr>
              <w:t>or</w:t>
            </w:r>
            <w:r>
              <w:rPr>
                <w:color w:val="231F20"/>
                <w:spacing w:val="-3"/>
                <w:sz w:val="15"/>
              </w:rPr>
              <w:t> </w:t>
            </w:r>
            <w:r>
              <w:rPr>
                <w:color w:val="231F20"/>
                <w:sz w:val="15"/>
              </w:rPr>
              <w:t>suppressed</w:t>
            </w:r>
            <w:r>
              <w:rPr>
                <w:color w:val="231F20"/>
                <w:spacing w:val="-3"/>
                <w:sz w:val="15"/>
              </w:rPr>
              <w:t> </w:t>
            </w:r>
            <w:r>
              <w:rPr>
                <w:color w:val="231F20"/>
                <w:sz w:val="15"/>
              </w:rPr>
              <w:t>by</w:t>
            </w:r>
            <w:r>
              <w:rPr>
                <w:color w:val="231F20"/>
                <w:spacing w:val="-3"/>
                <w:sz w:val="15"/>
              </w:rPr>
              <w:t> </w:t>
            </w:r>
            <w:r>
              <w:rPr>
                <w:color w:val="231F20"/>
                <w:sz w:val="15"/>
              </w:rPr>
              <w:t>restraint Pathophysiology: epileptic</w:t>
            </w:r>
          </w:p>
        </w:tc>
      </w:tr>
      <w:tr>
        <w:trPr>
          <w:trHeight w:val="252" w:hRule="atLeast"/>
        </w:trPr>
        <w:tc>
          <w:tcPr>
            <w:tcW w:w="974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Motor</w:t>
            </w:r>
            <w:r>
              <w:rPr>
                <w:color w:val="231F20"/>
                <w:spacing w:val="24"/>
                <w:sz w:val="15"/>
              </w:rPr>
              <w:t> </w:t>
            </w:r>
            <w:r>
              <w:rPr>
                <w:color w:val="231F20"/>
                <w:spacing w:val="-2"/>
                <w:sz w:val="15"/>
              </w:rPr>
              <w:t>automatisms</w:t>
            </w:r>
          </w:p>
        </w:tc>
      </w:tr>
      <w:tr>
        <w:trPr>
          <w:trHeight w:val="591"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Ocular</w:t>
            </w:r>
            <w:r>
              <w:rPr>
                <w:color w:val="231F20"/>
                <w:spacing w:val="1"/>
                <w:sz w:val="15"/>
              </w:rPr>
              <w:t> </w:t>
            </w:r>
            <w:r>
              <w:rPr>
                <w:color w:val="231F20"/>
                <w:spacing w:val="-2"/>
                <w:sz w:val="15"/>
              </w:rPr>
              <w:t>signs</w:t>
            </w:r>
          </w:p>
        </w:tc>
        <w:tc>
          <w:tcPr>
            <w:tcW w:w="6557" w:type="dxa"/>
            <w:tcBorders>
              <w:top w:val="single" w:sz="4" w:space="0" w:color="FFFFFF"/>
              <w:bottom w:val="single" w:sz="4" w:space="0" w:color="FFFFFF"/>
            </w:tcBorders>
            <w:shd w:val="clear" w:color="auto" w:fill="E8F5F1"/>
          </w:tcPr>
          <w:p>
            <w:pPr>
              <w:pStyle w:val="TableParagraph"/>
              <w:spacing w:line="232" w:lineRule="auto" w:before="46"/>
              <w:ind w:left="842"/>
              <w:rPr>
                <w:sz w:val="15"/>
              </w:rPr>
            </w:pPr>
            <w:r>
              <w:rPr>
                <w:color w:val="231F20"/>
                <w:sz w:val="15"/>
              </w:rPr>
              <w:t>Random</w:t>
            </w:r>
            <w:r>
              <w:rPr>
                <w:color w:val="231F20"/>
                <w:spacing w:val="-6"/>
                <w:sz w:val="15"/>
              </w:rPr>
              <w:t> </w:t>
            </w:r>
            <w:r>
              <w:rPr>
                <w:color w:val="231F20"/>
                <w:sz w:val="15"/>
              </w:rPr>
              <w:t>and</w:t>
            </w:r>
            <w:r>
              <w:rPr>
                <w:color w:val="231F20"/>
                <w:spacing w:val="-6"/>
                <w:sz w:val="15"/>
              </w:rPr>
              <w:t> </w:t>
            </w:r>
            <w:r>
              <w:rPr>
                <w:color w:val="231F20"/>
                <w:sz w:val="15"/>
              </w:rPr>
              <w:t>roving</w:t>
            </w:r>
            <w:r>
              <w:rPr>
                <w:color w:val="231F20"/>
                <w:spacing w:val="-6"/>
                <w:sz w:val="15"/>
              </w:rPr>
              <w:t> </w:t>
            </w:r>
            <w:r>
              <w:rPr>
                <w:color w:val="231F20"/>
                <w:sz w:val="15"/>
              </w:rPr>
              <w:t>eye</w:t>
            </w:r>
            <w:r>
              <w:rPr>
                <w:color w:val="231F20"/>
                <w:spacing w:val="-6"/>
                <w:sz w:val="15"/>
              </w:rPr>
              <w:t> </w:t>
            </w:r>
            <w:r>
              <w:rPr>
                <w:color w:val="231F20"/>
                <w:sz w:val="15"/>
              </w:rPr>
              <w:t>movements</w:t>
            </w:r>
            <w:r>
              <w:rPr>
                <w:color w:val="231F20"/>
                <w:spacing w:val="-6"/>
                <w:sz w:val="15"/>
              </w:rPr>
              <w:t> </w:t>
            </w:r>
            <w:r>
              <w:rPr>
                <w:color w:val="231F20"/>
                <w:sz w:val="15"/>
              </w:rPr>
              <w:t>or</w:t>
            </w:r>
            <w:r>
              <w:rPr>
                <w:color w:val="231F20"/>
                <w:spacing w:val="-6"/>
                <w:sz w:val="15"/>
              </w:rPr>
              <w:t> </w:t>
            </w:r>
            <w:r>
              <w:rPr>
                <w:color w:val="231F20"/>
                <w:sz w:val="15"/>
              </w:rPr>
              <w:t>nystagmus</w:t>
            </w:r>
            <w:r>
              <w:rPr>
                <w:color w:val="231F20"/>
                <w:spacing w:val="-6"/>
                <w:sz w:val="15"/>
              </w:rPr>
              <w:t> </w:t>
            </w:r>
            <w:r>
              <w:rPr>
                <w:color w:val="231F20"/>
                <w:sz w:val="15"/>
              </w:rPr>
              <w:t>(distinct</w:t>
            </w:r>
            <w:r>
              <w:rPr>
                <w:color w:val="231F20"/>
                <w:spacing w:val="-6"/>
                <w:sz w:val="15"/>
              </w:rPr>
              <w:t> </w:t>
            </w:r>
            <w:r>
              <w:rPr>
                <w:color w:val="231F20"/>
                <w:sz w:val="15"/>
              </w:rPr>
              <w:t>from</w:t>
            </w:r>
            <w:r>
              <w:rPr>
                <w:color w:val="231F20"/>
                <w:spacing w:val="-6"/>
                <w:sz w:val="15"/>
              </w:rPr>
              <w:t> </w:t>
            </w:r>
            <w:r>
              <w:rPr>
                <w:color w:val="231F20"/>
                <w:sz w:val="15"/>
              </w:rPr>
              <w:t>tonic</w:t>
            </w:r>
            <w:r>
              <w:rPr>
                <w:color w:val="231F20"/>
                <w:spacing w:val="-6"/>
                <w:sz w:val="15"/>
              </w:rPr>
              <w:t> </w:t>
            </w:r>
            <w:r>
              <w:rPr>
                <w:color w:val="231F20"/>
                <w:sz w:val="15"/>
              </w:rPr>
              <w:t>eye</w:t>
            </w:r>
            <w:r>
              <w:rPr>
                <w:color w:val="231F20"/>
                <w:spacing w:val="-6"/>
                <w:sz w:val="15"/>
              </w:rPr>
              <w:t> </w:t>
            </w:r>
            <w:r>
              <w:rPr>
                <w:color w:val="231F20"/>
                <w:sz w:val="15"/>
              </w:rPr>
              <w:t>deviation) May be provoked or intensified by tactile stimulation</w:t>
            </w:r>
          </w:p>
          <w:p>
            <w:pPr>
              <w:pStyle w:val="TableParagraph"/>
              <w:spacing w:line="171" w:lineRule="exact"/>
              <w:ind w:left="842"/>
              <w:rPr>
                <w:sz w:val="15"/>
              </w:rPr>
            </w:pPr>
            <w:r>
              <w:rPr>
                <w:color w:val="231F20"/>
                <w:sz w:val="15"/>
              </w:rPr>
              <w:t>Presumed</w:t>
            </w:r>
            <w:r>
              <w:rPr>
                <w:color w:val="231F20"/>
                <w:spacing w:val="4"/>
                <w:sz w:val="15"/>
              </w:rPr>
              <w:t> </w:t>
            </w:r>
            <w:r>
              <w:rPr>
                <w:color w:val="231F20"/>
                <w:sz w:val="15"/>
              </w:rPr>
              <w:t>pathophysiology:</w:t>
            </w:r>
            <w:r>
              <w:rPr>
                <w:color w:val="231F20"/>
                <w:spacing w:val="4"/>
                <w:sz w:val="15"/>
              </w:rPr>
              <w:t> </w:t>
            </w:r>
            <w:r>
              <w:rPr>
                <w:color w:val="231F20"/>
                <w:spacing w:val="-2"/>
                <w:sz w:val="15"/>
              </w:rPr>
              <w:t>nonepileptic</w:t>
            </w:r>
          </w:p>
        </w:tc>
      </w:tr>
      <w:tr>
        <w:trPr>
          <w:trHeight w:val="591"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Oral-buccal-lingual</w:t>
            </w:r>
            <w:r>
              <w:rPr>
                <w:color w:val="231F20"/>
                <w:spacing w:val="13"/>
                <w:sz w:val="15"/>
              </w:rPr>
              <w:t> </w:t>
            </w:r>
            <w:r>
              <w:rPr>
                <w:color w:val="231F20"/>
                <w:spacing w:val="-2"/>
                <w:sz w:val="15"/>
              </w:rPr>
              <w:t>movements</w:t>
            </w:r>
          </w:p>
        </w:tc>
        <w:tc>
          <w:tcPr>
            <w:tcW w:w="6557" w:type="dxa"/>
            <w:tcBorders>
              <w:top w:val="single" w:sz="4" w:space="0" w:color="FFFFFF"/>
              <w:bottom w:val="single" w:sz="4" w:space="0" w:color="FFFFFF"/>
            </w:tcBorders>
            <w:shd w:val="clear" w:color="auto" w:fill="E8F5F1"/>
          </w:tcPr>
          <w:p>
            <w:pPr>
              <w:pStyle w:val="TableParagraph"/>
              <w:spacing w:line="172" w:lineRule="exact" w:before="42"/>
              <w:ind w:left="842"/>
              <w:rPr>
                <w:sz w:val="15"/>
              </w:rPr>
            </w:pPr>
            <w:r>
              <w:rPr>
                <w:color w:val="231F20"/>
                <w:sz w:val="15"/>
              </w:rPr>
              <w:t>Sucking,</w:t>
            </w:r>
            <w:r>
              <w:rPr>
                <w:color w:val="231F20"/>
                <w:spacing w:val="-3"/>
                <w:sz w:val="15"/>
              </w:rPr>
              <w:t> </w:t>
            </w:r>
            <w:r>
              <w:rPr>
                <w:color w:val="231F20"/>
                <w:sz w:val="15"/>
              </w:rPr>
              <w:t>chewing,</w:t>
            </w:r>
            <w:r>
              <w:rPr>
                <w:color w:val="231F20"/>
                <w:spacing w:val="-2"/>
                <w:sz w:val="15"/>
              </w:rPr>
              <w:t> </w:t>
            </w:r>
            <w:r>
              <w:rPr>
                <w:color w:val="231F20"/>
                <w:sz w:val="15"/>
              </w:rPr>
              <w:t>tongue</w:t>
            </w:r>
            <w:r>
              <w:rPr>
                <w:color w:val="231F20"/>
                <w:spacing w:val="-2"/>
                <w:sz w:val="15"/>
              </w:rPr>
              <w:t> protrusions</w:t>
            </w:r>
          </w:p>
          <w:p>
            <w:pPr>
              <w:pStyle w:val="TableParagraph"/>
              <w:spacing w:line="232" w:lineRule="auto" w:before="2"/>
              <w:ind w:left="842" w:right="2394"/>
              <w:rPr>
                <w:sz w:val="15"/>
              </w:rPr>
            </w:pPr>
            <w:r>
              <w:rPr>
                <w:color w:val="231F20"/>
                <w:sz w:val="15"/>
              </w:rPr>
              <w:t>May</w:t>
            </w:r>
            <w:r>
              <w:rPr>
                <w:color w:val="231F20"/>
                <w:spacing w:val="-7"/>
                <w:sz w:val="15"/>
              </w:rPr>
              <w:t> </w:t>
            </w:r>
            <w:r>
              <w:rPr>
                <w:color w:val="231F20"/>
                <w:sz w:val="15"/>
              </w:rPr>
              <w:t>be</w:t>
            </w:r>
            <w:r>
              <w:rPr>
                <w:color w:val="231F20"/>
                <w:spacing w:val="-7"/>
                <w:sz w:val="15"/>
              </w:rPr>
              <w:t> </w:t>
            </w:r>
            <w:r>
              <w:rPr>
                <w:color w:val="231F20"/>
                <w:sz w:val="15"/>
              </w:rPr>
              <w:t>provoked</w:t>
            </w:r>
            <w:r>
              <w:rPr>
                <w:color w:val="231F20"/>
                <w:spacing w:val="-7"/>
                <w:sz w:val="15"/>
              </w:rPr>
              <w:t> </w:t>
            </w:r>
            <w:r>
              <w:rPr>
                <w:color w:val="231F20"/>
                <w:sz w:val="15"/>
              </w:rPr>
              <w:t>or</w:t>
            </w:r>
            <w:r>
              <w:rPr>
                <w:color w:val="231F20"/>
                <w:spacing w:val="-7"/>
                <w:sz w:val="15"/>
              </w:rPr>
              <w:t> </w:t>
            </w:r>
            <w:r>
              <w:rPr>
                <w:color w:val="231F20"/>
                <w:sz w:val="15"/>
              </w:rPr>
              <w:t>intensified</w:t>
            </w:r>
            <w:r>
              <w:rPr>
                <w:color w:val="231F20"/>
                <w:spacing w:val="-7"/>
                <w:sz w:val="15"/>
              </w:rPr>
              <w:t> </w:t>
            </w:r>
            <w:r>
              <w:rPr>
                <w:color w:val="231F20"/>
                <w:sz w:val="15"/>
              </w:rPr>
              <w:t>by</w:t>
            </w:r>
            <w:r>
              <w:rPr>
                <w:color w:val="231F20"/>
                <w:spacing w:val="-7"/>
                <w:sz w:val="15"/>
              </w:rPr>
              <w:t> </w:t>
            </w:r>
            <w:r>
              <w:rPr>
                <w:color w:val="231F20"/>
                <w:sz w:val="15"/>
              </w:rPr>
              <w:t>stimulation Presumed pathophysiology: nonepileptic</w:t>
            </w:r>
          </w:p>
        </w:tc>
      </w:tr>
      <w:tr>
        <w:trPr>
          <w:trHeight w:val="930" w:hRule="atLeast"/>
        </w:trPr>
        <w:tc>
          <w:tcPr>
            <w:tcW w:w="318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Progression</w:t>
            </w:r>
            <w:r>
              <w:rPr>
                <w:color w:val="231F20"/>
                <w:spacing w:val="16"/>
                <w:sz w:val="15"/>
              </w:rPr>
              <w:t> </w:t>
            </w:r>
            <w:r>
              <w:rPr>
                <w:color w:val="231F20"/>
                <w:spacing w:val="-2"/>
                <w:sz w:val="15"/>
              </w:rPr>
              <w:t>movements</w:t>
            </w:r>
          </w:p>
        </w:tc>
        <w:tc>
          <w:tcPr>
            <w:tcW w:w="6557" w:type="dxa"/>
            <w:tcBorders>
              <w:top w:val="single" w:sz="4" w:space="0" w:color="FFFFFF"/>
              <w:bottom w:val="single" w:sz="4" w:space="0" w:color="FFFFFF"/>
            </w:tcBorders>
            <w:shd w:val="clear" w:color="auto" w:fill="E8F5F1"/>
          </w:tcPr>
          <w:p>
            <w:pPr>
              <w:pStyle w:val="TableParagraph"/>
              <w:spacing w:line="172" w:lineRule="exact" w:before="42"/>
              <w:ind w:left="842"/>
              <w:rPr>
                <w:sz w:val="15"/>
              </w:rPr>
            </w:pPr>
            <w:r>
              <w:rPr>
                <w:color w:val="231F20"/>
                <w:sz w:val="15"/>
              </w:rPr>
              <w:t>Rowing</w:t>
            </w:r>
            <w:r>
              <w:rPr>
                <w:color w:val="231F20"/>
                <w:spacing w:val="3"/>
                <w:sz w:val="15"/>
              </w:rPr>
              <w:t> </w:t>
            </w:r>
            <w:r>
              <w:rPr>
                <w:color w:val="231F20"/>
                <w:sz w:val="15"/>
              </w:rPr>
              <w:t>or</w:t>
            </w:r>
            <w:r>
              <w:rPr>
                <w:color w:val="231F20"/>
                <w:spacing w:val="4"/>
                <w:sz w:val="15"/>
              </w:rPr>
              <w:t> </w:t>
            </w:r>
            <w:r>
              <w:rPr>
                <w:color w:val="231F20"/>
                <w:sz w:val="15"/>
              </w:rPr>
              <w:t>swimming</w:t>
            </w:r>
            <w:r>
              <w:rPr>
                <w:color w:val="231F20"/>
                <w:spacing w:val="4"/>
                <w:sz w:val="15"/>
              </w:rPr>
              <w:t> </w:t>
            </w:r>
            <w:r>
              <w:rPr>
                <w:color w:val="231F20"/>
                <w:spacing w:val="-2"/>
                <w:sz w:val="15"/>
              </w:rPr>
              <w:t>movements</w:t>
            </w:r>
          </w:p>
          <w:p>
            <w:pPr>
              <w:pStyle w:val="TableParagraph"/>
              <w:spacing w:line="232" w:lineRule="auto" w:before="2"/>
              <w:ind w:left="842" w:right="2496"/>
              <w:rPr>
                <w:sz w:val="15"/>
              </w:rPr>
            </w:pPr>
            <w:r>
              <w:rPr>
                <w:color w:val="231F20"/>
                <w:sz w:val="15"/>
              </w:rPr>
              <w:t>Pedaling or bicycling movements of the legs May be provoked or intensified by stimulation May</w:t>
            </w:r>
            <w:r>
              <w:rPr>
                <w:color w:val="231F20"/>
                <w:spacing w:val="-1"/>
                <w:sz w:val="15"/>
              </w:rPr>
              <w:t> </w:t>
            </w:r>
            <w:r>
              <w:rPr>
                <w:color w:val="231F20"/>
                <w:sz w:val="15"/>
              </w:rPr>
              <w:t>be</w:t>
            </w:r>
            <w:r>
              <w:rPr>
                <w:color w:val="231F20"/>
                <w:spacing w:val="-1"/>
                <w:sz w:val="15"/>
              </w:rPr>
              <w:t> </w:t>
            </w:r>
            <w:r>
              <w:rPr>
                <w:color w:val="231F20"/>
                <w:sz w:val="15"/>
              </w:rPr>
              <w:t>suppressed</w:t>
            </w:r>
            <w:r>
              <w:rPr>
                <w:color w:val="231F20"/>
                <w:spacing w:val="-1"/>
                <w:sz w:val="15"/>
              </w:rPr>
              <w:t> </w:t>
            </w:r>
            <w:r>
              <w:rPr>
                <w:color w:val="231F20"/>
                <w:sz w:val="15"/>
              </w:rPr>
              <w:t>by</w:t>
            </w:r>
            <w:r>
              <w:rPr>
                <w:color w:val="231F20"/>
                <w:spacing w:val="-1"/>
                <w:sz w:val="15"/>
              </w:rPr>
              <w:t> </w:t>
            </w:r>
            <w:r>
              <w:rPr>
                <w:color w:val="231F20"/>
                <w:sz w:val="15"/>
              </w:rPr>
              <w:t>restraint</w:t>
            </w:r>
            <w:r>
              <w:rPr>
                <w:color w:val="231F20"/>
                <w:spacing w:val="-1"/>
                <w:sz w:val="15"/>
              </w:rPr>
              <w:t> </w:t>
            </w:r>
            <w:r>
              <w:rPr>
                <w:color w:val="231F20"/>
                <w:sz w:val="15"/>
              </w:rPr>
              <w:t>or</w:t>
            </w:r>
            <w:r>
              <w:rPr>
                <w:color w:val="231F20"/>
                <w:spacing w:val="-1"/>
                <w:sz w:val="15"/>
              </w:rPr>
              <w:t> </w:t>
            </w:r>
            <w:r>
              <w:rPr>
                <w:color w:val="231F20"/>
                <w:sz w:val="15"/>
              </w:rPr>
              <w:t>repositioning Presumed pathophysiology: nonepileptic</w:t>
            </w:r>
          </w:p>
        </w:tc>
      </w:tr>
      <w:tr>
        <w:trPr>
          <w:trHeight w:val="586" w:hRule="atLeast"/>
        </w:trPr>
        <w:tc>
          <w:tcPr>
            <w:tcW w:w="3184"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Complex</w:t>
            </w:r>
            <w:r>
              <w:rPr>
                <w:color w:val="231F20"/>
                <w:spacing w:val="20"/>
                <w:sz w:val="15"/>
              </w:rPr>
              <w:t> </w:t>
            </w:r>
            <w:r>
              <w:rPr>
                <w:color w:val="231F20"/>
                <w:sz w:val="15"/>
              </w:rPr>
              <w:t>purposeless</w:t>
            </w:r>
            <w:r>
              <w:rPr>
                <w:color w:val="231F20"/>
                <w:spacing w:val="20"/>
                <w:sz w:val="15"/>
              </w:rPr>
              <w:t> </w:t>
            </w:r>
            <w:r>
              <w:rPr>
                <w:color w:val="231F20"/>
                <w:spacing w:val="-2"/>
                <w:sz w:val="15"/>
              </w:rPr>
              <w:t>movements</w:t>
            </w:r>
          </w:p>
        </w:tc>
        <w:tc>
          <w:tcPr>
            <w:tcW w:w="6557" w:type="dxa"/>
            <w:tcBorders>
              <w:top w:val="single" w:sz="4" w:space="0" w:color="FFFFFF"/>
              <w:bottom w:val="single" w:sz="8" w:space="0" w:color="231F20"/>
            </w:tcBorders>
            <w:shd w:val="clear" w:color="auto" w:fill="E8F5F1"/>
          </w:tcPr>
          <w:p>
            <w:pPr>
              <w:pStyle w:val="TableParagraph"/>
              <w:spacing w:line="232" w:lineRule="auto" w:before="46"/>
              <w:ind w:left="842" w:right="1187"/>
              <w:rPr>
                <w:sz w:val="15"/>
              </w:rPr>
            </w:pPr>
            <w:r>
              <w:rPr>
                <w:color w:val="231F20"/>
                <w:sz w:val="15"/>
              </w:rPr>
              <w:t>Sudden</w:t>
            </w:r>
            <w:r>
              <w:rPr>
                <w:color w:val="231F20"/>
                <w:spacing w:val="-12"/>
                <w:sz w:val="15"/>
              </w:rPr>
              <w:t> </w:t>
            </w:r>
            <w:r>
              <w:rPr>
                <w:color w:val="231F20"/>
                <w:sz w:val="15"/>
              </w:rPr>
              <w:t>arousal</w:t>
            </w:r>
            <w:r>
              <w:rPr>
                <w:color w:val="231F20"/>
                <w:spacing w:val="-11"/>
                <w:sz w:val="15"/>
              </w:rPr>
              <w:t> </w:t>
            </w:r>
            <w:r>
              <w:rPr>
                <w:color w:val="231F20"/>
                <w:sz w:val="15"/>
              </w:rPr>
              <w:t>with</w:t>
            </w:r>
            <w:r>
              <w:rPr>
                <w:color w:val="231F20"/>
                <w:spacing w:val="-11"/>
                <w:sz w:val="15"/>
              </w:rPr>
              <w:t> </w:t>
            </w:r>
            <w:r>
              <w:rPr>
                <w:color w:val="231F20"/>
                <w:sz w:val="15"/>
              </w:rPr>
              <w:t>transient</w:t>
            </w:r>
            <w:r>
              <w:rPr>
                <w:color w:val="231F20"/>
                <w:spacing w:val="-12"/>
                <w:sz w:val="15"/>
              </w:rPr>
              <w:t> </w:t>
            </w:r>
            <w:r>
              <w:rPr>
                <w:color w:val="231F20"/>
                <w:sz w:val="15"/>
              </w:rPr>
              <w:t>increased</w:t>
            </w:r>
            <w:r>
              <w:rPr>
                <w:color w:val="231F20"/>
                <w:spacing w:val="-11"/>
                <w:sz w:val="15"/>
              </w:rPr>
              <w:t> </w:t>
            </w:r>
            <w:r>
              <w:rPr>
                <w:color w:val="231F20"/>
                <w:sz w:val="15"/>
              </w:rPr>
              <w:t>random</w:t>
            </w:r>
            <w:r>
              <w:rPr>
                <w:color w:val="231F20"/>
                <w:spacing w:val="-11"/>
                <w:sz w:val="15"/>
              </w:rPr>
              <w:t> </w:t>
            </w:r>
            <w:r>
              <w:rPr>
                <w:color w:val="231F20"/>
                <w:sz w:val="15"/>
              </w:rPr>
              <w:t>activity</w:t>
            </w:r>
            <w:r>
              <w:rPr>
                <w:color w:val="231F20"/>
                <w:spacing w:val="-12"/>
                <w:sz w:val="15"/>
              </w:rPr>
              <w:t> </w:t>
            </w:r>
            <w:r>
              <w:rPr>
                <w:color w:val="231F20"/>
                <w:sz w:val="15"/>
              </w:rPr>
              <w:t>of</w:t>
            </w:r>
            <w:r>
              <w:rPr>
                <w:color w:val="231F20"/>
                <w:spacing w:val="-11"/>
                <w:sz w:val="15"/>
              </w:rPr>
              <w:t> </w:t>
            </w:r>
            <w:r>
              <w:rPr>
                <w:color w:val="231F20"/>
                <w:sz w:val="15"/>
              </w:rPr>
              <w:t>limbs May be provoked or intensified by stimulation</w:t>
            </w:r>
          </w:p>
          <w:p>
            <w:pPr>
              <w:pStyle w:val="TableParagraph"/>
              <w:spacing w:line="171" w:lineRule="exact"/>
              <w:ind w:left="842"/>
              <w:rPr>
                <w:sz w:val="15"/>
              </w:rPr>
            </w:pPr>
            <w:r>
              <w:rPr>
                <w:color w:val="231F20"/>
                <w:sz w:val="15"/>
              </w:rPr>
              <w:t>Presumed</w:t>
            </w:r>
            <w:r>
              <w:rPr>
                <w:color w:val="231F20"/>
                <w:spacing w:val="4"/>
                <w:sz w:val="15"/>
              </w:rPr>
              <w:t> </w:t>
            </w:r>
            <w:r>
              <w:rPr>
                <w:color w:val="231F20"/>
                <w:sz w:val="15"/>
              </w:rPr>
              <w:t>pathophysiology:</w:t>
            </w:r>
            <w:r>
              <w:rPr>
                <w:color w:val="231F20"/>
                <w:spacing w:val="4"/>
                <w:sz w:val="15"/>
              </w:rPr>
              <w:t> </w:t>
            </w:r>
            <w:r>
              <w:rPr>
                <w:color w:val="231F20"/>
                <w:spacing w:val="-2"/>
                <w:sz w:val="15"/>
              </w:rPr>
              <w:t>nonepileptic</w:t>
            </w:r>
          </w:p>
        </w:tc>
      </w:tr>
    </w:tbl>
    <w:p>
      <w:pPr>
        <w:spacing w:before="79"/>
        <w:ind w:left="486" w:right="0" w:firstLine="0"/>
        <w:jc w:val="left"/>
        <w:rPr>
          <w:i/>
          <w:sz w:val="13"/>
        </w:rPr>
      </w:pPr>
      <w:r>
        <w:rPr>
          <w:i/>
          <w:color w:val="231F20"/>
          <w:sz w:val="13"/>
        </w:rPr>
        <w:t>From</w:t>
      </w:r>
      <w:r>
        <w:rPr>
          <w:i/>
          <w:color w:val="231F20"/>
          <w:spacing w:val="-6"/>
          <w:sz w:val="13"/>
        </w:rPr>
        <w:t> </w:t>
      </w:r>
      <w:r>
        <w:rPr>
          <w:i/>
          <w:color w:val="231F20"/>
          <w:sz w:val="13"/>
        </w:rPr>
        <w:t>Mizrahi</w:t>
      </w:r>
      <w:r>
        <w:rPr>
          <w:i/>
          <w:color w:val="231F20"/>
          <w:spacing w:val="-6"/>
          <w:sz w:val="13"/>
        </w:rPr>
        <w:t> </w:t>
      </w:r>
      <w:r>
        <w:rPr>
          <w:i/>
          <w:color w:val="231F20"/>
          <w:sz w:val="13"/>
        </w:rPr>
        <w:t>EM,</w:t>
      </w:r>
      <w:r>
        <w:rPr>
          <w:i/>
          <w:color w:val="231F20"/>
          <w:spacing w:val="-5"/>
          <w:sz w:val="13"/>
        </w:rPr>
        <w:t> </w:t>
      </w:r>
      <w:r>
        <w:rPr>
          <w:i/>
          <w:color w:val="231F20"/>
          <w:sz w:val="13"/>
        </w:rPr>
        <w:t>Kellaway</w:t>
      </w:r>
      <w:r>
        <w:rPr>
          <w:i/>
          <w:color w:val="231F20"/>
          <w:spacing w:val="-6"/>
          <w:sz w:val="13"/>
        </w:rPr>
        <w:t> </w:t>
      </w:r>
      <w:r>
        <w:rPr>
          <w:i/>
          <w:color w:val="231F20"/>
          <w:sz w:val="13"/>
        </w:rPr>
        <w:t>P.</w:t>
      </w:r>
      <w:r>
        <w:rPr>
          <w:i/>
          <w:color w:val="231F20"/>
          <w:spacing w:val="-6"/>
          <w:sz w:val="13"/>
        </w:rPr>
        <w:t> </w:t>
      </w:r>
      <w:r>
        <w:rPr>
          <w:color w:val="231F20"/>
          <w:sz w:val="13"/>
        </w:rPr>
        <w:t>Diagnosis</w:t>
      </w:r>
      <w:r>
        <w:rPr>
          <w:color w:val="231F20"/>
          <w:spacing w:val="-5"/>
          <w:sz w:val="13"/>
        </w:rPr>
        <w:t> </w:t>
      </w:r>
      <w:r>
        <w:rPr>
          <w:color w:val="231F20"/>
          <w:sz w:val="13"/>
        </w:rPr>
        <w:t>and</w:t>
      </w:r>
      <w:r>
        <w:rPr>
          <w:color w:val="231F20"/>
          <w:spacing w:val="-6"/>
          <w:sz w:val="13"/>
        </w:rPr>
        <w:t> </w:t>
      </w:r>
      <w:r>
        <w:rPr>
          <w:color w:val="231F20"/>
          <w:sz w:val="13"/>
        </w:rPr>
        <w:t>management</w:t>
      </w:r>
      <w:r>
        <w:rPr>
          <w:color w:val="231F20"/>
          <w:spacing w:val="-6"/>
          <w:sz w:val="13"/>
        </w:rPr>
        <w:t> </w:t>
      </w:r>
      <w:r>
        <w:rPr>
          <w:color w:val="231F20"/>
          <w:sz w:val="13"/>
        </w:rPr>
        <w:t>of</w:t>
      </w:r>
      <w:r>
        <w:rPr>
          <w:color w:val="231F20"/>
          <w:spacing w:val="-5"/>
          <w:sz w:val="13"/>
        </w:rPr>
        <w:t> </w:t>
      </w:r>
      <w:r>
        <w:rPr>
          <w:color w:val="231F20"/>
          <w:sz w:val="13"/>
        </w:rPr>
        <w:t>neonatal</w:t>
      </w:r>
      <w:r>
        <w:rPr>
          <w:color w:val="231F20"/>
          <w:spacing w:val="-6"/>
          <w:sz w:val="13"/>
        </w:rPr>
        <w:t> </w:t>
      </w:r>
      <w:r>
        <w:rPr>
          <w:color w:val="231F20"/>
          <w:sz w:val="13"/>
        </w:rPr>
        <w:t>seizures</w:t>
      </w:r>
      <w:r>
        <w:rPr>
          <w:i/>
          <w:color w:val="231F20"/>
          <w:sz w:val="13"/>
        </w:rPr>
        <w:t>.</w:t>
      </w:r>
      <w:r>
        <w:rPr>
          <w:i/>
          <w:color w:val="231F20"/>
          <w:spacing w:val="-6"/>
          <w:sz w:val="13"/>
        </w:rPr>
        <w:t> </w:t>
      </w:r>
      <w:r>
        <w:rPr>
          <w:i/>
          <w:color w:val="231F20"/>
          <w:sz w:val="13"/>
        </w:rPr>
        <w:t>Philadelphia,</w:t>
      </w:r>
      <w:r>
        <w:rPr>
          <w:i/>
          <w:color w:val="231F20"/>
          <w:spacing w:val="-5"/>
          <w:sz w:val="13"/>
        </w:rPr>
        <w:t> </w:t>
      </w:r>
      <w:r>
        <w:rPr>
          <w:i/>
          <w:color w:val="231F20"/>
          <w:sz w:val="13"/>
        </w:rPr>
        <w:t>1998,</w:t>
      </w:r>
      <w:r>
        <w:rPr>
          <w:i/>
          <w:color w:val="231F20"/>
          <w:spacing w:val="-6"/>
          <w:sz w:val="13"/>
        </w:rPr>
        <w:t> </w:t>
      </w:r>
      <w:r>
        <w:rPr>
          <w:i/>
          <w:color w:val="231F20"/>
          <w:sz w:val="13"/>
        </w:rPr>
        <w:t>Lippincott-Raven.</w:t>
      </w:r>
      <w:r>
        <w:rPr>
          <w:i/>
          <w:color w:val="231F20"/>
          <w:spacing w:val="-6"/>
          <w:sz w:val="13"/>
        </w:rPr>
        <w:t> </w:t>
      </w:r>
      <w:r>
        <w:rPr>
          <w:i/>
          <w:color w:val="231F20"/>
          <w:sz w:val="13"/>
        </w:rPr>
        <w:t>Tab</w:t>
      </w:r>
      <w:r>
        <w:rPr>
          <w:i/>
          <w:color w:val="231F20"/>
          <w:spacing w:val="-5"/>
          <w:sz w:val="13"/>
        </w:rPr>
        <w:t> </w:t>
      </w:r>
      <w:r>
        <w:rPr>
          <w:i/>
          <w:color w:val="231F20"/>
          <w:sz w:val="13"/>
        </w:rPr>
        <w:t>4,</w:t>
      </w:r>
      <w:r>
        <w:rPr>
          <w:i/>
          <w:color w:val="231F20"/>
          <w:spacing w:val="-6"/>
          <w:sz w:val="13"/>
        </w:rPr>
        <w:t> </w:t>
      </w:r>
      <w:r>
        <w:rPr>
          <w:i/>
          <w:color w:val="231F20"/>
          <w:sz w:val="13"/>
        </w:rPr>
        <w:t>p.</w:t>
      </w:r>
      <w:r>
        <w:rPr>
          <w:i/>
          <w:color w:val="231F20"/>
          <w:spacing w:val="-5"/>
          <w:sz w:val="13"/>
        </w:rPr>
        <w:t> 21.</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645" name="Group 645"/>
                <wp:cNvGraphicFramePr>
                  <a:graphicFrameLocks/>
                </wp:cNvGraphicFramePr>
                <a:graphic>
                  <a:graphicData uri="http://schemas.microsoft.com/office/word/2010/wordprocessingGroup">
                    <wpg:wgp>
                      <wpg:cNvPr id="645" name="Group 645"/>
                      <wpg:cNvGrpSpPr/>
                      <wpg:grpSpPr>
                        <a:xfrm>
                          <a:off x="0" y="0"/>
                          <a:ext cx="6185535" cy="170815"/>
                          <a:chExt cx="6185535" cy="170815"/>
                        </a:xfrm>
                      </wpg:grpSpPr>
                      <wps:wsp>
                        <wps:cNvPr id="646" name="Graphic 646"/>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47" name="Graphic 647"/>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48" name="Textbox 648"/>
                        <wps:cNvSpPr txBox="1"/>
                        <wps:spPr>
                          <a:xfrm>
                            <a:off x="0" y="0"/>
                            <a:ext cx="6185535" cy="170815"/>
                          </a:xfrm>
                          <a:prstGeom prst="rect">
                            <a:avLst/>
                          </a:prstGeom>
                        </wps:spPr>
                        <wps:txbx>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2851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53"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54" filled="false" stroked="false">
                  <v:textbox inset="0,0,0,0">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2851</w:t>
                        </w:r>
                      </w:p>
                    </w:txbxContent>
                  </v:textbox>
                  <w10:wrap type="none"/>
                </v:shape>
              </v:group>
            </w:pict>
          </mc:Fallback>
        </mc:AlternateContent>
      </w:r>
      <w:r>
        <w:rPr>
          <w:sz w:val="20"/>
        </w:rPr>
      </w:r>
    </w:p>
    <w:p>
      <w:pPr>
        <w:pStyle w:val="BodyText"/>
        <w:spacing w:before="5"/>
        <w:rPr>
          <w:i/>
          <w:sz w:val="9"/>
        </w:rPr>
      </w:pPr>
      <w:r>
        <w:rPr>
          <w:i/>
          <w:sz w:val="9"/>
        </w:rPr>
        <mc:AlternateContent>
          <mc:Choice Requires="wps">
            <w:drawing>
              <wp:anchor distT="0" distB="0" distL="0" distR="0" allowOverlap="1" layoutInCell="1" locked="0" behindDoc="1" simplePos="0" relativeHeight="487587840">
                <wp:simplePos x="0" y="0"/>
                <wp:positionH relativeFrom="page">
                  <wp:posOffset>792256</wp:posOffset>
                </wp:positionH>
                <wp:positionV relativeFrom="paragraph">
                  <wp:posOffset>117824</wp:posOffset>
                </wp:positionV>
                <wp:extent cx="2986405" cy="6844665"/>
                <wp:effectExtent l="0" t="0" r="0" b="0"/>
                <wp:wrapTopAndBottom/>
                <wp:docPr id="649" name="Textbox 649"/>
                <wp:cNvGraphicFramePr>
                  <a:graphicFrameLocks/>
                </wp:cNvGraphicFramePr>
                <a:graphic>
                  <a:graphicData uri="http://schemas.microsoft.com/office/word/2010/wordprocessingShape">
                    <wps:wsp>
                      <wps:cNvPr id="649" name="Textbox 649"/>
                      <wps:cNvSpPr txBox="1"/>
                      <wps:spPr>
                        <a:xfrm>
                          <a:off x="0" y="0"/>
                          <a:ext cx="2986405" cy="684466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3480"/>
                            </w:tblGrid>
                            <w:tr>
                              <w:trPr>
                                <w:trHeight w:val="559"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593-</w:t>
                                  </w:r>
                                  <w:r>
                                    <w:rPr>
                                      <w:b/>
                                      <w:color w:val="FFFFFF"/>
                                      <w:spacing w:val="-5"/>
                                      <w:sz w:val="16"/>
                                    </w:rPr>
                                    <w:t>17</w:t>
                                  </w:r>
                                </w:p>
                              </w:tc>
                              <w:tc>
                                <w:tcPr>
                                  <w:tcW w:w="3480" w:type="dxa"/>
                                  <w:tcBorders>
                                    <w:left w:val="single" w:sz="8" w:space="0" w:color="FFFFFF"/>
                                  </w:tcBorders>
                                  <w:shd w:val="clear" w:color="auto" w:fill="231F20"/>
                                </w:tcPr>
                                <w:p>
                                  <w:pPr>
                                    <w:pStyle w:val="TableParagraph"/>
                                    <w:spacing w:before="89"/>
                                    <w:ind w:left="74" w:right="367"/>
                                    <w:rPr>
                                      <w:sz w:val="16"/>
                                    </w:rPr>
                                  </w:pPr>
                                  <w:r>
                                    <w:rPr>
                                      <w:color w:val="FFFFFF"/>
                                      <w:w w:val="105"/>
                                      <w:sz w:val="16"/>
                                    </w:rPr>
                                    <w:t>Causes of Neonatal Seizures </w:t>
                                  </w:r>
                                  <w:r>
                                    <w:rPr>
                                      <w:color w:val="FFFFFF"/>
                                      <w:w w:val="105"/>
                                      <w:sz w:val="16"/>
                                    </w:rPr>
                                    <w:t>According to Common Age of Presentation</w:t>
                                  </w:r>
                                </w:p>
                              </w:tc>
                            </w:tr>
                            <w:tr>
                              <w:trPr>
                                <w:trHeight w:val="3786" w:hRule="atLeast"/>
                              </w:trPr>
                              <w:tc>
                                <w:tcPr>
                                  <w:tcW w:w="4702"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AGES</w:t>
                                  </w:r>
                                  <w:r>
                                    <w:rPr>
                                      <w:color w:val="231F20"/>
                                      <w:spacing w:val="-3"/>
                                      <w:w w:val="110"/>
                                      <w:sz w:val="15"/>
                                    </w:rPr>
                                    <w:t> </w:t>
                                  </w:r>
                                  <w:r>
                                    <w:rPr>
                                      <w:color w:val="231F20"/>
                                      <w:w w:val="110"/>
                                      <w:sz w:val="15"/>
                                    </w:rPr>
                                    <w:t>1-4</w:t>
                                  </w:r>
                                  <w:r>
                                    <w:rPr>
                                      <w:color w:val="231F20"/>
                                      <w:spacing w:val="-3"/>
                                      <w:w w:val="110"/>
                                      <w:sz w:val="15"/>
                                    </w:rPr>
                                    <w:t> </w:t>
                                  </w:r>
                                  <w:r>
                                    <w:rPr>
                                      <w:color w:val="231F20"/>
                                      <w:spacing w:val="-4"/>
                                      <w:w w:val="110"/>
                                      <w:sz w:val="15"/>
                                    </w:rPr>
                                    <w:t>DAYS</w:t>
                                  </w:r>
                                </w:p>
                                <w:p>
                                  <w:pPr>
                                    <w:pStyle w:val="TableParagraph"/>
                                    <w:spacing w:line="169" w:lineRule="exact"/>
                                    <w:ind w:left="74"/>
                                    <w:rPr>
                                      <w:sz w:val="15"/>
                                    </w:rPr>
                                  </w:pPr>
                                  <w:r>
                                    <w:rPr>
                                      <w:color w:val="231F20"/>
                                      <w:sz w:val="15"/>
                                    </w:rPr>
                                    <w:t>Hypoxic–ischemic</w:t>
                                  </w:r>
                                  <w:r>
                                    <w:rPr>
                                      <w:color w:val="231F20"/>
                                      <w:spacing w:val="12"/>
                                      <w:sz w:val="15"/>
                                    </w:rPr>
                                    <w:t> </w:t>
                                  </w:r>
                                  <w:r>
                                    <w:rPr>
                                      <w:color w:val="231F20"/>
                                      <w:spacing w:val="-2"/>
                                      <w:sz w:val="15"/>
                                    </w:rPr>
                                    <w:t>encephalopathy</w:t>
                                  </w:r>
                                </w:p>
                                <w:p>
                                  <w:pPr>
                                    <w:pStyle w:val="TableParagraph"/>
                                    <w:spacing w:line="230" w:lineRule="auto" w:before="2"/>
                                    <w:ind w:left="74" w:right="232"/>
                                    <w:rPr>
                                      <w:sz w:val="15"/>
                                    </w:rPr>
                                  </w:pPr>
                                  <w:r>
                                    <w:rPr>
                                      <w:color w:val="231F20"/>
                                      <w:sz w:val="15"/>
                                    </w:rPr>
                                    <w:t>Drug</w:t>
                                  </w:r>
                                  <w:r>
                                    <w:rPr>
                                      <w:color w:val="231F20"/>
                                      <w:spacing w:val="-12"/>
                                      <w:sz w:val="15"/>
                                    </w:rPr>
                                    <w:t> </w:t>
                                  </w:r>
                                  <w:r>
                                    <w:rPr>
                                      <w:color w:val="231F20"/>
                                      <w:sz w:val="15"/>
                                    </w:rPr>
                                    <w:t>withdrawal,</w:t>
                                  </w:r>
                                  <w:r>
                                    <w:rPr>
                                      <w:color w:val="231F20"/>
                                      <w:spacing w:val="-11"/>
                                      <w:sz w:val="15"/>
                                    </w:rPr>
                                    <w:t> </w:t>
                                  </w:r>
                                  <w:r>
                                    <w:rPr>
                                      <w:color w:val="231F20"/>
                                      <w:sz w:val="15"/>
                                    </w:rPr>
                                    <w:t>maternal</w:t>
                                  </w:r>
                                  <w:r>
                                    <w:rPr>
                                      <w:color w:val="231F20"/>
                                      <w:spacing w:val="-11"/>
                                      <w:sz w:val="15"/>
                                    </w:rPr>
                                    <w:t> </w:t>
                                  </w:r>
                                  <w:r>
                                    <w:rPr>
                                      <w:color w:val="231F20"/>
                                      <w:sz w:val="15"/>
                                    </w:rPr>
                                    <w:t>drug</w:t>
                                  </w:r>
                                  <w:r>
                                    <w:rPr>
                                      <w:color w:val="231F20"/>
                                      <w:spacing w:val="-12"/>
                                      <w:sz w:val="15"/>
                                    </w:rPr>
                                    <w:t> </w:t>
                                  </w:r>
                                  <w:r>
                                    <w:rPr>
                                      <w:color w:val="231F20"/>
                                      <w:sz w:val="15"/>
                                    </w:rPr>
                                    <w:t>use</w:t>
                                  </w:r>
                                  <w:r>
                                    <w:rPr>
                                      <w:color w:val="231F20"/>
                                      <w:spacing w:val="-11"/>
                                      <w:sz w:val="15"/>
                                    </w:rPr>
                                    <w:t> </w:t>
                                  </w:r>
                                  <w:r>
                                    <w:rPr>
                                      <w:color w:val="231F20"/>
                                      <w:sz w:val="15"/>
                                    </w:rPr>
                                    <w:t>of</w:t>
                                  </w:r>
                                  <w:r>
                                    <w:rPr>
                                      <w:color w:val="231F20"/>
                                      <w:spacing w:val="-11"/>
                                      <w:sz w:val="15"/>
                                    </w:rPr>
                                    <w:t> </w:t>
                                  </w:r>
                                  <w:r>
                                    <w:rPr>
                                      <w:color w:val="231F20"/>
                                      <w:sz w:val="15"/>
                                    </w:rPr>
                                    <w:t>narcotic</w:t>
                                  </w:r>
                                  <w:r>
                                    <w:rPr>
                                      <w:color w:val="231F20"/>
                                      <w:spacing w:val="-12"/>
                                      <w:sz w:val="15"/>
                                    </w:rPr>
                                    <w:t> </w:t>
                                  </w:r>
                                  <w:r>
                                    <w:rPr>
                                      <w:color w:val="231F20"/>
                                      <w:sz w:val="15"/>
                                    </w:rPr>
                                    <w:t>or</w:t>
                                  </w:r>
                                  <w:r>
                                    <w:rPr>
                                      <w:color w:val="231F20"/>
                                      <w:spacing w:val="-11"/>
                                      <w:sz w:val="15"/>
                                    </w:rPr>
                                    <w:t> </w:t>
                                  </w:r>
                                  <w:r>
                                    <w:rPr>
                                      <w:color w:val="231F20"/>
                                      <w:sz w:val="15"/>
                                    </w:rPr>
                                    <w:t>barbiturates Drug toxicity: lidocaine, penicillin</w:t>
                                  </w:r>
                                </w:p>
                                <w:p>
                                  <w:pPr>
                                    <w:pStyle w:val="TableParagraph"/>
                                    <w:spacing w:line="230" w:lineRule="auto" w:before="2"/>
                                    <w:ind w:left="74" w:right="2765"/>
                                    <w:rPr>
                                      <w:sz w:val="15"/>
                                    </w:rPr>
                                  </w:pPr>
                                  <w:r>
                                    <w:rPr>
                                      <w:color w:val="231F20"/>
                                      <w:spacing w:val="-2"/>
                                      <w:sz w:val="15"/>
                                    </w:rPr>
                                    <w:t>Intraventricular</w:t>
                                  </w:r>
                                  <w:r>
                                    <w:rPr>
                                      <w:color w:val="231F20"/>
                                      <w:spacing w:val="-10"/>
                                      <w:sz w:val="15"/>
                                    </w:rPr>
                                    <w:t> </w:t>
                                  </w:r>
                                  <w:r>
                                    <w:rPr>
                                      <w:color w:val="231F20"/>
                                      <w:spacing w:val="-2"/>
                                      <w:sz w:val="15"/>
                                    </w:rPr>
                                    <w:t>hemorrhage </w:t>
                                  </w:r>
                                  <w:r>
                                    <w:rPr>
                                      <w:color w:val="231F20"/>
                                      <w:sz w:val="15"/>
                                    </w:rPr>
                                    <w:t>Acute metabolic disorders</w:t>
                                  </w:r>
                                </w:p>
                                <w:p>
                                  <w:pPr>
                                    <w:pStyle w:val="TableParagraph"/>
                                    <w:numPr>
                                      <w:ilvl w:val="0"/>
                                      <w:numId w:val="58"/>
                                    </w:numPr>
                                    <w:tabs>
                                      <w:tab w:pos="223" w:val="left" w:leader="none"/>
                                    </w:tabs>
                                    <w:spacing w:line="167" w:lineRule="exact" w:before="0" w:after="0"/>
                                    <w:ind w:left="223" w:right="0" w:hanging="149"/>
                                    <w:jc w:val="left"/>
                                    <w:rPr>
                                      <w:sz w:val="15"/>
                                    </w:rPr>
                                  </w:pPr>
                                  <w:r>
                                    <w:rPr>
                                      <w:color w:val="231F20"/>
                                      <w:spacing w:val="-2"/>
                                      <w:sz w:val="15"/>
                                    </w:rPr>
                                    <w:t>Hypocalcemia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w w:val="105"/>
                                      <w:sz w:val="15"/>
                                    </w:rPr>
                                    <w:t>Sepsis</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Maternal</w:t>
                                  </w:r>
                                  <w:r>
                                    <w:rPr>
                                      <w:color w:val="231F20"/>
                                      <w:sz w:val="15"/>
                                    </w:rPr>
                                    <w:t> </w:t>
                                  </w:r>
                                  <w:r>
                                    <w:rPr>
                                      <w:color w:val="231F20"/>
                                      <w:spacing w:val="-2"/>
                                      <w:sz w:val="15"/>
                                    </w:rPr>
                                    <w:t>hyperthyroidism,</w:t>
                                  </w:r>
                                  <w:r>
                                    <w:rPr>
                                      <w:color w:val="231F20"/>
                                      <w:spacing w:val="1"/>
                                      <w:sz w:val="15"/>
                                    </w:rPr>
                                    <w:t> </w:t>
                                  </w:r>
                                  <w:r>
                                    <w:rPr>
                                      <w:color w:val="231F20"/>
                                      <w:spacing w:val="-2"/>
                                      <w:sz w:val="15"/>
                                    </w:rPr>
                                    <w:t>or</w:t>
                                  </w:r>
                                  <w:r>
                                    <w:rPr>
                                      <w:color w:val="231F20"/>
                                      <w:sz w:val="15"/>
                                    </w:rPr>
                                    <w:t> </w:t>
                                  </w:r>
                                  <w:r>
                                    <w:rPr>
                                      <w:color w:val="231F20"/>
                                      <w:spacing w:val="-2"/>
                                      <w:sz w:val="15"/>
                                    </w:rPr>
                                    <w:t>hypoparathyroidism</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Hypoglycemia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4"/>
                                      <w:sz w:val="15"/>
                                    </w:rPr>
                                    <w:t>Perinatal</w:t>
                                  </w:r>
                                  <w:r>
                                    <w:rPr>
                                      <w:color w:val="231F20"/>
                                      <w:spacing w:val="4"/>
                                      <w:sz w:val="15"/>
                                    </w:rPr>
                                    <w:t> </w:t>
                                  </w:r>
                                  <w:r>
                                    <w:rPr>
                                      <w:color w:val="231F20"/>
                                      <w:spacing w:val="-4"/>
                                      <w:sz w:val="15"/>
                                    </w:rPr>
                                    <w:t>insults,</w:t>
                                  </w:r>
                                  <w:r>
                                    <w:rPr>
                                      <w:color w:val="231F20"/>
                                      <w:spacing w:val="4"/>
                                      <w:sz w:val="15"/>
                                    </w:rPr>
                                    <w:t> </w:t>
                                  </w:r>
                                  <w:r>
                                    <w:rPr>
                                      <w:color w:val="231F20"/>
                                      <w:spacing w:val="-4"/>
                                      <w:sz w:val="15"/>
                                    </w:rPr>
                                    <w:t>prematurity,</w:t>
                                  </w:r>
                                  <w:r>
                                    <w:rPr>
                                      <w:color w:val="231F20"/>
                                      <w:spacing w:val="4"/>
                                      <w:sz w:val="15"/>
                                    </w:rPr>
                                    <w:t> </w:t>
                                  </w:r>
                                  <w:r>
                                    <w:rPr>
                                      <w:color w:val="231F20"/>
                                      <w:spacing w:val="-4"/>
                                      <w:sz w:val="15"/>
                                    </w:rPr>
                                    <w:t>small</w:t>
                                  </w:r>
                                  <w:r>
                                    <w:rPr>
                                      <w:color w:val="231F20"/>
                                      <w:spacing w:val="4"/>
                                      <w:sz w:val="15"/>
                                    </w:rPr>
                                    <w:t> </w:t>
                                  </w:r>
                                  <w:r>
                                    <w:rPr>
                                      <w:color w:val="231F20"/>
                                      <w:spacing w:val="-4"/>
                                      <w:sz w:val="15"/>
                                    </w:rPr>
                                    <w:t>for</w:t>
                                  </w:r>
                                  <w:r>
                                    <w:rPr>
                                      <w:color w:val="231F20"/>
                                      <w:spacing w:val="4"/>
                                      <w:sz w:val="15"/>
                                    </w:rPr>
                                    <w:t> </w:t>
                                  </w:r>
                                  <w:r>
                                    <w:rPr>
                                      <w:color w:val="231F20"/>
                                      <w:spacing w:val="-4"/>
                                      <w:sz w:val="15"/>
                                    </w:rPr>
                                    <w:t>gestational</w:t>
                                  </w:r>
                                  <w:r>
                                    <w:rPr>
                                      <w:color w:val="231F20"/>
                                      <w:spacing w:val="4"/>
                                      <w:sz w:val="15"/>
                                    </w:rPr>
                                    <w:t> </w:t>
                                  </w:r>
                                  <w:r>
                                    <w:rPr>
                                      <w:color w:val="231F20"/>
                                      <w:spacing w:val="-5"/>
                                      <w:sz w:val="15"/>
                                    </w:rPr>
                                    <w:t>age</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z w:val="15"/>
                                    </w:rPr>
                                    <w:t>Maternal</w:t>
                                  </w:r>
                                  <w:r>
                                    <w:rPr>
                                      <w:color w:val="231F20"/>
                                      <w:spacing w:val="-5"/>
                                      <w:sz w:val="15"/>
                                    </w:rPr>
                                    <w:t> </w:t>
                                  </w:r>
                                  <w:r>
                                    <w:rPr>
                                      <w:color w:val="231F20"/>
                                      <w:spacing w:val="-2"/>
                                      <w:sz w:val="15"/>
                                    </w:rPr>
                                    <w:t>diabetes</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Hyperinsulinemic</w:t>
                                  </w:r>
                                  <w:r>
                                    <w:rPr>
                                      <w:color w:val="231F20"/>
                                      <w:spacing w:val="9"/>
                                      <w:sz w:val="15"/>
                                    </w:rPr>
                                    <w:t> </w:t>
                                  </w:r>
                                  <w:r>
                                    <w:rPr>
                                      <w:color w:val="231F20"/>
                                      <w:spacing w:val="-2"/>
                                      <w:sz w:val="15"/>
                                    </w:rPr>
                                    <w:t>hypoglycemia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w w:val="105"/>
                                      <w:sz w:val="15"/>
                                    </w:rPr>
                                    <w:t>Hypomagnesemia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z w:val="15"/>
                                    </w:rPr>
                                    <w:t>Hyponatremia</w:t>
                                  </w:r>
                                  <w:r>
                                    <w:rPr>
                                      <w:color w:val="231F20"/>
                                      <w:spacing w:val="-5"/>
                                      <w:sz w:val="15"/>
                                    </w:rPr>
                                    <w:t> </w:t>
                                  </w:r>
                                  <w:r>
                                    <w:rPr>
                                      <w:color w:val="231F20"/>
                                      <w:sz w:val="15"/>
                                    </w:rPr>
                                    <w:t>or</w:t>
                                  </w:r>
                                  <w:r>
                                    <w:rPr>
                                      <w:color w:val="231F20"/>
                                      <w:spacing w:val="-4"/>
                                      <w:sz w:val="15"/>
                                    </w:rPr>
                                    <w:t> </w:t>
                                  </w:r>
                                  <w:r>
                                    <w:rPr>
                                      <w:color w:val="231F20"/>
                                      <w:spacing w:val="-2"/>
                                      <w:sz w:val="15"/>
                                    </w:rPr>
                                    <w:t>hypernatremia</w:t>
                                  </w:r>
                                </w:p>
                                <w:p>
                                  <w:pPr>
                                    <w:pStyle w:val="TableParagraph"/>
                                    <w:numPr>
                                      <w:ilvl w:val="0"/>
                                      <w:numId w:val="58"/>
                                    </w:numPr>
                                    <w:tabs>
                                      <w:tab w:pos="223" w:val="left" w:leader="none"/>
                                    </w:tabs>
                                    <w:spacing w:line="230" w:lineRule="auto" w:before="2" w:after="0"/>
                                    <w:ind w:left="74" w:right="573" w:firstLine="0"/>
                                    <w:jc w:val="left"/>
                                    <w:rPr>
                                      <w:sz w:val="15"/>
                                    </w:rPr>
                                  </w:pPr>
                                  <w:r>
                                    <w:rPr>
                                      <w:color w:val="231F20"/>
                                      <w:spacing w:val="-2"/>
                                      <w:sz w:val="15"/>
                                    </w:rPr>
                                    <w:t>Iatrogenic or inappropriate antidiuretic hormone </w:t>
                                  </w:r>
                                  <w:r>
                                    <w:rPr>
                                      <w:color w:val="231F20"/>
                                      <w:spacing w:val="-2"/>
                                      <w:sz w:val="15"/>
                                    </w:rPr>
                                    <w:t>secretion </w:t>
                                  </w:r>
                                  <w:r>
                                    <w:rPr>
                                      <w:color w:val="231F20"/>
                                      <w:sz w:val="15"/>
                                    </w:rPr>
                                    <w:t>Inborn errors of metabolism</w:t>
                                  </w:r>
                                </w:p>
                                <w:p>
                                  <w:pPr>
                                    <w:pStyle w:val="TableParagraph"/>
                                    <w:numPr>
                                      <w:ilvl w:val="0"/>
                                      <w:numId w:val="58"/>
                                    </w:numPr>
                                    <w:tabs>
                                      <w:tab w:pos="223" w:val="left" w:leader="none"/>
                                    </w:tabs>
                                    <w:spacing w:line="167" w:lineRule="exact" w:before="0" w:after="0"/>
                                    <w:ind w:left="223" w:right="0" w:hanging="149"/>
                                    <w:jc w:val="left"/>
                                    <w:rPr>
                                      <w:sz w:val="15"/>
                                    </w:rPr>
                                  </w:pPr>
                                  <w:r>
                                    <w:rPr>
                                      <w:color w:val="231F20"/>
                                      <w:spacing w:val="-2"/>
                                      <w:sz w:val="15"/>
                                    </w:rPr>
                                    <w:t>Galactosemia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Hyperglycinemia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z w:val="15"/>
                                    </w:rPr>
                                    <w:t>Urea</w:t>
                                  </w:r>
                                  <w:r>
                                    <w:rPr>
                                      <w:color w:val="231F20"/>
                                      <w:spacing w:val="-11"/>
                                      <w:sz w:val="15"/>
                                    </w:rPr>
                                    <w:t> </w:t>
                                  </w:r>
                                  <w:r>
                                    <w:rPr>
                                      <w:color w:val="231F20"/>
                                      <w:sz w:val="15"/>
                                    </w:rPr>
                                    <w:t>cycle</w:t>
                                  </w:r>
                                  <w:r>
                                    <w:rPr>
                                      <w:color w:val="231F20"/>
                                      <w:spacing w:val="-11"/>
                                      <w:sz w:val="15"/>
                                    </w:rPr>
                                    <w:t> </w:t>
                                  </w:r>
                                  <w:r>
                                    <w:rPr>
                                      <w:color w:val="231F20"/>
                                      <w:spacing w:val="-2"/>
                                      <w:sz w:val="15"/>
                                    </w:rPr>
                                    <w:t>disorders</w:t>
                                  </w:r>
                                </w:p>
                                <w:p>
                                  <w:pPr>
                                    <w:pStyle w:val="TableParagraph"/>
                                    <w:spacing w:line="230" w:lineRule="auto" w:before="3"/>
                                    <w:ind w:left="186" w:right="232" w:hanging="112"/>
                                    <w:rPr>
                                      <w:sz w:val="15"/>
                                    </w:rPr>
                                  </w:pPr>
                                  <w:r>
                                    <w:rPr>
                                      <w:color w:val="231F20"/>
                                      <w:spacing w:val="-2"/>
                                      <w:sz w:val="15"/>
                                    </w:rPr>
                                    <w:t>Pyridoxine deficiency and pyridoxal-5-phosphate deficiency </w:t>
                                  </w:r>
                                  <w:r>
                                    <w:rPr>
                                      <w:color w:val="231F20"/>
                                      <w:spacing w:val="-2"/>
                                      <w:sz w:val="15"/>
                                    </w:rPr>
                                    <w:t>(must </w:t>
                                  </w:r>
                                  <w:r>
                                    <w:rPr>
                                      <w:color w:val="231F20"/>
                                      <w:sz w:val="15"/>
                                    </w:rPr>
                                    <w:t>be considered at any age)</w:t>
                                  </w:r>
                                </w:p>
                              </w:tc>
                            </w:tr>
                            <w:tr>
                              <w:trPr>
                                <w:trHeight w:val="3446" w:hRule="atLeast"/>
                              </w:trPr>
                              <w:tc>
                                <w:tcPr>
                                  <w:tcW w:w="4702"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AGES</w:t>
                                  </w:r>
                                  <w:r>
                                    <w:rPr>
                                      <w:color w:val="231F20"/>
                                      <w:spacing w:val="-6"/>
                                      <w:w w:val="110"/>
                                      <w:sz w:val="15"/>
                                    </w:rPr>
                                    <w:t> </w:t>
                                  </w:r>
                                  <w:r>
                                    <w:rPr>
                                      <w:color w:val="231F20"/>
                                      <w:w w:val="110"/>
                                      <w:sz w:val="15"/>
                                    </w:rPr>
                                    <w:t>4-14</w:t>
                                  </w:r>
                                  <w:r>
                                    <w:rPr>
                                      <w:color w:val="231F20"/>
                                      <w:spacing w:val="-5"/>
                                      <w:w w:val="110"/>
                                      <w:sz w:val="15"/>
                                    </w:rPr>
                                    <w:t> </w:t>
                                  </w:r>
                                  <w:r>
                                    <w:rPr>
                                      <w:color w:val="231F20"/>
                                      <w:spacing w:val="-4"/>
                                      <w:w w:val="110"/>
                                      <w:sz w:val="15"/>
                                    </w:rPr>
                                    <w:t>DAYS</w:t>
                                  </w:r>
                                </w:p>
                                <w:p>
                                  <w:pPr>
                                    <w:pStyle w:val="TableParagraph"/>
                                    <w:spacing w:line="169" w:lineRule="exact"/>
                                    <w:ind w:left="74"/>
                                    <w:rPr>
                                      <w:sz w:val="15"/>
                                    </w:rPr>
                                  </w:pPr>
                                  <w:r>
                                    <w:rPr>
                                      <w:color w:val="231F20"/>
                                      <w:spacing w:val="-2"/>
                                      <w:sz w:val="15"/>
                                    </w:rPr>
                                    <w:t>Infection</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Meningitis</w:t>
                                  </w:r>
                                  <w:r>
                                    <w:rPr>
                                      <w:color w:val="231F20"/>
                                      <w:spacing w:val="14"/>
                                      <w:sz w:val="15"/>
                                    </w:rPr>
                                    <w:t> </w:t>
                                  </w:r>
                                  <w:r>
                                    <w:rPr>
                                      <w:color w:val="231F20"/>
                                      <w:spacing w:val="-2"/>
                                      <w:sz w:val="15"/>
                                    </w:rPr>
                                    <w:t>(bacterial)</w:t>
                                  </w:r>
                                </w:p>
                                <w:p>
                                  <w:pPr>
                                    <w:pStyle w:val="TableParagraph"/>
                                    <w:numPr>
                                      <w:ilvl w:val="0"/>
                                      <w:numId w:val="59"/>
                                    </w:numPr>
                                    <w:tabs>
                                      <w:tab w:pos="223" w:val="left" w:leader="none"/>
                                    </w:tabs>
                                    <w:spacing w:line="230" w:lineRule="auto" w:before="2" w:after="0"/>
                                    <w:ind w:left="74" w:right="1754" w:firstLine="0"/>
                                    <w:jc w:val="left"/>
                                    <w:rPr>
                                      <w:sz w:val="15"/>
                                    </w:rPr>
                                  </w:pPr>
                                  <w:r>
                                    <w:rPr>
                                      <w:color w:val="231F20"/>
                                      <w:spacing w:val="-2"/>
                                      <w:sz w:val="15"/>
                                    </w:rPr>
                                    <w:t>Encephalitis</w:t>
                                  </w:r>
                                  <w:r>
                                    <w:rPr>
                                      <w:color w:val="231F20"/>
                                      <w:spacing w:val="-10"/>
                                      <w:sz w:val="15"/>
                                    </w:rPr>
                                    <w:t> </w:t>
                                  </w:r>
                                  <w:r>
                                    <w:rPr>
                                      <w:color w:val="231F20"/>
                                      <w:spacing w:val="-2"/>
                                      <w:sz w:val="15"/>
                                    </w:rPr>
                                    <w:t>(enteroviral,</w:t>
                                  </w:r>
                                  <w:r>
                                    <w:rPr>
                                      <w:color w:val="231F20"/>
                                      <w:spacing w:val="-9"/>
                                      <w:sz w:val="15"/>
                                    </w:rPr>
                                    <w:t> </w:t>
                                  </w:r>
                                  <w:r>
                                    <w:rPr>
                                      <w:color w:val="231F20"/>
                                      <w:spacing w:val="-2"/>
                                      <w:sz w:val="15"/>
                                    </w:rPr>
                                    <w:t>herpes</w:t>
                                  </w:r>
                                  <w:r>
                                    <w:rPr>
                                      <w:color w:val="231F20"/>
                                      <w:spacing w:val="-9"/>
                                      <w:sz w:val="15"/>
                                    </w:rPr>
                                    <w:t> </w:t>
                                  </w:r>
                                  <w:r>
                                    <w:rPr>
                                      <w:color w:val="231F20"/>
                                      <w:spacing w:val="-2"/>
                                      <w:sz w:val="15"/>
                                    </w:rPr>
                                    <w:t>simplex) </w:t>
                                  </w:r>
                                  <w:r>
                                    <w:rPr>
                                      <w:color w:val="231F20"/>
                                      <w:sz w:val="15"/>
                                    </w:rPr>
                                    <w:t>Metabolic disorders</w:t>
                                  </w:r>
                                </w:p>
                                <w:p>
                                  <w:pPr>
                                    <w:pStyle w:val="TableParagraph"/>
                                    <w:numPr>
                                      <w:ilvl w:val="0"/>
                                      <w:numId w:val="59"/>
                                    </w:numPr>
                                    <w:tabs>
                                      <w:tab w:pos="223" w:val="left" w:leader="none"/>
                                    </w:tabs>
                                    <w:spacing w:line="167" w:lineRule="exact" w:before="0" w:after="0"/>
                                    <w:ind w:left="223" w:right="0" w:hanging="149"/>
                                    <w:jc w:val="left"/>
                                    <w:rPr>
                                      <w:sz w:val="15"/>
                                    </w:rPr>
                                  </w:pPr>
                                  <w:r>
                                    <w:rPr>
                                      <w:color w:val="231F20"/>
                                      <w:spacing w:val="-2"/>
                                      <w:sz w:val="15"/>
                                    </w:rPr>
                                    <w:t>Hypocalcemia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Diet,</w:t>
                                  </w:r>
                                  <w:r>
                                    <w:rPr>
                                      <w:color w:val="231F20"/>
                                      <w:spacing w:val="-6"/>
                                      <w:sz w:val="15"/>
                                    </w:rPr>
                                    <w:t> </w:t>
                                  </w:r>
                                  <w:r>
                                    <w:rPr>
                                      <w:color w:val="231F20"/>
                                      <w:spacing w:val="-2"/>
                                      <w:sz w:val="15"/>
                                    </w:rPr>
                                    <w:t>milk</w:t>
                                  </w:r>
                                  <w:r>
                                    <w:rPr>
                                      <w:color w:val="231F20"/>
                                      <w:spacing w:val="-5"/>
                                      <w:sz w:val="15"/>
                                    </w:rPr>
                                    <w:t> </w:t>
                                  </w:r>
                                  <w:r>
                                    <w:rPr>
                                      <w:color w:val="231F20"/>
                                      <w:spacing w:val="-2"/>
                                      <w:sz w:val="15"/>
                                    </w:rPr>
                                    <w:t>formula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Hypoglycemia,</w:t>
                                  </w:r>
                                  <w:r>
                                    <w:rPr>
                                      <w:color w:val="231F20"/>
                                      <w:spacing w:val="1"/>
                                      <w:sz w:val="15"/>
                                    </w:rPr>
                                    <w:t> </w:t>
                                  </w:r>
                                  <w:r>
                                    <w:rPr>
                                      <w:color w:val="231F20"/>
                                      <w:spacing w:val="-2"/>
                                      <w:sz w:val="15"/>
                                    </w:rPr>
                                    <w:t>persistent</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Inherited</w:t>
                                  </w:r>
                                  <w:r>
                                    <w:rPr>
                                      <w:color w:val="231F20"/>
                                      <w:spacing w:val="-5"/>
                                      <w:sz w:val="15"/>
                                    </w:rPr>
                                    <w:t> </w:t>
                                  </w:r>
                                  <w:r>
                                    <w:rPr>
                                      <w:color w:val="231F20"/>
                                      <w:sz w:val="15"/>
                                    </w:rPr>
                                    <w:t>disorders</w:t>
                                  </w:r>
                                  <w:r>
                                    <w:rPr>
                                      <w:color w:val="231F20"/>
                                      <w:spacing w:val="-4"/>
                                      <w:sz w:val="15"/>
                                    </w:rPr>
                                    <w:t> </w:t>
                                  </w:r>
                                  <w:r>
                                    <w:rPr>
                                      <w:color w:val="231F20"/>
                                      <w:sz w:val="15"/>
                                    </w:rPr>
                                    <w:t>of</w:t>
                                  </w:r>
                                  <w:r>
                                    <w:rPr>
                                      <w:color w:val="231F20"/>
                                      <w:spacing w:val="-5"/>
                                      <w:sz w:val="15"/>
                                    </w:rPr>
                                    <w:t> </w:t>
                                  </w:r>
                                  <w:r>
                                    <w:rPr>
                                      <w:color w:val="231F20"/>
                                      <w:spacing w:val="-2"/>
                                      <w:sz w:val="15"/>
                                    </w:rPr>
                                    <w:t>metabolism</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Galactosemia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Fructosemia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Leucine</w:t>
                                  </w:r>
                                  <w:r>
                                    <w:rPr>
                                      <w:color w:val="231F20"/>
                                      <w:spacing w:val="-10"/>
                                      <w:sz w:val="15"/>
                                    </w:rPr>
                                    <w:t> </w:t>
                                  </w:r>
                                  <w:r>
                                    <w:rPr>
                                      <w:color w:val="231F20"/>
                                      <w:spacing w:val="-2"/>
                                      <w:sz w:val="15"/>
                                    </w:rPr>
                                    <w:t>sensitivity</w:t>
                                  </w:r>
                                </w:p>
                                <w:p>
                                  <w:pPr>
                                    <w:pStyle w:val="TableParagraph"/>
                                    <w:numPr>
                                      <w:ilvl w:val="0"/>
                                      <w:numId w:val="59"/>
                                    </w:numPr>
                                    <w:tabs>
                                      <w:tab w:pos="223" w:val="left" w:leader="none"/>
                                    </w:tabs>
                                    <w:spacing w:line="230" w:lineRule="auto" w:before="3" w:after="0"/>
                                    <w:ind w:left="223" w:right="1220" w:hanging="150"/>
                                    <w:jc w:val="left"/>
                                    <w:rPr>
                                      <w:sz w:val="15"/>
                                    </w:rPr>
                                  </w:pPr>
                                  <w:r>
                                    <w:rPr>
                                      <w:color w:val="231F20"/>
                                      <w:spacing w:val="-2"/>
                                      <w:sz w:val="15"/>
                                    </w:rPr>
                                    <w:t>Hyperinsulinemic</w:t>
                                  </w:r>
                                  <w:r>
                                    <w:rPr>
                                      <w:color w:val="231F20"/>
                                      <w:spacing w:val="-4"/>
                                      <w:sz w:val="15"/>
                                    </w:rPr>
                                    <w:t> </w:t>
                                  </w:r>
                                  <w:r>
                                    <w:rPr>
                                      <w:color w:val="231F20"/>
                                      <w:spacing w:val="-2"/>
                                      <w:sz w:val="15"/>
                                    </w:rPr>
                                    <w:t>hypoglycemia,</w:t>
                                  </w:r>
                                  <w:r>
                                    <w:rPr>
                                      <w:color w:val="231F20"/>
                                      <w:spacing w:val="-4"/>
                                      <w:sz w:val="15"/>
                                    </w:rPr>
                                    <w:t> </w:t>
                                  </w:r>
                                  <w:r>
                                    <w:rPr>
                                      <w:color w:val="231F20"/>
                                      <w:spacing w:val="-2"/>
                                      <w:sz w:val="15"/>
                                    </w:rPr>
                                    <w:t>hyperinsulinism, </w:t>
                                  </w:r>
                                  <w:r>
                                    <w:rPr>
                                      <w:color w:val="231F20"/>
                                      <w:sz w:val="15"/>
                                    </w:rPr>
                                    <w:t>hyperammonemia syndrome</w:t>
                                  </w:r>
                                </w:p>
                                <w:p>
                                  <w:pPr>
                                    <w:pStyle w:val="TableParagraph"/>
                                    <w:numPr>
                                      <w:ilvl w:val="0"/>
                                      <w:numId w:val="59"/>
                                    </w:numPr>
                                    <w:tabs>
                                      <w:tab w:pos="223" w:val="left" w:leader="none"/>
                                    </w:tabs>
                                    <w:spacing w:line="167" w:lineRule="exact" w:before="0" w:after="0"/>
                                    <w:ind w:left="223" w:right="0" w:hanging="149"/>
                                    <w:jc w:val="left"/>
                                    <w:rPr>
                                      <w:sz w:val="15"/>
                                    </w:rPr>
                                  </w:pPr>
                                  <w:r>
                                    <w:rPr>
                                      <w:color w:val="231F20"/>
                                      <w:spacing w:val="-2"/>
                                      <w:sz w:val="15"/>
                                    </w:rPr>
                                    <w:t>Anterior</w:t>
                                  </w:r>
                                  <w:r>
                                    <w:rPr>
                                      <w:color w:val="231F20"/>
                                      <w:spacing w:val="-7"/>
                                      <w:sz w:val="15"/>
                                    </w:rPr>
                                    <w:t> </w:t>
                                  </w:r>
                                  <w:r>
                                    <w:rPr>
                                      <w:color w:val="231F20"/>
                                      <w:spacing w:val="-2"/>
                                      <w:sz w:val="15"/>
                                    </w:rPr>
                                    <w:t>pituitary</w:t>
                                  </w:r>
                                  <w:r>
                                    <w:rPr>
                                      <w:color w:val="231F20"/>
                                      <w:spacing w:val="-6"/>
                                      <w:sz w:val="15"/>
                                    </w:rPr>
                                    <w:t> </w:t>
                                  </w:r>
                                  <w:r>
                                    <w:rPr>
                                      <w:color w:val="231F20"/>
                                      <w:spacing w:val="-2"/>
                                      <w:sz w:val="15"/>
                                    </w:rPr>
                                    <w:t>hypoplasia,</w:t>
                                  </w:r>
                                  <w:r>
                                    <w:rPr>
                                      <w:color w:val="231F20"/>
                                      <w:spacing w:val="-7"/>
                                      <w:sz w:val="15"/>
                                    </w:rPr>
                                    <w:t> </w:t>
                                  </w:r>
                                  <w:r>
                                    <w:rPr>
                                      <w:color w:val="231F20"/>
                                      <w:spacing w:val="-2"/>
                                      <w:sz w:val="15"/>
                                    </w:rPr>
                                    <w:t>pancreatic</w:t>
                                  </w:r>
                                  <w:r>
                                    <w:rPr>
                                      <w:color w:val="231F20"/>
                                      <w:spacing w:val="-6"/>
                                      <w:sz w:val="15"/>
                                    </w:rPr>
                                    <w:t> </w:t>
                                  </w:r>
                                  <w:r>
                                    <w:rPr>
                                      <w:color w:val="231F20"/>
                                      <w:spacing w:val="-2"/>
                                      <w:sz w:val="15"/>
                                    </w:rPr>
                                    <w:t>islet</w:t>
                                  </w:r>
                                  <w:r>
                                    <w:rPr>
                                      <w:color w:val="231F20"/>
                                      <w:spacing w:val="-6"/>
                                      <w:sz w:val="15"/>
                                    </w:rPr>
                                    <w:t> </w:t>
                                  </w:r>
                                  <w:r>
                                    <w:rPr>
                                      <w:color w:val="231F20"/>
                                      <w:spacing w:val="-2"/>
                                      <w:sz w:val="15"/>
                                    </w:rPr>
                                    <w:t>cell</w:t>
                                  </w:r>
                                  <w:r>
                                    <w:rPr>
                                      <w:color w:val="231F20"/>
                                      <w:spacing w:val="-7"/>
                                      <w:sz w:val="15"/>
                                    </w:rPr>
                                    <w:t> </w:t>
                                  </w:r>
                                  <w:r>
                                    <w:rPr>
                                      <w:color w:val="231F20"/>
                                      <w:spacing w:val="-2"/>
                                      <w:sz w:val="15"/>
                                    </w:rPr>
                                    <w:t>tumor</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Beckwith syndrome</w:t>
                                  </w:r>
                                </w:p>
                                <w:p>
                                  <w:pPr>
                                    <w:pStyle w:val="TableParagraph"/>
                                    <w:spacing w:line="230" w:lineRule="auto" w:before="2"/>
                                    <w:ind w:left="74" w:right="232"/>
                                    <w:rPr>
                                      <w:sz w:val="15"/>
                                    </w:rPr>
                                  </w:pPr>
                                  <w:r>
                                    <w:rPr>
                                      <w:color w:val="231F20"/>
                                      <w:sz w:val="15"/>
                                    </w:rPr>
                                    <w:t>Drug</w:t>
                                  </w:r>
                                  <w:r>
                                    <w:rPr>
                                      <w:color w:val="231F20"/>
                                      <w:spacing w:val="-12"/>
                                      <w:sz w:val="15"/>
                                    </w:rPr>
                                    <w:t> </w:t>
                                  </w:r>
                                  <w:r>
                                    <w:rPr>
                                      <w:color w:val="231F20"/>
                                      <w:sz w:val="15"/>
                                    </w:rPr>
                                    <w:t>withdrawal,</w:t>
                                  </w:r>
                                  <w:r>
                                    <w:rPr>
                                      <w:color w:val="231F20"/>
                                      <w:spacing w:val="-11"/>
                                      <w:sz w:val="15"/>
                                    </w:rPr>
                                    <w:t> </w:t>
                                  </w:r>
                                  <w:r>
                                    <w:rPr>
                                      <w:color w:val="231F20"/>
                                      <w:sz w:val="15"/>
                                    </w:rPr>
                                    <w:t>maternal</w:t>
                                  </w:r>
                                  <w:r>
                                    <w:rPr>
                                      <w:color w:val="231F20"/>
                                      <w:spacing w:val="-11"/>
                                      <w:sz w:val="15"/>
                                    </w:rPr>
                                    <w:t> </w:t>
                                  </w:r>
                                  <w:r>
                                    <w:rPr>
                                      <w:color w:val="231F20"/>
                                      <w:sz w:val="15"/>
                                    </w:rPr>
                                    <w:t>drug</w:t>
                                  </w:r>
                                  <w:r>
                                    <w:rPr>
                                      <w:color w:val="231F20"/>
                                      <w:spacing w:val="-12"/>
                                      <w:sz w:val="15"/>
                                    </w:rPr>
                                    <w:t> </w:t>
                                  </w:r>
                                  <w:r>
                                    <w:rPr>
                                      <w:color w:val="231F20"/>
                                      <w:sz w:val="15"/>
                                    </w:rPr>
                                    <w:t>use</w:t>
                                  </w:r>
                                  <w:r>
                                    <w:rPr>
                                      <w:color w:val="231F20"/>
                                      <w:spacing w:val="-11"/>
                                      <w:sz w:val="15"/>
                                    </w:rPr>
                                    <w:t> </w:t>
                                  </w:r>
                                  <w:r>
                                    <w:rPr>
                                      <w:color w:val="231F20"/>
                                      <w:sz w:val="15"/>
                                    </w:rPr>
                                    <w:t>of</w:t>
                                  </w:r>
                                  <w:r>
                                    <w:rPr>
                                      <w:color w:val="231F20"/>
                                      <w:spacing w:val="-11"/>
                                      <w:sz w:val="15"/>
                                    </w:rPr>
                                    <w:t> </w:t>
                                  </w:r>
                                  <w:r>
                                    <w:rPr>
                                      <w:color w:val="231F20"/>
                                      <w:sz w:val="15"/>
                                    </w:rPr>
                                    <w:t>narcotics</w:t>
                                  </w:r>
                                  <w:r>
                                    <w:rPr>
                                      <w:color w:val="231F20"/>
                                      <w:spacing w:val="-12"/>
                                      <w:sz w:val="15"/>
                                    </w:rPr>
                                    <w:t> </w:t>
                                  </w:r>
                                  <w:r>
                                    <w:rPr>
                                      <w:color w:val="231F20"/>
                                      <w:sz w:val="15"/>
                                    </w:rPr>
                                    <w:t>or</w:t>
                                  </w:r>
                                  <w:r>
                                    <w:rPr>
                                      <w:color w:val="231F20"/>
                                      <w:spacing w:val="-11"/>
                                      <w:sz w:val="15"/>
                                    </w:rPr>
                                    <w:t> </w:t>
                                  </w:r>
                                  <w:r>
                                    <w:rPr>
                                      <w:color w:val="231F20"/>
                                      <w:sz w:val="15"/>
                                    </w:rPr>
                                    <w:t>barbiturates Benign neonatal convulsions, familial and nonfamilial Kernicterus, hyperbilirubinemia</w:t>
                                  </w:r>
                                </w:p>
                                <w:p>
                                  <w:pPr>
                                    <w:pStyle w:val="TableParagraph"/>
                                    <w:spacing w:line="171" w:lineRule="exact"/>
                                    <w:ind w:left="74"/>
                                    <w:rPr>
                                      <w:sz w:val="15"/>
                                    </w:rPr>
                                  </w:pPr>
                                  <w:r>
                                    <w:rPr>
                                      <w:color w:val="231F20"/>
                                      <w:sz w:val="15"/>
                                    </w:rPr>
                                    <w:t>Developmental</w:t>
                                  </w:r>
                                  <w:r>
                                    <w:rPr>
                                      <w:color w:val="231F20"/>
                                      <w:spacing w:val="-10"/>
                                      <w:sz w:val="15"/>
                                    </w:rPr>
                                    <w:t> </w:t>
                                  </w:r>
                                  <w:r>
                                    <w:rPr>
                                      <w:color w:val="231F20"/>
                                      <w:sz w:val="15"/>
                                    </w:rPr>
                                    <w:t>delay,</w:t>
                                  </w:r>
                                  <w:r>
                                    <w:rPr>
                                      <w:color w:val="231F20"/>
                                      <w:spacing w:val="-11"/>
                                      <w:sz w:val="15"/>
                                    </w:rPr>
                                    <w:t> </w:t>
                                  </w:r>
                                  <w:r>
                                    <w:rPr>
                                      <w:color w:val="231F20"/>
                                      <w:sz w:val="15"/>
                                    </w:rPr>
                                    <w:t>epilepsy,</w:t>
                                  </w:r>
                                  <w:r>
                                    <w:rPr>
                                      <w:color w:val="231F20"/>
                                      <w:spacing w:val="-10"/>
                                      <w:sz w:val="15"/>
                                    </w:rPr>
                                    <w:t> </w:t>
                                  </w:r>
                                  <w:r>
                                    <w:rPr>
                                      <w:color w:val="231F20"/>
                                      <w:sz w:val="15"/>
                                    </w:rPr>
                                    <w:t>neonatal</w:t>
                                  </w:r>
                                  <w:r>
                                    <w:rPr>
                                      <w:color w:val="231F20"/>
                                      <w:spacing w:val="-10"/>
                                      <w:sz w:val="15"/>
                                    </w:rPr>
                                    <w:t> </w:t>
                                  </w:r>
                                  <w:r>
                                    <w:rPr>
                                      <w:color w:val="231F20"/>
                                      <w:sz w:val="15"/>
                                    </w:rPr>
                                    <w:t>diabetes</w:t>
                                  </w:r>
                                  <w:r>
                                    <w:rPr>
                                      <w:color w:val="231F20"/>
                                      <w:spacing w:val="-10"/>
                                      <w:sz w:val="15"/>
                                    </w:rPr>
                                    <w:t> </w:t>
                                  </w:r>
                                  <w:r>
                                    <w:rPr>
                                      <w:color w:val="231F20"/>
                                      <w:spacing w:val="-2"/>
                                      <w:sz w:val="15"/>
                                    </w:rPr>
                                    <w:t>syndrome</w:t>
                                  </w:r>
                                </w:p>
                              </w:tc>
                            </w:tr>
                            <w:tr>
                              <w:trPr>
                                <w:trHeight w:val="2937" w:hRule="atLeast"/>
                              </w:trPr>
                              <w:tc>
                                <w:tcPr>
                                  <w:tcW w:w="4702"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AGES</w:t>
                                  </w:r>
                                  <w:r>
                                    <w:rPr>
                                      <w:color w:val="231F20"/>
                                      <w:spacing w:val="-3"/>
                                      <w:w w:val="110"/>
                                      <w:sz w:val="15"/>
                                    </w:rPr>
                                    <w:t> </w:t>
                                  </w:r>
                                  <w:r>
                                    <w:rPr>
                                      <w:color w:val="231F20"/>
                                      <w:w w:val="110"/>
                                      <w:sz w:val="15"/>
                                    </w:rPr>
                                    <w:t>2-8</w:t>
                                  </w:r>
                                  <w:r>
                                    <w:rPr>
                                      <w:color w:val="231F20"/>
                                      <w:spacing w:val="-3"/>
                                      <w:w w:val="110"/>
                                      <w:sz w:val="15"/>
                                    </w:rPr>
                                    <w:t> </w:t>
                                  </w:r>
                                  <w:r>
                                    <w:rPr>
                                      <w:color w:val="231F20"/>
                                      <w:spacing w:val="-5"/>
                                      <w:w w:val="110"/>
                                      <w:sz w:val="15"/>
                                    </w:rPr>
                                    <w:t>WK</w:t>
                                  </w:r>
                                </w:p>
                                <w:p>
                                  <w:pPr>
                                    <w:pStyle w:val="TableParagraph"/>
                                    <w:spacing w:line="169" w:lineRule="exact"/>
                                    <w:ind w:left="74"/>
                                    <w:rPr>
                                      <w:sz w:val="15"/>
                                    </w:rPr>
                                  </w:pPr>
                                  <w:r>
                                    <w:rPr>
                                      <w:color w:val="231F20"/>
                                      <w:spacing w:val="-2"/>
                                      <w:sz w:val="15"/>
                                    </w:rPr>
                                    <w:t>Infection</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Herpes</w:t>
                                  </w:r>
                                  <w:r>
                                    <w:rPr>
                                      <w:color w:val="231F20"/>
                                      <w:spacing w:val="-7"/>
                                      <w:sz w:val="15"/>
                                    </w:rPr>
                                    <w:t> </w:t>
                                  </w:r>
                                  <w:r>
                                    <w:rPr>
                                      <w:color w:val="231F20"/>
                                      <w:sz w:val="15"/>
                                    </w:rPr>
                                    <w:t>simplex</w:t>
                                  </w:r>
                                  <w:r>
                                    <w:rPr>
                                      <w:color w:val="231F20"/>
                                      <w:spacing w:val="-6"/>
                                      <w:sz w:val="15"/>
                                    </w:rPr>
                                    <w:t> </w:t>
                                  </w:r>
                                  <w:r>
                                    <w:rPr>
                                      <w:color w:val="231F20"/>
                                      <w:sz w:val="15"/>
                                    </w:rPr>
                                    <w:t>or</w:t>
                                  </w:r>
                                  <w:r>
                                    <w:rPr>
                                      <w:color w:val="231F20"/>
                                      <w:spacing w:val="-7"/>
                                      <w:sz w:val="15"/>
                                    </w:rPr>
                                    <w:t> </w:t>
                                  </w:r>
                                  <w:r>
                                    <w:rPr>
                                      <w:color w:val="231F20"/>
                                      <w:sz w:val="15"/>
                                    </w:rPr>
                                    <w:t>enteroviral</w:t>
                                  </w:r>
                                  <w:r>
                                    <w:rPr>
                                      <w:color w:val="231F20"/>
                                      <w:spacing w:val="-6"/>
                                      <w:sz w:val="15"/>
                                    </w:rPr>
                                    <w:t> </w:t>
                                  </w:r>
                                  <w:r>
                                    <w:rPr>
                                      <w:color w:val="231F20"/>
                                      <w:spacing w:val="-2"/>
                                      <w:sz w:val="15"/>
                                    </w:rPr>
                                    <w:t>encephalitis</w:t>
                                  </w:r>
                                </w:p>
                                <w:p>
                                  <w:pPr>
                                    <w:pStyle w:val="TableParagraph"/>
                                    <w:numPr>
                                      <w:ilvl w:val="0"/>
                                      <w:numId w:val="60"/>
                                    </w:numPr>
                                    <w:tabs>
                                      <w:tab w:pos="223" w:val="left" w:leader="none"/>
                                    </w:tabs>
                                    <w:spacing w:line="230" w:lineRule="auto" w:before="2" w:after="0"/>
                                    <w:ind w:left="74" w:right="3166" w:firstLine="0"/>
                                    <w:jc w:val="left"/>
                                    <w:rPr>
                                      <w:sz w:val="15"/>
                                    </w:rPr>
                                  </w:pPr>
                                  <w:r>
                                    <w:rPr>
                                      <w:color w:val="231F20"/>
                                      <w:spacing w:val="-2"/>
                                      <w:sz w:val="15"/>
                                    </w:rPr>
                                    <w:t>Bacterial</w:t>
                                  </w:r>
                                  <w:r>
                                    <w:rPr>
                                      <w:color w:val="231F20"/>
                                      <w:spacing w:val="-10"/>
                                      <w:sz w:val="15"/>
                                    </w:rPr>
                                    <w:t> </w:t>
                                  </w:r>
                                  <w:r>
                                    <w:rPr>
                                      <w:color w:val="231F20"/>
                                      <w:spacing w:val="-2"/>
                                      <w:sz w:val="15"/>
                                    </w:rPr>
                                    <w:t>meningitis </w:t>
                                  </w:r>
                                  <w:r>
                                    <w:rPr>
                                      <w:color w:val="231F20"/>
                                      <w:sz w:val="15"/>
                                    </w:rPr>
                                    <w:t>Head injury</w:t>
                                  </w:r>
                                </w:p>
                                <w:p>
                                  <w:pPr>
                                    <w:pStyle w:val="TableParagraph"/>
                                    <w:numPr>
                                      <w:ilvl w:val="0"/>
                                      <w:numId w:val="60"/>
                                    </w:numPr>
                                    <w:tabs>
                                      <w:tab w:pos="223" w:val="left" w:leader="none"/>
                                    </w:tabs>
                                    <w:spacing w:line="167" w:lineRule="exact" w:before="0" w:after="0"/>
                                    <w:ind w:left="223" w:right="0" w:hanging="149"/>
                                    <w:jc w:val="left"/>
                                    <w:rPr>
                                      <w:sz w:val="15"/>
                                    </w:rPr>
                                  </w:pPr>
                                  <w:r>
                                    <w:rPr>
                                      <w:color w:val="231F20"/>
                                      <w:sz w:val="15"/>
                                    </w:rPr>
                                    <w:t>Subdural</w:t>
                                  </w:r>
                                  <w:r>
                                    <w:rPr>
                                      <w:color w:val="231F20"/>
                                      <w:spacing w:val="6"/>
                                      <w:sz w:val="15"/>
                                    </w:rPr>
                                    <w:t> </w:t>
                                  </w:r>
                                  <w:r>
                                    <w:rPr>
                                      <w:color w:val="231F20"/>
                                      <w:spacing w:val="-2"/>
                                      <w:sz w:val="15"/>
                                    </w:rPr>
                                    <w:t>hematoma</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Child</w:t>
                                  </w:r>
                                  <w:r>
                                    <w:rPr>
                                      <w:color w:val="231F20"/>
                                      <w:spacing w:val="7"/>
                                      <w:sz w:val="15"/>
                                    </w:rPr>
                                    <w:t> </w:t>
                                  </w:r>
                                  <w:r>
                                    <w:rPr>
                                      <w:color w:val="231F20"/>
                                      <w:spacing w:val="-2"/>
                                      <w:sz w:val="15"/>
                                    </w:rPr>
                                    <w:t>abuse</w:t>
                                  </w:r>
                                </w:p>
                                <w:p>
                                  <w:pPr>
                                    <w:pStyle w:val="TableParagraph"/>
                                    <w:spacing w:line="168" w:lineRule="exact"/>
                                    <w:ind w:left="74"/>
                                    <w:rPr>
                                      <w:sz w:val="15"/>
                                    </w:rPr>
                                  </w:pPr>
                                  <w:r>
                                    <w:rPr>
                                      <w:color w:val="231F20"/>
                                      <w:sz w:val="15"/>
                                    </w:rPr>
                                    <w:t>Inherited</w:t>
                                  </w:r>
                                  <w:r>
                                    <w:rPr>
                                      <w:color w:val="231F20"/>
                                      <w:spacing w:val="-5"/>
                                      <w:sz w:val="15"/>
                                    </w:rPr>
                                    <w:t> </w:t>
                                  </w:r>
                                  <w:r>
                                    <w:rPr>
                                      <w:color w:val="231F20"/>
                                      <w:sz w:val="15"/>
                                    </w:rPr>
                                    <w:t>disorders</w:t>
                                  </w:r>
                                  <w:r>
                                    <w:rPr>
                                      <w:color w:val="231F20"/>
                                      <w:spacing w:val="-4"/>
                                      <w:sz w:val="15"/>
                                    </w:rPr>
                                    <w:t> </w:t>
                                  </w:r>
                                  <w:r>
                                    <w:rPr>
                                      <w:color w:val="231F20"/>
                                      <w:sz w:val="15"/>
                                    </w:rPr>
                                    <w:t>of</w:t>
                                  </w:r>
                                  <w:r>
                                    <w:rPr>
                                      <w:color w:val="231F20"/>
                                      <w:spacing w:val="-5"/>
                                      <w:sz w:val="15"/>
                                    </w:rPr>
                                    <w:t> </w:t>
                                  </w:r>
                                  <w:r>
                                    <w:rPr>
                                      <w:color w:val="231F20"/>
                                      <w:spacing w:val="-2"/>
                                      <w:sz w:val="15"/>
                                    </w:rPr>
                                    <w:t>metabolism</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pacing w:val="-2"/>
                                      <w:sz w:val="15"/>
                                    </w:rPr>
                                    <w:t>Aminoacidurias</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Urea</w:t>
                                  </w:r>
                                  <w:r>
                                    <w:rPr>
                                      <w:color w:val="231F20"/>
                                      <w:spacing w:val="-11"/>
                                      <w:sz w:val="15"/>
                                    </w:rPr>
                                    <w:t> </w:t>
                                  </w:r>
                                  <w:r>
                                    <w:rPr>
                                      <w:color w:val="231F20"/>
                                      <w:sz w:val="15"/>
                                    </w:rPr>
                                    <w:t>cycle</w:t>
                                  </w:r>
                                  <w:r>
                                    <w:rPr>
                                      <w:color w:val="231F20"/>
                                      <w:spacing w:val="-11"/>
                                      <w:sz w:val="15"/>
                                    </w:rPr>
                                    <w:t> </w:t>
                                  </w:r>
                                  <w:r>
                                    <w:rPr>
                                      <w:color w:val="231F20"/>
                                      <w:spacing w:val="-2"/>
                                      <w:sz w:val="15"/>
                                    </w:rPr>
                                    <w:t>defects</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Organic</w:t>
                                  </w:r>
                                  <w:r>
                                    <w:rPr>
                                      <w:color w:val="231F20"/>
                                      <w:spacing w:val="21"/>
                                      <w:sz w:val="15"/>
                                    </w:rPr>
                                    <w:t> </w:t>
                                  </w:r>
                                  <w:r>
                                    <w:rPr>
                                      <w:color w:val="231F20"/>
                                      <w:spacing w:val="-2"/>
                                      <w:sz w:val="15"/>
                                    </w:rPr>
                                    <w:t>acidurias</w:t>
                                  </w:r>
                                </w:p>
                                <w:p>
                                  <w:pPr>
                                    <w:pStyle w:val="TableParagraph"/>
                                    <w:numPr>
                                      <w:ilvl w:val="0"/>
                                      <w:numId w:val="60"/>
                                    </w:numPr>
                                    <w:tabs>
                                      <w:tab w:pos="223" w:val="left" w:leader="none"/>
                                    </w:tabs>
                                    <w:spacing w:line="230" w:lineRule="auto" w:before="3" w:after="0"/>
                                    <w:ind w:left="74" w:right="2032" w:firstLine="0"/>
                                    <w:jc w:val="left"/>
                                    <w:rPr>
                                      <w:sz w:val="15"/>
                                    </w:rPr>
                                  </w:pPr>
                                  <w:r>
                                    <w:rPr>
                                      <w:color w:val="231F20"/>
                                      <w:sz w:val="15"/>
                                    </w:rPr>
                                    <w:t>Neonatal adrenoleukodystrophy Malformations</w:t>
                                  </w:r>
                                  <w:r>
                                    <w:rPr>
                                      <w:color w:val="231F20"/>
                                      <w:spacing w:val="-12"/>
                                      <w:sz w:val="15"/>
                                    </w:rPr>
                                    <w:t> </w:t>
                                  </w:r>
                                  <w:r>
                                    <w:rPr>
                                      <w:color w:val="231F20"/>
                                      <w:sz w:val="15"/>
                                    </w:rPr>
                                    <w:t>of</w:t>
                                  </w:r>
                                  <w:r>
                                    <w:rPr>
                                      <w:color w:val="231F20"/>
                                      <w:spacing w:val="-11"/>
                                      <w:sz w:val="15"/>
                                    </w:rPr>
                                    <w:t> </w:t>
                                  </w:r>
                                  <w:r>
                                    <w:rPr>
                                      <w:color w:val="231F20"/>
                                      <w:sz w:val="15"/>
                                    </w:rPr>
                                    <w:t>cortical</w:t>
                                  </w:r>
                                  <w:r>
                                    <w:rPr>
                                      <w:color w:val="231F20"/>
                                      <w:spacing w:val="-11"/>
                                      <w:sz w:val="15"/>
                                    </w:rPr>
                                    <w:t> </w:t>
                                  </w:r>
                                  <w:r>
                                    <w:rPr>
                                      <w:color w:val="231F20"/>
                                      <w:sz w:val="15"/>
                                    </w:rPr>
                                    <w:t>development</w:t>
                                  </w:r>
                                </w:p>
                                <w:p>
                                  <w:pPr>
                                    <w:pStyle w:val="TableParagraph"/>
                                    <w:numPr>
                                      <w:ilvl w:val="0"/>
                                      <w:numId w:val="60"/>
                                    </w:numPr>
                                    <w:tabs>
                                      <w:tab w:pos="223" w:val="left" w:leader="none"/>
                                    </w:tabs>
                                    <w:spacing w:line="167" w:lineRule="exact" w:before="0" w:after="0"/>
                                    <w:ind w:left="223" w:right="0" w:hanging="149"/>
                                    <w:jc w:val="left"/>
                                    <w:rPr>
                                      <w:sz w:val="15"/>
                                    </w:rPr>
                                  </w:pPr>
                                  <w:r>
                                    <w:rPr>
                                      <w:color w:val="231F20"/>
                                      <w:spacing w:val="-2"/>
                                      <w:sz w:val="15"/>
                                    </w:rPr>
                                    <w:t>Lissencephaly</w:t>
                                  </w:r>
                                </w:p>
                                <w:p>
                                  <w:pPr>
                                    <w:pStyle w:val="TableParagraph"/>
                                    <w:numPr>
                                      <w:ilvl w:val="0"/>
                                      <w:numId w:val="60"/>
                                    </w:numPr>
                                    <w:tabs>
                                      <w:tab w:pos="223" w:val="left" w:leader="none"/>
                                    </w:tabs>
                                    <w:spacing w:line="230" w:lineRule="auto" w:before="2" w:after="0"/>
                                    <w:ind w:left="74" w:right="2939" w:firstLine="0"/>
                                    <w:jc w:val="left"/>
                                    <w:rPr>
                                      <w:sz w:val="15"/>
                                    </w:rPr>
                                  </w:pPr>
                                  <w:r>
                                    <w:rPr>
                                      <w:color w:val="231F20"/>
                                      <w:spacing w:val="-2"/>
                                      <w:sz w:val="15"/>
                                    </w:rPr>
                                    <w:t>Focal</w:t>
                                  </w:r>
                                  <w:r>
                                    <w:rPr>
                                      <w:color w:val="231F20"/>
                                      <w:spacing w:val="-10"/>
                                      <w:sz w:val="15"/>
                                    </w:rPr>
                                    <w:t> </w:t>
                                  </w:r>
                                  <w:r>
                                    <w:rPr>
                                      <w:color w:val="231F20"/>
                                      <w:spacing w:val="-2"/>
                                      <w:sz w:val="15"/>
                                    </w:rPr>
                                    <w:t>cortical</w:t>
                                  </w:r>
                                  <w:r>
                                    <w:rPr>
                                      <w:color w:val="231F20"/>
                                      <w:spacing w:val="-9"/>
                                      <w:sz w:val="15"/>
                                    </w:rPr>
                                    <w:t> </w:t>
                                  </w:r>
                                  <w:r>
                                    <w:rPr>
                                      <w:color w:val="231F20"/>
                                      <w:spacing w:val="-2"/>
                                      <w:sz w:val="15"/>
                                    </w:rPr>
                                    <w:t>dysplasia </w:t>
                                  </w:r>
                                  <w:r>
                                    <w:rPr>
                                      <w:color w:val="231F20"/>
                                      <w:sz w:val="15"/>
                                    </w:rPr>
                                    <w:t>Tuberous sclerosis Sturge-Weber syndrome</w:t>
                                  </w:r>
                                </w:p>
                              </w:tc>
                            </w:tr>
                          </w:tbl>
                          <w:p>
                            <w:pPr>
                              <w:pStyle w:val="BodyText"/>
                            </w:pPr>
                          </w:p>
                        </w:txbxContent>
                      </wps:txbx>
                      <wps:bodyPr wrap="square" lIns="0" tIns="0" rIns="0" bIns="0" rtlCol="0">
                        <a:noAutofit/>
                      </wps:bodyPr>
                    </wps:wsp>
                  </a:graphicData>
                </a:graphic>
              </wp:anchor>
            </w:drawing>
          </mc:Choice>
          <mc:Fallback>
            <w:pict>
              <v:shape style="position:absolute;margin-left:62.382401pt;margin-top:9.277501pt;width:235.15pt;height:538.950pt;mso-position-horizontal-relative:page;mso-position-vertical-relative:paragraph;z-index:-15728640;mso-wrap-distance-left:0;mso-wrap-distance-right:0" type="#_x0000_t202" id="docshape55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3480"/>
                      </w:tblGrid>
                      <w:tr>
                        <w:trPr>
                          <w:trHeight w:val="559"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593-</w:t>
                            </w:r>
                            <w:r>
                              <w:rPr>
                                <w:b/>
                                <w:color w:val="FFFFFF"/>
                                <w:spacing w:val="-5"/>
                                <w:sz w:val="16"/>
                              </w:rPr>
                              <w:t>17</w:t>
                            </w:r>
                          </w:p>
                        </w:tc>
                        <w:tc>
                          <w:tcPr>
                            <w:tcW w:w="3480" w:type="dxa"/>
                            <w:tcBorders>
                              <w:left w:val="single" w:sz="8" w:space="0" w:color="FFFFFF"/>
                            </w:tcBorders>
                            <w:shd w:val="clear" w:color="auto" w:fill="231F20"/>
                          </w:tcPr>
                          <w:p>
                            <w:pPr>
                              <w:pStyle w:val="TableParagraph"/>
                              <w:spacing w:before="89"/>
                              <w:ind w:left="74" w:right="367"/>
                              <w:rPr>
                                <w:sz w:val="16"/>
                              </w:rPr>
                            </w:pPr>
                            <w:r>
                              <w:rPr>
                                <w:color w:val="FFFFFF"/>
                                <w:w w:val="105"/>
                                <w:sz w:val="16"/>
                              </w:rPr>
                              <w:t>Causes of Neonatal Seizures </w:t>
                            </w:r>
                            <w:r>
                              <w:rPr>
                                <w:color w:val="FFFFFF"/>
                                <w:w w:val="105"/>
                                <w:sz w:val="16"/>
                              </w:rPr>
                              <w:t>According to Common Age of Presentation</w:t>
                            </w:r>
                          </w:p>
                        </w:tc>
                      </w:tr>
                      <w:tr>
                        <w:trPr>
                          <w:trHeight w:val="3786" w:hRule="atLeast"/>
                        </w:trPr>
                        <w:tc>
                          <w:tcPr>
                            <w:tcW w:w="4702"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AGES</w:t>
                            </w:r>
                            <w:r>
                              <w:rPr>
                                <w:color w:val="231F20"/>
                                <w:spacing w:val="-3"/>
                                <w:w w:val="110"/>
                                <w:sz w:val="15"/>
                              </w:rPr>
                              <w:t> </w:t>
                            </w:r>
                            <w:r>
                              <w:rPr>
                                <w:color w:val="231F20"/>
                                <w:w w:val="110"/>
                                <w:sz w:val="15"/>
                              </w:rPr>
                              <w:t>1-4</w:t>
                            </w:r>
                            <w:r>
                              <w:rPr>
                                <w:color w:val="231F20"/>
                                <w:spacing w:val="-3"/>
                                <w:w w:val="110"/>
                                <w:sz w:val="15"/>
                              </w:rPr>
                              <w:t> </w:t>
                            </w:r>
                            <w:r>
                              <w:rPr>
                                <w:color w:val="231F20"/>
                                <w:spacing w:val="-4"/>
                                <w:w w:val="110"/>
                                <w:sz w:val="15"/>
                              </w:rPr>
                              <w:t>DAYS</w:t>
                            </w:r>
                          </w:p>
                          <w:p>
                            <w:pPr>
                              <w:pStyle w:val="TableParagraph"/>
                              <w:spacing w:line="169" w:lineRule="exact"/>
                              <w:ind w:left="74"/>
                              <w:rPr>
                                <w:sz w:val="15"/>
                              </w:rPr>
                            </w:pPr>
                            <w:r>
                              <w:rPr>
                                <w:color w:val="231F20"/>
                                <w:sz w:val="15"/>
                              </w:rPr>
                              <w:t>Hypoxic–ischemic</w:t>
                            </w:r>
                            <w:r>
                              <w:rPr>
                                <w:color w:val="231F20"/>
                                <w:spacing w:val="12"/>
                                <w:sz w:val="15"/>
                              </w:rPr>
                              <w:t> </w:t>
                            </w:r>
                            <w:r>
                              <w:rPr>
                                <w:color w:val="231F20"/>
                                <w:spacing w:val="-2"/>
                                <w:sz w:val="15"/>
                              </w:rPr>
                              <w:t>encephalopathy</w:t>
                            </w:r>
                          </w:p>
                          <w:p>
                            <w:pPr>
                              <w:pStyle w:val="TableParagraph"/>
                              <w:spacing w:line="230" w:lineRule="auto" w:before="2"/>
                              <w:ind w:left="74" w:right="232"/>
                              <w:rPr>
                                <w:sz w:val="15"/>
                              </w:rPr>
                            </w:pPr>
                            <w:r>
                              <w:rPr>
                                <w:color w:val="231F20"/>
                                <w:sz w:val="15"/>
                              </w:rPr>
                              <w:t>Drug</w:t>
                            </w:r>
                            <w:r>
                              <w:rPr>
                                <w:color w:val="231F20"/>
                                <w:spacing w:val="-12"/>
                                <w:sz w:val="15"/>
                              </w:rPr>
                              <w:t> </w:t>
                            </w:r>
                            <w:r>
                              <w:rPr>
                                <w:color w:val="231F20"/>
                                <w:sz w:val="15"/>
                              </w:rPr>
                              <w:t>withdrawal,</w:t>
                            </w:r>
                            <w:r>
                              <w:rPr>
                                <w:color w:val="231F20"/>
                                <w:spacing w:val="-11"/>
                                <w:sz w:val="15"/>
                              </w:rPr>
                              <w:t> </w:t>
                            </w:r>
                            <w:r>
                              <w:rPr>
                                <w:color w:val="231F20"/>
                                <w:sz w:val="15"/>
                              </w:rPr>
                              <w:t>maternal</w:t>
                            </w:r>
                            <w:r>
                              <w:rPr>
                                <w:color w:val="231F20"/>
                                <w:spacing w:val="-11"/>
                                <w:sz w:val="15"/>
                              </w:rPr>
                              <w:t> </w:t>
                            </w:r>
                            <w:r>
                              <w:rPr>
                                <w:color w:val="231F20"/>
                                <w:sz w:val="15"/>
                              </w:rPr>
                              <w:t>drug</w:t>
                            </w:r>
                            <w:r>
                              <w:rPr>
                                <w:color w:val="231F20"/>
                                <w:spacing w:val="-12"/>
                                <w:sz w:val="15"/>
                              </w:rPr>
                              <w:t> </w:t>
                            </w:r>
                            <w:r>
                              <w:rPr>
                                <w:color w:val="231F20"/>
                                <w:sz w:val="15"/>
                              </w:rPr>
                              <w:t>use</w:t>
                            </w:r>
                            <w:r>
                              <w:rPr>
                                <w:color w:val="231F20"/>
                                <w:spacing w:val="-11"/>
                                <w:sz w:val="15"/>
                              </w:rPr>
                              <w:t> </w:t>
                            </w:r>
                            <w:r>
                              <w:rPr>
                                <w:color w:val="231F20"/>
                                <w:sz w:val="15"/>
                              </w:rPr>
                              <w:t>of</w:t>
                            </w:r>
                            <w:r>
                              <w:rPr>
                                <w:color w:val="231F20"/>
                                <w:spacing w:val="-11"/>
                                <w:sz w:val="15"/>
                              </w:rPr>
                              <w:t> </w:t>
                            </w:r>
                            <w:r>
                              <w:rPr>
                                <w:color w:val="231F20"/>
                                <w:sz w:val="15"/>
                              </w:rPr>
                              <w:t>narcotic</w:t>
                            </w:r>
                            <w:r>
                              <w:rPr>
                                <w:color w:val="231F20"/>
                                <w:spacing w:val="-12"/>
                                <w:sz w:val="15"/>
                              </w:rPr>
                              <w:t> </w:t>
                            </w:r>
                            <w:r>
                              <w:rPr>
                                <w:color w:val="231F20"/>
                                <w:sz w:val="15"/>
                              </w:rPr>
                              <w:t>or</w:t>
                            </w:r>
                            <w:r>
                              <w:rPr>
                                <w:color w:val="231F20"/>
                                <w:spacing w:val="-11"/>
                                <w:sz w:val="15"/>
                              </w:rPr>
                              <w:t> </w:t>
                            </w:r>
                            <w:r>
                              <w:rPr>
                                <w:color w:val="231F20"/>
                                <w:sz w:val="15"/>
                              </w:rPr>
                              <w:t>barbiturates Drug toxicity: lidocaine, penicillin</w:t>
                            </w:r>
                          </w:p>
                          <w:p>
                            <w:pPr>
                              <w:pStyle w:val="TableParagraph"/>
                              <w:spacing w:line="230" w:lineRule="auto" w:before="2"/>
                              <w:ind w:left="74" w:right="2765"/>
                              <w:rPr>
                                <w:sz w:val="15"/>
                              </w:rPr>
                            </w:pPr>
                            <w:r>
                              <w:rPr>
                                <w:color w:val="231F20"/>
                                <w:spacing w:val="-2"/>
                                <w:sz w:val="15"/>
                              </w:rPr>
                              <w:t>Intraventricular</w:t>
                            </w:r>
                            <w:r>
                              <w:rPr>
                                <w:color w:val="231F20"/>
                                <w:spacing w:val="-10"/>
                                <w:sz w:val="15"/>
                              </w:rPr>
                              <w:t> </w:t>
                            </w:r>
                            <w:r>
                              <w:rPr>
                                <w:color w:val="231F20"/>
                                <w:spacing w:val="-2"/>
                                <w:sz w:val="15"/>
                              </w:rPr>
                              <w:t>hemorrhage </w:t>
                            </w:r>
                            <w:r>
                              <w:rPr>
                                <w:color w:val="231F20"/>
                                <w:sz w:val="15"/>
                              </w:rPr>
                              <w:t>Acute metabolic disorders</w:t>
                            </w:r>
                          </w:p>
                          <w:p>
                            <w:pPr>
                              <w:pStyle w:val="TableParagraph"/>
                              <w:numPr>
                                <w:ilvl w:val="0"/>
                                <w:numId w:val="58"/>
                              </w:numPr>
                              <w:tabs>
                                <w:tab w:pos="223" w:val="left" w:leader="none"/>
                              </w:tabs>
                              <w:spacing w:line="167" w:lineRule="exact" w:before="0" w:after="0"/>
                              <w:ind w:left="223" w:right="0" w:hanging="149"/>
                              <w:jc w:val="left"/>
                              <w:rPr>
                                <w:sz w:val="15"/>
                              </w:rPr>
                            </w:pPr>
                            <w:r>
                              <w:rPr>
                                <w:color w:val="231F20"/>
                                <w:spacing w:val="-2"/>
                                <w:sz w:val="15"/>
                              </w:rPr>
                              <w:t>Hypocalcemia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w w:val="105"/>
                                <w:sz w:val="15"/>
                              </w:rPr>
                              <w:t>Sepsis</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Maternal</w:t>
                            </w:r>
                            <w:r>
                              <w:rPr>
                                <w:color w:val="231F20"/>
                                <w:sz w:val="15"/>
                              </w:rPr>
                              <w:t> </w:t>
                            </w:r>
                            <w:r>
                              <w:rPr>
                                <w:color w:val="231F20"/>
                                <w:spacing w:val="-2"/>
                                <w:sz w:val="15"/>
                              </w:rPr>
                              <w:t>hyperthyroidism,</w:t>
                            </w:r>
                            <w:r>
                              <w:rPr>
                                <w:color w:val="231F20"/>
                                <w:spacing w:val="1"/>
                                <w:sz w:val="15"/>
                              </w:rPr>
                              <w:t> </w:t>
                            </w:r>
                            <w:r>
                              <w:rPr>
                                <w:color w:val="231F20"/>
                                <w:spacing w:val="-2"/>
                                <w:sz w:val="15"/>
                              </w:rPr>
                              <w:t>or</w:t>
                            </w:r>
                            <w:r>
                              <w:rPr>
                                <w:color w:val="231F20"/>
                                <w:sz w:val="15"/>
                              </w:rPr>
                              <w:t> </w:t>
                            </w:r>
                            <w:r>
                              <w:rPr>
                                <w:color w:val="231F20"/>
                                <w:spacing w:val="-2"/>
                                <w:sz w:val="15"/>
                              </w:rPr>
                              <w:t>hypoparathyroidism</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Hypoglycemia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4"/>
                                <w:sz w:val="15"/>
                              </w:rPr>
                              <w:t>Perinatal</w:t>
                            </w:r>
                            <w:r>
                              <w:rPr>
                                <w:color w:val="231F20"/>
                                <w:spacing w:val="4"/>
                                <w:sz w:val="15"/>
                              </w:rPr>
                              <w:t> </w:t>
                            </w:r>
                            <w:r>
                              <w:rPr>
                                <w:color w:val="231F20"/>
                                <w:spacing w:val="-4"/>
                                <w:sz w:val="15"/>
                              </w:rPr>
                              <w:t>insults,</w:t>
                            </w:r>
                            <w:r>
                              <w:rPr>
                                <w:color w:val="231F20"/>
                                <w:spacing w:val="4"/>
                                <w:sz w:val="15"/>
                              </w:rPr>
                              <w:t> </w:t>
                            </w:r>
                            <w:r>
                              <w:rPr>
                                <w:color w:val="231F20"/>
                                <w:spacing w:val="-4"/>
                                <w:sz w:val="15"/>
                              </w:rPr>
                              <w:t>prematurity,</w:t>
                            </w:r>
                            <w:r>
                              <w:rPr>
                                <w:color w:val="231F20"/>
                                <w:spacing w:val="4"/>
                                <w:sz w:val="15"/>
                              </w:rPr>
                              <w:t> </w:t>
                            </w:r>
                            <w:r>
                              <w:rPr>
                                <w:color w:val="231F20"/>
                                <w:spacing w:val="-4"/>
                                <w:sz w:val="15"/>
                              </w:rPr>
                              <w:t>small</w:t>
                            </w:r>
                            <w:r>
                              <w:rPr>
                                <w:color w:val="231F20"/>
                                <w:spacing w:val="4"/>
                                <w:sz w:val="15"/>
                              </w:rPr>
                              <w:t> </w:t>
                            </w:r>
                            <w:r>
                              <w:rPr>
                                <w:color w:val="231F20"/>
                                <w:spacing w:val="-4"/>
                                <w:sz w:val="15"/>
                              </w:rPr>
                              <w:t>for</w:t>
                            </w:r>
                            <w:r>
                              <w:rPr>
                                <w:color w:val="231F20"/>
                                <w:spacing w:val="4"/>
                                <w:sz w:val="15"/>
                              </w:rPr>
                              <w:t> </w:t>
                            </w:r>
                            <w:r>
                              <w:rPr>
                                <w:color w:val="231F20"/>
                                <w:spacing w:val="-4"/>
                                <w:sz w:val="15"/>
                              </w:rPr>
                              <w:t>gestational</w:t>
                            </w:r>
                            <w:r>
                              <w:rPr>
                                <w:color w:val="231F20"/>
                                <w:spacing w:val="4"/>
                                <w:sz w:val="15"/>
                              </w:rPr>
                              <w:t> </w:t>
                            </w:r>
                            <w:r>
                              <w:rPr>
                                <w:color w:val="231F20"/>
                                <w:spacing w:val="-5"/>
                                <w:sz w:val="15"/>
                              </w:rPr>
                              <w:t>age</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z w:val="15"/>
                              </w:rPr>
                              <w:t>Maternal</w:t>
                            </w:r>
                            <w:r>
                              <w:rPr>
                                <w:color w:val="231F20"/>
                                <w:spacing w:val="-5"/>
                                <w:sz w:val="15"/>
                              </w:rPr>
                              <w:t> </w:t>
                            </w:r>
                            <w:r>
                              <w:rPr>
                                <w:color w:val="231F20"/>
                                <w:spacing w:val="-2"/>
                                <w:sz w:val="15"/>
                              </w:rPr>
                              <w:t>diabetes</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Hyperinsulinemic</w:t>
                            </w:r>
                            <w:r>
                              <w:rPr>
                                <w:color w:val="231F20"/>
                                <w:spacing w:val="9"/>
                                <w:sz w:val="15"/>
                              </w:rPr>
                              <w:t> </w:t>
                            </w:r>
                            <w:r>
                              <w:rPr>
                                <w:color w:val="231F20"/>
                                <w:spacing w:val="-2"/>
                                <w:sz w:val="15"/>
                              </w:rPr>
                              <w:t>hypoglycemia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w w:val="105"/>
                                <w:sz w:val="15"/>
                              </w:rPr>
                              <w:t>Hypomagnesemia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z w:val="15"/>
                              </w:rPr>
                              <w:t>Hyponatremia</w:t>
                            </w:r>
                            <w:r>
                              <w:rPr>
                                <w:color w:val="231F20"/>
                                <w:spacing w:val="-5"/>
                                <w:sz w:val="15"/>
                              </w:rPr>
                              <w:t> </w:t>
                            </w:r>
                            <w:r>
                              <w:rPr>
                                <w:color w:val="231F20"/>
                                <w:sz w:val="15"/>
                              </w:rPr>
                              <w:t>or</w:t>
                            </w:r>
                            <w:r>
                              <w:rPr>
                                <w:color w:val="231F20"/>
                                <w:spacing w:val="-4"/>
                                <w:sz w:val="15"/>
                              </w:rPr>
                              <w:t> </w:t>
                            </w:r>
                            <w:r>
                              <w:rPr>
                                <w:color w:val="231F20"/>
                                <w:spacing w:val="-2"/>
                                <w:sz w:val="15"/>
                              </w:rPr>
                              <w:t>hypernatremia</w:t>
                            </w:r>
                          </w:p>
                          <w:p>
                            <w:pPr>
                              <w:pStyle w:val="TableParagraph"/>
                              <w:numPr>
                                <w:ilvl w:val="0"/>
                                <w:numId w:val="58"/>
                              </w:numPr>
                              <w:tabs>
                                <w:tab w:pos="223" w:val="left" w:leader="none"/>
                              </w:tabs>
                              <w:spacing w:line="230" w:lineRule="auto" w:before="2" w:after="0"/>
                              <w:ind w:left="74" w:right="573" w:firstLine="0"/>
                              <w:jc w:val="left"/>
                              <w:rPr>
                                <w:sz w:val="15"/>
                              </w:rPr>
                            </w:pPr>
                            <w:r>
                              <w:rPr>
                                <w:color w:val="231F20"/>
                                <w:spacing w:val="-2"/>
                                <w:sz w:val="15"/>
                              </w:rPr>
                              <w:t>Iatrogenic or inappropriate antidiuretic hormone </w:t>
                            </w:r>
                            <w:r>
                              <w:rPr>
                                <w:color w:val="231F20"/>
                                <w:spacing w:val="-2"/>
                                <w:sz w:val="15"/>
                              </w:rPr>
                              <w:t>secretion </w:t>
                            </w:r>
                            <w:r>
                              <w:rPr>
                                <w:color w:val="231F20"/>
                                <w:sz w:val="15"/>
                              </w:rPr>
                              <w:t>Inborn errors of metabolism</w:t>
                            </w:r>
                          </w:p>
                          <w:p>
                            <w:pPr>
                              <w:pStyle w:val="TableParagraph"/>
                              <w:numPr>
                                <w:ilvl w:val="0"/>
                                <w:numId w:val="58"/>
                              </w:numPr>
                              <w:tabs>
                                <w:tab w:pos="223" w:val="left" w:leader="none"/>
                              </w:tabs>
                              <w:spacing w:line="167" w:lineRule="exact" w:before="0" w:after="0"/>
                              <w:ind w:left="223" w:right="0" w:hanging="149"/>
                              <w:jc w:val="left"/>
                              <w:rPr>
                                <w:sz w:val="15"/>
                              </w:rPr>
                            </w:pPr>
                            <w:r>
                              <w:rPr>
                                <w:color w:val="231F20"/>
                                <w:spacing w:val="-2"/>
                                <w:sz w:val="15"/>
                              </w:rPr>
                              <w:t>Galactosemia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pacing w:val="-2"/>
                                <w:sz w:val="15"/>
                              </w:rPr>
                              <w:t>Hyperglycinemia</w:t>
                            </w:r>
                          </w:p>
                          <w:p>
                            <w:pPr>
                              <w:pStyle w:val="TableParagraph"/>
                              <w:numPr>
                                <w:ilvl w:val="0"/>
                                <w:numId w:val="58"/>
                              </w:numPr>
                              <w:tabs>
                                <w:tab w:pos="223" w:val="left" w:leader="none"/>
                              </w:tabs>
                              <w:spacing w:line="168" w:lineRule="exact" w:before="0" w:after="0"/>
                              <w:ind w:left="223" w:right="0" w:hanging="149"/>
                              <w:jc w:val="left"/>
                              <w:rPr>
                                <w:sz w:val="15"/>
                              </w:rPr>
                            </w:pPr>
                            <w:r>
                              <w:rPr>
                                <w:color w:val="231F20"/>
                                <w:sz w:val="15"/>
                              </w:rPr>
                              <w:t>Urea</w:t>
                            </w:r>
                            <w:r>
                              <w:rPr>
                                <w:color w:val="231F20"/>
                                <w:spacing w:val="-11"/>
                                <w:sz w:val="15"/>
                              </w:rPr>
                              <w:t> </w:t>
                            </w:r>
                            <w:r>
                              <w:rPr>
                                <w:color w:val="231F20"/>
                                <w:sz w:val="15"/>
                              </w:rPr>
                              <w:t>cycle</w:t>
                            </w:r>
                            <w:r>
                              <w:rPr>
                                <w:color w:val="231F20"/>
                                <w:spacing w:val="-11"/>
                                <w:sz w:val="15"/>
                              </w:rPr>
                              <w:t> </w:t>
                            </w:r>
                            <w:r>
                              <w:rPr>
                                <w:color w:val="231F20"/>
                                <w:spacing w:val="-2"/>
                                <w:sz w:val="15"/>
                              </w:rPr>
                              <w:t>disorders</w:t>
                            </w:r>
                          </w:p>
                          <w:p>
                            <w:pPr>
                              <w:pStyle w:val="TableParagraph"/>
                              <w:spacing w:line="230" w:lineRule="auto" w:before="3"/>
                              <w:ind w:left="186" w:right="232" w:hanging="112"/>
                              <w:rPr>
                                <w:sz w:val="15"/>
                              </w:rPr>
                            </w:pPr>
                            <w:r>
                              <w:rPr>
                                <w:color w:val="231F20"/>
                                <w:spacing w:val="-2"/>
                                <w:sz w:val="15"/>
                              </w:rPr>
                              <w:t>Pyridoxine deficiency and pyridoxal-5-phosphate deficiency </w:t>
                            </w:r>
                            <w:r>
                              <w:rPr>
                                <w:color w:val="231F20"/>
                                <w:spacing w:val="-2"/>
                                <w:sz w:val="15"/>
                              </w:rPr>
                              <w:t>(must </w:t>
                            </w:r>
                            <w:r>
                              <w:rPr>
                                <w:color w:val="231F20"/>
                                <w:sz w:val="15"/>
                              </w:rPr>
                              <w:t>be considered at any age)</w:t>
                            </w:r>
                          </w:p>
                        </w:tc>
                      </w:tr>
                      <w:tr>
                        <w:trPr>
                          <w:trHeight w:val="3446" w:hRule="atLeast"/>
                        </w:trPr>
                        <w:tc>
                          <w:tcPr>
                            <w:tcW w:w="4702"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AGES</w:t>
                            </w:r>
                            <w:r>
                              <w:rPr>
                                <w:color w:val="231F20"/>
                                <w:spacing w:val="-6"/>
                                <w:w w:val="110"/>
                                <w:sz w:val="15"/>
                              </w:rPr>
                              <w:t> </w:t>
                            </w:r>
                            <w:r>
                              <w:rPr>
                                <w:color w:val="231F20"/>
                                <w:w w:val="110"/>
                                <w:sz w:val="15"/>
                              </w:rPr>
                              <w:t>4-14</w:t>
                            </w:r>
                            <w:r>
                              <w:rPr>
                                <w:color w:val="231F20"/>
                                <w:spacing w:val="-5"/>
                                <w:w w:val="110"/>
                                <w:sz w:val="15"/>
                              </w:rPr>
                              <w:t> </w:t>
                            </w:r>
                            <w:r>
                              <w:rPr>
                                <w:color w:val="231F20"/>
                                <w:spacing w:val="-4"/>
                                <w:w w:val="110"/>
                                <w:sz w:val="15"/>
                              </w:rPr>
                              <w:t>DAYS</w:t>
                            </w:r>
                          </w:p>
                          <w:p>
                            <w:pPr>
                              <w:pStyle w:val="TableParagraph"/>
                              <w:spacing w:line="169" w:lineRule="exact"/>
                              <w:ind w:left="74"/>
                              <w:rPr>
                                <w:sz w:val="15"/>
                              </w:rPr>
                            </w:pPr>
                            <w:r>
                              <w:rPr>
                                <w:color w:val="231F20"/>
                                <w:spacing w:val="-2"/>
                                <w:sz w:val="15"/>
                              </w:rPr>
                              <w:t>Infection</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Meningitis</w:t>
                            </w:r>
                            <w:r>
                              <w:rPr>
                                <w:color w:val="231F20"/>
                                <w:spacing w:val="14"/>
                                <w:sz w:val="15"/>
                              </w:rPr>
                              <w:t> </w:t>
                            </w:r>
                            <w:r>
                              <w:rPr>
                                <w:color w:val="231F20"/>
                                <w:spacing w:val="-2"/>
                                <w:sz w:val="15"/>
                              </w:rPr>
                              <w:t>(bacterial)</w:t>
                            </w:r>
                          </w:p>
                          <w:p>
                            <w:pPr>
                              <w:pStyle w:val="TableParagraph"/>
                              <w:numPr>
                                <w:ilvl w:val="0"/>
                                <w:numId w:val="59"/>
                              </w:numPr>
                              <w:tabs>
                                <w:tab w:pos="223" w:val="left" w:leader="none"/>
                              </w:tabs>
                              <w:spacing w:line="230" w:lineRule="auto" w:before="2" w:after="0"/>
                              <w:ind w:left="74" w:right="1754" w:firstLine="0"/>
                              <w:jc w:val="left"/>
                              <w:rPr>
                                <w:sz w:val="15"/>
                              </w:rPr>
                            </w:pPr>
                            <w:r>
                              <w:rPr>
                                <w:color w:val="231F20"/>
                                <w:spacing w:val="-2"/>
                                <w:sz w:val="15"/>
                              </w:rPr>
                              <w:t>Encephalitis</w:t>
                            </w:r>
                            <w:r>
                              <w:rPr>
                                <w:color w:val="231F20"/>
                                <w:spacing w:val="-10"/>
                                <w:sz w:val="15"/>
                              </w:rPr>
                              <w:t> </w:t>
                            </w:r>
                            <w:r>
                              <w:rPr>
                                <w:color w:val="231F20"/>
                                <w:spacing w:val="-2"/>
                                <w:sz w:val="15"/>
                              </w:rPr>
                              <w:t>(enteroviral,</w:t>
                            </w:r>
                            <w:r>
                              <w:rPr>
                                <w:color w:val="231F20"/>
                                <w:spacing w:val="-9"/>
                                <w:sz w:val="15"/>
                              </w:rPr>
                              <w:t> </w:t>
                            </w:r>
                            <w:r>
                              <w:rPr>
                                <w:color w:val="231F20"/>
                                <w:spacing w:val="-2"/>
                                <w:sz w:val="15"/>
                              </w:rPr>
                              <w:t>herpes</w:t>
                            </w:r>
                            <w:r>
                              <w:rPr>
                                <w:color w:val="231F20"/>
                                <w:spacing w:val="-9"/>
                                <w:sz w:val="15"/>
                              </w:rPr>
                              <w:t> </w:t>
                            </w:r>
                            <w:r>
                              <w:rPr>
                                <w:color w:val="231F20"/>
                                <w:spacing w:val="-2"/>
                                <w:sz w:val="15"/>
                              </w:rPr>
                              <w:t>simplex) </w:t>
                            </w:r>
                            <w:r>
                              <w:rPr>
                                <w:color w:val="231F20"/>
                                <w:sz w:val="15"/>
                              </w:rPr>
                              <w:t>Metabolic disorders</w:t>
                            </w:r>
                          </w:p>
                          <w:p>
                            <w:pPr>
                              <w:pStyle w:val="TableParagraph"/>
                              <w:numPr>
                                <w:ilvl w:val="0"/>
                                <w:numId w:val="59"/>
                              </w:numPr>
                              <w:tabs>
                                <w:tab w:pos="223" w:val="left" w:leader="none"/>
                              </w:tabs>
                              <w:spacing w:line="167" w:lineRule="exact" w:before="0" w:after="0"/>
                              <w:ind w:left="223" w:right="0" w:hanging="149"/>
                              <w:jc w:val="left"/>
                              <w:rPr>
                                <w:sz w:val="15"/>
                              </w:rPr>
                            </w:pPr>
                            <w:r>
                              <w:rPr>
                                <w:color w:val="231F20"/>
                                <w:spacing w:val="-2"/>
                                <w:sz w:val="15"/>
                              </w:rPr>
                              <w:t>Hypocalcemia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Diet,</w:t>
                            </w:r>
                            <w:r>
                              <w:rPr>
                                <w:color w:val="231F20"/>
                                <w:spacing w:val="-6"/>
                                <w:sz w:val="15"/>
                              </w:rPr>
                              <w:t> </w:t>
                            </w:r>
                            <w:r>
                              <w:rPr>
                                <w:color w:val="231F20"/>
                                <w:spacing w:val="-2"/>
                                <w:sz w:val="15"/>
                              </w:rPr>
                              <w:t>milk</w:t>
                            </w:r>
                            <w:r>
                              <w:rPr>
                                <w:color w:val="231F20"/>
                                <w:spacing w:val="-5"/>
                                <w:sz w:val="15"/>
                              </w:rPr>
                              <w:t> </w:t>
                            </w:r>
                            <w:r>
                              <w:rPr>
                                <w:color w:val="231F20"/>
                                <w:spacing w:val="-2"/>
                                <w:sz w:val="15"/>
                              </w:rPr>
                              <w:t>formula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Hypoglycemia,</w:t>
                            </w:r>
                            <w:r>
                              <w:rPr>
                                <w:color w:val="231F20"/>
                                <w:spacing w:val="1"/>
                                <w:sz w:val="15"/>
                              </w:rPr>
                              <w:t> </w:t>
                            </w:r>
                            <w:r>
                              <w:rPr>
                                <w:color w:val="231F20"/>
                                <w:spacing w:val="-2"/>
                                <w:sz w:val="15"/>
                              </w:rPr>
                              <w:t>persistent</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Inherited</w:t>
                            </w:r>
                            <w:r>
                              <w:rPr>
                                <w:color w:val="231F20"/>
                                <w:spacing w:val="-5"/>
                                <w:sz w:val="15"/>
                              </w:rPr>
                              <w:t> </w:t>
                            </w:r>
                            <w:r>
                              <w:rPr>
                                <w:color w:val="231F20"/>
                                <w:sz w:val="15"/>
                              </w:rPr>
                              <w:t>disorders</w:t>
                            </w:r>
                            <w:r>
                              <w:rPr>
                                <w:color w:val="231F20"/>
                                <w:spacing w:val="-4"/>
                                <w:sz w:val="15"/>
                              </w:rPr>
                              <w:t> </w:t>
                            </w:r>
                            <w:r>
                              <w:rPr>
                                <w:color w:val="231F20"/>
                                <w:sz w:val="15"/>
                              </w:rPr>
                              <w:t>of</w:t>
                            </w:r>
                            <w:r>
                              <w:rPr>
                                <w:color w:val="231F20"/>
                                <w:spacing w:val="-5"/>
                                <w:sz w:val="15"/>
                              </w:rPr>
                              <w:t> </w:t>
                            </w:r>
                            <w:r>
                              <w:rPr>
                                <w:color w:val="231F20"/>
                                <w:spacing w:val="-2"/>
                                <w:sz w:val="15"/>
                              </w:rPr>
                              <w:t>metabolism</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Galactosemia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Fructosemia</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z w:val="15"/>
                              </w:rPr>
                              <w:t>Leucine</w:t>
                            </w:r>
                            <w:r>
                              <w:rPr>
                                <w:color w:val="231F20"/>
                                <w:spacing w:val="-10"/>
                                <w:sz w:val="15"/>
                              </w:rPr>
                              <w:t> </w:t>
                            </w:r>
                            <w:r>
                              <w:rPr>
                                <w:color w:val="231F20"/>
                                <w:spacing w:val="-2"/>
                                <w:sz w:val="15"/>
                              </w:rPr>
                              <w:t>sensitivity</w:t>
                            </w:r>
                          </w:p>
                          <w:p>
                            <w:pPr>
                              <w:pStyle w:val="TableParagraph"/>
                              <w:numPr>
                                <w:ilvl w:val="0"/>
                                <w:numId w:val="59"/>
                              </w:numPr>
                              <w:tabs>
                                <w:tab w:pos="223" w:val="left" w:leader="none"/>
                              </w:tabs>
                              <w:spacing w:line="230" w:lineRule="auto" w:before="3" w:after="0"/>
                              <w:ind w:left="223" w:right="1220" w:hanging="150"/>
                              <w:jc w:val="left"/>
                              <w:rPr>
                                <w:sz w:val="15"/>
                              </w:rPr>
                            </w:pPr>
                            <w:r>
                              <w:rPr>
                                <w:color w:val="231F20"/>
                                <w:spacing w:val="-2"/>
                                <w:sz w:val="15"/>
                              </w:rPr>
                              <w:t>Hyperinsulinemic</w:t>
                            </w:r>
                            <w:r>
                              <w:rPr>
                                <w:color w:val="231F20"/>
                                <w:spacing w:val="-4"/>
                                <w:sz w:val="15"/>
                              </w:rPr>
                              <w:t> </w:t>
                            </w:r>
                            <w:r>
                              <w:rPr>
                                <w:color w:val="231F20"/>
                                <w:spacing w:val="-2"/>
                                <w:sz w:val="15"/>
                              </w:rPr>
                              <w:t>hypoglycemia,</w:t>
                            </w:r>
                            <w:r>
                              <w:rPr>
                                <w:color w:val="231F20"/>
                                <w:spacing w:val="-4"/>
                                <w:sz w:val="15"/>
                              </w:rPr>
                              <w:t> </w:t>
                            </w:r>
                            <w:r>
                              <w:rPr>
                                <w:color w:val="231F20"/>
                                <w:spacing w:val="-2"/>
                                <w:sz w:val="15"/>
                              </w:rPr>
                              <w:t>hyperinsulinism, </w:t>
                            </w:r>
                            <w:r>
                              <w:rPr>
                                <w:color w:val="231F20"/>
                                <w:sz w:val="15"/>
                              </w:rPr>
                              <w:t>hyperammonemia syndrome</w:t>
                            </w:r>
                          </w:p>
                          <w:p>
                            <w:pPr>
                              <w:pStyle w:val="TableParagraph"/>
                              <w:numPr>
                                <w:ilvl w:val="0"/>
                                <w:numId w:val="59"/>
                              </w:numPr>
                              <w:tabs>
                                <w:tab w:pos="223" w:val="left" w:leader="none"/>
                              </w:tabs>
                              <w:spacing w:line="167" w:lineRule="exact" w:before="0" w:after="0"/>
                              <w:ind w:left="223" w:right="0" w:hanging="149"/>
                              <w:jc w:val="left"/>
                              <w:rPr>
                                <w:sz w:val="15"/>
                              </w:rPr>
                            </w:pPr>
                            <w:r>
                              <w:rPr>
                                <w:color w:val="231F20"/>
                                <w:spacing w:val="-2"/>
                                <w:sz w:val="15"/>
                              </w:rPr>
                              <w:t>Anterior</w:t>
                            </w:r>
                            <w:r>
                              <w:rPr>
                                <w:color w:val="231F20"/>
                                <w:spacing w:val="-7"/>
                                <w:sz w:val="15"/>
                              </w:rPr>
                              <w:t> </w:t>
                            </w:r>
                            <w:r>
                              <w:rPr>
                                <w:color w:val="231F20"/>
                                <w:spacing w:val="-2"/>
                                <w:sz w:val="15"/>
                              </w:rPr>
                              <w:t>pituitary</w:t>
                            </w:r>
                            <w:r>
                              <w:rPr>
                                <w:color w:val="231F20"/>
                                <w:spacing w:val="-6"/>
                                <w:sz w:val="15"/>
                              </w:rPr>
                              <w:t> </w:t>
                            </w:r>
                            <w:r>
                              <w:rPr>
                                <w:color w:val="231F20"/>
                                <w:spacing w:val="-2"/>
                                <w:sz w:val="15"/>
                              </w:rPr>
                              <w:t>hypoplasia,</w:t>
                            </w:r>
                            <w:r>
                              <w:rPr>
                                <w:color w:val="231F20"/>
                                <w:spacing w:val="-7"/>
                                <w:sz w:val="15"/>
                              </w:rPr>
                              <w:t> </w:t>
                            </w:r>
                            <w:r>
                              <w:rPr>
                                <w:color w:val="231F20"/>
                                <w:spacing w:val="-2"/>
                                <w:sz w:val="15"/>
                              </w:rPr>
                              <w:t>pancreatic</w:t>
                            </w:r>
                            <w:r>
                              <w:rPr>
                                <w:color w:val="231F20"/>
                                <w:spacing w:val="-6"/>
                                <w:sz w:val="15"/>
                              </w:rPr>
                              <w:t> </w:t>
                            </w:r>
                            <w:r>
                              <w:rPr>
                                <w:color w:val="231F20"/>
                                <w:spacing w:val="-2"/>
                                <w:sz w:val="15"/>
                              </w:rPr>
                              <w:t>islet</w:t>
                            </w:r>
                            <w:r>
                              <w:rPr>
                                <w:color w:val="231F20"/>
                                <w:spacing w:val="-6"/>
                                <w:sz w:val="15"/>
                              </w:rPr>
                              <w:t> </w:t>
                            </w:r>
                            <w:r>
                              <w:rPr>
                                <w:color w:val="231F20"/>
                                <w:spacing w:val="-2"/>
                                <w:sz w:val="15"/>
                              </w:rPr>
                              <w:t>cell</w:t>
                            </w:r>
                            <w:r>
                              <w:rPr>
                                <w:color w:val="231F20"/>
                                <w:spacing w:val="-7"/>
                                <w:sz w:val="15"/>
                              </w:rPr>
                              <w:t> </w:t>
                            </w:r>
                            <w:r>
                              <w:rPr>
                                <w:color w:val="231F20"/>
                                <w:spacing w:val="-2"/>
                                <w:sz w:val="15"/>
                              </w:rPr>
                              <w:t>tumor</w:t>
                            </w:r>
                          </w:p>
                          <w:p>
                            <w:pPr>
                              <w:pStyle w:val="TableParagraph"/>
                              <w:numPr>
                                <w:ilvl w:val="0"/>
                                <w:numId w:val="59"/>
                              </w:numPr>
                              <w:tabs>
                                <w:tab w:pos="223" w:val="left" w:leader="none"/>
                              </w:tabs>
                              <w:spacing w:line="168" w:lineRule="exact" w:before="0" w:after="0"/>
                              <w:ind w:left="223" w:right="0" w:hanging="149"/>
                              <w:jc w:val="left"/>
                              <w:rPr>
                                <w:sz w:val="15"/>
                              </w:rPr>
                            </w:pPr>
                            <w:r>
                              <w:rPr>
                                <w:color w:val="231F20"/>
                                <w:spacing w:val="-2"/>
                                <w:sz w:val="15"/>
                              </w:rPr>
                              <w:t>Beckwith syndrome</w:t>
                            </w:r>
                          </w:p>
                          <w:p>
                            <w:pPr>
                              <w:pStyle w:val="TableParagraph"/>
                              <w:spacing w:line="230" w:lineRule="auto" w:before="2"/>
                              <w:ind w:left="74" w:right="232"/>
                              <w:rPr>
                                <w:sz w:val="15"/>
                              </w:rPr>
                            </w:pPr>
                            <w:r>
                              <w:rPr>
                                <w:color w:val="231F20"/>
                                <w:sz w:val="15"/>
                              </w:rPr>
                              <w:t>Drug</w:t>
                            </w:r>
                            <w:r>
                              <w:rPr>
                                <w:color w:val="231F20"/>
                                <w:spacing w:val="-12"/>
                                <w:sz w:val="15"/>
                              </w:rPr>
                              <w:t> </w:t>
                            </w:r>
                            <w:r>
                              <w:rPr>
                                <w:color w:val="231F20"/>
                                <w:sz w:val="15"/>
                              </w:rPr>
                              <w:t>withdrawal,</w:t>
                            </w:r>
                            <w:r>
                              <w:rPr>
                                <w:color w:val="231F20"/>
                                <w:spacing w:val="-11"/>
                                <w:sz w:val="15"/>
                              </w:rPr>
                              <w:t> </w:t>
                            </w:r>
                            <w:r>
                              <w:rPr>
                                <w:color w:val="231F20"/>
                                <w:sz w:val="15"/>
                              </w:rPr>
                              <w:t>maternal</w:t>
                            </w:r>
                            <w:r>
                              <w:rPr>
                                <w:color w:val="231F20"/>
                                <w:spacing w:val="-11"/>
                                <w:sz w:val="15"/>
                              </w:rPr>
                              <w:t> </w:t>
                            </w:r>
                            <w:r>
                              <w:rPr>
                                <w:color w:val="231F20"/>
                                <w:sz w:val="15"/>
                              </w:rPr>
                              <w:t>drug</w:t>
                            </w:r>
                            <w:r>
                              <w:rPr>
                                <w:color w:val="231F20"/>
                                <w:spacing w:val="-12"/>
                                <w:sz w:val="15"/>
                              </w:rPr>
                              <w:t> </w:t>
                            </w:r>
                            <w:r>
                              <w:rPr>
                                <w:color w:val="231F20"/>
                                <w:sz w:val="15"/>
                              </w:rPr>
                              <w:t>use</w:t>
                            </w:r>
                            <w:r>
                              <w:rPr>
                                <w:color w:val="231F20"/>
                                <w:spacing w:val="-11"/>
                                <w:sz w:val="15"/>
                              </w:rPr>
                              <w:t> </w:t>
                            </w:r>
                            <w:r>
                              <w:rPr>
                                <w:color w:val="231F20"/>
                                <w:sz w:val="15"/>
                              </w:rPr>
                              <w:t>of</w:t>
                            </w:r>
                            <w:r>
                              <w:rPr>
                                <w:color w:val="231F20"/>
                                <w:spacing w:val="-11"/>
                                <w:sz w:val="15"/>
                              </w:rPr>
                              <w:t> </w:t>
                            </w:r>
                            <w:r>
                              <w:rPr>
                                <w:color w:val="231F20"/>
                                <w:sz w:val="15"/>
                              </w:rPr>
                              <w:t>narcotics</w:t>
                            </w:r>
                            <w:r>
                              <w:rPr>
                                <w:color w:val="231F20"/>
                                <w:spacing w:val="-12"/>
                                <w:sz w:val="15"/>
                              </w:rPr>
                              <w:t> </w:t>
                            </w:r>
                            <w:r>
                              <w:rPr>
                                <w:color w:val="231F20"/>
                                <w:sz w:val="15"/>
                              </w:rPr>
                              <w:t>or</w:t>
                            </w:r>
                            <w:r>
                              <w:rPr>
                                <w:color w:val="231F20"/>
                                <w:spacing w:val="-11"/>
                                <w:sz w:val="15"/>
                              </w:rPr>
                              <w:t> </w:t>
                            </w:r>
                            <w:r>
                              <w:rPr>
                                <w:color w:val="231F20"/>
                                <w:sz w:val="15"/>
                              </w:rPr>
                              <w:t>barbiturates Benign neonatal convulsions, familial and nonfamilial Kernicterus, hyperbilirubinemia</w:t>
                            </w:r>
                          </w:p>
                          <w:p>
                            <w:pPr>
                              <w:pStyle w:val="TableParagraph"/>
                              <w:spacing w:line="171" w:lineRule="exact"/>
                              <w:ind w:left="74"/>
                              <w:rPr>
                                <w:sz w:val="15"/>
                              </w:rPr>
                            </w:pPr>
                            <w:r>
                              <w:rPr>
                                <w:color w:val="231F20"/>
                                <w:sz w:val="15"/>
                              </w:rPr>
                              <w:t>Developmental</w:t>
                            </w:r>
                            <w:r>
                              <w:rPr>
                                <w:color w:val="231F20"/>
                                <w:spacing w:val="-10"/>
                                <w:sz w:val="15"/>
                              </w:rPr>
                              <w:t> </w:t>
                            </w:r>
                            <w:r>
                              <w:rPr>
                                <w:color w:val="231F20"/>
                                <w:sz w:val="15"/>
                              </w:rPr>
                              <w:t>delay,</w:t>
                            </w:r>
                            <w:r>
                              <w:rPr>
                                <w:color w:val="231F20"/>
                                <w:spacing w:val="-11"/>
                                <w:sz w:val="15"/>
                              </w:rPr>
                              <w:t> </w:t>
                            </w:r>
                            <w:r>
                              <w:rPr>
                                <w:color w:val="231F20"/>
                                <w:sz w:val="15"/>
                              </w:rPr>
                              <w:t>epilepsy,</w:t>
                            </w:r>
                            <w:r>
                              <w:rPr>
                                <w:color w:val="231F20"/>
                                <w:spacing w:val="-10"/>
                                <w:sz w:val="15"/>
                              </w:rPr>
                              <w:t> </w:t>
                            </w:r>
                            <w:r>
                              <w:rPr>
                                <w:color w:val="231F20"/>
                                <w:sz w:val="15"/>
                              </w:rPr>
                              <w:t>neonatal</w:t>
                            </w:r>
                            <w:r>
                              <w:rPr>
                                <w:color w:val="231F20"/>
                                <w:spacing w:val="-10"/>
                                <w:sz w:val="15"/>
                              </w:rPr>
                              <w:t> </w:t>
                            </w:r>
                            <w:r>
                              <w:rPr>
                                <w:color w:val="231F20"/>
                                <w:sz w:val="15"/>
                              </w:rPr>
                              <w:t>diabetes</w:t>
                            </w:r>
                            <w:r>
                              <w:rPr>
                                <w:color w:val="231F20"/>
                                <w:spacing w:val="-10"/>
                                <w:sz w:val="15"/>
                              </w:rPr>
                              <w:t> </w:t>
                            </w:r>
                            <w:r>
                              <w:rPr>
                                <w:color w:val="231F20"/>
                                <w:spacing w:val="-2"/>
                                <w:sz w:val="15"/>
                              </w:rPr>
                              <w:t>syndrome</w:t>
                            </w:r>
                          </w:p>
                        </w:tc>
                      </w:tr>
                      <w:tr>
                        <w:trPr>
                          <w:trHeight w:val="2937" w:hRule="atLeast"/>
                        </w:trPr>
                        <w:tc>
                          <w:tcPr>
                            <w:tcW w:w="4702"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AGES</w:t>
                            </w:r>
                            <w:r>
                              <w:rPr>
                                <w:color w:val="231F20"/>
                                <w:spacing w:val="-3"/>
                                <w:w w:val="110"/>
                                <w:sz w:val="15"/>
                              </w:rPr>
                              <w:t> </w:t>
                            </w:r>
                            <w:r>
                              <w:rPr>
                                <w:color w:val="231F20"/>
                                <w:w w:val="110"/>
                                <w:sz w:val="15"/>
                              </w:rPr>
                              <w:t>2-8</w:t>
                            </w:r>
                            <w:r>
                              <w:rPr>
                                <w:color w:val="231F20"/>
                                <w:spacing w:val="-3"/>
                                <w:w w:val="110"/>
                                <w:sz w:val="15"/>
                              </w:rPr>
                              <w:t> </w:t>
                            </w:r>
                            <w:r>
                              <w:rPr>
                                <w:color w:val="231F20"/>
                                <w:spacing w:val="-5"/>
                                <w:w w:val="110"/>
                                <w:sz w:val="15"/>
                              </w:rPr>
                              <w:t>WK</w:t>
                            </w:r>
                          </w:p>
                          <w:p>
                            <w:pPr>
                              <w:pStyle w:val="TableParagraph"/>
                              <w:spacing w:line="169" w:lineRule="exact"/>
                              <w:ind w:left="74"/>
                              <w:rPr>
                                <w:sz w:val="15"/>
                              </w:rPr>
                            </w:pPr>
                            <w:r>
                              <w:rPr>
                                <w:color w:val="231F20"/>
                                <w:spacing w:val="-2"/>
                                <w:sz w:val="15"/>
                              </w:rPr>
                              <w:t>Infection</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Herpes</w:t>
                            </w:r>
                            <w:r>
                              <w:rPr>
                                <w:color w:val="231F20"/>
                                <w:spacing w:val="-7"/>
                                <w:sz w:val="15"/>
                              </w:rPr>
                              <w:t> </w:t>
                            </w:r>
                            <w:r>
                              <w:rPr>
                                <w:color w:val="231F20"/>
                                <w:sz w:val="15"/>
                              </w:rPr>
                              <w:t>simplex</w:t>
                            </w:r>
                            <w:r>
                              <w:rPr>
                                <w:color w:val="231F20"/>
                                <w:spacing w:val="-6"/>
                                <w:sz w:val="15"/>
                              </w:rPr>
                              <w:t> </w:t>
                            </w:r>
                            <w:r>
                              <w:rPr>
                                <w:color w:val="231F20"/>
                                <w:sz w:val="15"/>
                              </w:rPr>
                              <w:t>or</w:t>
                            </w:r>
                            <w:r>
                              <w:rPr>
                                <w:color w:val="231F20"/>
                                <w:spacing w:val="-7"/>
                                <w:sz w:val="15"/>
                              </w:rPr>
                              <w:t> </w:t>
                            </w:r>
                            <w:r>
                              <w:rPr>
                                <w:color w:val="231F20"/>
                                <w:sz w:val="15"/>
                              </w:rPr>
                              <w:t>enteroviral</w:t>
                            </w:r>
                            <w:r>
                              <w:rPr>
                                <w:color w:val="231F20"/>
                                <w:spacing w:val="-6"/>
                                <w:sz w:val="15"/>
                              </w:rPr>
                              <w:t> </w:t>
                            </w:r>
                            <w:r>
                              <w:rPr>
                                <w:color w:val="231F20"/>
                                <w:spacing w:val="-2"/>
                                <w:sz w:val="15"/>
                              </w:rPr>
                              <w:t>encephalitis</w:t>
                            </w:r>
                          </w:p>
                          <w:p>
                            <w:pPr>
                              <w:pStyle w:val="TableParagraph"/>
                              <w:numPr>
                                <w:ilvl w:val="0"/>
                                <w:numId w:val="60"/>
                              </w:numPr>
                              <w:tabs>
                                <w:tab w:pos="223" w:val="left" w:leader="none"/>
                              </w:tabs>
                              <w:spacing w:line="230" w:lineRule="auto" w:before="2" w:after="0"/>
                              <w:ind w:left="74" w:right="3166" w:firstLine="0"/>
                              <w:jc w:val="left"/>
                              <w:rPr>
                                <w:sz w:val="15"/>
                              </w:rPr>
                            </w:pPr>
                            <w:r>
                              <w:rPr>
                                <w:color w:val="231F20"/>
                                <w:spacing w:val="-2"/>
                                <w:sz w:val="15"/>
                              </w:rPr>
                              <w:t>Bacterial</w:t>
                            </w:r>
                            <w:r>
                              <w:rPr>
                                <w:color w:val="231F20"/>
                                <w:spacing w:val="-10"/>
                                <w:sz w:val="15"/>
                              </w:rPr>
                              <w:t> </w:t>
                            </w:r>
                            <w:r>
                              <w:rPr>
                                <w:color w:val="231F20"/>
                                <w:spacing w:val="-2"/>
                                <w:sz w:val="15"/>
                              </w:rPr>
                              <w:t>meningitis </w:t>
                            </w:r>
                            <w:r>
                              <w:rPr>
                                <w:color w:val="231F20"/>
                                <w:sz w:val="15"/>
                              </w:rPr>
                              <w:t>Head injury</w:t>
                            </w:r>
                          </w:p>
                          <w:p>
                            <w:pPr>
                              <w:pStyle w:val="TableParagraph"/>
                              <w:numPr>
                                <w:ilvl w:val="0"/>
                                <w:numId w:val="60"/>
                              </w:numPr>
                              <w:tabs>
                                <w:tab w:pos="223" w:val="left" w:leader="none"/>
                              </w:tabs>
                              <w:spacing w:line="167" w:lineRule="exact" w:before="0" w:after="0"/>
                              <w:ind w:left="223" w:right="0" w:hanging="149"/>
                              <w:jc w:val="left"/>
                              <w:rPr>
                                <w:sz w:val="15"/>
                              </w:rPr>
                            </w:pPr>
                            <w:r>
                              <w:rPr>
                                <w:color w:val="231F20"/>
                                <w:sz w:val="15"/>
                              </w:rPr>
                              <w:t>Subdural</w:t>
                            </w:r>
                            <w:r>
                              <w:rPr>
                                <w:color w:val="231F20"/>
                                <w:spacing w:val="6"/>
                                <w:sz w:val="15"/>
                              </w:rPr>
                              <w:t> </w:t>
                            </w:r>
                            <w:r>
                              <w:rPr>
                                <w:color w:val="231F20"/>
                                <w:spacing w:val="-2"/>
                                <w:sz w:val="15"/>
                              </w:rPr>
                              <w:t>hematoma</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Child</w:t>
                            </w:r>
                            <w:r>
                              <w:rPr>
                                <w:color w:val="231F20"/>
                                <w:spacing w:val="7"/>
                                <w:sz w:val="15"/>
                              </w:rPr>
                              <w:t> </w:t>
                            </w:r>
                            <w:r>
                              <w:rPr>
                                <w:color w:val="231F20"/>
                                <w:spacing w:val="-2"/>
                                <w:sz w:val="15"/>
                              </w:rPr>
                              <w:t>abuse</w:t>
                            </w:r>
                          </w:p>
                          <w:p>
                            <w:pPr>
                              <w:pStyle w:val="TableParagraph"/>
                              <w:spacing w:line="168" w:lineRule="exact"/>
                              <w:ind w:left="74"/>
                              <w:rPr>
                                <w:sz w:val="15"/>
                              </w:rPr>
                            </w:pPr>
                            <w:r>
                              <w:rPr>
                                <w:color w:val="231F20"/>
                                <w:sz w:val="15"/>
                              </w:rPr>
                              <w:t>Inherited</w:t>
                            </w:r>
                            <w:r>
                              <w:rPr>
                                <w:color w:val="231F20"/>
                                <w:spacing w:val="-5"/>
                                <w:sz w:val="15"/>
                              </w:rPr>
                              <w:t> </w:t>
                            </w:r>
                            <w:r>
                              <w:rPr>
                                <w:color w:val="231F20"/>
                                <w:sz w:val="15"/>
                              </w:rPr>
                              <w:t>disorders</w:t>
                            </w:r>
                            <w:r>
                              <w:rPr>
                                <w:color w:val="231F20"/>
                                <w:spacing w:val="-4"/>
                                <w:sz w:val="15"/>
                              </w:rPr>
                              <w:t> </w:t>
                            </w:r>
                            <w:r>
                              <w:rPr>
                                <w:color w:val="231F20"/>
                                <w:sz w:val="15"/>
                              </w:rPr>
                              <w:t>of</w:t>
                            </w:r>
                            <w:r>
                              <w:rPr>
                                <w:color w:val="231F20"/>
                                <w:spacing w:val="-5"/>
                                <w:sz w:val="15"/>
                              </w:rPr>
                              <w:t> </w:t>
                            </w:r>
                            <w:r>
                              <w:rPr>
                                <w:color w:val="231F20"/>
                                <w:spacing w:val="-2"/>
                                <w:sz w:val="15"/>
                              </w:rPr>
                              <w:t>metabolism</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pacing w:val="-2"/>
                                <w:sz w:val="15"/>
                              </w:rPr>
                              <w:t>Aminoacidurias</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Urea</w:t>
                            </w:r>
                            <w:r>
                              <w:rPr>
                                <w:color w:val="231F20"/>
                                <w:spacing w:val="-11"/>
                                <w:sz w:val="15"/>
                              </w:rPr>
                              <w:t> </w:t>
                            </w:r>
                            <w:r>
                              <w:rPr>
                                <w:color w:val="231F20"/>
                                <w:sz w:val="15"/>
                              </w:rPr>
                              <w:t>cycle</w:t>
                            </w:r>
                            <w:r>
                              <w:rPr>
                                <w:color w:val="231F20"/>
                                <w:spacing w:val="-11"/>
                                <w:sz w:val="15"/>
                              </w:rPr>
                              <w:t> </w:t>
                            </w:r>
                            <w:r>
                              <w:rPr>
                                <w:color w:val="231F20"/>
                                <w:spacing w:val="-2"/>
                                <w:sz w:val="15"/>
                              </w:rPr>
                              <w:t>defects</w:t>
                            </w:r>
                          </w:p>
                          <w:p>
                            <w:pPr>
                              <w:pStyle w:val="TableParagraph"/>
                              <w:numPr>
                                <w:ilvl w:val="0"/>
                                <w:numId w:val="60"/>
                              </w:numPr>
                              <w:tabs>
                                <w:tab w:pos="223" w:val="left" w:leader="none"/>
                              </w:tabs>
                              <w:spacing w:line="168" w:lineRule="exact" w:before="0" w:after="0"/>
                              <w:ind w:left="223" w:right="0" w:hanging="149"/>
                              <w:jc w:val="left"/>
                              <w:rPr>
                                <w:sz w:val="15"/>
                              </w:rPr>
                            </w:pPr>
                            <w:r>
                              <w:rPr>
                                <w:color w:val="231F20"/>
                                <w:sz w:val="15"/>
                              </w:rPr>
                              <w:t>Organic</w:t>
                            </w:r>
                            <w:r>
                              <w:rPr>
                                <w:color w:val="231F20"/>
                                <w:spacing w:val="21"/>
                                <w:sz w:val="15"/>
                              </w:rPr>
                              <w:t> </w:t>
                            </w:r>
                            <w:r>
                              <w:rPr>
                                <w:color w:val="231F20"/>
                                <w:spacing w:val="-2"/>
                                <w:sz w:val="15"/>
                              </w:rPr>
                              <w:t>acidurias</w:t>
                            </w:r>
                          </w:p>
                          <w:p>
                            <w:pPr>
                              <w:pStyle w:val="TableParagraph"/>
                              <w:numPr>
                                <w:ilvl w:val="0"/>
                                <w:numId w:val="60"/>
                              </w:numPr>
                              <w:tabs>
                                <w:tab w:pos="223" w:val="left" w:leader="none"/>
                              </w:tabs>
                              <w:spacing w:line="230" w:lineRule="auto" w:before="3" w:after="0"/>
                              <w:ind w:left="74" w:right="2032" w:firstLine="0"/>
                              <w:jc w:val="left"/>
                              <w:rPr>
                                <w:sz w:val="15"/>
                              </w:rPr>
                            </w:pPr>
                            <w:r>
                              <w:rPr>
                                <w:color w:val="231F20"/>
                                <w:sz w:val="15"/>
                              </w:rPr>
                              <w:t>Neonatal adrenoleukodystrophy Malformations</w:t>
                            </w:r>
                            <w:r>
                              <w:rPr>
                                <w:color w:val="231F20"/>
                                <w:spacing w:val="-12"/>
                                <w:sz w:val="15"/>
                              </w:rPr>
                              <w:t> </w:t>
                            </w:r>
                            <w:r>
                              <w:rPr>
                                <w:color w:val="231F20"/>
                                <w:sz w:val="15"/>
                              </w:rPr>
                              <w:t>of</w:t>
                            </w:r>
                            <w:r>
                              <w:rPr>
                                <w:color w:val="231F20"/>
                                <w:spacing w:val="-11"/>
                                <w:sz w:val="15"/>
                              </w:rPr>
                              <w:t> </w:t>
                            </w:r>
                            <w:r>
                              <w:rPr>
                                <w:color w:val="231F20"/>
                                <w:sz w:val="15"/>
                              </w:rPr>
                              <w:t>cortical</w:t>
                            </w:r>
                            <w:r>
                              <w:rPr>
                                <w:color w:val="231F20"/>
                                <w:spacing w:val="-11"/>
                                <w:sz w:val="15"/>
                              </w:rPr>
                              <w:t> </w:t>
                            </w:r>
                            <w:r>
                              <w:rPr>
                                <w:color w:val="231F20"/>
                                <w:sz w:val="15"/>
                              </w:rPr>
                              <w:t>development</w:t>
                            </w:r>
                          </w:p>
                          <w:p>
                            <w:pPr>
                              <w:pStyle w:val="TableParagraph"/>
                              <w:numPr>
                                <w:ilvl w:val="0"/>
                                <w:numId w:val="60"/>
                              </w:numPr>
                              <w:tabs>
                                <w:tab w:pos="223" w:val="left" w:leader="none"/>
                              </w:tabs>
                              <w:spacing w:line="167" w:lineRule="exact" w:before="0" w:after="0"/>
                              <w:ind w:left="223" w:right="0" w:hanging="149"/>
                              <w:jc w:val="left"/>
                              <w:rPr>
                                <w:sz w:val="15"/>
                              </w:rPr>
                            </w:pPr>
                            <w:r>
                              <w:rPr>
                                <w:color w:val="231F20"/>
                                <w:spacing w:val="-2"/>
                                <w:sz w:val="15"/>
                              </w:rPr>
                              <w:t>Lissencephaly</w:t>
                            </w:r>
                          </w:p>
                          <w:p>
                            <w:pPr>
                              <w:pStyle w:val="TableParagraph"/>
                              <w:numPr>
                                <w:ilvl w:val="0"/>
                                <w:numId w:val="60"/>
                              </w:numPr>
                              <w:tabs>
                                <w:tab w:pos="223" w:val="left" w:leader="none"/>
                              </w:tabs>
                              <w:spacing w:line="230" w:lineRule="auto" w:before="2" w:after="0"/>
                              <w:ind w:left="74" w:right="2939" w:firstLine="0"/>
                              <w:jc w:val="left"/>
                              <w:rPr>
                                <w:sz w:val="15"/>
                              </w:rPr>
                            </w:pPr>
                            <w:r>
                              <w:rPr>
                                <w:color w:val="231F20"/>
                                <w:spacing w:val="-2"/>
                                <w:sz w:val="15"/>
                              </w:rPr>
                              <w:t>Focal</w:t>
                            </w:r>
                            <w:r>
                              <w:rPr>
                                <w:color w:val="231F20"/>
                                <w:spacing w:val="-10"/>
                                <w:sz w:val="15"/>
                              </w:rPr>
                              <w:t> </w:t>
                            </w:r>
                            <w:r>
                              <w:rPr>
                                <w:color w:val="231F20"/>
                                <w:spacing w:val="-2"/>
                                <w:sz w:val="15"/>
                              </w:rPr>
                              <w:t>cortical</w:t>
                            </w:r>
                            <w:r>
                              <w:rPr>
                                <w:color w:val="231F20"/>
                                <w:spacing w:val="-9"/>
                                <w:sz w:val="15"/>
                              </w:rPr>
                              <w:t> </w:t>
                            </w:r>
                            <w:r>
                              <w:rPr>
                                <w:color w:val="231F20"/>
                                <w:spacing w:val="-2"/>
                                <w:sz w:val="15"/>
                              </w:rPr>
                              <w:t>dysplasia </w:t>
                            </w:r>
                            <w:r>
                              <w:rPr>
                                <w:color w:val="231F20"/>
                                <w:sz w:val="15"/>
                              </w:rPr>
                              <w:t>Tuberous sclerosis Sturge-Weber syndrome</w:t>
                            </w:r>
                          </w:p>
                        </w:tc>
                      </w:tr>
                    </w:tbl>
                    <w:p>
                      <w:pPr>
                        <w:pStyle w:val="BodyText"/>
                      </w:pPr>
                    </w:p>
                  </w:txbxContent>
                </v:textbox>
                <w10:wrap type="topAndBottom"/>
              </v:shape>
            </w:pict>
          </mc:Fallback>
        </mc:AlternateContent>
      </w:r>
      <w:r>
        <w:rPr>
          <w:i/>
          <w:sz w:val="9"/>
        </w:rPr>
        <mc:AlternateContent>
          <mc:Choice Requires="wps">
            <w:drawing>
              <wp:anchor distT="0" distB="0" distL="0" distR="0" allowOverlap="1" layoutInCell="1" locked="0" behindDoc="1" simplePos="0" relativeHeight="487587840">
                <wp:simplePos x="0" y="0"/>
                <wp:positionH relativeFrom="page">
                  <wp:posOffset>4045784</wp:posOffset>
                </wp:positionH>
                <wp:positionV relativeFrom="paragraph">
                  <wp:posOffset>84773</wp:posOffset>
                </wp:positionV>
                <wp:extent cx="2986405" cy="4518660"/>
                <wp:effectExtent l="0" t="0" r="0" b="0"/>
                <wp:wrapTopAndBottom/>
                <wp:docPr id="650" name="Textbox 650"/>
                <wp:cNvGraphicFramePr>
                  <a:graphicFrameLocks/>
                </wp:cNvGraphicFramePr>
                <a:graphic>
                  <a:graphicData uri="http://schemas.microsoft.com/office/word/2010/wordprocessingShape">
                    <wps:wsp>
                      <wps:cNvPr id="650" name="Textbox 650"/>
                      <wps:cNvSpPr txBox="1"/>
                      <wps:spPr>
                        <a:xfrm>
                          <a:off x="0" y="0"/>
                          <a:ext cx="2986405" cy="451866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9</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Selected</w:t>
                                  </w:r>
                                  <w:r>
                                    <w:rPr>
                                      <w:color w:val="FFFFFF"/>
                                      <w:spacing w:val="9"/>
                                      <w:w w:val="105"/>
                                      <w:sz w:val="16"/>
                                    </w:rPr>
                                    <w:t> </w:t>
                                  </w:r>
                                  <w:r>
                                    <w:rPr>
                                      <w:color w:val="FFFFFF"/>
                                      <w:w w:val="105"/>
                                      <w:sz w:val="16"/>
                                    </w:rPr>
                                    <w:t>Causes</w:t>
                                  </w:r>
                                  <w:r>
                                    <w:rPr>
                                      <w:color w:val="FFFFFF"/>
                                      <w:spacing w:val="9"/>
                                      <w:w w:val="105"/>
                                      <w:sz w:val="16"/>
                                    </w:rPr>
                                    <w:t> </w:t>
                                  </w:r>
                                  <w:r>
                                    <w:rPr>
                                      <w:color w:val="FFFFFF"/>
                                      <w:w w:val="105"/>
                                      <w:sz w:val="16"/>
                                    </w:rPr>
                                    <w:t>of</w:t>
                                  </w:r>
                                  <w:r>
                                    <w:rPr>
                                      <w:color w:val="FFFFFF"/>
                                      <w:spacing w:val="10"/>
                                      <w:w w:val="105"/>
                                      <w:sz w:val="16"/>
                                    </w:rPr>
                                    <w:t> </w:t>
                                  </w:r>
                                  <w:r>
                                    <w:rPr>
                                      <w:color w:val="FFFFFF"/>
                                      <w:w w:val="105"/>
                                      <w:sz w:val="16"/>
                                    </w:rPr>
                                    <w:t>Tremor</w:t>
                                  </w:r>
                                  <w:r>
                                    <w:rPr>
                                      <w:color w:val="FFFFFF"/>
                                      <w:spacing w:val="9"/>
                                      <w:w w:val="105"/>
                                      <w:sz w:val="16"/>
                                    </w:rPr>
                                    <w:t> </w:t>
                                  </w:r>
                                  <w:r>
                                    <w:rPr>
                                      <w:color w:val="FFFFFF"/>
                                      <w:w w:val="105"/>
                                      <w:sz w:val="16"/>
                                    </w:rPr>
                                    <w:t>in</w:t>
                                  </w:r>
                                  <w:r>
                                    <w:rPr>
                                      <w:color w:val="FFFFFF"/>
                                      <w:spacing w:val="9"/>
                                      <w:w w:val="105"/>
                                      <w:sz w:val="16"/>
                                    </w:rPr>
                                    <w:t> </w:t>
                                  </w:r>
                                  <w:r>
                                    <w:rPr>
                                      <w:color w:val="FFFFFF"/>
                                      <w:spacing w:val="-2"/>
                                      <w:w w:val="105"/>
                                      <w:sz w:val="16"/>
                                    </w:rPr>
                                    <w:t>Children</w:t>
                                  </w:r>
                                </w:p>
                              </w:tc>
                            </w:tr>
                            <w:tr>
                              <w:trPr>
                                <w:trHeight w:val="931"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BENIGN</w:t>
                                  </w:r>
                                </w:p>
                                <w:p>
                                  <w:pPr>
                                    <w:pStyle w:val="TableParagraph"/>
                                    <w:spacing w:line="230" w:lineRule="auto" w:before="3"/>
                                    <w:ind w:left="74" w:right="2670"/>
                                    <w:rPr>
                                      <w:sz w:val="15"/>
                                    </w:rPr>
                                  </w:pPr>
                                  <w:r>
                                    <w:rPr>
                                      <w:color w:val="231F20"/>
                                      <w:sz w:val="15"/>
                                    </w:rPr>
                                    <w:t>Enhanced</w:t>
                                  </w:r>
                                  <w:r>
                                    <w:rPr>
                                      <w:color w:val="231F20"/>
                                      <w:spacing w:val="-10"/>
                                      <w:sz w:val="15"/>
                                    </w:rPr>
                                    <w:t> </w:t>
                                  </w:r>
                                  <w:r>
                                    <w:rPr>
                                      <w:color w:val="231F20"/>
                                      <w:sz w:val="15"/>
                                    </w:rPr>
                                    <w:t>physiologic</w:t>
                                  </w:r>
                                  <w:r>
                                    <w:rPr>
                                      <w:color w:val="231F20"/>
                                      <w:spacing w:val="-10"/>
                                      <w:sz w:val="15"/>
                                    </w:rPr>
                                    <w:t> </w:t>
                                  </w:r>
                                  <w:r>
                                    <w:rPr>
                                      <w:color w:val="231F20"/>
                                      <w:sz w:val="15"/>
                                    </w:rPr>
                                    <w:t>tremor Shuddering attacks </w:t>
                                  </w:r>
                                  <w:r>
                                    <w:rPr>
                                      <w:color w:val="231F20"/>
                                      <w:spacing w:val="-2"/>
                                      <w:sz w:val="15"/>
                                    </w:rPr>
                                    <w:t>Jitteriness</w:t>
                                  </w:r>
                                </w:p>
                                <w:p>
                                  <w:pPr>
                                    <w:pStyle w:val="TableParagraph"/>
                                    <w:spacing w:line="171" w:lineRule="exact"/>
                                    <w:ind w:left="74"/>
                                    <w:rPr>
                                      <w:sz w:val="15"/>
                                    </w:rPr>
                                  </w:pPr>
                                  <w:r>
                                    <w:rPr>
                                      <w:color w:val="231F20"/>
                                      <w:sz w:val="15"/>
                                    </w:rPr>
                                    <w:t>Spasmus</w:t>
                                  </w:r>
                                  <w:r>
                                    <w:rPr>
                                      <w:color w:val="231F20"/>
                                      <w:spacing w:val="23"/>
                                      <w:sz w:val="15"/>
                                    </w:rPr>
                                    <w:t> </w:t>
                                  </w:r>
                                  <w:r>
                                    <w:rPr>
                                      <w:color w:val="231F20"/>
                                      <w:spacing w:val="-2"/>
                                      <w:sz w:val="15"/>
                                    </w:rPr>
                                    <w:t>nutans</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05"/>
                                      <w:sz w:val="15"/>
                                    </w:rPr>
                                    <w:t>STATIC</w:t>
                                  </w:r>
                                  <w:r>
                                    <w:rPr>
                                      <w:color w:val="231F20"/>
                                      <w:spacing w:val="15"/>
                                      <w:w w:val="105"/>
                                      <w:sz w:val="15"/>
                                    </w:rPr>
                                    <w:t> </w:t>
                                  </w:r>
                                  <w:r>
                                    <w:rPr>
                                      <w:color w:val="231F20"/>
                                      <w:spacing w:val="-2"/>
                                      <w:w w:val="105"/>
                                      <w:sz w:val="15"/>
                                    </w:rPr>
                                    <w:t>INJURY/STRUCTURAL</w:t>
                                  </w:r>
                                </w:p>
                                <w:p>
                                  <w:pPr>
                                    <w:pStyle w:val="TableParagraph"/>
                                    <w:spacing w:line="169" w:lineRule="exact"/>
                                    <w:ind w:left="74"/>
                                    <w:rPr>
                                      <w:sz w:val="15"/>
                                    </w:rPr>
                                  </w:pPr>
                                  <w:r>
                                    <w:rPr>
                                      <w:color w:val="231F20"/>
                                      <w:spacing w:val="-2"/>
                                      <w:sz w:val="15"/>
                                    </w:rPr>
                                    <w:t>Cerebellar</w:t>
                                  </w:r>
                                  <w:r>
                                    <w:rPr>
                                      <w:color w:val="231F20"/>
                                      <w:spacing w:val="6"/>
                                      <w:sz w:val="15"/>
                                    </w:rPr>
                                    <w:t> </w:t>
                                  </w:r>
                                  <w:r>
                                    <w:rPr>
                                      <w:color w:val="231F20"/>
                                      <w:spacing w:val="-2"/>
                                      <w:sz w:val="15"/>
                                    </w:rPr>
                                    <w:t>malformation</w:t>
                                  </w:r>
                                </w:p>
                                <w:p>
                                  <w:pPr>
                                    <w:pStyle w:val="TableParagraph"/>
                                    <w:spacing w:line="230" w:lineRule="auto" w:before="2"/>
                                    <w:ind w:left="74" w:right="1221"/>
                                    <w:rPr>
                                      <w:sz w:val="15"/>
                                    </w:rPr>
                                  </w:pPr>
                                  <w:r>
                                    <w:rPr>
                                      <w:color w:val="231F20"/>
                                      <w:spacing w:val="-2"/>
                                      <w:sz w:val="15"/>
                                    </w:rPr>
                                    <w:t>Stroke</w:t>
                                  </w:r>
                                  <w:r>
                                    <w:rPr>
                                      <w:color w:val="231F20"/>
                                      <w:spacing w:val="-10"/>
                                      <w:sz w:val="15"/>
                                    </w:rPr>
                                    <w:t> </w:t>
                                  </w:r>
                                  <w:r>
                                    <w:rPr>
                                      <w:color w:val="231F20"/>
                                      <w:spacing w:val="-2"/>
                                      <w:sz w:val="15"/>
                                    </w:rPr>
                                    <w:t>(particularly</w:t>
                                  </w:r>
                                  <w:r>
                                    <w:rPr>
                                      <w:color w:val="231F20"/>
                                      <w:spacing w:val="-9"/>
                                      <w:sz w:val="15"/>
                                    </w:rPr>
                                    <w:t> </w:t>
                                  </w:r>
                                  <w:r>
                                    <w:rPr>
                                      <w:color w:val="231F20"/>
                                      <w:spacing w:val="-2"/>
                                      <w:sz w:val="15"/>
                                    </w:rPr>
                                    <w:t>in</w:t>
                                  </w:r>
                                  <w:r>
                                    <w:rPr>
                                      <w:color w:val="231F20"/>
                                      <w:spacing w:val="-9"/>
                                      <w:sz w:val="15"/>
                                    </w:rPr>
                                    <w:t> </w:t>
                                  </w:r>
                                  <w:r>
                                    <w:rPr>
                                      <w:color w:val="231F20"/>
                                      <w:spacing w:val="-2"/>
                                      <w:sz w:val="15"/>
                                    </w:rPr>
                                    <w:t>the</w:t>
                                  </w:r>
                                  <w:r>
                                    <w:rPr>
                                      <w:color w:val="231F20"/>
                                      <w:spacing w:val="-10"/>
                                      <w:sz w:val="15"/>
                                    </w:rPr>
                                    <w:t> </w:t>
                                  </w:r>
                                  <w:r>
                                    <w:rPr>
                                      <w:color w:val="231F20"/>
                                      <w:spacing w:val="-2"/>
                                      <w:sz w:val="15"/>
                                    </w:rPr>
                                    <w:t>midbrain</w:t>
                                  </w:r>
                                  <w:r>
                                    <w:rPr>
                                      <w:color w:val="231F20"/>
                                      <w:spacing w:val="-9"/>
                                      <w:sz w:val="15"/>
                                    </w:rPr>
                                    <w:t> </w:t>
                                  </w:r>
                                  <w:r>
                                    <w:rPr>
                                      <w:color w:val="231F20"/>
                                      <w:spacing w:val="-2"/>
                                      <w:sz w:val="15"/>
                                    </w:rPr>
                                    <w:t>or</w:t>
                                  </w:r>
                                  <w:r>
                                    <w:rPr>
                                      <w:color w:val="231F20"/>
                                      <w:spacing w:val="-9"/>
                                      <w:sz w:val="15"/>
                                    </w:rPr>
                                    <w:t> </w:t>
                                  </w:r>
                                  <w:r>
                                    <w:rPr>
                                      <w:color w:val="231F20"/>
                                      <w:spacing w:val="-2"/>
                                      <w:sz w:val="15"/>
                                    </w:rPr>
                                    <w:t>cerebellum) </w:t>
                                  </w:r>
                                  <w:r>
                                    <w:rPr>
                                      <w:color w:val="231F20"/>
                                      <w:sz w:val="15"/>
                                    </w:rPr>
                                    <w:t>Multiple sclerosis</w:t>
                                  </w:r>
                                </w:p>
                              </w:tc>
                            </w:tr>
                            <w:tr>
                              <w:trPr>
                                <w:trHeight w:val="126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0"/>
                                      <w:sz w:val="15"/>
                                    </w:rPr>
                                    <w:t>HEREDITARY/DEGENERATIVE</w:t>
                                  </w:r>
                                </w:p>
                                <w:p>
                                  <w:pPr>
                                    <w:pStyle w:val="TableParagraph"/>
                                    <w:spacing w:line="230" w:lineRule="auto" w:before="3"/>
                                    <w:ind w:left="74" w:right="2993"/>
                                    <w:rPr>
                                      <w:sz w:val="15"/>
                                    </w:rPr>
                                  </w:pPr>
                                  <w:r>
                                    <w:rPr>
                                      <w:color w:val="231F20"/>
                                      <w:spacing w:val="-2"/>
                                      <w:sz w:val="15"/>
                                    </w:rPr>
                                    <w:t>Familial</w:t>
                                  </w:r>
                                  <w:r>
                                    <w:rPr>
                                      <w:color w:val="231F20"/>
                                      <w:spacing w:val="-10"/>
                                      <w:sz w:val="15"/>
                                    </w:rPr>
                                    <w:t> </w:t>
                                  </w:r>
                                  <w:r>
                                    <w:rPr>
                                      <w:color w:val="231F20"/>
                                      <w:spacing w:val="-2"/>
                                      <w:sz w:val="15"/>
                                    </w:rPr>
                                    <w:t>essential</w:t>
                                  </w:r>
                                  <w:r>
                                    <w:rPr>
                                      <w:color w:val="231F20"/>
                                      <w:spacing w:val="-9"/>
                                      <w:sz w:val="15"/>
                                    </w:rPr>
                                    <w:t> </w:t>
                                  </w:r>
                                  <w:r>
                                    <w:rPr>
                                      <w:color w:val="231F20"/>
                                      <w:spacing w:val="-2"/>
                                      <w:sz w:val="15"/>
                                    </w:rPr>
                                    <w:t>tremor </w:t>
                                  </w:r>
                                  <w:r>
                                    <w:rPr>
                                      <w:color w:val="231F20"/>
                                      <w:sz w:val="15"/>
                                    </w:rPr>
                                    <w:t>Fragile X premutation Wilson disease Huntington disease</w:t>
                                  </w:r>
                                </w:p>
                                <w:p>
                                  <w:pPr>
                                    <w:pStyle w:val="TableParagraph"/>
                                    <w:spacing w:line="230" w:lineRule="auto" w:before="3"/>
                                    <w:ind w:left="74" w:right="1733"/>
                                    <w:rPr>
                                      <w:sz w:val="15"/>
                                    </w:rPr>
                                  </w:pPr>
                                  <w:r>
                                    <w:rPr>
                                      <w:color w:val="231F20"/>
                                      <w:spacing w:val="-2"/>
                                      <w:sz w:val="15"/>
                                    </w:rPr>
                                    <w:t>Juvenile</w:t>
                                  </w:r>
                                  <w:r>
                                    <w:rPr>
                                      <w:color w:val="231F20"/>
                                      <w:spacing w:val="-10"/>
                                      <w:sz w:val="15"/>
                                    </w:rPr>
                                    <w:t> </w:t>
                                  </w:r>
                                  <w:r>
                                    <w:rPr>
                                      <w:color w:val="231F20"/>
                                      <w:spacing w:val="-2"/>
                                      <w:sz w:val="15"/>
                                    </w:rPr>
                                    <w:t>parkinsonism</w:t>
                                  </w:r>
                                  <w:r>
                                    <w:rPr>
                                      <w:color w:val="231F20"/>
                                      <w:spacing w:val="-9"/>
                                      <w:sz w:val="15"/>
                                    </w:rPr>
                                    <w:t> </w:t>
                                  </w:r>
                                  <w:r>
                                    <w:rPr>
                                      <w:color w:val="231F20"/>
                                      <w:spacing w:val="-2"/>
                                      <w:sz w:val="15"/>
                                    </w:rPr>
                                    <w:t>(tremor</w:t>
                                  </w:r>
                                  <w:r>
                                    <w:rPr>
                                      <w:color w:val="231F20"/>
                                      <w:spacing w:val="-9"/>
                                      <w:sz w:val="15"/>
                                    </w:rPr>
                                    <w:t> </w:t>
                                  </w:r>
                                  <w:r>
                                    <w:rPr>
                                      <w:color w:val="231F20"/>
                                      <w:spacing w:val="-2"/>
                                      <w:sz w:val="15"/>
                                    </w:rPr>
                                    <w:t>is</w:t>
                                  </w:r>
                                  <w:r>
                                    <w:rPr>
                                      <w:color w:val="231F20"/>
                                      <w:spacing w:val="-10"/>
                                      <w:sz w:val="15"/>
                                    </w:rPr>
                                    <w:t> </w:t>
                                  </w:r>
                                  <w:r>
                                    <w:rPr>
                                      <w:color w:val="231F20"/>
                                      <w:spacing w:val="-2"/>
                                      <w:sz w:val="15"/>
                                    </w:rPr>
                                    <w:t>rare) </w:t>
                                  </w:r>
                                  <w:r>
                                    <w:rPr>
                                      <w:color w:val="231F20"/>
                                      <w:sz w:val="15"/>
                                    </w:rPr>
                                    <w:t>Pallidonigral degeneration</w:t>
                                  </w:r>
                                </w:p>
                              </w:tc>
                            </w:tr>
                            <w:tr>
                              <w:trPr>
                                <w:trHeight w:val="193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METABOLIC</w:t>
                                  </w:r>
                                </w:p>
                                <w:p>
                                  <w:pPr>
                                    <w:pStyle w:val="TableParagraph"/>
                                    <w:spacing w:line="169" w:lineRule="exact"/>
                                    <w:ind w:left="74"/>
                                    <w:rPr>
                                      <w:sz w:val="15"/>
                                    </w:rPr>
                                  </w:pPr>
                                  <w:r>
                                    <w:rPr>
                                      <w:color w:val="231F20"/>
                                      <w:spacing w:val="-2"/>
                                      <w:sz w:val="15"/>
                                    </w:rPr>
                                    <w:t>Hyperthyroidism</w:t>
                                  </w:r>
                                </w:p>
                                <w:p>
                                  <w:pPr>
                                    <w:pStyle w:val="TableParagraph"/>
                                    <w:spacing w:line="230" w:lineRule="auto" w:before="2"/>
                                    <w:ind w:left="186" w:hanging="112"/>
                                    <w:rPr>
                                      <w:sz w:val="15"/>
                                    </w:rPr>
                                  </w:pPr>
                                  <w:r>
                                    <w:rPr>
                                      <w:color w:val="231F20"/>
                                      <w:sz w:val="15"/>
                                    </w:rPr>
                                    <w:t>Hyperadrenergic</w:t>
                                  </w:r>
                                  <w:r>
                                    <w:rPr>
                                      <w:color w:val="231F20"/>
                                      <w:spacing w:val="-8"/>
                                      <w:sz w:val="15"/>
                                    </w:rPr>
                                    <w:t> </w:t>
                                  </w:r>
                                  <w:r>
                                    <w:rPr>
                                      <w:color w:val="231F20"/>
                                      <w:sz w:val="15"/>
                                    </w:rPr>
                                    <w:t>state</w:t>
                                  </w:r>
                                  <w:r>
                                    <w:rPr>
                                      <w:color w:val="231F20"/>
                                      <w:spacing w:val="-8"/>
                                      <w:sz w:val="15"/>
                                    </w:rPr>
                                    <w:t> </w:t>
                                  </w:r>
                                  <w:r>
                                    <w:rPr>
                                      <w:color w:val="231F20"/>
                                      <w:sz w:val="15"/>
                                    </w:rPr>
                                    <w:t>(including</w:t>
                                  </w:r>
                                  <w:r>
                                    <w:rPr>
                                      <w:color w:val="231F20"/>
                                      <w:spacing w:val="-8"/>
                                      <w:sz w:val="15"/>
                                    </w:rPr>
                                    <w:t> </w:t>
                                  </w:r>
                                  <w:r>
                                    <w:rPr>
                                      <w:color w:val="231F20"/>
                                      <w:sz w:val="15"/>
                                    </w:rPr>
                                    <w:t>pheochromocytoma</w:t>
                                  </w:r>
                                  <w:r>
                                    <w:rPr>
                                      <w:color w:val="231F20"/>
                                      <w:spacing w:val="-8"/>
                                      <w:sz w:val="15"/>
                                    </w:rPr>
                                    <w:t> </w:t>
                                  </w:r>
                                  <w:r>
                                    <w:rPr>
                                      <w:color w:val="231F20"/>
                                      <w:sz w:val="15"/>
                                    </w:rPr>
                                    <w:t>and </w:t>
                                  </w:r>
                                  <w:r>
                                    <w:rPr>
                                      <w:color w:val="231F20"/>
                                      <w:spacing w:val="-2"/>
                                      <w:sz w:val="15"/>
                                    </w:rPr>
                                    <w:t>neuroblastoma)</w:t>
                                  </w:r>
                                </w:p>
                                <w:p>
                                  <w:pPr>
                                    <w:pStyle w:val="TableParagraph"/>
                                    <w:spacing w:line="230" w:lineRule="auto" w:before="2"/>
                                    <w:ind w:left="74" w:right="2993"/>
                                    <w:rPr>
                                      <w:sz w:val="15"/>
                                    </w:rPr>
                                  </w:pPr>
                                  <w:r>
                                    <w:rPr>
                                      <w:color w:val="231F20"/>
                                      <w:spacing w:val="-2"/>
                                      <w:sz w:val="15"/>
                                    </w:rPr>
                                    <w:t>Hypomagnesemia Hypocalcemia Hypoglycemia</w:t>
                                  </w:r>
                                </w:p>
                                <w:p>
                                  <w:pPr>
                                    <w:pStyle w:val="TableParagraph"/>
                                    <w:spacing w:line="230" w:lineRule="auto" w:before="2"/>
                                    <w:ind w:left="74" w:right="2729"/>
                                    <w:rPr>
                                      <w:sz w:val="15"/>
                                    </w:rPr>
                                  </w:pPr>
                                  <w:r>
                                    <w:rPr>
                                      <w:color w:val="231F20"/>
                                      <w:sz w:val="15"/>
                                    </w:rPr>
                                    <w:t>Hepatic encephalopathy Vitamin B</w:t>
                                  </w:r>
                                  <w:r>
                                    <w:rPr>
                                      <w:color w:val="231F20"/>
                                      <w:sz w:val="15"/>
                                      <w:vertAlign w:val="subscript"/>
                                    </w:rPr>
                                    <w:t>12</w:t>
                                  </w:r>
                                  <w:r>
                                    <w:rPr>
                                      <w:color w:val="231F20"/>
                                      <w:sz w:val="15"/>
                                      <w:vertAlign w:val="baseline"/>
                                    </w:rPr>
                                    <w:t> deficiency Inborn</w:t>
                                  </w:r>
                                  <w:r>
                                    <w:rPr>
                                      <w:color w:val="231F20"/>
                                      <w:spacing w:val="-12"/>
                                      <w:sz w:val="15"/>
                                      <w:vertAlign w:val="baseline"/>
                                    </w:rPr>
                                    <w:t> </w:t>
                                  </w:r>
                                  <w:r>
                                    <w:rPr>
                                      <w:color w:val="231F20"/>
                                      <w:sz w:val="15"/>
                                      <w:vertAlign w:val="baseline"/>
                                    </w:rPr>
                                    <w:t>errors</w:t>
                                  </w:r>
                                  <w:r>
                                    <w:rPr>
                                      <w:color w:val="231F20"/>
                                      <w:spacing w:val="-11"/>
                                      <w:sz w:val="15"/>
                                      <w:vertAlign w:val="baseline"/>
                                    </w:rPr>
                                    <w:t> </w:t>
                                  </w:r>
                                  <w:r>
                                    <w:rPr>
                                      <w:color w:val="231F20"/>
                                      <w:sz w:val="15"/>
                                      <w:vertAlign w:val="baseline"/>
                                    </w:rPr>
                                    <w:t>of</w:t>
                                  </w:r>
                                  <w:r>
                                    <w:rPr>
                                      <w:color w:val="231F20"/>
                                      <w:spacing w:val="-11"/>
                                      <w:sz w:val="15"/>
                                      <w:vertAlign w:val="baseline"/>
                                    </w:rPr>
                                    <w:t> </w:t>
                                  </w:r>
                                  <w:r>
                                    <w:rPr>
                                      <w:color w:val="231F20"/>
                                      <w:sz w:val="15"/>
                                      <w:vertAlign w:val="baseline"/>
                                    </w:rPr>
                                    <w:t>metabolism Mitochondrial disorders</w:t>
                                  </w:r>
                                </w:p>
                              </w:tc>
                            </w:tr>
                            <w:tr>
                              <w:trPr>
                                <w:trHeight w:val="126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0"/>
                                      <w:sz w:val="15"/>
                                    </w:rPr>
                                    <w:t>DRUGS/TOXINS</w:t>
                                  </w:r>
                                </w:p>
                                <w:p>
                                  <w:pPr>
                                    <w:pStyle w:val="TableParagraph"/>
                                    <w:spacing w:line="230" w:lineRule="auto" w:before="3"/>
                                    <w:ind w:left="186" w:hanging="112"/>
                                    <w:rPr>
                                      <w:sz w:val="15"/>
                                    </w:rPr>
                                  </w:pPr>
                                  <w:r>
                                    <w:rPr>
                                      <w:color w:val="231F20"/>
                                      <w:sz w:val="15"/>
                                    </w:rPr>
                                    <w:t>Valproate, phenytoin, carbamazepine, lamotrigine, gabapentin, lithium,</w:t>
                                  </w:r>
                                  <w:r>
                                    <w:rPr>
                                      <w:color w:val="231F20"/>
                                      <w:spacing w:val="-12"/>
                                      <w:sz w:val="15"/>
                                    </w:rPr>
                                    <w:t> </w:t>
                                  </w:r>
                                  <w:r>
                                    <w:rPr>
                                      <w:color w:val="231F20"/>
                                      <w:sz w:val="15"/>
                                    </w:rPr>
                                    <w:t>tricyclic</w:t>
                                  </w:r>
                                  <w:r>
                                    <w:rPr>
                                      <w:color w:val="231F20"/>
                                      <w:spacing w:val="-11"/>
                                      <w:sz w:val="15"/>
                                    </w:rPr>
                                    <w:t> </w:t>
                                  </w:r>
                                  <w:r>
                                    <w:rPr>
                                      <w:color w:val="231F20"/>
                                      <w:sz w:val="15"/>
                                    </w:rPr>
                                    <w:t>antidepressants,</w:t>
                                  </w:r>
                                  <w:r>
                                    <w:rPr>
                                      <w:color w:val="231F20"/>
                                      <w:spacing w:val="-11"/>
                                      <w:sz w:val="15"/>
                                    </w:rPr>
                                    <w:t> </w:t>
                                  </w:r>
                                  <w:r>
                                    <w:rPr>
                                      <w:color w:val="231F20"/>
                                      <w:sz w:val="15"/>
                                    </w:rPr>
                                    <w:t>stimulants</w:t>
                                  </w:r>
                                  <w:r>
                                    <w:rPr>
                                      <w:color w:val="231F20"/>
                                      <w:spacing w:val="-12"/>
                                      <w:sz w:val="15"/>
                                    </w:rPr>
                                    <w:t> </w:t>
                                  </w:r>
                                  <w:r>
                                    <w:rPr>
                                      <w:color w:val="231F20"/>
                                      <w:sz w:val="15"/>
                                    </w:rPr>
                                    <w:t>(cocaine, </w:t>
                                  </w:r>
                                  <w:r>
                                    <w:rPr>
                                      <w:color w:val="231F20"/>
                                      <w:spacing w:val="-2"/>
                                      <w:sz w:val="15"/>
                                    </w:rPr>
                                    <w:t>amphetamine,</w:t>
                                  </w:r>
                                  <w:r>
                                    <w:rPr>
                                      <w:color w:val="231F20"/>
                                      <w:spacing w:val="-4"/>
                                      <w:sz w:val="15"/>
                                    </w:rPr>
                                    <w:t> </w:t>
                                  </w:r>
                                  <w:r>
                                    <w:rPr>
                                      <w:color w:val="231F20"/>
                                      <w:spacing w:val="-2"/>
                                      <w:sz w:val="15"/>
                                    </w:rPr>
                                    <w:t>caffeine,</w:t>
                                  </w:r>
                                  <w:r>
                                    <w:rPr>
                                      <w:color w:val="231F20"/>
                                      <w:spacing w:val="-4"/>
                                      <w:sz w:val="15"/>
                                    </w:rPr>
                                    <w:t> </w:t>
                                  </w:r>
                                  <w:r>
                                    <w:rPr>
                                      <w:color w:val="231F20"/>
                                      <w:spacing w:val="-2"/>
                                      <w:sz w:val="15"/>
                                    </w:rPr>
                                    <w:t>thyroxine,</w:t>
                                  </w:r>
                                  <w:r>
                                    <w:rPr>
                                      <w:color w:val="231F20"/>
                                      <w:spacing w:val="-4"/>
                                      <w:sz w:val="15"/>
                                    </w:rPr>
                                    <w:t> </w:t>
                                  </w:r>
                                  <w:r>
                                    <w:rPr>
                                      <w:color w:val="231F20"/>
                                      <w:spacing w:val="-2"/>
                                      <w:sz w:val="15"/>
                                    </w:rPr>
                                    <w:t>bronchodilators),</w:t>
                                  </w:r>
                                  <w:r>
                                    <w:rPr>
                                      <w:color w:val="231F20"/>
                                      <w:spacing w:val="-4"/>
                                      <w:sz w:val="15"/>
                                    </w:rPr>
                                    <w:t> </w:t>
                                  </w:r>
                                  <w:r>
                                    <w:rPr>
                                      <w:color w:val="231F20"/>
                                      <w:spacing w:val="-2"/>
                                      <w:sz w:val="15"/>
                                    </w:rPr>
                                    <w:t>neuroleptics, </w:t>
                                  </w:r>
                                  <w:r>
                                    <w:rPr>
                                      <w:color w:val="231F20"/>
                                      <w:sz w:val="15"/>
                                    </w:rPr>
                                    <w:t>cyclosporine,</w:t>
                                  </w:r>
                                  <w:r>
                                    <w:rPr>
                                      <w:color w:val="231F20"/>
                                      <w:spacing w:val="-5"/>
                                      <w:sz w:val="15"/>
                                    </w:rPr>
                                    <w:t> </w:t>
                                  </w:r>
                                  <w:r>
                                    <w:rPr>
                                      <w:color w:val="231F20"/>
                                      <w:sz w:val="15"/>
                                    </w:rPr>
                                    <w:t>toluene,</w:t>
                                  </w:r>
                                  <w:r>
                                    <w:rPr>
                                      <w:color w:val="231F20"/>
                                      <w:spacing w:val="-5"/>
                                      <w:sz w:val="15"/>
                                    </w:rPr>
                                    <w:t> </w:t>
                                  </w:r>
                                  <w:r>
                                    <w:rPr>
                                      <w:color w:val="231F20"/>
                                      <w:sz w:val="15"/>
                                    </w:rPr>
                                    <w:t>mercury,</w:t>
                                  </w:r>
                                  <w:r>
                                    <w:rPr>
                                      <w:color w:val="231F20"/>
                                      <w:spacing w:val="-5"/>
                                      <w:sz w:val="15"/>
                                    </w:rPr>
                                    <w:t> </w:t>
                                  </w:r>
                                  <w:r>
                                    <w:rPr>
                                      <w:color w:val="231F20"/>
                                      <w:sz w:val="15"/>
                                    </w:rPr>
                                    <w:t>thallium,</w:t>
                                  </w:r>
                                  <w:r>
                                    <w:rPr>
                                      <w:color w:val="231F20"/>
                                      <w:spacing w:val="-5"/>
                                      <w:sz w:val="15"/>
                                    </w:rPr>
                                    <w:t> </w:t>
                                  </w:r>
                                  <w:r>
                                    <w:rPr>
                                      <w:color w:val="231F20"/>
                                      <w:sz w:val="15"/>
                                    </w:rPr>
                                    <w:t>amiodarone,</w:t>
                                  </w:r>
                                  <w:r>
                                    <w:rPr>
                                      <w:color w:val="231F20"/>
                                      <w:spacing w:val="-5"/>
                                      <w:sz w:val="15"/>
                                    </w:rPr>
                                    <w:t> </w:t>
                                  </w:r>
                                  <w:r>
                                    <w:rPr>
                                      <w:color w:val="231F20"/>
                                      <w:sz w:val="15"/>
                                    </w:rPr>
                                    <w:t>nicotine, </w:t>
                                  </w:r>
                                  <w:r>
                                    <w:rPr>
                                      <w:color w:val="231F20"/>
                                      <w:spacing w:val="-2"/>
                                      <w:sz w:val="15"/>
                                    </w:rPr>
                                    <w:t>lead,</w:t>
                                  </w:r>
                                  <w:r>
                                    <w:rPr>
                                      <w:color w:val="231F20"/>
                                      <w:spacing w:val="-8"/>
                                      <w:sz w:val="15"/>
                                    </w:rPr>
                                    <w:t> </w:t>
                                  </w:r>
                                  <w:r>
                                    <w:rPr>
                                      <w:color w:val="231F20"/>
                                      <w:spacing w:val="-2"/>
                                      <w:sz w:val="15"/>
                                    </w:rPr>
                                    <w:t>manganese,</w:t>
                                  </w:r>
                                  <w:r>
                                    <w:rPr>
                                      <w:color w:val="231F20"/>
                                      <w:spacing w:val="-8"/>
                                      <w:sz w:val="15"/>
                                    </w:rPr>
                                    <w:t> </w:t>
                                  </w:r>
                                  <w:r>
                                    <w:rPr>
                                      <w:color w:val="231F20"/>
                                      <w:spacing w:val="-2"/>
                                      <w:sz w:val="15"/>
                                    </w:rPr>
                                    <w:t>arsenic,</w:t>
                                  </w:r>
                                  <w:r>
                                    <w:rPr>
                                      <w:color w:val="231F20"/>
                                      <w:spacing w:val="-8"/>
                                      <w:sz w:val="15"/>
                                    </w:rPr>
                                    <w:t> </w:t>
                                  </w:r>
                                  <w:r>
                                    <w:rPr>
                                      <w:color w:val="231F20"/>
                                      <w:spacing w:val="-2"/>
                                      <w:sz w:val="15"/>
                                    </w:rPr>
                                    <w:t>cyanide,</w:t>
                                  </w:r>
                                  <w:r>
                                    <w:rPr>
                                      <w:color w:val="231F20"/>
                                      <w:spacing w:val="-8"/>
                                      <w:sz w:val="15"/>
                                    </w:rPr>
                                    <w:t> </w:t>
                                  </w:r>
                                  <w:r>
                                    <w:rPr>
                                      <w:color w:val="231F20"/>
                                      <w:spacing w:val="-2"/>
                                      <w:sz w:val="15"/>
                                    </w:rPr>
                                    <w:t>naphthalene,</w:t>
                                  </w:r>
                                  <w:r>
                                    <w:rPr>
                                      <w:color w:val="231F20"/>
                                      <w:spacing w:val="-8"/>
                                      <w:sz w:val="15"/>
                                    </w:rPr>
                                    <w:t> </w:t>
                                  </w:r>
                                  <w:r>
                                    <w:rPr>
                                      <w:color w:val="231F20"/>
                                      <w:spacing w:val="-2"/>
                                      <w:sz w:val="15"/>
                                    </w:rPr>
                                    <w:t>ethanol,</w:t>
                                  </w:r>
                                  <w:r>
                                    <w:rPr>
                                      <w:color w:val="231F20"/>
                                      <w:spacing w:val="-8"/>
                                      <w:sz w:val="15"/>
                                    </w:rPr>
                                    <w:t> </w:t>
                                  </w:r>
                                  <w:r>
                                    <w:rPr>
                                      <w:color w:val="231F20"/>
                                      <w:spacing w:val="-2"/>
                                      <w:sz w:val="15"/>
                                    </w:rPr>
                                    <w:t>lindane, </w:t>
                                  </w:r>
                                  <w:r>
                                    <w:rPr>
                                      <w:color w:val="231F20"/>
                                      <w:sz w:val="15"/>
                                    </w:rPr>
                                    <w:t>serotonin reuptake inhibitors</w:t>
                                  </w:r>
                                </w:p>
                              </w:tc>
                            </w:tr>
                            <w:tr>
                              <w:trPr>
                                <w:trHeight w:val="253" w:hRule="atLeast"/>
                              </w:trPr>
                              <w:tc>
                                <w:tcPr>
                                  <w:tcW w:w="4703" w:type="dxa"/>
                                  <w:gridSpan w:val="2"/>
                                  <w:tcBorders>
                                    <w:top w:val="single" w:sz="4" w:space="0" w:color="FFFFFF"/>
                                    <w:bottom w:val="single" w:sz="4" w:space="0" w:color="FFFFFF"/>
                                  </w:tcBorders>
                                  <w:shd w:val="clear" w:color="auto" w:fill="E8F5F1"/>
                                </w:tcPr>
                                <w:p>
                                  <w:pPr>
                                    <w:pStyle w:val="TableParagraph"/>
                                    <w:spacing w:before="43"/>
                                    <w:ind w:left="74"/>
                                    <w:rPr>
                                      <w:sz w:val="15"/>
                                    </w:rPr>
                                  </w:pPr>
                                  <w:r>
                                    <w:rPr>
                                      <w:color w:val="231F20"/>
                                      <w:w w:val="105"/>
                                      <w:sz w:val="15"/>
                                    </w:rPr>
                                    <w:t>PERIPHERAL</w:t>
                                  </w:r>
                                  <w:r>
                                    <w:rPr>
                                      <w:color w:val="231F20"/>
                                      <w:spacing w:val="23"/>
                                      <w:w w:val="110"/>
                                      <w:sz w:val="15"/>
                                    </w:rPr>
                                    <w:t> </w:t>
                                  </w:r>
                                  <w:r>
                                    <w:rPr>
                                      <w:color w:val="231F20"/>
                                      <w:spacing w:val="-2"/>
                                      <w:w w:val="110"/>
                                      <w:sz w:val="15"/>
                                    </w:rPr>
                                    <w:t>NEUROPATHIES</w:t>
                                  </w:r>
                                </w:p>
                              </w:tc>
                            </w:tr>
                            <w:tr>
                              <w:trPr>
                                <w:trHeight w:val="248"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spacing w:val="-2"/>
                                      <w:w w:val="115"/>
                                      <w:sz w:val="15"/>
                                    </w:rPr>
                                    <w:t>PSYCHOGENIC</w:t>
                                  </w:r>
                                </w:p>
                              </w:tc>
                            </w:tr>
                          </w:tbl>
                          <w:p>
                            <w:pPr>
                              <w:pStyle w:val="BodyText"/>
                            </w:pPr>
                          </w:p>
                        </w:txbxContent>
                      </wps:txbx>
                      <wps:bodyPr wrap="square" lIns="0" tIns="0" rIns="0" bIns="0" rtlCol="0">
                        <a:noAutofit/>
                      </wps:bodyPr>
                    </wps:wsp>
                  </a:graphicData>
                </a:graphic>
              </wp:anchor>
            </w:drawing>
          </mc:Choice>
          <mc:Fallback>
            <w:pict>
              <v:shape style="position:absolute;margin-left:318.565704pt;margin-top:6.675097pt;width:235.15pt;height:355.8pt;mso-position-horizontal-relative:page;mso-position-vertical-relative:paragraph;z-index:-15728640;mso-wrap-distance-left:0;mso-wrap-distance-right:0" type="#_x0000_t202" id="docshape55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9</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Selected</w:t>
                            </w:r>
                            <w:r>
                              <w:rPr>
                                <w:color w:val="FFFFFF"/>
                                <w:spacing w:val="9"/>
                                <w:w w:val="105"/>
                                <w:sz w:val="16"/>
                              </w:rPr>
                              <w:t> </w:t>
                            </w:r>
                            <w:r>
                              <w:rPr>
                                <w:color w:val="FFFFFF"/>
                                <w:w w:val="105"/>
                                <w:sz w:val="16"/>
                              </w:rPr>
                              <w:t>Causes</w:t>
                            </w:r>
                            <w:r>
                              <w:rPr>
                                <w:color w:val="FFFFFF"/>
                                <w:spacing w:val="9"/>
                                <w:w w:val="105"/>
                                <w:sz w:val="16"/>
                              </w:rPr>
                              <w:t> </w:t>
                            </w:r>
                            <w:r>
                              <w:rPr>
                                <w:color w:val="FFFFFF"/>
                                <w:w w:val="105"/>
                                <w:sz w:val="16"/>
                              </w:rPr>
                              <w:t>of</w:t>
                            </w:r>
                            <w:r>
                              <w:rPr>
                                <w:color w:val="FFFFFF"/>
                                <w:spacing w:val="10"/>
                                <w:w w:val="105"/>
                                <w:sz w:val="16"/>
                              </w:rPr>
                              <w:t> </w:t>
                            </w:r>
                            <w:r>
                              <w:rPr>
                                <w:color w:val="FFFFFF"/>
                                <w:w w:val="105"/>
                                <w:sz w:val="16"/>
                              </w:rPr>
                              <w:t>Tremor</w:t>
                            </w:r>
                            <w:r>
                              <w:rPr>
                                <w:color w:val="FFFFFF"/>
                                <w:spacing w:val="9"/>
                                <w:w w:val="105"/>
                                <w:sz w:val="16"/>
                              </w:rPr>
                              <w:t> </w:t>
                            </w:r>
                            <w:r>
                              <w:rPr>
                                <w:color w:val="FFFFFF"/>
                                <w:w w:val="105"/>
                                <w:sz w:val="16"/>
                              </w:rPr>
                              <w:t>in</w:t>
                            </w:r>
                            <w:r>
                              <w:rPr>
                                <w:color w:val="FFFFFF"/>
                                <w:spacing w:val="9"/>
                                <w:w w:val="105"/>
                                <w:sz w:val="16"/>
                              </w:rPr>
                              <w:t> </w:t>
                            </w:r>
                            <w:r>
                              <w:rPr>
                                <w:color w:val="FFFFFF"/>
                                <w:spacing w:val="-2"/>
                                <w:w w:val="105"/>
                                <w:sz w:val="16"/>
                              </w:rPr>
                              <w:t>Children</w:t>
                            </w:r>
                          </w:p>
                        </w:tc>
                      </w:tr>
                      <w:tr>
                        <w:trPr>
                          <w:trHeight w:val="931"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BENIGN</w:t>
                            </w:r>
                          </w:p>
                          <w:p>
                            <w:pPr>
                              <w:pStyle w:val="TableParagraph"/>
                              <w:spacing w:line="230" w:lineRule="auto" w:before="3"/>
                              <w:ind w:left="74" w:right="2670"/>
                              <w:rPr>
                                <w:sz w:val="15"/>
                              </w:rPr>
                            </w:pPr>
                            <w:r>
                              <w:rPr>
                                <w:color w:val="231F20"/>
                                <w:sz w:val="15"/>
                              </w:rPr>
                              <w:t>Enhanced</w:t>
                            </w:r>
                            <w:r>
                              <w:rPr>
                                <w:color w:val="231F20"/>
                                <w:spacing w:val="-10"/>
                                <w:sz w:val="15"/>
                              </w:rPr>
                              <w:t> </w:t>
                            </w:r>
                            <w:r>
                              <w:rPr>
                                <w:color w:val="231F20"/>
                                <w:sz w:val="15"/>
                              </w:rPr>
                              <w:t>physiologic</w:t>
                            </w:r>
                            <w:r>
                              <w:rPr>
                                <w:color w:val="231F20"/>
                                <w:spacing w:val="-10"/>
                                <w:sz w:val="15"/>
                              </w:rPr>
                              <w:t> </w:t>
                            </w:r>
                            <w:r>
                              <w:rPr>
                                <w:color w:val="231F20"/>
                                <w:sz w:val="15"/>
                              </w:rPr>
                              <w:t>tremor Shuddering attacks </w:t>
                            </w:r>
                            <w:r>
                              <w:rPr>
                                <w:color w:val="231F20"/>
                                <w:spacing w:val="-2"/>
                                <w:sz w:val="15"/>
                              </w:rPr>
                              <w:t>Jitteriness</w:t>
                            </w:r>
                          </w:p>
                          <w:p>
                            <w:pPr>
                              <w:pStyle w:val="TableParagraph"/>
                              <w:spacing w:line="171" w:lineRule="exact"/>
                              <w:ind w:left="74"/>
                              <w:rPr>
                                <w:sz w:val="15"/>
                              </w:rPr>
                            </w:pPr>
                            <w:r>
                              <w:rPr>
                                <w:color w:val="231F20"/>
                                <w:sz w:val="15"/>
                              </w:rPr>
                              <w:t>Spasmus</w:t>
                            </w:r>
                            <w:r>
                              <w:rPr>
                                <w:color w:val="231F20"/>
                                <w:spacing w:val="23"/>
                                <w:sz w:val="15"/>
                              </w:rPr>
                              <w:t> </w:t>
                            </w:r>
                            <w:r>
                              <w:rPr>
                                <w:color w:val="231F20"/>
                                <w:spacing w:val="-2"/>
                                <w:sz w:val="15"/>
                              </w:rPr>
                              <w:t>nutans</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05"/>
                                <w:sz w:val="15"/>
                              </w:rPr>
                              <w:t>STATIC</w:t>
                            </w:r>
                            <w:r>
                              <w:rPr>
                                <w:color w:val="231F20"/>
                                <w:spacing w:val="15"/>
                                <w:w w:val="105"/>
                                <w:sz w:val="15"/>
                              </w:rPr>
                              <w:t> </w:t>
                            </w:r>
                            <w:r>
                              <w:rPr>
                                <w:color w:val="231F20"/>
                                <w:spacing w:val="-2"/>
                                <w:w w:val="105"/>
                                <w:sz w:val="15"/>
                              </w:rPr>
                              <w:t>INJURY/STRUCTURAL</w:t>
                            </w:r>
                          </w:p>
                          <w:p>
                            <w:pPr>
                              <w:pStyle w:val="TableParagraph"/>
                              <w:spacing w:line="169" w:lineRule="exact"/>
                              <w:ind w:left="74"/>
                              <w:rPr>
                                <w:sz w:val="15"/>
                              </w:rPr>
                            </w:pPr>
                            <w:r>
                              <w:rPr>
                                <w:color w:val="231F20"/>
                                <w:spacing w:val="-2"/>
                                <w:sz w:val="15"/>
                              </w:rPr>
                              <w:t>Cerebellar</w:t>
                            </w:r>
                            <w:r>
                              <w:rPr>
                                <w:color w:val="231F20"/>
                                <w:spacing w:val="6"/>
                                <w:sz w:val="15"/>
                              </w:rPr>
                              <w:t> </w:t>
                            </w:r>
                            <w:r>
                              <w:rPr>
                                <w:color w:val="231F20"/>
                                <w:spacing w:val="-2"/>
                                <w:sz w:val="15"/>
                              </w:rPr>
                              <w:t>malformation</w:t>
                            </w:r>
                          </w:p>
                          <w:p>
                            <w:pPr>
                              <w:pStyle w:val="TableParagraph"/>
                              <w:spacing w:line="230" w:lineRule="auto" w:before="2"/>
                              <w:ind w:left="74" w:right="1221"/>
                              <w:rPr>
                                <w:sz w:val="15"/>
                              </w:rPr>
                            </w:pPr>
                            <w:r>
                              <w:rPr>
                                <w:color w:val="231F20"/>
                                <w:spacing w:val="-2"/>
                                <w:sz w:val="15"/>
                              </w:rPr>
                              <w:t>Stroke</w:t>
                            </w:r>
                            <w:r>
                              <w:rPr>
                                <w:color w:val="231F20"/>
                                <w:spacing w:val="-10"/>
                                <w:sz w:val="15"/>
                              </w:rPr>
                              <w:t> </w:t>
                            </w:r>
                            <w:r>
                              <w:rPr>
                                <w:color w:val="231F20"/>
                                <w:spacing w:val="-2"/>
                                <w:sz w:val="15"/>
                              </w:rPr>
                              <w:t>(particularly</w:t>
                            </w:r>
                            <w:r>
                              <w:rPr>
                                <w:color w:val="231F20"/>
                                <w:spacing w:val="-9"/>
                                <w:sz w:val="15"/>
                              </w:rPr>
                              <w:t> </w:t>
                            </w:r>
                            <w:r>
                              <w:rPr>
                                <w:color w:val="231F20"/>
                                <w:spacing w:val="-2"/>
                                <w:sz w:val="15"/>
                              </w:rPr>
                              <w:t>in</w:t>
                            </w:r>
                            <w:r>
                              <w:rPr>
                                <w:color w:val="231F20"/>
                                <w:spacing w:val="-9"/>
                                <w:sz w:val="15"/>
                              </w:rPr>
                              <w:t> </w:t>
                            </w:r>
                            <w:r>
                              <w:rPr>
                                <w:color w:val="231F20"/>
                                <w:spacing w:val="-2"/>
                                <w:sz w:val="15"/>
                              </w:rPr>
                              <w:t>the</w:t>
                            </w:r>
                            <w:r>
                              <w:rPr>
                                <w:color w:val="231F20"/>
                                <w:spacing w:val="-10"/>
                                <w:sz w:val="15"/>
                              </w:rPr>
                              <w:t> </w:t>
                            </w:r>
                            <w:r>
                              <w:rPr>
                                <w:color w:val="231F20"/>
                                <w:spacing w:val="-2"/>
                                <w:sz w:val="15"/>
                              </w:rPr>
                              <w:t>midbrain</w:t>
                            </w:r>
                            <w:r>
                              <w:rPr>
                                <w:color w:val="231F20"/>
                                <w:spacing w:val="-9"/>
                                <w:sz w:val="15"/>
                              </w:rPr>
                              <w:t> </w:t>
                            </w:r>
                            <w:r>
                              <w:rPr>
                                <w:color w:val="231F20"/>
                                <w:spacing w:val="-2"/>
                                <w:sz w:val="15"/>
                              </w:rPr>
                              <w:t>or</w:t>
                            </w:r>
                            <w:r>
                              <w:rPr>
                                <w:color w:val="231F20"/>
                                <w:spacing w:val="-9"/>
                                <w:sz w:val="15"/>
                              </w:rPr>
                              <w:t> </w:t>
                            </w:r>
                            <w:r>
                              <w:rPr>
                                <w:color w:val="231F20"/>
                                <w:spacing w:val="-2"/>
                                <w:sz w:val="15"/>
                              </w:rPr>
                              <w:t>cerebellum) </w:t>
                            </w:r>
                            <w:r>
                              <w:rPr>
                                <w:color w:val="231F20"/>
                                <w:sz w:val="15"/>
                              </w:rPr>
                              <w:t>Multiple sclerosis</w:t>
                            </w:r>
                          </w:p>
                        </w:tc>
                      </w:tr>
                      <w:tr>
                        <w:trPr>
                          <w:trHeight w:val="126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0"/>
                                <w:sz w:val="15"/>
                              </w:rPr>
                              <w:t>HEREDITARY/DEGENERATIVE</w:t>
                            </w:r>
                          </w:p>
                          <w:p>
                            <w:pPr>
                              <w:pStyle w:val="TableParagraph"/>
                              <w:spacing w:line="230" w:lineRule="auto" w:before="3"/>
                              <w:ind w:left="74" w:right="2993"/>
                              <w:rPr>
                                <w:sz w:val="15"/>
                              </w:rPr>
                            </w:pPr>
                            <w:r>
                              <w:rPr>
                                <w:color w:val="231F20"/>
                                <w:spacing w:val="-2"/>
                                <w:sz w:val="15"/>
                              </w:rPr>
                              <w:t>Familial</w:t>
                            </w:r>
                            <w:r>
                              <w:rPr>
                                <w:color w:val="231F20"/>
                                <w:spacing w:val="-10"/>
                                <w:sz w:val="15"/>
                              </w:rPr>
                              <w:t> </w:t>
                            </w:r>
                            <w:r>
                              <w:rPr>
                                <w:color w:val="231F20"/>
                                <w:spacing w:val="-2"/>
                                <w:sz w:val="15"/>
                              </w:rPr>
                              <w:t>essential</w:t>
                            </w:r>
                            <w:r>
                              <w:rPr>
                                <w:color w:val="231F20"/>
                                <w:spacing w:val="-9"/>
                                <w:sz w:val="15"/>
                              </w:rPr>
                              <w:t> </w:t>
                            </w:r>
                            <w:r>
                              <w:rPr>
                                <w:color w:val="231F20"/>
                                <w:spacing w:val="-2"/>
                                <w:sz w:val="15"/>
                              </w:rPr>
                              <w:t>tremor </w:t>
                            </w:r>
                            <w:r>
                              <w:rPr>
                                <w:color w:val="231F20"/>
                                <w:sz w:val="15"/>
                              </w:rPr>
                              <w:t>Fragile X premutation Wilson disease Huntington disease</w:t>
                            </w:r>
                          </w:p>
                          <w:p>
                            <w:pPr>
                              <w:pStyle w:val="TableParagraph"/>
                              <w:spacing w:line="230" w:lineRule="auto" w:before="3"/>
                              <w:ind w:left="74" w:right="1733"/>
                              <w:rPr>
                                <w:sz w:val="15"/>
                              </w:rPr>
                            </w:pPr>
                            <w:r>
                              <w:rPr>
                                <w:color w:val="231F20"/>
                                <w:spacing w:val="-2"/>
                                <w:sz w:val="15"/>
                              </w:rPr>
                              <w:t>Juvenile</w:t>
                            </w:r>
                            <w:r>
                              <w:rPr>
                                <w:color w:val="231F20"/>
                                <w:spacing w:val="-10"/>
                                <w:sz w:val="15"/>
                              </w:rPr>
                              <w:t> </w:t>
                            </w:r>
                            <w:r>
                              <w:rPr>
                                <w:color w:val="231F20"/>
                                <w:spacing w:val="-2"/>
                                <w:sz w:val="15"/>
                              </w:rPr>
                              <w:t>parkinsonism</w:t>
                            </w:r>
                            <w:r>
                              <w:rPr>
                                <w:color w:val="231F20"/>
                                <w:spacing w:val="-9"/>
                                <w:sz w:val="15"/>
                              </w:rPr>
                              <w:t> </w:t>
                            </w:r>
                            <w:r>
                              <w:rPr>
                                <w:color w:val="231F20"/>
                                <w:spacing w:val="-2"/>
                                <w:sz w:val="15"/>
                              </w:rPr>
                              <w:t>(tremor</w:t>
                            </w:r>
                            <w:r>
                              <w:rPr>
                                <w:color w:val="231F20"/>
                                <w:spacing w:val="-9"/>
                                <w:sz w:val="15"/>
                              </w:rPr>
                              <w:t> </w:t>
                            </w:r>
                            <w:r>
                              <w:rPr>
                                <w:color w:val="231F20"/>
                                <w:spacing w:val="-2"/>
                                <w:sz w:val="15"/>
                              </w:rPr>
                              <w:t>is</w:t>
                            </w:r>
                            <w:r>
                              <w:rPr>
                                <w:color w:val="231F20"/>
                                <w:spacing w:val="-10"/>
                                <w:sz w:val="15"/>
                              </w:rPr>
                              <w:t> </w:t>
                            </w:r>
                            <w:r>
                              <w:rPr>
                                <w:color w:val="231F20"/>
                                <w:spacing w:val="-2"/>
                                <w:sz w:val="15"/>
                              </w:rPr>
                              <w:t>rare) </w:t>
                            </w:r>
                            <w:r>
                              <w:rPr>
                                <w:color w:val="231F20"/>
                                <w:sz w:val="15"/>
                              </w:rPr>
                              <w:t>Pallidonigral degeneration</w:t>
                            </w:r>
                          </w:p>
                        </w:tc>
                      </w:tr>
                      <w:tr>
                        <w:trPr>
                          <w:trHeight w:val="193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5"/>
                                <w:sz w:val="15"/>
                              </w:rPr>
                              <w:t>METABOLIC</w:t>
                            </w:r>
                          </w:p>
                          <w:p>
                            <w:pPr>
                              <w:pStyle w:val="TableParagraph"/>
                              <w:spacing w:line="169" w:lineRule="exact"/>
                              <w:ind w:left="74"/>
                              <w:rPr>
                                <w:sz w:val="15"/>
                              </w:rPr>
                            </w:pPr>
                            <w:r>
                              <w:rPr>
                                <w:color w:val="231F20"/>
                                <w:spacing w:val="-2"/>
                                <w:sz w:val="15"/>
                              </w:rPr>
                              <w:t>Hyperthyroidism</w:t>
                            </w:r>
                          </w:p>
                          <w:p>
                            <w:pPr>
                              <w:pStyle w:val="TableParagraph"/>
                              <w:spacing w:line="230" w:lineRule="auto" w:before="2"/>
                              <w:ind w:left="186" w:hanging="112"/>
                              <w:rPr>
                                <w:sz w:val="15"/>
                              </w:rPr>
                            </w:pPr>
                            <w:r>
                              <w:rPr>
                                <w:color w:val="231F20"/>
                                <w:sz w:val="15"/>
                              </w:rPr>
                              <w:t>Hyperadrenergic</w:t>
                            </w:r>
                            <w:r>
                              <w:rPr>
                                <w:color w:val="231F20"/>
                                <w:spacing w:val="-8"/>
                                <w:sz w:val="15"/>
                              </w:rPr>
                              <w:t> </w:t>
                            </w:r>
                            <w:r>
                              <w:rPr>
                                <w:color w:val="231F20"/>
                                <w:sz w:val="15"/>
                              </w:rPr>
                              <w:t>state</w:t>
                            </w:r>
                            <w:r>
                              <w:rPr>
                                <w:color w:val="231F20"/>
                                <w:spacing w:val="-8"/>
                                <w:sz w:val="15"/>
                              </w:rPr>
                              <w:t> </w:t>
                            </w:r>
                            <w:r>
                              <w:rPr>
                                <w:color w:val="231F20"/>
                                <w:sz w:val="15"/>
                              </w:rPr>
                              <w:t>(including</w:t>
                            </w:r>
                            <w:r>
                              <w:rPr>
                                <w:color w:val="231F20"/>
                                <w:spacing w:val="-8"/>
                                <w:sz w:val="15"/>
                              </w:rPr>
                              <w:t> </w:t>
                            </w:r>
                            <w:r>
                              <w:rPr>
                                <w:color w:val="231F20"/>
                                <w:sz w:val="15"/>
                              </w:rPr>
                              <w:t>pheochromocytoma</w:t>
                            </w:r>
                            <w:r>
                              <w:rPr>
                                <w:color w:val="231F20"/>
                                <w:spacing w:val="-8"/>
                                <w:sz w:val="15"/>
                              </w:rPr>
                              <w:t> </w:t>
                            </w:r>
                            <w:r>
                              <w:rPr>
                                <w:color w:val="231F20"/>
                                <w:sz w:val="15"/>
                              </w:rPr>
                              <w:t>and </w:t>
                            </w:r>
                            <w:r>
                              <w:rPr>
                                <w:color w:val="231F20"/>
                                <w:spacing w:val="-2"/>
                                <w:sz w:val="15"/>
                              </w:rPr>
                              <w:t>neuroblastoma)</w:t>
                            </w:r>
                          </w:p>
                          <w:p>
                            <w:pPr>
                              <w:pStyle w:val="TableParagraph"/>
                              <w:spacing w:line="230" w:lineRule="auto" w:before="2"/>
                              <w:ind w:left="74" w:right="2993"/>
                              <w:rPr>
                                <w:sz w:val="15"/>
                              </w:rPr>
                            </w:pPr>
                            <w:r>
                              <w:rPr>
                                <w:color w:val="231F20"/>
                                <w:spacing w:val="-2"/>
                                <w:sz w:val="15"/>
                              </w:rPr>
                              <w:t>Hypomagnesemia Hypocalcemia Hypoglycemia</w:t>
                            </w:r>
                          </w:p>
                          <w:p>
                            <w:pPr>
                              <w:pStyle w:val="TableParagraph"/>
                              <w:spacing w:line="230" w:lineRule="auto" w:before="2"/>
                              <w:ind w:left="74" w:right="2729"/>
                              <w:rPr>
                                <w:sz w:val="15"/>
                              </w:rPr>
                            </w:pPr>
                            <w:r>
                              <w:rPr>
                                <w:color w:val="231F20"/>
                                <w:sz w:val="15"/>
                              </w:rPr>
                              <w:t>Hepatic encephalopathy Vitamin B</w:t>
                            </w:r>
                            <w:r>
                              <w:rPr>
                                <w:color w:val="231F20"/>
                                <w:sz w:val="15"/>
                                <w:vertAlign w:val="subscript"/>
                              </w:rPr>
                              <w:t>12</w:t>
                            </w:r>
                            <w:r>
                              <w:rPr>
                                <w:color w:val="231F20"/>
                                <w:sz w:val="15"/>
                                <w:vertAlign w:val="baseline"/>
                              </w:rPr>
                              <w:t> deficiency Inborn</w:t>
                            </w:r>
                            <w:r>
                              <w:rPr>
                                <w:color w:val="231F20"/>
                                <w:spacing w:val="-12"/>
                                <w:sz w:val="15"/>
                                <w:vertAlign w:val="baseline"/>
                              </w:rPr>
                              <w:t> </w:t>
                            </w:r>
                            <w:r>
                              <w:rPr>
                                <w:color w:val="231F20"/>
                                <w:sz w:val="15"/>
                                <w:vertAlign w:val="baseline"/>
                              </w:rPr>
                              <w:t>errors</w:t>
                            </w:r>
                            <w:r>
                              <w:rPr>
                                <w:color w:val="231F20"/>
                                <w:spacing w:val="-11"/>
                                <w:sz w:val="15"/>
                                <w:vertAlign w:val="baseline"/>
                              </w:rPr>
                              <w:t> </w:t>
                            </w:r>
                            <w:r>
                              <w:rPr>
                                <w:color w:val="231F20"/>
                                <w:sz w:val="15"/>
                                <w:vertAlign w:val="baseline"/>
                              </w:rPr>
                              <w:t>of</w:t>
                            </w:r>
                            <w:r>
                              <w:rPr>
                                <w:color w:val="231F20"/>
                                <w:spacing w:val="-11"/>
                                <w:sz w:val="15"/>
                                <w:vertAlign w:val="baseline"/>
                              </w:rPr>
                              <w:t> </w:t>
                            </w:r>
                            <w:r>
                              <w:rPr>
                                <w:color w:val="231F20"/>
                                <w:sz w:val="15"/>
                                <w:vertAlign w:val="baseline"/>
                              </w:rPr>
                              <w:t>metabolism Mitochondrial disorders</w:t>
                            </w:r>
                          </w:p>
                        </w:tc>
                      </w:tr>
                      <w:tr>
                        <w:trPr>
                          <w:trHeight w:val="126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spacing w:val="-2"/>
                                <w:w w:val="110"/>
                                <w:sz w:val="15"/>
                              </w:rPr>
                              <w:t>DRUGS/TOXINS</w:t>
                            </w:r>
                          </w:p>
                          <w:p>
                            <w:pPr>
                              <w:pStyle w:val="TableParagraph"/>
                              <w:spacing w:line="230" w:lineRule="auto" w:before="3"/>
                              <w:ind w:left="186" w:hanging="112"/>
                              <w:rPr>
                                <w:sz w:val="15"/>
                              </w:rPr>
                            </w:pPr>
                            <w:r>
                              <w:rPr>
                                <w:color w:val="231F20"/>
                                <w:sz w:val="15"/>
                              </w:rPr>
                              <w:t>Valproate, phenytoin, carbamazepine, lamotrigine, gabapentin, lithium,</w:t>
                            </w:r>
                            <w:r>
                              <w:rPr>
                                <w:color w:val="231F20"/>
                                <w:spacing w:val="-12"/>
                                <w:sz w:val="15"/>
                              </w:rPr>
                              <w:t> </w:t>
                            </w:r>
                            <w:r>
                              <w:rPr>
                                <w:color w:val="231F20"/>
                                <w:sz w:val="15"/>
                              </w:rPr>
                              <w:t>tricyclic</w:t>
                            </w:r>
                            <w:r>
                              <w:rPr>
                                <w:color w:val="231F20"/>
                                <w:spacing w:val="-11"/>
                                <w:sz w:val="15"/>
                              </w:rPr>
                              <w:t> </w:t>
                            </w:r>
                            <w:r>
                              <w:rPr>
                                <w:color w:val="231F20"/>
                                <w:sz w:val="15"/>
                              </w:rPr>
                              <w:t>antidepressants,</w:t>
                            </w:r>
                            <w:r>
                              <w:rPr>
                                <w:color w:val="231F20"/>
                                <w:spacing w:val="-11"/>
                                <w:sz w:val="15"/>
                              </w:rPr>
                              <w:t> </w:t>
                            </w:r>
                            <w:r>
                              <w:rPr>
                                <w:color w:val="231F20"/>
                                <w:sz w:val="15"/>
                              </w:rPr>
                              <w:t>stimulants</w:t>
                            </w:r>
                            <w:r>
                              <w:rPr>
                                <w:color w:val="231F20"/>
                                <w:spacing w:val="-12"/>
                                <w:sz w:val="15"/>
                              </w:rPr>
                              <w:t> </w:t>
                            </w:r>
                            <w:r>
                              <w:rPr>
                                <w:color w:val="231F20"/>
                                <w:sz w:val="15"/>
                              </w:rPr>
                              <w:t>(cocaine, </w:t>
                            </w:r>
                            <w:r>
                              <w:rPr>
                                <w:color w:val="231F20"/>
                                <w:spacing w:val="-2"/>
                                <w:sz w:val="15"/>
                              </w:rPr>
                              <w:t>amphetamine,</w:t>
                            </w:r>
                            <w:r>
                              <w:rPr>
                                <w:color w:val="231F20"/>
                                <w:spacing w:val="-4"/>
                                <w:sz w:val="15"/>
                              </w:rPr>
                              <w:t> </w:t>
                            </w:r>
                            <w:r>
                              <w:rPr>
                                <w:color w:val="231F20"/>
                                <w:spacing w:val="-2"/>
                                <w:sz w:val="15"/>
                              </w:rPr>
                              <w:t>caffeine,</w:t>
                            </w:r>
                            <w:r>
                              <w:rPr>
                                <w:color w:val="231F20"/>
                                <w:spacing w:val="-4"/>
                                <w:sz w:val="15"/>
                              </w:rPr>
                              <w:t> </w:t>
                            </w:r>
                            <w:r>
                              <w:rPr>
                                <w:color w:val="231F20"/>
                                <w:spacing w:val="-2"/>
                                <w:sz w:val="15"/>
                              </w:rPr>
                              <w:t>thyroxine,</w:t>
                            </w:r>
                            <w:r>
                              <w:rPr>
                                <w:color w:val="231F20"/>
                                <w:spacing w:val="-4"/>
                                <w:sz w:val="15"/>
                              </w:rPr>
                              <w:t> </w:t>
                            </w:r>
                            <w:r>
                              <w:rPr>
                                <w:color w:val="231F20"/>
                                <w:spacing w:val="-2"/>
                                <w:sz w:val="15"/>
                              </w:rPr>
                              <w:t>bronchodilators),</w:t>
                            </w:r>
                            <w:r>
                              <w:rPr>
                                <w:color w:val="231F20"/>
                                <w:spacing w:val="-4"/>
                                <w:sz w:val="15"/>
                              </w:rPr>
                              <w:t> </w:t>
                            </w:r>
                            <w:r>
                              <w:rPr>
                                <w:color w:val="231F20"/>
                                <w:spacing w:val="-2"/>
                                <w:sz w:val="15"/>
                              </w:rPr>
                              <w:t>neuroleptics, </w:t>
                            </w:r>
                            <w:r>
                              <w:rPr>
                                <w:color w:val="231F20"/>
                                <w:sz w:val="15"/>
                              </w:rPr>
                              <w:t>cyclosporine,</w:t>
                            </w:r>
                            <w:r>
                              <w:rPr>
                                <w:color w:val="231F20"/>
                                <w:spacing w:val="-5"/>
                                <w:sz w:val="15"/>
                              </w:rPr>
                              <w:t> </w:t>
                            </w:r>
                            <w:r>
                              <w:rPr>
                                <w:color w:val="231F20"/>
                                <w:sz w:val="15"/>
                              </w:rPr>
                              <w:t>toluene,</w:t>
                            </w:r>
                            <w:r>
                              <w:rPr>
                                <w:color w:val="231F20"/>
                                <w:spacing w:val="-5"/>
                                <w:sz w:val="15"/>
                              </w:rPr>
                              <w:t> </w:t>
                            </w:r>
                            <w:r>
                              <w:rPr>
                                <w:color w:val="231F20"/>
                                <w:sz w:val="15"/>
                              </w:rPr>
                              <w:t>mercury,</w:t>
                            </w:r>
                            <w:r>
                              <w:rPr>
                                <w:color w:val="231F20"/>
                                <w:spacing w:val="-5"/>
                                <w:sz w:val="15"/>
                              </w:rPr>
                              <w:t> </w:t>
                            </w:r>
                            <w:r>
                              <w:rPr>
                                <w:color w:val="231F20"/>
                                <w:sz w:val="15"/>
                              </w:rPr>
                              <w:t>thallium,</w:t>
                            </w:r>
                            <w:r>
                              <w:rPr>
                                <w:color w:val="231F20"/>
                                <w:spacing w:val="-5"/>
                                <w:sz w:val="15"/>
                              </w:rPr>
                              <w:t> </w:t>
                            </w:r>
                            <w:r>
                              <w:rPr>
                                <w:color w:val="231F20"/>
                                <w:sz w:val="15"/>
                              </w:rPr>
                              <w:t>amiodarone,</w:t>
                            </w:r>
                            <w:r>
                              <w:rPr>
                                <w:color w:val="231F20"/>
                                <w:spacing w:val="-5"/>
                                <w:sz w:val="15"/>
                              </w:rPr>
                              <w:t> </w:t>
                            </w:r>
                            <w:r>
                              <w:rPr>
                                <w:color w:val="231F20"/>
                                <w:sz w:val="15"/>
                              </w:rPr>
                              <w:t>nicotine, </w:t>
                            </w:r>
                            <w:r>
                              <w:rPr>
                                <w:color w:val="231F20"/>
                                <w:spacing w:val="-2"/>
                                <w:sz w:val="15"/>
                              </w:rPr>
                              <w:t>lead,</w:t>
                            </w:r>
                            <w:r>
                              <w:rPr>
                                <w:color w:val="231F20"/>
                                <w:spacing w:val="-8"/>
                                <w:sz w:val="15"/>
                              </w:rPr>
                              <w:t> </w:t>
                            </w:r>
                            <w:r>
                              <w:rPr>
                                <w:color w:val="231F20"/>
                                <w:spacing w:val="-2"/>
                                <w:sz w:val="15"/>
                              </w:rPr>
                              <w:t>manganese,</w:t>
                            </w:r>
                            <w:r>
                              <w:rPr>
                                <w:color w:val="231F20"/>
                                <w:spacing w:val="-8"/>
                                <w:sz w:val="15"/>
                              </w:rPr>
                              <w:t> </w:t>
                            </w:r>
                            <w:r>
                              <w:rPr>
                                <w:color w:val="231F20"/>
                                <w:spacing w:val="-2"/>
                                <w:sz w:val="15"/>
                              </w:rPr>
                              <w:t>arsenic,</w:t>
                            </w:r>
                            <w:r>
                              <w:rPr>
                                <w:color w:val="231F20"/>
                                <w:spacing w:val="-8"/>
                                <w:sz w:val="15"/>
                              </w:rPr>
                              <w:t> </w:t>
                            </w:r>
                            <w:r>
                              <w:rPr>
                                <w:color w:val="231F20"/>
                                <w:spacing w:val="-2"/>
                                <w:sz w:val="15"/>
                              </w:rPr>
                              <w:t>cyanide,</w:t>
                            </w:r>
                            <w:r>
                              <w:rPr>
                                <w:color w:val="231F20"/>
                                <w:spacing w:val="-8"/>
                                <w:sz w:val="15"/>
                              </w:rPr>
                              <w:t> </w:t>
                            </w:r>
                            <w:r>
                              <w:rPr>
                                <w:color w:val="231F20"/>
                                <w:spacing w:val="-2"/>
                                <w:sz w:val="15"/>
                              </w:rPr>
                              <w:t>naphthalene,</w:t>
                            </w:r>
                            <w:r>
                              <w:rPr>
                                <w:color w:val="231F20"/>
                                <w:spacing w:val="-8"/>
                                <w:sz w:val="15"/>
                              </w:rPr>
                              <w:t> </w:t>
                            </w:r>
                            <w:r>
                              <w:rPr>
                                <w:color w:val="231F20"/>
                                <w:spacing w:val="-2"/>
                                <w:sz w:val="15"/>
                              </w:rPr>
                              <w:t>ethanol,</w:t>
                            </w:r>
                            <w:r>
                              <w:rPr>
                                <w:color w:val="231F20"/>
                                <w:spacing w:val="-8"/>
                                <w:sz w:val="15"/>
                              </w:rPr>
                              <w:t> </w:t>
                            </w:r>
                            <w:r>
                              <w:rPr>
                                <w:color w:val="231F20"/>
                                <w:spacing w:val="-2"/>
                                <w:sz w:val="15"/>
                              </w:rPr>
                              <w:t>lindane, </w:t>
                            </w:r>
                            <w:r>
                              <w:rPr>
                                <w:color w:val="231F20"/>
                                <w:sz w:val="15"/>
                              </w:rPr>
                              <w:t>serotonin reuptake inhibitors</w:t>
                            </w:r>
                          </w:p>
                        </w:tc>
                      </w:tr>
                      <w:tr>
                        <w:trPr>
                          <w:trHeight w:val="253" w:hRule="atLeast"/>
                        </w:trPr>
                        <w:tc>
                          <w:tcPr>
                            <w:tcW w:w="4703" w:type="dxa"/>
                            <w:gridSpan w:val="2"/>
                            <w:tcBorders>
                              <w:top w:val="single" w:sz="4" w:space="0" w:color="FFFFFF"/>
                              <w:bottom w:val="single" w:sz="4" w:space="0" w:color="FFFFFF"/>
                            </w:tcBorders>
                            <w:shd w:val="clear" w:color="auto" w:fill="E8F5F1"/>
                          </w:tcPr>
                          <w:p>
                            <w:pPr>
                              <w:pStyle w:val="TableParagraph"/>
                              <w:spacing w:before="43"/>
                              <w:ind w:left="74"/>
                              <w:rPr>
                                <w:sz w:val="15"/>
                              </w:rPr>
                            </w:pPr>
                            <w:r>
                              <w:rPr>
                                <w:color w:val="231F20"/>
                                <w:w w:val="105"/>
                                <w:sz w:val="15"/>
                              </w:rPr>
                              <w:t>PERIPHERAL</w:t>
                            </w:r>
                            <w:r>
                              <w:rPr>
                                <w:color w:val="231F20"/>
                                <w:spacing w:val="23"/>
                                <w:w w:val="110"/>
                                <w:sz w:val="15"/>
                              </w:rPr>
                              <w:t> </w:t>
                            </w:r>
                            <w:r>
                              <w:rPr>
                                <w:color w:val="231F20"/>
                                <w:spacing w:val="-2"/>
                                <w:w w:val="110"/>
                                <w:sz w:val="15"/>
                              </w:rPr>
                              <w:t>NEUROPATHIES</w:t>
                            </w:r>
                          </w:p>
                        </w:tc>
                      </w:tr>
                      <w:tr>
                        <w:trPr>
                          <w:trHeight w:val="248"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spacing w:val="-2"/>
                                <w:w w:val="115"/>
                                <w:sz w:val="15"/>
                              </w:rPr>
                              <w:t>PSYCHOGENIC</w:t>
                            </w:r>
                          </w:p>
                        </w:tc>
                      </w:tr>
                    </w:tbl>
                    <w:p>
                      <w:pPr>
                        <w:pStyle w:val="BodyText"/>
                      </w:pPr>
                    </w:p>
                  </w:txbxContent>
                </v:textbox>
                <w10:wrap type="topAndBottom"/>
              </v:shape>
            </w:pict>
          </mc:Fallback>
        </mc:AlternateContent>
      </w:r>
    </w:p>
    <w:p>
      <w:pPr>
        <w:pStyle w:val="BodyText"/>
        <w:spacing w:after="0"/>
        <w:rPr>
          <w:i/>
          <w:sz w:val="9"/>
        </w:rPr>
        <w:sectPr>
          <w:pgSz w:w="11900" w:h="16840"/>
          <w:pgMar w:header="0" w:footer="0" w:top="720" w:bottom="280" w:left="425" w:right="566"/>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25" w:after="1"/>
        <w:rPr>
          <w:i/>
          <w:sz w:val="20"/>
        </w:rPr>
      </w:pPr>
    </w:p>
    <w:tbl>
      <w:tblPr>
        <w:tblW w:w="0" w:type="auto"/>
        <w:jc w:val="left"/>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2"/>
        <w:gridCol w:w="4474"/>
        <w:gridCol w:w="4044"/>
      </w:tblGrid>
      <w:tr>
        <w:trPr>
          <w:trHeight w:val="541" w:hRule="atLeast"/>
        </w:trPr>
        <w:tc>
          <w:tcPr>
            <w:tcW w:w="1242" w:type="dxa"/>
            <w:tcBorders>
              <w:right w:val="single" w:sz="8" w:space="0" w:color="FFFFFF"/>
            </w:tcBorders>
            <w:shd w:val="clear" w:color="auto" w:fill="231F20"/>
          </w:tcPr>
          <w:p>
            <w:pPr>
              <w:pStyle w:val="TableParagraph"/>
              <w:spacing w:before="89"/>
              <w:ind w:left="131"/>
              <w:rPr>
                <w:b/>
                <w:sz w:val="16"/>
              </w:rPr>
            </w:pPr>
            <w:r>
              <w:rPr>
                <w:b/>
                <w:color w:val="FFFFFF"/>
                <w:sz w:val="16"/>
              </w:rPr>
              <w:t>Table</w:t>
            </w:r>
            <w:r>
              <w:rPr>
                <w:b/>
                <w:color w:val="FFFFFF"/>
                <w:spacing w:val="25"/>
                <w:sz w:val="16"/>
              </w:rPr>
              <w:t> </w:t>
            </w:r>
            <w:r>
              <w:rPr>
                <w:b/>
                <w:color w:val="FFFFFF"/>
                <w:sz w:val="16"/>
              </w:rPr>
              <w:t>593-</w:t>
            </w:r>
            <w:r>
              <w:rPr>
                <w:b/>
                <w:color w:val="FFFFFF"/>
                <w:spacing w:val="-5"/>
                <w:sz w:val="16"/>
              </w:rPr>
              <w:t>19</w:t>
            </w:r>
          </w:p>
        </w:tc>
        <w:tc>
          <w:tcPr>
            <w:tcW w:w="8518" w:type="dxa"/>
            <w:gridSpan w:val="2"/>
            <w:tcBorders>
              <w:left w:val="single" w:sz="8" w:space="0" w:color="FFFFFF"/>
            </w:tcBorders>
            <w:shd w:val="clear" w:color="auto" w:fill="231F20"/>
          </w:tcPr>
          <w:p>
            <w:pPr>
              <w:pStyle w:val="TableParagraph"/>
              <w:spacing w:before="89"/>
              <w:ind w:left="74" w:right="630"/>
              <w:rPr>
                <w:sz w:val="16"/>
              </w:rPr>
            </w:pPr>
            <w:r>
              <w:rPr>
                <w:color w:val="FFFFFF"/>
                <w:w w:val="110"/>
                <w:sz w:val="16"/>
              </w:rPr>
              <w:t>Consensus</w:t>
            </w:r>
            <w:r>
              <w:rPr>
                <w:color w:val="FFFFFF"/>
                <w:spacing w:val="-2"/>
                <w:w w:val="110"/>
                <w:sz w:val="16"/>
              </w:rPr>
              <w:t> </w:t>
            </w:r>
            <w:r>
              <w:rPr>
                <w:color w:val="FFFFFF"/>
                <w:w w:val="110"/>
                <w:sz w:val="16"/>
              </w:rPr>
              <w:t>Case</w:t>
            </w:r>
            <w:r>
              <w:rPr>
                <w:color w:val="FFFFFF"/>
                <w:spacing w:val="-2"/>
                <w:w w:val="110"/>
                <w:sz w:val="16"/>
              </w:rPr>
              <w:t> </w:t>
            </w:r>
            <w:r>
              <w:rPr>
                <w:color w:val="FFFFFF"/>
                <w:w w:val="110"/>
                <w:sz w:val="16"/>
              </w:rPr>
              <w:t>Definition</w:t>
            </w:r>
            <w:r>
              <w:rPr>
                <w:color w:val="FFFFFF"/>
                <w:spacing w:val="-2"/>
                <w:w w:val="110"/>
                <w:sz w:val="16"/>
              </w:rPr>
              <w:t> </w:t>
            </w:r>
            <w:r>
              <w:rPr>
                <w:color w:val="FFFFFF"/>
                <w:w w:val="110"/>
                <w:sz w:val="16"/>
              </w:rPr>
              <w:t>and</w:t>
            </w:r>
            <w:r>
              <w:rPr>
                <w:color w:val="FFFFFF"/>
                <w:spacing w:val="-2"/>
                <w:w w:val="110"/>
                <w:sz w:val="16"/>
              </w:rPr>
              <w:t> </w:t>
            </w:r>
            <w:r>
              <w:rPr>
                <w:color w:val="FFFFFF"/>
                <w:w w:val="110"/>
                <w:sz w:val="16"/>
              </w:rPr>
              <w:t>Modified</w:t>
            </w:r>
            <w:r>
              <w:rPr>
                <w:color w:val="FFFFFF"/>
                <w:spacing w:val="-2"/>
                <w:w w:val="110"/>
                <w:sz w:val="16"/>
              </w:rPr>
              <w:t> </w:t>
            </w:r>
            <w:r>
              <w:rPr>
                <w:color w:val="FFFFFF"/>
                <w:w w:val="110"/>
                <w:sz w:val="16"/>
              </w:rPr>
              <w:t>Consensus</w:t>
            </w:r>
            <w:r>
              <w:rPr>
                <w:color w:val="FFFFFF"/>
                <w:spacing w:val="-2"/>
                <w:w w:val="110"/>
                <w:sz w:val="16"/>
              </w:rPr>
              <w:t> </w:t>
            </w:r>
            <w:r>
              <w:rPr>
                <w:color w:val="FFFFFF"/>
                <w:w w:val="110"/>
                <w:sz w:val="16"/>
              </w:rPr>
              <w:t>Case</w:t>
            </w:r>
            <w:r>
              <w:rPr>
                <w:color w:val="FFFFFF"/>
                <w:spacing w:val="-2"/>
                <w:w w:val="110"/>
                <w:sz w:val="16"/>
              </w:rPr>
              <w:t> </w:t>
            </w:r>
            <w:r>
              <w:rPr>
                <w:color w:val="FFFFFF"/>
                <w:w w:val="110"/>
                <w:sz w:val="16"/>
              </w:rPr>
              <w:t>Definition</w:t>
            </w:r>
            <w:r>
              <w:rPr>
                <w:color w:val="FFFFFF"/>
                <w:spacing w:val="-2"/>
                <w:w w:val="110"/>
                <w:sz w:val="16"/>
              </w:rPr>
              <w:t> </w:t>
            </w:r>
            <w:r>
              <w:rPr>
                <w:color w:val="FFFFFF"/>
                <w:w w:val="110"/>
                <w:sz w:val="16"/>
              </w:rPr>
              <w:t>for</w:t>
            </w:r>
            <w:r>
              <w:rPr>
                <w:color w:val="FFFFFF"/>
                <w:spacing w:val="-2"/>
                <w:w w:val="110"/>
                <w:sz w:val="16"/>
              </w:rPr>
              <w:t> </w:t>
            </w:r>
            <w:r>
              <w:rPr>
                <w:color w:val="FFFFFF"/>
                <w:w w:val="110"/>
                <w:sz w:val="16"/>
              </w:rPr>
              <w:t>Nodding</w:t>
            </w:r>
            <w:r>
              <w:rPr>
                <w:color w:val="FFFFFF"/>
                <w:spacing w:val="-2"/>
                <w:w w:val="110"/>
                <w:sz w:val="16"/>
              </w:rPr>
              <w:t> </w:t>
            </w:r>
            <w:r>
              <w:rPr>
                <w:color w:val="FFFFFF"/>
                <w:w w:val="110"/>
                <w:sz w:val="16"/>
              </w:rPr>
              <w:t>Syndrome—Uganda, </w:t>
            </w:r>
            <w:r>
              <w:rPr>
                <w:color w:val="FFFFFF"/>
                <w:spacing w:val="-2"/>
                <w:w w:val="110"/>
                <w:sz w:val="16"/>
              </w:rPr>
              <w:t>2012-2013</w:t>
            </w:r>
            <w:r>
              <w:rPr>
                <w:color w:val="0080AC"/>
                <w:spacing w:val="-2"/>
                <w:w w:val="110"/>
                <w:sz w:val="16"/>
              </w:rPr>
              <w:t>*</w:t>
            </w:r>
          </w:p>
        </w:tc>
      </w:tr>
      <w:tr>
        <w:trPr>
          <w:trHeight w:val="276" w:hRule="atLeast"/>
        </w:trPr>
        <w:tc>
          <w:tcPr>
            <w:tcW w:w="1242" w:type="dxa"/>
            <w:tcBorders>
              <w:bottom w:val="single" w:sz="4" w:space="0" w:color="231F20"/>
            </w:tcBorders>
            <w:shd w:val="clear" w:color="auto" w:fill="E8F5F1"/>
          </w:tcPr>
          <w:p>
            <w:pPr>
              <w:pStyle w:val="TableParagraph"/>
              <w:spacing w:before="66"/>
              <w:ind w:left="94"/>
              <w:rPr>
                <w:b/>
                <w:sz w:val="15"/>
              </w:rPr>
            </w:pPr>
            <w:r>
              <w:rPr>
                <w:b/>
                <w:color w:val="231F20"/>
                <w:w w:val="110"/>
                <w:sz w:val="15"/>
              </w:rPr>
              <w:t>TYPE</w:t>
            </w:r>
            <w:r>
              <w:rPr>
                <w:b/>
                <w:color w:val="231F20"/>
                <w:spacing w:val="-11"/>
                <w:w w:val="110"/>
                <w:sz w:val="15"/>
              </w:rPr>
              <w:t> </w:t>
            </w:r>
            <w:r>
              <w:rPr>
                <w:b/>
                <w:color w:val="231F20"/>
                <w:w w:val="110"/>
                <w:sz w:val="15"/>
              </w:rPr>
              <w:t>OF</w:t>
            </w:r>
            <w:r>
              <w:rPr>
                <w:b/>
                <w:color w:val="231F20"/>
                <w:spacing w:val="-10"/>
                <w:w w:val="110"/>
                <w:sz w:val="15"/>
              </w:rPr>
              <w:t> </w:t>
            </w:r>
            <w:r>
              <w:rPr>
                <w:b/>
                <w:color w:val="231F20"/>
                <w:spacing w:val="-4"/>
                <w:w w:val="110"/>
                <w:sz w:val="15"/>
              </w:rPr>
              <w:t>CASE</w:t>
            </w:r>
          </w:p>
        </w:tc>
        <w:tc>
          <w:tcPr>
            <w:tcW w:w="4474" w:type="dxa"/>
            <w:tcBorders>
              <w:bottom w:val="single" w:sz="4" w:space="0" w:color="231F20"/>
            </w:tcBorders>
            <w:shd w:val="clear" w:color="auto" w:fill="E8F5F1"/>
          </w:tcPr>
          <w:p>
            <w:pPr>
              <w:pStyle w:val="TableParagraph"/>
              <w:spacing w:before="66"/>
              <w:ind w:left="1156"/>
              <w:rPr>
                <w:b/>
                <w:sz w:val="15"/>
              </w:rPr>
            </w:pPr>
            <w:r>
              <w:rPr>
                <w:b/>
                <w:color w:val="231F20"/>
                <w:w w:val="110"/>
                <w:sz w:val="15"/>
              </w:rPr>
              <w:t>CONSENSUS</w:t>
            </w:r>
            <w:r>
              <w:rPr>
                <w:b/>
                <w:color w:val="231F20"/>
                <w:spacing w:val="22"/>
                <w:w w:val="110"/>
                <w:sz w:val="15"/>
              </w:rPr>
              <w:t> </w:t>
            </w:r>
            <w:r>
              <w:rPr>
                <w:b/>
                <w:color w:val="231F20"/>
                <w:w w:val="110"/>
                <w:sz w:val="15"/>
              </w:rPr>
              <w:t>CASE</w:t>
            </w:r>
            <w:r>
              <w:rPr>
                <w:b/>
                <w:color w:val="231F20"/>
                <w:spacing w:val="22"/>
                <w:w w:val="110"/>
                <w:sz w:val="15"/>
              </w:rPr>
              <w:t> </w:t>
            </w:r>
            <w:r>
              <w:rPr>
                <w:b/>
                <w:color w:val="231F20"/>
                <w:spacing w:val="-2"/>
                <w:w w:val="110"/>
                <w:sz w:val="15"/>
              </w:rPr>
              <w:t>DEFINITION</w:t>
            </w:r>
          </w:p>
        </w:tc>
        <w:tc>
          <w:tcPr>
            <w:tcW w:w="4044" w:type="dxa"/>
            <w:tcBorders>
              <w:bottom w:val="single" w:sz="4" w:space="0" w:color="231F20"/>
            </w:tcBorders>
            <w:shd w:val="clear" w:color="auto" w:fill="E8F5F1"/>
          </w:tcPr>
          <w:p>
            <w:pPr>
              <w:pStyle w:val="TableParagraph"/>
              <w:spacing w:before="66"/>
              <w:ind w:left="528"/>
              <w:rPr>
                <w:b/>
                <w:sz w:val="15"/>
              </w:rPr>
            </w:pPr>
            <w:r>
              <w:rPr>
                <w:b/>
                <w:color w:val="231F20"/>
                <w:w w:val="115"/>
                <w:sz w:val="15"/>
              </w:rPr>
              <w:t>MODIFIED</w:t>
            </w:r>
            <w:r>
              <w:rPr>
                <w:b/>
                <w:color w:val="231F20"/>
                <w:spacing w:val="-9"/>
                <w:w w:val="115"/>
                <w:sz w:val="15"/>
              </w:rPr>
              <w:t> </w:t>
            </w:r>
            <w:r>
              <w:rPr>
                <w:b/>
                <w:color w:val="231F20"/>
                <w:w w:val="115"/>
                <w:sz w:val="15"/>
              </w:rPr>
              <w:t>CONSENSUS</w:t>
            </w:r>
            <w:r>
              <w:rPr>
                <w:b/>
                <w:color w:val="231F20"/>
                <w:spacing w:val="-8"/>
                <w:w w:val="115"/>
                <w:sz w:val="15"/>
              </w:rPr>
              <w:t> </w:t>
            </w:r>
            <w:r>
              <w:rPr>
                <w:b/>
                <w:color w:val="231F20"/>
                <w:w w:val="115"/>
                <w:sz w:val="15"/>
              </w:rPr>
              <w:t>CASE</w:t>
            </w:r>
            <w:r>
              <w:rPr>
                <w:b/>
                <w:color w:val="231F20"/>
                <w:spacing w:val="-8"/>
                <w:w w:val="115"/>
                <w:sz w:val="15"/>
              </w:rPr>
              <w:t> </w:t>
            </w:r>
            <w:r>
              <w:rPr>
                <w:b/>
                <w:color w:val="231F20"/>
                <w:spacing w:val="-2"/>
                <w:w w:val="115"/>
                <w:sz w:val="15"/>
              </w:rPr>
              <w:t>DEFINITION</w:t>
            </w:r>
          </w:p>
        </w:tc>
      </w:tr>
      <w:tr>
        <w:trPr>
          <w:trHeight w:val="593" w:hRule="atLeast"/>
        </w:trPr>
        <w:tc>
          <w:tcPr>
            <w:tcW w:w="1242" w:type="dxa"/>
            <w:tcBorders>
              <w:top w:val="single" w:sz="4" w:space="0" w:color="231F20"/>
              <w:bottom w:val="single" w:sz="4" w:space="0" w:color="FFFFFF"/>
            </w:tcBorders>
            <w:shd w:val="clear" w:color="auto" w:fill="E8F5F1"/>
          </w:tcPr>
          <w:p>
            <w:pPr>
              <w:pStyle w:val="TableParagraph"/>
              <w:spacing w:before="47"/>
              <w:ind w:left="94"/>
              <w:rPr>
                <w:sz w:val="15"/>
              </w:rPr>
            </w:pPr>
            <w:r>
              <w:rPr>
                <w:color w:val="231F20"/>
                <w:sz w:val="15"/>
              </w:rPr>
              <w:t>Suspected</w:t>
            </w:r>
            <w:r>
              <w:rPr>
                <w:color w:val="231F20"/>
                <w:spacing w:val="14"/>
                <w:sz w:val="15"/>
              </w:rPr>
              <w:t> </w:t>
            </w:r>
            <w:r>
              <w:rPr>
                <w:color w:val="231F20"/>
                <w:spacing w:val="-4"/>
                <w:sz w:val="15"/>
              </w:rPr>
              <w:t>case</w:t>
            </w:r>
          </w:p>
        </w:tc>
        <w:tc>
          <w:tcPr>
            <w:tcW w:w="4474" w:type="dxa"/>
            <w:tcBorders>
              <w:top w:val="single" w:sz="4" w:space="0" w:color="231F20"/>
              <w:bottom w:val="single" w:sz="4" w:space="0" w:color="FFFFFF"/>
            </w:tcBorders>
            <w:shd w:val="clear" w:color="auto" w:fill="E8F5F1"/>
          </w:tcPr>
          <w:p>
            <w:pPr>
              <w:pStyle w:val="TableParagraph"/>
              <w:spacing w:line="230" w:lineRule="auto" w:before="52"/>
              <w:ind w:left="476" w:right="183" w:hanging="112"/>
              <w:rPr>
                <w:sz w:val="15"/>
              </w:rPr>
            </w:pPr>
            <w:r>
              <w:rPr>
                <w:color w:val="231F20"/>
                <w:sz w:val="15"/>
              </w:rPr>
              <w:t>Reported head nodding (repetitive involuntary drops of the</w:t>
            </w:r>
            <w:r>
              <w:rPr>
                <w:color w:val="231F20"/>
                <w:spacing w:val="-5"/>
                <w:sz w:val="15"/>
              </w:rPr>
              <w:t> </w:t>
            </w:r>
            <w:r>
              <w:rPr>
                <w:color w:val="231F20"/>
                <w:sz w:val="15"/>
              </w:rPr>
              <w:t>head</w:t>
            </w:r>
            <w:r>
              <w:rPr>
                <w:color w:val="231F20"/>
                <w:spacing w:val="-5"/>
                <w:sz w:val="15"/>
              </w:rPr>
              <w:t> </w:t>
            </w:r>
            <w:r>
              <w:rPr>
                <w:color w:val="231F20"/>
                <w:sz w:val="15"/>
              </w:rPr>
              <w:t>toward</w:t>
            </w:r>
            <w:r>
              <w:rPr>
                <w:color w:val="231F20"/>
                <w:spacing w:val="-5"/>
                <w:sz w:val="15"/>
              </w:rPr>
              <w:t> </w:t>
            </w:r>
            <w:r>
              <w:rPr>
                <w:color w:val="231F20"/>
                <w:sz w:val="15"/>
              </w:rPr>
              <w:t>the</w:t>
            </w:r>
            <w:r>
              <w:rPr>
                <w:color w:val="231F20"/>
                <w:spacing w:val="-5"/>
                <w:sz w:val="15"/>
              </w:rPr>
              <w:t> </w:t>
            </w:r>
            <w:r>
              <w:rPr>
                <w:color w:val="231F20"/>
                <w:sz w:val="15"/>
              </w:rPr>
              <w:t>chest</w:t>
            </w:r>
            <w:r>
              <w:rPr>
                <w:color w:val="231F20"/>
                <w:spacing w:val="-5"/>
                <w:sz w:val="15"/>
              </w:rPr>
              <w:t> </w:t>
            </w:r>
            <w:r>
              <w:rPr>
                <w:color w:val="231F20"/>
                <w:sz w:val="15"/>
              </w:rPr>
              <w:t>on</w:t>
            </w:r>
            <w:r>
              <w:rPr>
                <w:color w:val="231F20"/>
                <w:spacing w:val="-5"/>
                <w:sz w:val="15"/>
              </w:rPr>
              <w:t> </w:t>
            </w:r>
            <w:r>
              <w:rPr>
                <w:color w:val="231F20"/>
                <w:sz w:val="15"/>
              </w:rPr>
              <w:t>2</w:t>
            </w:r>
            <w:r>
              <w:rPr>
                <w:color w:val="231F20"/>
                <w:spacing w:val="-5"/>
                <w:sz w:val="15"/>
              </w:rPr>
              <w:t> </w:t>
            </w:r>
            <w:r>
              <w:rPr>
                <w:color w:val="231F20"/>
                <w:sz w:val="15"/>
              </w:rPr>
              <w:t>or</w:t>
            </w:r>
            <w:r>
              <w:rPr>
                <w:color w:val="231F20"/>
                <w:spacing w:val="-5"/>
                <w:sz w:val="15"/>
              </w:rPr>
              <w:t> </w:t>
            </w:r>
            <w:r>
              <w:rPr>
                <w:color w:val="231F20"/>
                <w:sz w:val="15"/>
              </w:rPr>
              <w:t>more</w:t>
            </w:r>
            <w:r>
              <w:rPr>
                <w:color w:val="231F20"/>
                <w:spacing w:val="-5"/>
                <w:sz w:val="15"/>
              </w:rPr>
              <w:t> </w:t>
            </w:r>
            <w:r>
              <w:rPr>
                <w:color w:val="231F20"/>
                <w:sz w:val="15"/>
              </w:rPr>
              <w:t>occasions)</w:t>
            </w:r>
            <w:r>
              <w:rPr>
                <w:color w:val="231F20"/>
                <w:spacing w:val="-5"/>
                <w:sz w:val="15"/>
              </w:rPr>
              <w:t> </w:t>
            </w:r>
            <w:r>
              <w:rPr>
                <w:color w:val="231F20"/>
                <w:sz w:val="15"/>
              </w:rPr>
              <w:t>in</w:t>
            </w:r>
            <w:r>
              <w:rPr>
                <w:color w:val="231F20"/>
                <w:spacing w:val="-5"/>
                <w:sz w:val="15"/>
              </w:rPr>
              <w:t> </w:t>
            </w:r>
            <w:r>
              <w:rPr>
                <w:color w:val="231F20"/>
                <w:sz w:val="15"/>
              </w:rPr>
              <w:t>a previously normal person</w:t>
            </w:r>
          </w:p>
        </w:tc>
        <w:tc>
          <w:tcPr>
            <w:tcW w:w="4044" w:type="dxa"/>
            <w:tcBorders>
              <w:top w:val="single" w:sz="4" w:space="0" w:color="231F20"/>
              <w:bottom w:val="single" w:sz="4" w:space="0" w:color="FFFFFF"/>
            </w:tcBorders>
            <w:shd w:val="clear" w:color="auto" w:fill="E8F5F1"/>
          </w:tcPr>
          <w:p>
            <w:pPr>
              <w:pStyle w:val="TableParagraph"/>
              <w:spacing w:line="230" w:lineRule="auto" w:before="52"/>
              <w:ind w:left="327" w:right="112" w:hanging="112"/>
              <w:jc w:val="both"/>
              <w:rPr>
                <w:sz w:val="15"/>
              </w:rPr>
            </w:pPr>
            <w:r>
              <w:rPr>
                <w:color w:val="231F20"/>
                <w:sz w:val="15"/>
              </w:rPr>
              <w:t>Reported</w:t>
            </w:r>
            <w:r>
              <w:rPr>
                <w:color w:val="231F20"/>
                <w:spacing w:val="-8"/>
                <w:sz w:val="15"/>
              </w:rPr>
              <w:t> </w:t>
            </w:r>
            <w:r>
              <w:rPr>
                <w:color w:val="231F20"/>
                <w:sz w:val="15"/>
              </w:rPr>
              <w:t>head</w:t>
            </w:r>
            <w:r>
              <w:rPr>
                <w:color w:val="231F20"/>
                <w:spacing w:val="-8"/>
                <w:sz w:val="15"/>
              </w:rPr>
              <w:t> </w:t>
            </w:r>
            <w:r>
              <w:rPr>
                <w:color w:val="231F20"/>
                <w:sz w:val="15"/>
              </w:rPr>
              <w:t>nodding</w:t>
            </w:r>
            <w:r>
              <w:rPr>
                <w:color w:val="231F20"/>
                <w:spacing w:val="-8"/>
                <w:sz w:val="15"/>
              </w:rPr>
              <w:t> </w:t>
            </w:r>
            <w:r>
              <w:rPr>
                <w:color w:val="231F20"/>
                <w:sz w:val="15"/>
              </w:rPr>
              <w:t>(repetitive</w:t>
            </w:r>
            <w:r>
              <w:rPr>
                <w:color w:val="231F20"/>
                <w:spacing w:val="-8"/>
                <w:sz w:val="15"/>
              </w:rPr>
              <w:t> </w:t>
            </w:r>
            <w:r>
              <w:rPr>
                <w:color w:val="231F20"/>
                <w:sz w:val="15"/>
              </w:rPr>
              <w:t>involuntary</w:t>
            </w:r>
            <w:r>
              <w:rPr>
                <w:color w:val="231F20"/>
                <w:spacing w:val="-8"/>
                <w:sz w:val="15"/>
              </w:rPr>
              <w:t> </w:t>
            </w:r>
            <w:r>
              <w:rPr>
                <w:color w:val="231F20"/>
                <w:sz w:val="15"/>
              </w:rPr>
              <w:t>drops</w:t>
            </w:r>
            <w:r>
              <w:rPr>
                <w:color w:val="231F20"/>
                <w:spacing w:val="-8"/>
                <w:sz w:val="15"/>
              </w:rPr>
              <w:t> </w:t>
            </w:r>
            <w:r>
              <w:rPr>
                <w:color w:val="231F20"/>
                <w:sz w:val="15"/>
              </w:rPr>
              <w:t>of the</w:t>
            </w:r>
            <w:r>
              <w:rPr>
                <w:color w:val="231F20"/>
                <w:spacing w:val="-3"/>
                <w:sz w:val="15"/>
              </w:rPr>
              <w:t> </w:t>
            </w:r>
            <w:r>
              <w:rPr>
                <w:color w:val="231F20"/>
                <w:sz w:val="15"/>
              </w:rPr>
              <w:t>head</w:t>
            </w:r>
            <w:r>
              <w:rPr>
                <w:color w:val="231F20"/>
                <w:spacing w:val="-3"/>
                <w:sz w:val="15"/>
              </w:rPr>
              <w:t> </w:t>
            </w:r>
            <w:r>
              <w:rPr>
                <w:color w:val="231F20"/>
                <w:sz w:val="15"/>
              </w:rPr>
              <w:t>toward</w:t>
            </w:r>
            <w:r>
              <w:rPr>
                <w:color w:val="231F20"/>
                <w:spacing w:val="-3"/>
                <w:sz w:val="15"/>
              </w:rPr>
              <w:t> </w:t>
            </w:r>
            <w:r>
              <w:rPr>
                <w:color w:val="231F20"/>
                <w:sz w:val="15"/>
              </w:rPr>
              <w:t>the</w:t>
            </w:r>
            <w:r>
              <w:rPr>
                <w:color w:val="231F20"/>
                <w:spacing w:val="-3"/>
                <w:sz w:val="15"/>
              </w:rPr>
              <w:t> </w:t>
            </w:r>
            <w:r>
              <w:rPr>
                <w:color w:val="231F20"/>
                <w:sz w:val="15"/>
              </w:rPr>
              <w:t>chest</w:t>
            </w:r>
            <w:r>
              <w:rPr>
                <w:color w:val="231F20"/>
                <w:spacing w:val="-3"/>
                <w:sz w:val="15"/>
              </w:rPr>
              <w:t> </w:t>
            </w:r>
            <w:r>
              <w:rPr>
                <w:color w:val="231F20"/>
                <w:sz w:val="15"/>
              </w:rPr>
              <w:t>on</w:t>
            </w:r>
            <w:r>
              <w:rPr>
                <w:color w:val="231F20"/>
                <w:spacing w:val="-3"/>
                <w:sz w:val="15"/>
              </w:rPr>
              <w:t> </w:t>
            </w:r>
            <w:r>
              <w:rPr>
                <w:color w:val="231F20"/>
                <w:sz w:val="15"/>
              </w:rPr>
              <w:t>2</w:t>
            </w:r>
            <w:r>
              <w:rPr>
                <w:color w:val="231F20"/>
                <w:spacing w:val="-3"/>
                <w:sz w:val="15"/>
              </w:rPr>
              <w:t> </w:t>
            </w:r>
            <w:r>
              <w:rPr>
                <w:color w:val="231F20"/>
                <w:sz w:val="15"/>
              </w:rPr>
              <w:t>or</w:t>
            </w:r>
            <w:r>
              <w:rPr>
                <w:color w:val="231F20"/>
                <w:spacing w:val="-3"/>
                <w:sz w:val="15"/>
              </w:rPr>
              <w:t> </w:t>
            </w:r>
            <w:r>
              <w:rPr>
                <w:color w:val="231F20"/>
                <w:sz w:val="15"/>
              </w:rPr>
              <w:t>more</w:t>
            </w:r>
            <w:r>
              <w:rPr>
                <w:color w:val="231F20"/>
                <w:spacing w:val="-3"/>
                <w:sz w:val="15"/>
              </w:rPr>
              <w:t> </w:t>
            </w:r>
            <w:r>
              <w:rPr>
                <w:color w:val="231F20"/>
                <w:sz w:val="15"/>
              </w:rPr>
              <w:t>occasions)</w:t>
            </w:r>
            <w:r>
              <w:rPr>
                <w:color w:val="231F20"/>
                <w:spacing w:val="-3"/>
                <w:sz w:val="15"/>
              </w:rPr>
              <w:t> </w:t>
            </w:r>
            <w:r>
              <w:rPr>
                <w:color w:val="231F20"/>
                <w:sz w:val="15"/>
              </w:rPr>
              <w:t>in a previously normal person</w:t>
            </w:r>
          </w:p>
        </w:tc>
      </w:tr>
      <w:tr>
        <w:trPr>
          <w:trHeight w:val="2101" w:hRule="atLeast"/>
        </w:trPr>
        <w:tc>
          <w:tcPr>
            <w:tcW w:w="1242" w:type="dxa"/>
            <w:tcBorders>
              <w:top w:val="single" w:sz="4" w:space="0" w:color="FFFFFF"/>
              <w:bottom w:val="single" w:sz="4" w:space="0" w:color="FFFFFF"/>
            </w:tcBorders>
            <w:shd w:val="clear" w:color="auto" w:fill="E8F5F1"/>
          </w:tcPr>
          <w:p>
            <w:pPr>
              <w:pStyle w:val="TableParagraph"/>
              <w:spacing w:before="42"/>
              <w:ind w:left="94"/>
              <w:rPr>
                <w:sz w:val="15"/>
              </w:rPr>
            </w:pPr>
            <w:r>
              <w:rPr>
                <w:color w:val="231F20"/>
                <w:sz w:val="15"/>
              </w:rPr>
              <w:t>Probable</w:t>
            </w:r>
            <w:r>
              <w:rPr>
                <w:color w:val="231F20"/>
                <w:spacing w:val="6"/>
                <w:sz w:val="15"/>
              </w:rPr>
              <w:t> </w:t>
            </w:r>
            <w:r>
              <w:rPr>
                <w:color w:val="231F20"/>
                <w:spacing w:val="-4"/>
                <w:sz w:val="15"/>
              </w:rPr>
              <w:t>case</w:t>
            </w:r>
          </w:p>
        </w:tc>
        <w:tc>
          <w:tcPr>
            <w:tcW w:w="4474" w:type="dxa"/>
            <w:tcBorders>
              <w:top w:val="single" w:sz="4" w:space="0" w:color="FFFFFF"/>
              <w:bottom w:val="single" w:sz="4" w:space="0" w:color="FFFFFF"/>
            </w:tcBorders>
            <w:shd w:val="clear" w:color="auto" w:fill="E8F5F1"/>
          </w:tcPr>
          <w:p>
            <w:pPr>
              <w:pStyle w:val="TableParagraph"/>
              <w:spacing w:line="171" w:lineRule="exact" w:before="42"/>
              <w:ind w:left="364"/>
              <w:rPr>
                <w:sz w:val="15"/>
              </w:rPr>
            </w:pPr>
            <w:r>
              <w:rPr>
                <w:color w:val="231F20"/>
                <w:sz w:val="15"/>
              </w:rPr>
              <w:t>Suspected case</w:t>
            </w:r>
            <w:r>
              <w:rPr>
                <w:color w:val="231F20"/>
                <w:spacing w:val="1"/>
                <w:sz w:val="15"/>
              </w:rPr>
              <w:t> </w:t>
            </w:r>
            <w:r>
              <w:rPr>
                <w:color w:val="231F20"/>
                <w:sz w:val="15"/>
              </w:rPr>
              <w:t>of head</w:t>
            </w:r>
            <w:r>
              <w:rPr>
                <w:color w:val="231F20"/>
                <w:spacing w:val="1"/>
                <w:sz w:val="15"/>
              </w:rPr>
              <w:t> </w:t>
            </w:r>
            <w:r>
              <w:rPr>
                <w:color w:val="231F20"/>
                <w:sz w:val="15"/>
              </w:rPr>
              <w:t>nodding, with</w:t>
            </w:r>
            <w:r>
              <w:rPr>
                <w:color w:val="231F20"/>
                <w:spacing w:val="1"/>
                <w:sz w:val="15"/>
              </w:rPr>
              <w:t> </w:t>
            </w:r>
            <w:r>
              <w:rPr>
                <w:color w:val="231F20"/>
                <w:sz w:val="15"/>
              </w:rPr>
              <w:t>both major</w:t>
            </w:r>
            <w:r>
              <w:rPr>
                <w:color w:val="231F20"/>
                <w:spacing w:val="1"/>
                <w:sz w:val="15"/>
              </w:rPr>
              <w:t> </w:t>
            </w:r>
            <w:r>
              <w:rPr>
                <w:color w:val="231F20"/>
                <w:spacing w:val="-2"/>
                <w:sz w:val="15"/>
              </w:rPr>
              <w:t>criteria:</w:t>
            </w:r>
          </w:p>
          <w:p>
            <w:pPr>
              <w:pStyle w:val="TableParagraph"/>
              <w:numPr>
                <w:ilvl w:val="0"/>
                <w:numId w:val="61"/>
              </w:numPr>
              <w:tabs>
                <w:tab w:pos="513" w:val="left" w:leader="none"/>
              </w:tabs>
              <w:spacing w:line="168" w:lineRule="exact" w:before="0" w:after="0"/>
              <w:ind w:left="513" w:right="0" w:hanging="149"/>
              <w:jc w:val="left"/>
              <w:rPr>
                <w:sz w:val="15"/>
              </w:rPr>
            </w:pPr>
            <w:r>
              <w:rPr>
                <w:color w:val="231F20"/>
                <w:sz w:val="15"/>
              </w:rPr>
              <w:t>Age</w:t>
            </w:r>
            <w:r>
              <w:rPr>
                <w:color w:val="231F20"/>
                <w:spacing w:val="7"/>
                <w:sz w:val="15"/>
              </w:rPr>
              <w:t> </w:t>
            </w:r>
            <w:r>
              <w:rPr>
                <w:color w:val="231F20"/>
                <w:sz w:val="15"/>
              </w:rPr>
              <w:t>of</w:t>
            </w:r>
            <w:r>
              <w:rPr>
                <w:color w:val="231F20"/>
                <w:spacing w:val="7"/>
                <w:sz w:val="15"/>
              </w:rPr>
              <w:t> </w:t>
            </w:r>
            <w:r>
              <w:rPr>
                <w:color w:val="231F20"/>
                <w:sz w:val="15"/>
              </w:rPr>
              <w:t>onset</w:t>
            </w:r>
            <w:r>
              <w:rPr>
                <w:color w:val="231F20"/>
                <w:spacing w:val="7"/>
                <w:sz w:val="15"/>
              </w:rPr>
              <w:t> </w:t>
            </w:r>
            <w:r>
              <w:rPr>
                <w:color w:val="231F20"/>
                <w:sz w:val="15"/>
              </w:rPr>
              <w:t>of</w:t>
            </w:r>
            <w:r>
              <w:rPr>
                <w:color w:val="231F20"/>
                <w:spacing w:val="7"/>
                <w:sz w:val="15"/>
              </w:rPr>
              <w:t> </w:t>
            </w:r>
            <w:r>
              <w:rPr>
                <w:color w:val="231F20"/>
                <w:sz w:val="15"/>
              </w:rPr>
              <w:t>nodding</w:t>
            </w:r>
            <w:r>
              <w:rPr>
                <w:color w:val="231F20"/>
                <w:spacing w:val="8"/>
                <w:sz w:val="15"/>
              </w:rPr>
              <w:t> </w:t>
            </w:r>
            <w:r>
              <w:rPr>
                <w:color w:val="231F20"/>
                <w:sz w:val="15"/>
              </w:rPr>
              <w:t>ranging</w:t>
            </w:r>
            <w:r>
              <w:rPr>
                <w:color w:val="231F20"/>
                <w:spacing w:val="7"/>
                <w:sz w:val="15"/>
              </w:rPr>
              <w:t> </w:t>
            </w:r>
            <w:r>
              <w:rPr>
                <w:color w:val="231F20"/>
                <w:sz w:val="15"/>
              </w:rPr>
              <w:t>from</w:t>
            </w:r>
            <w:r>
              <w:rPr>
                <w:color w:val="231F20"/>
                <w:spacing w:val="7"/>
                <w:sz w:val="15"/>
              </w:rPr>
              <w:t> </w:t>
            </w:r>
            <w:r>
              <w:rPr>
                <w:color w:val="231F20"/>
                <w:sz w:val="15"/>
              </w:rPr>
              <w:t>3-18</w:t>
            </w:r>
            <w:r>
              <w:rPr>
                <w:color w:val="231F20"/>
                <w:spacing w:val="7"/>
                <w:sz w:val="15"/>
              </w:rPr>
              <w:t> </w:t>
            </w:r>
            <w:r>
              <w:rPr>
                <w:color w:val="231F20"/>
                <w:spacing w:val="-5"/>
                <w:sz w:val="15"/>
              </w:rPr>
              <w:t>yr</w:t>
            </w:r>
          </w:p>
          <w:p>
            <w:pPr>
              <w:pStyle w:val="TableParagraph"/>
              <w:numPr>
                <w:ilvl w:val="0"/>
                <w:numId w:val="61"/>
              </w:numPr>
              <w:tabs>
                <w:tab w:pos="513" w:val="left" w:leader="none"/>
              </w:tabs>
              <w:spacing w:line="232" w:lineRule="auto" w:before="1" w:after="0"/>
              <w:ind w:left="364" w:right="1119" w:firstLine="0"/>
              <w:jc w:val="left"/>
              <w:rPr>
                <w:sz w:val="15"/>
              </w:rPr>
            </w:pPr>
            <w:r>
              <w:rPr>
                <w:color w:val="231F20"/>
                <w:sz w:val="15"/>
              </w:rPr>
              <w:t>Frequency of nodding 5-20 per minute </w:t>
            </w:r>
            <w:r>
              <w:rPr>
                <w:color w:val="231F20"/>
                <w:spacing w:val="-2"/>
                <w:sz w:val="15"/>
              </w:rPr>
              <w:t>Plus</w:t>
            </w:r>
            <w:r>
              <w:rPr>
                <w:color w:val="231F20"/>
                <w:spacing w:val="-8"/>
                <w:sz w:val="15"/>
              </w:rPr>
              <w:t> </w:t>
            </w:r>
            <w:r>
              <w:rPr>
                <w:color w:val="231F20"/>
                <w:spacing w:val="-2"/>
                <w:sz w:val="15"/>
              </w:rPr>
              <w:t>at</w:t>
            </w:r>
            <w:r>
              <w:rPr>
                <w:color w:val="231F20"/>
                <w:spacing w:val="-8"/>
                <w:sz w:val="15"/>
              </w:rPr>
              <w:t> </w:t>
            </w:r>
            <w:r>
              <w:rPr>
                <w:color w:val="231F20"/>
                <w:spacing w:val="-2"/>
                <w:sz w:val="15"/>
              </w:rPr>
              <w:t>least</w:t>
            </w:r>
            <w:r>
              <w:rPr>
                <w:color w:val="231F20"/>
                <w:spacing w:val="-8"/>
                <w:sz w:val="15"/>
              </w:rPr>
              <w:t> </w:t>
            </w:r>
            <w:r>
              <w:rPr>
                <w:color w:val="231F20"/>
                <w:spacing w:val="-2"/>
                <w:sz w:val="15"/>
              </w:rPr>
              <w:t>1</w:t>
            </w:r>
            <w:r>
              <w:rPr>
                <w:color w:val="231F20"/>
                <w:spacing w:val="-8"/>
                <w:sz w:val="15"/>
              </w:rPr>
              <w:t> </w:t>
            </w:r>
            <w:r>
              <w:rPr>
                <w:color w:val="231F20"/>
                <w:spacing w:val="-2"/>
                <w:sz w:val="15"/>
              </w:rPr>
              <w:t>of</w:t>
            </w:r>
            <w:r>
              <w:rPr>
                <w:color w:val="231F20"/>
                <w:spacing w:val="-8"/>
                <w:sz w:val="15"/>
              </w:rPr>
              <w:t> </w:t>
            </w:r>
            <w:r>
              <w:rPr>
                <w:color w:val="231F20"/>
                <w:spacing w:val="-2"/>
                <w:sz w:val="15"/>
              </w:rPr>
              <w:t>the</w:t>
            </w:r>
            <w:r>
              <w:rPr>
                <w:color w:val="231F20"/>
                <w:spacing w:val="-8"/>
                <w:sz w:val="15"/>
              </w:rPr>
              <w:t> </w:t>
            </w:r>
            <w:r>
              <w:rPr>
                <w:color w:val="231F20"/>
                <w:spacing w:val="-2"/>
                <w:sz w:val="15"/>
              </w:rPr>
              <w:t>following</w:t>
            </w:r>
            <w:r>
              <w:rPr>
                <w:color w:val="231F20"/>
                <w:spacing w:val="-8"/>
                <w:sz w:val="15"/>
              </w:rPr>
              <w:t> </w:t>
            </w:r>
            <w:r>
              <w:rPr>
                <w:color w:val="231F20"/>
                <w:spacing w:val="-2"/>
                <w:sz w:val="15"/>
              </w:rPr>
              <w:t>minor</w:t>
            </w:r>
            <w:r>
              <w:rPr>
                <w:color w:val="231F20"/>
                <w:spacing w:val="-8"/>
                <w:sz w:val="15"/>
              </w:rPr>
              <w:t> </w:t>
            </w:r>
            <w:r>
              <w:rPr>
                <w:color w:val="231F20"/>
                <w:spacing w:val="-2"/>
                <w:sz w:val="15"/>
              </w:rPr>
              <w:t>criteria:</w:t>
            </w:r>
          </w:p>
          <w:p>
            <w:pPr>
              <w:pStyle w:val="TableParagraph"/>
              <w:numPr>
                <w:ilvl w:val="0"/>
                <w:numId w:val="61"/>
              </w:numPr>
              <w:tabs>
                <w:tab w:pos="513" w:val="left" w:leader="none"/>
              </w:tabs>
              <w:spacing w:line="230" w:lineRule="auto" w:before="1" w:after="0"/>
              <w:ind w:left="513" w:right="390" w:hanging="150"/>
              <w:jc w:val="left"/>
              <w:rPr>
                <w:sz w:val="15"/>
              </w:rPr>
            </w:pPr>
            <w:r>
              <w:rPr>
                <w:color w:val="231F20"/>
                <w:sz w:val="15"/>
              </w:rPr>
              <w:t>Other neurologic abnormalities (cognitive decline, school dropout because of cognitive or behavioral problems,</w:t>
            </w:r>
            <w:r>
              <w:rPr>
                <w:color w:val="231F20"/>
                <w:spacing w:val="-12"/>
                <w:sz w:val="15"/>
              </w:rPr>
              <w:t> </w:t>
            </w:r>
            <w:r>
              <w:rPr>
                <w:color w:val="231F20"/>
                <w:sz w:val="15"/>
              </w:rPr>
              <w:t>other</w:t>
            </w:r>
            <w:r>
              <w:rPr>
                <w:color w:val="231F20"/>
                <w:spacing w:val="-11"/>
                <w:sz w:val="15"/>
              </w:rPr>
              <w:t> </w:t>
            </w:r>
            <w:r>
              <w:rPr>
                <w:color w:val="231F20"/>
                <w:sz w:val="15"/>
              </w:rPr>
              <w:t>seizures</w:t>
            </w:r>
            <w:r>
              <w:rPr>
                <w:color w:val="231F20"/>
                <w:spacing w:val="-11"/>
                <w:sz w:val="15"/>
              </w:rPr>
              <w:t> </w:t>
            </w:r>
            <w:r>
              <w:rPr>
                <w:color w:val="231F20"/>
                <w:sz w:val="15"/>
              </w:rPr>
              <w:t>or</w:t>
            </w:r>
            <w:r>
              <w:rPr>
                <w:color w:val="231F20"/>
                <w:spacing w:val="-12"/>
                <w:sz w:val="15"/>
              </w:rPr>
              <w:t> </w:t>
            </w:r>
            <w:r>
              <w:rPr>
                <w:color w:val="231F20"/>
                <w:sz w:val="15"/>
              </w:rPr>
              <w:t>neurologic</w:t>
            </w:r>
            <w:r>
              <w:rPr>
                <w:color w:val="231F20"/>
                <w:spacing w:val="-11"/>
                <w:sz w:val="15"/>
              </w:rPr>
              <w:t> </w:t>
            </w:r>
            <w:r>
              <w:rPr>
                <w:color w:val="231F20"/>
                <w:sz w:val="15"/>
              </w:rPr>
              <w:t>abnormalities)</w:t>
            </w:r>
          </w:p>
          <w:p>
            <w:pPr>
              <w:pStyle w:val="TableParagraph"/>
              <w:numPr>
                <w:ilvl w:val="0"/>
                <w:numId w:val="61"/>
              </w:numPr>
              <w:tabs>
                <w:tab w:pos="513" w:val="left" w:leader="none"/>
              </w:tabs>
              <w:spacing w:line="168" w:lineRule="exact" w:before="0" w:after="0"/>
              <w:ind w:left="513" w:right="0" w:hanging="149"/>
              <w:jc w:val="left"/>
              <w:rPr>
                <w:sz w:val="15"/>
              </w:rPr>
            </w:pPr>
            <w:r>
              <w:rPr>
                <w:color w:val="231F20"/>
                <w:sz w:val="15"/>
              </w:rPr>
              <w:t>Clustering</w:t>
            </w:r>
            <w:r>
              <w:rPr>
                <w:color w:val="231F20"/>
                <w:spacing w:val="-9"/>
                <w:sz w:val="15"/>
              </w:rPr>
              <w:t> </w:t>
            </w:r>
            <w:r>
              <w:rPr>
                <w:color w:val="231F20"/>
                <w:sz w:val="15"/>
              </w:rPr>
              <w:t>in</w:t>
            </w:r>
            <w:r>
              <w:rPr>
                <w:color w:val="231F20"/>
                <w:spacing w:val="-8"/>
                <w:sz w:val="15"/>
              </w:rPr>
              <w:t> </w:t>
            </w:r>
            <w:r>
              <w:rPr>
                <w:color w:val="231F20"/>
                <w:sz w:val="15"/>
              </w:rPr>
              <w:t>space</w:t>
            </w:r>
            <w:r>
              <w:rPr>
                <w:color w:val="231F20"/>
                <w:spacing w:val="-9"/>
                <w:sz w:val="15"/>
              </w:rPr>
              <w:t> </w:t>
            </w:r>
            <w:r>
              <w:rPr>
                <w:color w:val="231F20"/>
                <w:sz w:val="15"/>
              </w:rPr>
              <w:t>or</w:t>
            </w:r>
            <w:r>
              <w:rPr>
                <w:color w:val="231F20"/>
                <w:spacing w:val="-8"/>
                <w:sz w:val="15"/>
              </w:rPr>
              <w:t> </w:t>
            </w:r>
            <w:r>
              <w:rPr>
                <w:color w:val="231F20"/>
                <w:sz w:val="15"/>
              </w:rPr>
              <w:t>time</w:t>
            </w:r>
            <w:r>
              <w:rPr>
                <w:color w:val="231F20"/>
                <w:spacing w:val="-9"/>
                <w:sz w:val="15"/>
              </w:rPr>
              <w:t> </w:t>
            </w:r>
            <w:r>
              <w:rPr>
                <w:color w:val="231F20"/>
                <w:sz w:val="15"/>
              </w:rPr>
              <w:t>with</w:t>
            </w:r>
            <w:r>
              <w:rPr>
                <w:color w:val="231F20"/>
                <w:spacing w:val="-8"/>
                <w:sz w:val="15"/>
              </w:rPr>
              <w:t> </w:t>
            </w:r>
            <w:r>
              <w:rPr>
                <w:color w:val="231F20"/>
                <w:sz w:val="15"/>
              </w:rPr>
              <w:t>similar</w:t>
            </w:r>
            <w:r>
              <w:rPr>
                <w:color w:val="231F20"/>
                <w:spacing w:val="-9"/>
                <w:sz w:val="15"/>
              </w:rPr>
              <w:t> </w:t>
            </w:r>
            <w:r>
              <w:rPr>
                <w:color w:val="231F20"/>
                <w:spacing w:val="-2"/>
                <w:sz w:val="15"/>
              </w:rPr>
              <w:t>cases</w:t>
            </w:r>
          </w:p>
          <w:p>
            <w:pPr>
              <w:pStyle w:val="TableParagraph"/>
              <w:numPr>
                <w:ilvl w:val="0"/>
                <w:numId w:val="61"/>
              </w:numPr>
              <w:tabs>
                <w:tab w:pos="513" w:val="left" w:leader="none"/>
              </w:tabs>
              <w:spacing w:line="168" w:lineRule="exact" w:before="0" w:after="0"/>
              <w:ind w:left="513" w:right="0" w:hanging="149"/>
              <w:jc w:val="left"/>
              <w:rPr>
                <w:sz w:val="15"/>
              </w:rPr>
            </w:pPr>
            <w:r>
              <w:rPr>
                <w:color w:val="231F20"/>
                <w:sz w:val="15"/>
              </w:rPr>
              <w:t>Triggering</w:t>
            </w:r>
            <w:r>
              <w:rPr>
                <w:color w:val="231F20"/>
                <w:spacing w:val="6"/>
                <w:sz w:val="15"/>
              </w:rPr>
              <w:t> </w:t>
            </w:r>
            <w:r>
              <w:rPr>
                <w:color w:val="231F20"/>
                <w:sz w:val="15"/>
              </w:rPr>
              <w:t>by</w:t>
            </w:r>
            <w:r>
              <w:rPr>
                <w:color w:val="231F20"/>
                <w:spacing w:val="7"/>
                <w:sz w:val="15"/>
              </w:rPr>
              <w:t> </w:t>
            </w:r>
            <w:r>
              <w:rPr>
                <w:color w:val="231F20"/>
                <w:sz w:val="15"/>
              </w:rPr>
              <w:t>food</w:t>
            </w:r>
            <w:r>
              <w:rPr>
                <w:color w:val="231F20"/>
                <w:spacing w:val="7"/>
                <w:sz w:val="15"/>
              </w:rPr>
              <w:t> </w:t>
            </w:r>
            <w:r>
              <w:rPr>
                <w:color w:val="231F20"/>
                <w:sz w:val="15"/>
              </w:rPr>
              <w:t>or</w:t>
            </w:r>
            <w:r>
              <w:rPr>
                <w:color w:val="231F20"/>
                <w:spacing w:val="6"/>
                <w:sz w:val="15"/>
              </w:rPr>
              <w:t> </w:t>
            </w:r>
            <w:r>
              <w:rPr>
                <w:color w:val="231F20"/>
                <w:sz w:val="15"/>
              </w:rPr>
              <w:t>cold</w:t>
            </w:r>
            <w:r>
              <w:rPr>
                <w:color w:val="231F20"/>
                <w:spacing w:val="7"/>
                <w:sz w:val="15"/>
              </w:rPr>
              <w:t> </w:t>
            </w:r>
            <w:r>
              <w:rPr>
                <w:color w:val="231F20"/>
                <w:spacing w:val="-2"/>
                <w:sz w:val="15"/>
              </w:rPr>
              <w:t>weather</w:t>
            </w:r>
          </w:p>
          <w:p>
            <w:pPr>
              <w:pStyle w:val="TableParagraph"/>
              <w:numPr>
                <w:ilvl w:val="0"/>
                <w:numId w:val="61"/>
              </w:numPr>
              <w:tabs>
                <w:tab w:pos="513" w:val="left" w:leader="none"/>
              </w:tabs>
              <w:spacing w:line="168" w:lineRule="exact" w:before="0" w:after="0"/>
              <w:ind w:left="513" w:right="0" w:hanging="149"/>
              <w:jc w:val="left"/>
              <w:rPr>
                <w:sz w:val="15"/>
              </w:rPr>
            </w:pPr>
            <w:r>
              <w:rPr>
                <w:color w:val="231F20"/>
                <w:sz w:val="15"/>
              </w:rPr>
              <w:t>Stunting or </w:t>
            </w:r>
            <w:r>
              <w:rPr>
                <w:color w:val="231F20"/>
                <w:spacing w:val="-2"/>
                <w:sz w:val="15"/>
              </w:rPr>
              <w:t>wasting</w:t>
            </w:r>
          </w:p>
          <w:p>
            <w:pPr>
              <w:pStyle w:val="TableParagraph"/>
              <w:numPr>
                <w:ilvl w:val="0"/>
                <w:numId w:val="61"/>
              </w:numPr>
              <w:tabs>
                <w:tab w:pos="513" w:val="left" w:leader="none"/>
              </w:tabs>
              <w:spacing w:line="168" w:lineRule="exact" w:before="0" w:after="0"/>
              <w:ind w:left="513" w:right="0" w:hanging="149"/>
              <w:jc w:val="left"/>
              <w:rPr>
                <w:sz w:val="15"/>
              </w:rPr>
            </w:pPr>
            <w:r>
              <w:rPr>
                <w:color w:val="231F20"/>
                <w:sz w:val="15"/>
              </w:rPr>
              <w:t>Delayed</w:t>
            </w:r>
            <w:r>
              <w:rPr>
                <w:color w:val="231F20"/>
                <w:spacing w:val="-3"/>
                <w:sz w:val="15"/>
              </w:rPr>
              <w:t> </w:t>
            </w:r>
            <w:r>
              <w:rPr>
                <w:color w:val="231F20"/>
                <w:sz w:val="15"/>
              </w:rPr>
              <w:t>sexual</w:t>
            </w:r>
            <w:r>
              <w:rPr>
                <w:color w:val="231F20"/>
                <w:spacing w:val="-3"/>
                <w:sz w:val="15"/>
              </w:rPr>
              <w:t> </w:t>
            </w:r>
            <w:r>
              <w:rPr>
                <w:color w:val="231F20"/>
                <w:sz w:val="15"/>
              </w:rPr>
              <w:t>or</w:t>
            </w:r>
            <w:r>
              <w:rPr>
                <w:color w:val="231F20"/>
                <w:spacing w:val="-3"/>
                <w:sz w:val="15"/>
              </w:rPr>
              <w:t> </w:t>
            </w:r>
            <w:r>
              <w:rPr>
                <w:color w:val="231F20"/>
                <w:sz w:val="15"/>
              </w:rPr>
              <w:t>physical</w:t>
            </w:r>
            <w:r>
              <w:rPr>
                <w:color w:val="231F20"/>
                <w:spacing w:val="-3"/>
                <w:sz w:val="15"/>
              </w:rPr>
              <w:t> </w:t>
            </w:r>
            <w:r>
              <w:rPr>
                <w:color w:val="231F20"/>
                <w:spacing w:val="-2"/>
                <w:sz w:val="15"/>
              </w:rPr>
              <w:t>development</w:t>
            </w:r>
          </w:p>
          <w:p>
            <w:pPr>
              <w:pStyle w:val="TableParagraph"/>
              <w:numPr>
                <w:ilvl w:val="0"/>
                <w:numId w:val="61"/>
              </w:numPr>
              <w:tabs>
                <w:tab w:pos="513" w:val="left" w:leader="none"/>
              </w:tabs>
              <w:spacing w:line="171" w:lineRule="exact" w:before="0" w:after="0"/>
              <w:ind w:left="513" w:right="0" w:hanging="149"/>
              <w:jc w:val="left"/>
              <w:rPr>
                <w:sz w:val="15"/>
              </w:rPr>
            </w:pPr>
            <w:r>
              <w:rPr>
                <w:color w:val="231F20"/>
                <w:spacing w:val="-4"/>
                <w:sz w:val="15"/>
              </w:rPr>
              <w:t>Psychiatric</w:t>
            </w:r>
            <w:r>
              <w:rPr>
                <w:color w:val="231F20"/>
                <w:spacing w:val="1"/>
                <w:sz w:val="15"/>
              </w:rPr>
              <w:t> </w:t>
            </w:r>
            <w:r>
              <w:rPr>
                <w:color w:val="231F20"/>
                <w:spacing w:val="-2"/>
                <w:sz w:val="15"/>
              </w:rPr>
              <w:t>symptoms</w:t>
            </w:r>
          </w:p>
        </w:tc>
        <w:tc>
          <w:tcPr>
            <w:tcW w:w="4044" w:type="dxa"/>
            <w:tcBorders>
              <w:top w:val="single" w:sz="4" w:space="0" w:color="FFFFFF"/>
              <w:bottom w:val="single" w:sz="4" w:space="0" w:color="FFFFFF"/>
            </w:tcBorders>
            <w:shd w:val="clear" w:color="auto" w:fill="E8F5F1"/>
          </w:tcPr>
          <w:p>
            <w:pPr>
              <w:pStyle w:val="TableParagraph"/>
              <w:spacing w:line="171" w:lineRule="exact" w:before="42"/>
              <w:ind w:left="215"/>
              <w:rPr>
                <w:sz w:val="15"/>
              </w:rPr>
            </w:pPr>
            <w:r>
              <w:rPr>
                <w:color w:val="231F20"/>
                <w:sz w:val="15"/>
              </w:rPr>
              <w:t>Suspected</w:t>
            </w:r>
            <w:r>
              <w:rPr>
                <w:color w:val="231F20"/>
                <w:spacing w:val="-1"/>
                <w:sz w:val="15"/>
              </w:rPr>
              <w:t> </w:t>
            </w:r>
            <w:r>
              <w:rPr>
                <w:color w:val="231F20"/>
                <w:sz w:val="15"/>
              </w:rPr>
              <w:t>case of</w:t>
            </w:r>
            <w:r>
              <w:rPr>
                <w:color w:val="231F20"/>
                <w:spacing w:val="-1"/>
                <w:sz w:val="15"/>
              </w:rPr>
              <w:t> </w:t>
            </w:r>
            <w:r>
              <w:rPr>
                <w:color w:val="231F20"/>
                <w:sz w:val="15"/>
              </w:rPr>
              <w:t>head nodding,</w:t>
            </w:r>
            <w:r>
              <w:rPr>
                <w:color w:val="231F20"/>
                <w:spacing w:val="-1"/>
                <w:sz w:val="15"/>
              </w:rPr>
              <w:t> </w:t>
            </w:r>
            <w:r>
              <w:rPr>
                <w:color w:val="231F20"/>
                <w:sz w:val="15"/>
              </w:rPr>
              <w:t>with 1</w:t>
            </w:r>
            <w:r>
              <w:rPr>
                <w:color w:val="231F20"/>
                <w:spacing w:val="-1"/>
                <w:sz w:val="15"/>
              </w:rPr>
              <w:t> </w:t>
            </w:r>
            <w:r>
              <w:rPr>
                <w:color w:val="231F20"/>
                <w:sz w:val="15"/>
              </w:rPr>
              <w:t>major </w:t>
            </w:r>
            <w:r>
              <w:rPr>
                <w:color w:val="231F20"/>
                <w:spacing w:val="-2"/>
                <w:sz w:val="15"/>
              </w:rPr>
              <w:t>criterion:</w:t>
            </w:r>
          </w:p>
          <w:p>
            <w:pPr>
              <w:pStyle w:val="TableParagraph"/>
              <w:numPr>
                <w:ilvl w:val="0"/>
                <w:numId w:val="62"/>
              </w:numPr>
              <w:tabs>
                <w:tab w:pos="364" w:val="left" w:leader="none"/>
              </w:tabs>
              <w:spacing w:line="171" w:lineRule="exact" w:before="0" w:after="0"/>
              <w:ind w:left="364" w:right="0" w:hanging="149"/>
              <w:jc w:val="left"/>
              <w:rPr>
                <w:sz w:val="15"/>
              </w:rPr>
            </w:pPr>
            <w:r>
              <w:rPr>
                <w:color w:val="231F20"/>
                <w:sz w:val="15"/>
              </w:rPr>
              <w:t>Age</w:t>
            </w:r>
            <w:r>
              <w:rPr>
                <w:color w:val="231F20"/>
                <w:spacing w:val="7"/>
                <w:sz w:val="15"/>
              </w:rPr>
              <w:t> </w:t>
            </w:r>
            <w:r>
              <w:rPr>
                <w:color w:val="231F20"/>
                <w:sz w:val="15"/>
              </w:rPr>
              <w:t>of</w:t>
            </w:r>
            <w:r>
              <w:rPr>
                <w:color w:val="231F20"/>
                <w:spacing w:val="7"/>
                <w:sz w:val="15"/>
              </w:rPr>
              <w:t> </w:t>
            </w:r>
            <w:r>
              <w:rPr>
                <w:color w:val="231F20"/>
                <w:sz w:val="15"/>
              </w:rPr>
              <w:t>onset</w:t>
            </w:r>
            <w:r>
              <w:rPr>
                <w:color w:val="231F20"/>
                <w:spacing w:val="7"/>
                <w:sz w:val="15"/>
              </w:rPr>
              <w:t> </w:t>
            </w:r>
            <w:r>
              <w:rPr>
                <w:color w:val="231F20"/>
                <w:sz w:val="15"/>
              </w:rPr>
              <w:t>of</w:t>
            </w:r>
            <w:r>
              <w:rPr>
                <w:color w:val="231F20"/>
                <w:spacing w:val="7"/>
                <w:sz w:val="15"/>
              </w:rPr>
              <w:t> </w:t>
            </w:r>
            <w:r>
              <w:rPr>
                <w:color w:val="231F20"/>
                <w:sz w:val="15"/>
              </w:rPr>
              <w:t>nodding</w:t>
            </w:r>
            <w:r>
              <w:rPr>
                <w:color w:val="231F20"/>
                <w:spacing w:val="8"/>
                <w:sz w:val="15"/>
              </w:rPr>
              <w:t> </w:t>
            </w:r>
            <w:r>
              <w:rPr>
                <w:color w:val="231F20"/>
                <w:sz w:val="15"/>
              </w:rPr>
              <w:t>ranging</w:t>
            </w:r>
            <w:r>
              <w:rPr>
                <w:color w:val="231F20"/>
                <w:spacing w:val="7"/>
                <w:sz w:val="15"/>
              </w:rPr>
              <w:t> </w:t>
            </w:r>
            <w:r>
              <w:rPr>
                <w:color w:val="231F20"/>
                <w:sz w:val="15"/>
              </w:rPr>
              <w:t>from</w:t>
            </w:r>
            <w:r>
              <w:rPr>
                <w:color w:val="231F20"/>
                <w:spacing w:val="7"/>
                <w:sz w:val="15"/>
              </w:rPr>
              <w:t> </w:t>
            </w:r>
            <w:r>
              <w:rPr>
                <w:color w:val="231F20"/>
                <w:sz w:val="15"/>
              </w:rPr>
              <w:t>3-18</w:t>
            </w:r>
            <w:r>
              <w:rPr>
                <w:color w:val="231F20"/>
                <w:spacing w:val="7"/>
                <w:sz w:val="15"/>
              </w:rPr>
              <w:t> </w:t>
            </w:r>
            <w:r>
              <w:rPr>
                <w:color w:val="231F20"/>
                <w:spacing w:val="-5"/>
                <w:sz w:val="15"/>
              </w:rPr>
              <w:t>yr</w:t>
            </w:r>
          </w:p>
          <w:p>
            <w:pPr>
              <w:pStyle w:val="TableParagraph"/>
              <w:spacing w:line="171" w:lineRule="exact" w:before="163"/>
              <w:ind w:left="215"/>
              <w:rPr>
                <w:sz w:val="15"/>
              </w:rPr>
            </w:pPr>
            <w:r>
              <w:rPr>
                <w:color w:val="231F20"/>
                <w:sz w:val="15"/>
              </w:rPr>
              <w:t>Plus</w:t>
            </w:r>
            <w:r>
              <w:rPr>
                <w:color w:val="231F20"/>
                <w:spacing w:val="-7"/>
                <w:sz w:val="15"/>
              </w:rPr>
              <w:t> </w:t>
            </w:r>
            <w:r>
              <w:rPr>
                <w:color w:val="231F20"/>
                <w:sz w:val="15"/>
              </w:rPr>
              <w:t>at</w:t>
            </w:r>
            <w:r>
              <w:rPr>
                <w:color w:val="231F20"/>
                <w:spacing w:val="-7"/>
                <w:sz w:val="15"/>
              </w:rPr>
              <w:t> </w:t>
            </w:r>
            <w:r>
              <w:rPr>
                <w:color w:val="231F20"/>
                <w:sz w:val="15"/>
              </w:rPr>
              <w:t>least</w:t>
            </w:r>
            <w:r>
              <w:rPr>
                <w:color w:val="231F20"/>
                <w:spacing w:val="-7"/>
                <w:sz w:val="15"/>
              </w:rPr>
              <w:t> </w:t>
            </w:r>
            <w:r>
              <w:rPr>
                <w:color w:val="231F20"/>
                <w:sz w:val="15"/>
              </w:rPr>
              <w:t>1</w:t>
            </w:r>
            <w:r>
              <w:rPr>
                <w:color w:val="231F20"/>
                <w:spacing w:val="-7"/>
                <w:sz w:val="15"/>
              </w:rPr>
              <w:t> </w:t>
            </w:r>
            <w:r>
              <w:rPr>
                <w:color w:val="231F20"/>
                <w:sz w:val="15"/>
              </w:rPr>
              <w:t>of</w:t>
            </w:r>
            <w:r>
              <w:rPr>
                <w:color w:val="231F20"/>
                <w:spacing w:val="-6"/>
                <w:sz w:val="15"/>
              </w:rPr>
              <w:t> </w:t>
            </w:r>
            <w:r>
              <w:rPr>
                <w:color w:val="231F20"/>
                <w:sz w:val="15"/>
              </w:rPr>
              <w:t>the</w:t>
            </w:r>
            <w:r>
              <w:rPr>
                <w:color w:val="231F20"/>
                <w:spacing w:val="-7"/>
                <w:sz w:val="15"/>
              </w:rPr>
              <w:t> </w:t>
            </w:r>
            <w:r>
              <w:rPr>
                <w:color w:val="231F20"/>
                <w:sz w:val="15"/>
              </w:rPr>
              <w:t>following</w:t>
            </w:r>
            <w:r>
              <w:rPr>
                <w:color w:val="231F20"/>
                <w:spacing w:val="-7"/>
                <w:sz w:val="15"/>
              </w:rPr>
              <w:t> </w:t>
            </w:r>
            <w:r>
              <w:rPr>
                <w:color w:val="231F20"/>
                <w:sz w:val="15"/>
              </w:rPr>
              <w:t>minor</w:t>
            </w:r>
            <w:r>
              <w:rPr>
                <w:color w:val="231F20"/>
                <w:spacing w:val="-7"/>
                <w:sz w:val="15"/>
              </w:rPr>
              <w:t> </w:t>
            </w:r>
            <w:r>
              <w:rPr>
                <w:color w:val="231F20"/>
                <w:spacing w:val="-2"/>
                <w:sz w:val="15"/>
              </w:rPr>
              <w:t>criteria:</w:t>
            </w:r>
          </w:p>
          <w:p>
            <w:pPr>
              <w:pStyle w:val="TableParagraph"/>
              <w:numPr>
                <w:ilvl w:val="0"/>
                <w:numId w:val="62"/>
              </w:numPr>
              <w:tabs>
                <w:tab w:pos="364" w:val="left" w:leader="none"/>
              </w:tabs>
              <w:spacing w:line="230" w:lineRule="auto" w:before="3" w:after="0"/>
              <w:ind w:left="364" w:right="109" w:hanging="150"/>
              <w:jc w:val="left"/>
              <w:rPr>
                <w:sz w:val="15"/>
              </w:rPr>
            </w:pPr>
            <w:r>
              <w:rPr>
                <w:color w:val="231F20"/>
                <w:sz w:val="15"/>
              </w:rPr>
              <w:t>Other neurologic abnormalities (cognitive decline, school dropout because of cognitive or behavioral problems,</w:t>
            </w:r>
            <w:r>
              <w:rPr>
                <w:color w:val="231F20"/>
                <w:spacing w:val="-12"/>
                <w:sz w:val="15"/>
              </w:rPr>
              <w:t> </w:t>
            </w:r>
            <w:r>
              <w:rPr>
                <w:color w:val="231F20"/>
                <w:sz w:val="15"/>
              </w:rPr>
              <w:t>other</w:t>
            </w:r>
            <w:r>
              <w:rPr>
                <w:color w:val="231F20"/>
                <w:spacing w:val="-11"/>
                <w:sz w:val="15"/>
              </w:rPr>
              <w:t> </w:t>
            </w:r>
            <w:r>
              <w:rPr>
                <w:color w:val="231F20"/>
                <w:sz w:val="15"/>
              </w:rPr>
              <w:t>seizures</w:t>
            </w:r>
            <w:r>
              <w:rPr>
                <w:color w:val="231F20"/>
                <w:spacing w:val="-11"/>
                <w:sz w:val="15"/>
              </w:rPr>
              <w:t> </w:t>
            </w:r>
            <w:r>
              <w:rPr>
                <w:color w:val="231F20"/>
                <w:sz w:val="15"/>
              </w:rPr>
              <w:t>or</w:t>
            </w:r>
            <w:r>
              <w:rPr>
                <w:color w:val="231F20"/>
                <w:spacing w:val="-12"/>
                <w:sz w:val="15"/>
              </w:rPr>
              <w:t> </w:t>
            </w:r>
            <w:r>
              <w:rPr>
                <w:color w:val="231F20"/>
                <w:sz w:val="15"/>
              </w:rPr>
              <w:t>neurologic</w:t>
            </w:r>
            <w:r>
              <w:rPr>
                <w:color w:val="231F20"/>
                <w:spacing w:val="-11"/>
                <w:sz w:val="15"/>
              </w:rPr>
              <w:t> </w:t>
            </w:r>
            <w:r>
              <w:rPr>
                <w:color w:val="231F20"/>
                <w:sz w:val="15"/>
              </w:rPr>
              <w:t>abnormalities)</w:t>
            </w:r>
          </w:p>
          <w:p>
            <w:pPr>
              <w:pStyle w:val="TableParagraph"/>
              <w:numPr>
                <w:ilvl w:val="0"/>
                <w:numId w:val="62"/>
              </w:numPr>
              <w:tabs>
                <w:tab w:pos="364" w:val="left" w:leader="none"/>
              </w:tabs>
              <w:spacing w:line="168" w:lineRule="exact" w:before="0" w:after="0"/>
              <w:ind w:left="364" w:right="0" w:hanging="149"/>
              <w:jc w:val="left"/>
              <w:rPr>
                <w:sz w:val="15"/>
              </w:rPr>
            </w:pPr>
            <w:r>
              <w:rPr>
                <w:color w:val="231F20"/>
                <w:sz w:val="15"/>
              </w:rPr>
              <w:t>Clustering</w:t>
            </w:r>
            <w:r>
              <w:rPr>
                <w:color w:val="231F20"/>
                <w:spacing w:val="-9"/>
                <w:sz w:val="15"/>
              </w:rPr>
              <w:t> </w:t>
            </w:r>
            <w:r>
              <w:rPr>
                <w:color w:val="231F20"/>
                <w:sz w:val="15"/>
              </w:rPr>
              <w:t>in</w:t>
            </w:r>
            <w:r>
              <w:rPr>
                <w:color w:val="231F20"/>
                <w:spacing w:val="-8"/>
                <w:sz w:val="15"/>
              </w:rPr>
              <w:t> </w:t>
            </w:r>
            <w:r>
              <w:rPr>
                <w:color w:val="231F20"/>
                <w:sz w:val="15"/>
              </w:rPr>
              <w:t>space</w:t>
            </w:r>
            <w:r>
              <w:rPr>
                <w:color w:val="231F20"/>
                <w:spacing w:val="-9"/>
                <w:sz w:val="15"/>
              </w:rPr>
              <w:t> </w:t>
            </w:r>
            <w:r>
              <w:rPr>
                <w:color w:val="231F20"/>
                <w:sz w:val="15"/>
              </w:rPr>
              <w:t>or</w:t>
            </w:r>
            <w:r>
              <w:rPr>
                <w:color w:val="231F20"/>
                <w:spacing w:val="-8"/>
                <w:sz w:val="15"/>
              </w:rPr>
              <w:t> </w:t>
            </w:r>
            <w:r>
              <w:rPr>
                <w:color w:val="231F20"/>
                <w:sz w:val="15"/>
              </w:rPr>
              <w:t>time</w:t>
            </w:r>
            <w:r>
              <w:rPr>
                <w:color w:val="231F20"/>
                <w:spacing w:val="-9"/>
                <w:sz w:val="15"/>
              </w:rPr>
              <w:t> </w:t>
            </w:r>
            <w:r>
              <w:rPr>
                <w:color w:val="231F20"/>
                <w:sz w:val="15"/>
              </w:rPr>
              <w:t>with</w:t>
            </w:r>
            <w:r>
              <w:rPr>
                <w:color w:val="231F20"/>
                <w:spacing w:val="-8"/>
                <w:sz w:val="15"/>
              </w:rPr>
              <w:t> </w:t>
            </w:r>
            <w:r>
              <w:rPr>
                <w:color w:val="231F20"/>
                <w:sz w:val="15"/>
              </w:rPr>
              <w:t>similar</w:t>
            </w:r>
            <w:r>
              <w:rPr>
                <w:color w:val="231F20"/>
                <w:spacing w:val="-9"/>
                <w:sz w:val="15"/>
              </w:rPr>
              <w:t> </w:t>
            </w:r>
            <w:r>
              <w:rPr>
                <w:color w:val="231F20"/>
                <w:spacing w:val="-2"/>
                <w:sz w:val="15"/>
              </w:rPr>
              <w:t>cases</w:t>
            </w:r>
          </w:p>
          <w:p>
            <w:pPr>
              <w:pStyle w:val="TableParagraph"/>
              <w:numPr>
                <w:ilvl w:val="0"/>
                <w:numId w:val="62"/>
              </w:numPr>
              <w:tabs>
                <w:tab w:pos="364" w:val="left" w:leader="none"/>
              </w:tabs>
              <w:spacing w:line="168" w:lineRule="exact" w:before="0" w:after="0"/>
              <w:ind w:left="364" w:right="0" w:hanging="149"/>
              <w:jc w:val="left"/>
              <w:rPr>
                <w:sz w:val="15"/>
              </w:rPr>
            </w:pPr>
            <w:r>
              <w:rPr>
                <w:color w:val="231F20"/>
                <w:sz w:val="15"/>
              </w:rPr>
              <w:t>Triggering</w:t>
            </w:r>
            <w:r>
              <w:rPr>
                <w:color w:val="231F20"/>
                <w:spacing w:val="6"/>
                <w:sz w:val="15"/>
              </w:rPr>
              <w:t> </w:t>
            </w:r>
            <w:r>
              <w:rPr>
                <w:color w:val="231F20"/>
                <w:sz w:val="15"/>
              </w:rPr>
              <w:t>by</w:t>
            </w:r>
            <w:r>
              <w:rPr>
                <w:color w:val="231F20"/>
                <w:spacing w:val="7"/>
                <w:sz w:val="15"/>
              </w:rPr>
              <w:t> </w:t>
            </w:r>
            <w:r>
              <w:rPr>
                <w:color w:val="231F20"/>
                <w:sz w:val="15"/>
              </w:rPr>
              <w:t>food</w:t>
            </w:r>
            <w:r>
              <w:rPr>
                <w:color w:val="231F20"/>
                <w:spacing w:val="7"/>
                <w:sz w:val="15"/>
              </w:rPr>
              <w:t> </w:t>
            </w:r>
            <w:r>
              <w:rPr>
                <w:color w:val="231F20"/>
                <w:sz w:val="15"/>
              </w:rPr>
              <w:t>or</w:t>
            </w:r>
            <w:r>
              <w:rPr>
                <w:color w:val="231F20"/>
                <w:spacing w:val="6"/>
                <w:sz w:val="15"/>
              </w:rPr>
              <w:t> </w:t>
            </w:r>
            <w:r>
              <w:rPr>
                <w:color w:val="231F20"/>
                <w:sz w:val="15"/>
              </w:rPr>
              <w:t>cold</w:t>
            </w:r>
            <w:r>
              <w:rPr>
                <w:color w:val="231F20"/>
                <w:spacing w:val="7"/>
                <w:sz w:val="15"/>
              </w:rPr>
              <w:t> </w:t>
            </w:r>
            <w:r>
              <w:rPr>
                <w:color w:val="231F20"/>
                <w:spacing w:val="-2"/>
                <w:sz w:val="15"/>
              </w:rPr>
              <w:t>weather</w:t>
            </w:r>
          </w:p>
          <w:p>
            <w:pPr>
              <w:pStyle w:val="TableParagraph"/>
              <w:numPr>
                <w:ilvl w:val="0"/>
                <w:numId w:val="62"/>
              </w:numPr>
              <w:tabs>
                <w:tab w:pos="364" w:val="left" w:leader="none"/>
              </w:tabs>
              <w:spacing w:line="168" w:lineRule="exact" w:before="0" w:after="0"/>
              <w:ind w:left="364" w:right="0" w:hanging="149"/>
              <w:jc w:val="left"/>
              <w:rPr>
                <w:sz w:val="15"/>
              </w:rPr>
            </w:pPr>
            <w:r>
              <w:rPr>
                <w:color w:val="231F20"/>
                <w:sz w:val="15"/>
              </w:rPr>
              <w:t>Stunting or </w:t>
            </w:r>
            <w:r>
              <w:rPr>
                <w:color w:val="231F20"/>
                <w:spacing w:val="-2"/>
                <w:sz w:val="15"/>
              </w:rPr>
              <w:t>wasting</w:t>
            </w:r>
          </w:p>
          <w:p>
            <w:pPr>
              <w:pStyle w:val="TableParagraph"/>
              <w:numPr>
                <w:ilvl w:val="0"/>
                <w:numId w:val="62"/>
              </w:numPr>
              <w:tabs>
                <w:tab w:pos="364" w:val="left" w:leader="none"/>
              </w:tabs>
              <w:spacing w:line="171" w:lineRule="exact" w:before="0" w:after="0"/>
              <w:ind w:left="364" w:right="0" w:hanging="149"/>
              <w:jc w:val="left"/>
              <w:rPr>
                <w:sz w:val="15"/>
              </w:rPr>
            </w:pPr>
            <w:r>
              <w:rPr>
                <w:color w:val="231F20"/>
                <w:spacing w:val="-4"/>
                <w:sz w:val="15"/>
              </w:rPr>
              <w:t>Psychiatric</w:t>
            </w:r>
            <w:r>
              <w:rPr>
                <w:color w:val="231F20"/>
                <w:spacing w:val="1"/>
                <w:sz w:val="15"/>
              </w:rPr>
              <w:t> </w:t>
            </w:r>
            <w:r>
              <w:rPr>
                <w:color w:val="231F20"/>
                <w:spacing w:val="-2"/>
                <w:sz w:val="15"/>
              </w:rPr>
              <w:t>symptoms</w:t>
            </w:r>
          </w:p>
        </w:tc>
      </w:tr>
      <w:tr>
        <w:trPr>
          <w:trHeight w:val="1087" w:hRule="atLeast"/>
        </w:trPr>
        <w:tc>
          <w:tcPr>
            <w:tcW w:w="1242" w:type="dxa"/>
            <w:tcBorders>
              <w:top w:val="single" w:sz="4" w:space="0" w:color="FFFFFF"/>
              <w:bottom w:val="single" w:sz="8" w:space="0" w:color="231F20"/>
            </w:tcBorders>
            <w:shd w:val="clear" w:color="auto" w:fill="E8F5F1"/>
          </w:tcPr>
          <w:p>
            <w:pPr>
              <w:pStyle w:val="TableParagraph"/>
              <w:spacing w:before="42"/>
              <w:ind w:left="94"/>
              <w:rPr>
                <w:sz w:val="15"/>
              </w:rPr>
            </w:pPr>
            <w:r>
              <w:rPr>
                <w:color w:val="231F20"/>
                <w:sz w:val="15"/>
              </w:rPr>
              <w:t>Confirmed</w:t>
            </w:r>
            <w:r>
              <w:rPr>
                <w:color w:val="231F20"/>
                <w:spacing w:val="1"/>
                <w:sz w:val="15"/>
              </w:rPr>
              <w:t> </w:t>
            </w:r>
            <w:r>
              <w:rPr>
                <w:color w:val="231F20"/>
                <w:spacing w:val="-4"/>
                <w:sz w:val="15"/>
              </w:rPr>
              <w:t>case</w:t>
            </w:r>
          </w:p>
        </w:tc>
        <w:tc>
          <w:tcPr>
            <w:tcW w:w="4474" w:type="dxa"/>
            <w:tcBorders>
              <w:top w:val="single" w:sz="4" w:space="0" w:color="FFFFFF"/>
              <w:bottom w:val="single" w:sz="8" w:space="0" w:color="231F20"/>
            </w:tcBorders>
            <w:shd w:val="clear" w:color="auto" w:fill="E8F5F1"/>
          </w:tcPr>
          <w:p>
            <w:pPr>
              <w:pStyle w:val="TableParagraph"/>
              <w:spacing w:line="171" w:lineRule="exact" w:before="42"/>
              <w:ind w:left="364"/>
              <w:rPr>
                <w:sz w:val="15"/>
              </w:rPr>
            </w:pPr>
            <w:r>
              <w:rPr>
                <w:color w:val="231F20"/>
                <w:sz w:val="15"/>
              </w:rPr>
              <w:t>Probable</w:t>
            </w:r>
            <w:r>
              <w:rPr>
                <w:color w:val="231F20"/>
                <w:spacing w:val="3"/>
                <w:sz w:val="15"/>
              </w:rPr>
              <w:t> </w:t>
            </w:r>
            <w:r>
              <w:rPr>
                <w:color w:val="231F20"/>
                <w:sz w:val="15"/>
              </w:rPr>
              <w:t>case,</w:t>
            </w:r>
            <w:r>
              <w:rPr>
                <w:color w:val="231F20"/>
                <w:spacing w:val="4"/>
                <w:sz w:val="15"/>
              </w:rPr>
              <w:t> </w:t>
            </w:r>
            <w:r>
              <w:rPr>
                <w:color w:val="231F20"/>
                <w:sz w:val="15"/>
              </w:rPr>
              <w:t>with</w:t>
            </w:r>
            <w:r>
              <w:rPr>
                <w:color w:val="231F20"/>
                <w:spacing w:val="3"/>
                <w:sz w:val="15"/>
              </w:rPr>
              <w:t> </w:t>
            </w:r>
            <w:r>
              <w:rPr>
                <w:color w:val="231F20"/>
                <w:sz w:val="15"/>
              </w:rPr>
              <w:t>documented</w:t>
            </w:r>
            <w:r>
              <w:rPr>
                <w:color w:val="231F20"/>
                <w:spacing w:val="4"/>
                <w:sz w:val="15"/>
              </w:rPr>
              <w:t> </w:t>
            </w:r>
            <w:r>
              <w:rPr>
                <w:color w:val="231F20"/>
                <w:sz w:val="15"/>
              </w:rPr>
              <w:t>nodding</w:t>
            </w:r>
            <w:r>
              <w:rPr>
                <w:color w:val="231F20"/>
                <w:spacing w:val="4"/>
                <w:sz w:val="15"/>
              </w:rPr>
              <w:t> </w:t>
            </w:r>
            <w:r>
              <w:rPr>
                <w:color w:val="231F20"/>
                <w:spacing w:val="-2"/>
                <w:sz w:val="15"/>
              </w:rPr>
              <w:t>episode</w:t>
            </w:r>
          </w:p>
          <w:p>
            <w:pPr>
              <w:pStyle w:val="TableParagraph"/>
              <w:numPr>
                <w:ilvl w:val="0"/>
                <w:numId w:val="63"/>
              </w:numPr>
              <w:tabs>
                <w:tab w:pos="513" w:val="left" w:leader="none"/>
              </w:tabs>
              <w:spacing w:line="168" w:lineRule="exact" w:before="0" w:after="0"/>
              <w:ind w:left="513" w:right="0" w:hanging="149"/>
              <w:jc w:val="left"/>
              <w:rPr>
                <w:sz w:val="15"/>
              </w:rPr>
            </w:pPr>
            <w:r>
              <w:rPr>
                <w:color w:val="231F20"/>
                <w:sz w:val="15"/>
              </w:rPr>
              <w:t>Observed</w:t>
            </w:r>
            <w:r>
              <w:rPr>
                <w:color w:val="231F20"/>
                <w:spacing w:val="-3"/>
                <w:sz w:val="15"/>
              </w:rPr>
              <w:t> </w:t>
            </w:r>
            <w:r>
              <w:rPr>
                <w:color w:val="231F20"/>
                <w:sz w:val="15"/>
              </w:rPr>
              <w:t>and recorded</w:t>
            </w:r>
            <w:r>
              <w:rPr>
                <w:color w:val="231F20"/>
                <w:spacing w:val="-1"/>
                <w:sz w:val="15"/>
              </w:rPr>
              <w:t> </w:t>
            </w:r>
            <w:r>
              <w:rPr>
                <w:color w:val="231F20"/>
                <w:sz w:val="15"/>
              </w:rPr>
              <w:t>by a</w:t>
            </w:r>
            <w:r>
              <w:rPr>
                <w:color w:val="231F20"/>
                <w:spacing w:val="-1"/>
                <w:sz w:val="15"/>
              </w:rPr>
              <w:t> </w:t>
            </w:r>
            <w:r>
              <w:rPr>
                <w:color w:val="231F20"/>
                <w:sz w:val="15"/>
              </w:rPr>
              <w:t>trained healthcare </w:t>
            </w:r>
            <w:r>
              <w:rPr>
                <w:color w:val="231F20"/>
                <w:spacing w:val="-2"/>
                <w:sz w:val="15"/>
              </w:rPr>
              <w:t>worker,</w:t>
            </w:r>
          </w:p>
          <w:p>
            <w:pPr>
              <w:pStyle w:val="TableParagraph"/>
              <w:spacing w:line="168" w:lineRule="exact"/>
              <w:ind w:left="513"/>
              <w:rPr>
                <w:i/>
                <w:sz w:val="15"/>
              </w:rPr>
            </w:pPr>
            <w:r>
              <w:rPr>
                <w:i/>
                <w:color w:val="231F20"/>
                <w:spacing w:val="-5"/>
                <w:sz w:val="15"/>
              </w:rPr>
              <w:t>or</w:t>
            </w:r>
          </w:p>
          <w:p>
            <w:pPr>
              <w:pStyle w:val="TableParagraph"/>
              <w:numPr>
                <w:ilvl w:val="0"/>
                <w:numId w:val="63"/>
              </w:numPr>
              <w:tabs>
                <w:tab w:pos="513" w:val="left" w:leader="none"/>
              </w:tabs>
              <w:spacing w:line="168" w:lineRule="exact" w:before="0" w:after="0"/>
              <w:ind w:left="513" w:right="0" w:hanging="149"/>
              <w:jc w:val="left"/>
              <w:rPr>
                <w:i/>
                <w:sz w:val="15"/>
              </w:rPr>
            </w:pPr>
            <w:r>
              <w:rPr>
                <w:color w:val="231F20"/>
                <w:sz w:val="15"/>
              </w:rPr>
              <w:t>Videotaped</w:t>
            </w:r>
            <w:r>
              <w:rPr>
                <w:color w:val="231F20"/>
                <w:spacing w:val="16"/>
                <w:sz w:val="15"/>
              </w:rPr>
              <w:t> </w:t>
            </w:r>
            <w:r>
              <w:rPr>
                <w:color w:val="231F20"/>
                <w:sz w:val="15"/>
              </w:rPr>
              <w:t>nodding</w:t>
            </w:r>
            <w:r>
              <w:rPr>
                <w:color w:val="231F20"/>
                <w:spacing w:val="17"/>
                <w:sz w:val="15"/>
              </w:rPr>
              <w:t> </w:t>
            </w:r>
            <w:r>
              <w:rPr>
                <w:color w:val="231F20"/>
                <w:sz w:val="15"/>
              </w:rPr>
              <w:t>episode,</w:t>
            </w:r>
            <w:r>
              <w:rPr>
                <w:color w:val="231F20"/>
                <w:spacing w:val="17"/>
                <w:sz w:val="15"/>
              </w:rPr>
              <w:t> </w:t>
            </w:r>
            <w:r>
              <w:rPr>
                <w:i/>
                <w:color w:val="231F20"/>
                <w:spacing w:val="-5"/>
                <w:sz w:val="15"/>
              </w:rPr>
              <w:t>or</w:t>
            </w:r>
          </w:p>
          <w:p>
            <w:pPr>
              <w:pStyle w:val="TableParagraph"/>
              <w:numPr>
                <w:ilvl w:val="0"/>
                <w:numId w:val="63"/>
              </w:numPr>
              <w:tabs>
                <w:tab w:pos="513" w:val="left" w:leader="none"/>
              </w:tabs>
              <w:spacing w:line="230" w:lineRule="auto" w:before="2" w:after="0"/>
              <w:ind w:left="513" w:right="263" w:hanging="150"/>
              <w:jc w:val="left"/>
              <w:rPr>
                <w:sz w:val="15"/>
              </w:rPr>
            </w:pPr>
            <w:r>
              <w:rPr>
                <w:color w:val="231F20"/>
                <w:sz w:val="15"/>
              </w:rPr>
              <w:t>Video/EEG/EMG documenting head nodding as </w:t>
            </w:r>
            <w:r>
              <w:rPr>
                <w:color w:val="231F20"/>
                <w:sz w:val="15"/>
              </w:rPr>
              <w:t>atonic </w:t>
            </w:r>
            <w:r>
              <w:rPr>
                <w:color w:val="231F20"/>
                <w:spacing w:val="-2"/>
                <w:sz w:val="15"/>
              </w:rPr>
              <w:t>seizures</w:t>
            </w:r>
          </w:p>
        </w:tc>
        <w:tc>
          <w:tcPr>
            <w:tcW w:w="4044" w:type="dxa"/>
            <w:tcBorders>
              <w:top w:val="single" w:sz="4" w:space="0" w:color="FFFFFF"/>
              <w:bottom w:val="single" w:sz="8" w:space="0" w:color="231F20"/>
            </w:tcBorders>
            <w:shd w:val="clear" w:color="auto" w:fill="E8F5F1"/>
          </w:tcPr>
          <w:p>
            <w:pPr>
              <w:pStyle w:val="TableParagraph"/>
              <w:spacing w:line="171" w:lineRule="exact" w:before="42"/>
              <w:ind w:left="215"/>
              <w:rPr>
                <w:sz w:val="15"/>
              </w:rPr>
            </w:pPr>
            <w:r>
              <w:rPr>
                <w:color w:val="231F20"/>
                <w:sz w:val="15"/>
              </w:rPr>
              <w:t>Probable</w:t>
            </w:r>
            <w:r>
              <w:rPr>
                <w:color w:val="231F20"/>
                <w:spacing w:val="3"/>
                <w:sz w:val="15"/>
              </w:rPr>
              <w:t> </w:t>
            </w:r>
            <w:r>
              <w:rPr>
                <w:color w:val="231F20"/>
                <w:sz w:val="15"/>
              </w:rPr>
              <w:t>case,</w:t>
            </w:r>
            <w:r>
              <w:rPr>
                <w:color w:val="231F20"/>
                <w:spacing w:val="4"/>
                <w:sz w:val="15"/>
              </w:rPr>
              <w:t> </w:t>
            </w:r>
            <w:r>
              <w:rPr>
                <w:color w:val="231F20"/>
                <w:sz w:val="15"/>
              </w:rPr>
              <w:t>with</w:t>
            </w:r>
            <w:r>
              <w:rPr>
                <w:color w:val="231F20"/>
                <w:spacing w:val="3"/>
                <w:sz w:val="15"/>
              </w:rPr>
              <w:t> </w:t>
            </w:r>
            <w:r>
              <w:rPr>
                <w:color w:val="231F20"/>
                <w:sz w:val="15"/>
              </w:rPr>
              <w:t>documented</w:t>
            </w:r>
            <w:r>
              <w:rPr>
                <w:color w:val="231F20"/>
                <w:spacing w:val="4"/>
                <w:sz w:val="15"/>
              </w:rPr>
              <w:t> </w:t>
            </w:r>
            <w:r>
              <w:rPr>
                <w:color w:val="231F20"/>
                <w:sz w:val="15"/>
              </w:rPr>
              <w:t>nodding</w:t>
            </w:r>
            <w:r>
              <w:rPr>
                <w:color w:val="231F20"/>
                <w:spacing w:val="4"/>
                <w:sz w:val="15"/>
              </w:rPr>
              <w:t> </w:t>
            </w:r>
            <w:r>
              <w:rPr>
                <w:color w:val="231F20"/>
                <w:spacing w:val="-2"/>
                <w:sz w:val="15"/>
              </w:rPr>
              <w:t>episode</w:t>
            </w:r>
          </w:p>
          <w:p>
            <w:pPr>
              <w:pStyle w:val="TableParagraph"/>
              <w:numPr>
                <w:ilvl w:val="0"/>
                <w:numId w:val="64"/>
              </w:numPr>
              <w:tabs>
                <w:tab w:pos="364" w:val="left" w:leader="none"/>
              </w:tabs>
              <w:spacing w:line="230" w:lineRule="auto" w:before="2" w:after="0"/>
              <w:ind w:left="364" w:right="480" w:hanging="150"/>
              <w:jc w:val="left"/>
              <w:rPr>
                <w:i/>
                <w:sz w:val="15"/>
              </w:rPr>
            </w:pPr>
            <w:r>
              <w:rPr>
                <w:color w:val="231F20"/>
                <w:sz w:val="15"/>
              </w:rPr>
              <w:t>Observed</w:t>
            </w:r>
            <w:r>
              <w:rPr>
                <w:color w:val="231F20"/>
                <w:spacing w:val="-5"/>
                <w:sz w:val="15"/>
              </w:rPr>
              <w:t> </w:t>
            </w:r>
            <w:r>
              <w:rPr>
                <w:color w:val="231F20"/>
                <w:sz w:val="15"/>
              </w:rPr>
              <w:t>and</w:t>
            </w:r>
            <w:r>
              <w:rPr>
                <w:color w:val="231F20"/>
                <w:spacing w:val="-5"/>
                <w:sz w:val="15"/>
              </w:rPr>
              <w:t> </w:t>
            </w:r>
            <w:r>
              <w:rPr>
                <w:color w:val="231F20"/>
                <w:sz w:val="15"/>
              </w:rPr>
              <w:t>recorded</w:t>
            </w:r>
            <w:r>
              <w:rPr>
                <w:color w:val="231F20"/>
                <w:spacing w:val="-5"/>
                <w:sz w:val="15"/>
              </w:rPr>
              <w:t> </w:t>
            </w:r>
            <w:r>
              <w:rPr>
                <w:color w:val="231F20"/>
                <w:sz w:val="15"/>
              </w:rPr>
              <w:t>by</w:t>
            </w:r>
            <w:r>
              <w:rPr>
                <w:color w:val="231F20"/>
                <w:spacing w:val="-5"/>
                <w:sz w:val="15"/>
              </w:rPr>
              <w:t> </w:t>
            </w:r>
            <w:r>
              <w:rPr>
                <w:color w:val="231F20"/>
                <w:sz w:val="15"/>
              </w:rPr>
              <w:t>a</w:t>
            </w:r>
            <w:r>
              <w:rPr>
                <w:color w:val="231F20"/>
                <w:spacing w:val="-5"/>
                <w:sz w:val="15"/>
              </w:rPr>
              <w:t> </w:t>
            </w:r>
            <w:r>
              <w:rPr>
                <w:color w:val="231F20"/>
                <w:sz w:val="15"/>
              </w:rPr>
              <w:t>trained</w:t>
            </w:r>
            <w:r>
              <w:rPr>
                <w:color w:val="231F20"/>
                <w:spacing w:val="-5"/>
                <w:sz w:val="15"/>
              </w:rPr>
              <w:t> </w:t>
            </w:r>
            <w:r>
              <w:rPr>
                <w:color w:val="231F20"/>
                <w:sz w:val="15"/>
              </w:rPr>
              <w:t>healthcare worker, </w:t>
            </w:r>
            <w:r>
              <w:rPr>
                <w:i/>
                <w:color w:val="231F20"/>
                <w:sz w:val="15"/>
              </w:rPr>
              <w:t>or</w:t>
            </w:r>
          </w:p>
          <w:p>
            <w:pPr>
              <w:pStyle w:val="TableParagraph"/>
              <w:numPr>
                <w:ilvl w:val="0"/>
                <w:numId w:val="64"/>
              </w:numPr>
              <w:tabs>
                <w:tab w:pos="364" w:val="left" w:leader="none"/>
              </w:tabs>
              <w:spacing w:line="167" w:lineRule="exact" w:before="0" w:after="0"/>
              <w:ind w:left="364" w:right="0" w:hanging="149"/>
              <w:jc w:val="left"/>
              <w:rPr>
                <w:i/>
                <w:sz w:val="15"/>
              </w:rPr>
            </w:pPr>
            <w:r>
              <w:rPr>
                <w:color w:val="231F20"/>
                <w:sz w:val="15"/>
              </w:rPr>
              <w:t>Videotaped</w:t>
            </w:r>
            <w:r>
              <w:rPr>
                <w:color w:val="231F20"/>
                <w:spacing w:val="16"/>
                <w:sz w:val="15"/>
              </w:rPr>
              <w:t> </w:t>
            </w:r>
            <w:r>
              <w:rPr>
                <w:color w:val="231F20"/>
                <w:sz w:val="15"/>
              </w:rPr>
              <w:t>nodding</w:t>
            </w:r>
            <w:r>
              <w:rPr>
                <w:color w:val="231F20"/>
                <w:spacing w:val="17"/>
                <w:sz w:val="15"/>
              </w:rPr>
              <w:t> </w:t>
            </w:r>
            <w:r>
              <w:rPr>
                <w:color w:val="231F20"/>
                <w:sz w:val="15"/>
              </w:rPr>
              <w:t>episode,</w:t>
            </w:r>
            <w:r>
              <w:rPr>
                <w:color w:val="231F20"/>
                <w:spacing w:val="17"/>
                <w:sz w:val="15"/>
              </w:rPr>
              <w:t> </w:t>
            </w:r>
            <w:r>
              <w:rPr>
                <w:i/>
                <w:color w:val="231F20"/>
                <w:spacing w:val="-5"/>
                <w:sz w:val="15"/>
              </w:rPr>
              <w:t>or</w:t>
            </w:r>
          </w:p>
          <w:p>
            <w:pPr>
              <w:pStyle w:val="TableParagraph"/>
              <w:numPr>
                <w:ilvl w:val="0"/>
                <w:numId w:val="64"/>
              </w:numPr>
              <w:tabs>
                <w:tab w:pos="364" w:val="left" w:leader="none"/>
              </w:tabs>
              <w:spacing w:line="230" w:lineRule="auto" w:before="3" w:after="0"/>
              <w:ind w:left="364" w:right="435" w:hanging="150"/>
              <w:jc w:val="left"/>
              <w:rPr>
                <w:sz w:val="15"/>
              </w:rPr>
            </w:pPr>
            <w:r>
              <w:rPr>
                <w:color w:val="231F20"/>
                <w:sz w:val="15"/>
              </w:rPr>
              <w:t>Video/EEG/EMG documenting head nodding </w:t>
            </w:r>
            <w:r>
              <w:rPr>
                <w:color w:val="231F20"/>
                <w:sz w:val="15"/>
              </w:rPr>
              <w:t>as atonic seizures</w:t>
            </w:r>
          </w:p>
        </w:tc>
      </w:tr>
    </w:tbl>
    <w:p>
      <w:pPr>
        <w:pStyle w:val="BodyText"/>
        <w:spacing w:before="75"/>
        <w:ind w:left="822" w:right="493"/>
      </w:pPr>
      <w:r>
        <w:rPr>
          <w:color w:val="231F20"/>
        </w:rPr>
        <w:t>*The consensus case definition was drafted at the first International Scientific Meeting on Nodding Syndrome, held July 30–August 1, 2012, in Kampala, Uganda.</w:t>
      </w:r>
      <w:r>
        <w:rPr>
          <w:color w:val="231F20"/>
          <w:spacing w:val="40"/>
        </w:rPr>
        <w:t> </w:t>
      </w:r>
      <w:r>
        <w:rPr>
          <w:color w:val="231F20"/>
        </w:rPr>
        <w:t>Meeting</w:t>
      </w:r>
      <w:r>
        <w:rPr>
          <w:color w:val="231F20"/>
          <w:spacing w:val="-10"/>
        </w:rPr>
        <w:t> </w:t>
      </w:r>
      <w:r>
        <w:rPr>
          <w:color w:val="231F20"/>
        </w:rPr>
        <w:t>report</w:t>
      </w:r>
      <w:r>
        <w:rPr>
          <w:color w:val="231F20"/>
          <w:spacing w:val="-10"/>
        </w:rPr>
        <w:t> </w:t>
      </w:r>
      <w:r>
        <w:rPr>
          <w:color w:val="231F20"/>
        </w:rPr>
        <w:t>available</w:t>
      </w:r>
      <w:r>
        <w:rPr>
          <w:color w:val="231F20"/>
          <w:spacing w:val="-10"/>
        </w:rPr>
        <w:t> </w:t>
      </w:r>
      <w:r>
        <w:rPr>
          <w:color w:val="231F20"/>
        </w:rPr>
        <w:t>at</w:t>
      </w:r>
      <w:r>
        <w:rPr>
          <w:color w:val="231F20"/>
          <w:spacing w:val="-10"/>
        </w:rPr>
        <w:t> </w:t>
      </w:r>
      <w:hyperlink r:id="rId296">
        <w:r>
          <w:rPr>
            <w:color w:val="0080AC"/>
          </w:rPr>
          <w:t>http://www.who.int/neglected_diseases/diseases/Nodding_syndrom_Kampala_Report_2012.pdf</w:t>
        </w:r>
        <w:r>
          <w:rPr>
            <w:color w:val="231F20"/>
          </w:rPr>
          <w:t>.</w:t>
        </w:r>
      </w:hyperlink>
      <w:r>
        <w:rPr>
          <w:color w:val="231F20"/>
          <w:spacing w:val="-9"/>
        </w:rPr>
        <w:t> </w:t>
      </w:r>
      <w:r>
        <w:rPr>
          <w:color w:val="231F20"/>
        </w:rPr>
        <w:t>The</w:t>
      </w:r>
      <w:r>
        <w:rPr>
          <w:color w:val="231F20"/>
          <w:spacing w:val="-10"/>
        </w:rPr>
        <w:t> </w:t>
      </w:r>
      <w:r>
        <w:rPr>
          <w:color w:val="231F20"/>
        </w:rPr>
        <w:t>modified</w:t>
      </w:r>
      <w:r>
        <w:rPr>
          <w:color w:val="231F20"/>
          <w:spacing w:val="-10"/>
        </w:rPr>
        <w:t> </w:t>
      </w:r>
      <w:r>
        <w:rPr>
          <w:color w:val="231F20"/>
        </w:rPr>
        <w:t>consensus</w:t>
      </w:r>
      <w:r>
        <w:rPr>
          <w:color w:val="231F20"/>
          <w:spacing w:val="-10"/>
        </w:rPr>
        <w:t> </w:t>
      </w:r>
      <w:r>
        <w:rPr>
          <w:color w:val="231F20"/>
        </w:rPr>
        <w:t>case</w:t>
      </w:r>
      <w:r>
        <w:rPr>
          <w:color w:val="231F20"/>
          <w:spacing w:val="-10"/>
        </w:rPr>
        <w:t> </w:t>
      </w:r>
      <w:r>
        <w:rPr>
          <w:color w:val="231F20"/>
        </w:rPr>
        <w:t>definition</w:t>
      </w:r>
      <w:r>
        <w:rPr>
          <w:color w:val="231F20"/>
          <w:spacing w:val="40"/>
        </w:rPr>
        <w:t> </w:t>
      </w:r>
      <w:r>
        <w:rPr>
          <w:color w:val="231F20"/>
        </w:rPr>
        <w:t>was developed during the March 2013 single-stage cluster survey conducted by Centers for Disease Control and Prevention (CDC) and the Ugandan Ministry of</w:t>
      </w:r>
      <w:r>
        <w:rPr>
          <w:color w:val="231F20"/>
          <w:spacing w:val="40"/>
        </w:rPr>
        <w:t> </w:t>
      </w:r>
      <w:r>
        <w:rPr>
          <w:color w:val="231F20"/>
        </w:rPr>
        <w:t>Health to assess prevalence of nodding syndrome in Uganda.</w:t>
      </w:r>
    </w:p>
    <w:p>
      <w:pPr>
        <w:pStyle w:val="BodyText"/>
        <w:spacing w:line="143" w:lineRule="exact"/>
        <w:ind w:left="953"/>
      </w:pPr>
      <w:r>
        <w:rPr>
          <w:color w:val="231F20"/>
        </w:rPr>
        <w:t>EEG,</w:t>
      </w:r>
      <w:r>
        <w:rPr>
          <w:color w:val="231F20"/>
          <w:spacing w:val="10"/>
        </w:rPr>
        <w:t> </w:t>
      </w:r>
      <w:r>
        <w:rPr>
          <w:color w:val="231F20"/>
        </w:rPr>
        <w:t>electroencephalographic;</w:t>
      </w:r>
      <w:r>
        <w:rPr>
          <w:color w:val="231F20"/>
          <w:spacing w:val="11"/>
        </w:rPr>
        <w:t> </w:t>
      </w:r>
      <w:r>
        <w:rPr>
          <w:color w:val="231F20"/>
        </w:rPr>
        <w:t>EMG,</w:t>
      </w:r>
      <w:r>
        <w:rPr>
          <w:color w:val="231F20"/>
          <w:spacing w:val="10"/>
        </w:rPr>
        <w:t> </w:t>
      </w:r>
      <w:r>
        <w:rPr>
          <w:color w:val="231F20"/>
          <w:spacing w:val="-2"/>
        </w:rPr>
        <w:t>electromyographic.</w:t>
      </w:r>
    </w:p>
    <w:p>
      <w:pPr>
        <w:spacing w:line="150" w:lineRule="exact" w:before="0"/>
        <w:ind w:left="953" w:right="0" w:firstLine="0"/>
        <w:jc w:val="left"/>
        <w:rPr>
          <w:i/>
          <w:sz w:val="13"/>
        </w:rPr>
      </w:pPr>
      <w:r>
        <w:rPr>
          <w:i/>
          <w:color w:val="231F20"/>
          <w:sz w:val="13"/>
        </w:rPr>
        <w:t>From</w:t>
      </w:r>
      <w:r>
        <w:rPr>
          <w:i/>
          <w:color w:val="231F20"/>
          <w:spacing w:val="1"/>
          <w:sz w:val="13"/>
        </w:rPr>
        <w:t> </w:t>
      </w:r>
      <w:r>
        <w:rPr>
          <w:i/>
          <w:color w:val="231F20"/>
          <w:sz w:val="13"/>
        </w:rPr>
        <w:t>Iyengar</w:t>
      </w:r>
      <w:r>
        <w:rPr>
          <w:i/>
          <w:color w:val="231F20"/>
          <w:spacing w:val="1"/>
          <w:sz w:val="13"/>
        </w:rPr>
        <w:t> </w:t>
      </w:r>
      <w:r>
        <w:rPr>
          <w:i/>
          <w:color w:val="231F20"/>
          <w:sz w:val="13"/>
        </w:rPr>
        <w:t>PJ,</w:t>
      </w:r>
      <w:r>
        <w:rPr>
          <w:i/>
          <w:color w:val="231F20"/>
          <w:spacing w:val="1"/>
          <w:sz w:val="13"/>
        </w:rPr>
        <w:t> </w:t>
      </w:r>
      <w:r>
        <w:rPr>
          <w:i/>
          <w:color w:val="231F20"/>
          <w:sz w:val="13"/>
        </w:rPr>
        <w:t>Wamala</w:t>
      </w:r>
      <w:r>
        <w:rPr>
          <w:i/>
          <w:color w:val="231F20"/>
          <w:spacing w:val="1"/>
          <w:sz w:val="13"/>
        </w:rPr>
        <w:t> </w:t>
      </w:r>
      <w:r>
        <w:rPr>
          <w:i/>
          <w:color w:val="231F20"/>
          <w:sz w:val="13"/>
        </w:rPr>
        <w:t>J,</w:t>
      </w:r>
      <w:r>
        <w:rPr>
          <w:i/>
          <w:color w:val="231F20"/>
          <w:spacing w:val="2"/>
          <w:sz w:val="13"/>
        </w:rPr>
        <w:t> </w:t>
      </w:r>
      <w:r>
        <w:rPr>
          <w:i/>
          <w:color w:val="231F20"/>
          <w:sz w:val="13"/>
        </w:rPr>
        <w:t>Ratto</w:t>
      </w:r>
      <w:r>
        <w:rPr>
          <w:i/>
          <w:color w:val="231F20"/>
          <w:spacing w:val="1"/>
          <w:sz w:val="13"/>
        </w:rPr>
        <w:t> </w:t>
      </w:r>
      <w:r>
        <w:rPr>
          <w:i/>
          <w:color w:val="231F20"/>
          <w:sz w:val="13"/>
        </w:rPr>
        <w:t>J,</w:t>
      </w:r>
      <w:r>
        <w:rPr>
          <w:i/>
          <w:color w:val="231F20"/>
          <w:spacing w:val="1"/>
          <w:sz w:val="13"/>
        </w:rPr>
        <w:t> </w:t>
      </w:r>
      <w:r>
        <w:rPr>
          <w:i/>
          <w:color w:val="231F20"/>
          <w:sz w:val="13"/>
        </w:rPr>
        <w:t>et</w:t>
      </w:r>
      <w:r>
        <w:rPr>
          <w:i/>
          <w:color w:val="231F20"/>
          <w:spacing w:val="1"/>
          <w:sz w:val="13"/>
        </w:rPr>
        <w:t> </w:t>
      </w:r>
      <w:r>
        <w:rPr>
          <w:i/>
          <w:color w:val="231F20"/>
          <w:sz w:val="13"/>
        </w:rPr>
        <w:t>al:</w:t>
      </w:r>
      <w:r>
        <w:rPr>
          <w:i/>
          <w:color w:val="231F20"/>
          <w:spacing w:val="1"/>
          <w:sz w:val="13"/>
        </w:rPr>
        <w:t> </w:t>
      </w:r>
      <w:r>
        <w:rPr>
          <w:i/>
          <w:color w:val="231F20"/>
          <w:sz w:val="13"/>
        </w:rPr>
        <w:t>Prevalence</w:t>
      </w:r>
      <w:r>
        <w:rPr>
          <w:i/>
          <w:color w:val="231F20"/>
          <w:spacing w:val="2"/>
          <w:sz w:val="13"/>
        </w:rPr>
        <w:t> </w:t>
      </w:r>
      <w:r>
        <w:rPr>
          <w:i/>
          <w:color w:val="231F20"/>
          <w:sz w:val="13"/>
        </w:rPr>
        <w:t>of</w:t>
      </w:r>
      <w:r>
        <w:rPr>
          <w:i/>
          <w:color w:val="231F20"/>
          <w:spacing w:val="1"/>
          <w:sz w:val="13"/>
        </w:rPr>
        <w:t> </w:t>
      </w:r>
      <w:r>
        <w:rPr>
          <w:i/>
          <w:color w:val="231F20"/>
          <w:sz w:val="13"/>
        </w:rPr>
        <w:t>nodding</w:t>
      </w:r>
      <w:r>
        <w:rPr>
          <w:i/>
          <w:color w:val="231F20"/>
          <w:spacing w:val="1"/>
          <w:sz w:val="13"/>
        </w:rPr>
        <w:t> </w:t>
      </w:r>
      <w:r>
        <w:rPr>
          <w:i/>
          <w:color w:val="231F20"/>
          <w:sz w:val="13"/>
        </w:rPr>
        <w:t>syndrome–Uganda,</w:t>
      </w:r>
      <w:r>
        <w:rPr>
          <w:i/>
          <w:color w:val="231F20"/>
          <w:spacing w:val="1"/>
          <w:sz w:val="13"/>
        </w:rPr>
        <w:t> </w:t>
      </w:r>
      <w:r>
        <w:rPr>
          <w:i/>
          <w:color w:val="231F20"/>
          <w:sz w:val="13"/>
        </w:rPr>
        <w:t>2012-2013.</w:t>
      </w:r>
      <w:r>
        <w:rPr>
          <w:i/>
          <w:color w:val="231F20"/>
          <w:spacing w:val="1"/>
          <w:sz w:val="13"/>
        </w:rPr>
        <w:t> </w:t>
      </w:r>
      <w:r>
        <w:rPr>
          <w:color w:val="231F20"/>
          <w:sz w:val="13"/>
        </w:rPr>
        <w:t>MMWR</w:t>
      </w:r>
      <w:r>
        <w:rPr>
          <w:color w:val="231F20"/>
          <w:spacing w:val="2"/>
          <w:sz w:val="13"/>
        </w:rPr>
        <w:t> </w:t>
      </w:r>
      <w:r>
        <w:rPr>
          <w:color w:val="231F20"/>
          <w:sz w:val="13"/>
        </w:rPr>
        <w:t>Morb</w:t>
      </w:r>
      <w:r>
        <w:rPr>
          <w:color w:val="231F20"/>
          <w:spacing w:val="1"/>
          <w:sz w:val="13"/>
        </w:rPr>
        <w:t> </w:t>
      </w:r>
      <w:r>
        <w:rPr>
          <w:color w:val="231F20"/>
          <w:sz w:val="13"/>
        </w:rPr>
        <w:t>Mortal</w:t>
      </w:r>
      <w:r>
        <w:rPr>
          <w:color w:val="231F20"/>
          <w:spacing w:val="1"/>
          <w:sz w:val="13"/>
        </w:rPr>
        <w:t> </w:t>
      </w:r>
      <w:r>
        <w:rPr>
          <w:color w:val="231F20"/>
          <w:sz w:val="13"/>
        </w:rPr>
        <w:t>Wkly</w:t>
      </w:r>
      <w:r>
        <w:rPr>
          <w:color w:val="231F20"/>
          <w:spacing w:val="1"/>
          <w:sz w:val="13"/>
        </w:rPr>
        <w:t> </w:t>
      </w:r>
      <w:r>
        <w:rPr>
          <w:color w:val="231F20"/>
          <w:sz w:val="13"/>
        </w:rPr>
        <w:t>Rep</w:t>
      </w:r>
      <w:r>
        <w:rPr>
          <w:color w:val="231F20"/>
          <w:spacing w:val="1"/>
          <w:sz w:val="13"/>
        </w:rPr>
        <w:t> </w:t>
      </w:r>
      <w:r>
        <w:rPr>
          <w:i/>
          <w:color w:val="231F20"/>
          <w:sz w:val="13"/>
        </w:rPr>
        <w:t>63:603–606,</w:t>
      </w:r>
      <w:r>
        <w:rPr>
          <w:i/>
          <w:color w:val="231F20"/>
          <w:spacing w:val="1"/>
          <w:sz w:val="13"/>
        </w:rPr>
        <w:t> </w:t>
      </w:r>
      <w:r>
        <w:rPr>
          <w:i/>
          <w:color w:val="231F20"/>
          <w:sz w:val="13"/>
        </w:rPr>
        <w:t>2014,</w:t>
      </w:r>
      <w:r>
        <w:rPr>
          <w:i/>
          <w:color w:val="231F20"/>
          <w:spacing w:val="2"/>
          <w:sz w:val="13"/>
        </w:rPr>
        <w:t> </w:t>
      </w:r>
      <w:r>
        <w:rPr>
          <w:i/>
          <w:color w:val="231F20"/>
          <w:sz w:val="13"/>
        </w:rPr>
        <w:t>Table</w:t>
      </w:r>
      <w:r>
        <w:rPr>
          <w:i/>
          <w:color w:val="231F20"/>
          <w:spacing w:val="1"/>
          <w:sz w:val="13"/>
        </w:rPr>
        <w:t> </w:t>
      </w:r>
      <w:r>
        <w:rPr>
          <w:i/>
          <w:color w:val="231F20"/>
          <w:spacing w:val="-5"/>
          <w:sz w:val="13"/>
        </w:rPr>
        <w:t>1.</w:t>
      </w:r>
    </w:p>
    <w:p>
      <w:pPr>
        <w:pStyle w:val="BodyText"/>
        <w:rPr>
          <w:i/>
          <w:sz w:val="20"/>
        </w:rPr>
      </w:pPr>
    </w:p>
    <w:p>
      <w:pPr>
        <w:pStyle w:val="BodyText"/>
        <w:spacing w:before="191" w:after="1"/>
        <w:rPr>
          <w:i/>
          <w:sz w:val="20"/>
        </w:rPr>
      </w:pPr>
    </w:p>
    <w:tbl>
      <w:tblPr>
        <w:tblW w:w="0" w:type="auto"/>
        <w:jc w:val="left"/>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2"/>
        <w:gridCol w:w="1347"/>
        <w:gridCol w:w="1571"/>
        <w:gridCol w:w="5620"/>
      </w:tblGrid>
      <w:tr>
        <w:trPr>
          <w:trHeight w:val="354" w:hRule="atLeast"/>
        </w:trPr>
        <w:tc>
          <w:tcPr>
            <w:tcW w:w="1222" w:type="dxa"/>
            <w:tcBorders>
              <w:right w:val="single" w:sz="8" w:space="0" w:color="FFFFFF"/>
            </w:tcBorders>
            <w:shd w:val="clear" w:color="auto" w:fill="231F20"/>
          </w:tcPr>
          <w:p>
            <w:pPr>
              <w:pStyle w:val="TableParagraph"/>
              <w:spacing w:before="89"/>
              <w:ind w:left="111"/>
              <w:rPr>
                <w:b/>
                <w:sz w:val="16"/>
              </w:rPr>
            </w:pPr>
            <w:r>
              <w:rPr>
                <w:b/>
                <w:color w:val="FFFFFF"/>
                <w:sz w:val="16"/>
              </w:rPr>
              <w:t>Table</w:t>
            </w:r>
            <w:r>
              <w:rPr>
                <w:b/>
                <w:color w:val="FFFFFF"/>
                <w:spacing w:val="25"/>
                <w:sz w:val="16"/>
              </w:rPr>
              <w:t> </w:t>
            </w:r>
            <w:r>
              <w:rPr>
                <w:b/>
                <w:color w:val="FFFFFF"/>
                <w:sz w:val="16"/>
              </w:rPr>
              <w:t>593-</w:t>
            </w:r>
            <w:r>
              <w:rPr>
                <w:b/>
                <w:color w:val="FFFFFF"/>
                <w:spacing w:val="-5"/>
                <w:sz w:val="16"/>
              </w:rPr>
              <w:t>18</w:t>
            </w:r>
          </w:p>
        </w:tc>
        <w:tc>
          <w:tcPr>
            <w:tcW w:w="8538" w:type="dxa"/>
            <w:gridSpan w:val="3"/>
            <w:tcBorders>
              <w:left w:val="single" w:sz="8" w:space="0" w:color="FFFFFF"/>
            </w:tcBorders>
            <w:shd w:val="clear" w:color="auto" w:fill="231F20"/>
          </w:tcPr>
          <w:p>
            <w:pPr>
              <w:pStyle w:val="TableParagraph"/>
              <w:spacing w:before="89"/>
              <w:ind w:left="74"/>
              <w:rPr>
                <w:sz w:val="16"/>
              </w:rPr>
            </w:pPr>
            <w:r>
              <w:rPr>
                <w:color w:val="FFFFFF"/>
                <w:w w:val="105"/>
                <w:sz w:val="16"/>
              </w:rPr>
              <w:t>Doses</w:t>
            </w:r>
            <w:r>
              <w:rPr>
                <w:color w:val="FFFFFF"/>
                <w:spacing w:val="17"/>
                <w:w w:val="105"/>
                <w:sz w:val="16"/>
              </w:rPr>
              <w:t> </w:t>
            </w:r>
            <w:r>
              <w:rPr>
                <w:color w:val="FFFFFF"/>
                <w:w w:val="105"/>
                <w:sz w:val="16"/>
              </w:rPr>
              <w:t>of</w:t>
            </w:r>
            <w:r>
              <w:rPr>
                <w:color w:val="FFFFFF"/>
                <w:spacing w:val="18"/>
                <w:w w:val="105"/>
                <w:sz w:val="16"/>
              </w:rPr>
              <w:t> </w:t>
            </w:r>
            <w:r>
              <w:rPr>
                <w:color w:val="FFFFFF"/>
                <w:w w:val="105"/>
                <w:sz w:val="16"/>
              </w:rPr>
              <w:t>Commonly</w:t>
            </w:r>
            <w:r>
              <w:rPr>
                <w:color w:val="FFFFFF"/>
                <w:spacing w:val="18"/>
                <w:w w:val="105"/>
                <w:sz w:val="16"/>
              </w:rPr>
              <w:t> </w:t>
            </w:r>
            <w:r>
              <w:rPr>
                <w:color w:val="FFFFFF"/>
                <w:w w:val="105"/>
                <w:sz w:val="16"/>
              </w:rPr>
              <w:t>Used</w:t>
            </w:r>
            <w:r>
              <w:rPr>
                <w:color w:val="FFFFFF"/>
                <w:spacing w:val="18"/>
                <w:w w:val="105"/>
                <w:sz w:val="16"/>
              </w:rPr>
              <w:t> </w:t>
            </w:r>
            <w:r>
              <w:rPr>
                <w:color w:val="FFFFFF"/>
                <w:w w:val="105"/>
                <w:sz w:val="16"/>
              </w:rPr>
              <w:t>Antiepileptic</w:t>
            </w:r>
            <w:r>
              <w:rPr>
                <w:color w:val="FFFFFF"/>
                <w:spacing w:val="18"/>
                <w:w w:val="105"/>
                <w:sz w:val="16"/>
              </w:rPr>
              <w:t> </w:t>
            </w:r>
            <w:r>
              <w:rPr>
                <w:color w:val="FFFFFF"/>
                <w:w w:val="105"/>
                <w:sz w:val="16"/>
              </w:rPr>
              <w:t>Drugs</w:t>
            </w:r>
            <w:r>
              <w:rPr>
                <w:color w:val="FFFFFF"/>
                <w:spacing w:val="18"/>
                <w:w w:val="105"/>
                <w:sz w:val="16"/>
              </w:rPr>
              <w:t> </w:t>
            </w:r>
            <w:r>
              <w:rPr>
                <w:color w:val="FFFFFF"/>
                <w:w w:val="105"/>
                <w:sz w:val="16"/>
              </w:rPr>
              <w:t>in</w:t>
            </w:r>
            <w:r>
              <w:rPr>
                <w:color w:val="FFFFFF"/>
                <w:spacing w:val="17"/>
                <w:w w:val="105"/>
                <w:sz w:val="16"/>
              </w:rPr>
              <w:t> </w:t>
            </w:r>
            <w:r>
              <w:rPr>
                <w:color w:val="FFFFFF"/>
                <w:w w:val="105"/>
                <w:sz w:val="16"/>
              </w:rPr>
              <w:t>Status</w:t>
            </w:r>
            <w:r>
              <w:rPr>
                <w:color w:val="FFFFFF"/>
                <w:spacing w:val="18"/>
                <w:w w:val="105"/>
                <w:sz w:val="16"/>
              </w:rPr>
              <w:t> </w:t>
            </w:r>
            <w:r>
              <w:rPr>
                <w:color w:val="FFFFFF"/>
                <w:spacing w:val="-2"/>
                <w:w w:val="105"/>
                <w:sz w:val="16"/>
              </w:rPr>
              <w:t>Epilepticus</w:t>
            </w:r>
          </w:p>
        </w:tc>
      </w:tr>
      <w:tr>
        <w:trPr>
          <w:trHeight w:val="276" w:hRule="atLeast"/>
        </w:trPr>
        <w:tc>
          <w:tcPr>
            <w:tcW w:w="2569" w:type="dxa"/>
            <w:gridSpan w:val="2"/>
            <w:tcBorders>
              <w:bottom w:val="single" w:sz="4" w:space="0" w:color="231F20"/>
            </w:tcBorders>
            <w:shd w:val="clear" w:color="auto" w:fill="E8F5F1"/>
          </w:tcPr>
          <w:p>
            <w:pPr>
              <w:pStyle w:val="TableParagraph"/>
              <w:spacing w:before="66"/>
              <w:ind w:left="74"/>
              <w:rPr>
                <w:sz w:val="15"/>
              </w:rPr>
            </w:pPr>
            <w:r>
              <w:rPr>
                <w:b/>
                <w:color w:val="231F20"/>
                <w:spacing w:val="-2"/>
                <w:w w:val="115"/>
                <w:sz w:val="15"/>
              </w:rPr>
              <w:t>DRUG</w:t>
            </w:r>
            <w:r>
              <w:rPr>
                <w:color w:val="0080AC"/>
                <w:spacing w:val="-2"/>
                <w:w w:val="115"/>
                <w:sz w:val="15"/>
              </w:rPr>
              <w:t>*</w:t>
            </w:r>
          </w:p>
        </w:tc>
        <w:tc>
          <w:tcPr>
            <w:tcW w:w="1571" w:type="dxa"/>
            <w:tcBorders>
              <w:bottom w:val="single" w:sz="4" w:space="0" w:color="231F20"/>
            </w:tcBorders>
            <w:shd w:val="clear" w:color="auto" w:fill="E8F5F1"/>
          </w:tcPr>
          <w:p>
            <w:pPr>
              <w:pStyle w:val="TableParagraph"/>
              <w:spacing w:before="66"/>
              <w:ind w:left="264"/>
              <w:rPr>
                <w:b/>
                <w:sz w:val="15"/>
              </w:rPr>
            </w:pPr>
            <w:r>
              <w:rPr>
                <w:b/>
                <w:color w:val="231F20"/>
                <w:spacing w:val="-2"/>
                <w:w w:val="105"/>
                <w:sz w:val="15"/>
              </w:rPr>
              <w:t>ROUTE</w:t>
            </w:r>
          </w:p>
        </w:tc>
        <w:tc>
          <w:tcPr>
            <w:tcW w:w="5620" w:type="dxa"/>
            <w:tcBorders>
              <w:bottom w:val="single" w:sz="4" w:space="0" w:color="231F20"/>
            </w:tcBorders>
            <w:shd w:val="clear" w:color="auto" w:fill="E8F5F1"/>
          </w:tcPr>
          <w:p>
            <w:pPr>
              <w:pStyle w:val="TableParagraph"/>
              <w:spacing w:before="66"/>
              <w:ind w:left="512"/>
              <w:jc w:val="center"/>
              <w:rPr>
                <w:b/>
                <w:sz w:val="15"/>
              </w:rPr>
            </w:pPr>
            <w:r>
              <w:rPr>
                <w:b/>
                <w:color w:val="231F20"/>
                <w:spacing w:val="-2"/>
                <w:w w:val="115"/>
                <w:sz w:val="15"/>
              </w:rPr>
              <w:t>DOSAGE</w:t>
            </w:r>
          </w:p>
        </w:tc>
      </w:tr>
      <w:tr>
        <w:trPr>
          <w:trHeight w:val="426" w:hRule="atLeast"/>
        </w:trPr>
        <w:tc>
          <w:tcPr>
            <w:tcW w:w="2569"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Lorazepam</w:t>
            </w:r>
          </w:p>
        </w:tc>
        <w:tc>
          <w:tcPr>
            <w:tcW w:w="1571" w:type="dxa"/>
            <w:tcBorders>
              <w:top w:val="single" w:sz="4" w:space="0" w:color="231F20"/>
              <w:bottom w:val="single" w:sz="4" w:space="0" w:color="FFFFFF"/>
            </w:tcBorders>
            <w:shd w:val="clear" w:color="auto" w:fill="E8F5F1"/>
          </w:tcPr>
          <w:p>
            <w:pPr>
              <w:pStyle w:val="TableParagraph"/>
              <w:spacing w:line="232" w:lineRule="auto" w:before="51"/>
              <w:ind w:left="74" w:right="718"/>
              <w:rPr>
                <w:sz w:val="15"/>
              </w:rPr>
            </w:pPr>
            <w:r>
              <w:rPr>
                <w:color w:val="231F20"/>
                <w:spacing w:val="-2"/>
                <w:sz w:val="15"/>
              </w:rPr>
              <w:t>Intravenous Intranasal</w:t>
            </w:r>
          </w:p>
        </w:tc>
        <w:tc>
          <w:tcPr>
            <w:tcW w:w="5620" w:type="dxa"/>
            <w:tcBorders>
              <w:top w:val="single" w:sz="4" w:space="0" w:color="231F20"/>
              <w:bottom w:val="single" w:sz="4" w:space="0" w:color="FFFFFF"/>
            </w:tcBorders>
            <w:shd w:val="clear" w:color="auto" w:fill="E8F5F1"/>
          </w:tcPr>
          <w:p>
            <w:pPr>
              <w:pStyle w:val="TableParagraph"/>
              <w:spacing w:line="172" w:lineRule="exact" w:before="47"/>
              <w:ind w:left="606"/>
              <w:rPr>
                <w:sz w:val="15"/>
              </w:rPr>
            </w:pPr>
            <w:r>
              <w:rPr>
                <w:color w:val="231F20"/>
                <w:sz w:val="15"/>
              </w:rPr>
              <w:t>0.1</w:t>
            </w:r>
            <w:r>
              <w:rPr>
                <w:color w:val="231F20"/>
                <w:spacing w:val="-5"/>
                <w:sz w:val="15"/>
              </w:rPr>
              <w:t> </w:t>
            </w:r>
            <w:r>
              <w:rPr>
                <w:color w:val="231F20"/>
                <w:sz w:val="15"/>
              </w:rPr>
              <w:t>mg/kg</w:t>
            </w:r>
            <w:r>
              <w:rPr>
                <w:color w:val="231F20"/>
                <w:spacing w:val="-5"/>
                <w:sz w:val="15"/>
              </w:rPr>
              <w:t> </w:t>
            </w:r>
            <w:r>
              <w:rPr>
                <w:color w:val="231F20"/>
                <w:sz w:val="15"/>
              </w:rPr>
              <w:t>up</w:t>
            </w:r>
            <w:r>
              <w:rPr>
                <w:color w:val="231F20"/>
                <w:spacing w:val="-5"/>
                <w:sz w:val="15"/>
              </w:rPr>
              <w:t> </w:t>
            </w:r>
            <w:r>
              <w:rPr>
                <w:color w:val="231F20"/>
                <w:sz w:val="15"/>
              </w:rPr>
              <w:t>to</w:t>
            </w:r>
            <w:r>
              <w:rPr>
                <w:color w:val="231F20"/>
                <w:spacing w:val="-5"/>
                <w:sz w:val="15"/>
              </w:rPr>
              <w:t> </w:t>
            </w:r>
            <w:r>
              <w:rPr>
                <w:color w:val="231F20"/>
                <w:sz w:val="15"/>
              </w:rPr>
              <w:t>4</w:t>
            </w:r>
            <w:r>
              <w:rPr>
                <w:color w:val="231F20"/>
                <w:spacing w:val="-5"/>
                <w:sz w:val="15"/>
              </w:rPr>
              <w:t> </w:t>
            </w:r>
            <w:r>
              <w:rPr>
                <w:color w:val="231F20"/>
                <w:sz w:val="15"/>
              </w:rPr>
              <w:t>mg</w:t>
            </w:r>
            <w:r>
              <w:rPr>
                <w:color w:val="231F20"/>
                <w:spacing w:val="-5"/>
                <w:sz w:val="15"/>
              </w:rPr>
              <w:t> </w:t>
            </w:r>
            <w:r>
              <w:rPr>
                <w:color w:val="231F20"/>
                <w:sz w:val="15"/>
              </w:rPr>
              <w:t>total,</w:t>
            </w:r>
            <w:r>
              <w:rPr>
                <w:color w:val="231F20"/>
                <w:spacing w:val="-5"/>
                <w:sz w:val="15"/>
              </w:rPr>
              <w:t> </w:t>
            </w:r>
            <w:r>
              <w:rPr>
                <w:color w:val="231F20"/>
                <w:sz w:val="15"/>
              </w:rPr>
              <w:t>may</w:t>
            </w:r>
            <w:r>
              <w:rPr>
                <w:color w:val="231F20"/>
                <w:spacing w:val="-4"/>
                <w:sz w:val="15"/>
              </w:rPr>
              <w:t> </w:t>
            </w:r>
            <w:r>
              <w:rPr>
                <w:color w:val="231F20"/>
                <w:sz w:val="15"/>
              </w:rPr>
              <w:t>repeat</w:t>
            </w:r>
            <w:r>
              <w:rPr>
                <w:color w:val="231F20"/>
                <w:spacing w:val="-5"/>
                <w:sz w:val="15"/>
              </w:rPr>
              <w:t> </w:t>
            </w:r>
            <w:r>
              <w:rPr>
                <w:color w:val="231F20"/>
                <w:sz w:val="15"/>
              </w:rPr>
              <w:t>in</w:t>
            </w:r>
            <w:r>
              <w:rPr>
                <w:color w:val="231F20"/>
                <w:spacing w:val="-5"/>
                <w:sz w:val="15"/>
              </w:rPr>
              <w:t> </w:t>
            </w:r>
            <w:r>
              <w:rPr>
                <w:color w:val="231F20"/>
                <w:sz w:val="15"/>
              </w:rPr>
              <w:t>5-10</w:t>
            </w:r>
            <w:r>
              <w:rPr>
                <w:color w:val="231F20"/>
                <w:spacing w:val="-5"/>
                <w:sz w:val="15"/>
              </w:rPr>
              <w:t> min</w:t>
            </w:r>
          </w:p>
          <w:p>
            <w:pPr>
              <w:pStyle w:val="TableParagraph"/>
              <w:spacing w:line="172" w:lineRule="exact"/>
              <w:ind w:left="606"/>
              <w:rPr>
                <w:sz w:val="15"/>
              </w:rPr>
            </w:pPr>
            <w:r>
              <w:rPr>
                <w:color w:val="231F20"/>
                <w:spacing w:val="-4"/>
                <w:sz w:val="15"/>
              </w:rPr>
              <w:t>0.1</w:t>
            </w:r>
            <w:r>
              <w:rPr>
                <w:color w:val="231F20"/>
                <w:spacing w:val="-7"/>
                <w:sz w:val="15"/>
              </w:rPr>
              <w:t> </w:t>
            </w:r>
            <w:r>
              <w:rPr>
                <w:color w:val="231F20"/>
                <w:spacing w:val="-2"/>
                <w:sz w:val="15"/>
              </w:rPr>
              <w:t>mg/kg</w:t>
            </w:r>
          </w:p>
        </w:tc>
      </w:tr>
      <w:tr>
        <w:trPr>
          <w:trHeight w:val="928" w:hRule="atLeast"/>
        </w:trPr>
        <w:tc>
          <w:tcPr>
            <w:tcW w:w="2569" w:type="dxa"/>
            <w:gridSpan w:val="2"/>
            <w:vMerge w:val="restart"/>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Midazolam</w:t>
            </w:r>
          </w:p>
          <w:p>
            <w:pPr>
              <w:pStyle w:val="TableParagraph"/>
              <w:rPr>
                <w:i/>
                <w:sz w:val="15"/>
              </w:rPr>
            </w:pPr>
          </w:p>
          <w:p>
            <w:pPr>
              <w:pStyle w:val="TableParagraph"/>
              <w:rPr>
                <w:i/>
                <w:sz w:val="15"/>
              </w:rPr>
            </w:pPr>
          </w:p>
          <w:p>
            <w:pPr>
              <w:pStyle w:val="TableParagraph"/>
              <w:rPr>
                <w:i/>
                <w:sz w:val="15"/>
              </w:rPr>
            </w:pPr>
          </w:p>
          <w:p>
            <w:pPr>
              <w:pStyle w:val="TableParagraph"/>
              <w:spacing w:before="68"/>
              <w:rPr>
                <w:i/>
                <w:sz w:val="15"/>
              </w:rPr>
            </w:pPr>
          </w:p>
          <w:p>
            <w:pPr>
              <w:pStyle w:val="TableParagraph"/>
              <w:ind w:left="74"/>
              <w:rPr>
                <w:sz w:val="15"/>
              </w:rPr>
            </w:pPr>
            <w:r>
              <w:rPr>
                <w:color w:val="231F20"/>
                <w:spacing w:val="-2"/>
                <w:sz w:val="15"/>
              </w:rPr>
              <w:t>Diazepam</w:t>
            </w:r>
          </w:p>
        </w:tc>
        <w:tc>
          <w:tcPr>
            <w:tcW w:w="1571"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Intravenous</w:t>
            </w:r>
          </w:p>
          <w:p>
            <w:pPr>
              <w:pStyle w:val="TableParagraph"/>
              <w:spacing w:line="232" w:lineRule="auto" w:before="167"/>
              <w:ind w:left="75" w:right="602"/>
              <w:rPr>
                <w:sz w:val="15"/>
              </w:rPr>
            </w:pPr>
            <w:r>
              <w:rPr>
                <w:color w:val="231F20"/>
                <w:spacing w:val="-4"/>
                <w:sz w:val="15"/>
              </w:rPr>
              <w:t>Intramuscular </w:t>
            </w:r>
            <w:r>
              <w:rPr>
                <w:color w:val="231F20"/>
                <w:spacing w:val="-2"/>
                <w:sz w:val="15"/>
              </w:rPr>
              <w:t>Intranasal Buccal</w:t>
            </w:r>
          </w:p>
        </w:tc>
        <w:tc>
          <w:tcPr>
            <w:tcW w:w="5620" w:type="dxa"/>
            <w:tcBorders>
              <w:top w:val="single" w:sz="4" w:space="0" w:color="FFFFFF"/>
              <w:bottom w:val="single" w:sz="4" w:space="0" w:color="FFFFFF"/>
            </w:tcBorders>
            <w:shd w:val="clear" w:color="auto" w:fill="E8F5F1"/>
          </w:tcPr>
          <w:p>
            <w:pPr>
              <w:pStyle w:val="TableParagraph"/>
              <w:spacing w:line="230" w:lineRule="auto" w:before="48"/>
              <w:ind w:left="606" w:right="1113"/>
              <w:rPr>
                <w:sz w:val="15"/>
              </w:rPr>
            </w:pPr>
            <w:r>
              <w:rPr>
                <w:color w:val="231F20"/>
                <w:sz w:val="15"/>
              </w:rPr>
              <w:t>0.2</w:t>
            </w:r>
            <w:r>
              <w:rPr>
                <w:color w:val="231F20"/>
                <w:spacing w:val="-5"/>
                <w:sz w:val="15"/>
              </w:rPr>
              <w:t> </w:t>
            </w:r>
            <w:r>
              <w:rPr>
                <w:color w:val="231F20"/>
                <w:sz w:val="15"/>
              </w:rPr>
              <w:t>mg/kg</w:t>
            </w:r>
            <w:r>
              <w:rPr>
                <w:color w:val="231F20"/>
                <w:spacing w:val="-5"/>
                <w:sz w:val="15"/>
              </w:rPr>
              <w:t> </w:t>
            </w:r>
            <w:r>
              <w:rPr>
                <w:color w:val="231F20"/>
                <w:sz w:val="15"/>
              </w:rPr>
              <w:t>up</w:t>
            </w:r>
            <w:r>
              <w:rPr>
                <w:color w:val="231F20"/>
                <w:spacing w:val="-5"/>
                <w:sz w:val="15"/>
              </w:rPr>
              <w:t> </w:t>
            </w:r>
            <w:r>
              <w:rPr>
                <w:color w:val="231F20"/>
                <w:sz w:val="15"/>
              </w:rPr>
              <w:t>to</w:t>
            </w:r>
            <w:r>
              <w:rPr>
                <w:color w:val="231F20"/>
                <w:spacing w:val="-5"/>
                <w:sz w:val="15"/>
              </w:rPr>
              <w:t> </w:t>
            </w:r>
            <w:r>
              <w:rPr>
                <w:color w:val="231F20"/>
                <w:sz w:val="15"/>
              </w:rPr>
              <w:t>10</w:t>
            </w:r>
            <w:r>
              <w:rPr>
                <w:color w:val="231F20"/>
                <w:spacing w:val="-5"/>
                <w:sz w:val="15"/>
              </w:rPr>
              <w:t> </w:t>
            </w:r>
            <w:r>
              <w:rPr>
                <w:color w:val="231F20"/>
                <w:sz w:val="15"/>
              </w:rPr>
              <w:t>mg</w:t>
            </w:r>
            <w:r>
              <w:rPr>
                <w:color w:val="231F20"/>
                <w:spacing w:val="-5"/>
                <w:sz w:val="15"/>
              </w:rPr>
              <w:t> </w:t>
            </w:r>
            <w:r>
              <w:rPr>
                <w:color w:val="231F20"/>
                <w:sz w:val="15"/>
              </w:rPr>
              <w:t>total</w:t>
            </w:r>
            <w:r>
              <w:rPr>
                <w:color w:val="231F20"/>
                <w:spacing w:val="-5"/>
                <w:sz w:val="15"/>
              </w:rPr>
              <w:t> </w:t>
            </w:r>
            <w:r>
              <w:rPr>
                <w:color w:val="231F20"/>
                <w:sz w:val="15"/>
              </w:rPr>
              <w:t>dose,</w:t>
            </w:r>
            <w:r>
              <w:rPr>
                <w:color w:val="231F20"/>
                <w:spacing w:val="-5"/>
                <w:sz w:val="15"/>
              </w:rPr>
              <w:t> </w:t>
            </w:r>
            <w:r>
              <w:rPr>
                <w:color w:val="231F20"/>
                <w:sz w:val="15"/>
              </w:rPr>
              <w:t>may</w:t>
            </w:r>
            <w:r>
              <w:rPr>
                <w:color w:val="231F20"/>
                <w:spacing w:val="-5"/>
                <w:sz w:val="15"/>
              </w:rPr>
              <w:t> </w:t>
            </w:r>
            <w:r>
              <w:rPr>
                <w:color w:val="231F20"/>
                <w:sz w:val="15"/>
              </w:rPr>
              <w:t>repeat</w:t>
            </w:r>
            <w:r>
              <w:rPr>
                <w:color w:val="231F20"/>
                <w:spacing w:val="-5"/>
                <w:sz w:val="15"/>
              </w:rPr>
              <w:t> </w:t>
            </w:r>
            <w:r>
              <w:rPr>
                <w:color w:val="231F20"/>
                <w:sz w:val="15"/>
              </w:rPr>
              <w:t>in</w:t>
            </w:r>
            <w:r>
              <w:rPr>
                <w:color w:val="231F20"/>
                <w:spacing w:val="-5"/>
                <w:sz w:val="15"/>
              </w:rPr>
              <w:t> </w:t>
            </w:r>
            <w:r>
              <w:rPr>
                <w:color w:val="231F20"/>
                <w:sz w:val="15"/>
              </w:rPr>
              <w:t>5-10</w:t>
            </w:r>
            <w:r>
              <w:rPr>
                <w:color w:val="231F20"/>
                <w:spacing w:val="-5"/>
                <w:sz w:val="15"/>
              </w:rPr>
              <w:t> </w:t>
            </w:r>
            <w:r>
              <w:rPr>
                <w:color w:val="231F20"/>
                <w:sz w:val="15"/>
              </w:rPr>
              <w:t>min</w:t>
            </w:r>
            <w:r>
              <w:rPr>
                <w:color w:val="231F20"/>
                <w:sz w:val="15"/>
              </w:rPr>
              <w:t> 0.08-0.23 mg/kg/hr maintenance</w:t>
            </w:r>
          </w:p>
          <w:p>
            <w:pPr>
              <w:pStyle w:val="TableParagraph"/>
              <w:spacing w:line="169" w:lineRule="exact"/>
              <w:ind w:left="606"/>
              <w:rPr>
                <w:sz w:val="15"/>
              </w:rPr>
            </w:pPr>
            <w:r>
              <w:rPr>
                <w:color w:val="231F20"/>
                <w:spacing w:val="-4"/>
                <w:sz w:val="15"/>
              </w:rPr>
              <w:t>0.2</w:t>
            </w:r>
            <w:r>
              <w:rPr>
                <w:color w:val="231F20"/>
                <w:spacing w:val="-7"/>
                <w:sz w:val="15"/>
              </w:rPr>
              <w:t> </w:t>
            </w:r>
            <w:r>
              <w:rPr>
                <w:color w:val="231F20"/>
                <w:spacing w:val="-2"/>
                <w:sz w:val="15"/>
              </w:rPr>
              <w:t>mg/kg</w:t>
            </w:r>
          </w:p>
          <w:p>
            <w:pPr>
              <w:pStyle w:val="TableParagraph"/>
              <w:spacing w:line="169" w:lineRule="exact"/>
              <w:ind w:left="606"/>
              <w:rPr>
                <w:sz w:val="15"/>
              </w:rPr>
            </w:pPr>
            <w:r>
              <w:rPr>
                <w:color w:val="231F20"/>
                <w:spacing w:val="-4"/>
                <w:sz w:val="15"/>
              </w:rPr>
              <w:t>0.2</w:t>
            </w:r>
            <w:r>
              <w:rPr>
                <w:color w:val="231F20"/>
                <w:spacing w:val="-7"/>
                <w:sz w:val="15"/>
              </w:rPr>
              <w:t> </w:t>
            </w:r>
            <w:r>
              <w:rPr>
                <w:color w:val="231F20"/>
                <w:spacing w:val="-2"/>
                <w:sz w:val="15"/>
              </w:rPr>
              <w:t>mg/kg</w:t>
            </w:r>
          </w:p>
          <w:p>
            <w:pPr>
              <w:pStyle w:val="TableParagraph"/>
              <w:spacing w:line="172" w:lineRule="exact"/>
              <w:ind w:left="606"/>
              <w:rPr>
                <w:sz w:val="15"/>
              </w:rPr>
            </w:pPr>
            <w:r>
              <w:rPr>
                <w:color w:val="231F20"/>
                <w:spacing w:val="-4"/>
                <w:sz w:val="15"/>
              </w:rPr>
              <w:t>0.5</w:t>
            </w:r>
            <w:r>
              <w:rPr>
                <w:color w:val="231F20"/>
                <w:spacing w:val="-7"/>
                <w:sz w:val="15"/>
              </w:rPr>
              <w:t> </w:t>
            </w:r>
            <w:r>
              <w:rPr>
                <w:color w:val="231F20"/>
                <w:spacing w:val="-2"/>
                <w:sz w:val="15"/>
              </w:rPr>
              <w:t>mg/kg</w:t>
            </w:r>
          </w:p>
        </w:tc>
      </w:tr>
      <w:tr>
        <w:trPr>
          <w:trHeight w:val="763" w:hRule="atLeast"/>
        </w:trPr>
        <w:tc>
          <w:tcPr>
            <w:tcW w:w="2569" w:type="dxa"/>
            <w:gridSpan w:val="2"/>
            <w:vMerge/>
            <w:tcBorders>
              <w:top w:val="nil"/>
              <w:bottom w:val="single" w:sz="4" w:space="0" w:color="FFFFFF"/>
            </w:tcBorders>
            <w:shd w:val="clear" w:color="auto" w:fill="E8F5F1"/>
          </w:tcPr>
          <w:p>
            <w:pPr>
              <w:rPr>
                <w:sz w:val="2"/>
                <w:szCs w:val="2"/>
              </w:rPr>
            </w:pPr>
          </w:p>
        </w:tc>
        <w:tc>
          <w:tcPr>
            <w:tcW w:w="1571" w:type="dxa"/>
            <w:tcBorders>
              <w:top w:val="single" w:sz="4" w:space="0" w:color="FFFFFF"/>
              <w:bottom w:val="single" w:sz="4" w:space="0" w:color="FFFFFF"/>
            </w:tcBorders>
            <w:shd w:val="clear" w:color="auto" w:fill="E8F5F1"/>
          </w:tcPr>
          <w:p>
            <w:pPr>
              <w:pStyle w:val="TableParagraph"/>
              <w:spacing w:line="259" w:lineRule="auto" w:before="42"/>
              <w:ind w:left="75" w:right="717"/>
              <w:rPr>
                <w:sz w:val="15"/>
              </w:rPr>
            </w:pPr>
            <w:r>
              <w:rPr>
                <w:color w:val="231F20"/>
                <w:spacing w:val="-2"/>
                <w:sz w:val="15"/>
              </w:rPr>
              <w:t>Intravenous Rectal</w:t>
            </w:r>
          </w:p>
        </w:tc>
        <w:tc>
          <w:tcPr>
            <w:tcW w:w="5620" w:type="dxa"/>
            <w:tcBorders>
              <w:top w:val="single" w:sz="4" w:space="0" w:color="FFFFFF"/>
              <w:bottom w:val="single" w:sz="4" w:space="0" w:color="FFFFFF"/>
            </w:tcBorders>
            <w:shd w:val="clear" w:color="auto" w:fill="E8F5F1"/>
          </w:tcPr>
          <w:p>
            <w:pPr>
              <w:pStyle w:val="TableParagraph"/>
              <w:spacing w:line="232" w:lineRule="auto" w:before="46"/>
              <w:ind w:left="607" w:right="408"/>
              <w:rPr>
                <w:sz w:val="15"/>
              </w:rPr>
            </w:pPr>
            <w:r>
              <w:rPr>
                <w:color w:val="231F20"/>
                <w:sz w:val="15"/>
              </w:rPr>
              <w:t>0.15</w:t>
            </w:r>
            <w:r>
              <w:rPr>
                <w:color w:val="231F20"/>
                <w:spacing w:val="-4"/>
                <w:sz w:val="15"/>
              </w:rPr>
              <w:t> </w:t>
            </w:r>
            <w:r>
              <w:rPr>
                <w:color w:val="231F20"/>
                <w:sz w:val="15"/>
              </w:rPr>
              <w:t>mg/kg</w:t>
            </w:r>
            <w:r>
              <w:rPr>
                <w:color w:val="231F20"/>
                <w:spacing w:val="-4"/>
                <w:sz w:val="15"/>
              </w:rPr>
              <w:t> </w:t>
            </w:r>
            <w:r>
              <w:rPr>
                <w:color w:val="231F20"/>
                <w:sz w:val="15"/>
              </w:rPr>
              <w:t>up</w:t>
            </w:r>
            <w:r>
              <w:rPr>
                <w:color w:val="231F20"/>
                <w:spacing w:val="-4"/>
                <w:sz w:val="15"/>
              </w:rPr>
              <w:t> </w:t>
            </w:r>
            <w:r>
              <w:rPr>
                <w:color w:val="231F20"/>
                <w:sz w:val="15"/>
              </w:rPr>
              <w:t>to</w:t>
            </w:r>
            <w:r>
              <w:rPr>
                <w:color w:val="231F20"/>
                <w:spacing w:val="-4"/>
                <w:sz w:val="15"/>
              </w:rPr>
              <w:t> </w:t>
            </w:r>
            <w:r>
              <w:rPr>
                <w:color w:val="231F20"/>
                <w:sz w:val="15"/>
              </w:rPr>
              <w:t>a</w:t>
            </w:r>
            <w:r>
              <w:rPr>
                <w:color w:val="231F20"/>
                <w:spacing w:val="-4"/>
                <w:sz w:val="15"/>
              </w:rPr>
              <w:t> </w:t>
            </w:r>
            <w:r>
              <w:rPr>
                <w:color w:val="231F20"/>
                <w:sz w:val="15"/>
              </w:rPr>
              <w:t>max</w:t>
            </w:r>
            <w:r>
              <w:rPr>
                <w:color w:val="231F20"/>
                <w:spacing w:val="-4"/>
                <w:sz w:val="15"/>
              </w:rPr>
              <w:t> </w:t>
            </w:r>
            <w:r>
              <w:rPr>
                <w:color w:val="231F20"/>
                <w:sz w:val="15"/>
              </w:rPr>
              <w:t>total</w:t>
            </w:r>
            <w:r>
              <w:rPr>
                <w:color w:val="231F20"/>
                <w:spacing w:val="-4"/>
                <w:sz w:val="15"/>
              </w:rPr>
              <w:t> </w:t>
            </w:r>
            <w:r>
              <w:rPr>
                <w:color w:val="231F20"/>
                <w:sz w:val="15"/>
              </w:rPr>
              <w:t>dose</w:t>
            </w:r>
            <w:r>
              <w:rPr>
                <w:color w:val="231F20"/>
                <w:spacing w:val="-4"/>
                <w:sz w:val="15"/>
              </w:rPr>
              <w:t> </w:t>
            </w:r>
            <w:r>
              <w:rPr>
                <w:color w:val="231F20"/>
                <w:sz w:val="15"/>
              </w:rPr>
              <w:t>of</w:t>
            </w:r>
            <w:r>
              <w:rPr>
                <w:color w:val="231F20"/>
                <w:spacing w:val="-4"/>
                <w:sz w:val="15"/>
              </w:rPr>
              <w:t> </w:t>
            </w:r>
            <w:r>
              <w:rPr>
                <w:color w:val="231F20"/>
                <w:sz w:val="15"/>
              </w:rPr>
              <w:t>10</w:t>
            </w:r>
            <w:r>
              <w:rPr>
                <w:color w:val="231F20"/>
                <w:spacing w:val="-4"/>
                <w:sz w:val="15"/>
              </w:rPr>
              <w:t> </w:t>
            </w:r>
            <w:r>
              <w:rPr>
                <w:color w:val="231F20"/>
                <w:sz w:val="15"/>
              </w:rPr>
              <w:t>mg,</w:t>
            </w:r>
            <w:r>
              <w:rPr>
                <w:color w:val="231F20"/>
                <w:spacing w:val="-4"/>
                <w:sz w:val="15"/>
              </w:rPr>
              <w:t> </w:t>
            </w:r>
            <w:r>
              <w:rPr>
                <w:color w:val="231F20"/>
                <w:sz w:val="15"/>
              </w:rPr>
              <w:t>may</w:t>
            </w:r>
            <w:r>
              <w:rPr>
                <w:color w:val="231F20"/>
                <w:spacing w:val="-4"/>
                <w:sz w:val="15"/>
              </w:rPr>
              <w:t> </w:t>
            </w:r>
            <w:r>
              <w:rPr>
                <w:color w:val="231F20"/>
                <w:sz w:val="15"/>
              </w:rPr>
              <w:t>repeat</w:t>
            </w:r>
            <w:r>
              <w:rPr>
                <w:color w:val="231F20"/>
                <w:spacing w:val="-4"/>
                <w:sz w:val="15"/>
              </w:rPr>
              <w:t> </w:t>
            </w:r>
            <w:r>
              <w:rPr>
                <w:color w:val="231F20"/>
                <w:sz w:val="15"/>
              </w:rPr>
              <w:t>in</w:t>
            </w:r>
            <w:r>
              <w:rPr>
                <w:color w:val="231F20"/>
                <w:spacing w:val="-4"/>
                <w:sz w:val="15"/>
              </w:rPr>
              <w:t> </w:t>
            </w:r>
            <w:r>
              <w:rPr>
                <w:color w:val="231F20"/>
                <w:sz w:val="15"/>
              </w:rPr>
              <w:t>5-10</w:t>
            </w:r>
            <w:r>
              <w:rPr>
                <w:color w:val="231F20"/>
                <w:spacing w:val="-4"/>
                <w:sz w:val="15"/>
              </w:rPr>
              <w:t> </w:t>
            </w:r>
            <w:r>
              <w:rPr>
                <w:color w:val="231F20"/>
                <w:sz w:val="15"/>
              </w:rPr>
              <w:t>min</w:t>
            </w:r>
            <w:r>
              <w:rPr>
                <w:color w:val="231F20"/>
                <w:sz w:val="15"/>
              </w:rPr>
              <w:t> 2-5 yr: 0.5 mg/kg</w:t>
            </w:r>
          </w:p>
          <w:p>
            <w:pPr>
              <w:pStyle w:val="TableParagraph"/>
              <w:spacing w:line="169" w:lineRule="exact"/>
              <w:ind w:left="607"/>
              <w:rPr>
                <w:sz w:val="15"/>
              </w:rPr>
            </w:pPr>
            <w:r>
              <w:rPr>
                <w:color w:val="231F20"/>
                <w:spacing w:val="-4"/>
                <w:sz w:val="15"/>
              </w:rPr>
              <w:t>6-11</w:t>
            </w:r>
            <w:r>
              <w:rPr>
                <w:color w:val="231F20"/>
                <w:spacing w:val="-5"/>
                <w:sz w:val="15"/>
              </w:rPr>
              <w:t> </w:t>
            </w:r>
            <w:r>
              <w:rPr>
                <w:color w:val="231F20"/>
                <w:spacing w:val="-4"/>
                <w:sz w:val="15"/>
              </w:rPr>
              <w:t>yr:</w:t>
            </w:r>
            <w:r>
              <w:rPr>
                <w:color w:val="231F20"/>
                <w:spacing w:val="-5"/>
                <w:sz w:val="15"/>
              </w:rPr>
              <w:t> </w:t>
            </w:r>
            <w:r>
              <w:rPr>
                <w:color w:val="231F20"/>
                <w:spacing w:val="-4"/>
                <w:sz w:val="15"/>
              </w:rPr>
              <w:t>0.3</w:t>
            </w:r>
            <w:r>
              <w:rPr>
                <w:color w:val="231F20"/>
                <w:spacing w:val="-5"/>
                <w:sz w:val="15"/>
              </w:rPr>
              <w:t> </w:t>
            </w:r>
            <w:r>
              <w:rPr>
                <w:color w:val="231F20"/>
                <w:spacing w:val="-4"/>
                <w:sz w:val="15"/>
              </w:rPr>
              <w:t>mg/kg</w:t>
            </w:r>
          </w:p>
          <w:p>
            <w:pPr>
              <w:pStyle w:val="TableParagraph"/>
              <w:spacing w:line="174" w:lineRule="exact"/>
              <w:ind w:left="607"/>
              <w:rPr>
                <w:sz w:val="15"/>
              </w:rPr>
            </w:pPr>
            <w:r>
              <w:rPr>
                <w:rFonts w:ascii="Cambria" w:hAnsi="Cambria"/>
                <w:color w:val="231F20"/>
                <w:spacing w:val="-4"/>
                <w:sz w:val="15"/>
              </w:rPr>
              <w:t>≥</w:t>
            </w:r>
            <w:r>
              <w:rPr>
                <w:color w:val="231F20"/>
                <w:spacing w:val="-4"/>
                <w:sz w:val="15"/>
              </w:rPr>
              <w:t>12</w:t>
            </w:r>
            <w:r>
              <w:rPr>
                <w:color w:val="231F20"/>
                <w:spacing w:val="-5"/>
                <w:sz w:val="15"/>
              </w:rPr>
              <w:t> </w:t>
            </w:r>
            <w:r>
              <w:rPr>
                <w:color w:val="231F20"/>
                <w:spacing w:val="-4"/>
                <w:sz w:val="15"/>
              </w:rPr>
              <w:t>yr:</w:t>
            </w:r>
            <w:r>
              <w:rPr>
                <w:color w:val="231F20"/>
                <w:spacing w:val="-5"/>
                <w:sz w:val="15"/>
              </w:rPr>
              <w:t> </w:t>
            </w:r>
            <w:r>
              <w:rPr>
                <w:color w:val="231F20"/>
                <w:spacing w:val="-4"/>
                <w:sz w:val="15"/>
              </w:rPr>
              <w:t>0.2</w:t>
            </w:r>
            <w:r>
              <w:rPr>
                <w:color w:val="231F20"/>
                <w:spacing w:val="-5"/>
                <w:sz w:val="15"/>
              </w:rPr>
              <w:t> </w:t>
            </w:r>
            <w:r>
              <w:rPr>
                <w:color w:val="231F20"/>
                <w:spacing w:val="-4"/>
                <w:sz w:val="15"/>
              </w:rPr>
              <w:t>mg/kg</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Fosphenytoin</w:t>
            </w:r>
          </w:p>
        </w:tc>
        <w:tc>
          <w:tcPr>
            <w:tcW w:w="1571"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7"/>
              <w:rPr>
                <w:sz w:val="15"/>
              </w:rPr>
            </w:pPr>
            <w:r>
              <w:rPr>
                <w:color w:val="231F20"/>
                <w:sz w:val="15"/>
              </w:rPr>
              <w:t>20</w:t>
            </w:r>
            <w:r>
              <w:rPr>
                <w:color w:val="231F20"/>
                <w:spacing w:val="-2"/>
                <w:sz w:val="15"/>
              </w:rPr>
              <w:t> </w:t>
            </w:r>
            <w:r>
              <w:rPr>
                <w:color w:val="231F20"/>
                <w:sz w:val="15"/>
              </w:rPr>
              <w:t>mg/kg</w:t>
            </w:r>
            <w:r>
              <w:rPr>
                <w:color w:val="231F20"/>
                <w:spacing w:val="-2"/>
                <w:sz w:val="15"/>
              </w:rPr>
              <w:t> </w:t>
            </w:r>
            <w:r>
              <w:rPr>
                <w:color w:val="231F20"/>
                <w:sz w:val="15"/>
              </w:rPr>
              <w:t>PE,</w:t>
            </w:r>
            <w:r>
              <w:rPr>
                <w:color w:val="231F20"/>
                <w:spacing w:val="-2"/>
                <w:sz w:val="15"/>
              </w:rPr>
              <w:t> </w:t>
            </w:r>
            <w:r>
              <w:rPr>
                <w:color w:val="231F20"/>
                <w:sz w:val="15"/>
              </w:rPr>
              <w:t>then</w:t>
            </w:r>
            <w:r>
              <w:rPr>
                <w:color w:val="231F20"/>
                <w:spacing w:val="-2"/>
                <w:sz w:val="15"/>
              </w:rPr>
              <w:t> </w:t>
            </w:r>
            <w:r>
              <w:rPr>
                <w:color w:val="231F20"/>
                <w:sz w:val="15"/>
              </w:rPr>
              <w:t>3-6</w:t>
            </w:r>
            <w:r>
              <w:rPr>
                <w:color w:val="231F20"/>
                <w:spacing w:val="-2"/>
                <w:sz w:val="15"/>
              </w:rPr>
              <w:t> </w:t>
            </w:r>
            <w:r>
              <w:rPr>
                <w:color w:val="231F20"/>
                <w:sz w:val="15"/>
              </w:rPr>
              <w:t>mg/kg/24</w:t>
            </w:r>
            <w:r>
              <w:rPr>
                <w:color w:val="231F20"/>
                <w:spacing w:val="-2"/>
                <w:sz w:val="15"/>
              </w:rPr>
              <w:t> </w:t>
            </w:r>
            <w:r>
              <w:rPr>
                <w:color w:val="231F20"/>
                <w:sz w:val="15"/>
              </w:rPr>
              <w:t>hr,</w:t>
            </w:r>
            <w:r>
              <w:rPr>
                <w:color w:val="231F20"/>
                <w:spacing w:val="-2"/>
                <w:sz w:val="15"/>
              </w:rPr>
              <w:t> </w:t>
            </w:r>
            <w:r>
              <w:rPr>
                <w:color w:val="231F20"/>
                <w:sz w:val="15"/>
              </w:rPr>
              <w:t>loading</w:t>
            </w:r>
            <w:r>
              <w:rPr>
                <w:color w:val="231F20"/>
                <w:spacing w:val="-2"/>
                <w:sz w:val="15"/>
              </w:rPr>
              <w:t> </w:t>
            </w:r>
            <w:r>
              <w:rPr>
                <w:color w:val="231F20"/>
                <w:sz w:val="15"/>
              </w:rPr>
              <w:t>rate</w:t>
            </w:r>
            <w:r>
              <w:rPr>
                <w:color w:val="231F20"/>
                <w:spacing w:val="-1"/>
                <w:sz w:val="15"/>
              </w:rPr>
              <w:t> </w:t>
            </w:r>
            <w:r>
              <w:rPr>
                <w:color w:val="231F20"/>
                <w:sz w:val="15"/>
              </w:rPr>
              <w:t>up</w:t>
            </w:r>
            <w:r>
              <w:rPr>
                <w:color w:val="231F20"/>
                <w:spacing w:val="-2"/>
                <w:sz w:val="15"/>
              </w:rPr>
              <w:t> </w:t>
            </w:r>
            <w:r>
              <w:rPr>
                <w:color w:val="231F20"/>
                <w:sz w:val="15"/>
              </w:rPr>
              <w:t>to</w:t>
            </w:r>
            <w:r>
              <w:rPr>
                <w:color w:val="231F20"/>
                <w:spacing w:val="-2"/>
                <w:sz w:val="15"/>
              </w:rPr>
              <w:t> </w:t>
            </w:r>
            <w:r>
              <w:rPr>
                <w:color w:val="231F20"/>
                <w:sz w:val="15"/>
              </w:rPr>
              <w:t>50</w:t>
            </w:r>
            <w:r>
              <w:rPr>
                <w:color w:val="231F20"/>
                <w:spacing w:val="-2"/>
                <w:sz w:val="15"/>
              </w:rPr>
              <w:t> </w:t>
            </w:r>
            <w:r>
              <w:rPr>
                <w:color w:val="231F20"/>
                <w:sz w:val="15"/>
              </w:rPr>
              <w:t>mg</w:t>
            </w:r>
            <w:r>
              <w:rPr>
                <w:color w:val="231F20"/>
                <w:spacing w:val="-2"/>
                <w:sz w:val="15"/>
              </w:rPr>
              <w:t> </w:t>
            </w:r>
            <w:r>
              <w:rPr>
                <w:color w:val="231F20"/>
                <w:sz w:val="15"/>
              </w:rPr>
              <w:t>PE</w:t>
            </w:r>
            <w:r>
              <w:rPr>
                <w:color w:val="231F20"/>
                <w:spacing w:val="-2"/>
                <w:sz w:val="15"/>
              </w:rPr>
              <w:t> </w:t>
            </w:r>
            <w:r>
              <w:rPr>
                <w:color w:val="231F20"/>
                <w:sz w:val="15"/>
              </w:rPr>
              <w:t>per</w:t>
            </w:r>
            <w:r>
              <w:rPr>
                <w:color w:val="231F20"/>
                <w:spacing w:val="-2"/>
                <w:sz w:val="15"/>
              </w:rPr>
              <w:t> </w:t>
            </w:r>
            <w:r>
              <w:rPr>
                <w:color w:val="231F20"/>
                <w:spacing w:val="-5"/>
                <w:sz w:val="15"/>
              </w:rPr>
              <w:t>min</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Phenobarbital</w:t>
            </w:r>
            <w:r>
              <w:rPr>
                <w:color w:val="0080AC"/>
                <w:spacing w:val="-2"/>
                <w:sz w:val="15"/>
                <w:vertAlign w:val="superscript"/>
              </w:rPr>
              <w:t>†</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z w:val="15"/>
              </w:rPr>
              <w:t>5-20</w:t>
            </w:r>
            <w:r>
              <w:rPr>
                <w:color w:val="231F20"/>
                <w:spacing w:val="-8"/>
                <w:sz w:val="15"/>
              </w:rPr>
              <w:t> </w:t>
            </w:r>
            <w:r>
              <w:rPr>
                <w:color w:val="231F20"/>
                <w:spacing w:val="-2"/>
                <w:sz w:val="15"/>
              </w:rPr>
              <w:t>mg/kg</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Pentobarbital</w:t>
            </w:r>
            <w:r>
              <w:rPr>
                <w:color w:val="231F20"/>
                <w:spacing w:val="-1"/>
                <w:sz w:val="15"/>
              </w:rPr>
              <w:t> </w:t>
            </w:r>
            <w:r>
              <w:rPr>
                <w:color w:val="231F20"/>
                <w:spacing w:val="-2"/>
                <w:sz w:val="15"/>
              </w:rPr>
              <w:t>coma</w:t>
            </w:r>
            <w:r>
              <w:rPr>
                <w:color w:val="0080AC"/>
                <w:spacing w:val="-2"/>
                <w:sz w:val="15"/>
                <w:vertAlign w:val="superscript"/>
              </w:rPr>
              <w:t>†</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z w:val="15"/>
              </w:rPr>
              <w:t>13.0</w:t>
            </w:r>
            <w:r>
              <w:rPr>
                <w:color w:val="231F20"/>
                <w:spacing w:val="-11"/>
                <w:sz w:val="15"/>
              </w:rPr>
              <w:t> </w:t>
            </w:r>
            <w:r>
              <w:rPr>
                <w:color w:val="231F20"/>
                <w:sz w:val="15"/>
              </w:rPr>
              <w:t>mg/kg,</w:t>
            </w:r>
            <w:r>
              <w:rPr>
                <w:color w:val="231F20"/>
                <w:spacing w:val="-11"/>
                <w:sz w:val="15"/>
              </w:rPr>
              <w:t> </w:t>
            </w:r>
            <w:r>
              <w:rPr>
                <w:color w:val="231F20"/>
                <w:sz w:val="15"/>
              </w:rPr>
              <w:t>then</w:t>
            </w:r>
            <w:r>
              <w:rPr>
                <w:color w:val="231F20"/>
                <w:spacing w:val="-11"/>
                <w:sz w:val="15"/>
              </w:rPr>
              <w:t> </w:t>
            </w:r>
            <w:r>
              <w:rPr>
                <w:color w:val="231F20"/>
                <w:sz w:val="15"/>
              </w:rPr>
              <w:t>1-5</w:t>
            </w:r>
            <w:r>
              <w:rPr>
                <w:color w:val="231F20"/>
                <w:spacing w:val="-11"/>
                <w:sz w:val="15"/>
              </w:rPr>
              <w:t> </w:t>
            </w:r>
            <w:r>
              <w:rPr>
                <w:color w:val="231F20"/>
                <w:spacing w:val="-2"/>
                <w:sz w:val="15"/>
              </w:rPr>
              <w:t>mg/kg/hr</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Propofol</w:t>
            </w:r>
            <w:r>
              <w:rPr>
                <w:color w:val="0080AC"/>
                <w:spacing w:val="-2"/>
                <w:sz w:val="15"/>
                <w:vertAlign w:val="superscript"/>
              </w:rPr>
              <w:t>†</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pacing w:val="-2"/>
                <w:sz w:val="15"/>
              </w:rPr>
              <w:t>1</w:t>
            </w:r>
            <w:r>
              <w:rPr>
                <w:color w:val="231F20"/>
                <w:spacing w:val="-3"/>
                <w:sz w:val="15"/>
              </w:rPr>
              <w:t> </w:t>
            </w:r>
            <w:r>
              <w:rPr>
                <w:color w:val="231F20"/>
                <w:spacing w:val="-2"/>
                <w:sz w:val="15"/>
              </w:rPr>
              <w:t>mg/kg</w:t>
            </w:r>
            <w:r>
              <w:rPr>
                <w:color w:val="231F20"/>
                <w:spacing w:val="-3"/>
                <w:sz w:val="15"/>
              </w:rPr>
              <w:t> </w:t>
            </w:r>
            <w:r>
              <w:rPr>
                <w:color w:val="231F20"/>
                <w:spacing w:val="-2"/>
                <w:sz w:val="15"/>
              </w:rPr>
              <w:t>(bolus),</w:t>
            </w:r>
            <w:r>
              <w:rPr>
                <w:color w:val="231F20"/>
                <w:spacing w:val="-3"/>
                <w:sz w:val="15"/>
              </w:rPr>
              <w:t> </w:t>
            </w:r>
            <w:r>
              <w:rPr>
                <w:color w:val="231F20"/>
                <w:spacing w:val="-2"/>
                <w:sz w:val="15"/>
              </w:rPr>
              <w:t>then 1-15</w:t>
            </w:r>
            <w:r>
              <w:rPr>
                <w:color w:val="231F20"/>
                <w:spacing w:val="-3"/>
                <w:sz w:val="15"/>
              </w:rPr>
              <w:t> </w:t>
            </w:r>
            <w:r>
              <w:rPr>
                <w:color w:val="231F20"/>
                <w:spacing w:val="-2"/>
                <w:sz w:val="15"/>
              </w:rPr>
              <w:t>mg/kg/hr</w:t>
            </w:r>
            <w:r>
              <w:rPr>
                <w:color w:val="231F20"/>
                <w:spacing w:val="-3"/>
                <w:sz w:val="15"/>
              </w:rPr>
              <w:t> </w:t>
            </w:r>
            <w:r>
              <w:rPr>
                <w:color w:val="231F20"/>
                <w:spacing w:val="-2"/>
                <w:sz w:val="15"/>
              </w:rPr>
              <w:t>(infusion)</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Thiopental</w:t>
            </w:r>
            <w:r>
              <w:rPr>
                <w:color w:val="0080AC"/>
                <w:spacing w:val="-2"/>
                <w:sz w:val="15"/>
                <w:vertAlign w:val="superscript"/>
              </w:rPr>
              <w:t>†</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pacing w:val="-2"/>
                <w:sz w:val="15"/>
              </w:rPr>
              <w:t>5</w:t>
            </w:r>
            <w:r>
              <w:rPr>
                <w:color w:val="231F20"/>
                <w:spacing w:val="-6"/>
                <w:sz w:val="15"/>
              </w:rPr>
              <w:t> </w:t>
            </w:r>
            <w:r>
              <w:rPr>
                <w:color w:val="231F20"/>
                <w:spacing w:val="-2"/>
                <w:sz w:val="15"/>
              </w:rPr>
              <w:t>mg/kg/1st</w:t>
            </w:r>
            <w:r>
              <w:rPr>
                <w:color w:val="231F20"/>
                <w:spacing w:val="-6"/>
                <w:sz w:val="15"/>
              </w:rPr>
              <w:t> </w:t>
            </w:r>
            <w:r>
              <w:rPr>
                <w:color w:val="231F20"/>
                <w:spacing w:val="-2"/>
                <w:sz w:val="15"/>
              </w:rPr>
              <w:t>hr,</w:t>
            </w:r>
            <w:r>
              <w:rPr>
                <w:color w:val="231F20"/>
                <w:spacing w:val="-5"/>
                <w:sz w:val="15"/>
              </w:rPr>
              <w:t> </w:t>
            </w:r>
            <w:r>
              <w:rPr>
                <w:color w:val="231F20"/>
                <w:spacing w:val="-2"/>
                <w:sz w:val="15"/>
              </w:rPr>
              <w:t>then</w:t>
            </w:r>
            <w:r>
              <w:rPr>
                <w:color w:val="231F20"/>
                <w:spacing w:val="-6"/>
                <w:sz w:val="15"/>
              </w:rPr>
              <w:t> </w:t>
            </w:r>
            <w:r>
              <w:rPr>
                <w:color w:val="231F20"/>
                <w:spacing w:val="-2"/>
                <w:sz w:val="15"/>
              </w:rPr>
              <w:t>1-2</w:t>
            </w:r>
            <w:r>
              <w:rPr>
                <w:color w:val="231F20"/>
                <w:spacing w:val="-5"/>
                <w:sz w:val="15"/>
              </w:rPr>
              <w:t> </w:t>
            </w:r>
            <w:r>
              <w:rPr>
                <w:color w:val="231F20"/>
                <w:spacing w:val="-2"/>
                <w:sz w:val="15"/>
              </w:rPr>
              <w:t>mg/kg/hr</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Valproate</w:t>
            </w:r>
            <w:r>
              <w:rPr>
                <w:color w:val="0080AC"/>
                <w:spacing w:val="-2"/>
                <w:sz w:val="15"/>
                <w:vertAlign w:val="superscript"/>
              </w:rPr>
              <w:t>†</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z w:val="15"/>
              </w:rPr>
              <w:t>Loading:</w:t>
            </w:r>
            <w:r>
              <w:rPr>
                <w:color w:val="231F20"/>
                <w:spacing w:val="-7"/>
                <w:sz w:val="15"/>
              </w:rPr>
              <w:t> </w:t>
            </w:r>
            <w:r>
              <w:rPr>
                <w:color w:val="231F20"/>
                <w:sz w:val="15"/>
              </w:rPr>
              <w:t>25</w:t>
            </w:r>
            <w:r>
              <w:rPr>
                <w:color w:val="231F20"/>
                <w:spacing w:val="-7"/>
                <w:sz w:val="15"/>
              </w:rPr>
              <w:t> </w:t>
            </w:r>
            <w:r>
              <w:rPr>
                <w:color w:val="231F20"/>
                <w:sz w:val="15"/>
              </w:rPr>
              <w:t>mg/kg,</w:t>
            </w:r>
            <w:r>
              <w:rPr>
                <w:color w:val="231F20"/>
                <w:spacing w:val="-7"/>
                <w:sz w:val="15"/>
              </w:rPr>
              <w:t> </w:t>
            </w:r>
            <w:r>
              <w:rPr>
                <w:color w:val="231F20"/>
                <w:sz w:val="15"/>
              </w:rPr>
              <w:t>then</w:t>
            </w:r>
            <w:r>
              <w:rPr>
                <w:color w:val="231F20"/>
                <w:spacing w:val="-7"/>
                <w:sz w:val="15"/>
              </w:rPr>
              <w:t> </w:t>
            </w:r>
            <w:r>
              <w:rPr>
                <w:color w:val="231F20"/>
                <w:sz w:val="15"/>
              </w:rPr>
              <w:t>30-60</w:t>
            </w:r>
            <w:r>
              <w:rPr>
                <w:color w:val="231F20"/>
                <w:spacing w:val="-7"/>
                <w:sz w:val="15"/>
              </w:rPr>
              <w:t> </w:t>
            </w:r>
            <w:r>
              <w:rPr>
                <w:color w:val="231F20"/>
                <w:sz w:val="15"/>
              </w:rPr>
              <w:t>mg/kg/24</w:t>
            </w:r>
            <w:r>
              <w:rPr>
                <w:color w:val="231F20"/>
                <w:spacing w:val="-7"/>
                <w:sz w:val="15"/>
              </w:rPr>
              <w:t> </w:t>
            </w:r>
            <w:r>
              <w:rPr>
                <w:color w:val="231F20"/>
                <w:spacing w:val="-5"/>
                <w:sz w:val="15"/>
              </w:rPr>
              <w:t>hr</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Lacosamide</w:t>
            </w:r>
            <w:r>
              <w:rPr>
                <w:color w:val="0080AC"/>
                <w:spacing w:val="-2"/>
                <w:sz w:val="15"/>
                <w:vertAlign w:val="superscript"/>
              </w:rPr>
              <w:t>†</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z w:val="15"/>
              </w:rPr>
              <w:t>Loading:</w:t>
            </w:r>
            <w:r>
              <w:rPr>
                <w:color w:val="231F20"/>
                <w:spacing w:val="-4"/>
                <w:sz w:val="15"/>
              </w:rPr>
              <w:t> </w:t>
            </w:r>
            <w:r>
              <w:rPr>
                <w:color w:val="231F20"/>
                <w:sz w:val="15"/>
              </w:rPr>
              <w:t>4</w:t>
            </w:r>
            <w:r>
              <w:rPr>
                <w:color w:val="231F20"/>
                <w:spacing w:val="-4"/>
                <w:sz w:val="15"/>
              </w:rPr>
              <w:t> </w:t>
            </w:r>
            <w:r>
              <w:rPr>
                <w:color w:val="231F20"/>
                <w:sz w:val="15"/>
              </w:rPr>
              <w:t>mg/kg</w:t>
            </w:r>
            <w:r>
              <w:rPr>
                <w:color w:val="231F20"/>
                <w:spacing w:val="-4"/>
                <w:sz w:val="15"/>
              </w:rPr>
              <w:t> </w:t>
            </w:r>
            <w:r>
              <w:rPr>
                <w:color w:val="231F20"/>
                <w:sz w:val="15"/>
              </w:rPr>
              <w:t>then</w:t>
            </w:r>
            <w:r>
              <w:rPr>
                <w:color w:val="231F20"/>
                <w:spacing w:val="-4"/>
                <w:sz w:val="15"/>
              </w:rPr>
              <w:t> </w:t>
            </w:r>
            <w:r>
              <w:rPr>
                <w:color w:val="231F20"/>
                <w:sz w:val="15"/>
              </w:rPr>
              <w:t>4-12</w:t>
            </w:r>
            <w:r>
              <w:rPr>
                <w:color w:val="231F20"/>
                <w:spacing w:val="-4"/>
                <w:sz w:val="15"/>
              </w:rPr>
              <w:t> </w:t>
            </w:r>
            <w:r>
              <w:rPr>
                <w:color w:val="231F20"/>
                <w:sz w:val="15"/>
              </w:rPr>
              <w:t>mg/kg/24</w:t>
            </w:r>
            <w:r>
              <w:rPr>
                <w:color w:val="231F20"/>
                <w:spacing w:val="-4"/>
                <w:sz w:val="15"/>
              </w:rPr>
              <w:t> </w:t>
            </w:r>
            <w:r>
              <w:rPr>
                <w:color w:val="231F20"/>
                <w:spacing w:val="-5"/>
                <w:sz w:val="15"/>
              </w:rPr>
              <w:t>hr</w:t>
            </w:r>
          </w:p>
        </w:tc>
      </w:tr>
      <w:tr>
        <w:trPr>
          <w:trHeight w:val="252" w:hRule="atLeast"/>
        </w:trPr>
        <w:tc>
          <w:tcPr>
            <w:tcW w:w="2569"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Levetiracetam</w:t>
            </w:r>
          </w:p>
        </w:tc>
        <w:tc>
          <w:tcPr>
            <w:tcW w:w="157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Intravenous</w:t>
            </w:r>
          </w:p>
        </w:tc>
        <w:tc>
          <w:tcPr>
            <w:tcW w:w="5620" w:type="dxa"/>
            <w:tcBorders>
              <w:top w:val="single" w:sz="4" w:space="0" w:color="FFFFFF"/>
              <w:bottom w:val="single" w:sz="4" w:space="0" w:color="FFFFFF"/>
            </w:tcBorders>
            <w:shd w:val="clear" w:color="auto" w:fill="E8F5F1"/>
          </w:tcPr>
          <w:p>
            <w:pPr>
              <w:pStyle w:val="TableParagraph"/>
              <w:spacing w:before="42"/>
              <w:ind w:left="606"/>
              <w:rPr>
                <w:sz w:val="15"/>
              </w:rPr>
            </w:pPr>
            <w:r>
              <w:rPr>
                <w:color w:val="231F20"/>
                <w:sz w:val="15"/>
              </w:rPr>
              <w:t>20-60</w:t>
            </w:r>
            <w:r>
              <w:rPr>
                <w:color w:val="231F20"/>
                <w:spacing w:val="-11"/>
                <w:sz w:val="15"/>
              </w:rPr>
              <w:t> </w:t>
            </w:r>
            <w:r>
              <w:rPr>
                <w:color w:val="231F20"/>
                <w:spacing w:val="-2"/>
                <w:sz w:val="15"/>
              </w:rPr>
              <w:t>mg/kg</w:t>
            </w:r>
          </w:p>
        </w:tc>
      </w:tr>
      <w:tr>
        <w:trPr>
          <w:trHeight w:val="247" w:hRule="atLeast"/>
        </w:trPr>
        <w:tc>
          <w:tcPr>
            <w:tcW w:w="2569"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Topiramate</w:t>
            </w:r>
          </w:p>
        </w:tc>
        <w:tc>
          <w:tcPr>
            <w:tcW w:w="1571"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Enterally</w:t>
            </w:r>
          </w:p>
        </w:tc>
        <w:tc>
          <w:tcPr>
            <w:tcW w:w="5620" w:type="dxa"/>
            <w:tcBorders>
              <w:top w:val="single" w:sz="4" w:space="0" w:color="FFFFFF"/>
              <w:bottom w:val="single" w:sz="8" w:space="0" w:color="231F20"/>
            </w:tcBorders>
            <w:shd w:val="clear" w:color="auto" w:fill="E8F5F1"/>
          </w:tcPr>
          <w:p>
            <w:pPr>
              <w:pStyle w:val="TableParagraph"/>
              <w:spacing w:before="42"/>
              <w:ind w:left="606"/>
              <w:rPr>
                <w:sz w:val="15"/>
              </w:rPr>
            </w:pPr>
            <w:r>
              <w:rPr>
                <w:color w:val="231F20"/>
                <w:sz w:val="15"/>
              </w:rPr>
              <w:t>5-10</w:t>
            </w:r>
            <w:r>
              <w:rPr>
                <w:color w:val="231F20"/>
                <w:spacing w:val="-7"/>
                <w:sz w:val="15"/>
              </w:rPr>
              <w:t> </w:t>
            </w:r>
            <w:r>
              <w:rPr>
                <w:color w:val="231F20"/>
                <w:sz w:val="15"/>
              </w:rPr>
              <w:t>mg/kg/24</w:t>
            </w:r>
            <w:r>
              <w:rPr>
                <w:color w:val="231F20"/>
                <w:spacing w:val="-6"/>
                <w:sz w:val="15"/>
              </w:rPr>
              <w:t> </w:t>
            </w:r>
            <w:r>
              <w:rPr>
                <w:color w:val="231F20"/>
                <w:sz w:val="15"/>
              </w:rPr>
              <w:t>hr</w:t>
            </w:r>
            <w:r>
              <w:rPr>
                <w:color w:val="231F20"/>
                <w:spacing w:val="-7"/>
                <w:sz w:val="15"/>
              </w:rPr>
              <w:t> </w:t>
            </w:r>
            <w:r>
              <w:rPr>
                <w:color w:val="231F20"/>
                <w:sz w:val="15"/>
              </w:rPr>
              <w:t>(loading</w:t>
            </w:r>
            <w:r>
              <w:rPr>
                <w:color w:val="231F20"/>
                <w:spacing w:val="-6"/>
                <w:sz w:val="15"/>
              </w:rPr>
              <w:t> </w:t>
            </w:r>
            <w:r>
              <w:rPr>
                <w:color w:val="231F20"/>
                <w:sz w:val="15"/>
              </w:rPr>
              <w:t>dose)</w:t>
            </w:r>
            <w:r>
              <w:rPr>
                <w:color w:val="231F20"/>
                <w:spacing w:val="-7"/>
                <w:sz w:val="15"/>
              </w:rPr>
              <w:t> </w:t>
            </w:r>
            <w:r>
              <w:rPr>
                <w:color w:val="231F20"/>
                <w:sz w:val="15"/>
              </w:rPr>
              <w:t>then</w:t>
            </w:r>
            <w:r>
              <w:rPr>
                <w:color w:val="231F20"/>
                <w:spacing w:val="-6"/>
                <w:sz w:val="15"/>
              </w:rPr>
              <w:t> </w:t>
            </w:r>
            <w:r>
              <w:rPr>
                <w:color w:val="231F20"/>
                <w:sz w:val="15"/>
              </w:rPr>
              <w:t>same</w:t>
            </w:r>
            <w:r>
              <w:rPr>
                <w:color w:val="231F20"/>
                <w:spacing w:val="-7"/>
                <w:sz w:val="15"/>
              </w:rPr>
              <w:t> </w:t>
            </w:r>
            <w:r>
              <w:rPr>
                <w:color w:val="231F20"/>
                <w:sz w:val="15"/>
              </w:rPr>
              <w:t>or</w:t>
            </w:r>
            <w:r>
              <w:rPr>
                <w:color w:val="231F20"/>
                <w:spacing w:val="-6"/>
                <w:sz w:val="15"/>
              </w:rPr>
              <w:t> </w:t>
            </w:r>
            <w:r>
              <w:rPr>
                <w:color w:val="231F20"/>
                <w:sz w:val="15"/>
              </w:rPr>
              <w:t>lower</w:t>
            </w:r>
            <w:r>
              <w:rPr>
                <w:color w:val="231F20"/>
                <w:spacing w:val="-7"/>
                <w:sz w:val="15"/>
              </w:rPr>
              <w:t> </w:t>
            </w:r>
            <w:r>
              <w:rPr>
                <w:color w:val="231F20"/>
                <w:sz w:val="15"/>
              </w:rPr>
              <w:t>for</w:t>
            </w:r>
            <w:r>
              <w:rPr>
                <w:color w:val="231F20"/>
                <w:spacing w:val="-6"/>
                <w:sz w:val="15"/>
              </w:rPr>
              <w:t> </w:t>
            </w:r>
            <w:r>
              <w:rPr>
                <w:color w:val="231F20"/>
                <w:spacing w:val="-2"/>
                <w:sz w:val="15"/>
              </w:rPr>
              <w:t>maintenance</w:t>
            </w:r>
          </w:p>
        </w:tc>
      </w:tr>
    </w:tbl>
    <w:p>
      <w:pPr>
        <w:pStyle w:val="BodyText"/>
        <w:spacing w:line="150" w:lineRule="exact" w:before="83"/>
        <w:ind w:left="802"/>
      </w:pPr>
      <w:r>
        <w:rPr>
          <w:color w:val="231F20"/>
        </w:rPr>
        <w:t>*Reflects</w:t>
      </w:r>
      <w:r>
        <w:rPr>
          <w:color w:val="231F20"/>
          <w:spacing w:val="2"/>
        </w:rPr>
        <w:t> </w:t>
      </w:r>
      <w:r>
        <w:rPr>
          <w:color w:val="231F20"/>
        </w:rPr>
        <w:t>current</w:t>
      </w:r>
      <w:r>
        <w:rPr>
          <w:color w:val="231F20"/>
          <w:spacing w:val="2"/>
        </w:rPr>
        <w:t> </w:t>
      </w:r>
      <w:r>
        <w:rPr>
          <w:color w:val="231F20"/>
        </w:rPr>
        <w:t>trends</w:t>
      </w:r>
      <w:r>
        <w:rPr>
          <w:color w:val="231F20"/>
          <w:spacing w:val="2"/>
        </w:rPr>
        <w:t> </w:t>
      </w:r>
      <w:r>
        <w:rPr>
          <w:color w:val="231F20"/>
        </w:rPr>
        <w:t>in</w:t>
      </w:r>
      <w:r>
        <w:rPr>
          <w:color w:val="231F20"/>
          <w:spacing w:val="2"/>
        </w:rPr>
        <w:t> </w:t>
      </w:r>
      <w:r>
        <w:rPr>
          <w:color w:val="231F20"/>
        </w:rPr>
        <w:t>use</w:t>
      </w:r>
      <w:r>
        <w:rPr>
          <w:color w:val="231F20"/>
          <w:spacing w:val="3"/>
        </w:rPr>
        <w:t> </w:t>
      </w:r>
      <w:r>
        <w:rPr>
          <w:color w:val="231F20"/>
        </w:rPr>
        <w:t>which</w:t>
      </w:r>
      <w:r>
        <w:rPr>
          <w:color w:val="231F20"/>
          <w:spacing w:val="2"/>
        </w:rPr>
        <w:t> </w:t>
      </w:r>
      <w:r>
        <w:rPr>
          <w:color w:val="231F20"/>
        </w:rPr>
        <w:t>may</w:t>
      </w:r>
      <w:r>
        <w:rPr>
          <w:color w:val="231F20"/>
          <w:spacing w:val="2"/>
        </w:rPr>
        <w:t> </w:t>
      </w:r>
      <w:r>
        <w:rPr>
          <w:color w:val="231F20"/>
        </w:rPr>
        <w:t>not</w:t>
      </w:r>
      <w:r>
        <w:rPr>
          <w:color w:val="231F20"/>
          <w:spacing w:val="2"/>
        </w:rPr>
        <w:t> </w:t>
      </w:r>
      <w:r>
        <w:rPr>
          <w:color w:val="231F20"/>
        </w:rPr>
        <w:t>be</w:t>
      </w:r>
      <w:r>
        <w:rPr>
          <w:color w:val="231F20"/>
          <w:spacing w:val="2"/>
        </w:rPr>
        <w:t> </w:t>
      </w:r>
      <w:r>
        <w:rPr>
          <w:color w:val="231F20"/>
        </w:rPr>
        <w:t>FDA</w:t>
      </w:r>
      <w:r>
        <w:rPr>
          <w:color w:val="231F20"/>
          <w:spacing w:val="3"/>
        </w:rPr>
        <w:t> </w:t>
      </w:r>
      <w:r>
        <w:rPr>
          <w:color w:val="231F20"/>
        </w:rPr>
        <w:t>approved.</w:t>
      </w:r>
      <w:r>
        <w:rPr>
          <w:color w:val="231F20"/>
          <w:spacing w:val="2"/>
        </w:rPr>
        <w:t> </w:t>
      </w:r>
      <w:r>
        <w:rPr>
          <w:color w:val="231F20"/>
        </w:rPr>
        <w:t>For</w:t>
      </w:r>
      <w:r>
        <w:rPr>
          <w:color w:val="231F20"/>
          <w:spacing w:val="2"/>
        </w:rPr>
        <w:t> </w:t>
      </w:r>
      <w:r>
        <w:rPr>
          <w:color w:val="231F20"/>
        </w:rPr>
        <w:t>FDA</w:t>
      </w:r>
      <w:r>
        <w:rPr>
          <w:color w:val="231F20"/>
          <w:spacing w:val="2"/>
        </w:rPr>
        <w:t> </w:t>
      </w:r>
      <w:r>
        <w:rPr>
          <w:color w:val="231F20"/>
        </w:rPr>
        <w:t>indications,</w:t>
      </w:r>
      <w:r>
        <w:rPr>
          <w:color w:val="231F20"/>
          <w:spacing w:val="2"/>
        </w:rPr>
        <w:t> </w:t>
      </w:r>
      <w:r>
        <w:rPr>
          <w:color w:val="231F20"/>
        </w:rPr>
        <w:t>see</w:t>
      </w:r>
      <w:r>
        <w:rPr>
          <w:color w:val="231F20"/>
          <w:spacing w:val="3"/>
        </w:rPr>
        <w:t> </w:t>
      </w:r>
      <w:r>
        <w:rPr>
          <w:color w:val="0080AC"/>
        </w:rPr>
        <w:t>Table</w:t>
      </w:r>
      <w:r>
        <w:rPr>
          <w:color w:val="0080AC"/>
          <w:spacing w:val="2"/>
        </w:rPr>
        <w:t> </w:t>
      </w:r>
      <w:r>
        <w:rPr>
          <w:color w:val="0080AC"/>
        </w:rPr>
        <w:t>593-</w:t>
      </w:r>
      <w:r>
        <w:rPr>
          <w:color w:val="0080AC"/>
          <w:spacing w:val="-5"/>
        </w:rPr>
        <w:t>13</w:t>
      </w:r>
      <w:r>
        <w:rPr>
          <w:color w:val="231F20"/>
          <w:spacing w:val="-5"/>
        </w:rPr>
        <w:t>.</w:t>
      </w:r>
    </w:p>
    <w:p>
      <w:pPr>
        <w:pStyle w:val="BodyText"/>
        <w:spacing w:line="149" w:lineRule="exact"/>
        <w:ind w:left="933"/>
      </w:pPr>
      <w:r>
        <w:rPr>
          <w:color w:val="231F20"/>
          <w:vertAlign w:val="superscript"/>
        </w:rPr>
        <w:t>†</w:t>
      </w:r>
      <w:r>
        <w:rPr>
          <w:color w:val="231F20"/>
          <w:vertAlign w:val="baseline"/>
        </w:rPr>
        <w:t>May</w:t>
      </w:r>
      <w:r>
        <w:rPr>
          <w:color w:val="231F20"/>
          <w:spacing w:val="10"/>
          <w:vertAlign w:val="baseline"/>
        </w:rPr>
        <w:t> </w:t>
      </w:r>
      <w:r>
        <w:rPr>
          <w:color w:val="231F20"/>
          <w:vertAlign w:val="baseline"/>
        </w:rPr>
        <w:t>cause</w:t>
      </w:r>
      <w:r>
        <w:rPr>
          <w:color w:val="231F20"/>
          <w:spacing w:val="10"/>
          <w:vertAlign w:val="baseline"/>
        </w:rPr>
        <w:t> </w:t>
      </w:r>
      <w:r>
        <w:rPr>
          <w:color w:val="231F20"/>
          <w:vertAlign w:val="baseline"/>
        </w:rPr>
        <w:t>PR</w:t>
      </w:r>
      <w:r>
        <w:rPr>
          <w:color w:val="231F20"/>
          <w:spacing w:val="10"/>
          <w:vertAlign w:val="baseline"/>
        </w:rPr>
        <w:t> </w:t>
      </w:r>
      <w:r>
        <w:rPr>
          <w:color w:val="231F20"/>
          <w:spacing w:val="-2"/>
          <w:vertAlign w:val="baseline"/>
        </w:rPr>
        <w:t>prolongation.</w:t>
      </w:r>
    </w:p>
    <w:p>
      <w:pPr>
        <w:pStyle w:val="BodyText"/>
        <w:spacing w:line="150" w:lineRule="exact"/>
        <w:ind w:left="933"/>
      </w:pPr>
      <w:r>
        <w:rPr>
          <w:color w:val="231F20"/>
        </w:rPr>
        <w:t>PE,</w:t>
      </w:r>
      <w:r>
        <w:rPr>
          <w:color w:val="231F20"/>
          <w:spacing w:val="5"/>
        </w:rPr>
        <w:t> </w:t>
      </w:r>
      <w:r>
        <w:rPr>
          <w:color w:val="231F20"/>
        </w:rPr>
        <w:t>phenytoin</w:t>
      </w:r>
      <w:r>
        <w:rPr>
          <w:color w:val="231F20"/>
          <w:spacing w:val="5"/>
        </w:rPr>
        <w:t> </w:t>
      </w:r>
      <w:r>
        <w:rPr>
          <w:color w:val="231F20"/>
        </w:rPr>
        <w:t>sodium</w:t>
      </w:r>
      <w:r>
        <w:rPr>
          <w:color w:val="231F20"/>
          <w:spacing w:val="5"/>
        </w:rPr>
        <w:t> </w:t>
      </w:r>
      <w:r>
        <w:rPr>
          <w:color w:val="231F20"/>
          <w:spacing w:val="-2"/>
        </w:rPr>
        <w:t>equivalents.</w:t>
      </w:r>
    </w:p>
    <w:p>
      <w:pPr>
        <w:pStyle w:val="BodyText"/>
        <w:spacing w:after="0" w:line="150" w:lineRule="exact"/>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651" name="Group 651"/>
                <wp:cNvGraphicFramePr>
                  <a:graphicFrameLocks/>
                </wp:cNvGraphicFramePr>
                <a:graphic>
                  <a:graphicData uri="http://schemas.microsoft.com/office/word/2010/wordprocessingGroup">
                    <wpg:wgp>
                      <wpg:cNvPr id="651" name="Group 651"/>
                      <wpg:cNvGrpSpPr/>
                      <wpg:grpSpPr>
                        <a:xfrm>
                          <a:off x="0" y="0"/>
                          <a:ext cx="6185535" cy="170815"/>
                          <a:chExt cx="6185535" cy="170815"/>
                        </a:xfrm>
                      </wpg:grpSpPr>
                      <wps:wsp>
                        <wps:cNvPr id="652" name="Graphic 652"/>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53" name="Graphic 653"/>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54" name="Textbox 654"/>
                        <wps:cNvSpPr txBox="1"/>
                        <wps:spPr>
                          <a:xfrm>
                            <a:off x="0" y="0"/>
                            <a:ext cx="6185535" cy="170815"/>
                          </a:xfrm>
                          <a:prstGeom prst="rect">
                            <a:avLst/>
                          </a:prstGeom>
                        </wps:spPr>
                        <wps:txbx>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2827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57"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58" filled="false" stroked="false">
                  <v:textbox inset="0,0,0,0">
                    <w:txbxContent>
                      <w:p>
                        <w:pPr>
                          <w:spacing w:before="6"/>
                          <w:ind w:left="5855" w:right="0" w:firstLine="0"/>
                          <w:jc w:val="left"/>
                          <w:rPr>
                            <w:b/>
                            <w:sz w:val="18"/>
                          </w:rPr>
                        </w:pPr>
                        <w:r>
                          <w:rPr>
                            <w:b/>
                            <w:color w:val="007431"/>
                            <w:w w:val="105"/>
                            <w:sz w:val="18"/>
                          </w:rPr>
                          <w:t>Chapter</w:t>
                        </w:r>
                        <w:r>
                          <w:rPr>
                            <w:b/>
                            <w:color w:val="007431"/>
                            <w:spacing w:val="10"/>
                            <w:w w:val="105"/>
                            <w:sz w:val="18"/>
                          </w:rPr>
                          <w:t> </w:t>
                        </w:r>
                        <w:r>
                          <w:rPr>
                            <w:b/>
                            <w:color w:val="007431"/>
                            <w:w w:val="105"/>
                            <w:sz w:val="18"/>
                          </w:rPr>
                          <w:t>593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Seizures</w:t>
                        </w:r>
                        <w:r>
                          <w:rPr>
                            <w:color w:val="231F20"/>
                            <w:spacing w:val="6"/>
                            <w:w w:val="105"/>
                            <w:sz w:val="18"/>
                          </w:rPr>
                          <w:t> </w:t>
                        </w:r>
                        <w:r>
                          <w:rPr>
                            <w:color w:val="231F20"/>
                            <w:w w:val="105"/>
                            <w:sz w:val="18"/>
                          </w:rPr>
                          <w:t>in</w:t>
                        </w:r>
                        <w:r>
                          <w:rPr>
                            <w:color w:val="231F20"/>
                            <w:spacing w:val="7"/>
                            <w:w w:val="105"/>
                            <w:sz w:val="18"/>
                          </w:rPr>
                          <w:t> </w:t>
                        </w:r>
                        <w:r>
                          <w:rPr>
                            <w:color w:val="231F20"/>
                            <w:w w:val="105"/>
                            <w:sz w:val="18"/>
                          </w:rPr>
                          <w:t>Childhood</w:t>
                        </w:r>
                        <w:r>
                          <w:rPr>
                            <w:color w:val="231F20"/>
                            <w:spacing w:val="37"/>
                            <w:w w:val="105"/>
                            <w:sz w:val="18"/>
                          </w:rPr>
                          <w:t>  </w:t>
                        </w:r>
                        <w:r>
                          <w:rPr>
                            <w:b/>
                            <w:color w:val="231F20"/>
                            <w:spacing w:val="-4"/>
                            <w:w w:val="105"/>
                            <w:sz w:val="18"/>
                          </w:rPr>
                          <w:t>2827</w:t>
                        </w:r>
                      </w:p>
                    </w:txbxContent>
                  </v:textbox>
                  <w10:wrap type="none"/>
                </v:shape>
              </v:group>
            </w:pict>
          </mc:Fallback>
        </mc:AlternateContent>
      </w:r>
      <w:r>
        <w:rPr>
          <w:sz w:val="20"/>
        </w:rPr>
      </w:r>
    </w:p>
    <w:p>
      <w:pPr>
        <w:pStyle w:val="BodyText"/>
        <w:spacing w:before="4"/>
        <w:rPr>
          <w:sz w:val="16"/>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9"/>
        <w:gridCol w:w="3231"/>
        <w:gridCol w:w="3269"/>
      </w:tblGrid>
      <w:tr>
        <w:trPr>
          <w:trHeight w:val="382" w:hRule="atLeast"/>
        </w:trPr>
        <w:tc>
          <w:tcPr>
            <w:tcW w:w="9739" w:type="dxa"/>
            <w:gridSpan w:val="3"/>
            <w:shd w:val="clear" w:color="auto" w:fill="231F20"/>
          </w:tcPr>
          <w:p>
            <w:pPr>
              <w:pStyle w:val="TableParagraph"/>
              <w:spacing w:before="89"/>
              <w:ind w:left="111"/>
              <w:rPr>
                <w:sz w:val="16"/>
              </w:rPr>
            </w:pPr>
            <w:r>
              <w:rPr>
                <w:b/>
                <w:color w:val="FFFFFF"/>
                <w:w w:val="105"/>
                <w:sz w:val="16"/>
              </w:rPr>
              <w:t>Table</w:t>
            </w:r>
            <w:r>
              <w:rPr>
                <w:b/>
                <w:color w:val="FFFFFF"/>
                <w:spacing w:val="7"/>
                <w:w w:val="105"/>
                <w:sz w:val="16"/>
              </w:rPr>
              <w:t> </w:t>
            </w:r>
            <w:r>
              <w:rPr>
                <w:b/>
                <w:color w:val="FFFFFF"/>
                <w:w w:val="105"/>
                <w:sz w:val="16"/>
              </w:rPr>
              <w:t>593-3</w:t>
            </w:r>
            <w:r>
              <w:rPr>
                <w:b/>
                <w:color w:val="FFFFFF"/>
                <w:spacing w:val="36"/>
                <w:w w:val="105"/>
                <w:sz w:val="16"/>
              </w:rPr>
              <w:t>  </w:t>
            </w:r>
            <w:r>
              <w:rPr>
                <w:color w:val="FFFFFF"/>
                <w:w w:val="105"/>
                <w:sz w:val="16"/>
              </w:rPr>
              <w:t>Identified</w:t>
            </w:r>
            <w:r>
              <w:rPr>
                <w:color w:val="FFFFFF"/>
                <w:spacing w:val="5"/>
                <w:w w:val="105"/>
                <w:sz w:val="16"/>
              </w:rPr>
              <w:t> </w:t>
            </w:r>
            <w:r>
              <w:rPr>
                <w:color w:val="FFFFFF"/>
                <w:w w:val="105"/>
                <w:sz w:val="16"/>
              </w:rPr>
              <w:t>Genes</w:t>
            </w:r>
            <w:r>
              <w:rPr>
                <w:color w:val="FFFFFF"/>
                <w:spacing w:val="3"/>
                <w:w w:val="105"/>
                <w:sz w:val="16"/>
              </w:rPr>
              <w:t> </w:t>
            </w:r>
            <w:r>
              <w:rPr>
                <w:color w:val="FFFFFF"/>
                <w:w w:val="105"/>
                <w:sz w:val="16"/>
              </w:rPr>
              <w:t>for</w:t>
            </w:r>
            <w:r>
              <w:rPr>
                <w:color w:val="FFFFFF"/>
                <w:spacing w:val="4"/>
                <w:w w:val="105"/>
                <w:sz w:val="16"/>
              </w:rPr>
              <w:t> </w:t>
            </w:r>
            <w:r>
              <w:rPr>
                <w:color w:val="FFFFFF"/>
                <w:w w:val="105"/>
                <w:sz w:val="16"/>
              </w:rPr>
              <w:t>Epilepsy</w:t>
            </w:r>
            <w:r>
              <w:rPr>
                <w:color w:val="FFFFFF"/>
                <w:spacing w:val="4"/>
                <w:w w:val="105"/>
                <w:sz w:val="16"/>
              </w:rPr>
              <w:t> </w:t>
            </w:r>
            <w:r>
              <w:rPr>
                <w:color w:val="FFFFFF"/>
                <w:spacing w:val="-2"/>
                <w:w w:val="105"/>
                <w:sz w:val="16"/>
              </w:rPr>
              <w:t>Syndromes</w:t>
            </w:r>
            <w:r>
              <w:rPr>
                <w:color w:val="0080AC"/>
                <w:spacing w:val="-2"/>
                <w:w w:val="105"/>
                <w:sz w:val="16"/>
              </w:rPr>
              <w:t>*</w:t>
            </w:r>
            <w:r>
              <w:rPr>
                <w:color w:val="0080AC"/>
                <w:spacing w:val="-2"/>
                <w:w w:val="105"/>
                <w:sz w:val="16"/>
                <w:vertAlign w:val="superscript"/>
              </w:rPr>
              <w:t>†</w:t>
            </w:r>
          </w:p>
        </w:tc>
      </w:tr>
      <w:tr>
        <w:trPr>
          <w:trHeight w:val="248" w:hRule="atLeast"/>
        </w:trPr>
        <w:tc>
          <w:tcPr>
            <w:tcW w:w="3239" w:type="dxa"/>
            <w:tcBorders>
              <w:bottom w:val="single" w:sz="4" w:space="0" w:color="231F20"/>
            </w:tcBorders>
            <w:shd w:val="clear" w:color="auto" w:fill="E8F5F1"/>
          </w:tcPr>
          <w:p>
            <w:pPr>
              <w:pStyle w:val="TableParagraph"/>
              <w:spacing w:before="38"/>
              <w:ind w:left="74"/>
              <w:rPr>
                <w:b/>
                <w:sz w:val="15"/>
              </w:rPr>
            </w:pPr>
            <w:r>
              <w:rPr>
                <w:b/>
                <w:color w:val="231F20"/>
                <w:w w:val="105"/>
                <w:sz w:val="15"/>
              </w:rPr>
              <w:t>EPILEPSY</w:t>
            </w:r>
            <w:r>
              <w:rPr>
                <w:b/>
                <w:color w:val="231F20"/>
                <w:spacing w:val="11"/>
                <w:w w:val="105"/>
                <w:sz w:val="15"/>
              </w:rPr>
              <w:t> </w:t>
            </w:r>
            <w:r>
              <w:rPr>
                <w:b/>
                <w:color w:val="231F20"/>
                <w:spacing w:val="-4"/>
                <w:w w:val="105"/>
                <w:sz w:val="15"/>
              </w:rPr>
              <w:t>TYPE</w:t>
            </w:r>
          </w:p>
        </w:tc>
        <w:tc>
          <w:tcPr>
            <w:tcW w:w="3231" w:type="dxa"/>
            <w:tcBorders>
              <w:bottom w:val="single" w:sz="4" w:space="0" w:color="231F20"/>
            </w:tcBorders>
            <w:shd w:val="clear" w:color="auto" w:fill="E8F5F1"/>
          </w:tcPr>
          <w:p>
            <w:pPr>
              <w:pStyle w:val="TableParagraph"/>
              <w:spacing w:before="38"/>
              <w:ind w:left="31"/>
              <w:jc w:val="center"/>
              <w:rPr>
                <w:b/>
                <w:sz w:val="15"/>
              </w:rPr>
            </w:pPr>
            <w:r>
              <w:rPr>
                <w:b/>
                <w:color w:val="231F20"/>
                <w:spacing w:val="-4"/>
                <w:w w:val="115"/>
                <w:sz w:val="15"/>
              </w:rPr>
              <w:t>GENE</w:t>
            </w:r>
          </w:p>
        </w:tc>
        <w:tc>
          <w:tcPr>
            <w:tcW w:w="3269" w:type="dxa"/>
            <w:tcBorders>
              <w:bottom w:val="single" w:sz="4" w:space="0" w:color="231F20"/>
            </w:tcBorders>
            <w:shd w:val="clear" w:color="auto" w:fill="E8F5F1"/>
          </w:tcPr>
          <w:p>
            <w:pPr>
              <w:pStyle w:val="TableParagraph"/>
              <w:spacing w:before="38"/>
              <w:ind w:left="25"/>
              <w:jc w:val="center"/>
              <w:rPr>
                <w:b/>
                <w:sz w:val="15"/>
              </w:rPr>
            </w:pPr>
            <w:r>
              <w:rPr>
                <w:b/>
                <w:color w:val="231F20"/>
                <w:spacing w:val="-2"/>
                <w:w w:val="110"/>
                <w:sz w:val="15"/>
              </w:rPr>
              <w:t>PROTEIN</w:t>
            </w:r>
          </w:p>
        </w:tc>
      </w:tr>
      <w:tr>
        <w:trPr>
          <w:trHeight w:val="2510" w:hRule="atLeast"/>
        </w:trPr>
        <w:tc>
          <w:tcPr>
            <w:tcW w:w="3239" w:type="dxa"/>
            <w:tcBorders>
              <w:top w:val="single" w:sz="4" w:space="0" w:color="231F20"/>
            </w:tcBorders>
            <w:shd w:val="clear" w:color="auto" w:fill="E8F5F1"/>
          </w:tcPr>
          <w:p>
            <w:pPr>
              <w:pStyle w:val="TableParagraph"/>
              <w:spacing w:line="172" w:lineRule="exact" w:before="47"/>
              <w:ind w:left="74"/>
              <w:rPr>
                <w:sz w:val="15"/>
              </w:rPr>
            </w:pPr>
            <w:r>
              <w:rPr>
                <w:color w:val="231F20"/>
                <w:w w:val="110"/>
                <w:sz w:val="15"/>
              </w:rPr>
              <w:t>INFANTILE</w:t>
            </w:r>
            <w:r>
              <w:rPr>
                <w:color w:val="231F20"/>
                <w:spacing w:val="4"/>
                <w:w w:val="115"/>
                <w:sz w:val="15"/>
              </w:rPr>
              <w:t> </w:t>
            </w:r>
            <w:r>
              <w:rPr>
                <w:color w:val="231F20"/>
                <w:spacing w:val="-2"/>
                <w:w w:val="115"/>
                <w:sz w:val="15"/>
              </w:rPr>
              <w:t>ONSET</w:t>
            </w:r>
          </w:p>
          <w:p>
            <w:pPr>
              <w:pStyle w:val="TableParagraph"/>
              <w:spacing w:line="172" w:lineRule="exact"/>
              <w:ind w:left="74"/>
              <w:rPr>
                <w:sz w:val="15"/>
              </w:rPr>
            </w:pPr>
            <w:r>
              <w:rPr>
                <w:color w:val="231F20"/>
                <w:spacing w:val="-2"/>
                <w:sz w:val="15"/>
              </w:rPr>
              <w:t>Benign</w:t>
            </w:r>
            <w:r>
              <w:rPr>
                <w:color w:val="231F20"/>
                <w:spacing w:val="2"/>
                <w:sz w:val="15"/>
              </w:rPr>
              <w:t> </w:t>
            </w:r>
            <w:r>
              <w:rPr>
                <w:color w:val="231F20"/>
                <w:spacing w:val="-2"/>
                <w:sz w:val="15"/>
              </w:rPr>
              <w:t>familial</w:t>
            </w:r>
            <w:r>
              <w:rPr>
                <w:color w:val="231F20"/>
                <w:spacing w:val="2"/>
                <w:sz w:val="15"/>
              </w:rPr>
              <w:t> </w:t>
            </w:r>
            <w:r>
              <w:rPr>
                <w:color w:val="231F20"/>
                <w:spacing w:val="-2"/>
                <w:sz w:val="15"/>
              </w:rPr>
              <w:t>neonatal</w:t>
            </w:r>
            <w:r>
              <w:rPr>
                <w:color w:val="231F20"/>
                <w:spacing w:val="3"/>
                <w:sz w:val="15"/>
              </w:rPr>
              <w:t> </w:t>
            </w:r>
            <w:r>
              <w:rPr>
                <w:color w:val="231F20"/>
                <w:spacing w:val="-2"/>
                <w:sz w:val="15"/>
              </w:rPr>
              <w:t>seizures</w:t>
            </w:r>
          </w:p>
          <w:p>
            <w:pPr>
              <w:pStyle w:val="TableParagraph"/>
              <w:spacing w:line="237" w:lineRule="auto" w:before="167"/>
              <w:ind w:left="74" w:right="134"/>
              <w:rPr>
                <w:sz w:val="15"/>
              </w:rPr>
            </w:pPr>
            <w:r>
              <w:rPr>
                <w:color w:val="231F20"/>
                <w:spacing w:val="-2"/>
                <w:sz w:val="15"/>
              </w:rPr>
              <w:t>Benign</w:t>
            </w:r>
            <w:r>
              <w:rPr>
                <w:color w:val="231F20"/>
                <w:spacing w:val="-10"/>
                <w:sz w:val="15"/>
              </w:rPr>
              <w:t> </w:t>
            </w:r>
            <w:r>
              <w:rPr>
                <w:color w:val="231F20"/>
                <w:spacing w:val="-2"/>
                <w:sz w:val="15"/>
              </w:rPr>
              <w:t>familial</w:t>
            </w:r>
            <w:r>
              <w:rPr>
                <w:color w:val="231F20"/>
                <w:spacing w:val="-9"/>
                <w:sz w:val="15"/>
              </w:rPr>
              <w:t> </w:t>
            </w:r>
            <w:r>
              <w:rPr>
                <w:color w:val="231F20"/>
                <w:spacing w:val="-2"/>
                <w:sz w:val="15"/>
              </w:rPr>
              <w:t>neonatal</w:t>
            </w:r>
            <w:r>
              <w:rPr>
                <w:color w:val="231F20"/>
                <w:spacing w:val="-9"/>
                <w:sz w:val="15"/>
              </w:rPr>
              <w:t> </w:t>
            </w:r>
            <w:r>
              <w:rPr>
                <w:color w:val="231F20"/>
                <w:spacing w:val="-2"/>
                <w:sz w:val="15"/>
              </w:rPr>
              <w:t>infantile</w:t>
            </w:r>
            <w:r>
              <w:rPr>
                <w:color w:val="231F20"/>
                <w:spacing w:val="-10"/>
                <w:sz w:val="15"/>
              </w:rPr>
              <w:t> </w:t>
            </w:r>
            <w:r>
              <w:rPr>
                <w:color w:val="231F20"/>
                <w:spacing w:val="-2"/>
                <w:sz w:val="15"/>
              </w:rPr>
              <w:t>seizures </w:t>
            </w:r>
            <w:r>
              <w:rPr>
                <w:color w:val="231F20"/>
                <w:sz w:val="15"/>
              </w:rPr>
              <w:t>Early</w:t>
            </w:r>
            <w:r>
              <w:rPr>
                <w:color w:val="231F20"/>
                <w:spacing w:val="-1"/>
                <w:sz w:val="15"/>
              </w:rPr>
              <w:t> </w:t>
            </w:r>
            <w:r>
              <w:rPr>
                <w:color w:val="231F20"/>
                <w:sz w:val="15"/>
              </w:rPr>
              <w:t>familial</w:t>
            </w:r>
            <w:r>
              <w:rPr>
                <w:color w:val="231F20"/>
                <w:spacing w:val="-1"/>
                <w:sz w:val="15"/>
              </w:rPr>
              <w:t> </w:t>
            </w:r>
            <w:r>
              <w:rPr>
                <w:color w:val="231F20"/>
                <w:sz w:val="15"/>
              </w:rPr>
              <w:t>neonatal</w:t>
            </w:r>
            <w:r>
              <w:rPr>
                <w:color w:val="231F20"/>
                <w:spacing w:val="-1"/>
                <w:sz w:val="15"/>
              </w:rPr>
              <w:t> </w:t>
            </w:r>
            <w:r>
              <w:rPr>
                <w:color w:val="231F20"/>
                <w:sz w:val="15"/>
              </w:rPr>
              <w:t>infantile</w:t>
            </w:r>
            <w:r>
              <w:rPr>
                <w:color w:val="231F20"/>
                <w:spacing w:val="-1"/>
                <w:sz w:val="15"/>
              </w:rPr>
              <w:t> </w:t>
            </w:r>
            <w:r>
              <w:rPr>
                <w:color w:val="231F20"/>
                <w:sz w:val="15"/>
              </w:rPr>
              <w:t>seizures</w:t>
            </w:r>
          </w:p>
          <w:p>
            <w:pPr>
              <w:pStyle w:val="TableParagraph"/>
              <w:spacing w:line="171" w:lineRule="exact"/>
              <w:ind w:left="74"/>
              <w:rPr>
                <w:sz w:val="15"/>
              </w:rPr>
            </w:pPr>
            <w:r>
              <w:rPr>
                <w:color w:val="231F20"/>
                <w:spacing w:val="-2"/>
                <w:sz w:val="15"/>
              </w:rPr>
              <w:t>Early</w:t>
            </w:r>
            <w:r>
              <w:rPr>
                <w:color w:val="231F20"/>
                <w:spacing w:val="-1"/>
                <w:sz w:val="15"/>
              </w:rPr>
              <w:t> </w:t>
            </w:r>
            <w:r>
              <w:rPr>
                <w:color w:val="231F20"/>
                <w:spacing w:val="-2"/>
                <w:sz w:val="15"/>
              </w:rPr>
              <w:t>infantile</w:t>
            </w:r>
            <w:r>
              <w:rPr>
                <w:color w:val="231F20"/>
                <w:spacing w:val="-1"/>
                <w:sz w:val="15"/>
              </w:rPr>
              <w:t> </w:t>
            </w:r>
            <w:r>
              <w:rPr>
                <w:color w:val="231F20"/>
                <w:spacing w:val="-2"/>
                <w:sz w:val="15"/>
              </w:rPr>
              <w:t>epileptic</w:t>
            </w:r>
            <w:r>
              <w:rPr>
                <w:color w:val="231F20"/>
                <w:sz w:val="15"/>
              </w:rPr>
              <w:t> </w:t>
            </w:r>
            <w:r>
              <w:rPr>
                <w:color w:val="231F20"/>
                <w:spacing w:val="-2"/>
                <w:sz w:val="15"/>
              </w:rPr>
              <w:t>encephalopathy</w:t>
            </w:r>
            <w:r>
              <w:rPr>
                <w:color w:val="231F20"/>
                <w:spacing w:val="-1"/>
                <w:sz w:val="15"/>
              </w:rPr>
              <w:t> </w:t>
            </w:r>
            <w:r>
              <w:rPr>
                <w:color w:val="231F20"/>
                <w:spacing w:val="-2"/>
                <w:sz w:val="15"/>
              </w:rPr>
              <w:t>(EIEE)</w:t>
            </w:r>
          </w:p>
        </w:tc>
        <w:tc>
          <w:tcPr>
            <w:tcW w:w="3231" w:type="dxa"/>
            <w:tcBorders>
              <w:top w:val="single" w:sz="4" w:space="0" w:color="231F20"/>
            </w:tcBorders>
            <w:shd w:val="clear" w:color="auto" w:fill="E8F5F1"/>
          </w:tcPr>
          <w:p>
            <w:pPr>
              <w:pStyle w:val="TableParagraph"/>
              <w:spacing w:before="45"/>
              <w:rPr>
                <w:sz w:val="15"/>
              </w:rPr>
            </w:pPr>
          </w:p>
          <w:p>
            <w:pPr>
              <w:pStyle w:val="TableParagraph"/>
              <w:spacing w:line="235" w:lineRule="auto" w:before="1"/>
              <w:ind w:left="82" w:right="2181"/>
              <w:rPr>
                <w:i/>
                <w:sz w:val="15"/>
              </w:rPr>
            </w:pPr>
            <w:r>
              <w:rPr>
                <w:i/>
                <w:color w:val="231F20"/>
                <w:spacing w:val="-2"/>
                <w:w w:val="110"/>
                <w:sz w:val="15"/>
              </w:rPr>
              <w:t>KCNQ2 KCNQ3</w:t>
            </w:r>
            <w:r>
              <w:rPr>
                <w:i/>
                <w:color w:val="231F20"/>
                <w:spacing w:val="40"/>
                <w:w w:val="110"/>
                <w:sz w:val="15"/>
              </w:rPr>
              <w:t> </w:t>
            </w:r>
            <w:r>
              <w:rPr>
                <w:i/>
                <w:color w:val="231F20"/>
                <w:spacing w:val="-2"/>
                <w:w w:val="110"/>
                <w:sz w:val="15"/>
              </w:rPr>
              <w:t>SCN2A</w:t>
            </w:r>
            <w:r>
              <w:rPr>
                <w:i/>
                <w:color w:val="231F20"/>
                <w:spacing w:val="40"/>
                <w:w w:val="110"/>
                <w:sz w:val="15"/>
              </w:rPr>
              <w:t> </w:t>
            </w:r>
            <w:r>
              <w:rPr>
                <w:i/>
                <w:color w:val="231F20"/>
                <w:spacing w:val="-2"/>
                <w:w w:val="110"/>
                <w:sz w:val="15"/>
              </w:rPr>
              <w:t>SCN2A</w:t>
            </w:r>
            <w:r>
              <w:rPr>
                <w:i/>
                <w:color w:val="231F20"/>
                <w:spacing w:val="80"/>
                <w:w w:val="110"/>
                <w:sz w:val="15"/>
              </w:rPr>
              <w:t> </w:t>
            </w:r>
            <w:r>
              <w:rPr>
                <w:i/>
                <w:color w:val="231F20"/>
                <w:sz w:val="15"/>
              </w:rPr>
              <w:t>CDKL5</w:t>
            </w:r>
            <w:r>
              <w:rPr>
                <w:i/>
                <w:color w:val="231F20"/>
                <w:spacing w:val="-12"/>
                <w:sz w:val="15"/>
              </w:rPr>
              <w:t> </w:t>
            </w:r>
            <w:r>
              <w:rPr>
                <w:i/>
                <w:color w:val="231F20"/>
                <w:sz w:val="15"/>
              </w:rPr>
              <w:t>(EIEE2) </w:t>
            </w:r>
            <w:r>
              <w:rPr>
                <w:i/>
                <w:color w:val="231F20"/>
                <w:w w:val="110"/>
                <w:sz w:val="15"/>
              </w:rPr>
              <w:t>ARX (EIEE1) </w:t>
            </w:r>
            <w:r>
              <w:rPr>
                <w:i/>
                <w:color w:val="231F20"/>
                <w:spacing w:val="-4"/>
                <w:w w:val="110"/>
                <w:sz w:val="15"/>
              </w:rPr>
              <w:t>TSC1</w:t>
            </w:r>
          </w:p>
          <w:p>
            <w:pPr>
              <w:pStyle w:val="TableParagraph"/>
              <w:spacing w:line="165" w:lineRule="exact"/>
              <w:ind w:left="82"/>
              <w:rPr>
                <w:i/>
                <w:sz w:val="15"/>
              </w:rPr>
            </w:pPr>
            <w:r>
              <w:rPr>
                <w:i/>
                <w:color w:val="231F20"/>
                <w:spacing w:val="-4"/>
                <w:w w:val="105"/>
                <w:sz w:val="15"/>
              </w:rPr>
              <w:t>TSC2</w:t>
            </w:r>
          </w:p>
          <w:p>
            <w:pPr>
              <w:pStyle w:val="TableParagraph"/>
              <w:spacing w:line="235" w:lineRule="auto"/>
              <w:ind w:left="82" w:right="2122"/>
              <w:jc w:val="both"/>
              <w:rPr>
                <w:i/>
                <w:sz w:val="15"/>
              </w:rPr>
            </w:pPr>
            <w:r>
              <w:rPr>
                <w:i/>
                <w:color w:val="231F20"/>
                <w:w w:val="105"/>
                <w:sz w:val="15"/>
              </w:rPr>
              <w:t>SCN1A</w:t>
            </w:r>
            <w:r>
              <w:rPr>
                <w:i/>
                <w:color w:val="231F20"/>
                <w:spacing w:val="-6"/>
                <w:w w:val="105"/>
                <w:sz w:val="15"/>
              </w:rPr>
              <w:t> </w:t>
            </w:r>
            <w:r>
              <w:rPr>
                <w:i/>
                <w:color w:val="231F20"/>
                <w:w w:val="105"/>
                <w:sz w:val="15"/>
              </w:rPr>
              <w:t>(EIEE6) </w:t>
            </w:r>
            <w:r>
              <w:rPr>
                <w:i/>
                <w:color w:val="231F20"/>
                <w:spacing w:val="-2"/>
                <w:sz w:val="15"/>
              </w:rPr>
              <w:t>PCDH19(EIEE9) </w:t>
            </w:r>
            <w:r>
              <w:rPr>
                <w:i/>
                <w:color w:val="231F20"/>
                <w:w w:val="105"/>
                <w:sz w:val="15"/>
              </w:rPr>
              <w:t>KCNQ2</w:t>
            </w:r>
            <w:r>
              <w:rPr>
                <w:i/>
                <w:color w:val="231F20"/>
                <w:spacing w:val="-12"/>
                <w:w w:val="105"/>
                <w:sz w:val="15"/>
              </w:rPr>
              <w:t> </w:t>
            </w:r>
            <w:r>
              <w:rPr>
                <w:i/>
                <w:color w:val="231F20"/>
                <w:w w:val="105"/>
                <w:sz w:val="15"/>
              </w:rPr>
              <w:t>(EIEE7) </w:t>
            </w:r>
            <w:r>
              <w:rPr>
                <w:i/>
                <w:color w:val="231F20"/>
                <w:spacing w:val="-4"/>
                <w:w w:val="105"/>
                <w:sz w:val="15"/>
              </w:rPr>
              <w:t>STXBP1</w:t>
            </w:r>
            <w:r>
              <w:rPr>
                <w:i/>
                <w:color w:val="231F20"/>
                <w:spacing w:val="-8"/>
                <w:w w:val="105"/>
                <w:sz w:val="15"/>
              </w:rPr>
              <w:t> </w:t>
            </w:r>
            <w:r>
              <w:rPr>
                <w:i/>
                <w:color w:val="231F20"/>
                <w:spacing w:val="-4"/>
                <w:w w:val="105"/>
                <w:sz w:val="15"/>
              </w:rPr>
              <w:t>(EIEE4) </w:t>
            </w:r>
            <w:r>
              <w:rPr>
                <w:i/>
                <w:color w:val="231F20"/>
                <w:spacing w:val="-2"/>
                <w:w w:val="105"/>
                <w:sz w:val="15"/>
              </w:rPr>
              <w:t>SLC2A1</w:t>
            </w:r>
          </w:p>
        </w:tc>
        <w:tc>
          <w:tcPr>
            <w:tcW w:w="3269" w:type="dxa"/>
            <w:vMerge w:val="restart"/>
            <w:tcBorders>
              <w:top w:val="single" w:sz="4" w:space="0" w:color="231F20"/>
              <w:bottom w:val="single" w:sz="4" w:space="0" w:color="FFFFFF"/>
            </w:tcBorders>
            <w:shd w:val="clear" w:color="auto" w:fill="E8F5F1"/>
          </w:tcPr>
          <w:p>
            <w:pPr>
              <w:pStyle w:val="TableParagraph"/>
              <w:spacing w:before="47"/>
              <w:rPr>
                <w:sz w:val="15"/>
              </w:rPr>
            </w:pPr>
          </w:p>
          <w:p>
            <w:pPr>
              <w:pStyle w:val="TableParagraph"/>
              <w:spacing w:line="232" w:lineRule="auto"/>
              <w:ind w:left="98" w:right="946"/>
              <w:rPr>
                <w:sz w:val="15"/>
              </w:rPr>
            </w:pPr>
            <w:r>
              <w:rPr>
                <w:color w:val="231F20"/>
                <w:sz w:val="15"/>
              </w:rPr>
              <w:t>Potassium</w:t>
            </w:r>
            <w:r>
              <w:rPr>
                <w:color w:val="231F20"/>
                <w:spacing w:val="-12"/>
                <w:sz w:val="15"/>
              </w:rPr>
              <w:t> </w:t>
            </w:r>
            <w:r>
              <w:rPr>
                <w:color w:val="231F20"/>
                <w:sz w:val="15"/>
              </w:rPr>
              <w:t>voltage-gated</w:t>
            </w:r>
            <w:r>
              <w:rPr>
                <w:color w:val="231F20"/>
                <w:spacing w:val="-11"/>
                <w:sz w:val="15"/>
              </w:rPr>
              <w:t> </w:t>
            </w:r>
            <w:r>
              <w:rPr>
                <w:color w:val="231F20"/>
                <w:sz w:val="15"/>
              </w:rPr>
              <w:t>channel Potassium</w:t>
            </w:r>
            <w:r>
              <w:rPr>
                <w:color w:val="231F20"/>
                <w:spacing w:val="-12"/>
                <w:sz w:val="15"/>
              </w:rPr>
              <w:t> </w:t>
            </w:r>
            <w:r>
              <w:rPr>
                <w:color w:val="231F20"/>
                <w:sz w:val="15"/>
              </w:rPr>
              <w:t>voltage-gated</w:t>
            </w:r>
            <w:r>
              <w:rPr>
                <w:color w:val="231F20"/>
                <w:spacing w:val="-11"/>
                <w:sz w:val="15"/>
              </w:rPr>
              <w:t> </w:t>
            </w:r>
            <w:r>
              <w:rPr>
                <w:color w:val="231F20"/>
                <w:sz w:val="15"/>
              </w:rPr>
              <w:t>channel Sodium channel protein type 2</w:t>
            </w:r>
            <w:r>
              <w:rPr>
                <w:rFonts w:ascii="Cambria" w:hAnsi="Cambria"/>
                <w:color w:val="231F20"/>
                <w:sz w:val="15"/>
              </w:rPr>
              <w:t>α</w:t>
            </w:r>
            <w:r>
              <w:rPr>
                <w:rFonts w:ascii="Cambria" w:hAnsi="Cambria"/>
                <w:color w:val="231F20"/>
                <w:spacing w:val="40"/>
                <w:sz w:val="15"/>
              </w:rPr>
              <w:t> </w:t>
            </w:r>
            <w:r>
              <w:rPr>
                <w:color w:val="231F20"/>
                <w:sz w:val="15"/>
              </w:rPr>
              <w:t>Sodium channel protein type 2</w:t>
            </w:r>
            <w:r>
              <w:rPr>
                <w:rFonts w:ascii="Cambria" w:hAnsi="Cambria"/>
                <w:color w:val="231F20"/>
                <w:sz w:val="15"/>
              </w:rPr>
              <w:t>α</w:t>
            </w:r>
            <w:r>
              <w:rPr>
                <w:rFonts w:ascii="Cambria" w:hAnsi="Cambria"/>
                <w:color w:val="231F20"/>
                <w:spacing w:val="40"/>
                <w:sz w:val="15"/>
              </w:rPr>
              <w:t> </w:t>
            </w:r>
            <w:r>
              <w:rPr>
                <w:color w:val="231F20"/>
                <w:sz w:val="15"/>
              </w:rPr>
              <w:t>Cyclin-dependent kinase-like 5 Aristaless-related homeobox </w:t>
            </w:r>
            <w:r>
              <w:rPr>
                <w:color w:val="231F20"/>
                <w:spacing w:val="-2"/>
                <w:sz w:val="15"/>
              </w:rPr>
              <w:t>Hamartin</w:t>
            </w:r>
          </w:p>
          <w:p>
            <w:pPr>
              <w:pStyle w:val="TableParagraph"/>
              <w:spacing w:line="172" w:lineRule="exact"/>
              <w:ind w:left="98"/>
              <w:rPr>
                <w:sz w:val="15"/>
              </w:rPr>
            </w:pPr>
            <w:r>
              <w:rPr>
                <w:color w:val="231F20"/>
                <w:spacing w:val="-2"/>
                <w:sz w:val="15"/>
              </w:rPr>
              <w:t>Tuberin</w:t>
            </w:r>
          </w:p>
          <w:p>
            <w:pPr>
              <w:pStyle w:val="TableParagraph"/>
              <w:spacing w:line="232" w:lineRule="auto" w:before="3"/>
              <w:ind w:left="98" w:right="1010"/>
              <w:rPr>
                <w:sz w:val="15"/>
              </w:rPr>
            </w:pPr>
            <w:r>
              <w:rPr>
                <w:color w:val="231F20"/>
                <w:sz w:val="15"/>
              </w:rPr>
              <w:t>Sodium</w:t>
            </w:r>
            <w:r>
              <w:rPr>
                <w:color w:val="231F20"/>
                <w:spacing w:val="-6"/>
                <w:sz w:val="15"/>
              </w:rPr>
              <w:t> </w:t>
            </w:r>
            <w:r>
              <w:rPr>
                <w:color w:val="231F20"/>
                <w:sz w:val="15"/>
              </w:rPr>
              <w:t>channel</w:t>
            </w:r>
            <w:r>
              <w:rPr>
                <w:color w:val="231F20"/>
                <w:spacing w:val="-6"/>
                <w:sz w:val="15"/>
              </w:rPr>
              <w:t> </w:t>
            </w:r>
            <w:r>
              <w:rPr>
                <w:color w:val="231F20"/>
                <w:sz w:val="15"/>
              </w:rPr>
              <w:t>protein</w:t>
            </w:r>
            <w:r>
              <w:rPr>
                <w:color w:val="231F20"/>
                <w:spacing w:val="-6"/>
                <w:sz w:val="15"/>
              </w:rPr>
              <w:t> </w:t>
            </w:r>
            <w:r>
              <w:rPr>
                <w:color w:val="231F20"/>
                <w:sz w:val="15"/>
              </w:rPr>
              <w:t>type</w:t>
            </w:r>
            <w:r>
              <w:rPr>
                <w:color w:val="231F20"/>
                <w:spacing w:val="-6"/>
                <w:sz w:val="15"/>
              </w:rPr>
              <w:t> </w:t>
            </w:r>
            <w:r>
              <w:rPr>
                <w:color w:val="231F20"/>
                <w:sz w:val="15"/>
              </w:rPr>
              <w:t>1</w:t>
            </w:r>
            <w:r>
              <w:rPr>
                <w:rFonts w:ascii="Cambria" w:hAnsi="Cambria"/>
                <w:color w:val="231F20"/>
                <w:sz w:val="15"/>
              </w:rPr>
              <w:t>α</w:t>
            </w:r>
            <w:r>
              <w:rPr>
                <w:rFonts w:ascii="Cambria" w:hAnsi="Cambria"/>
                <w:color w:val="231F20"/>
                <w:spacing w:val="40"/>
                <w:sz w:val="15"/>
              </w:rPr>
              <w:t> </w:t>
            </w:r>
            <w:r>
              <w:rPr>
                <w:color w:val="231F20"/>
                <w:spacing w:val="-2"/>
                <w:sz w:val="15"/>
              </w:rPr>
              <w:t>Protocadherin-19</w:t>
            </w:r>
          </w:p>
          <w:p>
            <w:pPr>
              <w:pStyle w:val="TableParagraph"/>
              <w:spacing w:line="232" w:lineRule="auto" w:before="1"/>
              <w:ind w:left="98" w:right="946"/>
              <w:rPr>
                <w:sz w:val="15"/>
              </w:rPr>
            </w:pPr>
            <w:r>
              <w:rPr>
                <w:color w:val="231F20"/>
                <w:sz w:val="15"/>
              </w:rPr>
              <w:t>Potassium</w:t>
            </w:r>
            <w:r>
              <w:rPr>
                <w:color w:val="231F20"/>
                <w:spacing w:val="-12"/>
                <w:sz w:val="15"/>
              </w:rPr>
              <w:t> </w:t>
            </w:r>
            <w:r>
              <w:rPr>
                <w:color w:val="231F20"/>
                <w:sz w:val="15"/>
              </w:rPr>
              <w:t>voltage-gated</w:t>
            </w:r>
            <w:r>
              <w:rPr>
                <w:color w:val="231F20"/>
                <w:spacing w:val="-11"/>
                <w:sz w:val="15"/>
              </w:rPr>
              <w:t> </w:t>
            </w:r>
            <w:r>
              <w:rPr>
                <w:color w:val="231F20"/>
                <w:sz w:val="15"/>
              </w:rPr>
              <w:t>channel Syntaxin binding protein 1</w:t>
            </w:r>
          </w:p>
          <w:p>
            <w:pPr>
              <w:pStyle w:val="TableParagraph"/>
              <w:spacing w:line="230" w:lineRule="auto" w:before="2"/>
              <w:ind w:left="210" w:hanging="112"/>
              <w:rPr>
                <w:sz w:val="15"/>
              </w:rPr>
            </w:pPr>
            <w:r>
              <w:rPr>
                <w:color w:val="231F20"/>
                <w:spacing w:val="-2"/>
                <w:sz w:val="15"/>
              </w:rPr>
              <w:t>Solute</w:t>
            </w:r>
            <w:r>
              <w:rPr>
                <w:color w:val="231F20"/>
                <w:spacing w:val="-10"/>
                <w:sz w:val="15"/>
              </w:rPr>
              <w:t> </w:t>
            </w:r>
            <w:r>
              <w:rPr>
                <w:color w:val="231F20"/>
                <w:spacing w:val="-2"/>
                <w:sz w:val="15"/>
              </w:rPr>
              <w:t>carrier</w:t>
            </w:r>
            <w:r>
              <w:rPr>
                <w:color w:val="231F20"/>
                <w:spacing w:val="-9"/>
                <w:sz w:val="15"/>
              </w:rPr>
              <w:t> </w:t>
            </w:r>
            <w:r>
              <w:rPr>
                <w:color w:val="231F20"/>
                <w:spacing w:val="-2"/>
                <w:sz w:val="15"/>
              </w:rPr>
              <w:t>family</w:t>
            </w:r>
            <w:r>
              <w:rPr>
                <w:color w:val="231F20"/>
                <w:spacing w:val="-9"/>
                <w:sz w:val="15"/>
              </w:rPr>
              <w:t> </w:t>
            </w:r>
            <w:r>
              <w:rPr>
                <w:color w:val="231F20"/>
                <w:spacing w:val="-2"/>
                <w:sz w:val="15"/>
              </w:rPr>
              <w:t>2,</w:t>
            </w:r>
            <w:r>
              <w:rPr>
                <w:color w:val="231F20"/>
                <w:spacing w:val="-10"/>
                <w:sz w:val="15"/>
              </w:rPr>
              <w:t> </w:t>
            </w:r>
            <w:r>
              <w:rPr>
                <w:color w:val="231F20"/>
                <w:spacing w:val="-2"/>
                <w:sz w:val="15"/>
              </w:rPr>
              <w:t>facilitated</w:t>
            </w:r>
            <w:r>
              <w:rPr>
                <w:color w:val="231F20"/>
                <w:spacing w:val="-9"/>
                <w:sz w:val="15"/>
              </w:rPr>
              <w:t> </w:t>
            </w:r>
            <w:r>
              <w:rPr>
                <w:color w:val="231F20"/>
                <w:spacing w:val="-2"/>
                <w:sz w:val="15"/>
              </w:rPr>
              <w:t>glucose </w:t>
            </w:r>
            <w:r>
              <w:rPr>
                <w:color w:val="231F20"/>
                <w:sz w:val="15"/>
              </w:rPr>
              <w:t>transporter member 1</w:t>
            </w:r>
          </w:p>
          <w:p>
            <w:pPr>
              <w:pStyle w:val="TableParagraph"/>
              <w:spacing w:line="230" w:lineRule="auto" w:before="4"/>
              <w:ind w:left="210" w:hanging="112"/>
              <w:rPr>
                <w:sz w:val="15"/>
              </w:rPr>
            </w:pPr>
            <w:r>
              <w:rPr>
                <w:rFonts w:ascii="Cambria" w:hAnsi="Cambria"/>
                <w:color w:val="231F20"/>
                <w:sz w:val="15"/>
              </w:rPr>
              <w:t>α</w:t>
            </w:r>
            <w:r>
              <w:rPr>
                <w:color w:val="231F20"/>
                <w:sz w:val="15"/>
              </w:rPr>
              <w:t>-Aminoadipic semialdehyde </w:t>
            </w:r>
            <w:r>
              <w:rPr>
                <w:color w:val="231F20"/>
                <w:sz w:val="15"/>
              </w:rPr>
              <w:t>dehydrogenase </w:t>
            </w:r>
            <w:r>
              <w:rPr>
                <w:color w:val="231F20"/>
                <w:spacing w:val="-2"/>
                <w:sz w:val="15"/>
              </w:rPr>
              <w:t>(antiquitin)</w:t>
            </w:r>
          </w:p>
          <w:p>
            <w:pPr>
              <w:pStyle w:val="TableParagraph"/>
              <w:spacing w:line="235" w:lineRule="auto"/>
              <w:ind w:left="98" w:right="499"/>
              <w:rPr>
                <w:sz w:val="15"/>
              </w:rPr>
            </w:pPr>
            <w:r>
              <w:rPr>
                <w:color w:val="231F20"/>
                <w:sz w:val="15"/>
              </w:rPr>
              <w:t>DNA polymerase subunit gamma-</w:t>
            </w:r>
            <w:r>
              <w:rPr>
                <w:color w:val="231F20"/>
                <w:sz w:val="15"/>
              </w:rPr>
              <w:t>1 Sodium channel protein type 2</w:t>
            </w:r>
            <w:r>
              <w:rPr>
                <w:rFonts w:ascii="Cambria" w:hAnsi="Cambria"/>
                <w:color w:val="231F20"/>
                <w:sz w:val="15"/>
              </w:rPr>
              <w:t>α</w:t>
            </w:r>
            <w:r>
              <w:rPr>
                <w:rFonts w:ascii="Cambria" w:hAnsi="Cambria"/>
                <w:color w:val="231F20"/>
                <w:spacing w:val="40"/>
                <w:sz w:val="15"/>
              </w:rPr>
              <w:t> </w:t>
            </w:r>
            <w:r>
              <w:rPr>
                <w:color w:val="231F20"/>
                <w:sz w:val="15"/>
              </w:rPr>
              <w:t>Phospholipase C </w:t>
            </w:r>
            <w:r>
              <w:rPr>
                <w:rFonts w:ascii="Cambria" w:hAnsi="Cambria"/>
                <w:color w:val="231F20"/>
                <w:sz w:val="15"/>
              </w:rPr>
              <w:t>β</w:t>
            </w:r>
            <w:r>
              <w:rPr>
                <w:color w:val="231F20"/>
                <w:sz w:val="15"/>
              </w:rPr>
              <w:t>1</w:t>
            </w:r>
          </w:p>
          <w:p>
            <w:pPr>
              <w:pStyle w:val="TableParagraph"/>
              <w:spacing w:line="167" w:lineRule="exact"/>
              <w:ind w:left="98"/>
              <w:rPr>
                <w:sz w:val="15"/>
              </w:rPr>
            </w:pPr>
            <w:r>
              <w:rPr>
                <w:color w:val="231F20"/>
                <w:sz w:val="15"/>
              </w:rPr>
              <w:t>Renin</w:t>
            </w:r>
            <w:r>
              <w:rPr>
                <w:color w:val="231F20"/>
                <w:spacing w:val="-3"/>
                <w:sz w:val="15"/>
              </w:rPr>
              <w:t> </w:t>
            </w:r>
            <w:r>
              <w:rPr>
                <w:color w:val="231F20"/>
                <w:spacing w:val="-2"/>
                <w:sz w:val="15"/>
              </w:rPr>
              <w:t>receptor</w:t>
            </w:r>
          </w:p>
          <w:p>
            <w:pPr>
              <w:pStyle w:val="TableParagraph"/>
              <w:spacing w:line="171" w:lineRule="exact"/>
              <w:ind w:left="98"/>
              <w:rPr>
                <w:sz w:val="15"/>
              </w:rPr>
            </w:pPr>
            <w:r>
              <w:rPr>
                <w:rFonts w:ascii="Cambria" w:hAnsi="Cambria"/>
                <w:color w:val="231F20"/>
                <w:spacing w:val="-2"/>
                <w:sz w:val="15"/>
              </w:rPr>
              <w:t>α</w:t>
            </w:r>
            <w:r>
              <w:rPr>
                <w:color w:val="231F20"/>
                <w:spacing w:val="-2"/>
                <w:sz w:val="15"/>
                <w:vertAlign w:val="subscript"/>
              </w:rPr>
              <w:t>2</w:t>
            </w:r>
            <w:r>
              <w:rPr>
                <w:color w:val="231F20"/>
                <w:spacing w:val="-2"/>
                <w:sz w:val="15"/>
                <w:vertAlign w:val="baseline"/>
              </w:rPr>
              <w:t>-Spectrin</w:t>
            </w:r>
          </w:p>
          <w:p>
            <w:pPr>
              <w:pStyle w:val="TableParagraph"/>
              <w:spacing w:line="235" w:lineRule="auto"/>
              <w:ind w:left="98" w:right="935"/>
              <w:rPr>
                <w:rFonts w:ascii="Cambria" w:hAnsi="Cambria"/>
                <w:sz w:val="15"/>
              </w:rPr>
            </w:pPr>
            <w:r>
              <w:rPr>
                <w:color w:val="231F20"/>
                <w:spacing w:val="-2"/>
                <w:sz w:val="15"/>
              </w:rPr>
              <w:t>Mitochondrial</w:t>
            </w:r>
            <w:r>
              <w:rPr>
                <w:color w:val="231F20"/>
                <w:spacing w:val="-4"/>
                <w:sz w:val="15"/>
              </w:rPr>
              <w:t> </w:t>
            </w:r>
            <w:r>
              <w:rPr>
                <w:color w:val="231F20"/>
                <w:spacing w:val="-2"/>
                <w:sz w:val="15"/>
              </w:rPr>
              <w:t>glutamate</w:t>
            </w:r>
            <w:r>
              <w:rPr>
                <w:color w:val="231F20"/>
                <w:spacing w:val="-4"/>
                <w:sz w:val="15"/>
              </w:rPr>
              <w:t> </w:t>
            </w:r>
            <w:r>
              <w:rPr>
                <w:color w:val="231F20"/>
                <w:spacing w:val="-2"/>
                <w:sz w:val="15"/>
              </w:rPr>
              <w:t>carrier</w:t>
            </w:r>
            <w:r>
              <w:rPr>
                <w:color w:val="231F20"/>
                <w:spacing w:val="-4"/>
                <w:sz w:val="15"/>
              </w:rPr>
              <w:t> </w:t>
            </w:r>
            <w:r>
              <w:rPr>
                <w:color w:val="231F20"/>
                <w:spacing w:val="-2"/>
                <w:sz w:val="15"/>
              </w:rPr>
              <w:t>1 </w:t>
            </w:r>
            <w:r>
              <w:rPr>
                <w:color w:val="231F20"/>
                <w:sz w:val="15"/>
              </w:rPr>
              <w:t>Pyridoxine-5</w:t>
            </w:r>
            <w:r>
              <w:rPr>
                <w:rFonts w:ascii="Cambria" w:hAnsi="Cambria"/>
                <w:color w:val="231F20"/>
                <w:sz w:val="15"/>
              </w:rPr>
              <w:t>′</w:t>
            </w:r>
            <w:r>
              <w:rPr>
                <w:color w:val="231F20"/>
                <w:sz w:val="15"/>
              </w:rPr>
              <w:t>-phosphate oxidase Sodium channel protein type 1</w:t>
            </w:r>
            <w:r>
              <w:rPr>
                <w:rFonts w:ascii="Cambria" w:hAnsi="Cambria"/>
                <w:color w:val="231F20"/>
                <w:sz w:val="15"/>
              </w:rPr>
              <w:t>α</w:t>
            </w:r>
            <w:r>
              <w:rPr>
                <w:rFonts w:ascii="Cambria" w:hAnsi="Cambria"/>
                <w:color w:val="231F20"/>
                <w:spacing w:val="40"/>
                <w:sz w:val="15"/>
              </w:rPr>
              <w:t> </w:t>
            </w:r>
            <w:r>
              <w:rPr>
                <w:color w:val="231F20"/>
                <w:sz w:val="15"/>
              </w:rPr>
              <w:t>Sodium channel protein type 1</w:t>
            </w:r>
            <w:r>
              <w:rPr>
                <w:rFonts w:ascii="Cambria" w:hAnsi="Cambria"/>
                <w:color w:val="231F20"/>
                <w:sz w:val="15"/>
              </w:rPr>
              <w:t>β</w:t>
            </w:r>
          </w:p>
          <w:p>
            <w:pPr>
              <w:pStyle w:val="TableParagraph"/>
              <w:spacing w:line="235" w:lineRule="auto"/>
              <w:ind w:left="98" w:right="499"/>
              <w:rPr>
                <w:rFonts w:ascii="Cambria" w:hAnsi="Cambria"/>
                <w:sz w:val="15"/>
              </w:rPr>
            </w:pPr>
            <w:r>
              <w:rPr>
                <w:rFonts w:ascii="Cambria" w:hAnsi="Cambria"/>
                <w:color w:val="231F20"/>
                <w:spacing w:val="-2"/>
                <w:sz w:val="15"/>
              </w:rPr>
              <w:t>γ</w:t>
            </w:r>
            <w:r>
              <w:rPr>
                <w:color w:val="231F20"/>
                <w:spacing w:val="-2"/>
                <w:sz w:val="15"/>
              </w:rPr>
              <w:t>-Aminobutyric</w:t>
            </w:r>
            <w:r>
              <w:rPr>
                <w:color w:val="231F20"/>
                <w:spacing w:val="-6"/>
                <w:sz w:val="15"/>
              </w:rPr>
              <w:t> </w:t>
            </w:r>
            <w:r>
              <w:rPr>
                <w:color w:val="231F20"/>
                <w:spacing w:val="-2"/>
                <w:sz w:val="15"/>
              </w:rPr>
              <w:t>acid</w:t>
            </w:r>
            <w:r>
              <w:rPr>
                <w:color w:val="231F20"/>
                <w:spacing w:val="-6"/>
                <w:sz w:val="15"/>
              </w:rPr>
              <w:t> </w:t>
            </w:r>
            <w:r>
              <w:rPr>
                <w:color w:val="231F20"/>
                <w:spacing w:val="-2"/>
                <w:sz w:val="15"/>
              </w:rPr>
              <w:t>receptor</w:t>
            </w:r>
            <w:r>
              <w:rPr>
                <w:color w:val="231F20"/>
                <w:spacing w:val="-6"/>
                <w:sz w:val="15"/>
              </w:rPr>
              <w:t> </w:t>
            </w:r>
            <w:r>
              <w:rPr>
                <w:color w:val="231F20"/>
                <w:spacing w:val="-2"/>
                <w:sz w:val="15"/>
              </w:rPr>
              <w:t>subunit</w:t>
            </w:r>
            <w:r>
              <w:rPr>
                <w:color w:val="231F20"/>
                <w:spacing w:val="-6"/>
                <w:sz w:val="15"/>
              </w:rPr>
              <w:t> </w:t>
            </w:r>
            <w:r>
              <w:rPr>
                <w:rFonts w:ascii="Cambria" w:hAnsi="Cambria"/>
                <w:color w:val="231F20"/>
                <w:spacing w:val="-2"/>
                <w:sz w:val="15"/>
              </w:rPr>
              <w:t>γ</w:t>
            </w:r>
            <w:r>
              <w:rPr>
                <w:color w:val="231F20"/>
                <w:spacing w:val="-2"/>
                <w:sz w:val="15"/>
              </w:rPr>
              <w:t>2 </w:t>
            </w:r>
            <w:r>
              <w:rPr>
                <w:color w:val="231F20"/>
                <w:sz w:val="15"/>
              </w:rPr>
              <w:t>Sodium channel protein type 1</w:t>
            </w:r>
            <w:r>
              <w:rPr>
                <w:rFonts w:ascii="Cambria" w:hAnsi="Cambria"/>
                <w:color w:val="231F20"/>
                <w:sz w:val="15"/>
              </w:rPr>
              <w:t>α</w:t>
            </w:r>
          </w:p>
        </w:tc>
      </w:tr>
      <w:tr>
        <w:trPr>
          <w:trHeight w:val="328" w:hRule="atLeast"/>
        </w:trPr>
        <w:tc>
          <w:tcPr>
            <w:tcW w:w="3239" w:type="dxa"/>
            <w:shd w:val="clear" w:color="auto" w:fill="E8F5F1"/>
          </w:tcPr>
          <w:p>
            <w:pPr>
              <w:pStyle w:val="TableParagraph"/>
              <w:rPr>
                <w:rFonts w:ascii="Times New Roman"/>
                <w:sz w:val="14"/>
              </w:rPr>
            </w:pPr>
          </w:p>
        </w:tc>
        <w:tc>
          <w:tcPr>
            <w:tcW w:w="3231" w:type="dxa"/>
            <w:shd w:val="clear" w:color="auto" w:fill="E8F5F1"/>
          </w:tcPr>
          <w:p>
            <w:pPr>
              <w:pStyle w:val="TableParagraph"/>
              <w:spacing w:before="74"/>
              <w:ind w:left="82"/>
              <w:rPr>
                <w:i/>
                <w:sz w:val="15"/>
              </w:rPr>
            </w:pPr>
            <w:r>
              <w:rPr>
                <w:i/>
                <w:color w:val="231F20"/>
                <w:spacing w:val="-2"/>
                <w:w w:val="105"/>
                <w:sz w:val="15"/>
              </w:rPr>
              <w:t>ALDH7A1</w:t>
            </w:r>
          </w:p>
        </w:tc>
        <w:tc>
          <w:tcPr>
            <w:tcW w:w="3269" w:type="dxa"/>
            <w:vMerge/>
            <w:tcBorders>
              <w:top w:val="nil"/>
              <w:bottom w:val="single" w:sz="4" w:space="0" w:color="FFFFFF"/>
            </w:tcBorders>
            <w:shd w:val="clear" w:color="auto" w:fill="E8F5F1"/>
          </w:tcPr>
          <w:p>
            <w:pPr>
              <w:rPr>
                <w:sz w:val="2"/>
                <w:szCs w:val="2"/>
              </w:rPr>
            </w:pPr>
          </w:p>
        </w:tc>
      </w:tr>
      <w:tr>
        <w:trPr>
          <w:trHeight w:val="1998" w:hRule="atLeast"/>
        </w:trPr>
        <w:tc>
          <w:tcPr>
            <w:tcW w:w="3239" w:type="dxa"/>
            <w:tcBorders>
              <w:bottom w:val="single" w:sz="4" w:space="0" w:color="FFFFFF"/>
            </w:tcBorders>
            <w:shd w:val="clear" w:color="auto" w:fill="E8F5F1"/>
          </w:tcPr>
          <w:p>
            <w:pPr>
              <w:pStyle w:val="TableParagraph"/>
              <w:rPr>
                <w:sz w:val="15"/>
              </w:rPr>
            </w:pPr>
          </w:p>
          <w:p>
            <w:pPr>
              <w:pStyle w:val="TableParagraph"/>
              <w:rPr>
                <w:sz w:val="15"/>
              </w:rPr>
            </w:pPr>
          </w:p>
          <w:p>
            <w:pPr>
              <w:pStyle w:val="TableParagraph"/>
              <w:rPr>
                <w:sz w:val="15"/>
              </w:rPr>
            </w:pPr>
          </w:p>
          <w:p>
            <w:pPr>
              <w:pStyle w:val="TableParagraph"/>
              <w:rPr>
                <w:sz w:val="15"/>
              </w:rPr>
            </w:pPr>
          </w:p>
          <w:p>
            <w:pPr>
              <w:pStyle w:val="TableParagraph"/>
              <w:rPr>
                <w:sz w:val="15"/>
              </w:rPr>
            </w:pPr>
          </w:p>
          <w:p>
            <w:pPr>
              <w:pStyle w:val="TableParagraph"/>
              <w:rPr>
                <w:sz w:val="15"/>
              </w:rPr>
            </w:pPr>
          </w:p>
          <w:p>
            <w:pPr>
              <w:pStyle w:val="TableParagraph"/>
              <w:spacing w:before="75"/>
              <w:rPr>
                <w:sz w:val="15"/>
              </w:rPr>
            </w:pPr>
          </w:p>
          <w:p>
            <w:pPr>
              <w:pStyle w:val="TableParagraph"/>
              <w:spacing w:line="230" w:lineRule="auto" w:before="1"/>
              <w:ind w:left="186" w:hanging="112"/>
              <w:rPr>
                <w:sz w:val="15"/>
              </w:rPr>
            </w:pPr>
            <w:r>
              <w:rPr>
                <w:color w:val="231F20"/>
                <w:spacing w:val="-2"/>
                <w:sz w:val="15"/>
              </w:rPr>
              <w:t>Generalized epilepsy with febrile seizures </w:t>
            </w:r>
            <w:r>
              <w:rPr>
                <w:color w:val="231F20"/>
                <w:spacing w:val="-2"/>
                <w:sz w:val="15"/>
              </w:rPr>
              <w:t>plus </w:t>
            </w:r>
            <w:r>
              <w:rPr>
                <w:color w:val="231F20"/>
                <w:sz w:val="15"/>
              </w:rPr>
              <w:t>(early onset)</w:t>
            </w:r>
          </w:p>
        </w:tc>
        <w:tc>
          <w:tcPr>
            <w:tcW w:w="3231" w:type="dxa"/>
            <w:tcBorders>
              <w:bottom w:val="single" w:sz="4" w:space="0" w:color="FFFFFF"/>
            </w:tcBorders>
            <w:shd w:val="clear" w:color="auto" w:fill="E8F5F1"/>
          </w:tcPr>
          <w:p>
            <w:pPr>
              <w:pStyle w:val="TableParagraph"/>
              <w:spacing w:line="172" w:lineRule="exact" w:before="75"/>
              <w:ind w:left="82"/>
              <w:rPr>
                <w:i/>
                <w:sz w:val="15"/>
              </w:rPr>
            </w:pPr>
            <w:r>
              <w:rPr>
                <w:i/>
                <w:color w:val="231F20"/>
                <w:spacing w:val="-4"/>
                <w:w w:val="110"/>
                <w:sz w:val="15"/>
              </w:rPr>
              <w:t>POLG</w:t>
            </w:r>
          </w:p>
          <w:p>
            <w:pPr>
              <w:pStyle w:val="TableParagraph"/>
              <w:spacing w:line="232" w:lineRule="auto" w:before="2"/>
              <w:ind w:left="82" w:right="1964"/>
              <w:rPr>
                <w:i/>
                <w:sz w:val="15"/>
              </w:rPr>
            </w:pPr>
            <w:r>
              <w:rPr>
                <w:i/>
                <w:color w:val="231F20"/>
                <w:w w:val="105"/>
                <w:sz w:val="15"/>
              </w:rPr>
              <w:t>SCN2A (EIEE11) PLC</w:t>
            </w:r>
            <w:r>
              <w:rPr>
                <w:rFonts w:ascii="Verdana" w:hAnsi="Verdana"/>
                <w:i/>
                <w:color w:val="231F20"/>
                <w:w w:val="105"/>
                <w:sz w:val="15"/>
              </w:rPr>
              <w:t>β</w:t>
            </w:r>
            <w:r>
              <w:rPr>
                <w:i/>
                <w:color w:val="231F20"/>
                <w:w w:val="105"/>
                <w:sz w:val="15"/>
              </w:rPr>
              <w:t>1 (EIEE12) </w:t>
            </w:r>
            <w:r>
              <w:rPr>
                <w:i/>
                <w:color w:val="231F20"/>
                <w:spacing w:val="-2"/>
                <w:w w:val="105"/>
                <w:sz w:val="15"/>
              </w:rPr>
              <w:t>ATP6AP2</w:t>
            </w:r>
            <w:r>
              <w:rPr>
                <w:i/>
                <w:color w:val="231F20"/>
                <w:spacing w:val="40"/>
                <w:w w:val="105"/>
                <w:sz w:val="15"/>
              </w:rPr>
              <w:t> </w:t>
            </w:r>
            <w:r>
              <w:rPr>
                <w:i/>
                <w:color w:val="231F20"/>
                <w:w w:val="105"/>
                <w:sz w:val="15"/>
              </w:rPr>
              <w:t>SPTAN1 (EIEE5) </w:t>
            </w:r>
            <w:r>
              <w:rPr>
                <w:i/>
                <w:color w:val="231F20"/>
                <w:sz w:val="15"/>
              </w:rPr>
              <w:t>SLC25A22</w:t>
            </w:r>
            <w:r>
              <w:rPr>
                <w:i/>
                <w:color w:val="231F20"/>
                <w:spacing w:val="-12"/>
                <w:sz w:val="15"/>
              </w:rPr>
              <w:t> </w:t>
            </w:r>
            <w:r>
              <w:rPr>
                <w:i/>
                <w:color w:val="231F20"/>
                <w:sz w:val="15"/>
              </w:rPr>
              <w:t>(EIEE3) </w:t>
            </w:r>
            <w:r>
              <w:rPr>
                <w:i/>
                <w:color w:val="231F20"/>
                <w:spacing w:val="-4"/>
                <w:w w:val="105"/>
                <w:sz w:val="15"/>
              </w:rPr>
              <w:t>PNPO</w:t>
            </w:r>
          </w:p>
          <w:p>
            <w:pPr>
              <w:pStyle w:val="TableParagraph"/>
              <w:spacing w:line="237" w:lineRule="auto"/>
              <w:ind w:left="82" w:right="2328"/>
              <w:rPr>
                <w:i/>
                <w:sz w:val="15"/>
              </w:rPr>
            </w:pPr>
            <w:r>
              <w:rPr>
                <w:i/>
                <w:color w:val="231F20"/>
                <w:spacing w:val="-2"/>
                <w:w w:val="110"/>
                <w:sz w:val="15"/>
              </w:rPr>
              <w:t>SCN1A SCN1B </w:t>
            </w:r>
            <w:r>
              <w:rPr>
                <w:i/>
                <w:color w:val="231F20"/>
                <w:spacing w:val="-2"/>
                <w:sz w:val="15"/>
              </w:rPr>
              <w:t>GABRG2 </w:t>
            </w:r>
            <w:r>
              <w:rPr>
                <w:i/>
                <w:color w:val="231F20"/>
                <w:spacing w:val="-2"/>
                <w:w w:val="110"/>
                <w:sz w:val="15"/>
              </w:rPr>
              <w:t>SCN2A</w:t>
            </w:r>
          </w:p>
        </w:tc>
        <w:tc>
          <w:tcPr>
            <w:tcW w:w="3269" w:type="dxa"/>
            <w:vMerge/>
            <w:tcBorders>
              <w:top w:val="nil"/>
              <w:bottom w:val="single" w:sz="4" w:space="0" w:color="FFFFFF"/>
            </w:tcBorders>
            <w:shd w:val="clear" w:color="auto" w:fill="E8F5F1"/>
          </w:tcPr>
          <w:p>
            <w:pPr>
              <w:rPr>
                <w:sz w:val="2"/>
                <w:szCs w:val="2"/>
              </w:rPr>
            </w:pPr>
          </w:p>
        </w:tc>
      </w:tr>
      <w:tr>
        <w:trPr>
          <w:trHeight w:val="723" w:hRule="atLeast"/>
        </w:trPr>
        <w:tc>
          <w:tcPr>
            <w:tcW w:w="3239" w:type="dxa"/>
            <w:tcBorders>
              <w:top w:val="single" w:sz="4" w:space="0" w:color="FFFFFF"/>
            </w:tcBorders>
            <w:shd w:val="clear" w:color="auto" w:fill="E8F5F1"/>
          </w:tcPr>
          <w:p>
            <w:pPr>
              <w:pStyle w:val="TableParagraph"/>
              <w:spacing w:line="172" w:lineRule="exact" w:before="43"/>
              <w:ind w:left="74"/>
              <w:rPr>
                <w:sz w:val="15"/>
              </w:rPr>
            </w:pPr>
            <w:r>
              <w:rPr>
                <w:color w:val="231F20"/>
                <w:w w:val="115"/>
                <w:sz w:val="15"/>
              </w:rPr>
              <w:t>CHILDHOOD</w:t>
            </w:r>
            <w:r>
              <w:rPr>
                <w:color w:val="231F20"/>
                <w:spacing w:val="-3"/>
                <w:w w:val="115"/>
                <w:sz w:val="15"/>
              </w:rPr>
              <w:t> </w:t>
            </w:r>
            <w:r>
              <w:rPr>
                <w:color w:val="231F20"/>
                <w:spacing w:val="-2"/>
                <w:w w:val="115"/>
                <w:sz w:val="15"/>
              </w:rPr>
              <w:t>ONSET</w:t>
            </w:r>
          </w:p>
          <w:p>
            <w:pPr>
              <w:pStyle w:val="TableParagraph"/>
              <w:spacing w:line="172" w:lineRule="exact"/>
              <w:ind w:left="74"/>
              <w:rPr>
                <w:sz w:val="15"/>
              </w:rPr>
            </w:pPr>
            <w:r>
              <w:rPr>
                <w:color w:val="231F20"/>
                <w:sz w:val="15"/>
              </w:rPr>
              <w:t>Childhood</w:t>
            </w:r>
            <w:r>
              <w:rPr>
                <w:color w:val="231F20"/>
                <w:spacing w:val="6"/>
                <w:sz w:val="15"/>
              </w:rPr>
              <w:t> </w:t>
            </w:r>
            <w:r>
              <w:rPr>
                <w:color w:val="231F20"/>
                <w:sz w:val="15"/>
              </w:rPr>
              <w:t>onset</w:t>
            </w:r>
            <w:r>
              <w:rPr>
                <w:color w:val="231F20"/>
                <w:spacing w:val="6"/>
                <w:sz w:val="15"/>
              </w:rPr>
              <w:t> </w:t>
            </w:r>
            <w:r>
              <w:rPr>
                <w:color w:val="231F20"/>
                <w:sz w:val="15"/>
              </w:rPr>
              <w:t>epileptic</w:t>
            </w:r>
            <w:r>
              <w:rPr>
                <w:color w:val="231F20"/>
                <w:spacing w:val="6"/>
                <w:sz w:val="15"/>
              </w:rPr>
              <w:t> </w:t>
            </w:r>
            <w:r>
              <w:rPr>
                <w:color w:val="231F20"/>
                <w:spacing w:val="-2"/>
                <w:sz w:val="15"/>
              </w:rPr>
              <w:t>encephalopathies</w:t>
            </w:r>
          </w:p>
        </w:tc>
        <w:tc>
          <w:tcPr>
            <w:tcW w:w="3231" w:type="dxa"/>
            <w:vMerge w:val="restart"/>
            <w:tcBorders>
              <w:top w:val="single" w:sz="4" w:space="0" w:color="FFFFFF"/>
              <w:bottom w:val="single" w:sz="4" w:space="0" w:color="FFFFFF"/>
            </w:tcBorders>
            <w:shd w:val="clear" w:color="auto" w:fill="E8F5F1"/>
          </w:tcPr>
          <w:p>
            <w:pPr>
              <w:pStyle w:val="TableParagraph"/>
              <w:spacing w:before="41"/>
              <w:rPr>
                <w:sz w:val="15"/>
              </w:rPr>
            </w:pPr>
          </w:p>
          <w:p>
            <w:pPr>
              <w:pStyle w:val="TableParagraph"/>
              <w:spacing w:line="235" w:lineRule="auto"/>
              <w:ind w:left="82" w:right="2328"/>
              <w:rPr>
                <w:i/>
                <w:sz w:val="15"/>
              </w:rPr>
            </w:pPr>
            <w:r>
              <w:rPr>
                <w:i/>
                <w:color w:val="231F20"/>
                <w:spacing w:val="-2"/>
                <w:w w:val="110"/>
                <w:sz w:val="15"/>
              </w:rPr>
              <w:t>SCN1A </w:t>
            </w:r>
            <w:r>
              <w:rPr>
                <w:i/>
                <w:color w:val="231F20"/>
                <w:spacing w:val="-2"/>
                <w:sz w:val="15"/>
              </w:rPr>
              <w:t>PCDH19 </w:t>
            </w:r>
            <w:r>
              <w:rPr>
                <w:i/>
                <w:color w:val="231F20"/>
                <w:spacing w:val="-2"/>
                <w:w w:val="110"/>
                <w:sz w:val="15"/>
              </w:rPr>
              <w:t>SLC2A1 </w:t>
            </w:r>
            <w:r>
              <w:rPr>
                <w:i/>
                <w:color w:val="231F20"/>
                <w:spacing w:val="-4"/>
                <w:w w:val="110"/>
                <w:sz w:val="15"/>
              </w:rPr>
              <w:t>POLG </w:t>
            </w:r>
            <w:r>
              <w:rPr>
                <w:i/>
                <w:color w:val="231F20"/>
                <w:spacing w:val="-2"/>
                <w:w w:val="110"/>
                <w:sz w:val="15"/>
              </w:rPr>
              <w:t>SCN2A</w:t>
            </w:r>
          </w:p>
          <w:p>
            <w:pPr>
              <w:pStyle w:val="TableParagraph"/>
              <w:spacing w:line="172" w:lineRule="exact"/>
              <w:ind w:left="82"/>
              <w:rPr>
                <w:sz w:val="15"/>
              </w:rPr>
            </w:pPr>
            <w:r>
              <w:rPr>
                <w:i/>
                <w:color w:val="231F20"/>
                <w:sz w:val="15"/>
              </w:rPr>
              <w:t>GLUT-1</w:t>
            </w:r>
            <w:r>
              <w:rPr>
                <w:i/>
                <w:color w:val="231F20"/>
                <w:spacing w:val="-8"/>
                <w:sz w:val="15"/>
              </w:rPr>
              <w:t> </w:t>
            </w:r>
            <w:r>
              <w:rPr>
                <w:color w:val="231F20"/>
                <w:sz w:val="15"/>
              </w:rPr>
              <w:t>deficiency</w:t>
            </w:r>
            <w:r>
              <w:rPr>
                <w:color w:val="231F20"/>
                <w:spacing w:val="-7"/>
                <w:sz w:val="15"/>
              </w:rPr>
              <w:t> </w:t>
            </w:r>
            <w:r>
              <w:rPr>
                <w:color w:val="231F20"/>
                <w:sz w:val="15"/>
              </w:rPr>
              <w:t>syndrome,</w:t>
            </w:r>
            <w:r>
              <w:rPr>
                <w:color w:val="231F20"/>
                <w:spacing w:val="-7"/>
                <w:sz w:val="15"/>
              </w:rPr>
              <w:t> </w:t>
            </w:r>
            <w:r>
              <w:rPr>
                <w:i/>
                <w:color w:val="231F20"/>
                <w:spacing w:val="-2"/>
                <w:sz w:val="15"/>
              </w:rPr>
              <w:t>SLC2A1</w:t>
            </w:r>
            <w:r>
              <w:rPr>
                <w:color w:val="231F20"/>
                <w:spacing w:val="-2"/>
                <w:sz w:val="15"/>
              </w:rPr>
              <w:t>gene</w:t>
            </w:r>
          </w:p>
          <w:p>
            <w:pPr>
              <w:pStyle w:val="TableParagraph"/>
              <w:spacing w:before="160"/>
              <w:rPr>
                <w:sz w:val="15"/>
              </w:rPr>
            </w:pPr>
          </w:p>
          <w:p>
            <w:pPr>
              <w:pStyle w:val="TableParagraph"/>
              <w:spacing w:line="235" w:lineRule="auto"/>
              <w:ind w:left="82" w:right="2328"/>
              <w:rPr>
                <w:i/>
                <w:sz w:val="15"/>
              </w:rPr>
            </w:pPr>
            <w:r>
              <w:rPr>
                <w:i/>
                <w:color w:val="231F20"/>
                <w:spacing w:val="-2"/>
                <w:w w:val="110"/>
                <w:sz w:val="15"/>
              </w:rPr>
              <w:t>SCN1A SCN1B GABRG2 SCN2A EFHC1 CACNB4 GABRA1 EPM2A NHLRC1 </w:t>
            </w:r>
            <w:r>
              <w:rPr>
                <w:i/>
                <w:color w:val="231F20"/>
                <w:spacing w:val="-4"/>
                <w:w w:val="110"/>
                <w:sz w:val="15"/>
              </w:rPr>
              <w:t>CSTB </w:t>
            </w:r>
            <w:r>
              <w:rPr>
                <w:i/>
                <w:color w:val="231F20"/>
                <w:spacing w:val="-2"/>
                <w:sz w:val="15"/>
              </w:rPr>
              <w:t>PRICKLE1</w:t>
            </w:r>
          </w:p>
          <w:p>
            <w:pPr>
              <w:pStyle w:val="TableParagraph"/>
              <w:spacing w:line="230" w:lineRule="auto"/>
              <w:ind w:left="194" w:hanging="112"/>
              <w:rPr>
                <w:i/>
                <w:sz w:val="15"/>
              </w:rPr>
            </w:pPr>
            <w:r>
              <w:rPr>
                <w:i/>
                <w:color w:val="231F20"/>
                <w:sz w:val="15"/>
              </w:rPr>
              <w:t>PPT1, TPP1,CLN3, CLN5, CLN6, CLN8, </w:t>
            </w:r>
            <w:r>
              <w:rPr>
                <w:i/>
                <w:color w:val="231F20"/>
                <w:sz w:val="15"/>
              </w:rPr>
              <w:t>CTSD, DNAJC5, MFSD8</w:t>
            </w:r>
          </w:p>
          <w:p>
            <w:pPr>
              <w:pStyle w:val="TableParagraph"/>
              <w:spacing w:line="237" w:lineRule="auto"/>
              <w:ind w:left="82" w:right="2549"/>
              <w:jc w:val="both"/>
              <w:rPr>
                <w:i/>
                <w:sz w:val="15"/>
              </w:rPr>
            </w:pPr>
            <w:r>
              <w:rPr>
                <w:i/>
                <w:color w:val="231F20"/>
                <w:spacing w:val="-2"/>
                <w:w w:val="110"/>
                <w:sz w:val="15"/>
              </w:rPr>
              <w:t>CHRNA4 CHRNB2 CHRNA2</w:t>
            </w:r>
          </w:p>
        </w:tc>
        <w:tc>
          <w:tcPr>
            <w:tcW w:w="3269" w:type="dxa"/>
            <w:vMerge w:val="restart"/>
            <w:tcBorders>
              <w:top w:val="single" w:sz="4" w:space="0" w:color="FFFFFF"/>
              <w:bottom w:val="single" w:sz="4" w:space="0" w:color="FFFFFF"/>
            </w:tcBorders>
            <w:shd w:val="clear" w:color="auto" w:fill="E8F5F1"/>
          </w:tcPr>
          <w:p>
            <w:pPr>
              <w:pStyle w:val="TableParagraph"/>
              <w:spacing w:before="43"/>
              <w:rPr>
                <w:sz w:val="15"/>
              </w:rPr>
            </w:pPr>
          </w:p>
          <w:p>
            <w:pPr>
              <w:pStyle w:val="TableParagraph"/>
              <w:spacing w:line="232" w:lineRule="auto"/>
              <w:ind w:left="98" w:right="1010"/>
              <w:rPr>
                <w:sz w:val="15"/>
              </w:rPr>
            </w:pPr>
            <w:r>
              <w:rPr>
                <w:color w:val="231F20"/>
                <w:sz w:val="15"/>
              </w:rPr>
              <w:t>Sodium</w:t>
            </w:r>
            <w:r>
              <w:rPr>
                <w:color w:val="231F20"/>
                <w:spacing w:val="-6"/>
                <w:sz w:val="15"/>
              </w:rPr>
              <w:t> </w:t>
            </w:r>
            <w:r>
              <w:rPr>
                <w:color w:val="231F20"/>
                <w:sz w:val="15"/>
              </w:rPr>
              <w:t>channel</w:t>
            </w:r>
            <w:r>
              <w:rPr>
                <w:color w:val="231F20"/>
                <w:spacing w:val="-6"/>
                <w:sz w:val="15"/>
              </w:rPr>
              <w:t> </w:t>
            </w:r>
            <w:r>
              <w:rPr>
                <w:color w:val="231F20"/>
                <w:sz w:val="15"/>
              </w:rPr>
              <w:t>protein</w:t>
            </w:r>
            <w:r>
              <w:rPr>
                <w:color w:val="231F20"/>
                <w:spacing w:val="-6"/>
                <w:sz w:val="15"/>
              </w:rPr>
              <w:t> </w:t>
            </w:r>
            <w:r>
              <w:rPr>
                <w:color w:val="231F20"/>
                <w:sz w:val="15"/>
              </w:rPr>
              <w:t>type</w:t>
            </w:r>
            <w:r>
              <w:rPr>
                <w:color w:val="231F20"/>
                <w:spacing w:val="-6"/>
                <w:sz w:val="15"/>
              </w:rPr>
              <w:t> </w:t>
            </w:r>
            <w:r>
              <w:rPr>
                <w:color w:val="231F20"/>
                <w:sz w:val="15"/>
              </w:rPr>
              <w:t>1</w:t>
            </w:r>
            <w:r>
              <w:rPr>
                <w:rFonts w:ascii="Cambria" w:hAnsi="Cambria"/>
                <w:color w:val="231F20"/>
                <w:sz w:val="15"/>
              </w:rPr>
              <w:t>α</w:t>
            </w:r>
            <w:r>
              <w:rPr>
                <w:rFonts w:ascii="Cambria" w:hAnsi="Cambria"/>
                <w:color w:val="231F20"/>
                <w:spacing w:val="40"/>
                <w:sz w:val="15"/>
              </w:rPr>
              <w:t> </w:t>
            </w:r>
            <w:r>
              <w:rPr>
                <w:color w:val="231F20"/>
                <w:spacing w:val="-2"/>
                <w:sz w:val="15"/>
              </w:rPr>
              <w:t>Protocadherin-19</w:t>
            </w:r>
          </w:p>
          <w:p>
            <w:pPr>
              <w:pStyle w:val="TableParagraph"/>
              <w:spacing w:line="235" w:lineRule="auto"/>
              <w:ind w:left="98" w:right="499"/>
              <w:rPr>
                <w:sz w:val="15"/>
              </w:rPr>
            </w:pPr>
            <w:r>
              <w:rPr>
                <w:color w:val="231F20"/>
                <w:spacing w:val="-2"/>
                <w:sz w:val="15"/>
              </w:rPr>
              <w:t>Solute</w:t>
            </w:r>
            <w:r>
              <w:rPr>
                <w:color w:val="231F20"/>
                <w:spacing w:val="-10"/>
                <w:sz w:val="15"/>
              </w:rPr>
              <w:t> </w:t>
            </w:r>
            <w:r>
              <w:rPr>
                <w:color w:val="231F20"/>
                <w:spacing w:val="-2"/>
                <w:sz w:val="15"/>
              </w:rPr>
              <w:t>carrier</w:t>
            </w:r>
            <w:r>
              <w:rPr>
                <w:color w:val="231F20"/>
                <w:spacing w:val="-9"/>
                <w:sz w:val="15"/>
              </w:rPr>
              <w:t> </w:t>
            </w:r>
            <w:r>
              <w:rPr>
                <w:color w:val="231F20"/>
                <w:spacing w:val="-2"/>
                <w:sz w:val="15"/>
              </w:rPr>
              <w:t>family</w:t>
            </w:r>
            <w:r>
              <w:rPr>
                <w:color w:val="231F20"/>
                <w:spacing w:val="-9"/>
                <w:sz w:val="15"/>
              </w:rPr>
              <w:t> </w:t>
            </w:r>
            <w:r>
              <w:rPr>
                <w:color w:val="231F20"/>
                <w:spacing w:val="-2"/>
                <w:sz w:val="15"/>
              </w:rPr>
              <w:t>2,</w:t>
            </w:r>
            <w:r>
              <w:rPr>
                <w:color w:val="231F20"/>
                <w:spacing w:val="-10"/>
                <w:sz w:val="15"/>
              </w:rPr>
              <w:t> </w:t>
            </w:r>
            <w:r>
              <w:rPr>
                <w:color w:val="231F20"/>
                <w:spacing w:val="-2"/>
                <w:sz w:val="15"/>
              </w:rPr>
              <w:t>facilitated</w:t>
            </w:r>
            <w:r>
              <w:rPr>
                <w:color w:val="231F20"/>
                <w:spacing w:val="-9"/>
                <w:sz w:val="15"/>
              </w:rPr>
              <w:t> </w:t>
            </w:r>
            <w:r>
              <w:rPr>
                <w:color w:val="231F20"/>
                <w:spacing w:val="-2"/>
                <w:sz w:val="15"/>
              </w:rPr>
              <w:t>GTM1 </w:t>
            </w:r>
            <w:r>
              <w:rPr>
                <w:color w:val="231F20"/>
                <w:sz w:val="15"/>
              </w:rPr>
              <w:t>DNA polymerase subunit </w:t>
            </w:r>
            <w:r>
              <w:rPr>
                <w:rFonts w:ascii="Cambria" w:hAnsi="Cambria"/>
                <w:color w:val="231F20"/>
                <w:sz w:val="15"/>
              </w:rPr>
              <w:t>γ</w:t>
            </w:r>
            <w:r>
              <w:rPr>
                <w:color w:val="231F20"/>
                <w:sz w:val="15"/>
              </w:rPr>
              <w:t>1</w:t>
            </w:r>
          </w:p>
          <w:p>
            <w:pPr>
              <w:pStyle w:val="TableParagraph"/>
              <w:spacing w:line="169" w:lineRule="exact"/>
              <w:ind w:left="98"/>
              <w:rPr>
                <w:rFonts w:ascii="Cambria" w:hAnsi="Cambria"/>
                <w:sz w:val="15"/>
              </w:rPr>
            </w:pPr>
            <w:r>
              <w:rPr>
                <w:color w:val="231F20"/>
                <w:sz w:val="15"/>
              </w:rPr>
              <w:t>Sodium</w:t>
            </w:r>
            <w:r>
              <w:rPr>
                <w:color w:val="231F20"/>
                <w:spacing w:val="-1"/>
                <w:sz w:val="15"/>
              </w:rPr>
              <w:t> </w:t>
            </w:r>
            <w:r>
              <w:rPr>
                <w:color w:val="231F20"/>
                <w:sz w:val="15"/>
              </w:rPr>
              <w:t>channel</w:t>
            </w:r>
            <w:r>
              <w:rPr>
                <w:color w:val="231F20"/>
                <w:spacing w:val="-1"/>
                <w:sz w:val="15"/>
              </w:rPr>
              <w:t> </w:t>
            </w:r>
            <w:r>
              <w:rPr>
                <w:color w:val="231F20"/>
                <w:sz w:val="15"/>
              </w:rPr>
              <w:t>protein</w:t>
            </w:r>
            <w:r>
              <w:rPr>
                <w:color w:val="231F20"/>
                <w:spacing w:val="-1"/>
                <w:sz w:val="15"/>
              </w:rPr>
              <w:t> </w:t>
            </w:r>
            <w:r>
              <w:rPr>
                <w:color w:val="231F20"/>
                <w:sz w:val="15"/>
              </w:rPr>
              <w:t>type </w:t>
            </w:r>
            <w:r>
              <w:rPr>
                <w:color w:val="231F20"/>
                <w:spacing w:val="-5"/>
                <w:sz w:val="15"/>
              </w:rPr>
              <w:t>2</w:t>
            </w:r>
            <w:r>
              <w:rPr>
                <w:rFonts w:ascii="Cambria" w:hAnsi="Cambria"/>
                <w:color w:val="231F20"/>
                <w:spacing w:val="-5"/>
                <w:sz w:val="15"/>
              </w:rPr>
              <w:t>α</w:t>
            </w:r>
          </w:p>
          <w:p>
            <w:pPr>
              <w:pStyle w:val="TableParagraph"/>
              <w:spacing w:line="172" w:lineRule="exact"/>
              <w:ind w:left="98"/>
              <w:rPr>
                <w:sz w:val="15"/>
              </w:rPr>
            </w:pPr>
            <w:r>
              <w:rPr>
                <w:color w:val="231F20"/>
                <w:spacing w:val="-4"/>
                <w:sz w:val="15"/>
              </w:rPr>
              <w:t>Solute</w:t>
            </w:r>
            <w:r>
              <w:rPr>
                <w:color w:val="231F20"/>
                <w:spacing w:val="-3"/>
                <w:sz w:val="15"/>
              </w:rPr>
              <w:t> </w:t>
            </w:r>
            <w:r>
              <w:rPr>
                <w:color w:val="231F20"/>
                <w:spacing w:val="-4"/>
                <w:sz w:val="15"/>
              </w:rPr>
              <w:t>carrier</w:t>
            </w:r>
            <w:r>
              <w:rPr>
                <w:color w:val="231F20"/>
                <w:spacing w:val="-2"/>
                <w:sz w:val="15"/>
              </w:rPr>
              <w:t> </w:t>
            </w:r>
            <w:r>
              <w:rPr>
                <w:color w:val="231F20"/>
                <w:spacing w:val="-4"/>
                <w:sz w:val="15"/>
              </w:rPr>
              <w:t>family</w:t>
            </w:r>
            <w:r>
              <w:rPr>
                <w:color w:val="231F20"/>
                <w:spacing w:val="-2"/>
                <w:sz w:val="15"/>
              </w:rPr>
              <w:t> </w:t>
            </w:r>
            <w:r>
              <w:rPr>
                <w:color w:val="231F20"/>
                <w:spacing w:val="-4"/>
                <w:sz w:val="15"/>
              </w:rPr>
              <w:t>2,</w:t>
            </w:r>
            <w:r>
              <w:rPr>
                <w:color w:val="231F20"/>
                <w:spacing w:val="-2"/>
                <w:sz w:val="15"/>
              </w:rPr>
              <w:t> </w:t>
            </w:r>
            <w:r>
              <w:rPr>
                <w:color w:val="231F20"/>
                <w:spacing w:val="-4"/>
                <w:sz w:val="15"/>
              </w:rPr>
              <w:t>facilitated</w:t>
            </w:r>
            <w:r>
              <w:rPr>
                <w:color w:val="231F20"/>
                <w:spacing w:val="-2"/>
                <w:sz w:val="15"/>
              </w:rPr>
              <w:t> </w:t>
            </w:r>
            <w:r>
              <w:rPr>
                <w:color w:val="231F20"/>
                <w:spacing w:val="-4"/>
                <w:sz w:val="15"/>
              </w:rPr>
              <w:t>GTM1</w:t>
            </w:r>
          </w:p>
          <w:p>
            <w:pPr>
              <w:pStyle w:val="TableParagraph"/>
              <w:spacing w:before="160"/>
              <w:rPr>
                <w:sz w:val="15"/>
              </w:rPr>
            </w:pPr>
          </w:p>
          <w:p>
            <w:pPr>
              <w:pStyle w:val="TableParagraph"/>
              <w:spacing w:line="235" w:lineRule="auto"/>
              <w:ind w:left="98" w:right="946"/>
              <w:rPr>
                <w:rFonts w:ascii="Cambria" w:hAnsi="Cambria"/>
                <w:sz w:val="15"/>
              </w:rPr>
            </w:pPr>
            <w:r>
              <w:rPr>
                <w:color w:val="231F20"/>
                <w:sz w:val="15"/>
              </w:rPr>
              <w:t>Sodium</w:t>
            </w:r>
            <w:r>
              <w:rPr>
                <w:color w:val="231F20"/>
                <w:spacing w:val="-6"/>
                <w:sz w:val="15"/>
              </w:rPr>
              <w:t> </w:t>
            </w:r>
            <w:r>
              <w:rPr>
                <w:color w:val="231F20"/>
                <w:sz w:val="15"/>
              </w:rPr>
              <w:t>channel</w:t>
            </w:r>
            <w:r>
              <w:rPr>
                <w:color w:val="231F20"/>
                <w:spacing w:val="-6"/>
                <w:sz w:val="15"/>
              </w:rPr>
              <w:t> </w:t>
            </w:r>
            <w:r>
              <w:rPr>
                <w:color w:val="231F20"/>
                <w:sz w:val="15"/>
              </w:rPr>
              <w:t>protein</w:t>
            </w:r>
            <w:r>
              <w:rPr>
                <w:color w:val="231F20"/>
                <w:spacing w:val="-6"/>
                <w:sz w:val="15"/>
              </w:rPr>
              <w:t> </w:t>
            </w:r>
            <w:r>
              <w:rPr>
                <w:color w:val="231F20"/>
                <w:sz w:val="15"/>
              </w:rPr>
              <w:t>type</w:t>
            </w:r>
            <w:r>
              <w:rPr>
                <w:color w:val="231F20"/>
                <w:spacing w:val="-6"/>
                <w:sz w:val="15"/>
              </w:rPr>
              <w:t> </w:t>
            </w:r>
            <w:r>
              <w:rPr>
                <w:color w:val="231F20"/>
                <w:sz w:val="15"/>
              </w:rPr>
              <w:t>1</w:t>
            </w:r>
            <w:r>
              <w:rPr>
                <w:rFonts w:ascii="Cambria" w:hAnsi="Cambria"/>
                <w:color w:val="231F20"/>
                <w:sz w:val="15"/>
              </w:rPr>
              <w:t>α</w:t>
            </w:r>
            <w:r>
              <w:rPr>
                <w:rFonts w:ascii="Cambria" w:hAnsi="Cambria"/>
                <w:color w:val="231F20"/>
                <w:spacing w:val="40"/>
                <w:sz w:val="15"/>
              </w:rPr>
              <w:t> </w:t>
            </w:r>
            <w:r>
              <w:rPr>
                <w:color w:val="231F20"/>
                <w:sz w:val="15"/>
              </w:rPr>
              <w:t>Sodium</w:t>
            </w:r>
            <w:r>
              <w:rPr>
                <w:color w:val="231F20"/>
                <w:spacing w:val="-1"/>
                <w:sz w:val="15"/>
              </w:rPr>
              <w:t> </w:t>
            </w:r>
            <w:r>
              <w:rPr>
                <w:color w:val="231F20"/>
                <w:sz w:val="15"/>
              </w:rPr>
              <w:t>channel</w:t>
            </w:r>
            <w:r>
              <w:rPr>
                <w:color w:val="231F20"/>
                <w:spacing w:val="-1"/>
                <w:sz w:val="15"/>
              </w:rPr>
              <w:t> </w:t>
            </w:r>
            <w:r>
              <w:rPr>
                <w:color w:val="231F20"/>
                <w:sz w:val="15"/>
              </w:rPr>
              <w:t>protein</w:t>
            </w:r>
            <w:r>
              <w:rPr>
                <w:color w:val="231F20"/>
                <w:spacing w:val="-1"/>
                <w:sz w:val="15"/>
              </w:rPr>
              <w:t> </w:t>
            </w:r>
            <w:r>
              <w:rPr>
                <w:color w:val="231F20"/>
                <w:sz w:val="15"/>
              </w:rPr>
              <w:t>type </w:t>
            </w:r>
            <w:r>
              <w:rPr>
                <w:color w:val="231F20"/>
                <w:spacing w:val="-5"/>
                <w:sz w:val="15"/>
              </w:rPr>
              <w:t>1</w:t>
            </w:r>
            <w:r>
              <w:rPr>
                <w:rFonts w:ascii="Cambria" w:hAnsi="Cambria"/>
                <w:color w:val="231F20"/>
                <w:spacing w:val="-5"/>
                <w:sz w:val="15"/>
              </w:rPr>
              <w:t>β</w:t>
            </w:r>
          </w:p>
          <w:p>
            <w:pPr>
              <w:pStyle w:val="TableParagraph"/>
              <w:spacing w:line="235" w:lineRule="auto"/>
              <w:ind w:left="98" w:right="499"/>
              <w:rPr>
                <w:rFonts w:ascii="Cambria" w:hAnsi="Cambria"/>
                <w:sz w:val="15"/>
              </w:rPr>
            </w:pPr>
            <w:r>
              <w:rPr>
                <w:rFonts w:ascii="Cambria" w:hAnsi="Cambria"/>
                <w:color w:val="231F20"/>
                <w:spacing w:val="-2"/>
                <w:sz w:val="15"/>
              </w:rPr>
              <w:t>γ</w:t>
            </w:r>
            <w:r>
              <w:rPr>
                <w:color w:val="231F20"/>
                <w:spacing w:val="-2"/>
                <w:sz w:val="15"/>
              </w:rPr>
              <w:t>-Aminobutyric</w:t>
            </w:r>
            <w:r>
              <w:rPr>
                <w:color w:val="231F20"/>
                <w:spacing w:val="-6"/>
                <w:sz w:val="15"/>
              </w:rPr>
              <w:t> </w:t>
            </w:r>
            <w:r>
              <w:rPr>
                <w:color w:val="231F20"/>
                <w:spacing w:val="-2"/>
                <w:sz w:val="15"/>
              </w:rPr>
              <w:t>acid</w:t>
            </w:r>
            <w:r>
              <w:rPr>
                <w:color w:val="231F20"/>
                <w:spacing w:val="-6"/>
                <w:sz w:val="15"/>
              </w:rPr>
              <w:t> </w:t>
            </w:r>
            <w:r>
              <w:rPr>
                <w:color w:val="231F20"/>
                <w:spacing w:val="-2"/>
                <w:sz w:val="15"/>
              </w:rPr>
              <w:t>receptor</w:t>
            </w:r>
            <w:r>
              <w:rPr>
                <w:color w:val="231F20"/>
                <w:spacing w:val="-6"/>
                <w:sz w:val="15"/>
              </w:rPr>
              <w:t> </w:t>
            </w:r>
            <w:r>
              <w:rPr>
                <w:color w:val="231F20"/>
                <w:spacing w:val="-2"/>
                <w:sz w:val="15"/>
              </w:rPr>
              <w:t>subunit</w:t>
            </w:r>
            <w:r>
              <w:rPr>
                <w:color w:val="231F20"/>
                <w:spacing w:val="-6"/>
                <w:sz w:val="15"/>
              </w:rPr>
              <w:t> </w:t>
            </w:r>
            <w:r>
              <w:rPr>
                <w:rFonts w:ascii="Cambria" w:hAnsi="Cambria"/>
                <w:color w:val="231F20"/>
                <w:spacing w:val="-2"/>
                <w:sz w:val="15"/>
              </w:rPr>
              <w:t>γ</w:t>
            </w:r>
            <w:r>
              <w:rPr>
                <w:color w:val="231F20"/>
                <w:spacing w:val="-2"/>
                <w:sz w:val="15"/>
              </w:rPr>
              <w:t>2 </w:t>
            </w:r>
            <w:r>
              <w:rPr>
                <w:color w:val="231F20"/>
                <w:sz w:val="15"/>
              </w:rPr>
              <w:t>Sodium channel protein type 1</w:t>
            </w:r>
            <w:r>
              <w:rPr>
                <w:rFonts w:ascii="Cambria" w:hAnsi="Cambria"/>
                <w:color w:val="231F20"/>
                <w:sz w:val="15"/>
              </w:rPr>
              <w:t>α</w:t>
            </w:r>
          </w:p>
          <w:p>
            <w:pPr>
              <w:pStyle w:val="TableParagraph"/>
              <w:spacing w:line="232" w:lineRule="auto"/>
              <w:ind w:left="98" w:right="288"/>
              <w:rPr>
                <w:sz w:val="15"/>
              </w:rPr>
            </w:pPr>
            <w:r>
              <w:rPr>
                <w:color w:val="231F20"/>
                <w:sz w:val="15"/>
              </w:rPr>
              <w:t>EF-hand domain-containing protein 1 Voltage-dependent</w:t>
            </w:r>
            <w:r>
              <w:rPr>
                <w:color w:val="231F20"/>
                <w:spacing w:val="-12"/>
                <w:sz w:val="15"/>
              </w:rPr>
              <w:t> </w:t>
            </w:r>
            <w:r>
              <w:rPr>
                <w:color w:val="231F20"/>
                <w:sz w:val="15"/>
              </w:rPr>
              <w:t>L-type</w:t>
            </w:r>
            <w:r>
              <w:rPr>
                <w:color w:val="231F20"/>
                <w:spacing w:val="-11"/>
                <w:sz w:val="15"/>
              </w:rPr>
              <w:t> </w:t>
            </w:r>
            <w:r>
              <w:rPr>
                <w:color w:val="231F20"/>
                <w:sz w:val="15"/>
              </w:rPr>
              <w:t>calcium</w:t>
            </w:r>
            <w:r>
              <w:rPr>
                <w:color w:val="231F20"/>
                <w:spacing w:val="-11"/>
                <w:sz w:val="15"/>
              </w:rPr>
              <w:t> </w:t>
            </w:r>
            <w:r>
              <w:rPr>
                <w:color w:val="231F20"/>
                <w:sz w:val="15"/>
              </w:rPr>
              <w:t>channel </w:t>
            </w:r>
            <w:r>
              <w:rPr>
                <w:rFonts w:ascii="Cambria" w:hAnsi="Cambria"/>
                <w:color w:val="231F20"/>
                <w:sz w:val="15"/>
              </w:rPr>
              <w:t>γ</w:t>
            </w:r>
            <w:r>
              <w:rPr>
                <w:color w:val="231F20"/>
                <w:sz w:val="15"/>
              </w:rPr>
              <w:t>-Aminobutyric acid receptor subunit </w:t>
            </w:r>
            <w:r>
              <w:rPr>
                <w:rFonts w:ascii="Cambria" w:hAnsi="Cambria"/>
                <w:color w:val="231F20"/>
                <w:sz w:val="15"/>
              </w:rPr>
              <w:t>α</w:t>
            </w:r>
            <w:r>
              <w:rPr>
                <w:color w:val="231F20"/>
                <w:sz w:val="15"/>
              </w:rPr>
              <w:t>1 </w:t>
            </w:r>
            <w:r>
              <w:rPr>
                <w:color w:val="231F20"/>
                <w:spacing w:val="-2"/>
                <w:sz w:val="15"/>
              </w:rPr>
              <w:t>Laforin</w:t>
            </w:r>
          </w:p>
          <w:p>
            <w:pPr>
              <w:pStyle w:val="TableParagraph"/>
              <w:spacing w:line="232" w:lineRule="auto" w:before="1"/>
              <w:ind w:left="98" w:right="499"/>
              <w:rPr>
                <w:sz w:val="15"/>
              </w:rPr>
            </w:pPr>
            <w:r>
              <w:rPr>
                <w:color w:val="231F20"/>
                <w:sz w:val="15"/>
              </w:rPr>
              <w:t>NHL</w:t>
            </w:r>
            <w:r>
              <w:rPr>
                <w:color w:val="231F20"/>
                <w:spacing w:val="-12"/>
                <w:sz w:val="15"/>
              </w:rPr>
              <w:t> </w:t>
            </w:r>
            <w:r>
              <w:rPr>
                <w:color w:val="231F20"/>
                <w:sz w:val="15"/>
              </w:rPr>
              <w:t>repeat-containing</w:t>
            </w:r>
            <w:r>
              <w:rPr>
                <w:color w:val="231F20"/>
                <w:spacing w:val="-11"/>
                <w:sz w:val="15"/>
              </w:rPr>
              <w:t> </w:t>
            </w:r>
            <w:r>
              <w:rPr>
                <w:color w:val="231F20"/>
                <w:sz w:val="15"/>
              </w:rPr>
              <w:t>protein</w:t>
            </w:r>
            <w:r>
              <w:rPr>
                <w:color w:val="231F20"/>
                <w:spacing w:val="-11"/>
                <w:sz w:val="15"/>
              </w:rPr>
              <w:t> </w:t>
            </w:r>
            <w:r>
              <w:rPr>
                <w:color w:val="231F20"/>
                <w:sz w:val="15"/>
              </w:rPr>
              <w:t>1</w:t>
            </w:r>
            <w:r>
              <w:rPr>
                <w:color w:val="231F20"/>
                <w:spacing w:val="-12"/>
                <w:sz w:val="15"/>
              </w:rPr>
              <w:t> </w:t>
            </w:r>
            <w:r>
              <w:rPr>
                <w:color w:val="231F20"/>
                <w:sz w:val="15"/>
              </w:rPr>
              <w:t>(Malin) </w:t>
            </w:r>
            <w:r>
              <w:rPr>
                <w:color w:val="231F20"/>
                <w:spacing w:val="-2"/>
                <w:sz w:val="15"/>
              </w:rPr>
              <w:t>Cystatin-B</w:t>
            </w:r>
          </w:p>
          <w:p>
            <w:pPr>
              <w:pStyle w:val="TableParagraph"/>
              <w:spacing w:line="169" w:lineRule="exact"/>
              <w:ind w:left="98"/>
              <w:rPr>
                <w:sz w:val="15"/>
              </w:rPr>
            </w:pPr>
            <w:r>
              <w:rPr>
                <w:color w:val="231F20"/>
                <w:spacing w:val="-4"/>
                <w:sz w:val="15"/>
              </w:rPr>
              <w:t>Prickle-like</w:t>
            </w:r>
            <w:r>
              <w:rPr>
                <w:color w:val="231F20"/>
                <w:spacing w:val="7"/>
                <w:sz w:val="15"/>
              </w:rPr>
              <w:t> </w:t>
            </w:r>
            <w:r>
              <w:rPr>
                <w:color w:val="231F20"/>
                <w:spacing w:val="-4"/>
                <w:sz w:val="15"/>
              </w:rPr>
              <w:t>protein</w:t>
            </w:r>
            <w:r>
              <w:rPr>
                <w:color w:val="231F20"/>
                <w:spacing w:val="8"/>
                <w:sz w:val="15"/>
              </w:rPr>
              <w:t> </w:t>
            </w:r>
            <w:r>
              <w:rPr>
                <w:color w:val="231F20"/>
                <w:spacing w:val="-10"/>
                <w:sz w:val="15"/>
              </w:rPr>
              <w:t>1</w:t>
            </w:r>
          </w:p>
          <w:p>
            <w:pPr>
              <w:pStyle w:val="TableParagraph"/>
              <w:spacing w:line="230" w:lineRule="auto" w:before="3"/>
              <w:ind w:left="210" w:hanging="112"/>
              <w:rPr>
                <w:sz w:val="15"/>
              </w:rPr>
            </w:pPr>
            <w:r>
              <w:rPr>
                <w:color w:val="231F20"/>
                <w:sz w:val="15"/>
              </w:rPr>
              <w:t>Multiple</w:t>
            </w:r>
            <w:r>
              <w:rPr>
                <w:color w:val="231F20"/>
                <w:spacing w:val="-8"/>
                <w:sz w:val="15"/>
              </w:rPr>
              <w:t> </w:t>
            </w:r>
            <w:r>
              <w:rPr>
                <w:color w:val="231F20"/>
                <w:sz w:val="15"/>
              </w:rPr>
              <w:t>proteins</w:t>
            </w:r>
            <w:r>
              <w:rPr>
                <w:color w:val="231F20"/>
                <w:spacing w:val="-8"/>
                <w:sz w:val="15"/>
              </w:rPr>
              <w:t> </w:t>
            </w:r>
            <w:r>
              <w:rPr>
                <w:color w:val="231F20"/>
                <w:sz w:val="15"/>
              </w:rPr>
              <w:t>causing</w:t>
            </w:r>
            <w:r>
              <w:rPr>
                <w:color w:val="231F20"/>
                <w:spacing w:val="-8"/>
                <w:sz w:val="15"/>
              </w:rPr>
              <w:t> </w:t>
            </w:r>
            <w:r>
              <w:rPr>
                <w:color w:val="231F20"/>
                <w:sz w:val="15"/>
              </w:rPr>
              <w:t>neuronal</w:t>
            </w:r>
            <w:r>
              <w:rPr>
                <w:color w:val="231F20"/>
                <w:spacing w:val="-8"/>
                <w:sz w:val="15"/>
              </w:rPr>
              <w:t> </w:t>
            </w:r>
            <w:r>
              <w:rPr>
                <w:color w:val="231F20"/>
                <w:sz w:val="15"/>
              </w:rPr>
              <w:t>ceroid </w:t>
            </w:r>
            <w:r>
              <w:rPr>
                <w:color w:val="231F20"/>
                <w:spacing w:val="-2"/>
                <w:sz w:val="15"/>
              </w:rPr>
              <w:t>lipofuscinosis</w:t>
            </w:r>
          </w:p>
          <w:p>
            <w:pPr>
              <w:pStyle w:val="TableParagraph"/>
              <w:spacing w:line="235" w:lineRule="auto" w:before="1"/>
              <w:ind w:left="98" w:right="805"/>
              <w:jc w:val="both"/>
              <w:rPr>
                <w:sz w:val="15"/>
              </w:rPr>
            </w:pPr>
            <w:r>
              <w:rPr>
                <w:color w:val="231F20"/>
                <w:sz w:val="15"/>
              </w:rPr>
              <w:t>Neuronal</w:t>
            </w:r>
            <w:r>
              <w:rPr>
                <w:color w:val="231F20"/>
                <w:spacing w:val="-12"/>
                <w:sz w:val="15"/>
              </w:rPr>
              <w:t> </w:t>
            </w:r>
            <w:r>
              <w:rPr>
                <w:color w:val="231F20"/>
                <w:sz w:val="15"/>
              </w:rPr>
              <w:t>acetylcholine</w:t>
            </w:r>
            <w:r>
              <w:rPr>
                <w:color w:val="231F20"/>
                <w:spacing w:val="-11"/>
                <w:sz w:val="15"/>
              </w:rPr>
              <w:t> </w:t>
            </w:r>
            <w:r>
              <w:rPr>
                <w:color w:val="231F20"/>
                <w:sz w:val="15"/>
              </w:rPr>
              <w:t>receptor</w:t>
            </w:r>
            <w:r>
              <w:rPr>
                <w:color w:val="231F20"/>
                <w:spacing w:val="-11"/>
                <w:sz w:val="15"/>
              </w:rPr>
              <w:t> </w:t>
            </w:r>
            <w:r>
              <w:rPr>
                <w:rFonts w:ascii="Cambria" w:hAnsi="Cambria"/>
                <w:color w:val="231F20"/>
                <w:sz w:val="15"/>
              </w:rPr>
              <w:t>α</w:t>
            </w:r>
            <w:r>
              <w:rPr>
                <w:color w:val="231F20"/>
                <w:sz w:val="15"/>
              </w:rPr>
              <w:t>4 Neuronal</w:t>
            </w:r>
            <w:r>
              <w:rPr>
                <w:color w:val="231F20"/>
                <w:spacing w:val="-12"/>
                <w:sz w:val="15"/>
              </w:rPr>
              <w:t> </w:t>
            </w:r>
            <w:r>
              <w:rPr>
                <w:color w:val="231F20"/>
                <w:sz w:val="15"/>
              </w:rPr>
              <w:t>acetylcholine</w:t>
            </w:r>
            <w:r>
              <w:rPr>
                <w:color w:val="231F20"/>
                <w:spacing w:val="-11"/>
                <w:sz w:val="15"/>
              </w:rPr>
              <w:t> </w:t>
            </w:r>
            <w:r>
              <w:rPr>
                <w:color w:val="231F20"/>
                <w:sz w:val="15"/>
              </w:rPr>
              <w:t>receptor</w:t>
            </w:r>
            <w:r>
              <w:rPr>
                <w:color w:val="231F20"/>
                <w:spacing w:val="-11"/>
                <w:sz w:val="15"/>
              </w:rPr>
              <w:t> </w:t>
            </w:r>
            <w:r>
              <w:rPr>
                <w:rFonts w:ascii="Cambria" w:hAnsi="Cambria"/>
                <w:color w:val="231F20"/>
                <w:sz w:val="15"/>
              </w:rPr>
              <w:t>β</w:t>
            </w:r>
            <w:r>
              <w:rPr>
                <w:color w:val="231F20"/>
                <w:sz w:val="15"/>
              </w:rPr>
              <w:t>2 Neuronal</w:t>
            </w:r>
            <w:r>
              <w:rPr>
                <w:color w:val="231F20"/>
                <w:spacing w:val="-11"/>
                <w:sz w:val="15"/>
              </w:rPr>
              <w:t> </w:t>
            </w:r>
            <w:r>
              <w:rPr>
                <w:color w:val="231F20"/>
                <w:sz w:val="15"/>
              </w:rPr>
              <w:t>acetylcholine</w:t>
            </w:r>
            <w:r>
              <w:rPr>
                <w:color w:val="231F20"/>
                <w:spacing w:val="-11"/>
                <w:sz w:val="15"/>
              </w:rPr>
              <w:t> </w:t>
            </w:r>
            <w:r>
              <w:rPr>
                <w:color w:val="231F20"/>
                <w:sz w:val="15"/>
              </w:rPr>
              <w:t>receptor</w:t>
            </w:r>
            <w:r>
              <w:rPr>
                <w:color w:val="231F20"/>
                <w:spacing w:val="-11"/>
                <w:sz w:val="15"/>
              </w:rPr>
              <w:t> </w:t>
            </w:r>
            <w:r>
              <w:rPr>
                <w:rFonts w:ascii="Cambria" w:hAnsi="Cambria"/>
                <w:color w:val="231F20"/>
                <w:spacing w:val="-5"/>
                <w:sz w:val="15"/>
              </w:rPr>
              <w:t>α</w:t>
            </w:r>
            <w:r>
              <w:rPr>
                <w:color w:val="231F20"/>
                <w:spacing w:val="-5"/>
                <w:sz w:val="15"/>
              </w:rPr>
              <w:t>2</w:t>
            </w:r>
          </w:p>
        </w:tc>
      </w:tr>
      <w:tr>
        <w:trPr>
          <w:trHeight w:val="1265" w:hRule="atLeast"/>
        </w:trPr>
        <w:tc>
          <w:tcPr>
            <w:tcW w:w="3239" w:type="dxa"/>
            <w:shd w:val="clear" w:color="auto" w:fill="E8F5F1"/>
          </w:tcPr>
          <w:p>
            <w:pPr>
              <w:pStyle w:val="TableParagraph"/>
              <w:spacing w:before="164"/>
              <w:rPr>
                <w:sz w:val="15"/>
              </w:rPr>
            </w:pPr>
          </w:p>
          <w:p>
            <w:pPr>
              <w:pStyle w:val="TableParagraph"/>
              <w:spacing w:line="230" w:lineRule="auto"/>
              <w:ind w:left="186" w:hanging="112"/>
              <w:rPr>
                <w:sz w:val="15"/>
              </w:rPr>
            </w:pPr>
            <w:r>
              <w:rPr>
                <w:color w:val="231F20"/>
                <w:sz w:val="15"/>
              </w:rPr>
              <w:t>Early onset absence seizures, refractory </w:t>
            </w:r>
            <w:r>
              <w:rPr>
                <w:color w:val="231F20"/>
                <w:spacing w:val="-2"/>
                <w:sz w:val="15"/>
              </w:rPr>
              <w:t>epilepsy</w:t>
            </w:r>
            <w:r>
              <w:rPr>
                <w:color w:val="231F20"/>
                <w:spacing w:val="-6"/>
                <w:sz w:val="15"/>
              </w:rPr>
              <w:t> </w:t>
            </w:r>
            <w:r>
              <w:rPr>
                <w:color w:val="231F20"/>
                <w:spacing w:val="-2"/>
                <w:sz w:val="15"/>
              </w:rPr>
              <w:t>of</w:t>
            </w:r>
            <w:r>
              <w:rPr>
                <w:color w:val="231F20"/>
                <w:spacing w:val="-6"/>
                <w:sz w:val="15"/>
              </w:rPr>
              <w:t> </w:t>
            </w:r>
            <w:r>
              <w:rPr>
                <w:color w:val="231F20"/>
                <w:spacing w:val="-2"/>
                <w:sz w:val="15"/>
              </w:rPr>
              <w:t>multiple</w:t>
            </w:r>
            <w:r>
              <w:rPr>
                <w:color w:val="231F20"/>
                <w:spacing w:val="-6"/>
                <w:sz w:val="15"/>
              </w:rPr>
              <w:t> </w:t>
            </w:r>
            <w:r>
              <w:rPr>
                <w:color w:val="231F20"/>
                <w:spacing w:val="-2"/>
                <w:sz w:val="15"/>
              </w:rPr>
              <w:t>types</w:t>
            </w:r>
            <w:r>
              <w:rPr>
                <w:color w:val="231F20"/>
                <w:spacing w:val="-6"/>
                <w:sz w:val="15"/>
              </w:rPr>
              <w:t> </w:t>
            </w:r>
            <w:r>
              <w:rPr>
                <w:color w:val="231F20"/>
                <w:spacing w:val="-2"/>
                <w:sz w:val="15"/>
              </w:rPr>
              <w:t>at</w:t>
            </w:r>
            <w:r>
              <w:rPr>
                <w:color w:val="231F20"/>
                <w:spacing w:val="-6"/>
                <w:sz w:val="15"/>
              </w:rPr>
              <w:t> </w:t>
            </w:r>
            <w:r>
              <w:rPr>
                <w:color w:val="231F20"/>
                <w:spacing w:val="-2"/>
                <w:sz w:val="15"/>
              </w:rPr>
              <w:t>times</w:t>
            </w:r>
            <w:r>
              <w:rPr>
                <w:color w:val="231F20"/>
                <w:spacing w:val="-6"/>
                <w:sz w:val="15"/>
              </w:rPr>
              <w:t> </w:t>
            </w:r>
            <w:r>
              <w:rPr>
                <w:color w:val="231F20"/>
                <w:spacing w:val="-2"/>
                <w:sz w:val="15"/>
              </w:rPr>
              <w:t>with </w:t>
            </w:r>
            <w:r>
              <w:rPr>
                <w:color w:val="231F20"/>
                <w:sz w:val="15"/>
              </w:rPr>
              <w:t>movement disorder</w:t>
            </w:r>
          </w:p>
          <w:p>
            <w:pPr>
              <w:pStyle w:val="TableParagraph"/>
              <w:spacing w:line="172" w:lineRule="exact"/>
              <w:ind w:left="74"/>
              <w:rPr>
                <w:sz w:val="15"/>
              </w:rPr>
            </w:pPr>
            <w:r>
              <w:rPr>
                <w:color w:val="231F20"/>
                <w:spacing w:val="-2"/>
                <w:sz w:val="15"/>
              </w:rPr>
              <w:t>Generalized</w:t>
            </w:r>
            <w:r>
              <w:rPr>
                <w:color w:val="231F20"/>
                <w:sz w:val="15"/>
              </w:rPr>
              <w:t> </w:t>
            </w:r>
            <w:r>
              <w:rPr>
                <w:color w:val="231F20"/>
                <w:spacing w:val="-2"/>
                <w:sz w:val="15"/>
              </w:rPr>
              <w:t>epilepsy</w:t>
            </w:r>
            <w:r>
              <w:rPr>
                <w:color w:val="231F20"/>
                <w:sz w:val="15"/>
              </w:rPr>
              <w:t> </w:t>
            </w:r>
            <w:r>
              <w:rPr>
                <w:color w:val="231F20"/>
                <w:spacing w:val="-2"/>
                <w:sz w:val="15"/>
              </w:rPr>
              <w:t>with</w:t>
            </w:r>
            <w:r>
              <w:rPr>
                <w:color w:val="231F20"/>
                <w:sz w:val="15"/>
              </w:rPr>
              <w:t> </w:t>
            </w:r>
            <w:r>
              <w:rPr>
                <w:color w:val="231F20"/>
                <w:spacing w:val="-2"/>
                <w:sz w:val="15"/>
              </w:rPr>
              <w:t>febrile</w:t>
            </w:r>
            <w:r>
              <w:rPr>
                <w:color w:val="231F20"/>
                <w:sz w:val="15"/>
              </w:rPr>
              <w:t> </w:t>
            </w:r>
            <w:r>
              <w:rPr>
                <w:color w:val="231F20"/>
                <w:spacing w:val="-2"/>
                <w:sz w:val="15"/>
              </w:rPr>
              <w:t>seizure</w:t>
            </w:r>
            <w:r>
              <w:rPr>
                <w:color w:val="231F20"/>
                <w:spacing w:val="1"/>
                <w:sz w:val="15"/>
              </w:rPr>
              <w:t> </w:t>
            </w:r>
            <w:r>
              <w:rPr>
                <w:color w:val="231F20"/>
                <w:spacing w:val="-4"/>
                <w:sz w:val="15"/>
              </w:rPr>
              <w:t>plus</w:t>
            </w:r>
          </w:p>
        </w:tc>
        <w:tc>
          <w:tcPr>
            <w:tcW w:w="3231" w:type="dxa"/>
            <w:vMerge/>
            <w:tcBorders>
              <w:top w:val="nil"/>
              <w:bottom w:val="single" w:sz="4" w:space="0" w:color="FFFFFF"/>
            </w:tcBorders>
            <w:shd w:val="clear" w:color="auto" w:fill="E8F5F1"/>
          </w:tcPr>
          <w:p>
            <w:pPr>
              <w:rPr>
                <w:sz w:val="2"/>
                <w:szCs w:val="2"/>
              </w:rPr>
            </w:pPr>
          </w:p>
        </w:tc>
        <w:tc>
          <w:tcPr>
            <w:tcW w:w="3269" w:type="dxa"/>
            <w:vMerge/>
            <w:tcBorders>
              <w:top w:val="nil"/>
              <w:bottom w:val="single" w:sz="4" w:space="0" w:color="FFFFFF"/>
            </w:tcBorders>
            <w:shd w:val="clear" w:color="auto" w:fill="E8F5F1"/>
          </w:tcPr>
          <w:p>
            <w:pPr>
              <w:rPr>
                <w:sz w:val="2"/>
                <w:szCs w:val="2"/>
              </w:rPr>
            </w:pPr>
          </w:p>
        </w:tc>
      </w:tr>
      <w:tr>
        <w:trPr>
          <w:trHeight w:val="672" w:hRule="atLeast"/>
        </w:trPr>
        <w:tc>
          <w:tcPr>
            <w:tcW w:w="3239" w:type="dxa"/>
            <w:shd w:val="clear" w:color="auto" w:fill="E8F5F1"/>
          </w:tcPr>
          <w:p>
            <w:pPr>
              <w:pStyle w:val="TableParagraph"/>
              <w:spacing w:before="80"/>
              <w:rPr>
                <w:sz w:val="15"/>
              </w:rPr>
            </w:pPr>
          </w:p>
          <w:p>
            <w:pPr>
              <w:pStyle w:val="TableParagraph"/>
              <w:spacing w:line="230" w:lineRule="auto"/>
              <w:ind w:left="186" w:hanging="112"/>
              <w:rPr>
                <w:sz w:val="15"/>
              </w:rPr>
            </w:pPr>
            <w:r>
              <w:rPr>
                <w:color w:val="231F20"/>
                <w:sz w:val="15"/>
              </w:rPr>
              <w:t>Juvenile</w:t>
            </w:r>
            <w:r>
              <w:rPr>
                <w:color w:val="231F20"/>
                <w:spacing w:val="-12"/>
                <w:sz w:val="15"/>
              </w:rPr>
              <w:t> </w:t>
            </w:r>
            <w:r>
              <w:rPr>
                <w:color w:val="231F20"/>
                <w:sz w:val="15"/>
              </w:rPr>
              <w:t>myoclonic</w:t>
            </w:r>
            <w:r>
              <w:rPr>
                <w:color w:val="231F20"/>
                <w:spacing w:val="-11"/>
                <w:sz w:val="15"/>
              </w:rPr>
              <w:t> </w:t>
            </w:r>
            <w:r>
              <w:rPr>
                <w:color w:val="231F20"/>
                <w:sz w:val="15"/>
              </w:rPr>
              <w:t>epilepsy</w:t>
            </w:r>
            <w:r>
              <w:rPr>
                <w:color w:val="231F20"/>
                <w:spacing w:val="-11"/>
                <w:sz w:val="15"/>
              </w:rPr>
              <w:t> </w:t>
            </w:r>
            <w:r>
              <w:rPr>
                <w:color w:val="231F20"/>
                <w:sz w:val="15"/>
              </w:rPr>
              <w:t>(more</w:t>
            </w:r>
            <w:r>
              <w:rPr>
                <w:color w:val="231F20"/>
                <w:spacing w:val="-12"/>
                <w:sz w:val="15"/>
              </w:rPr>
              <w:t> </w:t>
            </w:r>
            <w:r>
              <w:rPr>
                <w:color w:val="231F20"/>
                <w:sz w:val="15"/>
              </w:rPr>
              <w:t>commonly presents in adolescence)</w:t>
            </w:r>
          </w:p>
        </w:tc>
        <w:tc>
          <w:tcPr>
            <w:tcW w:w="3231" w:type="dxa"/>
            <w:vMerge/>
            <w:tcBorders>
              <w:top w:val="nil"/>
              <w:bottom w:val="single" w:sz="4" w:space="0" w:color="FFFFFF"/>
            </w:tcBorders>
            <w:shd w:val="clear" w:color="auto" w:fill="E8F5F1"/>
          </w:tcPr>
          <w:p>
            <w:pPr>
              <w:rPr>
                <w:sz w:val="2"/>
                <w:szCs w:val="2"/>
              </w:rPr>
            </w:pPr>
          </w:p>
        </w:tc>
        <w:tc>
          <w:tcPr>
            <w:tcW w:w="3269" w:type="dxa"/>
            <w:vMerge/>
            <w:tcBorders>
              <w:top w:val="nil"/>
              <w:bottom w:val="single" w:sz="4" w:space="0" w:color="FFFFFF"/>
            </w:tcBorders>
            <w:shd w:val="clear" w:color="auto" w:fill="E8F5F1"/>
          </w:tcPr>
          <w:p>
            <w:pPr>
              <w:rPr>
                <w:sz w:val="2"/>
                <w:szCs w:val="2"/>
              </w:rPr>
            </w:pPr>
          </w:p>
        </w:tc>
      </w:tr>
      <w:tr>
        <w:trPr>
          <w:trHeight w:val="836" w:hRule="atLeast"/>
        </w:trPr>
        <w:tc>
          <w:tcPr>
            <w:tcW w:w="3239" w:type="dxa"/>
            <w:shd w:val="clear" w:color="auto" w:fill="E8F5F1"/>
          </w:tcPr>
          <w:p>
            <w:pPr>
              <w:pStyle w:val="TableParagraph"/>
              <w:spacing w:line="230" w:lineRule="auto" w:before="82"/>
              <w:ind w:left="186" w:right="134" w:hanging="112"/>
              <w:rPr>
                <w:sz w:val="15"/>
              </w:rPr>
            </w:pPr>
            <w:r>
              <w:rPr>
                <w:color w:val="231F20"/>
                <w:spacing w:val="-2"/>
                <w:sz w:val="15"/>
              </w:rPr>
              <w:t>Progressive</w:t>
            </w:r>
            <w:r>
              <w:rPr>
                <w:color w:val="231F20"/>
                <w:spacing w:val="-4"/>
                <w:sz w:val="15"/>
              </w:rPr>
              <w:t> </w:t>
            </w:r>
            <w:r>
              <w:rPr>
                <w:color w:val="231F20"/>
                <w:spacing w:val="-2"/>
                <w:sz w:val="15"/>
              </w:rPr>
              <w:t>myoclonic</w:t>
            </w:r>
            <w:r>
              <w:rPr>
                <w:color w:val="231F20"/>
                <w:spacing w:val="-4"/>
                <w:sz w:val="15"/>
              </w:rPr>
              <w:t> </w:t>
            </w:r>
            <w:r>
              <w:rPr>
                <w:color w:val="231F20"/>
                <w:spacing w:val="-2"/>
                <w:sz w:val="15"/>
              </w:rPr>
              <w:t>epilepsy</w:t>
            </w:r>
            <w:r>
              <w:rPr>
                <w:color w:val="231F20"/>
                <w:spacing w:val="-4"/>
                <w:sz w:val="15"/>
              </w:rPr>
              <w:t> </w:t>
            </w:r>
            <w:r>
              <w:rPr>
                <w:color w:val="231F20"/>
                <w:spacing w:val="-2"/>
                <w:sz w:val="15"/>
              </w:rPr>
              <w:t>(different </w:t>
            </w:r>
            <w:r>
              <w:rPr>
                <w:color w:val="231F20"/>
                <w:sz w:val="15"/>
              </w:rPr>
              <w:t>forms present from infancy through </w:t>
            </w:r>
            <w:r>
              <w:rPr>
                <w:color w:val="231F20"/>
                <w:spacing w:val="-2"/>
                <w:sz w:val="15"/>
              </w:rPr>
              <w:t>adulthood)</w:t>
            </w:r>
          </w:p>
        </w:tc>
        <w:tc>
          <w:tcPr>
            <w:tcW w:w="3231" w:type="dxa"/>
            <w:vMerge/>
            <w:tcBorders>
              <w:top w:val="nil"/>
              <w:bottom w:val="single" w:sz="4" w:space="0" w:color="FFFFFF"/>
            </w:tcBorders>
            <w:shd w:val="clear" w:color="auto" w:fill="E8F5F1"/>
          </w:tcPr>
          <w:p>
            <w:pPr>
              <w:rPr>
                <w:sz w:val="2"/>
                <w:szCs w:val="2"/>
              </w:rPr>
            </w:pPr>
          </w:p>
        </w:tc>
        <w:tc>
          <w:tcPr>
            <w:tcW w:w="3269" w:type="dxa"/>
            <w:vMerge/>
            <w:tcBorders>
              <w:top w:val="nil"/>
              <w:bottom w:val="single" w:sz="4" w:space="0" w:color="FFFFFF"/>
            </w:tcBorders>
            <w:shd w:val="clear" w:color="auto" w:fill="E8F5F1"/>
          </w:tcPr>
          <w:p>
            <w:pPr>
              <w:rPr>
                <w:sz w:val="2"/>
                <w:szCs w:val="2"/>
              </w:rPr>
            </w:pPr>
          </w:p>
        </w:tc>
      </w:tr>
      <w:tr>
        <w:trPr>
          <w:trHeight w:val="801" w:hRule="atLeast"/>
        </w:trPr>
        <w:tc>
          <w:tcPr>
            <w:tcW w:w="3239" w:type="dxa"/>
            <w:tcBorders>
              <w:bottom w:val="single" w:sz="4" w:space="0" w:color="FFFFFF"/>
            </w:tcBorders>
            <w:shd w:val="clear" w:color="auto" w:fill="E8F5F1"/>
          </w:tcPr>
          <w:p>
            <w:pPr>
              <w:pStyle w:val="TableParagraph"/>
              <w:spacing w:before="76"/>
              <w:rPr>
                <w:sz w:val="15"/>
              </w:rPr>
            </w:pPr>
          </w:p>
          <w:p>
            <w:pPr>
              <w:pStyle w:val="TableParagraph"/>
              <w:spacing w:line="230" w:lineRule="auto" w:before="1"/>
              <w:ind w:left="186" w:right="274" w:hanging="112"/>
              <w:jc w:val="both"/>
              <w:rPr>
                <w:sz w:val="15"/>
              </w:rPr>
            </w:pPr>
            <w:r>
              <w:rPr>
                <w:color w:val="231F20"/>
                <w:sz w:val="15"/>
              </w:rPr>
              <w:t>Autosomal</w:t>
            </w:r>
            <w:r>
              <w:rPr>
                <w:color w:val="231F20"/>
                <w:spacing w:val="-12"/>
                <w:sz w:val="15"/>
              </w:rPr>
              <w:t> </w:t>
            </w:r>
            <w:r>
              <w:rPr>
                <w:color w:val="231F20"/>
                <w:sz w:val="15"/>
              </w:rPr>
              <w:t>dominant</w:t>
            </w:r>
            <w:r>
              <w:rPr>
                <w:color w:val="231F20"/>
                <w:spacing w:val="-11"/>
                <w:sz w:val="15"/>
              </w:rPr>
              <w:t> </w:t>
            </w:r>
            <w:r>
              <w:rPr>
                <w:color w:val="231F20"/>
                <w:sz w:val="15"/>
              </w:rPr>
              <w:t>nocturnal</w:t>
            </w:r>
            <w:r>
              <w:rPr>
                <w:color w:val="231F20"/>
                <w:spacing w:val="-11"/>
                <w:sz w:val="15"/>
              </w:rPr>
              <w:t> </w:t>
            </w:r>
            <w:r>
              <w:rPr>
                <w:color w:val="231F20"/>
                <w:sz w:val="15"/>
              </w:rPr>
              <w:t>frontal</w:t>
            </w:r>
            <w:r>
              <w:rPr>
                <w:color w:val="231F20"/>
                <w:spacing w:val="-12"/>
                <w:sz w:val="15"/>
              </w:rPr>
              <w:t> </w:t>
            </w:r>
            <w:r>
              <w:rPr>
                <w:color w:val="231F20"/>
                <w:sz w:val="15"/>
              </w:rPr>
              <w:t>lobe epilepsies</w:t>
            </w:r>
            <w:r>
              <w:rPr>
                <w:color w:val="231F20"/>
                <w:spacing w:val="-7"/>
                <w:sz w:val="15"/>
              </w:rPr>
              <w:t> </w:t>
            </w:r>
            <w:r>
              <w:rPr>
                <w:color w:val="231F20"/>
                <w:sz w:val="15"/>
              </w:rPr>
              <w:t>(presents</w:t>
            </w:r>
            <w:r>
              <w:rPr>
                <w:color w:val="231F20"/>
                <w:spacing w:val="-7"/>
                <w:sz w:val="15"/>
              </w:rPr>
              <w:t> </w:t>
            </w:r>
            <w:r>
              <w:rPr>
                <w:color w:val="231F20"/>
                <w:sz w:val="15"/>
              </w:rPr>
              <w:t>in</w:t>
            </w:r>
            <w:r>
              <w:rPr>
                <w:color w:val="231F20"/>
                <w:spacing w:val="-7"/>
                <w:sz w:val="15"/>
              </w:rPr>
              <w:t> </w:t>
            </w:r>
            <w:r>
              <w:rPr>
                <w:color w:val="231F20"/>
                <w:sz w:val="15"/>
              </w:rPr>
              <w:t>childhood</w:t>
            </w:r>
            <w:r>
              <w:rPr>
                <w:color w:val="231F20"/>
                <w:spacing w:val="-7"/>
                <w:sz w:val="15"/>
              </w:rPr>
              <w:t> </w:t>
            </w:r>
            <w:r>
              <w:rPr>
                <w:color w:val="231F20"/>
                <w:sz w:val="15"/>
              </w:rPr>
              <w:t>through </w:t>
            </w:r>
            <w:r>
              <w:rPr>
                <w:color w:val="231F20"/>
                <w:spacing w:val="-2"/>
                <w:sz w:val="15"/>
              </w:rPr>
              <w:t>adulthood)</w:t>
            </w:r>
          </w:p>
        </w:tc>
        <w:tc>
          <w:tcPr>
            <w:tcW w:w="3231" w:type="dxa"/>
            <w:vMerge/>
            <w:tcBorders>
              <w:top w:val="nil"/>
              <w:bottom w:val="single" w:sz="4" w:space="0" w:color="FFFFFF"/>
            </w:tcBorders>
            <w:shd w:val="clear" w:color="auto" w:fill="E8F5F1"/>
          </w:tcPr>
          <w:p>
            <w:pPr>
              <w:rPr>
                <w:sz w:val="2"/>
                <w:szCs w:val="2"/>
              </w:rPr>
            </w:pPr>
          </w:p>
        </w:tc>
        <w:tc>
          <w:tcPr>
            <w:tcW w:w="3269" w:type="dxa"/>
            <w:vMerge/>
            <w:tcBorders>
              <w:top w:val="nil"/>
              <w:bottom w:val="single" w:sz="4" w:space="0" w:color="FFFFFF"/>
            </w:tcBorders>
            <w:shd w:val="clear" w:color="auto" w:fill="E8F5F1"/>
          </w:tcPr>
          <w:p>
            <w:pPr>
              <w:rPr>
                <w:sz w:val="2"/>
                <w:szCs w:val="2"/>
              </w:rPr>
            </w:pPr>
          </w:p>
        </w:tc>
      </w:tr>
      <w:tr>
        <w:trPr>
          <w:trHeight w:val="1604" w:hRule="atLeast"/>
        </w:trPr>
        <w:tc>
          <w:tcPr>
            <w:tcW w:w="3239" w:type="dxa"/>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ADOLESCENT</w:t>
            </w:r>
            <w:r>
              <w:rPr>
                <w:color w:val="231F20"/>
                <w:spacing w:val="-3"/>
                <w:w w:val="115"/>
                <w:sz w:val="15"/>
              </w:rPr>
              <w:t> </w:t>
            </w:r>
            <w:r>
              <w:rPr>
                <w:color w:val="231F20"/>
                <w:spacing w:val="-2"/>
                <w:w w:val="115"/>
                <w:sz w:val="15"/>
              </w:rPr>
              <w:t>ONSET</w:t>
            </w:r>
          </w:p>
          <w:p>
            <w:pPr>
              <w:pStyle w:val="TableParagraph"/>
              <w:spacing w:line="232" w:lineRule="auto" w:before="2"/>
              <w:ind w:left="74" w:right="134"/>
              <w:rPr>
                <w:sz w:val="15"/>
              </w:rPr>
            </w:pPr>
            <w:r>
              <w:rPr>
                <w:color w:val="231F20"/>
                <w:sz w:val="15"/>
              </w:rPr>
              <w:t>Juvenile myoclonic epilepsy (JME) Progressive myoclonic epilepsy (PME)</w:t>
            </w:r>
          </w:p>
          <w:p>
            <w:pPr>
              <w:pStyle w:val="TableParagraph"/>
              <w:spacing w:line="230" w:lineRule="auto" w:before="2"/>
              <w:ind w:left="186" w:hanging="112"/>
              <w:rPr>
                <w:sz w:val="15"/>
              </w:rPr>
            </w:pPr>
            <w:r>
              <w:rPr>
                <w:color w:val="231F20"/>
                <w:sz w:val="15"/>
              </w:rPr>
              <w:t>Autosomal</w:t>
            </w:r>
            <w:r>
              <w:rPr>
                <w:color w:val="231F20"/>
                <w:spacing w:val="-12"/>
                <w:sz w:val="15"/>
              </w:rPr>
              <w:t> </w:t>
            </w:r>
            <w:r>
              <w:rPr>
                <w:color w:val="231F20"/>
                <w:sz w:val="15"/>
              </w:rPr>
              <w:t>dominant</w:t>
            </w:r>
            <w:r>
              <w:rPr>
                <w:color w:val="231F20"/>
                <w:spacing w:val="-11"/>
                <w:sz w:val="15"/>
              </w:rPr>
              <w:t> </w:t>
            </w:r>
            <w:r>
              <w:rPr>
                <w:color w:val="231F20"/>
                <w:sz w:val="15"/>
              </w:rPr>
              <w:t>nocturnal</w:t>
            </w:r>
            <w:r>
              <w:rPr>
                <w:color w:val="231F20"/>
                <w:spacing w:val="-11"/>
                <w:sz w:val="15"/>
              </w:rPr>
              <w:t> </w:t>
            </w:r>
            <w:r>
              <w:rPr>
                <w:color w:val="231F20"/>
                <w:sz w:val="15"/>
              </w:rPr>
              <w:t>frontal</w:t>
            </w:r>
            <w:r>
              <w:rPr>
                <w:color w:val="231F20"/>
                <w:spacing w:val="-12"/>
                <w:sz w:val="15"/>
              </w:rPr>
              <w:t> </w:t>
            </w:r>
            <w:r>
              <w:rPr>
                <w:color w:val="231F20"/>
                <w:sz w:val="15"/>
              </w:rPr>
              <w:t>lobe epilepsies (AD-NFLE)</w:t>
            </w:r>
          </w:p>
          <w:p>
            <w:pPr>
              <w:pStyle w:val="TableParagraph"/>
              <w:spacing w:line="230" w:lineRule="auto" w:before="3"/>
              <w:ind w:left="186" w:hanging="112"/>
              <w:rPr>
                <w:sz w:val="15"/>
              </w:rPr>
            </w:pPr>
            <w:r>
              <w:rPr>
                <w:color w:val="231F20"/>
                <w:sz w:val="15"/>
              </w:rPr>
              <w:t>Autosomal</w:t>
            </w:r>
            <w:r>
              <w:rPr>
                <w:color w:val="231F20"/>
                <w:spacing w:val="-12"/>
                <w:sz w:val="15"/>
              </w:rPr>
              <w:t> </w:t>
            </w:r>
            <w:r>
              <w:rPr>
                <w:color w:val="231F20"/>
                <w:sz w:val="15"/>
              </w:rPr>
              <w:t>dominant</w:t>
            </w:r>
            <w:r>
              <w:rPr>
                <w:color w:val="231F20"/>
                <w:spacing w:val="-11"/>
                <w:sz w:val="15"/>
              </w:rPr>
              <w:t> </w:t>
            </w:r>
            <w:r>
              <w:rPr>
                <w:color w:val="231F20"/>
                <w:sz w:val="15"/>
              </w:rPr>
              <w:t>lateral</w:t>
            </w:r>
            <w:r>
              <w:rPr>
                <w:color w:val="231F20"/>
                <w:spacing w:val="-11"/>
                <w:sz w:val="15"/>
              </w:rPr>
              <w:t> </w:t>
            </w:r>
            <w:r>
              <w:rPr>
                <w:color w:val="231F20"/>
                <w:sz w:val="15"/>
              </w:rPr>
              <w:t>temporal</w:t>
            </w:r>
            <w:r>
              <w:rPr>
                <w:color w:val="231F20"/>
                <w:spacing w:val="-12"/>
                <w:sz w:val="15"/>
              </w:rPr>
              <w:t> </w:t>
            </w:r>
            <w:r>
              <w:rPr>
                <w:color w:val="231F20"/>
                <w:sz w:val="15"/>
              </w:rPr>
              <w:t>lobe epilepsy (AD-LTLE)</w:t>
            </w:r>
          </w:p>
          <w:p>
            <w:pPr>
              <w:pStyle w:val="TableParagraph"/>
              <w:spacing w:line="230" w:lineRule="auto" w:before="3"/>
              <w:ind w:left="186" w:hanging="112"/>
              <w:rPr>
                <w:sz w:val="15"/>
              </w:rPr>
            </w:pPr>
            <w:r>
              <w:rPr>
                <w:color w:val="231F20"/>
                <w:sz w:val="15"/>
              </w:rPr>
              <w:t>Autosomal</w:t>
            </w:r>
            <w:r>
              <w:rPr>
                <w:color w:val="231F20"/>
                <w:spacing w:val="-12"/>
                <w:sz w:val="15"/>
              </w:rPr>
              <w:t> </w:t>
            </w:r>
            <w:r>
              <w:rPr>
                <w:color w:val="231F20"/>
                <w:sz w:val="15"/>
              </w:rPr>
              <w:t>dominant</w:t>
            </w:r>
            <w:r>
              <w:rPr>
                <w:color w:val="231F20"/>
                <w:spacing w:val="-11"/>
                <w:sz w:val="15"/>
              </w:rPr>
              <w:t> </w:t>
            </w:r>
            <w:r>
              <w:rPr>
                <w:color w:val="231F20"/>
                <w:sz w:val="15"/>
              </w:rPr>
              <w:t>lateral</w:t>
            </w:r>
            <w:r>
              <w:rPr>
                <w:color w:val="231F20"/>
                <w:spacing w:val="-11"/>
                <w:sz w:val="15"/>
              </w:rPr>
              <w:t> </w:t>
            </w:r>
            <w:r>
              <w:rPr>
                <w:color w:val="231F20"/>
                <w:sz w:val="15"/>
              </w:rPr>
              <w:t>temporal</w:t>
            </w:r>
            <w:r>
              <w:rPr>
                <w:color w:val="231F20"/>
                <w:spacing w:val="-12"/>
                <w:sz w:val="15"/>
              </w:rPr>
              <w:t> </w:t>
            </w:r>
            <w:r>
              <w:rPr>
                <w:color w:val="231F20"/>
                <w:sz w:val="15"/>
              </w:rPr>
              <w:t>lobe epilepsy (usually presents in adulthood)</w:t>
            </w:r>
          </w:p>
        </w:tc>
        <w:tc>
          <w:tcPr>
            <w:tcW w:w="3231" w:type="dxa"/>
            <w:tcBorders>
              <w:top w:val="single" w:sz="4" w:space="0" w:color="FFFFFF"/>
            </w:tcBorders>
            <w:shd w:val="clear" w:color="auto" w:fill="E8F5F1"/>
          </w:tcPr>
          <w:p>
            <w:pPr>
              <w:pStyle w:val="TableParagraph"/>
              <w:spacing w:before="42"/>
              <w:rPr>
                <w:sz w:val="15"/>
              </w:rPr>
            </w:pPr>
          </w:p>
          <w:p>
            <w:pPr>
              <w:pStyle w:val="TableParagraph"/>
              <w:spacing w:line="232" w:lineRule="auto" w:before="1"/>
              <w:ind w:left="82" w:right="1156"/>
              <w:rPr>
                <w:sz w:val="15"/>
              </w:rPr>
            </w:pPr>
            <w:r>
              <w:rPr>
                <w:color w:val="231F20"/>
                <w:w w:val="105"/>
                <w:sz w:val="15"/>
              </w:rPr>
              <w:t>See</w:t>
            </w:r>
            <w:r>
              <w:rPr>
                <w:color w:val="231F20"/>
                <w:spacing w:val="-1"/>
                <w:w w:val="105"/>
                <w:sz w:val="15"/>
              </w:rPr>
              <w:t> </w:t>
            </w:r>
            <w:r>
              <w:rPr>
                <w:color w:val="231F20"/>
                <w:w w:val="105"/>
                <w:sz w:val="15"/>
              </w:rPr>
              <w:t>Childhood</w:t>
            </w:r>
            <w:r>
              <w:rPr>
                <w:color w:val="231F20"/>
                <w:spacing w:val="-1"/>
                <w:w w:val="105"/>
                <w:sz w:val="15"/>
              </w:rPr>
              <w:t> </w:t>
            </w:r>
            <w:r>
              <w:rPr>
                <w:color w:val="231F20"/>
                <w:w w:val="105"/>
                <w:sz w:val="15"/>
              </w:rPr>
              <w:t>Onset</w:t>
            </w:r>
            <w:r>
              <w:rPr>
                <w:color w:val="231F20"/>
                <w:spacing w:val="-1"/>
                <w:w w:val="105"/>
                <w:sz w:val="15"/>
              </w:rPr>
              <w:t> </w:t>
            </w:r>
            <w:r>
              <w:rPr>
                <w:color w:val="231F20"/>
                <w:w w:val="105"/>
                <w:sz w:val="15"/>
              </w:rPr>
              <w:t>JME See</w:t>
            </w:r>
            <w:r>
              <w:rPr>
                <w:color w:val="231F20"/>
                <w:spacing w:val="-3"/>
                <w:w w:val="105"/>
                <w:sz w:val="15"/>
              </w:rPr>
              <w:t> </w:t>
            </w:r>
            <w:r>
              <w:rPr>
                <w:color w:val="231F20"/>
                <w:w w:val="105"/>
                <w:sz w:val="15"/>
              </w:rPr>
              <w:t>Childhood</w:t>
            </w:r>
            <w:r>
              <w:rPr>
                <w:color w:val="231F20"/>
                <w:spacing w:val="-3"/>
                <w:w w:val="105"/>
                <w:sz w:val="15"/>
              </w:rPr>
              <w:t> </w:t>
            </w:r>
            <w:r>
              <w:rPr>
                <w:color w:val="231F20"/>
                <w:w w:val="105"/>
                <w:sz w:val="15"/>
              </w:rPr>
              <w:t>Onset</w:t>
            </w:r>
            <w:r>
              <w:rPr>
                <w:color w:val="231F20"/>
                <w:spacing w:val="-2"/>
                <w:w w:val="105"/>
                <w:sz w:val="15"/>
              </w:rPr>
              <w:t> </w:t>
            </w:r>
            <w:r>
              <w:rPr>
                <w:color w:val="231F20"/>
                <w:spacing w:val="-5"/>
                <w:w w:val="105"/>
                <w:sz w:val="15"/>
              </w:rPr>
              <w:t>PME</w:t>
            </w:r>
          </w:p>
          <w:p>
            <w:pPr>
              <w:pStyle w:val="TableParagraph"/>
              <w:spacing w:line="465" w:lineRule="auto"/>
              <w:ind w:left="82" w:right="1026"/>
              <w:jc w:val="both"/>
              <w:rPr>
                <w:i/>
                <w:sz w:val="15"/>
              </w:rPr>
            </w:pPr>
            <w:r>
              <w:rPr>
                <w:color w:val="231F20"/>
                <w:w w:val="105"/>
                <w:sz w:val="15"/>
              </w:rPr>
              <w:t>See</w:t>
            </w:r>
            <w:r>
              <w:rPr>
                <w:color w:val="231F20"/>
                <w:spacing w:val="-3"/>
                <w:w w:val="105"/>
                <w:sz w:val="15"/>
              </w:rPr>
              <w:t> </w:t>
            </w:r>
            <w:r>
              <w:rPr>
                <w:color w:val="231F20"/>
                <w:w w:val="105"/>
                <w:sz w:val="15"/>
              </w:rPr>
              <w:t>Childhood</w:t>
            </w:r>
            <w:r>
              <w:rPr>
                <w:color w:val="231F20"/>
                <w:spacing w:val="-3"/>
                <w:w w:val="105"/>
                <w:sz w:val="15"/>
              </w:rPr>
              <w:t> </w:t>
            </w:r>
            <w:r>
              <w:rPr>
                <w:color w:val="231F20"/>
                <w:w w:val="105"/>
                <w:sz w:val="15"/>
              </w:rPr>
              <w:t>Onset</w:t>
            </w:r>
            <w:r>
              <w:rPr>
                <w:color w:val="231F20"/>
                <w:spacing w:val="-3"/>
                <w:w w:val="105"/>
                <w:sz w:val="15"/>
              </w:rPr>
              <w:t> </w:t>
            </w:r>
            <w:r>
              <w:rPr>
                <w:color w:val="231F20"/>
                <w:w w:val="105"/>
                <w:sz w:val="15"/>
              </w:rPr>
              <w:t>AD-</w:t>
            </w:r>
            <w:r>
              <w:rPr>
                <w:color w:val="231F20"/>
                <w:w w:val="105"/>
                <w:sz w:val="15"/>
              </w:rPr>
              <w:t>NFLE See Childhood Onset AD-LTLE </w:t>
            </w:r>
            <w:r>
              <w:rPr>
                <w:i/>
                <w:color w:val="231F20"/>
                <w:spacing w:val="-4"/>
                <w:w w:val="105"/>
                <w:sz w:val="15"/>
              </w:rPr>
              <w:t>LGI1</w:t>
            </w:r>
          </w:p>
        </w:tc>
        <w:tc>
          <w:tcPr>
            <w:tcW w:w="3269" w:type="dxa"/>
            <w:tcBorders>
              <w:top w:val="single" w:sz="4" w:space="0" w:color="FFFFFF"/>
              <w:bottom w:val="single" w:sz="4" w:space="0" w:color="FFFFFF"/>
            </w:tcBorders>
            <w:shd w:val="clear" w:color="auto" w:fill="E8F5F1"/>
          </w:tcPr>
          <w:p>
            <w:pPr>
              <w:pStyle w:val="TableParagraph"/>
              <w:rPr>
                <w:sz w:val="15"/>
              </w:rPr>
            </w:pPr>
          </w:p>
          <w:p>
            <w:pPr>
              <w:pStyle w:val="TableParagraph"/>
              <w:rPr>
                <w:sz w:val="15"/>
              </w:rPr>
            </w:pPr>
          </w:p>
          <w:p>
            <w:pPr>
              <w:pStyle w:val="TableParagraph"/>
              <w:rPr>
                <w:sz w:val="15"/>
              </w:rPr>
            </w:pPr>
          </w:p>
          <w:p>
            <w:pPr>
              <w:pStyle w:val="TableParagraph"/>
              <w:rPr>
                <w:sz w:val="15"/>
              </w:rPr>
            </w:pPr>
          </w:p>
          <w:p>
            <w:pPr>
              <w:pStyle w:val="TableParagraph"/>
              <w:rPr>
                <w:sz w:val="15"/>
              </w:rPr>
            </w:pPr>
          </w:p>
          <w:p>
            <w:pPr>
              <w:pStyle w:val="TableParagraph"/>
              <w:rPr>
                <w:sz w:val="15"/>
              </w:rPr>
            </w:pPr>
          </w:p>
          <w:p>
            <w:pPr>
              <w:pStyle w:val="TableParagraph"/>
              <w:spacing w:before="7"/>
              <w:rPr>
                <w:sz w:val="15"/>
              </w:rPr>
            </w:pPr>
          </w:p>
          <w:p>
            <w:pPr>
              <w:pStyle w:val="TableParagraph"/>
              <w:ind w:left="98"/>
              <w:rPr>
                <w:sz w:val="15"/>
              </w:rPr>
            </w:pPr>
            <w:r>
              <w:rPr>
                <w:color w:val="231F20"/>
                <w:spacing w:val="-2"/>
                <w:sz w:val="15"/>
              </w:rPr>
              <w:t>Leucine-rich glioma-inactivated</w:t>
            </w:r>
            <w:r>
              <w:rPr>
                <w:color w:val="231F20"/>
                <w:spacing w:val="-1"/>
                <w:sz w:val="15"/>
              </w:rPr>
              <w:t> </w:t>
            </w:r>
            <w:r>
              <w:rPr>
                <w:color w:val="231F20"/>
                <w:spacing w:val="-2"/>
                <w:sz w:val="15"/>
              </w:rPr>
              <w:t>protein</w:t>
            </w:r>
            <w:r>
              <w:rPr>
                <w:color w:val="231F20"/>
                <w:spacing w:val="-1"/>
                <w:sz w:val="15"/>
              </w:rPr>
              <w:t> </w:t>
            </w:r>
            <w:r>
              <w:rPr>
                <w:color w:val="231F20"/>
                <w:spacing w:val="-10"/>
                <w:sz w:val="15"/>
              </w:rPr>
              <w:t>1</w:t>
            </w:r>
          </w:p>
        </w:tc>
      </w:tr>
    </w:tbl>
    <w:p>
      <w:pPr>
        <w:pStyle w:val="BodyText"/>
        <w:spacing w:line="150" w:lineRule="exact" w:before="75"/>
        <w:ind w:left="822"/>
      </w:pPr>
      <w:r>
        <w:rPr>
          <w:color w:val="231F20"/>
        </w:rPr>
        <w:t>*Note</w:t>
      </w:r>
      <w:r>
        <w:rPr>
          <w:color w:val="231F20"/>
          <w:spacing w:val="-3"/>
        </w:rPr>
        <w:t> </w:t>
      </w:r>
      <w:r>
        <w:rPr>
          <w:color w:val="231F20"/>
        </w:rPr>
        <w:t>that</w:t>
      </w:r>
      <w:r>
        <w:rPr>
          <w:color w:val="231F20"/>
          <w:spacing w:val="-2"/>
        </w:rPr>
        <w:t> </w:t>
      </w:r>
      <w:r>
        <w:rPr>
          <w:color w:val="231F20"/>
        </w:rPr>
        <w:t>the</w:t>
      </w:r>
      <w:r>
        <w:rPr>
          <w:color w:val="231F20"/>
          <w:spacing w:val="-3"/>
        </w:rPr>
        <w:t> </w:t>
      </w:r>
      <w:r>
        <w:rPr>
          <w:color w:val="231F20"/>
        </w:rPr>
        <w:t>same</w:t>
      </w:r>
      <w:r>
        <w:rPr>
          <w:color w:val="231F20"/>
          <w:spacing w:val="-2"/>
        </w:rPr>
        <w:t> </w:t>
      </w:r>
      <w:r>
        <w:rPr>
          <w:color w:val="231F20"/>
        </w:rPr>
        <w:t>gene</w:t>
      </w:r>
      <w:r>
        <w:rPr>
          <w:color w:val="231F20"/>
          <w:spacing w:val="-2"/>
        </w:rPr>
        <w:t> </w:t>
      </w:r>
      <w:r>
        <w:rPr>
          <w:color w:val="231F20"/>
        </w:rPr>
        <w:t>(different</w:t>
      </w:r>
      <w:r>
        <w:rPr>
          <w:color w:val="231F20"/>
          <w:spacing w:val="-3"/>
        </w:rPr>
        <w:t> </w:t>
      </w:r>
      <w:r>
        <w:rPr>
          <w:color w:val="231F20"/>
        </w:rPr>
        <w:t>mutations)</w:t>
      </w:r>
      <w:r>
        <w:rPr>
          <w:color w:val="231F20"/>
          <w:spacing w:val="-2"/>
        </w:rPr>
        <w:t> </w:t>
      </w:r>
      <w:r>
        <w:rPr>
          <w:color w:val="231F20"/>
        </w:rPr>
        <w:t>often</w:t>
      </w:r>
      <w:r>
        <w:rPr>
          <w:color w:val="231F20"/>
          <w:spacing w:val="-3"/>
        </w:rPr>
        <w:t> </w:t>
      </w:r>
      <w:r>
        <w:rPr>
          <w:color w:val="231F20"/>
        </w:rPr>
        <w:t>appears</w:t>
      </w:r>
      <w:r>
        <w:rPr>
          <w:color w:val="231F20"/>
          <w:spacing w:val="-2"/>
        </w:rPr>
        <w:t> </w:t>
      </w:r>
      <w:r>
        <w:rPr>
          <w:color w:val="231F20"/>
        </w:rPr>
        <w:t>as</w:t>
      </w:r>
      <w:r>
        <w:rPr>
          <w:color w:val="231F20"/>
          <w:spacing w:val="-2"/>
        </w:rPr>
        <w:t> </w:t>
      </w:r>
      <w:r>
        <w:rPr>
          <w:color w:val="231F20"/>
        </w:rPr>
        <w:t>causing</w:t>
      </w:r>
      <w:r>
        <w:rPr>
          <w:color w:val="231F20"/>
          <w:spacing w:val="-3"/>
        </w:rPr>
        <w:t> </w:t>
      </w:r>
      <w:r>
        <w:rPr>
          <w:color w:val="231F20"/>
        </w:rPr>
        <w:t>different</w:t>
      </w:r>
      <w:r>
        <w:rPr>
          <w:color w:val="231F20"/>
          <w:spacing w:val="-2"/>
        </w:rPr>
        <w:t> </w:t>
      </w:r>
      <w:r>
        <w:rPr>
          <w:color w:val="231F20"/>
        </w:rPr>
        <w:t>epilepsy</w:t>
      </w:r>
      <w:r>
        <w:rPr>
          <w:color w:val="231F20"/>
          <w:spacing w:val="-2"/>
        </w:rPr>
        <w:t> syndromes.</w:t>
      </w:r>
    </w:p>
    <w:p>
      <w:pPr>
        <w:pStyle w:val="BodyText"/>
        <w:spacing w:line="235" w:lineRule="auto" w:before="1"/>
        <w:ind w:left="822" w:right="446" w:firstLine="130"/>
      </w:pPr>
      <w:r>
        <w:rPr>
          <w:color w:val="231F20"/>
          <w:vertAlign w:val="superscript"/>
        </w:rPr>
        <w:t>†</w:t>
      </w:r>
      <w:r>
        <w:rPr>
          <w:color w:val="231F20"/>
          <w:vertAlign w:val="baseline"/>
        </w:rPr>
        <w:t>Most of these genes can be tested for through commercially available targeted single-gene sequencing or through commercially available gene panels or though</w:t>
      </w:r>
      <w:r>
        <w:rPr>
          <w:color w:val="231F20"/>
          <w:spacing w:val="40"/>
          <w:vertAlign w:val="baseline"/>
        </w:rPr>
        <w:t> </w:t>
      </w:r>
      <w:r>
        <w:rPr>
          <w:color w:val="231F20"/>
          <w:vertAlign w:val="baseline"/>
        </w:rPr>
        <w:t>exome sequencing (</w:t>
      </w:r>
      <w:hyperlink r:id="rId297">
        <w:r>
          <w:rPr>
            <w:color w:val="0080AC"/>
            <w:vertAlign w:val="baseline"/>
          </w:rPr>
          <w:t>http://www.ncbi.nlm.nih.gov/sites/GeneTests/review?db</w:t>
        </w:r>
        <w:r>
          <w:rPr>
            <w:rFonts w:ascii="Cambria" w:hAnsi="Cambria"/>
            <w:color w:val="0080AC"/>
            <w:vertAlign w:val="baseline"/>
          </w:rPr>
          <w:t>=</w:t>
        </w:r>
        <w:r>
          <w:rPr>
            <w:color w:val="0080AC"/>
            <w:vertAlign w:val="baseline"/>
          </w:rPr>
          <w:t>genetests</w:t>
        </w:r>
        <w:r>
          <w:rPr>
            <w:color w:val="231F20"/>
            <w:vertAlign w:val="baseline"/>
          </w:rPr>
          <w:t>).</w:t>
        </w:r>
      </w:hyperlink>
    </w:p>
    <w:p>
      <w:pPr>
        <w:pStyle w:val="BodyText"/>
        <w:spacing w:after="0" w:line="235" w:lineRule="auto"/>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55" name="Group 655"/>
                <wp:cNvGraphicFramePr>
                  <a:graphicFrameLocks/>
                </wp:cNvGraphicFramePr>
                <a:graphic>
                  <a:graphicData uri="http://schemas.microsoft.com/office/word/2010/wordprocessingGroup">
                    <wpg:wgp>
                      <wpg:cNvPr id="655" name="Group 655"/>
                      <wpg:cNvGrpSpPr/>
                      <wpg:grpSpPr>
                        <a:xfrm>
                          <a:off x="0" y="0"/>
                          <a:ext cx="6185535" cy="170815"/>
                          <a:chExt cx="6185535" cy="170815"/>
                        </a:xfrm>
                      </wpg:grpSpPr>
                      <wps:wsp>
                        <wps:cNvPr id="656" name="Graphic 656"/>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57" name="Graphic 657"/>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58" name="Textbox 65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2860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59"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60" filled="false" stroked="false">
                  <v:textbox inset="0,0,0,0">
                    <w:txbxContent>
                      <w:p>
                        <w:pPr>
                          <w:spacing w:before="6"/>
                          <w:ind w:left="-1" w:right="0" w:firstLine="0"/>
                          <w:jc w:val="left"/>
                          <w:rPr>
                            <w:sz w:val="18"/>
                          </w:rPr>
                        </w:pPr>
                        <w:r>
                          <w:rPr>
                            <w:b/>
                            <w:color w:val="231F20"/>
                            <w:w w:val="105"/>
                            <w:sz w:val="18"/>
                          </w:rPr>
                          <w:t>2860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04"/>
        <w:rPr>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1"/>
        <w:gridCol w:w="795"/>
        <w:gridCol w:w="2014"/>
        <w:gridCol w:w="1557"/>
        <w:gridCol w:w="2460"/>
        <w:gridCol w:w="1818"/>
      </w:tblGrid>
      <w:tr>
        <w:trPr>
          <w:trHeight w:val="354" w:hRule="atLeast"/>
        </w:trPr>
        <w:tc>
          <w:tcPr>
            <w:tcW w:w="1221" w:type="dxa"/>
            <w:tcBorders>
              <w:right w:val="single" w:sz="8" w:space="0" w:color="FFFFFF"/>
            </w:tcBorders>
            <w:shd w:val="clear" w:color="auto" w:fill="231F20"/>
          </w:tcPr>
          <w:p>
            <w:pPr>
              <w:pStyle w:val="TableParagraph"/>
              <w:spacing w:before="89"/>
              <w:ind w:left="185"/>
              <w:rPr>
                <w:b/>
                <w:sz w:val="16"/>
              </w:rPr>
            </w:pPr>
            <w:r>
              <w:rPr>
                <w:b/>
                <w:color w:val="FFFFFF"/>
                <w:w w:val="105"/>
                <w:sz w:val="16"/>
              </w:rPr>
              <w:t>Table</w:t>
            </w:r>
            <w:r>
              <w:rPr>
                <w:b/>
                <w:color w:val="FFFFFF"/>
                <w:spacing w:val="-3"/>
                <w:w w:val="105"/>
                <w:sz w:val="16"/>
              </w:rPr>
              <w:t> </w:t>
            </w:r>
            <w:r>
              <w:rPr>
                <w:b/>
                <w:color w:val="FFFFFF"/>
                <w:w w:val="105"/>
                <w:sz w:val="16"/>
              </w:rPr>
              <w:t>594-</w:t>
            </w:r>
            <w:r>
              <w:rPr>
                <w:b/>
                <w:color w:val="FFFFFF"/>
                <w:spacing w:val="-10"/>
                <w:w w:val="105"/>
                <w:sz w:val="16"/>
              </w:rPr>
              <w:t>2</w:t>
            </w:r>
          </w:p>
        </w:tc>
        <w:tc>
          <w:tcPr>
            <w:tcW w:w="8644" w:type="dxa"/>
            <w:gridSpan w:val="5"/>
            <w:tcBorders>
              <w:left w:val="single" w:sz="8" w:space="0" w:color="FFFFFF"/>
            </w:tcBorders>
            <w:shd w:val="clear" w:color="auto" w:fill="231F20"/>
          </w:tcPr>
          <w:p>
            <w:pPr>
              <w:pStyle w:val="TableParagraph"/>
              <w:spacing w:before="89"/>
              <w:ind w:left="73"/>
              <w:rPr>
                <w:sz w:val="16"/>
              </w:rPr>
            </w:pPr>
            <w:r>
              <w:rPr>
                <w:color w:val="FFFFFF"/>
                <w:w w:val="110"/>
                <w:sz w:val="16"/>
              </w:rPr>
              <w:t>Comparison</w:t>
            </w:r>
            <w:r>
              <w:rPr>
                <w:color w:val="FFFFFF"/>
                <w:spacing w:val="-10"/>
                <w:w w:val="110"/>
                <w:sz w:val="16"/>
              </w:rPr>
              <w:t> </w:t>
            </w:r>
            <w:r>
              <w:rPr>
                <w:color w:val="FFFFFF"/>
                <w:w w:val="110"/>
                <w:sz w:val="16"/>
              </w:rPr>
              <w:t>of</w:t>
            </w:r>
            <w:r>
              <w:rPr>
                <w:color w:val="FFFFFF"/>
                <w:spacing w:val="-10"/>
                <w:w w:val="110"/>
                <w:sz w:val="16"/>
              </w:rPr>
              <w:t> </w:t>
            </w:r>
            <w:r>
              <w:rPr>
                <w:color w:val="FFFFFF"/>
                <w:w w:val="110"/>
                <w:sz w:val="16"/>
              </w:rPr>
              <w:t>Generalized</w:t>
            </w:r>
            <w:r>
              <w:rPr>
                <w:color w:val="FFFFFF"/>
                <w:spacing w:val="-10"/>
                <w:w w:val="110"/>
                <w:sz w:val="16"/>
              </w:rPr>
              <w:t> </w:t>
            </w:r>
            <w:r>
              <w:rPr>
                <w:color w:val="FFFFFF"/>
                <w:w w:val="110"/>
                <w:sz w:val="16"/>
              </w:rPr>
              <w:t>Seizures</w:t>
            </w:r>
            <w:r>
              <w:rPr>
                <w:color w:val="FFFFFF"/>
                <w:spacing w:val="-10"/>
                <w:w w:val="110"/>
                <w:sz w:val="16"/>
              </w:rPr>
              <w:t> </w:t>
            </w:r>
            <w:r>
              <w:rPr>
                <w:color w:val="FFFFFF"/>
                <w:w w:val="110"/>
                <w:sz w:val="16"/>
              </w:rPr>
              <w:t>and</w:t>
            </w:r>
            <w:r>
              <w:rPr>
                <w:color w:val="FFFFFF"/>
                <w:spacing w:val="-10"/>
                <w:w w:val="110"/>
                <w:sz w:val="16"/>
              </w:rPr>
              <w:t> </w:t>
            </w:r>
            <w:r>
              <w:rPr>
                <w:color w:val="FFFFFF"/>
                <w:w w:val="110"/>
                <w:sz w:val="16"/>
              </w:rPr>
              <w:t>Some</w:t>
            </w:r>
            <w:r>
              <w:rPr>
                <w:color w:val="FFFFFF"/>
                <w:spacing w:val="-9"/>
                <w:w w:val="110"/>
                <w:sz w:val="16"/>
              </w:rPr>
              <w:t> </w:t>
            </w:r>
            <w:r>
              <w:rPr>
                <w:color w:val="FFFFFF"/>
                <w:w w:val="110"/>
                <w:sz w:val="16"/>
              </w:rPr>
              <w:t>Disorders</w:t>
            </w:r>
            <w:r>
              <w:rPr>
                <w:color w:val="FFFFFF"/>
                <w:spacing w:val="-10"/>
                <w:w w:val="110"/>
                <w:sz w:val="16"/>
              </w:rPr>
              <w:t> </w:t>
            </w:r>
            <w:r>
              <w:rPr>
                <w:color w:val="FFFFFF"/>
                <w:w w:val="110"/>
                <w:sz w:val="16"/>
              </w:rPr>
              <w:t>That</w:t>
            </w:r>
            <w:r>
              <w:rPr>
                <w:color w:val="FFFFFF"/>
                <w:spacing w:val="-10"/>
                <w:w w:val="110"/>
                <w:sz w:val="16"/>
              </w:rPr>
              <w:t> </w:t>
            </w:r>
            <w:r>
              <w:rPr>
                <w:color w:val="FFFFFF"/>
                <w:w w:val="110"/>
                <w:sz w:val="16"/>
              </w:rPr>
              <w:t>Can</w:t>
            </w:r>
            <w:r>
              <w:rPr>
                <w:color w:val="FFFFFF"/>
                <w:spacing w:val="-10"/>
                <w:w w:val="110"/>
                <w:sz w:val="16"/>
              </w:rPr>
              <w:t> </w:t>
            </w:r>
            <w:r>
              <w:rPr>
                <w:color w:val="FFFFFF"/>
                <w:w w:val="110"/>
                <w:sz w:val="16"/>
              </w:rPr>
              <w:t>Mimic</w:t>
            </w:r>
            <w:r>
              <w:rPr>
                <w:color w:val="FFFFFF"/>
                <w:spacing w:val="-10"/>
                <w:w w:val="110"/>
                <w:sz w:val="16"/>
              </w:rPr>
              <w:t> </w:t>
            </w:r>
            <w:r>
              <w:rPr>
                <w:color w:val="FFFFFF"/>
                <w:spacing w:val="-4"/>
                <w:w w:val="110"/>
                <w:sz w:val="16"/>
              </w:rPr>
              <w:t>Them</w:t>
            </w:r>
          </w:p>
        </w:tc>
      </w:tr>
      <w:tr>
        <w:trPr>
          <w:trHeight w:val="612" w:hRule="atLeast"/>
        </w:trPr>
        <w:tc>
          <w:tcPr>
            <w:tcW w:w="2016" w:type="dxa"/>
            <w:gridSpan w:val="2"/>
            <w:tcBorders>
              <w:bottom w:val="single" w:sz="4" w:space="0" w:color="231F20"/>
            </w:tcBorders>
            <w:shd w:val="clear" w:color="auto" w:fill="E8F5F1"/>
          </w:tcPr>
          <w:p>
            <w:pPr>
              <w:pStyle w:val="TableParagraph"/>
              <w:rPr>
                <w:sz w:val="15"/>
              </w:rPr>
            </w:pPr>
          </w:p>
          <w:p>
            <w:pPr>
              <w:pStyle w:val="TableParagraph"/>
              <w:spacing w:before="53"/>
              <w:rPr>
                <w:sz w:val="15"/>
              </w:rPr>
            </w:pPr>
          </w:p>
          <w:p>
            <w:pPr>
              <w:pStyle w:val="TableParagraph"/>
              <w:ind w:left="147"/>
              <w:rPr>
                <w:b/>
                <w:sz w:val="15"/>
              </w:rPr>
            </w:pPr>
            <w:r>
              <w:rPr>
                <w:b/>
                <w:color w:val="231F20"/>
                <w:spacing w:val="-2"/>
                <w:w w:val="115"/>
                <w:sz w:val="15"/>
              </w:rPr>
              <w:t>CONDITION</w:t>
            </w:r>
          </w:p>
        </w:tc>
        <w:tc>
          <w:tcPr>
            <w:tcW w:w="2014" w:type="dxa"/>
            <w:tcBorders>
              <w:bottom w:val="single" w:sz="4" w:space="0" w:color="231F20"/>
            </w:tcBorders>
            <w:shd w:val="clear" w:color="auto" w:fill="E8F5F1"/>
          </w:tcPr>
          <w:p>
            <w:pPr>
              <w:pStyle w:val="TableParagraph"/>
              <w:spacing w:line="230" w:lineRule="auto" w:before="71"/>
              <w:ind w:left="145" w:right="143"/>
              <w:jc w:val="center"/>
              <w:rPr>
                <w:b/>
                <w:sz w:val="15"/>
              </w:rPr>
            </w:pPr>
            <w:r>
              <w:rPr>
                <w:b/>
                <w:color w:val="231F20"/>
                <w:w w:val="105"/>
                <w:sz w:val="15"/>
              </w:rPr>
              <w:t>PRECIPITANTS </w:t>
            </w:r>
            <w:r>
              <w:rPr>
                <w:b/>
                <w:color w:val="231F20"/>
                <w:w w:val="105"/>
                <w:sz w:val="15"/>
              </w:rPr>
              <w:t>(MAY NOT APPLY TO ALL </w:t>
            </w:r>
            <w:r>
              <w:rPr>
                <w:b/>
                <w:color w:val="231F20"/>
                <w:spacing w:val="-2"/>
                <w:w w:val="105"/>
                <w:sz w:val="15"/>
              </w:rPr>
              <w:t>PATIENTS)</w:t>
            </w:r>
          </w:p>
        </w:tc>
        <w:tc>
          <w:tcPr>
            <w:tcW w:w="1557" w:type="dxa"/>
            <w:tcBorders>
              <w:bottom w:val="single" w:sz="4" w:space="0" w:color="231F20"/>
            </w:tcBorders>
            <w:shd w:val="clear" w:color="auto" w:fill="E8F5F1"/>
          </w:tcPr>
          <w:p>
            <w:pPr>
              <w:pStyle w:val="TableParagraph"/>
              <w:rPr>
                <w:sz w:val="15"/>
              </w:rPr>
            </w:pPr>
          </w:p>
          <w:p>
            <w:pPr>
              <w:pStyle w:val="TableParagraph"/>
              <w:spacing w:before="53"/>
              <w:rPr>
                <w:sz w:val="15"/>
              </w:rPr>
            </w:pPr>
          </w:p>
          <w:p>
            <w:pPr>
              <w:pStyle w:val="TableParagraph"/>
              <w:ind w:left="337"/>
              <w:rPr>
                <w:b/>
                <w:sz w:val="15"/>
              </w:rPr>
            </w:pPr>
            <w:r>
              <w:rPr>
                <w:b/>
                <w:color w:val="231F20"/>
                <w:spacing w:val="-2"/>
                <w:w w:val="115"/>
                <w:sz w:val="15"/>
              </w:rPr>
              <w:t>PRODROME</w:t>
            </w:r>
          </w:p>
        </w:tc>
        <w:tc>
          <w:tcPr>
            <w:tcW w:w="2460" w:type="dxa"/>
            <w:tcBorders>
              <w:bottom w:val="single" w:sz="4" w:space="0" w:color="231F20"/>
            </w:tcBorders>
            <w:shd w:val="clear" w:color="auto" w:fill="E8F5F1"/>
          </w:tcPr>
          <w:p>
            <w:pPr>
              <w:pStyle w:val="TableParagraph"/>
              <w:rPr>
                <w:sz w:val="15"/>
              </w:rPr>
            </w:pPr>
          </w:p>
          <w:p>
            <w:pPr>
              <w:pStyle w:val="TableParagraph"/>
              <w:spacing w:before="53"/>
              <w:rPr>
                <w:sz w:val="15"/>
              </w:rPr>
            </w:pPr>
          </w:p>
          <w:p>
            <w:pPr>
              <w:pStyle w:val="TableParagraph"/>
              <w:ind w:left="566"/>
              <w:rPr>
                <w:b/>
                <w:sz w:val="15"/>
              </w:rPr>
            </w:pPr>
            <w:r>
              <w:rPr>
                <w:b/>
                <w:color w:val="231F20"/>
                <w:w w:val="105"/>
                <w:sz w:val="15"/>
              </w:rPr>
              <w:t>ICTAL</w:t>
            </w:r>
            <w:r>
              <w:rPr>
                <w:b/>
                <w:color w:val="231F20"/>
                <w:spacing w:val="-2"/>
                <w:w w:val="110"/>
                <w:sz w:val="15"/>
              </w:rPr>
              <w:t> SYMPTOMS</w:t>
            </w:r>
          </w:p>
        </w:tc>
        <w:tc>
          <w:tcPr>
            <w:tcW w:w="1818" w:type="dxa"/>
            <w:tcBorders>
              <w:bottom w:val="single" w:sz="4" w:space="0" w:color="231F20"/>
            </w:tcBorders>
            <w:shd w:val="clear" w:color="auto" w:fill="E8F5F1"/>
          </w:tcPr>
          <w:p>
            <w:pPr>
              <w:pStyle w:val="TableParagraph"/>
              <w:spacing w:before="65"/>
              <w:rPr>
                <w:sz w:val="15"/>
              </w:rPr>
            </w:pPr>
          </w:p>
          <w:p>
            <w:pPr>
              <w:pStyle w:val="TableParagraph"/>
              <w:spacing w:line="230" w:lineRule="auto"/>
              <w:ind w:left="493" w:firstLine="20"/>
              <w:rPr>
                <w:b/>
                <w:sz w:val="15"/>
              </w:rPr>
            </w:pPr>
            <w:r>
              <w:rPr>
                <w:b/>
                <w:color w:val="231F20"/>
                <w:spacing w:val="-2"/>
                <w:sz w:val="15"/>
              </w:rPr>
              <w:t>POSTICTAL </w:t>
            </w:r>
            <w:r>
              <w:rPr>
                <w:b/>
                <w:color w:val="231F20"/>
                <w:spacing w:val="-2"/>
                <w:w w:val="110"/>
                <w:sz w:val="15"/>
              </w:rPr>
              <w:t>SYMPTOMS</w:t>
            </w:r>
          </w:p>
        </w:tc>
      </w:tr>
      <w:tr>
        <w:trPr>
          <w:trHeight w:val="1265" w:hRule="atLeast"/>
        </w:trPr>
        <w:tc>
          <w:tcPr>
            <w:tcW w:w="2016" w:type="dxa"/>
            <w:gridSpan w:val="2"/>
            <w:tcBorders>
              <w:top w:val="single" w:sz="4" w:space="0" w:color="231F20"/>
              <w:bottom w:val="single" w:sz="4" w:space="0" w:color="FFFFFF"/>
            </w:tcBorders>
            <w:shd w:val="clear" w:color="auto" w:fill="E8F5F1"/>
          </w:tcPr>
          <w:p>
            <w:pPr>
              <w:pStyle w:val="TableParagraph"/>
              <w:spacing w:before="47"/>
              <w:ind w:left="148"/>
              <w:rPr>
                <w:sz w:val="15"/>
              </w:rPr>
            </w:pPr>
            <w:r>
              <w:rPr>
                <w:color w:val="231F20"/>
                <w:sz w:val="15"/>
              </w:rPr>
              <w:t>Generalized</w:t>
            </w:r>
            <w:r>
              <w:rPr>
                <w:color w:val="231F20"/>
                <w:spacing w:val="-8"/>
                <w:sz w:val="15"/>
              </w:rPr>
              <w:t> </w:t>
            </w:r>
            <w:r>
              <w:rPr>
                <w:color w:val="231F20"/>
                <w:spacing w:val="-2"/>
                <w:sz w:val="15"/>
              </w:rPr>
              <w:t>seizures</w:t>
            </w:r>
          </w:p>
        </w:tc>
        <w:tc>
          <w:tcPr>
            <w:tcW w:w="2014" w:type="dxa"/>
            <w:tcBorders>
              <w:top w:val="single" w:sz="4" w:space="0" w:color="231F20"/>
              <w:bottom w:val="single" w:sz="4" w:space="0" w:color="FFFFFF"/>
            </w:tcBorders>
            <w:shd w:val="clear" w:color="auto" w:fill="E8F5F1"/>
          </w:tcPr>
          <w:p>
            <w:pPr>
              <w:pStyle w:val="TableParagraph"/>
              <w:spacing w:line="230" w:lineRule="auto" w:before="52"/>
              <w:ind w:left="258" w:right="35" w:hanging="112"/>
              <w:rPr>
                <w:sz w:val="15"/>
              </w:rPr>
            </w:pPr>
            <w:r>
              <w:rPr>
                <w:color w:val="231F20"/>
                <w:sz w:val="15"/>
              </w:rPr>
              <w:t>Sleep deprivation, </w:t>
            </w:r>
            <w:r>
              <w:rPr>
                <w:color w:val="231F20"/>
                <w:spacing w:val="-2"/>
                <w:sz w:val="15"/>
              </w:rPr>
              <w:t>television,</w:t>
            </w:r>
            <w:r>
              <w:rPr>
                <w:color w:val="231F20"/>
                <w:spacing w:val="-9"/>
                <w:sz w:val="15"/>
              </w:rPr>
              <w:t> </w:t>
            </w:r>
            <w:r>
              <w:rPr>
                <w:color w:val="231F20"/>
                <w:spacing w:val="-2"/>
                <w:sz w:val="15"/>
              </w:rPr>
              <w:t>video</w:t>
            </w:r>
            <w:r>
              <w:rPr>
                <w:color w:val="231F20"/>
                <w:spacing w:val="-9"/>
                <w:sz w:val="15"/>
              </w:rPr>
              <w:t> </w:t>
            </w:r>
            <w:r>
              <w:rPr>
                <w:color w:val="231F20"/>
                <w:spacing w:val="-2"/>
                <w:sz w:val="15"/>
              </w:rPr>
              <w:t>games, </w:t>
            </w:r>
            <w:r>
              <w:rPr>
                <w:color w:val="231F20"/>
                <w:sz w:val="15"/>
              </w:rPr>
              <w:t>visual patterns, and photic stimulation</w:t>
            </w:r>
          </w:p>
        </w:tc>
        <w:tc>
          <w:tcPr>
            <w:tcW w:w="1557" w:type="dxa"/>
            <w:tcBorders>
              <w:top w:val="single" w:sz="4" w:space="0" w:color="231F20"/>
              <w:bottom w:val="single" w:sz="4" w:space="0" w:color="FFFFFF"/>
            </w:tcBorders>
            <w:shd w:val="clear" w:color="auto" w:fill="E8F5F1"/>
          </w:tcPr>
          <w:p>
            <w:pPr>
              <w:pStyle w:val="TableParagraph"/>
              <w:spacing w:line="230" w:lineRule="auto" w:before="52"/>
              <w:ind w:left="259" w:right="112" w:hanging="112"/>
              <w:rPr>
                <w:sz w:val="15"/>
              </w:rPr>
            </w:pPr>
            <w:r>
              <w:rPr>
                <w:color w:val="231F20"/>
                <w:spacing w:val="-6"/>
                <w:sz w:val="15"/>
              </w:rPr>
              <w:t>Rarely</w:t>
            </w:r>
            <w:r>
              <w:rPr>
                <w:color w:val="231F20"/>
                <w:spacing w:val="-4"/>
                <w:sz w:val="15"/>
              </w:rPr>
              <w:t> </w:t>
            </w:r>
            <w:r>
              <w:rPr>
                <w:color w:val="231F20"/>
                <w:spacing w:val="-6"/>
                <w:sz w:val="15"/>
              </w:rPr>
              <w:t>irritability</w:t>
            </w:r>
            <w:r>
              <w:rPr>
                <w:color w:val="231F20"/>
                <w:spacing w:val="-4"/>
                <w:sz w:val="15"/>
              </w:rPr>
              <w:t> </w:t>
            </w:r>
            <w:r>
              <w:rPr>
                <w:color w:val="231F20"/>
                <w:spacing w:val="-6"/>
                <w:sz w:val="15"/>
              </w:rPr>
              <w:t>or</w:t>
            </w:r>
            <w:r>
              <w:rPr>
                <w:color w:val="231F20"/>
                <w:spacing w:val="-2"/>
                <w:sz w:val="15"/>
              </w:rPr>
              <w:t> nonspecific behavioral changes</w:t>
            </w:r>
          </w:p>
        </w:tc>
        <w:tc>
          <w:tcPr>
            <w:tcW w:w="2460" w:type="dxa"/>
            <w:tcBorders>
              <w:top w:val="single" w:sz="4" w:space="0" w:color="231F20"/>
              <w:bottom w:val="single" w:sz="4" w:space="0" w:color="FFFFFF"/>
            </w:tcBorders>
            <w:shd w:val="clear" w:color="auto" w:fill="E8F5F1"/>
          </w:tcPr>
          <w:p>
            <w:pPr>
              <w:pStyle w:val="TableParagraph"/>
              <w:spacing w:line="230" w:lineRule="auto" w:before="52"/>
              <w:ind w:left="147" w:right="471"/>
              <w:rPr>
                <w:sz w:val="15"/>
              </w:rPr>
            </w:pPr>
            <w:r>
              <w:rPr>
                <w:color w:val="231F20"/>
                <w:sz w:val="15"/>
              </w:rPr>
              <w:t>Usually 2-3 min Consciousness might </w:t>
            </w:r>
            <w:r>
              <w:rPr>
                <w:color w:val="231F20"/>
                <w:sz w:val="15"/>
              </w:rPr>
              <w:t>be</w:t>
            </w:r>
          </w:p>
          <w:p>
            <w:pPr>
              <w:pStyle w:val="TableParagraph"/>
              <w:spacing w:line="230" w:lineRule="auto" w:before="2"/>
              <w:ind w:left="259" w:right="471"/>
              <w:rPr>
                <w:sz w:val="15"/>
              </w:rPr>
            </w:pPr>
            <w:r>
              <w:rPr>
                <w:color w:val="231F20"/>
                <w:spacing w:val="-2"/>
                <w:sz w:val="15"/>
              </w:rPr>
              <w:t>preserved</w:t>
            </w:r>
            <w:r>
              <w:rPr>
                <w:color w:val="231F20"/>
                <w:spacing w:val="-10"/>
                <w:sz w:val="15"/>
              </w:rPr>
              <w:t> </w:t>
            </w:r>
            <w:r>
              <w:rPr>
                <w:color w:val="231F20"/>
                <w:spacing w:val="-2"/>
                <w:sz w:val="15"/>
              </w:rPr>
              <w:t>if</w:t>
            </w:r>
            <w:r>
              <w:rPr>
                <w:color w:val="231F20"/>
                <w:spacing w:val="-9"/>
                <w:sz w:val="15"/>
              </w:rPr>
              <w:t> </w:t>
            </w:r>
            <w:r>
              <w:rPr>
                <w:color w:val="231F20"/>
                <w:spacing w:val="-2"/>
                <w:sz w:val="15"/>
              </w:rPr>
              <w:t>atonic,</w:t>
            </w:r>
            <w:r>
              <w:rPr>
                <w:color w:val="231F20"/>
                <w:spacing w:val="-9"/>
                <w:sz w:val="15"/>
              </w:rPr>
              <w:t> </w:t>
            </w:r>
            <w:r>
              <w:rPr>
                <w:color w:val="231F20"/>
                <w:spacing w:val="-2"/>
                <w:sz w:val="15"/>
              </w:rPr>
              <w:t>or</w:t>
            </w:r>
            <w:r>
              <w:rPr>
                <w:color w:val="231F20"/>
                <w:spacing w:val="-10"/>
                <w:sz w:val="15"/>
              </w:rPr>
              <w:t> </w:t>
            </w:r>
            <w:r>
              <w:rPr>
                <w:color w:val="231F20"/>
                <w:spacing w:val="-2"/>
                <w:sz w:val="15"/>
              </w:rPr>
              <w:t>in </w:t>
            </w:r>
            <w:r>
              <w:rPr>
                <w:color w:val="231F20"/>
                <w:sz w:val="15"/>
              </w:rPr>
              <w:t>some, tonic seizures</w:t>
            </w:r>
          </w:p>
          <w:p>
            <w:pPr>
              <w:pStyle w:val="TableParagraph"/>
              <w:spacing w:line="230" w:lineRule="auto" w:before="1"/>
              <w:ind w:left="259" w:right="471" w:hanging="112"/>
              <w:rPr>
                <w:sz w:val="15"/>
              </w:rPr>
            </w:pPr>
            <w:r>
              <w:rPr>
                <w:color w:val="231F20"/>
                <w:spacing w:val="-2"/>
                <w:sz w:val="15"/>
              </w:rPr>
              <w:t>Synchronous</w:t>
            </w:r>
            <w:r>
              <w:rPr>
                <w:color w:val="231F20"/>
                <w:spacing w:val="-10"/>
                <w:sz w:val="15"/>
              </w:rPr>
              <w:t> </w:t>
            </w:r>
            <w:r>
              <w:rPr>
                <w:color w:val="231F20"/>
                <w:spacing w:val="-2"/>
                <w:sz w:val="15"/>
              </w:rPr>
              <w:t>bilateral movements</w:t>
            </w:r>
          </w:p>
          <w:p>
            <w:pPr>
              <w:pStyle w:val="TableParagraph"/>
              <w:spacing w:line="170" w:lineRule="exact"/>
              <w:ind w:left="147"/>
              <w:rPr>
                <w:sz w:val="15"/>
              </w:rPr>
            </w:pPr>
            <w:r>
              <w:rPr>
                <w:color w:val="231F20"/>
                <w:w w:val="105"/>
                <w:sz w:val="15"/>
              </w:rPr>
              <w:t>Tongue</w:t>
            </w:r>
            <w:r>
              <w:rPr>
                <w:color w:val="231F20"/>
                <w:spacing w:val="-2"/>
                <w:w w:val="105"/>
                <w:sz w:val="15"/>
              </w:rPr>
              <w:t> biting</w:t>
            </w:r>
          </w:p>
        </w:tc>
        <w:tc>
          <w:tcPr>
            <w:tcW w:w="1818" w:type="dxa"/>
            <w:tcBorders>
              <w:top w:val="single" w:sz="4" w:space="0" w:color="231F20"/>
              <w:bottom w:val="single" w:sz="4" w:space="0" w:color="FFFFFF"/>
            </w:tcBorders>
            <w:shd w:val="clear" w:color="auto" w:fill="E8F5F1"/>
          </w:tcPr>
          <w:p>
            <w:pPr>
              <w:pStyle w:val="TableParagraph"/>
              <w:spacing w:line="230" w:lineRule="auto" w:before="52"/>
              <w:ind w:left="260" w:hanging="112"/>
              <w:rPr>
                <w:sz w:val="15"/>
              </w:rPr>
            </w:pPr>
            <w:r>
              <w:rPr>
                <w:color w:val="231F20"/>
                <w:sz w:val="15"/>
              </w:rPr>
              <w:t>Delayed recovery with postictal</w:t>
            </w:r>
            <w:r>
              <w:rPr>
                <w:color w:val="231F20"/>
                <w:spacing w:val="-7"/>
                <w:sz w:val="15"/>
              </w:rPr>
              <w:t> </w:t>
            </w:r>
            <w:r>
              <w:rPr>
                <w:color w:val="231F20"/>
                <w:sz w:val="15"/>
              </w:rPr>
              <w:t>depression, </w:t>
            </w:r>
            <w:r>
              <w:rPr>
                <w:color w:val="231F20"/>
                <w:spacing w:val="-2"/>
                <w:sz w:val="15"/>
              </w:rPr>
              <w:t>incontinence</w:t>
            </w:r>
            <w:r>
              <w:rPr>
                <w:color w:val="231F20"/>
                <w:spacing w:val="-10"/>
                <w:sz w:val="15"/>
              </w:rPr>
              <w:t> </w:t>
            </w:r>
            <w:r>
              <w:rPr>
                <w:color w:val="231F20"/>
                <w:spacing w:val="-2"/>
                <w:sz w:val="15"/>
              </w:rPr>
              <w:t>(may</w:t>
            </w:r>
            <w:r>
              <w:rPr>
                <w:color w:val="231F20"/>
                <w:spacing w:val="-9"/>
                <w:sz w:val="15"/>
              </w:rPr>
              <w:t> </w:t>
            </w:r>
            <w:r>
              <w:rPr>
                <w:color w:val="231F20"/>
                <w:spacing w:val="-2"/>
                <w:sz w:val="15"/>
              </w:rPr>
              <w:t>be </w:t>
            </w:r>
            <w:r>
              <w:rPr>
                <w:color w:val="231F20"/>
                <w:sz w:val="15"/>
              </w:rPr>
              <w:t>ictal also)</w:t>
            </w:r>
          </w:p>
        </w:tc>
      </w:tr>
      <w:tr>
        <w:trPr>
          <w:trHeight w:val="1414" w:hRule="atLeast"/>
        </w:trPr>
        <w:tc>
          <w:tcPr>
            <w:tcW w:w="2016" w:type="dxa"/>
            <w:gridSpan w:val="2"/>
            <w:tcBorders>
              <w:top w:val="single" w:sz="4" w:space="0" w:color="FFFFFF"/>
              <w:bottom w:val="single" w:sz="4" w:space="0" w:color="FFFFFF"/>
            </w:tcBorders>
            <w:shd w:val="clear" w:color="auto" w:fill="E8F5F1"/>
          </w:tcPr>
          <w:p>
            <w:pPr>
              <w:pStyle w:val="TableParagraph"/>
              <w:spacing w:before="23"/>
              <w:ind w:left="147"/>
              <w:rPr>
                <w:sz w:val="15"/>
              </w:rPr>
            </w:pPr>
            <w:r>
              <w:rPr>
                <w:color w:val="231F20"/>
                <w:sz w:val="15"/>
              </w:rPr>
              <w:t>Syncope:</w:t>
            </w:r>
            <w:r>
              <w:rPr>
                <w:color w:val="231F20"/>
                <w:spacing w:val="1"/>
                <w:sz w:val="15"/>
              </w:rPr>
              <w:t> </w:t>
            </w:r>
            <w:r>
              <w:rPr>
                <w:color w:val="231F20"/>
                <w:spacing w:val="-2"/>
                <w:sz w:val="15"/>
              </w:rPr>
              <w:t>vasovagal</w:t>
            </w:r>
          </w:p>
          <w:p>
            <w:pPr>
              <w:pStyle w:val="TableParagraph"/>
              <w:spacing w:before="163"/>
              <w:rPr>
                <w:sz w:val="15"/>
              </w:rPr>
            </w:pPr>
          </w:p>
          <w:p>
            <w:pPr>
              <w:pStyle w:val="TableParagraph"/>
              <w:spacing w:line="230" w:lineRule="auto"/>
              <w:ind w:left="259" w:right="214" w:hanging="112"/>
              <w:rPr>
                <w:sz w:val="15"/>
              </w:rPr>
            </w:pPr>
            <w:r>
              <w:rPr>
                <w:color w:val="231F20"/>
                <w:spacing w:val="-2"/>
                <w:sz w:val="15"/>
              </w:rPr>
              <w:t>Syncope</w:t>
            </w:r>
            <w:r>
              <w:rPr>
                <w:color w:val="231F20"/>
                <w:spacing w:val="-10"/>
                <w:sz w:val="15"/>
              </w:rPr>
              <w:t> </w:t>
            </w:r>
            <w:r>
              <w:rPr>
                <w:color w:val="231F20"/>
                <w:spacing w:val="-2"/>
                <w:sz w:val="15"/>
              </w:rPr>
              <w:t>with</w:t>
            </w:r>
            <w:r>
              <w:rPr>
                <w:color w:val="231F20"/>
                <w:spacing w:val="-9"/>
                <w:sz w:val="15"/>
              </w:rPr>
              <w:t> </w:t>
            </w:r>
            <w:r>
              <w:rPr>
                <w:color w:val="231F20"/>
                <w:spacing w:val="-2"/>
                <w:sz w:val="15"/>
              </w:rPr>
              <w:t>reflex </w:t>
            </w:r>
            <w:r>
              <w:rPr>
                <w:color w:val="231F20"/>
                <w:sz w:val="15"/>
              </w:rPr>
              <w:t>anoxic seizures</w:t>
            </w:r>
          </w:p>
          <w:p>
            <w:pPr>
              <w:pStyle w:val="TableParagraph"/>
              <w:spacing w:line="232" w:lineRule="auto" w:before="1"/>
              <w:ind w:left="147" w:right="137"/>
              <w:rPr>
                <w:sz w:val="15"/>
              </w:rPr>
            </w:pPr>
            <w:r>
              <w:rPr>
                <w:color w:val="231F20"/>
                <w:sz w:val="15"/>
              </w:rPr>
              <w:t>Syncope:</w:t>
            </w:r>
            <w:r>
              <w:rPr>
                <w:color w:val="231F20"/>
                <w:spacing w:val="-12"/>
                <w:sz w:val="15"/>
              </w:rPr>
              <w:t> </w:t>
            </w:r>
            <w:r>
              <w:rPr>
                <w:color w:val="231F20"/>
                <w:sz w:val="15"/>
              </w:rPr>
              <w:t>trigeminal</w:t>
            </w:r>
            <w:r>
              <w:rPr>
                <w:color w:val="231F20"/>
                <w:spacing w:val="-11"/>
                <w:sz w:val="15"/>
              </w:rPr>
              <w:t> </w:t>
            </w:r>
            <w:r>
              <w:rPr>
                <w:color w:val="231F20"/>
                <w:sz w:val="15"/>
              </w:rPr>
              <w:t>vagal Syncope: orthostatic</w:t>
            </w:r>
          </w:p>
        </w:tc>
        <w:tc>
          <w:tcPr>
            <w:tcW w:w="2014" w:type="dxa"/>
            <w:tcBorders>
              <w:top w:val="single" w:sz="4" w:space="0" w:color="FFFFFF"/>
              <w:bottom w:val="single" w:sz="4" w:space="0" w:color="FFFFFF"/>
            </w:tcBorders>
            <w:shd w:val="clear" w:color="auto" w:fill="E8F5F1"/>
          </w:tcPr>
          <w:p>
            <w:pPr>
              <w:pStyle w:val="TableParagraph"/>
              <w:spacing w:line="230" w:lineRule="auto" w:before="29"/>
              <w:ind w:left="258" w:right="35" w:hanging="112"/>
              <w:rPr>
                <w:sz w:val="15"/>
              </w:rPr>
            </w:pPr>
            <w:r>
              <w:rPr>
                <w:color w:val="231F20"/>
                <w:spacing w:val="-2"/>
                <w:sz w:val="15"/>
              </w:rPr>
              <w:t>Fatigue,</w:t>
            </w:r>
            <w:r>
              <w:rPr>
                <w:color w:val="231F20"/>
                <w:spacing w:val="-10"/>
                <w:sz w:val="15"/>
              </w:rPr>
              <w:t> </w:t>
            </w:r>
            <w:r>
              <w:rPr>
                <w:color w:val="231F20"/>
                <w:spacing w:val="-2"/>
                <w:sz w:val="15"/>
              </w:rPr>
              <w:t>emotional</w:t>
            </w:r>
            <w:r>
              <w:rPr>
                <w:color w:val="231F20"/>
                <w:spacing w:val="-9"/>
                <w:sz w:val="15"/>
              </w:rPr>
              <w:t> </w:t>
            </w:r>
            <w:r>
              <w:rPr>
                <w:color w:val="231F20"/>
                <w:spacing w:val="-2"/>
                <w:sz w:val="15"/>
              </w:rPr>
              <w:t>stress, </w:t>
            </w:r>
            <w:r>
              <w:rPr>
                <w:color w:val="231F20"/>
                <w:sz w:val="15"/>
              </w:rPr>
              <w:t>dehydration, vomiting, choking, swallowing</w:t>
            </w:r>
          </w:p>
          <w:p>
            <w:pPr>
              <w:pStyle w:val="TableParagraph"/>
              <w:spacing w:line="230" w:lineRule="auto" w:before="4"/>
              <w:ind w:left="258" w:right="35" w:hanging="112"/>
              <w:rPr>
                <w:sz w:val="15"/>
              </w:rPr>
            </w:pPr>
            <w:r>
              <w:rPr>
                <w:color w:val="231F20"/>
                <w:sz w:val="15"/>
              </w:rPr>
              <w:t>Minor</w:t>
            </w:r>
            <w:r>
              <w:rPr>
                <w:color w:val="231F20"/>
                <w:spacing w:val="-2"/>
                <w:sz w:val="15"/>
              </w:rPr>
              <w:t> </w:t>
            </w:r>
            <w:r>
              <w:rPr>
                <w:color w:val="231F20"/>
                <w:sz w:val="15"/>
              </w:rPr>
              <w:t>bump</w:t>
            </w:r>
            <w:r>
              <w:rPr>
                <w:color w:val="231F20"/>
                <w:spacing w:val="-2"/>
                <w:sz w:val="15"/>
              </w:rPr>
              <w:t> </w:t>
            </w:r>
            <w:r>
              <w:rPr>
                <w:color w:val="231F20"/>
                <w:sz w:val="15"/>
              </w:rPr>
              <w:t>to</w:t>
            </w:r>
            <w:r>
              <w:rPr>
                <w:color w:val="231F20"/>
                <w:spacing w:val="-2"/>
                <w:sz w:val="15"/>
              </w:rPr>
              <w:t> </w:t>
            </w:r>
            <w:r>
              <w:rPr>
                <w:color w:val="231F20"/>
                <w:sz w:val="15"/>
              </w:rPr>
              <w:t>head, upsetting surprises</w:t>
            </w:r>
          </w:p>
          <w:p>
            <w:pPr>
              <w:pStyle w:val="TableParagraph"/>
              <w:spacing w:line="232" w:lineRule="auto" w:before="1"/>
              <w:ind w:left="146" w:right="35"/>
              <w:rPr>
                <w:sz w:val="15"/>
              </w:rPr>
            </w:pPr>
            <w:r>
              <w:rPr>
                <w:color w:val="231F20"/>
                <w:sz w:val="15"/>
              </w:rPr>
              <w:t>Cold water on face Standing</w:t>
            </w:r>
            <w:r>
              <w:rPr>
                <w:color w:val="231F20"/>
                <w:spacing w:val="-12"/>
                <w:sz w:val="15"/>
              </w:rPr>
              <w:t> </w:t>
            </w:r>
            <w:r>
              <w:rPr>
                <w:color w:val="231F20"/>
                <w:sz w:val="15"/>
              </w:rPr>
              <w:t>up,</w:t>
            </w:r>
            <w:r>
              <w:rPr>
                <w:color w:val="231F20"/>
                <w:spacing w:val="-11"/>
                <w:sz w:val="15"/>
              </w:rPr>
              <w:t> </w:t>
            </w:r>
            <w:r>
              <w:rPr>
                <w:color w:val="231F20"/>
                <w:sz w:val="15"/>
              </w:rPr>
              <w:t>bathing,</w:t>
            </w:r>
          </w:p>
          <w:p>
            <w:pPr>
              <w:pStyle w:val="TableParagraph"/>
              <w:spacing w:line="169" w:lineRule="exact"/>
              <w:ind w:left="258"/>
              <w:rPr>
                <w:sz w:val="15"/>
              </w:rPr>
            </w:pPr>
            <w:r>
              <w:rPr>
                <w:color w:val="231F20"/>
                <w:spacing w:val="-2"/>
                <w:sz w:val="15"/>
              </w:rPr>
              <w:t>awakening</w:t>
            </w:r>
          </w:p>
        </w:tc>
        <w:tc>
          <w:tcPr>
            <w:tcW w:w="1557" w:type="dxa"/>
            <w:tcBorders>
              <w:top w:val="single" w:sz="4" w:space="0" w:color="FFFFFF"/>
              <w:bottom w:val="single" w:sz="4" w:space="0" w:color="FFFFFF"/>
            </w:tcBorders>
            <w:shd w:val="clear" w:color="auto" w:fill="E8F5F1"/>
          </w:tcPr>
          <w:p>
            <w:pPr>
              <w:pStyle w:val="TableParagraph"/>
              <w:spacing w:line="230" w:lineRule="auto" w:before="48"/>
              <w:ind w:left="259" w:hanging="112"/>
              <w:rPr>
                <w:sz w:val="15"/>
              </w:rPr>
            </w:pPr>
            <w:r>
              <w:rPr>
                <w:color w:val="231F20"/>
                <w:sz w:val="15"/>
              </w:rPr>
              <w:t>Blurring of vision, </w:t>
            </w:r>
            <w:r>
              <w:rPr>
                <w:color w:val="231F20"/>
                <w:spacing w:val="-4"/>
                <w:sz w:val="15"/>
              </w:rPr>
              <w:t>tinnitus,</w:t>
            </w:r>
            <w:r>
              <w:rPr>
                <w:color w:val="231F20"/>
                <w:spacing w:val="-8"/>
                <w:sz w:val="15"/>
              </w:rPr>
              <w:t> </w:t>
            </w:r>
            <w:r>
              <w:rPr>
                <w:color w:val="231F20"/>
                <w:spacing w:val="-4"/>
                <w:sz w:val="15"/>
              </w:rPr>
              <w:t>dizziness</w:t>
            </w:r>
          </w:p>
          <w:p>
            <w:pPr>
              <w:pStyle w:val="TableParagraph"/>
              <w:spacing w:line="167" w:lineRule="exact"/>
              <w:ind w:left="147"/>
              <w:rPr>
                <w:sz w:val="15"/>
              </w:rPr>
            </w:pPr>
            <w:r>
              <w:rPr>
                <w:color w:val="231F20"/>
                <w:sz w:val="15"/>
              </w:rPr>
              <w:t>Crying</w:t>
            </w:r>
            <w:r>
              <w:rPr>
                <w:color w:val="231F20"/>
                <w:spacing w:val="9"/>
                <w:sz w:val="15"/>
              </w:rPr>
              <w:t> </w:t>
            </w:r>
            <w:r>
              <w:rPr>
                <w:color w:val="231F20"/>
                <w:spacing w:val="-5"/>
                <w:sz w:val="15"/>
              </w:rPr>
              <w:t>in</w:t>
            </w:r>
          </w:p>
          <w:p>
            <w:pPr>
              <w:pStyle w:val="TableParagraph"/>
              <w:spacing w:line="230" w:lineRule="auto" w:before="2"/>
              <w:ind w:left="259"/>
              <w:rPr>
                <w:sz w:val="15"/>
              </w:rPr>
            </w:pPr>
            <w:r>
              <w:rPr>
                <w:color w:val="231F20"/>
                <w:spacing w:val="-2"/>
                <w:sz w:val="15"/>
              </w:rPr>
              <w:t>breath-</w:t>
            </w:r>
            <w:r>
              <w:rPr>
                <w:color w:val="231F20"/>
                <w:spacing w:val="-2"/>
                <w:sz w:val="15"/>
              </w:rPr>
              <w:t>holding spells</w:t>
            </w:r>
          </w:p>
        </w:tc>
        <w:tc>
          <w:tcPr>
            <w:tcW w:w="2460" w:type="dxa"/>
            <w:tcBorders>
              <w:top w:val="single" w:sz="4" w:space="0" w:color="FFFFFF"/>
              <w:bottom w:val="single" w:sz="4" w:space="0" w:color="FFFFFF"/>
            </w:tcBorders>
            <w:shd w:val="clear" w:color="auto" w:fill="E8F5F1"/>
          </w:tcPr>
          <w:p>
            <w:pPr>
              <w:pStyle w:val="TableParagraph"/>
              <w:spacing w:line="230" w:lineRule="auto" w:before="48"/>
              <w:ind w:left="259" w:right="471" w:hanging="112"/>
              <w:rPr>
                <w:sz w:val="15"/>
              </w:rPr>
            </w:pPr>
            <w:r>
              <w:rPr>
                <w:color w:val="231F20"/>
                <w:sz w:val="15"/>
              </w:rPr>
              <w:t>Loss of consciousness for seconds,</w:t>
            </w:r>
            <w:r>
              <w:rPr>
                <w:color w:val="231F20"/>
                <w:spacing w:val="-12"/>
                <w:sz w:val="15"/>
              </w:rPr>
              <w:t> </w:t>
            </w:r>
            <w:r>
              <w:rPr>
                <w:color w:val="231F20"/>
                <w:sz w:val="15"/>
              </w:rPr>
              <w:t>pallor</w:t>
            </w:r>
            <w:r>
              <w:rPr>
                <w:color w:val="231F20"/>
                <w:spacing w:val="-11"/>
                <w:sz w:val="15"/>
              </w:rPr>
              <w:t> </w:t>
            </w:r>
            <w:r>
              <w:rPr>
                <w:color w:val="231F20"/>
                <w:sz w:val="15"/>
              </w:rPr>
              <w:t>and</w:t>
            </w:r>
            <w:r>
              <w:rPr>
                <w:color w:val="231F20"/>
                <w:spacing w:val="-11"/>
                <w:sz w:val="15"/>
              </w:rPr>
              <w:t> </w:t>
            </w:r>
            <w:r>
              <w:rPr>
                <w:color w:val="231F20"/>
                <w:sz w:val="15"/>
              </w:rPr>
              <w:t>rarely reflex anoxic seizures</w:t>
            </w:r>
          </w:p>
        </w:tc>
        <w:tc>
          <w:tcPr>
            <w:tcW w:w="1818" w:type="dxa"/>
            <w:tcBorders>
              <w:top w:val="single" w:sz="4" w:space="0" w:color="FFFFFF"/>
              <w:bottom w:val="single" w:sz="4" w:space="0" w:color="FFFFFF"/>
            </w:tcBorders>
            <w:shd w:val="clear" w:color="auto" w:fill="E8F5F1"/>
          </w:tcPr>
          <w:p>
            <w:pPr>
              <w:pStyle w:val="TableParagraph"/>
              <w:spacing w:line="230" w:lineRule="auto" w:before="48"/>
              <w:ind w:left="260" w:right="131" w:hanging="112"/>
              <w:rPr>
                <w:sz w:val="15"/>
              </w:rPr>
            </w:pPr>
            <w:r>
              <w:rPr>
                <w:color w:val="231F20"/>
                <w:sz w:val="15"/>
              </w:rPr>
              <w:t>Rapid</w:t>
            </w:r>
            <w:r>
              <w:rPr>
                <w:color w:val="231F20"/>
                <w:spacing w:val="-12"/>
                <w:sz w:val="15"/>
              </w:rPr>
              <w:t> </w:t>
            </w:r>
            <w:r>
              <w:rPr>
                <w:color w:val="231F20"/>
                <w:sz w:val="15"/>
              </w:rPr>
              <w:t>recovery</w:t>
            </w:r>
            <w:r>
              <w:rPr>
                <w:color w:val="231F20"/>
                <w:spacing w:val="-11"/>
                <w:sz w:val="15"/>
              </w:rPr>
              <w:t> </w:t>
            </w:r>
            <w:r>
              <w:rPr>
                <w:color w:val="231F20"/>
                <w:sz w:val="15"/>
              </w:rPr>
              <w:t>with</w:t>
            </w:r>
            <w:r>
              <w:rPr>
                <w:color w:val="231F20"/>
                <w:spacing w:val="-11"/>
                <w:sz w:val="15"/>
              </w:rPr>
              <w:t> </w:t>
            </w:r>
            <w:r>
              <w:rPr>
                <w:color w:val="231F20"/>
                <w:sz w:val="15"/>
              </w:rPr>
              <w:t>no postictal depression</w:t>
            </w:r>
          </w:p>
        </w:tc>
      </w:tr>
      <w:tr>
        <w:trPr>
          <w:trHeight w:val="588" w:hRule="atLeast"/>
        </w:trPr>
        <w:tc>
          <w:tcPr>
            <w:tcW w:w="2016" w:type="dxa"/>
            <w:gridSpan w:val="2"/>
            <w:tcBorders>
              <w:top w:val="single" w:sz="4" w:space="0" w:color="FFFFFF"/>
              <w:bottom w:val="single" w:sz="4" w:space="0" w:color="FFFFFF"/>
            </w:tcBorders>
            <w:shd w:val="clear" w:color="auto" w:fill="E8F5F1"/>
          </w:tcPr>
          <w:p>
            <w:pPr>
              <w:pStyle w:val="TableParagraph"/>
              <w:spacing w:before="42"/>
              <w:ind w:left="147"/>
              <w:rPr>
                <w:sz w:val="15"/>
              </w:rPr>
            </w:pPr>
            <w:r>
              <w:rPr>
                <w:color w:val="231F20"/>
                <w:spacing w:val="-2"/>
                <w:sz w:val="15"/>
              </w:rPr>
              <w:t>Hyperekplexia</w:t>
            </w:r>
          </w:p>
        </w:tc>
        <w:tc>
          <w:tcPr>
            <w:tcW w:w="2014" w:type="dxa"/>
            <w:tcBorders>
              <w:top w:val="single" w:sz="4" w:space="0" w:color="FFFFFF"/>
              <w:bottom w:val="single" w:sz="4" w:space="0" w:color="FFFFFF"/>
            </w:tcBorders>
            <w:shd w:val="clear" w:color="auto" w:fill="E8F5F1"/>
          </w:tcPr>
          <w:p>
            <w:pPr>
              <w:pStyle w:val="TableParagraph"/>
              <w:spacing w:line="230" w:lineRule="auto" w:before="48"/>
              <w:ind w:left="258" w:right="155" w:hanging="112"/>
              <w:rPr>
                <w:sz w:val="15"/>
              </w:rPr>
            </w:pPr>
            <w:r>
              <w:rPr>
                <w:color w:val="231F20"/>
                <w:spacing w:val="-2"/>
                <w:sz w:val="15"/>
              </w:rPr>
              <w:t>Auditory</w:t>
            </w:r>
            <w:r>
              <w:rPr>
                <w:color w:val="231F20"/>
                <w:spacing w:val="-10"/>
                <w:sz w:val="15"/>
              </w:rPr>
              <w:t> </w:t>
            </w:r>
            <w:r>
              <w:rPr>
                <w:color w:val="231F20"/>
                <w:spacing w:val="-2"/>
                <w:sz w:val="15"/>
              </w:rPr>
              <w:t>and</w:t>
            </w:r>
            <w:r>
              <w:rPr>
                <w:color w:val="231F20"/>
                <w:spacing w:val="-9"/>
                <w:sz w:val="15"/>
              </w:rPr>
              <w:t> </w:t>
            </w:r>
            <w:r>
              <w:rPr>
                <w:color w:val="231F20"/>
                <w:spacing w:val="-2"/>
                <w:sz w:val="15"/>
              </w:rPr>
              <w:t>tactile stimuli</w:t>
            </w:r>
          </w:p>
        </w:tc>
        <w:tc>
          <w:tcPr>
            <w:tcW w:w="1557" w:type="dxa"/>
            <w:tcBorders>
              <w:top w:val="single" w:sz="4" w:space="0" w:color="FFFFFF"/>
              <w:bottom w:val="single" w:sz="4" w:space="0" w:color="FFFFFF"/>
            </w:tcBorders>
            <w:shd w:val="clear" w:color="auto" w:fill="E8F5F1"/>
          </w:tcPr>
          <w:p>
            <w:pPr>
              <w:pStyle w:val="TableParagraph"/>
              <w:spacing w:before="42"/>
              <w:ind w:left="147"/>
              <w:rPr>
                <w:sz w:val="15"/>
              </w:rPr>
            </w:pPr>
            <w:r>
              <w:rPr>
                <w:color w:val="231F20"/>
                <w:spacing w:val="-4"/>
                <w:w w:val="110"/>
                <w:sz w:val="15"/>
              </w:rPr>
              <w:t>None</w:t>
            </w:r>
          </w:p>
        </w:tc>
        <w:tc>
          <w:tcPr>
            <w:tcW w:w="2460" w:type="dxa"/>
            <w:tcBorders>
              <w:top w:val="single" w:sz="4" w:space="0" w:color="FFFFFF"/>
              <w:bottom w:val="single" w:sz="4" w:space="0" w:color="FFFFFF"/>
            </w:tcBorders>
            <w:shd w:val="clear" w:color="auto" w:fill="E8F5F1"/>
          </w:tcPr>
          <w:p>
            <w:pPr>
              <w:pStyle w:val="TableParagraph"/>
              <w:spacing w:line="230" w:lineRule="auto" w:before="48"/>
              <w:ind w:left="259" w:right="323" w:hanging="112"/>
              <w:rPr>
                <w:sz w:val="15"/>
              </w:rPr>
            </w:pPr>
            <w:r>
              <w:rPr>
                <w:color w:val="231F20"/>
                <w:sz w:val="15"/>
              </w:rPr>
              <w:t>Tonic</w:t>
            </w:r>
            <w:r>
              <w:rPr>
                <w:color w:val="231F20"/>
                <w:spacing w:val="-2"/>
                <w:sz w:val="15"/>
              </w:rPr>
              <w:t> </w:t>
            </w:r>
            <w:r>
              <w:rPr>
                <w:color w:val="231F20"/>
                <w:sz w:val="15"/>
              </w:rPr>
              <w:t>stiffening, cyanosis if </w:t>
            </w:r>
            <w:r>
              <w:rPr>
                <w:color w:val="231F20"/>
                <w:spacing w:val="-2"/>
                <w:sz w:val="15"/>
              </w:rPr>
              <w:t>severe,</w:t>
            </w:r>
            <w:r>
              <w:rPr>
                <w:color w:val="231F20"/>
                <w:spacing w:val="-3"/>
                <w:sz w:val="15"/>
              </w:rPr>
              <w:t> </w:t>
            </w:r>
            <w:r>
              <w:rPr>
                <w:color w:val="231F20"/>
                <w:spacing w:val="-2"/>
                <w:sz w:val="15"/>
              </w:rPr>
              <w:t>nonfatigable</w:t>
            </w:r>
            <w:r>
              <w:rPr>
                <w:color w:val="231F20"/>
                <w:spacing w:val="-3"/>
                <w:sz w:val="15"/>
              </w:rPr>
              <w:t> </w:t>
            </w:r>
            <w:r>
              <w:rPr>
                <w:color w:val="231F20"/>
                <w:spacing w:val="-2"/>
                <w:sz w:val="15"/>
              </w:rPr>
              <w:t>nose- </w:t>
            </w:r>
            <w:r>
              <w:rPr>
                <w:color w:val="231F20"/>
                <w:sz w:val="15"/>
              </w:rPr>
              <w:t>tap–induced startles</w:t>
            </w:r>
          </w:p>
        </w:tc>
        <w:tc>
          <w:tcPr>
            <w:tcW w:w="1818" w:type="dxa"/>
            <w:tcBorders>
              <w:top w:val="single" w:sz="4" w:space="0" w:color="FFFFFF"/>
              <w:bottom w:val="single" w:sz="4" w:space="0" w:color="FFFFFF"/>
            </w:tcBorders>
            <w:shd w:val="clear" w:color="auto" w:fill="E8F5F1"/>
          </w:tcPr>
          <w:p>
            <w:pPr>
              <w:pStyle w:val="TableParagraph"/>
              <w:spacing w:line="230" w:lineRule="auto" w:before="48"/>
              <w:ind w:left="260" w:right="205" w:hanging="112"/>
              <w:rPr>
                <w:sz w:val="15"/>
              </w:rPr>
            </w:pPr>
            <w:r>
              <w:rPr>
                <w:color w:val="231F20"/>
                <w:sz w:val="15"/>
              </w:rPr>
              <w:t>Depending on severity, may have postictal</w:t>
            </w:r>
            <w:r>
              <w:rPr>
                <w:color w:val="231F20"/>
                <w:spacing w:val="-12"/>
                <w:sz w:val="15"/>
              </w:rPr>
              <w:t> </w:t>
            </w:r>
            <w:r>
              <w:rPr>
                <w:color w:val="231F20"/>
                <w:sz w:val="15"/>
              </w:rPr>
              <w:t>depression</w:t>
            </w:r>
          </w:p>
        </w:tc>
      </w:tr>
      <w:tr>
        <w:trPr>
          <w:trHeight w:val="420" w:hRule="atLeast"/>
        </w:trPr>
        <w:tc>
          <w:tcPr>
            <w:tcW w:w="2016" w:type="dxa"/>
            <w:gridSpan w:val="2"/>
            <w:tcBorders>
              <w:top w:val="single" w:sz="4" w:space="0" w:color="FFFFFF"/>
              <w:bottom w:val="single" w:sz="4" w:space="0" w:color="FFFFFF"/>
            </w:tcBorders>
            <w:shd w:val="clear" w:color="auto" w:fill="E8F5F1"/>
          </w:tcPr>
          <w:p>
            <w:pPr>
              <w:pStyle w:val="TableParagraph"/>
              <w:spacing w:before="42"/>
              <w:ind w:left="147"/>
              <w:rPr>
                <w:sz w:val="15"/>
              </w:rPr>
            </w:pPr>
            <w:r>
              <w:rPr>
                <w:color w:val="231F20"/>
                <w:spacing w:val="-2"/>
                <w:sz w:val="15"/>
              </w:rPr>
              <w:t>Cardiac</w:t>
            </w:r>
          </w:p>
        </w:tc>
        <w:tc>
          <w:tcPr>
            <w:tcW w:w="2014" w:type="dxa"/>
            <w:tcBorders>
              <w:top w:val="single" w:sz="4" w:space="0" w:color="FFFFFF"/>
              <w:bottom w:val="single" w:sz="4" w:space="0" w:color="FFFFFF"/>
            </w:tcBorders>
            <w:shd w:val="clear" w:color="auto" w:fill="E8F5F1"/>
          </w:tcPr>
          <w:p>
            <w:pPr>
              <w:pStyle w:val="TableParagraph"/>
              <w:spacing w:before="42"/>
              <w:ind w:left="146"/>
              <w:rPr>
                <w:sz w:val="15"/>
              </w:rPr>
            </w:pPr>
            <w:r>
              <w:rPr>
                <w:color w:val="231F20"/>
                <w:spacing w:val="-2"/>
                <w:sz w:val="15"/>
              </w:rPr>
              <w:t>Exercise</w:t>
            </w:r>
          </w:p>
        </w:tc>
        <w:tc>
          <w:tcPr>
            <w:tcW w:w="1557" w:type="dxa"/>
            <w:tcBorders>
              <w:top w:val="single" w:sz="4" w:space="0" w:color="FFFFFF"/>
              <w:bottom w:val="single" w:sz="4" w:space="0" w:color="FFFFFF"/>
            </w:tcBorders>
            <w:shd w:val="clear" w:color="auto" w:fill="E8F5F1"/>
          </w:tcPr>
          <w:p>
            <w:pPr>
              <w:pStyle w:val="TableParagraph"/>
              <w:spacing w:before="42"/>
              <w:ind w:left="146"/>
              <w:rPr>
                <w:sz w:val="15"/>
              </w:rPr>
            </w:pPr>
            <w:r>
              <w:rPr>
                <w:color w:val="231F20"/>
                <w:spacing w:val="-4"/>
                <w:w w:val="110"/>
                <w:sz w:val="15"/>
              </w:rPr>
              <w:t>None</w:t>
            </w:r>
          </w:p>
        </w:tc>
        <w:tc>
          <w:tcPr>
            <w:tcW w:w="2460" w:type="dxa"/>
            <w:tcBorders>
              <w:top w:val="single" w:sz="4" w:space="0" w:color="FFFFFF"/>
              <w:bottom w:val="single" w:sz="4" w:space="0" w:color="FFFFFF"/>
            </w:tcBorders>
            <w:shd w:val="clear" w:color="auto" w:fill="E8F5F1"/>
          </w:tcPr>
          <w:p>
            <w:pPr>
              <w:pStyle w:val="TableParagraph"/>
              <w:spacing w:line="230" w:lineRule="auto" w:before="48"/>
              <w:ind w:left="259" w:right="323" w:hanging="112"/>
              <w:rPr>
                <w:sz w:val="15"/>
              </w:rPr>
            </w:pPr>
            <w:r>
              <w:rPr>
                <w:color w:val="231F20"/>
                <w:sz w:val="15"/>
              </w:rPr>
              <w:t>Loss</w:t>
            </w:r>
            <w:r>
              <w:rPr>
                <w:color w:val="231F20"/>
                <w:spacing w:val="-11"/>
                <w:sz w:val="15"/>
              </w:rPr>
              <w:t> </w:t>
            </w:r>
            <w:r>
              <w:rPr>
                <w:color w:val="231F20"/>
                <w:sz w:val="15"/>
              </w:rPr>
              <w:t>of</w:t>
            </w:r>
            <w:r>
              <w:rPr>
                <w:color w:val="231F20"/>
                <w:spacing w:val="-11"/>
                <w:sz w:val="15"/>
              </w:rPr>
              <w:t> </w:t>
            </w:r>
            <w:r>
              <w:rPr>
                <w:color w:val="231F20"/>
                <w:sz w:val="15"/>
              </w:rPr>
              <w:t>consciousness,</w:t>
            </w:r>
            <w:r>
              <w:rPr>
                <w:color w:val="231F20"/>
                <w:spacing w:val="-11"/>
                <w:sz w:val="15"/>
              </w:rPr>
              <w:t> </w:t>
            </w:r>
            <w:r>
              <w:rPr>
                <w:color w:val="231F20"/>
                <w:sz w:val="15"/>
              </w:rPr>
              <w:t>often only few seconds, pallor</w:t>
            </w:r>
          </w:p>
        </w:tc>
        <w:tc>
          <w:tcPr>
            <w:tcW w:w="1818" w:type="dxa"/>
            <w:tcBorders>
              <w:top w:val="single" w:sz="4" w:space="0" w:color="FFFFFF"/>
              <w:bottom w:val="single" w:sz="4" w:space="0" w:color="FFFFFF"/>
            </w:tcBorders>
            <w:shd w:val="clear" w:color="auto" w:fill="E8F5F1"/>
          </w:tcPr>
          <w:p>
            <w:pPr>
              <w:pStyle w:val="TableParagraph"/>
              <w:spacing w:before="42"/>
              <w:ind w:left="148"/>
              <w:rPr>
                <w:sz w:val="15"/>
              </w:rPr>
            </w:pPr>
            <w:r>
              <w:rPr>
                <w:color w:val="231F20"/>
                <w:spacing w:val="-2"/>
                <w:sz w:val="15"/>
              </w:rPr>
              <w:t>Rarely</w:t>
            </w:r>
          </w:p>
        </w:tc>
      </w:tr>
      <w:tr>
        <w:trPr>
          <w:trHeight w:val="1423" w:hRule="atLeast"/>
        </w:trPr>
        <w:tc>
          <w:tcPr>
            <w:tcW w:w="2016" w:type="dxa"/>
            <w:gridSpan w:val="2"/>
            <w:tcBorders>
              <w:top w:val="single" w:sz="4" w:space="0" w:color="FFFFFF"/>
              <w:bottom w:val="single" w:sz="8" w:space="0" w:color="231F20"/>
            </w:tcBorders>
            <w:shd w:val="clear" w:color="auto" w:fill="E8F5F1"/>
          </w:tcPr>
          <w:p>
            <w:pPr>
              <w:pStyle w:val="TableParagraph"/>
              <w:spacing w:before="42"/>
              <w:ind w:left="147"/>
              <w:rPr>
                <w:sz w:val="15"/>
              </w:rPr>
            </w:pPr>
            <w:r>
              <w:rPr>
                <w:color w:val="231F20"/>
                <w:spacing w:val="-2"/>
                <w:sz w:val="15"/>
              </w:rPr>
              <w:t>Psychogenic</w:t>
            </w:r>
          </w:p>
        </w:tc>
        <w:tc>
          <w:tcPr>
            <w:tcW w:w="2014" w:type="dxa"/>
            <w:tcBorders>
              <w:top w:val="single" w:sz="4" w:space="0" w:color="FFFFFF"/>
              <w:bottom w:val="single" w:sz="8" w:space="0" w:color="231F20"/>
            </w:tcBorders>
            <w:shd w:val="clear" w:color="auto" w:fill="E8F5F1"/>
          </w:tcPr>
          <w:p>
            <w:pPr>
              <w:pStyle w:val="TableParagraph"/>
              <w:spacing w:before="42"/>
              <w:ind w:left="146"/>
              <w:rPr>
                <w:sz w:val="15"/>
              </w:rPr>
            </w:pPr>
            <w:r>
              <w:rPr>
                <w:color w:val="231F20"/>
                <w:sz w:val="15"/>
              </w:rPr>
              <w:t>Suggestion,</w:t>
            </w:r>
            <w:r>
              <w:rPr>
                <w:color w:val="231F20"/>
                <w:spacing w:val="24"/>
                <w:sz w:val="15"/>
              </w:rPr>
              <w:t> </w:t>
            </w:r>
            <w:r>
              <w:rPr>
                <w:color w:val="231F20"/>
                <w:spacing w:val="-2"/>
                <w:sz w:val="15"/>
              </w:rPr>
              <w:t>stress</w:t>
            </w:r>
          </w:p>
        </w:tc>
        <w:tc>
          <w:tcPr>
            <w:tcW w:w="1557" w:type="dxa"/>
            <w:tcBorders>
              <w:top w:val="single" w:sz="4" w:space="0" w:color="FFFFFF"/>
              <w:bottom w:val="single" w:sz="8" w:space="0" w:color="231F20"/>
            </w:tcBorders>
            <w:shd w:val="clear" w:color="auto" w:fill="E8F5F1"/>
          </w:tcPr>
          <w:p>
            <w:pPr>
              <w:pStyle w:val="TableParagraph"/>
              <w:spacing w:before="42"/>
              <w:ind w:left="146"/>
              <w:rPr>
                <w:sz w:val="15"/>
              </w:rPr>
            </w:pPr>
            <w:r>
              <w:rPr>
                <w:color w:val="231F20"/>
                <w:spacing w:val="-4"/>
                <w:w w:val="110"/>
                <w:sz w:val="15"/>
              </w:rPr>
              <w:t>None</w:t>
            </w:r>
          </w:p>
        </w:tc>
        <w:tc>
          <w:tcPr>
            <w:tcW w:w="2460" w:type="dxa"/>
            <w:tcBorders>
              <w:top w:val="single" w:sz="4" w:space="0" w:color="FFFFFF"/>
              <w:bottom w:val="single" w:sz="8" w:space="0" w:color="231F20"/>
            </w:tcBorders>
            <w:shd w:val="clear" w:color="auto" w:fill="E8F5F1"/>
          </w:tcPr>
          <w:p>
            <w:pPr>
              <w:pStyle w:val="TableParagraph"/>
              <w:spacing w:line="230" w:lineRule="auto" w:before="48"/>
              <w:ind w:left="147" w:right="561"/>
              <w:rPr>
                <w:sz w:val="15"/>
              </w:rPr>
            </w:pPr>
            <w:r>
              <w:rPr>
                <w:color w:val="231F20"/>
                <w:sz w:val="15"/>
              </w:rPr>
              <w:t>Eyes</w:t>
            </w:r>
            <w:r>
              <w:rPr>
                <w:color w:val="231F20"/>
                <w:spacing w:val="5"/>
                <w:sz w:val="15"/>
              </w:rPr>
              <w:t> </w:t>
            </w:r>
            <w:r>
              <w:rPr>
                <w:color w:val="231F20"/>
                <w:sz w:val="15"/>
              </w:rPr>
              <w:t>closed</w:t>
            </w:r>
            <w:r>
              <w:rPr>
                <w:color w:val="231F20"/>
                <w:spacing w:val="80"/>
                <w:sz w:val="15"/>
              </w:rPr>
              <w:t> </w:t>
            </w:r>
            <w:r>
              <w:rPr>
                <w:color w:val="231F20"/>
                <w:sz w:val="15"/>
              </w:rPr>
              <w:t>Asynchronous</w:t>
            </w:r>
            <w:r>
              <w:rPr>
                <w:color w:val="231F20"/>
                <w:spacing w:val="-12"/>
                <w:sz w:val="15"/>
              </w:rPr>
              <w:t> </w:t>
            </w:r>
            <w:r>
              <w:rPr>
                <w:color w:val="231F20"/>
                <w:sz w:val="15"/>
              </w:rPr>
              <w:t>flailing</w:t>
            </w:r>
            <w:r>
              <w:rPr>
                <w:color w:val="231F20"/>
                <w:spacing w:val="-11"/>
                <w:sz w:val="15"/>
              </w:rPr>
              <w:t> </w:t>
            </w:r>
            <w:r>
              <w:rPr>
                <w:color w:val="231F20"/>
                <w:sz w:val="15"/>
              </w:rPr>
              <w:t>limb</w:t>
            </w:r>
          </w:p>
          <w:p>
            <w:pPr>
              <w:pStyle w:val="TableParagraph"/>
              <w:spacing w:line="230" w:lineRule="auto" w:before="1"/>
              <w:ind w:left="259"/>
              <w:rPr>
                <w:sz w:val="15"/>
              </w:rPr>
            </w:pPr>
            <w:r>
              <w:rPr>
                <w:color w:val="231F20"/>
                <w:spacing w:val="-2"/>
                <w:sz w:val="15"/>
              </w:rPr>
              <w:t>movements</w:t>
            </w:r>
            <w:r>
              <w:rPr>
                <w:color w:val="231F20"/>
                <w:spacing w:val="-8"/>
                <w:sz w:val="15"/>
              </w:rPr>
              <w:t> </w:t>
            </w:r>
            <w:r>
              <w:rPr>
                <w:color w:val="231F20"/>
                <w:spacing w:val="-2"/>
                <w:sz w:val="15"/>
              </w:rPr>
              <w:t>that</w:t>
            </w:r>
            <w:r>
              <w:rPr>
                <w:color w:val="231F20"/>
                <w:spacing w:val="-8"/>
                <w:sz w:val="15"/>
              </w:rPr>
              <w:t> </w:t>
            </w:r>
            <w:r>
              <w:rPr>
                <w:color w:val="231F20"/>
                <w:spacing w:val="-2"/>
                <w:sz w:val="15"/>
              </w:rPr>
              <w:t>vary</w:t>
            </w:r>
            <w:r>
              <w:rPr>
                <w:color w:val="231F20"/>
                <w:spacing w:val="-8"/>
                <w:sz w:val="15"/>
              </w:rPr>
              <w:t> </w:t>
            </w:r>
            <w:r>
              <w:rPr>
                <w:color w:val="231F20"/>
                <w:spacing w:val="-2"/>
                <w:sz w:val="15"/>
              </w:rPr>
              <w:t>between attacks</w:t>
            </w:r>
          </w:p>
          <w:p>
            <w:pPr>
              <w:pStyle w:val="TableParagraph"/>
              <w:spacing w:line="230" w:lineRule="auto" w:before="2"/>
              <w:ind w:left="147" w:right="323"/>
              <w:rPr>
                <w:sz w:val="15"/>
              </w:rPr>
            </w:pPr>
            <w:r>
              <w:rPr>
                <w:color w:val="231F20"/>
                <w:w w:val="105"/>
                <w:sz w:val="15"/>
              </w:rPr>
              <w:t>No injury, closed eyelids May</w:t>
            </w:r>
            <w:r>
              <w:rPr>
                <w:color w:val="231F20"/>
                <w:spacing w:val="-12"/>
                <w:w w:val="105"/>
                <w:sz w:val="15"/>
              </w:rPr>
              <w:t> </w:t>
            </w:r>
            <w:r>
              <w:rPr>
                <w:color w:val="231F20"/>
                <w:w w:val="105"/>
                <w:sz w:val="15"/>
              </w:rPr>
              <w:t>respond</w:t>
            </w:r>
            <w:r>
              <w:rPr>
                <w:color w:val="231F20"/>
                <w:spacing w:val="-12"/>
                <w:w w:val="105"/>
                <w:sz w:val="15"/>
              </w:rPr>
              <w:t> </w:t>
            </w:r>
            <w:r>
              <w:rPr>
                <w:color w:val="231F20"/>
                <w:w w:val="105"/>
                <w:sz w:val="15"/>
              </w:rPr>
              <w:t>to</w:t>
            </w:r>
            <w:r>
              <w:rPr>
                <w:color w:val="231F20"/>
                <w:spacing w:val="-12"/>
                <w:w w:val="105"/>
                <w:sz w:val="15"/>
              </w:rPr>
              <w:t> </w:t>
            </w:r>
            <w:r>
              <w:rPr>
                <w:color w:val="231F20"/>
                <w:w w:val="105"/>
                <w:sz w:val="15"/>
              </w:rPr>
              <w:t>suggestion</w:t>
            </w:r>
          </w:p>
          <w:p>
            <w:pPr>
              <w:pStyle w:val="TableParagraph"/>
              <w:spacing w:line="230" w:lineRule="auto" w:before="1"/>
              <w:ind w:left="147" w:firstLine="111"/>
              <w:rPr>
                <w:sz w:val="15"/>
              </w:rPr>
            </w:pPr>
            <w:r>
              <w:rPr>
                <w:color w:val="231F20"/>
                <w:sz w:val="15"/>
              </w:rPr>
              <w:t>during</w:t>
            </w:r>
            <w:r>
              <w:rPr>
                <w:color w:val="231F20"/>
                <w:spacing w:val="-1"/>
                <w:sz w:val="15"/>
              </w:rPr>
              <w:t> </w:t>
            </w:r>
            <w:r>
              <w:rPr>
                <w:color w:val="231F20"/>
                <w:sz w:val="15"/>
              </w:rPr>
              <w:t>“loss</w:t>
            </w:r>
            <w:r>
              <w:rPr>
                <w:color w:val="231F20"/>
                <w:spacing w:val="-1"/>
                <w:sz w:val="15"/>
              </w:rPr>
              <w:t> </w:t>
            </w:r>
            <w:r>
              <w:rPr>
                <w:color w:val="231F20"/>
                <w:sz w:val="15"/>
              </w:rPr>
              <w:t>of</w:t>
            </w:r>
            <w:r>
              <w:rPr>
                <w:color w:val="231F20"/>
                <w:spacing w:val="-1"/>
                <w:sz w:val="15"/>
              </w:rPr>
              <w:t> </w:t>
            </w:r>
            <w:r>
              <w:rPr>
                <w:color w:val="231F20"/>
                <w:sz w:val="15"/>
              </w:rPr>
              <w:t>consciousness” Usually longer than 2-3 min</w:t>
            </w:r>
          </w:p>
        </w:tc>
        <w:tc>
          <w:tcPr>
            <w:tcW w:w="1818" w:type="dxa"/>
            <w:tcBorders>
              <w:top w:val="single" w:sz="4" w:space="0" w:color="FFFFFF"/>
              <w:bottom w:val="single" w:sz="8" w:space="0" w:color="231F20"/>
            </w:tcBorders>
            <w:shd w:val="clear" w:color="auto" w:fill="E8F5F1"/>
          </w:tcPr>
          <w:p>
            <w:pPr>
              <w:pStyle w:val="TableParagraph"/>
              <w:spacing w:line="230" w:lineRule="auto" w:before="48"/>
              <w:ind w:left="260" w:right="816" w:hanging="112"/>
              <w:rPr>
                <w:sz w:val="15"/>
              </w:rPr>
            </w:pPr>
            <w:r>
              <w:rPr>
                <w:color w:val="231F20"/>
                <w:w w:val="105"/>
                <w:sz w:val="15"/>
              </w:rPr>
              <w:t>No</w:t>
            </w:r>
            <w:r>
              <w:rPr>
                <w:color w:val="231F20"/>
                <w:spacing w:val="-12"/>
                <w:w w:val="105"/>
                <w:sz w:val="15"/>
              </w:rPr>
              <w:t> </w:t>
            </w:r>
            <w:r>
              <w:rPr>
                <w:color w:val="231F20"/>
                <w:w w:val="105"/>
                <w:sz w:val="15"/>
              </w:rPr>
              <w:t>postictal </w:t>
            </w:r>
            <w:r>
              <w:rPr>
                <w:color w:val="231F20"/>
                <w:spacing w:val="-2"/>
                <w:sz w:val="15"/>
              </w:rPr>
              <w:t>depression</w:t>
            </w:r>
          </w:p>
        </w:tc>
      </w:tr>
    </w:tbl>
    <w:p>
      <w:pPr>
        <w:spacing w:before="76"/>
        <w:ind w:left="560" w:right="0" w:firstLine="0"/>
        <w:jc w:val="left"/>
        <w:rPr>
          <w:i/>
          <w:sz w:val="13"/>
        </w:rPr>
      </w:pPr>
      <w:r>
        <w:rPr>
          <w:i/>
          <w:color w:val="231F20"/>
          <w:sz w:val="13"/>
        </w:rPr>
        <w:t>Adapted</w:t>
      </w:r>
      <w:r>
        <w:rPr>
          <w:i/>
          <w:color w:val="231F20"/>
          <w:spacing w:val="-5"/>
          <w:sz w:val="13"/>
        </w:rPr>
        <w:t> </w:t>
      </w:r>
      <w:r>
        <w:rPr>
          <w:i/>
          <w:color w:val="231F20"/>
          <w:sz w:val="13"/>
        </w:rPr>
        <w:t>from</w:t>
      </w:r>
      <w:r>
        <w:rPr>
          <w:i/>
          <w:color w:val="231F20"/>
          <w:spacing w:val="-5"/>
          <w:sz w:val="13"/>
        </w:rPr>
        <w:t> </w:t>
      </w:r>
      <w:r>
        <w:rPr>
          <w:i/>
          <w:color w:val="231F20"/>
          <w:sz w:val="13"/>
        </w:rPr>
        <w:t>Obeid</w:t>
      </w:r>
      <w:r>
        <w:rPr>
          <w:i/>
          <w:color w:val="231F20"/>
          <w:spacing w:val="-5"/>
          <w:sz w:val="13"/>
        </w:rPr>
        <w:t> </w:t>
      </w:r>
      <w:r>
        <w:rPr>
          <w:i/>
          <w:color w:val="231F20"/>
          <w:sz w:val="13"/>
        </w:rPr>
        <w:t>M,</w:t>
      </w:r>
      <w:r>
        <w:rPr>
          <w:i/>
          <w:color w:val="231F20"/>
          <w:spacing w:val="-5"/>
          <w:sz w:val="13"/>
        </w:rPr>
        <w:t> </w:t>
      </w:r>
      <w:r>
        <w:rPr>
          <w:i/>
          <w:color w:val="231F20"/>
          <w:sz w:val="13"/>
        </w:rPr>
        <w:t>Mikati</w:t>
      </w:r>
      <w:r>
        <w:rPr>
          <w:i/>
          <w:color w:val="231F20"/>
          <w:spacing w:val="-5"/>
          <w:sz w:val="13"/>
        </w:rPr>
        <w:t> </w:t>
      </w:r>
      <w:r>
        <w:rPr>
          <w:i/>
          <w:color w:val="231F20"/>
          <w:sz w:val="13"/>
        </w:rPr>
        <w:t>MA:</w:t>
      </w:r>
      <w:r>
        <w:rPr>
          <w:i/>
          <w:color w:val="231F20"/>
          <w:spacing w:val="-4"/>
          <w:sz w:val="13"/>
        </w:rPr>
        <w:t> </w:t>
      </w:r>
      <w:r>
        <w:rPr>
          <w:i/>
          <w:color w:val="231F20"/>
          <w:sz w:val="13"/>
        </w:rPr>
        <w:t>Expanding</w:t>
      </w:r>
      <w:r>
        <w:rPr>
          <w:i/>
          <w:color w:val="231F20"/>
          <w:spacing w:val="-5"/>
          <w:sz w:val="13"/>
        </w:rPr>
        <w:t> </w:t>
      </w:r>
      <w:r>
        <w:rPr>
          <w:i/>
          <w:color w:val="231F20"/>
          <w:sz w:val="13"/>
        </w:rPr>
        <w:t>spectrum</w:t>
      </w:r>
      <w:r>
        <w:rPr>
          <w:i/>
          <w:color w:val="231F20"/>
          <w:spacing w:val="-5"/>
          <w:sz w:val="13"/>
        </w:rPr>
        <w:t> </w:t>
      </w:r>
      <w:r>
        <w:rPr>
          <w:i/>
          <w:color w:val="231F20"/>
          <w:sz w:val="13"/>
        </w:rPr>
        <w:t>of</w:t>
      </w:r>
      <w:r>
        <w:rPr>
          <w:i/>
          <w:color w:val="231F20"/>
          <w:spacing w:val="-5"/>
          <w:sz w:val="13"/>
        </w:rPr>
        <w:t> </w:t>
      </w:r>
      <w:r>
        <w:rPr>
          <w:i/>
          <w:color w:val="231F20"/>
          <w:sz w:val="13"/>
        </w:rPr>
        <w:t>paroxysmal</w:t>
      </w:r>
      <w:r>
        <w:rPr>
          <w:i/>
          <w:color w:val="231F20"/>
          <w:spacing w:val="-5"/>
          <w:sz w:val="13"/>
        </w:rPr>
        <w:t> </w:t>
      </w:r>
      <w:r>
        <w:rPr>
          <w:i/>
          <w:color w:val="231F20"/>
          <w:sz w:val="13"/>
        </w:rPr>
        <w:t>events</w:t>
      </w:r>
      <w:r>
        <w:rPr>
          <w:i/>
          <w:color w:val="231F20"/>
          <w:spacing w:val="-4"/>
          <w:sz w:val="13"/>
        </w:rPr>
        <w:t> </w:t>
      </w:r>
      <w:r>
        <w:rPr>
          <w:i/>
          <w:color w:val="231F20"/>
          <w:sz w:val="13"/>
        </w:rPr>
        <w:t>in</w:t>
      </w:r>
      <w:r>
        <w:rPr>
          <w:i/>
          <w:color w:val="231F20"/>
          <w:spacing w:val="-5"/>
          <w:sz w:val="13"/>
        </w:rPr>
        <w:t> </w:t>
      </w:r>
      <w:r>
        <w:rPr>
          <w:i/>
          <w:color w:val="231F20"/>
          <w:sz w:val="13"/>
        </w:rPr>
        <w:t>children:</w:t>
      </w:r>
      <w:r>
        <w:rPr>
          <w:i/>
          <w:color w:val="231F20"/>
          <w:spacing w:val="-5"/>
          <w:sz w:val="13"/>
        </w:rPr>
        <w:t> </w:t>
      </w:r>
      <w:r>
        <w:rPr>
          <w:i/>
          <w:color w:val="231F20"/>
          <w:sz w:val="13"/>
        </w:rPr>
        <w:t>potential</w:t>
      </w:r>
      <w:r>
        <w:rPr>
          <w:i/>
          <w:color w:val="231F20"/>
          <w:spacing w:val="-5"/>
          <w:sz w:val="13"/>
        </w:rPr>
        <w:t> </w:t>
      </w:r>
      <w:r>
        <w:rPr>
          <w:i/>
          <w:color w:val="231F20"/>
          <w:sz w:val="13"/>
        </w:rPr>
        <w:t>mimickers</w:t>
      </w:r>
      <w:r>
        <w:rPr>
          <w:i/>
          <w:color w:val="231F20"/>
          <w:spacing w:val="-5"/>
          <w:sz w:val="13"/>
        </w:rPr>
        <w:t> </w:t>
      </w:r>
      <w:r>
        <w:rPr>
          <w:i/>
          <w:color w:val="231F20"/>
          <w:sz w:val="13"/>
        </w:rPr>
        <w:t>of</w:t>
      </w:r>
      <w:r>
        <w:rPr>
          <w:i/>
          <w:color w:val="231F20"/>
          <w:spacing w:val="-4"/>
          <w:sz w:val="13"/>
        </w:rPr>
        <w:t> </w:t>
      </w:r>
      <w:r>
        <w:rPr>
          <w:i/>
          <w:color w:val="231F20"/>
          <w:sz w:val="13"/>
        </w:rPr>
        <w:t>epilepsy,</w:t>
      </w:r>
      <w:r>
        <w:rPr>
          <w:i/>
          <w:color w:val="231F20"/>
          <w:spacing w:val="-5"/>
          <w:sz w:val="13"/>
        </w:rPr>
        <w:t> </w:t>
      </w:r>
      <w:r>
        <w:rPr>
          <w:color w:val="231F20"/>
          <w:sz w:val="13"/>
        </w:rPr>
        <w:t>Pediatr</w:t>
      </w:r>
      <w:r>
        <w:rPr>
          <w:color w:val="231F20"/>
          <w:spacing w:val="-5"/>
          <w:sz w:val="13"/>
        </w:rPr>
        <w:t> </w:t>
      </w:r>
      <w:r>
        <w:rPr>
          <w:color w:val="231F20"/>
          <w:sz w:val="13"/>
        </w:rPr>
        <w:t>Neurol</w:t>
      </w:r>
      <w:r>
        <w:rPr>
          <w:color w:val="231F20"/>
          <w:spacing w:val="-5"/>
          <w:sz w:val="13"/>
        </w:rPr>
        <w:t> </w:t>
      </w:r>
      <w:r>
        <w:rPr>
          <w:i/>
          <w:color w:val="231F20"/>
          <w:sz w:val="13"/>
        </w:rPr>
        <w:t>37(5):309–316,</w:t>
      </w:r>
      <w:r>
        <w:rPr>
          <w:i/>
          <w:color w:val="231F20"/>
          <w:spacing w:val="-5"/>
          <w:sz w:val="13"/>
        </w:rPr>
        <w:t> </w:t>
      </w:r>
      <w:r>
        <w:rPr>
          <w:i/>
          <w:color w:val="231F20"/>
          <w:spacing w:val="-2"/>
          <w:sz w:val="13"/>
        </w:rPr>
        <w:t>2007.</w:t>
      </w:r>
    </w:p>
    <w:p>
      <w:pPr>
        <w:pStyle w:val="BodyText"/>
        <w:spacing w:before="63"/>
        <w:rPr>
          <w:i/>
          <w:sz w:val="20"/>
        </w:rPr>
      </w:pPr>
    </w:p>
    <w:tbl>
      <w:tblPr>
        <w:tblW w:w="0" w:type="auto"/>
        <w:jc w:val="left"/>
        <w:tblInd w:w="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220"/>
        <w:gridCol w:w="1740"/>
        <w:gridCol w:w="1740"/>
        <w:gridCol w:w="1740"/>
        <w:gridCol w:w="1678"/>
        <w:gridCol w:w="147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594-</w:t>
            </w:r>
            <w:r>
              <w:rPr>
                <w:b/>
                <w:color w:val="FFFFFF"/>
                <w:spacing w:val="-10"/>
                <w:w w:val="105"/>
                <w:sz w:val="16"/>
              </w:rPr>
              <w:t>3</w:t>
            </w:r>
          </w:p>
        </w:tc>
        <w:tc>
          <w:tcPr>
            <w:tcW w:w="8593" w:type="dxa"/>
            <w:gridSpan w:val="6"/>
            <w:tcBorders>
              <w:left w:val="single" w:sz="8" w:space="0" w:color="FFFFFF"/>
            </w:tcBorders>
            <w:shd w:val="clear" w:color="auto" w:fill="231F20"/>
          </w:tcPr>
          <w:p>
            <w:pPr>
              <w:pStyle w:val="TableParagraph"/>
              <w:spacing w:before="89"/>
              <w:ind w:left="73"/>
              <w:rPr>
                <w:sz w:val="16"/>
              </w:rPr>
            </w:pPr>
            <w:r>
              <w:rPr>
                <w:color w:val="FFFFFF"/>
                <w:w w:val="105"/>
                <w:sz w:val="16"/>
              </w:rPr>
              <w:t>Differential</w:t>
            </w:r>
            <w:r>
              <w:rPr>
                <w:color w:val="FFFFFF"/>
                <w:spacing w:val="8"/>
                <w:w w:val="105"/>
                <w:sz w:val="16"/>
              </w:rPr>
              <w:t> </w:t>
            </w:r>
            <w:r>
              <w:rPr>
                <w:color w:val="FFFFFF"/>
                <w:w w:val="105"/>
                <w:sz w:val="16"/>
              </w:rPr>
              <w:t>Diagnoses</w:t>
            </w:r>
            <w:r>
              <w:rPr>
                <w:color w:val="FFFFFF"/>
                <w:spacing w:val="8"/>
                <w:w w:val="105"/>
                <w:sz w:val="16"/>
              </w:rPr>
              <w:t> </w:t>
            </w:r>
            <w:r>
              <w:rPr>
                <w:color w:val="FFFFFF"/>
                <w:w w:val="105"/>
                <w:sz w:val="16"/>
              </w:rPr>
              <w:t>of</w:t>
            </w:r>
            <w:r>
              <w:rPr>
                <w:color w:val="FFFFFF"/>
                <w:spacing w:val="8"/>
                <w:w w:val="105"/>
                <w:sz w:val="16"/>
              </w:rPr>
              <w:t> </w:t>
            </w:r>
            <w:r>
              <w:rPr>
                <w:color w:val="FFFFFF"/>
                <w:w w:val="105"/>
                <w:sz w:val="16"/>
              </w:rPr>
              <w:t>Various</w:t>
            </w:r>
            <w:r>
              <w:rPr>
                <w:color w:val="FFFFFF"/>
                <w:spacing w:val="8"/>
                <w:w w:val="105"/>
                <w:sz w:val="16"/>
              </w:rPr>
              <w:t> </w:t>
            </w:r>
            <w:r>
              <w:rPr>
                <w:color w:val="FFFFFF"/>
                <w:w w:val="105"/>
                <w:sz w:val="16"/>
              </w:rPr>
              <w:t>Types</w:t>
            </w:r>
            <w:r>
              <w:rPr>
                <w:color w:val="FFFFFF"/>
                <w:spacing w:val="8"/>
                <w:w w:val="105"/>
                <w:sz w:val="16"/>
              </w:rPr>
              <w:t> </w:t>
            </w:r>
            <w:r>
              <w:rPr>
                <w:color w:val="FFFFFF"/>
                <w:w w:val="105"/>
                <w:sz w:val="16"/>
              </w:rPr>
              <w:t>of</w:t>
            </w:r>
            <w:r>
              <w:rPr>
                <w:color w:val="FFFFFF"/>
                <w:spacing w:val="8"/>
                <w:w w:val="105"/>
                <w:sz w:val="16"/>
              </w:rPr>
              <w:t> </w:t>
            </w:r>
            <w:r>
              <w:rPr>
                <w:color w:val="FFFFFF"/>
                <w:w w:val="105"/>
                <w:sz w:val="16"/>
              </w:rPr>
              <w:t>Paroxysmal</w:t>
            </w:r>
            <w:r>
              <w:rPr>
                <w:color w:val="FFFFFF"/>
                <w:spacing w:val="8"/>
                <w:w w:val="105"/>
                <w:sz w:val="16"/>
              </w:rPr>
              <w:t> </w:t>
            </w:r>
            <w:r>
              <w:rPr>
                <w:color w:val="FFFFFF"/>
                <w:spacing w:val="-2"/>
                <w:w w:val="105"/>
                <w:sz w:val="16"/>
              </w:rPr>
              <w:t>Dyskinesia</w:t>
            </w:r>
          </w:p>
        </w:tc>
      </w:tr>
      <w:tr>
        <w:trPr>
          <w:trHeight w:val="425" w:hRule="atLeast"/>
        </w:trPr>
        <w:tc>
          <w:tcPr>
            <w:tcW w:w="1368" w:type="dxa"/>
            <w:gridSpan w:val="2"/>
            <w:tcBorders>
              <w:bottom w:val="single" w:sz="4" w:space="0" w:color="FFFFFF"/>
            </w:tcBorders>
            <w:shd w:val="clear" w:color="auto" w:fill="E8F5F1"/>
          </w:tcPr>
          <w:p>
            <w:pPr>
              <w:pStyle w:val="TableParagraph"/>
              <w:spacing w:before="47"/>
              <w:ind w:left="74"/>
              <w:rPr>
                <w:sz w:val="15"/>
              </w:rPr>
            </w:pPr>
            <w:r>
              <w:rPr>
                <w:color w:val="231F20"/>
                <w:spacing w:val="-2"/>
                <w:sz w:val="15"/>
              </w:rPr>
              <w:t>Features</w:t>
            </w:r>
          </w:p>
        </w:tc>
        <w:tc>
          <w:tcPr>
            <w:tcW w:w="1740" w:type="dxa"/>
            <w:tcBorders>
              <w:bottom w:val="single" w:sz="4" w:space="0" w:color="FFFFFF"/>
            </w:tcBorders>
            <w:shd w:val="clear" w:color="auto" w:fill="E8F5F1"/>
          </w:tcPr>
          <w:p>
            <w:pPr>
              <w:pStyle w:val="TableParagraph"/>
              <w:spacing w:before="47"/>
              <w:ind w:left="184"/>
              <w:rPr>
                <w:sz w:val="15"/>
              </w:rPr>
            </w:pPr>
            <w:r>
              <w:rPr>
                <w:color w:val="231F20"/>
                <w:spacing w:val="-5"/>
                <w:w w:val="110"/>
                <w:sz w:val="15"/>
              </w:rPr>
              <w:t>PKD</w:t>
            </w:r>
          </w:p>
        </w:tc>
        <w:tc>
          <w:tcPr>
            <w:tcW w:w="1740" w:type="dxa"/>
            <w:tcBorders>
              <w:bottom w:val="single" w:sz="4" w:space="0" w:color="FFFFFF"/>
            </w:tcBorders>
            <w:shd w:val="clear" w:color="auto" w:fill="E8F5F1"/>
          </w:tcPr>
          <w:p>
            <w:pPr>
              <w:pStyle w:val="TableParagraph"/>
              <w:spacing w:line="230" w:lineRule="auto" w:before="53"/>
              <w:ind w:left="184" w:right="1149"/>
              <w:rPr>
                <w:rFonts w:ascii="Cambria"/>
                <w:sz w:val="15"/>
              </w:rPr>
            </w:pPr>
            <w:r>
              <w:rPr>
                <w:color w:val="231F20"/>
                <w:spacing w:val="-4"/>
                <w:w w:val="110"/>
                <w:sz w:val="15"/>
              </w:rPr>
              <w:t>PNKD MR1</w:t>
            </w:r>
            <w:r>
              <w:rPr>
                <w:rFonts w:ascii="Cambria"/>
                <w:color w:val="231F20"/>
                <w:spacing w:val="-4"/>
                <w:w w:val="110"/>
                <w:sz w:val="15"/>
              </w:rPr>
              <w:t>+</w:t>
            </w:r>
          </w:p>
        </w:tc>
        <w:tc>
          <w:tcPr>
            <w:tcW w:w="1740" w:type="dxa"/>
            <w:tcBorders>
              <w:bottom w:val="single" w:sz="4" w:space="0" w:color="FFFFFF"/>
            </w:tcBorders>
            <w:shd w:val="clear" w:color="auto" w:fill="E8F5F1"/>
          </w:tcPr>
          <w:p>
            <w:pPr>
              <w:pStyle w:val="TableParagraph"/>
              <w:spacing w:line="230" w:lineRule="auto" w:before="53"/>
              <w:ind w:left="184" w:right="1149"/>
              <w:rPr>
                <w:rFonts w:ascii="Cambria" w:hAnsi="Cambria"/>
                <w:sz w:val="15"/>
              </w:rPr>
            </w:pPr>
            <w:r>
              <w:rPr>
                <w:color w:val="231F20"/>
                <w:spacing w:val="-4"/>
                <w:w w:val="110"/>
                <w:sz w:val="15"/>
              </w:rPr>
              <w:t>PNKD MR1</w:t>
            </w:r>
            <w:r>
              <w:rPr>
                <w:rFonts w:ascii="Cambria" w:hAnsi="Cambria"/>
                <w:color w:val="231F20"/>
                <w:spacing w:val="-4"/>
                <w:w w:val="110"/>
                <w:sz w:val="15"/>
              </w:rPr>
              <w:t>−</w:t>
            </w:r>
          </w:p>
        </w:tc>
        <w:tc>
          <w:tcPr>
            <w:tcW w:w="1678" w:type="dxa"/>
            <w:tcBorders>
              <w:bottom w:val="single" w:sz="4" w:space="0" w:color="FFFFFF"/>
            </w:tcBorders>
            <w:shd w:val="clear" w:color="auto" w:fill="E8F5F1"/>
          </w:tcPr>
          <w:p>
            <w:pPr>
              <w:pStyle w:val="TableParagraph"/>
              <w:spacing w:before="47"/>
              <w:ind w:left="184"/>
              <w:rPr>
                <w:sz w:val="15"/>
              </w:rPr>
            </w:pPr>
            <w:r>
              <w:rPr>
                <w:color w:val="231F20"/>
                <w:spacing w:val="-5"/>
                <w:w w:val="110"/>
                <w:sz w:val="15"/>
              </w:rPr>
              <w:t>PED</w:t>
            </w:r>
          </w:p>
        </w:tc>
        <w:tc>
          <w:tcPr>
            <w:tcW w:w="1475" w:type="dxa"/>
            <w:tcBorders>
              <w:bottom w:val="single" w:sz="4" w:space="0" w:color="FFFFFF"/>
            </w:tcBorders>
            <w:shd w:val="clear" w:color="auto" w:fill="E8F5F1"/>
          </w:tcPr>
          <w:p>
            <w:pPr>
              <w:pStyle w:val="TableParagraph"/>
              <w:spacing w:before="47"/>
              <w:ind w:left="184"/>
              <w:rPr>
                <w:sz w:val="15"/>
              </w:rPr>
            </w:pPr>
            <w:r>
              <w:rPr>
                <w:color w:val="231F20"/>
                <w:spacing w:val="-5"/>
                <w:w w:val="110"/>
                <w:sz w:val="15"/>
              </w:rPr>
              <w:t>PHD</w:t>
            </w:r>
          </w:p>
        </w:tc>
      </w:tr>
      <w:tr>
        <w:trPr>
          <w:trHeight w:val="252"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Nomenclature</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5"/>
                <w:w w:val="110"/>
                <w:sz w:val="15"/>
              </w:rPr>
              <w:t>PKC</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w w:val="105"/>
                <w:sz w:val="15"/>
              </w:rPr>
              <w:t>PDC,</w:t>
            </w:r>
            <w:r>
              <w:rPr>
                <w:color w:val="231F20"/>
                <w:spacing w:val="1"/>
                <w:w w:val="105"/>
                <w:sz w:val="15"/>
              </w:rPr>
              <w:t> </w:t>
            </w:r>
            <w:r>
              <w:rPr>
                <w:color w:val="231F20"/>
                <w:spacing w:val="-5"/>
                <w:w w:val="105"/>
                <w:sz w:val="15"/>
              </w:rPr>
              <w:t>FPC</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w w:val="105"/>
                <w:sz w:val="15"/>
              </w:rPr>
              <w:t>PDC,</w:t>
            </w:r>
            <w:r>
              <w:rPr>
                <w:color w:val="231F20"/>
                <w:spacing w:val="1"/>
                <w:w w:val="105"/>
                <w:sz w:val="15"/>
              </w:rPr>
              <w:t> </w:t>
            </w:r>
            <w:r>
              <w:rPr>
                <w:color w:val="231F20"/>
                <w:spacing w:val="-5"/>
                <w:w w:val="105"/>
                <w:sz w:val="15"/>
              </w:rPr>
              <w:t>FPC</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4"/>
                <w:w w:val="105"/>
                <w:sz w:val="15"/>
              </w:rPr>
              <w:t>PEDt</w:t>
            </w:r>
          </w:p>
        </w:tc>
        <w:tc>
          <w:tcPr>
            <w:tcW w:w="1475"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10"/>
                <w:sz w:val="15"/>
              </w:rPr>
              <w:t>ADNFLE</w:t>
            </w:r>
          </w:p>
        </w:tc>
      </w:tr>
      <w:tr>
        <w:trPr>
          <w:trHeight w:val="420"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Inheritance</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10"/>
                <w:sz w:val="15"/>
              </w:rPr>
              <w:t>AD–16q</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10"/>
                <w:sz w:val="15"/>
              </w:rPr>
              <w:t>AD–2q35</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10"/>
                <w:sz w:val="15"/>
              </w:rPr>
              <w:t>AD–2q13</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05"/>
                <w:sz w:val="15"/>
              </w:rPr>
              <w:t>AD/AR</w:t>
            </w:r>
          </w:p>
        </w:tc>
        <w:tc>
          <w:tcPr>
            <w:tcW w:w="1475"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AD–20q13,</w:t>
            </w:r>
            <w:r>
              <w:rPr>
                <w:color w:val="231F20"/>
                <w:spacing w:val="-9"/>
                <w:sz w:val="15"/>
              </w:rPr>
              <w:t> </w:t>
            </w:r>
            <w:r>
              <w:rPr>
                <w:color w:val="231F20"/>
                <w:sz w:val="15"/>
              </w:rPr>
              <w:t>15q24, 1q21, 8p21</w:t>
            </w:r>
          </w:p>
        </w:tc>
      </w:tr>
      <w:tr>
        <w:trPr>
          <w:trHeight w:val="254"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Age</w:t>
            </w:r>
            <w:r>
              <w:rPr>
                <w:color w:val="231F20"/>
                <w:spacing w:val="6"/>
                <w:sz w:val="15"/>
              </w:rPr>
              <w:t> </w:t>
            </w:r>
            <w:r>
              <w:rPr>
                <w:color w:val="231F20"/>
                <w:sz w:val="15"/>
              </w:rPr>
              <w:t>at</w:t>
            </w:r>
            <w:r>
              <w:rPr>
                <w:color w:val="231F20"/>
                <w:spacing w:val="7"/>
                <w:sz w:val="15"/>
              </w:rPr>
              <w:t> </w:t>
            </w:r>
            <w:r>
              <w:rPr>
                <w:color w:val="231F20"/>
                <w:sz w:val="15"/>
              </w:rPr>
              <w:t>onset</w:t>
            </w:r>
            <w:r>
              <w:rPr>
                <w:color w:val="231F20"/>
                <w:spacing w:val="7"/>
                <w:sz w:val="15"/>
              </w:rPr>
              <w:t> </w:t>
            </w:r>
            <w:r>
              <w:rPr>
                <w:color w:val="231F20"/>
                <w:spacing w:val="-4"/>
                <w:sz w:val="15"/>
              </w:rPr>
              <w:t>(yr)</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4"/>
                <w:sz w:val="15"/>
              </w:rPr>
              <w:t>1-</w:t>
            </w:r>
            <w:r>
              <w:rPr>
                <w:color w:val="231F20"/>
                <w:spacing w:val="-5"/>
                <w:sz w:val="15"/>
              </w:rPr>
              <w:t>20</w:t>
            </w:r>
          </w:p>
        </w:tc>
        <w:tc>
          <w:tcPr>
            <w:tcW w:w="1740" w:type="dxa"/>
            <w:tcBorders>
              <w:top w:val="single" w:sz="4" w:space="0" w:color="FFFFFF"/>
              <w:bottom w:val="single" w:sz="4" w:space="0" w:color="FFFFFF"/>
            </w:tcBorders>
            <w:shd w:val="clear" w:color="auto" w:fill="E8F5F1"/>
          </w:tcPr>
          <w:p>
            <w:pPr>
              <w:pStyle w:val="TableParagraph"/>
              <w:spacing w:before="43"/>
              <w:ind w:left="184"/>
              <w:rPr>
                <w:sz w:val="15"/>
              </w:rPr>
            </w:pPr>
            <w:r>
              <w:rPr>
                <w:rFonts w:ascii="Cambria"/>
                <w:color w:val="231F20"/>
                <w:spacing w:val="-2"/>
                <w:sz w:val="15"/>
              </w:rPr>
              <w:t>&lt;</w:t>
            </w:r>
            <w:r>
              <w:rPr>
                <w:color w:val="231F20"/>
                <w:spacing w:val="-2"/>
                <w:sz w:val="15"/>
              </w:rPr>
              <w:t>1-</w:t>
            </w:r>
            <w:r>
              <w:rPr>
                <w:color w:val="231F20"/>
                <w:spacing w:val="-5"/>
                <w:sz w:val="15"/>
              </w:rPr>
              <w:t>12</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4"/>
                <w:sz w:val="15"/>
              </w:rPr>
              <w:t>1-</w:t>
            </w:r>
            <w:r>
              <w:rPr>
                <w:color w:val="231F20"/>
                <w:spacing w:val="-5"/>
                <w:sz w:val="15"/>
              </w:rPr>
              <w:t>23</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Usually</w:t>
            </w:r>
            <w:r>
              <w:rPr>
                <w:color w:val="231F20"/>
                <w:sz w:val="15"/>
              </w:rPr>
              <w:t> </w:t>
            </w:r>
            <w:r>
              <w:rPr>
                <w:color w:val="231F20"/>
                <w:spacing w:val="-2"/>
                <w:sz w:val="15"/>
              </w:rPr>
              <w:t>childhood</w:t>
            </w:r>
          </w:p>
        </w:tc>
        <w:tc>
          <w:tcPr>
            <w:tcW w:w="1475"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Usually</w:t>
            </w:r>
            <w:r>
              <w:rPr>
                <w:color w:val="231F20"/>
                <w:sz w:val="15"/>
              </w:rPr>
              <w:t> </w:t>
            </w:r>
            <w:r>
              <w:rPr>
                <w:color w:val="231F20"/>
                <w:spacing w:val="-2"/>
                <w:sz w:val="15"/>
              </w:rPr>
              <w:t>childhood</w:t>
            </w:r>
          </w:p>
        </w:tc>
      </w:tr>
      <w:tr>
        <w:trPr>
          <w:trHeight w:val="420"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Triggers</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Sudden whole-</w:t>
            </w:r>
            <w:r>
              <w:rPr>
                <w:color w:val="231F20"/>
                <w:sz w:val="15"/>
              </w:rPr>
              <w:t>body </w:t>
            </w:r>
            <w:r>
              <w:rPr>
                <w:color w:val="231F20"/>
                <w:spacing w:val="-2"/>
                <w:sz w:val="15"/>
              </w:rPr>
              <w:t>movement</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296" w:right="491" w:hanging="112"/>
              <w:rPr>
                <w:sz w:val="15"/>
              </w:rPr>
            </w:pPr>
            <w:r>
              <w:rPr>
                <w:color w:val="231F20"/>
                <w:spacing w:val="-2"/>
                <w:sz w:val="15"/>
              </w:rPr>
              <w:t>Coffee,</w:t>
            </w:r>
            <w:r>
              <w:rPr>
                <w:color w:val="231F20"/>
                <w:spacing w:val="-10"/>
                <w:sz w:val="15"/>
              </w:rPr>
              <w:t> </w:t>
            </w:r>
            <w:r>
              <w:rPr>
                <w:color w:val="231F20"/>
                <w:spacing w:val="-2"/>
                <w:sz w:val="15"/>
              </w:rPr>
              <w:t>alcohol, stress</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Exercise</w:t>
            </w:r>
          </w:p>
        </w:tc>
        <w:tc>
          <w:tcPr>
            <w:tcW w:w="1678" w:type="dxa"/>
            <w:tcBorders>
              <w:top w:val="single" w:sz="4" w:space="0" w:color="FFFFFF"/>
              <w:bottom w:val="single" w:sz="4" w:space="0" w:color="FFFFFF"/>
            </w:tcBorders>
            <w:shd w:val="clear" w:color="auto" w:fill="E8F5F1"/>
          </w:tcPr>
          <w:p>
            <w:pPr>
              <w:pStyle w:val="TableParagraph"/>
              <w:spacing w:line="230" w:lineRule="auto" w:before="48"/>
              <w:ind w:left="296" w:right="103" w:hanging="112"/>
              <w:rPr>
                <w:sz w:val="15"/>
              </w:rPr>
            </w:pPr>
            <w:r>
              <w:rPr>
                <w:color w:val="231F20"/>
                <w:spacing w:val="-2"/>
                <w:sz w:val="15"/>
              </w:rPr>
              <w:t>After</w:t>
            </w:r>
            <w:r>
              <w:rPr>
                <w:color w:val="231F20"/>
                <w:spacing w:val="-10"/>
                <w:sz w:val="15"/>
              </w:rPr>
              <w:t> </w:t>
            </w:r>
            <w:r>
              <w:rPr>
                <w:color w:val="231F20"/>
                <w:spacing w:val="-2"/>
                <w:sz w:val="15"/>
              </w:rPr>
              <w:t>10-15</w:t>
            </w:r>
            <w:r>
              <w:rPr>
                <w:color w:val="231F20"/>
                <w:spacing w:val="-9"/>
                <w:sz w:val="15"/>
              </w:rPr>
              <w:t> </w:t>
            </w:r>
            <w:r>
              <w:rPr>
                <w:color w:val="231F20"/>
                <w:spacing w:val="-2"/>
                <w:sz w:val="15"/>
              </w:rPr>
              <w:t>minutes </w:t>
            </w:r>
            <w:r>
              <w:rPr>
                <w:color w:val="231F20"/>
                <w:sz w:val="15"/>
              </w:rPr>
              <w:t>of exercise</w:t>
            </w:r>
          </w:p>
        </w:tc>
        <w:tc>
          <w:tcPr>
            <w:tcW w:w="1475"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05"/>
                <w:sz w:val="15"/>
              </w:rPr>
              <w:t>Sleep</w:t>
            </w:r>
          </w:p>
        </w:tc>
      </w:tr>
      <w:tr>
        <w:trPr>
          <w:trHeight w:val="420"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Clinical</w:t>
            </w:r>
            <w:r>
              <w:rPr>
                <w:color w:val="231F20"/>
                <w:spacing w:val="-3"/>
                <w:sz w:val="15"/>
              </w:rPr>
              <w:t> </w:t>
            </w:r>
            <w:r>
              <w:rPr>
                <w:color w:val="231F20"/>
                <w:spacing w:val="-2"/>
                <w:sz w:val="15"/>
              </w:rPr>
              <w:t>features</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Chorea, athetosis, </w:t>
            </w:r>
            <w:r>
              <w:rPr>
                <w:color w:val="231F20"/>
                <w:spacing w:val="-2"/>
                <w:sz w:val="15"/>
              </w:rPr>
              <w:t>ballismus,</w:t>
            </w:r>
            <w:r>
              <w:rPr>
                <w:color w:val="231F20"/>
                <w:spacing w:val="-10"/>
                <w:sz w:val="15"/>
              </w:rPr>
              <w:t> </w:t>
            </w:r>
            <w:r>
              <w:rPr>
                <w:color w:val="231F20"/>
                <w:spacing w:val="-2"/>
                <w:sz w:val="15"/>
              </w:rPr>
              <w:t>dystonia</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Chorea, athetosis, </w:t>
            </w:r>
            <w:r>
              <w:rPr>
                <w:color w:val="231F20"/>
                <w:spacing w:val="-2"/>
                <w:sz w:val="15"/>
              </w:rPr>
              <w:t>dystonia,</w:t>
            </w:r>
            <w:r>
              <w:rPr>
                <w:color w:val="231F20"/>
                <w:spacing w:val="-10"/>
                <w:sz w:val="15"/>
              </w:rPr>
              <w:t> </w:t>
            </w:r>
            <w:r>
              <w:rPr>
                <w:color w:val="231F20"/>
                <w:spacing w:val="-2"/>
                <w:sz w:val="15"/>
              </w:rPr>
              <w:t>ballismus</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Chorea, athetosis, </w:t>
            </w:r>
            <w:r>
              <w:rPr>
                <w:color w:val="231F20"/>
                <w:spacing w:val="-2"/>
                <w:sz w:val="15"/>
              </w:rPr>
              <w:t>dystonia,</w:t>
            </w:r>
            <w:r>
              <w:rPr>
                <w:color w:val="231F20"/>
                <w:spacing w:val="-10"/>
                <w:sz w:val="15"/>
              </w:rPr>
              <w:t> </w:t>
            </w:r>
            <w:r>
              <w:rPr>
                <w:color w:val="231F20"/>
                <w:spacing w:val="-2"/>
                <w:sz w:val="15"/>
              </w:rPr>
              <w:t>ballismus</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z w:val="15"/>
              </w:rPr>
              <w:t>Mainly</w:t>
            </w:r>
            <w:r>
              <w:rPr>
                <w:color w:val="231F20"/>
                <w:spacing w:val="7"/>
                <w:sz w:val="15"/>
              </w:rPr>
              <w:t> </w:t>
            </w:r>
            <w:r>
              <w:rPr>
                <w:color w:val="231F20"/>
                <w:sz w:val="15"/>
              </w:rPr>
              <w:t>leg</w:t>
            </w:r>
            <w:r>
              <w:rPr>
                <w:color w:val="231F20"/>
                <w:spacing w:val="7"/>
                <w:sz w:val="15"/>
              </w:rPr>
              <w:t> </w:t>
            </w:r>
            <w:r>
              <w:rPr>
                <w:color w:val="231F20"/>
                <w:spacing w:val="-2"/>
                <w:sz w:val="15"/>
              </w:rPr>
              <w:t>dystonia</w:t>
            </w:r>
          </w:p>
        </w:tc>
        <w:tc>
          <w:tcPr>
            <w:tcW w:w="1475"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Wakes up with </w:t>
            </w:r>
            <w:r>
              <w:rPr>
                <w:color w:val="231F20"/>
                <w:spacing w:val="-2"/>
                <w:sz w:val="15"/>
              </w:rPr>
              <w:t>dystonic</w:t>
            </w:r>
            <w:r>
              <w:rPr>
                <w:color w:val="231F20"/>
                <w:spacing w:val="-10"/>
                <w:sz w:val="15"/>
              </w:rPr>
              <w:t> </w:t>
            </w:r>
            <w:r>
              <w:rPr>
                <w:color w:val="231F20"/>
                <w:spacing w:val="-2"/>
                <w:sz w:val="15"/>
              </w:rPr>
              <w:t>posture</w:t>
            </w:r>
          </w:p>
        </w:tc>
      </w:tr>
      <w:tr>
        <w:trPr>
          <w:trHeight w:val="254"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Usual</w:t>
            </w:r>
            <w:r>
              <w:rPr>
                <w:color w:val="231F20"/>
                <w:spacing w:val="-3"/>
                <w:sz w:val="15"/>
              </w:rPr>
              <w:t> </w:t>
            </w:r>
            <w:r>
              <w:rPr>
                <w:color w:val="231F20"/>
                <w:spacing w:val="-2"/>
                <w:sz w:val="15"/>
              </w:rPr>
              <w:t>duration</w:t>
            </w:r>
          </w:p>
        </w:tc>
        <w:tc>
          <w:tcPr>
            <w:tcW w:w="1740" w:type="dxa"/>
            <w:tcBorders>
              <w:top w:val="single" w:sz="4" w:space="0" w:color="FFFFFF"/>
              <w:bottom w:val="single" w:sz="4" w:space="0" w:color="FFFFFF"/>
            </w:tcBorders>
            <w:shd w:val="clear" w:color="auto" w:fill="E8F5F1"/>
          </w:tcPr>
          <w:p>
            <w:pPr>
              <w:pStyle w:val="TableParagraph"/>
              <w:spacing w:before="43"/>
              <w:ind w:left="184"/>
              <w:rPr>
                <w:sz w:val="15"/>
              </w:rPr>
            </w:pPr>
            <w:r>
              <w:rPr>
                <w:rFonts w:ascii="Cambria"/>
                <w:color w:val="231F20"/>
                <w:sz w:val="15"/>
              </w:rPr>
              <w:t>&lt;</w:t>
            </w:r>
            <w:r>
              <w:rPr>
                <w:color w:val="231F20"/>
                <w:sz w:val="15"/>
              </w:rPr>
              <w:t>1-5</w:t>
            </w:r>
            <w:r>
              <w:rPr>
                <w:color w:val="231F20"/>
                <w:spacing w:val="-10"/>
                <w:sz w:val="15"/>
              </w:rPr>
              <w:t> </w:t>
            </w:r>
            <w:r>
              <w:rPr>
                <w:color w:val="231F20"/>
                <w:spacing w:val="-5"/>
                <w:sz w:val="15"/>
              </w:rPr>
              <w:t>min</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z w:val="15"/>
              </w:rPr>
              <w:t>10</w:t>
            </w:r>
            <w:r>
              <w:rPr>
                <w:color w:val="231F20"/>
                <w:spacing w:val="-3"/>
                <w:sz w:val="15"/>
              </w:rPr>
              <w:t> </w:t>
            </w:r>
            <w:r>
              <w:rPr>
                <w:color w:val="231F20"/>
                <w:sz w:val="15"/>
              </w:rPr>
              <w:t>min</w:t>
            </w:r>
            <w:r>
              <w:rPr>
                <w:color w:val="231F20"/>
                <w:spacing w:val="-2"/>
                <w:sz w:val="15"/>
              </w:rPr>
              <w:t> </w:t>
            </w:r>
            <w:r>
              <w:rPr>
                <w:color w:val="231F20"/>
                <w:sz w:val="15"/>
              </w:rPr>
              <w:t>to</w:t>
            </w:r>
            <w:r>
              <w:rPr>
                <w:color w:val="231F20"/>
                <w:spacing w:val="-2"/>
                <w:sz w:val="15"/>
              </w:rPr>
              <w:t> </w:t>
            </w:r>
            <w:r>
              <w:rPr>
                <w:color w:val="231F20"/>
                <w:sz w:val="15"/>
              </w:rPr>
              <w:t>1</w:t>
            </w:r>
            <w:r>
              <w:rPr>
                <w:color w:val="231F20"/>
                <w:spacing w:val="-2"/>
                <w:sz w:val="15"/>
              </w:rPr>
              <w:t> </w:t>
            </w:r>
            <w:r>
              <w:rPr>
                <w:color w:val="231F20"/>
                <w:spacing w:val="-5"/>
                <w:sz w:val="15"/>
              </w:rPr>
              <w:t>hr</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z w:val="15"/>
              </w:rPr>
              <w:t>10</w:t>
            </w:r>
            <w:r>
              <w:rPr>
                <w:color w:val="231F20"/>
                <w:spacing w:val="-4"/>
                <w:sz w:val="15"/>
              </w:rPr>
              <w:t> </w:t>
            </w:r>
            <w:r>
              <w:rPr>
                <w:color w:val="231F20"/>
                <w:sz w:val="15"/>
              </w:rPr>
              <w:t>min</w:t>
            </w:r>
            <w:r>
              <w:rPr>
                <w:color w:val="231F20"/>
                <w:spacing w:val="-4"/>
                <w:sz w:val="15"/>
              </w:rPr>
              <w:t> </w:t>
            </w:r>
            <w:r>
              <w:rPr>
                <w:color w:val="231F20"/>
                <w:sz w:val="15"/>
              </w:rPr>
              <w:t>to</w:t>
            </w:r>
            <w:r>
              <w:rPr>
                <w:color w:val="231F20"/>
                <w:spacing w:val="-4"/>
                <w:sz w:val="15"/>
              </w:rPr>
              <w:t> </w:t>
            </w:r>
            <w:r>
              <w:rPr>
                <w:color w:val="231F20"/>
                <w:sz w:val="15"/>
              </w:rPr>
              <w:t>2-3</w:t>
            </w:r>
            <w:r>
              <w:rPr>
                <w:color w:val="231F20"/>
                <w:spacing w:val="-4"/>
                <w:sz w:val="15"/>
              </w:rPr>
              <w:t> </w:t>
            </w:r>
            <w:r>
              <w:rPr>
                <w:color w:val="231F20"/>
                <w:spacing w:val="-5"/>
                <w:sz w:val="15"/>
              </w:rPr>
              <w:t>hr</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z w:val="15"/>
              </w:rPr>
              <w:t>10-15</w:t>
            </w:r>
            <w:r>
              <w:rPr>
                <w:color w:val="231F20"/>
                <w:spacing w:val="-11"/>
                <w:sz w:val="15"/>
              </w:rPr>
              <w:t> </w:t>
            </w:r>
            <w:r>
              <w:rPr>
                <w:color w:val="231F20"/>
                <w:spacing w:val="-5"/>
                <w:sz w:val="15"/>
              </w:rPr>
              <w:t>min</w:t>
            </w:r>
          </w:p>
        </w:tc>
        <w:tc>
          <w:tcPr>
            <w:tcW w:w="1475" w:type="dxa"/>
            <w:tcBorders>
              <w:top w:val="single" w:sz="4" w:space="0" w:color="FFFFFF"/>
              <w:bottom w:val="single" w:sz="4" w:space="0" w:color="FFFFFF"/>
            </w:tcBorders>
            <w:shd w:val="clear" w:color="auto" w:fill="E8F5F1"/>
          </w:tcPr>
          <w:p>
            <w:pPr>
              <w:pStyle w:val="TableParagraph"/>
              <w:spacing w:before="43"/>
              <w:ind w:left="184"/>
              <w:rPr>
                <w:sz w:val="15"/>
              </w:rPr>
            </w:pPr>
            <w:r>
              <w:rPr>
                <w:rFonts w:ascii="Cambria"/>
                <w:color w:val="231F20"/>
                <w:sz w:val="15"/>
              </w:rPr>
              <w:t>&lt;</w:t>
            </w:r>
            <w:r>
              <w:rPr>
                <w:color w:val="231F20"/>
                <w:sz w:val="15"/>
              </w:rPr>
              <w:t>1</w:t>
            </w:r>
            <w:r>
              <w:rPr>
                <w:color w:val="231F20"/>
                <w:spacing w:val="-3"/>
                <w:sz w:val="15"/>
              </w:rPr>
              <w:t> </w:t>
            </w:r>
            <w:r>
              <w:rPr>
                <w:color w:val="231F20"/>
                <w:spacing w:val="-5"/>
                <w:sz w:val="15"/>
              </w:rPr>
              <w:t>min</w:t>
            </w:r>
          </w:p>
        </w:tc>
      </w:tr>
      <w:tr>
        <w:trPr>
          <w:trHeight w:val="252"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Frequency</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4"/>
                <w:sz w:val="15"/>
              </w:rPr>
              <w:t>1-</w:t>
            </w:r>
            <w:r>
              <w:rPr>
                <w:color w:val="231F20"/>
                <w:spacing w:val="-2"/>
                <w:sz w:val="15"/>
              </w:rPr>
              <w:t>20/day</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1/week</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1/week</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Unclear</w:t>
            </w:r>
          </w:p>
        </w:tc>
        <w:tc>
          <w:tcPr>
            <w:tcW w:w="1475"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Several/night</w:t>
            </w:r>
          </w:p>
        </w:tc>
      </w:tr>
      <w:tr>
        <w:trPr>
          <w:trHeight w:val="756"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Associations</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296" w:hanging="112"/>
              <w:rPr>
                <w:sz w:val="15"/>
              </w:rPr>
            </w:pPr>
            <w:r>
              <w:rPr>
                <w:color w:val="231F20"/>
                <w:sz w:val="15"/>
              </w:rPr>
              <w:t>Infantile seizures, </w:t>
            </w:r>
            <w:r>
              <w:rPr>
                <w:color w:val="231F20"/>
                <w:spacing w:val="-6"/>
                <w:sz w:val="15"/>
              </w:rPr>
              <w:t>migraine, </w:t>
            </w:r>
            <w:r>
              <w:rPr>
                <w:color w:val="231F20"/>
                <w:spacing w:val="-6"/>
                <w:sz w:val="15"/>
              </w:rPr>
              <w:t>writer’s</w:t>
            </w:r>
            <w:r>
              <w:rPr>
                <w:color w:val="231F20"/>
                <w:sz w:val="15"/>
              </w:rPr>
              <w:t> cramp,</w:t>
            </w:r>
            <w:r>
              <w:rPr>
                <w:color w:val="231F20"/>
                <w:spacing w:val="-6"/>
                <w:sz w:val="15"/>
              </w:rPr>
              <w:t> </w:t>
            </w:r>
            <w:r>
              <w:rPr>
                <w:color w:val="231F20"/>
                <w:sz w:val="15"/>
              </w:rPr>
              <w:t>essential </w:t>
            </w:r>
            <w:r>
              <w:rPr>
                <w:color w:val="231F20"/>
                <w:spacing w:val="-2"/>
                <w:sz w:val="15"/>
              </w:rPr>
              <w:t>tremor</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w w:val="105"/>
                <w:sz w:val="15"/>
              </w:rPr>
              <w:t>Migraine</w:t>
            </w:r>
          </w:p>
        </w:tc>
        <w:tc>
          <w:tcPr>
            <w:tcW w:w="1740"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spacing w:val="-2"/>
                <w:sz w:val="15"/>
              </w:rPr>
              <w:t>Epilepsy</w:t>
            </w:r>
          </w:p>
        </w:tc>
        <w:tc>
          <w:tcPr>
            <w:tcW w:w="1678" w:type="dxa"/>
            <w:tcBorders>
              <w:top w:val="single" w:sz="4" w:space="0" w:color="FFFFFF"/>
              <w:bottom w:val="single" w:sz="4" w:space="0" w:color="FFFFFF"/>
            </w:tcBorders>
            <w:shd w:val="clear" w:color="auto" w:fill="E8F5F1"/>
          </w:tcPr>
          <w:p>
            <w:pPr>
              <w:pStyle w:val="TableParagraph"/>
              <w:spacing w:before="42"/>
              <w:ind w:left="184"/>
              <w:rPr>
                <w:sz w:val="15"/>
              </w:rPr>
            </w:pPr>
            <w:r>
              <w:rPr>
                <w:color w:val="231F20"/>
                <w:w w:val="105"/>
                <w:sz w:val="15"/>
              </w:rPr>
              <w:t>RE-PED-</w:t>
            </w:r>
            <w:r>
              <w:rPr>
                <w:color w:val="231F20"/>
                <w:spacing w:val="-5"/>
                <w:w w:val="105"/>
                <w:sz w:val="15"/>
              </w:rPr>
              <w:t>WC</w:t>
            </w:r>
          </w:p>
        </w:tc>
        <w:tc>
          <w:tcPr>
            <w:tcW w:w="1475"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588" w:hRule="atLeast"/>
        </w:trPr>
        <w:tc>
          <w:tcPr>
            <w:tcW w:w="136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Medication</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184"/>
              <w:rPr>
                <w:sz w:val="15"/>
              </w:rPr>
            </w:pPr>
            <w:r>
              <w:rPr>
                <w:color w:val="231F20"/>
                <w:spacing w:val="-2"/>
                <w:sz w:val="15"/>
              </w:rPr>
              <w:t>Carbamazepine Phenytoin Oxcarbazepine</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184"/>
              <w:rPr>
                <w:sz w:val="15"/>
              </w:rPr>
            </w:pPr>
            <w:r>
              <w:rPr>
                <w:color w:val="231F20"/>
                <w:spacing w:val="-2"/>
                <w:sz w:val="15"/>
              </w:rPr>
              <w:t>Clonazepam Benzodiazepine</w:t>
            </w:r>
          </w:p>
        </w:tc>
        <w:tc>
          <w:tcPr>
            <w:tcW w:w="1740" w:type="dxa"/>
            <w:tcBorders>
              <w:top w:val="single" w:sz="4" w:space="0" w:color="FFFFFF"/>
              <w:bottom w:val="single" w:sz="4" w:space="0" w:color="FFFFFF"/>
            </w:tcBorders>
            <w:shd w:val="clear" w:color="auto" w:fill="E8F5F1"/>
          </w:tcPr>
          <w:p>
            <w:pPr>
              <w:pStyle w:val="TableParagraph"/>
              <w:spacing w:line="230" w:lineRule="auto" w:before="48"/>
              <w:ind w:left="184"/>
              <w:rPr>
                <w:sz w:val="15"/>
              </w:rPr>
            </w:pPr>
            <w:r>
              <w:rPr>
                <w:color w:val="231F20"/>
                <w:spacing w:val="-2"/>
                <w:sz w:val="15"/>
              </w:rPr>
              <w:t>Clonazepam Benzodiazepine</w:t>
            </w:r>
          </w:p>
        </w:tc>
        <w:tc>
          <w:tcPr>
            <w:tcW w:w="1678" w:type="dxa"/>
            <w:tcBorders>
              <w:top w:val="single" w:sz="4" w:space="0" w:color="FFFFFF"/>
              <w:bottom w:val="single" w:sz="4" w:space="0" w:color="FFFFFF"/>
            </w:tcBorders>
            <w:shd w:val="clear" w:color="auto" w:fill="E8F5F1"/>
          </w:tcPr>
          <w:p>
            <w:pPr>
              <w:pStyle w:val="TableParagraph"/>
              <w:spacing w:line="230" w:lineRule="auto" w:before="48"/>
              <w:ind w:left="184" w:right="504"/>
              <w:rPr>
                <w:sz w:val="15"/>
              </w:rPr>
            </w:pPr>
            <w:r>
              <w:rPr>
                <w:color w:val="231F20"/>
                <w:spacing w:val="-2"/>
                <w:sz w:val="15"/>
              </w:rPr>
              <w:t>Acetazolamide </w:t>
            </w:r>
            <w:r>
              <w:rPr>
                <w:color w:val="231F20"/>
                <w:spacing w:val="-2"/>
                <w:w w:val="105"/>
                <w:sz w:val="15"/>
              </w:rPr>
              <w:t>L-DOPA</w:t>
            </w:r>
          </w:p>
        </w:tc>
        <w:tc>
          <w:tcPr>
            <w:tcW w:w="1475" w:type="dxa"/>
            <w:tcBorders>
              <w:top w:val="single" w:sz="4" w:space="0" w:color="FFFFFF"/>
              <w:bottom w:val="single" w:sz="4" w:space="0" w:color="FFFFFF"/>
            </w:tcBorders>
            <w:shd w:val="clear" w:color="auto" w:fill="E8F5F1"/>
          </w:tcPr>
          <w:p>
            <w:pPr>
              <w:pStyle w:val="TableParagraph"/>
              <w:spacing w:line="230" w:lineRule="auto" w:before="48"/>
              <w:ind w:left="184"/>
              <w:rPr>
                <w:sz w:val="15"/>
              </w:rPr>
            </w:pPr>
            <w:r>
              <w:rPr>
                <w:color w:val="231F20"/>
                <w:spacing w:val="-2"/>
                <w:sz w:val="15"/>
              </w:rPr>
              <w:t>Carbamazepine Oxcarbazepine</w:t>
            </w:r>
          </w:p>
        </w:tc>
      </w:tr>
      <w:tr>
        <w:trPr>
          <w:trHeight w:val="415" w:hRule="atLeast"/>
        </w:trPr>
        <w:tc>
          <w:tcPr>
            <w:tcW w:w="1368"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w w:val="105"/>
                <w:sz w:val="15"/>
              </w:rPr>
              <w:t>Prognosis</w:t>
            </w:r>
          </w:p>
        </w:tc>
        <w:tc>
          <w:tcPr>
            <w:tcW w:w="1740" w:type="dxa"/>
            <w:tcBorders>
              <w:top w:val="single" w:sz="4" w:space="0" w:color="FFFFFF"/>
              <w:bottom w:val="single" w:sz="8" w:space="0" w:color="231F20"/>
            </w:tcBorders>
            <w:shd w:val="clear" w:color="auto" w:fill="E8F5F1"/>
          </w:tcPr>
          <w:p>
            <w:pPr>
              <w:pStyle w:val="TableParagraph"/>
              <w:spacing w:before="42"/>
              <w:ind w:left="184"/>
              <w:rPr>
                <w:sz w:val="15"/>
              </w:rPr>
            </w:pPr>
            <w:r>
              <w:rPr>
                <w:color w:val="231F20"/>
                <w:spacing w:val="-2"/>
                <w:sz w:val="15"/>
              </w:rPr>
              <w:t>Excellent</w:t>
            </w:r>
          </w:p>
        </w:tc>
        <w:tc>
          <w:tcPr>
            <w:tcW w:w="1740" w:type="dxa"/>
            <w:tcBorders>
              <w:top w:val="single" w:sz="4" w:space="0" w:color="FFFFFF"/>
              <w:bottom w:val="single" w:sz="8" w:space="0" w:color="231F20"/>
            </w:tcBorders>
            <w:shd w:val="clear" w:color="auto" w:fill="E8F5F1"/>
          </w:tcPr>
          <w:p>
            <w:pPr>
              <w:pStyle w:val="TableParagraph"/>
              <w:spacing w:line="230" w:lineRule="auto" w:before="48"/>
              <w:ind w:left="296" w:right="250" w:hanging="112"/>
              <w:rPr>
                <w:sz w:val="15"/>
              </w:rPr>
            </w:pPr>
            <w:r>
              <w:rPr>
                <w:color w:val="231F20"/>
                <w:spacing w:val="-4"/>
                <w:sz w:val="15"/>
              </w:rPr>
              <w:t>Excellent,</w:t>
            </w:r>
            <w:r>
              <w:rPr>
                <w:color w:val="231F20"/>
                <w:spacing w:val="-8"/>
                <w:sz w:val="15"/>
              </w:rPr>
              <w:t> </w:t>
            </w:r>
            <w:r>
              <w:rPr>
                <w:color w:val="231F20"/>
                <w:spacing w:val="-4"/>
                <w:sz w:val="15"/>
              </w:rPr>
              <w:t>worse </w:t>
            </w:r>
            <w:r>
              <w:rPr>
                <w:color w:val="231F20"/>
                <w:sz w:val="15"/>
              </w:rPr>
              <w:t>than PKD</w:t>
            </w:r>
          </w:p>
        </w:tc>
        <w:tc>
          <w:tcPr>
            <w:tcW w:w="1740" w:type="dxa"/>
            <w:tcBorders>
              <w:top w:val="single" w:sz="4" w:space="0" w:color="FFFFFF"/>
              <w:bottom w:val="single" w:sz="8" w:space="0" w:color="231F20"/>
            </w:tcBorders>
            <w:shd w:val="clear" w:color="auto" w:fill="E8F5F1"/>
          </w:tcPr>
          <w:p>
            <w:pPr>
              <w:pStyle w:val="TableParagraph"/>
              <w:spacing w:line="230" w:lineRule="auto" w:before="48"/>
              <w:ind w:left="296" w:right="250" w:hanging="112"/>
              <w:rPr>
                <w:rFonts w:ascii="Cambria"/>
                <w:sz w:val="15"/>
              </w:rPr>
            </w:pPr>
            <w:r>
              <w:rPr>
                <w:color w:val="231F20"/>
                <w:sz w:val="15"/>
              </w:rPr>
              <w:t>Minimally worse than PNKD </w:t>
            </w:r>
            <w:r>
              <w:rPr>
                <w:color w:val="231F20"/>
                <w:sz w:val="15"/>
              </w:rPr>
              <w:t>MR1</w:t>
            </w:r>
            <w:r>
              <w:rPr>
                <w:rFonts w:ascii="Cambria"/>
                <w:color w:val="231F20"/>
                <w:sz w:val="15"/>
              </w:rPr>
              <w:t>+</w:t>
            </w:r>
          </w:p>
        </w:tc>
        <w:tc>
          <w:tcPr>
            <w:tcW w:w="1678" w:type="dxa"/>
            <w:tcBorders>
              <w:top w:val="single" w:sz="4" w:space="0" w:color="FFFFFF"/>
              <w:bottom w:val="single" w:sz="8" w:space="0" w:color="231F20"/>
            </w:tcBorders>
            <w:shd w:val="clear" w:color="auto" w:fill="E8F5F1"/>
          </w:tcPr>
          <w:p>
            <w:pPr>
              <w:pStyle w:val="TableParagraph"/>
              <w:spacing w:line="230" w:lineRule="auto" w:before="48"/>
              <w:ind w:left="296" w:right="387" w:hanging="112"/>
              <w:rPr>
                <w:sz w:val="15"/>
              </w:rPr>
            </w:pPr>
            <w:r>
              <w:rPr>
                <w:color w:val="231F20"/>
                <w:sz w:val="15"/>
              </w:rPr>
              <w:t>Poor</w:t>
            </w:r>
            <w:r>
              <w:rPr>
                <w:color w:val="231F20"/>
                <w:spacing w:val="-12"/>
                <w:sz w:val="15"/>
              </w:rPr>
              <w:t> </w:t>
            </w:r>
            <w:r>
              <w:rPr>
                <w:color w:val="231F20"/>
                <w:sz w:val="15"/>
              </w:rPr>
              <w:t>medication </w:t>
            </w:r>
            <w:r>
              <w:rPr>
                <w:color w:val="231F20"/>
                <w:spacing w:val="-2"/>
                <w:sz w:val="15"/>
              </w:rPr>
              <w:t>response</w:t>
            </w:r>
          </w:p>
        </w:tc>
        <w:tc>
          <w:tcPr>
            <w:tcW w:w="1475" w:type="dxa"/>
            <w:tcBorders>
              <w:top w:val="single" w:sz="4" w:space="0" w:color="FFFFFF"/>
              <w:bottom w:val="single" w:sz="8" w:space="0" w:color="231F20"/>
            </w:tcBorders>
            <w:shd w:val="clear" w:color="auto" w:fill="E8F5F1"/>
          </w:tcPr>
          <w:p>
            <w:pPr>
              <w:pStyle w:val="TableParagraph"/>
              <w:spacing w:before="42"/>
              <w:ind w:left="184"/>
              <w:rPr>
                <w:sz w:val="15"/>
              </w:rPr>
            </w:pPr>
            <w:r>
              <w:rPr>
                <w:color w:val="231F20"/>
                <w:spacing w:val="-2"/>
                <w:sz w:val="15"/>
              </w:rPr>
              <w:t>Excellent</w:t>
            </w:r>
          </w:p>
        </w:tc>
      </w:tr>
    </w:tbl>
    <w:p>
      <w:pPr>
        <w:pStyle w:val="BodyText"/>
        <w:spacing w:line="237" w:lineRule="auto" w:before="81"/>
        <w:ind w:left="613" w:right="446"/>
      </w:pPr>
      <w:r>
        <w:rPr>
          <w:color w:val="231F20"/>
        </w:rPr>
        <w:t>AD, autosomal-dominant; ADNFLE, autosomal-dominant nocturnal frontal lobe epilepsy; AR, autosomal-recessive; FPC, familial paroxysmal choreoathetosis; MR1</w:t>
      </w:r>
      <w:r>
        <w:rPr>
          <w:rFonts w:ascii="Cambria" w:hAnsi="Cambria"/>
          <w:color w:val="231F20"/>
        </w:rPr>
        <w:t>+</w:t>
      </w:r>
      <w:r>
        <w:rPr>
          <w:color w:val="231F20"/>
        </w:rPr>
        <w:t>,</w:t>
      </w:r>
      <w:r>
        <w:rPr>
          <w:color w:val="231F20"/>
          <w:spacing w:val="40"/>
        </w:rPr>
        <w:t> </w:t>
      </w:r>
      <w:r>
        <w:rPr>
          <w:color w:val="231F20"/>
        </w:rPr>
        <w:t>myofibrillogenesis</w:t>
      </w:r>
      <w:r>
        <w:rPr>
          <w:color w:val="231F20"/>
          <w:spacing w:val="-2"/>
        </w:rPr>
        <w:t> </w:t>
      </w:r>
      <w:r>
        <w:rPr>
          <w:color w:val="231F20"/>
        </w:rPr>
        <w:t>regulator</w:t>
      </w:r>
      <w:r>
        <w:rPr>
          <w:color w:val="231F20"/>
          <w:spacing w:val="-2"/>
        </w:rPr>
        <w:t> </w:t>
      </w:r>
      <w:r>
        <w:rPr>
          <w:color w:val="231F20"/>
        </w:rPr>
        <w:t>1-positive;</w:t>
      </w:r>
      <w:r>
        <w:rPr>
          <w:color w:val="231F20"/>
          <w:spacing w:val="-2"/>
        </w:rPr>
        <w:t> </w:t>
      </w:r>
      <w:r>
        <w:rPr>
          <w:color w:val="231F20"/>
        </w:rPr>
        <w:t>MR1</w:t>
      </w:r>
      <w:r>
        <w:rPr>
          <w:rFonts w:ascii="Cambria" w:hAnsi="Cambria"/>
          <w:color w:val="231F20"/>
        </w:rPr>
        <w:t>−</w:t>
      </w:r>
      <w:r>
        <w:rPr>
          <w:color w:val="231F20"/>
        </w:rPr>
        <w:t>,</w:t>
      </w:r>
      <w:r>
        <w:rPr>
          <w:color w:val="231F20"/>
          <w:spacing w:val="-3"/>
        </w:rPr>
        <w:t> </w:t>
      </w:r>
      <w:r>
        <w:rPr>
          <w:color w:val="231F20"/>
        </w:rPr>
        <w:t>myofibrillogenesis</w:t>
      </w:r>
      <w:r>
        <w:rPr>
          <w:color w:val="231F20"/>
          <w:spacing w:val="-2"/>
        </w:rPr>
        <w:t> </w:t>
      </w:r>
      <w:r>
        <w:rPr>
          <w:color w:val="231F20"/>
        </w:rPr>
        <w:t>regulator</w:t>
      </w:r>
      <w:r>
        <w:rPr>
          <w:color w:val="231F20"/>
          <w:spacing w:val="-2"/>
        </w:rPr>
        <w:t> </w:t>
      </w:r>
      <w:r>
        <w:rPr>
          <w:color w:val="231F20"/>
        </w:rPr>
        <w:t>1-negative;</w:t>
      </w:r>
      <w:r>
        <w:rPr>
          <w:color w:val="231F20"/>
          <w:spacing w:val="-2"/>
        </w:rPr>
        <w:t> </w:t>
      </w:r>
      <w:r>
        <w:rPr>
          <w:color w:val="231F20"/>
        </w:rPr>
        <w:t>PDC,</w:t>
      </w:r>
      <w:r>
        <w:rPr>
          <w:color w:val="231F20"/>
          <w:spacing w:val="-3"/>
        </w:rPr>
        <w:t> </w:t>
      </w:r>
      <w:r>
        <w:rPr>
          <w:color w:val="231F20"/>
        </w:rPr>
        <w:t>paroxysmal</w:t>
      </w:r>
      <w:r>
        <w:rPr>
          <w:color w:val="231F20"/>
          <w:spacing w:val="-2"/>
        </w:rPr>
        <w:t> </w:t>
      </w:r>
      <w:r>
        <w:rPr>
          <w:color w:val="231F20"/>
        </w:rPr>
        <w:t>dystonic</w:t>
      </w:r>
      <w:r>
        <w:rPr>
          <w:color w:val="231F20"/>
          <w:spacing w:val="-2"/>
        </w:rPr>
        <w:t> </w:t>
      </w:r>
      <w:r>
        <w:rPr>
          <w:color w:val="231F20"/>
        </w:rPr>
        <w:t>choreoathetosis;</w:t>
      </w:r>
      <w:r>
        <w:rPr>
          <w:color w:val="231F20"/>
          <w:spacing w:val="-2"/>
        </w:rPr>
        <w:t> </w:t>
      </w:r>
      <w:r>
        <w:rPr>
          <w:color w:val="231F20"/>
        </w:rPr>
        <w:t>PED,</w:t>
      </w:r>
      <w:r>
        <w:rPr>
          <w:color w:val="231F20"/>
          <w:spacing w:val="-3"/>
        </w:rPr>
        <w:t> </w:t>
      </w:r>
      <w:r>
        <w:rPr>
          <w:color w:val="231F20"/>
        </w:rPr>
        <w:t>paroxysmal</w:t>
      </w:r>
      <w:r>
        <w:rPr>
          <w:color w:val="231F20"/>
          <w:spacing w:val="-2"/>
        </w:rPr>
        <w:t> </w:t>
      </w:r>
      <w:r>
        <w:rPr>
          <w:color w:val="231F20"/>
        </w:rPr>
        <w:t>exercise-induced</w:t>
      </w:r>
      <w:r>
        <w:rPr>
          <w:color w:val="231F20"/>
          <w:spacing w:val="40"/>
        </w:rPr>
        <w:t> </w:t>
      </w:r>
      <w:r>
        <w:rPr>
          <w:color w:val="231F20"/>
        </w:rPr>
        <w:t>dyskinesia; PEDt, paroxysmal exercise-induced dystonia; PHD, paroxysmal hypnogenic dyskinesia; PKC, paroxysmal kinesigenic choreoathetosis; PKD, paroxysmal</w:t>
      </w:r>
      <w:r>
        <w:rPr>
          <w:color w:val="231F20"/>
          <w:spacing w:val="40"/>
        </w:rPr>
        <w:t> </w:t>
      </w:r>
      <w:r>
        <w:rPr>
          <w:color w:val="231F20"/>
        </w:rPr>
        <w:t>kinesigenic dyskinesia; PNKD, paroxysmal nonkinesigenic dyskinesia; RE-PED-WC, rolandic epilepsy–paroxysmal exercise-induced dystonia–writer’s cramp.</w:t>
      </w:r>
    </w:p>
    <w:p>
      <w:pPr>
        <w:spacing w:line="147" w:lineRule="exact" w:before="0"/>
        <w:ind w:left="744" w:right="0" w:firstLine="0"/>
        <w:jc w:val="left"/>
        <w:rPr>
          <w:i/>
          <w:sz w:val="13"/>
        </w:rPr>
      </w:pPr>
      <w:r>
        <w:rPr>
          <w:i/>
          <w:color w:val="231F20"/>
          <w:sz w:val="13"/>
        </w:rPr>
        <w:t>From</w:t>
      </w:r>
      <w:r>
        <w:rPr>
          <w:i/>
          <w:color w:val="231F20"/>
          <w:spacing w:val="2"/>
          <w:sz w:val="13"/>
        </w:rPr>
        <w:t> </w:t>
      </w:r>
      <w:r>
        <w:rPr>
          <w:i/>
          <w:color w:val="231F20"/>
          <w:sz w:val="13"/>
        </w:rPr>
        <w:t>Friedman</w:t>
      </w:r>
      <w:r>
        <w:rPr>
          <w:i/>
          <w:color w:val="231F20"/>
          <w:spacing w:val="3"/>
          <w:sz w:val="13"/>
        </w:rPr>
        <w:t> </w:t>
      </w:r>
      <w:r>
        <w:rPr>
          <w:i/>
          <w:color w:val="231F20"/>
          <w:sz w:val="13"/>
        </w:rPr>
        <w:t>NR,</w:t>
      </w:r>
      <w:r>
        <w:rPr>
          <w:i/>
          <w:color w:val="231F20"/>
          <w:spacing w:val="3"/>
          <w:sz w:val="13"/>
        </w:rPr>
        <w:t> </w:t>
      </w:r>
      <w:r>
        <w:rPr>
          <w:i/>
          <w:color w:val="231F20"/>
          <w:sz w:val="13"/>
        </w:rPr>
        <w:t>Ghosh</w:t>
      </w:r>
      <w:r>
        <w:rPr>
          <w:i/>
          <w:color w:val="231F20"/>
          <w:spacing w:val="3"/>
          <w:sz w:val="13"/>
        </w:rPr>
        <w:t> </w:t>
      </w:r>
      <w:r>
        <w:rPr>
          <w:i/>
          <w:color w:val="231F20"/>
          <w:sz w:val="13"/>
        </w:rPr>
        <w:t>D,</w:t>
      </w:r>
      <w:r>
        <w:rPr>
          <w:i/>
          <w:color w:val="231F20"/>
          <w:spacing w:val="3"/>
          <w:sz w:val="13"/>
        </w:rPr>
        <w:t> </w:t>
      </w:r>
      <w:r>
        <w:rPr>
          <w:i/>
          <w:color w:val="231F20"/>
          <w:sz w:val="13"/>
        </w:rPr>
        <w:t>Moodley</w:t>
      </w:r>
      <w:r>
        <w:rPr>
          <w:i/>
          <w:color w:val="231F20"/>
          <w:spacing w:val="3"/>
          <w:sz w:val="13"/>
        </w:rPr>
        <w:t> </w:t>
      </w:r>
      <w:r>
        <w:rPr>
          <w:i/>
          <w:color w:val="231F20"/>
          <w:sz w:val="13"/>
        </w:rPr>
        <w:t>M:</w:t>
      </w:r>
      <w:r>
        <w:rPr>
          <w:i/>
          <w:color w:val="231F20"/>
          <w:spacing w:val="3"/>
          <w:sz w:val="13"/>
        </w:rPr>
        <w:t> </w:t>
      </w:r>
      <w:r>
        <w:rPr>
          <w:i/>
          <w:color w:val="231F20"/>
          <w:sz w:val="13"/>
        </w:rPr>
        <w:t>Syncope</w:t>
      </w:r>
      <w:r>
        <w:rPr>
          <w:i/>
          <w:color w:val="231F20"/>
          <w:spacing w:val="3"/>
          <w:sz w:val="13"/>
        </w:rPr>
        <w:t> </w:t>
      </w:r>
      <w:r>
        <w:rPr>
          <w:i/>
          <w:color w:val="231F20"/>
          <w:sz w:val="13"/>
        </w:rPr>
        <w:t>and</w:t>
      </w:r>
      <w:r>
        <w:rPr>
          <w:i/>
          <w:color w:val="231F20"/>
          <w:spacing w:val="3"/>
          <w:sz w:val="13"/>
        </w:rPr>
        <w:t> </w:t>
      </w:r>
      <w:r>
        <w:rPr>
          <w:i/>
          <w:color w:val="231F20"/>
          <w:sz w:val="13"/>
        </w:rPr>
        <w:t>paroxysmal</w:t>
      </w:r>
      <w:r>
        <w:rPr>
          <w:i/>
          <w:color w:val="231F20"/>
          <w:spacing w:val="3"/>
          <w:sz w:val="13"/>
        </w:rPr>
        <w:t> </w:t>
      </w:r>
      <w:r>
        <w:rPr>
          <w:i/>
          <w:color w:val="231F20"/>
          <w:sz w:val="13"/>
        </w:rPr>
        <w:t>disorders</w:t>
      </w:r>
      <w:r>
        <w:rPr>
          <w:i/>
          <w:color w:val="231F20"/>
          <w:spacing w:val="3"/>
          <w:sz w:val="13"/>
        </w:rPr>
        <w:t> </w:t>
      </w:r>
      <w:r>
        <w:rPr>
          <w:i/>
          <w:color w:val="231F20"/>
          <w:sz w:val="13"/>
        </w:rPr>
        <w:t>other</w:t>
      </w:r>
      <w:r>
        <w:rPr>
          <w:i/>
          <w:color w:val="231F20"/>
          <w:spacing w:val="3"/>
          <w:sz w:val="13"/>
        </w:rPr>
        <w:t> </w:t>
      </w:r>
      <w:r>
        <w:rPr>
          <w:i/>
          <w:color w:val="231F20"/>
          <w:sz w:val="13"/>
        </w:rPr>
        <w:t>than</w:t>
      </w:r>
      <w:r>
        <w:rPr>
          <w:i/>
          <w:color w:val="231F20"/>
          <w:spacing w:val="3"/>
          <w:sz w:val="13"/>
        </w:rPr>
        <w:t> </w:t>
      </w:r>
      <w:r>
        <w:rPr>
          <w:i/>
          <w:color w:val="231F20"/>
          <w:sz w:val="13"/>
        </w:rPr>
        <w:t>epilepsy.</w:t>
      </w:r>
      <w:r>
        <w:rPr>
          <w:i/>
          <w:color w:val="231F20"/>
          <w:spacing w:val="3"/>
          <w:sz w:val="13"/>
        </w:rPr>
        <w:t> </w:t>
      </w:r>
      <w:r>
        <w:rPr>
          <w:i/>
          <w:color w:val="231F20"/>
          <w:sz w:val="13"/>
        </w:rPr>
        <w:t>In</w:t>
      </w:r>
      <w:r>
        <w:rPr>
          <w:i/>
          <w:color w:val="231F20"/>
          <w:spacing w:val="3"/>
          <w:sz w:val="13"/>
        </w:rPr>
        <w:t> </w:t>
      </w:r>
      <w:r>
        <w:rPr>
          <w:i/>
          <w:color w:val="231F20"/>
          <w:sz w:val="13"/>
        </w:rPr>
        <w:t>Swaiman</w:t>
      </w:r>
      <w:r>
        <w:rPr>
          <w:i/>
          <w:color w:val="231F20"/>
          <w:spacing w:val="3"/>
          <w:sz w:val="13"/>
        </w:rPr>
        <w:t> </w:t>
      </w:r>
      <w:r>
        <w:rPr>
          <w:i/>
          <w:color w:val="231F20"/>
          <w:sz w:val="13"/>
        </w:rPr>
        <w:t>KF,</w:t>
      </w:r>
      <w:r>
        <w:rPr>
          <w:i/>
          <w:color w:val="231F20"/>
          <w:spacing w:val="3"/>
          <w:sz w:val="13"/>
        </w:rPr>
        <w:t> </w:t>
      </w:r>
      <w:r>
        <w:rPr>
          <w:i/>
          <w:color w:val="231F20"/>
          <w:sz w:val="13"/>
        </w:rPr>
        <w:t>Ashwal</w:t>
      </w:r>
      <w:r>
        <w:rPr>
          <w:i/>
          <w:color w:val="231F20"/>
          <w:spacing w:val="3"/>
          <w:sz w:val="13"/>
        </w:rPr>
        <w:t> </w:t>
      </w:r>
      <w:r>
        <w:rPr>
          <w:i/>
          <w:color w:val="231F20"/>
          <w:sz w:val="13"/>
        </w:rPr>
        <w:t>S,</w:t>
      </w:r>
      <w:r>
        <w:rPr>
          <w:i/>
          <w:color w:val="231F20"/>
          <w:spacing w:val="3"/>
          <w:sz w:val="13"/>
        </w:rPr>
        <w:t> </w:t>
      </w:r>
      <w:r>
        <w:rPr>
          <w:i/>
          <w:color w:val="231F20"/>
          <w:sz w:val="13"/>
        </w:rPr>
        <w:t>Ferriero</w:t>
      </w:r>
      <w:r>
        <w:rPr>
          <w:i/>
          <w:color w:val="231F20"/>
          <w:spacing w:val="3"/>
          <w:sz w:val="13"/>
        </w:rPr>
        <w:t> </w:t>
      </w:r>
      <w:r>
        <w:rPr>
          <w:i/>
          <w:color w:val="231F20"/>
          <w:sz w:val="13"/>
        </w:rPr>
        <w:t>DM,</w:t>
      </w:r>
      <w:r>
        <w:rPr>
          <w:i/>
          <w:color w:val="231F20"/>
          <w:spacing w:val="3"/>
          <w:sz w:val="13"/>
        </w:rPr>
        <w:t> </w:t>
      </w:r>
      <w:r>
        <w:rPr>
          <w:i/>
          <w:color w:val="231F20"/>
          <w:sz w:val="13"/>
        </w:rPr>
        <w:t>Schor</w:t>
      </w:r>
      <w:r>
        <w:rPr>
          <w:i/>
          <w:color w:val="231F20"/>
          <w:spacing w:val="3"/>
          <w:sz w:val="13"/>
        </w:rPr>
        <w:t> </w:t>
      </w:r>
      <w:r>
        <w:rPr>
          <w:i/>
          <w:color w:val="231F20"/>
          <w:sz w:val="13"/>
        </w:rPr>
        <w:t>NF,</w:t>
      </w:r>
      <w:r>
        <w:rPr>
          <w:i/>
          <w:color w:val="231F20"/>
          <w:spacing w:val="3"/>
          <w:sz w:val="13"/>
        </w:rPr>
        <w:t> </w:t>
      </w:r>
      <w:r>
        <w:rPr>
          <w:i/>
          <w:color w:val="231F20"/>
          <w:spacing w:val="-2"/>
          <w:sz w:val="13"/>
        </w:rPr>
        <w:t>editors:</w:t>
      </w:r>
    </w:p>
    <w:p>
      <w:pPr>
        <w:spacing w:line="150" w:lineRule="exact" w:before="0"/>
        <w:ind w:left="613" w:right="0" w:firstLine="0"/>
        <w:jc w:val="left"/>
        <w:rPr>
          <w:i/>
          <w:sz w:val="13"/>
        </w:rPr>
      </w:pPr>
      <w:r>
        <w:rPr>
          <w:color w:val="231F20"/>
          <w:sz w:val="13"/>
        </w:rPr>
        <w:t>Swaiman’s</w:t>
      </w:r>
      <w:r>
        <w:rPr>
          <w:color w:val="231F20"/>
          <w:spacing w:val="-7"/>
          <w:sz w:val="13"/>
        </w:rPr>
        <w:t> </w:t>
      </w:r>
      <w:r>
        <w:rPr>
          <w:color w:val="231F20"/>
          <w:sz w:val="13"/>
        </w:rPr>
        <w:t>pediatric</w:t>
      </w:r>
      <w:r>
        <w:rPr>
          <w:color w:val="231F20"/>
          <w:spacing w:val="-6"/>
          <w:sz w:val="13"/>
        </w:rPr>
        <w:t> </w:t>
      </w:r>
      <w:r>
        <w:rPr>
          <w:color w:val="231F20"/>
          <w:sz w:val="13"/>
        </w:rPr>
        <w:t>neurology</w:t>
      </w:r>
      <w:r>
        <w:rPr>
          <w:i/>
          <w:color w:val="231F20"/>
          <w:sz w:val="13"/>
        </w:rPr>
        <w:t>,</w:t>
      </w:r>
      <w:r>
        <w:rPr>
          <w:i/>
          <w:color w:val="231F20"/>
          <w:spacing w:val="-6"/>
          <w:sz w:val="13"/>
        </w:rPr>
        <w:t> </w:t>
      </w:r>
      <w:r>
        <w:rPr>
          <w:i/>
          <w:color w:val="231F20"/>
          <w:sz w:val="13"/>
        </w:rPr>
        <w:t>ed</w:t>
      </w:r>
      <w:r>
        <w:rPr>
          <w:i/>
          <w:color w:val="231F20"/>
          <w:spacing w:val="-7"/>
          <w:sz w:val="13"/>
        </w:rPr>
        <w:t> </w:t>
      </w:r>
      <w:r>
        <w:rPr>
          <w:i/>
          <w:color w:val="231F20"/>
          <w:sz w:val="13"/>
        </w:rPr>
        <w:t>5,</w:t>
      </w:r>
      <w:r>
        <w:rPr>
          <w:i/>
          <w:color w:val="231F20"/>
          <w:spacing w:val="-6"/>
          <w:sz w:val="13"/>
        </w:rPr>
        <w:t> </w:t>
      </w:r>
      <w:r>
        <w:rPr>
          <w:i/>
          <w:color w:val="231F20"/>
          <w:sz w:val="13"/>
        </w:rPr>
        <w:t>Philadelphia,</w:t>
      </w:r>
      <w:r>
        <w:rPr>
          <w:i/>
          <w:color w:val="231F20"/>
          <w:spacing w:val="-6"/>
          <w:sz w:val="13"/>
        </w:rPr>
        <w:t> </w:t>
      </w:r>
      <w:r>
        <w:rPr>
          <w:i/>
          <w:color w:val="231F20"/>
          <w:sz w:val="13"/>
        </w:rPr>
        <w:t>2012,</w:t>
      </w:r>
      <w:r>
        <w:rPr>
          <w:i/>
          <w:color w:val="231F20"/>
          <w:spacing w:val="-6"/>
          <w:sz w:val="13"/>
        </w:rPr>
        <w:t> </w:t>
      </w:r>
      <w:r>
        <w:rPr>
          <w:i/>
          <w:color w:val="231F20"/>
          <w:sz w:val="13"/>
        </w:rPr>
        <w:t>WB</w:t>
      </w:r>
      <w:r>
        <w:rPr>
          <w:i/>
          <w:color w:val="231F20"/>
          <w:spacing w:val="-7"/>
          <w:sz w:val="13"/>
        </w:rPr>
        <w:t> </w:t>
      </w:r>
      <w:r>
        <w:rPr>
          <w:i/>
          <w:color w:val="231F20"/>
          <w:sz w:val="13"/>
        </w:rPr>
        <w:t>Saunders,</w:t>
      </w:r>
      <w:r>
        <w:rPr>
          <w:i/>
          <w:color w:val="231F20"/>
          <w:spacing w:val="-6"/>
          <w:sz w:val="13"/>
        </w:rPr>
        <w:t> </w:t>
      </w:r>
      <w:r>
        <w:rPr>
          <w:i/>
          <w:color w:val="231F20"/>
          <w:sz w:val="13"/>
        </w:rPr>
        <w:t>Table</w:t>
      </w:r>
      <w:r>
        <w:rPr>
          <w:i/>
          <w:color w:val="231F20"/>
          <w:spacing w:val="-6"/>
          <w:sz w:val="13"/>
        </w:rPr>
        <w:t> </w:t>
      </w:r>
      <w:r>
        <w:rPr>
          <w:i/>
          <w:color w:val="231F20"/>
          <w:sz w:val="13"/>
        </w:rPr>
        <w:t>65-</w:t>
      </w:r>
      <w:r>
        <w:rPr>
          <w:i/>
          <w:color w:val="231F20"/>
          <w:spacing w:val="-5"/>
          <w:sz w:val="13"/>
        </w:rPr>
        <w:t>1.</w:t>
      </w:r>
    </w:p>
    <w:p>
      <w:pPr>
        <w:spacing w:after="0" w:line="150" w:lineRule="exact"/>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59" name="Group 659"/>
                <wp:cNvGraphicFramePr>
                  <a:graphicFrameLocks/>
                </wp:cNvGraphicFramePr>
                <a:graphic>
                  <a:graphicData uri="http://schemas.microsoft.com/office/word/2010/wordprocessingGroup">
                    <wpg:wgp>
                      <wpg:cNvPr id="659" name="Group 659"/>
                      <wpg:cNvGrpSpPr/>
                      <wpg:grpSpPr>
                        <a:xfrm>
                          <a:off x="0" y="0"/>
                          <a:ext cx="6185535" cy="170815"/>
                          <a:chExt cx="6185535" cy="170815"/>
                        </a:xfrm>
                      </wpg:grpSpPr>
                      <wps:wsp>
                        <wps:cNvPr id="660" name="Graphic 660"/>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61" name="Graphic 661"/>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62" name="Textbox 662"/>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2864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61"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62" filled="false" stroked="false">
                  <v:textbox inset="0,0,0,0">
                    <w:txbxContent>
                      <w:p>
                        <w:pPr>
                          <w:spacing w:before="6"/>
                          <w:ind w:left="-1" w:right="0" w:firstLine="0"/>
                          <w:jc w:val="left"/>
                          <w:rPr>
                            <w:sz w:val="18"/>
                          </w:rPr>
                        </w:pPr>
                        <w:r>
                          <w:rPr>
                            <w:b/>
                            <w:color w:val="231F20"/>
                            <w:w w:val="105"/>
                            <w:sz w:val="18"/>
                          </w:rPr>
                          <w:t>2864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870"/>
        <w:gridCol w:w="4870"/>
      </w:tblGrid>
      <w:tr>
        <w:trPr>
          <w:trHeight w:val="377" w:hRule="exact"/>
        </w:trPr>
        <w:tc>
          <w:tcPr>
            <w:tcW w:w="4870" w:type="dxa"/>
            <w:tcBorders>
              <w:top w:val="nil"/>
              <w:left w:val="nil"/>
              <w:bottom w:val="nil"/>
              <w:right w:val="nil"/>
            </w:tcBorders>
            <w:shd w:val="clear" w:color="auto" w:fill="231F20"/>
          </w:tcPr>
          <w:p>
            <w:pPr>
              <w:pStyle w:val="TableParagraph"/>
              <w:spacing w:before="89"/>
              <w:ind w:left="111"/>
              <w:rPr>
                <w:sz w:val="16"/>
              </w:rPr>
            </w:pPr>
            <w:r>
              <w:rPr>
                <w:b/>
                <w:color w:val="FFFFFF"/>
                <w:w w:val="105"/>
                <w:sz w:val="16"/>
              </w:rPr>
              <w:t>Table</w:t>
            </w:r>
            <w:r>
              <w:rPr>
                <w:b/>
                <w:color w:val="FFFFFF"/>
                <w:spacing w:val="10"/>
                <w:w w:val="105"/>
                <w:sz w:val="16"/>
              </w:rPr>
              <w:t> </w:t>
            </w:r>
            <w:r>
              <w:rPr>
                <w:b/>
                <w:color w:val="FFFFFF"/>
                <w:w w:val="105"/>
                <w:sz w:val="16"/>
              </w:rPr>
              <w:t>595-1</w:t>
            </w:r>
            <w:r>
              <w:rPr>
                <w:b/>
                <w:color w:val="FFFFFF"/>
                <w:spacing w:val="39"/>
                <w:w w:val="105"/>
                <w:sz w:val="16"/>
              </w:rPr>
              <w:t>  </w:t>
            </w:r>
            <w:r>
              <w:rPr>
                <w:color w:val="FFFFFF"/>
                <w:w w:val="105"/>
                <w:sz w:val="16"/>
              </w:rPr>
              <w:t>Classification</w:t>
            </w:r>
            <w:r>
              <w:rPr>
                <w:color w:val="FFFFFF"/>
                <w:spacing w:val="7"/>
                <w:w w:val="105"/>
                <w:sz w:val="16"/>
              </w:rPr>
              <w:t> </w:t>
            </w:r>
            <w:r>
              <w:rPr>
                <w:color w:val="FFFFFF"/>
                <w:w w:val="105"/>
                <w:sz w:val="16"/>
              </w:rPr>
              <w:t>of</w:t>
            </w:r>
            <w:r>
              <w:rPr>
                <w:color w:val="FFFFFF"/>
                <w:spacing w:val="6"/>
                <w:w w:val="105"/>
                <w:sz w:val="16"/>
              </w:rPr>
              <w:t> </w:t>
            </w:r>
            <w:r>
              <w:rPr>
                <w:color w:val="FFFFFF"/>
                <w:w w:val="105"/>
                <w:sz w:val="16"/>
              </w:rPr>
              <w:t>Headaches</w:t>
            </w:r>
            <w:r>
              <w:rPr>
                <w:color w:val="FFFFFF"/>
                <w:spacing w:val="6"/>
                <w:w w:val="105"/>
                <w:sz w:val="16"/>
              </w:rPr>
              <w:t> </w:t>
            </w:r>
            <w:r>
              <w:rPr>
                <w:color w:val="FFFFFF"/>
                <w:w w:val="105"/>
                <w:sz w:val="16"/>
              </w:rPr>
              <w:t>(ICHD-3</w:t>
            </w:r>
            <w:r>
              <w:rPr>
                <w:color w:val="FFFFFF"/>
                <w:spacing w:val="5"/>
                <w:w w:val="105"/>
                <w:sz w:val="16"/>
              </w:rPr>
              <w:t> </w:t>
            </w:r>
            <w:r>
              <w:rPr>
                <w:color w:val="FFFFFF"/>
                <w:w w:val="105"/>
                <w:sz w:val="16"/>
              </w:rPr>
              <w:t>Beta</w:t>
            </w:r>
            <w:r>
              <w:rPr>
                <w:color w:val="FFFFFF"/>
                <w:spacing w:val="-4"/>
                <w:w w:val="105"/>
                <w:sz w:val="16"/>
              </w:rPr>
              <w:t> Code</w:t>
            </w:r>
          </w:p>
        </w:tc>
        <w:tc>
          <w:tcPr>
            <w:tcW w:w="4870" w:type="dxa"/>
            <w:tcBorders>
              <w:top w:val="nil"/>
              <w:left w:val="nil"/>
              <w:right w:val="nil"/>
            </w:tcBorders>
            <w:shd w:val="clear" w:color="auto" w:fill="231F20"/>
          </w:tcPr>
          <w:p>
            <w:pPr>
              <w:pStyle w:val="TableParagraph"/>
              <w:spacing w:before="89"/>
              <w:ind w:left="13"/>
              <w:rPr>
                <w:sz w:val="16"/>
              </w:rPr>
            </w:pPr>
            <w:r>
              <w:rPr>
                <w:color w:val="FFFFFF"/>
                <w:spacing w:val="-2"/>
                <w:w w:val="110"/>
                <w:sz w:val="16"/>
              </w:rPr>
              <w:t>Diagnosis)</w:t>
            </w:r>
          </w:p>
        </w:tc>
      </w:tr>
      <w:tr>
        <w:trPr>
          <w:trHeight w:val="3291" w:hRule="exact"/>
        </w:trPr>
        <w:tc>
          <w:tcPr>
            <w:tcW w:w="4870" w:type="dxa"/>
            <w:tcBorders>
              <w:top w:val="nil"/>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MIGRAINE</w:t>
            </w:r>
          </w:p>
          <w:p>
            <w:pPr>
              <w:pStyle w:val="TableParagraph"/>
              <w:spacing w:line="169" w:lineRule="exact"/>
              <w:ind w:left="74"/>
              <w:rPr>
                <w:sz w:val="15"/>
              </w:rPr>
            </w:pPr>
            <w:r>
              <w:rPr>
                <w:color w:val="231F20"/>
                <w:sz w:val="15"/>
              </w:rPr>
              <w:t>Migraine</w:t>
            </w:r>
            <w:r>
              <w:rPr>
                <w:color w:val="231F20"/>
                <w:spacing w:val="-8"/>
                <w:sz w:val="15"/>
              </w:rPr>
              <w:t> </w:t>
            </w:r>
            <w:r>
              <w:rPr>
                <w:color w:val="231F20"/>
                <w:sz w:val="15"/>
              </w:rPr>
              <w:t>with</w:t>
            </w:r>
            <w:r>
              <w:rPr>
                <w:color w:val="231F20"/>
                <w:spacing w:val="-7"/>
                <w:sz w:val="15"/>
              </w:rPr>
              <w:t> </w:t>
            </w:r>
            <w:r>
              <w:rPr>
                <w:color w:val="231F20"/>
                <w:sz w:val="15"/>
              </w:rPr>
              <w:t>or</w:t>
            </w:r>
            <w:r>
              <w:rPr>
                <w:color w:val="231F20"/>
                <w:spacing w:val="-8"/>
                <w:sz w:val="15"/>
              </w:rPr>
              <w:t> </w:t>
            </w:r>
            <w:r>
              <w:rPr>
                <w:color w:val="231F20"/>
                <w:sz w:val="15"/>
              </w:rPr>
              <w:t>without</w:t>
            </w:r>
            <w:r>
              <w:rPr>
                <w:color w:val="231F20"/>
                <w:spacing w:val="-7"/>
                <w:sz w:val="15"/>
              </w:rPr>
              <w:t> </w:t>
            </w:r>
            <w:r>
              <w:rPr>
                <w:color w:val="231F20"/>
                <w:spacing w:val="-4"/>
                <w:sz w:val="15"/>
              </w:rPr>
              <w:t>aura</w:t>
            </w:r>
          </w:p>
          <w:p>
            <w:pPr>
              <w:pStyle w:val="TableParagraph"/>
              <w:spacing w:line="230" w:lineRule="auto" w:before="3"/>
              <w:ind w:left="74" w:right="895"/>
              <w:rPr>
                <w:sz w:val="15"/>
              </w:rPr>
            </w:pPr>
            <w:r>
              <w:rPr>
                <w:color w:val="231F20"/>
                <w:spacing w:val="-2"/>
                <w:sz w:val="15"/>
              </w:rPr>
              <w:t>Migraine</w:t>
            </w:r>
            <w:r>
              <w:rPr>
                <w:color w:val="231F20"/>
                <w:spacing w:val="-7"/>
                <w:sz w:val="15"/>
              </w:rPr>
              <w:t> </w:t>
            </w:r>
            <w:r>
              <w:rPr>
                <w:color w:val="231F20"/>
                <w:spacing w:val="-2"/>
                <w:sz w:val="15"/>
              </w:rPr>
              <w:t>with</w:t>
            </w:r>
            <w:r>
              <w:rPr>
                <w:color w:val="231F20"/>
                <w:spacing w:val="-7"/>
                <w:sz w:val="15"/>
              </w:rPr>
              <w:t> </w:t>
            </w:r>
            <w:r>
              <w:rPr>
                <w:color w:val="231F20"/>
                <w:spacing w:val="-2"/>
                <w:sz w:val="15"/>
              </w:rPr>
              <w:t>typical</w:t>
            </w:r>
            <w:r>
              <w:rPr>
                <w:color w:val="231F20"/>
                <w:spacing w:val="-7"/>
                <w:sz w:val="15"/>
              </w:rPr>
              <w:t> </w:t>
            </w:r>
            <w:r>
              <w:rPr>
                <w:color w:val="231F20"/>
                <w:spacing w:val="-2"/>
                <w:sz w:val="15"/>
              </w:rPr>
              <w:t>aura</w:t>
            </w:r>
            <w:r>
              <w:rPr>
                <w:color w:val="231F20"/>
                <w:spacing w:val="-7"/>
                <w:sz w:val="15"/>
              </w:rPr>
              <w:t> </w:t>
            </w:r>
            <w:r>
              <w:rPr>
                <w:color w:val="231F20"/>
                <w:spacing w:val="-2"/>
                <w:sz w:val="15"/>
              </w:rPr>
              <w:t>(with</w:t>
            </w:r>
            <w:r>
              <w:rPr>
                <w:color w:val="231F20"/>
                <w:spacing w:val="-7"/>
                <w:sz w:val="15"/>
              </w:rPr>
              <w:t> </w:t>
            </w:r>
            <w:r>
              <w:rPr>
                <w:color w:val="231F20"/>
                <w:spacing w:val="-2"/>
                <w:sz w:val="15"/>
              </w:rPr>
              <w:t>or</w:t>
            </w:r>
            <w:r>
              <w:rPr>
                <w:color w:val="231F20"/>
                <w:spacing w:val="-7"/>
                <w:sz w:val="15"/>
              </w:rPr>
              <w:t> </w:t>
            </w:r>
            <w:r>
              <w:rPr>
                <w:color w:val="231F20"/>
                <w:spacing w:val="-2"/>
                <w:sz w:val="15"/>
              </w:rPr>
              <w:t>without</w:t>
            </w:r>
            <w:r>
              <w:rPr>
                <w:color w:val="231F20"/>
                <w:spacing w:val="-7"/>
                <w:sz w:val="15"/>
              </w:rPr>
              <w:t> </w:t>
            </w:r>
            <w:r>
              <w:rPr>
                <w:color w:val="231F20"/>
                <w:spacing w:val="-2"/>
                <w:sz w:val="15"/>
              </w:rPr>
              <w:t>headache) </w:t>
            </w:r>
            <w:r>
              <w:rPr>
                <w:color w:val="231F20"/>
                <w:sz w:val="15"/>
              </w:rPr>
              <w:t>Migraine with brainstem aura</w:t>
            </w:r>
          </w:p>
          <w:p>
            <w:pPr>
              <w:pStyle w:val="TableParagraph"/>
              <w:spacing w:line="230" w:lineRule="auto" w:before="1"/>
              <w:ind w:left="186" w:right="400" w:hanging="112"/>
              <w:rPr>
                <w:sz w:val="15"/>
              </w:rPr>
            </w:pPr>
            <w:r>
              <w:rPr>
                <w:color w:val="231F20"/>
                <w:sz w:val="15"/>
              </w:rPr>
              <w:t>Hemiplegic</w:t>
            </w:r>
            <w:r>
              <w:rPr>
                <w:color w:val="231F20"/>
                <w:spacing w:val="-12"/>
                <w:sz w:val="15"/>
              </w:rPr>
              <w:t> </w:t>
            </w:r>
            <w:r>
              <w:rPr>
                <w:color w:val="231F20"/>
                <w:sz w:val="15"/>
              </w:rPr>
              <w:t>migraine</w:t>
            </w:r>
            <w:r>
              <w:rPr>
                <w:color w:val="231F20"/>
                <w:spacing w:val="-11"/>
                <w:sz w:val="15"/>
              </w:rPr>
              <w:t> </w:t>
            </w:r>
            <w:r>
              <w:rPr>
                <w:color w:val="231F20"/>
                <w:sz w:val="15"/>
              </w:rPr>
              <w:t>(sporadic</w:t>
            </w:r>
            <w:r>
              <w:rPr>
                <w:color w:val="231F20"/>
                <w:spacing w:val="-11"/>
                <w:sz w:val="15"/>
              </w:rPr>
              <w:t> </w:t>
            </w:r>
            <w:r>
              <w:rPr>
                <w:color w:val="231F20"/>
                <w:sz w:val="15"/>
              </w:rPr>
              <w:t>or</w:t>
            </w:r>
            <w:r>
              <w:rPr>
                <w:color w:val="231F20"/>
                <w:spacing w:val="-12"/>
                <w:sz w:val="15"/>
              </w:rPr>
              <w:t> </w:t>
            </w:r>
            <w:r>
              <w:rPr>
                <w:color w:val="231F20"/>
                <w:sz w:val="15"/>
              </w:rPr>
              <w:t>familial</w:t>
            </w:r>
            <w:r>
              <w:rPr>
                <w:color w:val="231F20"/>
                <w:spacing w:val="-11"/>
                <w:sz w:val="15"/>
              </w:rPr>
              <w:t> </w:t>
            </w:r>
            <w:r>
              <w:rPr>
                <w:color w:val="231F20"/>
                <w:sz w:val="15"/>
              </w:rPr>
              <w:t>types</w:t>
            </w:r>
            <w:r>
              <w:rPr>
                <w:color w:val="231F20"/>
                <w:spacing w:val="-11"/>
                <w:sz w:val="15"/>
              </w:rPr>
              <w:t> </w:t>
            </w:r>
            <w:r>
              <w:rPr>
                <w:color w:val="231F20"/>
                <w:sz w:val="15"/>
              </w:rPr>
              <w:t>1,</w:t>
            </w:r>
            <w:r>
              <w:rPr>
                <w:color w:val="231F20"/>
                <w:spacing w:val="-12"/>
                <w:sz w:val="15"/>
              </w:rPr>
              <w:t> </w:t>
            </w:r>
            <w:r>
              <w:rPr>
                <w:color w:val="231F20"/>
                <w:sz w:val="15"/>
              </w:rPr>
              <w:t>2,</w:t>
            </w:r>
            <w:r>
              <w:rPr>
                <w:color w:val="231F20"/>
                <w:spacing w:val="-11"/>
                <w:sz w:val="15"/>
              </w:rPr>
              <w:t> </w:t>
            </w:r>
            <w:r>
              <w:rPr>
                <w:color w:val="231F20"/>
                <w:sz w:val="15"/>
              </w:rPr>
              <w:t>3,</w:t>
            </w:r>
            <w:r>
              <w:rPr>
                <w:color w:val="231F20"/>
                <w:spacing w:val="-11"/>
                <w:sz w:val="15"/>
              </w:rPr>
              <w:t> </w:t>
            </w:r>
            <w:r>
              <w:rPr>
                <w:color w:val="231F20"/>
                <w:sz w:val="15"/>
              </w:rPr>
              <w:t>or</w:t>
            </w:r>
            <w:r>
              <w:rPr>
                <w:color w:val="231F20"/>
                <w:spacing w:val="-11"/>
                <w:sz w:val="15"/>
              </w:rPr>
              <w:t> </w:t>
            </w:r>
            <w:r>
              <w:rPr>
                <w:color w:val="231F20"/>
                <w:sz w:val="15"/>
              </w:rPr>
              <w:t>other genetic loci)</w:t>
            </w:r>
          </w:p>
          <w:p>
            <w:pPr>
              <w:pStyle w:val="TableParagraph"/>
              <w:spacing w:line="230" w:lineRule="auto" w:before="2"/>
              <w:ind w:left="74" w:right="3640"/>
              <w:rPr>
                <w:sz w:val="15"/>
              </w:rPr>
            </w:pPr>
            <w:r>
              <w:rPr>
                <w:color w:val="231F20"/>
                <w:sz w:val="15"/>
              </w:rPr>
              <w:t>Retinal migraine Chronic</w:t>
            </w:r>
            <w:r>
              <w:rPr>
                <w:color w:val="231F20"/>
                <w:spacing w:val="6"/>
                <w:sz w:val="15"/>
              </w:rPr>
              <w:t> </w:t>
            </w:r>
            <w:r>
              <w:rPr>
                <w:color w:val="231F20"/>
                <w:spacing w:val="-2"/>
                <w:sz w:val="15"/>
              </w:rPr>
              <w:t>migraine</w:t>
            </w:r>
          </w:p>
          <w:p>
            <w:pPr>
              <w:pStyle w:val="TableParagraph"/>
              <w:spacing w:line="186" w:lineRule="exact"/>
              <w:ind w:left="74"/>
              <w:rPr>
                <w:rFonts w:ascii="Lucida Sans Unicode"/>
                <w:sz w:val="15"/>
              </w:rPr>
            </w:pPr>
            <w:r>
              <w:rPr>
                <w:rFonts w:ascii="Lucida Sans Unicode"/>
                <w:color w:val="231F20"/>
                <w:w w:val="90"/>
                <w:sz w:val="15"/>
              </w:rPr>
              <w:t>Complications</w:t>
            </w:r>
            <w:r>
              <w:rPr>
                <w:rFonts w:ascii="Lucida Sans Unicode"/>
                <w:color w:val="231F20"/>
                <w:spacing w:val="14"/>
                <w:sz w:val="15"/>
              </w:rPr>
              <w:t> </w:t>
            </w:r>
            <w:r>
              <w:rPr>
                <w:rFonts w:ascii="Lucida Sans Unicode"/>
                <w:color w:val="231F20"/>
                <w:w w:val="90"/>
                <w:sz w:val="15"/>
              </w:rPr>
              <w:t>of</w:t>
            </w:r>
            <w:r>
              <w:rPr>
                <w:rFonts w:ascii="Lucida Sans Unicode"/>
                <w:color w:val="231F20"/>
                <w:spacing w:val="15"/>
                <w:sz w:val="15"/>
              </w:rPr>
              <w:t> </w:t>
            </w:r>
            <w:r>
              <w:rPr>
                <w:rFonts w:ascii="Lucida Sans Unicode"/>
                <w:color w:val="231F20"/>
                <w:spacing w:val="-2"/>
                <w:w w:val="90"/>
                <w:sz w:val="15"/>
              </w:rPr>
              <w:t>Migraine</w:t>
            </w:r>
          </w:p>
          <w:p>
            <w:pPr>
              <w:pStyle w:val="TableParagraph"/>
              <w:spacing w:line="152" w:lineRule="exact"/>
              <w:ind w:left="74"/>
              <w:rPr>
                <w:sz w:val="15"/>
              </w:rPr>
            </w:pPr>
            <w:r>
              <w:rPr>
                <w:color w:val="231F20"/>
                <w:sz w:val="15"/>
              </w:rPr>
              <w:t>Status</w:t>
            </w:r>
            <w:r>
              <w:rPr>
                <w:color w:val="231F20"/>
                <w:spacing w:val="-8"/>
                <w:sz w:val="15"/>
              </w:rPr>
              <w:t> </w:t>
            </w:r>
            <w:r>
              <w:rPr>
                <w:color w:val="231F20"/>
                <w:spacing w:val="-2"/>
                <w:sz w:val="15"/>
              </w:rPr>
              <w:t>migrainosus</w:t>
            </w:r>
          </w:p>
          <w:p>
            <w:pPr>
              <w:pStyle w:val="TableParagraph"/>
              <w:spacing w:line="230" w:lineRule="auto" w:before="2"/>
              <w:ind w:left="74" w:right="2197"/>
              <w:rPr>
                <w:sz w:val="15"/>
              </w:rPr>
            </w:pPr>
            <w:r>
              <w:rPr>
                <w:color w:val="231F20"/>
                <w:spacing w:val="-4"/>
                <w:sz w:val="15"/>
              </w:rPr>
              <w:t>Persistent aura without </w:t>
            </w:r>
            <w:r>
              <w:rPr>
                <w:color w:val="231F20"/>
                <w:spacing w:val="-4"/>
                <w:sz w:val="15"/>
              </w:rPr>
              <w:t>infarction </w:t>
            </w:r>
            <w:r>
              <w:rPr>
                <w:color w:val="231F20"/>
                <w:sz w:val="15"/>
              </w:rPr>
              <w:t>Migrainous infarction</w:t>
            </w:r>
          </w:p>
          <w:p>
            <w:pPr>
              <w:pStyle w:val="TableParagraph"/>
              <w:spacing w:line="156" w:lineRule="exact"/>
              <w:ind w:left="74"/>
              <w:rPr>
                <w:sz w:val="15"/>
              </w:rPr>
            </w:pPr>
            <w:r>
              <w:rPr>
                <w:color w:val="231F20"/>
                <w:sz w:val="15"/>
              </w:rPr>
              <w:t>Migraine</w:t>
            </w:r>
            <w:r>
              <w:rPr>
                <w:color w:val="231F20"/>
                <w:spacing w:val="4"/>
                <w:sz w:val="15"/>
              </w:rPr>
              <w:t> </w:t>
            </w:r>
            <w:r>
              <w:rPr>
                <w:color w:val="231F20"/>
                <w:sz w:val="15"/>
              </w:rPr>
              <w:t>aura-triggered</w:t>
            </w:r>
            <w:r>
              <w:rPr>
                <w:color w:val="231F20"/>
                <w:spacing w:val="5"/>
                <w:sz w:val="15"/>
              </w:rPr>
              <w:t> </w:t>
            </w:r>
            <w:r>
              <w:rPr>
                <w:color w:val="231F20"/>
                <w:spacing w:val="-2"/>
                <w:sz w:val="15"/>
              </w:rPr>
              <w:t>seizure</w:t>
            </w:r>
          </w:p>
          <w:p>
            <w:pPr>
              <w:pStyle w:val="TableParagraph"/>
              <w:spacing w:line="198" w:lineRule="exact"/>
              <w:ind w:left="74"/>
              <w:rPr>
                <w:rFonts w:ascii="Lucida Sans Unicode"/>
                <w:sz w:val="15"/>
              </w:rPr>
            </w:pPr>
            <w:r>
              <w:rPr>
                <w:rFonts w:ascii="Lucida Sans Unicode"/>
                <w:color w:val="231F20"/>
                <w:spacing w:val="-4"/>
                <w:sz w:val="15"/>
              </w:rPr>
              <w:t>Episodic</w:t>
            </w:r>
            <w:r>
              <w:rPr>
                <w:rFonts w:ascii="Lucida Sans Unicode"/>
                <w:color w:val="231F20"/>
                <w:spacing w:val="-2"/>
                <w:sz w:val="15"/>
              </w:rPr>
              <w:t> </w:t>
            </w:r>
            <w:r>
              <w:rPr>
                <w:rFonts w:ascii="Lucida Sans Unicode"/>
                <w:color w:val="231F20"/>
                <w:spacing w:val="-4"/>
                <w:sz w:val="15"/>
              </w:rPr>
              <w:t>Syndromes</w:t>
            </w:r>
            <w:r>
              <w:rPr>
                <w:rFonts w:ascii="Lucida Sans Unicode"/>
                <w:color w:val="231F20"/>
                <w:sz w:val="15"/>
              </w:rPr>
              <w:t> </w:t>
            </w:r>
            <w:r>
              <w:rPr>
                <w:rFonts w:ascii="Lucida Sans Unicode"/>
                <w:color w:val="231F20"/>
                <w:spacing w:val="-4"/>
                <w:sz w:val="15"/>
              </w:rPr>
              <w:t>That</w:t>
            </w:r>
            <w:r>
              <w:rPr>
                <w:rFonts w:ascii="Lucida Sans Unicode"/>
                <w:color w:val="231F20"/>
                <w:sz w:val="15"/>
              </w:rPr>
              <w:t> </w:t>
            </w:r>
            <w:r>
              <w:rPr>
                <w:rFonts w:ascii="Lucida Sans Unicode"/>
                <w:color w:val="231F20"/>
                <w:spacing w:val="-4"/>
                <w:sz w:val="15"/>
              </w:rPr>
              <w:t>May</w:t>
            </w:r>
            <w:r>
              <w:rPr>
                <w:rFonts w:ascii="Lucida Sans Unicode"/>
                <w:color w:val="231F20"/>
                <w:spacing w:val="1"/>
                <w:sz w:val="15"/>
              </w:rPr>
              <w:t> </w:t>
            </w:r>
            <w:r>
              <w:rPr>
                <w:rFonts w:ascii="Lucida Sans Unicode"/>
                <w:color w:val="231F20"/>
                <w:spacing w:val="-4"/>
                <w:sz w:val="15"/>
              </w:rPr>
              <w:t>Be</w:t>
            </w:r>
            <w:r>
              <w:rPr>
                <w:rFonts w:ascii="Lucida Sans Unicode"/>
                <w:color w:val="231F20"/>
                <w:sz w:val="15"/>
              </w:rPr>
              <w:t> </w:t>
            </w:r>
            <w:r>
              <w:rPr>
                <w:rFonts w:ascii="Lucida Sans Unicode"/>
                <w:color w:val="231F20"/>
                <w:spacing w:val="-4"/>
                <w:sz w:val="15"/>
              </w:rPr>
              <w:t>Associated</w:t>
            </w:r>
            <w:r>
              <w:rPr>
                <w:rFonts w:ascii="Lucida Sans Unicode"/>
                <w:color w:val="231F20"/>
                <w:sz w:val="15"/>
              </w:rPr>
              <w:t> </w:t>
            </w:r>
            <w:r>
              <w:rPr>
                <w:rFonts w:ascii="Lucida Sans Unicode"/>
                <w:color w:val="231F20"/>
                <w:spacing w:val="-4"/>
                <w:sz w:val="15"/>
              </w:rPr>
              <w:t>with</w:t>
            </w:r>
            <w:r>
              <w:rPr>
                <w:rFonts w:ascii="Lucida Sans Unicode"/>
                <w:color w:val="231F20"/>
                <w:spacing w:val="1"/>
                <w:sz w:val="15"/>
              </w:rPr>
              <w:t> </w:t>
            </w:r>
            <w:r>
              <w:rPr>
                <w:rFonts w:ascii="Lucida Sans Unicode"/>
                <w:color w:val="231F20"/>
                <w:spacing w:val="-4"/>
                <w:sz w:val="15"/>
              </w:rPr>
              <w:t>Migraine</w:t>
            </w:r>
          </w:p>
          <w:p>
            <w:pPr>
              <w:pStyle w:val="TableParagraph"/>
              <w:spacing w:line="152" w:lineRule="exact"/>
              <w:ind w:left="74"/>
              <w:rPr>
                <w:sz w:val="15"/>
              </w:rPr>
            </w:pPr>
            <w:r>
              <w:rPr>
                <w:color w:val="231F20"/>
                <w:spacing w:val="-2"/>
                <w:sz w:val="15"/>
              </w:rPr>
              <w:t>Recurrent</w:t>
            </w:r>
            <w:r>
              <w:rPr>
                <w:color w:val="231F20"/>
                <w:spacing w:val="-3"/>
                <w:sz w:val="15"/>
              </w:rPr>
              <w:t> </w:t>
            </w:r>
            <w:r>
              <w:rPr>
                <w:color w:val="231F20"/>
                <w:spacing w:val="-2"/>
                <w:sz w:val="15"/>
              </w:rPr>
              <w:t>gastrointestinal</w:t>
            </w:r>
            <w:r>
              <w:rPr>
                <w:color w:val="231F20"/>
                <w:spacing w:val="-4"/>
                <w:sz w:val="15"/>
              </w:rPr>
              <w:t> </w:t>
            </w:r>
            <w:r>
              <w:rPr>
                <w:color w:val="231F20"/>
                <w:spacing w:val="-2"/>
                <w:sz w:val="15"/>
              </w:rPr>
              <w:t>disturbance</w:t>
            </w:r>
          </w:p>
          <w:p>
            <w:pPr>
              <w:pStyle w:val="TableParagraph"/>
              <w:spacing w:line="230" w:lineRule="auto" w:before="3"/>
              <w:ind w:left="74" w:right="2956"/>
              <w:rPr>
                <w:sz w:val="15"/>
              </w:rPr>
            </w:pPr>
            <w:r>
              <w:rPr>
                <w:color w:val="231F20"/>
                <w:sz w:val="15"/>
              </w:rPr>
              <w:t>Cyclical</w:t>
            </w:r>
            <w:r>
              <w:rPr>
                <w:color w:val="231F20"/>
                <w:spacing w:val="-12"/>
                <w:sz w:val="15"/>
              </w:rPr>
              <w:t> </w:t>
            </w:r>
            <w:r>
              <w:rPr>
                <w:color w:val="231F20"/>
                <w:sz w:val="15"/>
              </w:rPr>
              <w:t>vomiting</w:t>
            </w:r>
            <w:r>
              <w:rPr>
                <w:color w:val="231F20"/>
                <w:spacing w:val="-11"/>
                <w:sz w:val="15"/>
              </w:rPr>
              <w:t> </w:t>
            </w:r>
            <w:r>
              <w:rPr>
                <w:color w:val="231F20"/>
                <w:sz w:val="15"/>
              </w:rPr>
              <w:t>syndrome Abdominal migraine</w:t>
            </w:r>
            <w:r>
              <w:rPr>
                <w:color w:val="231F20"/>
                <w:spacing w:val="80"/>
                <w:sz w:val="15"/>
              </w:rPr>
              <w:t> </w:t>
            </w:r>
            <w:r>
              <w:rPr>
                <w:color w:val="231F20"/>
                <w:sz w:val="15"/>
              </w:rPr>
              <w:t>Benign paroxysmal vertigo</w:t>
            </w:r>
          </w:p>
          <w:p>
            <w:pPr>
              <w:pStyle w:val="TableParagraph"/>
              <w:spacing w:line="171" w:lineRule="exact"/>
              <w:ind w:left="74"/>
              <w:rPr>
                <w:sz w:val="15"/>
              </w:rPr>
            </w:pPr>
            <w:r>
              <w:rPr>
                <w:color w:val="231F20"/>
                <w:sz w:val="15"/>
              </w:rPr>
              <w:t>Benign</w:t>
            </w:r>
            <w:r>
              <w:rPr>
                <w:color w:val="231F20"/>
                <w:spacing w:val="6"/>
                <w:sz w:val="15"/>
              </w:rPr>
              <w:t> </w:t>
            </w:r>
            <w:r>
              <w:rPr>
                <w:color w:val="231F20"/>
                <w:sz w:val="15"/>
              </w:rPr>
              <w:t>paroxysmal</w:t>
            </w:r>
            <w:r>
              <w:rPr>
                <w:color w:val="231F20"/>
                <w:spacing w:val="6"/>
                <w:sz w:val="15"/>
              </w:rPr>
              <w:t> </w:t>
            </w:r>
            <w:r>
              <w:rPr>
                <w:color w:val="231F20"/>
                <w:spacing w:val="-2"/>
                <w:sz w:val="15"/>
              </w:rPr>
              <w:t>torticollis</w:t>
            </w:r>
          </w:p>
        </w:tc>
        <w:tc>
          <w:tcPr>
            <w:tcW w:w="4870" w:type="dxa"/>
            <w:vMerge w:val="restart"/>
            <w:tcBorders>
              <w:left w:val="single" w:sz="4" w:space="0" w:color="231F20"/>
              <w:right w:val="nil"/>
            </w:tcBorders>
            <w:shd w:val="clear" w:color="auto" w:fill="E8F5F1"/>
          </w:tcPr>
          <w:p>
            <w:pPr>
              <w:pStyle w:val="TableParagraph"/>
              <w:spacing w:line="230" w:lineRule="auto" w:before="48"/>
              <w:ind w:left="69" w:right="895"/>
              <w:rPr>
                <w:sz w:val="15"/>
              </w:rPr>
            </w:pPr>
            <w:r>
              <w:rPr>
                <w:color w:val="231F20"/>
                <w:w w:val="110"/>
                <w:sz w:val="15"/>
              </w:rPr>
              <w:t>HEADACHE ATTRIBUTED TO CRANIAL OR </w:t>
            </w:r>
            <w:r>
              <w:rPr>
                <w:color w:val="231F20"/>
                <w:w w:val="110"/>
                <w:sz w:val="15"/>
              </w:rPr>
              <w:t>CERVICAL VASCULAR DISORDER</w:t>
            </w:r>
          </w:p>
          <w:p>
            <w:pPr>
              <w:pStyle w:val="TableParagraph"/>
              <w:spacing w:line="230" w:lineRule="auto" w:before="3"/>
              <w:ind w:left="69"/>
              <w:rPr>
                <w:sz w:val="15"/>
              </w:rPr>
            </w:pPr>
            <w:r>
              <w:rPr>
                <w:color w:val="231F20"/>
                <w:sz w:val="15"/>
              </w:rPr>
              <w:t>Headache attributed to ischemic stroke or transient ischemic attack Headache attributed to nontraumatic intracerebral hemorrhage Headache</w:t>
            </w:r>
            <w:r>
              <w:rPr>
                <w:color w:val="231F20"/>
                <w:spacing w:val="-8"/>
                <w:sz w:val="15"/>
              </w:rPr>
              <w:t> </w:t>
            </w:r>
            <w:r>
              <w:rPr>
                <w:color w:val="231F20"/>
                <w:sz w:val="15"/>
              </w:rPr>
              <w:t>attributed</w:t>
            </w:r>
            <w:r>
              <w:rPr>
                <w:color w:val="231F20"/>
                <w:spacing w:val="-8"/>
                <w:sz w:val="15"/>
              </w:rPr>
              <w:t> </w:t>
            </w:r>
            <w:r>
              <w:rPr>
                <w:color w:val="231F20"/>
                <w:sz w:val="15"/>
              </w:rPr>
              <w:t>to</w:t>
            </w:r>
            <w:r>
              <w:rPr>
                <w:color w:val="231F20"/>
                <w:spacing w:val="-8"/>
                <w:sz w:val="15"/>
              </w:rPr>
              <w:t> </w:t>
            </w:r>
            <w:r>
              <w:rPr>
                <w:color w:val="231F20"/>
                <w:sz w:val="15"/>
              </w:rPr>
              <w:t>nontraumatic</w:t>
            </w:r>
            <w:r>
              <w:rPr>
                <w:color w:val="231F20"/>
                <w:spacing w:val="-8"/>
                <w:sz w:val="15"/>
              </w:rPr>
              <w:t> </w:t>
            </w:r>
            <w:r>
              <w:rPr>
                <w:color w:val="231F20"/>
                <w:sz w:val="15"/>
              </w:rPr>
              <w:t>subarachnoid</w:t>
            </w:r>
            <w:r>
              <w:rPr>
                <w:color w:val="231F20"/>
                <w:spacing w:val="-8"/>
                <w:sz w:val="15"/>
              </w:rPr>
              <w:t> </w:t>
            </w:r>
            <w:r>
              <w:rPr>
                <w:color w:val="231F20"/>
                <w:sz w:val="15"/>
              </w:rPr>
              <w:t>hemorrhage</w:t>
            </w:r>
            <w:r>
              <w:rPr>
                <w:color w:val="231F20"/>
                <w:spacing w:val="-8"/>
                <w:sz w:val="15"/>
              </w:rPr>
              <w:t> </w:t>
            </w:r>
            <w:r>
              <w:rPr>
                <w:color w:val="231F20"/>
                <w:sz w:val="15"/>
              </w:rPr>
              <w:t>(SAH)</w:t>
            </w:r>
          </w:p>
          <w:p>
            <w:pPr>
              <w:pStyle w:val="TableParagraph"/>
              <w:spacing w:line="230" w:lineRule="auto" w:before="3"/>
              <w:ind w:left="181" w:right="400" w:hanging="112"/>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nontraumatic</w:t>
            </w:r>
            <w:r>
              <w:rPr>
                <w:color w:val="231F20"/>
                <w:spacing w:val="-11"/>
                <w:sz w:val="15"/>
              </w:rPr>
              <w:t> </w:t>
            </w:r>
            <w:r>
              <w:rPr>
                <w:color w:val="231F20"/>
                <w:sz w:val="15"/>
              </w:rPr>
              <w:t>acute</w:t>
            </w:r>
            <w:r>
              <w:rPr>
                <w:color w:val="231F20"/>
                <w:spacing w:val="-12"/>
                <w:sz w:val="15"/>
              </w:rPr>
              <w:t> </w:t>
            </w:r>
            <w:r>
              <w:rPr>
                <w:color w:val="231F20"/>
                <w:sz w:val="15"/>
              </w:rPr>
              <w:t>subdural</w:t>
            </w:r>
            <w:r>
              <w:rPr>
                <w:color w:val="231F20"/>
                <w:spacing w:val="-11"/>
                <w:sz w:val="15"/>
              </w:rPr>
              <w:t> </w:t>
            </w:r>
            <w:r>
              <w:rPr>
                <w:color w:val="231F20"/>
                <w:sz w:val="15"/>
              </w:rPr>
              <w:t>hemorrhage </w:t>
            </w:r>
            <w:r>
              <w:rPr>
                <w:color w:val="231F20"/>
                <w:spacing w:val="-2"/>
                <w:sz w:val="15"/>
              </w:rPr>
              <w:t>(ASDH)</w:t>
            </w:r>
          </w:p>
          <w:p>
            <w:pPr>
              <w:pStyle w:val="TableParagraph"/>
              <w:spacing w:line="230" w:lineRule="auto" w:before="1"/>
              <w:ind w:left="69" w:right="895"/>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unruptured</w:t>
            </w:r>
            <w:r>
              <w:rPr>
                <w:color w:val="231F20"/>
                <w:spacing w:val="-12"/>
                <w:sz w:val="15"/>
              </w:rPr>
              <w:t> </w:t>
            </w:r>
            <w:r>
              <w:rPr>
                <w:color w:val="231F20"/>
                <w:sz w:val="15"/>
              </w:rPr>
              <w:t>vascular</w:t>
            </w:r>
            <w:r>
              <w:rPr>
                <w:color w:val="231F20"/>
                <w:spacing w:val="-11"/>
                <w:sz w:val="15"/>
              </w:rPr>
              <w:t> </w:t>
            </w:r>
            <w:r>
              <w:rPr>
                <w:color w:val="231F20"/>
                <w:sz w:val="15"/>
              </w:rPr>
              <w:t>malformation Headache attributed to unruptured saccular aneurysm 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arteriovenous</w:t>
            </w:r>
            <w:r>
              <w:rPr>
                <w:color w:val="231F20"/>
                <w:spacing w:val="-12"/>
                <w:sz w:val="15"/>
              </w:rPr>
              <w:t> </w:t>
            </w:r>
            <w:r>
              <w:rPr>
                <w:color w:val="231F20"/>
                <w:sz w:val="15"/>
              </w:rPr>
              <w:t>malformation</w:t>
            </w:r>
            <w:r>
              <w:rPr>
                <w:color w:val="231F20"/>
                <w:spacing w:val="-11"/>
                <w:sz w:val="15"/>
              </w:rPr>
              <w:t> </w:t>
            </w:r>
            <w:r>
              <w:rPr>
                <w:color w:val="231F20"/>
                <w:sz w:val="15"/>
              </w:rPr>
              <w:t>(AVM) Headache</w:t>
            </w:r>
            <w:r>
              <w:rPr>
                <w:color w:val="231F20"/>
                <w:spacing w:val="-8"/>
                <w:sz w:val="15"/>
              </w:rPr>
              <w:t> </w:t>
            </w:r>
            <w:r>
              <w:rPr>
                <w:color w:val="231F20"/>
                <w:sz w:val="15"/>
              </w:rPr>
              <w:t>attributed</w:t>
            </w:r>
            <w:r>
              <w:rPr>
                <w:color w:val="231F20"/>
                <w:spacing w:val="-8"/>
                <w:sz w:val="15"/>
              </w:rPr>
              <w:t> </w:t>
            </w:r>
            <w:r>
              <w:rPr>
                <w:color w:val="231F20"/>
                <w:sz w:val="15"/>
              </w:rPr>
              <w:t>to</w:t>
            </w:r>
            <w:r>
              <w:rPr>
                <w:color w:val="231F20"/>
                <w:spacing w:val="-8"/>
                <w:sz w:val="15"/>
              </w:rPr>
              <w:t> </w:t>
            </w:r>
            <w:r>
              <w:rPr>
                <w:color w:val="231F20"/>
                <w:sz w:val="15"/>
              </w:rPr>
              <w:t>dural</w:t>
            </w:r>
            <w:r>
              <w:rPr>
                <w:color w:val="231F20"/>
                <w:spacing w:val="-8"/>
                <w:sz w:val="15"/>
              </w:rPr>
              <w:t> </w:t>
            </w:r>
            <w:r>
              <w:rPr>
                <w:color w:val="231F20"/>
                <w:sz w:val="15"/>
              </w:rPr>
              <w:t>arteriovenous</w:t>
            </w:r>
            <w:r>
              <w:rPr>
                <w:color w:val="231F20"/>
                <w:spacing w:val="-8"/>
                <w:sz w:val="15"/>
              </w:rPr>
              <w:t> </w:t>
            </w:r>
            <w:r>
              <w:rPr>
                <w:color w:val="231F20"/>
                <w:sz w:val="15"/>
              </w:rPr>
              <w:t>fistula</w:t>
            </w:r>
            <w:r>
              <w:rPr>
                <w:color w:val="231F20"/>
                <w:spacing w:val="-8"/>
                <w:sz w:val="15"/>
              </w:rPr>
              <w:t> </w:t>
            </w:r>
            <w:r>
              <w:rPr>
                <w:color w:val="231F20"/>
                <w:sz w:val="15"/>
              </w:rPr>
              <w:t>(DAVF) Headache attributed to cavernous angioma</w:t>
            </w:r>
          </w:p>
          <w:p>
            <w:pPr>
              <w:pStyle w:val="TableParagraph"/>
              <w:spacing w:line="230" w:lineRule="auto" w:before="4"/>
              <w:ind w:left="181" w:hanging="112"/>
              <w:rPr>
                <w:sz w:val="15"/>
              </w:rPr>
            </w:pPr>
            <w:r>
              <w:rPr>
                <w:color w:val="231F20"/>
                <w:sz w:val="15"/>
              </w:rPr>
              <w:t>Headache</w:t>
            </w:r>
            <w:r>
              <w:rPr>
                <w:color w:val="231F20"/>
                <w:spacing w:val="-11"/>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encephalotrigeminal</w:t>
            </w:r>
            <w:r>
              <w:rPr>
                <w:color w:val="231F20"/>
                <w:spacing w:val="-11"/>
                <w:sz w:val="15"/>
              </w:rPr>
              <w:t> </w:t>
            </w:r>
            <w:r>
              <w:rPr>
                <w:color w:val="231F20"/>
                <w:sz w:val="15"/>
              </w:rPr>
              <w:t>or</w:t>
            </w:r>
            <w:r>
              <w:rPr>
                <w:color w:val="231F20"/>
                <w:spacing w:val="-11"/>
                <w:sz w:val="15"/>
              </w:rPr>
              <w:t> </w:t>
            </w:r>
            <w:r>
              <w:rPr>
                <w:color w:val="231F20"/>
                <w:sz w:val="15"/>
              </w:rPr>
              <w:t>leptomeningeal angiomatosis (Sturge-Weber syndrome)</w:t>
            </w:r>
          </w:p>
          <w:p>
            <w:pPr>
              <w:pStyle w:val="TableParagraph"/>
              <w:spacing w:line="167" w:lineRule="exact"/>
              <w:ind w:left="69"/>
              <w:rPr>
                <w:sz w:val="15"/>
              </w:rPr>
            </w:pPr>
            <w:r>
              <w:rPr>
                <w:color w:val="231F20"/>
                <w:sz w:val="15"/>
              </w:rPr>
              <w:t>Headache</w:t>
            </w:r>
            <w:r>
              <w:rPr>
                <w:color w:val="231F20"/>
                <w:spacing w:val="-8"/>
                <w:sz w:val="15"/>
              </w:rPr>
              <w:t> </w:t>
            </w:r>
            <w:r>
              <w:rPr>
                <w:color w:val="231F20"/>
                <w:sz w:val="15"/>
              </w:rPr>
              <w:t>attributed</w:t>
            </w:r>
            <w:r>
              <w:rPr>
                <w:color w:val="231F20"/>
                <w:spacing w:val="-7"/>
                <w:sz w:val="15"/>
              </w:rPr>
              <w:t> </w:t>
            </w:r>
            <w:r>
              <w:rPr>
                <w:color w:val="231F20"/>
                <w:sz w:val="15"/>
              </w:rPr>
              <w:t>to</w:t>
            </w:r>
            <w:r>
              <w:rPr>
                <w:color w:val="231F20"/>
                <w:spacing w:val="-7"/>
                <w:sz w:val="15"/>
              </w:rPr>
              <w:t> </w:t>
            </w:r>
            <w:r>
              <w:rPr>
                <w:color w:val="231F20"/>
                <w:spacing w:val="-2"/>
                <w:sz w:val="15"/>
              </w:rPr>
              <w:t>arteritis</w:t>
            </w:r>
          </w:p>
          <w:p>
            <w:pPr>
              <w:pStyle w:val="TableParagraph"/>
              <w:spacing w:line="168" w:lineRule="exact"/>
              <w:ind w:left="69"/>
              <w:rPr>
                <w:sz w:val="15"/>
              </w:rPr>
            </w:pPr>
            <w:r>
              <w:rPr>
                <w:color w:val="231F20"/>
                <w:spacing w:val="-2"/>
                <w:sz w:val="15"/>
              </w:rPr>
              <w:t>Headache</w:t>
            </w:r>
            <w:r>
              <w:rPr>
                <w:color w:val="231F20"/>
                <w:spacing w:val="-3"/>
                <w:sz w:val="15"/>
              </w:rPr>
              <w:t> </w:t>
            </w:r>
            <w:r>
              <w:rPr>
                <w:color w:val="231F20"/>
                <w:spacing w:val="-2"/>
                <w:sz w:val="15"/>
              </w:rPr>
              <w:t>attributed to giant</w:t>
            </w:r>
            <w:r>
              <w:rPr>
                <w:color w:val="231F20"/>
                <w:spacing w:val="-3"/>
                <w:sz w:val="15"/>
              </w:rPr>
              <w:t> </w:t>
            </w:r>
            <w:r>
              <w:rPr>
                <w:color w:val="231F20"/>
                <w:spacing w:val="-2"/>
                <w:sz w:val="15"/>
              </w:rPr>
              <w:t>cell arteritis (GCA)</w:t>
            </w:r>
          </w:p>
          <w:p>
            <w:pPr>
              <w:pStyle w:val="TableParagraph"/>
              <w:spacing w:line="230" w:lineRule="auto" w:before="2"/>
              <w:ind w:left="181" w:hanging="112"/>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primary</w:t>
            </w:r>
            <w:r>
              <w:rPr>
                <w:color w:val="231F20"/>
                <w:spacing w:val="-12"/>
                <w:sz w:val="15"/>
              </w:rPr>
              <w:t> </w:t>
            </w:r>
            <w:r>
              <w:rPr>
                <w:color w:val="231F20"/>
                <w:sz w:val="15"/>
              </w:rPr>
              <w:t>angiitis</w:t>
            </w:r>
            <w:r>
              <w:rPr>
                <w:color w:val="231F20"/>
                <w:spacing w:val="-11"/>
                <w:sz w:val="15"/>
              </w:rPr>
              <w:t> </w:t>
            </w:r>
            <w:r>
              <w:rPr>
                <w:color w:val="231F20"/>
                <w:sz w:val="15"/>
              </w:rPr>
              <w:t>of</w:t>
            </w:r>
            <w:r>
              <w:rPr>
                <w:color w:val="231F20"/>
                <w:spacing w:val="-11"/>
                <w:sz w:val="15"/>
              </w:rPr>
              <w:t> </w:t>
            </w:r>
            <w:r>
              <w:rPr>
                <w:color w:val="231F20"/>
                <w:sz w:val="15"/>
              </w:rPr>
              <w:t>the</w:t>
            </w:r>
            <w:r>
              <w:rPr>
                <w:color w:val="231F20"/>
                <w:spacing w:val="-12"/>
                <w:sz w:val="15"/>
              </w:rPr>
              <w:t> </w:t>
            </w:r>
            <w:r>
              <w:rPr>
                <w:color w:val="231F20"/>
                <w:sz w:val="15"/>
              </w:rPr>
              <w:t>central</w:t>
            </w:r>
            <w:r>
              <w:rPr>
                <w:color w:val="231F20"/>
                <w:spacing w:val="-11"/>
                <w:sz w:val="15"/>
              </w:rPr>
              <w:t> </w:t>
            </w:r>
            <w:r>
              <w:rPr>
                <w:color w:val="231F20"/>
                <w:sz w:val="15"/>
              </w:rPr>
              <w:t>nervous</w:t>
            </w:r>
            <w:r>
              <w:rPr>
                <w:color w:val="231F20"/>
                <w:spacing w:val="-11"/>
                <w:sz w:val="15"/>
              </w:rPr>
              <w:t> </w:t>
            </w:r>
            <w:r>
              <w:rPr>
                <w:color w:val="231F20"/>
                <w:sz w:val="15"/>
              </w:rPr>
              <w:t>system </w:t>
            </w:r>
            <w:r>
              <w:rPr>
                <w:color w:val="231F20"/>
                <w:spacing w:val="-2"/>
                <w:sz w:val="15"/>
              </w:rPr>
              <w:t>(PACNS)</w:t>
            </w:r>
          </w:p>
          <w:p>
            <w:pPr>
              <w:pStyle w:val="TableParagraph"/>
              <w:spacing w:line="230" w:lineRule="auto" w:before="2"/>
              <w:ind w:left="181" w:right="400" w:hanging="112"/>
              <w:rPr>
                <w:sz w:val="15"/>
              </w:rPr>
            </w:pPr>
            <w:r>
              <w:rPr>
                <w:color w:val="231F20"/>
                <w:sz w:val="15"/>
              </w:rPr>
              <w:t>Headache</w:t>
            </w:r>
            <w:r>
              <w:rPr>
                <w:color w:val="231F20"/>
                <w:spacing w:val="-11"/>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secondary</w:t>
            </w:r>
            <w:r>
              <w:rPr>
                <w:color w:val="231F20"/>
                <w:spacing w:val="-11"/>
                <w:sz w:val="15"/>
              </w:rPr>
              <w:t> </w:t>
            </w:r>
            <w:r>
              <w:rPr>
                <w:color w:val="231F20"/>
                <w:sz w:val="15"/>
              </w:rPr>
              <w:t>angiitis</w:t>
            </w:r>
            <w:r>
              <w:rPr>
                <w:color w:val="231F20"/>
                <w:spacing w:val="-11"/>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central</w:t>
            </w:r>
            <w:r>
              <w:rPr>
                <w:color w:val="231F20"/>
                <w:spacing w:val="-11"/>
                <w:sz w:val="15"/>
              </w:rPr>
              <w:t> </w:t>
            </w:r>
            <w:r>
              <w:rPr>
                <w:color w:val="231F20"/>
                <w:sz w:val="15"/>
              </w:rPr>
              <w:t>nervous system (SACNS)</w:t>
            </w:r>
          </w:p>
          <w:p>
            <w:pPr>
              <w:pStyle w:val="TableParagraph"/>
              <w:spacing w:line="230" w:lineRule="auto" w:before="1"/>
              <w:ind w:left="69"/>
              <w:rPr>
                <w:sz w:val="15"/>
              </w:rPr>
            </w:pPr>
            <w:r>
              <w:rPr>
                <w:color w:val="231F20"/>
                <w:spacing w:val="-2"/>
                <w:sz w:val="15"/>
              </w:rPr>
              <w:t>Headache</w:t>
            </w:r>
            <w:r>
              <w:rPr>
                <w:color w:val="231F20"/>
                <w:spacing w:val="-4"/>
                <w:sz w:val="15"/>
              </w:rPr>
              <w:t> </w:t>
            </w:r>
            <w:r>
              <w:rPr>
                <w:color w:val="231F20"/>
                <w:spacing w:val="-2"/>
                <w:sz w:val="15"/>
              </w:rPr>
              <w:t>attributed</w:t>
            </w:r>
            <w:r>
              <w:rPr>
                <w:color w:val="231F20"/>
                <w:spacing w:val="-4"/>
                <w:sz w:val="15"/>
              </w:rPr>
              <w:t> </w:t>
            </w:r>
            <w:r>
              <w:rPr>
                <w:color w:val="231F20"/>
                <w:spacing w:val="-2"/>
                <w:sz w:val="15"/>
              </w:rPr>
              <w:t>to</w:t>
            </w:r>
            <w:r>
              <w:rPr>
                <w:color w:val="231F20"/>
                <w:spacing w:val="-4"/>
                <w:sz w:val="15"/>
              </w:rPr>
              <w:t> </w:t>
            </w:r>
            <w:r>
              <w:rPr>
                <w:color w:val="231F20"/>
                <w:spacing w:val="-2"/>
                <w:sz w:val="15"/>
              </w:rPr>
              <w:t>cervical</w:t>
            </w:r>
            <w:r>
              <w:rPr>
                <w:color w:val="231F20"/>
                <w:spacing w:val="-4"/>
                <w:sz w:val="15"/>
              </w:rPr>
              <w:t> </w:t>
            </w:r>
            <w:r>
              <w:rPr>
                <w:color w:val="231F20"/>
                <w:spacing w:val="-2"/>
                <w:sz w:val="15"/>
              </w:rPr>
              <w:t>carotid</w:t>
            </w:r>
            <w:r>
              <w:rPr>
                <w:color w:val="231F20"/>
                <w:spacing w:val="-4"/>
                <w:sz w:val="15"/>
              </w:rPr>
              <w:t> </w:t>
            </w:r>
            <w:r>
              <w:rPr>
                <w:color w:val="231F20"/>
                <w:spacing w:val="-2"/>
                <w:sz w:val="15"/>
              </w:rPr>
              <w:t>or</w:t>
            </w:r>
            <w:r>
              <w:rPr>
                <w:color w:val="231F20"/>
                <w:spacing w:val="-4"/>
                <w:sz w:val="15"/>
              </w:rPr>
              <w:t> </w:t>
            </w:r>
            <w:r>
              <w:rPr>
                <w:color w:val="231F20"/>
                <w:spacing w:val="-2"/>
                <w:sz w:val="15"/>
              </w:rPr>
              <w:t>vertebral</w:t>
            </w:r>
            <w:r>
              <w:rPr>
                <w:color w:val="231F20"/>
                <w:spacing w:val="-4"/>
                <w:sz w:val="15"/>
              </w:rPr>
              <w:t> </w:t>
            </w:r>
            <w:r>
              <w:rPr>
                <w:color w:val="231F20"/>
                <w:spacing w:val="-2"/>
                <w:sz w:val="15"/>
              </w:rPr>
              <w:t>artery</w:t>
            </w:r>
            <w:r>
              <w:rPr>
                <w:color w:val="231F20"/>
                <w:spacing w:val="-4"/>
                <w:sz w:val="15"/>
              </w:rPr>
              <w:t> </w:t>
            </w:r>
            <w:r>
              <w:rPr>
                <w:color w:val="231F20"/>
                <w:spacing w:val="-2"/>
                <w:sz w:val="15"/>
              </w:rPr>
              <w:t>disorder </w:t>
            </w:r>
            <w:r>
              <w:rPr>
                <w:color w:val="231F20"/>
                <w:sz w:val="15"/>
              </w:rPr>
              <w:t>Headache or facial or neck pain attributed to cervical carotid or</w:t>
            </w:r>
          </w:p>
          <w:p>
            <w:pPr>
              <w:pStyle w:val="TableParagraph"/>
              <w:spacing w:line="230" w:lineRule="auto" w:before="2"/>
              <w:ind w:left="69" w:right="2703" w:firstLine="111"/>
              <w:rPr>
                <w:sz w:val="15"/>
              </w:rPr>
            </w:pPr>
            <w:r>
              <w:rPr>
                <w:color w:val="231F20"/>
                <w:sz w:val="15"/>
              </w:rPr>
              <w:t>vertebral artery dissection </w:t>
            </w:r>
            <w:r>
              <w:rPr>
                <w:color w:val="231F20"/>
                <w:spacing w:val="-2"/>
                <w:sz w:val="15"/>
              </w:rPr>
              <w:t>Post-endarterectomy </w:t>
            </w:r>
            <w:r>
              <w:rPr>
                <w:color w:val="231F20"/>
                <w:spacing w:val="-2"/>
                <w:sz w:val="15"/>
              </w:rPr>
              <w:t>headache</w:t>
            </w:r>
          </w:p>
          <w:p>
            <w:pPr>
              <w:pStyle w:val="TableParagraph"/>
              <w:spacing w:line="230" w:lineRule="auto" w:before="1"/>
              <w:ind w:left="69" w:right="400"/>
              <w:rPr>
                <w:sz w:val="15"/>
              </w:rPr>
            </w:pPr>
            <w:r>
              <w:rPr>
                <w:color w:val="231F20"/>
                <w:sz w:val="15"/>
              </w:rPr>
              <w:t>Headache attributed to carotid or vertebral angioplasty Headache attributed to cerebral venous thrombosis (CVT) </w:t>
            </w:r>
            <w:r>
              <w:rPr>
                <w:color w:val="231F20"/>
                <w:spacing w:val="-2"/>
                <w:sz w:val="15"/>
              </w:rPr>
              <w:t>Headache</w:t>
            </w:r>
            <w:r>
              <w:rPr>
                <w:color w:val="231F20"/>
                <w:spacing w:val="-6"/>
                <w:sz w:val="15"/>
              </w:rPr>
              <w:t> </w:t>
            </w:r>
            <w:r>
              <w:rPr>
                <w:color w:val="231F20"/>
                <w:spacing w:val="-2"/>
                <w:sz w:val="15"/>
              </w:rPr>
              <w:t>attributed</w:t>
            </w:r>
            <w:r>
              <w:rPr>
                <w:color w:val="231F20"/>
                <w:spacing w:val="-6"/>
                <w:sz w:val="15"/>
              </w:rPr>
              <w:t> </w:t>
            </w:r>
            <w:r>
              <w:rPr>
                <w:color w:val="231F20"/>
                <w:spacing w:val="-2"/>
                <w:sz w:val="15"/>
              </w:rPr>
              <w:t>to</w:t>
            </w:r>
            <w:r>
              <w:rPr>
                <w:color w:val="231F20"/>
                <w:spacing w:val="-6"/>
                <w:sz w:val="15"/>
              </w:rPr>
              <w:t> </w:t>
            </w:r>
            <w:r>
              <w:rPr>
                <w:color w:val="231F20"/>
                <w:spacing w:val="-2"/>
                <w:sz w:val="15"/>
              </w:rPr>
              <w:t>other</w:t>
            </w:r>
            <w:r>
              <w:rPr>
                <w:color w:val="231F20"/>
                <w:spacing w:val="-6"/>
                <w:sz w:val="15"/>
              </w:rPr>
              <w:t> </w:t>
            </w:r>
            <w:r>
              <w:rPr>
                <w:color w:val="231F20"/>
                <w:spacing w:val="-2"/>
                <w:sz w:val="15"/>
              </w:rPr>
              <w:t>acute</w:t>
            </w:r>
            <w:r>
              <w:rPr>
                <w:color w:val="231F20"/>
                <w:spacing w:val="-6"/>
                <w:sz w:val="15"/>
              </w:rPr>
              <w:t> </w:t>
            </w:r>
            <w:r>
              <w:rPr>
                <w:color w:val="231F20"/>
                <w:spacing w:val="-2"/>
                <w:sz w:val="15"/>
              </w:rPr>
              <w:t>intracranial</w:t>
            </w:r>
            <w:r>
              <w:rPr>
                <w:color w:val="231F20"/>
                <w:spacing w:val="-6"/>
                <w:sz w:val="15"/>
              </w:rPr>
              <w:t> </w:t>
            </w:r>
            <w:r>
              <w:rPr>
                <w:color w:val="231F20"/>
                <w:spacing w:val="-2"/>
                <w:sz w:val="15"/>
              </w:rPr>
              <w:t>arterial</w:t>
            </w:r>
            <w:r>
              <w:rPr>
                <w:color w:val="231F20"/>
                <w:spacing w:val="-6"/>
                <w:sz w:val="15"/>
              </w:rPr>
              <w:t> </w:t>
            </w:r>
            <w:r>
              <w:rPr>
                <w:color w:val="231F20"/>
                <w:spacing w:val="-2"/>
                <w:sz w:val="15"/>
              </w:rPr>
              <w:t>disorder </w:t>
            </w:r>
            <w:r>
              <w:rPr>
                <w:color w:val="231F20"/>
                <w:sz w:val="15"/>
              </w:rPr>
              <w:t>Headache</w:t>
            </w:r>
            <w:r>
              <w:rPr>
                <w:color w:val="231F20"/>
                <w:spacing w:val="-8"/>
                <w:sz w:val="15"/>
              </w:rPr>
              <w:t> </w:t>
            </w:r>
            <w:r>
              <w:rPr>
                <w:color w:val="231F20"/>
                <w:sz w:val="15"/>
              </w:rPr>
              <w:t>attributed</w:t>
            </w:r>
            <w:r>
              <w:rPr>
                <w:color w:val="231F20"/>
                <w:spacing w:val="-8"/>
                <w:sz w:val="15"/>
              </w:rPr>
              <w:t> </w:t>
            </w:r>
            <w:r>
              <w:rPr>
                <w:color w:val="231F20"/>
                <w:sz w:val="15"/>
              </w:rPr>
              <w:t>to</w:t>
            </w:r>
            <w:r>
              <w:rPr>
                <w:color w:val="231F20"/>
                <w:spacing w:val="-8"/>
                <w:sz w:val="15"/>
              </w:rPr>
              <w:t> </w:t>
            </w:r>
            <w:r>
              <w:rPr>
                <w:color w:val="231F20"/>
                <w:sz w:val="15"/>
              </w:rPr>
              <w:t>an</w:t>
            </w:r>
            <w:r>
              <w:rPr>
                <w:color w:val="231F20"/>
                <w:spacing w:val="-8"/>
                <w:sz w:val="15"/>
              </w:rPr>
              <w:t> </w:t>
            </w:r>
            <w:r>
              <w:rPr>
                <w:color w:val="231F20"/>
                <w:sz w:val="15"/>
              </w:rPr>
              <w:t>intracranial</w:t>
            </w:r>
            <w:r>
              <w:rPr>
                <w:color w:val="231F20"/>
                <w:spacing w:val="-8"/>
                <w:sz w:val="15"/>
              </w:rPr>
              <w:t> </w:t>
            </w:r>
            <w:r>
              <w:rPr>
                <w:color w:val="231F20"/>
                <w:sz w:val="15"/>
              </w:rPr>
              <w:t>endovascular</w:t>
            </w:r>
            <w:r>
              <w:rPr>
                <w:color w:val="231F20"/>
                <w:spacing w:val="-8"/>
                <w:sz w:val="15"/>
              </w:rPr>
              <w:t> </w:t>
            </w:r>
            <w:r>
              <w:rPr>
                <w:color w:val="231F20"/>
                <w:sz w:val="15"/>
              </w:rPr>
              <w:t>procedure Angiography headache</w:t>
            </w:r>
          </w:p>
          <w:p>
            <w:pPr>
              <w:pStyle w:val="TableParagraph"/>
              <w:spacing w:line="230" w:lineRule="auto" w:before="4"/>
              <w:ind w:left="181" w:right="120" w:hanging="112"/>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reversible</w:t>
            </w:r>
            <w:r>
              <w:rPr>
                <w:color w:val="231F20"/>
                <w:spacing w:val="-12"/>
                <w:sz w:val="15"/>
              </w:rPr>
              <w:t> </w:t>
            </w:r>
            <w:r>
              <w:rPr>
                <w:color w:val="231F20"/>
                <w:sz w:val="15"/>
              </w:rPr>
              <w:t>cerebral</w:t>
            </w:r>
            <w:r>
              <w:rPr>
                <w:color w:val="231F20"/>
                <w:spacing w:val="-11"/>
                <w:sz w:val="15"/>
              </w:rPr>
              <w:t> </w:t>
            </w:r>
            <w:r>
              <w:rPr>
                <w:color w:val="231F20"/>
                <w:sz w:val="15"/>
              </w:rPr>
              <w:t>vasoconstriction</w:t>
            </w:r>
            <w:r>
              <w:rPr>
                <w:color w:val="231F20"/>
                <w:spacing w:val="-11"/>
                <w:sz w:val="15"/>
              </w:rPr>
              <w:t> </w:t>
            </w:r>
            <w:r>
              <w:rPr>
                <w:color w:val="231F20"/>
                <w:sz w:val="15"/>
              </w:rPr>
              <w:t>syndrome </w:t>
            </w:r>
            <w:r>
              <w:rPr>
                <w:color w:val="231F20"/>
                <w:spacing w:val="-2"/>
                <w:sz w:val="15"/>
              </w:rPr>
              <w:t>(RCVS)</w:t>
            </w:r>
          </w:p>
          <w:p>
            <w:pPr>
              <w:pStyle w:val="TableParagraph"/>
              <w:spacing w:line="230" w:lineRule="auto" w:before="1"/>
              <w:ind w:left="69" w:right="895"/>
              <w:rPr>
                <w:sz w:val="15"/>
              </w:rPr>
            </w:pPr>
            <w:r>
              <w:rPr>
                <w:color w:val="231F20"/>
                <w:spacing w:val="-2"/>
                <w:sz w:val="15"/>
              </w:rPr>
              <w:t>Headache</w:t>
            </w:r>
            <w:r>
              <w:rPr>
                <w:color w:val="231F20"/>
                <w:spacing w:val="-9"/>
                <w:sz w:val="15"/>
              </w:rPr>
              <w:t> </w:t>
            </w:r>
            <w:r>
              <w:rPr>
                <w:color w:val="231F20"/>
                <w:spacing w:val="-2"/>
                <w:sz w:val="15"/>
              </w:rPr>
              <w:t>attributed</w:t>
            </w:r>
            <w:r>
              <w:rPr>
                <w:color w:val="231F20"/>
                <w:spacing w:val="-10"/>
                <w:sz w:val="15"/>
              </w:rPr>
              <w:t> </w:t>
            </w:r>
            <w:r>
              <w:rPr>
                <w:color w:val="231F20"/>
                <w:spacing w:val="-2"/>
                <w:sz w:val="15"/>
              </w:rPr>
              <w:t>to</w:t>
            </w:r>
            <w:r>
              <w:rPr>
                <w:color w:val="231F20"/>
                <w:spacing w:val="-9"/>
                <w:sz w:val="15"/>
              </w:rPr>
              <w:t> </w:t>
            </w:r>
            <w:r>
              <w:rPr>
                <w:color w:val="231F20"/>
                <w:spacing w:val="-2"/>
                <w:sz w:val="15"/>
              </w:rPr>
              <w:t>intracranial</w:t>
            </w:r>
            <w:r>
              <w:rPr>
                <w:color w:val="231F20"/>
                <w:spacing w:val="-9"/>
                <w:sz w:val="15"/>
              </w:rPr>
              <w:t> </w:t>
            </w:r>
            <w:r>
              <w:rPr>
                <w:color w:val="231F20"/>
                <w:spacing w:val="-2"/>
                <w:sz w:val="15"/>
              </w:rPr>
              <w:t>arterial</w:t>
            </w:r>
            <w:r>
              <w:rPr>
                <w:color w:val="231F20"/>
                <w:spacing w:val="-9"/>
                <w:sz w:val="15"/>
              </w:rPr>
              <w:t> </w:t>
            </w:r>
            <w:r>
              <w:rPr>
                <w:color w:val="231F20"/>
                <w:spacing w:val="-2"/>
                <w:sz w:val="15"/>
              </w:rPr>
              <w:t>dissection </w:t>
            </w:r>
            <w:r>
              <w:rPr>
                <w:color w:val="231F20"/>
                <w:sz w:val="15"/>
              </w:rPr>
              <w:t>Headache attributed to genetic vasculopathy</w:t>
            </w:r>
          </w:p>
          <w:p>
            <w:pPr>
              <w:pStyle w:val="TableParagraph"/>
              <w:spacing w:line="230" w:lineRule="auto" w:before="2"/>
              <w:ind w:left="181" w:right="327" w:hanging="112"/>
              <w:rPr>
                <w:sz w:val="15"/>
              </w:rPr>
            </w:pPr>
            <w:r>
              <w:rPr>
                <w:color w:val="231F20"/>
                <w:spacing w:val="-2"/>
                <w:sz w:val="15"/>
              </w:rPr>
              <w:t>Cerebral</w:t>
            </w:r>
            <w:r>
              <w:rPr>
                <w:color w:val="231F20"/>
                <w:spacing w:val="-4"/>
                <w:sz w:val="15"/>
              </w:rPr>
              <w:t> </w:t>
            </w:r>
            <w:r>
              <w:rPr>
                <w:color w:val="231F20"/>
                <w:spacing w:val="-2"/>
                <w:sz w:val="15"/>
              </w:rPr>
              <w:t>autosomal</w:t>
            </w:r>
            <w:r>
              <w:rPr>
                <w:color w:val="231F20"/>
                <w:spacing w:val="-4"/>
                <w:sz w:val="15"/>
              </w:rPr>
              <w:t> </w:t>
            </w:r>
            <w:r>
              <w:rPr>
                <w:color w:val="231F20"/>
                <w:spacing w:val="-2"/>
                <w:sz w:val="15"/>
              </w:rPr>
              <w:t>dominant</w:t>
            </w:r>
            <w:r>
              <w:rPr>
                <w:color w:val="231F20"/>
                <w:spacing w:val="-4"/>
                <w:sz w:val="15"/>
              </w:rPr>
              <w:t> </w:t>
            </w:r>
            <w:r>
              <w:rPr>
                <w:color w:val="231F20"/>
                <w:spacing w:val="-2"/>
                <w:sz w:val="15"/>
              </w:rPr>
              <w:t>arteriopathy</w:t>
            </w:r>
            <w:r>
              <w:rPr>
                <w:color w:val="231F20"/>
                <w:spacing w:val="-4"/>
                <w:sz w:val="15"/>
              </w:rPr>
              <w:t> </w:t>
            </w:r>
            <w:r>
              <w:rPr>
                <w:color w:val="231F20"/>
                <w:spacing w:val="-2"/>
                <w:sz w:val="15"/>
              </w:rPr>
              <w:t>with</w:t>
            </w:r>
            <w:r>
              <w:rPr>
                <w:color w:val="231F20"/>
                <w:spacing w:val="-4"/>
                <w:sz w:val="15"/>
              </w:rPr>
              <w:t> </w:t>
            </w:r>
            <w:r>
              <w:rPr>
                <w:color w:val="231F20"/>
                <w:spacing w:val="-2"/>
                <w:sz w:val="15"/>
              </w:rPr>
              <w:t>subcortical</w:t>
            </w:r>
            <w:r>
              <w:rPr>
                <w:color w:val="231F20"/>
                <w:spacing w:val="-4"/>
                <w:sz w:val="15"/>
              </w:rPr>
              <w:t> </w:t>
            </w:r>
            <w:r>
              <w:rPr>
                <w:color w:val="231F20"/>
                <w:spacing w:val="-2"/>
                <w:sz w:val="15"/>
              </w:rPr>
              <w:t>infarcts </w:t>
            </w:r>
            <w:r>
              <w:rPr>
                <w:color w:val="231F20"/>
                <w:sz w:val="15"/>
              </w:rPr>
              <w:t>and leukoencephalopathy (CADASIL)</w:t>
            </w:r>
          </w:p>
          <w:p>
            <w:pPr>
              <w:pStyle w:val="TableParagraph"/>
              <w:spacing w:line="230" w:lineRule="auto" w:before="1"/>
              <w:ind w:left="181" w:hanging="112"/>
              <w:rPr>
                <w:sz w:val="15"/>
              </w:rPr>
            </w:pPr>
            <w:r>
              <w:rPr>
                <w:color w:val="231F20"/>
                <w:sz w:val="15"/>
              </w:rPr>
              <w:t>Mitochondrial</w:t>
            </w:r>
            <w:r>
              <w:rPr>
                <w:color w:val="231F20"/>
                <w:spacing w:val="-11"/>
                <w:sz w:val="15"/>
              </w:rPr>
              <w:t> </w:t>
            </w:r>
            <w:r>
              <w:rPr>
                <w:color w:val="231F20"/>
                <w:sz w:val="15"/>
              </w:rPr>
              <w:t>encephalopathy,</w:t>
            </w:r>
            <w:r>
              <w:rPr>
                <w:color w:val="231F20"/>
                <w:spacing w:val="-11"/>
                <w:sz w:val="15"/>
              </w:rPr>
              <w:t> </w:t>
            </w:r>
            <w:r>
              <w:rPr>
                <w:color w:val="231F20"/>
                <w:sz w:val="15"/>
              </w:rPr>
              <w:t>lactic</w:t>
            </w:r>
            <w:r>
              <w:rPr>
                <w:color w:val="231F20"/>
                <w:spacing w:val="-11"/>
                <w:sz w:val="15"/>
              </w:rPr>
              <w:t> </w:t>
            </w:r>
            <w:r>
              <w:rPr>
                <w:color w:val="231F20"/>
                <w:sz w:val="15"/>
              </w:rPr>
              <w:t>acidosis</w:t>
            </w:r>
            <w:r>
              <w:rPr>
                <w:color w:val="231F20"/>
                <w:spacing w:val="-11"/>
                <w:sz w:val="15"/>
              </w:rPr>
              <w:t> </w:t>
            </w:r>
            <w:r>
              <w:rPr>
                <w:color w:val="231F20"/>
                <w:sz w:val="15"/>
              </w:rPr>
              <w:t>and</w:t>
            </w:r>
            <w:r>
              <w:rPr>
                <w:color w:val="231F20"/>
                <w:spacing w:val="-11"/>
                <w:sz w:val="15"/>
              </w:rPr>
              <w:t> </w:t>
            </w:r>
            <w:r>
              <w:rPr>
                <w:color w:val="231F20"/>
                <w:sz w:val="15"/>
              </w:rPr>
              <w:t>stroke-like</w:t>
            </w:r>
            <w:r>
              <w:rPr>
                <w:color w:val="231F20"/>
                <w:spacing w:val="-11"/>
                <w:sz w:val="15"/>
              </w:rPr>
              <w:t> </w:t>
            </w:r>
            <w:r>
              <w:rPr>
                <w:color w:val="231F20"/>
                <w:sz w:val="15"/>
              </w:rPr>
              <w:t>episodes </w:t>
            </w:r>
            <w:r>
              <w:rPr>
                <w:color w:val="231F20"/>
                <w:spacing w:val="-2"/>
                <w:sz w:val="15"/>
              </w:rPr>
              <w:t>(MELAS)</w:t>
            </w:r>
          </w:p>
          <w:p>
            <w:pPr>
              <w:pStyle w:val="TableParagraph"/>
              <w:spacing w:line="230" w:lineRule="auto" w:before="2"/>
              <w:ind w:left="69" w:right="895"/>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another</w:t>
            </w:r>
            <w:r>
              <w:rPr>
                <w:color w:val="231F20"/>
                <w:spacing w:val="-12"/>
                <w:sz w:val="15"/>
              </w:rPr>
              <w:t> </w:t>
            </w:r>
            <w:r>
              <w:rPr>
                <w:color w:val="231F20"/>
                <w:sz w:val="15"/>
              </w:rPr>
              <w:t>genetic</w:t>
            </w:r>
            <w:r>
              <w:rPr>
                <w:color w:val="231F20"/>
                <w:spacing w:val="-11"/>
                <w:sz w:val="15"/>
              </w:rPr>
              <w:t> </w:t>
            </w:r>
            <w:r>
              <w:rPr>
                <w:color w:val="231F20"/>
                <w:sz w:val="15"/>
              </w:rPr>
              <w:t>vasculopathy Headache attributed to pituitary apoplexy</w:t>
            </w:r>
          </w:p>
        </w:tc>
      </w:tr>
      <w:tr>
        <w:trPr>
          <w:trHeight w:val="1440" w:hRule="exact"/>
        </w:trPr>
        <w:tc>
          <w:tcPr>
            <w:tcW w:w="4870" w:type="dxa"/>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TENSION-TYPE</w:t>
            </w:r>
            <w:r>
              <w:rPr>
                <w:color w:val="231F20"/>
                <w:spacing w:val="17"/>
                <w:w w:val="110"/>
                <w:sz w:val="15"/>
              </w:rPr>
              <w:t> </w:t>
            </w:r>
            <w:r>
              <w:rPr>
                <w:color w:val="231F20"/>
                <w:w w:val="110"/>
                <w:sz w:val="15"/>
              </w:rPr>
              <w:t>HEADACHE</w:t>
            </w:r>
            <w:r>
              <w:rPr>
                <w:color w:val="231F20"/>
                <w:spacing w:val="17"/>
                <w:w w:val="110"/>
                <w:sz w:val="15"/>
              </w:rPr>
              <w:t> </w:t>
            </w:r>
            <w:r>
              <w:rPr>
                <w:color w:val="231F20"/>
                <w:spacing w:val="-2"/>
                <w:w w:val="110"/>
                <w:sz w:val="15"/>
              </w:rPr>
              <w:t>(TTH)</w:t>
            </w:r>
          </w:p>
          <w:p>
            <w:pPr>
              <w:pStyle w:val="TableParagraph"/>
              <w:spacing w:line="230" w:lineRule="auto" w:before="3"/>
              <w:ind w:left="186" w:hanging="112"/>
              <w:rPr>
                <w:sz w:val="15"/>
              </w:rPr>
            </w:pPr>
            <w:r>
              <w:rPr>
                <w:color w:val="231F20"/>
                <w:sz w:val="15"/>
              </w:rPr>
              <w:t>Infrequent</w:t>
            </w:r>
            <w:r>
              <w:rPr>
                <w:color w:val="231F20"/>
                <w:spacing w:val="-12"/>
                <w:sz w:val="15"/>
              </w:rPr>
              <w:t> </w:t>
            </w:r>
            <w:r>
              <w:rPr>
                <w:color w:val="231F20"/>
                <w:sz w:val="15"/>
              </w:rPr>
              <w:t>episodic</w:t>
            </w:r>
            <w:r>
              <w:rPr>
                <w:color w:val="231F20"/>
                <w:spacing w:val="-11"/>
                <w:sz w:val="15"/>
              </w:rPr>
              <w:t> </w:t>
            </w:r>
            <w:r>
              <w:rPr>
                <w:color w:val="231F20"/>
                <w:sz w:val="15"/>
              </w:rPr>
              <w:t>tension-type</w:t>
            </w:r>
            <w:r>
              <w:rPr>
                <w:color w:val="231F20"/>
                <w:spacing w:val="-11"/>
                <w:sz w:val="15"/>
              </w:rPr>
              <w:t> </w:t>
            </w:r>
            <w:r>
              <w:rPr>
                <w:color w:val="231F20"/>
                <w:sz w:val="15"/>
              </w:rPr>
              <w:t>headache</w:t>
            </w:r>
            <w:r>
              <w:rPr>
                <w:color w:val="231F20"/>
                <w:spacing w:val="-12"/>
                <w:sz w:val="15"/>
              </w:rPr>
              <w:t> </w:t>
            </w:r>
            <w:r>
              <w:rPr>
                <w:color w:val="231F20"/>
                <w:sz w:val="15"/>
              </w:rPr>
              <w:t>associated</w:t>
            </w:r>
            <w:r>
              <w:rPr>
                <w:color w:val="231F20"/>
                <w:spacing w:val="-11"/>
                <w:sz w:val="15"/>
              </w:rPr>
              <w:t> </w:t>
            </w:r>
            <w:r>
              <w:rPr>
                <w:color w:val="231F20"/>
                <w:sz w:val="15"/>
              </w:rPr>
              <w:t>with</w:t>
            </w:r>
            <w:r>
              <w:rPr>
                <w:color w:val="231F20"/>
                <w:spacing w:val="-11"/>
                <w:sz w:val="15"/>
              </w:rPr>
              <w:t> </w:t>
            </w:r>
            <w:r>
              <w:rPr>
                <w:color w:val="231F20"/>
                <w:sz w:val="15"/>
              </w:rPr>
              <w:t>or</w:t>
            </w:r>
            <w:r>
              <w:rPr>
                <w:color w:val="231F20"/>
                <w:spacing w:val="-12"/>
                <w:sz w:val="15"/>
              </w:rPr>
              <w:t> </w:t>
            </w:r>
            <w:r>
              <w:rPr>
                <w:color w:val="231F20"/>
                <w:sz w:val="15"/>
              </w:rPr>
              <w:t>without pericranial tenderness</w:t>
            </w:r>
          </w:p>
          <w:p>
            <w:pPr>
              <w:pStyle w:val="TableParagraph"/>
              <w:spacing w:line="230" w:lineRule="auto" w:before="2"/>
              <w:ind w:left="186" w:hanging="112"/>
              <w:rPr>
                <w:sz w:val="15"/>
              </w:rPr>
            </w:pPr>
            <w:r>
              <w:rPr>
                <w:color w:val="231F20"/>
                <w:sz w:val="15"/>
              </w:rPr>
              <w:t>Frequent</w:t>
            </w:r>
            <w:r>
              <w:rPr>
                <w:color w:val="231F20"/>
                <w:spacing w:val="-10"/>
                <w:sz w:val="15"/>
              </w:rPr>
              <w:t> </w:t>
            </w:r>
            <w:r>
              <w:rPr>
                <w:color w:val="231F20"/>
                <w:sz w:val="15"/>
              </w:rPr>
              <w:t>episodic</w:t>
            </w:r>
            <w:r>
              <w:rPr>
                <w:color w:val="231F20"/>
                <w:spacing w:val="-10"/>
                <w:sz w:val="15"/>
              </w:rPr>
              <w:t> </w:t>
            </w:r>
            <w:r>
              <w:rPr>
                <w:color w:val="231F20"/>
                <w:sz w:val="15"/>
              </w:rPr>
              <w:t>tension-type</w:t>
            </w:r>
            <w:r>
              <w:rPr>
                <w:color w:val="231F20"/>
                <w:spacing w:val="-10"/>
                <w:sz w:val="15"/>
              </w:rPr>
              <w:t> </w:t>
            </w:r>
            <w:r>
              <w:rPr>
                <w:color w:val="231F20"/>
                <w:sz w:val="15"/>
              </w:rPr>
              <w:t>headache</w:t>
            </w:r>
            <w:r>
              <w:rPr>
                <w:color w:val="231F20"/>
                <w:spacing w:val="-10"/>
                <w:sz w:val="15"/>
              </w:rPr>
              <w:t> </w:t>
            </w:r>
            <w:r>
              <w:rPr>
                <w:color w:val="231F20"/>
                <w:sz w:val="15"/>
              </w:rPr>
              <w:t>associated</w:t>
            </w:r>
            <w:r>
              <w:rPr>
                <w:color w:val="231F20"/>
                <w:spacing w:val="-10"/>
                <w:sz w:val="15"/>
              </w:rPr>
              <w:t> </w:t>
            </w:r>
            <w:r>
              <w:rPr>
                <w:color w:val="231F20"/>
                <w:sz w:val="15"/>
              </w:rPr>
              <w:t>with</w:t>
            </w:r>
            <w:r>
              <w:rPr>
                <w:color w:val="231F20"/>
                <w:spacing w:val="-10"/>
                <w:sz w:val="15"/>
              </w:rPr>
              <w:t> </w:t>
            </w:r>
            <w:r>
              <w:rPr>
                <w:color w:val="231F20"/>
                <w:sz w:val="15"/>
              </w:rPr>
              <w:t>or</w:t>
            </w:r>
            <w:r>
              <w:rPr>
                <w:color w:val="231F20"/>
                <w:spacing w:val="-10"/>
                <w:sz w:val="15"/>
              </w:rPr>
              <w:t> </w:t>
            </w:r>
            <w:r>
              <w:rPr>
                <w:color w:val="231F20"/>
                <w:sz w:val="15"/>
              </w:rPr>
              <w:t>without pericranial tenderness</w:t>
            </w:r>
          </w:p>
          <w:p>
            <w:pPr>
              <w:pStyle w:val="TableParagraph"/>
              <w:spacing w:line="230" w:lineRule="auto" w:before="1"/>
              <w:ind w:left="186" w:right="159" w:hanging="112"/>
              <w:rPr>
                <w:sz w:val="15"/>
              </w:rPr>
            </w:pPr>
            <w:r>
              <w:rPr>
                <w:color w:val="231F20"/>
                <w:sz w:val="15"/>
              </w:rPr>
              <w:t>Chronic</w:t>
            </w:r>
            <w:r>
              <w:rPr>
                <w:color w:val="231F20"/>
                <w:spacing w:val="-12"/>
                <w:sz w:val="15"/>
              </w:rPr>
              <w:t> </w:t>
            </w:r>
            <w:r>
              <w:rPr>
                <w:color w:val="231F20"/>
                <w:sz w:val="15"/>
              </w:rPr>
              <w:t>tension-type</w:t>
            </w:r>
            <w:r>
              <w:rPr>
                <w:color w:val="231F20"/>
                <w:spacing w:val="-11"/>
                <w:sz w:val="15"/>
              </w:rPr>
              <w:t> </w:t>
            </w:r>
            <w:r>
              <w:rPr>
                <w:color w:val="231F20"/>
                <w:sz w:val="15"/>
              </w:rPr>
              <w:t>headache</w:t>
            </w:r>
            <w:r>
              <w:rPr>
                <w:color w:val="231F20"/>
                <w:spacing w:val="-11"/>
                <w:sz w:val="15"/>
              </w:rPr>
              <w:t> </w:t>
            </w:r>
            <w:r>
              <w:rPr>
                <w:color w:val="231F20"/>
                <w:sz w:val="15"/>
              </w:rPr>
              <w:t>associated</w:t>
            </w:r>
            <w:r>
              <w:rPr>
                <w:color w:val="231F20"/>
                <w:spacing w:val="-12"/>
                <w:sz w:val="15"/>
              </w:rPr>
              <w:t> </w:t>
            </w:r>
            <w:r>
              <w:rPr>
                <w:color w:val="231F20"/>
                <w:sz w:val="15"/>
              </w:rPr>
              <w:t>with</w:t>
            </w:r>
            <w:r>
              <w:rPr>
                <w:color w:val="231F20"/>
                <w:spacing w:val="-11"/>
                <w:sz w:val="15"/>
              </w:rPr>
              <w:t> </w:t>
            </w:r>
            <w:r>
              <w:rPr>
                <w:color w:val="231F20"/>
                <w:sz w:val="15"/>
              </w:rPr>
              <w:t>or</w:t>
            </w:r>
            <w:r>
              <w:rPr>
                <w:color w:val="231F20"/>
                <w:spacing w:val="-11"/>
                <w:sz w:val="15"/>
              </w:rPr>
              <w:t> </w:t>
            </w:r>
            <w:r>
              <w:rPr>
                <w:color w:val="231F20"/>
                <w:sz w:val="15"/>
              </w:rPr>
              <w:t>without</w:t>
            </w:r>
            <w:r>
              <w:rPr>
                <w:color w:val="231F20"/>
                <w:spacing w:val="-12"/>
                <w:sz w:val="15"/>
              </w:rPr>
              <w:t> </w:t>
            </w:r>
            <w:r>
              <w:rPr>
                <w:color w:val="231F20"/>
                <w:sz w:val="15"/>
              </w:rPr>
              <w:t>pericranial </w:t>
            </w:r>
            <w:r>
              <w:rPr>
                <w:color w:val="231F20"/>
                <w:spacing w:val="-2"/>
                <w:sz w:val="15"/>
              </w:rPr>
              <w:t>tenderness</w:t>
            </w:r>
          </w:p>
          <w:p>
            <w:pPr>
              <w:pStyle w:val="TableParagraph"/>
              <w:spacing w:line="170" w:lineRule="exact"/>
              <w:ind w:left="74"/>
              <w:rPr>
                <w:sz w:val="15"/>
              </w:rPr>
            </w:pPr>
            <w:r>
              <w:rPr>
                <w:color w:val="231F20"/>
                <w:sz w:val="15"/>
              </w:rPr>
              <w:t>Probable</w:t>
            </w:r>
            <w:r>
              <w:rPr>
                <w:color w:val="231F20"/>
                <w:spacing w:val="-5"/>
                <w:sz w:val="15"/>
              </w:rPr>
              <w:t> </w:t>
            </w:r>
            <w:r>
              <w:rPr>
                <w:color w:val="231F20"/>
                <w:sz w:val="15"/>
              </w:rPr>
              <w:t>tension-type</w:t>
            </w:r>
            <w:r>
              <w:rPr>
                <w:color w:val="231F20"/>
                <w:spacing w:val="-4"/>
                <w:sz w:val="15"/>
              </w:rPr>
              <w:t> </w:t>
            </w:r>
            <w:r>
              <w:rPr>
                <w:color w:val="231F20"/>
                <w:spacing w:val="-2"/>
                <w:sz w:val="15"/>
              </w:rPr>
              <w:t>headaches</w:t>
            </w:r>
          </w:p>
        </w:tc>
        <w:tc>
          <w:tcPr>
            <w:tcW w:w="4870" w:type="dxa"/>
            <w:vMerge/>
            <w:tcBorders>
              <w:top w:val="nil"/>
              <w:left w:val="single" w:sz="4" w:space="0" w:color="231F20"/>
              <w:right w:val="nil"/>
            </w:tcBorders>
            <w:shd w:val="clear" w:color="auto" w:fill="E8F5F1"/>
          </w:tcPr>
          <w:p>
            <w:pPr>
              <w:rPr>
                <w:sz w:val="2"/>
                <w:szCs w:val="2"/>
              </w:rPr>
            </w:pPr>
          </w:p>
        </w:tc>
      </w:tr>
      <w:tr>
        <w:trPr>
          <w:trHeight w:val="1914" w:hRule="exact"/>
        </w:trPr>
        <w:tc>
          <w:tcPr>
            <w:tcW w:w="4870" w:type="dxa"/>
            <w:vMerge w:val="restart"/>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TRIGEMINAL</w:t>
            </w:r>
            <w:r>
              <w:rPr>
                <w:color w:val="231F20"/>
                <w:spacing w:val="27"/>
                <w:w w:val="110"/>
                <w:sz w:val="15"/>
              </w:rPr>
              <w:t> </w:t>
            </w:r>
            <w:r>
              <w:rPr>
                <w:color w:val="231F20"/>
                <w:w w:val="110"/>
                <w:sz w:val="15"/>
              </w:rPr>
              <w:t>AUTONOMIC</w:t>
            </w:r>
            <w:r>
              <w:rPr>
                <w:color w:val="231F20"/>
                <w:spacing w:val="28"/>
                <w:w w:val="110"/>
                <w:sz w:val="15"/>
              </w:rPr>
              <w:t> </w:t>
            </w:r>
            <w:r>
              <w:rPr>
                <w:color w:val="231F20"/>
                <w:w w:val="110"/>
                <w:sz w:val="15"/>
              </w:rPr>
              <w:t>CEPHALALGIAS</w:t>
            </w:r>
            <w:r>
              <w:rPr>
                <w:color w:val="231F20"/>
                <w:spacing w:val="27"/>
                <w:w w:val="110"/>
                <w:sz w:val="15"/>
              </w:rPr>
              <w:t> </w:t>
            </w:r>
            <w:r>
              <w:rPr>
                <w:color w:val="231F20"/>
                <w:spacing w:val="-2"/>
                <w:w w:val="110"/>
                <w:sz w:val="15"/>
              </w:rPr>
              <w:t>(TACS)</w:t>
            </w:r>
          </w:p>
          <w:p>
            <w:pPr>
              <w:pStyle w:val="TableParagraph"/>
              <w:spacing w:line="230" w:lineRule="auto" w:before="3"/>
              <w:ind w:left="74" w:right="1539"/>
              <w:rPr>
                <w:sz w:val="15"/>
              </w:rPr>
            </w:pPr>
            <w:r>
              <w:rPr>
                <w:color w:val="231F20"/>
                <w:sz w:val="15"/>
              </w:rPr>
              <w:t>Cluster headache (episodic or cluster) </w:t>
            </w:r>
            <w:r>
              <w:rPr>
                <w:color w:val="231F20"/>
                <w:spacing w:val="-2"/>
                <w:sz w:val="15"/>
              </w:rPr>
              <w:t>Paroxysmal</w:t>
            </w:r>
            <w:r>
              <w:rPr>
                <w:color w:val="231F20"/>
                <w:spacing w:val="-9"/>
                <w:sz w:val="15"/>
              </w:rPr>
              <w:t> </w:t>
            </w:r>
            <w:r>
              <w:rPr>
                <w:color w:val="231F20"/>
                <w:spacing w:val="-2"/>
                <w:sz w:val="15"/>
              </w:rPr>
              <w:t>hemicrania</w:t>
            </w:r>
            <w:r>
              <w:rPr>
                <w:color w:val="231F20"/>
                <w:spacing w:val="-9"/>
                <w:sz w:val="15"/>
              </w:rPr>
              <w:t> </w:t>
            </w:r>
            <w:r>
              <w:rPr>
                <w:color w:val="231F20"/>
                <w:spacing w:val="-2"/>
                <w:sz w:val="15"/>
              </w:rPr>
              <w:t>(episodic</w:t>
            </w:r>
            <w:r>
              <w:rPr>
                <w:color w:val="231F20"/>
                <w:spacing w:val="-9"/>
                <w:sz w:val="15"/>
              </w:rPr>
              <w:t> </w:t>
            </w:r>
            <w:r>
              <w:rPr>
                <w:color w:val="231F20"/>
                <w:spacing w:val="-2"/>
                <w:sz w:val="15"/>
              </w:rPr>
              <w:t>or</w:t>
            </w:r>
            <w:r>
              <w:rPr>
                <w:color w:val="231F20"/>
                <w:spacing w:val="-9"/>
                <w:sz w:val="15"/>
              </w:rPr>
              <w:t> </w:t>
            </w:r>
            <w:r>
              <w:rPr>
                <w:color w:val="231F20"/>
                <w:spacing w:val="-2"/>
                <w:sz w:val="15"/>
              </w:rPr>
              <w:t>cluster)</w:t>
            </w:r>
          </w:p>
          <w:p>
            <w:pPr>
              <w:pStyle w:val="TableParagraph"/>
              <w:spacing w:line="230" w:lineRule="auto" w:before="2"/>
              <w:ind w:left="186" w:hanging="112"/>
              <w:rPr>
                <w:sz w:val="15"/>
              </w:rPr>
            </w:pPr>
            <w:r>
              <w:rPr>
                <w:color w:val="231F20"/>
                <w:spacing w:val="-2"/>
                <w:sz w:val="15"/>
              </w:rPr>
              <w:t>Short-lasting</w:t>
            </w:r>
            <w:r>
              <w:rPr>
                <w:color w:val="231F20"/>
                <w:spacing w:val="-5"/>
                <w:sz w:val="15"/>
              </w:rPr>
              <w:t> </w:t>
            </w:r>
            <w:r>
              <w:rPr>
                <w:color w:val="231F20"/>
                <w:spacing w:val="-2"/>
                <w:sz w:val="15"/>
              </w:rPr>
              <w:t>unilateral</w:t>
            </w:r>
            <w:r>
              <w:rPr>
                <w:color w:val="231F20"/>
                <w:spacing w:val="-5"/>
                <w:sz w:val="15"/>
              </w:rPr>
              <w:t> </w:t>
            </w:r>
            <w:r>
              <w:rPr>
                <w:color w:val="231F20"/>
                <w:spacing w:val="-2"/>
                <w:sz w:val="15"/>
              </w:rPr>
              <w:t>neuralgiform</w:t>
            </w:r>
            <w:r>
              <w:rPr>
                <w:color w:val="231F20"/>
                <w:spacing w:val="-5"/>
                <w:sz w:val="15"/>
              </w:rPr>
              <w:t> </w:t>
            </w:r>
            <w:r>
              <w:rPr>
                <w:color w:val="231F20"/>
                <w:spacing w:val="-2"/>
                <w:sz w:val="15"/>
              </w:rPr>
              <w:t>headache</w:t>
            </w:r>
            <w:r>
              <w:rPr>
                <w:color w:val="231F20"/>
                <w:spacing w:val="-5"/>
                <w:sz w:val="15"/>
              </w:rPr>
              <w:t> </w:t>
            </w:r>
            <w:r>
              <w:rPr>
                <w:color w:val="231F20"/>
                <w:spacing w:val="-2"/>
                <w:sz w:val="15"/>
              </w:rPr>
              <w:t>attacks</w:t>
            </w:r>
            <w:r>
              <w:rPr>
                <w:color w:val="231F20"/>
                <w:spacing w:val="-5"/>
                <w:sz w:val="15"/>
              </w:rPr>
              <w:t> </w:t>
            </w:r>
            <w:r>
              <w:rPr>
                <w:color w:val="231F20"/>
                <w:spacing w:val="-2"/>
                <w:sz w:val="15"/>
              </w:rPr>
              <w:t>with</w:t>
            </w:r>
            <w:r>
              <w:rPr>
                <w:color w:val="231F20"/>
                <w:spacing w:val="-5"/>
                <w:sz w:val="15"/>
              </w:rPr>
              <w:t> </w:t>
            </w:r>
            <w:r>
              <w:rPr>
                <w:color w:val="231F20"/>
                <w:spacing w:val="-2"/>
                <w:sz w:val="15"/>
              </w:rPr>
              <w:t>or</w:t>
            </w:r>
            <w:r>
              <w:rPr>
                <w:color w:val="231F20"/>
                <w:spacing w:val="-5"/>
                <w:sz w:val="15"/>
              </w:rPr>
              <w:t> </w:t>
            </w:r>
            <w:r>
              <w:rPr>
                <w:color w:val="231F20"/>
                <w:spacing w:val="-2"/>
                <w:sz w:val="15"/>
              </w:rPr>
              <w:t>without </w:t>
            </w:r>
            <w:r>
              <w:rPr>
                <w:color w:val="231F20"/>
                <w:sz w:val="15"/>
              </w:rPr>
              <w:t>conjunctival injection and tearing (SUNCT)</w:t>
            </w:r>
          </w:p>
          <w:p>
            <w:pPr>
              <w:pStyle w:val="TableParagraph"/>
              <w:spacing w:line="230" w:lineRule="auto" w:before="1"/>
              <w:ind w:left="74" w:right="3640"/>
              <w:rPr>
                <w:sz w:val="15"/>
              </w:rPr>
            </w:pPr>
            <w:r>
              <w:rPr>
                <w:color w:val="231F20"/>
                <w:w w:val="105"/>
                <w:sz w:val="15"/>
              </w:rPr>
              <w:t>Episodic</w:t>
            </w:r>
            <w:r>
              <w:rPr>
                <w:color w:val="231F20"/>
                <w:spacing w:val="-12"/>
                <w:w w:val="105"/>
                <w:sz w:val="15"/>
              </w:rPr>
              <w:t> </w:t>
            </w:r>
            <w:r>
              <w:rPr>
                <w:color w:val="231F20"/>
                <w:w w:val="105"/>
                <w:sz w:val="15"/>
              </w:rPr>
              <w:t>SUNCT </w:t>
            </w:r>
            <w:r>
              <w:rPr>
                <w:color w:val="231F20"/>
                <w:sz w:val="15"/>
              </w:rPr>
              <w:t>Chronic</w:t>
            </w:r>
            <w:r>
              <w:rPr>
                <w:color w:val="231F20"/>
                <w:spacing w:val="6"/>
                <w:sz w:val="15"/>
              </w:rPr>
              <w:t> </w:t>
            </w:r>
            <w:r>
              <w:rPr>
                <w:color w:val="231F20"/>
                <w:spacing w:val="-2"/>
                <w:sz w:val="15"/>
              </w:rPr>
              <w:t>SUNCT</w:t>
            </w:r>
          </w:p>
          <w:p>
            <w:pPr>
              <w:pStyle w:val="TableParagraph"/>
              <w:spacing w:line="230" w:lineRule="auto" w:before="2"/>
              <w:ind w:left="186" w:hanging="112"/>
              <w:rPr>
                <w:sz w:val="15"/>
              </w:rPr>
            </w:pPr>
            <w:r>
              <w:rPr>
                <w:color w:val="231F20"/>
                <w:spacing w:val="-2"/>
                <w:sz w:val="15"/>
              </w:rPr>
              <w:t>Short-lasting</w:t>
            </w:r>
            <w:r>
              <w:rPr>
                <w:color w:val="231F20"/>
                <w:spacing w:val="-5"/>
                <w:sz w:val="15"/>
              </w:rPr>
              <w:t> </w:t>
            </w:r>
            <w:r>
              <w:rPr>
                <w:color w:val="231F20"/>
                <w:spacing w:val="-2"/>
                <w:sz w:val="15"/>
              </w:rPr>
              <w:t>unilateral</w:t>
            </w:r>
            <w:r>
              <w:rPr>
                <w:color w:val="231F20"/>
                <w:spacing w:val="-5"/>
                <w:sz w:val="15"/>
              </w:rPr>
              <w:t> </w:t>
            </w:r>
            <w:r>
              <w:rPr>
                <w:color w:val="231F20"/>
                <w:spacing w:val="-2"/>
                <w:sz w:val="15"/>
              </w:rPr>
              <w:t>neuralgiform</w:t>
            </w:r>
            <w:r>
              <w:rPr>
                <w:color w:val="231F20"/>
                <w:spacing w:val="-5"/>
                <w:sz w:val="15"/>
              </w:rPr>
              <w:t> </w:t>
            </w:r>
            <w:r>
              <w:rPr>
                <w:color w:val="231F20"/>
                <w:spacing w:val="-2"/>
                <w:sz w:val="15"/>
              </w:rPr>
              <w:t>headache</w:t>
            </w:r>
            <w:r>
              <w:rPr>
                <w:color w:val="231F20"/>
                <w:spacing w:val="-5"/>
                <w:sz w:val="15"/>
              </w:rPr>
              <w:t> </w:t>
            </w:r>
            <w:r>
              <w:rPr>
                <w:color w:val="231F20"/>
                <w:spacing w:val="-2"/>
                <w:sz w:val="15"/>
              </w:rPr>
              <w:t>attacks</w:t>
            </w:r>
            <w:r>
              <w:rPr>
                <w:color w:val="231F20"/>
                <w:spacing w:val="-5"/>
                <w:sz w:val="15"/>
              </w:rPr>
              <w:t> </w:t>
            </w:r>
            <w:r>
              <w:rPr>
                <w:color w:val="231F20"/>
                <w:spacing w:val="-2"/>
                <w:sz w:val="15"/>
              </w:rPr>
              <w:t>with</w:t>
            </w:r>
            <w:r>
              <w:rPr>
                <w:color w:val="231F20"/>
                <w:spacing w:val="-5"/>
                <w:sz w:val="15"/>
              </w:rPr>
              <w:t> </w:t>
            </w:r>
            <w:r>
              <w:rPr>
                <w:color w:val="231F20"/>
                <w:spacing w:val="-2"/>
                <w:sz w:val="15"/>
              </w:rPr>
              <w:t>or</w:t>
            </w:r>
            <w:r>
              <w:rPr>
                <w:color w:val="231F20"/>
                <w:spacing w:val="-5"/>
                <w:sz w:val="15"/>
              </w:rPr>
              <w:t> </w:t>
            </w:r>
            <w:r>
              <w:rPr>
                <w:color w:val="231F20"/>
                <w:spacing w:val="-2"/>
                <w:sz w:val="15"/>
              </w:rPr>
              <w:t>without </w:t>
            </w:r>
            <w:r>
              <w:rPr>
                <w:color w:val="231F20"/>
                <w:sz w:val="15"/>
              </w:rPr>
              <w:t>cranial autonomic symptoms (SUNA)</w:t>
            </w:r>
          </w:p>
          <w:p>
            <w:pPr>
              <w:pStyle w:val="TableParagraph"/>
              <w:spacing w:line="230" w:lineRule="auto" w:before="1"/>
              <w:ind w:left="74" w:right="3376"/>
              <w:rPr>
                <w:sz w:val="15"/>
              </w:rPr>
            </w:pPr>
            <w:r>
              <w:rPr>
                <w:color w:val="231F20"/>
                <w:sz w:val="15"/>
              </w:rPr>
              <w:t>Episodic SUNA Chronic SUNA </w:t>
            </w:r>
            <w:r>
              <w:rPr>
                <w:color w:val="231F20"/>
                <w:spacing w:val="-2"/>
                <w:sz w:val="15"/>
              </w:rPr>
              <w:t>Hemicrania</w:t>
            </w:r>
            <w:r>
              <w:rPr>
                <w:color w:val="231F20"/>
                <w:spacing w:val="-10"/>
                <w:sz w:val="15"/>
              </w:rPr>
              <w:t> </w:t>
            </w:r>
            <w:r>
              <w:rPr>
                <w:color w:val="231F20"/>
                <w:spacing w:val="-2"/>
                <w:sz w:val="15"/>
              </w:rPr>
              <w:t>continua</w:t>
            </w:r>
          </w:p>
          <w:p>
            <w:pPr>
              <w:pStyle w:val="TableParagraph"/>
              <w:spacing w:line="171" w:lineRule="exact"/>
              <w:ind w:left="74"/>
              <w:rPr>
                <w:sz w:val="15"/>
              </w:rPr>
            </w:pPr>
            <w:r>
              <w:rPr>
                <w:color w:val="231F20"/>
                <w:sz w:val="15"/>
              </w:rPr>
              <w:t>Probable</w:t>
            </w:r>
            <w:r>
              <w:rPr>
                <w:color w:val="231F20"/>
                <w:spacing w:val="-7"/>
                <w:sz w:val="15"/>
              </w:rPr>
              <w:t> </w:t>
            </w:r>
            <w:r>
              <w:rPr>
                <w:color w:val="231F20"/>
                <w:sz w:val="15"/>
              </w:rPr>
              <w:t>trigeminal</w:t>
            </w:r>
            <w:r>
              <w:rPr>
                <w:color w:val="231F20"/>
                <w:spacing w:val="-6"/>
                <w:sz w:val="15"/>
              </w:rPr>
              <w:t> </w:t>
            </w:r>
            <w:r>
              <w:rPr>
                <w:color w:val="231F20"/>
                <w:sz w:val="15"/>
              </w:rPr>
              <w:t>autonomic</w:t>
            </w:r>
            <w:r>
              <w:rPr>
                <w:color w:val="231F20"/>
                <w:spacing w:val="-6"/>
                <w:sz w:val="15"/>
              </w:rPr>
              <w:t> </w:t>
            </w:r>
            <w:r>
              <w:rPr>
                <w:color w:val="231F20"/>
                <w:spacing w:val="-2"/>
                <w:sz w:val="15"/>
              </w:rPr>
              <w:t>cephalalgias</w:t>
            </w:r>
          </w:p>
        </w:tc>
        <w:tc>
          <w:tcPr>
            <w:tcW w:w="4870" w:type="dxa"/>
            <w:vMerge/>
            <w:tcBorders>
              <w:top w:val="nil"/>
              <w:left w:val="single" w:sz="4" w:space="0" w:color="231F20"/>
              <w:right w:val="nil"/>
            </w:tcBorders>
            <w:shd w:val="clear" w:color="auto" w:fill="E8F5F1"/>
          </w:tcPr>
          <w:p>
            <w:pPr>
              <w:rPr>
                <w:sz w:val="2"/>
                <w:szCs w:val="2"/>
              </w:rPr>
            </w:pPr>
          </w:p>
        </w:tc>
      </w:tr>
      <w:tr>
        <w:trPr>
          <w:trHeight w:val="365" w:hRule="exact"/>
        </w:trPr>
        <w:tc>
          <w:tcPr>
            <w:tcW w:w="4870" w:type="dxa"/>
            <w:vMerge/>
            <w:tcBorders>
              <w:top w:val="nil"/>
              <w:left w:val="nil"/>
              <w:right w:val="single" w:sz="4" w:space="0" w:color="231F20"/>
            </w:tcBorders>
            <w:shd w:val="clear" w:color="auto" w:fill="E8F5F1"/>
          </w:tcPr>
          <w:p>
            <w:pPr>
              <w:rPr>
                <w:sz w:val="2"/>
                <w:szCs w:val="2"/>
              </w:rPr>
            </w:pPr>
          </w:p>
        </w:tc>
        <w:tc>
          <w:tcPr>
            <w:tcW w:w="4870" w:type="dxa"/>
            <w:vMerge w:val="restart"/>
            <w:tcBorders>
              <w:left w:val="single" w:sz="4" w:space="0" w:color="231F20"/>
              <w:bottom w:val="single" w:sz="8" w:space="0" w:color="231F20"/>
              <w:right w:val="nil"/>
            </w:tcBorders>
            <w:shd w:val="clear" w:color="auto" w:fill="E8F5F1"/>
          </w:tcPr>
          <w:p>
            <w:pPr>
              <w:pStyle w:val="TableParagraph"/>
              <w:spacing w:line="230" w:lineRule="auto" w:before="49"/>
              <w:ind w:left="69"/>
              <w:rPr>
                <w:sz w:val="15"/>
              </w:rPr>
            </w:pPr>
            <w:r>
              <w:rPr>
                <w:color w:val="231F20"/>
                <w:w w:val="110"/>
                <w:sz w:val="15"/>
              </w:rPr>
              <w:t>HEADACHE ATTRIBUTED TO NONVASCULAR </w:t>
            </w:r>
            <w:r>
              <w:rPr>
                <w:color w:val="231F20"/>
                <w:w w:val="110"/>
                <w:sz w:val="15"/>
              </w:rPr>
              <w:t>INTRACRANIAL </w:t>
            </w:r>
            <w:r>
              <w:rPr>
                <w:color w:val="231F20"/>
                <w:spacing w:val="-2"/>
                <w:w w:val="110"/>
                <w:sz w:val="15"/>
              </w:rPr>
              <w:t>DISORDER</w:t>
            </w:r>
          </w:p>
          <w:p>
            <w:pPr>
              <w:pStyle w:val="TableParagraph"/>
              <w:spacing w:line="230" w:lineRule="auto" w:before="2"/>
              <w:ind w:left="69"/>
              <w:rPr>
                <w:sz w:val="15"/>
              </w:rPr>
            </w:pPr>
            <w:r>
              <w:rPr>
                <w:color w:val="231F20"/>
                <w:sz w:val="15"/>
              </w:rPr>
              <w:t>Headache attributed to increased cerebrospinal fluid pressure </w:t>
            </w:r>
            <w:r>
              <w:rPr>
                <w:color w:val="231F20"/>
                <w:spacing w:val="-2"/>
                <w:sz w:val="15"/>
              </w:rPr>
              <w:t>Headache</w:t>
            </w:r>
            <w:r>
              <w:rPr>
                <w:color w:val="231F20"/>
                <w:spacing w:val="-5"/>
                <w:sz w:val="15"/>
              </w:rPr>
              <w:t> </w:t>
            </w:r>
            <w:r>
              <w:rPr>
                <w:color w:val="231F20"/>
                <w:spacing w:val="-2"/>
                <w:sz w:val="15"/>
              </w:rPr>
              <w:t>attributed</w:t>
            </w:r>
            <w:r>
              <w:rPr>
                <w:color w:val="231F20"/>
                <w:spacing w:val="-5"/>
                <w:sz w:val="15"/>
              </w:rPr>
              <w:t> </w:t>
            </w:r>
            <w:r>
              <w:rPr>
                <w:color w:val="231F20"/>
                <w:spacing w:val="-2"/>
                <w:sz w:val="15"/>
              </w:rPr>
              <w:t>to</w:t>
            </w:r>
            <w:r>
              <w:rPr>
                <w:color w:val="231F20"/>
                <w:spacing w:val="-5"/>
                <w:sz w:val="15"/>
              </w:rPr>
              <w:t> </w:t>
            </w:r>
            <w:r>
              <w:rPr>
                <w:color w:val="231F20"/>
                <w:spacing w:val="-2"/>
                <w:sz w:val="15"/>
              </w:rPr>
              <w:t>idiopathic</w:t>
            </w:r>
            <w:r>
              <w:rPr>
                <w:color w:val="231F20"/>
                <w:spacing w:val="-5"/>
                <w:sz w:val="15"/>
              </w:rPr>
              <w:t> </w:t>
            </w:r>
            <w:r>
              <w:rPr>
                <w:color w:val="231F20"/>
                <w:spacing w:val="-2"/>
                <w:sz w:val="15"/>
              </w:rPr>
              <w:t>intracranial</w:t>
            </w:r>
            <w:r>
              <w:rPr>
                <w:color w:val="231F20"/>
                <w:spacing w:val="-5"/>
                <w:sz w:val="15"/>
              </w:rPr>
              <w:t> </w:t>
            </w:r>
            <w:r>
              <w:rPr>
                <w:color w:val="231F20"/>
                <w:spacing w:val="-2"/>
                <w:sz w:val="15"/>
              </w:rPr>
              <w:t>hypertension</w:t>
            </w:r>
            <w:r>
              <w:rPr>
                <w:color w:val="231F20"/>
                <w:spacing w:val="-5"/>
                <w:sz w:val="15"/>
              </w:rPr>
              <w:t> </w:t>
            </w:r>
            <w:r>
              <w:rPr>
                <w:color w:val="231F20"/>
                <w:spacing w:val="-2"/>
                <w:sz w:val="15"/>
              </w:rPr>
              <w:t>(IIH)</w:t>
            </w:r>
          </w:p>
          <w:p>
            <w:pPr>
              <w:pStyle w:val="TableParagraph"/>
              <w:spacing w:line="230" w:lineRule="auto" w:before="2"/>
              <w:ind w:left="181" w:hanging="112"/>
              <w:rPr>
                <w:sz w:val="15"/>
              </w:rPr>
            </w:pPr>
            <w:r>
              <w:rPr>
                <w:color w:val="231F20"/>
                <w:spacing w:val="-2"/>
                <w:sz w:val="15"/>
              </w:rPr>
              <w:t>Headache attributed to intracranial hypertension secondary </w:t>
            </w:r>
            <w:r>
              <w:rPr>
                <w:color w:val="231F20"/>
                <w:spacing w:val="-2"/>
                <w:sz w:val="15"/>
              </w:rPr>
              <w:t>to </w:t>
            </w:r>
            <w:r>
              <w:rPr>
                <w:color w:val="231F20"/>
                <w:sz w:val="15"/>
              </w:rPr>
              <w:t>metabolic, toxic, or hormonal causes</w:t>
            </w:r>
          </w:p>
          <w:p>
            <w:pPr>
              <w:pStyle w:val="TableParagraph"/>
              <w:spacing w:line="230" w:lineRule="auto" w:before="1"/>
              <w:ind w:left="181" w:hanging="112"/>
              <w:rPr>
                <w:sz w:val="15"/>
              </w:rPr>
            </w:pPr>
            <w:r>
              <w:rPr>
                <w:color w:val="231F20"/>
                <w:spacing w:val="-2"/>
                <w:sz w:val="15"/>
              </w:rPr>
              <w:t>Headache attributed to intracranial hypertension secondary </w:t>
            </w:r>
            <w:r>
              <w:rPr>
                <w:color w:val="231F20"/>
                <w:spacing w:val="-2"/>
                <w:sz w:val="15"/>
              </w:rPr>
              <w:t>to hydrocephalus</w:t>
            </w:r>
          </w:p>
          <w:p>
            <w:pPr>
              <w:pStyle w:val="TableParagraph"/>
              <w:spacing w:line="230" w:lineRule="auto" w:before="2"/>
              <w:ind w:left="69" w:right="895"/>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low</w:t>
            </w:r>
            <w:r>
              <w:rPr>
                <w:color w:val="231F20"/>
                <w:spacing w:val="-12"/>
                <w:sz w:val="15"/>
              </w:rPr>
              <w:t> </w:t>
            </w:r>
            <w:r>
              <w:rPr>
                <w:color w:val="231F20"/>
                <w:sz w:val="15"/>
              </w:rPr>
              <w:t>cerebrospinal</w:t>
            </w:r>
            <w:r>
              <w:rPr>
                <w:color w:val="231F20"/>
                <w:spacing w:val="-11"/>
                <w:sz w:val="15"/>
              </w:rPr>
              <w:t> </w:t>
            </w:r>
            <w:r>
              <w:rPr>
                <w:color w:val="231F20"/>
                <w:sz w:val="15"/>
              </w:rPr>
              <w:t>fluid</w:t>
            </w:r>
            <w:r>
              <w:rPr>
                <w:color w:val="231F20"/>
                <w:spacing w:val="-11"/>
                <w:sz w:val="15"/>
              </w:rPr>
              <w:t> </w:t>
            </w:r>
            <w:r>
              <w:rPr>
                <w:color w:val="231F20"/>
                <w:sz w:val="15"/>
              </w:rPr>
              <w:t>pressure Postdural puncture headache</w:t>
            </w:r>
          </w:p>
          <w:p>
            <w:pPr>
              <w:pStyle w:val="TableParagraph"/>
              <w:spacing w:line="167" w:lineRule="exact"/>
              <w:ind w:left="69"/>
              <w:rPr>
                <w:sz w:val="15"/>
              </w:rPr>
            </w:pPr>
            <w:r>
              <w:rPr>
                <w:color w:val="231F20"/>
                <w:spacing w:val="-2"/>
                <w:sz w:val="15"/>
              </w:rPr>
              <w:t>Cerebrospinal</w:t>
            </w:r>
            <w:r>
              <w:rPr>
                <w:color w:val="231F20"/>
                <w:sz w:val="15"/>
              </w:rPr>
              <w:t> </w:t>
            </w:r>
            <w:r>
              <w:rPr>
                <w:color w:val="231F20"/>
                <w:spacing w:val="-2"/>
                <w:sz w:val="15"/>
              </w:rPr>
              <w:t>fluid</w:t>
            </w:r>
            <w:r>
              <w:rPr>
                <w:color w:val="231F20"/>
                <w:spacing w:val="1"/>
                <w:sz w:val="15"/>
              </w:rPr>
              <w:t> </w:t>
            </w:r>
            <w:r>
              <w:rPr>
                <w:color w:val="231F20"/>
                <w:spacing w:val="-2"/>
                <w:sz w:val="15"/>
              </w:rPr>
              <w:t>fistula</w:t>
            </w:r>
            <w:r>
              <w:rPr>
                <w:color w:val="231F20"/>
                <w:spacing w:val="1"/>
                <w:sz w:val="15"/>
              </w:rPr>
              <w:t> </w:t>
            </w:r>
            <w:r>
              <w:rPr>
                <w:color w:val="231F20"/>
                <w:spacing w:val="-2"/>
                <w:sz w:val="15"/>
              </w:rPr>
              <w:t>headache</w:t>
            </w:r>
          </w:p>
          <w:p>
            <w:pPr>
              <w:pStyle w:val="TableParagraph"/>
              <w:spacing w:line="230" w:lineRule="auto" w:before="2"/>
              <w:ind w:left="69" w:right="400"/>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spontaneous</w:t>
            </w:r>
            <w:r>
              <w:rPr>
                <w:color w:val="231F20"/>
                <w:spacing w:val="-12"/>
                <w:sz w:val="15"/>
              </w:rPr>
              <w:t> </w:t>
            </w:r>
            <w:r>
              <w:rPr>
                <w:color w:val="231F20"/>
                <w:sz w:val="15"/>
              </w:rPr>
              <w:t>intracranial</w:t>
            </w:r>
            <w:r>
              <w:rPr>
                <w:color w:val="231F20"/>
                <w:spacing w:val="-11"/>
                <w:sz w:val="15"/>
              </w:rPr>
              <w:t> </w:t>
            </w:r>
            <w:r>
              <w:rPr>
                <w:color w:val="231F20"/>
                <w:sz w:val="15"/>
              </w:rPr>
              <w:t>hypotension Headache attributed to noninfectious inflammatory disease Headache attributed to neurosarcoidosis</w:t>
            </w:r>
          </w:p>
          <w:p>
            <w:pPr>
              <w:pStyle w:val="TableParagraph"/>
              <w:spacing w:line="230" w:lineRule="auto" w:before="3"/>
              <w:ind w:left="69" w:right="422"/>
              <w:rPr>
                <w:sz w:val="15"/>
              </w:rPr>
            </w:pPr>
            <w:r>
              <w:rPr>
                <w:color w:val="231F20"/>
                <w:sz w:val="15"/>
              </w:rPr>
              <w:t>Headache attributed to aseptic (noninfectious) meningitis 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other</w:t>
            </w:r>
            <w:r>
              <w:rPr>
                <w:color w:val="231F20"/>
                <w:spacing w:val="-12"/>
                <w:sz w:val="15"/>
              </w:rPr>
              <w:t> </w:t>
            </w:r>
            <w:r>
              <w:rPr>
                <w:color w:val="231F20"/>
                <w:sz w:val="15"/>
              </w:rPr>
              <w:t>noninfectious</w:t>
            </w:r>
            <w:r>
              <w:rPr>
                <w:color w:val="231F20"/>
                <w:spacing w:val="-11"/>
                <w:sz w:val="15"/>
              </w:rPr>
              <w:t> </w:t>
            </w:r>
            <w:r>
              <w:rPr>
                <w:color w:val="231F20"/>
                <w:sz w:val="15"/>
              </w:rPr>
              <w:t>inflammatory</w:t>
            </w:r>
            <w:r>
              <w:rPr>
                <w:color w:val="231F20"/>
                <w:spacing w:val="-11"/>
                <w:sz w:val="15"/>
              </w:rPr>
              <w:t> </w:t>
            </w:r>
            <w:r>
              <w:rPr>
                <w:color w:val="231F20"/>
                <w:sz w:val="15"/>
              </w:rPr>
              <w:t>disease Headache attributed to lymphocytic hypophysitis</w:t>
            </w:r>
          </w:p>
          <w:p>
            <w:pPr>
              <w:pStyle w:val="TableParagraph"/>
              <w:spacing w:line="230" w:lineRule="auto" w:before="2"/>
              <w:ind w:left="181" w:hanging="112"/>
              <w:rPr>
                <w:sz w:val="15"/>
              </w:rPr>
            </w:pPr>
            <w:r>
              <w:rPr>
                <w:color w:val="231F20"/>
                <w:sz w:val="15"/>
              </w:rPr>
              <w:t>Syndrome</w:t>
            </w:r>
            <w:r>
              <w:rPr>
                <w:color w:val="231F20"/>
                <w:spacing w:val="-12"/>
                <w:sz w:val="15"/>
              </w:rPr>
              <w:t> </w:t>
            </w:r>
            <w:r>
              <w:rPr>
                <w:color w:val="231F20"/>
                <w:sz w:val="15"/>
              </w:rPr>
              <w:t>of</w:t>
            </w:r>
            <w:r>
              <w:rPr>
                <w:color w:val="231F20"/>
                <w:spacing w:val="-11"/>
                <w:sz w:val="15"/>
              </w:rPr>
              <w:t> </w:t>
            </w:r>
            <w:r>
              <w:rPr>
                <w:color w:val="231F20"/>
                <w:sz w:val="15"/>
              </w:rPr>
              <w:t>transient</w:t>
            </w:r>
            <w:r>
              <w:rPr>
                <w:color w:val="231F20"/>
                <w:spacing w:val="-11"/>
                <w:sz w:val="15"/>
              </w:rPr>
              <w:t> </w:t>
            </w:r>
            <w:r>
              <w:rPr>
                <w:color w:val="231F20"/>
                <w:sz w:val="15"/>
              </w:rPr>
              <w:t>headache</w:t>
            </w:r>
            <w:r>
              <w:rPr>
                <w:color w:val="231F20"/>
                <w:spacing w:val="-12"/>
                <w:sz w:val="15"/>
              </w:rPr>
              <w:t> </w:t>
            </w:r>
            <w:r>
              <w:rPr>
                <w:color w:val="231F20"/>
                <w:sz w:val="15"/>
              </w:rPr>
              <w:t>and</w:t>
            </w:r>
            <w:r>
              <w:rPr>
                <w:color w:val="231F20"/>
                <w:spacing w:val="-11"/>
                <w:sz w:val="15"/>
              </w:rPr>
              <w:t> </w:t>
            </w:r>
            <w:r>
              <w:rPr>
                <w:color w:val="231F20"/>
                <w:sz w:val="15"/>
              </w:rPr>
              <w:t>neurological</w:t>
            </w:r>
            <w:r>
              <w:rPr>
                <w:color w:val="231F20"/>
                <w:spacing w:val="-11"/>
                <w:sz w:val="15"/>
              </w:rPr>
              <w:t> </w:t>
            </w:r>
            <w:r>
              <w:rPr>
                <w:color w:val="231F20"/>
                <w:sz w:val="15"/>
              </w:rPr>
              <w:t>deficits</w:t>
            </w:r>
            <w:r>
              <w:rPr>
                <w:color w:val="231F20"/>
                <w:spacing w:val="-12"/>
                <w:sz w:val="15"/>
              </w:rPr>
              <w:t> </w:t>
            </w:r>
            <w:r>
              <w:rPr>
                <w:color w:val="231F20"/>
                <w:sz w:val="15"/>
              </w:rPr>
              <w:t>with cerebrospinal fluid lymphocytosis (HaNDL)</w:t>
            </w:r>
          </w:p>
          <w:p>
            <w:pPr>
              <w:pStyle w:val="TableParagraph"/>
              <w:spacing w:line="167" w:lineRule="exact"/>
              <w:ind w:left="69"/>
              <w:rPr>
                <w:sz w:val="15"/>
              </w:rPr>
            </w:pPr>
            <w:r>
              <w:rPr>
                <w:color w:val="231F20"/>
                <w:spacing w:val="-2"/>
                <w:sz w:val="15"/>
              </w:rPr>
              <w:t>Headache</w:t>
            </w:r>
            <w:r>
              <w:rPr>
                <w:color w:val="231F20"/>
                <w:spacing w:val="-3"/>
                <w:sz w:val="15"/>
              </w:rPr>
              <w:t> </w:t>
            </w:r>
            <w:r>
              <w:rPr>
                <w:color w:val="231F20"/>
                <w:spacing w:val="-2"/>
                <w:sz w:val="15"/>
              </w:rPr>
              <w:t>attributed</w:t>
            </w:r>
            <w:r>
              <w:rPr>
                <w:color w:val="231F20"/>
                <w:spacing w:val="-3"/>
                <w:sz w:val="15"/>
              </w:rPr>
              <w:t> </w:t>
            </w:r>
            <w:r>
              <w:rPr>
                <w:color w:val="231F20"/>
                <w:spacing w:val="-2"/>
                <w:sz w:val="15"/>
              </w:rPr>
              <w:t>to</w:t>
            </w:r>
            <w:r>
              <w:rPr>
                <w:color w:val="231F20"/>
                <w:spacing w:val="-3"/>
                <w:sz w:val="15"/>
              </w:rPr>
              <w:t> </w:t>
            </w:r>
            <w:r>
              <w:rPr>
                <w:color w:val="231F20"/>
                <w:spacing w:val="-2"/>
                <w:sz w:val="15"/>
              </w:rPr>
              <w:t>intracranial neoplasm</w:t>
            </w:r>
          </w:p>
          <w:p>
            <w:pPr>
              <w:pStyle w:val="TableParagraph"/>
              <w:spacing w:line="230" w:lineRule="auto" w:before="2"/>
              <w:ind w:left="69" w:right="853"/>
              <w:rPr>
                <w:sz w:val="15"/>
              </w:rPr>
            </w:pPr>
            <w:r>
              <w:rPr>
                <w:color w:val="231F20"/>
                <w:sz w:val="15"/>
              </w:rPr>
              <w:t>Headache attributed to colloid cyst of the third ventricle Headache attributed to carcinomatous meningitis 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hypothalamic</w:t>
            </w:r>
            <w:r>
              <w:rPr>
                <w:color w:val="231F20"/>
                <w:spacing w:val="-12"/>
                <w:sz w:val="15"/>
              </w:rPr>
              <w:t> </w:t>
            </w:r>
            <w:r>
              <w:rPr>
                <w:color w:val="231F20"/>
                <w:sz w:val="15"/>
              </w:rPr>
              <w:t>or</w:t>
            </w:r>
            <w:r>
              <w:rPr>
                <w:color w:val="231F20"/>
                <w:spacing w:val="-11"/>
                <w:sz w:val="15"/>
              </w:rPr>
              <w:t> </w:t>
            </w:r>
            <w:r>
              <w:rPr>
                <w:color w:val="231F20"/>
                <w:sz w:val="15"/>
              </w:rPr>
              <w:t>pituitary</w:t>
            </w:r>
            <w:r>
              <w:rPr>
                <w:color w:val="231F20"/>
                <w:spacing w:val="-11"/>
                <w:sz w:val="15"/>
              </w:rPr>
              <w:t> </w:t>
            </w:r>
            <w:r>
              <w:rPr>
                <w:color w:val="231F20"/>
                <w:sz w:val="15"/>
              </w:rPr>
              <w:t>hyper-</w:t>
            </w:r>
            <w:r>
              <w:rPr>
                <w:color w:val="231F20"/>
                <w:spacing w:val="-12"/>
                <w:sz w:val="15"/>
              </w:rPr>
              <w:t> </w:t>
            </w:r>
            <w:r>
              <w:rPr>
                <w:color w:val="231F20"/>
                <w:sz w:val="15"/>
              </w:rPr>
              <w:t>or</w:t>
            </w:r>
          </w:p>
          <w:p>
            <w:pPr>
              <w:pStyle w:val="TableParagraph"/>
              <w:spacing w:line="168" w:lineRule="exact"/>
              <w:ind w:left="181"/>
              <w:rPr>
                <w:sz w:val="15"/>
              </w:rPr>
            </w:pPr>
            <w:r>
              <w:rPr>
                <w:color w:val="231F20"/>
                <w:spacing w:val="-2"/>
                <w:sz w:val="15"/>
              </w:rPr>
              <w:t>hyposecretion</w:t>
            </w:r>
          </w:p>
          <w:p>
            <w:pPr>
              <w:pStyle w:val="TableParagraph"/>
              <w:spacing w:line="230" w:lineRule="auto" w:before="3"/>
              <w:ind w:left="69" w:right="1539"/>
              <w:rPr>
                <w:sz w:val="15"/>
              </w:rPr>
            </w:pPr>
            <w:r>
              <w:rPr>
                <w:color w:val="231F20"/>
                <w:spacing w:val="-2"/>
                <w:sz w:val="15"/>
              </w:rPr>
              <w:t>Headache</w:t>
            </w:r>
            <w:r>
              <w:rPr>
                <w:color w:val="231F20"/>
                <w:spacing w:val="-10"/>
                <w:sz w:val="15"/>
              </w:rPr>
              <w:t> </w:t>
            </w:r>
            <w:r>
              <w:rPr>
                <w:color w:val="231F20"/>
                <w:spacing w:val="-2"/>
                <w:sz w:val="15"/>
              </w:rPr>
              <w:t>attributed</w:t>
            </w:r>
            <w:r>
              <w:rPr>
                <w:color w:val="231F20"/>
                <w:spacing w:val="-9"/>
                <w:sz w:val="15"/>
              </w:rPr>
              <w:t> </w:t>
            </w:r>
            <w:r>
              <w:rPr>
                <w:color w:val="231F20"/>
                <w:spacing w:val="-2"/>
                <w:sz w:val="15"/>
              </w:rPr>
              <w:t>to</w:t>
            </w:r>
            <w:r>
              <w:rPr>
                <w:color w:val="231F20"/>
                <w:spacing w:val="-9"/>
                <w:sz w:val="15"/>
              </w:rPr>
              <w:t> </w:t>
            </w:r>
            <w:r>
              <w:rPr>
                <w:color w:val="231F20"/>
                <w:spacing w:val="-2"/>
                <w:sz w:val="15"/>
              </w:rPr>
              <w:t>intrathecal</w:t>
            </w:r>
            <w:r>
              <w:rPr>
                <w:color w:val="231F20"/>
                <w:spacing w:val="-10"/>
                <w:sz w:val="15"/>
              </w:rPr>
              <w:t> </w:t>
            </w:r>
            <w:r>
              <w:rPr>
                <w:color w:val="231F20"/>
                <w:spacing w:val="-2"/>
                <w:sz w:val="15"/>
              </w:rPr>
              <w:t>injection </w:t>
            </w:r>
            <w:r>
              <w:rPr>
                <w:color w:val="231F20"/>
                <w:sz w:val="15"/>
              </w:rPr>
              <w:t>Headache attributed to epileptic seizure Hemicrania epileptica</w:t>
            </w:r>
          </w:p>
          <w:p>
            <w:pPr>
              <w:pStyle w:val="TableParagraph"/>
              <w:spacing w:line="168" w:lineRule="exact"/>
              <w:ind w:left="69"/>
              <w:rPr>
                <w:sz w:val="15"/>
              </w:rPr>
            </w:pPr>
            <w:r>
              <w:rPr>
                <w:color w:val="231F20"/>
                <w:spacing w:val="-4"/>
                <w:sz w:val="15"/>
              </w:rPr>
              <w:t>Postictal</w:t>
            </w:r>
            <w:r>
              <w:rPr>
                <w:color w:val="231F20"/>
                <w:spacing w:val="7"/>
                <w:sz w:val="15"/>
              </w:rPr>
              <w:t> </w:t>
            </w:r>
            <w:r>
              <w:rPr>
                <w:color w:val="231F20"/>
                <w:spacing w:val="-2"/>
                <w:sz w:val="15"/>
              </w:rPr>
              <w:t>headache</w:t>
            </w:r>
          </w:p>
          <w:p>
            <w:pPr>
              <w:pStyle w:val="TableParagraph"/>
              <w:spacing w:line="230" w:lineRule="auto" w:before="2"/>
              <w:ind w:left="69" w:right="400"/>
              <w:rPr>
                <w:sz w:val="15"/>
              </w:rPr>
            </w:pPr>
            <w:r>
              <w:rPr>
                <w:color w:val="231F20"/>
                <w:sz w:val="15"/>
              </w:rPr>
              <w:t>Headache attributed to Chiari malformation type I (CM1) </w:t>
            </w:r>
            <w:r>
              <w:rPr>
                <w:color w:val="231F20"/>
                <w:spacing w:val="-2"/>
                <w:sz w:val="15"/>
              </w:rPr>
              <w:t>Headache attributed to other nonvascular intracranial </w:t>
            </w:r>
            <w:r>
              <w:rPr>
                <w:color w:val="231F20"/>
                <w:spacing w:val="-2"/>
                <w:sz w:val="15"/>
              </w:rPr>
              <w:t>disorder</w:t>
            </w:r>
          </w:p>
        </w:tc>
      </w:tr>
      <w:tr>
        <w:trPr>
          <w:trHeight w:val="2280" w:hRule="exact"/>
        </w:trPr>
        <w:tc>
          <w:tcPr>
            <w:tcW w:w="4870" w:type="dxa"/>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OTHER</w:t>
            </w:r>
            <w:r>
              <w:rPr>
                <w:color w:val="231F20"/>
                <w:spacing w:val="11"/>
                <w:w w:val="110"/>
                <w:sz w:val="15"/>
              </w:rPr>
              <w:t> </w:t>
            </w:r>
            <w:r>
              <w:rPr>
                <w:color w:val="231F20"/>
                <w:w w:val="110"/>
                <w:sz w:val="15"/>
              </w:rPr>
              <w:t>PRIMARY</w:t>
            </w:r>
            <w:r>
              <w:rPr>
                <w:color w:val="231F20"/>
                <w:spacing w:val="11"/>
                <w:w w:val="110"/>
                <w:sz w:val="15"/>
              </w:rPr>
              <w:t> </w:t>
            </w:r>
            <w:r>
              <w:rPr>
                <w:color w:val="231F20"/>
                <w:w w:val="110"/>
                <w:sz w:val="15"/>
              </w:rPr>
              <w:t>HEADACHE</w:t>
            </w:r>
            <w:r>
              <w:rPr>
                <w:color w:val="231F20"/>
                <w:spacing w:val="12"/>
                <w:w w:val="110"/>
                <w:sz w:val="15"/>
              </w:rPr>
              <w:t> </w:t>
            </w:r>
            <w:r>
              <w:rPr>
                <w:color w:val="231F20"/>
                <w:spacing w:val="-2"/>
                <w:w w:val="110"/>
                <w:sz w:val="15"/>
              </w:rPr>
              <w:t>DISORDERS</w:t>
            </w:r>
          </w:p>
          <w:p>
            <w:pPr>
              <w:pStyle w:val="TableParagraph"/>
              <w:spacing w:line="230" w:lineRule="auto" w:before="3"/>
              <w:ind w:left="74" w:right="2703"/>
              <w:rPr>
                <w:sz w:val="15"/>
              </w:rPr>
            </w:pPr>
            <w:r>
              <w:rPr>
                <w:color w:val="231F20"/>
                <w:sz w:val="15"/>
              </w:rPr>
              <w:t>Primary cough headache </w:t>
            </w:r>
            <w:r>
              <w:rPr>
                <w:color w:val="231F20"/>
                <w:spacing w:val="-2"/>
                <w:sz w:val="15"/>
              </w:rPr>
              <w:t>Primary</w:t>
            </w:r>
            <w:r>
              <w:rPr>
                <w:color w:val="231F20"/>
                <w:spacing w:val="-10"/>
                <w:sz w:val="15"/>
              </w:rPr>
              <w:t> </w:t>
            </w:r>
            <w:r>
              <w:rPr>
                <w:color w:val="231F20"/>
                <w:spacing w:val="-2"/>
                <w:sz w:val="15"/>
              </w:rPr>
              <w:t>exercise</w:t>
            </w:r>
            <w:r>
              <w:rPr>
                <w:color w:val="231F20"/>
                <w:spacing w:val="-9"/>
                <w:sz w:val="15"/>
              </w:rPr>
              <w:t> </w:t>
            </w:r>
            <w:r>
              <w:rPr>
                <w:color w:val="231F20"/>
                <w:spacing w:val="-2"/>
                <w:sz w:val="15"/>
              </w:rPr>
              <w:t>headache</w:t>
            </w:r>
          </w:p>
          <w:p>
            <w:pPr>
              <w:pStyle w:val="TableParagraph"/>
              <w:spacing w:line="230" w:lineRule="auto" w:before="2"/>
              <w:ind w:left="74" w:right="1539"/>
              <w:rPr>
                <w:sz w:val="15"/>
              </w:rPr>
            </w:pPr>
            <w:r>
              <w:rPr>
                <w:color w:val="231F20"/>
                <w:spacing w:val="-2"/>
                <w:sz w:val="15"/>
              </w:rPr>
              <w:t>Primary</w:t>
            </w:r>
            <w:r>
              <w:rPr>
                <w:color w:val="231F20"/>
                <w:spacing w:val="-8"/>
                <w:sz w:val="15"/>
              </w:rPr>
              <w:t> </w:t>
            </w:r>
            <w:r>
              <w:rPr>
                <w:color w:val="231F20"/>
                <w:spacing w:val="-2"/>
                <w:sz w:val="15"/>
              </w:rPr>
              <w:t>headache</w:t>
            </w:r>
            <w:r>
              <w:rPr>
                <w:color w:val="231F20"/>
                <w:spacing w:val="-8"/>
                <w:sz w:val="15"/>
              </w:rPr>
              <w:t> </w:t>
            </w:r>
            <w:r>
              <w:rPr>
                <w:color w:val="231F20"/>
                <w:spacing w:val="-2"/>
                <w:sz w:val="15"/>
              </w:rPr>
              <w:t>associated</w:t>
            </w:r>
            <w:r>
              <w:rPr>
                <w:color w:val="231F20"/>
                <w:spacing w:val="-8"/>
                <w:sz w:val="15"/>
              </w:rPr>
              <w:t> </w:t>
            </w:r>
            <w:r>
              <w:rPr>
                <w:color w:val="231F20"/>
                <w:spacing w:val="-2"/>
                <w:sz w:val="15"/>
              </w:rPr>
              <w:t>with</w:t>
            </w:r>
            <w:r>
              <w:rPr>
                <w:color w:val="231F20"/>
                <w:spacing w:val="-8"/>
                <w:sz w:val="15"/>
              </w:rPr>
              <w:t> </w:t>
            </w:r>
            <w:r>
              <w:rPr>
                <w:color w:val="231F20"/>
                <w:spacing w:val="-2"/>
                <w:sz w:val="15"/>
              </w:rPr>
              <w:t>sexual</w:t>
            </w:r>
            <w:r>
              <w:rPr>
                <w:color w:val="231F20"/>
                <w:spacing w:val="-8"/>
                <w:sz w:val="15"/>
              </w:rPr>
              <w:t> </w:t>
            </w:r>
            <w:r>
              <w:rPr>
                <w:color w:val="231F20"/>
                <w:spacing w:val="-2"/>
                <w:sz w:val="15"/>
              </w:rPr>
              <w:t>activity </w:t>
            </w:r>
            <w:r>
              <w:rPr>
                <w:color w:val="231F20"/>
                <w:sz w:val="15"/>
              </w:rPr>
              <w:t>Primary thunderclap headache</w:t>
            </w:r>
          </w:p>
          <w:p>
            <w:pPr>
              <w:pStyle w:val="TableParagraph"/>
              <w:spacing w:line="230" w:lineRule="auto" w:before="1"/>
              <w:ind w:left="74" w:right="118"/>
              <w:rPr>
                <w:sz w:val="15"/>
              </w:rPr>
            </w:pPr>
            <w:r>
              <w:rPr>
                <w:color w:val="231F20"/>
                <w:spacing w:val="-2"/>
                <w:sz w:val="15"/>
              </w:rPr>
              <w:t>Cold-stimulus</w:t>
            </w:r>
            <w:r>
              <w:rPr>
                <w:color w:val="231F20"/>
                <w:spacing w:val="-3"/>
                <w:sz w:val="15"/>
              </w:rPr>
              <w:t> </w:t>
            </w:r>
            <w:r>
              <w:rPr>
                <w:color w:val="231F20"/>
                <w:spacing w:val="-2"/>
                <w:sz w:val="15"/>
              </w:rPr>
              <w:t>headache</w:t>
            </w:r>
            <w:r>
              <w:rPr>
                <w:color w:val="231F20"/>
                <w:spacing w:val="-3"/>
                <w:sz w:val="15"/>
              </w:rPr>
              <w:t> </w:t>
            </w:r>
            <w:r>
              <w:rPr>
                <w:color w:val="231F20"/>
                <w:spacing w:val="-2"/>
                <w:sz w:val="15"/>
              </w:rPr>
              <w:t>(external</w:t>
            </w:r>
            <w:r>
              <w:rPr>
                <w:color w:val="231F20"/>
                <w:spacing w:val="-3"/>
                <w:sz w:val="15"/>
              </w:rPr>
              <w:t> </w:t>
            </w:r>
            <w:r>
              <w:rPr>
                <w:color w:val="231F20"/>
                <w:spacing w:val="-2"/>
                <w:sz w:val="15"/>
              </w:rPr>
              <w:t>application,</w:t>
            </w:r>
            <w:r>
              <w:rPr>
                <w:color w:val="231F20"/>
                <w:spacing w:val="-3"/>
                <w:sz w:val="15"/>
              </w:rPr>
              <w:t> </w:t>
            </w:r>
            <w:r>
              <w:rPr>
                <w:color w:val="231F20"/>
                <w:spacing w:val="-2"/>
                <w:sz w:val="15"/>
              </w:rPr>
              <w:t>ingestion,</w:t>
            </w:r>
            <w:r>
              <w:rPr>
                <w:color w:val="231F20"/>
                <w:spacing w:val="-3"/>
                <w:sz w:val="15"/>
              </w:rPr>
              <w:t> </w:t>
            </w:r>
            <w:r>
              <w:rPr>
                <w:color w:val="231F20"/>
                <w:spacing w:val="-2"/>
                <w:sz w:val="15"/>
              </w:rPr>
              <w:t>or</w:t>
            </w:r>
            <w:r>
              <w:rPr>
                <w:color w:val="231F20"/>
                <w:spacing w:val="-3"/>
                <w:sz w:val="15"/>
              </w:rPr>
              <w:t> </w:t>
            </w:r>
            <w:r>
              <w:rPr>
                <w:color w:val="231F20"/>
                <w:spacing w:val="-2"/>
                <w:sz w:val="15"/>
              </w:rPr>
              <w:t>inhalation) </w:t>
            </w:r>
            <w:r>
              <w:rPr>
                <w:color w:val="231F20"/>
                <w:sz w:val="15"/>
              </w:rPr>
              <w:t>External-pressure headache</w:t>
            </w:r>
          </w:p>
          <w:p>
            <w:pPr>
              <w:pStyle w:val="TableParagraph"/>
              <w:spacing w:line="230" w:lineRule="auto" w:before="1"/>
              <w:ind w:left="74" w:right="2657"/>
              <w:rPr>
                <w:sz w:val="15"/>
              </w:rPr>
            </w:pPr>
            <w:r>
              <w:rPr>
                <w:color w:val="231F20"/>
                <w:sz w:val="15"/>
              </w:rPr>
              <w:t>External-compression</w:t>
            </w:r>
            <w:r>
              <w:rPr>
                <w:color w:val="231F20"/>
                <w:spacing w:val="-12"/>
                <w:sz w:val="15"/>
              </w:rPr>
              <w:t> </w:t>
            </w:r>
            <w:r>
              <w:rPr>
                <w:color w:val="231F20"/>
                <w:sz w:val="15"/>
              </w:rPr>
              <w:t>headache External-traction headache Primary stabbing headache Nummular headache</w:t>
            </w:r>
          </w:p>
          <w:p>
            <w:pPr>
              <w:pStyle w:val="TableParagraph"/>
              <w:spacing w:line="168" w:lineRule="exact"/>
              <w:ind w:left="74"/>
              <w:rPr>
                <w:sz w:val="15"/>
              </w:rPr>
            </w:pPr>
            <w:r>
              <w:rPr>
                <w:color w:val="231F20"/>
                <w:sz w:val="15"/>
              </w:rPr>
              <w:t>Hypnic</w:t>
            </w:r>
            <w:r>
              <w:rPr>
                <w:color w:val="231F20"/>
                <w:spacing w:val="1"/>
                <w:sz w:val="15"/>
              </w:rPr>
              <w:t> </w:t>
            </w:r>
            <w:r>
              <w:rPr>
                <w:color w:val="231F20"/>
                <w:spacing w:val="-2"/>
                <w:sz w:val="15"/>
              </w:rPr>
              <w:t>headache</w:t>
            </w:r>
          </w:p>
          <w:p>
            <w:pPr>
              <w:pStyle w:val="TableParagraph"/>
              <w:spacing w:line="171" w:lineRule="exact"/>
              <w:ind w:left="74"/>
              <w:rPr>
                <w:sz w:val="15"/>
              </w:rPr>
            </w:pPr>
            <w:r>
              <w:rPr>
                <w:color w:val="231F20"/>
                <w:sz w:val="15"/>
              </w:rPr>
              <w:t>New</w:t>
            </w:r>
            <w:r>
              <w:rPr>
                <w:color w:val="231F20"/>
                <w:spacing w:val="-3"/>
                <w:sz w:val="15"/>
              </w:rPr>
              <w:t> </w:t>
            </w:r>
            <w:r>
              <w:rPr>
                <w:color w:val="231F20"/>
                <w:sz w:val="15"/>
              </w:rPr>
              <w:t>daily</w:t>
            </w:r>
            <w:r>
              <w:rPr>
                <w:color w:val="231F20"/>
                <w:spacing w:val="-3"/>
                <w:sz w:val="15"/>
              </w:rPr>
              <w:t> </w:t>
            </w:r>
            <w:r>
              <w:rPr>
                <w:color w:val="231F20"/>
                <w:sz w:val="15"/>
              </w:rPr>
              <w:t>persistent</w:t>
            </w:r>
            <w:r>
              <w:rPr>
                <w:color w:val="231F20"/>
                <w:spacing w:val="-3"/>
                <w:sz w:val="15"/>
              </w:rPr>
              <w:t> </w:t>
            </w:r>
            <w:r>
              <w:rPr>
                <w:color w:val="231F20"/>
                <w:sz w:val="15"/>
              </w:rPr>
              <w:t>headache</w:t>
            </w:r>
            <w:r>
              <w:rPr>
                <w:color w:val="231F20"/>
                <w:spacing w:val="-3"/>
                <w:sz w:val="15"/>
              </w:rPr>
              <w:t> </w:t>
            </w:r>
            <w:r>
              <w:rPr>
                <w:color w:val="231F20"/>
                <w:spacing w:val="-2"/>
                <w:sz w:val="15"/>
              </w:rPr>
              <w:t>(NDPH)</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r>
        <w:trPr>
          <w:trHeight w:val="2493" w:hRule="exact"/>
        </w:trPr>
        <w:tc>
          <w:tcPr>
            <w:tcW w:w="4870" w:type="dxa"/>
            <w:tcBorders>
              <w:left w:val="nil"/>
              <w:bottom w:val="single" w:sz="8" w:space="0" w:color="231F20"/>
              <w:right w:val="single" w:sz="4" w:space="0" w:color="231F20"/>
            </w:tcBorders>
            <w:shd w:val="clear" w:color="auto" w:fill="E8F5F1"/>
          </w:tcPr>
          <w:p>
            <w:pPr>
              <w:pStyle w:val="TableParagraph"/>
              <w:spacing w:line="230" w:lineRule="auto" w:before="48"/>
              <w:ind w:left="74" w:right="895"/>
              <w:rPr>
                <w:sz w:val="15"/>
              </w:rPr>
            </w:pPr>
            <w:r>
              <w:rPr>
                <w:color w:val="231F20"/>
                <w:w w:val="110"/>
                <w:sz w:val="15"/>
              </w:rPr>
              <w:t>HEADACHE ATTRIBUTED TO TRAUMA OR INJURY </w:t>
            </w:r>
            <w:r>
              <w:rPr>
                <w:color w:val="231F20"/>
                <w:w w:val="110"/>
                <w:sz w:val="15"/>
              </w:rPr>
              <w:t>TO THE HEAD AND/OR NECK</w:t>
            </w:r>
          </w:p>
          <w:p>
            <w:pPr>
              <w:pStyle w:val="TableParagraph"/>
              <w:spacing w:line="230" w:lineRule="auto" w:before="3"/>
              <w:ind w:left="186" w:hanging="112"/>
              <w:rPr>
                <w:sz w:val="15"/>
              </w:rPr>
            </w:pPr>
            <w:r>
              <w:rPr>
                <w:color w:val="231F20"/>
                <w:spacing w:val="-2"/>
                <w:sz w:val="15"/>
              </w:rPr>
              <w:t>Acute</w:t>
            </w:r>
            <w:r>
              <w:rPr>
                <w:color w:val="231F20"/>
                <w:spacing w:val="-6"/>
                <w:sz w:val="15"/>
              </w:rPr>
              <w:t> </w:t>
            </w:r>
            <w:r>
              <w:rPr>
                <w:color w:val="231F20"/>
                <w:spacing w:val="-2"/>
                <w:sz w:val="15"/>
              </w:rPr>
              <w:t>headache</w:t>
            </w:r>
            <w:r>
              <w:rPr>
                <w:color w:val="231F20"/>
                <w:spacing w:val="-6"/>
                <w:sz w:val="15"/>
              </w:rPr>
              <w:t> </w:t>
            </w:r>
            <w:r>
              <w:rPr>
                <w:color w:val="231F20"/>
                <w:spacing w:val="-2"/>
                <w:sz w:val="15"/>
              </w:rPr>
              <w:t>attributed</w:t>
            </w:r>
            <w:r>
              <w:rPr>
                <w:color w:val="231F20"/>
                <w:spacing w:val="-6"/>
                <w:sz w:val="15"/>
              </w:rPr>
              <w:t> </w:t>
            </w:r>
            <w:r>
              <w:rPr>
                <w:color w:val="231F20"/>
                <w:spacing w:val="-2"/>
                <w:sz w:val="15"/>
              </w:rPr>
              <w:t>to</w:t>
            </w:r>
            <w:r>
              <w:rPr>
                <w:color w:val="231F20"/>
                <w:spacing w:val="-6"/>
                <w:sz w:val="15"/>
              </w:rPr>
              <w:t> </w:t>
            </w:r>
            <w:r>
              <w:rPr>
                <w:color w:val="231F20"/>
                <w:spacing w:val="-2"/>
                <w:sz w:val="15"/>
              </w:rPr>
              <w:t>traumatic</w:t>
            </w:r>
            <w:r>
              <w:rPr>
                <w:color w:val="231F20"/>
                <w:spacing w:val="-6"/>
                <w:sz w:val="15"/>
              </w:rPr>
              <w:t> </w:t>
            </w:r>
            <w:r>
              <w:rPr>
                <w:color w:val="231F20"/>
                <w:spacing w:val="-2"/>
                <w:sz w:val="15"/>
              </w:rPr>
              <w:t>(mild,</w:t>
            </w:r>
            <w:r>
              <w:rPr>
                <w:color w:val="231F20"/>
                <w:spacing w:val="-6"/>
                <w:sz w:val="15"/>
              </w:rPr>
              <w:t> </w:t>
            </w:r>
            <w:r>
              <w:rPr>
                <w:color w:val="231F20"/>
                <w:spacing w:val="-2"/>
                <w:sz w:val="15"/>
              </w:rPr>
              <w:t>moderate,</w:t>
            </w:r>
            <w:r>
              <w:rPr>
                <w:color w:val="231F20"/>
                <w:spacing w:val="-6"/>
                <w:sz w:val="15"/>
              </w:rPr>
              <w:t> </w:t>
            </w:r>
            <w:r>
              <w:rPr>
                <w:color w:val="231F20"/>
                <w:spacing w:val="-2"/>
                <w:sz w:val="15"/>
              </w:rPr>
              <w:t>or</w:t>
            </w:r>
            <w:r>
              <w:rPr>
                <w:color w:val="231F20"/>
                <w:spacing w:val="-6"/>
                <w:sz w:val="15"/>
              </w:rPr>
              <w:t> </w:t>
            </w:r>
            <w:r>
              <w:rPr>
                <w:color w:val="231F20"/>
                <w:spacing w:val="-2"/>
                <w:sz w:val="15"/>
              </w:rPr>
              <w:t>severe) </w:t>
            </w:r>
            <w:r>
              <w:rPr>
                <w:color w:val="231F20"/>
                <w:sz w:val="15"/>
              </w:rPr>
              <w:t>injury to the head</w:t>
            </w:r>
          </w:p>
          <w:p>
            <w:pPr>
              <w:pStyle w:val="TableParagraph"/>
              <w:spacing w:line="230" w:lineRule="auto" w:before="2"/>
              <w:ind w:left="186" w:right="400" w:hanging="112"/>
              <w:rPr>
                <w:sz w:val="15"/>
              </w:rPr>
            </w:pPr>
            <w:r>
              <w:rPr>
                <w:color w:val="231F20"/>
                <w:spacing w:val="-2"/>
                <w:sz w:val="15"/>
              </w:rPr>
              <w:t>Persistent</w:t>
            </w:r>
            <w:r>
              <w:rPr>
                <w:color w:val="231F20"/>
                <w:spacing w:val="-8"/>
                <w:sz w:val="15"/>
              </w:rPr>
              <w:t> </w:t>
            </w:r>
            <w:r>
              <w:rPr>
                <w:color w:val="231F20"/>
                <w:spacing w:val="-2"/>
                <w:sz w:val="15"/>
              </w:rPr>
              <w:t>headache</w:t>
            </w:r>
            <w:r>
              <w:rPr>
                <w:color w:val="231F20"/>
                <w:spacing w:val="-8"/>
                <w:sz w:val="15"/>
              </w:rPr>
              <w:t> </w:t>
            </w:r>
            <w:r>
              <w:rPr>
                <w:color w:val="231F20"/>
                <w:spacing w:val="-2"/>
                <w:sz w:val="15"/>
              </w:rPr>
              <w:t>attributed</w:t>
            </w:r>
            <w:r>
              <w:rPr>
                <w:color w:val="231F20"/>
                <w:spacing w:val="-8"/>
                <w:sz w:val="15"/>
              </w:rPr>
              <w:t> </w:t>
            </w:r>
            <w:r>
              <w:rPr>
                <w:color w:val="231F20"/>
                <w:spacing w:val="-2"/>
                <w:sz w:val="15"/>
              </w:rPr>
              <w:t>to</w:t>
            </w:r>
            <w:r>
              <w:rPr>
                <w:color w:val="231F20"/>
                <w:spacing w:val="-8"/>
                <w:sz w:val="15"/>
              </w:rPr>
              <w:t> </w:t>
            </w:r>
            <w:r>
              <w:rPr>
                <w:color w:val="231F20"/>
                <w:spacing w:val="-2"/>
                <w:sz w:val="15"/>
              </w:rPr>
              <w:t>traumatic</w:t>
            </w:r>
            <w:r>
              <w:rPr>
                <w:color w:val="231F20"/>
                <w:spacing w:val="-8"/>
                <w:sz w:val="15"/>
              </w:rPr>
              <w:t> </w:t>
            </w:r>
            <w:r>
              <w:rPr>
                <w:color w:val="231F20"/>
                <w:spacing w:val="-2"/>
                <w:sz w:val="15"/>
              </w:rPr>
              <w:t>(mild,</w:t>
            </w:r>
            <w:r>
              <w:rPr>
                <w:color w:val="231F20"/>
                <w:spacing w:val="-8"/>
                <w:sz w:val="15"/>
              </w:rPr>
              <w:t> </w:t>
            </w:r>
            <w:r>
              <w:rPr>
                <w:color w:val="231F20"/>
                <w:spacing w:val="-2"/>
                <w:sz w:val="15"/>
              </w:rPr>
              <w:t>moderate,</w:t>
            </w:r>
            <w:r>
              <w:rPr>
                <w:color w:val="231F20"/>
                <w:spacing w:val="-8"/>
                <w:sz w:val="15"/>
              </w:rPr>
              <w:t> </w:t>
            </w:r>
            <w:r>
              <w:rPr>
                <w:color w:val="231F20"/>
                <w:spacing w:val="-2"/>
                <w:sz w:val="15"/>
              </w:rPr>
              <w:t>or </w:t>
            </w:r>
            <w:r>
              <w:rPr>
                <w:color w:val="231F20"/>
                <w:sz w:val="15"/>
              </w:rPr>
              <w:t>severe) injury to the head</w:t>
            </w:r>
          </w:p>
          <w:p>
            <w:pPr>
              <w:pStyle w:val="TableParagraph"/>
              <w:spacing w:line="230" w:lineRule="auto" w:before="1"/>
              <w:ind w:left="74" w:right="906"/>
              <w:rPr>
                <w:sz w:val="15"/>
              </w:rPr>
            </w:pPr>
            <w:r>
              <w:rPr>
                <w:color w:val="231F20"/>
                <w:sz w:val="15"/>
              </w:rPr>
              <w:t>Acute or persistent headache attributed to whiplash Acute</w:t>
            </w:r>
            <w:r>
              <w:rPr>
                <w:color w:val="231F20"/>
                <w:spacing w:val="-12"/>
                <w:sz w:val="15"/>
              </w:rPr>
              <w:t> </w:t>
            </w:r>
            <w:r>
              <w:rPr>
                <w:color w:val="231F20"/>
                <w:sz w:val="15"/>
              </w:rPr>
              <w:t>or</w:t>
            </w:r>
            <w:r>
              <w:rPr>
                <w:color w:val="231F20"/>
                <w:spacing w:val="-11"/>
                <w:sz w:val="15"/>
              </w:rPr>
              <w:t> </w:t>
            </w:r>
            <w:r>
              <w:rPr>
                <w:color w:val="231F20"/>
                <w:sz w:val="15"/>
              </w:rPr>
              <w:t>persistent</w:t>
            </w:r>
            <w:r>
              <w:rPr>
                <w:color w:val="231F20"/>
                <w:spacing w:val="-11"/>
                <w:sz w:val="15"/>
              </w:rPr>
              <w:t> </w:t>
            </w: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craniotomy</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bl>
    <w:p>
      <w:pPr>
        <w:spacing w:after="0"/>
        <w:rPr>
          <w:sz w:val="2"/>
          <w:szCs w:val="2"/>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663" name="Group 663"/>
                <wp:cNvGraphicFramePr>
                  <a:graphicFrameLocks/>
                </wp:cNvGraphicFramePr>
                <a:graphic>
                  <a:graphicData uri="http://schemas.microsoft.com/office/word/2010/wordprocessingGroup">
                    <wpg:wgp>
                      <wpg:cNvPr id="663" name="Group 663"/>
                      <wpg:cNvGrpSpPr/>
                      <wpg:grpSpPr>
                        <a:xfrm>
                          <a:off x="0" y="0"/>
                          <a:ext cx="6185535" cy="170815"/>
                          <a:chExt cx="6185535" cy="170815"/>
                        </a:xfrm>
                      </wpg:grpSpPr>
                      <wps:wsp>
                        <wps:cNvPr id="664" name="Graphic 664"/>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65" name="Graphic 665"/>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66" name="Textbox 666"/>
                        <wps:cNvSpPr txBox="1"/>
                        <wps:spPr>
                          <a:xfrm>
                            <a:off x="0" y="0"/>
                            <a:ext cx="6185535" cy="170815"/>
                          </a:xfrm>
                          <a:prstGeom prst="rect">
                            <a:avLst/>
                          </a:prstGeom>
                        </wps:spPr>
                        <wps:txbx>
                          <w:txbxContent>
                            <w:p>
                              <w:pPr>
                                <w:spacing w:before="6"/>
                                <w:ind w:left="0" w:right="-15" w:firstLine="0"/>
                                <w:jc w:val="right"/>
                                <w:rPr>
                                  <w:b/>
                                  <w:sz w:val="18"/>
                                </w:rPr>
                              </w:pPr>
                              <w:r>
                                <w:rPr>
                                  <w:b/>
                                  <w:color w:val="007431"/>
                                  <w:w w:val="105"/>
                                  <w:sz w:val="18"/>
                                </w:rPr>
                                <w:t>Chapter</w:t>
                              </w:r>
                              <w:r>
                                <w:rPr>
                                  <w:b/>
                                  <w:color w:val="007431"/>
                                  <w:spacing w:val="10"/>
                                  <w:w w:val="105"/>
                                  <w:sz w:val="18"/>
                                </w:rPr>
                                <w:t> </w:t>
                              </w:r>
                              <w:r>
                                <w:rPr>
                                  <w:b/>
                                  <w:color w:val="007431"/>
                                  <w:w w:val="105"/>
                                  <w:sz w:val="18"/>
                                </w:rPr>
                                <w:t>595</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4"/>
                                  <w:w w:val="105"/>
                                  <w:sz w:val="15"/>
                                </w:rPr>
                                <w:t> </w:t>
                              </w:r>
                              <w:r>
                                <w:rPr>
                                  <w:color w:val="231F20"/>
                                  <w:w w:val="105"/>
                                  <w:sz w:val="18"/>
                                </w:rPr>
                                <w:t>Headaches</w:t>
                              </w:r>
                              <w:r>
                                <w:rPr>
                                  <w:color w:val="231F20"/>
                                  <w:spacing w:val="37"/>
                                  <w:w w:val="105"/>
                                  <w:sz w:val="18"/>
                                </w:rPr>
                                <w:t>  </w:t>
                              </w:r>
                              <w:r>
                                <w:rPr>
                                  <w:b/>
                                  <w:color w:val="231F20"/>
                                  <w:spacing w:val="-4"/>
                                  <w:w w:val="105"/>
                                  <w:sz w:val="18"/>
                                </w:rPr>
                                <w:t>2865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63"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64" filled="false" stroked="false">
                  <v:textbox inset="0,0,0,0">
                    <w:txbxContent>
                      <w:p>
                        <w:pPr>
                          <w:spacing w:before="6"/>
                          <w:ind w:left="0" w:right="-15" w:firstLine="0"/>
                          <w:jc w:val="right"/>
                          <w:rPr>
                            <w:b/>
                            <w:sz w:val="18"/>
                          </w:rPr>
                        </w:pPr>
                        <w:r>
                          <w:rPr>
                            <w:b/>
                            <w:color w:val="007431"/>
                            <w:w w:val="105"/>
                            <w:sz w:val="18"/>
                          </w:rPr>
                          <w:t>Chapter</w:t>
                        </w:r>
                        <w:r>
                          <w:rPr>
                            <w:b/>
                            <w:color w:val="007431"/>
                            <w:spacing w:val="10"/>
                            <w:w w:val="105"/>
                            <w:sz w:val="18"/>
                          </w:rPr>
                          <w:t> </w:t>
                        </w:r>
                        <w:r>
                          <w:rPr>
                            <w:b/>
                            <w:color w:val="007431"/>
                            <w:w w:val="105"/>
                            <w:sz w:val="18"/>
                          </w:rPr>
                          <w:t>595</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4"/>
                            <w:w w:val="105"/>
                            <w:sz w:val="15"/>
                          </w:rPr>
                          <w:t> </w:t>
                        </w:r>
                        <w:r>
                          <w:rPr>
                            <w:color w:val="231F20"/>
                            <w:w w:val="105"/>
                            <w:sz w:val="18"/>
                          </w:rPr>
                          <w:t>Headaches</w:t>
                        </w:r>
                        <w:r>
                          <w:rPr>
                            <w:color w:val="231F20"/>
                            <w:spacing w:val="37"/>
                            <w:w w:val="105"/>
                            <w:sz w:val="18"/>
                          </w:rPr>
                          <w:t>  </w:t>
                        </w:r>
                        <w:r>
                          <w:rPr>
                            <w:b/>
                            <w:color w:val="231F20"/>
                            <w:spacing w:val="-4"/>
                            <w:w w:val="105"/>
                            <w:sz w:val="18"/>
                          </w:rPr>
                          <w:t>2865</w:t>
                        </w:r>
                      </w:p>
                    </w:txbxContent>
                  </v:textbox>
                  <w10:wrap type="none"/>
                </v:shape>
              </v:group>
            </w:pict>
          </mc:Fallback>
        </mc:AlternateContent>
      </w:r>
      <w:r>
        <w:rPr>
          <w:sz w:val="20"/>
        </w:rPr>
      </w:r>
    </w:p>
    <w:p>
      <w:pPr>
        <w:pStyle w:val="BodyText"/>
        <w:spacing w:before="11"/>
        <w:rPr>
          <w:i/>
          <w:sz w:val="15"/>
        </w:rPr>
      </w:pPr>
    </w:p>
    <w:tbl>
      <w:tblPr>
        <w:tblW w:w="0" w:type="auto"/>
        <w:jc w:val="left"/>
        <w:tblInd w:w="8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870"/>
        <w:gridCol w:w="4870"/>
      </w:tblGrid>
      <w:tr>
        <w:trPr>
          <w:trHeight w:val="377" w:hRule="exact"/>
        </w:trPr>
        <w:tc>
          <w:tcPr>
            <w:tcW w:w="4870" w:type="dxa"/>
            <w:tcBorders>
              <w:top w:val="nil"/>
              <w:left w:val="nil"/>
              <w:right w:val="nil"/>
            </w:tcBorders>
            <w:shd w:val="clear" w:color="auto" w:fill="231F20"/>
          </w:tcPr>
          <w:p>
            <w:pPr>
              <w:pStyle w:val="TableParagraph"/>
              <w:spacing w:before="92"/>
              <w:ind w:left="111"/>
              <w:rPr>
                <w:sz w:val="16"/>
              </w:rPr>
            </w:pPr>
            <w:r>
              <w:rPr>
                <w:b/>
                <w:color w:val="FFFFFF"/>
                <w:w w:val="105"/>
                <w:sz w:val="16"/>
              </w:rPr>
              <w:t>Table</w:t>
            </w:r>
            <w:r>
              <w:rPr>
                <w:b/>
                <w:color w:val="FFFFFF"/>
                <w:spacing w:val="10"/>
                <w:w w:val="105"/>
                <w:sz w:val="16"/>
              </w:rPr>
              <w:t> </w:t>
            </w:r>
            <w:r>
              <w:rPr>
                <w:b/>
                <w:color w:val="FFFFFF"/>
                <w:w w:val="105"/>
                <w:sz w:val="16"/>
              </w:rPr>
              <w:t>595-1</w:t>
            </w:r>
            <w:r>
              <w:rPr>
                <w:b/>
                <w:color w:val="FFFFFF"/>
                <w:spacing w:val="39"/>
                <w:w w:val="105"/>
                <w:sz w:val="16"/>
              </w:rPr>
              <w:t>  </w:t>
            </w:r>
            <w:r>
              <w:rPr>
                <w:color w:val="FFFFFF"/>
                <w:w w:val="105"/>
                <w:sz w:val="16"/>
              </w:rPr>
              <w:t>Classification</w:t>
            </w:r>
            <w:r>
              <w:rPr>
                <w:color w:val="FFFFFF"/>
                <w:spacing w:val="7"/>
                <w:w w:val="105"/>
                <w:sz w:val="16"/>
              </w:rPr>
              <w:t> </w:t>
            </w:r>
            <w:r>
              <w:rPr>
                <w:color w:val="FFFFFF"/>
                <w:w w:val="105"/>
                <w:sz w:val="16"/>
              </w:rPr>
              <w:t>of</w:t>
            </w:r>
            <w:r>
              <w:rPr>
                <w:color w:val="FFFFFF"/>
                <w:spacing w:val="6"/>
                <w:w w:val="105"/>
                <w:sz w:val="16"/>
              </w:rPr>
              <w:t> </w:t>
            </w:r>
            <w:r>
              <w:rPr>
                <w:color w:val="FFFFFF"/>
                <w:w w:val="105"/>
                <w:sz w:val="16"/>
              </w:rPr>
              <w:t>Headaches</w:t>
            </w:r>
            <w:r>
              <w:rPr>
                <w:color w:val="FFFFFF"/>
                <w:spacing w:val="5"/>
                <w:w w:val="105"/>
                <w:sz w:val="16"/>
              </w:rPr>
              <w:t> </w:t>
            </w:r>
            <w:r>
              <w:rPr>
                <w:color w:val="FFFFFF"/>
                <w:w w:val="105"/>
                <w:sz w:val="16"/>
              </w:rPr>
              <w:t>(ICHD-3</w:t>
            </w:r>
            <w:r>
              <w:rPr>
                <w:color w:val="FFFFFF"/>
                <w:spacing w:val="1"/>
                <w:w w:val="105"/>
                <w:sz w:val="16"/>
              </w:rPr>
              <w:t> </w:t>
            </w:r>
            <w:r>
              <w:rPr>
                <w:color w:val="FFFFFF"/>
                <w:w w:val="105"/>
                <w:sz w:val="16"/>
              </w:rPr>
              <w:t>Beta</w:t>
            </w:r>
            <w:r>
              <w:rPr>
                <w:color w:val="FFFFFF"/>
                <w:spacing w:val="6"/>
                <w:w w:val="105"/>
                <w:sz w:val="16"/>
              </w:rPr>
              <w:t> </w:t>
            </w:r>
            <w:r>
              <w:rPr>
                <w:color w:val="FFFFFF"/>
                <w:spacing w:val="-4"/>
                <w:w w:val="105"/>
                <w:sz w:val="16"/>
              </w:rPr>
              <w:t>Code</w:t>
            </w:r>
          </w:p>
        </w:tc>
        <w:tc>
          <w:tcPr>
            <w:tcW w:w="4870" w:type="dxa"/>
            <w:tcBorders>
              <w:top w:val="nil"/>
              <w:left w:val="nil"/>
              <w:right w:val="nil"/>
            </w:tcBorders>
            <w:shd w:val="clear" w:color="auto" w:fill="231F20"/>
          </w:tcPr>
          <w:p>
            <w:pPr>
              <w:pStyle w:val="TableParagraph"/>
              <w:spacing w:before="92"/>
              <w:ind w:left="18"/>
              <w:rPr>
                <w:sz w:val="16"/>
              </w:rPr>
            </w:pPr>
            <w:r>
              <w:rPr>
                <w:color w:val="FFFFFF"/>
                <w:w w:val="110"/>
                <w:sz w:val="16"/>
              </w:rPr>
              <w:t>Diagnosis)—</w:t>
            </w:r>
            <w:r>
              <w:rPr>
                <w:color w:val="FFFFFF"/>
                <w:spacing w:val="-2"/>
                <w:w w:val="110"/>
                <w:sz w:val="16"/>
              </w:rPr>
              <w:t>cont’d</w:t>
            </w:r>
          </w:p>
        </w:tc>
      </w:tr>
      <w:tr>
        <w:trPr>
          <w:trHeight w:val="3456" w:hRule="exact"/>
        </w:trPr>
        <w:tc>
          <w:tcPr>
            <w:tcW w:w="4870" w:type="dxa"/>
            <w:vMerge w:val="restart"/>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HEADACHE</w:t>
            </w:r>
            <w:r>
              <w:rPr>
                <w:color w:val="231F20"/>
                <w:spacing w:val="4"/>
                <w:w w:val="110"/>
                <w:sz w:val="15"/>
              </w:rPr>
              <w:t> </w:t>
            </w:r>
            <w:r>
              <w:rPr>
                <w:color w:val="231F20"/>
                <w:w w:val="110"/>
                <w:sz w:val="15"/>
              </w:rPr>
              <w:t>ATTRIBUTED</w:t>
            </w:r>
            <w:r>
              <w:rPr>
                <w:color w:val="231F20"/>
                <w:spacing w:val="5"/>
                <w:w w:val="110"/>
                <w:sz w:val="15"/>
              </w:rPr>
              <w:t> </w:t>
            </w:r>
            <w:r>
              <w:rPr>
                <w:color w:val="231F20"/>
                <w:w w:val="110"/>
                <w:sz w:val="15"/>
              </w:rPr>
              <w:t>TO</w:t>
            </w:r>
            <w:r>
              <w:rPr>
                <w:color w:val="231F20"/>
                <w:spacing w:val="5"/>
                <w:w w:val="110"/>
                <w:sz w:val="15"/>
              </w:rPr>
              <w:t> </w:t>
            </w:r>
            <w:r>
              <w:rPr>
                <w:color w:val="231F20"/>
                <w:w w:val="110"/>
                <w:sz w:val="15"/>
              </w:rPr>
              <w:t>A</w:t>
            </w:r>
            <w:r>
              <w:rPr>
                <w:color w:val="231F20"/>
                <w:spacing w:val="5"/>
                <w:w w:val="110"/>
                <w:sz w:val="15"/>
              </w:rPr>
              <w:t> </w:t>
            </w:r>
            <w:r>
              <w:rPr>
                <w:color w:val="231F20"/>
                <w:w w:val="110"/>
                <w:sz w:val="15"/>
              </w:rPr>
              <w:t>SUBSTANCE</w:t>
            </w:r>
            <w:r>
              <w:rPr>
                <w:color w:val="231F20"/>
                <w:spacing w:val="5"/>
                <w:w w:val="110"/>
                <w:sz w:val="15"/>
              </w:rPr>
              <w:t> </w:t>
            </w:r>
            <w:r>
              <w:rPr>
                <w:color w:val="231F20"/>
                <w:w w:val="110"/>
                <w:sz w:val="15"/>
              </w:rPr>
              <w:t>OR</w:t>
            </w:r>
            <w:r>
              <w:rPr>
                <w:color w:val="231F20"/>
                <w:spacing w:val="5"/>
                <w:w w:val="110"/>
                <w:sz w:val="15"/>
              </w:rPr>
              <w:t> </w:t>
            </w:r>
            <w:r>
              <w:rPr>
                <w:color w:val="231F20"/>
                <w:w w:val="110"/>
                <w:sz w:val="15"/>
              </w:rPr>
              <w:t>ITS</w:t>
            </w:r>
            <w:r>
              <w:rPr>
                <w:color w:val="231F20"/>
                <w:spacing w:val="5"/>
                <w:w w:val="110"/>
                <w:sz w:val="15"/>
              </w:rPr>
              <w:t> </w:t>
            </w:r>
            <w:r>
              <w:rPr>
                <w:color w:val="231F20"/>
                <w:spacing w:val="-2"/>
                <w:w w:val="110"/>
                <w:sz w:val="15"/>
              </w:rPr>
              <w:t>WITHDRAWAL</w:t>
            </w:r>
          </w:p>
          <w:p>
            <w:pPr>
              <w:pStyle w:val="TableParagraph"/>
              <w:spacing w:line="230" w:lineRule="auto" w:before="3"/>
              <w:ind w:left="74" w:right="895"/>
              <w:rPr>
                <w:sz w:val="15"/>
              </w:rPr>
            </w:pPr>
            <w:r>
              <w:rPr>
                <w:color w:val="231F20"/>
                <w:sz w:val="15"/>
              </w:rPr>
              <w:t>Headache</w:t>
            </w:r>
            <w:r>
              <w:rPr>
                <w:color w:val="231F20"/>
                <w:spacing w:val="-4"/>
                <w:sz w:val="15"/>
              </w:rPr>
              <w:t> </w:t>
            </w:r>
            <w:r>
              <w:rPr>
                <w:color w:val="231F20"/>
                <w:sz w:val="15"/>
              </w:rPr>
              <w:t>attributed</w:t>
            </w:r>
            <w:r>
              <w:rPr>
                <w:color w:val="231F20"/>
                <w:spacing w:val="-4"/>
                <w:sz w:val="15"/>
              </w:rPr>
              <w:t> </w:t>
            </w:r>
            <w:r>
              <w:rPr>
                <w:color w:val="231F20"/>
                <w:sz w:val="15"/>
              </w:rPr>
              <w:t>to</w:t>
            </w:r>
            <w:r>
              <w:rPr>
                <w:color w:val="231F20"/>
                <w:spacing w:val="-4"/>
                <w:sz w:val="15"/>
              </w:rPr>
              <w:t> </w:t>
            </w:r>
            <w:r>
              <w:rPr>
                <w:color w:val="231F20"/>
                <w:sz w:val="15"/>
              </w:rPr>
              <w:t>use</w:t>
            </w:r>
            <w:r>
              <w:rPr>
                <w:color w:val="231F20"/>
                <w:spacing w:val="-4"/>
                <w:sz w:val="15"/>
              </w:rPr>
              <w:t> </w:t>
            </w:r>
            <w:r>
              <w:rPr>
                <w:color w:val="231F20"/>
                <w:sz w:val="15"/>
              </w:rPr>
              <w:t>of</w:t>
            </w:r>
            <w:r>
              <w:rPr>
                <w:color w:val="231F20"/>
                <w:spacing w:val="-4"/>
                <w:sz w:val="15"/>
              </w:rPr>
              <w:t> </w:t>
            </w:r>
            <w:r>
              <w:rPr>
                <w:color w:val="231F20"/>
                <w:sz w:val="15"/>
              </w:rPr>
              <w:t>or</w:t>
            </w:r>
            <w:r>
              <w:rPr>
                <w:color w:val="231F20"/>
                <w:spacing w:val="-4"/>
                <w:sz w:val="15"/>
              </w:rPr>
              <w:t> </w:t>
            </w:r>
            <w:r>
              <w:rPr>
                <w:color w:val="231F20"/>
                <w:sz w:val="15"/>
              </w:rPr>
              <w:t>exposure</w:t>
            </w:r>
            <w:r>
              <w:rPr>
                <w:color w:val="231F20"/>
                <w:spacing w:val="-4"/>
                <w:sz w:val="15"/>
              </w:rPr>
              <w:t> </w:t>
            </w:r>
            <w:r>
              <w:rPr>
                <w:color w:val="231F20"/>
                <w:sz w:val="15"/>
              </w:rPr>
              <w:t>to</w:t>
            </w:r>
            <w:r>
              <w:rPr>
                <w:color w:val="231F20"/>
                <w:spacing w:val="-4"/>
                <w:sz w:val="15"/>
              </w:rPr>
              <w:t> </w:t>
            </w:r>
            <w:r>
              <w:rPr>
                <w:color w:val="231F20"/>
                <w:sz w:val="15"/>
              </w:rPr>
              <w:t>a</w:t>
            </w:r>
            <w:r>
              <w:rPr>
                <w:color w:val="231F20"/>
                <w:spacing w:val="-4"/>
                <w:sz w:val="15"/>
              </w:rPr>
              <w:t> </w:t>
            </w:r>
            <w:r>
              <w:rPr>
                <w:color w:val="231F20"/>
                <w:sz w:val="15"/>
              </w:rPr>
              <w:t>substance Nitric oxide (NO) donor-induced headache Phosphodiesterase (PDE) inhibitor-induced headache Carbon monoxide (CO)-induced headache</w:t>
            </w:r>
          </w:p>
          <w:p>
            <w:pPr>
              <w:pStyle w:val="TableParagraph"/>
              <w:spacing w:line="168" w:lineRule="exact"/>
              <w:ind w:left="74"/>
              <w:rPr>
                <w:sz w:val="15"/>
              </w:rPr>
            </w:pPr>
            <w:r>
              <w:rPr>
                <w:color w:val="231F20"/>
                <w:sz w:val="15"/>
              </w:rPr>
              <w:t>Alcohol-induced</w:t>
            </w:r>
            <w:r>
              <w:rPr>
                <w:color w:val="231F20"/>
                <w:spacing w:val="11"/>
                <w:sz w:val="15"/>
              </w:rPr>
              <w:t> </w:t>
            </w:r>
            <w:r>
              <w:rPr>
                <w:color w:val="231F20"/>
                <w:spacing w:val="-2"/>
                <w:sz w:val="15"/>
              </w:rPr>
              <w:t>headache</w:t>
            </w:r>
          </w:p>
          <w:p>
            <w:pPr>
              <w:pStyle w:val="TableParagraph"/>
              <w:spacing w:line="230" w:lineRule="auto" w:before="3"/>
              <w:ind w:left="74" w:right="1443"/>
              <w:rPr>
                <w:sz w:val="15"/>
              </w:rPr>
            </w:pPr>
            <w:r>
              <w:rPr>
                <w:color w:val="231F20"/>
                <w:sz w:val="15"/>
              </w:rPr>
              <w:t>Monosodium glutamate (MSG)-induced </w:t>
            </w:r>
            <w:r>
              <w:rPr>
                <w:color w:val="231F20"/>
                <w:sz w:val="15"/>
              </w:rPr>
              <w:t>headache Cocaine-induced headache</w:t>
            </w:r>
          </w:p>
          <w:p>
            <w:pPr>
              <w:pStyle w:val="TableParagraph"/>
              <w:spacing w:line="167" w:lineRule="exact"/>
              <w:ind w:left="74"/>
              <w:rPr>
                <w:sz w:val="15"/>
              </w:rPr>
            </w:pPr>
            <w:r>
              <w:rPr>
                <w:color w:val="231F20"/>
                <w:spacing w:val="-2"/>
                <w:sz w:val="15"/>
              </w:rPr>
              <w:t>Histamine-induced</w:t>
            </w:r>
            <w:r>
              <w:rPr>
                <w:color w:val="231F20"/>
                <w:spacing w:val="22"/>
                <w:sz w:val="15"/>
              </w:rPr>
              <w:t> </w:t>
            </w:r>
            <w:r>
              <w:rPr>
                <w:color w:val="231F20"/>
                <w:spacing w:val="-2"/>
                <w:sz w:val="15"/>
              </w:rPr>
              <w:t>headache</w:t>
            </w:r>
          </w:p>
          <w:p>
            <w:pPr>
              <w:pStyle w:val="TableParagraph"/>
              <w:spacing w:line="230" w:lineRule="auto" w:before="2"/>
              <w:ind w:left="74" w:right="400"/>
              <w:rPr>
                <w:sz w:val="15"/>
              </w:rPr>
            </w:pPr>
            <w:r>
              <w:rPr>
                <w:color w:val="231F20"/>
                <w:sz w:val="15"/>
              </w:rPr>
              <w:t>Calcitonin</w:t>
            </w:r>
            <w:r>
              <w:rPr>
                <w:color w:val="231F20"/>
                <w:spacing w:val="-7"/>
                <w:sz w:val="15"/>
              </w:rPr>
              <w:t> </w:t>
            </w:r>
            <w:r>
              <w:rPr>
                <w:color w:val="231F20"/>
                <w:sz w:val="15"/>
              </w:rPr>
              <w:t>gene-related</w:t>
            </w:r>
            <w:r>
              <w:rPr>
                <w:color w:val="231F20"/>
                <w:spacing w:val="-7"/>
                <w:sz w:val="15"/>
              </w:rPr>
              <w:t> </w:t>
            </w:r>
            <w:r>
              <w:rPr>
                <w:color w:val="231F20"/>
                <w:sz w:val="15"/>
              </w:rPr>
              <w:t>peptide</w:t>
            </w:r>
            <w:r>
              <w:rPr>
                <w:color w:val="231F20"/>
                <w:spacing w:val="-7"/>
                <w:sz w:val="15"/>
              </w:rPr>
              <w:t> </w:t>
            </w:r>
            <w:r>
              <w:rPr>
                <w:color w:val="231F20"/>
                <w:sz w:val="15"/>
              </w:rPr>
              <w:t>(CGRP)-induced</w:t>
            </w:r>
            <w:r>
              <w:rPr>
                <w:color w:val="231F20"/>
                <w:spacing w:val="-7"/>
                <w:sz w:val="15"/>
              </w:rPr>
              <w:t> </w:t>
            </w:r>
            <w:r>
              <w:rPr>
                <w:color w:val="231F20"/>
                <w:sz w:val="15"/>
              </w:rPr>
              <w:t>headache Headache attributed to exogenous acute pressor agent</w:t>
            </w:r>
          </w:p>
          <w:p>
            <w:pPr>
              <w:pStyle w:val="TableParagraph"/>
              <w:spacing w:line="230" w:lineRule="auto" w:before="2"/>
              <w:ind w:left="186" w:hanging="112"/>
              <w:rPr>
                <w:sz w:val="15"/>
              </w:rPr>
            </w:pPr>
            <w:r>
              <w:rPr>
                <w:color w:val="231F20"/>
                <w:sz w:val="15"/>
              </w:rPr>
              <w:t>Headache</w:t>
            </w:r>
            <w:r>
              <w:rPr>
                <w:color w:val="231F20"/>
                <w:spacing w:val="-4"/>
                <w:sz w:val="15"/>
              </w:rPr>
              <w:t> </w:t>
            </w:r>
            <w:r>
              <w:rPr>
                <w:color w:val="231F20"/>
                <w:sz w:val="15"/>
              </w:rPr>
              <w:t>attributed</w:t>
            </w:r>
            <w:r>
              <w:rPr>
                <w:color w:val="231F20"/>
                <w:spacing w:val="-4"/>
                <w:sz w:val="15"/>
              </w:rPr>
              <w:t> </w:t>
            </w:r>
            <w:r>
              <w:rPr>
                <w:color w:val="231F20"/>
                <w:sz w:val="15"/>
              </w:rPr>
              <w:t>to</w:t>
            </w:r>
            <w:r>
              <w:rPr>
                <w:color w:val="231F20"/>
                <w:spacing w:val="-4"/>
                <w:sz w:val="15"/>
              </w:rPr>
              <w:t> </w:t>
            </w:r>
            <w:r>
              <w:rPr>
                <w:color w:val="231F20"/>
                <w:sz w:val="15"/>
              </w:rPr>
              <w:t>occasional</w:t>
            </w:r>
            <w:r>
              <w:rPr>
                <w:color w:val="231F20"/>
                <w:spacing w:val="-4"/>
                <w:sz w:val="15"/>
              </w:rPr>
              <w:t> </w:t>
            </w:r>
            <w:r>
              <w:rPr>
                <w:color w:val="231F20"/>
                <w:sz w:val="15"/>
              </w:rPr>
              <w:t>or</w:t>
            </w:r>
            <w:r>
              <w:rPr>
                <w:color w:val="231F20"/>
                <w:spacing w:val="-4"/>
                <w:sz w:val="15"/>
              </w:rPr>
              <w:t> </w:t>
            </w:r>
            <w:r>
              <w:rPr>
                <w:color w:val="231F20"/>
                <w:sz w:val="15"/>
              </w:rPr>
              <w:t>long-term</w:t>
            </w:r>
            <w:r>
              <w:rPr>
                <w:color w:val="231F20"/>
                <w:spacing w:val="-4"/>
                <w:sz w:val="15"/>
              </w:rPr>
              <w:t> </w:t>
            </w:r>
            <w:r>
              <w:rPr>
                <w:color w:val="231F20"/>
                <w:sz w:val="15"/>
              </w:rPr>
              <w:t>use</w:t>
            </w:r>
            <w:r>
              <w:rPr>
                <w:color w:val="231F20"/>
                <w:spacing w:val="-4"/>
                <w:sz w:val="15"/>
              </w:rPr>
              <w:t> </w:t>
            </w:r>
            <w:r>
              <w:rPr>
                <w:color w:val="231F20"/>
                <w:sz w:val="15"/>
              </w:rPr>
              <w:t>of</w:t>
            </w:r>
            <w:r>
              <w:rPr>
                <w:color w:val="231F20"/>
                <w:spacing w:val="-4"/>
                <w:sz w:val="15"/>
              </w:rPr>
              <w:t> </w:t>
            </w:r>
            <w:r>
              <w:rPr>
                <w:color w:val="231F20"/>
                <w:sz w:val="15"/>
              </w:rPr>
              <w:t>nonheadache </w:t>
            </w:r>
            <w:r>
              <w:rPr>
                <w:color w:val="231F20"/>
                <w:spacing w:val="-2"/>
                <w:sz w:val="15"/>
              </w:rPr>
              <w:t>medication</w:t>
            </w:r>
          </w:p>
          <w:p>
            <w:pPr>
              <w:pStyle w:val="TableParagraph"/>
              <w:spacing w:line="201" w:lineRule="auto" w:before="18"/>
              <w:ind w:left="74" w:right="1789"/>
              <w:rPr>
                <w:sz w:val="15"/>
              </w:rPr>
            </w:pPr>
            <w:r>
              <w:rPr>
                <w:color w:val="231F20"/>
                <w:sz w:val="15"/>
              </w:rPr>
              <w:t>Headache attributed to exogenous </w:t>
            </w:r>
            <w:r>
              <w:rPr>
                <w:color w:val="231F20"/>
                <w:sz w:val="15"/>
              </w:rPr>
              <w:t>hormone </w:t>
            </w:r>
            <w:r>
              <w:rPr>
                <w:rFonts w:ascii="Lucida Sans Unicode"/>
                <w:color w:val="231F20"/>
                <w:sz w:val="15"/>
              </w:rPr>
              <w:t>Medication-Overuse Headache (MOH) </w:t>
            </w:r>
            <w:r>
              <w:rPr>
                <w:color w:val="231F20"/>
                <w:sz w:val="15"/>
              </w:rPr>
              <w:t>Ergotamine-overuse headache</w:t>
            </w:r>
          </w:p>
          <w:p>
            <w:pPr>
              <w:pStyle w:val="TableParagraph"/>
              <w:spacing w:line="170" w:lineRule="exact"/>
              <w:ind w:left="74"/>
              <w:rPr>
                <w:sz w:val="15"/>
              </w:rPr>
            </w:pPr>
            <w:r>
              <w:rPr>
                <w:color w:val="231F20"/>
                <w:spacing w:val="-2"/>
                <w:sz w:val="15"/>
              </w:rPr>
              <w:t>Triptan-overuse</w:t>
            </w:r>
            <w:r>
              <w:rPr>
                <w:color w:val="231F20"/>
                <w:spacing w:val="-1"/>
                <w:sz w:val="15"/>
              </w:rPr>
              <w:t> </w:t>
            </w:r>
            <w:r>
              <w:rPr>
                <w:color w:val="231F20"/>
                <w:spacing w:val="-2"/>
                <w:sz w:val="15"/>
              </w:rPr>
              <w:t>headache</w:t>
            </w:r>
          </w:p>
          <w:p>
            <w:pPr>
              <w:pStyle w:val="TableParagraph"/>
              <w:spacing w:line="230" w:lineRule="auto" w:before="3"/>
              <w:ind w:left="74" w:right="1539"/>
              <w:rPr>
                <w:sz w:val="15"/>
              </w:rPr>
            </w:pPr>
            <w:r>
              <w:rPr>
                <w:color w:val="231F20"/>
                <w:sz w:val="15"/>
              </w:rPr>
              <w:t>Simple analgesic-overuse headache</w:t>
            </w:r>
            <w:r>
              <w:rPr>
                <w:color w:val="231F20"/>
                <w:spacing w:val="80"/>
                <w:sz w:val="15"/>
              </w:rPr>
              <w:t> </w:t>
            </w:r>
            <w:r>
              <w:rPr>
                <w:color w:val="231F20"/>
                <w:spacing w:val="-2"/>
                <w:sz w:val="15"/>
              </w:rPr>
              <w:t>Paracetamol (acetaminophen)-overuse headache </w:t>
            </w:r>
            <w:r>
              <w:rPr>
                <w:color w:val="231F20"/>
                <w:sz w:val="15"/>
              </w:rPr>
              <w:t>Acetylsalicylic acid-overuse headache</w:t>
            </w:r>
          </w:p>
          <w:p>
            <w:pPr>
              <w:pStyle w:val="TableParagraph"/>
              <w:spacing w:line="230" w:lineRule="auto" w:before="2"/>
              <w:ind w:left="74" w:right="114"/>
              <w:rPr>
                <w:sz w:val="15"/>
              </w:rPr>
            </w:pPr>
            <w:r>
              <w:rPr>
                <w:color w:val="231F20"/>
                <w:sz w:val="15"/>
              </w:rPr>
              <w:t>Other</w:t>
            </w:r>
            <w:r>
              <w:rPr>
                <w:color w:val="231F20"/>
                <w:spacing w:val="-9"/>
                <w:sz w:val="15"/>
              </w:rPr>
              <w:t> </w:t>
            </w:r>
            <w:r>
              <w:rPr>
                <w:color w:val="231F20"/>
                <w:sz w:val="15"/>
              </w:rPr>
              <w:t>non-steroidal</w:t>
            </w:r>
            <w:r>
              <w:rPr>
                <w:color w:val="231F20"/>
                <w:spacing w:val="-9"/>
                <w:sz w:val="15"/>
              </w:rPr>
              <w:t> </w:t>
            </w:r>
            <w:r>
              <w:rPr>
                <w:color w:val="231F20"/>
                <w:sz w:val="15"/>
              </w:rPr>
              <w:t>antiinflammatory</w:t>
            </w:r>
            <w:r>
              <w:rPr>
                <w:color w:val="231F20"/>
                <w:spacing w:val="-9"/>
                <w:sz w:val="15"/>
              </w:rPr>
              <w:t> </w:t>
            </w:r>
            <w:r>
              <w:rPr>
                <w:color w:val="231F20"/>
                <w:sz w:val="15"/>
              </w:rPr>
              <w:t>drug</w:t>
            </w:r>
            <w:r>
              <w:rPr>
                <w:color w:val="231F20"/>
                <w:spacing w:val="-9"/>
                <w:sz w:val="15"/>
              </w:rPr>
              <w:t> </w:t>
            </w:r>
            <w:r>
              <w:rPr>
                <w:color w:val="231F20"/>
                <w:sz w:val="15"/>
              </w:rPr>
              <w:t>(NSAID)-overuse</w:t>
            </w:r>
            <w:r>
              <w:rPr>
                <w:color w:val="231F20"/>
                <w:spacing w:val="-9"/>
                <w:sz w:val="15"/>
              </w:rPr>
              <w:t> </w:t>
            </w:r>
            <w:r>
              <w:rPr>
                <w:color w:val="231F20"/>
                <w:sz w:val="15"/>
              </w:rPr>
              <w:t>headache Opioid-overuse headache</w:t>
            </w:r>
          </w:p>
          <w:p>
            <w:pPr>
              <w:pStyle w:val="TableParagraph"/>
              <w:spacing w:line="201" w:lineRule="auto" w:before="18"/>
              <w:ind w:left="74" w:right="1595"/>
              <w:rPr>
                <w:sz w:val="15"/>
              </w:rPr>
            </w:pPr>
            <w:r>
              <w:rPr>
                <w:color w:val="231F20"/>
                <w:sz w:val="15"/>
              </w:rPr>
              <w:t>Combination analgesic-overuse headache </w:t>
            </w:r>
            <w:r>
              <w:rPr>
                <w:rFonts w:ascii="Lucida Sans Unicode"/>
                <w:color w:val="231F20"/>
                <w:spacing w:val="-4"/>
                <w:sz w:val="15"/>
              </w:rPr>
              <w:t>Headache Attributed to Substance </w:t>
            </w:r>
            <w:r>
              <w:rPr>
                <w:rFonts w:ascii="Lucida Sans Unicode"/>
                <w:color w:val="231F20"/>
                <w:spacing w:val="-4"/>
                <w:sz w:val="15"/>
              </w:rPr>
              <w:t>Withdrawal </w:t>
            </w:r>
            <w:r>
              <w:rPr>
                <w:color w:val="231F20"/>
                <w:sz w:val="15"/>
              </w:rPr>
              <w:t>Caffeine-withdrawal headache</w:t>
            </w:r>
          </w:p>
          <w:p>
            <w:pPr>
              <w:pStyle w:val="TableParagraph"/>
              <w:spacing w:line="230" w:lineRule="auto" w:before="5"/>
              <w:ind w:left="74" w:right="2734"/>
              <w:rPr>
                <w:sz w:val="15"/>
              </w:rPr>
            </w:pPr>
            <w:r>
              <w:rPr>
                <w:color w:val="231F20"/>
                <w:sz w:val="15"/>
              </w:rPr>
              <w:t>Opioid-withdrawal headache </w:t>
            </w:r>
            <w:r>
              <w:rPr>
                <w:color w:val="231F20"/>
                <w:spacing w:val="-2"/>
                <w:sz w:val="15"/>
              </w:rPr>
              <w:t>Estrogen-withdrawal</w:t>
            </w:r>
            <w:r>
              <w:rPr>
                <w:color w:val="231F20"/>
                <w:spacing w:val="-3"/>
                <w:sz w:val="15"/>
              </w:rPr>
              <w:t> </w:t>
            </w:r>
            <w:r>
              <w:rPr>
                <w:color w:val="231F20"/>
                <w:spacing w:val="-2"/>
                <w:sz w:val="15"/>
              </w:rPr>
              <w:t>headache</w:t>
            </w:r>
          </w:p>
        </w:tc>
        <w:tc>
          <w:tcPr>
            <w:tcW w:w="4870" w:type="dxa"/>
            <w:tcBorders>
              <w:left w:val="single" w:sz="4" w:space="0" w:color="231F20"/>
              <w:right w:val="nil"/>
            </w:tcBorders>
            <w:shd w:val="clear" w:color="auto" w:fill="E8F5F1"/>
          </w:tcPr>
          <w:p>
            <w:pPr>
              <w:pStyle w:val="TableParagraph"/>
              <w:spacing w:line="230" w:lineRule="auto" w:before="48"/>
              <w:ind w:left="69" w:right="120"/>
              <w:rPr>
                <w:sz w:val="15"/>
              </w:rPr>
            </w:pPr>
            <w:r>
              <w:rPr>
                <w:color w:val="231F20"/>
                <w:w w:val="110"/>
                <w:sz w:val="15"/>
              </w:rPr>
              <w:t>HEADACHE OR FACIAL PAIN ATTRIBUTED TO DISORDER OF </w:t>
            </w:r>
            <w:r>
              <w:rPr>
                <w:color w:val="231F20"/>
                <w:w w:val="110"/>
                <w:sz w:val="15"/>
              </w:rPr>
              <w:t>THE CRANIUM, NECK, EYES, EARS, NOSE, SINUSES, TEETH, MOUTH, OR OTHER FACIAL OR CERVICAL STRUCTURE</w:t>
            </w:r>
          </w:p>
          <w:p>
            <w:pPr>
              <w:pStyle w:val="TableParagraph"/>
              <w:spacing w:line="230" w:lineRule="auto" w:before="4"/>
              <w:ind w:left="69" w:right="1408"/>
              <w:rPr>
                <w:sz w:val="15"/>
              </w:rPr>
            </w:pPr>
            <w:r>
              <w:rPr>
                <w:color w:val="231F20"/>
                <w:sz w:val="15"/>
              </w:rPr>
              <w:t>Headache attributed to disorder of cranial bone 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retropharyngeal</w:t>
            </w:r>
            <w:r>
              <w:rPr>
                <w:color w:val="231F20"/>
                <w:spacing w:val="-12"/>
                <w:sz w:val="15"/>
              </w:rPr>
              <w:t> </w:t>
            </w:r>
            <w:r>
              <w:rPr>
                <w:color w:val="231F20"/>
                <w:sz w:val="15"/>
              </w:rPr>
              <w:t>tendonitis Headache attributed to craniocervical dystonia Headache attributed to acute glaucoma</w:t>
            </w:r>
            <w:r>
              <w:rPr>
                <w:color w:val="231F20"/>
                <w:spacing w:val="80"/>
                <w:sz w:val="15"/>
              </w:rPr>
              <w:t> </w:t>
            </w:r>
            <w:r>
              <w:rPr>
                <w:color w:val="231F20"/>
                <w:sz w:val="15"/>
              </w:rPr>
              <w:t>Headache attributed to refractive error</w:t>
            </w:r>
          </w:p>
          <w:p>
            <w:pPr>
              <w:pStyle w:val="TableParagraph"/>
              <w:spacing w:line="230" w:lineRule="auto" w:before="4"/>
              <w:ind w:left="181" w:right="400" w:hanging="112"/>
              <w:rPr>
                <w:sz w:val="15"/>
              </w:rPr>
            </w:pPr>
            <w:r>
              <w:rPr>
                <w:color w:val="231F20"/>
                <w:spacing w:val="-2"/>
                <w:sz w:val="15"/>
              </w:rPr>
              <w:t>Headache attributed to heterophoria or heterotropia (latent </w:t>
            </w:r>
            <w:r>
              <w:rPr>
                <w:color w:val="231F20"/>
                <w:spacing w:val="-2"/>
                <w:sz w:val="15"/>
              </w:rPr>
              <w:t>or </w:t>
            </w:r>
            <w:r>
              <w:rPr>
                <w:color w:val="231F20"/>
                <w:sz w:val="15"/>
              </w:rPr>
              <w:t>persistent squint)</w:t>
            </w:r>
          </w:p>
          <w:p>
            <w:pPr>
              <w:pStyle w:val="TableParagraph"/>
              <w:spacing w:line="230" w:lineRule="auto" w:before="1"/>
              <w:ind w:left="69" w:right="895"/>
              <w:rPr>
                <w:sz w:val="15"/>
              </w:rPr>
            </w:pPr>
            <w:r>
              <w:rPr>
                <w:color w:val="231F20"/>
                <w:spacing w:val="-2"/>
                <w:sz w:val="15"/>
              </w:rPr>
              <w:t>Headache attributed to ocular inflammatory </w:t>
            </w:r>
            <w:r>
              <w:rPr>
                <w:color w:val="231F20"/>
                <w:spacing w:val="-2"/>
                <w:sz w:val="15"/>
              </w:rPr>
              <w:t>disorder </w:t>
            </w:r>
            <w:r>
              <w:rPr>
                <w:color w:val="231F20"/>
                <w:sz w:val="15"/>
              </w:rPr>
              <w:t>Headache attributed to trachelitis</w:t>
            </w:r>
          </w:p>
          <w:p>
            <w:pPr>
              <w:pStyle w:val="TableParagraph"/>
              <w:spacing w:line="167" w:lineRule="exact"/>
              <w:ind w:left="69"/>
              <w:rPr>
                <w:sz w:val="15"/>
              </w:rPr>
            </w:pPr>
            <w:r>
              <w:rPr>
                <w:color w:val="231F20"/>
                <w:sz w:val="15"/>
              </w:rPr>
              <w:t>Headache</w:t>
            </w:r>
            <w:r>
              <w:rPr>
                <w:color w:val="231F20"/>
                <w:spacing w:val="-6"/>
                <w:sz w:val="15"/>
              </w:rPr>
              <w:t> </w:t>
            </w:r>
            <w:r>
              <w:rPr>
                <w:color w:val="231F20"/>
                <w:sz w:val="15"/>
              </w:rPr>
              <w:t>attributed</w:t>
            </w:r>
            <w:r>
              <w:rPr>
                <w:color w:val="231F20"/>
                <w:spacing w:val="-5"/>
                <w:sz w:val="15"/>
              </w:rPr>
              <w:t> </w:t>
            </w:r>
            <w:r>
              <w:rPr>
                <w:color w:val="231F20"/>
                <w:sz w:val="15"/>
              </w:rPr>
              <w:t>to</w:t>
            </w:r>
            <w:r>
              <w:rPr>
                <w:color w:val="231F20"/>
                <w:spacing w:val="-5"/>
                <w:sz w:val="15"/>
              </w:rPr>
              <w:t> </w:t>
            </w:r>
            <w:r>
              <w:rPr>
                <w:color w:val="231F20"/>
                <w:sz w:val="15"/>
              </w:rPr>
              <w:t>disorder</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6"/>
                <w:sz w:val="15"/>
              </w:rPr>
              <w:t> </w:t>
            </w:r>
            <w:r>
              <w:rPr>
                <w:color w:val="231F20"/>
                <w:spacing w:val="-4"/>
                <w:sz w:val="15"/>
              </w:rPr>
              <w:t>ears</w:t>
            </w:r>
          </w:p>
          <w:p>
            <w:pPr>
              <w:pStyle w:val="TableParagraph"/>
              <w:spacing w:line="230" w:lineRule="auto" w:before="3"/>
              <w:ind w:left="69"/>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acute</w:t>
            </w:r>
            <w:r>
              <w:rPr>
                <w:color w:val="231F20"/>
                <w:spacing w:val="-12"/>
                <w:sz w:val="15"/>
              </w:rPr>
              <w:t> </w:t>
            </w:r>
            <w:r>
              <w:rPr>
                <w:color w:val="231F20"/>
                <w:sz w:val="15"/>
              </w:rPr>
              <w:t>or</w:t>
            </w:r>
            <w:r>
              <w:rPr>
                <w:color w:val="231F20"/>
                <w:spacing w:val="-11"/>
                <w:sz w:val="15"/>
              </w:rPr>
              <w:t> </w:t>
            </w:r>
            <w:r>
              <w:rPr>
                <w:color w:val="231F20"/>
                <w:sz w:val="15"/>
              </w:rPr>
              <w:t>chronic</w:t>
            </w:r>
            <w:r>
              <w:rPr>
                <w:color w:val="231F20"/>
                <w:spacing w:val="-11"/>
                <w:sz w:val="15"/>
              </w:rPr>
              <w:t> </w:t>
            </w:r>
            <w:r>
              <w:rPr>
                <w:color w:val="231F20"/>
                <w:sz w:val="15"/>
              </w:rPr>
              <w:t>or</w:t>
            </w:r>
            <w:r>
              <w:rPr>
                <w:color w:val="231F20"/>
                <w:spacing w:val="-12"/>
                <w:sz w:val="15"/>
              </w:rPr>
              <w:t> </w:t>
            </w:r>
            <w:r>
              <w:rPr>
                <w:color w:val="231F20"/>
                <w:sz w:val="15"/>
              </w:rPr>
              <w:t>recurring</w:t>
            </w:r>
            <w:r>
              <w:rPr>
                <w:color w:val="231F20"/>
                <w:spacing w:val="-11"/>
                <w:sz w:val="15"/>
              </w:rPr>
              <w:t> </w:t>
            </w:r>
            <w:r>
              <w:rPr>
                <w:color w:val="231F20"/>
                <w:sz w:val="15"/>
              </w:rPr>
              <w:t>rhinosinusitis Headache attributed to temporomandibular disorder (TMD)</w:t>
            </w:r>
          </w:p>
          <w:p>
            <w:pPr>
              <w:pStyle w:val="TableParagraph"/>
              <w:spacing w:line="230" w:lineRule="auto" w:before="1"/>
              <w:ind w:left="181" w:right="400" w:hanging="112"/>
              <w:rPr>
                <w:sz w:val="15"/>
              </w:rPr>
            </w:pPr>
            <w:r>
              <w:rPr>
                <w:color w:val="231F20"/>
                <w:sz w:val="15"/>
              </w:rPr>
              <w:t>Head</w:t>
            </w:r>
            <w:r>
              <w:rPr>
                <w:color w:val="231F20"/>
                <w:spacing w:val="-12"/>
                <w:sz w:val="15"/>
              </w:rPr>
              <w:t> </w:t>
            </w:r>
            <w:r>
              <w:rPr>
                <w:color w:val="231F20"/>
                <w:sz w:val="15"/>
              </w:rPr>
              <w:t>or</w:t>
            </w:r>
            <w:r>
              <w:rPr>
                <w:color w:val="231F20"/>
                <w:spacing w:val="-11"/>
                <w:sz w:val="15"/>
              </w:rPr>
              <w:t> </w:t>
            </w:r>
            <w:r>
              <w:rPr>
                <w:color w:val="231F20"/>
                <w:sz w:val="15"/>
              </w:rPr>
              <w:t>facial</w:t>
            </w:r>
            <w:r>
              <w:rPr>
                <w:color w:val="231F20"/>
                <w:spacing w:val="-11"/>
                <w:sz w:val="15"/>
              </w:rPr>
              <w:t> </w:t>
            </w:r>
            <w:r>
              <w:rPr>
                <w:color w:val="231F20"/>
                <w:sz w:val="15"/>
              </w:rPr>
              <w:t>pain</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inflammation</w:t>
            </w:r>
            <w:r>
              <w:rPr>
                <w:color w:val="231F20"/>
                <w:spacing w:val="-12"/>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stylohyoid </w:t>
            </w:r>
            <w:r>
              <w:rPr>
                <w:color w:val="231F20"/>
                <w:spacing w:val="-2"/>
                <w:sz w:val="15"/>
              </w:rPr>
              <w:t>ligament</w:t>
            </w:r>
          </w:p>
          <w:p>
            <w:pPr>
              <w:pStyle w:val="TableParagraph"/>
              <w:spacing w:line="230" w:lineRule="auto" w:before="2"/>
              <w:ind w:left="181" w:hanging="112"/>
              <w:rPr>
                <w:sz w:val="15"/>
              </w:rPr>
            </w:pPr>
            <w:r>
              <w:rPr>
                <w:color w:val="231F20"/>
                <w:sz w:val="15"/>
              </w:rPr>
              <w:t>Headache</w:t>
            </w:r>
            <w:r>
              <w:rPr>
                <w:color w:val="231F20"/>
                <w:spacing w:val="-12"/>
                <w:sz w:val="15"/>
              </w:rPr>
              <w:t> </w:t>
            </w:r>
            <w:r>
              <w:rPr>
                <w:color w:val="231F20"/>
                <w:sz w:val="15"/>
              </w:rPr>
              <w:t>or</w:t>
            </w:r>
            <w:r>
              <w:rPr>
                <w:color w:val="231F20"/>
                <w:spacing w:val="-11"/>
                <w:sz w:val="15"/>
              </w:rPr>
              <w:t> </w:t>
            </w:r>
            <w:r>
              <w:rPr>
                <w:color w:val="231F20"/>
                <w:sz w:val="15"/>
              </w:rPr>
              <w:t>facial</w:t>
            </w:r>
            <w:r>
              <w:rPr>
                <w:color w:val="231F20"/>
                <w:spacing w:val="-11"/>
                <w:sz w:val="15"/>
              </w:rPr>
              <w:t> </w:t>
            </w:r>
            <w:r>
              <w:rPr>
                <w:color w:val="231F20"/>
                <w:sz w:val="15"/>
              </w:rPr>
              <w:t>pain</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other</w:t>
            </w:r>
            <w:r>
              <w:rPr>
                <w:color w:val="231F20"/>
                <w:spacing w:val="-12"/>
                <w:sz w:val="15"/>
              </w:rPr>
              <w:t> </w:t>
            </w:r>
            <w:r>
              <w:rPr>
                <w:color w:val="231F20"/>
                <w:sz w:val="15"/>
              </w:rPr>
              <w:t>disorder</w:t>
            </w:r>
            <w:r>
              <w:rPr>
                <w:color w:val="231F20"/>
                <w:spacing w:val="-11"/>
                <w:sz w:val="15"/>
              </w:rPr>
              <w:t> </w:t>
            </w:r>
            <w:r>
              <w:rPr>
                <w:color w:val="231F20"/>
                <w:sz w:val="15"/>
              </w:rPr>
              <w:t>of</w:t>
            </w:r>
            <w:r>
              <w:rPr>
                <w:color w:val="231F20"/>
                <w:spacing w:val="-11"/>
                <w:sz w:val="15"/>
              </w:rPr>
              <w:t> </w:t>
            </w:r>
            <w:r>
              <w:rPr>
                <w:color w:val="231F20"/>
                <w:sz w:val="15"/>
              </w:rPr>
              <w:t>cranium,</w:t>
            </w:r>
            <w:r>
              <w:rPr>
                <w:color w:val="231F20"/>
                <w:spacing w:val="-11"/>
                <w:sz w:val="15"/>
              </w:rPr>
              <w:t> </w:t>
            </w:r>
            <w:r>
              <w:rPr>
                <w:color w:val="231F20"/>
                <w:sz w:val="15"/>
              </w:rPr>
              <w:t>neck, eyes,</w:t>
            </w:r>
            <w:r>
              <w:rPr>
                <w:color w:val="231F20"/>
                <w:spacing w:val="-3"/>
                <w:sz w:val="15"/>
              </w:rPr>
              <w:t> </w:t>
            </w:r>
            <w:r>
              <w:rPr>
                <w:color w:val="231F20"/>
                <w:sz w:val="15"/>
              </w:rPr>
              <w:t>ears,</w:t>
            </w:r>
            <w:r>
              <w:rPr>
                <w:color w:val="231F20"/>
                <w:spacing w:val="-3"/>
                <w:sz w:val="15"/>
              </w:rPr>
              <w:t> </w:t>
            </w:r>
            <w:r>
              <w:rPr>
                <w:color w:val="231F20"/>
                <w:sz w:val="15"/>
              </w:rPr>
              <w:t>nose,</w:t>
            </w:r>
            <w:r>
              <w:rPr>
                <w:color w:val="231F20"/>
                <w:spacing w:val="-3"/>
                <w:sz w:val="15"/>
              </w:rPr>
              <w:t> </w:t>
            </w:r>
            <w:r>
              <w:rPr>
                <w:color w:val="231F20"/>
                <w:sz w:val="15"/>
              </w:rPr>
              <w:t>sinuses,</w:t>
            </w:r>
            <w:r>
              <w:rPr>
                <w:color w:val="231F20"/>
                <w:spacing w:val="-3"/>
                <w:sz w:val="15"/>
              </w:rPr>
              <w:t> </w:t>
            </w:r>
            <w:r>
              <w:rPr>
                <w:color w:val="231F20"/>
                <w:sz w:val="15"/>
              </w:rPr>
              <w:t>teeth,</w:t>
            </w:r>
            <w:r>
              <w:rPr>
                <w:color w:val="231F20"/>
                <w:spacing w:val="-3"/>
                <w:sz w:val="15"/>
              </w:rPr>
              <w:t> </w:t>
            </w:r>
            <w:r>
              <w:rPr>
                <w:color w:val="231F20"/>
                <w:sz w:val="15"/>
              </w:rPr>
              <w:t>mouth,</w:t>
            </w:r>
            <w:r>
              <w:rPr>
                <w:color w:val="231F20"/>
                <w:spacing w:val="-3"/>
                <w:sz w:val="15"/>
              </w:rPr>
              <w:t> </w:t>
            </w:r>
            <w:r>
              <w:rPr>
                <w:color w:val="231F20"/>
                <w:sz w:val="15"/>
              </w:rPr>
              <w:t>or</w:t>
            </w:r>
            <w:r>
              <w:rPr>
                <w:color w:val="231F20"/>
                <w:spacing w:val="-3"/>
                <w:sz w:val="15"/>
              </w:rPr>
              <w:t> </w:t>
            </w:r>
            <w:r>
              <w:rPr>
                <w:color w:val="231F20"/>
                <w:sz w:val="15"/>
              </w:rPr>
              <w:t>other</w:t>
            </w:r>
            <w:r>
              <w:rPr>
                <w:color w:val="231F20"/>
                <w:spacing w:val="-3"/>
                <w:sz w:val="15"/>
              </w:rPr>
              <w:t> </w:t>
            </w:r>
            <w:r>
              <w:rPr>
                <w:color w:val="231F20"/>
                <w:sz w:val="15"/>
              </w:rPr>
              <w:t>facial</w:t>
            </w:r>
            <w:r>
              <w:rPr>
                <w:color w:val="231F20"/>
                <w:spacing w:val="-3"/>
                <w:sz w:val="15"/>
              </w:rPr>
              <w:t> </w:t>
            </w:r>
            <w:r>
              <w:rPr>
                <w:color w:val="231F20"/>
                <w:sz w:val="15"/>
              </w:rPr>
              <w:t>or</w:t>
            </w:r>
            <w:r>
              <w:rPr>
                <w:color w:val="231F20"/>
                <w:spacing w:val="-3"/>
                <w:sz w:val="15"/>
              </w:rPr>
              <w:t> </w:t>
            </w:r>
            <w:r>
              <w:rPr>
                <w:color w:val="231F20"/>
                <w:sz w:val="15"/>
              </w:rPr>
              <w:t>cervical </w:t>
            </w:r>
            <w:r>
              <w:rPr>
                <w:color w:val="231F20"/>
                <w:spacing w:val="-2"/>
                <w:sz w:val="15"/>
              </w:rPr>
              <w:t>structure</w:t>
            </w:r>
          </w:p>
        </w:tc>
      </w:tr>
      <w:tr>
        <w:trPr>
          <w:trHeight w:val="601"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w w:val="110"/>
                <w:sz w:val="15"/>
              </w:rPr>
              <w:t>HEADACHE ATTRIBUTED TO</w:t>
            </w:r>
            <w:r>
              <w:rPr>
                <w:color w:val="231F20"/>
                <w:spacing w:val="1"/>
                <w:w w:val="110"/>
                <w:sz w:val="15"/>
              </w:rPr>
              <w:t> </w:t>
            </w:r>
            <w:r>
              <w:rPr>
                <w:color w:val="231F20"/>
                <w:w w:val="110"/>
                <w:sz w:val="15"/>
              </w:rPr>
              <w:t>PSYCHIATRIC </w:t>
            </w:r>
            <w:r>
              <w:rPr>
                <w:color w:val="231F20"/>
                <w:spacing w:val="-2"/>
                <w:w w:val="110"/>
                <w:sz w:val="15"/>
              </w:rPr>
              <w:t>DISORDER</w:t>
            </w:r>
          </w:p>
          <w:p>
            <w:pPr>
              <w:pStyle w:val="TableParagraph"/>
              <w:spacing w:line="230" w:lineRule="auto" w:before="3"/>
              <w:ind w:left="69" w:right="1539"/>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somatization</w:t>
            </w:r>
            <w:r>
              <w:rPr>
                <w:color w:val="231F20"/>
                <w:spacing w:val="-12"/>
                <w:sz w:val="15"/>
              </w:rPr>
              <w:t> </w:t>
            </w:r>
            <w:r>
              <w:rPr>
                <w:color w:val="231F20"/>
                <w:sz w:val="15"/>
              </w:rPr>
              <w:t>disorder Headache attributed to psychotic disorder</w:t>
            </w:r>
          </w:p>
        </w:tc>
      </w:tr>
      <w:tr>
        <w:trPr>
          <w:trHeight w:val="582" w:hRule="exact"/>
        </w:trPr>
        <w:tc>
          <w:tcPr>
            <w:tcW w:w="4870" w:type="dxa"/>
            <w:vMerge/>
            <w:tcBorders>
              <w:top w:val="nil"/>
              <w:left w:val="nil"/>
              <w:right w:val="single" w:sz="4" w:space="0" w:color="231F20"/>
            </w:tcBorders>
            <w:shd w:val="clear" w:color="auto" w:fill="E8F5F1"/>
          </w:tcPr>
          <w:p>
            <w:pPr>
              <w:rPr>
                <w:sz w:val="2"/>
                <w:szCs w:val="2"/>
              </w:rPr>
            </w:pPr>
          </w:p>
        </w:tc>
        <w:tc>
          <w:tcPr>
            <w:tcW w:w="4870" w:type="dxa"/>
            <w:vMerge w:val="restart"/>
            <w:tcBorders>
              <w:left w:val="single" w:sz="4" w:space="0" w:color="231F20"/>
              <w:bottom w:val="single" w:sz="8" w:space="0" w:color="231F20"/>
              <w:right w:val="nil"/>
            </w:tcBorders>
            <w:shd w:val="clear" w:color="auto" w:fill="E8F5F1"/>
          </w:tcPr>
          <w:p>
            <w:pPr>
              <w:pStyle w:val="TableParagraph"/>
              <w:spacing w:line="172" w:lineRule="exact" w:before="43"/>
              <w:ind w:left="69"/>
              <w:rPr>
                <w:sz w:val="15"/>
              </w:rPr>
            </w:pPr>
            <w:r>
              <w:rPr>
                <w:color w:val="231F20"/>
                <w:w w:val="110"/>
                <w:sz w:val="15"/>
              </w:rPr>
              <w:t>PAINFUL</w:t>
            </w:r>
            <w:r>
              <w:rPr>
                <w:color w:val="231F20"/>
                <w:spacing w:val="12"/>
                <w:w w:val="110"/>
                <w:sz w:val="15"/>
              </w:rPr>
              <w:t> </w:t>
            </w:r>
            <w:r>
              <w:rPr>
                <w:color w:val="231F20"/>
                <w:w w:val="110"/>
                <w:sz w:val="15"/>
              </w:rPr>
              <w:t>CRANIAL</w:t>
            </w:r>
            <w:r>
              <w:rPr>
                <w:color w:val="231F20"/>
                <w:spacing w:val="12"/>
                <w:w w:val="110"/>
                <w:sz w:val="15"/>
              </w:rPr>
              <w:t> </w:t>
            </w:r>
            <w:r>
              <w:rPr>
                <w:color w:val="231F20"/>
                <w:w w:val="110"/>
                <w:sz w:val="15"/>
              </w:rPr>
              <w:t>NEUROPATHIES</w:t>
            </w:r>
            <w:r>
              <w:rPr>
                <w:color w:val="231F20"/>
                <w:spacing w:val="12"/>
                <w:w w:val="110"/>
                <w:sz w:val="15"/>
              </w:rPr>
              <w:t> </w:t>
            </w:r>
            <w:r>
              <w:rPr>
                <w:color w:val="231F20"/>
                <w:w w:val="110"/>
                <w:sz w:val="15"/>
              </w:rPr>
              <w:t>AND</w:t>
            </w:r>
            <w:r>
              <w:rPr>
                <w:color w:val="231F20"/>
                <w:spacing w:val="13"/>
                <w:w w:val="110"/>
                <w:sz w:val="15"/>
              </w:rPr>
              <w:t> </w:t>
            </w:r>
            <w:r>
              <w:rPr>
                <w:color w:val="231F20"/>
                <w:w w:val="110"/>
                <w:sz w:val="15"/>
              </w:rPr>
              <w:t>OTHER</w:t>
            </w:r>
            <w:r>
              <w:rPr>
                <w:color w:val="231F20"/>
                <w:spacing w:val="12"/>
                <w:w w:val="110"/>
                <w:sz w:val="15"/>
              </w:rPr>
              <w:t> </w:t>
            </w:r>
            <w:r>
              <w:rPr>
                <w:color w:val="231F20"/>
                <w:w w:val="110"/>
                <w:sz w:val="15"/>
              </w:rPr>
              <w:t>FACIAL</w:t>
            </w:r>
            <w:r>
              <w:rPr>
                <w:color w:val="231F20"/>
                <w:spacing w:val="12"/>
                <w:w w:val="110"/>
                <w:sz w:val="15"/>
              </w:rPr>
              <w:t> </w:t>
            </w:r>
            <w:r>
              <w:rPr>
                <w:color w:val="231F20"/>
                <w:spacing w:val="-2"/>
                <w:w w:val="110"/>
                <w:sz w:val="15"/>
              </w:rPr>
              <w:t>PAINS</w:t>
            </w:r>
          </w:p>
          <w:p>
            <w:pPr>
              <w:pStyle w:val="TableParagraph"/>
              <w:spacing w:line="169" w:lineRule="exact"/>
              <w:ind w:left="69"/>
              <w:rPr>
                <w:sz w:val="15"/>
              </w:rPr>
            </w:pPr>
            <w:r>
              <w:rPr>
                <w:color w:val="231F20"/>
                <w:spacing w:val="-2"/>
                <w:sz w:val="15"/>
              </w:rPr>
              <w:t>Classical</w:t>
            </w:r>
            <w:r>
              <w:rPr>
                <w:color w:val="231F20"/>
                <w:sz w:val="15"/>
              </w:rPr>
              <w:t> </w:t>
            </w:r>
            <w:r>
              <w:rPr>
                <w:color w:val="231F20"/>
                <w:spacing w:val="-2"/>
                <w:sz w:val="15"/>
              </w:rPr>
              <w:t>trigeminal</w:t>
            </w:r>
            <w:r>
              <w:rPr>
                <w:color w:val="231F20"/>
                <w:sz w:val="15"/>
              </w:rPr>
              <w:t> </w:t>
            </w:r>
            <w:r>
              <w:rPr>
                <w:color w:val="231F20"/>
                <w:spacing w:val="-2"/>
                <w:sz w:val="15"/>
              </w:rPr>
              <w:t>neuralgia</w:t>
            </w:r>
          </w:p>
          <w:p>
            <w:pPr>
              <w:pStyle w:val="TableParagraph"/>
              <w:spacing w:line="230" w:lineRule="auto" w:before="2"/>
              <w:ind w:left="181" w:hanging="112"/>
              <w:rPr>
                <w:sz w:val="15"/>
              </w:rPr>
            </w:pPr>
            <w:r>
              <w:rPr>
                <w:color w:val="231F20"/>
                <w:spacing w:val="-2"/>
                <w:sz w:val="15"/>
              </w:rPr>
              <w:t>Classical trigeminal neuralgia, purely paroxysmal or with </w:t>
            </w:r>
            <w:r>
              <w:rPr>
                <w:color w:val="231F20"/>
                <w:spacing w:val="-2"/>
                <w:sz w:val="15"/>
              </w:rPr>
              <w:t>concomitant </w:t>
            </w:r>
            <w:r>
              <w:rPr>
                <w:color w:val="231F20"/>
                <w:sz w:val="15"/>
              </w:rPr>
              <w:t>persistent facial pain</w:t>
            </w:r>
          </w:p>
          <w:p>
            <w:pPr>
              <w:pStyle w:val="TableParagraph"/>
              <w:spacing w:line="167" w:lineRule="exact"/>
              <w:ind w:left="69"/>
              <w:rPr>
                <w:sz w:val="15"/>
              </w:rPr>
            </w:pPr>
            <w:r>
              <w:rPr>
                <w:color w:val="231F20"/>
                <w:spacing w:val="-4"/>
                <w:sz w:val="15"/>
              </w:rPr>
              <w:t>Painful</w:t>
            </w:r>
            <w:r>
              <w:rPr>
                <w:color w:val="231F20"/>
                <w:spacing w:val="7"/>
                <w:sz w:val="15"/>
              </w:rPr>
              <w:t> </w:t>
            </w:r>
            <w:r>
              <w:rPr>
                <w:color w:val="231F20"/>
                <w:spacing w:val="-4"/>
                <w:sz w:val="15"/>
              </w:rPr>
              <w:t>trigeminal</w:t>
            </w:r>
            <w:r>
              <w:rPr>
                <w:color w:val="231F20"/>
                <w:spacing w:val="7"/>
                <w:sz w:val="15"/>
              </w:rPr>
              <w:t> </w:t>
            </w:r>
            <w:r>
              <w:rPr>
                <w:color w:val="231F20"/>
                <w:spacing w:val="-4"/>
                <w:sz w:val="15"/>
              </w:rPr>
              <w:t>neuropathy</w:t>
            </w:r>
          </w:p>
          <w:p>
            <w:pPr>
              <w:pStyle w:val="TableParagraph"/>
              <w:spacing w:line="230" w:lineRule="auto" w:before="3"/>
              <w:ind w:left="69"/>
              <w:rPr>
                <w:sz w:val="15"/>
              </w:rPr>
            </w:pPr>
            <w:r>
              <w:rPr>
                <w:color w:val="231F20"/>
                <w:spacing w:val="-2"/>
                <w:sz w:val="15"/>
              </w:rPr>
              <w:t>Painful</w:t>
            </w:r>
            <w:r>
              <w:rPr>
                <w:color w:val="231F20"/>
                <w:spacing w:val="-3"/>
                <w:sz w:val="15"/>
              </w:rPr>
              <w:t> </w:t>
            </w:r>
            <w:r>
              <w:rPr>
                <w:color w:val="231F20"/>
                <w:spacing w:val="-2"/>
                <w:sz w:val="15"/>
              </w:rPr>
              <w:t>trigeminal</w:t>
            </w:r>
            <w:r>
              <w:rPr>
                <w:color w:val="231F20"/>
                <w:spacing w:val="-3"/>
                <w:sz w:val="15"/>
              </w:rPr>
              <w:t> </w:t>
            </w:r>
            <w:r>
              <w:rPr>
                <w:color w:val="231F20"/>
                <w:spacing w:val="-2"/>
                <w:sz w:val="15"/>
              </w:rPr>
              <w:t>neuropathy</w:t>
            </w:r>
            <w:r>
              <w:rPr>
                <w:color w:val="231F20"/>
                <w:spacing w:val="-3"/>
                <w:sz w:val="15"/>
              </w:rPr>
              <w:t> </w:t>
            </w:r>
            <w:r>
              <w:rPr>
                <w:color w:val="231F20"/>
                <w:spacing w:val="-2"/>
                <w:sz w:val="15"/>
              </w:rPr>
              <w:t>attributed</w:t>
            </w:r>
            <w:r>
              <w:rPr>
                <w:color w:val="231F20"/>
                <w:spacing w:val="-3"/>
                <w:sz w:val="15"/>
              </w:rPr>
              <w:t> </w:t>
            </w:r>
            <w:r>
              <w:rPr>
                <w:color w:val="231F20"/>
                <w:spacing w:val="-2"/>
                <w:sz w:val="15"/>
              </w:rPr>
              <w:t>to</w:t>
            </w:r>
            <w:r>
              <w:rPr>
                <w:color w:val="231F20"/>
                <w:spacing w:val="-3"/>
                <w:sz w:val="15"/>
              </w:rPr>
              <w:t> </w:t>
            </w:r>
            <w:r>
              <w:rPr>
                <w:color w:val="231F20"/>
                <w:spacing w:val="-2"/>
                <w:sz w:val="15"/>
              </w:rPr>
              <w:t>acute</w:t>
            </w:r>
            <w:r>
              <w:rPr>
                <w:color w:val="231F20"/>
                <w:spacing w:val="-3"/>
                <w:sz w:val="15"/>
              </w:rPr>
              <w:t> </w:t>
            </w:r>
            <w:r>
              <w:rPr>
                <w:color w:val="231F20"/>
                <w:spacing w:val="-2"/>
                <w:sz w:val="15"/>
              </w:rPr>
              <w:t>herpes</w:t>
            </w:r>
            <w:r>
              <w:rPr>
                <w:color w:val="231F20"/>
                <w:spacing w:val="-3"/>
                <w:sz w:val="15"/>
              </w:rPr>
              <w:t> </w:t>
            </w:r>
            <w:r>
              <w:rPr>
                <w:color w:val="231F20"/>
                <w:spacing w:val="-2"/>
                <w:sz w:val="15"/>
              </w:rPr>
              <w:t>zoster </w:t>
            </w:r>
            <w:r>
              <w:rPr>
                <w:color w:val="231F20"/>
                <w:sz w:val="15"/>
              </w:rPr>
              <w:t>Postherpetic trigeminal neuropathy</w:t>
            </w:r>
          </w:p>
          <w:p>
            <w:pPr>
              <w:pStyle w:val="TableParagraph"/>
              <w:spacing w:line="167" w:lineRule="exact"/>
              <w:ind w:left="69"/>
              <w:rPr>
                <w:sz w:val="15"/>
              </w:rPr>
            </w:pPr>
            <w:r>
              <w:rPr>
                <w:color w:val="231F20"/>
                <w:spacing w:val="-2"/>
                <w:sz w:val="15"/>
              </w:rPr>
              <w:t>Painful</w:t>
            </w:r>
            <w:r>
              <w:rPr>
                <w:color w:val="231F20"/>
                <w:spacing w:val="-9"/>
                <w:sz w:val="15"/>
              </w:rPr>
              <w:t> </w:t>
            </w:r>
            <w:r>
              <w:rPr>
                <w:color w:val="231F20"/>
                <w:spacing w:val="-2"/>
                <w:sz w:val="15"/>
              </w:rPr>
              <w:t>posttraumatic</w:t>
            </w:r>
            <w:r>
              <w:rPr>
                <w:color w:val="231F20"/>
                <w:spacing w:val="-7"/>
                <w:sz w:val="15"/>
              </w:rPr>
              <w:t> </w:t>
            </w:r>
            <w:r>
              <w:rPr>
                <w:color w:val="231F20"/>
                <w:spacing w:val="-2"/>
                <w:sz w:val="15"/>
              </w:rPr>
              <w:t>trigeminal</w:t>
            </w:r>
            <w:r>
              <w:rPr>
                <w:color w:val="231F20"/>
                <w:spacing w:val="-7"/>
                <w:sz w:val="15"/>
              </w:rPr>
              <w:t> </w:t>
            </w:r>
            <w:r>
              <w:rPr>
                <w:color w:val="231F20"/>
                <w:spacing w:val="-2"/>
                <w:sz w:val="15"/>
              </w:rPr>
              <w:t>neuropathy</w:t>
            </w:r>
          </w:p>
          <w:p>
            <w:pPr>
              <w:pStyle w:val="TableParagraph"/>
              <w:spacing w:line="230" w:lineRule="auto" w:before="2"/>
              <w:ind w:left="181" w:right="400" w:hanging="112"/>
              <w:rPr>
                <w:sz w:val="15"/>
              </w:rPr>
            </w:pPr>
            <w:r>
              <w:rPr>
                <w:color w:val="231F20"/>
                <w:spacing w:val="-2"/>
                <w:sz w:val="15"/>
              </w:rPr>
              <w:t>Painful trigeminal neuropathy attributed to multiple sclerosis </w:t>
            </w:r>
            <w:r>
              <w:rPr>
                <w:color w:val="231F20"/>
                <w:spacing w:val="-2"/>
                <w:sz w:val="15"/>
              </w:rPr>
              <w:t>(MS) plaque</w:t>
            </w:r>
          </w:p>
          <w:p>
            <w:pPr>
              <w:pStyle w:val="TableParagraph"/>
              <w:spacing w:line="230" w:lineRule="auto" w:before="2"/>
              <w:ind w:left="69" w:right="327"/>
              <w:rPr>
                <w:sz w:val="15"/>
              </w:rPr>
            </w:pPr>
            <w:r>
              <w:rPr>
                <w:color w:val="231F20"/>
                <w:sz w:val="15"/>
              </w:rPr>
              <w:t>Painful</w:t>
            </w:r>
            <w:r>
              <w:rPr>
                <w:color w:val="231F20"/>
                <w:spacing w:val="-12"/>
                <w:sz w:val="15"/>
              </w:rPr>
              <w:t> </w:t>
            </w:r>
            <w:r>
              <w:rPr>
                <w:color w:val="231F20"/>
                <w:sz w:val="15"/>
              </w:rPr>
              <w:t>trigeminal</w:t>
            </w:r>
            <w:r>
              <w:rPr>
                <w:color w:val="231F20"/>
                <w:spacing w:val="-11"/>
                <w:sz w:val="15"/>
              </w:rPr>
              <w:t> </w:t>
            </w:r>
            <w:r>
              <w:rPr>
                <w:color w:val="231F20"/>
                <w:sz w:val="15"/>
              </w:rPr>
              <w:t>neuropathy</w:t>
            </w:r>
            <w:r>
              <w:rPr>
                <w:color w:val="231F20"/>
                <w:spacing w:val="-11"/>
                <w:sz w:val="15"/>
              </w:rPr>
              <w:t> </w:t>
            </w:r>
            <w:r>
              <w:rPr>
                <w:color w:val="231F20"/>
                <w:sz w:val="15"/>
              </w:rPr>
              <w:t>attributed</w:t>
            </w:r>
            <w:r>
              <w:rPr>
                <w:color w:val="231F20"/>
                <w:spacing w:val="-12"/>
                <w:sz w:val="15"/>
              </w:rPr>
              <w:t> </w:t>
            </w:r>
            <w:r>
              <w:rPr>
                <w:color w:val="231F20"/>
                <w:sz w:val="15"/>
              </w:rPr>
              <w:t>to</w:t>
            </w:r>
            <w:r>
              <w:rPr>
                <w:color w:val="231F20"/>
                <w:spacing w:val="-11"/>
                <w:sz w:val="15"/>
              </w:rPr>
              <w:t> </w:t>
            </w:r>
            <w:r>
              <w:rPr>
                <w:color w:val="231F20"/>
                <w:sz w:val="15"/>
              </w:rPr>
              <w:t>space-occupying</w:t>
            </w:r>
            <w:r>
              <w:rPr>
                <w:color w:val="231F20"/>
                <w:spacing w:val="-11"/>
                <w:sz w:val="15"/>
              </w:rPr>
              <w:t> </w:t>
            </w:r>
            <w:r>
              <w:rPr>
                <w:color w:val="231F20"/>
                <w:sz w:val="15"/>
              </w:rPr>
              <w:t>lesion Painful trigeminal neuropathy attributed to other disorder Glossopharyngeal neuralgia</w:t>
            </w:r>
          </w:p>
          <w:p>
            <w:pPr>
              <w:pStyle w:val="TableParagraph"/>
              <w:spacing w:line="168" w:lineRule="exact"/>
              <w:ind w:left="69"/>
              <w:rPr>
                <w:sz w:val="15"/>
              </w:rPr>
            </w:pPr>
            <w:r>
              <w:rPr>
                <w:color w:val="231F20"/>
                <w:spacing w:val="-2"/>
                <w:sz w:val="15"/>
              </w:rPr>
              <w:t>Classical</w:t>
            </w:r>
            <w:r>
              <w:rPr>
                <w:color w:val="231F20"/>
                <w:spacing w:val="-7"/>
                <w:sz w:val="15"/>
              </w:rPr>
              <w:t> </w:t>
            </w:r>
            <w:r>
              <w:rPr>
                <w:color w:val="231F20"/>
                <w:spacing w:val="-2"/>
                <w:sz w:val="15"/>
              </w:rPr>
              <w:t>nervus</w:t>
            </w:r>
            <w:r>
              <w:rPr>
                <w:color w:val="231F20"/>
                <w:spacing w:val="-6"/>
                <w:sz w:val="15"/>
              </w:rPr>
              <w:t> </w:t>
            </w:r>
            <w:r>
              <w:rPr>
                <w:color w:val="231F20"/>
                <w:spacing w:val="-2"/>
                <w:sz w:val="15"/>
              </w:rPr>
              <w:t>intermedius</w:t>
            </w:r>
            <w:r>
              <w:rPr>
                <w:color w:val="231F20"/>
                <w:spacing w:val="-6"/>
                <w:sz w:val="15"/>
              </w:rPr>
              <w:t> </w:t>
            </w:r>
            <w:r>
              <w:rPr>
                <w:color w:val="231F20"/>
                <w:spacing w:val="-2"/>
                <w:sz w:val="15"/>
              </w:rPr>
              <w:t>(facial</w:t>
            </w:r>
            <w:r>
              <w:rPr>
                <w:color w:val="231F20"/>
                <w:spacing w:val="-6"/>
                <w:sz w:val="15"/>
              </w:rPr>
              <w:t> </w:t>
            </w:r>
            <w:r>
              <w:rPr>
                <w:color w:val="231F20"/>
                <w:spacing w:val="-2"/>
                <w:sz w:val="15"/>
              </w:rPr>
              <w:t>nerve)</w:t>
            </w:r>
            <w:r>
              <w:rPr>
                <w:color w:val="231F20"/>
                <w:spacing w:val="-6"/>
                <w:sz w:val="15"/>
              </w:rPr>
              <w:t> </w:t>
            </w:r>
            <w:r>
              <w:rPr>
                <w:color w:val="231F20"/>
                <w:spacing w:val="-2"/>
                <w:sz w:val="15"/>
              </w:rPr>
              <w:t>neuralgia</w:t>
            </w:r>
          </w:p>
          <w:p>
            <w:pPr>
              <w:pStyle w:val="TableParagraph"/>
              <w:spacing w:line="230" w:lineRule="auto" w:before="2"/>
              <w:ind w:left="69" w:right="400"/>
              <w:rPr>
                <w:sz w:val="15"/>
              </w:rPr>
            </w:pPr>
            <w:r>
              <w:rPr>
                <w:color w:val="231F20"/>
                <w:sz w:val="15"/>
              </w:rPr>
              <w:t>Nervus</w:t>
            </w:r>
            <w:r>
              <w:rPr>
                <w:color w:val="231F20"/>
                <w:spacing w:val="-12"/>
                <w:sz w:val="15"/>
              </w:rPr>
              <w:t> </w:t>
            </w:r>
            <w:r>
              <w:rPr>
                <w:color w:val="231F20"/>
                <w:sz w:val="15"/>
              </w:rPr>
              <w:t>intermedius</w:t>
            </w:r>
            <w:r>
              <w:rPr>
                <w:color w:val="231F20"/>
                <w:spacing w:val="-11"/>
                <w:sz w:val="15"/>
              </w:rPr>
              <w:t> </w:t>
            </w:r>
            <w:r>
              <w:rPr>
                <w:color w:val="231F20"/>
                <w:sz w:val="15"/>
              </w:rPr>
              <w:t>neuropathy</w:t>
            </w:r>
            <w:r>
              <w:rPr>
                <w:color w:val="231F20"/>
                <w:spacing w:val="-11"/>
                <w:sz w:val="15"/>
              </w:rPr>
              <w:t> </w:t>
            </w:r>
            <w:r>
              <w:rPr>
                <w:color w:val="231F20"/>
                <w:sz w:val="15"/>
              </w:rPr>
              <w:t>attributed</w:t>
            </w:r>
            <w:r>
              <w:rPr>
                <w:color w:val="231F20"/>
                <w:spacing w:val="-12"/>
                <w:sz w:val="15"/>
              </w:rPr>
              <w:t> </w:t>
            </w:r>
            <w:r>
              <w:rPr>
                <w:color w:val="231F20"/>
                <w:sz w:val="15"/>
              </w:rPr>
              <w:t>to</w:t>
            </w:r>
            <w:r>
              <w:rPr>
                <w:color w:val="231F20"/>
                <w:spacing w:val="-11"/>
                <w:sz w:val="15"/>
              </w:rPr>
              <w:t> </w:t>
            </w:r>
            <w:r>
              <w:rPr>
                <w:color w:val="231F20"/>
                <w:sz w:val="15"/>
              </w:rPr>
              <w:t>herpes</w:t>
            </w:r>
            <w:r>
              <w:rPr>
                <w:color w:val="231F20"/>
                <w:spacing w:val="-11"/>
                <w:sz w:val="15"/>
              </w:rPr>
              <w:t> </w:t>
            </w:r>
            <w:r>
              <w:rPr>
                <w:color w:val="231F20"/>
                <w:sz w:val="15"/>
              </w:rPr>
              <w:t>zoster Occipital neuralgia</w:t>
            </w:r>
          </w:p>
          <w:p>
            <w:pPr>
              <w:pStyle w:val="TableParagraph"/>
              <w:spacing w:line="167" w:lineRule="exact"/>
              <w:ind w:left="69"/>
              <w:rPr>
                <w:sz w:val="15"/>
              </w:rPr>
            </w:pPr>
            <w:r>
              <w:rPr>
                <w:color w:val="231F20"/>
                <w:sz w:val="15"/>
              </w:rPr>
              <w:t>Optic</w:t>
            </w:r>
            <w:r>
              <w:rPr>
                <w:color w:val="231F20"/>
                <w:spacing w:val="11"/>
                <w:sz w:val="15"/>
              </w:rPr>
              <w:t> </w:t>
            </w:r>
            <w:r>
              <w:rPr>
                <w:color w:val="231F20"/>
                <w:spacing w:val="-2"/>
                <w:sz w:val="15"/>
              </w:rPr>
              <w:t>neuritis</w:t>
            </w:r>
          </w:p>
          <w:p>
            <w:pPr>
              <w:pStyle w:val="TableParagraph"/>
              <w:spacing w:line="230" w:lineRule="auto" w:before="3"/>
              <w:ind w:left="69" w:right="906"/>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ischemic</w:t>
            </w:r>
            <w:r>
              <w:rPr>
                <w:color w:val="231F20"/>
                <w:spacing w:val="-12"/>
                <w:sz w:val="15"/>
              </w:rPr>
              <w:t> </w:t>
            </w:r>
            <w:r>
              <w:rPr>
                <w:color w:val="231F20"/>
                <w:sz w:val="15"/>
              </w:rPr>
              <w:t>ocular</w:t>
            </w:r>
            <w:r>
              <w:rPr>
                <w:color w:val="231F20"/>
                <w:spacing w:val="-11"/>
                <w:sz w:val="15"/>
              </w:rPr>
              <w:t> </w:t>
            </w:r>
            <w:r>
              <w:rPr>
                <w:color w:val="231F20"/>
                <w:sz w:val="15"/>
              </w:rPr>
              <w:t>motor</w:t>
            </w:r>
            <w:r>
              <w:rPr>
                <w:color w:val="231F20"/>
                <w:spacing w:val="-11"/>
                <w:sz w:val="15"/>
              </w:rPr>
              <w:t> </w:t>
            </w:r>
            <w:r>
              <w:rPr>
                <w:color w:val="231F20"/>
                <w:sz w:val="15"/>
              </w:rPr>
              <w:t>nerve</w:t>
            </w:r>
            <w:r>
              <w:rPr>
                <w:color w:val="231F20"/>
                <w:spacing w:val="-11"/>
                <w:sz w:val="15"/>
              </w:rPr>
              <w:t> </w:t>
            </w:r>
            <w:r>
              <w:rPr>
                <w:color w:val="231F20"/>
                <w:sz w:val="15"/>
              </w:rPr>
              <w:t>palsy Tolosa-Hunt syndrome</w:t>
            </w:r>
          </w:p>
          <w:p>
            <w:pPr>
              <w:pStyle w:val="TableParagraph"/>
              <w:spacing w:line="230" w:lineRule="auto" w:before="1"/>
              <w:ind w:left="69" w:right="1306"/>
              <w:rPr>
                <w:sz w:val="15"/>
              </w:rPr>
            </w:pPr>
            <w:r>
              <w:rPr>
                <w:color w:val="231F20"/>
                <w:spacing w:val="-2"/>
                <w:sz w:val="15"/>
              </w:rPr>
              <w:t>Paratrigeminal</w:t>
            </w:r>
            <w:r>
              <w:rPr>
                <w:color w:val="231F20"/>
                <w:spacing w:val="-3"/>
                <w:sz w:val="15"/>
              </w:rPr>
              <w:t> </w:t>
            </w:r>
            <w:r>
              <w:rPr>
                <w:color w:val="231F20"/>
                <w:spacing w:val="-2"/>
                <w:sz w:val="15"/>
              </w:rPr>
              <w:t>oculosympathetic</w:t>
            </w:r>
            <w:r>
              <w:rPr>
                <w:color w:val="231F20"/>
                <w:spacing w:val="-3"/>
                <w:sz w:val="15"/>
              </w:rPr>
              <w:t> </w:t>
            </w:r>
            <w:r>
              <w:rPr>
                <w:color w:val="231F20"/>
                <w:spacing w:val="-2"/>
                <w:sz w:val="15"/>
              </w:rPr>
              <w:t>(Raeder)</w:t>
            </w:r>
            <w:r>
              <w:rPr>
                <w:color w:val="231F20"/>
                <w:spacing w:val="-3"/>
                <w:sz w:val="15"/>
              </w:rPr>
              <w:t> </w:t>
            </w:r>
            <w:r>
              <w:rPr>
                <w:color w:val="231F20"/>
                <w:spacing w:val="-2"/>
                <w:sz w:val="15"/>
              </w:rPr>
              <w:t>syndrome </w:t>
            </w:r>
            <w:r>
              <w:rPr>
                <w:color w:val="231F20"/>
                <w:sz w:val="15"/>
              </w:rPr>
              <w:t>Recurrent painful ophthalmoplegic neuropathy Burning mouth syndrome (BMS)</w:t>
            </w:r>
          </w:p>
          <w:p>
            <w:pPr>
              <w:pStyle w:val="TableParagraph"/>
              <w:spacing w:line="230" w:lineRule="auto" w:before="3"/>
              <w:ind w:left="69" w:right="2197"/>
              <w:rPr>
                <w:sz w:val="15"/>
              </w:rPr>
            </w:pPr>
            <w:r>
              <w:rPr>
                <w:color w:val="231F20"/>
                <w:spacing w:val="-2"/>
                <w:sz w:val="15"/>
              </w:rPr>
              <w:t>Persistent</w:t>
            </w:r>
            <w:r>
              <w:rPr>
                <w:color w:val="231F20"/>
                <w:spacing w:val="-10"/>
                <w:sz w:val="15"/>
              </w:rPr>
              <w:t> </w:t>
            </w:r>
            <w:r>
              <w:rPr>
                <w:color w:val="231F20"/>
                <w:spacing w:val="-2"/>
                <w:sz w:val="15"/>
              </w:rPr>
              <w:t>idiopathic</w:t>
            </w:r>
            <w:r>
              <w:rPr>
                <w:color w:val="231F20"/>
                <w:spacing w:val="-9"/>
                <w:sz w:val="15"/>
              </w:rPr>
              <w:t> </w:t>
            </w:r>
            <w:r>
              <w:rPr>
                <w:color w:val="231F20"/>
                <w:spacing w:val="-2"/>
                <w:sz w:val="15"/>
              </w:rPr>
              <w:t>facial</w:t>
            </w:r>
            <w:r>
              <w:rPr>
                <w:color w:val="231F20"/>
                <w:spacing w:val="-9"/>
                <w:sz w:val="15"/>
              </w:rPr>
              <w:t> </w:t>
            </w:r>
            <w:r>
              <w:rPr>
                <w:color w:val="231F20"/>
                <w:spacing w:val="-2"/>
                <w:sz w:val="15"/>
              </w:rPr>
              <w:t>pain</w:t>
            </w:r>
            <w:r>
              <w:rPr>
                <w:color w:val="231F20"/>
                <w:spacing w:val="-10"/>
                <w:sz w:val="15"/>
              </w:rPr>
              <w:t> </w:t>
            </w:r>
            <w:r>
              <w:rPr>
                <w:color w:val="231F20"/>
                <w:spacing w:val="-2"/>
                <w:sz w:val="15"/>
              </w:rPr>
              <w:t>(PIFP) </w:t>
            </w:r>
            <w:r>
              <w:rPr>
                <w:color w:val="231F20"/>
                <w:sz w:val="15"/>
              </w:rPr>
              <w:t>Central neuropathic pain</w:t>
            </w:r>
          </w:p>
          <w:p>
            <w:pPr>
              <w:pStyle w:val="TableParagraph"/>
              <w:spacing w:line="230" w:lineRule="auto" w:before="1"/>
              <w:ind w:left="69" w:right="708"/>
              <w:rPr>
                <w:sz w:val="15"/>
              </w:rPr>
            </w:pPr>
            <w:r>
              <w:rPr>
                <w:color w:val="231F20"/>
                <w:sz w:val="15"/>
              </w:rPr>
              <w:t>Central</w:t>
            </w:r>
            <w:r>
              <w:rPr>
                <w:color w:val="231F20"/>
                <w:spacing w:val="-12"/>
                <w:sz w:val="15"/>
              </w:rPr>
              <w:t> </w:t>
            </w:r>
            <w:r>
              <w:rPr>
                <w:color w:val="231F20"/>
                <w:sz w:val="15"/>
              </w:rPr>
              <w:t>neuropathic</w:t>
            </w:r>
            <w:r>
              <w:rPr>
                <w:color w:val="231F20"/>
                <w:spacing w:val="-11"/>
                <w:sz w:val="15"/>
              </w:rPr>
              <w:t> </w:t>
            </w:r>
            <w:r>
              <w:rPr>
                <w:color w:val="231F20"/>
                <w:sz w:val="15"/>
              </w:rPr>
              <w:t>pain</w:t>
            </w:r>
            <w:r>
              <w:rPr>
                <w:color w:val="231F20"/>
                <w:spacing w:val="-11"/>
                <w:sz w:val="15"/>
              </w:rPr>
              <w:t> </w:t>
            </w:r>
            <w:r>
              <w:rPr>
                <w:color w:val="231F20"/>
                <w:sz w:val="15"/>
              </w:rPr>
              <w:t>attributed</w:t>
            </w:r>
            <w:r>
              <w:rPr>
                <w:color w:val="231F20"/>
                <w:spacing w:val="-12"/>
                <w:sz w:val="15"/>
              </w:rPr>
              <w:t> </w:t>
            </w:r>
            <w:r>
              <w:rPr>
                <w:color w:val="231F20"/>
                <w:sz w:val="15"/>
              </w:rPr>
              <w:t>to</w:t>
            </w:r>
            <w:r>
              <w:rPr>
                <w:color w:val="231F20"/>
                <w:spacing w:val="-11"/>
                <w:sz w:val="15"/>
              </w:rPr>
              <w:t> </w:t>
            </w:r>
            <w:r>
              <w:rPr>
                <w:color w:val="231F20"/>
                <w:sz w:val="15"/>
              </w:rPr>
              <w:t>multiple</w:t>
            </w:r>
            <w:r>
              <w:rPr>
                <w:color w:val="231F20"/>
                <w:spacing w:val="-11"/>
                <w:sz w:val="15"/>
              </w:rPr>
              <w:t> </w:t>
            </w:r>
            <w:r>
              <w:rPr>
                <w:color w:val="231F20"/>
                <w:sz w:val="15"/>
              </w:rPr>
              <w:t>sclerosis</w:t>
            </w:r>
            <w:r>
              <w:rPr>
                <w:color w:val="231F20"/>
                <w:spacing w:val="-12"/>
                <w:sz w:val="15"/>
              </w:rPr>
              <w:t> </w:t>
            </w:r>
            <w:r>
              <w:rPr>
                <w:color w:val="231F20"/>
                <w:sz w:val="15"/>
              </w:rPr>
              <w:t>(MS) Central post-stroke pain (CPSP)</w:t>
            </w:r>
          </w:p>
        </w:tc>
      </w:tr>
      <w:tr>
        <w:trPr>
          <w:trHeight w:val="1776" w:hRule="exact"/>
        </w:trPr>
        <w:tc>
          <w:tcPr>
            <w:tcW w:w="4870" w:type="dxa"/>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HEADACHE</w:t>
            </w:r>
            <w:r>
              <w:rPr>
                <w:color w:val="231F20"/>
                <w:spacing w:val="3"/>
                <w:w w:val="110"/>
                <w:sz w:val="15"/>
              </w:rPr>
              <w:t> </w:t>
            </w:r>
            <w:r>
              <w:rPr>
                <w:color w:val="231F20"/>
                <w:w w:val="110"/>
                <w:sz w:val="15"/>
              </w:rPr>
              <w:t>ATTRIBUTED</w:t>
            </w:r>
            <w:r>
              <w:rPr>
                <w:color w:val="231F20"/>
                <w:spacing w:val="4"/>
                <w:w w:val="110"/>
                <w:sz w:val="15"/>
              </w:rPr>
              <w:t> </w:t>
            </w:r>
            <w:r>
              <w:rPr>
                <w:color w:val="231F20"/>
                <w:w w:val="110"/>
                <w:sz w:val="15"/>
              </w:rPr>
              <w:t>TO</w:t>
            </w:r>
            <w:r>
              <w:rPr>
                <w:color w:val="231F20"/>
                <w:spacing w:val="4"/>
                <w:w w:val="110"/>
                <w:sz w:val="15"/>
              </w:rPr>
              <w:t> </w:t>
            </w:r>
            <w:r>
              <w:rPr>
                <w:color w:val="231F20"/>
                <w:spacing w:val="-2"/>
                <w:w w:val="110"/>
                <w:sz w:val="15"/>
              </w:rPr>
              <w:t>INFECTION</w:t>
            </w:r>
          </w:p>
          <w:p>
            <w:pPr>
              <w:pStyle w:val="TableParagraph"/>
              <w:spacing w:line="230" w:lineRule="auto" w:before="3"/>
              <w:ind w:left="186" w:hanging="112"/>
              <w:rPr>
                <w:sz w:val="15"/>
              </w:rPr>
            </w:pPr>
            <w:r>
              <w:rPr>
                <w:color w:val="231F20"/>
                <w:sz w:val="15"/>
              </w:rPr>
              <w:t>Acute</w:t>
            </w:r>
            <w:r>
              <w:rPr>
                <w:color w:val="231F20"/>
                <w:spacing w:val="-12"/>
                <w:sz w:val="15"/>
              </w:rPr>
              <w:t> </w:t>
            </w:r>
            <w:r>
              <w:rPr>
                <w:color w:val="231F20"/>
                <w:sz w:val="15"/>
              </w:rPr>
              <w:t>or</w:t>
            </w:r>
            <w:r>
              <w:rPr>
                <w:color w:val="231F20"/>
                <w:spacing w:val="-11"/>
                <w:sz w:val="15"/>
              </w:rPr>
              <w:t> </w:t>
            </w:r>
            <w:r>
              <w:rPr>
                <w:color w:val="231F20"/>
                <w:sz w:val="15"/>
              </w:rPr>
              <w:t>chronic</w:t>
            </w:r>
            <w:r>
              <w:rPr>
                <w:color w:val="231F20"/>
                <w:spacing w:val="-11"/>
                <w:sz w:val="15"/>
              </w:rPr>
              <w:t> </w:t>
            </w: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bacterial</w:t>
            </w:r>
            <w:r>
              <w:rPr>
                <w:color w:val="231F20"/>
                <w:spacing w:val="-12"/>
                <w:sz w:val="15"/>
              </w:rPr>
              <w:t> </w:t>
            </w:r>
            <w:r>
              <w:rPr>
                <w:color w:val="231F20"/>
                <w:sz w:val="15"/>
              </w:rPr>
              <w:t>meningitis</w:t>
            </w:r>
            <w:r>
              <w:rPr>
                <w:color w:val="231F20"/>
                <w:spacing w:val="-11"/>
                <w:sz w:val="15"/>
              </w:rPr>
              <w:t> </w:t>
            </w:r>
            <w:r>
              <w:rPr>
                <w:color w:val="231F20"/>
                <w:sz w:val="15"/>
              </w:rPr>
              <w:t>or </w:t>
            </w:r>
            <w:r>
              <w:rPr>
                <w:color w:val="231F20"/>
                <w:spacing w:val="-2"/>
                <w:sz w:val="15"/>
              </w:rPr>
              <w:t>meningoencephalitis</w:t>
            </w:r>
          </w:p>
          <w:p>
            <w:pPr>
              <w:pStyle w:val="TableParagraph"/>
              <w:spacing w:line="230" w:lineRule="auto" w:before="2"/>
              <w:ind w:left="186" w:hanging="112"/>
              <w:rPr>
                <w:sz w:val="15"/>
              </w:rPr>
            </w:pPr>
            <w:r>
              <w:rPr>
                <w:color w:val="231F20"/>
                <w:spacing w:val="-2"/>
                <w:sz w:val="15"/>
              </w:rPr>
              <w:t>Persistent headache attributed to past bacterial meningitis </w:t>
            </w:r>
            <w:r>
              <w:rPr>
                <w:color w:val="231F20"/>
                <w:spacing w:val="-2"/>
                <w:sz w:val="15"/>
              </w:rPr>
              <w:t>or meningoencephalitis</w:t>
            </w:r>
          </w:p>
          <w:p>
            <w:pPr>
              <w:pStyle w:val="TableParagraph"/>
              <w:spacing w:line="230" w:lineRule="auto" w:before="1"/>
              <w:ind w:left="186" w:hanging="112"/>
              <w:rPr>
                <w:sz w:val="15"/>
              </w:rPr>
            </w:pPr>
            <w:r>
              <w:rPr>
                <w:color w:val="231F20"/>
                <w:sz w:val="15"/>
              </w:rPr>
              <w:t>Acute</w:t>
            </w:r>
            <w:r>
              <w:rPr>
                <w:color w:val="231F20"/>
                <w:spacing w:val="-12"/>
                <w:sz w:val="15"/>
              </w:rPr>
              <w:t> </w:t>
            </w:r>
            <w:r>
              <w:rPr>
                <w:color w:val="231F20"/>
                <w:sz w:val="15"/>
              </w:rPr>
              <w:t>or</w:t>
            </w:r>
            <w:r>
              <w:rPr>
                <w:color w:val="231F20"/>
                <w:spacing w:val="-11"/>
                <w:sz w:val="15"/>
              </w:rPr>
              <w:t> </w:t>
            </w:r>
            <w:r>
              <w:rPr>
                <w:color w:val="231F20"/>
                <w:sz w:val="15"/>
              </w:rPr>
              <w:t>chronic</w:t>
            </w:r>
            <w:r>
              <w:rPr>
                <w:color w:val="231F20"/>
                <w:spacing w:val="-11"/>
                <w:sz w:val="15"/>
              </w:rPr>
              <w:t> </w:t>
            </w: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intracranial</w:t>
            </w:r>
            <w:r>
              <w:rPr>
                <w:color w:val="231F20"/>
                <w:spacing w:val="-12"/>
                <w:sz w:val="15"/>
              </w:rPr>
              <w:t> </w:t>
            </w:r>
            <w:r>
              <w:rPr>
                <w:color w:val="231F20"/>
                <w:sz w:val="15"/>
              </w:rPr>
              <w:t>fungal</w:t>
            </w:r>
            <w:r>
              <w:rPr>
                <w:color w:val="231F20"/>
                <w:spacing w:val="-11"/>
                <w:sz w:val="15"/>
              </w:rPr>
              <w:t> </w:t>
            </w:r>
            <w:r>
              <w:rPr>
                <w:color w:val="231F20"/>
                <w:sz w:val="15"/>
              </w:rPr>
              <w:t>or</w:t>
            </w:r>
            <w:r>
              <w:rPr>
                <w:color w:val="231F20"/>
                <w:spacing w:val="-11"/>
                <w:sz w:val="15"/>
              </w:rPr>
              <w:t> </w:t>
            </w:r>
            <w:r>
              <w:rPr>
                <w:color w:val="231F20"/>
                <w:sz w:val="15"/>
              </w:rPr>
              <w:t>other parasitic infection</w:t>
            </w:r>
          </w:p>
          <w:p>
            <w:pPr>
              <w:pStyle w:val="TableParagraph"/>
              <w:spacing w:line="230" w:lineRule="auto" w:before="2"/>
              <w:ind w:left="74" w:right="1789"/>
              <w:rPr>
                <w:sz w:val="15"/>
              </w:rPr>
            </w:pPr>
            <w:r>
              <w:rPr>
                <w:color w:val="231F20"/>
                <w:sz w:val="15"/>
              </w:rPr>
              <w:t>Headache attributed to brain abscess Headache</w:t>
            </w:r>
            <w:r>
              <w:rPr>
                <w:color w:val="231F20"/>
                <w:spacing w:val="-9"/>
                <w:sz w:val="15"/>
              </w:rPr>
              <w:t> </w:t>
            </w:r>
            <w:r>
              <w:rPr>
                <w:color w:val="231F20"/>
                <w:sz w:val="15"/>
              </w:rPr>
              <w:t>attributed</w:t>
            </w:r>
            <w:r>
              <w:rPr>
                <w:color w:val="231F20"/>
                <w:spacing w:val="-9"/>
                <w:sz w:val="15"/>
              </w:rPr>
              <w:t> </w:t>
            </w:r>
            <w:r>
              <w:rPr>
                <w:color w:val="231F20"/>
                <w:sz w:val="15"/>
              </w:rPr>
              <w:t>to</w:t>
            </w:r>
            <w:r>
              <w:rPr>
                <w:color w:val="231F20"/>
                <w:spacing w:val="-9"/>
                <w:sz w:val="15"/>
              </w:rPr>
              <w:t> </w:t>
            </w:r>
            <w:r>
              <w:rPr>
                <w:color w:val="231F20"/>
                <w:sz w:val="15"/>
              </w:rPr>
              <w:t>subdural</w:t>
            </w:r>
            <w:r>
              <w:rPr>
                <w:color w:val="231F20"/>
                <w:spacing w:val="-9"/>
                <w:sz w:val="15"/>
              </w:rPr>
              <w:t> </w:t>
            </w:r>
            <w:r>
              <w:rPr>
                <w:color w:val="231F20"/>
                <w:sz w:val="15"/>
              </w:rPr>
              <w:t>empyema</w:t>
            </w:r>
          </w:p>
          <w:p>
            <w:pPr>
              <w:pStyle w:val="TableParagraph"/>
              <w:spacing w:line="170" w:lineRule="exact"/>
              <w:ind w:left="74"/>
              <w:rPr>
                <w:sz w:val="15"/>
              </w:rPr>
            </w:pPr>
            <w:r>
              <w:rPr>
                <w:color w:val="231F20"/>
                <w:spacing w:val="-2"/>
                <w:sz w:val="15"/>
              </w:rPr>
              <w:t>Headache</w:t>
            </w:r>
            <w:r>
              <w:rPr>
                <w:color w:val="231F20"/>
                <w:spacing w:val="-1"/>
                <w:sz w:val="15"/>
              </w:rPr>
              <w:t> </w:t>
            </w:r>
            <w:r>
              <w:rPr>
                <w:color w:val="231F20"/>
                <w:spacing w:val="-2"/>
                <w:sz w:val="15"/>
              </w:rPr>
              <w:t>attributed</w:t>
            </w:r>
            <w:r>
              <w:rPr>
                <w:color w:val="231F20"/>
                <w:spacing w:val="-1"/>
                <w:sz w:val="15"/>
              </w:rPr>
              <w:t> </w:t>
            </w:r>
            <w:r>
              <w:rPr>
                <w:color w:val="231F20"/>
                <w:spacing w:val="-2"/>
                <w:sz w:val="15"/>
              </w:rPr>
              <w:t>to</w:t>
            </w:r>
            <w:r>
              <w:rPr>
                <w:color w:val="231F20"/>
                <w:spacing w:val="-1"/>
                <w:sz w:val="15"/>
              </w:rPr>
              <w:t> </w:t>
            </w:r>
            <w:r>
              <w:rPr>
                <w:color w:val="231F20"/>
                <w:spacing w:val="-2"/>
                <w:sz w:val="15"/>
              </w:rPr>
              <w:t>systemic</w:t>
            </w:r>
            <w:r>
              <w:rPr>
                <w:color w:val="231F20"/>
                <w:spacing w:val="-1"/>
                <w:sz w:val="15"/>
              </w:rPr>
              <w:t> </w:t>
            </w:r>
            <w:r>
              <w:rPr>
                <w:color w:val="231F20"/>
                <w:spacing w:val="-2"/>
                <w:sz w:val="15"/>
              </w:rPr>
              <w:t>infection</w:t>
            </w:r>
            <w:r>
              <w:rPr>
                <w:color w:val="231F20"/>
                <w:spacing w:val="-1"/>
                <w:sz w:val="15"/>
              </w:rPr>
              <w:t> </w:t>
            </w:r>
            <w:r>
              <w:rPr>
                <w:color w:val="231F20"/>
                <w:spacing w:val="-2"/>
                <w:sz w:val="15"/>
              </w:rPr>
              <w:t>(acute</w:t>
            </w:r>
            <w:r>
              <w:rPr>
                <w:color w:val="231F20"/>
                <w:spacing w:val="-1"/>
                <w:sz w:val="15"/>
              </w:rPr>
              <w:t> </w:t>
            </w:r>
            <w:r>
              <w:rPr>
                <w:color w:val="231F20"/>
                <w:spacing w:val="-2"/>
                <w:sz w:val="15"/>
              </w:rPr>
              <w:t>or</w:t>
            </w:r>
            <w:r>
              <w:rPr>
                <w:color w:val="231F20"/>
                <w:spacing w:val="-1"/>
                <w:sz w:val="15"/>
              </w:rPr>
              <w:t> </w:t>
            </w:r>
            <w:r>
              <w:rPr>
                <w:color w:val="231F20"/>
                <w:spacing w:val="-2"/>
                <w:sz w:val="15"/>
              </w:rPr>
              <w:t>chronic)</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r>
        <w:trPr>
          <w:trHeight w:val="2952" w:hRule="exact"/>
        </w:trPr>
        <w:tc>
          <w:tcPr>
            <w:tcW w:w="4870" w:type="dxa"/>
            <w:tcBorders>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w w:val="110"/>
                <w:sz w:val="15"/>
              </w:rPr>
              <w:t>HEADACHE</w:t>
            </w:r>
            <w:r>
              <w:rPr>
                <w:color w:val="231F20"/>
                <w:spacing w:val="8"/>
                <w:w w:val="110"/>
                <w:sz w:val="15"/>
              </w:rPr>
              <w:t> </w:t>
            </w:r>
            <w:r>
              <w:rPr>
                <w:color w:val="231F20"/>
                <w:w w:val="110"/>
                <w:sz w:val="15"/>
              </w:rPr>
              <w:t>ATTRIBUTED</w:t>
            </w:r>
            <w:r>
              <w:rPr>
                <w:color w:val="231F20"/>
                <w:spacing w:val="8"/>
                <w:w w:val="110"/>
                <w:sz w:val="15"/>
              </w:rPr>
              <w:t> </w:t>
            </w:r>
            <w:r>
              <w:rPr>
                <w:color w:val="231F20"/>
                <w:w w:val="110"/>
                <w:sz w:val="15"/>
              </w:rPr>
              <w:t>TO</w:t>
            </w:r>
            <w:r>
              <w:rPr>
                <w:color w:val="231F20"/>
                <w:spacing w:val="8"/>
                <w:w w:val="110"/>
                <w:sz w:val="15"/>
              </w:rPr>
              <w:t> </w:t>
            </w:r>
            <w:r>
              <w:rPr>
                <w:color w:val="231F20"/>
                <w:w w:val="110"/>
                <w:sz w:val="15"/>
              </w:rPr>
              <w:t>DISORDER</w:t>
            </w:r>
            <w:r>
              <w:rPr>
                <w:color w:val="231F20"/>
                <w:spacing w:val="8"/>
                <w:w w:val="110"/>
                <w:sz w:val="15"/>
              </w:rPr>
              <w:t> </w:t>
            </w:r>
            <w:r>
              <w:rPr>
                <w:color w:val="231F20"/>
                <w:w w:val="110"/>
                <w:sz w:val="15"/>
              </w:rPr>
              <w:t>OF</w:t>
            </w:r>
            <w:r>
              <w:rPr>
                <w:color w:val="231F20"/>
                <w:spacing w:val="8"/>
                <w:w w:val="110"/>
                <w:sz w:val="15"/>
              </w:rPr>
              <w:t> </w:t>
            </w:r>
            <w:r>
              <w:rPr>
                <w:color w:val="231F20"/>
                <w:spacing w:val="-2"/>
                <w:w w:val="110"/>
                <w:sz w:val="15"/>
              </w:rPr>
              <w:t>HOMEOSTASIS</w:t>
            </w:r>
          </w:p>
          <w:p>
            <w:pPr>
              <w:pStyle w:val="TableParagraph"/>
              <w:spacing w:line="230" w:lineRule="auto" w:before="3"/>
              <w:ind w:left="74" w:right="1306"/>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hypoxia</w:t>
            </w:r>
            <w:r>
              <w:rPr>
                <w:color w:val="231F20"/>
                <w:spacing w:val="-12"/>
                <w:sz w:val="15"/>
              </w:rPr>
              <w:t> </w:t>
            </w:r>
            <w:r>
              <w:rPr>
                <w:color w:val="231F20"/>
                <w:sz w:val="15"/>
              </w:rPr>
              <w:t>and/or</w:t>
            </w:r>
            <w:r>
              <w:rPr>
                <w:color w:val="231F20"/>
                <w:spacing w:val="-11"/>
                <w:sz w:val="15"/>
              </w:rPr>
              <w:t> </w:t>
            </w:r>
            <w:r>
              <w:rPr>
                <w:color w:val="231F20"/>
                <w:sz w:val="15"/>
              </w:rPr>
              <w:t>hypercapnia High-altitude headache</w:t>
            </w:r>
          </w:p>
          <w:p>
            <w:pPr>
              <w:pStyle w:val="TableParagraph"/>
              <w:spacing w:line="230" w:lineRule="auto" w:before="2"/>
              <w:ind w:left="74" w:right="2197"/>
              <w:rPr>
                <w:sz w:val="15"/>
              </w:rPr>
            </w:pPr>
            <w:r>
              <w:rPr>
                <w:color w:val="231F20"/>
                <w:spacing w:val="-2"/>
                <w:sz w:val="15"/>
              </w:rPr>
              <w:t>Headache</w:t>
            </w:r>
            <w:r>
              <w:rPr>
                <w:color w:val="231F20"/>
                <w:spacing w:val="-7"/>
                <w:sz w:val="15"/>
              </w:rPr>
              <w:t> </w:t>
            </w:r>
            <w:r>
              <w:rPr>
                <w:color w:val="231F20"/>
                <w:spacing w:val="-2"/>
                <w:sz w:val="15"/>
              </w:rPr>
              <w:t>attributed</w:t>
            </w:r>
            <w:r>
              <w:rPr>
                <w:color w:val="231F20"/>
                <w:spacing w:val="-7"/>
                <w:sz w:val="15"/>
              </w:rPr>
              <w:t> </w:t>
            </w:r>
            <w:r>
              <w:rPr>
                <w:color w:val="231F20"/>
                <w:spacing w:val="-2"/>
                <w:sz w:val="15"/>
              </w:rPr>
              <w:t>to</w:t>
            </w:r>
            <w:r>
              <w:rPr>
                <w:color w:val="231F20"/>
                <w:spacing w:val="-7"/>
                <w:sz w:val="15"/>
              </w:rPr>
              <w:t> </w:t>
            </w:r>
            <w:r>
              <w:rPr>
                <w:color w:val="231F20"/>
                <w:spacing w:val="-2"/>
                <w:sz w:val="15"/>
              </w:rPr>
              <w:t>airplane</w:t>
            </w:r>
            <w:r>
              <w:rPr>
                <w:color w:val="231F20"/>
                <w:spacing w:val="-7"/>
                <w:sz w:val="15"/>
              </w:rPr>
              <w:t> </w:t>
            </w:r>
            <w:r>
              <w:rPr>
                <w:color w:val="231F20"/>
                <w:spacing w:val="-2"/>
                <w:sz w:val="15"/>
              </w:rPr>
              <w:t>travel </w:t>
            </w:r>
            <w:r>
              <w:rPr>
                <w:color w:val="231F20"/>
                <w:sz w:val="15"/>
              </w:rPr>
              <w:t>Diving headache</w:t>
            </w:r>
          </w:p>
          <w:p>
            <w:pPr>
              <w:pStyle w:val="TableParagraph"/>
              <w:spacing w:line="230" w:lineRule="auto" w:before="1"/>
              <w:ind w:left="74" w:right="2987"/>
              <w:rPr>
                <w:sz w:val="15"/>
              </w:rPr>
            </w:pPr>
            <w:r>
              <w:rPr>
                <w:color w:val="231F20"/>
                <w:sz w:val="15"/>
              </w:rPr>
              <w:t>Sleep</w:t>
            </w:r>
            <w:r>
              <w:rPr>
                <w:color w:val="231F20"/>
                <w:spacing w:val="-5"/>
                <w:sz w:val="15"/>
              </w:rPr>
              <w:t> </w:t>
            </w:r>
            <w:r>
              <w:rPr>
                <w:color w:val="231F20"/>
                <w:sz w:val="15"/>
              </w:rPr>
              <w:t>apnea</w:t>
            </w:r>
            <w:r>
              <w:rPr>
                <w:color w:val="231F20"/>
                <w:spacing w:val="-5"/>
                <w:sz w:val="15"/>
              </w:rPr>
              <w:t> </w:t>
            </w:r>
            <w:r>
              <w:rPr>
                <w:color w:val="231F20"/>
                <w:sz w:val="15"/>
              </w:rPr>
              <w:t>headache Dialysis headache</w:t>
            </w:r>
          </w:p>
          <w:p>
            <w:pPr>
              <w:pStyle w:val="TableParagraph"/>
              <w:spacing w:line="230" w:lineRule="auto" w:before="2"/>
              <w:ind w:left="74" w:right="1539"/>
              <w:rPr>
                <w:sz w:val="15"/>
              </w:rPr>
            </w:pPr>
            <w:r>
              <w:rPr>
                <w:color w:val="231F20"/>
                <w:spacing w:val="-2"/>
                <w:sz w:val="15"/>
              </w:rPr>
              <w:t>Headache</w:t>
            </w:r>
            <w:r>
              <w:rPr>
                <w:color w:val="231F20"/>
                <w:spacing w:val="-5"/>
                <w:sz w:val="15"/>
              </w:rPr>
              <w:t> </w:t>
            </w:r>
            <w:r>
              <w:rPr>
                <w:color w:val="231F20"/>
                <w:spacing w:val="-2"/>
                <w:sz w:val="15"/>
              </w:rPr>
              <w:t>attributed</w:t>
            </w:r>
            <w:r>
              <w:rPr>
                <w:color w:val="231F20"/>
                <w:spacing w:val="-5"/>
                <w:sz w:val="15"/>
              </w:rPr>
              <w:t> </w:t>
            </w:r>
            <w:r>
              <w:rPr>
                <w:color w:val="231F20"/>
                <w:spacing w:val="-2"/>
                <w:sz w:val="15"/>
              </w:rPr>
              <w:t>to</w:t>
            </w:r>
            <w:r>
              <w:rPr>
                <w:color w:val="231F20"/>
                <w:spacing w:val="-5"/>
                <w:sz w:val="15"/>
              </w:rPr>
              <w:t> </w:t>
            </w:r>
            <w:r>
              <w:rPr>
                <w:color w:val="231F20"/>
                <w:spacing w:val="-2"/>
                <w:sz w:val="15"/>
              </w:rPr>
              <w:t>arterial</w:t>
            </w:r>
            <w:r>
              <w:rPr>
                <w:color w:val="231F20"/>
                <w:spacing w:val="-5"/>
                <w:sz w:val="15"/>
              </w:rPr>
              <w:t> </w:t>
            </w:r>
            <w:r>
              <w:rPr>
                <w:color w:val="231F20"/>
                <w:spacing w:val="-2"/>
                <w:sz w:val="15"/>
              </w:rPr>
              <w:t>hypertension </w:t>
            </w:r>
            <w:r>
              <w:rPr>
                <w:color w:val="231F20"/>
                <w:sz w:val="15"/>
              </w:rPr>
              <w:t>Headache</w:t>
            </w:r>
            <w:r>
              <w:rPr>
                <w:color w:val="231F20"/>
                <w:spacing w:val="-8"/>
                <w:sz w:val="15"/>
              </w:rPr>
              <w:t> </w:t>
            </w:r>
            <w:r>
              <w:rPr>
                <w:color w:val="231F20"/>
                <w:sz w:val="15"/>
              </w:rPr>
              <w:t>attributed</w:t>
            </w:r>
            <w:r>
              <w:rPr>
                <w:color w:val="231F20"/>
                <w:spacing w:val="-7"/>
                <w:sz w:val="15"/>
              </w:rPr>
              <w:t> </w:t>
            </w:r>
            <w:r>
              <w:rPr>
                <w:color w:val="231F20"/>
                <w:sz w:val="15"/>
              </w:rPr>
              <w:t>to</w:t>
            </w:r>
            <w:r>
              <w:rPr>
                <w:color w:val="231F20"/>
                <w:spacing w:val="-7"/>
                <w:sz w:val="15"/>
              </w:rPr>
              <w:t> </w:t>
            </w:r>
            <w:r>
              <w:rPr>
                <w:color w:val="231F20"/>
                <w:spacing w:val="-2"/>
                <w:sz w:val="15"/>
              </w:rPr>
              <w:t>pheochromocytoma</w:t>
            </w:r>
          </w:p>
          <w:p>
            <w:pPr>
              <w:pStyle w:val="TableParagraph"/>
              <w:spacing w:line="230" w:lineRule="auto" w:before="1"/>
              <w:ind w:left="186" w:right="895" w:hanging="112"/>
              <w:rPr>
                <w:sz w:val="15"/>
              </w:rPr>
            </w:pPr>
            <w:r>
              <w:rPr>
                <w:color w:val="231F20"/>
                <w:spacing w:val="-2"/>
                <w:sz w:val="15"/>
              </w:rPr>
              <w:t>Headache</w:t>
            </w:r>
            <w:r>
              <w:rPr>
                <w:color w:val="231F20"/>
                <w:spacing w:val="-4"/>
                <w:sz w:val="15"/>
              </w:rPr>
              <w:t> </w:t>
            </w:r>
            <w:r>
              <w:rPr>
                <w:color w:val="231F20"/>
                <w:spacing w:val="-2"/>
                <w:sz w:val="15"/>
              </w:rPr>
              <w:t>attributed</w:t>
            </w:r>
            <w:r>
              <w:rPr>
                <w:color w:val="231F20"/>
                <w:spacing w:val="-4"/>
                <w:sz w:val="15"/>
              </w:rPr>
              <w:t> </w:t>
            </w:r>
            <w:r>
              <w:rPr>
                <w:color w:val="231F20"/>
                <w:spacing w:val="-2"/>
                <w:sz w:val="15"/>
              </w:rPr>
              <w:t>to</w:t>
            </w:r>
            <w:r>
              <w:rPr>
                <w:color w:val="231F20"/>
                <w:spacing w:val="-4"/>
                <w:sz w:val="15"/>
              </w:rPr>
              <w:t> </w:t>
            </w:r>
            <w:r>
              <w:rPr>
                <w:color w:val="231F20"/>
                <w:spacing w:val="-2"/>
                <w:sz w:val="15"/>
              </w:rPr>
              <w:t>hypertensive</w:t>
            </w:r>
            <w:r>
              <w:rPr>
                <w:color w:val="231F20"/>
                <w:spacing w:val="-4"/>
                <w:sz w:val="15"/>
              </w:rPr>
              <w:t> </w:t>
            </w:r>
            <w:r>
              <w:rPr>
                <w:color w:val="231F20"/>
                <w:spacing w:val="-2"/>
                <w:sz w:val="15"/>
              </w:rPr>
              <w:t>crisis</w:t>
            </w:r>
            <w:r>
              <w:rPr>
                <w:color w:val="231F20"/>
                <w:spacing w:val="-4"/>
                <w:sz w:val="15"/>
              </w:rPr>
              <w:t> </w:t>
            </w:r>
            <w:r>
              <w:rPr>
                <w:color w:val="231F20"/>
                <w:spacing w:val="-2"/>
                <w:sz w:val="15"/>
              </w:rPr>
              <w:t>with</w:t>
            </w:r>
            <w:r>
              <w:rPr>
                <w:color w:val="231F20"/>
                <w:spacing w:val="-4"/>
                <w:sz w:val="15"/>
              </w:rPr>
              <w:t> </w:t>
            </w:r>
            <w:r>
              <w:rPr>
                <w:color w:val="231F20"/>
                <w:spacing w:val="-2"/>
                <w:sz w:val="15"/>
              </w:rPr>
              <w:t>or</w:t>
            </w:r>
            <w:r>
              <w:rPr>
                <w:color w:val="231F20"/>
                <w:spacing w:val="-4"/>
                <w:sz w:val="15"/>
              </w:rPr>
              <w:t> </w:t>
            </w:r>
            <w:r>
              <w:rPr>
                <w:color w:val="231F20"/>
                <w:spacing w:val="-2"/>
                <w:sz w:val="15"/>
              </w:rPr>
              <w:t>without </w:t>
            </w:r>
            <w:r>
              <w:rPr>
                <w:color w:val="231F20"/>
                <w:sz w:val="15"/>
              </w:rPr>
              <w:t>hypertensive encephalopathy</w:t>
            </w:r>
          </w:p>
          <w:p>
            <w:pPr>
              <w:pStyle w:val="TableParagraph"/>
              <w:spacing w:line="230" w:lineRule="auto" w:before="1"/>
              <w:ind w:left="74" w:right="1306"/>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preeclampsia</w:t>
            </w:r>
            <w:r>
              <w:rPr>
                <w:color w:val="231F20"/>
                <w:spacing w:val="-12"/>
                <w:sz w:val="15"/>
              </w:rPr>
              <w:t> </w:t>
            </w:r>
            <w:r>
              <w:rPr>
                <w:color w:val="231F20"/>
                <w:sz w:val="15"/>
              </w:rPr>
              <w:t>or</w:t>
            </w:r>
            <w:r>
              <w:rPr>
                <w:color w:val="231F20"/>
                <w:spacing w:val="-11"/>
                <w:sz w:val="15"/>
              </w:rPr>
              <w:t> </w:t>
            </w:r>
            <w:r>
              <w:rPr>
                <w:color w:val="231F20"/>
                <w:sz w:val="15"/>
              </w:rPr>
              <w:t>eclampsia Headache attributed to autonomic dysreflexia Headache attributed to hypothyroidism</w:t>
            </w:r>
          </w:p>
          <w:p>
            <w:pPr>
              <w:pStyle w:val="TableParagraph"/>
              <w:spacing w:line="230" w:lineRule="auto" w:before="3"/>
              <w:ind w:left="74" w:right="2726"/>
              <w:rPr>
                <w:sz w:val="15"/>
              </w:rPr>
            </w:pPr>
            <w:r>
              <w:rPr>
                <w:color w:val="231F20"/>
                <w:sz w:val="15"/>
              </w:rPr>
              <w:t>Headache</w:t>
            </w:r>
            <w:r>
              <w:rPr>
                <w:color w:val="231F20"/>
                <w:spacing w:val="-12"/>
                <w:sz w:val="15"/>
              </w:rPr>
              <w:t> </w:t>
            </w:r>
            <w:r>
              <w:rPr>
                <w:color w:val="231F20"/>
                <w:sz w:val="15"/>
              </w:rPr>
              <w:t>attributed</w:t>
            </w:r>
            <w:r>
              <w:rPr>
                <w:color w:val="231F20"/>
                <w:spacing w:val="-11"/>
                <w:sz w:val="15"/>
              </w:rPr>
              <w:t> </w:t>
            </w:r>
            <w:r>
              <w:rPr>
                <w:color w:val="231F20"/>
                <w:sz w:val="15"/>
              </w:rPr>
              <w:t>to</w:t>
            </w:r>
            <w:r>
              <w:rPr>
                <w:color w:val="231F20"/>
                <w:spacing w:val="-11"/>
                <w:sz w:val="15"/>
              </w:rPr>
              <w:t> </w:t>
            </w:r>
            <w:r>
              <w:rPr>
                <w:color w:val="231F20"/>
                <w:sz w:val="15"/>
              </w:rPr>
              <w:t>fasting Cardiac cephalalgia</w:t>
            </w:r>
          </w:p>
          <w:p>
            <w:pPr>
              <w:pStyle w:val="TableParagraph"/>
              <w:spacing w:line="170" w:lineRule="exact"/>
              <w:ind w:left="74"/>
              <w:rPr>
                <w:sz w:val="15"/>
              </w:rPr>
            </w:pPr>
            <w:r>
              <w:rPr>
                <w:color w:val="231F20"/>
                <w:sz w:val="15"/>
              </w:rPr>
              <w:t>Headache</w:t>
            </w:r>
            <w:r>
              <w:rPr>
                <w:color w:val="231F20"/>
                <w:spacing w:val="-6"/>
                <w:sz w:val="15"/>
              </w:rPr>
              <w:t> </w:t>
            </w:r>
            <w:r>
              <w:rPr>
                <w:color w:val="231F20"/>
                <w:sz w:val="15"/>
              </w:rPr>
              <w:t>attributed</w:t>
            </w:r>
            <w:r>
              <w:rPr>
                <w:color w:val="231F20"/>
                <w:spacing w:val="-5"/>
                <w:sz w:val="15"/>
              </w:rPr>
              <w:t> </w:t>
            </w:r>
            <w:r>
              <w:rPr>
                <w:color w:val="231F20"/>
                <w:sz w:val="15"/>
              </w:rPr>
              <w:t>to</w:t>
            </w:r>
            <w:r>
              <w:rPr>
                <w:color w:val="231F20"/>
                <w:spacing w:val="-6"/>
                <w:sz w:val="15"/>
              </w:rPr>
              <w:t> </w:t>
            </w:r>
            <w:r>
              <w:rPr>
                <w:color w:val="231F20"/>
                <w:sz w:val="15"/>
              </w:rPr>
              <w:t>other</w:t>
            </w:r>
            <w:r>
              <w:rPr>
                <w:color w:val="231F20"/>
                <w:spacing w:val="-6"/>
                <w:sz w:val="15"/>
              </w:rPr>
              <w:t> </w:t>
            </w:r>
            <w:r>
              <w:rPr>
                <w:color w:val="231F20"/>
                <w:sz w:val="15"/>
              </w:rPr>
              <w:t>disorder</w:t>
            </w:r>
            <w:r>
              <w:rPr>
                <w:color w:val="231F20"/>
                <w:spacing w:val="-5"/>
                <w:sz w:val="15"/>
              </w:rPr>
              <w:t> </w:t>
            </w:r>
            <w:r>
              <w:rPr>
                <w:color w:val="231F20"/>
                <w:sz w:val="15"/>
              </w:rPr>
              <w:t>of</w:t>
            </w:r>
            <w:r>
              <w:rPr>
                <w:color w:val="231F20"/>
                <w:spacing w:val="-6"/>
                <w:sz w:val="15"/>
              </w:rPr>
              <w:t> </w:t>
            </w:r>
            <w:r>
              <w:rPr>
                <w:color w:val="231F20"/>
                <w:spacing w:val="-2"/>
                <w:sz w:val="15"/>
              </w:rPr>
              <w:t>homoeostasis</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bl>
    <w:p>
      <w:pPr>
        <w:spacing w:line="150" w:lineRule="exact" w:before="75"/>
        <w:ind w:left="822" w:right="0" w:firstLine="0"/>
        <w:jc w:val="left"/>
        <w:rPr>
          <w:i/>
          <w:sz w:val="13"/>
        </w:rPr>
      </w:pPr>
      <w:r>
        <w:rPr>
          <w:i/>
          <w:color w:val="231F20"/>
          <w:sz w:val="13"/>
        </w:rPr>
        <w:t>From</w:t>
      </w:r>
      <w:r>
        <w:rPr>
          <w:i/>
          <w:color w:val="231F20"/>
          <w:spacing w:val="-6"/>
          <w:sz w:val="13"/>
        </w:rPr>
        <w:t> </w:t>
      </w:r>
      <w:r>
        <w:rPr>
          <w:i/>
          <w:color w:val="231F20"/>
          <w:sz w:val="13"/>
        </w:rPr>
        <w:t>Headache</w:t>
      </w:r>
      <w:r>
        <w:rPr>
          <w:i/>
          <w:color w:val="231F20"/>
          <w:spacing w:val="-6"/>
          <w:sz w:val="13"/>
        </w:rPr>
        <w:t> </w:t>
      </w:r>
      <w:r>
        <w:rPr>
          <w:i/>
          <w:color w:val="231F20"/>
          <w:sz w:val="13"/>
        </w:rPr>
        <w:t>Classification</w:t>
      </w:r>
      <w:r>
        <w:rPr>
          <w:i/>
          <w:color w:val="231F20"/>
          <w:spacing w:val="-6"/>
          <w:sz w:val="13"/>
        </w:rPr>
        <w:t> </w:t>
      </w:r>
      <w:r>
        <w:rPr>
          <w:i/>
          <w:color w:val="231F20"/>
          <w:sz w:val="13"/>
        </w:rPr>
        <w:t>Committee</w:t>
      </w:r>
      <w:r>
        <w:rPr>
          <w:i/>
          <w:color w:val="231F20"/>
          <w:spacing w:val="-6"/>
          <w:sz w:val="13"/>
        </w:rPr>
        <w:t> </w:t>
      </w:r>
      <w:r>
        <w:rPr>
          <w:i/>
          <w:color w:val="231F20"/>
          <w:sz w:val="13"/>
        </w:rPr>
        <w:t>on</w:t>
      </w:r>
      <w:r>
        <w:rPr>
          <w:i/>
          <w:color w:val="231F20"/>
          <w:spacing w:val="-5"/>
          <w:sz w:val="13"/>
        </w:rPr>
        <w:t> </w:t>
      </w:r>
      <w:r>
        <w:rPr>
          <w:i/>
          <w:color w:val="231F20"/>
          <w:sz w:val="13"/>
        </w:rPr>
        <w:t>the</w:t>
      </w:r>
      <w:r>
        <w:rPr>
          <w:i/>
          <w:color w:val="231F20"/>
          <w:spacing w:val="-6"/>
          <w:sz w:val="13"/>
        </w:rPr>
        <w:t> </w:t>
      </w:r>
      <w:r>
        <w:rPr>
          <w:i/>
          <w:color w:val="231F20"/>
          <w:sz w:val="13"/>
        </w:rPr>
        <w:t>International</w:t>
      </w:r>
      <w:r>
        <w:rPr>
          <w:i/>
          <w:color w:val="231F20"/>
          <w:spacing w:val="-6"/>
          <w:sz w:val="13"/>
        </w:rPr>
        <w:t> </w:t>
      </w:r>
      <w:r>
        <w:rPr>
          <w:i/>
          <w:color w:val="231F20"/>
          <w:sz w:val="13"/>
        </w:rPr>
        <w:t>Headache</w:t>
      </w:r>
      <w:r>
        <w:rPr>
          <w:i/>
          <w:color w:val="231F20"/>
          <w:spacing w:val="-6"/>
          <w:sz w:val="13"/>
        </w:rPr>
        <w:t> </w:t>
      </w:r>
      <w:r>
        <w:rPr>
          <w:i/>
          <w:color w:val="231F20"/>
          <w:sz w:val="13"/>
        </w:rPr>
        <w:t>Society</w:t>
      </w:r>
      <w:r>
        <w:rPr>
          <w:i/>
          <w:color w:val="231F20"/>
          <w:spacing w:val="-5"/>
          <w:sz w:val="13"/>
        </w:rPr>
        <w:t> </w:t>
      </w:r>
      <w:r>
        <w:rPr>
          <w:i/>
          <w:color w:val="231F20"/>
          <w:sz w:val="13"/>
        </w:rPr>
        <w:t>(IHS):</w:t>
      </w:r>
      <w:r>
        <w:rPr>
          <w:i/>
          <w:color w:val="231F20"/>
          <w:spacing w:val="-6"/>
          <w:sz w:val="13"/>
        </w:rPr>
        <w:t> </w:t>
      </w:r>
      <w:r>
        <w:rPr>
          <w:i/>
          <w:color w:val="231F20"/>
          <w:sz w:val="13"/>
        </w:rPr>
        <w:t>The</w:t>
      </w:r>
      <w:r>
        <w:rPr>
          <w:i/>
          <w:color w:val="231F20"/>
          <w:spacing w:val="-6"/>
          <w:sz w:val="13"/>
        </w:rPr>
        <w:t> </w:t>
      </w:r>
      <w:r>
        <w:rPr>
          <w:i/>
          <w:color w:val="231F20"/>
          <w:sz w:val="13"/>
        </w:rPr>
        <w:t>International</w:t>
      </w:r>
      <w:r>
        <w:rPr>
          <w:i/>
          <w:color w:val="231F20"/>
          <w:spacing w:val="-6"/>
          <w:sz w:val="13"/>
        </w:rPr>
        <w:t> </w:t>
      </w:r>
      <w:r>
        <w:rPr>
          <w:i/>
          <w:color w:val="231F20"/>
          <w:sz w:val="13"/>
        </w:rPr>
        <w:t>Classification</w:t>
      </w:r>
      <w:r>
        <w:rPr>
          <w:i/>
          <w:color w:val="231F20"/>
          <w:spacing w:val="-5"/>
          <w:sz w:val="13"/>
        </w:rPr>
        <w:t> </w:t>
      </w:r>
      <w:r>
        <w:rPr>
          <w:i/>
          <w:color w:val="231F20"/>
          <w:sz w:val="13"/>
        </w:rPr>
        <w:t>of</w:t>
      </w:r>
      <w:r>
        <w:rPr>
          <w:i/>
          <w:color w:val="231F20"/>
          <w:spacing w:val="-6"/>
          <w:sz w:val="13"/>
        </w:rPr>
        <w:t> </w:t>
      </w:r>
      <w:r>
        <w:rPr>
          <w:i/>
          <w:color w:val="231F20"/>
          <w:sz w:val="13"/>
        </w:rPr>
        <w:t>Headache</w:t>
      </w:r>
      <w:r>
        <w:rPr>
          <w:i/>
          <w:color w:val="231F20"/>
          <w:spacing w:val="-6"/>
          <w:sz w:val="13"/>
        </w:rPr>
        <w:t> </w:t>
      </w:r>
      <w:r>
        <w:rPr>
          <w:i/>
          <w:color w:val="231F20"/>
          <w:sz w:val="13"/>
        </w:rPr>
        <w:t>Disorders,</w:t>
      </w:r>
      <w:r>
        <w:rPr>
          <w:i/>
          <w:color w:val="231F20"/>
          <w:spacing w:val="-6"/>
          <w:sz w:val="13"/>
        </w:rPr>
        <w:t> </w:t>
      </w:r>
      <w:r>
        <w:rPr>
          <w:i/>
          <w:color w:val="231F20"/>
          <w:sz w:val="13"/>
        </w:rPr>
        <w:t>ed</w:t>
      </w:r>
      <w:r>
        <w:rPr>
          <w:i/>
          <w:color w:val="231F20"/>
          <w:spacing w:val="-5"/>
          <w:sz w:val="13"/>
        </w:rPr>
        <w:t> </w:t>
      </w:r>
      <w:r>
        <w:rPr>
          <w:i/>
          <w:color w:val="231F20"/>
          <w:sz w:val="13"/>
        </w:rPr>
        <w:t>3</w:t>
      </w:r>
      <w:r>
        <w:rPr>
          <w:i/>
          <w:color w:val="231F20"/>
          <w:spacing w:val="-6"/>
          <w:sz w:val="13"/>
        </w:rPr>
        <w:t> </w:t>
      </w:r>
      <w:r>
        <w:rPr>
          <w:i/>
          <w:color w:val="231F20"/>
          <w:sz w:val="13"/>
        </w:rPr>
        <w:t>(beta</w:t>
      </w:r>
      <w:r>
        <w:rPr>
          <w:i/>
          <w:color w:val="231F20"/>
          <w:spacing w:val="-6"/>
          <w:sz w:val="13"/>
        </w:rPr>
        <w:t> </w:t>
      </w:r>
      <w:r>
        <w:rPr>
          <w:i/>
          <w:color w:val="231F20"/>
          <w:spacing w:val="-2"/>
          <w:sz w:val="13"/>
        </w:rPr>
        <w:t>version).</w:t>
      </w:r>
    </w:p>
    <w:p>
      <w:pPr>
        <w:spacing w:line="150" w:lineRule="exact" w:before="0"/>
        <w:ind w:left="822" w:right="0" w:firstLine="0"/>
        <w:jc w:val="left"/>
        <w:rPr>
          <w:i/>
          <w:sz w:val="13"/>
        </w:rPr>
      </w:pPr>
      <w:r>
        <w:rPr>
          <w:color w:val="231F20"/>
          <w:spacing w:val="-2"/>
          <w:sz w:val="13"/>
        </w:rPr>
        <w:t>Cephalalgia</w:t>
      </w:r>
      <w:r>
        <w:rPr>
          <w:color w:val="231F20"/>
          <w:spacing w:val="11"/>
          <w:sz w:val="13"/>
        </w:rPr>
        <w:t> </w:t>
      </w:r>
      <w:r>
        <w:rPr>
          <w:i/>
          <w:color w:val="231F20"/>
          <w:spacing w:val="-2"/>
          <w:sz w:val="13"/>
        </w:rPr>
        <w:t>33(9):629–808,</w:t>
      </w:r>
      <w:r>
        <w:rPr>
          <w:i/>
          <w:color w:val="231F20"/>
          <w:spacing w:val="11"/>
          <w:sz w:val="13"/>
        </w:rPr>
        <w:t> </w:t>
      </w:r>
      <w:r>
        <w:rPr>
          <w:i/>
          <w:color w:val="231F20"/>
          <w:spacing w:val="-2"/>
          <w:sz w:val="13"/>
        </w:rPr>
        <w:t>2013.</w:t>
      </w:r>
    </w:p>
    <w:p>
      <w:pPr>
        <w:spacing w:after="0" w:line="150" w:lineRule="exact"/>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667" name="Group 667"/>
                <wp:cNvGraphicFramePr>
                  <a:graphicFrameLocks/>
                </wp:cNvGraphicFramePr>
                <a:graphic>
                  <a:graphicData uri="http://schemas.microsoft.com/office/word/2010/wordprocessingGroup">
                    <wpg:wgp>
                      <wpg:cNvPr id="667" name="Group 667"/>
                      <wpg:cNvGrpSpPr/>
                      <wpg:grpSpPr>
                        <a:xfrm>
                          <a:off x="0" y="0"/>
                          <a:ext cx="6185535" cy="170815"/>
                          <a:chExt cx="6185535" cy="170815"/>
                        </a:xfrm>
                      </wpg:grpSpPr>
                      <wps:wsp>
                        <wps:cNvPr id="668" name="Graphic 668"/>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669" name="Graphic 669"/>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670" name="Textbox 670"/>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2866</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565"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566" filled="false" stroked="false">
                  <v:textbox inset="0,0,0,0">
                    <w:txbxContent>
                      <w:p>
                        <w:pPr>
                          <w:spacing w:before="6"/>
                          <w:ind w:left="-1" w:right="0" w:firstLine="0"/>
                          <w:jc w:val="left"/>
                          <w:rPr>
                            <w:sz w:val="18"/>
                          </w:rPr>
                        </w:pPr>
                        <w:r>
                          <w:rPr>
                            <w:b/>
                            <w:color w:val="231F20"/>
                            <w:w w:val="105"/>
                            <w:sz w:val="18"/>
                          </w:rPr>
                          <w:t>2866</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0"/>
        <w:rPr>
          <w:i/>
          <w:sz w:val="9"/>
        </w:rPr>
      </w:pPr>
    </w:p>
    <w:p>
      <w:pPr>
        <w:pStyle w:val="BodyText"/>
        <w:spacing w:after="0"/>
        <w:rPr>
          <w:i/>
          <w:sz w:val="9"/>
        </w:rPr>
        <w:sectPr>
          <w:pgSz w:w="11900" w:h="16840"/>
          <w:pgMar w:header="0" w:footer="0" w:top="720" w:bottom="280" w:left="425" w:right="566"/>
        </w:sectPr>
      </w:pPr>
    </w:p>
    <w:p>
      <w:pPr>
        <w:spacing w:before="107"/>
        <w:ind w:left="486" w:right="0" w:firstLine="0"/>
        <w:jc w:val="left"/>
        <w:rPr>
          <w:b/>
          <w:sz w:val="22"/>
        </w:rPr>
      </w:pPr>
      <w:r>
        <w:rPr>
          <w:b/>
          <w:color w:val="007431"/>
          <w:w w:val="105"/>
          <w:sz w:val="22"/>
        </w:rPr>
        <w:t>595.1</w:t>
      </w:r>
      <w:r>
        <w:rPr>
          <w:b/>
          <w:color w:val="007431"/>
          <w:spacing w:val="11"/>
          <w:w w:val="105"/>
          <w:sz w:val="22"/>
        </w:rPr>
        <w:t> </w:t>
      </w:r>
      <w:r>
        <w:rPr>
          <w:b/>
          <w:color w:val="231F20"/>
          <w:spacing w:val="-2"/>
          <w:w w:val="105"/>
          <w:sz w:val="22"/>
        </w:rPr>
        <w:t>Migraine</w:t>
      </w:r>
    </w:p>
    <w:p>
      <w:pPr>
        <w:spacing w:before="44"/>
        <w:ind w:left="1195" w:right="465" w:firstLine="0"/>
        <w:jc w:val="left"/>
        <w:rPr>
          <w:i/>
          <w:sz w:val="16"/>
        </w:rPr>
      </w:pPr>
      <w:r>
        <w:rPr>
          <w:i/>
          <w:color w:val="4A0C62"/>
          <w:w w:val="105"/>
          <w:sz w:val="16"/>
        </w:rPr>
        <w:t>Andrew</w:t>
      </w:r>
      <w:r>
        <w:rPr>
          <w:i/>
          <w:color w:val="4A0C62"/>
          <w:spacing w:val="-10"/>
          <w:w w:val="105"/>
          <w:sz w:val="16"/>
        </w:rPr>
        <w:t> </w:t>
      </w:r>
      <w:r>
        <w:rPr>
          <w:i/>
          <w:color w:val="4A0C62"/>
          <w:w w:val="105"/>
          <w:sz w:val="16"/>
        </w:rPr>
        <w:t>D.</w:t>
      </w:r>
      <w:r>
        <w:rPr>
          <w:i/>
          <w:color w:val="4A0C62"/>
          <w:spacing w:val="-10"/>
          <w:w w:val="105"/>
          <w:sz w:val="16"/>
        </w:rPr>
        <w:t> </w:t>
      </w:r>
      <w:r>
        <w:rPr>
          <w:i/>
          <w:color w:val="4A0C62"/>
          <w:w w:val="105"/>
          <w:sz w:val="16"/>
        </w:rPr>
        <w:t>Hershey,</w:t>
      </w:r>
      <w:r>
        <w:rPr>
          <w:i/>
          <w:color w:val="4A0C62"/>
          <w:spacing w:val="-10"/>
          <w:w w:val="105"/>
          <w:sz w:val="16"/>
        </w:rPr>
        <w:t> </w:t>
      </w:r>
      <w:r>
        <w:rPr>
          <w:i/>
          <w:color w:val="4A0C62"/>
          <w:w w:val="105"/>
          <w:sz w:val="16"/>
        </w:rPr>
        <w:t>Marielle</w:t>
      </w:r>
      <w:r>
        <w:rPr>
          <w:i/>
          <w:color w:val="4A0C62"/>
          <w:spacing w:val="-10"/>
          <w:w w:val="105"/>
          <w:sz w:val="16"/>
        </w:rPr>
        <w:t> </w:t>
      </w:r>
      <w:r>
        <w:rPr>
          <w:i/>
          <w:color w:val="4A0C62"/>
          <w:w w:val="105"/>
          <w:sz w:val="16"/>
        </w:rPr>
        <w:t>A.</w:t>
      </w:r>
      <w:r>
        <w:rPr>
          <w:i/>
          <w:color w:val="4A0C62"/>
          <w:spacing w:val="-10"/>
          <w:w w:val="105"/>
          <w:sz w:val="16"/>
        </w:rPr>
        <w:t> </w:t>
      </w:r>
      <w:r>
        <w:rPr>
          <w:i/>
          <w:color w:val="4A0C62"/>
          <w:w w:val="105"/>
          <w:sz w:val="16"/>
        </w:rPr>
        <w:t>Kabbouche, and Hope L. O’Brien</w:t>
      </w:r>
    </w:p>
    <w:p>
      <w:pPr>
        <w:pStyle w:val="BodyText"/>
        <w:spacing w:before="7"/>
        <w:rPr>
          <w:i/>
          <w:sz w:val="4"/>
        </w:rPr>
      </w:pPr>
    </w:p>
    <w:p>
      <w:pPr>
        <w:pStyle w:val="BodyText"/>
        <w:spacing w:line="20" w:lineRule="exact"/>
        <w:ind w:left="486" w:right="-44"/>
        <w:rPr>
          <w:sz w:val="2"/>
        </w:rPr>
      </w:pPr>
      <w:r>
        <w:rPr>
          <w:sz w:val="2"/>
        </w:rPr>
        <mc:AlternateContent>
          <mc:Choice Requires="wps">
            <w:drawing>
              <wp:inline distT="0" distB="0" distL="0" distR="0">
                <wp:extent cx="2986405" cy="17780"/>
                <wp:effectExtent l="9525" t="0" r="4444" b="1270"/>
                <wp:docPr id="671" name="Group 671"/>
                <wp:cNvGraphicFramePr>
                  <a:graphicFrameLocks/>
                </wp:cNvGraphicFramePr>
                <a:graphic>
                  <a:graphicData uri="http://schemas.microsoft.com/office/word/2010/wordprocessingGroup">
                    <wpg:wgp>
                      <wpg:cNvPr id="671" name="Group 671"/>
                      <wpg:cNvGrpSpPr/>
                      <wpg:grpSpPr>
                        <a:xfrm>
                          <a:off x="0" y="0"/>
                          <a:ext cx="2986405" cy="17780"/>
                          <a:chExt cx="2986405" cy="17780"/>
                        </a:xfrm>
                      </wpg:grpSpPr>
                      <wps:wsp>
                        <wps:cNvPr id="672" name="Graphic 672"/>
                        <wps:cNvSpPr/>
                        <wps:spPr>
                          <a:xfrm>
                            <a:off x="0" y="8886"/>
                            <a:ext cx="2986405" cy="1270"/>
                          </a:xfrm>
                          <a:custGeom>
                            <a:avLst/>
                            <a:gdLst/>
                            <a:ahLst/>
                            <a:cxnLst/>
                            <a:rect l="l" t="t" r="r" b="b"/>
                            <a:pathLst>
                              <a:path w="2986405" h="0">
                                <a:moveTo>
                                  <a:pt x="0" y="0"/>
                                </a:moveTo>
                                <a:lnTo>
                                  <a:pt x="2985994" y="0"/>
                                </a:lnTo>
                              </a:path>
                            </a:pathLst>
                          </a:custGeom>
                          <a:ln w="17773">
                            <a:solidFill>
                              <a:srgbClr val="4A0C62"/>
                            </a:solidFill>
                            <a:prstDash val="solid"/>
                          </a:ln>
                        </wps:spPr>
                        <wps:bodyPr wrap="square" lIns="0" tIns="0" rIns="0" bIns="0" rtlCol="0">
                          <a:prstTxWarp prst="textNoShape">
                            <a:avLst/>
                          </a:prstTxWarp>
                          <a:noAutofit/>
                        </wps:bodyPr>
                      </wps:wsp>
                    </wpg:wgp>
                  </a:graphicData>
                </a:graphic>
              </wp:inline>
            </w:drawing>
          </mc:Choice>
          <mc:Fallback>
            <w:pict>
              <v:group style="width:235.15pt;height:1.4pt;mso-position-horizontal-relative:char;mso-position-vertical-relative:line" id="docshapegroup567" coordorigin="0,0" coordsize="4703,28">
                <v:line style="position:absolute" from="0,14" to="4702,14" stroked="true" strokeweight="1.39951pt" strokecolor="#4a0c62">
                  <v:stroke dashstyle="solid"/>
                </v:line>
              </v:group>
            </w:pict>
          </mc:Fallback>
        </mc:AlternateContent>
      </w:r>
      <w:r>
        <w:rPr>
          <w:sz w:val="2"/>
        </w:rPr>
      </w:r>
    </w:p>
    <w:p>
      <w:pPr>
        <w:pStyle w:val="Heading5"/>
        <w:spacing w:line="242" w:lineRule="auto" w:before="135"/>
        <w:jc w:val="both"/>
      </w:pPr>
      <w:r>
        <w:rPr>
          <w:color w:val="231F20"/>
          <w:w w:val="105"/>
        </w:rPr>
        <w:t>Migraine</w:t>
      </w:r>
      <w:r>
        <w:rPr>
          <w:color w:val="231F20"/>
          <w:w w:val="105"/>
        </w:rPr>
        <w:t> is</w:t>
      </w:r>
      <w:r>
        <w:rPr>
          <w:color w:val="231F20"/>
          <w:w w:val="105"/>
        </w:rPr>
        <w:t> the</w:t>
      </w:r>
      <w:r>
        <w:rPr>
          <w:color w:val="231F20"/>
          <w:w w:val="105"/>
        </w:rPr>
        <w:t> most</w:t>
      </w:r>
      <w:r>
        <w:rPr>
          <w:color w:val="231F20"/>
          <w:w w:val="105"/>
        </w:rPr>
        <w:t> frequent</w:t>
      </w:r>
      <w:r>
        <w:rPr>
          <w:color w:val="231F20"/>
          <w:w w:val="105"/>
        </w:rPr>
        <w:t> type</w:t>
      </w:r>
      <w:r>
        <w:rPr>
          <w:color w:val="231F20"/>
          <w:w w:val="105"/>
        </w:rPr>
        <w:t> of</w:t>
      </w:r>
      <w:r>
        <w:rPr>
          <w:color w:val="231F20"/>
          <w:w w:val="105"/>
        </w:rPr>
        <w:t> recurrent</w:t>
      </w:r>
      <w:r>
        <w:rPr>
          <w:color w:val="231F20"/>
          <w:w w:val="105"/>
        </w:rPr>
        <w:t> headache</w:t>
      </w:r>
      <w:r>
        <w:rPr>
          <w:color w:val="231F20"/>
          <w:w w:val="105"/>
        </w:rPr>
        <w:t> that</w:t>
      </w:r>
      <w:r>
        <w:rPr>
          <w:color w:val="231F20"/>
          <w:w w:val="105"/>
        </w:rPr>
        <w:t> is brought to the attention of parents and primary care providers, but it remains underrecognized and undertreated, particularly in children. Migraine</w:t>
      </w:r>
      <w:r>
        <w:rPr>
          <w:color w:val="231F20"/>
          <w:spacing w:val="-3"/>
          <w:w w:val="105"/>
        </w:rPr>
        <w:t> </w:t>
      </w:r>
      <w:r>
        <w:rPr>
          <w:color w:val="231F20"/>
          <w:w w:val="105"/>
        </w:rPr>
        <w:t>is</w:t>
      </w:r>
      <w:r>
        <w:rPr>
          <w:color w:val="231F20"/>
          <w:spacing w:val="-3"/>
          <w:w w:val="105"/>
        </w:rPr>
        <w:t> </w:t>
      </w:r>
      <w:r>
        <w:rPr>
          <w:color w:val="231F20"/>
          <w:w w:val="105"/>
        </w:rPr>
        <w:t>characterized</w:t>
      </w:r>
      <w:r>
        <w:rPr>
          <w:color w:val="231F20"/>
          <w:spacing w:val="-3"/>
          <w:w w:val="105"/>
        </w:rPr>
        <w:t> </w:t>
      </w:r>
      <w:r>
        <w:rPr>
          <w:color w:val="231F20"/>
          <w:w w:val="105"/>
        </w:rPr>
        <w:t>by</w:t>
      </w:r>
      <w:r>
        <w:rPr>
          <w:color w:val="231F20"/>
          <w:spacing w:val="-3"/>
          <w:w w:val="105"/>
        </w:rPr>
        <w:t> </w:t>
      </w:r>
      <w:r>
        <w:rPr>
          <w:color w:val="231F20"/>
          <w:w w:val="105"/>
        </w:rPr>
        <w:t>episodic</w:t>
      </w:r>
      <w:r>
        <w:rPr>
          <w:color w:val="231F20"/>
          <w:spacing w:val="-3"/>
          <w:w w:val="105"/>
        </w:rPr>
        <w:t> </w:t>
      </w:r>
      <w:r>
        <w:rPr>
          <w:color w:val="231F20"/>
          <w:w w:val="105"/>
        </w:rPr>
        <w:t>attacks</w:t>
      </w:r>
      <w:r>
        <w:rPr>
          <w:color w:val="231F20"/>
          <w:spacing w:val="-3"/>
          <w:w w:val="105"/>
        </w:rPr>
        <w:t> </w:t>
      </w:r>
      <w:r>
        <w:rPr>
          <w:color w:val="231F20"/>
          <w:w w:val="105"/>
        </w:rPr>
        <w:t>that</w:t>
      </w:r>
      <w:r>
        <w:rPr>
          <w:color w:val="231F20"/>
          <w:spacing w:val="-3"/>
          <w:w w:val="105"/>
        </w:rPr>
        <w:t> </w:t>
      </w:r>
      <w:r>
        <w:rPr>
          <w:color w:val="231F20"/>
          <w:w w:val="105"/>
        </w:rPr>
        <w:t>may</w:t>
      </w:r>
      <w:r>
        <w:rPr>
          <w:color w:val="231F20"/>
          <w:spacing w:val="-3"/>
          <w:w w:val="105"/>
        </w:rPr>
        <w:t> </w:t>
      </w:r>
      <w:r>
        <w:rPr>
          <w:color w:val="231F20"/>
          <w:w w:val="105"/>
        </w:rPr>
        <w:t>be</w:t>
      </w:r>
      <w:r>
        <w:rPr>
          <w:color w:val="231F20"/>
          <w:spacing w:val="-3"/>
          <w:w w:val="105"/>
        </w:rPr>
        <w:t> </w:t>
      </w:r>
      <w:r>
        <w:rPr>
          <w:color w:val="231F20"/>
          <w:w w:val="105"/>
        </w:rPr>
        <w:t>moderate</w:t>
      </w:r>
      <w:r>
        <w:rPr>
          <w:color w:val="231F20"/>
          <w:spacing w:val="-3"/>
          <w:w w:val="105"/>
        </w:rPr>
        <w:t> </w:t>
      </w:r>
      <w:r>
        <w:rPr>
          <w:color w:val="231F20"/>
          <w:w w:val="105"/>
        </w:rPr>
        <w:t>to severe</w:t>
      </w:r>
      <w:r>
        <w:rPr>
          <w:color w:val="231F20"/>
          <w:w w:val="105"/>
        </w:rPr>
        <w:t> in</w:t>
      </w:r>
      <w:r>
        <w:rPr>
          <w:color w:val="231F20"/>
          <w:w w:val="105"/>
        </w:rPr>
        <w:t> intensity,</w:t>
      </w:r>
      <w:r>
        <w:rPr>
          <w:color w:val="231F20"/>
          <w:w w:val="105"/>
        </w:rPr>
        <w:t> focal</w:t>
      </w:r>
      <w:r>
        <w:rPr>
          <w:color w:val="231F20"/>
          <w:w w:val="105"/>
        </w:rPr>
        <w:t> in</w:t>
      </w:r>
      <w:r>
        <w:rPr>
          <w:color w:val="231F20"/>
          <w:w w:val="105"/>
        </w:rPr>
        <w:t> location</w:t>
      </w:r>
      <w:r>
        <w:rPr>
          <w:color w:val="231F20"/>
          <w:w w:val="105"/>
        </w:rPr>
        <w:t> on</w:t>
      </w:r>
      <w:r>
        <w:rPr>
          <w:color w:val="231F20"/>
          <w:w w:val="105"/>
        </w:rPr>
        <w:t> the</w:t>
      </w:r>
      <w:r>
        <w:rPr>
          <w:color w:val="231F20"/>
          <w:w w:val="105"/>
        </w:rPr>
        <w:t> head,</w:t>
      </w:r>
      <w:r>
        <w:rPr>
          <w:color w:val="231F20"/>
          <w:w w:val="105"/>
        </w:rPr>
        <w:t> have</w:t>
      </w:r>
      <w:r>
        <w:rPr>
          <w:color w:val="231F20"/>
          <w:w w:val="105"/>
        </w:rPr>
        <w:t> a</w:t>
      </w:r>
      <w:r>
        <w:rPr>
          <w:color w:val="231F20"/>
          <w:w w:val="105"/>
        </w:rPr>
        <w:t> throbbing quality,</w:t>
      </w:r>
      <w:r>
        <w:rPr>
          <w:color w:val="231F20"/>
          <w:spacing w:val="-11"/>
          <w:w w:val="105"/>
        </w:rPr>
        <w:t> </w:t>
      </w:r>
      <w:r>
        <w:rPr>
          <w:color w:val="231F20"/>
          <w:w w:val="105"/>
        </w:rPr>
        <w:t>and</w:t>
      </w:r>
      <w:r>
        <w:rPr>
          <w:color w:val="231F20"/>
          <w:spacing w:val="-10"/>
          <w:w w:val="105"/>
        </w:rPr>
        <w:t> </w:t>
      </w:r>
      <w:r>
        <w:rPr>
          <w:color w:val="231F20"/>
          <w:w w:val="105"/>
        </w:rPr>
        <w:t>may</w:t>
      </w:r>
      <w:r>
        <w:rPr>
          <w:color w:val="231F20"/>
          <w:spacing w:val="-11"/>
          <w:w w:val="105"/>
        </w:rPr>
        <w:t> </w:t>
      </w:r>
      <w:r>
        <w:rPr>
          <w:color w:val="231F20"/>
          <w:w w:val="105"/>
        </w:rPr>
        <w:t>be</w:t>
      </w:r>
      <w:r>
        <w:rPr>
          <w:color w:val="231F20"/>
          <w:spacing w:val="-10"/>
          <w:w w:val="105"/>
        </w:rPr>
        <w:t> </w:t>
      </w:r>
      <w:r>
        <w:rPr>
          <w:color w:val="231F20"/>
          <w:w w:val="105"/>
        </w:rPr>
        <w:t>associated</w:t>
      </w:r>
      <w:r>
        <w:rPr>
          <w:color w:val="231F20"/>
          <w:spacing w:val="-11"/>
          <w:w w:val="105"/>
        </w:rPr>
        <w:t> </w:t>
      </w:r>
      <w:r>
        <w:rPr>
          <w:color w:val="231F20"/>
          <w:w w:val="105"/>
        </w:rPr>
        <w:t>with</w:t>
      </w:r>
      <w:r>
        <w:rPr>
          <w:color w:val="231F20"/>
          <w:spacing w:val="-10"/>
          <w:w w:val="105"/>
        </w:rPr>
        <w:t> </w:t>
      </w:r>
      <w:r>
        <w:rPr>
          <w:color w:val="231F20"/>
          <w:w w:val="105"/>
        </w:rPr>
        <w:t>nausea,</w:t>
      </w:r>
      <w:r>
        <w:rPr>
          <w:color w:val="231F20"/>
          <w:spacing w:val="-11"/>
          <w:w w:val="105"/>
        </w:rPr>
        <w:t> </w:t>
      </w:r>
      <w:r>
        <w:rPr>
          <w:color w:val="231F20"/>
          <w:w w:val="105"/>
        </w:rPr>
        <w:t>vomiting,</w:t>
      </w:r>
      <w:r>
        <w:rPr>
          <w:color w:val="231F20"/>
          <w:spacing w:val="-10"/>
          <w:w w:val="105"/>
        </w:rPr>
        <w:t> </w:t>
      </w:r>
      <w:r>
        <w:rPr>
          <w:color w:val="231F20"/>
          <w:w w:val="105"/>
        </w:rPr>
        <w:t>light</w:t>
      </w:r>
      <w:r>
        <w:rPr>
          <w:color w:val="231F20"/>
          <w:spacing w:val="-11"/>
          <w:w w:val="105"/>
        </w:rPr>
        <w:t> </w:t>
      </w:r>
      <w:r>
        <w:rPr>
          <w:color w:val="231F20"/>
          <w:w w:val="105"/>
        </w:rPr>
        <w:t>sensitivity, and</w:t>
      </w:r>
      <w:r>
        <w:rPr>
          <w:color w:val="231F20"/>
          <w:w w:val="105"/>
        </w:rPr>
        <w:t> sound</w:t>
      </w:r>
      <w:r>
        <w:rPr>
          <w:color w:val="231F20"/>
          <w:w w:val="105"/>
        </w:rPr>
        <w:t> sensitivity.</w:t>
      </w:r>
      <w:r>
        <w:rPr>
          <w:color w:val="231F20"/>
          <w:w w:val="105"/>
        </w:rPr>
        <w:t> Compared</w:t>
      </w:r>
      <w:r>
        <w:rPr>
          <w:color w:val="231F20"/>
          <w:w w:val="105"/>
        </w:rPr>
        <w:t> to</w:t>
      </w:r>
      <w:r>
        <w:rPr>
          <w:color w:val="231F20"/>
          <w:w w:val="105"/>
        </w:rPr>
        <w:t> adults,</w:t>
      </w:r>
      <w:r>
        <w:rPr>
          <w:color w:val="231F20"/>
          <w:w w:val="105"/>
        </w:rPr>
        <w:t> pediatric</w:t>
      </w:r>
      <w:r>
        <w:rPr>
          <w:color w:val="231F20"/>
          <w:w w:val="105"/>
        </w:rPr>
        <w:t> migraine</w:t>
      </w:r>
      <w:r>
        <w:rPr>
          <w:color w:val="231F20"/>
          <w:w w:val="105"/>
        </w:rPr>
        <w:t> is shorter</w:t>
      </w:r>
      <w:r>
        <w:rPr>
          <w:color w:val="231F20"/>
          <w:w w:val="105"/>
        </w:rPr>
        <w:t> in</w:t>
      </w:r>
      <w:r>
        <w:rPr>
          <w:color w:val="231F20"/>
          <w:w w:val="105"/>
        </w:rPr>
        <w:t> duration</w:t>
      </w:r>
      <w:r>
        <w:rPr>
          <w:color w:val="231F20"/>
          <w:w w:val="105"/>
        </w:rPr>
        <w:t> and</w:t>
      </w:r>
      <w:r>
        <w:rPr>
          <w:color w:val="231F20"/>
          <w:w w:val="105"/>
        </w:rPr>
        <w:t> has</w:t>
      </w:r>
      <w:r>
        <w:rPr>
          <w:color w:val="231F20"/>
          <w:w w:val="105"/>
        </w:rPr>
        <w:t> a</w:t>
      </w:r>
      <w:r>
        <w:rPr>
          <w:color w:val="231F20"/>
          <w:w w:val="105"/>
        </w:rPr>
        <w:t> bilateral,</w:t>
      </w:r>
      <w:r>
        <w:rPr>
          <w:color w:val="231F20"/>
          <w:w w:val="105"/>
        </w:rPr>
        <w:t> often</w:t>
      </w:r>
      <w:r>
        <w:rPr>
          <w:color w:val="231F20"/>
          <w:w w:val="105"/>
        </w:rPr>
        <w:t> bifrontal,</w:t>
      </w:r>
      <w:r>
        <w:rPr>
          <w:color w:val="231F20"/>
          <w:w w:val="105"/>
        </w:rPr>
        <w:t> location. Migraine</w:t>
      </w:r>
      <w:r>
        <w:rPr>
          <w:color w:val="231F20"/>
          <w:w w:val="105"/>
        </w:rPr>
        <w:t> can</w:t>
      </w:r>
      <w:r>
        <w:rPr>
          <w:color w:val="231F20"/>
          <w:w w:val="105"/>
        </w:rPr>
        <w:t> also</w:t>
      </w:r>
      <w:r>
        <w:rPr>
          <w:color w:val="231F20"/>
          <w:w w:val="105"/>
        </w:rPr>
        <w:t> be</w:t>
      </w:r>
      <w:r>
        <w:rPr>
          <w:color w:val="231F20"/>
          <w:w w:val="105"/>
        </w:rPr>
        <w:t> associated</w:t>
      </w:r>
      <w:r>
        <w:rPr>
          <w:color w:val="231F20"/>
          <w:w w:val="105"/>
        </w:rPr>
        <w:t> with</w:t>
      </w:r>
      <w:r>
        <w:rPr>
          <w:color w:val="231F20"/>
          <w:w w:val="105"/>
        </w:rPr>
        <w:t> an</w:t>
      </w:r>
      <w:r>
        <w:rPr>
          <w:color w:val="231F20"/>
          <w:w w:val="105"/>
        </w:rPr>
        <w:t> aura</w:t>
      </w:r>
      <w:r>
        <w:rPr>
          <w:color w:val="231F20"/>
          <w:w w:val="105"/>
        </w:rPr>
        <w:t> that</w:t>
      </w:r>
      <w:r>
        <w:rPr>
          <w:color w:val="231F20"/>
          <w:w w:val="105"/>
        </w:rPr>
        <w:t> may</w:t>
      </w:r>
      <w:r>
        <w:rPr>
          <w:color w:val="231F20"/>
          <w:w w:val="105"/>
        </w:rPr>
        <w:t> be</w:t>
      </w:r>
      <w:r>
        <w:rPr>
          <w:color w:val="231F20"/>
          <w:w w:val="105"/>
        </w:rPr>
        <w:t> typical (visual,</w:t>
      </w:r>
      <w:r>
        <w:rPr>
          <w:color w:val="231F20"/>
          <w:spacing w:val="26"/>
          <w:w w:val="105"/>
        </w:rPr>
        <w:t> </w:t>
      </w:r>
      <w:r>
        <w:rPr>
          <w:color w:val="231F20"/>
          <w:w w:val="105"/>
        </w:rPr>
        <w:t>sensory,</w:t>
      </w:r>
      <w:r>
        <w:rPr>
          <w:color w:val="231F20"/>
          <w:spacing w:val="26"/>
          <w:w w:val="105"/>
        </w:rPr>
        <w:t> </w:t>
      </w:r>
      <w:r>
        <w:rPr>
          <w:color w:val="231F20"/>
          <w:w w:val="105"/>
        </w:rPr>
        <w:t>or</w:t>
      </w:r>
      <w:r>
        <w:rPr>
          <w:color w:val="231F20"/>
          <w:spacing w:val="26"/>
          <w:w w:val="105"/>
        </w:rPr>
        <w:t> </w:t>
      </w:r>
      <w:r>
        <w:rPr>
          <w:color w:val="231F20"/>
          <w:w w:val="105"/>
        </w:rPr>
        <w:t>dysphasic)</w:t>
      </w:r>
      <w:r>
        <w:rPr>
          <w:color w:val="231F20"/>
          <w:spacing w:val="26"/>
          <w:w w:val="105"/>
        </w:rPr>
        <w:t> </w:t>
      </w:r>
      <w:r>
        <w:rPr>
          <w:color w:val="231F20"/>
          <w:w w:val="105"/>
        </w:rPr>
        <w:t>or</w:t>
      </w:r>
      <w:r>
        <w:rPr>
          <w:color w:val="231F20"/>
          <w:spacing w:val="26"/>
          <w:w w:val="105"/>
        </w:rPr>
        <w:t> </w:t>
      </w:r>
      <w:r>
        <w:rPr>
          <w:color w:val="231F20"/>
          <w:w w:val="105"/>
        </w:rPr>
        <w:t>atypical</w:t>
      </w:r>
      <w:r>
        <w:rPr>
          <w:color w:val="231F20"/>
          <w:spacing w:val="26"/>
          <w:w w:val="105"/>
        </w:rPr>
        <w:t> </w:t>
      </w:r>
      <w:r>
        <w:rPr>
          <w:color w:val="231F20"/>
          <w:w w:val="105"/>
        </w:rPr>
        <w:t>(i.e.,</w:t>
      </w:r>
      <w:r>
        <w:rPr>
          <w:color w:val="231F20"/>
          <w:spacing w:val="26"/>
          <w:w w:val="105"/>
        </w:rPr>
        <w:t> </w:t>
      </w:r>
      <w:r>
        <w:rPr>
          <w:color w:val="231F20"/>
          <w:w w:val="105"/>
        </w:rPr>
        <w:t>hemiplegic,</w:t>
      </w:r>
      <w:r>
        <w:rPr>
          <w:color w:val="231F20"/>
          <w:spacing w:val="26"/>
          <w:w w:val="105"/>
        </w:rPr>
        <w:t> </w:t>
      </w:r>
      <w:r>
        <w:rPr>
          <w:color w:val="231F20"/>
          <w:w w:val="105"/>
        </w:rPr>
        <w:t>“Alice in</w:t>
      </w:r>
      <w:r>
        <w:rPr>
          <w:color w:val="231F20"/>
          <w:w w:val="105"/>
        </w:rPr>
        <w:t> Wonderland”</w:t>
      </w:r>
      <w:r>
        <w:rPr>
          <w:color w:val="231F20"/>
          <w:w w:val="105"/>
        </w:rPr>
        <w:t> syndrome)</w:t>
      </w:r>
      <w:r>
        <w:rPr>
          <w:color w:val="231F20"/>
          <w:w w:val="105"/>
        </w:rPr>
        <w:t> (</w:t>
      </w:r>
      <w:r>
        <w:rPr>
          <w:color w:val="0080AC"/>
          <w:w w:val="105"/>
        </w:rPr>
        <w:t>Tables</w:t>
      </w:r>
      <w:r>
        <w:rPr>
          <w:color w:val="0080AC"/>
          <w:w w:val="105"/>
        </w:rPr>
        <w:t> 595-2</w:t>
      </w:r>
      <w:r>
        <w:rPr>
          <w:color w:val="0080AC"/>
          <w:w w:val="105"/>
        </w:rPr>
        <w:t> to</w:t>
      </w:r>
      <w:r>
        <w:rPr>
          <w:color w:val="0080AC"/>
          <w:w w:val="105"/>
        </w:rPr>
        <w:t> 595-6</w:t>
      </w:r>
      <w:r>
        <w:rPr>
          <w:color w:val="231F20"/>
          <w:w w:val="105"/>
        </w:rPr>
        <w:t>).</w:t>
      </w:r>
      <w:r>
        <w:rPr>
          <w:color w:val="231F20"/>
          <w:w w:val="105"/>
        </w:rPr>
        <w:t> In</w:t>
      </w:r>
      <w:r>
        <w:rPr>
          <w:color w:val="231F20"/>
          <w:w w:val="105"/>
        </w:rPr>
        <w:t> addition,</w:t>
      </w:r>
      <w:r>
        <w:rPr>
          <w:color w:val="231F20"/>
          <w:w w:val="105"/>
        </w:rPr>
        <w:t> a number</w:t>
      </w:r>
      <w:r>
        <w:rPr>
          <w:color w:val="231F20"/>
          <w:w w:val="105"/>
        </w:rPr>
        <w:t> of</w:t>
      </w:r>
      <w:r>
        <w:rPr>
          <w:color w:val="231F20"/>
          <w:w w:val="105"/>
        </w:rPr>
        <w:t> migraine</w:t>
      </w:r>
      <w:r>
        <w:rPr>
          <w:color w:val="231F20"/>
          <w:w w:val="105"/>
        </w:rPr>
        <w:t> variants</w:t>
      </w:r>
      <w:r>
        <w:rPr>
          <w:color w:val="231F20"/>
          <w:w w:val="105"/>
        </w:rPr>
        <w:t> have</w:t>
      </w:r>
      <w:r>
        <w:rPr>
          <w:color w:val="231F20"/>
          <w:w w:val="105"/>
        </w:rPr>
        <w:t> been</w:t>
      </w:r>
      <w:r>
        <w:rPr>
          <w:color w:val="231F20"/>
          <w:w w:val="105"/>
        </w:rPr>
        <w:t> described</w:t>
      </w:r>
      <w:r>
        <w:rPr>
          <w:color w:val="231F20"/>
          <w:w w:val="105"/>
        </w:rPr>
        <w:t> and,</w:t>
      </w:r>
      <w:r>
        <w:rPr>
          <w:color w:val="231F20"/>
          <w:w w:val="105"/>
        </w:rPr>
        <w:t> in</w:t>
      </w:r>
      <w:r>
        <w:rPr>
          <w:color w:val="231F20"/>
          <w:w w:val="105"/>
        </w:rPr>
        <w:t> children, include abdominal related symptoms without headache, and compo- nents</w:t>
      </w:r>
      <w:r>
        <w:rPr>
          <w:color w:val="231F20"/>
          <w:spacing w:val="-5"/>
          <w:w w:val="105"/>
        </w:rPr>
        <w:t> </w:t>
      </w:r>
      <w:r>
        <w:rPr>
          <w:color w:val="231F20"/>
          <w:w w:val="105"/>
        </w:rPr>
        <w:t>of</w:t>
      </w:r>
      <w:r>
        <w:rPr>
          <w:color w:val="231F20"/>
          <w:spacing w:val="-5"/>
          <w:w w:val="105"/>
        </w:rPr>
        <w:t> </w:t>
      </w:r>
      <w:r>
        <w:rPr>
          <w:color w:val="231F20"/>
          <w:w w:val="105"/>
        </w:rPr>
        <w:t>the</w:t>
      </w:r>
      <w:r>
        <w:rPr>
          <w:color w:val="231F20"/>
          <w:spacing w:val="-5"/>
          <w:w w:val="105"/>
        </w:rPr>
        <w:t> </w:t>
      </w:r>
      <w:r>
        <w:rPr>
          <w:color w:val="231F20"/>
          <w:w w:val="105"/>
        </w:rPr>
        <w:t>painless</w:t>
      </w:r>
      <w:r>
        <w:rPr>
          <w:color w:val="231F20"/>
          <w:spacing w:val="-5"/>
          <w:w w:val="105"/>
        </w:rPr>
        <w:t> </w:t>
      </w:r>
      <w:r>
        <w:rPr>
          <w:color w:val="231F20"/>
          <w:w w:val="105"/>
        </w:rPr>
        <w:t>periodic</w:t>
      </w:r>
      <w:r>
        <w:rPr>
          <w:color w:val="231F20"/>
          <w:spacing w:val="-5"/>
          <w:w w:val="105"/>
        </w:rPr>
        <w:t> </w:t>
      </w:r>
      <w:r>
        <w:rPr>
          <w:color w:val="231F20"/>
          <w:w w:val="105"/>
        </w:rPr>
        <w:t>syndromes</w:t>
      </w:r>
      <w:r>
        <w:rPr>
          <w:color w:val="231F20"/>
          <w:spacing w:val="-5"/>
          <w:w w:val="105"/>
        </w:rPr>
        <w:t> </w:t>
      </w:r>
      <w:r>
        <w:rPr>
          <w:color w:val="231F20"/>
          <w:w w:val="105"/>
        </w:rPr>
        <w:t>of</w:t>
      </w:r>
      <w:r>
        <w:rPr>
          <w:color w:val="231F20"/>
          <w:spacing w:val="-5"/>
          <w:w w:val="105"/>
        </w:rPr>
        <w:t> </w:t>
      </w:r>
      <w:r>
        <w:rPr>
          <w:color w:val="231F20"/>
          <w:w w:val="105"/>
        </w:rPr>
        <w:t>childhood</w:t>
      </w:r>
      <w:r>
        <w:rPr>
          <w:color w:val="231F20"/>
          <w:spacing w:val="-5"/>
          <w:w w:val="105"/>
        </w:rPr>
        <w:t> </w:t>
      </w:r>
      <w:r>
        <w:rPr>
          <w:color w:val="231F20"/>
          <w:w w:val="105"/>
        </w:rPr>
        <w:t>(see</w:t>
      </w:r>
      <w:r>
        <w:rPr>
          <w:color w:val="231F20"/>
          <w:spacing w:val="-5"/>
          <w:w w:val="105"/>
        </w:rPr>
        <w:t> </w:t>
      </w:r>
      <w:r>
        <w:rPr>
          <w:color w:val="0080AC"/>
          <w:w w:val="105"/>
        </w:rPr>
        <w:t>Table</w:t>
      </w:r>
      <w:r>
        <w:rPr>
          <w:color w:val="0080AC"/>
          <w:spacing w:val="-5"/>
          <w:w w:val="105"/>
        </w:rPr>
        <w:t> </w:t>
      </w:r>
      <w:r>
        <w:rPr>
          <w:color w:val="0080AC"/>
          <w:w w:val="105"/>
        </w:rPr>
        <w:t>595- 1</w:t>
      </w:r>
      <w:r>
        <w:rPr>
          <w:color w:val="231F20"/>
          <w:w w:val="105"/>
        </w:rPr>
        <w:t>).</w:t>
      </w:r>
      <w:r>
        <w:rPr>
          <w:color w:val="231F20"/>
          <w:w w:val="105"/>
        </w:rPr>
        <w:t> Treatment</w:t>
      </w:r>
      <w:r>
        <w:rPr>
          <w:color w:val="231F20"/>
          <w:w w:val="105"/>
        </w:rPr>
        <w:t> of</w:t>
      </w:r>
      <w:r>
        <w:rPr>
          <w:color w:val="231F20"/>
          <w:w w:val="105"/>
        </w:rPr>
        <w:t> migraine</w:t>
      </w:r>
      <w:r>
        <w:rPr>
          <w:color w:val="231F20"/>
          <w:w w:val="105"/>
        </w:rPr>
        <w:t> requires</w:t>
      </w:r>
      <w:r>
        <w:rPr>
          <w:color w:val="231F20"/>
          <w:w w:val="105"/>
        </w:rPr>
        <w:t> the</w:t>
      </w:r>
      <w:r>
        <w:rPr>
          <w:color w:val="231F20"/>
          <w:w w:val="105"/>
        </w:rPr>
        <w:t> incorporation</w:t>
      </w:r>
      <w:r>
        <w:rPr>
          <w:color w:val="231F20"/>
          <w:w w:val="105"/>
        </w:rPr>
        <w:t> of</w:t>
      </w:r>
      <w:r>
        <w:rPr>
          <w:color w:val="231F20"/>
          <w:w w:val="105"/>
        </w:rPr>
        <w:t> an</w:t>
      </w:r>
      <w:r>
        <w:rPr>
          <w:color w:val="231F20"/>
          <w:w w:val="105"/>
        </w:rPr>
        <w:t> acute treatment</w:t>
      </w:r>
      <w:r>
        <w:rPr>
          <w:color w:val="231F20"/>
          <w:w w:val="105"/>
        </w:rPr>
        <w:t> plan,</w:t>
      </w:r>
      <w:r>
        <w:rPr>
          <w:color w:val="231F20"/>
          <w:w w:val="105"/>
        </w:rPr>
        <w:t> a</w:t>
      </w:r>
      <w:r>
        <w:rPr>
          <w:color w:val="231F20"/>
          <w:w w:val="105"/>
        </w:rPr>
        <w:t> preventive</w:t>
      </w:r>
      <w:r>
        <w:rPr>
          <w:color w:val="231F20"/>
          <w:w w:val="105"/>
        </w:rPr>
        <w:t> treatment</w:t>
      </w:r>
      <w:r>
        <w:rPr>
          <w:color w:val="231F20"/>
          <w:w w:val="105"/>
        </w:rPr>
        <w:t> plan</w:t>
      </w:r>
      <w:r>
        <w:rPr>
          <w:color w:val="231F20"/>
          <w:w w:val="105"/>
        </w:rPr>
        <w:t> if</w:t>
      </w:r>
      <w:r>
        <w:rPr>
          <w:color w:val="231F20"/>
          <w:w w:val="105"/>
        </w:rPr>
        <w:t> the</w:t>
      </w:r>
      <w:r>
        <w:rPr>
          <w:color w:val="231F20"/>
          <w:w w:val="105"/>
        </w:rPr>
        <w:t> migraine</w:t>
      </w:r>
      <w:r>
        <w:rPr>
          <w:color w:val="231F20"/>
          <w:w w:val="105"/>
        </w:rPr>
        <w:t> occurs frequently or is disabling, and a biobehavioral plan to help cope with both the acute attacks and frequent or persistent attacks if present.</w:t>
      </w:r>
    </w:p>
    <w:p>
      <w:pPr>
        <w:spacing w:line="208" w:lineRule="exact" w:before="181"/>
        <w:ind w:left="486" w:right="0" w:firstLine="0"/>
        <w:jc w:val="left"/>
        <w:rPr>
          <w:b/>
          <w:sz w:val="18"/>
        </w:rPr>
      </w:pPr>
      <w:r>
        <w:rPr>
          <w:b/>
          <w:color w:val="0083CA"/>
          <w:spacing w:val="-2"/>
          <w:w w:val="115"/>
          <w:sz w:val="18"/>
        </w:rPr>
        <w:t>EPIDEMIOLOGY</w:t>
      </w:r>
    </w:p>
    <w:p>
      <w:pPr>
        <w:pStyle w:val="Heading5"/>
        <w:spacing w:line="242" w:lineRule="auto"/>
        <w:jc w:val="both"/>
      </w:pPr>
      <w:r>
        <w:rPr>
          <w:color w:val="231F20"/>
          <w:w w:val="105"/>
        </w:rPr>
        <w:t>Up</w:t>
      </w:r>
      <w:r>
        <w:rPr>
          <w:color w:val="231F20"/>
          <w:spacing w:val="-10"/>
          <w:w w:val="105"/>
        </w:rPr>
        <w:t> </w:t>
      </w:r>
      <w:r>
        <w:rPr>
          <w:color w:val="231F20"/>
          <w:w w:val="105"/>
        </w:rPr>
        <w:t>to</w:t>
      </w:r>
      <w:r>
        <w:rPr>
          <w:color w:val="231F20"/>
          <w:spacing w:val="-10"/>
          <w:w w:val="105"/>
        </w:rPr>
        <w:t> </w:t>
      </w:r>
      <w:r>
        <w:rPr>
          <w:color w:val="231F20"/>
          <w:w w:val="105"/>
        </w:rPr>
        <w:t>75%</w:t>
      </w:r>
      <w:r>
        <w:rPr>
          <w:color w:val="231F20"/>
          <w:spacing w:val="-10"/>
          <w:w w:val="105"/>
        </w:rPr>
        <w:t> </w:t>
      </w:r>
      <w:r>
        <w:rPr>
          <w:color w:val="231F20"/>
          <w:w w:val="105"/>
        </w:rPr>
        <w:t>of</w:t>
      </w:r>
      <w:r>
        <w:rPr>
          <w:color w:val="231F20"/>
          <w:spacing w:val="-10"/>
          <w:w w:val="105"/>
        </w:rPr>
        <w:t> </w:t>
      </w:r>
      <w:r>
        <w:rPr>
          <w:color w:val="231F20"/>
          <w:w w:val="105"/>
        </w:rPr>
        <w:t>children</w:t>
      </w:r>
      <w:r>
        <w:rPr>
          <w:color w:val="231F20"/>
          <w:spacing w:val="-10"/>
          <w:w w:val="105"/>
        </w:rPr>
        <w:t> </w:t>
      </w:r>
      <w:r>
        <w:rPr>
          <w:color w:val="231F20"/>
          <w:w w:val="105"/>
        </w:rPr>
        <w:t>report</w:t>
      </w:r>
      <w:r>
        <w:rPr>
          <w:color w:val="231F20"/>
          <w:spacing w:val="-10"/>
          <w:w w:val="105"/>
        </w:rPr>
        <w:t> </w:t>
      </w:r>
      <w:r>
        <w:rPr>
          <w:color w:val="231F20"/>
          <w:w w:val="105"/>
        </w:rPr>
        <w:t>having</w:t>
      </w:r>
      <w:r>
        <w:rPr>
          <w:color w:val="231F20"/>
          <w:spacing w:val="-10"/>
          <w:w w:val="105"/>
        </w:rPr>
        <w:t> </w:t>
      </w:r>
      <w:r>
        <w:rPr>
          <w:color w:val="231F20"/>
          <w:w w:val="105"/>
        </w:rPr>
        <w:t>a</w:t>
      </w:r>
      <w:r>
        <w:rPr>
          <w:color w:val="231F20"/>
          <w:spacing w:val="-10"/>
          <w:w w:val="105"/>
        </w:rPr>
        <w:t> </w:t>
      </w:r>
      <w:r>
        <w:rPr>
          <w:color w:val="231F20"/>
          <w:w w:val="105"/>
        </w:rPr>
        <w:t>significant</w:t>
      </w:r>
      <w:r>
        <w:rPr>
          <w:color w:val="231F20"/>
          <w:spacing w:val="-10"/>
          <w:w w:val="105"/>
        </w:rPr>
        <w:t> </w:t>
      </w:r>
      <w:r>
        <w:rPr>
          <w:color w:val="231F20"/>
          <w:w w:val="105"/>
        </w:rPr>
        <w:t>headache</w:t>
      </w:r>
      <w:r>
        <w:rPr>
          <w:color w:val="231F20"/>
          <w:spacing w:val="-10"/>
          <w:w w:val="105"/>
        </w:rPr>
        <w:t> </w:t>
      </w:r>
      <w:r>
        <w:rPr>
          <w:color w:val="231F20"/>
          <w:w w:val="105"/>
        </w:rPr>
        <w:t>by</w:t>
      </w:r>
      <w:r>
        <w:rPr>
          <w:color w:val="231F20"/>
          <w:spacing w:val="-10"/>
          <w:w w:val="105"/>
        </w:rPr>
        <w:t> </w:t>
      </w:r>
      <w:r>
        <w:rPr>
          <w:color w:val="231F20"/>
          <w:w w:val="105"/>
        </w:rPr>
        <w:t>the</w:t>
      </w:r>
      <w:r>
        <w:rPr>
          <w:color w:val="231F20"/>
          <w:spacing w:val="-10"/>
          <w:w w:val="105"/>
        </w:rPr>
        <w:t> </w:t>
      </w:r>
      <w:r>
        <w:rPr>
          <w:color w:val="231F20"/>
          <w:w w:val="105"/>
        </w:rPr>
        <w:t>time they are 15 yr old. Recurrent headaches are less common, but remain highly frequent. Migraine has been reported to occur in up to 10.6% of</w:t>
      </w:r>
      <w:r>
        <w:rPr>
          <w:color w:val="231F20"/>
          <w:spacing w:val="9"/>
          <w:w w:val="105"/>
        </w:rPr>
        <w:t> </w:t>
      </w:r>
      <w:r>
        <w:rPr>
          <w:color w:val="231F20"/>
          <w:w w:val="105"/>
        </w:rPr>
        <w:t>children</w:t>
      </w:r>
      <w:r>
        <w:rPr>
          <w:color w:val="231F20"/>
          <w:spacing w:val="9"/>
          <w:w w:val="105"/>
        </w:rPr>
        <w:t> </w:t>
      </w:r>
      <w:r>
        <w:rPr>
          <w:color w:val="231F20"/>
          <w:w w:val="105"/>
        </w:rPr>
        <w:t>between</w:t>
      </w:r>
      <w:r>
        <w:rPr>
          <w:color w:val="231F20"/>
          <w:spacing w:val="9"/>
          <w:w w:val="105"/>
        </w:rPr>
        <w:t> </w:t>
      </w:r>
      <w:r>
        <w:rPr>
          <w:color w:val="231F20"/>
          <w:w w:val="105"/>
        </w:rPr>
        <w:t>the</w:t>
      </w:r>
      <w:r>
        <w:rPr>
          <w:color w:val="231F20"/>
          <w:spacing w:val="9"/>
          <w:w w:val="105"/>
        </w:rPr>
        <w:t> </w:t>
      </w:r>
      <w:r>
        <w:rPr>
          <w:color w:val="231F20"/>
          <w:w w:val="105"/>
        </w:rPr>
        <w:t>ages</w:t>
      </w:r>
      <w:r>
        <w:rPr>
          <w:color w:val="231F20"/>
          <w:spacing w:val="9"/>
          <w:w w:val="105"/>
        </w:rPr>
        <w:t> </w:t>
      </w:r>
      <w:r>
        <w:rPr>
          <w:color w:val="231F20"/>
          <w:w w:val="105"/>
        </w:rPr>
        <w:t>of</w:t>
      </w:r>
      <w:r>
        <w:rPr>
          <w:color w:val="231F20"/>
          <w:spacing w:val="9"/>
          <w:w w:val="105"/>
        </w:rPr>
        <w:t> </w:t>
      </w:r>
      <w:r>
        <w:rPr>
          <w:color w:val="231F20"/>
          <w:w w:val="105"/>
        </w:rPr>
        <w:t>5</w:t>
      </w:r>
      <w:r>
        <w:rPr>
          <w:color w:val="231F20"/>
          <w:spacing w:val="9"/>
          <w:w w:val="105"/>
        </w:rPr>
        <w:t> </w:t>
      </w:r>
      <w:r>
        <w:rPr>
          <w:color w:val="231F20"/>
          <w:w w:val="105"/>
        </w:rPr>
        <w:t>and</w:t>
      </w:r>
      <w:r>
        <w:rPr>
          <w:color w:val="231F20"/>
          <w:spacing w:val="9"/>
          <w:w w:val="105"/>
        </w:rPr>
        <w:t> </w:t>
      </w:r>
      <w:r>
        <w:rPr>
          <w:color w:val="231F20"/>
          <w:w w:val="105"/>
        </w:rPr>
        <w:t>15 yr,</w:t>
      </w:r>
      <w:r>
        <w:rPr>
          <w:color w:val="231F20"/>
          <w:spacing w:val="9"/>
          <w:w w:val="105"/>
        </w:rPr>
        <w:t> </w:t>
      </w:r>
      <w:r>
        <w:rPr>
          <w:color w:val="231F20"/>
          <w:w w:val="105"/>
        </w:rPr>
        <w:t>and</w:t>
      </w:r>
      <w:r>
        <w:rPr>
          <w:color w:val="231F20"/>
          <w:spacing w:val="9"/>
          <w:w w:val="105"/>
        </w:rPr>
        <w:t> </w:t>
      </w:r>
      <w:r>
        <w:rPr>
          <w:color w:val="231F20"/>
          <w:w w:val="105"/>
        </w:rPr>
        <w:t>up</w:t>
      </w:r>
      <w:r>
        <w:rPr>
          <w:color w:val="231F20"/>
          <w:spacing w:val="9"/>
          <w:w w:val="105"/>
        </w:rPr>
        <w:t> </w:t>
      </w:r>
      <w:r>
        <w:rPr>
          <w:color w:val="231F20"/>
          <w:w w:val="105"/>
        </w:rPr>
        <w:t>to</w:t>
      </w:r>
      <w:r>
        <w:rPr>
          <w:color w:val="231F20"/>
          <w:spacing w:val="9"/>
          <w:w w:val="105"/>
        </w:rPr>
        <w:t> </w:t>
      </w:r>
      <w:r>
        <w:rPr>
          <w:color w:val="231F20"/>
          <w:w w:val="105"/>
        </w:rPr>
        <w:t>28%</w:t>
      </w:r>
      <w:r>
        <w:rPr>
          <w:color w:val="231F20"/>
          <w:spacing w:val="9"/>
          <w:w w:val="105"/>
        </w:rPr>
        <w:t> </w:t>
      </w:r>
      <w:r>
        <w:rPr>
          <w:color w:val="231F20"/>
          <w:w w:val="105"/>
        </w:rPr>
        <w:t>of</w:t>
      </w:r>
      <w:r>
        <w:rPr>
          <w:color w:val="231F20"/>
          <w:spacing w:val="9"/>
          <w:w w:val="105"/>
        </w:rPr>
        <w:t> </w:t>
      </w:r>
      <w:r>
        <w:rPr>
          <w:color w:val="231F20"/>
          <w:spacing w:val="-4"/>
          <w:w w:val="105"/>
        </w:rPr>
        <w:t>older</w:t>
      </w:r>
    </w:p>
    <w:p>
      <w:pPr>
        <w:spacing w:line="240" w:lineRule="auto" w:before="10" w:after="25"/>
        <w:rPr>
          <w:rFonts w:ascii="Times New Roman"/>
          <w:sz w:val="4"/>
        </w:rPr>
      </w:pPr>
      <w:r>
        <w:rPr/>
        <w:br w:type="column"/>
      </w:r>
      <w:r>
        <w:rPr>
          <w:rFonts w:ascii="Times New Roman"/>
          <w:sz w:val="4"/>
        </w:rPr>
      </w:r>
    </w:p>
    <w:p>
      <w:pPr>
        <w:pStyle w:val="BodyText"/>
        <w:ind w:left="295"/>
        <w:rPr>
          <w:rFonts w:ascii="Times New Roman"/>
          <w:sz w:val="20"/>
        </w:rPr>
      </w:pPr>
      <w:r>
        <w:rPr>
          <w:rFonts w:ascii="Times New Roman"/>
          <w:sz w:val="20"/>
        </w:rPr>
        <mc:AlternateContent>
          <mc:Choice Requires="wps">
            <w:drawing>
              <wp:inline distT="0" distB="0" distL="0" distR="0">
                <wp:extent cx="2986405" cy="2543175"/>
                <wp:effectExtent l="0" t="0" r="0" b="0"/>
                <wp:docPr id="673" name="Group 673"/>
                <wp:cNvGraphicFramePr>
                  <a:graphicFrameLocks/>
                </wp:cNvGraphicFramePr>
                <a:graphic>
                  <a:graphicData uri="http://schemas.microsoft.com/office/word/2010/wordprocessingGroup">
                    <wpg:wgp>
                      <wpg:cNvPr id="673" name="Group 673"/>
                      <wpg:cNvGrpSpPr/>
                      <wpg:grpSpPr>
                        <a:xfrm>
                          <a:off x="0" y="0"/>
                          <a:ext cx="2986405" cy="2543175"/>
                          <a:chExt cx="2986405" cy="2543175"/>
                        </a:xfrm>
                      </wpg:grpSpPr>
                      <wps:wsp>
                        <wps:cNvPr id="674" name="Textbox 674"/>
                        <wps:cNvSpPr txBox="1"/>
                        <wps:spPr>
                          <a:xfrm>
                            <a:off x="0" y="236987"/>
                            <a:ext cx="2986405" cy="2299970"/>
                          </a:xfrm>
                          <a:prstGeom prst="rect">
                            <a:avLst/>
                          </a:prstGeom>
                          <a:solidFill>
                            <a:srgbClr val="E8F5F1"/>
                          </a:solidFill>
                        </wps:spPr>
                        <wps:txbx>
                          <w:txbxContent>
                            <w:p>
                              <w:pPr>
                                <w:numPr>
                                  <w:ilvl w:val="0"/>
                                  <w:numId w:val="65"/>
                                </w:numPr>
                                <w:tabs>
                                  <w:tab w:pos="279" w:val="left" w:leader="none"/>
                                </w:tabs>
                                <w:spacing w:line="171" w:lineRule="exact" w:before="47"/>
                                <w:ind w:left="279" w:right="0" w:hanging="205"/>
                                <w:jc w:val="left"/>
                                <w:rPr>
                                  <w:color w:val="000000"/>
                                  <w:sz w:val="15"/>
                                </w:rPr>
                              </w:pPr>
                              <w:r>
                                <w:rPr>
                                  <w:color w:val="231F20"/>
                                  <w:spacing w:val="-2"/>
                                  <w:sz w:val="15"/>
                                </w:rPr>
                                <w:t>At</w:t>
                              </w:r>
                              <w:r>
                                <w:rPr>
                                  <w:color w:val="231F20"/>
                                  <w:spacing w:val="-7"/>
                                  <w:sz w:val="15"/>
                                </w:rPr>
                                <w:t> </w:t>
                              </w:r>
                              <w:r>
                                <w:rPr>
                                  <w:color w:val="231F20"/>
                                  <w:spacing w:val="-2"/>
                                  <w:sz w:val="15"/>
                                </w:rPr>
                                <w:t>least</w:t>
                              </w:r>
                              <w:r>
                                <w:rPr>
                                  <w:color w:val="231F20"/>
                                  <w:spacing w:val="-7"/>
                                  <w:sz w:val="15"/>
                                </w:rPr>
                                <w:t> </w:t>
                              </w:r>
                              <w:r>
                                <w:rPr>
                                  <w:color w:val="231F20"/>
                                  <w:spacing w:val="-2"/>
                                  <w:sz w:val="15"/>
                                </w:rPr>
                                <w:t>2</w:t>
                              </w:r>
                              <w:r>
                                <w:rPr>
                                  <w:color w:val="231F20"/>
                                  <w:spacing w:val="-7"/>
                                  <w:sz w:val="15"/>
                                </w:rPr>
                                <w:t> </w:t>
                              </w:r>
                              <w:r>
                                <w:rPr>
                                  <w:color w:val="231F20"/>
                                  <w:spacing w:val="-2"/>
                                  <w:sz w:val="15"/>
                                </w:rPr>
                                <w:t>attacks</w:t>
                              </w:r>
                              <w:r>
                                <w:rPr>
                                  <w:color w:val="231F20"/>
                                  <w:spacing w:val="-7"/>
                                  <w:sz w:val="15"/>
                                </w:rPr>
                                <w:t> </w:t>
                              </w:r>
                              <w:r>
                                <w:rPr>
                                  <w:color w:val="231F20"/>
                                  <w:spacing w:val="-2"/>
                                  <w:sz w:val="15"/>
                                </w:rPr>
                                <w:t>fulfilling</w:t>
                              </w:r>
                              <w:r>
                                <w:rPr>
                                  <w:color w:val="231F20"/>
                                  <w:spacing w:val="-6"/>
                                  <w:sz w:val="15"/>
                                </w:rPr>
                                <w:t> </w:t>
                              </w:r>
                              <w:r>
                                <w:rPr>
                                  <w:color w:val="231F20"/>
                                  <w:spacing w:val="-2"/>
                                  <w:sz w:val="15"/>
                                </w:rPr>
                                <w:t>criteria</w:t>
                              </w:r>
                              <w:r>
                                <w:rPr>
                                  <w:color w:val="231F20"/>
                                  <w:spacing w:val="-7"/>
                                  <w:sz w:val="15"/>
                                </w:rPr>
                                <w:t> </w:t>
                              </w:r>
                              <w:r>
                                <w:rPr>
                                  <w:color w:val="231F20"/>
                                  <w:spacing w:val="-2"/>
                                  <w:sz w:val="15"/>
                                </w:rPr>
                                <w:t>B</w:t>
                              </w:r>
                              <w:r>
                                <w:rPr>
                                  <w:color w:val="231F20"/>
                                  <w:spacing w:val="-7"/>
                                  <w:sz w:val="15"/>
                                </w:rPr>
                                <w:t> </w:t>
                              </w:r>
                              <w:r>
                                <w:rPr>
                                  <w:color w:val="231F20"/>
                                  <w:spacing w:val="-2"/>
                                  <w:sz w:val="15"/>
                                </w:rPr>
                                <w:t>to</w:t>
                              </w:r>
                              <w:r>
                                <w:rPr>
                                  <w:color w:val="231F20"/>
                                  <w:spacing w:val="-7"/>
                                  <w:sz w:val="15"/>
                                </w:rPr>
                                <w:t> </w:t>
                              </w:r>
                              <w:r>
                                <w:rPr>
                                  <w:color w:val="231F20"/>
                                  <w:spacing w:val="-12"/>
                                  <w:sz w:val="15"/>
                                </w:rPr>
                                <w:t>D</w:t>
                              </w:r>
                            </w:p>
                            <w:p>
                              <w:pPr>
                                <w:numPr>
                                  <w:ilvl w:val="0"/>
                                  <w:numId w:val="65"/>
                                </w:numPr>
                                <w:tabs>
                                  <w:tab w:pos="279" w:val="left" w:leader="none"/>
                                </w:tabs>
                                <w:spacing w:line="230" w:lineRule="auto" w:before="2"/>
                                <w:ind w:left="279" w:right="526" w:hanging="206"/>
                                <w:jc w:val="left"/>
                                <w:rPr>
                                  <w:color w:val="000000"/>
                                  <w:sz w:val="15"/>
                                </w:rPr>
                              </w:pPr>
                              <w:r>
                                <w:rPr>
                                  <w:color w:val="231F20"/>
                                  <w:sz w:val="15"/>
                                </w:rPr>
                                <w:t>Aura</w:t>
                              </w:r>
                              <w:r>
                                <w:rPr>
                                  <w:color w:val="231F20"/>
                                  <w:spacing w:val="-10"/>
                                  <w:sz w:val="15"/>
                                </w:rPr>
                                <w:t> </w:t>
                              </w:r>
                              <w:r>
                                <w:rPr>
                                  <w:color w:val="231F20"/>
                                  <w:sz w:val="15"/>
                                </w:rPr>
                                <w:t>consisting</w:t>
                              </w:r>
                              <w:r>
                                <w:rPr>
                                  <w:color w:val="231F20"/>
                                  <w:spacing w:val="-10"/>
                                  <w:sz w:val="15"/>
                                </w:rPr>
                                <w:t> </w:t>
                              </w:r>
                              <w:r>
                                <w:rPr>
                                  <w:color w:val="231F20"/>
                                  <w:sz w:val="15"/>
                                </w:rPr>
                                <w:t>of</w:t>
                              </w:r>
                              <w:r>
                                <w:rPr>
                                  <w:color w:val="231F20"/>
                                  <w:spacing w:val="-10"/>
                                  <w:sz w:val="15"/>
                                </w:rPr>
                                <w:t> </w:t>
                              </w:r>
                              <w:r>
                                <w:rPr>
                                  <w:color w:val="231F20"/>
                                  <w:sz w:val="15"/>
                                </w:rPr>
                                <w:t>visual,</w:t>
                              </w:r>
                              <w:r>
                                <w:rPr>
                                  <w:color w:val="231F20"/>
                                  <w:spacing w:val="-10"/>
                                  <w:sz w:val="15"/>
                                </w:rPr>
                                <w:t> </w:t>
                              </w:r>
                              <w:r>
                                <w:rPr>
                                  <w:color w:val="231F20"/>
                                  <w:sz w:val="15"/>
                                </w:rPr>
                                <w:t>sensory</w:t>
                              </w:r>
                              <w:r>
                                <w:rPr>
                                  <w:color w:val="231F20"/>
                                  <w:spacing w:val="-10"/>
                                  <w:sz w:val="15"/>
                                </w:rPr>
                                <w:t> </w:t>
                              </w:r>
                              <w:r>
                                <w:rPr>
                                  <w:color w:val="231F20"/>
                                  <w:sz w:val="15"/>
                                </w:rPr>
                                <w:t>and/or</w:t>
                              </w:r>
                              <w:r>
                                <w:rPr>
                                  <w:color w:val="231F20"/>
                                  <w:spacing w:val="-10"/>
                                  <w:sz w:val="15"/>
                                </w:rPr>
                                <w:t> </w:t>
                              </w:r>
                              <w:r>
                                <w:rPr>
                                  <w:color w:val="231F20"/>
                                  <w:sz w:val="15"/>
                                </w:rPr>
                                <w:t>speech/language symptoms, each fully reversible, but no motor or retinal </w:t>
                              </w:r>
                              <w:r>
                                <w:rPr>
                                  <w:color w:val="231F20"/>
                                  <w:spacing w:val="-2"/>
                                  <w:sz w:val="15"/>
                                </w:rPr>
                                <w:t>symptoms</w:t>
                              </w:r>
                            </w:p>
                            <w:p>
                              <w:pPr>
                                <w:numPr>
                                  <w:ilvl w:val="0"/>
                                  <w:numId w:val="65"/>
                                </w:numPr>
                                <w:tabs>
                                  <w:tab w:pos="279" w:val="left" w:leader="none"/>
                                </w:tabs>
                                <w:spacing w:line="168" w:lineRule="exact" w:before="0"/>
                                <w:ind w:left="279" w:right="0" w:hanging="205"/>
                                <w:jc w:val="left"/>
                                <w:rPr>
                                  <w:color w:val="000000"/>
                                  <w:sz w:val="15"/>
                                </w:rPr>
                              </w:pPr>
                              <w:r>
                                <w:rPr>
                                  <w:color w:val="231F20"/>
                                  <w:sz w:val="15"/>
                                </w:rPr>
                                <w:t>At</w:t>
                              </w:r>
                              <w:r>
                                <w:rPr>
                                  <w:color w:val="231F20"/>
                                  <w:spacing w:val="-7"/>
                                  <w:sz w:val="15"/>
                                </w:rPr>
                                <w:t> </w:t>
                              </w:r>
                              <w:r>
                                <w:rPr>
                                  <w:color w:val="231F20"/>
                                  <w:sz w:val="15"/>
                                </w:rPr>
                                <w:t>least</w:t>
                              </w:r>
                              <w:r>
                                <w:rPr>
                                  <w:color w:val="231F20"/>
                                  <w:spacing w:val="-7"/>
                                  <w:sz w:val="15"/>
                                </w:rPr>
                                <w:t> </w:t>
                              </w:r>
                              <w:r>
                                <w:rPr>
                                  <w:color w:val="231F20"/>
                                  <w:sz w:val="15"/>
                                </w:rPr>
                                <w:t>2</w:t>
                              </w:r>
                              <w:r>
                                <w:rPr>
                                  <w:color w:val="231F20"/>
                                  <w:spacing w:val="-6"/>
                                  <w:sz w:val="15"/>
                                </w:rPr>
                                <w:t> </w:t>
                              </w:r>
                              <w:r>
                                <w:rPr>
                                  <w:color w:val="231F20"/>
                                  <w:sz w:val="15"/>
                                </w:rPr>
                                <w:t>of</w:t>
                              </w:r>
                              <w:r>
                                <w:rPr>
                                  <w:color w:val="231F20"/>
                                  <w:spacing w:val="-7"/>
                                  <w:sz w:val="15"/>
                                </w:rPr>
                                <w:t> </w:t>
                              </w:r>
                              <w:r>
                                <w:rPr>
                                  <w:color w:val="231F20"/>
                                  <w:sz w:val="15"/>
                                </w:rPr>
                                <w:t>the</w:t>
                              </w:r>
                              <w:r>
                                <w:rPr>
                                  <w:color w:val="231F20"/>
                                  <w:spacing w:val="-7"/>
                                  <w:sz w:val="15"/>
                                </w:rPr>
                                <w:t> </w:t>
                              </w:r>
                              <w:r>
                                <w:rPr>
                                  <w:color w:val="231F20"/>
                                  <w:sz w:val="15"/>
                                </w:rPr>
                                <w:t>following</w:t>
                              </w:r>
                              <w:r>
                                <w:rPr>
                                  <w:color w:val="231F20"/>
                                  <w:spacing w:val="-6"/>
                                  <w:sz w:val="15"/>
                                </w:rPr>
                                <w:t> </w:t>
                              </w:r>
                              <w:r>
                                <w:rPr>
                                  <w:color w:val="231F20"/>
                                  <w:sz w:val="15"/>
                                </w:rPr>
                                <w:t>brainstem</w:t>
                              </w:r>
                              <w:r>
                                <w:rPr>
                                  <w:color w:val="231F20"/>
                                  <w:spacing w:val="-7"/>
                                  <w:sz w:val="15"/>
                                </w:rPr>
                                <w:t> </w:t>
                              </w:r>
                              <w:r>
                                <w:rPr>
                                  <w:color w:val="231F20"/>
                                  <w:spacing w:val="-2"/>
                                  <w:sz w:val="15"/>
                                </w:rPr>
                                <w:t>symptoms:</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Dysarthria</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Vertigo</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Tinnitus</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Hypacusis</w:t>
                              </w:r>
                            </w:p>
                            <w:p>
                              <w:pPr>
                                <w:numPr>
                                  <w:ilvl w:val="1"/>
                                  <w:numId w:val="65"/>
                                </w:numPr>
                                <w:tabs>
                                  <w:tab w:pos="457" w:val="left" w:leader="none"/>
                                </w:tabs>
                                <w:spacing w:line="168" w:lineRule="exact" w:before="0"/>
                                <w:ind w:left="457" w:right="0" w:hanging="191"/>
                                <w:jc w:val="left"/>
                                <w:rPr>
                                  <w:color w:val="000000"/>
                                  <w:sz w:val="15"/>
                                </w:rPr>
                              </w:pPr>
                              <w:r>
                                <w:rPr>
                                  <w:color w:val="231F20"/>
                                  <w:spacing w:val="-2"/>
                                  <w:w w:val="105"/>
                                  <w:sz w:val="15"/>
                                </w:rPr>
                                <w:t>Diplopia</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Ataxia</w:t>
                              </w:r>
                            </w:p>
                            <w:p>
                              <w:pPr>
                                <w:numPr>
                                  <w:ilvl w:val="1"/>
                                  <w:numId w:val="65"/>
                                </w:numPr>
                                <w:tabs>
                                  <w:tab w:pos="457" w:val="left" w:leader="none"/>
                                </w:tabs>
                                <w:spacing w:line="168" w:lineRule="exact" w:before="0"/>
                                <w:ind w:left="457" w:right="0" w:hanging="191"/>
                                <w:jc w:val="left"/>
                                <w:rPr>
                                  <w:color w:val="000000"/>
                                  <w:sz w:val="15"/>
                                </w:rPr>
                              </w:pPr>
                              <w:r>
                                <w:rPr>
                                  <w:color w:val="231F20"/>
                                  <w:sz w:val="15"/>
                                </w:rPr>
                                <w:t>Decreased</w:t>
                              </w:r>
                              <w:r>
                                <w:rPr>
                                  <w:color w:val="231F20"/>
                                  <w:spacing w:val="-3"/>
                                  <w:sz w:val="15"/>
                                </w:rPr>
                                <w:t> </w:t>
                              </w:r>
                              <w:r>
                                <w:rPr>
                                  <w:color w:val="231F20"/>
                                  <w:sz w:val="15"/>
                                </w:rPr>
                                <w:t>level</w:t>
                              </w:r>
                              <w:r>
                                <w:rPr>
                                  <w:color w:val="231F20"/>
                                  <w:spacing w:val="-2"/>
                                  <w:sz w:val="15"/>
                                </w:rPr>
                                <w:t> </w:t>
                              </w:r>
                              <w:r>
                                <w:rPr>
                                  <w:color w:val="231F20"/>
                                  <w:sz w:val="15"/>
                                </w:rPr>
                                <w:t>of</w:t>
                              </w:r>
                              <w:r>
                                <w:rPr>
                                  <w:color w:val="231F20"/>
                                  <w:spacing w:val="-2"/>
                                  <w:sz w:val="15"/>
                                </w:rPr>
                                <w:t> consciousness</w:t>
                              </w:r>
                            </w:p>
                            <w:p>
                              <w:pPr>
                                <w:numPr>
                                  <w:ilvl w:val="0"/>
                                  <w:numId w:val="65"/>
                                </w:numPr>
                                <w:tabs>
                                  <w:tab w:pos="278" w:val="left" w:leader="none"/>
                                </w:tabs>
                                <w:spacing w:line="168" w:lineRule="exact" w:before="0"/>
                                <w:ind w:left="278" w:right="0" w:hanging="204"/>
                                <w:jc w:val="left"/>
                                <w:rPr>
                                  <w:color w:val="000000"/>
                                  <w:sz w:val="15"/>
                                </w:rPr>
                              </w:pPr>
                              <w:r>
                                <w:rPr>
                                  <w:color w:val="231F20"/>
                                  <w:sz w:val="15"/>
                                </w:rPr>
                                <w:t>At</w:t>
                              </w:r>
                              <w:r>
                                <w:rPr>
                                  <w:color w:val="231F20"/>
                                  <w:spacing w:val="-5"/>
                                  <w:sz w:val="15"/>
                                </w:rPr>
                                <w:t> </w:t>
                              </w:r>
                              <w:r>
                                <w:rPr>
                                  <w:color w:val="231F20"/>
                                  <w:sz w:val="15"/>
                                </w:rPr>
                                <w:t>least</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4</w:t>
                              </w:r>
                              <w:r>
                                <w:rPr>
                                  <w:color w:val="231F20"/>
                                  <w:spacing w:val="-5"/>
                                  <w:sz w:val="15"/>
                                </w:rPr>
                                <w:t> </w:t>
                              </w:r>
                              <w:r>
                                <w:rPr>
                                  <w:color w:val="231F20"/>
                                  <w:spacing w:val="-2"/>
                                  <w:sz w:val="15"/>
                                </w:rPr>
                                <w:t>characteristics:</w:t>
                              </w:r>
                            </w:p>
                            <w:p>
                              <w:pPr>
                                <w:numPr>
                                  <w:ilvl w:val="1"/>
                                  <w:numId w:val="65"/>
                                </w:numPr>
                                <w:tabs>
                                  <w:tab w:pos="457" w:val="left" w:leader="none"/>
                                  <w:tab w:pos="459" w:val="left" w:leader="none"/>
                                </w:tabs>
                                <w:spacing w:line="230" w:lineRule="auto" w:before="3"/>
                                <w:ind w:left="459" w:right="345" w:hanging="193"/>
                                <w:jc w:val="left"/>
                                <w:rPr>
                                  <w:color w:val="000000"/>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1</w:t>
                              </w:r>
                              <w:r>
                                <w:rPr>
                                  <w:color w:val="231F20"/>
                                  <w:spacing w:val="-4"/>
                                  <w:sz w:val="15"/>
                                </w:rPr>
                                <w:t> </w:t>
                              </w:r>
                              <w:r>
                                <w:rPr>
                                  <w:color w:val="231F20"/>
                                  <w:sz w:val="15"/>
                                </w:rPr>
                                <w:t>aura</w:t>
                              </w:r>
                              <w:r>
                                <w:rPr>
                                  <w:color w:val="231F20"/>
                                  <w:spacing w:val="-4"/>
                                  <w:sz w:val="15"/>
                                </w:rPr>
                                <w:t> </w:t>
                              </w:r>
                              <w:r>
                                <w:rPr>
                                  <w:color w:val="231F20"/>
                                  <w:sz w:val="15"/>
                                </w:rPr>
                                <w:t>symptom</w:t>
                              </w:r>
                              <w:r>
                                <w:rPr>
                                  <w:color w:val="231F20"/>
                                  <w:spacing w:val="-4"/>
                                  <w:sz w:val="15"/>
                                </w:rPr>
                                <w:t> </w:t>
                              </w:r>
                              <w:r>
                                <w:rPr>
                                  <w:color w:val="231F20"/>
                                  <w:sz w:val="15"/>
                                </w:rPr>
                                <w:t>spreads</w:t>
                              </w:r>
                              <w:r>
                                <w:rPr>
                                  <w:color w:val="231F20"/>
                                  <w:spacing w:val="-4"/>
                                  <w:sz w:val="15"/>
                                </w:rPr>
                                <w:t> </w:t>
                              </w:r>
                              <w:r>
                                <w:rPr>
                                  <w:color w:val="231F20"/>
                                  <w:sz w:val="15"/>
                                </w:rPr>
                                <w:t>gradually</w:t>
                              </w:r>
                              <w:r>
                                <w:rPr>
                                  <w:color w:val="231F20"/>
                                  <w:spacing w:val="-4"/>
                                  <w:sz w:val="15"/>
                                </w:rPr>
                                <w:t> </w:t>
                              </w:r>
                              <w:r>
                                <w:rPr>
                                  <w:color w:val="231F20"/>
                                  <w:sz w:val="15"/>
                                </w:rPr>
                                <w:t>over</w:t>
                              </w:r>
                              <w:r>
                                <w:rPr>
                                  <w:color w:val="231F20"/>
                                  <w:spacing w:val="-4"/>
                                  <w:sz w:val="15"/>
                                </w:rPr>
                                <w:t> </w:t>
                              </w:r>
                              <w:r>
                                <w:rPr>
                                  <w:color w:val="231F20"/>
                                  <w:sz w:val="15"/>
                                </w:rPr>
                                <w:t>5</w:t>
                              </w:r>
                              <w:r>
                                <w:rPr>
                                  <w:color w:val="231F20"/>
                                  <w:spacing w:val="-4"/>
                                  <w:sz w:val="15"/>
                                </w:rPr>
                                <w:t> </w:t>
                              </w:r>
                              <w:r>
                                <w:rPr>
                                  <w:color w:val="231F20"/>
                                  <w:sz w:val="15"/>
                                </w:rPr>
                                <w:t>or</w:t>
                              </w:r>
                              <w:r>
                                <w:rPr>
                                  <w:color w:val="231F20"/>
                                  <w:spacing w:val="-4"/>
                                  <w:sz w:val="15"/>
                                </w:rPr>
                                <w:t> </w:t>
                              </w:r>
                              <w:r>
                                <w:rPr>
                                  <w:color w:val="231F20"/>
                                  <w:sz w:val="15"/>
                                </w:rPr>
                                <w:t>more minutes, and/or 2 or more symptoms occur in succession</w:t>
                              </w:r>
                            </w:p>
                            <w:p>
                              <w:pPr>
                                <w:numPr>
                                  <w:ilvl w:val="1"/>
                                  <w:numId w:val="65"/>
                                </w:numPr>
                                <w:tabs>
                                  <w:tab w:pos="458" w:val="left" w:leader="none"/>
                                </w:tabs>
                                <w:spacing w:line="167" w:lineRule="exact" w:before="0"/>
                                <w:ind w:left="458" w:right="0" w:hanging="191"/>
                                <w:jc w:val="left"/>
                                <w:rPr>
                                  <w:color w:val="000000"/>
                                  <w:sz w:val="15"/>
                                </w:rPr>
                              </w:pPr>
                              <w:r>
                                <w:rPr>
                                  <w:color w:val="231F20"/>
                                  <w:sz w:val="15"/>
                                </w:rPr>
                                <w:t>Each</w:t>
                              </w:r>
                              <w:r>
                                <w:rPr>
                                  <w:color w:val="231F20"/>
                                  <w:spacing w:val="-7"/>
                                  <w:sz w:val="15"/>
                                </w:rPr>
                                <w:t> </w:t>
                              </w:r>
                              <w:r>
                                <w:rPr>
                                  <w:color w:val="231F20"/>
                                  <w:sz w:val="15"/>
                                </w:rPr>
                                <w:t>individual</w:t>
                              </w:r>
                              <w:r>
                                <w:rPr>
                                  <w:color w:val="231F20"/>
                                  <w:spacing w:val="-7"/>
                                  <w:sz w:val="15"/>
                                </w:rPr>
                                <w:t> </w:t>
                              </w:r>
                              <w:r>
                                <w:rPr>
                                  <w:color w:val="231F20"/>
                                  <w:sz w:val="15"/>
                                </w:rPr>
                                <w:t>aura</w:t>
                              </w:r>
                              <w:r>
                                <w:rPr>
                                  <w:color w:val="231F20"/>
                                  <w:spacing w:val="-7"/>
                                  <w:sz w:val="15"/>
                                </w:rPr>
                                <w:t> </w:t>
                              </w:r>
                              <w:r>
                                <w:rPr>
                                  <w:color w:val="231F20"/>
                                  <w:sz w:val="15"/>
                                </w:rPr>
                                <w:t>symptom</w:t>
                              </w:r>
                              <w:r>
                                <w:rPr>
                                  <w:color w:val="231F20"/>
                                  <w:spacing w:val="-6"/>
                                  <w:sz w:val="15"/>
                                </w:rPr>
                                <w:t> </w:t>
                              </w:r>
                              <w:r>
                                <w:rPr>
                                  <w:color w:val="231F20"/>
                                  <w:sz w:val="15"/>
                                </w:rPr>
                                <w:t>lasts</w:t>
                              </w:r>
                              <w:r>
                                <w:rPr>
                                  <w:color w:val="231F20"/>
                                  <w:spacing w:val="-7"/>
                                  <w:sz w:val="15"/>
                                </w:rPr>
                                <w:t> </w:t>
                              </w:r>
                              <w:r>
                                <w:rPr>
                                  <w:color w:val="231F20"/>
                                  <w:sz w:val="15"/>
                                </w:rPr>
                                <w:t>5-60</w:t>
                              </w:r>
                              <w:r>
                                <w:rPr>
                                  <w:color w:val="231F20"/>
                                  <w:spacing w:val="-7"/>
                                  <w:sz w:val="15"/>
                                </w:rPr>
                                <w:t> </w:t>
                              </w:r>
                              <w:r>
                                <w:rPr>
                                  <w:color w:val="231F20"/>
                                  <w:spacing w:val="-2"/>
                                  <w:sz w:val="15"/>
                                </w:rPr>
                                <w:t>minutes</w:t>
                              </w:r>
                            </w:p>
                            <w:p>
                              <w:pPr>
                                <w:numPr>
                                  <w:ilvl w:val="1"/>
                                  <w:numId w:val="65"/>
                                </w:numPr>
                                <w:tabs>
                                  <w:tab w:pos="458" w:val="left" w:leader="none"/>
                                </w:tabs>
                                <w:spacing w:line="168" w:lineRule="exact" w:before="0"/>
                                <w:ind w:left="458" w:right="0" w:hanging="191"/>
                                <w:jc w:val="left"/>
                                <w:rPr>
                                  <w:color w:val="000000"/>
                                  <w:sz w:val="15"/>
                                </w:rPr>
                              </w:pPr>
                              <w:r>
                                <w:rPr>
                                  <w:color w:val="231F20"/>
                                  <w:sz w:val="15"/>
                                </w:rPr>
                                <w:t>At</w:t>
                              </w:r>
                              <w:r>
                                <w:rPr>
                                  <w:color w:val="231F20"/>
                                  <w:spacing w:val="-4"/>
                                  <w:sz w:val="15"/>
                                </w:rPr>
                                <w:t> </w:t>
                              </w:r>
                              <w:r>
                                <w:rPr>
                                  <w:color w:val="231F20"/>
                                  <w:sz w:val="15"/>
                                </w:rPr>
                                <w:t>least</w:t>
                              </w:r>
                              <w:r>
                                <w:rPr>
                                  <w:color w:val="231F20"/>
                                  <w:spacing w:val="-3"/>
                                  <w:sz w:val="15"/>
                                </w:rPr>
                                <w:t> </w:t>
                              </w:r>
                              <w:r>
                                <w:rPr>
                                  <w:color w:val="231F20"/>
                                  <w:sz w:val="15"/>
                                </w:rPr>
                                <w:t>1</w:t>
                              </w:r>
                              <w:r>
                                <w:rPr>
                                  <w:color w:val="231F20"/>
                                  <w:spacing w:val="-3"/>
                                  <w:sz w:val="15"/>
                                </w:rPr>
                                <w:t> </w:t>
                              </w:r>
                              <w:r>
                                <w:rPr>
                                  <w:color w:val="231F20"/>
                                  <w:sz w:val="15"/>
                                </w:rPr>
                                <w:t>aura</w:t>
                              </w:r>
                              <w:r>
                                <w:rPr>
                                  <w:color w:val="231F20"/>
                                  <w:spacing w:val="-3"/>
                                  <w:sz w:val="15"/>
                                </w:rPr>
                                <w:t> </w:t>
                              </w:r>
                              <w:r>
                                <w:rPr>
                                  <w:color w:val="231F20"/>
                                  <w:sz w:val="15"/>
                                </w:rPr>
                                <w:t>symptom</w:t>
                              </w:r>
                              <w:r>
                                <w:rPr>
                                  <w:color w:val="231F20"/>
                                  <w:spacing w:val="-3"/>
                                  <w:sz w:val="15"/>
                                </w:rPr>
                                <w:t> </w:t>
                              </w:r>
                              <w:r>
                                <w:rPr>
                                  <w:color w:val="231F20"/>
                                  <w:sz w:val="15"/>
                                </w:rPr>
                                <w:t>is</w:t>
                              </w:r>
                              <w:r>
                                <w:rPr>
                                  <w:color w:val="231F20"/>
                                  <w:spacing w:val="-3"/>
                                  <w:sz w:val="15"/>
                                </w:rPr>
                                <w:t> </w:t>
                              </w:r>
                              <w:r>
                                <w:rPr>
                                  <w:color w:val="231F20"/>
                                  <w:spacing w:val="-2"/>
                                  <w:sz w:val="15"/>
                                </w:rPr>
                                <w:t>unilateral</w:t>
                              </w:r>
                            </w:p>
                            <w:p>
                              <w:pPr>
                                <w:numPr>
                                  <w:ilvl w:val="1"/>
                                  <w:numId w:val="65"/>
                                </w:numPr>
                                <w:tabs>
                                  <w:tab w:pos="457" w:val="left" w:leader="none"/>
                                  <w:tab w:pos="459" w:val="left" w:leader="none"/>
                                </w:tabs>
                                <w:spacing w:line="230" w:lineRule="auto" w:before="3"/>
                                <w:ind w:left="459" w:right="262" w:hanging="193"/>
                                <w:jc w:val="left"/>
                                <w:rPr>
                                  <w:color w:val="000000"/>
                                  <w:sz w:val="15"/>
                                </w:rPr>
                              </w:pPr>
                              <w:r>
                                <w:rPr>
                                  <w:color w:val="231F20"/>
                                  <w:sz w:val="15"/>
                                </w:rPr>
                                <w:t>The</w:t>
                              </w:r>
                              <w:r>
                                <w:rPr>
                                  <w:color w:val="231F20"/>
                                  <w:spacing w:val="-12"/>
                                  <w:sz w:val="15"/>
                                </w:rPr>
                                <w:t> </w:t>
                              </w:r>
                              <w:r>
                                <w:rPr>
                                  <w:color w:val="231F20"/>
                                  <w:sz w:val="15"/>
                                </w:rPr>
                                <w:t>aura</w:t>
                              </w:r>
                              <w:r>
                                <w:rPr>
                                  <w:color w:val="231F20"/>
                                  <w:spacing w:val="-11"/>
                                  <w:sz w:val="15"/>
                                </w:rPr>
                                <w:t> </w:t>
                              </w:r>
                              <w:r>
                                <w:rPr>
                                  <w:color w:val="231F20"/>
                                  <w:sz w:val="15"/>
                                </w:rPr>
                                <w:t>is</w:t>
                              </w:r>
                              <w:r>
                                <w:rPr>
                                  <w:color w:val="231F20"/>
                                  <w:spacing w:val="-11"/>
                                  <w:sz w:val="15"/>
                                </w:rPr>
                                <w:t> </w:t>
                              </w:r>
                              <w:r>
                                <w:rPr>
                                  <w:color w:val="231F20"/>
                                  <w:sz w:val="15"/>
                                </w:rPr>
                                <w:t>accompanied,</w:t>
                              </w:r>
                              <w:r>
                                <w:rPr>
                                  <w:color w:val="231F20"/>
                                  <w:spacing w:val="-11"/>
                                  <w:sz w:val="15"/>
                                </w:rPr>
                                <w:t> </w:t>
                              </w:r>
                              <w:r>
                                <w:rPr>
                                  <w:color w:val="231F20"/>
                                  <w:sz w:val="15"/>
                                </w:rPr>
                                <w:t>or</w:t>
                              </w:r>
                              <w:r>
                                <w:rPr>
                                  <w:color w:val="231F20"/>
                                  <w:spacing w:val="-12"/>
                                  <w:sz w:val="15"/>
                                </w:rPr>
                                <w:t> </w:t>
                              </w:r>
                              <w:r>
                                <w:rPr>
                                  <w:color w:val="231F20"/>
                                  <w:sz w:val="15"/>
                                </w:rPr>
                                <w:t>followed</w:t>
                              </w:r>
                              <w:r>
                                <w:rPr>
                                  <w:color w:val="231F20"/>
                                  <w:spacing w:val="-11"/>
                                  <w:sz w:val="15"/>
                                </w:rPr>
                                <w:t> </w:t>
                              </w:r>
                              <w:r>
                                <w:rPr>
                                  <w:color w:val="231F20"/>
                                  <w:sz w:val="15"/>
                                </w:rPr>
                                <w:t>within</w:t>
                              </w:r>
                              <w:r>
                                <w:rPr>
                                  <w:color w:val="231F20"/>
                                  <w:spacing w:val="-11"/>
                                  <w:sz w:val="15"/>
                                </w:rPr>
                                <w:t> </w:t>
                              </w:r>
                              <w:r>
                                <w:rPr>
                                  <w:color w:val="231F20"/>
                                  <w:sz w:val="15"/>
                                </w:rPr>
                                <w:t>60</w:t>
                              </w:r>
                              <w:r>
                                <w:rPr>
                                  <w:color w:val="231F20"/>
                                  <w:spacing w:val="-11"/>
                                  <w:sz w:val="15"/>
                                </w:rPr>
                                <w:t> </w:t>
                              </w:r>
                              <w:r>
                                <w:rPr>
                                  <w:color w:val="231F20"/>
                                  <w:sz w:val="15"/>
                                </w:rPr>
                                <w:t>minutes,</w:t>
                              </w:r>
                              <w:r>
                                <w:rPr>
                                  <w:color w:val="231F20"/>
                                  <w:spacing w:val="-12"/>
                                  <w:sz w:val="15"/>
                                </w:rPr>
                                <w:t> </w:t>
                              </w:r>
                              <w:r>
                                <w:rPr>
                                  <w:color w:val="231F20"/>
                                  <w:sz w:val="15"/>
                                </w:rPr>
                                <w:t>by </w:t>
                              </w:r>
                              <w:r>
                                <w:rPr>
                                  <w:color w:val="231F20"/>
                                  <w:spacing w:val="-2"/>
                                  <w:sz w:val="15"/>
                                </w:rPr>
                                <w:t>headache</w:t>
                              </w:r>
                            </w:p>
                            <w:p>
                              <w:pPr>
                                <w:numPr>
                                  <w:ilvl w:val="0"/>
                                  <w:numId w:val="65"/>
                                </w:numPr>
                                <w:tabs>
                                  <w:tab w:pos="278" w:val="left" w:leader="none"/>
                                  <w:tab w:pos="280" w:val="left" w:leader="none"/>
                                </w:tabs>
                                <w:spacing w:line="230" w:lineRule="auto" w:before="1"/>
                                <w:ind w:left="280" w:right="418" w:hanging="206"/>
                                <w:jc w:val="left"/>
                                <w:rPr>
                                  <w:color w:val="000000"/>
                                  <w:sz w:val="15"/>
                                </w:rPr>
                              </w:pPr>
                              <w:r>
                                <w:rPr>
                                  <w:color w:val="231F20"/>
                                  <w:sz w:val="15"/>
                                </w:rPr>
                                <w:t>Not better accounted for by another ICHD-3 diagnosis, </w:t>
                              </w:r>
                              <w:r>
                                <w:rPr>
                                  <w:color w:val="231F20"/>
                                  <w:sz w:val="15"/>
                                </w:rPr>
                                <w:t>and transient ischemic attack has been excluded.</w:t>
                              </w:r>
                            </w:p>
                          </w:txbxContent>
                        </wps:txbx>
                        <wps:bodyPr wrap="square" lIns="0" tIns="0" rIns="0" bIns="0" rtlCol="0">
                          <a:noAutofit/>
                        </wps:bodyPr>
                      </wps:wsp>
                      <wps:wsp>
                        <wps:cNvPr id="675" name="Graphic 675"/>
                        <wps:cNvSpPr/>
                        <wps:spPr>
                          <a:xfrm>
                            <a:off x="0" y="2530751"/>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676" name="Textbox 676"/>
                        <wps:cNvSpPr txBox="1"/>
                        <wps:spPr>
                          <a:xfrm>
                            <a:off x="734644" y="0"/>
                            <a:ext cx="2251710" cy="225425"/>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Migraine</w:t>
                              </w:r>
                              <w:r>
                                <w:rPr>
                                  <w:color w:val="FFFFFF"/>
                                  <w:spacing w:val="7"/>
                                  <w:w w:val="105"/>
                                  <w:sz w:val="16"/>
                                </w:rPr>
                                <w:t> </w:t>
                              </w:r>
                              <w:r>
                                <w:rPr>
                                  <w:color w:val="FFFFFF"/>
                                  <w:w w:val="105"/>
                                  <w:sz w:val="16"/>
                                </w:rPr>
                                <w:t>with</w:t>
                              </w:r>
                              <w:r>
                                <w:rPr>
                                  <w:color w:val="FFFFFF"/>
                                  <w:spacing w:val="7"/>
                                  <w:w w:val="105"/>
                                  <w:sz w:val="16"/>
                                </w:rPr>
                                <w:t> </w:t>
                              </w:r>
                              <w:r>
                                <w:rPr>
                                  <w:color w:val="FFFFFF"/>
                                  <w:w w:val="105"/>
                                  <w:sz w:val="16"/>
                                </w:rPr>
                                <w:t>Brainstem</w:t>
                              </w:r>
                              <w:r>
                                <w:rPr>
                                  <w:color w:val="FFFFFF"/>
                                  <w:spacing w:val="7"/>
                                  <w:w w:val="105"/>
                                  <w:sz w:val="16"/>
                                </w:rPr>
                                <w:t> </w:t>
                              </w:r>
                              <w:r>
                                <w:rPr>
                                  <w:color w:val="FFFFFF"/>
                                  <w:spacing w:val="-4"/>
                                  <w:w w:val="105"/>
                                  <w:sz w:val="16"/>
                                </w:rPr>
                                <w:t>Aura</w:t>
                              </w:r>
                            </w:p>
                          </w:txbxContent>
                        </wps:txbx>
                        <wps:bodyPr wrap="square" lIns="0" tIns="0" rIns="0" bIns="0" rtlCol="0">
                          <a:noAutofit/>
                        </wps:bodyPr>
                      </wps:wsp>
                      <wps:wsp>
                        <wps:cNvPr id="677" name="Textbox 677"/>
                        <wps:cNvSpPr txBox="1"/>
                        <wps:spPr>
                          <a:xfrm>
                            <a:off x="0" y="0"/>
                            <a:ext cx="723265" cy="225425"/>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4</w:t>
                              </w:r>
                            </w:p>
                          </w:txbxContent>
                        </wps:txbx>
                        <wps:bodyPr wrap="square" lIns="0" tIns="0" rIns="0" bIns="0" rtlCol="0">
                          <a:noAutofit/>
                        </wps:bodyPr>
                      </wps:wsp>
                    </wpg:wgp>
                  </a:graphicData>
                </a:graphic>
              </wp:inline>
            </w:drawing>
          </mc:Choice>
          <mc:Fallback>
            <w:pict>
              <v:group style="width:235.15pt;height:200.25pt;mso-position-horizontal-relative:char;mso-position-vertical-relative:line" id="docshapegroup568" coordorigin="0,0" coordsize="4703,4005">
                <v:shape style="position:absolute;left:0;top:373;width:4703;height:3622" type="#_x0000_t202" id="docshape569" filled="true" fillcolor="#e8f5f1" stroked="false">
                  <v:textbox inset="0,0,0,0">
                    <w:txbxContent>
                      <w:p>
                        <w:pPr>
                          <w:numPr>
                            <w:ilvl w:val="0"/>
                            <w:numId w:val="65"/>
                          </w:numPr>
                          <w:tabs>
                            <w:tab w:pos="279" w:val="left" w:leader="none"/>
                          </w:tabs>
                          <w:spacing w:line="171" w:lineRule="exact" w:before="47"/>
                          <w:ind w:left="279" w:right="0" w:hanging="205"/>
                          <w:jc w:val="left"/>
                          <w:rPr>
                            <w:color w:val="000000"/>
                            <w:sz w:val="15"/>
                          </w:rPr>
                        </w:pPr>
                        <w:r>
                          <w:rPr>
                            <w:color w:val="231F20"/>
                            <w:spacing w:val="-2"/>
                            <w:sz w:val="15"/>
                          </w:rPr>
                          <w:t>At</w:t>
                        </w:r>
                        <w:r>
                          <w:rPr>
                            <w:color w:val="231F20"/>
                            <w:spacing w:val="-7"/>
                            <w:sz w:val="15"/>
                          </w:rPr>
                          <w:t> </w:t>
                        </w:r>
                        <w:r>
                          <w:rPr>
                            <w:color w:val="231F20"/>
                            <w:spacing w:val="-2"/>
                            <w:sz w:val="15"/>
                          </w:rPr>
                          <w:t>least</w:t>
                        </w:r>
                        <w:r>
                          <w:rPr>
                            <w:color w:val="231F20"/>
                            <w:spacing w:val="-7"/>
                            <w:sz w:val="15"/>
                          </w:rPr>
                          <w:t> </w:t>
                        </w:r>
                        <w:r>
                          <w:rPr>
                            <w:color w:val="231F20"/>
                            <w:spacing w:val="-2"/>
                            <w:sz w:val="15"/>
                          </w:rPr>
                          <w:t>2</w:t>
                        </w:r>
                        <w:r>
                          <w:rPr>
                            <w:color w:val="231F20"/>
                            <w:spacing w:val="-7"/>
                            <w:sz w:val="15"/>
                          </w:rPr>
                          <w:t> </w:t>
                        </w:r>
                        <w:r>
                          <w:rPr>
                            <w:color w:val="231F20"/>
                            <w:spacing w:val="-2"/>
                            <w:sz w:val="15"/>
                          </w:rPr>
                          <w:t>attacks</w:t>
                        </w:r>
                        <w:r>
                          <w:rPr>
                            <w:color w:val="231F20"/>
                            <w:spacing w:val="-7"/>
                            <w:sz w:val="15"/>
                          </w:rPr>
                          <w:t> </w:t>
                        </w:r>
                        <w:r>
                          <w:rPr>
                            <w:color w:val="231F20"/>
                            <w:spacing w:val="-2"/>
                            <w:sz w:val="15"/>
                          </w:rPr>
                          <w:t>fulfilling</w:t>
                        </w:r>
                        <w:r>
                          <w:rPr>
                            <w:color w:val="231F20"/>
                            <w:spacing w:val="-6"/>
                            <w:sz w:val="15"/>
                          </w:rPr>
                          <w:t> </w:t>
                        </w:r>
                        <w:r>
                          <w:rPr>
                            <w:color w:val="231F20"/>
                            <w:spacing w:val="-2"/>
                            <w:sz w:val="15"/>
                          </w:rPr>
                          <w:t>criteria</w:t>
                        </w:r>
                        <w:r>
                          <w:rPr>
                            <w:color w:val="231F20"/>
                            <w:spacing w:val="-7"/>
                            <w:sz w:val="15"/>
                          </w:rPr>
                          <w:t> </w:t>
                        </w:r>
                        <w:r>
                          <w:rPr>
                            <w:color w:val="231F20"/>
                            <w:spacing w:val="-2"/>
                            <w:sz w:val="15"/>
                          </w:rPr>
                          <w:t>B</w:t>
                        </w:r>
                        <w:r>
                          <w:rPr>
                            <w:color w:val="231F20"/>
                            <w:spacing w:val="-7"/>
                            <w:sz w:val="15"/>
                          </w:rPr>
                          <w:t> </w:t>
                        </w:r>
                        <w:r>
                          <w:rPr>
                            <w:color w:val="231F20"/>
                            <w:spacing w:val="-2"/>
                            <w:sz w:val="15"/>
                          </w:rPr>
                          <w:t>to</w:t>
                        </w:r>
                        <w:r>
                          <w:rPr>
                            <w:color w:val="231F20"/>
                            <w:spacing w:val="-7"/>
                            <w:sz w:val="15"/>
                          </w:rPr>
                          <w:t> </w:t>
                        </w:r>
                        <w:r>
                          <w:rPr>
                            <w:color w:val="231F20"/>
                            <w:spacing w:val="-12"/>
                            <w:sz w:val="15"/>
                          </w:rPr>
                          <w:t>D</w:t>
                        </w:r>
                      </w:p>
                      <w:p>
                        <w:pPr>
                          <w:numPr>
                            <w:ilvl w:val="0"/>
                            <w:numId w:val="65"/>
                          </w:numPr>
                          <w:tabs>
                            <w:tab w:pos="279" w:val="left" w:leader="none"/>
                          </w:tabs>
                          <w:spacing w:line="230" w:lineRule="auto" w:before="2"/>
                          <w:ind w:left="279" w:right="526" w:hanging="206"/>
                          <w:jc w:val="left"/>
                          <w:rPr>
                            <w:color w:val="000000"/>
                            <w:sz w:val="15"/>
                          </w:rPr>
                        </w:pPr>
                        <w:r>
                          <w:rPr>
                            <w:color w:val="231F20"/>
                            <w:sz w:val="15"/>
                          </w:rPr>
                          <w:t>Aura</w:t>
                        </w:r>
                        <w:r>
                          <w:rPr>
                            <w:color w:val="231F20"/>
                            <w:spacing w:val="-10"/>
                            <w:sz w:val="15"/>
                          </w:rPr>
                          <w:t> </w:t>
                        </w:r>
                        <w:r>
                          <w:rPr>
                            <w:color w:val="231F20"/>
                            <w:sz w:val="15"/>
                          </w:rPr>
                          <w:t>consisting</w:t>
                        </w:r>
                        <w:r>
                          <w:rPr>
                            <w:color w:val="231F20"/>
                            <w:spacing w:val="-10"/>
                            <w:sz w:val="15"/>
                          </w:rPr>
                          <w:t> </w:t>
                        </w:r>
                        <w:r>
                          <w:rPr>
                            <w:color w:val="231F20"/>
                            <w:sz w:val="15"/>
                          </w:rPr>
                          <w:t>of</w:t>
                        </w:r>
                        <w:r>
                          <w:rPr>
                            <w:color w:val="231F20"/>
                            <w:spacing w:val="-10"/>
                            <w:sz w:val="15"/>
                          </w:rPr>
                          <w:t> </w:t>
                        </w:r>
                        <w:r>
                          <w:rPr>
                            <w:color w:val="231F20"/>
                            <w:sz w:val="15"/>
                          </w:rPr>
                          <w:t>visual,</w:t>
                        </w:r>
                        <w:r>
                          <w:rPr>
                            <w:color w:val="231F20"/>
                            <w:spacing w:val="-10"/>
                            <w:sz w:val="15"/>
                          </w:rPr>
                          <w:t> </w:t>
                        </w:r>
                        <w:r>
                          <w:rPr>
                            <w:color w:val="231F20"/>
                            <w:sz w:val="15"/>
                          </w:rPr>
                          <w:t>sensory</w:t>
                        </w:r>
                        <w:r>
                          <w:rPr>
                            <w:color w:val="231F20"/>
                            <w:spacing w:val="-10"/>
                            <w:sz w:val="15"/>
                          </w:rPr>
                          <w:t> </w:t>
                        </w:r>
                        <w:r>
                          <w:rPr>
                            <w:color w:val="231F20"/>
                            <w:sz w:val="15"/>
                          </w:rPr>
                          <w:t>and/or</w:t>
                        </w:r>
                        <w:r>
                          <w:rPr>
                            <w:color w:val="231F20"/>
                            <w:spacing w:val="-10"/>
                            <w:sz w:val="15"/>
                          </w:rPr>
                          <w:t> </w:t>
                        </w:r>
                        <w:r>
                          <w:rPr>
                            <w:color w:val="231F20"/>
                            <w:sz w:val="15"/>
                          </w:rPr>
                          <w:t>speech/language symptoms, each fully reversible, but no motor or retinal </w:t>
                        </w:r>
                        <w:r>
                          <w:rPr>
                            <w:color w:val="231F20"/>
                            <w:spacing w:val="-2"/>
                            <w:sz w:val="15"/>
                          </w:rPr>
                          <w:t>symptoms</w:t>
                        </w:r>
                      </w:p>
                      <w:p>
                        <w:pPr>
                          <w:numPr>
                            <w:ilvl w:val="0"/>
                            <w:numId w:val="65"/>
                          </w:numPr>
                          <w:tabs>
                            <w:tab w:pos="279" w:val="left" w:leader="none"/>
                          </w:tabs>
                          <w:spacing w:line="168" w:lineRule="exact" w:before="0"/>
                          <w:ind w:left="279" w:right="0" w:hanging="205"/>
                          <w:jc w:val="left"/>
                          <w:rPr>
                            <w:color w:val="000000"/>
                            <w:sz w:val="15"/>
                          </w:rPr>
                        </w:pPr>
                        <w:r>
                          <w:rPr>
                            <w:color w:val="231F20"/>
                            <w:sz w:val="15"/>
                          </w:rPr>
                          <w:t>At</w:t>
                        </w:r>
                        <w:r>
                          <w:rPr>
                            <w:color w:val="231F20"/>
                            <w:spacing w:val="-7"/>
                            <w:sz w:val="15"/>
                          </w:rPr>
                          <w:t> </w:t>
                        </w:r>
                        <w:r>
                          <w:rPr>
                            <w:color w:val="231F20"/>
                            <w:sz w:val="15"/>
                          </w:rPr>
                          <w:t>least</w:t>
                        </w:r>
                        <w:r>
                          <w:rPr>
                            <w:color w:val="231F20"/>
                            <w:spacing w:val="-7"/>
                            <w:sz w:val="15"/>
                          </w:rPr>
                          <w:t> </w:t>
                        </w:r>
                        <w:r>
                          <w:rPr>
                            <w:color w:val="231F20"/>
                            <w:sz w:val="15"/>
                          </w:rPr>
                          <w:t>2</w:t>
                        </w:r>
                        <w:r>
                          <w:rPr>
                            <w:color w:val="231F20"/>
                            <w:spacing w:val="-6"/>
                            <w:sz w:val="15"/>
                          </w:rPr>
                          <w:t> </w:t>
                        </w:r>
                        <w:r>
                          <w:rPr>
                            <w:color w:val="231F20"/>
                            <w:sz w:val="15"/>
                          </w:rPr>
                          <w:t>of</w:t>
                        </w:r>
                        <w:r>
                          <w:rPr>
                            <w:color w:val="231F20"/>
                            <w:spacing w:val="-7"/>
                            <w:sz w:val="15"/>
                          </w:rPr>
                          <w:t> </w:t>
                        </w:r>
                        <w:r>
                          <w:rPr>
                            <w:color w:val="231F20"/>
                            <w:sz w:val="15"/>
                          </w:rPr>
                          <w:t>the</w:t>
                        </w:r>
                        <w:r>
                          <w:rPr>
                            <w:color w:val="231F20"/>
                            <w:spacing w:val="-7"/>
                            <w:sz w:val="15"/>
                          </w:rPr>
                          <w:t> </w:t>
                        </w:r>
                        <w:r>
                          <w:rPr>
                            <w:color w:val="231F20"/>
                            <w:sz w:val="15"/>
                          </w:rPr>
                          <w:t>following</w:t>
                        </w:r>
                        <w:r>
                          <w:rPr>
                            <w:color w:val="231F20"/>
                            <w:spacing w:val="-6"/>
                            <w:sz w:val="15"/>
                          </w:rPr>
                          <w:t> </w:t>
                        </w:r>
                        <w:r>
                          <w:rPr>
                            <w:color w:val="231F20"/>
                            <w:sz w:val="15"/>
                          </w:rPr>
                          <w:t>brainstem</w:t>
                        </w:r>
                        <w:r>
                          <w:rPr>
                            <w:color w:val="231F20"/>
                            <w:spacing w:val="-7"/>
                            <w:sz w:val="15"/>
                          </w:rPr>
                          <w:t> </w:t>
                        </w:r>
                        <w:r>
                          <w:rPr>
                            <w:color w:val="231F20"/>
                            <w:spacing w:val="-2"/>
                            <w:sz w:val="15"/>
                          </w:rPr>
                          <w:t>symptoms:</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Dysarthria</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Vertigo</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Tinnitus</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Hypacusis</w:t>
                        </w:r>
                      </w:p>
                      <w:p>
                        <w:pPr>
                          <w:numPr>
                            <w:ilvl w:val="1"/>
                            <w:numId w:val="65"/>
                          </w:numPr>
                          <w:tabs>
                            <w:tab w:pos="457" w:val="left" w:leader="none"/>
                          </w:tabs>
                          <w:spacing w:line="168" w:lineRule="exact" w:before="0"/>
                          <w:ind w:left="457" w:right="0" w:hanging="191"/>
                          <w:jc w:val="left"/>
                          <w:rPr>
                            <w:color w:val="000000"/>
                            <w:sz w:val="15"/>
                          </w:rPr>
                        </w:pPr>
                        <w:r>
                          <w:rPr>
                            <w:color w:val="231F20"/>
                            <w:spacing w:val="-2"/>
                            <w:w w:val="105"/>
                            <w:sz w:val="15"/>
                          </w:rPr>
                          <w:t>Diplopia</w:t>
                        </w:r>
                      </w:p>
                      <w:p>
                        <w:pPr>
                          <w:numPr>
                            <w:ilvl w:val="1"/>
                            <w:numId w:val="65"/>
                          </w:numPr>
                          <w:tabs>
                            <w:tab w:pos="457" w:val="left" w:leader="none"/>
                          </w:tabs>
                          <w:spacing w:line="168" w:lineRule="exact" w:before="0"/>
                          <w:ind w:left="457" w:right="0" w:hanging="191"/>
                          <w:jc w:val="left"/>
                          <w:rPr>
                            <w:color w:val="000000"/>
                            <w:sz w:val="15"/>
                          </w:rPr>
                        </w:pPr>
                        <w:r>
                          <w:rPr>
                            <w:color w:val="231F20"/>
                            <w:spacing w:val="-2"/>
                            <w:sz w:val="15"/>
                          </w:rPr>
                          <w:t>Ataxia</w:t>
                        </w:r>
                      </w:p>
                      <w:p>
                        <w:pPr>
                          <w:numPr>
                            <w:ilvl w:val="1"/>
                            <w:numId w:val="65"/>
                          </w:numPr>
                          <w:tabs>
                            <w:tab w:pos="457" w:val="left" w:leader="none"/>
                          </w:tabs>
                          <w:spacing w:line="168" w:lineRule="exact" w:before="0"/>
                          <w:ind w:left="457" w:right="0" w:hanging="191"/>
                          <w:jc w:val="left"/>
                          <w:rPr>
                            <w:color w:val="000000"/>
                            <w:sz w:val="15"/>
                          </w:rPr>
                        </w:pPr>
                        <w:r>
                          <w:rPr>
                            <w:color w:val="231F20"/>
                            <w:sz w:val="15"/>
                          </w:rPr>
                          <w:t>Decreased</w:t>
                        </w:r>
                        <w:r>
                          <w:rPr>
                            <w:color w:val="231F20"/>
                            <w:spacing w:val="-3"/>
                            <w:sz w:val="15"/>
                          </w:rPr>
                          <w:t> </w:t>
                        </w:r>
                        <w:r>
                          <w:rPr>
                            <w:color w:val="231F20"/>
                            <w:sz w:val="15"/>
                          </w:rPr>
                          <w:t>level</w:t>
                        </w:r>
                        <w:r>
                          <w:rPr>
                            <w:color w:val="231F20"/>
                            <w:spacing w:val="-2"/>
                            <w:sz w:val="15"/>
                          </w:rPr>
                          <w:t> </w:t>
                        </w:r>
                        <w:r>
                          <w:rPr>
                            <w:color w:val="231F20"/>
                            <w:sz w:val="15"/>
                          </w:rPr>
                          <w:t>of</w:t>
                        </w:r>
                        <w:r>
                          <w:rPr>
                            <w:color w:val="231F20"/>
                            <w:spacing w:val="-2"/>
                            <w:sz w:val="15"/>
                          </w:rPr>
                          <w:t> consciousness</w:t>
                        </w:r>
                      </w:p>
                      <w:p>
                        <w:pPr>
                          <w:numPr>
                            <w:ilvl w:val="0"/>
                            <w:numId w:val="65"/>
                          </w:numPr>
                          <w:tabs>
                            <w:tab w:pos="278" w:val="left" w:leader="none"/>
                          </w:tabs>
                          <w:spacing w:line="168" w:lineRule="exact" w:before="0"/>
                          <w:ind w:left="278" w:right="0" w:hanging="204"/>
                          <w:jc w:val="left"/>
                          <w:rPr>
                            <w:color w:val="000000"/>
                            <w:sz w:val="15"/>
                          </w:rPr>
                        </w:pPr>
                        <w:r>
                          <w:rPr>
                            <w:color w:val="231F20"/>
                            <w:sz w:val="15"/>
                          </w:rPr>
                          <w:t>At</w:t>
                        </w:r>
                        <w:r>
                          <w:rPr>
                            <w:color w:val="231F20"/>
                            <w:spacing w:val="-5"/>
                            <w:sz w:val="15"/>
                          </w:rPr>
                          <w:t> </w:t>
                        </w:r>
                        <w:r>
                          <w:rPr>
                            <w:color w:val="231F20"/>
                            <w:sz w:val="15"/>
                          </w:rPr>
                          <w:t>least</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4</w:t>
                        </w:r>
                        <w:r>
                          <w:rPr>
                            <w:color w:val="231F20"/>
                            <w:spacing w:val="-5"/>
                            <w:sz w:val="15"/>
                          </w:rPr>
                          <w:t> </w:t>
                        </w:r>
                        <w:r>
                          <w:rPr>
                            <w:color w:val="231F20"/>
                            <w:spacing w:val="-2"/>
                            <w:sz w:val="15"/>
                          </w:rPr>
                          <w:t>characteristics:</w:t>
                        </w:r>
                      </w:p>
                      <w:p>
                        <w:pPr>
                          <w:numPr>
                            <w:ilvl w:val="1"/>
                            <w:numId w:val="65"/>
                          </w:numPr>
                          <w:tabs>
                            <w:tab w:pos="457" w:val="left" w:leader="none"/>
                            <w:tab w:pos="459" w:val="left" w:leader="none"/>
                          </w:tabs>
                          <w:spacing w:line="230" w:lineRule="auto" w:before="3"/>
                          <w:ind w:left="459" w:right="345" w:hanging="193"/>
                          <w:jc w:val="left"/>
                          <w:rPr>
                            <w:color w:val="000000"/>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1</w:t>
                        </w:r>
                        <w:r>
                          <w:rPr>
                            <w:color w:val="231F20"/>
                            <w:spacing w:val="-4"/>
                            <w:sz w:val="15"/>
                          </w:rPr>
                          <w:t> </w:t>
                        </w:r>
                        <w:r>
                          <w:rPr>
                            <w:color w:val="231F20"/>
                            <w:sz w:val="15"/>
                          </w:rPr>
                          <w:t>aura</w:t>
                        </w:r>
                        <w:r>
                          <w:rPr>
                            <w:color w:val="231F20"/>
                            <w:spacing w:val="-4"/>
                            <w:sz w:val="15"/>
                          </w:rPr>
                          <w:t> </w:t>
                        </w:r>
                        <w:r>
                          <w:rPr>
                            <w:color w:val="231F20"/>
                            <w:sz w:val="15"/>
                          </w:rPr>
                          <w:t>symptom</w:t>
                        </w:r>
                        <w:r>
                          <w:rPr>
                            <w:color w:val="231F20"/>
                            <w:spacing w:val="-4"/>
                            <w:sz w:val="15"/>
                          </w:rPr>
                          <w:t> </w:t>
                        </w:r>
                        <w:r>
                          <w:rPr>
                            <w:color w:val="231F20"/>
                            <w:sz w:val="15"/>
                          </w:rPr>
                          <w:t>spreads</w:t>
                        </w:r>
                        <w:r>
                          <w:rPr>
                            <w:color w:val="231F20"/>
                            <w:spacing w:val="-4"/>
                            <w:sz w:val="15"/>
                          </w:rPr>
                          <w:t> </w:t>
                        </w:r>
                        <w:r>
                          <w:rPr>
                            <w:color w:val="231F20"/>
                            <w:sz w:val="15"/>
                          </w:rPr>
                          <w:t>gradually</w:t>
                        </w:r>
                        <w:r>
                          <w:rPr>
                            <w:color w:val="231F20"/>
                            <w:spacing w:val="-4"/>
                            <w:sz w:val="15"/>
                          </w:rPr>
                          <w:t> </w:t>
                        </w:r>
                        <w:r>
                          <w:rPr>
                            <w:color w:val="231F20"/>
                            <w:sz w:val="15"/>
                          </w:rPr>
                          <w:t>over</w:t>
                        </w:r>
                        <w:r>
                          <w:rPr>
                            <w:color w:val="231F20"/>
                            <w:spacing w:val="-4"/>
                            <w:sz w:val="15"/>
                          </w:rPr>
                          <w:t> </w:t>
                        </w:r>
                        <w:r>
                          <w:rPr>
                            <w:color w:val="231F20"/>
                            <w:sz w:val="15"/>
                          </w:rPr>
                          <w:t>5</w:t>
                        </w:r>
                        <w:r>
                          <w:rPr>
                            <w:color w:val="231F20"/>
                            <w:spacing w:val="-4"/>
                            <w:sz w:val="15"/>
                          </w:rPr>
                          <w:t> </w:t>
                        </w:r>
                        <w:r>
                          <w:rPr>
                            <w:color w:val="231F20"/>
                            <w:sz w:val="15"/>
                          </w:rPr>
                          <w:t>or</w:t>
                        </w:r>
                        <w:r>
                          <w:rPr>
                            <w:color w:val="231F20"/>
                            <w:spacing w:val="-4"/>
                            <w:sz w:val="15"/>
                          </w:rPr>
                          <w:t> </w:t>
                        </w:r>
                        <w:r>
                          <w:rPr>
                            <w:color w:val="231F20"/>
                            <w:sz w:val="15"/>
                          </w:rPr>
                          <w:t>more minutes, and/or 2 or more symptoms occur in succession</w:t>
                        </w:r>
                      </w:p>
                      <w:p>
                        <w:pPr>
                          <w:numPr>
                            <w:ilvl w:val="1"/>
                            <w:numId w:val="65"/>
                          </w:numPr>
                          <w:tabs>
                            <w:tab w:pos="458" w:val="left" w:leader="none"/>
                          </w:tabs>
                          <w:spacing w:line="167" w:lineRule="exact" w:before="0"/>
                          <w:ind w:left="458" w:right="0" w:hanging="191"/>
                          <w:jc w:val="left"/>
                          <w:rPr>
                            <w:color w:val="000000"/>
                            <w:sz w:val="15"/>
                          </w:rPr>
                        </w:pPr>
                        <w:r>
                          <w:rPr>
                            <w:color w:val="231F20"/>
                            <w:sz w:val="15"/>
                          </w:rPr>
                          <w:t>Each</w:t>
                        </w:r>
                        <w:r>
                          <w:rPr>
                            <w:color w:val="231F20"/>
                            <w:spacing w:val="-7"/>
                            <w:sz w:val="15"/>
                          </w:rPr>
                          <w:t> </w:t>
                        </w:r>
                        <w:r>
                          <w:rPr>
                            <w:color w:val="231F20"/>
                            <w:sz w:val="15"/>
                          </w:rPr>
                          <w:t>individual</w:t>
                        </w:r>
                        <w:r>
                          <w:rPr>
                            <w:color w:val="231F20"/>
                            <w:spacing w:val="-7"/>
                            <w:sz w:val="15"/>
                          </w:rPr>
                          <w:t> </w:t>
                        </w:r>
                        <w:r>
                          <w:rPr>
                            <w:color w:val="231F20"/>
                            <w:sz w:val="15"/>
                          </w:rPr>
                          <w:t>aura</w:t>
                        </w:r>
                        <w:r>
                          <w:rPr>
                            <w:color w:val="231F20"/>
                            <w:spacing w:val="-7"/>
                            <w:sz w:val="15"/>
                          </w:rPr>
                          <w:t> </w:t>
                        </w:r>
                        <w:r>
                          <w:rPr>
                            <w:color w:val="231F20"/>
                            <w:sz w:val="15"/>
                          </w:rPr>
                          <w:t>symptom</w:t>
                        </w:r>
                        <w:r>
                          <w:rPr>
                            <w:color w:val="231F20"/>
                            <w:spacing w:val="-6"/>
                            <w:sz w:val="15"/>
                          </w:rPr>
                          <w:t> </w:t>
                        </w:r>
                        <w:r>
                          <w:rPr>
                            <w:color w:val="231F20"/>
                            <w:sz w:val="15"/>
                          </w:rPr>
                          <w:t>lasts</w:t>
                        </w:r>
                        <w:r>
                          <w:rPr>
                            <w:color w:val="231F20"/>
                            <w:spacing w:val="-7"/>
                            <w:sz w:val="15"/>
                          </w:rPr>
                          <w:t> </w:t>
                        </w:r>
                        <w:r>
                          <w:rPr>
                            <w:color w:val="231F20"/>
                            <w:sz w:val="15"/>
                          </w:rPr>
                          <w:t>5-60</w:t>
                        </w:r>
                        <w:r>
                          <w:rPr>
                            <w:color w:val="231F20"/>
                            <w:spacing w:val="-7"/>
                            <w:sz w:val="15"/>
                          </w:rPr>
                          <w:t> </w:t>
                        </w:r>
                        <w:r>
                          <w:rPr>
                            <w:color w:val="231F20"/>
                            <w:spacing w:val="-2"/>
                            <w:sz w:val="15"/>
                          </w:rPr>
                          <w:t>minutes</w:t>
                        </w:r>
                      </w:p>
                      <w:p>
                        <w:pPr>
                          <w:numPr>
                            <w:ilvl w:val="1"/>
                            <w:numId w:val="65"/>
                          </w:numPr>
                          <w:tabs>
                            <w:tab w:pos="458" w:val="left" w:leader="none"/>
                          </w:tabs>
                          <w:spacing w:line="168" w:lineRule="exact" w:before="0"/>
                          <w:ind w:left="458" w:right="0" w:hanging="191"/>
                          <w:jc w:val="left"/>
                          <w:rPr>
                            <w:color w:val="000000"/>
                            <w:sz w:val="15"/>
                          </w:rPr>
                        </w:pPr>
                        <w:r>
                          <w:rPr>
                            <w:color w:val="231F20"/>
                            <w:sz w:val="15"/>
                          </w:rPr>
                          <w:t>At</w:t>
                        </w:r>
                        <w:r>
                          <w:rPr>
                            <w:color w:val="231F20"/>
                            <w:spacing w:val="-4"/>
                            <w:sz w:val="15"/>
                          </w:rPr>
                          <w:t> </w:t>
                        </w:r>
                        <w:r>
                          <w:rPr>
                            <w:color w:val="231F20"/>
                            <w:sz w:val="15"/>
                          </w:rPr>
                          <w:t>least</w:t>
                        </w:r>
                        <w:r>
                          <w:rPr>
                            <w:color w:val="231F20"/>
                            <w:spacing w:val="-3"/>
                            <w:sz w:val="15"/>
                          </w:rPr>
                          <w:t> </w:t>
                        </w:r>
                        <w:r>
                          <w:rPr>
                            <w:color w:val="231F20"/>
                            <w:sz w:val="15"/>
                          </w:rPr>
                          <w:t>1</w:t>
                        </w:r>
                        <w:r>
                          <w:rPr>
                            <w:color w:val="231F20"/>
                            <w:spacing w:val="-3"/>
                            <w:sz w:val="15"/>
                          </w:rPr>
                          <w:t> </w:t>
                        </w:r>
                        <w:r>
                          <w:rPr>
                            <w:color w:val="231F20"/>
                            <w:sz w:val="15"/>
                          </w:rPr>
                          <w:t>aura</w:t>
                        </w:r>
                        <w:r>
                          <w:rPr>
                            <w:color w:val="231F20"/>
                            <w:spacing w:val="-3"/>
                            <w:sz w:val="15"/>
                          </w:rPr>
                          <w:t> </w:t>
                        </w:r>
                        <w:r>
                          <w:rPr>
                            <w:color w:val="231F20"/>
                            <w:sz w:val="15"/>
                          </w:rPr>
                          <w:t>symptom</w:t>
                        </w:r>
                        <w:r>
                          <w:rPr>
                            <w:color w:val="231F20"/>
                            <w:spacing w:val="-3"/>
                            <w:sz w:val="15"/>
                          </w:rPr>
                          <w:t> </w:t>
                        </w:r>
                        <w:r>
                          <w:rPr>
                            <w:color w:val="231F20"/>
                            <w:sz w:val="15"/>
                          </w:rPr>
                          <w:t>is</w:t>
                        </w:r>
                        <w:r>
                          <w:rPr>
                            <w:color w:val="231F20"/>
                            <w:spacing w:val="-3"/>
                            <w:sz w:val="15"/>
                          </w:rPr>
                          <w:t> </w:t>
                        </w:r>
                        <w:r>
                          <w:rPr>
                            <w:color w:val="231F20"/>
                            <w:spacing w:val="-2"/>
                            <w:sz w:val="15"/>
                          </w:rPr>
                          <w:t>unilateral</w:t>
                        </w:r>
                      </w:p>
                      <w:p>
                        <w:pPr>
                          <w:numPr>
                            <w:ilvl w:val="1"/>
                            <w:numId w:val="65"/>
                          </w:numPr>
                          <w:tabs>
                            <w:tab w:pos="457" w:val="left" w:leader="none"/>
                            <w:tab w:pos="459" w:val="left" w:leader="none"/>
                          </w:tabs>
                          <w:spacing w:line="230" w:lineRule="auto" w:before="3"/>
                          <w:ind w:left="459" w:right="262" w:hanging="193"/>
                          <w:jc w:val="left"/>
                          <w:rPr>
                            <w:color w:val="000000"/>
                            <w:sz w:val="15"/>
                          </w:rPr>
                        </w:pPr>
                        <w:r>
                          <w:rPr>
                            <w:color w:val="231F20"/>
                            <w:sz w:val="15"/>
                          </w:rPr>
                          <w:t>The</w:t>
                        </w:r>
                        <w:r>
                          <w:rPr>
                            <w:color w:val="231F20"/>
                            <w:spacing w:val="-12"/>
                            <w:sz w:val="15"/>
                          </w:rPr>
                          <w:t> </w:t>
                        </w:r>
                        <w:r>
                          <w:rPr>
                            <w:color w:val="231F20"/>
                            <w:sz w:val="15"/>
                          </w:rPr>
                          <w:t>aura</w:t>
                        </w:r>
                        <w:r>
                          <w:rPr>
                            <w:color w:val="231F20"/>
                            <w:spacing w:val="-11"/>
                            <w:sz w:val="15"/>
                          </w:rPr>
                          <w:t> </w:t>
                        </w:r>
                        <w:r>
                          <w:rPr>
                            <w:color w:val="231F20"/>
                            <w:sz w:val="15"/>
                          </w:rPr>
                          <w:t>is</w:t>
                        </w:r>
                        <w:r>
                          <w:rPr>
                            <w:color w:val="231F20"/>
                            <w:spacing w:val="-11"/>
                            <w:sz w:val="15"/>
                          </w:rPr>
                          <w:t> </w:t>
                        </w:r>
                        <w:r>
                          <w:rPr>
                            <w:color w:val="231F20"/>
                            <w:sz w:val="15"/>
                          </w:rPr>
                          <w:t>accompanied,</w:t>
                        </w:r>
                        <w:r>
                          <w:rPr>
                            <w:color w:val="231F20"/>
                            <w:spacing w:val="-11"/>
                            <w:sz w:val="15"/>
                          </w:rPr>
                          <w:t> </w:t>
                        </w:r>
                        <w:r>
                          <w:rPr>
                            <w:color w:val="231F20"/>
                            <w:sz w:val="15"/>
                          </w:rPr>
                          <w:t>or</w:t>
                        </w:r>
                        <w:r>
                          <w:rPr>
                            <w:color w:val="231F20"/>
                            <w:spacing w:val="-12"/>
                            <w:sz w:val="15"/>
                          </w:rPr>
                          <w:t> </w:t>
                        </w:r>
                        <w:r>
                          <w:rPr>
                            <w:color w:val="231F20"/>
                            <w:sz w:val="15"/>
                          </w:rPr>
                          <w:t>followed</w:t>
                        </w:r>
                        <w:r>
                          <w:rPr>
                            <w:color w:val="231F20"/>
                            <w:spacing w:val="-11"/>
                            <w:sz w:val="15"/>
                          </w:rPr>
                          <w:t> </w:t>
                        </w:r>
                        <w:r>
                          <w:rPr>
                            <w:color w:val="231F20"/>
                            <w:sz w:val="15"/>
                          </w:rPr>
                          <w:t>within</w:t>
                        </w:r>
                        <w:r>
                          <w:rPr>
                            <w:color w:val="231F20"/>
                            <w:spacing w:val="-11"/>
                            <w:sz w:val="15"/>
                          </w:rPr>
                          <w:t> </w:t>
                        </w:r>
                        <w:r>
                          <w:rPr>
                            <w:color w:val="231F20"/>
                            <w:sz w:val="15"/>
                          </w:rPr>
                          <w:t>60</w:t>
                        </w:r>
                        <w:r>
                          <w:rPr>
                            <w:color w:val="231F20"/>
                            <w:spacing w:val="-11"/>
                            <w:sz w:val="15"/>
                          </w:rPr>
                          <w:t> </w:t>
                        </w:r>
                        <w:r>
                          <w:rPr>
                            <w:color w:val="231F20"/>
                            <w:sz w:val="15"/>
                          </w:rPr>
                          <w:t>minutes,</w:t>
                        </w:r>
                        <w:r>
                          <w:rPr>
                            <w:color w:val="231F20"/>
                            <w:spacing w:val="-12"/>
                            <w:sz w:val="15"/>
                          </w:rPr>
                          <w:t> </w:t>
                        </w:r>
                        <w:r>
                          <w:rPr>
                            <w:color w:val="231F20"/>
                            <w:sz w:val="15"/>
                          </w:rPr>
                          <w:t>by </w:t>
                        </w:r>
                        <w:r>
                          <w:rPr>
                            <w:color w:val="231F20"/>
                            <w:spacing w:val="-2"/>
                            <w:sz w:val="15"/>
                          </w:rPr>
                          <w:t>headache</w:t>
                        </w:r>
                      </w:p>
                      <w:p>
                        <w:pPr>
                          <w:numPr>
                            <w:ilvl w:val="0"/>
                            <w:numId w:val="65"/>
                          </w:numPr>
                          <w:tabs>
                            <w:tab w:pos="278" w:val="left" w:leader="none"/>
                            <w:tab w:pos="280" w:val="left" w:leader="none"/>
                          </w:tabs>
                          <w:spacing w:line="230" w:lineRule="auto" w:before="1"/>
                          <w:ind w:left="280" w:right="418" w:hanging="206"/>
                          <w:jc w:val="left"/>
                          <w:rPr>
                            <w:color w:val="000000"/>
                            <w:sz w:val="15"/>
                          </w:rPr>
                        </w:pPr>
                        <w:r>
                          <w:rPr>
                            <w:color w:val="231F20"/>
                            <w:sz w:val="15"/>
                          </w:rPr>
                          <w:t>Not better accounted for by another ICHD-3 diagnosis, </w:t>
                        </w:r>
                        <w:r>
                          <w:rPr>
                            <w:color w:val="231F20"/>
                            <w:sz w:val="15"/>
                          </w:rPr>
                          <w:t>and transient ischemic attack has been excluded.</w:t>
                        </w:r>
                      </w:p>
                    </w:txbxContent>
                  </v:textbox>
                  <v:fill type="solid"/>
                  <w10:wrap type="none"/>
                </v:shape>
                <v:rect style="position:absolute;left:0;top:3985;width:4703;height:19" id="docshape570" filled="true" fillcolor="#231f20" stroked="false">
                  <v:fill type="solid"/>
                </v:rect>
                <v:shape style="position:absolute;left:1156;top:0;width:3546;height:355" type="#_x0000_t202" id="docshape571" filled="true" fillcolor="#231f20" stroked="false">
                  <v:textbox inset="0,0,0,0">
                    <w:txbxContent>
                      <w:p>
                        <w:pPr>
                          <w:spacing w:before="89"/>
                          <w:ind w:left="74" w:right="0" w:firstLine="0"/>
                          <w:jc w:val="left"/>
                          <w:rPr>
                            <w:color w:val="000000"/>
                            <w:sz w:val="16"/>
                          </w:rPr>
                        </w:pPr>
                        <w:r>
                          <w:rPr>
                            <w:color w:val="FFFFFF"/>
                            <w:w w:val="105"/>
                            <w:sz w:val="16"/>
                          </w:rPr>
                          <w:t>Migraine</w:t>
                        </w:r>
                        <w:r>
                          <w:rPr>
                            <w:color w:val="FFFFFF"/>
                            <w:spacing w:val="7"/>
                            <w:w w:val="105"/>
                            <w:sz w:val="16"/>
                          </w:rPr>
                          <w:t> </w:t>
                        </w:r>
                        <w:r>
                          <w:rPr>
                            <w:color w:val="FFFFFF"/>
                            <w:w w:val="105"/>
                            <w:sz w:val="16"/>
                          </w:rPr>
                          <w:t>with</w:t>
                        </w:r>
                        <w:r>
                          <w:rPr>
                            <w:color w:val="FFFFFF"/>
                            <w:spacing w:val="7"/>
                            <w:w w:val="105"/>
                            <w:sz w:val="16"/>
                          </w:rPr>
                          <w:t> </w:t>
                        </w:r>
                        <w:r>
                          <w:rPr>
                            <w:color w:val="FFFFFF"/>
                            <w:w w:val="105"/>
                            <w:sz w:val="16"/>
                          </w:rPr>
                          <w:t>Brainstem</w:t>
                        </w:r>
                        <w:r>
                          <w:rPr>
                            <w:color w:val="FFFFFF"/>
                            <w:spacing w:val="7"/>
                            <w:w w:val="105"/>
                            <w:sz w:val="16"/>
                          </w:rPr>
                          <w:t> </w:t>
                        </w:r>
                        <w:r>
                          <w:rPr>
                            <w:color w:val="FFFFFF"/>
                            <w:spacing w:val="-4"/>
                            <w:w w:val="105"/>
                            <w:sz w:val="16"/>
                          </w:rPr>
                          <w:t>Aura</w:t>
                        </w:r>
                      </w:p>
                    </w:txbxContent>
                  </v:textbox>
                  <v:fill type="solid"/>
                  <w10:wrap type="none"/>
                </v:shape>
                <v:shape style="position:absolute;left:0;top:0;width:1139;height:355" type="#_x0000_t202" id="docshape572"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4</w:t>
                        </w:r>
                      </w:p>
                    </w:txbxContent>
                  </v:textbox>
                  <v:fill type="solid"/>
                  <w10:wrap type="none"/>
                </v:shape>
              </v:group>
            </w:pict>
          </mc:Fallback>
        </mc:AlternateContent>
      </w:r>
      <w:r>
        <w:rPr>
          <w:rFonts w:ascii="Times New Roman"/>
          <w:sz w:val="20"/>
        </w:rPr>
      </w:r>
    </w:p>
    <w:p>
      <w:pPr>
        <w:spacing w:before="38"/>
        <w:ind w:left="295" w:right="727" w:firstLine="0"/>
        <w:jc w:val="left"/>
        <w:rPr>
          <w:i/>
          <w:sz w:val="13"/>
        </w:rPr>
      </w:pPr>
      <w:r>
        <w:rPr>
          <w:i/>
          <w:color w:val="231F20"/>
          <w:sz w:val="13"/>
        </w:rPr>
        <w:t>From Headache Classification Committee on the International Headache</w:t>
      </w:r>
      <w:r>
        <w:rPr>
          <w:i/>
          <w:color w:val="231F20"/>
          <w:spacing w:val="40"/>
          <w:sz w:val="13"/>
        </w:rPr>
        <w:t> </w:t>
      </w:r>
      <w:r>
        <w:rPr>
          <w:i/>
          <w:color w:val="231F20"/>
          <w:sz w:val="13"/>
        </w:rPr>
        <w:t>Society</w:t>
      </w:r>
      <w:r>
        <w:rPr>
          <w:i/>
          <w:color w:val="231F20"/>
          <w:spacing w:val="-10"/>
          <w:sz w:val="13"/>
        </w:rPr>
        <w:t> </w:t>
      </w:r>
      <w:r>
        <w:rPr>
          <w:i/>
          <w:color w:val="231F20"/>
          <w:sz w:val="13"/>
        </w:rPr>
        <w:t>(IHS):</w:t>
      </w:r>
      <w:r>
        <w:rPr>
          <w:i/>
          <w:color w:val="231F20"/>
          <w:spacing w:val="-10"/>
          <w:sz w:val="13"/>
        </w:rPr>
        <w:t> </w:t>
      </w:r>
      <w:r>
        <w:rPr>
          <w:i/>
          <w:color w:val="231F20"/>
          <w:sz w:val="13"/>
        </w:rPr>
        <w:t>The</w:t>
      </w:r>
      <w:r>
        <w:rPr>
          <w:i/>
          <w:color w:val="231F20"/>
          <w:spacing w:val="-10"/>
          <w:sz w:val="13"/>
        </w:rPr>
        <w:t> </w:t>
      </w:r>
      <w:r>
        <w:rPr>
          <w:i/>
          <w:color w:val="231F20"/>
          <w:sz w:val="13"/>
        </w:rPr>
        <w:t>International</w:t>
      </w:r>
      <w:r>
        <w:rPr>
          <w:i/>
          <w:color w:val="231F20"/>
          <w:spacing w:val="-10"/>
          <w:sz w:val="13"/>
        </w:rPr>
        <w:t> </w:t>
      </w:r>
      <w:r>
        <w:rPr>
          <w:i/>
          <w:color w:val="231F20"/>
          <w:sz w:val="13"/>
        </w:rPr>
        <w:t>Classification</w:t>
      </w:r>
      <w:r>
        <w:rPr>
          <w:i/>
          <w:color w:val="231F20"/>
          <w:spacing w:val="-9"/>
          <w:sz w:val="13"/>
        </w:rPr>
        <w:t> </w:t>
      </w:r>
      <w:r>
        <w:rPr>
          <w:i/>
          <w:color w:val="231F20"/>
          <w:sz w:val="13"/>
        </w:rPr>
        <w:t>of</w:t>
      </w:r>
      <w:r>
        <w:rPr>
          <w:i/>
          <w:color w:val="231F20"/>
          <w:spacing w:val="-10"/>
          <w:sz w:val="13"/>
        </w:rPr>
        <w:t> </w:t>
      </w:r>
      <w:r>
        <w:rPr>
          <w:i/>
          <w:color w:val="231F20"/>
          <w:sz w:val="13"/>
        </w:rPr>
        <w:t>Headache</w:t>
      </w:r>
      <w:r>
        <w:rPr>
          <w:i/>
          <w:color w:val="231F20"/>
          <w:spacing w:val="-10"/>
          <w:sz w:val="13"/>
        </w:rPr>
        <w:t> </w:t>
      </w:r>
      <w:r>
        <w:rPr>
          <w:i/>
          <w:color w:val="231F20"/>
          <w:sz w:val="13"/>
        </w:rPr>
        <w:t>Disorders,</w:t>
      </w:r>
      <w:r>
        <w:rPr>
          <w:i/>
          <w:color w:val="231F20"/>
          <w:spacing w:val="-10"/>
          <w:sz w:val="13"/>
        </w:rPr>
        <w:t> </w:t>
      </w:r>
      <w:r>
        <w:rPr>
          <w:i/>
          <w:color w:val="231F20"/>
          <w:sz w:val="13"/>
        </w:rPr>
        <w:t>ed</w:t>
      </w:r>
      <w:r>
        <w:rPr>
          <w:i/>
          <w:color w:val="231F20"/>
          <w:spacing w:val="-10"/>
          <w:sz w:val="13"/>
        </w:rPr>
        <w:t> </w:t>
      </w:r>
      <w:r>
        <w:rPr>
          <w:i/>
          <w:color w:val="231F20"/>
          <w:sz w:val="13"/>
        </w:rPr>
        <w:t>3</w:t>
      </w:r>
      <w:r>
        <w:rPr>
          <w:i/>
          <w:color w:val="231F20"/>
          <w:spacing w:val="-9"/>
          <w:sz w:val="13"/>
        </w:rPr>
        <w:t> </w:t>
      </w:r>
      <w:r>
        <w:rPr>
          <w:i/>
          <w:color w:val="231F20"/>
          <w:sz w:val="13"/>
        </w:rPr>
        <w:t>(beta</w:t>
      </w:r>
      <w:r>
        <w:rPr>
          <w:i/>
          <w:color w:val="231F20"/>
          <w:spacing w:val="40"/>
          <w:sz w:val="13"/>
        </w:rPr>
        <w:t> </w:t>
      </w:r>
      <w:r>
        <w:rPr>
          <w:i/>
          <w:color w:val="231F20"/>
          <w:sz w:val="13"/>
        </w:rPr>
        <w:t>version). </w:t>
      </w:r>
      <w:r>
        <w:rPr>
          <w:color w:val="231F20"/>
          <w:sz w:val="13"/>
        </w:rPr>
        <w:t>Cephalalgia </w:t>
      </w:r>
      <w:r>
        <w:rPr>
          <w:i/>
          <w:color w:val="231F20"/>
          <w:sz w:val="13"/>
        </w:rPr>
        <w:t>33(9):629–808, 2013, Table 7.</w:t>
      </w:r>
    </w:p>
    <w:p>
      <w:pPr>
        <w:spacing w:after="0"/>
        <w:jc w:val="left"/>
        <w:rPr>
          <w:i/>
          <w:sz w:val="13"/>
        </w:rPr>
        <w:sectPr>
          <w:type w:val="continuous"/>
          <w:pgSz w:w="11900" w:h="16840"/>
          <w:pgMar w:header="0" w:footer="0" w:top="620" w:bottom="280" w:left="425" w:right="566"/>
          <w:cols w:num="2" w:equalWidth="0">
            <w:col w:w="5190" w:space="40"/>
            <w:col w:w="5679"/>
          </w:cols>
        </w:sectPr>
      </w:pPr>
    </w:p>
    <w:p>
      <w:pPr>
        <w:pStyle w:val="BodyText"/>
        <w:spacing w:before="141"/>
        <w:rPr>
          <w:i/>
          <w:sz w:val="20"/>
        </w:rPr>
      </w:pPr>
    </w:p>
    <w:p>
      <w:pPr>
        <w:pStyle w:val="BodyText"/>
        <w:ind w:left="486"/>
        <w:rPr>
          <w:sz w:val="20"/>
        </w:rPr>
      </w:pPr>
      <w:r>
        <w:rPr>
          <w:sz w:val="20"/>
        </w:rPr>
        <mc:AlternateContent>
          <mc:Choice Requires="wps">
            <w:drawing>
              <wp:inline distT="0" distB="0" distL="0" distR="0">
                <wp:extent cx="2986405" cy="1689735"/>
                <wp:effectExtent l="0" t="0" r="0" b="5714"/>
                <wp:docPr id="678" name="Group 678"/>
                <wp:cNvGraphicFramePr>
                  <a:graphicFrameLocks/>
                </wp:cNvGraphicFramePr>
                <a:graphic>
                  <a:graphicData uri="http://schemas.microsoft.com/office/word/2010/wordprocessingGroup">
                    <wpg:wgp>
                      <wpg:cNvPr id="678" name="Group 678"/>
                      <wpg:cNvGrpSpPr/>
                      <wpg:grpSpPr>
                        <a:xfrm>
                          <a:off x="0" y="0"/>
                          <a:ext cx="2986405" cy="1689735"/>
                          <a:chExt cx="2986405" cy="1689735"/>
                        </a:xfrm>
                      </wpg:grpSpPr>
                      <wps:wsp>
                        <wps:cNvPr id="679" name="Textbox 679"/>
                        <wps:cNvSpPr txBox="1"/>
                        <wps:spPr>
                          <a:xfrm>
                            <a:off x="0" y="236980"/>
                            <a:ext cx="2986405" cy="1447165"/>
                          </a:xfrm>
                          <a:prstGeom prst="rect">
                            <a:avLst/>
                          </a:prstGeom>
                          <a:solidFill>
                            <a:srgbClr val="E8F5F1"/>
                          </a:solidFill>
                        </wps:spPr>
                        <wps:txbx>
                          <w:txbxContent>
                            <w:p>
                              <w:pPr>
                                <w:numPr>
                                  <w:ilvl w:val="0"/>
                                  <w:numId w:val="66"/>
                                </w:numPr>
                                <w:tabs>
                                  <w:tab w:pos="279" w:val="left" w:leader="none"/>
                                </w:tabs>
                                <w:spacing w:line="171" w:lineRule="exact" w:before="47"/>
                                <w:ind w:left="279" w:right="0" w:hanging="205"/>
                                <w:jc w:val="left"/>
                                <w:rPr>
                                  <w:color w:val="000000"/>
                                  <w:sz w:val="15"/>
                                </w:rPr>
                              </w:pPr>
                              <w:r>
                                <w:rPr>
                                  <w:color w:val="231F20"/>
                                  <w:spacing w:val="-2"/>
                                  <w:sz w:val="15"/>
                                </w:rPr>
                                <w:t>At</w:t>
                              </w:r>
                              <w:r>
                                <w:rPr>
                                  <w:color w:val="231F20"/>
                                  <w:spacing w:val="-7"/>
                                  <w:sz w:val="15"/>
                                </w:rPr>
                                <w:t> </w:t>
                              </w:r>
                              <w:r>
                                <w:rPr>
                                  <w:color w:val="231F20"/>
                                  <w:spacing w:val="-2"/>
                                  <w:sz w:val="15"/>
                                </w:rPr>
                                <w:t>least</w:t>
                              </w:r>
                              <w:r>
                                <w:rPr>
                                  <w:color w:val="231F20"/>
                                  <w:spacing w:val="-7"/>
                                  <w:sz w:val="15"/>
                                </w:rPr>
                                <w:t> </w:t>
                              </w:r>
                              <w:r>
                                <w:rPr>
                                  <w:color w:val="231F20"/>
                                  <w:spacing w:val="-2"/>
                                  <w:sz w:val="15"/>
                                </w:rPr>
                                <w:t>5</w:t>
                              </w:r>
                              <w:r>
                                <w:rPr>
                                  <w:color w:val="231F20"/>
                                  <w:spacing w:val="-7"/>
                                  <w:sz w:val="15"/>
                                </w:rPr>
                                <w:t> </w:t>
                              </w:r>
                              <w:r>
                                <w:rPr>
                                  <w:color w:val="231F20"/>
                                  <w:spacing w:val="-2"/>
                                  <w:sz w:val="15"/>
                                </w:rPr>
                                <w:t>attacks</w:t>
                              </w:r>
                              <w:r>
                                <w:rPr>
                                  <w:color w:val="231F20"/>
                                  <w:spacing w:val="-7"/>
                                  <w:sz w:val="15"/>
                                </w:rPr>
                                <w:t> </w:t>
                              </w:r>
                              <w:r>
                                <w:rPr>
                                  <w:color w:val="231F20"/>
                                  <w:spacing w:val="-2"/>
                                  <w:sz w:val="15"/>
                                </w:rPr>
                                <w:t>fulfilling</w:t>
                              </w:r>
                              <w:r>
                                <w:rPr>
                                  <w:color w:val="231F20"/>
                                  <w:spacing w:val="-6"/>
                                  <w:sz w:val="15"/>
                                </w:rPr>
                                <w:t> </w:t>
                              </w:r>
                              <w:r>
                                <w:rPr>
                                  <w:color w:val="231F20"/>
                                  <w:spacing w:val="-2"/>
                                  <w:sz w:val="15"/>
                                </w:rPr>
                                <w:t>criteria</w:t>
                              </w:r>
                              <w:r>
                                <w:rPr>
                                  <w:color w:val="231F20"/>
                                  <w:spacing w:val="-7"/>
                                  <w:sz w:val="15"/>
                                </w:rPr>
                                <w:t> </w:t>
                              </w:r>
                              <w:r>
                                <w:rPr>
                                  <w:color w:val="231F20"/>
                                  <w:spacing w:val="-2"/>
                                  <w:sz w:val="15"/>
                                </w:rPr>
                                <w:t>B</w:t>
                              </w:r>
                              <w:r>
                                <w:rPr>
                                  <w:color w:val="231F20"/>
                                  <w:spacing w:val="-7"/>
                                  <w:sz w:val="15"/>
                                </w:rPr>
                                <w:t> </w:t>
                              </w:r>
                              <w:r>
                                <w:rPr>
                                  <w:color w:val="231F20"/>
                                  <w:spacing w:val="-2"/>
                                  <w:sz w:val="15"/>
                                </w:rPr>
                                <w:t>to</w:t>
                              </w:r>
                              <w:r>
                                <w:rPr>
                                  <w:color w:val="231F20"/>
                                  <w:spacing w:val="-7"/>
                                  <w:sz w:val="15"/>
                                </w:rPr>
                                <w:t> </w:t>
                              </w:r>
                              <w:r>
                                <w:rPr>
                                  <w:color w:val="231F20"/>
                                  <w:spacing w:val="-12"/>
                                  <w:sz w:val="15"/>
                                </w:rPr>
                                <w:t>D</w:t>
                              </w:r>
                            </w:p>
                            <w:p>
                              <w:pPr>
                                <w:numPr>
                                  <w:ilvl w:val="0"/>
                                  <w:numId w:val="66"/>
                                </w:numPr>
                                <w:tabs>
                                  <w:tab w:pos="279" w:val="left" w:leader="none"/>
                                </w:tabs>
                                <w:spacing w:line="230" w:lineRule="auto" w:before="2"/>
                                <w:ind w:left="279" w:right="344" w:hanging="206"/>
                                <w:jc w:val="left"/>
                                <w:rPr>
                                  <w:color w:val="000000"/>
                                  <w:sz w:val="15"/>
                                </w:rPr>
                              </w:pPr>
                              <w:r>
                                <w:rPr>
                                  <w:color w:val="231F20"/>
                                  <w:spacing w:val="-2"/>
                                  <w:sz w:val="15"/>
                                </w:rPr>
                                <w:t>Headache attacks lasting 4-72 hr (untreated or </w:t>
                              </w:r>
                              <w:r>
                                <w:rPr>
                                  <w:color w:val="231F20"/>
                                  <w:spacing w:val="-2"/>
                                  <w:sz w:val="15"/>
                                </w:rPr>
                                <w:t>unsuccessfully treated)</w:t>
                              </w:r>
                            </w:p>
                            <w:p>
                              <w:pPr>
                                <w:numPr>
                                  <w:ilvl w:val="0"/>
                                  <w:numId w:val="66"/>
                                </w:numPr>
                                <w:tabs>
                                  <w:tab w:pos="279" w:val="left" w:leader="none"/>
                                </w:tabs>
                                <w:spacing w:line="167" w:lineRule="exact" w:before="0"/>
                                <w:ind w:left="279" w:right="0" w:hanging="205"/>
                                <w:jc w:val="left"/>
                                <w:rPr>
                                  <w:color w:val="000000"/>
                                  <w:sz w:val="15"/>
                                </w:rPr>
                              </w:pPr>
                              <w:r>
                                <w:rPr>
                                  <w:color w:val="231F20"/>
                                  <w:sz w:val="15"/>
                                </w:rPr>
                                <w:t>Headache</w:t>
                              </w:r>
                              <w:r>
                                <w:rPr>
                                  <w:color w:val="231F20"/>
                                  <w:spacing w:val="-4"/>
                                  <w:sz w:val="15"/>
                                </w:rPr>
                                <w:t> </w:t>
                              </w:r>
                              <w:r>
                                <w:rPr>
                                  <w:color w:val="231F20"/>
                                  <w:sz w:val="15"/>
                                </w:rPr>
                                <w:t>has</w:t>
                              </w:r>
                              <w:r>
                                <w:rPr>
                                  <w:color w:val="231F20"/>
                                  <w:spacing w:val="-4"/>
                                  <w:sz w:val="15"/>
                                </w:rPr>
                                <w:t> </w:t>
                              </w:r>
                              <w:r>
                                <w:rPr>
                                  <w:color w:val="231F20"/>
                                  <w:sz w:val="15"/>
                                </w:rPr>
                                <w:t>at</w:t>
                              </w:r>
                              <w:r>
                                <w:rPr>
                                  <w:color w:val="231F20"/>
                                  <w:spacing w:val="-3"/>
                                  <w:sz w:val="15"/>
                                </w:rPr>
                                <w:t> </w:t>
                              </w:r>
                              <w:r>
                                <w:rPr>
                                  <w:color w:val="231F20"/>
                                  <w:sz w:val="15"/>
                                </w:rPr>
                                <w:t>least</w:t>
                              </w:r>
                              <w:r>
                                <w:rPr>
                                  <w:color w:val="231F20"/>
                                  <w:spacing w:val="-4"/>
                                  <w:sz w:val="15"/>
                                </w:rPr>
                                <w:t> </w:t>
                              </w:r>
                              <w:r>
                                <w:rPr>
                                  <w:color w:val="231F20"/>
                                  <w:sz w:val="15"/>
                                </w:rPr>
                                <w:t>2</w:t>
                              </w:r>
                              <w:r>
                                <w:rPr>
                                  <w:color w:val="231F20"/>
                                  <w:spacing w:val="-4"/>
                                  <w:sz w:val="15"/>
                                </w:rPr>
                                <w:t> </w:t>
                              </w:r>
                              <w:r>
                                <w:rPr>
                                  <w:color w:val="231F20"/>
                                  <w:sz w:val="15"/>
                                </w:rPr>
                                <w:t>of</w:t>
                              </w:r>
                              <w:r>
                                <w:rPr>
                                  <w:color w:val="231F20"/>
                                  <w:spacing w:val="-3"/>
                                  <w:sz w:val="15"/>
                                </w:rPr>
                                <w:t> </w:t>
                              </w:r>
                              <w:r>
                                <w:rPr>
                                  <w:color w:val="231F20"/>
                                  <w:sz w:val="15"/>
                                </w:rPr>
                                <w:t>the</w:t>
                              </w:r>
                              <w:r>
                                <w:rPr>
                                  <w:color w:val="231F20"/>
                                  <w:spacing w:val="-4"/>
                                  <w:sz w:val="15"/>
                                </w:rPr>
                                <w:t> </w:t>
                              </w:r>
                              <w:r>
                                <w:rPr>
                                  <w:color w:val="231F20"/>
                                  <w:sz w:val="15"/>
                                </w:rPr>
                                <w:t>following</w:t>
                              </w:r>
                              <w:r>
                                <w:rPr>
                                  <w:color w:val="231F20"/>
                                  <w:spacing w:val="-4"/>
                                  <w:sz w:val="15"/>
                                </w:rPr>
                                <w:t> </w:t>
                              </w:r>
                              <w:r>
                                <w:rPr>
                                  <w:color w:val="231F20"/>
                                  <w:sz w:val="15"/>
                                </w:rPr>
                                <w:t>4</w:t>
                              </w:r>
                              <w:r>
                                <w:rPr>
                                  <w:color w:val="231F20"/>
                                  <w:spacing w:val="-3"/>
                                  <w:sz w:val="15"/>
                                </w:rPr>
                                <w:t> </w:t>
                              </w:r>
                              <w:r>
                                <w:rPr>
                                  <w:color w:val="231F20"/>
                                  <w:spacing w:val="-2"/>
                                  <w:sz w:val="15"/>
                                </w:rPr>
                                <w:t>characteristics:</w:t>
                              </w:r>
                            </w:p>
                            <w:p>
                              <w:pPr>
                                <w:numPr>
                                  <w:ilvl w:val="1"/>
                                  <w:numId w:val="66"/>
                                </w:numPr>
                                <w:tabs>
                                  <w:tab w:pos="457" w:val="left" w:leader="none"/>
                                </w:tabs>
                                <w:spacing w:line="168" w:lineRule="exact" w:before="0"/>
                                <w:ind w:left="457" w:right="0" w:hanging="191"/>
                                <w:jc w:val="left"/>
                                <w:rPr>
                                  <w:color w:val="000000"/>
                                  <w:sz w:val="15"/>
                                </w:rPr>
                              </w:pPr>
                              <w:r>
                                <w:rPr>
                                  <w:color w:val="231F20"/>
                                  <w:spacing w:val="-4"/>
                                  <w:sz w:val="15"/>
                                </w:rPr>
                                <w:t>Unilateral</w:t>
                              </w:r>
                              <w:r>
                                <w:rPr>
                                  <w:color w:val="231F20"/>
                                  <w:sz w:val="15"/>
                                </w:rPr>
                                <w:t> </w:t>
                              </w:r>
                              <w:r>
                                <w:rPr>
                                  <w:color w:val="231F20"/>
                                  <w:spacing w:val="-2"/>
                                  <w:sz w:val="15"/>
                                </w:rPr>
                                <w:t>location</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Pulsating</w:t>
                              </w:r>
                              <w:r>
                                <w:rPr>
                                  <w:color w:val="231F20"/>
                                  <w:spacing w:val="-6"/>
                                  <w:sz w:val="15"/>
                                </w:rPr>
                                <w:t> </w:t>
                              </w:r>
                              <w:r>
                                <w:rPr>
                                  <w:color w:val="231F20"/>
                                  <w:spacing w:val="-2"/>
                                  <w:sz w:val="15"/>
                                </w:rPr>
                                <w:t>quality</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Moderate</w:t>
                              </w:r>
                              <w:r>
                                <w:rPr>
                                  <w:color w:val="231F20"/>
                                  <w:spacing w:val="3"/>
                                  <w:sz w:val="15"/>
                                </w:rPr>
                                <w:t> </w:t>
                              </w:r>
                              <w:r>
                                <w:rPr>
                                  <w:color w:val="231F20"/>
                                  <w:sz w:val="15"/>
                                </w:rPr>
                                <w:t>or</w:t>
                              </w:r>
                              <w:r>
                                <w:rPr>
                                  <w:color w:val="231F20"/>
                                  <w:spacing w:val="3"/>
                                  <w:sz w:val="15"/>
                                </w:rPr>
                                <w:t> </w:t>
                              </w:r>
                              <w:r>
                                <w:rPr>
                                  <w:color w:val="231F20"/>
                                  <w:sz w:val="15"/>
                                </w:rPr>
                                <w:t>severe</w:t>
                              </w:r>
                              <w:r>
                                <w:rPr>
                                  <w:color w:val="231F20"/>
                                  <w:spacing w:val="3"/>
                                  <w:sz w:val="15"/>
                                </w:rPr>
                                <w:t> </w:t>
                              </w:r>
                              <w:r>
                                <w:rPr>
                                  <w:color w:val="231F20"/>
                                  <w:sz w:val="15"/>
                                </w:rPr>
                                <w:t>pain</w:t>
                              </w:r>
                              <w:r>
                                <w:rPr>
                                  <w:color w:val="231F20"/>
                                  <w:spacing w:val="3"/>
                                  <w:sz w:val="15"/>
                                </w:rPr>
                                <w:t> </w:t>
                              </w:r>
                              <w:r>
                                <w:rPr>
                                  <w:color w:val="231F20"/>
                                  <w:spacing w:val="-2"/>
                                  <w:sz w:val="15"/>
                                </w:rPr>
                                <w:t>intensity</w:t>
                              </w:r>
                            </w:p>
                            <w:p>
                              <w:pPr>
                                <w:numPr>
                                  <w:ilvl w:val="1"/>
                                  <w:numId w:val="66"/>
                                </w:numPr>
                                <w:tabs>
                                  <w:tab w:pos="457" w:val="left" w:leader="none"/>
                                  <w:tab w:pos="459" w:val="left" w:leader="none"/>
                                </w:tabs>
                                <w:spacing w:line="230" w:lineRule="auto" w:before="3"/>
                                <w:ind w:left="459" w:right="483" w:hanging="193"/>
                                <w:jc w:val="left"/>
                                <w:rPr>
                                  <w:color w:val="000000"/>
                                  <w:sz w:val="15"/>
                                </w:rPr>
                              </w:pPr>
                              <w:r>
                                <w:rPr>
                                  <w:color w:val="231F20"/>
                                  <w:sz w:val="15"/>
                                </w:rPr>
                                <w:t>Aggravation</w:t>
                              </w:r>
                              <w:r>
                                <w:rPr>
                                  <w:color w:val="231F20"/>
                                  <w:spacing w:val="-3"/>
                                  <w:sz w:val="15"/>
                                </w:rPr>
                                <w:t> </w:t>
                              </w:r>
                              <w:r>
                                <w:rPr>
                                  <w:color w:val="231F20"/>
                                  <w:sz w:val="15"/>
                                </w:rPr>
                                <w:t>by</w:t>
                              </w:r>
                              <w:r>
                                <w:rPr>
                                  <w:color w:val="231F20"/>
                                  <w:spacing w:val="-3"/>
                                  <w:sz w:val="15"/>
                                </w:rPr>
                                <w:t> </w:t>
                              </w:r>
                              <w:r>
                                <w:rPr>
                                  <w:color w:val="231F20"/>
                                  <w:sz w:val="15"/>
                                </w:rPr>
                                <w:t>or</w:t>
                              </w:r>
                              <w:r>
                                <w:rPr>
                                  <w:color w:val="231F20"/>
                                  <w:spacing w:val="-3"/>
                                  <w:sz w:val="15"/>
                                </w:rPr>
                                <w:t> </w:t>
                              </w:r>
                              <w:r>
                                <w:rPr>
                                  <w:color w:val="231F20"/>
                                  <w:sz w:val="15"/>
                                </w:rPr>
                                <w:t>causing</w:t>
                              </w:r>
                              <w:r>
                                <w:rPr>
                                  <w:color w:val="231F20"/>
                                  <w:spacing w:val="-3"/>
                                  <w:sz w:val="15"/>
                                </w:rPr>
                                <w:t> </w:t>
                              </w:r>
                              <w:r>
                                <w:rPr>
                                  <w:color w:val="231F20"/>
                                  <w:sz w:val="15"/>
                                </w:rPr>
                                <w:t>avoidance</w:t>
                              </w:r>
                              <w:r>
                                <w:rPr>
                                  <w:color w:val="231F20"/>
                                  <w:spacing w:val="-3"/>
                                  <w:sz w:val="15"/>
                                </w:rPr>
                                <w:t> </w:t>
                              </w:r>
                              <w:r>
                                <w:rPr>
                                  <w:color w:val="231F20"/>
                                  <w:sz w:val="15"/>
                                </w:rPr>
                                <w:t>of</w:t>
                              </w:r>
                              <w:r>
                                <w:rPr>
                                  <w:color w:val="231F20"/>
                                  <w:spacing w:val="-3"/>
                                  <w:sz w:val="15"/>
                                </w:rPr>
                                <w:t> </w:t>
                              </w:r>
                              <w:r>
                                <w:rPr>
                                  <w:color w:val="231F20"/>
                                  <w:sz w:val="15"/>
                                </w:rPr>
                                <w:t>routine</w:t>
                              </w:r>
                              <w:r>
                                <w:rPr>
                                  <w:color w:val="231F20"/>
                                  <w:spacing w:val="-3"/>
                                  <w:sz w:val="15"/>
                                </w:rPr>
                                <w:t> </w:t>
                              </w:r>
                              <w:r>
                                <w:rPr>
                                  <w:color w:val="231F20"/>
                                  <w:sz w:val="15"/>
                                </w:rPr>
                                <w:t>physical activity (e.g., walking or climbing stairs)</w:t>
                              </w:r>
                            </w:p>
                            <w:p>
                              <w:pPr>
                                <w:numPr>
                                  <w:ilvl w:val="0"/>
                                  <w:numId w:val="66"/>
                                </w:numPr>
                                <w:tabs>
                                  <w:tab w:pos="278" w:val="left" w:leader="none"/>
                                </w:tabs>
                                <w:spacing w:line="167" w:lineRule="exact" w:before="0"/>
                                <w:ind w:left="278" w:right="0" w:hanging="204"/>
                                <w:jc w:val="left"/>
                                <w:rPr>
                                  <w:color w:val="000000"/>
                                  <w:sz w:val="15"/>
                                </w:rPr>
                              </w:pPr>
                              <w:r>
                                <w:rPr>
                                  <w:color w:val="231F20"/>
                                  <w:sz w:val="15"/>
                                </w:rPr>
                                <w:t>During</w:t>
                              </w:r>
                              <w:r>
                                <w:rPr>
                                  <w:color w:val="231F20"/>
                                  <w:spacing w:val="-2"/>
                                  <w:sz w:val="15"/>
                                </w:rPr>
                                <w:t> </w:t>
                              </w:r>
                              <w:r>
                                <w:rPr>
                                  <w:color w:val="231F20"/>
                                  <w:sz w:val="15"/>
                                </w:rPr>
                                <w:t>headache</w:t>
                              </w:r>
                              <w:r>
                                <w:rPr>
                                  <w:color w:val="231F20"/>
                                  <w:spacing w:val="-2"/>
                                  <w:sz w:val="15"/>
                                </w:rPr>
                                <w:t> </w:t>
                              </w:r>
                              <w:r>
                                <w:rPr>
                                  <w:color w:val="231F20"/>
                                  <w:sz w:val="15"/>
                                </w:rPr>
                                <w:t>at</w:t>
                              </w:r>
                              <w:r>
                                <w:rPr>
                                  <w:color w:val="231F20"/>
                                  <w:spacing w:val="-2"/>
                                  <w:sz w:val="15"/>
                                </w:rPr>
                                <w:t> </w:t>
                              </w:r>
                              <w:r>
                                <w:rPr>
                                  <w:color w:val="231F20"/>
                                  <w:sz w:val="15"/>
                                </w:rPr>
                                <w:t>least</w:t>
                              </w:r>
                              <w:r>
                                <w:rPr>
                                  <w:color w:val="231F20"/>
                                  <w:spacing w:val="-2"/>
                                  <w:sz w:val="15"/>
                                </w:rPr>
                                <w:t> </w:t>
                              </w:r>
                              <w:r>
                                <w:rPr>
                                  <w:color w:val="231F20"/>
                                  <w:sz w:val="15"/>
                                </w:rPr>
                                <w:t>1</w:t>
                              </w:r>
                              <w:r>
                                <w:rPr>
                                  <w:color w:val="231F20"/>
                                  <w:spacing w:val="-1"/>
                                  <w:sz w:val="15"/>
                                </w:rPr>
                                <w:t> </w:t>
                              </w:r>
                              <w:r>
                                <w:rPr>
                                  <w:color w:val="231F20"/>
                                  <w:sz w:val="15"/>
                                </w:rPr>
                                <w:t>of</w:t>
                              </w:r>
                              <w:r>
                                <w:rPr>
                                  <w:color w:val="231F20"/>
                                  <w:spacing w:val="-2"/>
                                  <w:sz w:val="15"/>
                                </w:rPr>
                                <w:t> </w:t>
                              </w:r>
                              <w:r>
                                <w:rPr>
                                  <w:color w:val="231F20"/>
                                  <w:sz w:val="15"/>
                                </w:rPr>
                                <w:t>the</w:t>
                              </w:r>
                              <w:r>
                                <w:rPr>
                                  <w:color w:val="231F20"/>
                                  <w:spacing w:val="-2"/>
                                  <w:sz w:val="15"/>
                                </w:rPr>
                                <w:t> following:</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Nausea</w:t>
                              </w:r>
                              <w:r>
                                <w:rPr>
                                  <w:color w:val="231F20"/>
                                  <w:spacing w:val="1"/>
                                  <w:sz w:val="15"/>
                                </w:rPr>
                                <w:t> </w:t>
                              </w:r>
                              <w:r>
                                <w:rPr>
                                  <w:color w:val="231F20"/>
                                  <w:sz w:val="15"/>
                                </w:rPr>
                                <w:t>and/or</w:t>
                              </w:r>
                              <w:r>
                                <w:rPr>
                                  <w:color w:val="231F20"/>
                                  <w:spacing w:val="1"/>
                                  <w:sz w:val="15"/>
                                </w:rPr>
                                <w:t> </w:t>
                              </w:r>
                              <w:r>
                                <w:rPr>
                                  <w:color w:val="231F20"/>
                                  <w:spacing w:val="-2"/>
                                  <w:sz w:val="15"/>
                                </w:rPr>
                                <w:t>vomiting</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Photophobia</w:t>
                              </w:r>
                              <w:r>
                                <w:rPr>
                                  <w:color w:val="231F20"/>
                                  <w:spacing w:val="17"/>
                                  <w:sz w:val="15"/>
                                </w:rPr>
                                <w:t> </w:t>
                              </w:r>
                              <w:r>
                                <w:rPr>
                                  <w:color w:val="231F20"/>
                                  <w:sz w:val="15"/>
                                </w:rPr>
                                <w:t>and</w:t>
                              </w:r>
                              <w:r>
                                <w:rPr>
                                  <w:color w:val="231F20"/>
                                  <w:spacing w:val="17"/>
                                  <w:sz w:val="15"/>
                                </w:rPr>
                                <w:t> </w:t>
                              </w:r>
                              <w:r>
                                <w:rPr>
                                  <w:color w:val="231F20"/>
                                  <w:spacing w:val="-2"/>
                                  <w:sz w:val="15"/>
                                </w:rPr>
                                <w:t>phonophobia</w:t>
                              </w:r>
                            </w:p>
                            <w:p>
                              <w:pPr>
                                <w:numPr>
                                  <w:ilvl w:val="0"/>
                                  <w:numId w:val="66"/>
                                </w:numPr>
                                <w:tabs>
                                  <w:tab w:pos="278" w:val="left" w:leader="none"/>
                                </w:tabs>
                                <w:spacing w:line="171" w:lineRule="exact" w:before="0"/>
                                <w:ind w:left="278" w:right="0" w:hanging="204"/>
                                <w:jc w:val="left"/>
                                <w:rPr>
                                  <w:color w:val="000000"/>
                                  <w:sz w:val="15"/>
                                </w:rPr>
                              </w:pPr>
                              <w:r>
                                <w:rPr>
                                  <w:color w:val="231F20"/>
                                  <w:sz w:val="15"/>
                                </w:rPr>
                                <w:t>Not</w:t>
                              </w:r>
                              <w:r>
                                <w:rPr>
                                  <w:color w:val="231F20"/>
                                  <w:spacing w:val="1"/>
                                  <w:sz w:val="15"/>
                                </w:rPr>
                                <w:t> </w:t>
                              </w:r>
                              <w:r>
                                <w:rPr>
                                  <w:color w:val="231F20"/>
                                  <w:sz w:val="15"/>
                                </w:rPr>
                                <w:t>better</w:t>
                              </w:r>
                              <w:r>
                                <w:rPr>
                                  <w:color w:val="231F20"/>
                                  <w:spacing w:val="2"/>
                                  <w:sz w:val="15"/>
                                </w:rPr>
                                <w:t> </w:t>
                              </w:r>
                              <w:r>
                                <w:rPr>
                                  <w:color w:val="231F20"/>
                                  <w:sz w:val="15"/>
                                </w:rPr>
                                <w:t>accounted</w:t>
                              </w:r>
                              <w:r>
                                <w:rPr>
                                  <w:color w:val="231F20"/>
                                  <w:spacing w:val="2"/>
                                  <w:sz w:val="15"/>
                                </w:rPr>
                                <w:t> </w:t>
                              </w:r>
                              <w:r>
                                <w:rPr>
                                  <w:color w:val="231F20"/>
                                  <w:sz w:val="15"/>
                                </w:rPr>
                                <w:t>for</w:t>
                              </w:r>
                              <w:r>
                                <w:rPr>
                                  <w:color w:val="231F20"/>
                                  <w:spacing w:val="1"/>
                                  <w:sz w:val="15"/>
                                </w:rPr>
                                <w:t> </w:t>
                              </w:r>
                              <w:r>
                                <w:rPr>
                                  <w:color w:val="231F20"/>
                                  <w:sz w:val="15"/>
                                </w:rPr>
                                <w:t>by</w:t>
                              </w:r>
                              <w:r>
                                <w:rPr>
                                  <w:color w:val="231F20"/>
                                  <w:spacing w:val="2"/>
                                  <w:sz w:val="15"/>
                                </w:rPr>
                                <w:t> </w:t>
                              </w:r>
                              <w:r>
                                <w:rPr>
                                  <w:color w:val="231F20"/>
                                  <w:sz w:val="15"/>
                                </w:rPr>
                                <w:t>another</w:t>
                              </w:r>
                              <w:r>
                                <w:rPr>
                                  <w:color w:val="231F20"/>
                                  <w:spacing w:val="2"/>
                                  <w:sz w:val="15"/>
                                </w:rPr>
                                <w:t> </w:t>
                              </w:r>
                              <w:r>
                                <w:rPr>
                                  <w:color w:val="231F20"/>
                                  <w:sz w:val="15"/>
                                </w:rPr>
                                <w:t>ICHD-3</w:t>
                              </w:r>
                              <w:r>
                                <w:rPr>
                                  <w:color w:val="231F20"/>
                                  <w:spacing w:val="1"/>
                                  <w:sz w:val="15"/>
                                </w:rPr>
                                <w:t> </w:t>
                              </w:r>
                              <w:r>
                                <w:rPr>
                                  <w:color w:val="231F20"/>
                                  <w:spacing w:val="-2"/>
                                  <w:sz w:val="15"/>
                                </w:rPr>
                                <w:t>diagnosis</w:t>
                              </w:r>
                            </w:p>
                          </w:txbxContent>
                        </wps:txbx>
                        <wps:bodyPr wrap="square" lIns="0" tIns="0" rIns="0" bIns="0" rtlCol="0">
                          <a:noAutofit/>
                        </wps:bodyPr>
                      </wps:wsp>
                      <wps:wsp>
                        <wps:cNvPr id="680" name="Graphic 680"/>
                        <wps:cNvSpPr/>
                        <wps:spPr>
                          <a:xfrm>
                            <a:off x="0" y="1677592"/>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681" name="Textbox 681"/>
                        <wps:cNvSpPr txBox="1"/>
                        <wps:spPr>
                          <a:xfrm>
                            <a:off x="734654" y="0"/>
                            <a:ext cx="2251710" cy="225425"/>
                          </a:xfrm>
                          <a:prstGeom prst="rect">
                            <a:avLst/>
                          </a:prstGeom>
                          <a:solidFill>
                            <a:srgbClr val="231F20"/>
                          </a:solidFill>
                        </wps:spPr>
                        <wps:txbx>
                          <w:txbxContent>
                            <w:p>
                              <w:pPr>
                                <w:spacing w:before="89"/>
                                <w:ind w:left="74" w:right="0" w:firstLine="0"/>
                                <w:jc w:val="left"/>
                                <w:rPr>
                                  <w:color w:val="000000"/>
                                  <w:sz w:val="16"/>
                                </w:rPr>
                              </w:pPr>
                              <w:r>
                                <w:rPr>
                                  <w:color w:val="FFFFFF"/>
                                  <w:w w:val="110"/>
                                  <w:sz w:val="16"/>
                                </w:rPr>
                                <w:t>Migraine</w:t>
                              </w:r>
                              <w:r>
                                <w:rPr>
                                  <w:color w:val="FFFFFF"/>
                                  <w:spacing w:val="-10"/>
                                  <w:w w:val="110"/>
                                  <w:sz w:val="16"/>
                                </w:rPr>
                                <w:t> </w:t>
                              </w:r>
                              <w:r>
                                <w:rPr>
                                  <w:color w:val="FFFFFF"/>
                                  <w:w w:val="110"/>
                                  <w:sz w:val="16"/>
                                </w:rPr>
                                <w:t>Without</w:t>
                              </w:r>
                              <w:r>
                                <w:rPr>
                                  <w:color w:val="FFFFFF"/>
                                  <w:spacing w:val="-9"/>
                                  <w:w w:val="110"/>
                                  <w:sz w:val="16"/>
                                </w:rPr>
                                <w:t> </w:t>
                              </w:r>
                              <w:r>
                                <w:rPr>
                                  <w:color w:val="FFFFFF"/>
                                  <w:spacing w:val="-4"/>
                                  <w:w w:val="110"/>
                                  <w:sz w:val="16"/>
                                </w:rPr>
                                <w:t>Aura</w:t>
                              </w:r>
                            </w:p>
                          </w:txbxContent>
                        </wps:txbx>
                        <wps:bodyPr wrap="square" lIns="0" tIns="0" rIns="0" bIns="0" rtlCol="0">
                          <a:noAutofit/>
                        </wps:bodyPr>
                      </wps:wsp>
                      <wps:wsp>
                        <wps:cNvPr id="682" name="Textbox 682"/>
                        <wps:cNvSpPr txBox="1"/>
                        <wps:spPr>
                          <a:xfrm>
                            <a:off x="0" y="0"/>
                            <a:ext cx="723265" cy="225425"/>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2</w:t>
                              </w:r>
                            </w:p>
                          </w:txbxContent>
                        </wps:txbx>
                        <wps:bodyPr wrap="square" lIns="0" tIns="0" rIns="0" bIns="0" rtlCol="0">
                          <a:noAutofit/>
                        </wps:bodyPr>
                      </wps:wsp>
                    </wpg:wgp>
                  </a:graphicData>
                </a:graphic>
              </wp:inline>
            </w:drawing>
          </mc:Choice>
          <mc:Fallback>
            <w:pict>
              <v:group style="width:235.15pt;height:133.050pt;mso-position-horizontal-relative:char;mso-position-vertical-relative:line" id="docshapegroup573" coordorigin="0,0" coordsize="4703,2661">
                <v:shape style="position:absolute;left:0;top:373;width:4703;height:2279" type="#_x0000_t202" id="docshape574" filled="true" fillcolor="#e8f5f1" stroked="false">
                  <v:textbox inset="0,0,0,0">
                    <w:txbxContent>
                      <w:p>
                        <w:pPr>
                          <w:numPr>
                            <w:ilvl w:val="0"/>
                            <w:numId w:val="66"/>
                          </w:numPr>
                          <w:tabs>
                            <w:tab w:pos="279" w:val="left" w:leader="none"/>
                          </w:tabs>
                          <w:spacing w:line="171" w:lineRule="exact" w:before="47"/>
                          <w:ind w:left="279" w:right="0" w:hanging="205"/>
                          <w:jc w:val="left"/>
                          <w:rPr>
                            <w:color w:val="000000"/>
                            <w:sz w:val="15"/>
                          </w:rPr>
                        </w:pPr>
                        <w:r>
                          <w:rPr>
                            <w:color w:val="231F20"/>
                            <w:spacing w:val="-2"/>
                            <w:sz w:val="15"/>
                          </w:rPr>
                          <w:t>At</w:t>
                        </w:r>
                        <w:r>
                          <w:rPr>
                            <w:color w:val="231F20"/>
                            <w:spacing w:val="-7"/>
                            <w:sz w:val="15"/>
                          </w:rPr>
                          <w:t> </w:t>
                        </w:r>
                        <w:r>
                          <w:rPr>
                            <w:color w:val="231F20"/>
                            <w:spacing w:val="-2"/>
                            <w:sz w:val="15"/>
                          </w:rPr>
                          <w:t>least</w:t>
                        </w:r>
                        <w:r>
                          <w:rPr>
                            <w:color w:val="231F20"/>
                            <w:spacing w:val="-7"/>
                            <w:sz w:val="15"/>
                          </w:rPr>
                          <w:t> </w:t>
                        </w:r>
                        <w:r>
                          <w:rPr>
                            <w:color w:val="231F20"/>
                            <w:spacing w:val="-2"/>
                            <w:sz w:val="15"/>
                          </w:rPr>
                          <w:t>5</w:t>
                        </w:r>
                        <w:r>
                          <w:rPr>
                            <w:color w:val="231F20"/>
                            <w:spacing w:val="-7"/>
                            <w:sz w:val="15"/>
                          </w:rPr>
                          <w:t> </w:t>
                        </w:r>
                        <w:r>
                          <w:rPr>
                            <w:color w:val="231F20"/>
                            <w:spacing w:val="-2"/>
                            <w:sz w:val="15"/>
                          </w:rPr>
                          <w:t>attacks</w:t>
                        </w:r>
                        <w:r>
                          <w:rPr>
                            <w:color w:val="231F20"/>
                            <w:spacing w:val="-7"/>
                            <w:sz w:val="15"/>
                          </w:rPr>
                          <w:t> </w:t>
                        </w:r>
                        <w:r>
                          <w:rPr>
                            <w:color w:val="231F20"/>
                            <w:spacing w:val="-2"/>
                            <w:sz w:val="15"/>
                          </w:rPr>
                          <w:t>fulfilling</w:t>
                        </w:r>
                        <w:r>
                          <w:rPr>
                            <w:color w:val="231F20"/>
                            <w:spacing w:val="-6"/>
                            <w:sz w:val="15"/>
                          </w:rPr>
                          <w:t> </w:t>
                        </w:r>
                        <w:r>
                          <w:rPr>
                            <w:color w:val="231F20"/>
                            <w:spacing w:val="-2"/>
                            <w:sz w:val="15"/>
                          </w:rPr>
                          <w:t>criteria</w:t>
                        </w:r>
                        <w:r>
                          <w:rPr>
                            <w:color w:val="231F20"/>
                            <w:spacing w:val="-7"/>
                            <w:sz w:val="15"/>
                          </w:rPr>
                          <w:t> </w:t>
                        </w:r>
                        <w:r>
                          <w:rPr>
                            <w:color w:val="231F20"/>
                            <w:spacing w:val="-2"/>
                            <w:sz w:val="15"/>
                          </w:rPr>
                          <w:t>B</w:t>
                        </w:r>
                        <w:r>
                          <w:rPr>
                            <w:color w:val="231F20"/>
                            <w:spacing w:val="-7"/>
                            <w:sz w:val="15"/>
                          </w:rPr>
                          <w:t> </w:t>
                        </w:r>
                        <w:r>
                          <w:rPr>
                            <w:color w:val="231F20"/>
                            <w:spacing w:val="-2"/>
                            <w:sz w:val="15"/>
                          </w:rPr>
                          <w:t>to</w:t>
                        </w:r>
                        <w:r>
                          <w:rPr>
                            <w:color w:val="231F20"/>
                            <w:spacing w:val="-7"/>
                            <w:sz w:val="15"/>
                          </w:rPr>
                          <w:t> </w:t>
                        </w:r>
                        <w:r>
                          <w:rPr>
                            <w:color w:val="231F20"/>
                            <w:spacing w:val="-12"/>
                            <w:sz w:val="15"/>
                          </w:rPr>
                          <w:t>D</w:t>
                        </w:r>
                      </w:p>
                      <w:p>
                        <w:pPr>
                          <w:numPr>
                            <w:ilvl w:val="0"/>
                            <w:numId w:val="66"/>
                          </w:numPr>
                          <w:tabs>
                            <w:tab w:pos="279" w:val="left" w:leader="none"/>
                          </w:tabs>
                          <w:spacing w:line="230" w:lineRule="auto" w:before="2"/>
                          <w:ind w:left="279" w:right="344" w:hanging="206"/>
                          <w:jc w:val="left"/>
                          <w:rPr>
                            <w:color w:val="000000"/>
                            <w:sz w:val="15"/>
                          </w:rPr>
                        </w:pPr>
                        <w:r>
                          <w:rPr>
                            <w:color w:val="231F20"/>
                            <w:spacing w:val="-2"/>
                            <w:sz w:val="15"/>
                          </w:rPr>
                          <w:t>Headache attacks lasting 4-72 hr (untreated or </w:t>
                        </w:r>
                        <w:r>
                          <w:rPr>
                            <w:color w:val="231F20"/>
                            <w:spacing w:val="-2"/>
                            <w:sz w:val="15"/>
                          </w:rPr>
                          <w:t>unsuccessfully treated)</w:t>
                        </w:r>
                      </w:p>
                      <w:p>
                        <w:pPr>
                          <w:numPr>
                            <w:ilvl w:val="0"/>
                            <w:numId w:val="66"/>
                          </w:numPr>
                          <w:tabs>
                            <w:tab w:pos="279" w:val="left" w:leader="none"/>
                          </w:tabs>
                          <w:spacing w:line="167" w:lineRule="exact" w:before="0"/>
                          <w:ind w:left="279" w:right="0" w:hanging="205"/>
                          <w:jc w:val="left"/>
                          <w:rPr>
                            <w:color w:val="000000"/>
                            <w:sz w:val="15"/>
                          </w:rPr>
                        </w:pPr>
                        <w:r>
                          <w:rPr>
                            <w:color w:val="231F20"/>
                            <w:sz w:val="15"/>
                          </w:rPr>
                          <w:t>Headache</w:t>
                        </w:r>
                        <w:r>
                          <w:rPr>
                            <w:color w:val="231F20"/>
                            <w:spacing w:val="-4"/>
                            <w:sz w:val="15"/>
                          </w:rPr>
                          <w:t> </w:t>
                        </w:r>
                        <w:r>
                          <w:rPr>
                            <w:color w:val="231F20"/>
                            <w:sz w:val="15"/>
                          </w:rPr>
                          <w:t>has</w:t>
                        </w:r>
                        <w:r>
                          <w:rPr>
                            <w:color w:val="231F20"/>
                            <w:spacing w:val="-4"/>
                            <w:sz w:val="15"/>
                          </w:rPr>
                          <w:t> </w:t>
                        </w:r>
                        <w:r>
                          <w:rPr>
                            <w:color w:val="231F20"/>
                            <w:sz w:val="15"/>
                          </w:rPr>
                          <w:t>at</w:t>
                        </w:r>
                        <w:r>
                          <w:rPr>
                            <w:color w:val="231F20"/>
                            <w:spacing w:val="-3"/>
                            <w:sz w:val="15"/>
                          </w:rPr>
                          <w:t> </w:t>
                        </w:r>
                        <w:r>
                          <w:rPr>
                            <w:color w:val="231F20"/>
                            <w:sz w:val="15"/>
                          </w:rPr>
                          <w:t>least</w:t>
                        </w:r>
                        <w:r>
                          <w:rPr>
                            <w:color w:val="231F20"/>
                            <w:spacing w:val="-4"/>
                            <w:sz w:val="15"/>
                          </w:rPr>
                          <w:t> </w:t>
                        </w:r>
                        <w:r>
                          <w:rPr>
                            <w:color w:val="231F20"/>
                            <w:sz w:val="15"/>
                          </w:rPr>
                          <w:t>2</w:t>
                        </w:r>
                        <w:r>
                          <w:rPr>
                            <w:color w:val="231F20"/>
                            <w:spacing w:val="-4"/>
                            <w:sz w:val="15"/>
                          </w:rPr>
                          <w:t> </w:t>
                        </w:r>
                        <w:r>
                          <w:rPr>
                            <w:color w:val="231F20"/>
                            <w:sz w:val="15"/>
                          </w:rPr>
                          <w:t>of</w:t>
                        </w:r>
                        <w:r>
                          <w:rPr>
                            <w:color w:val="231F20"/>
                            <w:spacing w:val="-3"/>
                            <w:sz w:val="15"/>
                          </w:rPr>
                          <w:t> </w:t>
                        </w:r>
                        <w:r>
                          <w:rPr>
                            <w:color w:val="231F20"/>
                            <w:sz w:val="15"/>
                          </w:rPr>
                          <w:t>the</w:t>
                        </w:r>
                        <w:r>
                          <w:rPr>
                            <w:color w:val="231F20"/>
                            <w:spacing w:val="-4"/>
                            <w:sz w:val="15"/>
                          </w:rPr>
                          <w:t> </w:t>
                        </w:r>
                        <w:r>
                          <w:rPr>
                            <w:color w:val="231F20"/>
                            <w:sz w:val="15"/>
                          </w:rPr>
                          <w:t>following</w:t>
                        </w:r>
                        <w:r>
                          <w:rPr>
                            <w:color w:val="231F20"/>
                            <w:spacing w:val="-4"/>
                            <w:sz w:val="15"/>
                          </w:rPr>
                          <w:t> </w:t>
                        </w:r>
                        <w:r>
                          <w:rPr>
                            <w:color w:val="231F20"/>
                            <w:sz w:val="15"/>
                          </w:rPr>
                          <w:t>4</w:t>
                        </w:r>
                        <w:r>
                          <w:rPr>
                            <w:color w:val="231F20"/>
                            <w:spacing w:val="-3"/>
                            <w:sz w:val="15"/>
                          </w:rPr>
                          <w:t> </w:t>
                        </w:r>
                        <w:r>
                          <w:rPr>
                            <w:color w:val="231F20"/>
                            <w:spacing w:val="-2"/>
                            <w:sz w:val="15"/>
                          </w:rPr>
                          <w:t>characteristics:</w:t>
                        </w:r>
                      </w:p>
                      <w:p>
                        <w:pPr>
                          <w:numPr>
                            <w:ilvl w:val="1"/>
                            <w:numId w:val="66"/>
                          </w:numPr>
                          <w:tabs>
                            <w:tab w:pos="457" w:val="left" w:leader="none"/>
                          </w:tabs>
                          <w:spacing w:line="168" w:lineRule="exact" w:before="0"/>
                          <w:ind w:left="457" w:right="0" w:hanging="191"/>
                          <w:jc w:val="left"/>
                          <w:rPr>
                            <w:color w:val="000000"/>
                            <w:sz w:val="15"/>
                          </w:rPr>
                        </w:pPr>
                        <w:r>
                          <w:rPr>
                            <w:color w:val="231F20"/>
                            <w:spacing w:val="-4"/>
                            <w:sz w:val="15"/>
                          </w:rPr>
                          <w:t>Unilateral</w:t>
                        </w:r>
                        <w:r>
                          <w:rPr>
                            <w:color w:val="231F20"/>
                            <w:sz w:val="15"/>
                          </w:rPr>
                          <w:t> </w:t>
                        </w:r>
                        <w:r>
                          <w:rPr>
                            <w:color w:val="231F20"/>
                            <w:spacing w:val="-2"/>
                            <w:sz w:val="15"/>
                          </w:rPr>
                          <w:t>location</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Pulsating</w:t>
                        </w:r>
                        <w:r>
                          <w:rPr>
                            <w:color w:val="231F20"/>
                            <w:spacing w:val="-6"/>
                            <w:sz w:val="15"/>
                          </w:rPr>
                          <w:t> </w:t>
                        </w:r>
                        <w:r>
                          <w:rPr>
                            <w:color w:val="231F20"/>
                            <w:spacing w:val="-2"/>
                            <w:sz w:val="15"/>
                          </w:rPr>
                          <w:t>quality</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Moderate</w:t>
                        </w:r>
                        <w:r>
                          <w:rPr>
                            <w:color w:val="231F20"/>
                            <w:spacing w:val="3"/>
                            <w:sz w:val="15"/>
                          </w:rPr>
                          <w:t> </w:t>
                        </w:r>
                        <w:r>
                          <w:rPr>
                            <w:color w:val="231F20"/>
                            <w:sz w:val="15"/>
                          </w:rPr>
                          <w:t>or</w:t>
                        </w:r>
                        <w:r>
                          <w:rPr>
                            <w:color w:val="231F20"/>
                            <w:spacing w:val="3"/>
                            <w:sz w:val="15"/>
                          </w:rPr>
                          <w:t> </w:t>
                        </w:r>
                        <w:r>
                          <w:rPr>
                            <w:color w:val="231F20"/>
                            <w:sz w:val="15"/>
                          </w:rPr>
                          <w:t>severe</w:t>
                        </w:r>
                        <w:r>
                          <w:rPr>
                            <w:color w:val="231F20"/>
                            <w:spacing w:val="3"/>
                            <w:sz w:val="15"/>
                          </w:rPr>
                          <w:t> </w:t>
                        </w:r>
                        <w:r>
                          <w:rPr>
                            <w:color w:val="231F20"/>
                            <w:sz w:val="15"/>
                          </w:rPr>
                          <w:t>pain</w:t>
                        </w:r>
                        <w:r>
                          <w:rPr>
                            <w:color w:val="231F20"/>
                            <w:spacing w:val="3"/>
                            <w:sz w:val="15"/>
                          </w:rPr>
                          <w:t> </w:t>
                        </w:r>
                        <w:r>
                          <w:rPr>
                            <w:color w:val="231F20"/>
                            <w:spacing w:val="-2"/>
                            <w:sz w:val="15"/>
                          </w:rPr>
                          <w:t>intensity</w:t>
                        </w:r>
                      </w:p>
                      <w:p>
                        <w:pPr>
                          <w:numPr>
                            <w:ilvl w:val="1"/>
                            <w:numId w:val="66"/>
                          </w:numPr>
                          <w:tabs>
                            <w:tab w:pos="457" w:val="left" w:leader="none"/>
                            <w:tab w:pos="459" w:val="left" w:leader="none"/>
                          </w:tabs>
                          <w:spacing w:line="230" w:lineRule="auto" w:before="3"/>
                          <w:ind w:left="459" w:right="483" w:hanging="193"/>
                          <w:jc w:val="left"/>
                          <w:rPr>
                            <w:color w:val="000000"/>
                            <w:sz w:val="15"/>
                          </w:rPr>
                        </w:pPr>
                        <w:r>
                          <w:rPr>
                            <w:color w:val="231F20"/>
                            <w:sz w:val="15"/>
                          </w:rPr>
                          <w:t>Aggravation</w:t>
                        </w:r>
                        <w:r>
                          <w:rPr>
                            <w:color w:val="231F20"/>
                            <w:spacing w:val="-3"/>
                            <w:sz w:val="15"/>
                          </w:rPr>
                          <w:t> </w:t>
                        </w:r>
                        <w:r>
                          <w:rPr>
                            <w:color w:val="231F20"/>
                            <w:sz w:val="15"/>
                          </w:rPr>
                          <w:t>by</w:t>
                        </w:r>
                        <w:r>
                          <w:rPr>
                            <w:color w:val="231F20"/>
                            <w:spacing w:val="-3"/>
                            <w:sz w:val="15"/>
                          </w:rPr>
                          <w:t> </w:t>
                        </w:r>
                        <w:r>
                          <w:rPr>
                            <w:color w:val="231F20"/>
                            <w:sz w:val="15"/>
                          </w:rPr>
                          <w:t>or</w:t>
                        </w:r>
                        <w:r>
                          <w:rPr>
                            <w:color w:val="231F20"/>
                            <w:spacing w:val="-3"/>
                            <w:sz w:val="15"/>
                          </w:rPr>
                          <w:t> </w:t>
                        </w:r>
                        <w:r>
                          <w:rPr>
                            <w:color w:val="231F20"/>
                            <w:sz w:val="15"/>
                          </w:rPr>
                          <w:t>causing</w:t>
                        </w:r>
                        <w:r>
                          <w:rPr>
                            <w:color w:val="231F20"/>
                            <w:spacing w:val="-3"/>
                            <w:sz w:val="15"/>
                          </w:rPr>
                          <w:t> </w:t>
                        </w:r>
                        <w:r>
                          <w:rPr>
                            <w:color w:val="231F20"/>
                            <w:sz w:val="15"/>
                          </w:rPr>
                          <w:t>avoidance</w:t>
                        </w:r>
                        <w:r>
                          <w:rPr>
                            <w:color w:val="231F20"/>
                            <w:spacing w:val="-3"/>
                            <w:sz w:val="15"/>
                          </w:rPr>
                          <w:t> </w:t>
                        </w:r>
                        <w:r>
                          <w:rPr>
                            <w:color w:val="231F20"/>
                            <w:sz w:val="15"/>
                          </w:rPr>
                          <w:t>of</w:t>
                        </w:r>
                        <w:r>
                          <w:rPr>
                            <w:color w:val="231F20"/>
                            <w:spacing w:val="-3"/>
                            <w:sz w:val="15"/>
                          </w:rPr>
                          <w:t> </w:t>
                        </w:r>
                        <w:r>
                          <w:rPr>
                            <w:color w:val="231F20"/>
                            <w:sz w:val="15"/>
                          </w:rPr>
                          <w:t>routine</w:t>
                        </w:r>
                        <w:r>
                          <w:rPr>
                            <w:color w:val="231F20"/>
                            <w:spacing w:val="-3"/>
                            <w:sz w:val="15"/>
                          </w:rPr>
                          <w:t> </w:t>
                        </w:r>
                        <w:r>
                          <w:rPr>
                            <w:color w:val="231F20"/>
                            <w:sz w:val="15"/>
                          </w:rPr>
                          <w:t>physical activity (e.g., walking or climbing stairs)</w:t>
                        </w:r>
                      </w:p>
                      <w:p>
                        <w:pPr>
                          <w:numPr>
                            <w:ilvl w:val="0"/>
                            <w:numId w:val="66"/>
                          </w:numPr>
                          <w:tabs>
                            <w:tab w:pos="278" w:val="left" w:leader="none"/>
                          </w:tabs>
                          <w:spacing w:line="167" w:lineRule="exact" w:before="0"/>
                          <w:ind w:left="278" w:right="0" w:hanging="204"/>
                          <w:jc w:val="left"/>
                          <w:rPr>
                            <w:color w:val="000000"/>
                            <w:sz w:val="15"/>
                          </w:rPr>
                        </w:pPr>
                        <w:r>
                          <w:rPr>
                            <w:color w:val="231F20"/>
                            <w:sz w:val="15"/>
                          </w:rPr>
                          <w:t>During</w:t>
                        </w:r>
                        <w:r>
                          <w:rPr>
                            <w:color w:val="231F20"/>
                            <w:spacing w:val="-2"/>
                            <w:sz w:val="15"/>
                          </w:rPr>
                          <w:t> </w:t>
                        </w:r>
                        <w:r>
                          <w:rPr>
                            <w:color w:val="231F20"/>
                            <w:sz w:val="15"/>
                          </w:rPr>
                          <w:t>headache</w:t>
                        </w:r>
                        <w:r>
                          <w:rPr>
                            <w:color w:val="231F20"/>
                            <w:spacing w:val="-2"/>
                            <w:sz w:val="15"/>
                          </w:rPr>
                          <w:t> </w:t>
                        </w:r>
                        <w:r>
                          <w:rPr>
                            <w:color w:val="231F20"/>
                            <w:sz w:val="15"/>
                          </w:rPr>
                          <w:t>at</w:t>
                        </w:r>
                        <w:r>
                          <w:rPr>
                            <w:color w:val="231F20"/>
                            <w:spacing w:val="-2"/>
                            <w:sz w:val="15"/>
                          </w:rPr>
                          <w:t> </w:t>
                        </w:r>
                        <w:r>
                          <w:rPr>
                            <w:color w:val="231F20"/>
                            <w:sz w:val="15"/>
                          </w:rPr>
                          <w:t>least</w:t>
                        </w:r>
                        <w:r>
                          <w:rPr>
                            <w:color w:val="231F20"/>
                            <w:spacing w:val="-2"/>
                            <w:sz w:val="15"/>
                          </w:rPr>
                          <w:t> </w:t>
                        </w:r>
                        <w:r>
                          <w:rPr>
                            <w:color w:val="231F20"/>
                            <w:sz w:val="15"/>
                          </w:rPr>
                          <w:t>1</w:t>
                        </w:r>
                        <w:r>
                          <w:rPr>
                            <w:color w:val="231F20"/>
                            <w:spacing w:val="-1"/>
                            <w:sz w:val="15"/>
                          </w:rPr>
                          <w:t> </w:t>
                        </w:r>
                        <w:r>
                          <w:rPr>
                            <w:color w:val="231F20"/>
                            <w:sz w:val="15"/>
                          </w:rPr>
                          <w:t>of</w:t>
                        </w:r>
                        <w:r>
                          <w:rPr>
                            <w:color w:val="231F20"/>
                            <w:spacing w:val="-2"/>
                            <w:sz w:val="15"/>
                          </w:rPr>
                          <w:t> </w:t>
                        </w:r>
                        <w:r>
                          <w:rPr>
                            <w:color w:val="231F20"/>
                            <w:sz w:val="15"/>
                          </w:rPr>
                          <w:t>the</w:t>
                        </w:r>
                        <w:r>
                          <w:rPr>
                            <w:color w:val="231F20"/>
                            <w:spacing w:val="-2"/>
                            <w:sz w:val="15"/>
                          </w:rPr>
                          <w:t> following:</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Nausea</w:t>
                        </w:r>
                        <w:r>
                          <w:rPr>
                            <w:color w:val="231F20"/>
                            <w:spacing w:val="1"/>
                            <w:sz w:val="15"/>
                          </w:rPr>
                          <w:t> </w:t>
                        </w:r>
                        <w:r>
                          <w:rPr>
                            <w:color w:val="231F20"/>
                            <w:sz w:val="15"/>
                          </w:rPr>
                          <w:t>and/or</w:t>
                        </w:r>
                        <w:r>
                          <w:rPr>
                            <w:color w:val="231F20"/>
                            <w:spacing w:val="1"/>
                            <w:sz w:val="15"/>
                          </w:rPr>
                          <w:t> </w:t>
                        </w:r>
                        <w:r>
                          <w:rPr>
                            <w:color w:val="231F20"/>
                            <w:spacing w:val="-2"/>
                            <w:sz w:val="15"/>
                          </w:rPr>
                          <w:t>vomiting</w:t>
                        </w:r>
                      </w:p>
                      <w:p>
                        <w:pPr>
                          <w:numPr>
                            <w:ilvl w:val="1"/>
                            <w:numId w:val="66"/>
                          </w:numPr>
                          <w:tabs>
                            <w:tab w:pos="457" w:val="left" w:leader="none"/>
                          </w:tabs>
                          <w:spacing w:line="168" w:lineRule="exact" w:before="0"/>
                          <w:ind w:left="457" w:right="0" w:hanging="191"/>
                          <w:jc w:val="left"/>
                          <w:rPr>
                            <w:color w:val="000000"/>
                            <w:sz w:val="15"/>
                          </w:rPr>
                        </w:pPr>
                        <w:r>
                          <w:rPr>
                            <w:color w:val="231F20"/>
                            <w:sz w:val="15"/>
                          </w:rPr>
                          <w:t>Photophobia</w:t>
                        </w:r>
                        <w:r>
                          <w:rPr>
                            <w:color w:val="231F20"/>
                            <w:spacing w:val="17"/>
                            <w:sz w:val="15"/>
                          </w:rPr>
                          <w:t> </w:t>
                        </w:r>
                        <w:r>
                          <w:rPr>
                            <w:color w:val="231F20"/>
                            <w:sz w:val="15"/>
                          </w:rPr>
                          <w:t>and</w:t>
                        </w:r>
                        <w:r>
                          <w:rPr>
                            <w:color w:val="231F20"/>
                            <w:spacing w:val="17"/>
                            <w:sz w:val="15"/>
                          </w:rPr>
                          <w:t> </w:t>
                        </w:r>
                        <w:r>
                          <w:rPr>
                            <w:color w:val="231F20"/>
                            <w:spacing w:val="-2"/>
                            <w:sz w:val="15"/>
                          </w:rPr>
                          <w:t>phonophobia</w:t>
                        </w:r>
                      </w:p>
                      <w:p>
                        <w:pPr>
                          <w:numPr>
                            <w:ilvl w:val="0"/>
                            <w:numId w:val="66"/>
                          </w:numPr>
                          <w:tabs>
                            <w:tab w:pos="278" w:val="left" w:leader="none"/>
                          </w:tabs>
                          <w:spacing w:line="171" w:lineRule="exact" w:before="0"/>
                          <w:ind w:left="278" w:right="0" w:hanging="204"/>
                          <w:jc w:val="left"/>
                          <w:rPr>
                            <w:color w:val="000000"/>
                            <w:sz w:val="15"/>
                          </w:rPr>
                        </w:pPr>
                        <w:r>
                          <w:rPr>
                            <w:color w:val="231F20"/>
                            <w:sz w:val="15"/>
                          </w:rPr>
                          <w:t>Not</w:t>
                        </w:r>
                        <w:r>
                          <w:rPr>
                            <w:color w:val="231F20"/>
                            <w:spacing w:val="1"/>
                            <w:sz w:val="15"/>
                          </w:rPr>
                          <w:t> </w:t>
                        </w:r>
                        <w:r>
                          <w:rPr>
                            <w:color w:val="231F20"/>
                            <w:sz w:val="15"/>
                          </w:rPr>
                          <w:t>better</w:t>
                        </w:r>
                        <w:r>
                          <w:rPr>
                            <w:color w:val="231F20"/>
                            <w:spacing w:val="2"/>
                            <w:sz w:val="15"/>
                          </w:rPr>
                          <w:t> </w:t>
                        </w:r>
                        <w:r>
                          <w:rPr>
                            <w:color w:val="231F20"/>
                            <w:sz w:val="15"/>
                          </w:rPr>
                          <w:t>accounted</w:t>
                        </w:r>
                        <w:r>
                          <w:rPr>
                            <w:color w:val="231F20"/>
                            <w:spacing w:val="2"/>
                            <w:sz w:val="15"/>
                          </w:rPr>
                          <w:t> </w:t>
                        </w:r>
                        <w:r>
                          <w:rPr>
                            <w:color w:val="231F20"/>
                            <w:sz w:val="15"/>
                          </w:rPr>
                          <w:t>for</w:t>
                        </w:r>
                        <w:r>
                          <w:rPr>
                            <w:color w:val="231F20"/>
                            <w:spacing w:val="1"/>
                            <w:sz w:val="15"/>
                          </w:rPr>
                          <w:t> </w:t>
                        </w:r>
                        <w:r>
                          <w:rPr>
                            <w:color w:val="231F20"/>
                            <w:sz w:val="15"/>
                          </w:rPr>
                          <w:t>by</w:t>
                        </w:r>
                        <w:r>
                          <w:rPr>
                            <w:color w:val="231F20"/>
                            <w:spacing w:val="2"/>
                            <w:sz w:val="15"/>
                          </w:rPr>
                          <w:t> </w:t>
                        </w:r>
                        <w:r>
                          <w:rPr>
                            <w:color w:val="231F20"/>
                            <w:sz w:val="15"/>
                          </w:rPr>
                          <w:t>another</w:t>
                        </w:r>
                        <w:r>
                          <w:rPr>
                            <w:color w:val="231F20"/>
                            <w:spacing w:val="2"/>
                            <w:sz w:val="15"/>
                          </w:rPr>
                          <w:t> </w:t>
                        </w:r>
                        <w:r>
                          <w:rPr>
                            <w:color w:val="231F20"/>
                            <w:sz w:val="15"/>
                          </w:rPr>
                          <w:t>ICHD-3</w:t>
                        </w:r>
                        <w:r>
                          <w:rPr>
                            <w:color w:val="231F20"/>
                            <w:spacing w:val="1"/>
                            <w:sz w:val="15"/>
                          </w:rPr>
                          <w:t> </w:t>
                        </w:r>
                        <w:r>
                          <w:rPr>
                            <w:color w:val="231F20"/>
                            <w:spacing w:val="-2"/>
                            <w:sz w:val="15"/>
                          </w:rPr>
                          <w:t>diagnosis</w:t>
                        </w:r>
                      </w:p>
                    </w:txbxContent>
                  </v:textbox>
                  <v:fill type="solid"/>
                  <w10:wrap type="none"/>
                </v:shape>
                <v:rect style="position:absolute;left:0;top:2641;width:4703;height:19" id="docshape575" filled="true" fillcolor="#231f20" stroked="false">
                  <v:fill type="solid"/>
                </v:rect>
                <v:shape style="position:absolute;left:1156;top:0;width:3546;height:355" type="#_x0000_t202" id="docshape576" filled="true" fillcolor="#231f20" stroked="false">
                  <v:textbox inset="0,0,0,0">
                    <w:txbxContent>
                      <w:p>
                        <w:pPr>
                          <w:spacing w:before="89"/>
                          <w:ind w:left="74" w:right="0" w:firstLine="0"/>
                          <w:jc w:val="left"/>
                          <w:rPr>
                            <w:color w:val="000000"/>
                            <w:sz w:val="16"/>
                          </w:rPr>
                        </w:pPr>
                        <w:r>
                          <w:rPr>
                            <w:color w:val="FFFFFF"/>
                            <w:w w:val="110"/>
                            <w:sz w:val="16"/>
                          </w:rPr>
                          <w:t>Migraine</w:t>
                        </w:r>
                        <w:r>
                          <w:rPr>
                            <w:color w:val="FFFFFF"/>
                            <w:spacing w:val="-10"/>
                            <w:w w:val="110"/>
                            <w:sz w:val="16"/>
                          </w:rPr>
                          <w:t> </w:t>
                        </w:r>
                        <w:r>
                          <w:rPr>
                            <w:color w:val="FFFFFF"/>
                            <w:w w:val="110"/>
                            <w:sz w:val="16"/>
                          </w:rPr>
                          <w:t>Without</w:t>
                        </w:r>
                        <w:r>
                          <w:rPr>
                            <w:color w:val="FFFFFF"/>
                            <w:spacing w:val="-9"/>
                            <w:w w:val="110"/>
                            <w:sz w:val="16"/>
                          </w:rPr>
                          <w:t> </w:t>
                        </w:r>
                        <w:r>
                          <w:rPr>
                            <w:color w:val="FFFFFF"/>
                            <w:spacing w:val="-4"/>
                            <w:w w:val="110"/>
                            <w:sz w:val="16"/>
                          </w:rPr>
                          <w:t>Aura</w:t>
                        </w:r>
                      </w:p>
                    </w:txbxContent>
                  </v:textbox>
                  <v:fill type="solid"/>
                  <w10:wrap type="none"/>
                </v:shape>
                <v:shape style="position:absolute;left:0;top:0;width:1139;height:355" type="#_x0000_t202" id="docshape577"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2</w:t>
                        </w:r>
                      </w:p>
                    </w:txbxContent>
                  </v:textbox>
                  <v:fill type="solid"/>
                  <w10:wrap type="none"/>
                </v:shape>
              </v:group>
            </w:pict>
          </mc:Fallback>
        </mc:AlternateContent>
      </w:r>
      <w:r>
        <w:rPr>
          <w:sz w:val="20"/>
        </w:rPr>
      </w:r>
    </w:p>
    <w:p>
      <w:pPr>
        <w:pStyle w:val="BodyText"/>
        <w:spacing w:after="0"/>
        <w:rPr>
          <w:sz w:val="20"/>
        </w:rPr>
        <w:sectPr>
          <w:type w:val="continuous"/>
          <w:pgSz w:w="11900" w:h="16840"/>
          <w:pgMar w:header="0" w:footer="0" w:top="620" w:bottom="280" w:left="425" w:right="566"/>
        </w:sectPr>
      </w:pPr>
    </w:p>
    <w:p>
      <w:pPr>
        <w:spacing w:before="30"/>
        <w:ind w:left="486" w:right="0" w:firstLine="0"/>
        <w:jc w:val="left"/>
        <w:rPr>
          <w:i/>
          <w:sz w:val="13"/>
        </w:rPr>
      </w:pPr>
      <w:r>
        <w:rPr>
          <w:i/>
          <w:sz w:val="13"/>
        </w:rPr>
        <mc:AlternateContent>
          <mc:Choice Requires="wps">
            <w:drawing>
              <wp:anchor distT="0" distB="0" distL="0" distR="0" allowOverlap="1" layoutInCell="1" locked="0" behindDoc="0" simplePos="0" relativeHeight="15766016">
                <wp:simplePos x="0" y="0"/>
                <wp:positionH relativeFrom="page">
                  <wp:posOffset>3778250</wp:posOffset>
                </wp:positionH>
                <wp:positionV relativeFrom="paragraph">
                  <wp:posOffset>-2031250</wp:posOffset>
                </wp:positionV>
                <wp:extent cx="2986405" cy="2009775"/>
                <wp:effectExtent l="0" t="0" r="0" b="0"/>
                <wp:wrapNone/>
                <wp:docPr id="683" name="Group 683"/>
                <wp:cNvGraphicFramePr>
                  <a:graphicFrameLocks/>
                </wp:cNvGraphicFramePr>
                <a:graphic>
                  <a:graphicData uri="http://schemas.microsoft.com/office/word/2010/wordprocessingGroup">
                    <wpg:wgp>
                      <wpg:cNvPr id="683" name="Group 683"/>
                      <wpg:cNvGrpSpPr/>
                      <wpg:grpSpPr>
                        <a:xfrm>
                          <a:off x="0" y="0"/>
                          <a:ext cx="2986405" cy="2009775"/>
                          <a:chExt cx="2986405" cy="2009775"/>
                        </a:xfrm>
                      </wpg:grpSpPr>
                      <wps:wsp>
                        <wps:cNvPr id="684" name="Textbox 684"/>
                        <wps:cNvSpPr txBox="1"/>
                        <wps:spPr>
                          <a:xfrm>
                            <a:off x="0" y="236966"/>
                            <a:ext cx="2986405" cy="1766570"/>
                          </a:xfrm>
                          <a:prstGeom prst="rect">
                            <a:avLst/>
                          </a:prstGeom>
                          <a:solidFill>
                            <a:srgbClr val="E8F5F1"/>
                          </a:solidFill>
                        </wps:spPr>
                        <wps:txbx>
                          <w:txbxContent>
                            <w:p>
                              <w:pPr>
                                <w:numPr>
                                  <w:ilvl w:val="0"/>
                                  <w:numId w:val="67"/>
                                </w:numPr>
                                <w:tabs>
                                  <w:tab w:pos="279" w:val="left" w:leader="none"/>
                                </w:tabs>
                                <w:spacing w:line="171" w:lineRule="exact" w:before="47"/>
                                <w:ind w:left="279" w:right="0" w:hanging="205"/>
                                <w:jc w:val="left"/>
                                <w:rPr>
                                  <w:color w:val="000000"/>
                                  <w:sz w:val="15"/>
                                </w:rPr>
                              </w:pPr>
                              <w:r>
                                <w:rPr>
                                  <w:color w:val="231F20"/>
                                  <w:sz w:val="15"/>
                                </w:rPr>
                                <w:t>At</w:t>
                              </w:r>
                              <w:r>
                                <w:rPr>
                                  <w:color w:val="231F20"/>
                                  <w:spacing w:val="-8"/>
                                  <w:sz w:val="15"/>
                                </w:rPr>
                                <w:t> </w:t>
                              </w:r>
                              <w:r>
                                <w:rPr>
                                  <w:color w:val="231F20"/>
                                  <w:sz w:val="15"/>
                                </w:rPr>
                                <w:t>least</w:t>
                              </w:r>
                              <w:r>
                                <w:rPr>
                                  <w:color w:val="231F20"/>
                                  <w:spacing w:val="-7"/>
                                  <w:sz w:val="15"/>
                                </w:rPr>
                                <w:t> </w:t>
                              </w:r>
                              <w:r>
                                <w:rPr>
                                  <w:color w:val="231F20"/>
                                  <w:sz w:val="15"/>
                                </w:rPr>
                                <w:t>5</w:t>
                              </w:r>
                              <w:r>
                                <w:rPr>
                                  <w:color w:val="231F20"/>
                                  <w:spacing w:val="-7"/>
                                  <w:sz w:val="15"/>
                                </w:rPr>
                                <w:t> </w:t>
                              </w:r>
                              <w:r>
                                <w:rPr>
                                  <w:color w:val="231F20"/>
                                  <w:sz w:val="15"/>
                                </w:rPr>
                                <w:t>episodes</w:t>
                              </w:r>
                              <w:r>
                                <w:rPr>
                                  <w:color w:val="231F20"/>
                                  <w:spacing w:val="-7"/>
                                  <w:sz w:val="15"/>
                                </w:rPr>
                                <w:t> </w:t>
                              </w:r>
                              <w:r>
                                <w:rPr>
                                  <w:color w:val="231F20"/>
                                  <w:sz w:val="15"/>
                                </w:rPr>
                                <w:t>fulfilling</w:t>
                              </w:r>
                              <w:r>
                                <w:rPr>
                                  <w:color w:val="231F20"/>
                                  <w:spacing w:val="-7"/>
                                  <w:sz w:val="15"/>
                                </w:rPr>
                                <w:t> </w:t>
                              </w:r>
                              <w:r>
                                <w:rPr>
                                  <w:color w:val="231F20"/>
                                  <w:sz w:val="15"/>
                                </w:rPr>
                                <w:t>criteria</w:t>
                              </w:r>
                              <w:r>
                                <w:rPr>
                                  <w:color w:val="231F20"/>
                                  <w:spacing w:val="-7"/>
                                  <w:sz w:val="15"/>
                                </w:rPr>
                                <w:t> </w:t>
                              </w:r>
                              <w:r>
                                <w:rPr>
                                  <w:color w:val="231F20"/>
                                  <w:sz w:val="15"/>
                                </w:rPr>
                                <w:t>C</w:t>
                              </w:r>
                              <w:r>
                                <w:rPr>
                                  <w:color w:val="231F20"/>
                                  <w:spacing w:val="-7"/>
                                  <w:sz w:val="15"/>
                                </w:rPr>
                                <w:t> </w:t>
                              </w:r>
                              <w:r>
                                <w:rPr>
                                  <w:color w:val="231F20"/>
                                  <w:sz w:val="15"/>
                                </w:rPr>
                                <w:t>and</w:t>
                              </w:r>
                              <w:r>
                                <w:rPr>
                                  <w:color w:val="231F20"/>
                                  <w:spacing w:val="-8"/>
                                  <w:sz w:val="15"/>
                                </w:rPr>
                                <w:t> </w:t>
                              </w:r>
                              <w:r>
                                <w:rPr>
                                  <w:color w:val="231F20"/>
                                  <w:spacing w:val="-10"/>
                                  <w:sz w:val="15"/>
                                </w:rPr>
                                <w:t>D</w:t>
                              </w:r>
                            </w:p>
                            <w:p>
                              <w:pPr>
                                <w:numPr>
                                  <w:ilvl w:val="0"/>
                                  <w:numId w:val="67"/>
                                </w:numPr>
                                <w:tabs>
                                  <w:tab w:pos="279" w:val="left" w:leader="none"/>
                                </w:tabs>
                                <w:spacing w:line="168" w:lineRule="exact" w:before="0"/>
                                <w:ind w:left="279" w:right="0" w:hanging="205"/>
                                <w:jc w:val="left"/>
                                <w:rPr>
                                  <w:color w:val="000000"/>
                                  <w:sz w:val="15"/>
                                </w:rPr>
                              </w:pPr>
                              <w:r>
                                <w:rPr>
                                  <w:color w:val="231F20"/>
                                  <w:sz w:val="15"/>
                                </w:rPr>
                                <w:t>A</w:t>
                              </w:r>
                              <w:r>
                                <w:rPr>
                                  <w:color w:val="231F20"/>
                                  <w:spacing w:val="-10"/>
                                  <w:sz w:val="15"/>
                                </w:rPr>
                                <w:t> </w:t>
                              </w:r>
                              <w:r>
                                <w:rPr>
                                  <w:color w:val="231F20"/>
                                  <w:sz w:val="15"/>
                                </w:rPr>
                                <w:t>current</w:t>
                              </w:r>
                              <w:r>
                                <w:rPr>
                                  <w:color w:val="231F20"/>
                                  <w:spacing w:val="-10"/>
                                  <w:sz w:val="15"/>
                                </w:rPr>
                                <w:t> </w:t>
                              </w:r>
                              <w:r>
                                <w:rPr>
                                  <w:color w:val="231F20"/>
                                  <w:sz w:val="15"/>
                                </w:rPr>
                                <w:t>or</w:t>
                              </w:r>
                              <w:r>
                                <w:rPr>
                                  <w:color w:val="231F20"/>
                                  <w:spacing w:val="-10"/>
                                  <w:sz w:val="15"/>
                                </w:rPr>
                                <w:t> </w:t>
                              </w:r>
                              <w:r>
                                <w:rPr>
                                  <w:color w:val="231F20"/>
                                  <w:sz w:val="15"/>
                                </w:rPr>
                                <w:t>past</w:t>
                              </w:r>
                              <w:r>
                                <w:rPr>
                                  <w:color w:val="231F20"/>
                                  <w:spacing w:val="-10"/>
                                  <w:sz w:val="15"/>
                                </w:rPr>
                                <w:t> </w:t>
                              </w:r>
                              <w:r>
                                <w:rPr>
                                  <w:color w:val="231F20"/>
                                  <w:sz w:val="15"/>
                                </w:rPr>
                                <w:t>history</w:t>
                              </w:r>
                              <w:r>
                                <w:rPr>
                                  <w:color w:val="231F20"/>
                                  <w:spacing w:val="-10"/>
                                  <w:sz w:val="15"/>
                                </w:rPr>
                                <w:t> </w:t>
                              </w:r>
                              <w:r>
                                <w:rPr>
                                  <w:color w:val="231F20"/>
                                  <w:sz w:val="15"/>
                                </w:rPr>
                                <w:t>of</w:t>
                              </w:r>
                              <w:r>
                                <w:rPr>
                                  <w:color w:val="231F20"/>
                                  <w:spacing w:val="-9"/>
                                  <w:sz w:val="15"/>
                                </w:rPr>
                                <w:t> </w:t>
                              </w:r>
                              <w:r>
                                <w:rPr>
                                  <w:color w:val="231F20"/>
                                  <w:sz w:val="15"/>
                                </w:rPr>
                                <w:t>1.1</w:t>
                              </w:r>
                              <w:r>
                                <w:rPr>
                                  <w:color w:val="231F20"/>
                                  <w:spacing w:val="-10"/>
                                  <w:sz w:val="15"/>
                                </w:rPr>
                                <w:t> </w:t>
                              </w:r>
                              <w:r>
                                <w:rPr>
                                  <w:i/>
                                  <w:color w:val="231F20"/>
                                  <w:sz w:val="15"/>
                                </w:rPr>
                                <w:t>Migraine</w:t>
                              </w:r>
                              <w:r>
                                <w:rPr>
                                  <w:i/>
                                  <w:color w:val="231F20"/>
                                  <w:spacing w:val="-10"/>
                                  <w:sz w:val="15"/>
                                </w:rPr>
                                <w:t> </w:t>
                              </w:r>
                              <w:r>
                                <w:rPr>
                                  <w:i/>
                                  <w:color w:val="231F20"/>
                                  <w:sz w:val="15"/>
                                </w:rPr>
                                <w:t>without</w:t>
                              </w:r>
                              <w:r>
                                <w:rPr>
                                  <w:i/>
                                  <w:color w:val="231F20"/>
                                  <w:spacing w:val="-10"/>
                                  <w:sz w:val="15"/>
                                </w:rPr>
                                <w:t> </w:t>
                              </w:r>
                              <w:r>
                                <w:rPr>
                                  <w:i/>
                                  <w:color w:val="231F20"/>
                                  <w:sz w:val="15"/>
                                </w:rPr>
                                <w:t>aura</w:t>
                              </w:r>
                              <w:r>
                                <w:rPr>
                                  <w:i/>
                                  <w:color w:val="231F20"/>
                                  <w:spacing w:val="-10"/>
                                  <w:sz w:val="15"/>
                                </w:rPr>
                                <w:t> </w:t>
                              </w:r>
                              <w:r>
                                <w:rPr>
                                  <w:color w:val="231F20"/>
                                  <w:sz w:val="15"/>
                                </w:rPr>
                                <w:t>or</w:t>
                              </w:r>
                              <w:r>
                                <w:rPr>
                                  <w:color w:val="231F20"/>
                                  <w:spacing w:val="-9"/>
                                  <w:sz w:val="15"/>
                                </w:rPr>
                                <w:t> </w:t>
                              </w:r>
                              <w:r>
                                <w:rPr>
                                  <w:color w:val="231F20"/>
                                  <w:spacing w:val="-5"/>
                                  <w:sz w:val="15"/>
                                </w:rPr>
                                <w:t>1.2</w:t>
                              </w:r>
                            </w:p>
                            <w:p>
                              <w:pPr>
                                <w:spacing w:line="168" w:lineRule="exact" w:before="0"/>
                                <w:ind w:left="279" w:right="0" w:firstLine="0"/>
                                <w:jc w:val="left"/>
                                <w:rPr>
                                  <w:i/>
                                  <w:color w:val="000000"/>
                                  <w:sz w:val="15"/>
                                </w:rPr>
                              </w:pPr>
                              <w:r>
                                <w:rPr>
                                  <w:i/>
                                  <w:color w:val="231F20"/>
                                  <w:spacing w:val="-2"/>
                                  <w:sz w:val="15"/>
                                </w:rPr>
                                <w:t>Migraine</w:t>
                              </w:r>
                              <w:r>
                                <w:rPr>
                                  <w:i/>
                                  <w:color w:val="231F20"/>
                                  <w:spacing w:val="-4"/>
                                  <w:sz w:val="15"/>
                                </w:rPr>
                                <w:t> </w:t>
                              </w:r>
                              <w:r>
                                <w:rPr>
                                  <w:i/>
                                  <w:color w:val="231F20"/>
                                  <w:spacing w:val="-2"/>
                                  <w:sz w:val="15"/>
                                </w:rPr>
                                <w:t>with</w:t>
                              </w:r>
                              <w:r>
                                <w:rPr>
                                  <w:i/>
                                  <w:color w:val="231F20"/>
                                  <w:spacing w:val="-4"/>
                                  <w:sz w:val="15"/>
                                </w:rPr>
                                <w:t> aura</w:t>
                              </w:r>
                            </w:p>
                            <w:p>
                              <w:pPr>
                                <w:numPr>
                                  <w:ilvl w:val="0"/>
                                  <w:numId w:val="67"/>
                                </w:numPr>
                                <w:tabs>
                                  <w:tab w:pos="279" w:val="left" w:leader="none"/>
                                </w:tabs>
                                <w:spacing w:line="230" w:lineRule="auto" w:before="2"/>
                                <w:ind w:left="279" w:right="375" w:hanging="206"/>
                                <w:jc w:val="left"/>
                                <w:rPr>
                                  <w:color w:val="000000"/>
                                  <w:sz w:val="15"/>
                                </w:rPr>
                              </w:pPr>
                              <w:r>
                                <w:rPr>
                                  <w:color w:val="231F20"/>
                                  <w:sz w:val="15"/>
                                </w:rPr>
                                <w:t>Vestibular</w:t>
                              </w:r>
                              <w:r>
                                <w:rPr>
                                  <w:color w:val="231F20"/>
                                  <w:spacing w:val="-12"/>
                                  <w:sz w:val="15"/>
                                </w:rPr>
                                <w:t> </w:t>
                              </w:r>
                              <w:r>
                                <w:rPr>
                                  <w:color w:val="231F20"/>
                                  <w:sz w:val="15"/>
                                </w:rPr>
                                <w:t>symptoms</w:t>
                              </w:r>
                              <w:r>
                                <w:rPr>
                                  <w:color w:val="231F20"/>
                                  <w:spacing w:val="-11"/>
                                  <w:sz w:val="15"/>
                                </w:rPr>
                                <w:t> </w:t>
                              </w:r>
                              <w:r>
                                <w:rPr>
                                  <w:color w:val="231F20"/>
                                  <w:sz w:val="15"/>
                                </w:rPr>
                                <w:t>of</w:t>
                              </w:r>
                              <w:r>
                                <w:rPr>
                                  <w:color w:val="231F20"/>
                                  <w:spacing w:val="-11"/>
                                  <w:sz w:val="15"/>
                                </w:rPr>
                                <w:t> </w:t>
                              </w:r>
                              <w:r>
                                <w:rPr>
                                  <w:color w:val="231F20"/>
                                  <w:sz w:val="15"/>
                                </w:rPr>
                                <w:t>moderate</w:t>
                              </w:r>
                              <w:r>
                                <w:rPr>
                                  <w:color w:val="231F20"/>
                                  <w:spacing w:val="-12"/>
                                  <w:sz w:val="15"/>
                                </w:rPr>
                                <w:t> </w:t>
                              </w:r>
                              <w:r>
                                <w:rPr>
                                  <w:color w:val="231F20"/>
                                  <w:sz w:val="15"/>
                                </w:rPr>
                                <w:t>or</w:t>
                              </w:r>
                              <w:r>
                                <w:rPr>
                                  <w:color w:val="231F20"/>
                                  <w:spacing w:val="-11"/>
                                  <w:sz w:val="15"/>
                                </w:rPr>
                                <w:t> </w:t>
                              </w:r>
                              <w:r>
                                <w:rPr>
                                  <w:color w:val="231F20"/>
                                  <w:sz w:val="15"/>
                                </w:rPr>
                                <w:t>severe</w:t>
                              </w:r>
                              <w:r>
                                <w:rPr>
                                  <w:color w:val="231F20"/>
                                  <w:spacing w:val="-11"/>
                                  <w:sz w:val="15"/>
                                </w:rPr>
                                <w:t> </w:t>
                              </w:r>
                              <w:r>
                                <w:rPr>
                                  <w:color w:val="231F20"/>
                                  <w:sz w:val="15"/>
                                </w:rPr>
                                <w:t>intensity,</w:t>
                              </w:r>
                              <w:r>
                                <w:rPr>
                                  <w:color w:val="231F20"/>
                                  <w:spacing w:val="-12"/>
                                  <w:sz w:val="15"/>
                                </w:rPr>
                                <w:t> </w:t>
                              </w:r>
                              <w:r>
                                <w:rPr>
                                  <w:color w:val="231F20"/>
                                  <w:sz w:val="15"/>
                                </w:rPr>
                                <w:t>lasting between 5 min and 72 hr</w:t>
                              </w:r>
                            </w:p>
                            <w:p>
                              <w:pPr>
                                <w:numPr>
                                  <w:ilvl w:val="0"/>
                                  <w:numId w:val="67"/>
                                </w:numPr>
                                <w:tabs>
                                  <w:tab w:pos="277" w:val="left" w:leader="none"/>
                                  <w:tab w:pos="279" w:val="left" w:leader="none"/>
                                </w:tabs>
                                <w:spacing w:line="230" w:lineRule="auto" w:before="2"/>
                                <w:ind w:left="279" w:right="340" w:hanging="206"/>
                                <w:jc w:val="left"/>
                                <w:rPr>
                                  <w:color w:val="000000"/>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50%</w:t>
                              </w:r>
                              <w:r>
                                <w:rPr>
                                  <w:color w:val="231F20"/>
                                  <w:spacing w:val="-4"/>
                                  <w:sz w:val="15"/>
                                </w:rPr>
                                <w:t> </w:t>
                              </w:r>
                              <w:r>
                                <w:rPr>
                                  <w:color w:val="231F20"/>
                                  <w:sz w:val="15"/>
                                </w:rPr>
                                <w:t>of</w:t>
                              </w:r>
                              <w:r>
                                <w:rPr>
                                  <w:color w:val="231F20"/>
                                  <w:spacing w:val="-4"/>
                                  <w:sz w:val="15"/>
                                </w:rPr>
                                <w:t> </w:t>
                              </w:r>
                              <w:r>
                                <w:rPr>
                                  <w:color w:val="231F20"/>
                                  <w:sz w:val="15"/>
                                </w:rPr>
                                <w:t>episodes</w:t>
                              </w:r>
                              <w:r>
                                <w:rPr>
                                  <w:color w:val="231F20"/>
                                  <w:spacing w:val="-4"/>
                                  <w:sz w:val="15"/>
                                </w:rPr>
                                <w:t> </w:t>
                              </w:r>
                              <w:r>
                                <w:rPr>
                                  <w:color w:val="231F20"/>
                                  <w:sz w:val="15"/>
                                </w:rPr>
                                <w:t>are</w:t>
                              </w:r>
                              <w:r>
                                <w:rPr>
                                  <w:color w:val="231F20"/>
                                  <w:spacing w:val="-4"/>
                                  <w:sz w:val="15"/>
                                </w:rPr>
                                <w:t> </w:t>
                              </w:r>
                              <w:r>
                                <w:rPr>
                                  <w:color w:val="231F20"/>
                                  <w:sz w:val="15"/>
                                </w:rPr>
                                <w:t>associated</w:t>
                              </w:r>
                              <w:r>
                                <w:rPr>
                                  <w:color w:val="231F20"/>
                                  <w:spacing w:val="-4"/>
                                  <w:sz w:val="15"/>
                                </w:rPr>
                                <w:t> </w:t>
                              </w:r>
                              <w:r>
                                <w:rPr>
                                  <w:color w:val="231F20"/>
                                  <w:sz w:val="15"/>
                                </w:rPr>
                                <w:t>with</w:t>
                              </w:r>
                              <w:r>
                                <w:rPr>
                                  <w:color w:val="231F20"/>
                                  <w:spacing w:val="-4"/>
                                  <w:sz w:val="15"/>
                                </w:rPr>
                                <w:t> </w:t>
                              </w: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1</w:t>
                              </w:r>
                              <w:r>
                                <w:rPr>
                                  <w:color w:val="231F20"/>
                                  <w:spacing w:val="-4"/>
                                  <w:sz w:val="15"/>
                                </w:rPr>
                                <w:t> </w:t>
                              </w:r>
                              <w:r>
                                <w:rPr>
                                  <w:color w:val="231F20"/>
                                  <w:sz w:val="15"/>
                                </w:rPr>
                                <w:t>of</w:t>
                              </w:r>
                              <w:r>
                                <w:rPr>
                                  <w:color w:val="231F20"/>
                                  <w:spacing w:val="-4"/>
                                  <w:sz w:val="15"/>
                                </w:rPr>
                                <w:t> </w:t>
                              </w:r>
                              <w:r>
                                <w:rPr>
                                  <w:color w:val="231F20"/>
                                  <w:sz w:val="15"/>
                                </w:rPr>
                                <w:t>the following 3 migrainous features:</w:t>
                              </w:r>
                            </w:p>
                            <w:p>
                              <w:pPr>
                                <w:numPr>
                                  <w:ilvl w:val="1"/>
                                  <w:numId w:val="67"/>
                                </w:numPr>
                                <w:tabs>
                                  <w:tab w:pos="457" w:val="left" w:leader="none"/>
                                </w:tabs>
                                <w:spacing w:line="167" w:lineRule="exact" w:before="0"/>
                                <w:ind w:left="457" w:right="0" w:hanging="191"/>
                                <w:jc w:val="left"/>
                                <w:rPr>
                                  <w:color w:val="000000"/>
                                  <w:sz w:val="15"/>
                                </w:rPr>
                              </w:pPr>
                              <w:r>
                                <w:rPr>
                                  <w:color w:val="231F20"/>
                                  <w:sz w:val="15"/>
                                </w:rPr>
                                <w:t>Headache</w:t>
                              </w:r>
                              <w:r>
                                <w:rPr>
                                  <w:color w:val="231F20"/>
                                  <w:spacing w:val="-7"/>
                                  <w:sz w:val="15"/>
                                </w:rPr>
                                <w:t> </w:t>
                              </w:r>
                              <w:r>
                                <w:rPr>
                                  <w:color w:val="231F20"/>
                                  <w:sz w:val="15"/>
                                </w:rPr>
                                <w:t>with</w:t>
                              </w:r>
                              <w:r>
                                <w:rPr>
                                  <w:color w:val="231F20"/>
                                  <w:spacing w:val="-7"/>
                                  <w:sz w:val="15"/>
                                </w:rPr>
                                <w:t> </w:t>
                              </w:r>
                              <w:r>
                                <w:rPr>
                                  <w:color w:val="231F20"/>
                                  <w:sz w:val="15"/>
                                </w:rPr>
                                <w:t>at</w:t>
                              </w:r>
                              <w:r>
                                <w:rPr>
                                  <w:color w:val="231F20"/>
                                  <w:spacing w:val="-6"/>
                                  <w:sz w:val="15"/>
                                </w:rPr>
                                <w:t> </w:t>
                              </w:r>
                              <w:r>
                                <w:rPr>
                                  <w:color w:val="231F20"/>
                                  <w:sz w:val="15"/>
                                </w:rPr>
                                <w:t>least</w:t>
                              </w:r>
                              <w:r>
                                <w:rPr>
                                  <w:color w:val="231F20"/>
                                  <w:spacing w:val="-7"/>
                                  <w:sz w:val="15"/>
                                </w:rPr>
                                <w:t> </w:t>
                              </w:r>
                              <w:r>
                                <w:rPr>
                                  <w:color w:val="231F20"/>
                                  <w:sz w:val="15"/>
                                </w:rPr>
                                <w:t>2</w:t>
                              </w:r>
                              <w:r>
                                <w:rPr>
                                  <w:color w:val="231F20"/>
                                  <w:spacing w:val="-6"/>
                                  <w:sz w:val="15"/>
                                </w:rPr>
                                <w:t> </w:t>
                              </w:r>
                              <w:r>
                                <w:rPr>
                                  <w:color w:val="231F20"/>
                                  <w:sz w:val="15"/>
                                </w:rPr>
                                <w:t>of</w:t>
                              </w:r>
                              <w:r>
                                <w:rPr>
                                  <w:color w:val="231F20"/>
                                  <w:spacing w:val="-7"/>
                                  <w:sz w:val="15"/>
                                </w:rPr>
                                <w:t> </w:t>
                              </w:r>
                              <w:r>
                                <w:rPr>
                                  <w:color w:val="231F20"/>
                                  <w:sz w:val="15"/>
                                </w:rPr>
                                <w:t>the</w:t>
                              </w:r>
                              <w:r>
                                <w:rPr>
                                  <w:color w:val="231F20"/>
                                  <w:spacing w:val="-6"/>
                                  <w:sz w:val="15"/>
                                </w:rPr>
                                <w:t> </w:t>
                              </w:r>
                              <w:r>
                                <w:rPr>
                                  <w:color w:val="231F20"/>
                                  <w:sz w:val="15"/>
                                </w:rPr>
                                <w:t>following</w:t>
                              </w:r>
                              <w:r>
                                <w:rPr>
                                  <w:color w:val="231F20"/>
                                  <w:spacing w:val="-7"/>
                                  <w:sz w:val="15"/>
                                </w:rPr>
                                <w:t> </w:t>
                              </w:r>
                              <w:r>
                                <w:rPr>
                                  <w:color w:val="231F20"/>
                                  <w:sz w:val="15"/>
                                </w:rPr>
                                <w:t>4</w:t>
                              </w:r>
                              <w:r>
                                <w:rPr>
                                  <w:color w:val="231F20"/>
                                  <w:spacing w:val="-6"/>
                                  <w:sz w:val="15"/>
                                </w:rPr>
                                <w:t> </w:t>
                              </w:r>
                              <w:r>
                                <w:rPr>
                                  <w:color w:val="231F20"/>
                                  <w:spacing w:val="-2"/>
                                  <w:sz w:val="15"/>
                                </w:rPr>
                                <w:t>characteristics:</w:t>
                              </w:r>
                            </w:p>
                            <w:p>
                              <w:pPr>
                                <w:numPr>
                                  <w:ilvl w:val="2"/>
                                  <w:numId w:val="67"/>
                                </w:numPr>
                                <w:tabs>
                                  <w:tab w:pos="663" w:val="left" w:leader="none"/>
                                </w:tabs>
                                <w:spacing w:line="168" w:lineRule="exact" w:before="0"/>
                                <w:ind w:left="663" w:right="0" w:hanging="204"/>
                                <w:jc w:val="left"/>
                                <w:rPr>
                                  <w:color w:val="000000"/>
                                  <w:sz w:val="15"/>
                                </w:rPr>
                              </w:pPr>
                              <w:r>
                                <w:rPr>
                                  <w:color w:val="231F20"/>
                                  <w:spacing w:val="-4"/>
                                  <w:sz w:val="15"/>
                                </w:rPr>
                                <w:t>Unilateral</w:t>
                              </w:r>
                              <w:r>
                                <w:rPr>
                                  <w:color w:val="231F20"/>
                                  <w:sz w:val="15"/>
                                </w:rPr>
                                <w:t> </w:t>
                              </w:r>
                              <w:r>
                                <w:rPr>
                                  <w:color w:val="231F20"/>
                                  <w:spacing w:val="-2"/>
                                  <w:sz w:val="15"/>
                                </w:rPr>
                                <w:t>location</w:t>
                              </w:r>
                            </w:p>
                            <w:p>
                              <w:pPr>
                                <w:numPr>
                                  <w:ilvl w:val="2"/>
                                  <w:numId w:val="67"/>
                                </w:numPr>
                                <w:tabs>
                                  <w:tab w:pos="663" w:val="left" w:leader="none"/>
                                </w:tabs>
                                <w:spacing w:line="168" w:lineRule="exact" w:before="0"/>
                                <w:ind w:left="663" w:right="0" w:hanging="204"/>
                                <w:jc w:val="left"/>
                                <w:rPr>
                                  <w:color w:val="000000"/>
                                  <w:sz w:val="15"/>
                                </w:rPr>
                              </w:pPr>
                              <w:r>
                                <w:rPr>
                                  <w:color w:val="231F20"/>
                                  <w:sz w:val="15"/>
                                </w:rPr>
                                <w:t>Pulsating</w:t>
                              </w:r>
                              <w:r>
                                <w:rPr>
                                  <w:color w:val="231F20"/>
                                  <w:spacing w:val="-6"/>
                                  <w:sz w:val="15"/>
                                </w:rPr>
                                <w:t> </w:t>
                              </w:r>
                              <w:r>
                                <w:rPr>
                                  <w:color w:val="231F20"/>
                                  <w:spacing w:val="-2"/>
                                  <w:sz w:val="15"/>
                                </w:rPr>
                                <w:t>quality</w:t>
                              </w:r>
                            </w:p>
                            <w:p>
                              <w:pPr>
                                <w:numPr>
                                  <w:ilvl w:val="2"/>
                                  <w:numId w:val="67"/>
                                </w:numPr>
                                <w:tabs>
                                  <w:tab w:pos="663" w:val="left" w:leader="none"/>
                                </w:tabs>
                                <w:spacing w:line="168" w:lineRule="exact" w:before="0"/>
                                <w:ind w:left="663" w:right="0" w:hanging="204"/>
                                <w:jc w:val="left"/>
                                <w:rPr>
                                  <w:color w:val="000000"/>
                                  <w:sz w:val="15"/>
                                </w:rPr>
                              </w:pPr>
                              <w:r>
                                <w:rPr>
                                  <w:color w:val="231F20"/>
                                  <w:sz w:val="15"/>
                                </w:rPr>
                                <w:t>Moderate</w:t>
                              </w:r>
                              <w:r>
                                <w:rPr>
                                  <w:color w:val="231F20"/>
                                  <w:spacing w:val="3"/>
                                  <w:sz w:val="15"/>
                                </w:rPr>
                                <w:t> </w:t>
                              </w:r>
                              <w:r>
                                <w:rPr>
                                  <w:color w:val="231F20"/>
                                  <w:sz w:val="15"/>
                                </w:rPr>
                                <w:t>or</w:t>
                              </w:r>
                              <w:r>
                                <w:rPr>
                                  <w:color w:val="231F20"/>
                                  <w:spacing w:val="4"/>
                                  <w:sz w:val="15"/>
                                </w:rPr>
                                <w:t> </w:t>
                              </w:r>
                              <w:r>
                                <w:rPr>
                                  <w:color w:val="231F20"/>
                                  <w:sz w:val="15"/>
                                </w:rPr>
                                <w:t>severe</w:t>
                              </w:r>
                              <w:r>
                                <w:rPr>
                                  <w:color w:val="231F20"/>
                                  <w:spacing w:val="4"/>
                                  <w:sz w:val="15"/>
                                </w:rPr>
                                <w:t> </w:t>
                              </w:r>
                              <w:r>
                                <w:rPr>
                                  <w:color w:val="231F20"/>
                                  <w:spacing w:val="-2"/>
                                  <w:sz w:val="15"/>
                                </w:rPr>
                                <w:t>intensity</w:t>
                              </w:r>
                            </w:p>
                            <w:p>
                              <w:pPr>
                                <w:numPr>
                                  <w:ilvl w:val="2"/>
                                  <w:numId w:val="67"/>
                                </w:numPr>
                                <w:tabs>
                                  <w:tab w:pos="663" w:val="left" w:leader="none"/>
                                </w:tabs>
                                <w:spacing w:line="168" w:lineRule="exact" w:before="0"/>
                                <w:ind w:left="663" w:right="0" w:hanging="204"/>
                                <w:jc w:val="left"/>
                                <w:rPr>
                                  <w:color w:val="000000"/>
                                  <w:sz w:val="15"/>
                                </w:rPr>
                              </w:pPr>
                              <w:r>
                                <w:rPr>
                                  <w:color w:val="231F20"/>
                                  <w:sz w:val="15"/>
                                </w:rPr>
                                <w:t>Aggravation</w:t>
                              </w:r>
                              <w:r>
                                <w:rPr>
                                  <w:color w:val="231F20"/>
                                  <w:spacing w:val="-3"/>
                                  <w:sz w:val="15"/>
                                </w:rPr>
                                <w:t> </w:t>
                              </w:r>
                              <w:r>
                                <w:rPr>
                                  <w:color w:val="231F20"/>
                                  <w:sz w:val="15"/>
                                </w:rPr>
                                <w:t>by</w:t>
                              </w:r>
                              <w:r>
                                <w:rPr>
                                  <w:color w:val="231F20"/>
                                  <w:spacing w:val="-2"/>
                                  <w:sz w:val="15"/>
                                </w:rPr>
                                <w:t> </w:t>
                              </w:r>
                              <w:r>
                                <w:rPr>
                                  <w:color w:val="231F20"/>
                                  <w:sz w:val="15"/>
                                </w:rPr>
                                <w:t>routine</w:t>
                              </w:r>
                              <w:r>
                                <w:rPr>
                                  <w:color w:val="231F20"/>
                                  <w:spacing w:val="-3"/>
                                  <w:sz w:val="15"/>
                                </w:rPr>
                                <w:t> </w:t>
                              </w:r>
                              <w:r>
                                <w:rPr>
                                  <w:color w:val="231F20"/>
                                  <w:sz w:val="15"/>
                                </w:rPr>
                                <w:t>physical</w:t>
                              </w:r>
                              <w:r>
                                <w:rPr>
                                  <w:color w:val="231F20"/>
                                  <w:spacing w:val="-2"/>
                                  <w:sz w:val="15"/>
                                </w:rPr>
                                <w:t> activity</w:t>
                              </w:r>
                            </w:p>
                            <w:p>
                              <w:pPr>
                                <w:numPr>
                                  <w:ilvl w:val="1"/>
                                  <w:numId w:val="67"/>
                                </w:numPr>
                                <w:tabs>
                                  <w:tab w:pos="457" w:val="left" w:leader="none"/>
                                </w:tabs>
                                <w:spacing w:line="168" w:lineRule="exact" w:before="0"/>
                                <w:ind w:left="457" w:right="0" w:hanging="191"/>
                                <w:jc w:val="left"/>
                                <w:rPr>
                                  <w:color w:val="000000"/>
                                  <w:sz w:val="15"/>
                                </w:rPr>
                              </w:pPr>
                              <w:r>
                                <w:rPr>
                                  <w:color w:val="231F20"/>
                                  <w:sz w:val="15"/>
                                </w:rPr>
                                <w:t>Photophobia</w:t>
                              </w:r>
                              <w:r>
                                <w:rPr>
                                  <w:color w:val="231F20"/>
                                  <w:spacing w:val="17"/>
                                  <w:sz w:val="15"/>
                                </w:rPr>
                                <w:t> </w:t>
                              </w:r>
                              <w:r>
                                <w:rPr>
                                  <w:color w:val="231F20"/>
                                  <w:sz w:val="15"/>
                                </w:rPr>
                                <w:t>and</w:t>
                              </w:r>
                              <w:r>
                                <w:rPr>
                                  <w:color w:val="231F20"/>
                                  <w:spacing w:val="17"/>
                                  <w:sz w:val="15"/>
                                </w:rPr>
                                <w:t> </w:t>
                              </w:r>
                              <w:r>
                                <w:rPr>
                                  <w:color w:val="231F20"/>
                                  <w:spacing w:val="-2"/>
                                  <w:sz w:val="15"/>
                                </w:rPr>
                                <w:t>phonophobia</w:t>
                              </w:r>
                            </w:p>
                            <w:p>
                              <w:pPr>
                                <w:numPr>
                                  <w:ilvl w:val="1"/>
                                  <w:numId w:val="67"/>
                                </w:numPr>
                                <w:tabs>
                                  <w:tab w:pos="457" w:val="left" w:leader="none"/>
                                </w:tabs>
                                <w:spacing w:line="168" w:lineRule="exact" w:before="0"/>
                                <w:ind w:left="457" w:right="0" w:hanging="191"/>
                                <w:jc w:val="left"/>
                                <w:rPr>
                                  <w:color w:val="000000"/>
                                  <w:sz w:val="15"/>
                                </w:rPr>
                              </w:pPr>
                              <w:r>
                                <w:rPr>
                                  <w:color w:val="231F20"/>
                                  <w:spacing w:val="-2"/>
                                  <w:sz w:val="15"/>
                                </w:rPr>
                                <w:t>Visual</w:t>
                              </w:r>
                              <w:r>
                                <w:rPr>
                                  <w:color w:val="231F20"/>
                                  <w:spacing w:val="-3"/>
                                  <w:sz w:val="15"/>
                                </w:rPr>
                                <w:t> </w:t>
                              </w:r>
                              <w:r>
                                <w:rPr>
                                  <w:color w:val="231F20"/>
                                  <w:spacing w:val="-4"/>
                                  <w:sz w:val="15"/>
                                </w:rPr>
                                <w:t>aura</w:t>
                              </w:r>
                            </w:p>
                            <w:p>
                              <w:pPr>
                                <w:numPr>
                                  <w:ilvl w:val="0"/>
                                  <w:numId w:val="67"/>
                                </w:numPr>
                                <w:tabs>
                                  <w:tab w:pos="278" w:val="left" w:leader="none"/>
                                  <w:tab w:pos="280" w:val="left" w:leader="none"/>
                                </w:tabs>
                                <w:spacing w:line="230" w:lineRule="auto" w:before="2"/>
                                <w:ind w:left="280" w:right="364" w:hanging="206"/>
                                <w:jc w:val="left"/>
                                <w:rPr>
                                  <w:color w:val="000000"/>
                                  <w:sz w:val="15"/>
                                </w:rPr>
                              </w:pPr>
                              <w:r>
                                <w:rPr>
                                  <w:color w:val="231F20"/>
                                  <w:sz w:val="15"/>
                                </w:rPr>
                                <w:t>Not better accounted for by another ICHD-3 diagnosis or </w:t>
                              </w:r>
                              <w:r>
                                <w:rPr>
                                  <w:color w:val="231F20"/>
                                  <w:sz w:val="15"/>
                                </w:rPr>
                                <w:t>by another vestibular disorder</w:t>
                              </w:r>
                            </w:p>
                          </w:txbxContent>
                        </wps:txbx>
                        <wps:bodyPr wrap="square" lIns="0" tIns="0" rIns="0" bIns="0" rtlCol="0">
                          <a:noAutofit/>
                        </wps:bodyPr>
                      </wps:wsp>
                      <wps:wsp>
                        <wps:cNvPr id="685" name="Graphic 685"/>
                        <wps:cNvSpPr/>
                        <wps:spPr>
                          <a:xfrm>
                            <a:off x="0" y="1997518"/>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686" name="Textbox 686"/>
                        <wps:cNvSpPr txBox="1"/>
                        <wps:spPr>
                          <a:xfrm>
                            <a:off x="734644" y="0"/>
                            <a:ext cx="2251710" cy="225425"/>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Vestibular</w:t>
                              </w:r>
                              <w:r>
                                <w:rPr>
                                  <w:color w:val="FFFFFF"/>
                                  <w:spacing w:val="4"/>
                                  <w:w w:val="105"/>
                                  <w:sz w:val="16"/>
                                </w:rPr>
                                <w:t> </w:t>
                              </w:r>
                              <w:r>
                                <w:rPr>
                                  <w:color w:val="FFFFFF"/>
                                  <w:w w:val="105"/>
                                  <w:sz w:val="16"/>
                                </w:rPr>
                                <w:t>Migraine</w:t>
                              </w:r>
                              <w:r>
                                <w:rPr>
                                  <w:color w:val="FFFFFF"/>
                                  <w:spacing w:val="5"/>
                                  <w:w w:val="105"/>
                                  <w:sz w:val="16"/>
                                </w:rPr>
                                <w:t> </w:t>
                              </w:r>
                              <w:r>
                                <w:rPr>
                                  <w:color w:val="FFFFFF"/>
                                  <w:w w:val="105"/>
                                  <w:sz w:val="16"/>
                                </w:rPr>
                                <w:t>with</w:t>
                              </w:r>
                              <w:r>
                                <w:rPr>
                                  <w:color w:val="FFFFFF"/>
                                  <w:spacing w:val="4"/>
                                  <w:w w:val="105"/>
                                  <w:sz w:val="16"/>
                                </w:rPr>
                                <w:t> </w:t>
                              </w:r>
                              <w:r>
                                <w:rPr>
                                  <w:color w:val="FFFFFF"/>
                                  <w:spacing w:val="-2"/>
                                  <w:w w:val="105"/>
                                  <w:sz w:val="16"/>
                                </w:rPr>
                                <w:t>Vertigo</w:t>
                              </w:r>
                            </w:p>
                          </w:txbxContent>
                        </wps:txbx>
                        <wps:bodyPr wrap="square" lIns="0" tIns="0" rIns="0" bIns="0" rtlCol="0">
                          <a:noAutofit/>
                        </wps:bodyPr>
                      </wps:wsp>
                      <wps:wsp>
                        <wps:cNvPr id="687" name="Textbox 687"/>
                        <wps:cNvSpPr txBox="1"/>
                        <wps:spPr>
                          <a:xfrm>
                            <a:off x="0" y="0"/>
                            <a:ext cx="723265" cy="225425"/>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5</w:t>
                              </w:r>
                            </w:p>
                          </w:txbxContent>
                        </wps:txbx>
                        <wps:bodyPr wrap="square" lIns="0" tIns="0" rIns="0" bIns="0" rtlCol="0">
                          <a:noAutofit/>
                        </wps:bodyPr>
                      </wps:wsp>
                    </wpg:wgp>
                  </a:graphicData>
                </a:graphic>
              </wp:anchor>
            </w:drawing>
          </mc:Choice>
          <mc:Fallback>
            <w:pict>
              <v:group style="position:absolute;margin-left:297.5pt;margin-top:-159.940994pt;width:235.15pt;height:158.25pt;mso-position-horizontal-relative:page;mso-position-vertical-relative:paragraph;z-index:15766016" id="docshapegroup578" coordorigin="5950,-3199" coordsize="4703,3165">
                <v:shape style="position:absolute;left:5950;top:-2826;width:4703;height:2782" type="#_x0000_t202" id="docshape579" filled="true" fillcolor="#e8f5f1" stroked="false">
                  <v:textbox inset="0,0,0,0">
                    <w:txbxContent>
                      <w:p>
                        <w:pPr>
                          <w:numPr>
                            <w:ilvl w:val="0"/>
                            <w:numId w:val="67"/>
                          </w:numPr>
                          <w:tabs>
                            <w:tab w:pos="279" w:val="left" w:leader="none"/>
                          </w:tabs>
                          <w:spacing w:line="171" w:lineRule="exact" w:before="47"/>
                          <w:ind w:left="279" w:right="0" w:hanging="205"/>
                          <w:jc w:val="left"/>
                          <w:rPr>
                            <w:color w:val="000000"/>
                            <w:sz w:val="15"/>
                          </w:rPr>
                        </w:pPr>
                        <w:r>
                          <w:rPr>
                            <w:color w:val="231F20"/>
                            <w:sz w:val="15"/>
                          </w:rPr>
                          <w:t>At</w:t>
                        </w:r>
                        <w:r>
                          <w:rPr>
                            <w:color w:val="231F20"/>
                            <w:spacing w:val="-8"/>
                            <w:sz w:val="15"/>
                          </w:rPr>
                          <w:t> </w:t>
                        </w:r>
                        <w:r>
                          <w:rPr>
                            <w:color w:val="231F20"/>
                            <w:sz w:val="15"/>
                          </w:rPr>
                          <w:t>least</w:t>
                        </w:r>
                        <w:r>
                          <w:rPr>
                            <w:color w:val="231F20"/>
                            <w:spacing w:val="-7"/>
                            <w:sz w:val="15"/>
                          </w:rPr>
                          <w:t> </w:t>
                        </w:r>
                        <w:r>
                          <w:rPr>
                            <w:color w:val="231F20"/>
                            <w:sz w:val="15"/>
                          </w:rPr>
                          <w:t>5</w:t>
                        </w:r>
                        <w:r>
                          <w:rPr>
                            <w:color w:val="231F20"/>
                            <w:spacing w:val="-7"/>
                            <w:sz w:val="15"/>
                          </w:rPr>
                          <w:t> </w:t>
                        </w:r>
                        <w:r>
                          <w:rPr>
                            <w:color w:val="231F20"/>
                            <w:sz w:val="15"/>
                          </w:rPr>
                          <w:t>episodes</w:t>
                        </w:r>
                        <w:r>
                          <w:rPr>
                            <w:color w:val="231F20"/>
                            <w:spacing w:val="-7"/>
                            <w:sz w:val="15"/>
                          </w:rPr>
                          <w:t> </w:t>
                        </w:r>
                        <w:r>
                          <w:rPr>
                            <w:color w:val="231F20"/>
                            <w:sz w:val="15"/>
                          </w:rPr>
                          <w:t>fulfilling</w:t>
                        </w:r>
                        <w:r>
                          <w:rPr>
                            <w:color w:val="231F20"/>
                            <w:spacing w:val="-7"/>
                            <w:sz w:val="15"/>
                          </w:rPr>
                          <w:t> </w:t>
                        </w:r>
                        <w:r>
                          <w:rPr>
                            <w:color w:val="231F20"/>
                            <w:sz w:val="15"/>
                          </w:rPr>
                          <w:t>criteria</w:t>
                        </w:r>
                        <w:r>
                          <w:rPr>
                            <w:color w:val="231F20"/>
                            <w:spacing w:val="-7"/>
                            <w:sz w:val="15"/>
                          </w:rPr>
                          <w:t> </w:t>
                        </w:r>
                        <w:r>
                          <w:rPr>
                            <w:color w:val="231F20"/>
                            <w:sz w:val="15"/>
                          </w:rPr>
                          <w:t>C</w:t>
                        </w:r>
                        <w:r>
                          <w:rPr>
                            <w:color w:val="231F20"/>
                            <w:spacing w:val="-7"/>
                            <w:sz w:val="15"/>
                          </w:rPr>
                          <w:t> </w:t>
                        </w:r>
                        <w:r>
                          <w:rPr>
                            <w:color w:val="231F20"/>
                            <w:sz w:val="15"/>
                          </w:rPr>
                          <w:t>and</w:t>
                        </w:r>
                        <w:r>
                          <w:rPr>
                            <w:color w:val="231F20"/>
                            <w:spacing w:val="-8"/>
                            <w:sz w:val="15"/>
                          </w:rPr>
                          <w:t> </w:t>
                        </w:r>
                        <w:r>
                          <w:rPr>
                            <w:color w:val="231F20"/>
                            <w:spacing w:val="-10"/>
                            <w:sz w:val="15"/>
                          </w:rPr>
                          <w:t>D</w:t>
                        </w:r>
                      </w:p>
                      <w:p>
                        <w:pPr>
                          <w:numPr>
                            <w:ilvl w:val="0"/>
                            <w:numId w:val="67"/>
                          </w:numPr>
                          <w:tabs>
                            <w:tab w:pos="279" w:val="left" w:leader="none"/>
                          </w:tabs>
                          <w:spacing w:line="168" w:lineRule="exact" w:before="0"/>
                          <w:ind w:left="279" w:right="0" w:hanging="205"/>
                          <w:jc w:val="left"/>
                          <w:rPr>
                            <w:color w:val="000000"/>
                            <w:sz w:val="15"/>
                          </w:rPr>
                        </w:pPr>
                        <w:r>
                          <w:rPr>
                            <w:color w:val="231F20"/>
                            <w:sz w:val="15"/>
                          </w:rPr>
                          <w:t>A</w:t>
                        </w:r>
                        <w:r>
                          <w:rPr>
                            <w:color w:val="231F20"/>
                            <w:spacing w:val="-10"/>
                            <w:sz w:val="15"/>
                          </w:rPr>
                          <w:t> </w:t>
                        </w:r>
                        <w:r>
                          <w:rPr>
                            <w:color w:val="231F20"/>
                            <w:sz w:val="15"/>
                          </w:rPr>
                          <w:t>current</w:t>
                        </w:r>
                        <w:r>
                          <w:rPr>
                            <w:color w:val="231F20"/>
                            <w:spacing w:val="-10"/>
                            <w:sz w:val="15"/>
                          </w:rPr>
                          <w:t> </w:t>
                        </w:r>
                        <w:r>
                          <w:rPr>
                            <w:color w:val="231F20"/>
                            <w:sz w:val="15"/>
                          </w:rPr>
                          <w:t>or</w:t>
                        </w:r>
                        <w:r>
                          <w:rPr>
                            <w:color w:val="231F20"/>
                            <w:spacing w:val="-10"/>
                            <w:sz w:val="15"/>
                          </w:rPr>
                          <w:t> </w:t>
                        </w:r>
                        <w:r>
                          <w:rPr>
                            <w:color w:val="231F20"/>
                            <w:sz w:val="15"/>
                          </w:rPr>
                          <w:t>past</w:t>
                        </w:r>
                        <w:r>
                          <w:rPr>
                            <w:color w:val="231F20"/>
                            <w:spacing w:val="-10"/>
                            <w:sz w:val="15"/>
                          </w:rPr>
                          <w:t> </w:t>
                        </w:r>
                        <w:r>
                          <w:rPr>
                            <w:color w:val="231F20"/>
                            <w:sz w:val="15"/>
                          </w:rPr>
                          <w:t>history</w:t>
                        </w:r>
                        <w:r>
                          <w:rPr>
                            <w:color w:val="231F20"/>
                            <w:spacing w:val="-10"/>
                            <w:sz w:val="15"/>
                          </w:rPr>
                          <w:t> </w:t>
                        </w:r>
                        <w:r>
                          <w:rPr>
                            <w:color w:val="231F20"/>
                            <w:sz w:val="15"/>
                          </w:rPr>
                          <w:t>of</w:t>
                        </w:r>
                        <w:r>
                          <w:rPr>
                            <w:color w:val="231F20"/>
                            <w:spacing w:val="-9"/>
                            <w:sz w:val="15"/>
                          </w:rPr>
                          <w:t> </w:t>
                        </w:r>
                        <w:r>
                          <w:rPr>
                            <w:color w:val="231F20"/>
                            <w:sz w:val="15"/>
                          </w:rPr>
                          <w:t>1.1</w:t>
                        </w:r>
                        <w:r>
                          <w:rPr>
                            <w:color w:val="231F20"/>
                            <w:spacing w:val="-10"/>
                            <w:sz w:val="15"/>
                          </w:rPr>
                          <w:t> </w:t>
                        </w:r>
                        <w:r>
                          <w:rPr>
                            <w:i/>
                            <w:color w:val="231F20"/>
                            <w:sz w:val="15"/>
                          </w:rPr>
                          <w:t>Migraine</w:t>
                        </w:r>
                        <w:r>
                          <w:rPr>
                            <w:i/>
                            <w:color w:val="231F20"/>
                            <w:spacing w:val="-10"/>
                            <w:sz w:val="15"/>
                          </w:rPr>
                          <w:t> </w:t>
                        </w:r>
                        <w:r>
                          <w:rPr>
                            <w:i/>
                            <w:color w:val="231F20"/>
                            <w:sz w:val="15"/>
                          </w:rPr>
                          <w:t>without</w:t>
                        </w:r>
                        <w:r>
                          <w:rPr>
                            <w:i/>
                            <w:color w:val="231F20"/>
                            <w:spacing w:val="-10"/>
                            <w:sz w:val="15"/>
                          </w:rPr>
                          <w:t> </w:t>
                        </w:r>
                        <w:r>
                          <w:rPr>
                            <w:i/>
                            <w:color w:val="231F20"/>
                            <w:sz w:val="15"/>
                          </w:rPr>
                          <w:t>aura</w:t>
                        </w:r>
                        <w:r>
                          <w:rPr>
                            <w:i/>
                            <w:color w:val="231F20"/>
                            <w:spacing w:val="-10"/>
                            <w:sz w:val="15"/>
                          </w:rPr>
                          <w:t> </w:t>
                        </w:r>
                        <w:r>
                          <w:rPr>
                            <w:color w:val="231F20"/>
                            <w:sz w:val="15"/>
                          </w:rPr>
                          <w:t>or</w:t>
                        </w:r>
                        <w:r>
                          <w:rPr>
                            <w:color w:val="231F20"/>
                            <w:spacing w:val="-9"/>
                            <w:sz w:val="15"/>
                          </w:rPr>
                          <w:t> </w:t>
                        </w:r>
                        <w:r>
                          <w:rPr>
                            <w:color w:val="231F20"/>
                            <w:spacing w:val="-5"/>
                            <w:sz w:val="15"/>
                          </w:rPr>
                          <w:t>1.2</w:t>
                        </w:r>
                      </w:p>
                      <w:p>
                        <w:pPr>
                          <w:spacing w:line="168" w:lineRule="exact" w:before="0"/>
                          <w:ind w:left="279" w:right="0" w:firstLine="0"/>
                          <w:jc w:val="left"/>
                          <w:rPr>
                            <w:i/>
                            <w:color w:val="000000"/>
                            <w:sz w:val="15"/>
                          </w:rPr>
                        </w:pPr>
                        <w:r>
                          <w:rPr>
                            <w:i/>
                            <w:color w:val="231F20"/>
                            <w:spacing w:val="-2"/>
                            <w:sz w:val="15"/>
                          </w:rPr>
                          <w:t>Migraine</w:t>
                        </w:r>
                        <w:r>
                          <w:rPr>
                            <w:i/>
                            <w:color w:val="231F20"/>
                            <w:spacing w:val="-4"/>
                            <w:sz w:val="15"/>
                          </w:rPr>
                          <w:t> </w:t>
                        </w:r>
                        <w:r>
                          <w:rPr>
                            <w:i/>
                            <w:color w:val="231F20"/>
                            <w:spacing w:val="-2"/>
                            <w:sz w:val="15"/>
                          </w:rPr>
                          <w:t>with</w:t>
                        </w:r>
                        <w:r>
                          <w:rPr>
                            <w:i/>
                            <w:color w:val="231F20"/>
                            <w:spacing w:val="-4"/>
                            <w:sz w:val="15"/>
                          </w:rPr>
                          <w:t> aura</w:t>
                        </w:r>
                      </w:p>
                      <w:p>
                        <w:pPr>
                          <w:numPr>
                            <w:ilvl w:val="0"/>
                            <w:numId w:val="67"/>
                          </w:numPr>
                          <w:tabs>
                            <w:tab w:pos="279" w:val="left" w:leader="none"/>
                          </w:tabs>
                          <w:spacing w:line="230" w:lineRule="auto" w:before="2"/>
                          <w:ind w:left="279" w:right="375" w:hanging="206"/>
                          <w:jc w:val="left"/>
                          <w:rPr>
                            <w:color w:val="000000"/>
                            <w:sz w:val="15"/>
                          </w:rPr>
                        </w:pPr>
                        <w:r>
                          <w:rPr>
                            <w:color w:val="231F20"/>
                            <w:sz w:val="15"/>
                          </w:rPr>
                          <w:t>Vestibular</w:t>
                        </w:r>
                        <w:r>
                          <w:rPr>
                            <w:color w:val="231F20"/>
                            <w:spacing w:val="-12"/>
                            <w:sz w:val="15"/>
                          </w:rPr>
                          <w:t> </w:t>
                        </w:r>
                        <w:r>
                          <w:rPr>
                            <w:color w:val="231F20"/>
                            <w:sz w:val="15"/>
                          </w:rPr>
                          <w:t>symptoms</w:t>
                        </w:r>
                        <w:r>
                          <w:rPr>
                            <w:color w:val="231F20"/>
                            <w:spacing w:val="-11"/>
                            <w:sz w:val="15"/>
                          </w:rPr>
                          <w:t> </w:t>
                        </w:r>
                        <w:r>
                          <w:rPr>
                            <w:color w:val="231F20"/>
                            <w:sz w:val="15"/>
                          </w:rPr>
                          <w:t>of</w:t>
                        </w:r>
                        <w:r>
                          <w:rPr>
                            <w:color w:val="231F20"/>
                            <w:spacing w:val="-11"/>
                            <w:sz w:val="15"/>
                          </w:rPr>
                          <w:t> </w:t>
                        </w:r>
                        <w:r>
                          <w:rPr>
                            <w:color w:val="231F20"/>
                            <w:sz w:val="15"/>
                          </w:rPr>
                          <w:t>moderate</w:t>
                        </w:r>
                        <w:r>
                          <w:rPr>
                            <w:color w:val="231F20"/>
                            <w:spacing w:val="-12"/>
                            <w:sz w:val="15"/>
                          </w:rPr>
                          <w:t> </w:t>
                        </w:r>
                        <w:r>
                          <w:rPr>
                            <w:color w:val="231F20"/>
                            <w:sz w:val="15"/>
                          </w:rPr>
                          <w:t>or</w:t>
                        </w:r>
                        <w:r>
                          <w:rPr>
                            <w:color w:val="231F20"/>
                            <w:spacing w:val="-11"/>
                            <w:sz w:val="15"/>
                          </w:rPr>
                          <w:t> </w:t>
                        </w:r>
                        <w:r>
                          <w:rPr>
                            <w:color w:val="231F20"/>
                            <w:sz w:val="15"/>
                          </w:rPr>
                          <w:t>severe</w:t>
                        </w:r>
                        <w:r>
                          <w:rPr>
                            <w:color w:val="231F20"/>
                            <w:spacing w:val="-11"/>
                            <w:sz w:val="15"/>
                          </w:rPr>
                          <w:t> </w:t>
                        </w:r>
                        <w:r>
                          <w:rPr>
                            <w:color w:val="231F20"/>
                            <w:sz w:val="15"/>
                          </w:rPr>
                          <w:t>intensity,</w:t>
                        </w:r>
                        <w:r>
                          <w:rPr>
                            <w:color w:val="231F20"/>
                            <w:spacing w:val="-12"/>
                            <w:sz w:val="15"/>
                          </w:rPr>
                          <w:t> </w:t>
                        </w:r>
                        <w:r>
                          <w:rPr>
                            <w:color w:val="231F20"/>
                            <w:sz w:val="15"/>
                          </w:rPr>
                          <w:t>lasting between 5 min and 72 hr</w:t>
                        </w:r>
                      </w:p>
                      <w:p>
                        <w:pPr>
                          <w:numPr>
                            <w:ilvl w:val="0"/>
                            <w:numId w:val="67"/>
                          </w:numPr>
                          <w:tabs>
                            <w:tab w:pos="277" w:val="left" w:leader="none"/>
                            <w:tab w:pos="279" w:val="left" w:leader="none"/>
                          </w:tabs>
                          <w:spacing w:line="230" w:lineRule="auto" w:before="2"/>
                          <w:ind w:left="279" w:right="340" w:hanging="206"/>
                          <w:jc w:val="left"/>
                          <w:rPr>
                            <w:color w:val="000000"/>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50%</w:t>
                        </w:r>
                        <w:r>
                          <w:rPr>
                            <w:color w:val="231F20"/>
                            <w:spacing w:val="-4"/>
                            <w:sz w:val="15"/>
                          </w:rPr>
                          <w:t> </w:t>
                        </w:r>
                        <w:r>
                          <w:rPr>
                            <w:color w:val="231F20"/>
                            <w:sz w:val="15"/>
                          </w:rPr>
                          <w:t>of</w:t>
                        </w:r>
                        <w:r>
                          <w:rPr>
                            <w:color w:val="231F20"/>
                            <w:spacing w:val="-4"/>
                            <w:sz w:val="15"/>
                          </w:rPr>
                          <w:t> </w:t>
                        </w:r>
                        <w:r>
                          <w:rPr>
                            <w:color w:val="231F20"/>
                            <w:sz w:val="15"/>
                          </w:rPr>
                          <w:t>episodes</w:t>
                        </w:r>
                        <w:r>
                          <w:rPr>
                            <w:color w:val="231F20"/>
                            <w:spacing w:val="-4"/>
                            <w:sz w:val="15"/>
                          </w:rPr>
                          <w:t> </w:t>
                        </w:r>
                        <w:r>
                          <w:rPr>
                            <w:color w:val="231F20"/>
                            <w:sz w:val="15"/>
                          </w:rPr>
                          <w:t>are</w:t>
                        </w:r>
                        <w:r>
                          <w:rPr>
                            <w:color w:val="231F20"/>
                            <w:spacing w:val="-4"/>
                            <w:sz w:val="15"/>
                          </w:rPr>
                          <w:t> </w:t>
                        </w:r>
                        <w:r>
                          <w:rPr>
                            <w:color w:val="231F20"/>
                            <w:sz w:val="15"/>
                          </w:rPr>
                          <w:t>associated</w:t>
                        </w:r>
                        <w:r>
                          <w:rPr>
                            <w:color w:val="231F20"/>
                            <w:spacing w:val="-4"/>
                            <w:sz w:val="15"/>
                          </w:rPr>
                          <w:t> </w:t>
                        </w:r>
                        <w:r>
                          <w:rPr>
                            <w:color w:val="231F20"/>
                            <w:sz w:val="15"/>
                          </w:rPr>
                          <w:t>with</w:t>
                        </w:r>
                        <w:r>
                          <w:rPr>
                            <w:color w:val="231F20"/>
                            <w:spacing w:val="-4"/>
                            <w:sz w:val="15"/>
                          </w:rPr>
                          <w:t> </w:t>
                        </w: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1</w:t>
                        </w:r>
                        <w:r>
                          <w:rPr>
                            <w:color w:val="231F20"/>
                            <w:spacing w:val="-4"/>
                            <w:sz w:val="15"/>
                          </w:rPr>
                          <w:t> </w:t>
                        </w:r>
                        <w:r>
                          <w:rPr>
                            <w:color w:val="231F20"/>
                            <w:sz w:val="15"/>
                          </w:rPr>
                          <w:t>of</w:t>
                        </w:r>
                        <w:r>
                          <w:rPr>
                            <w:color w:val="231F20"/>
                            <w:spacing w:val="-4"/>
                            <w:sz w:val="15"/>
                          </w:rPr>
                          <w:t> </w:t>
                        </w:r>
                        <w:r>
                          <w:rPr>
                            <w:color w:val="231F20"/>
                            <w:sz w:val="15"/>
                          </w:rPr>
                          <w:t>the following 3 migrainous features:</w:t>
                        </w:r>
                      </w:p>
                      <w:p>
                        <w:pPr>
                          <w:numPr>
                            <w:ilvl w:val="1"/>
                            <w:numId w:val="67"/>
                          </w:numPr>
                          <w:tabs>
                            <w:tab w:pos="457" w:val="left" w:leader="none"/>
                          </w:tabs>
                          <w:spacing w:line="167" w:lineRule="exact" w:before="0"/>
                          <w:ind w:left="457" w:right="0" w:hanging="191"/>
                          <w:jc w:val="left"/>
                          <w:rPr>
                            <w:color w:val="000000"/>
                            <w:sz w:val="15"/>
                          </w:rPr>
                        </w:pPr>
                        <w:r>
                          <w:rPr>
                            <w:color w:val="231F20"/>
                            <w:sz w:val="15"/>
                          </w:rPr>
                          <w:t>Headache</w:t>
                        </w:r>
                        <w:r>
                          <w:rPr>
                            <w:color w:val="231F20"/>
                            <w:spacing w:val="-7"/>
                            <w:sz w:val="15"/>
                          </w:rPr>
                          <w:t> </w:t>
                        </w:r>
                        <w:r>
                          <w:rPr>
                            <w:color w:val="231F20"/>
                            <w:sz w:val="15"/>
                          </w:rPr>
                          <w:t>with</w:t>
                        </w:r>
                        <w:r>
                          <w:rPr>
                            <w:color w:val="231F20"/>
                            <w:spacing w:val="-7"/>
                            <w:sz w:val="15"/>
                          </w:rPr>
                          <w:t> </w:t>
                        </w:r>
                        <w:r>
                          <w:rPr>
                            <w:color w:val="231F20"/>
                            <w:sz w:val="15"/>
                          </w:rPr>
                          <w:t>at</w:t>
                        </w:r>
                        <w:r>
                          <w:rPr>
                            <w:color w:val="231F20"/>
                            <w:spacing w:val="-6"/>
                            <w:sz w:val="15"/>
                          </w:rPr>
                          <w:t> </w:t>
                        </w:r>
                        <w:r>
                          <w:rPr>
                            <w:color w:val="231F20"/>
                            <w:sz w:val="15"/>
                          </w:rPr>
                          <w:t>least</w:t>
                        </w:r>
                        <w:r>
                          <w:rPr>
                            <w:color w:val="231F20"/>
                            <w:spacing w:val="-7"/>
                            <w:sz w:val="15"/>
                          </w:rPr>
                          <w:t> </w:t>
                        </w:r>
                        <w:r>
                          <w:rPr>
                            <w:color w:val="231F20"/>
                            <w:sz w:val="15"/>
                          </w:rPr>
                          <w:t>2</w:t>
                        </w:r>
                        <w:r>
                          <w:rPr>
                            <w:color w:val="231F20"/>
                            <w:spacing w:val="-6"/>
                            <w:sz w:val="15"/>
                          </w:rPr>
                          <w:t> </w:t>
                        </w:r>
                        <w:r>
                          <w:rPr>
                            <w:color w:val="231F20"/>
                            <w:sz w:val="15"/>
                          </w:rPr>
                          <w:t>of</w:t>
                        </w:r>
                        <w:r>
                          <w:rPr>
                            <w:color w:val="231F20"/>
                            <w:spacing w:val="-7"/>
                            <w:sz w:val="15"/>
                          </w:rPr>
                          <w:t> </w:t>
                        </w:r>
                        <w:r>
                          <w:rPr>
                            <w:color w:val="231F20"/>
                            <w:sz w:val="15"/>
                          </w:rPr>
                          <w:t>the</w:t>
                        </w:r>
                        <w:r>
                          <w:rPr>
                            <w:color w:val="231F20"/>
                            <w:spacing w:val="-6"/>
                            <w:sz w:val="15"/>
                          </w:rPr>
                          <w:t> </w:t>
                        </w:r>
                        <w:r>
                          <w:rPr>
                            <w:color w:val="231F20"/>
                            <w:sz w:val="15"/>
                          </w:rPr>
                          <w:t>following</w:t>
                        </w:r>
                        <w:r>
                          <w:rPr>
                            <w:color w:val="231F20"/>
                            <w:spacing w:val="-7"/>
                            <w:sz w:val="15"/>
                          </w:rPr>
                          <w:t> </w:t>
                        </w:r>
                        <w:r>
                          <w:rPr>
                            <w:color w:val="231F20"/>
                            <w:sz w:val="15"/>
                          </w:rPr>
                          <w:t>4</w:t>
                        </w:r>
                        <w:r>
                          <w:rPr>
                            <w:color w:val="231F20"/>
                            <w:spacing w:val="-6"/>
                            <w:sz w:val="15"/>
                          </w:rPr>
                          <w:t> </w:t>
                        </w:r>
                        <w:r>
                          <w:rPr>
                            <w:color w:val="231F20"/>
                            <w:spacing w:val="-2"/>
                            <w:sz w:val="15"/>
                          </w:rPr>
                          <w:t>characteristics:</w:t>
                        </w:r>
                      </w:p>
                      <w:p>
                        <w:pPr>
                          <w:numPr>
                            <w:ilvl w:val="2"/>
                            <w:numId w:val="67"/>
                          </w:numPr>
                          <w:tabs>
                            <w:tab w:pos="663" w:val="left" w:leader="none"/>
                          </w:tabs>
                          <w:spacing w:line="168" w:lineRule="exact" w:before="0"/>
                          <w:ind w:left="663" w:right="0" w:hanging="204"/>
                          <w:jc w:val="left"/>
                          <w:rPr>
                            <w:color w:val="000000"/>
                            <w:sz w:val="15"/>
                          </w:rPr>
                        </w:pPr>
                        <w:r>
                          <w:rPr>
                            <w:color w:val="231F20"/>
                            <w:spacing w:val="-4"/>
                            <w:sz w:val="15"/>
                          </w:rPr>
                          <w:t>Unilateral</w:t>
                        </w:r>
                        <w:r>
                          <w:rPr>
                            <w:color w:val="231F20"/>
                            <w:sz w:val="15"/>
                          </w:rPr>
                          <w:t> </w:t>
                        </w:r>
                        <w:r>
                          <w:rPr>
                            <w:color w:val="231F20"/>
                            <w:spacing w:val="-2"/>
                            <w:sz w:val="15"/>
                          </w:rPr>
                          <w:t>location</w:t>
                        </w:r>
                      </w:p>
                      <w:p>
                        <w:pPr>
                          <w:numPr>
                            <w:ilvl w:val="2"/>
                            <w:numId w:val="67"/>
                          </w:numPr>
                          <w:tabs>
                            <w:tab w:pos="663" w:val="left" w:leader="none"/>
                          </w:tabs>
                          <w:spacing w:line="168" w:lineRule="exact" w:before="0"/>
                          <w:ind w:left="663" w:right="0" w:hanging="204"/>
                          <w:jc w:val="left"/>
                          <w:rPr>
                            <w:color w:val="000000"/>
                            <w:sz w:val="15"/>
                          </w:rPr>
                        </w:pPr>
                        <w:r>
                          <w:rPr>
                            <w:color w:val="231F20"/>
                            <w:sz w:val="15"/>
                          </w:rPr>
                          <w:t>Pulsating</w:t>
                        </w:r>
                        <w:r>
                          <w:rPr>
                            <w:color w:val="231F20"/>
                            <w:spacing w:val="-6"/>
                            <w:sz w:val="15"/>
                          </w:rPr>
                          <w:t> </w:t>
                        </w:r>
                        <w:r>
                          <w:rPr>
                            <w:color w:val="231F20"/>
                            <w:spacing w:val="-2"/>
                            <w:sz w:val="15"/>
                          </w:rPr>
                          <w:t>quality</w:t>
                        </w:r>
                      </w:p>
                      <w:p>
                        <w:pPr>
                          <w:numPr>
                            <w:ilvl w:val="2"/>
                            <w:numId w:val="67"/>
                          </w:numPr>
                          <w:tabs>
                            <w:tab w:pos="663" w:val="left" w:leader="none"/>
                          </w:tabs>
                          <w:spacing w:line="168" w:lineRule="exact" w:before="0"/>
                          <w:ind w:left="663" w:right="0" w:hanging="204"/>
                          <w:jc w:val="left"/>
                          <w:rPr>
                            <w:color w:val="000000"/>
                            <w:sz w:val="15"/>
                          </w:rPr>
                        </w:pPr>
                        <w:r>
                          <w:rPr>
                            <w:color w:val="231F20"/>
                            <w:sz w:val="15"/>
                          </w:rPr>
                          <w:t>Moderate</w:t>
                        </w:r>
                        <w:r>
                          <w:rPr>
                            <w:color w:val="231F20"/>
                            <w:spacing w:val="3"/>
                            <w:sz w:val="15"/>
                          </w:rPr>
                          <w:t> </w:t>
                        </w:r>
                        <w:r>
                          <w:rPr>
                            <w:color w:val="231F20"/>
                            <w:sz w:val="15"/>
                          </w:rPr>
                          <w:t>or</w:t>
                        </w:r>
                        <w:r>
                          <w:rPr>
                            <w:color w:val="231F20"/>
                            <w:spacing w:val="4"/>
                            <w:sz w:val="15"/>
                          </w:rPr>
                          <w:t> </w:t>
                        </w:r>
                        <w:r>
                          <w:rPr>
                            <w:color w:val="231F20"/>
                            <w:sz w:val="15"/>
                          </w:rPr>
                          <w:t>severe</w:t>
                        </w:r>
                        <w:r>
                          <w:rPr>
                            <w:color w:val="231F20"/>
                            <w:spacing w:val="4"/>
                            <w:sz w:val="15"/>
                          </w:rPr>
                          <w:t> </w:t>
                        </w:r>
                        <w:r>
                          <w:rPr>
                            <w:color w:val="231F20"/>
                            <w:spacing w:val="-2"/>
                            <w:sz w:val="15"/>
                          </w:rPr>
                          <w:t>intensity</w:t>
                        </w:r>
                      </w:p>
                      <w:p>
                        <w:pPr>
                          <w:numPr>
                            <w:ilvl w:val="2"/>
                            <w:numId w:val="67"/>
                          </w:numPr>
                          <w:tabs>
                            <w:tab w:pos="663" w:val="left" w:leader="none"/>
                          </w:tabs>
                          <w:spacing w:line="168" w:lineRule="exact" w:before="0"/>
                          <w:ind w:left="663" w:right="0" w:hanging="204"/>
                          <w:jc w:val="left"/>
                          <w:rPr>
                            <w:color w:val="000000"/>
                            <w:sz w:val="15"/>
                          </w:rPr>
                        </w:pPr>
                        <w:r>
                          <w:rPr>
                            <w:color w:val="231F20"/>
                            <w:sz w:val="15"/>
                          </w:rPr>
                          <w:t>Aggravation</w:t>
                        </w:r>
                        <w:r>
                          <w:rPr>
                            <w:color w:val="231F20"/>
                            <w:spacing w:val="-3"/>
                            <w:sz w:val="15"/>
                          </w:rPr>
                          <w:t> </w:t>
                        </w:r>
                        <w:r>
                          <w:rPr>
                            <w:color w:val="231F20"/>
                            <w:sz w:val="15"/>
                          </w:rPr>
                          <w:t>by</w:t>
                        </w:r>
                        <w:r>
                          <w:rPr>
                            <w:color w:val="231F20"/>
                            <w:spacing w:val="-2"/>
                            <w:sz w:val="15"/>
                          </w:rPr>
                          <w:t> </w:t>
                        </w:r>
                        <w:r>
                          <w:rPr>
                            <w:color w:val="231F20"/>
                            <w:sz w:val="15"/>
                          </w:rPr>
                          <w:t>routine</w:t>
                        </w:r>
                        <w:r>
                          <w:rPr>
                            <w:color w:val="231F20"/>
                            <w:spacing w:val="-3"/>
                            <w:sz w:val="15"/>
                          </w:rPr>
                          <w:t> </w:t>
                        </w:r>
                        <w:r>
                          <w:rPr>
                            <w:color w:val="231F20"/>
                            <w:sz w:val="15"/>
                          </w:rPr>
                          <w:t>physical</w:t>
                        </w:r>
                        <w:r>
                          <w:rPr>
                            <w:color w:val="231F20"/>
                            <w:spacing w:val="-2"/>
                            <w:sz w:val="15"/>
                          </w:rPr>
                          <w:t> activity</w:t>
                        </w:r>
                      </w:p>
                      <w:p>
                        <w:pPr>
                          <w:numPr>
                            <w:ilvl w:val="1"/>
                            <w:numId w:val="67"/>
                          </w:numPr>
                          <w:tabs>
                            <w:tab w:pos="457" w:val="left" w:leader="none"/>
                          </w:tabs>
                          <w:spacing w:line="168" w:lineRule="exact" w:before="0"/>
                          <w:ind w:left="457" w:right="0" w:hanging="191"/>
                          <w:jc w:val="left"/>
                          <w:rPr>
                            <w:color w:val="000000"/>
                            <w:sz w:val="15"/>
                          </w:rPr>
                        </w:pPr>
                        <w:r>
                          <w:rPr>
                            <w:color w:val="231F20"/>
                            <w:sz w:val="15"/>
                          </w:rPr>
                          <w:t>Photophobia</w:t>
                        </w:r>
                        <w:r>
                          <w:rPr>
                            <w:color w:val="231F20"/>
                            <w:spacing w:val="17"/>
                            <w:sz w:val="15"/>
                          </w:rPr>
                          <w:t> </w:t>
                        </w:r>
                        <w:r>
                          <w:rPr>
                            <w:color w:val="231F20"/>
                            <w:sz w:val="15"/>
                          </w:rPr>
                          <w:t>and</w:t>
                        </w:r>
                        <w:r>
                          <w:rPr>
                            <w:color w:val="231F20"/>
                            <w:spacing w:val="17"/>
                            <w:sz w:val="15"/>
                          </w:rPr>
                          <w:t> </w:t>
                        </w:r>
                        <w:r>
                          <w:rPr>
                            <w:color w:val="231F20"/>
                            <w:spacing w:val="-2"/>
                            <w:sz w:val="15"/>
                          </w:rPr>
                          <w:t>phonophobia</w:t>
                        </w:r>
                      </w:p>
                      <w:p>
                        <w:pPr>
                          <w:numPr>
                            <w:ilvl w:val="1"/>
                            <w:numId w:val="67"/>
                          </w:numPr>
                          <w:tabs>
                            <w:tab w:pos="457" w:val="left" w:leader="none"/>
                          </w:tabs>
                          <w:spacing w:line="168" w:lineRule="exact" w:before="0"/>
                          <w:ind w:left="457" w:right="0" w:hanging="191"/>
                          <w:jc w:val="left"/>
                          <w:rPr>
                            <w:color w:val="000000"/>
                            <w:sz w:val="15"/>
                          </w:rPr>
                        </w:pPr>
                        <w:r>
                          <w:rPr>
                            <w:color w:val="231F20"/>
                            <w:spacing w:val="-2"/>
                            <w:sz w:val="15"/>
                          </w:rPr>
                          <w:t>Visual</w:t>
                        </w:r>
                        <w:r>
                          <w:rPr>
                            <w:color w:val="231F20"/>
                            <w:spacing w:val="-3"/>
                            <w:sz w:val="15"/>
                          </w:rPr>
                          <w:t> </w:t>
                        </w:r>
                        <w:r>
                          <w:rPr>
                            <w:color w:val="231F20"/>
                            <w:spacing w:val="-4"/>
                            <w:sz w:val="15"/>
                          </w:rPr>
                          <w:t>aura</w:t>
                        </w:r>
                      </w:p>
                      <w:p>
                        <w:pPr>
                          <w:numPr>
                            <w:ilvl w:val="0"/>
                            <w:numId w:val="67"/>
                          </w:numPr>
                          <w:tabs>
                            <w:tab w:pos="278" w:val="left" w:leader="none"/>
                            <w:tab w:pos="280" w:val="left" w:leader="none"/>
                          </w:tabs>
                          <w:spacing w:line="230" w:lineRule="auto" w:before="2"/>
                          <w:ind w:left="280" w:right="364" w:hanging="206"/>
                          <w:jc w:val="left"/>
                          <w:rPr>
                            <w:color w:val="000000"/>
                            <w:sz w:val="15"/>
                          </w:rPr>
                        </w:pPr>
                        <w:r>
                          <w:rPr>
                            <w:color w:val="231F20"/>
                            <w:sz w:val="15"/>
                          </w:rPr>
                          <w:t>Not better accounted for by another ICHD-3 diagnosis or </w:t>
                        </w:r>
                        <w:r>
                          <w:rPr>
                            <w:color w:val="231F20"/>
                            <w:sz w:val="15"/>
                          </w:rPr>
                          <w:t>by another vestibular disorder</w:t>
                        </w:r>
                      </w:p>
                    </w:txbxContent>
                  </v:textbox>
                  <v:fill type="solid"/>
                  <w10:wrap type="none"/>
                </v:shape>
                <v:rect style="position:absolute;left:5950;top:-54;width:4703;height:19" id="docshape580" filled="true" fillcolor="#231f20" stroked="false">
                  <v:fill type="solid"/>
                </v:rect>
                <v:shape style="position:absolute;left:7106;top:-3199;width:3546;height:355" type="#_x0000_t202" id="docshape581" filled="true" fillcolor="#231f20" stroked="false">
                  <v:textbox inset="0,0,0,0">
                    <w:txbxContent>
                      <w:p>
                        <w:pPr>
                          <w:spacing w:before="89"/>
                          <w:ind w:left="74" w:right="0" w:firstLine="0"/>
                          <w:jc w:val="left"/>
                          <w:rPr>
                            <w:color w:val="000000"/>
                            <w:sz w:val="16"/>
                          </w:rPr>
                        </w:pPr>
                        <w:r>
                          <w:rPr>
                            <w:color w:val="FFFFFF"/>
                            <w:w w:val="105"/>
                            <w:sz w:val="16"/>
                          </w:rPr>
                          <w:t>Vestibular</w:t>
                        </w:r>
                        <w:r>
                          <w:rPr>
                            <w:color w:val="FFFFFF"/>
                            <w:spacing w:val="4"/>
                            <w:w w:val="105"/>
                            <w:sz w:val="16"/>
                          </w:rPr>
                          <w:t> </w:t>
                        </w:r>
                        <w:r>
                          <w:rPr>
                            <w:color w:val="FFFFFF"/>
                            <w:w w:val="105"/>
                            <w:sz w:val="16"/>
                          </w:rPr>
                          <w:t>Migraine</w:t>
                        </w:r>
                        <w:r>
                          <w:rPr>
                            <w:color w:val="FFFFFF"/>
                            <w:spacing w:val="5"/>
                            <w:w w:val="105"/>
                            <w:sz w:val="16"/>
                          </w:rPr>
                          <w:t> </w:t>
                        </w:r>
                        <w:r>
                          <w:rPr>
                            <w:color w:val="FFFFFF"/>
                            <w:w w:val="105"/>
                            <w:sz w:val="16"/>
                          </w:rPr>
                          <w:t>with</w:t>
                        </w:r>
                        <w:r>
                          <w:rPr>
                            <w:color w:val="FFFFFF"/>
                            <w:spacing w:val="4"/>
                            <w:w w:val="105"/>
                            <w:sz w:val="16"/>
                          </w:rPr>
                          <w:t> </w:t>
                        </w:r>
                        <w:r>
                          <w:rPr>
                            <w:color w:val="FFFFFF"/>
                            <w:spacing w:val="-2"/>
                            <w:w w:val="105"/>
                            <w:sz w:val="16"/>
                          </w:rPr>
                          <w:t>Vertigo</w:t>
                        </w:r>
                      </w:p>
                    </w:txbxContent>
                  </v:textbox>
                  <v:fill type="solid"/>
                  <w10:wrap type="none"/>
                </v:shape>
                <v:shape style="position:absolute;left:5950;top:-3199;width:1139;height:355" type="#_x0000_t202" id="docshape582"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5</w:t>
                        </w:r>
                      </w:p>
                    </w:txbxContent>
                  </v:textbox>
                  <v:fill type="solid"/>
                  <w10:wrap type="none"/>
                </v:shape>
                <w10:wrap type="none"/>
              </v:group>
            </w:pict>
          </mc:Fallback>
        </mc:AlternateContent>
      </w:r>
      <w:r>
        <w:rPr>
          <w:i/>
          <w:color w:val="231F20"/>
          <w:sz w:val="13"/>
        </w:rPr>
        <w:t>From Headache Classification Committee on the International Headache</w:t>
      </w:r>
      <w:r>
        <w:rPr>
          <w:i/>
          <w:color w:val="231F20"/>
          <w:spacing w:val="40"/>
          <w:sz w:val="13"/>
        </w:rPr>
        <w:t> </w:t>
      </w:r>
      <w:r>
        <w:rPr>
          <w:i/>
          <w:color w:val="231F20"/>
          <w:sz w:val="13"/>
        </w:rPr>
        <w:t>Society</w:t>
      </w:r>
      <w:r>
        <w:rPr>
          <w:i/>
          <w:color w:val="231F20"/>
          <w:spacing w:val="-10"/>
          <w:sz w:val="13"/>
        </w:rPr>
        <w:t> </w:t>
      </w:r>
      <w:r>
        <w:rPr>
          <w:i/>
          <w:color w:val="231F20"/>
          <w:sz w:val="13"/>
        </w:rPr>
        <w:t>(IHS):</w:t>
      </w:r>
      <w:r>
        <w:rPr>
          <w:i/>
          <w:color w:val="231F20"/>
          <w:spacing w:val="-10"/>
          <w:sz w:val="13"/>
        </w:rPr>
        <w:t> </w:t>
      </w:r>
      <w:r>
        <w:rPr>
          <w:i/>
          <w:color w:val="231F20"/>
          <w:sz w:val="13"/>
        </w:rPr>
        <w:t>The</w:t>
      </w:r>
      <w:r>
        <w:rPr>
          <w:i/>
          <w:color w:val="231F20"/>
          <w:spacing w:val="-10"/>
          <w:sz w:val="13"/>
        </w:rPr>
        <w:t> </w:t>
      </w:r>
      <w:r>
        <w:rPr>
          <w:i/>
          <w:color w:val="231F20"/>
          <w:sz w:val="13"/>
        </w:rPr>
        <w:t>International</w:t>
      </w:r>
      <w:r>
        <w:rPr>
          <w:i/>
          <w:color w:val="231F20"/>
          <w:spacing w:val="-10"/>
          <w:sz w:val="13"/>
        </w:rPr>
        <w:t> </w:t>
      </w:r>
      <w:r>
        <w:rPr>
          <w:i/>
          <w:color w:val="231F20"/>
          <w:sz w:val="13"/>
        </w:rPr>
        <w:t>Classification</w:t>
      </w:r>
      <w:r>
        <w:rPr>
          <w:i/>
          <w:color w:val="231F20"/>
          <w:spacing w:val="-9"/>
          <w:sz w:val="13"/>
        </w:rPr>
        <w:t> </w:t>
      </w:r>
      <w:r>
        <w:rPr>
          <w:i/>
          <w:color w:val="231F20"/>
          <w:sz w:val="13"/>
        </w:rPr>
        <w:t>of</w:t>
      </w:r>
      <w:r>
        <w:rPr>
          <w:i/>
          <w:color w:val="231F20"/>
          <w:spacing w:val="-10"/>
          <w:sz w:val="13"/>
        </w:rPr>
        <w:t> </w:t>
      </w:r>
      <w:r>
        <w:rPr>
          <w:i/>
          <w:color w:val="231F20"/>
          <w:sz w:val="13"/>
        </w:rPr>
        <w:t>Headache</w:t>
      </w:r>
      <w:r>
        <w:rPr>
          <w:i/>
          <w:color w:val="231F20"/>
          <w:spacing w:val="-10"/>
          <w:sz w:val="13"/>
        </w:rPr>
        <w:t> </w:t>
      </w:r>
      <w:r>
        <w:rPr>
          <w:i/>
          <w:color w:val="231F20"/>
          <w:sz w:val="13"/>
        </w:rPr>
        <w:t>Disorders,</w:t>
      </w:r>
      <w:r>
        <w:rPr>
          <w:i/>
          <w:color w:val="231F20"/>
          <w:spacing w:val="-10"/>
          <w:sz w:val="13"/>
        </w:rPr>
        <w:t> </w:t>
      </w:r>
      <w:r>
        <w:rPr>
          <w:i/>
          <w:color w:val="231F20"/>
          <w:sz w:val="13"/>
        </w:rPr>
        <w:t>ed</w:t>
      </w:r>
      <w:r>
        <w:rPr>
          <w:i/>
          <w:color w:val="231F20"/>
          <w:spacing w:val="-10"/>
          <w:sz w:val="13"/>
        </w:rPr>
        <w:t> </w:t>
      </w:r>
      <w:r>
        <w:rPr>
          <w:i/>
          <w:color w:val="231F20"/>
          <w:sz w:val="13"/>
        </w:rPr>
        <w:t>3</w:t>
      </w:r>
      <w:r>
        <w:rPr>
          <w:i/>
          <w:color w:val="231F20"/>
          <w:spacing w:val="-9"/>
          <w:sz w:val="13"/>
        </w:rPr>
        <w:t> </w:t>
      </w:r>
      <w:r>
        <w:rPr>
          <w:i/>
          <w:color w:val="231F20"/>
          <w:sz w:val="13"/>
        </w:rPr>
        <w:t>(beta</w:t>
      </w:r>
      <w:r>
        <w:rPr>
          <w:i/>
          <w:color w:val="231F20"/>
          <w:spacing w:val="40"/>
          <w:sz w:val="13"/>
        </w:rPr>
        <w:t> </w:t>
      </w:r>
      <w:r>
        <w:rPr>
          <w:i/>
          <w:color w:val="231F20"/>
          <w:sz w:val="13"/>
        </w:rPr>
        <w:t>version). </w:t>
      </w:r>
      <w:r>
        <w:rPr>
          <w:color w:val="231F20"/>
          <w:sz w:val="13"/>
        </w:rPr>
        <w:t>Cephalalgia </w:t>
      </w:r>
      <w:r>
        <w:rPr>
          <w:i/>
          <w:color w:val="231F20"/>
          <w:sz w:val="13"/>
        </w:rPr>
        <w:t>33(9):629–808, 2013, Table 4.</w:t>
      </w:r>
    </w:p>
    <w:p>
      <w:pPr>
        <w:spacing w:before="30"/>
        <w:ind w:left="343" w:right="727" w:firstLine="0"/>
        <w:jc w:val="left"/>
        <w:rPr>
          <w:i/>
          <w:sz w:val="13"/>
        </w:rPr>
      </w:pPr>
      <w:r>
        <w:rPr/>
        <w:br w:type="column"/>
      </w:r>
      <w:r>
        <w:rPr>
          <w:i/>
          <w:color w:val="231F20"/>
          <w:sz w:val="13"/>
        </w:rPr>
        <w:t>From Headache Classification Committee on the International Headache</w:t>
      </w:r>
      <w:r>
        <w:rPr>
          <w:i/>
          <w:color w:val="231F20"/>
          <w:spacing w:val="40"/>
          <w:sz w:val="13"/>
        </w:rPr>
        <w:t> </w:t>
      </w:r>
      <w:r>
        <w:rPr>
          <w:i/>
          <w:color w:val="231F20"/>
          <w:sz w:val="13"/>
        </w:rPr>
        <w:t>Society</w:t>
      </w:r>
      <w:r>
        <w:rPr>
          <w:i/>
          <w:color w:val="231F20"/>
          <w:spacing w:val="-10"/>
          <w:sz w:val="13"/>
        </w:rPr>
        <w:t> </w:t>
      </w:r>
      <w:r>
        <w:rPr>
          <w:i/>
          <w:color w:val="231F20"/>
          <w:sz w:val="13"/>
        </w:rPr>
        <w:t>(IHS):</w:t>
      </w:r>
      <w:r>
        <w:rPr>
          <w:i/>
          <w:color w:val="231F20"/>
          <w:spacing w:val="-10"/>
          <w:sz w:val="13"/>
        </w:rPr>
        <w:t> </w:t>
      </w:r>
      <w:r>
        <w:rPr>
          <w:i/>
          <w:color w:val="231F20"/>
          <w:sz w:val="13"/>
        </w:rPr>
        <w:t>The</w:t>
      </w:r>
      <w:r>
        <w:rPr>
          <w:i/>
          <w:color w:val="231F20"/>
          <w:spacing w:val="-10"/>
          <w:sz w:val="13"/>
        </w:rPr>
        <w:t> </w:t>
      </w:r>
      <w:r>
        <w:rPr>
          <w:i/>
          <w:color w:val="231F20"/>
          <w:sz w:val="13"/>
        </w:rPr>
        <w:t>International</w:t>
      </w:r>
      <w:r>
        <w:rPr>
          <w:i/>
          <w:color w:val="231F20"/>
          <w:spacing w:val="-10"/>
          <w:sz w:val="13"/>
        </w:rPr>
        <w:t> </w:t>
      </w:r>
      <w:r>
        <w:rPr>
          <w:i/>
          <w:color w:val="231F20"/>
          <w:sz w:val="13"/>
        </w:rPr>
        <w:t>Classification</w:t>
      </w:r>
      <w:r>
        <w:rPr>
          <w:i/>
          <w:color w:val="231F20"/>
          <w:spacing w:val="-9"/>
          <w:sz w:val="13"/>
        </w:rPr>
        <w:t> </w:t>
      </w:r>
      <w:r>
        <w:rPr>
          <w:i/>
          <w:color w:val="231F20"/>
          <w:sz w:val="13"/>
        </w:rPr>
        <w:t>of</w:t>
      </w:r>
      <w:r>
        <w:rPr>
          <w:i/>
          <w:color w:val="231F20"/>
          <w:spacing w:val="-10"/>
          <w:sz w:val="13"/>
        </w:rPr>
        <w:t> </w:t>
      </w:r>
      <w:r>
        <w:rPr>
          <w:i/>
          <w:color w:val="231F20"/>
          <w:sz w:val="13"/>
        </w:rPr>
        <w:t>Headache</w:t>
      </w:r>
      <w:r>
        <w:rPr>
          <w:i/>
          <w:color w:val="231F20"/>
          <w:spacing w:val="-10"/>
          <w:sz w:val="13"/>
        </w:rPr>
        <w:t> </w:t>
      </w:r>
      <w:r>
        <w:rPr>
          <w:i/>
          <w:color w:val="231F20"/>
          <w:sz w:val="13"/>
        </w:rPr>
        <w:t>Disorders,</w:t>
      </w:r>
      <w:r>
        <w:rPr>
          <w:i/>
          <w:color w:val="231F20"/>
          <w:spacing w:val="-10"/>
          <w:sz w:val="13"/>
        </w:rPr>
        <w:t> </w:t>
      </w:r>
      <w:r>
        <w:rPr>
          <w:i/>
          <w:color w:val="231F20"/>
          <w:sz w:val="13"/>
        </w:rPr>
        <w:t>ed</w:t>
      </w:r>
      <w:r>
        <w:rPr>
          <w:i/>
          <w:color w:val="231F20"/>
          <w:spacing w:val="-10"/>
          <w:sz w:val="13"/>
        </w:rPr>
        <w:t> </w:t>
      </w:r>
      <w:r>
        <w:rPr>
          <w:i/>
          <w:color w:val="231F20"/>
          <w:sz w:val="13"/>
        </w:rPr>
        <w:t>3</w:t>
      </w:r>
      <w:r>
        <w:rPr>
          <w:i/>
          <w:color w:val="231F20"/>
          <w:spacing w:val="-9"/>
          <w:sz w:val="13"/>
        </w:rPr>
        <w:t> </w:t>
      </w:r>
      <w:r>
        <w:rPr>
          <w:i/>
          <w:color w:val="231F20"/>
          <w:sz w:val="13"/>
        </w:rPr>
        <w:t>(beta</w:t>
      </w:r>
      <w:r>
        <w:rPr>
          <w:i/>
          <w:color w:val="231F20"/>
          <w:spacing w:val="40"/>
          <w:sz w:val="13"/>
        </w:rPr>
        <w:t> </w:t>
      </w:r>
      <w:r>
        <w:rPr>
          <w:i/>
          <w:color w:val="231F20"/>
          <w:sz w:val="13"/>
        </w:rPr>
        <w:t>version). </w:t>
      </w:r>
      <w:r>
        <w:rPr>
          <w:color w:val="231F20"/>
          <w:sz w:val="13"/>
        </w:rPr>
        <w:t>Cephalalgia </w:t>
      </w:r>
      <w:r>
        <w:rPr>
          <w:i/>
          <w:color w:val="231F20"/>
          <w:sz w:val="13"/>
        </w:rPr>
        <w:t>33(9):629–808, 2013 (Table 8).</w:t>
      </w:r>
    </w:p>
    <w:p>
      <w:pPr>
        <w:spacing w:after="0"/>
        <w:jc w:val="left"/>
        <w:rPr>
          <w:i/>
          <w:sz w:val="13"/>
        </w:rPr>
        <w:sectPr>
          <w:type w:val="continuous"/>
          <w:pgSz w:w="11900" w:h="16840"/>
          <w:pgMar w:header="0" w:footer="0" w:top="620" w:bottom="280" w:left="425" w:right="566"/>
          <w:cols w:num="2" w:equalWidth="0">
            <w:col w:w="5142" w:space="40"/>
            <w:col w:w="5727"/>
          </w:cols>
        </w:sectPr>
      </w:pPr>
    </w:p>
    <w:p>
      <w:pPr>
        <w:pStyle w:val="BodyText"/>
        <w:rPr>
          <w:i/>
          <w:sz w:val="20"/>
        </w:rPr>
      </w:pPr>
    </w:p>
    <w:p>
      <w:pPr>
        <w:pStyle w:val="BodyText"/>
        <w:rPr>
          <w:i/>
          <w:sz w:val="20"/>
        </w:rPr>
      </w:pPr>
    </w:p>
    <w:p>
      <w:pPr>
        <w:pStyle w:val="BodyText"/>
        <w:spacing w:before="34"/>
        <w:rPr>
          <w:i/>
          <w:sz w:val="20"/>
        </w:rPr>
      </w:pPr>
    </w:p>
    <w:p>
      <w:pPr>
        <w:tabs>
          <w:tab w:pos="5525" w:val="left" w:leader="none"/>
        </w:tabs>
        <w:spacing w:line="240" w:lineRule="auto"/>
        <w:ind w:left="486" w:right="0" w:firstLine="0"/>
        <w:rPr>
          <w:sz w:val="20"/>
        </w:rPr>
      </w:pPr>
      <w:r>
        <w:rPr>
          <w:sz w:val="20"/>
        </w:rPr>
        <mc:AlternateContent>
          <mc:Choice Requires="wps">
            <w:drawing>
              <wp:inline distT="0" distB="0" distL="0" distR="0">
                <wp:extent cx="2986405" cy="1689735"/>
                <wp:effectExtent l="0" t="0" r="0" b="5714"/>
                <wp:docPr id="688" name="Group 688"/>
                <wp:cNvGraphicFramePr>
                  <a:graphicFrameLocks/>
                </wp:cNvGraphicFramePr>
                <a:graphic>
                  <a:graphicData uri="http://schemas.microsoft.com/office/word/2010/wordprocessingGroup">
                    <wpg:wgp>
                      <wpg:cNvPr id="688" name="Group 688"/>
                      <wpg:cNvGrpSpPr/>
                      <wpg:grpSpPr>
                        <a:xfrm>
                          <a:off x="0" y="0"/>
                          <a:ext cx="2986405" cy="1689735"/>
                          <a:chExt cx="2986405" cy="1689735"/>
                        </a:xfrm>
                      </wpg:grpSpPr>
                      <wps:wsp>
                        <wps:cNvPr id="689" name="Textbox 689"/>
                        <wps:cNvSpPr txBox="1"/>
                        <wps:spPr>
                          <a:xfrm>
                            <a:off x="0" y="236979"/>
                            <a:ext cx="2986405" cy="1447165"/>
                          </a:xfrm>
                          <a:prstGeom prst="rect">
                            <a:avLst/>
                          </a:prstGeom>
                          <a:solidFill>
                            <a:srgbClr val="E8F5F1"/>
                          </a:solidFill>
                        </wps:spPr>
                        <wps:txbx>
                          <w:txbxContent>
                            <w:p>
                              <w:pPr>
                                <w:numPr>
                                  <w:ilvl w:val="0"/>
                                  <w:numId w:val="68"/>
                                </w:numPr>
                                <w:tabs>
                                  <w:tab w:pos="279" w:val="left" w:leader="none"/>
                                </w:tabs>
                                <w:spacing w:line="171" w:lineRule="exact" w:before="47"/>
                                <w:ind w:left="279" w:right="0" w:hanging="205"/>
                                <w:jc w:val="left"/>
                                <w:rPr>
                                  <w:color w:val="000000"/>
                                  <w:sz w:val="15"/>
                                </w:rPr>
                              </w:pPr>
                              <w:r>
                                <w:rPr>
                                  <w:color w:val="231F20"/>
                                  <w:spacing w:val="-2"/>
                                  <w:sz w:val="15"/>
                                </w:rPr>
                                <w:t>At</w:t>
                              </w:r>
                              <w:r>
                                <w:rPr>
                                  <w:color w:val="231F20"/>
                                  <w:spacing w:val="-6"/>
                                  <w:sz w:val="15"/>
                                </w:rPr>
                                <w:t> </w:t>
                              </w:r>
                              <w:r>
                                <w:rPr>
                                  <w:color w:val="231F20"/>
                                  <w:spacing w:val="-2"/>
                                  <w:sz w:val="15"/>
                                </w:rPr>
                                <w:t>least</w:t>
                              </w:r>
                              <w:r>
                                <w:rPr>
                                  <w:color w:val="231F20"/>
                                  <w:spacing w:val="-5"/>
                                  <w:sz w:val="15"/>
                                </w:rPr>
                                <w:t> </w:t>
                              </w:r>
                              <w:r>
                                <w:rPr>
                                  <w:color w:val="231F20"/>
                                  <w:spacing w:val="-2"/>
                                  <w:sz w:val="15"/>
                                </w:rPr>
                                <w:t>2</w:t>
                              </w:r>
                              <w:r>
                                <w:rPr>
                                  <w:color w:val="231F20"/>
                                  <w:spacing w:val="-5"/>
                                  <w:sz w:val="15"/>
                                </w:rPr>
                                <w:t> </w:t>
                              </w:r>
                              <w:r>
                                <w:rPr>
                                  <w:color w:val="231F20"/>
                                  <w:spacing w:val="-2"/>
                                  <w:sz w:val="15"/>
                                </w:rPr>
                                <w:t>attacks</w:t>
                              </w:r>
                              <w:r>
                                <w:rPr>
                                  <w:color w:val="231F20"/>
                                  <w:spacing w:val="-6"/>
                                  <w:sz w:val="15"/>
                                </w:rPr>
                                <w:t> </w:t>
                              </w:r>
                              <w:r>
                                <w:rPr>
                                  <w:color w:val="231F20"/>
                                  <w:spacing w:val="-2"/>
                                  <w:sz w:val="15"/>
                                </w:rPr>
                                <w:t>fulfilling</w:t>
                              </w:r>
                              <w:r>
                                <w:rPr>
                                  <w:color w:val="231F20"/>
                                  <w:spacing w:val="-5"/>
                                  <w:sz w:val="15"/>
                                </w:rPr>
                                <w:t> </w:t>
                              </w:r>
                              <w:r>
                                <w:rPr>
                                  <w:color w:val="231F20"/>
                                  <w:spacing w:val="-2"/>
                                  <w:sz w:val="15"/>
                                </w:rPr>
                                <w:t>criteria</w:t>
                              </w:r>
                              <w:r>
                                <w:rPr>
                                  <w:color w:val="231F20"/>
                                  <w:spacing w:val="-5"/>
                                  <w:sz w:val="15"/>
                                </w:rPr>
                                <w:t> </w:t>
                              </w:r>
                              <w:r>
                                <w:rPr>
                                  <w:color w:val="231F20"/>
                                  <w:spacing w:val="-2"/>
                                  <w:sz w:val="15"/>
                                </w:rPr>
                                <w:t>B</w:t>
                              </w:r>
                              <w:r>
                                <w:rPr>
                                  <w:color w:val="231F20"/>
                                  <w:spacing w:val="-5"/>
                                  <w:sz w:val="15"/>
                                </w:rPr>
                                <w:t> </w:t>
                              </w:r>
                              <w:r>
                                <w:rPr>
                                  <w:color w:val="231F20"/>
                                  <w:spacing w:val="-2"/>
                                  <w:sz w:val="15"/>
                                </w:rPr>
                                <w:t>and</w:t>
                              </w:r>
                              <w:r>
                                <w:rPr>
                                  <w:color w:val="231F20"/>
                                  <w:spacing w:val="-6"/>
                                  <w:sz w:val="15"/>
                                </w:rPr>
                                <w:t> </w:t>
                              </w:r>
                              <w:r>
                                <w:rPr>
                                  <w:color w:val="231F20"/>
                                  <w:spacing w:val="-10"/>
                                  <w:sz w:val="15"/>
                                </w:rPr>
                                <w:t>C</w:t>
                              </w:r>
                            </w:p>
                            <w:p>
                              <w:pPr>
                                <w:numPr>
                                  <w:ilvl w:val="0"/>
                                  <w:numId w:val="68"/>
                                </w:numPr>
                                <w:tabs>
                                  <w:tab w:pos="279" w:val="left" w:leader="none"/>
                                </w:tabs>
                                <w:spacing w:line="230" w:lineRule="auto" w:before="2"/>
                                <w:ind w:left="279" w:right="425" w:hanging="206"/>
                                <w:jc w:val="left"/>
                                <w:rPr>
                                  <w:color w:val="000000"/>
                                  <w:sz w:val="15"/>
                                </w:rPr>
                              </w:pPr>
                              <w:r>
                                <w:rPr>
                                  <w:color w:val="231F20"/>
                                  <w:sz w:val="15"/>
                                </w:rPr>
                                <w:t>Aura consisting of visual, sensory and/or speech/language </w:t>
                              </w:r>
                              <w:r>
                                <w:rPr>
                                  <w:color w:val="231F20"/>
                                  <w:spacing w:val="-2"/>
                                  <w:sz w:val="15"/>
                                </w:rPr>
                                <w:t>symptoms,</w:t>
                              </w:r>
                              <w:r>
                                <w:rPr>
                                  <w:color w:val="231F20"/>
                                  <w:spacing w:val="-3"/>
                                  <w:sz w:val="15"/>
                                </w:rPr>
                                <w:t> </w:t>
                              </w:r>
                              <w:r>
                                <w:rPr>
                                  <w:color w:val="231F20"/>
                                  <w:spacing w:val="-2"/>
                                  <w:sz w:val="15"/>
                                </w:rPr>
                                <w:t>each</w:t>
                              </w:r>
                              <w:r>
                                <w:rPr>
                                  <w:color w:val="231F20"/>
                                  <w:spacing w:val="-3"/>
                                  <w:sz w:val="15"/>
                                </w:rPr>
                                <w:t> </w:t>
                              </w:r>
                              <w:r>
                                <w:rPr>
                                  <w:color w:val="231F20"/>
                                  <w:spacing w:val="-2"/>
                                  <w:sz w:val="15"/>
                                </w:rPr>
                                <w:t>fully</w:t>
                              </w:r>
                              <w:r>
                                <w:rPr>
                                  <w:color w:val="231F20"/>
                                  <w:spacing w:val="-3"/>
                                  <w:sz w:val="15"/>
                                </w:rPr>
                                <w:t> </w:t>
                              </w:r>
                              <w:r>
                                <w:rPr>
                                  <w:color w:val="231F20"/>
                                  <w:spacing w:val="-2"/>
                                  <w:sz w:val="15"/>
                                </w:rPr>
                                <w:t>reversible,</w:t>
                              </w:r>
                              <w:r>
                                <w:rPr>
                                  <w:color w:val="231F20"/>
                                  <w:spacing w:val="-3"/>
                                  <w:sz w:val="15"/>
                                </w:rPr>
                                <w:t> </w:t>
                              </w:r>
                              <w:r>
                                <w:rPr>
                                  <w:color w:val="231F20"/>
                                  <w:spacing w:val="-2"/>
                                  <w:sz w:val="15"/>
                                </w:rPr>
                                <w:t>but</w:t>
                              </w:r>
                              <w:r>
                                <w:rPr>
                                  <w:color w:val="231F20"/>
                                  <w:spacing w:val="-3"/>
                                  <w:sz w:val="15"/>
                                </w:rPr>
                                <w:t> </w:t>
                              </w:r>
                              <w:r>
                                <w:rPr>
                                  <w:color w:val="231F20"/>
                                  <w:spacing w:val="-2"/>
                                  <w:sz w:val="15"/>
                                </w:rPr>
                                <w:t>no</w:t>
                              </w:r>
                              <w:r>
                                <w:rPr>
                                  <w:color w:val="231F20"/>
                                  <w:spacing w:val="-3"/>
                                  <w:sz w:val="15"/>
                                </w:rPr>
                                <w:t> </w:t>
                              </w:r>
                              <w:r>
                                <w:rPr>
                                  <w:color w:val="231F20"/>
                                  <w:spacing w:val="-2"/>
                                  <w:sz w:val="15"/>
                                </w:rPr>
                                <w:t>motor,</w:t>
                              </w:r>
                              <w:r>
                                <w:rPr>
                                  <w:color w:val="231F20"/>
                                  <w:spacing w:val="-3"/>
                                  <w:sz w:val="15"/>
                                </w:rPr>
                                <w:t> </w:t>
                              </w:r>
                              <w:r>
                                <w:rPr>
                                  <w:color w:val="231F20"/>
                                  <w:spacing w:val="-2"/>
                                  <w:sz w:val="15"/>
                                </w:rPr>
                                <w:t>brainstem</w:t>
                              </w:r>
                              <w:r>
                                <w:rPr>
                                  <w:color w:val="231F20"/>
                                  <w:spacing w:val="-3"/>
                                  <w:sz w:val="15"/>
                                </w:rPr>
                                <w:t> </w:t>
                              </w:r>
                              <w:r>
                                <w:rPr>
                                  <w:color w:val="231F20"/>
                                  <w:spacing w:val="-2"/>
                                  <w:sz w:val="15"/>
                                </w:rPr>
                                <w:t>or </w:t>
                              </w:r>
                              <w:r>
                                <w:rPr>
                                  <w:color w:val="231F20"/>
                                  <w:sz w:val="15"/>
                                </w:rPr>
                                <w:t>retinal symptoms</w:t>
                              </w:r>
                            </w:p>
                            <w:p>
                              <w:pPr>
                                <w:numPr>
                                  <w:ilvl w:val="0"/>
                                  <w:numId w:val="68"/>
                                </w:numPr>
                                <w:tabs>
                                  <w:tab w:pos="279" w:val="left" w:leader="none"/>
                                </w:tabs>
                                <w:spacing w:line="168" w:lineRule="exact" w:before="0"/>
                                <w:ind w:left="279" w:right="0" w:hanging="205"/>
                                <w:jc w:val="left"/>
                                <w:rPr>
                                  <w:color w:val="000000"/>
                                  <w:sz w:val="15"/>
                                </w:rPr>
                              </w:pPr>
                              <w:r>
                                <w:rPr>
                                  <w:color w:val="231F20"/>
                                  <w:sz w:val="15"/>
                                </w:rPr>
                                <w:t>At</w:t>
                              </w:r>
                              <w:r>
                                <w:rPr>
                                  <w:color w:val="231F20"/>
                                  <w:spacing w:val="-5"/>
                                  <w:sz w:val="15"/>
                                </w:rPr>
                                <w:t> </w:t>
                              </w:r>
                              <w:r>
                                <w:rPr>
                                  <w:color w:val="231F20"/>
                                  <w:sz w:val="15"/>
                                </w:rPr>
                                <w:t>least</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4</w:t>
                              </w:r>
                              <w:r>
                                <w:rPr>
                                  <w:color w:val="231F20"/>
                                  <w:spacing w:val="-5"/>
                                  <w:sz w:val="15"/>
                                </w:rPr>
                                <w:t> </w:t>
                              </w:r>
                              <w:r>
                                <w:rPr>
                                  <w:color w:val="231F20"/>
                                  <w:spacing w:val="-2"/>
                                  <w:sz w:val="15"/>
                                </w:rPr>
                                <w:t>characteristics:</w:t>
                              </w:r>
                            </w:p>
                            <w:p>
                              <w:pPr>
                                <w:numPr>
                                  <w:ilvl w:val="1"/>
                                  <w:numId w:val="68"/>
                                </w:numPr>
                                <w:tabs>
                                  <w:tab w:pos="457" w:val="left" w:leader="none"/>
                                  <w:tab w:pos="459" w:val="left" w:leader="none"/>
                                </w:tabs>
                                <w:spacing w:line="230" w:lineRule="auto" w:before="3"/>
                                <w:ind w:left="459" w:right="346" w:hanging="193"/>
                                <w:jc w:val="left"/>
                                <w:rPr>
                                  <w:color w:val="000000"/>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1</w:t>
                              </w:r>
                              <w:r>
                                <w:rPr>
                                  <w:color w:val="231F20"/>
                                  <w:spacing w:val="-4"/>
                                  <w:sz w:val="15"/>
                                </w:rPr>
                                <w:t> </w:t>
                              </w:r>
                              <w:r>
                                <w:rPr>
                                  <w:color w:val="231F20"/>
                                  <w:sz w:val="15"/>
                                </w:rPr>
                                <w:t>aura</w:t>
                              </w:r>
                              <w:r>
                                <w:rPr>
                                  <w:color w:val="231F20"/>
                                  <w:spacing w:val="-4"/>
                                  <w:sz w:val="15"/>
                                </w:rPr>
                                <w:t> </w:t>
                              </w:r>
                              <w:r>
                                <w:rPr>
                                  <w:color w:val="231F20"/>
                                  <w:sz w:val="15"/>
                                </w:rPr>
                                <w:t>symptom</w:t>
                              </w:r>
                              <w:r>
                                <w:rPr>
                                  <w:color w:val="231F20"/>
                                  <w:spacing w:val="-4"/>
                                  <w:sz w:val="15"/>
                                </w:rPr>
                                <w:t> </w:t>
                              </w:r>
                              <w:r>
                                <w:rPr>
                                  <w:color w:val="231F20"/>
                                  <w:sz w:val="15"/>
                                </w:rPr>
                                <w:t>spreads</w:t>
                              </w:r>
                              <w:r>
                                <w:rPr>
                                  <w:color w:val="231F20"/>
                                  <w:spacing w:val="-4"/>
                                  <w:sz w:val="15"/>
                                </w:rPr>
                                <w:t> </w:t>
                              </w:r>
                              <w:r>
                                <w:rPr>
                                  <w:color w:val="231F20"/>
                                  <w:sz w:val="15"/>
                                </w:rPr>
                                <w:t>gradually</w:t>
                              </w:r>
                              <w:r>
                                <w:rPr>
                                  <w:color w:val="231F20"/>
                                  <w:spacing w:val="-4"/>
                                  <w:sz w:val="15"/>
                                </w:rPr>
                                <w:t> </w:t>
                              </w:r>
                              <w:r>
                                <w:rPr>
                                  <w:color w:val="231F20"/>
                                  <w:sz w:val="15"/>
                                </w:rPr>
                                <w:t>over</w:t>
                              </w:r>
                              <w:r>
                                <w:rPr>
                                  <w:color w:val="231F20"/>
                                  <w:spacing w:val="-4"/>
                                  <w:sz w:val="15"/>
                                </w:rPr>
                                <w:t> </w:t>
                              </w:r>
                              <w:r>
                                <w:rPr>
                                  <w:color w:val="231F20"/>
                                  <w:sz w:val="15"/>
                                </w:rPr>
                                <w:t>5</w:t>
                              </w:r>
                              <w:r>
                                <w:rPr>
                                  <w:color w:val="231F20"/>
                                  <w:spacing w:val="-4"/>
                                  <w:sz w:val="15"/>
                                </w:rPr>
                                <w:t> </w:t>
                              </w:r>
                              <w:r>
                                <w:rPr>
                                  <w:color w:val="231F20"/>
                                  <w:sz w:val="15"/>
                                </w:rPr>
                                <w:t>or</w:t>
                              </w:r>
                              <w:r>
                                <w:rPr>
                                  <w:color w:val="231F20"/>
                                  <w:spacing w:val="-4"/>
                                  <w:sz w:val="15"/>
                                </w:rPr>
                                <w:t> </w:t>
                              </w:r>
                              <w:r>
                                <w:rPr>
                                  <w:color w:val="231F20"/>
                                  <w:sz w:val="15"/>
                                </w:rPr>
                                <w:t>more minutes, and/or 2 or more symptoms occur in succession</w:t>
                              </w:r>
                            </w:p>
                            <w:p>
                              <w:pPr>
                                <w:numPr>
                                  <w:ilvl w:val="1"/>
                                  <w:numId w:val="68"/>
                                </w:numPr>
                                <w:tabs>
                                  <w:tab w:pos="457" w:val="left" w:leader="none"/>
                                </w:tabs>
                                <w:spacing w:line="167" w:lineRule="exact" w:before="0"/>
                                <w:ind w:left="457" w:right="0" w:hanging="191"/>
                                <w:jc w:val="left"/>
                                <w:rPr>
                                  <w:color w:val="000000"/>
                                  <w:sz w:val="15"/>
                                </w:rPr>
                              </w:pPr>
                              <w:r>
                                <w:rPr>
                                  <w:color w:val="231F20"/>
                                  <w:sz w:val="15"/>
                                </w:rPr>
                                <w:t>Each</w:t>
                              </w:r>
                              <w:r>
                                <w:rPr>
                                  <w:color w:val="231F20"/>
                                  <w:spacing w:val="-7"/>
                                  <w:sz w:val="15"/>
                                </w:rPr>
                                <w:t> </w:t>
                              </w:r>
                              <w:r>
                                <w:rPr>
                                  <w:color w:val="231F20"/>
                                  <w:sz w:val="15"/>
                                </w:rPr>
                                <w:t>individual</w:t>
                              </w:r>
                              <w:r>
                                <w:rPr>
                                  <w:color w:val="231F20"/>
                                  <w:spacing w:val="-7"/>
                                  <w:sz w:val="15"/>
                                </w:rPr>
                                <w:t> </w:t>
                              </w:r>
                              <w:r>
                                <w:rPr>
                                  <w:color w:val="231F20"/>
                                  <w:sz w:val="15"/>
                                </w:rPr>
                                <w:t>aura</w:t>
                              </w:r>
                              <w:r>
                                <w:rPr>
                                  <w:color w:val="231F20"/>
                                  <w:spacing w:val="-7"/>
                                  <w:sz w:val="15"/>
                                </w:rPr>
                                <w:t> </w:t>
                              </w:r>
                              <w:r>
                                <w:rPr>
                                  <w:color w:val="231F20"/>
                                  <w:sz w:val="15"/>
                                </w:rPr>
                                <w:t>symptom</w:t>
                              </w:r>
                              <w:r>
                                <w:rPr>
                                  <w:color w:val="231F20"/>
                                  <w:spacing w:val="-6"/>
                                  <w:sz w:val="15"/>
                                </w:rPr>
                                <w:t> </w:t>
                              </w:r>
                              <w:r>
                                <w:rPr>
                                  <w:color w:val="231F20"/>
                                  <w:sz w:val="15"/>
                                </w:rPr>
                                <w:t>lasts</w:t>
                              </w:r>
                              <w:r>
                                <w:rPr>
                                  <w:color w:val="231F20"/>
                                  <w:spacing w:val="-7"/>
                                  <w:sz w:val="15"/>
                                </w:rPr>
                                <w:t> </w:t>
                              </w:r>
                              <w:r>
                                <w:rPr>
                                  <w:color w:val="231F20"/>
                                  <w:sz w:val="15"/>
                                </w:rPr>
                                <w:t>5-60</w:t>
                              </w:r>
                              <w:r>
                                <w:rPr>
                                  <w:color w:val="231F20"/>
                                  <w:spacing w:val="-7"/>
                                  <w:sz w:val="15"/>
                                </w:rPr>
                                <w:t> </w:t>
                              </w:r>
                              <w:r>
                                <w:rPr>
                                  <w:color w:val="231F20"/>
                                  <w:spacing w:val="-2"/>
                                  <w:sz w:val="15"/>
                                </w:rPr>
                                <w:t>minutes</w:t>
                              </w:r>
                            </w:p>
                            <w:p>
                              <w:pPr>
                                <w:numPr>
                                  <w:ilvl w:val="1"/>
                                  <w:numId w:val="68"/>
                                </w:numPr>
                                <w:tabs>
                                  <w:tab w:pos="457" w:val="left" w:leader="none"/>
                                </w:tabs>
                                <w:spacing w:line="168" w:lineRule="exact" w:before="0"/>
                                <w:ind w:left="457" w:right="0" w:hanging="191"/>
                                <w:jc w:val="left"/>
                                <w:rPr>
                                  <w:color w:val="000000"/>
                                  <w:sz w:val="15"/>
                                </w:rPr>
                              </w:pPr>
                              <w:r>
                                <w:rPr>
                                  <w:color w:val="231F20"/>
                                  <w:sz w:val="15"/>
                                </w:rPr>
                                <w:t>At</w:t>
                              </w:r>
                              <w:r>
                                <w:rPr>
                                  <w:color w:val="231F20"/>
                                  <w:spacing w:val="-4"/>
                                  <w:sz w:val="15"/>
                                </w:rPr>
                                <w:t> </w:t>
                              </w:r>
                              <w:r>
                                <w:rPr>
                                  <w:color w:val="231F20"/>
                                  <w:sz w:val="15"/>
                                </w:rPr>
                                <w:t>least</w:t>
                              </w:r>
                              <w:r>
                                <w:rPr>
                                  <w:color w:val="231F20"/>
                                  <w:spacing w:val="-3"/>
                                  <w:sz w:val="15"/>
                                </w:rPr>
                                <w:t> </w:t>
                              </w:r>
                              <w:r>
                                <w:rPr>
                                  <w:color w:val="231F20"/>
                                  <w:sz w:val="15"/>
                                </w:rPr>
                                <w:t>1</w:t>
                              </w:r>
                              <w:r>
                                <w:rPr>
                                  <w:color w:val="231F20"/>
                                  <w:spacing w:val="-3"/>
                                  <w:sz w:val="15"/>
                                </w:rPr>
                                <w:t> </w:t>
                              </w:r>
                              <w:r>
                                <w:rPr>
                                  <w:color w:val="231F20"/>
                                  <w:sz w:val="15"/>
                                </w:rPr>
                                <w:t>aura</w:t>
                              </w:r>
                              <w:r>
                                <w:rPr>
                                  <w:color w:val="231F20"/>
                                  <w:spacing w:val="-3"/>
                                  <w:sz w:val="15"/>
                                </w:rPr>
                                <w:t> </w:t>
                              </w:r>
                              <w:r>
                                <w:rPr>
                                  <w:color w:val="231F20"/>
                                  <w:sz w:val="15"/>
                                </w:rPr>
                                <w:t>symptom</w:t>
                              </w:r>
                              <w:r>
                                <w:rPr>
                                  <w:color w:val="231F20"/>
                                  <w:spacing w:val="-3"/>
                                  <w:sz w:val="15"/>
                                </w:rPr>
                                <w:t> </w:t>
                              </w:r>
                              <w:r>
                                <w:rPr>
                                  <w:color w:val="231F20"/>
                                  <w:sz w:val="15"/>
                                </w:rPr>
                                <w:t>is</w:t>
                              </w:r>
                              <w:r>
                                <w:rPr>
                                  <w:color w:val="231F20"/>
                                  <w:spacing w:val="-3"/>
                                  <w:sz w:val="15"/>
                                </w:rPr>
                                <w:t> </w:t>
                              </w:r>
                              <w:r>
                                <w:rPr>
                                  <w:color w:val="231F20"/>
                                  <w:spacing w:val="-2"/>
                                  <w:sz w:val="15"/>
                                </w:rPr>
                                <w:t>unilateral</w:t>
                              </w:r>
                            </w:p>
                            <w:p>
                              <w:pPr>
                                <w:numPr>
                                  <w:ilvl w:val="1"/>
                                  <w:numId w:val="68"/>
                                </w:numPr>
                                <w:tabs>
                                  <w:tab w:pos="457" w:val="left" w:leader="none"/>
                                  <w:tab w:pos="459" w:val="left" w:leader="none"/>
                                </w:tabs>
                                <w:spacing w:line="230" w:lineRule="auto" w:before="3"/>
                                <w:ind w:left="459" w:right="262" w:hanging="193"/>
                                <w:jc w:val="left"/>
                                <w:rPr>
                                  <w:color w:val="000000"/>
                                  <w:sz w:val="15"/>
                                </w:rPr>
                              </w:pPr>
                              <w:r>
                                <w:rPr>
                                  <w:color w:val="231F20"/>
                                  <w:sz w:val="15"/>
                                </w:rPr>
                                <w:t>The</w:t>
                              </w:r>
                              <w:r>
                                <w:rPr>
                                  <w:color w:val="231F20"/>
                                  <w:spacing w:val="-12"/>
                                  <w:sz w:val="15"/>
                                </w:rPr>
                                <w:t> </w:t>
                              </w:r>
                              <w:r>
                                <w:rPr>
                                  <w:color w:val="231F20"/>
                                  <w:sz w:val="15"/>
                                </w:rPr>
                                <w:t>aura</w:t>
                              </w:r>
                              <w:r>
                                <w:rPr>
                                  <w:color w:val="231F20"/>
                                  <w:spacing w:val="-11"/>
                                  <w:sz w:val="15"/>
                                </w:rPr>
                                <w:t> </w:t>
                              </w:r>
                              <w:r>
                                <w:rPr>
                                  <w:color w:val="231F20"/>
                                  <w:sz w:val="15"/>
                                </w:rPr>
                                <w:t>is</w:t>
                              </w:r>
                              <w:r>
                                <w:rPr>
                                  <w:color w:val="231F20"/>
                                  <w:spacing w:val="-11"/>
                                  <w:sz w:val="15"/>
                                </w:rPr>
                                <w:t> </w:t>
                              </w:r>
                              <w:r>
                                <w:rPr>
                                  <w:color w:val="231F20"/>
                                  <w:sz w:val="15"/>
                                </w:rPr>
                                <w:t>accompanied,</w:t>
                              </w:r>
                              <w:r>
                                <w:rPr>
                                  <w:color w:val="231F20"/>
                                  <w:spacing w:val="-11"/>
                                  <w:sz w:val="15"/>
                                </w:rPr>
                                <w:t> </w:t>
                              </w:r>
                              <w:r>
                                <w:rPr>
                                  <w:color w:val="231F20"/>
                                  <w:sz w:val="15"/>
                                </w:rPr>
                                <w:t>or</w:t>
                              </w:r>
                              <w:r>
                                <w:rPr>
                                  <w:color w:val="231F20"/>
                                  <w:spacing w:val="-12"/>
                                  <w:sz w:val="15"/>
                                </w:rPr>
                                <w:t> </w:t>
                              </w:r>
                              <w:r>
                                <w:rPr>
                                  <w:color w:val="231F20"/>
                                  <w:sz w:val="15"/>
                                </w:rPr>
                                <w:t>followed</w:t>
                              </w:r>
                              <w:r>
                                <w:rPr>
                                  <w:color w:val="231F20"/>
                                  <w:spacing w:val="-11"/>
                                  <w:sz w:val="15"/>
                                </w:rPr>
                                <w:t> </w:t>
                              </w:r>
                              <w:r>
                                <w:rPr>
                                  <w:color w:val="231F20"/>
                                  <w:sz w:val="15"/>
                                </w:rPr>
                                <w:t>within</w:t>
                              </w:r>
                              <w:r>
                                <w:rPr>
                                  <w:color w:val="231F20"/>
                                  <w:spacing w:val="-11"/>
                                  <w:sz w:val="15"/>
                                </w:rPr>
                                <w:t> </w:t>
                              </w:r>
                              <w:r>
                                <w:rPr>
                                  <w:color w:val="231F20"/>
                                  <w:sz w:val="15"/>
                                </w:rPr>
                                <w:t>60</w:t>
                              </w:r>
                              <w:r>
                                <w:rPr>
                                  <w:color w:val="231F20"/>
                                  <w:spacing w:val="-11"/>
                                  <w:sz w:val="15"/>
                                </w:rPr>
                                <w:t> </w:t>
                              </w:r>
                              <w:r>
                                <w:rPr>
                                  <w:color w:val="231F20"/>
                                  <w:sz w:val="15"/>
                                </w:rPr>
                                <w:t>minutes,</w:t>
                              </w:r>
                              <w:r>
                                <w:rPr>
                                  <w:color w:val="231F20"/>
                                  <w:spacing w:val="-12"/>
                                  <w:sz w:val="15"/>
                                </w:rPr>
                                <w:t> </w:t>
                              </w:r>
                              <w:r>
                                <w:rPr>
                                  <w:color w:val="231F20"/>
                                  <w:sz w:val="15"/>
                                </w:rPr>
                                <w:t>by </w:t>
                              </w:r>
                              <w:r>
                                <w:rPr>
                                  <w:color w:val="231F20"/>
                                  <w:spacing w:val="-2"/>
                                  <w:sz w:val="15"/>
                                </w:rPr>
                                <w:t>headache</w:t>
                              </w:r>
                            </w:p>
                            <w:p>
                              <w:pPr>
                                <w:numPr>
                                  <w:ilvl w:val="0"/>
                                  <w:numId w:val="68"/>
                                </w:numPr>
                                <w:tabs>
                                  <w:tab w:pos="278" w:val="left" w:leader="none"/>
                                  <w:tab w:pos="280" w:val="left" w:leader="none"/>
                                </w:tabs>
                                <w:spacing w:line="230" w:lineRule="auto" w:before="1"/>
                                <w:ind w:left="280" w:right="419" w:hanging="206"/>
                                <w:jc w:val="left"/>
                                <w:rPr>
                                  <w:color w:val="000000"/>
                                  <w:sz w:val="15"/>
                                </w:rPr>
                              </w:pPr>
                              <w:r>
                                <w:rPr>
                                  <w:color w:val="231F20"/>
                                  <w:sz w:val="15"/>
                                </w:rPr>
                                <w:t>Not better accounted for by another ICHD-3 diagnosis, </w:t>
                              </w:r>
                              <w:r>
                                <w:rPr>
                                  <w:color w:val="231F20"/>
                                  <w:sz w:val="15"/>
                                </w:rPr>
                                <w:t>and transient ischemic attack has been excluded</w:t>
                              </w:r>
                            </w:p>
                          </w:txbxContent>
                        </wps:txbx>
                        <wps:bodyPr wrap="square" lIns="0" tIns="0" rIns="0" bIns="0" rtlCol="0">
                          <a:noAutofit/>
                        </wps:bodyPr>
                      </wps:wsp>
                      <wps:wsp>
                        <wps:cNvPr id="690" name="Graphic 690"/>
                        <wps:cNvSpPr/>
                        <wps:spPr>
                          <a:xfrm>
                            <a:off x="0" y="1677602"/>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691" name="Textbox 691"/>
                        <wps:cNvSpPr txBox="1"/>
                        <wps:spPr>
                          <a:xfrm>
                            <a:off x="734654" y="0"/>
                            <a:ext cx="2251710" cy="225425"/>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Migraine</w:t>
                              </w:r>
                              <w:r>
                                <w:rPr>
                                  <w:color w:val="FFFFFF"/>
                                  <w:spacing w:val="4"/>
                                  <w:w w:val="105"/>
                                  <w:sz w:val="16"/>
                                </w:rPr>
                                <w:t> </w:t>
                              </w:r>
                              <w:r>
                                <w:rPr>
                                  <w:color w:val="FFFFFF"/>
                                  <w:w w:val="105"/>
                                  <w:sz w:val="16"/>
                                </w:rPr>
                                <w:t>with</w:t>
                              </w:r>
                              <w:r>
                                <w:rPr>
                                  <w:color w:val="FFFFFF"/>
                                  <w:spacing w:val="4"/>
                                  <w:w w:val="105"/>
                                  <w:sz w:val="16"/>
                                </w:rPr>
                                <w:t> </w:t>
                              </w:r>
                              <w:r>
                                <w:rPr>
                                  <w:color w:val="FFFFFF"/>
                                  <w:w w:val="105"/>
                                  <w:sz w:val="16"/>
                                </w:rPr>
                                <w:t>Typical</w:t>
                              </w:r>
                              <w:r>
                                <w:rPr>
                                  <w:color w:val="FFFFFF"/>
                                  <w:spacing w:val="4"/>
                                  <w:w w:val="105"/>
                                  <w:sz w:val="16"/>
                                </w:rPr>
                                <w:t> </w:t>
                              </w:r>
                              <w:r>
                                <w:rPr>
                                  <w:color w:val="FFFFFF"/>
                                  <w:spacing w:val="-4"/>
                                  <w:w w:val="105"/>
                                  <w:sz w:val="16"/>
                                </w:rPr>
                                <w:t>Aura</w:t>
                              </w:r>
                            </w:p>
                          </w:txbxContent>
                        </wps:txbx>
                        <wps:bodyPr wrap="square" lIns="0" tIns="0" rIns="0" bIns="0" rtlCol="0">
                          <a:noAutofit/>
                        </wps:bodyPr>
                      </wps:wsp>
                      <wps:wsp>
                        <wps:cNvPr id="692" name="Textbox 692"/>
                        <wps:cNvSpPr txBox="1"/>
                        <wps:spPr>
                          <a:xfrm>
                            <a:off x="0" y="0"/>
                            <a:ext cx="723265" cy="225425"/>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3</w:t>
                              </w:r>
                            </w:p>
                          </w:txbxContent>
                        </wps:txbx>
                        <wps:bodyPr wrap="square" lIns="0" tIns="0" rIns="0" bIns="0" rtlCol="0">
                          <a:noAutofit/>
                        </wps:bodyPr>
                      </wps:wsp>
                    </wpg:wgp>
                  </a:graphicData>
                </a:graphic>
              </wp:inline>
            </w:drawing>
          </mc:Choice>
          <mc:Fallback>
            <w:pict>
              <v:group style="width:235.15pt;height:133.050pt;mso-position-horizontal-relative:char;mso-position-vertical-relative:line" id="docshapegroup583" coordorigin="0,0" coordsize="4703,2661">
                <v:shape style="position:absolute;left:0;top:373;width:4703;height:2279" type="#_x0000_t202" id="docshape584" filled="true" fillcolor="#e8f5f1" stroked="false">
                  <v:textbox inset="0,0,0,0">
                    <w:txbxContent>
                      <w:p>
                        <w:pPr>
                          <w:numPr>
                            <w:ilvl w:val="0"/>
                            <w:numId w:val="68"/>
                          </w:numPr>
                          <w:tabs>
                            <w:tab w:pos="279" w:val="left" w:leader="none"/>
                          </w:tabs>
                          <w:spacing w:line="171" w:lineRule="exact" w:before="47"/>
                          <w:ind w:left="279" w:right="0" w:hanging="205"/>
                          <w:jc w:val="left"/>
                          <w:rPr>
                            <w:color w:val="000000"/>
                            <w:sz w:val="15"/>
                          </w:rPr>
                        </w:pPr>
                        <w:r>
                          <w:rPr>
                            <w:color w:val="231F20"/>
                            <w:spacing w:val="-2"/>
                            <w:sz w:val="15"/>
                          </w:rPr>
                          <w:t>At</w:t>
                        </w:r>
                        <w:r>
                          <w:rPr>
                            <w:color w:val="231F20"/>
                            <w:spacing w:val="-6"/>
                            <w:sz w:val="15"/>
                          </w:rPr>
                          <w:t> </w:t>
                        </w:r>
                        <w:r>
                          <w:rPr>
                            <w:color w:val="231F20"/>
                            <w:spacing w:val="-2"/>
                            <w:sz w:val="15"/>
                          </w:rPr>
                          <w:t>least</w:t>
                        </w:r>
                        <w:r>
                          <w:rPr>
                            <w:color w:val="231F20"/>
                            <w:spacing w:val="-5"/>
                            <w:sz w:val="15"/>
                          </w:rPr>
                          <w:t> </w:t>
                        </w:r>
                        <w:r>
                          <w:rPr>
                            <w:color w:val="231F20"/>
                            <w:spacing w:val="-2"/>
                            <w:sz w:val="15"/>
                          </w:rPr>
                          <w:t>2</w:t>
                        </w:r>
                        <w:r>
                          <w:rPr>
                            <w:color w:val="231F20"/>
                            <w:spacing w:val="-5"/>
                            <w:sz w:val="15"/>
                          </w:rPr>
                          <w:t> </w:t>
                        </w:r>
                        <w:r>
                          <w:rPr>
                            <w:color w:val="231F20"/>
                            <w:spacing w:val="-2"/>
                            <w:sz w:val="15"/>
                          </w:rPr>
                          <w:t>attacks</w:t>
                        </w:r>
                        <w:r>
                          <w:rPr>
                            <w:color w:val="231F20"/>
                            <w:spacing w:val="-6"/>
                            <w:sz w:val="15"/>
                          </w:rPr>
                          <w:t> </w:t>
                        </w:r>
                        <w:r>
                          <w:rPr>
                            <w:color w:val="231F20"/>
                            <w:spacing w:val="-2"/>
                            <w:sz w:val="15"/>
                          </w:rPr>
                          <w:t>fulfilling</w:t>
                        </w:r>
                        <w:r>
                          <w:rPr>
                            <w:color w:val="231F20"/>
                            <w:spacing w:val="-5"/>
                            <w:sz w:val="15"/>
                          </w:rPr>
                          <w:t> </w:t>
                        </w:r>
                        <w:r>
                          <w:rPr>
                            <w:color w:val="231F20"/>
                            <w:spacing w:val="-2"/>
                            <w:sz w:val="15"/>
                          </w:rPr>
                          <w:t>criteria</w:t>
                        </w:r>
                        <w:r>
                          <w:rPr>
                            <w:color w:val="231F20"/>
                            <w:spacing w:val="-5"/>
                            <w:sz w:val="15"/>
                          </w:rPr>
                          <w:t> </w:t>
                        </w:r>
                        <w:r>
                          <w:rPr>
                            <w:color w:val="231F20"/>
                            <w:spacing w:val="-2"/>
                            <w:sz w:val="15"/>
                          </w:rPr>
                          <w:t>B</w:t>
                        </w:r>
                        <w:r>
                          <w:rPr>
                            <w:color w:val="231F20"/>
                            <w:spacing w:val="-5"/>
                            <w:sz w:val="15"/>
                          </w:rPr>
                          <w:t> </w:t>
                        </w:r>
                        <w:r>
                          <w:rPr>
                            <w:color w:val="231F20"/>
                            <w:spacing w:val="-2"/>
                            <w:sz w:val="15"/>
                          </w:rPr>
                          <w:t>and</w:t>
                        </w:r>
                        <w:r>
                          <w:rPr>
                            <w:color w:val="231F20"/>
                            <w:spacing w:val="-6"/>
                            <w:sz w:val="15"/>
                          </w:rPr>
                          <w:t> </w:t>
                        </w:r>
                        <w:r>
                          <w:rPr>
                            <w:color w:val="231F20"/>
                            <w:spacing w:val="-10"/>
                            <w:sz w:val="15"/>
                          </w:rPr>
                          <w:t>C</w:t>
                        </w:r>
                      </w:p>
                      <w:p>
                        <w:pPr>
                          <w:numPr>
                            <w:ilvl w:val="0"/>
                            <w:numId w:val="68"/>
                          </w:numPr>
                          <w:tabs>
                            <w:tab w:pos="279" w:val="left" w:leader="none"/>
                          </w:tabs>
                          <w:spacing w:line="230" w:lineRule="auto" w:before="2"/>
                          <w:ind w:left="279" w:right="425" w:hanging="206"/>
                          <w:jc w:val="left"/>
                          <w:rPr>
                            <w:color w:val="000000"/>
                            <w:sz w:val="15"/>
                          </w:rPr>
                        </w:pPr>
                        <w:r>
                          <w:rPr>
                            <w:color w:val="231F20"/>
                            <w:sz w:val="15"/>
                          </w:rPr>
                          <w:t>Aura consisting of visual, sensory and/or speech/language </w:t>
                        </w:r>
                        <w:r>
                          <w:rPr>
                            <w:color w:val="231F20"/>
                            <w:spacing w:val="-2"/>
                            <w:sz w:val="15"/>
                          </w:rPr>
                          <w:t>symptoms,</w:t>
                        </w:r>
                        <w:r>
                          <w:rPr>
                            <w:color w:val="231F20"/>
                            <w:spacing w:val="-3"/>
                            <w:sz w:val="15"/>
                          </w:rPr>
                          <w:t> </w:t>
                        </w:r>
                        <w:r>
                          <w:rPr>
                            <w:color w:val="231F20"/>
                            <w:spacing w:val="-2"/>
                            <w:sz w:val="15"/>
                          </w:rPr>
                          <w:t>each</w:t>
                        </w:r>
                        <w:r>
                          <w:rPr>
                            <w:color w:val="231F20"/>
                            <w:spacing w:val="-3"/>
                            <w:sz w:val="15"/>
                          </w:rPr>
                          <w:t> </w:t>
                        </w:r>
                        <w:r>
                          <w:rPr>
                            <w:color w:val="231F20"/>
                            <w:spacing w:val="-2"/>
                            <w:sz w:val="15"/>
                          </w:rPr>
                          <w:t>fully</w:t>
                        </w:r>
                        <w:r>
                          <w:rPr>
                            <w:color w:val="231F20"/>
                            <w:spacing w:val="-3"/>
                            <w:sz w:val="15"/>
                          </w:rPr>
                          <w:t> </w:t>
                        </w:r>
                        <w:r>
                          <w:rPr>
                            <w:color w:val="231F20"/>
                            <w:spacing w:val="-2"/>
                            <w:sz w:val="15"/>
                          </w:rPr>
                          <w:t>reversible,</w:t>
                        </w:r>
                        <w:r>
                          <w:rPr>
                            <w:color w:val="231F20"/>
                            <w:spacing w:val="-3"/>
                            <w:sz w:val="15"/>
                          </w:rPr>
                          <w:t> </w:t>
                        </w:r>
                        <w:r>
                          <w:rPr>
                            <w:color w:val="231F20"/>
                            <w:spacing w:val="-2"/>
                            <w:sz w:val="15"/>
                          </w:rPr>
                          <w:t>but</w:t>
                        </w:r>
                        <w:r>
                          <w:rPr>
                            <w:color w:val="231F20"/>
                            <w:spacing w:val="-3"/>
                            <w:sz w:val="15"/>
                          </w:rPr>
                          <w:t> </w:t>
                        </w:r>
                        <w:r>
                          <w:rPr>
                            <w:color w:val="231F20"/>
                            <w:spacing w:val="-2"/>
                            <w:sz w:val="15"/>
                          </w:rPr>
                          <w:t>no</w:t>
                        </w:r>
                        <w:r>
                          <w:rPr>
                            <w:color w:val="231F20"/>
                            <w:spacing w:val="-3"/>
                            <w:sz w:val="15"/>
                          </w:rPr>
                          <w:t> </w:t>
                        </w:r>
                        <w:r>
                          <w:rPr>
                            <w:color w:val="231F20"/>
                            <w:spacing w:val="-2"/>
                            <w:sz w:val="15"/>
                          </w:rPr>
                          <w:t>motor,</w:t>
                        </w:r>
                        <w:r>
                          <w:rPr>
                            <w:color w:val="231F20"/>
                            <w:spacing w:val="-3"/>
                            <w:sz w:val="15"/>
                          </w:rPr>
                          <w:t> </w:t>
                        </w:r>
                        <w:r>
                          <w:rPr>
                            <w:color w:val="231F20"/>
                            <w:spacing w:val="-2"/>
                            <w:sz w:val="15"/>
                          </w:rPr>
                          <w:t>brainstem</w:t>
                        </w:r>
                        <w:r>
                          <w:rPr>
                            <w:color w:val="231F20"/>
                            <w:spacing w:val="-3"/>
                            <w:sz w:val="15"/>
                          </w:rPr>
                          <w:t> </w:t>
                        </w:r>
                        <w:r>
                          <w:rPr>
                            <w:color w:val="231F20"/>
                            <w:spacing w:val="-2"/>
                            <w:sz w:val="15"/>
                          </w:rPr>
                          <w:t>or </w:t>
                        </w:r>
                        <w:r>
                          <w:rPr>
                            <w:color w:val="231F20"/>
                            <w:sz w:val="15"/>
                          </w:rPr>
                          <w:t>retinal symptoms</w:t>
                        </w:r>
                      </w:p>
                      <w:p>
                        <w:pPr>
                          <w:numPr>
                            <w:ilvl w:val="0"/>
                            <w:numId w:val="68"/>
                          </w:numPr>
                          <w:tabs>
                            <w:tab w:pos="279" w:val="left" w:leader="none"/>
                          </w:tabs>
                          <w:spacing w:line="168" w:lineRule="exact" w:before="0"/>
                          <w:ind w:left="279" w:right="0" w:hanging="205"/>
                          <w:jc w:val="left"/>
                          <w:rPr>
                            <w:color w:val="000000"/>
                            <w:sz w:val="15"/>
                          </w:rPr>
                        </w:pPr>
                        <w:r>
                          <w:rPr>
                            <w:color w:val="231F20"/>
                            <w:sz w:val="15"/>
                          </w:rPr>
                          <w:t>At</w:t>
                        </w:r>
                        <w:r>
                          <w:rPr>
                            <w:color w:val="231F20"/>
                            <w:spacing w:val="-5"/>
                            <w:sz w:val="15"/>
                          </w:rPr>
                          <w:t> </w:t>
                        </w:r>
                        <w:r>
                          <w:rPr>
                            <w:color w:val="231F20"/>
                            <w:sz w:val="15"/>
                          </w:rPr>
                          <w:t>least</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4</w:t>
                        </w:r>
                        <w:r>
                          <w:rPr>
                            <w:color w:val="231F20"/>
                            <w:spacing w:val="-5"/>
                            <w:sz w:val="15"/>
                          </w:rPr>
                          <w:t> </w:t>
                        </w:r>
                        <w:r>
                          <w:rPr>
                            <w:color w:val="231F20"/>
                            <w:spacing w:val="-2"/>
                            <w:sz w:val="15"/>
                          </w:rPr>
                          <w:t>characteristics:</w:t>
                        </w:r>
                      </w:p>
                      <w:p>
                        <w:pPr>
                          <w:numPr>
                            <w:ilvl w:val="1"/>
                            <w:numId w:val="68"/>
                          </w:numPr>
                          <w:tabs>
                            <w:tab w:pos="457" w:val="left" w:leader="none"/>
                            <w:tab w:pos="459" w:val="left" w:leader="none"/>
                          </w:tabs>
                          <w:spacing w:line="230" w:lineRule="auto" w:before="3"/>
                          <w:ind w:left="459" w:right="346" w:hanging="193"/>
                          <w:jc w:val="left"/>
                          <w:rPr>
                            <w:color w:val="000000"/>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1</w:t>
                        </w:r>
                        <w:r>
                          <w:rPr>
                            <w:color w:val="231F20"/>
                            <w:spacing w:val="-4"/>
                            <w:sz w:val="15"/>
                          </w:rPr>
                          <w:t> </w:t>
                        </w:r>
                        <w:r>
                          <w:rPr>
                            <w:color w:val="231F20"/>
                            <w:sz w:val="15"/>
                          </w:rPr>
                          <w:t>aura</w:t>
                        </w:r>
                        <w:r>
                          <w:rPr>
                            <w:color w:val="231F20"/>
                            <w:spacing w:val="-4"/>
                            <w:sz w:val="15"/>
                          </w:rPr>
                          <w:t> </w:t>
                        </w:r>
                        <w:r>
                          <w:rPr>
                            <w:color w:val="231F20"/>
                            <w:sz w:val="15"/>
                          </w:rPr>
                          <w:t>symptom</w:t>
                        </w:r>
                        <w:r>
                          <w:rPr>
                            <w:color w:val="231F20"/>
                            <w:spacing w:val="-4"/>
                            <w:sz w:val="15"/>
                          </w:rPr>
                          <w:t> </w:t>
                        </w:r>
                        <w:r>
                          <w:rPr>
                            <w:color w:val="231F20"/>
                            <w:sz w:val="15"/>
                          </w:rPr>
                          <w:t>spreads</w:t>
                        </w:r>
                        <w:r>
                          <w:rPr>
                            <w:color w:val="231F20"/>
                            <w:spacing w:val="-4"/>
                            <w:sz w:val="15"/>
                          </w:rPr>
                          <w:t> </w:t>
                        </w:r>
                        <w:r>
                          <w:rPr>
                            <w:color w:val="231F20"/>
                            <w:sz w:val="15"/>
                          </w:rPr>
                          <w:t>gradually</w:t>
                        </w:r>
                        <w:r>
                          <w:rPr>
                            <w:color w:val="231F20"/>
                            <w:spacing w:val="-4"/>
                            <w:sz w:val="15"/>
                          </w:rPr>
                          <w:t> </w:t>
                        </w:r>
                        <w:r>
                          <w:rPr>
                            <w:color w:val="231F20"/>
                            <w:sz w:val="15"/>
                          </w:rPr>
                          <w:t>over</w:t>
                        </w:r>
                        <w:r>
                          <w:rPr>
                            <w:color w:val="231F20"/>
                            <w:spacing w:val="-4"/>
                            <w:sz w:val="15"/>
                          </w:rPr>
                          <w:t> </w:t>
                        </w:r>
                        <w:r>
                          <w:rPr>
                            <w:color w:val="231F20"/>
                            <w:sz w:val="15"/>
                          </w:rPr>
                          <w:t>5</w:t>
                        </w:r>
                        <w:r>
                          <w:rPr>
                            <w:color w:val="231F20"/>
                            <w:spacing w:val="-4"/>
                            <w:sz w:val="15"/>
                          </w:rPr>
                          <w:t> </w:t>
                        </w:r>
                        <w:r>
                          <w:rPr>
                            <w:color w:val="231F20"/>
                            <w:sz w:val="15"/>
                          </w:rPr>
                          <w:t>or</w:t>
                        </w:r>
                        <w:r>
                          <w:rPr>
                            <w:color w:val="231F20"/>
                            <w:spacing w:val="-4"/>
                            <w:sz w:val="15"/>
                          </w:rPr>
                          <w:t> </w:t>
                        </w:r>
                        <w:r>
                          <w:rPr>
                            <w:color w:val="231F20"/>
                            <w:sz w:val="15"/>
                          </w:rPr>
                          <w:t>more minutes, and/or 2 or more symptoms occur in succession</w:t>
                        </w:r>
                      </w:p>
                      <w:p>
                        <w:pPr>
                          <w:numPr>
                            <w:ilvl w:val="1"/>
                            <w:numId w:val="68"/>
                          </w:numPr>
                          <w:tabs>
                            <w:tab w:pos="457" w:val="left" w:leader="none"/>
                          </w:tabs>
                          <w:spacing w:line="167" w:lineRule="exact" w:before="0"/>
                          <w:ind w:left="457" w:right="0" w:hanging="191"/>
                          <w:jc w:val="left"/>
                          <w:rPr>
                            <w:color w:val="000000"/>
                            <w:sz w:val="15"/>
                          </w:rPr>
                        </w:pPr>
                        <w:r>
                          <w:rPr>
                            <w:color w:val="231F20"/>
                            <w:sz w:val="15"/>
                          </w:rPr>
                          <w:t>Each</w:t>
                        </w:r>
                        <w:r>
                          <w:rPr>
                            <w:color w:val="231F20"/>
                            <w:spacing w:val="-7"/>
                            <w:sz w:val="15"/>
                          </w:rPr>
                          <w:t> </w:t>
                        </w:r>
                        <w:r>
                          <w:rPr>
                            <w:color w:val="231F20"/>
                            <w:sz w:val="15"/>
                          </w:rPr>
                          <w:t>individual</w:t>
                        </w:r>
                        <w:r>
                          <w:rPr>
                            <w:color w:val="231F20"/>
                            <w:spacing w:val="-7"/>
                            <w:sz w:val="15"/>
                          </w:rPr>
                          <w:t> </w:t>
                        </w:r>
                        <w:r>
                          <w:rPr>
                            <w:color w:val="231F20"/>
                            <w:sz w:val="15"/>
                          </w:rPr>
                          <w:t>aura</w:t>
                        </w:r>
                        <w:r>
                          <w:rPr>
                            <w:color w:val="231F20"/>
                            <w:spacing w:val="-7"/>
                            <w:sz w:val="15"/>
                          </w:rPr>
                          <w:t> </w:t>
                        </w:r>
                        <w:r>
                          <w:rPr>
                            <w:color w:val="231F20"/>
                            <w:sz w:val="15"/>
                          </w:rPr>
                          <w:t>symptom</w:t>
                        </w:r>
                        <w:r>
                          <w:rPr>
                            <w:color w:val="231F20"/>
                            <w:spacing w:val="-6"/>
                            <w:sz w:val="15"/>
                          </w:rPr>
                          <w:t> </w:t>
                        </w:r>
                        <w:r>
                          <w:rPr>
                            <w:color w:val="231F20"/>
                            <w:sz w:val="15"/>
                          </w:rPr>
                          <w:t>lasts</w:t>
                        </w:r>
                        <w:r>
                          <w:rPr>
                            <w:color w:val="231F20"/>
                            <w:spacing w:val="-7"/>
                            <w:sz w:val="15"/>
                          </w:rPr>
                          <w:t> </w:t>
                        </w:r>
                        <w:r>
                          <w:rPr>
                            <w:color w:val="231F20"/>
                            <w:sz w:val="15"/>
                          </w:rPr>
                          <w:t>5-60</w:t>
                        </w:r>
                        <w:r>
                          <w:rPr>
                            <w:color w:val="231F20"/>
                            <w:spacing w:val="-7"/>
                            <w:sz w:val="15"/>
                          </w:rPr>
                          <w:t> </w:t>
                        </w:r>
                        <w:r>
                          <w:rPr>
                            <w:color w:val="231F20"/>
                            <w:spacing w:val="-2"/>
                            <w:sz w:val="15"/>
                          </w:rPr>
                          <w:t>minutes</w:t>
                        </w:r>
                      </w:p>
                      <w:p>
                        <w:pPr>
                          <w:numPr>
                            <w:ilvl w:val="1"/>
                            <w:numId w:val="68"/>
                          </w:numPr>
                          <w:tabs>
                            <w:tab w:pos="457" w:val="left" w:leader="none"/>
                          </w:tabs>
                          <w:spacing w:line="168" w:lineRule="exact" w:before="0"/>
                          <w:ind w:left="457" w:right="0" w:hanging="191"/>
                          <w:jc w:val="left"/>
                          <w:rPr>
                            <w:color w:val="000000"/>
                            <w:sz w:val="15"/>
                          </w:rPr>
                        </w:pPr>
                        <w:r>
                          <w:rPr>
                            <w:color w:val="231F20"/>
                            <w:sz w:val="15"/>
                          </w:rPr>
                          <w:t>At</w:t>
                        </w:r>
                        <w:r>
                          <w:rPr>
                            <w:color w:val="231F20"/>
                            <w:spacing w:val="-4"/>
                            <w:sz w:val="15"/>
                          </w:rPr>
                          <w:t> </w:t>
                        </w:r>
                        <w:r>
                          <w:rPr>
                            <w:color w:val="231F20"/>
                            <w:sz w:val="15"/>
                          </w:rPr>
                          <w:t>least</w:t>
                        </w:r>
                        <w:r>
                          <w:rPr>
                            <w:color w:val="231F20"/>
                            <w:spacing w:val="-3"/>
                            <w:sz w:val="15"/>
                          </w:rPr>
                          <w:t> </w:t>
                        </w:r>
                        <w:r>
                          <w:rPr>
                            <w:color w:val="231F20"/>
                            <w:sz w:val="15"/>
                          </w:rPr>
                          <w:t>1</w:t>
                        </w:r>
                        <w:r>
                          <w:rPr>
                            <w:color w:val="231F20"/>
                            <w:spacing w:val="-3"/>
                            <w:sz w:val="15"/>
                          </w:rPr>
                          <w:t> </w:t>
                        </w:r>
                        <w:r>
                          <w:rPr>
                            <w:color w:val="231F20"/>
                            <w:sz w:val="15"/>
                          </w:rPr>
                          <w:t>aura</w:t>
                        </w:r>
                        <w:r>
                          <w:rPr>
                            <w:color w:val="231F20"/>
                            <w:spacing w:val="-3"/>
                            <w:sz w:val="15"/>
                          </w:rPr>
                          <w:t> </w:t>
                        </w:r>
                        <w:r>
                          <w:rPr>
                            <w:color w:val="231F20"/>
                            <w:sz w:val="15"/>
                          </w:rPr>
                          <w:t>symptom</w:t>
                        </w:r>
                        <w:r>
                          <w:rPr>
                            <w:color w:val="231F20"/>
                            <w:spacing w:val="-3"/>
                            <w:sz w:val="15"/>
                          </w:rPr>
                          <w:t> </w:t>
                        </w:r>
                        <w:r>
                          <w:rPr>
                            <w:color w:val="231F20"/>
                            <w:sz w:val="15"/>
                          </w:rPr>
                          <w:t>is</w:t>
                        </w:r>
                        <w:r>
                          <w:rPr>
                            <w:color w:val="231F20"/>
                            <w:spacing w:val="-3"/>
                            <w:sz w:val="15"/>
                          </w:rPr>
                          <w:t> </w:t>
                        </w:r>
                        <w:r>
                          <w:rPr>
                            <w:color w:val="231F20"/>
                            <w:spacing w:val="-2"/>
                            <w:sz w:val="15"/>
                          </w:rPr>
                          <w:t>unilateral</w:t>
                        </w:r>
                      </w:p>
                      <w:p>
                        <w:pPr>
                          <w:numPr>
                            <w:ilvl w:val="1"/>
                            <w:numId w:val="68"/>
                          </w:numPr>
                          <w:tabs>
                            <w:tab w:pos="457" w:val="left" w:leader="none"/>
                            <w:tab w:pos="459" w:val="left" w:leader="none"/>
                          </w:tabs>
                          <w:spacing w:line="230" w:lineRule="auto" w:before="3"/>
                          <w:ind w:left="459" w:right="262" w:hanging="193"/>
                          <w:jc w:val="left"/>
                          <w:rPr>
                            <w:color w:val="000000"/>
                            <w:sz w:val="15"/>
                          </w:rPr>
                        </w:pPr>
                        <w:r>
                          <w:rPr>
                            <w:color w:val="231F20"/>
                            <w:sz w:val="15"/>
                          </w:rPr>
                          <w:t>The</w:t>
                        </w:r>
                        <w:r>
                          <w:rPr>
                            <w:color w:val="231F20"/>
                            <w:spacing w:val="-12"/>
                            <w:sz w:val="15"/>
                          </w:rPr>
                          <w:t> </w:t>
                        </w:r>
                        <w:r>
                          <w:rPr>
                            <w:color w:val="231F20"/>
                            <w:sz w:val="15"/>
                          </w:rPr>
                          <w:t>aura</w:t>
                        </w:r>
                        <w:r>
                          <w:rPr>
                            <w:color w:val="231F20"/>
                            <w:spacing w:val="-11"/>
                            <w:sz w:val="15"/>
                          </w:rPr>
                          <w:t> </w:t>
                        </w:r>
                        <w:r>
                          <w:rPr>
                            <w:color w:val="231F20"/>
                            <w:sz w:val="15"/>
                          </w:rPr>
                          <w:t>is</w:t>
                        </w:r>
                        <w:r>
                          <w:rPr>
                            <w:color w:val="231F20"/>
                            <w:spacing w:val="-11"/>
                            <w:sz w:val="15"/>
                          </w:rPr>
                          <w:t> </w:t>
                        </w:r>
                        <w:r>
                          <w:rPr>
                            <w:color w:val="231F20"/>
                            <w:sz w:val="15"/>
                          </w:rPr>
                          <w:t>accompanied,</w:t>
                        </w:r>
                        <w:r>
                          <w:rPr>
                            <w:color w:val="231F20"/>
                            <w:spacing w:val="-11"/>
                            <w:sz w:val="15"/>
                          </w:rPr>
                          <w:t> </w:t>
                        </w:r>
                        <w:r>
                          <w:rPr>
                            <w:color w:val="231F20"/>
                            <w:sz w:val="15"/>
                          </w:rPr>
                          <w:t>or</w:t>
                        </w:r>
                        <w:r>
                          <w:rPr>
                            <w:color w:val="231F20"/>
                            <w:spacing w:val="-12"/>
                            <w:sz w:val="15"/>
                          </w:rPr>
                          <w:t> </w:t>
                        </w:r>
                        <w:r>
                          <w:rPr>
                            <w:color w:val="231F20"/>
                            <w:sz w:val="15"/>
                          </w:rPr>
                          <w:t>followed</w:t>
                        </w:r>
                        <w:r>
                          <w:rPr>
                            <w:color w:val="231F20"/>
                            <w:spacing w:val="-11"/>
                            <w:sz w:val="15"/>
                          </w:rPr>
                          <w:t> </w:t>
                        </w:r>
                        <w:r>
                          <w:rPr>
                            <w:color w:val="231F20"/>
                            <w:sz w:val="15"/>
                          </w:rPr>
                          <w:t>within</w:t>
                        </w:r>
                        <w:r>
                          <w:rPr>
                            <w:color w:val="231F20"/>
                            <w:spacing w:val="-11"/>
                            <w:sz w:val="15"/>
                          </w:rPr>
                          <w:t> </w:t>
                        </w:r>
                        <w:r>
                          <w:rPr>
                            <w:color w:val="231F20"/>
                            <w:sz w:val="15"/>
                          </w:rPr>
                          <w:t>60</w:t>
                        </w:r>
                        <w:r>
                          <w:rPr>
                            <w:color w:val="231F20"/>
                            <w:spacing w:val="-11"/>
                            <w:sz w:val="15"/>
                          </w:rPr>
                          <w:t> </w:t>
                        </w:r>
                        <w:r>
                          <w:rPr>
                            <w:color w:val="231F20"/>
                            <w:sz w:val="15"/>
                          </w:rPr>
                          <w:t>minutes,</w:t>
                        </w:r>
                        <w:r>
                          <w:rPr>
                            <w:color w:val="231F20"/>
                            <w:spacing w:val="-12"/>
                            <w:sz w:val="15"/>
                          </w:rPr>
                          <w:t> </w:t>
                        </w:r>
                        <w:r>
                          <w:rPr>
                            <w:color w:val="231F20"/>
                            <w:sz w:val="15"/>
                          </w:rPr>
                          <w:t>by </w:t>
                        </w:r>
                        <w:r>
                          <w:rPr>
                            <w:color w:val="231F20"/>
                            <w:spacing w:val="-2"/>
                            <w:sz w:val="15"/>
                          </w:rPr>
                          <w:t>headache</w:t>
                        </w:r>
                      </w:p>
                      <w:p>
                        <w:pPr>
                          <w:numPr>
                            <w:ilvl w:val="0"/>
                            <w:numId w:val="68"/>
                          </w:numPr>
                          <w:tabs>
                            <w:tab w:pos="278" w:val="left" w:leader="none"/>
                            <w:tab w:pos="280" w:val="left" w:leader="none"/>
                          </w:tabs>
                          <w:spacing w:line="230" w:lineRule="auto" w:before="1"/>
                          <w:ind w:left="280" w:right="419" w:hanging="206"/>
                          <w:jc w:val="left"/>
                          <w:rPr>
                            <w:color w:val="000000"/>
                            <w:sz w:val="15"/>
                          </w:rPr>
                        </w:pPr>
                        <w:r>
                          <w:rPr>
                            <w:color w:val="231F20"/>
                            <w:sz w:val="15"/>
                          </w:rPr>
                          <w:t>Not better accounted for by another ICHD-3 diagnosis, </w:t>
                        </w:r>
                        <w:r>
                          <w:rPr>
                            <w:color w:val="231F20"/>
                            <w:sz w:val="15"/>
                          </w:rPr>
                          <w:t>and transient ischemic attack has been excluded</w:t>
                        </w:r>
                      </w:p>
                    </w:txbxContent>
                  </v:textbox>
                  <v:fill type="solid"/>
                  <w10:wrap type="none"/>
                </v:shape>
                <v:rect style="position:absolute;left:0;top:2641;width:4703;height:19" id="docshape585" filled="true" fillcolor="#231f20" stroked="false">
                  <v:fill type="solid"/>
                </v:rect>
                <v:shape style="position:absolute;left:1156;top:0;width:3546;height:355" type="#_x0000_t202" id="docshape586" filled="true" fillcolor="#231f20" stroked="false">
                  <v:textbox inset="0,0,0,0">
                    <w:txbxContent>
                      <w:p>
                        <w:pPr>
                          <w:spacing w:before="89"/>
                          <w:ind w:left="74" w:right="0" w:firstLine="0"/>
                          <w:jc w:val="left"/>
                          <w:rPr>
                            <w:color w:val="000000"/>
                            <w:sz w:val="16"/>
                          </w:rPr>
                        </w:pPr>
                        <w:r>
                          <w:rPr>
                            <w:color w:val="FFFFFF"/>
                            <w:w w:val="105"/>
                            <w:sz w:val="16"/>
                          </w:rPr>
                          <w:t>Migraine</w:t>
                        </w:r>
                        <w:r>
                          <w:rPr>
                            <w:color w:val="FFFFFF"/>
                            <w:spacing w:val="4"/>
                            <w:w w:val="105"/>
                            <w:sz w:val="16"/>
                          </w:rPr>
                          <w:t> </w:t>
                        </w:r>
                        <w:r>
                          <w:rPr>
                            <w:color w:val="FFFFFF"/>
                            <w:w w:val="105"/>
                            <w:sz w:val="16"/>
                          </w:rPr>
                          <w:t>with</w:t>
                        </w:r>
                        <w:r>
                          <w:rPr>
                            <w:color w:val="FFFFFF"/>
                            <w:spacing w:val="4"/>
                            <w:w w:val="105"/>
                            <w:sz w:val="16"/>
                          </w:rPr>
                          <w:t> </w:t>
                        </w:r>
                        <w:r>
                          <w:rPr>
                            <w:color w:val="FFFFFF"/>
                            <w:w w:val="105"/>
                            <w:sz w:val="16"/>
                          </w:rPr>
                          <w:t>Typical</w:t>
                        </w:r>
                        <w:r>
                          <w:rPr>
                            <w:color w:val="FFFFFF"/>
                            <w:spacing w:val="4"/>
                            <w:w w:val="105"/>
                            <w:sz w:val="16"/>
                          </w:rPr>
                          <w:t> </w:t>
                        </w:r>
                        <w:r>
                          <w:rPr>
                            <w:color w:val="FFFFFF"/>
                            <w:spacing w:val="-4"/>
                            <w:w w:val="105"/>
                            <w:sz w:val="16"/>
                          </w:rPr>
                          <w:t>Aura</w:t>
                        </w:r>
                      </w:p>
                    </w:txbxContent>
                  </v:textbox>
                  <v:fill type="solid"/>
                  <w10:wrap type="none"/>
                </v:shape>
                <v:shape style="position:absolute;left:0;top:0;width:1139;height:355" type="#_x0000_t202" id="docshape587"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3</w:t>
                        </w:r>
                      </w:p>
                    </w:txbxContent>
                  </v:textbox>
                  <v:fill type="solid"/>
                  <w10:wrap type="none"/>
                </v:shape>
              </v:group>
            </w:pict>
          </mc:Fallback>
        </mc:AlternateContent>
      </w:r>
      <w:r>
        <w:rPr>
          <w:sz w:val="20"/>
        </w:rPr>
      </w:r>
      <w:r>
        <w:rPr>
          <w:sz w:val="20"/>
        </w:rPr>
        <w:tab/>
      </w:r>
      <w:r>
        <w:rPr>
          <w:sz w:val="20"/>
        </w:rPr>
        <mc:AlternateContent>
          <mc:Choice Requires="wps">
            <w:drawing>
              <wp:inline distT="0" distB="0" distL="0" distR="0">
                <wp:extent cx="2986405" cy="1689735"/>
                <wp:effectExtent l="0" t="0" r="0" b="5714"/>
                <wp:docPr id="693" name="Group 693"/>
                <wp:cNvGraphicFramePr>
                  <a:graphicFrameLocks/>
                </wp:cNvGraphicFramePr>
                <a:graphic>
                  <a:graphicData uri="http://schemas.microsoft.com/office/word/2010/wordprocessingGroup">
                    <wpg:wgp>
                      <wpg:cNvPr id="693" name="Group 693"/>
                      <wpg:cNvGrpSpPr/>
                      <wpg:grpSpPr>
                        <a:xfrm>
                          <a:off x="0" y="0"/>
                          <a:ext cx="2986405" cy="1689735"/>
                          <a:chExt cx="2986405" cy="1689735"/>
                        </a:xfrm>
                      </wpg:grpSpPr>
                      <wps:wsp>
                        <wps:cNvPr id="694" name="Textbox 694"/>
                        <wps:cNvSpPr txBox="1"/>
                        <wps:spPr>
                          <a:xfrm>
                            <a:off x="0" y="236979"/>
                            <a:ext cx="2986405" cy="1447165"/>
                          </a:xfrm>
                          <a:prstGeom prst="rect">
                            <a:avLst/>
                          </a:prstGeom>
                          <a:solidFill>
                            <a:srgbClr val="E8F5F1"/>
                          </a:solidFill>
                        </wps:spPr>
                        <wps:txbx>
                          <w:txbxContent>
                            <w:p>
                              <w:pPr>
                                <w:numPr>
                                  <w:ilvl w:val="0"/>
                                  <w:numId w:val="69"/>
                                </w:numPr>
                                <w:tabs>
                                  <w:tab w:pos="279" w:val="left" w:leader="none"/>
                                </w:tabs>
                                <w:spacing w:line="171" w:lineRule="exact" w:before="47"/>
                                <w:ind w:left="279" w:right="0" w:hanging="205"/>
                                <w:jc w:val="left"/>
                                <w:rPr>
                                  <w:color w:val="000000"/>
                                  <w:sz w:val="15"/>
                                </w:rPr>
                              </w:pPr>
                              <w:r>
                                <w:rPr>
                                  <w:color w:val="231F20"/>
                                  <w:spacing w:val="-2"/>
                                  <w:sz w:val="15"/>
                                </w:rPr>
                                <w:t>Headache</w:t>
                              </w:r>
                              <w:r>
                                <w:rPr>
                                  <w:color w:val="231F20"/>
                                  <w:spacing w:val="-1"/>
                                  <w:sz w:val="15"/>
                                </w:rPr>
                                <w:t> </w:t>
                              </w:r>
                              <w:r>
                                <w:rPr>
                                  <w:color w:val="231F20"/>
                                  <w:spacing w:val="-2"/>
                                  <w:sz w:val="15"/>
                                </w:rPr>
                                <w:t>(tension-type-like</w:t>
                              </w:r>
                              <w:r>
                                <w:rPr>
                                  <w:color w:val="231F20"/>
                                  <w:sz w:val="15"/>
                                </w:rPr>
                                <w:t> </w:t>
                              </w:r>
                              <w:r>
                                <w:rPr>
                                  <w:color w:val="231F20"/>
                                  <w:spacing w:val="-2"/>
                                  <w:sz w:val="15"/>
                                </w:rPr>
                                <w:t>and/or</w:t>
                              </w:r>
                              <w:r>
                                <w:rPr>
                                  <w:color w:val="231F20"/>
                                  <w:sz w:val="15"/>
                                </w:rPr>
                                <w:t> </w:t>
                              </w:r>
                              <w:r>
                                <w:rPr>
                                  <w:color w:val="231F20"/>
                                  <w:spacing w:val="-2"/>
                                  <w:sz w:val="15"/>
                                </w:rPr>
                                <w:t>migraine-like)</w:t>
                              </w:r>
                              <w:r>
                                <w:rPr>
                                  <w:color w:val="231F20"/>
                                  <w:sz w:val="15"/>
                                </w:rPr>
                                <w:t> </w:t>
                              </w:r>
                              <w:r>
                                <w:rPr>
                                  <w:color w:val="231F20"/>
                                  <w:spacing w:val="-2"/>
                                  <w:sz w:val="15"/>
                                </w:rPr>
                                <w:t>on</w:t>
                              </w:r>
                              <w:r>
                                <w:rPr>
                                  <w:color w:val="231F20"/>
                                  <w:spacing w:val="-1"/>
                                  <w:sz w:val="15"/>
                                </w:rPr>
                                <w:t> </w:t>
                              </w:r>
                              <w:r>
                                <w:rPr>
                                  <w:color w:val="231F20"/>
                                  <w:spacing w:val="-2"/>
                                  <w:sz w:val="15"/>
                                </w:rPr>
                                <w:t>15</w:t>
                              </w:r>
                              <w:r>
                                <w:rPr>
                                  <w:color w:val="231F20"/>
                                  <w:sz w:val="15"/>
                                </w:rPr>
                                <w:t> </w:t>
                              </w:r>
                              <w:r>
                                <w:rPr>
                                  <w:color w:val="231F20"/>
                                  <w:spacing w:val="-5"/>
                                  <w:sz w:val="15"/>
                                </w:rPr>
                                <w:t>or</w:t>
                              </w:r>
                            </w:p>
                            <w:p>
                              <w:pPr>
                                <w:spacing w:line="230" w:lineRule="auto" w:before="2"/>
                                <w:ind w:left="279" w:right="0" w:firstLine="0"/>
                                <w:jc w:val="left"/>
                                <w:rPr>
                                  <w:color w:val="000000"/>
                                  <w:sz w:val="15"/>
                                </w:rPr>
                              </w:pPr>
                              <w:r>
                                <w:rPr>
                                  <w:color w:val="231F20"/>
                                  <w:sz w:val="15"/>
                                </w:rPr>
                                <w:t>more</w:t>
                              </w:r>
                              <w:r>
                                <w:rPr>
                                  <w:color w:val="231F20"/>
                                  <w:spacing w:val="-8"/>
                                  <w:sz w:val="15"/>
                                </w:rPr>
                                <w:t> </w:t>
                              </w:r>
                              <w:r>
                                <w:rPr>
                                  <w:color w:val="231F20"/>
                                  <w:sz w:val="15"/>
                                </w:rPr>
                                <w:t>days</w:t>
                              </w:r>
                              <w:r>
                                <w:rPr>
                                  <w:color w:val="231F20"/>
                                  <w:spacing w:val="-8"/>
                                  <w:sz w:val="15"/>
                                </w:rPr>
                                <w:t> </w:t>
                              </w:r>
                              <w:r>
                                <w:rPr>
                                  <w:color w:val="231F20"/>
                                  <w:sz w:val="15"/>
                                </w:rPr>
                                <w:t>per</w:t>
                              </w:r>
                              <w:r>
                                <w:rPr>
                                  <w:color w:val="231F20"/>
                                  <w:spacing w:val="-8"/>
                                  <w:sz w:val="15"/>
                                </w:rPr>
                                <w:t> </w:t>
                              </w:r>
                              <w:r>
                                <w:rPr>
                                  <w:color w:val="231F20"/>
                                  <w:sz w:val="15"/>
                                </w:rPr>
                                <w:t>month</w:t>
                              </w:r>
                              <w:r>
                                <w:rPr>
                                  <w:color w:val="231F20"/>
                                  <w:spacing w:val="-8"/>
                                  <w:sz w:val="15"/>
                                </w:rPr>
                                <w:t> </w:t>
                              </w:r>
                              <w:r>
                                <w:rPr>
                                  <w:color w:val="231F20"/>
                                  <w:sz w:val="15"/>
                                </w:rPr>
                                <w:t>for</w:t>
                              </w:r>
                              <w:r>
                                <w:rPr>
                                  <w:color w:val="231F20"/>
                                  <w:spacing w:val="-8"/>
                                  <w:sz w:val="15"/>
                                </w:rPr>
                                <w:t> </w:t>
                              </w:r>
                              <w:r>
                                <w:rPr>
                                  <w:color w:val="231F20"/>
                                  <w:sz w:val="15"/>
                                </w:rPr>
                                <w:t>more</w:t>
                              </w:r>
                              <w:r>
                                <w:rPr>
                                  <w:color w:val="231F20"/>
                                  <w:spacing w:val="-8"/>
                                  <w:sz w:val="15"/>
                                </w:rPr>
                                <w:t> </w:t>
                              </w:r>
                              <w:r>
                                <w:rPr>
                                  <w:color w:val="231F20"/>
                                  <w:sz w:val="15"/>
                                </w:rPr>
                                <w:t>than</w:t>
                              </w:r>
                              <w:r>
                                <w:rPr>
                                  <w:color w:val="231F20"/>
                                  <w:spacing w:val="-8"/>
                                  <w:sz w:val="15"/>
                                </w:rPr>
                                <w:t> </w:t>
                              </w:r>
                              <w:r>
                                <w:rPr>
                                  <w:color w:val="231F20"/>
                                  <w:sz w:val="15"/>
                                </w:rPr>
                                <w:t>3</w:t>
                              </w:r>
                              <w:r>
                                <w:rPr>
                                  <w:color w:val="231F20"/>
                                  <w:spacing w:val="-8"/>
                                  <w:sz w:val="15"/>
                                </w:rPr>
                                <w:t> </w:t>
                              </w:r>
                              <w:r>
                                <w:rPr>
                                  <w:color w:val="231F20"/>
                                  <w:sz w:val="15"/>
                                </w:rPr>
                                <w:t>mo</w:t>
                              </w:r>
                              <w:r>
                                <w:rPr>
                                  <w:color w:val="231F20"/>
                                  <w:spacing w:val="-8"/>
                                  <w:sz w:val="15"/>
                                </w:rPr>
                                <w:t> </w:t>
                              </w:r>
                              <w:r>
                                <w:rPr>
                                  <w:color w:val="231F20"/>
                                  <w:sz w:val="15"/>
                                </w:rPr>
                                <w:t>and</w:t>
                              </w:r>
                              <w:r>
                                <w:rPr>
                                  <w:color w:val="231F20"/>
                                  <w:spacing w:val="-8"/>
                                  <w:sz w:val="15"/>
                                </w:rPr>
                                <w:t> </w:t>
                              </w:r>
                              <w:r>
                                <w:rPr>
                                  <w:color w:val="231F20"/>
                                  <w:sz w:val="15"/>
                                </w:rPr>
                                <w:t>fulfilling</w:t>
                              </w:r>
                              <w:r>
                                <w:rPr>
                                  <w:color w:val="231F20"/>
                                  <w:spacing w:val="-8"/>
                                  <w:sz w:val="15"/>
                                </w:rPr>
                                <w:t> </w:t>
                              </w:r>
                              <w:r>
                                <w:rPr>
                                  <w:color w:val="231F20"/>
                                  <w:sz w:val="15"/>
                                </w:rPr>
                                <w:t>criteria</w:t>
                              </w:r>
                              <w:r>
                                <w:rPr>
                                  <w:color w:val="231F20"/>
                                  <w:spacing w:val="-8"/>
                                  <w:sz w:val="15"/>
                                </w:rPr>
                                <w:t> </w:t>
                              </w:r>
                              <w:r>
                                <w:rPr>
                                  <w:color w:val="231F20"/>
                                  <w:sz w:val="15"/>
                                </w:rPr>
                                <w:t>B and C</w:t>
                              </w:r>
                            </w:p>
                            <w:p>
                              <w:pPr>
                                <w:numPr>
                                  <w:ilvl w:val="0"/>
                                  <w:numId w:val="69"/>
                                </w:numPr>
                                <w:tabs>
                                  <w:tab w:pos="279" w:val="left" w:leader="none"/>
                                </w:tabs>
                                <w:spacing w:line="230" w:lineRule="auto" w:before="2"/>
                                <w:ind w:left="279" w:right="73" w:hanging="206"/>
                                <w:jc w:val="left"/>
                                <w:rPr>
                                  <w:i/>
                                  <w:color w:val="000000"/>
                                  <w:sz w:val="15"/>
                                </w:rPr>
                              </w:pPr>
                              <w:r>
                                <w:rPr>
                                  <w:color w:val="231F20"/>
                                  <w:sz w:val="15"/>
                                </w:rPr>
                                <w:t>Occurring in a patient who has had at least 5 attacks fulfilling criteria</w:t>
                              </w:r>
                              <w:r>
                                <w:rPr>
                                  <w:color w:val="231F20"/>
                                  <w:spacing w:val="-12"/>
                                  <w:sz w:val="15"/>
                                </w:rPr>
                                <w:t> </w:t>
                              </w:r>
                              <w:r>
                                <w:rPr>
                                  <w:color w:val="231F20"/>
                                  <w:sz w:val="15"/>
                                </w:rPr>
                                <w:t>B</w:t>
                              </w:r>
                              <w:r>
                                <w:rPr>
                                  <w:color w:val="231F20"/>
                                  <w:spacing w:val="-12"/>
                                  <w:sz w:val="15"/>
                                </w:rPr>
                                <w:t> </w:t>
                              </w:r>
                              <w:r>
                                <w:rPr>
                                  <w:color w:val="231F20"/>
                                  <w:sz w:val="15"/>
                                </w:rPr>
                                <w:t>to</w:t>
                              </w:r>
                              <w:r>
                                <w:rPr>
                                  <w:color w:val="231F20"/>
                                  <w:spacing w:val="-11"/>
                                  <w:sz w:val="15"/>
                                </w:rPr>
                                <w:t> </w:t>
                              </w:r>
                              <w:r>
                                <w:rPr>
                                  <w:color w:val="231F20"/>
                                  <w:sz w:val="15"/>
                                </w:rPr>
                                <w:t>D</w:t>
                              </w:r>
                              <w:r>
                                <w:rPr>
                                  <w:color w:val="231F20"/>
                                  <w:spacing w:val="-12"/>
                                  <w:sz w:val="15"/>
                                </w:rPr>
                                <w:t> </w:t>
                              </w:r>
                              <w:r>
                                <w:rPr>
                                  <w:color w:val="231F20"/>
                                  <w:sz w:val="15"/>
                                </w:rPr>
                                <w:t>for</w:t>
                              </w:r>
                              <w:r>
                                <w:rPr>
                                  <w:color w:val="231F20"/>
                                  <w:spacing w:val="-11"/>
                                  <w:sz w:val="15"/>
                                </w:rPr>
                                <w:t> </w:t>
                              </w:r>
                              <w:r>
                                <w:rPr>
                                  <w:color w:val="231F20"/>
                                  <w:sz w:val="15"/>
                                </w:rPr>
                                <w:t>1.1</w:t>
                              </w:r>
                              <w:r>
                                <w:rPr>
                                  <w:color w:val="231F20"/>
                                  <w:spacing w:val="-12"/>
                                  <w:sz w:val="15"/>
                                </w:rPr>
                                <w:t> </w:t>
                              </w:r>
                              <w:r>
                                <w:rPr>
                                  <w:i/>
                                  <w:color w:val="231F20"/>
                                  <w:sz w:val="15"/>
                                </w:rPr>
                                <w:t>Migraine</w:t>
                              </w:r>
                              <w:r>
                                <w:rPr>
                                  <w:i/>
                                  <w:color w:val="231F20"/>
                                  <w:spacing w:val="-12"/>
                                  <w:sz w:val="15"/>
                                </w:rPr>
                                <w:t> </w:t>
                              </w:r>
                              <w:r>
                                <w:rPr>
                                  <w:i/>
                                  <w:color w:val="231F20"/>
                                  <w:sz w:val="15"/>
                                </w:rPr>
                                <w:t>without</w:t>
                              </w:r>
                              <w:r>
                                <w:rPr>
                                  <w:i/>
                                  <w:color w:val="231F20"/>
                                  <w:spacing w:val="-11"/>
                                  <w:sz w:val="15"/>
                                </w:rPr>
                                <w:t> </w:t>
                              </w:r>
                              <w:r>
                                <w:rPr>
                                  <w:i/>
                                  <w:color w:val="231F20"/>
                                  <w:sz w:val="15"/>
                                </w:rPr>
                                <w:t>aura</w:t>
                              </w:r>
                              <w:r>
                                <w:rPr>
                                  <w:i/>
                                  <w:color w:val="231F20"/>
                                  <w:spacing w:val="-11"/>
                                  <w:sz w:val="15"/>
                                </w:rPr>
                                <w:t> </w:t>
                              </w:r>
                              <w:r>
                                <w:rPr>
                                  <w:color w:val="231F20"/>
                                  <w:sz w:val="15"/>
                                </w:rPr>
                                <w:t>and/or</w:t>
                              </w:r>
                              <w:r>
                                <w:rPr>
                                  <w:color w:val="231F20"/>
                                  <w:spacing w:val="-12"/>
                                  <w:sz w:val="15"/>
                                </w:rPr>
                                <w:t> </w:t>
                              </w:r>
                              <w:r>
                                <w:rPr>
                                  <w:color w:val="231F20"/>
                                  <w:sz w:val="15"/>
                                </w:rPr>
                                <w:t>criteria</w:t>
                              </w:r>
                              <w:r>
                                <w:rPr>
                                  <w:color w:val="231F20"/>
                                  <w:spacing w:val="-12"/>
                                  <w:sz w:val="15"/>
                                </w:rPr>
                                <w:t> </w:t>
                              </w:r>
                              <w:r>
                                <w:rPr>
                                  <w:color w:val="231F20"/>
                                  <w:sz w:val="15"/>
                                </w:rPr>
                                <w:t>B</w:t>
                              </w:r>
                              <w:r>
                                <w:rPr>
                                  <w:color w:val="231F20"/>
                                  <w:spacing w:val="-11"/>
                                  <w:sz w:val="15"/>
                                </w:rPr>
                                <w:t> </w:t>
                              </w:r>
                              <w:r>
                                <w:rPr>
                                  <w:color w:val="231F20"/>
                                  <w:sz w:val="15"/>
                                </w:rPr>
                                <w:t>and C for 1.2 </w:t>
                              </w:r>
                              <w:r>
                                <w:rPr>
                                  <w:i/>
                                  <w:color w:val="231F20"/>
                                  <w:sz w:val="15"/>
                                </w:rPr>
                                <w:t>Migraine with aura</w:t>
                              </w:r>
                            </w:p>
                            <w:p>
                              <w:pPr>
                                <w:numPr>
                                  <w:ilvl w:val="0"/>
                                  <w:numId w:val="69"/>
                                </w:numPr>
                                <w:tabs>
                                  <w:tab w:pos="279" w:val="left" w:leader="none"/>
                                </w:tabs>
                                <w:spacing w:line="230" w:lineRule="auto" w:before="2"/>
                                <w:ind w:left="279" w:right="177" w:hanging="206"/>
                                <w:jc w:val="left"/>
                                <w:rPr>
                                  <w:color w:val="000000"/>
                                  <w:sz w:val="15"/>
                                </w:rPr>
                              </w:pPr>
                              <w:r>
                                <w:rPr>
                                  <w:color w:val="231F20"/>
                                  <w:sz w:val="15"/>
                                </w:rPr>
                                <w:t>On</w:t>
                              </w:r>
                              <w:r>
                                <w:rPr>
                                  <w:color w:val="231F20"/>
                                  <w:spacing w:val="-5"/>
                                  <w:sz w:val="15"/>
                                </w:rPr>
                                <w:t> </w:t>
                              </w:r>
                              <w:r>
                                <w:rPr>
                                  <w:color w:val="231F20"/>
                                  <w:sz w:val="15"/>
                                </w:rPr>
                                <w:t>8</w:t>
                              </w:r>
                              <w:r>
                                <w:rPr>
                                  <w:color w:val="231F20"/>
                                  <w:spacing w:val="-5"/>
                                  <w:sz w:val="15"/>
                                </w:rPr>
                                <w:t> </w:t>
                              </w:r>
                              <w:r>
                                <w:rPr>
                                  <w:color w:val="231F20"/>
                                  <w:sz w:val="15"/>
                                </w:rPr>
                                <w:t>or</w:t>
                              </w:r>
                              <w:r>
                                <w:rPr>
                                  <w:color w:val="231F20"/>
                                  <w:spacing w:val="-5"/>
                                  <w:sz w:val="15"/>
                                </w:rPr>
                                <w:t> </w:t>
                              </w:r>
                              <w:r>
                                <w:rPr>
                                  <w:color w:val="231F20"/>
                                  <w:sz w:val="15"/>
                                </w:rPr>
                                <w:t>more</w:t>
                              </w:r>
                              <w:r>
                                <w:rPr>
                                  <w:color w:val="231F20"/>
                                  <w:spacing w:val="-5"/>
                                  <w:sz w:val="15"/>
                                </w:rPr>
                                <w:t> </w:t>
                              </w:r>
                              <w:r>
                                <w:rPr>
                                  <w:color w:val="231F20"/>
                                  <w:sz w:val="15"/>
                                </w:rPr>
                                <w:t>days</w:t>
                              </w:r>
                              <w:r>
                                <w:rPr>
                                  <w:color w:val="231F20"/>
                                  <w:spacing w:val="-5"/>
                                  <w:sz w:val="15"/>
                                </w:rPr>
                                <w:t> </w:t>
                              </w:r>
                              <w:r>
                                <w:rPr>
                                  <w:color w:val="231F20"/>
                                  <w:sz w:val="15"/>
                                </w:rPr>
                                <w:t>per</w:t>
                              </w:r>
                              <w:r>
                                <w:rPr>
                                  <w:color w:val="231F20"/>
                                  <w:spacing w:val="-5"/>
                                  <w:sz w:val="15"/>
                                </w:rPr>
                                <w:t> </w:t>
                              </w:r>
                              <w:r>
                                <w:rPr>
                                  <w:color w:val="231F20"/>
                                  <w:sz w:val="15"/>
                                </w:rPr>
                                <w:t>month</w:t>
                              </w:r>
                              <w:r>
                                <w:rPr>
                                  <w:color w:val="231F20"/>
                                  <w:spacing w:val="-5"/>
                                  <w:sz w:val="15"/>
                                </w:rPr>
                                <w:t> </w:t>
                              </w:r>
                              <w:r>
                                <w:rPr>
                                  <w:color w:val="231F20"/>
                                  <w:sz w:val="15"/>
                                </w:rPr>
                                <w:t>for</w:t>
                              </w:r>
                              <w:r>
                                <w:rPr>
                                  <w:color w:val="231F20"/>
                                  <w:spacing w:val="-5"/>
                                  <w:sz w:val="15"/>
                                </w:rPr>
                                <w:t> </w:t>
                              </w:r>
                              <w:r>
                                <w:rPr>
                                  <w:color w:val="231F20"/>
                                  <w:sz w:val="15"/>
                                </w:rPr>
                                <w:t>more</w:t>
                              </w:r>
                              <w:r>
                                <w:rPr>
                                  <w:color w:val="231F20"/>
                                  <w:spacing w:val="-5"/>
                                  <w:sz w:val="15"/>
                                </w:rPr>
                                <w:t> </w:t>
                              </w:r>
                              <w:r>
                                <w:rPr>
                                  <w:color w:val="231F20"/>
                                  <w:sz w:val="15"/>
                                </w:rPr>
                                <w:t>than</w:t>
                              </w:r>
                              <w:r>
                                <w:rPr>
                                  <w:color w:val="231F20"/>
                                  <w:spacing w:val="-5"/>
                                  <w:sz w:val="15"/>
                                </w:rPr>
                                <w:t> </w:t>
                              </w:r>
                              <w:r>
                                <w:rPr>
                                  <w:color w:val="231F20"/>
                                  <w:sz w:val="15"/>
                                </w:rPr>
                                <w:t>3</w:t>
                              </w:r>
                              <w:r>
                                <w:rPr>
                                  <w:color w:val="231F20"/>
                                  <w:spacing w:val="-5"/>
                                  <w:sz w:val="15"/>
                                </w:rPr>
                                <w:t> </w:t>
                              </w:r>
                              <w:r>
                                <w:rPr>
                                  <w:color w:val="231F20"/>
                                  <w:sz w:val="15"/>
                                </w:rPr>
                                <w:t>mo,</w:t>
                              </w:r>
                              <w:r>
                                <w:rPr>
                                  <w:color w:val="231F20"/>
                                  <w:spacing w:val="-5"/>
                                  <w:sz w:val="15"/>
                                </w:rPr>
                                <w:t> </w:t>
                              </w:r>
                              <w:r>
                                <w:rPr>
                                  <w:color w:val="231F20"/>
                                  <w:sz w:val="15"/>
                                </w:rPr>
                                <w:t>fulfilling</w:t>
                              </w:r>
                              <w:r>
                                <w:rPr>
                                  <w:color w:val="231F20"/>
                                  <w:spacing w:val="-5"/>
                                  <w:sz w:val="15"/>
                                </w:rPr>
                                <w:t> </w:t>
                              </w:r>
                              <w:r>
                                <w:rPr>
                                  <w:color w:val="231F20"/>
                                  <w:sz w:val="15"/>
                                </w:rPr>
                                <w:t>any of the following:</w:t>
                              </w:r>
                            </w:p>
                            <w:p>
                              <w:pPr>
                                <w:numPr>
                                  <w:ilvl w:val="1"/>
                                  <w:numId w:val="69"/>
                                </w:numPr>
                                <w:tabs>
                                  <w:tab w:pos="457" w:val="left" w:leader="none"/>
                                </w:tabs>
                                <w:spacing w:line="167" w:lineRule="exact" w:before="0"/>
                                <w:ind w:left="457" w:right="0" w:hanging="191"/>
                                <w:jc w:val="left"/>
                                <w:rPr>
                                  <w:i/>
                                  <w:color w:val="000000"/>
                                  <w:sz w:val="15"/>
                                </w:rPr>
                              </w:pPr>
                              <w:r>
                                <w:rPr>
                                  <w:color w:val="231F20"/>
                                  <w:sz w:val="15"/>
                                </w:rPr>
                                <w:t>Criteria</w:t>
                              </w:r>
                              <w:r>
                                <w:rPr>
                                  <w:color w:val="231F20"/>
                                  <w:spacing w:val="-7"/>
                                  <w:sz w:val="15"/>
                                </w:rPr>
                                <w:t> </w:t>
                              </w:r>
                              <w:r>
                                <w:rPr>
                                  <w:color w:val="231F20"/>
                                  <w:sz w:val="15"/>
                                </w:rPr>
                                <w:t>C</w:t>
                              </w:r>
                              <w:r>
                                <w:rPr>
                                  <w:color w:val="231F20"/>
                                  <w:spacing w:val="-6"/>
                                  <w:sz w:val="15"/>
                                </w:rPr>
                                <w:t> </w:t>
                              </w:r>
                              <w:r>
                                <w:rPr>
                                  <w:color w:val="231F20"/>
                                  <w:sz w:val="15"/>
                                </w:rPr>
                                <w:t>and</w:t>
                              </w:r>
                              <w:r>
                                <w:rPr>
                                  <w:color w:val="231F20"/>
                                  <w:spacing w:val="-7"/>
                                  <w:sz w:val="15"/>
                                </w:rPr>
                                <w:t> </w:t>
                              </w:r>
                              <w:r>
                                <w:rPr>
                                  <w:color w:val="231F20"/>
                                  <w:sz w:val="15"/>
                                </w:rPr>
                                <w:t>D</w:t>
                              </w:r>
                              <w:r>
                                <w:rPr>
                                  <w:color w:val="231F20"/>
                                  <w:spacing w:val="-6"/>
                                  <w:sz w:val="15"/>
                                </w:rPr>
                                <w:t> </w:t>
                              </w:r>
                              <w:r>
                                <w:rPr>
                                  <w:color w:val="231F20"/>
                                  <w:sz w:val="15"/>
                                </w:rPr>
                                <w:t>for</w:t>
                              </w:r>
                              <w:r>
                                <w:rPr>
                                  <w:color w:val="231F20"/>
                                  <w:spacing w:val="-7"/>
                                  <w:sz w:val="15"/>
                                </w:rPr>
                                <w:t> </w:t>
                              </w:r>
                              <w:r>
                                <w:rPr>
                                  <w:color w:val="231F20"/>
                                  <w:sz w:val="15"/>
                                </w:rPr>
                                <w:t>1.1</w:t>
                              </w:r>
                              <w:r>
                                <w:rPr>
                                  <w:color w:val="231F20"/>
                                  <w:spacing w:val="-6"/>
                                  <w:sz w:val="15"/>
                                </w:rPr>
                                <w:t> </w:t>
                              </w:r>
                              <w:r>
                                <w:rPr>
                                  <w:i/>
                                  <w:color w:val="231F20"/>
                                  <w:sz w:val="15"/>
                                </w:rPr>
                                <w:t>Migraine</w:t>
                              </w:r>
                              <w:r>
                                <w:rPr>
                                  <w:i/>
                                  <w:color w:val="231F20"/>
                                  <w:spacing w:val="-7"/>
                                  <w:sz w:val="15"/>
                                </w:rPr>
                                <w:t> </w:t>
                              </w:r>
                              <w:r>
                                <w:rPr>
                                  <w:i/>
                                  <w:color w:val="231F20"/>
                                  <w:sz w:val="15"/>
                                </w:rPr>
                                <w:t>without</w:t>
                              </w:r>
                              <w:r>
                                <w:rPr>
                                  <w:i/>
                                  <w:color w:val="231F20"/>
                                  <w:spacing w:val="-6"/>
                                  <w:sz w:val="15"/>
                                </w:rPr>
                                <w:t> </w:t>
                              </w:r>
                              <w:r>
                                <w:rPr>
                                  <w:i/>
                                  <w:color w:val="231F20"/>
                                  <w:spacing w:val="-4"/>
                                  <w:sz w:val="15"/>
                                </w:rPr>
                                <w:t>aura</w:t>
                              </w:r>
                            </w:p>
                            <w:p>
                              <w:pPr>
                                <w:numPr>
                                  <w:ilvl w:val="1"/>
                                  <w:numId w:val="69"/>
                                </w:numPr>
                                <w:tabs>
                                  <w:tab w:pos="457" w:val="left" w:leader="none"/>
                                </w:tabs>
                                <w:spacing w:line="168" w:lineRule="exact" w:before="0"/>
                                <w:ind w:left="457" w:right="0" w:hanging="191"/>
                                <w:jc w:val="left"/>
                                <w:rPr>
                                  <w:i/>
                                  <w:color w:val="000000"/>
                                  <w:sz w:val="15"/>
                                </w:rPr>
                              </w:pPr>
                              <w:r>
                                <w:rPr>
                                  <w:color w:val="231F20"/>
                                  <w:sz w:val="15"/>
                                </w:rPr>
                                <w:t>Criteria</w:t>
                              </w:r>
                              <w:r>
                                <w:rPr>
                                  <w:color w:val="231F20"/>
                                  <w:spacing w:val="-8"/>
                                  <w:sz w:val="15"/>
                                </w:rPr>
                                <w:t> </w:t>
                              </w:r>
                              <w:r>
                                <w:rPr>
                                  <w:color w:val="231F20"/>
                                  <w:sz w:val="15"/>
                                </w:rPr>
                                <w:t>B</w:t>
                              </w:r>
                              <w:r>
                                <w:rPr>
                                  <w:color w:val="231F20"/>
                                  <w:spacing w:val="-7"/>
                                  <w:sz w:val="15"/>
                                </w:rPr>
                                <w:t> </w:t>
                              </w:r>
                              <w:r>
                                <w:rPr>
                                  <w:color w:val="231F20"/>
                                  <w:sz w:val="15"/>
                                </w:rPr>
                                <w:t>and</w:t>
                              </w:r>
                              <w:r>
                                <w:rPr>
                                  <w:color w:val="231F20"/>
                                  <w:spacing w:val="-7"/>
                                  <w:sz w:val="15"/>
                                </w:rPr>
                                <w:t> </w:t>
                              </w:r>
                              <w:r>
                                <w:rPr>
                                  <w:color w:val="231F20"/>
                                  <w:sz w:val="15"/>
                                </w:rPr>
                                <w:t>C</w:t>
                              </w:r>
                              <w:r>
                                <w:rPr>
                                  <w:color w:val="231F20"/>
                                  <w:spacing w:val="-7"/>
                                  <w:sz w:val="15"/>
                                </w:rPr>
                                <w:t> </w:t>
                              </w:r>
                              <w:r>
                                <w:rPr>
                                  <w:color w:val="231F20"/>
                                  <w:sz w:val="15"/>
                                </w:rPr>
                                <w:t>for</w:t>
                              </w:r>
                              <w:r>
                                <w:rPr>
                                  <w:color w:val="231F20"/>
                                  <w:spacing w:val="-8"/>
                                  <w:sz w:val="15"/>
                                </w:rPr>
                                <w:t> </w:t>
                              </w:r>
                              <w:r>
                                <w:rPr>
                                  <w:color w:val="231F20"/>
                                  <w:sz w:val="15"/>
                                </w:rPr>
                                <w:t>1.2</w:t>
                              </w:r>
                              <w:r>
                                <w:rPr>
                                  <w:color w:val="231F20"/>
                                  <w:spacing w:val="-7"/>
                                  <w:sz w:val="15"/>
                                </w:rPr>
                                <w:t> </w:t>
                              </w:r>
                              <w:r>
                                <w:rPr>
                                  <w:i/>
                                  <w:color w:val="231F20"/>
                                  <w:sz w:val="15"/>
                                </w:rPr>
                                <w:t>Migraine</w:t>
                              </w:r>
                              <w:r>
                                <w:rPr>
                                  <w:i/>
                                  <w:color w:val="231F20"/>
                                  <w:spacing w:val="-7"/>
                                  <w:sz w:val="15"/>
                                </w:rPr>
                                <w:t> </w:t>
                              </w:r>
                              <w:r>
                                <w:rPr>
                                  <w:i/>
                                  <w:color w:val="231F20"/>
                                  <w:sz w:val="15"/>
                                </w:rPr>
                                <w:t>with</w:t>
                              </w:r>
                              <w:r>
                                <w:rPr>
                                  <w:i/>
                                  <w:color w:val="231F20"/>
                                  <w:spacing w:val="-7"/>
                                  <w:sz w:val="15"/>
                                </w:rPr>
                                <w:t> </w:t>
                              </w:r>
                              <w:r>
                                <w:rPr>
                                  <w:i/>
                                  <w:color w:val="231F20"/>
                                  <w:spacing w:val="-4"/>
                                  <w:sz w:val="15"/>
                                </w:rPr>
                                <w:t>aura</w:t>
                              </w:r>
                            </w:p>
                            <w:p>
                              <w:pPr>
                                <w:numPr>
                                  <w:ilvl w:val="1"/>
                                  <w:numId w:val="69"/>
                                </w:numPr>
                                <w:tabs>
                                  <w:tab w:pos="457" w:val="left" w:leader="none"/>
                                  <w:tab w:pos="459" w:val="left" w:leader="none"/>
                                </w:tabs>
                                <w:spacing w:line="230" w:lineRule="auto" w:before="3"/>
                                <w:ind w:left="459" w:right="182" w:hanging="193"/>
                                <w:jc w:val="left"/>
                                <w:rPr>
                                  <w:color w:val="000000"/>
                                  <w:sz w:val="15"/>
                                </w:rPr>
                              </w:pPr>
                              <w:r>
                                <w:rPr>
                                  <w:color w:val="231F20"/>
                                  <w:sz w:val="15"/>
                                </w:rPr>
                                <w:t>Believed</w:t>
                              </w:r>
                              <w:r>
                                <w:rPr>
                                  <w:color w:val="231F20"/>
                                  <w:spacing w:val="-6"/>
                                  <w:sz w:val="15"/>
                                </w:rPr>
                                <w:t> </w:t>
                              </w:r>
                              <w:r>
                                <w:rPr>
                                  <w:color w:val="231F20"/>
                                  <w:sz w:val="15"/>
                                </w:rPr>
                                <w:t>by</w:t>
                              </w:r>
                              <w:r>
                                <w:rPr>
                                  <w:color w:val="231F20"/>
                                  <w:spacing w:val="-6"/>
                                  <w:sz w:val="15"/>
                                </w:rPr>
                                <w:t> </w:t>
                              </w:r>
                              <w:r>
                                <w:rPr>
                                  <w:color w:val="231F20"/>
                                  <w:sz w:val="15"/>
                                </w:rPr>
                                <w:t>the</w:t>
                              </w:r>
                              <w:r>
                                <w:rPr>
                                  <w:color w:val="231F20"/>
                                  <w:spacing w:val="-6"/>
                                  <w:sz w:val="15"/>
                                </w:rPr>
                                <w:t> </w:t>
                              </w:r>
                              <w:r>
                                <w:rPr>
                                  <w:color w:val="231F20"/>
                                  <w:sz w:val="15"/>
                                </w:rPr>
                                <w:t>patient</w:t>
                              </w:r>
                              <w:r>
                                <w:rPr>
                                  <w:color w:val="231F20"/>
                                  <w:spacing w:val="-6"/>
                                  <w:sz w:val="15"/>
                                </w:rPr>
                                <w:t> </w:t>
                              </w:r>
                              <w:r>
                                <w:rPr>
                                  <w:color w:val="231F20"/>
                                  <w:sz w:val="15"/>
                                </w:rPr>
                                <w:t>to</w:t>
                              </w:r>
                              <w:r>
                                <w:rPr>
                                  <w:color w:val="231F20"/>
                                  <w:spacing w:val="-6"/>
                                  <w:sz w:val="15"/>
                                </w:rPr>
                                <w:t> </w:t>
                              </w:r>
                              <w:r>
                                <w:rPr>
                                  <w:color w:val="231F20"/>
                                  <w:sz w:val="15"/>
                                </w:rPr>
                                <w:t>be</w:t>
                              </w:r>
                              <w:r>
                                <w:rPr>
                                  <w:color w:val="231F20"/>
                                  <w:spacing w:val="-6"/>
                                  <w:sz w:val="15"/>
                                </w:rPr>
                                <w:t> </w:t>
                              </w:r>
                              <w:r>
                                <w:rPr>
                                  <w:color w:val="231F20"/>
                                  <w:sz w:val="15"/>
                                </w:rPr>
                                <w:t>migraine</w:t>
                              </w:r>
                              <w:r>
                                <w:rPr>
                                  <w:color w:val="231F20"/>
                                  <w:spacing w:val="-6"/>
                                  <w:sz w:val="15"/>
                                </w:rPr>
                                <w:t> </w:t>
                              </w:r>
                              <w:r>
                                <w:rPr>
                                  <w:color w:val="231F20"/>
                                  <w:sz w:val="15"/>
                                </w:rPr>
                                <w:t>at</w:t>
                              </w:r>
                              <w:r>
                                <w:rPr>
                                  <w:color w:val="231F20"/>
                                  <w:spacing w:val="-6"/>
                                  <w:sz w:val="15"/>
                                </w:rPr>
                                <w:t> </w:t>
                              </w:r>
                              <w:r>
                                <w:rPr>
                                  <w:color w:val="231F20"/>
                                  <w:sz w:val="15"/>
                                </w:rPr>
                                <w:t>onset</w:t>
                              </w:r>
                              <w:r>
                                <w:rPr>
                                  <w:color w:val="231F20"/>
                                  <w:spacing w:val="-6"/>
                                  <w:sz w:val="15"/>
                                </w:rPr>
                                <w:t> </w:t>
                              </w:r>
                              <w:r>
                                <w:rPr>
                                  <w:color w:val="231F20"/>
                                  <w:sz w:val="15"/>
                                </w:rPr>
                                <w:t>and</w:t>
                              </w:r>
                              <w:r>
                                <w:rPr>
                                  <w:color w:val="231F20"/>
                                  <w:spacing w:val="-6"/>
                                  <w:sz w:val="15"/>
                                </w:rPr>
                                <w:t> </w:t>
                              </w:r>
                              <w:r>
                                <w:rPr>
                                  <w:color w:val="231F20"/>
                                  <w:sz w:val="15"/>
                                </w:rPr>
                                <w:t>relieved by a triptan or ergot derivative</w:t>
                              </w:r>
                            </w:p>
                            <w:p>
                              <w:pPr>
                                <w:numPr>
                                  <w:ilvl w:val="0"/>
                                  <w:numId w:val="69"/>
                                </w:numPr>
                                <w:tabs>
                                  <w:tab w:pos="278" w:val="left" w:leader="none"/>
                                </w:tabs>
                                <w:spacing w:line="170" w:lineRule="exact" w:before="0"/>
                                <w:ind w:left="278" w:right="0" w:hanging="204"/>
                                <w:jc w:val="left"/>
                                <w:rPr>
                                  <w:color w:val="000000"/>
                                  <w:sz w:val="15"/>
                                </w:rPr>
                              </w:pPr>
                              <w:r>
                                <w:rPr>
                                  <w:color w:val="231F20"/>
                                  <w:sz w:val="15"/>
                                </w:rPr>
                                <w:t>Not</w:t>
                              </w:r>
                              <w:r>
                                <w:rPr>
                                  <w:color w:val="231F20"/>
                                  <w:spacing w:val="1"/>
                                  <w:sz w:val="15"/>
                                </w:rPr>
                                <w:t> </w:t>
                              </w:r>
                              <w:r>
                                <w:rPr>
                                  <w:color w:val="231F20"/>
                                  <w:sz w:val="15"/>
                                </w:rPr>
                                <w:t>better</w:t>
                              </w:r>
                              <w:r>
                                <w:rPr>
                                  <w:color w:val="231F20"/>
                                  <w:spacing w:val="2"/>
                                  <w:sz w:val="15"/>
                                </w:rPr>
                                <w:t> </w:t>
                              </w:r>
                              <w:r>
                                <w:rPr>
                                  <w:color w:val="231F20"/>
                                  <w:sz w:val="15"/>
                                </w:rPr>
                                <w:t>accounted</w:t>
                              </w:r>
                              <w:r>
                                <w:rPr>
                                  <w:color w:val="231F20"/>
                                  <w:spacing w:val="2"/>
                                  <w:sz w:val="15"/>
                                </w:rPr>
                                <w:t> </w:t>
                              </w:r>
                              <w:r>
                                <w:rPr>
                                  <w:color w:val="231F20"/>
                                  <w:sz w:val="15"/>
                                </w:rPr>
                                <w:t>for</w:t>
                              </w:r>
                              <w:r>
                                <w:rPr>
                                  <w:color w:val="231F20"/>
                                  <w:spacing w:val="1"/>
                                  <w:sz w:val="15"/>
                                </w:rPr>
                                <w:t> </w:t>
                              </w:r>
                              <w:r>
                                <w:rPr>
                                  <w:color w:val="231F20"/>
                                  <w:sz w:val="15"/>
                                </w:rPr>
                                <w:t>by</w:t>
                              </w:r>
                              <w:r>
                                <w:rPr>
                                  <w:color w:val="231F20"/>
                                  <w:spacing w:val="2"/>
                                  <w:sz w:val="15"/>
                                </w:rPr>
                                <w:t> </w:t>
                              </w:r>
                              <w:r>
                                <w:rPr>
                                  <w:color w:val="231F20"/>
                                  <w:sz w:val="15"/>
                                </w:rPr>
                                <w:t>another</w:t>
                              </w:r>
                              <w:r>
                                <w:rPr>
                                  <w:color w:val="231F20"/>
                                  <w:spacing w:val="2"/>
                                  <w:sz w:val="15"/>
                                </w:rPr>
                                <w:t> </w:t>
                              </w:r>
                              <w:r>
                                <w:rPr>
                                  <w:color w:val="231F20"/>
                                  <w:sz w:val="15"/>
                                </w:rPr>
                                <w:t>ICHD-3</w:t>
                              </w:r>
                              <w:r>
                                <w:rPr>
                                  <w:color w:val="231F20"/>
                                  <w:spacing w:val="1"/>
                                  <w:sz w:val="15"/>
                                </w:rPr>
                                <w:t> </w:t>
                              </w:r>
                              <w:r>
                                <w:rPr>
                                  <w:color w:val="231F20"/>
                                  <w:spacing w:val="-2"/>
                                  <w:sz w:val="15"/>
                                </w:rPr>
                                <w:t>diagnosis</w:t>
                              </w:r>
                            </w:p>
                          </w:txbxContent>
                        </wps:txbx>
                        <wps:bodyPr wrap="square" lIns="0" tIns="0" rIns="0" bIns="0" rtlCol="0">
                          <a:noAutofit/>
                        </wps:bodyPr>
                      </wps:wsp>
                      <wps:wsp>
                        <wps:cNvPr id="695" name="Graphic 695"/>
                        <wps:cNvSpPr/>
                        <wps:spPr>
                          <a:xfrm>
                            <a:off x="0" y="1677602"/>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696" name="Textbox 696"/>
                        <wps:cNvSpPr txBox="1"/>
                        <wps:spPr>
                          <a:xfrm>
                            <a:off x="734644" y="0"/>
                            <a:ext cx="2251710" cy="225425"/>
                          </a:xfrm>
                          <a:prstGeom prst="rect">
                            <a:avLst/>
                          </a:prstGeom>
                          <a:solidFill>
                            <a:srgbClr val="231F20"/>
                          </a:solidFill>
                        </wps:spPr>
                        <wps:txbx>
                          <w:txbxContent>
                            <w:p>
                              <w:pPr>
                                <w:spacing w:before="89"/>
                                <w:ind w:left="74" w:right="0" w:firstLine="0"/>
                                <w:jc w:val="left"/>
                                <w:rPr>
                                  <w:color w:val="000000"/>
                                  <w:sz w:val="16"/>
                                </w:rPr>
                              </w:pPr>
                              <w:r>
                                <w:rPr>
                                  <w:color w:val="FFFFFF"/>
                                  <w:sz w:val="16"/>
                                </w:rPr>
                                <w:t>Chronic</w:t>
                              </w:r>
                              <w:r>
                                <w:rPr>
                                  <w:color w:val="FFFFFF"/>
                                  <w:spacing w:val="43"/>
                                  <w:sz w:val="16"/>
                                </w:rPr>
                                <w:t> </w:t>
                              </w:r>
                              <w:r>
                                <w:rPr>
                                  <w:color w:val="FFFFFF"/>
                                  <w:spacing w:val="-2"/>
                                  <w:sz w:val="16"/>
                                </w:rPr>
                                <w:t>Migraine</w:t>
                              </w:r>
                            </w:p>
                          </w:txbxContent>
                        </wps:txbx>
                        <wps:bodyPr wrap="square" lIns="0" tIns="0" rIns="0" bIns="0" rtlCol="0">
                          <a:noAutofit/>
                        </wps:bodyPr>
                      </wps:wsp>
                      <wps:wsp>
                        <wps:cNvPr id="697" name="Textbox 697"/>
                        <wps:cNvSpPr txBox="1"/>
                        <wps:spPr>
                          <a:xfrm>
                            <a:off x="0" y="0"/>
                            <a:ext cx="723265" cy="225425"/>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6</w:t>
                              </w:r>
                            </w:p>
                          </w:txbxContent>
                        </wps:txbx>
                        <wps:bodyPr wrap="square" lIns="0" tIns="0" rIns="0" bIns="0" rtlCol="0">
                          <a:noAutofit/>
                        </wps:bodyPr>
                      </wps:wsp>
                    </wpg:wgp>
                  </a:graphicData>
                </a:graphic>
              </wp:inline>
            </w:drawing>
          </mc:Choice>
          <mc:Fallback>
            <w:pict>
              <v:group style="width:235.15pt;height:133.050pt;mso-position-horizontal-relative:char;mso-position-vertical-relative:line" id="docshapegroup588" coordorigin="0,0" coordsize="4703,2661">
                <v:shape style="position:absolute;left:0;top:373;width:4703;height:2279" type="#_x0000_t202" id="docshape589" filled="true" fillcolor="#e8f5f1" stroked="false">
                  <v:textbox inset="0,0,0,0">
                    <w:txbxContent>
                      <w:p>
                        <w:pPr>
                          <w:numPr>
                            <w:ilvl w:val="0"/>
                            <w:numId w:val="69"/>
                          </w:numPr>
                          <w:tabs>
                            <w:tab w:pos="279" w:val="left" w:leader="none"/>
                          </w:tabs>
                          <w:spacing w:line="171" w:lineRule="exact" w:before="47"/>
                          <w:ind w:left="279" w:right="0" w:hanging="205"/>
                          <w:jc w:val="left"/>
                          <w:rPr>
                            <w:color w:val="000000"/>
                            <w:sz w:val="15"/>
                          </w:rPr>
                        </w:pPr>
                        <w:r>
                          <w:rPr>
                            <w:color w:val="231F20"/>
                            <w:spacing w:val="-2"/>
                            <w:sz w:val="15"/>
                          </w:rPr>
                          <w:t>Headache</w:t>
                        </w:r>
                        <w:r>
                          <w:rPr>
                            <w:color w:val="231F20"/>
                            <w:spacing w:val="-1"/>
                            <w:sz w:val="15"/>
                          </w:rPr>
                          <w:t> </w:t>
                        </w:r>
                        <w:r>
                          <w:rPr>
                            <w:color w:val="231F20"/>
                            <w:spacing w:val="-2"/>
                            <w:sz w:val="15"/>
                          </w:rPr>
                          <w:t>(tension-type-like</w:t>
                        </w:r>
                        <w:r>
                          <w:rPr>
                            <w:color w:val="231F20"/>
                            <w:sz w:val="15"/>
                          </w:rPr>
                          <w:t> </w:t>
                        </w:r>
                        <w:r>
                          <w:rPr>
                            <w:color w:val="231F20"/>
                            <w:spacing w:val="-2"/>
                            <w:sz w:val="15"/>
                          </w:rPr>
                          <w:t>and/or</w:t>
                        </w:r>
                        <w:r>
                          <w:rPr>
                            <w:color w:val="231F20"/>
                            <w:sz w:val="15"/>
                          </w:rPr>
                          <w:t> </w:t>
                        </w:r>
                        <w:r>
                          <w:rPr>
                            <w:color w:val="231F20"/>
                            <w:spacing w:val="-2"/>
                            <w:sz w:val="15"/>
                          </w:rPr>
                          <w:t>migraine-like)</w:t>
                        </w:r>
                        <w:r>
                          <w:rPr>
                            <w:color w:val="231F20"/>
                            <w:sz w:val="15"/>
                          </w:rPr>
                          <w:t> </w:t>
                        </w:r>
                        <w:r>
                          <w:rPr>
                            <w:color w:val="231F20"/>
                            <w:spacing w:val="-2"/>
                            <w:sz w:val="15"/>
                          </w:rPr>
                          <w:t>on</w:t>
                        </w:r>
                        <w:r>
                          <w:rPr>
                            <w:color w:val="231F20"/>
                            <w:spacing w:val="-1"/>
                            <w:sz w:val="15"/>
                          </w:rPr>
                          <w:t> </w:t>
                        </w:r>
                        <w:r>
                          <w:rPr>
                            <w:color w:val="231F20"/>
                            <w:spacing w:val="-2"/>
                            <w:sz w:val="15"/>
                          </w:rPr>
                          <w:t>15</w:t>
                        </w:r>
                        <w:r>
                          <w:rPr>
                            <w:color w:val="231F20"/>
                            <w:sz w:val="15"/>
                          </w:rPr>
                          <w:t> </w:t>
                        </w:r>
                        <w:r>
                          <w:rPr>
                            <w:color w:val="231F20"/>
                            <w:spacing w:val="-5"/>
                            <w:sz w:val="15"/>
                          </w:rPr>
                          <w:t>or</w:t>
                        </w:r>
                      </w:p>
                      <w:p>
                        <w:pPr>
                          <w:spacing w:line="230" w:lineRule="auto" w:before="2"/>
                          <w:ind w:left="279" w:right="0" w:firstLine="0"/>
                          <w:jc w:val="left"/>
                          <w:rPr>
                            <w:color w:val="000000"/>
                            <w:sz w:val="15"/>
                          </w:rPr>
                        </w:pPr>
                        <w:r>
                          <w:rPr>
                            <w:color w:val="231F20"/>
                            <w:sz w:val="15"/>
                          </w:rPr>
                          <w:t>more</w:t>
                        </w:r>
                        <w:r>
                          <w:rPr>
                            <w:color w:val="231F20"/>
                            <w:spacing w:val="-8"/>
                            <w:sz w:val="15"/>
                          </w:rPr>
                          <w:t> </w:t>
                        </w:r>
                        <w:r>
                          <w:rPr>
                            <w:color w:val="231F20"/>
                            <w:sz w:val="15"/>
                          </w:rPr>
                          <w:t>days</w:t>
                        </w:r>
                        <w:r>
                          <w:rPr>
                            <w:color w:val="231F20"/>
                            <w:spacing w:val="-8"/>
                            <w:sz w:val="15"/>
                          </w:rPr>
                          <w:t> </w:t>
                        </w:r>
                        <w:r>
                          <w:rPr>
                            <w:color w:val="231F20"/>
                            <w:sz w:val="15"/>
                          </w:rPr>
                          <w:t>per</w:t>
                        </w:r>
                        <w:r>
                          <w:rPr>
                            <w:color w:val="231F20"/>
                            <w:spacing w:val="-8"/>
                            <w:sz w:val="15"/>
                          </w:rPr>
                          <w:t> </w:t>
                        </w:r>
                        <w:r>
                          <w:rPr>
                            <w:color w:val="231F20"/>
                            <w:sz w:val="15"/>
                          </w:rPr>
                          <w:t>month</w:t>
                        </w:r>
                        <w:r>
                          <w:rPr>
                            <w:color w:val="231F20"/>
                            <w:spacing w:val="-8"/>
                            <w:sz w:val="15"/>
                          </w:rPr>
                          <w:t> </w:t>
                        </w:r>
                        <w:r>
                          <w:rPr>
                            <w:color w:val="231F20"/>
                            <w:sz w:val="15"/>
                          </w:rPr>
                          <w:t>for</w:t>
                        </w:r>
                        <w:r>
                          <w:rPr>
                            <w:color w:val="231F20"/>
                            <w:spacing w:val="-8"/>
                            <w:sz w:val="15"/>
                          </w:rPr>
                          <w:t> </w:t>
                        </w:r>
                        <w:r>
                          <w:rPr>
                            <w:color w:val="231F20"/>
                            <w:sz w:val="15"/>
                          </w:rPr>
                          <w:t>more</w:t>
                        </w:r>
                        <w:r>
                          <w:rPr>
                            <w:color w:val="231F20"/>
                            <w:spacing w:val="-8"/>
                            <w:sz w:val="15"/>
                          </w:rPr>
                          <w:t> </w:t>
                        </w:r>
                        <w:r>
                          <w:rPr>
                            <w:color w:val="231F20"/>
                            <w:sz w:val="15"/>
                          </w:rPr>
                          <w:t>than</w:t>
                        </w:r>
                        <w:r>
                          <w:rPr>
                            <w:color w:val="231F20"/>
                            <w:spacing w:val="-8"/>
                            <w:sz w:val="15"/>
                          </w:rPr>
                          <w:t> </w:t>
                        </w:r>
                        <w:r>
                          <w:rPr>
                            <w:color w:val="231F20"/>
                            <w:sz w:val="15"/>
                          </w:rPr>
                          <w:t>3</w:t>
                        </w:r>
                        <w:r>
                          <w:rPr>
                            <w:color w:val="231F20"/>
                            <w:spacing w:val="-8"/>
                            <w:sz w:val="15"/>
                          </w:rPr>
                          <w:t> </w:t>
                        </w:r>
                        <w:r>
                          <w:rPr>
                            <w:color w:val="231F20"/>
                            <w:sz w:val="15"/>
                          </w:rPr>
                          <w:t>mo</w:t>
                        </w:r>
                        <w:r>
                          <w:rPr>
                            <w:color w:val="231F20"/>
                            <w:spacing w:val="-8"/>
                            <w:sz w:val="15"/>
                          </w:rPr>
                          <w:t> </w:t>
                        </w:r>
                        <w:r>
                          <w:rPr>
                            <w:color w:val="231F20"/>
                            <w:sz w:val="15"/>
                          </w:rPr>
                          <w:t>and</w:t>
                        </w:r>
                        <w:r>
                          <w:rPr>
                            <w:color w:val="231F20"/>
                            <w:spacing w:val="-8"/>
                            <w:sz w:val="15"/>
                          </w:rPr>
                          <w:t> </w:t>
                        </w:r>
                        <w:r>
                          <w:rPr>
                            <w:color w:val="231F20"/>
                            <w:sz w:val="15"/>
                          </w:rPr>
                          <w:t>fulfilling</w:t>
                        </w:r>
                        <w:r>
                          <w:rPr>
                            <w:color w:val="231F20"/>
                            <w:spacing w:val="-8"/>
                            <w:sz w:val="15"/>
                          </w:rPr>
                          <w:t> </w:t>
                        </w:r>
                        <w:r>
                          <w:rPr>
                            <w:color w:val="231F20"/>
                            <w:sz w:val="15"/>
                          </w:rPr>
                          <w:t>criteria</w:t>
                        </w:r>
                        <w:r>
                          <w:rPr>
                            <w:color w:val="231F20"/>
                            <w:spacing w:val="-8"/>
                            <w:sz w:val="15"/>
                          </w:rPr>
                          <w:t> </w:t>
                        </w:r>
                        <w:r>
                          <w:rPr>
                            <w:color w:val="231F20"/>
                            <w:sz w:val="15"/>
                          </w:rPr>
                          <w:t>B and C</w:t>
                        </w:r>
                      </w:p>
                      <w:p>
                        <w:pPr>
                          <w:numPr>
                            <w:ilvl w:val="0"/>
                            <w:numId w:val="69"/>
                          </w:numPr>
                          <w:tabs>
                            <w:tab w:pos="279" w:val="left" w:leader="none"/>
                          </w:tabs>
                          <w:spacing w:line="230" w:lineRule="auto" w:before="2"/>
                          <w:ind w:left="279" w:right="73" w:hanging="206"/>
                          <w:jc w:val="left"/>
                          <w:rPr>
                            <w:i/>
                            <w:color w:val="000000"/>
                            <w:sz w:val="15"/>
                          </w:rPr>
                        </w:pPr>
                        <w:r>
                          <w:rPr>
                            <w:color w:val="231F20"/>
                            <w:sz w:val="15"/>
                          </w:rPr>
                          <w:t>Occurring in a patient who has had at least 5 attacks fulfilling criteria</w:t>
                        </w:r>
                        <w:r>
                          <w:rPr>
                            <w:color w:val="231F20"/>
                            <w:spacing w:val="-12"/>
                            <w:sz w:val="15"/>
                          </w:rPr>
                          <w:t> </w:t>
                        </w:r>
                        <w:r>
                          <w:rPr>
                            <w:color w:val="231F20"/>
                            <w:sz w:val="15"/>
                          </w:rPr>
                          <w:t>B</w:t>
                        </w:r>
                        <w:r>
                          <w:rPr>
                            <w:color w:val="231F20"/>
                            <w:spacing w:val="-12"/>
                            <w:sz w:val="15"/>
                          </w:rPr>
                          <w:t> </w:t>
                        </w:r>
                        <w:r>
                          <w:rPr>
                            <w:color w:val="231F20"/>
                            <w:sz w:val="15"/>
                          </w:rPr>
                          <w:t>to</w:t>
                        </w:r>
                        <w:r>
                          <w:rPr>
                            <w:color w:val="231F20"/>
                            <w:spacing w:val="-11"/>
                            <w:sz w:val="15"/>
                          </w:rPr>
                          <w:t> </w:t>
                        </w:r>
                        <w:r>
                          <w:rPr>
                            <w:color w:val="231F20"/>
                            <w:sz w:val="15"/>
                          </w:rPr>
                          <w:t>D</w:t>
                        </w:r>
                        <w:r>
                          <w:rPr>
                            <w:color w:val="231F20"/>
                            <w:spacing w:val="-12"/>
                            <w:sz w:val="15"/>
                          </w:rPr>
                          <w:t> </w:t>
                        </w:r>
                        <w:r>
                          <w:rPr>
                            <w:color w:val="231F20"/>
                            <w:sz w:val="15"/>
                          </w:rPr>
                          <w:t>for</w:t>
                        </w:r>
                        <w:r>
                          <w:rPr>
                            <w:color w:val="231F20"/>
                            <w:spacing w:val="-11"/>
                            <w:sz w:val="15"/>
                          </w:rPr>
                          <w:t> </w:t>
                        </w:r>
                        <w:r>
                          <w:rPr>
                            <w:color w:val="231F20"/>
                            <w:sz w:val="15"/>
                          </w:rPr>
                          <w:t>1.1</w:t>
                        </w:r>
                        <w:r>
                          <w:rPr>
                            <w:color w:val="231F20"/>
                            <w:spacing w:val="-12"/>
                            <w:sz w:val="15"/>
                          </w:rPr>
                          <w:t> </w:t>
                        </w:r>
                        <w:r>
                          <w:rPr>
                            <w:i/>
                            <w:color w:val="231F20"/>
                            <w:sz w:val="15"/>
                          </w:rPr>
                          <w:t>Migraine</w:t>
                        </w:r>
                        <w:r>
                          <w:rPr>
                            <w:i/>
                            <w:color w:val="231F20"/>
                            <w:spacing w:val="-12"/>
                            <w:sz w:val="15"/>
                          </w:rPr>
                          <w:t> </w:t>
                        </w:r>
                        <w:r>
                          <w:rPr>
                            <w:i/>
                            <w:color w:val="231F20"/>
                            <w:sz w:val="15"/>
                          </w:rPr>
                          <w:t>without</w:t>
                        </w:r>
                        <w:r>
                          <w:rPr>
                            <w:i/>
                            <w:color w:val="231F20"/>
                            <w:spacing w:val="-11"/>
                            <w:sz w:val="15"/>
                          </w:rPr>
                          <w:t> </w:t>
                        </w:r>
                        <w:r>
                          <w:rPr>
                            <w:i/>
                            <w:color w:val="231F20"/>
                            <w:sz w:val="15"/>
                          </w:rPr>
                          <w:t>aura</w:t>
                        </w:r>
                        <w:r>
                          <w:rPr>
                            <w:i/>
                            <w:color w:val="231F20"/>
                            <w:spacing w:val="-11"/>
                            <w:sz w:val="15"/>
                          </w:rPr>
                          <w:t> </w:t>
                        </w:r>
                        <w:r>
                          <w:rPr>
                            <w:color w:val="231F20"/>
                            <w:sz w:val="15"/>
                          </w:rPr>
                          <w:t>and/or</w:t>
                        </w:r>
                        <w:r>
                          <w:rPr>
                            <w:color w:val="231F20"/>
                            <w:spacing w:val="-12"/>
                            <w:sz w:val="15"/>
                          </w:rPr>
                          <w:t> </w:t>
                        </w:r>
                        <w:r>
                          <w:rPr>
                            <w:color w:val="231F20"/>
                            <w:sz w:val="15"/>
                          </w:rPr>
                          <w:t>criteria</w:t>
                        </w:r>
                        <w:r>
                          <w:rPr>
                            <w:color w:val="231F20"/>
                            <w:spacing w:val="-12"/>
                            <w:sz w:val="15"/>
                          </w:rPr>
                          <w:t> </w:t>
                        </w:r>
                        <w:r>
                          <w:rPr>
                            <w:color w:val="231F20"/>
                            <w:sz w:val="15"/>
                          </w:rPr>
                          <w:t>B</w:t>
                        </w:r>
                        <w:r>
                          <w:rPr>
                            <w:color w:val="231F20"/>
                            <w:spacing w:val="-11"/>
                            <w:sz w:val="15"/>
                          </w:rPr>
                          <w:t> </w:t>
                        </w:r>
                        <w:r>
                          <w:rPr>
                            <w:color w:val="231F20"/>
                            <w:sz w:val="15"/>
                          </w:rPr>
                          <w:t>and C for 1.2 </w:t>
                        </w:r>
                        <w:r>
                          <w:rPr>
                            <w:i/>
                            <w:color w:val="231F20"/>
                            <w:sz w:val="15"/>
                          </w:rPr>
                          <w:t>Migraine with aura</w:t>
                        </w:r>
                      </w:p>
                      <w:p>
                        <w:pPr>
                          <w:numPr>
                            <w:ilvl w:val="0"/>
                            <w:numId w:val="69"/>
                          </w:numPr>
                          <w:tabs>
                            <w:tab w:pos="279" w:val="left" w:leader="none"/>
                          </w:tabs>
                          <w:spacing w:line="230" w:lineRule="auto" w:before="2"/>
                          <w:ind w:left="279" w:right="177" w:hanging="206"/>
                          <w:jc w:val="left"/>
                          <w:rPr>
                            <w:color w:val="000000"/>
                            <w:sz w:val="15"/>
                          </w:rPr>
                        </w:pPr>
                        <w:r>
                          <w:rPr>
                            <w:color w:val="231F20"/>
                            <w:sz w:val="15"/>
                          </w:rPr>
                          <w:t>On</w:t>
                        </w:r>
                        <w:r>
                          <w:rPr>
                            <w:color w:val="231F20"/>
                            <w:spacing w:val="-5"/>
                            <w:sz w:val="15"/>
                          </w:rPr>
                          <w:t> </w:t>
                        </w:r>
                        <w:r>
                          <w:rPr>
                            <w:color w:val="231F20"/>
                            <w:sz w:val="15"/>
                          </w:rPr>
                          <w:t>8</w:t>
                        </w:r>
                        <w:r>
                          <w:rPr>
                            <w:color w:val="231F20"/>
                            <w:spacing w:val="-5"/>
                            <w:sz w:val="15"/>
                          </w:rPr>
                          <w:t> </w:t>
                        </w:r>
                        <w:r>
                          <w:rPr>
                            <w:color w:val="231F20"/>
                            <w:sz w:val="15"/>
                          </w:rPr>
                          <w:t>or</w:t>
                        </w:r>
                        <w:r>
                          <w:rPr>
                            <w:color w:val="231F20"/>
                            <w:spacing w:val="-5"/>
                            <w:sz w:val="15"/>
                          </w:rPr>
                          <w:t> </w:t>
                        </w:r>
                        <w:r>
                          <w:rPr>
                            <w:color w:val="231F20"/>
                            <w:sz w:val="15"/>
                          </w:rPr>
                          <w:t>more</w:t>
                        </w:r>
                        <w:r>
                          <w:rPr>
                            <w:color w:val="231F20"/>
                            <w:spacing w:val="-5"/>
                            <w:sz w:val="15"/>
                          </w:rPr>
                          <w:t> </w:t>
                        </w:r>
                        <w:r>
                          <w:rPr>
                            <w:color w:val="231F20"/>
                            <w:sz w:val="15"/>
                          </w:rPr>
                          <w:t>days</w:t>
                        </w:r>
                        <w:r>
                          <w:rPr>
                            <w:color w:val="231F20"/>
                            <w:spacing w:val="-5"/>
                            <w:sz w:val="15"/>
                          </w:rPr>
                          <w:t> </w:t>
                        </w:r>
                        <w:r>
                          <w:rPr>
                            <w:color w:val="231F20"/>
                            <w:sz w:val="15"/>
                          </w:rPr>
                          <w:t>per</w:t>
                        </w:r>
                        <w:r>
                          <w:rPr>
                            <w:color w:val="231F20"/>
                            <w:spacing w:val="-5"/>
                            <w:sz w:val="15"/>
                          </w:rPr>
                          <w:t> </w:t>
                        </w:r>
                        <w:r>
                          <w:rPr>
                            <w:color w:val="231F20"/>
                            <w:sz w:val="15"/>
                          </w:rPr>
                          <w:t>month</w:t>
                        </w:r>
                        <w:r>
                          <w:rPr>
                            <w:color w:val="231F20"/>
                            <w:spacing w:val="-5"/>
                            <w:sz w:val="15"/>
                          </w:rPr>
                          <w:t> </w:t>
                        </w:r>
                        <w:r>
                          <w:rPr>
                            <w:color w:val="231F20"/>
                            <w:sz w:val="15"/>
                          </w:rPr>
                          <w:t>for</w:t>
                        </w:r>
                        <w:r>
                          <w:rPr>
                            <w:color w:val="231F20"/>
                            <w:spacing w:val="-5"/>
                            <w:sz w:val="15"/>
                          </w:rPr>
                          <w:t> </w:t>
                        </w:r>
                        <w:r>
                          <w:rPr>
                            <w:color w:val="231F20"/>
                            <w:sz w:val="15"/>
                          </w:rPr>
                          <w:t>more</w:t>
                        </w:r>
                        <w:r>
                          <w:rPr>
                            <w:color w:val="231F20"/>
                            <w:spacing w:val="-5"/>
                            <w:sz w:val="15"/>
                          </w:rPr>
                          <w:t> </w:t>
                        </w:r>
                        <w:r>
                          <w:rPr>
                            <w:color w:val="231F20"/>
                            <w:sz w:val="15"/>
                          </w:rPr>
                          <w:t>than</w:t>
                        </w:r>
                        <w:r>
                          <w:rPr>
                            <w:color w:val="231F20"/>
                            <w:spacing w:val="-5"/>
                            <w:sz w:val="15"/>
                          </w:rPr>
                          <w:t> </w:t>
                        </w:r>
                        <w:r>
                          <w:rPr>
                            <w:color w:val="231F20"/>
                            <w:sz w:val="15"/>
                          </w:rPr>
                          <w:t>3</w:t>
                        </w:r>
                        <w:r>
                          <w:rPr>
                            <w:color w:val="231F20"/>
                            <w:spacing w:val="-5"/>
                            <w:sz w:val="15"/>
                          </w:rPr>
                          <w:t> </w:t>
                        </w:r>
                        <w:r>
                          <w:rPr>
                            <w:color w:val="231F20"/>
                            <w:sz w:val="15"/>
                          </w:rPr>
                          <w:t>mo,</w:t>
                        </w:r>
                        <w:r>
                          <w:rPr>
                            <w:color w:val="231F20"/>
                            <w:spacing w:val="-5"/>
                            <w:sz w:val="15"/>
                          </w:rPr>
                          <w:t> </w:t>
                        </w:r>
                        <w:r>
                          <w:rPr>
                            <w:color w:val="231F20"/>
                            <w:sz w:val="15"/>
                          </w:rPr>
                          <w:t>fulfilling</w:t>
                        </w:r>
                        <w:r>
                          <w:rPr>
                            <w:color w:val="231F20"/>
                            <w:spacing w:val="-5"/>
                            <w:sz w:val="15"/>
                          </w:rPr>
                          <w:t> </w:t>
                        </w:r>
                        <w:r>
                          <w:rPr>
                            <w:color w:val="231F20"/>
                            <w:sz w:val="15"/>
                          </w:rPr>
                          <w:t>any of the following:</w:t>
                        </w:r>
                      </w:p>
                      <w:p>
                        <w:pPr>
                          <w:numPr>
                            <w:ilvl w:val="1"/>
                            <w:numId w:val="69"/>
                          </w:numPr>
                          <w:tabs>
                            <w:tab w:pos="457" w:val="left" w:leader="none"/>
                          </w:tabs>
                          <w:spacing w:line="167" w:lineRule="exact" w:before="0"/>
                          <w:ind w:left="457" w:right="0" w:hanging="191"/>
                          <w:jc w:val="left"/>
                          <w:rPr>
                            <w:i/>
                            <w:color w:val="000000"/>
                            <w:sz w:val="15"/>
                          </w:rPr>
                        </w:pPr>
                        <w:r>
                          <w:rPr>
                            <w:color w:val="231F20"/>
                            <w:sz w:val="15"/>
                          </w:rPr>
                          <w:t>Criteria</w:t>
                        </w:r>
                        <w:r>
                          <w:rPr>
                            <w:color w:val="231F20"/>
                            <w:spacing w:val="-7"/>
                            <w:sz w:val="15"/>
                          </w:rPr>
                          <w:t> </w:t>
                        </w:r>
                        <w:r>
                          <w:rPr>
                            <w:color w:val="231F20"/>
                            <w:sz w:val="15"/>
                          </w:rPr>
                          <w:t>C</w:t>
                        </w:r>
                        <w:r>
                          <w:rPr>
                            <w:color w:val="231F20"/>
                            <w:spacing w:val="-6"/>
                            <w:sz w:val="15"/>
                          </w:rPr>
                          <w:t> </w:t>
                        </w:r>
                        <w:r>
                          <w:rPr>
                            <w:color w:val="231F20"/>
                            <w:sz w:val="15"/>
                          </w:rPr>
                          <w:t>and</w:t>
                        </w:r>
                        <w:r>
                          <w:rPr>
                            <w:color w:val="231F20"/>
                            <w:spacing w:val="-7"/>
                            <w:sz w:val="15"/>
                          </w:rPr>
                          <w:t> </w:t>
                        </w:r>
                        <w:r>
                          <w:rPr>
                            <w:color w:val="231F20"/>
                            <w:sz w:val="15"/>
                          </w:rPr>
                          <w:t>D</w:t>
                        </w:r>
                        <w:r>
                          <w:rPr>
                            <w:color w:val="231F20"/>
                            <w:spacing w:val="-6"/>
                            <w:sz w:val="15"/>
                          </w:rPr>
                          <w:t> </w:t>
                        </w:r>
                        <w:r>
                          <w:rPr>
                            <w:color w:val="231F20"/>
                            <w:sz w:val="15"/>
                          </w:rPr>
                          <w:t>for</w:t>
                        </w:r>
                        <w:r>
                          <w:rPr>
                            <w:color w:val="231F20"/>
                            <w:spacing w:val="-7"/>
                            <w:sz w:val="15"/>
                          </w:rPr>
                          <w:t> </w:t>
                        </w:r>
                        <w:r>
                          <w:rPr>
                            <w:color w:val="231F20"/>
                            <w:sz w:val="15"/>
                          </w:rPr>
                          <w:t>1.1</w:t>
                        </w:r>
                        <w:r>
                          <w:rPr>
                            <w:color w:val="231F20"/>
                            <w:spacing w:val="-6"/>
                            <w:sz w:val="15"/>
                          </w:rPr>
                          <w:t> </w:t>
                        </w:r>
                        <w:r>
                          <w:rPr>
                            <w:i/>
                            <w:color w:val="231F20"/>
                            <w:sz w:val="15"/>
                          </w:rPr>
                          <w:t>Migraine</w:t>
                        </w:r>
                        <w:r>
                          <w:rPr>
                            <w:i/>
                            <w:color w:val="231F20"/>
                            <w:spacing w:val="-7"/>
                            <w:sz w:val="15"/>
                          </w:rPr>
                          <w:t> </w:t>
                        </w:r>
                        <w:r>
                          <w:rPr>
                            <w:i/>
                            <w:color w:val="231F20"/>
                            <w:sz w:val="15"/>
                          </w:rPr>
                          <w:t>without</w:t>
                        </w:r>
                        <w:r>
                          <w:rPr>
                            <w:i/>
                            <w:color w:val="231F20"/>
                            <w:spacing w:val="-6"/>
                            <w:sz w:val="15"/>
                          </w:rPr>
                          <w:t> </w:t>
                        </w:r>
                        <w:r>
                          <w:rPr>
                            <w:i/>
                            <w:color w:val="231F20"/>
                            <w:spacing w:val="-4"/>
                            <w:sz w:val="15"/>
                          </w:rPr>
                          <w:t>aura</w:t>
                        </w:r>
                      </w:p>
                      <w:p>
                        <w:pPr>
                          <w:numPr>
                            <w:ilvl w:val="1"/>
                            <w:numId w:val="69"/>
                          </w:numPr>
                          <w:tabs>
                            <w:tab w:pos="457" w:val="left" w:leader="none"/>
                          </w:tabs>
                          <w:spacing w:line="168" w:lineRule="exact" w:before="0"/>
                          <w:ind w:left="457" w:right="0" w:hanging="191"/>
                          <w:jc w:val="left"/>
                          <w:rPr>
                            <w:i/>
                            <w:color w:val="000000"/>
                            <w:sz w:val="15"/>
                          </w:rPr>
                        </w:pPr>
                        <w:r>
                          <w:rPr>
                            <w:color w:val="231F20"/>
                            <w:sz w:val="15"/>
                          </w:rPr>
                          <w:t>Criteria</w:t>
                        </w:r>
                        <w:r>
                          <w:rPr>
                            <w:color w:val="231F20"/>
                            <w:spacing w:val="-8"/>
                            <w:sz w:val="15"/>
                          </w:rPr>
                          <w:t> </w:t>
                        </w:r>
                        <w:r>
                          <w:rPr>
                            <w:color w:val="231F20"/>
                            <w:sz w:val="15"/>
                          </w:rPr>
                          <w:t>B</w:t>
                        </w:r>
                        <w:r>
                          <w:rPr>
                            <w:color w:val="231F20"/>
                            <w:spacing w:val="-7"/>
                            <w:sz w:val="15"/>
                          </w:rPr>
                          <w:t> </w:t>
                        </w:r>
                        <w:r>
                          <w:rPr>
                            <w:color w:val="231F20"/>
                            <w:sz w:val="15"/>
                          </w:rPr>
                          <w:t>and</w:t>
                        </w:r>
                        <w:r>
                          <w:rPr>
                            <w:color w:val="231F20"/>
                            <w:spacing w:val="-7"/>
                            <w:sz w:val="15"/>
                          </w:rPr>
                          <w:t> </w:t>
                        </w:r>
                        <w:r>
                          <w:rPr>
                            <w:color w:val="231F20"/>
                            <w:sz w:val="15"/>
                          </w:rPr>
                          <w:t>C</w:t>
                        </w:r>
                        <w:r>
                          <w:rPr>
                            <w:color w:val="231F20"/>
                            <w:spacing w:val="-7"/>
                            <w:sz w:val="15"/>
                          </w:rPr>
                          <w:t> </w:t>
                        </w:r>
                        <w:r>
                          <w:rPr>
                            <w:color w:val="231F20"/>
                            <w:sz w:val="15"/>
                          </w:rPr>
                          <w:t>for</w:t>
                        </w:r>
                        <w:r>
                          <w:rPr>
                            <w:color w:val="231F20"/>
                            <w:spacing w:val="-8"/>
                            <w:sz w:val="15"/>
                          </w:rPr>
                          <w:t> </w:t>
                        </w:r>
                        <w:r>
                          <w:rPr>
                            <w:color w:val="231F20"/>
                            <w:sz w:val="15"/>
                          </w:rPr>
                          <w:t>1.2</w:t>
                        </w:r>
                        <w:r>
                          <w:rPr>
                            <w:color w:val="231F20"/>
                            <w:spacing w:val="-7"/>
                            <w:sz w:val="15"/>
                          </w:rPr>
                          <w:t> </w:t>
                        </w:r>
                        <w:r>
                          <w:rPr>
                            <w:i/>
                            <w:color w:val="231F20"/>
                            <w:sz w:val="15"/>
                          </w:rPr>
                          <w:t>Migraine</w:t>
                        </w:r>
                        <w:r>
                          <w:rPr>
                            <w:i/>
                            <w:color w:val="231F20"/>
                            <w:spacing w:val="-7"/>
                            <w:sz w:val="15"/>
                          </w:rPr>
                          <w:t> </w:t>
                        </w:r>
                        <w:r>
                          <w:rPr>
                            <w:i/>
                            <w:color w:val="231F20"/>
                            <w:sz w:val="15"/>
                          </w:rPr>
                          <w:t>with</w:t>
                        </w:r>
                        <w:r>
                          <w:rPr>
                            <w:i/>
                            <w:color w:val="231F20"/>
                            <w:spacing w:val="-7"/>
                            <w:sz w:val="15"/>
                          </w:rPr>
                          <w:t> </w:t>
                        </w:r>
                        <w:r>
                          <w:rPr>
                            <w:i/>
                            <w:color w:val="231F20"/>
                            <w:spacing w:val="-4"/>
                            <w:sz w:val="15"/>
                          </w:rPr>
                          <w:t>aura</w:t>
                        </w:r>
                      </w:p>
                      <w:p>
                        <w:pPr>
                          <w:numPr>
                            <w:ilvl w:val="1"/>
                            <w:numId w:val="69"/>
                          </w:numPr>
                          <w:tabs>
                            <w:tab w:pos="457" w:val="left" w:leader="none"/>
                            <w:tab w:pos="459" w:val="left" w:leader="none"/>
                          </w:tabs>
                          <w:spacing w:line="230" w:lineRule="auto" w:before="3"/>
                          <w:ind w:left="459" w:right="182" w:hanging="193"/>
                          <w:jc w:val="left"/>
                          <w:rPr>
                            <w:color w:val="000000"/>
                            <w:sz w:val="15"/>
                          </w:rPr>
                        </w:pPr>
                        <w:r>
                          <w:rPr>
                            <w:color w:val="231F20"/>
                            <w:sz w:val="15"/>
                          </w:rPr>
                          <w:t>Believed</w:t>
                        </w:r>
                        <w:r>
                          <w:rPr>
                            <w:color w:val="231F20"/>
                            <w:spacing w:val="-6"/>
                            <w:sz w:val="15"/>
                          </w:rPr>
                          <w:t> </w:t>
                        </w:r>
                        <w:r>
                          <w:rPr>
                            <w:color w:val="231F20"/>
                            <w:sz w:val="15"/>
                          </w:rPr>
                          <w:t>by</w:t>
                        </w:r>
                        <w:r>
                          <w:rPr>
                            <w:color w:val="231F20"/>
                            <w:spacing w:val="-6"/>
                            <w:sz w:val="15"/>
                          </w:rPr>
                          <w:t> </w:t>
                        </w:r>
                        <w:r>
                          <w:rPr>
                            <w:color w:val="231F20"/>
                            <w:sz w:val="15"/>
                          </w:rPr>
                          <w:t>the</w:t>
                        </w:r>
                        <w:r>
                          <w:rPr>
                            <w:color w:val="231F20"/>
                            <w:spacing w:val="-6"/>
                            <w:sz w:val="15"/>
                          </w:rPr>
                          <w:t> </w:t>
                        </w:r>
                        <w:r>
                          <w:rPr>
                            <w:color w:val="231F20"/>
                            <w:sz w:val="15"/>
                          </w:rPr>
                          <w:t>patient</w:t>
                        </w:r>
                        <w:r>
                          <w:rPr>
                            <w:color w:val="231F20"/>
                            <w:spacing w:val="-6"/>
                            <w:sz w:val="15"/>
                          </w:rPr>
                          <w:t> </w:t>
                        </w:r>
                        <w:r>
                          <w:rPr>
                            <w:color w:val="231F20"/>
                            <w:sz w:val="15"/>
                          </w:rPr>
                          <w:t>to</w:t>
                        </w:r>
                        <w:r>
                          <w:rPr>
                            <w:color w:val="231F20"/>
                            <w:spacing w:val="-6"/>
                            <w:sz w:val="15"/>
                          </w:rPr>
                          <w:t> </w:t>
                        </w:r>
                        <w:r>
                          <w:rPr>
                            <w:color w:val="231F20"/>
                            <w:sz w:val="15"/>
                          </w:rPr>
                          <w:t>be</w:t>
                        </w:r>
                        <w:r>
                          <w:rPr>
                            <w:color w:val="231F20"/>
                            <w:spacing w:val="-6"/>
                            <w:sz w:val="15"/>
                          </w:rPr>
                          <w:t> </w:t>
                        </w:r>
                        <w:r>
                          <w:rPr>
                            <w:color w:val="231F20"/>
                            <w:sz w:val="15"/>
                          </w:rPr>
                          <w:t>migraine</w:t>
                        </w:r>
                        <w:r>
                          <w:rPr>
                            <w:color w:val="231F20"/>
                            <w:spacing w:val="-6"/>
                            <w:sz w:val="15"/>
                          </w:rPr>
                          <w:t> </w:t>
                        </w:r>
                        <w:r>
                          <w:rPr>
                            <w:color w:val="231F20"/>
                            <w:sz w:val="15"/>
                          </w:rPr>
                          <w:t>at</w:t>
                        </w:r>
                        <w:r>
                          <w:rPr>
                            <w:color w:val="231F20"/>
                            <w:spacing w:val="-6"/>
                            <w:sz w:val="15"/>
                          </w:rPr>
                          <w:t> </w:t>
                        </w:r>
                        <w:r>
                          <w:rPr>
                            <w:color w:val="231F20"/>
                            <w:sz w:val="15"/>
                          </w:rPr>
                          <w:t>onset</w:t>
                        </w:r>
                        <w:r>
                          <w:rPr>
                            <w:color w:val="231F20"/>
                            <w:spacing w:val="-6"/>
                            <w:sz w:val="15"/>
                          </w:rPr>
                          <w:t> </w:t>
                        </w:r>
                        <w:r>
                          <w:rPr>
                            <w:color w:val="231F20"/>
                            <w:sz w:val="15"/>
                          </w:rPr>
                          <w:t>and</w:t>
                        </w:r>
                        <w:r>
                          <w:rPr>
                            <w:color w:val="231F20"/>
                            <w:spacing w:val="-6"/>
                            <w:sz w:val="15"/>
                          </w:rPr>
                          <w:t> </w:t>
                        </w:r>
                        <w:r>
                          <w:rPr>
                            <w:color w:val="231F20"/>
                            <w:sz w:val="15"/>
                          </w:rPr>
                          <w:t>relieved by a triptan or ergot derivative</w:t>
                        </w:r>
                      </w:p>
                      <w:p>
                        <w:pPr>
                          <w:numPr>
                            <w:ilvl w:val="0"/>
                            <w:numId w:val="69"/>
                          </w:numPr>
                          <w:tabs>
                            <w:tab w:pos="278" w:val="left" w:leader="none"/>
                          </w:tabs>
                          <w:spacing w:line="170" w:lineRule="exact" w:before="0"/>
                          <w:ind w:left="278" w:right="0" w:hanging="204"/>
                          <w:jc w:val="left"/>
                          <w:rPr>
                            <w:color w:val="000000"/>
                            <w:sz w:val="15"/>
                          </w:rPr>
                        </w:pPr>
                        <w:r>
                          <w:rPr>
                            <w:color w:val="231F20"/>
                            <w:sz w:val="15"/>
                          </w:rPr>
                          <w:t>Not</w:t>
                        </w:r>
                        <w:r>
                          <w:rPr>
                            <w:color w:val="231F20"/>
                            <w:spacing w:val="1"/>
                            <w:sz w:val="15"/>
                          </w:rPr>
                          <w:t> </w:t>
                        </w:r>
                        <w:r>
                          <w:rPr>
                            <w:color w:val="231F20"/>
                            <w:sz w:val="15"/>
                          </w:rPr>
                          <w:t>better</w:t>
                        </w:r>
                        <w:r>
                          <w:rPr>
                            <w:color w:val="231F20"/>
                            <w:spacing w:val="2"/>
                            <w:sz w:val="15"/>
                          </w:rPr>
                          <w:t> </w:t>
                        </w:r>
                        <w:r>
                          <w:rPr>
                            <w:color w:val="231F20"/>
                            <w:sz w:val="15"/>
                          </w:rPr>
                          <w:t>accounted</w:t>
                        </w:r>
                        <w:r>
                          <w:rPr>
                            <w:color w:val="231F20"/>
                            <w:spacing w:val="2"/>
                            <w:sz w:val="15"/>
                          </w:rPr>
                          <w:t> </w:t>
                        </w:r>
                        <w:r>
                          <w:rPr>
                            <w:color w:val="231F20"/>
                            <w:sz w:val="15"/>
                          </w:rPr>
                          <w:t>for</w:t>
                        </w:r>
                        <w:r>
                          <w:rPr>
                            <w:color w:val="231F20"/>
                            <w:spacing w:val="1"/>
                            <w:sz w:val="15"/>
                          </w:rPr>
                          <w:t> </w:t>
                        </w:r>
                        <w:r>
                          <w:rPr>
                            <w:color w:val="231F20"/>
                            <w:sz w:val="15"/>
                          </w:rPr>
                          <w:t>by</w:t>
                        </w:r>
                        <w:r>
                          <w:rPr>
                            <w:color w:val="231F20"/>
                            <w:spacing w:val="2"/>
                            <w:sz w:val="15"/>
                          </w:rPr>
                          <w:t> </w:t>
                        </w:r>
                        <w:r>
                          <w:rPr>
                            <w:color w:val="231F20"/>
                            <w:sz w:val="15"/>
                          </w:rPr>
                          <w:t>another</w:t>
                        </w:r>
                        <w:r>
                          <w:rPr>
                            <w:color w:val="231F20"/>
                            <w:spacing w:val="2"/>
                            <w:sz w:val="15"/>
                          </w:rPr>
                          <w:t> </w:t>
                        </w:r>
                        <w:r>
                          <w:rPr>
                            <w:color w:val="231F20"/>
                            <w:sz w:val="15"/>
                          </w:rPr>
                          <w:t>ICHD-3</w:t>
                        </w:r>
                        <w:r>
                          <w:rPr>
                            <w:color w:val="231F20"/>
                            <w:spacing w:val="1"/>
                            <w:sz w:val="15"/>
                          </w:rPr>
                          <w:t> </w:t>
                        </w:r>
                        <w:r>
                          <w:rPr>
                            <w:color w:val="231F20"/>
                            <w:spacing w:val="-2"/>
                            <w:sz w:val="15"/>
                          </w:rPr>
                          <w:t>diagnosis</w:t>
                        </w:r>
                      </w:p>
                    </w:txbxContent>
                  </v:textbox>
                  <v:fill type="solid"/>
                  <w10:wrap type="none"/>
                </v:shape>
                <v:rect style="position:absolute;left:0;top:2641;width:4703;height:19" id="docshape590" filled="true" fillcolor="#231f20" stroked="false">
                  <v:fill type="solid"/>
                </v:rect>
                <v:shape style="position:absolute;left:1156;top:0;width:3546;height:355" type="#_x0000_t202" id="docshape591" filled="true" fillcolor="#231f20" stroked="false">
                  <v:textbox inset="0,0,0,0">
                    <w:txbxContent>
                      <w:p>
                        <w:pPr>
                          <w:spacing w:before="89"/>
                          <w:ind w:left="74" w:right="0" w:firstLine="0"/>
                          <w:jc w:val="left"/>
                          <w:rPr>
                            <w:color w:val="000000"/>
                            <w:sz w:val="16"/>
                          </w:rPr>
                        </w:pPr>
                        <w:r>
                          <w:rPr>
                            <w:color w:val="FFFFFF"/>
                            <w:sz w:val="16"/>
                          </w:rPr>
                          <w:t>Chronic</w:t>
                        </w:r>
                        <w:r>
                          <w:rPr>
                            <w:color w:val="FFFFFF"/>
                            <w:spacing w:val="43"/>
                            <w:sz w:val="16"/>
                          </w:rPr>
                          <w:t> </w:t>
                        </w:r>
                        <w:r>
                          <w:rPr>
                            <w:color w:val="FFFFFF"/>
                            <w:spacing w:val="-2"/>
                            <w:sz w:val="16"/>
                          </w:rPr>
                          <w:t>Migraine</w:t>
                        </w:r>
                      </w:p>
                    </w:txbxContent>
                  </v:textbox>
                  <v:fill type="solid"/>
                  <w10:wrap type="none"/>
                </v:shape>
                <v:shape style="position:absolute;left:0;top:0;width:1139;height:355" type="#_x0000_t202" id="docshape592"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6</w:t>
                        </w:r>
                      </w:p>
                    </w:txbxContent>
                  </v:textbox>
                  <v:fill type="solid"/>
                  <w10:wrap type="none"/>
                </v:shape>
              </v:group>
            </w:pict>
          </mc:Fallback>
        </mc:AlternateContent>
      </w:r>
      <w:r>
        <w:rPr>
          <w:sz w:val="20"/>
        </w:rPr>
      </w:r>
    </w:p>
    <w:p>
      <w:pPr>
        <w:spacing w:after="0" w:line="240" w:lineRule="auto"/>
        <w:rPr>
          <w:sz w:val="20"/>
        </w:rPr>
        <w:sectPr>
          <w:type w:val="continuous"/>
          <w:pgSz w:w="11900" w:h="16840"/>
          <w:pgMar w:header="0" w:footer="0" w:top="620" w:bottom="280" w:left="425" w:right="566"/>
        </w:sectPr>
      </w:pPr>
    </w:p>
    <w:p>
      <w:pPr>
        <w:spacing w:before="30"/>
        <w:ind w:left="486" w:right="38" w:firstLine="0"/>
        <w:jc w:val="left"/>
        <w:rPr>
          <w:i/>
          <w:sz w:val="13"/>
        </w:rPr>
      </w:pPr>
      <w:r>
        <w:rPr>
          <w:i/>
          <w:color w:val="231F20"/>
          <w:sz w:val="13"/>
        </w:rPr>
        <w:t>From Headache Classification Committee on the International Headache</w:t>
      </w:r>
      <w:r>
        <w:rPr>
          <w:i/>
          <w:color w:val="231F20"/>
          <w:spacing w:val="40"/>
          <w:sz w:val="13"/>
        </w:rPr>
        <w:t> </w:t>
      </w:r>
      <w:r>
        <w:rPr>
          <w:i/>
          <w:color w:val="231F20"/>
          <w:sz w:val="13"/>
        </w:rPr>
        <w:t>Society</w:t>
      </w:r>
      <w:r>
        <w:rPr>
          <w:i/>
          <w:color w:val="231F20"/>
          <w:spacing w:val="-9"/>
          <w:sz w:val="13"/>
        </w:rPr>
        <w:t> </w:t>
      </w:r>
      <w:r>
        <w:rPr>
          <w:i/>
          <w:color w:val="231F20"/>
          <w:sz w:val="13"/>
        </w:rPr>
        <w:t>(IHS):</w:t>
      </w:r>
      <w:r>
        <w:rPr>
          <w:i/>
          <w:color w:val="231F20"/>
          <w:spacing w:val="-9"/>
          <w:sz w:val="13"/>
        </w:rPr>
        <w:t> </w:t>
      </w:r>
      <w:r>
        <w:rPr>
          <w:i/>
          <w:color w:val="231F20"/>
          <w:sz w:val="13"/>
        </w:rPr>
        <w:t>The</w:t>
      </w:r>
      <w:r>
        <w:rPr>
          <w:i/>
          <w:color w:val="231F20"/>
          <w:spacing w:val="-9"/>
          <w:sz w:val="13"/>
        </w:rPr>
        <w:t> </w:t>
      </w:r>
      <w:r>
        <w:rPr>
          <w:i/>
          <w:color w:val="231F20"/>
          <w:sz w:val="13"/>
        </w:rPr>
        <w:t>International</w:t>
      </w:r>
      <w:r>
        <w:rPr>
          <w:i/>
          <w:color w:val="231F20"/>
          <w:spacing w:val="-9"/>
          <w:sz w:val="13"/>
        </w:rPr>
        <w:t> </w:t>
      </w:r>
      <w:r>
        <w:rPr>
          <w:i/>
          <w:color w:val="231F20"/>
          <w:sz w:val="13"/>
        </w:rPr>
        <w:t>Classification</w:t>
      </w:r>
      <w:r>
        <w:rPr>
          <w:i/>
          <w:color w:val="231F20"/>
          <w:spacing w:val="-9"/>
          <w:sz w:val="13"/>
        </w:rPr>
        <w:t> </w:t>
      </w:r>
      <w:r>
        <w:rPr>
          <w:i/>
          <w:color w:val="231F20"/>
          <w:sz w:val="13"/>
        </w:rPr>
        <w:t>of</w:t>
      </w:r>
      <w:r>
        <w:rPr>
          <w:i/>
          <w:color w:val="231F20"/>
          <w:spacing w:val="-9"/>
          <w:sz w:val="13"/>
        </w:rPr>
        <w:t> </w:t>
      </w:r>
      <w:r>
        <w:rPr>
          <w:i/>
          <w:color w:val="231F20"/>
          <w:sz w:val="13"/>
        </w:rPr>
        <w:t>Headache</w:t>
      </w:r>
      <w:r>
        <w:rPr>
          <w:i/>
          <w:color w:val="231F20"/>
          <w:spacing w:val="-9"/>
          <w:sz w:val="13"/>
        </w:rPr>
        <w:t> </w:t>
      </w:r>
      <w:r>
        <w:rPr>
          <w:i/>
          <w:color w:val="231F20"/>
          <w:sz w:val="13"/>
        </w:rPr>
        <w:t>Disorders,</w:t>
      </w:r>
      <w:r>
        <w:rPr>
          <w:i/>
          <w:color w:val="231F20"/>
          <w:spacing w:val="22"/>
          <w:sz w:val="13"/>
        </w:rPr>
        <w:t> </w:t>
      </w:r>
      <w:r>
        <w:rPr>
          <w:i/>
          <w:color w:val="231F20"/>
          <w:sz w:val="13"/>
        </w:rPr>
        <w:t>ed</w:t>
      </w:r>
      <w:r>
        <w:rPr>
          <w:i/>
          <w:color w:val="231F20"/>
          <w:spacing w:val="-9"/>
          <w:sz w:val="13"/>
        </w:rPr>
        <w:t> </w:t>
      </w:r>
      <w:r>
        <w:rPr>
          <w:i/>
          <w:color w:val="231F20"/>
          <w:sz w:val="13"/>
        </w:rPr>
        <w:t>3</w:t>
      </w:r>
      <w:r>
        <w:rPr>
          <w:i/>
          <w:color w:val="231F20"/>
          <w:spacing w:val="40"/>
          <w:sz w:val="13"/>
        </w:rPr>
        <w:t> </w:t>
      </w:r>
      <w:r>
        <w:rPr>
          <w:i/>
          <w:color w:val="231F20"/>
          <w:sz w:val="13"/>
        </w:rPr>
        <w:t>(beta version). </w:t>
      </w:r>
      <w:r>
        <w:rPr>
          <w:color w:val="231F20"/>
          <w:sz w:val="13"/>
        </w:rPr>
        <w:t>Cephalalgia </w:t>
      </w:r>
      <w:r>
        <w:rPr>
          <w:i/>
          <w:color w:val="231F20"/>
          <w:sz w:val="13"/>
        </w:rPr>
        <w:t>33(9):629–808, 2013, Table 6.</w:t>
      </w:r>
    </w:p>
    <w:p>
      <w:pPr>
        <w:spacing w:before="30"/>
        <w:ind w:left="486" w:right="1025" w:firstLine="0"/>
        <w:jc w:val="left"/>
        <w:rPr>
          <w:i/>
          <w:sz w:val="13"/>
        </w:rPr>
      </w:pPr>
      <w:r>
        <w:rPr/>
        <w:br w:type="column"/>
      </w:r>
      <w:r>
        <w:rPr>
          <w:i/>
          <w:color w:val="231F20"/>
          <w:sz w:val="13"/>
        </w:rPr>
        <w:t>From Headache Classification Committee on the International Headache</w:t>
      </w:r>
      <w:r>
        <w:rPr>
          <w:i/>
          <w:color w:val="231F20"/>
          <w:spacing w:val="40"/>
          <w:sz w:val="13"/>
        </w:rPr>
        <w:t> </w:t>
      </w:r>
      <w:r>
        <w:rPr>
          <w:i/>
          <w:color w:val="231F20"/>
          <w:sz w:val="13"/>
        </w:rPr>
        <w:t>Society</w:t>
      </w:r>
      <w:r>
        <w:rPr>
          <w:i/>
          <w:color w:val="231F20"/>
          <w:spacing w:val="-9"/>
          <w:sz w:val="13"/>
        </w:rPr>
        <w:t> </w:t>
      </w:r>
      <w:r>
        <w:rPr>
          <w:i/>
          <w:color w:val="231F20"/>
          <w:sz w:val="13"/>
        </w:rPr>
        <w:t>(IHS):</w:t>
      </w:r>
      <w:r>
        <w:rPr>
          <w:i/>
          <w:color w:val="231F20"/>
          <w:spacing w:val="-9"/>
          <w:sz w:val="13"/>
        </w:rPr>
        <w:t> </w:t>
      </w:r>
      <w:r>
        <w:rPr>
          <w:i/>
          <w:color w:val="231F20"/>
          <w:sz w:val="13"/>
        </w:rPr>
        <w:t>The</w:t>
      </w:r>
      <w:r>
        <w:rPr>
          <w:i/>
          <w:color w:val="231F20"/>
          <w:spacing w:val="-9"/>
          <w:sz w:val="13"/>
        </w:rPr>
        <w:t> </w:t>
      </w:r>
      <w:r>
        <w:rPr>
          <w:i/>
          <w:color w:val="231F20"/>
          <w:sz w:val="13"/>
        </w:rPr>
        <w:t>International</w:t>
      </w:r>
      <w:r>
        <w:rPr>
          <w:i/>
          <w:color w:val="231F20"/>
          <w:spacing w:val="-9"/>
          <w:sz w:val="13"/>
        </w:rPr>
        <w:t> </w:t>
      </w:r>
      <w:r>
        <w:rPr>
          <w:i/>
          <w:color w:val="231F20"/>
          <w:sz w:val="13"/>
        </w:rPr>
        <w:t>Classification</w:t>
      </w:r>
      <w:r>
        <w:rPr>
          <w:i/>
          <w:color w:val="231F20"/>
          <w:spacing w:val="-9"/>
          <w:sz w:val="13"/>
        </w:rPr>
        <w:t> </w:t>
      </w:r>
      <w:r>
        <w:rPr>
          <w:i/>
          <w:color w:val="231F20"/>
          <w:sz w:val="13"/>
        </w:rPr>
        <w:t>of</w:t>
      </w:r>
      <w:r>
        <w:rPr>
          <w:i/>
          <w:color w:val="231F20"/>
          <w:spacing w:val="-9"/>
          <w:sz w:val="13"/>
        </w:rPr>
        <w:t> </w:t>
      </w:r>
      <w:r>
        <w:rPr>
          <w:i/>
          <w:color w:val="231F20"/>
          <w:sz w:val="13"/>
        </w:rPr>
        <w:t>Headache</w:t>
      </w:r>
      <w:r>
        <w:rPr>
          <w:i/>
          <w:color w:val="231F20"/>
          <w:spacing w:val="-9"/>
          <w:sz w:val="13"/>
        </w:rPr>
        <w:t> </w:t>
      </w:r>
      <w:r>
        <w:rPr>
          <w:i/>
          <w:color w:val="231F20"/>
          <w:sz w:val="13"/>
        </w:rPr>
        <w:t>Disorders,</w:t>
      </w:r>
      <w:r>
        <w:rPr>
          <w:i/>
          <w:color w:val="231F20"/>
          <w:spacing w:val="22"/>
          <w:sz w:val="13"/>
        </w:rPr>
        <w:t> </w:t>
      </w:r>
      <w:r>
        <w:rPr>
          <w:i/>
          <w:color w:val="231F20"/>
          <w:sz w:val="13"/>
        </w:rPr>
        <w:t>ed</w:t>
      </w:r>
      <w:r>
        <w:rPr>
          <w:i/>
          <w:color w:val="231F20"/>
          <w:spacing w:val="-9"/>
          <w:sz w:val="13"/>
        </w:rPr>
        <w:t> </w:t>
      </w:r>
      <w:r>
        <w:rPr>
          <w:i/>
          <w:color w:val="231F20"/>
          <w:sz w:val="13"/>
        </w:rPr>
        <w:t>3</w:t>
      </w:r>
      <w:r>
        <w:rPr>
          <w:i/>
          <w:color w:val="231F20"/>
          <w:spacing w:val="40"/>
          <w:sz w:val="13"/>
        </w:rPr>
        <w:t> </w:t>
      </w:r>
      <w:r>
        <w:rPr>
          <w:i/>
          <w:color w:val="231F20"/>
          <w:sz w:val="13"/>
        </w:rPr>
        <w:t>(beta version). </w:t>
      </w:r>
      <w:r>
        <w:rPr>
          <w:color w:val="231F20"/>
          <w:sz w:val="13"/>
        </w:rPr>
        <w:t>Cephalalgia </w:t>
      </w:r>
      <w:r>
        <w:rPr>
          <w:i/>
          <w:color w:val="231F20"/>
          <w:sz w:val="13"/>
        </w:rPr>
        <w:t>33(9):629–808, 2013, Table 9.</w:t>
      </w:r>
    </w:p>
    <w:p>
      <w:pPr>
        <w:spacing w:after="0"/>
        <w:jc w:val="left"/>
        <w:rPr>
          <w:i/>
          <w:sz w:val="13"/>
        </w:rPr>
        <w:sectPr>
          <w:type w:val="continuous"/>
          <w:pgSz w:w="11900" w:h="16840"/>
          <w:pgMar w:header="0" w:footer="0" w:top="620" w:bottom="280" w:left="425" w:right="566"/>
          <w:cols w:num="2" w:equalWidth="0">
            <w:col w:w="4884" w:space="154"/>
            <w:col w:w="5871"/>
          </w:cols>
        </w:sectPr>
      </w:pPr>
    </w:p>
    <w:p>
      <w:pPr>
        <w:pStyle w:val="BodyText"/>
        <w:rPr>
          <w:i/>
          <w:sz w:val="20"/>
        </w:rPr>
      </w:pPr>
      <w:r>
        <w:rPr>
          <w:i/>
          <w:sz w:val="20"/>
        </w:rPr>
        <mc:AlternateContent>
          <mc:Choice Requires="wps">
            <w:drawing>
              <wp:anchor distT="0" distB="0" distL="0" distR="0" allowOverlap="1" layoutInCell="1" locked="0" behindDoc="0" simplePos="0" relativeHeight="15767040">
                <wp:simplePos x="0" y="0"/>
                <wp:positionH relativeFrom="page">
                  <wp:posOffset>3991535</wp:posOffset>
                </wp:positionH>
                <wp:positionV relativeFrom="page">
                  <wp:posOffset>2210790</wp:posOffset>
                </wp:positionV>
                <wp:extent cx="2986405" cy="2767965"/>
                <wp:effectExtent l="0" t="0" r="0" b="0"/>
                <wp:wrapNone/>
                <wp:docPr id="698" name="Group 698"/>
                <wp:cNvGraphicFramePr>
                  <a:graphicFrameLocks/>
                </wp:cNvGraphicFramePr>
                <a:graphic>
                  <a:graphicData uri="http://schemas.microsoft.com/office/word/2010/wordprocessingGroup">
                    <wpg:wgp>
                      <wpg:cNvPr id="698" name="Group 698"/>
                      <wpg:cNvGrpSpPr/>
                      <wpg:grpSpPr>
                        <a:xfrm>
                          <a:off x="0" y="0"/>
                          <a:ext cx="2986405" cy="2767965"/>
                          <a:chExt cx="2986405" cy="2767965"/>
                        </a:xfrm>
                      </wpg:grpSpPr>
                      <wps:wsp>
                        <wps:cNvPr id="699" name="Textbox 699"/>
                        <wps:cNvSpPr txBox="1"/>
                        <wps:spPr>
                          <a:xfrm>
                            <a:off x="0" y="355467"/>
                            <a:ext cx="2986405" cy="2406650"/>
                          </a:xfrm>
                          <a:prstGeom prst="rect">
                            <a:avLst/>
                          </a:prstGeom>
                          <a:solidFill>
                            <a:srgbClr val="E8F5F1"/>
                          </a:solidFill>
                        </wps:spPr>
                        <wps:txbx>
                          <w:txbxContent>
                            <w:p>
                              <w:pPr>
                                <w:spacing w:line="171" w:lineRule="exact" w:before="47"/>
                                <w:ind w:left="74" w:right="0" w:firstLine="0"/>
                                <w:jc w:val="left"/>
                                <w:rPr>
                                  <w:color w:val="000000"/>
                                  <w:sz w:val="15"/>
                                </w:rPr>
                              </w:pPr>
                              <w:r>
                                <w:rPr>
                                  <w:color w:val="231F20"/>
                                  <w:sz w:val="15"/>
                                </w:rPr>
                                <w:t>Abnormal</w:t>
                              </w:r>
                              <w:r>
                                <w:rPr>
                                  <w:color w:val="231F20"/>
                                  <w:spacing w:val="10"/>
                                  <w:sz w:val="15"/>
                                </w:rPr>
                                <w:t> </w:t>
                              </w:r>
                              <w:r>
                                <w:rPr>
                                  <w:color w:val="231F20"/>
                                  <w:sz w:val="15"/>
                                </w:rPr>
                                <w:t>neurologic</w:t>
                              </w:r>
                              <w:r>
                                <w:rPr>
                                  <w:color w:val="231F20"/>
                                  <w:spacing w:val="11"/>
                                  <w:sz w:val="15"/>
                                </w:rPr>
                                <w:t> </w:t>
                              </w:r>
                              <w:r>
                                <w:rPr>
                                  <w:color w:val="231F20"/>
                                  <w:spacing w:val="-2"/>
                                  <w:sz w:val="15"/>
                                </w:rPr>
                                <w:t>examination</w:t>
                              </w:r>
                            </w:p>
                            <w:p>
                              <w:pPr>
                                <w:spacing w:line="168" w:lineRule="exact" w:before="0"/>
                                <w:ind w:left="74" w:right="0" w:firstLine="0"/>
                                <w:jc w:val="left"/>
                                <w:rPr>
                                  <w:color w:val="000000"/>
                                  <w:sz w:val="15"/>
                                </w:rPr>
                              </w:pPr>
                              <w:r>
                                <w:rPr>
                                  <w:color w:val="231F20"/>
                                  <w:sz w:val="15"/>
                                </w:rPr>
                                <w:t>Abnormal</w:t>
                              </w:r>
                              <w:r>
                                <w:rPr>
                                  <w:color w:val="231F20"/>
                                  <w:spacing w:val="3"/>
                                  <w:sz w:val="15"/>
                                </w:rPr>
                                <w:t> </w:t>
                              </w:r>
                              <w:r>
                                <w:rPr>
                                  <w:color w:val="231F20"/>
                                  <w:sz w:val="15"/>
                                </w:rPr>
                                <w:t>or</w:t>
                              </w:r>
                              <w:r>
                                <w:rPr>
                                  <w:color w:val="231F20"/>
                                  <w:spacing w:val="3"/>
                                  <w:sz w:val="15"/>
                                </w:rPr>
                                <w:t> </w:t>
                              </w:r>
                              <w:r>
                                <w:rPr>
                                  <w:color w:val="231F20"/>
                                  <w:sz w:val="15"/>
                                </w:rPr>
                                <w:t>focal</w:t>
                              </w:r>
                              <w:r>
                                <w:rPr>
                                  <w:color w:val="231F20"/>
                                  <w:spacing w:val="3"/>
                                  <w:sz w:val="15"/>
                                </w:rPr>
                                <w:t> </w:t>
                              </w:r>
                              <w:r>
                                <w:rPr>
                                  <w:color w:val="231F20"/>
                                  <w:sz w:val="15"/>
                                </w:rPr>
                                <w:t>neurologic</w:t>
                              </w:r>
                              <w:r>
                                <w:rPr>
                                  <w:color w:val="231F20"/>
                                  <w:spacing w:val="3"/>
                                  <w:sz w:val="15"/>
                                </w:rPr>
                                <w:t> </w:t>
                              </w:r>
                              <w:r>
                                <w:rPr>
                                  <w:color w:val="231F20"/>
                                  <w:sz w:val="15"/>
                                </w:rPr>
                                <w:t>signs</w:t>
                              </w:r>
                              <w:r>
                                <w:rPr>
                                  <w:color w:val="231F20"/>
                                  <w:spacing w:val="4"/>
                                  <w:sz w:val="15"/>
                                </w:rPr>
                                <w:t> </w:t>
                              </w:r>
                              <w:r>
                                <w:rPr>
                                  <w:color w:val="231F20"/>
                                  <w:sz w:val="15"/>
                                </w:rPr>
                                <w:t>or</w:t>
                              </w:r>
                              <w:r>
                                <w:rPr>
                                  <w:color w:val="231F20"/>
                                  <w:spacing w:val="3"/>
                                  <w:sz w:val="15"/>
                                </w:rPr>
                                <w:t> </w:t>
                              </w:r>
                              <w:r>
                                <w:rPr>
                                  <w:color w:val="231F20"/>
                                  <w:spacing w:val="-2"/>
                                  <w:sz w:val="15"/>
                                </w:rPr>
                                <w:t>symptoms</w:t>
                              </w:r>
                            </w:p>
                            <w:p>
                              <w:pPr>
                                <w:numPr>
                                  <w:ilvl w:val="0"/>
                                  <w:numId w:val="70"/>
                                </w:numPr>
                                <w:tabs>
                                  <w:tab w:pos="223" w:val="left" w:leader="none"/>
                                </w:tabs>
                                <w:spacing w:line="230" w:lineRule="auto" w:before="2"/>
                                <w:ind w:left="223" w:right="663" w:hanging="150"/>
                                <w:jc w:val="left"/>
                                <w:rPr>
                                  <w:color w:val="000000"/>
                                  <w:sz w:val="15"/>
                                </w:rPr>
                              </w:pPr>
                              <w:r>
                                <w:rPr>
                                  <w:color w:val="231F20"/>
                                  <w:sz w:val="15"/>
                                </w:rPr>
                                <w:t>Focal neurologic symptoms or signs developing during </w:t>
                              </w:r>
                              <w:r>
                                <w:rPr>
                                  <w:color w:val="231F20"/>
                                  <w:sz w:val="15"/>
                                </w:rPr>
                                <w:t>a headache (i.e., complicated migraine)</w:t>
                              </w:r>
                            </w:p>
                            <w:p>
                              <w:pPr>
                                <w:numPr>
                                  <w:ilvl w:val="0"/>
                                  <w:numId w:val="70"/>
                                </w:numPr>
                                <w:tabs>
                                  <w:tab w:pos="223" w:val="left" w:leader="none"/>
                                </w:tabs>
                                <w:spacing w:line="230" w:lineRule="auto" w:before="2"/>
                                <w:ind w:left="223" w:right="400" w:hanging="150"/>
                                <w:jc w:val="left"/>
                                <w:rPr>
                                  <w:color w:val="000000"/>
                                  <w:sz w:val="15"/>
                                </w:rPr>
                              </w:pPr>
                              <w:r>
                                <w:rPr>
                                  <w:color w:val="231F20"/>
                                  <w:sz w:val="15"/>
                                </w:rPr>
                                <w:t>Focal neurologic symptoms or signs (except classic visual symptoms of migraine) develop during the aura, with fixed </w:t>
                              </w:r>
                              <w:r>
                                <w:rPr>
                                  <w:color w:val="231F20"/>
                                  <w:spacing w:val="-2"/>
                                  <w:sz w:val="15"/>
                                </w:rPr>
                                <w:t>laterality;</w:t>
                              </w:r>
                              <w:r>
                                <w:rPr>
                                  <w:color w:val="231F20"/>
                                  <w:spacing w:val="-4"/>
                                  <w:sz w:val="15"/>
                                </w:rPr>
                                <w:t> </w:t>
                              </w:r>
                              <w:r>
                                <w:rPr>
                                  <w:color w:val="231F20"/>
                                  <w:spacing w:val="-2"/>
                                  <w:sz w:val="15"/>
                                </w:rPr>
                                <w:t>focal</w:t>
                              </w:r>
                              <w:r>
                                <w:rPr>
                                  <w:color w:val="231F20"/>
                                  <w:spacing w:val="-4"/>
                                  <w:sz w:val="15"/>
                                </w:rPr>
                                <w:t> </w:t>
                              </w:r>
                              <w:r>
                                <w:rPr>
                                  <w:color w:val="231F20"/>
                                  <w:spacing w:val="-2"/>
                                  <w:sz w:val="15"/>
                                </w:rPr>
                                <w:t>signs</w:t>
                              </w:r>
                              <w:r>
                                <w:rPr>
                                  <w:color w:val="231F20"/>
                                  <w:spacing w:val="-4"/>
                                  <w:sz w:val="15"/>
                                </w:rPr>
                                <w:t> </w:t>
                              </w:r>
                              <w:r>
                                <w:rPr>
                                  <w:color w:val="231F20"/>
                                  <w:spacing w:val="-2"/>
                                  <w:sz w:val="15"/>
                                </w:rPr>
                                <w:t>of</w:t>
                              </w:r>
                              <w:r>
                                <w:rPr>
                                  <w:color w:val="231F20"/>
                                  <w:spacing w:val="-4"/>
                                  <w:sz w:val="15"/>
                                </w:rPr>
                                <w:t> </w:t>
                              </w:r>
                              <w:r>
                                <w:rPr>
                                  <w:color w:val="231F20"/>
                                  <w:spacing w:val="-2"/>
                                  <w:sz w:val="15"/>
                                </w:rPr>
                                <w:t>the</w:t>
                              </w:r>
                              <w:r>
                                <w:rPr>
                                  <w:color w:val="231F20"/>
                                  <w:spacing w:val="-4"/>
                                  <w:sz w:val="15"/>
                                </w:rPr>
                                <w:t> </w:t>
                              </w:r>
                              <w:r>
                                <w:rPr>
                                  <w:color w:val="231F20"/>
                                  <w:spacing w:val="-2"/>
                                  <w:sz w:val="15"/>
                                </w:rPr>
                                <w:t>aura</w:t>
                              </w:r>
                              <w:r>
                                <w:rPr>
                                  <w:color w:val="231F20"/>
                                  <w:spacing w:val="-4"/>
                                  <w:sz w:val="15"/>
                                </w:rPr>
                                <w:t> </w:t>
                              </w:r>
                              <w:r>
                                <w:rPr>
                                  <w:color w:val="231F20"/>
                                  <w:spacing w:val="-2"/>
                                  <w:sz w:val="15"/>
                                </w:rPr>
                                <w:t>persisting</w:t>
                              </w:r>
                              <w:r>
                                <w:rPr>
                                  <w:color w:val="231F20"/>
                                  <w:spacing w:val="-4"/>
                                  <w:sz w:val="15"/>
                                </w:rPr>
                                <w:t> </w:t>
                              </w:r>
                              <w:r>
                                <w:rPr>
                                  <w:color w:val="231F20"/>
                                  <w:spacing w:val="-2"/>
                                  <w:sz w:val="15"/>
                                </w:rPr>
                                <w:t>or</w:t>
                              </w:r>
                              <w:r>
                                <w:rPr>
                                  <w:color w:val="231F20"/>
                                  <w:spacing w:val="-4"/>
                                  <w:sz w:val="15"/>
                                </w:rPr>
                                <w:t> </w:t>
                              </w:r>
                              <w:r>
                                <w:rPr>
                                  <w:color w:val="231F20"/>
                                  <w:spacing w:val="-2"/>
                                  <w:sz w:val="15"/>
                                </w:rPr>
                                <w:t>recurring</w:t>
                              </w:r>
                              <w:r>
                                <w:rPr>
                                  <w:color w:val="231F20"/>
                                  <w:spacing w:val="-4"/>
                                  <w:sz w:val="15"/>
                                </w:rPr>
                                <w:t> </w:t>
                              </w:r>
                              <w:r>
                                <w:rPr>
                                  <w:color w:val="231F20"/>
                                  <w:spacing w:val="-2"/>
                                  <w:sz w:val="15"/>
                                </w:rPr>
                                <w:t>in</w:t>
                              </w:r>
                              <w:r>
                                <w:rPr>
                                  <w:color w:val="231F20"/>
                                  <w:spacing w:val="-4"/>
                                  <w:sz w:val="15"/>
                                </w:rPr>
                                <w:t> </w:t>
                              </w:r>
                              <w:r>
                                <w:rPr>
                                  <w:color w:val="231F20"/>
                                  <w:spacing w:val="-2"/>
                                  <w:sz w:val="15"/>
                                </w:rPr>
                                <w:t>the </w:t>
                              </w:r>
                              <w:r>
                                <w:rPr>
                                  <w:color w:val="231F20"/>
                                  <w:sz w:val="15"/>
                                </w:rPr>
                                <w:t>headache phase</w:t>
                              </w:r>
                            </w:p>
                            <w:p>
                              <w:pPr>
                                <w:spacing w:line="230" w:lineRule="auto" w:before="1"/>
                                <w:ind w:left="74" w:right="1899" w:firstLine="0"/>
                                <w:jc w:val="left"/>
                                <w:rPr>
                                  <w:color w:val="000000"/>
                                  <w:sz w:val="15"/>
                                </w:rPr>
                              </w:pPr>
                              <w:r>
                                <w:rPr>
                                  <w:color w:val="231F20"/>
                                  <w:spacing w:val="-2"/>
                                  <w:sz w:val="15"/>
                                </w:rPr>
                                <w:t>Seizures</w:t>
                              </w:r>
                              <w:r>
                                <w:rPr>
                                  <w:color w:val="231F20"/>
                                  <w:spacing w:val="-9"/>
                                  <w:sz w:val="15"/>
                                </w:rPr>
                                <w:t> </w:t>
                              </w:r>
                              <w:r>
                                <w:rPr>
                                  <w:color w:val="231F20"/>
                                  <w:spacing w:val="-2"/>
                                  <w:sz w:val="15"/>
                                </w:rPr>
                                <w:t>or</w:t>
                              </w:r>
                              <w:r>
                                <w:rPr>
                                  <w:color w:val="231F20"/>
                                  <w:spacing w:val="-9"/>
                                  <w:sz w:val="15"/>
                                </w:rPr>
                                <w:t> </w:t>
                              </w:r>
                              <w:r>
                                <w:rPr>
                                  <w:color w:val="231F20"/>
                                  <w:spacing w:val="-2"/>
                                  <w:sz w:val="15"/>
                                </w:rPr>
                                <w:t>very</w:t>
                              </w:r>
                              <w:r>
                                <w:rPr>
                                  <w:color w:val="231F20"/>
                                  <w:spacing w:val="-9"/>
                                  <w:sz w:val="15"/>
                                </w:rPr>
                                <w:t> </w:t>
                              </w:r>
                              <w:r>
                                <w:rPr>
                                  <w:color w:val="231F20"/>
                                  <w:spacing w:val="-2"/>
                                  <w:sz w:val="15"/>
                                </w:rPr>
                                <w:t>brief</w:t>
                              </w:r>
                              <w:r>
                                <w:rPr>
                                  <w:color w:val="231F20"/>
                                  <w:spacing w:val="-9"/>
                                  <w:sz w:val="15"/>
                                </w:rPr>
                                <w:t> </w:t>
                              </w:r>
                              <w:r>
                                <w:rPr>
                                  <w:color w:val="231F20"/>
                                  <w:spacing w:val="-2"/>
                                  <w:sz w:val="15"/>
                                </w:rPr>
                                <w:t>auras</w:t>
                              </w:r>
                              <w:r>
                                <w:rPr>
                                  <w:color w:val="231F20"/>
                                  <w:spacing w:val="-9"/>
                                  <w:sz w:val="15"/>
                                </w:rPr>
                                <w:t> </w:t>
                              </w:r>
                              <w:r>
                                <w:rPr>
                                  <w:color w:val="231F20"/>
                                  <w:spacing w:val="-2"/>
                                  <w:sz w:val="15"/>
                                </w:rPr>
                                <w:t>(</w:t>
                              </w:r>
                              <w:r>
                                <w:rPr>
                                  <w:rFonts w:ascii="Cambria"/>
                                  <w:color w:val="231F20"/>
                                  <w:spacing w:val="-2"/>
                                  <w:sz w:val="15"/>
                                </w:rPr>
                                <w:t>&lt;</w:t>
                              </w:r>
                              <w:r>
                                <w:rPr>
                                  <w:color w:val="231F20"/>
                                  <w:spacing w:val="-2"/>
                                  <w:sz w:val="15"/>
                                </w:rPr>
                                <w:t>5</w:t>
                              </w:r>
                              <w:r>
                                <w:rPr>
                                  <w:color w:val="231F20"/>
                                  <w:spacing w:val="-9"/>
                                  <w:sz w:val="15"/>
                                </w:rPr>
                                <w:t> </w:t>
                              </w:r>
                              <w:r>
                                <w:rPr>
                                  <w:color w:val="231F20"/>
                                  <w:spacing w:val="-2"/>
                                  <w:sz w:val="15"/>
                                </w:rPr>
                                <w:t>min) </w:t>
                              </w:r>
                              <w:r>
                                <w:rPr>
                                  <w:color w:val="231F20"/>
                                  <w:sz w:val="15"/>
                                </w:rPr>
                                <w:t>Unusual headaches in children</w:t>
                              </w:r>
                            </w:p>
                            <w:p>
                              <w:pPr>
                                <w:numPr>
                                  <w:ilvl w:val="0"/>
                                  <w:numId w:val="70"/>
                                </w:numPr>
                                <w:tabs>
                                  <w:tab w:pos="223" w:val="left" w:leader="none"/>
                                </w:tabs>
                                <w:spacing w:line="167" w:lineRule="exact" w:before="0"/>
                                <w:ind w:left="223" w:right="0" w:hanging="149"/>
                                <w:jc w:val="left"/>
                                <w:rPr>
                                  <w:color w:val="000000"/>
                                  <w:sz w:val="15"/>
                                </w:rPr>
                              </w:pPr>
                              <w:r>
                                <w:rPr>
                                  <w:color w:val="231F20"/>
                                  <w:spacing w:val="-2"/>
                                  <w:sz w:val="15"/>
                                </w:rPr>
                                <w:t>Atypical auras</w:t>
                              </w:r>
                              <w:r>
                                <w:rPr>
                                  <w:color w:val="231F20"/>
                                  <w:spacing w:val="-1"/>
                                  <w:sz w:val="15"/>
                                </w:rPr>
                                <w:t> </w:t>
                              </w:r>
                              <w:r>
                                <w:rPr>
                                  <w:color w:val="231F20"/>
                                  <w:spacing w:val="-2"/>
                                  <w:sz w:val="15"/>
                                </w:rPr>
                                <w:t>including</w:t>
                              </w:r>
                              <w:r>
                                <w:rPr>
                                  <w:color w:val="231F20"/>
                                  <w:spacing w:val="-1"/>
                                  <w:sz w:val="15"/>
                                </w:rPr>
                                <w:t> </w:t>
                              </w:r>
                              <w:r>
                                <w:rPr>
                                  <w:color w:val="231F20"/>
                                  <w:spacing w:val="-2"/>
                                  <w:sz w:val="15"/>
                                </w:rPr>
                                <w:t>basilar-type,</w:t>
                              </w:r>
                              <w:r>
                                <w:rPr>
                                  <w:color w:val="231F20"/>
                                  <w:spacing w:val="-1"/>
                                  <w:sz w:val="15"/>
                                </w:rPr>
                                <w:t> </w:t>
                              </w:r>
                              <w:r>
                                <w:rPr>
                                  <w:color w:val="231F20"/>
                                  <w:spacing w:val="-2"/>
                                  <w:sz w:val="15"/>
                                </w:rPr>
                                <w:t>hemiplegic</w:t>
                              </w:r>
                            </w:p>
                            <w:p>
                              <w:pPr>
                                <w:numPr>
                                  <w:ilvl w:val="0"/>
                                  <w:numId w:val="70"/>
                                </w:numPr>
                                <w:tabs>
                                  <w:tab w:pos="223" w:val="left" w:leader="none"/>
                                </w:tabs>
                                <w:spacing w:line="230" w:lineRule="auto" w:before="3"/>
                                <w:ind w:left="223" w:right="146" w:hanging="150"/>
                                <w:jc w:val="left"/>
                                <w:rPr>
                                  <w:color w:val="000000"/>
                                  <w:sz w:val="15"/>
                                </w:rPr>
                              </w:pPr>
                              <w:r>
                                <w:rPr>
                                  <w:color w:val="231F20"/>
                                  <w:sz w:val="15"/>
                                </w:rPr>
                                <w:t>Trigeminal</w:t>
                              </w:r>
                              <w:r>
                                <w:rPr>
                                  <w:color w:val="231F20"/>
                                  <w:spacing w:val="-11"/>
                                  <w:sz w:val="15"/>
                                </w:rPr>
                                <w:t> </w:t>
                              </w:r>
                              <w:r>
                                <w:rPr>
                                  <w:color w:val="231F20"/>
                                  <w:sz w:val="15"/>
                                </w:rPr>
                                <w:t>autonomic</w:t>
                              </w:r>
                              <w:r>
                                <w:rPr>
                                  <w:color w:val="231F20"/>
                                  <w:spacing w:val="-11"/>
                                  <w:sz w:val="15"/>
                                </w:rPr>
                                <w:t> </w:t>
                              </w:r>
                              <w:r>
                                <w:rPr>
                                  <w:color w:val="231F20"/>
                                  <w:sz w:val="15"/>
                                </w:rPr>
                                <w:t>cephalalgia</w:t>
                              </w:r>
                              <w:r>
                                <w:rPr>
                                  <w:color w:val="231F20"/>
                                  <w:spacing w:val="-11"/>
                                  <w:sz w:val="15"/>
                                </w:rPr>
                                <w:t> </w:t>
                              </w:r>
                              <w:r>
                                <w:rPr>
                                  <w:color w:val="231F20"/>
                                  <w:sz w:val="15"/>
                                </w:rPr>
                                <w:t>including</w:t>
                              </w:r>
                              <w:r>
                                <w:rPr>
                                  <w:color w:val="231F20"/>
                                  <w:spacing w:val="-11"/>
                                  <w:sz w:val="15"/>
                                </w:rPr>
                                <w:t> </w:t>
                              </w:r>
                              <w:r>
                                <w:rPr>
                                  <w:color w:val="231F20"/>
                                  <w:sz w:val="15"/>
                                </w:rPr>
                                <w:t>cluster</w:t>
                              </w:r>
                              <w:r>
                                <w:rPr>
                                  <w:color w:val="231F20"/>
                                  <w:spacing w:val="-11"/>
                                  <w:sz w:val="15"/>
                                </w:rPr>
                                <w:t> </w:t>
                              </w:r>
                              <w:r>
                                <w:rPr>
                                  <w:color w:val="231F20"/>
                                  <w:sz w:val="15"/>
                                </w:rPr>
                                <w:t>headaches</w:t>
                              </w:r>
                              <w:r>
                                <w:rPr>
                                  <w:color w:val="231F20"/>
                                  <w:spacing w:val="-11"/>
                                  <w:sz w:val="15"/>
                                </w:rPr>
                                <w:t> </w:t>
                              </w:r>
                              <w:r>
                                <w:rPr>
                                  <w:color w:val="231F20"/>
                                  <w:sz w:val="15"/>
                                </w:rPr>
                                <w:t>in child or adolescent</w:t>
                              </w:r>
                            </w:p>
                            <w:p>
                              <w:pPr>
                                <w:numPr>
                                  <w:ilvl w:val="0"/>
                                  <w:numId w:val="70"/>
                                </w:numPr>
                                <w:tabs>
                                  <w:tab w:pos="223" w:val="left" w:leader="none"/>
                                </w:tabs>
                                <w:spacing w:line="230" w:lineRule="auto" w:before="1"/>
                                <w:ind w:left="223" w:right="643" w:hanging="150"/>
                                <w:jc w:val="left"/>
                                <w:rPr>
                                  <w:color w:val="000000"/>
                                  <w:sz w:val="15"/>
                                </w:rPr>
                              </w:pPr>
                              <w:r>
                                <w:rPr>
                                  <w:color w:val="231F20"/>
                                  <w:sz w:val="15"/>
                                </w:rPr>
                                <w:t>An</w:t>
                              </w:r>
                              <w:r>
                                <w:rPr>
                                  <w:color w:val="231F20"/>
                                  <w:spacing w:val="-12"/>
                                  <w:sz w:val="15"/>
                                </w:rPr>
                                <w:t> </w:t>
                              </w:r>
                              <w:r>
                                <w:rPr>
                                  <w:color w:val="231F20"/>
                                  <w:sz w:val="15"/>
                                </w:rPr>
                                <w:t>acute</w:t>
                              </w:r>
                              <w:r>
                                <w:rPr>
                                  <w:color w:val="231F20"/>
                                  <w:spacing w:val="-11"/>
                                  <w:sz w:val="15"/>
                                </w:rPr>
                                <w:t> </w:t>
                              </w:r>
                              <w:r>
                                <w:rPr>
                                  <w:color w:val="231F20"/>
                                  <w:sz w:val="15"/>
                                </w:rPr>
                                <w:t>secondary</w:t>
                              </w:r>
                              <w:r>
                                <w:rPr>
                                  <w:color w:val="231F20"/>
                                  <w:spacing w:val="-11"/>
                                  <w:sz w:val="15"/>
                                </w:rPr>
                                <w:t> </w:t>
                              </w:r>
                              <w:r>
                                <w:rPr>
                                  <w:color w:val="231F20"/>
                                  <w:sz w:val="15"/>
                                </w:rPr>
                                <w:t>headache</w:t>
                              </w:r>
                              <w:r>
                                <w:rPr>
                                  <w:color w:val="231F20"/>
                                  <w:spacing w:val="-12"/>
                                  <w:sz w:val="15"/>
                                </w:rPr>
                                <w:t> </w:t>
                              </w:r>
                              <w:r>
                                <w:rPr>
                                  <w:color w:val="231F20"/>
                                  <w:sz w:val="15"/>
                                </w:rPr>
                                <w:t>(i.e.,</w:t>
                              </w:r>
                              <w:r>
                                <w:rPr>
                                  <w:color w:val="231F20"/>
                                  <w:spacing w:val="-11"/>
                                  <w:sz w:val="15"/>
                                </w:rPr>
                                <w:t> </w:t>
                              </w:r>
                              <w:r>
                                <w:rPr>
                                  <w:color w:val="231F20"/>
                                  <w:sz w:val="15"/>
                                </w:rPr>
                                <w:t>headache</w:t>
                              </w:r>
                              <w:r>
                                <w:rPr>
                                  <w:color w:val="231F20"/>
                                  <w:spacing w:val="-11"/>
                                  <w:sz w:val="15"/>
                                </w:rPr>
                                <w:t> </w:t>
                              </w:r>
                              <w:r>
                                <w:rPr>
                                  <w:color w:val="231F20"/>
                                  <w:sz w:val="15"/>
                                </w:rPr>
                                <w:t>with</w:t>
                              </w:r>
                              <w:r>
                                <w:rPr>
                                  <w:color w:val="231F20"/>
                                  <w:spacing w:val="-12"/>
                                  <w:sz w:val="15"/>
                                </w:rPr>
                                <w:t> </w:t>
                              </w:r>
                              <w:r>
                                <w:rPr>
                                  <w:color w:val="231F20"/>
                                  <w:sz w:val="15"/>
                                </w:rPr>
                                <w:t>known underlying illness or insult)</w:t>
                              </w:r>
                            </w:p>
                            <w:p>
                              <w:pPr>
                                <w:spacing w:line="230" w:lineRule="auto" w:before="2"/>
                                <w:ind w:left="186" w:right="0" w:hanging="112"/>
                                <w:jc w:val="left"/>
                                <w:rPr>
                                  <w:color w:val="000000"/>
                                  <w:sz w:val="15"/>
                                </w:rPr>
                              </w:pPr>
                              <w:r>
                                <w:rPr>
                                  <w:color w:val="231F20"/>
                                  <w:sz w:val="15"/>
                                </w:rPr>
                                <w:t>Headache</w:t>
                              </w:r>
                              <w:r>
                                <w:rPr>
                                  <w:color w:val="231F20"/>
                                  <w:spacing w:val="-4"/>
                                  <w:sz w:val="15"/>
                                </w:rPr>
                                <w:t> </w:t>
                              </w:r>
                              <w:r>
                                <w:rPr>
                                  <w:color w:val="231F20"/>
                                  <w:sz w:val="15"/>
                                </w:rPr>
                                <w:t>in</w:t>
                              </w:r>
                              <w:r>
                                <w:rPr>
                                  <w:color w:val="231F20"/>
                                  <w:spacing w:val="-4"/>
                                  <w:sz w:val="15"/>
                                </w:rPr>
                                <w:t> </w:t>
                              </w:r>
                              <w:r>
                                <w:rPr>
                                  <w:color w:val="231F20"/>
                                  <w:sz w:val="15"/>
                                </w:rPr>
                                <w:t>children</w:t>
                              </w:r>
                              <w:r>
                                <w:rPr>
                                  <w:color w:val="231F20"/>
                                  <w:spacing w:val="-4"/>
                                  <w:sz w:val="15"/>
                                </w:rPr>
                                <w:t> </w:t>
                              </w:r>
                              <w:r>
                                <w:rPr>
                                  <w:color w:val="231F20"/>
                                  <w:sz w:val="15"/>
                                </w:rPr>
                                <w:t>younger</w:t>
                              </w:r>
                              <w:r>
                                <w:rPr>
                                  <w:color w:val="231F20"/>
                                  <w:spacing w:val="-4"/>
                                  <w:sz w:val="15"/>
                                </w:rPr>
                                <w:t> </w:t>
                              </w:r>
                              <w:r>
                                <w:rPr>
                                  <w:color w:val="231F20"/>
                                  <w:sz w:val="15"/>
                                </w:rPr>
                                <w:t>than</w:t>
                              </w:r>
                              <w:r>
                                <w:rPr>
                                  <w:color w:val="231F20"/>
                                  <w:spacing w:val="-4"/>
                                  <w:sz w:val="15"/>
                                </w:rPr>
                                <w:t> </w:t>
                              </w:r>
                              <w:r>
                                <w:rPr>
                                  <w:color w:val="231F20"/>
                                  <w:sz w:val="15"/>
                                </w:rPr>
                                <w:t>6</w:t>
                              </w:r>
                              <w:r>
                                <w:rPr>
                                  <w:color w:val="231F20"/>
                                  <w:spacing w:val="-4"/>
                                  <w:sz w:val="15"/>
                                </w:rPr>
                                <w:t> </w:t>
                              </w:r>
                              <w:r>
                                <w:rPr>
                                  <w:color w:val="231F20"/>
                                  <w:sz w:val="15"/>
                                </w:rPr>
                                <w:t>yr</w:t>
                              </w:r>
                              <w:r>
                                <w:rPr>
                                  <w:color w:val="231F20"/>
                                  <w:spacing w:val="-4"/>
                                  <w:sz w:val="15"/>
                                </w:rPr>
                                <w:t> </w:t>
                              </w:r>
                              <w:r>
                                <w:rPr>
                                  <w:color w:val="231F20"/>
                                  <w:sz w:val="15"/>
                                </w:rPr>
                                <w:t>old</w:t>
                              </w:r>
                              <w:r>
                                <w:rPr>
                                  <w:color w:val="231F20"/>
                                  <w:spacing w:val="-4"/>
                                  <w:sz w:val="15"/>
                                </w:rPr>
                                <w:t> </w:t>
                              </w:r>
                              <w:r>
                                <w:rPr>
                                  <w:color w:val="231F20"/>
                                  <w:sz w:val="15"/>
                                </w:rPr>
                                <w:t>or</w:t>
                              </w:r>
                              <w:r>
                                <w:rPr>
                                  <w:color w:val="231F20"/>
                                  <w:spacing w:val="-4"/>
                                  <w:sz w:val="15"/>
                                </w:rPr>
                                <w:t> </w:t>
                              </w:r>
                              <w:r>
                                <w:rPr>
                                  <w:color w:val="231F20"/>
                                  <w:sz w:val="15"/>
                                </w:rPr>
                                <w:t>any</w:t>
                              </w:r>
                              <w:r>
                                <w:rPr>
                                  <w:color w:val="231F20"/>
                                  <w:spacing w:val="-4"/>
                                  <w:sz w:val="15"/>
                                </w:rPr>
                                <w:t> </w:t>
                              </w:r>
                              <w:r>
                                <w:rPr>
                                  <w:color w:val="231F20"/>
                                  <w:sz w:val="15"/>
                                </w:rPr>
                                <w:t>child</w:t>
                              </w:r>
                              <w:r>
                                <w:rPr>
                                  <w:color w:val="231F20"/>
                                  <w:spacing w:val="-4"/>
                                  <w:sz w:val="15"/>
                                </w:rPr>
                                <w:t> </w:t>
                              </w:r>
                              <w:r>
                                <w:rPr>
                                  <w:color w:val="231F20"/>
                                  <w:sz w:val="15"/>
                                </w:rPr>
                                <w:t>who</w:t>
                              </w:r>
                              <w:r>
                                <w:rPr>
                                  <w:color w:val="231F20"/>
                                  <w:spacing w:val="-4"/>
                                  <w:sz w:val="15"/>
                                </w:rPr>
                                <w:t> </w:t>
                              </w:r>
                              <w:r>
                                <w:rPr>
                                  <w:color w:val="231F20"/>
                                  <w:sz w:val="15"/>
                                </w:rPr>
                                <w:t>cannot adequately describe his or her headache</w:t>
                              </w:r>
                            </w:p>
                            <w:p>
                              <w:pPr>
                                <w:spacing w:line="167" w:lineRule="exact" w:before="0"/>
                                <w:ind w:left="74" w:right="0" w:firstLine="0"/>
                                <w:jc w:val="left"/>
                                <w:rPr>
                                  <w:color w:val="000000"/>
                                  <w:sz w:val="15"/>
                                </w:rPr>
                              </w:pPr>
                              <w:r>
                                <w:rPr>
                                  <w:color w:val="231F20"/>
                                  <w:sz w:val="15"/>
                                </w:rPr>
                                <w:t>Brief</w:t>
                              </w:r>
                              <w:r>
                                <w:rPr>
                                  <w:color w:val="231F20"/>
                                  <w:spacing w:val="-1"/>
                                  <w:sz w:val="15"/>
                                </w:rPr>
                                <w:t> </w:t>
                              </w:r>
                              <w:r>
                                <w:rPr>
                                  <w:color w:val="231F20"/>
                                  <w:sz w:val="15"/>
                                </w:rPr>
                                <w:t>cough headache in a child</w:t>
                              </w:r>
                              <w:r>
                                <w:rPr>
                                  <w:color w:val="231F20"/>
                                  <w:spacing w:val="-1"/>
                                  <w:sz w:val="15"/>
                                </w:rPr>
                                <w:t> </w:t>
                              </w:r>
                              <w:r>
                                <w:rPr>
                                  <w:color w:val="231F20"/>
                                  <w:sz w:val="15"/>
                                </w:rPr>
                                <w:t>or </w:t>
                              </w:r>
                              <w:r>
                                <w:rPr>
                                  <w:color w:val="231F20"/>
                                  <w:spacing w:val="-2"/>
                                  <w:sz w:val="15"/>
                                </w:rPr>
                                <w:t>adolescent</w:t>
                              </w:r>
                            </w:p>
                            <w:p>
                              <w:pPr>
                                <w:spacing w:line="230" w:lineRule="auto" w:before="2"/>
                                <w:ind w:left="186" w:right="0" w:hanging="112"/>
                                <w:jc w:val="left"/>
                                <w:rPr>
                                  <w:color w:val="000000"/>
                                  <w:sz w:val="15"/>
                                </w:rPr>
                              </w:pPr>
                              <w:r>
                                <w:rPr>
                                  <w:color w:val="231F20"/>
                                  <w:sz w:val="15"/>
                                </w:rPr>
                                <w:t>Headache</w:t>
                              </w:r>
                              <w:r>
                                <w:rPr>
                                  <w:color w:val="231F20"/>
                                  <w:spacing w:val="-11"/>
                                  <w:sz w:val="15"/>
                                </w:rPr>
                                <w:t> </w:t>
                              </w:r>
                              <w:r>
                                <w:rPr>
                                  <w:color w:val="231F20"/>
                                  <w:sz w:val="15"/>
                                </w:rPr>
                                <w:t>worst</w:t>
                              </w:r>
                              <w:r>
                                <w:rPr>
                                  <w:color w:val="231F20"/>
                                  <w:spacing w:val="-11"/>
                                  <w:sz w:val="15"/>
                                </w:rPr>
                                <w:t> </w:t>
                              </w:r>
                              <w:r>
                                <w:rPr>
                                  <w:color w:val="231F20"/>
                                  <w:sz w:val="15"/>
                                </w:rPr>
                                <w:t>on</w:t>
                              </w:r>
                              <w:r>
                                <w:rPr>
                                  <w:color w:val="231F20"/>
                                  <w:spacing w:val="-11"/>
                                  <w:sz w:val="15"/>
                                </w:rPr>
                                <w:t> </w:t>
                              </w:r>
                              <w:r>
                                <w:rPr>
                                  <w:color w:val="231F20"/>
                                  <w:sz w:val="15"/>
                                </w:rPr>
                                <w:t>first</w:t>
                              </w:r>
                              <w:r>
                                <w:rPr>
                                  <w:color w:val="231F20"/>
                                  <w:spacing w:val="-11"/>
                                  <w:sz w:val="15"/>
                                </w:rPr>
                                <w:t> </w:t>
                              </w:r>
                              <w:r>
                                <w:rPr>
                                  <w:color w:val="231F20"/>
                                  <w:sz w:val="15"/>
                                </w:rPr>
                                <w:t>awakening</w:t>
                              </w:r>
                              <w:r>
                                <w:rPr>
                                  <w:color w:val="231F20"/>
                                  <w:spacing w:val="-11"/>
                                  <w:sz w:val="15"/>
                                </w:rPr>
                                <w:t> </w:t>
                              </w:r>
                              <w:r>
                                <w:rPr>
                                  <w:color w:val="231F20"/>
                                  <w:sz w:val="15"/>
                                </w:rPr>
                                <w:t>or</w:t>
                              </w:r>
                              <w:r>
                                <w:rPr>
                                  <w:color w:val="231F20"/>
                                  <w:spacing w:val="-11"/>
                                  <w:sz w:val="15"/>
                                </w:rPr>
                                <w:t> </w:t>
                              </w:r>
                              <w:r>
                                <w:rPr>
                                  <w:color w:val="231F20"/>
                                  <w:sz w:val="15"/>
                                </w:rPr>
                                <w:t>that</w:t>
                              </w:r>
                              <w:r>
                                <w:rPr>
                                  <w:color w:val="231F20"/>
                                  <w:spacing w:val="-11"/>
                                  <w:sz w:val="15"/>
                                </w:rPr>
                                <w:t> </w:t>
                              </w:r>
                              <w:r>
                                <w:rPr>
                                  <w:color w:val="231F20"/>
                                  <w:sz w:val="15"/>
                                </w:rPr>
                                <w:t>awakens</w:t>
                              </w:r>
                              <w:r>
                                <w:rPr>
                                  <w:color w:val="231F20"/>
                                  <w:spacing w:val="-11"/>
                                  <w:sz w:val="15"/>
                                </w:rPr>
                                <w:t> </w:t>
                              </w:r>
                              <w:r>
                                <w:rPr>
                                  <w:color w:val="231F20"/>
                                  <w:sz w:val="15"/>
                                </w:rPr>
                                <w:t>the</w:t>
                              </w:r>
                              <w:r>
                                <w:rPr>
                                  <w:color w:val="231F20"/>
                                  <w:spacing w:val="-11"/>
                                  <w:sz w:val="15"/>
                                </w:rPr>
                                <w:t> </w:t>
                              </w:r>
                              <w:r>
                                <w:rPr>
                                  <w:color w:val="231F20"/>
                                  <w:sz w:val="15"/>
                                </w:rPr>
                                <w:t>child</w:t>
                              </w:r>
                              <w:r>
                                <w:rPr>
                                  <w:color w:val="231F20"/>
                                  <w:spacing w:val="-11"/>
                                  <w:sz w:val="15"/>
                                </w:rPr>
                                <w:t> </w:t>
                              </w:r>
                              <w:r>
                                <w:rPr>
                                  <w:color w:val="231F20"/>
                                  <w:sz w:val="15"/>
                                </w:rPr>
                                <w:t>from </w:t>
                              </w:r>
                              <w:r>
                                <w:rPr>
                                  <w:color w:val="231F20"/>
                                  <w:spacing w:val="-2"/>
                                  <w:sz w:val="15"/>
                                </w:rPr>
                                <w:t>sleep</w:t>
                              </w:r>
                            </w:p>
                            <w:p>
                              <w:pPr>
                                <w:spacing w:line="230" w:lineRule="auto" w:before="2"/>
                                <w:ind w:left="186" w:right="108" w:hanging="112"/>
                                <w:jc w:val="left"/>
                                <w:rPr>
                                  <w:color w:val="000000"/>
                                  <w:sz w:val="15"/>
                                </w:rPr>
                              </w:pPr>
                              <w:r>
                                <w:rPr>
                                  <w:color w:val="231F20"/>
                                  <w:sz w:val="15"/>
                                </w:rPr>
                                <w:t>Migrainous</w:t>
                              </w:r>
                              <w:r>
                                <w:rPr>
                                  <w:color w:val="231F20"/>
                                  <w:spacing w:val="-8"/>
                                  <w:sz w:val="15"/>
                                </w:rPr>
                                <w:t> </w:t>
                              </w:r>
                              <w:r>
                                <w:rPr>
                                  <w:color w:val="231F20"/>
                                  <w:sz w:val="15"/>
                                </w:rPr>
                                <w:t>headache</w:t>
                              </w:r>
                              <w:r>
                                <w:rPr>
                                  <w:color w:val="231F20"/>
                                  <w:spacing w:val="-8"/>
                                  <w:sz w:val="15"/>
                                </w:rPr>
                                <w:t> </w:t>
                              </w:r>
                              <w:r>
                                <w:rPr>
                                  <w:color w:val="231F20"/>
                                  <w:sz w:val="15"/>
                                </w:rPr>
                                <w:t>in</w:t>
                              </w:r>
                              <w:r>
                                <w:rPr>
                                  <w:color w:val="231F20"/>
                                  <w:spacing w:val="-8"/>
                                  <w:sz w:val="15"/>
                                </w:rPr>
                                <w:t> </w:t>
                              </w:r>
                              <w:r>
                                <w:rPr>
                                  <w:color w:val="231F20"/>
                                  <w:sz w:val="15"/>
                                </w:rPr>
                                <w:t>the</w:t>
                              </w:r>
                              <w:r>
                                <w:rPr>
                                  <w:color w:val="231F20"/>
                                  <w:spacing w:val="-8"/>
                                  <w:sz w:val="15"/>
                                </w:rPr>
                                <w:t> </w:t>
                              </w:r>
                              <w:r>
                                <w:rPr>
                                  <w:color w:val="231F20"/>
                                  <w:sz w:val="15"/>
                                </w:rPr>
                                <w:t>child</w:t>
                              </w:r>
                              <w:r>
                                <w:rPr>
                                  <w:color w:val="231F20"/>
                                  <w:spacing w:val="-8"/>
                                  <w:sz w:val="15"/>
                                </w:rPr>
                                <w:t> </w:t>
                              </w:r>
                              <w:r>
                                <w:rPr>
                                  <w:color w:val="231F20"/>
                                  <w:sz w:val="15"/>
                                </w:rPr>
                                <w:t>with</w:t>
                              </w:r>
                              <w:r>
                                <w:rPr>
                                  <w:color w:val="231F20"/>
                                  <w:spacing w:val="-8"/>
                                  <w:sz w:val="15"/>
                                </w:rPr>
                                <w:t> </w:t>
                              </w:r>
                              <w:r>
                                <w:rPr>
                                  <w:color w:val="231F20"/>
                                  <w:sz w:val="15"/>
                                </w:rPr>
                                <w:t>no</w:t>
                              </w:r>
                              <w:r>
                                <w:rPr>
                                  <w:color w:val="231F20"/>
                                  <w:spacing w:val="-8"/>
                                  <w:sz w:val="15"/>
                                </w:rPr>
                                <w:t> </w:t>
                              </w:r>
                              <w:r>
                                <w:rPr>
                                  <w:color w:val="231F20"/>
                                  <w:sz w:val="15"/>
                                </w:rPr>
                                <w:t>family</w:t>
                              </w:r>
                              <w:r>
                                <w:rPr>
                                  <w:color w:val="231F20"/>
                                  <w:spacing w:val="-8"/>
                                  <w:sz w:val="15"/>
                                </w:rPr>
                                <w:t> </w:t>
                              </w:r>
                              <w:r>
                                <w:rPr>
                                  <w:color w:val="231F20"/>
                                  <w:sz w:val="15"/>
                                </w:rPr>
                                <w:t>history</w:t>
                              </w:r>
                              <w:r>
                                <w:rPr>
                                  <w:color w:val="231F20"/>
                                  <w:spacing w:val="-8"/>
                                  <w:sz w:val="15"/>
                                </w:rPr>
                                <w:t> </w:t>
                              </w:r>
                              <w:r>
                                <w:rPr>
                                  <w:color w:val="231F20"/>
                                  <w:sz w:val="15"/>
                                </w:rPr>
                                <w:t>of</w:t>
                              </w:r>
                              <w:r>
                                <w:rPr>
                                  <w:color w:val="231F20"/>
                                  <w:spacing w:val="-8"/>
                                  <w:sz w:val="15"/>
                                </w:rPr>
                                <w:t> </w:t>
                              </w:r>
                              <w:r>
                                <w:rPr>
                                  <w:color w:val="231F20"/>
                                  <w:sz w:val="15"/>
                                </w:rPr>
                                <w:t>migraine or its equivalent</w:t>
                              </w:r>
                            </w:p>
                          </w:txbxContent>
                        </wps:txbx>
                        <wps:bodyPr wrap="square" lIns="0" tIns="0" rIns="0" bIns="0" rtlCol="0">
                          <a:noAutofit/>
                        </wps:bodyPr>
                      </wps:wsp>
                      <wps:wsp>
                        <wps:cNvPr id="700" name="Graphic 700"/>
                        <wps:cNvSpPr/>
                        <wps:spPr>
                          <a:xfrm>
                            <a:off x="0" y="2755875"/>
                            <a:ext cx="2986405" cy="12065"/>
                          </a:xfrm>
                          <a:custGeom>
                            <a:avLst/>
                            <a:gdLst/>
                            <a:ahLst/>
                            <a:cxnLst/>
                            <a:rect l="l" t="t" r="r" b="b"/>
                            <a:pathLst>
                              <a:path w="2986405" h="12065">
                                <a:moveTo>
                                  <a:pt x="0" y="11849"/>
                                </a:moveTo>
                                <a:lnTo>
                                  <a:pt x="2985994" y="11849"/>
                                </a:lnTo>
                                <a:lnTo>
                                  <a:pt x="2985994"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701" name="Textbox 701"/>
                        <wps:cNvSpPr txBox="1"/>
                        <wps:spPr>
                          <a:xfrm>
                            <a:off x="734655" y="0"/>
                            <a:ext cx="2251710" cy="344170"/>
                          </a:xfrm>
                          <a:prstGeom prst="rect">
                            <a:avLst/>
                          </a:prstGeom>
                          <a:solidFill>
                            <a:srgbClr val="231F20"/>
                          </a:solidFill>
                        </wps:spPr>
                        <wps:txbx>
                          <w:txbxContent>
                            <w:p>
                              <w:pPr>
                                <w:spacing w:before="89"/>
                                <w:ind w:left="74" w:right="289" w:firstLine="0"/>
                                <w:jc w:val="left"/>
                                <w:rPr>
                                  <w:color w:val="000000"/>
                                  <w:sz w:val="16"/>
                                </w:rPr>
                              </w:pPr>
                              <w:r>
                                <w:rPr>
                                  <w:color w:val="FFFFFF"/>
                                  <w:w w:val="105"/>
                                  <w:sz w:val="16"/>
                                </w:rPr>
                                <w:t>Indications for Neuroimaging in a </w:t>
                              </w:r>
                              <w:r>
                                <w:rPr>
                                  <w:color w:val="FFFFFF"/>
                                  <w:w w:val="105"/>
                                  <w:sz w:val="16"/>
                                </w:rPr>
                                <w:t>Child with Headaches</w:t>
                              </w:r>
                            </w:p>
                          </w:txbxContent>
                        </wps:txbx>
                        <wps:bodyPr wrap="square" lIns="0" tIns="0" rIns="0" bIns="0" rtlCol="0">
                          <a:noAutofit/>
                        </wps:bodyPr>
                      </wps:wsp>
                      <wps:wsp>
                        <wps:cNvPr id="702" name="Textbox 702"/>
                        <wps:cNvSpPr txBox="1"/>
                        <wps:spPr>
                          <a:xfrm>
                            <a:off x="0" y="0"/>
                            <a:ext cx="723265" cy="34417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7</w:t>
                              </w:r>
                            </w:p>
                          </w:txbxContent>
                        </wps:txbx>
                        <wps:bodyPr wrap="square" lIns="0" tIns="0" rIns="0" bIns="0" rtlCol="0">
                          <a:noAutofit/>
                        </wps:bodyPr>
                      </wps:wsp>
                    </wpg:wgp>
                  </a:graphicData>
                </a:graphic>
              </wp:anchor>
            </w:drawing>
          </mc:Choice>
          <mc:Fallback>
            <w:pict>
              <v:group style="position:absolute;margin-left:314.294098pt;margin-top:174.078003pt;width:235.15pt;height:217.95pt;mso-position-horizontal-relative:page;mso-position-vertical-relative:page;z-index:15767040" id="docshapegroup593" coordorigin="6286,3482" coordsize="4703,4359">
                <v:shape style="position:absolute;left:6285;top:4041;width:4703;height:3790" type="#_x0000_t202" id="docshape594" filled="true" fillcolor="#e8f5f1" stroked="false">
                  <v:textbox inset="0,0,0,0">
                    <w:txbxContent>
                      <w:p>
                        <w:pPr>
                          <w:spacing w:line="171" w:lineRule="exact" w:before="47"/>
                          <w:ind w:left="74" w:right="0" w:firstLine="0"/>
                          <w:jc w:val="left"/>
                          <w:rPr>
                            <w:color w:val="000000"/>
                            <w:sz w:val="15"/>
                          </w:rPr>
                        </w:pPr>
                        <w:r>
                          <w:rPr>
                            <w:color w:val="231F20"/>
                            <w:sz w:val="15"/>
                          </w:rPr>
                          <w:t>Abnormal</w:t>
                        </w:r>
                        <w:r>
                          <w:rPr>
                            <w:color w:val="231F20"/>
                            <w:spacing w:val="10"/>
                            <w:sz w:val="15"/>
                          </w:rPr>
                          <w:t> </w:t>
                        </w:r>
                        <w:r>
                          <w:rPr>
                            <w:color w:val="231F20"/>
                            <w:sz w:val="15"/>
                          </w:rPr>
                          <w:t>neurologic</w:t>
                        </w:r>
                        <w:r>
                          <w:rPr>
                            <w:color w:val="231F20"/>
                            <w:spacing w:val="11"/>
                            <w:sz w:val="15"/>
                          </w:rPr>
                          <w:t> </w:t>
                        </w:r>
                        <w:r>
                          <w:rPr>
                            <w:color w:val="231F20"/>
                            <w:spacing w:val="-2"/>
                            <w:sz w:val="15"/>
                          </w:rPr>
                          <w:t>examination</w:t>
                        </w:r>
                      </w:p>
                      <w:p>
                        <w:pPr>
                          <w:spacing w:line="168" w:lineRule="exact" w:before="0"/>
                          <w:ind w:left="74" w:right="0" w:firstLine="0"/>
                          <w:jc w:val="left"/>
                          <w:rPr>
                            <w:color w:val="000000"/>
                            <w:sz w:val="15"/>
                          </w:rPr>
                        </w:pPr>
                        <w:r>
                          <w:rPr>
                            <w:color w:val="231F20"/>
                            <w:sz w:val="15"/>
                          </w:rPr>
                          <w:t>Abnormal</w:t>
                        </w:r>
                        <w:r>
                          <w:rPr>
                            <w:color w:val="231F20"/>
                            <w:spacing w:val="3"/>
                            <w:sz w:val="15"/>
                          </w:rPr>
                          <w:t> </w:t>
                        </w:r>
                        <w:r>
                          <w:rPr>
                            <w:color w:val="231F20"/>
                            <w:sz w:val="15"/>
                          </w:rPr>
                          <w:t>or</w:t>
                        </w:r>
                        <w:r>
                          <w:rPr>
                            <w:color w:val="231F20"/>
                            <w:spacing w:val="3"/>
                            <w:sz w:val="15"/>
                          </w:rPr>
                          <w:t> </w:t>
                        </w:r>
                        <w:r>
                          <w:rPr>
                            <w:color w:val="231F20"/>
                            <w:sz w:val="15"/>
                          </w:rPr>
                          <w:t>focal</w:t>
                        </w:r>
                        <w:r>
                          <w:rPr>
                            <w:color w:val="231F20"/>
                            <w:spacing w:val="3"/>
                            <w:sz w:val="15"/>
                          </w:rPr>
                          <w:t> </w:t>
                        </w:r>
                        <w:r>
                          <w:rPr>
                            <w:color w:val="231F20"/>
                            <w:sz w:val="15"/>
                          </w:rPr>
                          <w:t>neurologic</w:t>
                        </w:r>
                        <w:r>
                          <w:rPr>
                            <w:color w:val="231F20"/>
                            <w:spacing w:val="3"/>
                            <w:sz w:val="15"/>
                          </w:rPr>
                          <w:t> </w:t>
                        </w:r>
                        <w:r>
                          <w:rPr>
                            <w:color w:val="231F20"/>
                            <w:sz w:val="15"/>
                          </w:rPr>
                          <w:t>signs</w:t>
                        </w:r>
                        <w:r>
                          <w:rPr>
                            <w:color w:val="231F20"/>
                            <w:spacing w:val="4"/>
                            <w:sz w:val="15"/>
                          </w:rPr>
                          <w:t> </w:t>
                        </w:r>
                        <w:r>
                          <w:rPr>
                            <w:color w:val="231F20"/>
                            <w:sz w:val="15"/>
                          </w:rPr>
                          <w:t>or</w:t>
                        </w:r>
                        <w:r>
                          <w:rPr>
                            <w:color w:val="231F20"/>
                            <w:spacing w:val="3"/>
                            <w:sz w:val="15"/>
                          </w:rPr>
                          <w:t> </w:t>
                        </w:r>
                        <w:r>
                          <w:rPr>
                            <w:color w:val="231F20"/>
                            <w:spacing w:val="-2"/>
                            <w:sz w:val="15"/>
                          </w:rPr>
                          <w:t>symptoms</w:t>
                        </w:r>
                      </w:p>
                      <w:p>
                        <w:pPr>
                          <w:numPr>
                            <w:ilvl w:val="0"/>
                            <w:numId w:val="70"/>
                          </w:numPr>
                          <w:tabs>
                            <w:tab w:pos="223" w:val="left" w:leader="none"/>
                          </w:tabs>
                          <w:spacing w:line="230" w:lineRule="auto" w:before="2"/>
                          <w:ind w:left="223" w:right="663" w:hanging="150"/>
                          <w:jc w:val="left"/>
                          <w:rPr>
                            <w:color w:val="000000"/>
                            <w:sz w:val="15"/>
                          </w:rPr>
                        </w:pPr>
                        <w:r>
                          <w:rPr>
                            <w:color w:val="231F20"/>
                            <w:sz w:val="15"/>
                          </w:rPr>
                          <w:t>Focal neurologic symptoms or signs developing during </w:t>
                        </w:r>
                        <w:r>
                          <w:rPr>
                            <w:color w:val="231F20"/>
                            <w:sz w:val="15"/>
                          </w:rPr>
                          <w:t>a headache (i.e., complicated migraine)</w:t>
                        </w:r>
                      </w:p>
                      <w:p>
                        <w:pPr>
                          <w:numPr>
                            <w:ilvl w:val="0"/>
                            <w:numId w:val="70"/>
                          </w:numPr>
                          <w:tabs>
                            <w:tab w:pos="223" w:val="left" w:leader="none"/>
                          </w:tabs>
                          <w:spacing w:line="230" w:lineRule="auto" w:before="2"/>
                          <w:ind w:left="223" w:right="400" w:hanging="150"/>
                          <w:jc w:val="left"/>
                          <w:rPr>
                            <w:color w:val="000000"/>
                            <w:sz w:val="15"/>
                          </w:rPr>
                        </w:pPr>
                        <w:r>
                          <w:rPr>
                            <w:color w:val="231F20"/>
                            <w:sz w:val="15"/>
                          </w:rPr>
                          <w:t>Focal neurologic symptoms or signs (except classic visual symptoms of migraine) develop during the aura, with fixed </w:t>
                        </w:r>
                        <w:r>
                          <w:rPr>
                            <w:color w:val="231F20"/>
                            <w:spacing w:val="-2"/>
                            <w:sz w:val="15"/>
                          </w:rPr>
                          <w:t>laterality;</w:t>
                        </w:r>
                        <w:r>
                          <w:rPr>
                            <w:color w:val="231F20"/>
                            <w:spacing w:val="-4"/>
                            <w:sz w:val="15"/>
                          </w:rPr>
                          <w:t> </w:t>
                        </w:r>
                        <w:r>
                          <w:rPr>
                            <w:color w:val="231F20"/>
                            <w:spacing w:val="-2"/>
                            <w:sz w:val="15"/>
                          </w:rPr>
                          <w:t>focal</w:t>
                        </w:r>
                        <w:r>
                          <w:rPr>
                            <w:color w:val="231F20"/>
                            <w:spacing w:val="-4"/>
                            <w:sz w:val="15"/>
                          </w:rPr>
                          <w:t> </w:t>
                        </w:r>
                        <w:r>
                          <w:rPr>
                            <w:color w:val="231F20"/>
                            <w:spacing w:val="-2"/>
                            <w:sz w:val="15"/>
                          </w:rPr>
                          <w:t>signs</w:t>
                        </w:r>
                        <w:r>
                          <w:rPr>
                            <w:color w:val="231F20"/>
                            <w:spacing w:val="-4"/>
                            <w:sz w:val="15"/>
                          </w:rPr>
                          <w:t> </w:t>
                        </w:r>
                        <w:r>
                          <w:rPr>
                            <w:color w:val="231F20"/>
                            <w:spacing w:val="-2"/>
                            <w:sz w:val="15"/>
                          </w:rPr>
                          <w:t>of</w:t>
                        </w:r>
                        <w:r>
                          <w:rPr>
                            <w:color w:val="231F20"/>
                            <w:spacing w:val="-4"/>
                            <w:sz w:val="15"/>
                          </w:rPr>
                          <w:t> </w:t>
                        </w:r>
                        <w:r>
                          <w:rPr>
                            <w:color w:val="231F20"/>
                            <w:spacing w:val="-2"/>
                            <w:sz w:val="15"/>
                          </w:rPr>
                          <w:t>the</w:t>
                        </w:r>
                        <w:r>
                          <w:rPr>
                            <w:color w:val="231F20"/>
                            <w:spacing w:val="-4"/>
                            <w:sz w:val="15"/>
                          </w:rPr>
                          <w:t> </w:t>
                        </w:r>
                        <w:r>
                          <w:rPr>
                            <w:color w:val="231F20"/>
                            <w:spacing w:val="-2"/>
                            <w:sz w:val="15"/>
                          </w:rPr>
                          <w:t>aura</w:t>
                        </w:r>
                        <w:r>
                          <w:rPr>
                            <w:color w:val="231F20"/>
                            <w:spacing w:val="-4"/>
                            <w:sz w:val="15"/>
                          </w:rPr>
                          <w:t> </w:t>
                        </w:r>
                        <w:r>
                          <w:rPr>
                            <w:color w:val="231F20"/>
                            <w:spacing w:val="-2"/>
                            <w:sz w:val="15"/>
                          </w:rPr>
                          <w:t>persisting</w:t>
                        </w:r>
                        <w:r>
                          <w:rPr>
                            <w:color w:val="231F20"/>
                            <w:spacing w:val="-4"/>
                            <w:sz w:val="15"/>
                          </w:rPr>
                          <w:t> </w:t>
                        </w:r>
                        <w:r>
                          <w:rPr>
                            <w:color w:val="231F20"/>
                            <w:spacing w:val="-2"/>
                            <w:sz w:val="15"/>
                          </w:rPr>
                          <w:t>or</w:t>
                        </w:r>
                        <w:r>
                          <w:rPr>
                            <w:color w:val="231F20"/>
                            <w:spacing w:val="-4"/>
                            <w:sz w:val="15"/>
                          </w:rPr>
                          <w:t> </w:t>
                        </w:r>
                        <w:r>
                          <w:rPr>
                            <w:color w:val="231F20"/>
                            <w:spacing w:val="-2"/>
                            <w:sz w:val="15"/>
                          </w:rPr>
                          <w:t>recurring</w:t>
                        </w:r>
                        <w:r>
                          <w:rPr>
                            <w:color w:val="231F20"/>
                            <w:spacing w:val="-4"/>
                            <w:sz w:val="15"/>
                          </w:rPr>
                          <w:t> </w:t>
                        </w:r>
                        <w:r>
                          <w:rPr>
                            <w:color w:val="231F20"/>
                            <w:spacing w:val="-2"/>
                            <w:sz w:val="15"/>
                          </w:rPr>
                          <w:t>in</w:t>
                        </w:r>
                        <w:r>
                          <w:rPr>
                            <w:color w:val="231F20"/>
                            <w:spacing w:val="-4"/>
                            <w:sz w:val="15"/>
                          </w:rPr>
                          <w:t> </w:t>
                        </w:r>
                        <w:r>
                          <w:rPr>
                            <w:color w:val="231F20"/>
                            <w:spacing w:val="-2"/>
                            <w:sz w:val="15"/>
                          </w:rPr>
                          <w:t>the </w:t>
                        </w:r>
                        <w:r>
                          <w:rPr>
                            <w:color w:val="231F20"/>
                            <w:sz w:val="15"/>
                          </w:rPr>
                          <w:t>headache phase</w:t>
                        </w:r>
                      </w:p>
                      <w:p>
                        <w:pPr>
                          <w:spacing w:line="230" w:lineRule="auto" w:before="1"/>
                          <w:ind w:left="74" w:right="1899" w:firstLine="0"/>
                          <w:jc w:val="left"/>
                          <w:rPr>
                            <w:color w:val="000000"/>
                            <w:sz w:val="15"/>
                          </w:rPr>
                        </w:pPr>
                        <w:r>
                          <w:rPr>
                            <w:color w:val="231F20"/>
                            <w:spacing w:val="-2"/>
                            <w:sz w:val="15"/>
                          </w:rPr>
                          <w:t>Seizures</w:t>
                        </w:r>
                        <w:r>
                          <w:rPr>
                            <w:color w:val="231F20"/>
                            <w:spacing w:val="-9"/>
                            <w:sz w:val="15"/>
                          </w:rPr>
                          <w:t> </w:t>
                        </w:r>
                        <w:r>
                          <w:rPr>
                            <w:color w:val="231F20"/>
                            <w:spacing w:val="-2"/>
                            <w:sz w:val="15"/>
                          </w:rPr>
                          <w:t>or</w:t>
                        </w:r>
                        <w:r>
                          <w:rPr>
                            <w:color w:val="231F20"/>
                            <w:spacing w:val="-9"/>
                            <w:sz w:val="15"/>
                          </w:rPr>
                          <w:t> </w:t>
                        </w:r>
                        <w:r>
                          <w:rPr>
                            <w:color w:val="231F20"/>
                            <w:spacing w:val="-2"/>
                            <w:sz w:val="15"/>
                          </w:rPr>
                          <w:t>very</w:t>
                        </w:r>
                        <w:r>
                          <w:rPr>
                            <w:color w:val="231F20"/>
                            <w:spacing w:val="-9"/>
                            <w:sz w:val="15"/>
                          </w:rPr>
                          <w:t> </w:t>
                        </w:r>
                        <w:r>
                          <w:rPr>
                            <w:color w:val="231F20"/>
                            <w:spacing w:val="-2"/>
                            <w:sz w:val="15"/>
                          </w:rPr>
                          <w:t>brief</w:t>
                        </w:r>
                        <w:r>
                          <w:rPr>
                            <w:color w:val="231F20"/>
                            <w:spacing w:val="-9"/>
                            <w:sz w:val="15"/>
                          </w:rPr>
                          <w:t> </w:t>
                        </w:r>
                        <w:r>
                          <w:rPr>
                            <w:color w:val="231F20"/>
                            <w:spacing w:val="-2"/>
                            <w:sz w:val="15"/>
                          </w:rPr>
                          <w:t>auras</w:t>
                        </w:r>
                        <w:r>
                          <w:rPr>
                            <w:color w:val="231F20"/>
                            <w:spacing w:val="-9"/>
                            <w:sz w:val="15"/>
                          </w:rPr>
                          <w:t> </w:t>
                        </w:r>
                        <w:r>
                          <w:rPr>
                            <w:color w:val="231F20"/>
                            <w:spacing w:val="-2"/>
                            <w:sz w:val="15"/>
                          </w:rPr>
                          <w:t>(</w:t>
                        </w:r>
                        <w:r>
                          <w:rPr>
                            <w:rFonts w:ascii="Cambria"/>
                            <w:color w:val="231F20"/>
                            <w:spacing w:val="-2"/>
                            <w:sz w:val="15"/>
                          </w:rPr>
                          <w:t>&lt;</w:t>
                        </w:r>
                        <w:r>
                          <w:rPr>
                            <w:color w:val="231F20"/>
                            <w:spacing w:val="-2"/>
                            <w:sz w:val="15"/>
                          </w:rPr>
                          <w:t>5</w:t>
                        </w:r>
                        <w:r>
                          <w:rPr>
                            <w:color w:val="231F20"/>
                            <w:spacing w:val="-9"/>
                            <w:sz w:val="15"/>
                          </w:rPr>
                          <w:t> </w:t>
                        </w:r>
                        <w:r>
                          <w:rPr>
                            <w:color w:val="231F20"/>
                            <w:spacing w:val="-2"/>
                            <w:sz w:val="15"/>
                          </w:rPr>
                          <w:t>min) </w:t>
                        </w:r>
                        <w:r>
                          <w:rPr>
                            <w:color w:val="231F20"/>
                            <w:sz w:val="15"/>
                          </w:rPr>
                          <w:t>Unusual headaches in children</w:t>
                        </w:r>
                      </w:p>
                      <w:p>
                        <w:pPr>
                          <w:numPr>
                            <w:ilvl w:val="0"/>
                            <w:numId w:val="70"/>
                          </w:numPr>
                          <w:tabs>
                            <w:tab w:pos="223" w:val="left" w:leader="none"/>
                          </w:tabs>
                          <w:spacing w:line="167" w:lineRule="exact" w:before="0"/>
                          <w:ind w:left="223" w:right="0" w:hanging="149"/>
                          <w:jc w:val="left"/>
                          <w:rPr>
                            <w:color w:val="000000"/>
                            <w:sz w:val="15"/>
                          </w:rPr>
                        </w:pPr>
                        <w:r>
                          <w:rPr>
                            <w:color w:val="231F20"/>
                            <w:spacing w:val="-2"/>
                            <w:sz w:val="15"/>
                          </w:rPr>
                          <w:t>Atypical auras</w:t>
                        </w:r>
                        <w:r>
                          <w:rPr>
                            <w:color w:val="231F20"/>
                            <w:spacing w:val="-1"/>
                            <w:sz w:val="15"/>
                          </w:rPr>
                          <w:t> </w:t>
                        </w:r>
                        <w:r>
                          <w:rPr>
                            <w:color w:val="231F20"/>
                            <w:spacing w:val="-2"/>
                            <w:sz w:val="15"/>
                          </w:rPr>
                          <w:t>including</w:t>
                        </w:r>
                        <w:r>
                          <w:rPr>
                            <w:color w:val="231F20"/>
                            <w:spacing w:val="-1"/>
                            <w:sz w:val="15"/>
                          </w:rPr>
                          <w:t> </w:t>
                        </w:r>
                        <w:r>
                          <w:rPr>
                            <w:color w:val="231F20"/>
                            <w:spacing w:val="-2"/>
                            <w:sz w:val="15"/>
                          </w:rPr>
                          <w:t>basilar-type,</w:t>
                        </w:r>
                        <w:r>
                          <w:rPr>
                            <w:color w:val="231F20"/>
                            <w:spacing w:val="-1"/>
                            <w:sz w:val="15"/>
                          </w:rPr>
                          <w:t> </w:t>
                        </w:r>
                        <w:r>
                          <w:rPr>
                            <w:color w:val="231F20"/>
                            <w:spacing w:val="-2"/>
                            <w:sz w:val="15"/>
                          </w:rPr>
                          <w:t>hemiplegic</w:t>
                        </w:r>
                      </w:p>
                      <w:p>
                        <w:pPr>
                          <w:numPr>
                            <w:ilvl w:val="0"/>
                            <w:numId w:val="70"/>
                          </w:numPr>
                          <w:tabs>
                            <w:tab w:pos="223" w:val="left" w:leader="none"/>
                          </w:tabs>
                          <w:spacing w:line="230" w:lineRule="auto" w:before="3"/>
                          <w:ind w:left="223" w:right="146" w:hanging="150"/>
                          <w:jc w:val="left"/>
                          <w:rPr>
                            <w:color w:val="000000"/>
                            <w:sz w:val="15"/>
                          </w:rPr>
                        </w:pPr>
                        <w:r>
                          <w:rPr>
                            <w:color w:val="231F20"/>
                            <w:sz w:val="15"/>
                          </w:rPr>
                          <w:t>Trigeminal</w:t>
                        </w:r>
                        <w:r>
                          <w:rPr>
                            <w:color w:val="231F20"/>
                            <w:spacing w:val="-11"/>
                            <w:sz w:val="15"/>
                          </w:rPr>
                          <w:t> </w:t>
                        </w:r>
                        <w:r>
                          <w:rPr>
                            <w:color w:val="231F20"/>
                            <w:sz w:val="15"/>
                          </w:rPr>
                          <w:t>autonomic</w:t>
                        </w:r>
                        <w:r>
                          <w:rPr>
                            <w:color w:val="231F20"/>
                            <w:spacing w:val="-11"/>
                            <w:sz w:val="15"/>
                          </w:rPr>
                          <w:t> </w:t>
                        </w:r>
                        <w:r>
                          <w:rPr>
                            <w:color w:val="231F20"/>
                            <w:sz w:val="15"/>
                          </w:rPr>
                          <w:t>cephalalgia</w:t>
                        </w:r>
                        <w:r>
                          <w:rPr>
                            <w:color w:val="231F20"/>
                            <w:spacing w:val="-11"/>
                            <w:sz w:val="15"/>
                          </w:rPr>
                          <w:t> </w:t>
                        </w:r>
                        <w:r>
                          <w:rPr>
                            <w:color w:val="231F20"/>
                            <w:sz w:val="15"/>
                          </w:rPr>
                          <w:t>including</w:t>
                        </w:r>
                        <w:r>
                          <w:rPr>
                            <w:color w:val="231F20"/>
                            <w:spacing w:val="-11"/>
                            <w:sz w:val="15"/>
                          </w:rPr>
                          <w:t> </w:t>
                        </w:r>
                        <w:r>
                          <w:rPr>
                            <w:color w:val="231F20"/>
                            <w:sz w:val="15"/>
                          </w:rPr>
                          <w:t>cluster</w:t>
                        </w:r>
                        <w:r>
                          <w:rPr>
                            <w:color w:val="231F20"/>
                            <w:spacing w:val="-11"/>
                            <w:sz w:val="15"/>
                          </w:rPr>
                          <w:t> </w:t>
                        </w:r>
                        <w:r>
                          <w:rPr>
                            <w:color w:val="231F20"/>
                            <w:sz w:val="15"/>
                          </w:rPr>
                          <w:t>headaches</w:t>
                        </w:r>
                        <w:r>
                          <w:rPr>
                            <w:color w:val="231F20"/>
                            <w:spacing w:val="-11"/>
                            <w:sz w:val="15"/>
                          </w:rPr>
                          <w:t> </w:t>
                        </w:r>
                        <w:r>
                          <w:rPr>
                            <w:color w:val="231F20"/>
                            <w:sz w:val="15"/>
                          </w:rPr>
                          <w:t>in child or adolescent</w:t>
                        </w:r>
                      </w:p>
                      <w:p>
                        <w:pPr>
                          <w:numPr>
                            <w:ilvl w:val="0"/>
                            <w:numId w:val="70"/>
                          </w:numPr>
                          <w:tabs>
                            <w:tab w:pos="223" w:val="left" w:leader="none"/>
                          </w:tabs>
                          <w:spacing w:line="230" w:lineRule="auto" w:before="1"/>
                          <w:ind w:left="223" w:right="643" w:hanging="150"/>
                          <w:jc w:val="left"/>
                          <w:rPr>
                            <w:color w:val="000000"/>
                            <w:sz w:val="15"/>
                          </w:rPr>
                        </w:pPr>
                        <w:r>
                          <w:rPr>
                            <w:color w:val="231F20"/>
                            <w:sz w:val="15"/>
                          </w:rPr>
                          <w:t>An</w:t>
                        </w:r>
                        <w:r>
                          <w:rPr>
                            <w:color w:val="231F20"/>
                            <w:spacing w:val="-12"/>
                            <w:sz w:val="15"/>
                          </w:rPr>
                          <w:t> </w:t>
                        </w:r>
                        <w:r>
                          <w:rPr>
                            <w:color w:val="231F20"/>
                            <w:sz w:val="15"/>
                          </w:rPr>
                          <w:t>acute</w:t>
                        </w:r>
                        <w:r>
                          <w:rPr>
                            <w:color w:val="231F20"/>
                            <w:spacing w:val="-11"/>
                            <w:sz w:val="15"/>
                          </w:rPr>
                          <w:t> </w:t>
                        </w:r>
                        <w:r>
                          <w:rPr>
                            <w:color w:val="231F20"/>
                            <w:sz w:val="15"/>
                          </w:rPr>
                          <w:t>secondary</w:t>
                        </w:r>
                        <w:r>
                          <w:rPr>
                            <w:color w:val="231F20"/>
                            <w:spacing w:val="-11"/>
                            <w:sz w:val="15"/>
                          </w:rPr>
                          <w:t> </w:t>
                        </w:r>
                        <w:r>
                          <w:rPr>
                            <w:color w:val="231F20"/>
                            <w:sz w:val="15"/>
                          </w:rPr>
                          <w:t>headache</w:t>
                        </w:r>
                        <w:r>
                          <w:rPr>
                            <w:color w:val="231F20"/>
                            <w:spacing w:val="-12"/>
                            <w:sz w:val="15"/>
                          </w:rPr>
                          <w:t> </w:t>
                        </w:r>
                        <w:r>
                          <w:rPr>
                            <w:color w:val="231F20"/>
                            <w:sz w:val="15"/>
                          </w:rPr>
                          <w:t>(i.e.,</w:t>
                        </w:r>
                        <w:r>
                          <w:rPr>
                            <w:color w:val="231F20"/>
                            <w:spacing w:val="-11"/>
                            <w:sz w:val="15"/>
                          </w:rPr>
                          <w:t> </w:t>
                        </w:r>
                        <w:r>
                          <w:rPr>
                            <w:color w:val="231F20"/>
                            <w:sz w:val="15"/>
                          </w:rPr>
                          <w:t>headache</w:t>
                        </w:r>
                        <w:r>
                          <w:rPr>
                            <w:color w:val="231F20"/>
                            <w:spacing w:val="-11"/>
                            <w:sz w:val="15"/>
                          </w:rPr>
                          <w:t> </w:t>
                        </w:r>
                        <w:r>
                          <w:rPr>
                            <w:color w:val="231F20"/>
                            <w:sz w:val="15"/>
                          </w:rPr>
                          <w:t>with</w:t>
                        </w:r>
                        <w:r>
                          <w:rPr>
                            <w:color w:val="231F20"/>
                            <w:spacing w:val="-12"/>
                            <w:sz w:val="15"/>
                          </w:rPr>
                          <w:t> </w:t>
                        </w:r>
                        <w:r>
                          <w:rPr>
                            <w:color w:val="231F20"/>
                            <w:sz w:val="15"/>
                          </w:rPr>
                          <w:t>known underlying illness or insult)</w:t>
                        </w:r>
                      </w:p>
                      <w:p>
                        <w:pPr>
                          <w:spacing w:line="230" w:lineRule="auto" w:before="2"/>
                          <w:ind w:left="186" w:right="0" w:hanging="112"/>
                          <w:jc w:val="left"/>
                          <w:rPr>
                            <w:color w:val="000000"/>
                            <w:sz w:val="15"/>
                          </w:rPr>
                        </w:pPr>
                        <w:r>
                          <w:rPr>
                            <w:color w:val="231F20"/>
                            <w:sz w:val="15"/>
                          </w:rPr>
                          <w:t>Headache</w:t>
                        </w:r>
                        <w:r>
                          <w:rPr>
                            <w:color w:val="231F20"/>
                            <w:spacing w:val="-4"/>
                            <w:sz w:val="15"/>
                          </w:rPr>
                          <w:t> </w:t>
                        </w:r>
                        <w:r>
                          <w:rPr>
                            <w:color w:val="231F20"/>
                            <w:sz w:val="15"/>
                          </w:rPr>
                          <w:t>in</w:t>
                        </w:r>
                        <w:r>
                          <w:rPr>
                            <w:color w:val="231F20"/>
                            <w:spacing w:val="-4"/>
                            <w:sz w:val="15"/>
                          </w:rPr>
                          <w:t> </w:t>
                        </w:r>
                        <w:r>
                          <w:rPr>
                            <w:color w:val="231F20"/>
                            <w:sz w:val="15"/>
                          </w:rPr>
                          <w:t>children</w:t>
                        </w:r>
                        <w:r>
                          <w:rPr>
                            <w:color w:val="231F20"/>
                            <w:spacing w:val="-4"/>
                            <w:sz w:val="15"/>
                          </w:rPr>
                          <w:t> </w:t>
                        </w:r>
                        <w:r>
                          <w:rPr>
                            <w:color w:val="231F20"/>
                            <w:sz w:val="15"/>
                          </w:rPr>
                          <w:t>younger</w:t>
                        </w:r>
                        <w:r>
                          <w:rPr>
                            <w:color w:val="231F20"/>
                            <w:spacing w:val="-4"/>
                            <w:sz w:val="15"/>
                          </w:rPr>
                          <w:t> </w:t>
                        </w:r>
                        <w:r>
                          <w:rPr>
                            <w:color w:val="231F20"/>
                            <w:sz w:val="15"/>
                          </w:rPr>
                          <w:t>than</w:t>
                        </w:r>
                        <w:r>
                          <w:rPr>
                            <w:color w:val="231F20"/>
                            <w:spacing w:val="-4"/>
                            <w:sz w:val="15"/>
                          </w:rPr>
                          <w:t> </w:t>
                        </w:r>
                        <w:r>
                          <w:rPr>
                            <w:color w:val="231F20"/>
                            <w:sz w:val="15"/>
                          </w:rPr>
                          <w:t>6</w:t>
                        </w:r>
                        <w:r>
                          <w:rPr>
                            <w:color w:val="231F20"/>
                            <w:spacing w:val="-4"/>
                            <w:sz w:val="15"/>
                          </w:rPr>
                          <w:t> </w:t>
                        </w:r>
                        <w:r>
                          <w:rPr>
                            <w:color w:val="231F20"/>
                            <w:sz w:val="15"/>
                          </w:rPr>
                          <w:t>yr</w:t>
                        </w:r>
                        <w:r>
                          <w:rPr>
                            <w:color w:val="231F20"/>
                            <w:spacing w:val="-4"/>
                            <w:sz w:val="15"/>
                          </w:rPr>
                          <w:t> </w:t>
                        </w:r>
                        <w:r>
                          <w:rPr>
                            <w:color w:val="231F20"/>
                            <w:sz w:val="15"/>
                          </w:rPr>
                          <w:t>old</w:t>
                        </w:r>
                        <w:r>
                          <w:rPr>
                            <w:color w:val="231F20"/>
                            <w:spacing w:val="-4"/>
                            <w:sz w:val="15"/>
                          </w:rPr>
                          <w:t> </w:t>
                        </w:r>
                        <w:r>
                          <w:rPr>
                            <w:color w:val="231F20"/>
                            <w:sz w:val="15"/>
                          </w:rPr>
                          <w:t>or</w:t>
                        </w:r>
                        <w:r>
                          <w:rPr>
                            <w:color w:val="231F20"/>
                            <w:spacing w:val="-4"/>
                            <w:sz w:val="15"/>
                          </w:rPr>
                          <w:t> </w:t>
                        </w:r>
                        <w:r>
                          <w:rPr>
                            <w:color w:val="231F20"/>
                            <w:sz w:val="15"/>
                          </w:rPr>
                          <w:t>any</w:t>
                        </w:r>
                        <w:r>
                          <w:rPr>
                            <w:color w:val="231F20"/>
                            <w:spacing w:val="-4"/>
                            <w:sz w:val="15"/>
                          </w:rPr>
                          <w:t> </w:t>
                        </w:r>
                        <w:r>
                          <w:rPr>
                            <w:color w:val="231F20"/>
                            <w:sz w:val="15"/>
                          </w:rPr>
                          <w:t>child</w:t>
                        </w:r>
                        <w:r>
                          <w:rPr>
                            <w:color w:val="231F20"/>
                            <w:spacing w:val="-4"/>
                            <w:sz w:val="15"/>
                          </w:rPr>
                          <w:t> </w:t>
                        </w:r>
                        <w:r>
                          <w:rPr>
                            <w:color w:val="231F20"/>
                            <w:sz w:val="15"/>
                          </w:rPr>
                          <w:t>who</w:t>
                        </w:r>
                        <w:r>
                          <w:rPr>
                            <w:color w:val="231F20"/>
                            <w:spacing w:val="-4"/>
                            <w:sz w:val="15"/>
                          </w:rPr>
                          <w:t> </w:t>
                        </w:r>
                        <w:r>
                          <w:rPr>
                            <w:color w:val="231F20"/>
                            <w:sz w:val="15"/>
                          </w:rPr>
                          <w:t>cannot adequately describe his or her headache</w:t>
                        </w:r>
                      </w:p>
                      <w:p>
                        <w:pPr>
                          <w:spacing w:line="167" w:lineRule="exact" w:before="0"/>
                          <w:ind w:left="74" w:right="0" w:firstLine="0"/>
                          <w:jc w:val="left"/>
                          <w:rPr>
                            <w:color w:val="000000"/>
                            <w:sz w:val="15"/>
                          </w:rPr>
                        </w:pPr>
                        <w:r>
                          <w:rPr>
                            <w:color w:val="231F20"/>
                            <w:sz w:val="15"/>
                          </w:rPr>
                          <w:t>Brief</w:t>
                        </w:r>
                        <w:r>
                          <w:rPr>
                            <w:color w:val="231F20"/>
                            <w:spacing w:val="-1"/>
                            <w:sz w:val="15"/>
                          </w:rPr>
                          <w:t> </w:t>
                        </w:r>
                        <w:r>
                          <w:rPr>
                            <w:color w:val="231F20"/>
                            <w:sz w:val="15"/>
                          </w:rPr>
                          <w:t>cough headache in a child</w:t>
                        </w:r>
                        <w:r>
                          <w:rPr>
                            <w:color w:val="231F20"/>
                            <w:spacing w:val="-1"/>
                            <w:sz w:val="15"/>
                          </w:rPr>
                          <w:t> </w:t>
                        </w:r>
                        <w:r>
                          <w:rPr>
                            <w:color w:val="231F20"/>
                            <w:sz w:val="15"/>
                          </w:rPr>
                          <w:t>or </w:t>
                        </w:r>
                        <w:r>
                          <w:rPr>
                            <w:color w:val="231F20"/>
                            <w:spacing w:val="-2"/>
                            <w:sz w:val="15"/>
                          </w:rPr>
                          <w:t>adolescent</w:t>
                        </w:r>
                      </w:p>
                      <w:p>
                        <w:pPr>
                          <w:spacing w:line="230" w:lineRule="auto" w:before="2"/>
                          <w:ind w:left="186" w:right="0" w:hanging="112"/>
                          <w:jc w:val="left"/>
                          <w:rPr>
                            <w:color w:val="000000"/>
                            <w:sz w:val="15"/>
                          </w:rPr>
                        </w:pPr>
                        <w:r>
                          <w:rPr>
                            <w:color w:val="231F20"/>
                            <w:sz w:val="15"/>
                          </w:rPr>
                          <w:t>Headache</w:t>
                        </w:r>
                        <w:r>
                          <w:rPr>
                            <w:color w:val="231F20"/>
                            <w:spacing w:val="-11"/>
                            <w:sz w:val="15"/>
                          </w:rPr>
                          <w:t> </w:t>
                        </w:r>
                        <w:r>
                          <w:rPr>
                            <w:color w:val="231F20"/>
                            <w:sz w:val="15"/>
                          </w:rPr>
                          <w:t>worst</w:t>
                        </w:r>
                        <w:r>
                          <w:rPr>
                            <w:color w:val="231F20"/>
                            <w:spacing w:val="-11"/>
                            <w:sz w:val="15"/>
                          </w:rPr>
                          <w:t> </w:t>
                        </w:r>
                        <w:r>
                          <w:rPr>
                            <w:color w:val="231F20"/>
                            <w:sz w:val="15"/>
                          </w:rPr>
                          <w:t>on</w:t>
                        </w:r>
                        <w:r>
                          <w:rPr>
                            <w:color w:val="231F20"/>
                            <w:spacing w:val="-11"/>
                            <w:sz w:val="15"/>
                          </w:rPr>
                          <w:t> </w:t>
                        </w:r>
                        <w:r>
                          <w:rPr>
                            <w:color w:val="231F20"/>
                            <w:sz w:val="15"/>
                          </w:rPr>
                          <w:t>first</w:t>
                        </w:r>
                        <w:r>
                          <w:rPr>
                            <w:color w:val="231F20"/>
                            <w:spacing w:val="-11"/>
                            <w:sz w:val="15"/>
                          </w:rPr>
                          <w:t> </w:t>
                        </w:r>
                        <w:r>
                          <w:rPr>
                            <w:color w:val="231F20"/>
                            <w:sz w:val="15"/>
                          </w:rPr>
                          <w:t>awakening</w:t>
                        </w:r>
                        <w:r>
                          <w:rPr>
                            <w:color w:val="231F20"/>
                            <w:spacing w:val="-11"/>
                            <w:sz w:val="15"/>
                          </w:rPr>
                          <w:t> </w:t>
                        </w:r>
                        <w:r>
                          <w:rPr>
                            <w:color w:val="231F20"/>
                            <w:sz w:val="15"/>
                          </w:rPr>
                          <w:t>or</w:t>
                        </w:r>
                        <w:r>
                          <w:rPr>
                            <w:color w:val="231F20"/>
                            <w:spacing w:val="-11"/>
                            <w:sz w:val="15"/>
                          </w:rPr>
                          <w:t> </w:t>
                        </w:r>
                        <w:r>
                          <w:rPr>
                            <w:color w:val="231F20"/>
                            <w:sz w:val="15"/>
                          </w:rPr>
                          <w:t>that</w:t>
                        </w:r>
                        <w:r>
                          <w:rPr>
                            <w:color w:val="231F20"/>
                            <w:spacing w:val="-11"/>
                            <w:sz w:val="15"/>
                          </w:rPr>
                          <w:t> </w:t>
                        </w:r>
                        <w:r>
                          <w:rPr>
                            <w:color w:val="231F20"/>
                            <w:sz w:val="15"/>
                          </w:rPr>
                          <w:t>awakens</w:t>
                        </w:r>
                        <w:r>
                          <w:rPr>
                            <w:color w:val="231F20"/>
                            <w:spacing w:val="-11"/>
                            <w:sz w:val="15"/>
                          </w:rPr>
                          <w:t> </w:t>
                        </w:r>
                        <w:r>
                          <w:rPr>
                            <w:color w:val="231F20"/>
                            <w:sz w:val="15"/>
                          </w:rPr>
                          <w:t>the</w:t>
                        </w:r>
                        <w:r>
                          <w:rPr>
                            <w:color w:val="231F20"/>
                            <w:spacing w:val="-11"/>
                            <w:sz w:val="15"/>
                          </w:rPr>
                          <w:t> </w:t>
                        </w:r>
                        <w:r>
                          <w:rPr>
                            <w:color w:val="231F20"/>
                            <w:sz w:val="15"/>
                          </w:rPr>
                          <w:t>child</w:t>
                        </w:r>
                        <w:r>
                          <w:rPr>
                            <w:color w:val="231F20"/>
                            <w:spacing w:val="-11"/>
                            <w:sz w:val="15"/>
                          </w:rPr>
                          <w:t> </w:t>
                        </w:r>
                        <w:r>
                          <w:rPr>
                            <w:color w:val="231F20"/>
                            <w:sz w:val="15"/>
                          </w:rPr>
                          <w:t>from </w:t>
                        </w:r>
                        <w:r>
                          <w:rPr>
                            <w:color w:val="231F20"/>
                            <w:spacing w:val="-2"/>
                            <w:sz w:val="15"/>
                          </w:rPr>
                          <w:t>sleep</w:t>
                        </w:r>
                      </w:p>
                      <w:p>
                        <w:pPr>
                          <w:spacing w:line="230" w:lineRule="auto" w:before="2"/>
                          <w:ind w:left="186" w:right="108" w:hanging="112"/>
                          <w:jc w:val="left"/>
                          <w:rPr>
                            <w:color w:val="000000"/>
                            <w:sz w:val="15"/>
                          </w:rPr>
                        </w:pPr>
                        <w:r>
                          <w:rPr>
                            <w:color w:val="231F20"/>
                            <w:sz w:val="15"/>
                          </w:rPr>
                          <w:t>Migrainous</w:t>
                        </w:r>
                        <w:r>
                          <w:rPr>
                            <w:color w:val="231F20"/>
                            <w:spacing w:val="-8"/>
                            <w:sz w:val="15"/>
                          </w:rPr>
                          <w:t> </w:t>
                        </w:r>
                        <w:r>
                          <w:rPr>
                            <w:color w:val="231F20"/>
                            <w:sz w:val="15"/>
                          </w:rPr>
                          <w:t>headache</w:t>
                        </w:r>
                        <w:r>
                          <w:rPr>
                            <w:color w:val="231F20"/>
                            <w:spacing w:val="-8"/>
                            <w:sz w:val="15"/>
                          </w:rPr>
                          <w:t> </w:t>
                        </w:r>
                        <w:r>
                          <w:rPr>
                            <w:color w:val="231F20"/>
                            <w:sz w:val="15"/>
                          </w:rPr>
                          <w:t>in</w:t>
                        </w:r>
                        <w:r>
                          <w:rPr>
                            <w:color w:val="231F20"/>
                            <w:spacing w:val="-8"/>
                            <w:sz w:val="15"/>
                          </w:rPr>
                          <w:t> </w:t>
                        </w:r>
                        <w:r>
                          <w:rPr>
                            <w:color w:val="231F20"/>
                            <w:sz w:val="15"/>
                          </w:rPr>
                          <w:t>the</w:t>
                        </w:r>
                        <w:r>
                          <w:rPr>
                            <w:color w:val="231F20"/>
                            <w:spacing w:val="-8"/>
                            <w:sz w:val="15"/>
                          </w:rPr>
                          <w:t> </w:t>
                        </w:r>
                        <w:r>
                          <w:rPr>
                            <w:color w:val="231F20"/>
                            <w:sz w:val="15"/>
                          </w:rPr>
                          <w:t>child</w:t>
                        </w:r>
                        <w:r>
                          <w:rPr>
                            <w:color w:val="231F20"/>
                            <w:spacing w:val="-8"/>
                            <w:sz w:val="15"/>
                          </w:rPr>
                          <w:t> </w:t>
                        </w:r>
                        <w:r>
                          <w:rPr>
                            <w:color w:val="231F20"/>
                            <w:sz w:val="15"/>
                          </w:rPr>
                          <w:t>with</w:t>
                        </w:r>
                        <w:r>
                          <w:rPr>
                            <w:color w:val="231F20"/>
                            <w:spacing w:val="-8"/>
                            <w:sz w:val="15"/>
                          </w:rPr>
                          <w:t> </w:t>
                        </w:r>
                        <w:r>
                          <w:rPr>
                            <w:color w:val="231F20"/>
                            <w:sz w:val="15"/>
                          </w:rPr>
                          <w:t>no</w:t>
                        </w:r>
                        <w:r>
                          <w:rPr>
                            <w:color w:val="231F20"/>
                            <w:spacing w:val="-8"/>
                            <w:sz w:val="15"/>
                          </w:rPr>
                          <w:t> </w:t>
                        </w:r>
                        <w:r>
                          <w:rPr>
                            <w:color w:val="231F20"/>
                            <w:sz w:val="15"/>
                          </w:rPr>
                          <w:t>family</w:t>
                        </w:r>
                        <w:r>
                          <w:rPr>
                            <w:color w:val="231F20"/>
                            <w:spacing w:val="-8"/>
                            <w:sz w:val="15"/>
                          </w:rPr>
                          <w:t> </w:t>
                        </w:r>
                        <w:r>
                          <w:rPr>
                            <w:color w:val="231F20"/>
                            <w:sz w:val="15"/>
                          </w:rPr>
                          <w:t>history</w:t>
                        </w:r>
                        <w:r>
                          <w:rPr>
                            <w:color w:val="231F20"/>
                            <w:spacing w:val="-8"/>
                            <w:sz w:val="15"/>
                          </w:rPr>
                          <w:t> </w:t>
                        </w:r>
                        <w:r>
                          <w:rPr>
                            <w:color w:val="231F20"/>
                            <w:sz w:val="15"/>
                          </w:rPr>
                          <w:t>of</w:t>
                        </w:r>
                        <w:r>
                          <w:rPr>
                            <w:color w:val="231F20"/>
                            <w:spacing w:val="-8"/>
                            <w:sz w:val="15"/>
                          </w:rPr>
                          <w:t> </w:t>
                        </w:r>
                        <w:r>
                          <w:rPr>
                            <w:color w:val="231F20"/>
                            <w:sz w:val="15"/>
                          </w:rPr>
                          <w:t>migraine or its equivalent</w:t>
                        </w:r>
                      </w:p>
                    </w:txbxContent>
                  </v:textbox>
                  <v:fill type="solid"/>
                  <w10:wrap type="none"/>
                </v:shape>
                <v:rect style="position:absolute;left:6285;top:7821;width:4703;height:19" id="docshape595" filled="true" fillcolor="#231f20" stroked="false">
                  <v:fill type="solid"/>
                </v:rect>
                <v:shape style="position:absolute;left:7442;top:3481;width:3546;height:542" type="#_x0000_t202" id="docshape596" filled="true" fillcolor="#231f20" stroked="false">
                  <v:textbox inset="0,0,0,0">
                    <w:txbxContent>
                      <w:p>
                        <w:pPr>
                          <w:spacing w:before="89"/>
                          <w:ind w:left="74" w:right="289" w:firstLine="0"/>
                          <w:jc w:val="left"/>
                          <w:rPr>
                            <w:color w:val="000000"/>
                            <w:sz w:val="16"/>
                          </w:rPr>
                        </w:pPr>
                        <w:r>
                          <w:rPr>
                            <w:color w:val="FFFFFF"/>
                            <w:w w:val="105"/>
                            <w:sz w:val="16"/>
                          </w:rPr>
                          <w:t>Indications for Neuroimaging in a </w:t>
                        </w:r>
                        <w:r>
                          <w:rPr>
                            <w:color w:val="FFFFFF"/>
                            <w:w w:val="105"/>
                            <w:sz w:val="16"/>
                          </w:rPr>
                          <w:t>Child with Headaches</w:t>
                        </w:r>
                      </w:p>
                    </w:txbxContent>
                  </v:textbox>
                  <v:fill type="solid"/>
                  <w10:wrap type="none"/>
                </v:shape>
                <v:shape style="position:absolute;left:6285;top:3481;width:1139;height:542" type="#_x0000_t202" id="docshape597"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7</w:t>
                        </w:r>
                      </w:p>
                    </w:txbxContent>
                  </v:textbox>
                  <v:fill type="solid"/>
                  <w10:wrap type="none"/>
                </v:shape>
                <w10:wrap type="none"/>
              </v:group>
            </w:pict>
          </mc:Fallback>
        </mc:AlternateContent>
      </w:r>
      <w:r>
        <w:rPr>
          <w:i/>
          <w:sz w:val="20"/>
        </w:rPr>
        <mc:AlternateContent>
          <mc:Choice Requires="wps">
            <w:drawing>
              <wp:anchor distT="0" distB="0" distL="0" distR="0" allowOverlap="1" layoutInCell="1" locked="0" behindDoc="0" simplePos="0" relativeHeight="15767552">
                <wp:simplePos x="0" y="0"/>
                <wp:positionH relativeFrom="page">
                  <wp:posOffset>612396</wp:posOffset>
                </wp:positionH>
                <wp:positionV relativeFrom="page">
                  <wp:posOffset>2761446</wp:posOffset>
                </wp:positionV>
                <wp:extent cx="2986405" cy="1555115"/>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2986405" cy="1555115"/>
                        </a:xfrm>
                        <a:prstGeom prst="rect">
                          <a:avLst/>
                        </a:prstGeom>
                        <a:solidFill>
                          <a:srgbClr val="E8F5F1"/>
                        </a:solidFill>
                      </wps:spPr>
                      <wps:txbx>
                        <w:txbxContent>
                          <w:p>
                            <w:pPr>
                              <w:numPr>
                                <w:ilvl w:val="0"/>
                                <w:numId w:val="71"/>
                              </w:numPr>
                              <w:tabs>
                                <w:tab w:pos="279" w:val="left" w:leader="none"/>
                              </w:tabs>
                              <w:spacing w:line="230" w:lineRule="auto" w:before="53"/>
                              <w:ind w:left="279" w:right="379" w:hanging="206"/>
                              <w:jc w:val="left"/>
                              <w:rPr>
                                <w:color w:val="000000"/>
                                <w:sz w:val="15"/>
                              </w:rPr>
                            </w:pPr>
                            <w:r>
                              <w:rPr>
                                <w:color w:val="231F20"/>
                                <w:sz w:val="15"/>
                              </w:rPr>
                              <w:t>At least 10 episodes of headache occurring on </w:t>
                            </w:r>
                            <w:r>
                              <w:rPr>
                                <w:rFonts w:ascii="Cambria"/>
                                <w:color w:val="231F20"/>
                                <w:sz w:val="15"/>
                              </w:rPr>
                              <w:t>&lt;</w:t>
                            </w:r>
                            <w:r>
                              <w:rPr>
                                <w:color w:val="231F20"/>
                                <w:sz w:val="15"/>
                              </w:rPr>
                              <w:t>1 day per month</w:t>
                            </w:r>
                            <w:r>
                              <w:rPr>
                                <w:color w:val="231F20"/>
                                <w:spacing w:val="-12"/>
                                <w:sz w:val="15"/>
                              </w:rPr>
                              <w:t> </w:t>
                            </w:r>
                            <w:r>
                              <w:rPr>
                                <w:color w:val="231F20"/>
                                <w:sz w:val="15"/>
                              </w:rPr>
                              <w:t>on</w:t>
                            </w:r>
                            <w:r>
                              <w:rPr>
                                <w:color w:val="231F20"/>
                                <w:spacing w:val="-11"/>
                                <w:sz w:val="15"/>
                              </w:rPr>
                              <w:t> </w:t>
                            </w:r>
                            <w:r>
                              <w:rPr>
                                <w:color w:val="231F20"/>
                                <w:sz w:val="15"/>
                              </w:rPr>
                              <w:t>average</w:t>
                            </w:r>
                            <w:r>
                              <w:rPr>
                                <w:color w:val="231F20"/>
                                <w:spacing w:val="-11"/>
                                <w:sz w:val="15"/>
                              </w:rPr>
                              <w:t> </w:t>
                            </w:r>
                            <w:r>
                              <w:rPr>
                                <w:color w:val="231F20"/>
                                <w:sz w:val="15"/>
                              </w:rPr>
                              <w:t>(</w:t>
                            </w:r>
                            <w:r>
                              <w:rPr>
                                <w:rFonts w:ascii="Cambria"/>
                                <w:color w:val="231F20"/>
                                <w:sz w:val="15"/>
                              </w:rPr>
                              <w:t>&lt;</w:t>
                            </w:r>
                            <w:r>
                              <w:rPr>
                                <w:color w:val="231F20"/>
                                <w:sz w:val="15"/>
                              </w:rPr>
                              <w:t>12</w:t>
                            </w:r>
                            <w:r>
                              <w:rPr>
                                <w:color w:val="231F20"/>
                                <w:spacing w:val="-12"/>
                                <w:sz w:val="15"/>
                              </w:rPr>
                              <w:t> </w:t>
                            </w:r>
                            <w:r>
                              <w:rPr>
                                <w:color w:val="231F20"/>
                                <w:sz w:val="15"/>
                              </w:rPr>
                              <w:t>days</w:t>
                            </w:r>
                            <w:r>
                              <w:rPr>
                                <w:color w:val="231F20"/>
                                <w:spacing w:val="-11"/>
                                <w:sz w:val="15"/>
                              </w:rPr>
                              <w:t> </w:t>
                            </w:r>
                            <w:r>
                              <w:rPr>
                                <w:color w:val="231F20"/>
                                <w:sz w:val="15"/>
                              </w:rPr>
                              <w:t>per</w:t>
                            </w:r>
                            <w:r>
                              <w:rPr>
                                <w:color w:val="231F20"/>
                                <w:spacing w:val="-11"/>
                                <w:sz w:val="15"/>
                              </w:rPr>
                              <w:t> </w:t>
                            </w:r>
                            <w:r>
                              <w:rPr>
                                <w:color w:val="231F20"/>
                                <w:sz w:val="15"/>
                              </w:rPr>
                              <w:t>year)</w:t>
                            </w:r>
                            <w:r>
                              <w:rPr>
                                <w:color w:val="231F20"/>
                                <w:spacing w:val="-12"/>
                                <w:sz w:val="15"/>
                              </w:rPr>
                              <w:t> </w:t>
                            </w:r>
                            <w:r>
                              <w:rPr>
                                <w:color w:val="231F20"/>
                                <w:sz w:val="15"/>
                              </w:rPr>
                              <w:t>and</w:t>
                            </w:r>
                            <w:r>
                              <w:rPr>
                                <w:color w:val="231F20"/>
                                <w:spacing w:val="-11"/>
                                <w:sz w:val="15"/>
                              </w:rPr>
                              <w:t> </w:t>
                            </w:r>
                            <w:r>
                              <w:rPr>
                                <w:color w:val="231F20"/>
                                <w:sz w:val="15"/>
                              </w:rPr>
                              <w:t>fulfilling</w:t>
                            </w:r>
                            <w:r>
                              <w:rPr>
                                <w:color w:val="231F20"/>
                                <w:spacing w:val="-11"/>
                                <w:sz w:val="15"/>
                              </w:rPr>
                              <w:t> </w:t>
                            </w:r>
                            <w:r>
                              <w:rPr>
                                <w:color w:val="231F20"/>
                                <w:sz w:val="15"/>
                              </w:rPr>
                              <w:t>criteria</w:t>
                            </w:r>
                            <w:r>
                              <w:rPr>
                                <w:color w:val="231F20"/>
                                <w:spacing w:val="-11"/>
                                <w:sz w:val="15"/>
                              </w:rPr>
                              <w:t> </w:t>
                            </w:r>
                            <w:r>
                              <w:rPr>
                                <w:color w:val="231F20"/>
                                <w:sz w:val="15"/>
                              </w:rPr>
                              <w:t>B to D</w:t>
                            </w:r>
                          </w:p>
                          <w:p>
                            <w:pPr>
                              <w:numPr>
                                <w:ilvl w:val="0"/>
                                <w:numId w:val="71"/>
                              </w:numPr>
                              <w:tabs>
                                <w:tab w:pos="279" w:val="left" w:leader="none"/>
                              </w:tabs>
                              <w:spacing w:line="166" w:lineRule="exact" w:before="0"/>
                              <w:ind w:left="279" w:right="0" w:hanging="205"/>
                              <w:jc w:val="left"/>
                              <w:rPr>
                                <w:color w:val="000000"/>
                                <w:sz w:val="15"/>
                              </w:rPr>
                            </w:pPr>
                            <w:r>
                              <w:rPr>
                                <w:color w:val="231F20"/>
                                <w:sz w:val="15"/>
                              </w:rPr>
                              <w:t>Lasting</w:t>
                            </w:r>
                            <w:r>
                              <w:rPr>
                                <w:color w:val="231F20"/>
                                <w:spacing w:val="-3"/>
                                <w:sz w:val="15"/>
                              </w:rPr>
                              <w:t> </w:t>
                            </w:r>
                            <w:r>
                              <w:rPr>
                                <w:color w:val="231F20"/>
                                <w:sz w:val="15"/>
                              </w:rPr>
                              <w:t>from</w:t>
                            </w:r>
                            <w:r>
                              <w:rPr>
                                <w:color w:val="231F20"/>
                                <w:spacing w:val="-3"/>
                                <w:sz w:val="15"/>
                              </w:rPr>
                              <w:t> </w:t>
                            </w:r>
                            <w:r>
                              <w:rPr>
                                <w:color w:val="231F20"/>
                                <w:sz w:val="15"/>
                              </w:rPr>
                              <w:t>30</w:t>
                            </w:r>
                            <w:r>
                              <w:rPr>
                                <w:color w:val="231F20"/>
                                <w:spacing w:val="-3"/>
                                <w:sz w:val="15"/>
                              </w:rPr>
                              <w:t> </w:t>
                            </w:r>
                            <w:r>
                              <w:rPr>
                                <w:color w:val="231F20"/>
                                <w:sz w:val="15"/>
                              </w:rPr>
                              <w:t>min</w:t>
                            </w:r>
                            <w:r>
                              <w:rPr>
                                <w:color w:val="231F20"/>
                                <w:spacing w:val="-2"/>
                                <w:sz w:val="15"/>
                              </w:rPr>
                              <w:t> </w:t>
                            </w:r>
                            <w:r>
                              <w:rPr>
                                <w:color w:val="231F20"/>
                                <w:sz w:val="15"/>
                              </w:rPr>
                              <w:t>to</w:t>
                            </w:r>
                            <w:r>
                              <w:rPr>
                                <w:color w:val="231F20"/>
                                <w:spacing w:val="-3"/>
                                <w:sz w:val="15"/>
                              </w:rPr>
                              <w:t> </w:t>
                            </w:r>
                            <w:r>
                              <w:rPr>
                                <w:color w:val="231F20"/>
                                <w:sz w:val="15"/>
                              </w:rPr>
                              <w:t>7</w:t>
                            </w:r>
                            <w:r>
                              <w:rPr>
                                <w:color w:val="231F20"/>
                                <w:spacing w:val="-3"/>
                                <w:sz w:val="15"/>
                              </w:rPr>
                              <w:t> </w:t>
                            </w:r>
                            <w:r>
                              <w:rPr>
                                <w:color w:val="231F20"/>
                                <w:spacing w:val="-4"/>
                                <w:sz w:val="15"/>
                              </w:rPr>
                              <w:t>days</w:t>
                            </w:r>
                          </w:p>
                          <w:p>
                            <w:pPr>
                              <w:numPr>
                                <w:ilvl w:val="0"/>
                                <w:numId w:val="71"/>
                              </w:numPr>
                              <w:tabs>
                                <w:tab w:pos="279" w:val="left" w:leader="none"/>
                              </w:tabs>
                              <w:spacing w:line="168" w:lineRule="exact" w:before="0"/>
                              <w:ind w:left="279" w:right="0" w:hanging="205"/>
                              <w:jc w:val="left"/>
                              <w:rPr>
                                <w:color w:val="000000"/>
                                <w:sz w:val="15"/>
                              </w:rPr>
                            </w:pPr>
                            <w:r>
                              <w:rPr>
                                <w:color w:val="231F20"/>
                                <w:sz w:val="15"/>
                              </w:rPr>
                              <w:t>At</w:t>
                            </w:r>
                            <w:r>
                              <w:rPr>
                                <w:color w:val="231F20"/>
                                <w:spacing w:val="-5"/>
                                <w:sz w:val="15"/>
                              </w:rPr>
                              <w:t> </w:t>
                            </w:r>
                            <w:r>
                              <w:rPr>
                                <w:color w:val="231F20"/>
                                <w:sz w:val="15"/>
                              </w:rPr>
                              <w:t>least</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4</w:t>
                            </w:r>
                            <w:r>
                              <w:rPr>
                                <w:color w:val="231F20"/>
                                <w:spacing w:val="-5"/>
                                <w:sz w:val="15"/>
                              </w:rPr>
                              <w:t> </w:t>
                            </w:r>
                            <w:r>
                              <w:rPr>
                                <w:color w:val="231F20"/>
                                <w:spacing w:val="-2"/>
                                <w:sz w:val="15"/>
                              </w:rPr>
                              <w:t>characteristics:</w:t>
                            </w:r>
                          </w:p>
                          <w:p>
                            <w:pPr>
                              <w:numPr>
                                <w:ilvl w:val="1"/>
                                <w:numId w:val="71"/>
                              </w:numPr>
                              <w:tabs>
                                <w:tab w:pos="457" w:val="left" w:leader="none"/>
                              </w:tabs>
                              <w:spacing w:line="168" w:lineRule="exact" w:before="0"/>
                              <w:ind w:left="457" w:right="0" w:hanging="191"/>
                              <w:jc w:val="left"/>
                              <w:rPr>
                                <w:color w:val="000000"/>
                                <w:sz w:val="15"/>
                              </w:rPr>
                            </w:pPr>
                            <w:r>
                              <w:rPr>
                                <w:color w:val="231F20"/>
                                <w:spacing w:val="-5"/>
                                <w:sz w:val="15"/>
                              </w:rPr>
                              <w:t>Bilateral</w:t>
                            </w:r>
                            <w:r>
                              <w:rPr>
                                <w:color w:val="231F20"/>
                                <w:spacing w:val="5"/>
                                <w:sz w:val="15"/>
                              </w:rPr>
                              <w:t> </w:t>
                            </w:r>
                            <w:r>
                              <w:rPr>
                                <w:color w:val="231F20"/>
                                <w:spacing w:val="-2"/>
                                <w:sz w:val="15"/>
                              </w:rPr>
                              <w:t>location</w:t>
                            </w:r>
                          </w:p>
                          <w:p>
                            <w:pPr>
                              <w:numPr>
                                <w:ilvl w:val="1"/>
                                <w:numId w:val="71"/>
                              </w:numPr>
                              <w:tabs>
                                <w:tab w:pos="457" w:val="left" w:leader="none"/>
                              </w:tabs>
                              <w:spacing w:line="168" w:lineRule="exact" w:before="0"/>
                              <w:ind w:left="457" w:right="0" w:hanging="191"/>
                              <w:jc w:val="left"/>
                              <w:rPr>
                                <w:color w:val="000000"/>
                                <w:sz w:val="15"/>
                              </w:rPr>
                            </w:pPr>
                            <w:r>
                              <w:rPr>
                                <w:color w:val="231F20"/>
                                <w:sz w:val="15"/>
                              </w:rPr>
                              <w:t>Pressing</w:t>
                            </w:r>
                            <w:r>
                              <w:rPr>
                                <w:color w:val="231F20"/>
                                <w:spacing w:val="-6"/>
                                <w:sz w:val="15"/>
                              </w:rPr>
                              <w:t> </w:t>
                            </w:r>
                            <w:r>
                              <w:rPr>
                                <w:color w:val="231F20"/>
                                <w:sz w:val="15"/>
                              </w:rPr>
                              <w:t>or</w:t>
                            </w:r>
                            <w:r>
                              <w:rPr>
                                <w:color w:val="231F20"/>
                                <w:spacing w:val="-5"/>
                                <w:sz w:val="15"/>
                              </w:rPr>
                              <w:t> </w:t>
                            </w:r>
                            <w:r>
                              <w:rPr>
                                <w:color w:val="231F20"/>
                                <w:sz w:val="15"/>
                              </w:rPr>
                              <w:t>tightening</w:t>
                            </w:r>
                            <w:r>
                              <w:rPr>
                                <w:color w:val="231F20"/>
                                <w:spacing w:val="-5"/>
                                <w:sz w:val="15"/>
                              </w:rPr>
                              <w:t> </w:t>
                            </w:r>
                            <w:r>
                              <w:rPr>
                                <w:color w:val="231F20"/>
                                <w:sz w:val="15"/>
                              </w:rPr>
                              <w:t>(nonpulsating)</w:t>
                            </w:r>
                            <w:r>
                              <w:rPr>
                                <w:color w:val="231F20"/>
                                <w:spacing w:val="-5"/>
                                <w:sz w:val="15"/>
                              </w:rPr>
                              <w:t> </w:t>
                            </w:r>
                            <w:r>
                              <w:rPr>
                                <w:color w:val="231F20"/>
                                <w:spacing w:val="-2"/>
                                <w:sz w:val="15"/>
                              </w:rPr>
                              <w:t>quality</w:t>
                            </w:r>
                          </w:p>
                          <w:p>
                            <w:pPr>
                              <w:numPr>
                                <w:ilvl w:val="1"/>
                                <w:numId w:val="71"/>
                              </w:numPr>
                              <w:tabs>
                                <w:tab w:pos="457" w:val="left" w:leader="none"/>
                              </w:tabs>
                              <w:spacing w:line="168" w:lineRule="exact" w:before="0"/>
                              <w:ind w:left="457" w:right="0" w:hanging="191"/>
                              <w:jc w:val="left"/>
                              <w:rPr>
                                <w:color w:val="000000"/>
                                <w:sz w:val="15"/>
                              </w:rPr>
                            </w:pPr>
                            <w:r>
                              <w:rPr>
                                <w:color w:val="231F20"/>
                                <w:sz w:val="15"/>
                              </w:rPr>
                              <w:t>Mild</w:t>
                            </w:r>
                            <w:r>
                              <w:rPr>
                                <w:color w:val="231F20"/>
                                <w:spacing w:val="6"/>
                                <w:sz w:val="15"/>
                              </w:rPr>
                              <w:t> </w:t>
                            </w:r>
                            <w:r>
                              <w:rPr>
                                <w:color w:val="231F20"/>
                                <w:sz w:val="15"/>
                              </w:rPr>
                              <w:t>or</w:t>
                            </w:r>
                            <w:r>
                              <w:rPr>
                                <w:color w:val="231F20"/>
                                <w:spacing w:val="6"/>
                                <w:sz w:val="15"/>
                              </w:rPr>
                              <w:t> </w:t>
                            </w:r>
                            <w:r>
                              <w:rPr>
                                <w:color w:val="231F20"/>
                                <w:sz w:val="15"/>
                              </w:rPr>
                              <w:t>moderate</w:t>
                            </w:r>
                            <w:r>
                              <w:rPr>
                                <w:color w:val="231F20"/>
                                <w:spacing w:val="6"/>
                                <w:sz w:val="15"/>
                              </w:rPr>
                              <w:t> </w:t>
                            </w:r>
                            <w:r>
                              <w:rPr>
                                <w:color w:val="231F20"/>
                                <w:spacing w:val="-2"/>
                                <w:sz w:val="15"/>
                              </w:rPr>
                              <w:t>intensity</w:t>
                            </w:r>
                          </w:p>
                          <w:p>
                            <w:pPr>
                              <w:numPr>
                                <w:ilvl w:val="1"/>
                                <w:numId w:val="71"/>
                              </w:numPr>
                              <w:tabs>
                                <w:tab w:pos="457" w:val="left" w:leader="none"/>
                                <w:tab w:pos="459" w:val="left" w:leader="none"/>
                              </w:tabs>
                              <w:spacing w:line="230" w:lineRule="auto" w:before="3"/>
                              <w:ind w:left="459" w:right="109" w:hanging="193"/>
                              <w:jc w:val="left"/>
                              <w:rPr>
                                <w:color w:val="000000"/>
                                <w:sz w:val="15"/>
                              </w:rPr>
                            </w:pPr>
                            <w:r>
                              <w:rPr>
                                <w:color w:val="231F20"/>
                                <w:sz w:val="15"/>
                              </w:rPr>
                              <w:t>Not</w:t>
                            </w:r>
                            <w:r>
                              <w:rPr>
                                <w:color w:val="231F20"/>
                                <w:spacing w:val="-8"/>
                                <w:sz w:val="15"/>
                              </w:rPr>
                              <w:t> </w:t>
                            </w:r>
                            <w:r>
                              <w:rPr>
                                <w:color w:val="231F20"/>
                                <w:sz w:val="15"/>
                              </w:rPr>
                              <w:t>aggravated</w:t>
                            </w:r>
                            <w:r>
                              <w:rPr>
                                <w:color w:val="231F20"/>
                                <w:spacing w:val="-8"/>
                                <w:sz w:val="15"/>
                              </w:rPr>
                              <w:t> </w:t>
                            </w:r>
                            <w:r>
                              <w:rPr>
                                <w:color w:val="231F20"/>
                                <w:sz w:val="15"/>
                              </w:rPr>
                              <w:t>by</w:t>
                            </w:r>
                            <w:r>
                              <w:rPr>
                                <w:color w:val="231F20"/>
                                <w:spacing w:val="-8"/>
                                <w:sz w:val="15"/>
                              </w:rPr>
                              <w:t> </w:t>
                            </w:r>
                            <w:r>
                              <w:rPr>
                                <w:color w:val="231F20"/>
                                <w:sz w:val="15"/>
                              </w:rPr>
                              <w:t>routine</w:t>
                            </w:r>
                            <w:r>
                              <w:rPr>
                                <w:color w:val="231F20"/>
                                <w:spacing w:val="-8"/>
                                <w:sz w:val="15"/>
                              </w:rPr>
                              <w:t> </w:t>
                            </w:r>
                            <w:r>
                              <w:rPr>
                                <w:color w:val="231F20"/>
                                <w:sz w:val="15"/>
                              </w:rPr>
                              <w:t>physical</w:t>
                            </w:r>
                            <w:r>
                              <w:rPr>
                                <w:color w:val="231F20"/>
                                <w:spacing w:val="-8"/>
                                <w:sz w:val="15"/>
                              </w:rPr>
                              <w:t> </w:t>
                            </w:r>
                            <w:r>
                              <w:rPr>
                                <w:color w:val="231F20"/>
                                <w:sz w:val="15"/>
                              </w:rPr>
                              <w:t>activity</w:t>
                            </w:r>
                            <w:r>
                              <w:rPr>
                                <w:color w:val="231F20"/>
                                <w:spacing w:val="-8"/>
                                <w:sz w:val="15"/>
                              </w:rPr>
                              <w:t> </w:t>
                            </w:r>
                            <w:r>
                              <w:rPr>
                                <w:color w:val="231F20"/>
                                <w:sz w:val="15"/>
                              </w:rPr>
                              <w:t>such</w:t>
                            </w:r>
                            <w:r>
                              <w:rPr>
                                <w:color w:val="231F20"/>
                                <w:spacing w:val="-8"/>
                                <w:sz w:val="15"/>
                              </w:rPr>
                              <w:t> </w:t>
                            </w:r>
                            <w:r>
                              <w:rPr>
                                <w:color w:val="231F20"/>
                                <w:sz w:val="15"/>
                              </w:rPr>
                              <w:t>as</w:t>
                            </w:r>
                            <w:r>
                              <w:rPr>
                                <w:color w:val="231F20"/>
                                <w:spacing w:val="-8"/>
                                <w:sz w:val="15"/>
                              </w:rPr>
                              <w:t> </w:t>
                            </w:r>
                            <w:r>
                              <w:rPr>
                                <w:color w:val="231F20"/>
                                <w:sz w:val="15"/>
                              </w:rPr>
                              <w:t>walking</w:t>
                            </w:r>
                            <w:r>
                              <w:rPr>
                                <w:color w:val="231F20"/>
                                <w:spacing w:val="-8"/>
                                <w:sz w:val="15"/>
                              </w:rPr>
                              <w:t> </w:t>
                            </w:r>
                            <w:r>
                              <w:rPr>
                                <w:color w:val="231F20"/>
                                <w:sz w:val="15"/>
                              </w:rPr>
                              <w:t>or climbing stairs</w:t>
                            </w:r>
                          </w:p>
                          <w:p>
                            <w:pPr>
                              <w:numPr>
                                <w:ilvl w:val="0"/>
                                <w:numId w:val="71"/>
                              </w:numPr>
                              <w:tabs>
                                <w:tab w:pos="278" w:val="left" w:leader="none"/>
                              </w:tabs>
                              <w:spacing w:line="167" w:lineRule="exact" w:before="0"/>
                              <w:ind w:left="278" w:right="0" w:hanging="204"/>
                              <w:jc w:val="left"/>
                              <w:rPr>
                                <w:color w:val="000000"/>
                                <w:sz w:val="15"/>
                              </w:rPr>
                            </w:pPr>
                            <w:r>
                              <w:rPr>
                                <w:color w:val="231F20"/>
                                <w:sz w:val="15"/>
                              </w:rPr>
                              <w:t>Both</w:t>
                            </w:r>
                            <w:r>
                              <w:rPr>
                                <w:color w:val="231F20"/>
                                <w:spacing w:val="-2"/>
                                <w:sz w:val="15"/>
                              </w:rPr>
                              <w:t> </w:t>
                            </w:r>
                            <w:r>
                              <w:rPr>
                                <w:color w:val="231F20"/>
                                <w:sz w:val="15"/>
                              </w:rPr>
                              <w:t>of</w:t>
                            </w:r>
                            <w:r>
                              <w:rPr>
                                <w:color w:val="231F20"/>
                                <w:spacing w:val="-1"/>
                                <w:sz w:val="15"/>
                              </w:rPr>
                              <w:t> </w:t>
                            </w:r>
                            <w:r>
                              <w:rPr>
                                <w:color w:val="231F20"/>
                                <w:sz w:val="15"/>
                              </w:rPr>
                              <w:t>the</w:t>
                            </w:r>
                            <w:r>
                              <w:rPr>
                                <w:color w:val="231F20"/>
                                <w:spacing w:val="-1"/>
                                <w:sz w:val="15"/>
                              </w:rPr>
                              <w:t> </w:t>
                            </w:r>
                            <w:r>
                              <w:rPr>
                                <w:color w:val="231F20"/>
                                <w:spacing w:val="-2"/>
                                <w:sz w:val="15"/>
                              </w:rPr>
                              <w:t>following:</w:t>
                            </w:r>
                          </w:p>
                          <w:p>
                            <w:pPr>
                              <w:numPr>
                                <w:ilvl w:val="1"/>
                                <w:numId w:val="71"/>
                              </w:numPr>
                              <w:tabs>
                                <w:tab w:pos="458" w:val="left" w:leader="none"/>
                              </w:tabs>
                              <w:spacing w:line="168" w:lineRule="exact" w:before="0"/>
                              <w:ind w:left="458" w:right="0" w:hanging="191"/>
                              <w:jc w:val="left"/>
                              <w:rPr>
                                <w:color w:val="000000"/>
                                <w:sz w:val="15"/>
                              </w:rPr>
                            </w:pPr>
                            <w:r>
                              <w:rPr>
                                <w:color w:val="231F20"/>
                                <w:w w:val="105"/>
                                <w:sz w:val="15"/>
                              </w:rPr>
                              <w:t>No</w:t>
                            </w:r>
                            <w:r>
                              <w:rPr>
                                <w:color w:val="231F20"/>
                                <w:spacing w:val="-6"/>
                                <w:w w:val="105"/>
                                <w:sz w:val="15"/>
                              </w:rPr>
                              <w:t> </w:t>
                            </w:r>
                            <w:r>
                              <w:rPr>
                                <w:color w:val="231F20"/>
                                <w:w w:val="105"/>
                                <w:sz w:val="15"/>
                              </w:rPr>
                              <w:t>nausea</w:t>
                            </w:r>
                            <w:r>
                              <w:rPr>
                                <w:color w:val="231F20"/>
                                <w:spacing w:val="-5"/>
                                <w:w w:val="105"/>
                                <w:sz w:val="15"/>
                              </w:rPr>
                              <w:t> </w:t>
                            </w:r>
                            <w:r>
                              <w:rPr>
                                <w:color w:val="231F20"/>
                                <w:w w:val="105"/>
                                <w:sz w:val="15"/>
                              </w:rPr>
                              <w:t>or</w:t>
                            </w:r>
                            <w:r>
                              <w:rPr>
                                <w:color w:val="231F20"/>
                                <w:spacing w:val="-5"/>
                                <w:w w:val="105"/>
                                <w:sz w:val="15"/>
                              </w:rPr>
                              <w:t> </w:t>
                            </w:r>
                            <w:r>
                              <w:rPr>
                                <w:color w:val="231F20"/>
                                <w:spacing w:val="-2"/>
                                <w:w w:val="105"/>
                                <w:sz w:val="15"/>
                              </w:rPr>
                              <w:t>vomiting</w:t>
                            </w:r>
                          </w:p>
                          <w:p>
                            <w:pPr>
                              <w:numPr>
                                <w:ilvl w:val="1"/>
                                <w:numId w:val="71"/>
                              </w:numPr>
                              <w:tabs>
                                <w:tab w:pos="458" w:val="left" w:leader="none"/>
                              </w:tabs>
                              <w:spacing w:line="168" w:lineRule="exact" w:before="0"/>
                              <w:ind w:left="458" w:right="0" w:hanging="191"/>
                              <w:jc w:val="left"/>
                              <w:rPr>
                                <w:color w:val="000000"/>
                                <w:sz w:val="15"/>
                              </w:rPr>
                            </w:pPr>
                            <w:r>
                              <w:rPr>
                                <w:color w:val="231F20"/>
                                <w:w w:val="105"/>
                                <w:sz w:val="15"/>
                              </w:rPr>
                              <w:t>No</w:t>
                            </w:r>
                            <w:r>
                              <w:rPr>
                                <w:color w:val="231F20"/>
                                <w:spacing w:val="-10"/>
                                <w:w w:val="105"/>
                                <w:sz w:val="15"/>
                              </w:rPr>
                              <w:t> </w:t>
                            </w:r>
                            <w:r>
                              <w:rPr>
                                <w:color w:val="231F20"/>
                                <w:w w:val="105"/>
                                <w:sz w:val="15"/>
                              </w:rPr>
                              <w:t>more</w:t>
                            </w:r>
                            <w:r>
                              <w:rPr>
                                <w:color w:val="231F20"/>
                                <w:spacing w:val="-10"/>
                                <w:w w:val="105"/>
                                <w:sz w:val="15"/>
                              </w:rPr>
                              <w:t> </w:t>
                            </w:r>
                            <w:r>
                              <w:rPr>
                                <w:color w:val="231F20"/>
                                <w:w w:val="105"/>
                                <w:sz w:val="15"/>
                              </w:rPr>
                              <w:t>than</w:t>
                            </w:r>
                            <w:r>
                              <w:rPr>
                                <w:color w:val="231F20"/>
                                <w:spacing w:val="-10"/>
                                <w:w w:val="105"/>
                                <w:sz w:val="15"/>
                              </w:rPr>
                              <w:t> </w:t>
                            </w:r>
                            <w:r>
                              <w:rPr>
                                <w:color w:val="231F20"/>
                                <w:w w:val="105"/>
                                <w:sz w:val="15"/>
                              </w:rPr>
                              <w:t>1</w:t>
                            </w:r>
                            <w:r>
                              <w:rPr>
                                <w:color w:val="231F20"/>
                                <w:spacing w:val="-10"/>
                                <w:w w:val="105"/>
                                <w:sz w:val="15"/>
                              </w:rPr>
                              <w:t> </w:t>
                            </w:r>
                            <w:r>
                              <w:rPr>
                                <w:color w:val="231F20"/>
                                <w:w w:val="105"/>
                                <w:sz w:val="15"/>
                              </w:rPr>
                              <w:t>of</w:t>
                            </w:r>
                            <w:r>
                              <w:rPr>
                                <w:color w:val="231F20"/>
                                <w:spacing w:val="-10"/>
                                <w:w w:val="105"/>
                                <w:sz w:val="15"/>
                              </w:rPr>
                              <w:t> </w:t>
                            </w:r>
                            <w:r>
                              <w:rPr>
                                <w:color w:val="231F20"/>
                                <w:w w:val="105"/>
                                <w:sz w:val="15"/>
                              </w:rPr>
                              <w:t>photophobia</w:t>
                            </w:r>
                            <w:r>
                              <w:rPr>
                                <w:color w:val="231F20"/>
                                <w:spacing w:val="-10"/>
                                <w:w w:val="105"/>
                                <w:sz w:val="15"/>
                              </w:rPr>
                              <w:t> </w:t>
                            </w:r>
                            <w:r>
                              <w:rPr>
                                <w:color w:val="231F20"/>
                                <w:w w:val="105"/>
                                <w:sz w:val="15"/>
                              </w:rPr>
                              <w:t>or</w:t>
                            </w:r>
                            <w:r>
                              <w:rPr>
                                <w:color w:val="231F20"/>
                                <w:spacing w:val="-9"/>
                                <w:w w:val="105"/>
                                <w:sz w:val="15"/>
                              </w:rPr>
                              <w:t> </w:t>
                            </w:r>
                            <w:r>
                              <w:rPr>
                                <w:color w:val="231F20"/>
                                <w:spacing w:val="-2"/>
                                <w:w w:val="105"/>
                                <w:sz w:val="15"/>
                              </w:rPr>
                              <w:t>phonophobia</w:t>
                            </w:r>
                          </w:p>
                          <w:p>
                            <w:pPr>
                              <w:numPr>
                                <w:ilvl w:val="0"/>
                                <w:numId w:val="71"/>
                              </w:numPr>
                              <w:tabs>
                                <w:tab w:pos="278" w:val="left" w:leader="none"/>
                              </w:tabs>
                              <w:spacing w:line="171" w:lineRule="exact" w:before="0"/>
                              <w:ind w:left="278" w:right="0" w:hanging="204"/>
                              <w:jc w:val="left"/>
                              <w:rPr>
                                <w:color w:val="000000"/>
                                <w:sz w:val="15"/>
                              </w:rPr>
                            </w:pPr>
                            <w:r>
                              <w:rPr>
                                <w:color w:val="231F20"/>
                                <w:sz w:val="15"/>
                              </w:rPr>
                              <w:t>Not</w:t>
                            </w:r>
                            <w:r>
                              <w:rPr>
                                <w:color w:val="231F20"/>
                                <w:spacing w:val="1"/>
                                <w:sz w:val="15"/>
                              </w:rPr>
                              <w:t> </w:t>
                            </w:r>
                            <w:r>
                              <w:rPr>
                                <w:color w:val="231F20"/>
                                <w:sz w:val="15"/>
                              </w:rPr>
                              <w:t>better</w:t>
                            </w:r>
                            <w:r>
                              <w:rPr>
                                <w:color w:val="231F20"/>
                                <w:spacing w:val="1"/>
                                <w:sz w:val="15"/>
                              </w:rPr>
                              <w:t> </w:t>
                            </w:r>
                            <w:r>
                              <w:rPr>
                                <w:color w:val="231F20"/>
                                <w:sz w:val="15"/>
                              </w:rPr>
                              <w:t>accounted</w:t>
                            </w:r>
                            <w:r>
                              <w:rPr>
                                <w:color w:val="231F20"/>
                                <w:spacing w:val="1"/>
                                <w:sz w:val="15"/>
                              </w:rPr>
                              <w:t> </w:t>
                            </w:r>
                            <w:r>
                              <w:rPr>
                                <w:color w:val="231F20"/>
                                <w:sz w:val="15"/>
                              </w:rPr>
                              <w:t>for</w:t>
                            </w:r>
                            <w:r>
                              <w:rPr>
                                <w:color w:val="231F20"/>
                                <w:spacing w:val="1"/>
                                <w:sz w:val="15"/>
                              </w:rPr>
                              <w:t> </w:t>
                            </w:r>
                            <w:r>
                              <w:rPr>
                                <w:color w:val="231F20"/>
                                <w:sz w:val="15"/>
                              </w:rPr>
                              <w:t>by</w:t>
                            </w:r>
                            <w:r>
                              <w:rPr>
                                <w:color w:val="231F20"/>
                                <w:spacing w:val="2"/>
                                <w:sz w:val="15"/>
                              </w:rPr>
                              <w:t> </w:t>
                            </w:r>
                            <w:r>
                              <w:rPr>
                                <w:color w:val="231F20"/>
                                <w:sz w:val="15"/>
                              </w:rPr>
                              <w:t>another</w:t>
                            </w:r>
                            <w:r>
                              <w:rPr>
                                <w:color w:val="231F20"/>
                                <w:spacing w:val="1"/>
                                <w:sz w:val="15"/>
                              </w:rPr>
                              <w:t> </w:t>
                            </w:r>
                            <w:r>
                              <w:rPr>
                                <w:color w:val="231F20"/>
                                <w:sz w:val="15"/>
                              </w:rPr>
                              <w:t>ICHD-3</w:t>
                            </w:r>
                            <w:r>
                              <w:rPr>
                                <w:color w:val="231F20"/>
                                <w:spacing w:val="1"/>
                                <w:sz w:val="15"/>
                              </w:rPr>
                              <w:t> </w:t>
                            </w:r>
                            <w:r>
                              <w:rPr>
                                <w:color w:val="231F20"/>
                                <w:sz w:val="15"/>
                              </w:rPr>
                              <w:t>beta</w:t>
                            </w:r>
                            <w:r>
                              <w:rPr>
                                <w:color w:val="231F20"/>
                                <w:spacing w:val="1"/>
                                <w:sz w:val="15"/>
                              </w:rPr>
                              <w:t> </w:t>
                            </w:r>
                            <w:r>
                              <w:rPr>
                                <w:color w:val="231F20"/>
                                <w:spacing w:val="-2"/>
                                <w:sz w:val="15"/>
                              </w:rPr>
                              <w:t>diagnosis</w:t>
                            </w:r>
                          </w:p>
                        </w:txbxContent>
                      </wps:txbx>
                      <wps:bodyPr wrap="square" lIns="0" tIns="0" rIns="0" bIns="0" rtlCol="0">
                        <a:noAutofit/>
                      </wps:bodyPr>
                    </wps:wsp>
                  </a:graphicData>
                </a:graphic>
              </wp:anchor>
            </w:drawing>
          </mc:Choice>
          <mc:Fallback>
            <w:pict>
              <v:shape style="position:absolute;margin-left:48.220188pt;margin-top:217.436707pt;width:235.15pt;height:122.45pt;mso-position-horizontal-relative:page;mso-position-vertical-relative:page;z-index:15767552" type="#_x0000_t202" id="docshape598" filled="true" fillcolor="#e8f5f1" stroked="false">
                <v:textbox inset="0,0,0,0">
                  <w:txbxContent>
                    <w:p>
                      <w:pPr>
                        <w:numPr>
                          <w:ilvl w:val="0"/>
                          <w:numId w:val="71"/>
                        </w:numPr>
                        <w:tabs>
                          <w:tab w:pos="279" w:val="left" w:leader="none"/>
                        </w:tabs>
                        <w:spacing w:line="230" w:lineRule="auto" w:before="53"/>
                        <w:ind w:left="279" w:right="379" w:hanging="206"/>
                        <w:jc w:val="left"/>
                        <w:rPr>
                          <w:color w:val="000000"/>
                          <w:sz w:val="15"/>
                        </w:rPr>
                      </w:pPr>
                      <w:r>
                        <w:rPr>
                          <w:color w:val="231F20"/>
                          <w:sz w:val="15"/>
                        </w:rPr>
                        <w:t>At least 10 episodes of headache occurring on </w:t>
                      </w:r>
                      <w:r>
                        <w:rPr>
                          <w:rFonts w:ascii="Cambria"/>
                          <w:color w:val="231F20"/>
                          <w:sz w:val="15"/>
                        </w:rPr>
                        <w:t>&lt;</w:t>
                      </w:r>
                      <w:r>
                        <w:rPr>
                          <w:color w:val="231F20"/>
                          <w:sz w:val="15"/>
                        </w:rPr>
                        <w:t>1 day per month</w:t>
                      </w:r>
                      <w:r>
                        <w:rPr>
                          <w:color w:val="231F20"/>
                          <w:spacing w:val="-12"/>
                          <w:sz w:val="15"/>
                        </w:rPr>
                        <w:t> </w:t>
                      </w:r>
                      <w:r>
                        <w:rPr>
                          <w:color w:val="231F20"/>
                          <w:sz w:val="15"/>
                        </w:rPr>
                        <w:t>on</w:t>
                      </w:r>
                      <w:r>
                        <w:rPr>
                          <w:color w:val="231F20"/>
                          <w:spacing w:val="-11"/>
                          <w:sz w:val="15"/>
                        </w:rPr>
                        <w:t> </w:t>
                      </w:r>
                      <w:r>
                        <w:rPr>
                          <w:color w:val="231F20"/>
                          <w:sz w:val="15"/>
                        </w:rPr>
                        <w:t>average</w:t>
                      </w:r>
                      <w:r>
                        <w:rPr>
                          <w:color w:val="231F20"/>
                          <w:spacing w:val="-11"/>
                          <w:sz w:val="15"/>
                        </w:rPr>
                        <w:t> </w:t>
                      </w:r>
                      <w:r>
                        <w:rPr>
                          <w:color w:val="231F20"/>
                          <w:sz w:val="15"/>
                        </w:rPr>
                        <w:t>(</w:t>
                      </w:r>
                      <w:r>
                        <w:rPr>
                          <w:rFonts w:ascii="Cambria"/>
                          <w:color w:val="231F20"/>
                          <w:sz w:val="15"/>
                        </w:rPr>
                        <w:t>&lt;</w:t>
                      </w:r>
                      <w:r>
                        <w:rPr>
                          <w:color w:val="231F20"/>
                          <w:sz w:val="15"/>
                        </w:rPr>
                        <w:t>12</w:t>
                      </w:r>
                      <w:r>
                        <w:rPr>
                          <w:color w:val="231F20"/>
                          <w:spacing w:val="-12"/>
                          <w:sz w:val="15"/>
                        </w:rPr>
                        <w:t> </w:t>
                      </w:r>
                      <w:r>
                        <w:rPr>
                          <w:color w:val="231F20"/>
                          <w:sz w:val="15"/>
                        </w:rPr>
                        <w:t>days</w:t>
                      </w:r>
                      <w:r>
                        <w:rPr>
                          <w:color w:val="231F20"/>
                          <w:spacing w:val="-11"/>
                          <w:sz w:val="15"/>
                        </w:rPr>
                        <w:t> </w:t>
                      </w:r>
                      <w:r>
                        <w:rPr>
                          <w:color w:val="231F20"/>
                          <w:sz w:val="15"/>
                        </w:rPr>
                        <w:t>per</w:t>
                      </w:r>
                      <w:r>
                        <w:rPr>
                          <w:color w:val="231F20"/>
                          <w:spacing w:val="-11"/>
                          <w:sz w:val="15"/>
                        </w:rPr>
                        <w:t> </w:t>
                      </w:r>
                      <w:r>
                        <w:rPr>
                          <w:color w:val="231F20"/>
                          <w:sz w:val="15"/>
                        </w:rPr>
                        <w:t>year)</w:t>
                      </w:r>
                      <w:r>
                        <w:rPr>
                          <w:color w:val="231F20"/>
                          <w:spacing w:val="-12"/>
                          <w:sz w:val="15"/>
                        </w:rPr>
                        <w:t> </w:t>
                      </w:r>
                      <w:r>
                        <w:rPr>
                          <w:color w:val="231F20"/>
                          <w:sz w:val="15"/>
                        </w:rPr>
                        <w:t>and</w:t>
                      </w:r>
                      <w:r>
                        <w:rPr>
                          <w:color w:val="231F20"/>
                          <w:spacing w:val="-11"/>
                          <w:sz w:val="15"/>
                        </w:rPr>
                        <w:t> </w:t>
                      </w:r>
                      <w:r>
                        <w:rPr>
                          <w:color w:val="231F20"/>
                          <w:sz w:val="15"/>
                        </w:rPr>
                        <w:t>fulfilling</w:t>
                      </w:r>
                      <w:r>
                        <w:rPr>
                          <w:color w:val="231F20"/>
                          <w:spacing w:val="-11"/>
                          <w:sz w:val="15"/>
                        </w:rPr>
                        <w:t> </w:t>
                      </w:r>
                      <w:r>
                        <w:rPr>
                          <w:color w:val="231F20"/>
                          <w:sz w:val="15"/>
                        </w:rPr>
                        <w:t>criteria</w:t>
                      </w:r>
                      <w:r>
                        <w:rPr>
                          <w:color w:val="231F20"/>
                          <w:spacing w:val="-11"/>
                          <w:sz w:val="15"/>
                        </w:rPr>
                        <w:t> </w:t>
                      </w:r>
                      <w:r>
                        <w:rPr>
                          <w:color w:val="231F20"/>
                          <w:sz w:val="15"/>
                        </w:rPr>
                        <w:t>B to D</w:t>
                      </w:r>
                    </w:p>
                    <w:p>
                      <w:pPr>
                        <w:numPr>
                          <w:ilvl w:val="0"/>
                          <w:numId w:val="71"/>
                        </w:numPr>
                        <w:tabs>
                          <w:tab w:pos="279" w:val="left" w:leader="none"/>
                        </w:tabs>
                        <w:spacing w:line="166" w:lineRule="exact" w:before="0"/>
                        <w:ind w:left="279" w:right="0" w:hanging="205"/>
                        <w:jc w:val="left"/>
                        <w:rPr>
                          <w:color w:val="000000"/>
                          <w:sz w:val="15"/>
                        </w:rPr>
                      </w:pPr>
                      <w:r>
                        <w:rPr>
                          <w:color w:val="231F20"/>
                          <w:sz w:val="15"/>
                        </w:rPr>
                        <w:t>Lasting</w:t>
                      </w:r>
                      <w:r>
                        <w:rPr>
                          <w:color w:val="231F20"/>
                          <w:spacing w:val="-3"/>
                          <w:sz w:val="15"/>
                        </w:rPr>
                        <w:t> </w:t>
                      </w:r>
                      <w:r>
                        <w:rPr>
                          <w:color w:val="231F20"/>
                          <w:sz w:val="15"/>
                        </w:rPr>
                        <w:t>from</w:t>
                      </w:r>
                      <w:r>
                        <w:rPr>
                          <w:color w:val="231F20"/>
                          <w:spacing w:val="-3"/>
                          <w:sz w:val="15"/>
                        </w:rPr>
                        <w:t> </w:t>
                      </w:r>
                      <w:r>
                        <w:rPr>
                          <w:color w:val="231F20"/>
                          <w:sz w:val="15"/>
                        </w:rPr>
                        <w:t>30</w:t>
                      </w:r>
                      <w:r>
                        <w:rPr>
                          <w:color w:val="231F20"/>
                          <w:spacing w:val="-3"/>
                          <w:sz w:val="15"/>
                        </w:rPr>
                        <w:t> </w:t>
                      </w:r>
                      <w:r>
                        <w:rPr>
                          <w:color w:val="231F20"/>
                          <w:sz w:val="15"/>
                        </w:rPr>
                        <w:t>min</w:t>
                      </w:r>
                      <w:r>
                        <w:rPr>
                          <w:color w:val="231F20"/>
                          <w:spacing w:val="-2"/>
                          <w:sz w:val="15"/>
                        </w:rPr>
                        <w:t> </w:t>
                      </w:r>
                      <w:r>
                        <w:rPr>
                          <w:color w:val="231F20"/>
                          <w:sz w:val="15"/>
                        </w:rPr>
                        <w:t>to</w:t>
                      </w:r>
                      <w:r>
                        <w:rPr>
                          <w:color w:val="231F20"/>
                          <w:spacing w:val="-3"/>
                          <w:sz w:val="15"/>
                        </w:rPr>
                        <w:t> </w:t>
                      </w:r>
                      <w:r>
                        <w:rPr>
                          <w:color w:val="231F20"/>
                          <w:sz w:val="15"/>
                        </w:rPr>
                        <w:t>7</w:t>
                      </w:r>
                      <w:r>
                        <w:rPr>
                          <w:color w:val="231F20"/>
                          <w:spacing w:val="-3"/>
                          <w:sz w:val="15"/>
                        </w:rPr>
                        <w:t> </w:t>
                      </w:r>
                      <w:r>
                        <w:rPr>
                          <w:color w:val="231F20"/>
                          <w:spacing w:val="-4"/>
                          <w:sz w:val="15"/>
                        </w:rPr>
                        <w:t>days</w:t>
                      </w:r>
                    </w:p>
                    <w:p>
                      <w:pPr>
                        <w:numPr>
                          <w:ilvl w:val="0"/>
                          <w:numId w:val="71"/>
                        </w:numPr>
                        <w:tabs>
                          <w:tab w:pos="279" w:val="left" w:leader="none"/>
                        </w:tabs>
                        <w:spacing w:line="168" w:lineRule="exact" w:before="0"/>
                        <w:ind w:left="279" w:right="0" w:hanging="205"/>
                        <w:jc w:val="left"/>
                        <w:rPr>
                          <w:color w:val="000000"/>
                          <w:sz w:val="15"/>
                        </w:rPr>
                      </w:pPr>
                      <w:r>
                        <w:rPr>
                          <w:color w:val="231F20"/>
                          <w:sz w:val="15"/>
                        </w:rPr>
                        <w:t>At</w:t>
                      </w:r>
                      <w:r>
                        <w:rPr>
                          <w:color w:val="231F20"/>
                          <w:spacing w:val="-5"/>
                          <w:sz w:val="15"/>
                        </w:rPr>
                        <w:t> </w:t>
                      </w:r>
                      <w:r>
                        <w:rPr>
                          <w:color w:val="231F20"/>
                          <w:sz w:val="15"/>
                        </w:rPr>
                        <w:t>least</w:t>
                      </w:r>
                      <w:r>
                        <w:rPr>
                          <w:color w:val="231F20"/>
                          <w:spacing w:val="-5"/>
                          <w:sz w:val="15"/>
                        </w:rPr>
                        <w:t> </w:t>
                      </w:r>
                      <w:r>
                        <w:rPr>
                          <w:color w:val="231F20"/>
                          <w:sz w:val="15"/>
                        </w:rPr>
                        <w:t>2</w:t>
                      </w:r>
                      <w:r>
                        <w:rPr>
                          <w:color w:val="231F20"/>
                          <w:spacing w:val="-5"/>
                          <w:sz w:val="15"/>
                        </w:rPr>
                        <w:t> </w:t>
                      </w:r>
                      <w:r>
                        <w:rPr>
                          <w:color w:val="231F20"/>
                          <w:sz w:val="15"/>
                        </w:rPr>
                        <w:t>of</w:t>
                      </w:r>
                      <w:r>
                        <w:rPr>
                          <w:color w:val="231F20"/>
                          <w:spacing w:val="-5"/>
                          <w:sz w:val="15"/>
                        </w:rPr>
                        <w:t> </w:t>
                      </w:r>
                      <w:r>
                        <w:rPr>
                          <w:color w:val="231F20"/>
                          <w:sz w:val="15"/>
                        </w:rPr>
                        <w:t>the</w:t>
                      </w:r>
                      <w:r>
                        <w:rPr>
                          <w:color w:val="231F20"/>
                          <w:spacing w:val="-5"/>
                          <w:sz w:val="15"/>
                        </w:rPr>
                        <w:t> </w:t>
                      </w:r>
                      <w:r>
                        <w:rPr>
                          <w:color w:val="231F20"/>
                          <w:sz w:val="15"/>
                        </w:rPr>
                        <w:t>following</w:t>
                      </w:r>
                      <w:r>
                        <w:rPr>
                          <w:color w:val="231F20"/>
                          <w:spacing w:val="-5"/>
                          <w:sz w:val="15"/>
                        </w:rPr>
                        <w:t> </w:t>
                      </w:r>
                      <w:r>
                        <w:rPr>
                          <w:color w:val="231F20"/>
                          <w:sz w:val="15"/>
                        </w:rPr>
                        <w:t>4</w:t>
                      </w:r>
                      <w:r>
                        <w:rPr>
                          <w:color w:val="231F20"/>
                          <w:spacing w:val="-5"/>
                          <w:sz w:val="15"/>
                        </w:rPr>
                        <w:t> </w:t>
                      </w:r>
                      <w:r>
                        <w:rPr>
                          <w:color w:val="231F20"/>
                          <w:spacing w:val="-2"/>
                          <w:sz w:val="15"/>
                        </w:rPr>
                        <w:t>characteristics:</w:t>
                      </w:r>
                    </w:p>
                    <w:p>
                      <w:pPr>
                        <w:numPr>
                          <w:ilvl w:val="1"/>
                          <w:numId w:val="71"/>
                        </w:numPr>
                        <w:tabs>
                          <w:tab w:pos="457" w:val="left" w:leader="none"/>
                        </w:tabs>
                        <w:spacing w:line="168" w:lineRule="exact" w:before="0"/>
                        <w:ind w:left="457" w:right="0" w:hanging="191"/>
                        <w:jc w:val="left"/>
                        <w:rPr>
                          <w:color w:val="000000"/>
                          <w:sz w:val="15"/>
                        </w:rPr>
                      </w:pPr>
                      <w:r>
                        <w:rPr>
                          <w:color w:val="231F20"/>
                          <w:spacing w:val="-5"/>
                          <w:sz w:val="15"/>
                        </w:rPr>
                        <w:t>Bilateral</w:t>
                      </w:r>
                      <w:r>
                        <w:rPr>
                          <w:color w:val="231F20"/>
                          <w:spacing w:val="5"/>
                          <w:sz w:val="15"/>
                        </w:rPr>
                        <w:t> </w:t>
                      </w:r>
                      <w:r>
                        <w:rPr>
                          <w:color w:val="231F20"/>
                          <w:spacing w:val="-2"/>
                          <w:sz w:val="15"/>
                        </w:rPr>
                        <w:t>location</w:t>
                      </w:r>
                    </w:p>
                    <w:p>
                      <w:pPr>
                        <w:numPr>
                          <w:ilvl w:val="1"/>
                          <w:numId w:val="71"/>
                        </w:numPr>
                        <w:tabs>
                          <w:tab w:pos="457" w:val="left" w:leader="none"/>
                        </w:tabs>
                        <w:spacing w:line="168" w:lineRule="exact" w:before="0"/>
                        <w:ind w:left="457" w:right="0" w:hanging="191"/>
                        <w:jc w:val="left"/>
                        <w:rPr>
                          <w:color w:val="000000"/>
                          <w:sz w:val="15"/>
                        </w:rPr>
                      </w:pPr>
                      <w:r>
                        <w:rPr>
                          <w:color w:val="231F20"/>
                          <w:sz w:val="15"/>
                        </w:rPr>
                        <w:t>Pressing</w:t>
                      </w:r>
                      <w:r>
                        <w:rPr>
                          <w:color w:val="231F20"/>
                          <w:spacing w:val="-6"/>
                          <w:sz w:val="15"/>
                        </w:rPr>
                        <w:t> </w:t>
                      </w:r>
                      <w:r>
                        <w:rPr>
                          <w:color w:val="231F20"/>
                          <w:sz w:val="15"/>
                        </w:rPr>
                        <w:t>or</w:t>
                      </w:r>
                      <w:r>
                        <w:rPr>
                          <w:color w:val="231F20"/>
                          <w:spacing w:val="-5"/>
                          <w:sz w:val="15"/>
                        </w:rPr>
                        <w:t> </w:t>
                      </w:r>
                      <w:r>
                        <w:rPr>
                          <w:color w:val="231F20"/>
                          <w:sz w:val="15"/>
                        </w:rPr>
                        <w:t>tightening</w:t>
                      </w:r>
                      <w:r>
                        <w:rPr>
                          <w:color w:val="231F20"/>
                          <w:spacing w:val="-5"/>
                          <w:sz w:val="15"/>
                        </w:rPr>
                        <w:t> </w:t>
                      </w:r>
                      <w:r>
                        <w:rPr>
                          <w:color w:val="231F20"/>
                          <w:sz w:val="15"/>
                        </w:rPr>
                        <w:t>(nonpulsating)</w:t>
                      </w:r>
                      <w:r>
                        <w:rPr>
                          <w:color w:val="231F20"/>
                          <w:spacing w:val="-5"/>
                          <w:sz w:val="15"/>
                        </w:rPr>
                        <w:t> </w:t>
                      </w:r>
                      <w:r>
                        <w:rPr>
                          <w:color w:val="231F20"/>
                          <w:spacing w:val="-2"/>
                          <w:sz w:val="15"/>
                        </w:rPr>
                        <w:t>quality</w:t>
                      </w:r>
                    </w:p>
                    <w:p>
                      <w:pPr>
                        <w:numPr>
                          <w:ilvl w:val="1"/>
                          <w:numId w:val="71"/>
                        </w:numPr>
                        <w:tabs>
                          <w:tab w:pos="457" w:val="left" w:leader="none"/>
                        </w:tabs>
                        <w:spacing w:line="168" w:lineRule="exact" w:before="0"/>
                        <w:ind w:left="457" w:right="0" w:hanging="191"/>
                        <w:jc w:val="left"/>
                        <w:rPr>
                          <w:color w:val="000000"/>
                          <w:sz w:val="15"/>
                        </w:rPr>
                      </w:pPr>
                      <w:r>
                        <w:rPr>
                          <w:color w:val="231F20"/>
                          <w:sz w:val="15"/>
                        </w:rPr>
                        <w:t>Mild</w:t>
                      </w:r>
                      <w:r>
                        <w:rPr>
                          <w:color w:val="231F20"/>
                          <w:spacing w:val="6"/>
                          <w:sz w:val="15"/>
                        </w:rPr>
                        <w:t> </w:t>
                      </w:r>
                      <w:r>
                        <w:rPr>
                          <w:color w:val="231F20"/>
                          <w:sz w:val="15"/>
                        </w:rPr>
                        <w:t>or</w:t>
                      </w:r>
                      <w:r>
                        <w:rPr>
                          <w:color w:val="231F20"/>
                          <w:spacing w:val="6"/>
                          <w:sz w:val="15"/>
                        </w:rPr>
                        <w:t> </w:t>
                      </w:r>
                      <w:r>
                        <w:rPr>
                          <w:color w:val="231F20"/>
                          <w:sz w:val="15"/>
                        </w:rPr>
                        <w:t>moderate</w:t>
                      </w:r>
                      <w:r>
                        <w:rPr>
                          <w:color w:val="231F20"/>
                          <w:spacing w:val="6"/>
                          <w:sz w:val="15"/>
                        </w:rPr>
                        <w:t> </w:t>
                      </w:r>
                      <w:r>
                        <w:rPr>
                          <w:color w:val="231F20"/>
                          <w:spacing w:val="-2"/>
                          <w:sz w:val="15"/>
                        </w:rPr>
                        <w:t>intensity</w:t>
                      </w:r>
                    </w:p>
                    <w:p>
                      <w:pPr>
                        <w:numPr>
                          <w:ilvl w:val="1"/>
                          <w:numId w:val="71"/>
                        </w:numPr>
                        <w:tabs>
                          <w:tab w:pos="457" w:val="left" w:leader="none"/>
                          <w:tab w:pos="459" w:val="left" w:leader="none"/>
                        </w:tabs>
                        <w:spacing w:line="230" w:lineRule="auto" w:before="3"/>
                        <w:ind w:left="459" w:right="109" w:hanging="193"/>
                        <w:jc w:val="left"/>
                        <w:rPr>
                          <w:color w:val="000000"/>
                          <w:sz w:val="15"/>
                        </w:rPr>
                      </w:pPr>
                      <w:r>
                        <w:rPr>
                          <w:color w:val="231F20"/>
                          <w:sz w:val="15"/>
                        </w:rPr>
                        <w:t>Not</w:t>
                      </w:r>
                      <w:r>
                        <w:rPr>
                          <w:color w:val="231F20"/>
                          <w:spacing w:val="-8"/>
                          <w:sz w:val="15"/>
                        </w:rPr>
                        <w:t> </w:t>
                      </w:r>
                      <w:r>
                        <w:rPr>
                          <w:color w:val="231F20"/>
                          <w:sz w:val="15"/>
                        </w:rPr>
                        <w:t>aggravated</w:t>
                      </w:r>
                      <w:r>
                        <w:rPr>
                          <w:color w:val="231F20"/>
                          <w:spacing w:val="-8"/>
                          <w:sz w:val="15"/>
                        </w:rPr>
                        <w:t> </w:t>
                      </w:r>
                      <w:r>
                        <w:rPr>
                          <w:color w:val="231F20"/>
                          <w:sz w:val="15"/>
                        </w:rPr>
                        <w:t>by</w:t>
                      </w:r>
                      <w:r>
                        <w:rPr>
                          <w:color w:val="231F20"/>
                          <w:spacing w:val="-8"/>
                          <w:sz w:val="15"/>
                        </w:rPr>
                        <w:t> </w:t>
                      </w:r>
                      <w:r>
                        <w:rPr>
                          <w:color w:val="231F20"/>
                          <w:sz w:val="15"/>
                        </w:rPr>
                        <w:t>routine</w:t>
                      </w:r>
                      <w:r>
                        <w:rPr>
                          <w:color w:val="231F20"/>
                          <w:spacing w:val="-8"/>
                          <w:sz w:val="15"/>
                        </w:rPr>
                        <w:t> </w:t>
                      </w:r>
                      <w:r>
                        <w:rPr>
                          <w:color w:val="231F20"/>
                          <w:sz w:val="15"/>
                        </w:rPr>
                        <w:t>physical</w:t>
                      </w:r>
                      <w:r>
                        <w:rPr>
                          <w:color w:val="231F20"/>
                          <w:spacing w:val="-8"/>
                          <w:sz w:val="15"/>
                        </w:rPr>
                        <w:t> </w:t>
                      </w:r>
                      <w:r>
                        <w:rPr>
                          <w:color w:val="231F20"/>
                          <w:sz w:val="15"/>
                        </w:rPr>
                        <w:t>activity</w:t>
                      </w:r>
                      <w:r>
                        <w:rPr>
                          <w:color w:val="231F20"/>
                          <w:spacing w:val="-8"/>
                          <w:sz w:val="15"/>
                        </w:rPr>
                        <w:t> </w:t>
                      </w:r>
                      <w:r>
                        <w:rPr>
                          <w:color w:val="231F20"/>
                          <w:sz w:val="15"/>
                        </w:rPr>
                        <w:t>such</w:t>
                      </w:r>
                      <w:r>
                        <w:rPr>
                          <w:color w:val="231F20"/>
                          <w:spacing w:val="-8"/>
                          <w:sz w:val="15"/>
                        </w:rPr>
                        <w:t> </w:t>
                      </w:r>
                      <w:r>
                        <w:rPr>
                          <w:color w:val="231F20"/>
                          <w:sz w:val="15"/>
                        </w:rPr>
                        <w:t>as</w:t>
                      </w:r>
                      <w:r>
                        <w:rPr>
                          <w:color w:val="231F20"/>
                          <w:spacing w:val="-8"/>
                          <w:sz w:val="15"/>
                        </w:rPr>
                        <w:t> </w:t>
                      </w:r>
                      <w:r>
                        <w:rPr>
                          <w:color w:val="231F20"/>
                          <w:sz w:val="15"/>
                        </w:rPr>
                        <w:t>walking</w:t>
                      </w:r>
                      <w:r>
                        <w:rPr>
                          <w:color w:val="231F20"/>
                          <w:spacing w:val="-8"/>
                          <w:sz w:val="15"/>
                        </w:rPr>
                        <w:t> </w:t>
                      </w:r>
                      <w:r>
                        <w:rPr>
                          <w:color w:val="231F20"/>
                          <w:sz w:val="15"/>
                        </w:rPr>
                        <w:t>or climbing stairs</w:t>
                      </w:r>
                    </w:p>
                    <w:p>
                      <w:pPr>
                        <w:numPr>
                          <w:ilvl w:val="0"/>
                          <w:numId w:val="71"/>
                        </w:numPr>
                        <w:tabs>
                          <w:tab w:pos="278" w:val="left" w:leader="none"/>
                        </w:tabs>
                        <w:spacing w:line="167" w:lineRule="exact" w:before="0"/>
                        <w:ind w:left="278" w:right="0" w:hanging="204"/>
                        <w:jc w:val="left"/>
                        <w:rPr>
                          <w:color w:val="000000"/>
                          <w:sz w:val="15"/>
                        </w:rPr>
                      </w:pPr>
                      <w:r>
                        <w:rPr>
                          <w:color w:val="231F20"/>
                          <w:sz w:val="15"/>
                        </w:rPr>
                        <w:t>Both</w:t>
                      </w:r>
                      <w:r>
                        <w:rPr>
                          <w:color w:val="231F20"/>
                          <w:spacing w:val="-2"/>
                          <w:sz w:val="15"/>
                        </w:rPr>
                        <w:t> </w:t>
                      </w:r>
                      <w:r>
                        <w:rPr>
                          <w:color w:val="231F20"/>
                          <w:sz w:val="15"/>
                        </w:rPr>
                        <w:t>of</w:t>
                      </w:r>
                      <w:r>
                        <w:rPr>
                          <w:color w:val="231F20"/>
                          <w:spacing w:val="-1"/>
                          <w:sz w:val="15"/>
                        </w:rPr>
                        <w:t> </w:t>
                      </w:r>
                      <w:r>
                        <w:rPr>
                          <w:color w:val="231F20"/>
                          <w:sz w:val="15"/>
                        </w:rPr>
                        <w:t>the</w:t>
                      </w:r>
                      <w:r>
                        <w:rPr>
                          <w:color w:val="231F20"/>
                          <w:spacing w:val="-1"/>
                          <w:sz w:val="15"/>
                        </w:rPr>
                        <w:t> </w:t>
                      </w:r>
                      <w:r>
                        <w:rPr>
                          <w:color w:val="231F20"/>
                          <w:spacing w:val="-2"/>
                          <w:sz w:val="15"/>
                        </w:rPr>
                        <w:t>following:</w:t>
                      </w:r>
                    </w:p>
                    <w:p>
                      <w:pPr>
                        <w:numPr>
                          <w:ilvl w:val="1"/>
                          <w:numId w:val="71"/>
                        </w:numPr>
                        <w:tabs>
                          <w:tab w:pos="458" w:val="left" w:leader="none"/>
                        </w:tabs>
                        <w:spacing w:line="168" w:lineRule="exact" w:before="0"/>
                        <w:ind w:left="458" w:right="0" w:hanging="191"/>
                        <w:jc w:val="left"/>
                        <w:rPr>
                          <w:color w:val="000000"/>
                          <w:sz w:val="15"/>
                        </w:rPr>
                      </w:pPr>
                      <w:r>
                        <w:rPr>
                          <w:color w:val="231F20"/>
                          <w:w w:val="105"/>
                          <w:sz w:val="15"/>
                        </w:rPr>
                        <w:t>No</w:t>
                      </w:r>
                      <w:r>
                        <w:rPr>
                          <w:color w:val="231F20"/>
                          <w:spacing w:val="-6"/>
                          <w:w w:val="105"/>
                          <w:sz w:val="15"/>
                        </w:rPr>
                        <w:t> </w:t>
                      </w:r>
                      <w:r>
                        <w:rPr>
                          <w:color w:val="231F20"/>
                          <w:w w:val="105"/>
                          <w:sz w:val="15"/>
                        </w:rPr>
                        <w:t>nausea</w:t>
                      </w:r>
                      <w:r>
                        <w:rPr>
                          <w:color w:val="231F20"/>
                          <w:spacing w:val="-5"/>
                          <w:w w:val="105"/>
                          <w:sz w:val="15"/>
                        </w:rPr>
                        <w:t> </w:t>
                      </w:r>
                      <w:r>
                        <w:rPr>
                          <w:color w:val="231F20"/>
                          <w:w w:val="105"/>
                          <w:sz w:val="15"/>
                        </w:rPr>
                        <w:t>or</w:t>
                      </w:r>
                      <w:r>
                        <w:rPr>
                          <w:color w:val="231F20"/>
                          <w:spacing w:val="-5"/>
                          <w:w w:val="105"/>
                          <w:sz w:val="15"/>
                        </w:rPr>
                        <w:t> </w:t>
                      </w:r>
                      <w:r>
                        <w:rPr>
                          <w:color w:val="231F20"/>
                          <w:spacing w:val="-2"/>
                          <w:w w:val="105"/>
                          <w:sz w:val="15"/>
                        </w:rPr>
                        <w:t>vomiting</w:t>
                      </w:r>
                    </w:p>
                    <w:p>
                      <w:pPr>
                        <w:numPr>
                          <w:ilvl w:val="1"/>
                          <w:numId w:val="71"/>
                        </w:numPr>
                        <w:tabs>
                          <w:tab w:pos="458" w:val="left" w:leader="none"/>
                        </w:tabs>
                        <w:spacing w:line="168" w:lineRule="exact" w:before="0"/>
                        <w:ind w:left="458" w:right="0" w:hanging="191"/>
                        <w:jc w:val="left"/>
                        <w:rPr>
                          <w:color w:val="000000"/>
                          <w:sz w:val="15"/>
                        </w:rPr>
                      </w:pPr>
                      <w:r>
                        <w:rPr>
                          <w:color w:val="231F20"/>
                          <w:w w:val="105"/>
                          <w:sz w:val="15"/>
                        </w:rPr>
                        <w:t>No</w:t>
                      </w:r>
                      <w:r>
                        <w:rPr>
                          <w:color w:val="231F20"/>
                          <w:spacing w:val="-10"/>
                          <w:w w:val="105"/>
                          <w:sz w:val="15"/>
                        </w:rPr>
                        <w:t> </w:t>
                      </w:r>
                      <w:r>
                        <w:rPr>
                          <w:color w:val="231F20"/>
                          <w:w w:val="105"/>
                          <w:sz w:val="15"/>
                        </w:rPr>
                        <w:t>more</w:t>
                      </w:r>
                      <w:r>
                        <w:rPr>
                          <w:color w:val="231F20"/>
                          <w:spacing w:val="-10"/>
                          <w:w w:val="105"/>
                          <w:sz w:val="15"/>
                        </w:rPr>
                        <w:t> </w:t>
                      </w:r>
                      <w:r>
                        <w:rPr>
                          <w:color w:val="231F20"/>
                          <w:w w:val="105"/>
                          <w:sz w:val="15"/>
                        </w:rPr>
                        <w:t>than</w:t>
                      </w:r>
                      <w:r>
                        <w:rPr>
                          <w:color w:val="231F20"/>
                          <w:spacing w:val="-10"/>
                          <w:w w:val="105"/>
                          <w:sz w:val="15"/>
                        </w:rPr>
                        <w:t> </w:t>
                      </w:r>
                      <w:r>
                        <w:rPr>
                          <w:color w:val="231F20"/>
                          <w:w w:val="105"/>
                          <w:sz w:val="15"/>
                        </w:rPr>
                        <w:t>1</w:t>
                      </w:r>
                      <w:r>
                        <w:rPr>
                          <w:color w:val="231F20"/>
                          <w:spacing w:val="-10"/>
                          <w:w w:val="105"/>
                          <w:sz w:val="15"/>
                        </w:rPr>
                        <w:t> </w:t>
                      </w:r>
                      <w:r>
                        <w:rPr>
                          <w:color w:val="231F20"/>
                          <w:w w:val="105"/>
                          <w:sz w:val="15"/>
                        </w:rPr>
                        <w:t>of</w:t>
                      </w:r>
                      <w:r>
                        <w:rPr>
                          <w:color w:val="231F20"/>
                          <w:spacing w:val="-10"/>
                          <w:w w:val="105"/>
                          <w:sz w:val="15"/>
                        </w:rPr>
                        <w:t> </w:t>
                      </w:r>
                      <w:r>
                        <w:rPr>
                          <w:color w:val="231F20"/>
                          <w:w w:val="105"/>
                          <w:sz w:val="15"/>
                        </w:rPr>
                        <w:t>photophobia</w:t>
                      </w:r>
                      <w:r>
                        <w:rPr>
                          <w:color w:val="231F20"/>
                          <w:spacing w:val="-10"/>
                          <w:w w:val="105"/>
                          <w:sz w:val="15"/>
                        </w:rPr>
                        <w:t> </w:t>
                      </w:r>
                      <w:r>
                        <w:rPr>
                          <w:color w:val="231F20"/>
                          <w:w w:val="105"/>
                          <w:sz w:val="15"/>
                        </w:rPr>
                        <w:t>or</w:t>
                      </w:r>
                      <w:r>
                        <w:rPr>
                          <w:color w:val="231F20"/>
                          <w:spacing w:val="-9"/>
                          <w:w w:val="105"/>
                          <w:sz w:val="15"/>
                        </w:rPr>
                        <w:t> </w:t>
                      </w:r>
                      <w:r>
                        <w:rPr>
                          <w:color w:val="231F20"/>
                          <w:spacing w:val="-2"/>
                          <w:w w:val="105"/>
                          <w:sz w:val="15"/>
                        </w:rPr>
                        <w:t>phonophobia</w:t>
                      </w:r>
                    </w:p>
                    <w:p>
                      <w:pPr>
                        <w:numPr>
                          <w:ilvl w:val="0"/>
                          <w:numId w:val="71"/>
                        </w:numPr>
                        <w:tabs>
                          <w:tab w:pos="278" w:val="left" w:leader="none"/>
                        </w:tabs>
                        <w:spacing w:line="171" w:lineRule="exact" w:before="0"/>
                        <w:ind w:left="278" w:right="0" w:hanging="204"/>
                        <w:jc w:val="left"/>
                        <w:rPr>
                          <w:color w:val="000000"/>
                          <w:sz w:val="15"/>
                        </w:rPr>
                      </w:pPr>
                      <w:r>
                        <w:rPr>
                          <w:color w:val="231F20"/>
                          <w:sz w:val="15"/>
                        </w:rPr>
                        <w:t>Not</w:t>
                      </w:r>
                      <w:r>
                        <w:rPr>
                          <w:color w:val="231F20"/>
                          <w:spacing w:val="1"/>
                          <w:sz w:val="15"/>
                        </w:rPr>
                        <w:t> </w:t>
                      </w:r>
                      <w:r>
                        <w:rPr>
                          <w:color w:val="231F20"/>
                          <w:sz w:val="15"/>
                        </w:rPr>
                        <w:t>better</w:t>
                      </w:r>
                      <w:r>
                        <w:rPr>
                          <w:color w:val="231F20"/>
                          <w:spacing w:val="1"/>
                          <w:sz w:val="15"/>
                        </w:rPr>
                        <w:t> </w:t>
                      </w:r>
                      <w:r>
                        <w:rPr>
                          <w:color w:val="231F20"/>
                          <w:sz w:val="15"/>
                        </w:rPr>
                        <w:t>accounted</w:t>
                      </w:r>
                      <w:r>
                        <w:rPr>
                          <w:color w:val="231F20"/>
                          <w:spacing w:val="1"/>
                          <w:sz w:val="15"/>
                        </w:rPr>
                        <w:t> </w:t>
                      </w:r>
                      <w:r>
                        <w:rPr>
                          <w:color w:val="231F20"/>
                          <w:sz w:val="15"/>
                        </w:rPr>
                        <w:t>for</w:t>
                      </w:r>
                      <w:r>
                        <w:rPr>
                          <w:color w:val="231F20"/>
                          <w:spacing w:val="1"/>
                          <w:sz w:val="15"/>
                        </w:rPr>
                        <w:t> </w:t>
                      </w:r>
                      <w:r>
                        <w:rPr>
                          <w:color w:val="231F20"/>
                          <w:sz w:val="15"/>
                        </w:rPr>
                        <w:t>by</w:t>
                      </w:r>
                      <w:r>
                        <w:rPr>
                          <w:color w:val="231F20"/>
                          <w:spacing w:val="2"/>
                          <w:sz w:val="15"/>
                        </w:rPr>
                        <w:t> </w:t>
                      </w:r>
                      <w:r>
                        <w:rPr>
                          <w:color w:val="231F20"/>
                          <w:sz w:val="15"/>
                        </w:rPr>
                        <w:t>another</w:t>
                      </w:r>
                      <w:r>
                        <w:rPr>
                          <w:color w:val="231F20"/>
                          <w:spacing w:val="1"/>
                          <w:sz w:val="15"/>
                        </w:rPr>
                        <w:t> </w:t>
                      </w:r>
                      <w:r>
                        <w:rPr>
                          <w:color w:val="231F20"/>
                          <w:sz w:val="15"/>
                        </w:rPr>
                        <w:t>ICHD-3</w:t>
                      </w:r>
                      <w:r>
                        <w:rPr>
                          <w:color w:val="231F20"/>
                          <w:spacing w:val="1"/>
                          <w:sz w:val="15"/>
                        </w:rPr>
                        <w:t> </w:t>
                      </w:r>
                      <w:r>
                        <w:rPr>
                          <w:color w:val="231F20"/>
                          <w:sz w:val="15"/>
                        </w:rPr>
                        <w:t>beta</w:t>
                      </w:r>
                      <w:r>
                        <w:rPr>
                          <w:color w:val="231F20"/>
                          <w:spacing w:val="1"/>
                          <w:sz w:val="15"/>
                        </w:rPr>
                        <w:t> </w:t>
                      </w:r>
                      <w:r>
                        <w:rPr>
                          <w:color w:val="231F20"/>
                          <w:spacing w:val="-2"/>
                          <w:sz w:val="15"/>
                        </w:rPr>
                        <w:t>diagnosis</w:t>
                      </w:r>
                    </w:p>
                  </w:txbxContent>
                </v:textbox>
                <v:fill type="solid"/>
                <w10:wrap type="none"/>
              </v:shape>
            </w:pict>
          </mc:Fallback>
        </mc:AlternateContent>
      </w:r>
      <w:r>
        <w:rPr>
          <w:i/>
          <w:sz w:val="20"/>
        </w:rPr>
        <mc:AlternateContent>
          <mc:Choice Requires="wps">
            <w:drawing>
              <wp:anchor distT="0" distB="0" distL="0" distR="0" allowOverlap="1" layoutInCell="1" locked="0" behindDoc="0" simplePos="0" relativeHeight="15768064">
                <wp:simplePos x="0" y="0"/>
                <wp:positionH relativeFrom="page">
                  <wp:posOffset>1347050</wp:posOffset>
                </wp:positionH>
                <wp:positionV relativeFrom="page">
                  <wp:posOffset>2405974</wp:posOffset>
                </wp:positionV>
                <wp:extent cx="2251710" cy="34417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2251710" cy="344170"/>
                        </a:xfrm>
                        <a:prstGeom prst="rect">
                          <a:avLst/>
                        </a:prstGeom>
                        <a:solidFill>
                          <a:srgbClr val="231F20"/>
                        </a:solidFill>
                      </wps:spPr>
                      <wps:txbx>
                        <w:txbxContent>
                          <w:p>
                            <w:pPr>
                              <w:spacing w:before="89"/>
                              <w:ind w:left="74" w:right="289" w:firstLine="0"/>
                              <w:jc w:val="left"/>
                              <w:rPr>
                                <w:color w:val="000000"/>
                                <w:sz w:val="16"/>
                              </w:rPr>
                            </w:pPr>
                            <w:r>
                              <w:rPr>
                                <w:color w:val="FFFFFF"/>
                                <w:w w:val="105"/>
                                <w:sz w:val="16"/>
                              </w:rPr>
                              <w:t>Infrequent Episodic Tension-</w:t>
                            </w:r>
                            <w:r>
                              <w:rPr>
                                <w:color w:val="FFFFFF"/>
                                <w:w w:val="105"/>
                                <w:sz w:val="16"/>
                              </w:rPr>
                              <w:t>Type </w:t>
                            </w:r>
                            <w:r>
                              <w:rPr>
                                <w:color w:val="FFFFFF"/>
                                <w:spacing w:val="-2"/>
                                <w:w w:val="105"/>
                                <w:sz w:val="16"/>
                              </w:rPr>
                              <w:t>Headache</w:t>
                            </w:r>
                          </w:p>
                        </w:txbxContent>
                      </wps:txbx>
                      <wps:bodyPr wrap="square" lIns="0" tIns="0" rIns="0" bIns="0" rtlCol="0">
                        <a:noAutofit/>
                      </wps:bodyPr>
                    </wps:wsp>
                  </a:graphicData>
                </a:graphic>
              </wp:anchor>
            </w:drawing>
          </mc:Choice>
          <mc:Fallback>
            <w:pict>
              <v:shape style="position:absolute;margin-left:106.067001pt;margin-top:189.446793pt;width:177.3pt;height:27.1pt;mso-position-horizontal-relative:page;mso-position-vertical-relative:page;z-index:15768064" type="#_x0000_t202" id="docshape599" filled="true" fillcolor="#231f20" stroked="false">
                <v:textbox inset="0,0,0,0">
                  <w:txbxContent>
                    <w:p>
                      <w:pPr>
                        <w:spacing w:before="89"/>
                        <w:ind w:left="74" w:right="289" w:firstLine="0"/>
                        <w:jc w:val="left"/>
                        <w:rPr>
                          <w:color w:val="000000"/>
                          <w:sz w:val="16"/>
                        </w:rPr>
                      </w:pPr>
                      <w:r>
                        <w:rPr>
                          <w:color w:val="FFFFFF"/>
                          <w:w w:val="105"/>
                          <w:sz w:val="16"/>
                        </w:rPr>
                        <w:t>Infrequent Episodic Tension-</w:t>
                      </w:r>
                      <w:r>
                        <w:rPr>
                          <w:color w:val="FFFFFF"/>
                          <w:w w:val="105"/>
                          <w:sz w:val="16"/>
                        </w:rPr>
                        <w:t>Type </w:t>
                      </w:r>
                      <w:r>
                        <w:rPr>
                          <w:color w:val="FFFFFF"/>
                          <w:spacing w:val="-2"/>
                          <w:w w:val="105"/>
                          <w:sz w:val="16"/>
                        </w:rPr>
                        <w:t>Headache</w:t>
                      </w:r>
                    </w:p>
                  </w:txbxContent>
                </v:textbox>
                <v:fill type="solid"/>
                <w10:wrap type="none"/>
              </v:shape>
            </w:pict>
          </mc:Fallback>
        </mc:AlternateContent>
      </w:r>
      <w:r>
        <w:rPr>
          <w:i/>
          <w:sz w:val="20"/>
        </w:rPr>
        <mc:AlternateContent>
          <mc:Choice Requires="wps">
            <w:drawing>
              <wp:anchor distT="0" distB="0" distL="0" distR="0" allowOverlap="1" layoutInCell="1" locked="0" behindDoc="0" simplePos="0" relativeHeight="15768576">
                <wp:simplePos x="0" y="0"/>
                <wp:positionH relativeFrom="page">
                  <wp:posOffset>612396</wp:posOffset>
                </wp:positionH>
                <wp:positionV relativeFrom="page">
                  <wp:posOffset>2405974</wp:posOffset>
                </wp:positionV>
                <wp:extent cx="723265" cy="344170"/>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723265" cy="34417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9</w:t>
                            </w:r>
                          </w:p>
                        </w:txbxContent>
                      </wps:txbx>
                      <wps:bodyPr wrap="square" lIns="0" tIns="0" rIns="0" bIns="0" rtlCol="0">
                        <a:noAutofit/>
                      </wps:bodyPr>
                    </wps:wsp>
                  </a:graphicData>
                </a:graphic>
              </wp:anchor>
            </w:drawing>
          </mc:Choice>
          <mc:Fallback>
            <w:pict>
              <v:shape style="position:absolute;margin-left:48.220188pt;margin-top:189.446793pt;width:56.95pt;height:27.1pt;mso-position-horizontal-relative:page;mso-position-vertical-relative:page;z-index:15768576" type="#_x0000_t202" id="docshape600"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9</w:t>
                      </w:r>
                    </w:p>
                  </w:txbxContent>
                </v:textbox>
                <v:fill type="solid"/>
                <w10:wrap type="none"/>
              </v:shape>
            </w:pict>
          </mc:Fallback>
        </mc:AlternateContent>
      </w: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706" name="Group 706"/>
                <wp:cNvGraphicFramePr>
                  <a:graphicFrameLocks/>
                </wp:cNvGraphicFramePr>
                <a:graphic>
                  <a:graphicData uri="http://schemas.microsoft.com/office/word/2010/wordprocessingGroup">
                    <wpg:wgp>
                      <wpg:cNvPr id="706" name="Group 706"/>
                      <wpg:cNvGrpSpPr/>
                      <wpg:grpSpPr>
                        <a:xfrm>
                          <a:off x="0" y="0"/>
                          <a:ext cx="6185535" cy="170815"/>
                          <a:chExt cx="6185535" cy="170815"/>
                        </a:xfrm>
                      </wpg:grpSpPr>
                      <wps:wsp>
                        <wps:cNvPr id="707" name="Graphic 707"/>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08" name="Graphic 708"/>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09" name="Textbox 709"/>
                        <wps:cNvSpPr txBox="1"/>
                        <wps:spPr>
                          <a:xfrm>
                            <a:off x="0" y="0"/>
                            <a:ext cx="6185535" cy="170815"/>
                          </a:xfrm>
                          <a:prstGeom prst="rect">
                            <a:avLst/>
                          </a:prstGeom>
                        </wps:spPr>
                        <wps:txbx>
                          <w:txbxContent>
                            <w:p>
                              <w:pPr>
                                <w:spacing w:before="6"/>
                                <w:ind w:left="0" w:right="-15" w:firstLine="0"/>
                                <w:jc w:val="right"/>
                                <w:rPr>
                                  <w:b/>
                                  <w:sz w:val="18"/>
                                </w:rPr>
                              </w:pPr>
                              <w:r>
                                <w:rPr>
                                  <w:b/>
                                  <w:color w:val="007431"/>
                                  <w:w w:val="105"/>
                                  <w:sz w:val="18"/>
                                </w:rPr>
                                <w:t>Chapter</w:t>
                              </w:r>
                              <w:r>
                                <w:rPr>
                                  <w:b/>
                                  <w:color w:val="007431"/>
                                  <w:spacing w:val="10"/>
                                  <w:w w:val="105"/>
                                  <w:sz w:val="18"/>
                                </w:rPr>
                                <w:t> </w:t>
                              </w:r>
                              <w:r>
                                <w:rPr>
                                  <w:b/>
                                  <w:color w:val="007431"/>
                                  <w:w w:val="105"/>
                                  <w:sz w:val="18"/>
                                </w:rPr>
                                <w:t>595</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4"/>
                                  <w:w w:val="105"/>
                                  <w:sz w:val="15"/>
                                </w:rPr>
                                <w:t> </w:t>
                              </w:r>
                              <w:r>
                                <w:rPr>
                                  <w:color w:val="231F20"/>
                                  <w:w w:val="105"/>
                                  <w:sz w:val="18"/>
                                </w:rPr>
                                <w:t>Headaches</w:t>
                              </w:r>
                              <w:r>
                                <w:rPr>
                                  <w:color w:val="231F20"/>
                                  <w:spacing w:val="37"/>
                                  <w:w w:val="105"/>
                                  <w:sz w:val="18"/>
                                </w:rPr>
                                <w:t>  </w:t>
                              </w:r>
                              <w:r>
                                <w:rPr>
                                  <w:b/>
                                  <w:color w:val="231F20"/>
                                  <w:spacing w:val="-4"/>
                                  <w:w w:val="105"/>
                                  <w:sz w:val="18"/>
                                </w:rPr>
                                <w:t>2869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01"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02" filled="false" stroked="false">
                  <v:textbox inset="0,0,0,0">
                    <w:txbxContent>
                      <w:p>
                        <w:pPr>
                          <w:spacing w:before="6"/>
                          <w:ind w:left="0" w:right="-15" w:firstLine="0"/>
                          <w:jc w:val="right"/>
                          <w:rPr>
                            <w:b/>
                            <w:sz w:val="18"/>
                          </w:rPr>
                        </w:pPr>
                        <w:r>
                          <w:rPr>
                            <w:b/>
                            <w:color w:val="007431"/>
                            <w:w w:val="105"/>
                            <w:sz w:val="18"/>
                          </w:rPr>
                          <w:t>Chapter</w:t>
                        </w:r>
                        <w:r>
                          <w:rPr>
                            <w:b/>
                            <w:color w:val="007431"/>
                            <w:spacing w:val="10"/>
                            <w:w w:val="105"/>
                            <w:sz w:val="18"/>
                          </w:rPr>
                          <w:t> </w:t>
                        </w:r>
                        <w:r>
                          <w:rPr>
                            <w:b/>
                            <w:color w:val="007431"/>
                            <w:w w:val="105"/>
                            <w:sz w:val="18"/>
                          </w:rPr>
                          <w:t>595</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4"/>
                            <w:w w:val="105"/>
                            <w:sz w:val="15"/>
                          </w:rPr>
                          <w:t> </w:t>
                        </w:r>
                        <w:r>
                          <w:rPr>
                            <w:color w:val="231F20"/>
                            <w:w w:val="105"/>
                            <w:sz w:val="18"/>
                          </w:rPr>
                          <w:t>Headaches</w:t>
                        </w:r>
                        <w:r>
                          <w:rPr>
                            <w:color w:val="231F20"/>
                            <w:spacing w:val="37"/>
                            <w:w w:val="105"/>
                            <w:sz w:val="18"/>
                          </w:rPr>
                          <w:t>  </w:t>
                        </w:r>
                        <w:r>
                          <w:rPr>
                            <w:b/>
                            <w:color w:val="231F20"/>
                            <w:spacing w:val="-4"/>
                            <w:w w:val="105"/>
                            <w:sz w:val="18"/>
                          </w:rPr>
                          <w:t>2869</w:t>
                        </w:r>
                      </w:p>
                    </w:txbxContent>
                  </v:textbox>
                  <w10:wrap type="none"/>
                </v:shape>
              </v:group>
            </w:pict>
          </mc:Fallback>
        </mc:AlternateContent>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46"/>
        <w:gridCol w:w="2061"/>
        <w:gridCol w:w="1605"/>
        <w:gridCol w:w="2052"/>
        <w:gridCol w:w="2431"/>
      </w:tblGrid>
      <w:tr>
        <w:trPr>
          <w:trHeight w:val="391"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595-</w:t>
            </w:r>
            <w:r>
              <w:rPr>
                <w:b/>
                <w:color w:val="FFFFFF"/>
                <w:spacing w:val="-10"/>
                <w:w w:val="105"/>
                <w:sz w:val="16"/>
              </w:rPr>
              <w:t>8</w:t>
            </w:r>
          </w:p>
        </w:tc>
        <w:tc>
          <w:tcPr>
            <w:tcW w:w="8595" w:type="dxa"/>
            <w:gridSpan w:val="5"/>
            <w:tcBorders>
              <w:left w:val="single" w:sz="8" w:space="0" w:color="FFFFFF"/>
            </w:tcBorders>
            <w:shd w:val="clear" w:color="auto" w:fill="231F20"/>
          </w:tcPr>
          <w:p>
            <w:pPr>
              <w:pStyle w:val="TableParagraph"/>
              <w:spacing w:before="89"/>
              <w:ind w:left="73"/>
              <w:rPr>
                <w:sz w:val="16"/>
              </w:rPr>
            </w:pPr>
            <w:r>
              <w:rPr>
                <w:color w:val="FFFFFF"/>
                <w:w w:val="110"/>
                <w:sz w:val="16"/>
              </w:rPr>
              <w:t>Drugs</w:t>
            </w:r>
            <w:r>
              <w:rPr>
                <w:color w:val="FFFFFF"/>
                <w:spacing w:val="-4"/>
                <w:w w:val="110"/>
                <w:sz w:val="16"/>
              </w:rPr>
              <w:t> </w:t>
            </w:r>
            <w:r>
              <w:rPr>
                <w:color w:val="FFFFFF"/>
                <w:w w:val="110"/>
                <w:sz w:val="16"/>
              </w:rPr>
              <w:t>Used</w:t>
            </w:r>
            <w:r>
              <w:rPr>
                <w:color w:val="FFFFFF"/>
                <w:spacing w:val="-3"/>
                <w:w w:val="110"/>
                <w:sz w:val="16"/>
              </w:rPr>
              <w:t> </w:t>
            </w:r>
            <w:r>
              <w:rPr>
                <w:color w:val="FFFFFF"/>
                <w:w w:val="110"/>
                <w:sz w:val="16"/>
              </w:rPr>
              <w:t>in</w:t>
            </w:r>
            <w:r>
              <w:rPr>
                <w:color w:val="FFFFFF"/>
                <w:spacing w:val="-3"/>
                <w:w w:val="110"/>
                <w:sz w:val="16"/>
              </w:rPr>
              <w:t> </w:t>
            </w:r>
            <w:r>
              <w:rPr>
                <w:color w:val="FFFFFF"/>
                <w:w w:val="110"/>
                <w:sz w:val="16"/>
              </w:rPr>
              <w:t>the</w:t>
            </w:r>
            <w:r>
              <w:rPr>
                <w:color w:val="FFFFFF"/>
                <w:spacing w:val="-3"/>
                <w:w w:val="110"/>
                <w:sz w:val="16"/>
              </w:rPr>
              <w:t> </w:t>
            </w:r>
            <w:r>
              <w:rPr>
                <w:color w:val="FFFFFF"/>
                <w:w w:val="110"/>
                <w:sz w:val="16"/>
              </w:rPr>
              <w:t>Management</w:t>
            </w:r>
            <w:r>
              <w:rPr>
                <w:color w:val="FFFFFF"/>
                <w:spacing w:val="-3"/>
                <w:w w:val="110"/>
                <w:sz w:val="16"/>
              </w:rPr>
              <w:t> </w:t>
            </w:r>
            <w:r>
              <w:rPr>
                <w:color w:val="FFFFFF"/>
                <w:w w:val="110"/>
                <w:sz w:val="16"/>
              </w:rPr>
              <w:t>of</w:t>
            </w:r>
            <w:r>
              <w:rPr>
                <w:color w:val="FFFFFF"/>
                <w:spacing w:val="-3"/>
                <w:w w:val="110"/>
                <w:sz w:val="16"/>
              </w:rPr>
              <w:t> </w:t>
            </w:r>
            <w:r>
              <w:rPr>
                <w:color w:val="FFFFFF"/>
                <w:w w:val="110"/>
                <w:sz w:val="16"/>
              </w:rPr>
              <w:t>Migraine</w:t>
            </w:r>
            <w:r>
              <w:rPr>
                <w:color w:val="FFFFFF"/>
                <w:spacing w:val="-3"/>
                <w:w w:val="110"/>
                <w:sz w:val="16"/>
              </w:rPr>
              <w:t> </w:t>
            </w:r>
            <w:r>
              <w:rPr>
                <w:color w:val="FFFFFF"/>
                <w:w w:val="110"/>
                <w:sz w:val="16"/>
              </w:rPr>
              <w:t>Headaches</w:t>
            </w:r>
            <w:r>
              <w:rPr>
                <w:color w:val="FFFFFF"/>
                <w:spacing w:val="-3"/>
                <w:w w:val="110"/>
                <w:sz w:val="16"/>
              </w:rPr>
              <w:t> </w:t>
            </w:r>
            <w:r>
              <w:rPr>
                <w:color w:val="FFFFFF"/>
                <w:w w:val="110"/>
                <w:sz w:val="16"/>
              </w:rPr>
              <w:t>in</w:t>
            </w:r>
            <w:r>
              <w:rPr>
                <w:color w:val="FFFFFF"/>
                <w:spacing w:val="-3"/>
                <w:w w:val="110"/>
                <w:sz w:val="16"/>
              </w:rPr>
              <w:t> </w:t>
            </w:r>
            <w:r>
              <w:rPr>
                <w:color w:val="FFFFFF"/>
                <w:spacing w:val="-2"/>
                <w:w w:val="110"/>
                <w:sz w:val="16"/>
              </w:rPr>
              <w:t>Children</w:t>
            </w:r>
          </w:p>
        </w:tc>
      </w:tr>
      <w:tr>
        <w:trPr>
          <w:trHeight w:val="238" w:hRule="atLeast"/>
        </w:trPr>
        <w:tc>
          <w:tcPr>
            <w:tcW w:w="1594" w:type="dxa"/>
            <w:gridSpan w:val="2"/>
            <w:tcBorders>
              <w:bottom w:val="single" w:sz="4" w:space="0" w:color="231F20"/>
            </w:tcBorders>
            <w:shd w:val="clear" w:color="auto" w:fill="E8F5F1"/>
          </w:tcPr>
          <w:p>
            <w:pPr>
              <w:pStyle w:val="TableParagraph"/>
              <w:spacing w:before="28"/>
              <w:ind w:left="74"/>
              <w:rPr>
                <w:b/>
                <w:sz w:val="15"/>
              </w:rPr>
            </w:pPr>
            <w:r>
              <w:rPr>
                <w:b/>
                <w:color w:val="231F20"/>
                <w:spacing w:val="-4"/>
                <w:w w:val="110"/>
                <w:sz w:val="15"/>
              </w:rPr>
              <w:t>DRUG</w:t>
            </w:r>
          </w:p>
        </w:tc>
        <w:tc>
          <w:tcPr>
            <w:tcW w:w="2061" w:type="dxa"/>
            <w:tcBorders>
              <w:bottom w:val="single" w:sz="4" w:space="0" w:color="231F20"/>
            </w:tcBorders>
            <w:shd w:val="clear" w:color="auto" w:fill="E8F5F1"/>
          </w:tcPr>
          <w:p>
            <w:pPr>
              <w:pStyle w:val="TableParagraph"/>
              <w:spacing w:before="28"/>
              <w:ind w:left="174" w:right="67"/>
              <w:jc w:val="center"/>
              <w:rPr>
                <w:b/>
                <w:sz w:val="15"/>
              </w:rPr>
            </w:pPr>
            <w:r>
              <w:rPr>
                <w:b/>
                <w:color w:val="231F20"/>
                <w:spacing w:val="-4"/>
                <w:w w:val="115"/>
                <w:sz w:val="15"/>
              </w:rPr>
              <w:t>DOSE</w:t>
            </w:r>
          </w:p>
        </w:tc>
        <w:tc>
          <w:tcPr>
            <w:tcW w:w="1605" w:type="dxa"/>
            <w:tcBorders>
              <w:bottom w:val="single" w:sz="4" w:space="0" w:color="231F20"/>
            </w:tcBorders>
            <w:shd w:val="clear" w:color="auto" w:fill="E8F5F1"/>
          </w:tcPr>
          <w:p>
            <w:pPr>
              <w:pStyle w:val="TableParagraph"/>
              <w:spacing w:before="28"/>
              <w:ind w:left="379"/>
              <w:rPr>
                <w:b/>
                <w:sz w:val="15"/>
              </w:rPr>
            </w:pPr>
            <w:r>
              <w:rPr>
                <w:b/>
                <w:color w:val="231F20"/>
                <w:spacing w:val="-2"/>
                <w:w w:val="115"/>
                <w:sz w:val="15"/>
              </w:rPr>
              <w:t>MECHANISM</w:t>
            </w:r>
          </w:p>
        </w:tc>
        <w:tc>
          <w:tcPr>
            <w:tcW w:w="2052" w:type="dxa"/>
            <w:tcBorders>
              <w:bottom w:val="single" w:sz="4" w:space="0" w:color="231F20"/>
            </w:tcBorders>
            <w:shd w:val="clear" w:color="auto" w:fill="E8F5F1"/>
          </w:tcPr>
          <w:p>
            <w:pPr>
              <w:pStyle w:val="TableParagraph"/>
              <w:spacing w:before="28"/>
              <w:ind w:left="574"/>
              <w:rPr>
                <w:b/>
                <w:sz w:val="15"/>
              </w:rPr>
            </w:pPr>
            <w:r>
              <w:rPr>
                <w:b/>
                <w:color w:val="231F20"/>
                <w:w w:val="110"/>
                <w:sz w:val="15"/>
              </w:rPr>
              <w:t>SIDE</w:t>
            </w:r>
            <w:r>
              <w:rPr>
                <w:b/>
                <w:color w:val="231F20"/>
                <w:spacing w:val="8"/>
                <w:w w:val="110"/>
                <w:sz w:val="15"/>
              </w:rPr>
              <w:t> </w:t>
            </w:r>
            <w:r>
              <w:rPr>
                <w:b/>
                <w:color w:val="231F20"/>
                <w:spacing w:val="-2"/>
                <w:w w:val="110"/>
                <w:sz w:val="15"/>
              </w:rPr>
              <w:t>EFFECTS</w:t>
            </w:r>
          </w:p>
        </w:tc>
        <w:tc>
          <w:tcPr>
            <w:tcW w:w="2431" w:type="dxa"/>
            <w:tcBorders>
              <w:bottom w:val="single" w:sz="4" w:space="0" w:color="231F20"/>
            </w:tcBorders>
            <w:shd w:val="clear" w:color="auto" w:fill="E8F5F1"/>
          </w:tcPr>
          <w:p>
            <w:pPr>
              <w:pStyle w:val="TableParagraph"/>
              <w:spacing w:before="28"/>
              <w:ind w:left="854"/>
              <w:rPr>
                <w:b/>
                <w:sz w:val="15"/>
              </w:rPr>
            </w:pPr>
            <w:r>
              <w:rPr>
                <w:b/>
                <w:color w:val="231F20"/>
                <w:spacing w:val="-2"/>
                <w:w w:val="115"/>
                <w:sz w:val="15"/>
              </w:rPr>
              <w:t>COMMENTS</w:t>
            </w:r>
          </w:p>
        </w:tc>
      </w:tr>
      <w:tr>
        <w:trPr>
          <w:trHeight w:val="1053" w:hRule="atLeast"/>
        </w:trPr>
        <w:tc>
          <w:tcPr>
            <w:tcW w:w="1594" w:type="dxa"/>
            <w:gridSpan w:val="2"/>
            <w:tcBorders>
              <w:top w:val="single" w:sz="4" w:space="0" w:color="231F20"/>
            </w:tcBorders>
            <w:shd w:val="clear" w:color="auto" w:fill="E8F5F1"/>
          </w:tcPr>
          <w:p>
            <w:pPr>
              <w:pStyle w:val="TableParagraph"/>
              <w:spacing w:line="172" w:lineRule="exact" w:before="43"/>
              <w:ind w:left="74"/>
              <w:rPr>
                <w:sz w:val="15"/>
              </w:rPr>
            </w:pPr>
            <w:r>
              <w:rPr>
                <w:color w:val="231F20"/>
                <w:w w:val="110"/>
                <w:sz w:val="15"/>
              </w:rPr>
              <w:t>ACUTE</w:t>
            </w:r>
            <w:r>
              <w:rPr>
                <w:color w:val="231F20"/>
                <w:spacing w:val="1"/>
                <w:w w:val="115"/>
                <w:sz w:val="15"/>
              </w:rPr>
              <w:t> </w:t>
            </w:r>
            <w:r>
              <w:rPr>
                <w:color w:val="231F20"/>
                <w:spacing w:val="-2"/>
                <w:w w:val="115"/>
                <w:sz w:val="15"/>
              </w:rPr>
              <w:t>MIGRAINE</w:t>
            </w:r>
          </w:p>
          <w:p>
            <w:pPr>
              <w:pStyle w:val="TableParagraph"/>
              <w:spacing w:line="170" w:lineRule="exact"/>
              <w:ind w:left="74"/>
              <w:rPr>
                <w:i/>
                <w:sz w:val="15"/>
              </w:rPr>
            </w:pPr>
            <w:r>
              <w:rPr>
                <w:i/>
                <w:color w:val="231F20"/>
                <w:spacing w:val="-2"/>
                <w:w w:val="105"/>
                <w:sz w:val="15"/>
              </w:rPr>
              <w:t>Analgesics</w:t>
            </w:r>
          </w:p>
          <w:p>
            <w:pPr>
              <w:pStyle w:val="TableParagraph"/>
              <w:spacing w:line="172" w:lineRule="exact"/>
              <w:ind w:left="74"/>
              <w:rPr>
                <w:sz w:val="15"/>
              </w:rPr>
            </w:pPr>
            <w:r>
              <w:rPr>
                <w:color w:val="231F20"/>
                <w:spacing w:val="-2"/>
                <w:sz w:val="15"/>
              </w:rPr>
              <w:t>Acetaminophen</w:t>
            </w:r>
          </w:p>
          <w:p>
            <w:pPr>
              <w:pStyle w:val="TableParagraph"/>
              <w:spacing w:before="163"/>
              <w:ind w:left="74"/>
              <w:rPr>
                <w:sz w:val="15"/>
              </w:rPr>
            </w:pPr>
            <w:r>
              <w:rPr>
                <w:color w:val="231F20"/>
                <w:spacing w:val="-2"/>
                <w:sz w:val="15"/>
              </w:rPr>
              <w:t>Ibuprofen</w:t>
            </w:r>
          </w:p>
        </w:tc>
        <w:tc>
          <w:tcPr>
            <w:tcW w:w="2061" w:type="dxa"/>
            <w:tcBorders>
              <w:top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235"/>
              <w:rPr>
                <w:sz w:val="15"/>
              </w:rPr>
            </w:pPr>
            <w:r>
              <w:rPr>
                <w:color w:val="231F20"/>
                <w:sz w:val="15"/>
              </w:rPr>
              <w:t>15</w:t>
            </w:r>
            <w:r>
              <w:rPr>
                <w:color w:val="231F20"/>
                <w:spacing w:val="-3"/>
                <w:sz w:val="15"/>
              </w:rPr>
              <w:t> </w:t>
            </w:r>
            <w:r>
              <w:rPr>
                <w:color w:val="231F20"/>
                <w:spacing w:val="-2"/>
                <w:sz w:val="15"/>
              </w:rPr>
              <w:t>mg/kg/dose</w:t>
            </w:r>
          </w:p>
          <w:p>
            <w:pPr>
              <w:pStyle w:val="TableParagraph"/>
              <w:spacing w:before="163"/>
              <w:ind w:left="235"/>
              <w:rPr>
                <w:sz w:val="15"/>
              </w:rPr>
            </w:pPr>
            <w:r>
              <w:rPr>
                <w:color w:val="231F20"/>
                <w:spacing w:val="-4"/>
                <w:sz w:val="15"/>
              </w:rPr>
              <w:t>7.5-10</w:t>
            </w:r>
            <w:r>
              <w:rPr>
                <w:color w:val="231F20"/>
                <w:spacing w:val="-5"/>
                <w:sz w:val="15"/>
              </w:rPr>
              <w:t> </w:t>
            </w:r>
            <w:r>
              <w:rPr>
                <w:color w:val="231F20"/>
                <w:spacing w:val="-4"/>
                <w:sz w:val="15"/>
              </w:rPr>
              <w:t>mg/kg/dose</w:t>
            </w:r>
          </w:p>
        </w:tc>
        <w:tc>
          <w:tcPr>
            <w:tcW w:w="1605" w:type="dxa"/>
            <w:vMerge w:val="restart"/>
            <w:tcBorders>
              <w:top w:val="single" w:sz="4" w:space="0" w:color="231F20"/>
              <w:bottom w:val="single" w:sz="8" w:space="0" w:color="231F20"/>
            </w:tcBorders>
            <w:shd w:val="clear" w:color="auto" w:fill="E8F5F1"/>
          </w:tcPr>
          <w:p>
            <w:pPr>
              <w:pStyle w:val="TableParagraph"/>
              <w:rPr>
                <w:i/>
                <w:sz w:val="15"/>
              </w:rPr>
            </w:pPr>
          </w:p>
          <w:p>
            <w:pPr>
              <w:pStyle w:val="TableParagraph"/>
              <w:spacing w:before="34"/>
              <w:rPr>
                <w:i/>
                <w:sz w:val="15"/>
              </w:rPr>
            </w:pPr>
          </w:p>
          <w:p>
            <w:pPr>
              <w:pStyle w:val="TableParagraph"/>
              <w:ind w:left="233"/>
              <w:rPr>
                <w:sz w:val="15"/>
              </w:rPr>
            </w:pPr>
            <w:r>
              <w:rPr>
                <w:color w:val="231F20"/>
                <w:sz w:val="15"/>
              </w:rPr>
              <w:t>Analgesic</w:t>
            </w:r>
            <w:r>
              <w:rPr>
                <w:color w:val="231F20"/>
                <w:spacing w:val="13"/>
                <w:sz w:val="15"/>
              </w:rPr>
              <w:t> </w:t>
            </w:r>
            <w:r>
              <w:rPr>
                <w:color w:val="231F20"/>
                <w:spacing w:val="-2"/>
                <w:sz w:val="15"/>
              </w:rPr>
              <w:t>effects</w:t>
            </w:r>
          </w:p>
          <w:p>
            <w:pPr>
              <w:pStyle w:val="TableParagraph"/>
              <w:spacing w:line="230" w:lineRule="auto" w:before="169"/>
              <w:ind w:left="345" w:right="35" w:hanging="112"/>
              <w:rPr>
                <w:sz w:val="15"/>
              </w:rPr>
            </w:pPr>
            <w:r>
              <w:rPr>
                <w:color w:val="231F20"/>
                <w:spacing w:val="-4"/>
                <w:sz w:val="15"/>
              </w:rPr>
              <w:t>Antiinflammatory </w:t>
            </w:r>
            <w:r>
              <w:rPr>
                <w:color w:val="231F20"/>
                <w:sz w:val="15"/>
              </w:rPr>
              <w:t>and analgesic</w:t>
            </w:r>
          </w:p>
          <w:p>
            <w:pPr>
              <w:pStyle w:val="TableParagraph"/>
              <w:spacing w:before="168"/>
              <w:ind w:left="233"/>
              <w:rPr>
                <w:sz w:val="15"/>
              </w:rPr>
            </w:pPr>
            <w:r>
              <w:rPr>
                <w:color w:val="231F20"/>
                <w:spacing w:val="-4"/>
                <w:sz w:val="15"/>
              </w:rPr>
              <w:t>5-HT</w:t>
            </w:r>
            <w:r>
              <w:rPr>
                <w:color w:val="231F20"/>
                <w:spacing w:val="-4"/>
                <w:sz w:val="15"/>
                <w:vertAlign w:val="subscript"/>
              </w:rPr>
              <w:t>1b/1d</w:t>
            </w:r>
            <w:r>
              <w:rPr>
                <w:color w:val="231F20"/>
                <w:spacing w:val="1"/>
                <w:sz w:val="15"/>
                <w:vertAlign w:val="baseline"/>
              </w:rPr>
              <w:t> </w:t>
            </w:r>
            <w:r>
              <w:rPr>
                <w:color w:val="231F20"/>
                <w:spacing w:val="-4"/>
                <w:sz w:val="15"/>
                <w:vertAlign w:val="baseline"/>
              </w:rPr>
              <w:t>agonist</w:t>
            </w:r>
          </w:p>
          <w:p>
            <w:pPr>
              <w:pStyle w:val="TableParagraph"/>
              <w:rPr>
                <w:i/>
                <w:sz w:val="15"/>
              </w:rPr>
            </w:pPr>
          </w:p>
          <w:p>
            <w:pPr>
              <w:pStyle w:val="TableParagraph"/>
              <w:rPr>
                <w:i/>
                <w:sz w:val="15"/>
              </w:rPr>
            </w:pPr>
          </w:p>
          <w:p>
            <w:pPr>
              <w:pStyle w:val="TableParagraph"/>
              <w:rPr>
                <w:i/>
                <w:sz w:val="15"/>
              </w:rPr>
            </w:pPr>
          </w:p>
          <w:p>
            <w:pPr>
              <w:pStyle w:val="TableParagraph"/>
              <w:spacing w:before="138"/>
              <w:rPr>
                <w:i/>
                <w:sz w:val="15"/>
              </w:rPr>
            </w:pPr>
          </w:p>
          <w:p>
            <w:pPr>
              <w:pStyle w:val="TableParagraph"/>
              <w:spacing w:line="465" w:lineRule="auto"/>
              <w:ind w:left="233" w:right="709"/>
              <w:rPr>
                <w:sz w:val="15"/>
              </w:rPr>
            </w:pPr>
            <w:r>
              <w:rPr>
                <w:color w:val="231F20"/>
                <w:spacing w:val="-4"/>
                <w:sz w:val="15"/>
              </w:rPr>
              <w:t>Same Same</w:t>
            </w:r>
          </w:p>
          <w:p>
            <w:pPr>
              <w:pStyle w:val="TableParagraph"/>
              <w:spacing w:before="161"/>
              <w:rPr>
                <w:i/>
                <w:sz w:val="15"/>
              </w:rPr>
            </w:pPr>
          </w:p>
          <w:p>
            <w:pPr>
              <w:pStyle w:val="TableParagraph"/>
              <w:ind w:left="233"/>
              <w:rPr>
                <w:sz w:val="15"/>
              </w:rPr>
            </w:pPr>
            <w:r>
              <w:rPr>
                <w:color w:val="231F20"/>
                <w:spacing w:val="-4"/>
                <w:w w:val="105"/>
                <w:sz w:val="15"/>
              </w:rPr>
              <w:t>Same</w:t>
            </w:r>
          </w:p>
          <w:p>
            <w:pPr>
              <w:pStyle w:val="TableParagraph"/>
              <w:rPr>
                <w:i/>
                <w:sz w:val="15"/>
              </w:rPr>
            </w:pPr>
          </w:p>
          <w:p>
            <w:pPr>
              <w:pStyle w:val="TableParagraph"/>
              <w:spacing w:before="150"/>
              <w:rPr>
                <w:i/>
                <w:sz w:val="15"/>
              </w:rPr>
            </w:pPr>
          </w:p>
          <w:p>
            <w:pPr>
              <w:pStyle w:val="TableParagraph"/>
              <w:spacing w:line="696" w:lineRule="auto" w:before="1"/>
              <w:ind w:left="233" w:right="709"/>
              <w:rPr>
                <w:sz w:val="15"/>
              </w:rPr>
            </w:pPr>
            <w:r>
              <w:rPr>
                <w:color w:val="231F20"/>
                <w:spacing w:val="-4"/>
                <w:sz w:val="15"/>
              </w:rPr>
              <w:t>Same Same</w:t>
            </w:r>
          </w:p>
          <w:p>
            <w:pPr>
              <w:pStyle w:val="TableParagraph"/>
              <w:spacing w:before="168"/>
              <w:ind w:left="233"/>
              <w:rPr>
                <w:sz w:val="15"/>
              </w:rPr>
            </w:pPr>
            <w:r>
              <w:rPr>
                <w:color w:val="231F20"/>
                <w:spacing w:val="-4"/>
                <w:w w:val="105"/>
                <w:sz w:val="15"/>
              </w:rPr>
              <w:t>Same</w:t>
            </w:r>
          </w:p>
        </w:tc>
        <w:tc>
          <w:tcPr>
            <w:tcW w:w="2052" w:type="dxa"/>
            <w:tcBorders>
              <w:top w:val="single" w:sz="4" w:space="0" w:color="231F20"/>
            </w:tcBorders>
            <w:shd w:val="clear" w:color="auto" w:fill="E8F5F1"/>
          </w:tcPr>
          <w:p>
            <w:pPr>
              <w:pStyle w:val="TableParagraph"/>
              <w:rPr>
                <w:i/>
                <w:sz w:val="15"/>
              </w:rPr>
            </w:pPr>
          </w:p>
          <w:p>
            <w:pPr>
              <w:pStyle w:val="TableParagraph"/>
              <w:spacing w:before="40"/>
              <w:rPr>
                <w:i/>
                <w:sz w:val="15"/>
              </w:rPr>
            </w:pPr>
          </w:p>
          <w:p>
            <w:pPr>
              <w:pStyle w:val="TableParagraph"/>
              <w:spacing w:line="230" w:lineRule="auto"/>
              <w:ind w:left="347" w:hanging="112"/>
              <w:rPr>
                <w:sz w:val="15"/>
              </w:rPr>
            </w:pPr>
            <w:r>
              <w:rPr>
                <w:color w:val="231F20"/>
                <w:spacing w:val="-2"/>
                <w:sz w:val="15"/>
              </w:rPr>
              <w:t>Overdose,</w:t>
            </w:r>
            <w:r>
              <w:rPr>
                <w:color w:val="231F20"/>
                <w:spacing w:val="-10"/>
                <w:sz w:val="15"/>
              </w:rPr>
              <w:t> </w:t>
            </w:r>
            <w:r>
              <w:rPr>
                <w:color w:val="231F20"/>
                <w:spacing w:val="-2"/>
                <w:sz w:val="15"/>
              </w:rPr>
              <w:t>fatal</w:t>
            </w:r>
            <w:r>
              <w:rPr>
                <w:color w:val="231F20"/>
                <w:spacing w:val="-9"/>
                <w:sz w:val="15"/>
              </w:rPr>
              <w:t> </w:t>
            </w:r>
            <w:r>
              <w:rPr>
                <w:color w:val="231F20"/>
                <w:spacing w:val="-2"/>
                <w:sz w:val="15"/>
              </w:rPr>
              <w:t>hepatic necrosis</w:t>
            </w:r>
          </w:p>
          <w:p>
            <w:pPr>
              <w:pStyle w:val="TableParagraph"/>
              <w:spacing w:line="168" w:lineRule="exact"/>
              <w:ind w:left="347" w:right="346" w:hanging="112"/>
              <w:rPr>
                <w:sz w:val="15"/>
              </w:rPr>
            </w:pPr>
            <w:r>
              <w:rPr>
                <w:color w:val="231F20"/>
                <w:sz w:val="15"/>
              </w:rPr>
              <w:t>GI</w:t>
            </w:r>
            <w:r>
              <w:rPr>
                <w:color w:val="231F20"/>
                <w:spacing w:val="-1"/>
                <w:sz w:val="15"/>
              </w:rPr>
              <w:t> </w:t>
            </w:r>
            <w:r>
              <w:rPr>
                <w:color w:val="231F20"/>
                <w:sz w:val="15"/>
              </w:rPr>
              <w:t>bleeding</w:t>
            </w:r>
            <w:r>
              <w:rPr>
                <w:color w:val="231F20"/>
                <w:spacing w:val="-1"/>
                <w:sz w:val="15"/>
              </w:rPr>
              <w:t> </w:t>
            </w:r>
            <w:r>
              <w:rPr>
                <w:color w:val="231F20"/>
                <w:sz w:val="15"/>
              </w:rPr>
              <w:t>stomach </w:t>
            </w:r>
            <w:r>
              <w:rPr>
                <w:color w:val="231F20"/>
                <w:spacing w:val="-2"/>
                <w:sz w:val="15"/>
              </w:rPr>
              <w:t>upset,</w:t>
            </w:r>
            <w:r>
              <w:rPr>
                <w:color w:val="231F20"/>
                <w:sz w:val="15"/>
              </w:rPr>
              <w:t> </w:t>
            </w:r>
            <w:r>
              <w:rPr>
                <w:color w:val="231F20"/>
                <w:spacing w:val="-2"/>
                <w:sz w:val="15"/>
              </w:rPr>
              <w:t>kidney</w:t>
            </w:r>
            <w:r>
              <w:rPr>
                <w:color w:val="231F20"/>
                <w:sz w:val="15"/>
              </w:rPr>
              <w:t> </w:t>
            </w:r>
            <w:r>
              <w:rPr>
                <w:color w:val="231F20"/>
                <w:spacing w:val="-8"/>
                <w:sz w:val="15"/>
              </w:rPr>
              <w:t>injury</w:t>
            </w:r>
          </w:p>
        </w:tc>
        <w:tc>
          <w:tcPr>
            <w:tcW w:w="2431" w:type="dxa"/>
            <w:vMerge w:val="restart"/>
            <w:tcBorders>
              <w:top w:val="single" w:sz="4" w:space="0" w:color="231F20"/>
              <w:bottom w:val="single" w:sz="8" w:space="0" w:color="231F20"/>
            </w:tcBorders>
            <w:shd w:val="clear" w:color="auto" w:fill="E8F5F1"/>
          </w:tcPr>
          <w:p>
            <w:pPr>
              <w:pStyle w:val="TableParagraph"/>
              <w:rPr>
                <w:i/>
                <w:sz w:val="15"/>
              </w:rPr>
            </w:pPr>
          </w:p>
          <w:p>
            <w:pPr>
              <w:pStyle w:val="TableParagraph"/>
              <w:spacing w:before="40"/>
              <w:rPr>
                <w:i/>
                <w:sz w:val="15"/>
              </w:rPr>
            </w:pPr>
          </w:p>
          <w:p>
            <w:pPr>
              <w:pStyle w:val="TableParagraph"/>
              <w:spacing w:line="230" w:lineRule="auto"/>
              <w:ind w:left="363" w:right="638" w:hanging="112"/>
              <w:rPr>
                <w:sz w:val="15"/>
              </w:rPr>
            </w:pPr>
            <w:r>
              <w:rPr>
                <w:color w:val="231F20"/>
                <w:spacing w:val="-2"/>
                <w:sz w:val="15"/>
              </w:rPr>
              <w:t>Effectiveness</w:t>
            </w:r>
            <w:r>
              <w:rPr>
                <w:color w:val="231F20"/>
                <w:spacing w:val="-10"/>
                <w:sz w:val="15"/>
              </w:rPr>
              <w:t> </w:t>
            </w:r>
            <w:r>
              <w:rPr>
                <w:color w:val="231F20"/>
                <w:spacing w:val="-2"/>
                <w:sz w:val="15"/>
              </w:rPr>
              <w:t>limited</w:t>
            </w:r>
            <w:r>
              <w:rPr>
                <w:color w:val="231F20"/>
                <w:spacing w:val="-9"/>
                <w:sz w:val="15"/>
              </w:rPr>
              <w:t> </w:t>
            </w:r>
            <w:r>
              <w:rPr>
                <w:color w:val="231F20"/>
                <w:spacing w:val="-2"/>
                <w:sz w:val="15"/>
              </w:rPr>
              <w:t>in migraine</w:t>
            </w:r>
          </w:p>
          <w:p>
            <w:pPr>
              <w:pStyle w:val="TableParagraph"/>
              <w:spacing w:line="230" w:lineRule="auto" w:before="3"/>
              <w:ind w:left="363" w:right="87" w:hanging="112"/>
              <w:rPr>
                <w:sz w:val="15"/>
              </w:rPr>
            </w:pPr>
            <w:r>
              <w:rPr>
                <w:color w:val="231F20"/>
                <w:sz w:val="15"/>
              </w:rPr>
              <w:t>Avoid</w:t>
            </w:r>
            <w:r>
              <w:rPr>
                <w:color w:val="231F20"/>
                <w:spacing w:val="-12"/>
                <w:sz w:val="15"/>
              </w:rPr>
              <w:t> </w:t>
            </w:r>
            <w:r>
              <w:rPr>
                <w:color w:val="231F20"/>
                <w:sz w:val="15"/>
              </w:rPr>
              <w:t>overuse</w:t>
            </w:r>
            <w:r>
              <w:rPr>
                <w:color w:val="231F20"/>
                <w:spacing w:val="-11"/>
                <w:sz w:val="15"/>
              </w:rPr>
              <w:t> </w:t>
            </w:r>
            <w:r>
              <w:rPr>
                <w:color w:val="231F20"/>
                <w:sz w:val="15"/>
              </w:rPr>
              <w:t>(2-3</w:t>
            </w:r>
            <w:r>
              <w:rPr>
                <w:color w:val="231F20"/>
                <w:spacing w:val="-11"/>
                <w:sz w:val="15"/>
              </w:rPr>
              <w:t> </w:t>
            </w:r>
            <w:r>
              <w:rPr>
                <w:color w:val="231F20"/>
                <w:sz w:val="15"/>
              </w:rPr>
              <w:t>times</w:t>
            </w:r>
            <w:r>
              <w:rPr>
                <w:color w:val="231F20"/>
                <w:spacing w:val="-12"/>
                <w:sz w:val="15"/>
              </w:rPr>
              <w:t> </w:t>
            </w:r>
            <w:r>
              <w:rPr>
                <w:color w:val="231F20"/>
                <w:sz w:val="15"/>
              </w:rPr>
              <w:t>per </w:t>
            </w:r>
            <w:r>
              <w:rPr>
                <w:color w:val="231F20"/>
                <w:spacing w:val="-4"/>
                <w:sz w:val="15"/>
              </w:rPr>
              <w:t>wk)</w:t>
            </w:r>
          </w:p>
          <w:p>
            <w:pPr>
              <w:pStyle w:val="TableParagraph"/>
              <w:spacing w:line="230" w:lineRule="auto" w:before="173"/>
              <w:ind w:left="363" w:hanging="112"/>
              <w:rPr>
                <w:sz w:val="15"/>
              </w:rPr>
            </w:pPr>
            <w:r>
              <w:rPr>
                <w:color w:val="231F20"/>
                <w:sz w:val="15"/>
              </w:rPr>
              <w:t>Avoid</w:t>
            </w:r>
            <w:r>
              <w:rPr>
                <w:color w:val="231F20"/>
                <w:spacing w:val="-11"/>
                <w:sz w:val="15"/>
              </w:rPr>
              <w:t> </w:t>
            </w:r>
            <w:r>
              <w:rPr>
                <w:color w:val="231F20"/>
                <w:sz w:val="15"/>
              </w:rPr>
              <w:t>overuse</w:t>
            </w:r>
            <w:r>
              <w:rPr>
                <w:color w:val="231F20"/>
                <w:spacing w:val="-11"/>
                <w:sz w:val="15"/>
              </w:rPr>
              <w:t> </w:t>
            </w:r>
            <w:r>
              <w:rPr>
                <w:color w:val="231F20"/>
                <w:sz w:val="15"/>
              </w:rPr>
              <w:t>(more</w:t>
            </w:r>
            <w:r>
              <w:rPr>
                <w:color w:val="231F20"/>
                <w:spacing w:val="-11"/>
                <w:sz w:val="15"/>
              </w:rPr>
              <w:t> </w:t>
            </w:r>
            <w:r>
              <w:rPr>
                <w:color w:val="231F20"/>
                <w:sz w:val="15"/>
              </w:rPr>
              <w:t>than</w:t>
            </w:r>
            <w:r>
              <w:rPr>
                <w:color w:val="231F20"/>
                <w:spacing w:val="-11"/>
                <w:sz w:val="15"/>
              </w:rPr>
              <w:t> </w:t>
            </w:r>
            <w:r>
              <w:rPr>
                <w:color w:val="231F20"/>
                <w:sz w:val="15"/>
              </w:rPr>
              <w:t>4-</w:t>
            </w:r>
            <w:r>
              <w:rPr>
                <w:color w:val="231F20"/>
                <w:sz w:val="15"/>
              </w:rPr>
              <w:t>6 times per mo)</w:t>
            </w:r>
          </w:p>
          <w:p>
            <w:pPr>
              <w:pStyle w:val="TableParagraph"/>
              <w:rPr>
                <w:i/>
                <w:sz w:val="15"/>
              </w:rPr>
            </w:pPr>
          </w:p>
          <w:p>
            <w:pPr>
              <w:pStyle w:val="TableParagraph"/>
              <w:rPr>
                <w:i/>
                <w:sz w:val="15"/>
              </w:rPr>
            </w:pPr>
          </w:p>
          <w:p>
            <w:pPr>
              <w:pStyle w:val="TableParagraph"/>
              <w:spacing w:before="152"/>
              <w:rPr>
                <w:i/>
                <w:sz w:val="15"/>
              </w:rPr>
            </w:pPr>
          </w:p>
          <w:p>
            <w:pPr>
              <w:pStyle w:val="TableParagraph"/>
              <w:spacing w:line="230" w:lineRule="auto"/>
              <w:ind w:left="363" w:hanging="112"/>
              <w:rPr>
                <w:sz w:val="15"/>
              </w:rPr>
            </w:pPr>
            <w:r>
              <w:rPr>
                <w:color w:val="231F20"/>
                <w:sz w:val="15"/>
              </w:rPr>
              <w:t>Avoid</w:t>
            </w:r>
            <w:r>
              <w:rPr>
                <w:color w:val="231F20"/>
                <w:spacing w:val="-11"/>
                <w:sz w:val="15"/>
              </w:rPr>
              <w:t> </w:t>
            </w:r>
            <w:r>
              <w:rPr>
                <w:color w:val="231F20"/>
                <w:sz w:val="15"/>
              </w:rPr>
              <w:t>overuse</w:t>
            </w:r>
            <w:r>
              <w:rPr>
                <w:color w:val="231F20"/>
                <w:spacing w:val="-11"/>
                <w:sz w:val="15"/>
              </w:rPr>
              <w:t> </w:t>
            </w:r>
            <w:r>
              <w:rPr>
                <w:color w:val="231F20"/>
                <w:sz w:val="15"/>
              </w:rPr>
              <w:t>(more</w:t>
            </w:r>
            <w:r>
              <w:rPr>
                <w:color w:val="231F20"/>
                <w:spacing w:val="-11"/>
                <w:sz w:val="15"/>
              </w:rPr>
              <w:t> </w:t>
            </w:r>
            <w:r>
              <w:rPr>
                <w:color w:val="231F20"/>
                <w:sz w:val="15"/>
              </w:rPr>
              <w:t>than</w:t>
            </w:r>
            <w:r>
              <w:rPr>
                <w:color w:val="231F20"/>
                <w:spacing w:val="-11"/>
                <w:sz w:val="15"/>
              </w:rPr>
              <w:t> </w:t>
            </w:r>
            <w:r>
              <w:rPr>
                <w:color w:val="231F20"/>
                <w:sz w:val="15"/>
              </w:rPr>
              <w:t>4-</w:t>
            </w:r>
            <w:r>
              <w:rPr>
                <w:color w:val="231F20"/>
                <w:sz w:val="15"/>
              </w:rPr>
              <w:t>6 times per mo)</w:t>
            </w:r>
          </w:p>
          <w:p>
            <w:pPr>
              <w:pStyle w:val="TableParagraph"/>
              <w:spacing w:line="230" w:lineRule="auto" w:before="3"/>
              <w:ind w:left="363" w:hanging="112"/>
              <w:rPr>
                <w:sz w:val="15"/>
              </w:rPr>
            </w:pPr>
            <w:r>
              <w:rPr>
                <w:color w:val="231F20"/>
                <w:spacing w:val="-2"/>
                <w:sz w:val="15"/>
              </w:rPr>
              <w:t>May</w:t>
            </w:r>
            <w:r>
              <w:rPr>
                <w:color w:val="231F20"/>
                <w:spacing w:val="-6"/>
                <w:sz w:val="15"/>
              </w:rPr>
              <w:t> </w:t>
            </w:r>
            <w:r>
              <w:rPr>
                <w:color w:val="231F20"/>
                <w:spacing w:val="-2"/>
                <w:sz w:val="15"/>
              </w:rPr>
              <w:t>be</w:t>
            </w:r>
            <w:r>
              <w:rPr>
                <w:color w:val="231F20"/>
                <w:spacing w:val="-6"/>
                <w:sz w:val="15"/>
              </w:rPr>
              <w:t> </w:t>
            </w:r>
            <w:r>
              <w:rPr>
                <w:color w:val="231F20"/>
                <w:spacing w:val="-2"/>
                <w:sz w:val="15"/>
              </w:rPr>
              <w:t>effective</w:t>
            </w:r>
            <w:r>
              <w:rPr>
                <w:color w:val="231F20"/>
                <w:spacing w:val="-6"/>
                <w:sz w:val="15"/>
              </w:rPr>
              <w:t> </w:t>
            </w:r>
            <w:r>
              <w:rPr>
                <w:color w:val="231F20"/>
                <w:spacing w:val="-2"/>
                <w:sz w:val="15"/>
              </w:rPr>
              <w:t>for</w:t>
            </w:r>
            <w:r>
              <w:rPr>
                <w:color w:val="231F20"/>
                <w:spacing w:val="-6"/>
                <w:sz w:val="15"/>
              </w:rPr>
              <w:t> </w:t>
            </w:r>
            <w:r>
              <w:rPr>
                <w:color w:val="231F20"/>
                <w:spacing w:val="-2"/>
                <w:sz w:val="15"/>
              </w:rPr>
              <w:t>menstrual </w:t>
            </w:r>
            <w:r>
              <w:rPr>
                <w:color w:val="231F20"/>
                <w:sz w:val="15"/>
              </w:rPr>
              <w:t>migraine prevention</w:t>
            </w:r>
          </w:p>
          <w:p>
            <w:pPr>
              <w:pStyle w:val="TableParagraph"/>
              <w:spacing w:line="230" w:lineRule="auto" w:before="2"/>
              <w:ind w:left="363" w:hanging="112"/>
              <w:rPr>
                <w:sz w:val="15"/>
              </w:rPr>
            </w:pPr>
            <w:r>
              <w:rPr>
                <w:color w:val="231F20"/>
                <w:sz w:val="15"/>
              </w:rPr>
              <w:t>Avoid</w:t>
            </w:r>
            <w:r>
              <w:rPr>
                <w:color w:val="231F20"/>
                <w:spacing w:val="-11"/>
                <w:sz w:val="15"/>
              </w:rPr>
              <w:t> </w:t>
            </w:r>
            <w:r>
              <w:rPr>
                <w:color w:val="231F20"/>
                <w:sz w:val="15"/>
              </w:rPr>
              <w:t>overuse</w:t>
            </w:r>
            <w:r>
              <w:rPr>
                <w:color w:val="231F20"/>
                <w:spacing w:val="-11"/>
                <w:sz w:val="15"/>
              </w:rPr>
              <w:t> </w:t>
            </w:r>
            <w:r>
              <w:rPr>
                <w:color w:val="231F20"/>
                <w:sz w:val="15"/>
              </w:rPr>
              <w:t>(more</w:t>
            </w:r>
            <w:r>
              <w:rPr>
                <w:color w:val="231F20"/>
                <w:spacing w:val="-11"/>
                <w:sz w:val="15"/>
              </w:rPr>
              <w:t> </w:t>
            </w:r>
            <w:r>
              <w:rPr>
                <w:color w:val="231F20"/>
                <w:sz w:val="15"/>
              </w:rPr>
              <w:t>than</w:t>
            </w:r>
            <w:r>
              <w:rPr>
                <w:color w:val="231F20"/>
                <w:spacing w:val="-11"/>
                <w:sz w:val="15"/>
              </w:rPr>
              <w:t> </w:t>
            </w:r>
            <w:r>
              <w:rPr>
                <w:color w:val="231F20"/>
                <w:sz w:val="15"/>
              </w:rPr>
              <w:t>4-</w:t>
            </w:r>
            <w:r>
              <w:rPr>
                <w:color w:val="231F20"/>
                <w:sz w:val="15"/>
              </w:rPr>
              <w:t>6 times per mo)</w:t>
            </w:r>
          </w:p>
          <w:p>
            <w:pPr>
              <w:pStyle w:val="TableParagraph"/>
              <w:spacing w:line="230" w:lineRule="auto" w:before="3"/>
              <w:ind w:left="363" w:hanging="112"/>
              <w:rPr>
                <w:sz w:val="15"/>
              </w:rPr>
            </w:pPr>
            <w:r>
              <w:rPr>
                <w:color w:val="231F20"/>
                <w:spacing w:val="-2"/>
                <w:sz w:val="15"/>
              </w:rPr>
              <w:t>May</w:t>
            </w:r>
            <w:r>
              <w:rPr>
                <w:color w:val="231F20"/>
                <w:spacing w:val="-6"/>
                <w:sz w:val="15"/>
              </w:rPr>
              <w:t> </w:t>
            </w:r>
            <w:r>
              <w:rPr>
                <w:color w:val="231F20"/>
                <w:spacing w:val="-2"/>
                <w:sz w:val="15"/>
              </w:rPr>
              <w:t>be</w:t>
            </w:r>
            <w:r>
              <w:rPr>
                <w:color w:val="231F20"/>
                <w:spacing w:val="-6"/>
                <w:sz w:val="15"/>
              </w:rPr>
              <w:t> </w:t>
            </w:r>
            <w:r>
              <w:rPr>
                <w:color w:val="231F20"/>
                <w:spacing w:val="-2"/>
                <w:sz w:val="15"/>
              </w:rPr>
              <w:t>effective</w:t>
            </w:r>
            <w:r>
              <w:rPr>
                <w:color w:val="231F20"/>
                <w:spacing w:val="-6"/>
                <w:sz w:val="15"/>
              </w:rPr>
              <w:t> </w:t>
            </w:r>
            <w:r>
              <w:rPr>
                <w:color w:val="231F20"/>
                <w:spacing w:val="-2"/>
                <w:sz w:val="15"/>
              </w:rPr>
              <w:t>for</w:t>
            </w:r>
            <w:r>
              <w:rPr>
                <w:color w:val="231F20"/>
                <w:spacing w:val="-6"/>
                <w:sz w:val="15"/>
              </w:rPr>
              <w:t> </w:t>
            </w:r>
            <w:r>
              <w:rPr>
                <w:color w:val="231F20"/>
                <w:spacing w:val="-2"/>
                <w:sz w:val="15"/>
              </w:rPr>
              <w:t>menstrual </w:t>
            </w:r>
            <w:r>
              <w:rPr>
                <w:color w:val="231F20"/>
                <w:sz w:val="15"/>
              </w:rPr>
              <w:t>migraine prevention</w:t>
            </w:r>
          </w:p>
          <w:p>
            <w:pPr>
              <w:pStyle w:val="TableParagraph"/>
              <w:spacing w:line="230" w:lineRule="auto" w:before="1"/>
              <w:ind w:left="363" w:hanging="112"/>
              <w:rPr>
                <w:sz w:val="15"/>
              </w:rPr>
            </w:pPr>
            <w:r>
              <w:rPr>
                <w:color w:val="231F20"/>
                <w:sz w:val="15"/>
              </w:rPr>
              <w:t>Avoid</w:t>
            </w:r>
            <w:r>
              <w:rPr>
                <w:color w:val="231F20"/>
                <w:spacing w:val="-11"/>
                <w:sz w:val="15"/>
              </w:rPr>
              <w:t> </w:t>
            </w:r>
            <w:r>
              <w:rPr>
                <w:color w:val="231F20"/>
                <w:sz w:val="15"/>
              </w:rPr>
              <w:t>overuse</w:t>
            </w:r>
            <w:r>
              <w:rPr>
                <w:color w:val="231F20"/>
                <w:spacing w:val="-11"/>
                <w:sz w:val="15"/>
              </w:rPr>
              <w:t> </w:t>
            </w:r>
            <w:r>
              <w:rPr>
                <w:color w:val="231F20"/>
                <w:sz w:val="15"/>
              </w:rPr>
              <w:t>(more</w:t>
            </w:r>
            <w:r>
              <w:rPr>
                <w:color w:val="231F20"/>
                <w:spacing w:val="-11"/>
                <w:sz w:val="15"/>
              </w:rPr>
              <w:t> </w:t>
            </w:r>
            <w:r>
              <w:rPr>
                <w:color w:val="231F20"/>
                <w:sz w:val="15"/>
              </w:rPr>
              <w:t>than</w:t>
            </w:r>
            <w:r>
              <w:rPr>
                <w:color w:val="231F20"/>
                <w:spacing w:val="-11"/>
                <w:sz w:val="15"/>
              </w:rPr>
              <w:t> </w:t>
            </w:r>
            <w:r>
              <w:rPr>
                <w:color w:val="231F20"/>
                <w:sz w:val="15"/>
              </w:rPr>
              <w:t>4-</w:t>
            </w:r>
            <w:r>
              <w:rPr>
                <w:color w:val="231F20"/>
                <w:sz w:val="15"/>
              </w:rPr>
              <w:t>6 times per mo)</w:t>
            </w:r>
          </w:p>
          <w:p>
            <w:pPr>
              <w:pStyle w:val="TableParagraph"/>
              <w:spacing w:line="230" w:lineRule="auto" w:before="3"/>
              <w:ind w:left="251"/>
              <w:rPr>
                <w:sz w:val="15"/>
              </w:rPr>
            </w:pPr>
            <w:r>
              <w:rPr>
                <w:color w:val="231F20"/>
                <w:sz w:val="15"/>
              </w:rPr>
              <w:t>Available</w:t>
            </w:r>
            <w:r>
              <w:rPr>
                <w:color w:val="231F20"/>
                <w:spacing w:val="-12"/>
                <w:sz w:val="15"/>
              </w:rPr>
              <w:t> </w:t>
            </w:r>
            <w:r>
              <w:rPr>
                <w:color w:val="231F20"/>
                <w:sz w:val="15"/>
              </w:rPr>
              <w:t>in</w:t>
            </w:r>
            <w:r>
              <w:rPr>
                <w:color w:val="231F20"/>
                <w:spacing w:val="-11"/>
                <w:sz w:val="15"/>
              </w:rPr>
              <w:t> </w:t>
            </w:r>
            <w:r>
              <w:rPr>
                <w:color w:val="231F20"/>
                <w:sz w:val="15"/>
              </w:rPr>
              <w:t>tablets</w:t>
            </w:r>
            <w:r>
              <w:rPr>
                <w:color w:val="231F20"/>
                <w:spacing w:val="-11"/>
                <w:sz w:val="15"/>
              </w:rPr>
              <w:t> </w:t>
            </w:r>
            <w:r>
              <w:rPr>
                <w:color w:val="231F20"/>
                <w:sz w:val="15"/>
              </w:rPr>
              <w:t>and</w:t>
            </w:r>
            <w:r>
              <w:rPr>
                <w:color w:val="231F20"/>
                <w:spacing w:val="-12"/>
                <w:sz w:val="15"/>
              </w:rPr>
              <w:t> </w:t>
            </w:r>
            <w:r>
              <w:rPr>
                <w:color w:val="231F20"/>
                <w:sz w:val="15"/>
              </w:rPr>
              <w:t>melts Avoid</w:t>
            </w:r>
            <w:r>
              <w:rPr>
                <w:color w:val="231F20"/>
                <w:spacing w:val="-3"/>
                <w:sz w:val="15"/>
              </w:rPr>
              <w:t> </w:t>
            </w:r>
            <w:r>
              <w:rPr>
                <w:color w:val="231F20"/>
                <w:sz w:val="15"/>
              </w:rPr>
              <w:t>overuse</w:t>
            </w:r>
            <w:r>
              <w:rPr>
                <w:color w:val="231F20"/>
                <w:spacing w:val="-3"/>
                <w:sz w:val="15"/>
              </w:rPr>
              <w:t> </w:t>
            </w:r>
            <w:r>
              <w:rPr>
                <w:color w:val="231F20"/>
                <w:sz w:val="15"/>
              </w:rPr>
              <w:t>(more</w:t>
            </w:r>
            <w:r>
              <w:rPr>
                <w:color w:val="231F20"/>
                <w:spacing w:val="-3"/>
                <w:sz w:val="15"/>
              </w:rPr>
              <w:t> </w:t>
            </w:r>
            <w:r>
              <w:rPr>
                <w:color w:val="231F20"/>
                <w:sz w:val="15"/>
              </w:rPr>
              <w:t>than</w:t>
            </w:r>
            <w:r>
              <w:rPr>
                <w:color w:val="231F20"/>
                <w:spacing w:val="-3"/>
                <w:sz w:val="15"/>
              </w:rPr>
              <w:t> </w:t>
            </w:r>
            <w:r>
              <w:rPr>
                <w:color w:val="231F20"/>
                <w:sz w:val="15"/>
              </w:rPr>
              <w:t>4-</w:t>
            </w:r>
            <w:r>
              <w:rPr>
                <w:color w:val="231F20"/>
                <w:spacing w:val="-10"/>
                <w:sz w:val="15"/>
              </w:rPr>
              <w:t>6</w:t>
            </w:r>
          </w:p>
          <w:p>
            <w:pPr>
              <w:pStyle w:val="TableParagraph"/>
              <w:spacing w:line="168" w:lineRule="exact"/>
              <w:ind w:left="363"/>
              <w:rPr>
                <w:sz w:val="15"/>
              </w:rPr>
            </w:pPr>
            <w:r>
              <w:rPr>
                <w:color w:val="231F20"/>
                <w:sz w:val="15"/>
              </w:rPr>
              <w:t>times</w:t>
            </w:r>
            <w:r>
              <w:rPr>
                <w:color w:val="231F20"/>
                <w:spacing w:val="-5"/>
                <w:sz w:val="15"/>
              </w:rPr>
              <w:t> </w:t>
            </w:r>
            <w:r>
              <w:rPr>
                <w:color w:val="231F20"/>
                <w:sz w:val="15"/>
              </w:rPr>
              <w:t>per</w:t>
            </w:r>
            <w:r>
              <w:rPr>
                <w:color w:val="231F20"/>
                <w:spacing w:val="-5"/>
                <w:sz w:val="15"/>
              </w:rPr>
              <w:t> mo)</w:t>
            </w:r>
          </w:p>
          <w:p>
            <w:pPr>
              <w:pStyle w:val="TableParagraph"/>
              <w:spacing w:line="230" w:lineRule="auto" w:before="4"/>
              <w:ind w:left="363" w:hanging="112"/>
              <w:rPr>
                <w:sz w:val="15"/>
              </w:rPr>
            </w:pPr>
            <w:r>
              <w:rPr>
                <w:color w:val="231F20"/>
                <w:sz w:val="15"/>
              </w:rPr>
              <w:t>Avoid</w:t>
            </w:r>
            <w:r>
              <w:rPr>
                <w:color w:val="231F20"/>
                <w:spacing w:val="-11"/>
                <w:sz w:val="15"/>
              </w:rPr>
              <w:t> </w:t>
            </w:r>
            <w:r>
              <w:rPr>
                <w:color w:val="231F20"/>
                <w:sz w:val="15"/>
              </w:rPr>
              <w:t>overuse</w:t>
            </w:r>
            <w:r>
              <w:rPr>
                <w:color w:val="231F20"/>
                <w:spacing w:val="-11"/>
                <w:sz w:val="15"/>
              </w:rPr>
              <w:t> </w:t>
            </w:r>
            <w:r>
              <w:rPr>
                <w:color w:val="231F20"/>
                <w:sz w:val="15"/>
              </w:rPr>
              <w:t>(more</w:t>
            </w:r>
            <w:r>
              <w:rPr>
                <w:color w:val="231F20"/>
                <w:spacing w:val="-11"/>
                <w:sz w:val="15"/>
              </w:rPr>
              <w:t> </w:t>
            </w:r>
            <w:r>
              <w:rPr>
                <w:color w:val="231F20"/>
                <w:sz w:val="15"/>
              </w:rPr>
              <w:t>than</w:t>
            </w:r>
            <w:r>
              <w:rPr>
                <w:color w:val="231F20"/>
                <w:spacing w:val="-11"/>
                <w:sz w:val="15"/>
              </w:rPr>
              <w:t> </w:t>
            </w:r>
            <w:r>
              <w:rPr>
                <w:color w:val="231F20"/>
                <w:sz w:val="15"/>
              </w:rPr>
              <w:t>4-</w:t>
            </w:r>
            <w:r>
              <w:rPr>
                <w:color w:val="231F20"/>
                <w:sz w:val="15"/>
              </w:rPr>
              <w:t>6 times per mo)</w:t>
            </w:r>
          </w:p>
          <w:p>
            <w:pPr>
              <w:pStyle w:val="TableParagraph"/>
              <w:spacing w:before="164"/>
              <w:rPr>
                <w:i/>
                <w:sz w:val="15"/>
              </w:rPr>
            </w:pPr>
          </w:p>
          <w:p>
            <w:pPr>
              <w:pStyle w:val="TableParagraph"/>
              <w:spacing w:line="230" w:lineRule="auto"/>
              <w:ind w:left="251"/>
              <w:rPr>
                <w:sz w:val="15"/>
              </w:rPr>
            </w:pPr>
            <w:r>
              <w:rPr>
                <w:color w:val="231F20"/>
                <w:sz w:val="15"/>
              </w:rPr>
              <w:t>Available</w:t>
            </w:r>
            <w:r>
              <w:rPr>
                <w:color w:val="231F20"/>
                <w:spacing w:val="-12"/>
                <w:sz w:val="15"/>
              </w:rPr>
              <w:t> </w:t>
            </w:r>
            <w:r>
              <w:rPr>
                <w:color w:val="231F20"/>
                <w:sz w:val="15"/>
              </w:rPr>
              <w:t>in</w:t>
            </w:r>
            <w:r>
              <w:rPr>
                <w:color w:val="231F20"/>
                <w:spacing w:val="-11"/>
                <w:sz w:val="15"/>
              </w:rPr>
              <w:t> </w:t>
            </w:r>
            <w:r>
              <w:rPr>
                <w:color w:val="231F20"/>
                <w:sz w:val="15"/>
              </w:rPr>
              <w:t>tablets</w:t>
            </w:r>
            <w:r>
              <w:rPr>
                <w:color w:val="231F20"/>
                <w:spacing w:val="-11"/>
                <w:sz w:val="15"/>
              </w:rPr>
              <w:t> </w:t>
            </w:r>
            <w:r>
              <w:rPr>
                <w:color w:val="231F20"/>
                <w:sz w:val="15"/>
              </w:rPr>
              <w:t>and</w:t>
            </w:r>
            <w:r>
              <w:rPr>
                <w:color w:val="231F20"/>
                <w:spacing w:val="-12"/>
                <w:sz w:val="15"/>
              </w:rPr>
              <w:t> </w:t>
            </w:r>
            <w:r>
              <w:rPr>
                <w:color w:val="231F20"/>
                <w:sz w:val="15"/>
              </w:rPr>
              <w:t>melts Avoid</w:t>
            </w:r>
            <w:r>
              <w:rPr>
                <w:color w:val="231F20"/>
                <w:spacing w:val="-3"/>
                <w:sz w:val="15"/>
              </w:rPr>
              <w:t> </w:t>
            </w:r>
            <w:r>
              <w:rPr>
                <w:color w:val="231F20"/>
                <w:sz w:val="15"/>
              </w:rPr>
              <w:t>overuse</w:t>
            </w:r>
            <w:r>
              <w:rPr>
                <w:color w:val="231F20"/>
                <w:spacing w:val="-3"/>
                <w:sz w:val="15"/>
              </w:rPr>
              <w:t> </w:t>
            </w:r>
            <w:r>
              <w:rPr>
                <w:color w:val="231F20"/>
                <w:sz w:val="15"/>
              </w:rPr>
              <w:t>(more</w:t>
            </w:r>
            <w:r>
              <w:rPr>
                <w:color w:val="231F20"/>
                <w:spacing w:val="-3"/>
                <w:sz w:val="15"/>
              </w:rPr>
              <w:t> </w:t>
            </w:r>
            <w:r>
              <w:rPr>
                <w:color w:val="231F20"/>
                <w:sz w:val="15"/>
              </w:rPr>
              <w:t>than</w:t>
            </w:r>
            <w:r>
              <w:rPr>
                <w:color w:val="231F20"/>
                <w:spacing w:val="-3"/>
                <w:sz w:val="15"/>
              </w:rPr>
              <w:t> </w:t>
            </w:r>
            <w:r>
              <w:rPr>
                <w:color w:val="231F20"/>
                <w:sz w:val="15"/>
              </w:rPr>
              <w:t>4-</w:t>
            </w:r>
            <w:r>
              <w:rPr>
                <w:color w:val="231F20"/>
                <w:spacing w:val="-10"/>
                <w:sz w:val="15"/>
              </w:rPr>
              <w:t>6</w:t>
            </w:r>
          </w:p>
          <w:p>
            <w:pPr>
              <w:pStyle w:val="TableParagraph"/>
              <w:spacing w:line="170" w:lineRule="exact"/>
              <w:ind w:left="363"/>
              <w:rPr>
                <w:sz w:val="15"/>
              </w:rPr>
            </w:pPr>
            <w:r>
              <w:rPr>
                <w:color w:val="231F20"/>
                <w:sz w:val="15"/>
              </w:rPr>
              <w:t>times</w:t>
            </w:r>
            <w:r>
              <w:rPr>
                <w:color w:val="231F20"/>
                <w:spacing w:val="-5"/>
                <w:sz w:val="15"/>
              </w:rPr>
              <w:t> </w:t>
            </w:r>
            <w:r>
              <w:rPr>
                <w:color w:val="231F20"/>
                <w:sz w:val="15"/>
              </w:rPr>
              <w:t>per</w:t>
            </w:r>
            <w:r>
              <w:rPr>
                <w:color w:val="231F20"/>
                <w:spacing w:val="-5"/>
                <w:sz w:val="15"/>
              </w:rPr>
              <w:t> mo)</w:t>
            </w:r>
          </w:p>
        </w:tc>
      </w:tr>
      <w:tr>
        <w:trPr>
          <w:trHeight w:val="1405" w:hRule="atLeast"/>
        </w:trPr>
        <w:tc>
          <w:tcPr>
            <w:tcW w:w="1594" w:type="dxa"/>
            <w:gridSpan w:val="2"/>
            <w:shd w:val="clear" w:color="auto" w:fill="E8F5F1"/>
          </w:tcPr>
          <w:p>
            <w:pPr>
              <w:pStyle w:val="TableParagraph"/>
              <w:spacing w:line="152" w:lineRule="exact"/>
              <w:ind w:left="74"/>
              <w:rPr>
                <w:i/>
                <w:sz w:val="15"/>
              </w:rPr>
            </w:pPr>
            <w:r>
              <w:rPr>
                <w:i/>
                <w:color w:val="231F20"/>
                <w:spacing w:val="-2"/>
                <w:sz w:val="15"/>
              </w:rPr>
              <w:t>Triptans</w:t>
            </w:r>
          </w:p>
          <w:p>
            <w:pPr>
              <w:pStyle w:val="TableParagraph"/>
              <w:spacing w:line="230" w:lineRule="auto" w:before="3"/>
              <w:ind w:left="186" w:right="259" w:hanging="112"/>
              <w:rPr>
                <w:sz w:val="15"/>
              </w:rPr>
            </w:pPr>
            <w:r>
              <w:rPr>
                <w:color w:val="231F20"/>
                <w:sz w:val="15"/>
              </w:rPr>
              <w:t>Almotriptan</w:t>
            </w:r>
            <w:r>
              <w:rPr>
                <w:color w:val="0080AC"/>
                <w:sz w:val="15"/>
              </w:rPr>
              <w:t>*</w:t>
            </w:r>
            <w:r>
              <w:rPr>
                <w:color w:val="0080AC"/>
                <w:spacing w:val="-12"/>
                <w:sz w:val="15"/>
              </w:rPr>
              <w:t> </w:t>
            </w:r>
            <w:r>
              <w:rPr>
                <w:color w:val="231F20"/>
                <w:sz w:val="15"/>
              </w:rPr>
              <w:t>(ages 12-17 yr)</w:t>
            </w:r>
          </w:p>
          <w:p>
            <w:pPr>
              <w:pStyle w:val="TableParagraph"/>
              <w:rPr>
                <w:i/>
                <w:sz w:val="15"/>
              </w:rPr>
            </w:pPr>
          </w:p>
          <w:p>
            <w:pPr>
              <w:pStyle w:val="TableParagraph"/>
              <w:rPr>
                <w:i/>
                <w:sz w:val="15"/>
              </w:rPr>
            </w:pPr>
          </w:p>
          <w:p>
            <w:pPr>
              <w:pStyle w:val="TableParagraph"/>
              <w:spacing w:before="146"/>
              <w:rPr>
                <w:i/>
                <w:sz w:val="15"/>
              </w:rPr>
            </w:pPr>
          </w:p>
          <w:p>
            <w:pPr>
              <w:pStyle w:val="TableParagraph"/>
              <w:spacing w:before="1"/>
              <w:ind w:left="74"/>
              <w:rPr>
                <w:sz w:val="15"/>
              </w:rPr>
            </w:pPr>
            <w:r>
              <w:rPr>
                <w:color w:val="231F20"/>
                <w:spacing w:val="-2"/>
                <w:sz w:val="15"/>
              </w:rPr>
              <w:t>Eletriptan</w:t>
            </w:r>
          </w:p>
        </w:tc>
        <w:tc>
          <w:tcPr>
            <w:tcW w:w="2061" w:type="dxa"/>
            <w:shd w:val="clear" w:color="auto" w:fill="E8F5F1"/>
          </w:tcPr>
          <w:p>
            <w:pPr>
              <w:pStyle w:val="TableParagraph"/>
              <w:spacing w:before="149"/>
              <w:ind w:left="235"/>
              <w:rPr>
                <w:sz w:val="15"/>
              </w:rPr>
            </w:pPr>
            <w:r>
              <w:rPr>
                <w:color w:val="231F20"/>
                <w:spacing w:val="-4"/>
                <w:sz w:val="15"/>
              </w:rPr>
              <w:t>12.5 </w:t>
            </w:r>
            <w:r>
              <w:rPr>
                <w:color w:val="231F20"/>
                <w:spacing w:val="-5"/>
                <w:sz w:val="15"/>
              </w:rPr>
              <w:t>mg</w:t>
            </w:r>
          </w:p>
          <w:p>
            <w:pPr>
              <w:pStyle w:val="TableParagraph"/>
              <w:rPr>
                <w:i/>
                <w:sz w:val="15"/>
              </w:rPr>
            </w:pPr>
          </w:p>
          <w:p>
            <w:pPr>
              <w:pStyle w:val="TableParagraph"/>
              <w:rPr>
                <w:i/>
                <w:sz w:val="15"/>
              </w:rPr>
            </w:pPr>
          </w:p>
          <w:p>
            <w:pPr>
              <w:pStyle w:val="TableParagraph"/>
              <w:rPr>
                <w:i/>
                <w:sz w:val="15"/>
              </w:rPr>
            </w:pPr>
          </w:p>
          <w:p>
            <w:pPr>
              <w:pStyle w:val="TableParagraph"/>
              <w:spacing w:before="138"/>
              <w:rPr>
                <w:i/>
                <w:sz w:val="15"/>
              </w:rPr>
            </w:pPr>
          </w:p>
          <w:p>
            <w:pPr>
              <w:pStyle w:val="TableParagraph"/>
              <w:ind w:left="235"/>
              <w:rPr>
                <w:sz w:val="15"/>
              </w:rPr>
            </w:pPr>
            <w:r>
              <w:rPr>
                <w:color w:val="231F20"/>
                <w:sz w:val="15"/>
              </w:rPr>
              <w:t>40</w:t>
            </w:r>
            <w:r>
              <w:rPr>
                <w:color w:val="231F20"/>
                <w:spacing w:val="-3"/>
                <w:sz w:val="15"/>
              </w:rPr>
              <w:t> </w:t>
            </w:r>
            <w:r>
              <w:rPr>
                <w:color w:val="231F20"/>
                <w:spacing w:val="-5"/>
                <w:sz w:val="15"/>
              </w:rPr>
              <w:t>mg</w:t>
            </w:r>
          </w:p>
        </w:tc>
        <w:tc>
          <w:tcPr>
            <w:tcW w:w="1605" w:type="dxa"/>
            <w:vMerge/>
            <w:tcBorders>
              <w:top w:val="nil"/>
              <w:bottom w:val="single" w:sz="8" w:space="0" w:color="231F20"/>
            </w:tcBorders>
            <w:shd w:val="clear" w:color="auto" w:fill="E8F5F1"/>
          </w:tcPr>
          <w:p>
            <w:pPr>
              <w:rPr>
                <w:sz w:val="2"/>
                <w:szCs w:val="2"/>
              </w:rPr>
            </w:pPr>
          </w:p>
        </w:tc>
        <w:tc>
          <w:tcPr>
            <w:tcW w:w="2052" w:type="dxa"/>
            <w:shd w:val="clear" w:color="auto" w:fill="E8F5F1"/>
          </w:tcPr>
          <w:p>
            <w:pPr>
              <w:pStyle w:val="TableParagraph"/>
              <w:spacing w:line="230" w:lineRule="auto" w:before="155"/>
              <w:ind w:left="347" w:right="346" w:hanging="112"/>
              <w:rPr>
                <w:sz w:val="15"/>
              </w:rPr>
            </w:pPr>
            <w:r>
              <w:rPr>
                <w:color w:val="231F20"/>
                <w:sz w:val="15"/>
              </w:rPr>
              <w:t>Vascular</w:t>
            </w:r>
            <w:r>
              <w:rPr>
                <w:color w:val="231F20"/>
                <w:spacing w:val="-12"/>
                <w:sz w:val="15"/>
              </w:rPr>
              <w:t> </w:t>
            </w:r>
            <w:r>
              <w:rPr>
                <w:color w:val="231F20"/>
                <w:sz w:val="15"/>
              </w:rPr>
              <w:t>constriction, serotonin</w:t>
            </w:r>
            <w:r>
              <w:rPr>
                <w:color w:val="231F20"/>
                <w:spacing w:val="-12"/>
                <w:sz w:val="15"/>
              </w:rPr>
              <w:t> </w:t>
            </w:r>
            <w:r>
              <w:rPr>
                <w:color w:val="231F20"/>
                <w:sz w:val="15"/>
              </w:rPr>
              <w:t>symptoms such as flushing, </w:t>
            </w:r>
            <w:r>
              <w:rPr>
                <w:color w:val="231F20"/>
                <w:spacing w:val="-2"/>
                <w:sz w:val="15"/>
              </w:rPr>
              <w:t>paresthesias, </w:t>
            </w:r>
            <w:r>
              <w:rPr>
                <w:color w:val="231F20"/>
                <w:sz w:val="15"/>
              </w:rPr>
              <w:t>somnolence, GI </w:t>
            </w:r>
            <w:r>
              <w:rPr>
                <w:color w:val="231F20"/>
                <w:spacing w:val="-2"/>
                <w:sz w:val="15"/>
              </w:rPr>
              <w:t>discomfort</w:t>
            </w:r>
          </w:p>
          <w:p>
            <w:pPr>
              <w:pStyle w:val="TableParagraph"/>
              <w:ind w:left="235"/>
              <w:rPr>
                <w:sz w:val="15"/>
              </w:rPr>
            </w:pPr>
            <w:r>
              <w:rPr>
                <w:color w:val="231F20"/>
                <w:spacing w:val="-4"/>
                <w:w w:val="105"/>
                <w:sz w:val="15"/>
              </w:rPr>
              <w:t>Same</w:t>
            </w:r>
          </w:p>
        </w:tc>
        <w:tc>
          <w:tcPr>
            <w:tcW w:w="2431" w:type="dxa"/>
            <w:vMerge/>
            <w:tcBorders>
              <w:top w:val="nil"/>
              <w:bottom w:val="single" w:sz="8" w:space="0" w:color="231F20"/>
            </w:tcBorders>
            <w:shd w:val="clear" w:color="auto" w:fill="E8F5F1"/>
          </w:tcPr>
          <w:p>
            <w:pPr>
              <w:rPr>
                <w:sz w:val="2"/>
                <w:szCs w:val="2"/>
              </w:rPr>
            </w:pPr>
          </w:p>
        </w:tc>
      </w:tr>
      <w:tr>
        <w:trPr>
          <w:trHeight w:val="485" w:hRule="atLeast"/>
        </w:trPr>
        <w:tc>
          <w:tcPr>
            <w:tcW w:w="1594" w:type="dxa"/>
            <w:gridSpan w:val="2"/>
            <w:shd w:val="clear" w:color="auto" w:fill="E8F5F1"/>
          </w:tcPr>
          <w:p>
            <w:pPr>
              <w:pStyle w:val="TableParagraph"/>
              <w:spacing w:before="69"/>
              <w:ind w:left="74"/>
              <w:rPr>
                <w:sz w:val="15"/>
              </w:rPr>
            </w:pPr>
            <w:r>
              <w:rPr>
                <w:color w:val="231F20"/>
                <w:spacing w:val="-2"/>
                <w:sz w:val="15"/>
              </w:rPr>
              <w:t>Frovatriptan</w:t>
            </w:r>
          </w:p>
        </w:tc>
        <w:tc>
          <w:tcPr>
            <w:tcW w:w="2061" w:type="dxa"/>
            <w:shd w:val="clear" w:color="auto" w:fill="E8F5F1"/>
          </w:tcPr>
          <w:p>
            <w:pPr>
              <w:pStyle w:val="TableParagraph"/>
              <w:spacing w:before="69"/>
              <w:ind w:left="235"/>
              <w:rPr>
                <w:sz w:val="15"/>
              </w:rPr>
            </w:pPr>
            <w:r>
              <w:rPr>
                <w:color w:val="231F20"/>
                <w:spacing w:val="-4"/>
                <w:sz w:val="15"/>
              </w:rPr>
              <w:t>2.5</w:t>
            </w:r>
            <w:r>
              <w:rPr>
                <w:color w:val="231F20"/>
                <w:spacing w:val="-7"/>
                <w:sz w:val="15"/>
              </w:rPr>
              <w:t> </w:t>
            </w:r>
            <w:r>
              <w:rPr>
                <w:color w:val="231F20"/>
                <w:spacing w:val="-5"/>
                <w:sz w:val="15"/>
              </w:rPr>
              <w:t>mg</w:t>
            </w:r>
          </w:p>
        </w:tc>
        <w:tc>
          <w:tcPr>
            <w:tcW w:w="1605" w:type="dxa"/>
            <w:vMerge/>
            <w:tcBorders>
              <w:top w:val="nil"/>
              <w:bottom w:val="single" w:sz="8" w:space="0" w:color="231F20"/>
            </w:tcBorders>
            <w:shd w:val="clear" w:color="auto" w:fill="E8F5F1"/>
          </w:tcPr>
          <w:p>
            <w:pPr>
              <w:rPr>
                <w:sz w:val="2"/>
                <w:szCs w:val="2"/>
              </w:rPr>
            </w:pPr>
          </w:p>
        </w:tc>
        <w:tc>
          <w:tcPr>
            <w:tcW w:w="2052" w:type="dxa"/>
            <w:shd w:val="clear" w:color="auto" w:fill="E8F5F1"/>
          </w:tcPr>
          <w:p>
            <w:pPr>
              <w:pStyle w:val="TableParagraph"/>
              <w:spacing w:before="69"/>
              <w:ind w:left="235"/>
              <w:rPr>
                <w:sz w:val="15"/>
              </w:rPr>
            </w:pPr>
            <w:r>
              <w:rPr>
                <w:color w:val="231F20"/>
                <w:spacing w:val="-4"/>
                <w:w w:val="105"/>
                <w:sz w:val="15"/>
              </w:rPr>
              <w:t>Same</w:t>
            </w:r>
          </w:p>
        </w:tc>
        <w:tc>
          <w:tcPr>
            <w:tcW w:w="2431" w:type="dxa"/>
            <w:vMerge/>
            <w:tcBorders>
              <w:top w:val="nil"/>
              <w:bottom w:val="single" w:sz="8" w:space="0" w:color="231F20"/>
            </w:tcBorders>
            <w:shd w:val="clear" w:color="auto" w:fill="E8F5F1"/>
          </w:tcPr>
          <w:p>
            <w:pPr>
              <w:rPr>
                <w:sz w:val="2"/>
                <w:szCs w:val="2"/>
              </w:rPr>
            </w:pPr>
          </w:p>
        </w:tc>
      </w:tr>
      <w:tr>
        <w:trPr>
          <w:trHeight w:val="653" w:hRule="atLeast"/>
        </w:trPr>
        <w:tc>
          <w:tcPr>
            <w:tcW w:w="1594" w:type="dxa"/>
            <w:gridSpan w:val="2"/>
            <w:shd w:val="clear" w:color="auto" w:fill="E8F5F1"/>
          </w:tcPr>
          <w:p>
            <w:pPr>
              <w:pStyle w:val="TableParagraph"/>
              <w:spacing w:before="63"/>
              <w:rPr>
                <w:i/>
                <w:sz w:val="15"/>
              </w:rPr>
            </w:pPr>
          </w:p>
          <w:p>
            <w:pPr>
              <w:pStyle w:val="TableParagraph"/>
              <w:ind w:left="74"/>
              <w:rPr>
                <w:sz w:val="15"/>
              </w:rPr>
            </w:pPr>
            <w:r>
              <w:rPr>
                <w:color w:val="231F20"/>
                <w:spacing w:val="-2"/>
                <w:sz w:val="15"/>
              </w:rPr>
              <w:t>Naratriptan</w:t>
            </w:r>
          </w:p>
        </w:tc>
        <w:tc>
          <w:tcPr>
            <w:tcW w:w="2061" w:type="dxa"/>
            <w:shd w:val="clear" w:color="auto" w:fill="E8F5F1"/>
          </w:tcPr>
          <w:p>
            <w:pPr>
              <w:pStyle w:val="TableParagraph"/>
              <w:spacing w:before="63"/>
              <w:rPr>
                <w:i/>
                <w:sz w:val="15"/>
              </w:rPr>
            </w:pPr>
          </w:p>
          <w:p>
            <w:pPr>
              <w:pStyle w:val="TableParagraph"/>
              <w:ind w:left="235"/>
              <w:rPr>
                <w:sz w:val="15"/>
              </w:rPr>
            </w:pPr>
            <w:r>
              <w:rPr>
                <w:color w:val="231F20"/>
                <w:spacing w:val="-4"/>
                <w:sz w:val="15"/>
              </w:rPr>
              <w:t>2.5</w:t>
            </w:r>
            <w:r>
              <w:rPr>
                <w:color w:val="231F20"/>
                <w:spacing w:val="-7"/>
                <w:sz w:val="15"/>
              </w:rPr>
              <w:t> </w:t>
            </w:r>
            <w:r>
              <w:rPr>
                <w:color w:val="231F20"/>
                <w:spacing w:val="-5"/>
                <w:sz w:val="15"/>
              </w:rPr>
              <w:t>mg</w:t>
            </w:r>
          </w:p>
        </w:tc>
        <w:tc>
          <w:tcPr>
            <w:tcW w:w="1605" w:type="dxa"/>
            <w:vMerge/>
            <w:tcBorders>
              <w:top w:val="nil"/>
              <w:bottom w:val="single" w:sz="8" w:space="0" w:color="231F20"/>
            </w:tcBorders>
            <w:shd w:val="clear" w:color="auto" w:fill="E8F5F1"/>
          </w:tcPr>
          <w:p>
            <w:pPr>
              <w:rPr>
                <w:sz w:val="2"/>
                <w:szCs w:val="2"/>
              </w:rPr>
            </w:pPr>
          </w:p>
        </w:tc>
        <w:tc>
          <w:tcPr>
            <w:tcW w:w="2052" w:type="dxa"/>
            <w:shd w:val="clear" w:color="auto" w:fill="E8F5F1"/>
          </w:tcPr>
          <w:p>
            <w:pPr>
              <w:pStyle w:val="TableParagraph"/>
              <w:spacing w:before="63"/>
              <w:rPr>
                <w:i/>
                <w:sz w:val="15"/>
              </w:rPr>
            </w:pPr>
          </w:p>
          <w:p>
            <w:pPr>
              <w:pStyle w:val="TableParagraph"/>
              <w:ind w:left="235"/>
              <w:rPr>
                <w:sz w:val="15"/>
              </w:rPr>
            </w:pPr>
            <w:r>
              <w:rPr>
                <w:color w:val="231F20"/>
                <w:spacing w:val="-4"/>
                <w:w w:val="105"/>
                <w:sz w:val="15"/>
              </w:rPr>
              <w:t>Same</w:t>
            </w:r>
          </w:p>
        </w:tc>
        <w:tc>
          <w:tcPr>
            <w:tcW w:w="2431" w:type="dxa"/>
            <w:vMerge/>
            <w:tcBorders>
              <w:top w:val="nil"/>
              <w:bottom w:val="single" w:sz="8" w:space="0" w:color="231F20"/>
            </w:tcBorders>
            <w:shd w:val="clear" w:color="auto" w:fill="E8F5F1"/>
          </w:tcPr>
          <w:p>
            <w:pPr>
              <w:rPr>
                <w:sz w:val="2"/>
                <w:szCs w:val="2"/>
              </w:rPr>
            </w:pPr>
          </w:p>
        </w:tc>
      </w:tr>
      <w:tr>
        <w:trPr>
          <w:trHeight w:val="657" w:hRule="atLeast"/>
        </w:trPr>
        <w:tc>
          <w:tcPr>
            <w:tcW w:w="1594" w:type="dxa"/>
            <w:gridSpan w:val="2"/>
            <w:shd w:val="clear" w:color="auto" w:fill="E8F5F1"/>
          </w:tcPr>
          <w:p>
            <w:pPr>
              <w:pStyle w:val="TableParagraph"/>
              <w:spacing w:before="68"/>
              <w:rPr>
                <w:i/>
                <w:sz w:val="15"/>
              </w:rPr>
            </w:pPr>
          </w:p>
          <w:p>
            <w:pPr>
              <w:pStyle w:val="TableParagraph"/>
              <w:spacing w:line="230" w:lineRule="auto" w:before="1"/>
              <w:ind w:left="186" w:right="348" w:hanging="112"/>
              <w:rPr>
                <w:sz w:val="15"/>
              </w:rPr>
            </w:pPr>
            <w:r>
              <w:rPr>
                <w:color w:val="231F20"/>
                <w:spacing w:val="-2"/>
                <w:sz w:val="15"/>
              </w:rPr>
              <w:t>Rizatriptan</w:t>
            </w:r>
            <w:r>
              <w:rPr>
                <w:color w:val="0080AC"/>
                <w:spacing w:val="-2"/>
                <w:sz w:val="15"/>
              </w:rPr>
              <w:t>*</w:t>
            </w:r>
            <w:r>
              <w:rPr>
                <w:color w:val="0080AC"/>
                <w:spacing w:val="-10"/>
                <w:sz w:val="15"/>
              </w:rPr>
              <w:t> </w:t>
            </w:r>
            <w:r>
              <w:rPr>
                <w:color w:val="231F20"/>
                <w:spacing w:val="-2"/>
                <w:sz w:val="15"/>
              </w:rPr>
              <w:t>(ages </w:t>
            </w:r>
            <w:r>
              <w:rPr>
                <w:color w:val="231F20"/>
                <w:sz w:val="15"/>
              </w:rPr>
              <w:t>6-17 yr)</w:t>
            </w:r>
          </w:p>
        </w:tc>
        <w:tc>
          <w:tcPr>
            <w:tcW w:w="2061" w:type="dxa"/>
            <w:shd w:val="clear" w:color="auto" w:fill="E8F5F1"/>
          </w:tcPr>
          <w:p>
            <w:pPr>
              <w:pStyle w:val="TableParagraph"/>
              <w:spacing w:before="63"/>
              <w:rPr>
                <w:i/>
                <w:sz w:val="15"/>
              </w:rPr>
            </w:pPr>
          </w:p>
          <w:p>
            <w:pPr>
              <w:pStyle w:val="TableParagraph"/>
              <w:spacing w:line="170" w:lineRule="exact"/>
              <w:ind w:left="235"/>
              <w:rPr>
                <w:sz w:val="15"/>
              </w:rPr>
            </w:pPr>
            <w:r>
              <w:rPr>
                <w:color w:val="231F20"/>
                <w:sz w:val="15"/>
              </w:rPr>
              <w:t>5</w:t>
            </w:r>
            <w:r>
              <w:rPr>
                <w:color w:val="231F20"/>
                <w:spacing w:val="-1"/>
                <w:sz w:val="15"/>
              </w:rPr>
              <w:t> </w:t>
            </w:r>
            <w:r>
              <w:rPr>
                <w:color w:val="231F20"/>
                <w:sz w:val="15"/>
              </w:rPr>
              <w:t>mg</w:t>
            </w:r>
            <w:r>
              <w:rPr>
                <w:color w:val="231F20"/>
                <w:spacing w:val="-1"/>
                <w:sz w:val="15"/>
              </w:rPr>
              <w:t> </w:t>
            </w:r>
            <w:r>
              <w:rPr>
                <w:color w:val="231F20"/>
                <w:sz w:val="15"/>
              </w:rPr>
              <w:t>for</w:t>
            </w:r>
            <w:r>
              <w:rPr>
                <w:color w:val="231F20"/>
                <w:spacing w:val="-1"/>
                <w:sz w:val="15"/>
              </w:rPr>
              <w:t> </w:t>
            </w:r>
            <w:r>
              <w:rPr>
                <w:color w:val="231F20"/>
                <w:sz w:val="15"/>
              </w:rPr>
              <w:t>child </w:t>
            </w:r>
            <w:r>
              <w:rPr>
                <w:color w:val="231F20"/>
                <w:spacing w:val="-2"/>
                <w:sz w:val="15"/>
              </w:rPr>
              <w:t>weighing</w:t>
            </w:r>
          </w:p>
          <w:p>
            <w:pPr>
              <w:pStyle w:val="TableParagraph"/>
              <w:spacing w:line="172" w:lineRule="exact"/>
              <w:ind w:left="347"/>
              <w:rPr>
                <w:sz w:val="15"/>
              </w:rPr>
            </w:pPr>
            <w:r>
              <w:rPr>
                <w:rFonts w:ascii="Cambria"/>
                <w:color w:val="231F20"/>
                <w:sz w:val="15"/>
              </w:rPr>
              <w:t>&lt;</w:t>
            </w:r>
            <w:r>
              <w:rPr>
                <w:color w:val="231F20"/>
                <w:sz w:val="15"/>
              </w:rPr>
              <w:t>40</w:t>
            </w:r>
            <w:r>
              <w:rPr>
                <w:color w:val="231F20"/>
                <w:spacing w:val="-4"/>
                <w:sz w:val="15"/>
              </w:rPr>
              <w:t> </w:t>
            </w:r>
            <w:r>
              <w:rPr>
                <w:color w:val="231F20"/>
                <w:sz w:val="15"/>
              </w:rPr>
              <w:t>kg,</w:t>
            </w:r>
            <w:r>
              <w:rPr>
                <w:color w:val="231F20"/>
                <w:spacing w:val="-4"/>
                <w:sz w:val="15"/>
              </w:rPr>
              <w:t> </w:t>
            </w:r>
            <w:r>
              <w:rPr>
                <w:color w:val="231F20"/>
                <w:sz w:val="15"/>
              </w:rPr>
              <w:t>10</w:t>
            </w:r>
            <w:r>
              <w:rPr>
                <w:color w:val="231F20"/>
                <w:spacing w:val="-4"/>
                <w:sz w:val="15"/>
              </w:rPr>
              <w:t> </w:t>
            </w:r>
            <w:r>
              <w:rPr>
                <w:color w:val="231F20"/>
                <w:spacing w:val="-5"/>
                <w:sz w:val="15"/>
              </w:rPr>
              <w:t>mg</w:t>
            </w:r>
          </w:p>
        </w:tc>
        <w:tc>
          <w:tcPr>
            <w:tcW w:w="1605" w:type="dxa"/>
            <w:vMerge/>
            <w:tcBorders>
              <w:top w:val="nil"/>
              <w:bottom w:val="single" w:sz="8" w:space="0" w:color="231F20"/>
            </w:tcBorders>
            <w:shd w:val="clear" w:color="auto" w:fill="E8F5F1"/>
          </w:tcPr>
          <w:p>
            <w:pPr>
              <w:rPr>
                <w:sz w:val="2"/>
                <w:szCs w:val="2"/>
              </w:rPr>
            </w:pPr>
          </w:p>
        </w:tc>
        <w:tc>
          <w:tcPr>
            <w:tcW w:w="2052" w:type="dxa"/>
            <w:shd w:val="clear" w:color="auto" w:fill="E8F5F1"/>
          </w:tcPr>
          <w:p>
            <w:pPr>
              <w:pStyle w:val="TableParagraph"/>
              <w:spacing w:before="63"/>
              <w:rPr>
                <w:i/>
                <w:sz w:val="15"/>
              </w:rPr>
            </w:pPr>
          </w:p>
          <w:p>
            <w:pPr>
              <w:pStyle w:val="TableParagraph"/>
              <w:ind w:left="235"/>
              <w:rPr>
                <w:sz w:val="15"/>
              </w:rPr>
            </w:pPr>
            <w:r>
              <w:rPr>
                <w:color w:val="231F20"/>
                <w:spacing w:val="-4"/>
                <w:w w:val="105"/>
                <w:sz w:val="15"/>
              </w:rPr>
              <w:t>Same</w:t>
            </w:r>
          </w:p>
        </w:tc>
        <w:tc>
          <w:tcPr>
            <w:tcW w:w="2431" w:type="dxa"/>
            <w:vMerge/>
            <w:tcBorders>
              <w:top w:val="nil"/>
              <w:bottom w:val="single" w:sz="8" w:space="0" w:color="231F20"/>
            </w:tcBorders>
            <w:shd w:val="clear" w:color="auto" w:fill="E8F5F1"/>
          </w:tcPr>
          <w:p>
            <w:pPr>
              <w:rPr>
                <w:sz w:val="2"/>
                <w:szCs w:val="2"/>
              </w:rPr>
            </w:pPr>
          </w:p>
        </w:tc>
      </w:tr>
      <w:tr>
        <w:trPr>
          <w:trHeight w:val="1280" w:hRule="atLeast"/>
        </w:trPr>
        <w:tc>
          <w:tcPr>
            <w:tcW w:w="1594" w:type="dxa"/>
            <w:gridSpan w:val="2"/>
            <w:tcBorders>
              <w:bottom w:val="single" w:sz="8" w:space="0" w:color="231F20"/>
            </w:tcBorders>
            <w:shd w:val="clear" w:color="auto" w:fill="E8F5F1"/>
          </w:tcPr>
          <w:p>
            <w:pPr>
              <w:pStyle w:val="TableParagraph"/>
              <w:spacing w:before="65"/>
              <w:ind w:left="74"/>
              <w:rPr>
                <w:sz w:val="15"/>
              </w:rPr>
            </w:pPr>
            <w:r>
              <w:rPr>
                <w:color w:val="231F20"/>
                <w:spacing w:val="-2"/>
                <w:sz w:val="15"/>
              </w:rPr>
              <w:t>Sumatriptan</w:t>
            </w:r>
          </w:p>
          <w:p>
            <w:pPr>
              <w:pStyle w:val="TableParagraph"/>
              <w:rPr>
                <w:i/>
                <w:sz w:val="15"/>
              </w:rPr>
            </w:pPr>
          </w:p>
          <w:p>
            <w:pPr>
              <w:pStyle w:val="TableParagraph"/>
              <w:spacing w:before="151"/>
              <w:rPr>
                <w:i/>
                <w:sz w:val="15"/>
              </w:rPr>
            </w:pPr>
          </w:p>
          <w:p>
            <w:pPr>
              <w:pStyle w:val="TableParagraph"/>
              <w:ind w:left="74"/>
              <w:rPr>
                <w:sz w:val="15"/>
              </w:rPr>
            </w:pPr>
            <w:r>
              <w:rPr>
                <w:color w:val="231F20"/>
                <w:spacing w:val="-2"/>
                <w:sz w:val="15"/>
              </w:rPr>
              <w:t>Zolmitriptan</w:t>
            </w:r>
          </w:p>
        </w:tc>
        <w:tc>
          <w:tcPr>
            <w:tcW w:w="2061" w:type="dxa"/>
            <w:tcBorders>
              <w:bottom w:val="single" w:sz="8" w:space="0" w:color="231F20"/>
            </w:tcBorders>
            <w:shd w:val="clear" w:color="auto" w:fill="E8F5F1"/>
          </w:tcPr>
          <w:p>
            <w:pPr>
              <w:pStyle w:val="TableParagraph"/>
              <w:spacing w:line="171" w:lineRule="exact" w:before="65"/>
              <w:ind w:left="235"/>
              <w:rPr>
                <w:sz w:val="15"/>
              </w:rPr>
            </w:pPr>
            <w:r>
              <w:rPr>
                <w:color w:val="231F20"/>
                <w:sz w:val="15"/>
              </w:rPr>
              <w:t>Oral:</w:t>
            </w:r>
            <w:r>
              <w:rPr>
                <w:color w:val="231F20"/>
                <w:spacing w:val="-4"/>
                <w:sz w:val="15"/>
              </w:rPr>
              <w:t> </w:t>
            </w:r>
            <w:r>
              <w:rPr>
                <w:color w:val="231F20"/>
                <w:sz w:val="15"/>
              </w:rPr>
              <w:t>25</w:t>
            </w:r>
            <w:r>
              <w:rPr>
                <w:color w:val="231F20"/>
                <w:spacing w:val="-4"/>
                <w:sz w:val="15"/>
              </w:rPr>
              <w:t> </w:t>
            </w:r>
            <w:r>
              <w:rPr>
                <w:color w:val="231F20"/>
                <w:sz w:val="15"/>
              </w:rPr>
              <w:t>mg,</w:t>
            </w:r>
            <w:r>
              <w:rPr>
                <w:color w:val="231F20"/>
                <w:spacing w:val="-4"/>
                <w:sz w:val="15"/>
              </w:rPr>
              <w:t> </w:t>
            </w:r>
            <w:r>
              <w:rPr>
                <w:color w:val="231F20"/>
                <w:sz w:val="15"/>
              </w:rPr>
              <w:t>50</w:t>
            </w:r>
            <w:r>
              <w:rPr>
                <w:color w:val="231F20"/>
                <w:spacing w:val="-4"/>
                <w:sz w:val="15"/>
              </w:rPr>
              <w:t> </w:t>
            </w:r>
            <w:r>
              <w:rPr>
                <w:color w:val="231F20"/>
                <w:spacing w:val="-5"/>
                <w:sz w:val="15"/>
              </w:rPr>
              <w:t>mg,</w:t>
            </w:r>
          </w:p>
          <w:p>
            <w:pPr>
              <w:pStyle w:val="TableParagraph"/>
              <w:spacing w:line="168" w:lineRule="exact"/>
              <w:ind w:left="347"/>
              <w:rPr>
                <w:sz w:val="15"/>
              </w:rPr>
            </w:pPr>
            <w:r>
              <w:rPr>
                <w:color w:val="231F20"/>
                <w:sz w:val="15"/>
              </w:rPr>
              <w:t>100</w:t>
            </w:r>
            <w:r>
              <w:rPr>
                <w:color w:val="231F20"/>
                <w:spacing w:val="-4"/>
                <w:sz w:val="15"/>
              </w:rPr>
              <w:t> </w:t>
            </w:r>
            <w:r>
              <w:rPr>
                <w:color w:val="231F20"/>
                <w:spacing w:val="-5"/>
                <w:sz w:val="15"/>
              </w:rPr>
              <w:t>mg</w:t>
            </w:r>
          </w:p>
          <w:p>
            <w:pPr>
              <w:pStyle w:val="TableParagraph"/>
              <w:spacing w:line="168" w:lineRule="exact"/>
              <w:ind w:left="235"/>
              <w:rPr>
                <w:sz w:val="15"/>
              </w:rPr>
            </w:pPr>
            <w:r>
              <w:rPr>
                <w:color w:val="231F20"/>
                <w:sz w:val="15"/>
              </w:rPr>
              <w:t>Nasal:</w:t>
            </w:r>
            <w:r>
              <w:rPr>
                <w:color w:val="231F20"/>
                <w:spacing w:val="-3"/>
                <w:sz w:val="15"/>
              </w:rPr>
              <w:t> </w:t>
            </w:r>
            <w:r>
              <w:rPr>
                <w:color w:val="231F20"/>
                <w:sz w:val="15"/>
              </w:rPr>
              <w:t>10</w:t>
            </w:r>
            <w:r>
              <w:rPr>
                <w:color w:val="231F20"/>
                <w:spacing w:val="-3"/>
                <w:sz w:val="15"/>
              </w:rPr>
              <w:t> </w:t>
            </w:r>
            <w:r>
              <w:rPr>
                <w:color w:val="231F20"/>
                <w:spacing w:val="-5"/>
                <w:sz w:val="15"/>
              </w:rPr>
              <w:t>mg</w:t>
            </w:r>
          </w:p>
          <w:p>
            <w:pPr>
              <w:pStyle w:val="TableParagraph"/>
              <w:spacing w:line="169" w:lineRule="exact"/>
              <w:ind w:left="235"/>
              <w:rPr>
                <w:sz w:val="15"/>
              </w:rPr>
            </w:pPr>
            <w:r>
              <w:rPr>
                <w:color w:val="231F20"/>
                <w:w w:val="105"/>
                <w:sz w:val="15"/>
              </w:rPr>
              <w:t>SC:</w:t>
            </w:r>
            <w:r>
              <w:rPr>
                <w:color w:val="231F20"/>
                <w:spacing w:val="-6"/>
                <w:w w:val="105"/>
                <w:sz w:val="15"/>
              </w:rPr>
              <w:t> </w:t>
            </w:r>
            <w:r>
              <w:rPr>
                <w:color w:val="231F20"/>
                <w:w w:val="105"/>
                <w:sz w:val="15"/>
              </w:rPr>
              <w:t>6</w:t>
            </w:r>
            <w:r>
              <w:rPr>
                <w:color w:val="231F20"/>
                <w:spacing w:val="-5"/>
                <w:w w:val="105"/>
                <w:sz w:val="15"/>
              </w:rPr>
              <w:t> mg</w:t>
            </w:r>
          </w:p>
          <w:p>
            <w:pPr>
              <w:pStyle w:val="TableParagraph"/>
              <w:spacing w:line="169" w:lineRule="exact"/>
              <w:ind w:left="235"/>
              <w:rPr>
                <w:sz w:val="15"/>
              </w:rPr>
            </w:pPr>
            <w:r>
              <w:rPr>
                <w:color w:val="231F20"/>
                <w:sz w:val="15"/>
              </w:rPr>
              <w:t>Oral:</w:t>
            </w:r>
            <w:r>
              <w:rPr>
                <w:color w:val="231F20"/>
                <w:spacing w:val="-8"/>
                <w:sz w:val="15"/>
              </w:rPr>
              <w:t> </w:t>
            </w:r>
            <w:r>
              <w:rPr>
                <w:color w:val="231F20"/>
                <w:sz w:val="15"/>
              </w:rPr>
              <w:t>2.5</w:t>
            </w:r>
            <w:r>
              <w:rPr>
                <w:color w:val="231F20"/>
                <w:spacing w:val="-8"/>
                <w:sz w:val="15"/>
              </w:rPr>
              <w:t> </w:t>
            </w:r>
            <w:r>
              <w:rPr>
                <w:color w:val="231F20"/>
                <w:sz w:val="15"/>
              </w:rPr>
              <w:t>mg,</w:t>
            </w:r>
            <w:r>
              <w:rPr>
                <w:color w:val="231F20"/>
                <w:spacing w:val="-7"/>
                <w:sz w:val="15"/>
              </w:rPr>
              <w:t> </w:t>
            </w:r>
            <w:r>
              <w:rPr>
                <w:color w:val="231F20"/>
                <w:sz w:val="15"/>
              </w:rPr>
              <w:t>5</w:t>
            </w:r>
            <w:r>
              <w:rPr>
                <w:color w:val="231F20"/>
                <w:spacing w:val="-8"/>
                <w:sz w:val="15"/>
              </w:rPr>
              <w:t> </w:t>
            </w:r>
            <w:r>
              <w:rPr>
                <w:color w:val="231F20"/>
                <w:spacing w:val="-5"/>
                <w:sz w:val="15"/>
              </w:rPr>
              <w:t>mg</w:t>
            </w:r>
          </w:p>
          <w:p>
            <w:pPr>
              <w:pStyle w:val="TableParagraph"/>
              <w:spacing w:line="171" w:lineRule="exact"/>
              <w:ind w:left="235"/>
              <w:rPr>
                <w:sz w:val="15"/>
              </w:rPr>
            </w:pPr>
            <w:r>
              <w:rPr>
                <w:color w:val="231F20"/>
                <w:sz w:val="15"/>
              </w:rPr>
              <w:t>Nasal:</w:t>
            </w:r>
            <w:r>
              <w:rPr>
                <w:color w:val="231F20"/>
                <w:spacing w:val="-2"/>
                <w:sz w:val="15"/>
              </w:rPr>
              <w:t> </w:t>
            </w:r>
            <w:r>
              <w:rPr>
                <w:color w:val="231F20"/>
                <w:sz w:val="15"/>
              </w:rPr>
              <w:t>5</w:t>
            </w:r>
            <w:r>
              <w:rPr>
                <w:color w:val="231F20"/>
                <w:spacing w:val="-2"/>
                <w:sz w:val="15"/>
              </w:rPr>
              <w:t> </w:t>
            </w:r>
            <w:r>
              <w:rPr>
                <w:color w:val="231F20"/>
                <w:spacing w:val="-5"/>
                <w:sz w:val="15"/>
              </w:rPr>
              <w:t>mg</w:t>
            </w:r>
          </w:p>
        </w:tc>
        <w:tc>
          <w:tcPr>
            <w:tcW w:w="1605" w:type="dxa"/>
            <w:vMerge/>
            <w:tcBorders>
              <w:top w:val="nil"/>
              <w:bottom w:val="single" w:sz="8" w:space="0" w:color="231F20"/>
            </w:tcBorders>
            <w:shd w:val="clear" w:color="auto" w:fill="E8F5F1"/>
          </w:tcPr>
          <w:p>
            <w:pPr>
              <w:rPr>
                <w:sz w:val="2"/>
                <w:szCs w:val="2"/>
              </w:rPr>
            </w:pPr>
          </w:p>
        </w:tc>
        <w:tc>
          <w:tcPr>
            <w:tcW w:w="2052" w:type="dxa"/>
            <w:tcBorders>
              <w:bottom w:val="single" w:sz="8" w:space="0" w:color="231F20"/>
            </w:tcBorders>
            <w:shd w:val="clear" w:color="auto" w:fill="E8F5F1"/>
          </w:tcPr>
          <w:p>
            <w:pPr>
              <w:pStyle w:val="TableParagraph"/>
              <w:spacing w:before="65"/>
              <w:ind w:left="235"/>
              <w:rPr>
                <w:sz w:val="15"/>
              </w:rPr>
            </w:pPr>
            <w:r>
              <w:rPr>
                <w:color w:val="231F20"/>
                <w:spacing w:val="-4"/>
                <w:w w:val="105"/>
                <w:sz w:val="15"/>
              </w:rPr>
              <w:t>Same</w:t>
            </w:r>
          </w:p>
          <w:p>
            <w:pPr>
              <w:pStyle w:val="TableParagraph"/>
              <w:rPr>
                <w:i/>
                <w:sz w:val="15"/>
              </w:rPr>
            </w:pPr>
          </w:p>
          <w:p>
            <w:pPr>
              <w:pStyle w:val="TableParagraph"/>
              <w:spacing w:before="151"/>
              <w:rPr>
                <w:i/>
                <w:sz w:val="15"/>
              </w:rPr>
            </w:pPr>
          </w:p>
          <w:p>
            <w:pPr>
              <w:pStyle w:val="TableParagraph"/>
              <w:ind w:left="235"/>
              <w:rPr>
                <w:sz w:val="15"/>
              </w:rPr>
            </w:pPr>
            <w:r>
              <w:rPr>
                <w:color w:val="231F20"/>
                <w:spacing w:val="-4"/>
                <w:w w:val="105"/>
                <w:sz w:val="15"/>
              </w:rPr>
              <w:t>Same</w:t>
            </w:r>
          </w:p>
        </w:tc>
        <w:tc>
          <w:tcPr>
            <w:tcW w:w="2431" w:type="dxa"/>
            <w:vMerge/>
            <w:tcBorders>
              <w:top w:val="nil"/>
              <w:bottom w:val="single" w:sz="8" w:space="0" w:color="231F20"/>
            </w:tcBorders>
            <w:shd w:val="clear" w:color="auto" w:fill="E8F5F1"/>
          </w:tcPr>
          <w:p>
            <w:pPr>
              <w:rPr>
                <w:sz w:val="2"/>
                <w:szCs w:val="2"/>
              </w:rPr>
            </w:pPr>
          </w:p>
        </w:tc>
      </w:tr>
    </w:tbl>
    <w:p>
      <w:pPr>
        <w:pStyle w:val="Heading7"/>
        <w:spacing w:before="58"/>
        <w:ind w:right="343"/>
        <w:rPr>
          <w:rFonts w:ascii="Trebuchet MS"/>
        </w:rPr>
      </w:pPr>
      <w:r>
        <w:rPr>
          <w:rFonts w:ascii="Trebuchet MS"/>
          <w:color w:val="231F20"/>
          <w:spacing w:val="-2"/>
        </w:rPr>
        <w:t>Continued</w:t>
      </w:r>
    </w:p>
    <w:p>
      <w:pPr>
        <w:pStyle w:val="Heading7"/>
        <w:spacing w:after="0"/>
        <w:rPr>
          <w:rFonts w:ascii="Trebuchet MS"/>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10" name="Group 710"/>
                <wp:cNvGraphicFramePr>
                  <a:graphicFrameLocks/>
                </wp:cNvGraphicFramePr>
                <a:graphic>
                  <a:graphicData uri="http://schemas.microsoft.com/office/word/2010/wordprocessingGroup">
                    <wpg:wgp>
                      <wpg:cNvPr id="710" name="Group 710"/>
                      <wpg:cNvGrpSpPr/>
                      <wpg:grpSpPr>
                        <a:xfrm>
                          <a:off x="0" y="0"/>
                          <a:ext cx="6185535" cy="170815"/>
                          <a:chExt cx="6185535" cy="170815"/>
                        </a:xfrm>
                      </wpg:grpSpPr>
                      <wps:wsp>
                        <wps:cNvPr id="711" name="Graphic 711"/>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12" name="Graphic 712"/>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13" name="Textbox 713"/>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2870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03"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04" filled="false" stroked="false">
                  <v:textbox inset="0,0,0,0">
                    <w:txbxContent>
                      <w:p>
                        <w:pPr>
                          <w:spacing w:before="6"/>
                          <w:ind w:left="-1" w:right="0" w:firstLine="0"/>
                          <w:jc w:val="left"/>
                          <w:rPr>
                            <w:sz w:val="18"/>
                          </w:rPr>
                        </w:pPr>
                        <w:r>
                          <w:rPr>
                            <w:b/>
                            <w:color w:val="231F20"/>
                            <w:w w:val="105"/>
                            <w:sz w:val="18"/>
                          </w:rPr>
                          <w:t>2870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1"/>
        <w:gridCol w:w="1995"/>
        <w:gridCol w:w="182"/>
        <w:gridCol w:w="1428"/>
        <w:gridCol w:w="2068"/>
        <w:gridCol w:w="2358"/>
      </w:tblGrid>
      <w:tr>
        <w:trPr>
          <w:trHeight w:val="373" w:hRule="atLeast"/>
        </w:trPr>
        <w:tc>
          <w:tcPr>
            <w:tcW w:w="1711"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595-8</w:t>
            </w:r>
            <w:r>
              <w:rPr>
                <w:b/>
                <w:color w:val="FFFFFF"/>
                <w:spacing w:val="32"/>
                <w:w w:val="105"/>
                <w:sz w:val="16"/>
              </w:rPr>
              <w:t>  </w:t>
            </w:r>
            <w:r>
              <w:rPr>
                <w:color w:val="FFFFFF"/>
                <w:spacing w:val="-2"/>
                <w:w w:val="105"/>
                <w:sz w:val="16"/>
              </w:rPr>
              <w:t>Drugs</w:t>
            </w:r>
          </w:p>
        </w:tc>
        <w:tc>
          <w:tcPr>
            <w:tcW w:w="1995" w:type="dxa"/>
            <w:shd w:val="clear" w:color="auto" w:fill="231F20"/>
          </w:tcPr>
          <w:p>
            <w:pPr>
              <w:pStyle w:val="TableParagraph"/>
              <w:spacing w:before="89"/>
              <w:ind w:left="27"/>
              <w:rPr>
                <w:sz w:val="16"/>
              </w:rPr>
            </w:pPr>
            <w:r>
              <w:rPr>
                <w:color w:val="FFFFFF"/>
                <w:w w:val="110"/>
                <w:sz w:val="16"/>
              </w:rPr>
              <w:t>Used</w:t>
            </w:r>
            <w:r>
              <w:rPr>
                <w:color w:val="FFFFFF"/>
                <w:spacing w:val="-7"/>
                <w:w w:val="110"/>
                <w:sz w:val="16"/>
              </w:rPr>
              <w:t> </w:t>
            </w:r>
            <w:r>
              <w:rPr>
                <w:color w:val="FFFFFF"/>
                <w:w w:val="110"/>
                <w:sz w:val="16"/>
              </w:rPr>
              <w:t>in</w:t>
            </w:r>
            <w:r>
              <w:rPr>
                <w:color w:val="FFFFFF"/>
                <w:spacing w:val="-7"/>
                <w:w w:val="110"/>
                <w:sz w:val="16"/>
              </w:rPr>
              <w:t> </w:t>
            </w:r>
            <w:r>
              <w:rPr>
                <w:color w:val="FFFFFF"/>
                <w:w w:val="110"/>
                <w:sz w:val="16"/>
              </w:rPr>
              <w:t>the</w:t>
            </w:r>
            <w:r>
              <w:rPr>
                <w:color w:val="FFFFFF"/>
                <w:spacing w:val="-6"/>
                <w:w w:val="110"/>
                <w:sz w:val="16"/>
              </w:rPr>
              <w:t> </w:t>
            </w:r>
            <w:r>
              <w:rPr>
                <w:color w:val="FFFFFF"/>
                <w:spacing w:val="-2"/>
                <w:w w:val="110"/>
                <w:sz w:val="16"/>
              </w:rPr>
              <w:t>Management</w:t>
            </w:r>
          </w:p>
        </w:tc>
        <w:tc>
          <w:tcPr>
            <w:tcW w:w="182" w:type="dxa"/>
            <w:shd w:val="clear" w:color="auto" w:fill="231F20"/>
          </w:tcPr>
          <w:p>
            <w:pPr>
              <w:pStyle w:val="TableParagraph"/>
              <w:spacing w:before="89"/>
              <w:ind w:left="27"/>
              <w:rPr>
                <w:sz w:val="16"/>
              </w:rPr>
            </w:pPr>
            <w:r>
              <w:rPr>
                <w:color w:val="FFFFFF"/>
                <w:spacing w:val="-5"/>
                <w:w w:val="105"/>
                <w:sz w:val="16"/>
              </w:rPr>
              <w:t>of</w:t>
            </w:r>
          </w:p>
        </w:tc>
        <w:tc>
          <w:tcPr>
            <w:tcW w:w="5854" w:type="dxa"/>
            <w:gridSpan w:val="3"/>
            <w:shd w:val="clear" w:color="auto" w:fill="231F20"/>
          </w:tcPr>
          <w:p>
            <w:pPr>
              <w:pStyle w:val="TableParagraph"/>
              <w:spacing w:before="89"/>
              <w:ind w:left="53"/>
              <w:rPr>
                <w:sz w:val="16"/>
              </w:rPr>
            </w:pPr>
            <w:r>
              <w:rPr>
                <w:color w:val="FFFFFF"/>
                <w:w w:val="110"/>
                <w:sz w:val="16"/>
              </w:rPr>
              <w:t>Migraine</w:t>
            </w:r>
            <w:r>
              <w:rPr>
                <w:color w:val="FFFFFF"/>
                <w:spacing w:val="-10"/>
                <w:w w:val="110"/>
                <w:sz w:val="16"/>
              </w:rPr>
              <w:t> </w:t>
            </w:r>
            <w:r>
              <w:rPr>
                <w:color w:val="FFFFFF"/>
                <w:w w:val="110"/>
                <w:sz w:val="16"/>
              </w:rPr>
              <w:t>Headaches</w:t>
            </w:r>
            <w:r>
              <w:rPr>
                <w:color w:val="FFFFFF"/>
                <w:spacing w:val="-10"/>
                <w:w w:val="110"/>
                <w:sz w:val="16"/>
              </w:rPr>
              <w:t> </w:t>
            </w:r>
            <w:r>
              <w:rPr>
                <w:color w:val="FFFFFF"/>
                <w:w w:val="110"/>
                <w:sz w:val="16"/>
              </w:rPr>
              <w:t>in</w:t>
            </w:r>
            <w:r>
              <w:rPr>
                <w:color w:val="FFFFFF"/>
                <w:spacing w:val="-10"/>
                <w:w w:val="110"/>
                <w:sz w:val="16"/>
              </w:rPr>
              <w:t> </w:t>
            </w:r>
            <w:r>
              <w:rPr>
                <w:color w:val="FFFFFF"/>
                <w:w w:val="110"/>
                <w:sz w:val="16"/>
              </w:rPr>
              <w:t>Children—</w:t>
            </w:r>
            <w:r>
              <w:rPr>
                <w:color w:val="FFFFFF"/>
                <w:spacing w:val="-2"/>
                <w:w w:val="110"/>
                <w:sz w:val="16"/>
              </w:rPr>
              <w:t>cont’d</w:t>
            </w:r>
          </w:p>
        </w:tc>
      </w:tr>
      <w:tr>
        <w:trPr>
          <w:trHeight w:val="257" w:hRule="atLeast"/>
        </w:trPr>
        <w:tc>
          <w:tcPr>
            <w:tcW w:w="1711" w:type="dxa"/>
            <w:tcBorders>
              <w:bottom w:val="single" w:sz="4" w:space="0" w:color="231F20"/>
            </w:tcBorders>
            <w:shd w:val="clear" w:color="auto" w:fill="E8F5F1"/>
          </w:tcPr>
          <w:p>
            <w:pPr>
              <w:pStyle w:val="TableParagraph"/>
              <w:spacing w:before="47"/>
              <w:ind w:left="74"/>
              <w:rPr>
                <w:b/>
                <w:sz w:val="15"/>
              </w:rPr>
            </w:pPr>
            <w:r>
              <w:rPr>
                <w:b/>
                <w:color w:val="231F20"/>
                <w:spacing w:val="-4"/>
                <w:w w:val="110"/>
                <w:sz w:val="15"/>
              </w:rPr>
              <w:t>DRUG</w:t>
            </w:r>
          </w:p>
        </w:tc>
        <w:tc>
          <w:tcPr>
            <w:tcW w:w="1995" w:type="dxa"/>
            <w:tcBorders>
              <w:bottom w:val="single" w:sz="4" w:space="0" w:color="231F20"/>
            </w:tcBorders>
            <w:shd w:val="clear" w:color="auto" w:fill="E8F5F1"/>
          </w:tcPr>
          <w:p>
            <w:pPr>
              <w:pStyle w:val="TableParagraph"/>
              <w:spacing w:before="47"/>
              <w:ind w:right="58"/>
              <w:jc w:val="center"/>
              <w:rPr>
                <w:b/>
                <w:sz w:val="15"/>
              </w:rPr>
            </w:pPr>
            <w:r>
              <w:rPr>
                <w:b/>
                <w:color w:val="231F20"/>
                <w:spacing w:val="-4"/>
                <w:w w:val="115"/>
                <w:sz w:val="15"/>
              </w:rPr>
              <w:t>DOSE</w:t>
            </w:r>
          </w:p>
        </w:tc>
        <w:tc>
          <w:tcPr>
            <w:tcW w:w="1610" w:type="dxa"/>
            <w:gridSpan w:val="2"/>
            <w:tcBorders>
              <w:bottom w:val="single" w:sz="4" w:space="0" w:color="231F20"/>
            </w:tcBorders>
            <w:shd w:val="clear" w:color="auto" w:fill="E8F5F1"/>
          </w:tcPr>
          <w:p>
            <w:pPr>
              <w:pStyle w:val="TableParagraph"/>
              <w:spacing w:before="47"/>
              <w:ind w:left="328"/>
              <w:rPr>
                <w:b/>
                <w:sz w:val="15"/>
              </w:rPr>
            </w:pPr>
            <w:r>
              <w:rPr>
                <w:b/>
                <w:color w:val="231F20"/>
                <w:spacing w:val="-2"/>
                <w:w w:val="115"/>
                <w:sz w:val="15"/>
              </w:rPr>
              <w:t>MECHANISM</w:t>
            </w:r>
          </w:p>
        </w:tc>
        <w:tc>
          <w:tcPr>
            <w:tcW w:w="2068" w:type="dxa"/>
            <w:tcBorders>
              <w:bottom w:val="single" w:sz="4" w:space="0" w:color="231F20"/>
            </w:tcBorders>
            <w:shd w:val="clear" w:color="auto" w:fill="E8F5F1"/>
          </w:tcPr>
          <w:p>
            <w:pPr>
              <w:pStyle w:val="TableParagraph"/>
              <w:spacing w:before="47"/>
              <w:ind w:left="518"/>
              <w:rPr>
                <w:b/>
                <w:sz w:val="15"/>
              </w:rPr>
            </w:pPr>
            <w:r>
              <w:rPr>
                <w:b/>
                <w:color w:val="231F20"/>
                <w:w w:val="110"/>
                <w:sz w:val="15"/>
              </w:rPr>
              <w:t>SIDE</w:t>
            </w:r>
            <w:r>
              <w:rPr>
                <w:b/>
                <w:color w:val="231F20"/>
                <w:spacing w:val="8"/>
                <w:w w:val="110"/>
                <w:sz w:val="15"/>
              </w:rPr>
              <w:t> </w:t>
            </w:r>
            <w:r>
              <w:rPr>
                <w:b/>
                <w:color w:val="231F20"/>
                <w:spacing w:val="-2"/>
                <w:w w:val="110"/>
                <w:sz w:val="15"/>
              </w:rPr>
              <w:t>EFFECTS</w:t>
            </w:r>
          </w:p>
        </w:tc>
        <w:tc>
          <w:tcPr>
            <w:tcW w:w="2358" w:type="dxa"/>
            <w:tcBorders>
              <w:bottom w:val="single" w:sz="4" w:space="0" w:color="231F20"/>
            </w:tcBorders>
            <w:shd w:val="clear" w:color="auto" w:fill="E8F5F1"/>
          </w:tcPr>
          <w:p>
            <w:pPr>
              <w:pStyle w:val="TableParagraph"/>
              <w:spacing w:before="47"/>
              <w:ind w:left="782"/>
              <w:rPr>
                <w:b/>
                <w:sz w:val="15"/>
              </w:rPr>
            </w:pPr>
            <w:r>
              <w:rPr>
                <w:b/>
                <w:color w:val="231F20"/>
                <w:spacing w:val="-2"/>
                <w:w w:val="115"/>
                <w:sz w:val="15"/>
              </w:rPr>
              <w:t>COMMENTS</w:t>
            </w:r>
          </w:p>
        </w:tc>
      </w:tr>
      <w:tr>
        <w:trPr>
          <w:trHeight w:val="2247" w:hRule="atLeast"/>
        </w:trPr>
        <w:tc>
          <w:tcPr>
            <w:tcW w:w="5316" w:type="dxa"/>
            <w:gridSpan w:val="4"/>
            <w:tcBorders>
              <w:top w:val="single" w:sz="4" w:space="0" w:color="231F20"/>
            </w:tcBorders>
            <w:shd w:val="clear" w:color="auto" w:fill="E8F5F1"/>
          </w:tcPr>
          <w:p>
            <w:pPr>
              <w:pStyle w:val="TableParagraph"/>
              <w:spacing w:line="172" w:lineRule="exact" w:before="43"/>
              <w:ind w:left="74"/>
              <w:rPr>
                <w:sz w:val="15"/>
              </w:rPr>
            </w:pPr>
            <w:r>
              <w:rPr>
                <w:color w:val="231F20"/>
                <w:w w:val="110"/>
                <w:sz w:val="15"/>
              </w:rPr>
              <w:t>PROPHYLAXIS</w:t>
            </w:r>
            <w:r>
              <w:rPr>
                <w:color w:val="231F20"/>
                <w:spacing w:val="8"/>
                <w:w w:val="110"/>
                <w:sz w:val="15"/>
              </w:rPr>
              <w:t> </w:t>
            </w:r>
            <w:r>
              <w:rPr>
                <w:color w:val="231F20"/>
                <w:w w:val="110"/>
                <w:sz w:val="15"/>
              </w:rPr>
              <w:t>(NONE</w:t>
            </w:r>
            <w:r>
              <w:rPr>
                <w:color w:val="231F20"/>
                <w:spacing w:val="8"/>
                <w:w w:val="110"/>
                <w:sz w:val="15"/>
              </w:rPr>
              <w:t> </w:t>
            </w:r>
            <w:r>
              <w:rPr>
                <w:color w:val="231F20"/>
                <w:w w:val="110"/>
                <w:sz w:val="15"/>
              </w:rPr>
              <w:t>APPROVED</w:t>
            </w:r>
            <w:r>
              <w:rPr>
                <w:color w:val="231F20"/>
                <w:spacing w:val="8"/>
                <w:w w:val="110"/>
                <w:sz w:val="15"/>
              </w:rPr>
              <w:t> </w:t>
            </w:r>
            <w:r>
              <w:rPr>
                <w:color w:val="231F20"/>
                <w:w w:val="110"/>
                <w:sz w:val="15"/>
              </w:rPr>
              <w:t>BY</w:t>
            </w:r>
            <w:r>
              <w:rPr>
                <w:color w:val="231F20"/>
                <w:spacing w:val="9"/>
                <w:w w:val="110"/>
                <w:sz w:val="15"/>
              </w:rPr>
              <w:t> </w:t>
            </w:r>
            <w:r>
              <w:rPr>
                <w:color w:val="231F20"/>
                <w:w w:val="110"/>
                <w:sz w:val="15"/>
              </w:rPr>
              <w:t>FDA</w:t>
            </w:r>
            <w:r>
              <w:rPr>
                <w:color w:val="231F20"/>
                <w:spacing w:val="8"/>
                <w:w w:val="110"/>
                <w:sz w:val="15"/>
              </w:rPr>
              <w:t> </w:t>
            </w:r>
            <w:r>
              <w:rPr>
                <w:color w:val="231F20"/>
                <w:w w:val="110"/>
                <w:sz w:val="15"/>
              </w:rPr>
              <w:t>FOR</w:t>
            </w:r>
            <w:r>
              <w:rPr>
                <w:color w:val="231F20"/>
                <w:spacing w:val="8"/>
                <w:w w:val="110"/>
                <w:sz w:val="15"/>
              </w:rPr>
              <w:t> </w:t>
            </w:r>
            <w:r>
              <w:rPr>
                <w:color w:val="231F20"/>
                <w:spacing w:val="-2"/>
                <w:w w:val="110"/>
                <w:sz w:val="15"/>
              </w:rPr>
              <w:t>CHILDREN)</w:t>
            </w:r>
          </w:p>
          <w:p>
            <w:pPr>
              <w:pStyle w:val="TableParagraph"/>
              <w:spacing w:line="170" w:lineRule="exact"/>
              <w:ind w:left="74"/>
              <w:rPr>
                <w:i/>
                <w:sz w:val="15"/>
              </w:rPr>
            </w:pPr>
            <w:r>
              <w:rPr>
                <w:i/>
                <w:color w:val="231F20"/>
                <w:sz w:val="15"/>
              </w:rPr>
              <w:t>Calcium</w:t>
            </w:r>
            <w:r>
              <w:rPr>
                <w:i/>
                <w:color w:val="231F20"/>
                <w:spacing w:val="4"/>
                <w:sz w:val="15"/>
              </w:rPr>
              <w:t> </w:t>
            </w:r>
            <w:r>
              <w:rPr>
                <w:i/>
                <w:color w:val="231F20"/>
                <w:sz w:val="15"/>
              </w:rPr>
              <w:t>Channel</w:t>
            </w:r>
            <w:r>
              <w:rPr>
                <w:i/>
                <w:color w:val="231F20"/>
                <w:spacing w:val="4"/>
                <w:sz w:val="15"/>
              </w:rPr>
              <w:t> </w:t>
            </w:r>
            <w:r>
              <w:rPr>
                <w:i/>
                <w:color w:val="231F20"/>
                <w:spacing w:val="-2"/>
                <w:sz w:val="15"/>
              </w:rPr>
              <w:t>Blockers</w:t>
            </w:r>
          </w:p>
          <w:p>
            <w:pPr>
              <w:pStyle w:val="TableParagraph"/>
              <w:tabs>
                <w:tab w:pos="1829" w:val="left" w:leader="none"/>
                <w:tab w:pos="3888" w:val="left" w:leader="none"/>
              </w:tabs>
              <w:spacing w:line="230" w:lineRule="auto" w:before="3"/>
              <w:ind w:left="4000" w:right="313" w:hanging="3926"/>
              <w:rPr>
                <w:sz w:val="15"/>
              </w:rPr>
            </w:pPr>
            <w:r>
              <w:rPr>
                <w:color w:val="231F20"/>
                <w:spacing w:val="-2"/>
                <w:sz w:val="15"/>
              </w:rPr>
              <w:t>Flunarizine</w:t>
            </w:r>
            <w:r>
              <w:rPr>
                <w:color w:val="0080AC"/>
                <w:spacing w:val="-2"/>
                <w:sz w:val="15"/>
                <w:vertAlign w:val="superscript"/>
              </w:rPr>
              <w:t>†</w:t>
            </w:r>
            <w:r>
              <w:rPr>
                <w:color w:val="0080AC"/>
                <w:sz w:val="15"/>
                <w:vertAlign w:val="baseline"/>
              </w:rPr>
              <w:tab/>
            </w:r>
            <w:r>
              <w:rPr>
                <w:color w:val="231F20"/>
                <w:sz w:val="15"/>
                <w:vertAlign w:val="baseline"/>
              </w:rPr>
              <w:t>5 mg hs</w:t>
              <w:tab/>
              <w:t>Calcium</w:t>
            </w:r>
            <w:r>
              <w:rPr>
                <w:color w:val="231F20"/>
                <w:spacing w:val="-12"/>
                <w:sz w:val="15"/>
                <w:vertAlign w:val="baseline"/>
              </w:rPr>
              <w:t> </w:t>
            </w:r>
            <w:r>
              <w:rPr>
                <w:color w:val="231F20"/>
                <w:sz w:val="15"/>
                <w:vertAlign w:val="baseline"/>
              </w:rPr>
              <w:t>channel blocking</w:t>
            </w:r>
            <w:r>
              <w:rPr>
                <w:color w:val="231F20"/>
                <w:spacing w:val="6"/>
                <w:sz w:val="15"/>
                <w:vertAlign w:val="baseline"/>
              </w:rPr>
              <w:t> </w:t>
            </w:r>
            <w:r>
              <w:rPr>
                <w:color w:val="231F20"/>
                <w:spacing w:val="-2"/>
                <w:sz w:val="15"/>
                <w:vertAlign w:val="baseline"/>
              </w:rPr>
              <w:t>agent</w:t>
            </w:r>
          </w:p>
          <w:p>
            <w:pPr>
              <w:pStyle w:val="TableParagraph"/>
              <w:spacing w:line="170" w:lineRule="exact"/>
              <w:ind w:left="74"/>
              <w:rPr>
                <w:i/>
                <w:sz w:val="15"/>
              </w:rPr>
            </w:pPr>
            <w:r>
              <w:rPr>
                <w:i/>
                <w:color w:val="231F20"/>
                <w:spacing w:val="-2"/>
                <w:sz w:val="15"/>
              </w:rPr>
              <w:t>Anticonvulsants</w:t>
            </w:r>
          </w:p>
          <w:p>
            <w:pPr>
              <w:pStyle w:val="TableParagraph"/>
              <w:tabs>
                <w:tab w:pos="1829" w:val="left" w:leader="none"/>
                <w:tab w:pos="3888" w:val="left" w:leader="none"/>
              </w:tabs>
              <w:spacing w:line="228" w:lineRule="auto" w:before="5"/>
              <w:ind w:left="1941" w:right="487" w:hanging="1867"/>
              <w:rPr>
                <w:sz w:val="15"/>
              </w:rPr>
            </w:pPr>
            <w:r>
              <w:rPr>
                <w:color w:val="231F20"/>
                <w:sz w:val="15"/>
              </w:rPr>
              <w:t>Valproic acid</w:t>
              <w:tab/>
              <w:t>20 mg/kg/24 hr (begin</w:t>
              <w:tab/>
            </w:r>
            <w:r>
              <w:rPr>
                <w:rFonts w:ascii="Cambria" w:hAnsi="Cambria"/>
                <w:color w:val="231F20"/>
                <w:sz w:val="15"/>
              </w:rPr>
              <w:t>↑ </w:t>
            </w:r>
            <w:r>
              <w:rPr>
                <w:color w:val="231F20"/>
                <w:sz w:val="15"/>
              </w:rPr>
              <w:t>Brain </w:t>
            </w:r>
            <w:r>
              <w:rPr>
                <w:color w:val="231F20"/>
                <w:sz w:val="15"/>
              </w:rPr>
              <w:t>GABA 5 mg/kg/24 hr)</w:t>
            </w:r>
          </w:p>
          <w:p>
            <w:pPr>
              <w:pStyle w:val="TableParagraph"/>
              <w:tabs>
                <w:tab w:pos="1829" w:val="left" w:leader="none"/>
                <w:tab w:pos="3888" w:val="left" w:leader="none"/>
              </w:tabs>
              <w:spacing w:line="230" w:lineRule="auto" w:before="4"/>
              <w:ind w:left="4000" w:right="626" w:hanging="3926"/>
              <w:rPr>
                <w:sz w:val="15"/>
              </w:rPr>
            </w:pPr>
            <w:r>
              <w:rPr>
                <w:color w:val="231F20"/>
                <w:spacing w:val="-2"/>
                <w:sz w:val="15"/>
              </w:rPr>
              <w:t>Topiramate</w:t>
            </w:r>
            <w:r>
              <w:rPr>
                <w:color w:val="231F20"/>
                <w:sz w:val="15"/>
              </w:rPr>
              <w:tab/>
              <w:t>100-200 mg divided bid</w:t>
              <w:tab/>
            </w:r>
            <w:r>
              <w:rPr>
                <w:rFonts w:ascii="Cambria" w:hAnsi="Cambria"/>
                <w:color w:val="231F20"/>
                <w:sz w:val="15"/>
              </w:rPr>
              <w:t>↑</w:t>
            </w:r>
            <w:r>
              <w:rPr>
                <w:rFonts w:ascii="Cambria" w:hAnsi="Cambria"/>
                <w:color w:val="231F20"/>
                <w:spacing w:val="-4"/>
                <w:sz w:val="15"/>
              </w:rPr>
              <w:t> </w:t>
            </w:r>
            <w:r>
              <w:rPr>
                <w:color w:val="231F20"/>
                <w:sz w:val="15"/>
              </w:rPr>
              <w:t>Activity</w:t>
            </w:r>
            <w:r>
              <w:rPr>
                <w:color w:val="231F20"/>
                <w:spacing w:val="-11"/>
                <w:sz w:val="15"/>
              </w:rPr>
              <w:t> </w:t>
            </w:r>
            <w:r>
              <w:rPr>
                <w:color w:val="231F20"/>
                <w:sz w:val="15"/>
              </w:rPr>
              <w:t>of </w:t>
            </w:r>
            <w:r>
              <w:rPr>
                <w:color w:val="231F20"/>
                <w:spacing w:val="-4"/>
                <w:w w:val="105"/>
                <w:sz w:val="15"/>
              </w:rPr>
              <w:t>GABA</w:t>
            </w:r>
          </w:p>
          <w:p>
            <w:pPr>
              <w:pStyle w:val="TableParagraph"/>
              <w:tabs>
                <w:tab w:pos="1829" w:val="left" w:leader="none"/>
                <w:tab w:pos="3888" w:val="left" w:leader="none"/>
              </w:tabs>
              <w:spacing w:line="172" w:lineRule="exact"/>
              <w:ind w:left="74"/>
              <w:rPr>
                <w:sz w:val="15"/>
              </w:rPr>
            </w:pPr>
            <w:r>
              <w:rPr>
                <w:color w:val="231F20"/>
                <w:spacing w:val="-2"/>
                <w:sz w:val="15"/>
              </w:rPr>
              <w:t>Levetiracetam</w:t>
            </w:r>
            <w:r>
              <w:rPr>
                <w:color w:val="231F20"/>
                <w:sz w:val="15"/>
              </w:rPr>
              <w:tab/>
              <w:t>20-60 mg/kg divided</w:t>
            </w:r>
            <w:r>
              <w:rPr>
                <w:color w:val="231F20"/>
                <w:spacing w:val="1"/>
                <w:sz w:val="15"/>
              </w:rPr>
              <w:t> </w:t>
            </w:r>
            <w:r>
              <w:rPr>
                <w:color w:val="231F20"/>
                <w:spacing w:val="-5"/>
                <w:sz w:val="15"/>
              </w:rPr>
              <w:t>bid</w:t>
            </w:r>
            <w:r>
              <w:rPr>
                <w:color w:val="231F20"/>
                <w:sz w:val="15"/>
              </w:rPr>
              <w:tab/>
            </w:r>
            <w:r>
              <w:rPr>
                <w:color w:val="231F20"/>
                <w:spacing w:val="-2"/>
                <w:sz w:val="15"/>
              </w:rPr>
              <w:t>Unknown</w:t>
            </w:r>
          </w:p>
          <w:p>
            <w:pPr>
              <w:pStyle w:val="TableParagraph"/>
              <w:tabs>
                <w:tab w:pos="1829" w:val="left" w:leader="none"/>
                <w:tab w:pos="3888" w:val="left" w:leader="none"/>
              </w:tabs>
              <w:spacing w:before="163"/>
              <w:ind w:left="74"/>
              <w:rPr>
                <w:sz w:val="15"/>
              </w:rPr>
            </w:pPr>
            <w:r>
              <w:rPr>
                <w:color w:val="231F20"/>
                <w:spacing w:val="-2"/>
                <w:sz w:val="15"/>
              </w:rPr>
              <w:t>Gabapentin</w:t>
            </w:r>
            <w:r>
              <w:rPr>
                <w:color w:val="231F20"/>
                <w:sz w:val="15"/>
              </w:rPr>
              <w:tab/>
              <w:t>900-1800</w:t>
            </w:r>
            <w:r>
              <w:rPr>
                <w:color w:val="231F20"/>
                <w:spacing w:val="2"/>
                <w:sz w:val="15"/>
              </w:rPr>
              <w:t> </w:t>
            </w:r>
            <w:r>
              <w:rPr>
                <w:color w:val="231F20"/>
                <w:sz w:val="15"/>
              </w:rPr>
              <w:t>mg</w:t>
            </w:r>
            <w:r>
              <w:rPr>
                <w:color w:val="231F20"/>
                <w:spacing w:val="3"/>
                <w:sz w:val="15"/>
              </w:rPr>
              <w:t> </w:t>
            </w:r>
            <w:r>
              <w:rPr>
                <w:color w:val="231F20"/>
                <w:sz w:val="15"/>
              </w:rPr>
              <w:t>divided</w:t>
            </w:r>
            <w:r>
              <w:rPr>
                <w:color w:val="231F20"/>
                <w:spacing w:val="2"/>
                <w:sz w:val="15"/>
              </w:rPr>
              <w:t> </w:t>
            </w:r>
            <w:r>
              <w:rPr>
                <w:color w:val="231F20"/>
                <w:spacing w:val="-5"/>
                <w:sz w:val="15"/>
              </w:rPr>
              <w:t>bid</w:t>
            </w:r>
            <w:r>
              <w:rPr>
                <w:color w:val="231F20"/>
                <w:sz w:val="15"/>
              </w:rPr>
              <w:tab/>
            </w:r>
            <w:r>
              <w:rPr>
                <w:color w:val="231F20"/>
                <w:spacing w:val="-2"/>
                <w:sz w:val="15"/>
              </w:rPr>
              <w:t>Unknown</w:t>
            </w:r>
          </w:p>
        </w:tc>
        <w:tc>
          <w:tcPr>
            <w:tcW w:w="2068" w:type="dxa"/>
            <w:tcBorders>
              <w:top w:val="single" w:sz="4" w:space="0" w:color="231F20"/>
            </w:tcBorders>
            <w:shd w:val="clear" w:color="auto" w:fill="E8F5F1"/>
          </w:tcPr>
          <w:p>
            <w:pPr>
              <w:pStyle w:val="TableParagraph"/>
              <w:rPr>
                <w:i/>
                <w:sz w:val="15"/>
              </w:rPr>
            </w:pPr>
          </w:p>
          <w:p>
            <w:pPr>
              <w:pStyle w:val="TableParagraph"/>
              <w:spacing w:before="40"/>
              <w:rPr>
                <w:i/>
                <w:sz w:val="15"/>
              </w:rPr>
            </w:pPr>
          </w:p>
          <w:p>
            <w:pPr>
              <w:pStyle w:val="TableParagraph"/>
              <w:spacing w:line="230" w:lineRule="auto"/>
              <w:ind w:left="291" w:right="546" w:hanging="112"/>
              <w:rPr>
                <w:sz w:val="15"/>
              </w:rPr>
            </w:pPr>
            <w:r>
              <w:rPr>
                <w:color w:val="231F20"/>
                <w:spacing w:val="-2"/>
                <w:sz w:val="15"/>
              </w:rPr>
              <w:t>Headache,</w:t>
            </w:r>
            <w:r>
              <w:rPr>
                <w:color w:val="231F20"/>
                <w:spacing w:val="-10"/>
                <w:sz w:val="15"/>
              </w:rPr>
              <w:t> </w:t>
            </w:r>
            <w:r>
              <w:rPr>
                <w:color w:val="231F20"/>
                <w:spacing w:val="-2"/>
                <w:sz w:val="15"/>
              </w:rPr>
              <w:t>lethargy, dizziness</w:t>
            </w:r>
          </w:p>
          <w:p>
            <w:pPr>
              <w:pStyle w:val="TableParagraph"/>
              <w:spacing w:line="232" w:lineRule="auto" w:before="172"/>
              <w:ind w:right="484"/>
              <w:jc w:val="right"/>
              <w:rPr>
                <w:sz w:val="15"/>
              </w:rPr>
            </w:pPr>
            <w:r>
              <w:rPr>
                <w:color w:val="231F20"/>
                <w:spacing w:val="-2"/>
                <w:sz w:val="15"/>
              </w:rPr>
              <w:t>Nausea,</w:t>
            </w:r>
            <w:r>
              <w:rPr>
                <w:color w:val="231F20"/>
                <w:spacing w:val="-10"/>
                <w:sz w:val="15"/>
              </w:rPr>
              <w:t> </w:t>
            </w:r>
            <w:r>
              <w:rPr>
                <w:color w:val="231F20"/>
                <w:spacing w:val="-2"/>
                <w:sz w:val="15"/>
              </w:rPr>
              <w:t>pancreatitis, </w:t>
            </w:r>
            <w:r>
              <w:rPr>
                <w:color w:val="231F20"/>
                <w:sz w:val="15"/>
              </w:rPr>
              <w:t>fatal hepatotoxicity </w:t>
            </w:r>
            <w:r>
              <w:rPr>
                <w:color w:val="231F20"/>
                <w:spacing w:val="-2"/>
                <w:sz w:val="15"/>
              </w:rPr>
              <w:t>Fatigue,</w:t>
            </w:r>
            <w:r>
              <w:rPr>
                <w:color w:val="231F20"/>
                <w:sz w:val="15"/>
              </w:rPr>
              <w:t> </w:t>
            </w:r>
            <w:r>
              <w:rPr>
                <w:color w:val="231F20"/>
                <w:spacing w:val="-2"/>
                <w:sz w:val="15"/>
              </w:rPr>
              <w:t>nervousness</w:t>
            </w:r>
          </w:p>
          <w:p>
            <w:pPr>
              <w:pStyle w:val="TableParagraph"/>
              <w:spacing w:before="166"/>
              <w:ind w:left="179"/>
              <w:rPr>
                <w:sz w:val="15"/>
              </w:rPr>
            </w:pPr>
            <w:r>
              <w:rPr>
                <w:color w:val="231F20"/>
                <w:w w:val="85"/>
                <w:sz w:val="15"/>
              </w:rPr>
              <w:t>Irritability,</w:t>
            </w:r>
            <w:r>
              <w:rPr>
                <w:color w:val="231F20"/>
                <w:spacing w:val="23"/>
                <w:sz w:val="15"/>
              </w:rPr>
              <w:t> </w:t>
            </w:r>
            <w:r>
              <w:rPr>
                <w:color w:val="231F20"/>
                <w:spacing w:val="-2"/>
                <w:w w:val="95"/>
                <w:sz w:val="15"/>
              </w:rPr>
              <w:t>fatigue</w:t>
            </w:r>
          </w:p>
          <w:p>
            <w:pPr>
              <w:pStyle w:val="TableParagraph"/>
              <w:spacing w:line="168" w:lineRule="exact" w:before="150"/>
              <w:ind w:left="292" w:hanging="112"/>
              <w:rPr>
                <w:sz w:val="15"/>
              </w:rPr>
            </w:pPr>
            <w:r>
              <w:rPr>
                <w:color w:val="231F20"/>
                <w:sz w:val="15"/>
              </w:rPr>
              <w:t>Somnolence, fatigue aggression,</w:t>
            </w:r>
            <w:r>
              <w:rPr>
                <w:color w:val="231F20"/>
                <w:spacing w:val="-9"/>
                <w:sz w:val="15"/>
              </w:rPr>
              <w:t> </w:t>
            </w:r>
            <w:r>
              <w:rPr>
                <w:color w:val="231F20"/>
                <w:sz w:val="15"/>
              </w:rPr>
              <w:t>weight</w:t>
            </w:r>
            <w:r>
              <w:rPr>
                <w:color w:val="231F20"/>
                <w:spacing w:val="-9"/>
                <w:sz w:val="15"/>
              </w:rPr>
              <w:t> </w:t>
            </w:r>
            <w:r>
              <w:rPr>
                <w:color w:val="231F20"/>
                <w:sz w:val="15"/>
              </w:rPr>
              <w:t>gain</w:t>
            </w:r>
          </w:p>
        </w:tc>
        <w:tc>
          <w:tcPr>
            <w:tcW w:w="2358" w:type="dxa"/>
            <w:tcBorders>
              <w:top w:val="single" w:sz="4" w:space="0" w:color="231F20"/>
            </w:tcBorders>
            <w:shd w:val="clear" w:color="auto" w:fill="E8F5F1"/>
          </w:tcPr>
          <w:p>
            <w:pPr>
              <w:pStyle w:val="TableParagraph"/>
              <w:rPr>
                <w:i/>
                <w:sz w:val="15"/>
              </w:rPr>
            </w:pPr>
          </w:p>
          <w:p>
            <w:pPr>
              <w:pStyle w:val="TableParagraph"/>
              <w:spacing w:before="35"/>
              <w:rPr>
                <w:i/>
                <w:sz w:val="15"/>
              </w:rPr>
            </w:pPr>
          </w:p>
          <w:p>
            <w:pPr>
              <w:pStyle w:val="TableParagraph"/>
              <w:ind w:left="179"/>
              <w:rPr>
                <w:sz w:val="15"/>
              </w:rPr>
            </w:pPr>
            <w:r>
              <w:rPr>
                <w:color w:val="231F20"/>
                <w:w w:val="105"/>
                <w:sz w:val="15"/>
              </w:rPr>
              <w:t>May </w:t>
            </w:r>
            <w:r>
              <w:rPr>
                <w:rFonts w:ascii="Cambria" w:hAnsi="Cambria"/>
                <w:color w:val="231F20"/>
                <w:w w:val="105"/>
                <w:sz w:val="15"/>
              </w:rPr>
              <w:t>↑</w:t>
            </w:r>
            <w:r>
              <w:rPr>
                <w:rFonts w:ascii="Cambria" w:hAnsi="Cambria"/>
                <w:color w:val="231F20"/>
                <w:spacing w:val="13"/>
                <w:w w:val="105"/>
                <w:sz w:val="15"/>
              </w:rPr>
              <w:t> </w:t>
            </w:r>
            <w:r>
              <w:rPr>
                <w:color w:val="231F20"/>
                <w:w w:val="105"/>
                <w:sz w:val="15"/>
              </w:rPr>
              <w:t>to 10</w:t>
            </w:r>
            <w:r>
              <w:rPr>
                <w:color w:val="231F20"/>
                <w:spacing w:val="1"/>
                <w:w w:val="105"/>
                <w:sz w:val="15"/>
              </w:rPr>
              <w:t> </w:t>
            </w:r>
            <w:r>
              <w:rPr>
                <w:color w:val="231F20"/>
                <w:w w:val="105"/>
                <w:sz w:val="15"/>
              </w:rPr>
              <w:t>mg </w:t>
            </w:r>
            <w:r>
              <w:rPr>
                <w:color w:val="231F20"/>
                <w:spacing w:val="-5"/>
                <w:w w:val="105"/>
                <w:sz w:val="15"/>
              </w:rPr>
              <w:t>hs</w:t>
            </w:r>
          </w:p>
          <w:p>
            <w:pPr>
              <w:pStyle w:val="TableParagraph"/>
              <w:spacing w:before="157"/>
              <w:rPr>
                <w:i/>
                <w:sz w:val="15"/>
              </w:rPr>
            </w:pPr>
          </w:p>
          <w:p>
            <w:pPr>
              <w:pStyle w:val="TableParagraph"/>
              <w:spacing w:line="460" w:lineRule="auto" w:before="1"/>
              <w:ind w:left="179" w:right="207"/>
              <w:rPr>
                <w:sz w:val="15"/>
              </w:rPr>
            </w:pPr>
            <w:r>
              <w:rPr>
                <w:rFonts w:ascii="Cambria" w:hAnsi="Cambria"/>
                <w:color w:val="231F20"/>
                <w:sz w:val="15"/>
              </w:rPr>
              <w:t>↑ </w:t>
            </w:r>
            <w:r>
              <w:rPr>
                <w:color w:val="231F20"/>
                <w:sz w:val="15"/>
              </w:rPr>
              <w:t>5 mg/kg every 2 wk Increase</w:t>
            </w:r>
            <w:r>
              <w:rPr>
                <w:color w:val="231F20"/>
                <w:spacing w:val="-12"/>
                <w:sz w:val="15"/>
              </w:rPr>
              <w:t> </w:t>
            </w:r>
            <w:r>
              <w:rPr>
                <w:color w:val="231F20"/>
                <w:sz w:val="15"/>
              </w:rPr>
              <w:t>slowly</w:t>
            </w:r>
            <w:r>
              <w:rPr>
                <w:color w:val="231F20"/>
                <w:spacing w:val="-11"/>
                <w:sz w:val="15"/>
              </w:rPr>
              <w:t> </w:t>
            </w:r>
            <w:r>
              <w:rPr>
                <w:color w:val="231F20"/>
                <w:sz w:val="15"/>
              </w:rPr>
              <w:t>over</w:t>
            </w:r>
            <w:r>
              <w:rPr>
                <w:color w:val="231F20"/>
                <w:spacing w:val="-11"/>
                <w:sz w:val="15"/>
              </w:rPr>
              <w:t> </w:t>
            </w:r>
            <w:r>
              <w:rPr>
                <w:color w:val="231F20"/>
                <w:sz w:val="15"/>
              </w:rPr>
              <w:t>12-16</w:t>
            </w:r>
            <w:r>
              <w:rPr>
                <w:color w:val="231F20"/>
                <w:spacing w:val="-11"/>
                <w:sz w:val="15"/>
              </w:rPr>
              <w:t> </w:t>
            </w:r>
            <w:r>
              <w:rPr>
                <w:color w:val="231F20"/>
                <w:spacing w:val="-5"/>
                <w:sz w:val="15"/>
              </w:rPr>
              <w:t>wk</w:t>
            </w:r>
          </w:p>
          <w:p>
            <w:pPr>
              <w:pStyle w:val="TableParagraph"/>
              <w:spacing w:line="230" w:lineRule="auto" w:before="10"/>
              <w:ind w:left="291" w:right="62" w:hanging="112"/>
              <w:rPr>
                <w:sz w:val="15"/>
              </w:rPr>
            </w:pPr>
            <w:r>
              <w:rPr>
                <w:color w:val="231F20"/>
                <w:spacing w:val="-2"/>
                <w:sz w:val="15"/>
              </w:rPr>
              <w:t>Increase</w:t>
            </w:r>
            <w:r>
              <w:rPr>
                <w:color w:val="231F20"/>
                <w:spacing w:val="-9"/>
                <w:sz w:val="15"/>
              </w:rPr>
              <w:t> </w:t>
            </w:r>
            <w:r>
              <w:rPr>
                <w:color w:val="231F20"/>
                <w:spacing w:val="-2"/>
                <w:sz w:val="15"/>
              </w:rPr>
              <w:t>every</w:t>
            </w:r>
            <w:r>
              <w:rPr>
                <w:color w:val="231F20"/>
                <w:spacing w:val="-9"/>
                <w:sz w:val="15"/>
              </w:rPr>
              <w:t> </w:t>
            </w:r>
            <w:r>
              <w:rPr>
                <w:color w:val="231F20"/>
                <w:spacing w:val="-2"/>
                <w:sz w:val="15"/>
              </w:rPr>
              <w:t>2</w:t>
            </w:r>
            <w:r>
              <w:rPr>
                <w:color w:val="231F20"/>
                <w:spacing w:val="-9"/>
                <w:sz w:val="15"/>
              </w:rPr>
              <w:t> </w:t>
            </w:r>
            <w:r>
              <w:rPr>
                <w:color w:val="231F20"/>
                <w:spacing w:val="-2"/>
                <w:sz w:val="15"/>
              </w:rPr>
              <w:t>wk</w:t>
            </w:r>
            <w:r>
              <w:rPr>
                <w:color w:val="231F20"/>
                <w:spacing w:val="-9"/>
                <w:sz w:val="15"/>
              </w:rPr>
              <w:t> </w:t>
            </w:r>
            <w:r>
              <w:rPr>
                <w:color w:val="231F20"/>
                <w:spacing w:val="-2"/>
                <w:sz w:val="15"/>
              </w:rPr>
              <w:t>starting</w:t>
            </w:r>
            <w:r>
              <w:rPr>
                <w:color w:val="231F20"/>
                <w:spacing w:val="-9"/>
                <w:sz w:val="15"/>
              </w:rPr>
              <w:t> </w:t>
            </w:r>
            <w:r>
              <w:rPr>
                <w:color w:val="231F20"/>
                <w:spacing w:val="-2"/>
                <w:sz w:val="15"/>
              </w:rPr>
              <w:t>at </w:t>
            </w:r>
            <w:r>
              <w:rPr>
                <w:color w:val="231F20"/>
                <w:sz w:val="15"/>
              </w:rPr>
              <w:t>20 mg/kg divided bid</w:t>
            </w:r>
          </w:p>
          <w:p>
            <w:pPr>
              <w:pStyle w:val="TableParagraph"/>
              <w:spacing w:line="174" w:lineRule="exact"/>
              <w:ind w:left="179"/>
              <w:rPr>
                <w:sz w:val="15"/>
              </w:rPr>
            </w:pPr>
            <w:r>
              <w:rPr>
                <w:color w:val="231F20"/>
                <w:sz w:val="15"/>
              </w:rPr>
              <w:t>Begin</w:t>
            </w:r>
            <w:r>
              <w:rPr>
                <w:color w:val="231F20"/>
                <w:spacing w:val="6"/>
                <w:sz w:val="15"/>
              </w:rPr>
              <w:t> </w:t>
            </w:r>
            <w:r>
              <w:rPr>
                <w:color w:val="231F20"/>
                <w:sz w:val="15"/>
              </w:rPr>
              <w:t>300</w:t>
            </w:r>
            <w:r>
              <w:rPr>
                <w:color w:val="231F20"/>
                <w:spacing w:val="7"/>
                <w:sz w:val="15"/>
              </w:rPr>
              <w:t> </w:t>
            </w:r>
            <w:r>
              <w:rPr>
                <w:color w:val="231F20"/>
                <w:sz w:val="15"/>
              </w:rPr>
              <w:t>mg,</w:t>
            </w:r>
            <w:r>
              <w:rPr>
                <w:color w:val="231F20"/>
                <w:spacing w:val="7"/>
                <w:sz w:val="15"/>
              </w:rPr>
              <w:t> </w:t>
            </w:r>
            <w:r>
              <w:rPr>
                <w:rFonts w:ascii="Cambria" w:hAnsi="Cambria"/>
                <w:color w:val="231F20"/>
                <w:sz w:val="15"/>
              </w:rPr>
              <w:t>↑</w:t>
            </w:r>
            <w:r>
              <w:rPr>
                <w:rFonts w:ascii="Cambria" w:hAnsi="Cambria"/>
                <w:color w:val="231F20"/>
                <w:spacing w:val="18"/>
                <w:sz w:val="15"/>
              </w:rPr>
              <w:t> </w:t>
            </w:r>
            <w:r>
              <w:rPr>
                <w:color w:val="231F20"/>
                <w:sz w:val="15"/>
              </w:rPr>
              <w:t>300</w:t>
            </w:r>
            <w:r>
              <w:rPr>
                <w:color w:val="231F20"/>
                <w:spacing w:val="7"/>
                <w:sz w:val="15"/>
              </w:rPr>
              <w:t> </w:t>
            </w:r>
            <w:r>
              <w:rPr>
                <w:color w:val="231F20"/>
                <w:spacing w:val="-2"/>
                <w:sz w:val="15"/>
              </w:rPr>
              <w:t>mg/wk</w:t>
            </w:r>
          </w:p>
        </w:tc>
      </w:tr>
      <w:tr>
        <w:trPr>
          <w:trHeight w:val="843" w:hRule="atLeast"/>
        </w:trPr>
        <w:tc>
          <w:tcPr>
            <w:tcW w:w="1711" w:type="dxa"/>
            <w:shd w:val="clear" w:color="auto" w:fill="E8F5F1"/>
          </w:tcPr>
          <w:p>
            <w:pPr>
              <w:pStyle w:val="TableParagraph"/>
              <w:spacing w:line="167" w:lineRule="exact"/>
              <w:ind w:left="75"/>
              <w:rPr>
                <w:i/>
                <w:sz w:val="15"/>
              </w:rPr>
            </w:pPr>
            <w:r>
              <w:rPr>
                <w:i/>
                <w:color w:val="231F20"/>
                <w:spacing w:val="-2"/>
                <w:sz w:val="15"/>
              </w:rPr>
              <w:t>Antidepressants</w:t>
            </w:r>
          </w:p>
          <w:p>
            <w:pPr>
              <w:pStyle w:val="TableParagraph"/>
              <w:spacing w:line="172" w:lineRule="exact"/>
              <w:ind w:left="75"/>
              <w:rPr>
                <w:sz w:val="15"/>
              </w:rPr>
            </w:pPr>
            <w:r>
              <w:rPr>
                <w:color w:val="231F20"/>
                <w:spacing w:val="-2"/>
                <w:sz w:val="15"/>
              </w:rPr>
              <w:t>Amitriptyline</w:t>
            </w:r>
          </w:p>
        </w:tc>
        <w:tc>
          <w:tcPr>
            <w:tcW w:w="1995" w:type="dxa"/>
            <w:shd w:val="clear" w:color="auto" w:fill="E8F5F1"/>
          </w:tcPr>
          <w:p>
            <w:pPr>
              <w:pStyle w:val="TableParagraph"/>
              <w:spacing w:before="165"/>
              <w:ind w:left="118"/>
              <w:rPr>
                <w:sz w:val="15"/>
              </w:rPr>
            </w:pPr>
            <w:r>
              <w:rPr>
                <w:color w:val="231F20"/>
                <w:sz w:val="15"/>
              </w:rPr>
              <w:t>1</w:t>
            </w:r>
            <w:r>
              <w:rPr>
                <w:color w:val="231F20"/>
                <w:spacing w:val="-1"/>
                <w:sz w:val="15"/>
              </w:rPr>
              <w:t> </w:t>
            </w:r>
            <w:r>
              <w:rPr>
                <w:color w:val="231F20"/>
                <w:spacing w:val="-2"/>
                <w:sz w:val="15"/>
              </w:rPr>
              <w:t>mg/kg/day</w:t>
            </w:r>
          </w:p>
        </w:tc>
        <w:tc>
          <w:tcPr>
            <w:tcW w:w="1610" w:type="dxa"/>
            <w:gridSpan w:val="2"/>
            <w:shd w:val="clear" w:color="auto" w:fill="E8F5F1"/>
          </w:tcPr>
          <w:p>
            <w:pPr>
              <w:pStyle w:val="TableParagraph"/>
              <w:spacing w:line="230" w:lineRule="auto" w:before="171"/>
              <w:ind w:left="294" w:right="289" w:hanging="112"/>
              <w:rPr>
                <w:sz w:val="15"/>
              </w:rPr>
            </w:pPr>
            <w:r>
              <w:rPr>
                <w:rFonts w:ascii="Cambria" w:hAnsi="Cambria"/>
                <w:color w:val="231F20"/>
                <w:w w:val="110"/>
                <w:sz w:val="15"/>
              </w:rPr>
              <w:t>↑</w:t>
            </w:r>
            <w:r>
              <w:rPr>
                <w:rFonts w:ascii="Cambria" w:hAnsi="Cambria"/>
                <w:color w:val="231F20"/>
                <w:spacing w:val="-7"/>
                <w:w w:val="110"/>
                <w:sz w:val="15"/>
              </w:rPr>
              <w:t> </w:t>
            </w:r>
            <w:r>
              <w:rPr>
                <w:color w:val="231F20"/>
                <w:w w:val="110"/>
                <w:sz w:val="15"/>
              </w:rPr>
              <w:t>CNS</w:t>
            </w:r>
            <w:r>
              <w:rPr>
                <w:color w:val="231F20"/>
                <w:spacing w:val="-12"/>
                <w:w w:val="110"/>
                <w:sz w:val="15"/>
              </w:rPr>
              <w:t> </w:t>
            </w:r>
            <w:r>
              <w:rPr>
                <w:color w:val="231F20"/>
                <w:w w:val="110"/>
                <w:sz w:val="15"/>
              </w:rPr>
              <w:t>serotonin </w:t>
            </w:r>
            <w:r>
              <w:rPr>
                <w:color w:val="231F20"/>
                <w:spacing w:val="-4"/>
                <w:w w:val="110"/>
                <w:sz w:val="15"/>
              </w:rPr>
              <w:t>and </w:t>
            </w:r>
            <w:r>
              <w:rPr>
                <w:color w:val="231F20"/>
                <w:spacing w:val="-2"/>
                <w:sz w:val="15"/>
              </w:rPr>
              <w:t>norepinephrine</w:t>
            </w:r>
          </w:p>
        </w:tc>
        <w:tc>
          <w:tcPr>
            <w:tcW w:w="2068" w:type="dxa"/>
            <w:shd w:val="clear" w:color="auto" w:fill="E8F5F1"/>
          </w:tcPr>
          <w:p>
            <w:pPr>
              <w:pStyle w:val="TableParagraph"/>
              <w:spacing w:line="168" w:lineRule="exact" w:before="151"/>
              <w:ind w:left="292" w:right="310" w:hanging="112"/>
              <w:rPr>
                <w:sz w:val="15"/>
              </w:rPr>
            </w:pPr>
            <w:r>
              <w:rPr>
                <w:color w:val="231F20"/>
                <w:sz w:val="15"/>
              </w:rPr>
              <w:t>Cardiac conduction, abnormalities</w:t>
            </w:r>
            <w:r>
              <w:rPr>
                <w:color w:val="231F20"/>
                <w:spacing w:val="-12"/>
                <w:sz w:val="15"/>
              </w:rPr>
              <w:t> </w:t>
            </w:r>
            <w:r>
              <w:rPr>
                <w:color w:val="231F20"/>
                <w:sz w:val="15"/>
              </w:rPr>
              <w:t>and</w:t>
            </w:r>
            <w:r>
              <w:rPr>
                <w:color w:val="231F20"/>
                <w:spacing w:val="-11"/>
                <w:sz w:val="15"/>
              </w:rPr>
              <w:t> </w:t>
            </w:r>
            <w:r>
              <w:rPr>
                <w:color w:val="231F20"/>
                <w:sz w:val="15"/>
              </w:rPr>
              <w:t>dry mouth, constipation, </w:t>
            </w:r>
            <w:r>
              <w:rPr>
                <w:color w:val="231F20"/>
                <w:spacing w:val="-2"/>
                <w:sz w:val="15"/>
              </w:rPr>
              <w:t>drowsiness,</w:t>
            </w:r>
            <w:r>
              <w:rPr>
                <w:color w:val="231F20"/>
                <w:spacing w:val="7"/>
                <w:sz w:val="15"/>
              </w:rPr>
              <w:t> </w:t>
            </w:r>
            <w:r>
              <w:rPr>
                <w:color w:val="231F20"/>
                <w:spacing w:val="-2"/>
                <w:sz w:val="15"/>
              </w:rPr>
              <w:t>confusion</w:t>
            </w:r>
          </w:p>
        </w:tc>
        <w:tc>
          <w:tcPr>
            <w:tcW w:w="2358" w:type="dxa"/>
            <w:shd w:val="clear" w:color="auto" w:fill="E8F5F1"/>
          </w:tcPr>
          <w:p>
            <w:pPr>
              <w:pStyle w:val="TableParagraph"/>
              <w:spacing w:line="230" w:lineRule="auto" w:before="170"/>
              <w:ind w:left="291" w:right="207" w:hanging="112"/>
              <w:rPr>
                <w:sz w:val="15"/>
              </w:rPr>
            </w:pPr>
            <w:r>
              <w:rPr>
                <w:color w:val="231F20"/>
                <w:sz w:val="15"/>
              </w:rPr>
              <w:t>Increase</w:t>
            </w:r>
            <w:r>
              <w:rPr>
                <w:color w:val="231F20"/>
                <w:spacing w:val="-12"/>
                <w:sz w:val="15"/>
              </w:rPr>
              <w:t> </w:t>
            </w:r>
            <w:r>
              <w:rPr>
                <w:color w:val="231F20"/>
                <w:sz w:val="15"/>
              </w:rPr>
              <w:t>by</w:t>
            </w:r>
            <w:r>
              <w:rPr>
                <w:color w:val="231F20"/>
                <w:spacing w:val="-11"/>
                <w:sz w:val="15"/>
              </w:rPr>
              <w:t> </w:t>
            </w:r>
            <w:r>
              <w:rPr>
                <w:color w:val="231F20"/>
                <w:sz w:val="15"/>
              </w:rPr>
              <w:t>0.25</w:t>
            </w:r>
            <w:r>
              <w:rPr>
                <w:color w:val="231F20"/>
                <w:spacing w:val="-11"/>
                <w:sz w:val="15"/>
              </w:rPr>
              <w:t> </w:t>
            </w:r>
            <w:r>
              <w:rPr>
                <w:color w:val="231F20"/>
                <w:sz w:val="15"/>
              </w:rPr>
              <w:t>mg/kg</w:t>
            </w:r>
            <w:r>
              <w:rPr>
                <w:color w:val="231F20"/>
                <w:spacing w:val="-12"/>
                <w:sz w:val="15"/>
              </w:rPr>
              <w:t> </w:t>
            </w:r>
            <w:r>
              <w:rPr>
                <w:color w:val="231F20"/>
                <w:sz w:val="15"/>
              </w:rPr>
              <w:t>every 2 wk</w:t>
            </w:r>
          </w:p>
          <w:p>
            <w:pPr>
              <w:pStyle w:val="TableParagraph"/>
              <w:spacing w:line="168" w:lineRule="exact"/>
              <w:ind w:left="291" w:hanging="112"/>
              <w:rPr>
                <w:sz w:val="15"/>
              </w:rPr>
            </w:pPr>
            <w:r>
              <w:rPr>
                <w:color w:val="231F20"/>
                <w:sz w:val="15"/>
              </w:rPr>
              <w:t>Morning sleepiness reduced </w:t>
            </w:r>
            <w:r>
              <w:rPr>
                <w:color w:val="231F20"/>
                <w:sz w:val="15"/>
              </w:rPr>
              <w:t>by administration at dinnertime</w:t>
            </w:r>
          </w:p>
        </w:tc>
      </w:tr>
      <w:tr>
        <w:trPr>
          <w:trHeight w:val="750" w:hRule="atLeast"/>
        </w:trPr>
        <w:tc>
          <w:tcPr>
            <w:tcW w:w="1711" w:type="dxa"/>
            <w:vMerge w:val="restart"/>
            <w:tcBorders>
              <w:bottom w:val="single" w:sz="4" w:space="0" w:color="FFFFFF"/>
            </w:tcBorders>
            <w:shd w:val="clear" w:color="auto" w:fill="E8F5F1"/>
          </w:tcPr>
          <w:p>
            <w:pPr>
              <w:pStyle w:val="TableParagraph"/>
              <w:spacing w:line="167" w:lineRule="exact"/>
              <w:ind w:left="75"/>
              <w:rPr>
                <w:i/>
                <w:sz w:val="15"/>
              </w:rPr>
            </w:pPr>
            <w:r>
              <w:rPr>
                <w:i/>
                <w:color w:val="231F20"/>
                <w:spacing w:val="-2"/>
                <w:sz w:val="15"/>
              </w:rPr>
              <w:t>Antihistamines</w:t>
            </w:r>
          </w:p>
          <w:p>
            <w:pPr>
              <w:pStyle w:val="TableParagraph"/>
              <w:spacing w:line="172" w:lineRule="exact"/>
              <w:ind w:left="75"/>
              <w:rPr>
                <w:sz w:val="15"/>
              </w:rPr>
            </w:pPr>
            <w:r>
              <w:rPr>
                <w:color w:val="231F20"/>
                <w:spacing w:val="-2"/>
                <w:sz w:val="15"/>
              </w:rPr>
              <w:t>Cyproheptadine</w:t>
            </w:r>
          </w:p>
          <w:p>
            <w:pPr>
              <w:pStyle w:val="TableParagraph"/>
              <w:spacing w:before="157"/>
              <w:rPr>
                <w:i/>
                <w:sz w:val="15"/>
              </w:rPr>
            </w:pPr>
          </w:p>
          <w:p>
            <w:pPr>
              <w:pStyle w:val="TableParagraph"/>
              <w:spacing w:line="172" w:lineRule="exact" w:before="1"/>
              <w:ind w:left="74"/>
              <w:rPr>
                <w:i/>
                <w:sz w:val="15"/>
              </w:rPr>
            </w:pPr>
            <w:r>
              <w:rPr>
                <w:i/>
                <w:color w:val="231F20"/>
                <w:spacing w:val="-2"/>
                <w:sz w:val="15"/>
              </w:rPr>
              <w:t>Antihypertensive</w:t>
            </w:r>
          </w:p>
          <w:p>
            <w:pPr>
              <w:pStyle w:val="TableParagraph"/>
              <w:spacing w:line="172" w:lineRule="exact"/>
              <w:ind w:left="74"/>
              <w:rPr>
                <w:sz w:val="15"/>
              </w:rPr>
            </w:pPr>
            <w:r>
              <w:rPr>
                <w:color w:val="231F20"/>
                <w:spacing w:val="-2"/>
                <w:sz w:val="15"/>
              </w:rPr>
              <w:t>Propranolol</w:t>
            </w:r>
          </w:p>
          <w:p>
            <w:pPr>
              <w:pStyle w:val="TableParagraph"/>
              <w:spacing w:before="160"/>
              <w:rPr>
                <w:i/>
                <w:sz w:val="15"/>
              </w:rPr>
            </w:pPr>
          </w:p>
          <w:p>
            <w:pPr>
              <w:pStyle w:val="TableParagraph"/>
              <w:spacing w:line="172" w:lineRule="exact"/>
              <w:ind w:left="74"/>
              <w:rPr>
                <w:i/>
                <w:sz w:val="15"/>
              </w:rPr>
            </w:pPr>
            <w:r>
              <w:rPr>
                <w:i/>
                <w:color w:val="231F20"/>
                <w:spacing w:val="-2"/>
                <w:w w:val="105"/>
                <w:sz w:val="15"/>
              </w:rPr>
              <w:t>Others</w:t>
            </w:r>
          </w:p>
          <w:p>
            <w:pPr>
              <w:pStyle w:val="TableParagraph"/>
              <w:spacing w:line="172" w:lineRule="exact"/>
              <w:ind w:left="74"/>
              <w:rPr>
                <w:sz w:val="15"/>
              </w:rPr>
            </w:pPr>
            <w:r>
              <w:rPr>
                <w:color w:val="231F20"/>
                <w:sz w:val="15"/>
              </w:rPr>
              <w:t>Coenzyme</w:t>
            </w:r>
            <w:r>
              <w:rPr>
                <w:color w:val="231F20"/>
                <w:spacing w:val="14"/>
                <w:sz w:val="15"/>
              </w:rPr>
              <w:t> </w:t>
            </w:r>
            <w:r>
              <w:rPr>
                <w:color w:val="231F20"/>
                <w:spacing w:val="-5"/>
                <w:sz w:val="15"/>
              </w:rPr>
              <w:t>Q10</w:t>
            </w:r>
          </w:p>
          <w:p>
            <w:pPr>
              <w:pStyle w:val="TableParagraph"/>
              <w:spacing w:before="157"/>
              <w:rPr>
                <w:i/>
                <w:sz w:val="15"/>
              </w:rPr>
            </w:pPr>
          </w:p>
          <w:p>
            <w:pPr>
              <w:pStyle w:val="TableParagraph"/>
              <w:spacing w:line="465" w:lineRule="auto"/>
              <w:ind w:left="74" w:right="309"/>
              <w:rPr>
                <w:sz w:val="15"/>
              </w:rPr>
            </w:pPr>
            <w:r>
              <w:rPr>
                <w:color w:val="231F20"/>
                <w:spacing w:val="-2"/>
                <w:sz w:val="15"/>
              </w:rPr>
              <w:t>Riboflavin Magnesium Butterbur</w:t>
            </w:r>
          </w:p>
          <w:p>
            <w:pPr>
              <w:pStyle w:val="TableParagraph"/>
              <w:spacing w:before="166"/>
              <w:ind w:left="74"/>
              <w:rPr>
                <w:sz w:val="15"/>
              </w:rPr>
            </w:pPr>
            <w:r>
              <w:rPr>
                <w:color w:val="231F20"/>
                <w:spacing w:val="-2"/>
                <w:sz w:val="15"/>
              </w:rPr>
              <w:t>OnabotulinumtoxinA</w:t>
            </w:r>
          </w:p>
        </w:tc>
        <w:tc>
          <w:tcPr>
            <w:tcW w:w="1995" w:type="dxa"/>
            <w:vMerge w:val="restart"/>
            <w:tcBorders>
              <w:bottom w:val="single" w:sz="4" w:space="0" w:color="FFFFFF"/>
            </w:tcBorders>
            <w:shd w:val="clear" w:color="auto" w:fill="E8F5F1"/>
          </w:tcPr>
          <w:p>
            <w:pPr>
              <w:pStyle w:val="TableParagraph"/>
              <w:spacing w:line="230" w:lineRule="auto" w:before="170"/>
              <w:ind w:left="230" w:right="197" w:hanging="112"/>
              <w:rPr>
                <w:sz w:val="15"/>
              </w:rPr>
            </w:pPr>
            <w:r>
              <w:rPr>
                <w:color w:val="231F20"/>
                <w:spacing w:val="-2"/>
                <w:sz w:val="15"/>
              </w:rPr>
              <w:t>0.2-0.4</w:t>
            </w:r>
            <w:r>
              <w:rPr>
                <w:color w:val="231F20"/>
                <w:spacing w:val="-10"/>
                <w:sz w:val="15"/>
              </w:rPr>
              <w:t> </w:t>
            </w:r>
            <w:r>
              <w:rPr>
                <w:color w:val="231F20"/>
                <w:spacing w:val="-2"/>
                <w:sz w:val="15"/>
              </w:rPr>
              <w:t>mg/kg</w:t>
            </w:r>
            <w:r>
              <w:rPr>
                <w:color w:val="231F20"/>
                <w:spacing w:val="-9"/>
                <w:sz w:val="15"/>
              </w:rPr>
              <w:t> </w:t>
            </w:r>
            <w:r>
              <w:rPr>
                <w:color w:val="231F20"/>
                <w:spacing w:val="-2"/>
                <w:sz w:val="15"/>
              </w:rPr>
              <w:t>divided </w:t>
            </w:r>
            <w:r>
              <w:rPr>
                <w:color w:val="231F20"/>
                <w:sz w:val="15"/>
              </w:rPr>
              <w:t>bid; max: 0.5 mg/ kg/24 hr</w:t>
            </w:r>
          </w:p>
          <w:p>
            <w:pPr>
              <w:pStyle w:val="TableParagraph"/>
              <w:spacing w:before="169"/>
              <w:ind w:left="118"/>
              <w:rPr>
                <w:sz w:val="15"/>
              </w:rPr>
            </w:pPr>
            <w:r>
              <w:rPr>
                <w:color w:val="231F20"/>
                <w:sz w:val="15"/>
              </w:rPr>
              <w:t>10-20</w:t>
            </w:r>
            <w:r>
              <w:rPr>
                <w:color w:val="231F20"/>
                <w:spacing w:val="4"/>
                <w:sz w:val="15"/>
              </w:rPr>
              <w:t> </w:t>
            </w:r>
            <w:r>
              <w:rPr>
                <w:color w:val="231F20"/>
                <w:sz w:val="15"/>
              </w:rPr>
              <w:t>mg</w:t>
            </w:r>
            <w:r>
              <w:rPr>
                <w:color w:val="231F20"/>
                <w:spacing w:val="4"/>
                <w:sz w:val="15"/>
              </w:rPr>
              <w:t> </w:t>
            </w:r>
            <w:r>
              <w:rPr>
                <w:color w:val="231F20"/>
                <w:spacing w:val="-5"/>
                <w:sz w:val="15"/>
              </w:rPr>
              <w:t>tid</w:t>
            </w:r>
          </w:p>
          <w:p>
            <w:pPr>
              <w:pStyle w:val="TableParagraph"/>
              <w:rPr>
                <w:i/>
                <w:sz w:val="15"/>
              </w:rPr>
            </w:pPr>
          </w:p>
          <w:p>
            <w:pPr>
              <w:pStyle w:val="TableParagraph"/>
              <w:spacing w:before="155"/>
              <w:rPr>
                <w:i/>
                <w:sz w:val="15"/>
              </w:rPr>
            </w:pPr>
          </w:p>
          <w:p>
            <w:pPr>
              <w:pStyle w:val="TableParagraph"/>
              <w:ind w:left="118"/>
              <w:rPr>
                <w:sz w:val="15"/>
              </w:rPr>
            </w:pPr>
            <w:r>
              <w:rPr>
                <w:color w:val="231F20"/>
                <w:sz w:val="15"/>
              </w:rPr>
              <w:t>1-3</w:t>
            </w:r>
            <w:r>
              <w:rPr>
                <w:color w:val="231F20"/>
                <w:spacing w:val="-8"/>
                <w:sz w:val="15"/>
              </w:rPr>
              <w:t> </w:t>
            </w:r>
            <w:r>
              <w:rPr>
                <w:color w:val="231F20"/>
                <w:spacing w:val="-2"/>
                <w:sz w:val="15"/>
              </w:rPr>
              <w:t>mg/kg/day</w:t>
            </w:r>
          </w:p>
          <w:p>
            <w:pPr>
              <w:pStyle w:val="TableParagraph"/>
              <w:spacing w:before="157"/>
              <w:rPr>
                <w:i/>
                <w:sz w:val="15"/>
              </w:rPr>
            </w:pPr>
          </w:p>
          <w:p>
            <w:pPr>
              <w:pStyle w:val="TableParagraph"/>
              <w:ind w:left="118"/>
              <w:rPr>
                <w:sz w:val="15"/>
              </w:rPr>
            </w:pPr>
            <w:r>
              <w:rPr>
                <w:color w:val="231F20"/>
                <w:sz w:val="15"/>
              </w:rPr>
              <w:t>50-400</w:t>
            </w:r>
            <w:r>
              <w:rPr>
                <w:color w:val="231F20"/>
                <w:spacing w:val="3"/>
                <w:sz w:val="15"/>
              </w:rPr>
              <w:t> </w:t>
            </w:r>
            <w:r>
              <w:rPr>
                <w:color w:val="231F20"/>
                <w:sz w:val="15"/>
              </w:rPr>
              <w:t>mg</w:t>
            </w:r>
            <w:r>
              <w:rPr>
                <w:color w:val="231F20"/>
                <w:spacing w:val="3"/>
                <w:sz w:val="15"/>
              </w:rPr>
              <w:t> </w:t>
            </w:r>
            <w:r>
              <w:rPr>
                <w:color w:val="231F20"/>
                <w:spacing w:val="-2"/>
                <w:sz w:val="15"/>
              </w:rPr>
              <w:t>daily</w:t>
            </w:r>
          </w:p>
          <w:p>
            <w:pPr>
              <w:pStyle w:val="TableParagraph"/>
              <w:spacing w:line="465" w:lineRule="auto" w:before="163"/>
              <w:ind w:left="118" w:right="546"/>
              <w:rPr>
                <w:sz w:val="15"/>
              </w:rPr>
            </w:pPr>
            <w:r>
              <w:rPr>
                <w:color w:val="231F20"/>
                <w:sz w:val="15"/>
              </w:rPr>
              <w:t>9</w:t>
            </w:r>
            <w:r>
              <w:rPr>
                <w:color w:val="231F20"/>
                <w:spacing w:val="-11"/>
                <w:sz w:val="15"/>
              </w:rPr>
              <w:t> </w:t>
            </w:r>
            <w:r>
              <w:rPr>
                <w:color w:val="231F20"/>
                <w:sz w:val="15"/>
              </w:rPr>
              <w:t>mg/kg</w:t>
            </w:r>
            <w:r>
              <w:rPr>
                <w:color w:val="231F20"/>
                <w:spacing w:val="-11"/>
                <w:sz w:val="15"/>
              </w:rPr>
              <w:t> </w:t>
            </w:r>
            <w:r>
              <w:rPr>
                <w:color w:val="231F20"/>
                <w:sz w:val="15"/>
              </w:rPr>
              <w:t>divided</w:t>
            </w:r>
            <w:r>
              <w:rPr>
                <w:color w:val="231F20"/>
                <w:spacing w:val="-11"/>
                <w:sz w:val="15"/>
              </w:rPr>
              <w:t> </w:t>
            </w:r>
            <w:r>
              <w:rPr>
                <w:color w:val="231F20"/>
                <w:sz w:val="15"/>
              </w:rPr>
              <w:t>tid</w:t>
            </w:r>
            <w:r>
              <w:rPr>
                <w:color w:val="231F20"/>
                <w:sz w:val="15"/>
              </w:rPr>
              <w:t> 50-150 mg daily</w:t>
            </w:r>
          </w:p>
          <w:p>
            <w:pPr>
              <w:pStyle w:val="TableParagraph"/>
              <w:spacing w:before="167"/>
              <w:ind w:left="118"/>
              <w:rPr>
                <w:sz w:val="15"/>
              </w:rPr>
            </w:pPr>
            <w:r>
              <w:rPr>
                <w:color w:val="231F20"/>
                <w:sz w:val="15"/>
              </w:rPr>
              <w:t>100</w:t>
            </w:r>
            <w:r>
              <w:rPr>
                <w:color w:val="231F20"/>
                <w:spacing w:val="-7"/>
                <w:sz w:val="15"/>
              </w:rPr>
              <w:t> </w:t>
            </w:r>
            <w:r>
              <w:rPr>
                <w:color w:val="231F20"/>
                <w:sz w:val="15"/>
              </w:rPr>
              <w:t>units</w:t>
            </w:r>
            <w:r>
              <w:rPr>
                <w:color w:val="231F20"/>
                <w:spacing w:val="-7"/>
                <w:sz w:val="15"/>
              </w:rPr>
              <w:t> </w:t>
            </w:r>
            <w:r>
              <w:rPr>
                <w:color w:val="231F20"/>
                <w:sz w:val="15"/>
              </w:rPr>
              <w:t>(age</w:t>
            </w:r>
            <w:r>
              <w:rPr>
                <w:color w:val="231F20"/>
                <w:spacing w:val="-7"/>
                <w:sz w:val="15"/>
              </w:rPr>
              <w:t> </w:t>
            </w:r>
            <w:r>
              <w:rPr>
                <w:color w:val="231F20"/>
                <w:sz w:val="15"/>
              </w:rPr>
              <w:t>11-17</w:t>
            </w:r>
            <w:r>
              <w:rPr>
                <w:color w:val="231F20"/>
                <w:spacing w:val="-7"/>
                <w:sz w:val="15"/>
              </w:rPr>
              <w:t> </w:t>
            </w:r>
            <w:r>
              <w:rPr>
                <w:color w:val="231F20"/>
                <w:spacing w:val="-5"/>
                <w:sz w:val="15"/>
              </w:rPr>
              <w:t>yr)</w:t>
            </w:r>
          </w:p>
        </w:tc>
        <w:tc>
          <w:tcPr>
            <w:tcW w:w="1610" w:type="dxa"/>
            <w:gridSpan w:val="2"/>
            <w:vMerge w:val="restart"/>
            <w:tcBorders>
              <w:bottom w:val="single" w:sz="4" w:space="0" w:color="FFFFFF"/>
            </w:tcBorders>
            <w:shd w:val="clear" w:color="auto" w:fill="E8F5F1"/>
          </w:tcPr>
          <w:p>
            <w:pPr>
              <w:pStyle w:val="TableParagraph"/>
              <w:spacing w:line="230" w:lineRule="auto" w:before="170"/>
              <w:ind w:left="294" w:right="346" w:hanging="112"/>
              <w:rPr>
                <w:sz w:val="15"/>
              </w:rPr>
            </w:pPr>
            <w:r>
              <w:rPr>
                <w:color w:val="231F20"/>
                <w:sz w:val="15"/>
              </w:rPr>
              <w:t>H</w:t>
            </w:r>
            <w:r>
              <w:rPr>
                <w:color w:val="231F20"/>
                <w:sz w:val="15"/>
                <w:vertAlign w:val="subscript"/>
              </w:rPr>
              <w:t>1</w:t>
            </w:r>
            <w:r>
              <w:rPr>
                <w:color w:val="231F20"/>
                <w:sz w:val="15"/>
                <w:vertAlign w:val="baseline"/>
              </w:rPr>
              <w:t>-receptor</w:t>
            </w:r>
            <w:r>
              <w:rPr>
                <w:color w:val="231F20"/>
                <w:spacing w:val="-12"/>
                <w:sz w:val="15"/>
                <w:vertAlign w:val="baseline"/>
              </w:rPr>
              <w:t> </w:t>
            </w:r>
            <w:r>
              <w:rPr>
                <w:color w:val="231F20"/>
                <w:sz w:val="15"/>
                <w:vertAlign w:val="baseline"/>
              </w:rPr>
              <w:t>and </w:t>
            </w:r>
            <w:r>
              <w:rPr>
                <w:color w:val="231F20"/>
                <w:spacing w:val="-2"/>
                <w:sz w:val="15"/>
                <w:vertAlign w:val="baseline"/>
              </w:rPr>
              <w:t>serotonin agonist</w:t>
            </w:r>
          </w:p>
          <w:p>
            <w:pPr>
              <w:pStyle w:val="TableParagraph"/>
              <w:spacing w:line="170" w:lineRule="exact" w:before="169"/>
              <w:ind w:left="182"/>
              <w:rPr>
                <w:sz w:val="15"/>
              </w:rPr>
            </w:pPr>
            <w:r>
              <w:rPr>
                <w:color w:val="231F20"/>
                <w:spacing w:val="-2"/>
                <w:sz w:val="15"/>
              </w:rPr>
              <w:t>Nonselective</w:t>
            </w:r>
          </w:p>
          <w:p>
            <w:pPr>
              <w:pStyle w:val="TableParagraph"/>
              <w:spacing w:line="230" w:lineRule="auto" w:before="1"/>
              <w:ind w:left="294"/>
              <w:rPr>
                <w:sz w:val="15"/>
              </w:rPr>
            </w:pPr>
            <w:r>
              <w:rPr>
                <w:rFonts w:ascii="Cambria" w:hAnsi="Cambria"/>
                <w:color w:val="231F20"/>
                <w:spacing w:val="-2"/>
                <w:sz w:val="15"/>
              </w:rPr>
              <w:t>β</w:t>
            </w:r>
            <w:r>
              <w:rPr>
                <w:color w:val="231F20"/>
                <w:spacing w:val="-2"/>
                <w:sz w:val="15"/>
              </w:rPr>
              <w:t>-adrenergic </w:t>
            </w:r>
            <w:r>
              <w:rPr>
                <w:color w:val="231F20"/>
                <w:sz w:val="15"/>
              </w:rPr>
              <w:t>blocking</w:t>
            </w:r>
            <w:r>
              <w:rPr>
                <w:color w:val="231F20"/>
                <w:spacing w:val="-12"/>
                <w:sz w:val="15"/>
              </w:rPr>
              <w:t> </w:t>
            </w:r>
            <w:r>
              <w:rPr>
                <w:color w:val="231F20"/>
                <w:sz w:val="15"/>
              </w:rPr>
              <w:t>agent</w:t>
            </w:r>
          </w:p>
          <w:p>
            <w:pPr>
              <w:pStyle w:val="TableParagraph"/>
              <w:spacing w:before="2"/>
              <w:rPr>
                <w:i/>
                <w:sz w:val="15"/>
              </w:rPr>
            </w:pPr>
          </w:p>
          <w:p>
            <w:pPr>
              <w:pStyle w:val="TableParagraph"/>
              <w:spacing w:line="230" w:lineRule="auto"/>
              <w:ind w:left="294" w:right="198" w:hanging="112"/>
              <w:rPr>
                <w:sz w:val="15"/>
              </w:rPr>
            </w:pPr>
            <w:r>
              <w:rPr>
                <w:color w:val="231F20"/>
                <w:sz w:val="15"/>
              </w:rPr>
              <w:t>Increases fatty acid</w:t>
            </w:r>
            <w:r>
              <w:rPr>
                <w:color w:val="231F20"/>
                <w:spacing w:val="-12"/>
                <w:sz w:val="15"/>
              </w:rPr>
              <w:t> </w:t>
            </w:r>
            <w:r>
              <w:rPr>
                <w:color w:val="231F20"/>
                <w:sz w:val="15"/>
              </w:rPr>
              <w:t>oxidation</w:t>
            </w:r>
            <w:r>
              <w:rPr>
                <w:color w:val="231F20"/>
                <w:spacing w:val="-11"/>
                <w:sz w:val="15"/>
              </w:rPr>
              <w:t> </w:t>
            </w:r>
            <w:r>
              <w:rPr>
                <w:color w:val="231F20"/>
                <w:sz w:val="15"/>
              </w:rPr>
              <w:t>in </w:t>
            </w:r>
            <w:r>
              <w:rPr>
                <w:color w:val="231F20"/>
                <w:spacing w:val="-2"/>
                <w:sz w:val="15"/>
              </w:rPr>
              <w:t>mitochondria</w:t>
            </w:r>
          </w:p>
          <w:p>
            <w:pPr>
              <w:pStyle w:val="TableParagraph"/>
              <w:spacing w:line="230" w:lineRule="auto" w:before="3"/>
              <w:ind w:left="294" w:hanging="112"/>
              <w:rPr>
                <w:sz w:val="15"/>
              </w:rPr>
            </w:pPr>
            <w:r>
              <w:rPr>
                <w:color w:val="231F20"/>
                <w:sz w:val="15"/>
              </w:rPr>
              <w:t>Cofactor</w:t>
            </w:r>
            <w:r>
              <w:rPr>
                <w:color w:val="231F20"/>
                <w:spacing w:val="-12"/>
                <w:sz w:val="15"/>
              </w:rPr>
              <w:t> </w:t>
            </w:r>
            <w:r>
              <w:rPr>
                <w:color w:val="231F20"/>
                <w:sz w:val="15"/>
              </w:rPr>
              <w:t>in</w:t>
            </w:r>
            <w:r>
              <w:rPr>
                <w:color w:val="231F20"/>
                <w:spacing w:val="-11"/>
                <w:sz w:val="15"/>
              </w:rPr>
              <w:t> </w:t>
            </w:r>
            <w:r>
              <w:rPr>
                <w:color w:val="231F20"/>
                <w:sz w:val="15"/>
              </w:rPr>
              <w:t>energy </w:t>
            </w:r>
            <w:r>
              <w:rPr>
                <w:color w:val="231F20"/>
                <w:spacing w:val="-2"/>
                <w:sz w:val="15"/>
              </w:rPr>
              <w:t>metabolism</w:t>
            </w:r>
          </w:p>
          <w:p>
            <w:pPr>
              <w:pStyle w:val="TableParagraph"/>
              <w:spacing w:line="230" w:lineRule="auto" w:before="3"/>
              <w:ind w:left="294" w:hanging="112"/>
              <w:rPr>
                <w:sz w:val="15"/>
              </w:rPr>
            </w:pPr>
            <w:r>
              <w:rPr>
                <w:color w:val="231F20"/>
                <w:sz w:val="15"/>
              </w:rPr>
              <w:t>Cofactor</w:t>
            </w:r>
            <w:r>
              <w:rPr>
                <w:color w:val="231F20"/>
                <w:spacing w:val="-12"/>
                <w:sz w:val="15"/>
              </w:rPr>
              <w:t> </w:t>
            </w:r>
            <w:r>
              <w:rPr>
                <w:color w:val="231F20"/>
                <w:sz w:val="15"/>
              </w:rPr>
              <w:t>in</w:t>
            </w:r>
            <w:r>
              <w:rPr>
                <w:color w:val="231F20"/>
                <w:spacing w:val="-11"/>
                <w:sz w:val="15"/>
              </w:rPr>
              <w:t> </w:t>
            </w:r>
            <w:r>
              <w:rPr>
                <w:color w:val="231F20"/>
                <w:sz w:val="15"/>
              </w:rPr>
              <w:t>energy </w:t>
            </w:r>
            <w:r>
              <w:rPr>
                <w:color w:val="231F20"/>
                <w:spacing w:val="-2"/>
                <w:sz w:val="15"/>
              </w:rPr>
              <w:t>metabolism</w:t>
            </w:r>
          </w:p>
          <w:p>
            <w:pPr>
              <w:pStyle w:val="TableParagraph"/>
              <w:spacing w:line="230" w:lineRule="auto" w:before="3"/>
              <w:ind w:left="294" w:right="239" w:hanging="112"/>
              <w:rPr>
                <w:sz w:val="15"/>
              </w:rPr>
            </w:pPr>
            <w:r>
              <w:rPr>
                <w:color w:val="231F20"/>
                <w:sz w:val="15"/>
              </w:rPr>
              <w:t>May</w:t>
            </w:r>
            <w:r>
              <w:rPr>
                <w:color w:val="231F20"/>
                <w:spacing w:val="-12"/>
                <w:sz w:val="15"/>
              </w:rPr>
              <w:t> </w:t>
            </w:r>
            <w:r>
              <w:rPr>
                <w:color w:val="231F20"/>
                <w:sz w:val="15"/>
              </w:rPr>
              <w:t>act</w:t>
            </w:r>
            <w:r>
              <w:rPr>
                <w:color w:val="231F20"/>
                <w:spacing w:val="-11"/>
                <w:sz w:val="15"/>
              </w:rPr>
              <w:t> </w:t>
            </w:r>
            <w:r>
              <w:rPr>
                <w:color w:val="231F20"/>
                <w:sz w:val="15"/>
              </w:rPr>
              <w:t>similar</w:t>
            </w:r>
            <w:r>
              <w:rPr>
                <w:color w:val="231F20"/>
                <w:spacing w:val="-11"/>
                <w:sz w:val="15"/>
              </w:rPr>
              <w:t> </w:t>
            </w:r>
            <w:r>
              <w:rPr>
                <w:color w:val="231F20"/>
                <w:sz w:val="15"/>
              </w:rPr>
              <w:t>to a calcium channel</w:t>
            </w:r>
            <w:r>
              <w:rPr>
                <w:color w:val="231F20"/>
                <w:spacing w:val="-12"/>
                <w:sz w:val="15"/>
              </w:rPr>
              <w:t> </w:t>
            </w:r>
            <w:r>
              <w:rPr>
                <w:color w:val="231F20"/>
                <w:sz w:val="15"/>
              </w:rPr>
              <w:t>blocker</w:t>
            </w:r>
          </w:p>
          <w:p>
            <w:pPr>
              <w:pStyle w:val="TableParagraph"/>
              <w:spacing w:line="230" w:lineRule="auto" w:before="4"/>
              <w:ind w:left="294" w:right="289" w:hanging="112"/>
              <w:rPr>
                <w:sz w:val="15"/>
              </w:rPr>
            </w:pPr>
            <w:r>
              <w:rPr>
                <w:color w:val="231F20"/>
                <w:spacing w:val="-2"/>
                <w:sz w:val="15"/>
              </w:rPr>
              <w:t>Inhibits acetylcholine </w:t>
            </w:r>
            <w:r>
              <w:rPr>
                <w:color w:val="231F20"/>
                <w:sz w:val="15"/>
              </w:rPr>
              <w:t>release from nerve</w:t>
            </w:r>
            <w:r>
              <w:rPr>
                <w:color w:val="231F20"/>
                <w:spacing w:val="-12"/>
                <w:sz w:val="15"/>
              </w:rPr>
              <w:t> </w:t>
            </w:r>
            <w:r>
              <w:rPr>
                <w:color w:val="231F20"/>
                <w:sz w:val="15"/>
              </w:rPr>
              <w:t>endings</w:t>
            </w:r>
          </w:p>
        </w:tc>
        <w:tc>
          <w:tcPr>
            <w:tcW w:w="2068" w:type="dxa"/>
            <w:vMerge w:val="restart"/>
            <w:tcBorders>
              <w:bottom w:val="single" w:sz="4" w:space="0" w:color="FFFFFF"/>
            </w:tcBorders>
            <w:shd w:val="clear" w:color="auto" w:fill="E8F5F1"/>
          </w:tcPr>
          <w:p>
            <w:pPr>
              <w:pStyle w:val="TableParagraph"/>
              <w:spacing w:line="230" w:lineRule="auto" w:before="170"/>
              <w:ind w:left="291" w:right="310" w:hanging="112"/>
              <w:rPr>
                <w:sz w:val="15"/>
              </w:rPr>
            </w:pPr>
            <w:r>
              <w:rPr>
                <w:color w:val="231F20"/>
                <w:sz w:val="15"/>
              </w:rPr>
              <w:t>Drowsiness, thick </w:t>
            </w:r>
            <w:r>
              <w:rPr>
                <w:color w:val="231F20"/>
                <w:spacing w:val="-2"/>
                <w:sz w:val="15"/>
              </w:rPr>
              <w:t>bronchial</w:t>
            </w:r>
            <w:r>
              <w:rPr>
                <w:color w:val="231F20"/>
                <w:spacing w:val="-10"/>
                <w:sz w:val="15"/>
              </w:rPr>
              <w:t> </w:t>
            </w:r>
            <w:r>
              <w:rPr>
                <w:color w:val="231F20"/>
                <w:spacing w:val="-2"/>
                <w:sz w:val="15"/>
              </w:rPr>
              <w:t>secretions</w:t>
            </w:r>
          </w:p>
          <w:p>
            <w:pPr>
              <w:pStyle w:val="TableParagraph"/>
              <w:spacing w:before="161"/>
              <w:rPr>
                <w:i/>
                <w:sz w:val="15"/>
              </w:rPr>
            </w:pPr>
          </w:p>
          <w:p>
            <w:pPr>
              <w:pStyle w:val="TableParagraph"/>
              <w:spacing w:before="1"/>
              <w:ind w:left="179"/>
              <w:rPr>
                <w:sz w:val="15"/>
              </w:rPr>
            </w:pPr>
            <w:r>
              <w:rPr>
                <w:color w:val="231F20"/>
                <w:spacing w:val="-2"/>
                <w:sz w:val="15"/>
              </w:rPr>
              <w:t>Dizziness,</w:t>
            </w:r>
            <w:r>
              <w:rPr>
                <w:color w:val="231F20"/>
                <w:spacing w:val="1"/>
                <w:sz w:val="15"/>
              </w:rPr>
              <w:t> </w:t>
            </w:r>
            <w:r>
              <w:rPr>
                <w:color w:val="231F20"/>
                <w:spacing w:val="-2"/>
                <w:sz w:val="15"/>
              </w:rPr>
              <w:t>lethargy</w:t>
            </w:r>
          </w:p>
          <w:p>
            <w:pPr>
              <w:pStyle w:val="TableParagraph"/>
              <w:rPr>
                <w:i/>
                <w:sz w:val="15"/>
              </w:rPr>
            </w:pPr>
          </w:p>
          <w:p>
            <w:pPr>
              <w:pStyle w:val="TableParagraph"/>
              <w:spacing w:before="160"/>
              <w:rPr>
                <w:i/>
                <w:sz w:val="15"/>
              </w:rPr>
            </w:pPr>
          </w:p>
          <w:p>
            <w:pPr>
              <w:pStyle w:val="TableParagraph"/>
              <w:spacing w:line="230" w:lineRule="auto" w:before="1"/>
              <w:ind w:left="291" w:right="546" w:hanging="112"/>
              <w:rPr>
                <w:sz w:val="15"/>
              </w:rPr>
            </w:pPr>
            <w:r>
              <w:rPr>
                <w:color w:val="231F20"/>
                <w:sz w:val="15"/>
              </w:rPr>
              <w:t>No</w:t>
            </w:r>
            <w:r>
              <w:rPr>
                <w:color w:val="231F20"/>
                <w:spacing w:val="-12"/>
                <w:sz w:val="15"/>
              </w:rPr>
              <w:t> </w:t>
            </w:r>
            <w:r>
              <w:rPr>
                <w:color w:val="231F20"/>
                <w:sz w:val="15"/>
              </w:rPr>
              <w:t>adverse</w:t>
            </w:r>
            <w:r>
              <w:rPr>
                <w:color w:val="231F20"/>
                <w:spacing w:val="-11"/>
                <w:sz w:val="15"/>
              </w:rPr>
              <w:t> </w:t>
            </w:r>
            <w:r>
              <w:rPr>
                <w:color w:val="231F20"/>
                <w:sz w:val="15"/>
              </w:rPr>
              <w:t>effects </w:t>
            </w:r>
            <w:r>
              <w:rPr>
                <w:color w:val="231F20"/>
                <w:spacing w:val="-2"/>
                <w:sz w:val="15"/>
              </w:rPr>
              <w:t>reported</w:t>
            </w:r>
          </w:p>
          <w:p>
            <w:pPr>
              <w:pStyle w:val="TableParagraph"/>
              <w:spacing w:line="230" w:lineRule="auto" w:before="171"/>
              <w:ind w:left="291" w:right="310" w:hanging="112"/>
              <w:rPr>
                <w:sz w:val="15"/>
              </w:rPr>
            </w:pPr>
            <w:r>
              <w:rPr>
                <w:color w:val="231F20"/>
                <w:sz w:val="15"/>
              </w:rPr>
              <w:t>Bright yellow urine, </w:t>
            </w:r>
            <w:r>
              <w:rPr>
                <w:color w:val="231F20"/>
                <w:spacing w:val="-2"/>
                <w:sz w:val="15"/>
              </w:rPr>
              <w:t>polyuria</w:t>
            </w:r>
            <w:r>
              <w:rPr>
                <w:color w:val="231F20"/>
                <w:spacing w:val="-10"/>
                <w:sz w:val="15"/>
              </w:rPr>
              <w:t> </w:t>
            </w:r>
            <w:r>
              <w:rPr>
                <w:color w:val="231F20"/>
                <w:spacing w:val="-2"/>
                <w:sz w:val="15"/>
              </w:rPr>
              <w:t>and</w:t>
            </w:r>
            <w:r>
              <w:rPr>
                <w:color w:val="231F20"/>
                <w:spacing w:val="-9"/>
                <w:sz w:val="15"/>
              </w:rPr>
              <w:t> </w:t>
            </w:r>
            <w:r>
              <w:rPr>
                <w:color w:val="231F20"/>
                <w:spacing w:val="-2"/>
                <w:sz w:val="15"/>
              </w:rPr>
              <w:t>diarrhea</w:t>
            </w:r>
          </w:p>
          <w:p>
            <w:pPr>
              <w:pStyle w:val="TableParagraph"/>
              <w:spacing w:line="465" w:lineRule="auto"/>
              <w:ind w:left="179" w:right="310"/>
              <w:rPr>
                <w:sz w:val="15"/>
              </w:rPr>
            </w:pPr>
            <w:r>
              <w:rPr>
                <w:color w:val="231F20"/>
                <w:sz w:val="15"/>
              </w:rPr>
              <w:t>Diarrhea</w:t>
            </w:r>
            <w:r>
              <w:rPr>
                <w:color w:val="231F20"/>
                <w:spacing w:val="-12"/>
                <w:sz w:val="15"/>
              </w:rPr>
              <w:t> </w:t>
            </w:r>
            <w:r>
              <w:rPr>
                <w:color w:val="231F20"/>
                <w:sz w:val="15"/>
              </w:rPr>
              <w:t>or</w:t>
            </w:r>
            <w:r>
              <w:rPr>
                <w:color w:val="231F20"/>
                <w:spacing w:val="-11"/>
                <w:sz w:val="15"/>
              </w:rPr>
              <w:t> </w:t>
            </w:r>
            <w:r>
              <w:rPr>
                <w:color w:val="231F20"/>
                <w:sz w:val="15"/>
              </w:rPr>
              <w:t>soft</w:t>
            </w:r>
            <w:r>
              <w:rPr>
                <w:color w:val="231F20"/>
                <w:spacing w:val="-11"/>
                <w:sz w:val="15"/>
              </w:rPr>
              <w:t> </w:t>
            </w:r>
            <w:r>
              <w:rPr>
                <w:color w:val="231F20"/>
                <w:sz w:val="15"/>
              </w:rPr>
              <w:t>stool </w:t>
            </w:r>
            <w:r>
              <w:rPr>
                <w:color w:val="231F20"/>
                <w:spacing w:val="-2"/>
                <w:sz w:val="15"/>
              </w:rPr>
              <w:t>Burping</w:t>
            </w:r>
          </w:p>
          <w:p>
            <w:pPr>
              <w:pStyle w:val="TableParagraph"/>
              <w:spacing w:line="230" w:lineRule="auto" w:before="169"/>
              <w:ind w:left="291" w:right="85" w:hanging="112"/>
              <w:rPr>
                <w:sz w:val="15"/>
              </w:rPr>
            </w:pPr>
            <w:r>
              <w:rPr>
                <w:color w:val="231F20"/>
                <w:sz w:val="15"/>
              </w:rPr>
              <w:t>Ptosis, blurred vision, </w:t>
            </w:r>
            <w:r>
              <w:rPr>
                <w:color w:val="231F20"/>
                <w:spacing w:val="-2"/>
                <w:sz w:val="15"/>
              </w:rPr>
              <w:t>hematoma</w:t>
            </w:r>
            <w:r>
              <w:rPr>
                <w:color w:val="231F20"/>
                <w:spacing w:val="-10"/>
                <w:sz w:val="15"/>
              </w:rPr>
              <w:t> </w:t>
            </w:r>
            <w:r>
              <w:rPr>
                <w:color w:val="231F20"/>
                <w:spacing w:val="-2"/>
                <w:sz w:val="15"/>
              </w:rPr>
              <w:t>at</w:t>
            </w:r>
            <w:r>
              <w:rPr>
                <w:color w:val="231F20"/>
                <w:spacing w:val="-9"/>
                <w:sz w:val="15"/>
              </w:rPr>
              <w:t> </w:t>
            </w:r>
            <w:r>
              <w:rPr>
                <w:color w:val="231F20"/>
                <w:spacing w:val="-2"/>
                <w:sz w:val="15"/>
              </w:rPr>
              <w:t>injection </w:t>
            </w:r>
            <w:r>
              <w:rPr>
                <w:color w:val="231F20"/>
                <w:spacing w:val="-4"/>
                <w:sz w:val="15"/>
              </w:rPr>
              <w:t>site</w:t>
            </w:r>
          </w:p>
        </w:tc>
        <w:tc>
          <w:tcPr>
            <w:tcW w:w="2358" w:type="dxa"/>
            <w:shd w:val="clear" w:color="auto" w:fill="E8F5F1"/>
          </w:tcPr>
          <w:p>
            <w:pPr>
              <w:pStyle w:val="TableParagraph"/>
              <w:spacing w:line="230" w:lineRule="auto" w:before="170"/>
              <w:ind w:left="291" w:right="62" w:hanging="112"/>
              <w:rPr>
                <w:sz w:val="15"/>
              </w:rPr>
            </w:pPr>
            <w:r>
              <w:rPr>
                <w:color w:val="231F20"/>
                <w:sz w:val="15"/>
              </w:rPr>
              <w:t>Preferred in children who </w:t>
            </w:r>
            <w:r>
              <w:rPr>
                <w:color w:val="231F20"/>
                <w:spacing w:val="-2"/>
                <w:sz w:val="15"/>
              </w:rPr>
              <w:t>cannot</w:t>
            </w:r>
            <w:r>
              <w:rPr>
                <w:color w:val="231F20"/>
                <w:spacing w:val="-10"/>
                <w:sz w:val="15"/>
              </w:rPr>
              <w:t> </w:t>
            </w:r>
            <w:r>
              <w:rPr>
                <w:color w:val="231F20"/>
                <w:spacing w:val="-2"/>
                <w:sz w:val="15"/>
              </w:rPr>
              <w:t>swallow</w:t>
            </w:r>
            <w:r>
              <w:rPr>
                <w:color w:val="231F20"/>
                <w:spacing w:val="-9"/>
                <w:sz w:val="15"/>
              </w:rPr>
              <w:t> </w:t>
            </w:r>
            <w:r>
              <w:rPr>
                <w:color w:val="231F20"/>
                <w:spacing w:val="-2"/>
                <w:sz w:val="15"/>
              </w:rPr>
              <w:t>pills;</w:t>
            </w:r>
            <w:r>
              <w:rPr>
                <w:color w:val="231F20"/>
                <w:spacing w:val="-9"/>
                <w:sz w:val="15"/>
              </w:rPr>
              <w:t> </w:t>
            </w:r>
            <w:r>
              <w:rPr>
                <w:color w:val="231F20"/>
                <w:spacing w:val="-2"/>
                <w:sz w:val="15"/>
              </w:rPr>
              <w:t>not</w:t>
            </w:r>
            <w:r>
              <w:rPr>
                <w:color w:val="231F20"/>
                <w:spacing w:val="-10"/>
                <w:sz w:val="15"/>
              </w:rPr>
              <w:t> </w:t>
            </w:r>
            <w:r>
              <w:rPr>
                <w:color w:val="231F20"/>
                <w:spacing w:val="-2"/>
                <w:sz w:val="15"/>
              </w:rPr>
              <w:t>well </w:t>
            </w:r>
            <w:r>
              <w:rPr>
                <w:color w:val="231F20"/>
                <w:sz w:val="15"/>
              </w:rPr>
              <w:t>tolerated in adolescents</w:t>
            </w:r>
          </w:p>
        </w:tc>
      </w:tr>
      <w:tr>
        <w:trPr>
          <w:trHeight w:val="672" w:hRule="atLeast"/>
        </w:trPr>
        <w:tc>
          <w:tcPr>
            <w:tcW w:w="1711" w:type="dxa"/>
            <w:vMerge/>
            <w:tcBorders>
              <w:top w:val="nil"/>
              <w:bottom w:val="single" w:sz="4" w:space="0" w:color="FFFFFF"/>
            </w:tcBorders>
            <w:shd w:val="clear" w:color="auto" w:fill="E8F5F1"/>
          </w:tcPr>
          <w:p>
            <w:pPr>
              <w:rPr>
                <w:sz w:val="2"/>
                <w:szCs w:val="2"/>
              </w:rPr>
            </w:pPr>
          </w:p>
        </w:tc>
        <w:tc>
          <w:tcPr>
            <w:tcW w:w="1995" w:type="dxa"/>
            <w:vMerge/>
            <w:tcBorders>
              <w:top w:val="nil"/>
              <w:bottom w:val="single" w:sz="4" w:space="0" w:color="FFFFFF"/>
            </w:tcBorders>
            <w:shd w:val="clear" w:color="auto" w:fill="E8F5F1"/>
          </w:tcPr>
          <w:p>
            <w:pPr>
              <w:rPr>
                <w:sz w:val="2"/>
                <w:szCs w:val="2"/>
              </w:rPr>
            </w:pPr>
          </w:p>
        </w:tc>
        <w:tc>
          <w:tcPr>
            <w:tcW w:w="1610" w:type="dxa"/>
            <w:gridSpan w:val="2"/>
            <w:vMerge/>
            <w:tcBorders>
              <w:top w:val="nil"/>
              <w:bottom w:val="single" w:sz="4" w:space="0" w:color="FFFFFF"/>
            </w:tcBorders>
            <w:shd w:val="clear" w:color="auto" w:fill="E8F5F1"/>
          </w:tcPr>
          <w:p>
            <w:pPr>
              <w:rPr>
                <w:sz w:val="2"/>
                <w:szCs w:val="2"/>
              </w:rPr>
            </w:pPr>
          </w:p>
        </w:tc>
        <w:tc>
          <w:tcPr>
            <w:tcW w:w="2068" w:type="dxa"/>
            <w:vMerge/>
            <w:tcBorders>
              <w:top w:val="nil"/>
              <w:bottom w:val="single" w:sz="4" w:space="0" w:color="FFFFFF"/>
            </w:tcBorders>
            <w:shd w:val="clear" w:color="auto" w:fill="E8F5F1"/>
          </w:tcPr>
          <w:p>
            <w:pPr>
              <w:rPr>
                <w:sz w:val="2"/>
                <w:szCs w:val="2"/>
              </w:rPr>
            </w:pPr>
          </w:p>
        </w:tc>
        <w:tc>
          <w:tcPr>
            <w:tcW w:w="2358" w:type="dxa"/>
            <w:shd w:val="clear" w:color="auto" w:fill="E8F5F1"/>
          </w:tcPr>
          <w:p>
            <w:pPr>
              <w:pStyle w:val="TableParagraph"/>
              <w:spacing w:line="230" w:lineRule="auto" w:before="86"/>
              <w:ind w:left="291" w:right="62" w:hanging="112"/>
              <w:rPr>
                <w:sz w:val="15"/>
              </w:rPr>
            </w:pPr>
            <w:r>
              <w:rPr>
                <w:color w:val="231F20"/>
                <w:sz w:val="15"/>
              </w:rPr>
              <w:t>Begin</w:t>
            </w:r>
            <w:r>
              <w:rPr>
                <w:color w:val="231F20"/>
                <w:spacing w:val="-4"/>
                <w:sz w:val="15"/>
              </w:rPr>
              <w:t> </w:t>
            </w:r>
            <w:r>
              <w:rPr>
                <w:color w:val="231F20"/>
                <w:sz w:val="15"/>
              </w:rPr>
              <w:t>10</w:t>
            </w:r>
            <w:r>
              <w:rPr>
                <w:color w:val="231F20"/>
                <w:spacing w:val="-4"/>
                <w:sz w:val="15"/>
              </w:rPr>
              <w:t> </w:t>
            </w:r>
            <w:r>
              <w:rPr>
                <w:color w:val="231F20"/>
                <w:sz w:val="15"/>
              </w:rPr>
              <w:t>mg/24</w:t>
            </w:r>
            <w:r>
              <w:rPr>
                <w:color w:val="231F20"/>
                <w:spacing w:val="-4"/>
                <w:sz w:val="15"/>
              </w:rPr>
              <w:t> </w:t>
            </w:r>
            <w:r>
              <w:rPr>
                <w:color w:val="231F20"/>
                <w:sz w:val="15"/>
              </w:rPr>
              <w:t>hr</w:t>
            </w:r>
            <w:r>
              <w:rPr>
                <w:color w:val="231F20"/>
                <w:spacing w:val="-4"/>
                <w:sz w:val="15"/>
              </w:rPr>
              <w:t> </w:t>
            </w:r>
            <w:r>
              <w:rPr>
                <w:rFonts w:ascii="Cambria" w:hAnsi="Cambria"/>
                <w:color w:val="231F20"/>
                <w:sz w:val="15"/>
              </w:rPr>
              <w:t>↑</w:t>
            </w:r>
            <w:r>
              <w:rPr>
                <w:rFonts w:ascii="Cambria" w:hAnsi="Cambria"/>
                <w:color w:val="231F20"/>
                <w:spacing w:val="8"/>
                <w:sz w:val="15"/>
              </w:rPr>
              <w:t> </w:t>
            </w:r>
            <w:r>
              <w:rPr>
                <w:color w:val="231F20"/>
                <w:sz w:val="15"/>
              </w:rPr>
              <w:t>10</w:t>
            </w:r>
            <w:r>
              <w:rPr>
                <w:color w:val="231F20"/>
                <w:spacing w:val="-4"/>
                <w:sz w:val="15"/>
              </w:rPr>
              <w:t> </w:t>
            </w:r>
            <w:r>
              <w:rPr>
                <w:color w:val="231F20"/>
                <w:sz w:val="15"/>
              </w:rPr>
              <w:t>mg/wk (contraindicated in asthma and depression)</w:t>
            </w:r>
          </w:p>
        </w:tc>
      </w:tr>
      <w:tr>
        <w:trPr>
          <w:trHeight w:val="1170" w:hRule="atLeast"/>
        </w:trPr>
        <w:tc>
          <w:tcPr>
            <w:tcW w:w="1711" w:type="dxa"/>
            <w:vMerge/>
            <w:tcBorders>
              <w:top w:val="nil"/>
              <w:bottom w:val="single" w:sz="4" w:space="0" w:color="FFFFFF"/>
            </w:tcBorders>
            <w:shd w:val="clear" w:color="auto" w:fill="E8F5F1"/>
          </w:tcPr>
          <w:p>
            <w:pPr>
              <w:rPr>
                <w:sz w:val="2"/>
                <w:szCs w:val="2"/>
              </w:rPr>
            </w:pPr>
          </w:p>
        </w:tc>
        <w:tc>
          <w:tcPr>
            <w:tcW w:w="1995" w:type="dxa"/>
            <w:vMerge/>
            <w:tcBorders>
              <w:top w:val="nil"/>
              <w:bottom w:val="single" w:sz="4" w:space="0" w:color="FFFFFF"/>
            </w:tcBorders>
            <w:shd w:val="clear" w:color="auto" w:fill="E8F5F1"/>
          </w:tcPr>
          <w:p>
            <w:pPr>
              <w:rPr>
                <w:sz w:val="2"/>
                <w:szCs w:val="2"/>
              </w:rPr>
            </w:pPr>
          </w:p>
        </w:tc>
        <w:tc>
          <w:tcPr>
            <w:tcW w:w="1610" w:type="dxa"/>
            <w:gridSpan w:val="2"/>
            <w:vMerge/>
            <w:tcBorders>
              <w:top w:val="nil"/>
              <w:bottom w:val="single" w:sz="4" w:space="0" w:color="FFFFFF"/>
            </w:tcBorders>
            <w:shd w:val="clear" w:color="auto" w:fill="E8F5F1"/>
          </w:tcPr>
          <w:p>
            <w:pPr>
              <w:rPr>
                <w:sz w:val="2"/>
                <w:szCs w:val="2"/>
              </w:rPr>
            </w:pPr>
          </w:p>
        </w:tc>
        <w:tc>
          <w:tcPr>
            <w:tcW w:w="2068" w:type="dxa"/>
            <w:vMerge/>
            <w:tcBorders>
              <w:top w:val="nil"/>
              <w:bottom w:val="single" w:sz="4" w:space="0" w:color="FFFFFF"/>
            </w:tcBorders>
            <w:shd w:val="clear" w:color="auto" w:fill="E8F5F1"/>
          </w:tcPr>
          <w:p>
            <w:pPr>
              <w:rPr>
                <w:sz w:val="2"/>
                <w:szCs w:val="2"/>
              </w:rPr>
            </w:pPr>
          </w:p>
        </w:tc>
        <w:tc>
          <w:tcPr>
            <w:tcW w:w="2358" w:type="dxa"/>
            <w:shd w:val="clear" w:color="auto" w:fill="E8F5F1"/>
          </w:tcPr>
          <w:p>
            <w:pPr>
              <w:pStyle w:val="TableParagraph"/>
              <w:spacing w:line="230" w:lineRule="auto" w:before="81"/>
              <w:ind w:left="291" w:hanging="112"/>
              <w:rPr>
                <w:sz w:val="15"/>
              </w:rPr>
            </w:pPr>
            <w:r>
              <w:rPr>
                <w:color w:val="231F20"/>
                <w:sz w:val="15"/>
              </w:rPr>
              <w:t>Fat soluble; ensure brand contains small amount of vitamin</w:t>
            </w:r>
            <w:r>
              <w:rPr>
                <w:color w:val="231F20"/>
                <w:spacing w:val="-11"/>
                <w:sz w:val="15"/>
              </w:rPr>
              <w:t> </w:t>
            </w:r>
            <w:r>
              <w:rPr>
                <w:color w:val="231F20"/>
                <w:sz w:val="15"/>
              </w:rPr>
              <w:t>E</w:t>
            </w:r>
            <w:r>
              <w:rPr>
                <w:color w:val="231F20"/>
                <w:spacing w:val="-11"/>
                <w:sz w:val="15"/>
              </w:rPr>
              <w:t> </w:t>
            </w:r>
            <w:r>
              <w:rPr>
                <w:color w:val="231F20"/>
                <w:sz w:val="15"/>
              </w:rPr>
              <w:t>to</w:t>
            </w:r>
            <w:r>
              <w:rPr>
                <w:color w:val="231F20"/>
                <w:spacing w:val="-11"/>
                <w:sz w:val="15"/>
              </w:rPr>
              <w:t> </w:t>
            </w:r>
            <w:r>
              <w:rPr>
                <w:color w:val="231F20"/>
                <w:sz w:val="15"/>
              </w:rPr>
              <w:t>help</w:t>
            </w:r>
            <w:r>
              <w:rPr>
                <w:color w:val="231F20"/>
                <w:spacing w:val="-11"/>
                <w:sz w:val="15"/>
              </w:rPr>
              <w:t> </w:t>
            </w:r>
            <w:r>
              <w:rPr>
                <w:color w:val="231F20"/>
                <w:sz w:val="15"/>
              </w:rPr>
              <w:t>absorption</w:t>
            </w:r>
          </w:p>
        </w:tc>
      </w:tr>
      <w:tr>
        <w:trPr>
          <w:trHeight w:val="1294" w:hRule="atLeast"/>
        </w:trPr>
        <w:tc>
          <w:tcPr>
            <w:tcW w:w="1711" w:type="dxa"/>
            <w:vMerge/>
            <w:tcBorders>
              <w:top w:val="nil"/>
              <w:bottom w:val="single" w:sz="4" w:space="0" w:color="FFFFFF"/>
            </w:tcBorders>
            <w:shd w:val="clear" w:color="auto" w:fill="E8F5F1"/>
          </w:tcPr>
          <w:p>
            <w:pPr>
              <w:rPr>
                <w:sz w:val="2"/>
                <w:szCs w:val="2"/>
              </w:rPr>
            </w:pPr>
          </w:p>
        </w:tc>
        <w:tc>
          <w:tcPr>
            <w:tcW w:w="1995" w:type="dxa"/>
            <w:vMerge/>
            <w:tcBorders>
              <w:top w:val="nil"/>
              <w:bottom w:val="single" w:sz="4" w:space="0" w:color="FFFFFF"/>
            </w:tcBorders>
            <w:shd w:val="clear" w:color="auto" w:fill="E8F5F1"/>
          </w:tcPr>
          <w:p>
            <w:pPr>
              <w:rPr>
                <w:sz w:val="2"/>
                <w:szCs w:val="2"/>
              </w:rPr>
            </w:pPr>
          </w:p>
        </w:tc>
        <w:tc>
          <w:tcPr>
            <w:tcW w:w="1610" w:type="dxa"/>
            <w:gridSpan w:val="2"/>
            <w:vMerge/>
            <w:tcBorders>
              <w:top w:val="nil"/>
              <w:bottom w:val="single" w:sz="4" w:space="0" w:color="FFFFFF"/>
            </w:tcBorders>
            <w:shd w:val="clear" w:color="auto" w:fill="E8F5F1"/>
          </w:tcPr>
          <w:p>
            <w:pPr>
              <w:rPr>
                <w:sz w:val="2"/>
                <w:szCs w:val="2"/>
              </w:rPr>
            </w:pPr>
          </w:p>
        </w:tc>
        <w:tc>
          <w:tcPr>
            <w:tcW w:w="2068" w:type="dxa"/>
            <w:vMerge/>
            <w:tcBorders>
              <w:top w:val="nil"/>
              <w:bottom w:val="single" w:sz="4" w:space="0" w:color="FFFFFF"/>
            </w:tcBorders>
            <w:shd w:val="clear" w:color="auto" w:fill="E8F5F1"/>
          </w:tcPr>
          <w:p>
            <w:pPr>
              <w:rPr>
                <w:sz w:val="2"/>
                <w:szCs w:val="2"/>
              </w:rPr>
            </w:pPr>
          </w:p>
        </w:tc>
        <w:tc>
          <w:tcPr>
            <w:tcW w:w="2358" w:type="dxa"/>
            <w:tcBorders>
              <w:bottom w:val="single" w:sz="4" w:space="0" w:color="FFFFFF"/>
            </w:tcBorders>
            <w:shd w:val="clear" w:color="auto" w:fill="E8F5F1"/>
          </w:tcPr>
          <w:p>
            <w:pPr>
              <w:pStyle w:val="TableParagraph"/>
              <w:rPr>
                <w:i/>
                <w:sz w:val="15"/>
              </w:rPr>
            </w:pPr>
          </w:p>
          <w:p>
            <w:pPr>
              <w:pStyle w:val="TableParagraph"/>
              <w:rPr>
                <w:i/>
                <w:sz w:val="15"/>
              </w:rPr>
            </w:pPr>
          </w:p>
          <w:p>
            <w:pPr>
              <w:pStyle w:val="TableParagraph"/>
              <w:spacing w:before="58"/>
              <w:rPr>
                <w:i/>
                <w:sz w:val="15"/>
              </w:rPr>
            </w:pPr>
          </w:p>
          <w:p>
            <w:pPr>
              <w:pStyle w:val="TableParagraph"/>
              <w:ind w:left="179"/>
              <w:rPr>
                <w:sz w:val="15"/>
              </w:rPr>
            </w:pPr>
            <w:r>
              <w:rPr>
                <w:color w:val="231F20"/>
                <w:sz w:val="15"/>
              </w:rPr>
              <w:t>Used</w:t>
            </w:r>
            <w:r>
              <w:rPr>
                <w:color w:val="231F20"/>
                <w:spacing w:val="-3"/>
                <w:sz w:val="15"/>
              </w:rPr>
              <w:t> </w:t>
            </w:r>
            <w:r>
              <w:rPr>
                <w:color w:val="231F20"/>
                <w:sz w:val="15"/>
              </w:rPr>
              <w:t>off</w:t>
            </w:r>
            <w:r>
              <w:rPr>
                <w:color w:val="231F20"/>
                <w:spacing w:val="-3"/>
                <w:sz w:val="15"/>
              </w:rPr>
              <w:t> </w:t>
            </w:r>
            <w:r>
              <w:rPr>
                <w:color w:val="231F20"/>
                <w:sz w:val="15"/>
              </w:rPr>
              <w:t>label</w:t>
            </w:r>
            <w:r>
              <w:rPr>
                <w:color w:val="231F20"/>
                <w:spacing w:val="-3"/>
                <w:sz w:val="15"/>
              </w:rPr>
              <w:t> </w:t>
            </w:r>
            <w:r>
              <w:rPr>
                <w:color w:val="231F20"/>
                <w:sz w:val="15"/>
              </w:rPr>
              <w:t>in</w:t>
            </w:r>
            <w:r>
              <w:rPr>
                <w:color w:val="231F20"/>
                <w:spacing w:val="-3"/>
                <w:sz w:val="15"/>
              </w:rPr>
              <w:t> </w:t>
            </w:r>
            <w:r>
              <w:rPr>
                <w:color w:val="231F20"/>
                <w:spacing w:val="-2"/>
                <w:sz w:val="15"/>
              </w:rPr>
              <w:t>children</w:t>
            </w:r>
          </w:p>
        </w:tc>
      </w:tr>
      <w:tr>
        <w:trPr>
          <w:trHeight w:val="3280" w:hRule="atLeast"/>
        </w:trPr>
        <w:tc>
          <w:tcPr>
            <w:tcW w:w="1711" w:type="dxa"/>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SEVERE</w:t>
            </w:r>
            <w:r>
              <w:rPr>
                <w:color w:val="231F20"/>
                <w:spacing w:val="-1"/>
                <w:w w:val="110"/>
                <w:sz w:val="15"/>
              </w:rPr>
              <w:t> </w:t>
            </w:r>
            <w:r>
              <w:rPr>
                <w:color w:val="231F20"/>
                <w:spacing w:val="-2"/>
                <w:w w:val="110"/>
                <w:sz w:val="15"/>
              </w:rPr>
              <w:t>INTRACTABLE</w:t>
            </w:r>
          </w:p>
          <w:p>
            <w:pPr>
              <w:pStyle w:val="TableParagraph"/>
              <w:spacing w:line="172" w:lineRule="exact"/>
              <w:ind w:left="74"/>
              <w:rPr>
                <w:sz w:val="15"/>
              </w:rPr>
            </w:pPr>
            <w:r>
              <w:rPr>
                <w:color w:val="231F20"/>
                <w:spacing w:val="-2"/>
                <w:sz w:val="15"/>
              </w:rPr>
              <w:t>Prochlorperazine</w:t>
            </w:r>
          </w:p>
          <w:p>
            <w:pPr>
              <w:pStyle w:val="TableParagraph"/>
              <w:rPr>
                <w:i/>
                <w:sz w:val="15"/>
              </w:rPr>
            </w:pPr>
          </w:p>
          <w:p>
            <w:pPr>
              <w:pStyle w:val="TableParagraph"/>
              <w:spacing w:before="150"/>
              <w:rPr>
                <w:i/>
                <w:sz w:val="15"/>
              </w:rPr>
            </w:pPr>
          </w:p>
          <w:p>
            <w:pPr>
              <w:pStyle w:val="TableParagraph"/>
              <w:spacing w:before="1"/>
              <w:ind w:left="74"/>
              <w:rPr>
                <w:sz w:val="15"/>
              </w:rPr>
            </w:pPr>
            <w:r>
              <w:rPr>
                <w:color w:val="231F20"/>
                <w:spacing w:val="-2"/>
                <w:sz w:val="15"/>
              </w:rPr>
              <w:t>Metoclopramide</w:t>
            </w:r>
          </w:p>
          <w:p>
            <w:pPr>
              <w:pStyle w:val="TableParagraph"/>
              <w:spacing w:before="156"/>
              <w:rPr>
                <w:i/>
                <w:sz w:val="15"/>
              </w:rPr>
            </w:pPr>
          </w:p>
          <w:p>
            <w:pPr>
              <w:pStyle w:val="TableParagraph"/>
              <w:spacing w:before="1"/>
              <w:ind w:left="74"/>
              <w:rPr>
                <w:sz w:val="15"/>
              </w:rPr>
            </w:pPr>
            <w:r>
              <w:rPr>
                <w:color w:val="231F20"/>
                <w:spacing w:val="-2"/>
                <w:sz w:val="15"/>
              </w:rPr>
              <w:t>Ketorolac</w:t>
            </w:r>
          </w:p>
          <w:p>
            <w:pPr>
              <w:pStyle w:val="TableParagraph"/>
              <w:spacing w:line="230" w:lineRule="auto" w:before="168"/>
              <w:ind w:left="186" w:hanging="112"/>
              <w:rPr>
                <w:sz w:val="15"/>
              </w:rPr>
            </w:pPr>
            <w:r>
              <w:rPr>
                <w:color w:val="231F20"/>
                <w:sz w:val="15"/>
              </w:rPr>
              <w:t>Valproate</w:t>
            </w:r>
            <w:r>
              <w:rPr>
                <w:color w:val="231F20"/>
                <w:spacing w:val="-12"/>
                <w:sz w:val="15"/>
              </w:rPr>
              <w:t> </w:t>
            </w:r>
            <w:r>
              <w:rPr>
                <w:color w:val="231F20"/>
                <w:sz w:val="15"/>
              </w:rPr>
              <w:t>sodium </w:t>
            </w:r>
            <w:r>
              <w:rPr>
                <w:color w:val="231F20"/>
                <w:spacing w:val="-2"/>
                <w:sz w:val="15"/>
              </w:rPr>
              <w:t>injection</w:t>
            </w:r>
          </w:p>
          <w:p>
            <w:pPr>
              <w:pStyle w:val="TableParagraph"/>
              <w:spacing w:line="230" w:lineRule="auto" w:before="171"/>
              <w:ind w:left="186" w:right="337" w:hanging="112"/>
              <w:rPr>
                <w:sz w:val="15"/>
              </w:rPr>
            </w:pPr>
            <w:r>
              <w:rPr>
                <w:color w:val="231F20"/>
                <w:spacing w:val="-2"/>
                <w:sz w:val="15"/>
              </w:rPr>
              <w:t>Dihydroergotamine </w:t>
            </w:r>
            <w:r>
              <w:rPr>
                <w:color w:val="231F20"/>
                <w:spacing w:val="-6"/>
                <w:sz w:val="15"/>
              </w:rPr>
              <w:t>IV</w:t>
            </w:r>
          </w:p>
          <w:p>
            <w:pPr>
              <w:pStyle w:val="TableParagraph"/>
              <w:spacing w:before="159"/>
              <w:rPr>
                <w:i/>
                <w:sz w:val="15"/>
              </w:rPr>
            </w:pPr>
          </w:p>
          <w:p>
            <w:pPr>
              <w:pStyle w:val="TableParagraph"/>
              <w:ind w:left="74"/>
              <w:rPr>
                <w:sz w:val="15"/>
              </w:rPr>
            </w:pPr>
            <w:r>
              <w:rPr>
                <w:color w:val="231F20"/>
                <w:sz w:val="15"/>
              </w:rPr>
              <w:t>Nasal</w:t>
            </w:r>
            <w:r>
              <w:rPr>
                <w:color w:val="231F20"/>
                <w:spacing w:val="11"/>
                <w:sz w:val="15"/>
              </w:rPr>
              <w:t> </w:t>
            </w:r>
            <w:r>
              <w:rPr>
                <w:color w:val="231F20"/>
                <w:spacing w:val="-2"/>
                <w:sz w:val="15"/>
              </w:rPr>
              <w:t>spray</w:t>
            </w:r>
          </w:p>
        </w:tc>
        <w:tc>
          <w:tcPr>
            <w:tcW w:w="1995"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30" w:right="197" w:hanging="112"/>
              <w:rPr>
                <w:sz w:val="15"/>
              </w:rPr>
            </w:pPr>
            <w:r>
              <w:rPr>
                <w:color w:val="231F20"/>
                <w:spacing w:val="-2"/>
                <w:sz w:val="15"/>
              </w:rPr>
              <w:t>0.15</w:t>
            </w:r>
            <w:r>
              <w:rPr>
                <w:color w:val="231F20"/>
                <w:spacing w:val="-10"/>
                <w:sz w:val="15"/>
              </w:rPr>
              <w:t> </w:t>
            </w:r>
            <w:r>
              <w:rPr>
                <w:color w:val="231F20"/>
                <w:spacing w:val="-2"/>
                <w:sz w:val="15"/>
              </w:rPr>
              <w:t>mg/kg/IV;</w:t>
            </w:r>
            <w:r>
              <w:rPr>
                <w:color w:val="231F20"/>
                <w:spacing w:val="-9"/>
                <w:sz w:val="15"/>
              </w:rPr>
              <w:t> </w:t>
            </w:r>
            <w:r>
              <w:rPr>
                <w:color w:val="231F20"/>
                <w:spacing w:val="-2"/>
                <w:sz w:val="15"/>
              </w:rPr>
              <w:t>max</w:t>
            </w:r>
            <w:r>
              <w:rPr>
                <w:color w:val="231F20"/>
                <w:spacing w:val="-9"/>
                <w:sz w:val="15"/>
              </w:rPr>
              <w:t> </w:t>
            </w:r>
            <w:r>
              <w:rPr>
                <w:color w:val="231F20"/>
                <w:spacing w:val="-2"/>
                <w:sz w:val="15"/>
              </w:rPr>
              <w:t>dos</w:t>
            </w:r>
            <w:r>
              <w:rPr>
                <w:color w:val="231F20"/>
                <w:spacing w:val="-2"/>
                <w:sz w:val="15"/>
              </w:rPr>
              <w:t>e</w:t>
            </w:r>
            <w:r>
              <w:rPr>
                <w:color w:val="231F20"/>
                <w:spacing w:val="-2"/>
                <w:sz w:val="15"/>
              </w:rPr>
              <w:t> </w:t>
            </w:r>
            <w:r>
              <w:rPr>
                <w:color w:val="231F20"/>
                <w:sz w:val="15"/>
              </w:rPr>
              <w:t>10 mg</w:t>
            </w:r>
          </w:p>
          <w:p>
            <w:pPr>
              <w:pStyle w:val="TableParagraph"/>
              <w:spacing w:before="164"/>
              <w:rPr>
                <w:i/>
                <w:sz w:val="15"/>
              </w:rPr>
            </w:pPr>
          </w:p>
          <w:p>
            <w:pPr>
              <w:pStyle w:val="TableParagraph"/>
              <w:spacing w:line="230" w:lineRule="auto"/>
              <w:ind w:left="230" w:hanging="112"/>
              <w:rPr>
                <w:sz w:val="15"/>
              </w:rPr>
            </w:pPr>
            <w:r>
              <w:rPr>
                <w:color w:val="231F20"/>
                <w:sz w:val="15"/>
              </w:rPr>
              <w:t>0.2</w:t>
            </w:r>
            <w:r>
              <w:rPr>
                <w:color w:val="231F20"/>
                <w:spacing w:val="-10"/>
                <w:sz w:val="15"/>
              </w:rPr>
              <w:t> </w:t>
            </w:r>
            <w:r>
              <w:rPr>
                <w:color w:val="231F20"/>
                <w:sz w:val="15"/>
              </w:rPr>
              <w:t>mg/kg</w:t>
            </w:r>
            <w:r>
              <w:rPr>
                <w:color w:val="231F20"/>
                <w:spacing w:val="-10"/>
                <w:sz w:val="15"/>
              </w:rPr>
              <w:t> </w:t>
            </w:r>
            <w:r>
              <w:rPr>
                <w:color w:val="231F20"/>
                <w:sz w:val="15"/>
              </w:rPr>
              <w:t>IV;</w:t>
            </w:r>
            <w:r>
              <w:rPr>
                <w:color w:val="231F20"/>
                <w:spacing w:val="-10"/>
                <w:sz w:val="15"/>
              </w:rPr>
              <w:t> </w:t>
            </w:r>
            <w:r>
              <w:rPr>
                <w:color w:val="231F20"/>
                <w:sz w:val="15"/>
              </w:rPr>
              <w:t>10</w:t>
            </w:r>
            <w:r>
              <w:rPr>
                <w:color w:val="231F20"/>
                <w:spacing w:val="-10"/>
                <w:sz w:val="15"/>
              </w:rPr>
              <w:t> </w:t>
            </w:r>
            <w:r>
              <w:rPr>
                <w:color w:val="231F20"/>
                <w:sz w:val="15"/>
              </w:rPr>
              <w:t>mg</w:t>
            </w:r>
            <w:r>
              <w:rPr>
                <w:color w:val="231F20"/>
                <w:spacing w:val="-10"/>
                <w:sz w:val="15"/>
              </w:rPr>
              <w:t> </w:t>
            </w:r>
            <w:r>
              <w:rPr>
                <w:color w:val="231F20"/>
                <w:sz w:val="15"/>
              </w:rPr>
              <w:t>max</w:t>
            </w:r>
            <w:r>
              <w:rPr>
                <w:color w:val="231F20"/>
                <w:sz w:val="15"/>
              </w:rPr>
              <w:t> </w:t>
            </w:r>
            <w:r>
              <w:rPr>
                <w:color w:val="231F20"/>
                <w:spacing w:val="-4"/>
                <w:sz w:val="15"/>
              </w:rPr>
              <w:t>dose</w:t>
            </w:r>
          </w:p>
          <w:p>
            <w:pPr>
              <w:pStyle w:val="TableParagraph"/>
              <w:spacing w:line="230" w:lineRule="auto" w:before="171"/>
              <w:ind w:left="230" w:hanging="112"/>
              <w:rPr>
                <w:sz w:val="15"/>
              </w:rPr>
            </w:pPr>
            <w:r>
              <w:rPr>
                <w:color w:val="231F20"/>
                <w:sz w:val="15"/>
              </w:rPr>
              <w:t>0.5</w:t>
            </w:r>
            <w:r>
              <w:rPr>
                <w:color w:val="231F20"/>
                <w:spacing w:val="-10"/>
                <w:sz w:val="15"/>
              </w:rPr>
              <w:t> </w:t>
            </w:r>
            <w:r>
              <w:rPr>
                <w:color w:val="231F20"/>
                <w:sz w:val="15"/>
              </w:rPr>
              <w:t>mg/kg</w:t>
            </w:r>
            <w:r>
              <w:rPr>
                <w:color w:val="231F20"/>
                <w:spacing w:val="-10"/>
                <w:sz w:val="15"/>
              </w:rPr>
              <w:t> </w:t>
            </w:r>
            <w:r>
              <w:rPr>
                <w:color w:val="231F20"/>
                <w:sz w:val="15"/>
              </w:rPr>
              <w:t>IV;</w:t>
            </w:r>
            <w:r>
              <w:rPr>
                <w:color w:val="231F20"/>
                <w:spacing w:val="-10"/>
                <w:sz w:val="15"/>
              </w:rPr>
              <w:t> </w:t>
            </w:r>
            <w:r>
              <w:rPr>
                <w:color w:val="231F20"/>
                <w:sz w:val="15"/>
              </w:rPr>
              <w:t>15</w:t>
            </w:r>
            <w:r>
              <w:rPr>
                <w:color w:val="231F20"/>
                <w:spacing w:val="-10"/>
                <w:sz w:val="15"/>
              </w:rPr>
              <w:t> </w:t>
            </w:r>
            <w:r>
              <w:rPr>
                <w:color w:val="231F20"/>
                <w:sz w:val="15"/>
              </w:rPr>
              <w:t>mg</w:t>
            </w:r>
            <w:r>
              <w:rPr>
                <w:color w:val="231F20"/>
                <w:spacing w:val="-10"/>
                <w:sz w:val="15"/>
              </w:rPr>
              <w:t> </w:t>
            </w:r>
            <w:r>
              <w:rPr>
                <w:color w:val="231F20"/>
                <w:sz w:val="15"/>
              </w:rPr>
              <w:t>max</w:t>
            </w:r>
            <w:r>
              <w:rPr>
                <w:color w:val="231F20"/>
                <w:sz w:val="15"/>
              </w:rPr>
              <w:t> </w:t>
            </w:r>
            <w:r>
              <w:rPr>
                <w:color w:val="231F20"/>
                <w:spacing w:val="-4"/>
                <w:sz w:val="15"/>
              </w:rPr>
              <w:t>dose</w:t>
            </w:r>
          </w:p>
          <w:p>
            <w:pPr>
              <w:pStyle w:val="TableParagraph"/>
              <w:spacing w:line="230" w:lineRule="auto" w:before="3"/>
              <w:ind w:left="230" w:right="197" w:hanging="112"/>
              <w:rPr>
                <w:sz w:val="15"/>
              </w:rPr>
            </w:pPr>
            <w:r>
              <w:rPr>
                <w:color w:val="231F20"/>
                <w:sz w:val="15"/>
              </w:rPr>
              <w:t>15</w:t>
            </w:r>
            <w:r>
              <w:rPr>
                <w:color w:val="231F20"/>
                <w:spacing w:val="-12"/>
                <w:sz w:val="15"/>
              </w:rPr>
              <w:t> </w:t>
            </w:r>
            <w:r>
              <w:rPr>
                <w:color w:val="231F20"/>
                <w:sz w:val="15"/>
              </w:rPr>
              <w:t>mg/kg</w:t>
            </w:r>
            <w:r>
              <w:rPr>
                <w:color w:val="231F20"/>
                <w:spacing w:val="-11"/>
                <w:sz w:val="15"/>
              </w:rPr>
              <w:t> </w:t>
            </w:r>
            <w:r>
              <w:rPr>
                <w:color w:val="231F20"/>
                <w:sz w:val="15"/>
              </w:rPr>
              <w:t>IV:</w:t>
            </w:r>
            <w:r>
              <w:rPr>
                <w:color w:val="231F20"/>
                <w:spacing w:val="-11"/>
                <w:sz w:val="15"/>
              </w:rPr>
              <w:t> </w:t>
            </w:r>
            <w:r>
              <w:rPr>
                <w:color w:val="231F20"/>
                <w:sz w:val="15"/>
              </w:rPr>
              <w:t>1,000</w:t>
            </w:r>
            <w:r>
              <w:rPr>
                <w:color w:val="231F20"/>
                <w:spacing w:val="-12"/>
                <w:sz w:val="15"/>
              </w:rPr>
              <w:t> </w:t>
            </w:r>
            <w:r>
              <w:rPr>
                <w:color w:val="231F20"/>
                <w:sz w:val="15"/>
              </w:rPr>
              <w:t>mg</w:t>
            </w:r>
            <w:r>
              <w:rPr>
                <w:color w:val="231F20"/>
                <w:sz w:val="15"/>
              </w:rPr>
              <w:t> max dose</w:t>
            </w:r>
          </w:p>
          <w:p>
            <w:pPr>
              <w:pStyle w:val="TableParagraph"/>
              <w:spacing w:line="170" w:lineRule="exact" w:before="166"/>
              <w:ind w:left="118"/>
              <w:rPr>
                <w:sz w:val="15"/>
              </w:rPr>
            </w:pPr>
            <w:r>
              <w:rPr>
                <w:color w:val="231F20"/>
                <w:sz w:val="15"/>
              </w:rPr>
              <w:t>0.5</w:t>
            </w:r>
            <w:r>
              <w:rPr>
                <w:color w:val="231F20"/>
                <w:spacing w:val="-6"/>
                <w:sz w:val="15"/>
              </w:rPr>
              <w:t> </w:t>
            </w:r>
            <w:r>
              <w:rPr>
                <w:color w:val="231F20"/>
                <w:sz w:val="15"/>
              </w:rPr>
              <w:t>mg/dose</w:t>
            </w:r>
            <w:r>
              <w:rPr>
                <w:color w:val="231F20"/>
                <w:spacing w:val="-6"/>
                <w:sz w:val="15"/>
              </w:rPr>
              <w:t> </w:t>
            </w:r>
            <w:r>
              <w:rPr>
                <w:color w:val="231F20"/>
                <w:sz w:val="15"/>
              </w:rPr>
              <w:t>every</w:t>
            </w:r>
            <w:r>
              <w:rPr>
                <w:color w:val="231F20"/>
                <w:spacing w:val="-6"/>
                <w:sz w:val="15"/>
              </w:rPr>
              <w:t> </w:t>
            </w:r>
            <w:r>
              <w:rPr>
                <w:color w:val="231F20"/>
                <w:sz w:val="15"/>
              </w:rPr>
              <w:t>8</w:t>
            </w:r>
            <w:r>
              <w:rPr>
                <w:color w:val="231F20"/>
                <w:spacing w:val="-6"/>
                <w:sz w:val="15"/>
              </w:rPr>
              <w:t> </w:t>
            </w:r>
            <w:r>
              <w:rPr>
                <w:color w:val="231F20"/>
                <w:spacing w:val="-5"/>
                <w:sz w:val="15"/>
              </w:rPr>
              <w:t>hr</w:t>
            </w:r>
          </w:p>
          <w:p>
            <w:pPr>
              <w:pStyle w:val="TableParagraph"/>
              <w:spacing w:line="169" w:lineRule="exact"/>
              <w:ind w:left="230"/>
              <w:rPr>
                <w:sz w:val="15"/>
              </w:rPr>
            </w:pPr>
            <w:r>
              <w:rPr>
                <w:color w:val="231F20"/>
                <w:spacing w:val="-4"/>
                <w:sz w:val="15"/>
              </w:rPr>
              <w:t>(</w:t>
            </w:r>
            <w:r>
              <w:rPr>
                <w:rFonts w:ascii="Cambria"/>
                <w:color w:val="231F20"/>
                <w:spacing w:val="-4"/>
                <w:sz w:val="15"/>
              </w:rPr>
              <w:t>&lt;</w:t>
            </w:r>
            <w:r>
              <w:rPr>
                <w:color w:val="231F20"/>
                <w:spacing w:val="-4"/>
                <w:sz w:val="15"/>
              </w:rPr>
              <w:t>40</w:t>
            </w:r>
            <w:r>
              <w:rPr>
                <w:color w:val="231F20"/>
                <w:spacing w:val="-5"/>
                <w:sz w:val="15"/>
              </w:rPr>
              <w:t> kg)</w:t>
            </w:r>
          </w:p>
          <w:p>
            <w:pPr>
              <w:pStyle w:val="TableParagraph"/>
              <w:spacing w:line="167" w:lineRule="exact"/>
              <w:ind w:left="118"/>
              <w:rPr>
                <w:sz w:val="15"/>
              </w:rPr>
            </w:pPr>
            <w:r>
              <w:rPr>
                <w:color w:val="231F20"/>
                <w:sz w:val="15"/>
              </w:rPr>
              <w:t>1.0</w:t>
            </w:r>
            <w:r>
              <w:rPr>
                <w:color w:val="231F20"/>
                <w:spacing w:val="-6"/>
                <w:sz w:val="15"/>
              </w:rPr>
              <w:t> </w:t>
            </w:r>
            <w:r>
              <w:rPr>
                <w:color w:val="231F20"/>
                <w:sz w:val="15"/>
              </w:rPr>
              <w:t>mg/dose</w:t>
            </w:r>
            <w:r>
              <w:rPr>
                <w:color w:val="231F20"/>
                <w:spacing w:val="-6"/>
                <w:sz w:val="15"/>
              </w:rPr>
              <w:t> </w:t>
            </w:r>
            <w:r>
              <w:rPr>
                <w:color w:val="231F20"/>
                <w:sz w:val="15"/>
              </w:rPr>
              <w:t>every</w:t>
            </w:r>
            <w:r>
              <w:rPr>
                <w:color w:val="231F20"/>
                <w:spacing w:val="-6"/>
                <w:sz w:val="15"/>
              </w:rPr>
              <w:t> </w:t>
            </w:r>
            <w:r>
              <w:rPr>
                <w:color w:val="231F20"/>
                <w:sz w:val="15"/>
              </w:rPr>
              <w:t>8</w:t>
            </w:r>
            <w:r>
              <w:rPr>
                <w:color w:val="231F20"/>
                <w:spacing w:val="-6"/>
                <w:sz w:val="15"/>
              </w:rPr>
              <w:t> </w:t>
            </w:r>
            <w:r>
              <w:rPr>
                <w:color w:val="231F20"/>
                <w:spacing w:val="-5"/>
                <w:sz w:val="15"/>
              </w:rPr>
              <w:t>hr</w:t>
            </w:r>
          </w:p>
          <w:p>
            <w:pPr>
              <w:pStyle w:val="TableParagraph"/>
              <w:spacing w:line="170" w:lineRule="exact"/>
              <w:ind w:left="230"/>
              <w:rPr>
                <w:sz w:val="15"/>
              </w:rPr>
            </w:pPr>
            <w:r>
              <w:rPr>
                <w:color w:val="231F20"/>
                <w:spacing w:val="-4"/>
                <w:sz w:val="15"/>
              </w:rPr>
              <w:t>(</w:t>
            </w:r>
            <w:r>
              <w:rPr>
                <w:rFonts w:ascii="Cambria"/>
                <w:color w:val="231F20"/>
                <w:spacing w:val="-4"/>
                <w:sz w:val="15"/>
              </w:rPr>
              <w:t>&gt;</w:t>
            </w:r>
            <w:r>
              <w:rPr>
                <w:color w:val="231F20"/>
                <w:spacing w:val="-4"/>
                <w:sz w:val="15"/>
              </w:rPr>
              <w:t>40</w:t>
            </w:r>
            <w:r>
              <w:rPr>
                <w:color w:val="231F20"/>
                <w:spacing w:val="-5"/>
                <w:sz w:val="15"/>
              </w:rPr>
              <w:t> kg)</w:t>
            </w:r>
          </w:p>
          <w:p>
            <w:pPr>
              <w:pStyle w:val="TableParagraph"/>
              <w:spacing w:line="169" w:lineRule="exact"/>
              <w:ind w:left="118"/>
              <w:rPr>
                <w:sz w:val="15"/>
              </w:rPr>
            </w:pPr>
            <w:r>
              <w:rPr>
                <w:color w:val="231F20"/>
                <w:w w:val="90"/>
                <w:sz w:val="15"/>
              </w:rPr>
              <w:t>0.5-1.0</w:t>
            </w:r>
            <w:r>
              <w:rPr>
                <w:color w:val="231F20"/>
                <w:spacing w:val="5"/>
                <w:sz w:val="15"/>
              </w:rPr>
              <w:t> </w:t>
            </w:r>
            <w:r>
              <w:rPr>
                <w:color w:val="231F20"/>
                <w:spacing w:val="-2"/>
                <w:w w:val="90"/>
                <w:sz w:val="15"/>
              </w:rPr>
              <w:t>mg/dose</w:t>
            </w:r>
          </w:p>
          <w:p>
            <w:pPr>
              <w:pStyle w:val="TableParagraph"/>
              <w:spacing w:line="171" w:lineRule="exact"/>
              <w:ind w:left="118"/>
              <w:rPr>
                <w:sz w:val="15"/>
              </w:rPr>
            </w:pPr>
            <w:r>
              <w:rPr>
                <w:color w:val="231F20"/>
                <w:spacing w:val="-4"/>
                <w:sz w:val="15"/>
              </w:rPr>
              <w:t>0.5</w:t>
            </w:r>
            <w:r>
              <w:rPr>
                <w:color w:val="231F20"/>
                <w:spacing w:val="-7"/>
                <w:sz w:val="15"/>
              </w:rPr>
              <w:t> </w:t>
            </w:r>
            <w:r>
              <w:rPr>
                <w:color w:val="231F20"/>
                <w:spacing w:val="-2"/>
                <w:sz w:val="15"/>
              </w:rPr>
              <w:t>mg/spray</w:t>
            </w:r>
          </w:p>
        </w:tc>
        <w:tc>
          <w:tcPr>
            <w:tcW w:w="1610" w:type="dxa"/>
            <w:gridSpan w:val="2"/>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94" w:right="289" w:hanging="112"/>
              <w:rPr>
                <w:sz w:val="15"/>
              </w:rPr>
            </w:pPr>
            <w:r>
              <w:rPr>
                <w:color w:val="231F20"/>
                <w:spacing w:val="-2"/>
                <w:sz w:val="15"/>
              </w:rPr>
              <w:t>Dopamine antagonist</w:t>
            </w:r>
          </w:p>
          <w:p>
            <w:pPr>
              <w:pStyle w:val="TableParagraph"/>
              <w:spacing w:before="164"/>
              <w:rPr>
                <w:i/>
                <w:sz w:val="15"/>
              </w:rPr>
            </w:pPr>
          </w:p>
          <w:p>
            <w:pPr>
              <w:pStyle w:val="TableParagraph"/>
              <w:spacing w:line="230" w:lineRule="auto"/>
              <w:ind w:left="294" w:right="289" w:hanging="112"/>
              <w:rPr>
                <w:sz w:val="15"/>
              </w:rPr>
            </w:pPr>
            <w:r>
              <w:rPr>
                <w:color w:val="231F20"/>
                <w:spacing w:val="-2"/>
                <w:sz w:val="15"/>
              </w:rPr>
              <w:t>Dopamine antagonist</w:t>
            </w:r>
          </w:p>
          <w:p>
            <w:pPr>
              <w:pStyle w:val="TableParagraph"/>
              <w:spacing w:line="230" w:lineRule="auto" w:before="171"/>
              <w:ind w:left="294" w:right="289" w:hanging="112"/>
              <w:rPr>
                <w:sz w:val="15"/>
              </w:rPr>
            </w:pPr>
            <w:r>
              <w:rPr>
                <w:color w:val="231F20"/>
                <w:spacing w:val="-4"/>
                <w:sz w:val="15"/>
              </w:rPr>
              <w:t>Antiinflammatory </w:t>
            </w:r>
            <w:r>
              <w:rPr>
                <w:color w:val="231F20"/>
                <w:sz w:val="15"/>
              </w:rPr>
              <w:t>and analgesic</w:t>
            </w:r>
          </w:p>
          <w:p>
            <w:pPr>
              <w:pStyle w:val="TableParagraph"/>
              <w:spacing w:line="174" w:lineRule="exact"/>
              <w:ind w:left="182"/>
              <w:rPr>
                <w:sz w:val="15"/>
              </w:rPr>
            </w:pPr>
            <w:r>
              <w:rPr>
                <w:rFonts w:ascii="Cambria" w:hAnsi="Cambria"/>
                <w:color w:val="231F20"/>
                <w:sz w:val="15"/>
              </w:rPr>
              <w:t>↑</w:t>
            </w:r>
            <w:r>
              <w:rPr>
                <w:rFonts w:ascii="Cambria" w:hAnsi="Cambria"/>
                <w:color w:val="231F20"/>
                <w:spacing w:val="19"/>
                <w:sz w:val="15"/>
              </w:rPr>
              <w:t> </w:t>
            </w:r>
            <w:r>
              <w:rPr>
                <w:color w:val="231F20"/>
                <w:sz w:val="15"/>
              </w:rPr>
              <w:t>Brain</w:t>
            </w:r>
            <w:r>
              <w:rPr>
                <w:color w:val="231F20"/>
                <w:spacing w:val="7"/>
                <w:sz w:val="15"/>
              </w:rPr>
              <w:t> </w:t>
            </w:r>
            <w:r>
              <w:rPr>
                <w:color w:val="231F20"/>
                <w:spacing w:val="-4"/>
                <w:sz w:val="15"/>
              </w:rPr>
              <w:t>GABA</w:t>
            </w:r>
          </w:p>
        </w:tc>
        <w:tc>
          <w:tcPr>
            <w:tcW w:w="2068"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91" w:right="310" w:hanging="112"/>
              <w:rPr>
                <w:sz w:val="15"/>
              </w:rPr>
            </w:pPr>
            <w:r>
              <w:rPr>
                <w:color w:val="231F20"/>
                <w:sz w:val="15"/>
              </w:rPr>
              <w:t>Agitation, drowsiness, muscle stiffness, </w:t>
            </w:r>
            <w:r>
              <w:rPr>
                <w:color w:val="231F20"/>
                <w:spacing w:val="-2"/>
                <w:sz w:val="15"/>
              </w:rPr>
              <w:t>akinesia</w:t>
            </w:r>
            <w:r>
              <w:rPr>
                <w:color w:val="231F20"/>
                <w:spacing w:val="-10"/>
                <w:sz w:val="15"/>
              </w:rPr>
              <w:t> </w:t>
            </w:r>
            <w:r>
              <w:rPr>
                <w:color w:val="231F20"/>
                <w:spacing w:val="-2"/>
                <w:sz w:val="15"/>
              </w:rPr>
              <w:t>and</w:t>
            </w:r>
            <w:r>
              <w:rPr>
                <w:color w:val="231F20"/>
                <w:spacing w:val="-9"/>
                <w:sz w:val="15"/>
              </w:rPr>
              <w:t> </w:t>
            </w:r>
            <w:r>
              <w:rPr>
                <w:color w:val="231F20"/>
                <w:spacing w:val="-2"/>
                <w:sz w:val="15"/>
              </w:rPr>
              <w:t>akathisia</w:t>
            </w:r>
          </w:p>
          <w:p>
            <w:pPr>
              <w:pStyle w:val="TableParagraph"/>
              <w:spacing w:line="230" w:lineRule="auto" w:before="171"/>
              <w:ind w:left="291" w:hanging="112"/>
              <w:rPr>
                <w:sz w:val="15"/>
              </w:rPr>
            </w:pPr>
            <w:r>
              <w:rPr>
                <w:color w:val="231F20"/>
                <w:sz w:val="15"/>
              </w:rPr>
              <w:t>Drowsiness, urticaria, </w:t>
            </w:r>
            <w:r>
              <w:rPr>
                <w:color w:val="231F20"/>
                <w:spacing w:val="-2"/>
                <w:sz w:val="15"/>
              </w:rPr>
              <w:t>agitation,</w:t>
            </w:r>
            <w:r>
              <w:rPr>
                <w:color w:val="231F20"/>
                <w:spacing w:val="-10"/>
                <w:sz w:val="15"/>
              </w:rPr>
              <w:t> </w:t>
            </w:r>
            <w:r>
              <w:rPr>
                <w:color w:val="231F20"/>
                <w:spacing w:val="-2"/>
                <w:sz w:val="15"/>
              </w:rPr>
              <w:t>akinesia</w:t>
            </w:r>
            <w:r>
              <w:rPr>
                <w:color w:val="231F20"/>
                <w:spacing w:val="-9"/>
                <w:sz w:val="15"/>
              </w:rPr>
              <w:t> </w:t>
            </w:r>
            <w:r>
              <w:rPr>
                <w:color w:val="231F20"/>
                <w:spacing w:val="-2"/>
                <w:sz w:val="15"/>
              </w:rPr>
              <w:t>and akathisia</w:t>
            </w:r>
          </w:p>
          <w:p>
            <w:pPr>
              <w:pStyle w:val="TableParagraph"/>
              <w:spacing w:line="172" w:lineRule="exact"/>
              <w:ind w:left="179"/>
              <w:rPr>
                <w:sz w:val="15"/>
              </w:rPr>
            </w:pPr>
            <w:r>
              <w:rPr>
                <w:color w:val="231F20"/>
                <w:sz w:val="15"/>
              </w:rPr>
              <w:t>GI</w:t>
            </w:r>
            <w:r>
              <w:rPr>
                <w:color w:val="231F20"/>
                <w:spacing w:val="-2"/>
                <w:sz w:val="15"/>
              </w:rPr>
              <w:t> </w:t>
            </w:r>
            <w:r>
              <w:rPr>
                <w:color w:val="231F20"/>
                <w:sz w:val="15"/>
              </w:rPr>
              <w:t>upset,</w:t>
            </w:r>
            <w:r>
              <w:rPr>
                <w:color w:val="231F20"/>
                <w:spacing w:val="-2"/>
                <w:sz w:val="15"/>
              </w:rPr>
              <w:t> bleeding</w:t>
            </w:r>
          </w:p>
          <w:p>
            <w:pPr>
              <w:pStyle w:val="TableParagraph"/>
              <w:spacing w:line="230" w:lineRule="auto" w:before="169"/>
              <w:ind w:left="291" w:hanging="112"/>
              <w:rPr>
                <w:sz w:val="15"/>
              </w:rPr>
            </w:pPr>
            <w:r>
              <w:rPr>
                <w:color w:val="231F20"/>
                <w:sz w:val="15"/>
              </w:rPr>
              <w:t>Nausea, vomiting, </w:t>
            </w:r>
            <w:r>
              <w:rPr>
                <w:color w:val="231F20"/>
                <w:spacing w:val="-2"/>
                <w:sz w:val="15"/>
              </w:rPr>
              <w:t>somnolence, thrombocytopenia</w:t>
            </w:r>
          </w:p>
          <w:p>
            <w:pPr>
              <w:pStyle w:val="TableParagraph"/>
              <w:spacing w:line="230" w:lineRule="auto" w:before="4"/>
              <w:ind w:left="291" w:right="310" w:hanging="112"/>
              <w:rPr>
                <w:sz w:val="15"/>
              </w:rPr>
            </w:pPr>
            <w:r>
              <w:rPr>
                <w:color w:val="231F20"/>
                <w:sz w:val="15"/>
              </w:rPr>
              <w:t>Nausea, vomiting, </w:t>
            </w:r>
            <w:r>
              <w:rPr>
                <w:color w:val="231F20"/>
                <w:spacing w:val="-4"/>
                <w:sz w:val="15"/>
              </w:rPr>
              <w:t>vascular</w:t>
            </w:r>
            <w:r>
              <w:rPr>
                <w:color w:val="231F20"/>
                <w:spacing w:val="-8"/>
                <w:sz w:val="15"/>
              </w:rPr>
              <w:t> </w:t>
            </w:r>
            <w:r>
              <w:rPr>
                <w:color w:val="231F20"/>
                <w:spacing w:val="-4"/>
                <w:sz w:val="15"/>
              </w:rPr>
              <w:t>constriction, </w:t>
            </w:r>
            <w:r>
              <w:rPr>
                <w:color w:val="231F20"/>
                <w:spacing w:val="-2"/>
                <w:sz w:val="15"/>
              </w:rPr>
              <w:t>phlebitis</w:t>
            </w:r>
          </w:p>
        </w:tc>
        <w:tc>
          <w:tcPr>
            <w:tcW w:w="2358"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91" w:right="62" w:hanging="112"/>
              <w:rPr>
                <w:sz w:val="15"/>
              </w:rPr>
            </w:pPr>
            <w:r>
              <w:rPr>
                <w:color w:val="231F20"/>
                <w:sz w:val="15"/>
              </w:rPr>
              <w:t>May have increased </w:t>
            </w:r>
            <w:r>
              <w:rPr>
                <w:color w:val="231F20"/>
                <w:spacing w:val="-2"/>
                <w:sz w:val="15"/>
              </w:rPr>
              <w:t>effectiveness when </w:t>
            </w:r>
            <w:r>
              <w:rPr>
                <w:color w:val="231F20"/>
                <w:spacing w:val="-2"/>
                <w:sz w:val="15"/>
              </w:rPr>
              <w:t>combined </w:t>
            </w:r>
            <w:r>
              <w:rPr>
                <w:color w:val="231F20"/>
                <w:sz w:val="15"/>
              </w:rPr>
              <w:t>with ketorolac and fluid </w:t>
            </w:r>
            <w:r>
              <w:rPr>
                <w:color w:val="231F20"/>
                <w:spacing w:val="-2"/>
                <w:sz w:val="15"/>
              </w:rPr>
              <w:t>hydration</w:t>
            </w:r>
          </w:p>
          <w:p>
            <w:pPr>
              <w:pStyle w:val="TableParagraph"/>
              <w:spacing w:line="173" w:lineRule="exact"/>
              <w:ind w:left="179"/>
              <w:rPr>
                <w:sz w:val="15"/>
              </w:rPr>
            </w:pPr>
            <w:r>
              <w:rPr>
                <w:color w:val="231F20"/>
                <w:sz w:val="15"/>
              </w:rPr>
              <w:t>Caution</w:t>
            </w:r>
            <w:r>
              <w:rPr>
                <w:color w:val="231F20"/>
                <w:spacing w:val="-3"/>
                <w:sz w:val="15"/>
              </w:rPr>
              <w:t> </w:t>
            </w:r>
            <w:r>
              <w:rPr>
                <w:color w:val="231F20"/>
                <w:sz w:val="15"/>
              </w:rPr>
              <w:t>in</w:t>
            </w:r>
            <w:r>
              <w:rPr>
                <w:color w:val="231F20"/>
                <w:spacing w:val="-3"/>
                <w:sz w:val="15"/>
              </w:rPr>
              <w:t> </w:t>
            </w:r>
            <w:r>
              <w:rPr>
                <w:color w:val="231F20"/>
                <w:sz w:val="15"/>
              </w:rPr>
              <w:t>asthma</w:t>
            </w:r>
            <w:r>
              <w:rPr>
                <w:color w:val="231F20"/>
                <w:spacing w:val="-2"/>
                <w:sz w:val="15"/>
              </w:rPr>
              <w:t> patients</w:t>
            </w:r>
          </w:p>
          <w:p>
            <w:pPr>
              <w:pStyle w:val="TableParagraph"/>
              <w:rPr>
                <w:i/>
                <w:sz w:val="15"/>
              </w:rPr>
            </w:pPr>
          </w:p>
          <w:p>
            <w:pPr>
              <w:pStyle w:val="TableParagraph"/>
              <w:rPr>
                <w:i/>
                <w:sz w:val="15"/>
              </w:rPr>
            </w:pPr>
          </w:p>
          <w:p>
            <w:pPr>
              <w:pStyle w:val="TableParagraph"/>
              <w:spacing w:before="146"/>
              <w:rPr>
                <w:i/>
                <w:sz w:val="15"/>
              </w:rPr>
            </w:pPr>
          </w:p>
          <w:p>
            <w:pPr>
              <w:pStyle w:val="TableParagraph"/>
              <w:ind w:left="179"/>
              <w:rPr>
                <w:sz w:val="15"/>
              </w:rPr>
            </w:pPr>
            <w:r>
              <w:rPr>
                <w:color w:val="231F20"/>
                <w:sz w:val="15"/>
              </w:rPr>
              <w:t>Would avoid</w:t>
            </w:r>
            <w:r>
              <w:rPr>
                <w:color w:val="231F20"/>
                <w:spacing w:val="1"/>
                <w:sz w:val="15"/>
              </w:rPr>
              <w:t> </w:t>
            </w:r>
            <w:r>
              <w:rPr>
                <w:color w:val="231F20"/>
                <w:sz w:val="15"/>
              </w:rPr>
              <w:t>in</w:t>
            </w:r>
            <w:r>
              <w:rPr>
                <w:color w:val="231F20"/>
                <w:spacing w:val="1"/>
                <w:sz w:val="15"/>
              </w:rPr>
              <w:t> </w:t>
            </w:r>
            <w:r>
              <w:rPr>
                <w:color w:val="231F20"/>
                <w:sz w:val="15"/>
              </w:rPr>
              <w:t>hepatic</w:t>
            </w:r>
            <w:r>
              <w:rPr>
                <w:color w:val="231F20"/>
                <w:spacing w:val="1"/>
                <w:sz w:val="15"/>
              </w:rPr>
              <w:t> </w:t>
            </w:r>
            <w:r>
              <w:rPr>
                <w:color w:val="231F20"/>
                <w:spacing w:val="-2"/>
                <w:sz w:val="15"/>
              </w:rPr>
              <w:t>disease</w:t>
            </w:r>
          </w:p>
          <w:p>
            <w:pPr>
              <w:pStyle w:val="TableParagraph"/>
              <w:spacing w:before="162"/>
              <w:rPr>
                <w:i/>
                <w:sz w:val="15"/>
              </w:rPr>
            </w:pPr>
          </w:p>
          <w:p>
            <w:pPr>
              <w:pStyle w:val="TableParagraph"/>
              <w:spacing w:line="230" w:lineRule="auto"/>
              <w:ind w:left="291" w:hanging="112"/>
              <w:rPr>
                <w:sz w:val="15"/>
              </w:rPr>
            </w:pPr>
            <w:r>
              <w:rPr>
                <w:color w:val="231F20"/>
                <w:sz w:val="15"/>
              </w:rPr>
              <w:t>Dose may need to be </w:t>
            </w:r>
            <w:r>
              <w:rPr>
                <w:color w:val="231F20"/>
                <w:sz w:val="15"/>
              </w:rPr>
              <w:t>adjusted for</w:t>
            </w:r>
            <w:r>
              <w:rPr>
                <w:color w:val="231F20"/>
                <w:spacing w:val="-9"/>
                <w:sz w:val="15"/>
              </w:rPr>
              <w:t> </w:t>
            </w:r>
            <w:r>
              <w:rPr>
                <w:color w:val="231F20"/>
                <w:sz w:val="15"/>
              </w:rPr>
              <w:t>side</w:t>
            </w:r>
            <w:r>
              <w:rPr>
                <w:color w:val="231F20"/>
                <w:spacing w:val="-9"/>
                <w:sz w:val="15"/>
              </w:rPr>
              <w:t> </w:t>
            </w:r>
            <w:r>
              <w:rPr>
                <w:color w:val="231F20"/>
                <w:sz w:val="15"/>
              </w:rPr>
              <w:t>effects</w:t>
            </w:r>
            <w:r>
              <w:rPr>
                <w:color w:val="231F20"/>
                <w:spacing w:val="-9"/>
                <w:sz w:val="15"/>
              </w:rPr>
              <w:t> </w:t>
            </w:r>
            <w:r>
              <w:rPr>
                <w:color w:val="231F20"/>
                <w:sz w:val="15"/>
              </w:rPr>
              <w:t>(decrease)</w:t>
            </w:r>
            <w:r>
              <w:rPr>
                <w:color w:val="231F20"/>
                <w:spacing w:val="-9"/>
                <w:sz w:val="15"/>
              </w:rPr>
              <w:t> </w:t>
            </w:r>
            <w:r>
              <w:rPr>
                <w:color w:val="231F20"/>
                <w:sz w:val="15"/>
              </w:rPr>
              <w:t>or limited effectiveness </w:t>
            </w:r>
            <w:r>
              <w:rPr>
                <w:color w:val="231F20"/>
                <w:spacing w:val="-2"/>
                <w:sz w:val="15"/>
              </w:rPr>
              <w:t>(increase).</w:t>
            </w:r>
          </w:p>
        </w:tc>
      </w:tr>
    </w:tbl>
    <w:p>
      <w:pPr>
        <w:pStyle w:val="BodyText"/>
        <w:spacing w:line="150" w:lineRule="exact" w:before="78"/>
        <w:ind w:left="486"/>
      </w:pPr>
      <w:r>
        <w:rPr>
          <w:color w:val="231F20"/>
        </w:rPr>
        <w:t>*FDA</w:t>
      </w:r>
      <w:r>
        <w:rPr>
          <w:color w:val="231F20"/>
          <w:spacing w:val="7"/>
        </w:rPr>
        <w:t> </w:t>
      </w:r>
      <w:r>
        <w:rPr>
          <w:color w:val="231F20"/>
        </w:rPr>
        <w:t>approved</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pediatric</w:t>
      </w:r>
      <w:r>
        <w:rPr>
          <w:color w:val="231F20"/>
          <w:spacing w:val="7"/>
        </w:rPr>
        <w:t> </w:t>
      </w:r>
      <w:r>
        <w:rPr>
          <w:color w:val="231F20"/>
          <w:spacing w:val="-2"/>
        </w:rPr>
        <w:t>population.</w:t>
      </w:r>
    </w:p>
    <w:p>
      <w:pPr>
        <w:pStyle w:val="BodyText"/>
        <w:spacing w:line="149" w:lineRule="exact"/>
        <w:ind w:left="617"/>
      </w:pPr>
      <w:r>
        <w:rPr>
          <w:color w:val="231F20"/>
          <w:vertAlign w:val="superscript"/>
        </w:rPr>
        <w:t>†</w:t>
      </w:r>
      <w:r>
        <w:rPr>
          <w:color w:val="231F20"/>
          <w:vertAlign w:val="baseline"/>
        </w:rPr>
        <w:t>Available</w:t>
      </w:r>
      <w:r>
        <w:rPr>
          <w:color w:val="231F20"/>
          <w:spacing w:val="-3"/>
          <w:vertAlign w:val="baseline"/>
        </w:rPr>
        <w:t> </w:t>
      </w:r>
      <w:r>
        <w:rPr>
          <w:color w:val="231F20"/>
          <w:vertAlign w:val="baseline"/>
        </w:rPr>
        <w:t>in</w:t>
      </w:r>
      <w:r>
        <w:rPr>
          <w:color w:val="231F20"/>
          <w:spacing w:val="-2"/>
          <w:vertAlign w:val="baseline"/>
        </w:rPr>
        <w:t> Europe.</w:t>
      </w:r>
    </w:p>
    <w:p>
      <w:pPr>
        <w:pStyle w:val="BodyText"/>
        <w:spacing w:line="151" w:lineRule="exact"/>
        <w:ind w:left="617"/>
      </w:pPr>
      <w:r>
        <w:rPr>
          <w:rFonts w:ascii="Cambria" w:hAnsi="Cambria"/>
          <w:color w:val="231F20"/>
        </w:rPr>
        <w:t>↑</w:t>
      </w:r>
      <w:r>
        <w:rPr>
          <w:color w:val="231F20"/>
        </w:rPr>
        <w:t>,</w:t>
      </w:r>
      <w:r>
        <w:rPr>
          <w:color w:val="231F20"/>
          <w:spacing w:val="-6"/>
        </w:rPr>
        <w:t> </w:t>
      </w:r>
      <w:r>
        <w:rPr>
          <w:color w:val="231F20"/>
        </w:rPr>
        <w:t>Increase;</w:t>
      </w:r>
      <w:r>
        <w:rPr>
          <w:color w:val="231F20"/>
          <w:spacing w:val="-6"/>
        </w:rPr>
        <w:t> </w:t>
      </w:r>
      <w:r>
        <w:rPr>
          <w:color w:val="231F20"/>
        </w:rPr>
        <w:t>CNS,</w:t>
      </w:r>
      <w:r>
        <w:rPr>
          <w:color w:val="231F20"/>
          <w:spacing w:val="-6"/>
        </w:rPr>
        <w:t> </w:t>
      </w:r>
      <w:r>
        <w:rPr>
          <w:color w:val="231F20"/>
        </w:rPr>
        <w:t>central</w:t>
      </w:r>
      <w:r>
        <w:rPr>
          <w:color w:val="231F20"/>
          <w:spacing w:val="-6"/>
        </w:rPr>
        <w:t> </w:t>
      </w:r>
      <w:r>
        <w:rPr>
          <w:color w:val="231F20"/>
        </w:rPr>
        <w:t>nervous</w:t>
      </w:r>
      <w:r>
        <w:rPr>
          <w:color w:val="231F20"/>
          <w:spacing w:val="-5"/>
        </w:rPr>
        <w:t> </w:t>
      </w:r>
      <w:r>
        <w:rPr>
          <w:color w:val="231F20"/>
        </w:rPr>
        <w:t>system;</w:t>
      </w:r>
      <w:r>
        <w:rPr>
          <w:color w:val="231F20"/>
          <w:spacing w:val="-6"/>
        </w:rPr>
        <w:t> </w:t>
      </w:r>
      <w:r>
        <w:rPr>
          <w:color w:val="231F20"/>
        </w:rPr>
        <w:t>GABA,</w:t>
      </w:r>
      <w:r>
        <w:rPr>
          <w:color w:val="231F20"/>
          <w:spacing w:val="-6"/>
        </w:rPr>
        <w:t> </w:t>
      </w:r>
      <w:r>
        <w:rPr>
          <w:rFonts w:ascii="Cambria" w:hAnsi="Cambria"/>
          <w:color w:val="231F20"/>
        </w:rPr>
        <w:t>γ</w:t>
      </w:r>
      <w:r>
        <w:rPr>
          <w:color w:val="231F20"/>
        </w:rPr>
        <w:t>-aminobutyric</w:t>
      </w:r>
      <w:r>
        <w:rPr>
          <w:color w:val="231F20"/>
          <w:spacing w:val="-6"/>
        </w:rPr>
        <w:t> </w:t>
      </w:r>
      <w:r>
        <w:rPr>
          <w:color w:val="231F20"/>
        </w:rPr>
        <w:t>acid;</w:t>
      </w:r>
      <w:r>
        <w:rPr>
          <w:color w:val="231F20"/>
          <w:spacing w:val="-6"/>
        </w:rPr>
        <w:t> </w:t>
      </w:r>
      <w:r>
        <w:rPr>
          <w:color w:val="231F20"/>
        </w:rPr>
        <w:t>GI,</w:t>
      </w:r>
      <w:r>
        <w:rPr>
          <w:color w:val="231F20"/>
          <w:spacing w:val="-5"/>
        </w:rPr>
        <w:t> </w:t>
      </w:r>
      <w:r>
        <w:rPr>
          <w:color w:val="231F20"/>
        </w:rPr>
        <w:t>gastrointestinal;</w:t>
      </w:r>
      <w:r>
        <w:rPr>
          <w:color w:val="231F20"/>
          <w:spacing w:val="-6"/>
        </w:rPr>
        <w:t> </w:t>
      </w:r>
      <w:r>
        <w:rPr>
          <w:color w:val="231F20"/>
        </w:rPr>
        <w:t>hs,</w:t>
      </w:r>
      <w:r>
        <w:rPr>
          <w:color w:val="231F20"/>
          <w:spacing w:val="-6"/>
        </w:rPr>
        <w:t> </w:t>
      </w:r>
      <w:r>
        <w:rPr>
          <w:color w:val="231F20"/>
        </w:rPr>
        <w:t>at</w:t>
      </w:r>
      <w:r>
        <w:rPr>
          <w:color w:val="231F20"/>
          <w:spacing w:val="-6"/>
        </w:rPr>
        <w:t> </w:t>
      </w:r>
      <w:r>
        <w:rPr>
          <w:color w:val="231F20"/>
        </w:rPr>
        <w:t>night;</w:t>
      </w:r>
      <w:r>
        <w:rPr>
          <w:color w:val="231F20"/>
          <w:spacing w:val="-5"/>
        </w:rPr>
        <w:t> </w:t>
      </w:r>
      <w:r>
        <w:rPr>
          <w:color w:val="231F20"/>
        </w:rPr>
        <w:t>SC,</w:t>
      </w:r>
      <w:r>
        <w:rPr>
          <w:color w:val="231F20"/>
          <w:spacing w:val="-6"/>
        </w:rPr>
        <w:t> </w:t>
      </w:r>
      <w:r>
        <w:rPr>
          <w:color w:val="231F20"/>
          <w:spacing w:val="-2"/>
        </w:rPr>
        <w:t>subcutaneous.</w:t>
      </w:r>
    </w:p>
    <w:p>
      <w:pPr>
        <w:pStyle w:val="BodyText"/>
        <w:spacing w:after="0" w:line="151" w:lineRule="exact"/>
        <w:sectPr>
          <w:pgSz w:w="11900" w:h="16840"/>
          <w:pgMar w:header="0" w:footer="0" w:top="720" w:bottom="280" w:left="425" w:right="566"/>
        </w:sectPr>
      </w:pPr>
    </w:p>
    <w:p>
      <w:pPr>
        <w:pStyle w:val="BodyText"/>
        <w:rPr>
          <w:sz w:val="20"/>
        </w:rPr>
      </w:pPr>
      <w:r>
        <w:rPr>
          <w:sz w:val="20"/>
        </w:rPr>
        <mc:AlternateContent>
          <mc:Choice Requires="wps">
            <w:drawing>
              <wp:anchor distT="0" distB="0" distL="0" distR="0" allowOverlap="1" layoutInCell="1" locked="0" behindDoc="0" simplePos="0" relativeHeight="15770112">
                <wp:simplePos x="0" y="0"/>
                <wp:positionH relativeFrom="page">
                  <wp:posOffset>4090344</wp:posOffset>
                </wp:positionH>
                <wp:positionV relativeFrom="page">
                  <wp:posOffset>1611076</wp:posOffset>
                </wp:positionV>
                <wp:extent cx="2986405" cy="1487170"/>
                <wp:effectExtent l="0" t="0" r="0" b="0"/>
                <wp:wrapNone/>
                <wp:docPr id="714" name="Group 714"/>
                <wp:cNvGraphicFramePr>
                  <a:graphicFrameLocks/>
                </wp:cNvGraphicFramePr>
                <a:graphic>
                  <a:graphicData uri="http://schemas.microsoft.com/office/word/2010/wordprocessingGroup">
                    <wpg:wgp>
                      <wpg:cNvPr id="714" name="Group 714"/>
                      <wpg:cNvGrpSpPr/>
                      <wpg:grpSpPr>
                        <a:xfrm>
                          <a:off x="0" y="0"/>
                          <a:ext cx="2986405" cy="1487170"/>
                          <a:chExt cx="2986405" cy="1487170"/>
                        </a:xfrm>
                      </wpg:grpSpPr>
                      <wps:wsp>
                        <wps:cNvPr id="715" name="Textbox 715"/>
                        <wps:cNvSpPr txBox="1"/>
                        <wps:spPr>
                          <a:xfrm>
                            <a:off x="11" y="236975"/>
                            <a:ext cx="2986405" cy="1244600"/>
                          </a:xfrm>
                          <a:prstGeom prst="rect">
                            <a:avLst/>
                          </a:prstGeom>
                          <a:solidFill>
                            <a:srgbClr val="E8F5F1"/>
                          </a:solidFill>
                        </wps:spPr>
                        <wps:txbx>
                          <w:txbxContent>
                            <w:p>
                              <w:pPr>
                                <w:spacing w:line="232" w:lineRule="auto" w:before="51"/>
                                <w:ind w:left="74" w:right="2993" w:firstLine="0"/>
                                <w:jc w:val="left"/>
                                <w:rPr>
                                  <w:color w:val="000000"/>
                                  <w:sz w:val="15"/>
                                </w:rPr>
                              </w:pPr>
                              <w:r>
                                <w:rPr>
                                  <w:color w:val="231F20"/>
                                  <w:sz w:val="15"/>
                                </w:rPr>
                                <w:t>Cortical tuber Subependymal </w:t>
                              </w:r>
                              <w:r>
                                <w:rPr>
                                  <w:color w:val="231F20"/>
                                  <w:sz w:val="15"/>
                                </w:rPr>
                                <w:t>nodule</w:t>
                              </w:r>
                            </w:p>
                            <w:p>
                              <w:pPr>
                                <w:spacing w:line="232" w:lineRule="auto" w:before="1"/>
                                <w:ind w:left="74" w:right="1733" w:firstLine="0"/>
                                <w:jc w:val="left"/>
                                <w:rPr>
                                  <w:color w:val="000000"/>
                                  <w:sz w:val="15"/>
                                </w:rPr>
                              </w:pPr>
                              <w:r>
                                <w:rPr>
                                  <w:color w:val="231F20"/>
                                  <w:sz w:val="15"/>
                                </w:rPr>
                                <w:t>Subependymal giant cell astrocytoma Facial</w:t>
                              </w:r>
                              <w:r>
                                <w:rPr>
                                  <w:color w:val="231F20"/>
                                  <w:spacing w:val="-10"/>
                                  <w:sz w:val="15"/>
                                </w:rPr>
                                <w:t> </w:t>
                              </w:r>
                              <w:r>
                                <w:rPr>
                                  <w:color w:val="231F20"/>
                                  <w:sz w:val="15"/>
                                </w:rPr>
                                <w:t>angiofibroma</w:t>
                              </w:r>
                              <w:r>
                                <w:rPr>
                                  <w:color w:val="231F20"/>
                                  <w:spacing w:val="-10"/>
                                  <w:sz w:val="15"/>
                                </w:rPr>
                                <w:t> </w:t>
                              </w:r>
                              <w:r>
                                <w:rPr>
                                  <w:color w:val="231F20"/>
                                  <w:sz w:val="15"/>
                                </w:rPr>
                                <w:t>or</w:t>
                              </w:r>
                              <w:r>
                                <w:rPr>
                                  <w:color w:val="231F20"/>
                                  <w:spacing w:val="-10"/>
                                  <w:sz w:val="15"/>
                                </w:rPr>
                                <w:t> </w:t>
                              </w:r>
                              <w:r>
                                <w:rPr>
                                  <w:color w:val="231F20"/>
                                  <w:sz w:val="15"/>
                                </w:rPr>
                                <w:t>forehead</w:t>
                              </w:r>
                              <w:r>
                                <w:rPr>
                                  <w:color w:val="231F20"/>
                                  <w:spacing w:val="-10"/>
                                  <w:sz w:val="15"/>
                                </w:rPr>
                                <w:t> </w:t>
                              </w:r>
                              <w:r>
                                <w:rPr>
                                  <w:color w:val="231F20"/>
                                  <w:sz w:val="15"/>
                                </w:rPr>
                                <w:t>plaque</w:t>
                              </w:r>
                            </w:p>
                            <w:p>
                              <w:pPr>
                                <w:spacing w:line="235" w:lineRule="auto" w:before="0"/>
                                <w:ind w:left="74" w:right="654" w:firstLine="0"/>
                                <w:jc w:val="left"/>
                                <w:rPr>
                                  <w:color w:val="000000"/>
                                  <w:sz w:val="15"/>
                                </w:rPr>
                              </w:pPr>
                              <w:r>
                                <w:rPr>
                                  <w:color w:val="231F20"/>
                                  <w:spacing w:val="-2"/>
                                  <w:sz w:val="15"/>
                                </w:rPr>
                                <w:t>Ungual</w:t>
                              </w:r>
                              <w:r>
                                <w:rPr>
                                  <w:color w:val="231F20"/>
                                  <w:spacing w:val="-3"/>
                                  <w:sz w:val="15"/>
                                </w:rPr>
                                <w:t> </w:t>
                              </w:r>
                              <w:r>
                                <w:rPr>
                                  <w:color w:val="231F20"/>
                                  <w:spacing w:val="-2"/>
                                  <w:sz w:val="15"/>
                                </w:rPr>
                                <w:t>or</w:t>
                              </w:r>
                              <w:r>
                                <w:rPr>
                                  <w:color w:val="231F20"/>
                                  <w:spacing w:val="-3"/>
                                  <w:sz w:val="15"/>
                                </w:rPr>
                                <w:t> </w:t>
                              </w:r>
                              <w:r>
                                <w:rPr>
                                  <w:color w:val="231F20"/>
                                  <w:spacing w:val="-2"/>
                                  <w:sz w:val="15"/>
                                </w:rPr>
                                <w:t>periungual</w:t>
                              </w:r>
                              <w:r>
                                <w:rPr>
                                  <w:color w:val="231F20"/>
                                  <w:spacing w:val="-3"/>
                                  <w:sz w:val="15"/>
                                </w:rPr>
                                <w:t> </w:t>
                              </w:r>
                              <w:r>
                                <w:rPr>
                                  <w:color w:val="231F20"/>
                                  <w:spacing w:val="-2"/>
                                  <w:sz w:val="15"/>
                                </w:rPr>
                                <w:t>fibroma</w:t>
                              </w:r>
                              <w:r>
                                <w:rPr>
                                  <w:color w:val="231F20"/>
                                  <w:spacing w:val="-3"/>
                                  <w:sz w:val="15"/>
                                </w:rPr>
                                <w:t> </w:t>
                              </w:r>
                              <w:r>
                                <w:rPr>
                                  <w:color w:val="231F20"/>
                                  <w:spacing w:val="-2"/>
                                  <w:sz w:val="15"/>
                                </w:rPr>
                                <w:t>(non-</w:t>
                              </w:r>
                              <w:r>
                                <w:rPr>
                                  <w:color w:val="231F20"/>
                                  <w:spacing w:val="-2"/>
                                  <w:sz w:val="15"/>
                                </w:rPr>
                                <w:t>traumatic) </w:t>
                              </w:r>
                              <w:r>
                                <w:rPr>
                                  <w:color w:val="231F20"/>
                                  <w:sz w:val="15"/>
                                </w:rPr>
                                <w:t>Hypomelanotic macules (</w:t>
                              </w:r>
                              <w:r>
                                <w:rPr>
                                  <w:rFonts w:ascii="Cambria"/>
                                  <w:color w:val="231F20"/>
                                  <w:sz w:val="15"/>
                                </w:rPr>
                                <w:t>&gt;</w:t>
                              </w:r>
                              <w:r>
                                <w:rPr>
                                  <w:color w:val="231F20"/>
                                  <w:sz w:val="15"/>
                                </w:rPr>
                                <w:t>3)</w:t>
                              </w:r>
                            </w:p>
                            <w:p>
                              <w:pPr>
                                <w:spacing w:line="167" w:lineRule="exact" w:before="0"/>
                                <w:ind w:left="74" w:right="0" w:firstLine="0"/>
                                <w:jc w:val="left"/>
                                <w:rPr>
                                  <w:color w:val="000000"/>
                                  <w:sz w:val="15"/>
                                </w:rPr>
                              </w:pPr>
                              <w:r>
                                <w:rPr>
                                  <w:color w:val="231F20"/>
                                  <w:sz w:val="15"/>
                                </w:rPr>
                                <w:t>Shagreen</w:t>
                              </w:r>
                              <w:r>
                                <w:rPr>
                                  <w:color w:val="231F20"/>
                                  <w:spacing w:val="19"/>
                                  <w:sz w:val="15"/>
                                </w:rPr>
                                <w:t> </w:t>
                              </w:r>
                              <w:r>
                                <w:rPr>
                                  <w:color w:val="231F20"/>
                                  <w:spacing w:val="-2"/>
                                  <w:sz w:val="15"/>
                                </w:rPr>
                                <w:t>patch</w:t>
                              </w:r>
                            </w:p>
                            <w:p>
                              <w:pPr>
                                <w:spacing w:line="232" w:lineRule="auto" w:before="2"/>
                                <w:ind w:left="74" w:right="2749" w:firstLine="0"/>
                                <w:jc w:val="left"/>
                                <w:rPr>
                                  <w:color w:val="000000"/>
                                  <w:sz w:val="15"/>
                                </w:rPr>
                              </w:pPr>
                              <w:r>
                                <w:rPr>
                                  <w:color w:val="231F20"/>
                                  <w:spacing w:val="-2"/>
                                  <w:sz w:val="15"/>
                                </w:rPr>
                                <w:t>Multiple</w:t>
                              </w:r>
                              <w:r>
                                <w:rPr>
                                  <w:color w:val="231F20"/>
                                  <w:spacing w:val="-10"/>
                                  <w:sz w:val="15"/>
                                </w:rPr>
                                <w:t> </w:t>
                              </w:r>
                              <w:r>
                                <w:rPr>
                                  <w:color w:val="231F20"/>
                                  <w:spacing w:val="-2"/>
                                  <w:sz w:val="15"/>
                                </w:rPr>
                                <w:t>retinal</w:t>
                              </w:r>
                              <w:r>
                                <w:rPr>
                                  <w:color w:val="231F20"/>
                                  <w:spacing w:val="-9"/>
                                  <w:sz w:val="15"/>
                                </w:rPr>
                                <w:t> </w:t>
                              </w:r>
                              <w:r>
                                <w:rPr>
                                  <w:color w:val="231F20"/>
                                  <w:spacing w:val="-2"/>
                                  <w:sz w:val="15"/>
                                </w:rPr>
                                <w:t>hamartomas </w:t>
                              </w:r>
                              <w:r>
                                <w:rPr>
                                  <w:color w:val="231F20"/>
                                  <w:sz w:val="15"/>
                                </w:rPr>
                                <w:t>Cardiac rhabdomyoma</w:t>
                              </w:r>
                              <w:r>
                                <w:rPr>
                                  <w:color w:val="231F20"/>
                                  <w:spacing w:val="40"/>
                                  <w:sz w:val="15"/>
                                </w:rPr>
                                <w:t> </w:t>
                              </w:r>
                              <w:r>
                                <w:rPr>
                                  <w:color w:val="231F20"/>
                                  <w:sz w:val="15"/>
                                </w:rPr>
                                <w:t>Renal angiomyolipoma</w:t>
                              </w:r>
                            </w:p>
                            <w:p>
                              <w:pPr>
                                <w:spacing w:line="171" w:lineRule="exact" w:before="0"/>
                                <w:ind w:left="74" w:right="0" w:firstLine="0"/>
                                <w:jc w:val="left"/>
                                <w:rPr>
                                  <w:color w:val="000000"/>
                                  <w:sz w:val="15"/>
                                </w:rPr>
                              </w:pPr>
                              <w:r>
                                <w:rPr>
                                  <w:color w:val="231F20"/>
                                  <w:spacing w:val="-2"/>
                                  <w:sz w:val="15"/>
                                </w:rPr>
                                <w:t>Pulmonary</w:t>
                              </w:r>
                              <w:r>
                                <w:rPr>
                                  <w:color w:val="231F20"/>
                                  <w:spacing w:val="4"/>
                                  <w:sz w:val="15"/>
                                </w:rPr>
                                <w:t> </w:t>
                              </w:r>
                              <w:r>
                                <w:rPr>
                                  <w:color w:val="231F20"/>
                                  <w:spacing w:val="-2"/>
                                  <w:sz w:val="15"/>
                                </w:rPr>
                                <w:t>lymphangioleiomyomatosis</w:t>
                              </w:r>
                            </w:p>
                          </w:txbxContent>
                        </wps:txbx>
                        <wps:bodyPr wrap="square" lIns="0" tIns="0" rIns="0" bIns="0" rtlCol="0">
                          <a:noAutofit/>
                        </wps:bodyPr>
                      </wps:wsp>
                      <wps:wsp>
                        <wps:cNvPr id="716" name="Graphic 716"/>
                        <wps:cNvSpPr/>
                        <wps:spPr>
                          <a:xfrm>
                            <a:off x="0" y="1475226"/>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717" name="Textbox 717"/>
                        <wps:cNvSpPr txBox="1"/>
                        <wps:spPr>
                          <a:xfrm>
                            <a:off x="734665" y="0"/>
                            <a:ext cx="2251710" cy="237490"/>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Major</w:t>
                              </w:r>
                              <w:r>
                                <w:rPr>
                                  <w:color w:val="FFFFFF"/>
                                  <w:spacing w:val="6"/>
                                  <w:w w:val="105"/>
                                  <w:sz w:val="16"/>
                                </w:rPr>
                                <w:t> </w:t>
                              </w:r>
                              <w:r>
                                <w:rPr>
                                  <w:color w:val="FFFFFF"/>
                                  <w:w w:val="105"/>
                                  <w:sz w:val="16"/>
                                </w:rPr>
                                <w:t>Features</w:t>
                              </w:r>
                              <w:r>
                                <w:rPr>
                                  <w:color w:val="FFFFFF"/>
                                  <w:spacing w:val="7"/>
                                  <w:w w:val="105"/>
                                  <w:sz w:val="16"/>
                                </w:rPr>
                                <w:t> </w:t>
                              </w:r>
                              <w:r>
                                <w:rPr>
                                  <w:color w:val="FFFFFF"/>
                                  <w:w w:val="105"/>
                                  <w:sz w:val="16"/>
                                </w:rPr>
                                <w:t>of</w:t>
                              </w:r>
                              <w:r>
                                <w:rPr>
                                  <w:color w:val="FFFFFF"/>
                                  <w:spacing w:val="6"/>
                                  <w:w w:val="105"/>
                                  <w:sz w:val="16"/>
                                </w:rPr>
                                <w:t> </w:t>
                              </w:r>
                              <w:r>
                                <w:rPr>
                                  <w:color w:val="FFFFFF"/>
                                  <w:spacing w:val="-5"/>
                                  <w:w w:val="105"/>
                                  <w:sz w:val="16"/>
                                </w:rPr>
                                <w:t>TSC</w:t>
                              </w:r>
                            </w:p>
                          </w:txbxContent>
                        </wps:txbx>
                        <wps:bodyPr wrap="square" lIns="0" tIns="0" rIns="0" bIns="0" rtlCol="0">
                          <a:noAutofit/>
                        </wps:bodyPr>
                      </wps:wsp>
                      <wps:wsp>
                        <wps:cNvPr id="718" name="Textbox 718"/>
                        <wps:cNvSpPr txBox="1"/>
                        <wps:spPr>
                          <a:xfrm>
                            <a:off x="11" y="0"/>
                            <a:ext cx="723265" cy="23749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596-</w:t>
                              </w:r>
                              <w:r>
                                <w:rPr>
                                  <w:b/>
                                  <w:color w:val="FFFFFF"/>
                                  <w:spacing w:val="-10"/>
                                  <w:w w:val="105"/>
                                  <w:sz w:val="16"/>
                                </w:rPr>
                                <w:t>3</w:t>
                              </w:r>
                            </w:p>
                          </w:txbxContent>
                        </wps:txbx>
                        <wps:bodyPr wrap="square" lIns="0" tIns="0" rIns="0" bIns="0" rtlCol="0">
                          <a:noAutofit/>
                        </wps:bodyPr>
                      </wps:wsp>
                    </wpg:wgp>
                  </a:graphicData>
                </a:graphic>
              </wp:anchor>
            </w:drawing>
          </mc:Choice>
          <mc:Fallback>
            <w:pict>
              <v:group style="position:absolute;margin-left:322.074402pt;margin-top:126.8564pt;width:235.15pt;height:117.1pt;mso-position-horizontal-relative:page;mso-position-vertical-relative:page;z-index:15770112" id="docshapegroup605" coordorigin="6441,2537" coordsize="4703,2342">
                <v:shape style="position:absolute;left:6441;top:2910;width:4703;height:1960" type="#_x0000_t202" id="docshape606" filled="true" fillcolor="#e8f5f1" stroked="false">
                  <v:textbox inset="0,0,0,0">
                    <w:txbxContent>
                      <w:p>
                        <w:pPr>
                          <w:spacing w:line="232" w:lineRule="auto" w:before="51"/>
                          <w:ind w:left="74" w:right="2993" w:firstLine="0"/>
                          <w:jc w:val="left"/>
                          <w:rPr>
                            <w:color w:val="000000"/>
                            <w:sz w:val="15"/>
                          </w:rPr>
                        </w:pPr>
                        <w:r>
                          <w:rPr>
                            <w:color w:val="231F20"/>
                            <w:sz w:val="15"/>
                          </w:rPr>
                          <w:t>Cortical tuber Subependymal </w:t>
                        </w:r>
                        <w:r>
                          <w:rPr>
                            <w:color w:val="231F20"/>
                            <w:sz w:val="15"/>
                          </w:rPr>
                          <w:t>nodule</w:t>
                        </w:r>
                      </w:p>
                      <w:p>
                        <w:pPr>
                          <w:spacing w:line="232" w:lineRule="auto" w:before="1"/>
                          <w:ind w:left="74" w:right="1733" w:firstLine="0"/>
                          <w:jc w:val="left"/>
                          <w:rPr>
                            <w:color w:val="000000"/>
                            <w:sz w:val="15"/>
                          </w:rPr>
                        </w:pPr>
                        <w:r>
                          <w:rPr>
                            <w:color w:val="231F20"/>
                            <w:sz w:val="15"/>
                          </w:rPr>
                          <w:t>Subependymal giant cell astrocytoma Facial</w:t>
                        </w:r>
                        <w:r>
                          <w:rPr>
                            <w:color w:val="231F20"/>
                            <w:spacing w:val="-10"/>
                            <w:sz w:val="15"/>
                          </w:rPr>
                          <w:t> </w:t>
                        </w:r>
                        <w:r>
                          <w:rPr>
                            <w:color w:val="231F20"/>
                            <w:sz w:val="15"/>
                          </w:rPr>
                          <w:t>angiofibroma</w:t>
                        </w:r>
                        <w:r>
                          <w:rPr>
                            <w:color w:val="231F20"/>
                            <w:spacing w:val="-10"/>
                            <w:sz w:val="15"/>
                          </w:rPr>
                          <w:t> </w:t>
                        </w:r>
                        <w:r>
                          <w:rPr>
                            <w:color w:val="231F20"/>
                            <w:sz w:val="15"/>
                          </w:rPr>
                          <w:t>or</w:t>
                        </w:r>
                        <w:r>
                          <w:rPr>
                            <w:color w:val="231F20"/>
                            <w:spacing w:val="-10"/>
                            <w:sz w:val="15"/>
                          </w:rPr>
                          <w:t> </w:t>
                        </w:r>
                        <w:r>
                          <w:rPr>
                            <w:color w:val="231F20"/>
                            <w:sz w:val="15"/>
                          </w:rPr>
                          <w:t>forehead</w:t>
                        </w:r>
                        <w:r>
                          <w:rPr>
                            <w:color w:val="231F20"/>
                            <w:spacing w:val="-10"/>
                            <w:sz w:val="15"/>
                          </w:rPr>
                          <w:t> </w:t>
                        </w:r>
                        <w:r>
                          <w:rPr>
                            <w:color w:val="231F20"/>
                            <w:sz w:val="15"/>
                          </w:rPr>
                          <w:t>plaque</w:t>
                        </w:r>
                      </w:p>
                      <w:p>
                        <w:pPr>
                          <w:spacing w:line="235" w:lineRule="auto" w:before="0"/>
                          <w:ind w:left="74" w:right="654" w:firstLine="0"/>
                          <w:jc w:val="left"/>
                          <w:rPr>
                            <w:color w:val="000000"/>
                            <w:sz w:val="15"/>
                          </w:rPr>
                        </w:pPr>
                        <w:r>
                          <w:rPr>
                            <w:color w:val="231F20"/>
                            <w:spacing w:val="-2"/>
                            <w:sz w:val="15"/>
                          </w:rPr>
                          <w:t>Ungual</w:t>
                        </w:r>
                        <w:r>
                          <w:rPr>
                            <w:color w:val="231F20"/>
                            <w:spacing w:val="-3"/>
                            <w:sz w:val="15"/>
                          </w:rPr>
                          <w:t> </w:t>
                        </w:r>
                        <w:r>
                          <w:rPr>
                            <w:color w:val="231F20"/>
                            <w:spacing w:val="-2"/>
                            <w:sz w:val="15"/>
                          </w:rPr>
                          <w:t>or</w:t>
                        </w:r>
                        <w:r>
                          <w:rPr>
                            <w:color w:val="231F20"/>
                            <w:spacing w:val="-3"/>
                            <w:sz w:val="15"/>
                          </w:rPr>
                          <w:t> </w:t>
                        </w:r>
                        <w:r>
                          <w:rPr>
                            <w:color w:val="231F20"/>
                            <w:spacing w:val="-2"/>
                            <w:sz w:val="15"/>
                          </w:rPr>
                          <w:t>periungual</w:t>
                        </w:r>
                        <w:r>
                          <w:rPr>
                            <w:color w:val="231F20"/>
                            <w:spacing w:val="-3"/>
                            <w:sz w:val="15"/>
                          </w:rPr>
                          <w:t> </w:t>
                        </w:r>
                        <w:r>
                          <w:rPr>
                            <w:color w:val="231F20"/>
                            <w:spacing w:val="-2"/>
                            <w:sz w:val="15"/>
                          </w:rPr>
                          <w:t>fibroma</w:t>
                        </w:r>
                        <w:r>
                          <w:rPr>
                            <w:color w:val="231F20"/>
                            <w:spacing w:val="-3"/>
                            <w:sz w:val="15"/>
                          </w:rPr>
                          <w:t> </w:t>
                        </w:r>
                        <w:r>
                          <w:rPr>
                            <w:color w:val="231F20"/>
                            <w:spacing w:val="-2"/>
                            <w:sz w:val="15"/>
                          </w:rPr>
                          <w:t>(non-</w:t>
                        </w:r>
                        <w:r>
                          <w:rPr>
                            <w:color w:val="231F20"/>
                            <w:spacing w:val="-2"/>
                            <w:sz w:val="15"/>
                          </w:rPr>
                          <w:t>traumatic) </w:t>
                        </w:r>
                        <w:r>
                          <w:rPr>
                            <w:color w:val="231F20"/>
                            <w:sz w:val="15"/>
                          </w:rPr>
                          <w:t>Hypomelanotic macules (</w:t>
                        </w:r>
                        <w:r>
                          <w:rPr>
                            <w:rFonts w:ascii="Cambria"/>
                            <w:color w:val="231F20"/>
                            <w:sz w:val="15"/>
                          </w:rPr>
                          <w:t>&gt;</w:t>
                        </w:r>
                        <w:r>
                          <w:rPr>
                            <w:color w:val="231F20"/>
                            <w:sz w:val="15"/>
                          </w:rPr>
                          <w:t>3)</w:t>
                        </w:r>
                      </w:p>
                      <w:p>
                        <w:pPr>
                          <w:spacing w:line="167" w:lineRule="exact" w:before="0"/>
                          <w:ind w:left="74" w:right="0" w:firstLine="0"/>
                          <w:jc w:val="left"/>
                          <w:rPr>
                            <w:color w:val="000000"/>
                            <w:sz w:val="15"/>
                          </w:rPr>
                        </w:pPr>
                        <w:r>
                          <w:rPr>
                            <w:color w:val="231F20"/>
                            <w:sz w:val="15"/>
                          </w:rPr>
                          <w:t>Shagreen</w:t>
                        </w:r>
                        <w:r>
                          <w:rPr>
                            <w:color w:val="231F20"/>
                            <w:spacing w:val="19"/>
                            <w:sz w:val="15"/>
                          </w:rPr>
                          <w:t> </w:t>
                        </w:r>
                        <w:r>
                          <w:rPr>
                            <w:color w:val="231F20"/>
                            <w:spacing w:val="-2"/>
                            <w:sz w:val="15"/>
                          </w:rPr>
                          <w:t>patch</w:t>
                        </w:r>
                      </w:p>
                      <w:p>
                        <w:pPr>
                          <w:spacing w:line="232" w:lineRule="auto" w:before="2"/>
                          <w:ind w:left="74" w:right="2749" w:firstLine="0"/>
                          <w:jc w:val="left"/>
                          <w:rPr>
                            <w:color w:val="000000"/>
                            <w:sz w:val="15"/>
                          </w:rPr>
                        </w:pPr>
                        <w:r>
                          <w:rPr>
                            <w:color w:val="231F20"/>
                            <w:spacing w:val="-2"/>
                            <w:sz w:val="15"/>
                          </w:rPr>
                          <w:t>Multiple</w:t>
                        </w:r>
                        <w:r>
                          <w:rPr>
                            <w:color w:val="231F20"/>
                            <w:spacing w:val="-10"/>
                            <w:sz w:val="15"/>
                          </w:rPr>
                          <w:t> </w:t>
                        </w:r>
                        <w:r>
                          <w:rPr>
                            <w:color w:val="231F20"/>
                            <w:spacing w:val="-2"/>
                            <w:sz w:val="15"/>
                          </w:rPr>
                          <w:t>retinal</w:t>
                        </w:r>
                        <w:r>
                          <w:rPr>
                            <w:color w:val="231F20"/>
                            <w:spacing w:val="-9"/>
                            <w:sz w:val="15"/>
                          </w:rPr>
                          <w:t> </w:t>
                        </w:r>
                        <w:r>
                          <w:rPr>
                            <w:color w:val="231F20"/>
                            <w:spacing w:val="-2"/>
                            <w:sz w:val="15"/>
                          </w:rPr>
                          <w:t>hamartomas </w:t>
                        </w:r>
                        <w:r>
                          <w:rPr>
                            <w:color w:val="231F20"/>
                            <w:sz w:val="15"/>
                          </w:rPr>
                          <w:t>Cardiac rhabdomyoma</w:t>
                        </w:r>
                        <w:r>
                          <w:rPr>
                            <w:color w:val="231F20"/>
                            <w:spacing w:val="40"/>
                            <w:sz w:val="15"/>
                          </w:rPr>
                          <w:t> </w:t>
                        </w:r>
                        <w:r>
                          <w:rPr>
                            <w:color w:val="231F20"/>
                            <w:sz w:val="15"/>
                          </w:rPr>
                          <w:t>Renal angiomyolipoma</w:t>
                        </w:r>
                      </w:p>
                      <w:p>
                        <w:pPr>
                          <w:spacing w:line="171" w:lineRule="exact" w:before="0"/>
                          <w:ind w:left="74" w:right="0" w:firstLine="0"/>
                          <w:jc w:val="left"/>
                          <w:rPr>
                            <w:color w:val="000000"/>
                            <w:sz w:val="15"/>
                          </w:rPr>
                        </w:pPr>
                        <w:r>
                          <w:rPr>
                            <w:color w:val="231F20"/>
                            <w:spacing w:val="-2"/>
                            <w:sz w:val="15"/>
                          </w:rPr>
                          <w:t>Pulmonary</w:t>
                        </w:r>
                        <w:r>
                          <w:rPr>
                            <w:color w:val="231F20"/>
                            <w:spacing w:val="4"/>
                            <w:sz w:val="15"/>
                          </w:rPr>
                          <w:t> </w:t>
                        </w:r>
                        <w:r>
                          <w:rPr>
                            <w:color w:val="231F20"/>
                            <w:spacing w:val="-2"/>
                            <w:sz w:val="15"/>
                          </w:rPr>
                          <w:t>lymphangioleiomyomatosis</w:t>
                        </w:r>
                      </w:p>
                    </w:txbxContent>
                  </v:textbox>
                  <v:fill type="solid"/>
                  <w10:wrap type="none"/>
                </v:shape>
                <v:rect style="position:absolute;left:6441;top:4860;width:4703;height:19" id="docshape607" filled="true" fillcolor="#231f20" stroked="false">
                  <v:fill type="solid"/>
                </v:rect>
                <v:shape style="position:absolute;left:7598;top:2537;width:3546;height:374" type="#_x0000_t202" id="docshape608" filled="true" fillcolor="#231f20" stroked="false">
                  <v:textbox inset="0,0,0,0">
                    <w:txbxContent>
                      <w:p>
                        <w:pPr>
                          <w:spacing w:before="89"/>
                          <w:ind w:left="74" w:right="0" w:firstLine="0"/>
                          <w:jc w:val="left"/>
                          <w:rPr>
                            <w:color w:val="000000"/>
                            <w:sz w:val="16"/>
                          </w:rPr>
                        </w:pPr>
                        <w:r>
                          <w:rPr>
                            <w:color w:val="FFFFFF"/>
                            <w:w w:val="105"/>
                            <w:sz w:val="16"/>
                          </w:rPr>
                          <w:t>Major</w:t>
                        </w:r>
                        <w:r>
                          <w:rPr>
                            <w:color w:val="FFFFFF"/>
                            <w:spacing w:val="6"/>
                            <w:w w:val="105"/>
                            <w:sz w:val="16"/>
                          </w:rPr>
                          <w:t> </w:t>
                        </w:r>
                        <w:r>
                          <w:rPr>
                            <w:color w:val="FFFFFF"/>
                            <w:w w:val="105"/>
                            <w:sz w:val="16"/>
                          </w:rPr>
                          <w:t>Features</w:t>
                        </w:r>
                        <w:r>
                          <w:rPr>
                            <w:color w:val="FFFFFF"/>
                            <w:spacing w:val="7"/>
                            <w:w w:val="105"/>
                            <w:sz w:val="16"/>
                          </w:rPr>
                          <w:t> </w:t>
                        </w:r>
                        <w:r>
                          <w:rPr>
                            <w:color w:val="FFFFFF"/>
                            <w:w w:val="105"/>
                            <w:sz w:val="16"/>
                          </w:rPr>
                          <w:t>of</w:t>
                        </w:r>
                        <w:r>
                          <w:rPr>
                            <w:color w:val="FFFFFF"/>
                            <w:spacing w:val="6"/>
                            <w:w w:val="105"/>
                            <w:sz w:val="16"/>
                          </w:rPr>
                          <w:t> </w:t>
                        </w:r>
                        <w:r>
                          <w:rPr>
                            <w:color w:val="FFFFFF"/>
                            <w:spacing w:val="-5"/>
                            <w:w w:val="105"/>
                            <w:sz w:val="16"/>
                          </w:rPr>
                          <w:t>TSC</w:t>
                        </w:r>
                      </w:p>
                    </w:txbxContent>
                  </v:textbox>
                  <v:fill type="solid"/>
                  <w10:wrap type="none"/>
                </v:shape>
                <v:shape style="position:absolute;left:6441;top:2537;width:1139;height:374" type="#_x0000_t202" id="docshape609"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596-</w:t>
                        </w:r>
                        <w:r>
                          <w:rPr>
                            <w:b/>
                            <w:color w:val="FFFFFF"/>
                            <w:spacing w:val="-10"/>
                            <w:w w:val="105"/>
                            <w:sz w:val="16"/>
                          </w:rPr>
                          <w:t>3</w:t>
                        </w:r>
                      </w:p>
                    </w:txbxContent>
                  </v:textbox>
                  <v:fill type="solid"/>
                  <w10:wrap type="none"/>
                </v:shape>
                <w10:wrap type="none"/>
              </v:group>
            </w:pict>
          </mc:Fallback>
        </mc:AlternateContent>
      </w:r>
      <w:r>
        <w:rPr>
          <w:sz w:val="20"/>
        </w:rPr>
        <mc:AlternateContent>
          <mc:Choice Requires="wps">
            <w:drawing>
              <wp:anchor distT="0" distB="0" distL="0" distR="0" allowOverlap="1" layoutInCell="1" locked="0" behindDoc="0" simplePos="0" relativeHeight="15770624">
                <wp:simplePos x="0" y="0"/>
                <wp:positionH relativeFrom="page">
                  <wp:posOffset>4090344</wp:posOffset>
                </wp:positionH>
                <wp:positionV relativeFrom="page">
                  <wp:posOffset>3379208</wp:posOffset>
                </wp:positionV>
                <wp:extent cx="2986405" cy="1270635"/>
                <wp:effectExtent l="0" t="0" r="0" b="0"/>
                <wp:wrapNone/>
                <wp:docPr id="719" name="Group 719"/>
                <wp:cNvGraphicFramePr>
                  <a:graphicFrameLocks/>
                </wp:cNvGraphicFramePr>
                <a:graphic>
                  <a:graphicData uri="http://schemas.microsoft.com/office/word/2010/wordprocessingGroup">
                    <wpg:wgp>
                      <wpg:cNvPr id="719" name="Group 719"/>
                      <wpg:cNvGrpSpPr/>
                      <wpg:grpSpPr>
                        <a:xfrm>
                          <a:off x="0" y="0"/>
                          <a:ext cx="2986405" cy="1270635"/>
                          <a:chExt cx="2986405" cy="1270635"/>
                        </a:xfrm>
                      </wpg:grpSpPr>
                      <wps:wsp>
                        <wps:cNvPr id="720" name="Textbox 720"/>
                        <wps:cNvSpPr txBox="1"/>
                        <wps:spPr>
                          <a:xfrm>
                            <a:off x="11" y="236979"/>
                            <a:ext cx="2986405" cy="1028065"/>
                          </a:xfrm>
                          <a:prstGeom prst="rect">
                            <a:avLst/>
                          </a:prstGeom>
                          <a:solidFill>
                            <a:srgbClr val="E8F5F1"/>
                          </a:solidFill>
                        </wps:spPr>
                        <wps:txbx>
                          <w:txbxContent>
                            <w:p>
                              <w:pPr>
                                <w:spacing w:line="232" w:lineRule="auto" w:before="51"/>
                                <w:ind w:left="74" w:right="1899" w:firstLine="0"/>
                                <w:jc w:val="left"/>
                                <w:rPr>
                                  <w:color w:val="000000"/>
                                  <w:sz w:val="15"/>
                                </w:rPr>
                              </w:pPr>
                              <w:r>
                                <w:rPr>
                                  <w:color w:val="231F20"/>
                                  <w:spacing w:val="-2"/>
                                  <w:sz w:val="15"/>
                                </w:rPr>
                                <w:t>Cerebral</w:t>
                              </w:r>
                              <w:r>
                                <w:rPr>
                                  <w:color w:val="231F20"/>
                                  <w:spacing w:val="-8"/>
                                  <w:sz w:val="15"/>
                                </w:rPr>
                                <w:t> </w:t>
                              </w:r>
                              <w:r>
                                <w:rPr>
                                  <w:color w:val="231F20"/>
                                  <w:spacing w:val="-2"/>
                                  <w:sz w:val="15"/>
                                </w:rPr>
                                <w:t>white</w:t>
                              </w:r>
                              <w:r>
                                <w:rPr>
                                  <w:color w:val="231F20"/>
                                  <w:spacing w:val="-8"/>
                                  <w:sz w:val="15"/>
                                </w:rPr>
                                <w:t> </w:t>
                              </w:r>
                              <w:r>
                                <w:rPr>
                                  <w:color w:val="231F20"/>
                                  <w:spacing w:val="-2"/>
                                  <w:sz w:val="15"/>
                                </w:rPr>
                                <w:t>matter</w:t>
                              </w:r>
                              <w:r>
                                <w:rPr>
                                  <w:color w:val="231F20"/>
                                  <w:spacing w:val="-8"/>
                                  <w:sz w:val="15"/>
                                </w:rPr>
                                <w:t> </w:t>
                              </w:r>
                              <w:r>
                                <w:rPr>
                                  <w:color w:val="231F20"/>
                                  <w:spacing w:val="-2"/>
                                  <w:sz w:val="15"/>
                                </w:rPr>
                                <w:t>migration</w:t>
                              </w:r>
                              <w:r>
                                <w:rPr>
                                  <w:color w:val="231F20"/>
                                  <w:spacing w:val="-8"/>
                                  <w:sz w:val="15"/>
                                </w:rPr>
                                <w:t> </w:t>
                              </w:r>
                              <w:r>
                                <w:rPr>
                                  <w:color w:val="231F20"/>
                                  <w:spacing w:val="-2"/>
                                  <w:sz w:val="15"/>
                                </w:rPr>
                                <w:t>lines </w:t>
                              </w:r>
                              <w:r>
                                <w:rPr>
                                  <w:color w:val="231F20"/>
                                  <w:sz w:val="15"/>
                                </w:rPr>
                                <w:t>Multiple dental pits</w:t>
                              </w:r>
                            </w:p>
                            <w:p>
                              <w:pPr>
                                <w:spacing w:line="232" w:lineRule="auto" w:before="1"/>
                                <w:ind w:left="74" w:right="3450" w:firstLine="0"/>
                                <w:jc w:val="left"/>
                                <w:rPr>
                                  <w:color w:val="000000"/>
                                  <w:sz w:val="15"/>
                                </w:rPr>
                              </w:pPr>
                              <w:r>
                                <w:rPr>
                                  <w:color w:val="231F20"/>
                                  <w:sz w:val="15"/>
                                </w:rPr>
                                <w:t>Gingival</w:t>
                              </w:r>
                              <w:r>
                                <w:rPr>
                                  <w:color w:val="231F20"/>
                                  <w:spacing w:val="-12"/>
                                  <w:sz w:val="15"/>
                                </w:rPr>
                                <w:t> </w:t>
                              </w:r>
                              <w:r>
                                <w:rPr>
                                  <w:color w:val="231F20"/>
                                  <w:sz w:val="15"/>
                                </w:rPr>
                                <w:t>fibromas Bone cysts</w:t>
                              </w:r>
                            </w:p>
                            <w:p>
                              <w:pPr>
                                <w:spacing w:line="232" w:lineRule="auto" w:before="1"/>
                                <w:ind w:left="74" w:right="2657" w:firstLine="0"/>
                                <w:jc w:val="left"/>
                                <w:rPr>
                                  <w:color w:val="000000"/>
                                  <w:sz w:val="15"/>
                                </w:rPr>
                              </w:pPr>
                              <w:r>
                                <w:rPr>
                                  <w:color w:val="231F20"/>
                                  <w:sz w:val="15"/>
                                </w:rPr>
                                <w:t>Retinal achromatic patch Confetti skin lesions</w:t>
                              </w:r>
                              <w:r>
                                <w:rPr>
                                  <w:color w:val="231F20"/>
                                  <w:spacing w:val="40"/>
                                  <w:sz w:val="15"/>
                                </w:rPr>
                                <w:t> </w:t>
                              </w:r>
                              <w:r>
                                <w:rPr>
                                  <w:color w:val="231F20"/>
                                  <w:sz w:val="15"/>
                                </w:rPr>
                                <w:t>Nonrenal hamartomas Multiple renal cysts Hamartomatous</w:t>
                              </w:r>
                              <w:r>
                                <w:rPr>
                                  <w:color w:val="231F20"/>
                                  <w:spacing w:val="-12"/>
                                  <w:sz w:val="15"/>
                                </w:rPr>
                                <w:t> </w:t>
                              </w:r>
                              <w:r>
                                <w:rPr>
                                  <w:color w:val="231F20"/>
                                  <w:sz w:val="15"/>
                                </w:rPr>
                                <w:t>rectal</w:t>
                              </w:r>
                              <w:r>
                                <w:rPr>
                                  <w:color w:val="231F20"/>
                                  <w:spacing w:val="-11"/>
                                  <w:sz w:val="15"/>
                                </w:rPr>
                                <w:t> </w:t>
                              </w:r>
                              <w:r>
                                <w:rPr>
                                  <w:color w:val="231F20"/>
                                  <w:sz w:val="15"/>
                                </w:rPr>
                                <w:t>polyps</w:t>
                              </w:r>
                            </w:p>
                          </w:txbxContent>
                        </wps:txbx>
                        <wps:bodyPr wrap="square" lIns="0" tIns="0" rIns="0" bIns="0" rtlCol="0">
                          <a:noAutofit/>
                        </wps:bodyPr>
                      </wps:wsp>
                      <wps:wsp>
                        <wps:cNvPr id="721" name="Graphic 721"/>
                        <wps:cNvSpPr/>
                        <wps:spPr>
                          <a:xfrm>
                            <a:off x="0" y="1258615"/>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722" name="Textbox 722"/>
                        <wps:cNvSpPr txBox="1"/>
                        <wps:spPr>
                          <a:xfrm>
                            <a:off x="734665" y="0"/>
                            <a:ext cx="2251710" cy="237490"/>
                          </a:xfrm>
                          <a:prstGeom prst="rect">
                            <a:avLst/>
                          </a:prstGeom>
                          <a:solidFill>
                            <a:srgbClr val="231F20"/>
                          </a:solidFill>
                        </wps:spPr>
                        <wps:txbx>
                          <w:txbxContent>
                            <w:p>
                              <w:pPr>
                                <w:spacing w:before="89"/>
                                <w:ind w:left="74" w:right="0" w:firstLine="0"/>
                                <w:jc w:val="left"/>
                                <w:rPr>
                                  <w:color w:val="000000"/>
                                  <w:sz w:val="16"/>
                                </w:rPr>
                              </w:pPr>
                              <w:r>
                                <w:rPr>
                                  <w:color w:val="FFFFFF"/>
                                  <w:w w:val="110"/>
                                  <w:sz w:val="16"/>
                                </w:rPr>
                                <w:t>Minor</w:t>
                              </w:r>
                              <w:r>
                                <w:rPr>
                                  <w:color w:val="FFFFFF"/>
                                  <w:spacing w:val="-11"/>
                                  <w:w w:val="110"/>
                                  <w:sz w:val="16"/>
                                </w:rPr>
                                <w:t> </w:t>
                              </w:r>
                              <w:r>
                                <w:rPr>
                                  <w:color w:val="FFFFFF"/>
                                  <w:w w:val="110"/>
                                  <w:sz w:val="16"/>
                                </w:rPr>
                                <w:t>Features</w:t>
                              </w:r>
                              <w:r>
                                <w:rPr>
                                  <w:color w:val="FFFFFF"/>
                                  <w:spacing w:val="-10"/>
                                  <w:w w:val="110"/>
                                  <w:sz w:val="16"/>
                                </w:rPr>
                                <w:t> </w:t>
                              </w:r>
                              <w:r>
                                <w:rPr>
                                  <w:color w:val="FFFFFF"/>
                                  <w:w w:val="110"/>
                                  <w:sz w:val="16"/>
                                </w:rPr>
                                <w:t>of</w:t>
                              </w:r>
                              <w:r>
                                <w:rPr>
                                  <w:color w:val="FFFFFF"/>
                                  <w:spacing w:val="-10"/>
                                  <w:w w:val="110"/>
                                  <w:sz w:val="16"/>
                                </w:rPr>
                                <w:t> </w:t>
                              </w:r>
                              <w:r>
                                <w:rPr>
                                  <w:color w:val="FFFFFF"/>
                                  <w:spacing w:val="-5"/>
                                  <w:w w:val="110"/>
                                  <w:sz w:val="16"/>
                                </w:rPr>
                                <w:t>TSC</w:t>
                              </w:r>
                            </w:p>
                          </w:txbxContent>
                        </wps:txbx>
                        <wps:bodyPr wrap="square" lIns="0" tIns="0" rIns="0" bIns="0" rtlCol="0">
                          <a:noAutofit/>
                        </wps:bodyPr>
                      </wps:wsp>
                      <wps:wsp>
                        <wps:cNvPr id="723" name="Textbox 723"/>
                        <wps:cNvSpPr txBox="1"/>
                        <wps:spPr>
                          <a:xfrm>
                            <a:off x="11" y="0"/>
                            <a:ext cx="723265" cy="23749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596-</w:t>
                              </w:r>
                              <w:r>
                                <w:rPr>
                                  <w:b/>
                                  <w:color w:val="FFFFFF"/>
                                  <w:spacing w:val="-10"/>
                                  <w:w w:val="105"/>
                                  <w:sz w:val="16"/>
                                </w:rPr>
                                <w:t>4</w:t>
                              </w:r>
                            </w:p>
                          </w:txbxContent>
                        </wps:txbx>
                        <wps:bodyPr wrap="square" lIns="0" tIns="0" rIns="0" bIns="0" rtlCol="0">
                          <a:noAutofit/>
                        </wps:bodyPr>
                      </wps:wsp>
                    </wpg:wgp>
                  </a:graphicData>
                </a:graphic>
              </wp:anchor>
            </w:drawing>
          </mc:Choice>
          <mc:Fallback>
            <w:pict>
              <v:group style="position:absolute;margin-left:322.074402pt;margin-top:266.079407pt;width:235.15pt;height:100.05pt;mso-position-horizontal-relative:page;mso-position-vertical-relative:page;z-index:15770624" id="docshapegroup610" coordorigin="6441,5322" coordsize="4703,2001">
                <v:shape style="position:absolute;left:6441;top:5694;width:4703;height:1619" type="#_x0000_t202" id="docshape611" filled="true" fillcolor="#e8f5f1" stroked="false">
                  <v:textbox inset="0,0,0,0">
                    <w:txbxContent>
                      <w:p>
                        <w:pPr>
                          <w:spacing w:line="232" w:lineRule="auto" w:before="51"/>
                          <w:ind w:left="74" w:right="1899" w:firstLine="0"/>
                          <w:jc w:val="left"/>
                          <w:rPr>
                            <w:color w:val="000000"/>
                            <w:sz w:val="15"/>
                          </w:rPr>
                        </w:pPr>
                        <w:r>
                          <w:rPr>
                            <w:color w:val="231F20"/>
                            <w:spacing w:val="-2"/>
                            <w:sz w:val="15"/>
                          </w:rPr>
                          <w:t>Cerebral</w:t>
                        </w:r>
                        <w:r>
                          <w:rPr>
                            <w:color w:val="231F20"/>
                            <w:spacing w:val="-8"/>
                            <w:sz w:val="15"/>
                          </w:rPr>
                          <w:t> </w:t>
                        </w:r>
                        <w:r>
                          <w:rPr>
                            <w:color w:val="231F20"/>
                            <w:spacing w:val="-2"/>
                            <w:sz w:val="15"/>
                          </w:rPr>
                          <w:t>white</w:t>
                        </w:r>
                        <w:r>
                          <w:rPr>
                            <w:color w:val="231F20"/>
                            <w:spacing w:val="-8"/>
                            <w:sz w:val="15"/>
                          </w:rPr>
                          <w:t> </w:t>
                        </w:r>
                        <w:r>
                          <w:rPr>
                            <w:color w:val="231F20"/>
                            <w:spacing w:val="-2"/>
                            <w:sz w:val="15"/>
                          </w:rPr>
                          <w:t>matter</w:t>
                        </w:r>
                        <w:r>
                          <w:rPr>
                            <w:color w:val="231F20"/>
                            <w:spacing w:val="-8"/>
                            <w:sz w:val="15"/>
                          </w:rPr>
                          <w:t> </w:t>
                        </w:r>
                        <w:r>
                          <w:rPr>
                            <w:color w:val="231F20"/>
                            <w:spacing w:val="-2"/>
                            <w:sz w:val="15"/>
                          </w:rPr>
                          <w:t>migration</w:t>
                        </w:r>
                        <w:r>
                          <w:rPr>
                            <w:color w:val="231F20"/>
                            <w:spacing w:val="-8"/>
                            <w:sz w:val="15"/>
                          </w:rPr>
                          <w:t> </w:t>
                        </w:r>
                        <w:r>
                          <w:rPr>
                            <w:color w:val="231F20"/>
                            <w:spacing w:val="-2"/>
                            <w:sz w:val="15"/>
                          </w:rPr>
                          <w:t>lines </w:t>
                        </w:r>
                        <w:r>
                          <w:rPr>
                            <w:color w:val="231F20"/>
                            <w:sz w:val="15"/>
                          </w:rPr>
                          <w:t>Multiple dental pits</w:t>
                        </w:r>
                      </w:p>
                      <w:p>
                        <w:pPr>
                          <w:spacing w:line="232" w:lineRule="auto" w:before="1"/>
                          <w:ind w:left="74" w:right="3450" w:firstLine="0"/>
                          <w:jc w:val="left"/>
                          <w:rPr>
                            <w:color w:val="000000"/>
                            <w:sz w:val="15"/>
                          </w:rPr>
                        </w:pPr>
                        <w:r>
                          <w:rPr>
                            <w:color w:val="231F20"/>
                            <w:sz w:val="15"/>
                          </w:rPr>
                          <w:t>Gingival</w:t>
                        </w:r>
                        <w:r>
                          <w:rPr>
                            <w:color w:val="231F20"/>
                            <w:spacing w:val="-12"/>
                            <w:sz w:val="15"/>
                          </w:rPr>
                          <w:t> </w:t>
                        </w:r>
                        <w:r>
                          <w:rPr>
                            <w:color w:val="231F20"/>
                            <w:sz w:val="15"/>
                          </w:rPr>
                          <w:t>fibromas Bone cysts</w:t>
                        </w:r>
                      </w:p>
                      <w:p>
                        <w:pPr>
                          <w:spacing w:line="232" w:lineRule="auto" w:before="1"/>
                          <w:ind w:left="74" w:right="2657" w:firstLine="0"/>
                          <w:jc w:val="left"/>
                          <w:rPr>
                            <w:color w:val="000000"/>
                            <w:sz w:val="15"/>
                          </w:rPr>
                        </w:pPr>
                        <w:r>
                          <w:rPr>
                            <w:color w:val="231F20"/>
                            <w:sz w:val="15"/>
                          </w:rPr>
                          <w:t>Retinal achromatic patch Confetti skin lesions</w:t>
                        </w:r>
                        <w:r>
                          <w:rPr>
                            <w:color w:val="231F20"/>
                            <w:spacing w:val="40"/>
                            <w:sz w:val="15"/>
                          </w:rPr>
                          <w:t> </w:t>
                        </w:r>
                        <w:r>
                          <w:rPr>
                            <w:color w:val="231F20"/>
                            <w:sz w:val="15"/>
                          </w:rPr>
                          <w:t>Nonrenal hamartomas Multiple renal cysts Hamartomatous</w:t>
                        </w:r>
                        <w:r>
                          <w:rPr>
                            <w:color w:val="231F20"/>
                            <w:spacing w:val="-12"/>
                            <w:sz w:val="15"/>
                          </w:rPr>
                          <w:t> </w:t>
                        </w:r>
                        <w:r>
                          <w:rPr>
                            <w:color w:val="231F20"/>
                            <w:sz w:val="15"/>
                          </w:rPr>
                          <w:t>rectal</w:t>
                        </w:r>
                        <w:r>
                          <w:rPr>
                            <w:color w:val="231F20"/>
                            <w:spacing w:val="-11"/>
                            <w:sz w:val="15"/>
                          </w:rPr>
                          <w:t> </w:t>
                        </w:r>
                        <w:r>
                          <w:rPr>
                            <w:color w:val="231F20"/>
                            <w:sz w:val="15"/>
                          </w:rPr>
                          <w:t>polyps</w:t>
                        </w:r>
                      </w:p>
                    </w:txbxContent>
                  </v:textbox>
                  <v:fill type="solid"/>
                  <w10:wrap type="none"/>
                </v:shape>
                <v:rect style="position:absolute;left:6441;top:7303;width:4703;height:19" id="docshape612" filled="true" fillcolor="#231f20" stroked="false">
                  <v:fill type="solid"/>
                </v:rect>
                <v:shape style="position:absolute;left:7598;top:5321;width:3546;height:374" type="#_x0000_t202" id="docshape613" filled="true" fillcolor="#231f20" stroked="false">
                  <v:textbox inset="0,0,0,0">
                    <w:txbxContent>
                      <w:p>
                        <w:pPr>
                          <w:spacing w:before="89"/>
                          <w:ind w:left="74" w:right="0" w:firstLine="0"/>
                          <w:jc w:val="left"/>
                          <w:rPr>
                            <w:color w:val="000000"/>
                            <w:sz w:val="16"/>
                          </w:rPr>
                        </w:pPr>
                        <w:r>
                          <w:rPr>
                            <w:color w:val="FFFFFF"/>
                            <w:w w:val="110"/>
                            <w:sz w:val="16"/>
                          </w:rPr>
                          <w:t>Minor</w:t>
                        </w:r>
                        <w:r>
                          <w:rPr>
                            <w:color w:val="FFFFFF"/>
                            <w:spacing w:val="-11"/>
                            <w:w w:val="110"/>
                            <w:sz w:val="16"/>
                          </w:rPr>
                          <w:t> </w:t>
                        </w:r>
                        <w:r>
                          <w:rPr>
                            <w:color w:val="FFFFFF"/>
                            <w:w w:val="110"/>
                            <w:sz w:val="16"/>
                          </w:rPr>
                          <w:t>Features</w:t>
                        </w:r>
                        <w:r>
                          <w:rPr>
                            <w:color w:val="FFFFFF"/>
                            <w:spacing w:val="-10"/>
                            <w:w w:val="110"/>
                            <w:sz w:val="16"/>
                          </w:rPr>
                          <w:t> </w:t>
                        </w:r>
                        <w:r>
                          <w:rPr>
                            <w:color w:val="FFFFFF"/>
                            <w:w w:val="110"/>
                            <w:sz w:val="16"/>
                          </w:rPr>
                          <w:t>of</w:t>
                        </w:r>
                        <w:r>
                          <w:rPr>
                            <w:color w:val="FFFFFF"/>
                            <w:spacing w:val="-10"/>
                            <w:w w:val="110"/>
                            <w:sz w:val="16"/>
                          </w:rPr>
                          <w:t> </w:t>
                        </w:r>
                        <w:r>
                          <w:rPr>
                            <w:color w:val="FFFFFF"/>
                            <w:spacing w:val="-5"/>
                            <w:w w:val="110"/>
                            <w:sz w:val="16"/>
                          </w:rPr>
                          <w:t>TSC</w:t>
                        </w:r>
                      </w:p>
                    </w:txbxContent>
                  </v:textbox>
                  <v:fill type="solid"/>
                  <w10:wrap type="none"/>
                </v:shape>
                <v:shape style="position:absolute;left:6441;top:5321;width:1139;height:374" type="#_x0000_t202" id="docshape614"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596-</w:t>
                        </w:r>
                        <w:r>
                          <w:rPr>
                            <w:b/>
                            <w:color w:val="FFFFFF"/>
                            <w:spacing w:val="-10"/>
                            <w:w w:val="105"/>
                            <w:sz w:val="16"/>
                          </w:rPr>
                          <w:t>4</w:t>
                        </w:r>
                      </w:p>
                    </w:txbxContent>
                  </v:textbox>
                  <v:fill type="solid"/>
                  <w10:wrap type="none"/>
                </v:shape>
                <w10:wrap type="none"/>
              </v:group>
            </w:pict>
          </mc:Fallback>
        </mc:AlternateContent>
      </w: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724" name="Group 724"/>
                <wp:cNvGraphicFramePr>
                  <a:graphicFrameLocks/>
                </wp:cNvGraphicFramePr>
                <a:graphic>
                  <a:graphicData uri="http://schemas.microsoft.com/office/word/2010/wordprocessingGroup">
                    <wpg:wgp>
                      <wpg:cNvPr id="724" name="Group 724"/>
                      <wpg:cNvGrpSpPr/>
                      <wpg:grpSpPr>
                        <a:xfrm>
                          <a:off x="0" y="0"/>
                          <a:ext cx="6185535" cy="170815"/>
                          <a:chExt cx="6185535" cy="170815"/>
                        </a:xfrm>
                      </wpg:grpSpPr>
                      <wps:wsp>
                        <wps:cNvPr id="725" name="Graphic 725"/>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26" name="Graphic 726"/>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27" name="Textbox 727"/>
                        <wps:cNvSpPr txBox="1"/>
                        <wps:spPr>
                          <a:xfrm>
                            <a:off x="0" y="0"/>
                            <a:ext cx="6185535" cy="170815"/>
                          </a:xfrm>
                          <a:prstGeom prst="rect">
                            <a:avLst/>
                          </a:prstGeom>
                        </wps:spPr>
                        <wps:txbx>
                          <w:txbxContent>
                            <w:p>
                              <w:pPr>
                                <w:spacing w:before="6"/>
                                <w:ind w:left="5302" w:right="0" w:firstLine="0"/>
                                <w:jc w:val="left"/>
                                <w:rPr>
                                  <w:b/>
                                  <w:sz w:val="18"/>
                                </w:rPr>
                              </w:pPr>
                              <w:r>
                                <w:rPr>
                                  <w:b/>
                                  <w:color w:val="007431"/>
                                  <w:w w:val="105"/>
                                  <w:sz w:val="18"/>
                                </w:rPr>
                                <w:t>Chapter</w:t>
                              </w:r>
                              <w:r>
                                <w:rPr>
                                  <w:b/>
                                  <w:color w:val="007431"/>
                                  <w:spacing w:val="17"/>
                                  <w:w w:val="105"/>
                                  <w:sz w:val="18"/>
                                </w:rPr>
                                <w:t> </w:t>
                              </w:r>
                              <w:r>
                                <w:rPr>
                                  <w:b/>
                                  <w:color w:val="007431"/>
                                  <w:w w:val="105"/>
                                  <w:sz w:val="18"/>
                                </w:rPr>
                                <w:t>596</w:t>
                              </w:r>
                              <w:r>
                                <w:rPr>
                                  <w:b/>
                                  <w:color w:val="007431"/>
                                  <w:spacing w:val="47"/>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Neurocutaneous</w:t>
                              </w:r>
                              <w:r>
                                <w:rPr>
                                  <w:color w:val="231F20"/>
                                  <w:spacing w:val="13"/>
                                  <w:w w:val="105"/>
                                  <w:sz w:val="18"/>
                                </w:rPr>
                                <w:t> </w:t>
                              </w:r>
                              <w:r>
                                <w:rPr>
                                  <w:color w:val="231F20"/>
                                  <w:w w:val="105"/>
                                  <w:sz w:val="18"/>
                                </w:rPr>
                                <w:t>Syndromes</w:t>
                              </w:r>
                              <w:r>
                                <w:rPr>
                                  <w:color w:val="231F20"/>
                                  <w:spacing w:val="47"/>
                                  <w:w w:val="105"/>
                                  <w:sz w:val="18"/>
                                </w:rPr>
                                <w:t>  </w:t>
                              </w:r>
                              <w:r>
                                <w:rPr>
                                  <w:b/>
                                  <w:color w:val="231F20"/>
                                  <w:spacing w:val="-4"/>
                                  <w:w w:val="105"/>
                                  <w:sz w:val="18"/>
                                </w:rPr>
                                <w:t>2875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15"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16" filled="false" stroked="false">
                  <v:textbox inset="0,0,0,0">
                    <w:txbxContent>
                      <w:p>
                        <w:pPr>
                          <w:spacing w:before="6"/>
                          <w:ind w:left="5302" w:right="0" w:firstLine="0"/>
                          <w:jc w:val="left"/>
                          <w:rPr>
                            <w:b/>
                            <w:sz w:val="18"/>
                          </w:rPr>
                        </w:pPr>
                        <w:r>
                          <w:rPr>
                            <w:b/>
                            <w:color w:val="007431"/>
                            <w:w w:val="105"/>
                            <w:sz w:val="18"/>
                          </w:rPr>
                          <w:t>Chapter</w:t>
                        </w:r>
                        <w:r>
                          <w:rPr>
                            <w:b/>
                            <w:color w:val="007431"/>
                            <w:spacing w:val="17"/>
                            <w:w w:val="105"/>
                            <w:sz w:val="18"/>
                          </w:rPr>
                          <w:t> </w:t>
                        </w:r>
                        <w:r>
                          <w:rPr>
                            <w:b/>
                            <w:color w:val="007431"/>
                            <w:w w:val="105"/>
                            <w:sz w:val="18"/>
                          </w:rPr>
                          <w:t>596</w:t>
                        </w:r>
                        <w:r>
                          <w:rPr>
                            <w:b/>
                            <w:color w:val="007431"/>
                            <w:spacing w:val="47"/>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Neurocutaneous</w:t>
                        </w:r>
                        <w:r>
                          <w:rPr>
                            <w:color w:val="231F20"/>
                            <w:spacing w:val="13"/>
                            <w:w w:val="105"/>
                            <w:sz w:val="18"/>
                          </w:rPr>
                          <w:t> </w:t>
                        </w:r>
                        <w:r>
                          <w:rPr>
                            <w:color w:val="231F20"/>
                            <w:w w:val="105"/>
                            <w:sz w:val="18"/>
                          </w:rPr>
                          <w:t>Syndromes</w:t>
                        </w:r>
                        <w:r>
                          <w:rPr>
                            <w:color w:val="231F20"/>
                            <w:spacing w:val="47"/>
                            <w:w w:val="105"/>
                            <w:sz w:val="18"/>
                          </w:rPr>
                          <w:t>  </w:t>
                        </w:r>
                        <w:r>
                          <w:rPr>
                            <w:b/>
                            <w:color w:val="231F20"/>
                            <w:spacing w:val="-4"/>
                            <w:w w:val="105"/>
                            <w:sz w:val="18"/>
                          </w:rPr>
                          <w:t>2875</w:t>
                        </w:r>
                      </w:p>
                    </w:txbxContent>
                  </v:textbox>
                  <w10:wrap type="none"/>
                </v:shape>
              </v:group>
            </w:pict>
          </mc:Fallback>
        </mc:AlternateContent>
      </w:r>
      <w:r>
        <w:rPr>
          <w:sz w:val="20"/>
        </w:rPr>
      </w:r>
    </w:p>
    <w:p>
      <w:pPr>
        <w:pStyle w:val="BodyText"/>
        <w:rPr>
          <w:sz w:val="20"/>
        </w:rPr>
      </w:pPr>
    </w:p>
    <w:p>
      <w:pPr>
        <w:pStyle w:val="BodyText"/>
        <w:spacing w:before="174"/>
        <w:rPr>
          <w:sz w:val="20"/>
        </w:rPr>
      </w:pPr>
    </w:p>
    <w:tbl>
      <w:tblPr>
        <w:tblW w:w="0" w:type="auto"/>
        <w:jc w:val="left"/>
        <w:tblInd w:w="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366"/>
        <w:gridCol w:w="2190"/>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596-</w:t>
            </w:r>
            <w:r>
              <w:rPr>
                <w:b/>
                <w:color w:val="FFFFFF"/>
                <w:spacing w:val="-10"/>
                <w:w w:val="105"/>
                <w:sz w:val="16"/>
              </w:rPr>
              <w:t>2</w:t>
            </w:r>
          </w:p>
        </w:tc>
        <w:tc>
          <w:tcPr>
            <w:tcW w:w="3556" w:type="dxa"/>
            <w:gridSpan w:val="2"/>
            <w:tcBorders>
              <w:left w:val="single" w:sz="8" w:space="0" w:color="FFFFFF"/>
            </w:tcBorders>
            <w:shd w:val="clear" w:color="auto" w:fill="231F20"/>
          </w:tcPr>
          <w:p>
            <w:pPr>
              <w:pStyle w:val="TableParagraph"/>
              <w:spacing w:before="89"/>
              <w:ind w:left="73" w:right="314"/>
              <w:rPr>
                <w:sz w:val="16"/>
              </w:rPr>
            </w:pPr>
            <w:r>
              <w:rPr>
                <w:color w:val="FFFFFF"/>
                <w:w w:val="105"/>
                <w:sz w:val="16"/>
              </w:rPr>
              <w:t>Frequency of Lesions Associated </w:t>
            </w:r>
            <w:r>
              <w:rPr>
                <w:color w:val="FFFFFF"/>
                <w:w w:val="105"/>
                <w:sz w:val="16"/>
              </w:rPr>
              <w:t>with Neurofibromatosis Type 2</w:t>
            </w:r>
          </w:p>
        </w:tc>
      </w:tr>
      <w:tr>
        <w:trPr>
          <w:trHeight w:val="425" w:hRule="atLeast"/>
        </w:trPr>
        <w:tc>
          <w:tcPr>
            <w:tcW w:w="4704" w:type="dxa"/>
            <w:gridSpan w:val="3"/>
            <w:tcBorders>
              <w:bottom w:val="single" w:sz="4" w:space="0" w:color="231F20"/>
            </w:tcBorders>
            <w:shd w:val="clear" w:color="auto" w:fill="E8F5F1"/>
          </w:tcPr>
          <w:p>
            <w:pPr>
              <w:pStyle w:val="TableParagraph"/>
              <w:spacing w:line="230" w:lineRule="auto" w:before="53"/>
              <w:ind w:left="2722" w:right="98" w:firstLine="341"/>
              <w:rPr>
                <w:b/>
                <w:sz w:val="15"/>
              </w:rPr>
            </w:pPr>
            <w:r>
              <w:rPr>
                <w:b/>
                <w:color w:val="231F20"/>
                <w:w w:val="110"/>
                <w:sz w:val="15"/>
              </w:rPr>
              <w:t>FREQUENCY OF ASSOCIATION</w:t>
            </w:r>
            <w:r>
              <w:rPr>
                <w:b/>
                <w:color w:val="231F20"/>
                <w:spacing w:val="-13"/>
                <w:w w:val="110"/>
                <w:sz w:val="15"/>
              </w:rPr>
              <w:t> </w:t>
            </w:r>
            <w:r>
              <w:rPr>
                <w:b/>
                <w:color w:val="231F20"/>
                <w:w w:val="110"/>
                <w:sz w:val="15"/>
              </w:rPr>
              <w:t>WITH</w:t>
            </w:r>
            <w:r>
              <w:rPr>
                <w:b/>
                <w:color w:val="231F20"/>
                <w:spacing w:val="-12"/>
                <w:w w:val="110"/>
                <w:sz w:val="15"/>
              </w:rPr>
              <w:t> </w:t>
            </w:r>
            <w:r>
              <w:rPr>
                <w:b/>
                <w:color w:val="231F20"/>
                <w:w w:val="110"/>
                <w:sz w:val="15"/>
              </w:rPr>
              <w:t>NF-</w:t>
            </w:r>
            <w:r>
              <w:rPr>
                <w:b/>
                <w:color w:val="231F20"/>
                <w:w w:val="110"/>
                <w:sz w:val="15"/>
              </w:rPr>
              <w:t>2</w:t>
            </w:r>
          </w:p>
        </w:tc>
      </w:tr>
      <w:tr>
        <w:trPr>
          <w:trHeight w:val="218" w:hRule="atLeast"/>
        </w:trPr>
        <w:tc>
          <w:tcPr>
            <w:tcW w:w="2514" w:type="dxa"/>
            <w:gridSpan w:val="2"/>
            <w:tcBorders>
              <w:top w:val="single" w:sz="4" w:space="0" w:color="231F20"/>
            </w:tcBorders>
            <w:shd w:val="clear" w:color="auto" w:fill="E8F5F1"/>
          </w:tcPr>
          <w:p>
            <w:pPr>
              <w:pStyle w:val="TableParagraph"/>
              <w:spacing w:line="156" w:lineRule="exact" w:before="43"/>
              <w:ind w:left="74"/>
              <w:rPr>
                <w:sz w:val="15"/>
              </w:rPr>
            </w:pPr>
            <w:r>
              <w:rPr>
                <w:color w:val="231F20"/>
                <w:w w:val="115"/>
                <w:sz w:val="15"/>
              </w:rPr>
              <w:t>NEUROLOGIC</w:t>
            </w:r>
            <w:r>
              <w:rPr>
                <w:color w:val="231F20"/>
                <w:spacing w:val="-12"/>
                <w:w w:val="115"/>
                <w:sz w:val="15"/>
              </w:rPr>
              <w:t> </w:t>
            </w:r>
            <w:r>
              <w:rPr>
                <w:color w:val="231F20"/>
                <w:spacing w:val="-2"/>
                <w:w w:val="115"/>
                <w:sz w:val="15"/>
              </w:rPr>
              <w:t>LESIONS</w:t>
            </w:r>
          </w:p>
        </w:tc>
        <w:tc>
          <w:tcPr>
            <w:tcW w:w="2190" w:type="dxa"/>
            <w:tcBorders>
              <w:top w:val="single" w:sz="4" w:space="0" w:color="231F20"/>
            </w:tcBorders>
            <w:shd w:val="clear" w:color="auto" w:fill="E8F5F1"/>
          </w:tcPr>
          <w:p>
            <w:pPr>
              <w:pStyle w:val="TableParagraph"/>
              <w:rPr>
                <w:rFonts w:ascii="Times New Roman"/>
                <w:sz w:val="14"/>
              </w:rPr>
            </w:pPr>
          </w:p>
        </w:tc>
      </w:tr>
      <w:tr>
        <w:trPr>
          <w:trHeight w:val="167" w:hRule="atLeast"/>
        </w:trPr>
        <w:tc>
          <w:tcPr>
            <w:tcW w:w="2514" w:type="dxa"/>
            <w:gridSpan w:val="2"/>
            <w:shd w:val="clear" w:color="auto" w:fill="E8F5F1"/>
          </w:tcPr>
          <w:p>
            <w:pPr>
              <w:pStyle w:val="TableParagraph"/>
              <w:spacing w:line="148" w:lineRule="exact"/>
              <w:ind w:left="74"/>
              <w:rPr>
                <w:sz w:val="15"/>
              </w:rPr>
            </w:pPr>
            <w:r>
              <w:rPr>
                <w:color w:val="231F20"/>
                <w:spacing w:val="-4"/>
                <w:sz w:val="15"/>
              </w:rPr>
              <w:t>Bilateral</w:t>
            </w:r>
            <w:r>
              <w:rPr>
                <w:color w:val="231F20"/>
                <w:spacing w:val="2"/>
                <w:sz w:val="15"/>
              </w:rPr>
              <w:t> </w:t>
            </w:r>
            <w:r>
              <w:rPr>
                <w:color w:val="231F20"/>
                <w:spacing w:val="-4"/>
                <w:sz w:val="15"/>
              </w:rPr>
              <w:t>vestibular</w:t>
            </w:r>
            <w:r>
              <w:rPr>
                <w:color w:val="231F20"/>
                <w:spacing w:val="2"/>
                <w:sz w:val="15"/>
              </w:rPr>
              <w:t> </w:t>
            </w:r>
            <w:r>
              <w:rPr>
                <w:color w:val="231F20"/>
                <w:spacing w:val="-4"/>
                <w:sz w:val="15"/>
              </w:rPr>
              <w:t>schwannomas</w:t>
            </w:r>
          </w:p>
        </w:tc>
        <w:tc>
          <w:tcPr>
            <w:tcW w:w="2190" w:type="dxa"/>
            <w:shd w:val="clear" w:color="auto" w:fill="E8F5F1"/>
          </w:tcPr>
          <w:p>
            <w:pPr>
              <w:pStyle w:val="TableParagraph"/>
              <w:spacing w:line="148" w:lineRule="exact"/>
              <w:ind w:left="184"/>
              <w:rPr>
                <w:sz w:val="15"/>
              </w:rPr>
            </w:pPr>
            <w:r>
              <w:rPr>
                <w:color w:val="231F20"/>
                <w:sz w:val="15"/>
              </w:rPr>
              <w:t>90-</w:t>
            </w:r>
            <w:r>
              <w:rPr>
                <w:color w:val="231F20"/>
                <w:spacing w:val="-5"/>
                <w:sz w:val="15"/>
              </w:rPr>
              <w:t>95%</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pacing w:val="-2"/>
                <w:sz w:val="15"/>
              </w:rPr>
              <w:t>Other</w:t>
            </w:r>
            <w:r>
              <w:rPr>
                <w:color w:val="231F20"/>
                <w:spacing w:val="-1"/>
                <w:sz w:val="15"/>
              </w:rPr>
              <w:t> </w:t>
            </w:r>
            <w:r>
              <w:rPr>
                <w:color w:val="231F20"/>
                <w:spacing w:val="-2"/>
                <w:sz w:val="15"/>
              </w:rPr>
              <w:t>cranial</w:t>
            </w:r>
            <w:r>
              <w:rPr>
                <w:color w:val="231F20"/>
                <w:spacing w:val="-1"/>
                <w:sz w:val="15"/>
              </w:rPr>
              <w:t> </w:t>
            </w:r>
            <w:r>
              <w:rPr>
                <w:color w:val="231F20"/>
                <w:spacing w:val="-2"/>
                <w:sz w:val="15"/>
              </w:rPr>
              <w:t>nerve</w:t>
            </w:r>
            <w:r>
              <w:rPr>
                <w:color w:val="231F20"/>
                <w:spacing w:val="-1"/>
                <w:sz w:val="15"/>
              </w:rPr>
              <w:t> </w:t>
            </w:r>
            <w:r>
              <w:rPr>
                <w:color w:val="231F20"/>
                <w:spacing w:val="-2"/>
                <w:sz w:val="15"/>
              </w:rPr>
              <w:t>schwannomas</w:t>
            </w:r>
          </w:p>
        </w:tc>
        <w:tc>
          <w:tcPr>
            <w:tcW w:w="2190" w:type="dxa"/>
            <w:shd w:val="clear" w:color="auto" w:fill="E8F5F1"/>
          </w:tcPr>
          <w:p>
            <w:pPr>
              <w:pStyle w:val="TableParagraph"/>
              <w:spacing w:line="149" w:lineRule="exact"/>
              <w:ind w:left="184"/>
              <w:rPr>
                <w:sz w:val="15"/>
              </w:rPr>
            </w:pPr>
            <w:r>
              <w:rPr>
                <w:color w:val="231F20"/>
                <w:sz w:val="15"/>
              </w:rPr>
              <w:t>24-</w:t>
            </w:r>
            <w:r>
              <w:rPr>
                <w:color w:val="231F20"/>
                <w:spacing w:val="-5"/>
                <w:sz w:val="15"/>
              </w:rPr>
              <w:t>51%</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w w:val="90"/>
                <w:sz w:val="15"/>
              </w:rPr>
              <w:t>Intracranial</w:t>
            </w:r>
            <w:r>
              <w:rPr>
                <w:color w:val="231F20"/>
                <w:spacing w:val="24"/>
                <w:sz w:val="15"/>
              </w:rPr>
              <w:t> </w:t>
            </w:r>
            <w:r>
              <w:rPr>
                <w:color w:val="231F20"/>
                <w:spacing w:val="-2"/>
                <w:sz w:val="15"/>
              </w:rPr>
              <w:t>meningiomas</w:t>
            </w:r>
          </w:p>
        </w:tc>
        <w:tc>
          <w:tcPr>
            <w:tcW w:w="2190" w:type="dxa"/>
            <w:shd w:val="clear" w:color="auto" w:fill="E8F5F1"/>
          </w:tcPr>
          <w:p>
            <w:pPr>
              <w:pStyle w:val="TableParagraph"/>
              <w:spacing w:line="149" w:lineRule="exact"/>
              <w:ind w:left="184"/>
              <w:rPr>
                <w:sz w:val="15"/>
              </w:rPr>
            </w:pPr>
            <w:r>
              <w:rPr>
                <w:color w:val="231F20"/>
                <w:sz w:val="15"/>
              </w:rPr>
              <w:t>45-</w:t>
            </w:r>
            <w:r>
              <w:rPr>
                <w:color w:val="231F20"/>
                <w:spacing w:val="-5"/>
                <w:sz w:val="15"/>
              </w:rPr>
              <w:t>58%</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z w:val="15"/>
              </w:rPr>
              <w:t>Spinal</w:t>
            </w:r>
            <w:r>
              <w:rPr>
                <w:color w:val="231F20"/>
                <w:spacing w:val="-1"/>
                <w:sz w:val="15"/>
              </w:rPr>
              <w:t> </w:t>
            </w:r>
            <w:r>
              <w:rPr>
                <w:color w:val="231F20"/>
                <w:spacing w:val="-2"/>
                <w:sz w:val="15"/>
              </w:rPr>
              <w:t>tumors</w:t>
            </w:r>
          </w:p>
        </w:tc>
        <w:tc>
          <w:tcPr>
            <w:tcW w:w="2190" w:type="dxa"/>
            <w:shd w:val="clear" w:color="auto" w:fill="E8F5F1"/>
          </w:tcPr>
          <w:p>
            <w:pPr>
              <w:pStyle w:val="TableParagraph"/>
              <w:spacing w:line="149" w:lineRule="exact"/>
              <w:ind w:left="184"/>
              <w:rPr>
                <w:sz w:val="15"/>
              </w:rPr>
            </w:pPr>
            <w:r>
              <w:rPr>
                <w:color w:val="231F20"/>
                <w:sz w:val="15"/>
              </w:rPr>
              <w:t>63-</w:t>
            </w:r>
            <w:r>
              <w:rPr>
                <w:color w:val="231F20"/>
                <w:spacing w:val="-5"/>
                <w:sz w:val="15"/>
              </w:rPr>
              <w:t>90%</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pacing w:val="-2"/>
                <w:sz w:val="15"/>
              </w:rPr>
              <w:t>Extramedullary</w:t>
            </w:r>
          </w:p>
        </w:tc>
        <w:tc>
          <w:tcPr>
            <w:tcW w:w="2190" w:type="dxa"/>
            <w:shd w:val="clear" w:color="auto" w:fill="E8F5F1"/>
          </w:tcPr>
          <w:p>
            <w:pPr>
              <w:pStyle w:val="TableParagraph"/>
              <w:spacing w:line="149" w:lineRule="exact"/>
              <w:ind w:left="184"/>
              <w:rPr>
                <w:sz w:val="15"/>
              </w:rPr>
            </w:pPr>
            <w:r>
              <w:rPr>
                <w:color w:val="231F20"/>
                <w:sz w:val="15"/>
              </w:rPr>
              <w:t>55-</w:t>
            </w:r>
            <w:r>
              <w:rPr>
                <w:color w:val="231F20"/>
                <w:spacing w:val="-5"/>
                <w:sz w:val="15"/>
              </w:rPr>
              <w:t>90%</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pacing w:val="-2"/>
                <w:sz w:val="15"/>
              </w:rPr>
              <w:t>Intramedullary</w:t>
            </w:r>
          </w:p>
        </w:tc>
        <w:tc>
          <w:tcPr>
            <w:tcW w:w="2190" w:type="dxa"/>
            <w:shd w:val="clear" w:color="auto" w:fill="E8F5F1"/>
          </w:tcPr>
          <w:p>
            <w:pPr>
              <w:pStyle w:val="TableParagraph"/>
              <w:spacing w:line="149" w:lineRule="exact"/>
              <w:ind w:left="184"/>
              <w:rPr>
                <w:sz w:val="15"/>
              </w:rPr>
            </w:pPr>
            <w:r>
              <w:rPr>
                <w:color w:val="231F20"/>
                <w:sz w:val="15"/>
              </w:rPr>
              <w:t>18-</w:t>
            </w:r>
            <w:r>
              <w:rPr>
                <w:color w:val="231F20"/>
                <w:spacing w:val="-5"/>
                <w:sz w:val="15"/>
              </w:rPr>
              <w:t>53%</w:t>
            </w:r>
          </w:p>
        </w:tc>
      </w:tr>
      <w:tr>
        <w:trPr>
          <w:trHeight w:val="206" w:hRule="atLeast"/>
        </w:trPr>
        <w:tc>
          <w:tcPr>
            <w:tcW w:w="2514" w:type="dxa"/>
            <w:gridSpan w:val="2"/>
            <w:tcBorders>
              <w:bottom w:val="single" w:sz="4" w:space="0" w:color="FFFFFF"/>
            </w:tcBorders>
            <w:shd w:val="clear" w:color="auto" w:fill="E8F5F1"/>
          </w:tcPr>
          <w:p>
            <w:pPr>
              <w:pStyle w:val="TableParagraph"/>
              <w:spacing w:line="170" w:lineRule="exact"/>
              <w:ind w:left="74"/>
              <w:rPr>
                <w:sz w:val="15"/>
              </w:rPr>
            </w:pPr>
            <w:r>
              <w:rPr>
                <w:color w:val="231F20"/>
                <w:spacing w:val="-2"/>
                <w:sz w:val="15"/>
              </w:rPr>
              <w:t>Peripheral</w:t>
            </w:r>
            <w:r>
              <w:rPr>
                <w:color w:val="231F20"/>
                <w:sz w:val="15"/>
              </w:rPr>
              <w:t> </w:t>
            </w:r>
            <w:r>
              <w:rPr>
                <w:color w:val="231F20"/>
                <w:spacing w:val="-2"/>
                <w:sz w:val="15"/>
              </w:rPr>
              <w:t>neuropathy</w:t>
            </w:r>
          </w:p>
        </w:tc>
        <w:tc>
          <w:tcPr>
            <w:tcW w:w="2190" w:type="dxa"/>
            <w:tcBorders>
              <w:bottom w:val="single" w:sz="4" w:space="0" w:color="FFFFFF"/>
            </w:tcBorders>
            <w:shd w:val="clear" w:color="auto" w:fill="E8F5F1"/>
          </w:tcPr>
          <w:p>
            <w:pPr>
              <w:pStyle w:val="TableParagraph"/>
              <w:spacing w:line="170" w:lineRule="exact"/>
              <w:ind w:left="184"/>
              <w:rPr>
                <w:sz w:val="15"/>
              </w:rPr>
            </w:pPr>
            <w:r>
              <w:rPr>
                <w:color w:val="231F20"/>
                <w:sz w:val="15"/>
              </w:rPr>
              <w:t>Up</w:t>
            </w:r>
            <w:r>
              <w:rPr>
                <w:color w:val="231F20"/>
                <w:spacing w:val="5"/>
                <w:sz w:val="15"/>
              </w:rPr>
              <w:t> </w:t>
            </w:r>
            <w:r>
              <w:rPr>
                <w:color w:val="231F20"/>
                <w:sz w:val="15"/>
              </w:rPr>
              <w:t>to</w:t>
            </w:r>
            <w:r>
              <w:rPr>
                <w:color w:val="231F20"/>
                <w:spacing w:val="5"/>
                <w:sz w:val="15"/>
              </w:rPr>
              <w:t> </w:t>
            </w:r>
            <w:r>
              <w:rPr>
                <w:color w:val="231F20"/>
                <w:spacing w:val="-5"/>
                <w:sz w:val="15"/>
              </w:rPr>
              <w:t>66%</w:t>
            </w:r>
          </w:p>
        </w:tc>
      </w:tr>
      <w:tr>
        <w:trPr>
          <w:trHeight w:val="218" w:hRule="atLeast"/>
        </w:trPr>
        <w:tc>
          <w:tcPr>
            <w:tcW w:w="2514" w:type="dxa"/>
            <w:gridSpan w:val="2"/>
            <w:tcBorders>
              <w:top w:val="single" w:sz="4" w:space="0" w:color="FFFFFF"/>
            </w:tcBorders>
            <w:shd w:val="clear" w:color="auto" w:fill="E8F5F1"/>
          </w:tcPr>
          <w:p>
            <w:pPr>
              <w:pStyle w:val="TableParagraph"/>
              <w:spacing w:line="156" w:lineRule="exact" w:before="43"/>
              <w:ind w:left="74"/>
              <w:rPr>
                <w:sz w:val="15"/>
              </w:rPr>
            </w:pPr>
            <w:r>
              <w:rPr>
                <w:color w:val="231F20"/>
                <w:spacing w:val="2"/>
                <w:w w:val="110"/>
                <w:sz w:val="15"/>
              </w:rPr>
              <w:t>OPHTHALMOLOGIC</w:t>
            </w:r>
            <w:r>
              <w:rPr>
                <w:color w:val="231F20"/>
                <w:spacing w:val="19"/>
                <w:w w:val="115"/>
                <w:sz w:val="15"/>
              </w:rPr>
              <w:t> </w:t>
            </w:r>
            <w:r>
              <w:rPr>
                <w:color w:val="231F20"/>
                <w:spacing w:val="-2"/>
                <w:w w:val="115"/>
                <w:sz w:val="15"/>
              </w:rPr>
              <w:t>LESIONS</w:t>
            </w:r>
          </w:p>
        </w:tc>
        <w:tc>
          <w:tcPr>
            <w:tcW w:w="2190" w:type="dxa"/>
            <w:tcBorders>
              <w:top w:val="single" w:sz="4" w:space="0" w:color="FFFFFF"/>
            </w:tcBorders>
            <w:shd w:val="clear" w:color="auto" w:fill="E8F5F1"/>
          </w:tcPr>
          <w:p>
            <w:pPr>
              <w:pStyle w:val="TableParagraph"/>
              <w:rPr>
                <w:rFonts w:ascii="Times New Roman"/>
                <w:sz w:val="14"/>
              </w:rPr>
            </w:pPr>
          </w:p>
        </w:tc>
      </w:tr>
      <w:tr>
        <w:trPr>
          <w:trHeight w:val="167" w:hRule="atLeast"/>
        </w:trPr>
        <w:tc>
          <w:tcPr>
            <w:tcW w:w="2514" w:type="dxa"/>
            <w:gridSpan w:val="2"/>
            <w:shd w:val="clear" w:color="auto" w:fill="E8F5F1"/>
          </w:tcPr>
          <w:p>
            <w:pPr>
              <w:pStyle w:val="TableParagraph"/>
              <w:spacing w:line="148" w:lineRule="exact"/>
              <w:ind w:left="74"/>
              <w:rPr>
                <w:sz w:val="15"/>
              </w:rPr>
            </w:pPr>
            <w:r>
              <w:rPr>
                <w:color w:val="231F20"/>
                <w:spacing w:val="-2"/>
                <w:sz w:val="15"/>
              </w:rPr>
              <w:t>Cataracts</w:t>
            </w:r>
          </w:p>
        </w:tc>
        <w:tc>
          <w:tcPr>
            <w:tcW w:w="2190" w:type="dxa"/>
            <w:shd w:val="clear" w:color="auto" w:fill="E8F5F1"/>
          </w:tcPr>
          <w:p>
            <w:pPr>
              <w:pStyle w:val="TableParagraph"/>
              <w:spacing w:line="148" w:lineRule="exact"/>
              <w:ind w:left="184"/>
              <w:rPr>
                <w:sz w:val="15"/>
              </w:rPr>
            </w:pPr>
            <w:r>
              <w:rPr>
                <w:color w:val="231F20"/>
                <w:sz w:val="15"/>
              </w:rPr>
              <w:t>60-</w:t>
            </w:r>
            <w:r>
              <w:rPr>
                <w:color w:val="231F20"/>
                <w:spacing w:val="-5"/>
                <w:sz w:val="15"/>
              </w:rPr>
              <w:t>81%</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pacing w:val="-2"/>
                <w:sz w:val="15"/>
              </w:rPr>
              <w:t>Epiretinal</w:t>
            </w:r>
            <w:r>
              <w:rPr>
                <w:color w:val="231F20"/>
                <w:spacing w:val="-6"/>
                <w:sz w:val="15"/>
              </w:rPr>
              <w:t> </w:t>
            </w:r>
            <w:r>
              <w:rPr>
                <w:color w:val="231F20"/>
                <w:spacing w:val="-2"/>
                <w:sz w:val="15"/>
              </w:rPr>
              <w:t>membranes</w:t>
            </w:r>
          </w:p>
        </w:tc>
        <w:tc>
          <w:tcPr>
            <w:tcW w:w="2190" w:type="dxa"/>
            <w:shd w:val="clear" w:color="auto" w:fill="E8F5F1"/>
          </w:tcPr>
          <w:p>
            <w:pPr>
              <w:pStyle w:val="TableParagraph"/>
              <w:spacing w:line="149" w:lineRule="exact"/>
              <w:ind w:left="184"/>
              <w:rPr>
                <w:sz w:val="15"/>
              </w:rPr>
            </w:pPr>
            <w:r>
              <w:rPr>
                <w:color w:val="231F20"/>
                <w:sz w:val="15"/>
              </w:rPr>
              <w:t>12-</w:t>
            </w:r>
            <w:r>
              <w:rPr>
                <w:color w:val="231F20"/>
                <w:spacing w:val="-5"/>
                <w:sz w:val="15"/>
              </w:rPr>
              <w:t>40%</w:t>
            </w:r>
          </w:p>
        </w:tc>
      </w:tr>
      <w:tr>
        <w:trPr>
          <w:trHeight w:val="206" w:hRule="atLeast"/>
        </w:trPr>
        <w:tc>
          <w:tcPr>
            <w:tcW w:w="2514" w:type="dxa"/>
            <w:gridSpan w:val="2"/>
            <w:tcBorders>
              <w:bottom w:val="single" w:sz="4" w:space="0" w:color="FFFFFF"/>
            </w:tcBorders>
            <w:shd w:val="clear" w:color="auto" w:fill="E8F5F1"/>
          </w:tcPr>
          <w:p>
            <w:pPr>
              <w:pStyle w:val="TableParagraph"/>
              <w:spacing w:line="170" w:lineRule="exact"/>
              <w:ind w:left="74"/>
              <w:rPr>
                <w:sz w:val="15"/>
              </w:rPr>
            </w:pPr>
            <w:r>
              <w:rPr>
                <w:color w:val="231F20"/>
                <w:spacing w:val="-2"/>
                <w:sz w:val="15"/>
              </w:rPr>
              <w:t>Retinal</w:t>
            </w:r>
            <w:r>
              <w:rPr>
                <w:color w:val="231F20"/>
                <w:spacing w:val="-9"/>
                <w:sz w:val="15"/>
              </w:rPr>
              <w:t> </w:t>
            </w:r>
            <w:r>
              <w:rPr>
                <w:color w:val="231F20"/>
                <w:spacing w:val="-2"/>
                <w:sz w:val="15"/>
              </w:rPr>
              <w:t>hamartomas</w:t>
            </w:r>
          </w:p>
        </w:tc>
        <w:tc>
          <w:tcPr>
            <w:tcW w:w="2190" w:type="dxa"/>
            <w:tcBorders>
              <w:bottom w:val="single" w:sz="4" w:space="0" w:color="FFFFFF"/>
            </w:tcBorders>
            <w:shd w:val="clear" w:color="auto" w:fill="E8F5F1"/>
          </w:tcPr>
          <w:p>
            <w:pPr>
              <w:pStyle w:val="TableParagraph"/>
              <w:spacing w:line="170" w:lineRule="exact"/>
              <w:ind w:left="184"/>
              <w:rPr>
                <w:sz w:val="15"/>
              </w:rPr>
            </w:pPr>
            <w:r>
              <w:rPr>
                <w:color w:val="231F20"/>
                <w:w w:val="105"/>
                <w:sz w:val="15"/>
              </w:rPr>
              <w:t>6-</w:t>
            </w:r>
            <w:r>
              <w:rPr>
                <w:color w:val="231F20"/>
                <w:spacing w:val="-5"/>
                <w:w w:val="105"/>
                <w:sz w:val="15"/>
              </w:rPr>
              <w:t>22%</w:t>
            </w:r>
          </w:p>
        </w:tc>
      </w:tr>
      <w:tr>
        <w:trPr>
          <w:trHeight w:val="218" w:hRule="atLeast"/>
        </w:trPr>
        <w:tc>
          <w:tcPr>
            <w:tcW w:w="2514" w:type="dxa"/>
            <w:gridSpan w:val="2"/>
            <w:tcBorders>
              <w:top w:val="single" w:sz="4" w:space="0" w:color="FFFFFF"/>
            </w:tcBorders>
            <w:shd w:val="clear" w:color="auto" w:fill="E8F5F1"/>
          </w:tcPr>
          <w:p>
            <w:pPr>
              <w:pStyle w:val="TableParagraph"/>
              <w:spacing w:line="156" w:lineRule="exact" w:before="43"/>
              <w:ind w:left="74"/>
              <w:rPr>
                <w:sz w:val="15"/>
              </w:rPr>
            </w:pPr>
            <w:r>
              <w:rPr>
                <w:color w:val="231F20"/>
                <w:w w:val="115"/>
                <w:sz w:val="15"/>
              </w:rPr>
              <w:t>CUTANEOUS</w:t>
            </w:r>
            <w:r>
              <w:rPr>
                <w:color w:val="231F20"/>
                <w:spacing w:val="-11"/>
                <w:w w:val="115"/>
                <w:sz w:val="15"/>
              </w:rPr>
              <w:t> </w:t>
            </w:r>
            <w:r>
              <w:rPr>
                <w:color w:val="231F20"/>
                <w:spacing w:val="-2"/>
                <w:w w:val="115"/>
                <w:sz w:val="15"/>
              </w:rPr>
              <w:t>LESIONS</w:t>
            </w:r>
          </w:p>
        </w:tc>
        <w:tc>
          <w:tcPr>
            <w:tcW w:w="2190" w:type="dxa"/>
            <w:tcBorders>
              <w:top w:val="single" w:sz="4" w:space="0" w:color="FFFFFF"/>
            </w:tcBorders>
            <w:shd w:val="clear" w:color="auto" w:fill="E8F5F1"/>
          </w:tcPr>
          <w:p>
            <w:pPr>
              <w:pStyle w:val="TableParagraph"/>
              <w:rPr>
                <w:rFonts w:ascii="Times New Roman"/>
                <w:sz w:val="14"/>
              </w:rPr>
            </w:pPr>
          </w:p>
        </w:tc>
      </w:tr>
      <w:tr>
        <w:trPr>
          <w:trHeight w:val="167" w:hRule="atLeast"/>
        </w:trPr>
        <w:tc>
          <w:tcPr>
            <w:tcW w:w="2514" w:type="dxa"/>
            <w:gridSpan w:val="2"/>
            <w:shd w:val="clear" w:color="auto" w:fill="E8F5F1"/>
          </w:tcPr>
          <w:p>
            <w:pPr>
              <w:pStyle w:val="TableParagraph"/>
              <w:spacing w:line="148" w:lineRule="exact"/>
              <w:ind w:left="74"/>
              <w:rPr>
                <w:sz w:val="15"/>
              </w:rPr>
            </w:pPr>
            <w:r>
              <w:rPr>
                <w:color w:val="231F20"/>
                <w:sz w:val="15"/>
              </w:rPr>
              <w:t>Skin</w:t>
            </w:r>
            <w:r>
              <w:rPr>
                <w:color w:val="231F20"/>
                <w:spacing w:val="-1"/>
                <w:sz w:val="15"/>
              </w:rPr>
              <w:t> </w:t>
            </w:r>
            <w:r>
              <w:rPr>
                <w:color w:val="231F20"/>
                <w:spacing w:val="-2"/>
                <w:sz w:val="15"/>
              </w:rPr>
              <w:t>tumors</w:t>
            </w:r>
          </w:p>
        </w:tc>
        <w:tc>
          <w:tcPr>
            <w:tcW w:w="2190" w:type="dxa"/>
            <w:shd w:val="clear" w:color="auto" w:fill="E8F5F1"/>
          </w:tcPr>
          <w:p>
            <w:pPr>
              <w:pStyle w:val="TableParagraph"/>
              <w:spacing w:line="148" w:lineRule="exact"/>
              <w:ind w:left="184"/>
              <w:rPr>
                <w:sz w:val="15"/>
              </w:rPr>
            </w:pPr>
            <w:r>
              <w:rPr>
                <w:color w:val="231F20"/>
                <w:sz w:val="15"/>
              </w:rPr>
              <w:t>59-</w:t>
            </w:r>
            <w:r>
              <w:rPr>
                <w:color w:val="231F20"/>
                <w:spacing w:val="-5"/>
                <w:sz w:val="15"/>
              </w:rPr>
              <w:t>68%</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z w:val="15"/>
              </w:rPr>
              <w:t>Skin</w:t>
            </w:r>
            <w:r>
              <w:rPr>
                <w:color w:val="231F20"/>
                <w:spacing w:val="1"/>
                <w:sz w:val="15"/>
              </w:rPr>
              <w:t> </w:t>
            </w:r>
            <w:r>
              <w:rPr>
                <w:color w:val="231F20"/>
                <w:spacing w:val="-2"/>
                <w:sz w:val="15"/>
              </w:rPr>
              <w:t>plaques</w:t>
            </w:r>
          </w:p>
        </w:tc>
        <w:tc>
          <w:tcPr>
            <w:tcW w:w="2190" w:type="dxa"/>
            <w:shd w:val="clear" w:color="auto" w:fill="E8F5F1"/>
          </w:tcPr>
          <w:p>
            <w:pPr>
              <w:pStyle w:val="TableParagraph"/>
              <w:spacing w:line="149" w:lineRule="exact"/>
              <w:ind w:left="184"/>
              <w:rPr>
                <w:sz w:val="15"/>
              </w:rPr>
            </w:pPr>
            <w:r>
              <w:rPr>
                <w:color w:val="231F20"/>
                <w:sz w:val="15"/>
              </w:rPr>
              <w:t>41-</w:t>
            </w:r>
            <w:r>
              <w:rPr>
                <w:color w:val="231F20"/>
                <w:spacing w:val="-5"/>
                <w:sz w:val="15"/>
              </w:rPr>
              <w:t>48%</w:t>
            </w:r>
          </w:p>
        </w:tc>
      </w:tr>
      <w:tr>
        <w:trPr>
          <w:trHeight w:val="169" w:hRule="atLeast"/>
        </w:trPr>
        <w:tc>
          <w:tcPr>
            <w:tcW w:w="2514" w:type="dxa"/>
            <w:gridSpan w:val="2"/>
            <w:shd w:val="clear" w:color="auto" w:fill="E8F5F1"/>
          </w:tcPr>
          <w:p>
            <w:pPr>
              <w:pStyle w:val="TableParagraph"/>
              <w:spacing w:line="149" w:lineRule="exact"/>
              <w:ind w:left="74"/>
              <w:rPr>
                <w:sz w:val="15"/>
              </w:rPr>
            </w:pPr>
            <w:r>
              <w:rPr>
                <w:color w:val="231F20"/>
                <w:sz w:val="15"/>
              </w:rPr>
              <w:t>Subcutaneous</w:t>
            </w:r>
            <w:r>
              <w:rPr>
                <w:color w:val="231F20"/>
                <w:spacing w:val="19"/>
                <w:sz w:val="15"/>
              </w:rPr>
              <w:t> </w:t>
            </w:r>
            <w:r>
              <w:rPr>
                <w:color w:val="231F20"/>
                <w:spacing w:val="-2"/>
                <w:sz w:val="15"/>
              </w:rPr>
              <w:t>tumors</w:t>
            </w:r>
          </w:p>
        </w:tc>
        <w:tc>
          <w:tcPr>
            <w:tcW w:w="2190" w:type="dxa"/>
            <w:shd w:val="clear" w:color="auto" w:fill="E8F5F1"/>
          </w:tcPr>
          <w:p>
            <w:pPr>
              <w:pStyle w:val="TableParagraph"/>
              <w:spacing w:line="149" w:lineRule="exact"/>
              <w:ind w:left="184"/>
              <w:rPr>
                <w:sz w:val="15"/>
              </w:rPr>
            </w:pPr>
            <w:r>
              <w:rPr>
                <w:color w:val="231F20"/>
                <w:sz w:val="15"/>
              </w:rPr>
              <w:t>43-</w:t>
            </w:r>
            <w:r>
              <w:rPr>
                <w:color w:val="231F20"/>
                <w:spacing w:val="-5"/>
                <w:sz w:val="15"/>
              </w:rPr>
              <w:t>48%</w:t>
            </w:r>
          </w:p>
        </w:tc>
      </w:tr>
      <w:tr>
        <w:trPr>
          <w:trHeight w:val="211" w:hRule="atLeast"/>
        </w:trPr>
        <w:tc>
          <w:tcPr>
            <w:tcW w:w="2514" w:type="dxa"/>
            <w:gridSpan w:val="2"/>
            <w:shd w:val="clear" w:color="auto" w:fill="E8F5F1"/>
          </w:tcPr>
          <w:p>
            <w:pPr>
              <w:pStyle w:val="TableParagraph"/>
              <w:spacing w:line="170" w:lineRule="exact"/>
              <w:ind w:left="74"/>
              <w:rPr>
                <w:sz w:val="15"/>
              </w:rPr>
            </w:pPr>
            <w:r>
              <w:rPr>
                <w:color w:val="231F20"/>
                <w:spacing w:val="-2"/>
                <w:sz w:val="15"/>
              </w:rPr>
              <w:t>Intradermal</w:t>
            </w:r>
            <w:r>
              <w:rPr>
                <w:color w:val="231F20"/>
                <w:spacing w:val="-9"/>
                <w:sz w:val="15"/>
              </w:rPr>
              <w:t> </w:t>
            </w:r>
            <w:r>
              <w:rPr>
                <w:color w:val="231F20"/>
                <w:spacing w:val="-2"/>
                <w:sz w:val="15"/>
              </w:rPr>
              <w:t>tumors</w:t>
            </w:r>
          </w:p>
        </w:tc>
        <w:tc>
          <w:tcPr>
            <w:tcW w:w="2190" w:type="dxa"/>
            <w:shd w:val="clear" w:color="auto" w:fill="E8F5F1"/>
          </w:tcPr>
          <w:p>
            <w:pPr>
              <w:pStyle w:val="TableParagraph"/>
              <w:spacing w:line="170" w:lineRule="exact"/>
              <w:ind w:left="184"/>
              <w:rPr>
                <w:sz w:val="15"/>
              </w:rPr>
            </w:pPr>
            <w:r>
              <w:rPr>
                <w:color w:val="231F20"/>
                <w:spacing w:val="-4"/>
                <w:sz w:val="15"/>
              </w:rPr>
              <w:t>Rare</w:t>
            </w:r>
          </w:p>
        </w:tc>
      </w:tr>
    </w:tbl>
    <w:p>
      <w:pPr>
        <w:pStyle w:val="BodyText"/>
        <w:rPr>
          <w:sz w:val="20"/>
        </w:rPr>
      </w:pPr>
    </w:p>
    <w:p>
      <w:pPr>
        <w:pStyle w:val="BodyText"/>
        <w:rPr>
          <w:sz w:val="20"/>
        </w:rPr>
      </w:pPr>
    </w:p>
    <w:p>
      <w:pPr>
        <w:pStyle w:val="BodyText"/>
        <w:rPr>
          <w:sz w:val="20"/>
        </w:rPr>
      </w:pPr>
    </w:p>
    <w:p>
      <w:pPr>
        <w:pStyle w:val="BodyText"/>
        <w:spacing w:before="118"/>
        <w:rPr>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644"/>
        <w:gridCol w:w="6950"/>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596-</w:t>
            </w:r>
            <w:r>
              <w:rPr>
                <w:b/>
                <w:color w:val="FFFFFF"/>
                <w:spacing w:val="-10"/>
                <w:w w:val="105"/>
                <w:sz w:val="16"/>
              </w:rPr>
              <w:t>1</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Diseases</w:t>
            </w:r>
            <w:r>
              <w:rPr>
                <w:color w:val="FFFFFF"/>
                <w:spacing w:val="13"/>
                <w:w w:val="105"/>
                <w:sz w:val="16"/>
              </w:rPr>
              <w:t> </w:t>
            </w:r>
            <w:r>
              <w:rPr>
                <w:color w:val="FFFFFF"/>
                <w:w w:val="105"/>
                <w:sz w:val="16"/>
              </w:rPr>
              <w:t>Associated</w:t>
            </w:r>
            <w:r>
              <w:rPr>
                <w:color w:val="FFFFFF"/>
                <w:spacing w:val="13"/>
                <w:w w:val="105"/>
                <w:sz w:val="16"/>
              </w:rPr>
              <w:t> </w:t>
            </w:r>
            <w:r>
              <w:rPr>
                <w:color w:val="FFFFFF"/>
                <w:w w:val="105"/>
                <w:sz w:val="16"/>
              </w:rPr>
              <w:t>with</w:t>
            </w:r>
            <w:r>
              <w:rPr>
                <w:color w:val="FFFFFF"/>
                <w:spacing w:val="13"/>
                <w:w w:val="105"/>
                <w:sz w:val="16"/>
              </w:rPr>
              <w:t> </w:t>
            </w:r>
            <w:r>
              <w:rPr>
                <w:color w:val="FFFFFF"/>
                <w:w w:val="105"/>
                <w:sz w:val="16"/>
              </w:rPr>
              <w:t>Multiple</w:t>
            </w:r>
            <w:r>
              <w:rPr>
                <w:color w:val="FFFFFF"/>
                <w:spacing w:val="13"/>
                <w:w w:val="105"/>
                <w:sz w:val="16"/>
              </w:rPr>
              <w:t> </w:t>
            </w:r>
            <w:r>
              <w:rPr>
                <w:color w:val="FFFFFF"/>
                <w:w w:val="105"/>
                <w:sz w:val="16"/>
              </w:rPr>
              <w:t>Café-Au-Lait</w:t>
            </w:r>
            <w:r>
              <w:rPr>
                <w:color w:val="FFFFFF"/>
                <w:spacing w:val="13"/>
                <w:w w:val="105"/>
                <w:sz w:val="16"/>
              </w:rPr>
              <w:t> </w:t>
            </w:r>
            <w:r>
              <w:rPr>
                <w:color w:val="FFFFFF"/>
                <w:spacing w:val="-2"/>
                <w:w w:val="105"/>
                <w:sz w:val="16"/>
              </w:rPr>
              <w:t>Spots</w:t>
            </w:r>
          </w:p>
        </w:tc>
      </w:tr>
      <w:tr>
        <w:trPr>
          <w:trHeight w:val="276" w:hRule="atLeast"/>
        </w:trPr>
        <w:tc>
          <w:tcPr>
            <w:tcW w:w="2792"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DISEASE</w:t>
            </w:r>
          </w:p>
        </w:tc>
        <w:tc>
          <w:tcPr>
            <w:tcW w:w="6950" w:type="dxa"/>
            <w:tcBorders>
              <w:bottom w:val="single" w:sz="4" w:space="0" w:color="231F20"/>
            </w:tcBorders>
            <w:shd w:val="clear" w:color="auto" w:fill="E8F5F1"/>
          </w:tcPr>
          <w:p>
            <w:pPr>
              <w:pStyle w:val="TableParagraph"/>
              <w:spacing w:before="66"/>
              <w:ind w:left="157"/>
              <w:jc w:val="center"/>
              <w:rPr>
                <w:b/>
                <w:sz w:val="15"/>
              </w:rPr>
            </w:pPr>
            <w:r>
              <w:rPr>
                <w:b/>
                <w:color w:val="231F20"/>
                <w:w w:val="110"/>
                <w:sz w:val="15"/>
              </w:rPr>
              <w:t>MAJOR</w:t>
            </w:r>
            <w:r>
              <w:rPr>
                <w:b/>
                <w:color w:val="231F20"/>
                <w:spacing w:val="15"/>
                <w:w w:val="110"/>
                <w:sz w:val="15"/>
              </w:rPr>
              <w:t> </w:t>
            </w:r>
            <w:r>
              <w:rPr>
                <w:b/>
                <w:color w:val="231F20"/>
                <w:spacing w:val="-2"/>
                <w:w w:val="110"/>
                <w:sz w:val="15"/>
              </w:rPr>
              <w:t>FEATURES</w:t>
            </w:r>
          </w:p>
        </w:tc>
      </w:tr>
      <w:tr>
        <w:trPr>
          <w:trHeight w:val="257" w:hRule="atLeast"/>
        </w:trPr>
        <w:tc>
          <w:tcPr>
            <w:tcW w:w="279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Ataxia</w:t>
            </w:r>
            <w:r>
              <w:rPr>
                <w:color w:val="231F20"/>
                <w:sz w:val="15"/>
              </w:rPr>
              <w:t> </w:t>
            </w:r>
            <w:r>
              <w:rPr>
                <w:color w:val="231F20"/>
                <w:spacing w:val="-2"/>
                <w:sz w:val="15"/>
              </w:rPr>
              <w:t>telangiectasia</w:t>
            </w:r>
          </w:p>
        </w:tc>
        <w:tc>
          <w:tcPr>
            <w:tcW w:w="6950" w:type="dxa"/>
            <w:tcBorders>
              <w:top w:val="single" w:sz="4" w:space="0" w:color="231F20"/>
              <w:bottom w:val="single" w:sz="4" w:space="0" w:color="FFFFFF"/>
            </w:tcBorders>
            <w:shd w:val="clear" w:color="auto" w:fill="E8F5F1"/>
          </w:tcPr>
          <w:p>
            <w:pPr>
              <w:pStyle w:val="TableParagraph"/>
              <w:spacing w:before="47"/>
              <w:ind w:left="233"/>
              <w:rPr>
                <w:sz w:val="15"/>
              </w:rPr>
            </w:pPr>
            <w:r>
              <w:rPr>
                <w:color w:val="231F20"/>
                <w:spacing w:val="-2"/>
                <w:sz w:val="15"/>
              </w:rPr>
              <w:t>Progressive</w:t>
            </w:r>
            <w:r>
              <w:rPr>
                <w:color w:val="231F20"/>
                <w:spacing w:val="-6"/>
                <w:sz w:val="15"/>
              </w:rPr>
              <w:t> </w:t>
            </w:r>
            <w:r>
              <w:rPr>
                <w:color w:val="231F20"/>
                <w:spacing w:val="-2"/>
                <w:sz w:val="15"/>
              </w:rPr>
              <w:t>ataxia,</w:t>
            </w:r>
            <w:r>
              <w:rPr>
                <w:color w:val="231F20"/>
                <w:spacing w:val="-5"/>
                <w:sz w:val="15"/>
              </w:rPr>
              <w:t> </w:t>
            </w:r>
            <w:r>
              <w:rPr>
                <w:color w:val="231F20"/>
                <w:spacing w:val="-2"/>
                <w:sz w:val="15"/>
              </w:rPr>
              <w:t>lymphoreticular</w:t>
            </w:r>
            <w:r>
              <w:rPr>
                <w:color w:val="231F20"/>
                <w:spacing w:val="-5"/>
                <w:sz w:val="15"/>
              </w:rPr>
              <w:t> </w:t>
            </w:r>
            <w:r>
              <w:rPr>
                <w:color w:val="231F20"/>
                <w:spacing w:val="-2"/>
                <w:sz w:val="15"/>
              </w:rPr>
              <w:t>malignancy</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Bannayan-Riley-Ruvalcaba</w:t>
            </w:r>
            <w:r>
              <w:rPr>
                <w:color w:val="231F20"/>
                <w:spacing w:val="13"/>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Macrosomia,</w:t>
            </w:r>
            <w:r>
              <w:rPr>
                <w:color w:val="231F20"/>
                <w:spacing w:val="8"/>
                <w:sz w:val="15"/>
              </w:rPr>
              <w:t> </w:t>
            </w:r>
            <w:r>
              <w:rPr>
                <w:color w:val="231F20"/>
                <w:spacing w:val="-2"/>
                <w:sz w:val="15"/>
              </w:rPr>
              <w:t>megalencephaly,</w:t>
            </w:r>
            <w:r>
              <w:rPr>
                <w:color w:val="231F20"/>
                <w:spacing w:val="8"/>
                <w:sz w:val="15"/>
              </w:rPr>
              <w:t> </w:t>
            </w:r>
            <w:r>
              <w:rPr>
                <w:color w:val="231F20"/>
                <w:spacing w:val="-2"/>
                <w:sz w:val="15"/>
              </w:rPr>
              <w:t>lipomas,</w:t>
            </w:r>
            <w:r>
              <w:rPr>
                <w:color w:val="231F20"/>
                <w:spacing w:val="9"/>
                <w:sz w:val="15"/>
              </w:rPr>
              <w:t> </w:t>
            </w:r>
            <w:r>
              <w:rPr>
                <w:color w:val="231F20"/>
                <w:spacing w:val="-2"/>
                <w:sz w:val="15"/>
              </w:rPr>
              <w:t>intestinal</w:t>
            </w:r>
            <w:r>
              <w:rPr>
                <w:color w:val="231F20"/>
                <w:spacing w:val="8"/>
                <w:sz w:val="15"/>
              </w:rPr>
              <w:t> </w:t>
            </w:r>
            <w:r>
              <w:rPr>
                <w:color w:val="231F20"/>
                <w:spacing w:val="-2"/>
                <w:sz w:val="15"/>
              </w:rPr>
              <w:t>polyps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Basal</w:t>
            </w:r>
            <w:r>
              <w:rPr>
                <w:color w:val="231F20"/>
                <w:spacing w:val="-6"/>
                <w:sz w:val="15"/>
              </w:rPr>
              <w:t> </w:t>
            </w:r>
            <w:r>
              <w:rPr>
                <w:color w:val="231F20"/>
                <w:sz w:val="15"/>
              </w:rPr>
              <w:t>cell</w:t>
            </w:r>
            <w:r>
              <w:rPr>
                <w:color w:val="231F20"/>
                <w:spacing w:val="-6"/>
                <w:sz w:val="15"/>
              </w:rPr>
              <w:t> </w:t>
            </w:r>
            <w:r>
              <w:rPr>
                <w:color w:val="231F20"/>
                <w:sz w:val="15"/>
              </w:rPr>
              <w:t>nevus</w:t>
            </w:r>
            <w:r>
              <w:rPr>
                <w:color w:val="231F20"/>
                <w:spacing w:val="-5"/>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Multiple</w:t>
            </w:r>
            <w:r>
              <w:rPr>
                <w:color w:val="231F20"/>
                <w:spacing w:val="-6"/>
                <w:sz w:val="15"/>
              </w:rPr>
              <w:t> </w:t>
            </w:r>
            <w:r>
              <w:rPr>
                <w:color w:val="231F20"/>
                <w:spacing w:val="-2"/>
                <w:sz w:val="15"/>
              </w:rPr>
              <w:t>basal</w:t>
            </w:r>
            <w:r>
              <w:rPr>
                <w:color w:val="231F20"/>
                <w:spacing w:val="-6"/>
                <w:sz w:val="15"/>
              </w:rPr>
              <w:t> </w:t>
            </w:r>
            <w:r>
              <w:rPr>
                <w:color w:val="231F20"/>
                <w:spacing w:val="-2"/>
                <w:sz w:val="15"/>
              </w:rPr>
              <w:t>cell</w:t>
            </w:r>
            <w:r>
              <w:rPr>
                <w:color w:val="231F20"/>
                <w:spacing w:val="-6"/>
                <w:sz w:val="15"/>
              </w:rPr>
              <w:t> </w:t>
            </w:r>
            <w:r>
              <w:rPr>
                <w:color w:val="231F20"/>
                <w:spacing w:val="-2"/>
                <w:sz w:val="15"/>
              </w:rPr>
              <w:t>epitheliomas,</w:t>
            </w:r>
            <w:r>
              <w:rPr>
                <w:color w:val="231F20"/>
                <w:spacing w:val="-6"/>
                <w:sz w:val="15"/>
              </w:rPr>
              <w:t> </w:t>
            </w:r>
            <w:r>
              <w:rPr>
                <w:color w:val="231F20"/>
                <w:spacing w:val="-2"/>
                <w:sz w:val="15"/>
              </w:rPr>
              <w:t>jaw</w:t>
            </w:r>
            <w:r>
              <w:rPr>
                <w:color w:val="231F20"/>
                <w:spacing w:val="-6"/>
                <w:sz w:val="15"/>
              </w:rPr>
              <w:t> </w:t>
            </w:r>
            <w:r>
              <w:rPr>
                <w:color w:val="231F20"/>
                <w:spacing w:val="-2"/>
                <w:sz w:val="15"/>
              </w:rPr>
              <w:t>cysts,</w:t>
            </w:r>
            <w:r>
              <w:rPr>
                <w:color w:val="231F20"/>
                <w:spacing w:val="-6"/>
                <w:sz w:val="15"/>
              </w:rPr>
              <w:t> </w:t>
            </w:r>
            <w:r>
              <w:rPr>
                <w:color w:val="231F20"/>
                <w:spacing w:val="-2"/>
                <w:sz w:val="15"/>
              </w:rPr>
              <w:t>skeletal</w:t>
            </w:r>
            <w:r>
              <w:rPr>
                <w:color w:val="231F20"/>
                <w:spacing w:val="-6"/>
                <w:sz w:val="15"/>
              </w:rPr>
              <w:t> </w:t>
            </w:r>
            <w:r>
              <w:rPr>
                <w:color w:val="231F20"/>
                <w:spacing w:val="-2"/>
                <w:sz w:val="15"/>
              </w:rPr>
              <w:t>anomalies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Bloom</w:t>
            </w:r>
            <w:r>
              <w:rPr>
                <w:color w:val="231F20"/>
                <w:spacing w:val="-6"/>
                <w:w w:val="105"/>
                <w:sz w:val="15"/>
              </w:rPr>
              <w:t> </w:t>
            </w:r>
            <w:r>
              <w:rPr>
                <w:color w:val="231F20"/>
                <w:spacing w:val="-2"/>
                <w:w w:val="105"/>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Short</w:t>
            </w:r>
            <w:r>
              <w:rPr>
                <w:color w:val="231F20"/>
                <w:spacing w:val="1"/>
                <w:sz w:val="15"/>
              </w:rPr>
              <w:t> </w:t>
            </w:r>
            <w:r>
              <w:rPr>
                <w:color w:val="231F20"/>
                <w:spacing w:val="-2"/>
                <w:sz w:val="15"/>
              </w:rPr>
              <w:t>stature,</w:t>
            </w:r>
            <w:r>
              <w:rPr>
                <w:color w:val="231F20"/>
                <w:spacing w:val="2"/>
                <w:sz w:val="15"/>
              </w:rPr>
              <w:t> </w:t>
            </w:r>
            <w:r>
              <w:rPr>
                <w:color w:val="231F20"/>
                <w:spacing w:val="-2"/>
                <w:sz w:val="15"/>
              </w:rPr>
              <w:t>photosensitivity,</w:t>
            </w:r>
            <w:r>
              <w:rPr>
                <w:color w:val="231F20"/>
                <w:spacing w:val="2"/>
                <w:sz w:val="15"/>
              </w:rPr>
              <w:t> </w:t>
            </w:r>
            <w:r>
              <w:rPr>
                <w:color w:val="231F20"/>
                <w:spacing w:val="-2"/>
                <w:sz w:val="15"/>
              </w:rPr>
              <w:t>chromosome</w:t>
            </w:r>
            <w:r>
              <w:rPr>
                <w:color w:val="231F20"/>
                <w:spacing w:val="1"/>
                <w:sz w:val="15"/>
              </w:rPr>
              <w:t> </w:t>
            </w:r>
            <w:r>
              <w:rPr>
                <w:color w:val="231F20"/>
                <w:spacing w:val="-2"/>
                <w:sz w:val="15"/>
              </w:rPr>
              <w:t>breaks,</w:t>
            </w:r>
            <w:r>
              <w:rPr>
                <w:color w:val="231F20"/>
                <w:spacing w:val="2"/>
                <w:sz w:val="15"/>
              </w:rPr>
              <w:t> </w:t>
            </w:r>
            <w:r>
              <w:rPr>
                <w:color w:val="231F20"/>
                <w:spacing w:val="-2"/>
                <w:sz w:val="15"/>
              </w:rPr>
              <w:t>malignancy</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Fanconi</w:t>
            </w:r>
            <w:r>
              <w:rPr>
                <w:color w:val="231F20"/>
                <w:spacing w:val="1"/>
                <w:sz w:val="15"/>
              </w:rPr>
              <w:t> </w:t>
            </w:r>
            <w:r>
              <w:rPr>
                <w:color w:val="231F20"/>
                <w:spacing w:val="-2"/>
                <w:sz w:val="15"/>
              </w:rPr>
              <w:t>anemia</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Limb anomalies,</w:t>
            </w:r>
            <w:r>
              <w:rPr>
                <w:color w:val="231F20"/>
                <w:sz w:val="15"/>
              </w:rPr>
              <w:t> </w:t>
            </w:r>
            <w:r>
              <w:rPr>
                <w:color w:val="231F20"/>
                <w:spacing w:val="-2"/>
                <w:sz w:val="15"/>
              </w:rPr>
              <w:t>renal</w:t>
            </w:r>
            <w:r>
              <w:rPr>
                <w:color w:val="231F20"/>
                <w:sz w:val="15"/>
              </w:rPr>
              <w:t> </w:t>
            </w:r>
            <w:r>
              <w:rPr>
                <w:color w:val="231F20"/>
                <w:spacing w:val="-2"/>
                <w:sz w:val="15"/>
              </w:rPr>
              <w:t>anomalies,</w:t>
            </w:r>
            <w:r>
              <w:rPr>
                <w:color w:val="231F20"/>
                <w:spacing w:val="1"/>
                <w:sz w:val="15"/>
              </w:rPr>
              <w:t> </w:t>
            </w:r>
            <w:r>
              <w:rPr>
                <w:color w:val="231F20"/>
                <w:spacing w:val="-2"/>
                <w:sz w:val="15"/>
              </w:rPr>
              <w:t>pancytopenia</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Gaucher</w:t>
            </w:r>
            <w:r>
              <w:rPr>
                <w:color w:val="231F20"/>
                <w:spacing w:val="6"/>
                <w:sz w:val="15"/>
              </w:rPr>
              <w:t> </w:t>
            </w:r>
            <w:r>
              <w:rPr>
                <w:color w:val="231F20"/>
                <w:spacing w:val="-2"/>
                <w:sz w:val="15"/>
              </w:rPr>
              <w:t>disease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Jewish</w:t>
            </w:r>
            <w:r>
              <w:rPr>
                <w:color w:val="231F20"/>
                <w:spacing w:val="-10"/>
                <w:sz w:val="15"/>
              </w:rPr>
              <w:t> </w:t>
            </w:r>
            <w:r>
              <w:rPr>
                <w:color w:val="231F20"/>
                <w:spacing w:val="-2"/>
                <w:sz w:val="15"/>
              </w:rPr>
              <w:t>predilection,</w:t>
            </w:r>
            <w:r>
              <w:rPr>
                <w:color w:val="231F20"/>
                <w:spacing w:val="-9"/>
                <w:sz w:val="15"/>
              </w:rPr>
              <w:t> </w:t>
            </w:r>
            <w:r>
              <w:rPr>
                <w:color w:val="231F20"/>
                <w:spacing w:val="-2"/>
                <w:sz w:val="15"/>
              </w:rPr>
              <w:t>ataxia,</w:t>
            </w:r>
            <w:r>
              <w:rPr>
                <w:color w:val="231F20"/>
                <w:spacing w:val="-9"/>
                <w:sz w:val="15"/>
              </w:rPr>
              <w:t> </w:t>
            </w:r>
            <w:r>
              <w:rPr>
                <w:color w:val="231F20"/>
                <w:spacing w:val="-2"/>
                <w:sz w:val="15"/>
              </w:rPr>
              <w:t>mental</w:t>
            </w:r>
            <w:r>
              <w:rPr>
                <w:color w:val="231F20"/>
                <w:spacing w:val="-9"/>
                <w:sz w:val="15"/>
              </w:rPr>
              <w:t> </w:t>
            </w:r>
            <w:r>
              <w:rPr>
                <w:color w:val="231F20"/>
                <w:spacing w:val="-2"/>
                <w:sz w:val="15"/>
              </w:rPr>
              <w:t>retardation</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Hunter</w:t>
            </w:r>
            <w:r>
              <w:rPr>
                <w:color w:val="231F20"/>
                <w:spacing w:val="-9"/>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Thickened</w:t>
            </w:r>
            <w:r>
              <w:rPr>
                <w:color w:val="231F20"/>
                <w:spacing w:val="-3"/>
                <w:sz w:val="15"/>
              </w:rPr>
              <w:t> </w:t>
            </w:r>
            <w:r>
              <w:rPr>
                <w:color w:val="231F20"/>
                <w:spacing w:val="-2"/>
                <w:sz w:val="15"/>
              </w:rPr>
              <w:t>skin,</w:t>
            </w:r>
            <w:r>
              <w:rPr>
                <w:color w:val="231F20"/>
                <w:spacing w:val="-3"/>
                <w:sz w:val="15"/>
              </w:rPr>
              <w:t> </w:t>
            </w:r>
            <w:r>
              <w:rPr>
                <w:color w:val="231F20"/>
                <w:spacing w:val="-2"/>
                <w:sz w:val="15"/>
              </w:rPr>
              <w:t>coarse</w:t>
            </w:r>
            <w:r>
              <w:rPr>
                <w:color w:val="231F20"/>
                <w:spacing w:val="-3"/>
                <w:sz w:val="15"/>
              </w:rPr>
              <w:t> </w:t>
            </w:r>
            <w:r>
              <w:rPr>
                <w:color w:val="231F20"/>
                <w:spacing w:val="-2"/>
                <w:sz w:val="15"/>
              </w:rPr>
              <w:t>facies,</w:t>
            </w:r>
            <w:r>
              <w:rPr>
                <w:color w:val="231F20"/>
                <w:spacing w:val="-3"/>
                <w:sz w:val="15"/>
              </w:rPr>
              <w:t> </w:t>
            </w:r>
            <w:r>
              <w:rPr>
                <w:color w:val="231F20"/>
                <w:spacing w:val="-2"/>
                <w:sz w:val="15"/>
              </w:rPr>
              <w:t>skin</w:t>
            </w:r>
            <w:r>
              <w:rPr>
                <w:color w:val="231F20"/>
                <w:spacing w:val="-3"/>
                <w:sz w:val="15"/>
              </w:rPr>
              <w:t> </w:t>
            </w:r>
            <w:r>
              <w:rPr>
                <w:color w:val="231F20"/>
                <w:spacing w:val="-2"/>
                <w:sz w:val="15"/>
              </w:rPr>
              <w:t>papules, joint</w:t>
            </w:r>
            <w:r>
              <w:rPr>
                <w:color w:val="231F20"/>
                <w:spacing w:val="-3"/>
                <w:sz w:val="15"/>
              </w:rPr>
              <w:t> </w:t>
            </w:r>
            <w:r>
              <w:rPr>
                <w:color w:val="231F20"/>
                <w:spacing w:val="-2"/>
                <w:sz w:val="15"/>
              </w:rPr>
              <w:t>contractures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Jaffe-Campanacci</w:t>
            </w:r>
            <w:r>
              <w:rPr>
                <w:color w:val="231F20"/>
                <w:spacing w:val="8"/>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z w:val="15"/>
              </w:rPr>
              <w:t>Fibromas</w:t>
            </w:r>
            <w:r>
              <w:rPr>
                <w:color w:val="231F20"/>
                <w:spacing w:val="-10"/>
                <w:sz w:val="15"/>
              </w:rPr>
              <w:t> </w:t>
            </w:r>
            <w:r>
              <w:rPr>
                <w:color w:val="231F20"/>
                <w:sz w:val="15"/>
              </w:rPr>
              <w:t>of</w:t>
            </w:r>
            <w:r>
              <w:rPr>
                <w:color w:val="231F20"/>
                <w:spacing w:val="-10"/>
                <w:sz w:val="15"/>
              </w:rPr>
              <w:t> </w:t>
            </w:r>
            <w:r>
              <w:rPr>
                <w:color w:val="231F20"/>
                <w:sz w:val="15"/>
              </w:rPr>
              <w:t>long</w:t>
            </w:r>
            <w:r>
              <w:rPr>
                <w:color w:val="231F20"/>
                <w:spacing w:val="-10"/>
                <w:sz w:val="15"/>
              </w:rPr>
              <w:t> </w:t>
            </w:r>
            <w:r>
              <w:rPr>
                <w:color w:val="231F20"/>
                <w:sz w:val="15"/>
              </w:rPr>
              <w:t>bones,</w:t>
            </w:r>
            <w:r>
              <w:rPr>
                <w:color w:val="231F20"/>
                <w:spacing w:val="-10"/>
                <w:sz w:val="15"/>
              </w:rPr>
              <w:t> </w:t>
            </w:r>
            <w:r>
              <w:rPr>
                <w:color w:val="231F20"/>
                <w:sz w:val="15"/>
              </w:rPr>
              <w:t>hypogonadism,</w:t>
            </w:r>
            <w:r>
              <w:rPr>
                <w:color w:val="231F20"/>
                <w:spacing w:val="-10"/>
                <w:sz w:val="15"/>
              </w:rPr>
              <w:t> </w:t>
            </w:r>
            <w:r>
              <w:rPr>
                <w:color w:val="231F20"/>
                <w:sz w:val="15"/>
              </w:rPr>
              <w:t>mental</w:t>
            </w:r>
            <w:r>
              <w:rPr>
                <w:color w:val="231F20"/>
                <w:spacing w:val="-9"/>
                <w:sz w:val="15"/>
              </w:rPr>
              <w:t> </w:t>
            </w:r>
            <w:r>
              <w:rPr>
                <w:color w:val="231F20"/>
                <w:sz w:val="15"/>
              </w:rPr>
              <w:t>retardation,</w:t>
            </w:r>
            <w:r>
              <w:rPr>
                <w:color w:val="231F20"/>
                <w:spacing w:val="-10"/>
                <w:sz w:val="15"/>
              </w:rPr>
              <w:t> </w:t>
            </w:r>
            <w:r>
              <w:rPr>
                <w:color w:val="231F20"/>
                <w:sz w:val="15"/>
              </w:rPr>
              <w:t>ocular/cardiac</w:t>
            </w:r>
            <w:r>
              <w:rPr>
                <w:color w:val="231F20"/>
                <w:spacing w:val="-10"/>
                <w:sz w:val="15"/>
              </w:rPr>
              <w:t> </w:t>
            </w:r>
            <w:r>
              <w:rPr>
                <w:color w:val="231F20"/>
                <w:spacing w:val="-2"/>
                <w:sz w:val="15"/>
              </w:rPr>
              <w:t>anomalies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Maffucci</w:t>
            </w:r>
            <w:r>
              <w:rPr>
                <w:color w:val="231F20"/>
                <w:spacing w:val="-11"/>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Venous</w:t>
            </w:r>
            <w:r>
              <w:rPr>
                <w:color w:val="231F20"/>
                <w:spacing w:val="7"/>
                <w:sz w:val="15"/>
              </w:rPr>
              <w:t> </w:t>
            </w:r>
            <w:r>
              <w:rPr>
                <w:color w:val="231F20"/>
                <w:spacing w:val="-2"/>
                <w:sz w:val="15"/>
              </w:rPr>
              <w:t>malformations,</w:t>
            </w:r>
            <w:r>
              <w:rPr>
                <w:color w:val="231F20"/>
                <w:spacing w:val="8"/>
                <w:sz w:val="15"/>
              </w:rPr>
              <w:t> </w:t>
            </w:r>
            <w:r>
              <w:rPr>
                <w:color w:val="231F20"/>
                <w:spacing w:val="-2"/>
                <w:sz w:val="15"/>
              </w:rPr>
              <w:t>enchondromas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McCune-Albright</w:t>
            </w:r>
            <w:r>
              <w:rPr>
                <w:color w:val="231F20"/>
                <w:spacing w:val="34"/>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z w:val="15"/>
              </w:rPr>
              <w:t>Polyostotic</w:t>
            </w:r>
            <w:r>
              <w:rPr>
                <w:color w:val="231F20"/>
                <w:spacing w:val="-10"/>
                <w:sz w:val="15"/>
              </w:rPr>
              <w:t> </w:t>
            </w:r>
            <w:r>
              <w:rPr>
                <w:color w:val="231F20"/>
                <w:sz w:val="15"/>
              </w:rPr>
              <w:t>fibrous</w:t>
            </w:r>
            <w:r>
              <w:rPr>
                <w:color w:val="231F20"/>
                <w:spacing w:val="-9"/>
                <w:sz w:val="15"/>
              </w:rPr>
              <w:t> </w:t>
            </w:r>
            <w:r>
              <w:rPr>
                <w:color w:val="231F20"/>
                <w:sz w:val="15"/>
              </w:rPr>
              <w:t>dysplasia,</w:t>
            </w:r>
            <w:r>
              <w:rPr>
                <w:color w:val="231F20"/>
                <w:spacing w:val="-10"/>
                <w:sz w:val="15"/>
              </w:rPr>
              <w:t> </w:t>
            </w:r>
            <w:r>
              <w:rPr>
                <w:color w:val="231F20"/>
                <w:sz w:val="15"/>
              </w:rPr>
              <w:t>precocious</w:t>
            </w:r>
            <w:r>
              <w:rPr>
                <w:color w:val="231F20"/>
                <w:spacing w:val="-9"/>
                <w:sz w:val="15"/>
              </w:rPr>
              <w:t> </w:t>
            </w:r>
            <w:r>
              <w:rPr>
                <w:color w:val="231F20"/>
                <w:spacing w:val="-2"/>
                <w:sz w:val="15"/>
              </w:rPr>
              <w:t>puberty</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Multiple</w:t>
            </w:r>
            <w:r>
              <w:rPr>
                <w:color w:val="231F20"/>
                <w:spacing w:val="-6"/>
                <w:sz w:val="15"/>
              </w:rPr>
              <w:t> </w:t>
            </w:r>
            <w:r>
              <w:rPr>
                <w:color w:val="231F20"/>
                <w:sz w:val="15"/>
              </w:rPr>
              <w:t>lentigines</w:t>
            </w:r>
            <w:r>
              <w:rPr>
                <w:color w:val="231F20"/>
                <w:spacing w:val="-6"/>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Multiple</w:t>
            </w:r>
            <w:r>
              <w:rPr>
                <w:color w:val="231F20"/>
                <w:spacing w:val="4"/>
                <w:sz w:val="15"/>
              </w:rPr>
              <w:t> </w:t>
            </w:r>
            <w:r>
              <w:rPr>
                <w:color w:val="231F20"/>
                <w:spacing w:val="-2"/>
                <w:sz w:val="15"/>
              </w:rPr>
              <w:t>lentigines,</w:t>
            </w:r>
            <w:r>
              <w:rPr>
                <w:color w:val="231F20"/>
                <w:spacing w:val="5"/>
                <w:sz w:val="15"/>
              </w:rPr>
              <w:t> </w:t>
            </w:r>
            <w:r>
              <w:rPr>
                <w:color w:val="231F20"/>
                <w:spacing w:val="-2"/>
                <w:sz w:val="15"/>
              </w:rPr>
              <w:t>hypertelorism,</w:t>
            </w:r>
            <w:r>
              <w:rPr>
                <w:color w:val="231F20"/>
                <w:spacing w:val="4"/>
                <w:sz w:val="15"/>
              </w:rPr>
              <w:t> </w:t>
            </w:r>
            <w:r>
              <w:rPr>
                <w:color w:val="231F20"/>
                <w:spacing w:val="-2"/>
                <w:sz w:val="15"/>
              </w:rPr>
              <w:t>pulmonic</w:t>
            </w:r>
            <w:r>
              <w:rPr>
                <w:color w:val="231F20"/>
                <w:spacing w:val="5"/>
                <w:sz w:val="15"/>
              </w:rPr>
              <w:t> </w:t>
            </w:r>
            <w:r>
              <w:rPr>
                <w:color w:val="231F20"/>
                <w:spacing w:val="-2"/>
                <w:sz w:val="15"/>
              </w:rPr>
              <w:t>stenosis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Multiple</w:t>
            </w:r>
            <w:r>
              <w:rPr>
                <w:color w:val="231F20"/>
                <w:spacing w:val="-1"/>
                <w:sz w:val="15"/>
              </w:rPr>
              <w:t> </w:t>
            </w:r>
            <w:r>
              <w:rPr>
                <w:color w:val="231F20"/>
                <w:sz w:val="15"/>
              </w:rPr>
              <w:t>mucosal</w:t>
            </w:r>
            <w:r>
              <w:rPr>
                <w:color w:val="231F20"/>
                <w:spacing w:val="1"/>
                <w:sz w:val="15"/>
              </w:rPr>
              <w:t> </w:t>
            </w:r>
            <w:r>
              <w:rPr>
                <w:color w:val="231F20"/>
                <w:sz w:val="15"/>
              </w:rPr>
              <w:t>neuroma</w:t>
            </w:r>
            <w:r>
              <w:rPr>
                <w:color w:val="231F20"/>
                <w:spacing w:val="1"/>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z w:val="15"/>
              </w:rPr>
              <w:t>Mucosal</w:t>
            </w:r>
            <w:r>
              <w:rPr>
                <w:color w:val="231F20"/>
                <w:spacing w:val="-8"/>
                <w:sz w:val="15"/>
              </w:rPr>
              <w:t> </w:t>
            </w:r>
            <w:r>
              <w:rPr>
                <w:color w:val="231F20"/>
                <w:sz w:val="15"/>
              </w:rPr>
              <w:t>neuromas,</w:t>
            </w:r>
            <w:r>
              <w:rPr>
                <w:color w:val="231F20"/>
                <w:spacing w:val="-8"/>
                <w:sz w:val="15"/>
              </w:rPr>
              <w:t> </w:t>
            </w:r>
            <w:r>
              <w:rPr>
                <w:color w:val="231F20"/>
                <w:sz w:val="15"/>
              </w:rPr>
              <w:t>thyroid</w:t>
            </w:r>
            <w:r>
              <w:rPr>
                <w:color w:val="231F20"/>
                <w:spacing w:val="-8"/>
                <w:sz w:val="15"/>
              </w:rPr>
              <w:t> </w:t>
            </w:r>
            <w:r>
              <w:rPr>
                <w:color w:val="231F20"/>
                <w:sz w:val="15"/>
              </w:rPr>
              <w:t>carcinoma,</w:t>
            </w:r>
            <w:r>
              <w:rPr>
                <w:color w:val="231F20"/>
                <w:spacing w:val="-7"/>
                <w:sz w:val="15"/>
              </w:rPr>
              <w:t> </w:t>
            </w:r>
            <w:r>
              <w:rPr>
                <w:color w:val="231F20"/>
                <w:sz w:val="15"/>
              </w:rPr>
              <w:t>pheochromocytoma,</w:t>
            </w:r>
            <w:r>
              <w:rPr>
                <w:color w:val="231F20"/>
                <w:spacing w:val="-8"/>
                <w:sz w:val="15"/>
              </w:rPr>
              <w:t> </w:t>
            </w:r>
            <w:r>
              <w:rPr>
                <w:color w:val="231F20"/>
                <w:sz w:val="15"/>
              </w:rPr>
              <w:t>parathyroid</w:t>
            </w:r>
            <w:r>
              <w:rPr>
                <w:color w:val="231F20"/>
                <w:spacing w:val="-8"/>
                <w:sz w:val="15"/>
              </w:rPr>
              <w:t> </w:t>
            </w:r>
            <w:r>
              <w:rPr>
                <w:color w:val="231F20"/>
                <w:sz w:val="15"/>
              </w:rPr>
              <w:t>adenoma,</w:t>
            </w:r>
            <w:r>
              <w:rPr>
                <w:color w:val="231F20"/>
                <w:spacing w:val="-7"/>
                <w:sz w:val="15"/>
              </w:rPr>
              <w:t> </w:t>
            </w:r>
            <w:r>
              <w:rPr>
                <w:color w:val="231F20"/>
                <w:spacing w:val="-2"/>
                <w:sz w:val="15"/>
              </w:rPr>
              <w:t>dysautonomia</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Neurofibromatosis</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Neurofibromas,</w:t>
            </w:r>
            <w:r>
              <w:rPr>
                <w:color w:val="231F20"/>
                <w:spacing w:val="-7"/>
                <w:sz w:val="15"/>
              </w:rPr>
              <w:t> </w:t>
            </w:r>
            <w:r>
              <w:rPr>
                <w:color w:val="231F20"/>
                <w:spacing w:val="-2"/>
                <w:sz w:val="15"/>
              </w:rPr>
              <w:t>central</w:t>
            </w:r>
            <w:r>
              <w:rPr>
                <w:color w:val="231F20"/>
                <w:spacing w:val="-7"/>
                <w:sz w:val="15"/>
              </w:rPr>
              <w:t> </w:t>
            </w:r>
            <w:r>
              <w:rPr>
                <w:color w:val="231F20"/>
                <w:spacing w:val="-2"/>
                <w:sz w:val="15"/>
              </w:rPr>
              <w:t>nervous</w:t>
            </w:r>
            <w:r>
              <w:rPr>
                <w:color w:val="231F20"/>
                <w:spacing w:val="-7"/>
                <w:sz w:val="15"/>
              </w:rPr>
              <w:t> </w:t>
            </w:r>
            <w:r>
              <w:rPr>
                <w:color w:val="231F20"/>
                <w:spacing w:val="-2"/>
                <w:sz w:val="15"/>
              </w:rPr>
              <w:t>system</w:t>
            </w:r>
            <w:r>
              <w:rPr>
                <w:color w:val="231F20"/>
                <w:spacing w:val="-6"/>
                <w:sz w:val="15"/>
              </w:rPr>
              <w:t> </w:t>
            </w:r>
            <w:r>
              <w:rPr>
                <w:color w:val="231F20"/>
                <w:spacing w:val="-2"/>
                <w:sz w:val="15"/>
              </w:rPr>
              <w:t>tumors,</w:t>
            </w:r>
            <w:r>
              <w:rPr>
                <w:color w:val="231F20"/>
                <w:spacing w:val="-7"/>
                <w:sz w:val="15"/>
              </w:rPr>
              <w:t> </w:t>
            </w:r>
            <w:r>
              <w:rPr>
                <w:color w:val="231F20"/>
                <w:spacing w:val="-2"/>
                <w:sz w:val="15"/>
              </w:rPr>
              <w:t>iris</w:t>
            </w:r>
            <w:r>
              <w:rPr>
                <w:color w:val="231F20"/>
                <w:spacing w:val="-7"/>
                <w:sz w:val="15"/>
              </w:rPr>
              <w:t> </w:t>
            </w:r>
            <w:r>
              <w:rPr>
                <w:color w:val="231F20"/>
                <w:spacing w:val="-2"/>
                <w:sz w:val="15"/>
              </w:rPr>
              <w:t>hamartomas,</w:t>
            </w:r>
            <w:r>
              <w:rPr>
                <w:color w:val="231F20"/>
                <w:spacing w:val="-7"/>
                <w:sz w:val="15"/>
              </w:rPr>
              <w:t> </w:t>
            </w:r>
            <w:r>
              <w:rPr>
                <w:color w:val="231F20"/>
                <w:spacing w:val="-2"/>
                <w:sz w:val="15"/>
              </w:rPr>
              <w:t>axillary</w:t>
            </w:r>
            <w:r>
              <w:rPr>
                <w:color w:val="231F20"/>
                <w:spacing w:val="-6"/>
                <w:sz w:val="15"/>
              </w:rPr>
              <w:t> </w:t>
            </w:r>
            <w:r>
              <w:rPr>
                <w:color w:val="231F20"/>
                <w:spacing w:val="-2"/>
                <w:sz w:val="15"/>
              </w:rPr>
              <w:t>freckles,</w:t>
            </w:r>
            <w:r>
              <w:rPr>
                <w:color w:val="231F20"/>
                <w:spacing w:val="-7"/>
                <w:sz w:val="15"/>
              </w:rPr>
              <w:t> </w:t>
            </w:r>
            <w:r>
              <w:rPr>
                <w:color w:val="231F20"/>
                <w:spacing w:val="-2"/>
                <w:sz w:val="15"/>
              </w:rPr>
              <w:t>skeletal</w:t>
            </w:r>
            <w:r>
              <w:rPr>
                <w:color w:val="231F20"/>
                <w:spacing w:val="-7"/>
                <w:sz w:val="15"/>
              </w:rPr>
              <w:t> </w:t>
            </w:r>
            <w:r>
              <w:rPr>
                <w:color w:val="231F20"/>
                <w:spacing w:val="-2"/>
                <w:sz w:val="15"/>
              </w:rPr>
              <w:t>anomalies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Russell-Silver</w:t>
            </w:r>
            <w:r>
              <w:rPr>
                <w:color w:val="231F20"/>
                <w:spacing w:val="-7"/>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Short</w:t>
            </w:r>
            <w:r>
              <w:rPr>
                <w:color w:val="231F20"/>
                <w:spacing w:val="-8"/>
                <w:sz w:val="15"/>
              </w:rPr>
              <w:t> </w:t>
            </w:r>
            <w:r>
              <w:rPr>
                <w:color w:val="231F20"/>
                <w:spacing w:val="-2"/>
                <w:sz w:val="15"/>
              </w:rPr>
              <w:t>stature,</w:t>
            </w:r>
            <w:r>
              <w:rPr>
                <w:color w:val="231F20"/>
                <w:spacing w:val="-8"/>
                <w:sz w:val="15"/>
              </w:rPr>
              <w:t> </w:t>
            </w:r>
            <w:r>
              <w:rPr>
                <w:color w:val="231F20"/>
                <w:spacing w:val="-2"/>
                <w:sz w:val="15"/>
              </w:rPr>
              <w:t>asymmetry,</w:t>
            </w:r>
            <w:r>
              <w:rPr>
                <w:color w:val="231F20"/>
                <w:spacing w:val="-7"/>
                <w:sz w:val="15"/>
              </w:rPr>
              <w:t> </w:t>
            </w:r>
            <w:r>
              <w:rPr>
                <w:color w:val="231F20"/>
                <w:spacing w:val="-2"/>
                <w:sz w:val="15"/>
              </w:rPr>
              <w:t>limb</w:t>
            </w:r>
            <w:r>
              <w:rPr>
                <w:color w:val="231F20"/>
                <w:spacing w:val="-8"/>
                <w:sz w:val="15"/>
              </w:rPr>
              <w:t> </w:t>
            </w:r>
            <w:r>
              <w:rPr>
                <w:color w:val="231F20"/>
                <w:spacing w:val="-2"/>
                <w:sz w:val="15"/>
              </w:rPr>
              <w:t>anomalies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Tuberous</w:t>
            </w:r>
            <w:r>
              <w:rPr>
                <w:color w:val="231F20"/>
                <w:spacing w:val="7"/>
                <w:sz w:val="15"/>
              </w:rPr>
              <w:t> </w:t>
            </w:r>
            <w:r>
              <w:rPr>
                <w:color w:val="231F20"/>
                <w:spacing w:val="-2"/>
                <w:sz w:val="15"/>
              </w:rPr>
              <w:t>sclerosis</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White</w:t>
            </w:r>
            <w:r>
              <w:rPr>
                <w:color w:val="231F20"/>
                <w:spacing w:val="-1"/>
                <w:sz w:val="15"/>
              </w:rPr>
              <w:t> </w:t>
            </w:r>
            <w:r>
              <w:rPr>
                <w:color w:val="231F20"/>
                <w:spacing w:val="-2"/>
                <w:sz w:val="15"/>
              </w:rPr>
              <w:t>macules,</w:t>
            </w:r>
            <w:r>
              <w:rPr>
                <w:color w:val="231F20"/>
                <w:spacing w:val="-1"/>
                <w:sz w:val="15"/>
              </w:rPr>
              <w:t> </w:t>
            </w:r>
            <w:r>
              <w:rPr>
                <w:color w:val="231F20"/>
                <w:spacing w:val="-2"/>
                <w:sz w:val="15"/>
              </w:rPr>
              <w:t>multiple</w:t>
            </w:r>
            <w:r>
              <w:rPr>
                <w:color w:val="231F20"/>
                <w:sz w:val="15"/>
              </w:rPr>
              <w:t> </w:t>
            </w:r>
            <w:r>
              <w:rPr>
                <w:color w:val="231F20"/>
                <w:spacing w:val="-2"/>
                <w:sz w:val="15"/>
              </w:rPr>
              <w:t>hamartomas,</w:t>
            </w:r>
            <w:r>
              <w:rPr>
                <w:color w:val="231F20"/>
                <w:spacing w:val="-1"/>
                <w:sz w:val="15"/>
              </w:rPr>
              <w:t> </w:t>
            </w:r>
            <w:r>
              <w:rPr>
                <w:color w:val="231F20"/>
                <w:spacing w:val="-2"/>
                <w:sz w:val="15"/>
              </w:rPr>
              <w:t>central</w:t>
            </w:r>
            <w:r>
              <w:rPr>
                <w:color w:val="231F20"/>
                <w:sz w:val="15"/>
              </w:rPr>
              <w:t> </w:t>
            </w:r>
            <w:r>
              <w:rPr>
                <w:color w:val="231F20"/>
                <w:spacing w:val="-2"/>
                <w:sz w:val="15"/>
              </w:rPr>
              <w:t>nervous</w:t>
            </w:r>
            <w:r>
              <w:rPr>
                <w:color w:val="231F20"/>
                <w:spacing w:val="-1"/>
                <w:sz w:val="15"/>
              </w:rPr>
              <w:t> </w:t>
            </w:r>
            <w:r>
              <w:rPr>
                <w:color w:val="231F20"/>
                <w:spacing w:val="-2"/>
                <w:sz w:val="15"/>
              </w:rPr>
              <w:t>system</w:t>
            </w:r>
            <w:r>
              <w:rPr>
                <w:color w:val="231F20"/>
                <w:sz w:val="15"/>
              </w:rPr>
              <w:t> </w:t>
            </w:r>
            <w:r>
              <w:rPr>
                <w:color w:val="231F20"/>
                <w:spacing w:val="-2"/>
                <w:sz w:val="15"/>
              </w:rPr>
              <w:t>anomalies</w:t>
            </w:r>
          </w:p>
        </w:tc>
      </w:tr>
      <w:tr>
        <w:trPr>
          <w:trHeight w:val="252" w:hRule="atLeast"/>
        </w:trPr>
        <w:tc>
          <w:tcPr>
            <w:tcW w:w="279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Watson</w:t>
            </w:r>
            <w:r>
              <w:rPr>
                <w:color w:val="231F20"/>
                <w:spacing w:val="10"/>
                <w:sz w:val="15"/>
              </w:rPr>
              <w:t> </w:t>
            </w:r>
            <w:r>
              <w:rPr>
                <w:color w:val="231F20"/>
                <w:spacing w:val="-2"/>
                <w:sz w:val="15"/>
              </w:rPr>
              <w:t>syndrome</w:t>
            </w:r>
          </w:p>
        </w:tc>
        <w:tc>
          <w:tcPr>
            <w:tcW w:w="6950" w:type="dxa"/>
            <w:tcBorders>
              <w:top w:val="single" w:sz="4" w:space="0" w:color="FFFFFF"/>
              <w:bottom w:val="single" w:sz="4" w:space="0" w:color="FFFFFF"/>
            </w:tcBorders>
            <w:shd w:val="clear" w:color="auto" w:fill="E8F5F1"/>
          </w:tcPr>
          <w:p>
            <w:pPr>
              <w:pStyle w:val="TableParagraph"/>
              <w:spacing w:before="42"/>
              <w:ind w:left="233"/>
              <w:rPr>
                <w:sz w:val="15"/>
              </w:rPr>
            </w:pPr>
            <w:r>
              <w:rPr>
                <w:color w:val="231F20"/>
                <w:spacing w:val="-2"/>
                <w:sz w:val="15"/>
              </w:rPr>
              <w:t>Pulmonic</w:t>
            </w:r>
            <w:r>
              <w:rPr>
                <w:color w:val="231F20"/>
                <w:spacing w:val="-9"/>
                <w:sz w:val="15"/>
              </w:rPr>
              <w:t> </w:t>
            </w:r>
            <w:r>
              <w:rPr>
                <w:color w:val="231F20"/>
                <w:spacing w:val="-2"/>
                <w:sz w:val="15"/>
              </w:rPr>
              <w:t>stenosis,</w:t>
            </w:r>
            <w:r>
              <w:rPr>
                <w:color w:val="231F20"/>
                <w:spacing w:val="-9"/>
                <w:sz w:val="15"/>
              </w:rPr>
              <w:t> </w:t>
            </w:r>
            <w:r>
              <w:rPr>
                <w:color w:val="231F20"/>
                <w:spacing w:val="-2"/>
                <w:sz w:val="15"/>
              </w:rPr>
              <w:t>axillary</w:t>
            </w:r>
            <w:r>
              <w:rPr>
                <w:color w:val="231F20"/>
                <w:spacing w:val="-9"/>
                <w:sz w:val="15"/>
              </w:rPr>
              <w:t> </w:t>
            </w:r>
            <w:r>
              <w:rPr>
                <w:color w:val="231F20"/>
                <w:spacing w:val="-2"/>
                <w:sz w:val="15"/>
              </w:rPr>
              <w:t>freckles,</w:t>
            </w:r>
            <w:r>
              <w:rPr>
                <w:color w:val="231F20"/>
                <w:spacing w:val="-8"/>
                <w:sz w:val="15"/>
              </w:rPr>
              <w:t> </w:t>
            </w:r>
            <w:r>
              <w:rPr>
                <w:color w:val="231F20"/>
                <w:spacing w:val="-2"/>
                <w:sz w:val="15"/>
              </w:rPr>
              <w:t>low</w:t>
            </w:r>
            <w:r>
              <w:rPr>
                <w:color w:val="231F20"/>
                <w:spacing w:val="-9"/>
                <w:sz w:val="15"/>
              </w:rPr>
              <w:t> </w:t>
            </w:r>
            <w:r>
              <w:rPr>
                <w:color w:val="231F20"/>
                <w:spacing w:val="-2"/>
                <w:sz w:val="15"/>
              </w:rPr>
              <w:t>intelligence</w:t>
            </w:r>
          </w:p>
        </w:tc>
      </w:tr>
      <w:tr>
        <w:trPr>
          <w:trHeight w:val="247" w:hRule="atLeast"/>
        </w:trPr>
        <w:tc>
          <w:tcPr>
            <w:tcW w:w="279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Legius</w:t>
            </w:r>
            <w:r>
              <w:rPr>
                <w:color w:val="231F20"/>
                <w:spacing w:val="13"/>
                <w:sz w:val="15"/>
              </w:rPr>
              <w:t> </w:t>
            </w:r>
            <w:r>
              <w:rPr>
                <w:color w:val="231F20"/>
                <w:spacing w:val="-2"/>
                <w:sz w:val="15"/>
              </w:rPr>
              <w:t>syndrome</w:t>
            </w:r>
          </w:p>
        </w:tc>
        <w:tc>
          <w:tcPr>
            <w:tcW w:w="6950" w:type="dxa"/>
            <w:tcBorders>
              <w:top w:val="single" w:sz="4" w:space="0" w:color="FFFFFF"/>
              <w:bottom w:val="single" w:sz="8" w:space="0" w:color="231F20"/>
            </w:tcBorders>
            <w:shd w:val="clear" w:color="auto" w:fill="E8F5F1"/>
          </w:tcPr>
          <w:p>
            <w:pPr>
              <w:pStyle w:val="TableParagraph"/>
              <w:spacing w:before="42"/>
              <w:ind w:left="233"/>
              <w:rPr>
                <w:sz w:val="15"/>
              </w:rPr>
            </w:pPr>
            <w:r>
              <w:rPr>
                <w:color w:val="231F20"/>
                <w:spacing w:val="-2"/>
                <w:sz w:val="15"/>
              </w:rPr>
              <w:t>Axillary</w:t>
            </w:r>
            <w:r>
              <w:rPr>
                <w:color w:val="231F20"/>
                <w:sz w:val="15"/>
              </w:rPr>
              <w:t> </w:t>
            </w:r>
            <w:r>
              <w:rPr>
                <w:color w:val="231F20"/>
                <w:spacing w:val="-2"/>
                <w:sz w:val="15"/>
              </w:rPr>
              <w:t>freckling</w:t>
            </w:r>
            <w:r>
              <w:rPr>
                <w:color w:val="231F20"/>
                <w:spacing w:val="1"/>
                <w:sz w:val="15"/>
              </w:rPr>
              <w:t> </w:t>
            </w:r>
            <w:r>
              <w:rPr>
                <w:color w:val="231F20"/>
                <w:spacing w:val="-2"/>
                <w:sz w:val="15"/>
              </w:rPr>
              <w:t>macrocephaly,</w:t>
            </w:r>
            <w:r>
              <w:rPr>
                <w:color w:val="231F20"/>
                <w:spacing w:val="1"/>
                <w:sz w:val="15"/>
              </w:rPr>
              <w:t> </w:t>
            </w:r>
            <w:r>
              <w:rPr>
                <w:color w:val="231F20"/>
                <w:spacing w:val="-2"/>
                <w:sz w:val="15"/>
              </w:rPr>
              <w:t>a</w:t>
            </w:r>
            <w:r>
              <w:rPr>
                <w:color w:val="231F20"/>
                <w:spacing w:val="1"/>
                <w:sz w:val="15"/>
              </w:rPr>
              <w:t> </w:t>
            </w:r>
            <w:r>
              <w:rPr>
                <w:color w:val="231F20"/>
                <w:spacing w:val="-2"/>
                <w:sz w:val="15"/>
              </w:rPr>
              <w:t>Noonan-like</w:t>
            </w:r>
            <w:r>
              <w:rPr>
                <w:color w:val="231F20"/>
                <w:spacing w:val="1"/>
                <w:sz w:val="15"/>
              </w:rPr>
              <w:t> </w:t>
            </w:r>
            <w:r>
              <w:rPr>
                <w:color w:val="231F20"/>
                <w:spacing w:val="-2"/>
                <w:sz w:val="15"/>
              </w:rPr>
              <w:t>facial</w:t>
            </w:r>
            <w:r>
              <w:rPr>
                <w:color w:val="231F20"/>
                <w:spacing w:val="1"/>
                <w:sz w:val="15"/>
              </w:rPr>
              <w:t> </w:t>
            </w:r>
            <w:r>
              <w:rPr>
                <w:color w:val="231F20"/>
                <w:spacing w:val="-2"/>
                <w:sz w:val="15"/>
              </w:rPr>
              <w:t>dysmorphism,</w:t>
            </w:r>
            <w:r>
              <w:rPr>
                <w:color w:val="231F20"/>
                <w:spacing w:val="1"/>
                <w:sz w:val="15"/>
              </w:rPr>
              <w:t> </w:t>
            </w:r>
            <w:r>
              <w:rPr>
                <w:color w:val="231F20"/>
                <w:spacing w:val="-2"/>
                <w:sz w:val="15"/>
              </w:rPr>
              <w:t>lipomas</w:t>
            </w:r>
          </w:p>
        </w:tc>
      </w:tr>
    </w:tbl>
    <w:p>
      <w:pPr>
        <w:pStyle w:val="TableParagraph"/>
        <w:spacing w:after="0"/>
        <w:rPr>
          <w:sz w:val="15"/>
        </w:rPr>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28" name="Group 728"/>
                <wp:cNvGraphicFramePr>
                  <a:graphicFrameLocks/>
                </wp:cNvGraphicFramePr>
                <a:graphic>
                  <a:graphicData uri="http://schemas.microsoft.com/office/word/2010/wordprocessingGroup">
                    <wpg:wgp>
                      <wpg:cNvPr id="728" name="Group 728"/>
                      <wpg:cNvGrpSpPr/>
                      <wpg:grpSpPr>
                        <a:xfrm>
                          <a:off x="0" y="0"/>
                          <a:ext cx="6185535" cy="170815"/>
                          <a:chExt cx="6185535" cy="170815"/>
                        </a:xfrm>
                      </wpg:grpSpPr>
                      <wps:wsp>
                        <wps:cNvPr id="729" name="Graphic 729"/>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30" name="Graphic 730"/>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31" name="Textbox 731"/>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2884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17"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18" filled="false" stroked="false">
                  <v:textbox inset="0,0,0,0">
                    <w:txbxContent>
                      <w:p>
                        <w:pPr>
                          <w:spacing w:before="6"/>
                          <w:ind w:left="-1" w:right="0" w:firstLine="0"/>
                          <w:jc w:val="left"/>
                          <w:rPr>
                            <w:sz w:val="18"/>
                          </w:rPr>
                        </w:pPr>
                        <w:r>
                          <w:rPr>
                            <w:b/>
                            <w:color w:val="231F20"/>
                            <w:w w:val="105"/>
                            <w:sz w:val="18"/>
                          </w:rPr>
                          <w:t>2884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870"/>
        <w:gridCol w:w="4870"/>
      </w:tblGrid>
      <w:tr>
        <w:trPr>
          <w:trHeight w:val="377" w:hRule="exact"/>
        </w:trPr>
        <w:tc>
          <w:tcPr>
            <w:tcW w:w="9740" w:type="dxa"/>
            <w:gridSpan w:val="2"/>
            <w:tcBorders>
              <w:top w:val="nil"/>
              <w:left w:val="nil"/>
              <w:bottom w:val="nil"/>
              <w:right w:val="nil"/>
            </w:tcBorders>
            <w:shd w:val="clear" w:color="auto" w:fill="231F20"/>
          </w:tcPr>
          <w:p>
            <w:pPr>
              <w:pStyle w:val="TableParagraph"/>
              <w:spacing w:before="89"/>
              <w:ind w:left="111"/>
              <w:rPr>
                <w:sz w:val="16"/>
              </w:rPr>
            </w:pPr>
            <w:r>
              <w:rPr>
                <w:b/>
                <w:color w:val="FFFFFF"/>
                <w:w w:val="105"/>
                <w:sz w:val="16"/>
              </w:rPr>
              <w:t>Table</w:t>
            </w:r>
            <w:r>
              <w:rPr>
                <w:b/>
                <w:color w:val="FFFFFF"/>
                <w:spacing w:val="9"/>
                <w:w w:val="105"/>
                <w:sz w:val="16"/>
              </w:rPr>
              <w:t> </w:t>
            </w:r>
            <w:r>
              <w:rPr>
                <w:b/>
                <w:color w:val="FFFFFF"/>
                <w:w w:val="105"/>
                <w:sz w:val="16"/>
              </w:rPr>
              <w:t>597-2</w:t>
            </w:r>
            <w:r>
              <w:rPr>
                <w:b/>
                <w:color w:val="FFFFFF"/>
                <w:spacing w:val="39"/>
                <w:w w:val="105"/>
                <w:sz w:val="16"/>
              </w:rPr>
              <w:t>  </w:t>
            </w:r>
            <w:r>
              <w:rPr>
                <w:color w:val="FFFFFF"/>
                <w:w w:val="105"/>
                <w:sz w:val="16"/>
              </w:rPr>
              <w:t>Selected</w:t>
            </w:r>
            <w:r>
              <w:rPr>
                <w:color w:val="FFFFFF"/>
                <w:spacing w:val="7"/>
                <w:w w:val="105"/>
                <w:sz w:val="16"/>
              </w:rPr>
              <w:t> </w:t>
            </w:r>
            <w:r>
              <w:rPr>
                <w:color w:val="FFFFFF"/>
                <w:w w:val="105"/>
                <w:sz w:val="16"/>
              </w:rPr>
              <w:t>Causes</w:t>
            </w:r>
            <w:r>
              <w:rPr>
                <w:color w:val="FFFFFF"/>
                <w:spacing w:val="6"/>
                <w:w w:val="105"/>
                <w:sz w:val="16"/>
              </w:rPr>
              <w:t> </w:t>
            </w:r>
            <w:r>
              <w:rPr>
                <w:color w:val="FFFFFF"/>
                <w:w w:val="105"/>
                <w:sz w:val="16"/>
              </w:rPr>
              <w:t>of</w:t>
            </w:r>
            <w:r>
              <w:rPr>
                <w:color w:val="FFFFFF"/>
                <w:spacing w:val="5"/>
                <w:w w:val="105"/>
                <w:sz w:val="16"/>
              </w:rPr>
              <w:t> </w:t>
            </w:r>
            <w:r>
              <w:rPr>
                <w:color w:val="FFFFFF"/>
                <w:w w:val="105"/>
                <w:sz w:val="16"/>
              </w:rPr>
              <w:t>Ataxia</w:t>
            </w:r>
            <w:r>
              <w:rPr>
                <w:color w:val="FFFFFF"/>
                <w:spacing w:val="6"/>
                <w:w w:val="105"/>
                <w:sz w:val="16"/>
              </w:rPr>
              <w:t> </w:t>
            </w:r>
            <w:r>
              <w:rPr>
                <w:color w:val="FFFFFF"/>
                <w:w w:val="105"/>
                <w:sz w:val="16"/>
              </w:rPr>
              <w:t>in</w:t>
            </w:r>
            <w:r>
              <w:rPr>
                <w:color w:val="FFFFFF"/>
                <w:spacing w:val="6"/>
                <w:w w:val="105"/>
                <w:sz w:val="16"/>
              </w:rPr>
              <w:t> </w:t>
            </w:r>
            <w:r>
              <w:rPr>
                <w:color w:val="FFFFFF"/>
                <w:spacing w:val="-2"/>
                <w:w w:val="105"/>
                <w:sz w:val="16"/>
              </w:rPr>
              <w:t>Childhood</w:t>
            </w:r>
          </w:p>
        </w:tc>
      </w:tr>
      <w:tr>
        <w:trPr>
          <w:trHeight w:val="2107" w:hRule="exact"/>
        </w:trPr>
        <w:tc>
          <w:tcPr>
            <w:tcW w:w="4870" w:type="dxa"/>
            <w:tcBorders>
              <w:top w:val="nil"/>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CONGENITAL</w:t>
            </w:r>
          </w:p>
          <w:p>
            <w:pPr>
              <w:pStyle w:val="TableParagraph"/>
              <w:numPr>
                <w:ilvl w:val="0"/>
                <w:numId w:val="72"/>
              </w:numPr>
              <w:tabs>
                <w:tab w:pos="223" w:val="left" w:leader="none"/>
              </w:tabs>
              <w:spacing w:line="169" w:lineRule="exact" w:before="0" w:after="0"/>
              <w:ind w:left="223" w:right="0" w:hanging="149"/>
              <w:jc w:val="left"/>
              <w:rPr>
                <w:sz w:val="15"/>
              </w:rPr>
            </w:pPr>
            <w:r>
              <w:rPr>
                <w:color w:val="231F20"/>
                <w:sz w:val="15"/>
              </w:rPr>
              <w:t>Agenesis of</w:t>
            </w:r>
            <w:r>
              <w:rPr>
                <w:color w:val="231F20"/>
                <w:spacing w:val="1"/>
                <w:sz w:val="15"/>
              </w:rPr>
              <w:t> </w:t>
            </w:r>
            <w:r>
              <w:rPr>
                <w:color w:val="231F20"/>
                <w:sz w:val="15"/>
              </w:rPr>
              <w:t>vermis</w:t>
            </w:r>
            <w:r>
              <w:rPr>
                <w:color w:val="231F20"/>
                <w:spacing w:val="1"/>
                <w:sz w:val="15"/>
              </w:rPr>
              <w:t> </w:t>
            </w:r>
            <w:r>
              <w:rPr>
                <w:color w:val="231F20"/>
                <w:sz w:val="15"/>
              </w:rPr>
              <w:t>of the</w:t>
            </w:r>
            <w:r>
              <w:rPr>
                <w:color w:val="231F20"/>
                <w:spacing w:val="1"/>
                <w:sz w:val="15"/>
              </w:rPr>
              <w:t> </w:t>
            </w:r>
            <w:r>
              <w:rPr>
                <w:color w:val="231F20"/>
                <w:spacing w:val="-2"/>
                <w:sz w:val="15"/>
              </w:rPr>
              <w:t>cerebellum</w:t>
            </w:r>
          </w:p>
          <w:p>
            <w:pPr>
              <w:pStyle w:val="TableParagraph"/>
              <w:numPr>
                <w:ilvl w:val="0"/>
                <w:numId w:val="72"/>
              </w:numPr>
              <w:tabs>
                <w:tab w:pos="223" w:val="left" w:leader="none"/>
              </w:tabs>
              <w:spacing w:line="168" w:lineRule="exact" w:before="0" w:after="0"/>
              <w:ind w:left="223" w:right="0" w:hanging="149"/>
              <w:jc w:val="left"/>
              <w:rPr>
                <w:sz w:val="15"/>
              </w:rPr>
            </w:pPr>
            <w:r>
              <w:rPr>
                <w:color w:val="231F20"/>
                <w:sz w:val="15"/>
              </w:rPr>
              <w:t>Aplasia</w:t>
            </w:r>
            <w:r>
              <w:rPr>
                <w:color w:val="231F20"/>
                <w:spacing w:val="-3"/>
                <w:sz w:val="15"/>
              </w:rPr>
              <w:t> </w:t>
            </w:r>
            <w:r>
              <w:rPr>
                <w:color w:val="231F20"/>
                <w:sz w:val="15"/>
              </w:rPr>
              <w:t>or</w:t>
            </w:r>
            <w:r>
              <w:rPr>
                <w:color w:val="231F20"/>
                <w:spacing w:val="-2"/>
                <w:sz w:val="15"/>
              </w:rPr>
              <w:t> </w:t>
            </w:r>
            <w:r>
              <w:rPr>
                <w:color w:val="231F20"/>
                <w:sz w:val="15"/>
              </w:rPr>
              <w:t>dysplasia</w:t>
            </w:r>
            <w:r>
              <w:rPr>
                <w:color w:val="231F20"/>
                <w:spacing w:val="-2"/>
                <w:sz w:val="15"/>
              </w:rPr>
              <w:t> </w:t>
            </w:r>
            <w:r>
              <w:rPr>
                <w:color w:val="231F20"/>
                <w:sz w:val="15"/>
              </w:rPr>
              <w:t>of</w:t>
            </w:r>
            <w:r>
              <w:rPr>
                <w:color w:val="231F20"/>
                <w:spacing w:val="-2"/>
                <w:sz w:val="15"/>
              </w:rPr>
              <w:t> </w:t>
            </w:r>
            <w:r>
              <w:rPr>
                <w:color w:val="231F20"/>
                <w:sz w:val="15"/>
              </w:rPr>
              <w:t>the</w:t>
            </w:r>
            <w:r>
              <w:rPr>
                <w:color w:val="231F20"/>
                <w:spacing w:val="-2"/>
                <w:sz w:val="15"/>
              </w:rPr>
              <w:t> cerebellum</w:t>
            </w:r>
          </w:p>
          <w:p>
            <w:pPr>
              <w:pStyle w:val="TableParagraph"/>
              <w:numPr>
                <w:ilvl w:val="0"/>
                <w:numId w:val="72"/>
              </w:numPr>
              <w:tabs>
                <w:tab w:pos="223" w:val="left" w:leader="none"/>
              </w:tabs>
              <w:spacing w:line="168" w:lineRule="exact" w:before="0" w:after="0"/>
              <w:ind w:left="223" w:right="0" w:hanging="149"/>
              <w:jc w:val="left"/>
              <w:rPr>
                <w:sz w:val="15"/>
              </w:rPr>
            </w:pPr>
            <w:r>
              <w:rPr>
                <w:color w:val="231F20"/>
                <w:spacing w:val="-2"/>
                <w:sz w:val="15"/>
              </w:rPr>
              <w:t>Basilar</w:t>
            </w:r>
            <w:r>
              <w:rPr>
                <w:color w:val="231F20"/>
                <w:spacing w:val="-3"/>
                <w:sz w:val="15"/>
              </w:rPr>
              <w:t> </w:t>
            </w:r>
            <w:r>
              <w:rPr>
                <w:color w:val="231F20"/>
                <w:spacing w:val="-2"/>
                <w:sz w:val="15"/>
              </w:rPr>
              <w:t>impression</w:t>
            </w:r>
          </w:p>
          <w:p>
            <w:pPr>
              <w:pStyle w:val="TableParagraph"/>
              <w:numPr>
                <w:ilvl w:val="0"/>
                <w:numId w:val="72"/>
              </w:numPr>
              <w:tabs>
                <w:tab w:pos="223" w:val="left" w:leader="none"/>
              </w:tabs>
              <w:spacing w:line="168" w:lineRule="exact" w:before="0" w:after="0"/>
              <w:ind w:left="223" w:right="0" w:hanging="149"/>
              <w:jc w:val="left"/>
              <w:rPr>
                <w:sz w:val="15"/>
              </w:rPr>
            </w:pPr>
            <w:r>
              <w:rPr>
                <w:color w:val="231F20"/>
                <w:spacing w:val="-2"/>
                <w:sz w:val="15"/>
              </w:rPr>
              <w:t>Cerebellar</w:t>
            </w:r>
            <w:r>
              <w:rPr>
                <w:color w:val="231F20"/>
                <w:sz w:val="15"/>
              </w:rPr>
              <w:t> </w:t>
            </w:r>
            <w:r>
              <w:rPr>
                <w:color w:val="231F20"/>
                <w:spacing w:val="-2"/>
                <w:sz w:val="15"/>
              </w:rPr>
              <w:t>dysplasia</w:t>
            </w:r>
            <w:r>
              <w:rPr>
                <w:color w:val="231F20"/>
                <w:sz w:val="15"/>
              </w:rPr>
              <w:t> </w:t>
            </w:r>
            <w:r>
              <w:rPr>
                <w:color w:val="231F20"/>
                <w:spacing w:val="-2"/>
                <w:sz w:val="15"/>
              </w:rPr>
              <w:t>with</w:t>
            </w:r>
            <w:r>
              <w:rPr>
                <w:color w:val="231F20"/>
                <w:sz w:val="15"/>
              </w:rPr>
              <w:t> </w:t>
            </w:r>
            <w:r>
              <w:rPr>
                <w:color w:val="231F20"/>
                <w:spacing w:val="-2"/>
                <w:sz w:val="15"/>
              </w:rPr>
              <w:t>microgyria,</w:t>
            </w:r>
            <w:r>
              <w:rPr>
                <w:color w:val="231F20"/>
                <w:sz w:val="15"/>
              </w:rPr>
              <w:t> </w:t>
            </w:r>
            <w:r>
              <w:rPr>
                <w:color w:val="231F20"/>
                <w:spacing w:val="-2"/>
                <w:sz w:val="15"/>
              </w:rPr>
              <w:t>macrogyria,</w:t>
            </w:r>
            <w:r>
              <w:rPr>
                <w:color w:val="231F20"/>
                <w:sz w:val="15"/>
              </w:rPr>
              <w:t> </w:t>
            </w:r>
            <w:r>
              <w:rPr>
                <w:color w:val="231F20"/>
                <w:spacing w:val="-2"/>
                <w:sz w:val="15"/>
              </w:rPr>
              <w:t>or</w:t>
            </w:r>
            <w:r>
              <w:rPr>
                <w:color w:val="231F20"/>
                <w:sz w:val="15"/>
              </w:rPr>
              <w:t> </w:t>
            </w:r>
            <w:r>
              <w:rPr>
                <w:color w:val="231F20"/>
                <w:spacing w:val="-2"/>
                <w:sz w:val="15"/>
              </w:rPr>
              <w:t>agyria</w:t>
            </w:r>
          </w:p>
          <w:p>
            <w:pPr>
              <w:pStyle w:val="TableParagraph"/>
              <w:numPr>
                <w:ilvl w:val="0"/>
                <w:numId w:val="72"/>
              </w:numPr>
              <w:tabs>
                <w:tab w:pos="223" w:val="left" w:leader="none"/>
              </w:tabs>
              <w:spacing w:line="230" w:lineRule="auto" w:before="3" w:after="0"/>
              <w:ind w:left="223" w:right="519" w:hanging="150"/>
              <w:jc w:val="left"/>
              <w:rPr>
                <w:sz w:val="15"/>
              </w:rPr>
            </w:pPr>
            <w:r>
              <w:rPr>
                <w:color w:val="231F20"/>
                <w:spacing w:val="-2"/>
                <w:sz w:val="15"/>
              </w:rPr>
              <w:t>Cervical</w:t>
            </w:r>
            <w:r>
              <w:rPr>
                <w:color w:val="231F20"/>
                <w:spacing w:val="-6"/>
                <w:sz w:val="15"/>
              </w:rPr>
              <w:t> </w:t>
            </w:r>
            <w:r>
              <w:rPr>
                <w:color w:val="231F20"/>
                <w:spacing w:val="-2"/>
                <w:sz w:val="15"/>
              </w:rPr>
              <w:t>spinal</w:t>
            </w:r>
            <w:r>
              <w:rPr>
                <w:color w:val="231F20"/>
                <w:spacing w:val="-6"/>
                <w:sz w:val="15"/>
              </w:rPr>
              <w:t> </w:t>
            </w:r>
            <w:r>
              <w:rPr>
                <w:color w:val="231F20"/>
                <w:spacing w:val="-2"/>
                <w:sz w:val="15"/>
              </w:rPr>
              <w:t>bifida</w:t>
            </w:r>
            <w:r>
              <w:rPr>
                <w:color w:val="231F20"/>
                <w:spacing w:val="-6"/>
                <w:sz w:val="15"/>
              </w:rPr>
              <w:t> </w:t>
            </w:r>
            <w:r>
              <w:rPr>
                <w:color w:val="231F20"/>
                <w:spacing w:val="-2"/>
                <w:sz w:val="15"/>
              </w:rPr>
              <w:t>with</w:t>
            </w:r>
            <w:r>
              <w:rPr>
                <w:color w:val="231F20"/>
                <w:spacing w:val="-6"/>
                <w:sz w:val="15"/>
              </w:rPr>
              <w:t> </w:t>
            </w:r>
            <w:r>
              <w:rPr>
                <w:color w:val="231F20"/>
                <w:spacing w:val="-2"/>
                <w:sz w:val="15"/>
              </w:rPr>
              <w:t>herniation</w:t>
            </w:r>
            <w:r>
              <w:rPr>
                <w:color w:val="231F20"/>
                <w:spacing w:val="-6"/>
                <w:sz w:val="15"/>
              </w:rPr>
              <w:t> </w:t>
            </w:r>
            <w:r>
              <w:rPr>
                <w:color w:val="231F20"/>
                <w:spacing w:val="-2"/>
                <w:sz w:val="15"/>
              </w:rPr>
              <w:t>of</w:t>
            </w:r>
            <w:r>
              <w:rPr>
                <w:color w:val="231F20"/>
                <w:spacing w:val="-6"/>
                <w:sz w:val="15"/>
              </w:rPr>
              <w:t> </w:t>
            </w:r>
            <w:r>
              <w:rPr>
                <w:color w:val="231F20"/>
                <w:spacing w:val="-2"/>
                <w:sz w:val="15"/>
              </w:rPr>
              <w:t>the</w:t>
            </w:r>
            <w:r>
              <w:rPr>
                <w:color w:val="231F20"/>
                <w:spacing w:val="-6"/>
                <w:sz w:val="15"/>
              </w:rPr>
              <w:t> </w:t>
            </w:r>
            <w:r>
              <w:rPr>
                <w:color w:val="231F20"/>
                <w:spacing w:val="-2"/>
                <w:sz w:val="15"/>
              </w:rPr>
              <w:t>cerebellum</w:t>
            </w:r>
            <w:r>
              <w:rPr>
                <w:color w:val="231F20"/>
                <w:spacing w:val="-6"/>
                <w:sz w:val="15"/>
              </w:rPr>
              <w:t> </w:t>
            </w:r>
            <w:r>
              <w:rPr>
                <w:color w:val="231F20"/>
                <w:spacing w:val="-2"/>
                <w:sz w:val="15"/>
              </w:rPr>
              <w:t>(Chiari </w:t>
            </w:r>
            <w:r>
              <w:rPr>
                <w:color w:val="231F20"/>
                <w:sz w:val="15"/>
              </w:rPr>
              <w:t>malformation type 3)</w:t>
            </w:r>
          </w:p>
          <w:p>
            <w:pPr>
              <w:pStyle w:val="TableParagraph"/>
              <w:numPr>
                <w:ilvl w:val="0"/>
                <w:numId w:val="72"/>
              </w:numPr>
              <w:tabs>
                <w:tab w:pos="223" w:val="left" w:leader="none"/>
              </w:tabs>
              <w:spacing w:line="167" w:lineRule="exact" w:before="0" w:after="0"/>
              <w:ind w:left="223" w:right="0" w:hanging="149"/>
              <w:jc w:val="left"/>
              <w:rPr>
                <w:sz w:val="15"/>
              </w:rPr>
            </w:pPr>
            <w:r>
              <w:rPr>
                <w:color w:val="231F20"/>
                <w:sz w:val="15"/>
              </w:rPr>
              <w:t>Chiari</w:t>
            </w:r>
            <w:r>
              <w:rPr>
                <w:color w:val="231F20"/>
                <w:spacing w:val="-7"/>
                <w:sz w:val="15"/>
              </w:rPr>
              <w:t> </w:t>
            </w:r>
            <w:r>
              <w:rPr>
                <w:color w:val="231F20"/>
                <w:spacing w:val="-2"/>
                <w:sz w:val="15"/>
              </w:rPr>
              <w:t>malformation</w:t>
            </w:r>
          </w:p>
          <w:p>
            <w:pPr>
              <w:pStyle w:val="TableParagraph"/>
              <w:numPr>
                <w:ilvl w:val="0"/>
                <w:numId w:val="72"/>
              </w:numPr>
              <w:tabs>
                <w:tab w:pos="223" w:val="left" w:leader="none"/>
              </w:tabs>
              <w:spacing w:line="168" w:lineRule="exact" w:before="0" w:after="0"/>
              <w:ind w:left="223" w:right="0" w:hanging="149"/>
              <w:jc w:val="left"/>
              <w:rPr>
                <w:sz w:val="15"/>
              </w:rPr>
            </w:pPr>
            <w:r>
              <w:rPr>
                <w:color w:val="231F20"/>
                <w:sz w:val="15"/>
              </w:rPr>
              <w:t>Dandy-Walker</w:t>
            </w:r>
            <w:r>
              <w:rPr>
                <w:color w:val="231F20"/>
                <w:spacing w:val="-1"/>
                <w:sz w:val="15"/>
              </w:rPr>
              <w:t> </w:t>
            </w:r>
            <w:r>
              <w:rPr>
                <w:color w:val="231F20"/>
                <w:spacing w:val="-2"/>
                <w:sz w:val="15"/>
              </w:rPr>
              <w:t>syndrome</w:t>
            </w:r>
          </w:p>
          <w:p>
            <w:pPr>
              <w:pStyle w:val="TableParagraph"/>
              <w:numPr>
                <w:ilvl w:val="0"/>
                <w:numId w:val="72"/>
              </w:numPr>
              <w:tabs>
                <w:tab w:pos="223" w:val="left" w:leader="none"/>
              </w:tabs>
              <w:spacing w:line="168" w:lineRule="exact" w:before="0" w:after="0"/>
              <w:ind w:left="223" w:right="0" w:hanging="149"/>
              <w:jc w:val="left"/>
              <w:rPr>
                <w:sz w:val="15"/>
              </w:rPr>
            </w:pPr>
            <w:r>
              <w:rPr>
                <w:color w:val="231F20"/>
                <w:spacing w:val="-2"/>
                <w:sz w:val="15"/>
              </w:rPr>
              <w:t>Encephalocele</w:t>
            </w:r>
          </w:p>
          <w:p>
            <w:pPr>
              <w:pStyle w:val="TableParagraph"/>
              <w:numPr>
                <w:ilvl w:val="0"/>
                <w:numId w:val="72"/>
              </w:numPr>
              <w:tabs>
                <w:tab w:pos="223" w:val="left" w:leader="none"/>
              </w:tabs>
              <w:spacing w:line="168" w:lineRule="exact" w:before="0" w:after="0"/>
              <w:ind w:left="223" w:right="0" w:hanging="149"/>
              <w:jc w:val="left"/>
              <w:rPr>
                <w:sz w:val="15"/>
              </w:rPr>
            </w:pPr>
            <w:r>
              <w:rPr>
                <w:color w:val="231F20"/>
                <w:sz w:val="15"/>
              </w:rPr>
              <w:t>Hydrocephalus</w:t>
            </w:r>
            <w:r>
              <w:rPr>
                <w:color w:val="231F20"/>
                <w:spacing w:val="10"/>
                <w:sz w:val="15"/>
              </w:rPr>
              <w:t> </w:t>
            </w:r>
            <w:r>
              <w:rPr>
                <w:color w:val="231F20"/>
                <w:spacing w:val="-2"/>
                <w:sz w:val="15"/>
              </w:rPr>
              <w:t>(progressive)</w:t>
            </w:r>
          </w:p>
          <w:p>
            <w:pPr>
              <w:pStyle w:val="TableParagraph"/>
              <w:numPr>
                <w:ilvl w:val="0"/>
                <w:numId w:val="72"/>
              </w:numPr>
              <w:tabs>
                <w:tab w:pos="223" w:val="left" w:leader="none"/>
              </w:tabs>
              <w:spacing w:line="171" w:lineRule="exact" w:before="0" w:after="0"/>
              <w:ind w:left="223" w:right="0" w:hanging="149"/>
              <w:jc w:val="left"/>
              <w:rPr>
                <w:sz w:val="15"/>
              </w:rPr>
            </w:pPr>
            <w:r>
              <w:rPr>
                <w:color w:val="231F20"/>
                <w:sz w:val="15"/>
              </w:rPr>
              <w:t>Hypoplasia</w:t>
            </w:r>
            <w:r>
              <w:rPr>
                <w:color w:val="231F20"/>
                <w:spacing w:val="-1"/>
                <w:sz w:val="15"/>
              </w:rPr>
              <w:t> </w:t>
            </w:r>
            <w:r>
              <w:rPr>
                <w:color w:val="231F20"/>
                <w:sz w:val="15"/>
              </w:rPr>
              <w:t>of</w:t>
            </w:r>
            <w:r>
              <w:rPr>
                <w:color w:val="231F20"/>
                <w:spacing w:val="-1"/>
                <w:sz w:val="15"/>
              </w:rPr>
              <w:t> </w:t>
            </w:r>
            <w:r>
              <w:rPr>
                <w:color w:val="231F20"/>
                <w:sz w:val="15"/>
              </w:rPr>
              <w:t>the</w:t>
            </w:r>
            <w:r>
              <w:rPr>
                <w:color w:val="231F20"/>
                <w:spacing w:val="-1"/>
                <w:sz w:val="15"/>
              </w:rPr>
              <w:t> </w:t>
            </w:r>
            <w:r>
              <w:rPr>
                <w:color w:val="231F20"/>
                <w:spacing w:val="-2"/>
                <w:sz w:val="15"/>
              </w:rPr>
              <w:t>cerebellum</w:t>
            </w:r>
          </w:p>
        </w:tc>
        <w:tc>
          <w:tcPr>
            <w:tcW w:w="4870" w:type="dxa"/>
            <w:vMerge w:val="restart"/>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5"/>
                <w:sz w:val="15"/>
              </w:rPr>
              <w:t>METABOLIC</w:t>
            </w:r>
          </w:p>
          <w:p>
            <w:pPr>
              <w:pStyle w:val="TableParagraph"/>
              <w:numPr>
                <w:ilvl w:val="0"/>
                <w:numId w:val="73"/>
              </w:numPr>
              <w:tabs>
                <w:tab w:pos="218" w:val="left" w:leader="none"/>
              </w:tabs>
              <w:spacing w:line="169" w:lineRule="exact" w:before="0" w:after="0"/>
              <w:ind w:left="218" w:right="0" w:hanging="149"/>
              <w:jc w:val="left"/>
              <w:rPr>
                <w:sz w:val="15"/>
              </w:rPr>
            </w:pPr>
            <w:r>
              <w:rPr>
                <w:color w:val="231F20"/>
                <w:spacing w:val="-2"/>
                <w:sz w:val="15"/>
              </w:rPr>
              <w:t>Abetalipoproteinemia</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Argininosuccinic</w:t>
            </w:r>
            <w:r>
              <w:rPr>
                <w:color w:val="231F20"/>
                <w:spacing w:val="-1"/>
                <w:sz w:val="15"/>
              </w:rPr>
              <w:t> </w:t>
            </w:r>
            <w:r>
              <w:rPr>
                <w:color w:val="231F20"/>
                <w:spacing w:val="-2"/>
                <w:sz w:val="15"/>
              </w:rPr>
              <w:t>aciduria</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Ataxia</w:t>
            </w:r>
            <w:r>
              <w:rPr>
                <w:color w:val="231F20"/>
                <w:spacing w:val="-6"/>
                <w:sz w:val="15"/>
              </w:rPr>
              <w:t> </w:t>
            </w:r>
            <w:r>
              <w:rPr>
                <w:color w:val="231F20"/>
                <w:spacing w:val="-2"/>
                <w:sz w:val="15"/>
              </w:rPr>
              <w:t>with</w:t>
            </w:r>
            <w:r>
              <w:rPr>
                <w:color w:val="231F20"/>
                <w:spacing w:val="-5"/>
                <w:sz w:val="15"/>
              </w:rPr>
              <w:t> </w:t>
            </w:r>
            <w:r>
              <w:rPr>
                <w:color w:val="231F20"/>
                <w:spacing w:val="-2"/>
                <w:sz w:val="15"/>
              </w:rPr>
              <w:t>vitamin</w:t>
            </w:r>
            <w:r>
              <w:rPr>
                <w:color w:val="231F20"/>
                <w:spacing w:val="-5"/>
                <w:sz w:val="15"/>
              </w:rPr>
              <w:t> </w:t>
            </w:r>
            <w:r>
              <w:rPr>
                <w:color w:val="231F20"/>
                <w:spacing w:val="-2"/>
                <w:sz w:val="15"/>
              </w:rPr>
              <w:t>E</w:t>
            </w:r>
            <w:r>
              <w:rPr>
                <w:color w:val="231F20"/>
                <w:spacing w:val="-5"/>
                <w:sz w:val="15"/>
              </w:rPr>
              <w:t> </w:t>
            </w:r>
            <w:r>
              <w:rPr>
                <w:color w:val="231F20"/>
                <w:spacing w:val="-2"/>
                <w:sz w:val="15"/>
              </w:rPr>
              <w:t>deficiency</w:t>
            </w:r>
            <w:r>
              <w:rPr>
                <w:color w:val="231F20"/>
                <w:spacing w:val="-5"/>
                <w:sz w:val="15"/>
              </w:rPr>
              <w:t> </w:t>
            </w:r>
            <w:r>
              <w:rPr>
                <w:color w:val="231F20"/>
                <w:spacing w:val="-2"/>
                <w:sz w:val="15"/>
              </w:rPr>
              <w:t>(AVED)</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Congenital</w:t>
            </w:r>
            <w:r>
              <w:rPr>
                <w:color w:val="231F20"/>
                <w:spacing w:val="6"/>
                <w:sz w:val="15"/>
              </w:rPr>
              <w:t> </w:t>
            </w:r>
            <w:r>
              <w:rPr>
                <w:color w:val="231F20"/>
                <w:sz w:val="15"/>
              </w:rPr>
              <w:t>disorders</w:t>
            </w:r>
            <w:r>
              <w:rPr>
                <w:color w:val="231F20"/>
                <w:spacing w:val="6"/>
                <w:sz w:val="15"/>
              </w:rPr>
              <w:t> </w:t>
            </w:r>
            <w:r>
              <w:rPr>
                <w:color w:val="231F20"/>
                <w:sz w:val="15"/>
              </w:rPr>
              <w:t>of</w:t>
            </w:r>
            <w:r>
              <w:rPr>
                <w:color w:val="231F20"/>
                <w:spacing w:val="7"/>
                <w:sz w:val="15"/>
              </w:rPr>
              <w:t> </w:t>
            </w:r>
            <w:r>
              <w:rPr>
                <w:color w:val="231F20"/>
                <w:spacing w:val="-2"/>
                <w:sz w:val="15"/>
              </w:rPr>
              <w:t>glycosylation</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GM</w:t>
            </w:r>
            <w:r>
              <w:rPr>
                <w:color w:val="231F20"/>
                <w:sz w:val="15"/>
                <w:vertAlign w:val="subscript"/>
              </w:rPr>
              <w:t>2</w:t>
            </w:r>
            <w:r>
              <w:rPr>
                <w:color w:val="231F20"/>
                <w:spacing w:val="31"/>
                <w:sz w:val="15"/>
                <w:vertAlign w:val="baseline"/>
              </w:rPr>
              <w:t> </w:t>
            </w:r>
            <w:r>
              <w:rPr>
                <w:color w:val="231F20"/>
                <w:sz w:val="15"/>
                <w:vertAlign w:val="baseline"/>
              </w:rPr>
              <w:t>gangliosidosis</w:t>
            </w:r>
            <w:r>
              <w:rPr>
                <w:color w:val="231F20"/>
                <w:spacing w:val="31"/>
                <w:sz w:val="15"/>
                <w:vertAlign w:val="baseline"/>
              </w:rPr>
              <w:t> </w:t>
            </w:r>
            <w:r>
              <w:rPr>
                <w:color w:val="231F20"/>
                <w:spacing w:val="-2"/>
                <w:sz w:val="15"/>
                <w:vertAlign w:val="baseline"/>
              </w:rPr>
              <w:t>(late)</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Hartnup</w:t>
            </w:r>
            <w:r>
              <w:rPr>
                <w:color w:val="231F20"/>
                <w:spacing w:val="-5"/>
                <w:sz w:val="15"/>
              </w:rPr>
              <w:t> </w:t>
            </w:r>
            <w:r>
              <w:rPr>
                <w:color w:val="231F20"/>
                <w:spacing w:val="-2"/>
                <w:sz w:val="15"/>
              </w:rPr>
              <w:t>disease</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Hyperalaninemia</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Hyperammonemia</w:t>
            </w:r>
            <w:r>
              <w:rPr>
                <w:color w:val="231F20"/>
                <w:spacing w:val="-5"/>
                <w:sz w:val="15"/>
              </w:rPr>
              <w:t> </w:t>
            </w:r>
            <w:r>
              <w:rPr>
                <w:color w:val="231F20"/>
                <w:sz w:val="15"/>
              </w:rPr>
              <w:t>I</w:t>
            </w:r>
            <w:r>
              <w:rPr>
                <w:color w:val="231F20"/>
                <w:spacing w:val="-4"/>
                <w:sz w:val="15"/>
              </w:rPr>
              <w:t> </w:t>
            </w:r>
            <w:r>
              <w:rPr>
                <w:color w:val="231F20"/>
                <w:sz w:val="15"/>
              </w:rPr>
              <w:t>and</w:t>
            </w:r>
            <w:r>
              <w:rPr>
                <w:color w:val="231F20"/>
                <w:spacing w:val="-5"/>
                <w:sz w:val="15"/>
              </w:rPr>
              <w:t> </w:t>
            </w:r>
            <w:r>
              <w:rPr>
                <w:color w:val="231F20"/>
                <w:sz w:val="15"/>
              </w:rPr>
              <w:t>II</w:t>
            </w:r>
            <w:r>
              <w:rPr>
                <w:color w:val="231F20"/>
                <w:spacing w:val="-4"/>
                <w:sz w:val="15"/>
              </w:rPr>
              <w:t> </w:t>
            </w:r>
            <w:r>
              <w:rPr>
                <w:color w:val="231F20"/>
                <w:sz w:val="15"/>
              </w:rPr>
              <w:t>(urea</w:t>
            </w:r>
            <w:r>
              <w:rPr>
                <w:color w:val="231F20"/>
                <w:spacing w:val="-5"/>
                <w:sz w:val="15"/>
              </w:rPr>
              <w:t> </w:t>
            </w:r>
            <w:r>
              <w:rPr>
                <w:color w:val="231F20"/>
                <w:sz w:val="15"/>
              </w:rPr>
              <w:t>cycle</w:t>
            </w:r>
            <w:r>
              <w:rPr>
                <w:color w:val="231F20"/>
                <w:spacing w:val="-4"/>
                <w:sz w:val="15"/>
              </w:rPr>
              <w:t> </w:t>
            </w:r>
            <w:r>
              <w:rPr>
                <w:color w:val="231F20"/>
                <w:spacing w:val="-2"/>
                <w:sz w:val="15"/>
              </w:rPr>
              <w:t>defects)</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Hypoglycemia</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Kearns-Sayre</w:t>
            </w:r>
            <w:r>
              <w:rPr>
                <w:color w:val="231F20"/>
                <w:spacing w:val="-8"/>
                <w:sz w:val="15"/>
              </w:rPr>
              <w:t> </w:t>
            </w:r>
            <w:r>
              <w:rPr>
                <w:color w:val="231F20"/>
                <w:spacing w:val="-2"/>
                <w:sz w:val="15"/>
              </w:rPr>
              <w:t>syndrome</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Leigh</w:t>
            </w:r>
            <w:r>
              <w:rPr>
                <w:color w:val="231F20"/>
                <w:spacing w:val="8"/>
                <w:sz w:val="15"/>
              </w:rPr>
              <w:t> </w:t>
            </w:r>
            <w:r>
              <w:rPr>
                <w:color w:val="231F20"/>
                <w:spacing w:val="-2"/>
                <w:sz w:val="15"/>
              </w:rPr>
              <w:t>disease</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Maple</w:t>
            </w:r>
            <w:r>
              <w:rPr>
                <w:color w:val="231F20"/>
                <w:spacing w:val="3"/>
                <w:sz w:val="15"/>
              </w:rPr>
              <w:t> </w:t>
            </w:r>
            <w:r>
              <w:rPr>
                <w:color w:val="231F20"/>
                <w:sz w:val="15"/>
              </w:rPr>
              <w:t>syrup</w:t>
            </w:r>
            <w:r>
              <w:rPr>
                <w:color w:val="231F20"/>
                <w:spacing w:val="4"/>
                <w:sz w:val="15"/>
              </w:rPr>
              <w:t> </w:t>
            </w:r>
            <w:r>
              <w:rPr>
                <w:color w:val="231F20"/>
                <w:sz w:val="15"/>
              </w:rPr>
              <w:t>urine</w:t>
            </w:r>
            <w:r>
              <w:rPr>
                <w:color w:val="231F20"/>
                <w:spacing w:val="4"/>
                <w:sz w:val="15"/>
              </w:rPr>
              <w:t> </w:t>
            </w:r>
            <w:r>
              <w:rPr>
                <w:color w:val="231F20"/>
                <w:sz w:val="15"/>
              </w:rPr>
              <w:t>disease</w:t>
            </w:r>
            <w:r>
              <w:rPr>
                <w:color w:val="231F20"/>
                <w:spacing w:val="4"/>
                <w:sz w:val="15"/>
              </w:rPr>
              <w:t> </w:t>
            </w:r>
            <w:r>
              <w:rPr>
                <w:color w:val="231F20"/>
                <w:spacing w:val="-2"/>
                <w:sz w:val="15"/>
              </w:rPr>
              <w:t>(intermittent)</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Myoclonic epilepsy</w:t>
            </w:r>
            <w:r>
              <w:rPr>
                <w:color w:val="231F20"/>
                <w:spacing w:val="1"/>
                <w:sz w:val="15"/>
              </w:rPr>
              <w:t> </w:t>
            </w:r>
            <w:r>
              <w:rPr>
                <w:color w:val="231F20"/>
                <w:sz w:val="15"/>
              </w:rPr>
              <w:t>with ragged</w:t>
            </w:r>
            <w:r>
              <w:rPr>
                <w:color w:val="231F20"/>
                <w:spacing w:val="1"/>
                <w:sz w:val="15"/>
              </w:rPr>
              <w:t> </w:t>
            </w:r>
            <w:r>
              <w:rPr>
                <w:color w:val="231F20"/>
                <w:sz w:val="15"/>
              </w:rPr>
              <w:t>red fibers</w:t>
            </w:r>
            <w:r>
              <w:rPr>
                <w:color w:val="231F20"/>
                <w:spacing w:val="1"/>
                <w:sz w:val="15"/>
              </w:rPr>
              <w:t> </w:t>
            </w:r>
            <w:r>
              <w:rPr>
                <w:color w:val="231F20"/>
                <w:spacing w:val="-2"/>
                <w:sz w:val="15"/>
              </w:rPr>
              <w:t>(MERRF)</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Metachromatic</w:t>
            </w:r>
            <w:r>
              <w:rPr>
                <w:color w:val="231F20"/>
                <w:spacing w:val="-10"/>
                <w:sz w:val="15"/>
              </w:rPr>
              <w:t> </w:t>
            </w:r>
            <w:r>
              <w:rPr>
                <w:color w:val="231F20"/>
                <w:spacing w:val="-2"/>
                <w:sz w:val="15"/>
              </w:rPr>
              <w:t>leukodystrophy</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Mitochondrial</w:t>
            </w:r>
            <w:r>
              <w:rPr>
                <w:color w:val="231F20"/>
                <w:spacing w:val="-1"/>
                <w:sz w:val="15"/>
              </w:rPr>
              <w:t> </w:t>
            </w:r>
            <w:r>
              <w:rPr>
                <w:color w:val="231F20"/>
                <w:spacing w:val="-2"/>
                <w:sz w:val="15"/>
              </w:rPr>
              <w:t>complex</w:t>
            </w:r>
            <w:r>
              <w:rPr>
                <w:color w:val="231F20"/>
                <w:spacing w:val="-1"/>
                <w:sz w:val="15"/>
              </w:rPr>
              <w:t> </w:t>
            </w:r>
            <w:r>
              <w:rPr>
                <w:color w:val="231F20"/>
                <w:spacing w:val="-2"/>
                <w:sz w:val="15"/>
              </w:rPr>
              <w:t>defects</w:t>
            </w:r>
            <w:r>
              <w:rPr>
                <w:color w:val="231F20"/>
                <w:spacing w:val="-1"/>
                <w:sz w:val="15"/>
              </w:rPr>
              <w:t> </w:t>
            </w:r>
            <w:r>
              <w:rPr>
                <w:color w:val="231F20"/>
                <w:spacing w:val="-2"/>
                <w:sz w:val="15"/>
              </w:rPr>
              <w:t>(I,</w:t>
            </w:r>
            <w:r>
              <w:rPr>
                <w:color w:val="231F20"/>
                <w:sz w:val="15"/>
              </w:rPr>
              <w:t> </w:t>
            </w:r>
            <w:r>
              <w:rPr>
                <w:color w:val="231F20"/>
                <w:spacing w:val="-2"/>
                <w:sz w:val="15"/>
              </w:rPr>
              <w:t>III,</w:t>
            </w:r>
            <w:r>
              <w:rPr>
                <w:color w:val="231F20"/>
                <w:spacing w:val="-1"/>
                <w:sz w:val="15"/>
              </w:rPr>
              <w:t> </w:t>
            </w:r>
            <w:r>
              <w:rPr>
                <w:color w:val="231F20"/>
                <w:spacing w:val="-5"/>
                <w:sz w:val="15"/>
              </w:rPr>
              <w:t>IV)</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Multiple</w:t>
            </w:r>
            <w:r>
              <w:rPr>
                <w:color w:val="231F20"/>
                <w:spacing w:val="4"/>
                <w:sz w:val="15"/>
              </w:rPr>
              <w:t> </w:t>
            </w:r>
            <w:r>
              <w:rPr>
                <w:color w:val="231F20"/>
                <w:spacing w:val="-2"/>
                <w:sz w:val="15"/>
              </w:rPr>
              <w:t>carboxylase</w:t>
            </w:r>
            <w:r>
              <w:rPr>
                <w:color w:val="231F20"/>
                <w:spacing w:val="5"/>
                <w:sz w:val="15"/>
              </w:rPr>
              <w:t> </w:t>
            </w:r>
            <w:r>
              <w:rPr>
                <w:color w:val="231F20"/>
                <w:spacing w:val="-2"/>
                <w:sz w:val="15"/>
              </w:rPr>
              <w:t>deficiency</w:t>
            </w:r>
            <w:r>
              <w:rPr>
                <w:color w:val="231F20"/>
                <w:spacing w:val="5"/>
                <w:sz w:val="15"/>
              </w:rPr>
              <w:t> </w:t>
            </w:r>
            <w:r>
              <w:rPr>
                <w:color w:val="231F20"/>
                <w:spacing w:val="-2"/>
                <w:sz w:val="15"/>
              </w:rPr>
              <w:t>(biotinidase</w:t>
            </w:r>
            <w:r>
              <w:rPr>
                <w:color w:val="231F20"/>
                <w:spacing w:val="4"/>
                <w:sz w:val="15"/>
              </w:rPr>
              <w:t> </w:t>
            </w:r>
            <w:r>
              <w:rPr>
                <w:color w:val="231F20"/>
                <w:spacing w:val="-2"/>
                <w:sz w:val="15"/>
              </w:rPr>
              <w:t>deficiency)</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Neuronal</w:t>
            </w:r>
            <w:r>
              <w:rPr>
                <w:color w:val="231F20"/>
                <w:spacing w:val="3"/>
                <w:sz w:val="15"/>
              </w:rPr>
              <w:t> </w:t>
            </w:r>
            <w:r>
              <w:rPr>
                <w:color w:val="231F20"/>
                <w:sz w:val="15"/>
              </w:rPr>
              <w:t>ceroid-</w:t>
            </w:r>
            <w:r>
              <w:rPr>
                <w:color w:val="231F20"/>
                <w:spacing w:val="-2"/>
                <w:sz w:val="15"/>
              </w:rPr>
              <w:t>lipofuscinosis</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Neuropathy, ataxia,</w:t>
            </w:r>
            <w:r>
              <w:rPr>
                <w:color w:val="231F20"/>
                <w:spacing w:val="-1"/>
                <w:sz w:val="15"/>
              </w:rPr>
              <w:t> </w:t>
            </w:r>
            <w:r>
              <w:rPr>
                <w:color w:val="231F20"/>
                <w:spacing w:val="-2"/>
                <w:sz w:val="15"/>
              </w:rPr>
              <w:t>retinitis</w:t>
            </w:r>
            <w:r>
              <w:rPr>
                <w:color w:val="231F20"/>
                <w:spacing w:val="-1"/>
                <w:sz w:val="15"/>
              </w:rPr>
              <w:t> </w:t>
            </w:r>
            <w:r>
              <w:rPr>
                <w:color w:val="231F20"/>
                <w:spacing w:val="-2"/>
                <w:sz w:val="15"/>
              </w:rPr>
              <w:t>pigmentosa</w:t>
            </w:r>
            <w:r>
              <w:rPr>
                <w:color w:val="231F20"/>
                <w:spacing w:val="-1"/>
                <w:sz w:val="15"/>
              </w:rPr>
              <w:t> </w:t>
            </w:r>
            <w:r>
              <w:rPr>
                <w:color w:val="231F20"/>
                <w:spacing w:val="-2"/>
                <w:sz w:val="15"/>
              </w:rPr>
              <w:t>(NARP)</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Niemann-Pick</w:t>
            </w:r>
            <w:r>
              <w:rPr>
                <w:color w:val="231F20"/>
                <w:spacing w:val="-10"/>
                <w:sz w:val="15"/>
              </w:rPr>
              <w:t> </w:t>
            </w:r>
            <w:r>
              <w:rPr>
                <w:color w:val="231F20"/>
                <w:sz w:val="15"/>
              </w:rPr>
              <w:t>disease</w:t>
            </w:r>
            <w:r>
              <w:rPr>
                <w:color w:val="231F20"/>
                <w:spacing w:val="-9"/>
                <w:sz w:val="15"/>
              </w:rPr>
              <w:t> </w:t>
            </w:r>
            <w:r>
              <w:rPr>
                <w:color w:val="231F20"/>
                <w:sz w:val="15"/>
              </w:rPr>
              <w:t>(late</w:t>
            </w:r>
            <w:r>
              <w:rPr>
                <w:color w:val="231F20"/>
                <w:spacing w:val="-9"/>
                <w:sz w:val="15"/>
              </w:rPr>
              <w:t> </w:t>
            </w:r>
            <w:r>
              <w:rPr>
                <w:color w:val="231F20"/>
                <w:spacing w:val="-2"/>
                <w:sz w:val="15"/>
              </w:rPr>
              <w:t>infantile)</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5-Oxoprolinuria</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Pyruvate</w:t>
            </w:r>
            <w:r>
              <w:rPr>
                <w:color w:val="231F20"/>
                <w:spacing w:val="2"/>
                <w:sz w:val="15"/>
              </w:rPr>
              <w:t> </w:t>
            </w:r>
            <w:r>
              <w:rPr>
                <w:color w:val="231F20"/>
                <w:spacing w:val="-2"/>
                <w:sz w:val="15"/>
              </w:rPr>
              <w:t>decarboxylase</w:t>
            </w:r>
            <w:r>
              <w:rPr>
                <w:color w:val="231F20"/>
                <w:spacing w:val="2"/>
                <w:sz w:val="15"/>
              </w:rPr>
              <w:t> </w:t>
            </w:r>
            <w:r>
              <w:rPr>
                <w:color w:val="231F20"/>
                <w:spacing w:val="-2"/>
                <w:sz w:val="15"/>
              </w:rPr>
              <w:t>deficiency</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Refsum</w:t>
            </w:r>
            <w:r>
              <w:rPr>
                <w:color w:val="231F20"/>
                <w:spacing w:val="-4"/>
                <w:sz w:val="15"/>
              </w:rPr>
              <w:t> </w:t>
            </w:r>
            <w:r>
              <w:rPr>
                <w:color w:val="231F20"/>
                <w:spacing w:val="-2"/>
                <w:sz w:val="15"/>
              </w:rPr>
              <w:t>disease</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Sialidosis</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z w:val="15"/>
              </w:rPr>
              <w:t>Triose-phosphate</w:t>
            </w:r>
            <w:r>
              <w:rPr>
                <w:color w:val="231F20"/>
                <w:spacing w:val="1"/>
                <w:sz w:val="15"/>
              </w:rPr>
              <w:t> </w:t>
            </w:r>
            <w:r>
              <w:rPr>
                <w:color w:val="231F20"/>
                <w:sz w:val="15"/>
              </w:rPr>
              <w:t>isomerase</w:t>
            </w:r>
            <w:r>
              <w:rPr>
                <w:color w:val="231F20"/>
                <w:spacing w:val="1"/>
                <w:sz w:val="15"/>
              </w:rPr>
              <w:t> </w:t>
            </w:r>
            <w:r>
              <w:rPr>
                <w:color w:val="231F20"/>
                <w:spacing w:val="-2"/>
                <w:sz w:val="15"/>
              </w:rPr>
              <w:t>deficiency</w:t>
            </w:r>
          </w:p>
          <w:p>
            <w:pPr>
              <w:pStyle w:val="TableParagraph"/>
              <w:numPr>
                <w:ilvl w:val="0"/>
                <w:numId w:val="73"/>
              </w:numPr>
              <w:tabs>
                <w:tab w:pos="218" w:val="left" w:leader="none"/>
              </w:tabs>
              <w:spacing w:line="168" w:lineRule="exact" w:before="0" w:after="0"/>
              <w:ind w:left="218" w:right="0" w:hanging="149"/>
              <w:jc w:val="left"/>
              <w:rPr>
                <w:sz w:val="15"/>
              </w:rPr>
            </w:pPr>
            <w:r>
              <w:rPr>
                <w:color w:val="231F20"/>
                <w:spacing w:val="-2"/>
                <w:sz w:val="15"/>
              </w:rPr>
              <w:t>Tryptophanuria</w:t>
            </w:r>
          </w:p>
          <w:p>
            <w:pPr>
              <w:pStyle w:val="TableParagraph"/>
              <w:numPr>
                <w:ilvl w:val="0"/>
                <w:numId w:val="73"/>
              </w:numPr>
              <w:tabs>
                <w:tab w:pos="218" w:val="left" w:leader="none"/>
              </w:tabs>
              <w:spacing w:line="171" w:lineRule="exact" w:before="0" w:after="0"/>
              <w:ind w:left="218" w:right="0" w:hanging="149"/>
              <w:jc w:val="left"/>
              <w:rPr>
                <w:sz w:val="15"/>
              </w:rPr>
            </w:pPr>
            <w:r>
              <w:rPr>
                <w:color w:val="231F20"/>
                <w:sz w:val="15"/>
              </w:rPr>
              <w:t>Wernicke</w:t>
            </w:r>
            <w:r>
              <w:rPr>
                <w:color w:val="231F20"/>
                <w:spacing w:val="-6"/>
                <w:sz w:val="15"/>
              </w:rPr>
              <w:t> </w:t>
            </w:r>
            <w:r>
              <w:rPr>
                <w:color w:val="231F20"/>
                <w:spacing w:val="-2"/>
                <w:sz w:val="15"/>
              </w:rPr>
              <w:t>encephalopathy</w:t>
            </w:r>
          </w:p>
        </w:tc>
      </w:tr>
      <w:tr>
        <w:trPr>
          <w:trHeight w:val="2523" w:hRule="exact"/>
        </w:trPr>
        <w:tc>
          <w:tcPr>
            <w:tcW w:w="4870" w:type="dxa"/>
            <w:vMerge w:val="restart"/>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DEGENERATIVE</w:t>
            </w:r>
            <w:r>
              <w:rPr>
                <w:color w:val="231F20"/>
                <w:spacing w:val="12"/>
                <w:w w:val="110"/>
                <w:sz w:val="15"/>
              </w:rPr>
              <w:t> </w:t>
            </w:r>
            <w:r>
              <w:rPr>
                <w:color w:val="231F20"/>
                <w:w w:val="110"/>
                <w:sz w:val="15"/>
              </w:rPr>
              <w:t>AND/OR</w:t>
            </w:r>
            <w:r>
              <w:rPr>
                <w:color w:val="231F20"/>
                <w:spacing w:val="12"/>
                <w:w w:val="110"/>
                <w:sz w:val="15"/>
              </w:rPr>
              <w:t> </w:t>
            </w:r>
            <w:r>
              <w:rPr>
                <w:color w:val="231F20"/>
                <w:spacing w:val="-2"/>
                <w:w w:val="110"/>
                <w:sz w:val="15"/>
              </w:rPr>
              <w:t>GENETIC</w:t>
            </w:r>
          </w:p>
          <w:p>
            <w:pPr>
              <w:pStyle w:val="TableParagraph"/>
              <w:numPr>
                <w:ilvl w:val="0"/>
                <w:numId w:val="74"/>
              </w:numPr>
              <w:tabs>
                <w:tab w:pos="223" w:val="left" w:leader="none"/>
              </w:tabs>
              <w:spacing w:line="169" w:lineRule="exact" w:before="0" w:after="0"/>
              <w:ind w:left="223" w:right="0" w:hanging="149"/>
              <w:jc w:val="left"/>
              <w:rPr>
                <w:sz w:val="15"/>
              </w:rPr>
            </w:pPr>
            <w:r>
              <w:rPr>
                <w:color w:val="231F20"/>
                <w:spacing w:val="-4"/>
                <w:sz w:val="15"/>
              </w:rPr>
              <w:t>Acute</w:t>
            </w:r>
            <w:r>
              <w:rPr>
                <w:color w:val="231F20"/>
                <w:spacing w:val="8"/>
                <w:sz w:val="15"/>
              </w:rPr>
              <w:t> </w:t>
            </w:r>
            <w:r>
              <w:rPr>
                <w:color w:val="231F20"/>
                <w:spacing w:val="-4"/>
                <w:sz w:val="15"/>
              </w:rPr>
              <w:t>intermittent</w:t>
            </w:r>
            <w:r>
              <w:rPr>
                <w:color w:val="231F20"/>
                <w:spacing w:val="8"/>
                <w:sz w:val="15"/>
              </w:rPr>
              <w:t> </w:t>
            </w:r>
            <w:r>
              <w:rPr>
                <w:color w:val="231F20"/>
                <w:spacing w:val="-4"/>
                <w:sz w:val="15"/>
              </w:rPr>
              <w:t>cerebellar</w:t>
            </w:r>
            <w:r>
              <w:rPr>
                <w:color w:val="231F20"/>
                <w:spacing w:val="9"/>
                <w:sz w:val="15"/>
              </w:rPr>
              <w:t> </w:t>
            </w:r>
            <w:r>
              <w:rPr>
                <w:color w:val="231F20"/>
                <w:spacing w:val="-4"/>
                <w:sz w:val="15"/>
              </w:rPr>
              <w:t>ataxia</w:t>
            </w:r>
          </w:p>
          <w:p>
            <w:pPr>
              <w:pStyle w:val="TableParagraph"/>
              <w:numPr>
                <w:ilvl w:val="0"/>
                <w:numId w:val="74"/>
              </w:numPr>
              <w:tabs>
                <w:tab w:pos="223" w:val="left" w:leader="none"/>
              </w:tabs>
              <w:spacing w:line="230" w:lineRule="auto" w:before="2" w:after="0"/>
              <w:ind w:left="223" w:right="248" w:hanging="150"/>
              <w:jc w:val="left"/>
              <w:rPr>
                <w:sz w:val="15"/>
              </w:rPr>
            </w:pPr>
            <w:r>
              <w:rPr>
                <w:color w:val="231F20"/>
                <w:spacing w:val="-2"/>
                <w:sz w:val="15"/>
              </w:rPr>
              <w:t>Ataxia,</w:t>
            </w:r>
            <w:r>
              <w:rPr>
                <w:color w:val="231F20"/>
                <w:spacing w:val="-7"/>
                <w:sz w:val="15"/>
              </w:rPr>
              <w:t> </w:t>
            </w:r>
            <w:r>
              <w:rPr>
                <w:color w:val="231F20"/>
                <w:spacing w:val="-2"/>
                <w:sz w:val="15"/>
              </w:rPr>
              <w:t>retinitis</w:t>
            </w:r>
            <w:r>
              <w:rPr>
                <w:color w:val="231F20"/>
                <w:spacing w:val="-7"/>
                <w:sz w:val="15"/>
              </w:rPr>
              <w:t> </w:t>
            </w:r>
            <w:r>
              <w:rPr>
                <w:color w:val="231F20"/>
                <w:spacing w:val="-2"/>
                <w:sz w:val="15"/>
              </w:rPr>
              <w:t>pigmentosa,</w:t>
            </w:r>
            <w:r>
              <w:rPr>
                <w:color w:val="231F20"/>
                <w:spacing w:val="-7"/>
                <w:sz w:val="15"/>
              </w:rPr>
              <w:t> </w:t>
            </w:r>
            <w:r>
              <w:rPr>
                <w:color w:val="231F20"/>
                <w:spacing w:val="-2"/>
                <w:sz w:val="15"/>
              </w:rPr>
              <w:t>deafness,</w:t>
            </w:r>
            <w:r>
              <w:rPr>
                <w:color w:val="231F20"/>
                <w:spacing w:val="-7"/>
                <w:sz w:val="15"/>
              </w:rPr>
              <w:t> </w:t>
            </w:r>
            <w:r>
              <w:rPr>
                <w:color w:val="231F20"/>
                <w:spacing w:val="-2"/>
                <w:sz w:val="15"/>
              </w:rPr>
              <w:t>vestibular</w:t>
            </w:r>
            <w:r>
              <w:rPr>
                <w:color w:val="231F20"/>
                <w:spacing w:val="-7"/>
                <w:sz w:val="15"/>
              </w:rPr>
              <w:t> </w:t>
            </w:r>
            <w:r>
              <w:rPr>
                <w:color w:val="231F20"/>
                <w:spacing w:val="-2"/>
                <w:sz w:val="15"/>
              </w:rPr>
              <w:t>abnormality,</w:t>
            </w:r>
            <w:r>
              <w:rPr>
                <w:color w:val="231F20"/>
                <w:spacing w:val="-7"/>
                <w:sz w:val="15"/>
              </w:rPr>
              <w:t> </w:t>
            </w:r>
            <w:r>
              <w:rPr>
                <w:color w:val="231F20"/>
                <w:spacing w:val="-2"/>
                <w:sz w:val="15"/>
              </w:rPr>
              <w:t>and </w:t>
            </w:r>
            <w:r>
              <w:rPr>
                <w:color w:val="231F20"/>
                <w:sz w:val="15"/>
              </w:rPr>
              <w:t>intellectual deterioration</w:t>
            </w:r>
          </w:p>
          <w:p>
            <w:pPr>
              <w:pStyle w:val="TableParagraph"/>
              <w:numPr>
                <w:ilvl w:val="0"/>
                <w:numId w:val="74"/>
              </w:numPr>
              <w:tabs>
                <w:tab w:pos="223" w:val="left" w:leader="none"/>
              </w:tabs>
              <w:spacing w:line="167" w:lineRule="exact" w:before="0" w:after="0"/>
              <w:ind w:left="223" w:right="0" w:hanging="149"/>
              <w:jc w:val="left"/>
              <w:rPr>
                <w:sz w:val="15"/>
              </w:rPr>
            </w:pPr>
            <w:r>
              <w:rPr>
                <w:color w:val="231F20"/>
                <w:spacing w:val="-4"/>
                <w:sz w:val="15"/>
              </w:rPr>
              <w:t>Ataxia-</w:t>
            </w:r>
            <w:r>
              <w:rPr>
                <w:color w:val="231F20"/>
                <w:spacing w:val="-2"/>
                <w:sz w:val="15"/>
              </w:rPr>
              <w:t>telangiectasia</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z w:val="15"/>
              </w:rPr>
              <w:t>Biemond</w:t>
            </w:r>
            <w:r>
              <w:rPr>
                <w:color w:val="231F20"/>
                <w:spacing w:val="4"/>
                <w:sz w:val="15"/>
              </w:rPr>
              <w:t> </w:t>
            </w:r>
            <w:r>
              <w:rPr>
                <w:color w:val="231F20"/>
                <w:sz w:val="15"/>
              </w:rPr>
              <w:t>posterior</w:t>
            </w:r>
            <w:r>
              <w:rPr>
                <w:color w:val="231F20"/>
                <w:spacing w:val="5"/>
                <w:sz w:val="15"/>
              </w:rPr>
              <w:t> </w:t>
            </w:r>
            <w:r>
              <w:rPr>
                <w:color w:val="231F20"/>
                <w:sz w:val="15"/>
              </w:rPr>
              <w:t>column</w:t>
            </w:r>
            <w:r>
              <w:rPr>
                <w:color w:val="231F20"/>
                <w:spacing w:val="5"/>
                <w:sz w:val="15"/>
              </w:rPr>
              <w:t> </w:t>
            </w:r>
            <w:r>
              <w:rPr>
                <w:color w:val="231F20"/>
                <w:spacing w:val="-2"/>
                <w:sz w:val="15"/>
              </w:rPr>
              <w:t>ataxia</w:t>
            </w:r>
          </w:p>
          <w:p>
            <w:pPr>
              <w:pStyle w:val="TableParagraph"/>
              <w:numPr>
                <w:ilvl w:val="0"/>
                <w:numId w:val="74"/>
              </w:numPr>
              <w:tabs>
                <w:tab w:pos="223" w:val="left" w:leader="none"/>
              </w:tabs>
              <w:spacing w:line="230" w:lineRule="auto" w:before="3" w:after="0"/>
              <w:ind w:left="223" w:right="148" w:hanging="150"/>
              <w:jc w:val="left"/>
              <w:rPr>
                <w:sz w:val="15"/>
              </w:rPr>
            </w:pPr>
            <w:r>
              <w:rPr>
                <w:color w:val="231F20"/>
                <w:spacing w:val="-2"/>
                <w:sz w:val="15"/>
              </w:rPr>
              <w:t>Cerebellar ataxia with deafness, anosmia, absent caloric </w:t>
            </w:r>
            <w:r>
              <w:rPr>
                <w:color w:val="231F20"/>
                <w:spacing w:val="-2"/>
                <w:sz w:val="15"/>
              </w:rPr>
              <w:t>responses, </w:t>
            </w:r>
            <w:r>
              <w:rPr>
                <w:color w:val="231F20"/>
                <w:sz w:val="15"/>
              </w:rPr>
              <w:t>nonreactive pupils, and hyporeflexia</w:t>
            </w:r>
          </w:p>
          <w:p>
            <w:pPr>
              <w:pStyle w:val="TableParagraph"/>
              <w:numPr>
                <w:ilvl w:val="0"/>
                <w:numId w:val="74"/>
              </w:numPr>
              <w:tabs>
                <w:tab w:pos="223" w:val="left" w:leader="none"/>
              </w:tabs>
              <w:spacing w:line="167" w:lineRule="exact" w:before="0" w:after="0"/>
              <w:ind w:left="223" w:right="0" w:hanging="149"/>
              <w:jc w:val="left"/>
              <w:rPr>
                <w:sz w:val="15"/>
              </w:rPr>
            </w:pPr>
            <w:r>
              <w:rPr>
                <w:color w:val="231F20"/>
                <w:sz w:val="15"/>
              </w:rPr>
              <w:t>Cockayne</w:t>
            </w:r>
            <w:r>
              <w:rPr>
                <w:color w:val="231F20"/>
                <w:spacing w:val="13"/>
                <w:sz w:val="15"/>
              </w:rPr>
              <w:t> </w:t>
            </w:r>
            <w:r>
              <w:rPr>
                <w:color w:val="231F20"/>
                <w:spacing w:val="-2"/>
                <w:sz w:val="15"/>
              </w:rPr>
              <w:t>syndrome</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pacing w:val="-2"/>
                <w:sz w:val="15"/>
              </w:rPr>
              <w:t>Dentate</w:t>
            </w:r>
            <w:r>
              <w:rPr>
                <w:color w:val="231F20"/>
                <w:spacing w:val="-1"/>
                <w:sz w:val="15"/>
              </w:rPr>
              <w:t> </w:t>
            </w:r>
            <w:r>
              <w:rPr>
                <w:color w:val="231F20"/>
                <w:spacing w:val="-2"/>
                <w:sz w:val="15"/>
              </w:rPr>
              <w:t>cerebellar</w:t>
            </w:r>
            <w:r>
              <w:rPr>
                <w:color w:val="231F20"/>
                <w:sz w:val="15"/>
              </w:rPr>
              <w:t> </w:t>
            </w:r>
            <w:r>
              <w:rPr>
                <w:color w:val="231F20"/>
                <w:spacing w:val="-2"/>
                <w:sz w:val="15"/>
              </w:rPr>
              <w:t>ataxia</w:t>
            </w:r>
            <w:r>
              <w:rPr>
                <w:color w:val="231F20"/>
                <w:sz w:val="15"/>
              </w:rPr>
              <w:t> </w:t>
            </w:r>
            <w:r>
              <w:rPr>
                <w:color w:val="231F20"/>
                <w:spacing w:val="-2"/>
                <w:sz w:val="15"/>
              </w:rPr>
              <w:t>(dyssynergia</w:t>
            </w:r>
            <w:r>
              <w:rPr>
                <w:color w:val="231F20"/>
                <w:spacing w:val="-1"/>
                <w:sz w:val="15"/>
              </w:rPr>
              <w:t> </w:t>
            </w:r>
            <w:r>
              <w:rPr>
                <w:color w:val="231F20"/>
                <w:spacing w:val="-2"/>
                <w:sz w:val="15"/>
              </w:rPr>
              <w:t>cerebellaris</w:t>
            </w:r>
            <w:r>
              <w:rPr>
                <w:color w:val="231F20"/>
                <w:sz w:val="15"/>
              </w:rPr>
              <w:t> </w:t>
            </w:r>
            <w:r>
              <w:rPr>
                <w:color w:val="231F20"/>
                <w:spacing w:val="-2"/>
                <w:sz w:val="15"/>
              </w:rPr>
              <w:t>progressiva)</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pacing w:val="-4"/>
                <w:sz w:val="15"/>
              </w:rPr>
              <w:t>Familial</w:t>
            </w:r>
            <w:r>
              <w:rPr>
                <w:color w:val="231F20"/>
                <w:spacing w:val="1"/>
                <w:sz w:val="15"/>
              </w:rPr>
              <w:t> </w:t>
            </w:r>
            <w:r>
              <w:rPr>
                <w:color w:val="231F20"/>
                <w:spacing w:val="-4"/>
                <w:sz w:val="15"/>
              </w:rPr>
              <w:t>ataxia</w:t>
            </w:r>
            <w:r>
              <w:rPr>
                <w:color w:val="231F20"/>
                <w:spacing w:val="2"/>
                <w:sz w:val="15"/>
              </w:rPr>
              <w:t> </w:t>
            </w:r>
            <w:r>
              <w:rPr>
                <w:color w:val="231F20"/>
                <w:spacing w:val="-4"/>
                <w:sz w:val="15"/>
              </w:rPr>
              <w:t>with</w:t>
            </w:r>
            <w:r>
              <w:rPr>
                <w:color w:val="231F20"/>
                <w:spacing w:val="2"/>
                <w:sz w:val="15"/>
              </w:rPr>
              <w:t> </w:t>
            </w:r>
            <w:r>
              <w:rPr>
                <w:color w:val="231F20"/>
                <w:spacing w:val="-4"/>
                <w:sz w:val="15"/>
              </w:rPr>
              <w:t>macular</w:t>
            </w:r>
            <w:r>
              <w:rPr>
                <w:color w:val="231F20"/>
                <w:spacing w:val="2"/>
                <w:sz w:val="15"/>
              </w:rPr>
              <w:t> </w:t>
            </w:r>
            <w:r>
              <w:rPr>
                <w:color w:val="231F20"/>
                <w:spacing w:val="-4"/>
                <w:sz w:val="15"/>
              </w:rPr>
              <w:t>degeneration</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pacing w:val="-2"/>
                <w:sz w:val="15"/>
              </w:rPr>
              <w:t>Friedreich</w:t>
            </w:r>
            <w:r>
              <w:rPr>
                <w:color w:val="231F20"/>
                <w:sz w:val="15"/>
              </w:rPr>
              <w:t> </w:t>
            </w:r>
            <w:r>
              <w:rPr>
                <w:color w:val="231F20"/>
                <w:spacing w:val="-2"/>
                <w:sz w:val="15"/>
              </w:rPr>
              <w:t>ataxia</w:t>
            </w:r>
          </w:p>
          <w:p>
            <w:pPr>
              <w:pStyle w:val="TableParagraph"/>
              <w:numPr>
                <w:ilvl w:val="0"/>
                <w:numId w:val="74"/>
              </w:numPr>
              <w:tabs>
                <w:tab w:pos="223" w:val="left" w:leader="none"/>
              </w:tabs>
              <w:spacing w:line="230" w:lineRule="auto" w:before="2" w:after="0"/>
              <w:ind w:left="223" w:right="1169" w:hanging="150"/>
              <w:jc w:val="left"/>
              <w:rPr>
                <w:sz w:val="15"/>
              </w:rPr>
            </w:pPr>
            <w:r>
              <w:rPr>
                <w:color w:val="231F20"/>
                <w:spacing w:val="-4"/>
                <w:sz w:val="15"/>
              </w:rPr>
              <w:t>Hereditary cerebellar ataxia, intellectual </w:t>
            </w:r>
            <w:r>
              <w:rPr>
                <w:color w:val="231F20"/>
                <w:spacing w:val="-4"/>
                <w:sz w:val="15"/>
              </w:rPr>
              <w:t>retardation, </w:t>
            </w:r>
            <w:r>
              <w:rPr>
                <w:color w:val="231F20"/>
                <w:sz w:val="15"/>
              </w:rPr>
              <w:t>choreoathetosis, and eunuchoidism</w:t>
            </w:r>
          </w:p>
          <w:p>
            <w:pPr>
              <w:pStyle w:val="TableParagraph"/>
              <w:numPr>
                <w:ilvl w:val="0"/>
                <w:numId w:val="74"/>
              </w:numPr>
              <w:tabs>
                <w:tab w:pos="223" w:val="left" w:leader="none"/>
              </w:tabs>
              <w:spacing w:line="167" w:lineRule="exact" w:before="0" w:after="0"/>
              <w:ind w:left="223" w:right="0" w:hanging="149"/>
              <w:jc w:val="left"/>
              <w:rPr>
                <w:sz w:val="15"/>
              </w:rPr>
            </w:pPr>
            <w:r>
              <w:rPr>
                <w:color w:val="231F20"/>
                <w:spacing w:val="-2"/>
                <w:sz w:val="15"/>
              </w:rPr>
              <w:t>Hereditary cerebellar</w:t>
            </w:r>
            <w:r>
              <w:rPr>
                <w:color w:val="231F20"/>
                <w:spacing w:val="-1"/>
                <w:sz w:val="15"/>
              </w:rPr>
              <w:t> </w:t>
            </w:r>
            <w:r>
              <w:rPr>
                <w:color w:val="231F20"/>
                <w:spacing w:val="-2"/>
                <w:sz w:val="15"/>
              </w:rPr>
              <w:t>ataxia with</w:t>
            </w:r>
            <w:r>
              <w:rPr>
                <w:color w:val="231F20"/>
                <w:spacing w:val="-1"/>
                <w:sz w:val="15"/>
              </w:rPr>
              <w:t> </w:t>
            </w:r>
            <w:r>
              <w:rPr>
                <w:color w:val="231F20"/>
                <w:spacing w:val="-2"/>
                <w:sz w:val="15"/>
              </w:rPr>
              <w:t>myotonia</w:t>
            </w:r>
            <w:r>
              <w:rPr>
                <w:color w:val="231F20"/>
                <w:spacing w:val="-1"/>
                <w:sz w:val="15"/>
              </w:rPr>
              <w:t> </w:t>
            </w:r>
            <w:r>
              <w:rPr>
                <w:color w:val="231F20"/>
                <w:spacing w:val="-2"/>
                <w:sz w:val="15"/>
              </w:rPr>
              <w:t>and cataracts</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pacing w:val="-4"/>
                <w:sz w:val="15"/>
              </w:rPr>
              <w:t>Hypertrophic</w:t>
            </w:r>
            <w:r>
              <w:rPr>
                <w:color w:val="231F20"/>
                <w:spacing w:val="12"/>
                <w:sz w:val="15"/>
              </w:rPr>
              <w:t> </w:t>
            </w:r>
            <w:r>
              <w:rPr>
                <w:color w:val="231F20"/>
                <w:spacing w:val="-4"/>
                <w:sz w:val="15"/>
              </w:rPr>
              <w:t>interstitial</w:t>
            </w:r>
            <w:r>
              <w:rPr>
                <w:color w:val="231F20"/>
                <w:spacing w:val="13"/>
                <w:sz w:val="15"/>
              </w:rPr>
              <w:t> </w:t>
            </w:r>
            <w:r>
              <w:rPr>
                <w:color w:val="231F20"/>
                <w:spacing w:val="-4"/>
                <w:sz w:val="15"/>
              </w:rPr>
              <w:t>neuritis</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z w:val="15"/>
              </w:rPr>
              <w:t>Marie</w:t>
            </w:r>
            <w:r>
              <w:rPr>
                <w:color w:val="231F20"/>
                <w:spacing w:val="8"/>
                <w:sz w:val="15"/>
              </w:rPr>
              <w:t> </w:t>
            </w:r>
            <w:r>
              <w:rPr>
                <w:color w:val="231F20"/>
                <w:spacing w:val="-2"/>
                <w:sz w:val="15"/>
              </w:rPr>
              <w:t>ataxia</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z w:val="15"/>
              </w:rPr>
              <w:t>Marinesco-Sjögren</w:t>
            </w:r>
            <w:r>
              <w:rPr>
                <w:color w:val="231F20"/>
                <w:spacing w:val="13"/>
                <w:sz w:val="15"/>
              </w:rPr>
              <w:t> </w:t>
            </w:r>
            <w:r>
              <w:rPr>
                <w:color w:val="231F20"/>
                <w:spacing w:val="-2"/>
                <w:sz w:val="15"/>
              </w:rPr>
              <w:t>syndrome</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z w:val="15"/>
              </w:rPr>
              <w:t>Multiple-system</w:t>
            </w:r>
            <w:r>
              <w:rPr>
                <w:color w:val="231F20"/>
                <w:spacing w:val="-10"/>
                <w:sz w:val="15"/>
              </w:rPr>
              <w:t> </w:t>
            </w:r>
            <w:r>
              <w:rPr>
                <w:color w:val="231F20"/>
                <w:spacing w:val="-2"/>
                <w:sz w:val="15"/>
              </w:rPr>
              <w:t>atrophy</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pacing w:val="-2"/>
                <w:sz w:val="15"/>
              </w:rPr>
              <w:t>Pelizaeus-Merzbacher</w:t>
            </w:r>
            <w:r>
              <w:rPr>
                <w:color w:val="231F20"/>
                <w:spacing w:val="26"/>
                <w:sz w:val="15"/>
              </w:rPr>
              <w:t> </w:t>
            </w:r>
            <w:r>
              <w:rPr>
                <w:color w:val="231F20"/>
                <w:spacing w:val="-2"/>
                <w:sz w:val="15"/>
              </w:rPr>
              <w:t>disease</w:t>
            </w:r>
          </w:p>
          <w:p>
            <w:pPr>
              <w:pStyle w:val="TableParagraph"/>
              <w:numPr>
                <w:ilvl w:val="0"/>
                <w:numId w:val="74"/>
              </w:numPr>
              <w:tabs>
                <w:tab w:pos="223" w:val="left" w:leader="none"/>
              </w:tabs>
              <w:spacing w:line="230" w:lineRule="auto" w:before="3" w:after="0"/>
              <w:ind w:left="223" w:right="674" w:hanging="150"/>
              <w:jc w:val="left"/>
              <w:rPr>
                <w:sz w:val="15"/>
              </w:rPr>
            </w:pPr>
            <w:r>
              <w:rPr>
                <w:color w:val="231F20"/>
                <w:sz w:val="15"/>
              </w:rPr>
              <w:t>Periodic</w:t>
            </w:r>
            <w:r>
              <w:rPr>
                <w:color w:val="231F20"/>
                <w:spacing w:val="-12"/>
                <w:sz w:val="15"/>
              </w:rPr>
              <w:t> </w:t>
            </w:r>
            <w:r>
              <w:rPr>
                <w:color w:val="231F20"/>
                <w:sz w:val="15"/>
              </w:rPr>
              <w:t>attacks</w:t>
            </w:r>
            <w:r>
              <w:rPr>
                <w:color w:val="231F20"/>
                <w:spacing w:val="-11"/>
                <w:sz w:val="15"/>
              </w:rPr>
              <w:t> </w:t>
            </w:r>
            <w:r>
              <w:rPr>
                <w:color w:val="231F20"/>
                <w:sz w:val="15"/>
              </w:rPr>
              <w:t>of</w:t>
            </w:r>
            <w:r>
              <w:rPr>
                <w:color w:val="231F20"/>
                <w:spacing w:val="-11"/>
                <w:sz w:val="15"/>
              </w:rPr>
              <w:t> </w:t>
            </w:r>
            <w:r>
              <w:rPr>
                <w:color w:val="231F20"/>
                <w:sz w:val="15"/>
              </w:rPr>
              <w:t>vertigo,</w:t>
            </w:r>
            <w:r>
              <w:rPr>
                <w:color w:val="231F20"/>
                <w:spacing w:val="-12"/>
                <w:sz w:val="15"/>
              </w:rPr>
              <w:t> </w:t>
            </w:r>
            <w:r>
              <w:rPr>
                <w:color w:val="231F20"/>
                <w:sz w:val="15"/>
              </w:rPr>
              <w:t>diplopia,</w:t>
            </w:r>
            <w:r>
              <w:rPr>
                <w:color w:val="231F20"/>
                <w:spacing w:val="-11"/>
                <w:sz w:val="15"/>
              </w:rPr>
              <w:t> </w:t>
            </w:r>
            <w:r>
              <w:rPr>
                <w:color w:val="231F20"/>
                <w:sz w:val="15"/>
              </w:rPr>
              <w:t>and</w:t>
            </w:r>
            <w:r>
              <w:rPr>
                <w:color w:val="231F20"/>
                <w:spacing w:val="-11"/>
                <w:sz w:val="15"/>
              </w:rPr>
              <w:t> </w:t>
            </w:r>
            <w:r>
              <w:rPr>
                <w:color w:val="231F20"/>
                <w:sz w:val="15"/>
              </w:rPr>
              <w:t>ataxia–autosomal- dominant inheritance</w:t>
            </w:r>
          </w:p>
          <w:p>
            <w:pPr>
              <w:pStyle w:val="TableParagraph"/>
              <w:numPr>
                <w:ilvl w:val="0"/>
                <w:numId w:val="74"/>
              </w:numPr>
              <w:tabs>
                <w:tab w:pos="223" w:val="left" w:leader="none"/>
              </w:tabs>
              <w:spacing w:line="230" w:lineRule="auto" w:before="1" w:after="0"/>
              <w:ind w:left="223" w:right="395" w:hanging="150"/>
              <w:jc w:val="left"/>
              <w:rPr>
                <w:sz w:val="15"/>
              </w:rPr>
            </w:pPr>
            <w:r>
              <w:rPr>
                <w:color w:val="231F20"/>
                <w:spacing w:val="-2"/>
                <w:sz w:val="15"/>
              </w:rPr>
              <w:t>Posterior</w:t>
            </w:r>
            <w:r>
              <w:rPr>
                <w:color w:val="231F20"/>
                <w:spacing w:val="-4"/>
                <w:sz w:val="15"/>
              </w:rPr>
              <w:t> </w:t>
            </w:r>
            <w:r>
              <w:rPr>
                <w:color w:val="231F20"/>
                <w:spacing w:val="-2"/>
                <w:sz w:val="15"/>
              </w:rPr>
              <w:t>and</w:t>
            </w:r>
            <w:r>
              <w:rPr>
                <w:color w:val="231F20"/>
                <w:spacing w:val="-4"/>
                <w:sz w:val="15"/>
              </w:rPr>
              <w:t> </w:t>
            </w:r>
            <w:r>
              <w:rPr>
                <w:color w:val="231F20"/>
                <w:spacing w:val="-2"/>
                <w:sz w:val="15"/>
              </w:rPr>
              <w:t>lateral</w:t>
            </w:r>
            <w:r>
              <w:rPr>
                <w:color w:val="231F20"/>
                <w:spacing w:val="-4"/>
                <w:sz w:val="15"/>
              </w:rPr>
              <w:t> </w:t>
            </w:r>
            <w:r>
              <w:rPr>
                <w:color w:val="231F20"/>
                <w:spacing w:val="-2"/>
                <w:sz w:val="15"/>
              </w:rPr>
              <w:t>column</w:t>
            </w:r>
            <w:r>
              <w:rPr>
                <w:color w:val="231F20"/>
                <w:spacing w:val="-4"/>
                <w:sz w:val="15"/>
              </w:rPr>
              <w:t> </w:t>
            </w:r>
            <w:r>
              <w:rPr>
                <w:color w:val="231F20"/>
                <w:spacing w:val="-2"/>
                <w:sz w:val="15"/>
              </w:rPr>
              <w:t>difficulties,</w:t>
            </w:r>
            <w:r>
              <w:rPr>
                <w:color w:val="231F20"/>
                <w:spacing w:val="-4"/>
                <w:sz w:val="15"/>
              </w:rPr>
              <w:t> </w:t>
            </w:r>
            <w:r>
              <w:rPr>
                <w:color w:val="231F20"/>
                <w:spacing w:val="-2"/>
                <w:sz w:val="15"/>
              </w:rPr>
              <w:t>nystagmus,</w:t>
            </w:r>
            <w:r>
              <w:rPr>
                <w:color w:val="231F20"/>
                <w:spacing w:val="-4"/>
                <w:sz w:val="15"/>
              </w:rPr>
              <w:t> </w:t>
            </w:r>
            <w:r>
              <w:rPr>
                <w:color w:val="231F20"/>
                <w:spacing w:val="-2"/>
                <w:sz w:val="15"/>
              </w:rPr>
              <w:t>and</w:t>
            </w:r>
            <w:r>
              <w:rPr>
                <w:color w:val="231F20"/>
                <w:spacing w:val="-4"/>
                <w:sz w:val="15"/>
              </w:rPr>
              <w:t> </w:t>
            </w:r>
            <w:r>
              <w:rPr>
                <w:color w:val="231F20"/>
                <w:spacing w:val="-2"/>
                <w:sz w:val="15"/>
              </w:rPr>
              <w:t>muscle atrophy</w:t>
            </w:r>
          </w:p>
          <w:p>
            <w:pPr>
              <w:pStyle w:val="TableParagraph"/>
              <w:numPr>
                <w:ilvl w:val="0"/>
                <w:numId w:val="74"/>
              </w:numPr>
              <w:tabs>
                <w:tab w:pos="223" w:val="left" w:leader="none"/>
              </w:tabs>
              <w:spacing w:line="167" w:lineRule="exact" w:before="0" w:after="0"/>
              <w:ind w:left="223" w:right="0" w:hanging="149"/>
              <w:jc w:val="left"/>
              <w:rPr>
                <w:sz w:val="15"/>
              </w:rPr>
            </w:pPr>
            <w:r>
              <w:rPr>
                <w:color w:val="231F20"/>
                <w:sz w:val="15"/>
              </w:rPr>
              <w:t>Progressive</w:t>
            </w:r>
            <w:r>
              <w:rPr>
                <w:color w:val="231F20"/>
                <w:spacing w:val="-11"/>
                <w:sz w:val="15"/>
              </w:rPr>
              <w:t> </w:t>
            </w:r>
            <w:r>
              <w:rPr>
                <w:color w:val="231F20"/>
                <w:sz w:val="15"/>
              </w:rPr>
              <w:t>cerebellar</w:t>
            </w:r>
            <w:r>
              <w:rPr>
                <w:color w:val="231F20"/>
                <w:spacing w:val="-10"/>
                <w:sz w:val="15"/>
              </w:rPr>
              <w:t> </w:t>
            </w:r>
            <w:r>
              <w:rPr>
                <w:color w:val="231F20"/>
                <w:sz w:val="15"/>
              </w:rPr>
              <w:t>ataxia</w:t>
            </w:r>
            <w:r>
              <w:rPr>
                <w:color w:val="231F20"/>
                <w:spacing w:val="-10"/>
                <w:sz w:val="15"/>
              </w:rPr>
              <w:t> </w:t>
            </w:r>
            <w:r>
              <w:rPr>
                <w:color w:val="231F20"/>
                <w:sz w:val="15"/>
              </w:rPr>
              <w:t>and</w:t>
            </w:r>
            <w:r>
              <w:rPr>
                <w:color w:val="231F20"/>
                <w:spacing w:val="-10"/>
                <w:sz w:val="15"/>
              </w:rPr>
              <w:t> </w:t>
            </w:r>
            <w:r>
              <w:rPr>
                <w:color w:val="231F20"/>
                <w:spacing w:val="-2"/>
                <w:sz w:val="15"/>
              </w:rPr>
              <w:t>epilepsy</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z w:val="15"/>
              </w:rPr>
              <w:t>Ramsay</w:t>
            </w:r>
            <w:r>
              <w:rPr>
                <w:color w:val="231F20"/>
                <w:spacing w:val="-4"/>
                <w:sz w:val="15"/>
              </w:rPr>
              <w:t> </w:t>
            </w:r>
            <w:r>
              <w:rPr>
                <w:color w:val="231F20"/>
                <w:sz w:val="15"/>
              </w:rPr>
              <w:t>Hunt</w:t>
            </w:r>
            <w:r>
              <w:rPr>
                <w:color w:val="231F20"/>
                <w:spacing w:val="-4"/>
                <w:sz w:val="15"/>
              </w:rPr>
              <w:t> </w:t>
            </w:r>
            <w:r>
              <w:rPr>
                <w:color w:val="231F20"/>
                <w:sz w:val="15"/>
              </w:rPr>
              <w:t>syndrome</w:t>
            </w:r>
            <w:r>
              <w:rPr>
                <w:color w:val="231F20"/>
                <w:spacing w:val="-4"/>
                <w:sz w:val="15"/>
              </w:rPr>
              <w:t> </w:t>
            </w:r>
            <w:r>
              <w:rPr>
                <w:color w:val="231F20"/>
                <w:sz w:val="15"/>
              </w:rPr>
              <w:t>(myoclonic</w:t>
            </w:r>
            <w:r>
              <w:rPr>
                <w:color w:val="231F20"/>
                <w:spacing w:val="-4"/>
                <w:sz w:val="15"/>
              </w:rPr>
              <w:t> </w:t>
            </w:r>
            <w:r>
              <w:rPr>
                <w:color w:val="231F20"/>
                <w:sz w:val="15"/>
              </w:rPr>
              <w:t>seizures</w:t>
            </w:r>
            <w:r>
              <w:rPr>
                <w:color w:val="231F20"/>
                <w:spacing w:val="-4"/>
                <w:sz w:val="15"/>
              </w:rPr>
              <w:t> </w:t>
            </w:r>
            <w:r>
              <w:rPr>
                <w:color w:val="231F20"/>
                <w:sz w:val="15"/>
              </w:rPr>
              <w:t>and</w:t>
            </w:r>
            <w:r>
              <w:rPr>
                <w:color w:val="231F20"/>
                <w:spacing w:val="-4"/>
                <w:sz w:val="15"/>
              </w:rPr>
              <w:t> </w:t>
            </w:r>
            <w:r>
              <w:rPr>
                <w:color w:val="231F20"/>
                <w:spacing w:val="-2"/>
                <w:sz w:val="15"/>
              </w:rPr>
              <w:t>ataxia)</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z w:val="15"/>
              </w:rPr>
              <w:t>Roussy-Lévy</w:t>
            </w:r>
            <w:r>
              <w:rPr>
                <w:color w:val="231F20"/>
                <w:spacing w:val="-8"/>
                <w:sz w:val="15"/>
              </w:rPr>
              <w:t> </w:t>
            </w:r>
            <w:r>
              <w:rPr>
                <w:color w:val="231F20"/>
                <w:spacing w:val="-2"/>
                <w:sz w:val="15"/>
              </w:rPr>
              <w:t>disease</w:t>
            </w:r>
          </w:p>
          <w:p>
            <w:pPr>
              <w:pStyle w:val="TableParagraph"/>
              <w:numPr>
                <w:ilvl w:val="0"/>
                <w:numId w:val="74"/>
              </w:numPr>
              <w:tabs>
                <w:tab w:pos="223" w:val="left" w:leader="none"/>
              </w:tabs>
              <w:spacing w:line="168" w:lineRule="exact" w:before="0" w:after="0"/>
              <w:ind w:left="223" w:right="0" w:hanging="149"/>
              <w:jc w:val="left"/>
              <w:rPr>
                <w:sz w:val="15"/>
              </w:rPr>
            </w:pPr>
            <w:r>
              <w:rPr>
                <w:color w:val="231F20"/>
                <w:spacing w:val="-2"/>
                <w:sz w:val="15"/>
              </w:rPr>
              <w:t>Spinocerebellar</w:t>
            </w:r>
            <w:r>
              <w:rPr>
                <w:color w:val="231F20"/>
                <w:spacing w:val="5"/>
                <w:sz w:val="15"/>
              </w:rPr>
              <w:t> </w:t>
            </w:r>
            <w:r>
              <w:rPr>
                <w:color w:val="231F20"/>
                <w:spacing w:val="-2"/>
                <w:sz w:val="15"/>
              </w:rPr>
              <w:t>ataxia</w:t>
            </w:r>
            <w:r>
              <w:rPr>
                <w:color w:val="231F20"/>
                <w:spacing w:val="6"/>
                <w:sz w:val="15"/>
              </w:rPr>
              <w:t> </w:t>
            </w:r>
            <w:r>
              <w:rPr>
                <w:color w:val="231F20"/>
                <w:spacing w:val="-2"/>
                <w:sz w:val="15"/>
              </w:rPr>
              <w:t>(SCA);</w:t>
            </w:r>
            <w:r>
              <w:rPr>
                <w:color w:val="231F20"/>
                <w:spacing w:val="5"/>
                <w:sz w:val="15"/>
              </w:rPr>
              <w:t> </w:t>
            </w:r>
            <w:r>
              <w:rPr>
                <w:color w:val="231F20"/>
                <w:spacing w:val="-2"/>
                <w:sz w:val="15"/>
              </w:rPr>
              <w:t>olivopontocerebellar</w:t>
            </w:r>
            <w:r>
              <w:rPr>
                <w:color w:val="231F20"/>
                <w:spacing w:val="6"/>
                <w:sz w:val="15"/>
              </w:rPr>
              <w:t> </w:t>
            </w:r>
            <w:r>
              <w:rPr>
                <w:color w:val="231F20"/>
                <w:spacing w:val="-2"/>
                <w:sz w:val="15"/>
              </w:rPr>
              <w:t>ataxias</w:t>
            </w:r>
          </w:p>
          <w:p>
            <w:pPr>
              <w:pStyle w:val="TableParagraph"/>
              <w:numPr>
                <w:ilvl w:val="0"/>
                <w:numId w:val="74"/>
              </w:numPr>
              <w:tabs>
                <w:tab w:pos="223" w:val="left" w:leader="none"/>
              </w:tabs>
              <w:spacing w:line="171" w:lineRule="exact" w:before="0" w:after="0"/>
              <w:ind w:left="223" w:right="0" w:hanging="149"/>
              <w:jc w:val="left"/>
              <w:rPr>
                <w:sz w:val="15"/>
              </w:rPr>
            </w:pPr>
            <w:r>
              <w:rPr>
                <w:color w:val="231F20"/>
                <w:spacing w:val="-2"/>
                <w:sz w:val="15"/>
              </w:rPr>
              <w:t>Vanishing</w:t>
            </w:r>
            <w:r>
              <w:rPr>
                <w:color w:val="231F20"/>
                <w:spacing w:val="-1"/>
                <w:sz w:val="15"/>
              </w:rPr>
              <w:t> </w:t>
            </w:r>
            <w:r>
              <w:rPr>
                <w:color w:val="231F20"/>
                <w:spacing w:val="-2"/>
                <w:sz w:val="15"/>
              </w:rPr>
              <w:t>white</w:t>
            </w:r>
            <w:r>
              <w:rPr>
                <w:color w:val="231F20"/>
                <w:sz w:val="15"/>
              </w:rPr>
              <w:t> </w:t>
            </w:r>
            <w:r>
              <w:rPr>
                <w:color w:val="231F20"/>
                <w:spacing w:val="-2"/>
                <w:sz w:val="15"/>
              </w:rPr>
              <w:t>matter</w:t>
            </w:r>
            <w:r>
              <w:rPr>
                <w:color w:val="231F20"/>
                <w:spacing w:val="-1"/>
                <w:sz w:val="15"/>
              </w:rPr>
              <w:t> </w:t>
            </w:r>
            <w:r>
              <w:rPr>
                <w:color w:val="231F20"/>
                <w:spacing w:val="-2"/>
                <w:sz w:val="15"/>
              </w:rPr>
              <w:t>syndrome</w:t>
            </w:r>
          </w:p>
        </w:tc>
        <w:tc>
          <w:tcPr>
            <w:tcW w:w="4870" w:type="dxa"/>
            <w:vMerge/>
            <w:tcBorders>
              <w:top w:val="nil"/>
              <w:left w:val="single" w:sz="4" w:space="0" w:color="231F20"/>
              <w:right w:val="nil"/>
            </w:tcBorders>
            <w:shd w:val="clear" w:color="auto" w:fill="E8F5F1"/>
          </w:tcPr>
          <w:p>
            <w:pPr>
              <w:rPr>
                <w:sz w:val="2"/>
                <w:szCs w:val="2"/>
              </w:rPr>
            </w:pPr>
          </w:p>
        </w:tc>
      </w:tr>
      <w:tr>
        <w:trPr>
          <w:trHeight w:val="1272"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0"/>
                <w:sz w:val="15"/>
              </w:rPr>
              <w:t>NEOPLASTIC</w:t>
            </w:r>
          </w:p>
          <w:p>
            <w:pPr>
              <w:pStyle w:val="TableParagraph"/>
              <w:numPr>
                <w:ilvl w:val="0"/>
                <w:numId w:val="75"/>
              </w:numPr>
              <w:tabs>
                <w:tab w:pos="218" w:val="left" w:leader="none"/>
              </w:tabs>
              <w:spacing w:line="169" w:lineRule="exact" w:before="0" w:after="0"/>
              <w:ind w:left="218" w:right="0" w:hanging="149"/>
              <w:jc w:val="left"/>
              <w:rPr>
                <w:sz w:val="15"/>
              </w:rPr>
            </w:pPr>
            <w:r>
              <w:rPr>
                <w:color w:val="231F20"/>
                <w:sz w:val="15"/>
              </w:rPr>
              <w:t>Frontal</w:t>
            </w:r>
            <w:r>
              <w:rPr>
                <w:color w:val="231F20"/>
                <w:spacing w:val="-6"/>
                <w:sz w:val="15"/>
              </w:rPr>
              <w:t> </w:t>
            </w:r>
            <w:r>
              <w:rPr>
                <w:color w:val="231F20"/>
                <w:sz w:val="15"/>
              </w:rPr>
              <w:t>lobe</w:t>
            </w:r>
            <w:r>
              <w:rPr>
                <w:color w:val="231F20"/>
                <w:spacing w:val="-6"/>
                <w:sz w:val="15"/>
              </w:rPr>
              <w:t> </w:t>
            </w:r>
            <w:r>
              <w:rPr>
                <w:color w:val="231F20"/>
                <w:spacing w:val="-2"/>
                <w:sz w:val="15"/>
              </w:rPr>
              <w:t>tumors</w:t>
            </w:r>
          </w:p>
          <w:p>
            <w:pPr>
              <w:pStyle w:val="TableParagraph"/>
              <w:numPr>
                <w:ilvl w:val="0"/>
                <w:numId w:val="75"/>
              </w:numPr>
              <w:tabs>
                <w:tab w:pos="218" w:val="left" w:leader="none"/>
              </w:tabs>
              <w:spacing w:line="168" w:lineRule="exact" w:before="0" w:after="0"/>
              <w:ind w:left="218" w:right="0" w:hanging="149"/>
              <w:jc w:val="left"/>
              <w:rPr>
                <w:sz w:val="15"/>
              </w:rPr>
            </w:pPr>
            <w:r>
              <w:rPr>
                <w:color w:val="231F20"/>
                <w:spacing w:val="-2"/>
                <w:sz w:val="15"/>
              </w:rPr>
              <w:t>Hemispheric</w:t>
            </w:r>
            <w:r>
              <w:rPr>
                <w:color w:val="231F20"/>
                <w:spacing w:val="8"/>
                <w:sz w:val="15"/>
              </w:rPr>
              <w:t> </w:t>
            </w:r>
            <w:r>
              <w:rPr>
                <w:color w:val="231F20"/>
                <w:spacing w:val="-2"/>
                <w:sz w:val="15"/>
              </w:rPr>
              <w:t>cerebellar</w:t>
            </w:r>
            <w:r>
              <w:rPr>
                <w:color w:val="231F20"/>
                <w:spacing w:val="8"/>
                <w:sz w:val="15"/>
              </w:rPr>
              <w:t> </w:t>
            </w:r>
            <w:r>
              <w:rPr>
                <w:color w:val="231F20"/>
                <w:spacing w:val="-2"/>
                <w:sz w:val="15"/>
              </w:rPr>
              <w:t>tumors</w:t>
            </w:r>
          </w:p>
          <w:p>
            <w:pPr>
              <w:pStyle w:val="TableParagraph"/>
              <w:numPr>
                <w:ilvl w:val="0"/>
                <w:numId w:val="75"/>
              </w:numPr>
              <w:tabs>
                <w:tab w:pos="218" w:val="left" w:leader="none"/>
              </w:tabs>
              <w:spacing w:line="168" w:lineRule="exact" w:before="0" w:after="0"/>
              <w:ind w:left="218" w:right="0" w:hanging="149"/>
              <w:jc w:val="left"/>
              <w:rPr>
                <w:sz w:val="15"/>
              </w:rPr>
            </w:pPr>
            <w:r>
              <w:rPr>
                <w:color w:val="231F20"/>
                <w:sz w:val="15"/>
              </w:rPr>
              <w:t>Midline</w:t>
            </w:r>
            <w:r>
              <w:rPr>
                <w:color w:val="231F20"/>
                <w:spacing w:val="-8"/>
                <w:sz w:val="15"/>
              </w:rPr>
              <w:t> </w:t>
            </w:r>
            <w:r>
              <w:rPr>
                <w:color w:val="231F20"/>
                <w:sz w:val="15"/>
              </w:rPr>
              <w:t>cerebellar</w:t>
            </w:r>
            <w:r>
              <w:rPr>
                <w:color w:val="231F20"/>
                <w:spacing w:val="-8"/>
                <w:sz w:val="15"/>
              </w:rPr>
              <w:t> </w:t>
            </w:r>
            <w:r>
              <w:rPr>
                <w:color w:val="231F20"/>
                <w:spacing w:val="-2"/>
                <w:sz w:val="15"/>
              </w:rPr>
              <w:t>tumors</w:t>
            </w:r>
          </w:p>
          <w:p>
            <w:pPr>
              <w:pStyle w:val="TableParagraph"/>
              <w:numPr>
                <w:ilvl w:val="0"/>
                <w:numId w:val="75"/>
              </w:numPr>
              <w:tabs>
                <w:tab w:pos="218" w:val="left" w:leader="none"/>
              </w:tabs>
              <w:spacing w:line="168" w:lineRule="exact" w:before="0" w:after="0"/>
              <w:ind w:left="218" w:right="0" w:hanging="149"/>
              <w:jc w:val="left"/>
              <w:rPr>
                <w:sz w:val="15"/>
              </w:rPr>
            </w:pPr>
            <w:r>
              <w:rPr>
                <w:color w:val="231F20"/>
                <w:spacing w:val="-2"/>
                <w:sz w:val="15"/>
              </w:rPr>
              <w:t>Neuroblastoma</w:t>
            </w:r>
          </w:p>
          <w:p>
            <w:pPr>
              <w:pStyle w:val="TableParagraph"/>
              <w:numPr>
                <w:ilvl w:val="0"/>
                <w:numId w:val="75"/>
              </w:numPr>
              <w:tabs>
                <w:tab w:pos="218" w:val="left" w:leader="none"/>
              </w:tabs>
              <w:spacing w:line="168" w:lineRule="exact" w:before="0" w:after="0"/>
              <w:ind w:left="218" w:right="0" w:hanging="149"/>
              <w:jc w:val="left"/>
              <w:rPr>
                <w:sz w:val="15"/>
              </w:rPr>
            </w:pPr>
            <w:r>
              <w:rPr>
                <w:color w:val="231F20"/>
                <w:spacing w:val="-2"/>
                <w:sz w:val="15"/>
              </w:rPr>
              <w:t>Pontine</w:t>
            </w:r>
            <w:r>
              <w:rPr>
                <w:color w:val="231F20"/>
                <w:spacing w:val="-5"/>
                <w:sz w:val="15"/>
              </w:rPr>
              <w:t> </w:t>
            </w:r>
            <w:r>
              <w:rPr>
                <w:color w:val="231F20"/>
                <w:spacing w:val="-2"/>
                <w:sz w:val="15"/>
              </w:rPr>
              <w:t>tumors</w:t>
            </w:r>
            <w:r>
              <w:rPr>
                <w:color w:val="231F20"/>
                <w:spacing w:val="-5"/>
                <w:sz w:val="15"/>
              </w:rPr>
              <w:t> </w:t>
            </w:r>
            <w:r>
              <w:rPr>
                <w:color w:val="231F20"/>
                <w:spacing w:val="-2"/>
                <w:sz w:val="15"/>
              </w:rPr>
              <w:t>(primarily</w:t>
            </w:r>
            <w:r>
              <w:rPr>
                <w:color w:val="231F20"/>
                <w:spacing w:val="-4"/>
                <w:sz w:val="15"/>
              </w:rPr>
              <w:t> </w:t>
            </w:r>
            <w:r>
              <w:rPr>
                <w:color w:val="231F20"/>
                <w:spacing w:val="-2"/>
                <w:sz w:val="15"/>
              </w:rPr>
              <w:t>gliomas)</w:t>
            </w:r>
          </w:p>
          <w:p>
            <w:pPr>
              <w:pStyle w:val="TableParagraph"/>
              <w:numPr>
                <w:ilvl w:val="0"/>
                <w:numId w:val="75"/>
              </w:numPr>
              <w:tabs>
                <w:tab w:pos="218" w:val="left" w:leader="none"/>
              </w:tabs>
              <w:spacing w:line="171" w:lineRule="exact" w:before="0" w:after="0"/>
              <w:ind w:left="218" w:right="0" w:hanging="149"/>
              <w:jc w:val="left"/>
              <w:rPr>
                <w:sz w:val="15"/>
              </w:rPr>
            </w:pPr>
            <w:r>
              <w:rPr>
                <w:color w:val="231F20"/>
                <w:sz w:val="15"/>
              </w:rPr>
              <w:t>Spinal</w:t>
            </w:r>
            <w:r>
              <w:rPr>
                <w:color w:val="231F20"/>
                <w:spacing w:val="2"/>
                <w:sz w:val="15"/>
              </w:rPr>
              <w:t> </w:t>
            </w:r>
            <w:r>
              <w:rPr>
                <w:color w:val="231F20"/>
                <w:sz w:val="15"/>
              </w:rPr>
              <w:t>cord</w:t>
            </w:r>
            <w:r>
              <w:rPr>
                <w:color w:val="231F20"/>
                <w:spacing w:val="2"/>
                <w:sz w:val="15"/>
              </w:rPr>
              <w:t> </w:t>
            </w:r>
            <w:r>
              <w:rPr>
                <w:color w:val="231F20"/>
                <w:spacing w:val="-2"/>
                <w:sz w:val="15"/>
              </w:rPr>
              <w:t>tumors</w:t>
            </w:r>
          </w:p>
        </w:tc>
      </w:tr>
      <w:tr>
        <w:trPr>
          <w:trHeight w:val="433"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w w:val="110"/>
                <w:sz w:val="15"/>
              </w:rPr>
              <w:t>PRIMARY</w:t>
            </w:r>
            <w:r>
              <w:rPr>
                <w:color w:val="231F20"/>
                <w:spacing w:val="-1"/>
                <w:w w:val="110"/>
                <w:sz w:val="15"/>
              </w:rPr>
              <w:t> </w:t>
            </w:r>
            <w:r>
              <w:rPr>
                <w:color w:val="231F20"/>
                <w:spacing w:val="-2"/>
                <w:w w:val="110"/>
                <w:sz w:val="15"/>
              </w:rPr>
              <w:t>PSYCHOGENIC</w:t>
            </w:r>
          </w:p>
          <w:p>
            <w:pPr>
              <w:pStyle w:val="TableParagraph"/>
              <w:numPr>
                <w:ilvl w:val="0"/>
                <w:numId w:val="76"/>
              </w:numPr>
              <w:tabs>
                <w:tab w:pos="218" w:val="left" w:leader="none"/>
              </w:tabs>
              <w:spacing w:line="172" w:lineRule="exact" w:before="0" w:after="0"/>
              <w:ind w:left="218" w:right="0" w:hanging="149"/>
              <w:jc w:val="left"/>
              <w:rPr>
                <w:sz w:val="15"/>
              </w:rPr>
            </w:pPr>
            <w:r>
              <w:rPr>
                <w:color w:val="231F20"/>
                <w:sz w:val="15"/>
              </w:rPr>
              <w:t>Conversion</w:t>
            </w:r>
            <w:r>
              <w:rPr>
                <w:color w:val="231F20"/>
                <w:spacing w:val="15"/>
                <w:sz w:val="15"/>
              </w:rPr>
              <w:t> </w:t>
            </w:r>
            <w:r>
              <w:rPr>
                <w:color w:val="231F20"/>
                <w:spacing w:val="-2"/>
                <w:sz w:val="15"/>
              </w:rPr>
              <w:t>reaction</w:t>
            </w:r>
          </w:p>
        </w:tc>
      </w:tr>
      <w:tr>
        <w:trPr>
          <w:trHeight w:val="737" w:hRule="exact"/>
        </w:trPr>
        <w:tc>
          <w:tcPr>
            <w:tcW w:w="4870" w:type="dxa"/>
            <w:vMerge/>
            <w:tcBorders>
              <w:top w:val="nil"/>
              <w:left w:val="nil"/>
              <w:right w:val="single" w:sz="4" w:space="0" w:color="231F20"/>
            </w:tcBorders>
            <w:shd w:val="clear" w:color="auto" w:fill="E8F5F1"/>
          </w:tcPr>
          <w:p>
            <w:pPr>
              <w:rPr>
                <w:sz w:val="2"/>
                <w:szCs w:val="2"/>
              </w:rPr>
            </w:pPr>
          </w:p>
        </w:tc>
        <w:tc>
          <w:tcPr>
            <w:tcW w:w="4870" w:type="dxa"/>
            <w:vMerge w:val="restart"/>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0"/>
                <w:sz w:val="15"/>
              </w:rPr>
              <w:t>TOXIC</w:t>
            </w:r>
          </w:p>
          <w:p>
            <w:pPr>
              <w:pStyle w:val="TableParagraph"/>
              <w:numPr>
                <w:ilvl w:val="0"/>
                <w:numId w:val="77"/>
              </w:numPr>
              <w:tabs>
                <w:tab w:pos="218" w:val="left" w:leader="none"/>
              </w:tabs>
              <w:spacing w:line="169" w:lineRule="exact" w:before="0" w:after="0"/>
              <w:ind w:left="218" w:right="0" w:hanging="149"/>
              <w:jc w:val="left"/>
              <w:rPr>
                <w:sz w:val="15"/>
              </w:rPr>
            </w:pPr>
            <w:r>
              <w:rPr>
                <w:color w:val="231F20"/>
                <w:spacing w:val="-2"/>
                <w:sz w:val="15"/>
              </w:rPr>
              <w:t>Alcohol</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Benzodiazepines</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Carbamazepine</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Clonazepam</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z w:val="15"/>
              </w:rPr>
              <w:t>Lead</w:t>
            </w:r>
            <w:r>
              <w:rPr>
                <w:color w:val="231F20"/>
                <w:spacing w:val="4"/>
                <w:sz w:val="15"/>
              </w:rPr>
              <w:t> </w:t>
            </w:r>
            <w:r>
              <w:rPr>
                <w:color w:val="231F20"/>
                <w:spacing w:val="-2"/>
                <w:sz w:val="15"/>
              </w:rPr>
              <w:t>encephalopathy</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Neuroblastoma</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Phenobarbital</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Phenytoin</w:t>
            </w:r>
          </w:p>
          <w:p>
            <w:pPr>
              <w:pStyle w:val="TableParagraph"/>
              <w:numPr>
                <w:ilvl w:val="0"/>
                <w:numId w:val="77"/>
              </w:numPr>
              <w:tabs>
                <w:tab w:pos="218" w:val="left" w:leader="none"/>
              </w:tabs>
              <w:spacing w:line="168" w:lineRule="exact" w:before="0" w:after="0"/>
              <w:ind w:left="218" w:right="0" w:hanging="149"/>
              <w:jc w:val="left"/>
              <w:rPr>
                <w:sz w:val="15"/>
              </w:rPr>
            </w:pPr>
            <w:r>
              <w:rPr>
                <w:color w:val="231F20"/>
                <w:spacing w:val="-2"/>
                <w:sz w:val="15"/>
              </w:rPr>
              <w:t>Primidone</w:t>
            </w:r>
          </w:p>
          <w:p>
            <w:pPr>
              <w:pStyle w:val="TableParagraph"/>
              <w:numPr>
                <w:ilvl w:val="0"/>
                <w:numId w:val="77"/>
              </w:numPr>
              <w:tabs>
                <w:tab w:pos="218" w:val="left" w:leader="none"/>
              </w:tabs>
              <w:spacing w:line="171" w:lineRule="exact" w:before="0" w:after="0"/>
              <w:ind w:left="218" w:right="0" w:hanging="149"/>
              <w:jc w:val="left"/>
              <w:rPr>
                <w:sz w:val="15"/>
              </w:rPr>
            </w:pPr>
            <w:r>
              <w:rPr>
                <w:color w:val="231F20"/>
                <w:spacing w:val="-2"/>
                <w:sz w:val="15"/>
              </w:rPr>
              <w:t>Tic</w:t>
            </w:r>
            <w:r>
              <w:rPr>
                <w:color w:val="231F20"/>
                <w:spacing w:val="-5"/>
                <w:sz w:val="15"/>
              </w:rPr>
              <w:t> </w:t>
            </w:r>
            <w:r>
              <w:rPr>
                <w:color w:val="231F20"/>
                <w:spacing w:val="-2"/>
                <w:sz w:val="15"/>
              </w:rPr>
              <w:t>paralysis</w:t>
            </w:r>
            <w:r>
              <w:rPr>
                <w:color w:val="231F20"/>
                <w:spacing w:val="-5"/>
                <w:sz w:val="15"/>
              </w:rPr>
              <w:t> </w:t>
            </w:r>
            <w:r>
              <w:rPr>
                <w:color w:val="231F20"/>
                <w:spacing w:val="-2"/>
                <w:sz w:val="15"/>
              </w:rPr>
              <w:t>poisoning</w:t>
            </w:r>
          </w:p>
        </w:tc>
      </w:tr>
      <w:tr>
        <w:trPr>
          <w:trHeight w:val="601" w:hRule="exact"/>
        </w:trPr>
        <w:tc>
          <w:tcPr>
            <w:tcW w:w="4870" w:type="dxa"/>
            <w:tcBorders>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ENDOCRINOLOGIC</w:t>
            </w:r>
          </w:p>
          <w:p>
            <w:pPr>
              <w:pStyle w:val="TableParagraph"/>
              <w:numPr>
                <w:ilvl w:val="0"/>
                <w:numId w:val="78"/>
              </w:numPr>
              <w:tabs>
                <w:tab w:pos="223" w:val="left" w:leader="none"/>
              </w:tabs>
              <w:spacing w:line="169" w:lineRule="exact" w:before="0" w:after="0"/>
              <w:ind w:left="223" w:right="0" w:hanging="149"/>
              <w:jc w:val="left"/>
              <w:rPr>
                <w:sz w:val="15"/>
              </w:rPr>
            </w:pPr>
            <w:r>
              <w:rPr>
                <w:color w:val="231F20"/>
                <w:sz w:val="15"/>
              </w:rPr>
              <w:t>Acquired</w:t>
            </w:r>
            <w:r>
              <w:rPr>
                <w:color w:val="231F20"/>
                <w:spacing w:val="12"/>
                <w:sz w:val="15"/>
              </w:rPr>
              <w:t> </w:t>
            </w:r>
            <w:r>
              <w:rPr>
                <w:color w:val="231F20"/>
                <w:spacing w:val="-2"/>
                <w:sz w:val="15"/>
              </w:rPr>
              <w:t>hypothyroidism</w:t>
            </w:r>
          </w:p>
          <w:p>
            <w:pPr>
              <w:pStyle w:val="TableParagraph"/>
              <w:numPr>
                <w:ilvl w:val="0"/>
                <w:numId w:val="78"/>
              </w:numPr>
              <w:tabs>
                <w:tab w:pos="223" w:val="left" w:leader="none"/>
              </w:tabs>
              <w:spacing w:line="171" w:lineRule="exact" w:before="0" w:after="0"/>
              <w:ind w:left="223" w:right="0" w:hanging="149"/>
              <w:jc w:val="left"/>
              <w:rPr>
                <w:sz w:val="15"/>
              </w:rPr>
            </w:pPr>
            <w:r>
              <w:rPr>
                <w:color w:val="231F20"/>
                <w:spacing w:val="-2"/>
                <w:sz w:val="15"/>
              </w:rPr>
              <w:t>Cretinism</w:t>
            </w:r>
          </w:p>
        </w:tc>
        <w:tc>
          <w:tcPr>
            <w:tcW w:w="4870" w:type="dxa"/>
            <w:vMerge/>
            <w:tcBorders>
              <w:top w:val="nil"/>
              <w:left w:val="single" w:sz="4" w:space="0" w:color="231F20"/>
              <w:right w:val="nil"/>
            </w:tcBorders>
            <w:shd w:val="clear" w:color="auto" w:fill="E8F5F1"/>
          </w:tcPr>
          <w:p>
            <w:pPr>
              <w:rPr>
                <w:sz w:val="2"/>
                <w:szCs w:val="2"/>
              </w:rPr>
            </w:pPr>
          </w:p>
        </w:tc>
      </w:tr>
      <w:tr>
        <w:trPr>
          <w:trHeight w:val="605" w:hRule="exact"/>
        </w:trPr>
        <w:tc>
          <w:tcPr>
            <w:tcW w:w="4870" w:type="dxa"/>
            <w:vMerge w:val="restart"/>
            <w:tcBorders>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w w:val="110"/>
                <w:sz w:val="15"/>
              </w:rPr>
              <w:t>INFECTIOUS,</w:t>
            </w:r>
            <w:r>
              <w:rPr>
                <w:color w:val="231F20"/>
                <w:spacing w:val="-5"/>
                <w:w w:val="110"/>
                <w:sz w:val="15"/>
              </w:rPr>
              <w:t> </w:t>
            </w:r>
            <w:r>
              <w:rPr>
                <w:color w:val="231F20"/>
                <w:w w:val="110"/>
                <w:sz w:val="15"/>
              </w:rPr>
              <w:t>POSTINFECTIOUS,</w:t>
            </w:r>
            <w:r>
              <w:rPr>
                <w:color w:val="231F20"/>
                <w:spacing w:val="-5"/>
                <w:w w:val="110"/>
                <w:sz w:val="15"/>
              </w:rPr>
              <w:t> </w:t>
            </w:r>
            <w:r>
              <w:rPr>
                <w:color w:val="231F20"/>
                <w:spacing w:val="-2"/>
                <w:w w:val="110"/>
                <w:sz w:val="15"/>
              </w:rPr>
              <w:t>INFLAMMATORY</w:t>
            </w:r>
          </w:p>
          <w:p>
            <w:pPr>
              <w:pStyle w:val="TableParagraph"/>
              <w:numPr>
                <w:ilvl w:val="0"/>
                <w:numId w:val="79"/>
              </w:numPr>
              <w:tabs>
                <w:tab w:pos="223" w:val="left" w:leader="none"/>
              </w:tabs>
              <w:spacing w:line="169" w:lineRule="exact" w:before="0" w:after="0"/>
              <w:ind w:left="223" w:right="0" w:hanging="149"/>
              <w:jc w:val="left"/>
              <w:rPr>
                <w:sz w:val="15"/>
              </w:rPr>
            </w:pPr>
            <w:r>
              <w:rPr>
                <w:color w:val="231F20"/>
                <w:spacing w:val="-2"/>
                <w:sz w:val="15"/>
              </w:rPr>
              <w:t>Acute</w:t>
            </w:r>
            <w:r>
              <w:rPr>
                <w:color w:val="231F20"/>
                <w:spacing w:val="2"/>
                <w:sz w:val="15"/>
              </w:rPr>
              <w:t> </w:t>
            </w:r>
            <w:r>
              <w:rPr>
                <w:color w:val="231F20"/>
                <w:spacing w:val="-2"/>
                <w:sz w:val="15"/>
              </w:rPr>
              <w:t>cerebellar</w:t>
            </w:r>
            <w:r>
              <w:rPr>
                <w:color w:val="231F20"/>
                <w:spacing w:val="2"/>
                <w:sz w:val="15"/>
              </w:rPr>
              <w:t> </w:t>
            </w:r>
            <w:r>
              <w:rPr>
                <w:color w:val="231F20"/>
                <w:spacing w:val="-2"/>
                <w:sz w:val="15"/>
              </w:rPr>
              <w:t>ataxia</w:t>
            </w:r>
          </w:p>
          <w:p>
            <w:pPr>
              <w:pStyle w:val="TableParagraph"/>
              <w:numPr>
                <w:ilvl w:val="0"/>
                <w:numId w:val="79"/>
              </w:numPr>
              <w:tabs>
                <w:tab w:pos="223" w:val="left" w:leader="none"/>
              </w:tabs>
              <w:spacing w:line="167" w:lineRule="exact" w:before="0" w:after="0"/>
              <w:ind w:left="223" w:right="0" w:hanging="149"/>
              <w:jc w:val="left"/>
              <w:rPr>
                <w:sz w:val="15"/>
              </w:rPr>
            </w:pPr>
            <w:r>
              <w:rPr>
                <w:color w:val="231F20"/>
                <w:sz w:val="15"/>
              </w:rPr>
              <w:t>Acute</w:t>
            </w:r>
            <w:r>
              <w:rPr>
                <w:color w:val="231F20"/>
                <w:spacing w:val="1"/>
                <w:sz w:val="15"/>
              </w:rPr>
              <w:t> </w:t>
            </w:r>
            <w:r>
              <w:rPr>
                <w:color w:val="231F20"/>
                <w:sz w:val="15"/>
              </w:rPr>
              <w:t>disseminated</w:t>
            </w:r>
            <w:r>
              <w:rPr>
                <w:color w:val="231F20"/>
                <w:spacing w:val="1"/>
                <w:sz w:val="15"/>
              </w:rPr>
              <w:t> </w:t>
            </w:r>
            <w:r>
              <w:rPr>
                <w:color w:val="231F20"/>
                <w:spacing w:val="-2"/>
                <w:sz w:val="15"/>
              </w:rPr>
              <w:t>encephalomyelitis</w:t>
            </w:r>
          </w:p>
          <w:p>
            <w:pPr>
              <w:pStyle w:val="TableParagraph"/>
              <w:numPr>
                <w:ilvl w:val="0"/>
                <w:numId w:val="79"/>
              </w:numPr>
              <w:tabs>
                <w:tab w:pos="223" w:val="left" w:leader="none"/>
              </w:tabs>
              <w:spacing w:line="230" w:lineRule="auto" w:before="2" w:after="0"/>
              <w:ind w:left="223" w:right="120" w:hanging="150"/>
              <w:jc w:val="left"/>
              <w:rPr>
                <w:sz w:val="15"/>
              </w:rPr>
            </w:pPr>
            <w:r>
              <w:rPr>
                <w:color w:val="231F20"/>
                <w:spacing w:val="-2"/>
                <w:sz w:val="15"/>
              </w:rPr>
              <w:t>Autoimmune (anti-glutamic acid decarboxylase, anti–</w:t>
            </w:r>
            <w:r>
              <w:rPr>
                <w:rFonts w:ascii="Cambria" w:hAnsi="Cambria"/>
                <w:color w:val="231F20"/>
                <w:spacing w:val="-2"/>
                <w:sz w:val="15"/>
              </w:rPr>
              <w:t>γ</w:t>
            </w:r>
            <w:r>
              <w:rPr>
                <w:color w:val="231F20"/>
                <w:spacing w:val="-2"/>
                <w:sz w:val="15"/>
              </w:rPr>
              <w:t>-</w:t>
            </w:r>
            <w:r>
              <w:rPr>
                <w:color w:val="231F20"/>
                <w:spacing w:val="-2"/>
                <w:sz w:val="15"/>
              </w:rPr>
              <w:t>aminobutyric </w:t>
            </w:r>
            <w:r>
              <w:rPr>
                <w:color w:val="231F20"/>
                <w:sz w:val="15"/>
              </w:rPr>
              <w:t>acid</w:t>
            </w:r>
            <w:r>
              <w:rPr>
                <w:color w:val="231F20"/>
                <w:sz w:val="15"/>
                <w:vertAlign w:val="subscript"/>
              </w:rPr>
              <w:t>B</w:t>
            </w:r>
            <w:r>
              <w:rPr>
                <w:color w:val="231F20"/>
                <w:sz w:val="15"/>
                <w:vertAlign w:val="baseline"/>
              </w:rPr>
              <w:t> receptor antibodies)</w:t>
            </w:r>
          </w:p>
          <w:p>
            <w:pPr>
              <w:pStyle w:val="TableParagraph"/>
              <w:numPr>
                <w:ilvl w:val="0"/>
                <w:numId w:val="79"/>
              </w:numPr>
              <w:tabs>
                <w:tab w:pos="223" w:val="left" w:leader="none"/>
              </w:tabs>
              <w:spacing w:line="167" w:lineRule="exact" w:before="0" w:after="0"/>
              <w:ind w:left="223" w:right="0" w:hanging="149"/>
              <w:jc w:val="left"/>
              <w:rPr>
                <w:sz w:val="15"/>
              </w:rPr>
            </w:pPr>
            <w:r>
              <w:rPr>
                <w:color w:val="231F20"/>
                <w:spacing w:val="-2"/>
                <w:sz w:val="15"/>
              </w:rPr>
              <w:t>Cerebellar</w:t>
            </w:r>
            <w:r>
              <w:rPr>
                <w:color w:val="231F20"/>
                <w:spacing w:val="6"/>
                <w:sz w:val="15"/>
              </w:rPr>
              <w:t> </w:t>
            </w:r>
            <w:r>
              <w:rPr>
                <w:color w:val="231F20"/>
                <w:spacing w:val="-2"/>
                <w:sz w:val="15"/>
              </w:rPr>
              <w:t>abscess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Cerebellitis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Coxsackievirus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Diphtheria</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Echovirus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z w:val="15"/>
              </w:rPr>
              <w:t>Fisher</w:t>
            </w:r>
            <w:r>
              <w:rPr>
                <w:color w:val="231F20"/>
                <w:spacing w:val="-8"/>
                <w:sz w:val="15"/>
              </w:rPr>
              <w:t> </w:t>
            </w:r>
            <w:r>
              <w:rPr>
                <w:color w:val="231F20"/>
                <w:spacing w:val="-2"/>
                <w:sz w:val="15"/>
              </w:rPr>
              <w:t>syndrome</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Infectious</w:t>
            </w:r>
            <w:r>
              <w:rPr>
                <w:color w:val="231F20"/>
                <w:spacing w:val="5"/>
                <w:sz w:val="15"/>
              </w:rPr>
              <w:t> </w:t>
            </w:r>
            <w:r>
              <w:rPr>
                <w:color w:val="231F20"/>
                <w:spacing w:val="-2"/>
                <w:sz w:val="15"/>
              </w:rPr>
              <w:t>mononucleosis</w:t>
            </w:r>
            <w:r>
              <w:rPr>
                <w:color w:val="231F20"/>
                <w:spacing w:val="5"/>
                <w:sz w:val="15"/>
              </w:rPr>
              <w:t> </w:t>
            </w:r>
            <w:r>
              <w:rPr>
                <w:color w:val="231F20"/>
                <w:spacing w:val="-2"/>
                <w:sz w:val="15"/>
              </w:rPr>
              <w:t>(Epstein-Barr</w:t>
            </w:r>
            <w:r>
              <w:rPr>
                <w:color w:val="231F20"/>
                <w:spacing w:val="6"/>
                <w:sz w:val="15"/>
              </w:rPr>
              <w:t> </w:t>
            </w:r>
            <w:r>
              <w:rPr>
                <w:color w:val="231F20"/>
                <w:spacing w:val="-2"/>
                <w:sz w:val="15"/>
              </w:rPr>
              <w:t>virus</w:t>
            </w:r>
            <w:r>
              <w:rPr>
                <w:color w:val="231F20"/>
                <w:spacing w:val="5"/>
                <w:sz w:val="15"/>
              </w:rPr>
              <w:t> </w:t>
            </w:r>
            <w:r>
              <w:rPr>
                <w:color w:val="231F20"/>
                <w:spacing w:val="-2"/>
                <w:sz w:val="15"/>
              </w:rPr>
              <w:t>infection)</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Infectious</w:t>
            </w:r>
            <w:r>
              <w:rPr>
                <w:color w:val="231F20"/>
                <w:spacing w:val="1"/>
                <w:sz w:val="15"/>
              </w:rPr>
              <w:t> </w:t>
            </w:r>
            <w:r>
              <w:rPr>
                <w:color w:val="231F20"/>
                <w:spacing w:val="-2"/>
                <w:sz w:val="15"/>
              </w:rPr>
              <w:t>polyneuropathy</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z w:val="15"/>
              </w:rPr>
              <w:t>Japanese</w:t>
            </w:r>
            <w:r>
              <w:rPr>
                <w:color w:val="231F20"/>
                <w:spacing w:val="8"/>
                <w:sz w:val="15"/>
              </w:rPr>
              <w:t> </w:t>
            </w:r>
            <w:r>
              <w:rPr>
                <w:color w:val="231F20"/>
                <w:sz w:val="15"/>
              </w:rPr>
              <w:t>B</w:t>
            </w:r>
            <w:r>
              <w:rPr>
                <w:color w:val="231F20"/>
                <w:spacing w:val="8"/>
                <w:sz w:val="15"/>
              </w:rPr>
              <w:t> </w:t>
            </w:r>
            <w:r>
              <w:rPr>
                <w:color w:val="231F20"/>
                <w:spacing w:val="-2"/>
                <w:sz w:val="15"/>
              </w:rPr>
              <w:t>encephalitis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w w:val="105"/>
                <w:sz w:val="15"/>
              </w:rPr>
              <w:t>Mumps</w:t>
            </w:r>
            <w:r>
              <w:rPr>
                <w:color w:val="231F20"/>
                <w:spacing w:val="12"/>
                <w:w w:val="105"/>
                <w:sz w:val="15"/>
              </w:rPr>
              <w:t> </w:t>
            </w:r>
            <w:r>
              <w:rPr>
                <w:color w:val="231F20"/>
                <w:spacing w:val="-2"/>
                <w:w w:val="105"/>
                <w:sz w:val="15"/>
              </w:rPr>
              <w:t>encephalitis</w:t>
            </w:r>
          </w:p>
          <w:p>
            <w:pPr>
              <w:pStyle w:val="TableParagraph"/>
              <w:numPr>
                <w:ilvl w:val="0"/>
                <w:numId w:val="79"/>
              </w:numPr>
              <w:tabs>
                <w:tab w:pos="223" w:val="left" w:leader="none"/>
              </w:tabs>
              <w:spacing w:line="168" w:lineRule="exact" w:before="0" w:after="0"/>
              <w:ind w:left="223" w:right="0" w:hanging="149"/>
              <w:jc w:val="left"/>
              <w:rPr>
                <w:sz w:val="15"/>
              </w:rPr>
            </w:pPr>
            <w:r>
              <w:rPr>
                <w:i/>
                <w:color w:val="231F20"/>
                <w:sz w:val="15"/>
              </w:rPr>
              <w:t>Mycoplasma</w:t>
            </w:r>
            <w:r>
              <w:rPr>
                <w:i/>
                <w:color w:val="231F20"/>
                <w:spacing w:val="17"/>
                <w:sz w:val="15"/>
              </w:rPr>
              <w:t> </w:t>
            </w:r>
            <w:r>
              <w:rPr>
                <w:color w:val="231F20"/>
                <w:spacing w:val="-2"/>
                <w:sz w:val="15"/>
              </w:rPr>
              <w:t>pneumonia</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Paraneoplastic</w:t>
            </w:r>
            <w:r>
              <w:rPr>
                <w:color w:val="231F20"/>
                <w:spacing w:val="23"/>
                <w:sz w:val="15"/>
              </w:rPr>
              <w:t> </w:t>
            </w:r>
            <w:r>
              <w:rPr>
                <w:color w:val="231F20"/>
                <w:spacing w:val="-2"/>
                <w:sz w:val="15"/>
              </w:rPr>
              <w:t>(opsoclonus-myoclonus-ataxia</w:t>
            </w:r>
            <w:r>
              <w:rPr>
                <w:color w:val="231F20"/>
                <w:spacing w:val="23"/>
                <w:sz w:val="15"/>
              </w:rPr>
              <w:t> </w:t>
            </w:r>
            <w:r>
              <w:rPr>
                <w:color w:val="231F20"/>
                <w:spacing w:val="-2"/>
                <w:sz w:val="15"/>
              </w:rPr>
              <w:t>syndrome)</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Pertussis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Polio</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Postbacterial</w:t>
            </w:r>
            <w:r>
              <w:rPr>
                <w:color w:val="231F20"/>
                <w:spacing w:val="-9"/>
                <w:sz w:val="15"/>
              </w:rPr>
              <w:t> </w:t>
            </w:r>
            <w:r>
              <w:rPr>
                <w:color w:val="231F20"/>
                <w:spacing w:val="-2"/>
                <w:sz w:val="15"/>
              </w:rPr>
              <w:t>meningitis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Rubeola</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Tuberculosis</w:t>
            </w:r>
          </w:p>
          <w:p>
            <w:pPr>
              <w:pStyle w:val="TableParagraph"/>
              <w:numPr>
                <w:ilvl w:val="0"/>
                <w:numId w:val="79"/>
              </w:numPr>
              <w:tabs>
                <w:tab w:pos="223" w:val="left" w:leader="none"/>
              </w:tabs>
              <w:spacing w:line="168" w:lineRule="exact" w:before="0" w:after="0"/>
              <w:ind w:left="223" w:right="0" w:hanging="149"/>
              <w:jc w:val="left"/>
              <w:rPr>
                <w:sz w:val="15"/>
              </w:rPr>
            </w:pPr>
            <w:r>
              <w:rPr>
                <w:color w:val="231F20"/>
                <w:spacing w:val="-2"/>
                <w:sz w:val="15"/>
              </w:rPr>
              <w:t>Typhoid</w:t>
            </w:r>
          </w:p>
          <w:p>
            <w:pPr>
              <w:pStyle w:val="TableParagraph"/>
              <w:numPr>
                <w:ilvl w:val="0"/>
                <w:numId w:val="79"/>
              </w:numPr>
              <w:tabs>
                <w:tab w:pos="223" w:val="left" w:leader="none"/>
              </w:tabs>
              <w:spacing w:line="171" w:lineRule="exact" w:before="0" w:after="0"/>
              <w:ind w:left="223" w:right="0" w:hanging="149"/>
              <w:jc w:val="left"/>
              <w:rPr>
                <w:sz w:val="15"/>
              </w:rPr>
            </w:pPr>
            <w:r>
              <w:rPr>
                <w:color w:val="231F20"/>
                <w:spacing w:val="-2"/>
                <w:sz w:val="15"/>
              </w:rPr>
              <w:t>Varicella</w:t>
            </w:r>
          </w:p>
        </w:tc>
        <w:tc>
          <w:tcPr>
            <w:tcW w:w="4870" w:type="dxa"/>
            <w:vMerge/>
            <w:tcBorders>
              <w:top w:val="nil"/>
              <w:left w:val="single" w:sz="4" w:space="0" w:color="231F20"/>
              <w:right w:val="nil"/>
            </w:tcBorders>
            <w:shd w:val="clear" w:color="auto" w:fill="E8F5F1"/>
          </w:tcPr>
          <w:p>
            <w:pPr>
              <w:rPr>
                <w:sz w:val="2"/>
                <w:szCs w:val="2"/>
              </w:rPr>
            </w:pPr>
          </w:p>
        </w:tc>
      </w:tr>
      <w:tr>
        <w:trPr>
          <w:trHeight w:val="601" w:hRule="exact"/>
        </w:trPr>
        <w:tc>
          <w:tcPr>
            <w:tcW w:w="4870" w:type="dxa"/>
            <w:vMerge/>
            <w:tcBorders>
              <w:top w:val="nil"/>
              <w:left w:val="nil"/>
              <w:bottom w:val="single" w:sz="8" w:space="0" w:color="231F20"/>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0"/>
                <w:sz w:val="15"/>
              </w:rPr>
              <w:t>TRAUMATIC</w:t>
            </w:r>
          </w:p>
          <w:p>
            <w:pPr>
              <w:pStyle w:val="TableParagraph"/>
              <w:numPr>
                <w:ilvl w:val="0"/>
                <w:numId w:val="80"/>
              </w:numPr>
              <w:tabs>
                <w:tab w:pos="218" w:val="left" w:leader="none"/>
              </w:tabs>
              <w:spacing w:line="169" w:lineRule="exact" w:before="0" w:after="0"/>
              <w:ind w:left="218" w:right="0" w:hanging="149"/>
              <w:jc w:val="left"/>
              <w:rPr>
                <w:sz w:val="15"/>
              </w:rPr>
            </w:pPr>
            <w:r>
              <w:rPr>
                <w:color w:val="231F20"/>
                <w:spacing w:val="-2"/>
                <w:sz w:val="15"/>
              </w:rPr>
              <w:t>Acute</w:t>
            </w:r>
            <w:r>
              <w:rPr>
                <w:color w:val="231F20"/>
                <w:spacing w:val="2"/>
                <w:sz w:val="15"/>
              </w:rPr>
              <w:t> </w:t>
            </w:r>
            <w:r>
              <w:rPr>
                <w:color w:val="231F20"/>
                <w:spacing w:val="-2"/>
                <w:sz w:val="15"/>
              </w:rPr>
              <w:t>cerebellar</w:t>
            </w:r>
            <w:r>
              <w:rPr>
                <w:color w:val="231F20"/>
                <w:spacing w:val="2"/>
                <w:sz w:val="15"/>
              </w:rPr>
              <w:t> </w:t>
            </w:r>
            <w:r>
              <w:rPr>
                <w:color w:val="231F20"/>
                <w:spacing w:val="-2"/>
                <w:sz w:val="15"/>
              </w:rPr>
              <w:t>edema</w:t>
            </w:r>
          </w:p>
          <w:p>
            <w:pPr>
              <w:pStyle w:val="TableParagraph"/>
              <w:numPr>
                <w:ilvl w:val="0"/>
                <w:numId w:val="80"/>
              </w:numPr>
              <w:tabs>
                <w:tab w:pos="218" w:val="left" w:leader="none"/>
              </w:tabs>
              <w:spacing w:line="171" w:lineRule="exact" w:before="0" w:after="0"/>
              <w:ind w:left="218" w:right="0" w:hanging="149"/>
              <w:jc w:val="left"/>
              <w:rPr>
                <w:sz w:val="15"/>
              </w:rPr>
            </w:pPr>
            <w:r>
              <w:rPr>
                <w:color w:val="231F20"/>
                <w:sz w:val="15"/>
              </w:rPr>
              <w:t>Acute</w:t>
            </w:r>
            <w:r>
              <w:rPr>
                <w:color w:val="231F20"/>
                <w:spacing w:val="-8"/>
                <w:sz w:val="15"/>
              </w:rPr>
              <w:t> </w:t>
            </w:r>
            <w:r>
              <w:rPr>
                <w:color w:val="231F20"/>
                <w:sz w:val="15"/>
              </w:rPr>
              <w:t>frontal</w:t>
            </w:r>
            <w:r>
              <w:rPr>
                <w:color w:val="231F20"/>
                <w:spacing w:val="-8"/>
                <w:sz w:val="15"/>
              </w:rPr>
              <w:t> </w:t>
            </w:r>
            <w:r>
              <w:rPr>
                <w:color w:val="231F20"/>
                <w:sz w:val="15"/>
              </w:rPr>
              <w:t>lobe</w:t>
            </w:r>
            <w:r>
              <w:rPr>
                <w:color w:val="231F20"/>
                <w:spacing w:val="-8"/>
                <w:sz w:val="15"/>
              </w:rPr>
              <w:t> </w:t>
            </w:r>
            <w:r>
              <w:rPr>
                <w:color w:val="231F20"/>
                <w:spacing w:val="-2"/>
                <w:sz w:val="15"/>
              </w:rPr>
              <w:t>edema</w:t>
            </w:r>
          </w:p>
        </w:tc>
      </w:tr>
      <w:tr>
        <w:trPr>
          <w:trHeight w:val="2921" w:hRule="exact"/>
        </w:trPr>
        <w:tc>
          <w:tcPr>
            <w:tcW w:w="4870" w:type="dxa"/>
            <w:vMerge/>
            <w:tcBorders>
              <w:top w:val="nil"/>
              <w:left w:val="nil"/>
              <w:bottom w:val="single" w:sz="8" w:space="0" w:color="231F20"/>
              <w:right w:val="single" w:sz="4" w:space="0" w:color="231F20"/>
            </w:tcBorders>
            <w:shd w:val="clear" w:color="auto" w:fill="E8F5F1"/>
          </w:tcPr>
          <w:p>
            <w:pPr>
              <w:rPr>
                <w:sz w:val="2"/>
                <w:szCs w:val="2"/>
              </w:rPr>
            </w:pPr>
          </w:p>
        </w:tc>
        <w:tc>
          <w:tcPr>
            <w:tcW w:w="4870" w:type="dxa"/>
            <w:tcBorders>
              <w:left w:val="single" w:sz="4" w:space="0" w:color="231F20"/>
              <w:bottom w:val="single" w:sz="8" w:space="0" w:color="231F20"/>
              <w:right w:val="nil"/>
            </w:tcBorders>
            <w:shd w:val="clear" w:color="auto" w:fill="E8F5F1"/>
          </w:tcPr>
          <w:p>
            <w:pPr>
              <w:pStyle w:val="TableParagraph"/>
              <w:spacing w:line="172" w:lineRule="exact" w:before="43"/>
              <w:ind w:left="69"/>
              <w:rPr>
                <w:sz w:val="15"/>
              </w:rPr>
            </w:pPr>
            <w:r>
              <w:rPr>
                <w:color w:val="231F20"/>
                <w:spacing w:val="-2"/>
                <w:w w:val="110"/>
                <w:sz w:val="15"/>
              </w:rPr>
              <w:t>VASCULAR</w:t>
            </w:r>
          </w:p>
          <w:p>
            <w:pPr>
              <w:pStyle w:val="TableParagraph"/>
              <w:numPr>
                <w:ilvl w:val="0"/>
                <w:numId w:val="81"/>
              </w:numPr>
              <w:tabs>
                <w:tab w:pos="218" w:val="left" w:leader="none"/>
              </w:tabs>
              <w:spacing w:line="169" w:lineRule="exact" w:before="0" w:after="0"/>
              <w:ind w:left="218" w:right="0" w:hanging="149"/>
              <w:jc w:val="left"/>
              <w:rPr>
                <w:sz w:val="15"/>
              </w:rPr>
            </w:pPr>
            <w:r>
              <w:rPr>
                <w:color w:val="231F20"/>
                <w:sz w:val="15"/>
              </w:rPr>
              <w:t>Angioblastoma</w:t>
            </w:r>
            <w:r>
              <w:rPr>
                <w:color w:val="231F20"/>
                <w:spacing w:val="13"/>
                <w:sz w:val="15"/>
              </w:rPr>
              <w:t> </w:t>
            </w:r>
            <w:r>
              <w:rPr>
                <w:color w:val="231F20"/>
                <w:sz w:val="15"/>
              </w:rPr>
              <w:t>of</w:t>
            </w:r>
            <w:r>
              <w:rPr>
                <w:color w:val="231F20"/>
                <w:spacing w:val="14"/>
                <w:sz w:val="15"/>
              </w:rPr>
              <w:t> </w:t>
            </w:r>
            <w:r>
              <w:rPr>
                <w:color w:val="231F20"/>
                <w:spacing w:val="-2"/>
                <w:sz w:val="15"/>
              </w:rPr>
              <w:t>cerebellum</w:t>
            </w:r>
          </w:p>
          <w:p>
            <w:pPr>
              <w:pStyle w:val="TableParagraph"/>
              <w:numPr>
                <w:ilvl w:val="0"/>
                <w:numId w:val="81"/>
              </w:numPr>
              <w:tabs>
                <w:tab w:pos="218" w:val="left" w:leader="none"/>
              </w:tabs>
              <w:spacing w:line="168" w:lineRule="exact" w:before="0" w:after="0"/>
              <w:ind w:left="218" w:right="0" w:hanging="149"/>
              <w:jc w:val="left"/>
              <w:rPr>
                <w:sz w:val="15"/>
              </w:rPr>
            </w:pPr>
            <w:r>
              <w:rPr>
                <w:color w:val="231F20"/>
                <w:spacing w:val="-2"/>
                <w:sz w:val="15"/>
              </w:rPr>
              <w:t>Basilar</w:t>
            </w:r>
            <w:r>
              <w:rPr>
                <w:color w:val="231F20"/>
                <w:spacing w:val="-3"/>
                <w:sz w:val="15"/>
              </w:rPr>
              <w:t> </w:t>
            </w:r>
            <w:r>
              <w:rPr>
                <w:color w:val="231F20"/>
                <w:spacing w:val="-2"/>
                <w:sz w:val="15"/>
              </w:rPr>
              <w:t>migraine</w:t>
            </w:r>
          </w:p>
          <w:p>
            <w:pPr>
              <w:pStyle w:val="TableParagraph"/>
              <w:numPr>
                <w:ilvl w:val="0"/>
                <w:numId w:val="81"/>
              </w:numPr>
              <w:tabs>
                <w:tab w:pos="218" w:val="left" w:leader="none"/>
              </w:tabs>
              <w:spacing w:line="168" w:lineRule="exact" w:before="0" w:after="0"/>
              <w:ind w:left="218" w:right="0" w:hanging="149"/>
              <w:jc w:val="left"/>
              <w:rPr>
                <w:sz w:val="15"/>
              </w:rPr>
            </w:pPr>
            <w:r>
              <w:rPr>
                <w:color w:val="231F20"/>
                <w:spacing w:val="-2"/>
                <w:sz w:val="15"/>
              </w:rPr>
              <w:t>Cerebellar</w:t>
            </w:r>
            <w:r>
              <w:rPr>
                <w:color w:val="231F20"/>
                <w:spacing w:val="6"/>
                <w:sz w:val="15"/>
              </w:rPr>
              <w:t> </w:t>
            </w:r>
            <w:r>
              <w:rPr>
                <w:color w:val="231F20"/>
                <w:spacing w:val="-2"/>
                <w:sz w:val="15"/>
              </w:rPr>
              <w:t>embolism</w:t>
            </w:r>
          </w:p>
          <w:p>
            <w:pPr>
              <w:pStyle w:val="TableParagraph"/>
              <w:numPr>
                <w:ilvl w:val="0"/>
                <w:numId w:val="81"/>
              </w:numPr>
              <w:tabs>
                <w:tab w:pos="218" w:val="left" w:leader="none"/>
              </w:tabs>
              <w:spacing w:line="168" w:lineRule="exact" w:before="0" w:after="0"/>
              <w:ind w:left="218" w:right="0" w:hanging="149"/>
              <w:jc w:val="left"/>
              <w:rPr>
                <w:sz w:val="15"/>
              </w:rPr>
            </w:pPr>
            <w:r>
              <w:rPr>
                <w:color w:val="231F20"/>
                <w:spacing w:val="-2"/>
                <w:sz w:val="15"/>
              </w:rPr>
              <w:t>Cerebellar</w:t>
            </w:r>
            <w:r>
              <w:rPr>
                <w:color w:val="231F20"/>
                <w:spacing w:val="6"/>
                <w:sz w:val="15"/>
              </w:rPr>
              <w:t> </w:t>
            </w:r>
            <w:r>
              <w:rPr>
                <w:color w:val="231F20"/>
                <w:spacing w:val="-2"/>
                <w:sz w:val="15"/>
              </w:rPr>
              <w:t>hemorrhage</w:t>
            </w:r>
          </w:p>
          <w:p>
            <w:pPr>
              <w:pStyle w:val="TableParagraph"/>
              <w:numPr>
                <w:ilvl w:val="0"/>
                <w:numId w:val="81"/>
              </w:numPr>
              <w:tabs>
                <w:tab w:pos="218" w:val="left" w:leader="none"/>
              </w:tabs>
              <w:spacing w:line="168" w:lineRule="exact" w:before="0" w:after="0"/>
              <w:ind w:left="218" w:right="0" w:hanging="149"/>
              <w:jc w:val="left"/>
              <w:rPr>
                <w:sz w:val="15"/>
              </w:rPr>
            </w:pPr>
            <w:r>
              <w:rPr>
                <w:color w:val="231F20"/>
                <w:spacing w:val="-2"/>
                <w:sz w:val="15"/>
              </w:rPr>
              <w:t>Cerebellar</w:t>
            </w:r>
            <w:r>
              <w:rPr>
                <w:color w:val="231F20"/>
                <w:spacing w:val="6"/>
                <w:sz w:val="15"/>
              </w:rPr>
              <w:t> </w:t>
            </w:r>
            <w:r>
              <w:rPr>
                <w:color w:val="231F20"/>
                <w:spacing w:val="-2"/>
                <w:sz w:val="15"/>
              </w:rPr>
              <w:t>thrombosis</w:t>
            </w:r>
          </w:p>
          <w:p>
            <w:pPr>
              <w:pStyle w:val="TableParagraph"/>
              <w:numPr>
                <w:ilvl w:val="0"/>
                <w:numId w:val="81"/>
              </w:numPr>
              <w:tabs>
                <w:tab w:pos="218" w:val="left" w:leader="none"/>
              </w:tabs>
              <w:spacing w:line="168" w:lineRule="exact" w:before="0" w:after="0"/>
              <w:ind w:left="218" w:right="0" w:hanging="149"/>
              <w:jc w:val="left"/>
              <w:rPr>
                <w:sz w:val="15"/>
              </w:rPr>
            </w:pPr>
            <w:r>
              <w:rPr>
                <w:color w:val="231F20"/>
                <w:spacing w:val="-2"/>
                <w:sz w:val="15"/>
              </w:rPr>
              <w:t>Posterior</w:t>
            </w:r>
            <w:r>
              <w:rPr>
                <w:color w:val="231F20"/>
                <w:spacing w:val="-7"/>
                <w:sz w:val="15"/>
              </w:rPr>
              <w:t> </w:t>
            </w:r>
            <w:r>
              <w:rPr>
                <w:color w:val="231F20"/>
                <w:spacing w:val="-2"/>
                <w:sz w:val="15"/>
              </w:rPr>
              <w:t>cerebellar</w:t>
            </w:r>
            <w:r>
              <w:rPr>
                <w:color w:val="231F20"/>
                <w:spacing w:val="-6"/>
                <w:sz w:val="15"/>
              </w:rPr>
              <w:t> </w:t>
            </w:r>
            <w:r>
              <w:rPr>
                <w:color w:val="231F20"/>
                <w:spacing w:val="-2"/>
                <w:sz w:val="15"/>
              </w:rPr>
              <w:t>artery</w:t>
            </w:r>
            <w:r>
              <w:rPr>
                <w:color w:val="231F20"/>
                <w:spacing w:val="-7"/>
                <w:sz w:val="15"/>
              </w:rPr>
              <w:t> </w:t>
            </w:r>
            <w:r>
              <w:rPr>
                <w:color w:val="231F20"/>
                <w:spacing w:val="-2"/>
                <w:sz w:val="15"/>
              </w:rPr>
              <w:t>disease</w:t>
            </w:r>
          </w:p>
          <w:p>
            <w:pPr>
              <w:pStyle w:val="TableParagraph"/>
              <w:numPr>
                <w:ilvl w:val="0"/>
                <w:numId w:val="81"/>
              </w:numPr>
              <w:tabs>
                <w:tab w:pos="218" w:val="left" w:leader="none"/>
              </w:tabs>
              <w:spacing w:line="168" w:lineRule="exact" w:before="0" w:after="0"/>
              <w:ind w:left="218" w:right="0" w:hanging="149"/>
              <w:jc w:val="left"/>
              <w:rPr>
                <w:sz w:val="15"/>
              </w:rPr>
            </w:pPr>
            <w:r>
              <w:rPr>
                <w:color w:val="231F20"/>
                <w:spacing w:val="-2"/>
                <w:sz w:val="15"/>
              </w:rPr>
              <w:t>Vasculitis</w:t>
            </w:r>
          </w:p>
          <w:p>
            <w:pPr>
              <w:pStyle w:val="TableParagraph"/>
              <w:numPr>
                <w:ilvl w:val="0"/>
                <w:numId w:val="81"/>
              </w:numPr>
              <w:tabs>
                <w:tab w:pos="218" w:val="left" w:leader="none"/>
              </w:tabs>
              <w:spacing w:line="171" w:lineRule="exact" w:before="0" w:after="0"/>
              <w:ind w:left="218" w:right="0" w:hanging="149"/>
              <w:jc w:val="left"/>
              <w:rPr>
                <w:sz w:val="15"/>
              </w:rPr>
            </w:pPr>
            <w:r>
              <w:rPr>
                <w:color w:val="231F20"/>
                <w:sz w:val="15"/>
              </w:rPr>
              <w:t>von</w:t>
            </w:r>
            <w:r>
              <w:rPr>
                <w:color w:val="231F20"/>
                <w:spacing w:val="3"/>
                <w:sz w:val="15"/>
              </w:rPr>
              <w:t> </w:t>
            </w:r>
            <w:r>
              <w:rPr>
                <w:color w:val="231F20"/>
                <w:sz w:val="15"/>
              </w:rPr>
              <w:t>Hippel-Lindau</w:t>
            </w:r>
            <w:r>
              <w:rPr>
                <w:color w:val="231F20"/>
                <w:spacing w:val="3"/>
                <w:sz w:val="15"/>
              </w:rPr>
              <w:t> </w:t>
            </w:r>
            <w:r>
              <w:rPr>
                <w:color w:val="231F20"/>
                <w:spacing w:val="-2"/>
                <w:sz w:val="15"/>
              </w:rPr>
              <w:t>disease</w:t>
            </w:r>
          </w:p>
        </w:tc>
      </w:tr>
    </w:tbl>
    <w:p>
      <w:pPr>
        <w:pStyle w:val="TableParagraph"/>
        <w:spacing w:after="0" w:line="171" w:lineRule="exact"/>
        <w:jc w:val="left"/>
        <w:rPr>
          <w:sz w:val="15"/>
        </w:rPr>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732" name="Group 732"/>
                <wp:cNvGraphicFramePr>
                  <a:graphicFrameLocks/>
                </wp:cNvGraphicFramePr>
                <a:graphic>
                  <a:graphicData uri="http://schemas.microsoft.com/office/word/2010/wordprocessingGroup">
                    <wpg:wgp>
                      <wpg:cNvPr id="732" name="Group 732"/>
                      <wpg:cNvGrpSpPr/>
                      <wpg:grpSpPr>
                        <a:xfrm>
                          <a:off x="0" y="0"/>
                          <a:ext cx="6185535" cy="170815"/>
                          <a:chExt cx="6185535" cy="170815"/>
                        </a:xfrm>
                      </wpg:grpSpPr>
                      <wps:wsp>
                        <wps:cNvPr id="733" name="Graphic 733"/>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34" name="Graphic 734"/>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35" name="Textbox 735"/>
                        <wps:cNvSpPr txBox="1"/>
                        <wps:spPr>
                          <a:xfrm>
                            <a:off x="0" y="0"/>
                            <a:ext cx="6185535" cy="170815"/>
                          </a:xfrm>
                          <a:prstGeom prst="rect">
                            <a:avLst/>
                          </a:prstGeom>
                        </wps:spPr>
                        <wps:txbx>
                          <w:txbxContent>
                            <w:p>
                              <w:pPr>
                                <w:spacing w:before="6"/>
                                <w:ind w:left="5915" w:right="-15" w:firstLine="0"/>
                                <w:jc w:val="left"/>
                                <w:rPr>
                                  <w:b/>
                                  <w:sz w:val="18"/>
                                </w:rPr>
                              </w:pPr>
                              <w:r>
                                <w:rPr>
                                  <w:b/>
                                  <w:color w:val="007431"/>
                                  <w:w w:val="105"/>
                                  <w:sz w:val="18"/>
                                </w:rPr>
                                <w:t>Chapter</w:t>
                              </w:r>
                              <w:r>
                                <w:rPr>
                                  <w:b/>
                                  <w:color w:val="007431"/>
                                  <w:spacing w:val="17"/>
                                  <w:w w:val="105"/>
                                  <w:sz w:val="18"/>
                                </w:rPr>
                                <w:t> </w:t>
                              </w:r>
                              <w:r>
                                <w:rPr>
                                  <w:b/>
                                  <w:color w:val="007431"/>
                                  <w:w w:val="105"/>
                                  <w:sz w:val="18"/>
                                </w:rPr>
                                <w:t>597</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Movement</w:t>
                              </w:r>
                              <w:r>
                                <w:rPr>
                                  <w:color w:val="231F20"/>
                                  <w:spacing w:val="12"/>
                                  <w:w w:val="105"/>
                                  <w:sz w:val="18"/>
                                </w:rPr>
                                <w:t> </w:t>
                              </w:r>
                              <w:r>
                                <w:rPr>
                                  <w:color w:val="231F20"/>
                                  <w:w w:val="105"/>
                                  <w:sz w:val="18"/>
                                </w:rPr>
                                <w:t>Disorders</w:t>
                              </w:r>
                              <w:r>
                                <w:rPr>
                                  <w:color w:val="231F20"/>
                                  <w:spacing w:val="47"/>
                                  <w:w w:val="105"/>
                                  <w:sz w:val="18"/>
                                </w:rPr>
                                <w:t>  </w:t>
                              </w:r>
                              <w:r>
                                <w:rPr>
                                  <w:b/>
                                  <w:color w:val="231F20"/>
                                  <w:spacing w:val="-4"/>
                                  <w:w w:val="105"/>
                                  <w:sz w:val="18"/>
                                </w:rPr>
                                <w:t>2885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19"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20" filled="false" stroked="false">
                  <v:textbox inset="0,0,0,0">
                    <w:txbxContent>
                      <w:p>
                        <w:pPr>
                          <w:spacing w:before="6"/>
                          <w:ind w:left="5915" w:right="-15" w:firstLine="0"/>
                          <w:jc w:val="left"/>
                          <w:rPr>
                            <w:b/>
                            <w:sz w:val="18"/>
                          </w:rPr>
                        </w:pPr>
                        <w:r>
                          <w:rPr>
                            <w:b/>
                            <w:color w:val="007431"/>
                            <w:w w:val="105"/>
                            <w:sz w:val="18"/>
                          </w:rPr>
                          <w:t>Chapter</w:t>
                        </w:r>
                        <w:r>
                          <w:rPr>
                            <w:b/>
                            <w:color w:val="007431"/>
                            <w:spacing w:val="17"/>
                            <w:w w:val="105"/>
                            <w:sz w:val="18"/>
                          </w:rPr>
                          <w:t> </w:t>
                        </w:r>
                        <w:r>
                          <w:rPr>
                            <w:b/>
                            <w:color w:val="007431"/>
                            <w:w w:val="105"/>
                            <w:sz w:val="18"/>
                          </w:rPr>
                          <w:t>597</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Movement</w:t>
                        </w:r>
                        <w:r>
                          <w:rPr>
                            <w:color w:val="231F20"/>
                            <w:spacing w:val="12"/>
                            <w:w w:val="105"/>
                            <w:sz w:val="18"/>
                          </w:rPr>
                          <w:t> </w:t>
                        </w:r>
                        <w:r>
                          <w:rPr>
                            <w:color w:val="231F20"/>
                            <w:w w:val="105"/>
                            <w:sz w:val="18"/>
                          </w:rPr>
                          <w:t>Disorders</w:t>
                        </w:r>
                        <w:r>
                          <w:rPr>
                            <w:color w:val="231F20"/>
                            <w:spacing w:val="47"/>
                            <w:w w:val="105"/>
                            <w:sz w:val="18"/>
                          </w:rPr>
                          <w:t>  </w:t>
                        </w:r>
                        <w:r>
                          <w:rPr>
                            <w:b/>
                            <w:color w:val="231F20"/>
                            <w:spacing w:val="-4"/>
                            <w:w w:val="105"/>
                            <w:sz w:val="18"/>
                          </w:rPr>
                          <w:t>2885</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225"/>
        <w:gridCol w:w="2636"/>
        <w:gridCol w:w="2599"/>
        <w:gridCol w:w="2134"/>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3</w:t>
            </w:r>
          </w:p>
        </w:tc>
        <w:tc>
          <w:tcPr>
            <w:tcW w:w="8594" w:type="dxa"/>
            <w:gridSpan w:val="4"/>
            <w:tcBorders>
              <w:left w:val="single" w:sz="8" w:space="0" w:color="FFFFFF"/>
            </w:tcBorders>
            <w:shd w:val="clear" w:color="auto" w:fill="231F20"/>
          </w:tcPr>
          <w:p>
            <w:pPr>
              <w:pStyle w:val="TableParagraph"/>
              <w:spacing w:before="89"/>
              <w:ind w:left="73"/>
              <w:rPr>
                <w:sz w:val="16"/>
              </w:rPr>
            </w:pPr>
            <w:r>
              <w:rPr>
                <w:color w:val="FFFFFF"/>
                <w:w w:val="105"/>
                <w:sz w:val="16"/>
              </w:rPr>
              <w:t>Treatable</w:t>
            </w:r>
            <w:r>
              <w:rPr>
                <w:color w:val="FFFFFF"/>
                <w:spacing w:val="3"/>
                <w:w w:val="105"/>
                <w:sz w:val="16"/>
              </w:rPr>
              <w:t> </w:t>
            </w:r>
            <w:r>
              <w:rPr>
                <w:color w:val="FFFFFF"/>
                <w:w w:val="105"/>
                <w:sz w:val="16"/>
              </w:rPr>
              <w:t>Causes</w:t>
            </w:r>
            <w:r>
              <w:rPr>
                <w:color w:val="FFFFFF"/>
                <w:spacing w:val="4"/>
                <w:w w:val="105"/>
                <w:sz w:val="16"/>
              </w:rPr>
              <w:t> </w:t>
            </w:r>
            <w:r>
              <w:rPr>
                <w:color w:val="FFFFFF"/>
                <w:w w:val="105"/>
                <w:sz w:val="16"/>
              </w:rPr>
              <w:t>of</w:t>
            </w:r>
            <w:r>
              <w:rPr>
                <w:color w:val="FFFFFF"/>
                <w:spacing w:val="4"/>
                <w:w w:val="105"/>
                <w:sz w:val="16"/>
              </w:rPr>
              <w:t> </w:t>
            </w:r>
            <w:r>
              <w:rPr>
                <w:color w:val="FFFFFF"/>
                <w:w w:val="105"/>
                <w:sz w:val="16"/>
              </w:rPr>
              <w:t>Inherited</w:t>
            </w:r>
            <w:r>
              <w:rPr>
                <w:color w:val="FFFFFF"/>
                <w:spacing w:val="4"/>
                <w:w w:val="105"/>
                <w:sz w:val="16"/>
              </w:rPr>
              <w:t> </w:t>
            </w:r>
            <w:r>
              <w:rPr>
                <w:color w:val="FFFFFF"/>
                <w:spacing w:val="-2"/>
                <w:w w:val="105"/>
                <w:sz w:val="16"/>
              </w:rPr>
              <w:t>Ataxia</w:t>
            </w:r>
          </w:p>
        </w:tc>
      </w:tr>
      <w:tr>
        <w:trPr>
          <w:trHeight w:val="425" w:hRule="atLeast"/>
        </w:trPr>
        <w:tc>
          <w:tcPr>
            <w:tcW w:w="2373" w:type="dxa"/>
            <w:gridSpan w:val="2"/>
            <w:tcBorders>
              <w:bottom w:val="single" w:sz="4" w:space="0" w:color="231F20"/>
            </w:tcBorders>
            <w:shd w:val="clear" w:color="auto" w:fill="E8F5F1"/>
          </w:tcPr>
          <w:p>
            <w:pPr>
              <w:pStyle w:val="TableParagraph"/>
              <w:spacing w:before="41"/>
              <w:rPr>
                <w:sz w:val="15"/>
              </w:rPr>
            </w:pPr>
          </w:p>
          <w:p>
            <w:pPr>
              <w:pStyle w:val="TableParagraph"/>
              <w:ind w:left="74"/>
              <w:rPr>
                <w:b/>
                <w:sz w:val="15"/>
              </w:rPr>
            </w:pPr>
            <w:r>
              <w:rPr>
                <w:b/>
                <w:color w:val="231F20"/>
                <w:spacing w:val="-2"/>
                <w:w w:val="110"/>
                <w:sz w:val="15"/>
              </w:rPr>
              <w:t>DISORDER</w:t>
            </w:r>
          </w:p>
        </w:tc>
        <w:tc>
          <w:tcPr>
            <w:tcW w:w="2636" w:type="dxa"/>
            <w:tcBorders>
              <w:bottom w:val="single" w:sz="4" w:space="0" w:color="231F20"/>
            </w:tcBorders>
            <w:shd w:val="clear" w:color="auto" w:fill="E8F5F1"/>
          </w:tcPr>
          <w:p>
            <w:pPr>
              <w:pStyle w:val="TableParagraph"/>
              <w:spacing w:before="41"/>
              <w:rPr>
                <w:sz w:val="15"/>
              </w:rPr>
            </w:pPr>
          </w:p>
          <w:p>
            <w:pPr>
              <w:pStyle w:val="TableParagraph"/>
              <w:ind w:left="297"/>
              <w:rPr>
                <w:b/>
                <w:sz w:val="15"/>
              </w:rPr>
            </w:pPr>
            <w:r>
              <w:rPr>
                <w:b/>
                <w:color w:val="231F20"/>
                <w:w w:val="110"/>
                <w:sz w:val="15"/>
              </w:rPr>
              <w:t>METABOLIC</w:t>
            </w:r>
            <w:r>
              <w:rPr>
                <w:b/>
                <w:color w:val="231F20"/>
                <w:spacing w:val="2"/>
                <w:w w:val="110"/>
                <w:sz w:val="15"/>
              </w:rPr>
              <w:t> </w:t>
            </w:r>
            <w:r>
              <w:rPr>
                <w:b/>
                <w:color w:val="231F20"/>
                <w:spacing w:val="-2"/>
                <w:w w:val="110"/>
                <w:sz w:val="15"/>
              </w:rPr>
              <w:t>ABNORMALITY</w:t>
            </w:r>
          </w:p>
        </w:tc>
        <w:tc>
          <w:tcPr>
            <w:tcW w:w="2599" w:type="dxa"/>
            <w:tcBorders>
              <w:bottom w:val="single" w:sz="4" w:space="0" w:color="231F20"/>
            </w:tcBorders>
            <w:shd w:val="clear" w:color="auto" w:fill="E8F5F1"/>
          </w:tcPr>
          <w:p>
            <w:pPr>
              <w:pStyle w:val="TableParagraph"/>
              <w:spacing w:line="230" w:lineRule="auto" w:before="53"/>
              <w:ind w:left="915" w:hanging="610"/>
              <w:rPr>
                <w:b/>
                <w:sz w:val="15"/>
              </w:rPr>
            </w:pPr>
            <w:r>
              <w:rPr>
                <w:b/>
                <w:color w:val="231F20"/>
                <w:w w:val="110"/>
                <w:sz w:val="15"/>
              </w:rPr>
              <w:t>DISTINGUISHING</w:t>
            </w:r>
            <w:r>
              <w:rPr>
                <w:b/>
                <w:color w:val="231F20"/>
                <w:spacing w:val="-13"/>
                <w:w w:val="110"/>
                <w:sz w:val="15"/>
              </w:rPr>
              <w:t> </w:t>
            </w:r>
            <w:r>
              <w:rPr>
                <w:b/>
                <w:color w:val="231F20"/>
                <w:w w:val="110"/>
                <w:sz w:val="15"/>
              </w:rPr>
              <w:t>CLINICAL </w:t>
            </w:r>
            <w:r>
              <w:rPr>
                <w:b/>
                <w:color w:val="231F20"/>
                <w:spacing w:val="-2"/>
                <w:w w:val="110"/>
                <w:sz w:val="15"/>
              </w:rPr>
              <w:t>FEATURES</w:t>
            </w:r>
          </w:p>
        </w:tc>
        <w:tc>
          <w:tcPr>
            <w:tcW w:w="2134" w:type="dxa"/>
            <w:tcBorders>
              <w:bottom w:val="single" w:sz="4" w:space="0" w:color="231F20"/>
            </w:tcBorders>
            <w:shd w:val="clear" w:color="auto" w:fill="E8F5F1"/>
          </w:tcPr>
          <w:p>
            <w:pPr>
              <w:pStyle w:val="TableParagraph"/>
              <w:spacing w:before="41"/>
              <w:rPr>
                <w:sz w:val="15"/>
              </w:rPr>
            </w:pPr>
          </w:p>
          <w:p>
            <w:pPr>
              <w:pStyle w:val="TableParagraph"/>
              <w:ind w:left="676"/>
              <w:rPr>
                <w:b/>
                <w:sz w:val="15"/>
              </w:rPr>
            </w:pPr>
            <w:r>
              <w:rPr>
                <w:b/>
                <w:color w:val="231F20"/>
                <w:spacing w:val="-2"/>
                <w:w w:val="110"/>
                <w:sz w:val="15"/>
              </w:rPr>
              <w:t>TREATMENT</w:t>
            </w:r>
          </w:p>
        </w:tc>
      </w:tr>
      <w:tr>
        <w:trPr>
          <w:trHeight w:val="425" w:hRule="atLeast"/>
        </w:trPr>
        <w:tc>
          <w:tcPr>
            <w:tcW w:w="2373" w:type="dxa"/>
            <w:gridSpan w:val="2"/>
            <w:tcBorders>
              <w:top w:val="single" w:sz="4" w:space="0" w:color="231F20"/>
              <w:bottom w:val="single" w:sz="4" w:space="0" w:color="FFFFFF"/>
            </w:tcBorders>
            <w:shd w:val="clear" w:color="auto" w:fill="E8F5F1"/>
          </w:tcPr>
          <w:p>
            <w:pPr>
              <w:pStyle w:val="TableParagraph"/>
              <w:spacing w:line="230" w:lineRule="auto" w:before="52"/>
              <w:ind w:left="186" w:hanging="112"/>
              <w:rPr>
                <w:sz w:val="15"/>
              </w:rPr>
            </w:pPr>
            <w:r>
              <w:rPr>
                <w:color w:val="231F20"/>
                <w:sz w:val="15"/>
              </w:rPr>
              <w:t>Acute</w:t>
            </w:r>
            <w:r>
              <w:rPr>
                <w:color w:val="231F20"/>
                <w:spacing w:val="-12"/>
                <w:sz w:val="15"/>
              </w:rPr>
              <w:t> </w:t>
            </w:r>
            <w:r>
              <w:rPr>
                <w:color w:val="231F20"/>
                <w:sz w:val="15"/>
              </w:rPr>
              <w:t>disseminated </w:t>
            </w:r>
            <w:r>
              <w:rPr>
                <w:color w:val="231F20"/>
                <w:spacing w:val="-2"/>
                <w:sz w:val="15"/>
              </w:rPr>
              <w:t>encephalomyelitis</w:t>
            </w:r>
          </w:p>
        </w:tc>
        <w:tc>
          <w:tcPr>
            <w:tcW w:w="2636" w:type="dxa"/>
            <w:tcBorders>
              <w:top w:val="single" w:sz="4" w:space="0" w:color="231F20"/>
              <w:bottom w:val="single" w:sz="4" w:space="0" w:color="FFFFFF"/>
            </w:tcBorders>
            <w:shd w:val="clear" w:color="auto" w:fill="E8F5F1"/>
          </w:tcPr>
          <w:p>
            <w:pPr>
              <w:pStyle w:val="TableParagraph"/>
              <w:spacing w:before="47"/>
              <w:ind w:left="210"/>
              <w:rPr>
                <w:sz w:val="15"/>
              </w:rPr>
            </w:pPr>
            <w:r>
              <w:rPr>
                <w:color w:val="231F20"/>
                <w:spacing w:val="-2"/>
                <w:sz w:val="15"/>
              </w:rPr>
              <w:t>Demyelination</w:t>
            </w:r>
          </w:p>
        </w:tc>
        <w:tc>
          <w:tcPr>
            <w:tcW w:w="2599" w:type="dxa"/>
            <w:tcBorders>
              <w:top w:val="single" w:sz="4" w:space="0" w:color="231F20"/>
              <w:bottom w:val="single" w:sz="4" w:space="0" w:color="FFFFFF"/>
            </w:tcBorders>
            <w:shd w:val="clear" w:color="auto" w:fill="E8F5F1"/>
          </w:tcPr>
          <w:p>
            <w:pPr>
              <w:pStyle w:val="TableParagraph"/>
              <w:spacing w:before="47"/>
              <w:ind w:left="210"/>
              <w:rPr>
                <w:sz w:val="15"/>
              </w:rPr>
            </w:pPr>
            <w:r>
              <w:rPr>
                <w:color w:val="231F20"/>
                <w:sz w:val="15"/>
              </w:rPr>
              <w:t>Positive</w:t>
            </w:r>
            <w:r>
              <w:rPr>
                <w:color w:val="231F20"/>
                <w:spacing w:val="4"/>
                <w:sz w:val="15"/>
              </w:rPr>
              <w:t> </w:t>
            </w:r>
            <w:r>
              <w:rPr>
                <w:color w:val="231F20"/>
                <w:sz w:val="15"/>
              </w:rPr>
              <w:t>MRI</w:t>
            </w:r>
            <w:r>
              <w:rPr>
                <w:color w:val="231F20"/>
                <w:spacing w:val="5"/>
                <w:sz w:val="15"/>
              </w:rPr>
              <w:t> </w:t>
            </w:r>
            <w:r>
              <w:rPr>
                <w:color w:val="231F20"/>
                <w:spacing w:val="-2"/>
                <w:sz w:val="15"/>
              </w:rPr>
              <w:t>findings</w:t>
            </w:r>
          </w:p>
        </w:tc>
        <w:tc>
          <w:tcPr>
            <w:tcW w:w="2134" w:type="dxa"/>
            <w:tcBorders>
              <w:top w:val="single" w:sz="4" w:space="0" w:color="231F20"/>
              <w:bottom w:val="single" w:sz="4" w:space="0" w:color="FFFFFF"/>
            </w:tcBorders>
            <w:shd w:val="clear" w:color="auto" w:fill="E8F5F1"/>
          </w:tcPr>
          <w:p>
            <w:pPr>
              <w:pStyle w:val="TableParagraph"/>
              <w:spacing w:before="47"/>
              <w:ind w:left="210"/>
              <w:rPr>
                <w:sz w:val="15"/>
              </w:rPr>
            </w:pPr>
            <w:r>
              <w:rPr>
                <w:color w:val="231F20"/>
                <w:sz w:val="15"/>
              </w:rPr>
              <w:t>Steroids,</w:t>
            </w:r>
            <w:r>
              <w:rPr>
                <w:color w:val="231F20"/>
                <w:spacing w:val="-10"/>
                <w:sz w:val="15"/>
              </w:rPr>
              <w:t> </w:t>
            </w:r>
            <w:r>
              <w:rPr>
                <w:color w:val="231F20"/>
                <w:sz w:val="15"/>
              </w:rPr>
              <w:t>IVIG,</w:t>
            </w:r>
            <w:r>
              <w:rPr>
                <w:color w:val="231F20"/>
                <w:spacing w:val="-10"/>
                <w:sz w:val="15"/>
              </w:rPr>
              <w:t> </w:t>
            </w:r>
            <w:r>
              <w:rPr>
                <w:color w:val="231F20"/>
                <w:spacing w:val="-2"/>
                <w:sz w:val="15"/>
              </w:rPr>
              <w:t>rituximab</w:t>
            </w:r>
          </w:p>
        </w:tc>
      </w:tr>
      <w:tr>
        <w:trPr>
          <w:trHeight w:val="422" w:hRule="atLeast"/>
        </w:trPr>
        <w:tc>
          <w:tcPr>
            <w:tcW w:w="2373" w:type="dxa"/>
            <w:gridSpan w:val="2"/>
            <w:tcBorders>
              <w:top w:val="single" w:sz="4" w:space="0" w:color="FFFFFF"/>
              <w:bottom w:val="single" w:sz="4" w:space="0" w:color="FFFFFF"/>
            </w:tcBorders>
            <w:shd w:val="clear" w:color="auto" w:fill="E8F5F1"/>
          </w:tcPr>
          <w:p>
            <w:pPr>
              <w:pStyle w:val="TableParagraph"/>
              <w:spacing w:line="230" w:lineRule="auto" w:before="48"/>
              <w:ind w:left="186" w:right="271" w:hanging="112"/>
              <w:rPr>
                <w:sz w:val="15"/>
              </w:rPr>
            </w:pPr>
            <w:r>
              <w:rPr>
                <w:color w:val="231F20"/>
                <w:spacing w:val="-2"/>
                <w:sz w:val="15"/>
              </w:rPr>
              <w:t>Ataxia</w:t>
            </w:r>
            <w:r>
              <w:rPr>
                <w:color w:val="231F20"/>
                <w:spacing w:val="-10"/>
                <w:sz w:val="15"/>
              </w:rPr>
              <w:t> </w:t>
            </w:r>
            <w:r>
              <w:rPr>
                <w:color w:val="231F20"/>
                <w:spacing w:val="-2"/>
                <w:sz w:val="15"/>
              </w:rPr>
              <w:t>with</w:t>
            </w:r>
            <w:r>
              <w:rPr>
                <w:color w:val="231F20"/>
                <w:spacing w:val="-9"/>
                <w:sz w:val="15"/>
              </w:rPr>
              <w:t> </w:t>
            </w:r>
            <w:r>
              <w:rPr>
                <w:color w:val="231F20"/>
                <w:spacing w:val="-2"/>
                <w:sz w:val="15"/>
              </w:rPr>
              <w:t>vitamin</w:t>
            </w:r>
            <w:r>
              <w:rPr>
                <w:color w:val="231F20"/>
                <w:spacing w:val="-9"/>
                <w:sz w:val="15"/>
              </w:rPr>
              <w:t> </w:t>
            </w:r>
            <w:r>
              <w:rPr>
                <w:color w:val="231F20"/>
                <w:spacing w:val="-2"/>
                <w:sz w:val="15"/>
              </w:rPr>
              <w:t>E deficiency</w:t>
            </w:r>
          </w:p>
        </w:tc>
        <w:tc>
          <w:tcPr>
            <w:tcW w:w="2636" w:type="dxa"/>
            <w:tcBorders>
              <w:top w:val="single" w:sz="4" w:space="0" w:color="FFFFFF"/>
              <w:bottom w:val="single" w:sz="4" w:space="0" w:color="FFFFFF"/>
            </w:tcBorders>
            <w:shd w:val="clear" w:color="auto" w:fill="E8F5F1"/>
          </w:tcPr>
          <w:p>
            <w:pPr>
              <w:pStyle w:val="TableParagraph"/>
              <w:spacing w:line="230" w:lineRule="auto" w:before="48"/>
              <w:ind w:left="322" w:right="261" w:hanging="112"/>
              <w:rPr>
                <w:sz w:val="15"/>
              </w:rPr>
            </w:pPr>
            <w:r>
              <w:rPr>
                <w:color w:val="231F20"/>
                <w:sz w:val="15"/>
              </w:rPr>
              <w:t>Mutation</w:t>
            </w:r>
            <w:r>
              <w:rPr>
                <w:color w:val="231F20"/>
                <w:spacing w:val="-12"/>
                <w:sz w:val="15"/>
              </w:rPr>
              <w:t> </w:t>
            </w:r>
            <w:r>
              <w:rPr>
                <w:color w:val="231F20"/>
                <w:sz w:val="15"/>
              </w:rPr>
              <w:t>in</w:t>
            </w:r>
            <w:r>
              <w:rPr>
                <w:color w:val="231F20"/>
                <w:spacing w:val="-11"/>
                <w:sz w:val="15"/>
              </w:rPr>
              <w:t> </w:t>
            </w:r>
            <w:r>
              <w:rPr>
                <w:rFonts w:ascii="Cambria" w:hAnsi="Cambria"/>
                <w:color w:val="231F20"/>
                <w:sz w:val="15"/>
              </w:rPr>
              <w:t>α</w:t>
            </w:r>
            <w:r>
              <w:rPr>
                <w:color w:val="231F20"/>
                <w:sz w:val="15"/>
              </w:rPr>
              <w:t>-</w:t>
            </w:r>
            <w:r>
              <w:rPr>
                <w:color w:val="231F20"/>
                <w:sz w:val="15"/>
              </w:rPr>
              <w:t>tocopherol transfer protein</w:t>
            </w:r>
          </w:p>
        </w:tc>
        <w:tc>
          <w:tcPr>
            <w:tcW w:w="2599"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w w:val="90"/>
                <w:sz w:val="15"/>
              </w:rPr>
              <w:t>Ataxia,</w:t>
            </w:r>
            <w:r>
              <w:rPr>
                <w:color w:val="231F20"/>
                <w:spacing w:val="13"/>
                <w:sz w:val="15"/>
              </w:rPr>
              <w:t> </w:t>
            </w:r>
            <w:r>
              <w:rPr>
                <w:color w:val="231F20"/>
                <w:w w:val="90"/>
                <w:sz w:val="15"/>
              </w:rPr>
              <w:t>areflexia,</w:t>
            </w:r>
            <w:r>
              <w:rPr>
                <w:color w:val="231F20"/>
                <w:spacing w:val="14"/>
                <w:sz w:val="15"/>
              </w:rPr>
              <w:t> </w:t>
            </w:r>
            <w:r>
              <w:rPr>
                <w:color w:val="231F20"/>
                <w:spacing w:val="-2"/>
                <w:w w:val="90"/>
                <w:sz w:val="15"/>
              </w:rPr>
              <w:t>retinopathy</w:t>
            </w:r>
          </w:p>
        </w:tc>
        <w:tc>
          <w:tcPr>
            <w:tcW w:w="2134"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4"/>
                <w:sz w:val="15"/>
              </w:rPr>
              <w:t>Vitamin</w:t>
            </w:r>
            <w:r>
              <w:rPr>
                <w:color w:val="231F20"/>
                <w:spacing w:val="3"/>
                <w:sz w:val="15"/>
              </w:rPr>
              <w:t> </w:t>
            </w:r>
            <w:r>
              <w:rPr>
                <w:color w:val="231F20"/>
                <w:spacing w:val="-10"/>
                <w:sz w:val="15"/>
              </w:rPr>
              <w:t>E</w:t>
            </w:r>
          </w:p>
        </w:tc>
      </w:tr>
      <w:tr>
        <w:trPr>
          <w:trHeight w:val="420" w:hRule="atLeast"/>
        </w:trPr>
        <w:tc>
          <w:tcPr>
            <w:tcW w:w="237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Bassen-Kornzweig</w:t>
            </w:r>
            <w:r>
              <w:rPr>
                <w:color w:val="231F20"/>
                <w:spacing w:val="12"/>
                <w:sz w:val="15"/>
              </w:rPr>
              <w:t> </w:t>
            </w:r>
            <w:r>
              <w:rPr>
                <w:color w:val="231F20"/>
                <w:spacing w:val="-2"/>
                <w:sz w:val="15"/>
              </w:rPr>
              <w:t>syndrome</w:t>
            </w:r>
          </w:p>
        </w:tc>
        <w:tc>
          <w:tcPr>
            <w:tcW w:w="2636"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2"/>
                <w:sz w:val="15"/>
              </w:rPr>
              <w:t>Abetalipoproteinemia</w:t>
            </w:r>
          </w:p>
        </w:tc>
        <w:tc>
          <w:tcPr>
            <w:tcW w:w="2599" w:type="dxa"/>
            <w:tcBorders>
              <w:top w:val="single" w:sz="4" w:space="0" w:color="FFFFFF"/>
              <w:bottom w:val="single" w:sz="4" w:space="0" w:color="FFFFFF"/>
            </w:tcBorders>
            <w:shd w:val="clear" w:color="auto" w:fill="E8F5F1"/>
          </w:tcPr>
          <w:p>
            <w:pPr>
              <w:pStyle w:val="TableParagraph"/>
              <w:spacing w:line="230" w:lineRule="auto" w:before="48"/>
              <w:ind w:left="322" w:right="213" w:hanging="112"/>
              <w:rPr>
                <w:sz w:val="15"/>
              </w:rPr>
            </w:pPr>
            <w:r>
              <w:rPr>
                <w:color w:val="231F20"/>
                <w:sz w:val="15"/>
              </w:rPr>
              <w:t>Acanthocytosis, retinitis pigmentosa,</w:t>
            </w:r>
            <w:r>
              <w:rPr>
                <w:color w:val="231F20"/>
                <w:spacing w:val="-12"/>
                <w:sz w:val="15"/>
              </w:rPr>
              <w:t> </w:t>
            </w:r>
            <w:r>
              <w:rPr>
                <w:color w:val="231F20"/>
                <w:sz w:val="15"/>
              </w:rPr>
              <w:t>fat</w:t>
            </w:r>
            <w:r>
              <w:rPr>
                <w:color w:val="231F20"/>
                <w:spacing w:val="-11"/>
                <w:sz w:val="15"/>
              </w:rPr>
              <w:t> </w:t>
            </w:r>
            <w:r>
              <w:rPr>
                <w:color w:val="231F20"/>
                <w:sz w:val="15"/>
              </w:rPr>
              <w:t>malabsorption</w:t>
            </w:r>
          </w:p>
        </w:tc>
        <w:tc>
          <w:tcPr>
            <w:tcW w:w="2134"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4"/>
                <w:sz w:val="15"/>
              </w:rPr>
              <w:t>Vitamin</w:t>
            </w:r>
            <w:r>
              <w:rPr>
                <w:color w:val="231F20"/>
                <w:spacing w:val="3"/>
                <w:sz w:val="15"/>
              </w:rPr>
              <w:t> </w:t>
            </w:r>
            <w:r>
              <w:rPr>
                <w:color w:val="231F20"/>
                <w:spacing w:val="-10"/>
                <w:sz w:val="15"/>
              </w:rPr>
              <w:t>E</w:t>
            </w:r>
          </w:p>
        </w:tc>
      </w:tr>
      <w:tr>
        <w:trPr>
          <w:trHeight w:val="252" w:hRule="atLeast"/>
        </w:trPr>
        <w:tc>
          <w:tcPr>
            <w:tcW w:w="237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Hartnup</w:t>
            </w:r>
            <w:r>
              <w:rPr>
                <w:color w:val="231F20"/>
                <w:spacing w:val="-5"/>
                <w:sz w:val="15"/>
              </w:rPr>
              <w:t> </w:t>
            </w:r>
            <w:r>
              <w:rPr>
                <w:color w:val="231F20"/>
                <w:spacing w:val="-2"/>
                <w:sz w:val="15"/>
              </w:rPr>
              <w:t>disease</w:t>
            </w:r>
          </w:p>
        </w:tc>
        <w:tc>
          <w:tcPr>
            <w:tcW w:w="2636"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z w:val="15"/>
              </w:rPr>
              <w:t>Tryptophan</w:t>
            </w:r>
            <w:r>
              <w:rPr>
                <w:color w:val="231F20"/>
                <w:spacing w:val="-7"/>
                <w:sz w:val="15"/>
              </w:rPr>
              <w:t> </w:t>
            </w:r>
            <w:r>
              <w:rPr>
                <w:color w:val="231F20"/>
                <w:spacing w:val="-2"/>
                <w:sz w:val="15"/>
              </w:rPr>
              <w:t>malabsorption</w:t>
            </w:r>
          </w:p>
        </w:tc>
        <w:tc>
          <w:tcPr>
            <w:tcW w:w="2599"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4"/>
                <w:sz w:val="15"/>
              </w:rPr>
              <w:t>Pellagra</w:t>
            </w:r>
            <w:r>
              <w:rPr>
                <w:color w:val="231F20"/>
                <w:spacing w:val="3"/>
                <w:sz w:val="15"/>
              </w:rPr>
              <w:t> </w:t>
            </w:r>
            <w:r>
              <w:rPr>
                <w:color w:val="231F20"/>
                <w:spacing w:val="-4"/>
                <w:sz w:val="15"/>
              </w:rPr>
              <w:t>rash,</w:t>
            </w:r>
            <w:r>
              <w:rPr>
                <w:color w:val="231F20"/>
                <w:spacing w:val="3"/>
                <w:sz w:val="15"/>
              </w:rPr>
              <w:t> </w:t>
            </w:r>
            <w:r>
              <w:rPr>
                <w:color w:val="231F20"/>
                <w:spacing w:val="-4"/>
                <w:sz w:val="15"/>
              </w:rPr>
              <w:t>intermittent</w:t>
            </w:r>
            <w:r>
              <w:rPr>
                <w:color w:val="231F20"/>
                <w:spacing w:val="4"/>
                <w:sz w:val="15"/>
              </w:rPr>
              <w:t> </w:t>
            </w:r>
            <w:r>
              <w:rPr>
                <w:color w:val="231F20"/>
                <w:spacing w:val="-4"/>
                <w:sz w:val="15"/>
              </w:rPr>
              <w:t>ataxia</w:t>
            </w:r>
          </w:p>
        </w:tc>
        <w:tc>
          <w:tcPr>
            <w:tcW w:w="2134"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2"/>
                <w:sz w:val="15"/>
              </w:rPr>
              <w:t>Niacin</w:t>
            </w:r>
          </w:p>
        </w:tc>
      </w:tr>
      <w:tr>
        <w:trPr>
          <w:trHeight w:val="588" w:hRule="atLeast"/>
        </w:trPr>
        <w:tc>
          <w:tcPr>
            <w:tcW w:w="2373" w:type="dxa"/>
            <w:gridSpan w:val="2"/>
            <w:tcBorders>
              <w:top w:val="single" w:sz="4" w:space="0" w:color="FFFFFF"/>
              <w:bottom w:val="single" w:sz="4" w:space="0" w:color="FFFFFF"/>
            </w:tcBorders>
            <w:shd w:val="clear" w:color="auto" w:fill="E8F5F1"/>
          </w:tcPr>
          <w:p>
            <w:pPr>
              <w:pStyle w:val="TableParagraph"/>
              <w:spacing w:line="230" w:lineRule="auto" w:before="48"/>
              <w:ind w:left="186" w:right="271" w:hanging="112"/>
              <w:rPr>
                <w:sz w:val="15"/>
              </w:rPr>
            </w:pPr>
            <w:r>
              <w:rPr>
                <w:color w:val="231F20"/>
                <w:spacing w:val="-2"/>
                <w:sz w:val="15"/>
              </w:rPr>
              <w:t>Familial</w:t>
            </w:r>
            <w:r>
              <w:rPr>
                <w:color w:val="231F20"/>
                <w:spacing w:val="-7"/>
                <w:sz w:val="15"/>
              </w:rPr>
              <w:t> </w:t>
            </w:r>
            <w:r>
              <w:rPr>
                <w:color w:val="231F20"/>
                <w:spacing w:val="-2"/>
                <w:sz w:val="15"/>
              </w:rPr>
              <w:t>episodic</w:t>
            </w:r>
            <w:r>
              <w:rPr>
                <w:color w:val="231F20"/>
                <w:spacing w:val="-7"/>
                <w:sz w:val="15"/>
              </w:rPr>
              <w:t> </w:t>
            </w:r>
            <w:r>
              <w:rPr>
                <w:color w:val="231F20"/>
                <w:spacing w:val="-2"/>
                <w:sz w:val="15"/>
              </w:rPr>
              <w:t>ataxia</w:t>
            </w:r>
            <w:r>
              <w:rPr>
                <w:color w:val="231F20"/>
                <w:spacing w:val="-7"/>
                <w:sz w:val="15"/>
              </w:rPr>
              <w:t> </w:t>
            </w:r>
            <w:r>
              <w:rPr>
                <w:color w:val="231F20"/>
                <w:spacing w:val="-2"/>
                <w:sz w:val="15"/>
              </w:rPr>
              <w:t>type</w:t>
            </w:r>
            <w:r>
              <w:rPr>
                <w:color w:val="231F20"/>
                <w:spacing w:val="-7"/>
                <w:sz w:val="15"/>
              </w:rPr>
              <w:t> </w:t>
            </w:r>
            <w:r>
              <w:rPr>
                <w:color w:val="231F20"/>
                <w:spacing w:val="-2"/>
                <w:sz w:val="15"/>
              </w:rPr>
              <w:t>1 </w:t>
            </w:r>
            <w:r>
              <w:rPr>
                <w:color w:val="231F20"/>
                <w:sz w:val="15"/>
              </w:rPr>
              <w:t>and type 2</w:t>
            </w:r>
          </w:p>
        </w:tc>
        <w:tc>
          <w:tcPr>
            <w:tcW w:w="2636" w:type="dxa"/>
            <w:tcBorders>
              <w:top w:val="single" w:sz="4" w:space="0" w:color="FFFFFF"/>
              <w:bottom w:val="single" w:sz="4" w:space="0" w:color="FFFFFF"/>
            </w:tcBorders>
            <w:shd w:val="clear" w:color="auto" w:fill="E8F5F1"/>
          </w:tcPr>
          <w:p>
            <w:pPr>
              <w:pStyle w:val="TableParagraph"/>
              <w:spacing w:line="230" w:lineRule="auto" w:before="48"/>
              <w:ind w:left="322" w:hanging="112"/>
              <w:rPr>
                <w:sz w:val="15"/>
              </w:rPr>
            </w:pPr>
            <w:r>
              <w:rPr>
                <w:color w:val="231F20"/>
                <w:sz w:val="15"/>
              </w:rPr>
              <w:t>Mutations in potassium channel (KCNA1) and </w:t>
            </w:r>
            <w:r>
              <w:rPr>
                <w:rFonts w:ascii="Cambria" w:hAnsi="Cambria"/>
                <w:color w:val="231F20"/>
                <w:sz w:val="15"/>
              </w:rPr>
              <w:t>α</w:t>
            </w:r>
            <w:r>
              <w:rPr>
                <w:color w:val="231F20"/>
                <w:sz w:val="15"/>
                <w:vertAlign w:val="subscript"/>
              </w:rPr>
              <w:t>1A</w:t>
            </w:r>
            <w:r>
              <w:rPr>
                <w:color w:val="231F20"/>
                <w:sz w:val="15"/>
                <w:vertAlign w:val="baseline"/>
              </w:rPr>
              <w:t> voltage-</w:t>
            </w:r>
            <w:r>
              <w:rPr>
                <w:color w:val="231F20"/>
                <w:sz w:val="15"/>
                <w:vertAlign w:val="baseline"/>
              </w:rPr>
              <w:t>gated calcium channel, respectively</w:t>
            </w:r>
          </w:p>
        </w:tc>
        <w:tc>
          <w:tcPr>
            <w:tcW w:w="2599" w:type="dxa"/>
            <w:tcBorders>
              <w:top w:val="single" w:sz="4" w:space="0" w:color="FFFFFF"/>
              <w:bottom w:val="single" w:sz="4" w:space="0" w:color="FFFFFF"/>
            </w:tcBorders>
            <w:shd w:val="clear" w:color="auto" w:fill="E8F5F1"/>
          </w:tcPr>
          <w:p>
            <w:pPr>
              <w:pStyle w:val="TableParagraph"/>
              <w:spacing w:line="230" w:lineRule="auto" w:before="48"/>
              <w:ind w:left="323" w:hanging="112"/>
              <w:rPr>
                <w:sz w:val="15"/>
              </w:rPr>
            </w:pPr>
            <w:r>
              <w:rPr>
                <w:color w:val="231F20"/>
                <w:sz w:val="15"/>
              </w:rPr>
              <w:t>Episodic attacks, worse with pregnancy</w:t>
            </w:r>
            <w:r>
              <w:rPr>
                <w:color w:val="231F20"/>
                <w:spacing w:val="-12"/>
                <w:sz w:val="15"/>
              </w:rPr>
              <w:t> </w:t>
            </w:r>
            <w:r>
              <w:rPr>
                <w:color w:val="231F20"/>
                <w:sz w:val="15"/>
              </w:rPr>
              <w:t>or</w:t>
            </w:r>
            <w:r>
              <w:rPr>
                <w:color w:val="231F20"/>
                <w:spacing w:val="-11"/>
                <w:sz w:val="15"/>
              </w:rPr>
              <w:t> </w:t>
            </w:r>
            <w:r>
              <w:rPr>
                <w:color w:val="231F20"/>
                <w:sz w:val="15"/>
              </w:rPr>
              <w:t>birth</w:t>
            </w:r>
            <w:r>
              <w:rPr>
                <w:color w:val="231F20"/>
                <w:spacing w:val="-11"/>
                <w:sz w:val="15"/>
              </w:rPr>
              <w:t> </w:t>
            </w:r>
            <w:r>
              <w:rPr>
                <w:color w:val="231F20"/>
                <w:sz w:val="15"/>
              </w:rPr>
              <w:t>control</w:t>
            </w:r>
            <w:r>
              <w:rPr>
                <w:color w:val="231F20"/>
                <w:spacing w:val="-12"/>
                <w:sz w:val="15"/>
              </w:rPr>
              <w:t> </w:t>
            </w:r>
            <w:r>
              <w:rPr>
                <w:color w:val="231F20"/>
                <w:sz w:val="15"/>
              </w:rPr>
              <w:t>pills</w:t>
            </w:r>
          </w:p>
        </w:tc>
        <w:tc>
          <w:tcPr>
            <w:tcW w:w="2134"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2"/>
                <w:sz w:val="15"/>
              </w:rPr>
              <w:t>Acetazolamide</w:t>
            </w:r>
          </w:p>
        </w:tc>
      </w:tr>
      <w:tr>
        <w:trPr>
          <w:trHeight w:val="420" w:hRule="atLeast"/>
        </w:trPr>
        <w:tc>
          <w:tcPr>
            <w:tcW w:w="237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Multiple</w:t>
            </w:r>
            <w:r>
              <w:rPr>
                <w:color w:val="231F20"/>
                <w:spacing w:val="-7"/>
                <w:sz w:val="15"/>
              </w:rPr>
              <w:t> </w:t>
            </w:r>
            <w:r>
              <w:rPr>
                <w:color w:val="231F20"/>
                <w:sz w:val="15"/>
              </w:rPr>
              <w:t>carboxylase</w:t>
            </w:r>
            <w:r>
              <w:rPr>
                <w:color w:val="231F20"/>
                <w:spacing w:val="-7"/>
                <w:sz w:val="15"/>
              </w:rPr>
              <w:t> </w:t>
            </w:r>
            <w:r>
              <w:rPr>
                <w:color w:val="231F20"/>
                <w:spacing w:val="-2"/>
                <w:sz w:val="15"/>
              </w:rPr>
              <w:t>deficiency</w:t>
            </w:r>
          </w:p>
        </w:tc>
        <w:tc>
          <w:tcPr>
            <w:tcW w:w="2636" w:type="dxa"/>
            <w:tcBorders>
              <w:top w:val="single" w:sz="4" w:space="0" w:color="FFFFFF"/>
              <w:bottom w:val="single" w:sz="4" w:space="0" w:color="FFFFFF"/>
            </w:tcBorders>
            <w:shd w:val="clear" w:color="auto" w:fill="E8F5F1"/>
          </w:tcPr>
          <w:p>
            <w:pPr>
              <w:pStyle w:val="TableParagraph"/>
              <w:spacing w:before="42"/>
              <w:ind w:left="211"/>
              <w:rPr>
                <w:sz w:val="15"/>
              </w:rPr>
            </w:pPr>
            <w:r>
              <w:rPr>
                <w:color w:val="231F20"/>
                <w:sz w:val="15"/>
              </w:rPr>
              <w:t>Biotinidase</w:t>
            </w:r>
            <w:r>
              <w:rPr>
                <w:color w:val="231F20"/>
                <w:spacing w:val="-7"/>
                <w:sz w:val="15"/>
              </w:rPr>
              <w:t> </w:t>
            </w:r>
            <w:r>
              <w:rPr>
                <w:color w:val="231F20"/>
                <w:spacing w:val="-2"/>
                <w:sz w:val="15"/>
              </w:rPr>
              <w:t>deficiency</w:t>
            </w:r>
          </w:p>
        </w:tc>
        <w:tc>
          <w:tcPr>
            <w:tcW w:w="2599" w:type="dxa"/>
            <w:tcBorders>
              <w:top w:val="single" w:sz="4" w:space="0" w:color="FFFFFF"/>
              <w:bottom w:val="single" w:sz="4" w:space="0" w:color="FFFFFF"/>
            </w:tcBorders>
            <w:shd w:val="clear" w:color="auto" w:fill="E8F5F1"/>
          </w:tcPr>
          <w:p>
            <w:pPr>
              <w:pStyle w:val="TableParagraph"/>
              <w:spacing w:line="230" w:lineRule="auto" w:before="48"/>
              <w:ind w:left="323" w:hanging="112"/>
              <w:rPr>
                <w:sz w:val="15"/>
              </w:rPr>
            </w:pPr>
            <w:r>
              <w:rPr>
                <w:color w:val="231F20"/>
                <w:spacing w:val="-4"/>
                <w:sz w:val="15"/>
              </w:rPr>
              <w:t>Alopecia, recurrent </w:t>
            </w:r>
            <w:r>
              <w:rPr>
                <w:color w:val="231F20"/>
                <w:spacing w:val="-4"/>
                <w:sz w:val="15"/>
              </w:rPr>
              <w:t>infections, </w:t>
            </w:r>
            <w:r>
              <w:rPr>
                <w:color w:val="231F20"/>
                <w:sz w:val="15"/>
              </w:rPr>
              <w:t>variable organic aciduria</w:t>
            </w:r>
          </w:p>
        </w:tc>
        <w:tc>
          <w:tcPr>
            <w:tcW w:w="2134"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2"/>
                <w:sz w:val="15"/>
              </w:rPr>
              <w:t>Biotin</w:t>
            </w:r>
          </w:p>
        </w:tc>
      </w:tr>
      <w:tr>
        <w:trPr>
          <w:trHeight w:val="420" w:hRule="atLeast"/>
        </w:trPr>
        <w:tc>
          <w:tcPr>
            <w:tcW w:w="237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Mitochondrial</w:t>
            </w:r>
            <w:r>
              <w:rPr>
                <w:color w:val="231F20"/>
                <w:spacing w:val="1"/>
                <w:sz w:val="15"/>
              </w:rPr>
              <w:t> </w:t>
            </w:r>
            <w:r>
              <w:rPr>
                <w:color w:val="231F20"/>
                <w:sz w:val="15"/>
              </w:rPr>
              <w:t>complex</w:t>
            </w:r>
            <w:r>
              <w:rPr>
                <w:color w:val="231F20"/>
                <w:spacing w:val="1"/>
                <w:sz w:val="15"/>
              </w:rPr>
              <w:t> </w:t>
            </w:r>
            <w:r>
              <w:rPr>
                <w:color w:val="231F20"/>
                <w:spacing w:val="-2"/>
                <w:sz w:val="15"/>
              </w:rPr>
              <w:t>defects</w:t>
            </w:r>
          </w:p>
        </w:tc>
        <w:tc>
          <w:tcPr>
            <w:tcW w:w="2636" w:type="dxa"/>
            <w:tcBorders>
              <w:top w:val="single" w:sz="4" w:space="0" w:color="FFFFFF"/>
              <w:bottom w:val="single" w:sz="4" w:space="0" w:color="FFFFFF"/>
            </w:tcBorders>
            <w:shd w:val="clear" w:color="auto" w:fill="E8F5F1"/>
          </w:tcPr>
          <w:p>
            <w:pPr>
              <w:pStyle w:val="TableParagraph"/>
              <w:spacing w:before="42"/>
              <w:ind w:left="211"/>
              <w:rPr>
                <w:sz w:val="15"/>
              </w:rPr>
            </w:pPr>
            <w:r>
              <w:rPr>
                <w:color w:val="231F20"/>
                <w:sz w:val="15"/>
              </w:rPr>
              <w:t>Complexes</w:t>
            </w:r>
            <w:r>
              <w:rPr>
                <w:color w:val="231F20"/>
                <w:spacing w:val="-7"/>
                <w:sz w:val="15"/>
              </w:rPr>
              <w:t> </w:t>
            </w:r>
            <w:r>
              <w:rPr>
                <w:color w:val="231F20"/>
                <w:sz w:val="15"/>
              </w:rPr>
              <w:t>I,</w:t>
            </w:r>
            <w:r>
              <w:rPr>
                <w:color w:val="231F20"/>
                <w:spacing w:val="-7"/>
                <w:sz w:val="15"/>
              </w:rPr>
              <w:t> </w:t>
            </w:r>
            <w:r>
              <w:rPr>
                <w:color w:val="231F20"/>
                <w:sz w:val="15"/>
              </w:rPr>
              <w:t>III,</w:t>
            </w:r>
            <w:r>
              <w:rPr>
                <w:color w:val="231F20"/>
                <w:spacing w:val="-6"/>
                <w:sz w:val="15"/>
              </w:rPr>
              <w:t> </w:t>
            </w:r>
            <w:r>
              <w:rPr>
                <w:color w:val="231F20"/>
                <w:spacing w:val="-5"/>
                <w:sz w:val="15"/>
              </w:rPr>
              <w:t>IV</w:t>
            </w:r>
          </w:p>
        </w:tc>
        <w:tc>
          <w:tcPr>
            <w:tcW w:w="2599" w:type="dxa"/>
            <w:tcBorders>
              <w:top w:val="single" w:sz="4" w:space="0" w:color="FFFFFF"/>
              <w:bottom w:val="single" w:sz="4" w:space="0" w:color="FFFFFF"/>
            </w:tcBorders>
            <w:shd w:val="clear" w:color="auto" w:fill="E8F5F1"/>
          </w:tcPr>
          <w:p>
            <w:pPr>
              <w:pStyle w:val="TableParagraph"/>
              <w:spacing w:before="42"/>
              <w:ind w:left="211"/>
              <w:rPr>
                <w:sz w:val="15"/>
              </w:rPr>
            </w:pPr>
            <w:r>
              <w:rPr>
                <w:color w:val="231F20"/>
                <w:spacing w:val="-2"/>
                <w:sz w:val="15"/>
              </w:rPr>
              <w:t>Encephalomyelopathy</w:t>
            </w:r>
          </w:p>
        </w:tc>
        <w:tc>
          <w:tcPr>
            <w:tcW w:w="2134" w:type="dxa"/>
            <w:tcBorders>
              <w:top w:val="single" w:sz="4" w:space="0" w:color="FFFFFF"/>
              <w:bottom w:val="single" w:sz="4" w:space="0" w:color="FFFFFF"/>
            </w:tcBorders>
            <w:shd w:val="clear" w:color="auto" w:fill="E8F5F1"/>
          </w:tcPr>
          <w:p>
            <w:pPr>
              <w:pStyle w:val="TableParagraph"/>
              <w:spacing w:line="230" w:lineRule="auto" w:before="48"/>
              <w:ind w:left="322" w:right="125" w:hanging="112"/>
              <w:rPr>
                <w:sz w:val="15"/>
              </w:rPr>
            </w:pPr>
            <w:r>
              <w:rPr>
                <w:color w:val="231F20"/>
                <w:sz w:val="15"/>
              </w:rPr>
              <w:t>Possibly</w:t>
            </w:r>
            <w:r>
              <w:rPr>
                <w:color w:val="231F20"/>
                <w:spacing w:val="-12"/>
                <w:sz w:val="15"/>
              </w:rPr>
              <w:t> </w:t>
            </w:r>
            <w:r>
              <w:rPr>
                <w:color w:val="231F20"/>
                <w:sz w:val="15"/>
              </w:rPr>
              <w:t>riboflavin,</w:t>
            </w:r>
            <w:r>
              <w:rPr>
                <w:color w:val="231F20"/>
                <w:spacing w:val="-11"/>
                <w:sz w:val="15"/>
              </w:rPr>
              <w:t> </w:t>
            </w:r>
            <w:r>
              <w:rPr>
                <w:color w:val="231F20"/>
                <w:sz w:val="15"/>
              </w:rPr>
              <w:t>CoQ10, </w:t>
            </w:r>
            <w:r>
              <w:rPr>
                <w:color w:val="231F20"/>
                <w:spacing w:val="-2"/>
                <w:sz w:val="15"/>
              </w:rPr>
              <w:t>dichloroacetate</w:t>
            </w:r>
          </w:p>
        </w:tc>
      </w:tr>
      <w:tr>
        <w:trPr>
          <w:trHeight w:val="420" w:hRule="atLeast"/>
        </w:trPr>
        <w:tc>
          <w:tcPr>
            <w:tcW w:w="2373" w:type="dxa"/>
            <w:gridSpan w:val="2"/>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2"/>
                <w:sz w:val="15"/>
              </w:rPr>
              <w:t>Opsoclonus-myoclonus-</w:t>
            </w:r>
            <w:r>
              <w:rPr>
                <w:color w:val="231F20"/>
                <w:spacing w:val="-2"/>
                <w:sz w:val="15"/>
              </w:rPr>
              <w:t>ataxia syndrome</w:t>
            </w:r>
          </w:p>
        </w:tc>
        <w:tc>
          <w:tcPr>
            <w:tcW w:w="2636" w:type="dxa"/>
            <w:tcBorders>
              <w:top w:val="single" w:sz="4" w:space="0" w:color="FFFFFF"/>
              <w:bottom w:val="single" w:sz="4" w:space="0" w:color="FFFFFF"/>
            </w:tcBorders>
            <w:shd w:val="clear" w:color="auto" w:fill="E8F5F1"/>
          </w:tcPr>
          <w:p>
            <w:pPr>
              <w:pStyle w:val="TableParagraph"/>
              <w:spacing w:line="230" w:lineRule="auto" w:before="48"/>
              <w:ind w:left="323" w:hanging="112"/>
              <w:rPr>
                <w:sz w:val="15"/>
              </w:rPr>
            </w:pPr>
            <w:r>
              <w:rPr>
                <w:color w:val="231F20"/>
                <w:sz w:val="15"/>
              </w:rPr>
              <w:t>Paraneoplastic</w:t>
            </w:r>
            <w:r>
              <w:rPr>
                <w:color w:val="231F20"/>
                <w:spacing w:val="-12"/>
                <w:sz w:val="15"/>
              </w:rPr>
              <w:t> </w:t>
            </w:r>
            <w:r>
              <w:rPr>
                <w:color w:val="231F20"/>
                <w:sz w:val="15"/>
              </w:rPr>
              <w:t>or</w:t>
            </w:r>
            <w:r>
              <w:rPr>
                <w:color w:val="231F20"/>
                <w:spacing w:val="-11"/>
                <w:sz w:val="15"/>
              </w:rPr>
              <w:t> </w:t>
            </w:r>
            <w:r>
              <w:rPr>
                <w:color w:val="231F20"/>
                <w:sz w:val="15"/>
              </w:rPr>
              <w:t>spontaneous </w:t>
            </w:r>
            <w:r>
              <w:rPr>
                <w:color w:val="231F20"/>
                <w:spacing w:val="-2"/>
                <w:sz w:val="15"/>
              </w:rPr>
              <w:t>autoimmune</w:t>
            </w:r>
          </w:p>
        </w:tc>
        <w:tc>
          <w:tcPr>
            <w:tcW w:w="2599" w:type="dxa"/>
            <w:tcBorders>
              <w:top w:val="single" w:sz="4" w:space="0" w:color="FFFFFF"/>
              <w:bottom w:val="single" w:sz="4" w:space="0" w:color="FFFFFF"/>
            </w:tcBorders>
            <w:shd w:val="clear" w:color="auto" w:fill="E8F5F1"/>
          </w:tcPr>
          <w:p>
            <w:pPr>
              <w:pStyle w:val="TableParagraph"/>
              <w:spacing w:line="230" w:lineRule="auto" w:before="48"/>
              <w:ind w:left="323" w:right="431" w:hanging="112"/>
              <w:rPr>
                <w:sz w:val="15"/>
              </w:rPr>
            </w:pPr>
            <w:r>
              <w:rPr>
                <w:color w:val="231F20"/>
                <w:sz w:val="15"/>
              </w:rPr>
              <w:t>Underlying</w:t>
            </w:r>
            <w:r>
              <w:rPr>
                <w:color w:val="231F20"/>
                <w:spacing w:val="-12"/>
                <w:sz w:val="15"/>
              </w:rPr>
              <w:t> </w:t>
            </w:r>
            <w:r>
              <w:rPr>
                <w:color w:val="231F20"/>
                <w:sz w:val="15"/>
              </w:rPr>
              <w:t>neuroblastoma</w:t>
            </w:r>
            <w:r>
              <w:rPr>
                <w:color w:val="231F20"/>
                <w:spacing w:val="-11"/>
                <w:sz w:val="15"/>
              </w:rPr>
              <w:t> </w:t>
            </w:r>
            <w:r>
              <w:rPr>
                <w:color w:val="231F20"/>
                <w:sz w:val="15"/>
              </w:rPr>
              <w:t>or </w:t>
            </w:r>
            <w:r>
              <w:rPr>
                <w:color w:val="231F20"/>
                <w:spacing w:val="-2"/>
                <w:sz w:val="15"/>
              </w:rPr>
              <w:t>autoantibodies</w:t>
            </w:r>
          </w:p>
        </w:tc>
        <w:tc>
          <w:tcPr>
            <w:tcW w:w="2134"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z w:val="15"/>
              </w:rPr>
              <w:t>Steroids,</w:t>
            </w:r>
            <w:r>
              <w:rPr>
                <w:color w:val="231F20"/>
                <w:spacing w:val="-10"/>
                <w:sz w:val="15"/>
              </w:rPr>
              <w:t> </w:t>
            </w:r>
            <w:r>
              <w:rPr>
                <w:color w:val="231F20"/>
                <w:sz w:val="15"/>
              </w:rPr>
              <w:t>IVIG,</w:t>
            </w:r>
            <w:r>
              <w:rPr>
                <w:color w:val="231F20"/>
                <w:spacing w:val="-10"/>
                <w:sz w:val="15"/>
              </w:rPr>
              <w:t> </w:t>
            </w:r>
            <w:r>
              <w:rPr>
                <w:color w:val="231F20"/>
                <w:spacing w:val="-2"/>
                <w:sz w:val="15"/>
              </w:rPr>
              <w:t>rituximab</w:t>
            </w:r>
          </w:p>
        </w:tc>
      </w:tr>
      <w:tr>
        <w:trPr>
          <w:trHeight w:val="420" w:hRule="atLeast"/>
        </w:trPr>
        <w:tc>
          <w:tcPr>
            <w:tcW w:w="2373" w:type="dxa"/>
            <w:gridSpan w:val="2"/>
            <w:tcBorders>
              <w:top w:val="single" w:sz="4" w:space="0" w:color="FFFFFF"/>
              <w:bottom w:val="single" w:sz="4" w:space="0" w:color="FFFFFF"/>
            </w:tcBorders>
            <w:shd w:val="clear" w:color="auto" w:fill="E8F5F1"/>
          </w:tcPr>
          <w:p>
            <w:pPr>
              <w:pStyle w:val="TableParagraph"/>
              <w:spacing w:line="230" w:lineRule="auto" w:before="48"/>
              <w:ind w:left="186" w:right="271" w:hanging="112"/>
              <w:rPr>
                <w:sz w:val="15"/>
              </w:rPr>
            </w:pPr>
            <w:r>
              <w:rPr>
                <w:color w:val="231F20"/>
                <w:sz w:val="15"/>
              </w:rPr>
              <w:t>Pyruvate</w:t>
            </w:r>
            <w:r>
              <w:rPr>
                <w:color w:val="231F20"/>
                <w:spacing w:val="-12"/>
                <w:sz w:val="15"/>
              </w:rPr>
              <w:t> </w:t>
            </w:r>
            <w:r>
              <w:rPr>
                <w:color w:val="231F20"/>
                <w:sz w:val="15"/>
              </w:rPr>
              <w:t>dehydrogenase </w:t>
            </w:r>
            <w:r>
              <w:rPr>
                <w:color w:val="231F20"/>
                <w:spacing w:val="-2"/>
                <w:sz w:val="15"/>
              </w:rPr>
              <w:t>deficiency</w:t>
            </w:r>
          </w:p>
        </w:tc>
        <w:tc>
          <w:tcPr>
            <w:tcW w:w="2636" w:type="dxa"/>
            <w:tcBorders>
              <w:top w:val="single" w:sz="4" w:space="0" w:color="FFFFFF"/>
              <w:bottom w:val="single" w:sz="4" w:space="0" w:color="FFFFFF"/>
            </w:tcBorders>
            <w:shd w:val="clear" w:color="auto" w:fill="E8F5F1"/>
          </w:tcPr>
          <w:p>
            <w:pPr>
              <w:pStyle w:val="TableParagraph"/>
              <w:spacing w:line="230" w:lineRule="auto" w:before="48"/>
              <w:ind w:left="323" w:hanging="112"/>
              <w:rPr>
                <w:sz w:val="15"/>
              </w:rPr>
            </w:pPr>
            <w:r>
              <w:rPr>
                <w:color w:val="231F20"/>
                <w:sz w:val="15"/>
              </w:rPr>
              <w:t>Block</w:t>
            </w:r>
            <w:r>
              <w:rPr>
                <w:color w:val="231F20"/>
                <w:spacing w:val="-2"/>
                <w:sz w:val="15"/>
              </w:rPr>
              <w:t> </w:t>
            </w:r>
            <w:r>
              <w:rPr>
                <w:color w:val="231F20"/>
                <w:sz w:val="15"/>
              </w:rPr>
              <w:t>in</w:t>
            </w:r>
            <w:r>
              <w:rPr>
                <w:color w:val="231F20"/>
                <w:spacing w:val="-2"/>
                <w:sz w:val="15"/>
              </w:rPr>
              <w:t> </w:t>
            </w:r>
            <w:r>
              <w:rPr>
                <w:color w:val="231F20"/>
                <w:sz w:val="15"/>
              </w:rPr>
              <w:t>E-M</w:t>
            </w:r>
            <w:r>
              <w:rPr>
                <w:color w:val="231F20"/>
                <w:spacing w:val="-2"/>
                <w:sz w:val="15"/>
              </w:rPr>
              <w:t> </w:t>
            </w:r>
            <w:r>
              <w:rPr>
                <w:color w:val="231F20"/>
                <w:sz w:val="15"/>
              </w:rPr>
              <w:t>and</w:t>
            </w:r>
            <w:r>
              <w:rPr>
                <w:color w:val="231F20"/>
                <w:spacing w:val="-2"/>
                <w:sz w:val="15"/>
              </w:rPr>
              <w:t> </w:t>
            </w:r>
            <w:r>
              <w:rPr>
                <w:color w:val="231F20"/>
                <w:sz w:val="15"/>
              </w:rPr>
              <w:t>Krebs</w:t>
            </w:r>
            <w:r>
              <w:rPr>
                <w:color w:val="231F20"/>
                <w:spacing w:val="-2"/>
                <w:sz w:val="15"/>
              </w:rPr>
              <w:t> </w:t>
            </w:r>
            <w:r>
              <w:rPr>
                <w:color w:val="231F20"/>
                <w:sz w:val="15"/>
              </w:rPr>
              <w:t>cycle </w:t>
            </w:r>
            <w:r>
              <w:rPr>
                <w:color w:val="231F20"/>
                <w:spacing w:val="-2"/>
                <w:sz w:val="15"/>
              </w:rPr>
              <w:t>interface</w:t>
            </w:r>
          </w:p>
        </w:tc>
        <w:tc>
          <w:tcPr>
            <w:tcW w:w="2599" w:type="dxa"/>
            <w:tcBorders>
              <w:top w:val="single" w:sz="4" w:space="0" w:color="FFFFFF"/>
              <w:bottom w:val="single" w:sz="4" w:space="0" w:color="FFFFFF"/>
            </w:tcBorders>
            <w:shd w:val="clear" w:color="auto" w:fill="E8F5F1"/>
          </w:tcPr>
          <w:p>
            <w:pPr>
              <w:pStyle w:val="TableParagraph"/>
              <w:spacing w:before="42"/>
              <w:ind w:left="211"/>
              <w:rPr>
                <w:sz w:val="15"/>
              </w:rPr>
            </w:pPr>
            <w:r>
              <w:rPr>
                <w:color w:val="231F20"/>
                <w:spacing w:val="-2"/>
                <w:sz w:val="15"/>
              </w:rPr>
              <w:t>Lactic</w:t>
            </w:r>
            <w:r>
              <w:rPr>
                <w:color w:val="231F20"/>
                <w:spacing w:val="-5"/>
                <w:sz w:val="15"/>
              </w:rPr>
              <w:t> </w:t>
            </w:r>
            <w:r>
              <w:rPr>
                <w:color w:val="231F20"/>
                <w:spacing w:val="-2"/>
                <w:sz w:val="15"/>
              </w:rPr>
              <w:t>acidosis,</w:t>
            </w:r>
            <w:r>
              <w:rPr>
                <w:color w:val="231F20"/>
                <w:spacing w:val="-5"/>
                <w:sz w:val="15"/>
              </w:rPr>
              <w:t> </w:t>
            </w:r>
            <w:r>
              <w:rPr>
                <w:color w:val="231F20"/>
                <w:spacing w:val="-2"/>
                <w:sz w:val="15"/>
              </w:rPr>
              <w:t>ataxia</w:t>
            </w:r>
          </w:p>
        </w:tc>
        <w:tc>
          <w:tcPr>
            <w:tcW w:w="2134" w:type="dxa"/>
            <w:tcBorders>
              <w:top w:val="single" w:sz="4" w:space="0" w:color="FFFFFF"/>
              <w:bottom w:val="single" w:sz="4" w:space="0" w:color="FFFFFF"/>
            </w:tcBorders>
            <w:shd w:val="clear" w:color="auto" w:fill="E8F5F1"/>
          </w:tcPr>
          <w:p>
            <w:pPr>
              <w:pStyle w:val="TableParagraph"/>
              <w:spacing w:line="230" w:lineRule="auto" w:before="48"/>
              <w:ind w:left="322" w:hanging="112"/>
              <w:rPr>
                <w:sz w:val="15"/>
              </w:rPr>
            </w:pPr>
            <w:r>
              <w:rPr>
                <w:color w:val="231F20"/>
                <w:sz w:val="15"/>
              </w:rPr>
              <w:t>Ketogenic</w:t>
            </w:r>
            <w:r>
              <w:rPr>
                <w:color w:val="231F20"/>
                <w:spacing w:val="-12"/>
                <w:sz w:val="15"/>
              </w:rPr>
              <w:t> </w:t>
            </w:r>
            <w:r>
              <w:rPr>
                <w:color w:val="231F20"/>
                <w:sz w:val="15"/>
              </w:rPr>
              <w:t>diet,</w:t>
            </w:r>
            <w:r>
              <w:rPr>
                <w:color w:val="231F20"/>
                <w:spacing w:val="-11"/>
                <w:sz w:val="15"/>
              </w:rPr>
              <w:t> </w:t>
            </w:r>
            <w:r>
              <w:rPr>
                <w:color w:val="231F20"/>
                <w:sz w:val="15"/>
              </w:rPr>
              <w:t>possibly </w:t>
            </w:r>
            <w:r>
              <w:rPr>
                <w:color w:val="231F20"/>
                <w:spacing w:val="-2"/>
                <w:sz w:val="15"/>
              </w:rPr>
              <w:t>dichloroacetate</w:t>
            </w:r>
          </w:p>
        </w:tc>
      </w:tr>
      <w:tr>
        <w:trPr>
          <w:trHeight w:val="588" w:hRule="atLeast"/>
        </w:trPr>
        <w:tc>
          <w:tcPr>
            <w:tcW w:w="237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Refsum</w:t>
            </w:r>
            <w:r>
              <w:rPr>
                <w:color w:val="231F20"/>
                <w:spacing w:val="-4"/>
                <w:sz w:val="15"/>
              </w:rPr>
              <w:t> </w:t>
            </w:r>
            <w:r>
              <w:rPr>
                <w:color w:val="231F20"/>
                <w:spacing w:val="-2"/>
                <w:sz w:val="15"/>
              </w:rPr>
              <w:t>disease</w:t>
            </w:r>
          </w:p>
        </w:tc>
        <w:tc>
          <w:tcPr>
            <w:tcW w:w="2636" w:type="dxa"/>
            <w:tcBorders>
              <w:top w:val="single" w:sz="4" w:space="0" w:color="FFFFFF"/>
              <w:bottom w:val="single" w:sz="4" w:space="0" w:color="FFFFFF"/>
            </w:tcBorders>
            <w:shd w:val="clear" w:color="auto" w:fill="E8F5F1"/>
          </w:tcPr>
          <w:p>
            <w:pPr>
              <w:pStyle w:val="TableParagraph"/>
              <w:spacing w:before="43"/>
              <w:ind w:left="211"/>
              <w:rPr>
                <w:sz w:val="15"/>
              </w:rPr>
            </w:pPr>
            <w:r>
              <w:rPr>
                <w:color w:val="231F20"/>
                <w:spacing w:val="-2"/>
                <w:sz w:val="15"/>
              </w:rPr>
              <w:t>Phytanic</w:t>
            </w:r>
            <w:r>
              <w:rPr>
                <w:color w:val="231F20"/>
                <w:spacing w:val="-3"/>
                <w:sz w:val="15"/>
              </w:rPr>
              <w:t> </w:t>
            </w:r>
            <w:r>
              <w:rPr>
                <w:color w:val="231F20"/>
                <w:spacing w:val="-2"/>
                <w:sz w:val="15"/>
              </w:rPr>
              <w:t>acid, </w:t>
            </w:r>
            <w:r>
              <w:rPr>
                <w:rFonts w:ascii="Cambria" w:hAnsi="Cambria"/>
                <w:color w:val="231F20"/>
                <w:spacing w:val="-2"/>
                <w:sz w:val="15"/>
              </w:rPr>
              <w:t>α</w:t>
            </w:r>
            <w:r>
              <w:rPr>
                <w:color w:val="231F20"/>
                <w:spacing w:val="-2"/>
                <w:sz w:val="15"/>
              </w:rPr>
              <w:t>-hydroxylase</w:t>
            </w:r>
          </w:p>
        </w:tc>
        <w:tc>
          <w:tcPr>
            <w:tcW w:w="2599" w:type="dxa"/>
            <w:tcBorders>
              <w:top w:val="single" w:sz="4" w:space="0" w:color="FFFFFF"/>
              <w:bottom w:val="single" w:sz="4" w:space="0" w:color="FFFFFF"/>
            </w:tcBorders>
            <w:shd w:val="clear" w:color="auto" w:fill="E8F5F1"/>
          </w:tcPr>
          <w:p>
            <w:pPr>
              <w:pStyle w:val="TableParagraph"/>
              <w:spacing w:line="230" w:lineRule="auto" w:before="48"/>
              <w:ind w:left="323" w:hanging="112"/>
              <w:rPr>
                <w:sz w:val="15"/>
              </w:rPr>
            </w:pPr>
            <w:r>
              <w:rPr>
                <w:color w:val="231F20"/>
                <w:sz w:val="15"/>
              </w:rPr>
              <w:t>Retinitis pigmentosa, </w:t>
            </w:r>
            <w:r>
              <w:rPr>
                <w:color w:val="231F20"/>
                <w:spacing w:val="-2"/>
                <w:sz w:val="15"/>
              </w:rPr>
              <w:t>cardiomyopathy,</w:t>
            </w:r>
            <w:r>
              <w:rPr>
                <w:color w:val="231F20"/>
                <w:spacing w:val="-10"/>
                <w:sz w:val="15"/>
              </w:rPr>
              <w:t> </w:t>
            </w:r>
            <w:r>
              <w:rPr>
                <w:color w:val="231F20"/>
                <w:spacing w:val="-2"/>
                <w:sz w:val="15"/>
              </w:rPr>
              <w:t>hypertrophic </w:t>
            </w:r>
            <w:r>
              <w:rPr>
                <w:color w:val="231F20"/>
                <w:sz w:val="15"/>
              </w:rPr>
              <w:t>neuropathy, ichthyosis</w:t>
            </w:r>
          </w:p>
        </w:tc>
        <w:tc>
          <w:tcPr>
            <w:tcW w:w="2134" w:type="dxa"/>
            <w:tcBorders>
              <w:top w:val="single" w:sz="4" w:space="0" w:color="FFFFFF"/>
              <w:bottom w:val="single" w:sz="4" w:space="0" w:color="FFFFFF"/>
            </w:tcBorders>
            <w:shd w:val="clear" w:color="auto" w:fill="E8F5F1"/>
          </w:tcPr>
          <w:p>
            <w:pPr>
              <w:pStyle w:val="TableParagraph"/>
              <w:spacing w:line="230" w:lineRule="auto" w:before="48"/>
              <w:ind w:left="322" w:right="125" w:hanging="112"/>
              <w:rPr>
                <w:sz w:val="15"/>
              </w:rPr>
            </w:pPr>
            <w:r>
              <w:rPr>
                <w:color w:val="231F20"/>
                <w:spacing w:val="-4"/>
                <w:sz w:val="15"/>
              </w:rPr>
              <w:t>Dietary</w:t>
            </w:r>
            <w:r>
              <w:rPr>
                <w:color w:val="231F20"/>
                <w:spacing w:val="-5"/>
                <w:sz w:val="15"/>
              </w:rPr>
              <w:t> </w:t>
            </w:r>
            <w:r>
              <w:rPr>
                <w:color w:val="231F20"/>
                <w:spacing w:val="-4"/>
                <w:sz w:val="15"/>
              </w:rPr>
              <w:t>restriction</w:t>
            </w:r>
            <w:r>
              <w:rPr>
                <w:color w:val="231F20"/>
                <w:spacing w:val="-5"/>
                <w:sz w:val="15"/>
              </w:rPr>
              <w:t> </w:t>
            </w:r>
            <w:r>
              <w:rPr>
                <w:color w:val="231F20"/>
                <w:spacing w:val="-4"/>
                <w:sz w:val="15"/>
              </w:rPr>
              <w:t>of </w:t>
            </w:r>
            <w:r>
              <w:rPr>
                <w:color w:val="231F20"/>
                <w:sz w:val="15"/>
              </w:rPr>
              <w:t>phytanic acid</w:t>
            </w:r>
          </w:p>
        </w:tc>
      </w:tr>
      <w:tr>
        <w:trPr>
          <w:trHeight w:val="415" w:hRule="atLeast"/>
        </w:trPr>
        <w:tc>
          <w:tcPr>
            <w:tcW w:w="2373"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Urea</w:t>
            </w:r>
            <w:r>
              <w:rPr>
                <w:color w:val="231F20"/>
                <w:spacing w:val="-11"/>
                <w:sz w:val="15"/>
              </w:rPr>
              <w:t> </w:t>
            </w:r>
            <w:r>
              <w:rPr>
                <w:color w:val="231F20"/>
                <w:sz w:val="15"/>
              </w:rPr>
              <w:t>cycle</w:t>
            </w:r>
            <w:r>
              <w:rPr>
                <w:color w:val="231F20"/>
                <w:spacing w:val="-11"/>
                <w:sz w:val="15"/>
              </w:rPr>
              <w:t> </w:t>
            </w:r>
            <w:r>
              <w:rPr>
                <w:color w:val="231F20"/>
                <w:spacing w:val="-2"/>
                <w:sz w:val="15"/>
              </w:rPr>
              <w:t>defects</w:t>
            </w:r>
          </w:p>
        </w:tc>
        <w:tc>
          <w:tcPr>
            <w:tcW w:w="2636" w:type="dxa"/>
            <w:tcBorders>
              <w:top w:val="single" w:sz="4" w:space="0" w:color="FFFFFF"/>
              <w:bottom w:val="single" w:sz="8" w:space="0" w:color="231F20"/>
            </w:tcBorders>
            <w:shd w:val="clear" w:color="auto" w:fill="E8F5F1"/>
          </w:tcPr>
          <w:p>
            <w:pPr>
              <w:pStyle w:val="TableParagraph"/>
              <w:spacing w:before="42"/>
              <w:ind w:left="211"/>
              <w:rPr>
                <w:sz w:val="15"/>
              </w:rPr>
            </w:pPr>
            <w:r>
              <w:rPr>
                <w:color w:val="231F20"/>
                <w:sz w:val="15"/>
              </w:rPr>
              <w:t>Urea</w:t>
            </w:r>
            <w:r>
              <w:rPr>
                <w:color w:val="231F20"/>
                <w:spacing w:val="-11"/>
                <w:sz w:val="15"/>
              </w:rPr>
              <w:t> </w:t>
            </w:r>
            <w:r>
              <w:rPr>
                <w:color w:val="231F20"/>
                <w:sz w:val="15"/>
              </w:rPr>
              <w:t>cycle</w:t>
            </w:r>
            <w:r>
              <w:rPr>
                <w:color w:val="231F20"/>
                <w:spacing w:val="-11"/>
                <w:sz w:val="15"/>
              </w:rPr>
              <w:t> </w:t>
            </w:r>
            <w:r>
              <w:rPr>
                <w:color w:val="231F20"/>
                <w:spacing w:val="-2"/>
                <w:sz w:val="15"/>
              </w:rPr>
              <w:t>enzymes</w:t>
            </w:r>
          </w:p>
        </w:tc>
        <w:tc>
          <w:tcPr>
            <w:tcW w:w="2599" w:type="dxa"/>
            <w:tcBorders>
              <w:top w:val="single" w:sz="4" w:space="0" w:color="FFFFFF"/>
              <w:bottom w:val="single" w:sz="8" w:space="0" w:color="231F20"/>
            </w:tcBorders>
            <w:shd w:val="clear" w:color="auto" w:fill="E8F5F1"/>
          </w:tcPr>
          <w:p>
            <w:pPr>
              <w:pStyle w:val="TableParagraph"/>
              <w:spacing w:before="42"/>
              <w:ind w:left="211"/>
              <w:rPr>
                <w:sz w:val="15"/>
              </w:rPr>
            </w:pPr>
            <w:r>
              <w:rPr>
                <w:color w:val="231F20"/>
                <w:spacing w:val="-2"/>
                <w:sz w:val="15"/>
              </w:rPr>
              <w:t>Hyperammonemia</w:t>
            </w:r>
          </w:p>
        </w:tc>
        <w:tc>
          <w:tcPr>
            <w:tcW w:w="2134" w:type="dxa"/>
            <w:tcBorders>
              <w:top w:val="single" w:sz="4" w:space="0" w:color="FFFFFF"/>
              <w:bottom w:val="single" w:sz="8" w:space="0" w:color="231F20"/>
            </w:tcBorders>
            <w:shd w:val="clear" w:color="auto" w:fill="E8F5F1"/>
          </w:tcPr>
          <w:p>
            <w:pPr>
              <w:pStyle w:val="TableParagraph"/>
              <w:spacing w:line="230" w:lineRule="auto" w:before="48"/>
              <w:ind w:left="322" w:hanging="112"/>
              <w:rPr>
                <w:sz w:val="15"/>
              </w:rPr>
            </w:pPr>
            <w:r>
              <w:rPr>
                <w:color w:val="231F20"/>
                <w:spacing w:val="-4"/>
                <w:sz w:val="15"/>
              </w:rPr>
              <w:t>Protein</w:t>
            </w:r>
            <w:r>
              <w:rPr>
                <w:color w:val="231F20"/>
                <w:spacing w:val="-7"/>
                <w:sz w:val="15"/>
              </w:rPr>
              <w:t> </w:t>
            </w:r>
            <w:r>
              <w:rPr>
                <w:color w:val="231F20"/>
                <w:spacing w:val="-4"/>
                <w:sz w:val="15"/>
              </w:rPr>
              <w:t>restriction,</w:t>
            </w:r>
            <w:r>
              <w:rPr>
                <w:color w:val="231F20"/>
                <w:spacing w:val="-7"/>
                <w:sz w:val="15"/>
              </w:rPr>
              <w:t> </w:t>
            </w:r>
            <w:r>
              <w:rPr>
                <w:color w:val="231F20"/>
                <w:spacing w:val="-4"/>
                <w:sz w:val="15"/>
              </w:rPr>
              <w:t>arginine, </w:t>
            </w:r>
            <w:r>
              <w:rPr>
                <w:color w:val="231F20"/>
                <w:sz w:val="15"/>
              </w:rPr>
              <w:t>benzoate, </w:t>
            </w:r>
            <w:r>
              <w:rPr>
                <w:rFonts w:ascii="Cambria" w:hAnsi="Cambria"/>
                <w:color w:val="231F20"/>
                <w:sz w:val="15"/>
              </w:rPr>
              <w:t>α</w:t>
            </w:r>
            <w:r>
              <w:rPr>
                <w:color w:val="231F20"/>
                <w:sz w:val="15"/>
              </w:rPr>
              <w:t>-ketoacids</w:t>
            </w:r>
          </w:p>
        </w:tc>
      </w:tr>
    </w:tbl>
    <w:p>
      <w:pPr>
        <w:pStyle w:val="BodyText"/>
        <w:spacing w:line="150" w:lineRule="exact" w:before="81"/>
        <w:ind w:left="822"/>
      </w:pPr>
      <w:r>
        <w:rPr>
          <w:color w:val="231F20"/>
        </w:rPr>
        <w:t>CoQ10,</w:t>
      </w:r>
      <w:r>
        <w:rPr>
          <w:color w:val="231F20"/>
          <w:spacing w:val="-1"/>
        </w:rPr>
        <w:t> </w:t>
      </w:r>
      <w:r>
        <w:rPr>
          <w:color w:val="231F20"/>
        </w:rPr>
        <w:t>Coenzyme Q10; E-M, mitochondrial electron transport; IVIG, intravenous </w:t>
      </w:r>
      <w:r>
        <w:rPr>
          <w:color w:val="231F20"/>
          <w:spacing w:val="-2"/>
        </w:rPr>
        <w:t>immunoglobulin.</w:t>
      </w:r>
    </w:p>
    <w:p>
      <w:pPr>
        <w:spacing w:before="0"/>
        <w:ind w:left="822" w:right="0" w:firstLine="130"/>
        <w:jc w:val="left"/>
        <w:rPr>
          <w:i/>
          <w:sz w:val="13"/>
        </w:rPr>
      </w:pPr>
      <w:r>
        <w:rPr>
          <w:i/>
          <w:color w:val="231F20"/>
          <w:sz w:val="13"/>
        </w:rPr>
        <w:t>Modified</w:t>
      </w:r>
      <w:r>
        <w:rPr>
          <w:i/>
          <w:color w:val="231F20"/>
          <w:spacing w:val="-5"/>
          <w:sz w:val="13"/>
        </w:rPr>
        <w:t> </w:t>
      </w:r>
      <w:r>
        <w:rPr>
          <w:i/>
          <w:color w:val="231F20"/>
          <w:sz w:val="13"/>
        </w:rPr>
        <w:t>from</w:t>
      </w:r>
      <w:r>
        <w:rPr>
          <w:i/>
          <w:color w:val="231F20"/>
          <w:spacing w:val="-5"/>
          <w:sz w:val="13"/>
        </w:rPr>
        <w:t> </w:t>
      </w:r>
      <w:r>
        <w:rPr>
          <w:i/>
          <w:color w:val="231F20"/>
          <w:sz w:val="13"/>
        </w:rPr>
        <w:t>Stumpf</w:t>
      </w:r>
      <w:r>
        <w:rPr>
          <w:i/>
          <w:color w:val="231F20"/>
          <w:spacing w:val="-5"/>
          <w:sz w:val="13"/>
        </w:rPr>
        <w:t> </w:t>
      </w:r>
      <w:r>
        <w:rPr>
          <w:i/>
          <w:color w:val="231F20"/>
          <w:sz w:val="13"/>
        </w:rPr>
        <w:t>DA:</w:t>
      </w:r>
      <w:r>
        <w:rPr>
          <w:i/>
          <w:color w:val="231F20"/>
          <w:spacing w:val="-5"/>
          <w:sz w:val="13"/>
        </w:rPr>
        <w:t> </w:t>
      </w:r>
      <w:r>
        <w:rPr>
          <w:i/>
          <w:color w:val="231F20"/>
          <w:sz w:val="13"/>
        </w:rPr>
        <w:t>The</w:t>
      </w:r>
      <w:r>
        <w:rPr>
          <w:i/>
          <w:color w:val="231F20"/>
          <w:spacing w:val="-5"/>
          <w:sz w:val="13"/>
        </w:rPr>
        <w:t> </w:t>
      </w:r>
      <w:r>
        <w:rPr>
          <w:i/>
          <w:color w:val="231F20"/>
          <w:sz w:val="13"/>
        </w:rPr>
        <w:t>inherited</w:t>
      </w:r>
      <w:r>
        <w:rPr>
          <w:i/>
          <w:color w:val="231F20"/>
          <w:spacing w:val="-5"/>
          <w:sz w:val="13"/>
        </w:rPr>
        <w:t> </w:t>
      </w:r>
      <w:r>
        <w:rPr>
          <w:i/>
          <w:color w:val="231F20"/>
          <w:sz w:val="13"/>
        </w:rPr>
        <w:t>ataxias.</w:t>
      </w:r>
      <w:r>
        <w:rPr>
          <w:i/>
          <w:color w:val="231F20"/>
          <w:spacing w:val="-5"/>
          <w:sz w:val="13"/>
        </w:rPr>
        <w:t> </w:t>
      </w:r>
      <w:r>
        <w:rPr>
          <w:color w:val="231F20"/>
          <w:sz w:val="13"/>
        </w:rPr>
        <w:t>Pediatr</w:t>
      </w:r>
      <w:r>
        <w:rPr>
          <w:color w:val="231F20"/>
          <w:spacing w:val="-5"/>
          <w:sz w:val="13"/>
        </w:rPr>
        <w:t> </w:t>
      </w:r>
      <w:r>
        <w:rPr>
          <w:color w:val="231F20"/>
          <w:sz w:val="13"/>
        </w:rPr>
        <w:t>Neurol</w:t>
      </w:r>
      <w:r>
        <w:rPr>
          <w:color w:val="231F20"/>
          <w:spacing w:val="-5"/>
          <w:sz w:val="13"/>
        </w:rPr>
        <w:t> </w:t>
      </w:r>
      <w:r>
        <w:rPr>
          <w:i/>
          <w:color w:val="231F20"/>
          <w:sz w:val="13"/>
        </w:rPr>
        <w:t>1:129-133,</w:t>
      </w:r>
      <w:r>
        <w:rPr>
          <w:i/>
          <w:color w:val="231F20"/>
          <w:spacing w:val="-5"/>
          <w:sz w:val="13"/>
        </w:rPr>
        <w:t> </w:t>
      </w:r>
      <w:r>
        <w:rPr>
          <w:i/>
          <w:color w:val="231F20"/>
          <w:sz w:val="13"/>
        </w:rPr>
        <w:t>1985,</w:t>
      </w:r>
      <w:r>
        <w:rPr>
          <w:i/>
          <w:color w:val="231F20"/>
          <w:spacing w:val="-5"/>
          <w:sz w:val="13"/>
        </w:rPr>
        <w:t> </w:t>
      </w:r>
      <w:r>
        <w:rPr>
          <w:i/>
          <w:color w:val="231F20"/>
          <w:sz w:val="13"/>
        </w:rPr>
        <w:t>Table</w:t>
      </w:r>
      <w:r>
        <w:rPr>
          <w:i/>
          <w:color w:val="231F20"/>
          <w:spacing w:val="-5"/>
          <w:sz w:val="13"/>
        </w:rPr>
        <w:t> </w:t>
      </w:r>
      <w:r>
        <w:rPr>
          <w:i/>
          <w:color w:val="231F20"/>
          <w:sz w:val="13"/>
        </w:rPr>
        <w:t>1;</w:t>
      </w:r>
      <w:r>
        <w:rPr>
          <w:i/>
          <w:color w:val="231F20"/>
          <w:spacing w:val="-5"/>
          <w:sz w:val="13"/>
        </w:rPr>
        <w:t> </w:t>
      </w:r>
      <w:r>
        <w:rPr>
          <w:i/>
          <w:color w:val="231F20"/>
          <w:sz w:val="13"/>
        </w:rPr>
        <w:t>and</w:t>
      </w:r>
      <w:r>
        <w:rPr>
          <w:i/>
          <w:color w:val="231F20"/>
          <w:spacing w:val="-5"/>
          <w:sz w:val="13"/>
        </w:rPr>
        <w:t> </w:t>
      </w:r>
      <w:r>
        <w:rPr>
          <w:i/>
          <w:color w:val="231F20"/>
          <w:sz w:val="13"/>
        </w:rPr>
        <w:t>from</w:t>
      </w:r>
      <w:r>
        <w:rPr>
          <w:i/>
          <w:color w:val="231F20"/>
          <w:spacing w:val="-5"/>
          <w:sz w:val="13"/>
        </w:rPr>
        <w:t> </w:t>
      </w:r>
      <w:r>
        <w:rPr>
          <w:i/>
          <w:color w:val="231F20"/>
          <w:sz w:val="13"/>
        </w:rPr>
        <w:t>Jafar-Nejad</w:t>
      </w:r>
      <w:r>
        <w:rPr>
          <w:i/>
          <w:color w:val="231F20"/>
          <w:spacing w:val="-5"/>
          <w:sz w:val="13"/>
        </w:rPr>
        <w:t> </w:t>
      </w:r>
      <w:r>
        <w:rPr>
          <w:i/>
          <w:color w:val="231F20"/>
          <w:sz w:val="13"/>
        </w:rPr>
        <w:t>P,</w:t>
      </w:r>
      <w:r>
        <w:rPr>
          <w:i/>
          <w:color w:val="231F20"/>
          <w:spacing w:val="-5"/>
          <w:sz w:val="13"/>
        </w:rPr>
        <w:t> </w:t>
      </w:r>
      <w:r>
        <w:rPr>
          <w:i/>
          <w:color w:val="231F20"/>
          <w:sz w:val="13"/>
        </w:rPr>
        <w:t>Maricich</w:t>
      </w:r>
      <w:r>
        <w:rPr>
          <w:i/>
          <w:color w:val="231F20"/>
          <w:spacing w:val="-5"/>
          <w:sz w:val="13"/>
        </w:rPr>
        <w:t> </w:t>
      </w:r>
      <w:r>
        <w:rPr>
          <w:i/>
          <w:color w:val="231F20"/>
          <w:sz w:val="13"/>
        </w:rPr>
        <w:t>SM,</w:t>
      </w:r>
      <w:r>
        <w:rPr>
          <w:i/>
          <w:color w:val="231F20"/>
          <w:spacing w:val="-5"/>
          <w:sz w:val="13"/>
        </w:rPr>
        <w:t> </w:t>
      </w:r>
      <w:r>
        <w:rPr>
          <w:i/>
          <w:color w:val="231F20"/>
          <w:sz w:val="13"/>
        </w:rPr>
        <w:t>Zoghbi</w:t>
      </w:r>
      <w:r>
        <w:rPr>
          <w:i/>
          <w:color w:val="231F20"/>
          <w:spacing w:val="-5"/>
          <w:sz w:val="13"/>
        </w:rPr>
        <w:t> </w:t>
      </w:r>
      <w:r>
        <w:rPr>
          <w:i/>
          <w:color w:val="231F20"/>
          <w:sz w:val="13"/>
        </w:rPr>
        <w:t>HY:</w:t>
      </w:r>
      <w:r>
        <w:rPr>
          <w:i/>
          <w:color w:val="231F20"/>
          <w:spacing w:val="-5"/>
          <w:sz w:val="13"/>
        </w:rPr>
        <w:t> </w:t>
      </w:r>
      <w:r>
        <w:rPr>
          <w:i/>
          <w:color w:val="231F20"/>
          <w:sz w:val="13"/>
        </w:rPr>
        <w:t>The</w:t>
      </w:r>
      <w:r>
        <w:rPr>
          <w:i/>
          <w:color w:val="231F20"/>
          <w:spacing w:val="-5"/>
          <w:sz w:val="13"/>
        </w:rPr>
        <w:t> </w:t>
      </w:r>
      <w:r>
        <w:rPr>
          <w:i/>
          <w:color w:val="231F20"/>
          <w:sz w:val="13"/>
        </w:rPr>
        <w:t>cerebellum</w:t>
      </w:r>
      <w:r>
        <w:rPr>
          <w:i/>
          <w:color w:val="231F20"/>
          <w:spacing w:val="-5"/>
          <w:sz w:val="13"/>
        </w:rPr>
        <w:t> </w:t>
      </w:r>
      <w:r>
        <w:rPr>
          <w:i/>
          <w:color w:val="231F20"/>
          <w:sz w:val="13"/>
        </w:rPr>
        <w:t>and</w:t>
      </w:r>
      <w:r>
        <w:rPr>
          <w:i/>
          <w:color w:val="231F20"/>
          <w:spacing w:val="-5"/>
          <w:sz w:val="13"/>
        </w:rPr>
        <w:t> </w:t>
      </w:r>
      <w:r>
        <w:rPr>
          <w:i/>
          <w:color w:val="231F20"/>
          <w:sz w:val="13"/>
        </w:rPr>
        <w:t>the</w:t>
      </w:r>
      <w:r>
        <w:rPr>
          <w:i/>
          <w:color w:val="231F20"/>
          <w:spacing w:val="40"/>
          <w:sz w:val="13"/>
        </w:rPr>
        <w:t> </w:t>
      </w:r>
      <w:r>
        <w:rPr>
          <w:i/>
          <w:color w:val="231F20"/>
          <w:sz w:val="13"/>
        </w:rPr>
        <w:t>hereditary</w:t>
      </w:r>
      <w:r>
        <w:rPr>
          <w:i/>
          <w:color w:val="231F20"/>
          <w:spacing w:val="-1"/>
          <w:sz w:val="13"/>
        </w:rPr>
        <w:t> </w:t>
      </w:r>
      <w:r>
        <w:rPr>
          <w:i/>
          <w:color w:val="231F20"/>
          <w:sz w:val="13"/>
        </w:rPr>
        <w:t>ataxias.</w:t>
      </w:r>
      <w:r>
        <w:rPr>
          <w:i/>
          <w:color w:val="231F20"/>
          <w:spacing w:val="-1"/>
          <w:sz w:val="13"/>
        </w:rPr>
        <w:t> </w:t>
      </w:r>
      <w:r>
        <w:rPr>
          <w:i/>
          <w:color w:val="231F20"/>
          <w:sz w:val="13"/>
        </w:rPr>
        <w:t>In</w:t>
      </w:r>
      <w:r>
        <w:rPr>
          <w:i/>
          <w:color w:val="231F20"/>
          <w:spacing w:val="-1"/>
          <w:sz w:val="13"/>
        </w:rPr>
        <w:t> </w:t>
      </w:r>
      <w:r>
        <w:rPr>
          <w:i/>
          <w:color w:val="231F20"/>
          <w:sz w:val="13"/>
        </w:rPr>
        <w:t>Swaiman</w:t>
      </w:r>
      <w:r>
        <w:rPr>
          <w:i/>
          <w:color w:val="231F20"/>
          <w:spacing w:val="-1"/>
          <w:sz w:val="13"/>
        </w:rPr>
        <w:t> </w:t>
      </w:r>
      <w:r>
        <w:rPr>
          <w:i/>
          <w:color w:val="231F20"/>
          <w:sz w:val="13"/>
        </w:rPr>
        <w:t>KF,</w:t>
      </w:r>
      <w:r>
        <w:rPr>
          <w:i/>
          <w:color w:val="231F20"/>
          <w:spacing w:val="-1"/>
          <w:sz w:val="13"/>
        </w:rPr>
        <w:t> </w:t>
      </w:r>
      <w:r>
        <w:rPr>
          <w:i/>
          <w:color w:val="231F20"/>
          <w:sz w:val="13"/>
        </w:rPr>
        <w:t>Ashwal</w:t>
      </w:r>
      <w:r>
        <w:rPr>
          <w:i/>
          <w:color w:val="231F20"/>
          <w:spacing w:val="-1"/>
          <w:sz w:val="13"/>
        </w:rPr>
        <w:t> </w:t>
      </w:r>
      <w:r>
        <w:rPr>
          <w:i/>
          <w:color w:val="231F20"/>
          <w:sz w:val="13"/>
        </w:rPr>
        <w:t>S,</w:t>
      </w:r>
      <w:r>
        <w:rPr>
          <w:i/>
          <w:color w:val="231F20"/>
          <w:spacing w:val="-1"/>
          <w:sz w:val="13"/>
        </w:rPr>
        <w:t> </w:t>
      </w:r>
      <w:r>
        <w:rPr>
          <w:i/>
          <w:color w:val="231F20"/>
          <w:sz w:val="13"/>
        </w:rPr>
        <w:t>Ferriero</w:t>
      </w:r>
      <w:r>
        <w:rPr>
          <w:i/>
          <w:color w:val="231F20"/>
          <w:spacing w:val="-1"/>
          <w:sz w:val="13"/>
        </w:rPr>
        <w:t> </w:t>
      </w:r>
      <w:r>
        <w:rPr>
          <w:i/>
          <w:color w:val="231F20"/>
          <w:sz w:val="13"/>
        </w:rPr>
        <w:t>DM,</w:t>
      </w:r>
      <w:r>
        <w:rPr>
          <w:i/>
          <w:color w:val="231F20"/>
          <w:spacing w:val="-1"/>
          <w:sz w:val="13"/>
        </w:rPr>
        <w:t> </w:t>
      </w:r>
      <w:r>
        <w:rPr>
          <w:i/>
          <w:color w:val="231F20"/>
          <w:sz w:val="13"/>
        </w:rPr>
        <w:t>Schor</w:t>
      </w:r>
      <w:r>
        <w:rPr>
          <w:i/>
          <w:color w:val="231F20"/>
          <w:spacing w:val="-1"/>
          <w:sz w:val="13"/>
        </w:rPr>
        <w:t> </w:t>
      </w:r>
      <w:r>
        <w:rPr>
          <w:i/>
          <w:color w:val="231F20"/>
          <w:sz w:val="13"/>
        </w:rPr>
        <w:t>NF,</w:t>
      </w:r>
      <w:r>
        <w:rPr>
          <w:i/>
          <w:color w:val="231F20"/>
          <w:spacing w:val="-1"/>
          <w:sz w:val="13"/>
        </w:rPr>
        <w:t> </w:t>
      </w:r>
      <w:r>
        <w:rPr>
          <w:i/>
          <w:color w:val="231F20"/>
          <w:sz w:val="13"/>
        </w:rPr>
        <w:t>editors:</w:t>
      </w:r>
      <w:r>
        <w:rPr>
          <w:i/>
          <w:color w:val="231F20"/>
          <w:spacing w:val="-1"/>
          <w:sz w:val="13"/>
        </w:rPr>
        <w:t> </w:t>
      </w:r>
      <w:r>
        <w:rPr>
          <w:color w:val="231F20"/>
          <w:sz w:val="13"/>
        </w:rPr>
        <w:t>Swaiman’s</w:t>
      </w:r>
      <w:r>
        <w:rPr>
          <w:color w:val="231F20"/>
          <w:spacing w:val="-1"/>
          <w:sz w:val="13"/>
        </w:rPr>
        <w:t> </w:t>
      </w:r>
      <w:r>
        <w:rPr>
          <w:color w:val="231F20"/>
          <w:sz w:val="13"/>
        </w:rPr>
        <w:t>pediatric</w:t>
      </w:r>
      <w:r>
        <w:rPr>
          <w:color w:val="231F20"/>
          <w:spacing w:val="-1"/>
          <w:sz w:val="13"/>
        </w:rPr>
        <w:t> </w:t>
      </w:r>
      <w:r>
        <w:rPr>
          <w:color w:val="231F20"/>
          <w:sz w:val="13"/>
        </w:rPr>
        <w:t>neurology</w:t>
      </w:r>
      <w:r>
        <w:rPr>
          <w:i/>
          <w:color w:val="231F20"/>
          <w:sz w:val="13"/>
        </w:rPr>
        <w:t>,</w:t>
      </w:r>
      <w:r>
        <w:rPr>
          <w:i/>
          <w:color w:val="231F20"/>
          <w:spacing w:val="-1"/>
          <w:sz w:val="13"/>
        </w:rPr>
        <w:t> </w:t>
      </w:r>
      <w:r>
        <w:rPr>
          <w:i/>
          <w:color w:val="231F20"/>
          <w:sz w:val="13"/>
        </w:rPr>
        <w:t>ed</w:t>
      </w:r>
      <w:r>
        <w:rPr>
          <w:i/>
          <w:color w:val="231F20"/>
          <w:spacing w:val="-1"/>
          <w:sz w:val="13"/>
        </w:rPr>
        <w:t> </w:t>
      </w:r>
      <w:r>
        <w:rPr>
          <w:i/>
          <w:color w:val="231F20"/>
          <w:sz w:val="13"/>
        </w:rPr>
        <w:t>5,</w:t>
      </w:r>
      <w:r>
        <w:rPr>
          <w:i/>
          <w:color w:val="231F20"/>
          <w:spacing w:val="-1"/>
          <w:sz w:val="13"/>
        </w:rPr>
        <w:t> </w:t>
      </w:r>
      <w:r>
        <w:rPr>
          <w:i/>
          <w:color w:val="231F20"/>
          <w:sz w:val="13"/>
        </w:rPr>
        <w:t>Philadelphia,</w:t>
      </w:r>
      <w:r>
        <w:rPr>
          <w:i/>
          <w:color w:val="231F20"/>
          <w:spacing w:val="-1"/>
          <w:sz w:val="13"/>
        </w:rPr>
        <w:t> </w:t>
      </w:r>
      <w:r>
        <w:rPr>
          <w:i/>
          <w:color w:val="231F20"/>
          <w:sz w:val="13"/>
        </w:rPr>
        <w:t>2012,</w:t>
      </w:r>
      <w:r>
        <w:rPr>
          <w:i/>
          <w:color w:val="231F20"/>
          <w:spacing w:val="-1"/>
          <w:sz w:val="13"/>
        </w:rPr>
        <w:t> </w:t>
      </w:r>
      <w:r>
        <w:rPr>
          <w:i/>
          <w:color w:val="231F20"/>
          <w:sz w:val="13"/>
        </w:rPr>
        <w:t>WB</w:t>
      </w:r>
      <w:r>
        <w:rPr>
          <w:i/>
          <w:color w:val="231F20"/>
          <w:spacing w:val="-1"/>
          <w:sz w:val="13"/>
        </w:rPr>
        <w:t> </w:t>
      </w:r>
      <w:r>
        <w:rPr>
          <w:i/>
          <w:color w:val="231F20"/>
          <w:sz w:val="13"/>
        </w:rPr>
        <w:t>Saunders,</w:t>
      </w:r>
      <w:r>
        <w:rPr>
          <w:i/>
          <w:color w:val="231F20"/>
          <w:spacing w:val="-1"/>
          <w:sz w:val="13"/>
        </w:rPr>
        <w:t> </w:t>
      </w:r>
      <w:r>
        <w:rPr>
          <w:i/>
          <w:color w:val="231F20"/>
          <w:sz w:val="13"/>
        </w:rPr>
        <w:t>Table</w:t>
      </w:r>
      <w:r>
        <w:rPr>
          <w:i/>
          <w:color w:val="231F20"/>
          <w:spacing w:val="-1"/>
          <w:sz w:val="13"/>
        </w:rPr>
        <w:t> </w:t>
      </w:r>
      <w:r>
        <w:rPr>
          <w:i/>
          <w:color w:val="231F20"/>
          <w:sz w:val="13"/>
        </w:rPr>
        <w:t>67-1.</w:t>
      </w:r>
    </w:p>
    <w:p>
      <w:pPr>
        <w:pStyle w:val="BodyText"/>
        <w:rPr>
          <w:i/>
          <w:sz w:val="20"/>
        </w:rPr>
      </w:pPr>
    </w:p>
    <w:p>
      <w:pPr>
        <w:pStyle w:val="BodyText"/>
        <w:spacing w:before="32"/>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864"/>
        <w:gridCol w:w="1696"/>
        <w:gridCol w:w="887"/>
        <w:gridCol w:w="1476"/>
        <w:gridCol w:w="1897"/>
        <w:gridCol w:w="1775"/>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4</w:t>
            </w:r>
          </w:p>
        </w:tc>
        <w:tc>
          <w:tcPr>
            <w:tcW w:w="8595" w:type="dxa"/>
            <w:gridSpan w:val="6"/>
            <w:tcBorders>
              <w:left w:val="single" w:sz="8" w:space="0" w:color="FFFFFF"/>
            </w:tcBorders>
            <w:shd w:val="clear" w:color="auto" w:fill="231F20"/>
          </w:tcPr>
          <w:p>
            <w:pPr>
              <w:pStyle w:val="TableParagraph"/>
              <w:spacing w:before="89"/>
              <w:ind w:left="73"/>
              <w:rPr>
                <w:sz w:val="16"/>
              </w:rPr>
            </w:pPr>
            <w:r>
              <w:rPr>
                <w:color w:val="FFFFFF"/>
                <w:w w:val="105"/>
                <w:sz w:val="16"/>
              </w:rPr>
              <w:t>Autosomal-Recessive</w:t>
            </w:r>
            <w:r>
              <w:rPr>
                <w:color w:val="FFFFFF"/>
                <w:spacing w:val="12"/>
                <w:w w:val="105"/>
                <w:sz w:val="16"/>
              </w:rPr>
              <w:t> </w:t>
            </w:r>
            <w:r>
              <w:rPr>
                <w:color w:val="FFFFFF"/>
                <w:w w:val="105"/>
                <w:sz w:val="16"/>
              </w:rPr>
              <w:t>Cerebellar</w:t>
            </w:r>
            <w:r>
              <w:rPr>
                <w:color w:val="FFFFFF"/>
                <w:spacing w:val="12"/>
                <w:w w:val="105"/>
                <w:sz w:val="16"/>
              </w:rPr>
              <w:t> </w:t>
            </w:r>
            <w:r>
              <w:rPr>
                <w:color w:val="FFFFFF"/>
                <w:spacing w:val="-2"/>
                <w:w w:val="105"/>
                <w:sz w:val="16"/>
              </w:rPr>
              <w:t>Ataxias</w:t>
            </w:r>
          </w:p>
        </w:tc>
      </w:tr>
      <w:tr>
        <w:trPr>
          <w:trHeight w:val="276" w:hRule="atLeast"/>
        </w:trPr>
        <w:tc>
          <w:tcPr>
            <w:tcW w:w="2012"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ATAXIA</w:t>
            </w:r>
          </w:p>
        </w:tc>
        <w:tc>
          <w:tcPr>
            <w:tcW w:w="1696" w:type="dxa"/>
            <w:tcBorders>
              <w:bottom w:val="single" w:sz="4" w:space="0" w:color="231F20"/>
            </w:tcBorders>
            <w:shd w:val="clear" w:color="auto" w:fill="E8F5F1"/>
          </w:tcPr>
          <w:p>
            <w:pPr>
              <w:pStyle w:val="TableParagraph"/>
              <w:spacing w:before="66"/>
              <w:ind w:left="413"/>
              <w:rPr>
                <w:b/>
                <w:sz w:val="15"/>
              </w:rPr>
            </w:pPr>
            <w:r>
              <w:rPr>
                <w:b/>
                <w:color w:val="231F20"/>
                <w:spacing w:val="-2"/>
                <w:w w:val="115"/>
                <w:sz w:val="15"/>
              </w:rPr>
              <w:t>CHROMOSOME</w:t>
            </w:r>
          </w:p>
        </w:tc>
        <w:tc>
          <w:tcPr>
            <w:tcW w:w="887" w:type="dxa"/>
            <w:tcBorders>
              <w:bottom w:val="single" w:sz="4" w:space="0" w:color="231F20"/>
            </w:tcBorders>
            <w:shd w:val="clear" w:color="auto" w:fill="E8F5F1"/>
          </w:tcPr>
          <w:p>
            <w:pPr>
              <w:pStyle w:val="TableParagraph"/>
              <w:spacing w:before="66"/>
              <w:ind w:left="134"/>
              <w:rPr>
                <w:b/>
                <w:sz w:val="15"/>
              </w:rPr>
            </w:pPr>
            <w:r>
              <w:rPr>
                <w:b/>
                <w:color w:val="231F20"/>
                <w:spacing w:val="-4"/>
                <w:w w:val="115"/>
                <w:sz w:val="15"/>
              </w:rPr>
              <w:t>GENE</w:t>
            </w:r>
          </w:p>
        </w:tc>
        <w:tc>
          <w:tcPr>
            <w:tcW w:w="1476" w:type="dxa"/>
            <w:tcBorders>
              <w:bottom w:val="single" w:sz="4" w:space="0" w:color="231F20"/>
            </w:tcBorders>
            <w:shd w:val="clear" w:color="auto" w:fill="E8F5F1"/>
          </w:tcPr>
          <w:p>
            <w:pPr>
              <w:pStyle w:val="TableParagraph"/>
              <w:spacing w:before="66"/>
              <w:ind w:left="134"/>
              <w:rPr>
                <w:b/>
                <w:sz w:val="15"/>
              </w:rPr>
            </w:pPr>
            <w:r>
              <w:rPr>
                <w:b/>
                <w:color w:val="231F20"/>
                <w:w w:val="110"/>
                <w:sz w:val="15"/>
              </w:rPr>
              <w:t>GENE</w:t>
            </w:r>
            <w:r>
              <w:rPr>
                <w:b/>
                <w:color w:val="231F20"/>
                <w:spacing w:val="17"/>
                <w:w w:val="110"/>
                <w:sz w:val="15"/>
              </w:rPr>
              <w:t> </w:t>
            </w:r>
            <w:r>
              <w:rPr>
                <w:b/>
                <w:color w:val="231F20"/>
                <w:spacing w:val="-2"/>
                <w:w w:val="110"/>
                <w:sz w:val="15"/>
              </w:rPr>
              <w:t>PRODUCT</w:t>
            </w:r>
          </w:p>
        </w:tc>
        <w:tc>
          <w:tcPr>
            <w:tcW w:w="1897" w:type="dxa"/>
            <w:tcBorders>
              <w:bottom w:val="single" w:sz="4" w:space="0" w:color="231F20"/>
            </w:tcBorders>
            <w:shd w:val="clear" w:color="auto" w:fill="E8F5F1"/>
          </w:tcPr>
          <w:p>
            <w:pPr>
              <w:pStyle w:val="TableParagraph"/>
              <w:spacing w:before="66"/>
              <w:ind w:left="134"/>
              <w:rPr>
                <w:b/>
                <w:sz w:val="15"/>
              </w:rPr>
            </w:pPr>
            <w:r>
              <w:rPr>
                <w:b/>
                <w:color w:val="231F20"/>
                <w:spacing w:val="-2"/>
                <w:w w:val="115"/>
                <w:sz w:val="15"/>
              </w:rPr>
              <w:t>MECHANISM</w:t>
            </w:r>
          </w:p>
        </w:tc>
        <w:tc>
          <w:tcPr>
            <w:tcW w:w="1775" w:type="dxa"/>
            <w:tcBorders>
              <w:bottom w:val="single" w:sz="4" w:space="0" w:color="231F20"/>
            </w:tcBorders>
            <w:shd w:val="clear" w:color="auto" w:fill="E8F5F1"/>
          </w:tcPr>
          <w:p>
            <w:pPr>
              <w:pStyle w:val="TableParagraph"/>
              <w:spacing w:before="66"/>
              <w:ind w:left="256"/>
              <w:rPr>
                <w:b/>
                <w:sz w:val="15"/>
              </w:rPr>
            </w:pPr>
            <w:r>
              <w:rPr>
                <w:b/>
                <w:color w:val="231F20"/>
                <w:w w:val="110"/>
                <w:sz w:val="15"/>
              </w:rPr>
              <w:t>AGE</w:t>
            </w:r>
            <w:r>
              <w:rPr>
                <w:b/>
                <w:color w:val="231F20"/>
                <w:spacing w:val="7"/>
                <w:w w:val="110"/>
                <w:sz w:val="15"/>
              </w:rPr>
              <w:t> </w:t>
            </w:r>
            <w:r>
              <w:rPr>
                <w:b/>
                <w:color w:val="231F20"/>
                <w:w w:val="110"/>
                <w:sz w:val="15"/>
              </w:rPr>
              <w:t>OF</w:t>
            </w:r>
            <w:r>
              <w:rPr>
                <w:b/>
                <w:color w:val="231F20"/>
                <w:spacing w:val="8"/>
                <w:w w:val="110"/>
                <w:sz w:val="15"/>
              </w:rPr>
              <w:t> </w:t>
            </w:r>
            <w:r>
              <w:rPr>
                <w:b/>
                <w:color w:val="231F20"/>
                <w:w w:val="110"/>
                <w:sz w:val="15"/>
              </w:rPr>
              <w:t>ONSET</w:t>
            </w:r>
            <w:r>
              <w:rPr>
                <w:b/>
                <w:color w:val="231F20"/>
                <w:spacing w:val="8"/>
                <w:w w:val="110"/>
                <w:sz w:val="15"/>
              </w:rPr>
              <w:t> </w:t>
            </w:r>
            <w:r>
              <w:rPr>
                <w:b/>
                <w:color w:val="231F20"/>
                <w:spacing w:val="-4"/>
                <w:w w:val="110"/>
                <w:sz w:val="15"/>
              </w:rPr>
              <w:t>(yr)</w:t>
            </w:r>
          </w:p>
        </w:tc>
      </w:tr>
      <w:tr>
        <w:trPr>
          <w:trHeight w:val="257" w:hRule="atLeast"/>
        </w:trPr>
        <w:tc>
          <w:tcPr>
            <w:tcW w:w="201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Friedreich</w:t>
            </w:r>
            <w:r>
              <w:rPr>
                <w:color w:val="231F20"/>
                <w:sz w:val="15"/>
              </w:rPr>
              <w:t> </w:t>
            </w:r>
            <w:r>
              <w:rPr>
                <w:color w:val="231F20"/>
                <w:spacing w:val="-2"/>
                <w:sz w:val="15"/>
              </w:rPr>
              <w:t>ataxia</w:t>
            </w:r>
          </w:p>
        </w:tc>
        <w:tc>
          <w:tcPr>
            <w:tcW w:w="1696" w:type="dxa"/>
            <w:tcBorders>
              <w:top w:val="single" w:sz="4" w:space="0" w:color="231F20"/>
              <w:bottom w:val="single" w:sz="4" w:space="0" w:color="FFFFFF"/>
            </w:tcBorders>
            <w:shd w:val="clear" w:color="auto" w:fill="E8F5F1"/>
          </w:tcPr>
          <w:p>
            <w:pPr>
              <w:pStyle w:val="TableParagraph"/>
              <w:spacing w:before="47"/>
              <w:ind w:left="413"/>
              <w:rPr>
                <w:sz w:val="15"/>
              </w:rPr>
            </w:pPr>
            <w:r>
              <w:rPr>
                <w:color w:val="231F20"/>
                <w:spacing w:val="-4"/>
                <w:sz w:val="15"/>
              </w:rPr>
              <w:t>9q13</w:t>
            </w:r>
          </w:p>
        </w:tc>
        <w:tc>
          <w:tcPr>
            <w:tcW w:w="887" w:type="dxa"/>
            <w:tcBorders>
              <w:top w:val="single" w:sz="4" w:space="0" w:color="231F20"/>
              <w:bottom w:val="single" w:sz="4" w:space="0" w:color="FFFFFF"/>
            </w:tcBorders>
            <w:shd w:val="clear" w:color="auto" w:fill="E8F5F1"/>
          </w:tcPr>
          <w:p>
            <w:pPr>
              <w:pStyle w:val="TableParagraph"/>
              <w:spacing w:before="47"/>
              <w:ind w:left="134"/>
              <w:rPr>
                <w:i/>
                <w:sz w:val="15"/>
              </w:rPr>
            </w:pPr>
            <w:r>
              <w:rPr>
                <w:i/>
                <w:color w:val="231F20"/>
                <w:spacing w:val="-5"/>
                <w:sz w:val="15"/>
              </w:rPr>
              <w:t>X25</w:t>
            </w:r>
          </w:p>
        </w:tc>
        <w:tc>
          <w:tcPr>
            <w:tcW w:w="1476" w:type="dxa"/>
            <w:tcBorders>
              <w:top w:val="single" w:sz="4" w:space="0" w:color="231F20"/>
              <w:bottom w:val="single" w:sz="4" w:space="0" w:color="FFFFFF"/>
            </w:tcBorders>
            <w:shd w:val="clear" w:color="auto" w:fill="E8F5F1"/>
          </w:tcPr>
          <w:p>
            <w:pPr>
              <w:pStyle w:val="TableParagraph"/>
              <w:spacing w:before="47"/>
              <w:ind w:left="134"/>
              <w:rPr>
                <w:sz w:val="15"/>
              </w:rPr>
            </w:pPr>
            <w:r>
              <w:rPr>
                <w:color w:val="231F20"/>
                <w:spacing w:val="-2"/>
                <w:sz w:val="15"/>
              </w:rPr>
              <w:t>Frataxin</w:t>
            </w:r>
          </w:p>
        </w:tc>
        <w:tc>
          <w:tcPr>
            <w:tcW w:w="1897" w:type="dxa"/>
            <w:tcBorders>
              <w:top w:val="single" w:sz="4" w:space="0" w:color="231F20"/>
              <w:bottom w:val="single" w:sz="4" w:space="0" w:color="FFFFFF"/>
            </w:tcBorders>
            <w:shd w:val="clear" w:color="auto" w:fill="E8F5F1"/>
          </w:tcPr>
          <w:p>
            <w:pPr>
              <w:pStyle w:val="TableParagraph"/>
              <w:spacing w:before="47"/>
              <w:ind w:left="134"/>
              <w:rPr>
                <w:sz w:val="15"/>
              </w:rPr>
            </w:pPr>
            <w:r>
              <w:rPr>
                <w:color w:val="231F20"/>
                <w:w w:val="105"/>
                <w:sz w:val="15"/>
              </w:rPr>
              <w:t>GAA</w:t>
            </w:r>
            <w:r>
              <w:rPr>
                <w:color w:val="231F20"/>
                <w:spacing w:val="26"/>
                <w:w w:val="105"/>
                <w:sz w:val="15"/>
              </w:rPr>
              <w:t> </w:t>
            </w:r>
            <w:r>
              <w:rPr>
                <w:color w:val="231F20"/>
                <w:spacing w:val="-2"/>
                <w:w w:val="105"/>
                <w:sz w:val="15"/>
              </w:rPr>
              <w:t>repeat</w:t>
            </w:r>
          </w:p>
        </w:tc>
        <w:tc>
          <w:tcPr>
            <w:tcW w:w="1775" w:type="dxa"/>
            <w:tcBorders>
              <w:top w:val="single" w:sz="4" w:space="0" w:color="231F20"/>
              <w:bottom w:val="single" w:sz="4" w:space="0" w:color="FFFFFF"/>
            </w:tcBorders>
            <w:shd w:val="clear" w:color="auto" w:fill="E8F5F1"/>
          </w:tcPr>
          <w:p>
            <w:pPr>
              <w:pStyle w:val="TableParagraph"/>
              <w:spacing w:before="47"/>
              <w:ind w:left="256"/>
              <w:rPr>
                <w:sz w:val="15"/>
              </w:rPr>
            </w:pPr>
            <w:r>
              <w:rPr>
                <w:color w:val="231F20"/>
                <w:spacing w:val="-4"/>
                <w:sz w:val="15"/>
              </w:rPr>
              <w:t>2-</w:t>
            </w:r>
            <w:r>
              <w:rPr>
                <w:color w:val="231F20"/>
                <w:spacing w:val="-5"/>
                <w:sz w:val="15"/>
              </w:rPr>
              <w:t>51</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Friedreich</w:t>
            </w:r>
            <w:r>
              <w:rPr>
                <w:color w:val="231F20"/>
                <w:spacing w:val="-6"/>
                <w:sz w:val="15"/>
              </w:rPr>
              <w:t> </w:t>
            </w:r>
            <w:r>
              <w:rPr>
                <w:color w:val="231F20"/>
                <w:spacing w:val="-2"/>
                <w:sz w:val="15"/>
              </w:rPr>
              <w:t>ataxia</w:t>
            </w:r>
            <w:r>
              <w:rPr>
                <w:color w:val="231F20"/>
                <w:spacing w:val="-6"/>
                <w:sz w:val="15"/>
              </w:rPr>
              <w:t> </w:t>
            </w:r>
            <w:r>
              <w:rPr>
                <w:color w:val="231F20"/>
                <w:spacing w:val="-10"/>
                <w:sz w:val="15"/>
              </w:rPr>
              <w:t>2</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w w:val="105"/>
                <w:sz w:val="15"/>
              </w:rPr>
              <w:t>9p23–p11</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5-</w:t>
            </w:r>
            <w:r>
              <w:rPr>
                <w:color w:val="231F20"/>
                <w:spacing w:val="-5"/>
                <w:sz w:val="15"/>
              </w:rPr>
              <w:t>20</w:t>
            </w:r>
          </w:p>
        </w:tc>
      </w:tr>
      <w:tr>
        <w:trPr>
          <w:trHeight w:val="420"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w w:val="110"/>
                <w:sz w:val="15"/>
              </w:rPr>
              <w:t>AVED</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4"/>
                <w:sz w:val="15"/>
              </w:rPr>
              <w:t>8q13</w:t>
            </w:r>
          </w:p>
        </w:tc>
        <w:tc>
          <w:tcPr>
            <w:tcW w:w="887" w:type="dxa"/>
            <w:tcBorders>
              <w:top w:val="single" w:sz="4" w:space="0" w:color="FFFFFF"/>
              <w:bottom w:val="single" w:sz="4" w:space="0" w:color="FFFFFF"/>
            </w:tcBorders>
            <w:shd w:val="clear" w:color="auto" w:fill="E8F5F1"/>
          </w:tcPr>
          <w:p>
            <w:pPr>
              <w:pStyle w:val="TableParagraph"/>
              <w:spacing w:before="42"/>
              <w:ind w:left="134"/>
              <w:rPr>
                <w:i/>
                <w:sz w:val="15"/>
              </w:rPr>
            </w:pPr>
            <w:r>
              <w:rPr>
                <w:i/>
                <w:color w:val="231F20"/>
                <w:spacing w:val="-4"/>
                <w:sz w:val="15"/>
              </w:rPr>
              <w:t>TTP1</w:t>
            </w:r>
          </w:p>
        </w:tc>
        <w:tc>
          <w:tcPr>
            <w:tcW w:w="1476"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4"/>
                <w:w w:val="105"/>
                <w:sz w:val="15"/>
              </w:rPr>
              <w:t>TTPA</w:t>
            </w:r>
          </w:p>
        </w:tc>
        <w:tc>
          <w:tcPr>
            <w:tcW w:w="1897" w:type="dxa"/>
            <w:tcBorders>
              <w:top w:val="single" w:sz="4" w:space="0" w:color="FFFFFF"/>
              <w:bottom w:val="single" w:sz="4" w:space="0" w:color="FFFFFF"/>
            </w:tcBorders>
            <w:shd w:val="clear" w:color="auto" w:fill="E8F5F1"/>
          </w:tcPr>
          <w:p>
            <w:pPr>
              <w:pStyle w:val="TableParagraph"/>
              <w:spacing w:line="230" w:lineRule="auto" w:before="48"/>
              <w:ind w:left="246" w:hanging="112"/>
              <w:rPr>
                <w:sz w:val="15"/>
              </w:rPr>
            </w:pPr>
            <w:r>
              <w:rPr>
                <w:color w:val="231F20"/>
                <w:sz w:val="15"/>
              </w:rPr>
              <w:t>Missense</w:t>
            </w:r>
            <w:r>
              <w:rPr>
                <w:color w:val="231F20"/>
                <w:spacing w:val="-4"/>
                <w:sz w:val="15"/>
              </w:rPr>
              <w:t> </w:t>
            </w:r>
            <w:r>
              <w:rPr>
                <w:color w:val="231F20"/>
                <w:sz w:val="15"/>
              </w:rPr>
              <w:t>mutation, </w:t>
            </w:r>
            <w:r>
              <w:rPr>
                <w:color w:val="231F20"/>
                <w:spacing w:val="-2"/>
                <w:sz w:val="15"/>
              </w:rPr>
              <w:t>deletion,</w:t>
            </w:r>
            <w:r>
              <w:rPr>
                <w:color w:val="231F20"/>
                <w:spacing w:val="-6"/>
                <w:sz w:val="15"/>
              </w:rPr>
              <w:t> </w:t>
            </w:r>
            <w:r>
              <w:rPr>
                <w:color w:val="231F20"/>
                <w:spacing w:val="-4"/>
                <w:sz w:val="15"/>
              </w:rPr>
              <w:t>insertion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2-</w:t>
            </w:r>
            <w:r>
              <w:rPr>
                <w:color w:val="231F20"/>
                <w:spacing w:val="-5"/>
                <w:sz w:val="15"/>
              </w:rPr>
              <w:t>52</w:t>
            </w:r>
          </w:p>
        </w:tc>
      </w:tr>
      <w:tr>
        <w:trPr>
          <w:trHeight w:val="420"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Ataxia-</w:t>
            </w:r>
            <w:r>
              <w:rPr>
                <w:color w:val="231F20"/>
                <w:spacing w:val="-2"/>
                <w:sz w:val="15"/>
              </w:rPr>
              <w:t>telangiectasia</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sz w:val="15"/>
              </w:rPr>
              <w:t>11q22.3</w:t>
            </w:r>
          </w:p>
        </w:tc>
        <w:tc>
          <w:tcPr>
            <w:tcW w:w="887" w:type="dxa"/>
            <w:tcBorders>
              <w:top w:val="single" w:sz="4" w:space="0" w:color="FFFFFF"/>
              <w:bottom w:val="single" w:sz="4" w:space="0" w:color="FFFFFF"/>
            </w:tcBorders>
            <w:shd w:val="clear" w:color="auto" w:fill="E8F5F1"/>
          </w:tcPr>
          <w:p>
            <w:pPr>
              <w:pStyle w:val="TableParagraph"/>
              <w:spacing w:before="42"/>
              <w:ind w:left="134"/>
              <w:rPr>
                <w:i/>
                <w:sz w:val="15"/>
              </w:rPr>
            </w:pPr>
            <w:r>
              <w:rPr>
                <w:i/>
                <w:color w:val="231F20"/>
                <w:spacing w:val="-5"/>
                <w:w w:val="110"/>
                <w:sz w:val="15"/>
              </w:rPr>
              <w:t>ATM</w:t>
            </w:r>
          </w:p>
        </w:tc>
        <w:tc>
          <w:tcPr>
            <w:tcW w:w="1476"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5"/>
                <w:w w:val="115"/>
                <w:sz w:val="15"/>
              </w:rPr>
              <w:t>ATM</w:t>
            </w:r>
          </w:p>
        </w:tc>
        <w:tc>
          <w:tcPr>
            <w:tcW w:w="1897" w:type="dxa"/>
            <w:tcBorders>
              <w:top w:val="single" w:sz="4" w:space="0" w:color="FFFFFF"/>
              <w:bottom w:val="single" w:sz="4" w:space="0" w:color="FFFFFF"/>
            </w:tcBorders>
            <w:shd w:val="clear" w:color="auto" w:fill="E8F5F1"/>
          </w:tcPr>
          <w:p>
            <w:pPr>
              <w:pStyle w:val="TableParagraph"/>
              <w:spacing w:line="230" w:lineRule="auto" w:before="48"/>
              <w:ind w:left="246" w:hanging="112"/>
              <w:rPr>
                <w:sz w:val="15"/>
              </w:rPr>
            </w:pPr>
            <w:r>
              <w:rPr>
                <w:color w:val="231F20"/>
                <w:sz w:val="15"/>
              </w:rPr>
              <w:t>Missense</w:t>
            </w:r>
            <w:r>
              <w:rPr>
                <w:color w:val="231F20"/>
                <w:spacing w:val="-1"/>
                <w:sz w:val="15"/>
              </w:rPr>
              <w:t> </w:t>
            </w:r>
            <w:r>
              <w:rPr>
                <w:color w:val="231F20"/>
                <w:sz w:val="15"/>
              </w:rPr>
              <w:t>and</w:t>
            </w:r>
            <w:r>
              <w:rPr>
                <w:color w:val="231F20"/>
                <w:spacing w:val="-1"/>
                <w:sz w:val="15"/>
              </w:rPr>
              <w:t> </w:t>
            </w:r>
            <w:r>
              <w:rPr>
                <w:color w:val="231F20"/>
                <w:sz w:val="15"/>
              </w:rPr>
              <w:t>deletion </w:t>
            </w:r>
            <w:r>
              <w:rPr>
                <w:color w:val="231F20"/>
                <w:spacing w:val="-2"/>
                <w:sz w:val="15"/>
              </w:rPr>
              <w:t>mutations</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2"/>
                <w:sz w:val="15"/>
              </w:rPr>
              <w:t>Infancy</w:t>
            </w:r>
          </w:p>
        </w:tc>
      </w:tr>
      <w:tr>
        <w:trPr>
          <w:trHeight w:val="420"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w w:val="110"/>
                <w:sz w:val="15"/>
              </w:rPr>
              <w:t>ATLD</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sz w:val="15"/>
              </w:rPr>
              <w:t>11q21</w:t>
            </w:r>
          </w:p>
        </w:tc>
        <w:tc>
          <w:tcPr>
            <w:tcW w:w="887" w:type="dxa"/>
            <w:tcBorders>
              <w:top w:val="single" w:sz="4" w:space="0" w:color="FFFFFF"/>
              <w:bottom w:val="single" w:sz="4" w:space="0" w:color="FFFFFF"/>
            </w:tcBorders>
            <w:shd w:val="clear" w:color="auto" w:fill="E8F5F1"/>
          </w:tcPr>
          <w:p>
            <w:pPr>
              <w:pStyle w:val="TableParagraph"/>
              <w:spacing w:before="42"/>
              <w:ind w:left="134"/>
              <w:rPr>
                <w:i/>
                <w:sz w:val="15"/>
              </w:rPr>
            </w:pPr>
            <w:r>
              <w:rPr>
                <w:i/>
                <w:color w:val="231F20"/>
                <w:spacing w:val="-2"/>
                <w:w w:val="105"/>
                <w:sz w:val="15"/>
              </w:rPr>
              <w:t>hMRE11</w:t>
            </w:r>
          </w:p>
        </w:tc>
        <w:tc>
          <w:tcPr>
            <w:tcW w:w="1476"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w w:val="110"/>
                <w:sz w:val="15"/>
              </w:rPr>
              <w:t>MRE11A</w:t>
            </w:r>
          </w:p>
        </w:tc>
        <w:tc>
          <w:tcPr>
            <w:tcW w:w="1897" w:type="dxa"/>
            <w:tcBorders>
              <w:top w:val="single" w:sz="4" w:space="0" w:color="FFFFFF"/>
              <w:bottom w:val="single" w:sz="4" w:space="0" w:color="FFFFFF"/>
            </w:tcBorders>
            <w:shd w:val="clear" w:color="auto" w:fill="E8F5F1"/>
          </w:tcPr>
          <w:p>
            <w:pPr>
              <w:pStyle w:val="TableParagraph"/>
              <w:spacing w:line="230" w:lineRule="auto" w:before="48"/>
              <w:ind w:left="246" w:hanging="112"/>
              <w:rPr>
                <w:sz w:val="15"/>
              </w:rPr>
            </w:pPr>
            <w:r>
              <w:rPr>
                <w:color w:val="231F20"/>
                <w:sz w:val="15"/>
              </w:rPr>
              <w:t>Missense</w:t>
            </w:r>
            <w:r>
              <w:rPr>
                <w:color w:val="231F20"/>
                <w:spacing w:val="-1"/>
                <w:sz w:val="15"/>
              </w:rPr>
              <w:t> </w:t>
            </w:r>
            <w:r>
              <w:rPr>
                <w:color w:val="231F20"/>
                <w:sz w:val="15"/>
              </w:rPr>
              <w:t>and</w:t>
            </w:r>
            <w:r>
              <w:rPr>
                <w:color w:val="231F20"/>
                <w:spacing w:val="-1"/>
                <w:sz w:val="15"/>
              </w:rPr>
              <w:t> </w:t>
            </w:r>
            <w:r>
              <w:rPr>
                <w:color w:val="231F20"/>
                <w:sz w:val="15"/>
              </w:rPr>
              <w:t>deletion </w:t>
            </w:r>
            <w:r>
              <w:rPr>
                <w:color w:val="231F20"/>
                <w:spacing w:val="-2"/>
                <w:sz w:val="15"/>
              </w:rPr>
              <w:t>mutations</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z w:val="15"/>
              </w:rPr>
              <w:t>9-48</w:t>
            </w:r>
            <w:r>
              <w:rPr>
                <w:color w:val="231F20"/>
                <w:spacing w:val="-8"/>
                <w:sz w:val="15"/>
              </w:rPr>
              <w:t> </w:t>
            </w:r>
            <w:r>
              <w:rPr>
                <w:color w:val="231F20"/>
                <w:spacing w:val="-5"/>
                <w:sz w:val="15"/>
              </w:rPr>
              <w:t>mo</w:t>
            </w:r>
          </w:p>
        </w:tc>
      </w:tr>
      <w:tr>
        <w:trPr>
          <w:trHeight w:val="420"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Ataxia-ocular</w:t>
            </w:r>
            <w:r>
              <w:rPr>
                <w:color w:val="231F20"/>
                <w:spacing w:val="-3"/>
                <w:sz w:val="15"/>
              </w:rPr>
              <w:t> </w:t>
            </w:r>
            <w:r>
              <w:rPr>
                <w:color w:val="231F20"/>
                <w:spacing w:val="-2"/>
                <w:sz w:val="15"/>
              </w:rPr>
              <w:t>apraxia </w:t>
            </w:r>
            <w:r>
              <w:rPr>
                <w:color w:val="231F20"/>
                <w:spacing w:val="-10"/>
                <w:sz w:val="15"/>
              </w:rPr>
              <w:t>1</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sz w:val="15"/>
              </w:rPr>
              <w:t>9p13.3</w:t>
            </w:r>
          </w:p>
        </w:tc>
        <w:tc>
          <w:tcPr>
            <w:tcW w:w="887" w:type="dxa"/>
            <w:tcBorders>
              <w:top w:val="single" w:sz="4" w:space="0" w:color="FFFFFF"/>
              <w:bottom w:val="single" w:sz="4" w:space="0" w:color="FFFFFF"/>
            </w:tcBorders>
            <w:shd w:val="clear" w:color="auto" w:fill="E8F5F1"/>
          </w:tcPr>
          <w:p>
            <w:pPr>
              <w:pStyle w:val="TableParagraph"/>
              <w:spacing w:before="42"/>
              <w:ind w:left="134"/>
              <w:rPr>
                <w:i/>
                <w:sz w:val="15"/>
              </w:rPr>
            </w:pPr>
            <w:r>
              <w:rPr>
                <w:i/>
                <w:color w:val="231F20"/>
                <w:spacing w:val="-4"/>
                <w:w w:val="105"/>
                <w:sz w:val="15"/>
              </w:rPr>
              <w:t>APTX</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Aprataxin</w:t>
            </w:r>
          </w:p>
        </w:tc>
        <w:tc>
          <w:tcPr>
            <w:tcW w:w="1897" w:type="dxa"/>
            <w:tcBorders>
              <w:top w:val="single" w:sz="4" w:space="0" w:color="FFFFFF"/>
              <w:bottom w:val="single" w:sz="4" w:space="0" w:color="FFFFFF"/>
            </w:tcBorders>
            <w:shd w:val="clear" w:color="auto" w:fill="E8F5F1"/>
          </w:tcPr>
          <w:p>
            <w:pPr>
              <w:pStyle w:val="TableParagraph"/>
              <w:spacing w:line="230" w:lineRule="auto" w:before="48"/>
              <w:ind w:left="245" w:right="304" w:hanging="112"/>
              <w:rPr>
                <w:sz w:val="15"/>
              </w:rPr>
            </w:pPr>
            <w:r>
              <w:rPr>
                <w:color w:val="231F20"/>
                <w:spacing w:val="-2"/>
                <w:sz w:val="15"/>
              </w:rPr>
              <w:t>Frameshift,</w:t>
            </w:r>
            <w:r>
              <w:rPr>
                <w:color w:val="231F20"/>
                <w:spacing w:val="-10"/>
                <w:sz w:val="15"/>
              </w:rPr>
              <w:t> </w:t>
            </w:r>
            <w:r>
              <w:rPr>
                <w:color w:val="231F20"/>
                <w:spacing w:val="-2"/>
                <w:sz w:val="15"/>
              </w:rPr>
              <w:t>missense, </w:t>
            </w:r>
            <w:r>
              <w:rPr>
                <w:color w:val="231F20"/>
                <w:sz w:val="15"/>
              </w:rPr>
              <w:t>nonsense</w:t>
            </w:r>
            <w:r>
              <w:rPr>
                <w:color w:val="231F20"/>
                <w:spacing w:val="19"/>
                <w:sz w:val="15"/>
              </w:rPr>
              <w:t> </w:t>
            </w:r>
            <w:r>
              <w:rPr>
                <w:color w:val="231F20"/>
                <w:spacing w:val="-2"/>
                <w:sz w:val="15"/>
              </w:rPr>
              <w:t>mutations</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2-</w:t>
            </w:r>
            <w:r>
              <w:rPr>
                <w:color w:val="231F20"/>
                <w:spacing w:val="-5"/>
                <w:sz w:val="15"/>
              </w:rPr>
              <w:t>18</w:t>
            </w:r>
          </w:p>
        </w:tc>
      </w:tr>
      <w:tr>
        <w:trPr>
          <w:trHeight w:val="420"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SCAR1</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4"/>
                <w:sz w:val="15"/>
              </w:rPr>
              <w:t>9q34</w:t>
            </w:r>
          </w:p>
        </w:tc>
        <w:tc>
          <w:tcPr>
            <w:tcW w:w="887" w:type="dxa"/>
            <w:tcBorders>
              <w:top w:val="single" w:sz="4" w:space="0" w:color="FFFFFF"/>
              <w:bottom w:val="single" w:sz="4" w:space="0" w:color="FFFFFF"/>
            </w:tcBorders>
            <w:shd w:val="clear" w:color="auto" w:fill="E8F5F1"/>
          </w:tcPr>
          <w:p>
            <w:pPr>
              <w:pStyle w:val="TableParagraph"/>
              <w:spacing w:before="42"/>
              <w:ind w:left="134"/>
              <w:rPr>
                <w:i/>
                <w:sz w:val="15"/>
              </w:rPr>
            </w:pPr>
            <w:r>
              <w:rPr>
                <w:i/>
                <w:color w:val="231F20"/>
                <w:spacing w:val="-4"/>
                <w:w w:val="105"/>
                <w:sz w:val="15"/>
              </w:rPr>
              <w:t>SETX</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Senataxin</w:t>
            </w:r>
          </w:p>
        </w:tc>
        <w:tc>
          <w:tcPr>
            <w:tcW w:w="1897" w:type="dxa"/>
            <w:tcBorders>
              <w:top w:val="single" w:sz="4" w:space="0" w:color="FFFFFF"/>
              <w:bottom w:val="single" w:sz="4" w:space="0" w:color="FFFFFF"/>
            </w:tcBorders>
            <w:shd w:val="clear" w:color="auto" w:fill="E8F5F1"/>
          </w:tcPr>
          <w:p>
            <w:pPr>
              <w:pStyle w:val="TableParagraph"/>
              <w:spacing w:line="230" w:lineRule="auto" w:before="48"/>
              <w:ind w:left="245" w:right="304" w:hanging="112"/>
              <w:rPr>
                <w:sz w:val="15"/>
              </w:rPr>
            </w:pPr>
            <w:r>
              <w:rPr>
                <w:color w:val="231F20"/>
                <w:spacing w:val="-2"/>
                <w:sz w:val="15"/>
              </w:rPr>
              <w:t>Frameshift,</w:t>
            </w:r>
            <w:r>
              <w:rPr>
                <w:color w:val="231F20"/>
                <w:spacing w:val="-10"/>
                <w:sz w:val="15"/>
              </w:rPr>
              <w:t> </w:t>
            </w:r>
            <w:r>
              <w:rPr>
                <w:color w:val="231F20"/>
                <w:spacing w:val="-2"/>
                <w:sz w:val="15"/>
              </w:rPr>
              <w:t>missense, </w:t>
            </w:r>
            <w:r>
              <w:rPr>
                <w:color w:val="231F20"/>
                <w:sz w:val="15"/>
              </w:rPr>
              <w:t>nonsense</w:t>
            </w:r>
            <w:r>
              <w:rPr>
                <w:color w:val="231F20"/>
                <w:spacing w:val="19"/>
                <w:sz w:val="15"/>
              </w:rPr>
              <w:t> </w:t>
            </w:r>
            <w:r>
              <w:rPr>
                <w:color w:val="231F20"/>
                <w:spacing w:val="-2"/>
                <w:sz w:val="15"/>
              </w:rPr>
              <w:t>mutations</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9-</w:t>
            </w:r>
            <w:r>
              <w:rPr>
                <w:color w:val="231F20"/>
                <w:spacing w:val="-5"/>
                <w:sz w:val="15"/>
              </w:rPr>
              <w:t>22</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SCAR2</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sz w:val="15"/>
              </w:rPr>
              <w:t>9q34–qter</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2"/>
                <w:sz w:val="15"/>
              </w:rPr>
              <w:t>Congenital</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SCAR3</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w w:val="105"/>
                <w:sz w:val="15"/>
              </w:rPr>
              <w:t>6p23–p21</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3-</w:t>
            </w:r>
            <w:r>
              <w:rPr>
                <w:color w:val="231F20"/>
                <w:spacing w:val="-5"/>
                <w:sz w:val="15"/>
              </w:rPr>
              <w:t>52</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SCAR4</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4"/>
                <w:sz w:val="15"/>
              </w:rPr>
              <w:t>1p36</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23-</w:t>
            </w:r>
            <w:r>
              <w:rPr>
                <w:color w:val="231F20"/>
                <w:spacing w:val="-5"/>
                <w:sz w:val="15"/>
              </w:rPr>
              <w:t>39</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SCAR5</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w w:val="105"/>
                <w:sz w:val="15"/>
              </w:rPr>
              <w:t>15q24–q26</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4"/>
                <w:sz w:val="15"/>
              </w:rPr>
              <w:t>1-</w:t>
            </w:r>
            <w:r>
              <w:rPr>
                <w:color w:val="231F20"/>
                <w:spacing w:val="-5"/>
                <w:sz w:val="15"/>
              </w:rPr>
              <w:t>10</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SCAR6</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w w:val="105"/>
                <w:sz w:val="15"/>
              </w:rPr>
              <w:t>20q11–q13</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2"/>
                <w:sz w:val="15"/>
              </w:rPr>
              <w:t>Infancy</w:t>
            </w:r>
          </w:p>
        </w:tc>
      </w:tr>
      <w:tr>
        <w:trPr>
          <w:trHeight w:val="252" w:hRule="atLeast"/>
        </w:trPr>
        <w:tc>
          <w:tcPr>
            <w:tcW w:w="201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SCAR7</w:t>
            </w:r>
          </w:p>
        </w:tc>
        <w:tc>
          <w:tcPr>
            <w:tcW w:w="1696" w:type="dxa"/>
            <w:tcBorders>
              <w:top w:val="single" w:sz="4" w:space="0" w:color="FFFFFF"/>
              <w:bottom w:val="single" w:sz="4" w:space="0" w:color="FFFFFF"/>
            </w:tcBorders>
            <w:shd w:val="clear" w:color="auto" w:fill="E8F5F1"/>
          </w:tcPr>
          <w:p>
            <w:pPr>
              <w:pStyle w:val="TableParagraph"/>
              <w:spacing w:before="42"/>
              <w:ind w:left="413"/>
              <w:rPr>
                <w:sz w:val="15"/>
              </w:rPr>
            </w:pPr>
            <w:r>
              <w:rPr>
                <w:color w:val="231F20"/>
                <w:spacing w:val="-2"/>
                <w:sz w:val="15"/>
              </w:rPr>
              <w:t>11p15</w:t>
            </w:r>
          </w:p>
        </w:tc>
        <w:tc>
          <w:tcPr>
            <w:tcW w:w="88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Unknown</w:t>
            </w:r>
          </w:p>
        </w:tc>
        <w:tc>
          <w:tcPr>
            <w:tcW w:w="1476"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897"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2"/>
                <w:sz w:val="15"/>
              </w:rPr>
              <w:t>Unknown</w:t>
            </w:r>
          </w:p>
        </w:tc>
        <w:tc>
          <w:tcPr>
            <w:tcW w:w="177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2"/>
                <w:w w:val="105"/>
                <w:sz w:val="15"/>
              </w:rPr>
              <w:t>Childhood</w:t>
            </w:r>
          </w:p>
        </w:tc>
      </w:tr>
      <w:tr>
        <w:trPr>
          <w:trHeight w:val="418" w:hRule="atLeast"/>
        </w:trPr>
        <w:tc>
          <w:tcPr>
            <w:tcW w:w="201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w w:val="110"/>
                <w:sz w:val="15"/>
              </w:rPr>
              <w:t>SCAR8</w:t>
            </w:r>
          </w:p>
        </w:tc>
        <w:tc>
          <w:tcPr>
            <w:tcW w:w="1696" w:type="dxa"/>
            <w:tcBorders>
              <w:top w:val="single" w:sz="4" w:space="0" w:color="FFFFFF"/>
              <w:bottom w:val="single" w:sz="8" w:space="0" w:color="231F20"/>
            </w:tcBorders>
            <w:shd w:val="clear" w:color="auto" w:fill="E8F5F1"/>
          </w:tcPr>
          <w:p>
            <w:pPr>
              <w:pStyle w:val="TableParagraph"/>
              <w:spacing w:before="42"/>
              <w:ind w:left="413"/>
              <w:rPr>
                <w:sz w:val="15"/>
              </w:rPr>
            </w:pPr>
            <w:r>
              <w:rPr>
                <w:color w:val="231F20"/>
                <w:spacing w:val="-2"/>
                <w:sz w:val="15"/>
              </w:rPr>
              <w:t>11p15</w:t>
            </w:r>
          </w:p>
        </w:tc>
        <w:tc>
          <w:tcPr>
            <w:tcW w:w="887" w:type="dxa"/>
            <w:tcBorders>
              <w:top w:val="single" w:sz="4" w:space="0" w:color="FFFFFF"/>
              <w:bottom w:val="single" w:sz="8" w:space="0" w:color="231F20"/>
            </w:tcBorders>
            <w:shd w:val="clear" w:color="auto" w:fill="E8F5F1"/>
          </w:tcPr>
          <w:p>
            <w:pPr>
              <w:pStyle w:val="TableParagraph"/>
              <w:spacing w:before="42"/>
              <w:ind w:left="134"/>
              <w:rPr>
                <w:i/>
                <w:sz w:val="15"/>
              </w:rPr>
            </w:pPr>
            <w:r>
              <w:rPr>
                <w:i/>
                <w:color w:val="231F20"/>
                <w:spacing w:val="-2"/>
                <w:w w:val="110"/>
                <w:sz w:val="15"/>
              </w:rPr>
              <w:t>SYNE1</w:t>
            </w:r>
          </w:p>
        </w:tc>
        <w:tc>
          <w:tcPr>
            <w:tcW w:w="1476" w:type="dxa"/>
            <w:tcBorders>
              <w:top w:val="single" w:sz="4" w:space="0" w:color="FFFFFF"/>
              <w:bottom w:val="single" w:sz="8" w:space="0" w:color="231F20"/>
            </w:tcBorders>
            <w:shd w:val="clear" w:color="auto" w:fill="E8F5F1"/>
          </w:tcPr>
          <w:p>
            <w:pPr>
              <w:pStyle w:val="TableParagraph"/>
              <w:spacing w:before="42"/>
              <w:ind w:left="133"/>
              <w:rPr>
                <w:sz w:val="15"/>
              </w:rPr>
            </w:pPr>
            <w:r>
              <w:rPr>
                <w:color w:val="231F20"/>
                <w:spacing w:val="-2"/>
                <w:w w:val="110"/>
                <w:sz w:val="15"/>
              </w:rPr>
              <w:t>SYNE1</w:t>
            </w:r>
          </w:p>
        </w:tc>
        <w:tc>
          <w:tcPr>
            <w:tcW w:w="1897" w:type="dxa"/>
            <w:tcBorders>
              <w:top w:val="single" w:sz="4" w:space="0" w:color="FFFFFF"/>
              <w:bottom w:val="single" w:sz="8" w:space="0" w:color="231F20"/>
            </w:tcBorders>
            <w:shd w:val="clear" w:color="auto" w:fill="E8F5F1"/>
          </w:tcPr>
          <w:p>
            <w:pPr>
              <w:pStyle w:val="TableParagraph"/>
              <w:spacing w:line="230" w:lineRule="auto" w:before="48"/>
              <w:ind w:left="245" w:right="304" w:hanging="112"/>
              <w:rPr>
                <w:sz w:val="15"/>
              </w:rPr>
            </w:pPr>
            <w:r>
              <w:rPr>
                <w:color w:val="231F20"/>
                <w:sz w:val="15"/>
              </w:rPr>
              <w:t>Splice site mutation, nonsense</w:t>
            </w:r>
            <w:r>
              <w:rPr>
                <w:color w:val="231F20"/>
                <w:spacing w:val="19"/>
                <w:sz w:val="15"/>
              </w:rPr>
              <w:t> </w:t>
            </w:r>
            <w:r>
              <w:rPr>
                <w:color w:val="231F20"/>
                <w:spacing w:val="-2"/>
                <w:sz w:val="15"/>
              </w:rPr>
              <w:t>mutations</w:t>
            </w:r>
          </w:p>
        </w:tc>
        <w:tc>
          <w:tcPr>
            <w:tcW w:w="1775" w:type="dxa"/>
            <w:tcBorders>
              <w:top w:val="single" w:sz="4" w:space="0" w:color="FFFFFF"/>
              <w:bottom w:val="single" w:sz="8" w:space="0" w:color="231F20"/>
            </w:tcBorders>
            <w:shd w:val="clear" w:color="auto" w:fill="E8F5F1"/>
          </w:tcPr>
          <w:p>
            <w:pPr>
              <w:pStyle w:val="TableParagraph"/>
              <w:spacing w:before="42"/>
              <w:ind w:left="256"/>
              <w:rPr>
                <w:sz w:val="15"/>
              </w:rPr>
            </w:pPr>
            <w:r>
              <w:rPr>
                <w:color w:val="231F20"/>
                <w:spacing w:val="-4"/>
                <w:sz w:val="15"/>
              </w:rPr>
              <w:t>17-</w:t>
            </w:r>
            <w:r>
              <w:rPr>
                <w:color w:val="231F20"/>
                <w:spacing w:val="-5"/>
                <w:sz w:val="15"/>
              </w:rPr>
              <w:t>46</w:t>
            </w:r>
          </w:p>
        </w:tc>
      </w:tr>
    </w:tbl>
    <w:p>
      <w:pPr>
        <w:pStyle w:val="Heading7"/>
        <w:spacing w:before="65"/>
        <w:ind w:right="344"/>
        <w:rPr>
          <w:rFonts w:ascii="Trebuchet MS"/>
        </w:rPr>
      </w:pPr>
      <w:r>
        <w:rPr>
          <w:rFonts w:ascii="Trebuchet MS"/>
          <w:color w:val="231F20"/>
          <w:spacing w:val="-2"/>
        </w:rPr>
        <w:t>Continued</w:t>
      </w:r>
    </w:p>
    <w:p>
      <w:pPr>
        <w:pStyle w:val="Heading7"/>
        <w:spacing w:after="0"/>
        <w:rPr>
          <w:rFonts w:ascii="Trebuchet MS"/>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36" name="Group 736"/>
                <wp:cNvGraphicFramePr>
                  <a:graphicFrameLocks/>
                </wp:cNvGraphicFramePr>
                <a:graphic>
                  <a:graphicData uri="http://schemas.microsoft.com/office/word/2010/wordprocessingGroup">
                    <wpg:wgp>
                      <wpg:cNvPr id="736" name="Group 736"/>
                      <wpg:cNvGrpSpPr/>
                      <wpg:grpSpPr>
                        <a:xfrm>
                          <a:off x="0" y="0"/>
                          <a:ext cx="6185535" cy="170815"/>
                          <a:chExt cx="6185535" cy="170815"/>
                        </a:xfrm>
                      </wpg:grpSpPr>
                      <wps:wsp>
                        <wps:cNvPr id="737" name="Graphic 737"/>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38" name="Graphic 738"/>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39" name="Textbox 739"/>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2886</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21"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22" filled="false" stroked="false">
                  <v:textbox inset="0,0,0,0">
                    <w:txbxContent>
                      <w:p>
                        <w:pPr>
                          <w:spacing w:before="6"/>
                          <w:ind w:left="-1" w:right="0" w:firstLine="0"/>
                          <w:jc w:val="left"/>
                          <w:rPr>
                            <w:sz w:val="18"/>
                          </w:rPr>
                        </w:pPr>
                        <w:r>
                          <w:rPr>
                            <w:b/>
                            <w:color w:val="231F20"/>
                            <w:w w:val="105"/>
                            <w:sz w:val="18"/>
                          </w:rPr>
                          <w:t>2886</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143"/>
        <w:gridCol w:w="1417"/>
        <w:gridCol w:w="852"/>
        <w:gridCol w:w="1511"/>
        <w:gridCol w:w="2020"/>
        <w:gridCol w:w="1652"/>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4</w:t>
            </w:r>
          </w:p>
        </w:tc>
        <w:tc>
          <w:tcPr>
            <w:tcW w:w="8595" w:type="dxa"/>
            <w:gridSpan w:val="6"/>
            <w:tcBorders>
              <w:left w:val="single" w:sz="8" w:space="0" w:color="FFFFFF"/>
            </w:tcBorders>
            <w:shd w:val="clear" w:color="auto" w:fill="231F20"/>
          </w:tcPr>
          <w:p>
            <w:pPr>
              <w:pStyle w:val="TableParagraph"/>
              <w:spacing w:before="89"/>
              <w:ind w:left="73"/>
              <w:rPr>
                <w:sz w:val="16"/>
              </w:rPr>
            </w:pPr>
            <w:r>
              <w:rPr>
                <w:color w:val="FFFFFF"/>
                <w:w w:val="105"/>
                <w:sz w:val="16"/>
              </w:rPr>
              <w:t>Autosomal-Recessive</w:t>
            </w:r>
            <w:r>
              <w:rPr>
                <w:color w:val="FFFFFF"/>
                <w:spacing w:val="24"/>
                <w:w w:val="105"/>
                <w:sz w:val="16"/>
              </w:rPr>
              <w:t> </w:t>
            </w:r>
            <w:r>
              <w:rPr>
                <w:color w:val="FFFFFF"/>
                <w:w w:val="105"/>
                <w:sz w:val="16"/>
              </w:rPr>
              <w:t>Cerebellar</w:t>
            </w:r>
            <w:r>
              <w:rPr>
                <w:color w:val="FFFFFF"/>
                <w:spacing w:val="25"/>
                <w:w w:val="105"/>
                <w:sz w:val="16"/>
              </w:rPr>
              <w:t> </w:t>
            </w:r>
            <w:r>
              <w:rPr>
                <w:color w:val="FFFFFF"/>
                <w:w w:val="105"/>
                <w:sz w:val="16"/>
              </w:rPr>
              <w:t>Ataxias—</w:t>
            </w:r>
            <w:r>
              <w:rPr>
                <w:color w:val="FFFFFF"/>
                <w:spacing w:val="-2"/>
                <w:w w:val="105"/>
                <w:sz w:val="16"/>
              </w:rPr>
              <w:t>cont’d</w:t>
            </w:r>
          </w:p>
        </w:tc>
      </w:tr>
      <w:tr>
        <w:trPr>
          <w:trHeight w:val="276" w:hRule="atLeast"/>
        </w:trPr>
        <w:tc>
          <w:tcPr>
            <w:tcW w:w="2291"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ATAXIA</w:t>
            </w:r>
          </w:p>
        </w:tc>
        <w:tc>
          <w:tcPr>
            <w:tcW w:w="1417" w:type="dxa"/>
            <w:tcBorders>
              <w:bottom w:val="single" w:sz="4" w:space="0" w:color="231F20"/>
            </w:tcBorders>
            <w:shd w:val="clear" w:color="auto" w:fill="E8F5F1"/>
          </w:tcPr>
          <w:p>
            <w:pPr>
              <w:pStyle w:val="TableParagraph"/>
              <w:spacing w:before="66"/>
              <w:ind w:left="134"/>
              <w:rPr>
                <w:b/>
                <w:sz w:val="15"/>
              </w:rPr>
            </w:pPr>
            <w:r>
              <w:rPr>
                <w:b/>
                <w:color w:val="231F20"/>
                <w:spacing w:val="-2"/>
                <w:w w:val="115"/>
                <w:sz w:val="15"/>
              </w:rPr>
              <w:t>CHROMOSOME</w:t>
            </w:r>
          </w:p>
        </w:tc>
        <w:tc>
          <w:tcPr>
            <w:tcW w:w="852" w:type="dxa"/>
            <w:tcBorders>
              <w:bottom w:val="single" w:sz="4" w:space="0" w:color="231F20"/>
            </w:tcBorders>
            <w:shd w:val="clear" w:color="auto" w:fill="E8F5F1"/>
          </w:tcPr>
          <w:p>
            <w:pPr>
              <w:pStyle w:val="TableParagraph"/>
              <w:spacing w:before="66"/>
              <w:ind w:right="155"/>
              <w:jc w:val="center"/>
              <w:rPr>
                <w:b/>
                <w:sz w:val="15"/>
              </w:rPr>
            </w:pPr>
            <w:r>
              <w:rPr>
                <w:b/>
                <w:color w:val="231F20"/>
                <w:spacing w:val="-4"/>
                <w:w w:val="115"/>
                <w:sz w:val="15"/>
              </w:rPr>
              <w:t>GENE</w:t>
            </w:r>
          </w:p>
        </w:tc>
        <w:tc>
          <w:tcPr>
            <w:tcW w:w="1511" w:type="dxa"/>
            <w:tcBorders>
              <w:bottom w:val="single" w:sz="4" w:space="0" w:color="231F20"/>
            </w:tcBorders>
            <w:shd w:val="clear" w:color="auto" w:fill="E8F5F1"/>
          </w:tcPr>
          <w:p>
            <w:pPr>
              <w:pStyle w:val="TableParagraph"/>
              <w:spacing w:before="66"/>
              <w:ind w:left="169"/>
              <w:rPr>
                <w:b/>
                <w:sz w:val="15"/>
              </w:rPr>
            </w:pPr>
            <w:r>
              <w:rPr>
                <w:b/>
                <w:color w:val="231F20"/>
                <w:w w:val="110"/>
                <w:sz w:val="15"/>
              </w:rPr>
              <w:t>GENE</w:t>
            </w:r>
            <w:r>
              <w:rPr>
                <w:b/>
                <w:color w:val="231F20"/>
                <w:spacing w:val="17"/>
                <w:w w:val="110"/>
                <w:sz w:val="15"/>
              </w:rPr>
              <w:t> </w:t>
            </w:r>
            <w:r>
              <w:rPr>
                <w:b/>
                <w:color w:val="231F20"/>
                <w:spacing w:val="-2"/>
                <w:w w:val="110"/>
                <w:sz w:val="15"/>
              </w:rPr>
              <w:t>PRODUCT</w:t>
            </w:r>
          </w:p>
        </w:tc>
        <w:tc>
          <w:tcPr>
            <w:tcW w:w="2020" w:type="dxa"/>
            <w:tcBorders>
              <w:bottom w:val="single" w:sz="4" w:space="0" w:color="231F20"/>
            </w:tcBorders>
            <w:shd w:val="clear" w:color="auto" w:fill="E8F5F1"/>
          </w:tcPr>
          <w:p>
            <w:pPr>
              <w:pStyle w:val="TableParagraph"/>
              <w:spacing w:before="66"/>
              <w:ind w:left="134"/>
              <w:rPr>
                <w:b/>
                <w:sz w:val="15"/>
              </w:rPr>
            </w:pPr>
            <w:r>
              <w:rPr>
                <w:b/>
                <w:color w:val="231F20"/>
                <w:spacing w:val="-2"/>
                <w:w w:val="115"/>
                <w:sz w:val="15"/>
              </w:rPr>
              <w:t>MECHANISM</w:t>
            </w:r>
          </w:p>
        </w:tc>
        <w:tc>
          <w:tcPr>
            <w:tcW w:w="1652" w:type="dxa"/>
            <w:tcBorders>
              <w:bottom w:val="single" w:sz="4" w:space="0" w:color="231F20"/>
            </w:tcBorders>
            <w:shd w:val="clear" w:color="auto" w:fill="E8F5F1"/>
          </w:tcPr>
          <w:p>
            <w:pPr>
              <w:pStyle w:val="TableParagraph"/>
              <w:spacing w:before="66"/>
              <w:ind w:left="133"/>
              <w:rPr>
                <w:b/>
                <w:sz w:val="15"/>
              </w:rPr>
            </w:pPr>
            <w:r>
              <w:rPr>
                <w:b/>
                <w:color w:val="231F20"/>
                <w:w w:val="110"/>
                <w:sz w:val="15"/>
              </w:rPr>
              <w:t>AGE</w:t>
            </w:r>
            <w:r>
              <w:rPr>
                <w:b/>
                <w:color w:val="231F20"/>
                <w:spacing w:val="7"/>
                <w:w w:val="110"/>
                <w:sz w:val="15"/>
              </w:rPr>
              <w:t> </w:t>
            </w:r>
            <w:r>
              <w:rPr>
                <w:b/>
                <w:color w:val="231F20"/>
                <w:w w:val="110"/>
                <w:sz w:val="15"/>
              </w:rPr>
              <w:t>OF</w:t>
            </w:r>
            <w:r>
              <w:rPr>
                <w:b/>
                <w:color w:val="231F20"/>
                <w:spacing w:val="8"/>
                <w:w w:val="110"/>
                <w:sz w:val="15"/>
              </w:rPr>
              <w:t> </w:t>
            </w:r>
            <w:r>
              <w:rPr>
                <w:b/>
                <w:color w:val="231F20"/>
                <w:w w:val="110"/>
                <w:sz w:val="15"/>
              </w:rPr>
              <w:t>ONSET</w:t>
            </w:r>
            <w:r>
              <w:rPr>
                <w:b/>
                <w:color w:val="231F20"/>
                <w:spacing w:val="8"/>
                <w:w w:val="110"/>
                <w:sz w:val="15"/>
              </w:rPr>
              <w:t> </w:t>
            </w:r>
            <w:r>
              <w:rPr>
                <w:b/>
                <w:color w:val="231F20"/>
                <w:spacing w:val="-4"/>
                <w:w w:val="110"/>
                <w:sz w:val="15"/>
              </w:rPr>
              <w:t>(yr)</w:t>
            </w:r>
          </w:p>
        </w:tc>
      </w:tr>
      <w:tr>
        <w:trPr>
          <w:trHeight w:val="588" w:hRule="atLeast"/>
        </w:trPr>
        <w:tc>
          <w:tcPr>
            <w:tcW w:w="2291" w:type="dxa"/>
            <w:gridSpan w:val="2"/>
            <w:tcBorders>
              <w:top w:val="single" w:sz="4" w:space="0" w:color="231F20"/>
              <w:bottom w:val="single" w:sz="4" w:space="0" w:color="FFFFFF"/>
            </w:tcBorders>
            <w:shd w:val="clear" w:color="auto" w:fill="E8F5F1"/>
          </w:tcPr>
          <w:p>
            <w:pPr>
              <w:pStyle w:val="TableParagraph"/>
              <w:spacing w:before="42"/>
              <w:ind w:left="74"/>
              <w:rPr>
                <w:sz w:val="15"/>
              </w:rPr>
            </w:pPr>
            <w:r>
              <w:rPr>
                <w:color w:val="231F20"/>
                <w:spacing w:val="-2"/>
                <w:w w:val="110"/>
                <w:sz w:val="15"/>
              </w:rPr>
              <w:t>SCAR9</w:t>
            </w:r>
          </w:p>
        </w:tc>
        <w:tc>
          <w:tcPr>
            <w:tcW w:w="1417" w:type="dxa"/>
            <w:tcBorders>
              <w:top w:val="single" w:sz="4" w:space="0" w:color="231F20"/>
              <w:bottom w:val="single" w:sz="4" w:space="0" w:color="FFFFFF"/>
            </w:tcBorders>
            <w:shd w:val="clear" w:color="auto" w:fill="E8F5F1"/>
          </w:tcPr>
          <w:p>
            <w:pPr>
              <w:pStyle w:val="TableParagraph"/>
              <w:spacing w:before="42"/>
              <w:ind w:left="134"/>
              <w:rPr>
                <w:sz w:val="15"/>
              </w:rPr>
            </w:pPr>
            <w:r>
              <w:rPr>
                <w:color w:val="231F20"/>
                <w:spacing w:val="-4"/>
                <w:sz w:val="15"/>
              </w:rPr>
              <w:t>1q41</w:t>
            </w:r>
          </w:p>
        </w:tc>
        <w:tc>
          <w:tcPr>
            <w:tcW w:w="852" w:type="dxa"/>
            <w:tcBorders>
              <w:top w:val="single" w:sz="4" w:space="0" w:color="231F20"/>
              <w:bottom w:val="single" w:sz="4" w:space="0" w:color="FFFFFF"/>
            </w:tcBorders>
            <w:shd w:val="clear" w:color="auto" w:fill="E8F5F1"/>
          </w:tcPr>
          <w:p>
            <w:pPr>
              <w:pStyle w:val="TableParagraph"/>
              <w:spacing w:before="42"/>
              <w:ind w:left="61" w:right="155"/>
              <w:jc w:val="center"/>
              <w:rPr>
                <w:i/>
                <w:sz w:val="15"/>
              </w:rPr>
            </w:pPr>
            <w:r>
              <w:rPr>
                <w:i/>
                <w:color w:val="231F20"/>
                <w:spacing w:val="-2"/>
                <w:w w:val="110"/>
                <w:sz w:val="15"/>
              </w:rPr>
              <w:t>ADCK3</w:t>
            </w:r>
          </w:p>
        </w:tc>
        <w:tc>
          <w:tcPr>
            <w:tcW w:w="1511" w:type="dxa"/>
            <w:tcBorders>
              <w:top w:val="single" w:sz="4" w:space="0" w:color="231F20"/>
              <w:bottom w:val="single" w:sz="4" w:space="0" w:color="FFFFFF"/>
            </w:tcBorders>
            <w:shd w:val="clear" w:color="auto" w:fill="E8F5F1"/>
          </w:tcPr>
          <w:p>
            <w:pPr>
              <w:pStyle w:val="TableParagraph"/>
              <w:spacing w:before="42"/>
              <w:ind w:left="169"/>
              <w:rPr>
                <w:sz w:val="15"/>
              </w:rPr>
            </w:pPr>
            <w:r>
              <w:rPr>
                <w:color w:val="231F20"/>
                <w:spacing w:val="-2"/>
                <w:w w:val="110"/>
                <w:sz w:val="15"/>
              </w:rPr>
              <w:t>ADCK3</w:t>
            </w:r>
          </w:p>
        </w:tc>
        <w:tc>
          <w:tcPr>
            <w:tcW w:w="2020" w:type="dxa"/>
            <w:tcBorders>
              <w:top w:val="single" w:sz="4" w:space="0" w:color="231F20"/>
              <w:bottom w:val="single" w:sz="4" w:space="0" w:color="FFFFFF"/>
            </w:tcBorders>
            <w:shd w:val="clear" w:color="auto" w:fill="E8F5F1"/>
          </w:tcPr>
          <w:p>
            <w:pPr>
              <w:pStyle w:val="TableParagraph"/>
              <w:spacing w:line="230" w:lineRule="auto" w:before="48"/>
              <w:ind w:left="246" w:hanging="112"/>
              <w:rPr>
                <w:sz w:val="15"/>
              </w:rPr>
            </w:pPr>
            <w:r>
              <w:rPr>
                <w:color w:val="231F20"/>
                <w:sz w:val="15"/>
              </w:rPr>
              <w:t>Splice</w:t>
            </w:r>
            <w:r>
              <w:rPr>
                <w:color w:val="231F20"/>
                <w:spacing w:val="-3"/>
                <w:sz w:val="15"/>
              </w:rPr>
              <w:t> </w:t>
            </w:r>
            <w:r>
              <w:rPr>
                <w:color w:val="231F20"/>
                <w:sz w:val="15"/>
              </w:rPr>
              <w:t>site</w:t>
            </w:r>
            <w:r>
              <w:rPr>
                <w:color w:val="231F20"/>
                <w:spacing w:val="-3"/>
                <w:sz w:val="15"/>
              </w:rPr>
              <w:t> </w:t>
            </w:r>
            <w:r>
              <w:rPr>
                <w:color w:val="231F20"/>
                <w:sz w:val="15"/>
              </w:rPr>
              <w:t>mutation, missense,</w:t>
            </w:r>
            <w:r>
              <w:rPr>
                <w:color w:val="231F20"/>
                <w:spacing w:val="-12"/>
                <w:sz w:val="15"/>
              </w:rPr>
              <w:t> </w:t>
            </w:r>
            <w:r>
              <w:rPr>
                <w:color w:val="231F20"/>
                <w:sz w:val="15"/>
              </w:rPr>
              <w:t>nonsense </w:t>
            </w:r>
            <w:r>
              <w:rPr>
                <w:color w:val="231F20"/>
                <w:spacing w:val="-2"/>
                <w:sz w:val="15"/>
              </w:rPr>
              <w:t>mutations</w:t>
            </w:r>
          </w:p>
        </w:tc>
        <w:tc>
          <w:tcPr>
            <w:tcW w:w="1652" w:type="dxa"/>
            <w:tcBorders>
              <w:top w:val="single" w:sz="4" w:space="0" w:color="231F20"/>
              <w:bottom w:val="single" w:sz="4" w:space="0" w:color="FFFFFF"/>
            </w:tcBorders>
            <w:shd w:val="clear" w:color="auto" w:fill="E8F5F1"/>
          </w:tcPr>
          <w:p>
            <w:pPr>
              <w:pStyle w:val="TableParagraph"/>
              <w:spacing w:before="42"/>
              <w:ind w:left="133"/>
              <w:rPr>
                <w:sz w:val="15"/>
              </w:rPr>
            </w:pPr>
            <w:r>
              <w:rPr>
                <w:color w:val="231F20"/>
                <w:spacing w:val="-4"/>
                <w:sz w:val="15"/>
              </w:rPr>
              <w:t>3-</w:t>
            </w:r>
            <w:r>
              <w:rPr>
                <w:color w:val="231F20"/>
                <w:spacing w:val="-5"/>
                <w:sz w:val="15"/>
              </w:rPr>
              <w:t>11</w:t>
            </w:r>
          </w:p>
        </w:tc>
      </w:tr>
      <w:tr>
        <w:trPr>
          <w:trHeight w:val="252" w:hRule="atLeast"/>
        </w:trPr>
        <w:tc>
          <w:tcPr>
            <w:tcW w:w="229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Ataxia,</w:t>
            </w:r>
            <w:r>
              <w:rPr>
                <w:color w:val="231F20"/>
                <w:spacing w:val="-9"/>
                <w:sz w:val="15"/>
              </w:rPr>
              <w:t> </w:t>
            </w:r>
            <w:r>
              <w:rPr>
                <w:color w:val="231F20"/>
                <w:sz w:val="15"/>
              </w:rPr>
              <w:t>Cayman</w:t>
            </w:r>
            <w:r>
              <w:rPr>
                <w:color w:val="231F20"/>
                <w:spacing w:val="-8"/>
                <w:sz w:val="15"/>
              </w:rPr>
              <w:t> </w:t>
            </w:r>
            <w:r>
              <w:rPr>
                <w:color w:val="231F20"/>
                <w:spacing w:val="-4"/>
                <w:sz w:val="15"/>
              </w:rPr>
              <w:t>type</w:t>
            </w:r>
          </w:p>
        </w:tc>
        <w:tc>
          <w:tcPr>
            <w:tcW w:w="141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19q13.3</w:t>
            </w:r>
          </w:p>
        </w:tc>
        <w:tc>
          <w:tcPr>
            <w:tcW w:w="852" w:type="dxa"/>
            <w:tcBorders>
              <w:top w:val="single" w:sz="4" w:space="0" w:color="FFFFFF"/>
              <w:bottom w:val="single" w:sz="4" w:space="0" w:color="FFFFFF"/>
            </w:tcBorders>
            <w:shd w:val="clear" w:color="auto" w:fill="E8F5F1"/>
          </w:tcPr>
          <w:p>
            <w:pPr>
              <w:pStyle w:val="TableParagraph"/>
              <w:spacing w:before="42"/>
              <w:ind w:left="55" w:right="155"/>
              <w:jc w:val="center"/>
              <w:rPr>
                <w:i/>
                <w:sz w:val="15"/>
              </w:rPr>
            </w:pPr>
            <w:r>
              <w:rPr>
                <w:i/>
                <w:color w:val="231F20"/>
                <w:spacing w:val="-2"/>
                <w:w w:val="105"/>
                <w:sz w:val="15"/>
              </w:rPr>
              <w:t>ATCAY</w:t>
            </w:r>
          </w:p>
        </w:tc>
        <w:tc>
          <w:tcPr>
            <w:tcW w:w="1511" w:type="dxa"/>
            <w:tcBorders>
              <w:top w:val="single" w:sz="4" w:space="0" w:color="FFFFFF"/>
              <w:bottom w:val="single" w:sz="4" w:space="0" w:color="FFFFFF"/>
            </w:tcBorders>
            <w:shd w:val="clear" w:color="auto" w:fill="E8F5F1"/>
          </w:tcPr>
          <w:p>
            <w:pPr>
              <w:pStyle w:val="TableParagraph"/>
              <w:spacing w:before="42"/>
              <w:ind w:left="169"/>
              <w:rPr>
                <w:sz w:val="15"/>
              </w:rPr>
            </w:pPr>
            <w:r>
              <w:rPr>
                <w:color w:val="231F20"/>
                <w:spacing w:val="-2"/>
                <w:sz w:val="15"/>
              </w:rPr>
              <w:t>Caytaxin</w:t>
            </w:r>
          </w:p>
        </w:tc>
        <w:tc>
          <w:tcPr>
            <w:tcW w:w="2020"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z w:val="15"/>
              </w:rPr>
              <w:t>Missense</w:t>
            </w:r>
            <w:r>
              <w:rPr>
                <w:color w:val="231F20"/>
                <w:spacing w:val="29"/>
                <w:sz w:val="15"/>
              </w:rPr>
              <w:t> </w:t>
            </w:r>
            <w:r>
              <w:rPr>
                <w:color w:val="231F20"/>
                <w:spacing w:val="-2"/>
                <w:sz w:val="15"/>
              </w:rPr>
              <w:t>mutation</w:t>
            </w:r>
          </w:p>
        </w:tc>
        <w:tc>
          <w:tcPr>
            <w:tcW w:w="1652"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4"/>
                <w:sz w:val="15"/>
              </w:rPr>
              <w:t>Birth</w:t>
            </w:r>
          </w:p>
        </w:tc>
      </w:tr>
      <w:tr>
        <w:trPr>
          <w:trHeight w:val="252" w:hRule="atLeast"/>
        </w:trPr>
        <w:tc>
          <w:tcPr>
            <w:tcW w:w="229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5"/>
                <w:sz w:val="15"/>
              </w:rPr>
              <w:t>IOSCA</w:t>
            </w:r>
          </w:p>
        </w:tc>
        <w:tc>
          <w:tcPr>
            <w:tcW w:w="141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10q24</w:t>
            </w:r>
          </w:p>
        </w:tc>
        <w:tc>
          <w:tcPr>
            <w:tcW w:w="852" w:type="dxa"/>
            <w:tcBorders>
              <w:top w:val="single" w:sz="4" w:space="0" w:color="FFFFFF"/>
              <w:bottom w:val="single" w:sz="4" w:space="0" w:color="FFFFFF"/>
            </w:tcBorders>
            <w:shd w:val="clear" w:color="auto" w:fill="E8F5F1"/>
          </w:tcPr>
          <w:p>
            <w:pPr>
              <w:pStyle w:val="TableParagraph"/>
              <w:spacing w:before="42"/>
              <w:ind w:left="94" w:right="155"/>
              <w:jc w:val="center"/>
              <w:rPr>
                <w:i/>
                <w:sz w:val="15"/>
              </w:rPr>
            </w:pPr>
            <w:r>
              <w:rPr>
                <w:i/>
                <w:color w:val="231F20"/>
                <w:spacing w:val="-2"/>
                <w:sz w:val="15"/>
              </w:rPr>
              <w:t>C10orf2</w:t>
            </w:r>
          </w:p>
        </w:tc>
        <w:tc>
          <w:tcPr>
            <w:tcW w:w="1511" w:type="dxa"/>
            <w:tcBorders>
              <w:top w:val="single" w:sz="4" w:space="0" w:color="FFFFFF"/>
              <w:bottom w:val="single" w:sz="4" w:space="0" w:color="FFFFFF"/>
            </w:tcBorders>
            <w:shd w:val="clear" w:color="auto" w:fill="E8F5F1"/>
          </w:tcPr>
          <w:p>
            <w:pPr>
              <w:pStyle w:val="TableParagraph"/>
              <w:spacing w:before="42"/>
              <w:ind w:left="169"/>
              <w:rPr>
                <w:sz w:val="15"/>
              </w:rPr>
            </w:pPr>
            <w:r>
              <w:rPr>
                <w:color w:val="231F20"/>
                <w:spacing w:val="-2"/>
                <w:sz w:val="15"/>
              </w:rPr>
              <w:t>Twinkle</w:t>
            </w:r>
          </w:p>
        </w:tc>
        <w:tc>
          <w:tcPr>
            <w:tcW w:w="2020"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z w:val="15"/>
              </w:rPr>
              <w:t>Missense,</w:t>
            </w:r>
            <w:r>
              <w:rPr>
                <w:color w:val="231F20"/>
                <w:spacing w:val="-4"/>
                <w:sz w:val="15"/>
              </w:rPr>
              <w:t> </w:t>
            </w:r>
            <w:r>
              <w:rPr>
                <w:color w:val="231F20"/>
                <w:sz w:val="15"/>
              </w:rPr>
              <w:t>silent</w:t>
            </w:r>
            <w:r>
              <w:rPr>
                <w:color w:val="231F20"/>
                <w:spacing w:val="-4"/>
                <w:sz w:val="15"/>
              </w:rPr>
              <w:t> </w:t>
            </w:r>
            <w:r>
              <w:rPr>
                <w:color w:val="231F20"/>
                <w:spacing w:val="-2"/>
                <w:sz w:val="15"/>
              </w:rPr>
              <w:t>mutations</w:t>
            </w:r>
          </w:p>
        </w:tc>
        <w:tc>
          <w:tcPr>
            <w:tcW w:w="1652"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z w:val="15"/>
              </w:rPr>
              <w:t>9-24</w:t>
            </w:r>
            <w:r>
              <w:rPr>
                <w:color w:val="231F20"/>
                <w:spacing w:val="-8"/>
                <w:sz w:val="15"/>
              </w:rPr>
              <w:t> </w:t>
            </w:r>
            <w:r>
              <w:rPr>
                <w:color w:val="231F20"/>
                <w:spacing w:val="-5"/>
                <w:sz w:val="15"/>
              </w:rPr>
              <w:t>mo</w:t>
            </w:r>
          </w:p>
        </w:tc>
      </w:tr>
      <w:tr>
        <w:trPr>
          <w:trHeight w:val="254" w:hRule="atLeast"/>
        </w:trPr>
        <w:tc>
          <w:tcPr>
            <w:tcW w:w="229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Progressive</w:t>
            </w:r>
            <w:r>
              <w:rPr>
                <w:color w:val="231F20"/>
                <w:spacing w:val="-3"/>
                <w:sz w:val="15"/>
              </w:rPr>
              <w:t> </w:t>
            </w:r>
            <w:r>
              <w:rPr>
                <w:color w:val="231F20"/>
                <w:sz w:val="15"/>
              </w:rPr>
              <w:t>myoclonic</w:t>
            </w:r>
            <w:r>
              <w:rPr>
                <w:color w:val="231F20"/>
                <w:spacing w:val="-2"/>
                <w:sz w:val="15"/>
              </w:rPr>
              <w:t> epilepsy</w:t>
            </w:r>
          </w:p>
        </w:tc>
        <w:tc>
          <w:tcPr>
            <w:tcW w:w="141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21q22.3</w:t>
            </w:r>
          </w:p>
        </w:tc>
        <w:tc>
          <w:tcPr>
            <w:tcW w:w="852" w:type="dxa"/>
            <w:tcBorders>
              <w:top w:val="single" w:sz="4" w:space="0" w:color="FFFFFF"/>
              <w:bottom w:val="single" w:sz="4" w:space="0" w:color="FFFFFF"/>
            </w:tcBorders>
            <w:shd w:val="clear" w:color="auto" w:fill="E8F5F1"/>
          </w:tcPr>
          <w:p>
            <w:pPr>
              <w:pStyle w:val="TableParagraph"/>
              <w:spacing w:before="42"/>
              <w:ind w:right="230"/>
              <w:jc w:val="center"/>
              <w:rPr>
                <w:i/>
                <w:sz w:val="15"/>
              </w:rPr>
            </w:pPr>
            <w:r>
              <w:rPr>
                <w:i/>
                <w:color w:val="231F20"/>
                <w:spacing w:val="-4"/>
                <w:w w:val="105"/>
                <w:sz w:val="15"/>
              </w:rPr>
              <w:t>CST6</w:t>
            </w:r>
          </w:p>
        </w:tc>
        <w:tc>
          <w:tcPr>
            <w:tcW w:w="1511" w:type="dxa"/>
            <w:tcBorders>
              <w:top w:val="single" w:sz="4" w:space="0" w:color="FFFFFF"/>
              <w:bottom w:val="single" w:sz="4" w:space="0" w:color="FFFFFF"/>
            </w:tcBorders>
            <w:shd w:val="clear" w:color="auto" w:fill="E8F5F1"/>
          </w:tcPr>
          <w:p>
            <w:pPr>
              <w:pStyle w:val="TableParagraph"/>
              <w:spacing w:before="42"/>
              <w:ind w:left="168"/>
              <w:rPr>
                <w:sz w:val="15"/>
              </w:rPr>
            </w:pPr>
            <w:r>
              <w:rPr>
                <w:color w:val="231F20"/>
                <w:spacing w:val="-2"/>
                <w:sz w:val="15"/>
              </w:rPr>
              <w:t>Cystatin</w:t>
            </w:r>
            <w:r>
              <w:rPr>
                <w:color w:val="231F20"/>
                <w:sz w:val="15"/>
              </w:rPr>
              <w:t> </w:t>
            </w:r>
            <w:r>
              <w:rPr>
                <w:color w:val="231F20"/>
                <w:spacing w:val="-10"/>
                <w:sz w:val="15"/>
              </w:rPr>
              <w:t>B</w:t>
            </w:r>
          </w:p>
        </w:tc>
        <w:tc>
          <w:tcPr>
            <w:tcW w:w="2020" w:type="dxa"/>
            <w:tcBorders>
              <w:top w:val="single" w:sz="4" w:space="0" w:color="FFFFFF"/>
              <w:bottom w:val="single" w:sz="4" w:space="0" w:color="FFFFFF"/>
            </w:tcBorders>
            <w:shd w:val="clear" w:color="auto" w:fill="E8F5F1"/>
          </w:tcPr>
          <w:p>
            <w:pPr>
              <w:pStyle w:val="TableParagraph"/>
              <w:spacing w:before="43"/>
              <w:ind w:left="133"/>
              <w:rPr>
                <w:sz w:val="15"/>
              </w:rPr>
            </w:pPr>
            <w:r>
              <w:rPr>
                <w:color w:val="231F20"/>
                <w:sz w:val="15"/>
              </w:rPr>
              <w:t>5</w:t>
            </w:r>
            <w:r>
              <w:rPr>
                <w:rFonts w:ascii="Cambria" w:hAnsi="Cambria"/>
                <w:color w:val="231F20"/>
                <w:sz w:val="15"/>
              </w:rPr>
              <w:t>′</w:t>
            </w:r>
            <w:r>
              <w:rPr>
                <w:rFonts w:ascii="Cambria" w:hAnsi="Cambria"/>
                <w:color w:val="231F20"/>
                <w:spacing w:val="18"/>
                <w:sz w:val="15"/>
              </w:rPr>
              <w:t> </w:t>
            </w:r>
            <w:r>
              <w:rPr>
                <w:color w:val="231F20"/>
                <w:sz w:val="15"/>
              </w:rPr>
              <w:t>dodecamer</w:t>
            </w:r>
            <w:r>
              <w:rPr>
                <w:color w:val="231F20"/>
                <w:spacing w:val="7"/>
                <w:sz w:val="15"/>
              </w:rPr>
              <w:t> </w:t>
            </w:r>
            <w:r>
              <w:rPr>
                <w:color w:val="231F20"/>
                <w:spacing w:val="-2"/>
                <w:sz w:val="15"/>
              </w:rPr>
              <w:t>repeat</w:t>
            </w:r>
          </w:p>
        </w:tc>
        <w:tc>
          <w:tcPr>
            <w:tcW w:w="1652"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4"/>
                <w:w w:val="105"/>
                <w:sz w:val="15"/>
              </w:rPr>
              <w:t>6–13</w:t>
            </w:r>
          </w:p>
        </w:tc>
      </w:tr>
      <w:tr>
        <w:trPr>
          <w:trHeight w:val="420" w:hRule="atLeast"/>
        </w:trPr>
        <w:tc>
          <w:tcPr>
            <w:tcW w:w="229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5"/>
                <w:sz w:val="15"/>
              </w:rPr>
              <w:t>ARSACS</w:t>
            </w:r>
          </w:p>
        </w:tc>
        <w:tc>
          <w:tcPr>
            <w:tcW w:w="1417" w:type="dxa"/>
            <w:tcBorders>
              <w:top w:val="single" w:sz="4" w:space="0" w:color="FFFFFF"/>
              <w:bottom w:val="single" w:sz="4" w:space="0" w:color="FFFFFF"/>
            </w:tcBorders>
            <w:shd w:val="clear" w:color="auto" w:fill="E8F5F1"/>
          </w:tcPr>
          <w:p>
            <w:pPr>
              <w:pStyle w:val="TableParagraph"/>
              <w:spacing w:before="42"/>
              <w:ind w:left="134"/>
              <w:rPr>
                <w:sz w:val="15"/>
              </w:rPr>
            </w:pPr>
            <w:r>
              <w:rPr>
                <w:color w:val="231F20"/>
                <w:spacing w:val="-2"/>
                <w:sz w:val="15"/>
              </w:rPr>
              <w:t>13q12</w:t>
            </w:r>
          </w:p>
        </w:tc>
        <w:tc>
          <w:tcPr>
            <w:tcW w:w="852" w:type="dxa"/>
            <w:tcBorders>
              <w:top w:val="single" w:sz="4" w:space="0" w:color="FFFFFF"/>
              <w:bottom w:val="single" w:sz="4" w:space="0" w:color="FFFFFF"/>
            </w:tcBorders>
            <w:shd w:val="clear" w:color="auto" w:fill="E8F5F1"/>
          </w:tcPr>
          <w:p>
            <w:pPr>
              <w:pStyle w:val="TableParagraph"/>
              <w:spacing w:before="42"/>
              <w:ind w:left="22" w:right="230"/>
              <w:jc w:val="center"/>
              <w:rPr>
                <w:i/>
                <w:sz w:val="15"/>
              </w:rPr>
            </w:pPr>
            <w:r>
              <w:rPr>
                <w:i/>
                <w:color w:val="231F20"/>
                <w:spacing w:val="-4"/>
                <w:w w:val="115"/>
                <w:sz w:val="15"/>
              </w:rPr>
              <w:t>SACS</w:t>
            </w:r>
          </w:p>
        </w:tc>
        <w:tc>
          <w:tcPr>
            <w:tcW w:w="1511" w:type="dxa"/>
            <w:tcBorders>
              <w:top w:val="single" w:sz="4" w:space="0" w:color="FFFFFF"/>
              <w:bottom w:val="single" w:sz="4" w:space="0" w:color="FFFFFF"/>
            </w:tcBorders>
            <w:shd w:val="clear" w:color="auto" w:fill="E8F5F1"/>
          </w:tcPr>
          <w:p>
            <w:pPr>
              <w:pStyle w:val="TableParagraph"/>
              <w:spacing w:before="42"/>
              <w:ind w:left="168"/>
              <w:rPr>
                <w:sz w:val="15"/>
              </w:rPr>
            </w:pPr>
            <w:r>
              <w:rPr>
                <w:color w:val="231F20"/>
                <w:spacing w:val="-2"/>
                <w:sz w:val="15"/>
              </w:rPr>
              <w:t>Sacsin</w:t>
            </w:r>
          </w:p>
        </w:tc>
        <w:tc>
          <w:tcPr>
            <w:tcW w:w="2020" w:type="dxa"/>
            <w:tcBorders>
              <w:top w:val="single" w:sz="4" w:space="0" w:color="FFFFFF"/>
              <w:bottom w:val="single" w:sz="4" w:space="0" w:color="FFFFFF"/>
            </w:tcBorders>
            <w:shd w:val="clear" w:color="auto" w:fill="E8F5F1"/>
          </w:tcPr>
          <w:p>
            <w:pPr>
              <w:pStyle w:val="TableParagraph"/>
              <w:spacing w:line="230" w:lineRule="auto" w:before="48"/>
              <w:ind w:left="245" w:hanging="112"/>
              <w:rPr>
                <w:sz w:val="15"/>
              </w:rPr>
            </w:pPr>
            <w:r>
              <w:rPr>
                <w:color w:val="231F20"/>
                <w:sz w:val="15"/>
              </w:rPr>
              <w:t>Frameshift</w:t>
            </w:r>
            <w:r>
              <w:rPr>
                <w:color w:val="231F20"/>
                <w:spacing w:val="-12"/>
                <w:sz w:val="15"/>
              </w:rPr>
              <w:t> </w:t>
            </w:r>
            <w:r>
              <w:rPr>
                <w:color w:val="231F20"/>
                <w:sz w:val="15"/>
              </w:rPr>
              <w:t>and</w:t>
            </w:r>
            <w:r>
              <w:rPr>
                <w:color w:val="231F20"/>
                <w:spacing w:val="-11"/>
                <w:sz w:val="15"/>
              </w:rPr>
              <w:t> </w:t>
            </w:r>
            <w:r>
              <w:rPr>
                <w:color w:val="231F20"/>
                <w:sz w:val="15"/>
              </w:rPr>
              <w:t>nonsense </w:t>
            </w:r>
            <w:r>
              <w:rPr>
                <w:color w:val="231F20"/>
                <w:spacing w:val="-2"/>
                <w:sz w:val="15"/>
              </w:rPr>
              <w:t>mutations</w:t>
            </w:r>
          </w:p>
        </w:tc>
        <w:tc>
          <w:tcPr>
            <w:tcW w:w="1652"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4"/>
                <w:w w:val="105"/>
                <w:sz w:val="15"/>
              </w:rPr>
              <w:t>1–20</w:t>
            </w:r>
          </w:p>
        </w:tc>
      </w:tr>
      <w:tr>
        <w:trPr>
          <w:trHeight w:val="415" w:hRule="atLeast"/>
        </w:trPr>
        <w:tc>
          <w:tcPr>
            <w:tcW w:w="2291" w:type="dxa"/>
            <w:gridSpan w:val="2"/>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z w:val="15"/>
              </w:rPr>
              <w:t>Congenital</w:t>
            </w:r>
            <w:r>
              <w:rPr>
                <w:color w:val="231F20"/>
                <w:spacing w:val="-8"/>
                <w:sz w:val="15"/>
              </w:rPr>
              <w:t> </w:t>
            </w:r>
            <w:r>
              <w:rPr>
                <w:color w:val="231F20"/>
                <w:sz w:val="15"/>
              </w:rPr>
              <w:t>disorders</w:t>
            </w:r>
            <w:r>
              <w:rPr>
                <w:color w:val="231F20"/>
                <w:spacing w:val="-8"/>
                <w:sz w:val="15"/>
              </w:rPr>
              <w:t> </w:t>
            </w:r>
            <w:r>
              <w:rPr>
                <w:color w:val="231F20"/>
                <w:sz w:val="15"/>
              </w:rPr>
              <w:t>of </w:t>
            </w:r>
            <w:r>
              <w:rPr>
                <w:color w:val="231F20"/>
                <w:spacing w:val="-2"/>
                <w:sz w:val="15"/>
              </w:rPr>
              <w:t>glycosylation</w:t>
            </w:r>
          </w:p>
        </w:tc>
        <w:tc>
          <w:tcPr>
            <w:tcW w:w="1417" w:type="dxa"/>
            <w:tcBorders>
              <w:top w:val="single" w:sz="4" w:space="0" w:color="FFFFFF"/>
              <w:bottom w:val="single" w:sz="8" w:space="0" w:color="231F20"/>
            </w:tcBorders>
            <w:shd w:val="clear" w:color="auto" w:fill="E8F5F1"/>
          </w:tcPr>
          <w:p>
            <w:pPr>
              <w:pStyle w:val="TableParagraph"/>
              <w:spacing w:before="42"/>
              <w:ind w:left="134"/>
              <w:rPr>
                <w:sz w:val="15"/>
              </w:rPr>
            </w:pPr>
            <w:r>
              <w:rPr>
                <w:color w:val="231F20"/>
                <w:spacing w:val="-2"/>
                <w:sz w:val="15"/>
              </w:rPr>
              <w:t>Multiple</w:t>
            </w:r>
          </w:p>
        </w:tc>
        <w:tc>
          <w:tcPr>
            <w:tcW w:w="852" w:type="dxa"/>
            <w:tcBorders>
              <w:top w:val="single" w:sz="4" w:space="0" w:color="FFFFFF"/>
              <w:bottom w:val="single" w:sz="8" w:space="0" w:color="231F20"/>
            </w:tcBorders>
            <w:shd w:val="clear" w:color="auto" w:fill="E8F5F1"/>
          </w:tcPr>
          <w:p>
            <w:pPr>
              <w:pStyle w:val="TableParagraph"/>
              <w:spacing w:before="42"/>
              <w:ind w:right="34"/>
              <w:jc w:val="center"/>
              <w:rPr>
                <w:sz w:val="15"/>
              </w:rPr>
            </w:pPr>
            <w:r>
              <w:rPr>
                <w:color w:val="231F20"/>
                <w:spacing w:val="-2"/>
                <w:sz w:val="15"/>
              </w:rPr>
              <w:t>Multiple</w:t>
            </w:r>
          </w:p>
        </w:tc>
        <w:tc>
          <w:tcPr>
            <w:tcW w:w="1511" w:type="dxa"/>
            <w:tcBorders>
              <w:top w:val="single" w:sz="4" w:space="0" w:color="FFFFFF"/>
              <w:bottom w:val="single" w:sz="8" w:space="0" w:color="231F20"/>
            </w:tcBorders>
            <w:shd w:val="clear" w:color="auto" w:fill="E8F5F1"/>
          </w:tcPr>
          <w:p>
            <w:pPr>
              <w:pStyle w:val="TableParagraph"/>
              <w:spacing w:before="42"/>
              <w:ind w:left="168"/>
              <w:rPr>
                <w:sz w:val="15"/>
              </w:rPr>
            </w:pPr>
            <w:r>
              <w:rPr>
                <w:color w:val="231F20"/>
                <w:spacing w:val="-2"/>
                <w:sz w:val="15"/>
              </w:rPr>
              <w:t>Multiple</w:t>
            </w:r>
          </w:p>
        </w:tc>
        <w:tc>
          <w:tcPr>
            <w:tcW w:w="2020" w:type="dxa"/>
            <w:tcBorders>
              <w:top w:val="single" w:sz="4" w:space="0" w:color="FFFFFF"/>
              <w:bottom w:val="single" w:sz="8" w:space="0" w:color="231F20"/>
            </w:tcBorders>
            <w:shd w:val="clear" w:color="auto" w:fill="E8F5F1"/>
          </w:tcPr>
          <w:p>
            <w:pPr>
              <w:pStyle w:val="TableParagraph"/>
              <w:rPr>
                <w:rFonts w:ascii="Times New Roman"/>
                <w:sz w:val="14"/>
              </w:rPr>
            </w:pPr>
          </w:p>
        </w:tc>
        <w:tc>
          <w:tcPr>
            <w:tcW w:w="1652" w:type="dxa"/>
            <w:tcBorders>
              <w:top w:val="single" w:sz="4" w:space="0" w:color="FFFFFF"/>
              <w:bottom w:val="single" w:sz="8" w:space="0" w:color="231F20"/>
            </w:tcBorders>
            <w:shd w:val="clear" w:color="auto" w:fill="E8F5F1"/>
          </w:tcPr>
          <w:p>
            <w:pPr>
              <w:pStyle w:val="TableParagraph"/>
              <w:spacing w:before="42"/>
              <w:ind w:left="133"/>
              <w:rPr>
                <w:sz w:val="15"/>
              </w:rPr>
            </w:pPr>
            <w:r>
              <w:rPr>
                <w:color w:val="231F20"/>
                <w:spacing w:val="-4"/>
                <w:sz w:val="15"/>
              </w:rPr>
              <w:t>Birth</w:t>
            </w:r>
          </w:p>
        </w:tc>
      </w:tr>
    </w:tbl>
    <w:p>
      <w:pPr>
        <w:pStyle w:val="BodyText"/>
        <w:spacing w:before="78"/>
        <w:ind w:left="486" w:right="1191"/>
      </w:pPr>
      <w:r>
        <w:rPr>
          <w:color w:val="231F20"/>
        </w:rPr>
        <w:t>ARSACS,</w:t>
      </w:r>
      <w:r>
        <w:rPr>
          <w:color w:val="231F20"/>
          <w:spacing w:val="-3"/>
        </w:rPr>
        <w:t> </w:t>
      </w:r>
      <w:r>
        <w:rPr>
          <w:color w:val="231F20"/>
        </w:rPr>
        <w:t>autosomal-recessive</w:t>
      </w:r>
      <w:r>
        <w:rPr>
          <w:color w:val="231F20"/>
          <w:spacing w:val="-3"/>
        </w:rPr>
        <w:t> </w:t>
      </w:r>
      <w:r>
        <w:rPr>
          <w:color w:val="231F20"/>
        </w:rPr>
        <w:t>spastic</w:t>
      </w:r>
      <w:r>
        <w:rPr>
          <w:color w:val="231F20"/>
          <w:spacing w:val="-3"/>
        </w:rPr>
        <w:t> </w:t>
      </w:r>
      <w:r>
        <w:rPr>
          <w:color w:val="231F20"/>
        </w:rPr>
        <w:t>ataxia</w:t>
      </w:r>
      <w:r>
        <w:rPr>
          <w:color w:val="231F20"/>
          <w:spacing w:val="-3"/>
        </w:rPr>
        <w:t> </w:t>
      </w:r>
      <w:r>
        <w:rPr>
          <w:color w:val="231F20"/>
        </w:rPr>
        <w:t>of</w:t>
      </w:r>
      <w:r>
        <w:rPr>
          <w:color w:val="231F20"/>
          <w:spacing w:val="-3"/>
        </w:rPr>
        <w:t> </w:t>
      </w:r>
      <w:r>
        <w:rPr>
          <w:color w:val="231F20"/>
        </w:rPr>
        <w:t>Charlevoix-Saguenay;</w:t>
      </w:r>
      <w:r>
        <w:rPr>
          <w:color w:val="231F20"/>
          <w:spacing w:val="-3"/>
        </w:rPr>
        <w:t> </w:t>
      </w:r>
      <w:r>
        <w:rPr>
          <w:color w:val="231F20"/>
        </w:rPr>
        <w:t>ATLD,</w:t>
      </w:r>
      <w:r>
        <w:rPr>
          <w:color w:val="231F20"/>
          <w:spacing w:val="-3"/>
        </w:rPr>
        <w:t> </w:t>
      </w:r>
      <w:r>
        <w:rPr>
          <w:color w:val="231F20"/>
        </w:rPr>
        <w:t>ataxia-telangiectasia-like</w:t>
      </w:r>
      <w:r>
        <w:rPr>
          <w:color w:val="231F20"/>
          <w:spacing w:val="-3"/>
        </w:rPr>
        <w:t> </w:t>
      </w:r>
      <w:r>
        <w:rPr>
          <w:color w:val="231F20"/>
        </w:rPr>
        <w:t>disorder;</w:t>
      </w:r>
      <w:r>
        <w:rPr>
          <w:color w:val="231F20"/>
          <w:spacing w:val="-3"/>
        </w:rPr>
        <w:t> </w:t>
      </w:r>
      <w:r>
        <w:rPr>
          <w:color w:val="231F20"/>
        </w:rPr>
        <w:t>AVED,</w:t>
      </w:r>
      <w:r>
        <w:rPr>
          <w:color w:val="231F20"/>
          <w:spacing w:val="-3"/>
        </w:rPr>
        <w:t> </w:t>
      </w:r>
      <w:r>
        <w:rPr>
          <w:color w:val="231F20"/>
        </w:rPr>
        <w:t>ataxia</w:t>
      </w:r>
      <w:r>
        <w:rPr>
          <w:color w:val="231F20"/>
          <w:spacing w:val="-3"/>
        </w:rPr>
        <w:t> </w:t>
      </w:r>
      <w:r>
        <w:rPr>
          <w:color w:val="231F20"/>
        </w:rPr>
        <w:t>with</w:t>
      </w:r>
      <w:r>
        <w:rPr>
          <w:color w:val="231F20"/>
          <w:spacing w:val="-3"/>
        </w:rPr>
        <w:t> </w:t>
      </w:r>
      <w:r>
        <w:rPr>
          <w:color w:val="231F20"/>
        </w:rPr>
        <w:t>vitamin</w:t>
      </w:r>
      <w:r>
        <w:rPr>
          <w:color w:val="231F20"/>
          <w:spacing w:val="-3"/>
        </w:rPr>
        <w:t> </w:t>
      </w:r>
      <w:r>
        <w:rPr>
          <w:color w:val="231F20"/>
        </w:rPr>
        <w:t>E</w:t>
      </w:r>
      <w:r>
        <w:rPr>
          <w:color w:val="231F20"/>
          <w:spacing w:val="-3"/>
        </w:rPr>
        <w:t> </w:t>
      </w:r>
      <w:r>
        <w:rPr>
          <w:color w:val="231F20"/>
        </w:rPr>
        <w:t>deficiency;</w:t>
      </w:r>
      <w:r>
        <w:rPr>
          <w:color w:val="231F20"/>
          <w:spacing w:val="-3"/>
        </w:rPr>
        <w:t> </w:t>
      </w:r>
      <w:r>
        <w:rPr>
          <w:color w:val="231F20"/>
        </w:rPr>
        <w:t>IOSCA,</w:t>
      </w:r>
      <w:r>
        <w:rPr>
          <w:color w:val="231F20"/>
          <w:spacing w:val="40"/>
        </w:rPr>
        <w:t> </w:t>
      </w:r>
      <w:r>
        <w:rPr>
          <w:color w:val="231F20"/>
        </w:rPr>
        <w:t>infantile-onset spinocerebellar ataxia; SCAR, spinocerebellar ataxia, autosomal-recessive.</w:t>
      </w:r>
    </w:p>
    <w:p>
      <w:pPr>
        <w:spacing w:line="237" w:lineRule="auto" w:before="0"/>
        <w:ind w:left="486" w:right="705" w:firstLine="130"/>
        <w:jc w:val="left"/>
        <w:rPr>
          <w:i/>
          <w:sz w:val="13"/>
        </w:rPr>
      </w:pPr>
      <w:r>
        <w:rPr>
          <w:i/>
          <w:color w:val="231F20"/>
          <w:sz w:val="13"/>
        </w:rPr>
        <w:t>From</w:t>
      </w:r>
      <w:r>
        <w:rPr>
          <w:i/>
          <w:color w:val="231F20"/>
          <w:spacing w:val="-4"/>
          <w:sz w:val="13"/>
        </w:rPr>
        <w:t> </w:t>
      </w:r>
      <w:r>
        <w:rPr>
          <w:i/>
          <w:color w:val="231F20"/>
          <w:sz w:val="13"/>
        </w:rPr>
        <w:t>Jafar-Nejad</w:t>
      </w:r>
      <w:r>
        <w:rPr>
          <w:i/>
          <w:color w:val="231F20"/>
          <w:spacing w:val="-4"/>
          <w:sz w:val="13"/>
        </w:rPr>
        <w:t> </w:t>
      </w:r>
      <w:r>
        <w:rPr>
          <w:i/>
          <w:color w:val="231F20"/>
          <w:sz w:val="13"/>
        </w:rPr>
        <w:t>P,</w:t>
      </w:r>
      <w:r>
        <w:rPr>
          <w:i/>
          <w:color w:val="231F20"/>
          <w:spacing w:val="-4"/>
          <w:sz w:val="13"/>
        </w:rPr>
        <w:t> </w:t>
      </w:r>
      <w:r>
        <w:rPr>
          <w:i/>
          <w:color w:val="231F20"/>
          <w:sz w:val="13"/>
        </w:rPr>
        <w:t>Maricich</w:t>
      </w:r>
      <w:r>
        <w:rPr>
          <w:i/>
          <w:color w:val="231F20"/>
          <w:spacing w:val="-4"/>
          <w:sz w:val="13"/>
        </w:rPr>
        <w:t> </w:t>
      </w:r>
      <w:r>
        <w:rPr>
          <w:i/>
          <w:color w:val="231F20"/>
          <w:sz w:val="13"/>
        </w:rPr>
        <w:t>SM,</w:t>
      </w:r>
      <w:r>
        <w:rPr>
          <w:i/>
          <w:color w:val="231F20"/>
          <w:spacing w:val="-4"/>
          <w:sz w:val="13"/>
        </w:rPr>
        <w:t> </w:t>
      </w:r>
      <w:r>
        <w:rPr>
          <w:i/>
          <w:color w:val="231F20"/>
          <w:sz w:val="13"/>
        </w:rPr>
        <w:t>Zoghbi</w:t>
      </w:r>
      <w:r>
        <w:rPr>
          <w:i/>
          <w:color w:val="231F20"/>
          <w:spacing w:val="-4"/>
          <w:sz w:val="13"/>
        </w:rPr>
        <w:t> </w:t>
      </w:r>
      <w:r>
        <w:rPr>
          <w:i/>
          <w:color w:val="231F20"/>
          <w:sz w:val="13"/>
        </w:rPr>
        <w:t>HY:</w:t>
      </w:r>
      <w:r>
        <w:rPr>
          <w:i/>
          <w:color w:val="231F20"/>
          <w:spacing w:val="-4"/>
          <w:sz w:val="13"/>
        </w:rPr>
        <w:t> </w:t>
      </w:r>
      <w:r>
        <w:rPr>
          <w:i/>
          <w:color w:val="231F20"/>
          <w:sz w:val="13"/>
        </w:rPr>
        <w:t>The</w:t>
      </w:r>
      <w:r>
        <w:rPr>
          <w:i/>
          <w:color w:val="231F20"/>
          <w:spacing w:val="-4"/>
          <w:sz w:val="13"/>
        </w:rPr>
        <w:t> </w:t>
      </w:r>
      <w:r>
        <w:rPr>
          <w:i/>
          <w:color w:val="231F20"/>
          <w:sz w:val="13"/>
        </w:rPr>
        <w:t>cerebellum</w:t>
      </w:r>
      <w:r>
        <w:rPr>
          <w:i/>
          <w:color w:val="231F20"/>
          <w:spacing w:val="-4"/>
          <w:sz w:val="13"/>
        </w:rPr>
        <w:t> </w:t>
      </w:r>
      <w:r>
        <w:rPr>
          <w:i/>
          <w:color w:val="231F20"/>
          <w:sz w:val="13"/>
        </w:rPr>
        <w:t>and</w:t>
      </w:r>
      <w:r>
        <w:rPr>
          <w:i/>
          <w:color w:val="231F20"/>
          <w:spacing w:val="-4"/>
          <w:sz w:val="13"/>
        </w:rPr>
        <w:t> </w:t>
      </w:r>
      <w:r>
        <w:rPr>
          <w:i/>
          <w:color w:val="231F20"/>
          <w:sz w:val="13"/>
        </w:rPr>
        <w:t>the</w:t>
      </w:r>
      <w:r>
        <w:rPr>
          <w:i/>
          <w:color w:val="231F20"/>
          <w:spacing w:val="-4"/>
          <w:sz w:val="13"/>
        </w:rPr>
        <w:t> </w:t>
      </w:r>
      <w:r>
        <w:rPr>
          <w:i/>
          <w:color w:val="231F20"/>
          <w:sz w:val="13"/>
        </w:rPr>
        <w:t>hereditary</w:t>
      </w:r>
      <w:r>
        <w:rPr>
          <w:i/>
          <w:color w:val="231F20"/>
          <w:spacing w:val="-4"/>
          <w:sz w:val="13"/>
        </w:rPr>
        <w:t> </w:t>
      </w:r>
      <w:r>
        <w:rPr>
          <w:i/>
          <w:color w:val="231F20"/>
          <w:sz w:val="13"/>
        </w:rPr>
        <w:t>ataxias.</w:t>
      </w:r>
      <w:r>
        <w:rPr>
          <w:i/>
          <w:color w:val="231F20"/>
          <w:spacing w:val="-4"/>
          <w:sz w:val="13"/>
        </w:rPr>
        <w:t> </w:t>
      </w:r>
      <w:r>
        <w:rPr>
          <w:i/>
          <w:color w:val="231F20"/>
          <w:sz w:val="13"/>
        </w:rPr>
        <w:t>In</w:t>
      </w:r>
      <w:r>
        <w:rPr>
          <w:i/>
          <w:color w:val="231F20"/>
          <w:spacing w:val="-4"/>
          <w:sz w:val="13"/>
        </w:rPr>
        <w:t> </w:t>
      </w:r>
      <w:r>
        <w:rPr>
          <w:i/>
          <w:color w:val="231F20"/>
          <w:sz w:val="13"/>
        </w:rPr>
        <w:t>Swaiman</w:t>
      </w:r>
      <w:r>
        <w:rPr>
          <w:i/>
          <w:color w:val="231F20"/>
          <w:spacing w:val="-4"/>
          <w:sz w:val="13"/>
        </w:rPr>
        <w:t> </w:t>
      </w:r>
      <w:r>
        <w:rPr>
          <w:i/>
          <w:color w:val="231F20"/>
          <w:sz w:val="13"/>
        </w:rPr>
        <w:t>KF,</w:t>
      </w:r>
      <w:r>
        <w:rPr>
          <w:i/>
          <w:color w:val="231F20"/>
          <w:spacing w:val="-4"/>
          <w:sz w:val="13"/>
        </w:rPr>
        <w:t> </w:t>
      </w:r>
      <w:r>
        <w:rPr>
          <w:i/>
          <w:color w:val="231F20"/>
          <w:sz w:val="13"/>
        </w:rPr>
        <w:t>Ashwal</w:t>
      </w:r>
      <w:r>
        <w:rPr>
          <w:i/>
          <w:color w:val="231F20"/>
          <w:spacing w:val="-4"/>
          <w:sz w:val="13"/>
        </w:rPr>
        <w:t> </w:t>
      </w:r>
      <w:r>
        <w:rPr>
          <w:i/>
          <w:color w:val="231F20"/>
          <w:sz w:val="13"/>
        </w:rPr>
        <w:t>S,</w:t>
      </w:r>
      <w:r>
        <w:rPr>
          <w:i/>
          <w:color w:val="231F20"/>
          <w:spacing w:val="-4"/>
          <w:sz w:val="13"/>
        </w:rPr>
        <w:t> </w:t>
      </w:r>
      <w:r>
        <w:rPr>
          <w:i/>
          <w:color w:val="231F20"/>
          <w:sz w:val="13"/>
        </w:rPr>
        <w:t>Ferriero</w:t>
      </w:r>
      <w:r>
        <w:rPr>
          <w:i/>
          <w:color w:val="231F20"/>
          <w:spacing w:val="-4"/>
          <w:sz w:val="13"/>
        </w:rPr>
        <w:t> </w:t>
      </w:r>
      <w:r>
        <w:rPr>
          <w:i/>
          <w:color w:val="231F20"/>
          <w:sz w:val="13"/>
        </w:rPr>
        <w:t>DM,</w:t>
      </w:r>
      <w:r>
        <w:rPr>
          <w:i/>
          <w:color w:val="231F20"/>
          <w:spacing w:val="-4"/>
          <w:sz w:val="13"/>
        </w:rPr>
        <w:t> </w:t>
      </w:r>
      <w:r>
        <w:rPr>
          <w:i/>
          <w:color w:val="231F20"/>
          <w:sz w:val="13"/>
        </w:rPr>
        <w:t>Schor</w:t>
      </w:r>
      <w:r>
        <w:rPr>
          <w:i/>
          <w:color w:val="231F20"/>
          <w:spacing w:val="-4"/>
          <w:sz w:val="13"/>
        </w:rPr>
        <w:t> </w:t>
      </w:r>
      <w:r>
        <w:rPr>
          <w:i/>
          <w:color w:val="231F20"/>
          <w:sz w:val="13"/>
        </w:rPr>
        <w:t>NF,</w:t>
      </w:r>
      <w:r>
        <w:rPr>
          <w:i/>
          <w:color w:val="231F20"/>
          <w:spacing w:val="-4"/>
          <w:sz w:val="13"/>
        </w:rPr>
        <w:t> </w:t>
      </w:r>
      <w:r>
        <w:rPr>
          <w:i/>
          <w:color w:val="231F20"/>
          <w:sz w:val="13"/>
        </w:rPr>
        <w:t>editors:</w:t>
      </w:r>
      <w:r>
        <w:rPr>
          <w:i/>
          <w:color w:val="231F20"/>
          <w:spacing w:val="-4"/>
          <w:sz w:val="13"/>
        </w:rPr>
        <w:t> </w:t>
      </w:r>
      <w:r>
        <w:rPr>
          <w:color w:val="231F20"/>
          <w:sz w:val="13"/>
        </w:rPr>
        <w:t>Swaiman’s</w:t>
      </w:r>
      <w:r>
        <w:rPr>
          <w:color w:val="231F20"/>
          <w:spacing w:val="40"/>
          <w:sz w:val="13"/>
        </w:rPr>
        <w:t> </w:t>
      </w:r>
      <w:r>
        <w:rPr>
          <w:color w:val="231F20"/>
          <w:sz w:val="13"/>
        </w:rPr>
        <w:t>pediatric neurology</w:t>
      </w:r>
      <w:r>
        <w:rPr>
          <w:i/>
          <w:color w:val="231F20"/>
          <w:sz w:val="13"/>
        </w:rPr>
        <w:t>, ed 5, Philadelphia, 2012, WB Saunders, Table 67-2.</w:t>
      </w:r>
    </w:p>
    <w:p>
      <w:pPr>
        <w:pStyle w:val="BodyText"/>
        <w:rPr>
          <w:i/>
          <w:sz w:val="20"/>
        </w:rPr>
      </w:pPr>
    </w:p>
    <w:p>
      <w:pPr>
        <w:pStyle w:val="BodyText"/>
        <w:rPr>
          <w:i/>
          <w:sz w:val="20"/>
        </w:rPr>
      </w:pPr>
    </w:p>
    <w:p>
      <w:pPr>
        <w:pStyle w:val="BodyText"/>
        <w:spacing w:before="107"/>
        <w:rPr>
          <w:i/>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309"/>
        <w:gridCol w:w="913"/>
        <w:gridCol w:w="930"/>
        <w:gridCol w:w="1244"/>
        <w:gridCol w:w="1049"/>
        <w:gridCol w:w="1000"/>
        <w:gridCol w:w="1052"/>
        <w:gridCol w:w="1102"/>
      </w:tblGrid>
      <w:tr>
        <w:trPr>
          <w:trHeight w:val="363" w:hRule="exact"/>
        </w:trPr>
        <w:tc>
          <w:tcPr>
            <w:tcW w:w="1148" w:type="dxa"/>
            <w:tcBorders>
              <w:bottom w:val="single" w:sz="8" w:space="0" w:color="FFFFFF"/>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5</w:t>
            </w:r>
          </w:p>
        </w:tc>
        <w:tc>
          <w:tcPr>
            <w:tcW w:w="8599" w:type="dxa"/>
            <w:gridSpan w:val="8"/>
            <w:tcBorders>
              <w:left w:val="single" w:sz="8" w:space="0" w:color="FFFFFF"/>
              <w:bottom w:val="single" w:sz="8" w:space="0" w:color="FFFFFF"/>
            </w:tcBorders>
            <w:shd w:val="clear" w:color="auto" w:fill="231F20"/>
          </w:tcPr>
          <w:p>
            <w:pPr>
              <w:pStyle w:val="TableParagraph"/>
              <w:spacing w:before="89"/>
              <w:ind w:left="73"/>
              <w:rPr>
                <w:sz w:val="16"/>
              </w:rPr>
            </w:pPr>
            <w:r>
              <w:rPr>
                <w:color w:val="FFFFFF"/>
                <w:w w:val="105"/>
                <w:sz w:val="16"/>
              </w:rPr>
              <w:t>Autosomal-Dominant</w:t>
            </w:r>
            <w:r>
              <w:rPr>
                <w:color w:val="FFFFFF"/>
                <w:spacing w:val="26"/>
                <w:w w:val="105"/>
                <w:sz w:val="16"/>
              </w:rPr>
              <w:t> </w:t>
            </w:r>
            <w:r>
              <w:rPr>
                <w:color w:val="FFFFFF"/>
                <w:w w:val="105"/>
                <w:sz w:val="16"/>
              </w:rPr>
              <w:t>Cerebellar</w:t>
            </w:r>
            <w:r>
              <w:rPr>
                <w:color w:val="FFFFFF"/>
                <w:spacing w:val="27"/>
                <w:w w:val="105"/>
                <w:sz w:val="16"/>
              </w:rPr>
              <w:t> </w:t>
            </w:r>
            <w:r>
              <w:rPr>
                <w:color w:val="FFFFFF"/>
                <w:spacing w:val="-2"/>
                <w:w w:val="105"/>
                <w:sz w:val="16"/>
              </w:rPr>
              <w:t>Ataxias</w:t>
            </w:r>
          </w:p>
        </w:tc>
      </w:tr>
      <w:tr>
        <w:trPr>
          <w:trHeight w:val="607" w:hRule="exact"/>
        </w:trPr>
        <w:tc>
          <w:tcPr>
            <w:tcW w:w="1148" w:type="dxa"/>
            <w:tcBorders>
              <w:top w:val="single" w:sz="8" w:space="0" w:color="FFFFFF"/>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74"/>
              <w:rPr>
                <w:b/>
                <w:sz w:val="15"/>
              </w:rPr>
            </w:pPr>
            <w:r>
              <w:rPr>
                <w:b/>
                <w:color w:val="231F20"/>
                <w:spacing w:val="-2"/>
                <w:w w:val="110"/>
                <w:sz w:val="15"/>
              </w:rPr>
              <w:t>ATAXIA</w:t>
            </w:r>
          </w:p>
        </w:tc>
        <w:tc>
          <w:tcPr>
            <w:tcW w:w="1309" w:type="dxa"/>
            <w:tcBorders>
              <w:top w:val="single" w:sz="8" w:space="0" w:color="FFFFFF"/>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61"/>
              <w:rPr>
                <w:b/>
                <w:sz w:val="15"/>
              </w:rPr>
            </w:pPr>
            <w:r>
              <w:rPr>
                <w:b/>
                <w:color w:val="231F20"/>
                <w:spacing w:val="-2"/>
                <w:w w:val="115"/>
                <w:sz w:val="15"/>
              </w:rPr>
              <w:t>CHROMOSOME</w:t>
            </w:r>
          </w:p>
        </w:tc>
        <w:tc>
          <w:tcPr>
            <w:tcW w:w="913" w:type="dxa"/>
            <w:tcBorders>
              <w:top w:val="single" w:sz="8" w:space="0" w:color="FFFFFF"/>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101"/>
              <w:rPr>
                <w:b/>
                <w:sz w:val="15"/>
              </w:rPr>
            </w:pPr>
            <w:r>
              <w:rPr>
                <w:b/>
                <w:color w:val="231F20"/>
                <w:spacing w:val="-4"/>
                <w:w w:val="115"/>
                <w:sz w:val="15"/>
              </w:rPr>
              <w:t>GENE</w:t>
            </w:r>
          </w:p>
        </w:tc>
        <w:tc>
          <w:tcPr>
            <w:tcW w:w="930" w:type="dxa"/>
            <w:tcBorders>
              <w:top w:val="single" w:sz="8" w:space="0" w:color="FFFFFF"/>
              <w:bottom w:val="single" w:sz="4" w:space="0" w:color="231F20"/>
            </w:tcBorders>
            <w:shd w:val="clear" w:color="auto" w:fill="E8F5F1"/>
          </w:tcPr>
          <w:p>
            <w:pPr>
              <w:pStyle w:val="TableParagraph"/>
              <w:spacing w:before="45"/>
              <w:rPr>
                <w:i/>
                <w:sz w:val="15"/>
              </w:rPr>
            </w:pPr>
          </w:p>
          <w:p>
            <w:pPr>
              <w:pStyle w:val="TableParagraph"/>
              <w:spacing w:line="230" w:lineRule="auto" w:before="1"/>
              <w:ind w:left="101"/>
              <w:rPr>
                <w:b/>
                <w:sz w:val="15"/>
              </w:rPr>
            </w:pPr>
            <w:r>
              <w:rPr>
                <w:b/>
                <w:color w:val="231F20"/>
                <w:spacing w:val="-4"/>
                <w:w w:val="110"/>
                <w:sz w:val="15"/>
              </w:rPr>
              <w:t>GENE </w:t>
            </w:r>
            <w:r>
              <w:rPr>
                <w:b/>
                <w:color w:val="231F20"/>
                <w:spacing w:val="-2"/>
                <w:sz w:val="15"/>
              </w:rPr>
              <w:t>PRODUCT</w:t>
            </w:r>
          </w:p>
        </w:tc>
        <w:tc>
          <w:tcPr>
            <w:tcW w:w="1244" w:type="dxa"/>
            <w:tcBorders>
              <w:top w:val="single" w:sz="8" w:space="0" w:color="FFFFFF"/>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101"/>
              <w:rPr>
                <w:b/>
                <w:sz w:val="15"/>
              </w:rPr>
            </w:pPr>
            <w:r>
              <w:rPr>
                <w:b/>
                <w:color w:val="231F20"/>
                <w:spacing w:val="-2"/>
                <w:w w:val="115"/>
                <w:sz w:val="15"/>
              </w:rPr>
              <w:t>MECHANISM</w:t>
            </w:r>
          </w:p>
        </w:tc>
        <w:tc>
          <w:tcPr>
            <w:tcW w:w="1049" w:type="dxa"/>
            <w:tcBorders>
              <w:top w:val="single" w:sz="8" w:space="0" w:color="FFFFFF"/>
              <w:bottom w:val="single" w:sz="4" w:space="0" w:color="231F20"/>
            </w:tcBorders>
            <w:shd w:val="clear" w:color="auto" w:fill="E8F5F1"/>
          </w:tcPr>
          <w:p>
            <w:pPr>
              <w:pStyle w:val="TableParagraph"/>
              <w:spacing w:before="45"/>
              <w:rPr>
                <w:i/>
                <w:sz w:val="15"/>
              </w:rPr>
            </w:pPr>
          </w:p>
          <w:p>
            <w:pPr>
              <w:pStyle w:val="TableParagraph"/>
              <w:spacing w:line="230" w:lineRule="auto" w:before="1"/>
              <w:ind w:left="108" w:right="131"/>
              <w:rPr>
                <w:b/>
                <w:sz w:val="15"/>
              </w:rPr>
            </w:pPr>
            <w:r>
              <w:rPr>
                <w:b/>
                <w:color w:val="231F20"/>
                <w:w w:val="110"/>
                <w:sz w:val="15"/>
              </w:rPr>
              <w:t>AGE OF </w:t>
            </w:r>
            <w:r>
              <w:rPr>
                <w:b/>
                <w:color w:val="231F20"/>
                <w:spacing w:val="-4"/>
                <w:w w:val="110"/>
                <w:sz w:val="15"/>
              </w:rPr>
              <w:t>ONSET</w:t>
            </w:r>
            <w:r>
              <w:rPr>
                <w:b/>
                <w:color w:val="231F20"/>
                <w:spacing w:val="-9"/>
                <w:w w:val="110"/>
                <w:sz w:val="15"/>
              </w:rPr>
              <w:t> </w:t>
            </w:r>
            <w:r>
              <w:rPr>
                <w:b/>
                <w:color w:val="231F20"/>
                <w:spacing w:val="-4"/>
                <w:w w:val="110"/>
                <w:sz w:val="15"/>
              </w:rPr>
              <w:t>(yr)</w:t>
            </w:r>
          </w:p>
        </w:tc>
        <w:tc>
          <w:tcPr>
            <w:tcW w:w="1000" w:type="dxa"/>
            <w:tcBorders>
              <w:top w:val="single" w:sz="8" w:space="0" w:color="FFFFFF"/>
              <w:bottom w:val="single" w:sz="4" w:space="0" w:color="231F20"/>
            </w:tcBorders>
            <w:shd w:val="clear" w:color="auto" w:fill="E8F5F1"/>
          </w:tcPr>
          <w:p>
            <w:pPr>
              <w:pStyle w:val="TableParagraph"/>
              <w:spacing w:before="45"/>
              <w:rPr>
                <w:i/>
                <w:sz w:val="15"/>
              </w:rPr>
            </w:pPr>
          </w:p>
          <w:p>
            <w:pPr>
              <w:pStyle w:val="TableParagraph"/>
              <w:spacing w:line="230" w:lineRule="auto" w:before="1"/>
              <w:ind w:left="139"/>
              <w:rPr>
                <w:b/>
                <w:sz w:val="15"/>
              </w:rPr>
            </w:pPr>
            <w:r>
              <w:rPr>
                <w:b/>
                <w:color w:val="231F20"/>
                <w:spacing w:val="-2"/>
                <w:w w:val="110"/>
                <w:sz w:val="15"/>
              </w:rPr>
              <w:t>NORMAL REPEAT</w:t>
            </w:r>
          </w:p>
        </w:tc>
        <w:tc>
          <w:tcPr>
            <w:tcW w:w="1052" w:type="dxa"/>
            <w:tcBorders>
              <w:top w:val="single" w:sz="8" w:space="0" w:color="FFFFFF"/>
              <w:bottom w:val="single" w:sz="4" w:space="0" w:color="231F20"/>
            </w:tcBorders>
            <w:shd w:val="clear" w:color="auto" w:fill="E8F5F1"/>
          </w:tcPr>
          <w:p>
            <w:pPr>
              <w:pStyle w:val="TableParagraph"/>
              <w:spacing w:before="45"/>
              <w:rPr>
                <w:i/>
                <w:sz w:val="15"/>
              </w:rPr>
            </w:pPr>
          </w:p>
          <w:p>
            <w:pPr>
              <w:pStyle w:val="TableParagraph"/>
              <w:spacing w:line="230" w:lineRule="auto" w:before="1"/>
              <w:ind w:left="101"/>
              <w:rPr>
                <w:b/>
                <w:sz w:val="15"/>
              </w:rPr>
            </w:pPr>
            <w:r>
              <w:rPr>
                <w:b/>
                <w:color w:val="231F20"/>
                <w:spacing w:val="-2"/>
                <w:w w:val="110"/>
                <w:sz w:val="15"/>
              </w:rPr>
              <w:t>EXPANDED REPEAT</w:t>
            </w:r>
          </w:p>
        </w:tc>
        <w:tc>
          <w:tcPr>
            <w:tcW w:w="1102" w:type="dxa"/>
            <w:tcBorders>
              <w:top w:val="single" w:sz="8" w:space="0" w:color="FFFFFF"/>
              <w:bottom w:val="single" w:sz="4" w:space="0" w:color="231F20"/>
            </w:tcBorders>
            <w:shd w:val="clear" w:color="auto" w:fill="E8F5F1"/>
          </w:tcPr>
          <w:p>
            <w:pPr>
              <w:pStyle w:val="TableParagraph"/>
              <w:spacing w:line="230" w:lineRule="auto" w:before="52"/>
              <w:ind w:left="100" w:right="191"/>
              <w:rPr>
                <w:b/>
                <w:sz w:val="15"/>
              </w:rPr>
            </w:pPr>
            <w:r>
              <w:rPr>
                <w:b/>
                <w:color w:val="231F20"/>
                <w:spacing w:val="-2"/>
                <w:w w:val="110"/>
                <w:sz w:val="15"/>
              </w:rPr>
              <w:t>DURATION </w:t>
            </w:r>
            <w:r>
              <w:rPr>
                <w:b/>
                <w:color w:val="231F20"/>
                <w:spacing w:val="-6"/>
                <w:w w:val="110"/>
                <w:sz w:val="15"/>
              </w:rPr>
              <w:t>OF </w:t>
            </w:r>
            <w:r>
              <w:rPr>
                <w:b/>
                <w:color w:val="231F20"/>
                <w:spacing w:val="-2"/>
                <w:w w:val="110"/>
                <w:sz w:val="15"/>
              </w:rPr>
              <w:t>EPISODES</w:t>
            </w:r>
          </w:p>
        </w:tc>
      </w:tr>
      <w:tr>
        <w:trPr>
          <w:trHeight w:val="222" w:hRule="exact"/>
        </w:trPr>
        <w:tc>
          <w:tcPr>
            <w:tcW w:w="2457" w:type="dxa"/>
            <w:gridSpan w:val="2"/>
            <w:tcBorders>
              <w:top w:val="single" w:sz="4" w:space="0" w:color="231F20"/>
            </w:tcBorders>
            <w:shd w:val="clear" w:color="auto" w:fill="E8F5F1"/>
          </w:tcPr>
          <w:p>
            <w:pPr>
              <w:pStyle w:val="TableParagraph"/>
              <w:spacing w:line="154" w:lineRule="exact" w:before="43"/>
              <w:ind w:left="74"/>
              <w:rPr>
                <w:sz w:val="15"/>
              </w:rPr>
            </w:pPr>
            <w:r>
              <w:rPr>
                <w:color w:val="231F20"/>
                <w:w w:val="110"/>
                <w:sz w:val="15"/>
              </w:rPr>
              <w:t>POLYGLUTAMINE</w:t>
            </w:r>
            <w:r>
              <w:rPr>
                <w:color w:val="231F20"/>
                <w:spacing w:val="19"/>
                <w:w w:val="115"/>
                <w:sz w:val="15"/>
              </w:rPr>
              <w:t> </w:t>
            </w:r>
            <w:r>
              <w:rPr>
                <w:color w:val="231F20"/>
                <w:spacing w:val="-2"/>
                <w:w w:val="115"/>
                <w:sz w:val="15"/>
              </w:rPr>
              <w:t>EXPANSION</w:t>
            </w:r>
          </w:p>
        </w:tc>
        <w:tc>
          <w:tcPr>
            <w:tcW w:w="913" w:type="dxa"/>
            <w:tcBorders>
              <w:top w:val="single" w:sz="4" w:space="0" w:color="231F20"/>
            </w:tcBorders>
            <w:shd w:val="clear" w:color="auto" w:fill="E8F5F1"/>
          </w:tcPr>
          <w:p>
            <w:pPr>
              <w:pStyle w:val="TableParagraph"/>
              <w:rPr>
                <w:rFonts w:ascii="Times New Roman"/>
                <w:sz w:val="14"/>
              </w:rPr>
            </w:pPr>
          </w:p>
        </w:tc>
        <w:tc>
          <w:tcPr>
            <w:tcW w:w="930" w:type="dxa"/>
            <w:tcBorders>
              <w:top w:val="single" w:sz="4" w:space="0" w:color="231F20"/>
            </w:tcBorders>
            <w:shd w:val="clear" w:color="auto" w:fill="E8F5F1"/>
          </w:tcPr>
          <w:p>
            <w:pPr>
              <w:pStyle w:val="TableParagraph"/>
              <w:rPr>
                <w:rFonts w:ascii="Times New Roman"/>
                <w:sz w:val="14"/>
              </w:rPr>
            </w:pPr>
          </w:p>
        </w:tc>
        <w:tc>
          <w:tcPr>
            <w:tcW w:w="1244" w:type="dxa"/>
            <w:tcBorders>
              <w:top w:val="single" w:sz="4" w:space="0" w:color="231F20"/>
            </w:tcBorders>
            <w:shd w:val="clear" w:color="auto" w:fill="E8F5F1"/>
          </w:tcPr>
          <w:p>
            <w:pPr>
              <w:pStyle w:val="TableParagraph"/>
              <w:rPr>
                <w:rFonts w:ascii="Times New Roman"/>
                <w:sz w:val="14"/>
              </w:rPr>
            </w:pPr>
          </w:p>
        </w:tc>
        <w:tc>
          <w:tcPr>
            <w:tcW w:w="1049" w:type="dxa"/>
            <w:tcBorders>
              <w:top w:val="single" w:sz="4" w:space="0" w:color="231F20"/>
            </w:tcBorders>
            <w:shd w:val="clear" w:color="auto" w:fill="E8F5F1"/>
          </w:tcPr>
          <w:p>
            <w:pPr>
              <w:pStyle w:val="TableParagraph"/>
              <w:rPr>
                <w:rFonts w:ascii="Times New Roman"/>
                <w:sz w:val="14"/>
              </w:rPr>
            </w:pPr>
          </w:p>
        </w:tc>
        <w:tc>
          <w:tcPr>
            <w:tcW w:w="1000" w:type="dxa"/>
            <w:tcBorders>
              <w:top w:val="single" w:sz="4" w:space="0" w:color="231F20"/>
            </w:tcBorders>
            <w:shd w:val="clear" w:color="auto" w:fill="E8F5F1"/>
          </w:tcPr>
          <w:p>
            <w:pPr>
              <w:pStyle w:val="TableParagraph"/>
              <w:rPr>
                <w:rFonts w:ascii="Times New Roman"/>
                <w:sz w:val="14"/>
              </w:rPr>
            </w:pPr>
          </w:p>
        </w:tc>
        <w:tc>
          <w:tcPr>
            <w:tcW w:w="1052" w:type="dxa"/>
            <w:tcBorders>
              <w:top w:val="single" w:sz="4" w:space="0" w:color="231F20"/>
            </w:tcBorders>
            <w:shd w:val="clear" w:color="auto" w:fill="E8F5F1"/>
          </w:tcPr>
          <w:p>
            <w:pPr>
              <w:pStyle w:val="TableParagraph"/>
              <w:rPr>
                <w:rFonts w:ascii="Times New Roman"/>
                <w:sz w:val="14"/>
              </w:rPr>
            </w:pPr>
          </w:p>
        </w:tc>
        <w:tc>
          <w:tcPr>
            <w:tcW w:w="1102" w:type="dxa"/>
            <w:vMerge w:val="restart"/>
            <w:tcBorders>
              <w:top w:val="single" w:sz="4" w:space="0" w:color="231F20"/>
              <w:bottom w:val="single" w:sz="4" w:space="0" w:color="FFFFFF"/>
            </w:tcBorders>
            <w:shd w:val="clear" w:color="auto" w:fill="E8F5F1"/>
          </w:tcPr>
          <w:p>
            <w:pPr>
              <w:pStyle w:val="TableParagraph"/>
              <w:rPr>
                <w:rFonts w:ascii="Times New Roman"/>
                <w:sz w:val="14"/>
              </w:rPr>
            </w:pPr>
          </w:p>
        </w:tc>
      </w:tr>
      <w:tr>
        <w:trPr>
          <w:trHeight w:val="169" w:hRule="exact"/>
        </w:trPr>
        <w:tc>
          <w:tcPr>
            <w:tcW w:w="2457" w:type="dxa"/>
            <w:gridSpan w:val="2"/>
            <w:shd w:val="clear" w:color="auto" w:fill="E8F5F1"/>
          </w:tcPr>
          <w:p>
            <w:pPr>
              <w:pStyle w:val="TableParagraph"/>
              <w:tabs>
                <w:tab w:pos="1209" w:val="left" w:leader="none"/>
              </w:tabs>
              <w:spacing w:line="149" w:lineRule="exact"/>
              <w:ind w:left="74"/>
              <w:rPr>
                <w:sz w:val="15"/>
              </w:rPr>
            </w:pPr>
            <w:r>
              <w:rPr>
                <w:color w:val="231F20"/>
                <w:spacing w:val="-4"/>
                <w:w w:val="110"/>
                <w:sz w:val="15"/>
              </w:rPr>
              <w:t>SCA1</w:t>
            </w:r>
            <w:r>
              <w:rPr>
                <w:color w:val="231F20"/>
                <w:sz w:val="15"/>
              </w:rPr>
              <w:tab/>
            </w:r>
            <w:r>
              <w:rPr>
                <w:color w:val="231F20"/>
                <w:spacing w:val="-4"/>
                <w:w w:val="110"/>
                <w:sz w:val="15"/>
              </w:rPr>
              <w:t>6p23</w:t>
            </w:r>
          </w:p>
        </w:tc>
        <w:tc>
          <w:tcPr>
            <w:tcW w:w="913" w:type="dxa"/>
            <w:shd w:val="clear" w:color="auto" w:fill="E8F5F1"/>
          </w:tcPr>
          <w:p>
            <w:pPr>
              <w:pStyle w:val="TableParagraph"/>
              <w:spacing w:line="150" w:lineRule="exact"/>
              <w:ind w:left="101"/>
              <w:rPr>
                <w:i/>
                <w:sz w:val="15"/>
              </w:rPr>
            </w:pPr>
            <w:r>
              <w:rPr>
                <w:i/>
                <w:color w:val="231F20"/>
                <w:spacing w:val="-4"/>
                <w:w w:val="110"/>
                <w:sz w:val="15"/>
              </w:rPr>
              <w:t>SCA1</w:t>
            </w:r>
          </w:p>
        </w:tc>
        <w:tc>
          <w:tcPr>
            <w:tcW w:w="930" w:type="dxa"/>
            <w:shd w:val="clear" w:color="auto" w:fill="E8F5F1"/>
          </w:tcPr>
          <w:p>
            <w:pPr>
              <w:pStyle w:val="TableParagraph"/>
              <w:spacing w:line="150" w:lineRule="exact"/>
              <w:ind w:left="101"/>
              <w:rPr>
                <w:sz w:val="15"/>
              </w:rPr>
            </w:pPr>
            <w:r>
              <w:rPr>
                <w:color w:val="231F20"/>
                <w:spacing w:val="-4"/>
                <w:sz w:val="15"/>
              </w:rPr>
              <w:t>Ataxin-</w:t>
            </w:r>
            <w:r>
              <w:rPr>
                <w:color w:val="231F20"/>
                <w:spacing w:val="-10"/>
                <w:sz w:val="15"/>
              </w:rPr>
              <w:t>1</w:t>
            </w:r>
          </w:p>
        </w:tc>
        <w:tc>
          <w:tcPr>
            <w:tcW w:w="1244" w:type="dxa"/>
            <w:shd w:val="clear" w:color="auto" w:fill="E8F5F1"/>
          </w:tcPr>
          <w:p>
            <w:pPr>
              <w:pStyle w:val="TableParagraph"/>
              <w:spacing w:line="150" w:lineRule="exact"/>
              <w:ind w:left="101"/>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shd w:val="clear" w:color="auto" w:fill="E8F5F1"/>
          </w:tcPr>
          <w:p>
            <w:pPr>
              <w:pStyle w:val="TableParagraph"/>
              <w:spacing w:line="150" w:lineRule="exact"/>
              <w:ind w:left="108"/>
              <w:rPr>
                <w:sz w:val="15"/>
              </w:rPr>
            </w:pPr>
            <w:r>
              <w:rPr>
                <w:color w:val="231F20"/>
                <w:spacing w:val="-4"/>
                <w:sz w:val="15"/>
              </w:rPr>
              <w:t>6-</w:t>
            </w:r>
            <w:r>
              <w:rPr>
                <w:color w:val="231F20"/>
                <w:spacing w:val="-5"/>
                <w:sz w:val="15"/>
              </w:rPr>
              <w:t>60</w:t>
            </w:r>
          </w:p>
        </w:tc>
        <w:tc>
          <w:tcPr>
            <w:tcW w:w="1000" w:type="dxa"/>
            <w:shd w:val="clear" w:color="auto" w:fill="E8F5F1"/>
          </w:tcPr>
          <w:p>
            <w:pPr>
              <w:pStyle w:val="TableParagraph"/>
              <w:spacing w:line="150" w:lineRule="exact"/>
              <w:ind w:left="139"/>
              <w:rPr>
                <w:sz w:val="15"/>
              </w:rPr>
            </w:pPr>
            <w:r>
              <w:rPr>
                <w:color w:val="231F20"/>
                <w:spacing w:val="-4"/>
                <w:sz w:val="15"/>
              </w:rPr>
              <w:t>6-</w:t>
            </w:r>
            <w:r>
              <w:rPr>
                <w:color w:val="231F20"/>
                <w:spacing w:val="-5"/>
                <w:sz w:val="15"/>
              </w:rPr>
              <w:t>44</w:t>
            </w:r>
            <w:r>
              <w:rPr>
                <w:color w:val="0080AC"/>
                <w:spacing w:val="-5"/>
                <w:sz w:val="15"/>
              </w:rPr>
              <w:t>*</w:t>
            </w:r>
          </w:p>
        </w:tc>
        <w:tc>
          <w:tcPr>
            <w:tcW w:w="1052" w:type="dxa"/>
            <w:shd w:val="clear" w:color="auto" w:fill="E8F5F1"/>
          </w:tcPr>
          <w:p>
            <w:pPr>
              <w:pStyle w:val="TableParagraph"/>
              <w:spacing w:line="150" w:lineRule="exact"/>
              <w:ind w:left="101"/>
              <w:rPr>
                <w:sz w:val="15"/>
              </w:rPr>
            </w:pPr>
            <w:r>
              <w:rPr>
                <w:color w:val="231F20"/>
                <w:spacing w:val="-4"/>
                <w:sz w:val="15"/>
              </w:rPr>
              <w:t>39-</w:t>
            </w:r>
            <w:r>
              <w:rPr>
                <w:color w:val="231F20"/>
                <w:spacing w:val="-5"/>
                <w:sz w:val="15"/>
              </w:rPr>
              <w:t>82</w:t>
            </w:r>
            <w:r>
              <w:rPr>
                <w:color w:val="0080AC"/>
                <w:spacing w:val="-5"/>
                <w:sz w:val="15"/>
              </w:rPr>
              <w:t>*</w:t>
            </w:r>
          </w:p>
        </w:tc>
        <w:tc>
          <w:tcPr>
            <w:tcW w:w="1102" w:type="dxa"/>
            <w:vMerge/>
            <w:tcBorders>
              <w:top w:val="nil"/>
              <w:bottom w:val="single" w:sz="4" w:space="0" w:color="FFFFFF"/>
            </w:tcBorders>
            <w:shd w:val="clear" w:color="auto" w:fill="E8F5F1"/>
          </w:tcPr>
          <w:p>
            <w:pPr>
              <w:rPr>
                <w:sz w:val="2"/>
                <w:szCs w:val="2"/>
              </w:rPr>
            </w:pPr>
          </w:p>
        </w:tc>
      </w:tr>
      <w:tr>
        <w:trPr>
          <w:trHeight w:val="169" w:hRule="exact"/>
        </w:trPr>
        <w:tc>
          <w:tcPr>
            <w:tcW w:w="2457" w:type="dxa"/>
            <w:gridSpan w:val="2"/>
            <w:shd w:val="clear" w:color="auto" w:fill="E8F5F1"/>
          </w:tcPr>
          <w:p>
            <w:pPr>
              <w:pStyle w:val="TableParagraph"/>
              <w:tabs>
                <w:tab w:pos="1209" w:val="left" w:leader="none"/>
              </w:tabs>
              <w:spacing w:line="149" w:lineRule="exact"/>
              <w:ind w:left="74"/>
              <w:rPr>
                <w:sz w:val="15"/>
              </w:rPr>
            </w:pPr>
            <w:r>
              <w:rPr>
                <w:color w:val="231F20"/>
                <w:spacing w:val="-4"/>
                <w:w w:val="105"/>
                <w:sz w:val="15"/>
              </w:rPr>
              <w:t>SCA2</w:t>
            </w:r>
            <w:r>
              <w:rPr>
                <w:color w:val="231F20"/>
                <w:sz w:val="15"/>
              </w:rPr>
              <w:tab/>
            </w:r>
            <w:r>
              <w:rPr>
                <w:color w:val="231F20"/>
                <w:spacing w:val="-2"/>
                <w:w w:val="105"/>
                <w:sz w:val="15"/>
              </w:rPr>
              <w:t>12q24</w:t>
            </w:r>
          </w:p>
        </w:tc>
        <w:tc>
          <w:tcPr>
            <w:tcW w:w="913" w:type="dxa"/>
            <w:shd w:val="clear" w:color="auto" w:fill="E8F5F1"/>
          </w:tcPr>
          <w:p>
            <w:pPr>
              <w:pStyle w:val="TableParagraph"/>
              <w:spacing w:line="149" w:lineRule="exact"/>
              <w:ind w:left="101"/>
              <w:rPr>
                <w:i/>
                <w:sz w:val="15"/>
              </w:rPr>
            </w:pPr>
            <w:r>
              <w:rPr>
                <w:i/>
                <w:color w:val="231F20"/>
                <w:spacing w:val="-4"/>
                <w:w w:val="110"/>
                <w:sz w:val="15"/>
              </w:rPr>
              <w:t>SCA2</w:t>
            </w:r>
          </w:p>
        </w:tc>
        <w:tc>
          <w:tcPr>
            <w:tcW w:w="930" w:type="dxa"/>
            <w:shd w:val="clear" w:color="auto" w:fill="E8F5F1"/>
          </w:tcPr>
          <w:p>
            <w:pPr>
              <w:pStyle w:val="TableParagraph"/>
              <w:spacing w:line="149" w:lineRule="exact"/>
              <w:ind w:left="101"/>
              <w:rPr>
                <w:sz w:val="15"/>
              </w:rPr>
            </w:pPr>
            <w:r>
              <w:rPr>
                <w:color w:val="231F20"/>
                <w:spacing w:val="-4"/>
                <w:sz w:val="15"/>
              </w:rPr>
              <w:t>Ataxin-</w:t>
            </w:r>
            <w:r>
              <w:rPr>
                <w:color w:val="231F20"/>
                <w:spacing w:val="-10"/>
                <w:sz w:val="15"/>
              </w:rPr>
              <w:t>2</w:t>
            </w:r>
          </w:p>
        </w:tc>
        <w:tc>
          <w:tcPr>
            <w:tcW w:w="1244" w:type="dxa"/>
            <w:shd w:val="clear" w:color="auto" w:fill="E8F5F1"/>
          </w:tcPr>
          <w:p>
            <w:pPr>
              <w:pStyle w:val="TableParagraph"/>
              <w:spacing w:line="149" w:lineRule="exact"/>
              <w:ind w:left="101"/>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shd w:val="clear" w:color="auto" w:fill="E8F5F1"/>
          </w:tcPr>
          <w:p>
            <w:pPr>
              <w:pStyle w:val="TableParagraph"/>
              <w:spacing w:line="149" w:lineRule="exact"/>
              <w:ind w:left="108"/>
              <w:rPr>
                <w:sz w:val="15"/>
              </w:rPr>
            </w:pPr>
            <w:r>
              <w:rPr>
                <w:color w:val="231F20"/>
                <w:spacing w:val="-4"/>
                <w:sz w:val="15"/>
              </w:rPr>
              <w:t>2-</w:t>
            </w:r>
            <w:r>
              <w:rPr>
                <w:color w:val="231F20"/>
                <w:spacing w:val="-5"/>
                <w:sz w:val="15"/>
              </w:rPr>
              <w:t>65</w:t>
            </w:r>
          </w:p>
        </w:tc>
        <w:tc>
          <w:tcPr>
            <w:tcW w:w="1000" w:type="dxa"/>
            <w:shd w:val="clear" w:color="auto" w:fill="E8F5F1"/>
          </w:tcPr>
          <w:p>
            <w:pPr>
              <w:pStyle w:val="TableParagraph"/>
              <w:spacing w:line="149" w:lineRule="exact"/>
              <w:ind w:left="138"/>
              <w:rPr>
                <w:sz w:val="15"/>
              </w:rPr>
            </w:pPr>
            <w:r>
              <w:rPr>
                <w:color w:val="231F20"/>
                <w:spacing w:val="-4"/>
                <w:sz w:val="15"/>
              </w:rPr>
              <w:t>15-</w:t>
            </w:r>
            <w:r>
              <w:rPr>
                <w:color w:val="231F20"/>
                <w:spacing w:val="-5"/>
                <w:sz w:val="15"/>
              </w:rPr>
              <w:t>24</w:t>
            </w:r>
          </w:p>
        </w:tc>
        <w:tc>
          <w:tcPr>
            <w:tcW w:w="1052" w:type="dxa"/>
            <w:shd w:val="clear" w:color="auto" w:fill="E8F5F1"/>
          </w:tcPr>
          <w:p>
            <w:pPr>
              <w:pStyle w:val="TableParagraph"/>
              <w:spacing w:line="149" w:lineRule="exact"/>
              <w:ind w:left="100"/>
              <w:rPr>
                <w:sz w:val="15"/>
              </w:rPr>
            </w:pPr>
            <w:r>
              <w:rPr>
                <w:color w:val="231F20"/>
                <w:spacing w:val="-4"/>
                <w:sz w:val="15"/>
              </w:rPr>
              <w:t>35-</w:t>
            </w:r>
            <w:r>
              <w:rPr>
                <w:color w:val="231F20"/>
                <w:spacing w:val="-5"/>
                <w:sz w:val="15"/>
              </w:rPr>
              <w:t>59</w:t>
            </w:r>
          </w:p>
        </w:tc>
        <w:tc>
          <w:tcPr>
            <w:tcW w:w="1102" w:type="dxa"/>
            <w:vMerge/>
            <w:tcBorders>
              <w:top w:val="nil"/>
              <w:bottom w:val="single" w:sz="4" w:space="0" w:color="FFFFFF"/>
            </w:tcBorders>
            <w:shd w:val="clear" w:color="auto" w:fill="E8F5F1"/>
          </w:tcPr>
          <w:p>
            <w:pPr>
              <w:rPr>
                <w:sz w:val="2"/>
                <w:szCs w:val="2"/>
              </w:rPr>
            </w:pPr>
          </w:p>
        </w:tc>
      </w:tr>
      <w:tr>
        <w:trPr>
          <w:trHeight w:val="169" w:hRule="exact"/>
        </w:trPr>
        <w:tc>
          <w:tcPr>
            <w:tcW w:w="2457" w:type="dxa"/>
            <w:gridSpan w:val="2"/>
            <w:shd w:val="clear" w:color="auto" w:fill="E8F5F1"/>
          </w:tcPr>
          <w:p>
            <w:pPr>
              <w:pStyle w:val="TableParagraph"/>
              <w:tabs>
                <w:tab w:pos="1208" w:val="left" w:leader="none"/>
              </w:tabs>
              <w:spacing w:line="149" w:lineRule="exact"/>
              <w:ind w:left="74"/>
              <w:rPr>
                <w:sz w:val="15"/>
              </w:rPr>
            </w:pPr>
            <w:r>
              <w:rPr>
                <w:color w:val="231F20"/>
                <w:spacing w:val="-2"/>
                <w:sz w:val="15"/>
              </w:rPr>
              <w:t>SCA3/MJD</w:t>
            </w:r>
            <w:r>
              <w:rPr>
                <w:color w:val="231F20"/>
                <w:sz w:val="15"/>
              </w:rPr>
              <w:tab/>
            </w:r>
            <w:r>
              <w:rPr>
                <w:color w:val="231F20"/>
                <w:spacing w:val="-2"/>
                <w:sz w:val="15"/>
              </w:rPr>
              <w:t>14q24.3-</w:t>
            </w:r>
            <w:r>
              <w:rPr>
                <w:color w:val="231F20"/>
                <w:spacing w:val="-5"/>
                <w:sz w:val="15"/>
              </w:rPr>
              <w:t>q31</w:t>
            </w:r>
          </w:p>
        </w:tc>
        <w:tc>
          <w:tcPr>
            <w:tcW w:w="913" w:type="dxa"/>
            <w:shd w:val="clear" w:color="auto" w:fill="E8F5F1"/>
          </w:tcPr>
          <w:p>
            <w:pPr>
              <w:pStyle w:val="TableParagraph"/>
              <w:spacing w:line="149" w:lineRule="exact"/>
              <w:ind w:left="100"/>
              <w:rPr>
                <w:i/>
                <w:sz w:val="15"/>
              </w:rPr>
            </w:pPr>
            <w:r>
              <w:rPr>
                <w:i/>
                <w:color w:val="231F20"/>
                <w:spacing w:val="-4"/>
                <w:w w:val="110"/>
                <w:sz w:val="15"/>
              </w:rPr>
              <w:t>MJD1</w:t>
            </w:r>
          </w:p>
        </w:tc>
        <w:tc>
          <w:tcPr>
            <w:tcW w:w="930" w:type="dxa"/>
            <w:shd w:val="clear" w:color="auto" w:fill="E8F5F1"/>
          </w:tcPr>
          <w:p>
            <w:pPr>
              <w:pStyle w:val="TableParagraph"/>
              <w:spacing w:line="149" w:lineRule="exact"/>
              <w:ind w:left="101"/>
              <w:rPr>
                <w:sz w:val="15"/>
              </w:rPr>
            </w:pPr>
            <w:r>
              <w:rPr>
                <w:color w:val="231F20"/>
                <w:spacing w:val="-4"/>
                <w:sz w:val="15"/>
              </w:rPr>
              <w:t>Ataxin-</w:t>
            </w:r>
            <w:r>
              <w:rPr>
                <w:color w:val="231F20"/>
                <w:spacing w:val="-10"/>
                <w:sz w:val="15"/>
              </w:rPr>
              <w:t>3</w:t>
            </w:r>
          </w:p>
        </w:tc>
        <w:tc>
          <w:tcPr>
            <w:tcW w:w="1244" w:type="dxa"/>
            <w:shd w:val="clear" w:color="auto" w:fill="E8F5F1"/>
          </w:tcPr>
          <w:p>
            <w:pPr>
              <w:pStyle w:val="TableParagraph"/>
              <w:spacing w:line="149" w:lineRule="exact"/>
              <w:ind w:left="101"/>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shd w:val="clear" w:color="auto" w:fill="E8F5F1"/>
          </w:tcPr>
          <w:p>
            <w:pPr>
              <w:pStyle w:val="TableParagraph"/>
              <w:spacing w:line="149" w:lineRule="exact"/>
              <w:ind w:left="108"/>
              <w:rPr>
                <w:sz w:val="15"/>
              </w:rPr>
            </w:pPr>
            <w:r>
              <w:rPr>
                <w:color w:val="231F20"/>
                <w:spacing w:val="-4"/>
                <w:sz w:val="15"/>
              </w:rPr>
              <w:t>11-</w:t>
            </w:r>
            <w:r>
              <w:rPr>
                <w:color w:val="231F20"/>
                <w:spacing w:val="-5"/>
                <w:sz w:val="15"/>
              </w:rPr>
              <w:t>70</w:t>
            </w:r>
          </w:p>
        </w:tc>
        <w:tc>
          <w:tcPr>
            <w:tcW w:w="1000" w:type="dxa"/>
            <w:shd w:val="clear" w:color="auto" w:fill="E8F5F1"/>
          </w:tcPr>
          <w:p>
            <w:pPr>
              <w:pStyle w:val="TableParagraph"/>
              <w:spacing w:line="149" w:lineRule="exact"/>
              <w:ind w:left="138"/>
              <w:rPr>
                <w:sz w:val="15"/>
              </w:rPr>
            </w:pPr>
            <w:r>
              <w:rPr>
                <w:color w:val="231F20"/>
                <w:spacing w:val="-4"/>
                <w:sz w:val="15"/>
              </w:rPr>
              <w:t>13-</w:t>
            </w:r>
            <w:r>
              <w:rPr>
                <w:color w:val="231F20"/>
                <w:spacing w:val="-5"/>
                <w:sz w:val="15"/>
              </w:rPr>
              <w:t>47</w:t>
            </w:r>
            <w:r>
              <w:rPr>
                <w:color w:val="0080AC"/>
                <w:spacing w:val="-5"/>
                <w:sz w:val="15"/>
              </w:rPr>
              <w:t>*</w:t>
            </w:r>
          </w:p>
        </w:tc>
        <w:tc>
          <w:tcPr>
            <w:tcW w:w="1052" w:type="dxa"/>
            <w:shd w:val="clear" w:color="auto" w:fill="E8F5F1"/>
          </w:tcPr>
          <w:p>
            <w:pPr>
              <w:pStyle w:val="TableParagraph"/>
              <w:spacing w:line="149" w:lineRule="exact"/>
              <w:ind w:left="100"/>
              <w:rPr>
                <w:sz w:val="15"/>
              </w:rPr>
            </w:pPr>
            <w:r>
              <w:rPr>
                <w:color w:val="231F20"/>
                <w:spacing w:val="-4"/>
                <w:sz w:val="15"/>
              </w:rPr>
              <w:t>45-</w:t>
            </w:r>
            <w:r>
              <w:rPr>
                <w:color w:val="231F20"/>
                <w:spacing w:val="-5"/>
                <w:sz w:val="15"/>
              </w:rPr>
              <w:t>84</w:t>
            </w:r>
            <w:r>
              <w:rPr>
                <w:color w:val="0080AC"/>
                <w:spacing w:val="-5"/>
                <w:sz w:val="15"/>
              </w:rPr>
              <w:t>*</w:t>
            </w:r>
          </w:p>
        </w:tc>
        <w:tc>
          <w:tcPr>
            <w:tcW w:w="1102" w:type="dxa"/>
            <w:vMerge/>
            <w:tcBorders>
              <w:top w:val="nil"/>
              <w:bottom w:val="single" w:sz="4" w:space="0" w:color="FFFFFF"/>
            </w:tcBorders>
            <w:shd w:val="clear" w:color="auto" w:fill="E8F5F1"/>
          </w:tcPr>
          <w:p>
            <w:pPr>
              <w:rPr>
                <w:sz w:val="2"/>
                <w:szCs w:val="2"/>
              </w:rPr>
            </w:pPr>
          </w:p>
        </w:tc>
      </w:tr>
      <w:tr>
        <w:trPr>
          <w:trHeight w:val="169" w:hRule="exact"/>
        </w:trPr>
        <w:tc>
          <w:tcPr>
            <w:tcW w:w="2457" w:type="dxa"/>
            <w:gridSpan w:val="2"/>
            <w:shd w:val="clear" w:color="auto" w:fill="E8F5F1"/>
          </w:tcPr>
          <w:p>
            <w:pPr>
              <w:pStyle w:val="TableParagraph"/>
              <w:tabs>
                <w:tab w:pos="1208" w:val="left" w:leader="none"/>
              </w:tabs>
              <w:spacing w:line="149" w:lineRule="exact"/>
              <w:ind w:left="74"/>
              <w:rPr>
                <w:sz w:val="15"/>
              </w:rPr>
            </w:pPr>
            <w:r>
              <w:rPr>
                <w:color w:val="231F20"/>
                <w:spacing w:val="-4"/>
                <w:w w:val="105"/>
                <w:sz w:val="15"/>
              </w:rPr>
              <w:t>SCA6</w:t>
            </w:r>
            <w:r>
              <w:rPr>
                <w:color w:val="231F20"/>
                <w:sz w:val="15"/>
              </w:rPr>
              <w:tab/>
            </w:r>
            <w:r>
              <w:rPr>
                <w:color w:val="231F20"/>
                <w:spacing w:val="-2"/>
                <w:w w:val="105"/>
                <w:sz w:val="15"/>
              </w:rPr>
              <w:t>19q13</w:t>
            </w:r>
          </w:p>
        </w:tc>
        <w:tc>
          <w:tcPr>
            <w:tcW w:w="913" w:type="dxa"/>
            <w:shd w:val="clear" w:color="auto" w:fill="E8F5F1"/>
          </w:tcPr>
          <w:p>
            <w:pPr>
              <w:pStyle w:val="TableParagraph"/>
              <w:spacing w:line="149" w:lineRule="exact"/>
              <w:ind w:left="100"/>
              <w:rPr>
                <w:i/>
                <w:sz w:val="15"/>
              </w:rPr>
            </w:pPr>
            <w:r>
              <w:rPr>
                <w:i/>
                <w:color w:val="231F20"/>
                <w:spacing w:val="-2"/>
                <w:w w:val="115"/>
                <w:sz w:val="15"/>
              </w:rPr>
              <w:t>CACNA1A</w:t>
            </w:r>
          </w:p>
        </w:tc>
        <w:tc>
          <w:tcPr>
            <w:tcW w:w="930" w:type="dxa"/>
            <w:shd w:val="clear" w:color="auto" w:fill="E8F5F1"/>
          </w:tcPr>
          <w:p>
            <w:pPr>
              <w:pStyle w:val="TableParagraph"/>
              <w:spacing w:line="149" w:lineRule="exact"/>
              <w:ind w:left="101"/>
              <w:rPr>
                <w:sz w:val="15"/>
              </w:rPr>
            </w:pPr>
            <w:r>
              <w:rPr>
                <w:color w:val="231F20"/>
                <w:spacing w:val="-2"/>
                <w:w w:val="115"/>
                <w:sz w:val="15"/>
              </w:rPr>
              <w:t>CACNA1A</w:t>
            </w:r>
          </w:p>
        </w:tc>
        <w:tc>
          <w:tcPr>
            <w:tcW w:w="1244" w:type="dxa"/>
            <w:shd w:val="clear" w:color="auto" w:fill="E8F5F1"/>
          </w:tcPr>
          <w:p>
            <w:pPr>
              <w:pStyle w:val="TableParagraph"/>
              <w:spacing w:line="149" w:lineRule="exact"/>
              <w:ind w:left="101"/>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shd w:val="clear" w:color="auto" w:fill="E8F5F1"/>
          </w:tcPr>
          <w:p>
            <w:pPr>
              <w:pStyle w:val="TableParagraph"/>
              <w:spacing w:line="149" w:lineRule="exact"/>
              <w:ind w:left="107"/>
              <w:rPr>
                <w:sz w:val="15"/>
              </w:rPr>
            </w:pPr>
            <w:r>
              <w:rPr>
                <w:color w:val="231F20"/>
                <w:spacing w:val="-4"/>
                <w:sz w:val="15"/>
              </w:rPr>
              <w:t>16-</w:t>
            </w:r>
            <w:r>
              <w:rPr>
                <w:color w:val="231F20"/>
                <w:spacing w:val="-5"/>
                <w:sz w:val="15"/>
              </w:rPr>
              <w:t>v73</w:t>
            </w:r>
          </w:p>
        </w:tc>
        <w:tc>
          <w:tcPr>
            <w:tcW w:w="1000" w:type="dxa"/>
            <w:shd w:val="clear" w:color="auto" w:fill="E8F5F1"/>
          </w:tcPr>
          <w:p>
            <w:pPr>
              <w:pStyle w:val="TableParagraph"/>
              <w:spacing w:line="149" w:lineRule="exact"/>
              <w:ind w:left="138"/>
              <w:rPr>
                <w:sz w:val="15"/>
              </w:rPr>
            </w:pPr>
            <w:r>
              <w:rPr>
                <w:color w:val="231F20"/>
                <w:spacing w:val="-4"/>
                <w:sz w:val="15"/>
              </w:rPr>
              <w:t>4-</w:t>
            </w:r>
            <w:r>
              <w:rPr>
                <w:color w:val="231F20"/>
                <w:spacing w:val="-5"/>
                <w:sz w:val="15"/>
              </w:rPr>
              <w:t>20</w:t>
            </w:r>
          </w:p>
        </w:tc>
        <w:tc>
          <w:tcPr>
            <w:tcW w:w="1052" w:type="dxa"/>
            <w:shd w:val="clear" w:color="auto" w:fill="E8F5F1"/>
          </w:tcPr>
          <w:p>
            <w:pPr>
              <w:pStyle w:val="TableParagraph"/>
              <w:spacing w:line="149" w:lineRule="exact"/>
              <w:ind w:left="100"/>
              <w:rPr>
                <w:sz w:val="15"/>
              </w:rPr>
            </w:pPr>
            <w:r>
              <w:rPr>
                <w:color w:val="231F20"/>
                <w:spacing w:val="-4"/>
                <w:sz w:val="15"/>
              </w:rPr>
              <w:t>21-</w:t>
            </w:r>
            <w:r>
              <w:rPr>
                <w:color w:val="231F20"/>
                <w:spacing w:val="-5"/>
                <w:sz w:val="15"/>
              </w:rPr>
              <w:t>33</w:t>
            </w:r>
          </w:p>
        </w:tc>
        <w:tc>
          <w:tcPr>
            <w:tcW w:w="1102" w:type="dxa"/>
            <w:vMerge/>
            <w:tcBorders>
              <w:top w:val="nil"/>
              <w:bottom w:val="single" w:sz="4" w:space="0" w:color="FFFFFF"/>
            </w:tcBorders>
            <w:shd w:val="clear" w:color="auto" w:fill="E8F5F1"/>
          </w:tcPr>
          <w:p>
            <w:pPr>
              <w:rPr>
                <w:sz w:val="2"/>
                <w:szCs w:val="2"/>
              </w:rPr>
            </w:pPr>
          </w:p>
        </w:tc>
      </w:tr>
      <w:tr>
        <w:trPr>
          <w:trHeight w:val="169" w:hRule="exact"/>
        </w:trPr>
        <w:tc>
          <w:tcPr>
            <w:tcW w:w="2457" w:type="dxa"/>
            <w:gridSpan w:val="2"/>
            <w:shd w:val="clear" w:color="auto" w:fill="E8F5F1"/>
          </w:tcPr>
          <w:p>
            <w:pPr>
              <w:pStyle w:val="TableParagraph"/>
              <w:tabs>
                <w:tab w:pos="1208" w:val="left" w:leader="none"/>
              </w:tabs>
              <w:spacing w:line="149" w:lineRule="exact"/>
              <w:ind w:left="74"/>
              <w:rPr>
                <w:sz w:val="15"/>
              </w:rPr>
            </w:pPr>
            <w:r>
              <w:rPr>
                <w:color w:val="231F20"/>
                <w:spacing w:val="-4"/>
                <w:sz w:val="15"/>
              </w:rPr>
              <w:t>SCA7</w:t>
            </w:r>
            <w:r>
              <w:rPr>
                <w:color w:val="231F20"/>
                <w:sz w:val="15"/>
              </w:rPr>
              <w:tab/>
            </w:r>
            <w:r>
              <w:rPr>
                <w:color w:val="231F20"/>
                <w:spacing w:val="-2"/>
                <w:sz w:val="15"/>
              </w:rPr>
              <w:t>3p21.1-</w:t>
            </w:r>
            <w:r>
              <w:rPr>
                <w:color w:val="231F20"/>
                <w:spacing w:val="-5"/>
                <w:sz w:val="15"/>
              </w:rPr>
              <w:t>p12</w:t>
            </w:r>
          </w:p>
        </w:tc>
        <w:tc>
          <w:tcPr>
            <w:tcW w:w="913" w:type="dxa"/>
            <w:shd w:val="clear" w:color="auto" w:fill="E8F5F1"/>
          </w:tcPr>
          <w:p>
            <w:pPr>
              <w:pStyle w:val="TableParagraph"/>
              <w:spacing w:line="149" w:lineRule="exact"/>
              <w:ind w:left="100"/>
              <w:rPr>
                <w:i/>
                <w:sz w:val="15"/>
              </w:rPr>
            </w:pPr>
            <w:r>
              <w:rPr>
                <w:i/>
                <w:color w:val="231F20"/>
                <w:spacing w:val="-4"/>
                <w:w w:val="110"/>
                <w:sz w:val="15"/>
              </w:rPr>
              <w:t>SCA7</w:t>
            </w:r>
          </w:p>
        </w:tc>
        <w:tc>
          <w:tcPr>
            <w:tcW w:w="930" w:type="dxa"/>
            <w:shd w:val="clear" w:color="auto" w:fill="E8F5F1"/>
          </w:tcPr>
          <w:p>
            <w:pPr>
              <w:pStyle w:val="TableParagraph"/>
              <w:spacing w:line="149" w:lineRule="exact"/>
              <w:ind w:left="100"/>
              <w:rPr>
                <w:sz w:val="15"/>
              </w:rPr>
            </w:pPr>
            <w:r>
              <w:rPr>
                <w:color w:val="231F20"/>
                <w:spacing w:val="-4"/>
                <w:sz w:val="15"/>
              </w:rPr>
              <w:t>Ataxin-</w:t>
            </w:r>
            <w:r>
              <w:rPr>
                <w:color w:val="231F20"/>
                <w:spacing w:val="-10"/>
                <w:sz w:val="15"/>
              </w:rPr>
              <w:t>7</w:t>
            </w:r>
          </w:p>
        </w:tc>
        <w:tc>
          <w:tcPr>
            <w:tcW w:w="1244" w:type="dxa"/>
            <w:shd w:val="clear" w:color="auto" w:fill="E8F5F1"/>
          </w:tcPr>
          <w:p>
            <w:pPr>
              <w:pStyle w:val="TableParagraph"/>
              <w:spacing w:line="149" w:lineRule="exact"/>
              <w:ind w:left="101"/>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shd w:val="clear" w:color="auto" w:fill="E8F5F1"/>
          </w:tcPr>
          <w:p>
            <w:pPr>
              <w:pStyle w:val="TableParagraph"/>
              <w:spacing w:line="149" w:lineRule="exact"/>
              <w:ind w:left="107"/>
              <w:rPr>
                <w:sz w:val="15"/>
              </w:rPr>
            </w:pPr>
            <w:r>
              <w:rPr>
                <w:color w:val="231F20"/>
                <w:spacing w:val="-5"/>
                <w:sz w:val="15"/>
              </w:rPr>
              <w:t>Birth-53</w:t>
            </w:r>
          </w:p>
        </w:tc>
        <w:tc>
          <w:tcPr>
            <w:tcW w:w="1000" w:type="dxa"/>
            <w:shd w:val="clear" w:color="auto" w:fill="E8F5F1"/>
          </w:tcPr>
          <w:p>
            <w:pPr>
              <w:pStyle w:val="TableParagraph"/>
              <w:spacing w:line="149" w:lineRule="exact"/>
              <w:ind w:left="138"/>
              <w:rPr>
                <w:sz w:val="15"/>
              </w:rPr>
            </w:pPr>
            <w:r>
              <w:rPr>
                <w:color w:val="231F20"/>
                <w:spacing w:val="-4"/>
                <w:sz w:val="15"/>
              </w:rPr>
              <w:t>4-</w:t>
            </w:r>
            <w:r>
              <w:rPr>
                <w:color w:val="231F20"/>
                <w:spacing w:val="-5"/>
                <w:sz w:val="15"/>
              </w:rPr>
              <w:t>35</w:t>
            </w:r>
          </w:p>
        </w:tc>
        <w:tc>
          <w:tcPr>
            <w:tcW w:w="1052" w:type="dxa"/>
            <w:shd w:val="clear" w:color="auto" w:fill="E8F5F1"/>
          </w:tcPr>
          <w:p>
            <w:pPr>
              <w:pStyle w:val="TableParagraph"/>
              <w:spacing w:line="149" w:lineRule="exact"/>
              <w:ind w:left="100"/>
              <w:rPr>
                <w:sz w:val="15"/>
              </w:rPr>
            </w:pPr>
            <w:r>
              <w:rPr>
                <w:color w:val="231F20"/>
                <w:spacing w:val="-4"/>
                <w:sz w:val="15"/>
              </w:rPr>
              <w:t>37-</w:t>
            </w:r>
            <w:r>
              <w:rPr>
                <w:color w:val="231F20"/>
                <w:spacing w:val="-5"/>
                <w:sz w:val="15"/>
              </w:rPr>
              <w:t>460</w:t>
            </w:r>
          </w:p>
        </w:tc>
        <w:tc>
          <w:tcPr>
            <w:tcW w:w="1102" w:type="dxa"/>
            <w:vMerge/>
            <w:tcBorders>
              <w:top w:val="nil"/>
              <w:bottom w:val="single" w:sz="4" w:space="0" w:color="FFFFFF"/>
            </w:tcBorders>
            <w:shd w:val="clear" w:color="auto" w:fill="E8F5F1"/>
          </w:tcPr>
          <w:p>
            <w:pPr>
              <w:rPr>
                <w:sz w:val="2"/>
                <w:szCs w:val="2"/>
              </w:rPr>
            </w:pPr>
          </w:p>
        </w:tc>
      </w:tr>
      <w:tr>
        <w:trPr>
          <w:trHeight w:val="169" w:hRule="exact"/>
        </w:trPr>
        <w:tc>
          <w:tcPr>
            <w:tcW w:w="2457" w:type="dxa"/>
            <w:gridSpan w:val="2"/>
            <w:shd w:val="clear" w:color="auto" w:fill="E8F5F1"/>
          </w:tcPr>
          <w:p>
            <w:pPr>
              <w:pStyle w:val="TableParagraph"/>
              <w:tabs>
                <w:tab w:pos="1208" w:val="left" w:leader="none"/>
              </w:tabs>
              <w:spacing w:line="149" w:lineRule="exact"/>
              <w:ind w:left="73"/>
              <w:rPr>
                <w:sz w:val="15"/>
              </w:rPr>
            </w:pPr>
            <w:r>
              <w:rPr>
                <w:color w:val="231F20"/>
                <w:spacing w:val="-2"/>
                <w:w w:val="105"/>
                <w:sz w:val="15"/>
              </w:rPr>
              <w:t>SCA17</w:t>
            </w:r>
            <w:r>
              <w:rPr>
                <w:color w:val="231F20"/>
                <w:sz w:val="15"/>
              </w:rPr>
              <w:tab/>
            </w:r>
            <w:r>
              <w:rPr>
                <w:color w:val="231F20"/>
                <w:spacing w:val="-4"/>
                <w:w w:val="105"/>
                <w:sz w:val="15"/>
              </w:rPr>
              <w:t>6q27</w:t>
            </w:r>
          </w:p>
        </w:tc>
        <w:tc>
          <w:tcPr>
            <w:tcW w:w="913" w:type="dxa"/>
            <w:shd w:val="clear" w:color="auto" w:fill="E8F5F1"/>
          </w:tcPr>
          <w:p>
            <w:pPr>
              <w:pStyle w:val="TableParagraph"/>
              <w:spacing w:line="149" w:lineRule="exact"/>
              <w:ind w:left="100"/>
              <w:rPr>
                <w:i/>
                <w:sz w:val="15"/>
              </w:rPr>
            </w:pPr>
            <w:r>
              <w:rPr>
                <w:i/>
                <w:color w:val="231F20"/>
                <w:spacing w:val="-2"/>
                <w:w w:val="110"/>
                <w:sz w:val="15"/>
              </w:rPr>
              <w:t>SCA17</w:t>
            </w:r>
          </w:p>
        </w:tc>
        <w:tc>
          <w:tcPr>
            <w:tcW w:w="930" w:type="dxa"/>
            <w:shd w:val="clear" w:color="auto" w:fill="E8F5F1"/>
          </w:tcPr>
          <w:p>
            <w:pPr>
              <w:pStyle w:val="TableParagraph"/>
              <w:spacing w:line="149" w:lineRule="exact"/>
              <w:ind w:left="100"/>
              <w:rPr>
                <w:sz w:val="15"/>
              </w:rPr>
            </w:pPr>
            <w:r>
              <w:rPr>
                <w:color w:val="231F20"/>
                <w:spacing w:val="-5"/>
                <w:w w:val="105"/>
                <w:sz w:val="15"/>
              </w:rPr>
              <w:t>TBP</w:t>
            </w:r>
          </w:p>
        </w:tc>
        <w:tc>
          <w:tcPr>
            <w:tcW w:w="1244" w:type="dxa"/>
            <w:shd w:val="clear" w:color="auto" w:fill="E8F5F1"/>
          </w:tcPr>
          <w:p>
            <w:pPr>
              <w:pStyle w:val="TableParagraph"/>
              <w:spacing w:line="149" w:lineRule="exact"/>
              <w:ind w:left="100"/>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shd w:val="clear" w:color="auto" w:fill="E8F5F1"/>
          </w:tcPr>
          <w:p>
            <w:pPr>
              <w:pStyle w:val="TableParagraph"/>
              <w:spacing w:line="149" w:lineRule="exact"/>
              <w:ind w:left="107"/>
              <w:rPr>
                <w:sz w:val="15"/>
              </w:rPr>
            </w:pPr>
            <w:r>
              <w:rPr>
                <w:color w:val="231F20"/>
                <w:spacing w:val="-4"/>
                <w:sz w:val="15"/>
              </w:rPr>
              <w:t>3-</w:t>
            </w:r>
            <w:r>
              <w:rPr>
                <w:color w:val="231F20"/>
                <w:spacing w:val="-5"/>
                <w:sz w:val="15"/>
              </w:rPr>
              <w:t>48</w:t>
            </w:r>
          </w:p>
        </w:tc>
        <w:tc>
          <w:tcPr>
            <w:tcW w:w="1000" w:type="dxa"/>
            <w:shd w:val="clear" w:color="auto" w:fill="E8F5F1"/>
          </w:tcPr>
          <w:p>
            <w:pPr>
              <w:pStyle w:val="TableParagraph"/>
              <w:spacing w:line="149" w:lineRule="exact"/>
              <w:ind w:left="138"/>
              <w:rPr>
                <w:sz w:val="15"/>
              </w:rPr>
            </w:pPr>
            <w:r>
              <w:rPr>
                <w:color w:val="231F20"/>
                <w:spacing w:val="-4"/>
                <w:sz w:val="15"/>
              </w:rPr>
              <w:t>25-</w:t>
            </w:r>
            <w:r>
              <w:rPr>
                <w:color w:val="231F20"/>
                <w:spacing w:val="-5"/>
                <w:sz w:val="15"/>
              </w:rPr>
              <w:t>42</w:t>
            </w:r>
          </w:p>
        </w:tc>
        <w:tc>
          <w:tcPr>
            <w:tcW w:w="1052" w:type="dxa"/>
            <w:shd w:val="clear" w:color="auto" w:fill="E8F5F1"/>
          </w:tcPr>
          <w:p>
            <w:pPr>
              <w:pStyle w:val="TableParagraph"/>
              <w:spacing w:line="149" w:lineRule="exact"/>
              <w:ind w:left="100"/>
              <w:rPr>
                <w:sz w:val="15"/>
              </w:rPr>
            </w:pPr>
            <w:r>
              <w:rPr>
                <w:color w:val="231F20"/>
                <w:spacing w:val="-4"/>
                <w:sz w:val="15"/>
              </w:rPr>
              <w:t>45-</w:t>
            </w:r>
            <w:r>
              <w:rPr>
                <w:color w:val="231F20"/>
                <w:spacing w:val="-5"/>
                <w:sz w:val="15"/>
              </w:rPr>
              <w:t>66</w:t>
            </w:r>
          </w:p>
        </w:tc>
        <w:tc>
          <w:tcPr>
            <w:tcW w:w="1102" w:type="dxa"/>
            <w:vMerge/>
            <w:tcBorders>
              <w:top w:val="nil"/>
              <w:bottom w:val="single" w:sz="4" w:space="0" w:color="FFFFFF"/>
            </w:tcBorders>
            <w:shd w:val="clear" w:color="auto" w:fill="E8F5F1"/>
          </w:tcPr>
          <w:p>
            <w:pPr>
              <w:rPr>
                <w:sz w:val="2"/>
                <w:szCs w:val="2"/>
              </w:rPr>
            </w:pPr>
          </w:p>
        </w:tc>
      </w:tr>
      <w:tr>
        <w:trPr>
          <w:trHeight w:val="211" w:hRule="exact"/>
        </w:trPr>
        <w:tc>
          <w:tcPr>
            <w:tcW w:w="2457" w:type="dxa"/>
            <w:gridSpan w:val="2"/>
            <w:tcBorders>
              <w:bottom w:val="single" w:sz="4" w:space="0" w:color="FFFFFF"/>
            </w:tcBorders>
            <w:shd w:val="clear" w:color="auto" w:fill="E8F5F1"/>
          </w:tcPr>
          <w:p>
            <w:pPr>
              <w:pStyle w:val="TableParagraph"/>
              <w:tabs>
                <w:tab w:pos="1208" w:val="left" w:leader="none"/>
              </w:tabs>
              <w:spacing w:line="170" w:lineRule="exact"/>
              <w:ind w:left="73"/>
              <w:rPr>
                <w:sz w:val="15"/>
              </w:rPr>
            </w:pPr>
            <w:r>
              <w:rPr>
                <w:color w:val="231F20"/>
                <w:spacing w:val="-2"/>
                <w:w w:val="105"/>
                <w:sz w:val="15"/>
              </w:rPr>
              <w:t>DRPLA</w:t>
            </w:r>
            <w:r>
              <w:rPr>
                <w:color w:val="231F20"/>
                <w:sz w:val="15"/>
              </w:rPr>
              <w:tab/>
            </w:r>
            <w:r>
              <w:rPr>
                <w:color w:val="231F20"/>
                <w:spacing w:val="-2"/>
                <w:w w:val="105"/>
                <w:sz w:val="15"/>
              </w:rPr>
              <w:t>12p13.31</w:t>
            </w:r>
          </w:p>
        </w:tc>
        <w:tc>
          <w:tcPr>
            <w:tcW w:w="913" w:type="dxa"/>
            <w:tcBorders>
              <w:bottom w:val="single" w:sz="4" w:space="0" w:color="FFFFFF"/>
            </w:tcBorders>
            <w:shd w:val="clear" w:color="auto" w:fill="E8F5F1"/>
          </w:tcPr>
          <w:p>
            <w:pPr>
              <w:pStyle w:val="TableParagraph"/>
              <w:spacing w:line="170" w:lineRule="exact"/>
              <w:ind w:left="100"/>
              <w:rPr>
                <w:i/>
                <w:sz w:val="15"/>
              </w:rPr>
            </w:pPr>
            <w:r>
              <w:rPr>
                <w:i/>
                <w:color w:val="231F20"/>
                <w:spacing w:val="-2"/>
                <w:w w:val="105"/>
                <w:sz w:val="15"/>
              </w:rPr>
              <w:t>DRPLA</w:t>
            </w:r>
          </w:p>
        </w:tc>
        <w:tc>
          <w:tcPr>
            <w:tcW w:w="930" w:type="dxa"/>
            <w:tcBorders>
              <w:bottom w:val="single" w:sz="4" w:space="0" w:color="FFFFFF"/>
            </w:tcBorders>
            <w:shd w:val="clear" w:color="auto" w:fill="E8F5F1"/>
          </w:tcPr>
          <w:p>
            <w:pPr>
              <w:pStyle w:val="TableParagraph"/>
              <w:spacing w:line="170" w:lineRule="exact"/>
              <w:ind w:left="100"/>
              <w:rPr>
                <w:sz w:val="15"/>
              </w:rPr>
            </w:pPr>
            <w:r>
              <w:rPr>
                <w:color w:val="231F20"/>
                <w:spacing w:val="-2"/>
                <w:sz w:val="15"/>
              </w:rPr>
              <w:t>Atrophin-</w:t>
            </w:r>
            <w:r>
              <w:rPr>
                <w:color w:val="231F20"/>
                <w:spacing w:val="-10"/>
                <w:sz w:val="15"/>
              </w:rPr>
              <w:t>1</w:t>
            </w:r>
          </w:p>
        </w:tc>
        <w:tc>
          <w:tcPr>
            <w:tcW w:w="1244" w:type="dxa"/>
            <w:tcBorders>
              <w:bottom w:val="single" w:sz="4" w:space="0" w:color="FFFFFF"/>
            </w:tcBorders>
            <w:shd w:val="clear" w:color="auto" w:fill="E8F5F1"/>
          </w:tcPr>
          <w:p>
            <w:pPr>
              <w:pStyle w:val="TableParagraph"/>
              <w:spacing w:line="170" w:lineRule="exact"/>
              <w:ind w:left="100"/>
              <w:rPr>
                <w:sz w:val="15"/>
              </w:rPr>
            </w:pPr>
            <w:r>
              <w:rPr>
                <w:color w:val="231F20"/>
                <w:w w:val="105"/>
                <w:sz w:val="15"/>
              </w:rPr>
              <w:t>CAG</w:t>
            </w:r>
            <w:r>
              <w:rPr>
                <w:color w:val="231F20"/>
                <w:spacing w:val="26"/>
                <w:w w:val="105"/>
                <w:sz w:val="15"/>
              </w:rPr>
              <w:t> </w:t>
            </w:r>
            <w:r>
              <w:rPr>
                <w:color w:val="231F20"/>
                <w:spacing w:val="-2"/>
                <w:w w:val="105"/>
                <w:sz w:val="15"/>
              </w:rPr>
              <w:t>repeat</w:t>
            </w:r>
          </w:p>
        </w:tc>
        <w:tc>
          <w:tcPr>
            <w:tcW w:w="1049" w:type="dxa"/>
            <w:tcBorders>
              <w:bottom w:val="single" w:sz="4" w:space="0" w:color="FFFFFF"/>
            </w:tcBorders>
            <w:shd w:val="clear" w:color="auto" w:fill="E8F5F1"/>
          </w:tcPr>
          <w:p>
            <w:pPr>
              <w:pStyle w:val="TableParagraph"/>
              <w:spacing w:line="170" w:lineRule="exact"/>
              <w:ind w:left="108"/>
              <w:rPr>
                <w:sz w:val="15"/>
              </w:rPr>
            </w:pPr>
            <w:r>
              <w:rPr>
                <w:color w:val="231F20"/>
                <w:sz w:val="15"/>
              </w:rPr>
              <w:t>4-55</w:t>
            </w:r>
            <w:r>
              <w:rPr>
                <w:color w:val="231F20"/>
                <w:spacing w:val="-8"/>
                <w:sz w:val="15"/>
              </w:rPr>
              <w:t> </w:t>
            </w:r>
            <w:r>
              <w:rPr>
                <w:color w:val="231F20"/>
                <w:spacing w:val="-5"/>
                <w:sz w:val="15"/>
              </w:rPr>
              <w:t>mo</w:t>
            </w:r>
          </w:p>
        </w:tc>
        <w:tc>
          <w:tcPr>
            <w:tcW w:w="1000" w:type="dxa"/>
            <w:tcBorders>
              <w:bottom w:val="single" w:sz="4" w:space="0" w:color="FFFFFF"/>
            </w:tcBorders>
            <w:shd w:val="clear" w:color="auto" w:fill="E8F5F1"/>
          </w:tcPr>
          <w:p>
            <w:pPr>
              <w:pStyle w:val="TableParagraph"/>
              <w:spacing w:line="170" w:lineRule="exact"/>
              <w:ind w:left="139"/>
              <w:rPr>
                <w:sz w:val="15"/>
              </w:rPr>
            </w:pPr>
            <w:r>
              <w:rPr>
                <w:color w:val="231F20"/>
                <w:spacing w:val="-4"/>
                <w:sz w:val="15"/>
              </w:rPr>
              <w:t>7-</w:t>
            </w:r>
            <w:r>
              <w:rPr>
                <w:color w:val="231F20"/>
                <w:spacing w:val="-5"/>
                <w:sz w:val="15"/>
              </w:rPr>
              <w:t>34</w:t>
            </w:r>
          </w:p>
        </w:tc>
        <w:tc>
          <w:tcPr>
            <w:tcW w:w="1052" w:type="dxa"/>
            <w:tcBorders>
              <w:bottom w:val="single" w:sz="4" w:space="0" w:color="FFFFFF"/>
            </w:tcBorders>
            <w:shd w:val="clear" w:color="auto" w:fill="E8F5F1"/>
          </w:tcPr>
          <w:p>
            <w:pPr>
              <w:pStyle w:val="TableParagraph"/>
              <w:spacing w:line="170" w:lineRule="exact"/>
              <w:ind w:left="101"/>
              <w:rPr>
                <w:sz w:val="15"/>
              </w:rPr>
            </w:pPr>
            <w:r>
              <w:rPr>
                <w:color w:val="231F20"/>
                <w:spacing w:val="-4"/>
                <w:sz w:val="15"/>
              </w:rPr>
              <w:t>53-</w:t>
            </w:r>
            <w:r>
              <w:rPr>
                <w:color w:val="231F20"/>
                <w:spacing w:val="-5"/>
                <w:sz w:val="15"/>
              </w:rPr>
              <w:t>93</w:t>
            </w:r>
          </w:p>
        </w:tc>
        <w:tc>
          <w:tcPr>
            <w:tcW w:w="1102" w:type="dxa"/>
            <w:vMerge/>
            <w:tcBorders>
              <w:top w:val="nil"/>
              <w:bottom w:val="single" w:sz="4" w:space="0" w:color="FFFFFF"/>
            </w:tcBorders>
            <w:shd w:val="clear" w:color="auto" w:fill="E8F5F1"/>
          </w:tcPr>
          <w:p>
            <w:pPr>
              <w:rPr>
                <w:sz w:val="2"/>
                <w:szCs w:val="2"/>
              </w:rPr>
            </w:pPr>
          </w:p>
        </w:tc>
      </w:tr>
      <w:tr>
        <w:trPr>
          <w:trHeight w:val="222" w:hRule="exact"/>
        </w:trPr>
        <w:tc>
          <w:tcPr>
            <w:tcW w:w="2457" w:type="dxa"/>
            <w:gridSpan w:val="2"/>
            <w:tcBorders>
              <w:top w:val="single" w:sz="4" w:space="0" w:color="FFFFFF"/>
            </w:tcBorders>
            <w:shd w:val="clear" w:color="auto" w:fill="E8F5F1"/>
          </w:tcPr>
          <w:p>
            <w:pPr>
              <w:pStyle w:val="TableParagraph"/>
              <w:spacing w:line="154" w:lineRule="exact" w:before="43"/>
              <w:ind w:left="74"/>
              <w:rPr>
                <w:sz w:val="15"/>
              </w:rPr>
            </w:pPr>
            <w:r>
              <w:rPr>
                <w:color w:val="231F20"/>
                <w:w w:val="120"/>
                <w:sz w:val="15"/>
              </w:rPr>
              <w:t>NONCODING</w:t>
            </w:r>
            <w:r>
              <w:rPr>
                <w:color w:val="231F20"/>
                <w:spacing w:val="-6"/>
                <w:w w:val="120"/>
                <w:sz w:val="15"/>
              </w:rPr>
              <w:t> </w:t>
            </w:r>
            <w:r>
              <w:rPr>
                <w:color w:val="231F20"/>
                <w:spacing w:val="-2"/>
                <w:w w:val="120"/>
                <w:sz w:val="15"/>
              </w:rPr>
              <w:t>EXPANSION</w:t>
            </w:r>
          </w:p>
        </w:tc>
        <w:tc>
          <w:tcPr>
            <w:tcW w:w="913" w:type="dxa"/>
            <w:tcBorders>
              <w:top w:val="single" w:sz="4" w:space="0" w:color="FFFFFF"/>
            </w:tcBorders>
            <w:shd w:val="clear" w:color="auto" w:fill="E8F5F1"/>
          </w:tcPr>
          <w:p>
            <w:pPr>
              <w:pStyle w:val="TableParagraph"/>
              <w:rPr>
                <w:rFonts w:ascii="Times New Roman"/>
                <w:sz w:val="14"/>
              </w:rPr>
            </w:pPr>
          </w:p>
        </w:tc>
        <w:tc>
          <w:tcPr>
            <w:tcW w:w="930" w:type="dxa"/>
            <w:tcBorders>
              <w:top w:val="single" w:sz="4" w:space="0" w:color="FFFFFF"/>
            </w:tcBorders>
            <w:shd w:val="clear" w:color="auto" w:fill="E8F5F1"/>
          </w:tcPr>
          <w:p>
            <w:pPr>
              <w:pStyle w:val="TableParagraph"/>
              <w:rPr>
                <w:rFonts w:ascii="Times New Roman"/>
                <w:sz w:val="14"/>
              </w:rPr>
            </w:pPr>
          </w:p>
        </w:tc>
        <w:tc>
          <w:tcPr>
            <w:tcW w:w="1244" w:type="dxa"/>
            <w:vMerge w:val="restart"/>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213" w:right="130" w:hanging="112"/>
              <w:rPr>
                <w:sz w:val="15"/>
              </w:rPr>
            </w:pPr>
            <w:r>
              <w:rPr>
                <w:color w:val="231F20"/>
                <w:sz w:val="15"/>
              </w:rPr>
              <w:t>CTG</w:t>
            </w:r>
            <w:r>
              <w:rPr>
                <w:color w:val="231F20"/>
                <w:spacing w:val="-11"/>
                <w:sz w:val="15"/>
              </w:rPr>
              <w:t> </w:t>
            </w:r>
            <w:r>
              <w:rPr>
                <w:color w:val="231F20"/>
                <w:sz w:val="15"/>
              </w:rPr>
              <w:t>repeat</w:t>
            </w:r>
            <w:r>
              <w:rPr>
                <w:color w:val="231F20"/>
                <w:spacing w:val="-11"/>
                <w:sz w:val="15"/>
              </w:rPr>
              <w:t> </w:t>
            </w:r>
            <w:r>
              <w:rPr>
                <w:color w:val="231F20"/>
                <w:sz w:val="15"/>
              </w:rPr>
              <w:t>in 3</w:t>
            </w:r>
            <w:r>
              <w:rPr>
                <w:rFonts w:ascii="Cambria" w:hAnsi="Cambria"/>
                <w:color w:val="231F20"/>
                <w:sz w:val="15"/>
              </w:rPr>
              <w:t>′ </w:t>
            </w:r>
            <w:r>
              <w:rPr>
                <w:color w:val="231F20"/>
                <w:sz w:val="15"/>
              </w:rPr>
              <w:t>UTR</w:t>
            </w:r>
          </w:p>
          <w:p>
            <w:pPr>
              <w:pStyle w:val="TableParagraph"/>
              <w:spacing w:line="232" w:lineRule="auto"/>
              <w:ind w:left="101" w:right="170" w:hanging="25"/>
              <w:jc w:val="center"/>
              <w:rPr>
                <w:sz w:val="15"/>
              </w:rPr>
            </w:pPr>
            <w:r>
              <w:rPr>
                <w:color w:val="231F20"/>
                <w:sz w:val="15"/>
              </w:rPr>
              <w:t>ATTCT repeat in intron 9 CAG</w:t>
            </w:r>
            <w:r>
              <w:rPr>
                <w:color w:val="231F20"/>
                <w:spacing w:val="-3"/>
                <w:sz w:val="15"/>
              </w:rPr>
              <w:t> </w:t>
            </w:r>
            <w:r>
              <w:rPr>
                <w:color w:val="231F20"/>
                <w:sz w:val="15"/>
              </w:rPr>
              <w:t>repeat</w:t>
            </w:r>
            <w:r>
              <w:rPr>
                <w:color w:val="231F20"/>
                <w:spacing w:val="-3"/>
                <w:sz w:val="15"/>
              </w:rPr>
              <w:t> </w:t>
            </w:r>
            <w:r>
              <w:rPr>
                <w:color w:val="231F20"/>
                <w:sz w:val="15"/>
              </w:rPr>
              <w:t>in</w:t>
            </w:r>
          </w:p>
          <w:p>
            <w:pPr>
              <w:pStyle w:val="TableParagraph"/>
              <w:spacing w:line="166" w:lineRule="exact"/>
              <w:ind w:left="213"/>
              <w:rPr>
                <w:sz w:val="15"/>
              </w:rPr>
            </w:pPr>
            <w:r>
              <w:rPr>
                <w:color w:val="231F20"/>
                <w:sz w:val="15"/>
              </w:rPr>
              <w:t>5</w:t>
            </w:r>
            <w:r>
              <w:rPr>
                <w:rFonts w:ascii="Cambria" w:hAnsi="Cambria"/>
                <w:color w:val="231F20"/>
                <w:sz w:val="15"/>
              </w:rPr>
              <w:t>′</w:t>
            </w:r>
            <w:r>
              <w:rPr>
                <w:rFonts w:ascii="Cambria" w:hAnsi="Cambria"/>
                <w:color w:val="231F20"/>
                <w:spacing w:val="9"/>
                <w:sz w:val="15"/>
              </w:rPr>
              <w:t> </w:t>
            </w:r>
            <w:r>
              <w:rPr>
                <w:color w:val="231F20"/>
                <w:spacing w:val="-5"/>
                <w:sz w:val="15"/>
              </w:rPr>
              <w:t>UTR</w:t>
            </w:r>
          </w:p>
          <w:p>
            <w:pPr>
              <w:pStyle w:val="TableParagraph"/>
              <w:spacing w:line="230" w:lineRule="auto" w:before="3"/>
              <w:ind w:left="213" w:right="130" w:hanging="112"/>
              <w:rPr>
                <w:sz w:val="15"/>
              </w:rPr>
            </w:pPr>
            <w:r>
              <w:rPr>
                <w:color w:val="231F20"/>
                <w:sz w:val="15"/>
              </w:rPr>
              <w:t>TGGAA repeat insertion in intron of BEAN and </w:t>
            </w:r>
            <w:r>
              <w:rPr>
                <w:color w:val="231F20"/>
                <w:sz w:val="15"/>
              </w:rPr>
              <w:t>TK</w:t>
            </w:r>
          </w:p>
        </w:tc>
        <w:tc>
          <w:tcPr>
            <w:tcW w:w="1049" w:type="dxa"/>
            <w:tcBorders>
              <w:top w:val="single" w:sz="4" w:space="0" w:color="FFFFFF"/>
            </w:tcBorders>
            <w:shd w:val="clear" w:color="auto" w:fill="E8F5F1"/>
          </w:tcPr>
          <w:p>
            <w:pPr>
              <w:pStyle w:val="TableParagraph"/>
              <w:rPr>
                <w:rFonts w:ascii="Times New Roman"/>
                <w:sz w:val="14"/>
              </w:rPr>
            </w:pPr>
          </w:p>
        </w:tc>
        <w:tc>
          <w:tcPr>
            <w:tcW w:w="1000" w:type="dxa"/>
            <w:tcBorders>
              <w:top w:val="single" w:sz="4" w:space="0" w:color="FFFFFF"/>
            </w:tcBorders>
            <w:shd w:val="clear" w:color="auto" w:fill="E8F5F1"/>
          </w:tcPr>
          <w:p>
            <w:pPr>
              <w:pStyle w:val="TableParagraph"/>
              <w:rPr>
                <w:rFonts w:ascii="Times New Roman"/>
                <w:sz w:val="14"/>
              </w:rPr>
            </w:pPr>
          </w:p>
        </w:tc>
        <w:tc>
          <w:tcPr>
            <w:tcW w:w="1052" w:type="dxa"/>
            <w:tcBorders>
              <w:top w:val="single" w:sz="4" w:space="0" w:color="FFFFFF"/>
            </w:tcBorders>
            <w:shd w:val="clear" w:color="auto" w:fill="E8F5F1"/>
          </w:tcPr>
          <w:p>
            <w:pPr>
              <w:pStyle w:val="TableParagraph"/>
              <w:rPr>
                <w:rFonts w:ascii="Times New Roman"/>
                <w:sz w:val="14"/>
              </w:rPr>
            </w:pPr>
          </w:p>
        </w:tc>
        <w:tc>
          <w:tcPr>
            <w:tcW w:w="1102"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253" w:hRule="exact"/>
        </w:trPr>
        <w:tc>
          <w:tcPr>
            <w:tcW w:w="2457" w:type="dxa"/>
            <w:gridSpan w:val="2"/>
            <w:shd w:val="clear" w:color="auto" w:fill="E8F5F1"/>
          </w:tcPr>
          <w:p>
            <w:pPr>
              <w:pStyle w:val="TableParagraph"/>
              <w:tabs>
                <w:tab w:pos="1209" w:val="left" w:leader="none"/>
              </w:tabs>
              <w:spacing w:line="169" w:lineRule="exact"/>
              <w:ind w:left="74"/>
              <w:rPr>
                <w:sz w:val="15"/>
              </w:rPr>
            </w:pPr>
            <w:r>
              <w:rPr>
                <w:color w:val="231F20"/>
                <w:spacing w:val="-4"/>
                <w:w w:val="105"/>
                <w:sz w:val="15"/>
              </w:rPr>
              <w:t>SCA8</w:t>
            </w:r>
            <w:r>
              <w:rPr>
                <w:color w:val="231F20"/>
                <w:sz w:val="15"/>
              </w:rPr>
              <w:tab/>
            </w:r>
            <w:r>
              <w:rPr>
                <w:color w:val="231F20"/>
                <w:spacing w:val="-2"/>
                <w:w w:val="105"/>
                <w:sz w:val="15"/>
              </w:rPr>
              <w:t>13q21</w:t>
            </w:r>
          </w:p>
        </w:tc>
        <w:tc>
          <w:tcPr>
            <w:tcW w:w="913" w:type="dxa"/>
            <w:shd w:val="clear" w:color="auto" w:fill="E8F5F1"/>
          </w:tcPr>
          <w:p>
            <w:pPr>
              <w:pStyle w:val="TableParagraph"/>
              <w:spacing w:line="170" w:lineRule="exact"/>
              <w:ind w:left="101"/>
              <w:rPr>
                <w:i/>
                <w:sz w:val="15"/>
              </w:rPr>
            </w:pPr>
            <w:r>
              <w:rPr>
                <w:i/>
                <w:color w:val="231F20"/>
                <w:spacing w:val="-4"/>
                <w:w w:val="110"/>
                <w:sz w:val="15"/>
              </w:rPr>
              <w:t>SCA8</w:t>
            </w:r>
          </w:p>
        </w:tc>
        <w:tc>
          <w:tcPr>
            <w:tcW w:w="930" w:type="dxa"/>
            <w:shd w:val="clear" w:color="auto" w:fill="E8F5F1"/>
          </w:tcPr>
          <w:p>
            <w:pPr>
              <w:pStyle w:val="TableParagraph"/>
              <w:spacing w:line="170" w:lineRule="exact"/>
              <w:ind w:left="101"/>
              <w:rPr>
                <w:sz w:val="15"/>
              </w:rPr>
            </w:pPr>
            <w:r>
              <w:rPr>
                <w:color w:val="231F20"/>
                <w:w w:val="110"/>
                <w:sz w:val="15"/>
              </w:rPr>
              <w:t>SCA8</w:t>
            </w:r>
            <w:r>
              <w:rPr>
                <w:color w:val="231F20"/>
                <w:spacing w:val="-1"/>
                <w:w w:val="110"/>
                <w:sz w:val="15"/>
              </w:rPr>
              <w:t> </w:t>
            </w:r>
            <w:r>
              <w:rPr>
                <w:color w:val="231F20"/>
                <w:spacing w:val="-5"/>
                <w:w w:val="110"/>
                <w:sz w:val="15"/>
              </w:rPr>
              <w:t>RNA</w:t>
            </w:r>
          </w:p>
        </w:tc>
        <w:tc>
          <w:tcPr>
            <w:tcW w:w="1244" w:type="dxa"/>
            <w:vMerge/>
            <w:tcBorders>
              <w:top w:val="nil"/>
              <w:bottom w:val="single" w:sz="4" w:space="0" w:color="FFFFFF"/>
            </w:tcBorders>
            <w:shd w:val="clear" w:color="auto" w:fill="E8F5F1"/>
          </w:tcPr>
          <w:p>
            <w:pPr>
              <w:rPr>
                <w:sz w:val="2"/>
                <w:szCs w:val="2"/>
              </w:rPr>
            </w:pPr>
          </w:p>
        </w:tc>
        <w:tc>
          <w:tcPr>
            <w:tcW w:w="1049" w:type="dxa"/>
            <w:shd w:val="clear" w:color="auto" w:fill="E8F5F1"/>
          </w:tcPr>
          <w:p>
            <w:pPr>
              <w:pStyle w:val="TableParagraph"/>
              <w:spacing w:line="170" w:lineRule="exact"/>
              <w:ind w:left="108"/>
              <w:rPr>
                <w:sz w:val="15"/>
              </w:rPr>
            </w:pPr>
            <w:r>
              <w:rPr>
                <w:color w:val="231F20"/>
                <w:spacing w:val="-4"/>
                <w:sz w:val="15"/>
              </w:rPr>
              <w:t>18-</w:t>
            </w:r>
            <w:r>
              <w:rPr>
                <w:color w:val="231F20"/>
                <w:spacing w:val="-5"/>
                <w:sz w:val="15"/>
              </w:rPr>
              <w:t>72</w:t>
            </w:r>
          </w:p>
        </w:tc>
        <w:tc>
          <w:tcPr>
            <w:tcW w:w="1000" w:type="dxa"/>
            <w:shd w:val="clear" w:color="auto" w:fill="E8F5F1"/>
          </w:tcPr>
          <w:p>
            <w:pPr>
              <w:pStyle w:val="TableParagraph"/>
              <w:spacing w:line="170" w:lineRule="exact"/>
              <w:ind w:left="139"/>
              <w:rPr>
                <w:sz w:val="15"/>
              </w:rPr>
            </w:pPr>
            <w:r>
              <w:rPr>
                <w:color w:val="231F20"/>
                <w:spacing w:val="-4"/>
                <w:sz w:val="15"/>
              </w:rPr>
              <w:t>2-</w:t>
            </w:r>
            <w:r>
              <w:rPr>
                <w:color w:val="231F20"/>
                <w:spacing w:val="-5"/>
                <w:sz w:val="15"/>
              </w:rPr>
              <w:t>91</w:t>
            </w:r>
            <w:r>
              <w:rPr>
                <w:color w:val="0080AC"/>
                <w:spacing w:val="-5"/>
                <w:sz w:val="15"/>
              </w:rPr>
              <w:t>*</w:t>
            </w:r>
          </w:p>
        </w:tc>
        <w:tc>
          <w:tcPr>
            <w:tcW w:w="1052" w:type="dxa"/>
            <w:shd w:val="clear" w:color="auto" w:fill="E8F5F1"/>
          </w:tcPr>
          <w:p>
            <w:pPr>
              <w:pStyle w:val="TableParagraph"/>
              <w:spacing w:line="170" w:lineRule="exact"/>
              <w:ind w:left="101"/>
              <w:rPr>
                <w:sz w:val="15"/>
              </w:rPr>
            </w:pPr>
            <w:r>
              <w:rPr>
                <w:color w:val="231F20"/>
                <w:spacing w:val="-4"/>
                <w:sz w:val="15"/>
              </w:rPr>
              <w:t>110-155</w:t>
            </w:r>
            <w:r>
              <w:rPr>
                <w:color w:val="0080AC"/>
                <w:spacing w:val="-4"/>
                <w:sz w:val="15"/>
              </w:rPr>
              <w:t>*</w:t>
            </w:r>
          </w:p>
        </w:tc>
        <w:tc>
          <w:tcPr>
            <w:tcW w:w="1102" w:type="dxa"/>
            <w:vMerge/>
            <w:tcBorders>
              <w:top w:val="nil"/>
              <w:bottom w:val="single" w:sz="4" w:space="0" w:color="FFFFFF"/>
            </w:tcBorders>
            <w:shd w:val="clear" w:color="auto" w:fill="E8F5F1"/>
          </w:tcPr>
          <w:p>
            <w:pPr>
              <w:rPr>
                <w:sz w:val="2"/>
                <w:szCs w:val="2"/>
              </w:rPr>
            </w:pPr>
          </w:p>
        </w:tc>
      </w:tr>
      <w:tr>
        <w:trPr>
          <w:trHeight w:val="337" w:hRule="exact"/>
        </w:trPr>
        <w:tc>
          <w:tcPr>
            <w:tcW w:w="2457" w:type="dxa"/>
            <w:gridSpan w:val="2"/>
            <w:shd w:val="clear" w:color="auto" w:fill="E8F5F1"/>
          </w:tcPr>
          <w:p>
            <w:pPr>
              <w:pStyle w:val="TableParagraph"/>
              <w:tabs>
                <w:tab w:pos="1209" w:val="left" w:leader="none"/>
              </w:tabs>
              <w:spacing w:before="79"/>
              <w:ind w:left="74"/>
              <w:rPr>
                <w:sz w:val="15"/>
              </w:rPr>
            </w:pPr>
            <w:r>
              <w:rPr>
                <w:color w:val="231F20"/>
                <w:spacing w:val="-2"/>
                <w:w w:val="105"/>
                <w:sz w:val="15"/>
              </w:rPr>
              <w:t>SCA10</w:t>
            </w:r>
            <w:r>
              <w:rPr>
                <w:color w:val="231F20"/>
                <w:sz w:val="15"/>
              </w:rPr>
              <w:tab/>
            </w:r>
            <w:r>
              <w:rPr>
                <w:color w:val="231F20"/>
                <w:spacing w:val="-2"/>
                <w:w w:val="105"/>
                <w:sz w:val="15"/>
              </w:rPr>
              <w:t>22q13</w:t>
            </w:r>
          </w:p>
        </w:tc>
        <w:tc>
          <w:tcPr>
            <w:tcW w:w="913" w:type="dxa"/>
            <w:shd w:val="clear" w:color="auto" w:fill="E8F5F1"/>
          </w:tcPr>
          <w:p>
            <w:pPr>
              <w:pStyle w:val="TableParagraph"/>
              <w:spacing w:before="79"/>
              <w:ind w:left="101"/>
              <w:rPr>
                <w:i/>
                <w:sz w:val="15"/>
              </w:rPr>
            </w:pPr>
            <w:r>
              <w:rPr>
                <w:i/>
                <w:color w:val="231F20"/>
                <w:spacing w:val="-2"/>
                <w:w w:val="110"/>
                <w:sz w:val="15"/>
              </w:rPr>
              <w:t>SCA10</w:t>
            </w:r>
          </w:p>
        </w:tc>
        <w:tc>
          <w:tcPr>
            <w:tcW w:w="930" w:type="dxa"/>
            <w:shd w:val="clear" w:color="auto" w:fill="E8F5F1"/>
          </w:tcPr>
          <w:p>
            <w:pPr>
              <w:pStyle w:val="TableParagraph"/>
              <w:spacing w:before="79"/>
              <w:ind w:left="101"/>
              <w:rPr>
                <w:sz w:val="15"/>
              </w:rPr>
            </w:pPr>
            <w:r>
              <w:rPr>
                <w:color w:val="231F20"/>
                <w:spacing w:val="-4"/>
                <w:sz w:val="15"/>
              </w:rPr>
              <w:t>Ataxin-</w:t>
            </w:r>
            <w:r>
              <w:rPr>
                <w:color w:val="231F20"/>
                <w:spacing w:val="-5"/>
                <w:sz w:val="15"/>
              </w:rPr>
              <w:t>10</w:t>
            </w:r>
          </w:p>
        </w:tc>
        <w:tc>
          <w:tcPr>
            <w:tcW w:w="1244" w:type="dxa"/>
            <w:vMerge/>
            <w:tcBorders>
              <w:top w:val="nil"/>
              <w:bottom w:val="single" w:sz="4" w:space="0" w:color="FFFFFF"/>
            </w:tcBorders>
            <w:shd w:val="clear" w:color="auto" w:fill="E8F5F1"/>
          </w:tcPr>
          <w:p>
            <w:pPr>
              <w:rPr>
                <w:sz w:val="2"/>
                <w:szCs w:val="2"/>
              </w:rPr>
            </w:pPr>
          </w:p>
        </w:tc>
        <w:tc>
          <w:tcPr>
            <w:tcW w:w="1049" w:type="dxa"/>
            <w:shd w:val="clear" w:color="auto" w:fill="E8F5F1"/>
          </w:tcPr>
          <w:p>
            <w:pPr>
              <w:pStyle w:val="TableParagraph"/>
              <w:spacing w:before="79"/>
              <w:ind w:left="108"/>
              <w:rPr>
                <w:sz w:val="15"/>
              </w:rPr>
            </w:pPr>
            <w:r>
              <w:rPr>
                <w:color w:val="231F20"/>
                <w:spacing w:val="-4"/>
                <w:sz w:val="15"/>
              </w:rPr>
              <w:t>14-</w:t>
            </w:r>
            <w:r>
              <w:rPr>
                <w:color w:val="231F20"/>
                <w:spacing w:val="-5"/>
                <w:sz w:val="15"/>
              </w:rPr>
              <w:t>45</w:t>
            </w:r>
          </w:p>
        </w:tc>
        <w:tc>
          <w:tcPr>
            <w:tcW w:w="1000" w:type="dxa"/>
            <w:shd w:val="clear" w:color="auto" w:fill="E8F5F1"/>
          </w:tcPr>
          <w:p>
            <w:pPr>
              <w:pStyle w:val="TableParagraph"/>
              <w:spacing w:before="79"/>
              <w:ind w:left="138"/>
              <w:rPr>
                <w:sz w:val="15"/>
              </w:rPr>
            </w:pPr>
            <w:r>
              <w:rPr>
                <w:color w:val="231F20"/>
                <w:spacing w:val="-4"/>
                <w:sz w:val="15"/>
              </w:rPr>
              <w:t>10-</w:t>
            </w:r>
            <w:r>
              <w:rPr>
                <w:color w:val="231F20"/>
                <w:spacing w:val="-5"/>
                <w:sz w:val="15"/>
              </w:rPr>
              <w:t>29</w:t>
            </w:r>
          </w:p>
        </w:tc>
        <w:tc>
          <w:tcPr>
            <w:tcW w:w="1052" w:type="dxa"/>
            <w:shd w:val="clear" w:color="auto" w:fill="E8F5F1"/>
          </w:tcPr>
          <w:p>
            <w:pPr>
              <w:pStyle w:val="TableParagraph"/>
              <w:spacing w:before="79"/>
              <w:ind w:left="100"/>
              <w:rPr>
                <w:sz w:val="15"/>
              </w:rPr>
            </w:pPr>
            <w:r>
              <w:rPr>
                <w:color w:val="231F20"/>
                <w:spacing w:val="-4"/>
                <w:sz w:val="15"/>
              </w:rPr>
              <w:t>750-4500</w:t>
            </w:r>
          </w:p>
        </w:tc>
        <w:tc>
          <w:tcPr>
            <w:tcW w:w="1102" w:type="dxa"/>
            <w:vMerge/>
            <w:tcBorders>
              <w:top w:val="nil"/>
              <w:bottom w:val="single" w:sz="4" w:space="0" w:color="FFFFFF"/>
            </w:tcBorders>
            <w:shd w:val="clear" w:color="auto" w:fill="E8F5F1"/>
          </w:tcPr>
          <w:p>
            <w:pPr>
              <w:rPr>
                <w:sz w:val="2"/>
                <w:szCs w:val="2"/>
              </w:rPr>
            </w:pPr>
          </w:p>
        </w:tc>
      </w:tr>
      <w:tr>
        <w:trPr>
          <w:trHeight w:val="337" w:hRule="exact"/>
        </w:trPr>
        <w:tc>
          <w:tcPr>
            <w:tcW w:w="2457" w:type="dxa"/>
            <w:gridSpan w:val="2"/>
            <w:shd w:val="clear" w:color="auto" w:fill="E8F5F1"/>
          </w:tcPr>
          <w:p>
            <w:pPr>
              <w:pStyle w:val="TableParagraph"/>
              <w:tabs>
                <w:tab w:pos="1208" w:val="left" w:leader="none"/>
              </w:tabs>
              <w:spacing w:before="79"/>
              <w:ind w:left="74"/>
              <w:rPr>
                <w:sz w:val="15"/>
              </w:rPr>
            </w:pPr>
            <w:r>
              <w:rPr>
                <w:color w:val="231F20"/>
                <w:spacing w:val="-2"/>
                <w:sz w:val="15"/>
              </w:rPr>
              <w:t>SCA12</w:t>
            </w:r>
            <w:r>
              <w:rPr>
                <w:color w:val="231F20"/>
                <w:sz w:val="15"/>
              </w:rPr>
              <w:tab/>
              <w:t>5q31-</w:t>
            </w:r>
            <w:r>
              <w:rPr>
                <w:color w:val="231F20"/>
                <w:spacing w:val="-5"/>
                <w:sz w:val="15"/>
              </w:rPr>
              <w:t>q33</w:t>
            </w:r>
          </w:p>
        </w:tc>
        <w:tc>
          <w:tcPr>
            <w:tcW w:w="913" w:type="dxa"/>
            <w:shd w:val="clear" w:color="auto" w:fill="E8F5F1"/>
          </w:tcPr>
          <w:p>
            <w:pPr>
              <w:pStyle w:val="TableParagraph"/>
              <w:spacing w:before="79"/>
              <w:ind w:left="100"/>
              <w:rPr>
                <w:i/>
                <w:sz w:val="15"/>
              </w:rPr>
            </w:pPr>
            <w:r>
              <w:rPr>
                <w:i/>
                <w:color w:val="231F20"/>
                <w:spacing w:val="-2"/>
                <w:w w:val="110"/>
                <w:sz w:val="15"/>
              </w:rPr>
              <w:t>SCA12</w:t>
            </w:r>
          </w:p>
        </w:tc>
        <w:tc>
          <w:tcPr>
            <w:tcW w:w="930" w:type="dxa"/>
            <w:shd w:val="clear" w:color="auto" w:fill="E8F5F1"/>
          </w:tcPr>
          <w:p>
            <w:pPr>
              <w:pStyle w:val="TableParagraph"/>
              <w:spacing w:before="79"/>
              <w:ind w:left="101"/>
              <w:rPr>
                <w:sz w:val="15"/>
              </w:rPr>
            </w:pPr>
            <w:r>
              <w:rPr>
                <w:color w:val="231F20"/>
                <w:spacing w:val="-2"/>
                <w:sz w:val="15"/>
              </w:rPr>
              <w:t>P2R2B</w:t>
            </w:r>
          </w:p>
        </w:tc>
        <w:tc>
          <w:tcPr>
            <w:tcW w:w="1244" w:type="dxa"/>
            <w:vMerge/>
            <w:tcBorders>
              <w:top w:val="nil"/>
              <w:bottom w:val="single" w:sz="4" w:space="0" w:color="FFFFFF"/>
            </w:tcBorders>
            <w:shd w:val="clear" w:color="auto" w:fill="E8F5F1"/>
          </w:tcPr>
          <w:p>
            <w:pPr>
              <w:rPr>
                <w:sz w:val="2"/>
                <w:szCs w:val="2"/>
              </w:rPr>
            </w:pPr>
          </w:p>
        </w:tc>
        <w:tc>
          <w:tcPr>
            <w:tcW w:w="1049" w:type="dxa"/>
            <w:shd w:val="clear" w:color="auto" w:fill="E8F5F1"/>
          </w:tcPr>
          <w:p>
            <w:pPr>
              <w:pStyle w:val="TableParagraph"/>
              <w:spacing w:before="79"/>
              <w:ind w:left="108"/>
              <w:rPr>
                <w:sz w:val="15"/>
              </w:rPr>
            </w:pPr>
            <w:r>
              <w:rPr>
                <w:color w:val="231F20"/>
                <w:spacing w:val="-4"/>
                <w:sz w:val="15"/>
              </w:rPr>
              <w:t>8-</w:t>
            </w:r>
            <w:r>
              <w:rPr>
                <w:color w:val="231F20"/>
                <w:spacing w:val="-5"/>
                <w:sz w:val="15"/>
              </w:rPr>
              <w:t>55</w:t>
            </w:r>
          </w:p>
        </w:tc>
        <w:tc>
          <w:tcPr>
            <w:tcW w:w="1000" w:type="dxa"/>
            <w:shd w:val="clear" w:color="auto" w:fill="E8F5F1"/>
          </w:tcPr>
          <w:p>
            <w:pPr>
              <w:pStyle w:val="TableParagraph"/>
              <w:spacing w:before="79"/>
              <w:ind w:left="138"/>
              <w:rPr>
                <w:sz w:val="15"/>
              </w:rPr>
            </w:pPr>
            <w:r>
              <w:rPr>
                <w:color w:val="231F20"/>
                <w:spacing w:val="-4"/>
                <w:sz w:val="15"/>
              </w:rPr>
              <w:t>7-</w:t>
            </w:r>
            <w:r>
              <w:rPr>
                <w:color w:val="231F20"/>
                <w:spacing w:val="-5"/>
                <w:sz w:val="15"/>
              </w:rPr>
              <w:t>32</w:t>
            </w:r>
          </w:p>
        </w:tc>
        <w:tc>
          <w:tcPr>
            <w:tcW w:w="1052" w:type="dxa"/>
            <w:shd w:val="clear" w:color="auto" w:fill="E8F5F1"/>
          </w:tcPr>
          <w:p>
            <w:pPr>
              <w:pStyle w:val="TableParagraph"/>
              <w:spacing w:before="79"/>
              <w:ind w:left="100"/>
              <w:rPr>
                <w:sz w:val="15"/>
              </w:rPr>
            </w:pPr>
            <w:r>
              <w:rPr>
                <w:color w:val="231F20"/>
                <w:spacing w:val="-4"/>
                <w:sz w:val="15"/>
              </w:rPr>
              <w:t>55-</w:t>
            </w:r>
            <w:r>
              <w:rPr>
                <w:color w:val="231F20"/>
                <w:spacing w:val="-5"/>
                <w:sz w:val="15"/>
              </w:rPr>
              <w:t>78</w:t>
            </w:r>
          </w:p>
        </w:tc>
        <w:tc>
          <w:tcPr>
            <w:tcW w:w="1102" w:type="dxa"/>
            <w:vMerge/>
            <w:tcBorders>
              <w:top w:val="nil"/>
              <w:bottom w:val="single" w:sz="4" w:space="0" w:color="FFFFFF"/>
            </w:tcBorders>
            <w:shd w:val="clear" w:color="auto" w:fill="E8F5F1"/>
          </w:tcPr>
          <w:p>
            <w:pPr>
              <w:rPr>
                <w:sz w:val="2"/>
                <w:szCs w:val="2"/>
              </w:rPr>
            </w:pPr>
          </w:p>
        </w:tc>
      </w:tr>
      <w:tr>
        <w:trPr>
          <w:trHeight w:val="254" w:hRule="exact"/>
        </w:trPr>
        <w:tc>
          <w:tcPr>
            <w:tcW w:w="2457" w:type="dxa"/>
            <w:gridSpan w:val="2"/>
            <w:shd w:val="clear" w:color="auto" w:fill="E8F5F1"/>
          </w:tcPr>
          <w:p>
            <w:pPr>
              <w:pStyle w:val="TableParagraph"/>
              <w:tabs>
                <w:tab w:pos="1208" w:val="left" w:leader="none"/>
              </w:tabs>
              <w:spacing w:line="155" w:lineRule="exact" w:before="79"/>
              <w:ind w:left="74"/>
              <w:rPr>
                <w:sz w:val="15"/>
              </w:rPr>
            </w:pPr>
            <w:r>
              <w:rPr>
                <w:color w:val="231F20"/>
                <w:spacing w:val="-2"/>
                <w:w w:val="105"/>
                <w:sz w:val="15"/>
              </w:rPr>
              <w:t>SCA31</w:t>
            </w:r>
            <w:r>
              <w:rPr>
                <w:color w:val="231F20"/>
                <w:sz w:val="15"/>
              </w:rPr>
              <w:tab/>
            </w:r>
            <w:r>
              <w:rPr>
                <w:color w:val="231F20"/>
                <w:spacing w:val="-2"/>
                <w:w w:val="105"/>
                <w:sz w:val="15"/>
              </w:rPr>
              <w:t>16q22.1</w:t>
            </w:r>
          </w:p>
        </w:tc>
        <w:tc>
          <w:tcPr>
            <w:tcW w:w="913" w:type="dxa"/>
            <w:shd w:val="clear" w:color="auto" w:fill="E8F5F1"/>
          </w:tcPr>
          <w:p>
            <w:pPr>
              <w:pStyle w:val="TableParagraph"/>
              <w:spacing w:line="155" w:lineRule="exact" w:before="79"/>
              <w:ind w:left="100"/>
              <w:rPr>
                <w:i/>
                <w:sz w:val="15"/>
              </w:rPr>
            </w:pPr>
            <w:r>
              <w:rPr>
                <w:i/>
                <w:color w:val="231F20"/>
                <w:spacing w:val="-2"/>
                <w:w w:val="105"/>
                <w:sz w:val="15"/>
              </w:rPr>
              <w:t>BEAN/TK2</w:t>
            </w:r>
          </w:p>
        </w:tc>
        <w:tc>
          <w:tcPr>
            <w:tcW w:w="930" w:type="dxa"/>
            <w:shd w:val="clear" w:color="auto" w:fill="E8F5F1"/>
          </w:tcPr>
          <w:p>
            <w:pPr>
              <w:pStyle w:val="TableParagraph"/>
              <w:spacing w:line="155" w:lineRule="exact" w:before="79"/>
              <w:ind w:left="101"/>
              <w:rPr>
                <w:sz w:val="15"/>
              </w:rPr>
            </w:pPr>
            <w:r>
              <w:rPr>
                <w:color w:val="231F20"/>
                <w:spacing w:val="-2"/>
                <w:w w:val="105"/>
                <w:sz w:val="15"/>
              </w:rPr>
              <w:t>BEAN/TK2</w:t>
            </w:r>
          </w:p>
        </w:tc>
        <w:tc>
          <w:tcPr>
            <w:tcW w:w="1244" w:type="dxa"/>
            <w:vMerge/>
            <w:tcBorders>
              <w:top w:val="nil"/>
              <w:bottom w:val="single" w:sz="4" w:space="0" w:color="FFFFFF"/>
            </w:tcBorders>
            <w:shd w:val="clear" w:color="auto" w:fill="E8F5F1"/>
          </w:tcPr>
          <w:p>
            <w:pPr>
              <w:rPr>
                <w:sz w:val="2"/>
                <w:szCs w:val="2"/>
              </w:rPr>
            </w:pPr>
          </w:p>
        </w:tc>
        <w:tc>
          <w:tcPr>
            <w:tcW w:w="1049" w:type="dxa"/>
            <w:shd w:val="clear" w:color="auto" w:fill="E8F5F1"/>
          </w:tcPr>
          <w:p>
            <w:pPr>
              <w:pStyle w:val="TableParagraph"/>
              <w:spacing w:line="155" w:lineRule="exact" w:before="79"/>
              <w:ind w:left="107"/>
              <w:rPr>
                <w:sz w:val="15"/>
              </w:rPr>
            </w:pPr>
            <w:r>
              <w:rPr>
                <w:color w:val="231F20"/>
                <w:spacing w:val="-4"/>
                <w:sz w:val="15"/>
              </w:rPr>
              <w:t>45-</w:t>
            </w:r>
            <w:r>
              <w:rPr>
                <w:color w:val="231F20"/>
                <w:spacing w:val="-5"/>
                <w:sz w:val="15"/>
              </w:rPr>
              <w:t>72</w:t>
            </w:r>
          </w:p>
        </w:tc>
        <w:tc>
          <w:tcPr>
            <w:tcW w:w="1000" w:type="dxa"/>
            <w:shd w:val="clear" w:color="auto" w:fill="E8F5F1"/>
          </w:tcPr>
          <w:p>
            <w:pPr>
              <w:pStyle w:val="TableParagraph"/>
              <w:spacing w:line="155" w:lineRule="exact" w:before="79"/>
              <w:ind w:left="138"/>
              <w:rPr>
                <w:sz w:val="15"/>
              </w:rPr>
            </w:pPr>
            <w:r>
              <w:rPr>
                <w:color w:val="231F20"/>
                <w:spacing w:val="-2"/>
                <w:sz w:val="15"/>
              </w:rPr>
              <w:t>Rarely</w:t>
            </w:r>
          </w:p>
        </w:tc>
        <w:tc>
          <w:tcPr>
            <w:tcW w:w="1052" w:type="dxa"/>
            <w:shd w:val="clear" w:color="auto" w:fill="E8F5F1"/>
          </w:tcPr>
          <w:p>
            <w:pPr>
              <w:pStyle w:val="TableParagraph"/>
              <w:spacing w:line="155" w:lineRule="exact" w:before="79"/>
              <w:ind w:left="101"/>
              <w:rPr>
                <w:sz w:val="15"/>
              </w:rPr>
            </w:pPr>
            <w:r>
              <w:rPr>
                <w:color w:val="231F20"/>
                <w:w w:val="90"/>
                <w:sz w:val="15"/>
              </w:rPr>
              <w:t>2.5-3.8</w:t>
            </w:r>
            <w:r>
              <w:rPr>
                <w:color w:val="231F20"/>
                <w:spacing w:val="5"/>
                <w:sz w:val="15"/>
              </w:rPr>
              <w:t> </w:t>
            </w:r>
            <w:r>
              <w:rPr>
                <w:color w:val="231F20"/>
                <w:spacing w:val="-5"/>
                <w:w w:val="90"/>
                <w:sz w:val="15"/>
              </w:rPr>
              <w:t>kb</w:t>
            </w:r>
          </w:p>
        </w:tc>
        <w:tc>
          <w:tcPr>
            <w:tcW w:w="1102" w:type="dxa"/>
            <w:vMerge/>
            <w:tcBorders>
              <w:top w:val="nil"/>
              <w:bottom w:val="single" w:sz="4" w:space="0" w:color="FFFFFF"/>
            </w:tcBorders>
            <w:shd w:val="clear" w:color="auto" w:fill="E8F5F1"/>
          </w:tcPr>
          <w:p>
            <w:pPr>
              <w:rPr>
                <w:sz w:val="2"/>
                <w:szCs w:val="2"/>
              </w:rPr>
            </w:pPr>
          </w:p>
        </w:tc>
      </w:tr>
      <w:tr>
        <w:trPr>
          <w:trHeight w:val="166" w:hRule="exact"/>
        </w:trPr>
        <w:tc>
          <w:tcPr>
            <w:tcW w:w="2457" w:type="dxa"/>
            <w:gridSpan w:val="2"/>
            <w:shd w:val="clear" w:color="auto" w:fill="E8F5F1"/>
          </w:tcPr>
          <w:p>
            <w:pPr>
              <w:pStyle w:val="TableParagraph"/>
              <w:rPr>
                <w:rFonts w:ascii="Times New Roman"/>
                <w:sz w:val="10"/>
              </w:rPr>
            </w:pPr>
          </w:p>
        </w:tc>
        <w:tc>
          <w:tcPr>
            <w:tcW w:w="913" w:type="dxa"/>
            <w:shd w:val="clear" w:color="auto" w:fill="E8F5F1"/>
          </w:tcPr>
          <w:p>
            <w:pPr>
              <w:pStyle w:val="TableParagraph"/>
              <w:rPr>
                <w:rFonts w:ascii="Times New Roman"/>
                <w:sz w:val="10"/>
              </w:rPr>
            </w:pPr>
          </w:p>
        </w:tc>
        <w:tc>
          <w:tcPr>
            <w:tcW w:w="930" w:type="dxa"/>
            <w:shd w:val="clear" w:color="auto" w:fill="E8F5F1"/>
          </w:tcPr>
          <w:p>
            <w:pPr>
              <w:pStyle w:val="TableParagraph"/>
              <w:rPr>
                <w:rFonts w:ascii="Times New Roman"/>
                <w:sz w:val="10"/>
              </w:rPr>
            </w:pPr>
          </w:p>
        </w:tc>
        <w:tc>
          <w:tcPr>
            <w:tcW w:w="1244" w:type="dxa"/>
            <w:vMerge/>
            <w:tcBorders>
              <w:top w:val="nil"/>
              <w:bottom w:val="single" w:sz="4" w:space="0" w:color="FFFFFF"/>
            </w:tcBorders>
            <w:shd w:val="clear" w:color="auto" w:fill="E8F5F1"/>
          </w:tcPr>
          <w:p>
            <w:pPr>
              <w:rPr>
                <w:sz w:val="2"/>
                <w:szCs w:val="2"/>
              </w:rPr>
            </w:pPr>
          </w:p>
        </w:tc>
        <w:tc>
          <w:tcPr>
            <w:tcW w:w="1049" w:type="dxa"/>
            <w:shd w:val="clear" w:color="auto" w:fill="E8F5F1"/>
          </w:tcPr>
          <w:p>
            <w:pPr>
              <w:pStyle w:val="TableParagraph"/>
              <w:rPr>
                <w:rFonts w:ascii="Times New Roman"/>
                <w:sz w:val="10"/>
              </w:rPr>
            </w:pPr>
          </w:p>
        </w:tc>
        <w:tc>
          <w:tcPr>
            <w:tcW w:w="1000" w:type="dxa"/>
            <w:shd w:val="clear" w:color="auto" w:fill="E8F5F1"/>
          </w:tcPr>
          <w:p>
            <w:pPr>
              <w:pStyle w:val="TableParagraph"/>
              <w:spacing w:line="146" w:lineRule="exact"/>
              <w:ind w:left="250"/>
              <w:rPr>
                <w:sz w:val="15"/>
              </w:rPr>
            </w:pPr>
            <w:r>
              <w:rPr>
                <w:color w:val="231F20"/>
                <w:spacing w:val="-2"/>
                <w:sz w:val="15"/>
              </w:rPr>
              <w:t>(0.23%)</w:t>
            </w:r>
          </w:p>
        </w:tc>
        <w:tc>
          <w:tcPr>
            <w:tcW w:w="1052" w:type="dxa"/>
            <w:shd w:val="clear" w:color="auto" w:fill="E8F5F1"/>
          </w:tcPr>
          <w:p>
            <w:pPr>
              <w:pStyle w:val="TableParagraph"/>
              <w:rPr>
                <w:rFonts w:ascii="Times New Roman"/>
                <w:sz w:val="10"/>
              </w:rPr>
            </w:pPr>
          </w:p>
        </w:tc>
        <w:tc>
          <w:tcPr>
            <w:tcW w:w="1102" w:type="dxa"/>
            <w:vMerge/>
            <w:tcBorders>
              <w:top w:val="nil"/>
              <w:bottom w:val="single" w:sz="4" w:space="0" w:color="FFFFFF"/>
            </w:tcBorders>
            <w:shd w:val="clear" w:color="auto" w:fill="E8F5F1"/>
          </w:tcPr>
          <w:p>
            <w:pPr>
              <w:rPr>
                <w:sz w:val="2"/>
                <w:szCs w:val="2"/>
              </w:rPr>
            </w:pPr>
          </w:p>
        </w:tc>
      </w:tr>
      <w:tr>
        <w:trPr>
          <w:trHeight w:val="378" w:hRule="exact"/>
        </w:trPr>
        <w:tc>
          <w:tcPr>
            <w:tcW w:w="2457" w:type="dxa"/>
            <w:gridSpan w:val="2"/>
            <w:tcBorders>
              <w:bottom w:val="single" w:sz="4" w:space="0" w:color="FFFFFF"/>
            </w:tcBorders>
            <w:shd w:val="clear" w:color="auto" w:fill="E8F5F1"/>
          </w:tcPr>
          <w:p>
            <w:pPr>
              <w:pStyle w:val="TableParagraph"/>
              <w:rPr>
                <w:rFonts w:ascii="Times New Roman"/>
                <w:sz w:val="14"/>
              </w:rPr>
            </w:pPr>
          </w:p>
        </w:tc>
        <w:tc>
          <w:tcPr>
            <w:tcW w:w="913" w:type="dxa"/>
            <w:tcBorders>
              <w:bottom w:val="single" w:sz="4" w:space="0" w:color="FFFFFF"/>
            </w:tcBorders>
            <w:shd w:val="clear" w:color="auto" w:fill="E8F5F1"/>
          </w:tcPr>
          <w:p>
            <w:pPr>
              <w:pStyle w:val="TableParagraph"/>
              <w:rPr>
                <w:rFonts w:ascii="Times New Roman"/>
                <w:sz w:val="14"/>
              </w:rPr>
            </w:pPr>
          </w:p>
        </w:tc>
        <w:tc>
          <w:tcPr>
            <w:tcW w:w="930" w:type="dxa"/>
            <w:tcBorders>
              <w:bottom w:val="single" w:sz="4" w:space="0" w:color="FFFFFF"/>
            </w:tcBorders>
            <w:shd w:val="clear" w:color="auto" w:fill="E8F5F1"/>
          </w:tcPr>
          <w:p>
            <w:pPr>
              <w:pStyle w:val="TableParagraph"/>
              <w:rPr>
                <w:rFonts w:ascii="Times New Roman"/>
                <w:sz w:val="14"/>
              </w:rPr>
            </w:pPr>
          </w:p>
        </w:tc>
        <w:tc>
          <w:tcPr>
            <w:tcW w:w="1244" w:type="dxa"/>
            <w:vMerge/>
            <w:tcBorders>
              <w:top w:val="nil"/>
              <w:bottom w:val="single" w:sz="4" w:space="0" w:color="FFFFFF"/>
            </w:tcBorders>
            <w:shd w:val="clear" w:color="auto" w:fill="E8F5F1"/>
          </w:tcPr>
          <w:p>
            <w:pPr>
              <w:rPr>
                <w:sz w:val="2"/>
                <w:szCs w:val="2"/>
              </w:rPr>
            </w:pPr>
          </w:p>
        </w:tc>
        <w:tc>
          <w:tcPr>
            <w:tcW w:w="1049" w:type="dxa"/>
            <w:tcBorders>
              <w:bottom w:val="single" w:sz="4" w:space="0" w:color="FFFFFF"/>
            </w:tcBorders>
            <w:shd w:val="clear" w:color="auto" w:fill="E8F5F1"/>
          </w:tcPr>
          <w:p>
            <w:pPr>
              <w:pStyle w:val="TableParagraph"/>
              <w:rPr>
                <w:rFonts w:ascii="Times New Roman"/>
                <w:sz w:val="14"/>
              </w:rPr>
            </w:pPr>
          </w:p>
        </w:tc>
        <w:tc>
          <w:tcPr>
            <w:tcW w:w="1000" w:type="dxa"/>
            <w:tcBorders>
              <w:bottom w:val="single" w:sz="4" w:space="0" w:color="FFFFFF"/>
            </w:tcBorders>
            <w:shd w:val="clear" w:color="auto" w:fill="E8F5F1"/>
          </w:tcPr>
          <w:p>
            <w:pPr>
              <w:pStyle w:val="TableParagraph"/>
              <w:spacing w:line="169" w:lineRule="exact"/>
              <w:ind w:left="251"/>
              <w:rPr>
                <w:sz w:val="15"/>
              </w:rPr>
            </w:pPr>
            <w:r>
              <w:rPr>
                <w:color w:val="231F20"/>
                <w:w w:val="90"/>
                <w:sz w:val="15"/>
              </w:rPr>
              <w:t>1.5-2.0</w:t>
            </w:r>
            <w:r>
              <w:rPr>
                <w:color w:val="231F20"/>
                <w:spacing w:val="5"/>
                <w:sz w:val="15"/>
              </w:rPr>
              <w:t> </w:t>
            </w:r>
            <w:r>
              <w:rPr>
                <w:color w:val="231F20"/>
                <w:spacing w:val="-5"/>
                <w:w w:val="90"/>
                <w:sz w:val="15"/>
              </w:rPr>
              <w:t>kb</w:t>
            </w:r>
          </w:p>
        </w:tc>
        <w:tc>
          <w:tcPr>
            <w:tcW w:w="1052" w:type="dxa"/>
            <w:tcBorders>
              <w:bottom w:val="single" w:sz="4" w:space="0" w:color="FFFFFF"/>
            </w:tcBorders>
            <w:shd w:val="clear" w:color="auto" w:fill="E8F5F1"/>
          </w:tcPr>
          <w:p>
            <w:pPr>
              <w:pStyle w:val="TableParagraph"/>
              <w:rPr>
                <w:rFonts w:ascii="Times New Roman"/>
                <w:sz w:val="14"/>
              </w:rPr>
            </w:pPr>
          </w:p>
        </w:tc>
        <w:tc>
          <w:tcPr>
            <w:tcW w:w="1102" w:type="dxa"/>
            <w:vMerge/>
            <w:tcBorders>
              <w:top w:val="nil"/>
              <w:bottom w:val="single" w:sz="4" w:space="0" w:color="FFFFFF"/>
            </w:tcBorders>
            <w:shd w:val="clear" w:color="auto" w:fill="E8F5F1"/>
          </w:tcPr>
          <w:p>
            <w:pPr>
              <w:rPr>
                <w:sz w:val="2"/>
                <w:szCs w:val="2"/>
              </w:rPr>
            </w:pPr>
          </w:p>
        </w:tc>
      </w:tr>
      <w:tr>
        <w:trPr>
          <w:trHeight w:val="213" w:hRule="exact"/>
        </w:trPr>
        <w:tc>
          <w:tcPr>
            <w:tcW w:w="2457" w:type="dxa"/>
            <w:gridSpan w:val="2"/>
            <w:vMerge w:val="restart"/>
            <w:tcBorders>
              <w:top w:val="single" w:sz="4" w:space="0" w:color="FFFFFF"/>
            </w:tcBorders>
            <w:shd w:val="clear" w:color="auto" w:fill="E8F5F1"/>
          </w:tcPr>
          <w:p>
            <w:pPr>
              <w:pStyle w:val="TableParagraph"/>
              <w:spacing w:line="151" w:lineRule="exact" w:before="43"/>
              <w:ind w:left="74"/>
              <w:rPr>
                <w:sz w:val="15"/>
              </w:rPr>
            </w:pPr>
            <w:r>
              <w:rPr>
                <w:color w:val="231F20"/>
                <w:w w:val="110"/>
                <w:sz w:val="15"/>
              </w:rPr>
              <w:t>OTHER</w:t>
            </w:r>
            <w:r>
              <w:rPr>
                <w:color w:val="231F20"/>
                <w:spacing w:val="-1"/>
                <w:w w:val="110"/>
                <w:sz w:val="15"/>
              </w:rPr>
              <w:t> </w:t>
            </w:r>
            <w:r>
              <w:rPr>
                <w:color w:val="231F20"/>
                <w:spacing w:val="-2"/>
                <w:w w:val="110"/>
                <w:sz w:val="15"/>
              </w:rPr>
              <w:t>MUTATIONS</w:t>
            </w:r>
          </w:p>
        </w:tc>
        <w:tc>
          <w:tcPr>
            <w:tcW w:w="913" w:type="dxa"/>
            <w:vMerge w:val="restart"/>
            <w:tcBorders>
              <w:top w:val="single" w:sz="4" w:space="0" w:color="FFFFFF"/>
            </w:tcBorders>
            <w:shd w:val="clear" w:color="auto" w:fill="E8F5F1"/>
          </w:tcPr>
          <w:p>
            <w:pPr>
              <w:pStyle w:val="TableParagraph"/>
              <w:rPr>
                <w:rFonts w:ascii="Times New Roman"/>
                <w:sz w:val="14"/>
              </w:rPr>
            </w:pPr>
          </w:p>
        </w:tc>
        <w:tc>
          <w:tcPr>
            <w:tcW w:w="930" w:type="dxa"/>
            <w:tcBorders>
              <w:top w:val="single" w:sz="4" w:space="0" w:color="FFFFFF"/>
            </w:tcBorders>
            <w:shd w:val="clear" w:color="auto" w:fill="E8F5F1"/>
          </w:tcPr>
          <w:p>
            <w:pPr>
              <w:pStyle w:val="TableParagraph"/>
              <w:rPr>
                <w:rFonts w:ascii="Times New Roman"/>
                <w:sz w:val="14"/>
              </w:rPr>
            </w:pPr>
          </w:p>
        </w:tc>
        <w:tc>
          <w:tcPr>
            <w:tcW w:w="1244" w:type="dxa"/>
            <w:vMerge w:val="restart"/>
            <w:tcBorders>
              <w:top w:val="single" w:sz="4" w:space="0" w:color="FFFFFF"/>
              <w:bottom w:val="single" w:sz="12" w:space="0" w:color="231F20"/>
            </w:tcBorders>
            <w:shd w:val="clear" w:color="auto" w:fill="E8F5F1"/>
          </w:tcPr>
          <w:p>
            <w:pPr>
              <w:pStyle w:val="TableParagraph"/>
              <w:spacing w:before="44"/>
              <w:rPr>
                <w:i/>
                <w:sz w:val="15"/>
              </w:rPr>
            </w:pPr>
          </w:p>
          <w:p>
            <w:pPr>
              <w:pStyle w:val="TableParagraph"/>
              <w:spacing w:line="230" w:lineRule="auto"/>
              <w:ind w:left="213" w:right="130" w:hanging="112"/>
              <w:rPr>
                <w:sz w:val="15"/>
              </w:rPr>
            </w:pPr>
            <w:r>
              <w:rPr>
                <w:color w:val="231F20"/>
                <w:spacing w:val="-2"/>
                <w:sz w:val="15"/>
              </w:rPr>
              <w:t>Missense </w:t>
            </w:r>
            <w:r>
              <w:rPr>
                <w:color w:val="231F20"/>
                <w:spacing w:val="-4"/>
                <w:sz w:val="15"/>
              </w:rPr>
              <w:t>mutation</w:t>
            </w:r>
          </w:p>
          <w:p>
            <w:pPr>
              <w:pStyle w:val="TableParagraph"/>
              <w:spacing w:line="230" w:lineRule="auto" w:before="3"/>
              <w:ind w:left="213" w:right="125" w:hanging="112"/>
              <w:rPr>
                <w:sz w:val="15"/>
              </w:rPr>
            </w:pPr>
            <w:r>
              <w:rPr>
                <w:color w:val="231F20"/>
                <w:spacing w:val="-2"/>
                <w:sz w:val="15"/>
              </w:rPr>
              <w:t>Fibroblast growth</w:t>
            </w:r>
            <w:r>
              <w:rPr>
                <w:color w:val="231F20"/>
                <w:spacing w:val="-10"/>
                <w:sz w:val="15"/>
              </w:rPr>
              <w:t> </w:t>
            </w:r>
            <w:r>
              <w:rPr>
                <w:color w:val="231F20"/>
                <w:spacing w:val="-2"/>
                <w:sz w:val="15"/>
              </w:rPr>
              <w:t>factor deficiency</w:t>
            </w:r>
          </w:p>
          <w:p>
            <w:pPr>
              <w:pStyle w:val="TableParagraph"/>
              <w:spacing w:line="230" w:lineRule="auto" w:before="3"/>
              <w:ind w:left="213" w:right="130" w:hanging="112"/>
              <w:rPr>
                <w:sz w:val="15"/>
              </w:rPr>
            </w:pPr>
            <w:r>
              <w:rPr>
                <w:color w:val="231F20"/>
                <w:spacing w:val="-2"/>
                <w:sz w:val="15"/>
              </w:rPr>
              <w:t>Deletion, missense </w:t>
            </w:r>
            <w:r>
              <w:rPr>
                <w:color w:val="231F20"/>
                <w:spacing w:val="-4"/>
                <w:sz w:val="15"/>
              </w:rPr>
              <w:t>mutations</w:t>
            </w:r>
          </w:p>
          <w:p>
            <w:pPr>
              <w:pStyle w:val="TableParagraph"/>
              <w:spacing w:line="230" w:lineRule="auto" w:before="4"/>
              <w:ind w:left="213" w:right="130" w:hanging="112"/>
              <w:rPr>
                <w:sz w:val="15"/>
              </w:rPr>
            </w:pPr>
            <w:r>
              <w:rPr>
                <w:color w:val="231F20"/>
                <w:spacing w:val="-4"/>
                <w:sz w:val="15"/>
              </w:rPr>
              <w:t>Truncation mutation</w:t>
            </w:r>
          </w:p>
          <w:p>
            <w:pPr>
              <w:pStyle w:val="TableParagraph"/>
              <w:spacing w:line="230" w:lineRule="auto" w:before="3"/>
              <w:ind w:left="213" w:right="130" w:hanging="112"/>
              <w:rPr>
                <w:sz w:val="15"/>
              </w:rPr>
            </w:pPr>
            <w:r>
              <w:rPr>
                <w:color w:val="231F20"/>
                <w:spacing w:val="-2"/>
                <w:sz w:val="15"/>
              </w:rPr>
              <w:t>Missense </w:t>
            </w:r>
            <w:r>
              <w:rPr>
                <w:color w:val="231F20"/>
                <w:spacing w:val="-4"/>
                <w:sz w:val="15"/>
              </w:rPr>
              <w:t>mutations</w:t>
            </w:r>
          </w:p>
          <w:p>
            <w:pPr>
              <w:pStyle w:val="TableParagraph"/>
              <w:spacing w:line="230" w:lineRule="auto" w:before="3"/>
              <w:ind w:left="212" w:right="418" w:hanging="112"/>
              <w:rPr>
                <w:sz w:val="15"/>
              </w:rPr>
            </w:pPr>
            <w:r>
              <w:rPr>
                <w:color w:val="231F20"/>
                <w:spacing w:val="-2"/>
                <w:sz w:val="15"/>
              </w:rPr>
              <w:t>Deletion, missense mutation</w:t>
            </w:r>
          </w:p>
          <w:p>
            <w:pPr>
              <w:pStyle w:val="TableParagraph"/>
              <w:spacing w:line="230" w:lineRule="auto" w:before="4"/>
              <w:ind w:left="212" w:right="130" w:hanging="112"/>
              <w:rPr>
                <w:sz w:val="15"/>
              </w:rPr>
            </w:pPr>
            <w:r>
              <w:rPr>
                <w:color w:val="231F20"/>
                <w:spacing w:val="-2"/>
                <w:sz w:val="15"/>
              </w:rPr>
              <w:t>Missense </w:t>
            </w:r>
            <w:r>
              <w:rPr>
                <w:color w:val="231F20"/>
                <w:spacing w:val="-4"/>
                <w:sz w:val="15"/>
              </w:rPr>
              <w:t>mutations</w:t>
            </w:r>
          </w:p>
        </w:tc>
        <w:tc>
          <w:tcPr>
            <w:tcW w:w="1049" w:type="dxa"/>
            <w:tcBorders>
              <w:top w:val="single" w:sz="4" w:space="0" w:color="FFFFFF"/>
            </w:tcBorders>
            <w:shd w:val="clear" w:color="auto" w:fill="E8F5F1"/>
          </w:tcPr>
          <w:p>
            <w:pPr>
              <w:pStyle w:val="TableParagraph"/>
              <w:rPr>
                <w:rFonts w:ascii="Times New Roman"/>
                <w:sz w:val="14"/>
              </w:rPr>
            </w:pPr>
          </w:p>
        </w:tc>
        <w:tc>
          <w:tcPr>
            <w:tcW w:w="1000" w:type="dxa"/>
            <w:vMerge w:val="restart"/>
            <w:tcBorders>
              <w:top w:val="single" w:sz="4" w:space="0" w:color="FFFFFF"/>
              <w:bottom w:val="single" w:sz="12" w:space="0" w:color="231F20"/>
            </w:tcBorders>
            <w:shd w:val="clear" w:color="auto" w:fill="E8F5F1"/>
          </w:tcPr>
          <w:p>
            <w:pPr>
              <w:pStyle w:val="TableParagraph"/>
              <w:rPr>
                <w:rFonts w:ascii="Times New Roman"/>
                <w:sz w:val="14"/>
              </w:rPr>
            </w:pPr>
          </w:p>
        </w:tc>
        <w:tc>
          <w:tcPr>
            <w:tcW w:w="1052" w:type="dxa"/>
            <w:vMerge w:val="restart"/>
            <w:tcBorders>
              <w:top w:val="single" w:sz="4" w:space="0" w:color="FFFFFF"/>
              <w:bottom w:val="single" w:sz="12" w:space="0" w:color="231F20"/>
            </w:tcBorders>
            <w:shd w:val="clear" w:color="auto" w:fill="E8F5F1"/>
          </w:tcPr>
          <w:p>
            <w:pPr>
              <w:pStyle w:val="TableParagraph"/>
              <w:rPr>
                <w:rFonts w:ascii="Times New Roman"/>
                <w:sz w:val="14"/>
              </w:rPr>
            </w:pPr>
          </w:p>
        </w:tc>
        <w:tc>
          <w:tcPr>
            <w:tcW w:w="1102" w:type="dxa"/>
            <w:vMerge w:val="restart"/>
            <w:tcBorders>
              <w:top w:val="single" w:sz="4" w:space="0" w:color="FFFFFF"/>
              <w:bottom w:val="single" w:sz="12" w:space="0" w:color="231F20"/>
            </w:tcBorders>
            <w:shd w:val="clear" w:color="auto" w:fill="E8F5F1"/>
          </w:tcPr>
          <w:p>
            <w:pPr>
              <w:pStyle w:val="TableParagraph"/>
              <w:rPr>
                <w:rFonts w:ascii="Times New Roman"/>
                <w:sz w:val="14"/>
              </w:rPr>
            </w:pPr>
          </w:p>
        </w:tc>
      </w:tr>
      <w:tr>
        <w:trPr>
          <w:trHeight w:val="5" w:hRule="exact"/>
        </w:trPr>
        <w:tc>
          <w:tcPr>
            <w:tcW w:w="2457" w:type="dxa"/>
            <w:gridSpan w:val="2"/>
            <w:vMerge/>
            <w:tcBorders>
              <w:top w:val="nil"/>
            </w:tcBorders>
            <w:shd w:val="clear" w:color="auto" w:fill="E8F5F1"/>
          </w:tcPr>
          <w:p>
            <w:pPr>
              <w:rPr>
                <w:sz w:val="2"/>
                <w:szCs w:val="2"/>
              </w:rPr>
            </w:pPr>
          </w:p>
        </w:tc>
        <w:tc>
          <w:tcPr>
            <w:tcW w:w="913" w:type="dxa"/>
            <w:vMerge/>
            <w:tcBorders>
              <w:top w:val="nil"/>
            </w:tcBorders>
            <w:shd w:val="clear" w:color="auto" w:fill="E8F5F1"/>
          </w:tcPr>
          <w:p>
            <w:pPr>
              <w:rPr>
                <w:sz w:val="2"/>
                <w:szCs w:val="2"/>
              </w:rPr>
            </w:pPr>
          </w:p>
        </w:tc>
        <w:tc>
          <w:tcPr>
            <w:tcW w:w="930" w:type="dxa"/>
            <w:vMerge w:val="restart"/>
            <w:shd w:val="clear" w:color="auto" w:fill="E8F5F1"/>
          </w:tcPr>
          <w:p>
            <w:pPr>
              <w:pStyle w:val="TableParagraph"/>
              <w:spacing w:before="4"/>
              <w:ind w:left="101"/>
              <w:rPr>
                <w:rFonts w:ascii="Cambria" w:hAnsi="Cambria"/>
                <w:sz w:val="15"/>
              </w:rPr>
            </w:pPr>
            <w:r>
              <w:rPr>
                <w:color w:val="231F20"/>
                <w:sz w:val="15"/>
              </w:rPr>
              <w:t>PKC-</w:t>
            </w:r>
            <w:r>
              <w:rPr>
                <w:rFonts w:ascii="Cambria" w:hAnsi="Cambria"/>
                <w:color w:val="231F20"/>
                <w:spacing w:val="-10"/>
                <w:sz w:val="15"/>
              </w:rPr>
              <w:t>γ</w:t>
            </w:r>
          </w:p>
        </w:tc>
        <w:tc>
          <w:tcPr>
            <w:tcW w:w="1244" w:type="dxa"/>
            <w:vMerge/>
            <w:tcBorders>
              <w:top w:val="nil"/>
              <w:bottom w:val="single" w:sz="12" w:space="0" w:color="231F20"/>
            </w:tcBorders>
            <w:shd w:val="clear" w:color="auto" w:fill="E8F5F1"/>
          </w:tcPr>
          <w:p>
            <w:pPr>
              <w:rPr>
                <w:sz w:val="2"/>
                <w:szCs w:val="2"/>
              </w:rPr>
            </w:pPr>
          </w:p>
        </w:tc>
        <w:tc>
          <w:tcPr>
            <w:tcW w:w="1049" w:type="dxa"/>
            <w:vMerge w:val="restart"/>
            <w:shd w:val="clear" w:color="auto" w:fill="E8F5F1"/>
          </w:tcPr>
          <w:p>
            <w:pPr>
              <w:pStyle w:val="TableParagraph"/>
              <w:spacing w:before="4"/>
              <w:ind w:left="108"/>
              <w:rPr>
                <w:sz w:val="15"/>
              </w:rPr>
            </w:pPr>
            <w:r>
              <w:rPr>
                <w:color w:val="231F20"/>
                <w:spacing w:val="-4"/>
                <w:sz w:val="15"/>
              </w:rPr>
              <w:t>10-</w:t>
            </w:r>
            <w:r>
              <w:rPr>
                <w:color w:val="231F20"/>
                <w:spacing w:val="-5"/>
                <w:sz w:val="15"/>
              </w:rPr>
              <w:t>69</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261" w:hRule="exact"/>
        </w:trPr>
        <w:tc>
          <w:tcPr>
            <w:tcW w:w="2457" w:type="dxa"/>
            <w:gridSpan w:val="2"/>
            <w:shd w:val="clear" w:color="auto" w:fill="E8F5F1"/>
          </w:tcPr>
          <w:p>
            <w:pPr>
              <w:pStyle w:val="TableParagraph"/>
              <w:tabs>
                <w:tab w:pos="1209" w:val="left" w:leader="none"/>
              </w:tabs>
              <w:spacing w:line="172" w:lineRule="exact"/>
              <w:ind w:left="74"/>
              <w:rPr>
                <w:sz w:val="15"/>
              </w:rPr>
            </w:pPr>
            <w:r>
              <w:rPr>
                <w:color w:val="231F20"/>
                <w:spacing w:val="-2"/>
                <w:w w:val="105"/>
                <w:sz w:val="15"/>
              </w:rPr>
              <w:t>SCA14</w:t>
            </w:r>
            <w:r>
              <w:rPr>
                <w:color w:val="231F20"/>
                <w:sz w:val="15"/>
              </w:rPr>
              <w:tab/>
            </w:r>
            <w:r>
              <w:rPr>
                <w:color w:val="231F20"/>
                <w:spacing w:val="-2"/>
                <w:w w:val="105"/>
                <w:sz w:val="15"/>
              </w:rPr>
              <w:t>19q13.4</w:t>
            </w:r>
          </w:p>
        </w:tc>
        <w:tc>
          <w:tcPr>
            <w:tcW w:w="913" w:type="dxa"/>
            <w:shd w:val="clear" w:color="auto" w:fill="E8F5F1"/>
          </w:tcPr>
          <w:p>
            <w:pPr>
              <w:pStyle w:val="TableParagraph"/>
              <w:spacing w:line="175" w:lineRule="exact"/>
              <w:ind w:left="101"/>
              <w:rPr>
                <w:rFonts w:ascii="Verdana" w:hAnsi="Verdana"/>
                <w:i/>
                <w:sz w:val="15"/>
              </w:rPr>
            </w:pPr>
            <w:r>
              <w:rPr>
                <w:i/>
                <w:color w:val="231F20"/>
                <w:sz w:val="15"/>
              </w:rPr>
              <w:t>PKC-</w:t>
            </w:r>
            <w:r>
              <w:rPr>
                <w:rFonts w:ascii="Verdana" w:hAnsi="Verdana"/>
                <w:i/>
                <w:color w:val="231F20"/>
                <w:spacing w:val="-10"/>
                <w:sz w:val="15"/>
              </w:rPr>
              <w:t>γ</w:t>
            </w:r>
          </w:p>
        </w:tc>
        <w:tc>
          <w:tcPr>
            <w:tcW w:w="930" w:type="dxa"/>
            <w:vMerge/>
            <w:tcBorders>
              <w:top w:val="nil"/>
            </w:tcBorders>
            <w:shd w:val="clear" w:color="auto" w:fill="E8F5F1"/>
          </w:tcPr>
          <w:p>
            <w:pPr>
              <w:rPr>
                <w:sz w:val="2"/>
                <w:szCs w:val="2"/>
              </w:rPr>
            </w:pPr>
          </w:p>
        </w:tc>
        <w:tc>
          <w:tcPr>
            <w:tcW w:w="1244" w:type="dxa"/>
            <w:vMerge/>
            <w:tcBorders>
              <w:top w:val="nil"/>
              <w:bottom w:val="single" w:sz="12" w:space="0" w:color="231F20"/>
            </w:tcBorders>
            <w:shd w:val="clear" w:color="auto" w:fill="E8F5F1"/>
          </w:tcPr>
          <w:p>
            <w:pPr>
              <w:rPr>
                <w:sz w:val="2"/>
                <w:szCs w:val="2"/>
              </w:rPr>
            </w:pPr>
          </w:p>
        </w:tc>
        <w:tc>
          <w:tcPr>
            <w:tcW w:w="1049" w:type="dxa"/>
            <w:vMerge/>
            <w:tcBorders>
              <w:top w:val="nil"/>
            </w:tcBorders>
            <w:shd w:val="clear" w:color="auto" w:fill="E8F5F1"/>
          </w:tcPr>
          <w:p>
            <w:pPr>
              <w:rPr>
                <w:sz w:val="2"/>
                <w:szCs w:val="2"/>
              </w:rPr>
            </w:pP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411" w:hRule="exact"/>
        </w:trPr>
        <w:tc>
          <w:tcPr>
            <w:tcW w:w="2457" w:type="dxa"/>
            <w:gridSpan w:val="2"/>
            <w:shd w:val="clear" w:color="auto" w:fill="E8F5F1"/>
          </w:tcPr>
          <w:p>
            <w:pPr>
              <w:pStyle w:val="TableParagraph"/>
              <w:tabs>
                <w:tab w:pos="1209" w:val="left" w:leader="none"/>
              </w:tabs>
              <w:spacing w:before="74"/>
              <w:ind w:left="74"/>
              <w:rPr>
                <w:sz w:val="15"/>
              </w:rPr>
            </w:pPr>
            <w:r>
              <w:rPr>
                <w:color w:val="231F20"/>
                <w:spacing w:val="-2"/>
                <w:w w:val="105"/>
                <w:sz w:val="15"/>
              </w:rPr>
              <w:t>SCA27</w:t>
            </w:r>
            <w:r>
              <w:rPr>
                <w:color w:val="231F20"/>
                <w:sz w:val="15"/>
              </w:rPr>
              <w:tab/>
            </w:r>
            <w:r>
              <w:rPr>
                <w:color w:val="231F20"/>
                <w:spacing w:val="-2"/>
                <w:w w:val="105"/>
                <w:sz w:val="15"/>
              </w:rPr>
              <w:t>13q34</w:t>
            </w:r>
          </w:p>
        </w:tc>
        <w:tc>
          <w:tcPr>
            <w:tcW w:w="913" w:type="dxa"/>
            <w:shd w:val="clear" w:color="auto" w:fill="E8F5F1"/>
          </w:tcPr>
          <w:p>
            <w:pPr>
              <w:pStyle w:val="TableParagraph"/>
              <w:spacing w:before="74"/>
              <w:ind w:left="101"/>
              <w:rPr>
                <w:i/>
                <w:sz w:val="15"/>
              </w:rPr>
            </w:pPr>
            <w:r>
              <w:rPr>
                <w:i/>
                <w:color w:val="231F20"/>
                <w:spacing w:val="-2"/>
                <w:w w:val="105"/>
                <w:sz w:val="15"/>
              </w:rPr>
              <w:t>FGF14</w:t>
            </w:r>
          </w:p>
        </w:tc>
        <w:tc>
          <w:tcPr>
            <w:tcW w:w="930" w:type="dxa"/>
            <w:shd w:val="clear" w:color="auto" w:fill="E8F5F1"/>
          </w:tcPr>
          <w:p>
            <w:pPr>
              <w:pStyle w:val="TableParagraph"/>
              <w:spacing w:before="74"/>
              <w:ind w:left="101"/>
              <w:rPr>
                <w:sz w:val="15"/>
              </w:rPr>
            </w:pPr>
            <w:r>
              <w:rPr>
                <w:color w:val="231F20"/>
                <w:spacing w:val="-2"/>
                <w:w w:val="105"/>
                <w:sz w:val="15"/>
              </w:rPr>
              <w:t>FGF14</w:t>
            </w:r>
          </w:p>
        </w:tc>
        <w:tc>
          <w:tcPr>
            <w:tcW w:w="1244" w:type="dxa"/>
            <w:vMerge/>
            <w:tcBorders>
              <w:top w:val="nil"/>
              <w:bottom w:val="single" w:sz="12" w:space="0" w:color="231F20"/>
            </w:tcBorders>
            <w:shd w:val="clear" w:color="auto" w:fill="E8F5F1"/>
          </w:tcPr>
          <w:p>
            <w:pPr>
              <w:rPr>
                <w:sz w:val="2"/>
                <w:szCs w:val="2"/>
              </w:rPr>
            </w:pPr>
          </w:p>
        </w:tc>
        <w:tc>
          <w:tcPr>
            <w:tcW w:w="1049" w:type="dxa"/>
            <w:shd w:val="clear" w:color="auto" w:fill="E8F5F1"/>
          </w:tcPr>
          <w:p>
            <w:pPr>
              <w:pStyle w:val="TableParagraph"/>
              <w:spacing w:before="74"/>
              <w:ind w:left="108"/>
              <w:rPr>
                <w:sz w:val="15"/>
              </w:rPr>
            </w:pPr>
            <w:r>
              <w:rPr>
                <w:color w:val="231F20"/>
                <w:spacing w:val="-4"/>
                <w:sz w:val="15"/>
              </w:rPr>
              <w:t>15-</w:t>
            </w:r>
            <w:r>
              <w:rPr>
                <w:color w:val="231F20"/>
                <w:spacing w:val="-5"/>
                <w:sz w:val="15"/>
              </w:rPr>
              <w:t>20</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347" w:hRule="exact"/>
        </w:trPr>
        <w:tc>
          <w:tcPr>
            <w:tcW w:w="2457" w:type="dxa"/>
            <w:gridSpan w:val="2"/>
            <w:shd w:val="clear" w:color="auto" w:fill="E8F5F1"/>
          </w:tcPr>
          <w:p>
            <w:pPr>
              <w:pStyle w:val="TableParagraph"/>
              <w:tabs>
                <w:tab w:pos="1208" w:val="left" w:leader="none"/>
              </w:tabs>
              <w:spacing w:line="159" w:lineRule="exact" w:before="168"/>
              <w:ind w:left="74"/>
              <w:rPr>
                <w:sz w:val="15"/>
              </w:rPr>
            </w:pPr>
            <w:r>
              <w:rPr>
                <w:color w:val="231F20"/>
                <w:spacing w:val="-4"/>
                <w:sz w:val="15"/>
              </w:rPr>
              <w:t>SCA5</w:t>
            </w:r>
            <w:r>
              <w:rPr>
                <w:color w:val="231F20"/>
                <w:sz w:val="15"/>
              </w:rPr>
              <w:tab/>
              <w:t>11p11-</w:t>
            </w:r>
            <w:r>
              <w:rPr>
                <w:color w:val="231F20"/>
                <w:spacing w:val="-5"/>
                <w:sz w:val="15"/>
              </w:rPr>
              <w:t>q11</w:t>
            </w:r>
          </w:p>
        </w:tc>
        <w:tc>
          <w:tcPr>
            <w:tcW w:w="913" w:type="dxa"/>
            <w:shd w:val="clear" w:color="auto" w:fill="E8F5F1"/>
          </w:tcPr>
          <w:p>
            <w:pPr>
              <w:pStyle w:val="TableParagraph"/>
              <w:spacing w:line="159" w:lineRule="exact" w:before="168"/>
              <w:ind w:left="100"/>
              <w:rPr>
                <w:i/>
                <w:sz w:val="15"/>
              </w:rPr>
            </w:pPr>
            <w:r>
              <w:rPr>
                <w:i/>
                <w:color w:val="231F20"/>
                <w:spacing w:val="-2"/>
                <w:w w:val="110"/>
                <w:sz w:val="15"/>
              </w:rPr>
              <w:t>SPTBN2</w:t>
            </w:r>
          </w:p>
        </w:tc>
        <w:tc>
          <w:tcPr>
            <w:tcW w:w="930" w:type="dxa"/>
            <w:shd w:val="clear" w:color="auto" w:fill="E8F5F1"/>
          </w:tcPr>
          <w:p>
            <w:pPr>
              <w:pStyle w:val="TableParagraph"/>
              <w:spacing w:line="159" w:lineRule="exact" w:before="168"/>
              <w:ind w:left="101"/>
              <w:rPr>
                <w:sz w:val="15"/>
              </w:rPr>
            </w:pPr>
            <w:r>
              <w:rPr>
                <w:rFonts w:ascii="Cambria" w:hAnsi="Cambria"/>
                <w:color w:val="231F20"/>
                <w:spacing w:val="-4"/>
                <w:sz w:val="15"/>
              </w:rPr>
              <w:t>β</w:t>
            </w:r>
            <w:r>
              <w:rPr>
                <w:color w:val="231F20"/>
                <w:spacing w:val="-4"/>
                <w:sz w:val="15"/>
              </w:rPr>
              <w:t>-</w:t>
            </w:r>
            <w:r>
              <w:rPr>
                <w:color w:val="231F20"/>
                <w:spacing w:val="-10"/>
                <w:sz w:val="15"/>
              </w:rPr>
              <w:t>3</w:t>
            </w:r>
          </w:p>
        </w:tc>
        <w:tc>
          <w:tcPr>
            <w:tcW w:w="1244" w:type="dxa"/>
            <w:vMerge/>
            <w:tcBorders>
              <w:top w:val="nil"/>
              <w:bottom w:val="single" w:sz="12" w:space="0" w:color="231F20"/>
            </w:tcBorders>
            <w:shd w:val="clear" w:color="auto" w:fill="E8F5F1"/>
          </w:tcPr>
          <w:p>
            <w:pPr>
              <w:rPr>
                <w:sz w:val="2"/>
                <w:szCs w:val="2"/>
              </w:rPr>
            </w:pPr>
          </w:p>
        </w:tc>
        <w:tc>
          <w:tcPr>
            <w:tcW w:w="1049" w:type="dxa"/>
            <w:shd w:val="clear" w:color="auto" w:fill="E8F5F1"/>
          </w:tcPr>
          <w:p>
            <w:pPr>
              <w:pStyle w:val="TableParagraph"/>
              <w:spacing w:line="159" w:lineRule="exact" w:before="168"/>
              <w:ind w:left="108"/>
              <w:rPr>
                <w:sz w:val="15"/>
              </w:rPr>
            </w:pPr>
            <w:r>
              <w:rPr>
                <w:color w:val="231F20"/>
                <w:spacing w:val="-4"/>
                <w:sz w:val="15"/>
              </w:rPr>
              <w:t>10-</w:t>
            </w:r>
            <w:r>
              <w:rPr>
                <w:color w:val="231F20"/>
                <w:spacing w:val="-5"/>
                <w:sz w:val="15"/>
              </w:rPr>
              <w:t>68</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247" w:hRule="exact"/>
        </w:trPr>
        <w:tc>
          <w:tcPr>
            <w:tcW w:w="2457" w:type="dxa"/>
            <w:gridSpan w:val="2"/>
            <w:shd w:val="clear" w:color="auto" w:fill="E8F5F1"/>
          </w:tcPr>
          <w:p>
            <w:pPr>
              <w:pStyle w:val="TableParagraph"/>
              <w:rPr>
                <w:rFonts w:ascii="Times New Roman"/>
                <w:sz w:val="14"/>
              </w:rPr>
            </w:pPr>
          </w:p>
        </w:tc>
        <w:tc>
          <w:tcPr>
            <w:tcW w:w="913" w:type="dxa"/>
            <w:shd w:val="clear" w:color="auto" w:fill="E8F5F1"/>
          </w:tcPr>
          <w:p>
            <w:pPr>
              <w:pStyle w:val="TableParagraph"/>
              <w:rPr>
                <w:rFonts w:ascii="Times New Roman"/>
                <w:sz w:val="14"/>
              </w:rPr>
            </w:pPr>
          </w:p>
        </w:tc>
        <w:tc>
          <w:tcPr>
            <w:tcW w:w="930" w:type="dxa"/>
            <w:shd w:val="clear" w:color="auto" w:fill="E8F5F1"/>
          </w:tcPr>
          <w:p>
            <w:pPr>
              <w:pStyle w:val="TableParagraph"/>
              <w:spacing w:line="165" w:lineRule="exact"/>
              <w:ind w:left="213"/>
              <w:rPr>
                <w:sz w:val="15"/>
              </w:rPr>
            </w:pPr>
            <w:r>
              <w:rPr>
                <w:color w:val="231F20"/>
                <w:spacing w:val="-2"/>
                <w:sz w:val="15"/>
              </w:rPr>
              <w:t>spectrin</w:t>
            </w:r>
          </w:p>
        </w:tc>
        <w:tc>
          <w:tcPr>
            <w:tcW w:w="1244" w:type="dxa"/>
            <w:vMerge/>
            <w:tcBorders>
              <w:top w:val="nil"/>
              <w:bottom w:val="single" w:sz="12" w:space="0" w:color="231F20"/>
            </w:tcBorders>
            <w:shd w:val="clear" w:color="auto" w:fill="E8F5F1"/>
          </w:tcPr>
          <w:p>
            <w:pPr>
              <w:rPr>
                <w:sz w:val="2"/>
                <w:szCs w:val="2"/>
              </w:rPr>
            </w:pPr>
          </w:p>
        </w:tc>
        <w:tc>
          <w:tcPr>
            <w:tcW w:w="1049" w:type="dxa"/>
            <w:shd w:val="clear" w:color="auto" w:fill="E8F5F1"/>
          </w:tcPr>
          <w:p>
            <w:pPr>
              <w:pStyle w:val="TableParagraph"/>
              <w:rPr>
                <w:rFonts w:ascii="Times New Roman"/>
                <w:sz w:val="14"/>
              </w:rPr>
            </w:pP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331" w:hRule="exact"/>
        </w:trPr>
        <w:tc>
          <w:tcPr>
            <w:tcW w:w="2457" w:type="dxa"/>
            <w:gridSpan w:val="2"/>
            <w:shd w:val="clear" w:color="auto" w:fill="E8F5F1"/>
          </w:tcPr>
          <w:p>
            <w:pPr>
              <w:pStyle w:val="TableParagraph"/>
              <w:tabs>
                <w:tab w:pos="1208" w:val="left" w:leader="none"/>
              </w:tabs>
              <w:spacing w:before="78"/>
              <w:ind w:left="74"/>
              <w:rPr>
                <w:sz w:val="15"/>
              </w:rPr>
            </w:pPr>
            <w:r>
              <w:rPr>
                <w:color w:val="231F20"/>
                <w:spacing w:val="-2"/>
                <w:sz w:val="15"/>
              </w:rPr>
              <w:t>SCA11</w:t>
            </w:r>
            <w:r>
              <w:rPr>
                <w:color w:val="231F20"/>
                <w:sz w:val="15"/>
              </w:rPr>
              <w:tab/>
            </w:r>
            <w:r>
              <w:rPr>
                <w:color w:val="231F20"/>
                <w:spacing w:val="-2"/>
                <w:sz w:val="15"/>
              </w:rPr>
              <w:t>15q14-q21.3</w:t>
            </w:r>
          </w:p>
        </w:tc>
        <w:tc>
          <w:tcPr>
            <w:tcW w:w="913" w:type="dxa"/>
            <w:shd w:val="clear" w:color="auto" w:fill="E8F5F1"/>
          </w:tcPr>
          <w:p>
            <w:pPr>
              <w:pStyle w:val="TableParagraph"/>
              <w:spacing w:before="78"/>
              <w:ind w:left="100"/>
              <w:rPr>
                <w:i/>
                <w:sz w:val="15"/>
              </w:rPr>
            </w:pPr>
            <w:r>
              <w:rPr>
                <w:i/>
                <w:color w:val="231F20"/>
                <w:spacing w:val="-2"/>
                <w:sz w:val="15"/>
              </w:rPr>
              <w:t>TTBK2</w:t>
            </w:r>
          </w:p>
        </w:tc>
        <w:tc>
          <w:tcPr>
            <w:tcW w:w="930" w:type="dxa"/>
            <w:shd w:val="clear" w:color="auto" w:fill="E8F5F1"/>
          </w:tcPr>
          <w:p>
            <w:pPr>
              <w:pStyle w:val="TableParagraph"/>
              <w:spacing w:before="78"/>
              <w:ind w:left="101"/>
              <w:rPr>
                <w:sz w:val="15"/>
              </w:rPr>
            </w:pPr>
            <w:r>
              <w:rPr>
                <w:color w:val="231F20"/>
                <w:spacing w:val="-2"/>
                <w:sz w:val="15"/>
              </w:rPr>
              <w:t>TTBK2</w:t>
            </w:r>
          </w:p>
        </w:tc>
        <w:tc>
          <w:tcPr>
            <w:tcW w:w="1244" w:type="dxa"/>
            <w:vMerge/>
            <w:tcBorders>
              <w:top w:val="nil"/>
              <w:bottom w:val="single" w:sz="12" w:space="0" w:color="231F20"/>
            </w:tcBorders>
            <w:shd w:val="clear" w:color="auto" w:fill="E8F5F1"/>
          </w:tcPr>
          <w:p>
            <w:pPr>
              <w:rPr>
                <w:sz w:val="2"/>
                <w:szCs w:val="2"/>
              </w:rPr>
            </w:pPr>
          </w:p>
        </w:tc>
        <w:tc>
          <w:tcPr>
            <w:tcW w:w="1049" w:type="dxa"/>
            <w:shd w:val="clear" w:color="auto" w:fill="E8F5F1"/>
          </w:tcPr>
          <w:p>
            <w:pPr>
              <w:pStyle w:val="TableParagraph"/>
              <w:spacing w:before="78"/>
              <w:ind w:left="107"/>
              <w:rPr>
                <w:sz w:val="15"/>
              </w:rPr>
            </w:pPr>
            <w:r>
              <w:rPr>
                <w:color w:val="231F20"/>
                <w:spacing w:val="-4"/>
                <w:sz w:val="15"/>
              </w:rPr>
              <w:t>15-</w:t>
            </w:r>
            <w:r>
              <w:rPr>
                <w:color w:val="231F20"/>
                <w:spacing w:val="-5"/>
                <w:sz w:val="15"/>
              </w:rPr>
              <w:t>43</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347" w:hRule="exact"/>
        </w:trPr>
        <w:tc>
          <w:tcPr>
            <w:tcW w:w="2457" w:type="dxa"/>
            <w:gridSpan w:val="2"/>
            <w:shd w:val="clear" w:color="auto" w:fill="E8F5F1"/>
          </w:tcPr>
          <w:p>
            <w:pPr>
              <w:pStyle w:val="TableParagraph"/>
              <w:tabs>
                <w:tab w:pos="1208" w:val="left" w:leader="none"/>
              </w:tabs>
              <w:spacing w:before="84"/>
              <w:ind w:left="74"/>
              <w:rPr>
                <w:sz w:val="15"/>
              </w:rPr>
            </w:pPr>
            <w:r>
              <w:rPr>
                <w:color w:val="231F20"/>
                <w:spacing w:val="-2"/>
                <w:sz w:val="15"/>
              </w:rPr>
              <w:t>SCA13</w:t>
            </w:r>
            <w:r>
              <w:rPr>
                <w:color w:val="231F20"/>
                <w:sz w:val="15"/>
              </w:rPr>
              <w:tab/>
            </w:r>
            <w:r>
              <w:rPr>
                <w:color w:val="231F20"/>
                <w:spacing w:val="-4"/>
                <w:sz w:val="15"/>
              </w:rPr>
              <w:t>19q13.3-</w:t>
            </w:r>
            <w:r>
              <w:rPr>
                <w:color w:val="231F20"/>
                <w:spacing w:val="-2"/>
                <w:sz w:val="15"/>
              </w:rPr>
              <w:t>q13.4</w:t>
            </w:r>
          </w:p>
        </w:tc>
        <w:tc>
          <w:tcPr>
            <w:tcW w:w="913" w:type="dxa"/>
            <w:shd w:val="clear" w:color="auto" w:fill="E8F5F1"/>
          </w:tcPr>
          <w:p>
            <w:pPr>
              <w:pStyle w:val="TableParagraph"/>
              <w:spacing w:before="84"/>
              <w:ind w:left="100"/>
              <w:rPr>
                <w:i/>
                <w:sz w:val="15"/>
              </w:rPr>
            </w:pPr>
            <w:r>
              <w:rPr>
                <w:i/>
                <w:color w:val="231F20"/>
                <w:spacing w:val="-2"/>
                <w:w w:val="110"/>
                <w:sz w:val="15"/>
              </w:rPr>
              <w:t>KCNC3</w:t>
            </w:r>
          </w:p>
        </w:tc>
        <w:tc>
          <w:tcPr>
            <w:tcW w:w="930" w:type="dxa"/>
            <w:shd w:val="clear" w:color="auto" w:fill="E8F5F1"/>
          </w:tcPr>
          <w:p>
            <w:pPr>
              <w:pStyle w:val="TableParagraph"/>
              <w:spacing w:before="84"/>
              <w:ind w:left="100"/>
              <w:rPr>
                <w:sz w:val="15"/>
              </w:rPr>
            </w:pPr>
            <w:r>
              <w:rPr>
                <w:color w:val="231F20"/>
                <w:spacing w:val="-2"/>
                <w:w w:val="110"/>
                <w:sz w:val="15"/>
              </w:rPr>
              <w:t>KCNC3</w:t>
            </w:r>
          </w:p>
        </w:tc>
        <w:tc>
          <w:tcPr>
            <w:tcW w:w="1244" w:type="dxa"/>
            <w:vMerge/>
            <w:tcBorders>
              <w:top w:val="nil"/>
              <w:bottom w:val="single" w:sz="12" w:space="0" w:color="231F20"/>
            </w:tcBorders>
            <w:shd w:val="clear" w:color="auto" w:fill="E8F5F1"/>
          </w:tcPr>
          <w:p>
            <w:pPr>
              <w:rPr>
                <w:sz w:val="2"/>
                <w:szCs w:val="2"/>
              </w:rPr>
            </w:pPr>
          </w:p>
        </w:tc>
        <w:tc>
          <w:tcPr>
            <w:tcW w:w="1049" w:type="dxa"/>
            <w:shd w:val="clear" w:color="auto" w:fill="E8F5F1"/>
          </w:tcPr>
          <w:p>
            <w:pPr>
              <w:pStyle w:val="TableParagraph"/>
              <w:spacing w:before="84"/>
              <w:ind w:left="107"/>
              <w:rPr>
                <w:sz w:val="15"/>
              </w:rPr>
            </w:pPr>
            <w:r>
              <w:rPr>
                <w:rFonts w:ascii="Cambria"/>
                <w:color w:val="231F20"/>
                <w:spacing w:val="-2"/>
                <w:sz w:val="15"/>
              </w:rPr>
              <w:t>&lt;</w:t>
            </w:r>
            <w:r>
              <w:rPr>
                <w:color w:val="231F20"/>
                <w:spacing w:val="-2"/>
                <w:sz w:val="15"/>
              </w:rPr>
              <w:t>1-</w:t>
            </w:r>
            <w:r>
              <w:rPr>
                <w:color w:val="231F20"/>
                <w:spacing w:val="-5"/>
                <w:sz w:val="15"/>
              </w:rPr>
              <w:t>60</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416" w:hRule="exact"/>
        </w:trPr>
        <w:tc>
          <w:tcPr>
            <w:tcW w:w="2457" w:type="dxa"/>
            <w:gridSpan w:val="2"/>
            <w:shd w:val="clear" w:color="auto" w:fill="E8F5F1"/>
          </w:tcPr>
          <w:p>
            <w:pPr>
              <w:pStyle w:val="TableParagraph"/>
              <w:tabs>
                <w:tab w:pos="1208" w:val="left" w:leader="none"/>
              </w:tabs>
              <w:spacing w:before="74"/>
              <w:ind w:left="73"/>
              <w:rPr>
                <w:sz w:val="15"/>
              </w:rPr>
            </w:pPr>
            <w:r>
              <w:rPr>
                <w:color w:val="231F20"/>
                <w:spacing w:val="-2"/>
                <w:sz w:val="15"/>
              </w:rPr>
              <w:t>SCA15</w:t>
            </w:r>
            <w:r>
              <w:rPr>
                <w:color w:val="231F20"/>
                <w:sz w:val="15"/>
              </w:rPr>
              <w:tab/>
            </w:r>
            <w:r>
              <w:rPr>
                <w:color w:val="231F20"/>
                <w:spacing w:val="-4"/>
                <w:sz w:val="15"/>
              </w:rPr>
              <w:t>3p24.2-</w:t>
            </w:r>
            <w:r>
              <w:rPr>
                <w:color w:val="231F20"/>
                <w:spacing w:val="-2"/>
                <w:sz w:val="15"/>
              </w:rPr>
              <w:t>3pter</w:t>
            </w:r>
          </w:p>
        </w:tc>
        <w:tc>
          <w:tcPr>
            <w:tcW w:w="913" w:type="dxa"/>
            <w:shd w:val="clear" w:color="auto" w:fill="E8F5F1"/>
          </w:tcPr>
          <w:p>
            <w:pPr>
              <w:pStyle w:val="TableParagraph"/>
              <w:spacing w:before="74"/>
              <w:ind w:left="100"/>
              <w:rPr>
                <w:i/>
                <w:sz w:val="15"/>
              </w:rPr>
            </w:pPr>
            <w:r>
              <w:rPr>
                <w:i/>
                <w:color w:val="231F20"/>
                <w:spacing w:val="-2"/>
                <w:sz w:val="15"/>
              </w:rPr>
              <w:t>ITPR1</w:t>
            </w:r>
          </w:p>
        </w:tc>
        <w:tc>
          <w:tcPr>
            <w:tcW w:w="930" w:type="dxa"/>
            <w:shd w:val="clear" w:color="auto" w:fill="E8F5F1"/>
          </w:tcPr>
          <w:p>
            <w:pPr>
              <w:pStyle w:val="TableParagraph"/>
              <w:spacing w:before="74"/>
              <w:ind w:left="100"/>
              <w:rPr>
                <w:sz w:val="15"/>
              </w:rPr>
            </w:pPr>
            <w:r>
              <w:rPr>
                <w:color w:val="231F20"/>
                <w:spacing w:val="-2"/>
                <w:sz w:val="15"/>
              </w:rPr>
              <w:t>ITPR1</w:t>
            </w:r>
          </w:p>
        </w:tc>
        <w:tc>
          <w:tcPr>
            <w:tcW w:w="1244" w:type="dxa"/>
            <w:vMerge/>
            <w:tcBorders>
              <w:top w:val="nil"/>
              <w:bottom w:val="single" w:sz="12" w:space="0" w:color="231F20"/>
            </w:tcBorders>
            <w:shd w:val="clear" w:color="auto" w:fill="E8F5F1"/>
          </w:tcPr>
          <w:p>
            <w:pPr>
              <w:rPr>
                <w:sz w:val="2"/>
                <w:szCs w:val="2"/>
              </w:rPr>
            </w:pPr>
          </w:p>
        </w:tc>
        <w:tc>
          <w:tcPr>
            <w:tcW w:w="1049" w:type="dxa"/>
            <w:shd w:val="clear" w:color="auto" w:fill="E8F5F1"/>
          </w:tcPr>
          <w:p>
            <w:pPr>
              <w:pStyle w:val="TableParagraph"/>
              <w:spacing w:before="74"/>
              <w:ind w:left="107"/>
              <w:rPr>
                <w:sz w:val="15"/>
              </w:rPr>
            </w:pPr>
            <w:r>
              <w:rPr>
                <w:color w:val="231F20"/>
                <w:spacing w:val="-2"/>
                <w:sz w:val="15"/>
              </w:rPr>
              <w:t>Child–adult</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r>
        <w:trPr>
          <w:trHeight w:val="553" w:hRule="exact"/>
        </w:trPr>
        <w:tc>
          <w:tcPr>
            <w:tcW w:w="2457" w:type="dxa"/>
            <w:gridSpan w:val="2"/>
            <w:tcBorders>
              <w:bottom w:val="single" w:sz="12" w:space="0" w:color="231F20"/>
            </w:tcBorders>
            <w:shd w:val="clear" w:color="auto" w:fill="E8F5F1"/>
          </w:tcPr>
          <w:p>
            <w:pPr>
              <w:pStyle w:val="TableParagraph"/>
              <w:tabs>
                <w:tab w:pos="1208" w:val="left" w:leader="none"/>
              </w:tabs>
              <w:spacing w:before="163"/>
              <w:ind w:left="73"/>
              <w:rPr>
                <w:sz w:val="15"/>
              </w:rPr>
            </w:pPr>
            <w:r>
              <w:rPr>
                <w:color w:val="231F20"/>
                <w:spacing w:val="-2"/>
                <w:sz w:val="15"/>
              </w:rPr>
              <w:t>SCA28</w:t>
            </w:r>
            <w:r>
              <w:rPr>
                <w:color w:val="231F20"/>
                <w:sz w:val="15"/>
              </w:rPr>
              <w:tab/>
            </w:r>
            <w:r>
              <w:rPr>
                <w:color w:val="231F20"/>
                <w:spacing w:val="-5"/>
                <w:sz w:val="15"/>
              </w:rPr>
              <w:t>18p11.22-</w:t>
            </w:r>
            <w:r>
              <w:rPr>
                <w:color w:val="231F20"/>
                <w:spacing w:val="-2"/>
                <w:sz w:val="15"/>
              </w:rPr>
              <w:t>q11.2.</w:t>
            </w:r>
          </w:p>
        </w:tc>
        <w:tc>
          <w:tcPr>
            <w:tcW w:w="913" w:type="dxa"/>
            <w:tcBorders>
              <w:bottom w:val="single" w:sz="12" w:space="0" w:color="231F20"/>
            </w:tcBorders>
            <w:shd w:val="clear" w:color="auto" w:fill="E8F5F1"/>
          </w:tcPr>
          <w:p>
            <w:pPr>
              <w:pStyle w:val="TableParagraph"/>
              <w:spacing w:before="163"/>
              <w:ind w:left="100"/>
              <w:rPr>
                <w:i/>
                <w:sz w:val="15"/>
              </w:rPr>
            </w:pPr>
            <w:r>
              <w:rPr>
                <w:i/>
                <w:color w:val="231F20"/>
                <w:spacing w:val="-2"/>
                <w:w w:val="105"/>
                <w:sz w:val="15"/>
              </w:rPr>
              <w:t>AFG3L2</w:t>
            </w:r>
          </w:p>
        </w:tc>
        <w:tc>
          <w:tcPr>
            <w:tcW w:w="930" w:type="dxa"/>
            <w:tcBorders>
              <w:bottom w:val="single" w:sz="12" w:space="0" w:color="231F20"/>
            </w:tcBorders>
            <w:shd w:val="clear" w:color="auto" w:fill="E8F5F1"/>
          </w:tcPr>
          <w:p>
            <w:pPr>
              <w:pStyle w:val="TableParagraph"/>
              <w:spacing w:before="163"/>
              <w:ind w:left="100"/>
              <w:rPr>
                <w:sz w:val="15"/>
              </w:rPr>
            </w:pPr>
            <w:r>
              <w:rPr>
                <w:color w:val="231F20"/>
                <w:spacing w:val="-2"/>
                <w:w w:val="105"/>
                <w:sz w:val="15"/>
              </w:rPr>
              <w:t>AFG3L2</w:t>
            </w:r>
          </w:p>
        </w:tc>
        <w:tc>
          <w:tcPr>
            <w:tcW w:w="1244" w:type="dxa"/>
            <w:vMerge/>
            <w:tcBorders>
              <w:top w:val="nil"/>
              <w:bottom w:val="single" w:sz="12" w:space="0" w:color="231F20"/>
            </w:tcBorders>
            <w:shd w:val="clear" w:color="auto" w:fill="E8F5F1"/>
          </w:tcPr>
          <w:p>
            <w:pPr>
              <w:rPr>
                <w:sz w:val="2"/>
                <w:szCs w:val="2"/>
              </w:rPr>
            </w:pPr>
          </w:p>
        </w:tc>
        <w:tc>
          <w:tcPr>
            <w:tcW w:w="1049" w:type="dxa"/>
            <w:tcBorders>
              <w:bottom w:val="single" w:sz="12" w:space="0" w:color="231F20"/>
            </w:tcBorders>
            <w:shd w:val="clear" w:color="auto" w:fill="E8F5F1"/>
          </w:tcPr>
          <w:p>
            <w:pPr>
              <w:pStyle w:val="TableParagraph"/>
              <w:spacing w:before="163"/>
              <w:ind w:left="107"/>
              <w:rPr>
                <w:sz w:val="15"/>
              </w:rPr>
            </w:pPr>
            <w:r>
              <w:rPr>
                <w:color w:val="231F20"/>
                <w:spacing w:val="-4"/>
                <w:sz w:val="15"/>
              </w:rPr>
              <w:t>12-</w:t>
            </w:r>
            <w:r>
              <w:rPr>
                <w:color w:val="231F20"/>
                <w:spacing w:val="-5"/>
                <w:sz w:val="15"/>
              </w:rPr>
              <w:t>36</w:t>
            </w:r>
          </w:p>
        </w:tc>
        <w:tc>
          <w:tcPr>
            <w:tcW w:w="1000" w:type="dxa"/>
            <w:vMerge/>
            <w:tcBorders>
              <w:top w:val="nil"/>
              <w:bottom w:val="single" w:sz="12" w:space="0" w:color="231F20"/>
            </w:tcBorders>
            <w:shd w:val="clear" w:color="auto" w:fill="E8F5F1"/>
          </w:tcPr>
          <w:p>
            <w:pPr>
              <w:rPr>
                <w:sz w:val="2"/>
                <w:szCs w:val="2"/>
              </w:rPr>
            </w:pPr>
          </w:p>
        </w:tc>
        <w:tc>
          <w:tcPr>
            <w:tcW w:w="1052" w:type="dxa"/>
            <w:vMerge/>
            <w:tcBorders>
              <w:top w:val="nil"/>
              <w:bottom w:val="single" w:sz="12" w:space="0" w:color="231F20"/>
            </w:tcBorders>
            <w:shd w:val="clear" w:color="auto" w:fill="E8F5F1"/>
          </w:tcPr>
          <w:p>
            <w:pPr>
              <w:rPr>
                <w:sz w:val="2"/>
                <w:szCs w:val="2"/>
              </w:rPr>
            </w:pPr>
          </w:p>
        </w:tc>
        <w:tc>
          <w:tcPr>
            <w:tcW w:w="1102" w:type="dxa"/>
            <w:vMerge/>
            <w:tcBorders>
              <w:top w:val="nil"/>
              <w:bottom w:val="single" w:sz="12" w:space="0" w:color="231F20"/>
            </w:tcBorders>
            <w:shd w:val="clear" w:color="auto" w:fill="E8F5F1"/>
          </w:tcPr>
          <w:p>
            <w:pPr>
              <w:rPr>
                <w:sz w:val="2"/>
                <w:szCs w:val="2"/>
              </w:rPr>
            </w:pPr>
          </w:p>
        </w:tc>
      </w:tr>
    </w:tbl>
    <w:p>
      <w:pPr>
        <w:spacing w:after="0"/>
        <w:rPr>
          <w:sz w:val="2"/>
          <w:szCs w:val="2"/>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40" name="Group 740"/>
                <wp:cNvGraphicFramePr>
                  <a:graphicFrameLocks/>
                </wp:cNvGraphicFramePr>
                <a:graphic>
                  <a:graphicData uri="http://schemas.microsoft.com/office/word/2010/wordprocessingGroup">
                    <wpg:wgp>
                      <wpg:cNvPr id="740" name="Group 740"/>
                      <wpg:cNvGrpSpPr/>
                      <wpg:grpSpPr>
                        <a:xfrm>
                          <a:off x="0" y="0"/>
                          <a:ext cx="6185535" cy="170815"/>
                          <a:chExt cx="6185535" cy="170815"/>
                        </a:xfrm>
                      </wpg:grpSpPr>
                      <wps:wsp>
                        <wps:cNvPr id="741" name="Graphic 741"/>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42" name="Graphic 742"/>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43" name="Textbox 743"/>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2888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23"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24" filled="false" stroked="false">
                  <v:textbox inset="0,0,0,0">
                    <w:txbxContent>
                      <w:p>
                        <w:pPr>
                          <w:spacing w:before="6"/>
                          <w:ind w:left="-1" w:right="0" w:firstLine="0"/>
                          <w:jc w:val="left"/>
                          <w:rPr>
                            <w:sz w:val="18"/>
                          </w:rPr>
                        </w:pPr>
                        <w:r>
                          <w:rPr>
                            <w:b/>
                            <w:color w:val="231F20"/>
                            <w:w w:val="105"/>
                            <w:sz w:val="18"/>
                          </w:rPr>
                          <w:t>2888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5"/>
        <w:rPr>
          <w:i/>
          <w:sz w:val="17"/>
        </w:rPr>
      </w:pPr>
    </w:p>
    <w:tbl>
      <w:tblPr>
        <w:tblW w:w="0" w:type="auto"/>
        <w:jc w:val="left"/>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204"/>
        <w:gridCol w:w="2352"/>
      </w:tblGrid>
      <w:tr>
        <w:trPr>
          <w:trHeight w:val="377" w:hRule="exac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8</w:t>
            </w:r>
          </w:p>
        </w:tc>
        <w:tc>
          <w:tcPr>
            <w:tcW w:w="3556" w:type="dxa"/>
            <w:gridSpan w:val="2"/>
            <w:tcBorders>
              <w:left w:val="single" w:sz="8" w:space="0" w:color="FFFFFF"/>
            </w:tcBorders>
            <w:shd w:val="clear" w:color="auto" w:fill="231F20"/>
          </w:tcPr>
          <w:p>
            <w:pPr>
              <w:pStyle w:val="TableParagraph"/>
              <w:spacing w:before="89"/>
              <w:ind w:left="74"/>
              <w:rPr>
                <w:sz w:val="16"/>
              </w:rPr>
            </w:pPr>
            <w:r>
              <w:rPr>
                <w:color w:val="FFFFFF"/>
                <w:w w:val="110"/>
                <w:sz w:val="16"/>
              </w:rPr>
              <w:t>Drugs</w:t>
            </w:r>
            <w:r>
              <w:rPr>
                <w:color w:val="FFFFFF"/>
                <w:spacing w:val="-5"/>
                <w:w w:val="110"/>
                <w:sz w:val="16"/>
              </w:rPr>
              <w:t> </w:t>
            </w:r>
            <w:r>
              <w:rPr>
                <w:color w:val="FFFFFF"/>
                <w:w w:val="110"/>
                <w:sz w:val="16"/>
              </w:rPr>
              <w:t>That</w:t>
            </w:r>
            <w:r>
              <w:rPr>
                <w:color w:val="FFFFFF"/>
                <w:spacing w:val="-5"/>
                <w:w w:val="110"/>
                <w:sz w:val="16"/>
              </w:rPr>
              <w:t> </w:t>
            </w:r>
            <w:r>
              <w:rPr>
                <w:color w:val="FFFFFF"/>
                <w:w w:val="110"/>
                <w:sz w:val="16"/>
              </w:rPr>
              <w:t>Can</w:t>
            </w:r>
            <w:r>
              <w:rPr>
                <w:color w:val="FFFFFF"/>
                <w:spacing w:val="-4"/>
                <w:w w:val="110"/>
                <w:sz w:val="16"/>
              </w:rPr>
              <w:t> </w:t>
            </w:r>
            <w:r>
              <w:rPr>
                <w:color w:val="FFFFFF"/>
                <w:w w:val="110"/>
                <w:sz w:val="16"/>
              </w:rPr>
              <w:t>Induce</w:t>
            </w:r>
            <w:r>
              <w:rPr>
                <w:color w:val="FFFFFF"/>
                <w:spacing w:val="-5"/>
                <w:w w:val="110"/>
                <w:sz w:val="16"/>
              </w:rPr>
              <w:t> </w:t>
            </w:r>
            <w:r>
              <w:rPr>
                <w:color w:val="FFFFFF"/>
                <w:spacing w:val="-2"/>
                <w:w w:val="110"/>
                <w:sz w:val="16"/>
              </w:rPr>
              <w:t>Chorea</w:t>
            </w:r>
          </w:p>
        </w:tc>
      </w:tr>
      <w:tr>
        <w:trPr>
          <w:trHeight w:val="221" w:hRule="exact"/>
        </w:trPr>
        <w:tc>
          <w:tcPr>
            <w:tcW w:w="2352" w:type="dxa"/>
            <w:gridSpan w:val="2"/>
            <w:tcBorders>
              <w:right w:val="single" w:sz="4" w:space="0" w:color="231F20"/>
            </w:tcBorders>
            <w:shd w:val="clear" w:color="auto" w:fill="E8F5F1"/>
          </w:tcPr>
          <w:p>
            <w:pPr>
              <w:pStyle w:val="TableParagraph"/>
              <w:spacing w:line="158" w:lineRule="exact" w:before="43"/>
              <w:ind w:left="74"/>
              <w:rPr>
                <w:sz w:val="15"/>
              </w:rPr>
            </w:pPr>
            <w:r>
              <w:rPr>
                <w:color w:val="231F20"/>
                <w:w w:val="115"/>
                <w:sz w:val="15"/>
              </w:rPr>
              <w:t>DOPAMINE</w:t>
            </w:r>
            <w:r>
              <w:rPr>
                <w:color w:val="231F20"/>
                <w:spacing w:val="17"/>
                <w:w w:val="115"/>
                <w:sz w:val="15"/>
              </w:rPr>
              <w:t> </w:t>
            </w:r>
            <w:r>
              <w:rPr>
                <w:color w:val="231F20"/>
                <w:spacing w:val="-2"/>
                <w:w w:val="115"/>
                <w:sz w:val="15"/>
              </w:rPr>
              <w:t>RECEPTOR</w:t>
            </w:r>
          </w:p>
        </w:tc>
        <w:tc>
          <w:tcPr>
            <w:tcW w:w="2352" w:type="dxa"/>
            <w:tcBorders>
              <w:top w:val="single" w:sz="4" w:space="0" w:color="FFFFFF"/>
              <w:left w:val="single" w:sz="4" w:space="0" w:color="231F20"/>
            </w:tcBorders>
            <w:shd w:val="clear" w:color="auto" w:fill="E8F5F1"/>
          </w:tcPr>
          <w:p>
            <w:pPr>
              <w:pStyle w:val="TableParagraph"/>
              <w:spacing w:line="154" w:lineRule="exact" w:before="43"/>
              <w:ind w:left="69"/>
              <w:rPr>
                <w:sz w:val="15"/>
              </w:rPr>
            </w:pPr>
            <w:r>
              <w:rPr>
                <w:color w:val="231F20"/>
                <w:w w:val="115"/>
                <w:sz w:val="15"/>
              </w:rPr>
              <w:t>CALCIUM</w:t>
            </w:r>
            <w:r>
              <w:rPr>
                <w:color w:val="231F20"/>
                <w:spacing w:val="-9"/>
                <w:w w:val="115"/>
                <w:sz w:val="15"/>
              </w:rPr>
              <w:t> </w:t>
            </w:r>
            <w:r>
              <w:rPr>
                <w:color w:val="231F20"/>
                <w:spacing w:val="-2"/>
                <w:w w:val="115"/>
                <w:sz w:val="15"/>
              </w:rPr>
              <w:t>CHANNEL</w:t>
            </w:r>
          </w:p>
        </w:tc>
      </w:tr>
      <w:tr>
        <w:trPr>
          <w:trHeight w:val="167" w:hRule="exact"/>
        </w:trPr>
        <w:tc>
          <w:tcPr>
            <w:tcW w:w="2352" w:type="dxa"/>
            <w:gridSpan w:val="2"/>
            <w:tcBorders>
              <w:right w:val="single" w:sz="4" w:space="0" w:color="231F20"/>
            </w:tcBorders>
            <w:shd w:val="clear" w:color="auto" w:fill="E8F5F1"/>
          </w:tcPr>
          <w:p>
            <w:pPr>
              <w:pStyle w:val="TableParagraph"/>
              <w:spacing w:line="148" w:lineRule="exact"/>
              <w:ind w:left="74"/>
              <w:rPr>
                <w:sz w:val="15"/>
              </w:rPr>
            </w:pPr>
            <w:r>
              <w:rPr>
                <w:color w:val="231F20"/>
                <w:w w:val="115"/>
                <w:sz w:val="15"/>
              </w:rPr>
              <w:t>BLOCKING</w:t>
            </w:r>
            <w:r>
              <w:rPr>
                <w:color w:val="231F20"/>
                <w:spacing w:val="-9"/>
                <w:w w:val="115"/>
                <w:sz w:val="15"/>
              </w:rPr>
              <w:t> </w:t>
            </w:r>
            <w:r>
              <w:rPr>
                <w:color w:val="231F20"/>
                <w:w w:val="115"/>
                <w:sz w:val="15"/>
              </w:rPr>
              <w:t>AGENTS</w:t>
            </w:r>
            <w:r>
              <w:rPr>
                <w:color w:val="231F20"/>
                <w:spacing w:val="-9"/>
                <w:w w:val="115"/>
                <w:sz w:val="15"/>
              </w:rPr>
              <w:t> </w:t>
            </w:r>
            <w:r>
              <w:rPr>
                <w:color w:val="231F20"/>
                <w:spacing w:val="-2"/>
                <w:w w:val="115"/>
                <w:sz w:val="15"/>
              </w:rPr>
              <w:t>(UPON</w:t>
            </w:r>
          </w:p>
        </w:tc>
        <w:tc>
          <w:tcPr>
            <w:tcW w:w="2352" w:type="dxa"/>
            <w:tcBorders>
              <w:left w:val="single" w:sz="4" w:space="0" w:color="231F20"/>
            </w:tcBorders>
            <w:shd w:val="clear" w:color="auto" w:fill="E8F5F1"/>
          </w:tcPr>
          <w:p>
            <w:pPr>
              <w:pStyle w:val="TableParagraph"/>
              <w:spacing w:line="148" w:lineRule="exact"/>
              <w:ind w:left="69"/>
              <w:rPr>
                <w:sz w:val="15"/>
              </w:rPr>
            </w:pPr>
            <w:r>
              <w:rPr>
                <w:color w:val="231F20"/>
                <w:spacing w:val="-2"/>
                <w:w w:val="110"/>
                <w:sz w:val="15"/>
              </w:rPr>
              <w:t>BLOCKERS</w:t>
            </w:r>
          </w:p>
        </w:tc>
      </w:tr>
      <w:tr>
        <w:trPr>
          <w:trHeight w:val="167" w:hRule="exact"/>
        </w:trPr>
        <w:tc>
          <w:tcPr>
            <w:tcW w:w="2352" w:type="dxa"/>
            <w:gridSpan w:val="2"/>
            <w:tcBorders>
              <w:right w:val="single" w:sz="4" w:space="0" w:color="231F20"/>
            </w:tcBorders>
            <w:shd w:val="clear" w:color="auto" w:fill="E8F5F1"/>
          </w:tcPr>
          <w:p>
            <w:pPr>
              <w:pStyle w:val="TableParagraph"/>
              <w:spacing w:line="147" w:lineRule="exact"/>
              <w:ind w:left="74"/>
              <w:rPr>
                <w:sz w:val="15"/>
              </w:rPr>
            </w:pPr>
            <w:r>
              <w:rPr>
                <w:color w:val="231F20"/>
                <w:w w:val="110"/>
                <w:sz w:val="15"/>
              </w:rPr>
              <w:t>WITHDRAWAL</w:t>
            </w:r>
            <w:r>
              <w:rPr>
                <w:color w:val="231F20"/>
                <w:spacing w:val="5"/>
                <w:w w:val="110"/>
                <w:sz w:val="15"/>
              </w:rPr>
              <w:t> </w:t>
            </w:r>
            <w:r>
              <w:rPr>
                <w:color w:val="231F20"/>
                <w:w w:val="110"/>
                <w:sz w:val="15"/>
              </w:rPr>
              <w:t>OR</w:t>
            </w:r>
            <w:r>
              <w:rPr>
                <w:color w:val="231F20"/>
                <w:spacing w:val="6"/>
                <w:w w:val="110"/>
                <w:sz w:val="15"/>
              </w:rPr>
              <w:t> </w:t>
            </w:r>
            <w:r>
              <w:rPr>
                <w:color w:val="231F20"/>
                <w:w w:val="110"/>
                <w:sz w:val="15"/>
              </w:rPr>
              <w:t>AS</w:t>
            </w:r>
            <w:r>
              <w:rPr>
                <w:color w:val="231F20"/>
                <w:spacing w:val="6"/>
                <w:w w:val="110"/>
                <w:sz w:val="15"/>
              </w:rPr>
              <w:t> </w:t>
            </w:r>
            <w:r>
              <w:rPr>
                <w:color w:val="231F20"/>
                <w:spacing w:val="-10"/>
                <w:w w:val="110"/>
                <w:sz w:val="15"/>
              </w:rPr>
              <w:t>A</w:t>
            </w:r>
          </w:p>
        </w:tc>
        <w:tc>
          <w:tcPr>
            <w:tcW w:w="2352" w:type="dxa"/>
            <w:tcBorders>
              <w:left w:val="single" w:sz="4" w:space="0" w:color="231F20"/>
            </w:tcBorders>
            <w:shd w:val="clear" w:color="auto" w:fill="E8F5F1"/>
          </w:tcPr>
          <w:p>
            <w:pPr>
              <w:pStyle w:val="TableParagraph"/>
              <w:spacing w:line="147" w:lineRule="exact"/>
              <w:ind w:left="69"/>
              <w:rPr>
                <w:sz w:val="15"/>
              </w:rPr>
            </w:pPr>
            <w:r>
              <w:rPr>
                <w:color w:val="231F20"/>
                <w:spacing w:val="-2"/>
                <w:sz w:val="15"/>
              </w:rPr>
              <w:t>Cinnarizine</w:t>
            </w:r>
          </w:p>
        </w:tc>
      </w:tr>
      <w:tr>
        <w:trPr>
          <w:trHeight w:val="168" w:hRule="exact"/>
        </w:trPr>
        <w:tc>
          <w:tcPr>
            <w:tcW w:w="2352" w:type="dxa"/>
            <w:gridSpan w:val="2"/>
            <w:tcBorders>
              <w:right w:val="single" w:sz="4" w:space="0" w:color="231F20"/>
            </w:tcBorders>
            <w:shd w:val="clear" w:color="auto" w:fill="E8F5F1"/>
          </w:tcPr>
          <w:p>
            <w:pPr>
              <w:pStyle w:val="TableParagraph"/>
              <w:spacing w:line="148" w:lineRule="exact"/>
              <w:ind w:left="74"/>
              <w:rPr>
                <w:sz w:val="15"/>
              </w:rPr>
            </w:pPr>
            <w:r>
              <w:rPr>
                <w:color w:val="231F20"/>
                <w:w w:val="110"/>
                <w:sz w:val="15"/>
              </w:rPr>
              <w:t>TARDIVE</w:t>
            </w:r>
            <w:r>
              <w:rPr>
                <w:color w:val="231F20"/>
                <w:spacing w:val="-7"/>
                <w:w w:val="110"/>
                <w:sz w:val="15"/>
              </w:rPr>
              <w:t> </w:t>
            </w:r>
            <w:r>
              <w:rPr>
                <w:color w:val="231F20"/>
                <w:spacing w:val="-2"/>
                <w:w w:val="110"/>
                <w:sz w:val="15"/>
              </w:rPr>
              <w:t>SYNDROME)</w:t>
            </w:r>
          </w:p>
        </w:tc>
        <w:tc>
          <w:tcPr>
            <w:tcW w:w="2352" w:type="dxa"/>
            <w:tcBorders>
              <w:left w:val="single" w:sz="4" w:space="0" w:color="231F20"/>
            </w:tcBorders>
            <w:shd w:val="clear" w:color="auto" w:fill="E8F5F1"/>
          </w:tcPr>
          <w:p>
            <w:pPr>
              <w:pStyle w:val="TableParagraph"/>
              <w:spacing w:line="148" w:lineRule="exact"/>
              <w:ind w:left="69"/>
              <w:rPr>
                <w:sz w:val="15"/>
              </w:rPr>
            </w:pPr>
            <w:r>
              <w:rPr>
                <w:color w:val="231F20"/>
                <w:spacing w:val="-2"/>
                <w:sz w:val="15"/>
              </w:rPr>
              <w:t>Flunarizine</w:t>
            </w:r>
          </w:p>
        </w:tc>
      </w:tr>
      <w:tr>
        <w:trPr>
          <w:trHeight w:val="167" w:hRule="exact"/>
        </w:trPr>
        <w:tc>
          <w:tcPr>
            <w:tcW w:w="2352" w:type="dxa"/>
            <w:gridSpan w:val="2"/>
            <w:tcBorders>
              <w:right w:val="single" w:sz="4" w:space="0" w:color="231F20"/>
            </w:tcBorders>
            <w:shd w:val="clear" w:color="auto" w:fill="E8F5F1"/>
          </w:tcPr>
          <w:p>
            <w:pPr>
              <w:pStyle w:val="TableParagraph"/>
              <w:spacing w:line="147" w:lineRule="exact"/>
              <w:ind w:left="74"/>
              <w:rPr>
                <w:sz w:val="15"/>
              </w:rPr>
            </w:pPr>
            <w:r>
              <w:rPr>
                <w:color w:val="231F20"/>
                <w:spacing w:val="-2"/>
                <w:sz w:val="15"/>
              </w:rPr>
              <w:t>Phenothiazines</w:t>
            </w:r>
          </w:p>
        </w:tc>
        <w:tc>
          <w:tcPr>
            <w:tcW w:w="2352" w:type="dxa"/>
            <w:vMerge w:val="restart"/>
            <w:tcBorders>
              <w:left w:val="single" w:sz="4" w:space="0" w:color="231F20"/>
            </w:tcBorders>
            <w:shd w:val="clear" w:color="auto" w:fill="E8F5F1"/>
          </w:tcPr>
          <w:p>
            <w:pPr>
              <w:pStyle w:val="TableParagraph"/>
              <w:spacing w:line="170" w:lineRule="exact"/>
              <w:ind w:left="69"/>
              <w:rPr>
                <w:sz w:val="15"/>
              </w:rPr>
            </w:pPr>
            <w:r>
              <w:rPr>
                <w:color w:val="231F20"/>
                <w:spacing w:val="-2"/>
                <w:sz w:val="15"/>
              </w:rPr>
              <w:t>Verapamil</w:t>
            </w:r>
          </w:p>
        </w:tc>
      </w:tr>
      <w:tr>
        <w:trPr>
          <w:trHeight w:val="44" w:hRule="exact"/>
        </w:trPr>
        <w:tc>
          <w:tcPr>
            <w:tcW w:w="2352" w:type="dxa"/>
            <w:gridSpan w:val="2"/>
            <w:vMerge w:val="restart"/>
            <w:tcBorders>
              <w:right w:val="single" w:sz="4" w:space="0" w:color="231F20"/>
            </w:tcBorders>
            <w:shd w:val="clear" w:color="auto" w:fill="E8F5F1"/>
          </w:tcPr>
          <w:p>
            <w:pPr>
              <w:pStyle w:val="TableParagraph"/>
              <w:spacing w:line="146" w:lineRule="exact"/>
              <w:ind w:left="74"/>
              <w:rPr>
                <w:sz w:val="15"/>
              </w:rPr>
            </w:pPr>
            <w:r>
              <w:rPr>
                <w:color w:val="231F20"/>
                <w:spacing w:val="-2"/>
                <w:sz w:val="15"/>
              </w:rPr>
              <w:t>Butyrophenones</w:t>
            </w:r>
          </w:p>
        </w:tc>
        <w:tc>
          <w:tcPr>
            <w:tcW w:w="2352" w:type="dxa"/>
            <w:vMerge/>
            <w:tcBorders>
              <w:top w:val="nil"/>
              <w:left w:val="single" w:sz="4" w:space="0" w:color="231F20"/>
            </w:tcBorders>
            <w:shd w:val="clear" w:color="auto" w:fill="E8F5F1"/>
          </w:tcPr>
          <w:p>
            <w:pPr>
              <w:rPr>
                <w:sz w:val="2"/>
                <w:szCs w:val="2"/>
              </w:rPr>
            </w:pPr>
          </w:p>
        </w:tc>
      </w:tr>
      <w:tr>
        <w:trPr>
          <w:trHeight w:val="120" w:hRule="exact"/>
        </w:trPr>
        <w:tc>
          <w:tcPr>
            <w:tcW w:w="2352" w:type="dxa"/>
            <w:gridSpan w:val="2"/>
            <w:vMerge/>
            <w:tcBorders>
              <w:top w:val="nil"/>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single" w:sz="8" w:space="0" w:color="231F20"/>
            </w:tcBorders>
            <w:shd w:val="clear" w:color="auto" w:fill="E8F5F1"/>
          </w:tcPr>
          <w:p>
            <w:pPr>
              <w:pStyle w:val="TableParagraph"/>
              <w:spacing w:line="172" w:lineRule="exact" w:before="43"/>
              <w:ind w:left="69"/>
              <w:rPr>
                <w:sz w:val="15"/>
              </w:rPr>
            </w:pPr>
            <w:r>
              <w:rPr>
                <w:color w:val="231F20"/>
                <w:spacing w:val="-2"/>
                <w:w w:val="110"/>
                <w:sz w:val="15"/>
              </w:rPr>
              <w:t>OTHERS</w:t>
            </w:r>
          </w:p>
          <w:p>
            <w:pPr>
              <w:pStyle w:val="TableParagraph"/>
              <w:spacing w:line="230" w:lineRule="auto" w:before="3"/>
              <w:ind w:left="69" w:right="1692"/>
              <w:rPr>
                <w:sz w:val="15"/>
              </w:rPr>
            </w:pPr>
            <w:r>
              <w:rPr>
                <w:color w:val="231F20"/>
                <w:spacing w:val="-2"/>
                <w:sz w:val="15"/>
              </w:rPr>
              <w:t>Lithium Baclofen Digoxin</w:t>
            </w:r>
          </w:p>
          <w:p>
            <w:pPr>
              <w:pStyle w:val="TableParagraph"/>
              <w:spacing w:line="230" w:lineRule="auto" w:before="2"/>
              <w:ind w:left="69"/>
              <w:rPr>
                <w:sz w:val="15"/>
              </w:rPr>
            </w:pPr>
            <w:r>
              <w:rPr>
                <w:color w:val="231F20"/>
                <w:spacing w:val="-4"/>
                <w:sz w:val="15"/>
              </w:rPr>
              <w:t>Tricyclic </w:t>
            </w:r>
            <w:r>
              <w:rPr>
                <w:color w:val="231F20"/>
                <w:spacing w:val="-4"/>
                <w:sz w:val="15"/>
              </w:rPr>
              <w:t>antidepressants </w:t>
            </w:r>
            <w:r>
              <w:rPr>
                <w:color w:val="231F20"/>
                <w:spacing w:val="-2"/>
                <w:sz w:val="15"/>
              </w:rPr>
              <w:t>Cyclosporine</w:t>
            </w:r>
          </w:p>
          <w:p>
            <w:pPr>
              <w:pStyle w:val="TableParagraph"/>
              <w:spacing w:line="230" w:lineRule="auto" w:before="2"/>
              <w:ind w:left="69" w:right="405"/>
              <w:rPr>
                <w:sz w:val="15"/>
              </w:rPr>
            </w:pPr>
            <w:r>
              <w:rPr>
                <w:color w:val="231F20"/>
                <w:spacing w:val="-2"/>
                <w:sz w:val="15"/>
              </w:rPr>
              <w:t>Steroids/oral</w:t>
            </w:r>
            <w:r>
              <w:rPr>
                <w:color w:val="231F20"/>
                <w:spacing w:val="-10"/>
                <w:sz w:val="15"/>
              </w:rPr>
              <w:t> </w:t>
            </w:r>
            <w:r>
              <w:rPr>
                <w:color w:val="231F20"/>
                <w:spacing w:val="-2"/>
                <w:sz w:val="15"/>
              </w:rPr>
              <w:t>contraceptives Theophylline</w:t>
            </w:r>
          </w:p>
          <w:p>
            <w:pPr>
              <w:pStyle w:val="TableParagraph"/>
              <w:spacing w:line="170" w:lineRule="exact"/>
              <w:ind w:left="69"/>
              <w:rPr>
                <w:sz w:val="15"/>
              </w:rPr>
            </w:pPr>
            <w:r>
              <w:rPr>
                <w:color w:val="231F20"/>
                <w:spacing w:val="-2"/>
                <w:sz w:val="15"/>
              </w:rPr>
              <w:t>Propofol</w:t>
            </w:r>
          </w:p>
        </w:tc>
      </w:tr>
      <w:tr>
        <w:trPr>
          <w:trHeight w:val="210" w:hRule="exact"/>
        </w:trPr>
        <w:tc>
          <w:tcPr>
            <w:tcW w:w="2352" w:type="dxa"/>
            <w:gridSpan w:val="2"/>
            <w:tcBorders>
              <w:bottom w:val="single" w:sz="4" w:space="0" w:color="FFFFFF"/>
              <w:right w:val="single" w:sz="4" w:space="0" w:color="231F20"/>
            </w:tcBorders>
            <w:shd w:val="clear" w:color="auto" w:fill="E8F5F1"/>
          </w:tcPr>
          <w:p>
            <w:pPr>
              <w:pStyle w:val="TableParagraph"/>
              <w:spacing w:line="169" w:lineRule="exact"/>
              <w:ind w:left="74"/>
              <w:rPr>
                <w:sz w:val="15"/>
              </w:rPr>
            </w:pPr>
            <w:r>
              <w:rPr>
                <w:color w:val="231F20"/>
                <w:spacing w:val="-2"/>
                <w:sz w:val="15"/>
              </w:rPr>
              <w:t>Benzamides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225" w:hRule="exact"/>
        </w:trPr>
        <w:tc>
          <w:tcPr>
            <w:tcW w:w="2352" w:type="dxa"/>
            <w:gridSpan w:val="2"/>
            <w:tcBorders>
              <w:top w:val="single" w:sz="4" w:space="0" w:color="FFFFFF"/>
              <w:right w:val="single" w:sz="4" w:space="0" w:color="231F20"/>
            </w:tcBorders>
            <w:shd w:val="clear" w:color="auto" w:fill="E8F5F1"/>
          </w:tcPr>
          <w:p>
            <w:pPr>
              <w:pStyle w:val="TableParagraph"/>
              <w:spacing w:line="157" w:lineRule="exact" w:before="43"/>
              <w:ind w:left="74"/>
              <w:rPr>
                <w:sz w:val="15"/>
              </w:rPr>
            </w:pPr>
            <w:r>
              <w:rPr>
                <w:color w:val="231F20"/>
                <w:spacing w:val="2"/>
                <w:w w:val="110"/>
                <w:sz w:val="15"/>
              </w:rPr>
              <w:t>ANTIPARKINSONIAN</w:t>
            </w:r>
            <w:r>
              <w:rPr>
                <w:color w:val="231F20"/>
                <w:spacing w:val="16"/>
                <w:w w:val="115"/>
                <w:sz w:val="15"/>
              </w:rPr>
              <w:t> </w:t>
            </w:r>
            <w:r>
              <w:rPr>
                <w:color w:val="231F20"/>
                <w:spacing w:val="-2"/>
                <w:w w:val="115"/>
                <w:sz w:val="15"/>
              </w:rPr>
              <w:t>DRUGS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165" w:hRule="exact"/>
        </w:trPr>
        <w:tc>
          <w:tcPr>
            <w:tcW w:w="2352" w:type="dxa"/>
            <w:gridSpan w:val="2"/>
            <w:tcBorders>
              <w:right w:val="single" w:sz="4" w:space="0" w:color="231F20"/>
            </w:tcBorders>
            <w:shd w:val="clear" w:color="auto" w:fill="E8F5F1"/>
          </w:tcPr>
          <w:p>
            <w:pPr>
              <w:pStyle w:val="TableParagraph"/>
              <w:spacing w:line="146" w:lineRule="exact"/>
              <w:ind w:left="74"/>
              <w:rPr>
                <w:sz w:val="15"/>
              </w:rPr>
            </w:pPr>
            <w:r>
              <w:rPr>
                <w:color w:val="231F20"/>
                <w:w w:val="105"/>
                <w:sz w:val="15"/>
              </w:rPr>
              <w:t>L-</w:t>
            </w:r>
            <w:r>
              <w:rPr>
                <w:color w:val="231F20"/>
                <w:spacing w:val="-4"/>
                <w:w w:val="110"/>
                <w:sz w:val="15"/>
              </w:rPr>
              <w:t>DOPA</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2352" w:type="dxa"/>
            <w:gridSpan w:val="2"/>
            <w:tcBorders>
              <w:right w:val="single" w:sz="4" w:space="0" w:color="231F20"/>
            </w:tcBorders>
            <w:shd w:val="clear" w:color="auto" w:fill="E8F5F1"/>
          </w:tcPr>
          <w:p>
            <w:pPr>
              <w:pStyle w:val="TableParagraph"/>
              <w:spacing w:line="148" w:lineRule="exact"/>
              <w:ind w:left="74"/>
              <w:rPr>
                <w:sz w:val="15"/>
              </w:rPr>
            </w:pPr>
            <w:r>
              <w:rPr>
                <w:color w:val="231F20"/>
                <w:w w:val="105"/>
                <w:sz w:val="15"/>
              </w:rPr>
              <w:t>Dopamine</w:t>
            </w:r>
            <w:r>
              <w:rPr>
                <w:color w:val="231F20"/>
                <w:spacing w:val="-8"/>
                <w:w w:val="105"/>
                <w:sz w:val="15"/>
              </w:rPr>
              <w:t> </w:t>
            </w:r>
            <w:r>
              <w:rPr>
                <w:color w:val="231F20"/>
                <w:spacing w:val="-2"/>
                <w:w w:val="105"/>
                <w:sz w:val="15"/>
              </w:rPr>
              <w:t>agonists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210" w:hRule="exact"/>
        </w:trPr>
        <w:tc>
          <w:tcPr>
            <w:tcW w:w="2352" w:type="dxa"/>
            <w:gridSpan w:val="2"/>
            <w:tcBorders>
              <w:bottom w:val="single" w:sz="4" w:space="0" w:color="FFFFFF"/>
              <w:right w:val="single" w:sz="4" w:space="0" w:color="231F20"/>
            </w:tcBorders>
            <w:shd w:val="clear" w:color="auto" w:fill="E8F5F1"/>
          </w:tcPr>
          <w:p>
            <w:pPr>
              <w:pStyle w:val="TableParagraph"/>
              <w:spacing w:line="169" w:lineRule="exact"/>
              <w:ind w:left="74"/>
              <w:rPr>
                <w:sz w:val="15"/>
              </w:rPr>
            </w:pPr>
            <w:r>
              <w:rPr>
                <w:color w:val="231F20"/>
                <w:spacing w:val="-2"/>
                <w:sz w:val="15"/>
              </w:rPr>
              <w:t>Anticholinergics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225" w:hRule="exact"/>
        </w:trPr>
        <w:tc>
          <w:tcPr>
            <w:tcW w:w="2352" w:type="dxa"/>
            <w:gridSpan w:val="2"/>
            <w:tcBorders>
              <w:top w:val="single" w:sz="4" w:space="0" w:color="FFFFFF"/>
              <w:right w:val="single" w:sz="4" w:space="0" w:color="231F20"/>
            </w:tcBorders>
            <w:shd w:val="clear" w:color="auto" w:fill="E8F5F1"/>
          </w:tcPr>
          <w:p>
            <w:pPr>
              <w:pStyle w:val="TableParagraph"/>
              <w:spacing w:line="157" w:lineRule="exact" w:before="43"/>
              <w:ind w:left="74"/>
              <w:rPr>
                <w:sz w:val="15"/>
              </w:rPr>
            </w:pPr>
            <w:r>
              <w:rPr>
                <w:color w:val="231F20"/>
                <w:w w:val="105"/>
                <w:sz w:val="15"/>
              </w:rPr>
              <w:t>ANTIEPILEPTIC</w:t>
            </w:r>
            <w:r>
              <w:rPr>
                <w:color w:val="231F20"/>
                <w:spacing w:val="28"/>
                <w:w w:val="110"/>
                <w:sz w:val="15"/>
              </w:rPr>
              <w:t> </w:t>
            </w:r>
            <w:r>
              <w:rPr>
                <w:color w:val="231F20"/>
                <w:spacing w:val="-2"/>
                <w:w w:val="110"/>
                <w:sz w:val="15"/>
              </w:rPr>
              <w:t>DRUGS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165" w:hRule="exact"/>
        </w:trPr>
        <w:tc>
          <w:tcPr>
            <w:tcW w:w="2352" w:type="dxa"/>
            <w:gridSpan w:val="2"/>
            <w:tcBorders>
              <w:right w:val="single" w:sz="4" w:space="0" w:color="231F20"/>
            </w:tcBorders>
            <w:shd w:val="clear" w:color="auto" w:fill="E8F5F1"/>
          </w:tcPr>
          <w:p>
            <w:pPr>
              <w:pStyle w:val="TableParagraph"/>
              <w:spacing w:line="146" w:lineRule="exact"/>
              <w:ind w:left="74"/>
              <w:rPr>
                <w:sz w:val="15"/>
              </w:rPr>
            </w:pPr>
            <w:r>
              <w:rPr>
                <w:color w:val="231F20"/>
                <w:spacing w:val="-2"/>
                <w:sz w:val="15"/>
              </w:rPr>
              <w:t>Phenytoin</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2352"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Carbamazepine</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210" w:hRule="exact"/>
        </w:trPr>
        <w:tc>
          <w:tcPr>
            <w:tcW w:w="2352" w:type="dxa"/>
            <w:gridSpan w:val="2"/>
            <w:tcBorders>
              <w:bottom w:val="single" w:sz="4" w:space="0" w:color="FFFFFF"/>
              <w:right w:val="single" w:sz="4" w:space="0" w:color="231F20"/>
            </w:tcBorders>
            <w:shd w:val="clear" w:color="auto" w:fill="E8F5F1"/>
          </w:tcPr>
          <w:p>
            <w:pPr>
              <w:pStyle w:val="TableParagraph"/>
              <w:spacing w:line="169" w:lineRule="exact"/>
              <w:ind w:left="74"/>
              <w:rPr>
                <w:sz w:val="15"/>
              </w:rPr>
            </w:pPr>
            <w:r>
              <w:rPr>
                <w:color w:val="231F20"/>
                <w:spacing w:val="-2"/>
                <w:sz w:val="15"/>
              </w:rPr>
              <w:t>Valproic</w:t>
            </w:r>
            <w:r>
              <w:rPr>
                <w:color w:val="231F20"/>
                <w:sz w:val="15"/>
              </w:rPr>
              <w:t> </w:t>
            </w:r>
            <w:r>
              <w:rPr>
                <w:color w:val="231F20"/>
                <w:spacing w:val="-4"/>
                <w:sz w:val="15"/>
              </w:rPr>
              <w:t>acid</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225" w:hRule="exact"/>
        </w:trPr>
        <w:tc>
          <w:tcPr>
            <w:tcW w:w="2352" w:type="dxa"/>
            <w:gridSpan w:val="2"/>
            <w:tcBorders>
              <w:top w:val="single" w:sz="4" w:space="0" w:color="FFFFFF"/>
              <w:right w:val="single" w:sz="4" w:space="0" w:color="231F20"/>
            </w:tcBorders>
            <w:shd w:val="clear" w:color="auto" w:fill="E8F5F1"/>
          </w:tcPr>
          <w:p>
            <w:pPr>
              <w:pStyle w:val="TableParagraph"/>
              <w:spacing w:line="157" w:lineRule="exact" w:before="43"/>
              <w:ind w:left="74"/>
              <w:rPr>
                <w:sz w:val="15"/>
              </w:rPr>
            </w:pPr>
            <w:r>
              <w:rPr>
                <w:color w:val="231F20"/>
                <w:spacing w:val="-2"/>
                <w:w w:val="110"/>
                <w:sz w:val="15"/>
              </w:rPr>
              <w:t>PSYCHOSTIMULANTS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165" w:hRule="exact"/>
        </w:trPr>
        <w:tc>
          <w:tcPr>
            <w:tcW w:w="2352" w:type="dxa"/>
            <w:gridSpan w:val="2"/>
            <w:tcBorders>
              <w:right w:val="single" w:sz="4" w:space="0" w:color="231F20"/>
            </w:tcBorders>
            <w:shd w:val="clear" w:color="auto" w:fill="E8F5F1"/>
          </w:tcPr>
          <w:p>
            <w:pPr>
              <w:pStyle w:val="TableParagraph"/>
              <w:spacing w:line="146" w:lineRule="exact"/>
              <w:ind w:left="74"/>
              <w:rPr>
                <w:sz w:val="15"/>
              </w:rPr>
            </w:pPr>
            <w:r>
              <w:rPr>
                <w:color w:val="231F20"/>
                <w:spacing w:val="-2"/>
                <w:sz w:val="15"/>
              </w:rPr>
              <w:t>Amphetamines</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167" w:hRule="exact"/>
        </w:trPr>
        <w:tc>
          <w:tcPr>
            <w:tcW w:w="2352"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Methylphenidate</w:t>
            </w:r>
          </w:p>
        </w:tc>
        <w:tc>
          <w:tcPr>
            <w:tcW w:w="2352" w:type="dxa"/>
            <w:vMerge/>
            <w:tcBorders>
              <w:top w:val="nil"/>
              <w:left w:val="single" w:sz="4" w:space="0" w:color="231F20"/>
              <w:bottom w:val="single" w:sz="8" w:space="0" w:color="231F20"/>
            </w:tcBorders>
            <w:shd w:val="clear" w:color="auto" w:fill="E8F5F1"/>
          </w:tcPr>
          <w:p>
            <w:pPr>
              <w:rPr>
                <w:sz w:val="2"/>
                <w:szCs w:val="2"/>
              </w:rPr>
            </w:pPr>
          </w:p>
        </w:tc>
      </w:tr>
      <w:tr>
        <w:trPr>
          <w:trHeight w:val="211" w:hRule="exact"/>
        </w:trPr>
        <w:tc>
          <w:tcPr>
            <w:tcW w:w="2352" w:type="dxa"/>
            <w:gridSpan w:val="2"/>
            <w:tcBorders>
              <w:bottom w:val="single" w:sz="8" w:space="0" w:color="231F20"/>
              <w:right w:val="single" w:sz="4" w:space="0" w:color="231F20"/>
            </w:tcBorders>
            <w:shd w:val="clear" w:color="auto" w:fill="E8F5F1"/>
          </w:tcPr>
          <w:p>
            <w:pPr>
              <w:pStyle w:val="TableParagraph"/>
              <w:spacing w:line="169" w:lineRule="exact"/>
              <w:ind w:left="74"/>
              <w:rPr>
                <w:sz w:val="15"/>
              </w:rPr>
            </w:pPr>
            <w:r>
              <w:rPr>
                <w:color w:val="231F20"/>
                <w:spacing w:val="-2"/>
                <w:sz w:val="15"/>
              </w:rPr>
              <w:t>Cocaine</w:t>
            </w:r>
          </w:p>
        </w:tc>
        <w:tc>
          <w:tcPr>
            <w:tcW w:w="2352" w:type="dxa"/>
            <w:vMerge/>
            <w:tcBorders>
              <w:top w:val="nil"/>
              <w:left w:val="single" w:sz="4" w:space="0" w:color="231F20"/>
              <w:bottom w:val="single" w:sz="8" w:space="0" w:color="231F20"/>
            </w:tcBorders>
            <w:shd w:val="clear" w:color="auto" w:fill="E8F5F1"/>
          </w:tcPr>
          <w:p>
            <w:pPr>
              <w:rPr>
                <w:sz w:val="2"/>
                <w:szCs w:val="2"/>
              </w:rPr>
            </w:pPr>
          </w:p>
        </w:tc>
      </w:tr>
    </w:tbl>
    <w:p>
      <w:pPr>
        <w:pStyle w:val="BodyText"/>
        <w:spacing w:before="155"/>
        <w:rPr>
          <w:i/>
          <w:sz w:val="20"/>
        </w:rPr>
      </w:pPr>
    </w:p>
    <w:tbl>
      <w:tblPr>
        <w:tblW w:w="0" w:type="auto"/>
        <w:jc w:val="left"/>
        <w:tblInd w:w="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522"/>
        <w:gridCol w:w="1519"/>
        <w:gridCol w:w="1514"/>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4</w:t>
            </w:r>
          </w:p>
        </w:tc>
        <w:tc>
          <w:tcPr>
            <w:tcW w:w="3555" w:type="dxa"/>
            <w:gridSpan w:val="3"/>
            <w:tcBorders>
              <w:left w:val="single" w:sz="8" w:space="0" w:color="FFFFFF"/>
            </w:tcBorders>
            <w:shd w:val="clear" w:color="auto" w:fill="231F20"/>
          </w:tcPr>
          <w:p>
            <w:pPr>
              <w:pStyle w:val="TableParagraph"/>
              <w:spacing w:before="89"/>
              <w:ind w:left="73" w:right="350"/>
              <w:rPr>
                <w:sz w:val="16"/>
              </w:rPr>
            </w:pPr>
            <w:r>
              <w:rPr>
                <w:color w:val="FFFFFF"/>
                <w:sz w:val="16"/>
              </w:rPr>
              <w:t>Clinical Features That May </w:t>
            </w:r>
            <w:r>
              <w:rPr>
                <w:color w:val="FFFFFF"/>
                <w:sz w:val="16"/>
              </w:rPr>
              <w:t>Distinguish </w:t>
            </w:r>
            <w:r>
              <w:rPr>
                <w:color w:val="FFFFFF"/>
                <w:w w:val="110"/>
                <w:sz w:val="16"/>
              </w:rPr>
              <w:t>ADEM from First Attack of MS</w:t>
            </w:r>
          </w:p>
        </w:tc>
      </w:tr>
      <w:tr>
        <w:trPr>
          <w:trHeight w:val="257" w:hRule="atLeast"/>
        </w:trPr>
        <w:tc>
          <w:tcPr>
            <w:tcW w:w="1670" w:type="dxa"/>
            <w:gridSpan w:val="2"/>
            <w:tcBorders>
              <w:bottom w:val="single" w:sz="4" w:space="0" w:color="231F20"/>
            </w:tcBorders>
            <w:shd w:val="clear" w:color="auto" w:fill="E8F5F1"/>
          </w:tcPr>
          <w:p>
            <w:pPr>
              <w:pStyle w:val="TableParagraph"/>
              <w:rPr>
                <w:rFonts w:ascii="Times New Roman"/>
                <w:sz w:val="14"/>
              </w:rPr>
            </w:pPr>
          </w:p>
        </w:tc>
        <w:tc>
          <w:tcPr>
            <w:tcW w:w="1519" w:type="dxa"/>
            <w:tcBorders>
              <w:bottom w:val="single" w:sz="4" w:space="0" w:color="231F20"/>
            </w:tcBorders>
            <w:shd w:val="clear" w:color="auto" w:fill="E8F5F1"/>
          </w:tcPr>
          <w:p>
            <w:pPr>
              <w:pStyle w:val="TableParagraph"/>
              <w:spacing w:before="47"/>
              <w:ind w:left="567"/>
              <w:rPr>
                <w:b/>
                <w:sz w:val="15"/>
              </w:rPr>
            </w:pPr>
            <w:r>
              <w:rPr>
                <w:b/>
                <w:color w:val="231F20"/>
                <w:spacing w:val="-4"/>
                <w:w w:val="120"/>
                <w:sz w:val="15"/>
              </w:rPr>
              <w:t>ADEM</w:t>
            </w:r>
          </w:p>
        </w:tc>
        <w:tc>
          <w:tcPr>
            <w:tcW w:w="1514" w:type="dxa"/>
            <w:tcBorders>
              <w:bottom w:val="single" w:sz="4" w:space="0" w:color="231F20"/>
            </w:tcBorders>
            <w:shd w:val="clear" w:color="auto" w:fill="E8F5F1"/>
          </w:tcPr>
          <w:p>
            <w:pPr>
              <w:pStyle w:val="TableParagraph"/>
              <w:spacing w:before="47"/>
              <w:ind w:left="118"/>
              <w:jc w:val="center"/>
              <w:rPr>
                <w:b/>
                <w:sz w:val="15"/>
              </w:rPr>
            </w:pPr>
            <w:r>
              <w:rPr>
                <w:b/>
                <w:color w:val="231F20"/>
                <w:spacing w:val="-5"/>
                <w:w w:val="120"/>
                <w:sz w:val="15"/>
              </w:rPr>
              <w:t>MS</w:t>
            </w:r>
          </w:p>
        </w:tc>
      </w:tr>
      <w:tr>
        <w:trPr>
          <w:trHeight w:val="259" w:hRule="atLeast"/>
        </w:trPr>
        <w:tc>
          <w:tcPr>
            <w:tcW w:w="1670"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5"/>
                <w:w w:val="110"/>
                <w:sz w:val="15"/>
              </w:rPr>
              <w:t>Age</w:t>
            </w:r>
          </w:p>
        </w:tc>
        <w:tc>
          <w:tcPr>
            <w:tcW w:w="1519" w:type="dxa"/>
            <w:tcBorders>
              <w:top w:val="single" w:sz="4" w:space="0" w:color="231F20"/>
              <w:bottom w:val="single" w:sz="4" w:space="0" w:color="FFFFFF"/>
            </w:tcBorders>
            <w:shd w:val="clear" w:color="auto" w:fill="E8F5F1"/>
          </w:tcPr>
          <w:p>
            <w:pPr>
              <w:pStyle w:val="TableParagraph"/>
              <w:spacing w:before="47"/>
              <w:ind w:left="196"/>
              <w:rPr>
                <w:sz w:val="15"/>
              </w:rPr>
            </w:pPr>
            <w:r>
              <w:rPr>
                <w:rFonts w:ascii="Cambria"/>
                <w:color w:val="231F20"/>
                <w:sz w:val="15"/>
              </w:rPr>
              <w:t>&lt;</w:t>
            </w:r>
            <w:r>
              <w:rPr>
                <w:color w:val="231F20"/>
                <w:sz w:val="15"/>
              </w:rPr>
              <w:t>10</w:t>
            </w:r>
            <w:r>
              <w:rPr>
                <w:color w:val="231F20"/>
                <w:spacing w:val="-4"/>
                <w:sz w:val="15"/>
              </w:rPr>
              <w:t> </w:t>
            </w:r>
            <w:r>
              <w:rPr>
                <w:color w:val="231F20"/>
                <w:spacing w:val="-5"/>
                <w:sz w:val="15"/>
              </w:rPr>
              <w:t>yr</w:t>
            </w:r>
          </w:p>
        </w:tc>
        <w:tc>
          <w:tcPr>
            <w:tcW w:w="1514" w:type="dxa"/>
            <w:tcBorders>
              <w:top w:val="single" w:sz="4" w:space="0" w:color="231F20"/>
              <w:bottom w:val="single" w:sz="4" w:space="0" w:color="FFFFFF"/>
            </w:tcBorders>
            <w:shd w:val="clear" w:color="auto" w:fill="E8F5F1"/>
          </w:tcPr>
          <w:p>
            <w:pPr>
              <w:pStyle w:val="TableParagraph"/>
              <w:spacing w:before="47"/>
              <w:ind w:left="194"/>
              <w:rPr>
                <w:sz w:val="15"/>
              </w:rPr>
            </w:pPr>
            <w:r>
              <w:rPr>
                <w:rFonts w:ascii="Cambria"/>
                <w:color w:val="231F20"/>
                <w:sz w:val="15"/>
              </w:rPr>
              <w:t>&gt;</w:t>
            </w:r>
            <w:r>
              <w:rPr>
                <w:color w:val="231F20"/>
                <w:sz w:val="15"/>
              </w:rPr>
              <w:t>10</w:t>
            </w:r>
            <w:r>
              <w:rPr>
                <w:color w:val="231F20"/>
                <w:spacing w:val="-4"/>
                <w:sz w:val="15"/>
              </w:rPr>
              <w:t> </w:t>
            </w:r>
            <w:r>
              <w:rPr>
                <w:color w:val="231F20"/>
                <w:spacing w:val="-5"/>
                <w:sz w:val="15"/>
              </w:rPr>
              <w:t>yr</w:t>
            </w:r>
          </w:p>
        </w:tc>
      </w:tr>
      <w:tr>
        <w:trPr>
          <w:trHeight w:val="254"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Stupor/coma</w:t>
            </w:r>
          </w:p>
        </w:tc>
        <w:tc>
          <w:tcPr>
            <w:tcW w:w="1519" w:type="dxa"/>
            <w:tcBorders>
              <w:top w:val="single" w:sz="4" w:space="0" w:color="FFFFFF"/>
              <w:bottom w:val="single" w:sz="4" w:space="0" w:color="FFFFFF"/>
            </w:tcBorders>
            <w:shd w:val="clear" w:color="auto" w:fill="E8F5F1"/>
          </w:tcPr>
          <w:p>
            <w:pPr>
              <w:pStyle w:val="TableParagraph"/>
              <w:spacing w:before="42"/>
              <w:ind w:left="195"/>
              <w:rPr>
                <w:rFonts w:ascii="Cambria"/>
                <w:sz w:val="15"/>
              </w:rPr>
            </w:pPr>
            <w:r>
              <w:rPr>
                <w:rFonts w:ascii="Cambria"/>
                <w:color w:val="231F20"/>
                <w:spacing w:val="-10"/>
                <w:sz w:val="15"/>
              </w:rPr>
              <w:t>+</w:t>
            </w:r>
          </w:p>
        </w:tc>
        <w:tc>
          <w:tcPr>
            <w:tcW w:w="1514" w:type="dxa"/>
            <w:tcBorders>
              <w:top w:val="single" w:sz="4" w:space="0" w:color="FFFFFF"/>
              <w:bottom w:val="single" w:sz="4" w:space="0" w:color="FFFFFF"/>
            </w:tcBorders>
            <w:shd w:val="clear" w:color="auto" w:fill="E8F5F1"/>
          </w:tcPr>
          <w:p>
            <w:pPr>
              <w:pStyle w:val="TableParagraph"/>
              <w:spacing w:before="42"/>
              <w:ind w:left="193"/>
              <w:rPr>
                <w:rFonts w:ascii="Cambria" w:hAnsi="Cambria"/>
                <w:sz w:val="15"/>
              </w:rPr>
            </w:pPr>
            <w:r>
              <w:rPr>
                <w:rFonts w:ascii="Cambria" w:hAnsi="Cambria"/>
                <w:color w:val="231F20"/>
                <w:spacing w:val="-10"/>
                <w:w w:val="110"/>
                <w:sz w:val="15"/>
              </w:rPr>
              <w:t>–</w:t>
            </w:r>
          </w:p>
        </w:tc>
      </w:tr>
      <w:tr>
        <w:trPr>
          <w:trHeight w:val="254"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Encephalopathy</w:t>
            </w:r>
          </w:p>
        </w:tc>
        <w:tc>
          <w:tcPr>
            <w:tcW w:w="1519" w:type="dxa"/>
            <w:tcBorders>
              <w:top w:val="single" w:sz="4" w:space="0" w:color="FFFFFF"/>
              <w:bottom w:val="single" w:sz="4" w:space="0" w:color="FFFFFF"/>
            </w:tcBorders>
            <w:shd w:val="clear" w:color="auto" w:fill="E8F5F1"/>
          </w:tcPr>
          <w:p>
            <w:pPr>
              <w:pStyle w:val="TableParagraph"/>
              <w:spacing w:before="42"/>
              <w:ind w:left="195"/>
              <w:rPr>
                <w:rFonts w:ascii="Cambria"/>
                <w:sz w:val="15"/>
              </w:rPr>
            </w:pPr>
            <w:r>
              <w:rPr>
                <w:rFonts w:ascii="Cambria"/>
                <w:color w:val="231F20"/>
                <w:spacing w:val="-10"/>
                <w:sz w:val="15"/>
              </w:rPr>
              <w:t>+</w:t>
            </w:r>
          </w:p>
        </w:tc>
        <w:tc>
          <w:tcPr>
            <w:tcW w:w="1514" w:type="dxa"/>
            <w:tcBorders>
              <w:top w:val="single" w:sz="4" w:space="0" w:color="FFFFFF"/>
              <w:bottom w:val="single" w:sz="4" w:space="0" w:color="FFFFFF"/>
            </w:tcBorders>
            <w:shd w:val="clear" w:color="auto" w:fill="E8F5F1"/>
          </w:tcPr>
          <w:p>
            <w:pPr>
              <w:pStyle w:val="TableParagraph"/>
              <w:spacing w:before="42"/>
              <w:ind w:left="193"/>
              <w:rPr>
                <w:rFonts w:ascii="Cambria" w:hAnsi="Cambria"/>
                <w:sz w:val="15"/>
              </w:rPr>
            </w:pPr>
            <w:r>
              <w:rPr>
                <w:rFonts w:ascii="Cambria" w:hAnsi="Cambria"/>
                <w:color w:val="231F20"/>
                <w:spacing w:val="-10"/>
                <w:w w:val="110"/>
                <w:sz w:val="15"/>
              </w:rPr>
              <w:t>–</w:t>
            </w:r>
          </w:p>
        </w:tc>
      </w:tr>
      <w:tr>
        <w:trPr>
          <w:trHeight w:val="254"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Fever/vomiting</w:t>
            </w:r>
          </w:p>
        </w:tc>
        <w:tc>
          <w:tcPr>
            <w:tcW w:w="1519" w:type="dxa"/>
            <w:tcBorders>
              <w:top w:val="single" w:sz="4" w:space="0" w:color="FFFFFF"/>
              <w:bottom w:val="single" w:sz="4" w:space="0" w:color="FFFFFF"/>
            </w:tcBorders>
            <w:shd w:val="clear" w:color="auto" w:fill="E8F5F1"/>
          </w:tcPr>
          <w:p>
            <w:pPr>
              <w:pStyle w:val="TableParagraph"/>
              <w:spacing w:before="42"/>
              <w:ind w:left="195"/>
              <w:rPr>
                <w:rFonts w:ascii="Cambria"/>
                <w:sz w:val="15"/>
              </w:rPr>
            </w:pPr>
            <w:r>
              <w:rPr>
                <w:rFonts w:ascii="Cambria"/>
                <w:color w:val="231F20"/>
                <w:spacing w:val="-10"/>
                <w:sz w:val="15"/>
              </w:rPr>
              <w:t>+</w:t>
            </w:r>
          </w:p>
        </w:tc>
        <w:tc>
          <w:tcPr>
            <w:tcW w:w="1514" w:type="dxa"/>
            <w:tcBorders>
              <w:top w:val="single" w:sz="4" w:space="0" w:color="FFFFFF"/>
              <w:bottom w:val="single" w:sz="4" w:space="0" w:color="FFFFFF"/>
            </w:tcBorders>
            <w:shd w:val="clear" w:color="auto" w:fill="E8F5F1"/>
          </w:tcPr>
          <w:p>
            <w:pPr>
              <w:pStyle w:val="TableParagraph"/>
              <w:spacing w:before="42"/>
              <w:ind w:left="193"/>
              <w:rPr>
                <w:rFonts w:ascii="Cambria" w:hAnsi="Cambria"/>
                <w:sz w:val="15"/>
              </w:rPr>
            </w:pPr>
            <w:r>
              <w:rPr>
                <w:rFonts w:ascii="Cambria" w:hAnsi="Cambria"/>
                <w:color w:val="231F20"/>
                <w:spacing w:val="-10"/>
                <w:w w:val="110"/>
                <w:sz w:val="15"/>
              </w:rPr>
              <w:t>–</w:t>
            </w:r>
          </w:p>
        </w:tc>
      </w:tr>
      <w:tr>
        <w:trPr>
          <w:trHeight w:val="252"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Family</w:t>
            </w:r>
            <w:r>
              <w:rPr>
                <w:color w:val="231F20"/>
                <w:spacing w:val="-5"/>
                <w:sz w:val="15"/>
              </w:rPr>
              <w:t> </w:t>
            </w:r>
            <w:r>
              <w:rPr>
                <w:color w:val="231F20"/>
                <w:spacing w:val="-2"/>
                <w:sz w:val="15"/>
              </w:rPr>
              <w:t>history</w:t>
            </w:r>
          </w:p>
        </w:tc>
        <w:tc>
          <w:tcPr>
            <w:tcW w:w="1519" w:type="dxa"/>
            <w:tcBorders>
              <w:top w:val="single" w:sz="4" w:space="0" w:color="FFFFFF"/>
              <w:bottom w:val="single" w:sz="4" w:space="0" w:color="FFFFFF"/>
            </w:tcBorders>
            <w:shd w:val="clear" w:color="auto" w:fill="E8F5F1"/>
          </w:tcPr>
          <w:p>
            <w:pPr>
              <w:pStyle w:val="TableParagraph"/>
              <w:spacing w:before="42"/>
              <w:ind w:left="195"/>
              <w:rPr>
                <w:sz w:val="15"/>
              </w:rPr>
            </w:pPr>
            <w:r>
              <w:rPr>
                <w:color w:val="231F20"/>
                <w:spacing w:val="-5"/>
                <w:w w:val="115"/>
                <w:sz w:val="15"/>
              </w:rPr>
              <w:t>No</w:t>
            </w:r>
          </w:p>
        </w:tc>
        <w:tc>
          <w:tcPr>
            <w:tcW w:w="1514" w:type="dxa"/>
            <w:tcBorders>
              <w:top w:val="single" w:sz="4" w:space="0" w:color="FFFFFF"/>
              <w:bottom w:val="single" w:sz="4" w:space="0" w:color="FFFFFF"/>
            </w:tcBorders>
            <w:shd w:val="clear" w:color="auto" w:fill="E8F5F1"/>
          </w:tcPr>
          <w:p>
            <w:pPr>
              <w:pStyle w:val="TableParagraph"/>
              <w:spacing w:before="42"/>
              <w:ind w:left="193"/>
              <w:rPr>
                <w:sz w:val="15"/>
              </w:rPr>
            </w:pPr>
            <w:r>
              <w:rPr>
                <w:color w:val="231F20"/>
                <w:spacing w:val="-5"/>
                <w:w w:val="110"/>
                <w:sz w:val="15"/>
              </w:rPr>
              <w:t>20%</w:t>
            </w:r>
          </w:p>
        </w:tc>
      </w:tr>
      <w:tr>
        <w:trPr>
          <w:trHeight w:val="254"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z w:val="15"/>
              </w:rPr>
              <w:t>Sensory</w:t>
            </w:r>
            <w:r>
              <w:rPr>
                <w:color w:val="231F20"/>
                <w:spacing w:val="11"/>
                <w:sz w:val="15"/>
              </w:rPr>
              <w:t> </w:t>
            </w:r>
            <w:r>
              <w:rPr>
                <w:color w:val="231F20"/>
                <w:spacing w:val="-2"/>
                <w:sz w:val="15"/>
              </w:rPr>
              <w:t>complaints</w:t>
            </w:r>
          </w:p>
        </w:tc>
        <w:tc>
          <w:tcPr>
            <w:tcW w:w="1519" w:type="dxa"/>
            <w:tcBorders>
              <w:top w:val="single" w:sz="4" w:space="0" w:color="FFFFFF"/>
              <w:bottom w:val="single" w:sz="4" w:space="0" w:color="FFFFFF"/>
            </w:tcBorders>
            <w:shd w:val="clear" w:color="auto" w:fill="E8F5F1"/>
          </w:tcPr>
          <w:p>
            <w:pPr>
              <w:pStyle w:val="TableParagraph"/>
              <w:spacing w:before="42"/>
              <w:ind w:left="195"/>
              <w:rPr>
                <w:rFonts w:ascii="Cambria"/>
                <w:sz w:val="15"/>
              </w:rPr>
            </w:pPr>
            <w:r>
              <w:rPr>
                <w:rFonts w:ascii="Cambria"/>
                <w:color w:val="231F20"/>
                <w:spacing w:val="-10"/>
                <w:sz w:val="15"/>
              </w:rPr>
              <w:t>+</w:t>
            </w:r>
          </w:p>
        </w:tc>
        <w:tc>
          <w:tcPr>
            <w:tcW w:w="1514" w:type="dxa"/>
            <w:tcBorders>
              <w:top w:val="single" w:sz="4" w:space="0" w:color="FFFFFF"/>
              <w:bottom w:val="single" w:sz="4" w:space="0" w:color="FFFFFF"/>
            </w:tcBorders>
            <w:shd w:val="clear" w:color="auto" w:fill="E8F5F1"/>
          </w:tcPr>
          <w:p>
            <w:pPr>
              <w:pStyle w:val="TableParagraph"/>
              <w:spacing w:before="42"/>
              <w:ind w:left="193"/>
              <w:rPr>
                <w:rFonts w:ascii="Cambria"/>
                <w:sz w:val="15"/>
              </w:rPr>
            </w:pPr>
            <w:r>
              <w:rPr>
                <w:rFonts w:ascii="Cambria"/>
                <w:color w:val="231F20"/>
                <w:spacing w:val="-10"/>
                <w:sz w:val="15"/>
              </w:rPr>
              <w:t>+</w:t>
            </w:r>
          </w:p>
        </w:tc>
      </w:tr>
      <w:tr>
        <w:trPr>
          <w:trHeight w:val="252"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z w:val="15"/>
              </w:rPr>
              <w:t>Optic</w:t>
            </w:r>
            <w:r>
              <w:rPr>
                <w:color w:val="231F20"/>
                <w:spacing w:val="11"/>
                <w:sz w:val="15"/>
              </w:rPr>
              <w:t> </w:t>
            </w:r>
            <w:r>
              <w:rPr>
                <w:color w:val="231F20"/>
                <w:spacing w:val="-2"/>
                <w:sz w:val="15"/>
              </w:rPr>
              <w:t>neuritis</w:t>
            </w:r>
          </w:p>
        </w:tc>
        <w:tc>
          <w:tcPr>
            <w:tcW w:w="1519" w:type="dxa"/>
            <w:tcBorders>
              <w:top w:val="single" w:sz="4" w:space="0" w:color="FFFFFF"/>
              <w:bottom w:val="single" w:sz="4" w:space="0" w:color="FFFFFF"/>
            </w:tcBorders>
            <w:shd w:val="clear" w:color="auto" w:fill="E8F5F1"/>
          </w:tcPr>
          <w:p>
            <w:pPr>
              <w:pStyle w:val="TableParagraph"/>
              <w:spacing w:before="42"/>
              <w:ind w:left="195"/>
              <w:rPr>
                <w:sz w:val="15"/>
              </w:rPr>
            </w:pPr>
            <w:r>
              <w:rPr>
                <w:color w:val="231F20"/>
                <w:spacing w:val="-2"/>
                <w:sz w:val="15"/>
              </w:rPr>
              <w:t>Bilateral</w:t>
            </w:r>
          </w:p>
        </w:tc>
        <w:tc>
          <w:tcPr>
            <w:tcW w:w="1514" w:type="dxa"/>
            <w:tcBorders>
              <w:top w:val="single" w:sz="4" w:space="0" w:color="FFFFFF"/>
              <w:bottom w:val="single" w:sz="4" w:space="0" w:color="FFFFFF"/>
            </w:tcBorders>
            <w:shd w:val="clear" w:color="auto" w:fill="E8F5F1"/>
          </w:tcPr>
          <w:p>
            <w:pPr>
              <w:pStyle w:val="TableParagraph"/>
              <w:spacing w:before="42"/>
              <w:ind w:left="193"/>
              <w:rPr>
                <w:sz w:val="15"/>
              </w:rPr>
            </w:pPr>
            <w:r>
              <w:rPr>
                <w:color w:val="231F20"/>
                <w:spacing w:val="-2"/>
                <w:sz w:val="15"/>
              </w:rPr>
              <w:t>Unilateral</w:t>
            </w:r>
          </w:p>
        </w:tc>
      </w:tr>
      <w:tr>
        <w:trPr>
          <w:trHeight w:val="252"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pacing w:val="-2"/>
                <w:sz w:val="15"/>
              </w:rPr>
              <w:t>Manifestations</w:t>
            </w:r>
          </w:p>
        </w:tc>
        <w:tc>
          <w:tcPr>
            <w:tcW w:w="1519" w:type="dxa"/>
            <w:tcBorders>
              <w:top w:val="single" w:sz="4" w:space="0" w:color="FFFFFF"/>
              <w:bottom w:val="single" w:sz="4" w:space="0" w:color="FFFFFF"/>
            </w:tcBorders>
            <w:shd w:val="clear" w:color="auto" w:fill="E8F5F1"/>
          </w:tcPr>
          <w:p>
            <w:pPr>
              <w:pStyle w:val="TableParagraph"/>
              <w:spacing w:before="42"/>
              <w:ind w:left="195"/>
              <w:rPr>
                <w:sz w:val="15"/>
              </w:rPr>
            </w:pPr>
            <w:r>
              <w:rPr>
                <w:color w:val="231F20"/>
                <w:spacing w:val="-2"/>
                <w:sz w:val="15"/>
              </w:rPr>
              <w:t>Polysymptomatic</w:t>
            </w:r>
          </w:p>
        </w:tc>
        <w:tc>
          <w:tcPr>
            <w:tcW w:w="1514" w:type="dxa"/>
            <w:tcBorders>
              <w:top w:val="single" w:sz="4" w:space="0" w:color="FFFFFF"/>
              <w:bottom w:val="single" w:sz="4" w:space="0" w:color="FFFFFF"/>
            </w:tcBorders>
            <w:shd w:val="clear" w:color="auto" w:fill="E8F5F1"/>
          </w:tcPr>
          <w:p>
            <w:pPr>
              <w:pStyle w:val="TableParagraph"/>
              <w:spacing w:before="42"/>
              <w:ind w:left="193"/>
              <w:rPr>
                <w:sz w:val="15"/>
              </w:rPr>
            </w:pPr>
            <w:r>
              <w:rPr>
                <w:color w:val="231F20"/>
                <w:spacing w:val="-2"/>
                <w:sz w:val="15"/>
              </w:rPr>
              <w:t>Monosymptomatic</w:t>
            </w:r>
          </w:p>
        </w:tc>
      </w:tr>
      <w:tr>
        <w:trPr>
          <w:trHeight w:val="420"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pacing w:val="-5"/>
                <w:w w:val="110"/>
                <w:sz w:val="15"/>
              </w:rPr>
              <w:t>CSF</w:t>
            </w:r>
          </w:p>
        </w:tc>
        <w:tc>
          <w:tcPr>
            <w:tcW w:w="1519" w:type="dxa"/>
            <w:tcBorders>
              <w:top w:val="single" w:sz="4" w:space="0" w:color="FFFFFF"/>
              <w:bottom w:val="single" w:sz="4" w:space="0" w:color="FFFFFF"/>
            </w:tcBorders>
            <w:shd w:val="clear" w:color="auto" w:fill="E8F5F1"/>
          </w:tcPr>
          <w:p>
            <w:pPr>
              <w:pStyle w:val="TableParagraph"/>
              <w:spacing w:line="230" w:lineRule="auto" w:before="47"/>
              <w:ind w:left="306" w:hanging="112"/>
              <w:rPr>
                <w:sz w:val="15"/>
              </w:rPr>
            </w:pPr>
            <w:r>
              <w:rPr>
                <w:color w:val="231F20"/>
                <w:spacing w:val="-2"/>
                <w:sz w:val="15"/>
              </w:rPr>
              <w:t>Pleocytosis </w:t>
            </w:r>
            <w:r>
              <w:rPr>
                <w:color w:val="231F20"/>
                <w:spacing w:val="-4"/>
                <w:sz w:val="15"/>
              </w:rPr>
              <w:t>(lymphocytosis)</w:t>
            </w:r>
          </w:p>
        </w:tc>
        <w:tc>
          <w:tcPr>
            <w:tcW w:w="1514" w:type="dxa"/>
            <w:tcBorders>
              <w:top w:val="single" w:sz="4" w:space="0" w:color="FFFFFF"/>
              <w:bottom w:val="single" w:sz="4" w:space="0" w:color="FFFFFF"/>
            </w:tcBorders>
            <w:shd w:val="clear" w:color="auto" w:fill="E8F5F1"/>
          </w:tcPr>
          <w:p>
            <w:pPr>
              <w:pStyle w:val="TableParagraph"/>
              <w:spacing w:before="42"/>
              <w:ind w:left="192"/>
              <w:rPr>
                <w:sz w:val="15"/>
              </w:rPr>
            </w:pPr>
            <w:r>
              <w:rPr>
                <w:color w:val="231F20"/>
                <w:sz w:val="15"/>
              </w:rPr>
              <w:t>Oligoclonal</w:t>
            </w:r>
            <w:r>
              <w:rPr>
                <w:color w:val="231F20"/>
                <w:spacing w:val="15"/>
                <w:sz w:val="15"/>
              </w:rPr>
              <w:t> </w:t>
            </w:r>
            <w:r>
              <w:rPr>
                <w:color w:val="231F20"/>
                <w:spacing w:val="-2"/>
                <w:sz w:val="15"/>
              </w:rPr>
              <w:t>bands</w:t>
            </w:r>
          </w:p>
        </w:tc>
      </w:tr>
      <w:tr>
        <w:trPr>
          <w:trHeight w:val="254" w:hRule="atLeast"/>
        </w:trPr>
        <w:tc>
          <w:tcPr>
            <w:tcW w:w="1670" w:type="dxa"/>
            <w:gridSpan w:val="2"/>
            <w:tcBorders>
              <w:top w:val="single" w:sz="4" w:space="0" w:color="FFFFFF"/>
              <w:bottom w:val="single" w:sz="4" w:space="0" w:color="FFFFFF"/>
            </w:tcBorders>
            <w:shd w:val="clear" w:color="auto" w:fill="E8F5F1"/>
          </w:tcPr>
          <w:p>
            <w:pPr>
              <w:pStyle w:val="TableParagraph"/>
              <w:spacing w:before="42"/>
              <w:ind w:left="73"/>
              <w:rPr>
                <w:sz w:val="15"/>
              </w:rPr>
            </w:pPr>
            <w:r>
              <w:rPr>
                <w:color w:val="231F20"/>
                <w:sz w:val="15"/>
              </w:rPr>
              <w:t>Response</w:t>
            </w:r>
            <w:r>
              <w:rPr>
                <w:color w:val="231F20"/>
                <w:spacing w:val="11"/>
                <w:sz w:val="15"/>
              </w:rPr>
              <w:t> </w:t>
            </w:r>
            <w:r>
              <w:rPr>
                <w:color w:val="231F20"/>
                <w:sz w:val="15"/>
              </w:rPr>
              <w:t>to</w:t>
            </w:r>
            <w:r>
              <w:rPr>
                <w:color w:val="231F20"/>
                <w:spacing w:val="12"/>
                <w:sz w:val="15"/>
              </w:rPr>
              <w:t> </w:t>
            </w:r>
            <w:r>
              <w:rPr>
                <w:color w:val="231F20"/>
                <w:spacing w:val="-2"/>
                <w:sz w:val="15"/>
              </w:rPr>
              <w:t>steroids</w:t>
            </w:r>
          </w:p>
        </w:tc>
        <w:tc>
          <w:tcPr>
            <w:tcW w:w="1519" w:type="dxa"/>
            <w:tcBorders>
              <w:top w:val="single" w:sz="4" w:space="0" w:color="FFFFFF"/>
              <w:bottom w:val="single" w:sz="4" w:space="0" w:color="FFFFFF"/>
            </w:tcBorders>
            <w:shd w:val="clear" w:color="auto" w:fill="E8F5F1"/>
          </w:tcPr>
          <w:p>
            <w:pPr>
              <w:pStyle w:val="TableParagraph"/>
              <w:spacing w:before="42"/>
              <w:ind w:left="194"/>
              <w:rPr>
                <w:rFonts w:ascii="Cambria"/>
                <w:sz w:val="15"/>
              </w:rPr>
            </w:pPr>
            <w:r>
              <w:rPr>
                <w:rFonts w:ascii="Cambria"/>
                <w:color w:val="231F20"/>
                <w:spacing w:val="-10"/>
                <w:sz w:val="15"/>
              </w:rPr>
              <w:t>+</w:t>
            </w:r>
          </w:p>
        </w:tc>
        <w:tc>
          <w:tcPr>
            <w:tcW w:w="1514" w:type="dxa"/>
            <w:tcBorders>
              <w:top w:val="single" w:sz="4" w:space="0" w:color="FFFFFF"/>
              <w:bottom w:val="single" w:sz="4" w:space="0" w:color="FFFFFF"/>
            </w:tcBorders>
            <w:shd w:val="clear" w:color="auto" w:fill="E8F5F1"/>
          </w:tcPr>
          <w:p>
            <w:pPr>
              <w:pStyle w:val="TableParagraph"/>
              <w:spacing w:before="42"/>
              <w:ind w:left="192"/>
              <w:rPr>
                <w:rFonts w:ascii="Cambria"/>
                <w:sz w:val="15"/>
              </w:rPr>
            </w:pPr>
            <w:r>
              <w:rPr>
                <w:rFonts w:ascii="Cambria"/>
                <w:color w:val="231F20"/>
                <w:spacing w:val="-10"/>
                <w:sz w:val="15"/>
              </w:rPr>
              <w:t>+</w:t>
            </w:r>
          </w:p>
        </w:tc>
      </w:tr>
      <w:tr>
        <w:trPr>
          <w:trHeight w:val="247" w:hRule="atLeast"/>
        </w:trPr>
        <w:tc>
          <w:tcPr>
            <w:tcW w:w="1670" w:type="dxa"/>
            <w:gridSpan w:val="2"/>
            <w:tcBorders>
              <w:top w:val="single" w:sz="4" w:space="0" w:color="FFFFFF"/>
              <w:bottom w:val="single" w:sz="8" w:space="0" w:color="231F20"/>
            </w:tcBorders>
            <w:shd w:val="clear" w:color="auto" w:fill="E8F5F1"/>
          </w:tcPr>
          <w:p>
            <w:pPr>
              <w:pStyle w:val="TableParagraph"/>
              <w:spacing w:before="42"/>
              <w:ind w:left="73"/>
              <w:rPr>
                <w:sz w:val="15"/>
              </w:rPr>
            </w:pPr>
            <w:r>
              <w:rPr>
                <w:color w:val="231F20"/>
                <w:sz w:val="15"/>
              </w:rPr>
              <w:t>Follow-</w:t>
            </w:r>
            <w:r>
              <w:rPr>
                <w:color w:val="231F20"/>
                <w:spacing w:val="-5"/>
                <w:sz w:val="15"/>
              </w:rPr>
              <w:t>up</w:t>
            </w:r>
          </w:p>
        </w:tc>
        <w:tc>
          <w:tcPr>
            <w:tcW w:w="1519" w:type="dxa"/>
            <w:tcBorders>
              <w:top w:val="single" w:sz="4" w:space="0" w:color="FFFFFF"/>
              <w:bottom w:val="single" w:sz="8" w:space="0" w:color="231F20"/>
            </w:tcBorders>
            <w:shd w:val="clear" w:color="auto" w:fill="E8F5F1"/>
          </w:tcPr>
          <w:p>
            <w:pPr>
              <w:pStyle w:val="TableParagraph"/>
              <w:spacing w:before="42"/>
              <w:ind w:left="194"/>
              <w:rPr>
                <w:sz w:val="15"/>
              </w:rPr>
            </w:pPr>
            <w:r>
              <w:rPr>
                <w:color w:val="231F20"/>
                <w:w w:val="105"/>
                <w:sz w:val="15"/>
              </w:rPr>
              <w:t>No</w:t>
            </w:r>
            <w:r>
              <w:rPr>
                <w:color w:val="231F20"/>
                <w:spacing w:val="-2"/>
                <w:w w:val="105"/>
                <w:sz w:val="15"/>
              </w:rPr>
              <w:t> </w:t>
            </w:r>
            <w:r>
              <w:rPr>
                <w:color w:val="231F20"/>
                <w:w w:val="105"/>
                <w:sz w:val="15"/>
              </w:rPr>
              <w:t>new</w:t>
            </w:r>
            <w:r>
              <w:rPr>
                <w:color w:val="231F20"/>
                <w:spacing w:val="-1"/>
                <w:w w:val="105"/>
                <w:sz w:val="15"/>
              </w:rPr>
              <w:t> </w:t>
            </w:r>
            <w:r>
              <w:rPr>
                <w:color w:val="231F20"/>
                <w:spacing w:val="-2"/>
                <w:w w:val="105"/>
                <w:sz w:val="15"/>
              </w:rPr>
              <w:t>lesions</w:t>
            </w:r>
          </w:p>
        </w:tc>
        <w:tc>
          <w:tcPr>
            <w:tcW w:w="1514" w:type="dxa"/>
            <w:tcBorders>
              <w:top w:val="single" w:sz="4" w:space="0" w:color="FFFFFF"/>
              <w:bottom w:val="single" w:sz="8" w:space="0" w:color="231F20"/>
            </w:tcBorders>
            <w:shd w:val="clear" w:color="auto" w:fill="E8F5F1"/>
          </w:tcPr>
          <w:p>
            <w:pPr>
              <w:pStyle w:val="TableParagraph"/>
              <w:spacing w:before="42"/>
              <w:ind w:left="192"/>
              <w:rPr>
                <w:sz w:val="15"/>
              </w:rPr>
            </w:pPr>
            <w:r>
              <w:rPr>
                <w:color w:val="231F20"/>
                <w:w w:val="105"/>
                <w:sz w:val="15"/>
              </w:rPr>
              <w:t>New</w:t>
            </w:r>
            <w:r>
              <w:rPr>
                <w:color w:val="231F20"/>
                <w:spacing w:val="-2"/>
                <w:w w:val="105"/>
                <w:sz w:val="15"/>
              </w:rPr>
              <w:t> lesions</w:t>
            </w:r>
          </w:p>
        </w:tc>
      </w:tr>
    </w:tbl>
    <w:p>
      <w:pPr>
        <w:pStyle w:val="BodyText"/>
        <w:spacing w:before="84"/>
        <w:ind w:left="530" w:right="5931"/>
      </w:pPr>
      <w:r>
        <w:rPr/>
        <mc:AlternateContent>
          <mc:Choice Requires="wps">
            <w:drawing>
              <wp:anchor distT="0" distB="0" distL="0" distR="0" allowOverlap="1" layoutInCell="1" locked="0" behindDoc="0" simplePos="0" relativeHeight="15773184">
                <wp:simplePos x="0" y="0"/>
                <wp:positionH relativeFrom="page">
                  <wp:posOffset>3740150</wp:posOffset>
                </wp:positionH>
                <wp:positionV relativeFrom="paragraph">
                  <wp:posOffset>-5242401</wp:posOffset>
                </wp:positionV>
                <wp:extent cx="3062605" cy="6593839"/>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3062605" cy="659383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6</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Etiologic</w:t>
                                  </w:r>
                                  <w:r>
                                    <w:rPr>
                                      <w:color w:val="FFFFFF"/>
                                      <w:spacing w:val="-5"/>
                                      <w:w w:val="105"/>
                                      <w:sz w:val="16"/>
                                    </w:rPr>
                                    <w:t> </w:t>
                                  </w:r>
                                  <w:r>
                                    <w:rPr>
                                      <w:color w:val="FFFFFF"/>
                                      <w:w w:val="105"/>
                                      <w:sz w:val="16"/>
                                    </w:rPr>
                                    <w:t>Classification</w:t>
                                  </w:r>
                                  <w:r>
                                    <w:rPr>
                                      <w:color w:val="FFFFFF"/>
                                      <w:spacing w:val="-5"/>
                                      <w:w w:val="105"/>
                                      <w:sz w:val="16"/>
                                    </w:rPr>
                                    <w:t> </w:t>
                                  </w:r>
                                  <w:r>
                                    <w:rPr>
                                      <w:color w:val="FFFFFF"/>
                                      <w:w w:val="105"/>
                                      <w:sz w:val="16"/>
                                    </w:rPr>
                                    <w:t>of</w:t>
                                  </w:r>
                                  <w:r>
                                    <w:rPr>
                                      <w:color w:val="FFFFFF"/>
                                      <w:spacing w:val="-5"/>
                                      <w:w w:val="105"/>
                                      <w:sz w:val="16"/>
                                    </w:rPr>
                                    <w:t> </w:t>
                                  </w:r>
                                  <w:r>
                                    <w:rPr>
                                      <w:color w:val="FFFFFF"/>
                                      <w:w w:val="105"/>
                                      <w:sz w:val="16"/>
                                    </w:rPr>
                                    <w:t>Choreic </w:t>
                                  </w:r>
                                  <w:r>
                                    <w:rPr>
                                      <w:color w:val="FFFFFF"/>
                                      <w:spacing w:val="-2"/>
                                      <w:w w:val="105"/>
                                      <w:sz w:val="16"/>
                                    </w:rPr>
                                    <w:t>Syndromes</w:t>
                                  </w:r>
                                </w:p>
                              </w:tc>
                            </w:tr>
                            <w:tr>
                              <w:trPr>
                                <w:trHeight w:val="2779"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GENETIC</w:t>
                                  </w:r>
                                  <w:r>
                                    <w:rPr>
                                      <w:color w:val="231F20"/>
                                      <w:spacing w:val="8"/>
                                      <w:w w:val="115"/>
                                      <w:sz w:val="15"/>
                                    </w:rPr>
                                    <w:t> </w:t>
                                  </w:r>
                                  <w:r>
                                    <w:rPr>
                                      <w:color w:val="231F20"/>
                                      <w:spacing w:val="-2"/>
                                      <w:w w:val="115"/>
                                      <w:sz w:val="15"/>
                                    </w:rPr>
                                    <w:t>CHOREAS</w:t>
                                  </w:r>
                                </w:p>
                                <w:p>
                                  <w:pPr>
                                    <w:pStyle w:val="TableParagraph"/>
                                    <w:spacing w:line="169" w:lineRule="exact"/>
                                    <w:ind w:left="74"/>
                                    <w:rPr>
                                      <w:sz w:val="15"/>
                                    </w:rPr>
                                  </w:pPr>
                                  <w:r>
                                    <w:rPr>
                                      <w:color w:val="231F20"/>
                                      <w:sz w:val="15"/>
                                    </w:rPr>
                                    <w:t>Huntington</w:t>
                                  </w:r>
                                  <w:r>
                                    <w:rPr>
                                      <w:color w:val="231F20"/>
                                      <w:spacing w:val="-11"/>
                                      <w:sz w:val="15"/>
                                    </w:rPr>
                                    <w:t> </w:t>
                                  </w:r>
                                  <w:r>
                                    <w:rPr>
                                      <w:color w:val="231F20"/>
                                      <w:sz w:val="15"/>
                                    </w:rPr>
                                    <w:t>disease</w:t>
                                  </w:r>
                                  <w:r>
                                    <w:rPr>
                                      <w:color w:val="231F20"/>
                                      <w:spacing w:val="-10"/>
                                      <w:sz w:val="15"/>
                                    </w:rPr>
                                    <w:t> </w:t>
                                  </w:r>
                                  <w:r>
                                    <w:rPr>
                                      <w:color w:val="231F20"/>
                                      <w:sz w:val="15"/>
                                    </w:rPr>
                                    <w:t>(rarely</w:t>
                                  </w:r>
                                  <w:r>
                                    <w:rPr>
                                      <w:color w:val="231F20"/>
                                      <w:spacing w:val="-10"/>
                                      <w:sz w:val="15"/>
                                    </w:rPr>
                                    <w:t> </w:t>
                                  </w:r>
                                  <w:r>
                                    <w:rPr>
                                      <w:color w:val="231F20"/>
                                      <w:sz w:val="15"/>
                                    </w:rPr>
                                    <w:t>presents</w:t>
                                  </w:r>
                                  <w:r>
                                    <w:rPr>
                                      <w:color w:val="231F20"/>
                                      <w:spacing w:val="-10"/>
                                      <w:sz w:val="15"/>
                                    </w:rPr>
                                    <w:t> </w:t>
                                  </w:r>
                                  <w:r>
                                    <w:rPr>
                                      <w:color w:val="231F20"/>
                                      <w:sz w:val="15"/>
                                    </w:rPr>
                                    <w:t>with</w:t>
                                  </w:r>
                                  <w:r>
                                    <w:rPr>
                                      <w:color w:val="231F20"/>
                                      <w:spacing w:val="-10"/>
                                      <w:sz w:val="15"/>
                                    </w:rPr>
                                    <w:t> </w:t>
                                  </w:r>
                                  <w:r>
                                    <w:rPr>
                                      <w:color w:val="231F20"/>
                                      <w:sz w:val="15"/>
                                    </w:rPr>
                                    <w:t>chorea</w:t>
                                  </w:r>
                                  <w:r>
                                    <w:rPr>
                                      <w:color w:val="231F20"/>
                                      <w:spacing w:val="-10"/>
                                      <w:sz w:val="15"/>
                                    </w:rPr>
                                    <w:t> </w:t>
                                  </w:r>
                                  <w:r>
                                    <w:rPr>
                                      <w:color w:val="231F20"/>
                                      <w:sz w:val="15"/>
                                    </w:rPr>
                                    <w:t>in</w:t>
                                  </w:r>
                                  <w:r>
                                    <w:rPr>
                                      <w:color w:val="231F20"/>
                                      <w:spacing w:val="-10"/>
                                      <w:sz w:val="15"/>
                                    </w:rPr>
                                    <w:t> </w:t>
                                  </w:r>
                                  <w:r>
                                    <w:rPr>
                                      <w:color w:val="231F20"/>
                                      <w:spacing w:val="-2"/>
                                      <w:sz w:val="15"/>
                                    </w:rPr>
                                    <w:t>childhood)</w:t>
                                  </w:r>
                                </w:p>
                                <w:p>
                                  <w:pPr>
                                    <w:pStyle w:val="TableParagraph"/>
                                    <w:spacing w:line="230" w:lineRule="auto" w:before="2"/>
                                    <w:ind w:left="186" w:hanging="112"/>
                                    <w:rPr>
                                      <w:sz w:val="15"/>
                                    </w:rPr>
                                  </w:pPr>
                                  <w:r>
                                    <w:rPr>
                                      <w:color w:val="231F20"/>
                                      <w:sz w:val="15"/>
                                    </w:rPr>
                                    <w:t>Huntington disease–like 2 and other Huntington disease </w:t>
                                  </w:r>
                                  <w:r>
                                    <w:rPr>
                                      <w:color w:val="231F20"/>
                                      <w:sz w:val="15"/>
                                    </w:rPr>
                                    <w:t>–like </w:t>
                                  </w:r>
                                  <w:r>
                                    <w:rPr>
                                      <w:color w:val="231F20"/>
                                      <w:spacing w:val="-2"/>
                                      <w:sz w:val="15"/>
                                    </w:rPr>
                                    <w:t>syndromes</w:t>
                                  </w:r>
                                </w:p>
                                <w:p>
                                  <w:pPr>
                                    <w:pStyle w:val="TableParagraph"/>
                                    <w:spacing w:line="230" w:lineRule="auto" w:before="2"/>
                                    <w:ind w:left="74" w:right="1221"/>
                                    <w:rPr>
                                      <w:sz w:val="15"/>
                                    </w:rPr>
                                  </w:pPr>
                                  <w:r>
                                    <w:rPr>
                                      <w:color w:val="231F20"/>
                                      <w:spacing w:val="-2"/>
                                      <w:sz w:val="15"/>
                                    </w:rPr>
                                    <w:t>Dentatorubropallidoluysian </w:t>
                                  </w:r>
                                  <w:r>
                                    <w:rPr>
                                      <w:color w:val="231F20"/>
                                      <w:spacing w:val="-2"/>
                                      <w:sz w:val="15"/>
                                    </w:rPr>
                                    <w:t>atrophy Neuroacanthocytosis</w:t>
                                  </w:r>
                                </w:p>
                                <w:p>
                                  <w:pPr>
                                    <w:pStyle w:val="TableParagraph"/>
                                    <w:spacing w:line="230" w:lineRule="auto" w:before="1"/>
                                    <w:ind w:left="74" w:right="1221"/>
                                    <w:rPr>
                                      <w:sz w:val="15"/>
                                    </w:rPr>
                                  </w:pPr>
                                  <w:r>
                                    <w:rPr>
                                      <w:color w:val="231F20"/>
                                      <w:sz w:val="15"/>
                                    </w:rPr>
                                    <w:t>Leigh</w:t>
                                  </w:r>
                                  <w:r>
                                    <w:rPr>
                                      <w:color w:val="231F20"/>
                                      <w:spacing w:val="-5"/>
                                      <w:sz w:val="15"/>
                                    </w:rPr>
                                    <w:t> </w:t>
                                  </w:r>
                                  <w:r>
                                    <w:rPr>
                                      <w:color w:val="231F20"/>
                                      <w:sz w:val="15"/>
                                    </w:rPr>
                                    <w:t>syndrome</w:t>
                                  </w:r>
                                  <w:r>
                                    <w:rPr>
                                      <w:color w:val="231F20"/>
                                      <w:spacing w:val="-5"/>
                                      <w:sz w:val="15"/>
                                    </w:rPr>
                                    <w:t> </w:t>
                                  </w:r>
                                  <w:r>
                                    <w:rPr>
                                      <w:color w:val="231F20"/>
                                      <w:sz w:val="15"/>
                                    </w:rPr>
                                    <w:t>and</w:t>
                                  </w:r>
                                  <w:r>
                                    <w:rPr>
                                      <w:color w:val="231F20"/>
                                      <w:spacing w:val="-5"/>
                                      <w:sz w:val="15"/>
                                    </w:rPr>
                                    <w:t> </w:t>
                                  </w:r>
                                  <w:r>
                                    <w:rPr>
                                      <w:color w:val="231F20"/>
                                      <w:sz w:val="15"/>
                                    </w:rPr>
                                    <w:t>other</w:t>
                                  </w:r>
                                  <w:r>
                                    <w:rPr>
                                      <w:color w:val="231F20"/>
                                      <w:spacing w:val="-5"/>
                                      <w:sz w:val="15"/>
                                    </w:rPr>
                                    <w:t> </w:t>
                                  </w:r>
                                  <w:r>
                                    <w:rPr>
                                      <w:color w:val="231F20"/>
                                      <w:sz w:val="15"/>
                                    </w:rPr>
                                    <w:t>mitochondrial</w:t>
                                  </w:r>
                                  <w:r>
                                    <w:rPr>
                                      <w:color w:val="231F20"/>
                                      <w:spacing w:val="-5"/>
                                      <w:sz w:val="15"/>
                                    </w:rPr>
                                    <w:t> </w:t>
                                  </w:r>
                                  <w:r>
                                    <w:rPr>
                                      <w:color w:val="231F20"/>
                                      <w:sz w:val="15"/>
                                    </w:rPr>
                                    <w:t>disorders Ataxia telangiectasia</w:t>
                                  </w:r>
                                </w:p>
                                <w:p>
                                  <w:pPr>
                                    <w:pStyle w:val="TableParagraph"/>
                                    <w:spacing w:line="230" w:lineRule="auto" w:before="2"/>
                                    <w:ind w:left="74" w:right="2936"/>
                                    <w:rPr>
                                      <w:sz w:val="15"/>
                                    </w:rPr>
                                  </w:pPr>
                                  <w:r>
                                    <w:rPr>
                                      <w:color w:val="231F20"/>
                                      <w:sz w:val="15"/>
                                    </w:rPr>
                                    <w:t>Benign</w:t>
                                  </w:r>
                                  <w:r>
                                    <w:rPr>
                                      <w:color w:val="231F20"/>
                                      <w:spacing w:val="-12"/>
                                      <w:sz w:val="15"/>
                                    </w:rPr>
                                    <w:t> </w:t>
                                  </w:r>
                                  <w:r>
                                    <w:rPr>
                                      <w:color w:val="231F20"/>
                                      <w:sz w:val="15"/>
                                    </w:rPr>
                                    <w:t>hereditary</w:t>
                                  </w:r>
                                  <w:r>
                                    <w:rPr>
                                      <w:color w:val="231F20"/>
                                      <w:spacing w:val="-11"/>
                                      <w:sz w:val="15"/>
                                    </w:rPr>
                                    <w:t> </w:t>
                                  </w:r>
                                  <w:r>
                                    <w:rPr>
                                      <w:color w:val="231F20"/>
                                      <w:sz w:val="15"/>
                                    </w:rPr>
                                    <w:t>chorea Wilson disease</w:t>
                                  </w:r>
                                </w:p>
                                <w:p>
                                  <w:pPr>
                                    <w:pStyle w:val="TableParagraph"/>
                                    <w:spacing w:line="167" w:lineRule="exact"/>
                                    <w:ind w:left="74"/>
                                    <w:rPr>
                                      <w:sz w:val="15"/>
                                    </w:rPr>
                                  </w:pPr>
                                  <w:r>
                                    <w:rPr>
                                      <w:color w:val="231F20"/>
                                      <w:spacing w:val="-2"/>
                                      <w:sz w:val="15"/>
                                    </w:rPr>
                                    <w:t>Spinocerebellar</w:t>
                                  </w:r>
                                  <w:r>
                                    <w:rPr>
                                      <w:color w:val="231F20"/>
                                      <w:spacing w:val="-4"/>
                                      <w:sz w:val="15"/>
                                    </w:rPr>
                                    <w:t> </w:t>
                                  </w:r>
                                  <w:r>
                                    <w:rPr>
                                      <w:color w:val="231F20"/>
                                      <w:spacing w:val="-2"/>
                                      <w:sz w:val="15"/>
                                    </w:rPr>
                                    <w:t>ataxia</w:t>
                                  </w:r>
                                  <w:r>
                                    <w:rPr>
                                      <w:color w:val="231F20"/>
                                      <w:spacing w:val="-3"/>
                                      <w:sz w:val="15"/>
                                    </w:rPr>
                                    <w:t> </w:t>
                                  </w:r>
                                  <w:r>
                                    <w:rPr>
                                      <w:color w:val="231F20"/>
                                      <w:spacing w:val="-2"/>
                                      <w:sz w:val="15"/>
                                    </w:rPr>
                                    <w:t>(types</w:t>
                                  </w:r>
                                  <w:r>
                                    <w:rPr>
                                      <w:color w:val="231F20"/>
                                      <w:spacing w:val="-4"/>
                                      <w:sz w:val="15"/>
                                    </w:rPr>
                                    <w:t> </w:t>
                                  </w:r>
                                  <w:r>
                                    <w:rPr>
                                      <w:color w:val="231F20"/>
                                      <w:spacing w:val="-2"/>
                                      <w:sz w:val="15"/>
                                    </w:rPr>
                                    <w:t>2,</w:t>
                                  </w:r>
                                  <w:r>
                                    <w:rPr>
                                      <w:color w:val="231F20"/>
                                      <w:spacing w:val="-3"/>
                                      <w:sz w:val="15"/>
                                    </w:rPr>
                                    <w:t> </w:t>
                                  </w:r>
                                  <w:r>
                                    <w:rPr>
                                      <w:color w:val="231F20"/>
                                      <w:spacing w:val="-2"/>
                                      <w:sz w:val="15"/>
                                    </w:rPr>
                                    <w:t>3,</w:t>
                                  </w:r>
                                  <w:r>
                                    <w:rPr>
                                      <w:color w:val="231F20"/>
                                      <w:spacing w:val="-3"/>
                                      <w:sz w:val="15"/>
                                    </w:rPr>
                                    <w:t> </w:t>
                                  </w:r>
                                  <w:r>
                                    <w:rPr>
                                      <w:color w:val="231F20"/>
                                      <w:spacing w:val="-2"/>
                                      <w:sz w:val="15"/>
                                    </w:rPr>
                                    <w:t>or</w:t>
                                  </w:r>
                                  <w:r>
                                    <w:rPr>
                                      <w:color w:val="231F20"/>
                                      <w:spacing w:val="-4"/>
                                      <w:sz w:val="15"/>
                                    </w:rPr>
                                    <w:t> </w:t>
                                  </w:r>
                                  <w:r>
                                    <w:rPr>
                                      <w:color w:val="231F20"/>
                                      <w:spacing w:val="-5"/>
                                      <w:sz w:val="15"/>
                                    </w:rPr>
                                    <w:t>17)</w:t>
                                  </w:r>
                                </w:p>
                                <w:p>
                                  <w:pPr>
                                    <w:pStyle w:val="TableParagraph"/>
                                    <w:spacing w:line="230" w:lineRule="auto" w:before="2"/>
                                    <w:ind w:left="74" w:right="181"/>
                                    <w:rPr>
                                      <w:sz w:val="15"/>
                                    </w:rPr>
                                  </w:pPr>
                                  <w:r>
                                    <w:rPr>
                                      <w:color w:val="231F20"/>
                                      <w:sz w:val="15"/>
                                    </w:rPr>
                                    <w:t>Pantothene</w:t>
                                  </w:r>
                                  <w:r>
                                    <w:rPr>
                                      <w:color w:val="231F20"/>
                                      <w:spacing w:val="-1"/>
                                      <w:sz w:val="15"/>
                                    </w:rPr>
                                    <w:t> </w:t>
                                  </w:r>
                                  <w:r>
                                    <w:rPr>
                                      <w:color w:val="231F20"/>
                                      <w:sz w:val="15"/>
                                    </w:rPr>
                                    <w:t>kinase–associated</w:t>
                                  </w:r>
                                  <w:r>
                                    <w:rPr>
                                      <w:color w:val="231F20"/>
                                      <w:spacing w:val="-1"/>
                                      <w:sz w:val="15"/>
                                    </w:rPr>
                                    <w:t> </w:t>
                                  </w:r>
                                  <w:r>
                                    <w:rPr>
                                      <w:color w:val="231F20"/>
                                      <w:sz w:val="15"/>
                                    </w:rPr>
                                    <w:t>neurodegeneration</w:t>
                                  </w:r>
                                  <w:r>
                                    <w:rPr>
                                      <w:color w:val="231F20"/>
                                      <w:spacing w:val="-1"/>
                                      <w:sz w:val="15"/>
                                    </w:rPr>
                                    <w:t> </w:t>
                                  </w:r>
                                  <w:r>
                                    <w:rPr>
                                      <w:color w:val="231F20"/>
                                      <w:sz w:val="15"/>
                                    </w:rPr>
                                    <w:t>(PKAN) Paroxysmal kinesigenic choreoathetosis</w:t>
                                  </w:r>
                                </w:p>
                                <w:p>
                                  <w:pPr>
                                    <w:pStyle w:val="TableParagraph"/>
                                    <w:spacing w:line="230" w:lineRule="auto" w:before="2"/>
                                    <w:ind w:left="74" w:right="1733"/>
                                    <w:rPr>
                                      <w:sz w:val="15"/>
                                    </w:rPr>
                                  </w:pPr>
                                  <w:r>
                                    <w:rPr>
                                      <w:color w:val="231F20"/>
                                      <w:sz w:val="15"/>
                                    </w:rPr>
                                    <w:t>Paroxysmal</w:t>
                                  </w:r>
                                  <w:r>
                                    <w:rPr>
                                      <w:color w:val="231F20"/>
                                      <w:spacing w:val="-12"/>
                                      <w:sz w:val="15"/>
                                    </w:rPr>
                                    <w:t> </w:t>
                                  </w:r>
                                  <w:r>
                                    <w:rPr>
                                      <w:color w:val="231F20"/>
                                      <w:sz w:val="15"/>
                                    </w:rPr>
                                    <w:t>nonkinesigenic</w:t>
                                  </w:r>
                                  <w:r>
                                    <w:rPr>
                                      <w:color w:val="231F20"/>
                                      <w:spacing w:val="-11"/>
                                      <w:sz w:val="15"/>
                                    </w:rPr>
                                    <w:t> </w:t>
                                  </w:r>
                                  <w:r>
                                    <w:rPr>
                                      <w:color w:val="231F20"/>
                                      <w:sz w:val="15"/>
                                    </w:rPr>
                                    <w:t>choreoathetosis Fahr syndrome</w:t>
                                  </w:r>
                                </w:p>
                                <w:p>
                                  <w:pPr>
                                    <w:pStyle w:val="TableParagraph"/>
                                    <w:spacing w:line="170" w:lineRule="exact"/>
                                    <w:ind w:left="74"/>
                                    <w:rPr>
                                      <w:sz w:val="15"/>
                                    </w:rPr>
                                  </w:pPr>
                                  <w:r>
                                    <w:rPr>
                                      <w:color w:val="231F20"/>
                                      <w:spacing w:val="-2"/>
                                      <w:sz w:val="15"/>
                                    </w:rPr>
                                    <w:t>Rett</w:t>
                                  </w:r>
                                  <w:r>
                                    <w:rPr>
                                      <w:color w:val="231F20"/>
                                      <w:spacing w:val="-9"/>
                                      <w:sz w:val="15"/>
                                    </w:rPr>
                                    <w:t> </w:t>
                                  </w:r>
                                  <w:r>
                                    <w:rPr>
                                      <w:color w:val="231F20"/>
                                      <w:spacing w:val="-2"/>
                                      <w:sz w:val="15"/>
                                    </w:rPr>
                                    <w:t>syndrome</w:t>
                                  </w:r>
                                </w:p>
                              </w:tc>
                            </w:tr>
                            <w:tr>
                              <w:trPr>
                                <w:trHeight w:val="1430"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STRUCTURAL</w:t>
                                  </w:r>
                                  <w:r>
                                    <w:rPr>
                                      <w:color w:val="231F20"/>
                                      <w:spacing w:val="-3"/>
                                      <w:w w:val="110"/>
                                      <w:sz w:val="15"/>
                                    </w:rPr>
                                    <w:t> </w:t>
                                  </w:r>
                                  <w:r>
                                    <w:rPr>
                                      <w:color w:val="231F20"/>
                                      <w:w w:val="110"/>
                                      <w:sz w:val="15"/>
                                    </w:rPr>
                                    <w:t>BASAL-GANGLIA</w:t>
                                  </w:r>
                                  <w:r>
                                    <w:rPr>
                                      <w:color w:val="231F20"/>
                                      <w:spacing w:val="-3"/>
                                      <w:w w:val="110"/>
                                      <w:sz w:val="15"/>
                                    </w:rPr>
                                    <w:t> </w:t>
                                  </w:r>
                                  <w:r>
                                    <w:rPr>
                                      <w:color w:val="231F20"/>
                                      <w:spacing w:val="-2"/>
                                      <w:w w:val="110"/>
                                      <w:sz w:val="15"/>
                                    </w:rPr>
                                    <w:t>LESIONS</w:t>
                                  </w:r>
                                </w:p>
                                <w:p>
                                  <w:pPr>
                                    <w:pStyle w:val="TableParagraph"/>
                                    <w:spacing w:line="169" w:lineRule="exact"/>
                                    <w:ind w:left="74"/>
                                    <w:rPr>
                                      <w:sz w:val="15"/>
                                    </w:rPr>
                                  </w:pPr>
                                  <w:r>
                                    <w:rPr>
                                      <w:color w:val="231F20"/>
                                      <w:spacing w:val="-2"/>
                                      <w:sz w:val="15"/>
                                    </w:rPr>
                                    <w:t>Vascular</w:t>
                                  </w:r>
                                  <w:r>
                                    <w:rPr>
                                      <w:color w:val="231F20"/>
                                      <w:sz w:val="15"/>
                                    </w:rPr>
                                    <w:t> </w:t>
                                  </w:r>
                                  <w:r>
                                    <w:rPr>
                                      <w:color w:val="231F20"/>
                                      <w:spacing w:val="-2"/>
                                      <w:sz w:val="15"/>
                                    </w:rPr>
                                    <w:t>chorea</w:t>
                                  </w:r>
                                  <w:r>
                                    <w:rPr>
                                      <w:color w:val="231F20"/>
                                      <w:sz w:val="15"/>
                                    </w:rPr>
                                    <w:t> </w:t>
                                  </w:r>
                                  <w:r>
                                    <w:rPr>
                                      <w:color w:val="231F20"/>
                                      <w:spacing w:val="-2"/>
                                      <w:sz w:val="15"/>
                                    </w:rPr>
                                    <w:t>in</w:t>
                                  </w:r>
                                  <w:r>
                                    <w:rPr>
                                      <w:color w:val="231F20"/>
                                      <w:spacing w:val="1"/>
                                      <w:sz w:val="15"/>
                                    </w:rPr>
                                    <w:t> </w:t>
                                  </w:r>
                                  <w:r>
                                    <w:rPr>
                                      <w:color w:val="231F20"/>
                                      <w:spacing w:val="-2"/>
                                      <w:sz w:val="15"/>
                                    </w:rPr>
                                    <w:t>stroke,</w:t>
                                  </w:r>
                                  <w:r>
                                    <w:rPr>
                                      <w:color w:val="231F20"/>
                                      <w:sz w:val="15"/>
                                    </w:rPr>
                                    <w:t> </w:t>
                                  </w:r>
                                  <w:r>
                                    <w:rPr>
                                      <w:color w:val="231F20"/>
                                      <w:spacing w:val="-2"/>
                                      <w:sz w:val="15"/>
                                    </w:rPr>
                                    <w:t>vasculitis,</w:t>
                                  </w:r>
                                  <w:r>
                                    <w:rPr>
                                      <w:color w:val="231F20"/>
                                      <w:sz w:val="15"/>
                                    </w:rPr>
                                    <w:t> </w:t>
                                  </w:r>
                                  <w:r>
                                    <w:rPr>
                                      <w:color w:val="231F20"/>
                                      <w:spacing w:val="-2"/>
                                      <w:sz w:val="15"/>
                                    </w:rPr>
                                    <w:t>Moyamoya</w:t>
                                  </w:r>
                                  <w:r>
                                    <w:rPr>
                                      <w:color w:val="231F20"/>
                                      <w:spacing w:val="1"/>
                                      <w:sz w:val="15"/>
                                    </w:rPr>
                                    <w:t> </w:t>
                                  </w:r>
                                  <w:r>
                                    <w:rPr>
                                      <w:color w:val="231F20"/>
                                      <w:spacing w:val="-2"/>
                                      <w:sz w:val="15"/>
                                    </w:rPr>
                                    <w:t>disease</w:t>
                                  </w:r>
                                </w:p>
                                <w:p>
                                  <w:pPr>
                                    <w:pStyle w:val="TableParagraph"/>
                                    <w:spacing w:line="230" w:lineRule="auto" w:before="2"/>
                                    <w:ind w:left="186" w:right="108" w:hanging="112"/>
                                    <w:rPr>
                                      <w:sz w:val="15"/>
                                    </w:rPr>
                                  </w:pPr>
                                  <w:r>
                                    <w:rPr>
                                      <w:color w:val="231F20"/>
                                      <w:spacing w:val="-2"/>
                                      <w:sz w:val="15"/>
                                    </w:rPr>
                                    <w:t>Mass lesions (e.g., central nervous system lymphoma, </w:t>
                                  </w:r>
                                  <w:r>
                                    <w:rPr>
                                      <w:color w:val="231F20"/>
                                      <w:spacing w:val="-2"/>
                                      <w:sz w:val="15"/>
                                    </w:rPr>
                                    <w:t>metastatic </w:t>
                                  </w:r>
                                  <w:r>
                                    <w:rPr>
                                      <w:color w:val="231F20"/>
                                      <w:sz w:val="15"/>
                                    </w:rPr>
                                    <w:t>brain tumors)</w:t>
                                  </w:r>
                                </w:p>
                                <w:p>
                                  <w:pPr>
                                    <w:pStyle w:val="TableParagraph"/>
                                    <w:spacing w:line="230" w:lineRule="auto" w:before="2"/>
                                    <w:ind w:left="74" w:right="1733"/>
                                    <w:rPr>
                                      <w:sz w:val="15"/>
                                    </w:rPr>
                                  </w:pPr>
                                  <w:r>
                                    <w:rPr>
                                      <w:color w:val="231F20"/>
                                      <w:sz w:val="15"/>
                                    </w:rPr>
                                    <w:t>Joubert</w:t>
                                  </w:r>
                                  <w:r>
                                    <w:rPr>
                                      <w:color w:val="231F20"/>
                                      <w:spacing w:val="-7"/>
                                      <w:sz w:val="15"/>
                                    </w:rPr>
                                    <w:t> </w:t>
                                  </w:r>
                                  <w:r>
                                    <w:rPr>
                                      <w:color w:val="231F20"/>
                                      <w:sz w:val="15"/>
                                    </w:rPr>
                                    <w:t>syndrome</w:t>
                                  </w:r>
                                  <w:r>
                                    <w:rPr>
                                      <w:color w:val="231F20"/>
                                      <w:spacing w:val="-7"/>
                                      <w:sz w:val="15"/>
                                    </w:rPr>
                                    <w:t> </w:t>
                                  </w:r>
                                  <w:r>
                                    <w:rPr>
                                      <w:color w:val="231F20"/>
                                      <w:sz w:val="15"/>
                                    </w:rPr>
                                    <w:t>and</w:t>
                                  </w:r>
                                  <w:r>
                                    <w:rPr>
                                      <w:color w:val="231F20"/>
                                      <w:spacing w:val="-7"/>
                                      <w:sz w:val="15"/>
                                    </w:rPr>
                                    <w:t> </w:t>
                                  </w:r>
                                  <w:r>
                                    <w:rPr>
                                      <w:color w:val="231F20"/>
                                      <w:sz w:val="15"/>
                                    </w:rPr>
                                    <w:t>related</w:t>
                                  </w:r>
                                  <w:r>
                                    <w:rPr>
                                      <w:color w:val="231F20"/>
                                      <w:spacing w:val="-7"/>
                                      <w:sz w:val="15"/>
                                    </w:rPr>
                                    <w:t> </w:t>
                                  </w:r>
                                  <w:r>
                                    <w:rPr>
                                      <w:color w:val="231F20"/>
                                      <w:sz w:val="15"/>
                                    </w:rPr>
                                    <w:t>disorders Multiple sclerosis plaques</w:t>
                                  </w:r>
                                </w:p>
                                <w:p>
                                  <w:pPr>
                                    <w:pStyle w:val="TableParagraph"/>
                                    <w:spacing w:line="230" w:lineRule="auto" w:before="1"/>
                                    <w:ind w:left="74" w:right="2667"/>
                                    <w:rPr>
                                      <w:sz w:val="15"/>
                                    </w:rPr>
                                  </w:pPr>
                                  <w:r>
                                    <w:rPr>
                                      <w:color w:val="231F20"/>
                                      <w:spacing w:val="-2"/>
                                      <w:sz w:val="15"/>
                                    </w:rPr>
                                    <w:t>Extrapontine</w:t>
                                  </w:r>
                                  <w:r>
                                    <w:rPr>
                                      <w:color w:val="231F20"/>
                                      <w:spacing w:val="-10"/>
                                      <w:sz w:val="15"/>
                                    </w:rPr>
                                    <w:t> </w:t>
                                  </w:r>
                                  <w:r>
                                    <w:rPr>
                                      <w:color w:val="231F20"/>
                                      <w:spacing w:val="-2"/>
                                      <w:sz w:val="15"/>
                                    </w:rPr>
                                    <w:t>myelinolysis Trauma</w:t>
                                  </w:r>
                                </w:p>
                              </w:tc>
                            </w:tr>
                            <w:tr>
                              <w:trPr>
                                <w:trHeight w:val="159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PARAINFECTIOUS</w:t>
                                  </w:r>
                                  <w:r>
                                    <w:rPr>
                                      <w:color w:val="231F20"/>
                                      <w:spacing w:val="-6"/>
                                      <w:w w:val="115"/>
                                      <w:sz w:val="15"/>
                                    </w:rPr>
                                    <w:t> </w:t>
                                  </w:r>
                                  <w:r>
                                    <w:rPr>
                                      <w:color w:val="231F20"/>
                                      <w:w w:val="115"/>
                                      <w:sz w:val="15"/>
                                    </w:rPr>
                                    <w:t>AND</w:t>
                                  </w:r>
                                  <w:r>
                                    <w:rPr>
                                      <w:color w:val="231F20"/>
                                      <w:spacing w:val="-6"/>
                                      <w:w w:val="115"/>
                                      <w:sz w:val="15"/>
                                    </w:rPr>
                                    <w:t> </w:t>
                                  </w:r>
                                  <w:r>
                                    <w:rPr>
                                      <w:color w:val="231F20"/>
                                      <w:w w:val="115"/>
                                      <w:sz w:val="15"/>
                                    </w:rPr>
                                    <w:t>AUTOIMMUNE</w:t>
                                  </w:r>
                                  <w:r>
                                    <w:rPr>
                                      <w:color w:val="231F20"/>
                                      <w:spacing w:val="-5"/>
                                      <w:w w:val="115"/>
                                      <w:sz w:val="15"/>
                                    </w:rPr>
                                    <w:t> </w:t>
                                  </w:r>
                                  <w:r>
                                    <w:rPr>
                                      <w:color w:val="231F20"/>
                                      <w:spacing w:val="-2"/>
                                      <w:w w:val="115"/>
                                      <w:sz w:val="15"/>
                                    </w:rPr>
                                    <w:t>DISORDERS</w:t>
                                  </w:r>
                                </w:p>
                                <w:p>
                                  <w:pPr>
                                    <w:pStyle w:val="TableParagraph"/>
                                    <w:spacing w:line="169" w:lineRule="exact"/>
                                    <w:ind w:left="74"/>
                                    <w:rPr>
                                      <w:sz w:val="15"/>
                                    </w:rPr>
                                  </w:pPr>
                                  <w:r>
                                    <w:rPr>
                                      <w:color w:val="231F20"/>
                                      <w:sz w:val="15"/>
                                    </w:rPr>
                                    <w:t>Sydenham</w:t>
                                  </w:r>
                                  <w:r>
                                    <w:rPr>
                                      <w:color w:val="231F20"/>
                                      <w:spacing w:val="14"/>
                                      <w:sz w:val="15"/>
                                    </w:rPr>
                                    <w:t> </w:t>
                                  </w:r>
                                  <w:r>
                                    <w:rPr>
                                      <w:color w:val="231F20"/>
                                      <w:spacing w:val="-2"/>
                                      <w:sz w:val="15"/>
                                    </w:rPr>
                                    <w:t>chorea</w:t>
                                  </w:r>
                                </w:p>
                                <w:p>
                                  <w:pPr>
                                    <w:pStyle w:val="TableParagraph"/>
                                    <w:spacing w:line="230" w:lineRule="auto" w:before="2"/>
                                    <w:ind w:left="74" w:right="2615"/>
                                    <w:rPr>
                                      <w:sz w:val="15"/>
                                    </w:rPr>
                                  </w:pPr>
                                  <w:r>
                                    <w:rPr>
                                      <w:color w:val="231F20"/>
                                      <w:sz w:val="15"/>
                                    </w:rPr>
                                    <w:t>Systemic</w:t>
                                  </w:r>
                                  <w:r>
                                    <w:rPr>
                                      <w:color w:val="231F20"/>
                                      <w:spacing w:val="-12"/>
                                      <w:sz w:val="15"/>
                                    </w:rPr>
                                    <w:t> </w:t>
                                  </w:r>
                                  <w:r>
                                    <w:rPr>
                                      <w:color w:val="231F20"/>
                                      <w:sz w:val="15"/>
                                    </w:rPr>
                                    <w:t>lupus</w:t>
                                  </w:r>
                                  <w:r>
                                    <w:rPr>
                                      <w:color w:val="231F20"/>
                                      <w:spacing w:val="-11"/>
                                      <w:sz w:val="15"/>
                                    </w:rPr>
                                    <w:t> </w:t>
                                  </w:r>
                                  <w:r>
                                    <w:rPr>
                                      <w:color w:val="231F20"/>
                                      <w:sz w:val="15"/>
                                    </w:rPr>
                                    <w:t>erythematosus Chorea gravidarum</w:t>
                                  </w:r>
                                </w:p>
                                <w:p>
                                  <w:pPr>
                                    <w:pStyle w:val="TableParagraph"/>
                                    <w:spacing w:line="230" w:lineRule="auto" w:before="2"/>
                                    <w:ind w:left="74" w:right="1476"/>
                                    <w:rPr>
                                      <w:sz w:val="15"/>
                                    </w:rPr>
                                  </w:pPr>
                                  <w:r>
                                    <w:rPr>
                                      <w:color w:val="231F20"/>
                                      <w:sz w:val="15"/>
                                    </w:rPr>
                                    <w:t>Antiphospholipid antibody syndrome </w:t>
                                  </w:r>
                                  <w:r>
                                    <w:rPr>
                                      <w:color w:val="231F20"/>
                                      <w:spacing w:val="-2"/>
                                      <w:sz w:val="15"/>
                                    </w:rPr>
                                    <w:t>Postinfectious</w:t>
                                  </w:r>
                                  <w:r>
                                    <w:rPr>
                                      <w:color w:val="231F20"/>
                                      <w:spacing w:val="-4"/>
                                      <w:sz w:val="15"/>
                                    </w:rPr>
                                    <w:t> </w:t>
                                  </w:r>
                                  <w:r>
                                    <w:rPr>
                                      <w:color w:val="231F20"/>
                                      <w:spacing w:val="-2"/>
                                      <w:sz w:val="15"/>
                                    </w:rPr>
                                    <w:t>or</w:t>
                                  </w:r>
                                  <w:r>
                                    <w:rPr>
                                      <w:color w:val="231F20"/>
                                      <w:spacing w:val="-4"/>
                                      <w:sz w:val="15"/>
                                    </w:rPr>
                                    <w:t> </w:t>
                                  </w:r>
                                  <w:r>
                                    <w:rPr>
                                      <w:color w:val="231F20"/>
                                      <w:spacing w:val="-2"/>
                                      <w:sz w:val="15"/>
                                    </w:rPr>
                                    <w:t>postvaccinal</w:t>
                                  </w:r>
                                  <w:r>
                                    <w:rPr>
                                      <w:color w:val="231F20"/>
                                      <w:spacing w:val="-4"/>
                                      <w:sz w:val="15"/>
                                    </w:rPr>
                                    <w:t> </w:t>
                                  </w:r>
                                  <w:r>
                                    <w:rPr>
                                      <w:color w:val="231F20"/>
                                      <w:spacing w:val="-2"/>
                                      <w:sz w:val="15"/>
                                    </w:rPr>
                                    <w:t>encephalitis</w:t>
                                  </w:r>
                                </w:p>
                                <w:p>
                                  <w:pPr>
                                    <w:pStyle w:val="TableParagraph"/>
                                    <w:spacing w:line="230" w:lineRule="auto" w:before="1"/>
                                    <w:ind w:left="186" w:hanging="112"/>
                                    <w:rPr>
                                      <w:sz w:val="15"/>
                                    </w:rPr>
                                  </w:pPr>
                                  <w:r>
                                    <w:rPr>
                                      <w:color w:val="231F20"/>
                                      <w:sz w:val="15"/>
                                    </w:rPr>
                                    <w:t>Anti–N-methyl-</w:t>
                                  </w:r>
                                  <w:r>
                                    <w:rPr>
                                      <w:color w:val="231F20"/>
                                      <w:sz w:val="12"/>
                                    </w:rPr>
                                    <w:t>D</w:t>
                                  </w:r>
                                  <w:r>
                                    <w:rPr>
                                      <w:color w:val="231F20"/>
                                      <w:sz w:val="15"/>
                                    </w:rPr>
                                    <w:t>-aspartate (NMDA)–receptor antibody </w:t>
                                  </w:r>
                                  <w:r>
                                    <w:rPr>
                                      <w:color w:val="231F20"/>
                                      <w:sz w:val="15"/>
                                    </w:rPr>
                                    <w:t>syndrome </w:t>
                                  </w:r>
                                  <w:r>
                                    <w:rPr>
                                      <w:color w:val="231F20"/>
                                      <w:w w:val="105"/>
                                      <w:sz w:val="15"/>
                                    </w:rPr>
                                    <w:t>(Limbic encephalitis)</w:t>
                                  </w:r>
                                </w:p>
                                <w:p>
                                  <w:pPr>
                                    <w:pStyle w:val="TableParagraph"/>
                                    <w:spacing w:line="170" w:lineRule="exact"/>
                                    <w:ind w:left="74"/>
                                    <w:rPr>
                                      <w:sz w:val="15"/>
                                    </w:rPr>
                                  </w:pPr>
                                  <w:r>
                                    <w:rPr>
                                      <w:color w:val="231F20"/>
                                      <w:spacing w:val="-2"/>
                                      <w:sz w:val="15"/>
                                    </w:rPr>
                                    <w:t>Paraneoplastic</w:t>
                                  </w:r>
                                  <w:r>
                                    <w:rPr>
                                      <w:color w:val="231F20"/>
                                      <w:spacing w:val="9"/>
                                      <w:sz w:val="15"/>
                                    </w:rPr>
                                    <w:t> </w:t>
                                  </w:r>
                                  <w:r>
                                    <w:rPr>
                                      <w:color w:val="231F20"/>
                                      <w:spacing w:val="-2"/>
                                      <w:sz w:val="15"/>
                                    </w:rPr>
                                    <w:t>choreas</w:t>
                                  </w:r>
                                </w:p>
                              </w:tc>
                            </w:tr>
                            <w:tr>
                              <w:trPr>
                                <w:trHeight w:val="159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INFECTIOUS</w:t>
                                  </w:r>
                                  <w:r>
                                    <w:rPr>
                                      <w:color w:val="231F20"/>
                                      <w:spacing w:val="12"/>
                                      <w:w w:val="115"/>
                                      <w:sz w:val="15"/>
                                    </w:rPr>
                                    <w:t> </w:t>
                                  </w:r>
                                  <w:r>
                                    <w:rPr>
                                      <w:color w:val="231F20"/>
                                      <w:spacing w:val="-2"/>
                                      <w:w w:val="115"/>
                                      <w:sz w:val="15"/>
                                    </w:rPr>
                                    <w:t>CHOREA</w:t>
                                  </w:r>
                                </w:p>
                                <w:p>
                                  <w:pPr>
                                    <w:pStyle w:val="TableParagraph"/>
                                    <w:spacing w:line="230" w:lineRule="auto" w:before="3"/>
                                    <w:ind w:left="74" w:right="3176"/>
                                    <w:rPr>
                                      <w:sz w:val="15"/>
                                    </w:rPr>
                                  </w:pPr>
                                  <w:r>
                                    <w:rPr>
                                      <w:color w:val="231F20"/>
                                      <w:sz w:val="15"/>
                                    </w:rPr>
                                    <w:t>HIV</w:t>
                                  </w:r>
                                  <w:r>
                                    <w:rPr>
                                      <w:color w:val="231F20"/>
                                      <w:spacing w:val="-12"/>
                                      <w:sz w:val="15"/>
                                    </w:rPr>
                                    <w:t> </w:t>
                                  </w:r>
                                  <w:r>
                                    <w:rPr>
                                      <w:color w:val="231F20"/>
                                      <w:sz w:val="15"/>
                                    </w:rPr>
                                    <w:t>encephalopathy </w:t>
                                  </w:r>
                                  <w:r>
                                    <w:rPr>
                                      <w:color w:val="231F20"/>
                                      <w:spacing w:val="-2"/>
                                      <w:sz w:val="15"/>
                                    </w:rPr>
                                    <w:t>Toxoplasmosis Cysticercosis Diphtheria</w:t>
                                  </w:r>
                                </w:p>
                                <w:p>
                                  <w:pPr>
                                    <w:pStyle w:val="TableParagraph"/>
                                    <w:spacing w:line="230" w:lineRule="auto" w:before="3"/>
                                    <w:ind w:left="74" w:right="2667"/>
                                    <w:rPr>
                                      <w:sz w:val="15"/>
                                    </w:rPr>
                                  </w:pPr>
                                  <w:r>
                                    <w:rPr>
                                      <w:color w:val="231F20"/>
                                      <w:spacing w:val="-2"/>
                                      <w:sz w:val="15"/>
                                    </w:rPr>
                                    <w:t>Bacterial</w:t>
                                  </w:r>
                                  <w:r>
                                    <w:rPr>
                                      <w:color w:val="231F20"/>
                                      <w:spacing w:val="-10"/>
                                      <w:sz w:val="15"/>
                                    </w:rPr>
                                    <w:t> </w:t>
                                  </w:r>
                                  <w:r>
                                    <w:rPr>
                                      <w:color w:val="231F20"/>
                                      <w:spacing w:val="-2"/>
                                      <w:sz w:val="15"/>
                                    </w:rPr>
                                    <w:t>endocarditis Neurosyphilis</w:t>
                                  </w:r>
                                </w:p>
                                <w:p>
                                  <w:pPr>
                                    <w:pStyle w:val="TableParagraph"/>
                                    <w:spacing w:line="167" w:lineRule="exact"/>
                                    <w:ind w:left="74"/>
                                    <w:rPr>
                                      <w:sz w:val="15"/>
                                    </w:rPr>
                                  </w:pPr>
                                  <w:r>
                                    <w:rPr>
                                      <w:color w:val="231F20"/>
                                      <w:spacing w:val="-2"/>
                                      <w:sz w:val="15"/>
                                    </w:rPr>
                                    <w:t>Scarlet</w:t>
                                  </w:r>
                                  <w:r>
                                    <w:rPr>
                                      <w:color w:val="231F20"/>
                                      <w:spacing w:val="-4"/>
                                      <w:sz w:val="15"/>
                                    </w:rPr>
                                    <w:t> </w:t>
                                  </w:r>
                                  <w:r>
                                    <w:rPr>
                                      <w:color w:val="231F20"/>
                                      <w:spacing w:val="-2"/>
                                      <w:sz w:val="15"/>
                                    </w:rPr>
                                    <w:t>fever</w:t>
                                  </w:r>
                                </w:p>
                                <w:p>
                                  <w:pPr>
                                    <w:pStyle w:val="TableParagraph"/>
                                    <w:spacing w:line="171" w:lineRule="exact"/>
                                    <w:ind w:left="74"/>
                                    <w:rPr>
                                      <w:sz w:val="15"/>
                                    </w:rPr>
                                  </w:pPr>
                                  <w:r>
                                    <w:rPr>
                                      <w:color w:val="231F20"/>
                                      <w:spacing w:val="-2"/>
                                      <w:sz w:val="15"/>
                                    </w:rPr>
                                    <w:t>Viral</w:t>
                                  </w:r>
                                  <w:r>
                                    <w:rPr>
                                      <w:color w:val="231F20"/>
                                      <w:spacing w:val="-5"/>
                                      <w:sz w:val="15"/>
                                    </w:rPr>
                                    <w:t> </w:t>
                                  </w:r>
                                  <w:r>
                                    <w:rPr>
                                      <w:color w:val="231F20"/>
                                      <w:spacing w:val="-2"/>
                                      <w:sz w:val="15"/>
                                    </w:rPr>
                                    <w:t>encephalitis</w:t>
                                  </w:r>
                                  <w:r>
                                    <w:rPr>
                                      <w:color w:val="231F20"/>
                                      <w:spacing w:val="-4"/>
                                      <w:sz w:val="15"/>
                                    </w:rPr>
                                    <w:t> </w:t>
                                  </w:r>
                                  <w:r>
                                    <w:rPr>
                                      <w:color w:val="231F20"/>
                                      <w:spacing w:val="-2"/>
                                      <w:sz w:val="15"/>
                                    </w:rPr>
                                    <w:t>(mumps,</w:t>
                                  </w:r>
                                  <w:r>
                                    <w:rPr>
                                      <w:color w:val="231F20"/>
                                      <w:spacing w:val="-4"/>
                                      <w:sz w:val="15"/>
                                    </w:rPr>
                                    <w:t> </w:t>
                                  </w:r>
                                  <w:r>
                                    <w:rPr>
                                      <w:color w:val="231F20"/>
                                      <w:spacing w:val="-2"/>
                                      <w:sz w:val="15"/>
                                    </w:rPr>
                                    <w:t>measles,</w:t>
                                  </w:r>
                                  <w:r>
                                    <w:rPr>
                                      <w:color w:val="231F20"/>
                                      <w:spacing w:val="-4"/>
                                      <w:sz w:val="15"/>
                                    </w:rPr>
                                    <w:t> </w:t>
                                  </w:r>
                                  <w:r>
                                    <w:rPr>
                                      <w:color w:val="231F20"/>
                                      <w:spacing w:val="-2"/>
                                      <w:sz w:val="15"/>
                                    </w:rPr>
                                    <w:t>varicella)</w:t>
                                  </w:r>
                                </w:p>
                              </w:tc>
                            </w:tr>
                            <w:tr>
                              <w:trPr>
                                <w:trHeight w:val="210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METABOLIC</w:t>
                                  </w:r>
                                  <w:r>
                                    <w:rPr>
                                      <w:color w:val="231F20"/>
                                      <w:spacing w:val="10"/>
                                      <w:w w:val="110"/>
                                      <w:sz w:val="15"/>
                                    </w:rPr>
                                    <w:t> </w:t>
                                  </w:r>
                                  <w:r>
                                    <w:rPr>
                                      <w:color w:val="231F20"/>
                                      <w:w w:val="110"/>
                                      <w:sz w:val="15"/>
                                    </w:rPr>
                                    <w:t>DRUG</w:t>
                                  </w:r>
                                  <w:r>
                                    <w:rPr>
                                      <w:color w:val="231F20"/>
                                      <w:spacing w:val="9"/>
                                      <w:w w:val="110"/>
                                      <w:sz w:val="15"/>
                                    </w:rPr>
                                    <w:t> </w:t>
                                  </w:r>
                                  <w:r>
                                    <w:rPr>
                                      <w:color w:val="231F20"/>
                                      <w:w w:val="110"/>
                                      <w:sz w:val="15"/>
                                    </w:rPr>
                                    <w:t>OR</w:t>
                                  </w:r>
                                  <w:r>
                                    <w:rPr>
                                      <w:color w:val="231F20"/>
                                      <w:spacing w:val="10"/>
                                      <w:w w:val="110"/>
                                      <w:sz w:val="15"/>
                                    </w:rPr>
                                    <w:t> </w:t>
                                  </w:r>
                                  <w:r>
                                    <w:rPr>
                                      <w:color w:val="231F20"/>
                                      <w:w w:val="110"/>
                                      <w:sz w:val="15"/>
                                    </w:rPr>
                                    <w:t>TOXIC</w:t>
                                  </w:r>
                                  <w:r>
                                    <w:rPr>
                                      <w:color w:val="231F20"/>
                                      <w:spacing w:val="10"/>
                                      <w:w w:val="110"/>
                                      <w:sz w:val="15"/>
                                    </w:rPr>
                                    <w:t> </w:t>
                                  </w:r>
                                  <w:r>
                                    <w:rPr>
                                      <w:color w:val="231F20"/>
                                      <w:spacing w:val="-2"/>
                                      <w:w w:val="110"/>
                                      <w:sz w:val="15"/>
                                    </w:rPr>
                                    <w:t>ENCEPHALOPATHIES</w:t>
                                  </w:r>
                                </w:p>
                                <w:p>
                                  <w:pPr>
                                    <w:pStyle w:val="TableParagraph"/>
                                    <w:spacing w:line="230" w:lineRule="auto" w:before="3"/>
                                    <w:ind w:left="74" w:right="2728"/>
                                    <w:rPr>
                                      <w:sz w:val="15"/>
                                    </w:rPr>
                                  </w:pPr>
                                  <w:r>
                                    <w:rPr>
                                      <w:color w:val="231F20"/>
                                      <w:spacing w:val="-2"/>
                                      <w:sz w:val="15"/>
                                    </w:rPr>
                                    <w:t>Acute</w:t>
                                  </w:r>
                                  <w:r>
                                    <w:rPr>
                                      <w:color w:val="231F20"/>
                                      <w:spacing w:val="-10"/>
                                      <w:sz w:val="15"/>
                                    </w:rPr>
                                    <w:t> </w:t>
                                  </w:r>
                                  <w:r>
                                    <w:rPr>
                                      <w:color w:val="231F20"/>
                                      <w:spacing w:val="-2"/>
                                      <w:sz w:val="15"/>
                                    </w:rPr>
                                    <w:t>intermittent</w:t>
                                  </w:r>
                                  <w:r>
                                    <w:rPr>
                                      <w:color w:val="231F20"/>
                                      <w:spacing w:val="-9"/>
                                      <w:sz w:val="15"/>
                                    </w:rPr>
                                    <w:t> </w:t>
                                  </w:r>
                                  <w:r>
                                    <w:rPr>
                                      <w:color w:val="231F20"/>
                                      <w:spacing w:val="-2"/>
                                      <w:sz w:val="15"/>
                                    </w:rPr>
                                    <w:t>porphyria Hypo-/hypernatremia Hypocalcemia Hyperthyroidism Hypoparathyroidism </w:t>
                                  </w:r>
                                  <w:r>
                                    <w:rPr>
                                      <w:color w:val="231F20"/>
                                      <w:sz w:val="15"/>
                                    </w:rPr>
                                    <w:t>Hepatic/renal failure</w:t>
                                  </w:r>
                                </w:p>
                                <w:p>
                                  <w:pPr>
                                    <w:pStyle w:val="TableParagraph"/>
                                    <w:spacing w:line="230" w:lineRule="auto" w:before="5"/>
                                    <w:ind w:left="74" w:right="2685"/>
                                    <w:rPr>
                                      <w:sz w:val="15"/>
                                    </w:rPr>
                                  </w:pPr>
                                  <w:r>
                                    <w:rPr>
                                      <w:color w:val="231F20"/>
                                      <w:w w:val="105"/>
                                      <w:sz w:val="15"/>
                                    </w:rPr>
                                    <w:t>Carbon</w:t>
                                  </w:r>
                                  <w:r>
                                    <w:rPr>
                                      <w:color w:val="231F20"/>
                                      <w:spacing w:val="-12"/>
                                      <w:w w:val="105"/>
                                      <w:sz w:val="15"/>
                                    </w:rPr>
                                    <w:t> </w:t>
                                  </w:r>
                                  <w:r>
                                    <w:rPr>
                                      <w:color w:val="231F20"/>
                                      <w:w w:val="105"/>
                                      <w:sz w:val="15"/>
                                    </w:rPr>
                                    <w:t>monoxide</w:t>
                                  </w:r>
                                  <w:r>
                                    <w:rPr>
                                      <w:color w:val="231F20"/>
                                      <w:spacing w:val="-12"/>
                                      <w:w w:val="105"/>
                                      <w:sz w:val="15"/>
                                    </w:rPr>
                                    <w:t> </w:t>
                                  </w:r>
                                  <w:r>
                                    <w:rPr>
                                      <w:color w:val="231F20"/>
                                      <w:w w:val="105"/>
                                      <w:sz w:val="15"/>
                                    </w:rPr>
                                    <w:t>poisoning Manganese poisoning Mercury poisoning Organophosphate</w:t>
                                  </w:r>
                                  <w:r>
                                    <w:rPr>
                                      <w:color w:val="231F20"/>
                                      <w:spacing w:val="-12"/>
                                      <w:w w:val="105"/>
                                      <w:sz w:val="15"/>
                                    </w:rPr>
                                    <w:t> </w:t>
                                  </w:r>
                                  <w:r>
                                    <w:rPr>
                                      <w:color w:val="231F20"/>
                                      <w:w w:val="105"/>
                                      <w:sz w:val="15"/>
                                    </w:rPr>
                                    <w:t>poisoning </w:t>
                                  </w:r>
                                  <w:r>
                                    <w:rPr>
                                      <w:color w:val="231F20"/>
                                      <w:spacing w:val="-2"/>
                                      <w:w w:val="105"/>
                                      <w:sz w:val="15"/>
                                    </w:rPr>
                                    <w:t>Pheochromocytoma</w:t>
                                  </w:r>
                                </w:p>
                              </w:tc>
                            </w:tr>
                            <w:tr>
                              <w:trPr>
                                <w:trHeight w:val="248"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w w:val="105"/>
                                      <w:sz w:val="15"/>
                                    </w:rPr>
                                    <w:t>DRUG-INDUCED</w:t>
                                  </w:r>
                                  <w:r>
                                    <w:rPr>
                                      <w:color w:val="231F20"/>
                                      <w:spacing w:val="19"/>
                                      <w:w w:val="105"/>
                                      <w:sz w:val="15"/>
                                    </w:rPr>
                                    <w:t> </w:t>
                                  </w:r>
                                  <w:r>
                                    <w:rPr>
                                      <w:color w:val="231F20"/>
                                      <w:w w:val="105"/>
                                      <w:sz w:val="15"/>
                                    </w:rPr>
                                    <w:t>CHOREA</w:t>
                                  </w:r>
                                  <w:r>
                                    <w:rPr>
                                      <w:color w:val="231F20"/>
                                      <w:spacing w:val="20"/>
                                      <w:w w:val="105"/>
                                      <w:sz w:val="15"/>
                                    </w:rPr>
                                    <w:t> </w:t>
                                  </w:r>
                                  <w:r>
                                    <w:rPr>
                                      <w:color w:val="231F20"/>
                                      <w:w w:val="105"/>
                                      <w:sz w:val="15"/>
                                    </w:rPr>
                                    <w:t>(see</w:t>
                                  </w:r>
                                  <w:r>
                                    <w:rPr>
                                      <w:color w:val="231F20"/>
                                      <w:spacing w:val="20"/>
                                      <w:w w:val="105"/>
                                      <w:sz w:val="15"/>
                                    </w:rPr>
                                    <w:t> </w:t>
                                  </w:r>
                                  <w:r>
                                    <w:rPr>
                                      <w:color w:val="0080AC"/>
                                      <w:w w:val="105"/>
                                      <w:sz w:val="15"/>
                                    </w:rPr>
                                    <w:t>Table</w:t>
                                  </w:r>
                                  <w:r>
                                    <w:rPr>
                                      <w:color w:val="0080AC"/>
                                      <w:spacing w:val="20"/>
                                      <w:w w:val="105"/>
                                      <w:sz w:val="15"/>
                                    </w:rPr>
                                    <w:t> </w:t>
                                  </w:r>
                                  <w:r>
                                    <w:rPr>
                                      <w:color w:val="0080AC"/>
                                      <w:w w:val="105"/>
                                      <w:sz w:val="15"/>
                                    </w:rPr>
                                    <w:t>597-</w:t>
                                  </w:r>
                                  <w:r>
                                    <w:rPr>
                                      <w:color w:val="0080AC"/>
                                      <w:spacing w:val="-5"/>
                                      <w:w w:val="105"/>
                                      <w:sz w:val="15"/>
                                    </w:rPr>
                                    <w:t>8</w:t>
                                  </w:r>
                                  <w:r>
                                    <w:rPr>
                                      <w:color w:val="231F20"/>
                                      <w:spacing w:val="-5"/>
                                      <w:w w:val="105"/>
                                      <w:sz w:val="15"/>
                                    </w:rPr>
                                    <w:t>)</w:t>
                                  </w:r>
                                </w:p>
                              </w:tc>
                            </w:tr>
                          </w:tbl>
                          <w:p>
                            <w:pPr>
                              <w:pStyle w:val="BodyText"/>
                            </w:pPr>
                          </w:p>
                        </w:txbxContent>
                      </wps:txbx>
                      <wps:bodyPr wrap="square" lIns="0" tIns="0" rIns="0" bIns="0" rtlCol="0">
                        <a:noAutofit/>
                      </wps:bodyPr>
                    </wps:wsp>
                  </a:graphicData>
                </a:graphic>
              </wp:anchor>
            </w:drawing>
          </mc:Choice>
          <mc:Fallback>
            <w:pict>
              <v:shape style="position:absolute;margin-left:294.5pt;margin-top:-412.787506pt;width:241.15pt;height:519.2pt;mso-position-horizontal-relative:page;mso-position-vertical-relative:paragraph;z-index:15773184" type="#_x0000_t202" id="docshape6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6</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Etiologic</w:t>
                            </w:r>
                            <w:r>
                              <w:rPr>
                                <w:color w:val="FFFFFF"/>
                                <w:spacing w:val="-5"/>
                                <w:w w:val="105"/>
                                <w:sz w:val="16"/>
                              </w:rPr>
                              <w:t> </w:t>
                            </w:r>
                            <w:r>
                              <w:rPr>
                                <w:color w:val="FFFFFF"/>
                                <w:w w:val="105"/>
                                <w:sz w:val="16"/>
                              </w:rPr>
                              <w:t>Classification</w:t>
                            </w:r>
                            <w:r>
                              <w:rPr>
                                <w:color w:val="FFFFFF"/>
                                <w:spacing w:val="-5"/>
                                <w:w w:val="105"/>
                                <w:sz w:val="16"/>
                              </w:rPr>
                              <w:t> </w:t>
                            </w:r>
                            <w:r>
                              <w:rPr>
                                <w:color w:val="FFFFFF"/>
                                <w:w w:val="105"/>
                                <w:sz w:val="16"/>
                              </w:rPr>
                              <w:t>of</w:t>
                            </w:r>
                            <w:r>
                              <w:rPr>
                                <w:color w:val="FFFFFF"/>
                                <w:spacing w:val="-5"/>
                                <w:w w:val="105"/>
                                <w:sz w:val="16"/>
                              </w:rPr>
                              <w:t> </w:t>
                            </w:r>
                            <w:r>
                              <w:rPr>
                                <w:color w:val="FFFFFF"/>
                                <w:w w:val="105"/>
                                <w:sz w:val="16"/>
                              </w:rPr>
                              <w:t>Choreic </w:t>
                            </w:r>
                            <w:r>
                              <w:rPr>
                                <w:color w:val="FFFFFF"/>
                                <w:spacing w:val="-2"/>
                                <w:w w:val="105"/>
                                <w:sz w:val="16"/>
                              </w:rPr>
                              <w:t>Syndromes</w:t>
                            </w:r>
                          </w:p>
                        </w:tc>
                      </w:tr>
                      <w:tr>
                        <w:trPr>
                          <w:trHeight w:val="2779"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GENETIC</w:t>
                            </w:r>
                            <w:r>
                              <w:rPr>
                                <w:color w:val="231F20"/>
                                <w:spacing w:val="8"/>
                                <w:w w:val="115"/>
                                <w:sz w:val="15"/>
                              </w:rPr>
                              <w:t> </w:t>
                            </w:r>
                            <w:r>
                              <w:rPr>
                                <w:color w:val="231F20"/>
                                <w:spacing w:val="-2"/>
                                <w:w w:val="115"/>
                                <w:sz w:val="15"/>
                              </w:rPr>
                              <w:t>CHOREAS</w:t>
                            </w:r>
                          </w:p>
                          <w:p>
                            <w:pPr>
                              <w:pStyle w:val="TableParagraph"/>
                              <w:spacing w:line="169" w:lineRule="exact"/>
                              <w:ind w:left="74"/>
                              <w:rPr>
                                <w:sz w:val="15"/>
                              </w:rPr>
                            </w:pPr>
                            <w:r>
                              <w:rPr>
                                <w:color w:val="231F20"/>
                                <w:sz w:val="15"/>
                              </w:rPr>
                              <w:t>Huntington</w:t>
                            </w:r>
                            <w:r>
                              <w:rPr>
                                <w:color w:val="231F20"/>
                                <w:spacing w:val="-11"/>
                                <w:sz w:val="15"/>
                              </w:rPr>
                              <w:t> </w:t>
                            </w:r>
                            <w:r>
                              <w:rPr>
                                <w:color w:val="231F20"/>
                                <w:sz w:val="15"/>
                              </w:rPr>
                              <w:t>disease</w:t>
                            </w:r>
                            <w:r>
                              <w:rPr>
                                <w:color w:val="231F20"/>
                                <w:spacing w:val="-10"/>
                                <w:sz w:val="15"/>
                              </w:rPr>
                              <w:t> </w:t>
                            </w:r>
                            <w:r>
                              <w:rPr>
                                <w:color w:val="231F20"/>
                                <w:sz w:val="15"/>
                              </w:rPr>
                              <w:t>(rarely</w:t>
                            </w:r>
                            <w:r>
                              <w:rPr>
                                <w:color w:val="231F20"/>
                                <w:spacing w:val="-10"/>
                                <w:sz w:val="15"/>
                              </w:rPr>
                              <w:t> </w:t>
                            </w:r>
                            <w:r>
                              <w:rPr>
                                <w:color w:val="231F20"/>
                                <w:sz w:val="15"/>
                              </w:rPr>
                              <w:t>presents</w:t>
                            </w:r>
                            <w:r>
                              <w:rPr>
                                <w:color w:val="231F20"/>
                                <w:spacing w:val="-10"/>
                                <w:sz w:val="15"/>
                              </w:rPr>
                              <w:t> </w:t>
                            </w:r>
                            <w:r>
                              <w:rPr>
                                <w:color w:val="231F20"/>
                                <w:sz w:val="15"/>
                              </w:rPr>
                              <w:t>with</w:t>
                            </w:r>
                            <w:r>
                              <w:rPr>
                                <w:color w:val="231F20"/>
                                <w:spacing w:val="-10"/>
                                <w:sz w:val="15"/>
                              </w:rPr>
                              <w:t> </w:t>
                            </w:r>
                            <w:r>
                              <w:rPr>
                                <w:color w:val="231F20"/>
                                <w:sz w:val="15"/>
                              </w:rPr>
                              <w:t>chorea</w:t>
                            </w:r>
                            <w:r>
                              <w:rPr>
                                <w:color w:val="231F20"/>
                                <w:spacing w:val="-10"/>
                                <w:sz w:val="15"/>
                              </w:rPr>
                              <w:t> </w:t>
                            </w:r>
                            <w:r>
                              <w:rPr>
                                <w:color w:val="231F20"/>
                                <w:sz w:val="15"/>
                              </w:rPr>
                              <w:t>in</w:t>
                            </w:r>
                            <w:r>
                              <w:rPr>
                                <w:color w:val="231F20"/>
                                <w:spacing w:val="-10"/>
                                <w:sz w:val="15"/>
                              </w:rPr>
                              <w:t> </w:t>
                            </w:r>
                            <w:r>
                              <w:rPr>
                                <w:color w:val="231F20"/>
                                <w:spacing w:val="-2"/>
                                <w:sz w:val="15"/>
                              </w:rPr>
                              <w:t>childhood)</w:t>
                            </w:r>
                          </w:p>
                          <w:p>
                            <w:pPr>
                              <w:pStyle w:val="TableParagraph"/>
                              <w:spacing w:line="230" w:lineRule="auto" w:before="2"/>
                              <w:ind w:left="186" w:hanging="112"/>
                              <w:rPr>
                                <w:sz w:val="15"/>
                              </w:rPr>
                            </w:pPr>
                            <w:r>
                              <w:rPr>
                                <w:color w:val="231F20"/>
                                <w:sz w:val="15"/>
                              </w:rPr>
                              <w:t>Huntington disease–like 2 and other Huntington disease </w:t>
                            </w:r>
                            <w:r>
                              <w:rPr>
                                <w:color w:val="231F20"/>
                                <w:sz w:val="15"/>
                              </w:rPr>
                              <w:t>–like </w:t>
                            </w:r>
                            <w:r>
                              <w:rPr>
                                <w:color w:val="231F20"/>
                                <w:spacing w:val="-2"/>
                                <w:sz w:val="15"/>
                              </w:rPr>
                              <w:t>syndromes</w:t>
                            </w:r>
                          </w:p>
                          <w:p>
                            <w:pPr>
                              <w:pStyle w:val="TableParagraph"/>
                              <w:spacing w:line="230" w:lineRule="auto" w:before="2"/>
                              <w:ind w:left="74" w:right="1221"/>
                              <w:rPr>
                                <w:sz w:val="15"/>
                              </w:rPr>
                            </w:pPr>
                            <w:r>
                              <w:rPr>
                                <w:color w:val="231F20"/>
                                <w:spacing w:val="-2"/>
                                <w:sz w:val="15"/>
                              </w:rPr>
                              <w:t>Dentatorubropallidoluysian </w:t>
                            </w:r>
                            <w:r>
                              <w:rPr>
                                <w:color w:val="231F20"/>
                                <w:spacing w:val="-2"/>
                                <w:sz w:val="15"/>
                              </w:rPr>
                              <w:t>atrophy Neuroacanthocytosis</w:t>
                            </w:r>
                          </w:p>
                          <w:p>
                            <w:pPr>
                              <w:pStyle w:val="TableParagraph"/>
                              <w:spacing w:line="230" w:lineRule="auto" w:before="1"/>
                              <w:ind w:left="74" w:right="1221"/>
                              <w:rPr>
                                <w:sz w:val="15"/>
                              </w:rPr>
                            </w:pPr>
                            <w:r>
                              <w:rPr>
                                <w:color w:val="231F20"/>
                                <w:sz w:val="15"/>
                              </w:rPr>
                              <w:t>Leigh</w:t>
                            </w:r>
                            <w:r>
                              <w:rPr>
                                <w:color w:val="231F20"/>
                                <w:spacing w:val="-5"/>
                                <w:sz w:val="15"/>
                              </w:rPr>
                              <w:t> </w:t>
                            </w:r>
                            <w:r>
                              <w:rPr>
                                <w:color w:val="231F20"/>
                                <w:sz w:val="15"/>
                              </w:rPr>
                              <w:t>syndrome</w:t>
                            </w:r>
                            <w:r>
                              <w:rPr>
                                <w:color w:val="231F20"/>
                                <w:spacing w:val="-5"/>
                                <w:sz w:val="15"/>
                              </w:rPr>
                              <w:t> </w:t>
                            </w:r>
                            <w:r>
                              <w:rPr>
                                <w:color w:val="231F20"/>
                                <w:sz w:val="15"/>
                              </w:rPr>
                              <w:t>and</w:t>
                            </w:r>
                            <w:r>
                              <w:rPr>
                                <w:color w:val="231F20"/>
                                <w:spacing w:val="-5"/>
                                <w:sz w:val="15"/>
                              </w:rPr>
                              <w:t> </w:t>
                            </w:r>
                            <w:r>
                              <w:rPr>
                                <w:color w:val="231F20"/>
                                <w:sz w:val="15"/>
                              </w:rPr>
                              <w:t>other</w:t>
                            </w:r>
                            <w:r>
                              <w:rPr>
                                <w:color w:val="231F20"/>
                                <w:spacing w:val="-5"/>
                                <w:sz w:val="15"/>
                              </w:rPr>
                              <w:t> </w:t>
                            </w:r>
                            <w:r>
                              <w:rPr>
                                <w:color w:val="231F20"/>
                                <w:sz w:val="15"/>
                              </w:rPr>
                              <w:t>mitochondrial</w:t>
                            </w:r>
                            <w:r>
                              <w:rPr>
                                <w:color w:val="231F20"/>
                                <w:spacing w:val="-5"/>
                                <w:sz w:val="15"/>
                              </w:rPr>
                              <w:t> </w:t>
                            </w:r>
                            <w:r>
                              <w:rPr>
                                <w:color w:val="231F20"/>
                                <w:sz w:val="15"/>
                              </w:rPr>
                              <w:t>disorders Ataxia telangiectasia</w:t>
                            </w:r>
                          </w:p>
                          <w:p>
                            <w:pPr>
                              <w:pStyle w:val="TableParagraph"/>
                              <w:spacing w:line="230" w:lineRule="auto" w:before="2"/>
                              <w:ind w:left="74" w:right="2936"/>
                              <w:rPr>
                                <w:sz w:val="15"/>
                              </w:rPr>
                            </w:pPr>
                            <w:r>
                              <w:rPr>
                                <w:color w:val="231F20"/>
                                <w:sz w:val="15"/>
                              </w:rPr>
                              <w:t>Benign</w:t>
                            </w:r>
                            <w:r>
                              <w:rPr>
                                <w:color w:val="231F20"/>
                                <w:spacing w:val="-12"/>
                                <w:sz w:val="15"/>
                              </w:rPr>
                              <w:t> </w:t>
                            </w:r>
                            <w:r>
                              <w:rPr>
                                <w:color w:val="231F20"/>
                                <w:sz w:val="15"/>
                              </w:rPr>
                              <w:t>hereditary</w:t>
                            </w:r>
                            <w:r>
                              <w:rPr>
                                <w:color w:val="231F20"/>
                                <w:spacing w:val="-11"/>
                                <w:sz w:val="15"/>
                              </w:rPr>
                              <w:t> </w:t>
                            </w:r>
                            <w:r>
                              <w:rPr>
                                <w:color w:val="231F20"/>
                                <w:sz w:val="15"/>
                              </w:rPr>
                              <w:t>chorea Wilson disease</w:t>
                            </w:r>
                          </w:p>
                          <w:p>
                            <w:pPr>
                              <w:pStyle w:val="TableParagraph"/>
                              <w:spacing w:line="167" w:lineRule="exact"/>
                              <w:ind w:left="74"/>
                              <w:rPr>
                                <w:sz w:val="15"/>
                              </w:rPr>
                            </w:pPr>
                            <w:r>
                              <w:rPr>
                                <w:color w:val="231F20"/>
                                <w:spacing w:val="-2"/>
                                <w:sz w:val="15"/>
                              </w:rPr>
                              <w:t>Spinocerebellar</w:t>
                            </w:r>
                            <w:r>
                              <w:rPr>
                                <w:color w:val="231F20"/>
                                <w:spacing w:val="-4"/>
                                <w:sz w:val="15"/>
                              </w:rPr>
                              <w:t> </w:t>
                            </w:r>
                            <w:r>
                              <w:rPr>
                                <w:color w:val="231F20"/>
                                <w:spacing w:val="-2"/>
                                <w:sz w:val="15"/>
                              </w:rPr>
                              <w:t>ataxia</w:t>
                            </w:r>
                            <w:r>
                              <w:rPr>
                                <w:color w:val="231F20"/>
                                <w:spacing w:val="-3"/>
                                <w:sz w:val="15"/>
                              </w:rPr>
                              <w:t> </w:t>
                            </w:r>
                            <w:r>
                              <w:rPr>
                                <w:color w:val="231F20"/>
                                <w:spacing w:val="-2"/>
                                <w:sz w:val="15"/>
                              </w:rPr>
                              <w:t>(types</w:t>
                            </w:r>
                            <w:r>
                              <w:rPr>
                                <w:color w:val="231F20"/>
                                <w:spacing w:val="-4"/>
                                <w:sz w:val="15"/>
                              </w:rPr>
                              <w:t> </w:t>
                            </w:r>
                            <w:r>
                              <w:rPr>
                                <w:color w:val="231F20"/>
                                <w:spacing w:val="-2"/>
                                <w:sz w:val="15"/>
                              </w:rPr>
                              <w:t>2,</w:t>
                            </w:r>
                            <w:r>
                              <w:rPr>
                                <w:color w:val="231F20"/>
                                <w:spacing w:val="-3"/>
                                <w:sz w:val="15"/>
                              </w:rPr>
                              <w:t> </w:t>
                            </w:r>
                            <w:r>
                              <w:rPr>
                                <w:color w:val="231F20"/>
                                <w:spacing w:val="-2"/>
                                <w:sz w:val="15"/>
                              </w:rPr>
                              <w:t>3,</w:t>
                            </w:r>
                            <w:r>
                              <w:rPr>
                                <w:color w:val="231F20"/>
                                <w:spacing w:val="-3"/>
                                <w:sz w:val="15"/>
                              </w:rPr>
                              <w:t> </w:t>
                            </w:r>
                            <w:r>
                              <w:rPr>
                                <w:color w:val="231F20"/>
                                <w:spacing w:val="-2"/>
                                <w:sz w:val="15"/>
                              </w:rPr>
                              <w:t>or</w:t>
                            </w:r>
                            <w:r>
                              <w:rPr>
                                <w:color w:val="231F20"/>
                                <w:spacing w:val="-4"/>
                                <w:sz w:val="15"/>
                              </w:rPr>
                              <w:t> </w:t>
                            </w:r>
                            <w:r>
                              <w:rPr>
                                <w:color w:val="231F20"/>
                                <w:spacing w:val="-5"/>
                                <w:sz w:val="15"/>
                              </w:rPr>
                              <w:t>17)</w:t>
                            </w:r>
                          </w:p>
                          <w:p>
                            <w:pPr>
                              <w:pStyle w:val="TableParagraph"/>
                              <w:spacing w:line="230" w:lineRule="auto" w:before="2"/>
                              <w:ind w:left="74" w:right="181"/>
                              <w:rPr>
                                <w:sz w:val="15"/>
                              </w:rPr>
                            </w:pPr>
                            <w:r>
                              <w:rPr>
                                <w:color w:val="231F20"/>
                                <w:sz w:val="15"/>
                              </w:rPr>
                              <w:t>Pantothene</w:t>
                            </w:r>
                            <w:r>
                              <w:rPr>
                                <w:color w:val="231F20"/>
                                <w:spacing w:val="-1"/>
                                <w:sz w:val="15"/>
                              </w:rPr>
                              <w:t> </w:t>
                            </w:r>
                            <w:r>
                              <w:rPr>
                                <w:color w:val="231F20"/>
                                <w:sz w:val="15"/>
                              </w:rPr>
                              <w:t>kinase–associated</w:t>
                            </w:r>
                            <w:r>
                              <w:rPr>
                                <w:color w:val="231F20"/>
                                <w:spacing w:val="-1"/>
                                <w:sz w:val="15"/>
                              </w:rPr>
                              <w:t> </w:t>
                            </w:r>
                            <w:r>
                              <w:rPr>
                                <w:color w:val="231F20"/>
                                <w:sz w:val="15"/>
                              </w:rPr>
                              <w:t>neurodegeneration</w:t>
                            </w:r>
                            <w:r>
                              <w:rPr>
                                <w:color w:val="231F20"/>
                                <w:spacing w:val="-1"/>
                                <w:sz w:val="15"/>
                              </w:rPr>
                              <w:t> </w:t>
                            </w:r>
                            <w:r>
                              <w:rPr>
                                <w:color w:val="231F20"/>
                                <w:sz w:val="15"/>
                              </w:rPr>
                              <w:t>(PKAN) Paroxysmal kinesigenic choreoathetosis</w:t>
                            </w:r>
                          </w:p>
                          <w:p>
                            <w:pPr>
                              <w:pStyle w:val="TableParagraph"/>
                              <w:spacing w:line="230" w:lineRule="auto" w:before="2"/>
                              <w:ind w:left="74" w:right="1733"/>
                              <w:rPr>
                                <w:sz w:val="15"/>
                              </w:rPr>
                            </w:pPr>
                            <w:r>
                              <w:rPr>
                                <w:color w:val="231F20"/>
                                <w:sz w:val="15"/>
                              </w:rPr>
                              <w:t>Paroxysmal</w:t>
                            </w:r>
                            <w:r>
                              <w:rPr>
                                <w:color w:val="231F20"/>
                                <w:spacing w:val="-12"/>
                                <w:sz w:val="15"/>
                              </w:rPr>
                              <w:t> </w:t>
                            </w:r>
                            <w:r>
                              <w:rPr>
                                <w:color w:val="231F20"/>
                                <w:sz w:val="15"/>
                              </w:rPr>
                              <w:t>nonkinesigenic</w:t>
                            </w:r>
                            <w:r>
                              <w:rPr>
                                <w:color w:val="231F20"/>
                                <w:spacing w:val="-11"/>
                                <w:sz w:val="15"/>
                              </w:rPr>
                              <w:t> </w:t>
                            </w:r>
                            <w:r>
                              <w:rPr>
                                <w:color w:val="231F20"/>
                                <w:sz w:val="15"/>
                              </w:rPr>
                              <w:t>choreoathetosis Fahr syndrome</w:t>
                            </w:r>
                          </w:p>
                          <w:p>
                            <w:pPr>
                              <w:pStyle w:val="TableParagraph"/>
                              <w:spacing w:line="170" w:lineRule="exact"/>
                              <w:ind w:left="74"/>
                              <w:rPr>
                                <w:sz w:val="15"/>
                              </w:rPr>
                            </w:pPr>
                            <w:r>
                              <w:rPr>
                                <w:color w:val="231F20"/>
                                <w:spacing w:val="-2"/>
                                <w:sz w:val="15"/>
                              </w:rPr>
                              <w:t>Rett</w:t>
                            </w:r>
                            <w:r>
                              <w:rPr>
                                <w:color w:val="231F20"/>
                                <w:spacing w:val="-9"/>
                                <w:sz w:val="15"/>
                              </w:rPr>
                              <w:t> </w:t>
                            </w:r>
                            <w:r>
                              <w:rPr>
                                <w:color w:val="231F20"/>
                                <w:spacing w:val="-2"/>
                                <w:sz w:val="15"/>
                              </w:rPr>
                              <w:t>syndrome</w:t>
                            </w:r>
                          </w:p>
                        </w:tc>
                      </w:tr>
                      <w:tr>
                        <w:trPr>
                          <w:trHeight w:val="1430"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STRUCTURAL</w:t>
                            </w:r>
                            <w:r>
                              <w:rPr>
                                <w:color w:val="231F20"/>
                                <w:spacing w:val="-3"/>
                                <w:w w:val="110"/>
                                <w:sz w:val="15"/>
                              </w:rPr>
                              <w:t> </w:t>
                            </w:r>
                            <w:r>
                              <w:rPr>
                                <w:color w:val="231F20"/>
                                <w:w w:val="110"/>
                                <w:sz w:val="15"/>
                              </w:rPr>
                              <w:t>BASAL-GANGLIA</w:t>
                            </w:r>
                            <w:r>
                              <w:rPr>
                                <w:color w:val="231F20"/>
                                <w:spacing w:val="-3"/>
                                <w:w w:val="110"/>
                                <w:sz w:val="15"/>
                              </w:rPr>
                              <w:t> </w:t>
                            </w:r>
                            <w:r>
                              <w:rPr>
                                <w:color w:val="231F20"/>
                                <w:spacing w:val="-2"/>
                                <w:w w:val="110"/>
                                <w:sz w:val="15"/>
                              </w:rPr>
                              <w:t>LESIONS</w:t>
                            </w:r>
                          </w:p>
                          <w:p>
                            <w:pPr>
                              <w:pStyle w:val="TableParagraph"/>
                              <w:spacing w:line="169" w:lineRule="exact"/>
                              <w:ind w:left="74"/>
                              <w:rPr>
                                <w:sz w:val="15"/>
                              </w:rPr>
                            </w:pPr>
                            <w:r>
                              <w:rPr>
                                <w:color w:val="231F20"/>
                                <w:spacing w:val="-2"/>
                                <w:sz w:val="15"/>
                              </w:rPr>
                              <w:t>Vascular</w:t>
                            </w:r>
                            <w:r>
                              <w:rPr>
                                <w:color w:val="231F20"/>
                                <w:sz w:val="15"/>
                              </w:rPr>
                              <w:t> </w:t>
                            </w:r>
                            <w:r>
                              <w:rPr>
                                <w:color w:val="231F20"/>
                                <w:spacing w:val="-2"/>
                                <w:sz w:val="15"/>
                              </w:rPr>
                              <w:t>chorea</w:t>
                            </w:r>
                            <w:r>
                              <w:rPr>
                                <w:color w:val="231F20"/>
                                <w:sz w:val="15"/>
                              </w:rPr>
                              <w:t> </w:t>
                            </w:r>
                            <w:r>
                              <w:rPr>
                                <w:color w:val="231F20"/>
                                <w:spacing w:val="-2"/>
                                <w:sz w:val="15"/>
                              </w:rPr>
                              <w:t>in</w:t>
                            </w:r>
                            <w:r>
                              <w:rPr>
                                <w:color w:val="231F20"/>
                                <w:spacing w:val="1"/>
                                <w:sz w:val="15"/>
                              </w:rPr>
                              <w:t> </w:t>
                            </w:r>
                            <w:r>
                              <w:rPr>
                                <w:color w:val="231F20"/>
                                <w:spacing w:val="-2"/>
                                <w:sz w:val="15"/>
                              </w:rPr>
                              <w:t>stroke,</w:t>
                            </w:r>
                            <w:r>
                              <w:rPr>
                                <w:color w:val="231F20"/>
                                <w:sz w:val="15"/>
                              </w:rPr>
                              <w:t> </w:t>
                            </w:r>
                            <w:r>
                              <w:rPr>
                                <w:color w:val="231F20"/>
                                <w:spacing w:val="-2"/>
                                <w:sz w:val="15"/>
                              </w:rPr>
                              <w:t>vasculitis,</w:t>
                            </w:r>
                            <w:r>
                              <w:rPr>
                                <w:color w:val="231F20"/>
                                <w:sz w:val="15"/>
                              </w:rPr>
                              <w:t> </w:t>
                            </w:r>
                            <w:r>
                              <w:rPr>
                                <w:color w:val="231F20"/>
                                <w:spacing w:val="-2"/>
                                <w:sz w:val="15"/>
                              </w:rPr>
                              <w:t>Moyamoya</w:t>
                            </w:r>
                            <w:r>
                              <w:rPr>
                                <w:color w:val="231F20"/>
                                <w:spacing w:val="1"/>
                                <w:sz w:val="15"/>
                              </w:rPr>
                              <w:t> </w:t>
                            </w:r>
                            <w:r>
                              <w:rPr>
                                <w:color w:val="231F20"/>
                                <w:spacing w:val="-2"/>
                                <w:sz w:val="15"/>
                              </w:rPr>
                              <w:t>disease</w:t>
                            </w:r>
                          </w:p>
                          <w:p>
                            <w:pPr>
                              <w:pStyle w:val="TableParagraph"/>
                              <w:spacing w:line="230" w:lineRule="auto" w:before="2"/>
                              <w:ind w:left="186" w:right="108" w:hanging="112"/>
                              <w:rPr>
                                <w:sz w:val="15"/>
                              </w:rPr>
                            </w:pPr>
                            <w:r>
                              <w:rPr>
                                <w:color w:val="231F20"/>
                                <w:spacing w:val="-2"/>
                                <w:sz w:val="15"/>
                              </w:rPr>
                              <w:t>Mass lesions (e.g., central nervous system lymphoma, </w:t>
                            </w:r>
                            <w:r>
                              <w:rPr>
                                <w:color w:val="231F20"/>
                                <w:spacing w:val="-2"/>
                                <w:sz w:val="15"/>
                              </w:rPr>
                              <w:t>metastatic </w:t>
                            </w:r>
                            <w:r>
                              <w:rPr>
                                <w:color w:val="231F20"/>
                                <w:sz w:val="15"/>
                              </w:rPr>
                              <w:t>brain tumors)</w:t>
                            </w:r>
                          </w:p>
                          <w:p>
                            <w:pPr>
                              <w:pStyle w:val="TableParagraph"/>
                              <w:spacing w:line="230" w:lineRule="auto" w:before="2"/>
                              <w:ind w:left="74" w:right="1733"/>
                              <w:rPr>
                                <w:sz w:val="15"/>
                              </w:rPr>
                            </w:pPr>
                            <w:r>
                              <w:rPr>
                                <w:color w:val="231F20"/>
                                <w:sz w:val="15"/>
                              </w:rPr>
                              <w:t>Joubert</w:t>
                            </w:r>
                            <w:r>
                              <w:rPr>
                                <w:color w:val="231F20"/>
                                <w:spacing w:val="-7"/>
                                <w:sz w:val="15"/>
                              </w:rPr>
                              <w:t> </w:t>
                            </w:r>
                            <w:r>
                              <w:rPr>
                                <w:color w:val="231F20"/>
                                <w:sz w:val="15"/>
                              </w:rPr>
                              <w:t>syndrome</w:t>
                            </w:r>
                            <w:r>
                              <w:rPr>
                                <w:color w:val="231F20"/>
                                <w:spacing w:val="-7"/>
                                <w:sz w:val="15"/>
                              </w:rPr>
                              <w:t> </w:t>
                            </w:r>
                            <w:r>
                              <w:rPr>
                                <w:color w:val="231F20"/>
                                <w:sz w:val="15"/>
                              </w:rPr>
                              <w:t>and</w:t>
                            </w:r>
                            <w:r>
                              <w:rPr>
                                <w:color w:val="231F20"/>
                                <w:spacing w:val="-7"/>
                                <w:sz w:val="15"/>
                              </w:rPr>
                              <w:t> </w:t>
                            </w:r>
                            <w:r>
                              <w:rPr>
                                <w:color w:val="231F20"/>
                                <w:sz w:val="15"/>
                              </w:rPr>
                              <w:t>related</w:t>
                            </w:r>
                            <w:r>
                              <w:rPr>
                                <w:color w:val="231F20"/>
                                <w:spacing w:val="-7"/>
                                <w:sz w:val="15"/>
                              </w:rPr>
                              <w:t> </w:t>
                            </w:r>
                            <w:r>
                              <w:rPr>
                                <w:color w:val="231F20"/>
                                <w:sz w:val="15"/>
                              </w:rPr>
                              <w:t>disorders Multiple sclerosis plaques</w:t>
                            </w:r>
                          </w:p>
                          <w:p>
                            <w:pPr>
                              <w:pStyle w:val="TableParagraph"/>
                              <w:spacing w:line="230" w:lineRule="auto" w:before="1"/>
                              <w:ind w:left="74" w:right="2667"/>
                              <w:rPr>
                                <w:sz w:val="15"/>
                              </w:rPr>
                            </w:pPr>
                            <w:r>
                              <w:rPr>
                                <w:color w:val="231F20"/>
                                <w:spacing w:val="-2"/>
                                <w:sz w:val="15"/>
                              </w:rPr>
                              <w:t>Extrapontine</w:t>
                            </w:r>
                            <w:r>
                              <w:rPr>
                                <w:color w:val="231F20"/>
                                <w:spacing w:val="-10"/>
                                <w:sz w:val="15"/>
                              </w:rPr>
                              <w:t> </w:t>
                            </w:r>
                            <w:r>
                              <w:rPr>
                                <w:color w:val="231F20"/>
                                <w:spacing w:val="-2"/>
                                <w:sz w:val="15"/>
                              </w:rPr>
                              <w:t>myelinolysis Trauma</w:t>
                            </w:r>
                          </w:p>
                        </w:tc>
                      </w:tr>
                      <w:tr>
                        <w:trPr>
                          <w:trHeight w:val="159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PARAINFECTIOUS</w:t>
                            </w:r>
                            <w:r>
                              <w:rPr>
                                <w:color w:val="231F20"/>
                                <w:spacing w:val="-6"/>
                                <w:w w:val="115"/>
                                <w:sz w:val="15"/>
                              </w:rPr>
                              <w:t> </w:t>
                            </w:r>
                            <w:r>
                              <w:rPr>
                                <w:color w:val="231F20"/>
                                <w:w w:val="115"/>
                                <w:sz w:val="15"/>
                              </w:rPr>
                              <w:t>AND</w:t>
                            </w:r>
                            <w:r>
                              <w:rPr>
                                <w:color w:val="231F20"/>
                                <w:spacing w:val="-6"/>
                                <w:w w:val="115"/>
                                <w:sz w:val="15"/>
                              </w:rPr>
                              <w:t> </w:t>
                            </w:r>
                            <w:r>
                              <w:rPr>
                                <w:color w:val="231F20"/>
                                <w:w w:val="115"/>
                                <w:sz w:val="15"/>
                              </w:rPr>
                              <w:t>AUTOIMMUNE</w:t>
                            </w:r>
                            <w:r>
                              <w:rPr>
                                <w:color w:val="231F20"/>
                                <w:spacing w:val="-5"/>
                                <w:w w:val="115"/>
                                <w:sz w:val="15"/>
                              </w:rPr>
                              <w:t> </w:t>
                            </w:r>
                            <w:r>
                              <w:rPr>
                                <w:color w:val="231F20"/>
                                <w:spacing w:val="-2"/>
                                <w:w w:val="115"/>
                                <w:sz w:val="15"/>
                              </w:rPr>
                              <w:t>DISORDERS</w:t>
                            </w:r>
                          </w:p>
                          <w:p>
                            <w:pPr>
                              <w:pStyle w:val="TableParagraph"/>
                              <w:spacing w:line="169" w:lineRule="exact"/>
                              <w:ind w:left="74"/>
                              <w:rPr>
                                <w:sz w:val="15"/>
                              </w:rPr>
                            </w:pPr>
                            <w:r>
                              <w:rPr>
                                <w:color w:val="231F20"/>
                                <w:sz w:val="15"/>
                              </w:rPr>
                              <w:t>Sydenham</w:t>
                            </w:r>
                            <w:r>
                              <w:rPr>
                                <w:color w:val="231F20"/>
                                <w:spacing w:val="14"/>
                                <w:sz w:val="15"/>
                              </w:rPr>
                              <w:t> </w:t>
                            </w:r>
                            <w:r>
                              <w:rPr>
                                <w:color w:val="231F20"/>
                                <w:spacing w:val="-2"/>
                                <w:sz w:val="15"/>
                              </w:rPr>
                              <w:t>chorea</w:t>
                            </w:r>
                          </w:p>
                          <w:p>
                            <w:pPr>
                              <w:pStyle w:val="TableParagraph"/>
                              <w:spacing w:line="230" w:lineRule="auto" w:before="2"/>
                              <w:ind w:left="74" w:right="2615"/>
                              <w:rPr>
                                <w:sz w:val="15"/>
                              </w:rPr>
                            </w:pPr>
                            <w:r>
                              <w:rPr>
                                <w:color w:val="231F20"/>
                                <w:sz w:val="15"/>
                              </w:rPr>
                              <w:t>Systemic</w:t>
                            </w:r>
                            <w:r>
                              <w:rPr>
                                <w:color w:val="231F20"/>
                                <w:spacing w:val="-12"/>
                                <w:sz w:val="15"/>
                              </w:rPr>
                              <w:t> </w:t>
                            </w:r>
                            <w:r>
                              <w:rPr>
                                <w:color w:val="231F20"/>
                                <w:sz w:val="15"/>
                              </w:rPr>
                              <w:t>lupus</w:t>
                            </w:r>
                            <w:r>
                              <w:rPr>
                                <w:color w:val="231F20"/>
                                <w:spacing w:val="-11"/>
                                <w:sz w:val="15"/>
                              </w:rPr>
                              <w:t> </w:t>
                            </w:r>
                            <w:r>
                              <w:rPr>
                                <w:color w:val="231F20"/>
                                <w:sz w:val="15"/>
                              </w:rPr>
                              <w:t>erythematosus Chorea gravidarum</w:t>
                            </w:r>
                          </w:p>
                          <w:p>
                            <w:pPr>
                              <w:pStyle w:val="TableParagraph"/>
                              <w:spacing w:line="230" w:lineRule="auto" w:before="2"/>
                              <w:ind w:left="74" w:right="1476"/>
                              <w:rPr>
                                <w:sz w:val="15"/>
                              </w:rPr>
                            </w:pPr>
                            <w:r>
                              <w:rPr>
                                <w:color w:val="231F20"/>
                                <w:sz w:val="15"/>
                              </w:rPr>
                              <w:t>Antiphospholipid antibody syndrome </w:t>
                            </w:r>
                            <w:r>
                              <w:rPr>
                                <w:color w:val="231F20"/>
                                <w:spacing w:val="-2"/>
                                <w:sz w:val="15"/>
                              </w:rPr>
                              <w:t>Postinfectious</w:t>
                            </w:r>
                            <w:r>
                              <w:rPr>
                                <w:color w:val="231F20"/>
                                <w:spacing w:val="-4"/>
                                <w:sz w:val="15"/>
                              </w:rPr>
                              <w:t> </w:t>
                            </w:r>
                            <w:r>
                              <w:rPr>
                                <w:color w:val="231F20"/>
                                <w:spacing w:val="-2"/>
                                <w:sz w:val="15"/>
                              </w:rPr>
                              <w:t>or</w:t>
                            </w:r>
                            <w:r>
                              <w:rPr>
                                <w:color w:val="231F20"/>
                                <w:spacing w:val="-4"/>
                                <w:sz w:val="15"/>
                              </w:rPr>
                              <w:t> </w:t>
                            </w:r>
                            <w:r>
                              <w:rPr>
                                <w:color w:val="231F20"/>
                                <w:spacing w:val="-2"/>
                                <w:sz w:val="15"/>
                              </w:rPr>
                              <w:t>postvaccinal</w:t>
                            </w:r>
                            <w:r>
                              <w:rPr>
                                <w:color w:val="231F20"/>
                                <w:spacing w:val="-4"/>
                                <w:sz w:val="15"/>
                              </w:rPr>
                              <w:t> </w:t>
                            </w:r>
                            <w:r>
                              <w:rPr>
                                <w:color w:val="231F20"/>
                                <w:spacing w:val="-2"/>
                                <w:sz w:val="15"/>
                              </w:rPr>
                              <w:t>encephalitis</w:t>
                            </w:r>
                          </w:p>
                          <w:p>
                            <w:pPr>
                              <w:pStyle w:val="TableParagraph"/>
                              <w:spacing w:line="230" w:lineRule="auto" w:before="1"/>
                              <w:ind w:left="186" w:hanging="112"/>
                              <w:rPr>
                                <w:sz w:val="15"/>
                              </w:rPr>
                            </w:pPr>
                            <w:r>
                              <w:rPr>
                                <w:color w:val="231F20"/>
                                <w:sz w:val="15"/>
                              </w:rPr>
                              <w:t>Anti–N-methyl-</w:t>
                            </w:r>
                            <w:r>
                              <w:rPr>
                                <w:color w:val="231F20"/>
                                <w:sz w:val="12"/>
                              </w:rPr>
                              <w:t>D</w:t>
                            </w:r>
                            <w:r>
                              <w:rPr>
                                <w:color w:val="231F20"/>
                                <w:sz w:val="15"/>
                              </w:rPr>
                              <w:t>-aspartate (NMDA)–receptor antibody </w:t>
                            </w:r>
                            <w:r>
                              <w:rPr>
                                <w:color w:val="231F20"/>
                                <w:sz w:val="15"/>
                              </w:rPr>
                              <w:t>syndrome </w:t>
                            </w:r>
                            <w:r>
                              <w:rPr>
                                <w:color w:val="231F20"/>
                                <w:w w:val="105"/>
                                <w:sz w:val="15"/>
                              </w:rPr>
                              <w:t>(Limbic encephalitis)</w:t>
                            </w:r>
                          </w:p>
                          <w:p>
                            <w:pPr>
                              <w:pStyle w:val="TableParagraph"/>
                              <w:spacing w:line="170" w:lineRule="exact"/>
                              <w:ind w:left="74"/>
                              <w:rPr>
                                <w:sz w:val="15"/>
                              </w:rPr>
                            </w:pPr>
                            <w:r>
                              <w:rPr>
                                <w:color w:val="231F20"/>
                                <w:spacing w:val="-2"/>
                                <w:sz w:val="15"/>
                              </w:rPr>
                              <w:t>Paraneoplastic</w:t>
                            </w:r>
                            <w:r>
                              <w:rPr>
                                <w:color w:val="231F20"/>
                                <w:spacing w:val="9"/>
                                <w:sz w:val="15"/>
                              </w:rPr>
                              <w:t> </w:t>
                            </w:r>
                            <w:r>
                              <w:rPr>
                                <w:color w:val="231F20"/>
                                <w:spacing w:val="-2"/>
                                <w:sz w:val="15"/>
                              </w:rPr>
                              <w:t>choreas</w:t>
                            </w:r>
                          </w:p>
                        </w:tc>
                      </w:tr>
                      <w:tr>
                        <w:trPr>
                          <w:trHeight w:val="159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INFECTIOUS</w:t>
                            </w:r>
                            <w:r>
                              <w:rPr>
                                <w:color w:val="231F20"/>
                                <w:spacing w:val="12"/>
                                <w:w w:val="115"/>
                                <w:sz w:val="15"/>
                              </w:rPr>
                              <w:t> </w:t>
                            </w:r>
                            <w:r>
                              <w:rPr>
                                <w:color w:val="231F20"/>
                                <w:spacing w:val="-2"/>
                                <w:w w:val="115"/>
                                <w:sz w:val="15"/>
                              </w:rPr>
                              <w:t>CHOREA</w:t>
                            </w:r>
                          </w:p>
                          <w:p>
                            <w:pPr>
                              <w:pStyle w:val="TableParagraph"/>
                              <w:spacing w:line="230" w:lineRule="auto" w:before="3"/>
                              <w:ind w:left="74" w:right="3176"/>
                              <w:rPr>
                                <w:sz w:val="15"/>
                              </w:rPr>
                            </w:pPr>
                            <w:r>
                              <w:rPr>
                                <w:color w:val="231F20"/>
                                <w:sz w:val="15"/>
                              </w:rPr>
                              <w:t>HIV</w:t>
                            </w:r>
                            <w:r>
                              <w:rPr>
                                <w:color w:val="231F20"/>
                                <w:spacing w:val="-12"/>
                                <w:sz w:val="15"/>
                              </w:rPr>
                              <w:t> </w:t>
                            </w:r>
                            <w:r>
                              <w:rPr>
                                <w:color w:val="231F20"/>
                                <w:sz w:val="15"/>
                              </w:rPr>
                              <w:t>encephalopathy </w:t>
                            </w:r>
                            <w:r>
                              <w:rPr>
                                <w:color w:val="231F20"/>
                                <w:spacing w:val="-2"/>
                                <w:sz w:val="15"/>
                              </w:rPr>
                              <w:t>Toxoplasmosis Cysticercosis Diphtheria</w:t>
                            </w:r>
                          </w:p>
                          <w:p>
                            <w:pPr>
                              <w:pStyle w:val="TableParagraph"/>
                              <w:spacing w:line="230" w:lineRule="auto" w:before="3"/>
                              <w:ind w:left="74" w:right="2667"/>
                              <w:rPr>
                                <w:sz w:val="15"/>
                              </w:rPr>
                            </w:pPr>
                            <w:r>
                              <w:rPr>
                                <w:color w:val="231F20"/>
                                <w:spacing w:val="-2"/>
                                <w:sz w:val="15"/>
                              </w:rPr>
                              <w:t>Bacterial</w:t>
                            </w:r>
                            <w:r>
                              <w:rPr>
                                <w:color w:val="231F20"/>
                                <w:spacing w:val="-10"/>
                                <w:sz w:val="15"/>
                              </w:rPr>
                              <w:t> </w:t>
                            </w:r>
                            <w:r>
                              <w:rPr>
                                <w:color w:val="231F20"/>
                                <w:spacing w:val="-2"/>
                                <w:sz w:val="15"/>
                              </w:rPr>
                              <w:t>endocarditis Neurosyphilis</w:t>
                            </w:r>
                          </w:p>
                          <w:p>
                            <w:pPr>
                              <w:pStyle w:val="TableParagraph"/>
                              <w:spacing w:line="167" w:lineRule="exact"/>
                              <w:ind w:left="74"/>
                              <w:rPr>
                                <w:sz w:val="15"/>
                              </w:rPr>
                            </w:pPr>
                            <w:r>
                              <w:rPr>
                                <w:color w:val="231F20"/>
                                <w:spacing w:val="-2"/>
                                <w:sz w:val="15"/>
                              </w:rPr>
                              <w:t>Scarlet</w:t>
                            </w:r>
                            <w:r>
                              <w:rPr>
                                <w:color w:val="231F20"/>
                                <w:spacing w:val="-4"/>
                                <w:sz w:val="15"/>
                              </w:rPr>
                              <w:t> </w:t>
                            </w:r>
                            <w:r>
                              <w:rPr>
                                <w:color w:val="231F20"/>
                                <w:spacing w:val="-2"/>
                                <w:sz w:val="15"/>
                              </w:rPr>
                              <w:t>fever</w:t>
                            </w:r>
                          </w:p>
                          <w:p>
                            <w:pPr>
                              <w:pStyle w:val="TableParagraph"/>
                              <w:spacing w:line="171" w:lineRule="exact"/>
                              <w:ind w:left="74"/>
                              <w:rPr>
                                <w:sz w:val="15"/>
                              </w:rPr>
                            </w:pPr>
                            <w:r>
                              <w:rPr>
                                <w:color w:val="231F20"/>
                                <w:spacing w:val="-2"/>
                                <w:sz w:val="15"/>
                              </w:rPr>
                              <w:t>Viral</w:t>
                            </w:r>
                            <w:r>
                              <w:rPr>
                                <w:color w:val="231F20"/>
                                <w:spacing w:val="-5"/>
                                <w:sz w:val="15"/>
                              </w:rPr>
                              <w:t> </w:t>
                            </w:r>
                            <w:r>
                              <w:rPr>
                                <w:color w:val="231F20"/>
                                <w:spacing w:val="-2"/>
                                <w:sz w:val="15"/>
                              </w:rPr>
                              <w:t>encephalitis</w:t>
                            </w:r>
                            <w:r>
                              <w:rPr>
                                <w:color w:val="231F20"/>
                                <w:spacing w:val="-4"/>
                                <w:sz w:val="15"/>
                              </w:rPr>
                              <w:t> </w:t>
                            </w:r>
                            <w:r>
                              <w:rPr>
                                <w:color w:val="231F20"/>
                                <w:spacing w:val="-2"/>
                                <w:sz w:val="15"/>
                              </w:rPr>
                              <w:t>(mumps,</w:t>
                            </w:r>
                            <w:r>
                              <w:rPr>
                                <w:color w:val="231F20"/>
                                <w:spacing w:val="-4"/>
                                <w:sz w:val="15"/>
                              </w:rPr>
                              <w:t> </w:t>
                            </w:r>
                            <w:r>
                              <w:rPr>
                                <w:color w:val="231F20"/>
                                <w:spacing w:val="-2"/>
                                <w:sz w:val="15"/>
                              </w:rPr>
                              <w:t>measles,</w:t>
                            </w:r>
                            <w:r>
                              <w:rPr>
                                <w:color w:val="231F20"/>
                                <w:spacing w:val="-4"/>
                                <w:sz w:val="15"/>
                              </w:rPr>
                              <w:t> </w:t>
                            </w:r>
                            <w:r>
                              <w:rPr>
                                <w:color w:val="231F20"/>
                                <w:spacing w:val="-2"/>
                                <w:sz w:val="15"/>
                              </w:rPr>
                              <w:t>varicella)</w:t>
                            </w:r>
                          </w:p>
                        </w:tc>
                      </w:tr>
                      <w:tr>
                        <w:trPr>
                          <w:trHeight w:val="2102"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METABOLIC</w:t>
                            </w:r>
                            <w:r>
                              <w:rPr>
                                <w:color w:val="231F20"/>
                                <w:spacing w:val="10"/>
                                <w:w w:val="110"/>
                                <w:sz w:val="15"/>
                              </w:rPr>
                              <w:t> </w:t>
                            </w:r>
                            <w:r>
                              <w:rPr>
                                <w:color w:val="231F20"/>
                                <w:w w:val="110"/>
                                <w:sz w:val="15"/>
                              </w:rPr>
                              <w:t>DRUG</w:t>
                            </w:r>
                            <w:r>
                              <w:rPr>
                                <w:color w:val="231F20"/>
                                <w:spacing w:val="9"/>
                                <w:w w:val="110"/>
                                <w:sz w:val="15"/>
                              </w:rPr>
                              <w:t> </w:t>
                            </w:r>
                            <w:r>
                              <w:rPr>
                                <w:color w:val="231F20"/>
                                <w:w w:val="110"/>
                                <w:sz w:val="15"/>
                              </w:rPr>
                              <w:t>OR</w:t>
                            </w:r>
                            <w:r>
                              <w:rPr>
                                <w:color w:val="231F20"/>
                                <w:spacing w:val="10"/>
                                <w:w w:val="110"/>
                                <w:sz w:val="15"/>
                              </w:rPr>
                              <w:t> </w:t>
                            </w:r>
                            <w:r>
                              <w:rPr>
                                <w:color w:val="231F20"/>
                                <w:w w:val="110"/>
                                <w:sz w:val="15"/>
                              </w:rPr>
                              <w:t>TOXIC</w:t>
                            </w:r>
                            <w:r>
                              <w:rPr>
                                <w:color w:val="231F20"/>
                                <w:spacing w:val="10"/>
                                <w:w w:val="110"/>
                                <w:sz w:val="15"/>
                              </w:rPr>
                              <w:t> </w:t>
                            </w:r>
                            <w:r>
                              <w:rPr>
                                <w:color w:val="231F20"/>
                                <w:spacing w:val="-2"/>
                                <w:w w:val="110"/>
                                <w:sz w:val="15"/>
                              </w:rPr>
                              <w:t>ENCEPHALOPATHIES</w:t>
                            </w:r>
                          </w:p>
                          <w:p>
                            <w:pPr>
                              <w:pStyle w:val="TableParagraph"/>
                              <w:spacing w:line="230" w:lineRule="auto" w:before="3"/>
                              <w:ind w:left="74" w:right="2728"/>
                              <w:rPr>
                                <w:sz w:val="15"/>
                              </w:rPr>
                            </w:pPr>
                            <w:r>
                              <w:rPr>
                                <w:color w:val="231F20"/>
                                <w:spacing w:val="-2"/>
                                <w:sz w:val="15"/>
                              </w:rPr>
                              <w:t>Acute</w:t>
                            </w:r>
                            <w:r>
                              <w:rPr>
                                <w:color w:val="231F20"/>
                                <w:spacing w:val="-10"/>
                                <w:sz w:val="15"/>
                              </w:rPr>
                              <w:t> </w:t>
                            </w:r>
                            <w:r>
                              <w:rPr>
                                <w:color w:val="231F20"/>
                                <w:spacing w:val="-2"/>
                                <w:sz w:val="15"/>
                              </w:rPr>
                              <w:t>intermittent</w:t>
                            </w:r>
                            <w:r>
                              <w:rPr>
                                <w:color w:val="231F20"/>
                                <w:spacing w:val="-9"/>
                                <w:sz w:val="15"/>
                              </w:rPr>
                              <w:t> </w:t>
                            </w:r>
                            <w:r>
                              <w:rPr>
                                <w:color w:val="231F20"/>
                                <w:spacing w:val="-2"/>
                                <w:sz w:val="15"/>
                              </w:rPr>
                              <w:t>porphyria Hypo-/hypernatremia Hypocalcemia Hyperthyroidism Hypoparathyroidism </w:t>
                            </w:r>
                            <w:r>
                              <w:rPr>
                                <w:color w:val="231F20"/>
                                <w:sz w:val="15"/>
                              </w:rPr>
                              <w:t>Hepatic/renal failure</w:t>
                            </w:r>
                          </w:p>
                          <w:p>
                            <w:pPr>
                              <w:pStyle w:val="TableParagraph"/>
                              <w:spacing w:line="230" w:lineRule="auto" w:before="5"/>
                              <w:ind w:left="74" w:right="2685"/>
                              <w:rPr>
                                <w:sz w:val="15"/>
                              </w:rPr>
                            </w:pPr>
                            <w:r>
                              <w:rPr>
                                <w:color w:val="231F20"/>
                                <w:w w:val="105"/>
                                <w:sz w:val="15"/>
                              </w:rPr>
                              <w:t>Carbon</w:t>
                            </w:r>
                            <w:r>
                              <w:rPr>
                                <w:color w:val="231F20"/>
                                <w:spacing w:val="-12"/>
                                <w:w w:val="105"/>
                                <w:sz w:val="15"/>
                              </w:rPr>
                              <w:t> </w:t>
                            </w:r>
                            <w:r>
                              <w:rPr>
                                <w:color w:val="231F20"/>
                                <w:w w:val="105"/>
                                <w:sz w:val="15"/>
                              </w:rPr>
                              <w:t>monoxide</w:t>
                            </w:r>
                            <w:r>
                              <w:rPr>
                                <w:color w:val="231F20"/>
                                <w:spacing w:val="-12"/>
                                <w:w w:val="105"/>
                                <w:sz w:val="15"/>
                              </w:rPr>
                              <w:t> </w:t>
                            </w:r>
                            <w:r>
                              <w:rPr>
                                <w:color w:val="231F20"/>
                                <w:w w:val="105"/>
                                <w:sz w:val="15"/>
                              </w:rPr>
                              <w:t>poisoning Manganese poisoning Mercury poisoning Organophosphate</w:t>
                            </w:r>
                            <w:r>
                              <w:rPr>
                                <w:color w:val="231F20"/>
                                <w:spacing w:val="-12"/>
                                <w:w w:val="105"/>
                                <w:sz w:val="15"/>
                              </w:rPr>
                              <w:t> </w:t>
                            </w:r>
                            <w:r>
                              <w:rPr>
                                <w:color w:val="231F20"/>
                                <w:w w:val="105"/>
                                <w:sz w:val="15"/>
                              </w:rPr>
                              <w:t>poisoning </w:t>
                            </w:r>
                            <w:r>
                              <w:rPr>
                                <w:color w:val="231F20"/>
                                <w:spacing w:val="-2"/>
                                <w:w w:val="105"/>
                                <w:sz w:val="15"/>
                              </w:rPr>
                              <w:t>Pheochromocytoma</w:t>
                            </w:r>
                          </w:p>
                        </w:tc>
                      </w:tr>
                      <w:tr>
                        <w:trPr>
                          <w:trHeight w:val="248"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w w:val="105"/>
                                <w:sz w:val="15"/>
                              </w:rPr>
                              <w:t>DRUG-INDUCED</w:t>
                            </w:r>
                            <w:r>
                              <w:rPr>
                                <w:color w:val="231F20"/>
                                <w:spacing w:val="19"/>
                                <w:w w:val="105"/>
                                <w:sz w:val="15"/>
                              </w:rPr>
                              <w:t> </w:t>
                            </w:r>
                            <w:r>
                              <w:rPr>
                                <w:color w:val="231F20"/>
                                <w:w w:val="105"/>
                                <w:sz w:val="15"/>
                              </w:rPr>
                              <w:t>CHOREA</w:t>
                            </w:r>
                            <w:r>
                              <w:rPr>
                                <w:color w:val="231F20"/>
                                <w:spacing w:val="20"/>
                                <w:w w:val="105"/>
                                <w:sz w:val="15"/>
                              </w:rPr>
                              <w:t> </w:t>
                            </w:r>
                            <w:r>
                              <w:rPr>
                                <w:color w:val="231F20"/>
                                <w:w w:val="105"/>
                                <w:sz w:val="15"/>
                              </w:rPr>
                              <w:t>(see</w:t>
                            </w:r>
                            <w:r>
                              <w:rPr>
                                <w:color w:val="231F20"/>
                                <w:spacing w:val="20"/>
                                <w:w w:val="105"/>
                                <w:sz w:val="15"/>
                              </w:rPr>
                              <w:t> </w:t>
                            </w:r>
                            <w:r>
                              <w:rPr>
                                <w:color w:val="0080AC"/>
                                <w:w w:val="105"/>
                                <w:sz w:val="15"/>
                              </w:rPr>
                              <w:t>Table</w:t>
                            </w:r>
                            <w:r>
                              <w:rPr>
                                <w:color w:val="0080AC"/>
                                <w:spacing w:val="20"/>
                                <w:w w:val="105"/>
                                <w:sz w:val="15"/>
                              </w:rPr>
                              <w:t> </w:t>
                            </w:r>
                            <w:r>
                              <w:rPr>
                                <w:color w:val="0080AC"/>
                                <w:w w:val="105"/>
                                <w:sz w:val="15"/>
                              </w:rPr>
                              <w:t>597-</w:t>
                            </w:r>
                            <w:r>
                              <w:rPr>
                                <w:color w:val="0080AC"/>
                                <w:spacing w:val="-5"/>
                                <w:w w:val="105"/>
                                <w:sz w:val="15"/>
                              </w:rPr>
                              <w:t>8</w:t>
                            </w:r>
                            <w:r>
                              <w:rPr>
                                <w:color w:val="231F20"/>
                                <w:spacing w:val="-5"/>
                                <w:w w:val="105"/>
                                <w:sz w:val="15"/>
                              </w:rPr>
                              <w:t>)</w:t>
                            </w:r>
                          </w:p>
                        </w:tc>
                      </w:tr>
                    </w:tbl>
                    <w:p>
                      <w:pPr>
                        <w:pStyle w:val="BodyText"/>
                      </w:pPr>
                    </w:p>
                  </w:txbxContent>
                </v:textbox>
                <w10:wrap type="none"/>
              </v:shape>
            </w:pict>
          </mc:Fallback>
        </mc:AlternateContent>
      </w:r>
      <w:r>
        <w:rPr>
          <w:color w:val="231F20"/>
        </w:rPr>
        <w:t>Some features that may help distinguish an initial acute episode of</w:t>
      </w:r>
      <w:r>
        <w:rPr>
          <w:color w:val="231F20"/>
          <w:spacing w:val="40"/>
        </w:rPr>
        <w:t> </w:t>
      </w:r>
      <w:r>
        <w:rPr>
          <w:color w:val="231F20"/>
        </w:rPr>
        <w:t>demyelination</w:t>
      </w:r>
      <w:r>
        <w:rPr>
          <w:color w:val="231F20"/>
          <w:spacing w:val="-2"/>
        </w:rPr>
        <w:t> </w:t>
      </w:r>
      <w:r>
        <w:rPr>
          <w:color w:val="231F20"/>
        </w:rPr>
        <w:t>from</w:t>
      </w:r>
      <w:r>
        <w:rPr>
          <w:color w:val="231F20"/>
          <w:spacing w:val="-2"/>
        </w:rPr>
        <w:t> </w:t>
      </w:r>
      <w:r>
        <w:rPr>
          <w:color w:val="231F20"/>
        </w:rPr>
        <w:t>a</w:t>
      </w:r>
      <w:r>
        <w:rPr>
          <w:color w:val="231F20"/>
          <w:spacing w:val="-2"/>
        </w:rPr>
        <w:t> </w:t>
      </w:r>
      <w:r>
        <w:rPr>
          <w:color w:val="231F20"/>
        </w:rPr>
        <w:t>first</w:t>
      </w:r>
      <w:r>
        <w:rPr>
          <w:color w:val="231F20"/>
          <w:spacing w:val="-2"/>
        </w:rPr>
        <w:t> </w:t>
      </w:r>
      <w:r>
        <w:rPr>
          <w:color w:val="231F20"/>
        </w:rPr>
        <w:t>attack</w:t>
      </w:r>
      <w:r>
        <w:rPr>
          <w:color w:val="231F20"/>
          <w:spacing w:val="-2"/>
        </w:rPr>
        <w:t> </w:t>
      </w:r>
      <w:r>
        <w:rPr>
          <w:color w:val="231F20"/>
        </w:rPr>
        <w:t>of</w:t>
      </w:r>
      <w:r>
        <w:rPr>
          <w:color w:val="231F20"/>
          <w:spacing w:val="-2"/>
        </w:rPr>
        <w:t> </w:t>
      </w:r>
      <w:r>
        <w:rPr>
          <w:color w:val="231F20"/>
        </w:rPr>
        <w:t>MS</w:t>
      </w:r>
      <w:r>
        <w:rPr>
          <w:color w:val="231F20"/>
          <w:spacing w:val="-2"/>
        </w:rPr>
        <w:t> </w:t>
      </w:r>
      <w:r>
        <w:rPr>
          <w:color w:val="231F20"/>
        </w:rPr>
        <w:t>in</w:t>
      </w:r>
      <w:r>
        <w:rPr>
          <w:color w:val="231F20"/>
          <w:spacing w:val="-2"/>
        </w:rPr>
        <w:t> </w:t>
      </w:r>
      <w:r>
        <w:rPr>
          <w:color w:val="231F20"/>
        </w:rPr>
        <w:t>children.</w:t>
      </w:r>
      <w:r>
        <w:rPr>
          <w:color w:val="231F20"/>
          <w:spacing w:val="-2"/>
        </w:rPr>
        <w:t> </w:t>
      </w:r>
      <w:r>
        <w:rPr>
          <w:color w:val="231F20"/>
        </w:rPr>
        <w:t>Final</w:t>
      </w:r>
      <w:r>
        <w:rPr>
          <w:color w:val="231F20"/>
          <w:spacing w:val="-2"/>
        </w:rPr>
        <w:t> </w:t>
      </w:r>
      <w:r>
        <w:rPr>
          <w:color w:val="231F20"/>
        </w:rPr>
        <w:t>diagnosis</w:t>
      </w:r>
      <w:r>
        <w:rPr>
          <w:color w:val="231F20"/>
          <w:spacing w:val="-2"/>
        </w:rPr>
        <w:t> </w:t>
      </w:r>
      <w:r>
        <w:rPr>
          <w:color w:val="231F20"/>
        </w:rPr>
        <w:t>of</w:t>
      </w:r>
      <w:r>
        <w:rPr>
          <w:color w:val="231F20"/>
          <w:spacing w:val="-2"/>
        </w:rPr>
        <w:t> </w:t>
      </w:r>
      <w:r>
        <w:rPr>
          <w:color w:val="231F20"/>
        </w:rPr>
        <w:t>MS</w:t>
      </w:r>
      <w:r>
        <w:rPr>
          <w:color w:val="231F20"/>
          <w:spacing w:val="-2"/>
        </w:rPr>
        <w:t> </w:t>
      </w:r>
      <w:r>
        <w:rPr>
          <w:color w:val="231F20"/>
        </w:rPr>
        <w:t>is</w:t>
      </w:r>
      <w:r>
        <w:rPr>
          <w:color w:val="231F20"/>
          <w:spacing w:val="40"/>
        </w:rPr>
        <w:t> </w:t>
      </w:r>
      <w:r>
        <w:rPr>
          <w:color w:val="231F20"/>
        </w:rPr>
        <w:t>based on follow-up evaluation and possibly MRI.</w:t>
      </w:r>
    </w:p>
    <w:p>
      <w:pPr>
        <w:pStyle w:val="BodyText"/>
        <w:spacing w:line="237" w:lineRule="auto"/>
        <w:ind w:left="530" w:right="5432" w:firstLine="130"/>
      </w:pPr>
      <w:r>
        <w:rPr>
          <w:rFonts w:ascii="Cambria" w:hAnsi="Cambria"/>
          <w:color w:val="231F20"/>
        </w:rPr>
        <w:t>+</w:t>
      </w:r>
      <w:r>
        <w:rPr>
          <w:color w:val="231F20"/>
        </w:rPr>
        <w:t>, More likely to be present; </w:t>
      </w:r>
      <w:r>
        <w:rPr>
          <w:rFonts w:ascii="Cambria" w:hAnsi="Cambria"/>
          <w:color w:val="231F20"/>
        </w:rPr>
        <w:t>−</w:t>
      </w:r>
      <w:r>
        <w:rPr>
          <w:color w:val="231F20"/>
        </w:rPr>
        <w:t>, less likely to be present; ADEM, acute</w:t>
      </w:r>
      <w:r>
        <w:rPr>
          <w:color w:val="231F20"/>
          <w:spacing w:val="40"/>
        </w:rPr>
        <w:t> </w:t>
      </w:r>
      <w:r>
        <w:rPr>
          <w:color w:val="231F20"/>
        </w:rPr>
        <w:t>disseminated</w:t>
      </w:r>
      <w:r>
        <w:rPr>
          <w:color w:val="231F20"/>
          <w:spacing w:val="-10"/>
        </w:rPr>
        <w:t> </w:t>
      </w:r>
      <w:r>
        <w:rPr>
          <w:color w:val="231F20"/>
        </w:rPr>
        <w:t>encephalomyelitis;</w:t>
      </w:r>
      <w:r>
        <w:rPr>
          <w:color w:val="231F20"/>
          <w:spacing w:val="-9"/>
        </w:rPr>
        <w:t> </w:t>
      </w:r>
      <w:r>
        <w:rPr>
          <w:color w:val="231F20"/>
        </w:rPr>
        <w:t>CSF,</w:t>
      </w:r>
      <w:r>
        <w:rPr>
          <w:color w:val="231F20"/>
          <w:spacing w:val="-10"/>
        </w:rPr>
        <w:t> </w:t>
      </w:r>
      <w:r>
        <w:rPr>
          <w:color w:val="231F20"/>
        </w:rPr>
        <w:t>cerebrospinal</w:t>
      </w:r>
      <w:r>
        <w:rPr>
          <w:color w:val="231F20"/>
          <w:spacing w:val="-9"/>
        </w:rPr>
        <w:t> </w:t>
      </w:r>
      <w:r>
        <w:rPr>
          <w:color w:val="231F20"/>
        </w:rPr>
        <w:t>fluid;</w:t>
      </w:r>
      <w:r>
        <w:rPr>
          <w:color w:val="231F20"/>
          <w:spacing w:val="-10"/>
        </w:rPr>
        <w:t> </w:t>
      </w:r>
      <w:r>
        <w:rPr>
          <w:color w:val="231F20"/>
        </w:rPr>
        <w:t>MS,</w:t>
      </w:r>
      <w:r>
        <w:rPr>
          <w:color w:val="231F20"/>
          <w:spacing w:val="-9"/>
        </w:rPr>
        <w:t> </w:t>
      </w:r>
      <w:r>
        <w:rPr>
          <w:color w:val="231F20"/>
        </w:rPr>
        <w:t>multiple</w:t>
      </w:r>
      <w:r>
        <w:rPr>
          <w:color w:val="231F20"/>
          <w:spacing w:val="-10"/>
        </w:rPr>
        <w:t> </w:t>
      </w:r>
      <w:r>
        <w:rPr>
          <w:color w:val="231F20"/>
        </w:rPr>
        <w:t>sclerosis.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after="1"/>
        <w:rPr>
          <w:sz w:val="20"/>
        </w:rPr>
      </w:pPr>
    </w:p>
    <w:tbl>
      <w:tblPr>
        <w:tblW w:w="0" w:type="auto"/>
        <w:jc w:val="left"/>
        <w:tblInd w:w="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134"/>
        <w:gridCol w:w="746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1</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Selected</w:t>
            </w:r>
            <w:r>
              <w:rPr>
                <w:color w:val="FFFFFF"/>
                <w:spacing w:val="9"/>
                <w:w w:val="105"/>
                <w:sz w:val="16"/>
              </w:rPr>
              <w:t> </w:t>
            </w:r>
            <w:r>
              <w:rPr>
                <w:color w:val="FFFFFF"/>
                <w:w w:val="105"/>
                <w:sz w:val="16"/>
              </w:rPr>
              <w:t>Types</w:t>
            </w:r>
            <w:r>
              <w:rPr>
                <w:color w:val="FFFFFF"/>
                <w:spacing w:val="9"/>
                <w:w w:val="105"/>
                <w:sz w:val="16"/>
              </w:rPr>
              <w:t> </w:t>
            </w:r>
            <w:r>
              <w:rPr>
                <w:color w:val="FFFFFF"/>
                <w:w w:val="105"/>
                <w:sz w:val="16"/>
              </w:rPr>
              <w:t>of</w:t>
            </w:r>
            <w:r>
              <w:rPr>
                <w:color w:val="FFFFFF"/>
                <w:spacing w:val="10"/>
                <w:w w:val="105"/>
                <w:sz w:val="16"/>
              </w:rPr>
              <w:t> </w:t>
            </w:r>
            <w:r>
              <w:rPr>
                <w:color w:val="FFFFFF"/>
                <w:w w:val="105"/>
                <w:sz w:val="16"/>
              </w:rPr>
              <w:t>Involuntary</w:t>
            </w:r>
            <w:r>
              <w:rPr>
                <w:color w:val="FFFFFF"/>
                <w:spacing w:val="9"/>
                <w:w w:val="105"/>
                <w:sz w:val="16"/>
              </w:rPr>
              <w:t> </w:t>
            </w:r>
            <w:r>
              <w:rPr>
                <w:color w:val="FFFFFF"/>
                <w:w w:val="105"/>
                <w:sz w:val="16"/>
              </w:rPr>
              <w:t>Movement</w:t>
            </w:r>
            <w:r>
              <w:rPr>
                <w:color w:val="FFFFFF"/>
                <w:spacing w:val="9"/>
                <w:w w:val="105"/>
                <w:sz w:val="16"/>
              </w:rPr>
              <w:t> </w:t>
            </w:r>
            <w:r>
              <w:rPr>
                <w:color w:val="FFFFFF"/>
                <w:w w:val="105"/>
                <w:sz w:val="16"/>
              </w:rPr>
              <w:t>in</w:t>
            </w:r>
            <w:r>
              <w:rPr>
                <w:color w:val="FFFFFF"/>
                <w:spacing w:val="9"/>
                <w:w w:val="105"/>
                <w:sz w:val="16"/>
              </w:rPr>
              <w:t> </w:t>
            </w:r>
            <w:r>
              <w:rPr>
                <w:color w:val="FFFFFF"/>
                <w:spacing w:val="-2"/>
                <w:w w:val="105"/>
                <w:sz w:val="16"/>
              </w:rPr>
              <w:t>Childhood</w:t>
            </w:r>
          </w:p>
        </w:tc>
      </w:tr>
      <w:tr>
        <w:trPr>
          <w:trHeight w:val="257" w:hRule="atLeast"/>
        </w:trPr>
        <w:tc>
          <w:tcPr>
            <w:tcW w:w="2282" w:type="dxa"/>
            <w:gridSpan w:val="2"/>
            <w:tcBorders>
              <w:bottom w:val="single" w:sz="4" w:space="0" w:color="231F20"/>
            </w:tcBorders>
            <w:shd w:val="clear" w:color="auto" w:fill="E8F5F1"/>
          </w:tcPr>
          <w:p>
            <w:pPr>
              <w:pStyle w:val="TableParagraph"/>
              <w:spacing w:before="47"/>
              <w:ind w:left="74"/>
              <w:rPr>
                <w:b/>
                <w:sz w:val="15"/>
              </w:rPr>
            </w:pPr>
            <w:r>
              <w:rPr>
                <w:b/>
                <w:color w:val="231F20"/>
                <w:spacing w:val="-4"/>
                <w:w w:val="105"/>
                <w:sz w:val="15"/>
              </w:rPr>
              <w:t>TYPE</w:t>
            </w:r>
          </w:p>
        </w:tc>
        <w:tc>
          <w:tcPr>
            <w:tcW w:w="7460" w:type="dxa"/>
            <w:tcBorders>
              <w:bottom w:val="single" w:sz="4" w:space="0" w:color="231F20"/>
            </w:tcBorders>
            <w:shd w:val="clear" w:color="auto" w:fill="E8F5F1"/>
          </w:tcPr>
          <w:p>
            <w:pPr>
              <w:pStyle w:val="TableParagraph"/>
              <w:spacing w:before="47"/>
              <w:ind w:left="158"/>
              <w:jc w:val="center"/>
              <w:rPr>
                <w:b/>
                <w:sz w:val="15"/>
              </w:rPr>
            </w:pPr>
            <w:r>
              <w:rPr>
                <w:b/>
                <w:color w:val="231F20"/>
                <w:spacing w:val="-2"/>
                <w:w w:val="110"/>
                <w:sz w:val="15"/>
              </w:rPr>
              <w:t>CHARACTERISTICS</w:t>
            </w:r>
          </w:p>
        </w:tc>
      </w:tr>
      <w:tr>
        <w:trPr>
          <w:trHeight w:val="425" w:hRule="atLeast"/>
        </w:trPr>
        <w:tc>
          <w:tcPr>
            <w:tcW w:w="228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Stereotypies</w:t>
            </w:r>
            <w:r>
              <w:rPr>
                <w:color w:val="231F20"/>
                <w:spacing w:val="-4"/>
                <w:sz w:val="15"/>
              </w:rPr>
              <w:t> </w:t>
            </w:r>
            <w:r>
              <w:rPr>
                <w:color w:val="231F20"/>
                <w:sz w:val="15"/>
              </w:rPr>
              <w:t>(see</w:t>
            </w:r>
            <w:r>
              <w:rPr>
                <w:color w:val="231F20"/>
                <w:spacing w:val="-4"/>
                <w:sz w:val="15"/>
              </w:rPr>
              <w:t> </w:t>
            </w:r>
            <w:r>
              <w:rPr>
                <w:color w:val="231F20"/>
                <w:sz w:val="15"/>
              </w:rPr>
              <w:t>Chapter</w:t>
            </w:r>
            <w:r>
              <w:rPr>
                <w:color w:val="231F20"/>
                <w:spacing w:val="-4"/>
                <w:sz w:val="15"/>
              </w:rPr>
              <w:t> </w:t>
            </w:r>
            <w:r>
              <w:rPr>
                <w:color w:val="231F20"/>
                <w:spacing w:val="-5"/>
                <w:sz w:val="15"/>
              </w:rPr>
              <w:t>24)</w:t>
            </w:r>
          </w:p>
        </w:tc>
        <w:tc>
          <w:tcPr>
            <w:tcW w:w="7460" w:type="dxa"/>
            <w:tcBorders>
              <w:top w:val="single" w:sz="4" w:space="0" w:color="231F20"/>
              <w:bottom w:val="single" w:sz="4" w:space="0" w:color="FFFFFF"/>
            </w:tcBorders>
            <w:shd w:val="clear" w:color="auto" w:fill="E8F5F1"/>
          </w:tcPr>
          <w:p>
            <w:pPr>
              <w:pStyle w:val="TableParagraph"/>
              <w:spacing w:line="230" w:lineRule="auto" w:before="52"/>
              <w:ind w:left="346" w:right="67" w:hanging="112"/>
              <w:rPr>
                <w:sz w:val="15"/>
              </w:rPr>
            </w:pPr>
            <w:r>
              <w:rPr>
                <w:color w:val="231F20"/>
                <w:spacing w:val="-2"/>
                <w:sz w:val="15"/>
              </w:rPr>
              <w:t>Involuntary,</w:t>
            </w:r>
            <w:r>
              <w:rPr>
                <w:color w:val="231F20"/>
                <w:spacing w:val="-5"/>
                <w:sz w:val="15"/>
              </w:rPr>
              <w:t> </w:t>
            </w:r>
            <w:r>
              <w:rPr>
                <w:color w:val="231F20"/>
                <w:spacing w:val="-2"/>
                <w:sz w:val="15"/>
              </w:rPr>
              <w:t>patterned,</w:t>
            </w:r>
            <w:r>
              <w:rPr>
                <w:color w:val="231F20"/>
                <w:spacing w:val="-5"/>
                <w:sz w:val="15"/>
              </w:rPr>
              <w:t> </w:t>
            </w:r>
            <w:r>
              <w:rPr>
                <w:color w:val="231F20"/>
                <w:spacing w:val="-2"/>
                <w:sz w:val="15"/>
              </w:rPr>
              <w:t>coordinated,</w:t>
            </w:r>
            <w:r>
              <w:rPr>
                <w:color w:val="231F20"/>
                <w:spacing w:val="-5"/>
                <w:sz w:val="15"/>
              </w:rPr>
              <w:t> </w:t>
            </w:r>
            <w:r>
              <w:rPr>
                <w:color w:val="231F20"/>
                <w:spacing w:val="-2"/>
                <w:sz w:val="15"/>
              </w:rPr>
              <w:t>repetitive,</w:t>
            </w:r>
            <w:r>
              <w:rPr>
                <w:color w:val="231F20"/>
                <w:spacing w:val="-5"/>
                <w:sz w:val="15"/>
              </w:rPr>
              <w:t> </w:t>
            </w:r>
            <w:r>
              <w:rPr>
                <w:color w:val="231F20"/>
                <w:spacing w:val="-2"/>
                <w:sz w:val="15"/>
              </w:rPr>
              <w:t>rhythmic</w:t>
            </w:r>
            <w:r>
              <w:rPr>
                <w:color w:val="231F20"/>
                <w:spacing w:val="-5"/>
                <w:sz w:val="15"/>
              </w:rPr>
              <w:t> </w:t>
            </w:r>
            <w:r>
              <w:rPr>
                <w:color w:val="231F20"/>
                <w:spacing w:val="-2"/>
                <w:sz w:val="15"/>
              </w:rPr>
              <w:t>movements</w:t>
            </w:r>
            <w:r>
              <w:rPr>
                <w:color w:val="231F20"/>
                <w:spacing w:val="-5"/>
                <w:sz w:val="15"/>
              </w:rPr>
              <w:t> </w:t>
            </w:r>
            <w:r>
              <w:rPr>
                <w:color w:val="231F20"/>
                <w:spacing w:val="-2"/>
                <w:sz w:val="15"/>
              </w:rPr>
              <w:t>that</w:t>
            </w:r>
            <w:r>
              <w:rPr>
                <w:color w:val="231F20"/>
                <w:spacing w:val="-5"/>
                <w:sz w:val="15"/>
              </w:rPr>
              <w:t> </w:t>
            </w:r>
            <w:r>
              <w:rPr>
                <w:color w:val="231F20"/>
                <w:spacing w:val="-2"/>
                <w:sz w:val="15"/>
              </w:rPr>
              <w:t>occur</w:t>
            </w:r>
            <w:r>
              <w:rPr>
                <w:color w:val="231F20"/>
                <w:spacing w:val="-5"/>
                <w:sz w:val="15"/>
              </w:rPr>
              <w:t> </w:t>
            </w:r>
            <w:r>
              <w:rPr>
                <w:color w:val="231F20"/>
                <w:spacing w:val="-2"/>
                <w:sz w:val="15"/>
              </w:rPr>
              <w:t>in</w:t>
            </w:r>
            <w:r>
              <w:rPr>
                <w:color w:val="231F20"/>
                <w:spacing w:val="-5"/>
                <w:sz w:val="15"/>
              </w:rPr>
              <w:t> </w:t>
            </w:r>
            <w:r>
              <w:rPr>
                <w:color w:val="231F20"/>
                <w:spacing w:val="-2"/>
                <w:sz w:val="15"/>
              </w:rPr>
              <w:t>the</w:t>
            </w:r>
            <w:r>
              <w:rPr>
                <w:color w:val="231F20"/>
                <w:spacing w:val="-5"/>
                <w:sz w:val="15"/>
              </w:rPr>
              <w:t> </w:t>
            </w:r>
            <w:r>
              <w:rPr>
                <w:color w:val="231F20"/>
                <w:spacing w:val="-2"/>
                <w:sz w:val="15"/>
              </w:rPr>
              <w:t>same</w:t>
            </w:r>
            <w:r>
              <w:rPr>
                <w:color w:val="231F20"/>
                <w:spacing w:val="-5"/>
                <w:sz w:val="15"/>
              </w:rPr>
              <w:t> </w:t>
            </w:r>
            <w:r>
              <w:rPr>
                <w:color w:val="231F20"/>
                <w:spacing w:val="-2"/>
                <w:sz w:val="15"/>
              </w:rPr>
              <w:t>fashion</w:t>
            </w:r>
            <w:r>
              <w:rPr>
                <w:color w:val="231F20"/>
                <w:spacing w:val="-5"/>
                <w:sz w:val="15"/>
              </w:rPr>
              <w:t> </w:t>
            </w:r>
            <w:r>
              <w:rPr>
                <w:color w:val="231F20"/>
                <w:spacing w:val="-2"/>
                <w:sz w:val="15"/>
              </w:rPr>
              <w:t>with </w:t>
            </w:r>
            <w:r>
              <w:rPr>
                <w:color w:val="231F20"/>
                <w:sz w:val="15"/>
              </w:rPr>
              <w:t>each repetition</w:t>
            </w:r>
          </w:p>
        </w:tc>
      </w:tr>
      <w:tr>
        <w:trPr>
          <w:trHeight w:val="588" w:hRule="atLeast"/>
        </w:trPr>
        <w:tc>
          <w:tcPr>
            <w:tcW w:w="228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Tics</w:t>
            </w:r>
            <w:r>
              <w:rPr>
                <w:color w:val="231F20"/>
                <w:spacing w:val="-4"/>
                <w:sz w:val="15"/>
              </w:rPr>
              <w:t> </w:t>
            </w:r>
            <w:r>
              <w:rPr>
                <w:color w:val="231F20"/>
                <w:sz w:val="15"/>
              </w:rPr>
              <w:t>(see</w:t>
            </w:r>
            <w:r>
              <w:rPr>
                <w:color w:val="231F20"/>
                <w:spacing w:val="-4"/>
                <w:sz w:val="15"/>
              </w:rPr>
              <w:t> </w:t>
            </w:r>
            <w:r>
              <w:rPr>
                <w:color w:val="231F20"/>
                <w:sz w:val="15"/>
              </w:rPr>
              <w:t>Chapter</w:t>
            </w:r>
            <w:r>
              <w:rPr>
                <w:color w:val="231F20"/>
                <w:spacing w:val="-3"/>
                <w:sz w:val="15"/>
              </w:rPr>
              <w:t> </w:t>
            </w:r>
            <w:r>
              <w:rPr>
                <w:color w:val="231F20"/>
                <w:spacing w:val="-5"/>
                <w:sz w:val="15"/>
              </w:rPr>
              <w:t>24)</w:t>
            </w:r>
          </w:p>
        </w:tc>
        <w:tc>
          <w:tcPr>
            <w:tcW w:w="7460" w:type="dxa"/>
            <w:tcBorders>
              <w:top w:val="single" w:sz="4" w:space="0" w:color="FFFFFF"/>
              <w:bottom w:val="single" w:sz="4" w:space="0" w:color="FFFFFF"/>
            </w:tcBorders>
            <w:shd w:val="clear" w:color="auto" w:fill="E8F5F1"/>
          </w:tcPr>
          <w:p>
            <w:pPr>
              <w:pStyle w:val="TableParagraph"/>
              <w:spacing w:line="230" w:lineRule="auto" w:before="48"/>
              <w:ind w:left="346" w:right="67" w:hanging="112"/>
              <w:rPr>
                <w:sz w:val="15"/>
              </w:rPr>
            </w:pPr>
            <w:r>
              <w:rPr>
                <w:color w:val="231F20"/>
                <w:sz w:val="15"/>
              </w:rPr>
              <w:t>Involuntary,</w:t>
            </w:r>
            <w:r>
              <w:rPr>
                <w:color w:val="231F20"/>
                <w:spacing w:val="-1"/>
                <w:sz w:val="15"/>
              </w:rPr>
              <w:t> </w:t>
            </w:r>
            <w:r>
              <w:rPr>
                <w:color w:val="231F20"/>
                <w:sz w:val="15"/>
              </w:rPr>
              <w:t>sudden,</w:t>
            </w:r>
            <w:r>
              <w:rPr>
                <w:color w:val="231F20"/>
                <w:spacing w:val="-1"/>
                <w:sz w:val="15"/>
              </w:rPr>
              <w:t> </w:t>
            </w:r>
            <w:r>
              <w:rPr>
                <w:color w:val="231F20"/>
                <w:sz w:val="15"/>
              </w:rPr>
              <w:t>rapid,</w:t>
            </w:r>
            <w:r>
              <w:rPr>
                <w:color w:val="231F20"/>
                <w:spacing w:val="-1"/>
                <w:sz w:val="15"/>
              </w:rPr>
              <w:t> </w:t>
            </w:r>
            <w:r>
              <w:rPr>
                <w:color w:val="231F20"/>
                <w:sz w:val="15"/>
              </w:rPr>
              <w:t>abrupt,</w:t>
            </w:r>
            <w:r>
              <w:rPr>
                <w:color w:val="231F20"/>
                <w:spacing w:val="-1"/>
                <w:sz w:val="15"/>
              </w:rPr>
              <w:t> </w:t>
            </w:r>
            <w:r>
              <w:rPr>
                <w:color w:val="231F20"/>
                <w:sz w:val="15"/>
              </w:rPr>
              <w:t>repetitive,</w:t>
            </w:r>
            <w:r>
              <w:rPr>
                <w:color w:val="231F20"/>
                <w:spacing w:val="-1"/>
                <w:sz w:val="15"/>
              </w:rPr>
              <w:t> </w:t>
            </w:r>
            <w:r>
              <w:rPr>
                <w:color w:val="231F20"/>
                <w:sz w:val="15"/>
              </w:rPr>
              <w:t>nonrhythmic,</w:t>
            </w:r>
            <w:r>
              <w:rPr>
                <w:color w:val="231F20"/>
                <w:spacing w:val="-1"/>
                <w:sz w:val="15"/>
              </w:rPr>
              <w:t> </w:t>
            </w:r>
            <w:r>
              <w:rPr>
                <w:color w:val="231F20"/>
                <w:sz w:val="15"/>
              </w:rPr>
              <w:t>simple</w:t>
            </w:r>
            <w:r>
              <w:rPr>
                <w:color w:val="231F20"/>
                <w:spacing w:val="-1"/>
                <w:sz w:val="15"/>
              </w:rPr>
              <w:t> </w:t>
            </w:r>
            <w:r>
              <w:rPr>
                <w:color w:val="231F20"/>
                <w:sz w:val="15"/>
              </w:rPr>
              <w:t>or</w:t>
            </w:r>
            <w:r>
              <w:rPr>
                <w:color w:val="231F20"/>
                <w:spacing w:val="-1"/>
                <w:sz w:val="15"/>
              </w:rPr>
              <w:t> </w:t>
            </w:r>
            <w:r>
              <w:rPr>
                <w:color w:val="231F20"/>
                <w:sz w:val="15"/>
              </w:rPr>
              <w:t>complex</w:t>
            </w:r>
            <w:r>
              <w:rPr>
                <w:color w:val="231F20"/>
                <w:spacing w:val="-1"/>
                <w:sz w:val="15"/>
              </w:rPr>
              <w:t> </w:t>
            </w:r>
            <w:r>
              <w:rPr>
                <w:color w:val="231F20"/>
                <w:sz w:val="15"/>
              </w:rPr>
              <w:t>motor</w:t>
            </w:r>
            <w:r>
              <w:rPr>
                <w:color w:val="231F20"/>
                <w:spacing w:val="-1"/>
                <w:sz w:val="15"/>
              </w:rPr>
              <w:t> </w:t>
            </w:r>
            <w:r>
              <w:rPr>
                <w:color w:val="231F20"/>
                <w:sz w:val="15"/>
              </w:rPr>
              <w:t>movements</w:t>
            </w:r>
            <w:r>
              <w:rPr>
                <w:color w:val="231F20"/>
                <w:spacing w:val="-1"/>
                <w:sz w:val="15"/>
              </w:rPr>
              <w:t> </w:t>
            </w:r>
            <w:r>
              <w:rPr>
                <w:color w:val="231F20"/>
                <w:sz w:val="15"/>
              </w:rPr>
              <w:t>or vocalizations</w:t>
            </w:r>
            <w:r>
              <w:rPr>
                <w:color w:val="231F20"/>
                <w:spacing w:val="-10"/>
                <w:sz w:val="15"/>
              </w:rPr>
              <w:t> </w:t>
            </w:r>
            <w:r>
              <w:rPr>
                <w:color w:val="231F20"/>
                <w:sz w:val="15"/>
              </w:rPr>
              <w:t>(phonic</w:t>
            </w:r>
            <w:r>
              <w:rPr>
                <w:color w:val="231F20"/>
                <w:spacing w:val="-10"/>
                <w:sz w:val="15"/>
              </w:rPr>
              <w:t> </w:t>
            </w:r>
            <w:r>
              <w:rPr>
                <w:color w:val="231F20"/>
                <w:sz w:val="15"/>
              </w:rPr>
              <w:t>productions).</w:t>
            </w:r>
            <w:r>
              <w:rPr>
                <w:color w:val="231F20"/>
                <w:spacing w:val="-10"/>
                <w:sz w:val="15"/>
              </w:rPr>
              <w:t> </w:t>
            </w:r>
            <w:r>
              <w:rPr>
                <w:color w:val="231F20"/>
                <w:sz w:val="15"/>
              </w:rPr>
              <w:t>Tics</w:t>
            </w:r>
            <w:r>
              <w:rPr>
                <w:color w:val="231F20"/>
                <w:spacing w:val="-10"/>
                <w:sz w:val="15"/>
              </w:rPr>
              <w:t> </w:t>
            </w:r>
            <w:r>
              <w:rPr>
                <w:color w:val="231F20"/>
                <w:sz w:val="15"/>
              </w:rPr>
              <w:t>are</w:t>
            </w:r>
            <w:r>
              <w:rPr>
                <w:color w:val="231F20"/>
                <w:spacing w:val="-10"/>
                <w:sz w:val="15"/>
              </w:rPr>
              <w:t> </w:t>
            </w:r>
            <w:r>
              <w:rPr>
                <w:color w:val="231F20"/>
                <w:sz w:val="15"/>
              </w:rPr>
              <w:t>usually</w:t>
            </w:r>
            <w:r>
              <w:rPr>
                <w:color w:val="231F20"/>
                <w:spacing w:val="-10"/>
                <w:sz w:val="15"/>
              </w:rPr>
              <w:t> </w:t>
            </w:r>
            <w:r>
              <w:rPr>
                <w:color w:val="231F20"/>
                <w:sz w:val="15"/>
              </w:rPr>
              <w:t>preceded</w:t>
            </w:r>
            <w:r>
              <w:rPr>
                <w:color w:val="231F20"/>
                <w:spacing w:val="-10"/>
                <w:sz w:val="15"/>
              </w:rPr>
              <w:t> </w:t>
            </w:r>
            <w:r>
              <w:rPr>
                <w:color w:val="231F20"/>
                <w:sz w:val="15"/>
              </w:rPr>
              <w:t>by</w:t>
            </w:r>
            <w:r>
              <w:rPr>
                <w:color w:val="231F20"/>
                <w:spacing w:val="-10"/>
                <w:sz w:val="15"/>
              </w:rPr>
              <w:t> </w:t>
            </w:r>
            <w:r>
              <w:rPr>
                <w:color w:val="231F20"/>
                <w:sz w:val="15"/>
              </w:rPr>
              <w:t>an</w:t>
            </w:r>
            <w:r>
              <w:rPr>
                <w:color w:val="231F20"/>
                <w:spacing w:val="-10"/>
                <w:sz w:val="15"/>
              </w:rPr>
              <w:t> </w:t>
            </w:r>
            <w:r>
              <w:rPr>
                <w:color w:val="231F20"/>
                <w:sz w:val="15"/>
              </w:rPr>
              <w:t>urge</w:t>
            </w:r>
            <w:r>
              <w:rPr>
                <w:color w:val="231F20"/>
                <w:spacing w:val="-10"/>
                <w:sz w:val="15"/>
              </w:rPr>
              <w:t> </w:t>
            </w:r>
            <w:r>
              <w:rPr>
                <w:color w:val="231F20"/>
                <w:sz w:val="15"/>
              </w:rPr>
              <w:t>that</w:t>
            </w:r>
            <w:r>
              <w:rPr>
                <w:color w:val="231F20"/>
                <w:spacing w:val="-10"/>
                <w:sz w:val="15"/>
              </w:rPr>
              <w:t> </w:t>
            </w:r>
            <w:r>
              <w:rPr>
                <w:color w:val="231F20"/>
                <w:sz w:val="15"/>
              </w:rPr>
              <w:t>is</w:t>
            </w:r>
            <w:r>
              <w:rPr>
                <w:color w:val="231F20"/>
                <w:spacing w:val="-10"/>
                <w:sz w:val="15"/>
              </w:rPr>
              <w:t> </w:t>
            </w:r>
            <w:r>
              <w:rPr>
                <w:color w:val="231F20"/>
                <w:sz w:val="15"/>
              </w:rPr>
              <w:t>relieved</w:t>
            </w:r>
            <w:r>
              <w:rPr>
                <w:color w:val="231F20"/>
                <w:spacing w:val="-10"/>
                <w:sz w:val="15"/>
              </w:rPr>
              <w:t> </w:t>
            </w:r>
            <w:r>
              <w:rPr>
                <w:color w:val="231F20"/>
                <w:sz w:val="15"/>
              </w:rPr>
              <w:t>by</w:t>
            </w:r>
            <w:r>
              <w:rPr>
                <w:color w:val="231F20"/>
                <w:spacing w:val="-10"/>
                <w:sz w:val="15"/>
              </w:rPr>
              <w:t> </w:t>
            </w:r>
            <w:r>
              <w:rPr>
                <w:color w:val="231F20"/>
                <w:sz w:val="15"/>
              </w:rPr>
              <w:t>carrying</w:t>
            </w:r>
            <w:r>
              <w:rPr>
                <w:color w:val="231F20"/>
                <w:spacing w:val="-10"/>
                <w:sz w:val="15"/>
              </w:rPr>
              <w:t> </w:t>
            </w:r>
            <w:r>
              <w:rPr>
                <w:color w:val="231F20"/>
                <w:sz w:val="15"/>
              </w:rPr>
              <w:t>out the movement</w:t>
            </w:r>
          </w:p>
        </w:tc>
      </w:tr>
      <w:tr>
        <w:trPr>
          <w:trHeight w:val="252" w:hRule="atLeast"/>
        </w:trPr>
        <w:tc>
          <w:tcPr>
            <w:tcW w:w="228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Tremor</w:t>
            </w:r>
          </w:p>
        </w:tc>
        <w:tc>
          <w:tcPr>
            <w:tcW w:w="7460" w:type="dxa"/>
            <w:tcBorders>
              <w:top w:val="single" w:sz="4" w:space="0" w:color="FFFFFF"/>
              <w:bottom w:val="single" w:sz="4" w:space="0" w:color="FFFFFF"/>
            </w:tcBorders>
            <w:shd w:val="clear" w:color="auto" w:fill="E8F5F1"/>
          </w:tcPr>
          <w:p>
            <w:pPr>
              <w:pStyle w:val="TableParagraph"/>
              <w:spacing w:before="42"/>
              <w:ind w:left="234"/>
              <w:rPr>
                <w:sz w:val="15"/>
              </w:rPr>
            </w:pPr>
            <w:r>
              <w:rPr>
                <w:color w:val="231F20"/>
                <w:spacing w:val="-2"/>
                <w:sz w:val="15"/>
              </w:rPr>
              <w:t>Oscillating, rhythmic</w:t>
            </w:r>
            <w:r>
              <w:rPr>
                <w:color w:val="231F20"/>
                <w:sz w:val="15"/>
              </w:rPr>
              <w:t> </w:t>
            </w:r>
            <w:r>
              <w:rPr>
                <w:color w:val="231F20"/>
                <w:spacing w:val="-2"/>
                <w:sz w:val="15"/>
              </w:rPr>
              <w:t>movements</w:t>
            </w:r>
            <w:r>
              <w:rPr>
                <w:color w:val="231F20"/>
                <w:sz w:val="15"/>
              </w:rPr>
              <w:t> </w:t>
            </w:r>
            <w:r>
              <w:rPr>
                <w:color w:val="231F20"/>
                <w:spacing w:val="-2"/>
                <w:sz w:val="15"/>
              </w:rPr>
              <w:t>about</w:t>
            </w:r>
            <w:r>
              <w:rPr>
                <w:color w:val="231F20"/>
                <w:sz w:val="15"/>
              </w:rPr>
              <w:t> </w:t>
            </w:r>
            <w:r>
              <w:rPr>
                <w:color w:val="231F20"/>
                <w:spacing w:val="-2"/>
                <w:sz w:val="15"/>
              </w:rPr>
              <w:t>a</w:t>
            </w:r>
            <w:r>
              <w:rPr>
                <w:color w:val="231F20"/>
                <w:spacing w:val="1"/>
                <w:sz w:val="15"/>
              </w:rPr>
              <w:t> </w:t>
            </w:r>
            <w:r>
              <w:rPr>
                <w:color w:val="231F20"/>
                <w:spacing w:val="-2"/>
                <w:sz w:val="15"/>
              </w:rPr>
              <w:t>fixed</w:t>
            </w:r>
            <w:r>
              <w:rPr>
                <w:color w:val="231F20"/>
                <w:sz w:val="15"/>
              </w:rPr>
              <w:t> </w:t>
            </w:r>
            <w:r>
              <w:rPr>
                <w:color w:val="231F20"/>
                <w:spacing w:val="-2"/>
                <w:sz w:val="15"/>
              </w:rPr>
              <w:t>point,</w:t>
            </w:r>
            <w:r>
              <w:rPr>
                <w:color w:val="231F20"/>
                <w:sz w:val="15"/>
              </w:rPr>
              <w:t> </w:t>
            </w:r>
            <w:r>
              <w:rPr>
                <w:color w:val="231F20"/>
                <w:spacing w:val="-2"/>
                <w:sz w:val="15"/>
              </w:rPr>
              <w:t>axis,</w:t>
            </w:r>
            <w:r>
              <w:rPr>
                <w:color w:val="231F20"/>
                <w:sz w:val="15"/>
              </w:rPr>
              <w:t> </w:t>
            </w:r>
            <w:r>
              <w:rPr>
                <w:color w:val="231F20"/>
                <w:spacing w:val="-2"/>
                <w:sz w:val="15"/>
              </w:rPr>
              <w:t>or</w:t>
            </w:r>
            <w:r>
              <w:rPr>
                <w:color w:val="231F20"/>
                <w:spacing w:val="1"/>
                <w:sz w:val="15"/>
              </w:rPr>
              <w:t> </w:t>
            </w:r>
            <w:r>
              <w:rPr>
                <w:color w:val="231F20"/>
                <w:spacing w:val="-2"/>
                <w:sz w:val="15"/>
              </w:rPr>
              <w:t>plane</w:t>
            </w:r>
          </w:p>
        </w:tc>
      </w:tr>
      <w:tr>
        <w:trPr>
          <w:trHeight w:val="420" w:hRule="atLeast"/>
        </w:trPr>
        <w:tc>
          <w:tcPr>
            <w:tcW w:w="228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Dystonia (see</w:t>
            </w:r>
            <w:r>
              <w:rPr>
                <w:color w:val="231F20"/>
                <w:spacing w:val="1"/>
                <w:sz w:val="15"/>
              </w:rPr>
              <w:t> </w:t>
            </w:r>
            <w:r>
              <w:rPr>
                <w:color w:val="231F20"/>
                <w:sz w:val="15"/>
              </w:rPr>
              <w:t>Chapter</w:t>
            </w:r>
            <w:r>
              <w:rPr>
                <w:color w:val="231F20"/>
                <w:spacing w:val="1"/>
                <w:sz w:val="15"/>
              </w:rPr>
              <w:t> </w:t>
            </w:r>
            <w:r>
              <w:rPr>
                <w:color w:val="231F20"/>
                <w:spacing w:val="-2"/>
                <w:sz w:val="15"/>
              </w:rPr>
              <w:t>597.3)</w:t>
            </w:r>
          </w:p>
        </w:tc>
        <w:tc>
          <w:tcPr>
            <w:tcW w:w="7460" w:type="dxa"/>
            <w:tcBorders>
              <w:top w:val="single" w:sz="4" w:space="0" w:color="FFFFFF"/>
              <w:bottom w:val="single" w:sz="4" w:space="0" w:color="FFFFFF"/>
            </w:tcBorders>
            <w:shd w:val="clear" w:color="auto" w:fill="E8F5F1"/>
          </w:tcPr>
          <w:p>
            <w:pPr>
              <w:pStyle w:val="TableParagraph"/>
              <w:spacing w:line="230" w:lineRule="auto" w:before="48"/>
              <w:ind w:left="346" w:right="67" w:hanging="112"/>
              <w:rPr>
                <w:sz w:val="15"/>
              </w:rPr>
            </w:pPr>
            <w:r>
              <w:rPr>
                <w:color w:val="231F20"/>
                <w:sz w:val="15"/>
              </w:rPr>
              <w:t>Intermittent</w:t>
            </w:r>
            <w:r>
              <w:rPr>
                <w:color w:val="231F20"/>
                <w:spacing w:val="-12"/>
                <w:sz w:val="15"/>
              </w:rPr>
              <w:t> </w:t>
            </w:r>
            <w:r>
              <w:rPr>
                <w:color w:val="231F20"/>
                <w:sz w:val="15"/>
              </w:rPr>
              <w:t>and</w:t>
            </w:r>
            <w:r>
              <w:rPr>
                <w:color w:val="231F20"/>
                <w:spacing w:val="-11"/>
                <w:sz w:val="15"/>
              </w:rPr>
              <w:t> </w:t>
            </w:r>
            <w:r>
              <w:rPr>
                <w:color w:val="231F20"/>
                <w:sz w:val="15"/>
              </w:rPr>
              <w:t>sustained</w:t>
            </w:r>
            <w:r>
              <w:rPr>
                <w:color w:val="231F20"/>
                <w:spacing w:val="-11"/>
                <w:sz w:val="15"/>
              </w:rPr>
              <w:t> </w:t>
            </w:r>
            <w:r>
              <w:rPr>
                <w:color w:val="231F20"/>
                <w:sz w:val="15"/>
              </w:rPr>
              <w:t>involuntary</w:t>
            </w:r>
            <w:r>
              <w:rPr>
                <w:color w:val="231F20"/>
                <w:spacing w:val="-12"/>
                <w:sz w:val="15"/>
              </w:rPr>
              <w:t> </w:t>
            </w:r>
            <w:r>
              <w:rPr>
                <w:color w:val="231F20"/>
                <w:sz w:val="15"/>
              </w:rPr>
              <w:t>muscles</w:t>
            </w:r>
            <w:r>
              <w:rPr>
                <w:color w:val="231F20"/>
                <w:spacing w:val="-11"/>
                <w:sz w:val="15"/>
              </w:rPr>
              <w:t> </w:t>
            </w:r>
            <w:r>
              <w:rPr>
                <w:color w:val="231F20"/>
                <w:sz w:val="15"/>
              </w:rPr>
              <w:t>contractions</w:t>
            </w:r>
            <w:r>
              <w:rPr>
                <w:color w:val="231F20"/>
                <w:spacing w:val="-11"/>
                <w:sz w:val="15"/>
              </w:rPr>
              <w:t> </w:t>
            </w:r>
            <w:r>
              <w:rPr>
                <w:color w:val="231F20"/>
                <w:sz w:val="15"/>
              </w:rPr>
              <w:t>that</w:t>
            </w:r>
            <w:r>
              <w:rPr>
                <w:color w:val="231F20"/>
                <w:spacing w:val="-12"/>
                <w:sz w:val="15"/>
              </w:rPr>
              <w:t> </w:t>
            </w:r>
            <w:r>
              <w:rPr>
                <w:color w:val="231F20"/>
                <w:sz w:val="15"/>
              </w:rPr>
              <w:t>produce</w:t>
            </w:r>
            <w:r>
              <w:rPr>
                <w:color w:val="231F20"/>
                <w:spacing w:val="-11"/>
                <w:sz w:val="15"/>
              </w:rPr>
              <w:t> </w:t>
            </w:r>
            <w:r>
              <w:rPr>
                <w:color w:val="231F20"/>
                <w:sz w:val="15"/>
              </w:rPr>
              <w:t>abnormal</w:t>
            </w:r>
            <w:r>
              <w:rPr>
                <w:color w:val="231F20"/>
                <w:spacing w:val="-11"/>
                <w:sz w:val="15"/>
              </w:rPr>
              <w:t> </w:t>
            </w:r>
            <w:r>
              <w:rPr>
                <w:color w:val="231F20"/>
                <w:sz w:val="15"/>
              </w:rPr>
              <w:t>postures</w:t>
            </w:r>
            <w:r>
              <w:rPr>
                <w:color w:val="231F20"/>
                <w:spacing w:val="-11"/>
                <w:sz w:val="15"/>
              </w:rPr>
              <w:t> </w:t>
            </w:r>
            <w:r>
              <w:rPr>
                <w:color w:val="231F20"/>
                <w:sz w:val="15"/>
              </w:rPr>
              <w:t>and movements of different parts of the body, often with a twisting quality</w:t>
            </w:r>
          </w:p>
        </w:tc>
      </w:tr>
      <w:tr>
        <w:trPr>
          <w:trHeight w:val="420" w:hRule="atLeast"/>
        </w:trPr>
        <w:tc>
          <w:tcPr>
            <w:tcW w:w="228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Chorea</w:t>
            </w:r>
            <w:r>
              <w:rPr>
                <w:color w:val="231F20"/>
                <w:spacing w:val="3"/>
                <w:sz w:val="15"/>
              </w:rPr>
              <w:t> </w:t>
            </w:r>
            <w:r>
              <w:rPr>
                <w:color w:val="231F20"/>
                <w:sz w:val="15"/>
              </w:rPr>
              <w:t>(see</w:t>
            </w:r>
            <w:r>
              <w:rPr>
                <w:color w:val="231F20"/>
                <w:spacing w:val="4"/>
                <w:sz w:val="15"/>
              </w:rPr>
              <w:t> </w:t>
            </w:r>
            <w:r>
              <w:rPr>
                <w:color w:val="231F20"/>
                <w:sz w:val="15"/>
              </w:rPr>
              <w:t>Chapter</w:t>
            </w:r>
            <w:r>
              <w:rPr>
                <w:color w:val="231F20"/>
                <w:spacing w:val="4"/>
                <w:sz w:val="15"/>
              </w:rPr>
              <w:t> </w:t>
            </w:r>
            <w:r>
              <w:rPr>
                <w:color w:val="231F20"/>
                <w:spacing w:val="-2"/>
                <w:sz w:val="15"/>
              </w:rPr>
              <w:t>597.2)</w:t>
            </w:r>
          </w:p>
        </w:tc>
        <w:tc>
          <w:tcPr>
            <w:tcW w:w="7460" w:type="dxa"/>
            <w:tcBorders>
              <w:top w:val="single" w:sz="4" w:space="0" w:color="FFFFFF"/>
              <w:bottom w:val="single" w:sz="4" w:space="0" w:color="FFFFFF"/>
            </w:tcBorders>
            <w:shd w:val="clear" w:color="auto" w:fill="E8F5F1"/>
          </w:tcPr>
          <w:p>
            <w:pPr>
              <w:pStyle w:val="TableParagraph"/>
              <w:spacing w:line="230" w:lineRule="auto" w:before="48"/>
              <w:ind w:left="346" w:right="67" w:hanging="112"/>
              <w:rPr>
                <w:sz w:val="15"/>
              </w:rPr>
            </w:pPr>
            <w:r>
              <w:rPr>
                <w:color w:val="231F20"/>
                <w:spacing w:val="-2"/>
                <w:sz w:val="15"/>
              </w:rPr>
              <w:t>Involuntary,</w:t>
            </w:r>
            <w:r>
              <w:rPr>
                <w:color w:val="231F20"/>
                <w:spacing w:val="-3"/>
                <w:sz w:val="15"/>
              </w:rPr>
              <w:t> </w:t>
            </w:r>
            <w:r>
              <w:rPr>
                <w:color w:val="231F20"/>
                <w:spacing w:val="-2"/>
                <w:sz w:val="15"/>
              </w:rPr>
              <w:t>continual,</w:t>
            </w:r>
            <w:r>
              <w:rPr>
                <w:color w:val="231F20"/>
                <w:spacing w:val="-3"/>
                <w:sz w:val="15"/>
              </w:rPr>
              <w:t> </w:t>
            </w:r>
            <w:r>
              <w:rPr>
                <w:color w:val="231F20"/>
                <w:spacing w:val="-2"/>
                <w:sz w:val="15"/>
              </w:rPr>
              <w:t>irregular</w:t>
            </w:r>
            <w:r>
              <w:rPr>
                <w:color w:val="231F20"/>
                <w:spacing w:val="-3"/>
                <w:sz w:val="15"/>
              </w:rPr>
              <w:t> </w:t>
            </w:r>
            <w:r>
              <w:rPr>
                <w:color w:val="231F20"/>
                <w:spacing w:val="-2"/>
                <w:sz w:val="15"/>
              </w:rPr>
              <w:t>movements</w:t>
            </w:r>
            <w:r>
              <w:rPr>
                <w:color w:val="231F20"/>
                <w:spacing w:val="-3"/>
                <w:sz w:val="15"/>
              </w:rPr>
              <w:t> </w:t>
            </w:r>
            <w:r>
              <w:rPr>
                <w:color w:val="231F20"/>
                <w:spacing w:val="-2"/>
                <w:sz w:val="15"/>
              </w:rPr>
              <w:t>or</w:t>
            </w:r>
            <w:r>
              <w:rPr>
                <w:color w:val="231F20"/>
                <w:spacing w:val="-3"/>
                <w:sz w:val="15"/>
              </w:rPr>
              <w:t> </w:t>
            </w:r>
            <w:r>
              <w:rPr>
                <w:color w:val="231F20"/>
                <w:spacing w:val="-2"/>
                <w:sz w:val="15"/>
              </w:rPr>
              <w:t>movement</w:t>
            </w:r>
            <w:r>
              <w:rPr>
                <w:color w:val="231F20"/>
                <w:spacing w:val="-3"/>
                <w:sz w:val="15"/>
              </w:rPr>
              <w:t> </w:t>
            </w:r>
            <w:r>
              <w:rPr>
                <w:color w:val="231F20"/>
                <w:spacing w:val="-2"/>
                <w:sz w:val="15"/>
              </w:rPr>
              <w:t>fragments</w:t>
            </w:r>
            <w:r>
              <w:rPr>
                <w:color w:val="231F20"/>
                <w:spacing w:val="-3"/>
                <w:sz w:val="15"/>
              </w:rPr>
              <w:t> </w:t>
            </w:r>
            <w:r>
              <w:rPr>
                <w:color w:val="231F20"/>
                <w:spacing w:val="-2"/>
                <w:sz w:val="15"/>
              </w:rPr>
              <w:t>with</w:t>
            </w:r>
            <w:r>
              <w:rPr>
                <w:color w:val="231F20"/>
                <w:spacing w:val="-3"/>
                <w:sz w:val="15"/>
              </w:rPr>
              <w:t> </w:t>
            </w:r>
            <w:r>
              <w:rPr>
                <w:color w:val="231F20"/>
                <w:spacing w:val="-2"/>
                <w:sz w:val="15"/>
              </w:rPr>
              <w:t>variable</w:t>
            </w:r>
            <w:r>
              <w:rPr>
                <w:color w:val="231F20"/>
                <w:spacing w:val="-3"/>
                <w:sz w:val="15"/>
              </w:rPr>
              <w:t> </w:t>
            </w:r>
            <w:r>
              <w:rPr>
                <w:color w:val="231F20"/>
                <w:spacing w:val="-2"/>
                <w:sz w:val="15"/>
              </w:rPr>
              <w:t>rate</w:t>
            </w:r>
            <w:r>
              <w:rPr>
                <w:color w:val="231F20"/>
                <w:spacing w:val="-3"/>
                <w:sz w:val="15"/>
              </w:rPr>
              <w:t> </w:t>
            </w:r>
            <w:r>
              <w:rPr>
                <w:color w:val="231F20"/>
                <w:spacing w:val="-2"/>
                <w:sz w:val="15"/>
              </w:rPr>
              <w:t>and</w:t>
            </w:r>
            <w:r>
              <w:rPr>
                <w:color w:val="231F20"/>
                <w:spacing w:val="-3"/>
                <w:sz w:val="15"/>
              </w:rPr>
              <w:t> </w:t>
            </w:r>
            <w:r>
              <w:rPr>
                <w:color w:val="231F20"/>
                <w:spacing w:val="-2"/>
                <w:sz w:val="15"/>
              </w:rPr>
              <w:t>direction</w:t>
            </w:r>
            <w:r>
              <w:rPr>
                <w:color w:val="231F20"/>
                <w:spacing w:val="-3"/>
                <w:sz w:val="15"/>
              </w:rPr>
              <w:t> </w:t>
            </w:r>
            <w:r>
              <w:rPr>
                <w:color w:val="231F20"/>
                <w:spacing w:val="-2"/>
                <w:sz w:val="15"/>
              </w:rPr>
              <w:t>that </w:t>
            </w:r>
            <w:r>
              <w:rPr>
                <w:color w:val="231F20"/>
                <w:sz w:val="15"/>
              </w:rPr>
              <w:t>occur unpredictably and randomly</w:t>
            </w:r>
          </w:p>
        </w:tc>
      </w:tr>
      <w:tr>
        <w:trPr>
          <w:trHeight w:val="420" w:hRule="atLeast"/>
        </w:trPr>
        <w:tc>
          <w:tcPr>
            <w:tcW w:w="228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Ballism</w:t>
            </w:r>
          </w:p>
        </w:tc>
        <w:tc>
          <w:tcPr>
            <w:tcW w:w="7460" w:type="dxa"/>
            <w:tcBorders>
              <w:top w:val="single" w:sz="4" w:space="0" w:color="FFFFFF"/>
              <w:bottom w:val="single" w:sz="4" w:space="0" w:color="FFFFFF"/>
            </w:tcBorders>
            <w:shd w:val="clear" w:color="auto" w:fill="E8F5F1"/>
          </w:tcPr>
          <w:p>
            <w:pPr>
              <w:pStyle w:val="TableParagraph"/>
              <w:spacing w:line="230" w:lineRule="auto" w:before="48"/>
              <w:ind w:left="346" w:right="67" w:hanging="112"/>
              <w:rPr>
                <w:sz w:val="15"/>
              </w:rPr>
            </w:pPr>
            <w:r>
              <w:rPr>
                <w:color w:val="231F20"/>
                <w:spacing w:val="-2"/>
                <w:sz w:val="15"/>
              </w:rPr>
              <w:t>Involuntary, high amplitude, flinging movements typically occurring proximally. Ballism is essentially a </w:t>
            </w:r>
            <w:r>
              <w:rPr>
                <w:color w:val="231F20"/>
                <w:spacing w:val="-2"/>
                <w:sz w:val="15"/>
              </w:rPr>
              <w:t>large </w:t>
            </w:r>
            <w:r>
              <w:rPr>
                <w:color w:val="231F20"/>
                <w:sz w:val="15"/>
              </w:rPr>
              <w:t>amplitude chorea</w:t>
            </w:r>
          </w:p>
        </w:tc>
      </w:tr>
      <w:tr>
        <w:trPr>
          <w:trHeight w:val="252" w:hRule="atLeast"/>
        </w:trPr>
        <w:tc>
          <w:tcPr>
            <w:tcW w:w="2282"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Athetosis</w:t>
            </w:r>
          </w:p>
        </w:tc>
        <w:tc>
          <w:tcPr>
            <w:tcW w:w="7460" w:type="dxa"/>
            <w:tcBorders>
              <w:top w:val="single" w:sz="4" w:space="0" w:color="FFFFFF"/>
              <w:bottom w:val="single" w:sz="4" w:space="0" w:color="FFFFFF"/>
            </w:tcBorders>
            <w:shd w:val="clear" w:color="auto" w:fill="E8F5F1"/>
          </w:tcPr>
          <w:p>
            <w:pPr>
              <w:pStyle w:val="TableParagraph"/>
              <w:spacing w:before="42"/>
              <w:ind w:left="234"/>
              <w:rPr>
                <w:sz w:val="15"/>
              </w:rPr>
            </w:pPr>
            <w:r>
              <w:rPr>
                <w:color w:val="231F20"/>
                <w:spacing w:val="-2"/>
                <w:sz w:val="15"/>
              </w:rPr>
              <w:t>Slow,</w:t>
            </w:r>
            <w:r>
              <w:rPr>
                <w:color w:val="231F20"/>
                <w:spacing w:val="-9"/>
                <w:sz w:val="15"/>
              </w:rPr>
              <w:t> </w:t>
            </w:r>
            <w:r>
              <w:rPr>
                <w:color w:val="231F20"/>
                <w:spacing w:val="-2"/>
                <w:sz w:val="15"/>
              </w:rPr>
              <w:t>writhing,</w:t>
            </w:r>
            <w:r>
              <w:rPr>
                <w:color w:val="231F20"/>
                <w:spacing w:val="-9"/>
                <w:sz w:val="15"/>
              </w:rPr>
              <w:t> </w:t>
            </w:r>
            <w:r>
              <w:rPr>
                <w:color w:val="231F20"/>
                <w:spacing w:val="-2"/>
                <w:sz w:val="15"/>
              </w:rPr>
              <w:t>continuous,</w:t>
            </w:r>
            <w:r>
              <w:rPr>
                <w:color w:val="231F20"/>
                <w:spacing w:val="-9"/>
                <w:sz w:val="15"/>
              </w:rPr>
              <w:t> </w:t>
            </w:r>
            <w:r>
              <w:rPr>
                <w:color w:val="231F20"/>
                <w:spacing w:val="-2"/>
                <w:sz w:val="15"/>
              </w:rPr>
              <w:t>involuntary</w:t>
            </w:r>
            <w:r>
              <w:rPr>
                <w:color w:val="231F20"/>
                <w:spacing w:val="-8"/>
                <w:sz w:val="15"/>
              </w:rPr>
              <w:t> </w:t>
            </w:r>
            <w:r>
              <w:rPr>
                <w:color w:val="231F20"/>
                <w:spacing w:val="-2"/>
                <w:sz w:val="15"/>
              </w:rPr>
              <w:t>movements</w:t>
            </w:r>
          </w:p>
        </w:tc>
      </w:tr>
      <w:tr>
        <w:trPr>
          <w:trHeight w:val="247" w:hRule="atLeast"/>
        </w:trPr>
        <w:tc>
          <w:tcPr>
            <w:tcW w:w="228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w w:val="105"/>
                <w:sz w:val="15"/>
              </w:rPr>
              <w:t>Myoclonus</w:t>
            </w:r>
          </w:p>
        </w:tc>
        <w:tc>
          <w:tcPr>
            <w:tcW w:w="7460" w:type="dxa"/>
            <w:tcBorders>
              <w:top w:val="single" w:sz="4" w:space="0" w:color="FFFFFF"/>
              <w:bottom w:val="single" w:sz="8" w:space="0" w:color="231F20"/>
            </w:tcBorders>
            <w:shd w:val="clear" w:color="auto" w:fill="E8F5F1"/>
          </w:tcPr>
          <w:p>
            <w:pPr>
              <w:pStyle w:val="TableParagraph"/>
              <w:spacing w:before="42"/>
              <w:ind w:left="234"/>
              <w:rPr>
                <w:sz w:val="15"/>
              </w:rPr>
            </w:pPr>
            <w:r>
              <w:rPr>
                <w:color w:val="231F20"/>
                <w:spacing w:val="-2"/>
                <w:sz w:val="15"/>
              </w:rPr>
              <w:t>Sudden,</w:t>
            </w:r>
            <w:r>
              <w:rPr>
                <w:color w:val="231F20"/>
                <w:spacing w:val="1"/>
                <w:sz w:val="15"/>
              </w:rPr>
              <w:t> </w:t>
            </w:r>
            <w:r>
              <w:rPr>
                <w:color w:val="231F20"/>
                <w:spacing w:val="-2"/>
                <w:sz w:val="15"/>
              </w:rPr>
              <w:t>quick,</w:t>
            </w:r>
            <w:r>
              <w:rPr>
                <w:color w:val="231F20"/>
                <w:spacing w:val="2"/>
                <w:sz w:val="15"/>
              </w:rPr>
              <w:t> </w:t>
            </w:r>
            <w:r>
              <w:rPr>
                <w:color w:val="231F20"/>
                <w:spacing w:val="-2"/>
                <w:sz w:val="15"/>
              </w:rPr>
              <w:t>involuntary</w:t>
            </w:r>
            <w:r>
              <w:rPr>
                <w:color w:val="231F20"/>
                <w:spacing w:val="2"/>
                <w:sz w:val="15"/>
              </w:rPr>
              <w:t> </w:t>
            </w:r>
            <w:r>
              <w:rPr>
                <w:color w:val="231F20"/>
                <w:spacing w:val="-2"/>
                <w:sz w:val="15"/>
              </w:rPr>
              <w:t>muscle</w:t>
            </w:r>
            <w:r>
              <w:rPr>
                <w:color w:val="231F20"/>
                <w:spacing w:val="2"/>
                <w:sz w:val="15"/>
              </w:rPr>
              <w:t> </w:t>
            </w:r>
            <w:r>
              <w:rPr>
                <w:color w:val="231F20"/>
                <w:spacing w:val="-4"/>
                <w:sz w:val="15"/>
              </w:rPr>
              <w:t>jerks</w:t>
            </w:r>
          </w:p>
        </w:tc>
      </w:tr>
    </w:tbl>
    <w:p>
      <w:pPr>
        <w:pStyle w:val="TableParagraph"/>
        <w:spacing w:after="0"/>
        <w:rPr>
          <w:sz w:val="15"/>
        </w:rPr>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745" name="Group 745"/>
                <wp:cNvGraphicFramePr>
                  <a:graphicFrameLocks/>
                </wp:cNvGraphicFramePr>
                <a:graphic>
                  <a:graphicData uri="http://schemas.microsoft.com/office/word/2010/wordprocessingGroup">
                    <wpg:wgp>
                      <wpg:cNvPr id="745" name="Group 745"/>
                      <wpg:cNvGrpSpPr/>
                      <wpg:grpSpPr>
                        <a:xfrm>
                          <a:off x="0" y="0"/>
                          <a:ext cx="6185535" cy="170815"/>
                          <a:chExt cx="6185535" cy="170815"/>
                        </a:xfrm>
                      </wpg:grpSpPr>
                      <wps:wsp>
                        <wps:cNvPr id="746" name="Graphic 746"/>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47" name="Graphic 747"/>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48" name="Textbox 748"/>
                        <wps:cNvSpPr txBox="1"/>
                        <wps:spPr>
                          <a:xfrm>
                            <a:off x="0" y="0"/>
                            <a:ext cx="6185535" cy="170815"/>
                          </a:xfrm>
                          <a:prstGeom prst="rect">
                            <a:avLst/>
                          </a:prstGeom>
                        </wps:spPr>
                        <wps:txbx>
                          <w:txbxContent>
                            <w:p>
                              <w:pPr>
                                <w:spacing w:before="6"/>
                                <w:ind w:left="5915" w:right="-15" w:firstLine="0"/>
                                <w:jc w:val="left"/>
                                <w:rPr>
                                  <w:b/>
                                  <w:sz w:val="18"/>
                                </w:rPr>
                              </w:pPr>
                              <w:r>
                                <w:rPr>
                                  <w:b/>
                                  <w:color w:val="007431"/>
                                  <w:w w:val="105"/>
                                  <w:sz w:val="18"/>
                                </w:rPr>
                                <w:t>Chapter</w:t>
                              </w:r>
                              <w:r>
                                <w:rPr>
                                  <w:b/>
                                  <w:color w:val="007431"/>
                                  <w:spacing w:val="17"/>
                                  <w:w w:val="105"/>
                                  <w:sz w:val="18"/>
                                </w:rPr>
                                <w:t> </w:t>
                              </w:r>
                              <w:r>
                                <w:rPr>
                                  <w:b/>
                                  <w:color w:val="007431"/>
                                  <w:w w:val="105"/>
                                  <w:sz w:val="18"/>
                                </w:rPr>
                                <w:t>597</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Movement</w:t>
                              </w:r>
                              <w:r>
                                <w:rPr>
                                  <w:color w:val="231F20"/>
                                  <w:spacing w:val="12"/>
                                  <w:w w:val="105"/>
                                  <w:sz w:val="18"/>
                                </w:rPr>
                                <w:t> </w:t>
                              </w:r>
                              <w:r>
                                <w:rPr>
                                  <w:color w:val="231F20"/>
                                  <w:w w:val="105"/>
                                  <w:sz w:val="18"/>
                                </w:rPr>
                                <w:t>Disorders</w:t>
                              </w:r>
                              <w:r>
                                <w:rPr>
                                  <w:color w:val="231F20"/>
                                  <w:spacing w:val="47"/>
                                  <w:w w:val="105"/>
                                  <w:sz w:val="18"/>
                                </w:rPr>
                                <w:t>  </w:t>
                              </w:r>
                              <w:r>
                                <w:rPr>
                                  <w:b/>
                                  <w:color w:val="231F20"/>
                                  <w:spacing w:val="-4"/>
                                  <w:w w:val="105"/>
                                  <w:sz w:val="18"/>
                                </w:rPr>
                                <w:t>2889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26"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27" filled="false" stroked="false">
                  <v:textbox inset="0,0,0,0">
                    <w:txbxContent>
                      <w:p>
                        <w:pPr>
                          <w:spacing w:before="6"/>
                          <w:ind w:left="5915" w:right="-15" w:firstLine="0"/>
                          <w:jc w:val="left"/>
                          <w:rPr>
                            <w:b/>
                            <w:sz w:val="18"/>
                          </w:rPr>
                        </w:pPr>
                        <w:r>
                          <w:rPr>
                            <w:b/>
                            <w:color w:val="007431"/>
                            <w:w w:val="105"/>
                            <w:sz w:val="18"/>
                          </w:rPr>
                          <w:t>Chapter</w:t>
                        </w:r>
                        <w:r>
                          <w:rPr>
                            <w:b/>
                            <w:color w:val="007431"/>
                            <w:spacing w:val="17"/>
                            <w:w w:val="105"/>
                            <w:sz w:val="18"/>
                          </w:rPr>
                          <w:t> </w:t>
                        </w:r>
                        <w:r>
                          <w:rPr>
                            <w:b/>
                            <w:color w:val="007431"/>
                            <w:w w:val="105"/>
                            <w:sz w:val="18"/>
                          </w:rPr>
                          <w:t>597</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Movement</w:t>
                        </w:r>
                        <w:r>
                          <w:rPr>
                            <w:color w:val="231F20"/>
                            <w:spacing w:val="12"/>
                            <w:w w:val="105"/>
                            <w:sz w:val="18"/>
                          </w:rPr>
                          <w:t> </w:t>
                        </w:r>
                        <w:r>
                          <w:rPr>
                            <w:color w:val="231F20"/>
                            <w:w w:val="105"/>
                            <w:sz w:val="18"/>
                          </w:rPr>
                          <w:t>Disorders</w:t>
                        </w:r>
                        <w:r>
                          <w:rPr>
                            <w:color w:val="231F20"/>
                            <w:spacing w:val="47"/>
                            <w:w w:val="105"/>
                            <w:sz w:val="18"/>
                          </w:rPr>
                          <w:t>  </w:t>
                        </w:r>
                        <w:r>
                          <w:rPr>
                            <w:b/>
                            <w:color w:val="231F20"/>
                            <w:spacing w:val="-4"/>
                            <w:w w:val="105"/>
                            <w:sz w:val="18"/>
                          </w:rPr>
                          <w:t>2889</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4"/>
        <w:gridCol w:w="1270"/>
        <w:gridCol w:w="1274"/>
        <w:gridCol w:w="1486"/>
        <w:gridCol w:w="1391"/>
        <w:gridCol w:w="2719"/>
      </w:tblGrid>
      <w:tr>
        <w:trPr>
          <w:trHeight w:val="379" w:hRule="atLeast"/>
        </w:trPr>
        <w:tc>
          <w:tcPr>
            <w:tcW w:w="9734" w:type="dxa"/>
            <w:gridSpan w:val="6"/>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597-7</w:t>
            </w:r>
            <w:r>
              <w:rPr>
                <w:b/>
                <w:color w:val="FFFFFF"/>
                <w:spacing w:val="34"/>
                <w:w w:val="105"/>
                <w:sz w:val="16"/>
              </w:rPr>
              <w:t>  </w:t>
            </w:r>
            <w:r>
              <w:rPr>
                <w:color w:val="FFFFFF"/>
                <w:w w:val="105"/>
                <w:sz w:val="16"/>
              </w:rPr>
              <w:t>Genetic</w:t>
            </w:r>
            <w:r>
              <w:rPr>
                <w:color w:val="FFFFFF"/>
                <w:spacing w:val="2"/>
                <w:w w:val="105"/>
                <w:sz w:val="16"/>
              </w:rPr>
              <w:t> </w:t>
            </w:r>
            <w:r>
              <w:rPr>
                <w:color w:val="FFFFFF"/>
                <w:spacing w:val="-2"/>
                <w:w w:val="105"/>
                <w:sz w:val="16"/>
              </w:rPr>
              <w:t>Choreas</w:t>
            </w:r>
          </w:p>
        </w:tc>
      </w:tr>
      <w:tr>
        <w:trPr>
          <w:trHeight w:val="419" w:hRule="atLeast"/>
        </w:trPr>
        <w:tc>
          <w:tcPr>
            <w:tcW w:w="1594" w:type="dxa"/>
            <w:tcBorders>
              <w:bottom w:val="single" w:sz="4" w:space="0" w:color="231F20"/>
            </w:tcBorders>
            <w:shd w:val="clear" w:color="auto" w:fill="E8F5F1"/>
          </w:tcPr>
          <w:p>
            <w:pPr>
              <w:pStyle w:val="TableParagraph"/>
              <w:rPr>
                <w:rFonts w:ascii="Times New Roman"/>
                <w:sz w:val="14"/>
              </w:rPr>
            </w:pPr>
          </w:p>
        </w:tc>
        <w:tc>
          <w:tcPr>
            <w:tcW w:w="1270" w:type="dxa"/>
            <w:tcBorders>
              <w:bottom w:val="single" w:sz="4" w:space="0" w:color="231F20"/>
            </w:tcBorders>
            <w:shd w:val="clear" w:color="auto" w:fill="E8F5F1"/>
          </w:tcPr>
          <w:p>
            <w:pPr>
              <w:pStyle w:val="TableParagraph"/>
              <w:spacing w:line="230" w:lineRule="auto" w:before="46"/>
              <w:ind w:left="121" w:firstLine="145"/>
              <w:rPr>
                <w:b/>
                <w:sz w:val="15"/>
              </w:rPr>
            </w:pPr>
            <w:r>
              <w:rPr>
                <w:b/>
                <w:color w:val="231F20"/>
                <w:w w:val="110"/>
                <w:sz w:val="15"/>
              </w:rPr>
              <w:t>MODE OF </w:t>
            </w:r>
            <w:r>
              <w:rPr>
                <w:b/>
                <w:color w:val="231F20"/>
                <w:spacing w:val="-2"/>
                <w:w w:val="110"/>
                <w:sz w:val="15"/>
              </w:rPr>
              <w:t>INHERITANCE</w:t>
            </w:r>
          </w:p>
        </w:tc>
        <w:tc>
          <w:tcPr>
            <w:tcW w:w="1274" w:type="dxa"/>
            <w:tcBorders>
              <w:bottom w:val="single" w:sz="4" w:space="0" w:color="231F20"/>
            </w:tcBorders>
            <w:shd w:val="clear" w:color="auto" w:fill="E8F5F1"/>
          </w:tcPr>
          <w:p>
            <w:pPr>
              <w:pStyle w:val="TableParagraph"/>
              <w:spacing w:line="230" w:lineRule="auto" w:before="46"/>
              <w:ind w:left="242" w:firstLine="161"/>
              <w:rPr>
                <w:b/>
                <w:sz w:val="15"/>
              </w:rPr>
            </w:pPr>
            <w:r>
              <w:rPr>
                <w:b/>
                <w:color w:val="231F20"/>
                <w:spacing w:val="-2"/>
                <w:w w:val="110"/>
                <w:sz w:val="15"/>
              </w:rPr>
              <w:t>GENE, LOCATION</w:t>
            </w:r>
          </w:p>
        </w:tc>
        <w:tc>
          <w:tcPr>
            <w:tcW w:w="1486" w:type="dxa"/>
            <w:tcBorders>
              <w:bottom w:val="single" w:sz="4" w:space="0" w:color="231F20"/>
            </w:tcBorders>
            <w:shd w:val="clear" w:color="auto" w:fill="E8F5F1"/>
          </w:tcPr>
          <w:p>
            <w:pPr>
              <w:pStyle w:val="TableParagraph"/>
              <w:spacing w:line="230" w:lineRule="auto" w:before="46"/>
              <w:ind w:left="397" w:firstLine="33"/>
              <w:rPr>
                <w:b/>
                <w:sz w:val="15"/>
              </w:rPr>
            </w:pPr>
            <w:r>
              <w:rPr>
                <w:b/>
                <w:color w:val="231F20"/>
                <w:spacing w:val="-2"/>
                <w:w w:val="110"/>
                <w:sz w:val="15"/>
              </w:rPr>
              <w:t>PROTEIN </w:t>
            </w:r>
            <w:r>
              <w:rPr>
                <w:b/>
                <w:color w:val="231F20"/>
                <w:spacing w:val="-2"/>
                <w:sz w:val="15"/>
              </w:rPr>
              <w:t>PRODUCT</w:t>
            </w:r>
          </w:p>
        </w:tc>
        <w:tc>
          <w:tcPr>
            <w:tcW w:w="1391" w:type="dxa"/>
            <w:tcBorders>
              <w:bottom w:val="single" w:sz="4" w:space="0" w:color="231F20"/>
            </w:tcBorders>
            <w:shd w:val="clear" w:color="auto" w:fill="E8F5F1"/>
          </w:tcPr>
          <w:p>
            <w:pPr>
              <w:pStyle w:val="TableParagraph"/>
              <w:spacing w:line="230" w:lineRule="auto" w:before="46"/>
              <w:ind w:left="314" w:hanging="160"/>
              <w:rPr>
                <w:b/>
                <w:sz w:val="15"/>
              </w:rPr>
            </w:pPr>
            <w:r>
              <w:rPr>
                <w:b/>
                <w:color w:val="231F20"/>
                <w:w w:val="105"/>
                <w:sz w:val="15"/>
              </w:rPr>
              <w:t>USUAL AGE </w:t>
            </w:r>
            <w:r>
              <w:rPr>
                <w:b/>
                <w:color w:val="231F20"/>
                <w:w w:val="105"/>
                <w:sz w:val="15"/>
              </w:rPr>
              <w:t>AT ONSET (yr)</w:t>
            </w:r>
          </w:p>
        </w:tc>
        <w:tc>
          <w:tcPr>
            <w:tcW w:w="2719" w:type="dxa"/>
            <w:tcBorders>
              <w:bottom w:val="single" w:sz="4" w:space="0" w:color="231F20"/>
            </w:tcBorders>
            <w:shd w:val="clear" w:color="auto" w:fill="E8F5F1"/>
          </w:tcPr>
          <w:p>
            <w:pPr>
              <w:pStyle w:val="TableParagraph"/>
              <w:spacing w:before="34"/>
              <w:rPr>
                <w:sz w:val="15"/>
              </w:rPr>
            </w:pPr>
          </w:p>
          <w:p>
            <w:pPr>
              <w:pStyle w:val="TableParagraph"/>
              <w:ind w:left="792"/>
              <w:rPr>
                <w:b/>
                <w:sz w:val="15"/>
              </w:rPr>
            </w:pPr>
            <w:r>
              <w:rPr>
                <w:b/>
                <w:color w:val="231F20"/>
                <w:w w:val="110"/>
                <w:sz w:val="15"/>
              </w:rPr>
              <w:t>CLINICAL</w:t>
            </w:r>
            <w:r>
              <w:rPr>
                <w:b/>
                <w:color w:val="231F20"/>
                <w:spacing w:val="-4"/>
                <w:w w:val="110"/>
                <w:sz w:val="15"/>
              </w:rPr>
              <w:t> </w:t>
            </w:r>
            <w:r>
              <w:rPr>
                <w:b/>
                <w:color w:val="231F20"/>
                <w:spacing w:val="-2"/>
                <w:w w:val="110"/>
                <w:sz w:val="15"/>
              </w:rPr>
              <w:t>SIGNS</w:t>
            </w:r>
          </w:p>
        </w:tc>
      </w:tr>
      <w:tr>
        <w:trPr>
          <w:trHeight w:val="593" w:hRule="atLeast"/>
        </w:trPr>
        <w:tc>
          <w:tcPr>
            <w:tcW w:w="1594"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w w:val="110"/>
                <w:sz w:val="15"/>
              </w:rPr>
              <w:t>HDL2</w:t>
            </w:r>
            <w:r>
              <w:rPr>
                <w:color w:val="0080AC"/>
                <w:spacing w:val="-2"/>
                <w:w w:val="110"/>
                <w:sz w:val="15"/>
              </w:rPr>
              <w:t>*</w:t>
            </w:r>
          </w:p>
        </w:tc>
        <w:tc>
          <w:tcPr>
            <w:tcW w:w="1270" w:type="dxa"/>
            <w:tcBorders>
              <w:top w:val="single" w:sz="4" w:space="0" w:color="231F20"/>
              <w:bottom w:val="single" w:sz="4" w:space="0" w:color="FFFFFF"/>
            </w:tcBorders>
            <w:shd w:val="clear" w:color="auto" w:fill="E8F5F1"/>
          </w:tcPr>
          <w:p>
            <w:pPr>
              <w:pStyle w:val="TableParagraph"/>
              <w:spacing w:before="47"/>
              <w:ind w:left="122"/>
              <w:rPr>
                <w:sz w:val="15"/>
              </w:rPr>
            </w:pPr>
            <w:r>
              <w:rPr>
                <w:color w:val="231F20"/>
                <w:spacing w:val="-5"/>
                <w:w w:val="110"/>
                <w:sz w:val="15"/>
              </w:rPr>
              <w:t>AD</w:t>
            </w:r>
            <w:r>
              <w:rPr>
                <w:color w:val="0080AC"/>
                <w:spacing w:val="-5"/>
                <w:w w:val="110"/>
                <w:sz w:val="15"/>
                <w:vertAlign w:val="superscript"/>
              </w:rPr>
              <w:t>†</w:t>
            </w:r>
          </w:p>
        </w:tc>
        <w:tc>
          <w:tcPr>
            <w:tcW w:w="1274" w:type="dxa"/>
            <w:tcBorders>
              <w:top w:val="single" w:sz="4" w:space="0" w:color="231F20"/>
              <w:bottom w:val="single" w:sz="4" w:space="0" w:color="FFFFFF"/>
            </w:tcBorders>
            <w:shd w:val="clear" w:color="auto" w:fill="E8F5F1"/>
          </w:tcPr>
          <w:p>
            <w:pPr>
              <w:pStyle w:val="TableParagraph"/>
              <w:spacing w:before="47"/>
              <w:ind w:left="121"/>
              <w:rPr>
                <w:sz w:val="15"/>
              </w:rPr>
            </w:pPr>
            <w:r>
              <w:rPr>
                <w:i/>
                <w:color w:val="231F20"/>
                <w:sz w:val="15"/>
              </w:rPr>
              <w:t>JPH3</w:t>
            </w:r>
            <w:r>
              <w:rPr>
                <w:color w:val="231F20"/>
                <w:sz w:val="15"/>
              </w:rPr>
              <w:t>,</w:t>
            </w:r>
            <w:r>
              <w:rPr>
                <w:color w:val="231F20"/>
                <w:spacing w:val="-3"/>
                <w:sz w:val="15"/>
              </w:rPr>
              <w:t> </w:t>
            </w:r>
            <w:r>
              <w:rPr>
                <w:color w:val="231F20"/>
                <w:spacing w:val="-5"/>
                <w:sz w:val="15"/>
              </w:rPr>
              <w:t>16q</w:t>
            </w:r>
          </w:p>
        </w:tc>
        <w:tc>
          <w:tcPr>
            <w:tcW w:w="1486" w:type="dxa"/>
            <w:tcBorders>
              <w:top w:val="single" w:sz="4" w:space="0" w:color="231F20"/>
              <w:bottom w:val="single" w:sz="4" w:space="0" w:color="FFFFFF"/>
            </w:tcBorders>
            <w:shd w:val="clear" w:color="auto" w:fill="E8F5F1"/>
          </w:tcPr>
          <w:p>
            <w:pPr>
              <w:pStyle w:val="TableParagraph"/>
              <w:spacing w:before="47"/>
              <w:ind w:left="123"/>
              <w:rPr>
                <w:sz w:val="15"/>
              </w:rPr>
            </w:pPr>
            <w:r>
              <w:rPr>
                <w:color w:val="231F20"/>
                <w:spacing w:val="-4"/>
                <w:sz w:val="15"/>
              </w:rPr>
              <w:t>Junctophilin-</w:t>
            </w:r>
            <w:r>
              <w:rPr>
                <w:color w:val="231F20"/>
                <w:spacing w:val="-10"/>
                <w:sz w:val="15"/>
              </w:rPr>
              <w:t>3</w:t>
            </w:r>
          </w:p>
        </w:tc>
        <w:tc>
          <w:tcPr>
            <w:tcW w:w="1391" w:type="dxa"/>
            <w:tcBorders>
              <w:top w:val="single" w:sz="4" w:space="0" w:color="231F20"/>
              <w:bottom w:val="single" w:sz="4" w:space="0" w:color="FFFFFF"/>
            </w:tcBorders>
            <w:shd w:val="clear" w:color="auto" w:fill="E8F5F1"/>
          </w:tcPr>
          <w:p>
            <w:pPr>
              <w:pStyle w:val="TableParagraph"/>
              <w:spacing w:before="47"/>
              <w:ind w:left="154"/>
              <w:rPr>
                <w:sz w:val="15"/>
              </w:rPr>
            </w:pPr>
            <w:r>
              <w:rPr>
                <w:color w:val="231F20"/>
                <w:spacing w:val="-4"/>
                <w:sz w:val="15"/>
              </w:rPr>
              <w:t>20-</w:t>
            </w:r>
            <w:r>
              <w:rPr>
                <w:color w:val="231F20"/>
                <w:spacing w:val="-5"/>
                <w:sz w:val="15"/>
              </w:rPr>
              <w:t>40</w:t>
            </w:r>
          </w:p>
        </w:tc>
        <w:tc>
          <w:tcPr>
            <w:tcW w:w="2719" w:type="dxa"/>
            <w:tcBorders>
              <w:top w:val="single" w:sz="4" w:space="0" w:color="231F20"/>
              <w:bottom w:val="single" w:sz="4" w:space="0" w:color="FFFFFF"/>
            </w:tcBorders>
            <w:shd w:val="clear" w:color="auto" w:fill="E8F5F1"/>
          </w:tcPr>
          <w:p>
            <w:pPr>
              <w:pStyle w:val="TableParagraph"/>
              <w:spacing w:line="230" w:lineRule="auto" w:before="52"/>
              <w:ind w:left="238" w:hanging="112"/>
              <w:rPr>
                <w:sz w:val="15"/>
              </w:rPr>
            </w:pPr>
            <w:r>
              <w:rPr>
                <w:color w:val="231F20"/>
                <w:sz w:val="15"/>
              </w:rPr>
              <w:t>Huntington disease phenotype, </w:t>
            </w:r>
            <w:r>
              <w:rPr>
                <w:color w:val="231F20"/>
                <w:spacing w:val="-2"/>
                <w:sz w:val="15"/>
              </w:rPr>
              <w:t>sometimes</w:t>
            </w:r>
            <w:r>
              <w:rPr>
                <w:color w:val="231F20"/>
                <w:spacing w:val="-4"/>
                <w:sz w:val="15"/>
              </w:rPr>
              <w:t> </w:t>
            </w:r>
            <w:r>
              <w:rPr>
                <w:color w:val="231F20"/>
                <w:spacing w:val="-2"/>
                <w:sz w:val="15"/>
              </w:rPr>
              <w:t>acanthocytosis;</w:t>
            </w:r>
            <w:r>
              <w:rPr>
                <w:color w:val="231F20"/>
                <w:spacing w:val="-4"/>
                <w:sz w:val="15"/>
              </w:rPr>
              <w:t> </w:t>
            </w:r>
            <w:r>
              <w:rPr>
                <w:color w:val="231F20"/>
                <w:spacing w:val="-2"/>
                <w:sz w:val="15"/>
              </w:rPr>
              <w:t>almost </w:t>
            </w:r>
            <w:r>
              <w:rPr>
                <w:color w:val="231F20"/>
                <w:sz w:val="15"/>
              </w:rPr>
              <w:t>exclusively African ethnicity</w:t>
            </w:r>
          </w:p>
        </w:tc>
      </w:tr>
      <w:tr>
        <w:trPr>
          <w:trHeight w:val="420"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SCA17</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AD</w:t>
            </w:r>
            <w:r>
              <w:rPr>
                <w:color w:val="0080AC"/>
                <w:spacing w:val="-5"/>
                <w:w w:val="110"/>
                <w:sz w:val="15"/>
                <w:vertAlign w:val="superscript"/>
              </w:rPr>
              <w:t>†</w:t>
            </w:r>
          </w:p>
        </w:tc>
        <w:tc>
          <w:tcPr>
            <w:tcW w:w="1274" w:type="dxa"/>
            <w:tcBorders>
              <w:top w:val="single" w:sz="4" w:space="0" w:color="FFFFFF"/>
              <w:bottom w:val="single" w:sz="4" w:space="0" w:color="FFFFFF"/>
            </w:tcBorders>
            <w:shd w:val="clear" w:color="auto" w:fill="E8F5F1"/>
          </w:tcPr>
          <w:p>
            <w:pPr>
              <w:pStyle w:val="TableParagraph"/>
              <w:spacing w:before="42"/>
              <w:ind w:left="121"/>
              <w:rPr>
                <w:sz w:val="15"/>
              </w:rPr>
            </w:pPr>
            <w:r>
              <w:rPr>
                <w:i/>
                <w:color w:val="231F20"/>
                <w:sz w:val="15"/>
              </w:rPr>
              <w:t>TBP</w:t>
            </w:r>
            <w:r>
              <w:rPr>
                <w:color w:val="231F20"/>
                <w:sz w:val="15"/>
              </w:rPr>
              <w:t>,</w:t>
            </w:r>
            <w:r>
              <w:rPr>
                <w:color w:val="231F20"/>
                <w:spacing w:val="-6"/>
                <w:sz w:val="15"/>
              </w:rPr>
              <w:t> </w:t>
            </w:r>
            <w:r>
              <w:rPr>
                <w:color w:val="231F20"/>
                <w:spacing w:val="-5"/>
                <w:sz w:val="15"/>
              </w:rPr>
              <w:t>6q</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5"/>
                <w:w w:val="105"/>
                <w:sz w:val="15"/>
              </w:rPr>
              <w:t>TBP</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4"/>
                <w:sz w:val="15"/>
              </w:rPr>
              <w:t>10-</w:t>
            </w:r>
            <w:r>
              <w:rPr>
                <w:color w:val="231F20"/>
                <w:spacing w:val="-5"/>
                <w:sz w:val="15"/>
              </w:rPr>
              <w:t>30</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232" w:hanging="112"/>
              <w:rPr>
                <w:sz w:val="15"/>
              </w:rPr>
            </w:pPr>
            <w:r>
              <w:rPr>
                <w:color w:val="231F20"/>
                <w:spacing w:val="-2"/>
                <w:sz w:val="15"/>
              </w:rPr>
              <w:t>Cerebellar</w:t>
            </w:r>
            <w:r>
              <w:rPr>
                <w:color w:val="231F20"/>
                <w:spacing w:val="-10"/>
                <w:sz w:val="15"/>
              </w:rPr>
              <w:t> </w:t>
            </w:r>
            <w:r>
              <w:rPr>
                <w:color w:val="231F20"/>
                <w:spacing w:val="-2"/>
                <w:sz w:val="15"/>
              </w:rPr>
              <w:t>ataxia,</w:t>
            </w:r>
            <w:r>
              <w:rPr>
                <w:color w:val="231F20"/>
                <w:spacing w:val="-9"/>
                <w:sz w:val="15"/>
              </w:rPr>
              <w:t> </w:t>
            </w:r>
            <w:r>
              <w:rPr>
                <w:color w:val="231F20"/>
                <w:spacing w:val="-2"/>
                <w:sz w:val="15"/>
              </w:rPr>
              <w:t>chorea,</w:t>
            </w:r>
            <w:r>
              <w:rPr>
                <w:color w:val="231F20"/>
                <w:spacing w:val="-9"/>
                <w:sz w:val="15"/>
              </w:rPr>
              <w:t> </w:t>
            </w:r>
            <w:r>
              <w:rPr>
                <w:color w:val="231F20"/>
                <w:spacing w:val="-2"/>
                <w:sz w:val="15"/>
              </w:rPr>
              <w:t>dystonia, </w:t>
            </w:r>
            <w:r>
              <w:rPr>
                <w:color w:val="231F20"/>
                <w:sz w:val="15"/>
              </w:rPr>
              <w:t>hyperreflexia, cognitive decline</w:t>
            </w:r>
          </w:p>
        </w:tc>
      </w:tr>
      <w:tr>
        <w:trPr>
          <w:trHeight w:val="924"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DRPLA</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AD</w:t>
            </w:r>
            <w:r>
              <w:rPr>
                <w:color w:val="0080AC"/>
                <w:spacing w:val="-5"/>
                <w:w w:val="110"/>
                <w:sz w:val="15"/>
                <w:vertAlign w:val="superscript"/>
              </w:rPr>
              <w:t>†</w:t>
            </w:r>
          </w:p>
        </w:tc>
        <w:tc>
          <w:tcPr>
            <w:tcW w:w="1274" w:type="dxa"/>
            <w:tcBorders>
              <w:top w:val="single" w:sz="4" w:space="0" w:color="FFFFFF"/>
              <w:bottom w:val="single" w:sz="4" w:space="0" w:color="FFFFFF"/>
            </w:tcBorders>
            <w:shd w:val="clear" w:color="auto" w:fill="E8F5F1"/>
          </w:tcPr>
          <w:p>
            <w:pPr>
              <w:pStyle w:val="TableParagraph"/>
              <w:spacing w:before="42"/>
              <w:ind w:left="121"/>
              <w:rPr>
                <w:sz w:val="15"/>
              </w:rPr>
            </w:pPr>
            <w:r>
              <w:rPr>
                <w:i/>
                <w:color w:val="231F20"/>
                <w:sz w:val="15"/>
              </w:rPr>
              <w:t>DRPLA</w:t>
            </w:r>
            <w:r>
              <w:rPr>
                <w:color w:val="231F20"/>
                <w:sz w:val="15"/>
              </w:rPr>
              <w:t>,</w:t>
            </w:r>
            <w:r>
              <w:rPr>
                <w:color w:val="231F20"/>
                <w:spacing w:val="14"/>
                <w:sz w:val="15"/>
              </w:rPr>
              <w:t> </w:t>
            </w:r>
            <w:r>
              <w:rPr>
                <w:color w:val="231F20"/>
                <w:spacing w:val="-5"/>
                <w:sz w:val="15"/>
              </w:rPr>
              <w:t>12p</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2"/>
                <w:sz w:val="15"/>
              </w:rPr>
              <w:t>Atrophin-</w:t>
            </w:r>
            <w:r>
              <w:rPr>
                <w:color w:val="231F20"/>
                <w:spacing w:val="-10"/>
                <w:sz w:val="15"/>
              </w:rPr>
              <w:t>1</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z w:val="15"/>
              </w:rPr>
              <w:t>About</w:t>
            </w:r>
            <w:r>
              <w:rPr>
                <w:color w:val="231F20"/>
                <w:spacing w:val="20"/>
                <w:sz w:val="15"/>
              </w:rPr>
              <w:t> </w:t>
            </w:r>
            <w:r>
              <w:rPr>
                <w:color w:val="231F20"/>
                <w:spacing w:val="-5"/>
                <w:sz w:val="15"/>
              </w:rPr>
              <w:t>20</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90" w:hanging="112"/>
              <w:rPr>
                <w:sz w:val="15"/>
              </w:rPr>
            </w:pPr>
            <w:r>
              <w:rPr>
                <w:color w:val="231F20"/>
                <w:sz w:val="15"/>
              </w:rPr>
              <w:t>Variable</w:t>
            </w:r>
            <w:r>
              <w:rPr>
                <w:color w:val="231F20"/>
                <w:spacing w:val="-12"/>
                <w:sz w:val="15"/>
              </w:rPr>
              <w:t> </w:t>
            </w:r>
            <w:r>
              <w:rPr>
                <w:color w:val="231F20"/>
                <w:sz w:val="15"/>
              </w:rPr>
              <w:t>phenotypic</w:t>
            </w:r>
            <w:r>
              <w:rPr>
                <w:color w:val="231F20"/>
                <w:spacing w:val="-11"/>
                <w:sz w:val="15"/>
              </w:rPr>
              <w:t> </w:t>
            </w:r>
            <w:r>
              <w:rPr>
                <w:color w:val="231F20"/>
                <w:sz w:val="15"/>
              </w:rPr>
              <w:t>picture</w:t>
            </w:r>
            <w:r>
              <w:rPr>
                <w:color w:val="231F20"/>
                <w:spacing w:val="-11"/>
                <w:sz w:val="15"/>
              </w:rPr>
              <w:t> </w:t>
            </w:r>
            <w:r>
              <w:rPr>
                <w:color w:val="231F20"/>
                <w:sz w:val="15"/>
              </w:rPr>
              <w:t>including </w:t>
            </w:r>
            <w:r>
              <w:rPr>
                <w:color w:val="231F20"/>
                <w:spacing w:val="-2"/>
                <w:sz w:val="15"/>
              </w:rPr>
              <w:t>chorea,</w:t>
            </w:r>
            <w:r>
              <w:rPr>
                <w:color w:val="231F20"/>
                <w:spacing w:val="-8"/>
                <w:sz w:val="15"/>
              </w:rPr>
              <w:t> </w:t>
            </w:r>
            <w:r>
              <w:rPr>
                <w:color w:val="231F20"/>
                <w:spacing w:val="-2"/>
                <w:sz w:val="15"/>
              </w:rPr>
              <w:t>ataxia,</w:t>
            </w:r>
            <w:r>
              <w:rPr>
                <w:color w:val="231F20"/>
                <w:spacing w:val="-8"/>
                <w:sz w:val="15"/>
              </w:rPr>
              <w:t> </w:t>
            </w:r>
            <w:r>
              <w:rPr>
                <w:color w:val="231F20"/>
                <w:spacing w:val="-2"/>
                <w:sz w:val="15"/>
              </w:rPr>
              <w:t>seizures,</w:t>
            </w:r>
            <w:r>
              <w:rPr>
                <w:color w:val="231F20"/>
                <w:spacing w:val="-8"/>
                <w:sz w:val="15"/>
              </w:rPr>
              <w:t> </w:t>
            </w:r>
            <w:r>
              <w:rPr>
                <w:color w:val="231F20"/>
                <w:spacing w:val="-2"/>
                <w:sz w:val="15"/>
              </w:rPr>
              <w:t>psychiatric </w:t>
            </w:r>
            <w:r>
              <w:rPr>
                <w:color w:val="231F20"/>
                <w:sz w:val="15"/>
              </w:rPr>
              <w:t>disturbances, dementia; more common in Japan than in Europe</w:t>
            </w:r>
            <w:r>
              <w:rPr>
                <w:color w:val="231F20"/>
                <w:spacing w:val="80"/>
                <w:sz w:val="15"/>
              </w:rPr>
              <w:t> </w:t>
            </w:r>
            <w:r>
              <w:rPr>
                <w:color w:val="231F20"/>
                <w:sz w:val="15"/>
              </w:rPr>
              <w:t>or United States</w:t>
            </w:r>
          </w:p>
        </w:tc>
      </w:tr>
      <w:tr>
        <w:trPr>
          <w:trHeight w:val="924"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SCA3/MJD</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AD</w:t>
            </w:r>
            <w:r>
              <w:rPr>
                <w:color w:val="0080AC"/>
                <w:spacing w:val="-5"/>
                <w:w w:val="110"/>
                <w:sz w:val="15"/>
                <w:vertAlign w:val="superscript"/>
              </w:rPr>
              <w:t>†</w:t>
            </w:r>
          </w:p>
        </w:tc>
        <w:tc>
          <w:tcPr>
            <w:tcW w:w="1274" w:type="dxa"/>
            <w:tcBorders>
              <w:top w:val="single" w:sz="4" w:space="0" w:color="FFFFFF"/>
              <w:bottom w:val="single" w:sz="4" w:space="0" w:color="FFFFFF"/>
            </w:tcBorders>
            <w:shd w:val="clear" w:color="auto" w:fill="E8F5F1"/>
          </w:tcPr>
          <w:p>
            <w:pPr>
              <w:pStyle w:val="TableParagraph"/>
              <w:spacing w:before="42"/>
              <w:ind w:left="121"/>
              <w:rPr>
                <w:sz w:val="15"/>
              </w:rPr>
            </w:pPr>
            <w:r>
              <w:rPr>
                <w:i/>
                <w:color w:val="231F20"/>
                <w:sz w:val="15"/>
              </w:rPr>
              <w:t>MJD</w:t>
            </w:r>
            <w:r>
              <w:rPr>
                <w:color w:val="231F20"/>
                <w:sz w:val="15"/>
              </w:rPr>
              <w:t>,</w:t>
            </w:r>
            <w:r>
              <w:rPr>
                <w:color w:val="231F20"/>
                <w:spacing w:val="20"/>
                <w:sz w:val="15"/>
              </w:rPr>
              <w:t> </w:t>
            </w:r>
            <w:r>
              <w:rPr>
                <w:color w:val="231F20"/>
                <w:spacing w:val="-5"/>
                <w:sz w:val="15"/>
              </w:rPr>
              <w:t>14q</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4"/>
                <w:sz w:val="15"/>
              </w:rPr>
              <w:t>Ataxin-</w:t>
            </w:r>
            <w:r>
              <w:rPr>
                <w:color w:val="231F20"/>
                <w:spacing w:val="-10"/>
                <w:sz w:val="15"/>
              </w:rPr>
              <w:t>3</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4"/>
                <w:sz w:val="15"/>
              </w:rPr>
              <w:t>35-</w:t>
            </w:r>
            <w:r>
              <w:rPr>
                <w:color w:val="231F20"/>
                <w:spacing w:val="-5"/>
                <w:sz w:val="15"/>
              </w:rPr>
              <w:t>40</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234" w:hanging="112"/>
              <w:rPr>
                <w:sz w:val="15"/>
              </w:rPr>
            </w:pPr>
            <w:r>
              <w:rPr>
                <w:color w:val="231F20"/>
                <w:sz w:val="15"/>
              </w:rPr>
              <w:t>Wide phenotypic variability with </w:t>
            </w:r>
            <w:r>
              <w:rPr>
                <w:color w:val="231F20"/>
                <w:spacing w:val="-2"/>
                <w:sz w:val="15"/>
              </w:rPr>
              <w:t>cerebellar</w:t>
            </w:r>
            <w:r>
              <w:rPr>
                <w:color w:val="231F20"/>
                <w:spacing w:val="-10"/>
                <w:sz w:val="15"/>
              </w:rPr>
              <w:t> </w:t>
            </w:r>
            <w:r>
              <w:rPr>
                <w:color w:val="231F20"/>
                <w:spacing w:val="-2"/>
                <w:sz w:val="15"/>
              </w:rPr>
              <w:t>ataxia,</w:t>
            </w:r>
            <w:r>
              <w:rPr>
                <w:color w:val="231F20"/>
                <w:spacing w:val="-9"/>
                <w:sz w:val="15"/>
              </w:rPr>
              <w:t> </w:t>
            </w:r>
            <w:r>
              <w:rPr>
                <w:color w:val="231F20"/>
                <w:spacing w:val="-2"/>
                <w:sz w:val="15"/>
              </w:rPr>
              <w:t>protruded</w:t>
            </w:r>
            <w:r>
              <w:rPr>
                <w:color w:val="231F20"/>
                <w:spacing w:val="-9"/>
                <w:sz w:val="15"/>
              </w:rPr>
              <w:t> </w:t>
            </w:r>
            <w:r>
              <w:rPr>
                <w:color w:val="231F20"/>
                <w:spacing w:val="-2"/>
                <w:sz w:val="15"/>
              </w:rPr>
              <w:t>eyes, </w:t>
            </w:r>
            <w:r>
              <w:rPr>
                <w:color w:val="231F20"/>
                <w:sz w:val="15"/>
              </w:rPr>
              <w:t>chorea, dystonia, parkinsonian features, neuropathy, pyramidal tract features</w:t>
            </w:r>
          </w:p>
        </w:tc>
      </w:tr>
      <w:tr>
        <w:trPr>
          <w:trHeight w:val="588"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w w:val="110"/>
                <w:sz w:val="15"/>
              </w:rPr>
              <w:t>SCA2</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AD</w:t>
            </w:r>
            <w:r>
              <w:rPr>
                <w:color w:val="0080AC"/>
                <w:spacing w:val="-5"/>
                <w:w w:val="110"/>
                <w:sz w:val="15"/>
                <w:vertAlign w:val="superscript"/>
              </w:rPr>
              <w:t>†</w:t>
            </w:r>
          </w:p>
        </w:tc>
        <w:tc>
          <w:tcPr>
            <w:tcW w:w="1274" w:type="dxa"/>
            <w:tcBorders>
              <w:top w:val="single" w:sz="4" w:space="0" w:color="FFFFFF"/>
              <w:bottom w:val="single" w:sz="4" w:space="0" w:color="FFFFFF"/>
            </w:tcBorders>
            <w:shd w:val="clear" w:color="auto" w:fill="E8F5F1"/>
          </w:tcPr>
          <w:p>
            <w:pPr>
              <w:pStyle w:val="TableParagraph"/>
              <w:spacing w:before="42"/>
              <w:ind w:left="121"/>
              <w:rPr>
                <w:sz w:val="15"/>
              </w:rPr>
            </w:pPr>
            <w:r>
              <w:rPr>
                <w:i/>
                <w:color w:val="231F20"/>
                <w:w w:val="90"/>
                <w:sz w:val="15"/>
              </w:rPr>
              <w:t>Ataxin-2</w:t>
            </w:r>
            <w:r>
              <w:rPr>
                <w:color w:val="231F20"/>
                <w:w w:val="90"/>
                <w:sz w:val="15"/>
              </w:rPr>
              <w:t>,</w:t>
            </w:r>
            <w:r>
              <w:rPr>
                <w:color w:val="231F20"/>
                <w:spacing w:val="18"/>
                <w:sz w:val="15"/>
              </w:rPr>
              <w:t> </w:t>
            </w:r>
            <w:r>
              <w:rPr>
                <w:color w:val="231F20"/>
                <w:spacing w:val="-5"/>
                <w:w w:val="90"/>
                <w:sz w:val="15"/>
              </w:rPr>
              <w:t>12q</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4"/>
                <w:sz w:val="15"/>
              </w:rPr>
              <w:t>Ataxin-</w:t>
            </w:r>
            <w:r>
              <w:rPr>
                <w:color w:val="231F20"/>
                <w:spacing w:val="-10"/>
                <w:sz w:val="15"/>
              </w:rPr>
              <w:t>2</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4"/>
                <w:sz w:val="15"/>
              </w:rPr>
              <w:t>30-</w:t>
            </w:r>
            <w:r>
              <w:rPr>
                <w:color w:val="231F20"/>
                <w:spacing w:val="-5"/>
                <w:sz w:val="15"/>
              </w:rPr>
              <w:t>35</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226" w:hanging="112"/>
              <w:rPr>
                <w:sz w:val="15"/>
              </w:rPr>
            </w:pPr>
            <w:r>
              <w:rPr>
                <w:color w:val="231F20"/>
                <w:spacing w:val="-2"/>
                <w:sz w:val="15"/>
              </w:rPr>
              <w:t>Cerebellar</w:t>
            </w:r>
            <w:r>
              <w:rPr>
                <w:color w:val="231F20"/>
                <w:spacing w:val="-10"/>
                <w:sz w:val="15"/>
              </w:rPr>
              <w:t> </w:t>
            </w:r>
            <w:r>
              <w:rPr>
                <w:color w:val="231F20"/>
                <w:spacing w:val="-2"/>
                <w:sz w:val="15"/>
              </w:rPr>
              <w:t>ataxia,</w:t>
            </w:r>
            <w:r>
              <w:rPr>
                <w:color w:val="231F20"/>
                <w:spacing w:val="-9"/>
                <w:sz w:val="15"/>
              </w:rPr>
              <w:t> </w:t>
            </w:r>
            <w:r>
              <w:rPr>
                <w:color w:val="231F20"/>
                <w:spacing w:val="-2"/>
                <w:sz w:val="15"/>
              </w:rPr>
              <w:t>chorea,</w:t>
            </w:r>
            <w:r>
              <w:rPr>
                <w:color w:val="231F20"/>
                <w:spacing w:val="-9"/>
                <w:sz w:val="15"/>
              </w:rPr>
              <w:t> </w:t>
            </w:r>
            <w:r>
              <w:rPr>
                <w:color w:val="231F20"/>
                <w:spacing w:val="-2"/>
                <w:sz w:val="15"/>
              </w:rPr>
              <w:t>markedly </w:t>
            </w:r>
            <w:r>
              <w:rPr>
                <w:color w:val="231F20"/>
                <w:sz w:val="15"/>
              </w:rPr>
              <w:t>reduced velocity of saccadic eye movements, hyporeflexia</w:t>
            </w:r>
          </w:p>
        </w:tc>
      </w:tr>
      <w:tr>
        <w:trPr>
          <w:trHeight w:val="588" w:hRule="atLeast"/>
        </w:trPr>
        <w:tc>
          <w:tcPr>
            <w:tcW w:w="1594" w:type="dxa"/>
            <w:tcBorders>
              <w:top w:val="single" w:sz="4" w:space="0" w:color="FFFFFF"/>
              <w:bottom w:val="single" w:sz="4" w:space="0" w:color="FFFFFF"/>
            </w:tcBorders>
            <w:shd w:val="clear" w:color="auto" w:fill="E8F5F1"/>
          </w:tcPr>
          <w:p>
            <w:pPr>
              <w:pStyle w:val="TableParagraph"/>
              <w:spacing w:line="230" w:lineRule="auto" w:before="48"/>
              <w:ind w:left="186" w:right="427" w:hanging="112"/>
              <w:rPr>
                <w:sz w:val="15"/>
              </w:rPr>
            </w:pPr>
            <w:r>
              <w:rPr>
                <w:color w:val="231F20"/>
                <w:spacing w:val="-2"/>
                <w:sz w:val="15"/>
              </w:rPr>
              <w:t>Chorea- acanthocytosis</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AR</w:t>
            </w:r>
          </w:p>
        </w:tc>
        <w:tc>
          <w:tcPr>
            <w:tcW w:w="1274" w:type="dxa"/>
            <w:tcBorders>
              <w:top w:val="single" w:sz="4" w:space="0" w:color="FFFFFF"/>
              <w:bottom w:val="single" w:sz="4" w:space="0" w:color="FFFFFF"/>
            </w:tcBorders>
            <w:shd w:val="clear" w:color="auto" w:fill="E8F5F1"/>
          </w:tcPr>
          <w:p>
            <w:pPr>
              <w:pStyle w:val="TableParagraph"/>
              <w:spacing w:line="171" w:lineRule="exact" w:before="42"/>
              <w:ind w:left="121"/>
              <w:rPr>
                <w:i/>
                <w:sz w:val="15"/>
              </w:rPr>
            </w:pPr>
            <w:r>
              <w:rPr>
                <w:i/>
                <w:color w:val="231F20"/>
                <w:spacing w:val="-2"/>
                <w:w w:val="105"/>
                <w:sz w:val="15"/>
              </w:rPr>
              <w:t>VPS13A</w:t>
            </w:r>
          </w:p>
          <w:p>
            <w:pPr>
              <w:pStyle w:val="TableParagraph"/>
              <w:spacing w:line="168" w:lineRule="exact"/>
              <w:ind w:left="233"/>
              <w:rPr>
                <w:sz w:val="15"/>
              </w:rPr>
            </w:pPr>
            <w:r>
              <w:rPr>
                <w:color w:val="231F20"/>
                <w:spacing w:val="-2"/>
                <w:sz w:val="15"/>
              </w:rPr>
              <w:t>(formerly</w:t>
            </w:r>
          </w:p>
          <w:p>
            <w:pPr>
              <w:pStyle w:val="TableParagraph"/>
              <w:spacing w:line="171" w:lineRule="exact"/>
              <w:ind w:left="233"/>
              <w:rPr>
                <w:sz w:val="15"/>
              </w:rPr>
            </w:pPr>
            <w:r>
              <w:rPr>
                <w:i/>
                <w:color w:val="231F20"/>
                <w:sz w:val="15"/>
              </w:rPr>
              <w:t>CHAC</w:t>
            </w:r>
            <w:r>
              <w:rPr>
                <w:color w:val="231F20"/>
                <w:sz w:val="15"/>
              </w:rPr>
              <w:t>),</w:t>
            </w:r>
            <w:r>
              <w:rPr>
                <w:color w:val="231F20"/>
                <w:spacing w:val="15"/>
                <w:sz w:val="15"/>
              </w:rPr>
              <w:t> </w:t>
            </w:r>
            <w:r>
              <w:rPr>
                <w:color w:val="231F20"/>
                <w:spacing w:val="-5"/>
                <w:sz w:val="15"/>
              </w:rPr>
              <w:t>9q</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2"/>
                <w:sz w:val="15"/>
              </w:rPr>
              <w:t>Chorein</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4"/>
                <w:sz w:val="15"/>
              </w:rPr>
              <w:t>20-</w:t>
            </w:r>
            <w:r>
              <w:rPr>
                <w:color w:val="231F20"/>
                <w:spacing w:val="-5"/>
                <w:sz w:val="15"/>
              </w:rPr>
              <w:t>50</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313" w:hanging="112"/>
              <w:jc w:val="both"/>
              <w:rPr>
                <w:sz w:val="15"/>
              </w:rPr>
            </w:pPr>
            <w:r>
              <w:rPr>
                <w:color w:val="231F20"/>
                <w:spacing w:val="-4"/>
                <w:sz w:val="15"/>
              </w:rPr>
              <w:t>Orofacial self-mutilation, </w:t>
            </w:r>
            <w:r>
              <w:rPr>
                <w:color w:val="231F20"/>
                <w:spacing w:val="-4"/>
                <w:sz w:val="15"/>
              </w:rPr>
              <w:t>dystonia, </w:t>
            </w:r>
            <w:r>
              <w:rPr>
                <w:color w:val="231F20"/>
                <w:spacing w:val="-2"/>
                <w:sz w:val="15"/>
              </w:rPr>
              <w:t>neuropathy,</w:t>
            </w:r>
            <w:r>
              <w:rPr>
                <w:color w:val="231F20"/>
                <w:spacing w:val="-10"/>
                <w:sz w:val="15"/>
              </w:rPr>
              <w:t> </w:t>
            </w:r>
            <w:r>
              <w:rPr>
                <w:color w:val="231F20"/>
                <w:spacing w:val="-2"/>
                <w:sz w:val="15"/>
              </w:rPr>
              <w:t>myopathy,</w:t>
            </w:r>
            <w:r>
              <w:rPr>
                <w:color w:val="231F20"/>
                <w:spacing w:val="-9"/>
                <w:sz w:val="15"/>
              </w:rPr>
              <w:t> </w:t>
            </w:r>
            <w:r>
              <w:rPr>
                <w:color w:val="231F20"/>
                <w:spacing w:val="-2"/>
                <w:sz w:val="15"/>
              </w:rPr>
              <w:t>seizures, acanthocytosis</w:t>
            </w:r>
          </w:p>
        </w:tc>
      </w:tr>
      <w:tr>
        <w:trPr>
          <w:trHeight w:val="924"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McLeod</w:t>
            </w:r>
            <w:r>
              <w:rPr>
                <w:color w:val="231F20"/>
                <w:spacing w:val="8"/>
                <w:w w:val="105"/>
                <w:sz w:val="15"/>
              </w:rPr>
              <w:t> </w:t>
            </w:r>
            <w:r>
              <w:rPr>
                <w:color w:val="231F20"/>
                <w:spacing w:val="-2"/>
                <w:w w:val="105"/>
                <w:sz w:val="15"/>
              </w:rPr>
              <w:t>syndrome</w:t>
            </w:r>
          </w:p>
        </w:tc>
        <w:tc>
          <w:tcPr>
            <w:tcW w:w="1270" w:type="dxa"/>
            <w:tcBorders>
              <w:top w:val="single" w:sz="4" w:space="0" w:color="FFFFFF"/>
              <w:bottom w:val="single" w:sz="4" w:space="0" w:color="FFFFFF"/>
            </w:tcBorders>
            <w:shd w:val="clear" w:color="auto" w:fill="E8F5F1"/>
          </w:tcPr>
          <w:p>
            <w:pPr>
              <w:pStyle w:val="TableParagraph"/>
              <w:spacing w:line="230" w:lineRule="auto" w:before="48"/>
              <w:ind w:left="233" w:right="3" w:hanging="112"/>
              <w:rPr>
                <w:sz w:val="15"/>
              </w:rPr>
            </w:pPr>
            <w:r>
              <w:rPr>
                <w:color w:val="231F20"/>
                <w:spacing w:val="-2"/>
                <w:sz w:val="15"/>
              </w:rPr>
              <w:t>X-linked, </w:t>
            </w:r>
            <w:r>
              <w:rPr>
                <w:color w:val="231F20"/>
                <w:spacing w:val="-4"/>
                <w:sz w:val="15"/>
              </w:rPr>
              <w:t>recessive</w:t>
            </w:r>
          </w:p>
        </w:tc>
        <w:tc>
          <w:tcPr>
            <w:tcW w:w="1274" w:type="dxa"/>
            <w:tcBorders>
              <w:top w:val="single" w:sz="4" w:space="0" w:color="FFFFFF"/>
              <w:bottom w:val="single" w:sz="4" w:space="0" w:color="FFFFFF"/>
            </w:tcBorders>
            <w:shd w:val="clear" w:color="auto" w:fill="E8F5F1"/>
          </w:tcPr>
          <w:p>
            <w:pPr>
              <w:pStyle w:val="TableParagraph"/>
              <w:spacing w:before="42"/>
              <w:ind w:left="121"/>
              <w:rPr>
                <w:sz w:val="15"/>
              </w:rPr>
            </w:pPr>
            <w:r>
              <w:rPr>
                <w:i/>
                <w:color w:val="231F20"/>
                <w:sz w:val="15"/>
              </w:rPr>
              <w:t>XK</w:t>
            </w:r>
            <w:r>
              <w:rPr>
                <w:color w:val="231F20"/>
                <w:sz w:val="15"/>
              </w:rPr>
              <w:t>,</w:t>
            </w:r>
            <w:r>
              <w:rPr>
                <w:color w:val="231F20"/>
                <w:spacing w:val="-4"/>
                <w:sz w:val="15"/>
              </w:rPr>
              <w:t> </w:t>
            </w:r>
            <w:r>
              <w:rPr>
                <w:color w:val="231F20"/>
                <w:spacing w:val="-5"/>
                <w:sz w:val="15"/>
              </w:rPr>
              <w:t>Xp</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2"/>
                <w:sz w:val="15"/>
              </w:rPr>
              <w:t>XK-protein</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4"/>
                <w:sz w:val="15"/>
              </w:rPr>
              <w:t>40-</w:t>
            </w:r>
            <w:r>
              <w:rPr>
                <w:color w:val="231F20"/>
                <w:spacing w:val="-5"/>
                <w:sz w:val="15"/>
              </w:rPr>
              <w:t>70</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385" w:hanging="112"/>
              <w:rPr>
                <w:sz w:val="15"/>
              </w:rPr>
            </w:pPr>
            <w:r>
              <w:rPr>
                <w:color w:val="231F20"/>
                <w:spacing w:val="-2"/>
                <w:sz w:val="15"/>
              </w:rPr>
              <w:t>Dystonia,</w:t>
            </w:r>
            <w:r>
              <w:rPr>
                <w:color w:val="231F20"/>
                <w:spacing w:val="-10"/>
                <w:sz w:val="15"/>
              </w:rPr>
              <w:t> </w:t>
            </w:r>
            <w:r>
              <w:rPr>
                <w:color w:val="231F20"/>
                <w:spacing w:val="-2"/>
                <w:sz w:val="15"/>
              </w:rPr>
              <w:t>neuropathy,</w:t>
            </w:r>
            <w:r>
              <w:rPr>
                <w:color w:val="231F20"/>
                <w:spacing w:val="-9"/>
                <w:sz w:val="15"/>
              </w:rPr>
              <w:t> </w:t>
            </w:r>
            <w:r>
              <w:rPr>
                <w:color w:val="231F20"/>
                <w:spacing w:val="-2"/>
                <w:sz w:val="15"/>
              </w:rPr>
              <w:t>myopathy, </w:t>
            </w:r>
            <w:r>
              <w:rPr>
                <w:color w:val="231F20"/>
                <w:sz w:val="15"/>
              </w:rPr>
              <w:t>cardiomyopathy, seizures, acanthocytosis,</w:t>
            </w:r>
            <w:r>
              <w:rPr>
                <w:color w:val="231F20"/>
                <w:spacing w:val="-12"/>
                <w:sz w:val="15"/>
              </w:rPr>
              <w:t> </w:t>
            </w:r>
            <w:r>
              <w:rPr>
                <w:color w:val="231F20"/>
                <w:sz w:val="15"/>
              </w:rPr>
              <w:t>raised</w:t>
            </w:r>
            <w:r>
              <w:rPr>
                <w:color w:val="231F20"/>
                <w:spacing w:val="-11"/>
                <w:sz w:val="15"/>
              </w:rPr>
              <w:t> </w:t>
            </w:r>
            <w:r>
              <w:rPr>
                <w:color w:val="231F20"/>
                <w:sz w:val="15"/>
              </w:rPr>
              <w:t>creatine kinase,</w:t>
            </w:r>
            <w:r>
              <w:rPr>
                <w:color w:val="231F20"/>
                <w:spacing w:val="-12"/>
                <w:sz w:val="15"/>
              </w:rPr>
              <w:t> </w:t>
            </w:r>
            <w:r>
              <w:rPr>
                <w:color w:val="231F20"/>
                <w:sz w:val="15"/>
              </w:rPr>
              <w:t>weak</w:t>
            </w:r>
            <w:r>
              <w:rPr>
                <w:color w:val="231F20"/>
                <w:spacing w:val="-11"/>
                <w:sz w:val="15"/>
              </w:rPr>
              <w:t> </w:t>
            </w:r>
            <w:r>
              <w:rPr>
                <w:color w:val="231F20"/>
                <w:sz w:val="15"/>
              </w:rPr>
              <w:t>expression</w:t>
            </w:r>
            <w:r>
              <w:rPr>
                <w:color w:val="231F20"/>
                <w:spacing w:val="-11"/>
                <w:sz w:val="15"/>
              </w:rPr>
              <w:t> </w:t>
            </w:r>
            <w:r>
              <w:rPr>
                <w:color w:val="231F20"/>
                <w:sz w:val="15"/>
              </w:rPr>
              <w:t>of</w:t>
            </w:r>
            <w:r>
              <w:rPr>
                <w:color w:val="231F20"/>
                <w:spacing w:val="-12"/>
                <w:sz w:val="15"/>
              </w:rPr>
              <w:t> </w:t>
            </w:r>
            <w:r>
              <w:rPr>
                <w:color w:val="231F20"/>
                <w:sz w:val="15"/>
              </w:rPr>
              <w:t>Kell </w:t>
            </w:r>
            <w:r>
              <w:rPr>
                <w:color w:val="231F20"/>
                <w:spacing w:val="-2"/>
                <w:sz w:val="15"/>
              </w:rPr>
              <w:t>antigen</w:t>
            </w:r>
          </w:p>
        </w:tc>
      </w:tr>
      <w:tr>
        <w:trPr>
          <w:trHeight w:val="924"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Neuroferritinopathy</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5"/>
                <w:sz w:val="15"/>
              </w:rPr>
              <w:t>AD</w:t>
            </w:r>
          </w:p>
        </w:tc>
        <w:tc>
          <w:tcPr>
            <w:tcW w:w="1274" w:type="dxa"/>
            <w:tcBorders>
              <w:top w:val="single" w:sz="4" w:space="0" w:color="FFFFFF"/>
              <w:bottom w:val="single" w:sz="4" w:space="0" w:color="FFFFFF"/>
            </w:tcBorders>
            <w:shd w:val="clear" w:color="auto" w:fill="E8F5F1"/>
          </w:tcPr>
          <w:p>
            <w:pPr>
              <w:pStyle w:val="TableParagraph"/>
              <w:spacing w:before="42"/>
              <w:ind w:left="121"/>
              <w:rPr>
                <w:sz w:val="15"/>
              </w:rPr>
            </w:pPr>
            <w:r>
              <w:rPr>
                <w:i/>
                <w:color w:val="231F20"/>
                <w:spacing w:val="-2"/>
                <w:sz w:val="15"/>
              </w:rPr>
              <w:t>FTL</w:t>
            </w:r>
            <w:r>
              <w:rPr>
                <w:color w:val="231F20"/>
                <w:spacing w:val="-2"/>
                <w:sz w:val="15"/>
              </w:rPr>
              <w:t>,</w:t>
            </w:r>
            <w:r>
              <w:rPr>
                <w:color w:val="231F20"/>
                <w:spacing w:val="-8"/>
                <w:sz w:val="15"/>
              </w:rPr>
              <w:t> </w:t>
            </w:r>
            <w:r>
              <w:rPr>
                <w:color w:val="231F20"/>
                <w:spacing w:val="-5"/>
                <w:sz w:val="15"/>
              </w:rPr>
              <w:t>19q</w:t>
            </w:r>
          </w:p>
        </w:tc>
        <w:tc>
          <w:tcPr>
            <w:tcW w:w="1486"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pacing w:val="-5"/>
                <w:sz w:val="15"/>
              </w:rPr>
              <w:t>FTL</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4"/>
                <w:sz w:val="15"/>
              </w:rPr>
              <w:t>20-</w:t>
            </w:r>
            <w:r>
              <w:rPr>
                <w:color w:val="231F20"/>
                <w:spacing w:val="-5"/>
                <w:sz w:val="15"/>
              </w:rPr>
              <w:t>55</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170" w:hanging="112"/>
              <w:rPr>
                <w:sz w:val="15"/>
              </w:rPr>
            </w:pPr>
            <w:r>
              <w:rPr>
                <w:color w:val="231F20"/>
                <w:sz w:val="15"/>
              </w:rPr>
              <w:t>Chorea, dystonia, parkinsonian features; usually reduced serum </w:t>
            </w:r>
            <w:r>
              <w:rPr>
                <w:color w:val="231F20"/>
                <w:spacing w:val="-2"/>
                <w:sz w:val="15"/>
              </w:rPr>
              <w:t>ferritin;</w:t>
            </w:r>
            <w:r>
              <w:rPr>
                <w:color w:val="231F20"/>
                <w:spacing w:val="-10"/>
                <w:sz w:val="15"/>
              </w:rPr>
              <w:t> </w:t>
            </w:r>
            <w:r>
              <w:rPr>
                <w:color w:val="231F20"/>
                <w:spacing w:val="-2"/>
                <w:sz w:val="15"/>
              </w:rPr>
              <w:t>MR</w:t>
            </w:r>
            <w:r>
              <w:rPr>
                <w:color w:val="231F20"/>
                <w:spacing w:val="-9"/>
                <w:sz w:val="15"/>
              </w:rPr>
              <w:t> </w:t>
            </w:r>
            <w:r>
              <w:rPr>
                <w:color w:val="231F20"/>
                <w:spacing w:val="-2"/>
                <w:sz w:val="15"/>
              </w:rPr>
              <w:t>abnormalities</w:t>
            </w:r>
            <w:r>
              <w:rPr>
                <w:color w:val="231F20"/>
                <w:spacing w:val="-9"/>
                <w:sz w:val="15"/>
              </w:rPr>
              <w:t> </w:t>
            </w:r>
            <w:r>
              <w:rPr>
                <w:color w:val="231F20"/>
                <w:spacing w:val="-2"/>
                <w:sz w:val="15"/>
              </w:rPr>
              <w:t>with</w:t>
            </w:r>
            <w:r>
              <w:rPr>
                <w:color w:val="231F20"/>
                <w:spacing w:val="-10"/>
                <w:sz w:val="15"/>
              </w:rPr>
              <w:t> </w:t>
            </w:r>
            <w:r>
              <w:rPr>
                <w:color w:val="231F20"/>
                <w:spacing w:val="-2"/>
                <w:sz w:val="15"/>
              </w:rPr>
              <w:t>cyst </w:t>
            </w:r>
            <w:r>
              <w:rPr>
                <w:color w:val="231F20"/>
                <w:sz w:val="15"/>
              </w:rPr>
              <w:t>formation</w:t>
            </w:r>
            <w:r>
              <w:rPr>
                <w:color w:val="231F20"/>
                <w:spacing w:val="-4"/>
                <w:sz w:val="15"/>
              </w:rPr>
              <w:t> </w:t>
            </w:r>
            <w:r>
              <w:rPr>
                <w:color w:val="231F20"/>
                <w:sz w:val="15"/>
              </w:rPr>
              <w:t>and</w:t>
            </w:r>
            <w:r>
              <w:rPr>
                <w:color w:val="231F20"/>
                <w:spacing w:val="-4"/>
                <w:sz w:val="15"/>
              </w:rPr>
              <w:t> </w:t>
            </w:r>
            <w:r>
              <w:rPr>
                <w:color w:val="231F20"/>
                <w:sz w:val="15"/>
              </w:rPr>
              <w:t>increased</w:t>
            </w:r>
            <w:r>
              <w:rPr>
                <w:color w:val="231F20"/>
                <w:spacing w:val="-4"/>
                <w:sz w:val="15"/>
              </w:rPr>
              <w:t> </w:t>
            </w:r>
            <w:r>
              <w:rPr>
                <w:color w:val="231F20"/>
                <w:sz w:val="15"/>
              </w:rPr>
              <w:t>T2</w:t>
            </w:r>
            <w:r>
              <w:rPr>
                <w:color w:val="231F20"/>
                <w:spacing w:val="-4"/>
                <w:sz w:val="15"/>
              </w:rPr>
              <w:t> </w:t>
            </w:r>
            <w:r>
              <w:rPr>
                <w:color w:val="231F20"/>
                <w:sz w:val="15"/>
              </w:rPr>
              <w:t>signal in globus pallidus and putamen</w:t>
            </w:r>
          </w:p>
        </w:tc>
      </w:tr>
      <w:tr>
        <w:trPr>
          <w:trHeight w:val="1764"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AT</w:t>
            </w:r>
            <w:r>
              <w:rPr>
                <w:color w:val="231F20"/>
                <w:spacing w:val="-2"/>
                <w:w w:val="105"/>
                <w:sz w:val="15"/>
              </w:rPr>
              <w:t> </w:t>
            </w:r>
            <w:r>
              <w:rPr>
                <w:color w:val="231F20"/>
                <w:w w:val="105"/>
                <w:sz w:val="15"/>
              </w:rPr>
              <w:t>and</w:t>
            </w:r>
            <w:r>
              <w:rPr>
                <w:color w:val="231F20"/>
                <w:spacing w:val="-2"/>
                <w:w w:val="105"/>
                <w:sz w:val="15"/>
              </w:rPr>
              <w:t> </w:t>
            </w:r>
            <w:r>
              <w:rPr>
                <w:color w:val="231F20"/>
                <w:spacing w:val="-4"/>
                <w:w w:val="105"/>
                <w:sz w:val="15"/>
              </w:rPr>
              <w:t>ATLD</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AR</w:t>
            </w:r>
          </w:p>
        </w:tc>
        <w:tc>
          <w:tcPr>
            <w:tcW w:w="1274" w:type="dxa"/>
            <w:tcBorders>
              <w:top w:val="single" w:sz="4" w:space="0" w:color="FFFFFF"/>
              <w:bottom w:val="single" w:sz="4" w:space="0" w:color="FFFFFF"/>
            </w:tcBorders>
            <w:shd w:val="clear" w:color="auto" w:fill="E8F5F1"/>
          </w:tcPr>
          <w:p>
            <w:pPr>
              <w:pStyle w:val="TableParagraph"/>
              <w:spacing w:line="230" w:lineRule="auto" w:before="48"/>
              <w:ind w:left="233" w:hanging="112"/>
              <w:rPr>
                <w:i/>
                <w:sz w:val="15"/>
              </w:rPr>
            </w:pPr>
            <w:r>
              <w:rPr>
                <w:i/>
                <w:color w:val="231F20"/>
                <w:sz w:val="15"/>
              </w:rPr>
              <w:t>ATM</w:t>
            </w:r>
            <w:r>
              <w:rPr>
                <w:color w:val="231F20"/>
                <w:sz w:val="15"/>
              </w:rPr>
              <w:t>,</w:t>
            </w:r>
            <w:r>
              <w:rPr>
                <w:color w:val="231F20"/>
                <w:spacing w:val="-12"/>
                <w:sz w:val="15"/>
              </w:rPr>
              <w:t> </w:t>
            </w:r>
            <w:r>
              <w:rPr>
                <w:color w:val="231F20"/>
                <w:sz w:val="15"/>
              </w:rPr>
              <w:t>11q</w:t>
            </w:r>
            <w:r>
              <w:rPr>
                <w:color w:val="231F20"/>
                <w:spacing w:val="-11"/>
                <w:sz w:val="15"/>
              </w:rPr>
              <w:t> </w:t>
            </w:r>
            <w:r>
              <w:rPr>
                <w:color w:val="231F20"/>
                <w:sz w:val="15"/>
              </w:rPr>
              <w:t>(</w:t>
            </w:r>
            <w:r>
              <w:rPr>
                <w:i/>
                <w:color w:val="231F20"/>
                <w:sz w:val="15"/>
              </w:rPr>
              <w:t>AT</w:t>
            </w:r>
            <w:r>
              <w:rPr>
                <w:color w:val="231F20"/>
                <w:sz w:val="15"/>
              </w:rPr>
              <w:t>) </w:t>
            </w:r>
            <w:r>
              <w:rPr>
                <w:i/>
                <w:color w:val="231F20"/>
                <w:sz w:val="15"/>
              </w:rPr>
              <w:t>MRE11</w:t>
            </w:r>
            <w:r>
              <w:rPr>
                <w:color w:val="231F20"/>
                <w:sz w:val="15"/>
              </w:rPr>
              <w:t>, 11q </w:t>
            </w:r>
            <w:r>
              <w:rPr>
                <w:i/>
                <w:color w:val="231F20"/>
                <w:spacing w:val="-2"/>
                <w:sz w:val="15"/>
              </w:rPr>
              <w:t>(ATLD)</w:t>
            </w:r>
          </w:p>
        </w:tc>
        <w:tc>
          <w:tcPr>
            <w:tcW w:w="1486" w:type="dxa"/>
            <w:tcBorders>
              <w:top w:val="single" w:sz="4" w:space="0" w:color="FFFFFF"/>
              <w:bottom w:val="single" w:sz="4" w:space="0" w:color="FFFFFF"/>
            </w:tcBorders>
            <w:shd w:val="clear" w:color="auto" w:fill="E8F5F1"/>
          </w:tcPr>
          <w:p>
            <w:pPr>
              <w:pStyle w:val="TableParagraph"/>
              <w:spacing w:line="230" w:lineRule="auto" w:before="48"/>
              <w:ind w:left="235" w:hanging="112"/>
              <w:rPr>
                <w:sz w:val="15"/>
              </w:rPr>
            </w:pPr>
            <w:r>
              <w:rPr>
                <w:color w:val="231F20"/>
                <w:w w:val="105"/>
                <w:sz w:val="15"/>
              </w:rPr>
              <w:t>ATM</w:t>
            </w:r>
            <w:r>
              <w:rPr>
                <w:color w:val="231F20"/>
                <w:spacing w:val="-12"/>
                <w:w w:val="105"/>
                <w:sz w:val="15"/>
              </w:rPr>
              <w:t> </w:t>
            </w:r>
            <w:r>
              <w:rPr>
                <w:color w:val="231F20"/>
                <w:w w:val="105"/>
                <w:sz w:val="15"/>
              </w:rPr>
              <w:t>(AT)</w:t>
            </w:r>
            <w:r>
              <w:rPr>
                <w:color w:val="231F20"/>
                <w:spacing w:val="-12"/>
                <w:w w:val="105"/>
                <w:sz w:val="15"/>
              </w:rPr>
              <w:t> </w:t>
            </w:r>
            <w:r>
              <w:rPr>
                <w:color w:val="231F20"/>
                <w:w w:val="105"/>
                <w:sz w:val="15"/>
              </w:rPr>
              <w:t>MRE11 </w:t>
            </w:r>
            <w:r>
              <w:rPr>
                <w:color w:val="231F20"/>
                <w:spacing w:val="-2"/>
                <w:w w:val="105"/>
                <w:sz w:val="15"/>
              </w:rPr>
              <w:t>(ATLD)</w:t>
            </w:r>
          </w:p>
        </w:tc>
        <w:tc>
          <w:tcPr>
            <w:tcW w:w="1391" w:type="dxa"/>
            <w:tcBorders>
              <w:top w:val="single" w:sz="4" w:space="0" w:color="FFFFFF"/>
              <w:bottom w:val="single" w:sz="4" w:space="0" w:color="FFFFFF"/>
            </w:tcBorders>
            <w:shd w:val="clear" w:color="auto" w:fill="E8F5F1"/>
          </w:tcPr>
          <w:p>
            <w:pPr>
              <w:pStyle w:val="TableParagraph"/>
              <w:spacing w:before="42"/>
              <w:ind w:left="154"/>
              <w:rPr>
                <w:sz w:val="15"/>
              </w:rPr>
            </w:pPr>
            <w:r>
              <w:rPr>
                <w:color w:val="231F20"/>
                <w:spacing w:val="-2"/>
                <w:w w:val="105"/>
                <w:sz w:val="15"/>
              </w:rPr>
              <w:t>Childhood</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hanging="112"/>
              <w:rPr>
                <w:sz w:val="15"/>
              </w:rPr>
            </w:pPr>
            <w:r>
              <w:rPr>
                <w:color w:val="231F20"/>
                <w:sz w:val="15"/>
              </w:rPr>
              <w:t>Ataxia, neuropathy, oculomotor apraxia, other extrapyramidal </w:t>
            </w:r>
            <w:r>
              <w:rPr>
                <w:color w:val="231F20"/>
                <w:spacing w:val="-2"/>
                <w:sz w:val="15"/>
              </w:rPr>
              <w:t>manifestations</w:t>
            </w:r>
            <w:r>
              <w:rPr>
                <w:color w:val="231F20"/>
                <w:spacing w:val="-10"/>
                <w:sz w:val="15"/>
              </w:rPr>
              <w:t> </w:t>
            </w:r>
            <w:r>
              <w:rPr>
                <w:color w:val="231F20"/>
                <w:spacing w:val="-2"/>
                <w:sz w:val="15"/>
              </w:rPr>
              <w:t>including</w:t>
            </w:r>
            <w:r>
              <w:rPr>
                <w:color w:val="231F20"/>
                <w:spacing w:val="-9"/>
                <w:sz w:val="15"/>
              </w:rPr>
              <w:t> </w:t>
            </w:r>
            <w:r>
              <w:rPr>
                <w:color w:val="231F20"/>
                <w:spacing w:val="-2"/>
                <w:sz w:val="15"/>
              </w:rPr>
              <w:t>chorea, </w:t>
            </w:r>
            <w:r>
              <w:rPr>
                <w:color w:val="231F20"/>
                <w:sz w:val="15"/>
              </w:rPr>
              <w:t>dystonia, and myoclonus</w:t>
            </w:r>
          </w:p>
          <w:p>
            <w:pPr>
              <w:pStyle w:val="TableParagraph"/>
              <w:spacing w:line="230" w:lineRule="auto" w:before="3"/>
              <w:ind w:left="238" w:right="226" w:hanging="112"/>
              <w:rPr>
                <w:sz w:val="15"/>
              </w:rPr>
            </w:pPr>
            <w:r>
              <w:rPr>
                <w:color w:val="231F20"/>
                <w:sz w:val="15"/>
              </w:rPr>
              <w:t>In AT: oculocutaneous telangiectasias;</w:t>
            </w:r>
            <w:r>
              <w:rPr>
                <w:color w:val="231F20"/>
                <w:spacing w:val="-10"/>
                <w:sz w:val="15"/>
              </w:rPr>
              <w:t> </w:t>
            </w:r>
            <w:r>
              <w:rPr>
                <w:color w:val="231F20"/>
                <w:sz w:val="15"/>
              </w:rPr>
              <w:t>predisposition</w:t>
            </w:r>
            <w:r>
              <w:rPr>
                <w:color w:val="231F20"/>
                <w:spacing w:val="-10"/>
                <w:sz w:val="15"/>
              </w:rPr>
              <w:t> </w:t>
            </w:r>
            <w:r>
              <w:rPr>
                <w:color w:val="231F20"/>
                <w:sz w:val="15"/>
              </w:rPr>
              <w:t>to malignancies, IgA and IgG deficiency, high </w:t>
            </w:r>
            <w:r>
              <w:rPr>
                <w:rFonts w:ascii="Cambria" w:hAnsi="Cambria"/>
                <w:color w:val="231F20"/>
                <w:sz w:val="15"/>
              </w:rPr>
              <w:t>α</w:t>
            </w:r>
            <w:r>
              <w:rPr>
                <w:color w:val="231F20"/>
                <w:sz w:val="15"/>
              </w:rPr>
              <w:t>-fetoprotein in serum</w:t>
            </w:r>
            <w:r>
              <w:rPr>
                <w:color w:val="231F20"/>
                <w:spacing w:val="-9"/>
                <w:sz w:val="15"/>
              </w:rPr>
              <w:t> </w:t>
            </w:r>
            <w:r>
              <w:rPr>
                <w:color w:val="231F20"/>
                <w:sz w:val="15"/>
              </w:rPr>
              <w:t>and</w:t>
            </w:r>
            <w:r>
              <w:rPr>
                <w:color w:val="231F20"/>
                <w:spacing w:val="-9"/>
                <w:sz w:val="15"/>
              </w:rPr>
              <w:t> </w:t>
            </w:r>
            <w:r>
              <w:rPr>
                <w:color w:val="231F20"/>
                <w:sz w:val="15"/>
              </w:rPr>
              <w:t>high</w:t>
            </w:r>
            <w:r>
              <w:rPr>
                <w:color w:val="231F20"/>
                <w:spacing w:val="-9"/>
                <w:sz w:val="15"/>
              </w:rPr>
              <w:t> </w:t>
            </w:r>
            <w:r>
              <w:rPr>
                <w:color w:val="231F20"/>
                <w:sz w:val="15"/>
              </w:rPr>
              <w:t>concentrations</w:t>
            </w:r>
            <w:r>
              <w:rPr>
                <w:color w:val="231F20"/>
                <w:spacing w:val="-9"/>
                <w:sz w:val="15"/>
              </w:rPr>
              <w:t> </w:t>
            </w:r>
            <w:r>
              <w:rPr>
                <w:color w:val="231F20"/>
                <w:sz w:val="15"/>
              </w:rPr>
              <w:t>of carcinoembryonic antigen</w:t>
            </w:r>
          </w:p>
        </w:tc>
      </w:tr>
      <w:tr>
        <w:trPr>
          <w:trHeight w:val="1596" w:hRule="atLeast"/>
        </w:trPr>
        <w:tc>
          <w:tcPr>
            <w:tcW w:w="1594"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10"/>
                <w:sz w:val="15"/>
              </w:rPr>
              <w:t>AOA</w:t>
            </w:r>
            <w:r>
              <w:rPr>
                <w:color w:val="231F20"/>
                <w:spacing w:val="-5"/>
                <w:w w:val="110"/>
                <w:sz w:val="15"/>
              </w:rPr>
              <w:t> </w:t>
            </w:r>
            <w:r>
              <w:rPr>
                <w:color w:val="231F20"/>
                <w:w w:val="110"/>
                <w:sz w:val="15"/>
              </w:rPr>
              <w:t>1</w:t>
            </w:r>
            <w:r>
              <w:rPr>
                <w:color w:val="231F20"/>
                <w:spacing w:val="-5"/>
                <w:w w:val="110"/>
                <w:sz w:val="15"/>
              </w:rPr>
              <w:t> </w:t>
            </w:r>
            <w:r>
              <w:rPr>
                <w:color w:val="231F20"/>
                <w:w w:val="110"/>
                <w:sz w:val="15"/>
              </w:rPr>
              <w:t>and</w:t>
            </w:r>
            <w:r>
              <w:rPr>
                <w:color w:val="231F20"/>
                <w:spacing w:val="-5"/>
                <w:w w:val="110"/>
                <w:sz w:val="15"/>
              </w:rPr>
              <w:t> </w:t>
            </w:r>
            <w:r>
              <w:rPr>
                <w:color w:val="231F20"/>
                <w:spacing w:val="-10"/>
                <w:w w:val="110"/>
                <w:sz w:val="15"/>
              </w:rPr>
              <w:t>2</w:t>
            </w:r>
          </w:p>
        </w:tc>
        <w:tc>
          <w:tcPr>
            <w:tcW w:w="1270"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5"/>
                <w:w w:val="110"/>
                <w:sz w:val="15"/>
              </w:rPr>
              <w:t>AR</w:t>
            </w:r>
          </w:p>
        </w:tc>
        <w:tc>
          <w:tcPr>
            <w:tcW w:w="1274" w:type="dxa"/>
            <w:tcBorders>
              <w:top w:val="single" w:sz="4" w:space="0" w:color="FFFFFF"/>
              <w:bottom w:val="single" w:sz="4" w:space="0" w:color="FFFFFF"/>
            </w:tcBorders>
            <w:shd w:val="clear" w:color="auto" w:fill="E8F5F1"/>
          </w:tcPr>
          <w:p>
            <w:pPr>
              <w:pStyle w:val="TableParagraph"/>
              <w:spacing w:line="230" w:lineRule="auto" w:before="48"/>
              <w:ind w:left="233" w:right="48" w:hanging="112"/>
              <w:rPr>
                <w:sz w:val="15"/>
              </w:rPr>
            </w:pPr>
            <w:r>
              <w:rPr>
                <w:i/>
                <w:color w:val="231F20"/>
                <w:sz w:val="15"/>
              </w:rPr>
              <w:t>APTX</w:t>
            </w:r>
            <w:r>
              <w:rPr>
                <w:color w:val="231F20"/>
                <w:sz w:val="15"/>
              </w:rPr>
              <w:t>, 9p </w:t>
            </w:r>
            <w:r>
              <w:rPr>
                <w:i/>
                <w:color w:val="231F20"/>
                <w:sz w:val="15"/>
              </w:rPr>
              <w:t>(AOA 1) SETX</w:t>
            </w:r>
            <w:r>
              <w:rPr>
                <w:color w:val="231F20"/>
                <w:sz w:val="15"/>
              </w:rPr>
              <w:t>, 9q</w:t>
            </w:r>
          </w:p>
          <w:p>
            <w:pPr>
              <w:pStyle w:val="TableParagraph"/>
              <w:spacing w:line="170" w:lineRule="exact"/>
              <w:ind w:left="233"/>
              <w:rPr>
                <w:i/>
                <w:sz w:val="15"/>
              </w:rPr>
            </w:pPr>
            <w:r>
              <w:rPr>
                <w:i/>
                <w:color w:val="231F20"/>
                <w:sz w:val="15"/>
              </w:rPr>
              <w:t>(AOA</w:t>
            </w:r>
            <w:r>
              <w:rPr>
                <w:i/>
                <w:color w:val="231F20"/>
                <w:spacing w:val="28"/>
                <w:sz w:val="15"/>
              </w:rPr>
              <w:t> </w:t>
            </w:r>
            <w:r>
              <w:rPr>
                <w:i/>
                <w:color w:val="231F20"/>
                <w:spacing w:val="-5"/>
                <w:sz w:val="15"/>
              </w:rPr>
              <w:t>2)</w:t>
            </w:r>
          </w:p>
        </w:tc>
        <w:tc>
          <w:tcPr>
            <w:tcW w:w="1486" w:type="dxa"/>
            <w:tcBorders>
              <w:top w:val="single" w:sz="4" w:space="0" w:color="FFFFFF"/>
              <w:bottom w:val="single" w:sz="4" w:space="0" w:color="FFFFFF"/>
            </w:tcBorders>
            <w:shd w:val="clear" w:color="auto" w:fill="E8F5F1"/>
          </w:tcPr>
          <w:p>
            <w:pPr>
              <w:pStyle w:val="TableParagraph"/>
              <w:spacing w:line="171" w:lineRule="exact" w:before="42"/>
              <w:ind w:left="123"/>
              <w:rPr>
                <w:sz w:val="15"/>
              </w:rPr>
            </w:pPr>
            <w:r>
              <w:rPr>
                <w:color w:val="231F20"/>
                <w:sz w:val="15"/>
              </w:rPr>
              <w:t>Aprataxin</w:t>
            </w:r>
            <w:r>
              <w:rPr>
                <w:color w:val="231F20"/>
                <w:spacing w:val="11"/>
                <w:sz w:val="15"/>
              </w:rPr>
              <w:t> </w:t>
            </w:r>
            <w:r>
              <w:rPr>
                <w:color w:val="231F20"/>
                <w:sz w:val="15"/>
              </w:rPr>
              <w:t>(AOA</w:t>
            </w:r>
            <w:r>
              <w:rPr>
                <w:color w:val="231F20"/>
                <w:spacing w:val="11"/>
                <w:sz w:val="15"/>
              </w:rPr>
              <w:t> </w:t>
            </w:r>
            <w:r>
              <w:rPr>
                <w:color w:val="231F20"/>
                <w:spacing w:val="-5"/>
                <w:sz w:val="15"/>
              </w:rPr>
              <w:t>1)</w:t>
            </w:r>
          </w:p>
          <w:p>
            <w:pPr>
              <w:pStyle w:val="TableParagraph"/>
              <w:spacing w:line="230" w:lineRule="auto" w:before="3"/>
              <w:ind w:left="235" w:right="596"/>
              <w:rPr>
                <w:sz w:val="15"/>
              </w:rPr>
            </w:pPr>
            <w:r>
              <w:rPr>
                <w:color w:val="231F20"/>
                <w:spacing w:val="-2"/>
                <w:sz w:val="15"/>
              </w:rPr>
              <w:t>Senataxin </w:t>
            </w:r>
            <w:r>
              <w:rPr>
                <w:color w:val="231F20"/>
                <w:sz w:val="15"/>
              </w:rPr>
              <w:t>(AOA 2)</w:t>
            </w:r>
          </w:p>
        </w:tc>
        <w:tc>
          <w:tcPr>
            <w:tcW w:w="1391" w:type="dxa"/>
            <w:tcBorders>
              <w:top w:val="single" w:sz="4" w:space="0" w:color="FFFFFF"/>
              <w:bottom w:val="single" w:sz="4" w:space="0" w:color="FFFFFF"/>
            </w:tcBorders>
            <w:shd w:val="clear" w:color="auto" w:fill="E8F5F1"/>
          </w:tcPr>
          <w:p>
            <w:pPr>
              <w:pStyle w:val="TableParagraph"/>
              <w:spacing w:line="230" w:lineRule="auto" w:before="48"/>
              <w:ind w:left="266" w:hanging="112"/>
              <w:rPr>
                <w:sz w:val="15"/>
              </w:rPr>
            </w:pPr>
            <w:r>
              <w:rPr>
                <w:color w:val="231F20"/>
                <w:sz w:val="15"/>
              </w:rPr>
              <w:t>Childhood or </w:t>
            </w:r>
            <w:r>
              <w:rPr>
                <w:color w:val="231F20"/>
                <w:spacing w:val="-2"/>
                <w:sz w:val="15"/>
              </w:rPr>
              <w:t>adolescence </w:t>
            </w:r>
            <w:r>
              <w:rPr>
                <w:color w:val="231F20"/>
                <w:spacing w:val="-4"/>
                <w:sz w:val="15"/>
              </w:rPr>
              <w:t>(later</w:t>
            </w:r>
            <w:r>
              <w:rPr>
                <w:color w:val="231F20"/>
                <w:spacing w:val="-8"/>
                <w:sz w:val="15"/>
              </w:rPr>
              <w:t> </w:t>
            </w:r>
            <w:r>
              <w:rPr>
                <w:color w:val="231F20"/>
                <w:spacing w:val="-4"/>
                <w:sz w:val="15"/>
              </w:rPr>
              <w:t>onset</w:t>
            </w:r>
            <w:r>
              <w:rPr>
                <w:color w:val="231F20"/>
                <w:spacing w:val="-7"/>
                <w:sz w:val="15"/>
              </w:rPr>
              <w:t> </w:t>
            </w:r>
            <w:r>
              <w:rPr>
                <w:color w:val="231F20"/>
                <w:spacing w:val="-4"/>
                <w:sz w:val="15"/>
              </w:rPr>
              <w:t>in </w:t>
            </w:r>
            <w:r>
              <w:rPr>
                <w:color w:val="231F20"/>
                <w:sz w:val="15"/>
              </w:rPr>
              <w:t>AOA 2)</w:t>
            </w:r>
          </w:p>
        </w:tc>
        <w:tc>
          <w:tcPr>
            <w:tcW w:w="2719" w:type="dxa"/>
            <w:tcBorders>
              <w:top w:val="single" w:sz="4" w:space="0" w:color="FFFFFF"/>
              <w:bottom w:val="single" w:sz="4" w:space="0" w:color="FFFFFF"/>
            </w:tcBorders>
            <w:shd w:val="clear" w:color="auto" w:fill="E8F5F1"/>
          </w:tcPr>
          <w:p>
            <w:pPr>
              <w:pStyle w:val="TableParagraph"/>
              <w:spacing w:line="230" w:lineRule="auto" w:before="48"/>
              <w:ind w:left="238" w:right="229" w:hanging="112"/>
              <w:rPr>
                <w:sz w:val="15"/>
              </w:rPr>
            </w:pPr>
            <w:r>
              <w:rPr>
                <w:color w:val="231F20"/>
                <w:sz w:val="15"/>
              </w:rPr>
              <w:t>Ataxia, neuropathy, oculomotor apraxia, other extrapyramidal manifestations including chorea and dystonia; ataxia with oculomotor apraxia type 1: hypoalbuminemia and </w:t>
            </w:r>
            <w:r>
              <w:rPr>
                <w:color w:val="231F20"/>
                <w:spacing w:val="-2"/>
                <w:sz w:val="15"/>
              </w:rPr>
              <w:t>hypercholesterolemia;</w:t>
            </w:r>
            <w:r>
              <w:rPr>
                <w:color w:val="231F20"/>
                <w:spacing w:val="-10"/>
                <w:sz w:val="15"/>
              </w:rPr>
              <w:t> </w:t>
            </w:r>
            <w:r>
              <w:rPr>
                <w:color w:val="231F20"/>
                <w:spacing w:val="-2"/>
                <w:sz w:val="15"/>
              </w:rPr>
              <w:t>ataxia</w:t>
            </w:r>
            <w:r>
              <w:rPr>
                <w:color w:val="231F20"/>
                <w:spacing w:val="-9"/>
                <w:sz w:val="15"/>
              </w:rPr>
              <w:t> </w:t>
            </w:r>
            <w:r>
              <w:rPr>
                <w:color w:val="231F20"/>
                <w:spacing w:val="-2"/>
                <w:sz w:val="15"/>
              </w:rPr>
              <w:t>with </w:t>
            </w:r>
            <w:r>
              <w:rPr>
                <w:color w:val="231F20"/>
                <w:sz w:val="15"/>
              </w:rPr>
              <w:t>oculomotor</w:t>
            </w:r>
            <w:r>
              <w:rPr>
                <w:color w:val="231F20"/>
                <w:spacing w:val="-12"/>
                <w:sz w:val="15"/>
              </w:rPr>
              <w:t> </w:t>
            </w:r>
            <w:r>
              <w:rPr>
                <w:color w:val="231F20"/>
                <w:sz w:val="15"/>
              </w:rPr>
              <w:t>apraxia</w:t>
            </w:r>
            <w:r>
              <w:rPr>
                <w:color w:val="231F20"/>
                <w:spacing w:val="-11"/>
                <w:sz w:val="15"/>
              </w:rPr>
              <w:t> </w:t>
            </w:r>
            <w:r>
              <w:rPr>
                <w:color w:val="231F20"/>
                <w:sz w:val="15"/>
              </w:rPr>
              <w:t>type</w:t>
            </w:r>
            <w:r>
              <w:rPr>
                <w:color w:val="231F20"/>
                <w:spacing w:val="-11"/>
                <w:sz w:val="15"/>
              </w:rPr>
              <w:t> </w:t>
            </w:r>
            <w:r>
              <w:rPr>
                <w:color w:val="231F20"/>
                <w:sz w:val="15"/>
              </w:rPr>
              <w:t>2:</w:t>
            </w:r>
            <w:r>
              <w:rPr>
                <w:color w:val="231F20"/>
                <w:spacing w:val="-12"/>
                <w:sz w:val="15"/>
              </w:rPr>
              <w:t> </w:t>
            </w:r>
            <w:r>
              <w:rPr>
                <w:color w:val="231F20"/>
                <w:sz w:val="15"/>
              </w:rPr>
              <w:t>raised </w:t>
            </w:r>
            <w:r>
              <w:rPr>
                <w:rFonts w:ascii="Cambria" w:hAnsi="Cambria"/>
                <w:color w:val="231F20"/>
                <w:sz w:val="15"/>
              </w:rPr>
              <w:t>α</w:t>
            </w:r>
            <w:r>
              <w:rPr>
                <w:color w:val="231F20"/>
                <w:sz w:val="15"/>
              </w:rPr>
              <w:t>-fetoprotein in serum</w:t>
            </w:r>
          </w:p>
        </w:tc>
      </w:tr>
      <w:tr>
        <w:trPr>
          <w:trHeight w:val="1594" w:hRule="atLeast"/>
        </w:trPr>
        <w:tc>
          <w:tcPr>
            <w:tcW w:w="1594" w:type="dxa"/>
            <w:tcBorders>
              <w:top w:val="single" w:sz="4" w:space="0" w:color="FFFFFF"/>
              <w:bottom w:val="single" w:sz="8" w:space="0" w:color="231F20"/>
            </w:tcBorders>
            <w:shd w:val="clear" w:color="auto" w:fill="E8F5F1"/>
          </w:tcPr>
          <w:p>
            <w:pPr>
              <w:pStyle w:val="TableParagraph"/>
              <w:spacing w:line="230" w:lineRule="auto" w:before="48"/>
              <w:ind w:left="186" w:right="119" w:hanging="112"/>
              <w:rPr>
                <w:sz w:val="15"/>
              </w:rPr>
            </w:pPr>
            <w:r>
              <w:rPr>
                <w:color w:val="231F20"/>
                <w:sz w:val="15"/>
              </w:rPr>
              <w:t>Pantothenate</w:t>
            </w:r>
            <w:r>
              <w:rPr>
                <w:color w:val="231F20"/>
                <w:spacing w:val="-12"/>
                <w:sz w:val="15"/>
              </w:rPr>
              <w:t> </w:t>
            </w:r>
            <w:r>
              <w:rPr>
                <w:color w:val="231F20"/>
                <w:sz w:val="15"/>
              </w:rPr>
              <w:t>kinase </w:t>
            </w:r>
            <w:r>
              <w:rPr>
                <w:color w:val="231F20"/>
                <w:spacing w:val="-2"/>
                <w:sz w:val="15"/>
              </w:rPr>
              <w:t>associated neurodegeneration (formerly Hallervorden-Spatz syndrome)</w:t>
            </w:r>
          </w:p>
        </w:tc>
        <w:tc>
          <w:tcPr>
            <w:tcW w:w="1270" w:type="dxa"/>
            <w:tcBorders>
              <w:top w:val="single" w:sz="4" w:space="0" w:color="FFFFFF"/>
              <w:bottom w:val="single" w:sz="8" w:space="0" w:color="231F20"/>
            </w:tcBorders>
            <w:shd w:val="clear" w:color="auto" w:fill="E8F5F1"/>
          </w:tcPr>
          <w:p>
            <w:pPr>
              <w:pStyle w:val="TableParagraph"/>
              <w:spacing w:before="42"/>
              <w:ind w:left="121"/>
              <w:rPr>
                <w:sz w:val="15"/>
              </w:rPr>
            </w:pPr>
            <w:r>
              <w:rPr>
                <w:color w:val="231F20"/>
                <w:spacing w:val="-5"/>
                <w:w w:val="110"/>
                <w:sz w:val="15"/>
              </w:rPr>
              <w:t>AR</w:t>
            </w:r>
          </w:p>
        </w:tc>
        <w:tc>
          <w:tcPr>
            <w:tcW w:w="1274" w:type="dxa"/>
            <w:tcBorders>
              <w:top w:val="single" w:sz="4" w:space="0" w:color="FFFFFF"/>
              <w:bottom w:val="single" w:sz="8" w:space="0" w:color="231F20"/>
            </w:tcBorders>
            <w:shd w:val="clear" w:color="auto" w:fill="E8F5F1"/>
          </w:tcPr>
          <w:p>
            <w:pPr>
              <w:pStyle w:val="TableParagraph"/>
              <w:spacing w:before="42"/>
              <w:ind w:left="121"/>
              <w:rPr>
                <w:sz w:val="15"/>
              </w:rPr>
            </w:pPr>
            <w:r>
              <w:rPr>
                <w:i/>
                <w:color w:val="231F20"/>
                <w:w w:val="105"/>
                <w:sz w:val="15"/>
              </w:rPr>
              <w:t>PANK2,</w:t>
            </w:r>
            <w:r>
              <w:rPr>
                <w:i/>
                <w:color w:val="231F20"/>
                <w:spacing w:val="-7"/>
                <w:w w:val="105"/>
                <w:sz w:val="15"/>
              </w:rPr>
              <w:t> </w:t>
            </w:r>
            <w:r>
              <w:rPr>
                <w:color w:val="231F20"/>
                <w:spacing w:val="-5"/>
                <w:w w:val="105"/>
                <w:sz w:val="15"/>
              </w:rPr>
              <w:t>20p</w:t>
            </w:r>
          </w:p>
        </w:tc>
        <w:tc>
          <w:tcPr>
            <w:tcW w:w="1486" w:type="dxa"/>
            <w:tcBorders>
              <w:top w:val="single" w:sz="4" w:space="0" w:color="FFFFFF"/>
              <w:bottom w:val="single" w:sz="8" w:space="0" w:color="231F20"/>
            </w:tcBorders>
            <w:shd w:val="clear" w:color="auto" w:fill="E8F5F1"/>
          </w:tcPr>
          <w:p>
            <w:pPr>
              <w:pStyle w:val="TableParagraph"/>
              <w:spacing w:line="230" w:lineRule="auto" w:before="48"/>
              <w:ind w:left="235" w:right="457" w:hanging="112"/>
              <w:rPr>
                <w:sz w:val="15"/>
              </w:rPr>
            </w:pPr>
            <w:r>
              <w:rPr>
                <w:color w:val="231F20"/>
                <w:spacing w:val="-2"/>
                <w:sz w:val="15"/>
              </w:rPr>
              <w:t>Pantothenate </w:t>
            </w:r>
            <w:r>
              <w:rPr>
                <w:color w:val="231F20"/>
                <w:sz w:val="15"/>
              </w:rPr>
              <w:t>kinase 2</w:t>
            </w:r>
          </w:p>
        </w:tc>
        <w:tc>
          <w:tcPr>
            <w:tcW w:w="1391" w:type="dxa"/>
            <w:tcBorders>
              <w:top w:val="single" w:sz="4" w:space="0" w:color="FFFFFF"/>
              <w:bottom w:val="single" w:sz="8" w:space="0" w:color="231F20"/>
            </w:tcBorders>
            <w:shd w:val="clear" w:color="auto" w:fill="E8F5F1"/>
          </w:tcPr>
          <w:p>
            <w:pPr>
              <w:pStyle w:val="TableParagraph"/>
              <w:spacing w:line="230" w:lineRule="auto" w:before="48"/>
              <w:ind w:left="266" w:right="67" w:hanging="112"/>
              <w:rPr>
                <w:sz w:val="15"/>
              </w:rPr>
            </w:pPr>
            <w:r>
              <w:rPr>
                <w:color w:val="231F20"/>
                <w:sz w:val="15"/>
              </w:rPr>
              <w:t>Childhood, but also adult- onset</w:t>
            </w:r>
            <w:r>
              <w:rPr>
                <w:color w:val="231F20"/>
                <w:spacing w:val="-12"/>
                <w:sz w:val="15"/>
              </w:rPr>
              <w:t> </w:t>
            </w:r>
            <w:r>
              <w:rPr>
                <w:color w:val="231F20"/>
                <w:sz w:val="15"/>
              </w:rPr>
              <w:t>subtype</w:t>
            </w:r>
          </w:p>
        </w:tc>
        <w:tc>
          <w:tcPr>
            <w:tcW w:w="2719" w:type="dxa"/>
            <w:tcBorders>
              <w:top w:val="single" w:sz="4" w:space="0" w:color="FFFFFF"/>
              <w:bottom w:val="single" w:sz="8" w:space="0" w:color="231F20"/>
            </w:tcBorders>
            <w:shd w:val="clear" w:color="auto" w:fill="E8F5F1"/>
          </w:tcPr>
          <w:p>
            <w:pPr>
              <w:pStyle w:val="TableParagraph"/>
              <w:spacing w:line="230" w:lineRule="auto" w:before="48"/>
              <w:ind w:left="238" w:right="95" w:hanging="112"/>
              <w:rPr>
                <w:sz w:val="15"/>
              </w:rPr>
            </w:pPr>
            <w:r>
              <w:rPr>
                <w:color w:val="231F20"/>
                <w:sz w:val="15"/>
              </w:rPr>
              <w:t>Chorea, dystonia, parkinsonian features,</w:t>
            </w:r>
            <w:r>
              <w:rPr>
                <w:color w:val="231F20"/>
                <w:spacing w:val="-6"/>
                <w:sz w:val="15"/>
              </w:rPr>
              <w:t> </w:t>
            </w:r>
            <w:r>
              <w:rPr>
                <w:color w:val="231F20"/>
                <w:sz w:val="15"/>
              </w:rPr>
              <w:t>pyramidal</w:t>
            </w:r>
            <w:r>
              <w:rPr>
                <w:color w:val="231F20"/>
                <w:spacing w:val="-6"/>
                <w:sz w:val="15"/>
              </w:rPr>
              <w:t> </w:t>
            </w:r>
            <w:r>
              <w:rPr>
                <w:color w:val="231F20"/>
                <w:sz w:val="15"/>
              </w:rPr>
              <w:t>tract</w:t>
            </w:r>
            <w:r>
              <w:rPr>
                <w:color w:val="231F20"/>
                <w:spacing w:val="-6"/>
                <w:sz w:val="15"/>
              </w:rPr>
              <w:t> </w:t>
            </w:r>
            <w:r>
              <w:rPr>
                <w:color w:val="231F20"/>
                <w:sz w:val="15"/>
              </w:rPr>
              <w:t>features; MR abnormalities with decreased T2</w:t>
            </w:r>
            <w:r>
              <w:rPr>
                <w:color w:val="231F20"/>
                <w:spacing w:val="-3"/>
                <w:sz w:val="15"/>
              </w:rPr>
              <w:t> </w:t>
            </w:r>
            <w:r>
              <w:rPr>
                <w:color w:val="231F20"/>
                <w:sz w:val="15"/>
              </w:rPr>
              <w:t>signal</w:t>
            </w:r>
            <w:r>
              <w:rPr>
                <w:color w:val="231F20"/>
                <w:spacing w:val="-3"/>
                <w:sz w:val="15"/>
              </w:rPr>
              <w:t> </w:t>
            </w:r>
            <w:r>
              <w:rPr>
                <w:color w:val="231F20"/>
                <w:sz w:val="15"/>
              </w:rPr>
              <w:t>in</w:t>
            </w:r>
            <w:r>
              <w:rPr>
                <w:color w:val="231F20"/>
                <w:spacing w:val="-3"/>
                <w:sz w:val="15"/>
              </w:rPr>
              <w:t> </w:t>
            </w:r>
            <w:r>
              <w:rPr>
                <w:color w:val="231F20"/>
                <w:sz w:val="15"/>
              </w:rPr>
              <w:t>the</w:t>
            </w:r>
            <w:r>
              <w:rPr>
                <w:color w:val="231F20"/>
                <w:spacing w:val="-3"/>
                <w:sz w:val="15"/>
              </w:rPr>
              <w:t> </w:t>
            </w:r>
            <w:r>
              <w:rPr>
                <w:color w:val="231F20"/>
                <w:sz w:val="15"/>
              </w:rPr>
              <w:t>globus</w:t>
            </w:r>
            <w:r>
              <w:rPr>
                <w:color w:val="231F20"/>
                <w:spacing w:val="-3"/>
                <w:sz w:val="15"/>
              </w:rPr>
              <w:t> </w:t>
            </w:r>
            <w:r>
              <w:rPr>
                <w:color w:val="231F20"/>
                <w:sz w:val="15"/>
              </w:rPr>
              <w:t>pallidus</w:t>
            </w:r>
            <w:r>
              <w:rPr>
                <w:color w:val="231F20"/>
                <w:spacing w:val="-3"/>
                <w:sz w:val="15"/>
              </w:rPr>
              <w:t> </w:t>
            </w:r>
            <w:r>
              <w:rPr>
                <w:color w:val="231F20"/>
                <w:sz w:val="15"/>
              </w:rPr>
              <w:t>and substantia</w:t>
            </w:r>
            <w:r>
              <w:rPr>
                <w:color w:val="231F20"/>
                <w:spacing w:val="-7"/>
                <w:sz w:val="15"/>
              </w:rPr>
              <w:t> </w:t>
            </w:r>
            <w:r>
              <w:rPr>
                <w:color w:val="231F20"/>
                <w:sz w:val="15"/>
              </w:rPr>
              <w:t>nigra,</w:t>
            </w:r>
            <w:r>
              <w:rPr>
                <w:color w:val="231F20"/>
                <w:spacing w:val="-7"/>
                <w:sz w:val="15"/>
              </w:rPr>
              <w:t> </w:t>
            </w:r>
            <w:r>
              <w:rPr>
                <w:color w:val="231F20"/>
                <w:sz w:val="15"/>
              </w:rPr>
              <w:t>“eye</w:t>
            </w:r>
            <w:r>
              <w:rPr>
                <w:color w:val="231F20"/>
                <w:spacing w:val="-7"/>
                <w:sz w:val="15"/>
              </w:rPr>
              <w:t> </w:t>
            </w:r>
            <w:r>
              <w:rPr>
                <w:color w:val="231F20"/>
                <w:sz w:val="15"/>
              </w:rPr>
              <w:t>of</w:t>
            </w:r>
            <w:r>
              <w:rPr>
                <w:color w:val="231F20"/>
                <w:spacing w:val="-7"/>
                <w:sz w:val="15"/>
              </w:rPr>
              <w:t> </w:t>
            </w:r>
            <w:r>
              <w:rPr>
                <w:color w:val="231F20"/>
                <w:sz w:val="15"/>
              </w:rPr>
              <w:t>the</w:t>
            </w:r>
            <w:r>
              <w:rPr>
                <w:color w:val="231F20"/>
                <w:spacing w:val="-7"/>
                <w:sz w:val="15"/>
              </w:rPr>
              <w:t> </w:t>
            </w:r>
            <w:r>
              <w:rPr>
                <w:color w:val="231F20"/>
                <w:sz w:val="15"/>
              </w:rPr>
              <w:t>tiger” sign (hyperintense area within the hypointense area); sometimes acanthocytosis, abnormal cytosomes in lymphocytes</w:t>
            </w:r>
          </w:p>
        </w:tc>
      </w:tr>
    </w:tbl>
    <w:p>
      <w:pPr>
        <w:pStyle w:val="Heading7"/>
        <w:spacing w:before="60"/>
        <w:ind w:right="343"/>
        <w:rPr>
          <w:rFonts w:ascii="Trebuchet MS"/>
        </w:rPr>
      </w:pPr>
      <w:r>
        <w:rPr>
          <w:rFonts w:ascii="Trebuchet MS"/>
          <w:color w:val="231F20"/>
          <w:spacing w:val="-2"/>
        </w:rPr>
        <w:t>Continued</w:t>
      </w:r>
    </w:p>
    <w:p>
      <w:pPr>
        <w:pStyle w:val="Heading7"/>
        <w:spacing w:after="0"/>
        <w:rPr>
          <w:rFonts w:ascii="Trebuchet MS"/>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49" name="Group 749"/>
                <wp:cNvGraphicFramePr>
                  <a:graphicFrameLocks/>
                </wp:cNvGraphicFramePr>
                <a:graphic>
                  <a:graphicData uri="http://schemas.microsoft.com/office/word/2010/wordprocessingGroup">
                    <wpg:wgp>
                      <wpg:cNvPr id="749" name="Group 749"/>
                      <wpg:cNvGrpSpPr/>
                      <wpg:grpSpPr>
                        <a:xfrm>
                          <a:off x="0" y="0"/>
                          <a:ext cx="6185535" cy="170815"/>
                          <a:chExt cx="6185535" cy="170815"/>
                        </a:xfrm>
                      </wpg:grpSpPr>
                      <wps:wsp>
                        <wps:cNvPr id="750" name="Graphic 750"/>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51" name="Graphic 751"/>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52" name="Textbox 752"/>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2890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28"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29" filled="false" stroked="false">
                  <v:textbox inset="0,0,0,0">
                    <w:txbxContent>
                      <w:p>
                        <w:pPr>
                          <w:spacing w:before="6"/>
                          <w:ind w:left="-1" w:right="0" w:firstLine="0"/>
                          <w:jc w:val="left"/>
                          <w:rPr>
                            <w:sz w:val="18"/>
                          </w:rPr>
                        </w:pPr>
                        <w:r>
                          <w:rPr>
                            <w:b/>
                            <w:color w:val="231F20"/>
                            <w:w w:val="105"/>
                            <w:sz w:val="18"/>
                          </w:rPr>
                          <w:t>2890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89"/>
        <w:gridCol w:w="1329"/>
        <w:gridCol w:w="1233"/>
        <w:gridCol w:w="1560"/>
        <w:gridCol w:w="1363"/>
        <w:gridCol w:w="2721"/>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597-</w:t>
            </w:r>
            <w:r>
              <w:rPr>
                <w:b/>
                <w:color w:val="FFFFFF"/>
                <w:spacing w:val="-10"/>
                <w:w w:val="105"/>
                <w:sz w:val="16"/>
              </w:rPr>
              <w:t>7</w:t>
            </w:r>
          </w:p>
        </w:tc>
        <w:tc>
          <w:tcPr>
            <w:tcW w:w="8595" w:type="dxa"/>
            <w:gridSpan w:val="6"/>
            <w:tcBorders>
              <w:left w:val="single" w:sz="8" w:space="0" w:color="FFFFFF"/>
            </w:tcBorders>
            <w:shd w:val="clear" w:color="auto" w:fill="231F20"/>
          </w:tcPr>
          <w:p>
            <w:pPr>
              <w:pStyle w:val="TableParagraph"/>
              <w:spacing w:before="89"/>
              <w:ind w:left="73"/>
              <w:rPr>
                <w:sz w:val="16"/>
              </w:rPr>
            </w:pPr>
            <w:r>
              <w:rPr>
                <w:color w:val="FFFFFF"/>
                <w:sz w:val="16"/>
              </w:rPr>
              <w:t>Genetic</w:t>
            </w:r>
            <w:r>
              <w:rPr>
                <w:color w:val="FFFFFF"/>
                <w:spacing w:val="79"/>
                <w:w w:val="150"/>
                <w:sz w:val="16"/>
              </w:rPr>
              <w:t> </w:t>
            </w:r>
            <w:r>
              <w:rPr>
                <w:color w:val="FFFFFF"/>
                <w:sz w:val="16"/>
              </w:rPr>
              <w:t>Choreas—</w:t>
            </w:r>
            <w:r>
              <w:rPr>
                <w:color w:val="FFFFFF"/>
                <w:spacing w:val="-2"/>
                <w:sz w:val="16"/>
              </w:rPr>
              <w:t>cont’d</w:t>
            </w:r>
          </w:p>
        </w:tc>
      </w:tr>
      <w:tr>
        <w:trPr>
          <w:trHeight w:val="425" w:hRule="atLeast"/>
        </w:trPr>
        <w:tc>
          <w:tcPr>
            <w:tcW w:w="1537" w:type="dxa"/>
            <w:gridSpan w:val="2"/>
            <w:tcBorders>
              <w:bottom w:val="single" w:sz="4" w:space="0" w:color="231F20"/>
            </w:tcBorders>
            <w:shd w:val="clear" w:color="auto" w:fill="E8F5F1"/>
          </w:tcPr>
          <w:p>
            <w:pPr>
              <w:pStyle w:val="TableParagraph"/>
              <w:rPr>
                <w:rFonts w:ascii="Times New Roman"/>
                <w:sz w:val="14"/>
              </w:rPr>
            </w:pPr>
          </w:p>
        </w:tc>
        <w:tc>
          <w:tcPr>
            <w:tcW w:w="1329" w:type="dxa"/>
            <w:tcBorders>
              <w:bottom w:val="single" w:sz="4" w:space="0" w:color="231F20"/>
            </w:tcBorders>
            <w:shd w:val="clear" w:color="auto" w:fill="E8F5F1"/>
          </w:tcPr>
          <w:p>
            <w:pPr>
              <w:pStyle w:val="TableParagraph"/>
              <w:spacing w:line="230" w:lineRule="auto" w:before="53"/>
              <w:ind w:left="178" w:right="4" w:firstLine="145"/>
              <w:rPr>
                <w:b/>
                <w:sz w:val="15"/>
              </w:rPr>
            </w:pPr>
            <w:r>
              <w:rPr>
                <w:b/>
                <w:color w:val="231F20"/>
                <w:w w:val="110"/>
                <w:sz w:val="15"/>
              </w:rPr>
              <w:t>MODE OF </w:t>
            </w:r>
            <w:r>
              <w:rPr>
                <w:b/>
                <w:color w:val="231F20"/>
                <w:spacing w:val="-2"/>
                <w:w w:val="110"/>
                <w:sz w:val="15"/>
              </w:rPr>
              <w:t>INHERITANCE</w:t>
            </w:r>
          </w:p>
        </w:tc>
        <w:tc>
          <w:tcPr>
            <w:tcW w:w="1233" w:type="dxa"/>
            <w:tcBorders>
              <w:bottom w:val="single" w:sz="4" w:space="0" w:color="231F20"/>
            </w:tcBorders>
            <w:shd w:val="clear" w:color="auto" w:fill="E8F5F1"/>
          </w:tcPr>
          <w:p>
            <w:pPr>
              <w:pStyle w:val="TableParagraph"/>
              <w:spacing w:line="230" w:lineRule="auto" w:before="53"/>
              <w:ind w:left="240" w:firstLine="161"/>
              <w:rPr>
                <w:b/>
                <w:sz w:val="15"/>
              </w:rPr>
            </w:pPr>
            <w:r>
              <w:rPr>
                <w:b/>
                <w:color w:val="231F20"/>
                <w:spacing w:val="-2"/>
                <w:w w:val="110"/>
                <w:sz w:val="15"/>
              </w:rPr>
              <w:t>GENE, LOCATION</w:t>
            </w:r>
          </w:p>
        </w:tc>
        <w:tc>
          <w:tcPr>
            <w:tcW w:w="1560" w:type="dxa"/>
            <w:tcBorders>
              <w:bottom w:val="single" w:sz="4" w:space="0" w:color="231F20"/>
            </w:tcBorders>
            <w:shd w:val="clear" w:color="auto" w:fill="E8F5F1"/>
          </w:tcPr>
          <w:p>
            <w:pPr>
              <w:pStyle w:val="TableParagraph"/>
              <w:spacing w:line="230" w:lineRule="auto" w:before="53"/>
              <w:ind w:left="436" w:right="210" w:firstLine="33"/>
              <w:rPr>
                <w:b/>
                <w:sz w:val="15"/>
              </w:rPr>
            </w:pPr>
            <w:r>
              <w:rPr>
                <w:b/>
                <w:color w:val="231F20"/>
                <w:spacing w:val="-2"/>
                <w:w w:val="110"/>
                <w:sz w:val="15"/>
              </w:rPr>
              <w:t>PROTEIN </w:t>
            </w:r>
            <w:r>
              <w:rPr>
                <w:b/>
                <w:color w:val="231F20"/>
                <w:spacing w:val="-2"/>
                <w:sz w:val="15"/>
              </w:rPr>
              <w:t>PRODUCT</w:t>
            </w:r>
          </w:p>
        </w:tc>
        <w:tc>
          <w:tcPr>
            <w:tcW w:w="1363" w:type="dxa"/>
            <w:tcBorders>
              <w:bottom w:val="single" w:sz="4" w:space="0" w:color="231F20"/>
            </w:tcBorders>
            <w:shd w:val="clear" w:color="auto" w:fill="E8F5F1"/>
          </w:tcPr>
          <w:p>
            <w:pPr>
              <w:pStyle w:val="TableParagraph"/>
              <w:spacing w:line="230" w:lineRule="auto" w:before="53"/>
              <w:ind w:left="279" w:hanging="160"/>
              <w:rPr>
                <w:b/>
                <w:sz w:val="15"/>
              </w:rPr>
            </w:pPr>
            <w:r>
              <w:rPr>
                <w:b/>
                <w:color w:val="231F20"/>
                <w:w w:val="105"/>
                <w:sz w:val="15"/>
              </w:rPr>
              <w:t>USUAL AGE </w:t>
            </w:r>
            <w:r>
              <w:rPr>
                <w:b/>
                <w:color w:val="231F20"/>
                <w:w w:val="105"/>
                <w:sz w:val="15"/>
              </w:rPr>
              <w:t>AT ONSET (yr)</w:t>
            </w:r>
          </w:p>
        </w:tc>
        <w:tc>
          <w:tcPr>
            <w:tcW w:w="2721" w:type="dxa"/>
            <w:tcBorders>
              <w:bottom w:val="single" w:sz="4" w:space="0" w:color="231F20"/>
            </w:tcBorders>
            <w:shd w:val="clear" w:color="auto" w:fill="E8F5F1"/>
          </w:tcPr>
          <w:p>
            <w:pPr>
              <w:pStyle w:val="TableParagraph"/>
              <w:spacing w:before="41"/>
              <w:rPr>
                <w:i/>
                <w:sz w:val="15"/>
              </w:rPr>
            </w:pPr>
          </w:p>
          <w:p>
            <w:pPr>
              <w:pStyle w:val="TableParagraph"/>
              <w:ind w:left="785"/>
              <w:rPr>
                <w:b/>
                <w:sz w:val="15"/>
              </w:rPr>
            </w:pPr>
            <w:r>
              <w:rPr>
                <w:b/>
                <w:color w:val="231F20"/>
                <w:w w:val="110"/>
                <w:sz w:val="15"/>
              </w:rPr>
              <w:t>CLINICAL</w:t>
            </w:r>
            <w:r>
              <w:rPr>
                <w:b/>
                <w:color w:val="231F20"/>
                <w:spacing w:val="-4"/>
                <w:w w:val="110"/>
                <w:sz w:val="15"/>
              </w:rPr>
              <w:t> </w:t>
            </w:r>
            <w:r>
              <w:rPr>
                <w:b/>
                <w:color w:val="231F20"/>
                <w:spacing w:val="-2"/>
                <w:w w:val="110"/>
                <w:sz w:val="15"/>
              </w:rPr>
              <w:t>SIGNS</w:t>
            </w:r>
          </w:p>
        </w:tc>
      </w:tr>
      <w:tr>
        <w:trPr>
          <w:trHeight w:val="924" w:hRule="atLeast"/>
        </w:trPr>
        <w:tc>
          <w:tcPr>
            <w:tcW w:w="1537" w:type="dxa"/>
            <w:gridSpan w:val="2"/>
            <w:tcBorders>
              <w:top w:val="single" w:sz="4" w:space="0" w:color="231F20"/>
              <w:bottom w:val="single" w:sz="4" w:space="0" w:color="FFFFFF"/>
            </w:tcBorders>
            <w:shd w:val="clear" w:color="auto" w:fill="E8F5F1"/>
          </w:tcPr>
          <w:p>
            <w:pPr>
              <w:pStyle w:val="TableParagraph"/>
              <w:spacing w:line="230" w:lineRule="auto" w:before="48"/>
              <w:ind w:left="186" w:right="33" w:hanging="112"/>
              <w:rPr>
                <w:sz w:val="15"/>
              </w:rPr>
            </w:pPr>
            <w:r>
              <w:rPr>
                <w:color w:val="231F20"/>
                <w:spacing w:val="-2"/>
                <w:sz w:val="15"/>
              </w:rPr>
              <w:t>Lesch-</w:t>
            </w:r>
            <w:r>
              <w:rPr>
                <w:color w:val="231F20"/>
                <w:spacing w:val="-2"/>
                <w:sz w:val="15"/>
              </w:rPr>
              <w:t>Nyhan syndrome</w:t>
            </w:r>
          </w:p>
        </w:tc>
        <w:tc>
          <w:tcPr>
            <w:tcW w:w="1329" w:type="dxa"/>
            <w:tcBorders>
              <w:top w:val="single" w:sz="4" w:space="0" w:color="231F20"/>
              <w:bottom w:val="single" w:sz="4" w:space="0" w:color="FFFFFF"/>
            </w:tcBorders>
            <w:shd w:val="clear" w:color="auto" w:fill="E8F5F1"/>
          </w:tcPr>
          <w:p>
            <w:pPr>
              <w:pStyle w:val="TableParagraph"/>
              <w:spacing w:line="230" w:lineRule="auto" w:before="48"/>
              <w:ind w:left="291" w:right="4" w:hanging="112"/>
              <w:rPr>
                <w:sz w:val="15"/>
              </w:rPr>
            </w:pPr>
            <w:r>
              <w:rPr>
                <w:color w:val="231F20"/>
                <w:spacing w:val="-2"/>
                <w:sz w:val="15"/>
              </w:rPr>
              <w:t>X-linked, </w:t>
            </w:r>
            <w:r>
              <w:rPr>
                <w:color w:val="231F20"/>
                <w:spacing w:val="-4"/>
                <w:sz w:val="15"/>
              </w:rPr>
              <w:t>recessive</w:t>
            </w:r>
          </w:p>
        </w:tc>
        <w:tc>
          <w:tcPr>
            <w:tcW w:w="1233" w:type="dxa"/>
            <w:tcBorders>
              <w:top w:val="single" w:sz="4" w:space="0" w:color="231F20"/>
              <w:bottom w:val="single" w:sz="4" w:space="0" w:color="FFFFFF"/>
            </w:tcBorders>
            <w:shd w:val="clear" w:color="auto" w:fill="E8F5F1"/>
          </w:tcPr>
          <w:p>
            <w:pPr>
              <w:pStyle w:val="TableParagraph"/>
              <w:spacing w:before="42"/>
              <w:ind w:left="120"/>
              <w:rPr>
                <w:sz w:val="15"/>
              </w:rPr>
            </w:pPr>
            <w:r>
              <w:rPr>
                <w:i/>
                <w:color w:val="231F20"/>
                <w:sz w:val="15"/>
              </w:rPr>
              <w:t>HPRT,</w:t>
            </w:r>
            <w:r>
              <w:rPr>
                <w:i/>
                <w:color w:val="231F20"/>
                <w:spacing w:val="-4"/>
                <w:sz w:val="15"/>
              </w:rPr>
              <w:t> </w:t>
            </w:r>
            <w:r>
              <w:rPr>
                <w:color w:val="231F20"/>
                <w:spacing w:val="-5"/>
                <w:sz w:val="15"/>
              </w:rPr>
              <w:t>Xq</w:t>
            </w:r>
          </w:p>
        </w:tc>
        <w:tc>
          <w:tcPr>
            <w:tcW w:w="1560" w:type="dxa"/>
            <w:tcBorders>
              <w:top w:val="single" w:sz="4" w:space="0" w:color="231F20"/>
              <w:bottom w:val="single" w:sz="4" w:space="0" w:color="FFFFFF"/>
            </w:tcBorders>
            <w:shd w:val="clear" w:color="auto" w:fill="E8F5F1"/>
          </w:tcPr>
          <w:p>
            <w:pPr>
              <w:pStyle w:val="TableParagraph"/>
              <w:spacing w:line="230" w:lineRule="auto" w:before="48"/>
              <w:ind w:left="274" w:right="210" w:hanging="112"/>
              <w:rPr>
                <w:sz w:val="15"/>
              </w:rPr>
            </w:pPr>
            <w:r>
              <w:rPr>
                <w:color w:val="231F20"/>
                <w:spacing w:val="-2"/>
                <w:sz w:val="15"/>
              </w:rPr>
              <w:t>Hypoxanthine- guanine phosphoribosyl- transferase</w:t>
            </w:r>
          </w:p>
        </w:tc>
        <w:tc>
          <w:tcPr>
            <w:tcW w:w="1363" w:type="dxa"/>
            <w:tcBorders>
              <w:top w:val="single" w:sz="4" w:space="0" w:color="231F20"/>
              <w:bottom w:val="single" w:sz="4" w:space="0" w:color="FFFFFF"/>
            </w:tcBorders>
            <w:shd w:val="clear" w:color="auto" w:fill="E8F5F1"/>
          </w:tcPr>
          <w:p>
            <w:pPr>
              <w:pStyle w:val="TableParagraph"/>
              <w:spacing w:before="42"/>
              <w:ind w:left="119"/>
              <w:rPr>
                <w:sz w:val="15"/>
              </w:rPr>
            </w:pPr>
            <w:r>
              <w:rPr>
                <w:color w:val="231F20"/>
                <w:spacing w:val="-2"/>
                <w:w w:val="105"/>
                <w:sz w:val="15"/>
              </w:rPr>
              <w:t>Childhood</w:t>
            </w:r>
          </w:p>
        </w:tc>
        <w:tc>
          <w:tcPr>
            <w:tcW w:w="2721" w:type="dxa"/>
            <w:tcBorders>
              <w:top w:val="single" w:sz="4" w:space="0" w:color="231F20"/>
              <w:bottom w:val="single" w:sz="4" w:space="0" w:color="FFFFFF"/>
            </w:tcBorders>
            <w:shd w:val="clear" w:color="auto" w:fill="E8F5F1"/>
          </w:tcPr>
          <w:p>
            <w:pPr>
              <w:pStyle w:val="TableParagraph"/>
              <w:spacing w:line="171" w:lineRule="exact" w:before="42"/>
              <w:ind w:left="119"/>
              <w:rPr>
                <w:sz w:val="15"/>
              </w:rPr>
            </w:pPr>
            <w:r>
              <w:rPr>
                <w:color w:val="231F20"/>
                <w:spacing w:val="-2"/>
                <w:sz w:val="15"/>
              </w:rPr>
              <w:t>Chorea,</w:t>
            </w:r>
            <w:r>
              <w:rPr>
                <w:color w:val="231F20"/>
                <w:spacing w:val="2"/>
                <w:sz w:val="15"/>
              </w:rPr>
              <w:t> </w:t>
            </w:r>
            <w:r>
              <w:rPr>
                <w:color w:val="231F20"/>
                <w:spacing w:val="-2"/>
                <w:sz w:val="15"/>
              </w:rPr>
              <w:t>dystonia,</w:t>
            </w:r>
            <w:r>
              <w:rPr>
                <w:color w:val="231F20"/>
                <w:spacing w:val="2"/>
                <w:sz w:val="15"/>
              </w:rPr>
              <w:t> </w:t>
            </w:r>
            <w:r>
              <w:rPr>
                <w:color w:val="231F20"/>
                <w:spacing w:val="-2"/>
                <w:sz w:val="15"/>
              </w:rPr>
              <w:t>hypotonia,</w:t>
            </w:r>
          </w:p>
          <w:p>
            <w:pPr>
              <w:pStyle w:val="TableParagraph"/>
              <w:spacing w:line="230" w:lineRule="auto" w:before="2"/>
              <w:ind w:left="231"/>
              <w:rPr>
                <w:sz w:val="15"/>
              </w:rPr>
            </w:pPr>
            <w:r>
              <w:rPr>
                <w:color w:val="231F20"/>
                <w:spacing w:val="-2"/>
                <w:sz w:val="15"/>
              </w:rPr>
              <w:t>self-injurious</w:t>
            </w:r>
            <w:r>
              <w:rPr>
                <w:color w:val="231F20"/>
                <w:spacing w:val="-10"/>
                <w:sz w:val="15"/>
              </w:rPr>
              <w:t> </w:t>
            </w:r>
            <w:r>
              <w:rPr>
                <w:color w:val="231F20"/>
                <w:spacing w:val="-2"/>
                <w:sz w:val="15"/>
              </w:rPr>
              <w:t>behavior</w:t>
            </w:r>
            <w:r>
              <w:rPr>
                <w:color w:val="231F20"/>
                <w:spacing w:val="-9"/>
                <w:sz w:val="15"/>
              </w:rPr>
              <w:t> </w:t>
            </w:r>
            <w:r>
              <w:rPr>
                <w:color w:val="231F20"/>
                <w:spacing w:val="-2"/>
                <w:sz w:val="15"/>
              </w:rPr>
              <w:t>with</w:t>
            </w:r>
            <w:r>
              <w:rPr>
                <w:color w:val="231F20"/>
                <w:spacing w:val="-9"/>
                <w:sz w:val="15"/>
              </w:rPr>
              <w:t> </w:t>
            </w:r>
            <w:r>
              <w:rPr>
                <w:color w:val="231F20"/>
                <w:spacing w:val="-2"/>
                <w:sz w:val="15"/>
              </w:rPr>
              <w:t>biting</w:t>
            </w:r>
            <w:r>
              <w:rPr>
                <w:color w:val="231F20"/>
                <w:spacing w:val="-10"/>
                <w:sz w:val="15"/>
              </w:rPr>
              <w:t> </w:t>
            </w:r>
            <w:r>
              <w:rPr>
                <w:color w:val="231F20"/>
                <w:spacing w:val="-2"/>
                <w:sz w:val="15"/>
              </w:rPr>
              <w:t>of fingers</w:t>
            </w:r>
            <w:r>
              <w:rPr>
                <w:color w:val="231F20"/>
                <w:spacing w:val="-10"/>
                <w:sz w:val="15"/>
              </w:rPr>
              <w:t> </w:t>
            </w:r>
            <w:r>
              <w:rPr>
                <w:color w:val="231F20"/>
                <w:spacing w:val="-2"/>
                <w:sz w:val="15"/>
              </w:rPr>
              <w:t>and</w:t>
            </w:r>
            <w:r>
              <w:rPr>
                <w:color w:val="231F20"/>
                <w:spacing w:val="-9"/>
                <w:sz w:val="15"/>
              </w:rPr>
              <w:t> </w:t>
            </w:r>
            <w:r>
              <w:rPr>
                <w:color w:val="231F20"/>
                <w:spacing w:val="-2"/>
                <w:sz w:val="15"/>
              </w:rPr>
              <w:t>lips,</w:t>
            </w:r>
            <w:r>
              <w:rPr>
                <w:color w:val="231F20"/>
                <w:spacing w:val="-9"/>
                <w:sz w:val="15"/>
              </w:rPr>
              <w:t> </w:t>
            </w:r>
            <w:r>
              <w:rPr>
                <w:color w:val="231F20"/>
                <w:spacing w:val="-2"/>
                <w:sz w:val="15"/>
              </w:rPr>
              <w:t>mental</w:t>
            </w:r>
            <w:r>
              <w:rPr>
                <w:color w:val="231F20"/>
                <w:spacing w:val="-10"/>
                <w:sz w:val="15"/>
              </w:rPr>
              <w:t> </w:t>
            </w:r>
            <w:r>
              <w:rPr>
                <w:color w:val="231F20"/>
                <w:spacing w:val="-2"/>
                <w:sz w:val="15"/>
              </w:rPr>
              <w:t>retardation; </w:t>
            </w:r>
            <w:r>
              <w:rPr>
                <w:color w:val="231F20"/>
                <w:sz w:val="15"/>
              </w:rPr>
              <w:t>short stature, renal calculi, </w:t>
            </w:r>
            <w:r>
              <w:rPr>
                <w:color w:val="231F20"/>
                <w:spacing w:val="-2"/>
                <w:sz w:val="15"/>
              </w:rPr>
              <w:t>hyperuricemia</w:t>
            </w:r>
          </w:p>
        </w:tc>
      </w:tr>
      <w:tr>
        <w:trPr>
          <w:trHeight w:val="924" w:hRule="atLeast"/>
        </w:trPr>
        <w:tc>
          <w:tcPr>
            <w:tcW w:w="1537"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Wilson</w:t>
            </w:r>
            <w:r>
              <w:rPr>
                <w:color w:val="231F20"/>
                <w:spacing w:val="9"/>
                <w:sz w:val="15"/>
              </w:rPr>
              <w:t> </w:t>
            </w:r>
            <w:r>
              <w:rPr>
                <w:color w:val="231F20"/>
                <w:spacing w:val="-2"/>
                <w:sz w:val="15"/>
              </w:rPr>
              <w:t>disease</w:t>
            </w:r>
          </w:p>
        </w:tc>
        <w:tc>
          <w:tcPr>
            <w:tcW w:w="1329" w:type="dxa"/>
            <w:tcBorders>
              <w:top w:val="single" w:sz="4" w:space="0" w:color="FFFFFF"/>
              <w:bottom w:val="single" w:sz="4" w:space="0" w:color="FFFFFF"/>
            </w:tcBorders>
            <w:shd w:val="clear" w:color="auto" w:fill="E8F5F1"/>
          </w:tcPr>
          <w:p>
            <w:pPr>
              <w:pStyle w:val="TableParagraph"/>
              <w:spacing w:before="42"/>
              <w:ind w:left="179"/>
              <w:rPr>
                <w:sz w:val="15"/>
              </w:rPr>
            </w:pPr>
            <w:r>
              <w:rPr>
                <w:color w:val="231F20"/>
                <w:spacing w:val="-5"/>
                <w:w w:val="110"/>
                <w:sz w:val="15"/>
              </w:rPr>
              <w:t>AR</w:t>
            </w:r>
          </w:p>
        </w:tc>
        <w:tc>
          <w:tcPr>
            <w:tcW w:w="1233" w:type="dxa"/>
            <w:tcBorders>
              <w:top w:val="single" w:sz="4" w:space="0" w:color="FFFFFF"/>
              <w:bottom w:val="single" w:sz="4" w:space="0" w:color="FFFFFF"/>
            </w:tcBorders>
            <w:shd w:val="clear" w:color="auto" w:fill="E8F5F1"/>
          </w:tcPr>
          <w:p>
            <w:pPr>
              <w:pStyle w:val="TableParagraph"/>
              <w:spacing w:before="42"/>
              <w:ind w:left="120"/>
              <w:rPr>
                <w:sz w:val="15"/>
              </w:rPr>
            </w:pPr>
            <w:r>
              <w:rPr>
                <w:i/>
                <w:color w:val="231F20"/>
                <w:sz w:val="15"/>
              </w:rPr>
              <w:t>ATP7B,</w:t>
            </w:r>
            <w:r>
              <w:rPr>
                <w:i/>
                <w:color w:val="231F20"/>
                <w:spacing w:val="5"/>
                <w:sz w:val="15"/>
              </w:rPr>
              <w:t> </w:t>
            </w:r>
            <w:r>
              <w:rPr>
                <w:color w:val="231F20"/>
                <w:spacing w:val="-5"/>
                <w:sz w:val="15"/>
              </w:rPr>
              <w:t>13q</w:t>
            </w:r>
          </w:p>
        </w:tc>
        <w:tc>
          <w:tcPr>
            <w:tcW w:w="1560" w:type="dxa"/>
            <w:tcBorders>
              <w:top w:val="single" w:sz="4" w:space="0" w:color="FFFFFF"/>
              <w:bottom w:val="single" w:sz="4" w:space="0" w:color="FFFFFF"/>
            </w:tcBorders>
            <w:shd w:val="clear" w:color="auto" w:fill="E8F5F1"/>
          </w:tcPr>
          <w:p>
            <w:pPr>
              <w:pStyle w:val="TableParagraph"/>
              <w:spacing w:line="230" w:lineRule="auto" w:before="48"/>
              <w:ind w:left="274" w:right="468" w:hanging="112"/>
              <w:rPr>
                <w:sz w:val="15"/>
              </w:rPr>
            </w:pPr>
            <w:r>
              <w:rPr>
                <w:color w:val="231F20"/>
                <w:spacing w:val="-2"/>
                <w:sz w:val="15"/>
              </w:rPr>
              <w:t>Copper transporting</w:t>
            </w:r>
          </w:p>
          <w:p>
            <w:pPr>
              <w:pStyle w:val="TableParagraph"/>
              <w:spacing w:line="230" w:lineRule="auto" w:before="1"/>
              <w:ind w:left="274"/>
              <w:rPr>
                <w:sz w:val="15"/>
              </w:rPr>
            </w:pPr>
            <w:r>
              <w:rPr>
                <w:color w:val="231F20"/>
                <w:sz w:val="15"/>
              </w:rPr>
              <w:t>P-type</w:t>
            </w:r>
            <w:r>
              <w:rPr>
                <w:color w:val="231F20"/>
                <w:spacing w:val="-12"/>
                <w:sz w:val="15"/>
              </w:rPr>
              <w:t> </w:t>
            </w:r>
            <w:r>
              <w:rPr>
                <w:color w:val="231F20"/>
                <w:sz w:val="15"/>
              </w:rPr>
              <w:t>adenosine </w:t>
            </w:r>
            <w:r>
              <w:rPr>
                <w:color w:val="231F20"/>
                <w:spacing w:val="-2"/>
                <w:sz w:val="15"/>
              </w:rPr>
              <w:t>triphosphatase (ATPase)</w:t>
            </w:r>
          </w:p>
        </w:tc>
        <w:tc>
          <w:tcPr>
            <w:tcW w:w="1363" w:type="dxa"/>
            <w:tcBorders>
              <w:top w:val="single" w:sz="4" w:space="0" w:color="FFFFFF"/>
              <w:bottom w:val="single" w:sz="4" w:space="0" w:color="FFFFFF"/>
            </w:tcBorders>
            <w:shd w:val="clear" w:color="auto" w:fill="E8F5F1"/>
          </w:tcPr>
          <w:p>
            <w:pPr>
              <w:pStyle w:val="TableParagraph"/>
              <w:spacing w:before="43"/>
              <w:ind w:left="119"/>
              <w:rPr>
                <w:sz w:val="15"/>
              </w:rPr>
            </w:pPr>
            <w:r>
              <w:rPr>
                <w:rFonts w:ascii="Cambria"/>
                <w:color w:val="231F20"/>
                <w:spacing w:val="-5"/>
                <w:sz w:val="15"/>
              </w:rPr>
              <w:t>&lt;</w:t>
            </w:r>
            <w:r>
              <w:rPr>
                <w:color w:val="231F20"/>
                <w:spacing w:val="-5"/>
                <w:sz w:val="15"/>
              </w:rPr>
              <w:t>40</w:t>
            </w:r>
          </w:p>
        </w:tc>
        <w:tc>
          <w:tcPr>
            <w:tcW w:w="2721" w:type="dxa"/>
            <w:tcBorders>
              <w:top w:val="single" w:sz="4" w:space="0" w:color="FFFFFF"/>
              <w:bottom w:val="single" w:sz="4" w:space="0" w:color="FFFFFF"/>
            </w:tcBorders>
            <w:shd w:val="clear" w:color="auto" w:fill="E8F5F1"/>
          </w:tcPr>
          <w:p>
            <w:pPr>
              <w:pStyle w:val="TableParagraph"/>
              <w:spacing w:line="230" w:lineRule="auto" w:before="48"/>
              <w:ind w:left="231" w:right="142" w:hanging="112"/>
              <w:rPr>
                <w:sz w:val="15"/>
              </w:rPr>
            </w:pPr>
            <w:r>
              <w:rPr>
                <w:color w:val="231F20"/>
                <w:sz w:val="15"/>
              </w:rPr>
              <w:t>Parkinsonian features, dystonia, tremor, rarely chorea, behavioral and cognitive change, corneal </w:t>
            </w:r>
            <w:r>
              <w:rPr>
                <w:color w:val="231F20"/>
                <w:spacing w:val="-2"/>
                <w:sz w:val="15"/>
              </w:rPr>
              <w:t>Kayser-Fleischer</w:t>
            </w:r>
            <w:r>
              <w:rPr>
                <w:color w:val="231F20"/>
                <w:spacing w:val="-9"/>
                <w:sz w:val="15"/>
              </w:rPr>
              <w:t> </w:t>
            </w:r>
            <w:r>
              <w:rPr>
                <w:color w:val="231F20"/>
                <w:spacing w:val="-2"/>
                <w:sz w:val="15"/>
              </w:rPr>
              <w:t>rings,</w:t>
            </w:r>
            <w:r>
              <w:rPr>
                <w:color w:val="231F20"/>
                <w:spacing w:val="-9"/>
                <w:sz w:val="15"/>
              </w:rPr>
              <w:t> </w:t>
            </w:r>
            <w:r>
              <w:rPr>
                <w:color w:val="231F20"/>
                <w:spacing w:val="-2"/>
                <w:sz w:val="15"/>
              </w:rPr>
              <w:t>liver</w:t>
            </w:r>
            <w:r>
              <w:rPr>
                <w:color w:val="231F20"/>
                <w:spacing w:val="-9"/>
                <w:sz w:val="15"/>
              </w:rPr>
              <w:t> </w:t>
            </w:r>
            <w:r>
              <w:rPr>
                <w:color w:val="231F20"/>
                <w:spacing w:val="-2"/>
                <w:sz w:val="15"/>
              </w:rPr>
              <w:t>disease</w:t>
            </w:r>
          </w:p>
        </w:tc>
      </w:tr>
      <w:tr>
        <w:trPr>
          <w:trHeight w:val="1596" w:hRule="atLeast"/>
        </w:trPr>
        <w:tc>
          <w:tcPr>
            <w:tcW w:w="1537" w:type="dxa"/>
            <w:gridSpan w:val="2"/>
            <w:tcBorders>
              <w:top w:val="single" w:sz="4" w:space="0" w:color="FFFFFF"/>
              <w:bottom w:val="single" w:sz="4" w:space="0" w:color="FFFFFF"/>
            </w:tcBorders>
            <w:shd w:val="clear" w:color="auto" w:fill="E8F5F1"/>
          </w:tcPr>
          <w:p>
            <w:pPr>
              <w:pStyle w:val="TableParagraph"/>
              <w:spacing w:line="230" w:lineRule="auto" w:before="48"/>
              <w:ind w:left="186" w:right="33" w:hanging="112"/>
              <w:rPr>
                <w:sz w:val="15"/>
              </w:rPr>
            </w:pPr>
            <w:r>
              <w:rPr>
                <w:color w:val="231F20"/>
                <w:spacing w:val="-2"/>
                <w:w w:val="105"/>
                <w:sz w:val="15"/>
              </w:rPr>
              <w:t>PKC</w:t>
            </w:r>
            <w:r>
              <w:rPr>
                <w:color w:val="231F20"/>
                <w:spacing w:val="-10"/>
                <w:w w:val="105"/>
                <w:sz w:val="15"/>
              </w:rPr>
              <w:t> </w:t>
            </w:r>
            <w:r>
              <w:rPr>
                <w:color w:val="231F20"/>
                <w:spacing w:val="-2"/>
                <w:w w:val="105"/>
                <w:sz w:val="15"/>
              </w:rPr>
              <w:t>syndrome</w:t>
            </w:r>
            <w:r>
              <w:rPr>
                <w:color w:val="231F20"/>
                <w:spacing w:val="-10"/>
                <w:w w:val="105"/>
                <w:sz w:val="15"/>
              </w:rPr>
              <w:t> </w:t>
            </w:r>
            <w:r>
              <w:rPr>
                <w:color w:val="231F20"/>
                <w:spacing w:val="-2"/>
                <w:w w:val="105"/>
                <w:sz w:val="15"/>
              </w:rPr>
              <w:t>and </w:t>
            </w:r>
            <w:r>
              <w:rPr>
                <w:color w:val="231F20"/>
                <w:w w:val="105"/>
                <w:sz w:val="15"/>
              </w:rPr>
              <w:t>ICCA syndrome</w:t>
            </w:r>
          </w:p>
        </w:tc>
        <w:tc>
          <w:tcPr>
            <w:tcW w:w="1329" w:type="dxa"/>
            <w:tcBorders>
              <w:top w:val="single" w:sz="4" w:space="0" w:color="FFFFFF"/>
              <w:bottom w:val="single" w:sz="4" w:space="0" w:color="FFFFFF"/>
            </w:tcBorders>
            <w:shd w:val="clear" w:color="auto" w:fill="E8F5F1"/>
          </w:tcPr>
          <w:p>
            <w:pPr>
              <w:pStyle w:val="TableParagraph"/>
              <w:spacing w:before="42"/>
              <w:ind w:left="179"/>
              <w:rPr>
                <w:sz w:val="15"/>
              </w:rPr>
            </w:pPr>
            <w:r>
              <w:rPr>
                <w:color w:val="231F20"/>
                <w:spacing w:val="-5"/>
                <w:w w:val="115"/>
                <w:sz w:val="15"/>
              </w:rPr>
              <w:t>AD</w:t>
            </w:r>
          </w:p>
        </w:tc>
        <w:tc>
          <w:tcPr>
            <w:tcW w:w="1233"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Unknown,</w:t>
            </w:r>
            <w:r>
              <w:rPr>
                <w:color w:val="231F20"/>
                <w:spacing w:val="3"/>
                <w:sz w:val="15"/>
              </w:rPr>
              <w:t> </w:t>
            </w:r>
            <w:r>
              <w:rPr>
                <w:color w:val="231F20"/>
                <w:spacing w:val="-5"/>
                <w:sz w:val="15"/>
              </w:rPr>
              <w:t>16p</w:t>
            </w:r>
          </w:p>
        </w:tc>
        <w:tc>
          <w:tcPr>
            <w:tcW w:w="1560"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2"/>
                <w:sz w:val="15"/>
              </w:rPr>
              <w:t>Unknown</w:t>
            </w:r>
          </w:p>
        </w:tc>
        <w:tc>
          <w:tcPr>
            <w:tcW w:w="1363" w:type="dxa"/>
            <w:tcBorders>
              <w:top w:val="single" w:sz="4" w:space="0" w:color="FFFFFF"/>
              <w:bottom w:val="single" w:sz="4" w:space="0" w:color="FFFFFF"/>
            </w:tcBorders>
            <w:shd w:val="clear" w:color="auto" w:fill="E8F5F1"/>
          </w:tcPr>
          <w:p>
            <w:pPr>
              <w:pStyle w:val="TableParagraph"/>
              <w:spacing w:before="43"/>
              <w:ind w:left="119"/>
              <w:rPr>
                <w:sz w:val="15"/>
              </w:rPr>
            </w:pPr>
            <w:r>
              <w:rPr>
                <w:rFonts w:ascii="Cambria"/>
                <w:color w:val="231F20"/>
                <w:spacing w:val="-2"/>
                <w:sz w:val="15"/>
              </w:rPr>
              <w:t>&lt;</w:t>
            </w:r>
            <w:r>
              <w:rPr>
                <w:color w:val="231F20"/>
                <w:spacing w:val="-2"/>
                <w:sz w:val="15"/>
              </w:rPr>
              <w:t>1-</w:t>
            </w:r>
            <w:r>
              <w:rPr>
                <w:color w:val="231F20"/>
                <w:spacing w:val="-5"/>
                <w:sz w:val="15"/>
              </w:rPr>
              <w:t>40</w:t>
            </w:r>
          </w:p>
        </w:tc>
        <w:tc>
          <w:tcPr>
            <w:tcW w:w="2721" w:type="dxa"/>
            <w:tcBorders>
              <w:top w:val="single" w:sz="4" w:space="0" w:color="FFFFFF"/>
              <w:bottom w:val="single" w:sz="4" w:space="0" w:color="FFFFFF"/>
            </w:tcBorders>
            <w:shd w:val="clear" w:color="auto" w:fill="E8F5F1"/>
          </w:tcPr>
          <w:p>
            <w:pPr>
              <w:pStyle w:val="TableParagraph"/>
              <w:spacing w:line="230" w:lineRule="auto" w:before="48"/>
              <w:ind w:left="231" w:right="90" w:hanging="112"/>
              <w:rPr>
                <w:sz w:val="15"/>
              </w:rPr>
            </w:pPr>
            <w:r>
              <w:rPr>
                <w:color w:val="231F20"/>
                <w:sz w:val="15"/>
              </w:rPr>
              <w:t>Paroxysmal movement disorders presenting with recurrent brief episodes of abnormal involuntary movements</w:t>
            </w:r>
            <w:r>
              <w:rPr>
                <w:color w:val="231F20"/>
                <w:spacing w:val="-12"/>
                <w:sz w:val="15"/>
              </w:rPr>
              <w:t> </w:t>
            </w:r>
            <w:r>
              <w:rPr>
                <w:color w:val="231F20"/>
                <w:sz w:val="15"/>
              </w:rPr>
              <w:t>with</w:t>
            </w:r>
            <w:r>
              <w:rPr>
                <w:color w:val="231F20"/>
                <w:spacing w:val="-11"/>
                <w:sz w:val="15"/>
              </w:rPr>
              <w:t> </w:t>
            </w:r>
            <w:r>
              <w:rPr>
                <w:color w:val="231F20"/>
                <w:sz w:val="15"/>
              </w:rPr>
              <w:t>dramatic</w:t>
            </w:r>
            <w:r>
              <w:rPr>
                <w:color w:val="231F20"/>
                <w:spacing w:val="-11"/>
                <w:sz w:val="15"/>
              </w:rPr>
              <w:t> </w:t>
            </w:r>
            <w:r>
              <w:rPr>
                <w:color w:val="231F20"/>
                <w:sz w:val="15"/>
              </w:rPr>
              <w:t>response to low-dose carbamazepine (PKC); recurrent brief episodes of </w:t>
            </w:r>
            <w:r>
              <w:rPr>
                <w:color w:val="231F20"/>
                <w:spacing w:val="-2"/>
                <w:sz w:val="15"/>
              </w:rPr>
              <w:t>abnormal</w:t>
            </w:r>
            <w:r>
              <w:rPr>
                <w:color w:val="231F20"/>
                <w:spacing w:val="-3"/>
                <w:sz w:val="15"/>
              </w:rPr>
              <w:t> </w:t>
            </w:r>
            <w:r>
              <w:rPr>
                <w:color w:val="231F20"/>
                <w:spacing w:val="-2"/>
                <w:sz w:val="15"/>
              </w:rPr>
              <w:t>involuntary</w:t>
            </w:r>
            <w:r>
              <w:rPr>
                <w:color w:val="231F20"/>
                <w:spacing w:val="-3"/>
                <w:sz w:val="15"/>
              </w:rPr>
              <w:t> </w:t>
            </w:r>
            <w:r>
              <w:rPr>
                <w:color w:val="231F20"/>
                <w:spacing w:val="-2"/>
                <w:sz w:val="15"/>
              </w:rPr>
              <w:t>movements</w:t>
            </w:r>
            <w:r>
              <w:rPr>
                <w:color w:val="231F20"/>
                <w:spacing w:val="-3"/>
                <w:sz w:val="15"/>
              </w:rPr>
              <w:t> </w:t>
            </w:r>
            <w:r>
              <w:rPr>
                <w:color w:val="231F20"/>
                <w:spacing w:val="-2"/>
                <w:sz w:val="15"/>
              </w:rPr>
              <w:t>in </w:t>
            </w:r>
            <w:r>
              <w:rPr>
                <w:color w:val="231F20"/>
                <w:sz w:val="15"/>
              </w:rPr>
              <w:t>association with infantile convulsions (ICCA)</w:t>
            </w:r>
          </w:p>
        </w:tc>
      </w:tr>
      <w:tr>
        <w:trPr>
          <w:trHeight w:val="583" w:hRule="atLeast"/>
        </w:trPr>
        <w:tc>
          <w:tcPr>
            <w:tcW w:w="1537" w:type="dxa"/>
            <w:gridSpan w:val="2"/>
            <w:tcBorders>
              <w:top w:val="single" w:sz="4" w:space="0" w:color="FFFFFF"/>
              <w:bottom w:val="single" w:sz="8" w:space="0" w:color="231F20"/>
            </w:tcBorders>
            <w:shd w:val="clear" w:color="auto" w:fill="E8F5F1"/>
          </w:tcPr>
          <w:p>
            <w:pPr>
              <w:pStyle w:val="TableParagraph"/>
              <w:spacing w:line="230" w:lineRule="auto" w:before="48"/>
              <w:ind w:left="186" w:right="33" w:hanging="112"/>
              <w:rPr>
                <w:sz w:val="15"/>
              </w:rPr>
            </w:pPr>
            <w:r>
              <w:rPr>
                <w:color w:val="231F20"/>
                <w:spacing w:val="-2"/>
                <w:sz w:val="15"/>
              </w:rPr>
              <w:t>Benign</w:t>
            </w:r>
            <w:r>
              <w:rPr>
                <w:color w:val="231F20"/>
                <w:spacing w:val="-10"/>
                <w:sz w:val="15"/>
              </w:rPr>
              <w:t> </w:t>
            </w:r>
            <w:r>
              <w:rPr>
                <w:color w:val="231F20"/>
                <w:spacing w:val="-2"/>
                <w:sz w:val="15"/>
              </w:rPr>
              <w:t>hereditary chorea</w:t>
            </w:r>
          </w:p>
        </w:tc>
        <w:tc>
          <w:tcPr>
            <w:tcW w:w="1329" w:type="dxa"/>
            <w:tcBorders>
              <w:top w:val="single" w:sz="4" w:space="0" w:color="FFFFFF"/>
              <w:bottom w:val="single" w:sz="8" w:space="0" w:color="231F20"/>
            </w:tcBorders>
            <w:shd w:val="clear" w:color="auto" w:fill="E8F5F1"/>
          </w:tcPr>
          <w:p>
            <w:pPr>
              <w:pStyle w:val="TableParagraph"/>
              <w:spacing w:before="42"/>
              <w:ind w:left="179"/>
              <w:rPr>
                <w:sz w:val="15"/>
              </w:rPr>
            </w:pPr>
            <w:r>
              <w:rPr>
                <w:color w:val="231F20"/>
                <w:spacing w:val="-5"/>
                <w:w w:val="115"/>
                <w:sz w:val="15"/>
              </w:rPr>
              <w:t>AD</w:t>
            </w:r>
          </w:p>
        </w:tc>
        <w:tc>
          <w:tcPr>
            <w:tcW w:w="1233" w:type="dxa"/>
            <w:tcBorders>
              <w:top w:val="single" w:sz="4" w:space="0" w:color="FFFFFF"/>
              <w:bottom w:val="single" w:sz="8" w:space="0" w:color="231F20"/>
            </w:tcBorders>
            <w:shd w:val="clear" w:color="auto" w:fill="E8F5F1"/>
          </w:tcPr>
          <w:p>
            <w:pPr>
              <w:pStyle w:val="TableParagraph"/>
              <w:spacing w:line="171" w:lineRule="exact" w:before="42"/>
              <w:ind w:left="120"/>
              <w:rPr>
                <w:sz w:val="15"/>
              </w:rPr>
            </w:pPr>
            <w:r>
              <w:rPr>
                <w:i/>
                <w:color w:val="231F20"/>
                <w:spacing w:val="-2"/>
                <w:sz w:val="15"/>
              </w:rPr>
              <w:t>TITF-1,</w:t>
            </w:r>
            <w:r>
              <w:rPr>
                <w:i/>
                <w:color w:val="231F20"/>
                <w:spacing w:val="-10"/>
                <w:sz w:val="15"/>
              </w:rPr>
              <w:t> </w:t>
            </w:r>
            <w:r>
              <w:rPr>
                <w:color w:val="231F20"/>
                <w:spacing w:val="-4"/>
                <w:sz w:val="15"/>
              </w:rPr>
              <w:t>14q;</w:t>
            </w:r>
          </w:p>
          <w:p>
            <w:pPr>
              <w:pStyle w:val="TableParagraph"/>
              <w:spacing w:line="171" w:lineRule="exact"/>
              <w:ind w:left="232"/>
              <w:rPr>
                <w:sz w:val="15"/>
              </w:rPr>
            </w:pPr>
            <w:r>
              <w:rPr>
                <w:color w:val="231F20"/>
                <w:spacing w:val="-2"/>
                <w:sz w:val="15"/>
              </w:rPr>
              <w:t>other</w:t>
            </w:r>
          </w:p>
        </w:tc>
        <w:tc>
          <w:tcPr>
            <w:tcW w:w="1560" w:type="dxa"/>
            <w:tcBorders>
              <w:top w:val="single" w:sz="4" w:space="0" w:color="FFFFFF"/>
              <w:bottom w:val="single" w:sz="8" w:space="0" w:color="231F20"/>
            </w:tcBorders>
            <w:shd w:val="clear" w:color="auto" w:fill="E8F5F1"/>
          </w:tcPr>
          <w:p>
            <w:pPr>
              <w:pStyle w:val="TableParagraph"/>
              <w:spacing w:line="230" w:lineRule="auto" w:before="48"/>
              <w:ind w:left="274" w:right="210" w:hanging="112"/>
              <w:rPr>
                <w:sz w:val="15"/>
              </w:rPr>
            </w:pPr>
            <w:r>
              <w:rPr>
                <w:color w:val="231F20"/>
                <w:spacing w:val="-2"/>
                <w:sz w:val="15"/>
              </w:rPr>
              <w:t>Thyroid </w:t>
            </w:r>
            <w:r>
              <w:rPr>
                <w:color w:val="231F20"/>
                <w:spacing w:val="-4"/>
                <w:sz w:val="15"/>
              </w:rPr>
              <w:t>transcription </w:t>
            </w:r>
            <w:r>
              <w:rPr>
                <w:color w:val="231F20"/>
                <w:sz w:val="15"/>
              </w:rPr>
              <w:t>factor 1</w:t>
            </w:r>
          </w:p>
        </w:tc>
        <w:tc>
          <w:tcPr>
            <w:tcW w:w="1363" w:type="dxa"/>
            <w:tcBorders>
              <w:top w:val="single" w:sz="4" w:space="0" w:color="FFFFFF"/>
              <w:bottom w:val="single" w:sz="8" w:space="0" w:color="231F20"/>
            </w:tcBorders>
            <w:shd w:val="clear" w:color="auto" w:fill="E8F5F1"/>
          </w:tcPr>
          <w:p>
            <w:pPr>
              <w:pStyle w:val="TableParagraph"/>
              <w:spacing w:before="42"/>
              <w:ind w:left="119"/>
              <w:rPr>
                <w:sz w:val="15"/>
              </w:rPr>
            </w:pPr>
            <w:r>
              <w:rPr>
                <w:color w:val="231F20"/>
                <w:spacing w:val="-2"/>
                <w:w w:val="105"/>
                <w:sz w:val="15"/>
              </w:rPr>
              <w:t>Childhood</w:t>
            </w:r>
          </w:p>
        </w:tc>
        <w:tc>
          <w:tcPr>
            <w:tcW w:w="2721" w:type="dxa"/>
            <w:tcBorders>
              <w:top w:val="single" w:sz="4" w:space="0" w:color="FFFFFF"/>
              <w:bottom w:val="single" w:sz="8" w:space="0" w:color="231F20"/>
            </w:tcBorders>
            <w:shd w:val="clear" w:color="auto" w:fill="E8F5F1"/>
          </w:tcPr>
          <w:p>
            <w:pPr>
              <w:pStyle w:val="TableParagraph"/>
              <w:spacing w:line="230" w:lineRule="auto" w:before="48"/>
              <w:ind w:left="231" w:hanging="112"/>
              <w:rPr>
                <w:sz w:val="15"/>
              </w:rPr>
            </w:pPr>
            <w:r>
              <w:rPr>
                <w:color w:val="231F20"/>
                <w:spacing w:val="-2"/>
                <w:sz w:val="15"/>
              </w:rPr>
              <w:t>Chorea,</w:t>
            </w:r>
            <w:r>
              <w:rPr>
                <w:color w:val="231F20"/>
                <w:spacing w:val="-10"/>
                <w:sz w:val="15"/>
              </w:rPr>
              <w:t> </w:t>
            </w:r>
            <w:r>
              <w:rPr>
                <w:color w:val="231F20"/>
                <w:spacing w:val="-2"/>
                <w:sz w:val="15"/>
              </w:rPr>
              <w:t>mild</w:t>
            </w:r>
            <w:r>
              <w:rPr>
                <w:color w:val="231F20"/>
                <w:spacing w:val="-9"/>
                <w:sz w:val="15"/>
              </w:rPr>
              <w:t> </w:t>
            </w:r>
            <w:r>
              <w:rPr>
                <w:color w:val="231F20"/>
                <w:spacing w:val="-2"/>
                <w:sz w:val="15"/>
              </w:rPr>
              <w:t>ataxia;</w:t>
            </w:r>
            <w:r>
              <w:rPr>
                <w:color w:val="231F20"/>
                <w:spacing w:val="-9"/>
                <w:sz w:val="15"/>
              </w:rPr>
              <w:t> </w:t>
            </w:r>
            <w:r>
              <w:rPr>
                <w:color w:val="231F20"/>
                <w:spacing w:val="-2"/>
                <w:sz w:val="15"/>
              </w:rPr>
              <w:t>genetically heterogeneous</w:t>
            </w:r>
          </w:p>
        </w:tc>
      </w:tr>
    </w:tbl>
    <w:p>
      <w:pPr>
        <w:pStyle w:val="BodyText"/>
        <w:spacing w:line="150" w:lineRule="exact" w:before="76"/>
        <w:ind w:left="486"/>
        <w:jc w:val="both"/>
      </w:pPr>
      <w:r>
        <w:rPr>
          <w:color w:val="231F20"/>
        </w:rPr>
        <w:t>*HDL1,</w:t>
      </w:r>
      <w:r>
        <w:rPr>
          <w:color w:val="231F20"/>
          <w:spacing w:val="-2"/>
        </w:rPr>
        <w:t> </w:t>
      </w:r>
      <w:r>
        <w:rPr>
          <w:color w:val="231F20"/>
        </w:rPr>
        <w:t>HDL3,</w:t>
      </w:r>
      <w:r>
        <w:rPr>
          <w:color w:val="231F20"/>
          <w:spacing w:val="-2"/>
        </w:rPr>
        <w:t> </w:t>
      </w:r>
      <w:r>
        <w:rPr>
          <w:color w:val="231F20"/>
        </w:rPr>
        <w:t>and</w:t>
      </w:r>
      <w:r>
        <w:rPr>
          <w:color w:val="231F20"/>
          <w:spacing w:val="-1"/>
        </w:rPr>
        <w:t> </w:t>
      </w:r>
      <w:r>
        <w:rPr>
          <w:color w:val="231F20"/>
        </w:rPr>
        <w:t>HDL4</w:t>
      </w:r>
      <w:r>
        <w:rPr>
          <w:color w:val="231F20"/>
          <w:spacing w:val="-2"/>
        </w:rPr>
        <w:t> </w:t>
      </w:r>
      <w:r>
        <w:rPr>
          <w:color w:val="231F20"/>
        </w:rPr>
        <w:t>are</w:t>
      </w:r>
      <w:r>
        <w:rPr>
          <w:color w:val="231F20"/>
          <w:spacing w:val="-1"/>
        </w:rPr>
        <w:t> </w:t>
      </w:r>
      <w:r>
        <w:rPr>
          <w:color w:val="231F20"/>
        </w:rPr>
        <w:t>very</w:t>
      </w:r>
      <w:r>
        <w:rPr>
          <w:color w:val="231F20"/>
          <w:spacing w:val="-2"/>
        </w:rPr>
        <w:t> </w:t>
      </w:r>
      <w:r>
        <w:rPr>
          <w:color w:val="231F20"/>
        </w:rPr>
        <w:t>rare</w:t>
      </w:r>
      <w:r>
        <w:rPr>
          <w:color w:val="231F20"/>
          <w:spacing w:val="-1"/>
        </w:rPr>
        <w:t> </w:t>
      </w:r>
      <w:r>
        <w:rPr>
          <w:color w:val="231F20"/>
        </w:rPr>
        <w:t>conditions</w:t>
      </w:r>
      <w:r>
        <w:rPr>
          <w:color w:val="231F20"/>
          <w:spacing w:val="-2"/>
        </w:rPr>
        <w:t> </w:t>
      </w:r>
      <w:r>
        <w:rPr>
          <w:color w:val="231F20"/>
        </w:rPr>
        <w:t>(only</w:t>
      </w:r>
      <w:r>
        <w:rPr>
          <w:color w:val="231F20"/>
          <w:spacing w:val="-1"/>
        </w:rPr>
        <w:t> </w:t>
      </w:r>
      <w:r>
        <w:rPr>
          <w:color w:val="231F20"/>
        </w:rPr>
        <w:t>1</w:t>
      </w:r>
      <w:r>
        <w:rPr>
          <w:color w:val="231F20"/>
          <w:spacing w:val="-2"/>
        </w:rPr>
        <w:t> </w:t>
      </w:r>
      <w:r>
        <w:rPr>
          <w:color w:val="231F20"/>
        </w:rPr>
        <w:t>family</w:t>
      </w:r>
      <w:r>
        <w:rPr>
          <w:color w:val="231F20"/>
          <w:spacing w:val="-1"/>
        </w:rPr>
        <w:t> </w:t>
      </w:r>
      <w:r>
        <w:rPr>
          <w:color w:val="231F20"/>
        </w:rPr>
        <w:t>known)</w:t>
      </w:r>
      <w:r>
        <w:rPr>
          <w:color w:val="231F20"/>
          <w:spacing w:val="-2"/>
        </w:rPr>
        <w:t> </w:t>
      </w:r>
      <w:r>
        <w:rPr>
          <w:color w:val="231F20"/>
        </w:rPr>
        <w:t>and</w:t>
      </w:r>
      <w:r>
        <w:rPr>
          <w:color w:val="231F20"/>
          <w:spacing w:val="-1"/>
        </w:rPr>
        <w:t> </w:t>
      </w:r>
      <w:r>
        <w:rPr>
          <w:color w:val="231F20"/>
        </w:rPr>
        <w:t>therefore</w:t>
      </w:r>
      <w:r>
        <w:rPr>
          <w:color w:val="231F20"/>
          <w:spacing w:val="-2"/>
        </w:rPr>
        <w:t> </w:t>
      </w:r>
      <w:r>
        <w:rPr>
          <w:color w:val="231F20"/>
        </w:rPr>
        <w:t>not</w:t>
      </w:r>
      <w:r>
        <w:rPr>
          <w:color w:val="231F20"/>
          <w:spacing w:val="-1"/>
        </w:rPr>
        <w:t> </w:t>
      </w:r>
      <w:r>
        <w:rPr>
          <w:color w:val="231F20"/>
        </w:rPr>
        <w:t>included</w:t>
      </w:r>
      <w:r>
        <w:rPr>
          <w:color w:val="231F20"/>
          <w:spacing w:val="-2"/>
        </w:rPr>
        <w:t> </w:t>
      </w:r>
      <w:r>
        <w:rPr>
          <w:color w:val="231F20"/>
        </w:rPr>
        <w:t>in</w:t>
      </w:r>
      <w:r>
        <w:rPr>
          <w:color w:val="231F20"/>
          <w:spacing w:val="-1"/>
        </w:rPr>
        <w:t> </w:t>
      </w:r>
      <w:r>
        <w:rPr>
          <w:color w:val="231F20"/>
        </w:rPr>
        <w:t>the</w:t>
      </w:r>
      <w:r>
        <w:rPr>
          <w:color w:val="231F20"/>
          <w:spacing w:val="-2"/>
        </w:rPr>
        <w:t> table.</w:t>
      </w:r>
    </w:p>
    <w:p>
      <w:pPr>
        <w:pStyle w:val="BodyText"/>
        <w:ind w:left="486" w:right="776" w:firstLine="130"/>
        <w:jc w:val="both"/>
      </w:pPr>
      <w:r>
        <w:rPr>
          <w:color w:val="231F20"/>
          <w:w w:val="105"/>
          <w:vertAlign w:val="superscript"/>
        </w:rPr>
        <w:t>†</w:t>
      </w:r>
      <w:r>
        <w:rPr>
          <w:color w:val="231F20"/>
          <w:w w:val="105"/>
          <w:vertAlign w:val="baseline"/>
        </w:rPr>
        <w:t>Disorders</w:t>
      </w:r>
      <w:r>
        <w:rPr>
          <w:color w:val="231F20"/>
          <w:spacing w:val="-8"/>
          <w:w w:val="105"/>
          <w:vertAlign w:val="baseline"/>
        </w:rPr>
        <w:t> </w:t>
      </w:r>
      <w:r>
        <w:rPr>
          <w:color w:val="231F20"/>
          <w:w w:val="105"/>
          <w:vertAlign w:val="baseline"/>
        </w:rPr>
        <w:t>based</w:t>
      </w:r>
      <w:r>
        <w:rPr>
          <w:color w:val="231F20"/>
          <w:spacing w:val="-8"/>
          <w:w w:val="105"/>
          <w:vertAlign w:val="baseline"/>
        </w:rPr>
        <w:t> </w:t>
      </w:r>
      <w:r>
        <w:rPr>
          <w:color w:val="231F20"/>
          <w:w w:val="105"/>
          <w:vertAlign w:val="baseline"/>
        </w:rPr>
        <w:t>on</w:t>
      </w:r>
      <w:r>
        <w:rPr>
          <w:color w:val="231F20"/>
          <w:spacing w:val="-8"/>
          <w:w w:val="105"/>
          <w:vertAlign w:val="baseline"/>
        </w:rPr>
        <w:t> </w:t>
      </w:r>
      <w:r>
        <w:rPr>
          <w:color w:val="231F20"/>
          <w:w w:val="105"/>
          <w:vertAlign w:val="baseline"/>
        </w:rPr>
        <w:t>expanded</w:t>
      </w:r>
      <w:r>
        <w:rPr>
          <w:color w:val="231F20"/>
          <w:spacing w:val="-8"/>
          <w:w w:val="105"/>
          <w:vertAlign w:val="baseline"/>
        </w:rPr>
        <w:t> </w:t>
      </w:r>
      <w:r>
        <w:rPr>
          <w:color w:val="231F20"/>
          <w:w w:val="105"/>
          <w:vertAlign w:val="baseline"/>
        </w:rPr>
        <w:t>CAG</w:t>
      </w:r>
      <w:r>
        <w:rPr>
          <w:color w:val="231F20"/>
          <w:spacing w:val="-8"/>
          <w:w w:val="105"/>
          <w:vertAlign w:val="baseline"/>
        </w:rPr>
        <w:t> </w:t>
      </w:r>
      <w:r>
        <w:rPr>
          <w:color w:val="231F20"/>
          <w:w w:val="105"/>
          <w:vertAlign w:val="baseline"/>
        </w:rPr>
        <w:t>repeats</w:t>
      </w:r>
      <w:r>
        <w:rPr>
          <w:color w:val="231F20"/>
          <w:spacing w:val="-8"/>
          <w:w w:val="105"/>
          <w:vertAlign w:val="baseline"/>
        </w:rPr>
        <w:t> </w:t>
      </w:r>
      <w:r>
        <w:rPr>
          <w:color w:val="231F20"/>
          <w:w w:val="105"/>
          <w:vertAlign w:val="baseline"/>
        </w:rPr>
        <w:t>(HDL2</w:t>
      </w:r>
      <w:r>
        <w:rPr>
          <w:color w:val="231F20"/>
          <w:spacing w:val="-8"/>
          <w:w w:val="105"/>
          <w:vertAlign w:val="baseline"/>
        </w:rPr>
        <w:t> </w:t>
      </w:r>
      <w:r>
        <w:rPr>
          <w:color w:val="231F20"/>
          <w:w w:val="105"/>
          <w:vertAlign w:val="baseline"/>
        </w:rPr>
        <w:t>based</w:t>
      </w:r>
      <w:r>
        <w:rPr>
          <w:color w:val="231F20"/>
          <w:spacing w:val="-8"/>
          <w:w w:val="105"/>
          <w:vertAlign w:val="baseline"/>
        </w:rPr>
        <w:t> </w:t>
      </w:r>
      <w:r>
        <w:rPr>
          <w:color w:val="231F20"/>
          <w:w w:val="105"/>
          <w:vertAlign w:val="baseline"/>
        </w:rPr>
        <w:t>on</w:t>
      </w:r>
      <w:r>
        <w:rPr>
          <w:color w:val="231F20"/>
          <w:spacing w:val="-8"/>
          <w:w w:val="105"/>
          <w:vertAlign w:val="baseline"/>
        </w:rPr>
        <w:t> </w:t>
      </w:r>
      <w:r>
        <w:rPr>
          <w:color w:val="231F20"/>
          <w:w w:val="105"/>
          <w:vertAlign w:val="baseline"/>
        </w:rPr>
        <w:t>CAG/CTG</w:t>
      </w:r>
      <w:r>
        <w:rPr>
          <w:color w:val="231F20"/>
          <w:spacing w:val="-8"/>
          <w:w w:val="105"/>
          <w:vertAlign w:val="baseline"/>
        </w:rPr>
        <w:t> </w:t>
      </w:r>
      <w:r>
        <w:rPr>
          <w:color w:val="231F20"/>
          <w:w w:val="105"/>
          <w:vertAlign w:val="baseline"/>
        </w:rPr>
        <w:t>repeats;</w:t>
      </w:r>
      <w:r>
        <w:rPr>
          <w:color w:val="231F20"/>
          <w:spacing w:val="-8"/>
          <w:w w:val="105"/>
          <w:vertAlign w:val="baseline"/>
        </w:rPr>
        <w:t> </w:t>
      </w:r>
      <w:r>
        <w:rPr>
          <w:color w:val="231F20"/>
          <w:w w:val="105"/>
          <w:vertAlign w:val="baseline"/>
        </w:rPr>
        <w:t>SCA</w:t>
      </w:r>
      <w:r>
        <w:rPr>
          <w:color w:val="231F20"/>
          <w:spacing w:val="-8"/>
          <w:w w:val="105"/>
          <w:vertAlign w:val="baseline"/>
        </w:rPr>
        <w:t> </w:t>
      </w:r>
      <w:r>
        <w:rPr>
          <w:color w:val="231F20"/>
          <w:w w:val="105"/>
          <w:vertAlign w:val="baseline"/>
        </w:rPr>
        <w:t>17</w:t>
      </w:r>
      <w:r>
        <w:rPr>
          <w:color w:val="231F20"/>
          <w:spacing w:val="-8"/>
          <w:w w:val="105"/>
          <w:vertAlign w:val="baseline"/>
        </w:rPr>
        <w:t> </w:t>
      </w:r>
      <w:r>
        <w:rPr>
          <w:color w:val="231F20"/>
          <w:w w:val="105"/>
          <w:vertAlign w:val="baseline"/>
        </w:rPr>
        <w:t>based</w:t>
      </w:r>
      <w:r>
        <w:rPr>
          <w:color w:val="231F20"/>
          <w:spacing w:val="-8"/>
          <w:w w:val="105"/>
          <w:vertAlign w:val="baseline"/>
        </w:rPr>
        <w:t> </w:t>
      </w:r>
      <w:r>
        <w:rPr>
          <w:color w:val="231F20"/>
          <w:w w:val="105"/>
          <w:vertAlign w:val="baseline"/>
        </w:rPr>
        <w:t>on</w:t>
      </w:r>
      <w:r>
        <w:rPr>
          <w:color w:val="231F20"/>
          <w:spacing w:val="-8"/>
          <w:w w:val="105"/>
          <w:vertAlign w:val="baseline"/>
        </w:rPr>
        <w:t> </w:t>
      </w:r>
      <w:r>
        <w:rPr>
          <w:color w:val="231F20"/>
          <w:w w:val="105"/>
          <w:vertAlign w:val="baseline"/>
        </w:rPr>
        <w:t>CAG/CAA</w:t>
      </w:r>
      <w:r>
        <w:rPr>
          <w:color w:val="231F20"/>
          <w:spacing w:val="-8"/>
          <w:w w:val="105"/>
          <w:vertAlign w:val="baseline"/>
        </w:rPr>
        <w:t> </w:t>
      </w:r>
      <w:r>
        <w:rPr>
          <w:color w:val="231F20"/>
          <w:w w:val="105"/>
          <w:vertAlign w:val="baseline"/>
        </w:rPr>
        <w:t>repeats);</w:t>
      </w:r>
      <w:r>
        <w:rPr>
          <w:color w:val="231F20"/>
          <w:spacing w:val="-8"/>
          <w:w w:val="105"/>
          <w:vertAlign w:val="baseline"/>
        </w:rPr>
        <w:t> </w:t>
      </w:r>
      <w:r>
        <w:rPr>
          <w:color w:val="231F20"/>
          <w:w w:val="105"/>
          <w:vertAlign w:val="baseline"/>
        </w:rPr>
        <w:t>age</w:t>
      </w:r>
      <w:r>
        <w:rPr>
          <w:color w:val="231F20"/>
          <w:spacing w:val="-8"/>
          <w:w w:val="105"/>
          <w:vertAlign w:val="baseline"/>
        </w:rPr>
        <w:t> </w:t>
      </w:r>
      <w:r>
        <w:rPr>
          <w:color w:val="231F20"/>
          <w:w w:val="105"/>
          <w:vertAlign w:val="baseline"/>
        </w:rPr>
        <w:t>of</w:t>
      </w:r>
      <w:r>
        <w:rPr>
          <w:color w:val="231F20"/>
          <w:spacing w:val="-8"/>
          <w:w w:val="105"/>
          <w:vertAlign w:val="baseline"/>
        </w:rPr>
        <w:t> </w:t>
      </w:r>
      <w:r>
        <w:rPr>
          <w:color w:val="231F20"/>
          <w:w w:val="105"/>
          <w:vertAlign w:val="baseline"/>
        </w:rPr>
        <w:t>symptom</w:t>
      </w:r>
      <w:r>
        <w:rPr>
          <w:color w:val="231F20"/>
          <w:spacing w:val="-8"/>
          <w:w w:val="105"/>
          <w:vertAlign w:val="baseline"/>
        </w:rPr>
        <w:t> </w:t>
      </w:r>
      <w:r>
        <w:rPr>
          <w:color w:val="231F20"/>
          <w:w w:val="105"/>
          <w:vertAlign w:val="baseline"/>
        </w:rPr>
        <w:t>onset</w:t>
      </w:r>
      <w:r>
        <w:rPr>
          <w:color w:val="231F20"/>
          <w:spacing w:val="-8"/>
          <w:w w:val="105"/>
          <w:vertAlign w:val="baseline"/>
        </w:rPr>
        <w:t> </w:t>
      </w:r>
      <w:r>
        <w:rPr>
          <w:color w:val="231F20"/>
          <w:w w:val="105"/>
          <w:vertAlign w:val="baseline"/>
        </w:rPr>
        <w:t>inversely</w:t>
      </w:r>
      <w:r>
        <w:rPr>
          <w:color w:val="231F20"/>
          <w:spacing w:val="-8"/>
          <w:w w:val="105"/>
          <w:vertAlign w:val="baseline"/>
        </w:rPr>
        <w:t> </w:t>
      </w:r>
      <w:r>
        <w:rPr>
          <w:color w:val="231F20"/>
          <w:w w:val="105"/>
          <w:vertAlign w:val="baseline"/>
        </w:rPr>
        <w:t>related</w:t>
      </w:r>
      <w:r>
        <w:rPr>
          <w:color w:val="231F20"/>
          <w:spacing w:val="-8"/>
          <w:w w:val="105"/>
          <w:vertAlign w:val="baseline"/>
        </w:rPr>
        <w:t> </w:t>
      </w:r>
      <w:r>
        <w:rPr>
          <w:color w:val="231F20"/>
          <w:w w:val="105"/>
          <w:vertAlign w:val="baseline"/>
        </w:rPr>
        <w:t>to repeat</w:t>
      </w:r>
      <w:r>
        <w:rPr>
          <w:color w:val="231F20"/>
          <w:spacing w:val="-1"/>
          <w:w w:val="105"/>
          <w:vertAlign w:val="baseline"/>
        </w:rPr>
        <w:t> </w:t>
      </w:r>
      <w:r>
        <w:rPr>
          <w:color w:val="231F20"/>
          <w:w w:val="105"/>
          <w:vertAlign w:val="baseline"/>
        </w:rPr>
        <w:t>size.</w:t>
      </w:r>
    </w:p>
    <w:p>
      <w:pPr>
        <w:pStyle w:val="BodyText"/>
        <w:spacing w:line="237" w:lineRule="auto"/>
        <w:ind w:left="486" w:right="882" w:firstLine="130"/>
        <w:jc w:val="both"/>
      </w:pPr>
      <w:r>
        <w:rPr>
          <w:color w:val="231F20"/>
        </w:rPr>
        <w:t>AD,</w:t>
      </w:r>
      <w:r>
        <w:rPr>
          <w:color w:val="231F20"/>
          <w:spacing w:val="-5"/>
        </w:rPr>
        <w:t> </w:t>
      </w:r>
      <w:r>
        <w:rPr>
          <w:color w:val="231F20"/>
        </w:rPr>
        <w:t>autosomal</w:t>
      </w:r>
      <w:r>
        <w:rPr>
          <w:color w:val="231F20"/>
          <w:spacing w:val="-5"/>
        </w:rPr>
        <w:t> </w:t>
      </w:r>
      <w:r>
        <w:rPr>
          <w:color w:val="231F20"/>
        </w:rPr>
        <w:t>dominant;</w:t>
      </w:r>
      <w:r>
        <w:rPr>
          <w:color w:val="231F20"/>
          <w:spacing w:val="-5"/>
        </w:rPr>
        <w:t> </w:t>
      </w:r>
      <w:r>
        <w:rPr>
          <w:color w:val="231F20"/>
        </w:rPr>
        <w:t>AOA,</w:t>
      </w:r>
      <w:r>
        <w:rPr>
          <w:color w:val="231F20"/>
          <w:spacing w:val="-5"/>
        </w:rPr>
        <w:t> </w:t>
      </w:r>
      <w:r>
        <w:rPr>
          <w:color w:val="231F20"/>
        </w:rPr>
        <w:t>ataxia</w:t>
      </w:r>
      <w:r>
        <w:rPr>
          <w:color w:val="231F20"/>
          <w:spacing w:val="-5"/>
        </w:rPr>
        <w:t> </w:t>
      </w:r>
      <w:r>
        <w:rPr>
          <w:color w:val="231F20"/>
        </w:rPr>
        <w:t>with</w:t>
      </w:r>
      <w:r>
        <w:rPr>
          <w:color w:val="231F20"/>
          <w:spacing w:val="-5"/>
        </w:rPr>
        <w:t> </w:t>
      </w:r>
      <w:r>
        <w:rPr>
          <w:color w:val="231F20"/>
        </w:rPr>
        <w:t>oculomotor</w:t>
      </w:r>
      <w:r>
        <w:rPr>
          <w:color w:val="231F20"/>
          <w:spacing w:val="-5"/>
        </w:rPr>
        <w:t> </w:t>
      </w:r>
      <w:r>
        <w:rPr>
          <w:color w:val="231F20"/>
        </w:rPr>
        <w:t>apraxia</w:t>
      </w:r>
      <w:r>
        <w:rPr>
          <w:color w:val="231F20"/>
          <w:spacing w:val="-5"/>
        </w:rPr>
        <w:t> </w:t>
      </w:r>
      <w:r>
        <w:rPr>
          <w:color w:val="231F20"/>
        </w:rPr>
        <w:t>(types</w:t>
      </w:r>
      <w:r>
        <w:rPr>
          <w:color w:val="231F20"/>
          <w:spacing w:val="-5"/>
        </w:rPr>
        <w:t> </w:t>
      </w:r>
      <w:r>
        <w:rPr>
          <w:color w:val="231F20"/>
        </w:rPr>
        <w:t>1</w:t>
      </w:r>
      <w:r>
        <w:rPr>
          <w:color w:val="231F20"/>
          <w:spacing w:val="-5"/>
        </w:rPr>
        <w:t> </w:t>
      </w:r>
      <w:r>
        <w:rPr>
          <w:color w:val="231F20"/>
        </w:rPr>
        <w:t>or</w:t>
      </w:r>
      <w:r>
        <w:rPr>
          <w:color w:val="231F20"/>
          <w:spacing w:val="-5"/>
        </w:rPr>
        <w:t> </w:t>
      </w:r>
      <w:r>
        <w:rPr>
          <w:color w:val="231F20"/>
        </w:rPr>
        <w:t>2);</w:t>
      </w:r>
      <w:r>
        <w:rPr>
          <w:color w:val="231F20"/>
          <w:spacing w:val="-5"/>
        </w:rPr>
        <w:t> </w:t>
      </w:r>
      <w:r>
        <w:rPr>
          <w:color w:val="231F20"/>
        </w:rPr>
        <w:t>AR,</w:t>
      </w:r>
      <w:r>
        <w:rPr>
          <w:color w:val="231F20"/>
          <w:spacing w:val="-5"/>
        </w:rPr>
        <w:t> </w:t>
      </w:r>
      <w:r>
        <w:rPr>
          <w:color w:val="231F20"/>
        </w:rPr>
        <w:t>autosomal</w:t>
      </w:r>
      <w:r>
        <w:rPr>
          <w:color w:val="231F20"/>
          <w:spacing w:val="-5"/>
        </w:rPr>
        <w:t> </w:t>
      </w:r>
      <w:r>
        <w:rPr>
          <w:color w:val="231F20"/>
        </w:rPr>
        <w:t>recessive;</w:t>
      </w:r>
      <w:r>
        <w:rPr>
          <w:color w:val="231F20"/>
          <w:spacing w:val="-5"/>
        </w:rPr>
        <w:t> </w:t>
      </w:r>
      <w:r>
        <w:rPr>
          <w:color w:val="231F20"/>
        </w:rPr>
        <w:t>AT,</w:t>
      </w:r>
      <w:r>
        <w:rPr>
          <w:color w:val="231F20"/>
          <w:spacing w:val="-5"/>
        </w:rPr>
        <w:t> </w:t>
      </w:r>
      <w:r>
        <w:rPr>
          <w:color w:val="231F20"/>
        </w:rPr>
        <w:t>ataxia</w:t>
      </w:r>
      <w:r>
        <w:rPr>
          <w:color w:val="231F20"/>
          <w:spacing w:val="-5"/>
        </w:rPr>
        <w:t> </w:t>
      </w:r>
      <w:r>
        <w:rPr>
          <w:color w:val="231F20"/>
        </w:rPr>
        <w:t>telangiectasia;</w:t>
      </w:r>
      <w:r>
        <w:rPr>
          <w:color w:val="231F20"/>
          <w:spacing w:val="-5"/>
        </w:rPr>
        <w:t> </w:t>
      </w:r>
      <w:r>
        <w:rPr>
          <w:color w:val="231F20"/>
        </w:rPr>
        <w:t>ATLD,</w:t>
      </w:r>
      <w:r>
        <w:rPr>
          <w:color w:val="231F20"/>
          <w:spacing w:val="-5"/>
        </w:rPr>
        <w:t> </w:t>
      </w:r>
      <w:r>
        <w:rPr>
          <w:color w:val="231F20"/>
        </w:rPr>
        <w:t>ataxia</w:t>
      </w:r>
      <w:r>
        <w:rPr>
          <w:color w:val="231F20"/>
          <w:spacing w:val="-5"/>
        </w:rPr>
        <w:t> </w:t>
      </w:r>
      <w:r>
        <w:rPr>
          <w:color w:val="231F20"/>
        </w:rPr>
        <w:t>telangiectasia–like</w:t>
      </w:r>
      <w:r>
        <w:rPr>
          <w:color w:val="231F20"/>
          <w:spacing w:val="40"/>
        </w:rPr>
        <w:t> </w:t>
      </w:r>
      <w:r>
        <w:rPr>
          <w:color w:val="231F20"/>
        </w:rPr>
        <w:t>disorder; DRPLA, dentatorubropallidoluysian atrophy; ICCA, infantile convulsions and paroxysmal choreoathetosis syndrome; MJD, Machado-Joseph disease; PKC,</w:t>
      </w:r>
      <w:r>
        <w:rPr>
          <w:color w:val="231F20"/>
          <w:spacing w:val="40"/>
        </w:rPr>
        <w:t> </w:t>
      </w:r>
      <w:r>
        <w:rPr>
          <w:color w:val="231F20"/>
        </w:rPr>
        <w:t>paroxysmal kinesigenic choreoathetosis; SCA, spinocerebellar ataxia (types 2, 3, or 17).</w:t>
      </w:r>
    </w:p>
    <w:p>
      <w:pPr>
        <w:spacing w:line="149" w:lineRule="exact" w:before="0"/>
        <w:ind w:left="617" w:right="0" w:firstLine="0"/>
        <w:jc w:val="both"/>
        <w:rPr>
          <w:i/>
          <w:sz w:val="13"/>
        </w:rPr>
      </w:pPr>
      <w:r>
        <w:rPr>
          <w:i/>
          <w:color w:val="231F20"/>
          <w:sz w:val="13"/>
        </w:rPr>
        <w:t>Modified</w:t>
      </w:r>
      <w:r>
        <w:rPr>
          <w:i/>
          <w:color w:val="231F20"/>
          <w:spacing w:val="-2"/>
          <w:sz w:val="13"/>
        </w:rPr>
        <w:t> </w:t>
      </w:r>
      <w:r>
        <w:rPr>
          <w:i/>
          <w:color w:val="231F20"/>
          <w:sz w:val="13"/>
        </w:rPr>
        <w:t>from</w:t>
      </w:r>
      <w:r>
        <w:rPr>
          <w:i/>
          <w:color w:val="231F20"/>
          <w:spacing w:val="-1"/>
          <w:sz w:val="13"/>
        </w:rPr>
        <w:t> </w:t>
      </w:r>
      <w:r>
        <w:rPr>
          <w:i/>
          <w:color w:val="231F20"/>
          <w:sz w:val="13"/>
        </w:rPr>
        <w:t>Cardoso</w:t>
      </w:r>
      <w:r>
        <w:rPr>
          <w:i/>
          <w:color w:val="231F20"/>
          <w:spacing w:val="-2"/>
          <w:sz w:val="13"/>
        </w:rPr>
        <w:t> </w:t>
      </w:r>
      <w:r>
        <w:rPr>
          <w:i/>
          <w:color w:val="231F20"/>
          <w:sz w:val="13"/>
        </w:rPr>
        <w:t>F,</w:t>
      </w:r>
      <w:r>
        <w:rPr>
          <w:i/>
          <w:color w:val="231F20"/>
          <w:spacing w:val="-1"/>
          <w:sz w:val="13"/>
        </w:rPr>
        <w:t> </w:t>
      </w:r>
      <w:r>
        <w:rPr>
          <w:i/>
          <w:color w:val="231F20"/>
          <w:sz w:val="13"/>
        </w:rPr>
        <w:t>Seppi</w:t>
      </w:r>
      <w:r>
        <w:rPr>
          <w:i/>
          <w:color w:val="231F20"/>
          <w:spacing w:val="-2"/>
          <w:sz w:val="13"/>
        </w:rPr>
        <w:t> </w:t>
      </w:r>
      <w:r>
        <w:rPr>
          <w:i/>
          <w:color w:val="231F20"/>
          <w:sz w:val="13"/>
        </w:rPr>
        <w:t>K,</w:t>
      </w:r>
      <w:r>
        <w:rPr>
          <w:i/>
          <w:color w:val="231F20"/>
          <w:spacing w:val="-1"/>
          <w:sz w:val="13"/>
        </w:rPr>
        <w:t> </w:t>
      </w:r>
      <w:r>
        <w:rPr>
          <w:i/>
          <w:color w:val="231F20"/>
          <w:sz w:val="13"/>
        </w:rPr>
        <w:t>Mair</w:t>
      </w:r>
      <w:r>
        <w:rPr>
          <w:i/>
          <w:color w:val="231F20"/>
          <w:spacing w:val="-2"/>
          <w:sz w:val="13"/>
        </w:rPr>
        <w:t> </w:t>
      </w:r>
      <w:r>
        <w:rPr>
          <w:i/>
          <w:color w:val="231F20"/>
          <w:sz w:val="13"/>
        </w:rPr>
        <w:t>KJ,</w:t>
      </w:r>
      <w:r>
        <w:rPr>
          <w:i/>
          <w:color w:val="231F20"/>
          <w:spacing w:val="-1"/>
          <w:sz w:val="13"/>
        </w:rPr>
        <w:t> </w:t>
      </w:r>
      <w:r>
        <w:rPr>
          <w:i/>
          <w:color w:val="231F20"/>
          <w:sz w:val="13"/>
        </w:rPr>
        <w:t>et</w:t>
      </w:r>
      <w:r>
        <w:rPr>
          <w:i/>
          <w:color w:val="231F20"/>
          <w:spacing w:val="-2"/>
          <w:sz w:val="13"/>
        </w:rPr>
        <w:t> </w:t>
      </w:r>
      <w:r>
        <w:rPr>
          <w:i/>
          <w:color w:val="231F20"/>
          <w:sz w:val="13"/>
        </w:rPr>
        <w:t>al:</w:t>
      </w:r>
      <w:r>
        <w:rPr>
          <w:i/>
          <w:color w:val="231F20"/>
          <w:spacing w:val="-1"/>
          <w:sz w:val="13"/>
        </w:rPr>
        <w:t> </w:t>
      </w:r>
      <w:r>
        <w:rPr>
          <w:i/>
          <w:color w:val="231F20"/>
          <w:sz w:val="13"/>
        </w:rPr>
        <w:t>Seminar</w:t>
      </w:r>
      <w:r>
        <w:rPr>
          <w:i/>
          <w:color w:val="231F20"/>
          <w:spacing w:val="-1"/>
          <w:sz w:val="13"/>
        </w:rPr>
        <w:t> </w:t>
      </w:r>
      <w:r>
        <w:rPr>
          <w:i/>
          <w:color w:val="231F20"/>
          <w:sz w:val="13"/>
        </w:rPr>
        <w:t>on</w:t>
      </w:r>
      <w:r>
        <w:rPr>
          <w:i/>
          <w:color w:val="231F20"/>
          <w:spacing w:val="-2"/>
          <w:sz w:val="13"/>
        </w:rPr>
        <w:t> </w:t>
      </w:r>
      <w:r>
        <w:rPr>
          <w:i/>
          <w:color w:val="231F20"/>
          <w:sz w:val="13"/>
        </w:rPr>
        <w:t>choreas,</w:t>
      </w:r>
      <w:r>
        <w:rPr>
          <w:i/>
          <w:color w:val="231F20"/>
          <w:spacing w:val="-1"/>
          <w:sz w:val="13"/>
        </w:rPr>
        <w:t> </w:t>
      </w:r>
      <w:r>
        <w:rPr>
          <w:color w:val="231F20"/>
          <w:sz w:val="13"/>
        </w:rPr>
        <w:t>Lancet</w:t>
      </w:r>
      <w:r>
        <w:rPr>
          <w:color w:val="231F20"/>
          <w:spacing w:val="-2"/>
          <w:sz w:val="13"/>
        </w:rPr>
        <w:t> </w:t>
      </w:r>
      <w:r>
        <w:rPr>
          <w:color w:val="231F20"/>
          <w:sz w:val="13"/>
        </w:rPr>
        <w:t>Neurol</w:t>
      </w:r>
      <w:r>
        <w:rPr>
          <w:color w:val="231F20"/>
          <w:spacing w:val="-1"/>
          <w:sz w:val="13"/>
        </w:rPr>
        <w:t> </w:t>
      </w:r>
      <w:r>
        <w:rPr>
          <w:i/>
          <w:color w:val="231F20"/>
          <w:sz w:val="13"/>
        </w:rPr>
        <w:t>5:589–602,</w:t>
      </w:r>
      <w:r>
        <w:rPr>
          <w:i/>
          <w:color w:val="231F20"/>
          <w:spacing w:val="-2"/>
          <w:sz w:val="13"/>
        </w:rPr>
        <w:t> 2006.</w:t>
      </w:r>
    </w:p>
    <w:p>
      <w:pPr>
        <w:pStyle w:val="BodyText"/>
        <w:spacing w:before="3"/>
        <w:rPr>
          <w:i/>
          <w:sz w:val="19"/>
        </w:rPr>
      </w:pPr>
      <w:r>
        <w:rPr>
          <w:i/>
          <w:sz w:val="19"/>
        </w:rPr>
        <mc:AlternateContent>
          <mc:Choice Requires="wps">
            <w:drawing>
              <wp:anchor distT="0" distB="0" distL="0" distR="0" allowOverlap="1" layoutInCell="1" locked="0" behindDoc="1" simplePos="0" relativeHeight="487633920">
                <wp:simplePos x="0" y="0"/>
                <wp:positionH relativeFrom="page">
                  <wp:posOffset>498762</wp:posOffset>
                </wp:positionH>
                <wp:positionV relativeFrom="paragraph">
                  <wp:posOffset>229963</wp:posOffset>
                </wp:positionV>
                <wp:extent cx="2986405" cy="4036060"/>
                <wp:effectExtent l="0" t="0" r="0" b="0"/>
                <wp:wrapTopAndBottom/>
                <wp:docPr id="753" name="Group 753"/>
                <wp:cNvGraphicFramePr>
                  <a:graphicFrameLocks/>
                </wp:cNvGraphicFramePr>
                <a:graphic>
                  <a:graphicData uri="http://schemas.microsoft.com/office/word/2010/wordprocessingGroup">
                    <wpg:wgp>
                      <wpg:cNvPr id="753" name="Group 753"/>
                      <wpg:cNvGrpSpPr/>
                      <wpg:grpSpPr>
                        <a:xfrm>
                          <a:off x="0" y="0"/>
                          <a:ext cx="2986405" cy="4036060"/>
                          <a:chExt cx="2986405" cy="4036060"/>
                        </a:xfrm>
                      </wpg:grpSpPr>
                      <wps:wsp>
                        <wps:cNvPr id="754" name="Textbox 754"/>
                        <wps:cNvSpPr txBox="1"/>
                        <wps:spPr>
                          <a:xfrm>
                            <a:off x="11" y="236987"/>
                            <a:ext cx="2986405" cy="3792854"/>
                          </a:xfrm>
                          <a:prstGeom prst="rect">
                            <a:avLst/>
                          </a:prstGeom>
                          <a:solidFill>
                            <a:srgbClr val="E8F5F1"/>
                          </a:solidFill>
                        </wps:spPr>
                        <wps:txbx>
                          <w:txbxContent>
                            <w:p>
                              <w:pPr>
                                <w:spacing w:line="230" w:lineRule="auto" w:before="53"/>
                                <w:ind w:left="186" w:right="2729" w:hanging="112"/>
                                <w:jc w:val="left"/>
                                <w:rPr>
                                  <w:color w:val="000000"/>
                                  <w:sz w:val="15"/>
                                </w:rPr>
                              </w:pPr>
                              <w:r>
                                <w:rPr>
                                  <w:color w:val="231F20"/>
                                  <w:sz w:val="15"/>
                                </w:rPr>
                                <w:t>Infectious vasculitis </w:t>
                              </w:r>
                              <w:r>
                                <w:rPr>
                                  <w:color w:val="231F20"/>
                                  <w:spacing w:val="-4"/>
                                  <w:sz w:val="15"/>
                                </w:rPr>
                                <w:t>Bacterial,</w:t>
                              </w:r>
                              <w:r>
                                <w:rPr>
                                  <w:color w:val="231F20"/>
                                  <w:spacing w:val="-8"/>
                                  <w:sz w:val="15"/>
                                </w:rPr>
                                <w:t> </w:t>
                              </w:r>
                              <w:r>
                                <w:rPr>
                                  <w:color w:val="231F20"/>
                                  <w:spacing w:val="-4"/>
                                  <w:sz w:val="15"/>
                                </w:rPr>
                                <w:t>fungal,</w:t>
                              </w:r>
                              <w:r>
                                <w:rPr>
                                  <w:color w:val="231F20"/>
                                  <w:spacing w:val="-7"/>
                                  <w:sz w:val="15"/>
                                </w:rPr>
                                <w:t> </w:t>
                              </w:r>
                              <w:r>
                                <w:rPr>
                                  <w:color w:val="231F20"/>
                                  <w:spacing w:val="-4"/>
                                  <w:sz w:val="15"/>
                                </w:rPr>
                                <w:t>parasitic</w:t>
                              </w:r>
                            </w:p>
                            <w:p>
                              <w:pPr>
                                <w:spacing w:line="167" w:lineRule="exact" w:before="0"/>
                                <w:ind w:left="186" w:right="0" w:firstLine="0"/>
                                <w:jc w:val="left"/>
                                <w:rPr>
                                  <w:color w:val="000000"/>
                                  <w:sz w:val="15"/>
                                </w:rPr>
                              </w:pPr>
                              <w:r>
                                <w:rPr>
                                  <w:color w:val="231F20"/>
                                  <w:spacing w:val="-2"/>
                                  <w:sz w:val="15"/>
                                </w:rPr>
                                <w:t>Spirochetal (syphilis, Lyme disease, leptospirosis)</w:t>
                              </w:r>
                            </w:p>
                            <w:p>
                              <w:pPr>
                                <w:spacing w:line="230" w:lineRule="auto" w:before="2"/>
                                <w:ind w:left="298" w:right="0" w:hanging="112"/>
                                <w:jc w:val="left"/>
                                <w:rPr>
                                  <w:color w:val="000000"/>
                                  <w:sz w:val="15"/>
                                </w:rPr>
                              </w:pPr>
                              <w:r>
                                <w:rPr>
                                  <w:color w:val="231F20"/>
                                  <w:spacing w:val="-4"/>
                                  <w:sz w:val="15"/>
                                </w:rPr>
                                <w:t>Viral, rickettsial, mycobacterial, free-living amebae, </w:t>
                              </w:r>
                              <w:r>
                                <w:rPr>
                                  <w:color w:val="231F20"/>
                                  <w:spacing w:val="-4"/>
                                  <w:sz w:val="15"/>
                                </w:rPr>
                                <w:t>cysticercosis, </w:t>
                              </w:r>
                              <w:r>
                                <w:rPr>
                                  <w:color w:val="231F20"/>
                                  <w:sz w:val="15"/>
                                </w:rPr>
                                <w:t>other helminths</w:t>
                              </w:r>
                            </w:p>
                            <w:p>
                              <w:pPr>
                                <w:spacing w:line="230" w:lineRule="auto" w:before="2"/>
                                <w:ind w:left="186" w:right="2687" w:hanging="112"/>
                                <w:jc w:val="left"/>
                                <w:rPr>
                                  <w:color w:val="000000"/>
                                  <w:sz w:val="15"/>
                                </w:rPr>
                              </w:pPr>
                              <w:r>
                                <w:rPr>
                                  <w:color w:val="231F20"/>
                                  <w:sz w:val="15"/>
                                </w:rPr>
                                <w:t>Necrotizing vasculitides Classic</w:t>
                              </w:r>
                              <w:r>
                                <w:rPr>
                                  <w:color w:val="231F20"/>
                                  <w:spacing w:val="-12"/>
                                  <w:sz w:val="15"/>
                                </w:rPr>
                                <w:t> </w:t>
                              </w:r>
                              <w:r>
                                <w:rPr>
                                  <w:color w:val="231F20"/>
                                  <w:sz w:val="15"/>
                                </w:rPr>
                                <w:t>polyarteritis</w:t>
                              </w:r>
                              <w:r>
                                <w:rPr>
                                  <w:color w:val="231F20"/>
                                  <w:spacing w:val="-11"/>
                                  <w:sz w:val="15"/>
                                </w:rPr>
                                <w:t> </w:t>
                              </w:r>
                              <w:r>
                                <w:rPr>
                                  <w:color w:val="231F20"/>
                                  <w:sz w:val="15"/>
                                </w:rPr>
                                <w:t>nodosa Wegener granulomatosis</w:t>
                              </w:r>
                            </w:p>
                            <w:p>
                              <w:pPr>
                                <w:spacing w:line="230" w:lineRule="auto" w:before="2"/>
                                <w:ind w:left="186" w:right="258" w:firstLine="0"/>
                                <w:jc w:val="left"/>
                                <w:rPr>
                                  <w:color w:val="000000"/>
                                  <w:sz w:val="15"/>
                                </w:rPr>
                              </w:pPr>
                              <w:r>
                                <w:rPr>
                                  <w:color w:val="231F20"/>
                                  <w:sz w:val="15"/>
                                </w:rPr>
                                <w:t>Allergic</w:t>
                              </w:r>
                              <w:r>
                                <w:rPr>
                                  <w:color w:val="231F20"/>
                                  <w:spacing w:val="-8"/>
                                  <w:sz w:val="15"/>
                                </w:rPr>
                                <w:t> </w:t>
                              </w:r>
                              <w:r>
                                <w:rPr>
                                  <w:color w:val="231F20"/>
                                  <w:sz w:val="15"/>
                                </w:rPr>
                                <w:t>angiitis</w:t>
                              </w:r>
                              <w:r>
                                <w:rPr>
                                  <w:color w:val="231F20"/>
                                  <w:spacing w:val="-8"/>
                                  <w:sz w:val="15"/>
                                </w:rPr>
                                <w:t> </w:t>
                              </w:r>
                              <w:r>
                                <w:rPr>
                                  <w:color w:val="231F20"/>
                                  <w:sz w:val="15"/>
                                </w:rPr>
                                <w:t>and</w:t>
                              </w:r>
                              <w:r>
                                <w:rPr>
                                  <w:color w:val="231F20"/>
                                  <w:spacing w:val="-8"/>
                                  <w:sz w:val="15"/>
                                </w:rPr>
                                <w:t> </w:t>
                              </w:r>
                              <w:r>
                                <w:rPr>
                                  <w:color w:val="231F20"/>
                                  <w:sz w:val="15"/>
                                </w:rPr>
                                <w:t>granulomatosis</w:t>
                              </w:r>
                              <w:r>
                                <w:rPr>
                                  <w:color w:val="231F20"/>
                                  <w:spacing w:val="-8"/>
                                  <w:sz w:val="15"/>
                                </w:rPr>
                                <w:t> </w:t>
                              </w:r>
                              <w:r>
                                <w:rPr>
                                  <w:color w:val="231F20"/>
                                  <w:sz w:val="15"/>
                                </w:rPr>
                                <w:t>(Churg-Strauss</w:t>
                              </w:r>
                              <w:r>
                                <w:rPr>
                                  <w:color w:val="231F20"/>
                                  <w:spacing w:val="-8"/>
                                  <w:sz w:val="15"/>
                                </w:rPr>
                                <w:t> </w:t>
                              </w:r>
                              <w:r>
                                <w:rPr>
                                  <w:color w:val="231F20"/>
                                  <w:sz w:val="15"/>
                                </w:rPr>
                                <w:t>syndrome) Necrotizing systemic vasculitis overlap syndrome Lymphomatoid granulomatosis</w:t>
                              </w:r>
                            </w:p>
                            <w:p>
                              <w:pPr>
                                <w:spacing w:line="230" w:lineRule="auto" w:before="2"/>
                                <w:ind w:left="186" w:right="1221" w:hanging="112"/>
                                <w:jc w:val="left"/>
                                <w:rPr>
                                  <w:color w:val="000000"/>
                                  <w:sz w:val="15"/>
                                </w:rPr>
                              </w:pPr>
                              <w:r>
                                <w:rPr>
                                  <w:color w:val="231F20"/>
                                  <w:spacing w:val="-2"/>
                                  <w:sz w:val="15"/>
                                </w:rPr>
                                <w:t>Vasculitis associated with collagen vascular </w:t>
                              </w:r>
                              <w:r>
                                <w:rPr>
                                  <w:color w:val="231F20"/>
                                  <w:spacing w:val="-2"/>
                                  <w:sz w:val="15"/>
                                </w:rPr>
                                <w:t>disease </w:t>
                              </w:r>
                              <w:r>
                                <w:rPr>
                                  <w:color w:val="231F20"/>
                                  <w:sz w:val="15"/>
                                </w:rPr>
                                <w:t>Systemic lupus erythematosus</w:t>
                              </w:r>
                            </w:p>
                            <w:p>
                              <w:pPr>
                                <w:spacing w:line="230" w:lineRule="auto" w:before="1"/>
                                <w:ind w:left="186" w:right="3175" w:firstLine="0"/>
                                <w:jc w:val="left"/>
                                <w:rPr>
                                  <w:color w:val="000000"/>
                                  <w:sz w:val="15"/>
                                </w:rPr>
                              </w:pPr>
                              <w:r>
                                <w:rPr>
                                  <w:color w:val="231F20"/>
                                  <w:spacing w:val="-4"/>
                                  <w:sz w:val="15"/>
                                </w:rPr>
                                <w:t>Rheumatoid </w:t>
                              </w:r>
                              <w:r>
                                <w:rPr>
                                  <w:color w:val="231F20"/>
                                  <w:spacing w:val="-4"/>
                                  <w:sz w:val="15"/>
                                </w:rPr>
                                <w:t>arthritis </w:t>
                              </w:r>
                              <w:r>
                                <w:rPr>
                                  <w:color w:val="231F20"/>
                                  <w:spacing w:val="-2"/>
                                  <w:sz w:val="15"/>
                                </w:rPr>
                                <w:t>Scleroderma</w:t>
                              </w:r>
                              <w:r>
                                <w:rPr>
                                  <w:color w:val="231F20"/>
                                  <w:spacing w:val="40"/>
                                  <w:sz w:val="15"/>
                                </w:rPr>
                                <w:t> </w:t>
                              </w:r>
                              <w:r>
                                <w:rPr>
                                  <w:color w:val="231F20"/>
                                  <w:sz w:val="15"/>
                                </w:rPr>
                                <w:t>Sjögren syndrome</w:t>
                              </w:r>
                            </w:p>
                            <w:p>
                              <w:pPr>
                                <w:spacing w:line="230" w:lineRule="auto" w:before="3"/>
                                <w:ind w:left="186" w:right="1221" w:hanging="112"/>
                                <w:jc w:val="left"/>
                                <w:rPr>
                                  <w:color w:val="000000"/>
                                  <w:sz w:val="15"/>
                                </w:rPr>
                              </w:pPr>
                              <w:r>
                                <w:rPr>
                                  <w:color w:val="231F20"/>
                                  <w:spacing w:val="-2"/>
                                  <w:sz w:val="15"/>
                                </w:rPr>
                                <w:t>Vasculitis associated with other systemic </w:t>
                              </w:r>
                              <w:r>
                                <w:rPr>
                                  <w:color w:val="231F20"/>
                                  <w:spacing w:val="-2"/>
                                  <w:sz w:val="15"/>
                                </w:rPr>
                                <w:t>diseases </w:t>
                              </w:r>
                              <w:r>
                                <w:rPr>
                                  <w:color w:val="231F20"/>
                                  <w:sz w:val="15"/>
                                </w:rPr>
                                <w:t>Behçet disease</w:t>
                              </w:r>
                            </w:p>
                            <w:p>
                              <w:pPr>
                                <w:spacing w:line="230" w:lineRule="auto" w:before="1"/>
                                <w:ind w:left="186" w:right="2993" w:firstLine="0"/>
                                <w:jc w:val="left"/>
                                <w:rPr>
                                  <w:color w:val="000000"/>
                                  <w:sz w:val="15"/>
                                </w:rPr>
                              </w:pPr>
                              <w:r>
                                <w:rPr>
                                  <w:color w:val="231F20"/>
                                  <w:spacing w:val="-4"/>
                                  <w:sz w:val="15"/>
                                </w:rPr>
                                <w:t>Ulcerative</w:t>
                              </w:r>
                              <w:r>
                                <w:rPr>
                                  <w:color w:val="231F20"/>
                                  <w:spacing w:val="-8"/>
                                  <w:sz w:val="15"/>
                                </w:rPr>
                                <w:t> </w:t>
                              </w:r>
                              <w:r>
                                <w:rPr>
                                  <w:color w:val="231F20"/>
                                  <w:spacing w:val="-4"/>
                                  <w:sz w:val="15"/>
                                </w:rPr>
                                <w:t>colitis </w:t>
                              </w:r>
                              <w:r>
                                <w:rPr>
                                  <w:color w:val="231F20"/>
                                  <w:spacing w:val="-2"/>
                                  <w:sz w:val="15"/>
                                </w:rPr>
                                <w:t>Sarcoidosis</w:t>
                              </w:r>
                            </w:p>
                            <w:p>
                              <w:pPr>
                                <w:spacing w:line="230" w:lineRule="auto" w:before="2"/>
                                <w:ind w:left="186" w:right="2805" w:firstLine="0"/>
                                <w:jc w:val="left"/>
                                <w:rPr>
                                  <w:color w:val="000000"/>
                                  <w:sz w:val="15"/>
                                </w:rPr>
                              </w:pPr>
                              <w:r>
                                <w:rPr>
                                  <w:color w:val="231F20"/>
                                  <w:sz w:val="15"/>
                                </w:rPr>
                                <w:t>Relapsing polychondritis Kohlmeier-Degos</w:t>
                              </w:r>
                              <w:r>
                                <w:rPr>
                                  <w:color w:val="231F20"/>
                                  <w:spacing w:val="34"/>
                                  <w:sz w:val="15"/>
                                </w:rPr>
                                <w:t> </w:t>
                              </w:r>
                              <w:r>
                                <w:rPr>
                                  <w:color w:val="231F20"/>
                                  <w:spacing w:val="-2"/>
                                  <w:sz w:val="15"/>
                                </w:rPr>
                                <w:t>disease</w:t>
                              </w:r>
                            </w:p>
                            <w:p>
                              <w:pPr>
                                <w:spacing w:line="230" w:lineRule="auto" w:before="1"/>
                                <w:ind w:left="74" w:right="2667" w:firstLine="0"/>
                                <w:jc w:val="left"/>
                                <w:rPr>
                                  <w:color w:val="000000"/>
                                  <w:sz w:val="15"/>
                                </w:rPr>
                              </w:pPr>
                              <w:r>
                                <w:rPr>
                                  <w:color w:val="231F20"/>
                                  <w:sz w:val="15"/>
                                </w:rPr>
                                <w:t>Takayasu arteritis </w:t>
                              </w:r>
                              <w:r>
                                <w:rPr>
                                  <w:color w:val="231F20"/>
                                  <w:spacing w:val="-4"/>
                                  <w:sz w:val="15"/>
                                </w:rPr>
                                <w:t>Hypersensitivity</w:t>
                              </w:r>
                              <w:r>
                                <w:rPr>
                                  <w:color w:val="231F20"/>
                                  <w:spacing w:val="21"/>
                                  <w:sz w:val="15"/>
                                </w:rPr>
                                <w:t> </w:t>
                              </w:r>
                              <w:r>
                                <w:rPr>
                                  <w:color w:val="231F20"/>
                                  <w:spacing w:val="-4"/>
                                  <w:sz w:val="15"/>
                                </w:rPr>
                                <w:t>vasculitides</w:t>
                              </w:r>
                            </w:p>
                            <w:p>
                              <w:pPr>
                                <w:spacing w:line="230" w:lineRule="auto" w:before="2"/>
                                <w:ind w:left="186" w:right="2727" w:firstLine="0"/>
                                <w:jc w:val="left"/>
                                <w:rPr>
                                  <w:color w:val="000000"/>
                                  <w:sz w:val="15"/>
                                </w:rPr>
                              </w:pPr>
                              <w:r>
                                <w:rPr>
                                  <w:color w:val="231F20"/>
                                  <w:sz w:val="15"/>
                                </w:rPr>
                                <w:t>Henoch-Schönlein</w:t>
                              </w:r>
                              <w:r>
                                <w:rPr>
                                  <w:color w:val="231F20"/>
                                  <w:spacing w:val="-12"/>
                                  <w:sz w:val="15"/>
                                </w:rPr>
                                <w:t> </w:t>
                              </w:r>
                              <w:r>
                                <w:rPr>
                                  <w:color w:val="231F20"/>
                                  <w:sz w:val="15"/>
                                </w:rPr>
                                <w:t>purpura Drug-induced vasculitides Chemical vasculitides</w:t>
                              </w:r>
                            </w:p>
                            <w:p>
                              <w:pPr>
                                <w:spacing w:line="230" w:lineRule="auto" w:before="2"/>
                                <w:ind w:left="74" w:right="2282" w:firstLine="111"/>
                                <w:jc w:val="left"/>
                                <w:rPr>
                                  <w:color w:val="000000"/>
                                  <w:sz w:val="15"/>
                                </w:rPr>
                              </w:pPr>
                              <w:r>
                                <w:rPr>
                                  <w:color w:val="231F20"/>
                                  <w:sz w:val="15"/>
                                </w:rPr>
                                <w:t>Essential</w:t>
                              </w:r>
                              <w:r>
                                <w:rPr>
                                  <w:color w:val="231F20"/>
                                  <w:spacing w:val="-12"/>
                                  <w:sz w:val="15"/>
                                </w:rPr>
                                <w:t> </w:t>
                              </w:r>
                              <w:r>
                                <w:rPr>
                                  <w:color w:val="231F20"/>
                                  <w:sz w:val="15"/>
                                </w:rPr>
                                <w:t>mixed</w:t>
                              </w:r>
                              <w:r>
                                <w:rPr>
                                  <w:color w:val="231F20"/>
                                  <w:spacing w:val="-11"/>
                                  <w:sz w:val="15"/>
                                </w:rPr>
                                <w:t> </w:t>
                              </w:r>
                              <w:r>
                                <w:rPr>
                                  <w:color w:val="231F20"/>
                                  <w:sz w:val="15"/>
                                </w:rPr>
                                <w:t>cryoglobulinemia </w:t>
                              </w:r>
                              <w:r>
                                <w:rPr>
                                  <w:color w:val="231F20"/>
                                  <w:spacing w:val="-2"/>
                                  <w:sz w:val="15"/>
                                </w:rPr>
                                <w:t>Miscellaneous</w:t>
                              </w:r>
                            </w:p>
                            <w:p>
                              <w:pPr>
                                <w:spacing w:line="230" w:lineRule="auto" w:before="1"/>
                                <w:ind w:left="186" w:right="1899" w:firstLine="0"/>
                                <w:jc w:val="left"/>
                                <w:rPr>
                                  <w:color w:val="000000"/>
                                  <w:sz w:val="15"/>
                                </w:rPr>
                              </w:pPr>
                              <w:r>
                                <w:rPr>
                                  <w:color w:val="231F20"/>
                                  <w:spacing w:val="-2"/>
                                  <w:sz w:val="15"/>
                                </w:rPr>
                                <w:t>Vasculitis</w:t>
                              </w:r>
                              <w:r>
                                <w:rPr>
                                  <w:color w:val="231F20"/>
                                  <w:spacing w:val="-5"/>
                                  <w:sz w:val="15"/>
                                </w:rPr>
                                <w:t> </w:t>
                              </w:r>
                              <w:r>
                                <w:rPr>
                                  <w:color w:val="231F20"/>
                                  <w:spacing w:val="-2"/>
                                  <w:sz w:val="15"/>
                                </w:rPr>
                                <w:t>associated</w:t>
                              </w:r>
                              <w:r>
                                <w:rPr>
                                  <w:color w:val="231F20"/>
                                  <w:spacing w:val="-5"/>
                                  <w:sz w:val="15"/>
                                </w:rPr>
                                <w:t> </w:t>
                              </w:r>
                              <w:r>
                                <w:rPr>
                                  <w:color w:val="231F20"/>
                                  <w:spacing w:val="-2"/>
                                  <w:sz w:val="15"/>
                                </w:rPr>
                                <w:t>with</w:t>
                              </w:r>
                              <w:r>
                                <w:rPr>
                                  <w:color w:val="231F20"/>
                                  <w:spacing w:val="-5"/>
                                  <w:sz w:val="15"/>
                                </w:rPr>
                                <w:t> </w:t>
                              </w:r>
                              <w:r>
                                <w:rPr>
                                  <w:color w:val="231F20"/>
                                  <w:spacing w:val="-2"/>
                                  <w:sz w:val="15"/>
                                </w:rPr>
                                <w:t>neoplasia </w:t>
                              </w:r>
                              <w:r>
                                <w:rPr>
                                  <w:color w:val="231F20"/>
                                  <w:sz w:val="15"/>
                                </w:rPr>
                                <w:t>Vasculitis</w:t>
                              </w:r>
                              <w:r>
                                <w:rPr>
                                  <w:color w:val="231F20"/>
                                  <w:spacing w:val="-12"/>
                                  <w:sz w:val="15"/>
                                </w:rPr>
                                <w:t> </w:t>
                              </w:r>
                              <w:r>
                                <w:rPr>
                                  <w:color w:val="231F20"/>
                                  <w:sz w:val="15"/>
                                </w:rPr>
                                <w:t>associated</w:t>
                              </w:r>
                              <w:r>
                                <w:rPr>
                                  <w:color w:val="231F20"/>
                                  <w:spacing w:val="-11"/>
                                  <w:sz w:val="15"/>
                                </w:rPr>
                                <w:t> </w:t>
                              </w:r>
                              <w:r>
                                <w:rPr>
                                  <w:color w:val="231F20"/>
                                  <w:sz w:val="15"/>
                                </w:rPr>
                                <w:t>with</w:t>
                              </w:r>
                              <w:r>
                                <w:rPr>
                                  <w:color w:val="231F20"/>
                                  <w:spacing w:val="-11"/>
                                  <w:sz w:val="15"/>
                                </w:rPr>
                                <w:t> </w:t>
                              </w:r>
                              <w:r>
                                <w:rPr>
                                  <w:color w:val="231F20"/>
                                  <w:sz w:val="15"/>
                                </w:rPr>
                                <w:t>radiation Cogan syndrome</w:t>
                              </w:r>
                            </w:p>
                            <w:p>
                              <w:pPr>
                                <w:spacing w:line="168" w:lineRule="exact" w:before="0"/>
                                <w:ind w:left="186" w:right="0" w:firstLine="0"/>
                                <w:jc w:val="left"/>
                                <w:rPr>
                                  <w:color w:val="000000"/>
                                  <w:sz w:val="15"/>
                                </w:rPr>
                              </w:pPr>
                              <w:r>
                                <w:rPr>
                                  <w:color w:val="231F20"/>
                                  <w:spacing w:val="-2"/>
                                  <w:sz w:val="15"/>
                                </w:rPr>
                                <w:t>Dermatomyositis-polymyositis</w:t>
                              </w:r>
                            </w:p>
                            <w:p>
                              <w:pPr>
                                <w:spacing w:line="230" w:lineRule="auto" w:before="3"/>
                                <w:ind w:left="186" w:right="1899" w:firstLine="0"/>
                                <w:jc w:val="left"/>
                                <w:rPr>
                                  <w:color w:val="000000"/>
                                  <w:sz w:val="15"/>
                                </w:rPr>
                              </w:pPr>
                              <w:r>
                                <w:rPr>
                                  <w:color w:val="231F20"/>
                                  <w:spacing w:val="-2"/>
                                  <w:sz w:val="15"/>
                                </w:rPr>
                                <w:t>X-linked lymphoproliferative </w:t>
                              </w:r>
                              <w:r>
                                <w:rPr>
                                  <w:color w:val="231F20"/>
                                  <w:spacing w:val="-2"/>
                                  <w:sz w:val="15"/>
                                </w:rPr>
                                <w:t>syndrom</w:t>
                              </w:r>
                              <w:r>
                                <w:rPr>
                                  <w:color w:val="231F20"/>
                                  <w:spacing w:val="-2"/>
                                  <w:sz w:val="15"/>
                                </w:rPr>
                                <w:t>e</w:t>
                              </w:r>
                              <w:r>
                                <w:rPr>
                                  <w:color w:val="231F20"/>
                                  <w:spacing w:val="-2"/>
                                  <w:sz w:val="15"/>
                                </w:rPr>
                                <w:t> </w:t>
                              </w:r>
                              <w:r>
                                <w:rPr>
                                  <w:color w:val="231F20"/>
                                  <w:sz w:val="15"/>
                                </w:rPr>
                                <w:t>Kawasaki disease</w:t>
                              </w:r>
                            </w:p>
                          </w:txbxContent>
                        </wps:txbx>
                        <wps:bodyPr wrap="square" lIns="0" tIns="0" rIns="0" bIns="0" rtlCol="0">
                          <a:noAutofit/>
                        </wps:bodyPr>
                      </wps:wsp>
                      <wps:wsp>
                        <wps:cNvPr id="755" name="Graphic 755"/>
                        <wps:cNvSpPr/>
                        <wps:spPr>
                          <a:xfrm>
                            <a:off x="0" y="4023748"/>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756" name="Textbox 756"/>
                        <wps:cNvSpPr txBox="1"/>
                        <wps:spPr>
                          <a:xfrm>
                            <a:off x="734665" y="0"/>
                            <a:ext cx="2251710" cy="237490"/>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Classification</w:t>
                              </w:r>
                              <w:r>
                                <w:rPr>
                                  <w:color w:val="FFFFFF"/>
                                  <w:spacing w:val="-3"/>
                                  <w:w w:val="105"/>
                                  <w:sz w:val="16"/>
                                </w:rPr>
                                <w:t> </w:t>
                              </w:r>
                              <w:r>
                                <w:rPr>
                                  <w:color w:val="FFFFFF"/>
                                  <w:w w:val="105"/>
                                  <w:sz w:val="16"/>
                                </w:rPr>
                                <w:t>of</w:t>
                              </w:r>
                              <w:r>
                                <w:rPr>
                                  <w:color w:val="FFFFFF"/>
                                  <w:spacing w:val="-3"/>
                                  <w:w w:val="105"/>
                                  <w:sz w:val="16"/>
                                </w:rPr>
                                <w:t> </w:t>
                              </w:r>
                              <w:r>
                                <w:rPr>
                                  <w:color w:val="FFFFFF"/>
                                  <w:w w:val="105"/>
                                  <w:sz w:val="16"/>
                                </w:rPr>
                                <w:t>Cerebral</w:t>
                              </w:r>
                              <w:r>
                                <w:rPr>
                                  <w:color w:val="FFFFFF"/>
                                  <w:spacing w:val="-3"/>
                                  <w:w w:val="105"/>
                                  <w:sz w:val="16"/>
                                </w:rPr>
                                <w:t> </w:t>
                              </w:r>
                              <w:r>
                                <w:rPr>
                                  <w:color w:val="FFFFFF"/>
                                  <w:spacing w:val="-2"/>
                                  <w:w w:val="105"/>
                                  <w:sz w:val="16"/>
                                </w:rPr>
                                <w:t>Vasculitis</w:t>
                              </w:r>
                            </w:p>
                          </w:txbxContent>
                        </wps:txbx>
                        <wps:bodyPr wrap="square" lIns="0" tIns="0" rIns="0" bIns="0" rtlCol="0">
                          <a:noAutofit/>
                        </wps:bodyPr>
                      </wps:wsp>
                      <wps:wsp>
                        <wps:cNvPr id="757" name="Textbox 757"/>
                        <wps:cNvSpPr txBox="1"/>
                        <wps:spPr>
                          <a:xfrm>
                            <a:off x="11" y="0"/>
                            <a:ext cx="723265" cy="23749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2</w:t>
                              </w:r>
                            </w:p>
                          </w:txbxContent>
                        </wps:txbx>
                        <wps:bodyPr wrap="square" lIns="0" tIns="0" rIns="0" bIns="0" rtlCol="0">
                          <a:noAutofit/>
                        </wps:bodyPr>
                      </wps:wsp>
                    </wpg:wgp>
                  </a:graphicData>
                </a:graphic>
              </wp:anchor>
            </w:drawing>
          </mc:Choice>
          <mc:Fallback>
            <w:pict>
              <v:group style="position:absolute;margin-left:39.272629pt;margin-top:18.10737pt;width:235.15pt;height:317.8pt;mso-position-horizontal-relative:page;mso-position-vertical-relative:paragraph;z-index:-15682560;mso-wrap-distance-left:0;mso-wrap-distance-right:0" id="docshapegroup630" coordorigin="785,362" coordsize="4703,6356">
                <v:shape style="position:absolute;left:785;top:735;width:4703;height:5973" type="#_x0000_t202" id="docshape631" filled="true" fillcolor="#e8f5f1" stroked="false">
                  <v:textbox inset="0,0,0,0">
                    <w:txbxContent>
                      <w:p>
                        <w:pPr>
                          <w:spacing w:line="230" w:lineRule="auto" w:before="53"/>
                          <w:ind w:left="186" w:right="2729" w:hanging="112"/>
                          <w:jc w:val="left"/>
                          <w:rPr>
                            <w:color w:val="000000"/>
                            <w:sz w:val="15"/>
                          </w:rPr>
                        </w:pPr>
                        <w:r>
                          <w:rPr>
                            <w:color w:val="231F20"/>
                            <w:sz w:val="15"/>
                          </w:rPr>
                          <w:t>Infectious vasculitis </w:t>
                        </w:r>
                        <w:r>
                          <w:rPr>
                            <w:color w:val="231F20"/>
                            <w:spacing w:val="-4"/>
                            <w:sz w:val="15"/>
                          </w:rPr>
                          <w:t>Bacterial,</w:t>
                        </w:r>
                        <w:r>
                          <w:rPr>
                            <w:color w:val="231F20"/>
                            <w:spacing w:val="-8"/>
                            <w:sz w:val="15"/>
                          </w:rPr>
                          <w:t> </w:t>
                        </w:r>
                        <w:r>
                          <w:rPr>
                            <w:color w:val="231F20"/>
                            <w:spacing w:val="-4"/>
                            <w:sz w:val="15"/>
                          </w:rPr>
                          <w:t>fungal,</w:t>
                        </w:r>
                        <w:r>
                          <w:rPr>
                            <w:color w:val="231F20"/>
                            <w:spacing w:val="-7"/>
                            <w:sz w:val="15"/>
                          </w:rPr>
                          <w:t> </w:t>
                        </w:r>
                        <w:r>
                          <w:rPr>
                            <w:color w:val="231F20"/>
                            <w:spacing w:val="-4"/>
                            <w:sz w:val="15"/>
                          </w:rPr>
                          <w:t>parasitic</w:t>
                        </w:r>
                      </w:p>
                      <w:p>
                        <w:pPr>
                          <w:spacing w:line="167" w:lineRule="exact" w:before="0"/>
                          <w:ind w:left="186" w:right="0" w:firstLine="0"/>
                          <w:jc w:val="left"/>
                          <w:rPr>
                            <w:color w:val="000000"/>
                            <w:sz w:val="15"/>
                          </w:rPr>
                        </w:pPr>
                        <w:r>
                          <w:rPr>
                            <w:color w:val="231F20"/>
                            <w:spacing w:val="-2"/>
                            <w:sz w:val="15"/>
                          </w:rPr>
                          <w:t>Spirochetal (syphilis, Lyme disease, leptospirosis)</w:t>
                        </w:r>
                      </w:p>
                      <w:p>
                        <w:pPr>
                          <w:spacing w:line="230" w:lineRule="auto" w:before="2"/>
                          <w:ind w:left="298" w:right="0" w:hanging="112"/>
                          <w:jc w:val="left"/>
                          <w:rPr>
                            <w:color w:val="000000"/>
                            <w:sz w:val="15"/>
                          </w:rPr>
                        </w:pPr>
                        <w:r>
                          <w:rPr>
                            <w:color w:val="231F20"/>
                            <w:spacing w:val="-4"/>
                            <w:sz w:val="15"/>
                          </w:rPr>
                          <w:t>Viral, rickettsial, mycobacterial, free-living amebae, </w:t>
                        </w:r>
                        <w:r>
                          <w:rPr>
                            <w:color w:val="231F20"/>
                            <w:spacing w:val="-4"/>
                            <w:sz w:val="15"/>
                          </w:rPr>
                          <w:t>cysticercosis, </w:t>
                        </w:r>
                        <w:r>
                          <w:rPr>
                            <w:color w:val="231F20"/>
                            <w:sz w:val="15"/>
                          </w:rPr>
                          <w:t>other helminths</w:t>
                        </w:r>
                      </w:p>
                      <w:p>
                        <w:pPr>
                          <w:spacing w:line="230" w:lineRule="auto" w:before="2"/>
                          <w:ind w:left="186" w:right="2687" w:hanging="112"/>
                          <w:jc w:val="left"/>
                          <w:rPr>
                            <w:color w:val="000000"/>
                            <w:sz w:val="15"/>
                          </w:rPr>
                        </w:pPr>
                        <w:r>
                          <w:rPr>
                            <w:color w:val="231F20"/>
                            <w:sz w:val="15"/>
                          </w:rPr>
                          <w:t>Necrotizing vasculitides Classic</w:t>
                        </w:r>
                        <w:r>
                          <w:rPr>
                            <w:color w:val="231F20"/>
                            <w:spacing w:val="-12"/>
                            <w:sz w:val="15"/>
                          </w:rPr>
                          <w:t> </w:t>
                        </w:r>
                        <w:r>
                          <w:rPr>
                            <w:color w:val="231F20"/>
                            <w:sz w:val="15"/>
                          </w:rPr>
                          <w:t>polyarteritis</w:t>
                        </w:r>
                        <w:r>
                          <w:rPr>
                            <w:color w:val="231F20"/>
                            <w:spacing w:val="-11"/>
                            <w:sz w:val="15"/>
                          </w:rPr>
                          <w:t> </w:t>
                        </w:r>
                        <w:r>
                          <w:rPr>
                            <w:color w:val="231F20"/>
                            <w:sz w:val="15"/>
                          </w:rPr>
                          <w:t>nodosa Wegener granulomatosis</w:t>
                        </w:r>
                      </w:p>
                      <w:p>
                        <w:pPr>
                          <w:spacing w:line="230" w:lineRule="auto" w:before="2"/>
                          <w:ind w:left="186" w:right="258" w:firstLine="0"/>
                          <w:jc w:val="left"/>
                          <w:rPr>
                            <w:color w:val="000000"/>
                            <w:sz w:val="15"/>
                          </w:rPr>
                        </w:pPr>
                        <w:r>
                          <w:rPr>
                            <w:color w:val="231F20"/>
                            <w:sz w:val="15"/>
                          </w:rPr>
                          <w:t>Allergic</w:t>
                        </w:r>
                        <w:r>
                          <w:rPr>
                            <w:color w:val="231F20"/>
                            <w:spacing w:val="-8"/>
                            <w:sz w:val="15"/>
                          </w:rPr>
                          <w:t> </w:t>
                        </w:r>
                        <w:r>
                          <w:rPr>
                            <w:color w:val="231F20"/>
                            <w:sz w:val="15"/>
                          </w:rPr>
                          <w:t>angiitis</w:t>
                        </w:r>
                        <w:r>
                          <w:rPr>
                            <w:color w:val="231F20"/>
                            <w:spacing w:val="-8"/>
                            <w:sz w:val="15"/>
                          </w:rPr>
                          <w:t> </w:t>
                        </w:r>
                        <w:r>
                          <w:rPr>
                            <w:color w:val="231F20"/>
                            <w:sz w:val="15"/>
                          </w:rPr>
                          <w:t>and</w:t>
                        </w:r>
                        <w:r>
                          <w:rPr>
                            <w:color w:val="231F20"/>
                            <w:spacing w:val="-8"/>
                            <w:sz w:val="15"/>
                          </w:rPr>
                          <w:t> </w:t>
                        </w:r>
                        <w:r>
                          <w:rPr>
                            <w:color w:val="231F20"/>
                            <w:sz w:val="15"/>
                          </w:rPr>
                          <w:t>granulomatosis</w:t>
                        </w:r>
                        <w:r>
                          <w:rPr>
                            <w:color w:val="231F20"/>
                            <w:spacing w:val="-8"/>
                            <w:sz w:val="15"/>
                          </w:rPr>
                          <w:t> </w:t>
                        </w:r>
                        <w:r>
                          <w:rPr>
                            <w:color w:val="231F20"/>
                            <w:sz w:val="15"/>
                          </w:rPr>
                          <w:t>(Churg-Strauss</w:t>
                        </w:r>
                        <w:r>
                          <w:rPr>
                            <w:color w:val="231F20"/>
                            <w:spacing w:val="-8"/>
                            <w:sz w:val="15"/>
                          </w:rPr>
                          <w:t> </w:t>
                        </w:r>
                        <w:r>
                          <w:rPr>
                            <w:color w:val="231F20"/>
                            <w:sz w:val="15"/>
                          </w:rPr>
                          <w:t>syndrome) Necrotizing systemic vasculitis overlap syndrome Lymphomatoid granulomatosis</w:t>
                        </w:r>
                      </w:p>
                      <w:p>
                        <w:pPr>
                          <w:spacing w:line="230" w:lineRule="auto" w:before="2"/>
                          <w:ind w:left="186" w:right="1221" w:hanging="112"/>
                          <w:jc w:val="left"/>
                          <w:rPr>
                            <w:color w:val="000000"/>
                            <w:sz w:val="15"/>
                          </w:rPr>
                        </w:pPr>
                        <w:r>
                          <w:rPr>
                            <w:color w:val="231F20"/>
                            <w:spacing w:val="-2"/>
                            <w:sz w:val="15"/>
                          </w:rPr>
                          <w:t>Vasculitis associated with collagen vascular </w:t>
                        </w:r>
                        <w:r>
                          <w:rPr>
                            <w:color w:val="231F20"/>
                            <w:spacing w:val="-2"/>
                            <w:sz w:val="15"/>
                          </w:rPr>
                          <w:t>disease </w:t>
                        </w:r>
                        <w:r>
                          <w:rPr>
                            <w:color w:val="231F20"/>
                            <w:sz w:val="15"/>
                          </w:rPr>
                          <w:t>Systemic lupus erythematosus</w:t>
                        </w:r>
                      </w:p>
                      <w:p>
                        <w:pPr>
                          <w:spacing w:line="230" w:lineRule="auto" w:before="1"/>
                          <w:ind w:left="186" w:right="3175" w:firstLine="0"/>
                          <w:jc w:val="left"/>
                          <w:rPr>
                            <w:color w:val="000000"/>
                            <w:sz w:val="15"/>
                          </w:rPr>
                        </w:pPr>
                        <w:r>
                          <w:rPr>
                            <w:color w:val="231F20"/>
                            <w:spacing w:val="-4"/>
                            <w:sz w:val="15"/>
                          </w:rPr>
                          <w:t>Rheumatoid </w:t>
                        </w:r>
                        <w:r>
                          <w:rPr>
                            <w:color w:val="231F20"/>
                            <w:spacing w:val="-4"/>
                            <w:sz w:val="15"/>
                          </w:rPr>
                          <w:t>arthritis </w:t>
                        </w:r>
                        <w:r>
                          <w:rPr>
                            <w:color w:val="231F20"/>
                            <w:spacing w:val="-2"/>
                            <w:sz w:val="15"/>
                          </w:rPr>
                          <w:t>Scleroderma</w:t>
                        </w:r>
                        <w:r>
                          <w:rPr>
                            <w:color w:val="231F20"/>
                            <w:spacing w:val="40"/>
                            <w:sz w:val="15"/>
                          </w:rPr>
                          <w:t> </w:t>
                        </w:r>
                        <w:r>
                          <w:rPr>
                            <w:color w:val="231F20"/>
                            <w:sz w:val="15"/>
                          </w:rPr>
                          <w:t>Sjögren syndrome</w:t>
                        </w:r>
                      </w:p>
                      <w:p>
                        <w:pPr>
                          <w:spacing w:line="230" w:lineRule="auto" w:before="3"/>
                          <w:ind w:left="186" w:right="1221" w:hanging="112"/>
                          <w:jc w:val="left"/>
                          <w:rPr>
                            <w:color w:val="000000"/>
                            <w:sz w:val="15"/>
                          </w:rPr>
                        </w:pPr>
                        <w:r>
                          <w:rPr>
                            <w:color w:val="231F20"/>
                            <w:spacing w:val="-2"/>
                            <w:sz w:val="15"/>
                          </w:rPr>
                          <w:t>Vasculitis associated with other systemic </w:t>
                        </w:r>
                        <w:r>
                          <w:rPr>
                            <w:color w:val="231F20"/>
                            <w:spacing w:val="-2"/>
                            <w:sz w:val="15"/>
                          </w:rPr>
                          <w:t>diseases </w:t>
                        </w:r>
                        <w:r>
                          <w:rPr>
                            <w:color w:val="231F20"/>
                            <w:sz w:val="15"/>
                          </w:rPr>
                          <w:t>Behçet disease</w:t>
                        </w:r>
                      </w:p>
                      <w:p>
                        <w:pPr>
                          <w:spacing w:line="230" w:lineRule="auto" w:before="1"/>
                          <w:ind w:left="186" w:right="2993" w:firstLine="0"/>
                          <w:jc w:val="left"/>
                          <w:rPr>
                            <w:color w:val="000000"/>
                            <w:sz w:val="15"/>
                          </w:rPr>
                        </w:pPr>
                        <w:r>
                          <w:rPr>
                            <w:color w:val="231F20"/>
                            <w:spacing w:val="-4"/>
                            <w:sz w:val="15"/>
                          </w:rPr>
                          <w:t>Ulcerative</w:t>
                        </w:r>
                        <w:r>
                          <w:rPr>
                            <w:color w:val="231F20"/>
                            <w:spacing w:val="-8"/>
                            <w:sz w:val="15"/>
                          </w:rPr>
                          <w:t> </w:t>
                        </w:r>
                        <w:r>
                          <w:rPr>
                            <w:color w:val="231F20"/>
                            <w:spacing w:val="-4"/>
                            <w:sz w:val="15"/>
                          </w:rPr>
                          <w:t>colitis </w:t>
                        </w:r>
                        <w:r>
                          <w:rPr>
                            <w:color w:val="231F20"/>
                            <w:spacing w:val="-2"/>
                            <w:sz w:val="15"/>
                          </w:rPr>
                          <w:t>Sarcoidosis</w:t>
                        </w:r>
                      </w:p>
                      <w:p>
                        <w:pPr>
                          <w:spacing w:line="230" w:lineRule="auto" w:before="2"/>
                          <w:ind w:left="186" w:right="2805" w:firstLine="0"/>
                          <w:jc w:val="left"/>
                          <w:rPr>
                            <w:color w:val="000000"/>
                            <w:sz w:val="15"/>
                          </w:rPr>
                        </w:pPr>
                        <w:r>
                          <w:rPr>
                            <w:color w:val="231F20"/>
                            <w:sz w:val="15"/>
                          </w:rPr>
                          <w:t>Relapsing polychondritis Kohlmeier-Degos</w:t>
                        </w:r>
                        <w:r>
                          <w:rPr>
                            <w:color w:val="231F20"/>
                            <w:spacing w:val="34"/>
                            <w:sz w:val="15"/>
                          </w:rPr>
                          <w:t> </w:t>
                        </w:r>
                        <w:r>
                          <w:rPr>
                            <w:color w:val="231F20"/>
                            <w:spacing w:val="-2"/>
                            <w:sz w:val="15"/>
                          </w:rPr>
                          <w:t>disease</w:t>
                        </w:r>
                      </w:p>
                      <w:p>
                        <w:pPr>
                          <w:spacing w:line="230" w:lineRule="auto" w:before="1"/>
                          <w:ind w:left="74" w:right="2667" w:firstLine="0"/>
                          <w:jc w:val="left"/>
                          <w:rPr>
                            <w:color w:val="000000"/>
                            <w:sz w:val="15"/>
                          </w:rPr>
                        </w:pPr>
                        <w:r>
                          <w:rPr>
                            <w:color w:val="231F20"/>
                            <w:sz w:val="15"/>
                          </w:rPr>
                          <w:t>Takayasu arteritis </w:t>
                        </w:r>
                        <w:r>
                          <w:rPr>
                            <w:color w:val="231F20"/>
                            <w:spacing w:val="-4"/>
                            <w:sz w:val="15"/>
                          </w:rPr>
                          <w:t>Hypersensitivity</w:t>
                        </w:r>
                        <w:r>
                          <w:rPr>
                            <w:color w:val="231F20"/>
                            <w:spacing w:val="21"/>
                            <w:sz w:val="15"/>
                          </w:rPr>
                          <w:t> </w:t>
                        </w:r>
                        <w:r>
                          <w:rPr>
                            <w:color w:val="231F20"/>
                            <w:spacing w:val="-4"/>
                            <w:sz w:val="15"/>
                          </w:rPr>
                          <w:t>vasculitides</w:t>
                        </w:r>
                      </w:p>
                      <w:p>
                        <w:pPr>
                          <w:spacing w:line="230" w:lineRule="auto" w:before="2"/>
                          <w:ind w:left="186" w:right="2727" w:firstLine="0"/>
                          <w:jc w:val="left"/>
                          <w:rPr>
                            <w:color w:val="000000"/>
                            <w:sz w:val="15"/>
                          </w:rPr>
                        </w:pPr>
                        <w:r>
                          <w:rPr>
                            <w:color w:val="231F20"/>
                            <w:sz w:val="15"/>
                          </w:rPr>
                          <w:t>Henoch-Schönlein</w:t>
                        </w:r>
                        <w:r>
                          <w:rPr>
                            <w:color w:val="231F20"/>
                            <w:spacing w:val="-12"/>
                            <w:sz w:val="15"/>
                          </w:rPr>
                          <w:t> </w:t>
                        </w:r>
                        <w:r>
                          <w:rPr>
                            <w:color w:val="231F20"/>
                            <w:sz w:val="15"/>
                          </w:rPr>
                          <w:t>purpura Drug-induced vasculitides Chemical vasculitides</w:t>
                        </w:r>
                      </w:p>
                      <w:p>
                        <w:pPr>
                          <w:spacing w:line="230" w:lineRule="auto" w:before="2"/>
                          <w:ind w:left="74" w:right="2282" w:firstLine="111"/>
                          <w:jc w:val="left"/>
                          <w:rPr>
                            <w:color w:val="000000"/>
                            <w:sz w:val="15"/>
                          </w:rPr>
                        </w:pPr>
                        <w:r>
                          <w:rPr>
                            <w:color w:val="231F20"/>
                            <w:sz w:val="15"/>
                          </w:rPr>
                          <w:t>Essential</w:t>
                        </w:r>
                        <w:r>
                          <w:rPr>
                            <w:color w:val="231F20"/>
                            <w:spacing w:val="-12"/>
                            <w:sz w:val="15"/>
                          </w:rPr>
                          <w:t> </w:t>
                        </w:r>
                        <w:r>
                          <w:rPr>
                            <w:color w:val="231F20"/>
                            <w:sz w:val="15"/>
                          </w:rPr>
                          <w:t>mixed</w:t>
                        </w:r>
                        <w:r>
                          <w:rPr>
                            <w:color w:val="231F20"/>
                            <w:spacing w:val="-11"/>
                            <w:sz w:val="15"/>
                          </w:rPr>
                          <w:t> </w:t>
                        </w:r>
                        <w:r>
                          <w:rPr>
                            <w:color w:val="231F20"/>
                            <w:sz w:val="15"/>
                          </w:rPr>
                          <w:t>cryoglobulinemia </w:t>
                        </w:r>
                        <w:r>
                          <w:rPr>
                            <w:color w:val="231F20"/>
                            <w:spacing w:val="-2"/>
                            <w:sz w:val="15"/>
                          </w:rPr>
                          <w:t>Miscellaneous</w:t>
                        </w:r>
                      </w:p>
                      <w:p>
                        <w:pPr>
                          <w:spacing w:line="230" w:lineRule="auto" w:before="1"/>
                          <w:ind w:left="186" w:right="1899" w:firstLine="0"/>
                          <w:jc w:val="left"/>
                          <w:rPr>
                            <w:color w:val="000000"/>
                            <w:sz w:val="15"/>
                          </w:rPr>
                        </w:pPr>
                        <w:r>
                          <w:rPr>
                            <w:color w:val="231F20"/>
                            <w:spacing w:val="-2"/>
                            <w:sz w:val="15"/>
                          </w:rPr>
                          <w:t>Vasculitis</w:t>
                        </w:r>
                        <w:r>
                          <w:rPr>
                            <w:color w:val="231F20"/>
                            <w:spacing w:val="-5"/>
                            <w:sz w:val="15"/>
                          </w:rPr>
                          <w:t> </w:t>
                        </w:r>
                        <w:r>
                          <w:rPr>
                            <w:color w:val="231F20"/>
                            <w:spacing w:val="-2"/>
                            <w:sz w:val="15"/>
                          </w:rPr>
                          <w:t>associated</w:t>
                        </w:r>
                        <w:r>
                          <w:rPr>
                            <w:color w:val="231F20"/>
                            <w:spacing w:val="-5"/>
                            <w:sz w:val="15"/>
                          </w:rPr>
                          <w:t> </w:t>
                        </w:r>
                        <w:r>
                          <w:rPr>
                            <w:color w:val="231F20"/>
                            <w:spacing w:val="-2"/>
                            <w:sz w:val="15"/>
                          </w:rPr>
                          <w:t>with</w:t>
                        </w:r>
                        <w:r>
                          <w:rPr>
                            <w:color w:val="231F20"/>
                            <w:spacing w:val="-5"/>
                            <w:sz w:val="15"/>
                          </w:rPr>
                          <w:t> </w:t>
                        </w:r>
                        <w:r>
                          <w:rPr>
                            <w:color w:val="231F20"/>
                            <w:spacing w:val="-2"/>
                            <w:sz w:val="15"/>
                          </w:rPr>
                          <w:t>neoplasia </w:t>
                        </w:r>
                        <w:r>
                          <w:rPr>
                            <w:color w:val="231F20"/>
                            <w:sz w:val="15"/>
                          </w:rPr>
                          <w:t>Vasculitis</w:t>
                        </w:r>
                        <w:r>
                          <w:rPr>
                            <w:color w:val="231F20"/>
                            <w:spacing w:val="-12"/>
                            <w:sz w:val="15"/>
                          </w:rPr>
                          <w:t> </w:t>
                        </w:r>
                        <w:r>
                          <w:rPr>
                            <w:color w:val="231F20"/>
                            <w:sz w:val="15"/>
                          </w:rPr>
                          <w:t>associated</w:t>
                        </w:r>
                        <w:r>
                          <w:rPr>
                            <w:color w:val="231F20"/>
                            <w:spacing w:val="-11"/>
                            <w:sz w:val="15"/>
                          </w:rPr>
                          <w:t> </w:t>
                        </w:r>
                        <w:r>
                          <w:rPr>
                            <w:color w:val="231F20"/>
                            <w:sz w:val="15"/>
                          </w:rPr>
                          <w:t>with</w:t>
                        </w:r>
                        <w:r>
                          <w:rPr>
                            <w:color w:val="231F20"/>
                            <w:spacing w:val="-11"/>
                            <w:sz w:val="15"/>
                          </w:rPr>
                          <w:t> </w:t>
                        </w:r>
                        <w:r>
                          <w:rPr>
                            <w:color w:val="231F20"/>
                            <w:sz w:val="15"/>
                          </w:rPr>
                          <w:t>radiation Cogan syndrome</w:t>
                        </w:r>
                      </w:p>
                      <w:p>
                        <w:pPr>
                          <w:spacing w:line="168" w:lineRule="exact" w:before="0"/>
                          <w:ind w:left="186" w:right="0" w:firstLine="0"/>
                          <w:jc w:val="left"/>
                          <w:rPr>
                            <w:color w:val="000000"/>
                            <w:sz w:val="15"/>
                          </w:rPr>
                        </w:pPr>
                        <w:r>
                          <w:rPr>
                            <w:color w:val="231F20"/>
                            <w:spacing w:val="-2"/>
                            <w:sz w:val="15"/>
                          </w:rPr>
                          <w:t>Dermatomyositis-polymyositis</w:t>
                        </w:r>
                      </w:p>
                      <w:p>
                        <w:pPr>
                          <w:spacing w:line="230" w:lineRule="auto" w:before="3"/>
                          <w:ind w:left="186" w:right="1899" w:firstLine="0"/>
                          <w:jc w:val="left"/>
                          <w:rPr>
                            <w:color w:val="000000"/>
                            <w:sz w:val="15"/>
                          </w:rPr>
                        </w:pPr>
                        <w:r>
                          <w:rPr>
                            <w:color w:val="231F20"/>
                            <w:spacing w:val="-2"/>
                            <w:sz w:val="15"/>
                          </w:rPr>
                          <w:t>X-linked lymphoproliferative </w:t>
                        </w:r>
                        <w:r>
                          <w:rPr>
                            <w:color w:val="231F20"/>
                            <w:spacing w:val="-2"/>
                            <w:sz w:val="15"/>
                          </w:rPr>
                          <w:t>syndrom</w:t>
                        </w:r>
                        <w:r>
                          <w:rPr>
                            <w:color w:val="231F20"/>
                            <w:spacing w:val="-2"/>
                            <w:sz w:val="15"/>
                          </w:rPr>
                          <w:t>e</w:t>
                        </w:r>
                        <w:r>
                          <w:rPr>
                            <w:color w:val="231F20"/>
                            <w:spacing w:val="-2"/>
                            <w:sz w:val="15"/>
                          </w:rPr>
                          <w:t> </w:t>
                        </w:r>
                        <w:r>
                          <w:rPr>
                            <w:color w:val="231F20"/>
                            <w:sz w:val="15"/>
                          </w:rPr>
                          <w:t>Kawasaki disease</w:t>
                        </w:r>
                      </w:p>
                    </w:txbxContent>
                  </v:textbox>
                  <v:fill type="solid"/>
                  <w10:wrap type="none"/>
                </v:shape>
                <v:rect style="position:absolute;left:785;top:6698;width:4703;height:19" id="docshape632" filled="true" fillcolor="#231f20" stroked="false">
                  <v:fill type="solid"/>
                </v:rect>
                <v:shape style="position:absolute;left:1942;top:362;width:3546;height:374" type="#_x0000_t202" id="docshape633" filled="true" fillcolor="#231f20" stroked="false">
                  <v:textbox inset="0,0,0,0">
                    <w:txbxContent>
                      <w:p>
                        <w:pPr>
                          <w:spacing w:before="89"/>
                          <w:ind w:left="74" w:right="0" w:firstLine="0"/>
                          <w:jc w:val="left"/>
                          <w:rPr>
                            <w:color w:val="000000"/>
                            <w:sz w:val="16"/>
                          </w:rPr>
                        </w:pPr>
                        <w:r>
                          <w:rPr>
                            <w:color w:val="FFFFFF"/>
                            <w:w w:val="105"/>
                            <w:sz w:val="16"/>
                          </w:rPr>
                          <w:t>Classification</w:t>
                        </w:r>
                        <w:r>
                          <w:rPr>
                            <w:color w:val="FFFFFF"/>
                            <w:spacing w:val="-3"/>
                            <w:w w:val="105"/>
                            <w:sz w:val="16"/>
                          </w:rPr>
                          <w:t> </w:t>
                        </w:r>
                        <w:r>
                          <w:rPr>
                            <w:color w:val="FFFFFF"/>
                            <w:w w:val="105"/>
                            <w:sz w:val="16"/>
                          </w:rPr>
                          <w:t>of</w:t>
                        </w:r>
                        <w:r>
                          <w:rPr>
                            <w:color w:val="FFFFFF"/>
                            <w:spacing w:val="-3"/>
                            <w:w w:val="105"/>
                            <w:sz w:val="16"/>
                          </w:rPr>
                          <w:t> </w:t>
                        </w:r>
                        <w:r>
                          <w:rPr>
                            <w:color w:val="FFFFFF"/>
                            <w:w w:val="105"/>
                            <w:sz w:val="16"/>
                          </w:rPr>
                          <w:t>Cerebral</w:t>
                        </w:r>
                        <w:r>
                          <w:rPr>
                            <w:color w:val="FFFFFF"/>
                            <w:spacing w:val="-3"/>
                            <w:w w:val="105"/>
                            <w:sz w:val="16"/>
                          </w:rPr>
                          <w:t> </w:t>
                        </w:r>
                        <w:r>
                          <w:rPr>
                            <w:color w:val="FFFFFF"/>
                            <w:spacing w:val="-2"/>
                            <w:w w:val="105"/>
                            <w:sz w:val="16"/>
                          </w:rPr>
                          <w:t>Vasculitis</w:t>
                        </w:r>
                      </w:p>
                    </w:txbxContent>
                  </v:textbox>
                  <v:fill type="solid"/>
                  <w10:wrap type="none"/>
                </v:shape>
                <v:shape style="position:absolute;left:785;top:362;width:1139;height:374" type="#_x0000_t202" id="docshape634"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2</w:t>
                        </w:r>
                      </w:p>
                    </w:txbxContent>
                  </v:textbox>
                  <v:fill type="solid"/>
                  <w10:wrap type="none"/>
                </v:shape>
                <w10:wrap type="topAndBottom"/>
              </v:group>
            </w:pict>
          </mc:Fallback>
        </mc:AlternateContent>
      </w:r>
      <w:r>
        <w:rPr>
          <w:i/>
          <w:sz w:val="19"/>
        </w:rPr>
        <mc:AlternateContent>
          <mc:Choice Requires="wps">
            <w:drawing>
              <wp:anchor distT="0" distB="0" distL="0" distR="0" allowOverlap="1" layoutInCell="1" locked="0" behindDoc="1" simplePos="0" relativeHeight="487587840">
                <wp:simplePos x="0" y="0"/>
                <wp:positionH relativeFrom="page">
                  <wp:posOffset>3859203</wp:posOffset>
                </wp:positionH>
                <wp:positionV relativeFrom="paragraph">
                  <wp:posOffset>157523</wp:posOffset>
                </wp:positionV>
                <wp:extent cx="2986405" cy="3810635"/>
                <wp:effectExtent l="0" t="0" r="0" b="0"/>
                <wp:wrapTopAndBottom/>
                <wp:docPr id="758" name="Textbox 758"/>
                <wp:cNvGraphicFramePr>
                  <a:graphicFrameLocks/>
                </wp:cNvGraphicFramePr>
                <a:graphic>
                  <a:graphicData uri="http://schemas.microsoft.com/office/word/2010/wordprocessingShape">
                    <wps:wsp>
                      <wps:cNvPr id="758" name="Textbox 758"/>
                      <wps:cNvSpPr txBox="1"/>
                      <wps:spPr>
                        <a:xfrm>
                          <a:off x="0" y="0"/>
                          <a:ext cx="2986405" cy="381063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Potential</w:t>
                                  </w:r>
                                  <w:r>
                                    <w:rPr>
                                      <w:color w:val="FFFFFF"/>
                                      <w:spacing w:val="-3"/>
                                      <w:w w:val="105"/>
                                      <w:sz w:val="16"/>
                                    </w:rPr>
                                    <w:t> </w:t>
                                  </w:r>
                                  <w:r>
                                    <w:rPr>
                                      <w:color w:val="FFFFFF"/>
                                      <w:w w:val="105"/>
                                      <w:sz w:val="16"/>
                                    </w:rPr>
                                    <w:t>Risk</w:t>
                                  </w:r>
                                  <w:r>
                                    <w:rPr>
                                      <w:color w:val="FFFFFF"/>
                                      <w:spacing w:val="-3"/>
                                      <w:w w:val="105"/>
                                      <w:sz w:val="16"/>
                                    </w:rPr>
                                    <w:t> </w:t>
                                  </w:r>
                                  <w:r>
                                    <w:rPr>
                                      <w:color w:val="FFFFFF"/>
                                      <w:w w:val="105"/>
                                      <w:sz w:val="16"/>
                                    </w:rPr>
                                    <w:t>Factors</w:t>
                                  </w:r>
                                  <w:r>
                                    <w:rPr>
                                      <w:color w:val="FFFFFF"/>
                                      <w:spacing w:val="-3"/>
                                      <w:w w:val="105"/>
                                      <w:sz w:val="16"/>
                                    </w:rPr>
                                    <w:t> </w:t>
                                  </w:r>
                                  <w:r>
                                    <w:rPr>
                                      <w:color w:val="FFFFFF"/>
                                      <w:w w:val="105"/>
                                      <w:sz w:val="16"/>
                                    </w:rPr>
                                    <w:t>for</w:t>
                                  </w:r>
                                  <w:r>
                                    <w:rPr>
                                      <w:color w:val="FFFFFF"/>
                                      <w:spacing w:val="-3"/>
                                      <w:w w:val="105"/>
                                      <w:sz w:val="16"/>
                                    </w:rPr>
                                    <w:t> </w:t>
                                  </w:r>
                                  <w:r>
                                    <w:rPr>
                                      <w:color w:val="FFFFFF"/>
                                      <w:w w:val="105"/>
                                      <w:sz w:val="16"/>
                                    </w:rPr>
                                    <w:t>Hemorrhagic Stroke in Children</w:t>
                                  </w:r>
                                </w:p>
                              </w:tc>
                            </w:tr>
                            <w:tr>
                              <w:trPr>
                                <w:trHeight w:val="425" w:hRule="atLeast"/>
                              </w:trPr>
                              <w:tc>
                                <w:tcPr>
                                  <w:tcW w:w="1148" w:type="dxa"/>
                                  <w:tcBorders>
                                    <w:bottom w:val="single" w:sz="4" w:space="0" w:color="231F20"/>
                                  </w:tcBorders>
                                  <w:shd w:val="clear" w:color="auto" w:fill="E8F5F1"/>
                                </w:tcPr>
                                <w:p>
                                  <w:pPr>
                                    <w:pStyle w:val="TableParagraph"/>
                                    <w:spacing w:line="230" w:lineRule="auto" w:before="53"/>
                                    <w:ind w:left="74"/>
                                    <w:rPr>
                                      <w:b/>
                                      <w:sz w:val="15"/>
                                    </w:rPr>
                                  </w:pPr>
                                  <w:r>
                                    <w:rPr>
                                      <w:b/>
                                      <w:color w:val="231F20"/>
                                      <w:spacing w:val="-2"/>
                                      <w:w w:val="110"/>
                                      <w:sz w:val="15"/>
                                    </w:rPr>
                                    <w:t>MAJOR CATEGORIES</w:t>
                                  </w:r>
                                </w:p>
                              </w:tc>
                              <w:tc>
                                <w:tcPr>
                                  <w:tcW w:w="3555" w:type="dxa"/>
                                  <w:tcBorders>
                                    <w:bottom w:val="single" w:sz="4" w:space="0" w:color="231F20"/>
                                  </w:tcBorders>
                                  <w:shd w:val="clear" w:color="auto" w:fill="E8F5F1"/>
                                </w:tcPr>
                                <w:p>
                                  <w:pPr>
                                    <w:pStyle w:val="TableParagraph"/>
                                    <w:spacing w:before="41"/>
                                    <w:rPr>
                                      <w:i/>
                                      <w:sz w:val="15"/>
                                    </w:rPr>
                                  </w:pPr>
                                </w:p>
                                <w:p>
                                  <w:pPr>
                                    <w:pStyle w:val="TableParagraph"/>
                                    <w:ind w:left="217"/>
                                    <w:jc w:val="center"/>
                                    <w:rPr>
                                      <w:b/>
                                      <w:sz w:val="15"/>
                                    </w:rPr>
                                  </w:pPr>
                                  <w:r>
                                    <w:rPr>
                                      <w:b/>
                                      <w:color w:val="231F20"/>
                                      <w:spacing w:val="-2"/>
                                      <w:w w:val="110"/>
                                      <w:sz w:val="15"/>
                                    </w:rPr>
                                    <w:t>EXAMPLES</w:t>
                                  </w:r>
                                </w:p>
                              </w:tc>
                            </w:tr>
                            <w:tr>
                              <w:trPr>
                                <w:trHeight w:val="2104" w:hRule="atLeast"/>
                              </w:trPr>
                              <w:tc>
                                <w:tcPr>
                                  <w:tcW w:w="1148" w:type="dxa"/>
                                  <w:tcBorders>
                                    <w:top w:val="single" w:sz="4" w:space="0" w:color="231F20"/>
                                    <w:bottom w:val="single" w:sz="4" w:space="0" w:color="FFFFFF"/>
                                  </w:tcBorders>
                                  <w:shd w:val="clear" w:color="auto" w:fill="E8F5F1"/>
                                </w:tcPr>
                                <w:p>
                                  <w:pPr>
                                    <w:pStyle w:val="TableParagraph"/>
                                    <w:spacing w:line="230" w:lineRule="auto" w:before="52"/>
                                    <w:ind w:left="186" w:right="71" w:hanging="112"/>
                                    <w:rPr>
                                      <w:sz w:val="15"/>
                                    </w:rPr>
                                  </w:pPr>
                                  <w:r>
                                    <w:rPr>
                                      <w:color w:val="231F20"/>
                                      <w:spacing w:val="-2"/>
                                      <w:sz w:val="15"/>
                                    </w:rPr>
                                    <w:t>Vascular disorder</w:t>
                                  </w:r>
                                </w:p>
                              </w:tc>
                              <w:tc>
                                <w:tcPr>
                                  <w:tcW w:w="3555" w:type="dxa"/>
                                  <w:tcBorders>
                                    <w:top w:val="single" w:sz="4" w:space="0" w:color="231F20"/>
                                    <w:bottom w:val="single" w:sz="4" w:space="0" w:color="FFFFFF"/>
                                  </w:tcBorders>
                                  <w:shd w:val="clear" w:color="auto" w:fill="E8F5F1"/>
                                </w:tcPr>
                                <w:p>
                                  <w:pPr>
                                    <w:pStyle w:val="TableParagraph"/>
                                    <w:spacing w:line="171" w:lineRule="exact" w:before="47"/>
                                    <w:ind w:left="292"/>
                                    <w:rPr>
                                      <w:sz w:val="15"/>
                                    </w:rPr>
                                  </w:pPr>
                                  <w:r>
                                    <w:rPr>
                                      <w:color w:val="231F20"/>
                                      <w:sz w:val="15"/>
                                    </w:rPr>
                                    <w:t>Arteriovenous</w:t>
                                  </w:r>
                                  <w:r>
                                    <w:rPr>
                                      <w:color w:val="231F20"/>
                                      <w:spacing w:val="-9"/>
                                      <w:sz w:val="15"/>
                                    </w:rPr>
                                    <w:t> </w:t>
                                  </w:r>
                                  <w:r>
                                    <w:rPr>
                                      <w:color w:val="231F20"/>
                                      <w:spacing w:val="-2"/>
                                      <w:sz w:val="15"/>
                                    </w:rPr>
                                    <w:t>malformations</w:t>
                                  </w:r>
                                </w:p>
                                <w:p>
                                  <w:pPr>
                                    <w:pStyle w:val="TableParagraph"/>
                                    <w:spacing w:line="230" w:lineRule="auto" w:before="2"/>
                                    <w:ind w:left="292"/>
                                    <w:rPr>
                                      <w:sz w:val="15"/>
                                    </w:rPr>
                                  </w:pPr>
                                  <w:r>
                                    <w:rPr>
                                      <w:color w:val="231F20"/>
                                      <w:sz w:val="15"/>
                                    </w:rPr>
                                    <w:t>Cavernous malformations (“cavernomas”) Venous angiomas and other venous </w:t>
                                  </w:r>
                                  <w:r>
                                    <w:rPr>
                                      <w:color w:val="231F20"/>
                                      <w:sz w:val="15"/>
                                    </w:rPr>
                                    <w:t>anomalies Hereditary hemorrhagic telangiectasia Intracranial aneurysm</w:t>
                                  </w:r>
                                </w:p>
                                <w:p>
                                  <w:pPr>
                                    <w:pStyle w:val="TableParagraph"/>
                                    <w:spacing w:line="230" w:lineRule="auto" w:before="3"/>
                                    <w:ind w:left="404" w:right="122" w:hanging="112"/>
                                    <w:rPr>
                                      <w:sz w:val="15"/>
                                    </w:rPr>
                                  </w:pPr>
                                  <w:r>
                                    <w:rPr>
                                      <w:color w:val="231F20"/>
                                      <w:sz w:val="15"/>
                                    </w:rPr>
                                    <w:t>Choroid</w:t>
                                  </w:r>
                                  <w:r>
                                    <w:rPr>
                                      <w:color w:val="231F20"/>
                                      <w:spacing w:val="-12"/>
                                      <w:sz w:val="15"/>
                                    </w:rPr>
                                    <w:t> </w:t>
                                  </w:r>
                                  <w:r>
                                    <w:rPr>
                                      <w:color w:val="231F20"/>
                                      <w:sz w:val="15"/>
                                    </w:rPr>
                                    <w:t>plexus</w:t>
                                  </w:r>
                                  <w:r>
                                    <w:rPr>
                                      <w:color w:val="231F20"/>
                                      <w:spacing w:val="-11"/>
                                      <w:sz w:val="15"/>
                                    </w:rPr>
                                    <w:t> </w:t>
                                  </w:r>
                                  <w:r>
                                    <w:rPr>
                                      <w:color w:val="231F20"/>
                                      <w:sz w:val="15"/>
                                    </w:rPr>
                                    <w:t>angiomas</w:t>
                                  </w:r>
                                  <w:r>
                                    <w:rPr>
                                      <w:color w:val="231F20"/>
                                      <w:spacing w:val="-11"/>
                                      <w:sz w:val="15"/>
                                    </w:rPr>
                                    <w:t> </w:t>
                                  </w:r>
                                  <w:r>
                                    <w:rPr>
                                      <w:color w:val="231F20"/>
                                      <w:sz w:val="15"/>
                                    </w:rPr>
                                    <w:t>(pure</w:t>
                                  </w:r>
                                  <w:r>
                                    <w:rPr>
                                      <w:color w:val="231F20"/>
                                      <w:spacing w:val="-12"/>
                                      <w:sz w:val="15"/>
                                    </w:rPr>
                                    <w:t> </w:t>
                                  </w:r>
                                  <w:r>
                                    <w:rPr>
                                      <w:color w:val="231F20"/>
                                      <w:sz w:val="15"/>
                                    </w:rPr>
                                    <w:t>intraventricular </w:t>
                                  </w:r>
                                  <w:r>
                                    <w:rPr>
                                      <w:color w:val="231F20"/>
                                      <w:spacing w:val="-2"/>
                                      <w:sz w:val="15"/>
                                    </w:rPr>
                                    <w:t>hemorrhage)</w:t>
                                  </w:r>
                                </w:p>
                                <w:p>
                                  <w:pPr>
                                    <w:pStyle w:val="TableParagraph"/>
                                    <w:spacing w:line="230" w:lineRule="auto" w:before="2"/>
                                    <w:ind w:left="292" w:right="426"/>
                                    <w:rPr>
                                      <w:sz w:val="15"/>
                                    </w:rPr>
                                  </w:pPr>
                                  <w:r>
                                    <w:rPr>
                                      <w:color w:val="231F20"/>
                                      <w:sz w:val="15"/>
                                    </w:rPr>
                                    <w:t>Moyamoya disease/syndrome </w:t>
                                  </w:r>
                                  <w:r>
                                    <w:rPr>
                                      <w:color w:val="231F20"/>
                                      <w:spacing w:val="-2"/>
                                      <w:sz w:val="15"/>
                                    </w:rPr>
                                    <w:t>Inflammatory</w:t>
                                  </w:r>
                                  <w:r>
                                    <w:rPr>
                                      <w:color w:val="231F20"/>
                                      <w:spacing w:val="-10"/>
                                      <w:sz w:val="15"/>
                                    </w:rPr>
                                    <w:t> </w:t>
                                  </w:r>
                                  <w:r>
                                    <w:rPr>
                                      <w:color w:val="231F20"/>
                                      <w:spacing w:val="-2"/>
                                      <w:sz w:val="15"/>
                                    </w:rPr>
                                    <w:t>vasculitis</w:t>
                                  </w:r>
                                  <w:r>
                                    <w:rPr>
                                      <w:color w:val="231F20"/>
                                      <w:spacing w:val="-9"/>
                                      <w:sz w:val="15"/>
                                    </w:rPr>
                                    <w:t> </w:t>
                                  </w:r>
                                  <w:r>
                                    <w:rPr>
                                      <w:color w:val="231F20"/>
                                      <w:spacing w:val="-2"/>
                                      <w:sz w:val="15"/>
                                    </w:rPr>
                                    <w:t>(see</w:t>
                                  </w:r>
                                  <w:r>
                                    <w:rPr>
                                      <w:color w:val="231F20"/>
                                      <w:spacing w:val="-9"/>
                                      <w:sz w:val="15"/>
                                    </w:rPr>
                                    <w:t> </w:t>
                                  </w:r>
                                  <w:r>
                                    <w:rPr>
                                      <w:color w:val="0080AC"/>
                                      <w:spacing w:val="-2"/>
                                      <w:sz w:val="15"/>
                                    </w:rPr>
                                    <w:t>Chapter</w:t>
                                  </w:r>
                                  <w:r>
                                    <w:rPr>
                                      <w:color w:val="0080AC"/>
                                      <w:spacing w:val="-10"/>
                                      <w:sz w:val="15"/>
                                    </w:rPr>
                                    <w:t> </w:t>
                                  </w:r>
                                  <w:r>
                                    <w:rPr>
                                      <w:color w:val="0080AC"/>
                                      <w:spacing w:val="-2"/>
                                      <w:sz w:val="15"/>
                                    </w:rPr>
                                    <w:t>601.1</w:t>
                                  </w:r>
                                  <w:r>
                                    <w:rPr>
                                      <w:color w:val="231F20"/>
                                      <w:spacing w:val="-2"/>
                                      <w:sz w:val="15"/>
                                    </w:rPr>
                                    <w:t>)</w:t>
                                  </w:r>
                                </w:p>
                                <w:p>
                                  <w:pPr>
                                    <w:pStyle w:val="TableParagraph"/>
                                    <w:spacing w:line="230" w:lineRule="auto" w:before="1"/>
                                    <w:ind w:left="292" w:right="256"/>
                                    <w:rPr>
                                      <w:sz w:val="15"/>
                                    </w:rPr>
                                  </w:pPr>
                                  <w:r>
                                    <w:rPr>
                                      <w:color w:val="231F20"/>
                                      <w:spacing w:val="-2"/>
                                      <w:sz w:val="15"/>
                                    </w:rPr>
                                    <w:t>Neoplastic lesions with unstable </w:t>
                                  </w:r>
                                  <w:r>
                                    <w:rPr>
                                      <w:color w:val="231F20"/>
                                      <w:spacing w:val="-2"/>
                                      <w:sz w:val="15"/>
                                    </w:rPr>
                                    <w:t>vasculature </w:t>
                                  </w:r>
                                  <w:r>
                                    <w:rPr>
                                      <w:color w:val="231F20"/>
                                      <w:sz w:val="15"/>
                                    </w:rPr>
                                    <w:t>Drugs/toxins (cocaine, amphetamine) Cerebral sinovenous thrombosis</w:t>
                                  </w:r>
                                </w:p>
                              </w:tc>
                            </w:tr>
                            <w:tr>
                              <w:trPr>
                                <w:trHeight w:val="109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Blood</w:t>
                                  </w:r>
                                  <w:r>
                                    <w:rPr>
                                      <w:color w:val="231F20"/>
                                      <w:spacing w:val="2"/>
                                      <w:w w:val="105"/>
                                      <w:sz w:val="15"/>
                                    </w:rPr>
                                    <w:t> </w:t>
                                  </w:r>
                                  <w:r>
                                    <w:rPr>
                                      <w:color w:val="231F20"/>
                                      <w:spacing w:val="-2"/>
                                      <w:w w:val="105"/>
                                      <w:sz w:val="15"/>
                                    </w:rPr>
                                    <w:t>disorder</w:t>
                                  </w:r>
                                </w:p>
                              </w:tc>
                              <w:tc>
                                <w:tcPr>
                                  <w:tcW w:w="3555" w:type="dxa"/>
                                  <w:tcBorders>
                                    <w:top w:val="single" w:sz="4" w:space="0" w:color="FFFFFF"/>
                                    <w:bottom w:val="single" w:sz="4" w:space="0" w:color="FFFFFF"/>
                                  </w:tcBorders>
                                  <w:shd w:val="clear" w:color="auto" w:fill="E8F5F1"/>
                                </w:tcPr>
                                <w:p>
                                  <w:pPr>
                                    <w:pStyle w:val="TableParagraph"/>
                                    <w:spacing w:line="230" w:lineRule="auto" w:before="48"/>
                                    <w:ind w:left="292" w:right="122"/>
                                    <w:rPr>
                                      <w:sz w:val="15"/>
                                    </w:rPr>
                                  </w:pPr>
                                  <w:r>
                                    <w:rPr>
                                      <w:color w:val="231F20"/>
                                      <w:sz w:val="15"/>
                                    </w:rPr>
                                    <w:t>Idiopathic</w:t>
                                  </w:r>
                                  <w:r>
                                    <w:rPr>
                                      <w:color w:val="231F20"/>
                                      <w:spacing w:val="-12"/>
                                      <w:sz w:val="15"/>
                                    </w:rPr>
                                    <w:t> </w:t>
                                  </w:r>
                                  <w:r>
                                    <w:rPr>
                                      <w:color w:val="231F20"/>
                                      <w:sz w:val="15"/>
                                    </w:rPr>
                                    <w:t>thrombocytopenic</w:t>
                                  </w:r>
                                  <w:r>
                                    <w:rPr>
                                      <w:color w:val="231F20"/>
                                      <w:spacing w:val="-11"/>
                                      <w:sz w:val="15"/>
                                    </w:rPr>
                                    <w:t> </w:t>
                                  </w:r>
                                  <w:r>
                                    <w:rPr>
                                      <w:color w:val="231F20"/>
                                      <w:sz w:val="15"/>
                                    </w:rPr>
                                    <w:t>purpura Hemolytic uremic syndrome</w:t>
                                  </w:r>
                                </w:p>
                                <w:p>
                                  <w:pPr>
                                    <w:pStyle w:val="TableParagraph"/>
                                    <w:spacing w:line="230" w:lineRule="auto" w:before="1"/>
                                    <w:ind w:left="292" w:right="256"/>
                                    <w:rPr>
                                      <w:sz w:val="15"/>
                                    </w:rPr>
                                  </w:pPr>
                                  <w:r>
                                    <w:rPr>
                                      <w:color w:val="231F20"/>
                                      <w:sz w:val="15"/>
                                    </w:rPr>
                                    <w:t>Hepatic disease/failure coagulopathy Vitamin</w:t>
                                  </w:r>
                                  <w:r>
                                    <w:rPr>
                                      <w:color w:val="231F20"/>
                                      <w:spacing w:val="-12"/>
                                      <w:sz w:val="15"/>
                                    </w:rPr>
                                    <w:t> </w:t>
                                  </w:r>
                                  <w:r>
                                    <w:rPr>
                                      <w:color w:val="231F20"/>
                                      <w:sz w:val="15"/>
                                    </w:rPr>
                                    <w:t>K</w:t>
                                  </w:r>
                                  <w:r>
                                    <w:rPr>
                                      <w:color w:val="231F20"/>
                                      <w:spacing w:val="-11"/>
                                      <w:sz w:val="15"/>
                                    </w:rPr>
                                    <w:t> </w:t>
                                  </w:r>
                                  <w:r>
                                    <w:rPr>
                                      <w:color w:val="231F20"/>
                                      <w:sz w:val="15"/>
                                    </w:rPr>
                                    <w:t>deficiency</w:t>
                                  </w:r>
                                  <w:r>
                                    <w:rPr>
                                      <w:color w:val="231F20"/>
                                      <w:spacing w:val="-11"/>
                                      <w:sz w:val="15"/>
                                    </w:rPr>
                                    <w:t> </w:t>
                                  </w:r>
                                  <w:r>
                                    <w:rPr>
                                      <w:color w:val="231F20"/>
                                      <w:sz w:val="15"/>
                                    </w:rPr>
                                    <w:t>(hemorrhagic</w:t>
                                  </w:r>
                                  <w:r>
                                    <w:rPr>
                                      <w:color w:val="231F20"/>
                                      <w:spacing w:val="-12"/>
                                      <w:sz w:val="15"/>
                                    </w:rPr>
                                    <w:t> </w:t>
                                  </w:r>
                                  <w:r>
                                    <w:rPr>
                                      <w:color w:val="231F20"/>
                                      <w:sz w:val="15"/>
                                    </w:rPr>
                                    <w:t>disease</w:t>
                                  </w:r>
                                  <w:r>
                                    <w:rPr>
                                      <w:color w:val="231F20"/>
                                      <w:spacing w:val="-11"/>
                                      <w:sz w:val="15"/>
                                    </w:rPr>
                                    <w:t> </w:t>
                                  </w:r>
                                  <w:r>
                                    <w:rPr>
                                      <w:color w:val="231F20"/>
                                      <w:sz w:val="15"/>
                                    </w:rPr>
                                    <w:t>of</w:t>
                                  </w:r>
                                </w:p>
                                <w:p>
                                  <w:pPr>
                                    <w:pStyle w:val="TableParagraph"/>
                                    <w:spacing w:line="167" w:lineRule="exact"/>
                                    <w:ind w:left="404"/>
                                    <w:rPr>
                                      <w:sz w:val="15"/>
                                    </w:rPr>
                                  </w:pPr>
                                  <w:r>
                                    <w:rPr>
                                      <w:color w:val="231F20"/>
                                      <w:sz w:val="15"/>
                                    </w:rPr>
                                    <w:t>the</w:t>
                                  </w:r>
                                  <w:r>
                                    <w:rPr>
                                      <w:color w:val="231F20"/>
                                      <w:spacing w:val="-8"/>
                                      <w:sz w:val="15"/>
                                    </w:rPr>
                                    <w:t> </w:t>
                                  </w:r>
                                  <w:r>
                                    <w:rPr>
                                      <w:color w:val="231F20"/>
                                      <w:spacing w:val="-2"/>
                                      <w:sz w:val="15"/>
                                    </w:rPr>
                                    <w:t>newborn)</w:t>
                                  </w:r>
                                </w:p>
                                <w:p>
                                  <w:pPr>
                                    <w:pStyle w:val="TableParagraph"/>
                                    <w:spacing w:line="171" w:lineRule="exact"/>
                                    <w:ind w:left="292"/>
                                    <w:rPr>
                                      <w:sz w:val="15"/>
                                    </w:rPr>
                                  </w:pPr>
                                  <w:r>
                                    <w:rPr>
                                      <w:color w:val="231F20"/>
                                      <w:spacing w:val="-2"/>
                                      <w:sz w:val="15"/>
                                    </w:rPr>
                                    <w:t>Disseminated</w:t>
                                  </w:r>
                                  <w:r>
                                    <w:rPr>
                                      <w:color w:val="231F20"/>
                                      <w:spacing w:val="4"/>
                                      <w:sz w:val="15"/>
                                    </w:rPr>
                                    <w:t> </w:t>
                                  </w:r>
                                  <w:r>
                                    <w:rPr>
                                      <w:color w:val="231F20"/>
                                      <w:spacing w:val="-2"/>
                                      <w:sz w:val="15"/>
                                    </w:rPr>
                                    <w:t>intravascular</w:t>
                                  </w:r>
                                  <w:r>
                                    <w:rPr>
                                      <w:color w:val="231F20"/>
                                      <w:spacing w:val="4"/>
                                      <w:sz w:val="15"/>
                                    </w:rPr>
                                    <w:t> </w:t>
                                  </w:r>
                                  <w:r>
                                    <w:rPr>
                                      <w:color w:val="231F20"/>
                                      <w:spacing w:val="-2"/>
                                      <w:sz w:val="15"/>
                                    </w:rPr>
                                    <w:t>coagulopathy</w:t>
                                  </w:r>
                                </w:p>
                              </w:tc>
                            </w:tr>
                            <w:tr>
                              <w:trPr>
                                <w:trHeight w:val="1759"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Trauma</w:t>
                                  </w:r>
                                </w:p>
                              </w:tc>
                              <w:tc>
                                <w:tcPr>
                                  <w:tcW w:w="3555" w:type="dxa"/>
                                  <w:tcBorders>
                                    <w:top w:val="single" w:sz="4" w:space="0" w:color="FFFFFF"/>
                                    <w:bottom w:val="single" w:sz="8" w:space="0" w:color="231F20"/>
                                  </w:tcBorders>
                                  <w:shd w:val="clear" w:color="auto" w:fill="E8F5F1"/>
                                </w:tcPr>
                                <w:p>
                                  <w:pPr>
                                    <w:pStyle w:val="TableParagraph"/>
                                    <w:spacing w:line="230" w:lineRule="auto" w:before="48"/>
                                    <w:ind w:left="404" w:hanging="112"/>
                                    <w:rPr>
                                      <w:sz w:val="15"/>
                                    </w:rPr>
                                  </w:pPr>
                                  <w:r>
                                    <w:rPr>
                                      <w:color w:val="231F20"/>
                                      <w:spacing w:val="-2"/>
                                      <w:sz w:val="15"/>
                                    </w:rPr>
                                    <w:t>Middle</w:t>
                                  </w:r>
                                  <w:r>
                                    <w:rPr>
                                      <w:color w:val="231F20"/>
                                      <w:spacing w:val="-5"/>
                                      <w:sz w:val="15"/>
                                    </w:rPr>
                                    <w:t> </w:t>
                                  </w:r>
                                  <w:r>
                                    <w:rPr>
                                      <w:color w:val="231F20"/>
                                      <w:spacing w:val="-2"/>
                                      <w:sz w:val="15"/>
                                    </w:rPr>
                                    <w:t>meningeal</w:t>
                                  </w:r>
                                  <w:r>
                                    <w:rPr>
                                      <w:color w:val="231F20"/>
                                      <w:spacing w:val="-5"/>
                                      <w:sz w:val="15"/>
                                    </w:rPr>
                                    <w:t> </w:t>
                                  </w:r>
                                  <w:r>
                                    <w:rPr>
                                      <w:color w:val="231F20"/>
                                      <w:spacing w:val="-2"/>
                                      <w:sz w:val="15"/>
                                    </w:rPr>
                                    <w:t>artery</w:t>
                                  </w:r>
                                  <w:r>
                                    <w:rPr>
                                      <w:color w:val="231F20"/>
                                      <w:spacing w:val="-5"/>
                                      <w:sz w:val="15"/>
                                    </w:rPr>
                                    <w:t> </w:t>
                                  </w:r>
                                  <w:r>
                                    <w:rPr>
                                      <w:color w:val="231F20"/>
                                      <w:spacing w:val="-2"/>
                                      <w:sz w:val="15"/>
                                    </w:rPr>
                                    <w:t>injury</w:t>
                                  </w:r>
                                  <w:r>
                                    <w:rPr>
                                      <w:color w:val="231F20"/>
                                      <w:spacing w:val="-5"/>
                                      <w:sz w:val="15"/>
                                    </w:rPr>
                                    <w:t> </w:t>
                                  </w:r>
                                  <w:r>
                                    <w:rPr>
                                      <w:color w:val="231F20"/>
                                      <w:spacing w:val="-2"/>
                                      <w:sz w:val="15"/>
                                    </w:rPr>
                                    <w:t>(epidural hematoma)</w:t>
                                  </w:r>
                                </w:p>
                                <w:p>
                                  <w:pPr>
                                    <w:pStyle w:val="TableParagraph"/>
                                    <w:spacing w:line="230" w:lineRule="auto" w:before="1"/>
                                    <w:ind w:left="292"/>
                                    <w:rPr>
                                      <w:sz w:val="15"/>
                                    </w:rPr>
                                  </w:pPr>
                                  <w:r>
                                    <w:rPr>
                                      <w:color w:val="231F20"/>
                                      <w:spacing w:val="-2"/>
                                      <w:sz w:val="15"/>
                                    </w:rPr>
                                    <w:t>Bridging vein injury (subdural </w:t>
                                  </w:r>
                                  <w:r>
                                    <w:rPr>
                                      <w:color w:val="231F20"/>
                                      <w:spacing w:val="-2"/>
                                      <w:sz w:val="15"/>
                                    </w:rPr>
                                    <w:t>hematoma) </w:t>
                                  </w:r>
                                  <w:r>
                                    <w:rPr>
                                      <w:color w:val="231F20"/>
                                      <w:sz w:val="15"/>
                                    </w:rPr>
                                    <w:t>Subarachnoid hemorrhage</w:t>
                                  </w:r>
                                </w:p>
                                <w:p>
                                  <w:pPr>
                                    <w:pStyle w:val="TableParagraph"/>
                                    <w:spacing w:line="167" w:lineRule="exact"/>
                                    <w:ind w:left="292"/>
                                    <w:rPr>
                                      <w:sz w:val="15"/>
                                    </w:rPr>
                                  </w:pPr>
                                  <w:r>
                                    <w:rPr>
                                      <w:color w:val="231F20"/>
                                      <w:sz w:val="15"/>
                                    </w:rPr>
                                    <w:t>Hemorrhagic</w:t>
                                  </w:r>
                                  <w:r>
                                    <w:rPr>
                                      <w:color w:val="231F20"/>
                                      <w:spacing w:val="4"/>
                                      <w:sz w:val="15"/>
                                    </w:rPr>
                                    <w:t> </w:t>
                                  </w:r>
                                  <w:r>
                                    <w:rPr>
                                      <w:color w:val="231F20"/>
                                      <w:sz w:val="15"/>
                                    </w:rPr>
                                    <w:t>contusions</w:t>
                                  </w:r>
                                  <w:r>
                                    <w:rPr>
                                      <w:color w:val="231F20"/>
                                      <w:spacing w:val="4"/>
                                      <w:sz w:val="15"/>
                                    </w:rPr>
                                    <w:t> </w:t>
                                  </w:r>
                                  <w:r>
                                    <w:rPr>
                                      <w:color w:val="231F20"/>
                                      <w:sz w:val="15"/>
                                    </w:rPr>
                                    <w:t>(coup</w:t>
                                  </w:r>
                                  <w:r>
                                    <w:rPr>
                                      <w:color w:val="231F20"/>
                                      <w:spacing w:val="4"/>
                                      <w:sz w:val="15"/>
                                    </w:rPr>
                                    <w:t> </w:t>
                                  </w:r>
                                  <w:r>
                                    <w:rPr>
                                      <w:color w:val="231F20"/>
                                      <w:sz w:val="15"/>
                                    </w:rPr>
                                    <w:t>and</w:t>
                                  </w:r>
                                  <w:r>
                                    <w:rPr>
                                      <w:color w:val="231F20"/>
                                      <w:spacing w:val="4"/>
                                      <w:sz w:val="15"/>
                                    </w:rPr>
                                    <w:t> </w:t>
                                  </w:r>
                                  <w:r>
                                    <w:rPr>
                                      <w:color w:val="231F20"/>
                                      <w:spacing w:val="-2"/>
                                      <w:sz w:val="15"/>
                                    </w:rPr>
                                    <w:t>contrecoup)</w:t>
                                  </w:r>
                                </w:p>
                                <w:p>
                                  <w:pPr>
                                    <w:pStyle w:val="TableParagraph"/>
                                    <w:spacing w:line="230" w:lineRule="auto" w:before="3"/>
                                    <w:ind w:left="404" w:hanging="112"/>
                                    <w:rPr>
                                      <w:sz w:val="15"/>
                                    </w:rPr>
                                  </w:pPr>
                                  <w:r>
                                    <w:rPr>
                                      <w:color w:val="231F20"/>
                                      <w:sz w:val="15"/>
                                    </w:rPr>
                                    <w:t>Nonaccidental</w:t>
                                  </w:r>
                                  <w:r>
                                    <w:rPr>
                                      <w:color w:val="231F20"/>
                                      <w:spacing w:val="-12"/>
                                      <w:sz w:val="15"/>
                                    </w:rPr>
                                    <w:t> </w:t>
                                  </w:r>
                                  <w:r>
                                    <w:rPr>
                                      <w:color w:val="231F20"/>
                                      <w:sz w:val="15"/>
                                    </w:rPr>
                                    <w:t>trauma</w:t>
                                  </w:r>
                                  <w:r>
                                    <w:rPr>
                                      <w:color w:val="231F20"/>
                                      <w:spacing w:val="-11"/>
                                      <w:sz w:val="15"/>
                                    </w:rPr>
                                    <w:t> </w:t>
                                  </w:r>
                                  <w:r>
                                    <w:rPr>
                                      <w:color w:val="231F20"/>
                                      <w:sz w:val="15"/>
                                    </w:rPr>
                                    <w:t>(subdural</w:t>
                                  </w:r>
                                  <w:r>
                                    <w:rPr>
                                      <w:color w:val="231F20"/>
                                      <w:spacing w:val="-11"/>
                                      <w:sz w:val="15"/>
                                    </w:rPr>
                                    <w:t> </w:t>
                                  </w:r>
                                  <w:r>
                                    <w:rPr>
                                      <w:color w:val="231F20"/>
                                      <w:sz w:val="15"/>
                                    </w:rPr>
                                    <w:t>hematomas</w:t>
                                  </w:r>
                                  <w:r>
                                    <w:rPr>
                                      <w:color w:val="231F20"/>
                                      <w:spacing w:val="-12"/>
                                      <w:sz w:val="15"/>
                                    </w:rPr>
                                    <w:t> </w:t>
                                  </w:r>
                                  <w:r>
                                    <w:rPr>
                                      <w:color w:val="231F20"/>
                                      <w:sz w:val="15"/>
                                    </w:rPr>
                                    <w:t>of different ages)</w:t>
                                  </w:r>
                                </w:p>
                                <w:p>
                                  <w:pPr>
                                    <w:pStyle w:val="TableParagraph"/>
                                    <w:spacing w:line="230" w:lineRule="auto" w:before="1"/>
                                    <w:ind w:left="404" w:hanging="112"/>
                                    <w:rPr>
                                      <w:sz w:val="15"/>
                                    </w:rPr>
                                  </w:pPr>
                                  <w:r>
                                    <w:rPr>
                                      <w:color w:val="231F20"/>
                                      <w:spacing w:val="-2"/>
                                      <w:sz w:val="15"/>
                                    </w:rPr>
                                    <w:t>Iatrogenic (neurosurgical </w:t>
                                  </w:r>
                                  <w:r>
                                    <w:rPr>
                                      <w:color w:val="231F20"/>
                                      <w:spacing w:val="-2"/>
                                      <w:sz w:val="15"/>
                                    </w:rPr>
                                    <w:t>procedures, angiography)</w:t>
                                  </w:r>
                                </w:p>
                                <w:p>
                                  <w:pPr>
                                    <w:pStyle w:val="TableParagraph"/>
                                    <w:spacing w:line="170" w:lineRule="exact"/>
                                    <w:ind w:left="292"/>
                                    <w:rPr>
                                      <w:sz w:val="15"/>
                                    </w:rPr>
                                  </w:pPr>
                                  <w:r>
                                    <w:rPr>
                                      <w:color w:val="231F20"/>
                                      <w:sz w:val="15"/>
                                    </w:rPr>
                                    <w:t>Rupture</w:t>
                                  </w:r>
                                  <w:r>
                                    <w:rPr>
                                      <w:color w:val="231F20"/>
                                      <w:spacing w:val="-7"/>
                                      <w:sz w:val="15"/>
                                    </w:rPr>
                                    <w:t> </w:t>
                                  </w:r>
                                  <w:r>
                                    <w:rPr>
                                      <w:color w:val="231F20"/>
                                      <w:sz w:val="15"/>
                                    </w:rPr>
                                    <w:t>of</w:t>
                                  </w:r>
                                  <w:r>
                                    <w:rPr>
                                      <w:color w:val="231F20"/>
                                      <w:spacing w:val="-6"/>
                                      <w:sz w:val="15"/>
                                    </w:rPr>
                                    <w:t> </w:t>
                                  </w:r>
                                  <w:r>
                                    <w:rPr>
                                      <w:color w:val="231F20"/>
                                      <w:sz w:val="15"/>
                                    </w:rPr>
                                    <w:t>arachnoid</w:t>
                                  </w:r>
                                  <w:r>
                                    <w:rPr>
                                      <w:color w:val="231F20"/>
                                      <w:spacing w:val="-6"/>
                                      <w:sz w:val="15"/>
                                    </w:rPr>
                                    <w:t> </w:t>
                                  </w:r>
                                  <w:r>
                                    <w:rPr>
                                      <w:color w:val="231F20"/>
                                      <w:spacing w:val="-4"/>
                                      <w:sz w:val="15"/>
                                    </w:rPr>
                                    <w:t>cyst</w:t>
                                  </w:r>
                                </w:p>
                              </w:tc>
                            </w:tr>
                          </w:tbl>
                          <w:p>
                            <w:pPr>
                              <w:pStyle w:val="BodyText"/>
                            </w:pPr>
                          </w:p>
                        </w:txbxContent>
                      </wps:txbx>
                      <wps:bodyPr wrap="square" lIns="0" tIns="0" rIns="0" bIns="0" rtlCol="0">
                        <a:noAutofit/>
                      </wps:bodyPr>
                    </wps:wsp>
                  </a:graphicData>
                </a:graphic>
              </wp:anchor>
            </w:drawing>
          </mc:Choice>
          <mc:Fallback>
            <w:pict>
              <v:shape style="position:absolute;margin-left:303.874298pt;margin-top:12.403464pt;width:235.15pt;height:300.05pt;mso-position-horizontal-relative:page;mso-position-vertical-relative:paragraph;z-index:-15728640;mso-wrap-distance-left:0;mso-wrap-distance-right:0" type="#_x0000_t202" id="docshape63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Potential</w:t>
                            </w:r>
                            <w:r>
                              <w:rPr>
                                <w:color w:val="FFFFFF"/>
                                <w:spacing w:val="-3"/>
                                <w:w w:val="105"/>
                                <w:sz w:val="16"/>
                              </w:rPr>
                              <w:t> </w:t>
                            </w:r>
                            <w:r>
                              <w:rPr>
                                <w:color w:val="FFFFFF"/>
                                <w:w w:val="105"/>
                                <w:sz w:val="16"/>
                              </w:rPr>
                              <w:t>Risk</w:t>
                            </w:r>
                            <w:r>
                              <w:rPr>
                                <w:color w:val="FFFFFF"/>
                                <w:spacing w:val="-3"/>
                                <w:w w:val="105"/>
                                <w:sz w:val="16"/>
                              </w:rPr>
                              <w:t> </w:t>
                            </w:r>
                            <w:r>
                              <w:rPr>
                                <w:color w:val="FFFFFF"/>
                                <w:w w:val="105"/>
                                <w:sz w:val="16"/>
                              </w:rPr>
                              <w:t>Factors</w:t>
                            </w:r>
                            <w:r>
                              <w:rPr>
                                <w:color w:val="FFFFFF"/>
                                <w:spacing w:val="-3"/>
                                <w:w w:val="105"/>
                                <w:sz w:val="16"/>
                              </w:rPr>
                              <w:t> </w:t>
                            </w:r>
                            <w:r>
                              <w:rPr>
                                <w:color w:val="FFFFFF"/>
                                <w:w w:val="105"/>
                                <w:sz w:val="16"/>
                              </w:rPr>
                              <w:t>for</w:t>
                            </w:r>
                            <w:r>
                              <w:rPr>
                                <w:color w:val="FFFFFF"/>
                                <w:spacing w:val="-3"/>
                                <w:w w:val="105"/>
                                <w:sz w:val="16"/>
                              </w:rPr>
                              <w:t> </w:t>
                            </w:r>
                            <w:r>
                              <w:rPr>
                                <w:color w:val="FFFFFF"/>
                                <w:w w:val="105"/>
                                <w:sz w:val="16"/>
                              </w:rPr>
                              <w:t>Hemorrhagic Stroke in Children</w:t>
                            </w:r>
                          </w:p>
                        </w:tc>
                      </w:tr>
                      <w:tr>
                        <w:trPr>
                          <w:trHeight w:val="425" w:hRule="atLeast"/>
                        </w:trPr>
                        <w:tc>
                          <w:tcPr>
                            <w:tcW w:w="1148" w:type="dxa"/>
                            <w:tcBorders>
                              <w:bottom w:val="single" w:sz="4" w:space="0" w:color="231F20"/>
                            </w:tcBorders>
                            <w:shd w:val="clear" w:color="auto" w:fill="E8F5F1"/>
                          </w:tcPr>
                          <w:p>
                            <w:pPr>
                              <w:pStyle w:val="TableParagraph"/>
                              <w:spacing w:line="230" w:lineRule="auto" w:before="53"/>
                              <w:ind w:left="74"/>
                              <w:rPr>
                                <w:b/>
                                <w:sz w:val="15"/>
                              </w:rPr>
                            </w:pPr>
                            <w:r>
                              <w:rPr>
                                <w:b/>
                                <w:color w:val="231F20"/>
                                <w:spacing w:val="-2"/>
                                <w:w w:val="110"/>
                                <w:sz w:val="15"/>
                              </w:rPr>
                              <w:t>MAJOR CATEGORIES</w:t>
                            </w:r>
                          </w:p>
                        </w:tc>
                        <w:tc>
                          <w:tcPr>
                            <w:tcW w:w="3555" w:type="dxa"/>
                            <w:tcBorders>
                              <w:bottom w:val="single" w:sz="4" w:space="0" w:color="231F20"/>
                            </w:tcBorders>
                            <w:shd w:val="clear" w:color="auto" w:fill="E8F5F1"/>
                          </w:tcPr>
                          <w:p>
                            <w:pPr>
                              <w:pStyle w:val="TableParagraph"/>
                              <w:spacing w:before="41"/>
                              <w:rPr>
                                <w:i/>
                                <w:sz w:val="15"/>
                              </w:rPr>
                            </w:pPr>
                          </w:p>
                          <w:p>
                            <w:pPr>
                              <w:pStyle w:val="TableParagraph"/>
                              <w:ind w:left="217"/>
                              <w:jc w:val="center"/>
                              <w:rPr>
                                <w:b/>
                                <w:sz w:val="15"/>
                              </w:rPr>
                            </w:pPr>
                            <w:r>
                              <w:rPr>
                                <w:b/>
                                <w:color w:val="231F20"/>
                                <w:spacing w:val="-2"/>
                                <w:w w:val="110"/>
                                <w:sz w:val="15"/>
                              </w:rPr>
                              <w:t>EXAMPLES</w:t>
                            </w:r>
                          </w:p>
                        </w:tc>
                      </w:tr>
                      <w:tr>
                        <w:trPr>
                          <w:trHeight w:val="2104" w:hRule="atLeast"/>
                        </w:trPr>
                        <w:tc>
                          <w:tcPr>
                            <w:tcW w:w="1148" w:type="dxa"/>
                            <w:tcBorders>
                              <w:top w:val="single" w:sz="4" w:space="0" w:color="231F20"/>
                              <w:bottom w:val="single" w:sz="4" w:space="0" w:color="FFFFFF"/>
                            </w:tcBorders>
                            <w:shd w:val="clear" w:color="auto" w:fill="E8F5F1"/>
                          </w:tcPr>
                          <w:p>
                            <w:pPr>
                              <w:pStyle w:val="TableParagraph"/>
                              <w:spacing w:line="230" w:lineRule="auto" w:before="52"/>
                              <w:ind w:left="186" w:right="71" w:hanging="112"/>
                              <w:rPr>
                                <w:sz w:val="15"/>
                              </w:rPr>
                            </w:pPr>
                            <w:r>
                              <w:rPr>
                                <w:color w:val="231F20"/>
                                <w:spacing w:val="-2"/>
                                <w:sz w:val="15"/>
                              </w:rPr>
                              <w:t>Vascular disorder</w:t>
                            </w:r>
                          </w:p>
                        </w:tc>
                        <w:tc>
                          <w:tcPr>
                            <w:tcW w:w="3555" w:type="dxa"/>
                            <w:tcBorders>
                              <w:top w:val="single" w:sz="4" w:space="0" w:color="231F20"/>
                              <w:bottom w:val="single" w:sz="4" w:space="0" w:color="FFFFFF"/>
                            </w:tcBorders>
                            <w:shd w:val="clear" w:color="auto" w:fill="E8F5F1"/>
                          </w:tcPr>
                          <w:p>
                            <w:pPr>
                              <w:pStyle w:val="TableParagraph"/>
                              <w:spacing w:line="171" w:lineRule="exact" w:before="47"/>
                              <w:ind w:left="292"/>
                              <w:rPr>
                                <w:sz w:val="15"/>
                              </w:rPr>
                            </w:pPr>
                            <w:r>
                              <w:rPr>
                                <w:color w:val="231F20"/>
                                <w:sz w:val="15"/>
                              </w:rPr>
                              <w:t>Arteriovenous</w:t>
                            </w:r>
                            <w:r>
                              <w:rPr>
                                <w:color w:val="231F20"/>
                                <w:spacing w:val="-9"/>
                                <w:sz w:val="15"/>
                              </w:rPr>
                              <w:t> </w:t>
                            </w:r>
                            <w:r>
                              <w:rPr>
                                <w:color w:val="231F20"/>
                                <w:spacing w:val="-2"/>
                                <w:sz w:val="15"/>
                              </w:rPr>
                              <w:t>malformations</w:t>
                            </w:r>
                          </w:p>
                          <w:p>
                            <w:pPr>
                              <w:pStyle w:val="TableParagraph"/>
                              <w:spacing w:line="230" w:lineRule="auto" w:before="2"/>
                              <w:ind w:left="292"/>
                              <w:rPr>
                                <w:sz w:val="15"/>
                              </w:rPr>
                            </w:pPr>
                            <w:r>
                              <w:rPr>
                                <w:color w:val="231F20"/>
                                <w:sz w:val="15"/>
                              </w:rPr>
                              <w:t>Cavernous malformations (“cavernomas”) Venous angiomas and other venous </w:t>
                            </w:r>
                            <w:r>
                              <w:rPr>
                                <w:color w:val="231F20"/>
                                <w:sz w:val="15"/>
                              </w:rPr>
                              <w:t>anomalies Hereditary hemorrhagic telangiectasia Intracranial aneurysm</w:t>
                            </w:r>
                          </w:p>
                          <w:p>
                            <w:pPr>
                              <w:pStyle w:val="TableParagraph"/>
                              <w:spacing w:line="230" w:lineRule="auto" w:before="3"/>
                              <w:ind w:left="404" w:right="122" w:hanging="112"/>
                              <w:rPr>
                                <w:sz w:val="15"/>
                              </w:rPr>
                            </w:pPr>
                            <w:r>
                              <w:rPr>
                                <w:color w:val="231F20"/>
                                <w:sz w:val="15"/>
                              </w:rPr>
                              <w:t>Choroid</w:t>
                            </w:r>
                            <w:r>
                              <w:rPr>
                                <w:color w:val="231F20"/>
                                <w:spacing w:val="-12"/>
                                <w:sz w:val="15"/>
                              </w:rPr>
                              <w:t> </w:t>
                            </w:r>
                            <w:r>
                              <w:rPr>
                                <w:color w:val="231F20"/>
                                <w:sz w:val="15"/>
                              </w:rPr>
                              <w:t>plexus</w:t>
                            </w:r>
                            <w:r>
                              <w:rPr>
                                <w:color w:val="231F20"/>
                                <w:spacing w:val="-11"/>
                                <w:sz w:val="15"/>
                              </w:rPr>
                              <w:t> </w:t>
                            </w:r>
                            <w:r>
                              <w:rPr>
                                <w:color w:val="231F20"/>
                                <w:sz w:val="15"/>
                              </w:rPr>
                              <w:t>angiomas</w:t>
                            </w:r>
                            <w:r>
                              <w:rPr>
                                <w:color w:val="231F20"/>
                                <w:spacing w:val="-11"/>
                                <w:sz w:val="15"/>
                              </w:rPr>
                              <w:t> </w:t>
                            </w:r>
                            <w:r>
                              <w:rPr>
                                <w:color w:val="231F20"/>
                                <w:sz w:val="15"/>
                              </w:rPr>
                              <w:t>(pure</w:t>
                            </w:r>
                            <w:r>
                              <w:rPr>
                                <w:color w:val="231F20"/>
                                <w:spacing w:val="-12"/>
                                <w:sz w:val="15"/>
                              </w:rPr>
                              <w:t> </w:t>
                            </w:r>
                            <w:r>
                              <w:rPr>
                                <w:color w:val="231F20"/>
                                <w:sz w:val="15"/>
                              </w:rPr>
                              <w:t>intraventricular </w:t>
                            </w:r>
                            <w:r>
                              <w:rPr>
                                <w:color w:val="231F20"/>
                                <w:spacing w:val="-2"/>
                                <w:sz w:val="15"/>
                              </w:rPr>
                              <w:t>hemorrhage)</w:t>
                            </w:r>
                          </w:p>
                          <w:p>
                            <w:pPr>
                              <w:pStyle w:val="TableParagraph"/>
                              <w:spacing w:line="230" w:lineRule="auto" w:before="2"/>
                              <w:ind w:left="292" w:right="426"/>
                              <w:rPr>
                                <w:sz w:val="15"/>
                              </w:rPr>
                            </w:pPr>
                            <w:r>
                              <w:rPr>
                                <w:color w:val="231F20"/>
                                <w:sz w:val="15"/>
                              </w:rPr>
                              <w:t>Moyamoya disease/syndrome </w:t>
                            </w:r>
                            <w:r>
                              <w:rPr>
                                <w:color w:val="231F20"/>
                                <w:spacing w:val="-2"/>
                                <w:sz w:val="15"/>
                              </w:rPr>
                              <w:t>Inflammatory</w:t>
                            </w:r>
                            <w:r>
                              <w:rPr>
                                <w:color w:val="231F20"/>
                                <w:spacing w:val="-10"/>
                                <w:sz w:val="15"/>
                              </w:rPr>
                              <w:t> </w:t>
                            </w:r>
                            <w:r>
                              <w:rPr>
                                <w:color w:val="231F20"/>
                                <w:spacing w:val="-2"/>
                                <w:sz w:val="15"/>
                              </w:rPr>
                              <w:t>vasculitis</w:t>
                            </w:r>
                            <w:r>
                              <w:rPr>
                                <w:color w:val="231F20"/>
                                <w:spacing w:val="-9"/>
                                <w:sz w:val="15"/>
                              </w:rPr>
                              <w:t> </w:t>
                            </w:r>
                            <w:r>
                              <w:rPr>
                                <w:color w:val="231F20"/>
                                <w:spacing w:val="-2"/>
                                <w:sz w:val="15"/>
                              </w:rPr>
                              <w:t>(see</w:t>
                            </w:r>
                            <w:r>
                              <w:rPr>
                                <w:color w:val="231F20"/>
                                <w:spacing w:val="-9"/>
                                <w:sz w:val="15"/>
                              </w:rPr>
                              <w:t> </w:t>
                            </w:r>
                            <w:r>
                              <w:rPr>
                                <w:color w:val="0080AC"/>
                                <w:spacing w:val="-2"/>
                                <w:sz w:val="15"/>
                              </w:rPr>
                              <w:t>Chapter</w:t>
                            </w:r>
                            <w:r>
                              <w:rPr>
                                <w:color w:val="0080AC"/>
                                <w:spacing w:val="-10"/>
                                <w:sz w:val="15"/>
                              </w:rPr>
                              <w:t> </w:t>
                            </w:r>
                            <w:r>
                              <w:rPr>
                                <w:color w:val="0080AC"/>
                                <w:spacing w:val="-2"/>
                                <w:sz w:val="15"/>
                              </w:rPr>
                              <w:t>601.1</w:t>
                            </w:r>
                            <w:r>
                              <w:rPr>
                                <w:color w:val="231F20"/>
                                <w:spacing w:val="-2"/>
                                <w:sz w:val="15"/>
                              </w:rPr>
                              <w:t>)</w:t>
                            </w:r>
                          </w:p>
                          <w:p>
                            <w:pPr>
                              <w:pStyle w:val="TableParagraph"/>
                              <w:spacing w:line="230" w:lineRule="auto" w:before="1"/>
                              <w:ind w:left="292" w:right="256"/>
                              <w:rPr>
                                <w:sz w:val="15"/>
                              </w:rPr>
                            </w:pPr>
                            <w:r>
                              <w:rPr>
                                <w:color w:val="231F20"/>
                                <w:spacing w:val="-2"/>
                                <w:sz w:val="15"/>
                              </w:rPr>
                              <w:t>Neoplastic lesions with unstable </w:t>
                            </w:r>
                            <w:r>
                              <w:rPr>
                                <w:color w:val="231F20"/>
                                <w:spacing w:val="-2"/>
                                <w:sz w:val="15"/>
                              </w:rPr>
                              <w:t>vasculature </w:t>
                            </w:r>
                            <w:r>
                              <w:rPr>
                                <w:color w:val="231F20"/>
                                <w:sz w:val="15"/>
                              </w:rPr>
                              <w:t>Drugs/toxins (cocaine, amphetamine) Cerebral sinovenous thrombosis</w:t>
                            </w:r>
                          </w:p>
                        </w:tc>
                      </w:tr>
                      <w:tr>
                        <w:trPr>
                          <w:trHeight w:val="109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Blood</w:t>
                            </w:r>
                            <w:r>
                              <w:rPr>
                                <w:color w:val="231F20"/>
                                <w:spacing w:val="2"/>
                                <w:w w:val="105"/>
                                <w:sz w:val="15"/>
                              </w:rPr>
                              <w:t> </w:t>
                            </w:r>
                            <w:r>
                              <w:rPr>
                                <w:color w:val="231F20"/>
                                <w:spacing w:val="-2"/>
                                <w:w w:val="105"/>
                                <w:sz w:val="15"/>
                              </w:rPr>
                              <w:t>disorder</w:t>
                            </w:r>
                          </w:p>
                        </w:tc>
                        <w:tc>
                          <w:tcPr>
                            <w:tcW w:w="3555" w:type="dxa"/>
                            <w:tcBorders>
                              <w:top w:val="single" w:sz="4" w:space="0" w:color="FFFFFF"/>
                              <w:bottom w:val="single" w:sz="4" w:space="0" w:color="FFFFFF"/>
                            </w:tcBorders>
                            <w:shd w:val="clear" w:color="auto" w:fill="E8F5F1"/>
                          </w:tcPr>
                          <w:p>
                            <w:pPr>
                              <w:pStyle w:val="TableParagraph"/>
                              <w:spacing w:line="230" w:lineRule="auto" w:before="48"/>
                              <w:ind w:left="292" w:right="122"/>
                              <w:rPr>
                                <w:sz w:val="15"/>
                              </w:rPr>
                            </w:pPr>
                            <w:r>
                              <w:rPr>
                                <w:color w:val="231F20"/>
                                <w:sz w:val="15"/>
                              </w:rPr>
                              <w:t>Idiopathic</w:t>
                            </w:r>
                            <w:r>
                              <w:rPr>
                                <w:color w:val="231F20"/>
                                <w:spacing w:val="-12"/>
                                <w:sz w:val="15"/>
                              </w:rPr>
                              <w:t> </w:t>
                            </w:r>
                            <w:r>
                              <w:rPr>
                                <w:color w:val="231F20"/>
                                <w:sz w:val="15"/>
                              </w:rPr>
                              <w:t>thrombocytopenic</w:t>
                            </w:r>
                            <w:r>
                              <w:rPr>
                                <w:color w:val="231F20"/>
                                <w:spacing w:val="-11"/>
                                <w:sz w:val="15"/>
                              </w:rPr>
                              <w:t> </w:t>
                            </w:r>
                            <w:r>
                              <w:rPr>
                                <w:color w:val="231F20"/>
                                <w:sz w:val="15"/>
                              </w:rPr>
                              <w:t>purpura Hemolytic uremic syndrome</w:t>
                            </w:r>
                          </w:p>
                          <w:p>
                            <w:pPr>
                              <w:pStyle w:val="TableParagraph"/>
                              <w:spacing w:line="230" w:lineRule="auto" w:before="1"/>
                              <w:ind w:left="292" w:right="256"/>
                              <w:rPr>
                                <w:sz w:val="15"/>
                              </w:rPr>
                            </w:pPr>
                            <w:r>
                              <w:rPr>
                                <w:color w:val="231F20"/>
                                <w:sz w:val="15"/>
                              </w:rPr>
                              <w:t>Hepatic disease/failure coagulopathy Vitamin</w:t>
                            </w:r>
                            <w:r>
                              <w:rPr>
                                <w:color w:val="231F20"/>
                                <w:spacing w:val="-12"/>
                                <w:sz w:val="15"/>
                              </w:rPr>
                              <w:t> </w:t>
                            </w:r>
                            <w:r>
                              <w:rPr>
                                <w:color w:val="231F20"/>
                                <w:sz w:val="15"/>
                              </w:rPr>
                              <w:t>K</w:t>
                            </w:r>
                            <w:r>
                              <w:rPr>
                                <w:color w:val="231F20"/>
                                <w:spacing w:val="-11"/>
                                <w:sz w:val="15"/>
                              </w:rPr>
                              <w:t> </w:t>
                            </w:r>
                            <w:r>
                              <w:rPr>
                                <w:color w:val="231F20"/>
                                <w:sz w:val="15"/>
                              </w:rPr>
                              <w:t>deficiency</w:t>
                            </w:r>
                            <w:r>
                              <w:rPr>
                                <w:color w:val="231F20"/>
                                <w:spacing w:val="-11"/>
                                <w:sz w:val="15"/>
                              </w:rPr>
                              <w:t> </w:t>
                            </w:r>
                            <w:r>
                              <w:rPr>
                                <w:color w:val="231F20"/>
                                <w:sz w:val="15"/>
                              </w:rPr>
                              <w:t>(hemorrhagic</w:t>
                            </w:r>
                            <w:r>
                              <w:rPr>
                                <w:color w:val="231F20"/>
                                <w:spacing w:val="-12"/>
                                <w:sz w:val="15"/>
                              </w:rPr>
                              <w:t> </w:t>
                            </w:r>
                            <w:r>
                              <w:rPr>
                                <w:color w:val="231F20"/>
                                <w:sz w:val="15"/>
                              </w:rPr>
                              <w:t>disease</w:t>
                            </w:r>
                            <w:r>
                              <w:rPr>
                                <w:color w:val="231F20"/>
                                <w:spacing w:val="-11"/>
                                <w:sz w:val="15"/>
                              </w:rPr>
                              <w:t> </w:t>
                            </w:r>
                            <w:r>
                              <w:rPr>
                                <w:color w:val="231F20"/>
                                <w:sz w:val="15"/>
                              </w:rPr>
                              <w:t>of</w:t>
                            </w:r>
                          </w:p>
                          <w:p>
                            <w:pPr>
                              <w:pStyle w:val="TableParagraph"/>
                              <w:spacing w:line="167" w:lineRule="exact"/>
                              <w:ind w:left="404"/>
                              <w:rPr>
                                <w:sz w:val="15"/>
                              </w:rPr>
                            </w:pPr>
                            <w:r>
                              <w:rPr>
                                <w:color w:val="231F20"/>
                                <w:sz w:val="15"/>
                              </w:rPr>
                              <w:t>the</w:t>
                            </w:r>
                            <w:r>
                              <w:rPr>
                                <w:color w:val="231F20"/>
                                <w:spacing w:val="-8"/>
                                <w:sz w:val="15"/>
                              </w:rPr>
                              <w:t> </w:t>
                            </w:r>
                            <w:r>
                              <w:rPr>
                                <w:color w:val="231F20"/>
                                <w:spacing w:val="-2"/>
                                <w:sz w:val="15"/>
                              </w:rPr>
                              <w:t>newborn)</w:t>
                            </w:r>
                          </w:p>
                          <w:p>
                            <w:pPr>
                              <w:pStyle w:val="TableParagraph"/>
                              <w:spacing w:line="171" w:lineRule="exact"/>
                              <w:ind w:left="292"/>
                              <w:rPr>
                                <w:sz w:val="15"/>
                              </w:rPr>
                            </w:pPr>
                            <w:r>
                              <w:rPr>
                                <w:color w:val="231F20"/>
                                <w:spacing w:val="-2"/>
                                <w:sz w:val="15"/>
                              </w:rPr>
                              <w:t>Disseminated</w:t>
                            </w:r>
                            <w:r>
                              <w:rPr>
                                <w:color w:val="231F20"/>
                                <w:spacing w:val="4"/>
                                <w:sz w:val="15"/>
                              </w:rPr>
                              <w:t> </w:t>
                            </w:r>
                            <w:r>
                              <w:rPr>
                                <w:color w:val="231F20"/>
                                <w:spacing w:val="-2"/>
                                <w:sz w:val="15"/>
                              </w:rPr>
                              <w:t>intravascular</w:t>
                            </w:r>
                            <w:r>
                              <w:rPr>
                                <w:color w:val="231F20"/>
                                <w:spacing w:val="4"/>
                                <w:sz w:val="15"/>
                              </w:rPr>
                              <w:t> </w:t>
                            </w:r>
                            <w:r>
                              <w:rPr>
                                <w:color w:val="231F20"/>
                                <w:spacing w:val="-2"/>
                                <w:sz w:val="15"/>
                              </w:rPr>
                              <w:t>coagulopathy</w:t>
                            </w:r>
                          </w:p>
                        </w:tc>
                      </w:tr>
                      <w:tr>
                        <w:trPr>
                          <w:trHeight w:val="1759"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Trauma</w:t>
                            </w:r>
                          </w:p>
                        </w:tc>
                        <w:tc>
                          <w:tcPr>
                            <w:tcW w:w="3555" w:type="dxa"/>
                            <w:tcBorders>
                              <w:top w:val="single" w:sz="4" w:space="0" w:color="FFFFFF"/>
                              <w:bottom w:val="single" w:sz="8" w:space="0" w:color="231F20"/>
                            </w:tcBorders>
                            <w:shd w:val="clear" w:color="auto" w:fill="E8F5F1"/>
                          </w:tcPr>
                          <w:p>
                            <w:pPr>
                              <w:pStyle w:val="TableParagraph"/>
                              <w:spacing w:line="230" w:lineRule="auto" w:before="48"/>
                              <w:ind w:left="404" w:hanging="112"/>
                              <w:rPr>
                                <w:sz w:val="15"/>
                              </w:rPr>
                            </w:pPr>
                            <w:r>
                              <w:rPr>
                                <w:color w:val="231F20"/>
                                <w:spacing w:val="-2"/>
                                <w:sz w:val="15"/>
                              </w:rPr>
                              <w:t>Middle</w:t>
                            </w:r>
                            <w:r>
                              <w:rPr>
                                <w:color w:val="231F20"/>
                                <w:spacing w:val="-5"/>
                                <w:sz w:val="15"/>
                              </w:rPr>
                              <w:t> </w:t>
                            </w:r>
                            <w:r>
                              <w:rPr>
                                <w:color w:val="231F20"/>
                                <w:spacing w:val="-2"/>
                                <w:sz w:val="15"/>
                              </w:rPr>
                              <w:t>meningeal</w:t>
                            </w:r>
                            <w:r>
                              <w:rPr>
                                <w:color w:val="231F20"/>
                                <w:spacing w:val="-5"/>
                                <w:sz w:val="15"/>
                              </w:rPr>
                              <w:t> </w:t>
                            </w:r>
                            <w:r>
                              <w:rPr>
                                <w:color w:val="231F20"/>
                                <w:spacing w:val="-2"/>
                                <w:sz w:val="15"/>
                              </w:rPr>
                              <w:t>artery</w:t>
                            </w:r>
                            <w:r>
                              <w:rPr>
                                <w:color w:val="231F20"/>
                                <w:spacing w:val="-5"/>
                                <w:sz w:val="15"/>
                              </w:rPr>
                              <w:t> </w:t>
                            </w:r>
                            <w:r>
                              <w:rPr>
                                <w:color w:val="231F20"/>
                                <w:spacing w:val="-2"/>
                                <w:sz w:val="15"/>
                              </w:rPr>
                              <w:t>injury</w:t>
                            </w:r>
                            <w:r>
                              <w:rPr>
                                <w:color w:val="231F20"/>
                                <w:spacing w:val="-5"/>
                                <w:sz w:val="15"/>
                              </w:rPr>
                              <w:t> </w:t>
                            </w:r>
                            <w:r>
                              <w:rPr>
                                <w:color w:val="231F20"/>
                                <w:spacing w:val="-2"/>
                                <w:sz w:val="15"/>
                              </w:rPr>
                              <w:t>(epidural hematoma)</w:t>
                            </w:r>
                          </w:p>
                          <w:p>
                            <w:pPr>
                              <w:pStyle w:val="TableParagraph"/>
                              <w:spacing w:line="230" w:lineRule="auto" w:before="1"/>
                              <w:ind w:left="292"/>
                              <w:rPr>
                                <w:sz w:val="15"/>
                              </w:rPr>
                            </w:pPr>
                            <w:r>
                              <w:rPr>
                                <w:color w:val="231F20"/>
                                <w:spacing w:val="-2"/>
                                <w:sz w:val="15"/>
                              </w:rPr>
                              <w:t>Bridging vein injury (subdural </w:t>
                            </w:r>
                            <w:r>
                              <w:rPr>
                                <w:color w:val="231F20"/>
                                <w:spacing w:val="-2"/>
                                <w:sz w:val="15"/>
                              </w:rPr>
                              <w:t>hematoma) </w:t>
                            </w:r>
                            <w:r>
                              <w:rPr>
                                <w:color w:val="231F20"/>
                                <w:sz w:val="15"/>
                              </w:rPr>
                              <w:t>Subarachnoid hemorrhage</w:t>
                            </w:r>
                          </w:p>
                          <w:p>
                            <w:pPr>
                              <w:pStyle w:val="TableParagraph"/>
                              <w:spacing w:line="167" w:lineRule="exact"/>
                              <w:ind w:left="292"/>
                              <w:rPr>
                                <w:sz w:val="15"/>
                              </w:rPr>
                            </w:pPr>
                            <w:r>
                              <w:rPr>
                                <w:color w:val="231F20"/>
                                <w:sz w:val="15"/>
                              </w:rPr>
                              <w:t>Hemorrhagic</w:t>
                            </w:r>
                            <w:r>
                              <w:rPr>
                                <w:color w:val="231F20"/>
                                <w:spacing w:val="4"/>
                                <w:sz w:val="15"/>
                              </w:rPr>
                              <w:t> </w:t>
                            </w:r>
                            <w:r>
                              <w:rPr>
                                <w:color w:val="231F20"/>
                                <w:sz w:val="15"/>
                              </w:rPr>
                              <w:t>contusions</w:t>
                            </w:r>
                            <w:r>
                              <w:rPr>
                                <w:color w:val="231F20"/>
                                <w:spacing w:val="4"/>
                                <w:sz w:val="15"/>
                              </w:rPr>
                              <w:t> </w:t>
                            </w:r>
                            <w:r>
                              <w:rPr>
                                <w:color w:val="231F20"/>
                                <w:sz w:val="15"/>
                              </w:rPr>
                              <w:t>(coup</w:t>
                            </w:r>
                            <w:r>
                              <w:rPr>
                                <w:color w:val="231F20"/>
                                <w:spacing w:val="4"/>
                                <w:sz w:val="15"/>
                              </w:rPr>
                              <w:t> </w:t>
                            </w:r>
                            <w:r>
                              <w:rPr>
                                <w:color w:val="231F20"/>
                                <w:sz w:val="15"/>
                              </w:rPr>
                              <w:t>and</w:t>
                            </w:r>
                            <w:r>
                              <w:rPr>
                                <w:color w:val="231F20"/>
                                <w:spacing w:val="4"/>
                                <w:sz w:val="15"/>
                              </w:rPr>
                              <w:t> </w:t>
                            </w:r>
                            <w:r>
                              <w:rPr>
                                <w:color w:val="231F20"/>
                                <w:spacing w:val="-2"/>
                                <w:sz w:val="15"/>
                              </w:rPr>
                              <w:t>contrecoup)</w:t>
                            </w:r>
                          </w:p>
                          <w:p>
                            <w:pPr>
                              <w:pStyle w:val="TableParagraph"/>
                              <w:spacing w:line="230" w:lineRule="auto" w:before="3"/>
                              <w:ind w:left="404" w:hanging="112"/>
                              <w:rPr>
                                <w:sz w:val="15"/>
                              </w:rPr>
                            </w:pPr>
                            <w:r>
                              <w:rPr>
                                <w:color w:val="231F20"/>
                                <w:sz w:val="15"/>
                              </w:rPr>
                              <w:t>Nonaccidental</w:t>
                            </w:r>
                            <w:r>
                              <w:rPr>
                                <w:color w:val="231F20"/>
                                <w:spacing w:val="-12"/>
                                <w:sz w:val="15"/>
                              </w:rPr>
                              <w:t> </w:t>
                            </w:r>
                            <w:r>
                              <w:rPr>
                                <w:color w:val="231F20"/>
                                <w:sz w:val="15"/>
                              </w:rPr>
                              <w:t>trauma</w:t>
                            </w:r>
                            <w:r>
                              <w:rPr>
                                <w:color w:val="231F20"/>
                                <w:spacing w:val="-11"/>
                                <w:sz w:val="15"/>
                              </w:rPr>
                              <w:t> </w:t>
                            </w:r>
                            <w:r>
                              <w:rPr>
                                <w:color w:val="231F20"/>
                                <w:sz w:val="15"/>
                              </w:rPr>
                              <w:t>(subdural</w:t>
                            </w:r>
                            <w:r>
                              <w:rPr>
                                <w:color w:val="231F20"/>
                                <w:spacing w:val="-11"/>
                                <w:sz w:val="15"/>
                              </w:rPr>
                              <w:t> </w:t>
                            </w:r>
                            <w:r>
                              <w:rPr>
                                <w:color w:val="231F20"/>
                                <w:sz w:val="15"/>
                              </w:rPr>
                              <w:t>hematomas</w:t>
                            </w:r>
                            <w:r>
                              <w:rPr>
                                <w:color w:val="231F20"/>
                                <w:spacing w:val="-12"/>
                                <w:sz w:val="15"/>
                              </w:rPr>
                              <w:t> </w:t>
                            </w:r>
                            <w:r>
                              <w:rPr>
                                <w:color w:val="231F20"/>
                                <w:sz w:val="15"/>
                              </w:rPr>
                              <w:t>of different ages)</w:t>
                            </w:r>
                          </w:p>
                          <w:p>
                            <w:pPr>
                              <w:pStyle w:val="TableParagraph"/>
                              <w:spacing w:line="230" w:lineRule="auto" w:before="1"/>
                              <w:ind w:left="404" w:hanging="112"/>
                              <w:rPr>
                                <w:sz w:val="15"/>
                              </w:rPr>
                            </w:pPr>
                            <w:r>
                              <w:rPr>
                                <w:color w:val="231F20"/>
                                <w:spacing w:val="-2"/>
                                <w:sz w:val="15"/>
                              </w:rPr>
                              <w:t>Iatrogenic (neurosurgical </w:t>
                            </w:r>
                            <w:r>
                              <w:rPr>
                                <w:color w:val="231F20"/>
                                <w:spacing w:val="-2"/>
                                <w:sz w:val="15"/>
                              </w:rPr>
                              <w:t>procedures, angiography)</w:t>
                            </w:r>
                          </w:p>
                          <w:p>
                            <w:pPr>
                              <w:pStyle w:val="TableParagraph"/>
                              <w:spacing w:line="170" w:lineRule="exact"/>
                              <w:ind w:left="292"/>
                              <w:rPr>
                                <w:sz w:val="15"/>
                              </w:rPr>
                            </w:pPr>
                            <w:r>
                              <w:rPr>
                                <w:color w:val="231F20"/>
                                <w:sz w:val="15"/>
                              </w:rPr>
                              <w:t>Rupture</w:t>
                            </w:r>
                            <w:r>
                              <w:rPr>
                                <w:color w:val="231F20"/>
                                <w:spacing w:val="-7"/>
                                <w:sz w:val="15"/>
                              </w:rPr>
                              <w:t> </w:t>
                            </w:r>
                            <w:r>
                              <w:rPr>
                                <w:color w:val="231F20"/>
                                <w:sz w:val="15"/>
                              </w:rPr>
                              <w:t>of</w:t>
                            </w:r>
                            <w:r>
                              <w:rPr>
                                <w:color w:val="231F20"/>
                                <w:spacing w:val="-6"/>
                                <w:sz w:val="15"/>
                              </w:rPr>
                              <w:t> </w:t>
                            </w:r>
                            <w:r>
                              <w:rPr>
                                <w:color w:val="231F20"/>
                                <w:sz w:val="15"/>
                              </w:rPr>
                              <w:t>arachnoid</w:t>
                            </w:r>
                            <w:r>
                              <w:rPr>
                                <w:color w:val="231F20"/>
                                <w:spacing w:val="-6"/>
                                <w:sz w:val="15"/>
                              </w:rPr>
                              <w:t> </w:t>
                            </w:r>
                            <w:r>
                              <w:rPr>
                                <w:color w:val="231F20"/>
                                <w:spacing w:val="-4"/>
                                <w:sz w:val="15"/>
                              </w:rPr>
                              <w:t>cyst</w:t>
                            </w:r>
                          </w:p>
                        </w:tc>
                      </w:tr>
                    </w:tbl>
                    <w:p>
                      <w:pPr>
                        <w:pStyle w:val="BodyText"/>
                      </w:pPr>
                    </w:p>
                  </w:txbxContent>
                </v:textbox>
                <w10:wrap type="topAndBottom"/>
              </v:shape>
            </w:pict>
          </mc:Fallback>
        </mc:AlternateContent>
      </w:r>
    </w:p>
    <w:p>
      <w:pPr>
        <w:pStyle w:val="BodyText"/>
        <w:spacing w:line="150" w:lineRule="exact" w:before="64"/>
        <w:ind w:left="360"/>
      </w:pPr>
      <w:r>
        <w:rPr>
          <w:color w:val="231F20"/>
          <w:spacing w:val="-2"/>
        </w:rPr>
        <w:t>Primary</w:t>
      </w:r>
      <w:r>
        <w:rPr>
          <w:color w:val="231F20"/>
          <w:spacing w:val="2"/>
        </w:rPr>
        <w:t> </w:t>
      </w:r>
      <w:r>
        <w:rPr>
          <w:color w:val="231F20"/>
          <w:spacing w:val="-2"/>
        </w:rPr>
        <w:t>central</w:t>
      </w:r>
      <w:r>
        <w:rPr>
          <w:color w:val="231F20"/>
          <w:spacing w:val="3"/>
        </w:rPr>
        <w:t> </w:t>
      </w:r>
      <w:r>
        <w:rPr>
          <w:color w:val="231F20"/>
          <w:spacing w:val="-2"/>
        </w:rPr>
        <w:t>nervous</w:t>
      </w:r>
      <w:r>
        <w:rPr>
          <w:color w:val="231F20"/>
          <w:spacing w:val="3"/>
        </w:rPr>
        <w:t> </w:t>
      </w:r>
      <w:r>
        <w:rPr>
          <w:color w:val="231F20"/>
          <w:spacing w:val="-2"/>
        </w:rPr>
        <w:t>system</w:t>
      </w:r>
      <w:r>
        <w:rPr>
          <w:color w:val="231F20"/>
          <w:spacing w:val="3"/>
        </w:rPr>
        <w:t> </w:t>
      </w:r>
      <w:r>
        <w:rPr>
          <w:color w:val="231F20"/>
          <w:spacing w:val="-2"/>
        </w:rPr>
        <w:t>vasculitis</w:t>
      </w:r>
    </w:p>
    <w:p>
      <w:pPr>
        <w:spacing w:before="0"/>
        <w:ind w:left="360" w:right="5931" w:firstLine="130"/>
        <w:jc w:val="left"/>
        <w:rPr>
          <w:i/>
          <w:sz w:val="13"/>
        </w:rPr>
      </w:pPr>
      <w:r>
        <w:rPr>
          <w:i/>
          <w:color w:val="231F20"/>
          <w:sz w:val="13"/>
        </w:rPr>
        <w:t>From Roach ES, Golomb MR, Adams R, et al: Management of stroke in</w:t>
      </w:r>
      <w:r>
        <w:rPr>
          <w:i/>
          <w:color w:val="231F20"/>
          <w:spacing w:val="40"/>
          <w:sz w:val="13"/>
        </w:rPr>
        <w:t> </w:t>
      </w:r>
      <w:r>
        <w:rPr>
          <w:i/>
          <w:color w:val="231F20"/>
          <w:sz w:val="13"/>
        </w:rPr>
        <w:t>infants and children, </w:t>
      </w:r>
      <w:r>
        <w:rPr>
          <w:color w:val="231F20"/>
          <w:sz w:val="13"/>
        </w:rPr>
        <w:t>Stroke </w:t>
      </w:r>
      <w:r>
        <w:rPr>
          <w:i/>
          <w:color w:val="231F20"/>
          <w:sz w:val="13"/>
        </w:rPr>
        <w:t>39:2644–2691, 2008, Table 5, p. 8.</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59" name="Group 759"/>
                <wp:cNvGraphicFramePr>
                  <a:graphicFrameLocks/>
                </wp:cNvGraphicFramePr>
                <a:graphic>
                  <a:graphicData uri="http://schemas.microsoft.com/office/word/2010/wordprocessingGroup">
                    <wpg:wgp>
                      <wpg:cNvPr id="759" name="Group 759"/>
                      <wpg:cNvGrpSpPr/>
                      <wpg:grpSpPr>
                        <a:xfrm>
                          <a:off x="0" y="0"/>
                          <a:ext cx="6185535" cy="170815"/>
                          <a:chExt cx="6185535" cy="170815"/>
                        </a:xfrm>
                      </wpg:grpSpPr>
                      <wps:wsp>
                        <wps:cNvPr id="760" name="Graphic 760"/>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61" name="Graphic 761"/>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62" name="Textbox 762"/>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2892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36"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37" filled="false" stroked="false">
                  <v:textbox inset="0,0,0,0">
                    <w:txbxContent>
                      <w:p>
                        <w:pPr>
                          <w:spacing w:before="6"/>
                          <w:ind w:left="-1" w:right="0" w:firstLine="0"/>
                          <w:jc w:val="left"/>
                          <w:rPr>
                            <w:sz w:val="18"/>
                          </w:rPr>
                        </w:pPr>
                        <w:r>
                          <w:rPr>
                            <w:b/>
                            <w:color w:val="231F20"/>
                            <w:w w:val="105"/>
                            <w:sz w:val="18"/>
                          </w:rPr>
                          <w:t>2892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870"/>
        <w:gridCol w:w="4870"/>
      </w:tblGrid>
      <w:tr>
        <w:trPr>
          <w:trHeight w:val="377" w:hRule="exact"/>
        </w:trPr>
        <w:tc>
          <w:tcPr>
            <w:tcW w:w="9740" w:type="dxa"/>
            <w:gridSpan w:val="2"/>
            <w:tcBorders>
              <w:top w:val="nil"/>
              <w:left w:val="nil"/>
              <w:bottom w:val="nil"/>
              <w:right w:val="nil"/>
            </w:tcBorders>
            <w:shd w:val="clear" w:color="auto" w:fill="231F20"/>
          </w:tcPr>
          <w:p>
            <w:pPr>
              <w:pStyle w:val="TableParagraph"/>
              <w:spacing w:before="89"/>
              <w:ind w:left="111"/>
              <w:rPr>
                <w:sz w:val="16"/>
              </w:rPr>
            </w:pPr>
            <w:r>
              <w:rPr>
                <w:b/>
                <w:color w:val="FFFFFF"/>
                <w:w w:val="105"/>
                <w:sz w:val="16"/>
              </w:rPr>
              <w:t>Table</w:t>
            </w:r>
            <w:r>
              <w:rPr>
                <w:b/>
                <w:color w:val="FFFFFF"/>
                <w:spacing w:val="-6"/>
                <w:w w:val="105"/>
                <w:sz w:val="16"/>
              </w:rPr>
              <w:t> </w:t>
            </w:r>
            <w:r>
              <w:rPr>
                <w:b/>
                <w:color w:val="FFFFFF"/>
                <w:w w:val="105"/>
                <w:sz w:val="16"/>
              </w:rPr>
              <w:t>597-10</w:t>
            </w:r>
            <w:r>
              <w:rPr>
                <w:b/>
                <w:color w:val="FFFFFF"/>
                <w:spacing w:val="37"/>
                <w:w w:val="105"/>
                <w:sz w:val="16"/>
              </w:rPr>
              <w:t>  </w:t>
            </w:r>
            <w:r>
              <w:rPr>
                <w:color w:val="FFFFFF"/>
                <w:w w:val="105"/>
                <w:sz w:val="16"/>
              </w:rPr>
              <w:t>Causes</w:t>
            </w:r>
            <w:r>
              <w:rPr>
                <w:color w:val="FFFFFF"/>
                <w:spacing w:val="7"/>
                <w:w w:val="105"/>
                <w:sz w:val="16"/>
              </w:rPr>
              <w:t> </w:t>
            </w:r>
            <w:r>
              <w:rPr>
                <w:color w:val="FFFFFF"/>
                <w:w w:val="105"/>
                <w:sz w:val="16"/>
              </w:rPr>
              <w:t>of</w:t>
            </w:r>
            <w:r>
              <w:rPr>
                <w:color w:val="FFFFFF"/>
                <w:spacing w:val="7"/>
                <w:w w:val="105"/>
                <w:sz w:val="16"/>
              </w:rPr>
              <w:t> </w:t>
            </w:r>
            <w:r>
              <w:rPr>
                <w:color w:val="FFFFFF"/>
                <w:w w:val="105"/>
                <w:sz w:val="16"/>
              </w:rPr>
              <w:t>Dystonia</w:t>
            </w:r>
            <w:r>
              <w:rPr>
                <w:color w:val="FFFFFF"/>
                <w:spacing w:val="8"/>
                <w:w w:val="105"/>
                <w:sz w:val="16"/>
              </w:rPr>
              <w:t> </w:t>
            </w:r>
            <w:r>
              <w:rPr>
                <w:color w:val="FFFFFF"/>
                <w:w w:val="105"/>
                <w:sz w:val="16"/>
              </w:rPr>
              <w:t>in</w:t>
            </w:r>
            <w:r>
              <w:rPr>
                <w:color w:val="FFFFFF"/>
                <w:spacing w:val="7"/>
                <w:w w:val="105"/>
                <w:sz w:val="16"/>
              </w:rPr>
              <w:t> </w:t>
            </w:r>
            <w:r>
              <w:rPr>
                <w:color w:val="FFFFFF"/>
                <w:spacing w:val="-2"/>
                <w:w w:val="105"/>
                <w:sz w:val="16"/>
              </w:rPr>
              <w:t>Childhood</w:t>
            </w:r>
          </w:p>
        </w:tc>
      </w:tr>
      <w:tr>
        <w:trPr>
          <w:trHeight w:val="1771" w:hRule="exact"/>
        </w:trPr>
        <w:tc>
          <w:tcPr>
            <w:tcW w:w="4870" w:type="dxa"/>
            <w:tcBorders>
              <w:top w:val="nil"/>
              <w:left w:val="nil"/>
              <w:right w:val="single" w:sz="4" w:space="0" w:color="231F20"/>
            </w:tcBorders>
            <w:shd w:val="clear" w:color="auto" w:fill="E8F5F1"/>
          </w:tcPr>
          <w:p>
            <w:pPr>
              <w:pStyle w:val="TableParagraph"/>
              <w:spacing w:line="172" w:lineRule="exact" w:before="43"/>
              <w:ind w:left="74"/>
              <w:rPr>
                <w:sz w:val="15"/>
              </w:rPr>
            </w:pPr>
            <w:r>
              <w:rPr>
                <w:color w:val="231F20"/>
                <w:spacing w:val="2"/>
                <w:sz w:val="15"/>
              </w:rPr>
              <w:t>STATIC</w:t>
            </w:r>
            <w:r>
              <w:rPr>
                <w:color w:val="231F20"/>
                <w:spacing w:val="35"/>
                <w:sz w:val="15"/>
              </w:rPr>
              <w:t> </w:t>
            </w:r>
            <w:r>
              <w:rPr>
                <w:color w:val="231F20"/>
                <w:spacing w:val="2"/>
                <w:sz w:val="15"/>
              </w:rPr>
              <w:t>INJURY/STRUCTURAL</w:t>
            </w:r>
            <w:r>
              <w:rPr>
                <w:color w:val="231F20"/>
                <w:spacing w:val="35"/>
                <w:sz w:val="15"/>
              </w:rPr>
              <w:t> </w:t>
            </w:r>
            <w:r>
              <w:rPr>
                <w:color w:val="231F20"/>
                <w:spacing w:val="-2"/>
                <w:sz w:val="15"/>
              </w:rPr>
              <w:t>DISORDERS</w:t>
            </w:r>
          </w:p>
          <w:p>
            <w:pPr>
              <w:pStyle w:val="TableParagraph"/>
              <w:spacing w:line="230" w:lineRule="auto" w:before="3"/>
              <w:ind w:left="74" w:right="2734"/>
              <w:rPr>
                <w:sz w:val="15"/>
              </w:rPr>
            </w:pPr>
            <w:r>
              <w:rPr>
                <w:color w:val="231F20"/>
                <w:sz w:val="15"/>
              </w:rPr>
              <w:t>Cerebral palsy </w:t>
            </w:r>
            <w:r>
              <w:rPr>
                <w:color w:val="231F20"/>
                <w:spacing w:val="-2"/>
                <w:sz w:val="15"/>
              </w:rPr>
              <w:t>Hypoxic–ischemic</w:t>
            </w:r>
            <w:r>
              <w:rPr>
                <w:color w:val="231F20"/>
                <w:spacing w:val="-10"/>
                <w:sz w:val="15"/>
              </w:rPr>
              <w:t> </w:t>
            </w:r>
            <w:r>
              <w:rPr>
                <w:color w:val="231F20"/>
                <w:spacing w:val="-2"/>
                <w:sz w:val="15"/>
              </w:rPr>
              <w:t>injury Kernicterus</w:t>
            </w:r>
          </w:p>
          <w:p>
            <w:pPr>
              <w:pStyle w:val="TableParagraph"/>
              <w:spacing w:line="230" w:lineRule="auto" w:before="3"/>
              <w:ind w:left="74" w:right="3913"/>
              <w:rPr>
                <w:sz w:val="15"/>
              </w:rPr>
            </w:pPr>
            <w:r>
              <w:rPr>
                <w:color w:val="231F20"/>
                <w:sz w:val="15"/>
              </w:rPr>
              <w:t>Head</w:t>
            </w:r>
            <w:r>
              <w:rPr>
                <w:color w:val="231F20"/>
                <w:spacing w:val="-12"/>
                <w:sz w:val="15"/>
              </w:rPr>
              <w:t> </w:t>
            </w:r>
            <w:r>
              <w:rPr>
                <w:color w:val="231F20"/>
                <w:sz w:val="15"/>
              </w:rPr>
              <w:t>trauma </w:t>
            </w:r>
            <w:r>
              <w:rPr>
                <w:color w:val="231F20"/>
                <w:spacing w:val="-2"/>
                <w:sz w:val="15"/>
              </w:rPr>
              <w:t>Encephalitis Tumors</w:t>
            </w:r>
          </w:p>
          <w:p>
            <w:pPr>
              <w:pStyle w:val="TableParagraph"/>
              <w:spacing w:line="230" w:lineRule="auto" w:before="2"/>
              <w:ind w:left="186" w:hanging="112"/>
              <w:rPr>
                <w:sz w:val="15"/>
              </w:rPr>
            </w:pPr>
            <w:r>
              <w:rPr>
                <w:color w:val="231F20"/>
                <w:sz w:val="15"/>
              </w:rPr>
              <w:t>Stroke</w:t>
            </w:r>
            <w:r>
              <w:rPr>
                <w:color w:val="231F20"/>
                <w:spacing w:val="-9"/>
                <w:sz w:val="15"/>
              </w:rPr>
              <w:t> </w:t>
            </w:r>
            <w:r>
              <w:rPr>
                <w:color w:val="231F20"/>
                <w:sz w:val="15"/>
              </w:rPr>
              <w:t>in</w:t>
            </w:r>
            <w:r>
              <w:rPr>
                <w:color w:val="231F20"/>
                <w:spacing w:val="-9"/>
                <w:sz w:val="15"/>
              </w:rPr>
              <w:t> </w:t>
            </w:r>
            <w:r>
              <w:rPr>
                <w:color w:val="231F20"/>
                <w:sz w:val="15"/>
              </w:rPr>
              <w:t>the</w:t>
            </w:r>
            <w:r>
              <w:rPr>
                <w:color w:val="231F20"/>
                <w:spacing w:val="-9"/>
                <w:sz w:val="15"/>
              </w:rPr>
              <w:t> </w:t>
            </w:r>
            <w:r>
              <w:rPr>
                <w:color w:val="231F20"/>
                <w:sz w:val="15"/>
              </w:rPr>
              <w:t>basal</w:t>
            </w:r>
            <w:r>
              <w:rPr>
                <w:color w:val="231F20"/>
                <w:spacing w:val="-9"/>
                <w:sz w:val="15"/>
              </w:rPr>
              <w:t> </w:t>
            </w:r>
            <w:r>
              <w:rPr>
                <w:color w:val="231F20"/>
                <w:sz w:val="15"/>
              </w:rPr>
              <w:t>ganglia</w:t>
            </w:r>
            <w:r>
              <w:rPr>
                <w:color w:val="231F20"/>
                <w:spacing w:val="-9"/>
                <w:sz w:val="15"/>
              </w:rPr>
              <w:t> </w:t>
            </w:r>
            <w:r>
              <w:rPr>
                <w:color w:val="231F20"/>
                <w:sz w:val="15"/>
              </w:rPr>
              <w:t>(which</w:t>
            </w:r>
            <w:r>
              <w:rPr>
                <w:color w:val="231F20"/>
                <w:spacing w:val="-9"/>
                <w:sz w:val="15"/>
              </w:rPr>
              <w:t> </w:t>
            </w:r>
            <w:r>
              <w:rPr>
                <w:color w:val="231F20"/>
                <w:sz w:val="15"/>
              </w:rPr>
              <w:t>may</w:t>
            </w:r>
            <w:r>
              <w:rPr>
                <w:color w:val="231F20"/>
                <w:spacing w:val="-9"/>
                <w:sz w:val="15"/>
              </w:rPr>
              <w:t> </w:t>
            </w:r>
            <w:r>
              <w:rPr>
                <w:color w:val="231F20"/>
                <w:sz w:val="15"/>
              </w:rPr>
              <w:t>be</w:t>
            </w:r>
            <w:r>
              <w:rPr>
                <w:color w:val="231F20"/>
                <w:spacing w:val="-9"/>
                <w:sz w:val="15"/>
              </w:rPr>
              <w:t> </w:t>
            </w:r>
            <w:r>
              <w:rPr>
                <w:color w:val="231F20"/>
                <w:sz w:val="15"/>
              </w:rPr>
              <w:t>a</w:t>
            </w:r>
            <w:r>
              <w:rPr>
                <w:color w:val="231F20"/>
                <w:spacing w:val="-9"/>
                <w:sz w:val="15"/>
              </w:rPr>
              <w:t> </w:t>
            </w:r>
            <w:r>
              <w:rPr>
                <w:color w:val="231F20"/>
                <w:sz w:val="15"/>
              </w:rPr>
              <w:t>result</w:t>
            </w:r>
            <w:r>
              <w:rPr>
                <w:color w:val="231F20"/>
                <w:spacing w:val="-9"/>
                <w:sz w:val="15"/>
              </w:rPr>
              <w:t> </w:t>
            </w:r>
            <w:r>
              <w:rPr>
                <w:color w:val="231F20"/>
                <w:sz w:val="15"/>
              </w:rPr>
              <w:t>of</w:t>
            </w:r>
            <w:r>
              <w:rPr>
                <w:color w:val="231F20"/>
                <w:spacing w:val="-9"/>
                <w:sz w:val="15"/>
              </w:rPr>
              <w:t> </w:t>
            </w:r>
            <w:r>
              <w:rPr>
                <w:color w:val="231F20"/>
                <w:sz w:val="15"/>
              </w:rPr>
              <w:t>vascular abnormalities or varicella)</w:t>
            </w:r>
          </w:p>
          <w:p>
            <w:pPr>
              <w:pStyle w:val="TableParagraph"/>
              <w:spacing w:line="170" w:lineRule="exact"/>
              <w:ind w:left="74"/>
              <w:rPr>
                <w:sz w:val="15"/>
              </w:rPr>
            </w:pPr>
            <w:r>
              <w:rPr>
                <w:color w:val="231F20"/>
                <w:sz w:val="15"/>
              </w:rPr>
              <w:t>Congenital</w:t>
            </w:r>
            <w:r>
              <w:rPr>
                <w:color w:val="231F20"/>
                <w:spacing w:val="15"/>
                <w:sz w:val="15"/>
              </w:rPr>
              <w:t> </w:t>
            </w:r>
            <w:r>
              <w:rPr>
                <w:color w:val="231F20"/>
                <w:spacing w:val="-2"/>
                <w:sz w:val="15"/>
              </w:rPr>
              <w:t>malformations</w:t>
            </w:r>
          </w:p>
        </w:tc>
        <w:tc>
          <w:tcPr>
            <w:tcW w:w="4870" w:type="dxa"/>
            <w:vMerge w:val="restart"/>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0"/>
                <w:sz w:val="15"/>
              </w:rPr>
              <w:t>DRUGS/TOXINS</w:t>
            </w:r>
          </w:p>
          <w:p>
            <w:pPr>
              <w:pStyle w:val="TableParagraph"/>
              <w:spacing w:line="230" w:lineRule="auto" w:before="3"/>
              <w:ind w:left="181" w:hanging="112"/>
              <w:rPr>
                <w:sz w:val="15"/>
              </w:rPr>
            </w:pPr>
            <w:r>
              <w:rPr>
                <w:color w:val="231F20"/>
                <w:spacing w:val="-2"/>
                <w:sz w:val="15"/>
              </w:rPr>
              <w:t>Neuroleptic and antiemetic medications (haloperidol, </w:t>
            </w:r>
            <w:r>
              <w:rPr>
                <w:color w:val="231F20"/>
                <w:spacing w:val="-2"/>
                <w:sz w:val="15"/>
              </w:rPr>
              <w:t>chlorpromazine, </w:t>
            </w:r>
            <w:r>
              <w:rPr>
                <w:color w:val="231F20"/>
                <w:sz w:val="15"/>
              </w:rPr>
              <w:t>olanzapine, risperidone, prochlorperazine)</w:t>
            </w:r>
          </w:p>
          <w:p>
            <w:pPr>
              <w:pStyle w:val="TableParagraph"/>
              <w:spacing w:line="167" w:lineRule="exact"/>
              <w:ind w:left="69"/>
              <w:rPr>
                <w:sz w:val="15"/>
              </w:rPr>
            </w:pPr>
            <w:r>
              <w:rPr>
                <w:color w:val="231F20"/>
                <w:sz w:val="15"/>
              </w:rPr>
              <w:t>Calcium</w:t>
            </w:r>
            <w:r>
              <w:rPr>
                <w:color w:val="231F20"/>
                <w:spacing w:val="-7"/>
                <w:sz w:val="15"/>
              </w:rPr>
              <w:t> </w:t>
            </w:r>
            <w:r>
              <w:rPr>
                <w:color w:val="231F20"/>
                <w:sz w:val="15"/>
              </w:rPr>
              <w:t>channel</w:t>
            </w:r>
            <w:r>
              <w:rPr>
                <w:color w:val="231F20"/>
                <w:spacing w:val="-7"/>
                <w:sz w:val="15"/>
              </w:rPr>
              <w:t> </w:t>
            </w:r>
            <w:r>
              <w:rPr>
                <w:color w:val="231F20"/>
                <w:spacing w:val="-2"/>
                <w:sz w:val="15"/>
              </w:rPr>
              <w:t>blockers</w:t>
            </w:r>
          </w:p>
          <w:p>
            <w:pPr>
              <w:pStyle w:val="TableParagraph"/>
              <w:spacing w:line="230" w:lineRule="auto" w:before="3"/>
              <w:ind w:left="69" w:right="1306"/>
              <w:rPr>
                <w:sz w:val="15"/>
              </w:rPr>
            </w:pPr>
            <w:r>
              <w:rPr>
                <w:color w:val="231F20"/>
                <w:spacing w:val="-2"/>
                <w:sz w:val="15"/>
              </w:rPr>
              <w:t>Stimulants</w:t>
            </w:r>
            <w:r>
              <w:rPr>
                <w:color w:val="231F20"/>
                <w:spacing w:val="-9"/>
                <w:sz w:val="15"/>
              </w:rPr>
              <w:t> </w:t>
            </w:r>
            <w:r>
              <w:rPr>
                <w:color w:val="231F20"/>
                <w:spacing w:val="-2"/>
                <w:sz w:val="15"/>
              </w:rPr>
              <w:t>(amphetamine,</w:t>
            </w:r>
            <w:r>
              <w:rPr>
                <w:color w:val="231F20"/>
                <w:spacing w:val="-9"/>
                <w:sz w:val="15"/>
              </w:rPr>
              <w:t> </w:t>
            </w:r>
            <w:r>
              <w:rPr>
                <w:color w:val="231F20"/>
                <w:spacing w:val="-2"/>
                <w:sz w:val="15"/>
              </w:rPr>
              <w:t>cocaine,</w:t>
            </w:r>
            <w:r>
              <w:rPr>
                <w:color w:val="231F20"/>
                <w:spacing w:val="-9"/>
                <w:sz w:val="15"/>
              </w:rPr>
              <w:t> </w:t>
            </w:r>
            <w:r>
              <w:rPr>
                <w:color w:val="231F20"/>
                <w:spacing w:val="-2"/>
                <w:sz w:val="15"/>
              </w:rPr>
              <w:t>ergot</w:t>
            </w:r>
            <w:r>
              <w:rPr>
                <w:color w:val="231F20"/>
                <w:spacing w:val="-9"/>
                <w:sz w:val="15"/>
              </w:rPr>
              <w:t> </w:t>
            </w:r>
            <w:r>
              <w:rPr>
                <w:color w:val="231F20"/>
                <w:spacing w:val="-2"/>
                <w:sz w:val="15"/>
              </w:rPr>
              <w:t>alkaloids) </w:t>
            </w:r>
            <w:r>
              <w:rPr>
                <w:color w:val="231F20"/>
                <w:sz w:val="15"/>
              </w:rPr>
              <w:t>Anticonvulsants (carbamazepine, phenytoin) </w:t>
            </w:r>
            <w:r>
              <w:rPr>
                <w:color w:val="231F20"/>
                <w:spacing w:val="-2"/>
                <w:sz w:val="15"/>
              </w:rPr>
              <w:t>Thallium</w:t>
            </w:r>
          </w:p>
          <w:p>
            <w:pPr>
              <w:pStyle w:val="TableParagraph"/>
              <w:spacing w:line="230" w:lineRule="auto" w:before="2"/>
              <w:ind w:left="69" w:right="3586"/>
              <w:rPr>
                <w:sz w:val="15"/>
              </w:rPr>
            </w:pPr>
            <w:r>
              <w:rPr>
                <w:color w:val="231F20"/>
                <w:spacing w:val="-2"/>
                <w:w w:val="105"/>
                <w:sz w:val="15"/>
              </w:rPr>
              <w:t>Manganese Carbon</w:t>
            </w:r>
            <w:r>
              <w:rPr>
                <w:color w:val="231F20"/>
                <w:spacing w:val="-10"/>
                <w:w w:val="105"/>
                <w:sz w:val="15"/>
              </w:rPr>
              <w:t> </w:t>
            </w:r>
            <w:r>
              <w:rPr>
                <w:color w:val="231F20"/>
                <w:spacing w:val="-2"/>
                <w:w w:val="105"/>
                <w:sz w:val="15"/>
              </w:rPr>
              <w:t>monoxide </w:t>
            </w:r>
            <w:r>
              <w:rPr>
                <w:color w:val="231F20"/>
                <w:w w:val="105"/>
                <w:sz w:val="15"/>
              </w:rPr>
              <w:t>Ethylene glycol </w:t>
            </w:r>
            <w:r>
              <w:rPr>
                <w:color w:val="231F20"/>
                <w:spacing w:val="-2"/>
                <w:w w:val="105"/>
                <w:sz w:val="15"/>
              </w:rPr>
              <w:t>Cyanide</w:t>
            </w:r>
            <w:r>
              <w:rPr>
                <w:color w:val="231F20"/>
                <w:spacing w:val="40"/>
                <w:w w:val="105"/>
                <w:sz w:val="15"/>
              </w:rPr>
              <w:t> </w:t>
            </w:r>
            <w:r>
              <w:rPr>
                <w:color w:val="231F20"/>
                <w:spacing w:val="-2"/>
                <w:w w:val="105"/>
                <w:sz w:val="15"/>
              </w:rPr>
              <w:t>Methanol</w:t>
            </w:r>
          </w:p>
          <w:p>
            <w:pPr>
              <w:pStyle w:val="TableParagraph"/>
              <w:spacing w:line="172" w:lineRule="exact"/>
              <w:ind w:left="69"/>
              <w:rPr>
                <w:sz w:val="15"/>
              </w:rPr>
            </w:pPr>
            <w:r>
              <w:rPr>
                <w:color w:val="231F20"/>
                <w:w w:val="105"/>
                <w:sz w:val="15"/>
              </w:rPr>
              <w:t>Wasp</w:t>
            </w:r>
            <w:r>
              <w:rPr>
                <w:color w:val="231F20"/>
                <w:spacing w:val="2"/>
                <w:w w:val="105"/>
                <w:sz w:val="15"/>
              </w:rPr>
              <w:t> </w:t>
            </w:r>
            <w:r>
              <w:rPr>
                <w:color w:val="231F20"/>
                <w:spacing w:val="-2"/>
                <w:w w:val="105"/>
                <w:sz w:val="15"/>
              </w:rPr>
              <w:t>sting</w:t>
            </w:r>
          </w:p>
        </w:tc>
      </w:tr>
      <w:tr>
        <w:trPr>
          <w:trHeight w:val="508" w:hRule="exact"/>
        </w:trPr>
        <w:tc>
          <w:tcPr>
            <w:tcW w:w="4870" w:type="dxa"/>
            <w:vMerge w:val="restart"/>
            <w:tcBorders>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05"/>
                <w:sz w:val="15"/>
              </w:rPr>
              <w:t>HEREDITARY/DEGENERATIVE</w:t>
            </w:r>
            <w:r>
              <w:rPr>
                <w:color w:val="231F20"/>
                <w:spacing w:val="29"/>
                <w:w w:val="110"/>
                <w:sz w:val="15"/>
              </w:rPr>
              <w:t> </w:t>
            </w:r>
            <w:r>
              <w:rPr>
                <w:color w:val="231F20"/>
                <w:spacing w:val="-2"/>
                <w:w w:val="110"/>
                <w:sz w:val="15"/>
              </w:rPr>
              <w:t>DISORDERS</w:t>
            </w:r>
          </w:p>
          <w:p>
            <w:pPr>
              <w:pStyle w:val="TableParagraph"/>
              <w:spacing w:line="230" w:lineRule="auto" w:before="3"/>
              <w:ind w:left="74" w:right="2703"/>
              <w:rPr>
                <w:sz w:val="15"/>
              </w:rPr>
            </w:pPr>
            <w:r>
              <w:rPr>
                <w:color w:val="231F20"/>
                <w:sz w:val="15"/>
              </w:rPr>
              <w:t>DYT1</w:t>
            </w:r>
            <w:r>
              <w:rPr>
                <w:color w:val="231F20"/>
                <w:spacing w:val="-12"/>
                <w:sz w:val="15"/>
              </w:rPr>
              <w:t> </w:t>
            </w:r>
            <w:r>
              <w:rPr>
                <w:color w:val="231F20"/>
                <w:sz w:val="15"/>
              </w:rPr>
              <w:t>(9q34,</w:t>
            </w:r>
            <w:r>
              <w:rPr>
                <w:color w:val="231F20"/>
                <w:spacing w:val="-11"/>
                <w:sz w:val="15"/>
              </w:rPr>
              <w:t> </w:t>
            </w:r>
            <w:r>
              <w:rPr>
                <w:color w:val="231F20"/>
                <w:sz w:val="15"/>
              </w:rPr>
              <w:t>encodes</w:t>
            </w:r>
            <w:r>
              <w:rPr>
                <w:color w:val="231F20"/>
                <w:spacing w:val="-11"/>
                <w:sz w:val="15"/>
              </w:rPr>
              <w:t> </w:t>
            </w:r>
            <w:r>
              <w:rPr>
                <w:color w:val="231F20"/>
                <w:sz w:val="15"/>
              </w:rPr>
              <w:t>torsinA) DYT2 (autosomal-recessive)</w:t>
            </w:r>
          </w:p>
          <w:p>
            <w:pPr>
              <w:pStyle w:val="TableParagraph"/>
              <w:spacing w:line="230" w:lineRule="auto" w:before="2"/>
              <w:ind w:left="74" w:right="400"/>
              <w:rPr>
                <w:sz w:val="15"/>
              </w:rPr>
            </w:pPr>
            <w:r>
              <w:rPr>
                <w:color w:val="231F20"/>
                <w:sz w:val="15"/>
              </w:rPr>
              <w:t>DYT3</w:t>
            </w:r>
            <w:r>
              <w:rPr>
                <w:color w:val="231F20"/>
                <w:spacing w:val="-1"/>
                <w:sz w:val="15"/>
              </w:rPr>
              <w:t> </w:t>
            </w:r>
            <w:r>
              <w:rPr>
                <w:color w:val="231F20"/>
                <w:sz w:val="15"/>
              </w:rPr>
              <w:t>(X-linked</w:t>
            </w:r>
            <w:r>
              <w:rPr>
                <w:color w:val="231F20"/>
                <w:spacing w:val="-1"/>
                <w:sz w:val="15"/>
              </w:rPr>
              <w:t> </w:t>
            </w:r>
            <w:r>
              <w:rPr>
                <w:color w:val="231F20"/>
                <w:sz w:val="15"/>
              </w:rPr>
              <w:t>dystonia-parkinsonism</w:t>
            </w:r>
            <w:r>
              <w:rPr>
                <w:color w:val="231F20"/>
                <w:spacing w:val="-1"/>
                <w:sz w:val="15"/>
              </w:rPr>
              <w:t> </w:t>
            </w:r>
            <w:r>
              <w:rPr>
                <w:color w:val="231F20"/>
                <w:sz w:val="15"/>
              </w:rPr>
              <w:t>syndrome</w:t>
            </w:r>
            <w:r>
              <w:rPr>
                <w:color w:val="231F20"/>
                <w:spacing w:val="-1"/>
                <w:sz w:val="15"/>
              </w:rPr>
              <w:t> </w:t>
            </w:r>
            <w:r>
              <w:rPr>
                <w:color w:val="231F20"/>
                <w:sz w:val="15"/>
              </w:rPr>
              <w:t>of</w:t>
            </w:r>
            <w:r>
              <w:rPr>
                <w:color w:val="231F20"/>
                <w:spacing w:val="-1"/>
                <w:sz w:val="15"/>
              </w:rPr>
              <w:t> </w:t>
            </w:r>
            <w:r>
              <w:rPr>
                <w:color w:val="231F20"/>
                <w:sz w:val="15"/>
              </w:rPr>
              <w:t>Lubag–Xq13) </w:t>
            </w:r>
            <w:r>
              <w:rPr>
                <w:color w:val="231F20"/>
                <w:spacing w:val="-4"/>
                <w:sz w:val="15"/>
              </w:rPr>
              <w:t>DYT4</w:t>
            </w:r>
          </w:p>
          <w:p>
            <w:pPr>
              <w:pStyle w:val="TableParagraph"/>
              <w:spacing w:line="230" w:lineRule="auto" w:before="1"/>
              <w:ind w:left="186" w:hanging="112"/>
              <w:rPr>
                <w:sz w:val="15"/>
              </w:rPr>
            </w:pPr>
            <w:r>
              <w:rPr>
                <w:color w:val="231F20"/>
                <w:sz w:val="15"/>
              </w:rPr>
              <w:t>DYT5</w:t>
            </w:r>
            <w:r>
              <w:rPr>
                <w:color w:val="231F20"/>
                <w:spacing w:val="-5"/>
                <w:sz w:val="15"/>
              </w:rPr>
              <w:t> </w:t>
            </w:r>
            <w:r>
              <w:rPr>
                <w:color w:val="231F20"/>
                <w:sz w:val="15"/>
              </w:rPr>
              <w:t>(14q22.1-2,</w:t>
            </w:r>
            <w:r>
              <w:rPr>
                <w:color w:val="231F20"/>
                <w:spacing w:val="-5"/>
                <w:sz w:val="15"/>
              </w:rPr>
              <w:t> </w:t>
            </w:r>
            <w:r>
              <w:rPr>
                <w:color w:val="231F20"/>
                <w:sz w:val="15"/>
              </w:rPr>
              <w:t>encodes</w:t>
            </w:r>
            <w:r>
              <w:rPr>
                <w:color w:val="231F20"/>
                <w:spacing w:val="-5"/>
                <w:sz w:val="15"/>
              </w:rPr>
              <w:t> </w:t>
            </w:r>
            <w:r>
              <w:rPr>
                <w:color w:val="231F20"/>
                <w:sz w:val="15"/>
              </w:rPr>
              <w:t>GTP</w:t>
            </w:r>
            <w:r>
              <w:rPr>
                <w:color w:val="231F20"/>
                <w:spacing w:val="-5"/>
                <w:sz w:val="15"/>
              </w:rPr>
              <w:t> </w:t>
            </w:r>
            <w:r>
              <w:rPr>
                <w:color w:val="231F20"/>
                <w:sz w:val="15"/>
              </w:rPr>
              <w:t>cyclohydrolase</w:t>
            </w:r>
            <w:r>
              <w:rPr>
                <w:color w:val="231F20"/>
                <w:spacing w:val="-5"/>
                <w:sz w:val="15"/>
              </w:rPr>
              <w:t> </w:t>
            </w:r>
            <w:r>
              <w:rPr>
                <w:color w:val="231F20"/>
                <w:sz w:val="15"/>
              </w:rPr>
              <w:t>I,</w:t>
            </w:r>
            <w:r>
              <w:rPr>
                <w:color w:val="231F20"/>
                <w:spacing w:val="-5"/>
                <w:sz w:val="15"/>
              </w:rPr>
              <w:t> </w:t>
            </w:r>
            <w:r>
              <w:rPr>
                <w:color w:val="231F20"/>
                <w:sz w:val="15"/>
              </w:rPr>
              <w:t>leading</w:t>
            </w:r>
            <w:r>
              <w:rPr>
                <w:color w:val="231F20"/>
                <w:spacing w:val="-5"/>
                <w:sz w:val="15"/>
              </w:rPr>
              <w:t> </w:t>
            </w:r>
            <w:r>
              <w:rPr>
                <w:color w:val="231F20"/>
                <w:sz w:val="15"/>
              </w:rPr>
              <w:t>to</w:t>
            </w:r>
            <w:r>
              <w:rPr>
                <w:color w:val="231F20"/>
                <w:spacing w:val="-5"/>
                <w:sz w:val="15"/>
              </w:rPr>
              <w:t> </w:t>
            </w:r>
            <w:r>
              <w:rPr>
                <w:color w:val="231F20"/>
                <w:sz w:val="15"/>
              </w:rPr>
              <w:t>dopa- responsive dystonia or Segawa disease)</w:t>
            </w:r>
          </w:p>
          <w:p>
            <w:pPr>
              <w:pStyle w:val="TableParagraph"/>
              <w:spacing w:line="230" w:lineRule="auto" w:before="2"/>
              <w:ind w:left="74" w:right="3640"/>
              <w:rPr>
                <w:sz w:val="15"/>
              </w:rPr>
            </w:pPr>
            <w:r>
              <w:rPr>
                <w:color w:val="231F20"/>
                <w:spacing w:val="-2"/>
                <w:sz w:val="15"/>
              </w:rPr>
              <w:t>DYT6</w:t>
            </w:r>
            <w:r>
              <w:rPr>
                <w:color w:val="231F20"/>
                <w:spacing w:val="-10"/>
                <w:sz w:val="15"/>
              </w:rPr>
              <w:t> </w:t>
            </w:r>
            <w:r>
              <w:rPr>
                <w:color w:val="231F20"/>
                <w:spacing w:val="-2"/>
                <w:sz w:val="15"/>
              </w:rPr>
              <w:t>(8p21-</w:t>
            </w:r>
            <w:r>
              <w:rPr>
                <w:color w:val="231F20"/>
                <w:spacing w:val="-2"/>
                <w:sz w:val="15"/>
              </w:rPr>
              <w:t>q22) </w:t>
            </w:r>
            <w:r>
              <w:rPr>
                <w:color w:val="231F20"/>
                <w:sz w:val="15"/>
              </w:rPr>
              <w:t>DYT7 (18p)</w:t>
            </w:r>
          </w:p>
          <w:p>
            <w:pPr>
              <w:pStyle w:val="TableParagraph"/>
              <w:spacing w:line="230" w:lineRule="auto" w:before="1"/>
              <w:ind w:left="186" w:hanging="112"/>
              <w:rPr>
                <w:sz w:val="15"/>
              </w:rPr>
            </w:pPr>
            <w:r>
              <w:rPr>
                <w:color w:val="231F20"/>
                <w:sz w:val="15"/>
              </w:rPr>
              <w:t>DYT8</w:t>
            </w:r>
            <w:r>
              <w:rPr>
                <w:color w:val="231F20"/>
                <w:spacing w:val="-8"/>
                <w:sz w:val="15"/>
              </w:rPr>
              <w:t> </w:t>
            </w:r>
            <w:r>
              <w:rPr>
                <w:color w:val="231F20"/>
                <w:sz w:val="15"/>
              </w:rPr>
              <w:t>(2q33-q35,</w:t>
            </w:r>
            <w:r>
              <w:rPr>
                <w:color w:val="231F20"/>
                <w:spacing w:val="-8"/>
                <w:sz w:val="15"/>
              </w:rPr>
              <w:t> </w:t>
            </w:r>
            <w:r>
              <w:rPr>
                <w:color w:val="231F20"/>
                <w:sz w:val="15"/>
              </w:rPr>
              <w:t>causing</w:t>
            </w:r>
            <w:r>
              <w:rPr>
                <w:color w:val="231F20"/>
                <w:spacing w:val="-8"/>
                <w:sz w:val="15"/>
              </w:rPr>
              <w:t> </w:t>
            </w:r>
            <w:r>
              <w:rPr>
                <w:color w:val="231F20"/>
                <w:sz w:val="15"/>
              </w:rPr>
              <w:t>paroxysmal</w:t>
            </w:r>
            <w:r>
              <w:rPr>
                <w:color w:val="231F20"/>
                <w:spacing w:val="-8"/>
                <w:sz w:val="15"/>
              </w:rPr>
              <w:t> </w:t>
            </w:r>
            <w:r>
              <w:rPr>
                <w:color w:val="231F20"/>
                <w:sz w:val="15"/>
              </w:rPr>
              <w:t>nonkinesigenic</w:t>
            </w:r>
            <w:r>
              <w:rPr>
                <w:color w:val="231F20"/>
                <w:spacing w:val="-8"/>
                <w:sz w:val="15"/>
              </w:rPr>
              <w:t> </w:t>
            </w:r>
            <w:r>
              <w:rPr>
                <w:color w:val="231F20"/>
                <w:sz w:val="15"/>
              </w:rPr>
              <w:t>choreoathetosis </w:t>
            </w:r>
            <w:r>
              <w:rPr>
                <w:color w:val="231F20"/>
                <w:spacing w:val="-2"/>
                <w:sz w:val="15"/>
              </w:rPr>
              <w:t>[PNKC])</w:t>
            </w:r>
          </w:p>
          <w:p>
            <w:pPr>
              <w:pStyle w:val="TableParagraph"/>
              <w:spacing w:line="230" w:lineRule="auto" w:before="2"/>
              <w:ind w:left="186" w:hanging="112"/>
              <w:rPr>
                <w:sz w:val="15"/>
              </w:rPr>
            </w:pPr>
            <w:r>
              <w:rPr>
                <w:color w:val="231F20"/>
                <w:sz w:val="15"/>
              </w:rPr>
              <w:t>DYT9</w:t>
            </w:r>
            <w:r>
              <w:rPr>
                <w:color w:val="231F20"/>
                <w:spacing w:val="-3"/>
                <w:sz w:val="15"/>
              </w:rPr>
              <w:t> </w:t>
            </w:r>
            <w:r>
              <w:rPr>
                <w:color w:val="231F20"/>
                <w:sz w:val="15"/>
              </w:rPr>
              <w:t>(1p,</w:t>
            </w:r>
            <w:r>
              <w:rPr>
                <w:color w:val="231F20"/>
                <w:spacing w:val="-3"/>
                <w:sz w:val="15"/>
              </w:rPr>
              <w:t> </w:t>
            </w:r>
            <w:r>
              <w:rPr>
                <w:color w:val="231F20"/>
                <w:sz w:val="15"/>
              </w:rPr>
              <w:t>causing</w:t>
            </w:r>
            <w:r>
              <w:rPr>
                <w:color w:val="231F20"/>
                <w:spacing w:val="-3"/>
                <w:sz w:val="15"/>
              </w:rPr>
              <w:t> </w:t>
            </w:r>
            <w:r>
              <w:rPr>
                <w:color w:val="231F20"/>
                <w:sz w:val="15"/>
              </w:rPr>
              <w:t>paroxysmal</w:t>
            </w:r>
            <w:r>
              <w:rPr>
                <w:color w:val="231F20"/>
                <w:spacing w:val="-3"/>
                <w:sz w:val="15"/>
              </w:rPr>
              <w:t> </w:t>
            </w:r>
            <w:r>
              <w:rPr>
                <w:color w:val="231F20"/>
                <w:sz w:val="15"/>
              </w:rPr>
              <w:t>nonkinesigenic</w:t>
            </w:r>
            <w:r>
              <w:rPr>
                <w:color w:val="231F20"/>
                <w:spacing w:val="-3"/>
                <w:sz w:val="15"/>
              </w:rPr>
              <w:t> </w:t>
            </w:r>
            <w:r>
              <w:rPr>
                <w:color w:val="231F20"/>
                <w:sz w:val="15"/>
              </w:rPr>
              <w:t>dyskinesia</w:t>
            </w:r>
            <w:r>
              <w:rPr>
                <w:color w:val="231F20"/>
                <w:spacing w:val="-3"/>
                <w:sz w:val="15"/>
              </w:rPr>
              <w:t> </w:t>
            </w:r>
            <w:r>
              <w:rPr>
                <w:color w:val="231F20"/>
                <w:sz w:val="15"/>
              </w:rPr>
              <w:t>[PNKD]</w:t>
            </w:r>
            <w:r>
              <w:rPr>
                <w:color w:val="231F20"/>
                <w:spacing w:val="-3"/>
                <w:sz w:val="15"/>
              </w:rPr>
              <w:t> </w:t>
            </w:r>
            <w:r>
              <w:rPr>
                <w:color w:val="231F20"/>
                <w:sz w:val="15"/>
              </w:rPr>
              <w:t>and </w:t>
            </w:r>
            <w:r>
              <w:rPr>
                <w:color w:val="231F20"/>
                <w:spacing w:val="-2"/>
                <w:sz w:val="15"/>
              </w:rPr>
              <w:t>spasticity)</w:t>
            </w:r>
          </w:p>
          <w:p>
            <w:pPr>
              <w:pStyle w:val="TableParagraph"/>
              <w:spacing w:line="230" w:lineRule="auto" w:before="1"/>
              <w:ind w:left="186" w:right="895" w:hanging="112"/>
              <w:rPr>
                <w:sz w:val="15"/>
              </w:rPr>
            </w:pPr>
            <w:r>
              <w:rPr>
                <w:color w:val="231F20"/>
                <w:spacing w:val="-2"/>
                <w:sz w:val="15"/>
              </w:rPr>
              <w:t>DYT10 (16p11.2-q12.1, causing paroxysmal </w:t>
            </w:r>
            <w:r>
              <w:rPr>
                <w:color w:val="231F20"/>
                <w:spacing w:val="-2"/>
                <w:sz w:val="15"/>
              </w:rPr>
              <w:t>kinesigenic </w:t>
            </w:r>
            <w:r>
              <w:rPr>
                <w:color w:val="231F20"/>
                <w:sz w:val="15"/>
              </w:rPr>
              <w:t>choreoathetosis [PKC])</w:t>
            </w:r>
          </w:p>
          <w:p>
            <w:pPr>
              <w:pStyle w:val="TableParagraph"/>
              <w:spacing w:line="230" w:lineRule="auto" w:before="1"/>
              <w:ind w:left="74" w:right="741"/>
              <w:rPr>
                <w:sz w:val="15"/>
              </w:rPr>
            </w:pPr>
            <w:r>
              <w:rPr>
                <w:color w:val="231F20"/>
                <w:sz w:val="15"/>
              </w:rPr>
              <w:t>DYT11</w:t>
            </w:r>
            <w:r>
              <w:rPr>
                <w:color w:val="231F20"/>
                <w:spacing w:val="-12"/>
                <w:sz w:val="15"/>
              </w:rPr>
              <w:t> </w:t>
            </w:r>
            <w:r>
              <w:rPr>
                <w:color w:val="231F20"/>
                <w:sz w:val="15"/>
              </w:rPr>
              <w:t>(heterogeneous,</w:t>
            </w:r>
            <w:r>
              <w:rPr>
                <w:color w:val="231F20"/>
                <w:spacing w:val="-11"/>
                <w:sz w:val="15"/>
              </w:rPr>
              <w:t> </w:t>
            </w:r>
            <w:r>
              <w:rPr>
                <w:color w:val="231F20"/>
                <w:sz w:val="15"/>
              </w:rPr>
              <w:t>causing</w:t>
            </w:r>
            <w:r>
              <w:rPr>
                <w:color w:val="231F20"/>
                <w:spacing w:val="-11"/>
                <w:sz w:val="15"/>
              </w:rPr>
              <w:t> </w:t>
            </w:r>
            <w:r>
              <w:rPr>
                <w:color w:val="231F20"/>
                <w:sz w:val="15"/>
              </w:rPr>
              <w:t>familial</w:t>
            </w:r>
            <w:r>
              <w:rPr>
                <w:color w:val="231F20"/>
                <w:spacing w:val="-12"/>
                <w:sz w:val="15"/>
              </w:rPr>
              <w:t> </w:t>
            </w:r>
            <w:r>
              <w:rPr>
                <w:color w:val="231F20"/>
                <w:sz w:val="15"/>
              </w:rPr>
              <w:t>myoclonus-</w:t>
            </w:r>
            <w:r>
              <w:rPr>
                <w:color w:val="231F20"/>
                <w:sz w:val="15"/>
              </w:rPr>
              <w:t>dystonia) Rapid-onset dystonia-parkinsonism (DYT12)</w:t>
            </w:r>
          </w:p>
          <w:p>
            <w:pPr>
              <w:pStyle w:val="TableParagraph"/>
              <w:spacing w:line="167" w:lineRule="exact"/>
              <w:ind w:left="74"/>
              <w:rPr>
                <w:sz w:val="15"/>
              </w:rPr>
            </w:pPr>
            <w:r>
              <w:rPr>
                <w:color w:val="231F20"/>
                <w:sz w:val="15"/>
              </w:rPr>
              <w:t>Fahr</w:t>
            </w:r>
            <w:r>
              <w:rPr>
                <w:color w:val="231F20"/>
                <w:spacing w:val="-5"/>
                <w:sz w:val="15"/>
              </w:rPr>
              <w:t> </w:t>
            </w:r>
            <w:r>
              <w:rPr>
                <w:color w:val="231F20"/>
                <w:sz w:val="15"/>
              </w:rPr>
              <w:t>disease</w:t>
            </w:r>
            <w:r>
              <w:rPr>
                <w:color w:val="231F20"/>
                <w:spacing w:val="-5"/>
                <w:sz w:val="15"/>
              </w:rPr>
              <w:t> </w:t>
            </w:r>
            <w:r>
              <w:rPr>
                <w:color w:val="231F20"/>
                <w:sz w:val="15"/>
              </w:rPr>
              <w:t>(often</w:t>
            </w:r>
            <w:r>
              <w:rPr>
                <w:color w:val="231F20"/>
                <w:spacing w:val="-5"/>
                <w:sz w:val="15"/>
              </w:rPr>
              <w:t> </w:t>
            </w:r>
            <w:r>
              <w:rPr>
                <w:color w:val="231F20"/>
                <w:sz w:val="15"/>
              </w:rPr>
              <w:t>caused</w:t>
            </w:r>
            <w:r>
              <w:rPr>
                <w:color w:val="231F20"/>
                <w:spacing w:val="-5"/>
                <w:sz w:val="15"/>
              </w:rPr>
              <w:t> </w:t>
            </w:r>
            <w:r>
              <w:rPr>
                <w:color w:val="231F20"/>
                <w:sz w:val="15"/>
              </w:rPr>
              <w:t>by</w:t>
            </w:r>
            <w:r>
              <w:rPr>
                <w:color w:val="231F20"/>
                <w:spacing w:val="-5"/>
                <w:sz w:val="15"/>
              </w:rPr>
              <w:t> </w:t>
            </w:r>
            <w:r>
              <w:rPr>
                <w:color w:val="231F20"/>
                <w:sz w:val="15"/>
              </w:rPr>
              <w:t>hypoparathyroid</w:t>
            </w:r>
            <w:r>
              <w:rPr>
                <w:color w:val="231F20"/>
                <w:spacing w:val="-4"/>
                <w:sz w:val="15"/>
              </w:rPr>
              <w:t> </w:t>
            </w:r>
            <w:r>
              <w:rPr>
                <w:color w:val="231F20"/>
                <w:spacing w:val="-2"/>
                <w:sz w:val="15"/>
              </w:rPr>
              <w:t>disease)</w:t>
            </w:r>
          </w:p>
          <w:p>
            <w:pPr>
              <w:pStyle w:val="TableParagraph"/>
              <w:spacing w:line="230" w:lineRule="auto" w:before="3"/>
              <w:ind w:left="186" w:hanging="112"/>
              <w:rPr>
                <w:sz w:val="15"/>
              </w:rPr>
            </w:pPr>
            <w:r>
              <w:rPr>
                <w:color w:val="231F20"/>
                <w:sz w:val="15"/>
              </w:rPr>
              <w:t>Pantothenate kinase-associated neurodegeneration (PKAN; neuronal </w:t>
            </w:r>
            <w:r>
              <w:rPr>
                <w:color w:val="231F20"/>
                <w:spacing w:val="-2"/>
                <w:sz w:val="15"/>
              </w:rPr>
              <w:t>brain</w:t>
            </w:r>
            <w:r>
              <w:rPr>
                <w:color w:val="231F20"/>
                <w:spacing w:val="-3"/>
                <w:sz w:val="15"/>
              </w:rPr>
              <w:t> </w:t>
            </w:r>
            <w:r>
              <w:rPr>
                <w:color w:val="231F20"/>
                <w:spacing w:val="-2"/>
                <w:sz w:val="15"/>
              </w:rPr>
              <w:t>iron</w:t>
            </w:r>
            <w:r>
              <w:rPr>
                <w:color w:val="231F20"/>
                <w:spacing w:val="-3"/>
                <w:sz w:val="15"/>
              </w:rPr>
              <w:t> </w:t>
            </w:r>
            <w:r>
              <w:rPr>
                <w:color w:val="231F20"/>
                <w:spacing w:val="-2"/>
                <w:sz w:val="15"/>
              </w:rPr>
              <w:t>accumulation</w:t>
            </w:r>
            <w:r>
              <w:rPr>
                <w:color w:val="231F20"/>
                <w:spacing w:val="-3"/>
                <w:sz w:val="15"/>
              </w:rPr>
              <w:t> </w:t>
            </w:r>
            <w:r>
              <w:rPr>
                <w:color w:val="231F20"/>
                <w:spacing w:val="-2"/>
                <w:sz w:val="15"/>
              </w:rPr>
              <w:t>type</w:t>
            </w:r>
            <w:r>
              <w:rPr>
                <w:color w:val="231F20"/>
                <w:spacing w:val="-3"/>
                <w:sz w:val="15"/>
              </w:rPr>
              <w:t> </w:t>
            </w:r>
            <w:r>
              <w:rPr>
                <w:color w:val="231F20"/>
                <w:spacing w:val="-2"/>
                <w:sz w:val="15"/>
              </w:rPr>
              <w:t>1,</w:t>
            </w:r>
            <w:r>
              <w:rPr>
                <w:color w:val="231F20"/>
                <w:spacing w:val="-3"/>
                <w:sz w:val="15"/>
              </w:rPr>
              <w:t> </w:t>
            </w:r>
            <w:r>
              <w:rPr>
                <w:color w:val="231F20"/>
                <w:spacing w:val="-2"/>
                <w:sz w:val="15"/>
              </w:rPr>
              <w:t>formerly</w:t>
            </w:r>
            <w:r>
              <w:rPr>
                <w:color w:val="231F20"/>
                <w:spacing w:val="-3"/>
                <w:sz w:val="15"/>
              </w:rPr>
              <w:t> </w:t>
            </w:r>
            <w:r>
              <w:rPr>
                <w:color w:val="231F20"/>
                <w:spacing w:val="-2"/>
                <w:sz w:val="15"/>
              </w:rPr>
              <w:t>Hallervorden-Spatz</w:t>
            </w:r>
            <w:r>
              <w:rPr>
                <w:color w:val="231F20"/>
                <w:spacing w:val="-3"/>
                <w:sz w:val="15"/>
              </w:rPr>
              <w:t> </w:t>
            </w:r>
            <w:r>
              <w:rPr>
                <w:color w:val="231F20"/>
                <w:spacing w:val="-2"/>
                <w:sz w:val="15"/>
              </w:rPr>
              <w:t>disease, </w:t>
            </w:r>
            <w:r>
              <w:rPr>
                <w:color w:val="231F20"/>
                <w:sz w:val="15"/>
              </w:rPr>
              <w:t>caused by mutations in PANK2)</w:t>
            </w:r>
          </w:p>
          <w:p>
            <w:pPr>
              <w:pStyle w:val="TableParagraph"/>
              <w:spacing w:line="168" w:lineRule="exact"/>
              <w:ind w:left="74"/>
              <w:rPr>
                <w:sz w:val="15"/>
              </w:rPr>
            </w:pPr>
            <w:r>
              <w:rPr>
                <w:color w:val="231F20"/>
                <w:spacing w:val="-2"/>
                <w:sz w:val="15"/>
              </w:rPr>
              <w:t>Huntington</w:t>
            </w:r>
            <w:r>
              <w:rPr>
                <w:color w:val="231F20"/>
                <w:spacing w:val="-3"/>
                <w:sz w:val="15"/>
              </w:rPr>
              <w:t> </w:t>
            </w:r>
            <w:r>
              <w:rPr>
                <w:color w:val="231F20"/>
                <w:spacing w:val="-2"/>
                <w:sz w:val="15"/>
              </w:rPr>
              <w:t>disease</w:t>
            </w:r>
            <w:r>
              <w:rPr>
                <w:color w:val="231F20"/>
                <w:spacing w:val="-3"/>
                <w:sz w:val="15"/>
              </w:rPr>
              <w:t> </w:t>
            </w:r>
            <w:r>
              <w:rPr>
                <w:color w:val="231F20"/>
                <w:spacing w:val="-2"/>
                <w:sz w:val="15"/>
              </w:rPr>
              <w:t>(particularly</w:t>
            </w:r>
            <w:r>
              <w:rPr>
                <w:color w:val="231F20"/>
                <w:spacing w:val="-3"/>
                <w:sz w:val="15"/>
              </w:rPr>
              <w:t> </w:t>
            </w:r>
            <w:r>
              <w:rPr>
                <w:color w:val="231F20"/>
                <w:spacing w:val="-2"/>
                <w:sz w:val="15"/>
              </w:rPr>
              <w:t>the Westphal</w:t>
            </w:r>
            <w:r>
              <w:rPr>
                <w:color w:val="231F20"/>
                <w:spacing w:val="-3"/>
                <w:sz w:val="15"/>
              </w:rPr>
              <w:t> </w:t>
            </w:r>
            <w:r>
              <w:rPr>
                <w:color w:val="231F20"/>
                <w:spacing w:val="-2"/>
                <w:sz w:val="15"/>
              </w:rPr>
              <w:t>variant,</w:t>
            </w:r>
            <w:r>
              <w:rPr>
                <w:color w:val="231F20"/>
                <w:spacing w:val="-3"/>
                <w:sz w:val="15"/>
              </w:rPr>
              <w:t> </w:t>
            </w:r>
            <w:r>
              <w:rPr>
                <w:color w:val="231F20"/>
                <w:spacing w:val="-2"/>
                <w:sz w:val="15"/>
              </w:rPr>
              <w:t>IT15-4p16.3)</w:t>
            </w:r>
          </w:p>
          <w:p>
            <w:pPr>
              <w:pStyle w:val="TableParagraph"/>
              <w:spacing w:line="230" w:lineRule="auto" w:before="3"/>
              <w:ind w:left="186" w:right="400" w:hanging="112"/>
              <w:rPr>
                <w:sz w:val="15"/>
              </w:rPr>
            </w:pPr>
            <w:r>
              <w:rPr>
                <w:color w:val="231F20"/>
                <w:sz w:val="15"/>
              </w:rPr>
              <w:t>Spinocerebellar ataxias (SCAs, including SCA3/Machado-</w:t>
            </w:r>
            <w:r>
              <w:rPr>
                <w:color w:val="231F20"/>
                <w:sz w:val="15"/>
              </w:rPr>
              <w:t>Joseph </w:t>
            </w:r>
            <w:r>
              <w:rPr>
                <w:color w:val="231F20"/>
                <w:spacing w:val="-2"/>
                <w:sz w:val="15"/>
              </w:rPr>
              <w:t>disease)</w:t>
            </w:r>
          </w:p>
          <w:p>
            <w:pPr>
              <w:pStyle w:val="TableParagraph"/>
              <w:spacing w:line="230" w:lineRule="auto" w:before="1"/>
              <w:ind w:left="74" w:right="2197"/>
              <w:rPr>
                <w:sz w:val="15"/>
              </w:rPr>
            </w:pPr>
            <w:r>
              <w:rPr>
                <w:color w:val="231F20"/>
                <w:sz w:val="15"/>
              </w:rPr>
              <w:t>Neuronal</w:t>
            </w:r>
            <w:r>
              <w:rPr>
                <w:color w:val="231F20"/>
                <w:spacing w:val="-12"/>
                <w:sz w:val="15"/>
              </w:rPr>
              <w:t> </w:t>
            </w:r>
            <w:r>
              <w:rPr>
                <w:color w:val="231F20"/>
                <w:sz w:val="15"/>
              </w:rPr>
              <w:t>ceroid-lipofuscinoses</w:t>
            </w:r>
            <w:r>
              <w:rPr>
                <w:color w:val="231F20"/>
                <w:spacing w:val="-11"/>
                <w:sz w:val="15"/>
              </w:rPr>
              <w:t> </w:t>
            </w:r>
            <w:r>
              <w:rPr>
                <w:color w:val="231F20"/>
                <w:sz w:val="15"/>
              </w:rPr>
              <w:t>(NCL) Rett syndrome</w:t>
            </w:r>
          </w:p>
          <w:p>
            <w:pPr>
              <w:pStyle w:val="TableParagraph"/>
              <w:spacing w:line="230" w:lineRule="auto" w:before="1"/>
              <w:ind w:left="74" w:right="3376"/>
              <w:rPr>
                <w:sz w:val="15"/>
              </w:rPr>
            </w:pPr>
            <w:r>
              <w:rPr>
                <w:color w:val="231F20"/>
                <w:sz w:val="15"/>
              </w:rPr>
              <w:t>Striatal necrosis Leigh disease </w:t>
            </w:r>
            <w:r>
              <w:rPr>
                <w:color w:val="231F20"/>
                <w:spacing w:val="-2"/>
                <w:sz w:val="15"/>
              </w:rPr>
              <w:t>Neuroacanthocytosis</w:t>
            </w:r>
          </w:p>
          <w:p>
            <w:pPr>
              <w:pStyle w:val="TableParagraph"/>
              <w:spacing w:line="230" w:lineRule="auto" w:before="3"/>
              <w:ind w:left="186" w:hanging="112"/>
              <w:rPr>
                <w:sz w:val="15"/>
              </w:rPr>
            </w:pPr>
            <w:r>
              <w:rPr>
                <w:color w:val="231F20"/>
                <w:spacing w:val="-2"/>
                <w:sz w:val="15"/>
              </w:rPr>
              <w:t>HARP syndrome (hypoprebetalipoproteinemia, acanthocytosis, </w:t>
            </w:r>
            <w:r>
              <w:rPr>
                <w:color w:val="231F20"/>
                <w:spacing w:val="-2"/>
                <w:sz w:val="15"/>
              </w:rPr>
              <w:t>retinitis </w:t>
            </w:r>
            <w:r>
              <w:rPr>
                <w:color w:val="231F20"/>
                <w:sz w:val="15"/>
              </w:rPr>
              <w:t>pigmentosa, and pallidal degeneration)</w:t>
            </w:r>
          </w:p>
          <w:p>
            <w:pPr>
              <w:pStyle w:val="TableParagraph"/>
              <w:spacing w:line="230" w:lineRule="auto" w:before="1"/>
              <w:ind w:left="74" w:right="3376"/>
              <w:rPr>
                <w:sz w:val="15"/>
              </w:rPr>
            </w:pPr>
            <w:r>
              <w:rPr>
                <w:color w:val="231F20"/>
                <w:spacing w:val="-2"/>
                <w:sz w:val="15"/>
              </w:rPr>
              <w:t>Ataxia-telangiectasia </w:t>
            </w:r>
            <w:r>
              <w:rPr>
                <w:color w:val="231F20"/>
                <w:w w:val="105"/>
                <w:sz w:val="15"/>
              </w:rPr>
              <w:t>Tay-Sachs disease Sandhoff’s disease </w:t>
            </w:r>
            <w:r>
              <w:rPr>
                <w:color w:val="231F20"/>
                <w:sz w:val="15"/>
              </w:rPr>
              <w:t>Niemann-Pick</w:t>
            </w:r>
            <w:r>
              <w:rPr>
                <w:color w:val="231F20"/>
                <w:spacing w:val="-12"/>
                <w:sz w:val="15"/>
              </w:rPr>
              <w:t> </w:t>
            </w:r>
            <w:r>
              <w:rPr>
                <w:color w:val="231F20"/>
                <w:sz w:val="15"/>
              </w:rPr>
              <w:t>type</w:t>
            </w:r>
            <w:r>
              <w:rPr>
                <w:color w:val="231F20"/>
                <w:spacing w:val="-11"/>
                <w:sz w:val="15"/>
              </w:rPr>
              <w:t> </w:t>
            </w:r>
            <w:r>
              <w:rPr>
                <w:color w:val="231F20"/>
                <w:sz w:val="15"/>
              </w:rPr>
              <w:t>C </w:t>
            </w:r>
            <w:r>
              <w:rPr>
                <w:color w:val="231F20"/>
                <w:w w:val="105"/>
                <w:sz w:val="15"/>
              </w:rPr>
              <w:t>GM</w:t>
            </w:r>
            <w:r>
              <w:rPr>
                <w:color w:val="231F20"/>
                <w:w w:val="105"/>
                <w:sz w:val="15"/>
                <w:vertAlign w:val="subscript"/>
              </w:rPr>
              <w:t>1</w:t>
            </w:r>
            <w:r>
              <w:rPr>
                <w:color w:val="231F20"/>
                <w:w w:val="105"/>
                <w:sz w:val="15"/>
                <w:vertAlign w:val="baseline"/>
              </w:rPr>
              <w:t> gangliosidosis</w:t>
            </w:r>
          </w:p>
          <w:p>
            <w:pPr>
              <w:pStyle w:val="TableParagraph"/>
              <w:spacing w:line="230" w:lineRule="auto" w:before="4"/>
              <w:ind w:left="74" w:right="2284"/>
              <w:rPr>
                <w:sz w:val="15"/>
              </w:rPr>
            </w:pPr>
            <w:r>
              <w:rPr>
                <w:color w:val="231F20"/>
                <w:sz w:val="15"/>
              </w:rPr>
              <w:t>Metachromatic</w:t>
            </w:r>
            <w:r>
              <w:rPr>
                <w:color w:val="231F20"/>
                <w:spacing w:val="-12"/>
                <w:sz w:val="15"/>
              </w:rPr>
              <w:t> </w:t>
            </w:r>
            <w:r>
              <w:rPr>
                <w:color w:val="231F20"/>
                <w:sz w:val="15"/>
              </w:rPr>
              <w:t>leukodystrophy</w:t>
            </w:r>
            <w:r>
              <w:rPr>
                <w:color w:val="231F20"/>
                <w:spacing w:val="-11"/>
                <w:sz w:val="15"/>
              </w:rPr>
              <w:t> </w:t>
            </w:r>
            <w:r>
              <w:rPr>
                <w:color w:val="231F20"/>
                <w:sz w:val="15"/>
              </w:rPr>
              <w:t>(MLD) Lesch-Nyhan disease</w:t>
            </w:r>
          </w:p>
        </w:tc>
        <w:tc>
          <w:tcPr>
            <w:tcW w:w="4870" w:type="dxa"/>
            <w:vMerge/>
            <w:tcBorders>
              <w:top w:val="nil"/>
              <w:left w:val="single" w:sz="4" w:space="0" w:color="231F20"/>
              <w:right w:val="nil"/>
            </w:tcBorders>
            <w:shd w:val="clear" w:color="auto" w:fill="E8F5F1"/>
          </w:tcPr>
          <w:p>
            <w:pPr>
              <w:rPr>
                <w:sz w:val="2"/>
                <w:szCs w:val="2"/>
              </w:rPr>
            </w:pPr>
          </w:p>
        </w:tc>
      </w:tr>
      <w:tr>
        <w:trPr>
          <w:trHeight w:val="1272"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w w:val="115"/>
                <w:sz w:val="15"/>
              </w:rPr>
              <w:t>PAROXYSMAL</w:t>
            </w:r>
            <w:r>
              <w:rPr>
                <w:color w:val="231F20"/>
                <w:spacing w:val="-12"/>
                <w:w w:val="115"/>
                <w:sz w:val="15"/>
              </w:rPr>
              <w:t> </w:t>
            </w:r>
            <w:r>
              <w:rPr>
                <w:color w:val="231F20"/>
                <w:spacing w:val="-2"/>
                <w:w w:val="115"/>
                <w:sz w:val="15"/>
              </w:rPr>
              <w:t>DISORDERS</w:t>
            </w:r>
          </w:p>
          <w:p>
            <w:pPr>
              <w:pStyle w:val="TableParagraph"/>
              <w:spacing w:line="230" w:lineRule="auto" w:before="3"/>
              <w:ind w:left="69" w:right="1379"/>
              <w:rPr>
                <w:sz w:val="15"/>
              </w:rPr>
            </w:pPr>
            <w:r>
              <w:rPr>
                <w:color w:val="231F20"/>
                <w:sz w:val="15"/>
              </w:rPr>
              <w:t>Paroxysmal kinesigenic choreoathetosis (PKC) Paroxysmal</w:t>
            </w:r>
            <w:r>
              <w:rPr>
                <w:color w:val="231F20"/>
                <w:spacing w:val="-11"/>
                <w:sz w:val="15"/>
              </w:rPr>
              <w:t> </w:t>
            </w:r>
            <w:r>
              <w:rPr>
                <w:color w:val="231F20"/>
                <w:sz w:val="15"/>
              </w:rPr>
              <w:t>nonkinesigenic</w:t>
            </w:r>
            <w:r>
              <w:rPr>
                <w:color w:val="231F20"/>
                <w:spacing w:val="-11"/>
                <w:sz w:val="15"/>
              </w:rPr>
              <w:t> </w:t>
            </w:r>
            <w:r>
              <w:rPr>
                <w:color w:val="231F20"/>
                <w:sz w:val="15"/>
              </w:rPr>
              <w:t>choreoathetosis</w:t>
            </w:r>
            <w:r>
              <w:rPr>
                <w:color w:val="231F20"/>
                <w:spacing w:val="-11"/>
                <w:sz w:val="15"/>
              </w:rPr>
              <w:t> </w:t>
            </w:r>
            <w:r>
              <w:rPr>
                <w:color w:val="231F20"/>
                <w:sz w:val="15"/>
              </w:rPr>
              <w:t>(PNKC) Exercise-induced dystonia</w:t>
            </w:r>
          </w:p>
          <w:p>
            <w:pPr>
              <w:pStyle w:val="TableParagraph"/>
              <w:spacing w:line="168" w:lineRule="exact"/>
              <w:ind w:left="69"/>
              <w:rPr>
                <w:sz w:val="15"/>
              </w:rPr>
            </w:pPr>
            <w:r>
              <w:rPr>
                <w:color w:val="231F20"/>
                <w:sz w:val="15"/>
              </w:rPr>
              <w:t>Complex</w:t>
            </w:r>
            <w:r>
              <w:rPr>
                <w:color w:val="231F20"/>
                <w:spacing w:val="24"/>
                <w:sz w:val="15"/>
              </w:rPr>
              <w:t> </w:t>
            </w:r>
            <w:r>
              <w:rPr>
                <w:color w:val="231F20"/>
                <w:spacing w:val="-2"/>
                <w:sz w:val="15"/>
              </w:rPr>
              <w:t>migraine</w:t>
            </w:r>
          </w:p>
          <w:p>
            <w:pPr>
              <w:pStyle w:val="TableParagraph"/>
              <w:spacing w:line="230" w:lineRule="auto" w:before="3"/>
              <w:ind w:left="69" w:right="1539"/>
              <w:rPr>
                <w:sz w:val="15"/>
              </w:rPr>
            </w:pPr>
            <w:r>
              <w:rPr>
                <w:color w:val="231F20"/>
                <w:sz w:val="15"/>
              </w:rPr>
              <w:t>Alternating</w:t>
            </w:r>
            <w:r>
              <w:rPr>
                <w:color w:val="231F20"/>
                <w:spacing w:val="-5"/>
                <w:sz w:val="15"/>
              </w:rPr>
              <w:t> </w:t>
            </w:r>
            <w:r>
              <w:rPr>
                <w:color w:val="231F20"/>
                <w:sz w:val="15"/>
              </w:rPr>
              <w:t>hemiplegia</w:t>
            </w:r>
            <w:r>
              <w:rPr>
                <w:color w:val="231F20"/>
                <w:spacing w:val="-5"/>
                <w:sz w:val="15"/>
              </w:rPr>
              <w:t> </w:t>
            </w:r>
            <w:r>
              <w:rPr>
                <w:color w:val="231F20"/>
                <w:sz w:val="15"/>
              </w:rPr>
              <w:t>of</w:t>
            </w:r>
            <w:r>
              <w:rPr>
                <w:color w:val="231F20"/>
                <w:spacing w:val="-5"/>
                <w:sz w:val="15"/>
              </w:rPr>
              <w:t> </w:t>
            </w:r>
            <w:r>
              <w:rPr>
                <w:color w:val="231F20"/>
                <w:sz w:val="15"/>
              </w:rPr>
              <w:t>childhood</w:t>
            </w:r>
            <w:r>
              <w:rPr>
                <w:color w:val="231F20"/>
                <w:spacing w:val="-5"/>
                <w:sz w:val="15"/>
              </w:rPr>
              <w:t> </w:t>
            </w:r>
            <w:r>
              <w:rPr>
                <w:color w:val="231F20"/>
                <w:sz w:val="15"/>
              </w:rPr>
              <w:t>(AHC) Paroxysmal torticollis of infancy</w:t>
            </w:r>
          </w:p>
        </w:tc>
      </w:tr>
      <w:tr>
        <w:trPr>
          <w:trHeight w:val="4697" w:hRule="exact"/>
        </w:trPr>
        <w:tc>
          <w:tcPr>
            <w:tcW w:w="4870" w:type="dxa"/>
            <w:vMerge/>
            <w:tcBorders>
              <w:top w:val="nil"/>
              <w:left w:val="nil"/>
              <w:right w:val="single" w:sz="4" w:space="0" w:color="231F20"/>
            </w:tcBorders>
            <w:shd w:val="clear" w:color="auto" w:fill="E8F5F1"/>
          </w:tcPr>
          <w:p>
            <w:pPr>
              <w:rPr>
                <w:sz w:val="2"/>
                <w:szCs w:val="2"/>
              </w:rPr>
            </w:pPr>
          </w:p>
        </w:tc>
        <w:tc>
          <w:tcPr>
            <w:tcW w:w="4870" w:type="dxa"/>
            <w:vMerge w:val="restart"/>
            <w:tcBorders>
              <w:left w:val="single" w:sz="4" w:space="0" w:color="231F20"/>
              <w:bottom w:val="single" w:sz="8" w:space="0" w:color="231F20"/>
              <w:right w:val="nil"/>
            </w:tcBorders>
            <w:shd w:val="clear" w:color="auto" w:fill="E8F5F1"/>
          </w:tcPr>
          <w:p>
            <w:pPr>
              <w:pStyle w:val="TableParagraph"/>
              <w:spacing w:line="172" w:lineRule="exact" w:before="43"/>
              <w:ind w:left="69"/>
              <w:rPr>
                <w:sz w:val="15"/>
              </w:rPr>
            </w:pPr>
            <w:r>
              <w:rPr>
                <w:color w:val="231F20"/>
                <w:w w:val="110"/>
                <w:sz w:val="15"/>
              </w:rPr>
              <w:t>DISORDERS</w:t>
            </w:r>
            <w:r>
              <w:rPr>
                <w:color w:val="231F20"/>
                <w:spacing w:val="13"/>
                <w:w w:val="110"/>
                <w:sz w:val="15"/>
              </w:rPr>
              <w:t> </w:t>
            </w:r>
            <w:r>
              <w:rPr>
                <w:color w:val="231F20"/>
                <w:w w:val="110"/>
                <w:sz w:val="15"/>
              </w:rPr>
              <w:t>THAT</w:t>
            </w:r>
            <w:r>
              <w:rPr>
                <w:color w:val="231F20"/>
                <w:spacing w:val="13"/>
                <w:w w:val="110"/>
                <w:sz w:val="15"/>
              </w:rPr>
              <w:t> </w:t>
            </w:r>
            <w:r>
              <w:rPr>
                <w:color w:val="231F20"/>
                <w:w w:val="110"/>
                <w:sz w:val="15"/>
              </w:rPr>
              <w:t>MIMIC</w:t>
            </w:r>
            <w:r>
              <w:rPr>
                <w:color w:val="231F20"/>
                <w:spacing w:val="14"/>
                <w:w w:val="110"/>
                <w:sz w:val="15"/>
              </w:rPr>
              <w:t> </w:t>
            </w:r>
            <w:r>
              <w:rPr>
                <w:color w:val="231F20"/>
                <w:spacing w:val="-2"/>
                <w:w w:val="110"/>
                <w:sz w:val="15"/>
              </w:rPr>
              <w:t>DYSTONIA</w:t>
            </w:r>
          </w:p>
          <w:p>
            <w:pPr>
              <w:pStyle w:val="TableParagraph"/>
              <w:spacing w:line="230" w:lineRule="auto" w:before="3"/>
              <w:ind w:left="181" w:hanging="112"/>
              <w:rPr>
                <w:sz w:val="15"/>
              </w:rPr>
            </w:pPr>
            <w:r>
              <w:rPr>
                <w:color w:val="231F20"/>
                <w:sz w:val="15"/>
              </w:rPr>
              <w:t>Tonic</w:t>
            </w:r>
            <w:r>
              <w:rPr>
                <w:color w:val="231F20"/>
                <w:spacing w:val="-11"/>
                <w:sz w:val="15"/>
              </w:rPr>
              <w:t> </w:t>
            </w:r>
            <w:r>
              <w:rPr>
                <w:color w:val="231F20"/>
                <w:sz w:val="15"/>
              </w:rPr>
              <w:t>seizures</w:t>
            </w:r>
            <w:r>
              <w:rPr>
                <w:color w:val="231F20"/>
                <w:spacing w:val="-11"/>
                <w:sz w:val="15"/>
              </w:rPr>
              <w:t> </w:t>
            </w:r>
            <w:r>
              <w:rPr>
                <w:color w:val="231F20"/>
                <w:sz w:val="15"/>
              </w:rPr>
              <w:t>(including</w:t>
            </w:r>
            <w:r>
              <w:rPr>
                <w:color w:val="231F20"/>
                <w:spacing w:val="-11"/>
                <w:sz w:val="15"/>
              </w:rPr>
              <w:t> </w:t>
            </w:r>
            <w:r>
              <w:rPr>
                <w:color w:val="231F20"/>
                <w:sz w:val="15"/>
              </w:rPr>
              <w:t>paroxysmal</w:t>
            </w:r>
            <w:r>
              <w:rPr>
                <w:color w:val="231F20"/>
                <w:spacing w:val="-11"/>
                <w:sz w:val="15"/>
              </w:rPr>
              <w:t> </w:t>
            </w:r>
            <w:r>
              <w:rPr>
                <w:color w:val="231F20"/>
                <w:sz w:val="15"/>
              </w:rPr>
              <w:t>nocturnal</w:t>
            </w:r>
            <w:r>
              <w:rPr>
                <w:color w:val="231F20"/>
                <w:spacing w:val="-11"/>
                <w:sz w:val="15"/>
              </w:rPr>
              <w:t> </w:t>
            </w:r>
            <w:r>
              <w:rPr>
                <w:color w:val="231F20"/>
                <w:sz w:val="15"/>
              </w:rPr>
              <w:t>dystonia</w:t>
            </w:r>
            <w:r>
              <w:rPr>
                <w:color w:val="231F20"/>
                <w:spacing w:val="-11"/>
                <w:sz w:val="15"/>
              </w:rPr>
              <w:t> </w:t>
            </w:r>
            <w:r>
              <w:rPr>
                <w:color w:val="231F20"/>
                <w:sz w:val="15"/>
              </w:rPr>
              <w:t>caused</w:t>
            </w:r>
            <w:r>
              <w:rPr>
                <w:color w:val="231F20"/>
                <w:spacing w:val="-11"/>
                <w:sz w:val="15"/>
              </w:rPr>
              <w:t> </w:t>
            </w:r>
            <w:r>
              <w:rPr>
                <w:color w:val="231F20"/>
                <w:sz w:val="15"/>
              </w:rPr>
              <w:t>by nocturnal frontal lobe seizures)</w:t>
            </w:r>
          </w:p>
          <w:p>
            <w:pPr>
              <w:pStyle w:val="TableParagraph"/>
              <w:spacing w:line="230" w:lineRule="auto" w:before="2"/>
              <w:ind w:left="69" w:right="2284"/>
              <w:rPr>
                <w:sz w:val="15"/>
              </w:rPr>
            </w:pPr>
            <w:r>
              <w:rPr>
                <w:color w:val="231F20"/>
                <w:spacing w:val="-2"/>
                <w:sz w:val="15"/>
              </w:rPr>
              <w:t>Arnold-Chiari</w:t>
            </w:r>
            <w:r>
              <w:rPr>
                <w:color w:val="231F20"/>
                <w:spacing w:val="-3"/>
                <w:sz w:val="15"/>
              </w:rPr>
              <w:t> </w:t>
            </w:r>
            <w:r>
              <w:rPr>
                <w:color w:val="231F20"/>
                <w:spacing w:val="-2"/>
                <w:sz w:val="15"/>
              </w:rPr>
              <w:t>malformation</w:t>
            </w:r>
            <w:r>
              <w:rPr>
                <w:color w:val="231F20"/>
                <w:spacing w:val="-3"/>
                <w:sz w:val="15"/>
              </w:rPr>
              <w:t> </w:t>
            </w:r>
            <w:r>
              <w:rPr>
                <w:color w:val="231F20"/>
                <w:spacing w:val="-2"/>
                <w:sz w:val="15"/>
              </w:rPr>
              <w:t>type</w:t>
            </w:r>
            <w:r>
              <w:rPr>
                <w:color w:val="231F20"/>
                <w:spacing w:val="-3"/>
                <w:sz w:val="15"/>
              </w:rPr>
              <w:t> </w:t>
            </w:r>
            <w:r>
              <w:rPr>
                <w:color w:val="231F20"/>
                <w:spacing w:val="-2"/>
                <w:sz w:val="15"/>
              </w:rPr>
              <w:t>II </w:t>
            </w:r>
            <w:r>
              <w:rPr>
                <w:color w:val="231F20"/>
                <w:sz w:val="15"/>
              </w:rPr>
              <w:t>Atlantoaxial subluxation </w:t>
            </w:r>
            <w:r>
              <w:rPr>
                <w:color w:val="231F20"/>
                <w:spacing w:val="-2"/>
                <w:sz w:val="15"/>
              </w:rPr>
              <w:t>Syringomyelia</w:t>
            </w:r>
          </w:p>
          <w:p>
            <w:pPr>
              <w:pStyle w:val="TableParagraph"/>
              <w:spacing w:line="168" w:lineRule="exact"/>
              <w:ind w:left="69"/>
              <w:rPr>
                <w:sz w:val="15"/>
              </w:rPr>
            </w:pPr>
            <w:r>
              <w:rPr>
                <w:color w:val="231F20"/>
                <w:sz w:val="15"/>
              </w:rPr>
              <w:t>Posterior</w:t>
            </w:r>
            <w:r>
              <w:rPr>
                <w:color w:val="231F20"/>
                <w:spacing w:val="-6"/>
                <w:sz w:val="15"/>
              </w:rPr>
              <w:t> </w:t>
            </w:r>
            <w:r>
              <w:rPr>
                <w:color w:val="231F20"/>
                <w:sz w:val="15"/>
              </w:rPr>
              <w:t>fossa</w:t>
            </w:r>
            <w:r>
              <w:rPr>
                <w:color w:val="231F20"/>
                <w:spacing w:val="-5"/>
                <w:sz w:val="15"/>
              </w:rPr>
              <w:t> </w:t>
            </w:r>
            <w:r>
              <w:rPr>
                <w:color w:val="231F20"/>
                <w:spacing w:val="-4"/>
                <w:sz w:val="15"/>
              </w:rPr>
              <w:t>mass</w:t>
            </w:r>
          </w:p>
          <w:p>
            <w:pPr>
              <w:pStyle w:val="TableParagraph"/>
              <w:spacing w:line="230" w:lineRule="auto" w:before="2"/>
              <w:ind w:left="69" w:right="708"/>
              <w:rPr>
                <w:sz w:val="15"/>
              </w:rPr>
            </w:pPr>
            <w:r>
              <w:rPr>
                <w:color w:val="231F20"/>
                <w:spacing w:val="-2"/>
                <w:sz w:val="15"/>
              </w:rPr>
              <w:t>Cervical spine malformation (including Klippel-Feil </w:t>
            </w:r>
            <w:r>
              <w:rPr>
                <w:color w:val="231F20"/>
                <w:spacing w:val="-2"/>
                <w:sz w:val="15"/>
              </w:rPr>
              <w:t>syndrome) </w:t>
            </w:r>
            <w:r>
              <w:rPr>
                <w:color w:val="231F20"/>
                <w:sz w:val="15"/>
              </w:rPr>
              <w:t>Skew deviation with vertical diplopia causing neck twisting Juvenile rheumatoid arthritis</w:t>
            </w:r>
          </w:p>
          <w:p>
            <w:pPr>
              <w:pStyle w:val="TableParagraph"/>
              <w:spacing w:line="230" w:lineRule="auto" w:before="2"/>
              <w:ind w:left="69" w:right="400"/>
              <w:rPr>
                <w:sz w:val="15"/>
              </w:rPr>
            </w:pPr>
            <w:r>
              <w:rPr>
                <w:color w:val="231F20"/>
                <w:spacing w:val="-2"/>
                <w:sz w:val="15"/>
              </w:rPr>
              <w:t>Sandifer</w:t>
            </w:r>
            <w:r>
              <w:rPr>
                <w:color w:val="231F20"/>
                <w:spacing w:val="-7"/>
                <w:sz w:val="15"/>
              </w:rPr>
              <w:t> </w:t>
            </w:r>
            <w:r>
              <w:rPr>
                <w:color w:val="231F20"/>
                <w:spacing w:val="-2"/>
                <w:sz w:val="15"/>
              </w:rPr>
              <w:t>syndrome</w:t>
            </w:r>
            <w:r>
              <w:rPr>
                <w:color w:val="231F20"/>
                <w:spacing w:val="-7"/>
                <w:sz w:val="15"/>
              </w:rPr>
              <w:t> </w:t>
            </w:r>
            <w:r>
              <w:rPr>
                <w:color w:val="231F20"/>
                <w:spacing w:val="-2"/>
                <w:sz w:val="15"/>
              </w:rPr>
              <w:t>(associated</w:t>
            </w:r>
            <w:r>
              <w:rPr>
                <w:color w:val="231F20"/>
                <w:spacing w:val="-7"/>
                <w:sz w:val="15"/>
              </w:rPr>
              <w:t> </w:t>
            </w:r>
            <w:r>
              <w:rPr>
                <w:color w:val="231F20"/>
                <w:spacing w:val="-2"/>
                <w:sz w:val="15"/>
              </w:rPr>
              <w:t>with</w:t>
            </w:r>
            <w:r>
              <w:rPr>
                <w:color w:val="231F20"/>
                <w:spacing w:val="-7"/>
                <w:sz w:val="15"/>
              </w:rPr>
              <w:t> </w:t>
            </w:r>
            <w:r>
              <w:rPr>
                <w:color w:val="231F20"/>
                <w:spacing w:val="-2"/>
                <w:sz w:val="15"/>
              </w:rPr>
              <w:t>hiatal</w:t>
            </w:r>
            <w:r>
              <w:rPr>
                <w:color w:val="231F20"/>
                <w:spacing w:val="-7"/>
                <w:sz w:val="15"/>
              </w:rPr>
              <w:t> </w:t>
            </w:r>
            <w:r>
              <w:rPr>
                <w:color w:val="231F20"/>
                <w:spacing w:val="-2"/>
                <w:sz w:val="15"/>
              </w:rPr>
              <w:t>hernia</w:t>
            </w:r>
            <w:r>
              <w:rPr>
                <w:color w:val="231F20"/>
                <w:spacing w:val="-7"/>
                <w:sz w:val="15"/>
              </w:rPr>
              <w:t> </w:t>
            </w:r>
            <w:r>
              <w:rPr>
                <w:color w:val="231F20"/>
                <w:spacing w:val="-2"/>
                <w:sz w:val="15"/>
              </w:rPr>
              <w:t>in</w:t>
            </w:r>
            <w:r>
              <w:rPr>
                <w:color w:val="231F20"/>
                <w:spacing w:val="-7"/>
                <w:sz w:val="15"/>
              </w:rPr>
              <w:t> </w:t>
            </w:r>
            <w:r>
              <w:rPr>
                <w:color w:val="231F20"/>
                <w:spacing w:val="-2"/>
                <w:sz w:val="15"/>
              </w:rPr>
              <w:t>infants) </w:t>
            </w:r>
            <w:r>
              <w:rPr>
                <w:color w:val="231F20"/>
                <w:sz w:val="15"/>
              </w:rPr>
              <w:t>Spasmus nutans</w:t>
            </w:r>
          </w:p>
          <w:p>
            <w:pPr>
              <w:pStyle w:val="TableParagraph"/>
              <w:spacing w:line="167" w:lineRule="exact"/>
              <w:ind w:left="69"/>
              <w:rPr>
                <w:sz w:val="15"/>
              </w:rPr>
            </w:pPr>
            <w:r>
              <w:rPr>
                <w:color w:val="231F20"/>
                <w:spacing w:val="-4"/>
                <w:sz w:val="15"/>
              </w:rPr>
              <w:t>Tics</w:t>
            </w:r>
          </w:p>
          <w:p>
            <w:pPr>
              <w:pStyle w:val="TableParagraph"/>
              <w:spacing w:line="230" w:lineRule="auto" w:before="3"/>
              <w:ind w:left="69" w:right="3486"/>
              <w:rPr>
                <w:sz w:val="15"/>
              </w:rPr>
            </w:pPr>
            <w:r>
              <w:rPr>
                <w:color w:val="231F20"/>
                <w:spacing w:val="-2"/>
                <w:sz w:val="15"/>
              </w:rPr>
              <w:t>Infant</w:t>
            </w:r>
            <w:r>
              <w:rPr>
                <w:color w:val="231F20"/>
                <w:spacing w:val="-10"/>
                <w:sz w:val="15"/>
              </w:rPr>
              <w:t> </w:t>
            </w:r>
            <w:r>
              <w:rPr>
                <w:color w:val="231F20"/>
                <w:spacing w:val="-2"/>
                <w:sz w:val="15"/>
              </w:rPr>
              <w:t>masturbation Spasticity</w:t>
            </w:r>
          </w:p>
          <w:p>
            <w:pPr>
              <w:pStyle w:val="TableParagraph"/>
              <w:spacing w:line="230" w:lineRule="auto" w:before="1"/>
              <w:ind w:left="69" w:right="3913"/>
              <w:rPr>
                <w:sz w:val="15"/>
              </w:rPr>
            </w:pPr>
            <w:r>
              <w:rPr>
                <w:color w:val="231F20"/>
                <w:spacing w:val="-2"/>
                <w:sz w:val="15"/>
              </w:rPr>
              <w:t>Myotonia Rigidity</w:t>
            </w:r>
          </w:p>
          <w:p>
            <w:pPr>
              <w:pStyle w:val="TableParagraph"/>
              <w:spacing w:line="167" w:lineRule="exact"/>
              <w:ind w:left="69"/>
              <w:rPr>
                <w:sz w:val="15"/>
              </w:rPr>
            </w:pPr>
            <w:r>
              <w:rPr>
                <w:color w:val="231F20"/>
                <w:spacing w:val="-2"/>
                <w:sz w:val="15"/>
              </w:rPr>
              <w:t>Stiff-person</w:t>
            </w:r>
            <w:r>
              <w:rPr>
                <w:color w:val="231F20"/>
                <w:spacing w:val="1"/>
                <w:sz w:val="15"/>
              </w:rPr>
              <w:t> </w:t>
            </w:r>
            <w:r>
              <w:rPr>
                <w:color w:val="231F20"/>
                <w:spacing w:val="-2"/>
                <w:sz w:val="15"/>
              </w:rPr>
              <w:t>syndrome</w:t>
            </w:r>
          </w:p>
          <w:p>
            <w:pPr>
              <w:pStyle w:val="TableParagraph"/>
              <w:spacing w:line="230" w:lineRule="auto" w:before="3"/>
              <w:ind w:left="69" w:right="2197"/>
              <w:rPr>
                <w:sz w:val="15"/>
              </w:rPr>
            </w:pPr>
            <w:r>
              <w:rPr>
                <w:color w:val="231F20"/>
                <w:sz w:val="15"/>
              </w:rPr>
              <w:t>Isaac</w:t>
            </w:r>
            <w:r>
              <w:rPr>
                <w:color w:val="231F20"/>
                <w:spacing w:val="-12"/>
                <w:sz w:val="15"/>
              </w:rPr>
              <w:t> </w:t>
            </w:r>
            <w:r>
              <w:rPr>
                <w:color w:val="231F20"/>
                <w:sz w:val="15"/>
              </w:rPr>
              <w:t>syndrome</w:t>
            </w:r>
            <w:r>
              <w:rPr>
                <w:color w:val="231F20"/>
                <w:spacing w:val="-11"/>
                <w:sz w:val="15"/>
              </w:rPr>
              <w:t> </w:t>
            </w:r>
            <w:r>
              <w:rPr>
                <w:color w:val="231F20"/>
                <w:sz w:val="15"/>
              </w:rPr>
              <w:t>(neuromyotonia) Startle disease (hyperekplexia) Neuroleptic</w:t>
            </w:r>
            <w:r>
              <w:rPr>
                <w:color w:val="231F20"/>
                <w:spacing w:val="-12"/>
                <w:sz w:val="15"/>
              </w:rPr>
              <w:t> </w:t>
            </w:r>
            <w:r>
              <w:rPr>
                <w:color w:val="231F20"/>
                <w:sz w:val="15"/>
              </w:rPr>
              <w:t>malignant</w:t>
            </w:r>
            <w:r>
              <w:rPr>
                <w:color w:val="231F20"/>
                <w:spacing w:val="-11"/>
                <w:sz w:val="15"/>
              </w:rPr>
              <w:t> </w:t>
            </w:r>
            <w:r>
              <w:rPr>
                <w:color w:val="231F20"/>
                <w:sz w:val="15"/>
              </w:rPr>
              <w:t>syndrome </w:t>
            </w:r>
            <w:r>
              <w:rPr>
                <w:color w:val="231F20"/>
                <w:spacing w:val="-2"/>
                <w:sz w:val="15"/>
              </w:rPr>
              <w:t>Central</w:t>
            </w:r>
            <w:r>
              <w:rPr>
                <w:color w:val="231F20"/>
                <w:spacing w:val="-6"/>
                <w:sz w:val="15"/>
              </w:rPr>
              <w:t> </w:t>
            </w:r>
            <w:r>
              <w:rPr>
                <w:color w:val="231F20"/>
                <w:spacing w:val="-2"/>
                <w:sz w:val="15"/>
              </w:rPr>
              <w:t>herniation</w:t>
            </w:r>
            <w:r>
              <w:rPr>
                <w:color w:val="231F20"/>
                <w:spacing w:val="-6"/>
                <w:sz w:val="15"/>
              </w:rPr>
              <w:t> </w:t>
            </w:r>
            <w:r>
              <w:rPr>
                <w:color w:val="231F20"/>
                <w:spacing w:val="-2"/>
                <w:sz w:val="15"/>
              </w:rPr>
              <w:t>with</w:t>
            </w:r>
            <w:r>
              <w:rPr>
                <w:color w:val="231F20"/>
                <w:spacing w:val="-6"/>
                <w:sz w:val="15"/>
              </w:rPr>
              <w:t> </w:t>
            </w:r>
            <w:r>
              <w:rPr>
                <w:color w:val="231F20"/>
                <w:spacing w:val="-2"/>
                <w:sz w:val="15"/>
              </w:rPr>
              <w:t>posturing </w:t>
            </w:r>
            <w:r>
              <w:rPr>
                <w:color w:val="231F20"/>
                <w:sz w:val="15"/>
              </w:rPr>
              <w:t>Psychogenic dystonia</w:t>
            </w:r>
          </w:p>
        </w:tc>
      </w:tr>
      <w:tr>
        <w:trPr>
          <w:trHeight w:val="2453" w:hRule="exact"/>
        </w:trPr>
        <w:tc>
          <w:tcPr>
            <w:tcW w:w="4870" w:type="dxa"/>
            <w:tcBorders>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w w:val="110"/>
                <w:sz w:val="15"/>
              </w:rPr>
              <w:t>METABOLIC</w:t>
            </w:r>
            <w:r>
              <w:rPr>
                <w:color w:val="231F20"/>
                <w:spacing w:val="19"/>
                <w:w w:val="115"/>
                <w:sz w:val="15"/>
              </w:rPr>
              <w:t> </w:t>
            </w:r>
            <w:r>
              <w:rPr>
                <w:color w:val="231F20"/>
                <w:spacing w:val="-2"/>
                <w:w w:val="115"/>
                <w:sz w:val="15"/>
              </w:rPr>
              <w:t>DISEASE</w:t>
            </w:r>
          </w:p>
          <w:p>
            <w:pPr>
              <w:pStyle w:val="TableParagraph"/>
              <w:spacing w:line="169" w:lineRule="exact"/>
              <w:ind w:left="74"/>
              <w:rPr>
                <w:sz w:val="15"/>
              </w:rPr>
            </w:pPr>
            <w:r>
              <w:rPr>
                <w:color w:val="231F20"/>
                <w:sz w:val="15"/>
              </w:rPr>
              <w:t>Glutaric</w:t>
            </w:r>
            <w:r>
              <w:rPr>
                <w:color w:val="231F20"/>
                <w:spacing w:val="-9"/>
                <w:sz w:val="15"/>
              </w:rPr>
              <w:t> </w:t>
            </w:r>
            <w:r>
              <w:rPr>
                <w:color w:val="231F20"/>
                <w:sz w:val="15"/>
              </w:rPr>
              <w:t>aciduria</w:t>
            </w:r>
            <w:r>
              <w:rPr>
                <w:color w:val="231F20"/>
                <w:spacing w:val="-8"/>
                <w:sz w:val="15"/>
              </w:rPr>
              <w:t> </w:t>
            </w:r>
            <w:r>
              <w:rPr>
                <w:color w:val="231F20"/>
                <w:sz w:val="15"/>
              </w:rPr>
              <w:t>types</w:t>
            </w:r>
            <w:r>
              <w:rPr>
                <w:color w:val="231F20"/>
                <w:spacing w:val="-8"/>
                <w:sz w:val="15"/>
              </w:rPr>
              <w:t> </w:t>
            </w:r>
            <w:r>
              <w:rPr>
                <w:color w:val="231F20"/>
                <w:sz w:val="15"/>
              </w:rPr>
              <w:t>1</w:t>
            </w:r>
            <w:r>
              <w:rPr>
                <w:color w:val="231F20"/>
                <w:spacing w:val="-9"/>
                <w:sz w:val="15"/>
              </w:rPr>
              <w:t> </w:t>
            </w:r>
            <w:r>
              <w:rPr>
                <w:color w:val="231F20"/>
                <w:sz w:val="15"/>
              </w:rPr>
              <w:t>and</w:t>
            </w:r>
            <w:r>
              <w:rPr>
                <w:color w:val="231F20"/>
                <w:spacing w:val="-8"/>
                <w:sz w:val="15"/>
              </w:rPr>
              <w:t> </w:t>
            </w:r>
            <w:r>
              <w:rPr>
                <w:color w:val="231F20"/>
                <w:spacing w:val="-10"/>
                <w:sz w:val="15"/>
              </w:rPr>
              <w:t>2</w:t>
            </w:r>
          </w:p>
          <w:p>
            <w:pPr>
              <w:pStyle w:val="TableParagraph"/>
              <w:spacing w:line="168" w:lineRule="exact"/>
              <w:ind w:left="74"/>
              <w:rPr>
                <w:sz w:val="15"/>
              </w:rPr>
            </w:pPr>
            <w:r>
              <w:rPr>
                <w:color w:val="231F20"/>
                <w:sz w:val="15"/>
              </w:rPr>
              <w:t>Acyl-coenzyme</w:t>
            </w:r>
            <w:r>
              <w:rPr>
                <w:color w:val="231F20"/>
                <w:spacing w:val="10"/>
                <w:sz w:val="15"/>
              </w:rPr>
              <w:t> </w:t>
            </w:r>
            <w:r>
              <w:rPr>
                <w:color w:val="231F20"/>
                <w:sz w:val="15"/>
              </w:rPr>
              <w:t>A</w:t>
            </w:r>
            <w:r>
              <w:rPr>
                <w:color w:val="231F20"/>
                <w:spacing w:val="10"/>
                <w:sz w:val="15"/>
              </w:rPr>
              <w:t> </w:t>
            </w:r>
            <w:r>
              <w:rPr>
                <w:color w:val="231F20"/>
                <w:sz w:val="15"/>
              </w:rPr>
              <w:t>(CoA)</w:t>
            </w:r>
            <w:r>
              <w:rPr>
                <w:color w:val="231F20"/>
                <w:spacing w:val="10"/>
                <w:sz w:val="15"/>
              </w:rPr>
              <w:t> </w:t>
            </w:r>
            <w:r>
              <w:rPr>
                <w:color w:val="231F20"/>
                <w:sz w:val="15"/>
              </w:rPr>
              <w:t>dehydrogenase</w:t>
            </w:r>
            <w:r>
              <w:rPr>
                <w:color w:val="231F20"/>
                <w:spacing w:val="11"/>
                <w:sz w:val="15"/>
              </w:rPr>
              <w:t> </w:t>
            </w:r>
            <w:r>
              <w:rPr>
                <w:color w:val="231F20"/>
                <w:spacing w:val="-2"/>
                <w:sz w:val="15"/>
              </w:rPr>
              <w:t>deficiencies</w:t>
            </w:r>
          </w:p>
          <w:p>
            <w:pPr>
              <w:pStyle w:val="TableParagraph"/>
              <w:spacing w:line="230" w:lineRule="auto" w:before="2"/>
              <w:ind w:left="186" w:hanging="112"/>
              <w:rPr>
                <w:sz w:val="15"/>
              </w:rPr>
            </w:pPr>
            <w:r>
              <w:rPr>
                <w:color w:val="231F20"/>
                <w:sz w:val="15"/>
              </w:rPr>
              <w:t>Dopa-responsive</w:t>
            </w:r>
            <w:r>
              <w:rPr>
                <w:color w:val="231F20"/>
                <w:spacing w:val="-12"/>
                <w:sz w:val="15"/>
              </w:rPr>
              <w:t> </w:t>
            </w:r>
            <w:r>
              <w:rPr>
                <w:color w:val="231F20"/>
                <w:sz w:val="15"/>
              </w:rPr>
              <w:t>dystonia</w:t>
            </w:r>
            <w:r>
              <w:rPr>
                <w:color w:val="231F20"/>
                <w:spacing w:val="-11"/>
                <w:sz w:val="15"/>
              </w:rPr>
              <w:t> </w:t>
            </w:r>
            <w:r>
              <w:rPr>
                <w:color w:val="231F20"/>
                <w:sz w:val="15"/>
              </w:rPr>
              <w:t>(tyrosine</w:t>
            </w:r>
            <w:r>
              <w:rPr>
                <w:color w:val="231F20"/>
                <w:spacing w:val="-11"/>
                <w:sz w:val="15"/>
              </w:rPr>
              <w:t> </w:t>
            </w:r>
            <w:r>
              <w:rPr>
                <w:color w:val="231F20"/>
                <w:sz w:val="15"/>
              </w:rPr>
              <w:t>hydroxylase</w:t>
            </w:r>
            <w:r>
              <w:rPr>
                <w:color w:val="231F20"/>
                <w:spacing w:val="-12"/>
                <w:sz w:val="15"/>
              </w:rPr>
              <w:t> </w:t>
            </w:r>
            <w:r>
              <w:rPr>
                <w:color w:val="231F20"/>
                <w:sz w:val="15"/>
              </w:rPr>
              <w:t>deficiency,</w:t>
            </w:r>
            <w:r>
              <w:rPr>
                <w:color w:val="231F20"/>
                <w:spacing w:val="-11"/>
                <w:sz w:val="15"/>
              </w:rPr>
              <w:t> </w:t>
            </w:r>
            <w:r>
              <w:rPr>
                <w:color w:val="231F20"/>
                <w:sz w:val="15"/>
              </w:rPr>
              <w:t>guanosine triphosphate [GTP] cyclohydrolase 1 deficiency, DYT5)</w:t>
            </w:r>
          </w:p>
          <w:p>
            <w:pPr>
              <w:pStyle w:val="TableParagraph"/>
              <w:spacing w:line="230" w:lineRule="auto" w:before="2"/>
              <w:ind w:left="186" w:hanging="112"/>
              <w:rPr>
                <w:sz w:val="15"/>
              </w:rPr>
            </w:pPr>
            <w:r>
              <w:rPr>
                <w:color w:val="231F20"/>
                <w:sz w:val="15"/>
              </w:rPr>
              <w:t>Dopamine agonist-responsive dystonia (aromatic l-amino acid </w:t>
            </w:r>
            <w:r>
              <w:rPr>
                <w:color w:val="231F20"/>
                <w:spacing w:val="-2"/>
                <w:sz w:val="15"/>
              </w:rPr>
              <w:t>decarboxylase deficiency, aminolevulinic acid dehydrase </w:t>
            </w:r>
            <w:r>
              <w:rPr>
                <w:color w:val="231F20"/>
                <w:spacing w:val="-2"/>
                <w:sz w:val="15"/>
              </w:rPr>
              <w:t>[ALAD])</w:t>
            </w:r>
          </w:p>
          <w:p>
            <w:pPr>
              <w:pStyle w:val="TableParagraph"/>
              <w:spacing w:line="230" w:lineRule="auto" w:before="1"/>
              <w:ind w:left="74" w:right="1539"/>
              <w:rPr>
                <w:sz w:val="15"/>
              </w:rPr>
            </w:pPr>
            <w:r>
              <w:rPr>
                <w:color w:val="231F20"/>
                <w:sz w:val="15"/>
              </w:rPr>
              <w:t>Biotin</w:t>
            </w:r>
            <w:r>
              <w:rPr>
                <w:color w:val="231F20"/>
                <w:spacing w:val="-3"/>
                <w:sz w:val="15"/>
              </w:rPr>
              <w:t> </w:t>
            </w:r>
            <w:r>
              <w:rPr>
                <w:color w:val="231F20"/>
                <w:sz w:val="15"/>
              </w:rPr>
              <w:t>responsive</w:t>
            </w:r>
            <w:r>
              <w:rPr>
                <w:color w:val="231F20"/>
                <w:spacing w:val="-3"/>
                <w:sz w:val="15"/>
              </w:rPr>
              <w:t> </w:t>
            </w:r>
            <w:r>
              <w:rPr>
                <w:color w:val="231F20"/>
                <w:sz w:val="15"/>
              </w:rPr>
              <w:t>basal</w:t>
            </w:r>
            <w:r>
              <w:rPr>
                <w:color w:val="231F20"/>
                <w:spacing w:val="-3"/>
                <w:sz w:val="15"/>
              </w:rPr>
              <w:t> </w:t>
            </w:r>
            <w:r>
              <w:rPr>
                <w:color w:val="231F20"/>
                <w:sz w:val="15"/>
              </w:rPr>
              <w:t>ganglia</w:t>
            </w:r>
            <w:r>
              <w:rPr>
                <w:color w:val="231F20"/>
                <w:spacing w:val="-3"/>
                <w:sz w:val="15"/>
              </w:rPr>
              <w:t> </w:t>
            </w:r>
            <w:r>
              <w:rPr>
                <w:color w:val="231F20"/>
                <w:sz w:val="15"/>
              </w:rPr>
              <w:t>disease Mitochondrial disorders</w:t>
            </w:r>
          </w:p>
          <w:p>
            <w:pPr>
              <w:pStyle w:val="TableParagraph"/>
              <w:spacing w:line="230" w:lineRule="auto" w:before="2"/>
              <w:ind w:left="74" w:right="3376"/>
              <w:rPr>
                <w:sz w:val="15"/>
              </w:rPr>
            </w:pPr>
            <w:r>
              <w:rPr>
                <w:color w:val="231F20"/>
                <w:sz w:val="15"/>
              </w:rPr>
              <w:t>Wilson disease </w:t>
            </w:r>
            <w:r>
              <w:rPr>
                <w:color w:val="231F20"/>
                <w:spacing w:val="-2"/>
                <w:sz w:val="15"/>
              </w:rPr>
              <w:t>Vitamin</w:t>
            </w:r>
            <w:r>
              <w:rPr>
                <w:color w:val="231F20"/>
                <w:spacing w:val="-10"/>
                <w:sz w:val="15"/>
              </w:rPr>
              <w:t> </w:t>
            </w:r>
            <w:r>
              <w:rPr>
                <w:color w:val="231F20"/>
                <w:spacing w:val="-2"/>
                <w:sz w:val="15"/>
              </w:rPr>
              <w:t>E</w:t>
            </w:r>
            <w:r>
              <w:rPr>
                <w:color w:val="231F20"/>
                <w:spacing w:val="-9"/>
                <w:sz w:val="15"/>
              </w:rPr>
              <w:t> </w:t>
            </w:r>
            <w:r>
              <w:rPr>
                <w:color w:val="231F20"/>
                <w:spacing w:val="-2"/>
                <w:sz w:val="15"/>
              </w:rPr>
              <w:t>deficiency Homocystinuria</w:t>
            </w:r>
          </w:p>
          <w:p>
            <w:pPr>
              <w:pStyle w:val="TableParagraph"/>
              <w:spacing w:line="230" w:lineRule="auto" w:before="2"/>
              <w:ind w:left="74" w:right="2703"/>
              <w:rPr>
                <w:sz w:val="15"/>
              </w:rPr>
            </w:pPr>
            <w:r>
              <w:rPr>
                <w:color w:val="231F20"/>
                <w:spacing w:val="-2"/>
                <w:sz w:val="15"/>
              </w:rPr>
              <w:t>Methylmalonic</w:t>
            </w:r>
            <w:r>
              <w:rPr>
                <w:color w:val="231F20"/>
                <w:spacing w:val="-10"/>
                <w:sz w:val="15"/>
              </w:rPr>
              <w:t> </w:t>
            </w:r>
            <w:r>
              <w:rPr>
                <w:color w:val="231F20"/>
                <w:spacing w:val="-2"/>
                <w:sz w:val="15"/>
              </w:rPr>
              <w:t>aciduria Tyrosinemia</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bl>
    <w:p>
      <w:pPr>
        <w:spacing w:before="77"/>
        <w:ind w:left="486" w:right="799" w:firstLine="0"/>
        <w:jc w:val="left"/>
        <w:rPr>
          <w:i/>
          <w:sz w:val="13"/>
        </w:rPr>
      </w:pPr>
      <w:r>
        <w:rPr>
          <w:i/>
          <w:color w:val="231F20"/>
          <w:sz w:val="13"/>
        </w:rPr>
        <w:t>From</w:t>
      </w:r>
      <w:r>
        <w:rPr>
          <w:i/>
          <w:color w:val="231F20"/>
          <w:spacing w:val="-1"/>
          <w:sz w:val="13"/>
        </w:rPr>
        <w:t> </w:t>
      </w:r>
      <w:r>
        <w:rPr>
          <w:i/>
          <w:color w:val="231F20"/>
          <w:sz w:val="13"/>
        </w:rPr>
        <w:t>Sanger</w:t>
      </w:r>
      <w:r>
        <w:rPr>
          <w:i/>
          <w:color w:val="231F20"/>
          <w:spacing w:val="-1"/>
          <w:sz w:val="13"/>
        </w:rPr>
        <w:t> </w:t>
      </w:r>
      <w:r>
        <w:rPr>
          <w:i/>
          <w:color w:val="231F20"/>
          <w:sz w:val="13"/>
        </w:rPr>
        <w:t>TD,</w:t>
      </w:r>
      <w:r>
        <w:rPr>
          <w:i/>
          <w:color w:val="231F20"/>
          <w:spacing w:val="-1"/>
          <w:sz w:val="13"/>
        </w:rPr>
        <w:t> </w:t>
      </w:r>
      <w:r>
        <w:rPr>
          <w:i/>
          <w:color w:val="231F20"/>
          <w:sz w:val="13"/>
        </w:rPr>
        <w:t>Mink</w:t>
      </w:r>
      <w:r>
        <w:rPr>
          <w:i/>
          <w:color w:val="231F20"/>
          <w:spacing w:val="-1"/>
          <w:sz w:val="13"/>
        </w:rPr>
        <w:t> </w:t>
      </w:r>
      <w:r>
        <w:rPr>
          <w:i/>
          <w:color w:val="231F20"/>
          <w:sz w:val="13"/>
        </w:rPr>
        <w:t>JW:</w:t>
      </w:r>
      <w:r>
        <w:rPr>
          <w:i/>
          <w:color w:val="231F20"/>
          <w:spacing w:val="-1"/>
          <w:sz w:val="13"/>
        </w:rPr>
        <w:t> </w:t>
      </w:r>
      <w:r>
        <w:rPr>
          <w:i/>
          <w:color w:val="231F20"/>
          <w:sz w:val="13"/>
        </w:rPr>
        <w:t>Movement</w:t>
      </w:r>
      <w:r>
        <w:rPr>
          <w:i/>
          <w:color w:val="231F20"/>
          <w:spacing w:val="-1"/>
          <w:sz w:val="13"/>
        </w:rPr>
        <w:t> </w:t>
      </w:r>
      <w:r>
        <w:rPr>
          <w:i/>
          <w:color w:val="231F20"/>
          <w:sz w:val="13"/>
        </w:rPr>
        <w:t>disorders.</w:t>
      </w:r>
      <w:r>
        <w:rPr>
          <w:i/>
          <w:color w:val="231F20"/>
          <w:spacing w:val="-1"/>
          <w:sz w:val="13"/>
        </w:rPr>
        <w:t> </w:t>
      </w:r>
      <w:r>
        <w:rPr>
          <w:i/>
          <w:color w:val="231F20"/>
          <w:sz w:val="13"/>
        </w:rPr>
        <w:t>In</w:t>
      </w:r>
      <w:r>
        <w:rPr>
          <w:i/>
          <w:color w:val="231F20"/>
          <w:spacing w:val="-1"/>
          <w:sz w:val="13"/>
        </w:rPr>
        <w:t> </w:t>
      </w:r>
      <w:r>
        <w:rPr>
          <w:i/>
          <w:color w:val="231F20"/>
          <w:sz w:val="13"/>
        </w:rPr>
        <w:t>Swaiman</w:t>
      </w:r>
      <w:r>
        <w:rPr>
          <w:i/>
          <w:color w:val="231F20"/>
          <w:spacing w:val="-1"/>
          <w:sz w:val="13"/>
        </w:rPr>
        <w:t> </w:t>
      </w:r>
      <w:r>
        <w:rPr>
          <w:i/>
          <w:color w:val="231F20"/>
          <w:sz w:val="13"/>
        </w:rPr>
        <w:t>KF,</w:t>
      </w:r>
      <w:r>
        <w:rPr>
          <w:i/>
          <w:color w:val="231F20"/>
          <w:spacing w:val="-1"/>
          <w:sz w:val="13"/>
        </w:rPr>
        <w:t> </w:t>
      </w:r>
      <w:r>
        <w:rPr>
          <w:i/>
          <w:color w:val="231F20"/>
          <w:sz w:val="13"/>
        </w:rPr>
        <w:t>Ashwal</w:t>
      </w:r>
      <w:r>
        <w:rPr>
          <w:i/>
          <w:color w:val="231F20"/>
          <w:spacing w:val="-1"/>
          <w:sz w:val="13"/>
        </w:rPr>
        <w:t> </w:t>
      </w:r>
      <w:r>
        <w:rPr>
          <w:i/>
          <w:color w:val="231F20"/>
          <w:sz w:val="13"/>
        </w:rPr>
        <w:t>S,</w:t>
      </w:r>
      <w:r>
        <w:rPr>
          <w:i/>
          <w:color w:val="231F20"/>
          <w:spacing w:val="-1"/>
          <w:sz w:val="13"/>
        </w:rPr>
        <w:t> </w:t>
      </w:r>
      <w:r>
        <w:rPr>
          <w:i/>
          <w:color w:val="231F20"/>
          <w:sz w:val="13"/>
        </w:rPr>
        <w:t>Ferriero</w:t>
      </w:r>
      <w:r>
        <w:rPr>
          <w:i/>
          <w:color w:val="231F20"/>
          <w:spacing w:val="-1"/>
          <w:sz w:val="13"/>
        </w:rPr>
        <w:t> </w:t>
      </w:r>
      <w:r>
        <w:rPr>
          <w:i/>
          <w:color w:val="231F20"/>
          <w:sz w:val="13"/>
        </w:rPr>
        <w:t>DM,</w:t>
      </w:r>
      <w:r>
        <w:rPr>
          <w:i/>
          <w:color w:val="231F20"/>
          <w:spacing w:val="-1"/>
          <w:sz w:val="13"/>
        </w:rPr>
        <w:t> </w:t>
      </w:r>
      <w:r>
        <w:rPr>
          <w:i/>
          <w:color w:val="231F20"/>
          <w:sz w:val="13"/>
        </w:rPr>
        <w:t>Schor</w:t>
      </w:r>
      <w:r>
        <w:rPr>
          <w:i/>
          <w:color w:val="231F20"/>
          <w:spacing w:val="-1"/>
          <w:sz w:val="13"/>
        </w:rPr>
        <w:t> </w:t>
      </w:r>
      <w:r>
        <w:rPr>
          <w:i/>
          <w:color w:val="231F20"/>
          <w:sz w:val="13"/>
        </w:rPr>
        <w:t>NF,</w:t>
      </w:r>
      <w:r>
        <w:rPr>
          <w:i/>
          <w:color w:val="231F20"/>
          <w:spacing w:val="-1"/>
          <w:sz w:val="13"/>
        </w:rPr>
        <w:t> </w:t>
      </w:r>
      <w:r>
        <w:rPr>
          <w:i/>
          <w:color w:val="231F20"/>
          <w:sz w:val="13"/>
        </w:rPr>
        <w:t>editors:</w:t>
      </w:r>
      <w:r>
        <w:rPr>
          <w:i/>
          <w:color w:val="231F20"/>
          <w:spacing w:val="-1"/>
          <w:sz w:val="13"/>
        </w:rPr>
        <w:t> </w:t>
      </w:r>
      <w:r>
        <w:rPr>
          <w:color w:val="231F20"/>
          <w:sz w:val="13"/>
        </w:rPr>
        <w:t>Swaiman’s</w:t>
      </w:r>
      <w:r>
        <w:rPr>
          <w:color w:val="231F20"/>
          <w:spacing w:val="-1"/>
          <w:sz w:val="13"/>
        </w:rPr>
        <w:t> </w:t>
      </w:r>
      <w:r>
        <w:rPr>
          <w:color w:val="231F20"/>
          <w:sz w:val="13"/>
        </w:rPr>
        <w:t>pediatric</w:t>
      </w:r>
      <w:r>
        <w:rPr>
          <w:color w:val="231F20"/>
          <w:spacing w:val="-1"/>
          <w:sz w:val="13"/>
        </w:rPr>
        <w:t> </w:t>
      </w:r>
      <w:r>
        <w:rPr>
          <w:color w:val="231F20"/>
          <w:sz w:val="13"/>
        </w:rPr>
        <w:t>neurology:</w:t>
      </w:r>
      <w:r>
        <w:rPr>
          <w:color w:val="231F20"/>
          <w:spacing w:val="-1"/>
          <w:sz w:val="13"/>
        </w:rPr>
        <w:t> </w:t>
      </w:r>
      <w:r>
        <w:rPr>
          <w:color w:val="231F20"/>
          <w:sz w:val="13"/>
        </w:rPr>
        <w:t>principles</w:t>
      </w:r>
      <w:r>
        <w:rPr>
          <w:color w:val="231F20"/>
          <w:spacing w:val="-1"/>
          <w:sz w:val="13"/>
        </w:rPr>
        <w:t> </w:t>
      </w:r>
      <w:r>
        <w:rPr>
          <w:color w:val="231F20"/>
          <w:sz w:val="13"/>
        </w:rPr>
        <w:t>and</w:t>
      </w:r>
      <w:r>
        <w:rPr>
          <w:color w:val="231F20"/>
          <w:spacing w:val="-1"/>
          <w:sz w:val="13"/>
        </w:rPr>
        <w:t> </w:t>
      </w:r>
      <w:r>
        <w:rPr>
          <w:color w:val="231F20"/>
          <w:sz w:val="13"/>
        </w:rPr>
        <w:t>practice</w:t>
      </w:r>
      <w:r>
        <w:rPr>
          <w:i/>
          <w:color w:val="231F20"/>
          <w:sz w:val="13"/>
        </w:rPr>
        <w:t>,</w:t>
      </w:r>
      <w:r>
        <w:rPr>
          <w:i/>
          <w:color w:val="231F20"/>
          <w:spacing w:val="40"/>
          <w:sz w:val="13"/>
        </w:rPr>
        <w:t> </w:t>
      </w:r>
      <w:r>
        <w:rPr>
          <w:i/>
          <w:color w:val="231F20"/>
          <w:sz w:val="13"/>
        </w:rPr>
        <w:t>ed 5, Philadelphia, 2012, WB Saunders, Box 68-2.</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763" name="Group 763"/>
                <wp:cNvGraphicFramePr>
                  <a:graphicFrameLocks/>
                </wp:cNvGraphicFramePr>
                <a:graphic>
                  <a:graphicData uri="http://schemas.microsoft.com/office/word/2010/wordprocessingGroup">
                    <wpg:wgp>
                      <wpg:cNvPr id="763" name="Group 763"/>
                      <wpg:cNvGrpSpPr/>
                      <wpg:grpSpPr>
                        <a:xfrm>
                          <a:off x="0" y="0"/>
                          <a:ext cx="6185535" cy="170815"/>
                          <a:chExt cx="6185535" cy="170815"/>
                        </a:xfrm>
                      </wpg:grpSpPr>
                      <wps:wsp>
                        <wps:cNvPr id="764" name="Graphic 764"/>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65" name="Graphic 765"/>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66" name="Textbox 766"/>
                        <wps:cNvSpPr txBox="1"/>
                        <wps:spPr>
                          <a:xfrm>
                            <a:off x="0" y="0"/>
                            <a:ext cx="6185535" cy="170815"/>
                          </a:xfrm>
                          <a:prstGeom prst="rect">
                            <a:avLst/>
                          </a:prstGeom>
                        </wps:spPr>
                        <wps:txbx>
                          <w:txbxContent>
                            <w:p>
                              <w:pPr>
                                <w:spacing w:before="6"/>
                                <w:ind w:left="5915" w:right="-15" w:firstLine="0"/>
                                <w:jc w:val="left"/>
                                <w:rPr>
                                  <w:b/>
                                  <w:sz w:val="18"/>
                                </w:rPr>
                              </w:pPr>
                              <w:r>
                                <w:rPr>
                                  <w:b/>
                                  <w:color w:val="007431"/>
                                  <w:w w:val="105"/>
                                  <w:sz w:val="18"/>
                                </w:rPr>
                                <w:t>Chapter</w:t>
                              </w:r>
                              <w:r>
                                <w:rPr>
                                  <w:b/>
                                  <w:color w:val="007431"/>
                                  <w:spacing w:val="17"/>
                                  <w:w w:val="105"/>
                                  <w:sz w:val="18"/>
                                </w:rPr>
                                <w:t> </w:t>
                              </w:r>
                              <w:r>
                                <w:rPr>
                                  <w:b/>
                                  <w:color w:val="007431"/>
                                  <w:w w:val="105"/>
                                  <w:sz w:val="18"/>
                                </w:rPr>
                                <w:t>597</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Movement</w:t>
                              </w:r>
                              <w:r>
                                <w:rPr>
                                  <w:color w:val="231F20"/>
                                  <w:spacing w:val="12"/>
                                  <w:w w:val="105"/>
                                  <w:sz w:val="18"/>
                                </w:rPr>
                                <w:t> </w:t>
                              </w:r>
                              <w:r>
                                <w:rPr>
                                  <w:color w:val="231F20"/>
                                  <w:w w:val="105"/>
                                  <w:sz w:val="18"/>
                                </w:rPr>
                                <w:t>Disorders</w:t>
                              </w:r>
                              <w:r>
                                <w:rPr>
                                  <w:color w:val="231F20"/>
                                  <w:spacing w:val="47"/>
                                  <w:w w:val="105"/>
                                  <w:sz w:val="18"/>
                                </w:rPr>
                                <w:t>  </w:t>
                              </w:r>
                              <w:r>
                                <w:rPr>
                                  <w:b/>
                                  <w:color w:val="231F20"/>
                                  <w:spacing w:val="-4"/>
                                  <w:w w:val="105"/>
                                  <w:sz w:val="18"/>
                                </w:rPr>
                                <w:t>2893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38"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39" filled="false" stroked="false">
                  <v:textbox inset="0,0,0,0">
                    <w:txbxContent>
                      <w:p>
                        <w:pPr>
                          <w:spacing w:before="6"/>
                          <w:ind w:left="5915" w:right="-15" w:firstLine="0"/>
                          <w:jc w:val="left"/>
                          <w:rPr>
                            <w:b/>
                            <w:sz w:val="18"/>
                          </w:rPr>
                        </w:pPr>
                        <w:r>
                          <w:rPr>
                            <w:b/>
                            <w:color w:val="007431"/>
                            <w:w w:val="105"/>
                            <w:sz w:val="18"/>
                          </w:rPr>
                          <w:t>Chapter</w:t>
                        </w:r>
                        <w:r>
                          <w:rPr>
                            <w:b/>
                            <w:color w:val="007431"/>
                            <w:spacing w:val="17"/>
                            <w:w w:val="105"/>
                            <w:sz w:val="18"/>
                          </w:rPr>
                          <w:t> </w:t>
                        </w:r>
                        <w:r>
                          <w:rPr>
                            <w:b/>
                            <w:color w:val="007431"/>
                            <w:w w:val="105"/>
                            <w:sz w:val="18"/>
                          </w:rPr>
                          <w:t>597</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Movement</w:t>
                        </w:r>
                        <w:r>
                          <w:rPr>
                            <w:color w:val="231F20"/>
                            <w:spacing w:val="12"/>
                            <w:w w:val="105"/>
                            <w:sz w:val="18"/>
                          </w:rPr>
                          <w:t> </w:t>
                        </w:r>
                        <w:r>
                          <w:rPr>
                            <w:color w:val="231F20"/>
                            <w:w w:val="105"/>
                            <w:sz w:val="18"/>
                          </w:rPr>
                          <w:t>Disorders</w:t>
                        </w:r>
                        <w:r>
                          <w:rPr>
                            <w:color w:val="231F20"/>
                            <w:spacing w:val="47"/>
                            <w:w w:val="105"/>
                            <w:sz w:val="18"/>
                          </w:rPr>
                          <w:t>  </w:t>
                        </w:r>
                        <w:r>
                          <w:rPr>
                            <w:b/>
                            <w:color w:val="231F20"/>
                            <w:spacing w:val="-4"/>
                            <w:w w:val="105"/>
                            <w:sz w:val="18"/>
                          </w:rPr>
                          <w:t>2893</w:t>
                        </w:r>
                      </w:p>
                    </w:txbxContent>
                  </v:textbox>
                  <w10:wrap type="none"/>
                </v:shape>
              </v:group>
            </w:pict>
          </mc:Fallback>
        </mc:AlternateContent>
      </w:r>
      <w:r>
        <w:rPr>
          <w:sz w:val="20"/>
        </w:rPr>
      </w:r>
    </w:p>
    <w:p>
      <w:pPr>
        <w:pStyle w:val="BodyText"/>
        <w:spacing w:before="11"/>
        <w:rPr>
          <w:i/>
          <w:sz w:val="15"/>
        </w:rPr>
      </w:pPr>
    </w:p>
    <w:tbl>
      <w:tblPr>
        <w:tblW w:w="0" w:type="auto"/>
        <w:jc w:val="left"/>
        <w:tblInd w:w="83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70"/>
        <w:gridCol w:w="4875"/>
      </w:tblGrid>
      <w:tr>
        <w:trPr>
          <w:trHeight w:val="354" w:hRule="exact"/>
        </w:trPr>
        <w:tc>
          <w:tcPr>
            <w:tcW w:w="9745" w:type="dxa"/>
            <w:gridSpan w:val="2"/>
            <w:tcBorders>
              <w:top w:val="nil"/>
              <w:left w:val="nil"/>
              <w:bottom w:val="nil"/>
              <w:right w:val="nil"/>
            </w:tcBorders>
            <w:shd w:val="clear" w:color="auto" w:fill="231F20"/>
          </w:tcPr>
          <w:p>
            <w:pPr>
              <w:pStyle w:val="TableParagraph"/>
              <w:spacing w:before="89"/>
              <w:ind w:left="111"/>
              <w:rPr>
                <w:sz w:val="16"/>
              </w:rPr>
            </w:pPr>
            <w:r>
              <w:rPr>
                <w:b/>
                <w:color w:val="FFFFFF"/>
                <w:w w:val="105"/>
                <w:sz w:val="16"/>
              </w:rPr>
              <w:t>Table</w:t>
            </w:r>
            <w:r>
              <w:rPr>
                <w:b/>
                <w:color w:val="FFFFFF"/>
                <w:spacing w:val="-6"/>
                <w:w w:val="105"/>
                <w:sz w:val="16"/>
              </w:rPr>
              <w:t> </w:t>
            </w:r>
            <w:r>
              <w:rPr>
                <w:b/>
                <w:color w:val="FFFFFF"/>
                <w:w w:val="105"/>
                <w:sz w:val="16"/>
              </w:rPr>
              <w:t>597-11</w:t>
            </w:r>
            <w:r>
              <w:rPr>
                <w:b/>
                <w:color w:val="FFFFFF"/>
                <w:spacing w:val="36"/>
                <w:w w:val="105"/>
                <w:sz w:val="16"/>
              </w:rPr>
              <w:t>  </w:t>
            </w:r>
            <w:r>
              <w:rPr>
                <w:color w:val="FFFFFF"/>
                <w:w w:val="105"/>
                <w:sz w:val="16"/>
              </w:rPr>
              <w:t>Examples</w:t>
            </w:r>
            <w:r>
              <w:rPr>
                <w:color w:val="FFFFFF"/>
                <w:spacing w:val="7"/>
                <w:w w:val="105"/>
                <w:sz w:val="16"/>
              </w:rPr>
              <w:t> </w:t>
            </w:r>
            <w:r>
              <w:rPr>
                <w:color w:val="FFFFFF"/>
                <w:w w:val="105"/>
                <w:sz w:val="16"/>
              </w:rPr>
              <w:t>of</w:t>
            </w:r>
            <w:r>
              <w:rPr>
                <w:color w:val="FFFFFF"/>
                <w:spacing w:val="6"/>
                <w:w w:val="105"/>
                <w:sz w:val="16"/>
              </w:rPr>
              <w:t> </w:t>
            </w:r>
            <w:r>
              <w:rPr>
                <w:color w:val="FFFFFF"/>
                <w:w w:val="105"/>
                <w:sz w:val="16"/>
              </w:rPr>
              <w:t>Primary</w:t>
            </w:r>
            <w:r>
              <w:rPr>
                <w:color w:val="FFFFFF"/>
                <w:spacing w:val="7"/>
                <w:w w:val="105"/>
                <w:sz w:val="16"/>
              </w:rPr>
              <w:t> </w:t>
            </w:r>
            <w:r>
              <w:rPr>
                <w:color w:val="FFFFFF"/>
                <w:w w:val="105"/>
                <w:sz w:val="16"/>
              </w:rPr>
              <w:t>and</w:t>
            </w:r>
            <w:r>
              <w:rPr>
                <w:color w:val="FFFFFF"/>
                <w:spacing w:val="7"/>
                <w:w w:val="105"/>
                <w:sz w:val="16"/>
              </w:rPr>
              <w:t> </w:t>
            </w:r>
            <w:r>
              <w:rPr>
                <w:color w:val="FFFFFF"/>
                <w:w w:val="105"/>
                <w:sz w:val="16"/>
              </w:rPr>
              <w:t>Secondary</w:t>
            </w:r>
            <w:r>
              <w:rPr>
                <w:color w:val="FFFFFF"/>
                <w:spacing w:val="6"/>
                <w:w w:val="105"/>
                <w:sz w:val="16"/>
              </w:rPr>
              <w:t> </w:t>
            </w:r>
            <w:r>
              <w:rPr>
                <w:color w:val="FFFFFF"/>
                <w:w w:val="105"/>
                <w:sz w:val="16"/>
              </w:rPr>
              <w:t>Dystonia</w:t>
            </w:r>
            <w:r>
              <w:rPr>
                <w:color w:val="FFFFFF"/>
                <w:spacing w:val="7"/>
                <w:w w:val="105"/>
                <w:sz w:val="16"/>
              </w:rPr>
              <w:t> </w:t>
            </w:r>
            <w:r>
              <w:rPr>
                <w:color w:val="FFFFFF"/>
                <w:w w:val="105"/>
                <w:sz w:val="16"/>
              </w:rPr>
              <w:t>in</w:t>
            </w:r>
            <w:r>
              <w:rPr>
                <w:color w:val="FFFFFF"/>
                <w:spacing w:val="7"/>
                <w:w w:val="105"/>
                <w:sz w:val="16"/>
              </w:rPr>
              <w:t> </w:t>
            </w:r>
            <w:r>
              <w:rPr>
                <w:color w:val="FFFFFF"/>
                <w:spacing w:val="-2"/>
                <w:w w:val="105"/>
                <w:sz w:val="16"/>
              </w:rPr>
              <w:t>Childhood</w:t>
            </w:r>
          </w:p>
        </w:tc>
      </w:tr>
      <w:tr>
        <w:trPr>
          <w:trHeight w:val="281" w:hRule="exact"/>
        </w:trPr>
        <w:tc>
          <w:tcPr>
            <w:tcW w:w="4870" w:type="dxa"/>
            <w:tcBorders>
              <w:top w:val="nil"/>
              <w:left w:val="nil"/>
            </w:tcBorders>
            <w:shd w:val="clear" w:color="auto" w:fill="E8F5F1"/>
          </w:tcPr>
          <w:p>
            <w:pPr>
              <w:pStyle w:val="TableParagraph"/>
              <w:tabs>
                <w:tab w:pos="2207" w:val="left" w:leader="none"/>
              </w:tabs>
              <w:spacing w:before="66"/>
              <w:ind w:left="74"/>
              <w:rPr>
                <w:b/>
                <w:sz w:val="15"/>
              </w:rPr>
            </w:pPr>
            <w:r>
              <w:rPr>
                <w:b/>
                <w:color w:val="231F20"/>
                <w:spacing w:val="-2"/>
                <w:w w:val="110"/>
                <w:sz w:val="15"/>
              </w:rPr>
              <w:t>DIAGNOSIS</w:t>
            </w:r>
            <w:r>
              <w:rPr>
                <w:b/>
                <w:color w:val="231F20"/>
                <w:sz w:val="15"/>
              </w:rPr>
              <w:tab/>
            </w:r>
            <w:r>
              <w:rPr>
                <w:b/>
                <w:color w:val="231F20"/>
                <w:w w:val="110"/>
                <w:sz w:val="15"/>
              </w:rPr>
              <w:t>ADDITIONAL</w:t>
            </w:r>
            <w:r>
              <w:rPr>
                <w:b/>
                <w:color w:val="231F20"/>
                <w:spacing w:val="3"/>
                <w:w w:val="110"/>
                <w:sz w:val="15"/>
              </w:rPr>
              <w:t> </w:t>
            </w:r>
            <w:r>
              <w:rPr>
                <w:b/>
                <w:color w:val="231F20"/>
                <w:w w:val="110"/>
                <w:sz w:val="15"/>
              </w:rPr>
              <w:t>CLINICAL</w:t>
            </w:r>
            <w:r>
              <w:rPr>
                <w:b/>
                <w:color w:val="231F20"/>
                <w:spacing w:val="4"/>
                <w:w w:val="110"/>
                <w:sz w:val="15"/>
              </w:rPr>
              <w:t> </w:t>
            </w:r>
            <w:r>
              <w:rPr>
                <w:b/>
                <w:color w:val="231F20"/>
                <w:spacing w:val="-2"/>
                <w:w w:val="110"/>
                <w:sz w:val="15"/>
              </w:rPr>
              <w:t>FEATURES</w:t>
            </w:r>
          </w:p>
        </w:tc>
        <w:tc>
          <w:tcPr>
            <w:tcW w:w="4875" w:type="dxa"/>
            <w:tcBorders>
              <w:top w:val="nil"/>
              <w:right w:val="nil"/>
            </w:tcBorders>
            <w:shd w:val="clear" w:color="auto" w:fill="E8F5F1"/>
          </w:tcPr>
          <w:p>
            <w:pPr>
              <w:pStyle w:val="TableParagraph"/>
              <w:tabs>
                <w:tab w:pos="2202" w:val="left" w:leader="none"/>
              </w:tabs>
              <w:spacing w:before="66"/>
              <w:ind w:left="69"/>
              <w:rPr>
                <w:b/>
                <w:sz w:val="15"/>
              </w:rPr>
            </w:pPr>
            <w:r>
              <w:rPr>
                <w:b/>
                <w:color w:val="231F20"/>
                <w:spacing w:val="-2"/>
                <w:w w:val="110"/>
                <w:sz w:val="15"/>
              </w:rPr>
              <w:t>DIAGNOSIS</w:t>
            </w:r>
            <w:r>
              <w:rPr>
                <w:b/>
                <w:color w:val="231F20"/>
                <w:sz w:val="15"/>
              </w:rPr>
              <w:tab/>
            </w:r>
            <w:r>
              <w:rPr>
                <w:b/>
                <w:color w:val="231F20"/>
                <w:w w:val="110"/>
                <w:sz w:val="15"/>
              </w:rPr>
              <w:t>ADDITIONAL</w:t>
            </w:r>
            <w:r>
              <w:rPr>
                <w:b/>
                <w:color w:val="231F20"/>
                <w:spacing w:val="3"/>
                <w:w w:val="110"/>
                <w:sz w:val="15"/>
              </w:rPr>
              <w:t> </w:t>
            </w:r>
            <w:r>
              <w:rPr>
                <w:b/>
                <w:color w:val="231F20"/>
                <w:w w:val="110"/>
                <w:sz w:val="15"/>
              </w:rPr>
              <w:t>CLINICAL</w:t>
            </w:r>
            <w:r>
              <w:rPr>
                <w:b/>
                <w:color w:val="231F20"/>
                <w:spacing w:val="4"/>
                <w:w w:val="110"/>
                <w:sz w:val="15"/>
              </w:rPr>
              <w:t> </w:t>
            </w:r>
            <w:r>
              <w:rPr>
                <w:b/>
                <w:color w:val="231F20"/>
                <w:spacing w:val="-2"/>
                <w:w w:val="110"/>
                <w:sz w:val="15"/>
              </w:rPr>
              <w:t>FEATURES</w:t>
            </w:r>
          </w:p>
        </w:tc>
      </w:tr>
      <w:tr>
        <w:trPr>
          <w:trHeight w:val="1107" w:hRule="exact"/>
        </w:trPr>
        <w:tc>
          <w:tcPr>
            <w:tcW w:w="4870" w:type="dxa"/>
            <w:vMerge w:val="restart"/>
            <w:tcBorders>
              <w:left w:val="nil"/>
              <w:bottom w:val="single" w:sz="4" w:space="0" w:color="FFFFFF"/>
            </w:tcBorders>
            <w:shd w:val="clear" w:color="auto" w:fill="E8F5F1"/>
          </w:tcPr>
          <w:p>
            <w:pPr>
              <w:pStyle w:val="TableParagraph"/>
              <w:tabs>
                <w:tab w:pos="2125" w:val="left" w:leader="none"/>
              </w:tabs>
              <w:spacing w:line="171" w:lineRule="exact" w:before="47"/>
              <w:ind w:left="74"/>
              <w:rPr>
                <w:sz w:val="15"/>
              </w:rPr>
            </w:pPr>
            <w:r>
              <w:rPr>
                <w:color w:val="231F20"/>
                <w:spacing w:val="-2"/>
                <w:sz w:val="15"/>
              </w:rPr>
              <w:t>Aicardi-Goutières</w:t>
            </w:r>
            <w:r>
              <w:rPr>
                <w:color w:val="231F20"/>
                <w:sz w:val="15"/>
              </w:rPr>
              <w:tab/>
              <w:t>Encephalopathy,</w:t>
            </w:r>
            <w:r>
              <w:rPr>
                <w:color w:val="231F20"/>
                <w:spacing w:val="-11"/>
                <w:sz w:val="15"/>
              </w:rPr>
              <w:t> </w:t>
            </w:r>
            <w:r>
              <w:rPr>
                <w:color w:val="231F20"/>
                <w:spacing w:val="-2"/>
                <w:sz w:val="15"/>
              </w:rPr>
              <w:t>developmental</w:t>
            </w:r>
          </w:p>
          <w:p>
            <w:pPr>
              <w:pStyle w:val="TableParagraph"/>
              <w:tabs>
                <w:tab w:pos="2237" w:val="left" w:leader="none"/>
              </w:tabs>
              <w:spacing w:line="168" w:lineRule="exact"/>
              <w:ind w:left="186"/>
              <w:rPr>
                <w:sz w:val="15"/>
              </w:rPr>
            </w:pPr>
            <w:r>
              <w:rPr>
                <w:color w:val="231F20"/>
                <w:spacing w:val="-2"/>
                <w:sz w:val="15"/>
              </w:rPr>
              <w:t>syndrome</w:t>
            </w:r>
            <w:r>
              <w:rPr>
                <w:color w:val="231F20"/>
                <w:sz w:val="15"/>
              </w:rPr>
              <w:tab/>
            </w:r>
            <w:r>
              <w:rPr>
                <w:color w:val="231F20"/>
                <w:spacing w:val="-2"/>
                <w:sz w:val="15"/>
              </w:rPr>
              <w:t>regression</w:t>
            </w:r>
          </w:p>
          <w:p>
            <w:pPr>
              <w:pStyle w:val="TableParagraph"/>
              <w:spacing w:line="230" w:lineRule="auto" w:before="2"/>
              <w:ind w:left="2125" w:right="1193"/>
              <w:rPr>
                <w:sz w:val="15"/>
              </w:rPr>
            </w:pPr>
            <w:r>
              <w:rPr>
                <w:color w:val="231F20"/>
                <w:sz w:val="15"/>
              </w:rPr>
              <w:t>Acquired</w:t>
            </w:r>
            <w:r>
              <w:rPr>
                <w:color w:val="231F20"/>
                <w:spacing w:val="-12"/>
                <w:sz w:val="15"/>
              </w:rPr>
              <w:t> </w:t>
            </w:r>
            <w:r>
              <w:rPr>
                <w:color w:val="231F20"/>
                <w:sz w:val="15"/>
              </w:rPr>
              <w:t>microcephaly Sterile pyrexias</w:t>
            </w:r>
          </w:p>
          <w:p>
            <w:pPr>
              <w:pStyle w:val="TableParagraph"/>
              <w:spacing w:line="230" w:lineRule="auto" w:before="2"/>
              <w:ind w:left="2125"/>
              <w:rPr>
                <w:sz w:val="15"/>
              </w:rPr>
            </w:pPr>
            <w:r>
              <w:rPr>
                <w:color w:val="231F20"/>
                <w:spacing w:val="-2"/>
                <w:sz w:val="15"/>
              </w:rPr>
              <w:t>Lesions</w:t>
            </w:r>
            <w:r>
              <w:rPr>
                <w:color w:val="231F20"/>
                <w:spacing w:val="-6"/>
                <w:sz w:val="15"/>
              </w:rPr>
              <w:t> </w:t>
            </w:r>
            <w:r>
              <w:rPr>
                <w:color w:val="231F20"/>
                <w:spacing w:val="-2"/>
                <w:sz w:val="15"/>
              </w:rPr>
              <w:t>on</w:t>
            </w:r>
            <w:r>
              <w:rPr>
                <w:color w:val="231F20"/>
                <w:spacing w:val="-6"/>
                <w:sz w:val="15"/>
              </w:rPr>
              <w:t> </w:t>
            </w:r>
            <w:r>
              <w:rPr>
                <w:color w:val="231F20"/>
                <w:spacing w:val="-2"/>
                <w:sz w:val="15"/>
              </w:rPr>
              <w:t>the</w:t>
            </w:r>
            <w:r>
              <w:rPr>
                <w:color w:val="231F20"/>
                <w:spacing w:val="-6"/>
                <w:sz w:val="15"/>
              </w:rPr>
              <w:t> </w:t>
            </w:r>
            <w:r>
              <w:rPr>
                <w:color w:val="231F20"/>
                <w:spacing w:val="-2"/>
                <w:sz w:val="15"/>
              </w:rPr>
              <w:t>digits,</w:t>
            </w:r>
            <w:r>
              <w:rPr>
                <w:color w:val="231F20"/>
                <w:spacing w:val="-6"/>
                <w:sz w:val="15"/>
              </w:rPr>
              <w:t> </w:t>
            </w:r>
            <w:r>
              <w:rPr>
                <w:color w:val="231F20"/>
                <w:spacing w:val="-2"/>
                <w:sz w:val="15"/>
              </w:rPr>
              <w:t>ears</w:t>
            </w:r>
            <w:r>
              <w:rPr>
                <w:color w:val="231F20"/>
                <w:spacing w:val="-6"/>
                <w:sz w:val="15"/>
              </w:rPr>
              <w:t> </w:t>
            </w:r>
            <w:r>
              <w:rPr>
                <w:color w:val="231F20"/>
                <w:spacing w:val="-2"/>
                <w:sz w:val="15"/>
              </w:rPr>
              <w:t>(chilblain) Epilepsy</w:t>
            </w:r>
          </w:p>
          <w:p>
            <w:pPr>
              <w:pStyle w:val="TableParagraph"/>
              <w:spacing w:line="170" w:lineRule="exact"/>
              <w:ind w:left="2125"/>
              <w:rPr>
                <w:sz w:val="15"/>
              </w:rPr>
            </w:pPr>
            <w:r>
              <w:rPr>
                <w:color w:val="231F20"/>
                <w:spacing w:val="-2"/>
                <w:sz w:val="15"/>
              </w:rPr>
              <w:t>CT:</w:t>
            </w:r>
            <w:r>
              <w:rPr>
                <w:color w:val="231F20"/>
                <w:spacing w:val="-4"/>
                <w:sz w:val="15"/>
              </w:rPr>
              <w:t> </w:t>
            </w:r>
            <w:r>
              <w:rPr>
                <w:color w:val="231F20"/>
                <w:spacing w:val="-2"/>
                <w:sz w:val="15"/>
              </w:rPr>
              <w:t>calcification</w:t>
            </w:r>
            <w:r>
              <w:rPr>
                <w:color w:val="231F20"/>
                <w:spacing w:val="-4"/>
                <w:sz w:val="15"/>
              </w:rPr>
              <w:t> </w:t>
            </w:r>
            <w:r>
              <w:rPr>
                <w:color w:val="231F20"/>
                <w:spacing w:val="-2"/>
                <w:sz w:val="15"/>
              </w:rPr>
              <w:t>of</w:t>
            </w:r>
            <w:r>
              <w:rPr>
                <w:color w:val="231F20"/>
                <w:spacing w:val="-4"/>
                <w:sz w:val="15"/>
              </w:rPr>
              <w:t> </w:t>
            </w:r>
            <w:r>
              <w:rPr>
                <w:color w:val="231F20"/>
                <w:spacing w:val="-2"/>
                <w:sz w:val="15"/>
              </w:rPr>
              <w:t>the</w:t>
            </w:r>
            <w:r>
              <w:rPr>
                <w:color w:val="231F20"/>
                <w:spacing w:val="-4"/>
                <w:sz w:val="15"/>
              </w:rPr>
              <w:t> </w:t>
            </w:r>
            <w:r>
              <w:rPr>
                <w:color w:val="231F20"/>
                <w:spacing w:val="-2"/>
                <w:sz w:val="15"/>
              </w:rPr>
              <w:t>basal</w:t>
            </w:r>
            <w:r>
              <w:rPr>
                <w:color w:val="231F20"/>
                <w:spacing w:val="-4"/>
                <w:sz w:val="15"/>
              </w:rPr>
              <w:t> </w:t>
            </w:r>
            <w:r>
              <w:rPr>
                <w:color w:val="231F20"/>
                <w:spacing w:val="-2"/>
                <w:sz w:val="15"/>
              </w:rPr>
              <w:t>ganglia</w:t>
            </w:r>
          </w:p>
        </w:tc>
        <w:tc>
          <w:tcPr>
            <w:tcW w:w="4875" w:type="dxa"/>
            <w:tcBorders>
              <w:bottom w:val="single" w:sz="4" w:space="0" w:color="FFFFFF"/>
              <w:right w:val="nil"/>
            </w:tcBorders>
            <w:shd w:val="clear" w:color="auto" w:fill="E8F5F1"/>
          </w:tcPr>
          <w:p>
            <w:pPr>
              <w:pStyle w:val="TableParagraph"/>
              <w:tabs>
                <w:tab w:pos="2120" w:val="left" w:leader="none"/>
              </w:tabs>
              <w:spacing w:line="230" w:lineRule="auto" w:before="52"/>
              <w:ind w:left="2120" w:right="403" w:hanging="2051"/>
              <w:rPr>
                <w:sz w:val="15"/>
              </w:rPr>
            </w:pPr>
            <w:r>
              <w:rPr>
                <w:color w:val="231F20"/>
                <w:sz w:val="15"/>
              </w:rPr>
              <w:t>Leigh syndrome</w:t>
              <w:tab/>
              <w:t>Motor</w:t>
            </w:r>
            <w:r>
              <w:rPr>
                <w:color w:val="231F20"/>
                <w:spacing w:val="-12"/>
                <w:sz w:val="15"/>
              </w:rPr>
              <w:t> </w:t>
            </w:r>
            <w:r>
              <w:rPr>
                <w:color w:val="231F20"/>
                <w:sz w:val="15"/>
              </w:rPr>
              <w:t>delays,</w:t>
            </w:r>
            <w:r>
              <w:rPr>
                <w:color w:val="231F20"/>
                <w:spacing w:val="-11"/>
                <w:sz w:val="15"/>
              </w:rPr>
              <w:t> </w:t>
            </w:r>
            <w:r>
              <w:rPr>
                <w:color w:val="231F20"/>
                <w:sz w:val="15"/>
              </w:rPr>
              <w:t>weakness,</w:t>
            </w:r>
            <w:r>
              <w:rPr>
                <w:color w:val="231F20"/>
                <w:spacing w:val="-11"/>
                <w:sz w:val="15"/>
              </w:rPr>
              <w:t> </w:t>
            </w:r>
            <w:r>
              <w:rPr>
                <w:color w:val="231F20"/>
                <w:sz w:val="15"/>
              </w:rPr>
              <w:t>hypotonia Ataxia, tremor</w:t>
            </w:r>
          </w:p>
          <w:p>
            <w:pPr>
              <w:pStyle w:val="TableParagraph"/>
              <w:spacing w:line="167" w:lineRule="exact"/>
              <w:ind w:left="2120"/>
              <w:rPr>
                <w:sz w:val="15"/>
              </w:rPr>
            </w:pPr>
            <w:r>
              <w:rPr>
                <w:color w:val="231F20"/>
                <w:sz w:val="15"/>
              </w:rPr>
              <w:t>Elevated</w:t>
            </w:r>
            <w:r>
              <w:rPr>
                <w:color w:val="231F20"/>
                <w:spacing w:val="-5"/>
                <w:sz w:val="15"/>
              </w:rPr>
              <w:t> </w:t>
            </w:r>
            <w:r>
              <w:rPr>
                <w:color w:val="231F20"/>
                <w:spacing w:val="-2"/>
                <w:sz w:val="15"/>
              </w:rPr>
              <w:t>lactate</w:t>
            </w:r>
          </w:p>
          <w:p>
            <w:pPr>
              <w:pStyle w:val="TableParagraph"/>
              <w:spacing w:line="230" w:lineRule="auto" w:before="3"/>
              <w:ind w:left="2232" w:right="122" w:hanging="112"/>
              <w:rPr>
                <w:sz w:val="15"/>
              </w:rPr>
            </w:pPr>
            <w:r>
              <w:rPr>
                <w:color w:val="231F20"/>
                <w:spacing w:val="-2"/>
                <w:sz w:val="15"/>
              </w:rPr>
              <w:t>MRI:</w:t>
            </w:r>
            <w:r>
              <w:rPr>
                <w:color w:val="231F20"/>
                <w:spacing w:val="-10"/>
                <w:sz w:val="15"/>
              </w:rPr>
              <w:t> </w:t>
            </w:r>
            <w:r>
              <w:rPr>
                <w:color w:val="231F20"/>
                <w:spacing w:val="-2"/>
                <w:sz w:val="15"/>
              </w:rPr>
              <w:t>bilateral</w:t>
            </w:r>
            <w:r>
              <w:rPr>
                <w:color w:val="231F20"/>
                <w:spacing w:val="-9"/>
                <w:sz w:val="15"/>
              </w:rPr>
              <w:t> </w:t>
            </w:r>
            <w:r>
              <w:rPr>
                <w:color w:val="231F20"/>
                <w:spacing w:val="-2"/>
                <w:sz w:val="15"/>
              </w:rPr>
              <w:t>symmetric</w:t>
            </w:r>
            <w:r>
              <w:rPr>
                <w:color w:val="231F20"/>
                <w:spacing w:val="-9"/>
                <w:sz w:val="15"/>
              </w:rPr>
              <w:t> </w:t>
            </w:r>
            <w:r>
              <w:rPr>
                <w:color w:val="231F20"/>
                <w:spacing w:val="-2"/>
                <w:sz w:val="15"/>
              </w:rPr>
              <w:t>hyperintense </w:t>
            </w:r>
            <w:r>
              <w:rPr>
                <w:color w:val="231F20"/>
                <w:sz w:val="15"/>
              </w:rPr>
              <w:t>lesions in the basal ganglia or </w:t>
            </w:r>
            <w:r>
              <w:rPr>
                <w:color w:val="231F20"/>
                <w:spacing w:val="-2"/>
                <w:sz w:val="15"/>
              </w:rPr>
              <w:t>thalamus</w:t>
            </w:r>
          </w:p>
        </w:tc>
      </w:tr>
      <w:tr>
        <w:trPr>
          <w:trHeight w:val="167"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171" w:lineRule="exact" w:before="42"/>
              <w:ind w:left="69"/>
              <w:rPr>
                <w:sz w:val="15"/>
              </w:rPr>
            </w:pPr>
            <w:r>
              <w:rPr>
                <w:color w:val="231F20"/>
                <w:sz w:val="15"/>
              </w:rPr>
              <w:t>Lesch-Nyhan</w:t>
            </w:r>
            <w:r>
              <w:rPr>
                <w:color w:val="231F20"/>
                <w:spacing w:val="9"/>
                <w:sz w:val="15"/>
              </w:rPr>
              <w:t> </w:t>
            </w:r>
            <w:r>
              <w:rPr>
                <w:color w:val="231F20"/>
                <w:spacing w:val="-2"/>
                <w:sz w:val="15"/>
              </w:rPr>
              <w:t>syndrome</w:t>
            </w:r>
            <w:r>
              <w:rPr>
                <w:color w:val="231F20"/>
                <w:sz w:val="15"/>
              </w:rPr>
              <w:tab/>
            </w:r>
            <w:r>
              <w:rPr>
                <w:color w:val="231F20"/>
                <w:spacing w:val="-4"/>
                <w:sz w:val="15"/>
              </w:rPr>
              <w:t>Male</w:t>
            </w:r>
          </w:p>
          <w:p>
            <w:pPr>
              <w:pStyle w:val="TableParagraph"/>
              <w:tabs>
                <w:tab w:pos="2120" w:val="left" w:leader="none"/>
              </w:tabs>
              <w:spacing w:line="230" w:lineRule="auto" w:before="2"/>
              <w:ind w:left="2120" w:right="1268" w:hanging="1939"/>
              <w:rPr>
                <w:sz w:val="15"/>
              </w:rPr>
            </w:pPr>
            <w:r>
              <w:rPr>
                <w:color w:val="231F20"/>
                <w:spacing w:val="-2"/>
                <w:sz w:val="15"/>
              </w:rPr>
              <w:t>(X-linked)</w:t>
            </w:r>
            <w:r>
              <w:rPr>
                <w:color w:val="231F20"/>
                <w:sz w:val="15"/>
              </w:rPr>
              <w:tab/>
            </w:r>
            <w:r>
              <w:rPr>
                <w:color w:val="231F20"/>
                <w:spacing w:val="-2"/>
                <w:sz w:val="15"/>
              </w:rPr>
              <w:t>Self-injurious</w:t>
            </w:r>
            <w:r>
              <w:rPr>
                <w:color w:val="231F20"/>
                <w:spacing w:val="-10"/>
                <w:sz w:val="15"/>
              </w:rPr>
              <w:t> </w:t>
            </w:r>
            <w:r>
              <w:rPr>
                <w:color w:val="231F20"/>
                <w:spacing w:val="-2"/>
                <w:sz w:val="15"/>
              </w:rPr>
              <w:t>behavior Hypotonia</w:t>
            </w:r>
          </w:p>
          <w:p>
            <w:pPr>
              <w:pStyle w:val="TableParagraph"/>
              <w:spacing w:line="230" w:lineRule="auto" w:before="2"/>
              <w:ind w:left="2232" w:hanging="112"/>
              <w:rPr>
                <w:sz w:val="15"/>
              </w:rPr>
            </w:pPr>
            <w:r>
              <w:rPr>
                <w:color w:val="231F20"/>
                <w:spacing w:val="-2"/>
                <w:sz w:val="15"/>
              </w:rPr>
              <w:t>Oromandibular dystonia, </w:t>
            </w:r>
            <w:r>
              <w:rPr>
                <w:color w:val="231F20"/>
                <w:spacing w:val="-2"/>
                <w:sz w:val="15"/>
              </w:rPr>
              <w:t>inspiratory stridor</w:t>
            </w:r>
          </w:p>
          <w:p>
            <w:pPr>
              <w:pStyle w:val="TableParagraph"/>
              <w:spacing w:line="230" w:lineRule="auto" w:before="1"/>
              <w:ind w:left="2120" w:right="1290"/>
              <w:rPr>
                <w:sz w:val="15"/>
              </w:rPr>
            </w:pPr>
            <w:r>
              <w:rPr>
                <w:color w:val="231F20"/>
                <w:sz w:val="15"/>
              </w:rPr>
              <w:t>Oculomotor apraxia Cognitive</w:t>
            </w:r>
            <w:r>
              <w:rPr>
                <w:color w:val="231F20"/>
                <w:spacing w:val="-12"/>
                <w:sz w:val="15"/>
              </w:rPr>
              <w:t> </w:t>
            </w:r>
            <w:r>
              <w:rPr>
                <w:color w:val="231F20"/>
                <w:sz w:val="15"/>
              </w:rPr>
              <w:t>impairment Elevated uric acid</w:t>
            </w:r>
          </w:p>
        </w:tc>
      </w:tr>
      <w:tr>
        <w:trPr>
          <w:trHeight w:val="1102" w:hRule="exact"/>
        </w:trPr>
        <w:tc>
          <w:tcPr>
            <w:tcW w:w="4870" w:type="dxa"/>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186" w:right="482" w:hanging="112"/>
              <w:rPr>
                <w:sz w:val="15"/>
              </w:rPr>
            </w:pPr>
            <w:r>
              <w:rPr>
                <w:color w:val="231F20"/>
                <w:sz w:val="15"/>
              </w:rPr>
              <w:t>Alternating hemiplegia</w:t>
              <w:tab/>
              <w:t>Episodic</w:t>
            </w:r>
            <w:r>
              <w:rPr>
                <w:color w:val="231F20"/>
                <w:spacing w:val="-12"/>
                <w:sz w:val="15"/>
              </w:rPr>
              <w:t> </w:t>
            </w:r>
            <w:r>
              <w:rPr>
                <w:color w:val="231F20"/>
                <w:sz w:val="15"/>
              </w:rPr>
              <w:t>hemiplegia/quadriplegia of childhood</w:t>
              <w:tab/>
              <w:t>Abnormal ocular movements</w:t>
            </w:r>
          </w:p>
          <w:p>
            <w:pPr>
              <w:pStyle w:val="TableParagraph"/>
              <w:spacing w:line="230" w:lineRule="auto" w:before="1"/>
              <w:ind w:left="2125" w:right="895"/>
              <w:rPr>
                <w:sz w:val="15"/>
              </w:rPr>
            </w:pPr>
            <w:r>
              <w:rPr>
                <w:color w:val="231F20"/>
                <w:sz w:val="15"/>
              </w:rPr>
              <w:t>Autonomic</w:t>
            </w:r>
            <w:r>
              <w:rPr>
                <w:color w:val="231F20"/>
                <w:spacing w:val="-8"/>
                <w:sz w:val="15"/>
              </w:rPr>
              <w:t> </w:t>
            </w:r>
            <w:r>
              <w:rPr>
                <w:color w:val="231F20"/>
                <w:sz w:val="15"/>
              </w:rPr>
              <w:t>symptoms </w:t>
            </w:r>
            <w:r>
              <w:rPr>
                <w:color w:val="231F20"/>
                <w:spacing w:val="-2"/>
                <w:sz w:val="15"/>
              </w:rPr>
              <w:t>Epilepsy</w:t>
            </w:r>
          </w:p>
          <w:p>
            <w:pPr>
              <w:pStyle w:val="TableParagraph"/>
              <w:spacing w:line="230" w:lineRule="auto" w:before="2"/>
              <w:ind w:left="2125"/>
              <w:rPr>
                <w:sz w:val="15"/>
              </w:rPr>
            </w:pPr>
            <w:r>
              <w:rPr>
                <w:color w:val="231F20"/>
                <w:sz w:val="15"/>
              </w:rPr>
              <w:t>Global</w:t>
            </w:r>
            <w:r>
              <w:rPr>
                <w:color w:val="231F20"/>
                <w:spacing w:val="-12"/>
                <w:sz w:val="15"/>
              </w:rPr>
              <w:t> </w:t>
            </w:r>
            <w:r>
              <w:rPr>
                <w:color w:val="231F20"/>
                <w:sz w:val="15"/>
              </w:rPr>
              <w:t>developmental</w:t>
            </w:r>
            <w:r>
              <w:rPr>
                <w:color w:val="231F20"/>
                <w:spacing w:val="-11"/>
                <w:sz w:val="15"/>
              </w:rPr>
              <w:t> </w:t>
            </w:r>
            <w:r>
              <w:rPr>
                <w:color w:val="231F20"/>
                <w:sz w:val="15"/>
              </w:rPr>
              <w:t>impairment Environmental triggers for spells</w:t>
            </w:r>
          </w:p>
        </w:tc>
        <w:tc>
          <w:tcPr>
            <w:tcW w:w="4875" w:type="dxa"/>
            <w:vMerge/>
            <w:tcBorders>
              <w:top w:val="nil"/>
              <w:bottom w:val="single" w:sz="4" w:space="0" w:color="FFFFFF"/>
              <w:right w:val="nil"/>
            </w:tcBorders>
            <w:shd w:val="clear" w:color="auto" w:fill="E8F5F1"/>
          </w:tcPr>
          <w:p>
            <w:pPr>
              <w:rPr>
                <w:sz w:val="2"/>
                <w:szCs w:val="2"/>
              </w:rPr>
            </w:pPr>
          </w:p>
        </w:tc>
      </w:tr>
      <w:tr>
        <w:trPr>
          <w:trHeight w:val="167" w:hRule="exact"/>
        </w:trPr>
        <w:tc>
          <w:tcPr>
            <w:tcW w:w="4870" w:type="dxa"/>
            <w:vMerge w:val="restart"/>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186" w:right="1316" w:hanging="112"/>
              <w:rPr>
                <w:sz w:val="15"/>
              </w:rPr>
            </w:pPr>
            <w:r>
              <w:rPr>
                <w:color w:val="231F20"/>
                <w:sz w:val="15"/>
              </w:rPr>
              <w:t>Aromatic amino acid</w:t>
              <w:tab/>
              <w:t>Developmental</w:t>
            </w:r>
            <w:r>
              <w:rPr>
                <w:color w:val="231F20"/>
                <w:spacing w:val="-12"/>
                <w:sz w:val="15"/>
              </w:rPr>
              <w:t> </w:t>
            </w:r>
            <w:r>
              <w:rPr>
                <w:color w:val="231F20"/>
                <w:sz w:val="15"/>
              </w:rPr>
              <w:t>delay </w:t>
            </w:r>
            <w:r>
              <w:rPr>
                <w:color w:val="231F20"/>
                <w:spacing w:val="-2"/>
                <w:sz w:val="15"/>
              </w:rPr>
              <w:t>decarboxylase</w:t>
            </w:r>
            <w:r>
              <w:rPr>
                <w:color w:val="231F20"/>
                <w:sz w:val="15"/>
              </w:rPr>
              <w:tab/>
              <w:t>Oculogyric crises</w:t>
            </w:r>
          </w:p>
          <w:p>
            <w:pPr>
              <w:pStyle w:val="TableParagraph"/>
              <w:tabs>
                <w:tab w:pos="2125" w:val="left" w:leader="none"/>
              </w:tabs>
              <w:spacing w:line="230" w:lineRule="auto" w:before="1"/>
              <w:ind w:left="2125" w:right="1197" w:hanging="1939"/>
              <w:rPr>
                <w:sz w:val="15"/>
              </w:rPr>
            </w:pPr>
            <w:r>
              <w:rPr>
                <w:color w:val="231F20"/>
                <w:sz w:val="15"/>
              </w:rPr>
              <w:t>deficiency (AADC)</w:t>
              <w:tab/>
              <w:t>Autonomic</w:t>
            </w:r>
            <w:r>
              <w:rPr>
                <w:color w:val="231F20"/>
                <w:spacing w:val="-12"/>
                <w:sz w:val="15"/>
              </w:rPr>
              <w:t> </w:t>
            </w:r>
            <w:r>
              <w:rPr>
                <w:color w:val="231F20"/>
                <w:sz w:val="15"/>
              </w:rPr>
              <w:t>dysfunction </w:t>
            </w:r>
            <w:r>
              <w:rPr>
                <w:color w:val="231F20"/>
                <w:spacing w:val="-2"/>
                <w:sz w:val="15"/>
              </w:rPr>
              <w:t>Hypotonia</w:t>
            </w:r>
          </w:p>
        </w:tc>
        <w:tc>
          <w:tcPr>
            <w:tcW w:w="4875" w:type="dxa"/>
            <w:vMerge/>
            <w:tcBorders>
              <w:top w:val="nil"/>
              <w:bottom w:val="single" w:sz="4" w:space="0" w:color="FFFFFF"/>
              <w:right w:val="nil"/>
            </w:tcBorders>
            <w:shd w:val="clear" w:color="auto" w:fill="E8F5F1"/>
          </w:tcPr>
          <w:p>
            <w:pPr>
              <w:rPr>
                <w:sz w:val="2"/>
                <w:szCs w:val="2"/>
              </w:rPr>
            </w:pPr>
          </w:p>
        </w:tc>
      </w:tr>
      <w:tr>
        <w:trPr>
          <w:trHeight w:val="430"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tcBorders>
              <w:top w:val="single" w:sz="4" w:space="0" w:color="FFFFFF"/>
              <w:bottom w:val="single" w:sz="4" w:space="0" w:color="FFFFFF"/>
              <w:right w:val="nil"/>
            </w:tcBorders>
            <w:shd w:val="clear" w:color="auto" w:fill="E8F5F1"/>
          </w:tcPr>
          <w:p>
            <w:pPr>
              <w:pStyle w:val="TableParagraph"/>
              <w:tabs>
                <w:tab w:pos="2120" w:val="left" w:leader="none"/>
              </w:tabs>
              <w:spacing w:line="171" w:lineRule="exact" w:before="42"/>
              <w:ind w:left="69"/>
              <w:rPr>
                <w:sz w:val="15"/>
              </w:rPr>
            </w:pPr>
            <w:r>
              <w:rPr>
                <w:color w:val="231F20"/>
                <w:sz w:val="15"/>
              </w:rPr>
              <w:t>Myoclonus</w:t>
            </w:r>
            <w:r>
              <w:rPr>
                <w:color w:val="231F20"/>
                <w:spacing w:val="28"/>
                <w:sz w:val="15"/>
              </w:rPr>
              <w:t> </w:t>
            </w:r>
            <w:r>
              <w:rPr>
                <w:color w:val="231F20"/>
                <w:spacing w:val="-2"/>
                <w:sz w:val="15"/>
              </w:rPr>
              <w:t>dystonia</w:t>
            </w:r>
            <w:r>
              <w:rPr>
                <w:color w:val="231F20"/>
                <w:sz w:val="15"/>
              </w:rPr>
              <w:tab/>
            </w:r>
            <w:r>
              <w:rPr>
                <w:color w:val="231F20"/>
                <w:spacing w:val="-2"/>
                <w:sz w:val="15"/>
              </w:rPr>
              <w:t>Myoclonus</w:t>
            </w:r>
          </w:p>
          <w:p>
            <w:pPr>
              <w:pStyle w:val="TableParagraph"/>
              <w:spacing w:line="171" w:lineRule="exact"/>
              <w:ind w:left="2120"/>
              <w:rPr>
                <w:sz w:val="15"/>
              </w:rPr>
            </w:pPr>
            <w:r>
              <w:rPr>
                <w:color w:val="231F20"/>
                <w:sz w:val="15"/>
              </w:rPr>
              <w:t>Head,</w:t>
            </w:r>
            <w:r>
              <w:rPr>
                <w:color w:val="231F20"/>
                <w:spacing w:val="1"/>
                <w:sz w:val="15"/>
              </w:rPr>
              <w:t> </w:t>
            </w:r>
            <w:r>
              <w:rPr>
                <w:color w:val="231F20"/>
                <w:sz w:val="15"/>
              </w:rPr>
              <w:t>upper</w:t>
            </w:r>
            <w:r>
              <w:rPr>
                <w:color w:val="231F20"/>
                <w:spacing w:val="2"/>
                <w:sz w:val="15"/>
              </w:rPr>
              <w:t> </w:t>
            </w:r>
            <w:r>
              <w:rPr>
                <w:color w:val="231F20"/>
                <w:sz w:val="15"/>
              </w:rPr>
              <w:t>limb</w:t>
            </w:r>
            <w:r>
              <w:rPr>
                <w:color w:val="231F20"/>
                <w:spacing w:val="1"/>
                <w:sz w:val="15"/>
              </w:rPr>
              <w:t> </w:t>
            </w:r>
            <w:r>
              <w:rPr>
                <w:color w:val="231F20"/>
                <w:spacing w:val="-2"/>
                <w:sz w:val="15"/>
              </w:rPr>
              <w:t>involvement</w:t>
            </w:r>
          </w:p>
        </w:tc>
      </w:tr>
      <w:tr>
        <w:trPr>
          <w:trHeight w:val="167"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171" w:lineRule="exact" w:before="42"/>
              <w:ind w:left="69"/>
              <w:rPr>
                <w:sz w:val="15"/>
              </w:rPr>
            </w:pPr>
            <w:r>
              <w:rPr>
                <w:color w:val="231F20"/>
                <w:sz w:val="15"/>
              </w:rPr>
              <w:t>Niemann-Pick</w:t>
            </w:r>
            <w:r>
              <w:rPr>
                <w:color w:val="231F20"/>
                <w:spacing w:val="-2"/>
                <w:sz w:val="15"/>
              </w:rPr>
              <w:t> </w:t>
            </w:r>
            <w:r>
              <w:rPr>
                <w:color w:val="231F20"/>
                <w:sz w:val="15"/>
              </w:rPr>
              <w:t>type</w:t>
            </w:r>
            <w:r>
              <w:rPr>
                <w:color w:val="231F20"/>
                <w:spacing w:val="-2"/>
                <w:sz w:val="15"/>
              </w:rPr>
              <w:t> </w:t>
            </w:r>
            <w:r>
              <w:rPr>
                <w:color w:val="231F20"/>
                <w:spacing w:val="-10"/>
                <w:sz w:val="15"/>
              </w:rPr>
              <w:t>C</w:t>
            </w:r>
            <w:r>
              <w:rPr>
                <w:color w:val="231F20"/>
                <w:sz w:val="15"/>
              </w:rPr>
              <w:tab/>
            </w:r>
            <w:r>
              <w:rPr>
                <w:color w:val="231F20"/>
                <w:spacing w:val="-2"/>
                <w:sz w:val="15"/>
              </w:rPr>
              <w:t>Hepatosplenomegaly</w:t>
            </w:r>
          </w:p>
          <w:p>
            <w:pPr>
              <w:pStyle w:val="TableParagraph"/>
              <w:spacing w:line="168" w:lineRule="exact"/>
              <w:ind w:left="2120"/>
              <w:rPr>
                <w:sz w:val="15"/>
              </w:rPr>
            </w:pPr>
            <w:r>
              <w:rPr>
                <w:color w:val="231F20"/>
                <w:spacing w:val="-2"/>
                <w:sz w:val="15"/>
              </w:rPr>
              <w:t>Hypotonia</w:t>
            </w:r>
          </w:p>
          <w:p>
            <w:pPr>
              <w:pStyle w:val="TableParagraph"/>
              <w:spacing w:line="230" w:lineRule="auto" w:before="2"/>
              <w:ind w:left="2120" w:right="1034"/>
              <w:rPr>
                <w:sz w:val="15"/>
              </w:rPr>
            </w:pPr>
            <w:r>
              <w:rPr>
                <w:color w:val="231F20"/>
                <w:sz w:val="15"/>
              </w:rPr>
              <w:t>Supranuclear</w:t>
            </w:r>
            <w:r>
              <w:rPr>
                <w:color w:val="231F20"/>
                <w:spacing w:val="-12"/>
                <w:sz w:val="15"/>
              </w:rPr>
              <w:t> </w:t>
            </w:r>
            <w:r>
              <w:rPr>
                <w:color w:val="231F20"/>
                <w:sz w:val="15"/>
              </w:rPr>
              <w:t>gaze</w:t>
            </w:r>
            <w:r>
              <w:rPr>
                <w:color w:val="231F20"/>
                <w:spacing w:val="-11"/>
                <w:sz w:val="15"/>
              </w:rPr>
              <w:t> </w:t>
            </w:r>
            <w:r>
              <w:rPr>
                <w:color w:val="231F20"/>
                <w:sz w:val="15"/>
              </w:rPr>
              <w:t>palsy Ataxia, dysarthria </w:t>
            </w:r>
            <w:r>
              <w:rPr>
                <w:color w:val="231F20"/>
                <w:spacing w:val="-2"/>
                <w:sz w:val="15"/>
              </w:rPr>
              <w:t>Epilepsy</w:t>
            </w:r>
          </w:p>
          <w:p>
            <w:pPr>
              <w:pStyle w:val="TableParagraph"/>
              <w:spacing w:line="171" w:lineRule="exact"/>
              <w:ind w:left="2120"/>
              <w:rPr>
                <w:sz w:val="15"/>
              </w:rPr>
            </w:pPr>
            <w:r>
              <w:rPr>
                <w:color w:val="231F20"/>
                <w:spacing w:val="-4"/>
                <w:sz w:val="15"/>
              </w:rPr>
              <w:t>Psychiatric</w:t>
            </w:r>
            <w:r>
              <w:rPr>
                <w:color w:val="231F20"/>
                <w:spacing w:val="1"/>
                <w:sz w:val="15"/>
              </w:rPr>
              <w:t> </w:t>
            </w:r>
            <w:r>
              <w:rPr>
                <w:color w:val="231F20"/>
                <w:spacing w:val="-2"/>
                <w:sz w:val="15"/>
              </w:rPr>
              <w:t>symptoms</w:t>
            </w:r>
          </w:p>
        </w:tc>
      </w:tr>
      <w:tr>
        <w:trPr>
          <w:trHeight w:val="766" w:hRule="exact"/>
        </w:trPr>
        <w:tc>
          <w:tcPr>
            <w:tcW w:w="4870" w:type="dxa"/>
            <w:tcBorders>
              <w:top w:val="single" w:sz="4" w:space="0" w:color="FFFFFF"/>
              <w:left w:val="nil"/>
              <w:bottom w:val="single" w:sz="4" w:space="0" w:color="FFFFFF"/>
            </w:tcBorders>
            <w:shd w:val="clear" w:color="auto" w:fill="E8F5F1"/>
          </w:tcPr>
          <w:p>
            <w:pPr>
              <w:pStyle w:val="TableParagraph"/>
              <w:tabs>
                <w:tab w:pos="2125" w:val="left" w:leader="none"/>
              </w:tabs>
              <w:spacing w:line="171" w:lineRule="exact" w:before="42"/>
              <w:ind w:left="74"/>
              <w:rPr>
                <w:sz w:val="15"/>
              </w:rPr>
            </w:pPr>
            <w:r>
              <w:rPr>
                <w:color w:val="231F20"/>
                <w:w w:val="105"/>
                <w:sz w:val="15"/>
              </w:rPr>
              <w:t>ARX</w:t>
            </w:r>
            <w:r>
              <w:rPr>
                <w:color w:val="231F20"/>
                <w:spacing w:val="4"/>
                <w:w w:val="105"/>
                <w:sz w:val="15"/>
              </w:rPr>
              <w:t> </w:t>
            </w:r>
            <w:r>
              <w:rPr>
                <w:color w:val="231F20"/>
                <w:w w:val="105"/>
                <w:sz w:val="15"/>
              </w:rPr>
              <w:t>gene</w:t>
            </w:r>
            <w:r>
              <w:rPr>
                <w:color w:val="231F20"/>
                <w:spacing w:val="4"/>
                <w:w w:val="105"/>
                <w:sz w:val="15"/>
              </w:rPr>
              <w:t> </w:t>
            </w:r>
            <w:r>
              <w:rPr>
                <w:color w:val="231F20"/>
                <w:spacing w:val="-2"/>
                <w:w w:val="105"/>
                <w:sz w:val="15"/>
              </w:rPr>
              <w:t>mutation</w:t>
            </w:r>
            <w:r>
              <w:rPr>
                <w:color w:val="231F20"/>
                <w:sz w:val="15"/>
              </w:rPr>
              <w:tab/>
            </w:r>
            <w:r>
              <w:rPr>
                <w:color w:val="231F20"/>
                <w:spacing w:val="-4"/>
                <w:w w:val="105"/>
                <w:sz w:val="15"/>
              </w:rPr>
              <w:t>Male</w:t>
            </w:r>
          </w:p>
          <w:p>
            <w:pPr>
              <w:pStyle w:val="TableParagraph"/>
              <w:tabs>
                <w:tab w:pos="2125" w:val="left" w:leader="none"/>
              </w:tabs>
              <w:spacing w:line="230" w:lineRule="auto" w:before="2"/>
              <w:ind w:left="2125" w:right="1035" w:hanging="1939"/>
              <w:rPr>
                <w:sz w:val="15"/>
              </w:rPr>
            </w:pPr>
            <w:r>
              <w:rPr>
                <w:color w:val="231F20"/>
                <w:spacing w:val="-2"/>
                <w:sz w:val="15"/>
              </w:rPr>
              <w:t>(X-linked)</w:t>
            </w:r>
            <w:r>
              <w:rPr>
                <w:color w:val="231F20"/>
                <w:sz w:val="15"/>
              </w:rPr>
              <w:tab/>
              <w:t>Cognitive impairment </w:t>
            </w:r>
            <w:r>
              <w:rPr>
                <w:color w:val="231F20"/>
                <w:spacing w:val="-2"/>
                <w:sz w:val="15"/>
              </w:rPr>
              <w:t>Infantile</w:t>
            </w:r>
            <w:r>
              <w:rPr>
                <w:color w:val="231F20"/>
                <w:spacing w:val="-10"/>
                <w:sz w:val="15"/>
              </w:rPr>
              <w:t> </w:t>
            </w:r>
            <w:r>
              <w:rPr>
                <w:color w:val="231F20"/>
                <w:spacing w:val="-2"/>
                <w:sz w:val="15"/>
              </w:rPr>
              <w:t>spasms,</w:t>
            </w:r>
            <w:r>
              <w:rPr>
                <w:color w:val="231F20"/>
                <w:spacing w:val="-9"/>
                <w:sz w:val="15"/>
              </w:rPr>
              <w:t> </w:t>
            </w:r>
            <w:r>
              <w:rPr>
                <w:color w:val="231F20"/>
                <w:spacing w:val="-2"/>
                <w:sz w:val="15"/>
              </w:rPr>
              <w:t>epilepsy </w:t>
            </w:r>
            <w:r>
              <w:rPr>
                <w:color w:val="231F20"/>
                <w:sz w:val="15"/>
              </w:rPr>
              <w:t>Brain malformation</w:t>
            </w:r>
          </w:p>
        </w:tc>
        <w:tc>
          <w:tcPr>
            <w:tcW w:w="4875" w:type="dxa"/>
            <w:vMerge/>
            <w:tcBorders>
              <w:top w:val="nil"/>
              <w:bottom w:val="single" w:sz="4" w:space="0" w:color="FFFFFF"/>
              <w:right w:val="nil"/>
            </w:tcBorders>
            <w:shd w:val="clear" w:color="auto" w:fill="E8F5F1"/>
          </w:tcPr>
          <w:p>
            <w:pPr>
              <w:rPr>
                <w:sz w:val="2"/>
                <w:szCs w:val="2"/>
              </w:rPr>
            </w:pPr>
          </w:p>
        </w:tc>
      </w:tr>
      <w:tr>
        <w:trPr>
          <w:trHeight w:val="167" w:hRule="exact"/>
        </w:trPr>
        <w:tc>
          <w:tcPr>
            <w:tcW w:w="4870" w:type="dxa"/>
            <w:vMerge w:val="restart"/>
            <w:tcBorders>
              <w:top w:val="single" w:sz="4" w:space="0" w:color="FFFFFF"/>
              <w:left w:val="nil"/>
              <w:bottom w:val="single" w:sz="4" w:space="0" w:color="FFFFFF"/>
            </w:tcBorders>
            <w:shd w:val="clear" w:color="auto" w:fill="E8F5F1"/>
          </w:tcPr>
          <w:p>
            <w:pPr>
              <w:pStyle w:val="TableParagraph"/>
              <w:tabs>
                <w:tab w:pos="2125" w:val="left" w:leader="none"/>
              </w:tabs>
              <w:spacing w:line="171" w:lineRule="exact" w:before="42"/>
              <w:ind w:left="74"/>
              <w:rPr>
                <w:sz w:val="15"/>
              </w:rPr>
            </w:pPr>
            <w:r>
              <w:rPr>
                <w:color w:val="231F20"/>
                <w:sz w:val="15"/>
              </w:rPr>
              <w:t>Benign</w:t>
            </w:r>
            <w:r>
              <w:rPr>
                <w:color w:val="231F20"/>
                <w:spacing w:val="18"/>
                <w:sz w:val="15"/>
              </w:rPr>
              <w:t> </w:t>
            </w:r>
            <w:r>
              <w:rPr>
                <w:color w:val="231F20"/>
                <w:spacing w:val="-2"/>
                <w:sz w:val="15"/>
              </w:rPr>
              <w:t>paroxysmal</w:t>
            </w:r>
            <w:r>
              <w:rPr>
                <w:color w:val="231F20"/>
                <w:sz w:val="15"/>
              </w:rPr>
              <w:tab/>
            </w:r>
            <w:r>
              <w:rPr>
                <w:color w:val="231F20"/>
                <w:spacing w:val="-2"/>
                <w:sz w:val="15"/>
              </w:rPr>
              <w:t>Episodic</w:t>
            </w:r>
          </w:p>
          <w:p>
            <w:pPr>
              <w:pStyle w:val="TableParagraph"/>
              <w:tabs>
                <w:tab w:pos="2125" w:val="left" w:leader="none"/>
              </w:tabs>
              <w:spacing w:line="168" w:lineRule="exact"/>
              <w:ind w:left="186"/>
              <w:rPr>
                <w:sz w:val="15"/>
              </w:rPr>
            </w:pPr>
            <w:r>
              <w:rPr>
                <w:color w:val="231F20"/>
                <w:spacing w:val="-4"/>
                <w:sz w:val="15"/>
              </w:rPr>
              <w:t>torticollis</w:t>
            </w:r>
            <w:r>
              <w:rPr>
                <w:color w:val="231F20"/>
                <w:spacing w:val="2"/>
                <w:sz w:val="15"/>
              </w:rPr>
              <w:t> </w:t>
            </w:r>
            <w:r>
              <w:rPr>
                <w:color w:val="231F20"/>
                <w:spacing w:val="-4"/>
                <w:sz w:val="15"/>
              </w:rPr>
              <w:t>of</w:t>
            </w:r>
            <w:r>
              <w:rPr>
                <w:color w:val="231F20"/>
                <w:spacing w:val="2"/>
                <w:sz w:val="15"/>
              </w:rPr>
              <w:t> </w:t>
            </w:r>
            <w:r>
              <w:rPr>
                <w:color w:val="231F20"/>
                <w:spacing w:val="-4"/>
                <w:sz w:val="15"/>
              </w:rPr>
              <w:t>infancy</w:t>
            </w:r>
            <w:r>
              <w:rPr>
                <w:color w:val="231F20"/>
                <w:sz w:val="15"/>
              </w:rPr>
              <w:tab/>
              <w:t>Cervical</w:t>
            </w:r>
            <w:r>
              <w:rPr>
                <w:color w:val="231F20"/>
                <w:spacing w:val="-10"/>
                <w:sz w:val="15"/>
              </w:rPr>
              <w:t> </w:t>
            </w:r>
            <w:r>
              <w:rPr>
                <w:color w:val="231F20"/>
                <w:sz w:val="15"/>
              </w:rPr>
              <w:t>dystonia</w:t>
            </w:r>
            <w:r>
              <w:rPr>
                <w:color w:val="231F20"/>
                <w:spacing w:val="-10"/>
                <w:sz w:val="15"/>
              </w:rPr>
              <w:t> </w:t>
            </w:r>
            <w:r>
              <w:rPr>
                <w:color w:val="231F20"/>
                <w:spacing w:val="-4"/>
                <w:sz w:val="15"/>
              </w:rPr>
              <w:t>only</w:t>
            </w:r>
          </w:p>
          <w:p>
            <w:pPr>
              <w:pStyle w:val="TableParagraph"/>
              <w:spacing w:line="171" w:lineRule="exact"/>
              <w:ind w:left="2125"/>
              <w:rPr>
                <w:sz w:val="15"/>
              </w:rPr>
            </w:pPr>
            <w:r>
              <w:rPr>
                <w:color w:val="231F20"/>
                <w:spacing w:val="-2"/>
                <w:sz w:val="15"/>
              </w:rPr>
              <w:t>Family</w:t>
            </w:r>
            <w:r>
              <w:rPr>
                <w:color w:val="231F20"/>
                <w:spacing w:val="-3"/>
                <w:sz w:val="15"/>
              </w:rPr>
              <w:t> </w:t>
            </w:r>
            <w:r>
              <w:rPr>
                <w:color w:val="231F20"/>
                <w:spacing w:val="-2"/>
                <w:sz w:val="15"/>
              </w:rPr>
              <w:t>history of</w:t>
            </w:r>
            <w:r>
              <w:rPr>
                <w:color w:val="231F20"/>
                <w:spacing w:val="-3"/>
                <w:sz w:val="15"/>
              </w:rPr>
              <w:t> </w:t>
            </w:r>
            <w:r>
              <w:rPr>
                <w:color w:val="231F20"/>
                <w:spacing w:val="-2"/>
                <w:sz w:val="15"/>
              </w:rPr>
              <w:t>migraine</w:t>
            </w:r>
          </w:p>
        </w:tc>
        <w:tc>
          <w:tcPr>
            <w:tcW w:w="4875" w:type="dxa"/>
            <w:vMerge/>
            <w:tcBorders>
              <w:top w:val="nil"/>
              <w:bottom w:val="single" w:sz="4" w:space="0" w:color="FFFFFF"/>
              <w:right w:val="nil"/>
            </w:tcBorders>
            <w:shd w:val="clear" w:color="auto" w:fill="E8F5F1"/>
          </w:tcPr>
          <w:p>
            <w:pPr>
              <w:rPr>
                <w:sz w:val="2"/>
                <w:szCs w:val="2"/>
              </w:rPr>
            </w:pPr>
          </w:p>
        </w:tc>
      </w:tr>
      <w:tr>
        <w:trPr>
          <w:trHeight w:val="262"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tcBorders>
              <w:top w:val="single" w:sz="4" w:space="0" w:color="FFFFFF"/>
              <w:bottom w:val="single" w:sz="4" w:space="0" w:color="FFFFFF"/>
              <w:right w:val="nil"/>
            </w:tcBorders>
            <w:shd w:val="clear" w:color="auto" w:fill="E8F5F1"/>
          </w:tcPr>
          <w:p>
            <w:pPr>
              <w:pStyle w:val="TableParagraph"/>
              <w:tabs>
                <w:tab w:pos="2120" w:val="left" w:leader="none"/>
              </w:tabs>
              <w:spacing w:before="42"/>
              <w:ind w:left="69"/>
              <w:rPr>
                <w:sz w:val="15"/>
              </w:rPr>
            </w:pPr>
            <w:r>
              <w:rPr>
                <w:color w:val="231F20"/>
                <w:spacing w:val="-2"/>
                <w:sz w:val="15"/>
              </w:rPr>
              <w:t>Neuroacanthocytosis</w:t>
            </w:r>
            <w:r>
              <w:rPr>
                <w:color w:val="231F20"/>
                <w:sz w:val="15"/>
              </w:rPr>
              <w:tab/>
              <w:t>Oromandibular</w:t>
            </w:r>
            <w:r>
              <w:rPr>
                <w:color w:val="231F20"/>
                <w:spacing w:val="3"/>
                <w:sz w:val="15"/>
              </w:rPr>
              <w:t> </w:t>
            </w:r>
            <w:r>
              <w:rPr>
                <w:color w:val="231F20"/>
                <w:sz w:val="15"/>
              </w:rPr>
              <w:t>and</w:t>
            </w:r>
            <w:r>
              <w:rPr>
                <w:color w:val="231F20"/>
                <w:spacing w:val="4"/>
                <w:sz w:val="15"/>
              </w:rPr>
              <w:t> </w:t>
            </w:r>
            <w:r>
              <w:rPr>
                <w:color w:val="231F20"/>
                <w:sz w:val="15"/>
              </w:rPr>
              <w:t>lingual</w:t>
            </w:r>
            <w:r>
              <w:rPr>
                <w:color w:val="231F20"/>
                <w:spacing w:val="4"/>
                <w:sz w:val="15"/>
              </w:rPr>
              <w:t> </w:t>
            </w:r>
            <w:r>
              <w:rPr>
                <w:color w:val="231F20"/>
                <w:spacing w:val="-2"/>
                <w:sz w:val="15"/>
              </w:rPr>
              <w:t>dystonia</w:t>
            </w:r>
          </w:p>
        </w:tc>
      </w:tr>
      <w:tr>
        <w:trPr>
          <w:trHeight w:val="167"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171" w:lineRule="exact" w:before="42"/>
              <w:ind w:left="69"/>
              <w:rPr>
                <w:sz w:val="15"/>
              </w:rPr>
            </w:pPr>
            <w:r>
              <w:rPr>
                <w:color w:val="231F20"/>
                <w:sz w:val="15"/>
              </w:rPr>
              <w:t>Neurodegeneration</w:t>
            </w:r>
            <w:r>
              <w:rPr>
                <w:color w:val="231F20"/>
                <w:spacing w:val="26"/>
                <w:sz w:val="15"/>
              </w:rPr>
              <w:t> </w:t>
            </w:r>
            <w:r>
              <w:rPr>
                <w:color w:val="231F20"/>
                <w:spacing w:val="-4"/>
                <w:sz w:val="15"/>
              </w:rPr>
              <w:t>with</w:t>
            </w:r>
            <w:r>
              <w:rPr>
                <w:color w:val="231F20"/>
                <w:sz w:val="15"/>
              </w:rPr>
              <w:tab/>
              <w:t>Cognitive</w:t>
            </w:r>
            <w:r>
              <w:rPr>
                <w:color w:val="231F20"/>
                <w:spacing w:val="13"/>
                <w:sz w:val="15"/>
              </w:rPr>
              <w:t> </w:t>
            </w:r>
            <w:r>
              <w:rPr>
                <w:color w:val="231F20"/>
                <w:spacing w:val="-2"/>
                <w:sz w:val="15"/>
              </w:rPr>
              <w:t>impairment</w:t>
            </w:r>
          </w:p>
          <w:p>
            <w:pPr>
              <w:pStyle w:val="TableParagraph"/>
              <w:tabs>
                <w:tab w:pos="2120" w:val="left" w:leader="none"/>
              </w:tabs>
              <w:spacing w:line="230" w:lineRule="auto" w:before="2"/>
              <w:ind w:left="2232" w:right="122" w:hanging="2051"/>
              <w:rPr>
                <w:sz w:val="15"/>
              </w:rPr>
            </w:pPr>
            <w:r>
              <w:rPr>
                <w:color w:val="231F20"/>
                <w:sz w:val="15"/>
              </w:rPr>
              <w:t>brain iron accumulation</w:t>
              <w:tab/>
            </w:r>
            <w:r>
              <w:rPr>
                <w:color w:val="231F20"/>
                <w:spacing w:val="-2"/>
                <w:sz w:val="15"/>
              </w:rPr>
              <w:t>Retinal pigmentary degeneration, </w:t>
            </w:r>
            <w:r>
              <w:rPr>
                <w:color w:val="231F20"/>
                <w:spacing w:val="-2"/>
                <w:sz w:val="15"/>
              </w:rPr>
              <w:t>optic atrophy</w:t>
            </w:r>
          </w:p>
        </w:tc>
      </w:tr>
      <w:tr>
        <w:trPr>
          <w:trHeight w:val="430" w:hRule="exact"/>
        </w:trPr>
        <w:tc>
          <w:tcPr>
            <w:tcW w:w="4870" w:type="dxa"/>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186" w:right="1146" w:hanging="112"/>
              <w:rPr>
                <w:sz w:val="15"/>
              </w:rPr>
            </w:pPr>
            <w:r>
              <w:rPr>
                <w:color w:val="231F20"/>
                <w:sz w:val="15"/>
              </w:rPr>
              <w:t>Complex regional pain</w:t>
              <w:tab/>
            </w:r>
            <w:r>
              <w:rPr>
                <w:color w:val="231F20"/>
                <w:spacing w:val="-2"/>
                <w:sz w:val="15"/>
              </w:rPr>
              <w:t>Lower</w:t>
            </w:r>
            <w:r>
              <w:rPr>
                <w:color w:val="231F20"/>
                <w:spacing w:val="-10"/>
                <w:sz w:val="15"/>
              </w:rPr>
              <w:t> </w:t>
            </w:r>
            <w:r>
              <w:rPr>
                <w:color w:val="231F20"/>
                <w:spacing w:val="-2"/>
                <w:sz w:val="15"/>
              </w:rPr>
              <w:t>limb</w:t>
            </w:r>
            <w:r>
              <w:rPr>
                <w:color w:val="231F20"/>
                <w:spacing w:val="-9"/>
                <w:sz w:val="15"/>
              </w:rPr>
              <w:t> </w:t>
            </w:r>
            <w:r>
              <w:rPr>
                <w:color w:val="231F20"/>
                <w:spacing w:val="-2"/>
                <w:sz w:val="15"/>
              </w:rPr>
              <w:t>involvement syndrome</w:t>
            </w:r>
            <w:r>
              <w:rPr>
                <w:color w:val="231F20"/>
                <w:sz w:val="15"/>
              </w:rPr>
              <w:tab/>
              <w:t>Prominent pain</w:t>
            </w:r>
          </w:p>
        </w:tc>
        <w:tc>
          <w:tcPr>
            <w:tcW w:w="4875" w:type="dxa"/>
            <w:vMerge/>
            <w:tcBorders>
              <w:top w:val="nil"/>
              <w:bottom w:val="single" w:sz="4" w:space="0" w:color="FFFFFF"/>
              <w:right w:val="nil"/>
            </w:tcBorders>
            <w:shd w:val="clear" w:color="auto" w:fill="E8F5F1"/>
          </w:tcPr>
          <w:p>
            <w:pPr>
              <w:rPr>
                <w:sz w:val="2"/>
                <w:szCs w:val="2"/>
              </w:rPr>
            </w:pPr>
          </w:p>
        </w:tc>
      </w:tr>
      <w:tr>
        <w:trPr>
          <w:trHeight w:val="430" w:hRule="exact"/>
        </w:trPr>
        <w:tc>
          <w:tcPr>
            <w:tcW w:w="4870" w:type="dxa"/>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186" w:right="1648" w:hanging="112"/>
              <w:rPr>
                <w:sz w:val="15"/>
              </w:rPr>
            </w:pPr>
            <w:r>
              <w:rPr>
                <w:color w:val="231F20"/>
                <w:spacing w:val="-2"/>
                <w:sz w:val="15"/>
              </w:rPr>
              <w:t>Dopa-responsive</w:t>
            </w:r>
            <w:r>
              <w:rPr>
                <w:color w:val="231F20"/>
                <w:sz w:val="15"/>
              </w:rPr>
              <w:tab/>
            </w:r>
            <w:r>
              <w:rPr>
                <w:color w:val="231F20"/>
                <w:spacing w:val="-2"/>
                <w:sz w:val="15"/>
              </w:rPr>
              <w:t>Diurnal</w:t>
            </w:r>
            <w:r>
              <w:rPr>
                <w:color w:val="231F20"/>
                <w:spacing w:val="-10"/>
                <w:sz w:val="15"/>
              </w:rPr>
              <w:t> </w:t>
            </w:r>
            <w:r>
              <w:rPr>
                <w:color w:val="231F20"/>
                <w:spacing w:val="-2"/>
                <w:sz w:val="15"/>
              </w:rPr>
              <w:t>variation </w:t>
            </w:r>
            <w:r>
              <w:rPr>
                <w:color w:val="231F20"/>
                <w:sz w:val="15"/>
              </w:rPr>
              <w:t>dystonia (DRD)</w:t>
            </w: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170" w:lineRule="exact" w:before="42"/>
              <w:ind w:left="69"/>
              <w:rPr>
                <w:sz w:val="15"/>
              </w:rPr>
            </w:pPr>
            <w:r>
              <w:rPr>
                <w:color w:val="231F20"/>
                <w:sz w:val="15"/>
              </w:rPr>
              <w:t>Rapid</w:t>
            </w:r>
            <w:r>
              <w:rPr>
                <w:color w:val="231F20"/>
                <w:spacing w:val="4"/>
                <w:sz w:val="15"/>
              </w:rPr>
              <w:t> </w:t>
            </w:r>
            <w:r>
              <w:rPr>
                <w:color w:val="231F20"/>
                <w:sz w:val="15"/>
              </w:rPr>
              <w:t>onset</w:t>
            </w:r>
            <w:r>
              <w:rPr>
                <w:color w:val="231F20"/>
                <w:spacing w:val="5"/>
                <w:sz w:val="15"/>
              </w:rPr>
              <w:t> </w:t>
            </w:r>
            <w:r>
              <w:rPr>
                <w:color w:val="231F20"/>
                <w:spacing w:val="-2"/>
                <w:sz w:val="15"/>
              </w:rPr>
              <w:t>dystonia</w:t>
            </w:r>
            <w:r>
              <w:rPr>
                <w:color w:val="231F20"/>
                <w:sz w:val="15"/>
              </w:rPr>
              <w:tab/>
              <w:t>Acute</w:t>
            </w:r>
            <w:r>
              <w:rPr>
                <w:color w:val="231F20"/>
                <w:spacing w:val="1"/>
                <w:sz w:val="15"/>
              </w:rPr>
              <w:t> </w:t>
            </w:r>
            <w:r>
              <w:rPr>
                <w:color w:val="231F20"/>
                <w:spacing w:val="-4"/>
                <w:sz w:val="15"/>
              </w:rPr>
              <w:t>onset</w:t>
            </w:r>
          </w:p>
          <w:p>
            <w:pPr>
              <w:pStyle w:val="TableParagraph"/>
              <w:tabs>
                <w:tab w:pos="2120" w:val="left" w:leader="none"/>
              </w:tabs>
              <w:spacing w:line="169" w:lineRule="exact"/>
              <w:ind w:left="181"/>
              <w:rPr>
                <w:sz w:val="15"/>
              </w:rPr>
            </w:pPr>
            <w:r>
              <w:rPr>
                <w:color w:val="231F20"/>
                <w:sz w:val="15"/>
              </w:rPr>
              <w:t>parkinsonism</w:t>
            </w:r>
            <w:r>
              <w:rPr>
                <w:color w:val="231F20"/>
                <w:spacing w:val="-8"/>
                <w:sz w:val="15"/>
              </w:rPr>
              <w:t> </w:t>
            </w:r>
            <w:r>
              <w:rPr>
                <w:color w:val="231F20"/>
                <w:spacing w:val="-2"/>
                <w:sz w:val="15"/>
              </w:rPr>
              <w:t>(DYT12)</w:t>
            </w:r>
            <w:r>
              <w:rPr>
                <w:color w:val="231F20"/>
                <w:sz w:val="15"/>
              </w:rPr>
              <w:tab/>
              <w:t>Distribution</w:t>
            </w:r>
            <w:r>
              <w:rPr>
                <w:color w:val="231F20"/>
                <w:spacing w:val="-8"/>
                <w:sz w:val="15"/>
              </w:rPr>
              <w:t> </w:t>
            </w:r>
            <w:r>
              <w:rPr>
                <w:color w:val="231F20"/>
                <w:sz w:val="15"/>
              </w:rPr>
              <w:t>face</w:t>
            </w:r>
            <w:r>
              <w:rPr>
                <w:color w:val="231F20"/>
                <w:spacing w:val="-7"/>
                <w:sz w:val="15"/>
              </w:rPr>
              <w:t> </w:t>
            </w:r>
            <w:r>
              <w:rPr>
                <w:rFonts w:ascii="Cambria"/>
                <w:color w:val="231F20"/>
                <w:sz w:val="15"/>
              </w:rPr>
              <w:t>&gt;</w:t>
            </w:r>
            <w:r>
              <w:rPr>
                <w:rFonts w:ascii="Cambria"/>
                <w:color w:val="231F20"/>
                <w:spacing w:val="5"/>
                <w:sz w:val="15"/>
              </w:rPr>
              <w:t> </w:t>
            </w:r>
            <w:r>
              <w:rPr>
                <w:color w:val="231F20"/>
                <w:sz w:val="15"/>
              </w:rPr>
              <w:t>arm</w:t>
            </w:r>
            <w:r>
              <w:rPr>
                <w:color w:val="231F20"/>
                <w:spacing w:val="-8"/>
                <w:sz w:val="15"/>
              </w:rPr>
              <w:t> </w:t>
            </w:r>
            <w:r>
              <w:rPr>
                <w:rFonts w:ascii="Cambria"/>
                <w:color w:val="231F20"/>
                <w:sz w:val="15"/>
              </w:rPr>
              <w:t>&gt;</w:t>
            </w:r>
            <w:r>
              <w:rPr>
                <w:rFonts w:ascii="Cambria"/>
                <w:color w:val="231F20"/>
                <w:spacing w:val="5"/>
                <w:sz w:val="15"/>
              </w:rPr>
              <w:t> </w:t>
            </w:r>
            <w:r>
              <w:rPr>
                <w:color w:val="231F20"/>
                <w:spacing w:val="-5"/>
                <w:sz w:val="15"/>
              </w:rPr>
              <w:t>leg</w:t>
            </w:r>
          </w:p>
          <w:p>
            <w:pPr>
              <w:pStyle w:val="TableParagraph"/>
              <w:spacing w:line="171" w:lineRule="exact"/>
              <w:ind w:left="2120"/>
              <w:rPr>
                <w:sz w:val="15"/>
              </w:rPr>
            </w:pPr>
            <w:r>
              <w:rPr>
                <w:color w:val="231F20"/>
                <w:sz w:val="15"/>
              </w:rPr>
              <w:t>Prominent</w:t>
            </w:r>
            <w:r>
              <w:rPr>
                <w:color w:val="231F20"/>
                <w:spacing w:val="-9"/>
                <w:sz w:val="15"/>
              </w:rPr>
              <w:t> </w:t>
            </w:r>
            <w:r>
              <w:rPr>
                <w:color w:val="231F20"/>
                <w:sz w:val="15"/>
              </w:rPr>
              <w:t>bulbar</w:t>
            </w:r>
            <w:r>
              <w:rPr>
                <w:color w:val="231F20"/>
                <w:spacing w:val="-8"/>
                <w:sz w:val="15"/>
              </w:rPr>
              <w:t> </w:t>
            </w:r>
            <w:r>
              <w:rPr>
                <w:color w:val="231F20"/>
                <w:spacing w:val="-2"/>
                <w:sz w:val="15"/>
              </w:rPr>
              <w:t>signs</w:t>
            </w:r>
          </w:p>
        </w:tc>
      </w:tr>
      <w:tr>
        <w:trPr>
          <w:trHeight w:val="167" w:hRule="exact"/>
        </w:trPr>
        <w:tc>
          <w:tcPr>
            <w:tcW w:w="4870" w:type="dxa"/>
            <w:vMerge w:val="restart"/>
            <w:tcBorders>
              <w:top w:val="single" w:sz="4" w:space="0" w:color="FFFFFF"/>
              <w:left w:val="nil"/>
              <w:bottom w:val="single" w:sz="4" w:space="0" w:color="FFFFFF"/>
            </w:tcBorders>
            <w:shd w:val="clear" w:color="auto" w:fill="E8F5F1"/>
          </w:tcPr>
          <w:p>
            <w:pPr>
              <w:pStyle w:val="TableParagraph"/>
              <w:spacing w:before="42"/>
              <w:ind w:left="74"/>
              <w:rPr>
                <w:sz w:val="15"/>
              </w:rPr>
            </w:pPr>
            <w:r>
              <w:rPr>
                <w:color w:val="231F20"/>
                <w:sz w:val="15"/>
              </w:rPr>
              <w:t>Drug-induced</w:t>
            </w:r>
            <w:r>
              <w:rPr>
                <w:color w:val="231F20"/>
                <w:spacing w:val="27"/>
                <w:sz w:val="15"/>
              </w:rPr>
              <w:t> </w:t>
            </w:r>
            <w:r>
              <w:rPr>
                <w:color w:val="231F20"/>
                <w:spacing w:val="-2"/>
                <w:sz w:val="15"/>
              </w:rPr>
              <w:t>dystonia</w:t>
            </w:r>
          </w:p>
        </w:tc>
        <w:tc>
          <w:tcPr>
            <w:tcW w:w="4875" w:type="dxa"/>
            <w:vMerge/>
            <w:tcBorders>
              <w:top w:val="nil"/>
              <w:bottom w:val="single" w:sz="4" w:space="0" w:color="FFFFFF"/>
              <w:right w:val="nil"/>
            </w:tcBorders>
            <w:shd w:val="clear" w:color="auto" w:fill="E8F5F1"/>
          </w:tcPr>
          <w:p>
            <w:pPr>
              <w:rPr>
                <w:sz w:val="2"/>
                <w:szCs w:val="2"/>
              </w:rPr>
            </w:pPr>
          </w:p>
        </w:tc>
      </w:tr>
      <w:tr>
        <w:trPr>
          <w:trHeight w:val="94"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171" w:lineRule="exact" w:before="42"/>
              <w:ind w:left="69"/>
              <w:rPr>
                <w:sz w:val="15"/>
              </w:rPr>
            </w:pPr>
            <w:r>
              <w:rPr>
                <w:color w:val="231F20"/>
                <w:spacing w:val="-2"/>
                <w:sz w:val="15"/>
              </w:rPr>
              <w:t>Rett</w:t>
            </w:r>
            <w:r>
              <w:rPr>
                <w:color w:val="231F20"/>
                <w:spacing w:val="-9"/>
                <w:sz w:val="15"/>
              </w:rPr>
              <w:t> </w:t>
            </w:r>
            <w:r>
              <w:rPr>
                <w:color w:val="231F20"/>
                <w:spacing w:val="-2"/>
                <w:sz w:val="15"/>
              </w:rPr>
              <w:t>syndrome</w:t>
            </w:r>
            <w:r>
              <w:rPr>
                <w:color w:val="231F20"/>
                <w:sz w:val="15"/>
              </w:rPr>
              <w:tab/>
            </w:r>
            <w:r>
              <w:rPr>
                <w:color w:val="231F20"/>
                <w:spacing w:val="-2"/>
                <w:sz w:val="15"/>
              </w:rPr>
              <w:t>Female</w:t>
            </w:r>
          </w:p>
          <w:p>
            <w:pPr>
              <w:pStyle w:val="TableParagraph"/>
              <w:spacing w:line="230" w:lineRule="auto" w:before="2"/>
              <w:ind w:left="2232" w:hanging="112"/>
              <w:rPr>
                <w:sz w:val="15"/>
              </w:rPr>
            </w:pPr>
            <w:r>
              <w:rPr>
                <w:color w:val="231F20"/>
                <w:sz w:val="15"/>
              </w:rPr>
              <w:t>Developmental</w:t>
            </w:r>
            <w:r>
              <w:rPr>
                <w:color w:val="231F20"/>
                <w:spacing w:val="-8"/>
                <w:sz w:val="15"/>
              </w:rPr>
              <w:t> </w:t>
            </w:r>
            <w:r>
              <w:rPr>
                <w:color w:val="231F20"/>
                <w:sz w:val="15"/>
              </w:rPr>
              <w:t>regression</w:t>
            </w:r>
            <w:r>
              <w:rPr>
                <w:color w:val="231F20"/>
                <w:spacing w:val="-8"/>
                <w:sz w:val="15"/>
              </w:rPr>
              <w:t> </w:t>
            </w:r>
            <w:r>
              <w:rPr>
                <w:color w:val="231F20"/>
                <w:sz w:val="15"/>
              </w:rPr>
              <w:t>following</w:t>
            </w:r>
            <w:r>
              <w:rPr>
                <w:color w:val="231F20"/>
                <w:spacing w:val="-8"/>
                <w:sz w:val="15"/>
              </w:rPr>
              <w:t> </w:t>
            </w:r>
            <w:r>
              <w:rPr>
                <w:color w:val="231F20"/>
                <w:sz w:val="15"/>
              </w:rPr>
              <w:t>a period of normal development</w:t>
            </w:r>
          </w:p>
          <w:p>
            <w:pPr>
              <w:pStyle w:val="TableParagraph"/>
              <w:spacing w:line="230" w:lineRule="auto" w:before="2"/>
              <w:ind w:left="2120" w:right="696"/>
              <w:rPr>
                <w:sz w:val="15"/>
              </w:rPr>
            </w:pPr>
            <w:r>
              <w:rPr>
                <w:color w:val="231F20"/>
                <w:sz w:val="15"/>
              </w:rPr>
              <w:t>Stereotypic</w:t>
            </w:r>
            <w:r>
              <w:rPr>
                <w:color w:val="231F20"/>
                <w:spacing w:val="-12"/>
                <w:sz w:val="15"/>
              </w:rPr>
              <w:t> </w:t>
            </w:r>
            <w:r>
              <w:rPr>
                <w:color w:val="231F20"/>
                <w:sz w:val="15"/>
              </w:rPr>
              <w:t>hand</w:t>
            </w:r>
            <w:r>
              <w:rPr>
                <w:color w:val="231F20"/>
                <w:spacing w:val="-11"/>
                <w:sz w:val="15"/>
              </w:rPr>
              <w:t> </w:t>
            </w:r>
            <w:r>
              <w:rPr>
                <w:color w:val="231F20"/>
                <w:sz w:val="15"/>
              </w:rPr>
              <w:t>movements Acquired microcephaly </w:t>
            </w:r>
            <w:r>
              <w:rPr>
                <w:color w:val="231F20"/>
                <w:spacing w:val="-2"/>
                <w:sz w:val="15"/>
              </w:rPr>
              <w:t>Epilepsy</w:t>
            </w:r>
          </w:p>
        </w:tc>
      </w:tr>
      <w:tr>
        <w:trPr>
          <w:trHeight w:val="766" w:hRule="exact"/>
        </w:trPr>
        <w:tc>
          <w:tcPr>
            <w:tcW w:w="4870" w:type="dxa"/>
            <w:tcBorders>
              <w:top w:val="single" w:sz="4" w:space="0" w:color="FFFFFF"/>
              <w:left w:val="nil"/>
              <w:bottom w:val="single" w:sz="4" w:space="0" w:color="FFFFFF"/>
            </w:tcBorders>
            <w:shd w:val="clear" w:color="auto" w:fill="E8F5F1"/>
          </w:tcPr>
          <w:p>
            <w:pPr>
              <w:pStyle w:val="TableParagraph"/>
              <w:tabs>
                <w:tab w:pos="2125" w:val="left" w:leader="none"/>
                <w:tab w:pos="2237" w:val="left" w:leader="none"/>
              </w:tabs>
              <w:spacing w:line="230" w:lineRule="auto" w:before="48"/>
              <w:ind w:left="186" w:right="463" w:hanging="112"/>
              <w:rPr>
                <w:sz w:val="15"/>
              </w:rPr>
            </w:pPr>
            <w:r>
              <w:rPr>
                <w:color w:val="231F20"/>
                <w:sz w:val="15"/>
              </w:rPr>
              <w:t>Dystonia-deafness optic</w:t>
              <w:tab/>
              <w:t>Sensorineural</w:t>
            </w:r>
            <w:r>
              <w:rPr>
                <w:color w:val="231F20"/>
                <w:spacing w:val="-12"/>
                <w:sz w:val="15"/>
              </w:rPr>
              <w:t> </w:t>
            </w:r>
            <w:r>
              <w:rPr>
                <w:color w:val="231F20"/>
                <w:sz w:val="15"/>
              </w:rPr>
              <w:t>hearing</w:t>
            </w:r>
            <w:r>
              <w:rPr>
                <w:color w:val="231F20"/>
                <w:spacing w:val="-11"/>
                <w:sz w:val="15"/>
              </w:rPr>
              <w:t> </w:t>
            </w:r>
            <w:r>
              <w:rPr>
                <w:color w:val="231F20"/>
                <w:sz w:val="15"/>
              </w:rPr>
              <w:t>loss</w:t>
            </w:r>
            <w:r>
              <w:rPr>
                <w:color w:val="231F20"/>
                <w:spacing w:val="-11"/>
                <w:sz w:val="15"/>
              </w:rPr>
              <w:t> </w:t>
            </w:r>
            <w:r>
              <w:rPr>
                <w:color w:val="231F20"/>
                <w:sz w:val="15"/>
              </w:rPr>
              <w:t>in</w:t>
            </w:r>
            <w:r>
              <w:rPr>
                <w:color w:val="231F20"/>
                <w:spacing w:val="-12"/>
                <w:sz w:val="15"/>
              </w:rPr>
              <w:t> </w:t>
            </w:r>
            <w:r>
              <w:rPr>
                <w:color w:val="231F20"/>
                <w:sz w:val="15"/>
              </w:rPr>
              <w:t>early neuropathy syndrome</w:t>
              <w:tab/>
              <w:tab/>
            </w:r>
            <w:r>
              <w:rPr>
                <w:color w:val="231F20"/>
                <w:spacing w:val="-2"/>
                <w:sz w:val="15"/>
              </w:rPr>
              <w:t>childhood</w:t>
            </w:r>
          </w:p>
          <w:p>
            <w:pPr>
              <w:pStyle w:val="TableParagraph"/>
              <w:spacing w:line="167" w:lineRule="exact"/>
              <w:ind w:left="2125"/>
              <w:rPr>
                <w:sz w:val="15"/>
              </w:rPr>
            </w:pPr>
            <w:r>
              <w:rPr>
                <w:color w:val="231F20"/>
                <w:spacing w:val="-2"/>
                <w:sz w:val="15"/>
              </w:rPr>
              <w:t>Psychosis</w:t>
            </w:r>
          </w:p>
          <w:p>
            <w:pPr>
              <w:pStyle w:val="TableParagraph"/>
              <w:spacing w:line="171" w:lineRule="exact"/>
              <w:ind w:left="2125"/>
              <w:rPr>
                <w:sz w:val="15"/>
              </w:rPr>
            </w:pPr>
            <w:r>
              <w:rPr>
                <w:color w:val="231F20"/>
                <w:sz w:val="15"/>
              </w:rPr>
              <w:t>Optic</w:t>
            </w:r>
            <w:r>
              <w:rPr>
                <w:color w:val="231F20"/>
                <w:spacing w:val="-1"/>
                <w:sz w:val="15"/>
              </w:rPr>
              <w:t> </w:t>
            </w:r>
            <w:r>
              <w:rPr>
                <w:color w:val="231F20"/>
                <w:sz w:val="15"/>
              </w:rPr>
              <w:t>atrophy</w:t>
            </w:r>
            <w:r>
              <w:rPr>
                <w:color w:val="231F20"/>
                <w:spacing w:val="-1"/>
                <w:sz w:val="15"/>
              </w:rPr>
              <w:t> </w:t>
            </w:r>
            <w:r>
              <w:rPr>
                <w:color w:val="231F20"/>
                <w:sz w:val="15"/>
              </w:rPr>
              <w:t>in</w:t>
            </w:r>
            <w:r>
              <w:rPr>
                <w:color w:val="231F20"/>
                <w:spacing w:val="-1"/>
                <w:sz w:val="15"/>
              </w:rPr>
              <w:t> </w:t>
            </w:r>
            <w:r>
              <w:rPr>
                <w:color w:val="231F20"/>
                <w:spacing w:val="-2"/>
                <w:sz w:val="15"/>
              </w:rPr>
              <w:t>adolescence</w:t>
            </w:r>
          </w:p>
        </w:tc>
        <w:tc>
          <w:tcPr>
            <w:tcW w:w="4875" w:type="dxa"/>
            <w:vMerge/>
            <w:tcBorders>
              <w:top w:val="nil"/>
              <w:bottom w:val="single" w:sz="4" w:space="0" w:color="FFFFFF"/>
              <w:right w:val="nil"/>
            </w:tcBorders>
            <w:shd w:val="clear" w:color="auto" w:fill="E8F5F1"/>
          </w:tcPr>
          <w:p>
            <w:pPr>
              <w:rPr>
                <w:sz w:val="2"/>
                <w:szCs w:val="2"/>
              </w:rPr>
            </w:pPr>
          </w:p>
        </w:tc>
      </w:tr>
      <w:tr>
        <w:trPr>
          <w:trHeight w:val="241" w:hRule="exact"/>
        </w:trPr>
        <w:tc>
          <w:tcPr>
            <w:tcW w:w="4870" w:type="dxa"/>
            <w:vMerge w:val="restart"/>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2237" w:right="759" w:hanging="2163"/>
              <w:rPr>
                <w:sz w:val="15"/>
              </w:rPr>
            </w:pPr>
            <w:r>
              <w:rPr>
                <w:color w:val="231F20"/>
                <w:sz w:val="15"/>
              </w:rPr>
              <w:t>DYT1 dystonia</w:t>
              <w:tab/>
              <w:t>Lower</w:t>
            </w:r>
            <w:r>
              <w:rPr>
                <w:color w:val="231F20"/>
                <w:spacing w:val="-12"/>
                <w:sz w:val="15"/>
              </w:rPr>
              <w:t> </w:t>
            </w:r>
            <w:r>
              <w:rPr>
                <w:color w:val="231F20"/>
                <w:sz w:val="15"/>
              </w:rPr>
              <w:t>limb</w:t>
            </w:r>
            <w:r>
              <w:rPr>
                <w:color w:val="231F20"/>
                <w:spacing w:val="-11"/>
                <w:sz w:val="15"/>
              </w:rPr>
              <w:t> </w:t>
            </w:r>
            <w:r>
              <w:rPr>
                <w:color w:val="231F20"/>
                <w:sz w:val="15"/>
              </w:rPr>
              <w:t>onset</w:t>
            </w:r>
            <w:r>
              <w:rPr>
                <w:color w:val="231F20"/>
                <w:spacing w:val="-11"/>
                <w:sz w:val="15"/>
              </w:rPr>
              <w:t> </w:t>
            </w:r>
            <w:r>
              <w:rPr>
                <w:color w:val="231F20"/>
                <w:sz w:val="15"/>
              </w:rPr>
              <w:t>followed</w:t>
            </w:r>
            <w:r>
              <w:rPr>
                <w:color w:val="231F20"/>
                <w:spacing w:val="-12"/>
                <w:sz w:val="15"/>
              </w:rPr>
              <w:t> </w:t>
            </w:r>
            <w:r>
              <w:rPr>
                <w:color w:val="231F20"/>
                <w:sz w:val="15"/>
              </w:rPr>
              <w:t>by </w:t>
            </w:r>
            <w:r>
              <w:rPr>
                <w:color w:val="231F20"/>
                <w:spacing w:val="-2"/>
                <w:sz w:val="15"/>
              </w:rPr>
              <w:t>generalization</w:t>
            </w:r>
          </w:p>
        </w:tc>
        <w:tc>
          <w:tcPr>
            <w:tcW w:w="4875" w:type="dxa"/>
            <w:vMerge/>
            <w:tcBorders>
              <w:top w:val="nil"/>
              <w:bottom w:val="single" w:sz="4" w:space="0" w:color="FFFFFF"/>
              <w:right w:val="nil"/>
            </w:tcBorders>
            <w:shd w:val="clear" w:color="auto" w:fill="E8F5F1"/>
          </w:tcPr>
          <w:p>
            <w:pPr>
              <w:rPr>
                <w:sz w:val="2"/>
                <w:szCs w:val="2"/>
              </w:rPr>
            </w:pPr>
          </w:p>
        </w:tc>
      </w:tr>
      <w:tr>
        <w:trPr>
          <w:trHeight w:val="189"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171" w:lineRule="exact" w:before="42"/>
              <w:ind w:left="69"/>
              <w:rPr>
                <w:sz w:val="15"/>
              </w:rPr>
            </w:pPr>
            <w:r>
              <w:rPr>
                <w:color w:val="231F20"/>
                <w:spacing w:val="-2"/>
                <w:sz w:val="15"/>
              </w:rPr>
              <w:t>Spinocerebellar</w:t>
            </w:r>
            <w:r>
              <w:rPr>
                <w:color w:val="231F20"/>
                <w:spacing w:val="4"/>
                <w:sz w:val="15"/>
              </w:rPr>
              <w:t> </w:t>
            </w:r>
            <w:r>
              <w:rPr>
                <w:color w:val="231F20"/>
                <w:spacing w:val="-2"/>
                <w:sz w:val="15"/>
              </w:rPr>
              <w:t>ataxia</w:t>
            </w:r>
            <w:r>
              <w:rPr>
                <w:color w:val="231F20"/>
                <w:spacing w:val="4"/>
                <w:sz w:val="15"/>
              </w:rPr>
              <w:t> </w:t>
            </w:r>
            <w:r>
              <w:rPr>
                <w:color w:val="231F20"/>
                <w:spacing w:val="-5"/>
                <w:sz w:val="15"/>
              </w:rPr>
              <w:t>17</w:t>
            </w:r>
            <w:r>
              <w:rPr>
                <w:color w:val="231F20"/>
                <w:sz w:val="15"/>
              </w:rPr>
              <w:tab/>
            </w:r>
            <w:r>
              <w:rPr>
                <w:color w:val="231F20"/>
                <w:spacing w:val="-2"/>
                <w:sz w:val="15"/>
              </w:rPr>
              <w:t>Ataxia</w:t>
            </w:r>
          </w:p>
          <w:p>
            <w:pPr>
              <w:pStyle w:val="TableParagraph"/>
              <w:tabs>
                <w:tab w:pos="2120" w:val="left" w:leader="none"/>
              </w:tabs>
              <w:spacing w:line="230" w:lineRule="auto" w:before="2"/>
              <w:ind w:left="2120" w:right="586" w:hanging="1939"/>
              <w:rPr>
                <w:sz w:val="15"/>
              </w:rPr>
            </w:pPr>
            <w:r>
              <w:rPr>
                <w:color w:val="231F20"/>
                <w:spacing w:val="-2"/>
                <w:sz w:val="15"/>
              </w:rPr>
              <w:t>(SCA17)</w:t>
            </w:r>
            <w:r>
              <w:rPr>
                <w:color w:val="231F20"/>
                <w:sz w:val="15"/>
              </w:rPr>
              <w:tab/>
            </w:r>
            <w:r>
              <w:rPr>
                <w:color w:val="231F20"/>
                <w:spacing w:val="-2"/>
                <w:sz w:val="15"/>
              </w:rPr>
              <w:t>Dementia,</w:t>
            </w:r>
            <w:r>
              <w:rPr>
                <w:color w:val="231F20"/>
                <w:spacing w:val="-4"/>
                <w:sz w:val="15"/>
              </w:rPr>
              <w:t> </w:t>
            </w:r>
            <w:r>
              <w:rPr>
                <w:color w:val="231F20"/>
                <w:spacing w:val="-2"/>
                <w:sz w:val="15"/>
              </w:rPr>
              <w:t>psychiatric</w:t>
            </w:r>
            <w:r>
              <w:rPr>
                <w:color w:val="231F20"/>
                <w:spacing w:val="-4"/>
                <w:sz w:val="15"/>
              </w:rPr>
              <w:t> </w:t>
            </w:r>
            <w:r>
              <w:rPr>
                <w:color w:val="231F20"/>
                <w:spacing w:val="-2"/>
                <w:sz w:val="15"/>
              </w:rPr>
              <w:t>symptoms Parkinsonism</w:t>
            </w:r>
          </w:p>
        </w:tc>
      </w:tr>
      <w:tr>
        <w:trPr>
          <w:trHeight w:val="409" w:hRule="exact"/>
        </w:trPr>
        <w:tc>
          <w:tcPr>
            <w:tcW w:w="4870" w:type="dxa"/>
            <w:vMerge w:val="restart"/>
            <w:tcBorders>
              <w:top w:val="single" w:sz="4" w:space="0" w:color="FFFFFF"/>
              <w:left w:val="nil"/>
              <w:bottom w:val="single" w:sz="4" w:space="0" w:color="FFFFFF"/>
            </w:tcBorders>
            <w:shd w:val="clear" w:color="auto" w:fill="E8F5F1"/>
          </w:tcPr>
          <w:p>
            <w:pPr>
              <w:pStyle w:val="TableParagraph"/>
              <w:tabs>
                <w:tab w:pos="2125" w:val="left" w:leader="none"/>
              </w:tabs>
              <w:spacing w:line="171" w:lineRule="exact" w:before="42"/>
              <w:ind w:left="74"/>
              <w:rPr>
                <w:sz w:val="15"/>
              </w:rPr>
            </w:pPr>
            <w:r>
              <w:rPr>
                <w:color w:val="231F20"/>
                <w:spacing w:val="-2"/>
                <w:sz w:val="15"/>
              </w:rPr>
              <w:t>Glutaric</w:t>
            </w:r>
            <w:r>
              <w:rPr>
                <w:color w:val="231F20"/>
                <w:spacing w:val="-4"/>
                <w:sz w:val="15"/>
              </w:rPr>
              <w:t> </w:t>
            </w:r>
            <w:r>
              <w:rPr>
                <w:color w:val="231F20"/>
                <w:spacing w:val="-2"/>
                <w:sz w:val="15"/>
              </w:rPr>
              <w:t>aciduria</w:t>
            </w:r>
            <w:r>
              <w:rPr>
                <w:color w:val="231F20"/>
                <w:spacing w:val="-4"/>
                <w:sz w:val="15"/>
              </w:rPr>
              <w:t> </w:t>
            </w:r>
            <w:r>
              <w:rPr>
                <w:color w:val="231F20"/>
                <w:spacing w:val="-2"/>
                <w:sz w:val="15"/>
              </w:rPr>
              <w:t>type</w:t>
            </w:r>
            <w:r>
              <w:rPr>
                <w:color w:val="231F20"/>
                <w:spacing w:val="-4"/>
                <w:sz w:val="15"/>
              </w:rPr>
              <w:t> </w:t>
            </w:r>
            <w:r>
              <w:rPr>
                <w:color w:val="231F20"/>
                <w:spacing w:val="-10"/>
                <w:sz w:val="15"/>
              </w:rPr>
              <w:t>1</w:t>
            </w:r>
            <w:r>
              <w:rPr>
                <w:color w:val="231F20"/>
                <w:sz w:val="15"/>
              </w:rPr>
              <w:tab/>
            </w:r>
            <w:r>
              <w:rPr>
                <w:color w:val="231F20"/>
                <w:spacing w:val="-2"/>
                <w:sz w:val="15"/>
              </w:rPr>
              <w:t>Macrocephaly</w:t>
            </w:r>
          </w:p>
          <w:p>
            <w:pPr>
              <w:pStyle w:val="TableParagraph"/>
              <w:spacing w:line="230" w:lineRule="auto" w:before="2"/>
              <w:ind w:left="2125" w:right="1193"/>
              <w:rPr>
                <w:sz w:val="15"/>
              </w:rPr>
            </w:pPr>
            <w:r>
              <w:rPr>
                <w:color w:val="231F20"/>
                <w:spacing w:val="-2"/>
                <w:sz w:val="15"/>
              </w:rPr>
              <w:t>Encephalopathic</w:t>
            </w:r>
            <w:r>
              <w:rPr>
                <w:color w:val="231F20"/>
                <w:spacing w:val="-3"/>
                <w:sz w:val="15"/>
              </w:rPr>
              <w:t> </w:t>
            </w:r>
            <w:r>
              <w:rPr>
                <w:color w:val="231F20"/>
                <w:spacing w:val="-2"/>
                <w:sz w:val="15"/>
              </w:rPr>
              <w:t>crises </w:t>
            </w:r>
            <w:r>
              <w:rPr>
                <w:color w:val="231F20"/>
                <w:sz w:val="15"/>
              </w:rPr>
              <w:t>MRI: striatal necrosis</w:t>
            </w:r>
          </w:p>
        </w:tc>
        <w:tc>
          <w:tcPr>
            <w:tcW w:w="4875" w:type="dxa"/>
            <w:vMerge/>
            <w:tcBorders>
              <w:top w:val="nil"/>
              <w:bottom w:val="single" w:sz="4" w:space="0" w:color="FFFFFF"/>
              <w:right w:val="nil"/>
            </w:tcBorders>
            <w:shd w:val="clear" w:color="auto" w:fill="E8F5F1"/>
          </w:tcPr>
          <w:p>
            <w:pPr>
              <w:rPr>
                <w:sz w:val="2"/>
                <w:szCs w:val="2"/>
              </w:rPr>
            </w:pPr>
          </w:p>
        </w:tc>
      </w:tr>
      <w:tr>
        <w:trPr>
          <w:trHeight w:val="189"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4" w:space="0" w:color="FFFFFF"/>
              <w:right w:val="nil"/>
            </w:tcBorders>
            <w:shd w:val="clear" w:color="auto" w:fill="E8F5F1"/>
          </w:tcPr>
          <w:p>
            <w:pPr>
              <w:pStyle w:val="TableParagraph"/>
              <w:tabs>
                <w:tab w:pos="2120" w:val="left" w:leader="none"/>
              </w:tabs>
              <w:spacing w:line="230" w:lineRule="auto" w:before="48"/>
              <w:ind w:left="2120" w:right="663" w:hanging="2051"/>
              <w:rPr>
                <w:sz w:val="15"/>
              </w:rPr>
            </w:pPr>
            <w:r>
              <w:rPr>
                <w:color w:val="231F20"/>
                <w:spacing w:val="-4"/>
                <w:sz w:val="15"/>
              </w:rPr>
              <w:t>Tics</w:t>
            </w:r>
            <w:r>
              <w:rPr>
                <w:color w:val="231F20"/>
                <w:sz w:val="15"/>
              </w:rPr>
              <w:tab/>
              <w:t>Stereotyped movements Premonitory</w:t>
            </w:r>
            <w:r>
              <w:rPr>
                <w:color w:val="231F20"/>
                <w:spacing w:val="-12"/>
                <w:sz w:val="15"/>
              </w:rPr>
              <w:t> </w:t>
            </w:r>
            <w:r>
              <w:rPr>
                <w:color w:val="231F20"/>
                <w:sz w:val="15"/>
              </w:rPr>
              <w:t>urge,</w:t>
            </w:r>
            <w:r>
              <w:rPr>
                <w:color w:val="231F20"/>
                <w:spacing w:val="-11"/>
                <w:sz w:val="15"/>
              </w:rPr>
              <w:t> </w:t>
            </w:r>
            <w:r>
              <w:rPr>
                <w:color w:val="231F20"/>
                <w:sz w:val="15"/>
              </w:rPr>
              <w:t>suppressible</w:t>
            </w:r>
          </w:p>
        </w:tc>
      </w:tr>
      <w:tr>
        <w:trPr>
          <w:trHeight w:val="241" w:hRule="exact"/>
        </w:trPr>
        <w:tc>
          <w:tcPr>
            <w:tcW w:w="4870" w:type="dxa"/>
            <w:vMerge w:val="restart"/>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186" w:right="643" w:hanging="112"/>
              <w:rPr>
                <w:sz w:val="15"/>
              </w:rPr>
            </w:pPr>
            <w:r>
              <w:rPr>
                <w:color w:val="231F20"/>
                <w:sz w:val="15"/>
              </w:rPr>
              <w:t>GM</w:t>
            </w:r>
            <w:r>
              <w:rPr>
                <w:color w:val="231F20"/>
                <w:sz w:val="15"/>
                <w:vertAlign w:val="subscript"/>
              </w:rPr>
              <w:t>1</w:t>
            </w:r>
            <w:r>
              <w:rPr>
                <w:color w:val="231F20"/>
                <w:sz w:val="15"/>
                <w:vertAlign w:val="baseline"/>
              </w:rPr>
              <w:t> gangliosidosis</w:t>
              <w:tab/>
            </w:r>
            <w:r>
              <w:rPr>
                <w:color w:val="231F20"/>
                <w:spacing w:val="-2"/>
                <w:sz w:val="15"/>
                <w:vertAlign w:val="baseline"/>
              </w:rPr>
              <w:t>Short</w:t>
            </w:r>
            <w:r>
              <w:rPr>
                <w:color w:val="231F20"/>
                <w:spacing w:val="-10"/>
                <w:sz w:val="15"/>
                <w:vertAlign w:val="baseline"/>
              </w:rPr>
              <w:t> </w:t>
            </w:r>
            <w:r>
              <w:rPr>
                <w:color w:val="231F20"/>
                <w:spacing w:val="-2"/>
                <w:sz w:val="15"/>
                <w:vertAlign w:val="baseline"/>
              </w:rPr>
              <w:t>stature,</w:t>
            </w:r>
            <w:r>
              <w:rPr>
                <w:color w:val="231F20"/>
                <w:spacing w:val="-9"/>
                <w:sz w:val="15"/>
                <w:vertAlign w:val="baseline"/>
              </w:rPr>
              <w:t> </w:t>
            </w:r>
            <w:r>
              <w:rPr>
                <w:color w:val="231F20"/>
                <w:spacing w:val="-2"/>
                <w:sz w:val="15"/>
                <w:vertAlign w:val="baseline"/>
              </w:rPr>
              <w:t>skeletal</w:t>
            </w:r>
            <w:r>
              <w:rPr>
                <w:color w:val="231F20"/>
                <w:spacing w:val="-9"/>
                <w:sz w:val="15"/>
                <w:vertAlign w:val="baseline"/>
              </w:rPr>
              <w:t> </w:t>
            </w:r>
            <w:r>
              <w:rPr>
                <w:color w:val="231F20"/>
                <w:spacing w:val="-2"/>
                <w:sz w:val="15"/>
                <w:vertAlign w:val="baseline"/>
              </w:rPr>
              <w:t>dysplasia </w:t>
            </w:r>
            <w:r>
              <w:rPr>
                <w:color w:val="231F20"/>
                <w:sz w:val="15"/>
                <w:vertAlign w:val="baseline"/>
              </w:rPr>
              <w:t>type 3</w:t>
              <w:tab/>
              <w:t>Orofacial dystonia</w:t>
            </w:r>
          </w:p>
          <w:p>
            <w:pPr>
              <w:pStyle w:val="TableParagraph"/>
              <w:spacing w:line="230" w:lineRule="auto" w:before="1"/>
              <w:ind w:left="2125"/>
              <w:rPr>
                <w:sz w:val="15"/>
              </w:rPr>
            </w:pPr>
            <w:r>
              <w:rPr>
                <w:color w:val="231F20"/>
                <w:spacing w:val="-2"/>
                <w:sz w:val="15"/>
              </w:rPr>
              <w:t>Speech/swallowing </w:t>
            </w:r>
            <w:r>
              <w:rPr>
                <w:color w:val="231F20"/>
                <w:spacing w:val="-2"/>
                <w:sz w:val="15"/>
              </w:rPr>
              <w:t>disturbance Parkinsonism</w:t>
            </w:r>
          </w:p>
          <w:p>
            <w:pPr>
              <w:pStyle w:val="TableParagraph"/>
              <w:spacing w:line="170" w:lineRule="exact"/>
              <w:ind w:left="2125"/>
              <w:rPr>
                <w:sz w:val="15"/>
              </w:rPr>
            </w:pPr>
            <w:r>
              <w:rPr>
                <w:color w:val="231F20"/>
                <w:sz w:val="15"/>
              </w:rPr>
              <w:t>MRI:</w:t>
            </w:r>
            <w:r>
              <w:rPr>
                <w:color w:val="231F20"/>
                <w:spacing w:val="-7"/>
                <w:sz w:val="15"/>
              </w:rPr>
              <w:t> </w:t>
            </w:r>
            <w:r>
              <w:rPr>
                <w:color w:val="231F20"/>
                <w:sz w:val="15"/>
              </w:rPr>
              <w:t>putaminal</w:t>
            </w:r>
            <w:r>
              <w:rPr>
                <w:color w:val="231F20"/>
                <w:spacing w:val="-6"/>
                <w:sz w:val="15"/>
              </w:rPr>
              <w:t> </w:t>
            </w:r>
            <w:r>
              <w:rPr>
                <w:color w:val="231F20"/>
                <w:spacing w:val="-2"/>
                <w:sz w:val="15"/>
              </w:rPr>
              <w:t>hyperintensity</w:t>
            </w:r>
          </w:p>
        </w:tc>
        <w:tc>
          <w:tcPr>
            <w:tcW w:w="4875" w:type="dxa"/>
            <w:vMerge/>
            <w:tcBorders>
              <w:top w:val="nil"/>
              <w:bottom w:val="single" w:sz="4" w:space="0" w:color="FFFFFF"/>
              <w:right w:val="nil"/>
            </w:tcBorders>
            <w:shd w:val="clear" w:color="auto" w:fill="E8F5F1"/>
          </w:tcPr>
          <w:p>
            <w:pPr>
              <w:rPr>
                <w:sz w:val="2"/>
                <w:szCs w:val="2"/>
              </w:rPr>
            </w:pPr>
          </w:p>
        </w:tc>
      </w:tr>
      <w:tr>
        <w:trPr>
          <w:trHeight w:val="693" w:hRule="exact"/>
        </w:trPr>
        <w:tc>
          <w:tcPr>
            <w:tcW w:w="4870" w:type="dxa"/>
            <w:vMerge/>
            <w:tcBorders>
              <w:top w:val="nil"/>
              <w:left w:val="nil"/>
              <w:bottom w:val="single" w:sz="4" w:space="0" w:color="FFFFFF"/>
            </w:tcBorders>
            <w:shd w:val="clear" w:color="auto" w:fill="E8F5F1"/>
          </w:tcPr>
          <w:p>
            <w:pPr>
              <w:rPr>
                <w:sz w:val="2"/>
                <w:szCs w:val="2"/>
              </w:rPr>
            </w:pPr>
          </w:p>
        </w:tc>
        <w:tc>
          <w:tcPr>
            <w:tcW w:w="4875" w:type="dxa"/>
            <w:vMerge w:val="restart"/>
            <w:tcBorders>
              <w:top w:val="single" w:sz="4" w:space="0" w:color="FFFFFF"/>
              <w:bottom w:val="single" w:sz="8" w:space="0" w:color="231F20"/>
              <w:right w:val="nil"/>
            </w:tcBorders>
            <w:shd w:val="clear" w:color="auto" w:fill="E8F5F1"/>
          </w:tcPr>
          <w:p>
            <w:pPr>
              <w:pStyle w:val="TableParagraph"/>
              <w:tabs>
                <w:tab w:pos="2120" w:val="left" w:leader="none"/>
              </w:tabs>
              <w:spacing w:line="230" w:lineRule="auto" w:before="48"/>
              <w:ind w:left="181" w:right="350" w:hanging="112"/>
              <w:rPr>
                <w:sz w:val="15"/>
              </w:rPr>
            </w:pPr>
            <w:r>
              <w:rPr>
                <w:color w:val="231F20"/>
                <w:sz w:val="15"/>
              </w:rPr>
              <w:t>Tyrosine hydroxylase</w:t>
              <w:tab/>
            </w:r>
            <w:r>
              <w:rPr>
                <w:color w:val="231F20"/>
                <w:spacing w:val="-2"/>
                <w:sz w:val="15"/>
              </w:rPr>
              <w:t>Infantile</w:t>
            </w:r>
            <w:r>
              <w:rPr>
                <w:color w:val="231F20"/>
                <w:spacing w:val="-10"/>
                <w:sz w:val="15"/>
              </w:rPr>
              <w:t> </w:t>
            </w:r>
            <w:r>
              <w:rPr>
                <w:color w:val="231F20"/>
                <w:spacing w:val="-2"/>
                <w:sz w:val="15"/>
              </w:rPr>
              <w:t>encephalopathy,</w:t>
            </w:r>
            <w:r>
              <w:rPr>
                <w:color w:val="231F20"/>
                <w:spacing w:val="-9"/>
                <w:sz w:val="15"/>
              </w:rPr>
              <w:t> </w:t>
            </w:r>
            <w:r>
              <w:rPr>
                <w:color w:val="231F20"/>
                <w:spacing w:val="-2"/>
                <w:sz w:val="15"/>
              </w:rPr>
              <w:t>hypotonia deficiency</w:t>
            </w:r>
            <w:r>
              <w:rPr>
                <w:color w:val="231F20"/>
                <w:sz w:val="15"/>
              </w:rPr>
              <w:tab/>
              <w:t>Oculogyric crises, ptosis</w:t>
            </w:r>
          </w:p>
          <w:p>
            <w:pPr>
              <w:pStyle w:val="TableParagraph"/>
              <w:spacing w:line="167" w:lineRule="exact"/>
              <w:ind w:left="2120"/>
              <w:rPr>
                <w:sz w:val="15"/>
              </w:rPr>
            </w:pPr>
            <w:r>
              <w:rPr>
                <w:color w:val="231F20"/>
                <w:sz w:val="15"/>
              </w:rPr>
              <w:t>Autonomic</w:t>
            </w:r>
            <w:r>
              <w:rPr>
                <w:color w:val="231F20"/>
                <w:spacing w:val="15"/>
                <w:sz w:val="15"/>
              </w:rPr>
              <w:t> </w:t>
            </w:r>
            <w:r>
              <w:rPr>
                <w:color w:val="231F20"/>
                <w:spacing w:val="-2"/>
                <w:sz w:val="15"/>
              </w:rPr>
              <w:t>symptoms</w:t>
            </w:r>
          </w:p>
          <w:p>
            <w:pPr>
              <w:pStyle w:val="TableParagraph"/>
              <w:spacing w:line="171" w:lineRule="exact"/>
              <w:ind w:left="2120"/>
              <w:rPr>
                <w:sz w:val="15"/>
              </w:rPr>
            </w:pPr>
            <w:r>
              <w:rPr>
                <w:color w:val="231F20"/>
                <w:spacing w:val="-2"/>
                <w:sz w:val="15"/>
              </w:rPr>
              <w:t>Less</w:t>
            </w:r>
            <w:r>
              <w:rPr>
                <w:color w:val="231F20"/>
                <w:spacing w:val="-3"/>
                <w:sz w:val="15"/>
              </w:rPr>
              <w:t> </w:t>
            </w:r>
            <w:r>
              <w:rPr>
                <w:color w:val="231F20"/>
                <w:spacing w:val="-2"/>
                <w:sz w:val="15"/>
              </w:rPr>
              <w:t>diurnal</w:t>
            </w:r>
            <w:r>
              <w:rPr>
                <w:color w:val="231F20"/>
                <w:spacing w:val="-3"/>
                <w:sz w:val="15"/>
              </w:rPr>
              <w:t> </w:t>
            </w:r>
            <w:r>
              <w:rPr>
                <w:color w:val="231F20"/>
                <w:spacing w:val="-2"/>
                <w:sz w:val="15"/>
              </w:rPr>
              <w:t>fluctuation</w:t>
            </w:r>
            <w:r>
              <w:rPr>
                <w:color w:val="231F20"/>
                <w:spacing w:val="-3"/>
                <w:sz w:val="15"/>
              </w:rPr>
              <w:t> </w:t>
            </w:r>
            <w:r>
              <w:rPr>
                <w:color w:val="231F20"/>
                <w:spacing w:val="-2"/>
                <w:sz w:val="15"/>
              </w:rPr>
              <w:t>than </w:t>
            </w:r>
            <w:r>
              <w:rPr>
                <w:color w:val="231F20"/>
                <w:spacing w:val="-5"/>
                <w:sz w:val="15"/>
              </w:rPr>
              <w:t>DRD</w:t>
            </w:r>
          </w:p>
        </w:tc>
      </w:tr>
      <w:tr>
        <w:trPr>
          <w:trHeight w:val="598" w:hRule="exact"/>
        </w:trPr>
        <w:tc>
          <w:tcPr>
            <w:tcW w:w="4870" w:type="dxa"/>
            <w:tcBorders>
              <w:top w:val="single" w:sz="4" w:space="0" w:color="FFFFFF"/>
              <w:left w:val="nil"/>
              <w:bottom w:val="single" w:sz="4" w:space="0" w:color="FFFFFF"/>
            </w:tcBorders>
            <w:shd w:val="clear" w:color="auto" w:fill="E8F5F1"/>
          </w:tcPr>
          <w:p>
            <w:pPr>
              <w:pStyle w:val="TableParagraph"/>
              <w:tabs>
                <w:tab w:pos="2125" w:val="left" w:leader="none"/>
              </w:tabs>
              <w:spacing w:line="230" w:lineRule="auto" w:before="48"/>
              <w:ind w:left="2125" w:right="1872" w:hanging="2051"/>
              <w:rPr>
                <w:sz w:val="15"/>
              </w:rPr>
            </w:pPr>
            <w:r>
              <w:rPr>
                <w:color w:val="231F20"/>
                <w:sz w:val="15"/>
              </w:rPr>
              <w:t>Huntington disease</w:t>
              <w:tab/>
            </w:r>
            <w:r>
              <w:rPr>
                <w:color w:val="231F20"/>
                <w:spacing w:val="-2"/>
                <w:sz w:val="15"/>
              </w:rPr>
              <w:t>Parkinsonism Epilepsy</w:t>
            </w:r>
          </w:p>
          <w:p>
            <w:pPr>
              <w:pStyle w:val="TableParagraph"/>
              <w:spacing w:line="170" w:lineRule="exact"/>
              <w:ind w:left="2125"/>
              <w:rPr>
                <w:sz w:val="15"/>
              </w:rPr>
            </w:pPr>
            <w:r>
              <w:rPr>
                <w:color w:val="231F20"/>
                <w:sz w:val="15"/>
              </w:rPr>
              <w:t>Family</w:t>
            </w:r>
            <w:r>
              <w:rPr>
                <w:color w:val="231F20"/>
                <w:spacing w:val="-8"/>
                <w:sz w:val="15"/>
              </w:rPr>
              <w:t> </w:t>
            </w:r>
            <w:r>
              <w:rPr>
                <w:color w:val="231F20"/>
                <w:sz w:val="15"/>
              </w:rPr>
              <w:t>history</w:t>
            </w:r>
            <w:r>
              <w:rPr>
                <w:color w:val="231F20"/>
                <w:spacing w:val="-7"/>
                <w:sz w:val="15"/>
              </w:rPr>
              <w:t> </w:t>
            </w:r>
            <w:r>
              <w:rPr>
                <w:color w:val="231F20"/>
                <w:sz w:val="15"/>
              </w:rPr>
              <w:t>of</w:t>
            </w:r>
            <w:r>
              <w:rPr>
                <w:color w:val="231F20"/>
                <w:spacing w:val="-7"/>
                <w:sz w:val="15"/>
              </w:rPr>
              <w:t> </w:t>
            </w:r>
            <w:r>
              <w:rPr>
                <w:color w:val="231F20"/>
                <w:sz w:val="15"/>
              </w:rPr>
              <w:t>Huntington</w:t>
            </w:r>
            <w:r>
              <w:rPr>
                <w:color w:val="231F20"/>
                <w:spacing w:val="-7"/>
                <w:sz w:val="15"/>
              </w:rPr>
              <w:t> </w:t>
            </w:r>
            <w:r>
              <w:rPr>
                <w:color w:val="231F20"/>
                <w:spacing w:val="-2"/>
                <w:sz w:val="15"/>
              </w:rPr>
              <w:t>disease</w:t>
            </w:r>
          </w:p>
        </w:tc>
        <w:tc>
          <w:tcPr>
            <w:tcW w:w="4875" w:type="dxa"/>
            <w:vMerge/>
            <w:tcBorders>
              <w:top w:val="nil"/>
              <w:bottom w:val="single" w:sz="8" w:space="0" w:color="231F20"/>
              <w:right w:val="nil"/>
            </w:tcBorders>
            <w:shd w:val="clear" w:color="auto" w:fill="E8F5F1"/>
          </w:tcPr>
          <w:p>
            <w:pPr>
              <w:rPr>
                <w:sz w:val="2"/>
                <w:szCs w:val="2"/>
              </w:rPr>
            </w:pPr>
          </w:p>
        </w:tc>
      </w:tr>
      <w:tr>
        <w:trPr>
          <w:trHeight w:val="1106" w:hRule="exact"/>
        </w:trPr>
        <w:tc>
          <w:tcPr>
            <w:tcW w:w="4870" w:type="dxa"/>
            <w:tcBorders>
              <w:top w:val="single" w:sz="4" w:space="0" w:color="FFFFFF"/>
              <w:left w:val="nil"/>
              <w:bottom w:val="single" w:sz="8" w:space="0" w:color="231F20"/>
            </w:tcBorders>
            <w:shd w:val="clear" w:color="auto" w:fill="E8F5F1"/>
          </w:tcPr>
          <w:p>
            <w:pPr>
              <w:pStyle w:val="TableParagraph"/>
              <w:tabs>
                <w:tab w:pos="2125" w:val="left" w:leader="none"/>
              </w:tabs>
              <w:spacing w:line="230" w:lineRule="auto" w:before="48"/>
              <w:ind w:left="2125" w:right="1464" w:hanging="2051"/>
              <w:rPr>
                <w:sz w:val="15"/>
              </w:rPr>
            </w:pPr>
            <w:r>
              <w:rPr>
                <w:color w:val="231F20"/>
                <w:spacing w:val="-2"/>
                <w:sz w:val="15"/>
              </w:rPr>
              <w:t>Kernicterus</w:t>
            </w:r>
            <w:r>
              <w:rPr>
                <w:color w:val="231F20"/>
                <w:sz w:val="15"/>
              </w:rPr>
              <w:tab/>
            </w:r>
            <w:r>
              <w:rPr>
                <w:color w:val="231F20"/>
                <w:spacing w:val="-2"/>
                <w:sz w:val="15"/>
              </w:rPr>
              <w:t>Jaundice</w:t>
            </w:r>
            <w:r>
              <w:rPr>
                <w:color w:val="231F20"/>
                <w:spacing w:val="-10"/>
                <w:sz w:val="15"/>
              </w:rPr>
              <w:t> </w:t>
            </w:r>
            <w:r>
              <w:rPr>
                <w:color w:val="231F20"/>
                <w:spacing w:val="-2"/>
                <w:sz w:val="15"/>
              </w:rPr>
              <w:t>in</w:t>
            </w:r>
            <w:r>
              <w:rPr>
                <w:color w:val="231F20"/>
                <w:spacing w:val="-9"/>
                <w:sz w:val="15"/>
              </w:rPr>
              <w:t> </w:t>
            </w:r>
            <w:r>
              <w:rPr>
                <w:color w:val="231F20"/>
                <w:spacing w:val="-2"/>
                <w:sz w:val="15"/>
              </w:rPr>
              <w:t>infancy </w:t>
            </w:r>
            <w:r>
              <w:rPr>
                <w:color w:val="231F20"/>
                <w:sz w:val="15"/>
              </w:rPr>
              <w:t>Hearing loss Impaired upgaze Enamel dysplasia</w:t>
            </w:r>
          </w:p>
          <w:p>
            <w:pPr>
              <w:pStyle w:val="TableParagraph"/>
              <w:spacing w:line="230" w:lineRule="auto" w:before="3"/>
              <w:ind w:left="2237" w:hanging="112"/>
              <w:rPr>
                <w:sz w:val="15"/>
              </w:rPr>
            </w:pPr>
            <w:r>
              <w:rPr>
                <w:color w:val="231F20"/>
                <w:sz w:val="15"/>
              </w:rPr>
              <w:t>MRI:</w:t>
            </w:r>
            <w:r>
              <w:rPr>
                <w:color w:val="231F20"/>
                <w:spacing w:val="-5"/>
                <w:sz w:val="15"/>
              </w:rPr>
              <w:t> </w:t>
            </w:r>
            <w:r>
              <w:rPr>
                <w:color w:val="231F20"/>
                <w:sz w:val="15"/>
              </w:rPr>
              <w:t>hyperintense</w:t>
            </w:r>
            <w:r>
              <w:rPr>
                <w:color w:val="231F20"/>
                <w:spacing w:val="-5"/>
                <w:sz w:val="15"/>
              </w:rPr>
              <w:t> </w:t>
            </w:r>
            <w:r>
              <w:rPr>
                <w:color w:val="231F20"/>
                <w:sz w:val="15"/>
              </w:rPr>
              <w:t>lesions</w:t>
            </w:r>
            <w:r>
              <w:rPr>
                <w:color w:val="231F20"/>
                <w:spacing w:val="-5"/>
                <w:sz w:val="15"/>
              </w:rPr>
              <w:t> </w:t>
            </w:r>
            <w:r>
              <w:rPr>
                <w:color w:val="231F20"/>
                <w:sz w:val="15"/>
              </w:rPr>
              <w:t>in</w:t>
            </w:r>
            <w:r>
              <w:rPr>
                <w:color w:val="231F20"/>
                <w:spacing w:val="-5"/>
                <w:sz w:val="15"/>
              </w:rPr>
              <w:t> </w:t>
            </w:r>
            <w:r>
              <w:rPr>
                <w:color w:val="231F20"/>
                <w:sz w:val="15"/>
              </w:rPr>
              <w:t>the</w:t>
            </w:r>
            <w:r>
              <w:rPr>
                <w:color w:val="231F20"/>
                <w:spacing w:val="-5"/>
                <w:sz w:val="15"/>
              </w:rPr>
              <w:t> </w:t>
            </w:r>
            <w:r>
              <w:rPr>
                <w:color w:val="231F20"/>
                <w:sz w:val="15"/>
              </w:rPr>
              <w:t>globus </w:t>
            </w:r>
            <w:r>
              <w:rPr>
                <w:color w:val="231F20"/>
                <w:spacing w:val="-2"/>
                <w:sz w:val="15"/>
              </w:rPr>
              <w:t>pallidus</w:t>
            </w:r>
          </w:p>
        </w:tc>
        <w:tc>
          <w:tcPr>
            <w:tcW w:w="4875" w:type="dxa"/>
            <w:vMerge/>
            <w:tcBorders>
              <w:top w:val="nil"/>
              <w:bottom w:val="single" w:sz="8" w:space="0" w:color="231F20"/>
              <w:right w:val="nil"/>
            </w:tcBorders>
            <w:shd w:val="clear" w:color="auto" w:fill="E8F5F1"/>
          </w:tcPr>
          <w:p>
            <w:pPr>
              <w:rPr>
                <w:sz w:val="2"/>
                <w:szCs w:val="2"/>
              </w:rPr>
            </w:pPr>
          </w:p>
        </w:tc>
      </w:tr>
    </w:tbl>
    <w:p>
      <w:pPr>
        <w:spacing w:after="0"/>
        <w:rPr>
          <w:sz w:val="2"/>
          <w:szCs w:val="2"/>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767" name="Group 767"/>
                <wp:cNvGraphicFramePr>
                  <a:graphicFrameLocks/>
                </wp:cNvGraphicFramePr>
                <a:graphic>
                  <a:graphicData uri="http://schemas.microsoft.com/office/word/2010/wordprocessingGroup">
                    <wpg:wgp>
                      <wpg:cNvPr id="767" name="Group 767"/>
                      <wpg:cNvGrpSpPr/>
                      <wpg:grpSpPr>
                        <a:xfrm>
                          <a:off x="0" y="0"/>
                          <a:ext cx="6185535" cy="170815"/>
                          <a:chExt cx="6185535" cy="170815"/>
                        </a:xfrm>
                      </wpg:grpSpPr>
                      <wps:wsp>
                        <wps:cNvPr id="768" name="Graphic 768"/>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69" name="Graphic 769"/>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70" name="Textbox 770"/>
                        <wps:cNvSpPr txBox="1"/>
                        <wps:spPr>
                          <a:xfrm>
                            <a:off x="0" y="0"/>
                            <a:ext cx="6185535" cy="170815"/>
                          </a:xfrm>
                          <a:prstGeom prst="rect">
                            <a:avLst/>
                          </a:prstGeom>
                        </wps:spPr>
                        <wps:txbx>
                          <w:txbxContent>
                            <w:p>
                              <w:pPr>
                                <w:spacing w:before="6"/>
                                <w:ind w:left="6208" w:right="-15" w:firstLine="0"/>
                                <w:jc w:val="left"/>
                                <w:rPr>
                                  <w:b/>
                                  <w:sz w:val="18"/>
                                </w:rPr>
                              </w:pPr>
                              <w:r>
                                <w:rPr>
                                  <w:b/>
                                  <w:color w:val="007431"/>
                                  <w:w w:val="105"/>
                                  <w:sz w:val="18"/>
                                </w:rPr>
                                <w:t>Chapter</w:t>
                              </w:r>
                              <w:r>
                                <w:rPr>
                                  <w:b/>
                                  <w:color w:val="007431"/>
                                  <w:spacing w:val="9"/>
                                  <w:w w:val="105"/>
                                  <w:sz w:val="18"/>
                                </w:rPr>
                                <w:t> </w:t>
                              </w:r>
                              <w:r>
                                <w:rPr>
                                  <w:b/>
                                  <w:color w:val="007431"/>
                                  <w:w w:val="105"/>
                                  <w:sz w:val="18"/>
                                </w:rPr>
                                <w:t>598</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3"/>
                                  <w:w w:val="105"/>
                                  <w:sz w:val="15"/>
                                </w:rPr>
                                <w:t> </w:t>
                              </w:r>
                              <w:r>
                                <w:rPr>
                                  <w:color w:val="231F20"/>
                                  <w:w w:val="105"/>
                                  <w:sz w:val="18"/>
                                </w:rPr>
                                <w:t>Encephalopathies</w:t>
                              </w:r>
                              <w:r>
                                <w:rPr>
                                  <w:color w:val="231F20"/>
                                  <w:spacing w:val="36"/>
                                  <w:w w:val="105"/>
                                  <w:sz w:val="18"/>
                                </w:rPr>
                                <w:t>  </w:t>
                              </w:r>
                              <w:r>
                                <w:rPr>
                                  <w:b/>
                                  <w:color w:val="231F20"/>
                                  <w:spacing w:val="-4"/>
                                  <w:w w:val="105"/>
                                  <w:sz w:val="18"/>
                                </w:rPr>
                                <w:t>2897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40"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41" filled="false" stroked="false">
                  <v:textbox inset="0,0,0,0">
                    <w:txbxContent>
                      <w:p>
                        <w:pPr>
                          <w:spacing w:before="6"/>
                          <w:ind w:left="6208" w:right="-15" w:firstLine="0"/>
                          <w:jc w:val="left"/>
                          <w:rPr>
                            <w:b/>
                            <w:sz w:val="18"/>
                          </w:rPr>
                        </w:pPr>
                        <w:r>
                          <w:rPr>
                            <w:b/>
                            <w:color w:val="007431"/>
                            <w:w w:val="105"/>
                            <w:sz w:val="18"/>
                          </w:rPr>
                          <w:t>Chapter</w:t>
                        </w:r>
                        <w:r>
                          <w:rPr>
                            <w:b/>
                            <w:color w:val="007431"/>
                            <w:spacing w:val="9"/>
                            <w:w w:val="105"/>
                            <w:sz w:val="18"/>
                          </w:rPr>
                          <w:t> </w:t>
                        </w:r>
                        <w:r>
                          <w:rPr>
                            <w:b/>
                            <w:color w:val="007431"/>
                            <w:w w:val="105"/>
                            <w:sz w:val="18"/>
                          </w:rPr>
                          <w:t>598</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3"/>
                            <w:w w:val="105"/>
                            <w:sz w:val="15"/>
                          </w:rPr>
                          <w:t> </w:t>
                        </w:r>
                        <w:r>
                          <w:rPr>
                            <w:color w:val="231F20"/>
                            <w:w w:val="105"/>
                            <w:sz w:val="18"/>
                          </w:rPr>
                          <w:t>Encephalopathies</w:t>
                        </w:r>
                        <w:r>
                          <w:rPr>
                            <w:color w:val="231F20"/>
                            <w:spacing w:val="36"/>
                            <w:w w:val="105"/>
                            <w:sz w:val="18"/>
                          </w:rPr>
                          <w:t>  </w:t>
                        </w:r>
                        <w:r>
                          <w:rPr>
                            <w:b/>
                            <w:color w:val="231F20"/>
                            <w:spacing w:val="-4"/>
                            <w:w w:val="105"/>
                            <w:sz w:val="18"/>
                          </w:rPr>
                          <w:t>2897</w:t>
                        </w:r>
                      </w:p>
                    </w:txbxContent>
                  </v:textbox>
                  <w10:wrap type="none"/>
                </v:shape>
              </v:group>
            </w:pict>
          </mc:Fallback>
        </mc:AlternateContent>
      </w:r>
      <w:r>
        <w:rPr>
          <w:sz w:val="20"/>
        </w:rPr>
      </w:r>
    </w:p>
    <w:p>
      <w:pPr>
        <w:pStyle w:val="BodyText"/>
        <w:spacing w:before="11"/>
        <w:rPr>
          <w:i/>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2097"/>
        <w:gridCol w:w="3778"/>
        <w:gridCol w:w="272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598-</w:t>
            </w:r>
            <w:r>
              <w:rPr>
                <w:b/>
                <w:color w:val="FFFFFF"/>
                <w:spacing w:val="-10"/>
                <w:w w:val="105"/>
                <w:sz w:val="16"/>
              </w:rPr>
              <w:t>1</w:t>
            </w:r>
          </w:p>
        </w:tc>
        <w:tc>
          <w:tcPr>
            <w:tcW w:w="8595"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Classification</w:t>
            </w:r>
            <w:r>
              <w:rPr>
                <w:color w:val="FFFFFF"/>
                <w:spacing w:val="3"/>
                <w:w w:val="105"/>
                <w:sz w:val="16"/>
              </w:rPr>
              <w:t> </w:t>
            </w:r>
            <w:r>
              <w:rPr>
                <w:color w:val="FFFFFF"/>
                <w:w w:val="105"/>
                <w:sz w:val="16"/>
              </w:rPr>
              <w:t>of</w:t>
            </w:r>
            <w:r>
              <w:rPr>
                <w:color w:val="FFFFFF"/>
                <w:spacing w:val="4"/>
                <w:w w:val="105"/>
                <w:sz w:val="16"/>
              </w:rPr>
              <w:t> </w:t>
            </w:r>
            <w:r>
              <w:rPr>
                <w:color w:val="FFFFFF"/>
                <w:w w:val="105"/>
                <w:sz w:val="16"/>
              </w:rPr>
              <w:t>Cerebral</w:t>
            </w:r>
            <w:r>
              <w:rPr>
                <w:color w:val="FFFFFF"/>
                <w:spacing w:val="3"/>
                <w:w w:val="105"/>
                <w:sz w:val="16"/>
              </w:rPr>
              <w:t> </w:t>
            </w:r>
            <w:r>
              <w:rPr>
                <w:color w:val="FFFFFF"/>
                <w:w w:val="105"/>
                <w:sz w:val="16"/>
              </w:rPr>
              <w:t>Palsy</w:t>
            </w:r>
            <w:r>
              <w:rPr>
                <w:color w:val="FFFFFF"/>
                <w:spacing w:val="4"/>
                <w:w w:val="105"/>
                <w:sz w:val="16"/>
              </w:rPr>
              <w:t> </w:t>
            </w:r>
            <w:r>
              <w:rPr>
                <w:color w:val="FFFFFF"/>
                <w:w w:val="105"/>
                <w:sz w:val="16"/>
              </w:rPr>
              <w:t>and</w:t>
            </w:r>
            <w:r>
              <w:rPr>
                <w:color w:val="FFFFFF"/>
                <w:spacing w:val="3"/>
                <w:w w:val="105"/>
                <w:sz w:val="16"/>
              </w:rPr>
              <w:t> </w:t>
            </w:r>
            <w:r>
              <w:rPr>
                <w:color w:val="FFFFFF"/>
                <w:w w:val="105"/>
                <w:sz w:val="16"/>
              </w:rPr>
              <w:t>Major</w:t>
            </w:r>
            <w:r>
              <w:rPr>
                <w:color w:val="FFFFFF"/>
                <w:spacing w:val="4"/>
                <w:w w:val="105"/>
                <w:sz w:val="16"/>
              </w:rPr>
              <w:t> </w:t>
            </w:r>
            <w:r>
              <w:rPr>
                <w:color w:val="FFFFFF"/>
                <w:spacing w:val="-2"/>
                <w:w w:val="105"/>
                <w:sz w:val="16"/>
              </w:rPr>
              <w:t>Causes</w:t>
            </w:r>
          </w:p>
        </w:tc>
      </w:tr>
      <w:tr>
        <w:trPr>
          <w:trHeight w:val="257" w:hRule="atLeast"/>
        </w:trPr>
        <w:tc>
          <w:tcPr>
            <w:tcW w:w="3245" w:type="dxa"/>
            <w:gridSpan w:val="2"/>
            <w:tcBorders>
              <w:bottom w:val="single" w:sz="4" w:space="0" w:color="231F20"/>
            </w:tcBorders>
            <w:shd w:val="clear" w:color="auto" w:fill="E8F5F1"/>
          </w:tcPr>
          <w:p>
            <w:pPr>
              <w:pStyle w:val="TableParagraph"/>
              <w:spacing w:before="47"/>
              <w:ind w:left="74"/>
              <w:rPr>
                <w:b/>
                <w:sz w:val="15"/>
              </w:rPr>
            </w:pPr>
            <w:r>
              <w:rPr>
                <w:b/>
                <w:color w:val="231F20"/>
                <w:w w:val="115"/>
                <w:sz w:val="15"/>
              </w:rPr>
              <w:t>MOTOR</w:t>
            </w:r>
            <w:r>
              <w:rPr>
                <w:b/>
                <w:color w:val="231F20"/>
                <w:spacing w:val="-13"/>
                <w:w w:val="115"/>
                <w:sz w:val="15"/>
              </w:rPr>
              <w:t> </w:t>
            </w:r>
            <w:r>
              <w:rPr>
                <w:b/>
                <w:color w:val="231F20"/>
                <w:w w:val="115"/>
                <w:sz w:val="15"/>
              </w:rPr>
              <w:t>SYNDROME</w:t>
            </w:r>
            <w:r>
              <w:rPr>
                <w:b/>
                <w:color w:val="231F20"/>
                <w:spacing w:val="-12"/>
                <w:w w:val="115"/>
                <w:sz w:val="15"/>
              </w:rPr>
              <w:t> </w:t>
            </w:r>
            <w:r>
              <w:rPr>
                <w:b/>
                <w:color w:val="231F20"/>
                <w:w w:val="115"/>
                <w:sz w:val="15"/>
              </w:rPr>
              <w:t>(APPROX.</w:t>
            </w:r>
            <w:r>
              <w:rPr>
                <w:b/>
                <w:color w:val="231F20"/>
                <w:spacing w:val="-12"/>
                <w:w w:val="115"/>
                <w:sz w:val="15"/>
              </w:rPr>
              <w:t> </w:t>
            </w:r>
            <w:r>
              <w:rPr>
                <w:b/>
                <w:color w:val="231F20"/>
                <w:w w:val="115"/>
                <w:sz w:val="15"/>
              </w:rPr>
              <w:t>%</w:t>
            </w:r>
            <w:r>
              <w:rPr>
                <w:b/>
                <w:color w:val="231F20"/>
                <w:spacing w:val="-12"/>
                <w:w w:val="115"/>
                <w:sz w:val="15"/>
              </w:rPr>
              <w:t> </w:t>
            </w:r>
            <w:r>
              <w:rPr>
                <w:b/>
                <w:color w:val="231F20"/>
                <w:w w:val="115"/>
                <w:sz w:val="15"/>
              </w:rPr>
              <w:t>OF</w:t>
            </w:r>
            <w:r>
              <w:rPr>
                <w:b/>
                <w:color w:val="231F20"/>
                <w:spacing w:val="-12"/>
                <w:w w:val="115"/>
                <w:sz w:val="15"/>
              </w:rPr>
              <w:t> </w:t>
            </w:r>
            <w:r>
              <w:rPr>
                <w:b/>
                <w:color w:val="231F20"/>
                <w:spacing w:val="-5"/>
                <w:w w:val="115"/>
                <w:sz w:val="15"/>
              </w:rPr>
              <w:t>CP)</w:t>
            </w:r>
          </w:p>
        </w:tc>
        <w:tc>
          <w:tcPr>
            <w:tcW w:w="3778" w:type="dxa"/>
            <w:tcBorders>
              <w:bottom w:val="single" w:sz="4" w:space="0" w:color="231F20"/>
            </w:tcBorders>
            <w:shd w:val="clear" w:color="auto" w:fill="E8F5F1"/>
          </w:tcPr>
          <w:p>
            <w:pPr>
              <w:pStyle w:val="TableParagraph"/>
              <w:spacing w:before="47"/>
              <w:ind w:left="970"/>
              <w:rPr>
                <w:b/>
                <w:sz w:val="15"/>
              </w:rPr>
            </w:pPr>
            <w:r>
              <w:rPr>
                <w:b/>
                <w:color w:val="231F20"/>
                <w:spacing w:val="-2"/>
                <w:w w:val="110"/>
                <w:sz w:val="15"/>
              </w:rPr>
              <w:t>NEUROPATHOLOGY/MRI</w:t>
            </w:r>
          </w:p>
        </w:tc>
        <w:tc>
          <w:tcPr>
            <w:tcW w:w="2720" w:type="dxa"/>
            <w:tcBorders>
              <w:bottom w:val="single" w:sz="4" w:space="0" w:color="231F20"/>
            </w:tcBorders>
            <w:shd w:val="clear" w:color="auto" w:fill="E8F5F1"/>
          </w:tcPr>
          <w:p>
            <w:pPr>
              <w:pStyle w:val="TableParagraph"/>
              <w:spacing w:before="47"/>
              <w:ind w:left="800"/>
              <w:rPr>
                <w:b/>
                <w:sz w:val="15"/>
              </w:rPr>
            </w:pPr>
            <w:r>
              <w:rPr>
                <w:b/>
                <w:color w:val="231F20"/>
                <w:w w:val="110"/>
                <w:sz w:val="15"/>
              </w:rPr>
              <w:t>MAJOR</w:t>
            </w:r>
            <w:r>
              <w:rPr>
                <w:b/>
                <w:color w:val="231F20"/>
                <w:spacing w:val="15"/>
                <w:w w:val="110"/>
                <w:sz w:val="15"/>
              </w:rPr>
              <w:t> </w:t>
            </w:r>
            <w:r>
              <w:rPr>
                <w:b/>
                <w:color w:val="231F20"/>
                <w:spacing w:val="-2"/>
                <w:w w:val="110"/>
                <w:sz w:val="15"/>
              </w:rPr>
              <w:t>CAUSES</w:t>
            </w:r>
          </w:p>
        </w:tc>
      </w:tr>
      <w:tr>
        <w:trPr>
          <w:trHeight w:val="765" w:hRule="atLeast"/>
        </w:trPr>
        <w:tc>
          <w:tcPr>
            <w:tcW w:w="3245"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Spastic</w:t>
            </w:r>
            <w:r>
              <w:rPr>
                <w:color w:val="231F20"/>
                <w:spacing w:val="3"/>
                <w:sz w:val="15"/>
              </w:rPr>
              <w:t> </w:t>
            </w:r>
            <w:r>
              <w:rPr>
                <w:color w:val="231F20"/>
                <w:sz w:val="15"/>
              </w:rPr>
              <w:t>diplegia</w:t>
            </w:r>
            <w:r>
              <w:rPr>
                <w:color w:val="231F20"/>
                <w:spacing w:val="4"/>
                <w:sz w:val="15"/>
              </w:rPr>
              <w:t> </w:t>
            </w:r>
            <w:r>
              <w:rPr>
                <w:color w:val="231F20"/>
                <w:spacing w:val="-2"/>
                <w:sz w:val="15"/>
              </w:rPr>
              <w:t>(35%)</w:t>
            </w:r>
          </w:p>
        </w:tc>
        <w:tc>
          <w:tcPr>
            <w:tcW w:w="3778" w:type="dxa"/>
            <w:tcBorders>
              <w:top w:val="single" w:sz="4" w:space="0" w:color="231F20"/>
              <w:bottom w:val="single" w:sz="4" w:space="0" w:color="FFFFFF"/>
            </w:tcBorders>
            <w:shd w:val="clear" w:color="auto" w:fill="E8F5F1"/>
          </w:tcPr>
          <w:p>
            <w:pPr>
              <w:pStyle w:val="TableParagraph"/>
              <w:spacing w:line="171" w:lineRule="exact" w:before="47"/>
              <w:ind w:left="148"/>
              <w:rPr>
                <w:sz w:val="15"/>
              </w:rPr>
            </w:pPr>
            <w:r>
              <w:rPr>
                <w:color w:val="231F20"/>
                <w:spacing w:val="-5"/>
                <w:sz w:val="15"/>
              </w:rPr>
              <w:t>Periventricular</w:t>
            </w:r>
            <w:r>
              <w:rPr>
                <w:color w:val="231F20"/>
                <w:spacing w:val="15"/>
                <w:sz w:val="15"/>
              </w:rPr>
              <w:t> </w:t>
            </w:r>
            <w:r>
              <w:rPr>
                <w:color w:val="231F20"/>
                <w:spacing w:val="-2"/>
                <w:sz w:val="15"/>
              </w:rPr>
              <w:t>leukomalacia</w:t>
            </w:r>
          </w:p>
          <w:p>
            <w:pPr>
              <w:pStyle w:val="TableParagraph"/>
              <w:spacing w:line="230" w:lineRule="auto" w:before="2"/>
              <w:ind w:left="260" w:hanging="112"/>
              <w:rPr>
                <w:sz w:val="15"/>
              </w:rPr>
            </w:pPr>
            <w:r>
              <w:rPr>
                <w:color w:val="231F20"/>
                <w:sz w:val="15"/>
              </w:rPr>
              <w:t>Periventricular</w:t>
            </w:r>
            <w:r>
              <w:rPr>
                <w:color w:val="231F20"/>
                <w:spacing w:val="-2"/>
                <w:sz w:val="15"/>
              </w:rPr>
              <w:t> </w:t>
            </w:r>
            <w:r>
              <w:rPr>
                <w:color w:val="231F20"/>
                <w:sz w:val="15"/>
              </w:rPr>
              <w:t>cysts</w:t>
            </w:r>
            <w:r>
              <w:rPr>
                <w:color w:val="231F20"/>
                <w:spacing w:val="-2"/>
                <w:sz w:val="15"/>
              </w:rPr>
              <w:t> </w:t>
            </w:r>
            <w:r>
              <w:rPr>
                <w:color w:val="231F20"/>
                <w:sz w:val="15"/>
              </w:rPr>
              <w:t>or</w:t>
            </w:r>
            <w:r>
              <w:rPr>
                <w:color w:val="231F20"/>
                <w:spacing w:val="-2"/>
                <w:sz w:val="15"/>
              </w:rPr>
              <w:t> </w:t>
            </w:r>
            <w:r>
              <w:rPr>
                <w:color w:val="231F20"/>
                <w:sz w:val="15"/>
              </w:rPr>
              <w:t>scars</w:t>
            </w:r>
            <w:r>
              <w:rPr>
                <w:color w:val="231F20"/>
                <w:spacing w:val="-2"/>
                <w:sz w:val="15"/>
              </w:rPr>
              <w:t> </w:t>
            </w:r>
            <w:r>
              <w:rPr>
                <w:color w:val="231F20"/>
                <w:sz w:val="15"/>
              </w:rPr>
              <w:t>in</w:t>
            </w:r>
            <w:r>
              <w:rPr>
                <w:color w:val="231F20"/>
                <w:spacing w:val="-2"/>
                <w:sz w:val="15"/>
              </w:rPr>
              <w:t> </w:t>
            </w:r>
            <w:r>
              <w:rPr>
                <w:color w:val="231F20"/>
                <w:sz w:val="15"/>
              </w:rPr>
              <w:t>white</w:t>
            </w:r>
            <w:r>
              <w:rPr>
                <w:color w:val="231F20"/>
                <w:spacing w:val="-2"/>
                <w:sz w:val="15"/>
              </w:rPr>
              <w:t> </w:t>
            </w:r>
            <w:r>
              <w:rPr>
                <w:color w:val="231F20"/>
                <w:sz w:val="15"/>
              </w:rPr>
              <w:t>matter, </w:t>
            </w:r>
            <w:r>
              <w:rPr>
                <w:color w:val="231F20"/>
                <w:spacing w:val="-2"/>
                <w:sz w:val="15"/>
              </w:rPr>
              <w:t>enlargement</w:t>
            </w:r>
            <w:r>
              <w:rPr>
                <w:color w:val="231F20"/>
                <w:spacing w:val="-3"/>
                <w:sz w:val="15"/>
              </w:rPr>
              <w:t> </w:t>
            </w:r>
            <w:r>
              <w:rPr>
                <w:color w:val="231F20"/>
                <w:spacing w:val="-2"/>
                <w:sz w:val="15"/>
              </w:rPr>
              <w:t>of</w:t>
            </w:r>
            <w:r>
              <w:rPr>
                <w:color w:val="231F20"/>
                <w:spacing w:val="-3"/>
                <w:sz w:val="15"/>
              </w:rPr>
              <w:t> </w:t>
            </w:r>
            <w:r>
              <w:rPr>
                <w:color w:val="231F20"/>
                <w:spacing w:val="-2"/>
                <w:sz w:val="15"/>
              </w:rPr>
              <w:t>ventricles,</w:t>
            </w:r>
            <w:r>
              <w:rPr>
                <w:color w:val="231F20"/>
                <w:spacing w:val="-3"/>
                <w:sz w:val="15"/>
              </w:rPr>
              <w:t> </w:t>
            </w:r>
            <w:r>
              <w:rPr>
                <w:color w:val="231F20"/>
                <w:spacing w:val="-2"/>
                <w:sz w:val="15"/>
              </w:rPr>
              <w:t>squared</w:t>
            </w:r>
            <w:r>
              <w:rPr>
                <w:color w:val="231F20"/>
                <w:spacing w:val="-3"/>
                <w:sz w:val="15"/>
              </w:rPr>
              <w:t> </w:t>
            </w:r>
            <w:r>
              <w:rPr>
                <w:color w:val="231F20"/>
                <w:spacing w:val="-2"/>
                <w:sz w:val="15"/>
              </w:rPr>
              <w:t>off</w:t>
            </w:r>
            <w:r>
              <w:rPr>
                <w:color w:val="231F20"/>
                <w:spacing w:val="-3"/>
                <w:sz w:val="15"/>
              </w:rPr>
              <w:t> </w:t>
            </w:r>
            <w:r>
              <w:rPr>
                <w:color w:val="231F20"/>
                <w:spacing w:val="-2"/>
                <w:sz w:val="15"/>
              </w:rPr>
              <w:t>posterior ventricles</w:t>
            </w:r>
          </w:p>
        </w:tc>
        <w:tc>
          <w:tcPr>
            <w:tcW w:w="2720" w:type="dxa"/>
            <w:tcBorders>
              <w:top w:val="single" w:sz="4" w:space="0" w:color="231F20"/>
              <w:bottom w:val="single" w:sz="4" w:space="0" w:color="FFFFFF"/>
            </w:tcBorders>
            <w:shd w:val="clear" w:color="auto" w:fill="E8F5F1"/>
          </w:tcPr>
          <w:p>
            <w:pPr>
              <w:pStyle w:val="TableParagraph"/>
              <w:spacing w:line="232" w:lineRule="auto" w:before="51"/>
              <w:ind w:left="147" w:right="1440"/>
              <w:rPr>
                <w:sz w:val="15"/>
              </w:rPr>
            </w:pPr>
            <w:r>
              <w:rPr>
                <w:color w:val="231F20"/>
                <w:spacing w:val="-6"/>
                <w:sz w:val="15"/>
              </w:rPr>
              <w:t>Prematurity</w:t>
            </w:r>
            <w:r>
              <w:rPr>
                <w:color w:val="231F20"/>
                <w:spacing w:val="-2"/>
                <w:sz w:val="15"/>
              </w:rPr>
              <w:t> Ischemia Infection</w:t>
            </w:r>
          </w:p>
          <w:p>
            <w:pPr>
              <w:pStyle w:val="TableParagraph"/>
              <w:spacing w:line="171" w:lineRule="exact"/>
              <w:ind w:left="147"/>
              <w:rPr>
                <w:sz w:val="15"/>
              </w:rPr>
            </w:pPr>
            <w:r>
              <w:rPr>
                <w:color w:val="231F20"/>
                <w:spacing w:val="-4"/>
                <w:sz w:val="15"/>
              </w:rPr>
              <w:t>Endocrine/metabolic</w:t>
            </w:r>
            <w:r>
              <w:rPr>
                <w:color w:val="231F20"/>
                <w:spacing w:val="12"/>
                <w:sz w:val="15"/>
              </w:rPr>
              <w:t> </w:t>
            </w:r>
            <w:r>
              <w:rPr>
                <w:color w:val="231F20"/>
                <w:spacing w:val="-4"/>
                <w:sz w:val="15"/>
              </w:rPr>
              <w:t>(e.g.,</w:t>
            </w:r>
            <w:r>
              <w:rPr>
                <w:color w:val="231F20"/>
                <w:spacing w:val="12"/>
                <w:sz w:val="15"/>
              </w:rPr>
              <w:t> </w:t>
            </w:r>
            <w:r>
              <w:rPr>
                <w:color w:val="231F20"/>
                <w:spacing w:val="-4"/>
                <w:sz w:val="15"/>
              </w:rPr>
              <w:t>thyroid)</w:t>
            </w:r>
          </w:p>
        </w:tc>
      </w:tr>
      <w:tr>
        <w:trPr>
          <w:trHeight w:val="590" w:hRule="atLeast"/>
        </w:trPr>
        <w:tc>
          <w:tcPr>
            <w:tcW w:w="324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Spastic</w:t>
            </w:r>
            <w:r>
              <w:rPr>
                <w:color w:val="231F20"/>
                <w:spacing w:val="1"/>
                <w:sz w:val="15"/>
              </w:rPr>
              <w:t> </w:t>
            </w:r>
            <w:r>
              <w:rPr>
                <w:color w:val="231F20"/>
                <w:sz w:val="15"/>
              </w:rPr>
              <w:t>quadriplegia</w:t>
            </w:r>
            <w:r>
              <w:rPr>
                <w:color w:val="231F20"/>
                <w:spacing w:val="1"/>
                <w:sz w:val="15"/>
              </w:rPr>
              <w:t> </w:t>
            </w:r>
            <w:r>
              <w:rPr>
                <w:color w:val="231F20"/>
                <w:spacing w:val="-2"/>
                <w:sz w:val="15"/>
              </w:rPr>
              <w:t>(20%)</w:t>
            </w:r>
          </w:p>
        </w:tc>
        <w:tc>
          <w:tcPr>
            <w:tcW w:w="3778" w:type="dxa"/>
            <w:tcBorders>
              <w:top w:val="single" w:sz="4" w:space="0" w:color="FFFFFF"/>
              <w:bottom w:val="single" w:sz="4" w:space="0" w:color="FFFFFF"/>
            </w:tcBorders>
            <w:shd w:val="clear" w:color="auto" w:fill="E8F5F1"/>
          </w:tcPr>
          <w:p>
            <w:pPr>
              <w:pStyle w:val="TableParagraph"/>
              <w:spacing w:line="232" w:lineRule="auto" w:before="46"/>
              <w:ind w:left="148" w:right="1209"/>
              <w:rPr>
                <w:sz w:val="15"/>
              </w:rPr>
            </w:pPr>
            <w:r>
              <w:rPr>
                <w:color w:val="231F20"/>
                <w:sz w:val="15"/>
              </w:rPr>
              <w:t>Periventricular</w:t>
            </w:r>
            <w:r>
              <w:rPr>
                <w:color w:val="231F20"/>
                <w:spacing w:val="-12"/>
                <w:sz w:val="15"/>
              </w:rPr>
              <w:t> </w:t>
            </w:r>
            <w:r>
              <w:rPr>
                <w:color w:val="231F20"/>
                <w:sz w:val="15"/>
              </w:rPr>
              <w:t>leukomalacia </w:t>
            </w:r>
            <w:r>
              <w:rPr>
                <w:color w:val="231F20"/>
                <w:spacing w:val="-2"/>
                <w:sz w:val="15"/>
              </w:rPr>
              <w:t>Multicystic</w:t>
            </w:r>
            <w:r>
              <w:rPr>
                <w:color w:val="231F20"/>
                <w:spacing w:val="-10"/>
                <w:sz w:val="15"/>
              </w:rPr>
              <w:t> </w:t>
            </w:r>
            <w:r>
              <w:rPr>
                <w:color w:val="231F20"/>
                <w:spacing w:val="-2"/>
                <w:sz w:val="15"/>
              </w:rPr>
              <w:t>encephalomalacia </w:t>
            </w:r>
            <w:r>
              <w:rPr>
                <w:color w:val="231F20"/>
                <w:sz w:val="15"/>
              </w:rPr>
              <w:t>Cortical malformations</w:t>
            </w:r>
          </w:p>
        </w:tc>
        <w:tc>
          <w:tcPr>
            <w:tcW w:w="2720" w:type="dxa"/>
            <w:tcBorders>
              <w:top w:val="single" w:sz="4" w:space="0" w:color="FFFFFF"/>
              <w:bottom w:val="single" w:sz="4" w:space="0" w:color="FFFFFF"/>
            </w:tcBorders>
            <w:shd w:val="clear" w:color="auto" w:fill="E8F5F1"/>
          </w:tcPr>
          <w:p>
            <w:pPr>
              <w:pStyle w:val="TableParagraph"/>
              <w:spacing w:line="232" w:lineRule="auto" w:before="46"/>
              <w:ind w:left="147"/>
              <w:rPr>
                <w:sz w:val="15"/>
              </w:rPr>
            </w:pPr>
            <w:r>
              <w:rPr>
                <w:color w:val="231F20"/>
                <w:sz w:val="15"/>
              </w:rPr>
              <w:t>Ischemia, infection </w:t>
            </w:r>
            <w:r>
              <w:rPr>
                <w:color w:val="231F20"/>
                <w:spacing w:val="-4"/>
                <w:sz w:val="15"/>
              </w:rPr>
              <w:t>Endocrine/metabolic, </w:t>
            </w:r>
            <w:r>
              <w:rPr>
                <w:color w:val="231F20"/>
                <w:spacing w:val="-4"/>
                <w:sz w:val="15"/>
              </w:rPr>
              <w:t>genetic/</w:t>
            </w:r>
          </w:p>
          <w:p>
            <w:pPr>
              <w:pStyle w:val="TableParagraph"/>
              <w:spacing w:line="169" w:lineRule="exact"/>
              <w:ind w:left="259"/>
              <w:rPr>
                <w:sz w:val="15"/>
              </w:rPr>
            </w:pPr>
            <w:r>
              <w:rPr>
                <w:color w:val="231F20"/>
                <w:spacing w:val="-2"/>
                <w:sz w:val="15"/>
              </w:rPr>
              <w:t>developmental</w:t>
            </w:r>
          </w:p>
        </w:tc>
      </w:tr>
      <w:tr>
        <w:trPr>
          <w:trHeight w:val="761" w:hRule="atLeast"/>
        </w:trPr>
        <w:tc>
          <w:tcPr>
            <w:tcW w:w="324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Hemiplegia</w:t>
            </w:r>
            <w:r>
              <w:rPr>
                <w:color w:val="231F20"/>
                <w:spacing w:val="8"/>
                <w:sz w:val="15"/>
              </w:rPr>
              <w:t> </w:t>
            </w:r>
            <w:r>
              <w:rPr>
                <w:color w:val="231F20"/>
                <w:spacing w:val="-2"/>
                <w:sz w:val="15"/>
              </w:rPr>
              <w:t>(25%)</w:t>
            </w:r>
          </w:p>
        </w:tc>
        <w:tc>
          <w:tcPr>
            <w:tcW w:w="3778" w:type="dxa"/>
            <w:tcBorders>
              <w:top w:val="single" w:sz="4" w:space="0" w:color="FFFFFF"/>
              <w:bottom w:val="single" w:sz="4" w:space="0" w:color="FFFFFF"/>
            </w:tcBorders>
            <w:shd w:val="clear" w:color="auto" w:fill="E8F5F1"/>
          </w:tcPr>
          <w:p>
            <w:pPr>
              <w:pStyle w:val="TableParagraph"/>
              <w:spacing w:line="171" w:lineRule="exact" w:before="42"/>
              <w:ind w:left="148"/>
              <w:rPr>
                <w:sz w:val="15"/>
              </w:rPr>
            </w:pPr>
            <w:r>
              <w:rPr>
                <w:color w:val="231F20"/>
                <w:sz w:val="15"/>
              </w:rPr>
              <w:t>Stroke:</w:t>
            </w:r>
            <w:r>
              <w:rPr>
                <w:color w:val="231F20"/>
                <w:spacing w:val="-9"/>
                <w:sz w:val="15"/>
              </w:rPr>
              <w:t> </w:t>
            </w:r>
            <w:r>
              <w:rPr>
                <w:color w:val="231F20"/>
                <w:sz w:val="15"/>
              </w:rPr>
              <w:t>in</w:t>
            </w:r>
            <w:r>
              <w:rPr>
                <w:color w:val="231F20"/>
                <w:spacing w:val="-8"/>
                <w:sz w:val="15"/>
              </w:rPr>
              <w:t> </w:t>
            </w:r>
            <w:r>
              <w:rPr>
                <w:color w:val="231F20"/>
                <w:sz w:val="15"/>
              </w:rPr>
              <w:t>utero</w:t>
            </w:r>
            <w:r>
              <w:rPr>
                <w:color w:val="231F20"/>
                <w:spacing w:val="-9"/>
                <w:sz w:val="15"/>
              </w:rPr>
              <w:t> </w:t>
            </w:r>
            <w:r>
              <w:rPr>
                <w:color w:val="231F20"/>
                <w:sz w:val="15"/>
              </w:rPr>
              <w:t>or</w:t>
            </w:r>
            <w:r>
              <w:rPr>
                <w:color w:val="231F20"/>
                <w:spacing w:val="-8"/>
                <w:sz w:val="15"/>
              </w:rPr>
              <w:t> </w:t>
            </w:r>
            <w:r>
              <w:rPr>
                <w:color w:val="231F20"/>
                <w:spacing w:val="-2"/>
                <w:sz w:val="15"/>
              </w:rPr>
              <w:t>neonatal</w:t>
            </w:r>
          </w:p>
          <w:p>
            <w:pPr>
              <w:pStyle w:val="TableParagraph"/>
              <w:spacing w:line="230" w:lineRule="auto" w:before="2"/>
              <w:ind w:left="148" w:right="235"/>
              <w:rPr>
                <w:sz w:val="15"/>
              </w:rPr>
            </w:pPr>
            <w:r>
              <w:rPr>
                <w:color w:val="231F20"/>
                <w:spacing w:val="-2"/>
                <w:sz w:val="15"/>
              </w:rPr>
              <w:t>Focal</w:t>
            </w:r>
            <w:r>
              <w:rPr>
                <w:color w:val="231F20"/>
                <w:spacing w:val="-7"/>
                <w:sz w:val="15"/>
              </w:rPr>
              <w:t> </w:t>
            </w:r>
            <w:r>
              <w:rPr>
                <w:color w:val="231F20"/>
                <w:spacing w:val="-2"/>
                <w:sz w:val="15"/>
              </w:rPr>
              <w:t>infarct</w:t>
            </w:r>
            <w:r>
              <w:rPr>
                <w:color w:val="231F20"/>
                <w:spacing w:val="-7"/>
                <w:sz w:val="15"/>
              </w:rPr>
              <w:t> </w:t>
            </w:r>
            <w:r>
              <w:rPr>
                <w:color w:val="231F20"/>
                <w:spacing w:val="-2"/>
                <w:sz w:val="15"/>
              </w:rPr>
              <w:t>or</w:t>
            </w:r>
            <w:r>
              <w:rPr>
                <w:color w:val="231F20"/>
                <w:spacing w:val="-7"/>
                <w:sz w:val="15"/>
              </w:rPr>
              <w:t> </w:t>
            </w:r>
            <w:r>
              <w:rPr>
                <w:color w:val="231F20"/>
                <w:spacing w:val="-2"/>
                <w:sz w:val="15"/>
              </w:rPr>
              <w:t>cortical,</w:t>
            </w:r>
            <w:r>
              <w:rPr>
                <w:color w:val="231F20"/>
                <w:spacing w:val="-7"/>
                <w:sz w:val="15"/>
              </w:rPr>
              <w:t> </w:t>
            </w:r>
            <w:r>
              <w:rPr>
                <w:color w:val="231F20"/>
                <w:spacing w:val="-2"/>
                <w:sz w:val="15"/>
              </w:rPr>
              <w:t>subcortical</w:t>
            </w:r>
            <w:r>
              <w:rPr>
                <w:color w:val="231F20"/>
                <w:spacing w:val="-7"/>
                <w:sz w:val="15"/>
              </w:rPr>
              <w:t> </w:t>
            </w:r>
            <w:r>
              <w:rPr>
                <w:color w:val="231F20"/>
                <w:spacing w:val="-2"/>
                <w:sz w:val="15"/>
              </w:rPr>
              <w:t>damage </w:t>
            </w:r>
            <w:r>
              <w:rPr>
                <w:color w:val="231F20"/>
                <w:sz w:val="15"/>
              </w:rPr>
              <w:t>Cortical malformations</w:t>
            </w:r>
          </w:p>
        </w:tc>
        <w:tc>
          <w:tcPr>
            <w:tcW w:w="2720" w:type="dxa"/>
            <w:tcBorders>
              <w:top w:val="single" w:sz="4" w:space="0" w:color="FFFFFF"/>
              <w:bottom w:val="single" w:sz="4" w:space="0" w:color="FFFFFF"/>
            </w:tcBorders>
            <w:shd w:val="clear" w:color="auto" w:fill="E8F5F1"/>
          </w:tcPr>
          <w:p>
            <w:pPr>
              <w:pStyle w:val="TableParagraph"/>
              <w:spacing w:line="232" w:lineRule="auto" w:before="46"/>
              <w:ind w:left="147" w:right="451"/>
              <w:rPr>
                <w:sz w:val="15"/>
              </w:rPr>
            </w:pPr>
            <w:r>
              <w:rPr>
                <w:color w:val="231F20"/>
                <w:sz w:val="15"/>
              </w:rPr>
              <w:t>Thrombophilic</w:t>
            </w:r>
            <w:r>
              <w:rPr>
                <w:color w:val="231F20"/>
                <w:spacing w:val="-12"/>
                <w:sz w:val="15"/>
              </w:rPr>
              <w:t> </w:t>
            </w:r>
            <w:r>
              <w:rPr>
                <w:color w:val="231F20"/>
                <w:sz w:val="15"/>
              </w:rPr>
              <w:t>disorders </w:t>
            </w:r>
            <w:r>
              <w:rPr>
                <w:color w:val="231F20"/>
                <w:spacing w:val="-2"/>
                <w:sz w:val="15"/>
              </w:rPr>
              <w:t>Infection Genetic/developmental</w:t>
            </w:r>
          </w:p>
          <w:p>
            <w:pPr>
              <w:pStyle w:val="TableParagraph"/>
              <w:spacing w:line="171" w:lineRule="exact"/>
              <w:ind w:left="147"/>
              <w:rPr>
                <w:sz w:val="15"/>
              </w:rPr>
            </w:pPr>
            <w:r>
              <w:rPr>
                <w:color w:val="231F20"/>
                <w:spacing w:val="-2"/>
                <w:sz w:val="15"/>
              </w:rPr>
              <w:t>Periventricular</w:t>
            </w:r>
            <w:r>
              <w:rPr>
                <w:color w:val="231F20"/>
                <w:spacing w:val="-4"/>
                <w:sz w:val="15"/>
              </w:rPr>
              <w:t> </w:t>
            </w:r>
            <w:r>
              <w:rPr>
                <w:color w:val="231F20"/>
                <w:spacing w:val="-2"/>
                <w:sz w:val="15"/>
              </w:rPr>
              <w:t>hemorrhagic</w:t>
            </w:r>
            <w:r>
              <w:rPr>
                <w:color w:val="231F20"/>
                <w:spacing w:val="-3"/>
                <w:sz w:val="15"/>
              </w:rPr>
              <w:t> </w:t>
            </w:r>
            <w:r>
              <w:rPr>
                <w:color w:val="231F20"/>
                <w:spacing w:val="-2"/>
                <w:sz w:val="15"/>
              </w:rPr>
              <w:t>infarction</w:t>
            </w:r>
          </w:p>
        </w:tc>
      </w:tr>
      <w:tr>
        <w:trPr>
          <w:trHeight w:val="919" w:hRule="atLeast"/>
        </w:trPr>
        <w:tc>
          <w:tcPr>
            <w:tcW w:w="3245"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4"/>
                <w:sz w:val="15"/>
              </w:rPr>
              <w:t>Extrapyramidal</w:t>
            </w:r>
            <w:r>
              <w:rPr>
                <w:color w:val="231F20"/>
                <w:spacing w:val="6"/>
                <w:sz w:val="15"/>
              </w:rPr>
              <w:t> </w:t>
            </w:r>
            <w:r>
              <w:rPr>
                <w:color w:val="231F20"/>
                <w:spacing w:val="-4"/>
                <w:sz w:val="15"/>
              </w:rPr>
              <w:t>(athetoid,</w:t>
            </w:r>
            <w:r>
              <w:rPr>
                <w:color w:val="231F20"/>
                <w:spacing w:val="7"/>
                <w:sz w:val="15"/>
              </w:rPr>
              <w:t> </w:t>
            </w:r>
            <w:r>
              <w:rPr>
                <w:color w:val="231F20"/>
                <w:spacing w:val="-4"/>
                <w:sz w:val="15"/>
              </w:rPr>
              <w:t>dyskinetic)</w:t>
            </w:r>
            <w:r>
              <w:rPr>
                <w:color w:val="231F20"/>
                <w:spacing w:val="7"/>
                <w:sz w:val="15"/>
              </w:rPr>
              <w:t> </w:t>
            </w:r>
            <w:r>
              <w:rPr>
                <w:color w:val="231F20"/>
                <w:spacing w:val="-4"/>
                <w:sz w:val="15"/>
              </w:rPr>
              <w:t>(15%)</w:t>
            </w:r>
          </w:p>
        </w:tc>
        <w:tc>
          <w:tcPr>
            <w:tcW w:w="3778" w:type="dxa"/>
            <w:tcBorders>
              <w:top w:val="single" w:sz="4" w:space="0" w:color="FFFFFF"/>
              <w:bottom w:val="single" w:sz="8" w:space="0" w:color="231F20"/>
            </w:tcBorders>
            <w:shd w:val="clear" w:color="auto" w:fill="E8F5F1"/>
          </w:tcPr>
          <w:p>
            <w:pPr>
              <w:pStyle w:val="TableParagraph"/>
              <w:spacing w:line="230" w:lineRule="auto" w:before="48"/>
              <w:ind w:left="148"/>
              <w:rPr>
                <w:sz w:val="15"/>
              </w:rPr>
            </w:pPr>
            <w:r>
              <w:rPr>
                <w:color w:val="231F20"/>
                <w:sz w:val="15"/>
              </w:rPr>
              <w:t>Asphyxia:</w:t>
            </w:r>
            <w:r>
              <w:rPr>
                <w:color w:val="231F20"/>
                <w:spacing w:val="-12"/>
                <w:sz w:val="15"/>
              </w:rPr>
              <w:t> </w:t>
            </w:r>
            <w:r>
              <w:rPr>
                <w:color w:val="231F20"/>
                <w:sz w:val="15"/>
              </w:rPr>
              <w:t>symmetric</w:t>
            </w:r>
            <w:r>
              <w:rPr>
                <w:color w:val="231F20"/>
                <w:spacing w:val="-11"/>
                <w:sz w:val="15"/>
              </w:rPr>
              <w:t> </w:t>
            </w:r>
            <w:r>
              <w:rPr>
                <w:color w:val="231F20"/>
                <w:sz w:val="15"/>
              </w:rPr>
              <w:t>scars</w:t>
            </w:r>
            <w:r>
              <w:rPr>
                <w:color w:val="231F20"/>
                <w:spacing w:val="-11"/>
                <w:sz w:val="15"/>
              </w:rPr>
              <w:t> </w:t>
            </w:r>
            <w:r>
              <w:rPr>
                <w:color w:val="231F20"/>
                <w:sz w:val="15"/>
              </w:rPr>
              <w:t>in</w:t>
            </w:r>
            <w:r>
              <w:rPr>
                <w:color w:val="231F20"/>
                <w:spacing w:val="-12"/>
                <w:sz w:val="15"/>
              </w:rPr>
              <w:t> </w:t>
            </w:r>
            <w:r>
              <w:rPr>
                <w:color w:val="231F20"/>
                <w:sz w:val="15"/>
              </w:rPr>
              <w:t>putamen</w:t>
            </w:r>
            <w:r>
              <w:rPr>
                <w:color w:val="231F20"/>
                <w:spacing w:val="-11"/>
                <w:sz w:val="15"/>
              </w:rPr>
              <w:t> </w:t>
            </w:r>
            <w:r>
              <w:rPr>
                <w:color w:val="231F20"/>
                <w:sz w:val="15"/>
              </w:rPr>
              <w:t>and</w:t>
            </w:r>
            <w:r>
              <w:rPr>
                <w:color w:val="231F20"/>
                <w:spacing w:val="-11"/>
                <w:sz w:val="15"/>
              </w:rPr>
              <w:t> </w:t>
            </w:r>
            <w:r>
              <w:rPr>
                <w:color w:val="231F20"/>
                <w:sz w:val="15"/>
              </w:rPr>
              <w:t>thalamus Kernicterus: scars in globus pallidus, hippocampus Mitochondrial: scaring globus pallidus, caudate,</w:t>
            </w:r>
          </w:p>
          <w:p>
            <w:pPr>
              <w:pStyle w:val="TableParagraph"/>
              <w:spacing w:line="168" w:lineRule="exact"/>
              <w:ind w:left="260"/>
              <w:rPr>
                <w:sz w:val="15"/>
              </w:rPr>
            </w:pPr>
            <w:r>
              <w:rPr>
                <w:color w:val="231F20"/>
                <w:spacing w:val="-2"/>
                <w:sz w:val="15"/>
              </w:rPr>
              <w:t>putamen,</w:t>
            </w:r>
            <w:r>
              <w:rPr>
                <w:color w:val="231F20"/>
                <w:spacing w:val="-3"/>
                <w:sz w:val="15"/>
              </w:rPr>
              <w:t> </w:t>
            </w:r>
            <w:r>
              <w:rPr>
                <w:color w:val="231F20"/>
                <w:spacing w:val="-2"/>
                <w:sz w:val="15"/>
              </w:rPr>
              <w:t>brainstem</w:t>
            </w:r>
          </w:p>
          <w:p>
            <w:pPr>
              <w:pStyle w:val="TableParagraph"/>
              <w:spacing w:line="171" w:lineRule="exact"/>
              <w:ind w:left="148"/>
              <w:rPr>
                <w:sz w:val="15"/>
              </w:rPr>
            </w:pPr>
            <w:r>
              <w:rPr>
                <w:color w:val="231F20"/>
                <w:sz w:val="15"/>
              </w:rPr>
              <w:t>No</w:t>
            </w:r>
            <w:r>
              <w:rPr>
                <w:color w:val="231F20"/>
                <w:spacing w:val="11"/>
                <w:sz w:val="15"/>
              </w:rPr>
              <w:t> </w:t>
            </w:r>
            <w:r>
              <w:rPr>
                <w:color w:val="231F20"/>
                <w:sz w:val="15"/>
              </w:rPr>
              <w:t>lesions:</w:t>
            </w:r>
            <w:r>
              <w:rPr>
                <w:color w:val="231F20"/>
                <w:spacing w:val="12"/>
                <w:sz w:val="15"/>
              </w:rPr>
              <w:t> </w:t>
            </w:r>
            <w:r>
              <w:rPr>
                <w:color w:val="231F20"/>
                <w:sz w:val="15"/>
              </w:rPr>
              <w:t>?</w:t>
            </w:r>
            <w:r>
              <w:rPr>
                <w:color w:val="231F20"/>
                <w:spacing w:val="12"/>
                <w:sz w:val="15"/>
              </w:rPr>
              <w:t> </w:t>
            </w:r>
            <w:r>
              <w:rPr>
                <w:color w:val="231F20"/>
                <w:sz w:val="15"/>
              </w:rPr>
              <w:t>dopa-responsive</w:t>
            </w:r>
            <w:r>
              <w:rPr>
                <w:color w:val="231F20"/>
                <w:spacing w:val="12"/>
                <w:sz w:val="15"/>
              </w:rPr>
              <w:t> </w:t>
            </w:r>
            <w:r>
              <w:rPr>
                <w:color w:val="231F20"/>
                <w:spacing w:val="-2"/>
                <w:sz w:val="15"/>
              </w:rPr>
              <w:t>dystonia</w:t>
            </w:r>
          </w:p>
        </w:tc>
        <w:tc>
          <w:tcPr>
            <w:tcW w:w="2720" w:type="dxa"/>
            <w:tcBorders>
              <w:top w:val="single" w:sz="4" w:space="0" w:color="FFFFFF"/>
              <w:bottom w:val="single" w:sz="8" w:space="0" w:color="231F20"/>
            </w:tcBorders>
            <w:shd w:val="clear" w:color="auto" w:fill="E8F5F1"/>
          </w:tcPr>
          <w:p>
            <w:pPr>
              <w:pStyle w:val="TableParagraph"/>
              <w:spacing w:line="232" w:lineRule="auto" w:before="46"/>
              <w:ind w:left="147" w:right="1277"/>
              <w:rPr>
                <w:sz w:val="15"/>
              </w:rPr>
            </w:pPr>
            <w:r>
              <w:rPr>
                <w:color w:val="231F20"/>
                <w:spacing w:val="-2"/>
                <w:sz w:val="15"/>
              </w:rPr>
              <w:t>Asphyxia Kernicterus Mitochondrial </w:t>
            </w:r>
            <w:r>
              <w:rPr>
                <w:color w:val="231F20"/>
                <w:spacing w:val="-4"/>
                <w:sz w:val="15"/>
              </w:rPr>
              <w:t>Genetic/metabolic</w:t>
            </w:r>
          </w:p>
        </w:tc>
      </w:tr>
    </w:tbl>
    <w:p>
      <w:pPr>
        <w:pStyle w:val="BodyText"/>
        <w:spacing w:before="110"/>
        <w:rPr>
          <w:i/>
          <w:sz w:val="20"/>
        </w:rPr>
      </w:pPr>
    </w:p>
    <w:tbl>
      <w:tblPr>
        <w:tblW w:w="0" w:type="auto"/>
        <w:jc w:val="left"/>
        <w:tblInd w:w="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205"/>
        <w:gridCol w:w="1974"/>
        <w:gridCol w:w="1189"/>
        <w:gridCol w:w="1195"/>
        <w:gridCol w:w="1101"/>
        <w:gridCol w:w="957"/>
        <w:gridCol w:w="1125"/>
        <w:gridCol w:w="852"/>
      </w:tblGrid>
      <w:tr>
        <w:trPr>
          <w:trHeight w:val="373" w:hRule="exac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598-</w:t>
            </w:r>
            <w:r>
              <w:rPr>
                <w:b/>
                <w:color w:val="FFFFFF"/>
                <w:spacing w:val="-10"/>
                <w:w w:val="105"/>
                <w:sz w:val="16"/>
              </w:rPr>
              <w:t>2</w:t>
            </w:r>
          </w:p>
        </w:tc>
        <w:tc>
          <w:tcPr>
            <w:tcW w:w="8598" w:type="dxa"/>
            <w:gridSpan w:val="8"/>
            <w:tcBorders>
              <w:left w:val="single" w:sz="8" w:space="0" w:color="FFFFFF"/>
            </w:tcBorders>
            <w:shd w:val="clear" w:color="auto" w:fill="231F20"/>
          </w:tcPr>
          <w:p>
            <w:pPr>
              <w:pStyle w:val="TableParagraph"/>
              <w:spacing w:before="89"/>
              <w:ind w:left="74"/>
              <w:rPr>
                <w:sz w:val="16"/>
              </w:rPr>
            </w:pPr>
            <w:r>
              <w:rPr>
                <w:color w:val="FFFFFF"/>
                <w:w w:val="105"/>
                <w:sz w:val="16"/>
              </w:rPr>
              <w:t>Clinical</w:t>
            </w:r>
            <w:r>
              <w:rPr>
                <w:color w:val="FFFFFF"/>
                <w:spacing w:val="6"/>
                <w:w w:val="105"/>
                <w:sz w:val="16"/>
              </w:rPr>
              <w:t> </w:t>
            </w:r>
            <w:r>
              <w:rPr>
                <w:color w:val="FFFFFF"/>
                <w:w w:val="105"/>
                <w:sz w:val="16"/>
              </w:rPr>
              <w:t>Manifestations</w:t>
            </w:r>
            <w:r>
              <w:rPr>
                <w:color w:val="FFFFFF"/>
                <w:spacing w:val="7"/>
                <w:w w:val="105"/>
                <w:sz w:val="16"/>
              </w:rPr>
              <w:t> </w:t>
            </w:r>
            <w:r>
              <w:rPr>
                <w:color w:val="FFFFFF"/>
                <w:w w:val="105"/>
                <w:sz w:val="16"/>
              </w:rPr>
              <w:t>of</w:t>
            </w:r>
            <w:r>
              <w:rPr>
                <w:color w:val="FFFFFF"/>
                <w:spacing w:val="7"/>
                <w:w w:val="105"/>
                <w:sz w:val="16"/>
              </w:rPr>
              <w:t> </w:t>
            </w:r>
            <w:r>
              <w:rPr>
                <w:color w:val="FFFFFF"/>
                <w:w w:val="105"/>
                <w:sz w:val="16"/>
              </w:rPr>
              <w:t>Mitochondrial</w:t>
            </w:r>
            <w:r>
              <w:rPr>
                <w:color w:val="FFFFFF"/>
                <w:spacing w:val="6"/>
                <w:w w:val="105"/>
                <w:sz w:val="16"/>
              </w:rPr>
              <w:t> </w:t>
            </w:r>
            <w:r>
              <w:rPr>
                <w:color w:val="FFFFFF"/>
                <w:spacing w:val="-2"/>
                <w:w w:val="105"/>
                <w:sz w:val="16"/>
              </w:rPr>
              <w:t>Encephalomyopathies</w:t>
            </w:r>
          </w:p>
        </w:tc>
      </w:tr>
      <w:tr>
        <w:trPr>
          <w:trHeight w:val="262" w:hRule="exact"/>
        </w:trPr>
        <w:tc>
          <w:tcPr>
            <w:tcW w:w="1148" w:type="dxa"/>
            <w:tcBorders>
              <w:bottom w:val="single" w:sz="4" w:space="0" w:color="231F20"/>
            </w:tcBorders>
            <w:shd w:val="clear" w:color="auto" w:fill="E8F5F1"/>
          </w:tcPr>
          <w:p>
            <w:pPr>
              <w:pStyle w:val="TableParagraph"/>
              <w:spacing w:before="47"/>
              <w:ind w:left="74"/>
              <w:rPr>
                <w:b/>
                <w:sz w:val="15"/>
              </w:rPr>
            </w:pPr>
            <w:r>
              <w:rPr>
                <w:b/>
                <w:color w:val="231F20"/>
                <w:spacing w:val="-2"/>
                <w:w w:val="105"/>
                <w:sz w:val="15"/>
              </w:rPr>
              <w:t>TISSUE</w:t>
            </w:r>
          </w:p>
        </w:tc>
        <w:tc>
          <w:tcPr>
            <w:tcW w:w="205" w:type="dxa"/>
            <w:tcBorders>
              <w:bottom w:val="single" w:sz="4" w:space="0" w:color="231F20"/>
            </w:tcBorders>
            <w:shd w:val="clear" w:color="auto" w:fill="E8F5F1"/>
          </w:tcPr>
          <w:p>
            <w:pPr>
              <w:pStyle w:val="TableParagraph"/>
              <w:rPr>
                <w:rFonts w:ascii="Times New Roman"/>
                <w:sz w:val="14"/>
              </w:rPr>
            </w:pPr>
          </w:p>
        </w:tc>
        <w:tc>
          <w:tcPr>
            <w:tcW w:w="1974" w:type="dxa"/>
            <w:tcBorders>
              <w:bottom w:val="single" w:sz="4" w:space="0" w:color="231F20"/>
            </w:tcBorders>
            <w:shd w:val="clear" w:color="auto" w:fill="E8F5F1"/>
          </w:tcPr>
          <w:p>
            <w:pPr>
              <w:pStyle w:val="TableParagraph"/>
              <w:spacing w:before="47"/>
              <w:ind w:left="170"/>
              <w:rPr>
                <w:b/>
                <w:sz w:val="15"/>
              </w:rPr>
            </w:pPr>
            <w:r>
              <w:rPr>
                <w:b/>
                <w:color w:val="231F20"/>
                <w:spacing w:val="-2"/>
                <w:w w:val="115"/>
                <w:sz w:val="15"/>
              </w:rPr>
              <w:t>SYMPTOMS/SIGNS</w:t>
            </w:r>
          </w:p>
        </w:tc>
        <w:tc>
          <w:tcPr>
            <w:tcW w:w="1189" w:type="dxa"/>
            <w:tcBorders>
              <w:bottom w:val="single" w:sz="4" w:space="0" w:color="231F20"/>
            </w:tcBorders>
            <w:shd w:val="clear" w:color="auto" w:fill="E8F5F1"/>
          </w:tcPr>
          <w:p>
            <w:pPr>
              <w:pStyle w:val="TableParagraph"/>
              <w:spacing w:before="47"/>
              <w:ind w:left="2" w:right="2"/>
              <w:jc w:val="center"/>
              <w:rPr>
                <w:b/>
                <w:sz w:val="15"/>
              </w:rPr>
            </w:pPr>
            <w:r>
              <w:rPr>
                <w:b/>
                <w:color w:val="231F20"/>
                <w:spacing w:val="-2"/>
                <w:w w:val="115"/>
                <w:sz w:val="15"/>
              </w:rPr>
              <w:t>MELAS</w:t>
            </w:r>
          </w:p>
        </w:tc>
        <w:tc>
          <w:tcPr>
            <w:tcW w:w="1195" w:type="dxa"/>
            <w:tcBorders>
              <w:bottom w:val="single" w:sz="4" w:space="0" w:color="231F20"/>
            </w:tcBorders>
            <w:shd w:val="clear" w:color="auto" w:fill="E8F5F1"/>
          </w:tcPr>
          <w:p>
            <w:pPr>
              <w:pStyle w:val="TableParagraph"/>
              <w:spacing w:before="47"/>
              <w:ind w:left="2" w:right="2"/>
              <w:jc w:val="center"/>
              <w:rPr>
                <w:b/>
                <w:sz w:val="15"/>
              </w:rPr>
            </w:pPr>
            <w:r>
              <w:rPr>
                <w:b/>
                <w:color w:val="231F20"/>
                <w:spacing w:val="-2"/>
                <w:w w:val="110"/>
                <w:sz w:val="15"/>
              </w:rPr>
              <w:t>MERRF</w:t>
            </w:r>
          </w:p>
        </w:tc>
        <w:tc>
          <w:tcPr>
            <w:tcW w:w="1101" w:type="dxa"/>
            <w:tcBorders>
              <w:bottom w:val="single" w:sz="4" w:space="0" w:color="231F20"/>
            </w:tcBorders>
            <w:shd w:val="clear" w:color="auto" w:fill="E8F5F1"/>
          </w:tcPr>
          <w:p>
            <w:pPr>
              <w:pStyle w:val="TableParagraph"/>
              <w:spacing w:before="47"/>
              <w:ind w:left="2" w:right="2"/>
              <w:jc w:val="center"/>
              <w:rPr>
                <w:b/>
                <w:sz w:val="15"/>
              </w:rPr>
            </w:pPr>
            <w:r>
              <w:rPr>
                <w:b/>
                <w:color w:val="231F20"/>
                <w:spacing w:val="-4"/>
                <w:w w:val="110"/>
                <w:sz w:val="15"/>
              </w:rPr>
              <w:t>NARP</w:t>
            </w:r>
          </w:p>
        </w:tc>
        <w:tc>
          <w:tcPr>
            <w:tcW w:w="957" w:type="dxa"/>
            <w:tcBorders>
              <w:bottom w:val="single" w:sz="4" w:space="0" w:color="231F20"/>
            </w:tcBorders>
            <w:shd w:val="clear" w:color="auto" w:fill="E8F5F1"/>
          </w:tcPr>
          <w:p>
            <w:pPr>
              <w:pStyle w:val="TableParagraph"/>
              <w:spacing w:before="47"/>
              <w:ind w:left="2" w:right="2"/>
              <w:jc w:val="center"/>
              <w:rPr>
                <w:b/>
                <w:sz w:val="15"/>
              </w:rPr>
            </w:pPr>
            <w:r>
              <w:rPr>
                <w:b/>
                <w:color w:val="231F20"/>
                <w:spacing w:val="-5"/>
                <w:w w:val="115"/>
                <w:sz w:val="15"/>
              </w:rPr>
              <w:t>KSS</w:t>
            </w:r>
          </w:p>
        </w:tc>
        <w:tc>
          <w:tcPr>
            <w:tcW w:w="1125" w:type="dxa"/>
            <w:tcBorders>
              <w:bottom w:val="single" w:sz="4" w:space="0" w:color="231F20"/>
            </w:tcBorders>
            <w:shd w:val="clear" w:color="auto" w:fill="E8F5F1"/>
          </w:tcPr>
          <w:p>
            <w:pPr>
              <w:pStyle w:val="TableParagraph"/>
              <w:spacing w:before="47"/>
              <w:ind w:left="71" w:right="71"/>
              <w:jc w:val="center"/>
              <w:rPr>
                <w:b/>
                <w:sz w:val="15"/>
              </w:rPr>
            </w:pPr>
            <w:r>
              <w:rPr>
                <w:b/>
                <w:color w:val="231F20"/>
                <w:spacing w:val="-2"/>
                <w:w w:val="110"/>
                <w:sz w:val="15"/>
              </w:rPr>
              <w:t>LEIGH</w:t>
            </w:r>
          </w:p>
        </w:tc>
        <w:tc>
          <w:tcPr>
            <w:tcW w:w="852" w:type="dxa"/>
            <w:tcBorders>
              <w:bottom w:val="single" w:sz="4" w:space="0" w:color="231F20"/>
            </w:tcBorders>
            <w:shd w:val="clear" w:color="auto" w:fill="E8F5F1"/>
          </w:tcPr>
          <w:p>
            <w:pPr>
              <w:pStyle w:val="TableParagraph"/>
              <w:spacing w:before="47"/>
              <w:ind w:left="266" w:right="2"/>
              <w:jc w:val="center"/>
              <w:rPr>
                <w:b/>
                <w:sz w:val="15"/>
              </w:rPr>
            </w:pPr>
            <w:r>
              <w:rPr>
                <w:b/>
                <w:color w:val="231F20"/>
                <w:spacing w:val="-4"/>
                <w:w w:val="110"/>
                <w:sz w:val="15"/>
              </w:rPr>
              <w:t>LHON</w:t>
            </w:r>
          </w:p>
        </w:tc>
      </w:tr>
      <w:tr>
        <w:trPr>
          <w:trHeight w:val="231" w:hRule="exact"/>
        </w:trPr>
        <w:tc>
          <w:tcPr>
            <w:tcW w:w="1148" w:type="dxa"/>
            <w:vMerge w:val="restart"/>
            <w:tcBorders>
              <w:top w:val="single" w:sz="4" w:space="0" w:color="231F20"/>
            </w:tcBorders>
            <w:shd w:val="clear" w:color="auto" w:fill="E8F5F1"/>
          </w:tcPr>
          <w:p>
            <w:pPr>
              <w:pStyle w:val="TableParagraph"/>
              <w:spacing w:line="164" w:lineRule="exact" w:before="47"/>
              <w:ind w:left="74"/>
              <w:rPr>
                <w:sz w:val="15"/>
              </w:rPr>
            </w:pPr>
            <w:r>
              <w:rPr>
                <w:color w:val="231F20"/>
                <w:spacing w:val="-5"/>
                <w:w w:val="120"/>
                <w:sz w:val="15"/>
              </w:rPr>
              <w:t>CNS</w:t>
            </w:r>
          </w:p>
        </w:tc>
        <w:tc>
          <w:tcPr>
            <w:tcW w:w="205" w:type="dxa"/>
            <w:vMerge w:val="restart"/>
            <w:tcBorders>
              <w:top w:val="single" w:sz="4" w:space="0" w:color="231F20"/>
              <w:bottom w:val="single" w:sz="4" w:space="0" w:color="FFFFFF"/>
            </w:tcBorders>
            <w:shd w:val="clear" w:color="auto" w:fill="E8F5F1"/>
          </w:tcPr>
          <w:p>
            <w:pPr>
              <w:pStyle w:val="TableParagraph"/>
              <w:rPr>
                <w:rFonts w:ascii="Times New Roman"/>
                <w:sz w:val="14"/>
              </w:rPr>
            </w:pPr>
          </w:p>
        </w:tc>
        <w:tc>
          <w:tcPr>
            <w:tcW w:w="1974" w:type="dxa"/>
            <w:tcBorders>
              <w:top w:val="single" w:sz="4" w:space="0" w:color="231F20"/>
            </w:tcBorders>
            <w:shd w:val="clear" w:color="auto" w:fill="E8F5F1"/>
          </w:tcPr>
          <w:p>
            <w:pPr>
              <w:pStyle w:val="TableParagraph"/>
              <w:spacing w:line="160" w:lineRule="exact" w:before="47"/>
              <w:ind w:left="74"/>
              <w:rPr>
                <w:sz w:val="15"/>
              </w:rPr>
            </w:pPr>
            <w:r>
              <w:rPr>
                <w:color w:val="231F20"/>
                <w:spacing w:val="-2"/>
                <w:sz w:val="15"/>
              </w:rPr>
              <w:t>Regression</w:t>
            </w:r>
          </w:p>
        </w:tc>
        <w:tc>
          <w:tcPr>
            <w:tcW w:w="1189" w:type="dxa"/>
            <w:tcBorders>
              <w:top w:val="single" w:sz="4" w:space="0" w:color="231F20"/>
            </w:tcBorders>
            <w:shd w:val="clear" w:color="auto" w:fill="E8F5F1"/>
          </w:tcPr>
          <w:p>
            <w:pPr>
              <w:pStyle w:val="TableParagraph"/>
              <w:spacing w:line="159" w:lineRule="exact" w:before="47"/>
              <w:ind w:left="2" w:right="2"/>
              <w:jc w:val="center"/>
              <w:rPr>
                <w:rFonts w:ascii="Cambria"/>
                <w:sz w:val="15"/>
              </w:rPr>
            </w:pPr>
            <w:r>
              <w:rPr>
                <w:rFonts w:ascii="Cambria"/>
                <w:color w:val="231F20"/>
                <w:spacing w:val="-10"/>
                <w:sz w:val="15"/>
              </w:rPr>
              <w:t>+</w:t>
            </w:r>
          </w:p>
        </w:tc>
        <w:tc>
          <w:tcPr>
            <w:tcW w:w="1195" w:type="dxa"/>
            <w:tcBorders>
              <w:top w:val="single" w:sz="4" w:space="0" w:color="231F20"/>
            </w:tcBorders>
            <w:shd w:val="clear" w:color="auto" w:fill="E8F5F1"/>
          </w:tcPr>
          <w:p>
            <w:pPr>
              <w:pStyle w:val="TableParagraph"/>
              <w:spacing w:line="159" w:lineRule="exact" w:before="47"/>
              <w:ind w:left="2" w:right="2"/>
              <w:jc w:val="center"/>
              <w:rPr>
                <w:rFonts w:ascii="Cambria"/>
                <w:sz w:val="15"/>
              </w:rPr>
            </w:pPr>
            <w:r>
              <w:rPr>
                <w:rFonts w:ascii="Cambria"/>
                <w:color w:val="231F20"/>
                <w:spacing w:val="-10"/>
                <w:sz w:val="15"/>
              </w:rPr>
              <w:t>+</w:t>
            </w:r>
          </w:p>
        </w:tc>
        <w:tc>
          <w:tcPr>
            <w:tcW w:w="1101" w:type="dxa"/>
            <w:tcBorders>
              <w:top w:val="single" w:sz="4" w:space="0" w:color="231F20"/>
            </w:tcBorders>
            <w:shd w:val="clear" w:color="auto" w:fill="E8F5F1"/>
          </w:tcPr>
          <w:p>
            <w:pPr>
              <w:pStyle w:val="TableParagraph"/>
              <w:rPr>
                <w:rFonts w:ascii="Times New Roman"/>
                <w:sz w:val="14"/>
              </w:rPr>
            </w:pPr>
          </w:p>
        </w:tc>
        <w:tc>
          <w:tcPr>
            <w:tcW w:w="957" w:type="dxa"/>
            <w:tcBorders>
              <w:top w:val="single" w:sz="4" w:space="0" w:color="231F20"/>
            </w:tcBorders>
            <w:shd w:val="clear" w:color="auto" w:fill="E8F5F1"/>
          </w:tcPr>
          <w:p>
            <w:pPr>
              <w:pStyle w:val="TableParagraph"/>
              <w:spacing w:line="160" w:lineRule="exact" w:before="47"/>
              <w:ind w:left="2" w:right="2"/>
              <w:jc w:val="center"/>
              <w:rPr>
                <w:rFonts w:ascii="Cambria"/>
                <w:sz w:val="15"/>
              </w:rPr>
            </w:pPr>
            <w:r>
              <w:rPr>
                <w:rFonts w:ascii="Cambria"/>
                <w:color w:val="231F20"/>
                <w:spacing w:val="-10"/>
                <w:sz w:val="15"/>
              </w:rPr>
              <w:t>+</w:t>
            </w:r>
          </w:p>
        </w:tc>
        <w:tc>
          <w:tcPr>
            <w:tcW w:w="1125" w:type="dxa"/>
            <w:vMerge w:val="restart"/>
            <w:tcBorders>
              <w:top w:val="single" w:sz="4" w:space="0" w:color="231F20"/>
            </w:tcBorders>
            <w:shd w:val="clear" w:color="auto" w:fill="E8F5F1"/>
          </w:tcPr>
          <w:p>
            <w:pPr>
              <w:pStyle w:val="TableParagraph"/>
              <w:spacing w:line="163" w:lineRule="exact" w:before="47"/>
              <w:ind w:left="71" w:right="71"/>
              <w:jc w:val="center"/>
              <w:rPr>
                <w:rFonts w:ascii="Cambria"/>
                <w:sz w:val="15"/>
              </w:rPr>
            </w:pPr>
            <w:r>
              <w:rPr>
                <w:rFonts w:ascii="Cambria"/>
                <w:color w:val="231F20"/>
                <w:spacing w:val="-10"/>
                <w:sz w:val="15"/>
              </w:rPr>
              <w:t>+</w:t>
            </w:r>
          </w:p>
        </w:tc>
        <w:tc>
          <w:tcPr>
            <w:tcW w:w="852" w:type="dxa"/>
            <w:vMerge w:val="restart"/>
            <w:tcBorders>
              <w:top w:val="single" w:sz="4" w:space="0" w:color="231F20"/>
            </w:tcBorders>
            <w:shd w:val="clear" w:color="auto" w:fill="E8F5F1"/>
          </w:tcPr>
          <w:p>
            <w:pPr>
              <w:pStyle w:val="TableParagraph"/>
              <w:rPr>
                <w:rFonts w:ascii="Times New Roman"/>
                <w:sz w:val="14"/>
              </w:rPr>
            </w:pPr>
          </w:p>
        </w:tc>
      </w:tr>
      <w:tr>
        <w:trPr>
          <w:trHeight w:val="4" w:hRule="exact"/>
        </w:trPr>
        <w:tc>
          <w:tcPr>
            <w:tcW w:w="1148" w:type="dxa"/>
            <w:vMerge/>
            <w:tcBorders>
              <w:top w:val="nil"/>
            </w:tcBorders>
            <w:shd w:val="clear" w:color="auto" w:fill="E8F5F1"/>
          </w:tcPr>
          <w:p>
            <w:pPr>
              <w:rPr>
                <w:sz w:val="2"/>
                <w:szCs w:val="2"/>
              </w:rPr>
            </w:pPr>
          </w:p>
        </w:tc>
        <w:tc>
          <w:tcPr>
            <w:tcW w:w="205" w:type="dxa"/>
            <w:vMerge/>
            <w:tcBorders>
              <w:top w:val="nil"/>
              <w:bottom w:val="single" w:sz="4" w:space="0" w:color="FFFFFF"/>
            </w:tcBorders>
            <w:shd w:val="clear" w:color="auto" w:fill="E8F5F1"/>
          </w:tcPr>
          <w:p>
            <w:pPr>
              <w:rPr>
                <w:sz w:val="2"/>
                <w:szCs w:val="2"/>
              </w:rPr>
            </w:pPr>
          </w:p>
        </w:tc>
        <w:tc>
          <w:tcPr>
            <w:tcW w:w="1974" w:type="dxa"/>
            <w:vMerge w:val="restart"/>
            <w:shd w:val="clear" w:color="auto" w:fill="E8F5F1"/>
          </w:tcPr>
          <w:p>
            <w:pPr>
              <w:pStyle w:val="TableParagraph"/>
              <w:spacing w:line="142" w:lineRule="exact"/>
              <w:ind w:left="74"/>
              <w:rPr>
                <w:sz w:val="15"/>
              </w:rPr>
            </w:pPr>
            <w:r>
              <w:rPr>
                <w:color w:val="231F20"/>
                <w:spacing w:val="-2"/>
                <w:sz w:val="15"/>
              </w:rPr>
              <w:t>Seizures</w:t>
            </w:r>
          </w:p>
        </w:tc>
        <w:tc>
          <w:tcPr>
            <w:tcW w:w="1189" w:type="dxa"/>
            <w:vMerge w:val="restart"/>
            <w:shd w:val="clear" w:color="auto" w:fill="E8F5F1"/>
          </w:tcPr>
          <w:p>
            <w:pPr>
              <w:pStyle w:val="TableParagraph"/>
              <w:spacing w:line="142" w:lineRule="exact"/>
              <w:ind w:left="1" w:right="1"/>
              <w:jc w:val="center"/>
              <w:rPr>
                <w:rFonts w:ascii="Cambria"/>
                <w:sz w:val="15"/>
              </w:rPr>
            </w:pPr>
            <w:r>
              <w:rPr>
                <w:rFonts w:ascii="Cambria"/>
                <w:color w:val="231F20"/>
                <w:spacing w:val="-10"/>
                <w:sz w:val="15"/>
              </w:rPr>
              <w:t>+</w:t>
            </w:r>
          </w:p>
        </w:tc>
        <w:tc>
          <w:tcPr>
            <w:tcW w:w="1195" w:type="dxa"/>
            <w:vMerge w:val="restart"/>
            <w:shd w:val="clear" w:color="auto" w:fill="E8F5F1"/>
          </w:tcPr>
          <w:p>
            <w:pPr>
              <w:pStyle w:val="TableParagraph"/>
              <w:spacing w:line="142" w:lineRule="exact"/>
              <w:ind w:left="2" w:right="2"/>
              <w:jc w:val="center"/>
              <w:rPr>
                <w:rFonts w:ascii="Cambria"/>
                <w:sz w:val="15"/>
              </w:rPr>
            </w:pPr>
            <w:r>
              <w:rPr>
                <w:rFonts w:ascii="Cambria"/>
                <w:color w:val="231F20"/>
                <w:spacing w:val="-10"/>
                <w:sz w:val="15"/>
              </w:rPr>
              <w:t>+</w:t>
            </w:r>
          </w:p>
        </w:tc>
        <w:tc>
          <w:tcPr>
            <w:tcW w:w="1101" w:type="dxa"/>
            <w:vMerge w:val="restart"/>
            <w:shd w:val="clear" w:color="auto" w:fill="E8F5F1"/>
          </w:tcPr>
          <w:p>
            <w:pPr>
              <w:pStyle w:val="TableParagraph"/>
              <w:rPr>
                <w:rFonts w:ascii="Times New Roman"/>
                <w:sz w:val="10"/>
              </w:rPr>
            </w:pPr>
          </w:p>
        </w:tc>
        <w:tc>
          <w:tcPr>
            <w:tcW w:w="957" w:type="dxa"/>
            <w:vMerge w:val="restart"/>
            <w:shd w:val="clear" w:color="auto" w:fill="E8F5F1"/>
          </w:tcPr>
          <w:p>
            <w:pPr>
              <w:pStyle w:val="TableParagraph"/>
              <w:rPr>
                <w:rFonts w:ascii="Times New Roman"/>
                <w:sz w:val="10"/>
              </w:rPr>
            </w:pPr>
          </w:p>
        </w:tc>
        <w:tc>
          <w:tcPr>
            <w:tcW w:w="1125" w:type="dxa"/>
            <w:vMerge/>
            <w:tcBorders>
              <w:top w:val="nil"/>
            </w:tcBorders>
            <w:shd w:val="clear" w:color="auto" w:fill="E8F5F1"/>
          </w:tcPr>
          <w:p>
            <w:pPr>
              <w:rPr>
                <w:sz w:val="2"/>
                <w:szCs w:val="2"/>
              </w:rPr>
            </w:pPr>
          </w:p>
        </w:tc>
        <w:tc>
          <w:tcPr>
            <w:tcW w:w="852" w:type="dxa"/>
            <w:vMerge/>
            <w:tcBorders>
              <w:top w:val="nil"/>
            </w:tcBorders>
            <w:shd w:val="clear" w:color="auto" w:fill="E8F5F1"/>
          </w:tcPr>
          <w:p>
            <w:pPr>
              <w:rPr>
                <w:sz w:val="2"/>
                <w:szCs w:val="2"/>
              </w:rPr>
            </w:pPr>
          </w:p>
        </w:tc>
      </w:tr>
      <w:tr>
        <w:trPr>
          <w:trHeight w:val="157" w:hRule="exact"/>
        </w:trPr>
        <w:tc>
          <w:tcPr>
            <w:tcW w:w="1148" w:type="dxa"/>
            <w:shd w:val="clear" w:color="auto" w:fill="E8F5F1"/>
          </w:tcPr>
          <w:p>
            <w:pPr>
              <w:pStyle w:val="TableParagraph"/>
              <w:rPr>
                <w:rFonts w:ascii="Times New Roman"/>
                <w:sz w:val="10"/>
              </w:rPr>
            </w:pPr>
          </w:p>
        </w:tc>
        <w:tc>
          <w:tcPr>
            <w:tcW w:w="205" w:type="dxa"/>
            <w:vMerge/>
            <w:tcBorders>
              <w:top w:val="nil"/>
              <w:bottom w:val="single" w:sz="4" w:space="0" w:color="FFFFFF"/>
            </w:tcBorders>
            <w:shd w:val="clear" w:color="auto" w:fill="E8F5F1"/>
          </w:tcPr>
          <w:p>
            <w:pPr>
              <w:rPr>
                <w:sz w:val="2"/>
                <w:szCs w:val="2"/>
              </w:rPr>
            </w:pPr>
          </w:p>
        </w:tc>
        <w:tc>
          <w:tcPr>
            <w:tcW w:w="1974" w:type="dxa"/>
            <w:vMerge/>
            <w:tcBorders>
              <w:top w:val="nil"/>
            </w:tcBorders>
            <w:shd w:val="clear" w:color="auto" w:fill="E8F5F1"/>
          </w:tcPr>
          <w:p>
            <w:pPr>
              <w:rPr>
                <w:sz w:val="2"/>
                <w:szCs w:val="2"/>
              </w:rPr>
            </w:pPr>
          </w:p>
        </w:tc>
        <w:tc>
          <w:tcPr>
            <w:tcW w:w="1189" w:type="dxa"/>
            <w:vMerge/>
            <w:tcBorders>
              <w:top w:val="nil"/>
            </w:tcBorders>
            <w:shd w:val="clear" w:color="auto" w:fill="E8F5F1"/>
          </w:tcPr>
          <w:p>
            <w:pPr>
              <w:rPr>
                <w:sz w:val="2"/>
                <w:szCs w:val="2"/>
              </w:rPr>
            </w:pPr>
          </w:p>
        </w:tc>
        <w:tc>
          <w:tcPr>
            <w:tcW w:w="1195" w:type="dxa"/>
            <w:vMerge/>
            <w:tcBorders>
              <w:top w:val="nil"/>
            </w:tcBorders>
            <w:shd w:val="clear" w:color="auto" w:fill="E8F5F1"/>
          </w:tcPr>
          <w:p>
            <w:pPr>
              <w:rPr>
                <w:sz w:val="2"/>
                <w:szCs w:val="2"/>
              </w:rPr>
            </w:pPr>
          </w:p>
        </w:tc>
        <w:tc>
          <w:tcPr>
            <w:tcW w:w="1101" w:type="dxa"/>
            <w:vMerge/>
            <w:tcBorders>
              <w:top w:val="nil"/>
            </w:tcBorders>
            <w:shd w:val="clear" w:color="auto" w:fill="E8F5F1"/>
          </w:tcPr>
          <w:p>
            <w:pPr>
              <w:rPr>
                <w:sz w:val="2"/>
                <w:szCs w:val="2"/>
              </w:rPr>
            </w:pPr>
          </w:p>
        </w:tc>
        <w:tc>
          <w:tcPr>
            <w:tcW w:w="957" w:type="dxa"/>
            <w:vMerge/>
            <w:tcBorders>
              <w:top w:val="nil"/>
            </w:tcBorders>
            <w:shd w:val="clear" w:color="auto" w:fill="E8F5F1"/>
          </w:tcPr>
          <w:p>
            <w:pPr>
              <w:rPr>
                <w:sz w:val="2"/>
                <w:szCs w:val="2"/>
              </w:rPr>
            </w:pPr>
          </w:p>
        </w:tc>
        <w:tc>
          <w:tcPr>
            <w:tcW w:w="1125" w:type="dxa"/>
            <w:shd w:val="clear" w:color="auto" w:fill="E8F5F1"/>
          </w:tcPr>
          <w:p>
            <w:pPr>
              <w:pStyle w:val="TableParagraph"/>
              <w:rPr>
                <w:rFonts w:ascii="Times New Roman"/>
                <w:sz w:val="10"/>
              </w:rPr>
            </w:pPr>
          </w:p>
        </w:tc>
        <w:tc>
          <w:tcPr>
            <w:tcW w:w="852" w:type="dxa"/>
            <w:shd w:val="clear" w:color="auto" w:fill="E8F5F1"/>
          </w:tcPr>
          <w:p>
            <w:pPr>
              <w:pStyle w:val="TableParagraph"/>
              <w:rPr>
                <w:rFonts w:ascii="Times New Roman"/>
                <w:sz w:val="10"/>
              </w:rPr>
            </w:pPr>
          </w:p>
        </w:tc>
      </w:tr>
      <w:tr>
        <w:trPr>
          <w:trHeight w:val="182" w:hRule="exact"/>
        </w:trPr>
        <w:tc>
          <w:tcPr>
            <w:tcW w:w="1148" w:type="dxa"/>
            <w:vMerge w:val="restart"/>
            <w:shd w:val="clear" w:color="auto" w:fill="E8F5F1"/>
          </w:tcPr>
          <w:p>
            <w:pPr>
              <w:pStyle w:val="TableParagraph"/>
              <w:rPr>
                <w:rFonts w:ascii="Times New Roman"/>
                <w:sz w:val="12"/>
              </w:rPr>
            </w:pPr>
          </w:p>
        </w:tc>
        <w:tc>
          <w:tcPr>
            <w:tcW w:w="205" w:type="dxa"/>
            <w:vMerge/>
            <w:tcBorders>
              <w:top w:val="nil"/>
              <w:bottom w:val="single" w:sz="4" w:space="0" w:color="FFFFFF"/>
            </w:tcBorders>
            <w:shd w:val="clear" w:color="auto" w:fill="E8F5F1"/>
          </w:tcPr>
          <w:p>
            <w:pPr>
              <w:rPr>
                <w:sz w:val="2"/>
                <w:szCs w:val="2"/>
              </w:rPr>
            </w:pPr>
          </w:p>
        </w:tc>
        <w:tc>
          <w:tcPr>
            <w:tcW w:w="1974" w:type="dxa"/>
            <w:shd w:val="clear" w:color="auto" w:fill="E8F5F1"/>
          </w:tcPr>
          <w:p>
            <w:pPr>
              <w:pStyle w:val="TableParagraph"/>
              <w:spacing w:line="161" w:lineRule="exact" w:before="1"/>
              <w:ind w:left="75"/>
              <w:rPr>
                <w:sz w:val="15"/>
              </w:rPr>
            </w:pPr>
            <w:r>
              <w:rPr>
                <w:color w:val="231F20"/>
                <w:spacing w:val="-2"/>
                <w:sz w:val="15"/>
              </w:rPr>
              <w:t>Ataxia</w:t>
            </w:r>
          </w:p>
        </w:tc>
        <w:tc>
          <w:tcPr>
            <w:tcW w:w="1189" w:type="dxa"/>
            <w:shd w:val="clear" w:color="auto" w:fill="E8F5F1"/>
          </w:tcPr>
          <w:p>
            <w:pPr>
              <w:pStyle w:val="TableParagraph"/>
              <w:spacing w:line="160" w:lineRule="exact" w:before="2"/>
              <w:ind w:left="2" w:right="2"/>
              <w:jc w:val="center"/>
              <w:rPr>
                <w:rFonts w:ascii="Cambria"/>
                <w:sz w:val="15"/>
              </w:rPr>
            </w:pPr>
            <w:r>
              <w:rPr>
                <w:rFonts w:ascii="Cambria"/>
                <w:color w:val="231F20"/>
                <w:spacing w:val="-10"/>
                <w:sz w:val="15"/>
              </w:rPr>
              <w:t>+</w:t>
            </w:r>
          </w:p>
        </w:tc>
        <w:tc>
          <w:tcPr>
            <w:tcW w:w="1195" w:type="dxa"/>
            <w:shd w:val="clear" w:color="auto" w:fill="E8F5F1"/>
          </w:tcPr>
          <w:p>
            <w:pPr>
              <w:pStyle w:val="TableParagraph"/>
              <w:spacing w:line="161" w:lineRule="exact" w:before="2"/>
              <w:ind w:left="2" w:right="2"/>
              <w:jc w:val="center"/>
              <w:rPr>
                <w:rFonts w:ascii="Cambria"/>
                <w:sz w:val="15"/>
              </w:rPr>
            </w:pPr>
            <w:r>
              <w:rPr>
                <w:rFonts w:ascii="Cambria"/>
                <w:color w:val="231F20"/>
                <w:spacing w:val="-10"/>
                <w:sz w:val="15"/>
              </w:rPr>
              <w:t>+</w:t>
            </w:r>
          </w:p>
        </w:tc>
        <w:tc>
          <w:tcPr>
            <w:tcW w:w="1101" w:type="dxa"/>
            <w:vMerge w:val="restart"/>
            <w:shd w:val="clear" w:color="auto" w:fill="E8F5F1"/>
          </w:tcPr>
          <w:p>
            <w:pPr>
              <w:pStyle w:val="TableParagraph"/>
              <w:spacing w:line="165" w:lineRule="exact" w:before="2"/>
              <w:ind w:left="2" w:right="2"/>
              <w:jc w:val="center"/>
              <w:rPr>
                <w:rFonts w:ascii="Cambria"/>
                <w:sz w:val="15"/>
              </w:rPr>
            </w:pPr>
            <w:r>
              <w:rPr>
                <w:rFonts w:ascii="Cambria"/>
                <w:color w:val="231F20"/>
                <w:spacing w:val="-10"/>
                <w:sz w:val="15"/>
              </w:rPr>
              <w:t>+</w:t>
            </w:r>
          </w:p>
        </w:tc>
        <w:tc>
          <w:tcPr>
            <w:tcW w:w="957" w:type="dxa"/>
            <w:vMerge w:val="restart"/>
            <w:shd w:val="clear" w:color="auto" w:fill="E8F5F1"/>
          </w:tcPr>
          <w:p>
            <w:pPr>
              <w:pStyle w:val="TableParagraph"/>
              <w:spacing w:line="165" w:lineRule="exact" w:before="2"/>
              <w:ind w:left="2" w:right="1"/>
              <w:jc w:val="center"/>
              <w:rPr>
                <w:rFonts w:ascii="Cambria"/>
                <w:sz w:val="15"/>
              </w:rPr>
            </w:pPr>
            <w:r>
              <w:rPr>
                <w:rFonts w:ascii="Cambria"/>
                <w:color w:val="231F20"/>
                <w:spacing w:val="-10"/>
                <w:sz w:val="15"/>
              </w:rPr>
              <w:t>+</w:t>
            </w:r>
          </w:p>
        </w:tc>
        <w:tc>
          <w:tcPr>
            <w:tcW w:w="1125" w:type="dxa"/>
            <w:vMerge w:val="restart"/>
            <w:shd w:val="clear" w:color="auto" w:fill="E8F5F1"/>
          </w:tcPr>
          <w:p>
            <w:pPr>
              <w:pStyle w:val="TableParagraph"/>
              <w:rPr>
                <w:rFonts w:ascii="Times New Roman"/>
                <w:sz w:val="12"/>
              </w:rPr>
            </w:pPr>
          </w:p>
        </w:tc>
        <w:tc>
          <w:tcPr>
            <w:tcW w:w="852" w:type="dxa"/>
            <w:vMerge w:val="restart"/>
            <w:shd w:val="clear" w:color="auto" w:fill="E8F5F1"/>
          </w:tcPr>
          <w:p>
            <w:pPr>
              <w:pStyle w:val="TableParagraph"/>
              <w:rPr>
                <w:rFonts w:ascii="Times New Roman"/>
                <w:sz w:val="12"/>
              </w:rPr>
            </w:pPr>
          </w:p>
        </w:tc>
      </w:tr>
      <w:tr>
        <w:trPr>
          <w:trHeight w:val="4" w:hRule="exact"/>
        </w:trPr>
        <w:tc>
          <w:tcPr>
            <w:tcW w:w="1148" w:type="dxa"/>
            <w:vMerge/>
            <w:tcBorders>
              <w:top w:val="nil"/>
            </w:tcBorders>
            <w:shd w:val="clear" w:color="auto" w:fill="E8F5F1"/>
          </w:tcPr>
          <w:p>
            <w:pPr>
              <w:rPr>
                <w:sz w:val="2"/>
                <w:szCs w:val="2"/>
              </w:rPr>
            </w:pPr>
          </w:p>
        </w:tc>
        <w:tc>
          <w:tcPr>
            <w:tcW w:w="205" w:type="dxa"/>
            <w:vMerge/>
            <w:tcBorders>
              <w:top w:val="nil"/>
              <w:bottom w:val="single" w:sz="4" w:space="0" w:color="FFFFFF"/>
            </w:tcBorders>
            <w:shd w:val="clear" w:color="auto" w:fill="E8F5F1"/>
          </w:tcPr>
          <w:p>
            <w:pPr>
              <w:rPr>
                <w:sz w:val="2"/>
                <w:szCs w:val="2"/>
              </w:rPr>
            </w:pPr>
          </w:p>
        </w:tc>
        <w:tc>
          <w:tcPr>
            <w:tcW w:w="1974" w:type="dxa"/>
            <w:vMerge w:val="restart"/>
            <w:shd w:val="clear" w:color="auto" w:fill="E8F5F1"/>
          </w:tcPr>
          <w:p>
            <w:pPr>
              <w:pStyle w:val="TableParagraph"/>
              <w:spacing w:line="146" w:lineRule="exact"/>
              <w:ind w:left="75"/>
              <w:rPr>
                <w:sz w:val="15"/>
              </w:rPr>
            </w:pPr>
            <w:r>
              <w:rPr>
                <w:color w:val="231F20"/>
                <w:spacing w:val="-2"/>
                <w:sz w:val="15"/>
              </w:rPr>
              <w:t>Cortical</w:t>
            </w:r>
            <w:r>
              <w:rPr>
                <w:color w:val="231F20"/>
                <w:spacing w:val="1"/>
                <w:sz w:val="15"/>
              </w:rPr>
              <w:t> </w:t>
            </w:r>
            <w:r>
              <w:rPr>
                <w:color w:val="231F20"/>
                <w:spacing w:val="-2"/>
                <w:sz w:val="15"/>
              </w:rPr>
              <w:t>blindness</w:t>
            </w:r>
          </w:p>
        </w:tc>
        <w:tc>
          <w:tcPr>
            <w:tcW w:w="1189" w:type="dxa"/>
            <w:vMerge w:val="restart"/>
            <w:shd w:val="clear" w:color="auto" w:fill="E8F5F1"/>
          </w:tcPr>
          <w:p>
            <w:pPr>
              <w:pStyle w:val="TableParagraph"/>
              <w:spacing w:line="146" w:lineRule="exact"/>
              <w:ind w:left="1" w:right="1"/>
              <w:jc w:val="center"/>
              <w:rPr>
                <w:rFonts w:ascii="Cambria"/>
                <w:sz w:val="15"/>
              </w:rPr>
            </w:pPr>
            <w:r>
              <w:rPr>
                <w:rFonts w:ascii="Cambria"/>
                <w:color w:val="231F20"/>
                <w:spacing w:val="-10"/>
                <w:sz w:val="15"/>
              </w:rPr>
              <w:t>+</w:t>
            </w:r>
          </w:p>
        </w:tc>
        <w:tc>
          <w:tcPr>
            <w:tcW w:w="1195" w:type="dxa"/>
            <w:vMerge w:val="restart"/>
            <w:shd w:val="clear" w:color="auto" w:fill="E8F5F1"/>
          </w:tcPr>
          <w:p>
            <w:pPr>
              <w:pStyle w:val="TableParagraph"/>
              <w:rPr>
                <w:rFonts w:ascii="Times New Roman"/>
                <w:sz w:val="10"/>
              </w:rPr>
            </w:pPr>
          </w:p>
        </w:tc>
        <w:tc>
          <w:tcPr>
            <w:tcW w:w="1101" w:type="dxa"/>
            <w:vMerge/>
            <w:tcBorders>
              <w:top w:val="nil"/>
            </w:tcBorders>
            <w:shd w:val="clear" w:color="auto" w:fill="E8F5F1"/>
          </w:tcPr>
          <w:p>
            <w:pPr>
              <w:rPr>
                <w:sz w:val="2"/>
                <w:szCs w:val="2"/>
              </w:rPr>
            </w:pPr>
          </w:p>
        </w:tc>
        <w:tc>
          <w:tcPr>
            <w:tcW w:w="957" w:type="dxa"/>
            <w:vMerge/>
            <w:tcBorders>
              <w:top w:val="nil"/>
            </w:tcBorders>
            <w:shd w:val="clear" w:color="auto" w:fill="E8F5F1"/>
          </w:tcPr>
          <w:p>
            <w:pPr>
              <w:rPr>
                <w:sz w:val="2"/>
                <w:szCs w:val="2"/>
              </w:rPr>
            </w:pPr>
          </w:p>
        </w:tc>
        <w:tc>
          <w:tcPr>
            <w:tcW w:w="1125" w:type="dxa"/>
            <w:vMerge/>
            <w:tcBorders>
              <w:top w:val="nil"/>
            </w:tcBorders>
            <w:shd w:val="clear" w:color="auto" w:fill="E8F5F1"/>
          </w:tcPr>
          <w:p>
            <w:pPr>
              <w:rPr>
                <w:sz w:val="2"/>
                <w:szCs w:val="2"/>
              </w:rPr>
            </w:pPr>
          </w:p>
        </w:tc>
        <w:tc>
          <w:tcPr>
            <w:tcW w:w="852" w:type="dxa"/>
            <w:vMerge/>
            <w:tcBorders>
              <w:top w:val="nil"/>
            </w:tcBorders>
            <w:shd w:val="clear" w:color="auto" w:fill="E8F5F1"/>
          </w:tcPr>
          <w:p>
            <w:pPr>
              <w:rPr>
                <w:sz w:val="2"/>
                <w:szCs w:val="2"/>
              </w:rPr>
            </w:pPr>
          </w:p>
        </w:tc>
      </w:tr>
      <w:tr>
        <w:trPr>
          <w:trHeight w:val="161" w:hRule="exact"/>
        </w:trPr>
        <w:tc>
          <w:tcPr>
            <w:tcW w:w="1148" w:type="dxa"/>
            <w:shd w:val="clear" w:color="auto" w:fill="E8F5F1"/>
          </w:tcPr>
          <w:p>
            <w:pPr>
              <w:pStyle w:val="TableParagraph"/>
              <w:rPr>
                <w:rFonts w:ascii="Times New Roman"/>
                <w:sz w:val="10"/>
              </w:rPr>
            </w:pPr>
          </w:p>
        </w:tc>
        <w:tc>
          <w:tcPr>
            <w:tcW w:w="205" w:type="dxa"/>
            <w:vMerge/>
            <w:tcBorders>
              <w:top w:val="nil"/>
              <w:bottom w:val="single" w:sz="4" w:space="0" w:color="FFFFFF"/>
            </w:tcBorders>
            <w:shd w:val="clear" w:color="auto" w:fill="E8F5F1"/>
          </w:tcPr>
          <w:p>
            <w:pPr>
              <w:rPr>
                <w:sz w:val="2"/>
                <w:szCs w:val="2"/>
              </w:rPr>
            </w:pPr>
          </w:p>
        </w:tc>
        <w:tc>
          <w:tcPr>
            <w:tcW w:w="1974" w:type="dxa"/>
            <w:vMerge/>
            <w:tcBorders>
              <w:top w:val="nil"/>
            </w:tcBorders>
            <w:shd w:val="clear" w:color="auto" w:fill="E8F5F1"/>
          </w:tcPr>
          <w:p>
            <w:pPr>
              <w:rPr>
                <w:sz w:val="2"/>
                <w:szCs w:val="2"/>
              </w:rPr>
            </w:pPr>
          </w:p>
        </w:tc>
        <w:tc>
          <w:tcPr>
            <w:tcW w:w="1189" w:type="dxa"/>
            <w:vMerge/>
            <w:tcBorders>
              <w:top w:val="nil"/>
            </w:tcBorders>
            <w:shd w:val="clear" w:color="auto" w:fill="E8F5F1"/>
          </w:tcPr>
          <w:p>
            <w:pPr>
              <w:rPr>
                <w:sz w:val="2"/>
                <w:szCs w:val="2"/>
              </w:rPr>
            </w:pPr>
          </w:p>
        </w:tc>
        <w:tc>
          <w:tcPr>
            <w:tcW w:w="1195" w:type="dxa"/>
            <w:vMerge/>
            <w:tcBorders>
              <w:top w:val="nil"/>
            </w:tcBorders>
            <w:shd w:val="clear" w:color="auto" w:fill="E8F5F1"/>
          </w:tcPr>
          <w:p>
            <w:pPr>
              <w:rPr>
                <w:sz w:val="2"/>
                <w:szCs w:val="2"/>
              </w:rPr>
            </w:pPr>
          </w:p>
        </w:tc>
        <w:tc>
          <w:tcPr>
            <w:tcW w:w="1101" w:type="dxa"/>
            <w:shd w:val="clear" w:color="auto" w:fill="E8F5F1"/>
          </w:tcPr>
          <w:p>
            <w:pPr>
              <w:pStyle w:val="TableParagraph"/>
              <w:rPr>
                <w:rFonts w:ascii="Times New Roman"/>
                <w:sz w:val="10"/>
              </w:rPr>
            </w:pPr>
          </w:p>
        </w:tc>
        <w:tc>
          <w:tcPr>
            <w:tcW w:w="957" w:type="dxa"/>
            <w:shd w:val="clear" w:color="auto" w:fill="E8F5F1"/>
          </w:tcPr>
          <w:p>
            <w:pPr>
              <w:pStyle w:val="TableParagraph"/>
              <w:rPr>
                <w:rFonts w:ascii="Times New Roman"/>
                <w:sz w:val="10"/>
              </w:rPr>
            </w:pPr>
          </w:p>
        </w:tc>
        <w:tc>
          <w:tcPr>
            <w:tcW w:w="1125" w:type="dxa"/>
            <w:shd w:val="clear" w:color="auto" w:fill="E8F5F1"/>
          </w:tcPr>
          <w:p>
            <w:pPr>
              <w:pStyle w:val="TableParagraph"/>
              <w:rPr>
                <w:rFonts w:ascii="Times New Roman"/>
                <w:sz w:val="10"/>
              </w:rPr>
            </w:pPr>
          </w:p>
        </w:tc>
        <w:tc>
          <w:tcPr>
            <w:tcW w:w="852" w:type="dxa"/>
            <w:shd w:val="clear" w:color="auto" w:fill="E8F5F1"/>
          </w:tcPr>
          <w:p>
            <w:pPr>
              <w:pStyle w:val="TableParagraph"/>
              <w:rPr>
                <w:rFonts w:ascii="Times New Roman"/>
                <w:sz w:val="10"/>
              </w:rPr>
            </w:pPr>
          </w:p>
        </w:tc>
      </w:tr>
      <w:tr>
        <w:trPr>
          <w:trHeight w:val="177" w:hRule="exact"/>
        </w:trPr>
        <w:tc>
          <w:tcPr>
            <w:tcW w:w="1148" w:type="dxa"/>
            <w:shd w:val="clear" w:color="auto" w:fill="E8F5F1"/>
          </w:tcPr>
          <w:p>
            <w:pPr>
              <w:pStyle w:val="TableParagraph"/>
              <w:rPr>
                <w:rFonts w:ascii="Times New Roman"/>
                <w:sz w:val="10"/>
              </w:rPr>
            </w:pPr>
          </w:p>
        </w:tc>
        <w:tc>
          <w:tcPr>
            <w:tcW w:w="205" w:type="dxa"/>
            <w:vMerge/>
            <w:tcBorders>
              <w:top w:val="nil"/>
              <w:bottom w:val="single" w:sz="4" w:space="0" w:color="FFFFFF"/>
            </w:tcBorders>
            <w:shd w:val="clear" w:color="auto" w:fill="E8F5F1"/>
          </w:tcPr>
          <w:p>
            <w:pPr>
              <w:rPr>
                <w:sz w:val="2"/>
                <w:szCs w:val="2"/>
              </w:rPr>
            </w:pPr>
          </w:p>
        </w:tc>
        <w:tc>
          <w:tcPr>
            <w:tcW w:w="1974" w:type="dxa"/>
            <w:shd w:val="clear" w:color="auto" w:fill="E8F5F1"/>
          </w:tcPr>
          <w:p>
            <w:pPr>
              <w:pStyle w:val="TableParagraph"/>
              <w:spacing w:line="157" w:lineRule="exact"/>
              <w:ind w:left="75"/>
              <w:rPr>
                <w:sz w:val="15"/>
              </w:rPr>
            </w:pPr>
            <w:r>
              <w:rPr>
                <w:color w:val="231F20"/>
                <w:spacing w:val="-2"/>
                <w:sz w:val="15"/>
              </w:rPr>
              <w:t>Deafness</w:t>
            </w:r>
          </w:p>
        </w:tc>
        <w:tc>
          <w:tcPr>
            <w:tcW w:w="1189" w:type="dxa"/>
            <w:shd w:val="clear" w:color="auto" w:fill="E8F5F1"/>
          </w:tcPr>
          <w:p>
            <w:pPr>
              <w:pStyle w:val="TableParagraph"/>
              <w:spacing w:line="157" w:lineRule="exact"/>
              <w:ind w:left="2" w:right="2"/>
              <w:jc w:val="center"/>
              <w:rPr>
                <w:rFonts w:ascii="Cambria"/>
                <w:sz w:val="15"/>
              </w:rPr>
            </w:pPr>
            <w:r>
              <w:rPr>
                <w:rFonts w:ascii="Cambria"/>
                <w:color w:val="231F20"/>
                <w:spacing w:val="-10"/>
                <w:sz w:val="15"/>
              </w:rPr>
              <w:t>+</w:t>
            </w:r>
          </w:p>
        </w:tc>
        <w:tc>
          <w:tcPr>
            <w:tcW w:w="1195" w:type="dxa"/>
            <w:shd w:val="clear" w:color="auto" w:fill="E8F5F1"/>
          </w:tcPr>
          <w:p>
            <w:pPr>
              <w:pStyle w:val="TableParagraph"/>
              <w:rPr>
                <w:rFonts w:ascii="Times New Roman"/>
                <w:sz w:val="10"/>
              </w:rPr>
            </w:pPr>
          </w:p>
        </w:tc>
        <w:tc>
          <w:tcPr>
            <w:tcW w:w="1101" w:type="dxa"/>
            <w:shd w:val="clear" w:color="auto" w:fill="E8F5F1"/>
          </w:tcPr>
          <w:p>
            <w:pPr>
              <w:pStyle w:val="TableParagraph"/>
              <w:spacing w:line="157" w:lineRule="exact"/>
              <w:ind w:left="2" w:right="2"/>
              <w:jc w:val="center"/>
              <w:rPr>
                <w:rFonts w:ascii="Cambria"/>
                <w:sz w:val="15"/>
              </w:rPr>
            </w:pPr>
            <w:r>
              <w:rPr>
                <w:rFonts w:ascii="Cambria"/>
                <w:color w:val="231F20"/>
                <w:spacing w:val="-10"/>
                <w:sz w:val="15"/>
              </w:rPr>
              <w:t>+</w:t>
            </w:r>
          </w:p>
        </w:tc>
        <w:tc>
          <w:tcPr>
            <w:tcW w:w="957" w:type="dxa"/>
            <w:shd w:val="clear" w:color="auto" w:fill="E8F5F1"/>
          </w:tcPr>
          <w:p>
            <w:pPr>
              <w:pStyle w:val="TableParagraph"/>
              <w:rPr>
                <w:rFonts w:ascii="Times New Roman"/>
                <w:sz w:val="10"/>
              </w:rPr>
            </w:pPr>
          </w:p>
        </w:tc>
        <w:tc>
          <w:tcPr>
            <w:tcW w:w="1125" w:type="dxa"/>
            <w:shd w:val="clear" w:color="auto" w:fill="E8F5F1"/>
          </w:tcPr>
          <w:p>
            <w:pPr>
              <w:pStyle w:val="TableParagraph"/>
              <w:rPr>
                <w:rFonts w:ascii="Times New Roman"/>
                <w:sz w:val="10"/>
              </w:rPr>
            </w:pPr>
          </w:p>
        </w:tc>
        <w:tc>
          <w:tcPr>
            <w:tcW w:w="852" w:type="dxa"/>
            <w:shd w:val="clear" w:color="auto" w:fill="E8F5F1"/>
          </w:tcPr>
          <w:p>
            <w:pPr>
              <w:pStyle w:val="TableParagraph"/>
              <w:rPr>
                <w:rFonts w:ascii="Times New Roman"/>
                <w:sz w:val="10"/>
              </w:rPr>
            </w:pPr>
          </w:p>
        </w:tc>
      </w:tr>
      <w:tr>
        <w:trPr>
          <w:trHeight w:val="165" w:hRule="exact"/>
        </w:trPr>
        <w:tc>
          <w:tcPr>
            <w:tcW w:w="1148" w:type="dxa"/>
            <w:shd w:val="clear" w:color="auto" w:fill="E8F5F1"/>
          </w:tcPr>
          <w:p>
            <w:pPr>
              <w:pStyle w:val="TableParagraph"/>
              <w:rPr>
                <w:rFonts w:ascii="Times New Roman"/>
                <w:sz w:val="10"/>
              </w:rPr>
            </w:pPr>
          </w:p>
        </w:tc>
        <w:tc>
          <w:tcPr>
            <w:tcW w:w="205" w:type="dxa"/>
            <w:vMerge/>
            <w:tcBorders>
              <w:top w:val="nil"/>
              <w:bottom w:val="single" w:sz="4" w:space="0" w:color="FFFFFF"/>
            </w:tcBorders>
            <w:shd w:val="clear" w:color="auto" w:fill="E8F5F1"/>
          </w:tcPr>
          <w:p>
            <w:pPr>
              <w:rPr>
                <w:sz w:val="2"/>
                <w:szCs w:val="2"/>
              </w:rPr>
            </w:pPr>
          </w:p>
        </w:tc>
        <w:tc>
          <w:tcPr>
            <w:tcW w:w="1974" w:type="dxa"/>
            <w:shd w:val="clear" w:color="auto" w:fill="E8F5F1"/>
          </w:tcPr>
          <w:p>
            <w:pPr>
              <w:pStyle w:val="TableParagraph"/>
              <w:spacing w:line="147" w:lineRule="exact"/>
              <w:ind w:left="75"/>
              <w:rPr>
                <w:sz w:val="15"/>
              </w:rPr>
            </w:pPr>
            <w:r>
              <w:rPr>
                <w:color w:val="231F20"/>
                <w:spacing w:val="-2"/>
                <w:w w:val="105"/>
                <w:sz w:val="15"/>
              </w:rPr>
              <w:t>Migraine</w:t>
            </w:r>
          </w:p>
        </w:tc>
        <w:tc>
          <w:tcPr>
            <w:tcW w:w="1189" w:type="dxa"/>
            <w:shd w:val="clear" w:color="auto" w:fill="E8F5F1"/>
          </w:tcPr>
          <w:p>
            <w:pPr>
              <w:pStyle w:val="TableParagraph"/>
              <w:spacing w:line="147" w:lineRule="exact"/>
              <w:ind w:left="2" w:right="2"/>
              <w:jc w:val="center"/>
              <w:rPr>
                <w:rFonts w:ascii="Cambria"/>
                <w:sz w:val="15"/>
              </w:rPr>
            </w:pPr>
            <w:r>
              <w:rPr>
                <w:rFonts w:ascii="Cambria"/>
                <w:color w:val="231F20"/>
                <w:spacing w:val="-10"/>
                <w:sz w:val="15"/>
              </w:rPr>
              <w:t>+</w:t>
            </w:r>
          </w:p>
        </w:tc>
        <w:tc>
          <w:tcPr>
            <w:tcW w:w="1195" w:type="dxa"/>
            <w:shd w:val="clear" w:color="auto" w:fill="E8F5F1"/>
          </w:tcPr>
          <w:p>
            <w:pPr>
              <w:pStyle w:val="TableParagraph"/>
              <w:rPr>
                <w:rFonts w:ascii="Times New Roman"/>
                <w:sz w:val="10"/>
              </w:rPr>
            </w:pPr>
          </w:p>
        </w:tc>
        <w:tc>
          <w:tcPr>
            <w:tcW w:w="1101" w:type="dxa"/>
            <w:shd w:val="clear" w:color="auto" w:fill="E8F5F1"/>
          </w:tcPr>
          <w:p>
            <w:pPr>
              <w:pStyle w:val="TableParagraph"/>
              <w:rPr>
                <w:rFonts w:ascii="Times New Roman"/>
                <w:sz w:val="10"/>
              </w:rPr>
            </w:pPr>
          </w:p>
        </w:tc>
        <w:tc>
          <w:tcPr>
            <w:tcW w:w="957" w:type="dxa"/>
            <w:shd w:val="clear" w:color="auto" w:fill="E8F5F1"/>
          </w:tcPr>
          <w:p>
            <w:pPr>
              <w:pStyle w:val="TableParagraph"/>
              <w:rPr>
                <w:rFonts w:ascii="Times New Roman"/>
                <w:sz w:val="10"/>
              </w:rPr>
            </w:pPr>
          </w:p>
        </w:tc>
        <w:tc>
          <w:tcPr>
            <w:tcW w:w="1125" w:type="dxa"/>
            <w:shd w:val="clear" w:color="auto" w:fill="E8F5F1"/>
          </w:tcPr>
          <w:p>
            <w:pPr>
              <w:pStyle w:val="TableParagraph"/>
              <w:rPr>
                <w:rFonts w:ascii="Times New Roman"/>
                <w:sz w:val="10"/>
              </w:rPr>
            </w:pPr>
          </w:p>
        </w:tc>
        <w:tc>
          <w:tcPr>
            <w:tcW w:w="852" w:type="dxa"/>
            <w:shd w:val="clear" w:color="auto" w:fill="E8F5F1"/>
          </w:tcPr>
          <w:p>
            <w:pPr>
              <w:pStyle w:val="TableParagraph"/>
              <w:rPr>
                <w:rFonts w:ascii="Times New Roman"/>
                <w:sz w:val="10"/>
              </w:rPr>
            </w:pPr>
          </w:p>
        </w:tc>
      </w:tr>
      <w:tr>
        <w:trPr>
          <w:trHeight w:val="171" w:hRule="exact"/>
        </w:trPr>
        <w:tc>
          <w:tcPr>
            <w:tcW w:w="1148" w:type="dxa"/>
            <w:shd w:val="clear" w:color="auto" w:fill="E8F5F1"/>
          </w:tcPr>
          <w:p>
            <w:pPr>
              <w:pStyle w:val="TableParagraph"/>
              <w:rPr>
                <w:rFonts w:ascii="Times New Roman"/>
                <w:sz w:val="10"/>
              </w:rPr>
            </w:pPr>
          </w:p>
        </w:tc>
        <w:tc>
          <w:tcPr>
            <w:tcW w:w="205" w:type="dxa"/>
            <w:vMerge/>
            <w:tcBorders>
              <w:top w:val="nil"/>
              <w:bottom w:val="single" w:sz="4" w:space="0" w:color="FFFFFF"/>
            </w:tcBorders>
            <w:shd w:val="clear" w:color="auto" w:fill="E8F5F1"/>
          </w:tcPr>
          <w:p>
            <w:pPr>
              <w:rPr>
                <w:sz w:val="2"/>
                <w:szCs w:val="2"/>
              </w:rPr>
            </w:pPr>
          </w:p>
        </w:tc>
        <w:tc>
          <w:tcPr>
            <w:tcW w:w="1974" w:type="dxa"/>
            <w:shd w:val="clear" w:color="auto" w:fill="E8F5F1"/>
          </w:tcPr>
          <w:p>
            <w:pPr>
              <w:pStyle w:val="TableParagraph"/>
              <w:spacing w:line="152" w:lineRule="exact"/>
              <w:ind w:left="75"/>
              <w:rPr>
                <w:sz w:val="15"/>
              </w:rPr>
            </w:pPr>
            <w:r>
              <w:rPr>
                <w:color w:val="231F20"/>
                <w:spacing w:val="-2"/>
                <w:sz w:val="15"/>
              </w:rPr>
              <w:t>Hemiparesis</w:t>
            </w:r>
          </w:p>
        </w:tc>
        <w:tc>
          <w:tcPr>
            <w:tcW w:w="1189" w:type="dxa"/>
            <w:shd w:val="clear" w:color="auto" w:fill="E8F5F1"/>
          </w:tcPr>
          <w:p>
            <w:pPr>
              <w:pStyle w:val="TableParagraph"/>
              <w:spacing w:line="152" w:lineRule="exact"/>
              <w:ind w:left="2" w:right="2"/>
              <w:jc w:val="center"/>
              <w:rPr>
                <w:rFonts w:ascii="Cambria"/>
                <w:sz w:val="15"/>
              </w:rPr>
            </w:pPr>
            <w:r>
              <w:rPr>
                <w:rFonts w:ascii="Cambria"/>
                <w:color w:val="231F20"/>
                <w:spacing w:val="-10"/>
                <w:sz w:val="15"/>
              </w:rPr>
              <w:t>+</w:t>
            </w:r>
          </w:p>
        </w:tc>
        <w:tc>
          <w:tcPr>
            <w:tcW w:w="1195" w:type="dxa"/>
            <w:shd w:val="clear" w:color="auto" w:fill="E8F5F1"/>
          </w:tcPr>
          <w:p>
            <w:pPr>
              <w:pStyle w:val="TableParagraph"/>
              <w:rPr>
                <w:rFonts w:ascii="Times New Roman"/>
                <w:sz w:val="10"/>
              </w:rPr>
            </w:pPr>
          </w:p>
        </w:tc>
        <w:tc>
          <w:tcPr>
            <w:tcW w:w="1101" w:type="dxa"/>
            <w:shd w:val="clear" w:color="auto" w:fill="E8F5F1"/>
          </w:tcPr>
          <w:p>
            <w:pPr>
              <w:pStyle w:val="TableParagraph"/>
              <w:rPr>
                <w:rFonts w:ascii="Times New Roman"/>
                <w:sz w:val="10"/>
              </w:rPr>
            </w:pPr>
          </w:p>
        </w:tc>
        <w:tc>
          <w:tcPr>
            <w:tcW w:w="957" w:type="dxa"/>
            <w:shd w:val="clear" w:color="auto" w:fill="E8F5F1"/>
          </w:tcPr>
          <w:p>
            <w:pPr>
              <w:pStyle w:val="TableParagraph"/>
              <w:rPr>
                <w:rFonts w:ascii="Times New Roman"/>
                <w:sz w:val="10"/>
              </w:rPr>
            </w:pPr>
          </w:p>
        </w:tc>
        <w:tc>
          <w:tcPr>
            <w:tcW w:w="1125" w:type="dxa"/>
            <w:shd w:val="clear" w:color="auto" w:fill="E8F5F1"/>
          </w:tcPr>
          <w:p>
            <w:pPr>
              <w:pStyle w:val="TableParagraph"/>
              <w:rPr>
                <w:rFonts w:ascii="Times New Roman"/>
                <w:sz w:val="10"/>
              </w:rPr>
            </w:pPr>
          </w:p>
        </w:tc>
        <w:tc>
          <w:tcPr>
            <w:tcW w:w="852" w:type="dxa"/>
            <w:shd w:val="clear" w:color="auto" w:fill="E8F5F1"/>
          </w:tcPr>
          <w:p>
            <w:pPr>
              <w:pStyle w:val="TableParagraph"/>
              <w:rPr>
                <w:rFonts w:ascii="Times New Roman"/>
                <w:sz w:val="10"/>
              </w:rPr>
            </w:pPr>
          </w:p>
        </w:tc>
      </w:tr>
      <w:tr>
        <w:trPr>
          <w:trHeight w:val="386" w:hRule="exact"/>
        </w:trPr>
        <w:tc>
          <w:tcPr>
            <w:tcW w:w="1148" w:type="dxa"/>
            <w:tcBorders>
              <w:bottom w:val="single" w:sz="4" w:space="0" w:color="FFFFFF"/>
            </w:tcBorders>
            <w:shd w:val="clear" w:color="auto" w:fill="E8F5F1"/>
          </w:tcPr>
          <w:p>
            <w:pPr>
              <w:pStyle w:val="TableParagraph"/>
              <w:rPr>
                <w:rFonts w:ascii="Times New Roman"/>
                <w:sz w:val="14"/>
              </w:rPr>
            </w:pPr>
          </w:p>
        </w:tc>
        <w:tc>
          <w:tcPr>
            <w:tcW w:w="205" w:type="dxa"/>
            <w:vMerge/>
            <w:tcBorders>
              <w:top w:val="nil"/>
              <w:bottom w:val="single" w:sz="4" w:space="0" w:color="FFFFFF"/>
            </w:tcBorders>
            <w:shd w:val="clear" w:color="auto" w:fill="E8F5F1"/>
          </w:tcPr>
          <w:p>
            <w:pPr>
              <w:rPr>
                <w:sz w:val="2"/>
                <w:szCs w:val="2"/>
              </w:rPr>
            </w:pPr>
          </w:p>
        </w:tc>
        <w:tc>
          <w:tcPr>
            <w:tcW w:w="1974" w:type="dxa"/>
            <w:tcBorders>
              <w:bottom w:val="single" w:sz="4" w:space="0" w:color="FFFFFF"/>
            </w:tcBorders>
            <w:shd w:val="clear" w:color="auto" w:fill="E8F5F1"/>
          </w:tcPr>
          <w:p>
            <w:pPr>
              <w:pStyle w:val="TableParagraph"/>
              <w:spacing w:line="237" w:lineRule="auto"/>
              <w:ind w:left="75" w:right="563" w:hanging="1"/>
              <w:rPr>
                <w:sz w:val="15"/>
              </w:rPr>
            </w:pPr>
            <w:r>
              <w:rPr>
                <w:color w:val="231F20"/>
                <w:spacing w:val="-2"/>
                <w:sz w:val="15"/>
              </w:rPr>
              <w:t>Myoclonus </w:t>
            </w:r>
            <w:r>
              <w:rPr>
                <w:color w:val="231F20"/>
                <w:sz w:val="15"/>
              </w:rPr>
              <w:t>Movement</w:t>
            </w:r>
            <w:r>
              <w:rPr>
                <w:color w:val="231F20"/>
                <w:spacing w:val="-5"/>
                <w:sz w:val="15"/>
              </w:rPr>
              <w:t> </w:t>
            </w:r>
            <w:r>
              <w:rPr>
                <w:color w:val="231F20"/>
                <w:sz w:val="15"/>
              </w:rPr>
              <w:t>disorder</w:t>
            </w:r>
          </w:p>
        </w:tc>
        <w:tc>
          <w:tcPr>
            <w:tcW w:w="1189" w:type="dxa"/>
            <w:tcBorders>
              <w:bottom w:val="single" w:sz="4" w:space="0" w:color="FFFFFF"/>
            </w:tcBorders>
            <w:shd w:val="clear" w:color="auto" w:fill="E8F5F1"/>
          </w:tcPr>
          <w:p>
            <w:pPr>
              <w:pStyle w:val="TableParagraph"/>
              <w:spacing w:line="171" w:lineRule="exact"/>
              <w:ind w:left="2" w:right="2"/>
              <w:jc w:val="center"/>
              <w:rPr>
                <w:rFonts w:ascii="Cambria"/>
                <w:sz w:val="15"/>
              </w:rPr>
            </w:pPr>
            <w:r>
              <w:rPr>
                <w:rFonts w:ascii="Cambria"/>
                <w:color w:val="231F20"/>
                <w:spacing w:val="-10"/>
                <w:sz w:val="15"/>
              </w:rPr>
              <w:t>+</w:t>
            </w:r>
          </w:p>
          <w:p>
            <w:pPr>
              <w:pStyle w:val="TableParagraph"/>
              <w:spacing w:line="174" w:lineRule="exact"/>
              <w:ind w:left="2" w:right="2"/>
              <w:jc w:val="center"/>
              <w:rPr>
                <w:rFonts w:ascii="Cambria"/>
                <w:sz w:val="15"/>
              </w:rPr>
            </w:pPr>
            <w:r>
              <w:rPr>
                <w:rFonts w:ascii="Cambria"/>
                <w:color w:val="231F20"/>
                <w:spacing w:val="-10"/>
                <w:sz w:val="15"/>
              </w:rPr>
              <w:t>+</w:t>
            </w:r>
          </w:p>
        </w:tc>
        <w:tc>
          <w:tcPr>
            <w:tcW w:w="1195" w:type="dxa"/>
            <w:tcBorders>
              <w:bottom w:val="single" w:sz="4" w:space="0" w:color="FFFFFF"/>
            </w:tcBorders>
            <w:shd w:val="clear" w:color="auto" w:fill="E8F5F1"/>
          </w:tcPr>
          <w:p>
            <w:pPr>
              <w:pStyle w:val="TableParagraph"/>
              <w:spacing w:line="173" w:lineRule="exact"/>
              <w:ind w:left="2" w:right="1"/>
              <w:jc w:val="center"/>
              <w:rPr>
                <w:rFonts w:ascii="Cambria"/>
                <w:sz w:val="15"/>
              </w:rPr>
            </w:pPr>
            <w:r>
              <w:rPr>
                <w:rFonts w:ascii="Cambria"/>
                <w:color w:val="231F20"/>
                <w:spacing w:val="-10"/>
                <w:sz w:val="15"/>
              </w:rPr>
              <w:t>+</w:t>
            </w:r>
          </w:p>
        </w:tc>
        <w:tc>
          <w:tcPr>
            <w:tcW w:w="1101" w:type="dxa"/>
            <w:tcBorders>
              <w:bottom w:val="single" w:sz="4" w:space="0" w:color="FFFFFF"/>
            </w:tcBorders>
            <w:shd w:val="clear" w:color="auto" w:fill="E8F5F1"/>
          </w:tcPr>
          <w:p>
            <w:pPr>
              <w:pStyle w:val="TableParagraph"/>
              <w:rPr>
                <w:rFonts w:ascii="Times New Roman"/>
                <w:sz w:val="14"/>
              </w:rPr>
            </w:pPr>
          </w:p>
        </w:tc>
        <w:tc>
          <w:tcPr>
            <w:tcW w:w="957" w:type="dxa"/>
            <w:tcBorders>
              <w:bottom w:val="single" w:sz="4" w:space="0" w:color="FFFFFF"/>
            </w:tcBorders>
            <w:shd w:val="clear" w:color="auto" w:fill="E8F5F1"/>
          </w:tcPr>
          <w:p>
            <w:pPr>
              <w:pStyle w:val="TableParagraph"/>
              <w:rPr>
                <w:rFonts w:ascii="Times New Roman"/>
                <w:sz w:val="14"/>
              </w:rPr>
            </w:pPr>
          </w:p>
        </w:tc>
        <w:tc>
          <w:tcPr>
            <w:tcW w:w="1125" w:type="dxa"/>
            <w:tcBorders>
              <w:bottom w:val="single" w:sz="4" w:space="0" w:color="FFFFFF"/>
            </w:tcBorders>
            <w:shd w:val="clear" w:color="auto" w:fill="E8F5F1"/>
          </w:tcPr>
          <w:p>
            <w:pPr>
              <w:pStyle w:val="TableParagraph"/>
              <w:rPr>
                <w:rFonts w:ascii="Times New Roman"/>
                <w:sz w:val="14"/>
              </w:rPr>
            </w:pPr>
          </w:p>
        </w:tc>
        <w:tc>
          <w:tcPr>
            <w:tcW w:w="852" w:type="dxa"/>
            <w:tcBorders>
              <w:bottom w:val="single" w:sz="4" w:space="0" w:color="FFFFFF"/>
            </w:tcBorders>
            <w:shd w:val="clear" w:color="auto" w:fill="E8F5F1"/>
          </w:tcPr>
          <w:p>
            <w:pPr>
              <w:pStyle w:val="TableParagraph"/>
              <w:spacing w:before="168"/>
              <w:ind w:left="265"/>
              <w:jc w:val="center"/>
              <w:rPr>
                <w:rFonts w:ascii="Cambria"/>
                <w:sz w:val="15"/>
              </w:rPr>
            </w:pPr>
            <w:r>
              <w:rPr>
                <w:rFonts w:ascii="Cambria"/>
                <w:color w:val="231F20"/>
                <w:spacing w:val="-10"/>
                <w:sz w:val="15"/>
              </w:rPr>
              <w:t>+</w:t>
            </w:r>
          </w:p>
        </w:tc>
      </w:tr>
      <w:tr>
        <w:trPr>
          <w:trHeight w:val="264" w:hRule="exact"/>
        </w:trPr>
        <w:tc>
          <w:tcPr>
            <w:tcW w:w="1148"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Nerve</w:t>
            </w:r>
          </w:p>
        </w:tc>
        <w:tc>
          <w:tcPr>
            <w:tcW w:w="205" w:type="dxa"/>
            <w:tcBorders>
              <w:top w:val="single" w:sz="4" w:space="0" w:color="FFFFFF"/>
              <w:bottom w:val="single" w:sz="4" w:space="0" w:color="FFFFFF"/>
            </w:tcBorders>
            <w:shd w:val="clear" w:color="auto" w:fill="E8F5F1"/>
          </w:tcPr>
          <w:p>
            <w:pPr>
              <w:pStyle w:val="TableParagraph"/>
              <w:rPr>
                <w:rFonts w:ascii="Times New Roman"/>
                <w:sz w:val="14"/>
              </w:rPr>
            </w:pPr>
          </w:p>
        </w:tc>
        <w:tc>
          <w:tcPr>
            <w:tcW w:w="1974"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Peripheral</w:t>
            </w:r>
            <w:r>
              <w:rPr>
                <w:color w:val="231F20"/>
                <w:sz w:val="15"/>
              </w:rPr>
              <w:t> </w:t>
            </w:r>
            <w:r>
              <w:rPr>
                <w:color w:val="231F20"/>
                <w:spacing w:val="-2"/>
                <w:sz w:val="15"/>
              </w:rPr>
              <w:t>neuropathy</w:t>
            </w:r>
          </w:p>
        </w:tc>
        <w:tc>
          <w:tcPr>
            <w:tcW w:w="1189" w:type="dxa"/>
            <w:tcBorders>
              <w:top w:val="single" w:sz="4" w:space="0" w:color="FFFFFF"/>
              <w:bottom w:val="single" w:sz="4" w:space="0" w:color="FFFFFF"/>
            </w:tcBorders>
            <w:shd w:val="clear" w:color="auto" w:fill="E8F5F1"/>
          </w:tcPr>
          <w:p>
            <w:pPr>
              <w:pStyle w:val="TableParagraph"/>
              <w:spacing w:before="42"/>
              <w:ind w:left="2" w:right="2"/>
              <w:jc w:val="center"/>
              <w:rPr>
                <w:rFonts w:ascii="Cambria"/>
                <w:sz w:val="15"/>
              </w:rPr>
            </w:pPr>
            <w:r>
              <w:rPr>
                <w:rFonts w:ascii="Cambria"/>
                <w:color w:val="231F20"/>
                <w:spacing w:val="-10"/>
                <w:sz w:val="15"/>
              </w:rPr>
              <w:t>+</w:t>
            </w:r>
          </w:p>
        </w:tc>
        <w:tc>
          <w:tcPr>
            <w:tcW w:w="1195" w:type="dxa"/>
            <w:tcBorders>
              <w:top w:val="single" w:sz="4" w:space="0" w:color="FFFFFF"/>
              <w:bottom w:val="single" w:sz="4" w:space="0" w:color="FFFFFF"/>
            </w:tcBorders>
            <w:shd w:val="clear" w:color="auto" w:fill="E8F5F1"/>
          </w:tcPr>
          <w:p>
            <w:pPr>
              <w:pStyle w:val="TableParagraph"/>
              <w:spacing w:before="42"/>
              <w:ind w:left="2" w:right="1"/>
              <w:jc w:val="center"/>
              <w:rPr>
                <w:rFonts w:ascii="Cambria"/>
                <w:sz w:val="15"/>
              </w:rPr>
            </w:pPr>
            <w:r>
              <w:rPr>
                <w:rFonts w:ascii="Cambria"/>
                <w:color w:val="231F20"/>
                <w:spacing w:val="-10"/>
                <w:sz w:val="15"/>
              </w:rPr>
              <w:t>+</w:t>
            </w:r>
          </w:p>
        </w:tc>
        <w:tc>
          <w:tcPr>
            <w:tcW w:w="1101" w:type="dxa"/>
            <w:tcBorders>
              <w:top w:val="single" w:sz="4" w:space="0" w:color="FFFFFF"/>
              <w:bottom w:val="single" w:sz="4" w:space="0" w:color="FFFFFF"/>
            </w:tcBorders>
            <w:shd w:val="clear" w:color="auto" w:fill="E8F5F1"/>
          </w:tcPr>
          <w:p>
            <w:pPr>
              <w:pStyle w:val="TableParagraph"/>
              <w:spacing w:before="42"/>
              <w:ind w:left="2" w:right="1"/>
              <w:jc w:val="center"/>
              <w:rPr>
                <w:rFonts w:ascii="Cambria"/>
                <w:sz w:val="15"/>
              </w:rPr>
            </w:pPr>
            <w:r>
              <w:rPr>
                <w:rFonts w:ascii="Cambria"/>
                <w:color w:val="231F20"/>
                <w:spacing w:val="-10"/>
                <w:sz w:val="15"/>
              </w:rPr>
              <w:t>+</w:t>
            </w:r>
          </w:p>
        </w:tc>
        <w:tc>
          <w:tcPr>
            <w:tcW w:w="957" w:type="dxa"/>
            <w:tcBorders>
              <w:top w:val="single" w:sz="4" w:space="0" w:color="FFFFFF"/>
              <w:bottom w:val="single" w:sz="4" w:space="0" w:color="FFFFFF"/>
            </w:tcBorders>
            <w:shd w:val="clear" w:color="auto" w:fill="E8F5F1"/>
          </w:tcPr>
          <w:p>
            <w:pPr>
              <w:pStyle w:val="TableParagraph"/>
              <w:spacing w:before="42"/>
              <w:ind w:left="2" w:right="1"/>
              <w:jc w:val="center"/>
              <w:rPr>
                <w:rFonts w:ascii="Cambria"/>
                <w:sz w:val="15"/>
              </w:rPr>
            </w:pPr>
            <w:r>
              <w:rPr>
                <w:rFonts w:ascii="Cambria"/>
                <w:color w:val="231F20"/>
                <w:spacing w:val="-10"/>
                <w:sz w:val="15"/>
              </w:rPr>
              <w:t>+</w:t>
            </w: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852"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214" w:hRule="exact"/>
        </w:trPr>
        <w:tc>
          <w:tcPr>
            <w:tcW w:w="1148" w:type="dxa"/>
            <w:vMerge w:val="restart"/>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w w:val="105"/>
                <w:sz w:val="15"/>
              </w:rPr>
              <w:t>Muscle</w:t>
            </w:r>
          </w:p>
        </w:tc>
        <w:tc>
          <w:tcPr>
            <w:tcW w:w="205"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974" w:type="dxa"/>
            <w:vMerge w:val="restart"/>
            <w:tcBorders>
              <w:top w:val="single" w:sz="4" w:space="0" w:color="FFFFFF"/>
            </w:tcBorders>
            <w:shd w:val="clear" w:color="auto" w:fill="E8F5F1"/>
          </w:tcPr>
          <w:p>
            <w:pPr>
              <w:pStyle w:val="TableParagraph"/>
              <w:spacing w:line="152" w:lineRule="exact" w:before="42"/>
              <w:ind w:left="75"/>
              <w:rPr>
                <w:sz w:val="15"/>
              </w:rPr>
            </w:pPr>
            <w:r>
              <w:rPr>
                <w:color w:val="231F20"/>
                <w:spacing w:val="-2"/>
                <w:sz w:val="15"/>
              </w:rPr>
              <w:t>Ophthalmoplegia</w:t>
            </w:r>
          </w:p>
        </w:tc>
        <w:tc>
          <w:tcPr>
            <w:tcW w:w="1189" w:type="dxa"/>
            <w:tcBorders>
              <w:top w:val="single" w:sz="4" w:space="0" w:color="FFFFFF"/>
            </w:tcBorders>
            <w:shd w:val="clear" w:color="auto" w:fill="E8F5F1"/>
          </w:tcPr>
          <w:p>
            <w:pPr>
              <w:pStyle w:val="TableParagraph"/>
              <w:rPr>
                <w:rFonts w:ascii="Times New Roman"/>
                <w:sz w:val="14"/>
              </w:rPr>
            </w:pPr>
          </w:p>
        </w:tc>
        <w:tc>
          <w:tcPr>
            <w:tcW w:w="1195" w:type="dxa"/>
            <w:tcBorders>
              <w:top w:val="single" w:sz="4" w:space="0" w:color="FFFFFF"/>
            </w:tcBorders>
            <w:shd w:val="clear" w:color="auto" w:fill="E8F5F1"/>
          </w:tcPr>
          <w:p>
            <w:pPr>
              <w:pStyle w:val="TableParagraph"/>
              <w:rPr>
                <w:rFonts w:ascii="Times New Roman"/>
                <w:sz w:val="14"/>
              </w:rPr>
            </w:pPr>
          </w:p>
        </w:tc>
        <w:tc>
          <w:tcPr>
            <w:tcW w:w="1101" w:type="dxa"/>
            <w:tcBorders>
              <w:top w:val="single" w:sz="4" w:space="0" w:color="FFFFFF"/>
            </w:tcBorders>
            <w:shd w:val="clear" w:color="auto" w:fill="E8F5F1"/>
          </w:tcPr>
          <w:p>
            <w:pPr>
              <w:pStyle w:val="TableParagraph"/>
              <w:rPr>
                <w:rFonts w:ascii="Times New Roman"/>
                <w:sz w:val="14"/>
              </w:rPr>
            </w:pPr>
          </w:p>
        </w:tc>
        <w:tc>
          <w:tcPr>
            <w:tcW w:w="957" w:type="dxa"/>
            <w:tcBorders>
              <w:top w:val="single" w:sz="4" w:space="0" w:color="FFFFFF"/>
            </w:tcBorders>
            <w:shd w:val="clear" w:color="auto" w:fill="E8F5F1"/>
          </w:tcPr>
          <w:p>
            <w:pPr>
              <w:pStyle w:val="TableParagraph"/>
              <w:spacing w:line="147" w:lineRule="exact" w:before="42"/>
              <w:ind w:left="2" w:right="1"/>
              <w:jc w:val="center"/>
              <w:rPr>
                <w:rFonts w:ascii="Cambria"/>
                <w:sz w:val="15"/>
              </w:rPr>
            </w:pPr>
            <w:r>
              <w:rPr>
                <w:rFonts w:ascii="Cambria"/>
                <w:color w:val="231F20"/>
                <w:spacing w:val="-10"/>
                <w:sz w:val="15"/>
              </w:rPr>
              <w:t>+</w:t>
            </w:r>
          </w:p>
        </w:tc>
        <w:tc>
          <w:tcPr>
            <w:tcW w:w="1125" w:type="dxa"/>
            <w:tcBorders>
              <w:top w:val="single" w:sz="4" w:space="0" w:color="FFFFFF"/>
            </w:tcBorders>
            <w:shd w:val="clear" w:color="auto" w:fill="E8F5F1"/>
          </w:tcPr>
          <w:p>
            <w:pPr>
              <w:pStyle w:val="TableParagraph"/>
              <w:rPr>
                <w:rFonts w:ascii="Times New Roman"/>
                <w:sz w:val="14"/>
              </w:rPr>
            </w:pPr>
          </w:p>
        </w:tc>
        <w:tc>
          <w:tcPr>
            <w:tcW w:w="852"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 w:hRule="exact"/>
        </w:trPr>
        <w:tc>
          <w:tcPr>
            <w:tcW w:w="1148" w:type="dxa"/>
            <w:vMerge/>
            <w:tcBorders>
              <w:top w:val="nil"/>
              <w:bottom w:val="single" w:sz="4" w:space="0" w:color="FFFFFF"/>
            </w:tcBorders>
            <w:shd w:val="clear" w:color="auto" w:fill="E8F5F1"/>
          </w:tcPr>
          <w:p>
            <w:pPr>
              <w:rPr>
                <w:sz w:val="2"/>
                <w:szCs w:val="2"/>
              </w:rPr>
            </w:pPr>
          </w:p>
        </w:tc>
        <w:tc>
          <w:tcPr>
            <w:tcW w:w="205" w:type="dxa"/>
            <w:vMerge/>
            <w:tcBorders>
              <w:top w:val="nil"/>
              <w:bottom w:val="single" w:sz="4" w:space="0" w:color="FFFFFF"/>
            </w:tcBorders>
            <w:shd w:val="clear" w:color="auto" w:fill="E8F5F1"/>
          </w:tcPr>
          <w:p>
            <w:pPr>
              <w:rPr>
                <w:sz w:val="2"/>
                <w:szCs w:val="2"/>
              </w:rPr>
            </w:pPr>
          </w:p>
        </w:tc>
        <w:tc>
          <w:tcPr>
            <w:tcW w:w="1974" w:type="dxa"/>
            <w:vMerge/>
            <w:tcBorders>
              <w:top w:val="nil"/>
            </w:tcBorders>
            <w:shd w:val="clear" w:color="auto" w:fill="E8F5F1"/>
          </w:tcPr>
          <w:p>
            <w:pPr>
              <w:rPr>
                <w:sz w:val="2"/>
                <w:szCs w:val="2"/>
              </w:rPr>
            </w:pPr>
          </w:p>
        </w:tc>
        <w:tc>
          <w:tcPr>
            <w:tcW w:w="1189" w:type="dxa"/>
            <w:vMerge w:val="restart"/>
            <w:tcBorders>
              <w:bottom w:val="single" w:sz="4" w:space="0" w:color="FFFFFF"/>
            </w:tcBorders>
            <w:shd w:val="clear" w:color="auto" w:fill="E8F5F1"/>
          </w:tcPr>
          <w:p>
            <w:pPr>
              <w:pStyle w:val="TableParagraph"/>
              <w:spacing w:line="174" w:lineRule="exact" w:before="1"/>
              <w:ind w:left="1"/>
              <w:jc w:val="center"/>
              <w:rPr>
                <w:rFonts w:ascii="Cambria"/>
                <w:sz w:val="15"/>
              </w:rPr>
            </w:pPr>
            <w:r>
              <w:rPr>
                <w:rFonts w:ascii="Cambria"/>
                <w:color w:val="231F20"/>
                <w:spacing w:val="-10"/>
                <w:sz w:val="15"/>
              </w:rPr>
              <w:t>+</w:t>
            </w:r>
          </w:p>
          <w:p>
            <w:pPr>
              <w:pStyle w:val="TableParagraph"/>
              <w:spacing w:line="174" w:lineRule="exact"/>
              <w:ind w:left="1"/>
              <w:jc w:val="center"/>
              <w:rPr>
                <w:rFonts w:ascii="Cambria"/>
                <w:sz w:val="15"/>
              </w:rPr>
            </w:pPr>
            <w:r>
              <w:rPr>
                <w:rFonts w:ascii="Cambria"/>
                <w:color w:val="231F20"/>
                <w:spacing w:val="-10"/>
                <w:sz w:val="15"/>
              </w:rPr>
              <w:t>+</w:t>
            </w:r>
          </w:p>
        </w:tc>
        <w:tc>
          <w:tcPr>
            <w:tcW w:w="1195" w:type="dxa"/>
            <w:vMerge w:val="restart"/>
            <w:tcBorders>
              <w:bottom w:val="single" w:sz="4" w:space="0" w:color="FFFFFF"/>
            </w:tcBorders>
            <w:shd w:val="clear" w:color="auto" w:fill="E8F5F1"/>
          </w:tcPr>
          <w:p>
            <w:pPr>
              <w:pStyle w:val="TableParagraph"/>
              <w:spacing w:line="174" w:lineRule="exact" w:before="5"/>
              <w:ind w:left="2" w:right="1"/>
              <w:jc w:val="center"/>
              <w:rPr>
                <w:rFonts w:ascii="Cambria"/>
                <w:sz w:val="15"/>
              </w:rPr>
            </w:pPr>
            <w:r>
              <w:rPr>
                <w:rFonts w:ascii="Cambria"/>
                <w:color w:val="231F20"/>
                <w:spacing w:val="-10"/>
                <w:sz w:val="15"/>
              </w:rPr>
              <w:t>+</w:t>
            </w:r>
          </w:p>
          <w:p>
            <w:pPr>
              <w:pStyle w:val="TableParagraph"/>
              <w:spacing w:line="174" w:lineRule="exact"/>
              <w:ind w:left="2"/>
              <w:jc w:val="center"/>
              <w:rPr>
                <w:rFonts w:ascii="Cambria"/>
                <w:sz w:val="15"/>
              </w:rPr>
            </w:pPr>
            <w:r>
              <w:rPr>
                <w:rFonts w:ascii="Cambria"/>
                <w:color w:val="231F20"/>
                <w:spacing w:val="-10"/>
                <w:sz w:val="15"/>
              </w:rPr>
              <w:t>+</w:t>
            </w:r>
          </w:p>
        </w:tc>
        <w:tc>
          <w:tcPr>
            <w:tcW w:w="1101" w:type="dxa"/>
            <w:vMerge w:val="restart"/>
            <w:tcBorders>
              <w:bottom w:val="single" w:sz="4" w:space="0" w:color="FFFFFF"/>
            </w:tcBorders>
            <w:shd w:val="clear" w:color="auto" w:fill="E8F5F1"/>
          </w:tcPr>
          <w:p>
            <w:pPr>
              <w:pStyle w:val="TableParagraph"/>
              <w:spacing w:before="5"/>
              <w:ind w:left="2" w:right="1"/>
              <w:jc w:val="center"/>
              <w:rPr>
                <w:rFonts w:ascii="Cambria"/>
                <w:sz w:val="15"/>
              </w:rPr>
            </w:pPr>
            <w:r>
              <w:rPr>
                <w:rFonts w:ascii="Cambria"/>
                <w:color w:val="231F20"/>
                <w:spacing w:val="-10"/>
                <w:sz w:val="15"/>
              </w:rPr>
              <w:t>+</w:t>
            </w:r>
          </w:p>
        </w:tc>
        <w:tc>
          <w:tcPr>
            <w:tcW w:w="957" w:type="dxa"/>
            <w:vMerge w:val="restart"/>
            <w:tcBorders>
              <w:bottom w:val="single" w:sz="4" w:space="0" w:color="FFFFFF"/>
            </w:tcBorders>
            <w:shd w:val="clear" w:color="auto" w:fill="E8F5F1"/>
          </w:tcPr>
          <w:p>
            <w:pPr>
              <w:pStyle w:val="TableParagraph"/>
              <w:spacing w:line="174" w:lineRule="exact" w:before="4"/>
              <w:ind w:left="2" w:right="1"/>
              <w:jc w:val="center"/>
              <w:rPr>
                <w:rFonts w:ascii="Cambria"/>
                <w:sz w:val="15"/>
              </w:rPr>
            </w:pPr>
            <w:r>
              <w:rPr>
                <w:rFonts w:ascii="Cambria"/>
                <w:color w:val="231F20"/>
                <w:spacing w:val="-10"/>
                <w:sz w:val="15"/>
              </w:rPr>
              <w:t>+</w:t>
            </w:r>
          </w:p>
          <w:p>
            <w:pPr>
              <w:pStyle w:val="TableParagraph"/>
              <w:spacing w:line="172" w:lineRule="exact"/>
              <w:ind w:left="2"/>
              <w:jc w:val="center"/>
              <w:rPr>
                <w:rFonts w:ascii="Cambria"/>
                <w:sz w:val="15"/>
              </w:rPr>
            </w:pPr>
            <w:r>
              <w:rPr>
                <w:rFonts w:ascii="Cambria"/>
                <w:color w:val="231F20"/>
                <w:spacing w:val="-10"/>
                <w:sz w:val="15"/>
              </w:rPr>
              <w:t>+</w:t>
            </w:r>
          </w:p>
          <w:p>
            <w:pPr>
              <w:pStyle w:val="TableParagraph"/>
              <w:spacing w:line="174" w:lineRule="exact"/>
              <w:ind w:left="2"/>
              <w:jc w:val="center"/>
              <w:rPr>
                <w:rFonts w:ascii="Cambria"/>
                <w:sz w:val="15"/>
              </w:rPr>
            </w:pPr>
            <w:r>
              <w:rPr>
                <w:rFonts w:ascii="Cambria"/>
                <w:color w:val="231F20"/>
                <w:spacing w:val="-10"/>
                <w:sz w:val="15"/>
              </w:rPr>
              <w:t>+</w:t>
            </w:r>
          </w:p>
        </w:tc>
        <w:tc>
          <w:tcPr>
            <w:tcW w:w="1125" w:type="dxa"/>
            <w:vMerge w:val="restart"/>
            <w:tcBorders>
              <w:bottom w:val="single" w:sz="4" w:space="0" w:color="FFFFFF"/>
            </w:tcBorders>
            <w:shd w:val="clear" w:color="auto" w:fill="E8F5F1"/>
          </w:tcPr>
          <w:p>
            <w:pPr>
              <w:pStyle w:val="TableParagraph"/>
              <w:spacing w:before="5"/>
              <w:ind w:left="73" w:right="71"/>
              <w:jc w:val="center"/>
              <w:rPr>
                <w:rFonts w:ascii="Cambria"/>
                <w:sz w:val="15"/>
              </w:rPr>
            </w:pPr>
            <w:r>
              <w:rPr>
                <w:rFonts w:ascii="Cambria"/>
                <w:color w:val="231F20"/>
                <w:spacing w:val="-10"/>
                <w:sz w:val="15"/>
              </w:rPr>
              <w:t>+</w:t>
            </w:r>
          </w:p>
        </w:tc>
        <w:tc>
          <w:tcPr>
            <w:tcW w:w="852" w:type="dxa"/>
            <w:vMerge/>
            <w:tcBorders>
              <w:top w:val="nil"/>
              <w:bottom w:val="single" w:sz="4" w:space="0" w:color="FFFFFF"/>
            </w:tcBorders>
            <w:shd w:val="clear" w:color="auto" w:fill="E8F5F1"/>
          </w:tcPr>
          <w:p>
            <w:pPr>
              <w:rPr>
                <w:sz w:val="2"/>
                <w:szCs w:val="2"/>
              </w:rPr>
            </w:pPr>
          </w:p>
        </w:tc>
      </w:tr>
      <w:tr>
        <w:trPr>
          <w:trHeight w:val="561" w:hRule="exact"/>
        </w:trPr>
        <w:tc>
          <w:tcPr>
            <w:tcW w:w="1148" w:type="dxa"/>
            <w:vMerge/>
            <w:tcBorders>
              <w:top w:val="nil"/>
              <w:bottom w:val="single" w:sz="4" w:space="0" w:color="FFFFFF"/>
            </w:tcBorders>
            <w:shd w:val="clear" w:color="auto" w:fill="E8F5F1"/>
          </w:tcPr>
          <w:p>
            <w:pPr>
              <w:rPr>
                <w:sz w:val="2"/>
                <w:szCs w:val="2"/>
              </w:rPr>
            </w:pPr>
          </w:p>
        </w:tc>
        <w:tc>
          <w:tcPr>
            <w:tcW w:w="205" w:type="dxa"/>
            <w:vMerge/>
            <w:tcBorders>
              <w:top w:val="nil"/>
              <w:bottom w:val="single" w:sz="4" w:space="0" w:color="FFFFFF"/>
            </w:tcBorders>
            <w:shd w:val="clear" w:color="auto" w:fill="E8F5F1"/>
          </w:tcPr>
          <w:p>
            <w:pPr>
              <w:rPr>
                <w:sz w:val="2"/>
                <w:szCs w:val="2"/>
              </w:rPr>
            </w:pPr>
          </w:p>
        </w:tc>
        <w:tc>
          <w:tcPr>
            <w:tcW w:w="1974" w:type="dxa"/>
            <w:tcBorders>
              <w:bottom w:val="single" w:sz="4" w:space="0" w:color="FFFFFF"/>
            </w:tcBorders>
            <w:shd w:val="clear" w:color="auto" w:fill="E8F5F1"/>
          </w:tcPr>
          <w:p>
            <w:pPr>
              <w:pStyle w:val="TableParagraph"/>
              <w:spacing w:line="173" w:lineRule="exact"/>
              <w:ind w:left="75"/>
              <w:rPr>
                <w:sz w:val="15"/>
              </w:rPr>
            </w:pPr>
            <w:r>
              <w:rPr>
                <w:color w:val="231F20"/>
                <w:spacing w:val="-2"/>
                <w:sz w:val="15"/>
              </w:rPr>
              <w:t>Weakness</w:t>
            </w:r>
          </w:p>
          <w:p>
            <w:pPr>
              <w:pStyle w:val="TableParagraph"/>
              <w:spacing w:line="237" w:lineRule="auto"/>
              <w:ind w:left="75" w:right="105"/>
              <w:rPr>
                <w:sz w:val="15"/>
              </w:rPr>
            </w:pPr>
            <w:r>
              <w:rPr>
                <w:color w:val="231F20"/>
                <w:sz w:val="15"/>
              </w:rPr>
              <w:t>RRF</w:t>
            </w:r>
            <w:r>
              <w:rPr>
                <w:color w:val="231F20"/>
                <w:spacing w:val="-2"/>
                <w:sz w:val="15"/>
              </w:rPr>
              <w:t> </w:t>
            </w:r>
            <w:r>
              <w:rPr>
                <w:color w:val="231F20"/>
                <w:sz w:val="15"/>
              </w:rPr>
              <w:t>on</w:t>
            </w:r>
            <w:r>
              <w:rPr>
                <w:color w:val="231F20"/>
                <w:spacing w:val="-2"/>
                <w:sz w:val="15"/>
              </w:rPr>
              <w:t> </w:t>
            </w:r>
            <w:r>
              <w:rPr>
                <w:color w:val="231F20"/>
                <w:sz w:val="15"/>
              </w:rPr>
              <w:t>muscle</w:t>
            </w:r>
            <w:r>
              <w:rPr>
                <w:color w:val="231F20"/>
                <w:spacing w:val="-2"/>
                <w:sz w:val="15"/>
              </w:rPr>
              <w:t> </w:t>
            </w:r>
            <w:r>
              <w:rPr>
                <w:color w:val="231F20"/>
                <w:sz w:val="15"/>
              </w:rPr>
              <w:t>biopsy </w:t>
            </w:r>
            <w:r>
              <w:rPr>
                <w:color w:val="231F20"/>
                <w:spacing w:val="-2"/>
                <w:sz w:val="15"/>
              </w:rPr>
              <w:t>Ptosis</w:t>
            </w:r>
          </w:p>
        </w:tc>
        <w:tc>
          <w:tcPr>
            <w:tcW w:w="1189" w:type="dxa"/>
            <w:vMerge/>
            <w:tcBorders>
              <w:top w:val="nil"/>
              <w:bottom w:val="single" w:sz="4" w:space="0" w:color="FFFFFF"/>
            </w:tcBorders>
            <w:shd w:val="clear" w:color="auto" w:fill="E8F5F1"/>
          </w:tcPr>
          <w:p>
            <w:pPr>
              <w:rPr>
                <w:sz w:val="2"/>
                <w:szCs w:val="2"/>
              </w:rPr>
            </w:pPr>
          </w:p>
        </w:tc>
        <w:tc>
          <w:tcPr>
            <w:tcW w:w="1195" w:type="dxa"/>
            <w:vMerge/>
            <w:tcBorders>
              <w:top w:val="nil"/>
              <w:bottom w:val="single" w:sz="4" w:space="0" w:color="FFFFFF"/>
            </w:tcBorders>
            <w:shd w:val="clear" w:color="auto" w:fill="E8F5F1"/>
          </w:tcPr>
          <w:p>
            <w:pPr>
              <w:rPr>
                <w:sz w:val="2"/>
                <w:szCs w:val="2"/>
              </w:rPr>
            </w:pPr>
          </w:p>
        </w:tc>
        <w:tc>
          <w:tcPr>
            <w:tcW w:w="1101" w:type="dxa"/>
            <w:vMerge/>
            <w:tcBorders>
              <w:top w:val="nil"/>
              <w:bottom w:val="single" w:sz="4" w:space="0" w:color="FFFFFF"/>
            </w:tcBorders>
            <w:shd w:val="clear" w:color="auto" w:fill="E8F5F1"/>
          </w:tcPr>
          <w:p>
            <w:pPr>
              <w:rPr>
                <w:sz w:val="2"/>
                <w:szCs w:val="2"/>
              </w:rPr>
            </w:pPr>
          </w:p>
        </w:tc>
        <w:tc>
          <w:tcPr>
            <w:tcW w:w="957" w:type="dxa"/>
            <w:vMerge/>
            <w:tcBorders>
              <w:top w:val="nil"/>
              <w:bottom w:val="single" w:sz="4" w:space="0" w:color="FFFFFF"/>
            </w:tcBorders>
            <w:shd w:val="clear" w:color="auto" w:fill="E8F5F1"/>
          </w:tcPr>
          <w:p>
            <w:pPr>
              <w:rPr>
                <w:sz w:val="2"/>
                <w:szCs w:val="2"/>
              </w:rPr>
            </w:pPr>
          </w:p>
        </w:tc>
        <w:tc>
          <w:tcPr>
            <w:tcW w:w="1125" w:type="dxa"/>
            <w:vMerge/>
            <w:tcBorders>
              <w:top w:val="nil"/>
              <w:bottom w:val="single" w:sz="4" w:space="0" w:color="FFFFFF"/>
            </w:tcBorders>
            <w:shd w:val="clear" w:color="auto" w:fill="E8F5F1"/>
          </w:tcPr>
          <w:p>
            <w:pPr>
              <w:rPr>
                <w:sz w:val="2"/>
                <w:szCs w:val="2"/>
              </w:rPr>
            </w:pPr>
          </w:p>
        </w:tc>
        <w:tc>
          <w:tcPr>
            <w:tcW w:w="852" w:type="dxa"/>
            <w:vMerge/>
            <w:tcBorders>
              <w:top w:val="nil"/>
              <w:bottom w:val="single" w:sz="4" w:space="0" w:color="FFFFFF"/>
            </w:tcBorders>
            <w:shd w:val="clear" w:color="auto" w:fill="E8F5F1"/>
          </w:tcPr>
          <w:p>
            <w:pPr>
              <w:rPr>
                <w:sz w:val="2"/>
                <w:szCs w:val="2"/>
              </w:rPr>
            </w:pPr>
          </w:p>
        </w:tc>
      </w:tr>
      <w:tr>
        <w:trPr>
          <w:trHeight w:val="214" w:hRule="exact"/>
        </w:trPr>
        <w:tc>
          <w:tcPr>
            <w:tcW w:w="1148" w:type="dxa"/>
            <w:vMerge w:val="restart"/>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5"/>
                <w:sz w:val="15"/>
              </w:rPr>
              <w:t>Eye</w:t>
            </w:r>
          </w:p>
        </w:tc>
        <w:tc>
          <w:tcPr>
            <w:tcW w:w="205"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974" w:type="dxa"/>
            <w:vMerge w:val="restart"/>
            <w:tcBorders>
              <w:top w:val="single" w:sz="4" w:space="0" w:color="FFFFFF"/>
            </w:tcBorders>
            <w:shd w:val="clear" w:color="auto" w:fill="E8F5F1"/>
          </w:tcPr>
          <w:p>
            <w:pPr>
              <w:pStyle w:val="TableParagraph"/>
              <w:spacing w:line="152" w:lineRule="exact" w:before="42"/>
              <w:ind w:left="75"/>
              <w:rPr>
                <w:sz w:val="15"/>
              </w:rPr>
            </w:pPr>
            <w:r>
              <w:rPr>
                <w:color w:val="231F20"/>
                <w:spacing w:val="-2"/>
                <w:sz w:val="15"/>
              </w:rPr>
              <w:t>Pigmentary</w:t>
            </w:r>
            <w:r>
              <w:rPr>
                <w:color w:val="231F20"/>
                <w:spacing w:val="5"/>
                <w:sz w:val="15"/>
              </w:rPr>
              <w:t> </w:t>
            </w:r>
            <w:r>
              <w:rPr>
                <w:color w:val="231F20"/>
                <w:spacing w:val="-2"/>
                <w:sz w:val="15"/>
              </w:rPr>
              <w:t>retinopathy</w:t>
            </w:r>
          </w:p>
        </w:tc>
        <w:tc>
          <w:tcPr>
            <w:tcW w:w="1189"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195" w:type="dxa"/>
            <w:vMerge w:val="restart"/>
            <w:tcBorders>
              <w:top w:val="single" w:sz="4" w:space="0" w:color="FFFFFF"/>
              <w:bottom w:val="single" w:sz="4" w:space="0" w:color="FFFFFF"/>
            </w:tcBorders>
            <w:shd w:val="clear" w:color="auto" w:fill="E8F5F1"/>
          </w:tcPr>
          <w:p>
            <w:pPr>
              <w:pStyle w:val="TableParagraph"/>
              <w:rPr>
                <w:rFonts w:ascii="Times New Roman"/>
                <w:sz w:val="14"/>
              </w:rPr>
            </w:pPr>
          </w:p>
        </w:tc>
        <w:tc>
          <w:tcPr>
            <w:tcW w:w="1101" w:type="dxa"/>
            <w:vMerge w:val="restart"/>
            <w:tcBorders>
              <w:top w:val="single" w:sz="4" w:space="0" w:color="FFFFFF"/>
            </w:tcBorders>
            <w:shd w:val="clear" w:color="auto" w:fill="E8F5F1"/>
          </w:tcPr>
          <w:p>
            <w:pPr>
              <w:pStyle w:val="TableParagraph"/>
              <w:spacing w:line="152" w:lineRule="exact" w:before="42"/>
              <w:ind w:left="2"/>
              <w:jc w:val="center"/>
              <w:rPr>
                <w:rFonts w:ascii="Cambria"/>
                <w:sz w:val="15"/>
              </w:rPr>
            </w:pPr>
            <w:r>
              <w:rPr>
                <w:rFonts w:ascii="Cambria"/>
                <w:color w:val="231F20"/>
                <w:spacing w:val="-10"/>
                <w:sz w:val="15"/>
              </w:rPr>
              <w:t>+</w:t>
            </w:r>
          </w:p>
        </w:tc>
        <w:tc>
          <w:tcPr>
            <w:tcW w:w="957" w:type="dxa"/>
            <w:vMerge w:val="restart"/>
            <w:tcBorders>
              <w:top w:val="single" w:sz="4" w:space="0" w:color="FFFFFF"/>
            </w:tcBorders>
            <w:shd w:val="clear" w:color="auto" w:fill="E8F5F1"/>
          </w:tcPr>
          <w:p>
            <w:pPr>
              <w:pStyle w:val="TableParagraph"/>
              <w:spacing w:line="152" w:lineRule="exact" w:before="42"/>
              <w:ind w:left="2"/>
              <w:jc w:val="center"/>
              <w:rPr>
                <w:rFonts w:ascii="Cambria"/>
                <w:sz w:val="15"/>
              </w:rPr>
            </w:pPr>
            <w:r>
              <w:rPr>
                <w:rFonts w:ascii="Cambria"/>
                <w:color w:val="231F20"/>
                <w:spacing w:val="-10"/>
                <w:sz w:val="15"/>
              </w:rPr>
              <w:t>+</w:t>
            </w:r>
          </w:p>
        </w:tc>
        <w:tc>
          <w:tcPr>
            <w:tcW w:w="1125" w:type="dxa"/>
            <w:tcBorders>
              <w:top w:val="single" w:sz="4" w:space="0" w:color="FFFFFF"/>
            </w:tcBorders>
            <w:shd w:val="clear" w:color="auto" w:fill="E8F5F1"/>
          </w:tcPr>
          <w:p>
            <w:pPr>
              <w:pStyle w:val="TableParagraph"/>
              <w:rPr>
                <w:rFonts w:ascii="Times New Roman"/>
                <w:sz w:val="14"/>
              </w:rPr>
            </w:pPr>
          </w:p>
        </w:tc>
        <w:tc>
          <w:tcPr>
            <w:tcW w:w="852" w:type="dxa"/>
            <w:tcBorders>
              <w:top w:val="single" w:sz="4" w:space="0" w:color="FFFFFF"/>
            </w:tcBorders>
            <w:shd w:val="clear" w:color="auto" w:fill="E8F5F1"/>
          </w:tcPr>
          <w:p>
            <w:pPr>
              <w:pStyle w:val="TableParagraph"/>
              <w:rPr>
                <w:rFonts w:ascii="Times New Roman"/>
                <w:sz w:val="14"/>
              </w:rPr>
            </w:pPr>
          </w:p>
        </w:tc>
      </w:tr>
      <w:tr>
        <w:trPr>
          <w:trHeight w:val="4" w:hRule="exact"/>
        </w:trPr>
        <w:tc>
          <w:tcPr>
            <w:tcW w:w="1148" w:type="dxa"/>
            <w:vMerge/>
            <w:tcBorders>
              <w:top w:val="nil"/>
              <w:bottom w:val="single" w:sz="4" w:space="0" w:color="FFFFFF"/>
            </w:tcBorders>
            <w:shd w:val="clear" w:color="auto" w:fill="E8F5F1"/>
          </w:tcPr>
          <w:p>
            <w:pPr>
              <w:rPr>
                <w:sz w:val="2"/>
                <w:szCs w:val="2"/>
              </w:rPr>
            </w:pPr>
          </w:p>
        </w:tc>
        <w:tc>
          <w:tcPr>
            <w:tcW w:w="205" w:type="dxa"/>
            <w:vMerge/>
            <w:tcBorders>
              <w:top w:val="nil"/>
              <w:bottom w:val="single" w:sz="4" w:space="0" w:color="FFFFFF"/>
            </w:tcBorders>
            <w:shd w:val="clear" w:color="auto" w:fill="E8F5F1"/>
          </w:tcPr>
          <w:p>
            <w:pPr>
              <w:rPr>
                <w:sz w:val="2"/>
                <w:szCs w:val="2"/>
              </w:rPr>
            </w:pPr>
          </w:p>
        </w:tc>
        <w:tc>
          <w:tcPr>
            <w:tcW w:w="1974" w:type="dxa"/>
            <w:vMerge/>
            <w:tcBorders>
              <w:top w:val="nil"/>
            </w:tcBorders>
            <w:shd w:val="clear" w:color="auto" w:fill="E8F5F1"/>
          </w:tcPr>
          <w:p>
            <w:pPr>
              <w:rPr>
                <w:sz w:val="2"/>
                <w:szCs w:val="2"/>
              </w:rPr>
            </w:pPr>
          </w:p>
        </w:tc>
        <w:tc>
          <w:tcPr>
            <w:tcW w:w="1189" w:type="dxa"/>
            <w:vMerge/>
            <w:tcBorders>
              <w:top w:val="nil"/>
              <w:bottom w:val="single" w:sz="4" w:space="0" w:color="FFFFFF"/>
            </w:tcBorders>
            <w:shd w:val="clear" w:color="auto" w:fill="E8F5F1"/>
          </w:tcPr>
          <w:p>
            <w:pPr>
              <w:rPr>
                <w:sz w:val="2"/>
                <w:szCs w:val="2"/>
              </w:rPr>
            </w:pPr>
          </w:p>
        </w:tc>
        <w:tc>
          <w:tcPr>
            <w:tcW w:w="1195" w:type="dxa"/>
            <w:vMerge/>
            <w:tcBorders>
              <w:top w:val="nil"/>
              <w:bottom w:val="single" w:sz="4" w:space="0" w:color="FFFFFF"/>
            </w:tcBorders>
            <w:shd w:val="clear" w:color="auto" w:fill="E8F5F1"/>
          </w:tcPr>
          <w:p>
            <w:pPr>
              <w:rPr>
                <w:sz w:val="2"/>
                <w:szCs w:val="2"/>
              </w:rPr>
            </w:pPr>
          </w:p>
        </w:tc>
        <w:tc>
          <w:tcPr>
            <w:tcW w:w="1101" w:type="dxa"/>
            <w:vMerge/>
            <w:tcBorders>
              <w:top w:val="nil"/>
            </w:tcBorders>
            <w:shd w:val="clear" w:color="auto" w:fill="E8F5F1"/>
          </w:tcPr>
          <w:p>
            <w:pPr>
              <w:rPr>
                <w:sz w:val="2"/>
                <w:szCs w:val="2"/>
              </w:rPr>
            </w:pPr>
          </w:p>
        </w:tc>
        <w:tc>
          <w:tcPr>
            <w:tcW w:w="957" w:type="dxa"/>
            <w:vMerge/>
            <w:tcBorders>
              <w:top w:val="nil"/>
            </w:tcBorders>
            <w:shd w:val="clear" w:color="auto" w:fill="E8F5F1"/>
          </w:tcPr>
          <w:p>
            <w:pPr>
              <w:rPr>
                <w:sz w:val="2"/>
                <w:szCs w:val="2"/>
              </w:rPr>
            </w:pPr>
          </w:p>
        </w:tc>
        <w:tc>
          <w:tcPr>
            <w:tcW w:w="1125" w:type="dxa"/>
            <w:vMerge w:val="restart"/>
            <w:tcBorders>
              <w:bottom w:val="single" w:sz="4" w:space="0" w:color="FFFFFF"/>
            </w:tcBorders>
            <w:shd w:val="clear" w:color="auto" w:fill="E8F5F1"/>
          </w:tcPr>
          <w:p>
            <w:pPr>
              <w:pStyle w:val="TableParagraph"/>
              <w:spacing w:before="1"/>
              <w:ind w:left="73" w:right="71"/>
              <w:jc w:val="center"/>
              <w:rPr>
                <w:rFonts w:ascii="Cambria"/>
                <w:sz w:val="15"/>
              </w:rPr>
            </w:pPr>
            <w:r>
              <w:rPr>
                <w:rFonts w:ascii="Cambria"/>
                <w:color w:val="231F20"/>
                <w:spacing w:val="-10"/>
                <w:sz w:val="15"/>
              </w:rPr>
              <w:t>+</w:t>
            </w:r>
          </w:p>
        </w:tc>
        <w:tc>
          <w:tcPr>
            <w:tcW w:w="852" w:type="dxa"/>
            <w:vMerge w:val="restart"/>
            <w:tcBorders>
              <w:bottom w:val="single" w:sz="4" w:space="0" w:color="FFFFFF"/>
            </w:tcBorders>
            <w:shd w:val="clear" w:color="auto" w:fill="E8F5F1"/>
          </w:tcPr>
          <w:p>
            <w:pPr>
              <w:pStyle w:val="TableParagraph"/>
              <w:spacing w:before="4"/>
              <w:ind w:left="518"/>
              <w:rPr>
                <w:rFonts w:ascii="Cambria"/>
                <w:sz w:val="15"/>
              </w:rPr>
            </w:pPr>
            <w:r>
              <w:rPr>
                <w:rFonts w:ascii="Cambria"/>
                <w:color w:val="231F20"/>
                <w:spacing w:val="-10"/>
                <w:sz w:val="15"/>
              </w:rPr>
              <w:t>+</w:t>
            </w:r>
          </w:p>
        </w:tc>
      </w:tr>
      <w:tr>
        <w:trPr>
          <w:trHeight w:val="387" w:hRule="exact"/>
        </w:trPr>
        <w:tc>
          <w:tcPr>
            <w:tcW w:w="1148" w:type="dxa"/>
            <w:vMerge/>
            <w:tcBorders>
              <w:top w:val="nil"/>
              <w:bottom w:val="single" w:sz="4" w:space="0" w:color="FFFFFF"/>
            </w:tcBorders>
            <w:shd w:val="clear" w:color="auto" w:fill="E8F5F1"/>
          </w:tcPr>
          <w:p>
            <w:pPr>
              <w:rPr>
                <w:sz w:val="2"/>
                <w:szCs w:val="2"/>
              </w:rPr>
            </w:pPr>
          </w:p>
        </w:tc>
        <w:tc>
          <w:tcPr>
            <w:tcW w:w="205" w:type="dxa"/>
            <w:vMerge/>
            <w:tcBorders>
              <w:top w:val="nil"/>
              <w:bottom w:val="single" w:sz="4" w:space="0" w:color="FFFFFF"/>
            </w:tcBorders>
            <w:shd w:val="clear" w:color="auto" w:fill="E8F5F1"/>
          </w:tcPr>
          <w:p>
            <w:pPr>
              <w:rPr>
                <w:sz w:val="2"/>
                <w:szCs w:val="2"/>
              </w:rPr>
            </w:pPr>
          </w:p>
        </w:tc>
        <w:tc>
          <w:tcPr>
            <w:tcW w:w="1974" w:type="dxa"/>
            <w:tcBorders>
              <w:bottom w:val="single" w:sz="4" w:space="0" w:color="FFFFFF"/>
            </w:tcBorders>
            <w:shd w:val="clear" w:color="auto" w:fill="E8F5F1"/>
          </w:tcPr>
          <w:p>
            <w:pPr>
              <w:pStyle w:val="TableParagraph"/>
              <w:spacing w:line="237" w:lineRule="auto" w:before="1"/>
              <w:ind w:left="75" w:right="563" w:hanging="1"/>
              <w:rPr>
                <w:sz w:val="15"/>
              </w:rPr>
            </w:pPr>
            <w:r>
              <w:rPr>
                <w:color w:val="231F20"/>
                <w:sz w:val="15"/>
              </w:rPr>
              <w:t>Optic</w:t>
            </w:r>
            <w:r>
              <w:rPr>
                <w:color w:val="231F20"/>
                <w:spacing w:val="-12"/>
                <w:sz w:val="15"/>
              </w:rPr>
              <w:t> </w:t>
            </w:r>
            <w:r>
              <w:rPr>
                <w:color w:val="231F20"/>
                <w:sz w:val="15"/>
              </w:rPr>
              <w:t>atrophy </w:t>
            </w:r>
            <w:r>
              <w:rPr>
                <w:color w:val="231F20"/>
                <w:spacing w:val="-2"/>
                <w:sz w:val="15"/>
              </w:rPr>
              <w:t>Cataracts</w:t>
            </w:r>
          </w:p>
        </w:tc>
        <w:tc>
          <w:tcPr>
            <w:tcW w:w="1189" w:type="dxa"/>
            <w:vMerge/>
            <w:tcBorders>
              <w:top w:val="nil"/>
              <w:bottom w:val="single" w:sz="4" w:space="0" w:color="FFFFFF"/>
            </w:tcBorders>
            <w:shd w:val="clear" w:color="auto" w:fill="E8F5F1"/>
          </w:tcPr>
          <w:p>
            <w:pPr>
              <w:rPr>
                <w:sz w:val="2"/>
                <w:szCs w:val="2"/>
              </w:rPr>
            </w:pPr>
          </w:p>
        </w:tc>
        <w:tc>
          <w:tcPr>
            <w:tcW w:w="1195" w:type="dxa"/>
            <w:vMerge/>
            <w:tcBorders>
              <w:top w:val="nil"/>
              <w:bottom w:val="single" w:sz="4" w:space="0" w:color="FFFFFF"/>
            </w:tcBorders>
            <w:shd w:val="clear" w:color="auto" w:fill="E8F5F1"/>
          </w:tcPr>
          <w:p>
            <w:pPr>
              <w:rPr>
                <w:sz w:val="2"/>
                <w:szCs w:val="2"/>
              </w:rPr>
            </w:pPr>
          </w:p>
        </w:tc>
        <w:tc>
          <w:tcPr>
            <w:tcW w:w="1101" w:type="dxa"/>
            <w:tcBorders>
              <w:bottom w:val="single" w:sz="4" w:space="0" w:color="FFFFFF"/>
            </w:tcBorders>
            <w:shd w:val="clear" w:color="auto" w:fill="E8F5F1"/>
          </w:tcPr>
          <w:p>
            <w:pPr>
              <w:pStyle w:val="TableParagraph"/>
              <w:rPr>
                <w:rFonts w:ascii="Times New Roman"/>
                <w:sz w:val="14"/>
              </w:rPr>
            </w:pPr>
          </w:p>
        </w:tc>
        <w:tc>
          <w:tcPr>
            <w:tcW w:w="957" w:type="dxa"/>
            <w:tcBorders>
              <w:bottom w:val="single" w:sz="4" w:space="0" w:color="FFFFFF"/>
            </w:tcBorders>
            <w:shd w:val="clear" w:color="auto" w:fill="E8F5F1"/>
          </w:tcPr>
          <w:p>
            <w:pPr>
              <w:pStyle w:val="TableParagraph"/>
              <w:ind w:left="2"/>
              <w:jc w:val="center"/>
              <w:rPr>
                <w:rFonts w:ascii="Cambria"/>
                <w:sz w:val="15"/>
              </w:rPr>
            </w:pPr>
            <w:r>
              <w:rPr>
                <w:rFonts w:ascii="Cambria"/>
                <w:color w:val="231F20"/>
                <w:spacing w:val="-10"/>
                <w:sz w:val="15"/>
              </w:rPr>
              <w:t>+</w:t>
            </w:r>
          </w:p>
        </w:tc>
        <w:tc>
          <w:tcPr>
            <w:tcW w:w="1125" w:type="dxa"/>
            <w:vMerge/>
            <w:tcBorders>
              <w:top w:val="nil"/>
              <w:bottom w:val="single" w:sz="4" w:space="0" w:color="FFFFFF"/>
            </w:tcBorders>
            <w:shd w:val="clear" w:color="auto" w:fill="E8F5F1"/>
          </w:tcPr>
          <w:p>
            <w:pPr>
              <w:rPr>
                <w:sz w:val="2"/>
                <w:szCs w:val="2"/>
              </w:rPr>
            </w:pPr>
          </w:p>
        </w:tc>
        <w:tc>
          <w:tcPr>
            <w:tcW w:w="852" w:type="dxa"/>
            <w:vMerge/>
            <w:tcBorders>
              <w:top w:val="nil"/>
              <w:bottom w:val="single" w:sz="4" w:space="0" w:color="FFFFFF"/>
            </w:tcBorders>
            <w:shd w:val="clear" w:color="auto" w:fill="E8F5F1"/>
          </w:tcPr>
          <w:p>
            <w:pPr>
              <w:rPr>
                <w:sz w:val="2"/>
                <w:szCs w:val="2"/>
              </w:rPr>
            </w:pPr>
          </w:p>
        </w:tc>
      </w:tr>
      <w:tr>
        <w:trPr>
          <w:trHeight w:val="436" w:hRule="exact"/>
        </w:trPr>
        <w:tc>
          <w:tcPr>
            <w:tcW w:w="1148"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Heart</w:t>
            </w:r>
          </w:p>
        </w:tc>
        <w:tc>
          <w:tcPr>
            <w:tcW w:w="205" w:type="dxa"/>
            <w:tcBorders>
              <w:top w:val="single" w:sz="4" w:space="0" w:color="FFFFFF"/>
              <w:bottom w:val="single" w:sz="4" w:space="0" w:color="FFFFFF"/>
            </w:tcBorders>
            <w:shd w:val="clear" w:color="auto" w:fill="E8F5F1"/>
          </w:tcPr>
          <w:p>
            <w:pPr>
              <w:pStyle w:val="TableParagraph"/>
              <w:rPr>
                <w:rFonts w:ascii="Times New Roman"/>
                <w:sz w:val="14"/>
              </w:rPr>
            </w:pPr>
          </w:p>
        </w:tc>
        <w:tc>
          <w:tcPr>
            <w:tcW w:w="1974" w:type="dxa"/>
            <w:tcBorders>
              <w:top w:val="single" w:sz="4" w:space="0" w:color="FFFFFF"/>
              <w:bottom w:val="single" w:sz="4" w:space="0" w:color="FFFFFF"/>
            </w:tcBorders>
            <w:shd w:val="clear" w:color="auto" w:fill="E8F5F1"/>
          </w:tcPr>
          <w:p>
            <w:pPr>
              <w:pStyle w:val="TableParagraph"/>
              <w:spacing w:line="237" w:lineRule="auto" w:before="43"/>
              <w:ind w:left="75"/>
              <w:rPr>
                <w:sz w:val="15"/>
              </w:rPr>
            </w:pPr>
            <w:r>
              <w:rPr>
                <w:color w:val="231F20"/>
                <w:sz w:val="15"/>
              </w:rPr>
              <w:t>Conduction</w:t>
            </w:r>
            <w:r>
              <w:rPr>
                <w:color w:val="231F20"/>
                <w:spacing w:val="-10"/>
                <w:sz w:val="15"/>
              </w:rPr>
              <w:t> </w:t>
            </w:r>
            <w:r>
              <w:rPr>
                <w:color w:val="231F20"/>
                <w:sz w:val="15"/>
              </w:rPr>
              <w:t>block </w:t>
            </w:r>
            <w:r>
              <w:rPr>
                <w:color w:val="231F20"/>
                <w:spacing w:val="-2"/>
                <w:sz w:val="15"/>
              </w:rPr>
              <w:t>Cardiomyopathy</w:t>
            </w:r>
          </w:p>
        </w:tc>
        <w:tc>
          <w:tcPr>
            <w:tcW w:w="1189"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95"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01" w:type="dxa"/>
            <w:tcBorders>
              <w:top w:val="single" w:sz="4" w:space="0" w:color="FFFFFF"/>
              <w:bottom w:val="single" w:sz="4" w:space="0" w:color="FFFFFF"/>
            </w:tcBorders>
            <w:shd w:val="clear" w:color="auto" w:fill="E8F5F1"/>
          </w:tcPr>
          <w:p>
            <w:pPr>
              <w:pStyle w:val="TableParagraph"/>
              <w:rPr>
                <w:rFonts w:ascii="Times New Roman"/>
                <w:sz w:val="14"/>
              </w:rPr>
            </w:pPr>
          </w:p>
        </w:tc>
        <w:tc>
          <w:tcPr>
            <w:tcW w:w="957" w:type="dxa"/>
            <w:tcBorders>
              <w:top w:val="single" w:sz="4" w:space="0" w:color="FFFFFF"/>
              <w:bottom w:val="single" w:sz="4" w:space="0" w:color="FFFFFF"/>
            </w:tcBorders>
            <w:shd w:val="clear" w:color="auto" w:fill="E8F5F1"/>
          </w:tcPr>
          <w:p>
            <w:pPr>
              <w:pStyle w:val="TableParagraph"/>
              <w:spacing w:line="174" w:lineRule="exact" w:before="42"/>
              <w:ind w:left="2"/>
              <w:jc w:val="center"/>
              <w:rPr>
                <w:rFonts w:ascii="Cambria"/>
                <w:sz w:val="15"/>
              </w:rPr>
            </w:pPr>
            <w:r>
              <w:rPr>
                <w:rFonts w:ascii="Cambria"/>
                <w:color w:val="231F20"/>
                <w:spacing w:val="-10"/>
                <w:sz w:val="15"/>
              </w:rPr>
              <w:t>+</w:t>
            </w:r>
          </w:p>
          <w:p>
            <w:pPr>
              <w:pStyle w:val="TableParagraph"/>
              <w:spacing w:line="174" w:lineRule="exact"/>
              <w:ind w:left="2"/>
              <w:jc w:val="center"/>
              <w:rPr>
                <w:rFonts w:ascii="Cambria"/>
                <w:sz w:val="15"/>
              </w:rPr>
            </w:pPr>
            <w:r>
              <w:rPr>
                <w:rFonts w:ascii="Cambria"/>
                <w:color w:val="231F20"/>
                <w:spacing w:val="-10"/>
                <w:sz w:val="15"/>
              </w:rPr>
              <w:t>+</w:t>
            </w: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852" w:type="dxa"/>
            <w:tcBorders>
              <w:top w:val="single" w:sz="4" w:space="0" w:color="FFFFFF"/>
              <w:bottom w:val="single" w:sz="4" w:space="0" w:color="FFFFFF"/>
            </w:tcBorders>
            <w:shd w:val="clear" w:color="auto" w:fill="E8F5F1"/>
          </w:tcPr>
          <w:p>
            <w:pPr>
              <w:pStyle w:val="TableParagraph"/>
              <w:spacing w:before="42"/>
              <w:ind w:left="266"/>
              <w:jc w:val="center"/>
              <w:rPr>
                <w:rFonts w:ascii="Cambria"/>
                <w:sz w:val="15"/>
              </w:rPr>
            </w:pPr>
            <w:r>
              <w:rPr>
                <w:rFonts w:ascii="Cambria"/>
                <w:color w:val="231F20"/>
                <w:spacing w:val="-10"/>
                <w:sz w:val="15"/>
              </w:rPr>
              <w:t>+</w:t>
            </w:r>
          </w:p>
        </w:tc>
      </w:tr>
      <w:tr>
        <w:trPr>
          <w:trHeight w:val="436" w:hRule="exact"/>
        </w:trPr>
        <w:tc>
          <w:tcPr>
            <w:tcW w:w="1148"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w w:val="105"/>
                <w:sz w:val="15"/>
              </w:rPr>
              <w:t>Blood</w:t>
            </w:r>
          </w:p>
        </w:tc>
        <w:tc>
          <w:tcPr>
            <w:tcW w:w="205" w:type="dxa"/>
            <w:tcBorders>
              <w:top w:val="single" w:sz="4" w:space="0" w:color="FFFFFF"/>
              <w:bottom w:val="single" w:sz="4" w:space="0" w:color="FFFFFF"/>
            </w:tcBorders>
            <w:shd w:val="clear" w:color="auto" w:fill="E8F5F1"/>
          </w:tcPr>
          <w:p>
            <w:pPr>
              <w:pStyle w:val="TableParagraph"/>
              <w:rPr>
                <w:rFonts w:ascii="Times New Roman"/>
                <w:sz w:val="14"/>
              </w:rPr>
            </w:pPr>
          </w:p>
        </w:tc>
        <w:tc>
          <w:tcPr>
            <w:tcW w:w="1974" w:type="dxa"/>
            <w:tcBorders>
              <w:top w:val="single" w:sz="4" w:space="0" w:color="FFFFFF"/>
              <w:bottom w:val="single" w:sz="4" w:space="0" w:color="FFFFFF"/>
            </w:tcBorders>
            <w:shd w:val="clear" w:color="auto" w:fill="E8F5F1"/>
          </w:tcPr>
          <w:p>
            <w:pPr>
              <w:pStyle w:val="TableParagraph"/>
              <w:spacing w:line="173" w:lineRule="exact" w:before="42"/>
              <w:ind w:left="75"/>
              <w:rPr>
                <w:sz w:val="15"/>
              </w:rPr>
            </w:pPr>
            <w:r>
              <w:rPr>
                <w:color w:val="231F20"/>
                <w:spacing w:val="-2"/>
                <w:sz w:val="15"/>
              </w:rPr>
              <w:t>Anemia</w:t>
            </w:r>
          </w:p>
          <w:p>
            <w:pPr>
              <w:pStyle w:val="TableParagraph"/>
              <w:spacing w:line="173" w:lineRule="exact"/>
              <w:ind w:left="75"/>
              <w:rPr>
                <w:sz w:val="15"/>
              </w:rPr>
            </w:pPr>
            <w:r>
              <w:rPr>
                <w:color w:val="231F20"/>
                <w:spacing w:val="-4"/>
                <w:sz w:val="15"/>
              </w:rPr>
              <w:t>Lactic</w:t>
            </w:r>
            <w:r>
              <w:rPr>
                <w:color w:val="231F20"/>
                <w:sz w:val="15"/>
              </w:rPr>
              <w:t> </w:t>
            </w:r>
            <w:r>
              <w:rPr>
                <w:color w:val="231F20"/>
                <w:spacing w:val="-2"/>
                <w:sz w:val="15"/>
              </w:rPr>
              <w:t>acidosis</w:t>
            </w:r>
          </w:p>
        </w:tc>
        <w:tc>
          <w:tcPr>
            <w:tcW w:w="1189" w:type="dxa"/>
            <w:tcBorders>
              <w:top w:val="single" w:sz="4" w:space="0" w:color="FFFFFF"/>
              <w:bottom w:val="single" w:sz="4" w:space="0" w:color="FFFFFF"/>
            </w:tcBorders>
            <w:shd w:val="clear" w:color="auto" w:fill="E8F5F1"/>
          </w:tcPr>
          <w:p>
            <w:pPr>
              <w:pStyle w:val="TableParagraph"/>
              <w:spacing w:before="42"/>
              <w:ind w:left="2"/>
              <w:jc w:val="center"/>
              <w:rPr>
                <w:rFonts w:ascii="Cambria"/>
                <w:sz w:val="15"/>
              </w:rPr>
            </w:pPr>
            <w:r>
              <w:rPr>
                <w:rFonts w:ascii="Cambria"/>
                <w:color w:val="231F20"/>
                <w:spacing w:val="-10"/>
                <w:sz w:val="15"/>
              </w:rPr>
              <w:t>+</w:t>
            </w:r>
          </w:p>
        </w:tc>
        <w:tc>
          <w:tcPr>
            <w:tcW w:w="1195" w:type="dxa"/>
            <w:tcBorders>
              <w:top w:val="single" w:sz="4" w:space="0" w:color="FFFFFF"/>
              <w:bottom w:val="single" w:sz="4" w:space="0" w:color="FFFFFF"/>
            </w:tcBorders>
            <w:shd w:val="clear" w:color="auto" w:fill="E8F5F1"/>
          </w:tcPr>
          <w:p>
            <w:pPr>
              <w:pStyle w:val="TableParagraph"/>
              <w:spacing w:before="39"/>
              <w:rPr>
                <w:i/>
                <w:sz w:val="15"/>
              </w:rPr>
            </w:pPr>
          </w:p>
          <w:p>
            <w:pPr>
              <w:pStyle w:val="TableParagraph"/>
              <w:spacing w:before="1"/>
              <w:ind w:left="2"/>
              <w:jc w:val="center"/>
              <w:rPr>
                <w:rFonts w:ascii="Cambria"/>
                <w:sz w:val="15"/>
              </w:rPr>
            </w:pPr>
            <w:r>
              <w:rPr>
                <w:rFonts w:ascii="Cambria"/>
                <w:color w:val="231F20"/>
                <w:spacing w:val="-10"/>
                <w:sz w:val="15"/>
              </w:rPr>
              <w:t>+</w:t>
            </w:r>
          </w:p>
        </w:tc>
        <w:tc>
          <w:tcPr>
            <w:tcW w:w="1101" w:type="dxa"/>
            <w:tcBorders>
              <w:top w:val="single" w:sz="4" w:space="0" w:color="FFFFFF"/>
              <w:bottom w:val="single" w:sz="4" w:space="0" w:color="FFFFFF"/>
            </w:tcBorders>
            <w:shd w:val="clear" w:color="auto" w:fill="E8F5F1"/>
          </w:tcPr>
          <w:p>
            <w:pPr>
              <w:pStyle w:val="TableParagraph"/>
              <w:rPr>
                <w:rFonts w:ascii="Times New Roman"/>
                <w:sz w:val="14"/>
              </w:rPr>
            </w:pPr>
          </w:p>
        </w:tc>
        <w:tc>
          <w:tcPr>
            <w:tcW w:w="957" w:type="dxa"/>
            <w:tcBorders>
              <w:top w:val="single" w:sz="4" w:space="0" w:color="FFFFFF"/>
              <w:bottom w:val="single" w:sz="4" w:space="0" w:color="FFFFFF"/>
            </w:tcBorders>
            <w:shd w:val="clear" w:color="auto" w:fill="E8F5F1"/>
          </w:tcPr>
          <w:p>
            <w:pPr>
              <w:pStyle w:val="TableParagraph"/>
              <w:spacing w:before="39"/>
              <w:rPr>
                <w:i/>
                <w:sz w:val="15"/>
              </w:rPr>
            </w:pPr>
          </w:p>
          <w:p>
            <w:pPr>
              <w:pStyle w:val="TableParagraph"/>
              <w:spacing w:before="1"/>
              <w:ind w:left="2"/>
              <w:jc w:val="center"/>
              <w:rPr>
                <w:rFonts w:ascii="Cambria"/>
                <w:sz w:val="15"/>
              </w:rPr>
            </w:pPr>
            <w:r>
              <w:rPr>
                <w:rFonts w:ascii="Cambria"/>
                <w:color w:val="231F20"/>
                <w:spacing w:val="-10"/>
                <w:sz w:val="15"/>
              </w:rPr>
              <w:t>+</w:t>
            </w:r>
          </w:p>
        </w:tc>
        <w:tc>
          <w:tcPr>
            <w:tcW w:w="1125" w:type="dxa"/>
            <w:tcBorders>
              <w:top w:val="single" w:sz="4" w:space="0" w:color="FFFFFF"/>
              <w:bottom w:val="single" w:sz="4" w:space="0" w:color="FFFFFF"/>
            </w:tcBorders>
            <w:shd w:val="clear" w:color="auto" w:fill="E8F5F1"/>
          </w:tcPr>
          <w:p>
            <w:pPr>
              <w:pStyle w:val="TableParagraph"/>
              <w:spacing w:before="39"/>
              <w:rPr>
                <w:i/>
                <w:sz w:val="15"/>
              </w:rPr>
            </w:pPr>
          </w:p>
          <w:p>
            <w:pPr>
              <w:pStyle w:val="TableParagraph"/>
              <w:spacing w:before="1"/>
              <w:ind w:left="73" w:right="71"/>
              <w:jc w:val="center"/>
              <w:rPr>
                <w:rFonts w:ascii="Cambria"/>
                <w:sz w:val="15"/>
              </w:rPr>
            </w:pPr>
            <w:r>
              <w:rPr>
                <w:rFonts w:ascii="Cambria"/>
                <w:color w:val="231F20"/>
                <w:spacing w:val="-10"/>
                <w:sz w:val="15"/>
              </w:rPr>
              <w:t>+</w:t>
            </w:r>
          </w:p>
        </w:tc>
        <w:tc>
          <w:tcPr>
            <w:tcW w:w="852"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36" w:hRule="exact"/>
        </w:trPr>
        <w:tc>
          <w:tcPr>
            <w:tcW w:w="1353" w:type="dxa"/>
            <w:gridSpan w:val="2"/>
            <w:tcBorders>
              <w:top w:val="single" w:sz="4" w:space="0" w:color="FFFFFF"/>
            </w:tcBorders>
            <w:shd w:val="clear" w:color="auto" w:fill="E8F5F1"/>
          </w:tcPr>
          <w:p>
            <w:pPr>
              <w:pStyle w:val="TableParagraph"/>
              <w:spacing w:before="42"/>
              <w:ind w:left="75"/>
              <w:rPr>
                <w:sz w:val="15"/>
              </w:rPr>
            </w:pPr>
            <w:r>
              <w:rPr>
                <w:color w:val="231F20"/>
                <w:spacing w:val="-2"/>
                <w:sz w:val="15"/>
              </w:rPr>
              <w:t>Endocrine</w:t>
            </w:r>
          </w:p>
        </w:tc>
        <w:tc>
          <w:tcPr>
            <w:tcW w:w="1974" w:type="dxa"/>
            <w:tcBorders>
              <w:top w:val="single" w:sz="4" w:space="0" w:color="FFFFFF"/>
              <w:bottom w:val="single" w:sz="4" w:space="0" w:color="FFFFFF"/>
            </w:tcBorders>
            <w:shd w:val="clear" w:color="auto" w:fill="E8F5F1"/>
          </w:tcPr>
          <w:p>
            <w:pPr>
              <w:pStyle w:val="TableParagraph"/>
              <w:spacing w:line="237" w:lineRule="auto" w:before="43"/>
              <w:ind w:left="75" w:right="563"/>
              <w:rPr>
                <w:sz w:val="15"/>
              </w:rPr>
            </w:pPr>
            <w:r>
              <w:rPr>
                <w:color w:val="231F20"/>
                <w:spacing w:val="-2"/>
                <w:sz w:val="15"/>
              </w:rPr>
              <w:t>Diabetes</w:t>
            </w:r>
            <w:r>
              <w:rPr>
                <w:color w:val="231F20"/>
                <w:spacing w:val="-10"/>
                <w:sz w:val="15"/>
              </w:rPr>
              <w:t> </w:t>
            </w:r>
            <w:r>
              <w:rPr>
                <w:color w:val="231F20"/>
                <w:spacing w:val="-2"/>
                <w:sz w:val="15"/>
              </w:rPr>
              <w:t>mellitus </w:t>
            </w:r>
            <w:r>
              <w:rPr>
                <w:color w:val="231F20"/>
                <w:sz w:val="15"/>
              </w:rPr>
              <w:t>Short stature</w:t>
            </w:r>
          </w:p>
        </w:tc>
        <w:tc>
          <w:tcPr>
            <w:tcW w:w="1189" w:type="dxa"/>
            <w:tcBorders>
              <w:top w:val="single" w:sz="4" w:space="0" w:color="FFFFFF"/>
              <w:bottom w:val="single" w:sz="4" w:space="0" w:color="FFFFFF"/>
            </w:tcBorders>
            <w:shd w:val="clear" w:color="auto" w:fill="E8F5F1"/>
          </w:tcPr>
          <w:p>
            <w:pPr>
              <w:pStyle w:val="TableParagraph"/>
              <w:spacing w:before="39"/>
              <w:rPr>
                <w:i/>
                <w:sz w:val="15"/>
              </w:rPr>
            </w:pPr>
          </w:p>
          <w:p>
            <w:pPr>
              <w:pStyle w:val="TableParagraph"/>
              <w:spacing w:before="1"/>
              <w:ind w:left="2"/>
              <w:jc w:val="center"/>
              <w:rPr>
                <w:rFonts w:ascii="Cambria"/>
                <w:sz w:val="15"/>
              </w:rPr>
            </w:pPr>
            <w:r>
              <w:rPr>
                <w:rFonts w:ascii="Cambria"/>
                <w:color w:val="231F20"/>
                <w:spacing w:val="-10"/>
                <w:sz w:val="15"/>
              </w:rPr>
              <w:t>+</w:t>
            </w:r>
          </w:p>
        </w:tc>
        <w:tc>
          <w:tcPr>
            <w:tcW w:w="1195" w:type="dxa"/>
            <w:tcBorders>
              <w:top w:val="single" w:sz="4" w:space="0" w:color="FFFFFF"/>
              <w:bottom w:val="single" w:sz="4" w:space="0" w:color="FFFFFF"/>
            </w:tcBorders>
            <w:shd w:val="clear" w:color="auto" w:fill="E8F5F1"/>
          </w:tcPr>
          <w:p>
            <w:pPr>
              <w:pStyle w:val="TableParagraph"/>
              <w:spacing w:before="39"/>
              <w:rPr>
                <w:i/>
                <w:sz w:val="15"/>
              </w:rPr>
            </w:pPr>
          </w:p>
          <w:p>
            <w:pPr>
              <w:pStyle w:val="TableParagraph"/>
              <w:spacing w:before="1"/>
              <w:ind w:left="2"/>
              <w:jc w:val="center"/>
              <w:rPr>
                <w:rFonts w:ascii="Cambria"/>
                <w:sz w:val="15"/>
              </w:rPr>
            </w:pPr>
            <w:r>
              <w:rPr>
                <w:rFonts w:ascii="Cambria"/>
                <w:color w:val="231F20"/>
                <w:spacing w:val="-10"/>
                <w:sz w:val="15"/>
              </w:rPr>
              <w:t>+</w:t>
            </w:r>
          </w:p>
        </w:tc>
        <w:tc>
          <w:tcPr>
            <w:tcW w:w="1101" w:type="dxa"/>
            <w:tcBorders>
              <w:top w:val="single" w:sz="4" w:space="0" w:color="FFFFFF"/>
              <w:bottom w:val="single" w:sz="4" w:space="0" w:color="FFFFFF"/>
            </w:tcBorders>
            <w:shd w:val="clear" w:color="auto" w:fill="E8F5F1"/>
          </w:tcPr>
          <w:p>
            <w:pPr>
              <w:pStyle w:val="TableParagraph"/>
              <w:rPr>
                <w:rFonts w:ascii="Times New Roman"/>
                <w:sz w:val="14"/>
              </w:rPr>
            </w:pPr>
          </w:p>
        </w:tc>
        <w:tc>
          <w:tcPr>
            <w:tcW w:w="957" w:type="dxa"/>
            <w:tcBorders>
              <w:top w:val="single" w:sz="4" w:space="0" w:color="FFFFFF"/>
              <w:bottom w:val="single" w:sz="4" w:space="0" w:color="FFFFFF"/>
            </w:tcBorders>
            <w:shd w:val="clear" w:color="auto" w:fill="E8F5F1"/>
          </w:tcPr>
          <w:p>
            <w:pPr>
              <w:pStyle w:val="TableParagraph"/>
              <w:spacing w:line="174" w:lineRule="exact" w:before="42"/>
              <w:ind w:left="2"/>
              <w:jc w:val="center"/>
              <w:rPr>
                <w:rFonts w:ascii="Cambria"/>
                <w:sz w:val="15"/>
              </w:rPr>
            </w:pPr>
            <w:r>
              <w:rPr>
                <w:rFonts w:ascii="Cambria"/>
                <w:color w:val="231F20"/>
                <w:spacing w:val="-10"/>
                <w:sz w:val="15"/>
              </w:rPr>
              <w:t>+</w:t>
            </w:r>
          </w:p>
          <w:p>
            <w:pPr>
              <w:pStyle w:val="TableParagraph"/>
              <w:spacing w:line="174" w:lineRule="exact"/>
              <w:ind w:left="2"/>
              <w:jc w:val="center"/>
              <w:rPr>
                <w:rFonts w:ascii="Cambria"/>
                <w:sz w:val="15"/>
              </w:rPr>
            </w:pPr>
            <w:r>
              <w:rPr>
                <w:rFonts w:ascii="Cambria"/>
                <w:color w:val="231F20"/>
                <w:spacing w:val="-10"/>
                <w:sz w:val="15"/>
              </w:rPr>
              <w:t>+</w:t>
            </w: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852"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264" w:hRule="exact"/>
        </w:trPr>
        <w:tc>
          <w:tcPr>
            <w:tcW w:w="1353" w:type="dxa"/>
            <w:gridSpan w:val="2"/>
            <w:tcBorders>
              <w:bottom w:val="single" w:sz="8" w:space="0" w:color="231F20"/>
            </w:tcBorders>
            <w:shd w:val="clear" w:color="auto" w:fill="E8F5F1"/>
          </w:tcPr>
          <w:p>
            <w:pPr>
              <w:pStyle w:val="TableParagraph"/>
              <w:spacing w:before="47"/>
              <w:ind w:left="75"/>
              <w:rPr>
                <w:sz w:val="15"/>
              </w:rPr>
            </w:pPr>
            <w:r>
              <w:rPr>
                <w:color w:val="231F20"/>
                <w:spacing w:val="-2"/>
                <w:sz w:val="15"/>
              </w:rPr>
              <w:t>Kidney</w:t>
            </w:r>
          </w:p>
        </w:tc>
        <w:tc>
          <w:tcPr>
            <w:tcW w:w="1974" w:type="dxa"/>
            <w:tcBorders>
              <w:top w:val="single" w:sz="4" w:space="0" w:color="FFFFFF"/>
              <w:bottom w:val="single" w:sz="8" w:space="0" w:color="231F20"/>
            </w:tcBorders>
            <w:shd w:val="clear" w:color="auto" w:fill="E8F5F1"/>
          </w:tcPr>
          <w:p>
            <w:pPr>
              <w:pStyle w:val="TableParagraph"/>
              <w:spacing w:before="42"/>
              <w:ind w:left="75"/>
              <w:rPr>
                <w:sz w:val="15"/>
              </w:rPr>
            </w:pPr>
            <w:r>
              <w:rPr>
                <w:color w:val="231F20"/>
                <w:sz w:val="15"/>
              </w:rPr>
              <w:t>Fanconi</w:t>
            </w:r>
            <w:r>
              <w:rPr>
                <w:color w:val="231F20"/>
                <w:spacing w:val="1"/>
                <w:sz w:val="15"/>
              </w:rPr>
              <w:t> </w:t>
            </w:r>
            <w:r>
              <w:rPr>
                <w:color w:val="231F20"/>
                <w:spacing w:val="-2"/>
                <w:sz w:val="15"/>
              </w:rPr>
              <w:t>syndrome</w:t>
            </w:r>
          </w:p>
        </w:tc>
        <w:tc>
          <w:tcPr>
            <w:tcW w:w="1189" w:type="dxa"/>
            <w:tcBorders>
              <w:top w:val="single" w:sz="4" w:space="0" w:color="FFFFFF"/>
              <w:bottom w:val="single" w:sz="8" w:space="0" w:color="231F20"/>
            </w:tcBorders>
            <w:shd w:val="clear" w:color="auto" w:fill="E8F5F1"/>
          </w:tcPr>
          <w:p>
            <w:pPr>
              <w:pStyle w:val="TableParagraph"/>
              <w:spacing w:before="42"/>
              <w:ind w:left="2"/>
              <w:jc w:val="center"/>
              <w:rPr>
                <w:rFonts w:ascii="Cambria"/>
                <w:sz w:val="15"/>
              </w:rPr>
            </w:pPr>
            <w:r>
              <w:rPr>
                <w:rFonts w:ascii="Cambria"/>
                <w:color w:val="231F20"/>
                <w:spacing w:val="-10"/>
                <w:sz w:val="15"/>
              </w:rPr>
              <w:t>+</w:t>
            </w:r>
          </w:p>
        </w:tc>
        <w:tc>
          <w:tcPr>
            <w:tcW w:w="1195" w:type="dxa"/>
            <w:tcBorders>
              <w:top w:val="single" w:sz="4" w:space="0" w:color="FFFFFF"/>
              <w:bottom w:val="single" w:sz="8" w:space="0" w:color="231F20"/>
            </w:tcBorders>
            <w:shd w:val="clear" w:color="auto" w:fill="E8F5F1"/>
          </w:tcPr>
          <w:p>
            <w:pPr>
              <w:pStyle w:val="TableParagraph"/>
              <w:spacing w:before="42"/>
              <w:ind w:left="2"/>
              <w:jc w:val="center"/>
              <w:rPr>
                <w:rFonts w:ascii="Cambria"/>
                <w:sz w:val="15"/>
              </w:rPr>
            </w:pPr>
            <w:r>
              <w:rPr>
                <w:rFonts w:ascii="Cambria"/>
                <w:color w:val="231F20"/>
                <w:spacing w:val="-10"/>
                <w:sz w:val="15"/>
              </w:rPr>
              <w:t>+</w:t>
            </w:r>
          </w:p>
        </w:tc>
        <w:tc>
          <w:tcPr>
            <w:tcW w:w="1101" w:type="dxa"/>
            <w:tcBorders>
              <w:top w:val="single" w:sz="4" w:space="0" w:color="FFFFFF"/>
              <w:bottom w:val="single" w:sz="8" w:space="0" w:color="231F20"/>
            </w:tcBorders>
            <w:shd w:val="clear" w:color="auto" w:fill="E8F5F1"/>
          </w:tcPr>
          <w:p>
            <w:pPr>
              <w:pStyle w:val="TableParagraph"/>
              <w:rPr>
                <w:rFonts w:ascii="Times New Roman"/>
                <w:sz w:val="14"/>
              </w:rPr>
            </w:pPr>
          </w:p>
        </w:tc>
        <w:tc>
          <w:tcPr>
            <w:tcW w:w="957" w:type="dxa"/>
            <w:tcBorders>
              <w:top w:val="single" w:sz="4" w:space="0" w:color="FFFFFF"/>
              <w:bottom w:val="single" w:sz="8" w:space="0" w:color="231F20"/>
            </w:tcBorders>
            <w:shd w:val="clear" w:color="auto" w:fill="E8F5F1"/>
          </w:tcPr>
          <w:p>
            <w:pPr>
              <w:pStyle w:val="TableParagraph"/>
              <w:spacing w:before="42"/>
              <w:ind w:left="2"/>
              <w:jc w:val="center"/>
              <w:rPr>
                <w:rFonts w:ascii="Cambria"/>
                <w:sz w:val="15"/>
              </w:rPr>
            </w:pPr>
            <w:r>
              <w:rPr>
                <w:rFonts w:ascii="Cambria"/>
                <w:color w:val="231F20"/>
                <w:spacing w:val="-10"/>
                <w:sz w:val="15"/>
              </w:rPr>
              <w:t>+</w:t>
            </w:r>
          </w:p>
        </w:tc>
        <w:tc>
          <w:tcPr>
            <w:tcW w:w="1125" w:type="dxa"/>
            <w:tcBorders>
              <w:top w:val="single" w:sz="4" w:space="0" w:color="FFFFFF"/>
              <w:bottom w:val="single" w:sz="8" w:space="0" w:color="231F20"/>
            </w:tcBorders>
            <w:shd w:val="clear" w:color="auto" w:fill="E8F5F1"/>
          </w:tcPr>
          <w:p>
            <w:pPr>
              <w:pStyle w:val="TableParagraph"/>
              <w:rPr>
                <w:rFonts w:ascii="Times New Roman"/>
                <w:sz w:val="14"/>
              </w:rPr>
            </w:pPr>
          </w:p>
        </w:tc>
        <w:tc>
          <w:tcPr>
            <w:tcW w:w="852" w:type="dxa"/>
            <w:tcBorders>
              <w:top w:val="single" w:sz="4" w:space="0" w:color="FFFFFF"/>
              <w:bottom w:val="single" w:sz="8" w:space="0" w:color="231F20"/>
            </w:tcBorders>
            <w:shd w:val="clear" w:color="auto" w:fill="E8F5F1"/>
          </w:tcPr>
          <w:p>
            <w:pPr>
              <w:pStyle w:val="TableParagraph"/>
              <w:rPr>
                <w:rFonts w:ascii="Times New Roman"/>
                <w:sz w:val="14"/>
              </w:rPr>
            </w:pPr>
          </w:p>
        </w:tc>
      </w:tr>
    </w:tbl>
    <w:p>
      <w:pPr>
        <w:pStyle w:val="BodyText"/>
        <w:spacing w:before="85"/>
        <w:ind w:left="870" w:right="446"/>
      </w:pPr>
      <w:r>
        <w:rPr>
          <w:color w:val="231F20"/>
        </w:rPr>
        <w:t>KSS,</w:t>
      </w:r>
      <w:r>
        <w:rPr>
          <w:color w:val="231F20"/>
          <w:spacing w:val="-1"/>
        </w:rPr>
        <w:t> </w:t>
      </w:r>
      <w:r>
        <w:rPr>
          <w:color w:val="231F20"/>
        </w:rPr>
        <w:t>Kearns-Sayre</w:t>
      </w:r>
      <w:r>
        <w:rPr>
          <w:color w:val="231F20"/>
          <w:spacing w:val="-1"/>
        </w:rPr>
        <w:t> </w:t>
      </w:r>
      <w:r>
        <w:rPr>
          <w:color w:val="231F20"/>
        </w:rPr>
        <w:t>syndrome;</w:t>
      </w:r>
      <w:r>
        <w:rPr>
          <w:color w:val="231F20"/>
          <w:spacing w:val="-1"/>
        </w:rPr>
        <w:t> </w:t>
      </w:r>
      <w:r>
        <w:rPr>
          <w:color w:val="231F20"/>
        </w:rPr>
        <w:t>LHON,</w:t>
      </w:r>
      <w:r>
        <w:rPr>
          <w:color w:val="231F20"/>
          <w:spacing w:val="-1"/>
        </w:rPr>
        <w:t> </w:t>
      </w:r>
      <w:r>
        <w:rPr>
          <w:color w:val="231F20"/>
        </w:rPr>
        <w:t>Leber</w:t>
      </w:r>
      <w:r>
        <w:rPr>
          <w:color w:val="231F20"/>
          <w:spacing w:val="-1"/>
        </w:rPr>
        <w:t> </w:t>
      </w:r>
      <w:r>
        <w:rPr>
          <w:color w:val="231F20"/>
        </w:rPr>
        <w:t>hereditary</w:t>
      </w:r>
      <w:r>
        <w:rPr>
          <w:color w:val="231F20"/>
          <w:spacing w:val="-1"/>
        </w:rPr>
        <w:t> </w:t>
      </w:r>
      <w:r>
        <w:rPr>
          <w:color w:val="231F20"/>
        </w:rPr>
        <w:t>optic</w:t>
      </w:r>
      <w:r>
        <w:rPr>
          <w:color w:val="231F20"/>
          <w:spacing w:val="-1"/>
        </w:rPr>
        <w:t> </w:t>
      </w:r>
      <w:r>
        <w:rPr>
          <w:color w:val="231F20"/>
        </w:rPr>
        <w:t>neuropathy;</w:t>
      </w:r>
      <w:r>
        <w:rPr>
          <w:color w:val="231F20"/>
          <w:spacing w:val="-1"/>
        </w:rPr>
        <w:t> </w:t>
      </w:r>
      <w:r>
        <w:rPr>
          <w:color w:val="231F20"/>
        </w:rPr>
        <w:t>MELAS,</w:t>
      </w:r>
      <w:r>
        <w:rPr>
          <w:color w:val="231F20"/>
          <w:spacing w:val="-1"/>
        </w:rPr>
        <w:t> </w:t>
      </w:r>
      <w:r>
        <w:rPr>
          <w:color w:val="231F20"/>
        </w:rPr>
        <w:t>mitochondrial</w:t>
      </w:r>
      <w:r>
        <w:rPr>
          <w:color w:val="231F20"/>
          <w:spacing w:val="-1"/>
        </w:rPr>
        <w:t> </w:t>
      </w:r>
      <w:r>
        <w:rPr>
          <w:color w:val="231F20"/>
        </w:rPr>
        <w:t>myopathy,</w:t>
      </w:r>
      <w:r>
        <w:rPr>
          <w:color w:val="231F20"/>
          <w:spacing w:val="-1"/>
        </w:rPr>
        <w:t> </w:t>
      </w:r>
      <w:r>
        <w:rPr>
          <w:color w:val="231F20"/>
        </w:rPr>
        <w:t>encephalopathy,</w:t>
      </w:r>
      <w:r>
        <w:rPr>
          <w:color w:val="231F20"/>
          <w:spacing w:val="-1"/>
        </w:rPr>
        <w:t> </w:t>
      </w:r>
      <w:r>
        <w:rPr>
          <w:color w:val="231F20"/>
        </w:rPr>
        <w:t>lactic</w:t>
      </w:r>
      <w:r>
        <w:rPr>
          <w:color w:val="231F20"/>
          <w:spacing w:val="-1"/>
        </w:rPr>
        <w:t> </w:t>
      </w:r>
      <w:r>
        <w:rPr>
          <w:color w:val="231F20"/>
        </w:rPr>
        <w:t>acidosis,</w:t>
      </w:r>
      <w:r>
        <w:rPr>
          <w:color w:val="231F20"/>
          <w:spacing w:val="-1"/>
        </w:rPr>
        <w:t> </w:t>
      </w:r>
      <w:r>
        <w:rPr>
          <w:color w:val="231F20"/>
        </w:rPr>
        <w:t>and</w:t>
      </w:r>
      <w:r>
        <w:rPr>
          <w:color w:val="231F20"/>
          <w:spacing w:val="-1"/>
        </w:rPr>
        <w:t> </w:t>
      </w:r>
      <w:r>
        <w:rPr>
          <w:color w:val="231F20"/>
        </w:rPr>
        <w:t>stroke-like</w:t>
      </w:r>
      <w:r>
        <w:rPr>
          <w:color w:val="231F20"/>
          <w:spacing w:val="-1"/>
        </w:rPr>
        <w:t> </w:t>
      </w:r>
      <w:r>
        <w:rPr>
          <w:color w:val="231F20"/>
        </w:rPr>
        <w:t>episodes;</w:t>
      </w:r>
      <w:r>
        <w:rPr>
          <w:color w:val="231F20"/>
          <w:spacing w:val="40"/>
        </w:rPr>
        <w:t> </w:t>
      </w:r>
      <w:r>
        <w:rPr>
          <w:color w:val="231F20"/>
        </w:rPr>
        <w:t>MERRF, myoclonic epilepsy with ragged red fibers; NARP, neuropathy, ataxia and retinitis pigmentosa; RRF, ragged red fibers.</w:t>
      </w:r>
    </w:p>
    <w:p>
      <w:pPr>
        <w:pStyle w:val="BodyText"/>
        <w:spacing w:after="0"/>
        <w:sectPr>
          <w:pgSz w:w="11900" w:h="16840"/>
          <w:pgMar w:header="0" w:footer="0" w:top="720" w:bottom="280" w:left="425" w:right="566"/>
        </w:sectPr>
      </w:pPr>
    </w:p>
    <w:p>
      <w:pPr>
        <w:pStyle w:val="BodyText"/>
        <w:rPr>
          <w:sz w:val="20"/>
        </w:rPr>
      </w:pPr>
    </w:p>
    <w:p>
      <w:pPr>
        <w:pStyle w:val="BodyText"/>
        <w:spacing w:before="122"/>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771" name="Group 771"/>
                <wp:cNvGraphicFramePr>
                  <a:graphicFrameLocks/>
                </wp:cNvGraphicFramePr>
                <a:graphic>
                  <a:graphicData uri="http://schemas.microsoft.com/office/word/2010/wordprocessingGroup">
                    <wpg:wgp>
                      <wpg:cNvPr id="771" name="Group 771"/>
                      <wpg:cNvGrpSpPr/>
                      <wpg:grpSpPr>
                        <a:xfrm>
                          <a:off x="0" y="0"/>
                          <a:ext cx="6185535" cy="170815"/>
                          <a:chExt cx="6185535" cy="170815"/>
                        </a:xfrm>
                      </wpg:grpSpPr>
                      <wps:wsp>
                        <wps:cNvPr id="772" name="Graphic 772"/>
                        <wps:cNvSpPr/>
                        <wps:spPr>
                          <a:xfrm>
                            <a:off x="0"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773" name="Graphic 773"/>
                        <wps:cNvSpPr/>
                        <wps:spPr>
                          <a:xfrm>
                            <a:off x="0" y="15866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774" name="Textbox 774"/>
                        <wps:cNvSpPr txBox="1"/>
                        <wps:spPr>
                          <a:xfrm>
                            <a:off x="0" y="0"/>
                            <a:ext cx="6185535" cy="170815"/>
                          </a:xfrm>
                          <a:prstGeom prst="rect">
                            <a:avLst/>
                          </a:prstGeom>
                        </wps:spPr>
                        <wps:txbx>
                          <w:txbxContent>
                            <w:p>
                              <w:pPr>
                                <w:spacing w:before="6"/>
                                <w:ind w:left="6208" w:right="0" w:firstLine="0"/>
                                <w:jc w:val="left"/>
                                <w:rPr>
                                  <w:b/>
                                  <w:sz w:val="18"/>
                                </w:rPr>
                              </w:pPr>
                              <w:r>
                                <w:rPr>
                                  <w:b/>
                                  <w:color w:val="007431"/>
                                  <w:w w:val="105"/>
                                  <w:sz w:val="18"/>
                                </w:rPr>
                                <w:t>Chapter</w:t>
                              </w:r>
                              <w:r>
                                <w:rPr>
                                  <w:b/>
                                  <w:color w:val="007431"/>
                                  <w:spacing w:val="9"/>
                                  <w:w w:val="105"/>
                                  <w:sz w:val="18"/>
                                </w:rPr>
                                <w:t> </w:t>
                              </w:r>
                              <w:r>
                                <w:rPr>
                                  <w:b/>
                                  <w:color w:val="007431"/>
                                  <w:w w:val="105"/>
                                  <w:sz w:val="18"/>
                                </w:rPr>
                                <w:t>598</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3"/>
                                  <w:w w:val="105"/>
                                  <w:sz w:val="15"/>
                                </w:rPr>
                                <w:t> </w:t>
                              </w:r>
                              <w:r>
                                <w:rPr>
                                  <w:color w:val="231F20"/>
                                  <w:w w:val="105"/>
                                  <w:sz w:val="18"/>
                                </w:rPr>
                                <w:t>Encephalopathies</w:t>
                              </w:r>
                              <w:r>
                                <w:rPr>
                                  <w:color w:val="231F20"/>
                                  <w:spacing w:val="36"/>
                                  <w:w w:val="105"/>
                                  <w:sz w:val="18"/>
                                </w:rPr>
                                <w:t>  </w:t>
                              </w:r>
                              <w:r>
                                <w:rPr>
                                  <w:b/>
                                  <w:color w:val="231F20"/>
                                  <w:spacing w:val="-4"/>
                                  <w:w w:val="105"/>
                                  <w:sz w:val="18"/>
                                </w:rPr>
                                <w:t>2903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42" coordorigin="0,0" coordsize="9741,269">
                <v:line style="position:absolute" from="0,145" to="37,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643" filled="false" stroked="false">
                  <v:textbox inset="0,0,0,0">
                    <w:txbxContent>
                      <w:p>
                        <w:pPr>
                          <w:spacing w:before="6"/>
                          <w:ind w:left="6208" w:right="0" w:firstLine="0"/>
                          <w:jc w:val="left"/>
                          <w:rPr>
                            <w:b/>
                            <w:sz w:val="18"/>
                          </w:rPr>
                        </w:pPr>
                        <w:r>
                          <w:rPr>
                            <w:b/>
                            <w:color w:val="007431"/>
                            <w:w w:val="105"/>
                            <w:sz w:val="18"/>
                          </w:rPr>
                          <w:t>Chapter</w:t>
                        </w:r>
                        <w:r>
                          <w:rPr>
                            <w:b/>
                            <w:color w:val="007431"/>
                            <w:spacing w:val="9"/>
                            <w:w w:val="105"/>
                            <w:sz w:val="18"/>
                          </w:rPr>
                          <w:t> </w:t>
                        </w:r>
                        <w:r>
                          <w:rPr>
                            <w:b/>
                            <w:color w:val="007431"/>
                            <w:w w:val="105"/>
                            <w:sz w:val="18"/>
                          </w:rPr>
                          <w:t>598</w:t>
                        </w:r>
                        <w:r>
                          <w:rPr>
                            <w:b/>
                            <w:color w:val="007431"/>
                            <w:spacing w:val="36"/>
                            <w:w w:val="105"/>
                            <w:sz w:val="18"/>
                          </w:rPr>
                          <w:t> </w:t>
                        </w:r>
                        <w:r>
                          <w:rPr>
                            <w:rFonts w:ascii="Lucida Sans Unicode" w:hAnsi="Lucida Sans Unicode"/>
                            <w:color w:val="659F6F"/>
                            <w:w w:val="105"/>
                            <w:sz w:val="15"/>
                          </w:rPr>
                          <w:t>◆</w:t>
                        </w:r>
                        <w:r>
                          <w:rPr>
                            <w:rFonts w:ascii="Lucida Sans Unicode" w:hAnsi="Lucida Sans Unicode"/>
                            <w:color w:val="659F6F"/>
                            <w:spacing w:val="43"/>
                            <w:w w:val="105"/>
                            <w:sz w:val="15"/>
                          </w:rPr>
                          <w:t> </w:t>
                        </w:r>
                        <w:r>
                          <w:rPr>
                            <w:color w:val="231F20"/>
                            <w:w w:val="105"/>
                            <w:sz w:val="18"/>
                          </w:rPr>
                          <w:t>Encephalopathies</w:t>
                        </w:r>
                        <w:r>
                          <w:rPr>
                            <w:color w:val="231F20"/>
                            <w:spacing w:val="36"/>
                            <w:w w:val="105"/>
                            <w:sz w:val="18"/>
                          </w:rPr>
                          <w:t>  </w:t>
                        </w:r>
                        <w:r>
                          <w:rPr>
                            <w:b/>
                            <w:color w:val="231F20"/>
                            <w:spacing w:val="-4"/>
                            <w:w w:val="105"/>
                            <w:sz w:val="18"/>
                          </w:rPr>
                          <w:t>2903</w:t>
                        </w:r>
                      </w:p>
                    </w:txbxContent>
                  </v:textbox>
                  <w10:wrap type="none"/>
                </v:shape>
              </v:group>
            </w:pict>
          </mc:Fallback>
        </mc:AlternateContent>
      </w:r>
      <w:r>
        <w:rPr>
          <w:sz w:val="20"/>
        </w:rPr>
      </w:r>
    </w:p>
    <w:p>
      <w:pPr>
        <w:pStyle w:val="BodyText"/>
        <w:spacing w:before="9"/>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723"/>
        <w:gridCol w:w="4871"/>
      </w:tblGrid>
      <w:tr>
        <w:trPr>
          <w:trHeight w:val="372"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598-</w:t>
            </w:r>
            <w:r>
              <w:rPr>
                <w:b/>
                <w:color w:val="FFFFFF"/>
                <w:spacing w:val="-10"/>
                <w:w w:val="105"/>
                <w:sz w:val="16"/>
              </w:rPr>
              <w:t>3</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Clinical</w:t>
            </w:r>
            <w:r>
              <w:rPr>
                <w:color w:val="FFFFFF"/>
                <w:spacing w:val="8"/>
                <w:w w:val="105"/>
                <w:sz w:val="16"/>
              </w:rPr>
              <w:t> </w:t>
            </w:r>
            <w:r>
              <w:rPr>
                <w:color w:val="FFFFFF"/>
                <w:w w:val="105"/>
                <w:sz w:val="16"/>
              </w:rPr>
              <w:t>Features</w:t>
            </w:r>
            <w:r>
              <w:rPr>
                <w:color w:val="FFFFFF"/>
                <w:spacing w:val="8"/>
                <w:w w:val="105"/>
                <w:sz w:val="16"/>
              </w:rPr>
              <w:t> </w:t>
            </w:r>
            <w:r>
              <w:rPr>
                <w:color w:val="FFFFFF"/>
                <w:w w:val="105"/>
                <w:sz w:val="16"/>
              </w:rPr>
              <w:t>of</w:t>
            </w:r>
            <w:r>
              <w:rPr>
                <w:color w:val="FFFFFF"/>
                <w:spacing w:val="9"/>
                <w:w w:val="105"/>
                <w:sz w:val="16"/>
              </w:rPr>
              <w:t> </w:t>
            </w:r>
            <w:r>
              <w:rPr>
                <w:color w:val="FFFFFF"/>
                <w:w w:val="105"/>
                <w:sz w:val="16"/>
              </w:rPr>
              <w:t>Congenital</w:t>
            </w:r>
            <w:r>
              <w:rPr>
                <w:color w:val="FFFFFF"/>
                <w:spacing w:val="8"/>
                <w:w w:val="105"/>
                <w:sz w:val="16"/>
              </w:rPr>
              <w:t> </w:t>
            </w:r>
            <w:r>
              <w:rPr>
                <w:color w:val="FFFFFF"/>
                <w:w w:val="105"/>
                <w:sz w:val="16"/>
              </w:rPr>
              <w:t>Leigh</w:t>
            </w:r>
            <w:r>
              <w:rPr>
                <w:color w:val="FFFFFF"/>
                <w:spacing w:val="9"/>
                <w:w w:val="105"/>
                <w:sz w:val="16"/>
              </w:rPr>
              <w:t> </w:t>
            </w:r>
            <w:r>
              <w:rPr>
                <w:color w:val="FFFFFF"/>
                <w:w w:val="105"/>
                <w:sz w:val="16"/>
              </w:rPr>
              <w:t>Syndrome</w:t>
            </w:r>
            <w:r>
              <w:rPr>
                <w:color w:val="FFFFFF"/>
                <w:spacing w:val="8"/>
                <w:w w:val="105"/>
                <w:sz w:val="16"/>
              </w:rPr>
              <w:t> </w:t>
            </w:r>
            <w:r>
              <w:rPr>
                <w:color w:val="FFFFFF"/>
                <w:w w:val="105"/>
                <w:sz w:val="16"/>
              </w:rPr>
              <w:t>or</w:t>
            </w:r>
            <w:r>
              <w:rPr>
                <w:color w:val="FFFFFF"/>
                <w:spacing w:val="8"/>
                <w:w w:val="105"/>
                <w:sz w:val="16"/>
              </w:rPr>
              <w:t> </w:t>
            </w:r>
            <w:r>
              <w:rPr>
                <w:color w:val="FFFFFF"/>
                <w:w w:val="105"/>
                <w:sz w:val="16"/>
              </w:rPr>
              <w:t>Leigh-Like</w:t>
            </w:r>
            <w:r>
              <w:rPr>
                <w:color w:val="FFFFFF"/>
                <w:spacing w:val="9"/>
                <w:w w:val="105"/>
                <w:sz w:val="16"/>
              </w:rPr>
              <w:t> </w:t>
            </w:r>
            <w:r>
              <w:rPr>
                <w:color w:val="FFFFFF"/>
                <w:spacing w:val="-2"/>
                <w:w w:val="105"/>
                <w:sz w:val="16"/>
              </w:rPr>
              <w:t>Syndrome</w:t>
            </w:r>
          </w:p>
        </w:tc>
      </w:tr>
      <w:tr>
        <w:trPr>
          <w:trHeight w:val="217" w:hRule="atLeast"/>
        </w:trPr>
        <w:tc>
          <w:tcPr>
            <w:tcW w:w="4871" w:type="dxa"/>
            <w:gridSpan w:val="2"/>
            <w:tcBorders>
              <w:right w:val="single" w:sz="4" w:space="0" w:color="231F20"/>
            </w:tcBorders>
            <w:shd w:val="clear" w:color="auto" w:fill="E8F5F1"/>
          </w:tcPr>
          <w:p>
            <w:pPr>
              <w:pStyle w:val="TableParagraph"/>
              <w:spacing w:line="159" w:lineRule="exact" w:before="38"/>
              <w:ind w:left="74"/>
              <w:rPr>
                <w:sz w:val="15"/>
              </w:rPr>
            </w:pPr>
            <w:r>
              <w:rPr>
                <w:color w:val="231F20"/>
                <w:w w:val="115"/>
                <w:sz w:val="15"/>
              </w:rPr>
              <w:t>NEUROLOGIC</w:t>
            </w:r>
            <w:r>
              <w:rPr>
                <w:color w:val="231F20"/>
                <w:spacing w:val="-12"/>
                <w:w w:val="115"/>
                <w:sz w:val="15"/>
              </w:rPr>
              <w:t> </w:t>
            </w:r>
            <w:r>
              <w:rPr>
                <w:color w:val="231F20"/>
                <w:spacing w:val="-2"/>
                <w:w w:val="115"/>
                <w:sz w:val="15"/>
              </w:rPr>
              <w:t>MANIFESTATIONS</w:t>
            </w:r>
          </w:p>
        </w:tc>
        <w:tc>
          <w:tcPr>
            <w:tcW w:w="4871" w:type="dxa"/>
            <w:tcBorders>
              <w:top w:val="single" w:sz="4" w:space="0" w:color="FFFFFF"/>
              <w:left w:val="single" w:sz="4" w:space="0" w:color="231F20"/>
            </w:tcBorders>
            <w:shd w:val="clear" w:color="auto" w:fill="E8F5F1"/>
          </w:tcPr>
          <w:p>
            <w:pPr>
              <w:pStyle w:val="TableParagraph"/>
              <w:spacing w:line="155" w:lineRule="exact" w:before="43"/>
              <w:ind w:left="68"/>
              <w:rPr>
                <w:sz w:val="15"/>
              </w:rPr>
            </w:pPr>
            <w:r>
              <w:rPr>
                <w:color w:val="231F20"/>
                <w:w w:val="115"/>
                <w:sz w:val="15"/>
              </w:rPr>
              <w:t>NONNEUROLOGIC</w:t>
            </w:r>
            <w:r>
              <w:rPr>
                <w:color w:val="231F20"/>
                <w:spacing w:val="8"/>
                <w:w w:val="115"/>
                <w:sz w:val="15"/>
              </w:rPr>
              <w:t> </w:t>
            </w:r>
            <w:r>
              <w:rPr>
                <w:color w:val="231F20"/>
                <w:spacing w:val="-2"/>
                <w:w w:val="115"/>
                <w:sz w:val="15"/>
              </w:rPr>
              <w:t>MANIFESTATIONS</w:t>
            </w:r>
          </w:p>
        </w:tc>
      </w:tr>
      <w:tr>
        <w:trPr>
          <w:trHeight w:val="169" w:hRule="atLeast"/>
        </w:trPr>
        <w:tc>
          <w:tcPr>
            <w:tcW w:w="4871" w:type="dxa"/>
            <w:gridSpan w:val="2"/>
            <w:tcBorders>
              <w:right w:val="single" w:sz="4" w:space="0" w:color="231F20"/>
            </w:tcBorders>
            <w:shd w:val="clear" w:color="auto" w:fill="E8F5F1"/>
          </w:tcPr>
          <w:p>
            <w:pPr>
              <w:pStyle w:val="TableParagraph"/>
              <w:spacing w:line="149" w:lineRule="exact"/>
              <w:ind w:left="74"/>
              <w:rPr>
                <w:i/>
                <w:sz w:val="15"/>
              </w:rPr>
            </w:pPr>
            <w:r>
              <w:rPr>
                <w:i/>
                <w:color w:val="231F20"/>
                <w:spacing w:val="-2"/>
                <w:sz w:val="15"/>
              </w:rPr>
              <w:t>Brainstem</w:t>
            </w:r>
          </w:p>
        </w:tc>
        <w:tc>
          <w:tcPr>
            <w:tcW w:w="4871" w:type="dxa"/>
            <w:tcBorders>
              <w:left w:val="single" w:sz="4" w:space="0" w:color="231F20"/>
            </w:tcBorders>
            <w:shd w:val="clear" w:color="auto" w:fill="E8F5F1"/>
          </w:tcPr>
          <w:p>
            <w:pPr>
              <w:pStyle w:val="TableParagraph"/>
              <w:spacing w:line="149" w:lineRule="exact"/>
              <w:ind w:left="68"/>
              <w:rPr>
                <w:i/>
                <w:sz w:val="15"/>
              </w:rPr>
            </w:pPr>
            <w:r>
              <w:rPr>
                <w:i/>
                <w:color w:val="231F20"/>
                <w:sz w:val="15"/>
              </w:rPr>
              <w:t>Dysmorphic</w:t>
            </w:r>
            <w:r>
              <w:rPr>
                <w:i/>
                <w:color w:val="231F20"/>
                <w:spacing w:val="27"/>
                <w:sz w:val="15"/>
              </w:rPr>
              <w:t> </w:t>
            </w:r>
            <w:r>
              <w:rPr>
                <w:i/>
                <w:color w:val="231F20"/>
                <w:spacing w:val="-2"/>
                <w:sz w:val="15"/>
              </w:rPr>
              <w:t>Features</w:t>
            </w:r>
          </w:p>
        </w:tc>
      </w:tr>
      <w:tr>
        <w:trPr>
          <w:trHeight w:val="165" w:hRule="atLeast"/>
        </w:trPr>
        <w:tc>
          <w:tcPr>
            <w:tcW w:w="4871" w:type="dxa"/>
            <w:gridSpan w:val="2"/>
            <w:tcBorders>
              <w:right w:val="single" w:sz="4" w:space="0" w:color="231F20"/>
            </w:tcBorders>
            <w:shd w:val="clear" w:color="auto" w:fill="E8F5F1"/>
          </w:tcPr>
          <w:p>
            <w:pPr>
              <w:pStyle w:val="TableParagraph"/>
              <w:spacing w:line="146" w:lineRule="exact"/>
              <w:ind w:left="74"/>
              <w:rPr>
                <w:sz w:val="15"/>
              </w:rPr>
            </w:pPr>
            <w:r>
              <w:rPr>
                <w:color w:val="231F20"/>
                <w:sz w:val="15"/>
              </w:rPr>
              <w:t>Bradypnea,</w:t>
            </w:r>
            <w:r>
              <w:rPr>
                <w:color w:val="231F20"/>
                <w:spacing w:val="3"/>
                <w:sz w:val="15"/>
              </w:rPr>
              <w:t> </w:t>
            </w:r>
            <w:r>
              <w:rPr>
                <w:color w:val="231F20"/>
                <w:sz w:val="15"/>
              </w:rPr>
              <w:t>hypopnea,</w:t>
            </w:r>
            <w:r>
              <w:rPr>
                <w:color w:val="231F20"/>
                <w:spacing w:val="4"/>
                <w:sz w:val="15"/>
              </w:rPr>
              <w:t> </w:t>
            </w:r>
            <w:r>
              <w:rPr>
                <w:color w:val="231F20"/>
                <w:sz w:val="15"/>
              </w:rPr>
              <w:t>episodes</w:t>
            </w:r>
            <w:r>
              <w:rPr>
                <w:color w:val="231F20"/>
                <w:spacing w:val="4"/>
                <w:sz w:val="15"/>
              </w:rPr>
              <w:t> </w:t>
            </w:r>
            <w:r>
              <w:rPr>
                <w:color w:val="231F20"/>
                <w:sz w:val="15"/>
              </w:rPr>
              <w:t>of</w:t>
            </w:r>
            <w:r>
              <w:rPr>
                <w:color w:val="231F20"/>
                <w:spacing w:val="4"/>
                <w:sz w:val="15"/>
              </w:rPr>
              <w:t> </w:t>
            </w:r>
            <w:r>
              <w:rPr>
                <w:color w:val="231F20"/>
                <w:spacing w:val="-2"/>
                <w:sz w:val="15"/>
              </w:rPr>
              <w:t>apnea</w:t>
            </w:r>
          </w:p>
        </w:tc>
        <w:tc>
          <w:tcPr>
            <w:tcW w:w="4871" w:type="dxa"/>
            <w:tcBorders>
              <w:left w:val="single" w:sz="4" w:space="0" w:color="231F20"/>
            </w:tcBorders>
            <w:shd w:val="clear" w:color="auto" w:fill="E8F5F1"/>
          </w:tcPr>
          <w:p>
            <w:pPr>
              <w:pStyle w:val="TableParagraph"/>
              <w:spacing w:line="146" w:lineRule="exact"/>
              <w:ind w:left="68"/>
              <w:rPr>
                <w:sz w:val="15"/>
              </w:rPr>
            </w:pPr>
            <w:r>
              <w:rPr>
                <w:color w:val="231F20"/>
                <w:sz w:val="15"/>
              </w:rPr>
              <w:t>Lip</w:t>
            </w:r>
            <w:r>
              <w:rPr>
                <w:color w:val="231F20"/>
                <w:spacing w:val="-2"/>
                <w:sz w:val="15"/>
              </w:rPr>
              <w:t> cleft</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Bradycardia</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Short</w:t>
            </w:r>
            <w:r>
              <w:rPr>
                <w:color w:val="231F20"/>
                <w:spacing w:val="-9"/>
                <w:sz w:val="15"/>
              </w:rPr>
              <w:t> </w:t>
            </w:r>
            <w:r>
              <w:rPr>
                <w:color w:val="231F20"/>
                <w:sz w:val="15"/>
              </w:rPr>
              <w:t>distal</w:t>
            </w:r>
            <w:r>
              <w:rPr>
                <w:color w:val="231F20"/>
                <w:spacing w:val="-8"/>
                <w:sz w:val="15"/>
              </w:rPr>
              <w:t> </w:t>
            </w:r>
            <w:r>
              <w:rPr>
                <w:color w:val="231F20"/>
                <w:spacing w:val="-2"/>
                <w:sz w:val="15"/>
              </w:rPr>
              <w:t>phalanges</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Tetraparesis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Single</w:t>
            </w:r>
            <w:r>
              <w:rPr>
                <w:color w:val="231F20"/>
                <w:spacing w:val="2"/>
                <w:sz w:val="15"/>
              </w:rPr>
              <w:t> </w:t>
            </w:r>
            <w:r>
              <w:rPr>
                <w:color w:val="231F20"/>
                <w:sz w:val="15"/>
              </w:rPr>
              <w:t>palmar</w:t>
            </w:r>
            <w:r>
              <w:rPr>
                <w:color w:val="231F20"/>
                <w:spacing w:val="2"/>
                <w:sz w:val="15"/>
              </w:rPr>
              <w:t> </w:t>
            </w:r>
            <w:r>
              <w:rPr>
                <w:color w:val="231F20"/>
                <w:spacing w:val="-2"/>
                <w:sz w:val="15"/>
              </w:rPr>
              <w:t>crease</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Hypotonia</w:t>
            </w:r>
            <w:r>
              <w:rPr>
                <w:color w:val="231F20"/>
                <w:spacing w:val="-8"/>
                <w:sz w:val="15"/>
              </w:rPr>
              <w:t> </w:t>
            </w:r>
            <w:r>
              <w:rPr>
                <w:color w:val="231F20"/>
                <w:sz w:val="15"/>
              </w:rPr>
              <w:t>(floppy</w:t>
            </w:r>
            <w:r>
              <w:rPr>
                <w:color w:val="231F20"/>
                <w:spacing w:val="-8"/>
                <w:sz w:val="15"/>
              </w:rPr>
              <w:t> </w:t>
            </w:r>
            <w:r>
              <w:rPr>
                <w:color w:val="231F20"/>
                <w:spacing w:val="-2"/>
                <w:sz w:val="15"/>
              </w:rPr>
              <w:t>infant)</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Rostral</w:t>
            </w:r>
            <w:r>
              <w:rPr>
                <w:color w:val="231F20"/>
                <w:spacing w:val="-4"/>
                <w:sz w:val="15"/>
              </w:rPr>
              <w:t> </w:t>
            </w:r>
            <w:r>
              <w:rPr>
                <w:color w:val="231F20"/>
                <w:spacing w:val="-2"/>
                <w:sz w:val="15"/>
              </w:rPr>
              <w:t>vertebrae</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Failure</w:t>
            </w:r>
            <w:r>
              <w:rPr>
                <w:color w:val="231F20"/>
                <w:spacing w:val="-4"/>
                <w:sz w:val="15"/>
              </w:rPr>
              <w:t> </w:t>
            </w:r>
            <w:r>
              <w:rPr>
                <w:color w:val="231F20"/>
                <w:spacing w:val="-2"/>
                <w:sz w:val="15"/>
              </w:rPr>
              <w:t>to</w:t>
            </w:r>
            <w:r>
              <w:rPr>
                <w:color w:val="231F20"/>
                <w:spacing w:val="-3"/>
                <w:sz w:val="15"/>
              </w:rPr>
              <w:t> </w:t>
            </w:r>
            <w:r>
              <w:rPr>
                <w:color w:val="231F20"/>
                <w:spacing w:val="-2"/>
                <w:sz w:val="15"/>
              </w:rPr>
              <w:t>thrive,</w:t>
            </w:r>
            <w:r>
              <w:rPr>
                <w:color w:val="231F20"/>
                <w:spacing w:val="-3"/>
                <w:sz w:val="15"/>
              </w:rPr>
              <w:t> </w:t>
            </w:r>
            <w:r>
              <w:rPr>
                <w:color w:val="231F20"/>
                <w:spacing w:val="-2"/>
                <w:sz w:val="15"/>
              </w:rPr>
              <w:t>poor</w:t>
            </w:r>
            <w:r>
              <w:rPr>
                <w:color w:val="231F20"/>
                <w:spacing w:val="-3"/>
                <w:sz w:val="15"/>
              </w:rPr>
              <w:t> </w:t>
            </w:r>
            <w:r>
              <w:rPr>
                <w:color w:val="231F20"/>
                <w:spacing w:val="-2"/>
                <w:sz w:val="15"/>
              </w:rPr>
              <w:t>sucking</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Round</w:t>
            </w:r>
            <w:r>
              <w:rPr>
                <w:color w:val="231F20"/>
                <w:spacing w:val="17"/>
                <w:sz w:val="15"/>
              </w:rPr>
              <w:t> </w:t>
            </w:r>
            <w:r>
              <w:rPr>
                <w:color w:val="231F20"/>
                <w:spacing w:val="-4"/>
                <w:sz w:val="15"/>
              </w:rPr>
              <w:t>face</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Swallowing</w:t>
            </w:r>
            <w:r>
              <w:rPr>
                <w:color w:val="231F20"/>
                <w:spacing w:val="-9"/>
                <w:sz w:val="15"/>
              </w:rPr>
              <w:t> </w:t>
            </w:r>
            <w:r>
              <w:rPr>
                <w:color w:val="231F20"/>
                <w:sz w:val="15"/>
              </w:rPr>
              <w:t>difficulties,</w:t>
            </w:r>
            <w:r>
              <w:rPr>
                <w:color w:val="231F20"/>
                <w:spacing w:val="-9"/>
                <w:sz w:val="15"/>
              </w:rPr>
              <w:t> </w:t>
            </w:r>
            <w:r>
              <w:rPr>
                <w:color w:val="231F20"/>
                <w:sz w:val="15"/>
              </w:rPr>
              <w:t>dysphagia,</w:t>
            </w:r>
            <w:r>
              <w:rPr>
                <w:color w:val="231F20"/>
                <w:spacing w:val="-9"/>
                <w:sz w:val="15"/>
              </w:rPr>
              <w:t> </w:t>
            </w:r>
            <w:r>
              <w:rPr>
                <w:color w:val="231F20"/>
                <w:sz w:val="15"/>
              </w:rPr>
              <w:t>poor</w:t>
            </w:r>
            <w:r>
              <w:rPr>
                <w:color w:val="231F20"/>
                <w:spacing w:val="-9"/>
                <w:sz w:val="15"/>
              </w:rPr>
              <w:t> </w:t>
            </w:r>
            <w:r>
              <w:rPr>
                <w:color w:val="231F20"/>
                <w:sz w:val="15"/>
              </w:rPr>
              <w:t>feeding,</w:t>
            </w:r>
            <w:r>
              <w:rPr>
                <w:color w:val="231F20"/>
                <w:spacing w:val="-8"/>
                <w:sz w:val="15"/>
              </w:rPr>
              <w:t> </w:t>
            </w:r>
            <w:r>
              <w:rPr>
                <w:color w:val="231F20"/>
                <w:sz w:val="15"/>
              </w:rPr>
              <w:t>poor</w:t>
            </w:r>
            <w:r>
              <w:rPr>
                <w:color w:val="231F20"/>
                <w:spacing w:val="-9"/>
                <w:sz w:val="15"/>
              </w:rPr>
              <w:t> </w:t>
            </w:r>
            <w:r>
              <w:rPr>
                <w:color w:val="231F20"/>
                <w:spacing w:val="-2"/>
                <w:sz w:val="15"/>
              </w:rPr>
              <w:t>sucking</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Frontal</w:t>
            </w:r>
            <w:r>
              <w:rPr>
                <w:color w:val="231F20"/>
                <w:spacing w:val="-5"/>
                <w:sz w:val="15"/>
              </w:rPr>
              <w:t> </w:t>
            </w:r>
            <w:r>
              <w:rPr>
                <w:color w:val="231F20"/>
                <w:spacing w:val="-2"/>
                <w:sz w:val="15"/>
              </w:rPr>
              <w:t>bossing</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Vomiting</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Flat</w:t>
            </w:r>
            <w:r>
              <w:rPr>
                <w:color w:val="231F20"/>
                <w:spacing w:val="-3"/>
                <w:sz w:val="15"/>
              </w:rPr>
              <w:t> </w:t>
            </w:r>
            <w:r>
              <w:rPr>
                <w:color w:val="231F20"/>
                <w:spacing w:val="-2"/>
                <w:sz w:val="15"/>
              </w:rPr>
              <w:t>nasal</w:t>
            </w:r>
            <w:r>
              <w:rPr>
                <w:color w:val="231F20"/>
                <w:spacing w:val="-4"/>
                <w:sz w:val="15"/>
              </w:rPr>
              <w:t> root</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Spasticity,</w:t>
            </w:r>
            <w:r>
              <w:rPr>
                <w:color w:val="231F20"/>
                <w:spacing w:val="-1"/>
                <w:sz w:val="15"/>
              </w:rPr>
              <w:t> </w:t>
            </w:r>
            <w:r>
              <w:rPr>
                <w:color w:val="231F20"/>
                <w:spacing w:val="-2"/>
                <w:sz w:val="15"/>
              </w:rPr>
              <w:t>brisk</w:t>
            </w:r>
            <w:r>
              <w:rPr>
                <w:color w:val="231F20"/>
                <w:sz w:val="15"/>
              </w:rPr>
              <w:t> </w:t>
            </w:r>
            <w:r>
              <w:rPr>
                <w:color w:val="231F20"/>
                <w:spacing w:val="-2"/>
                <w:sz w:val="15"/>
              </w:rPr>
              <w:t>tendon</w:t>
            </w:r>
            <w:r>
              <w:rPr>
                <w:color w:val="231F20"/>
                <w:sz w:val="15"/>
              </w:rPr>
              <w:t> </w:t>
            </w:r>
            <w:r>
              <w:rPr>
                <w:color w:val="231F20"/>
                <w:spacing w:val="-2"/>
                <w:sz w:val="15"/>
              </w:rPr>
              <w:t>reflexes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Microcephaly</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Dysphasia,</w:t>
            </w:r>
            <w:r>
              <w:rPr>
                <w:color w:val="231F20"/>
                <w:spacing w:val="1"/>
                <w:sz w:val="15"/>
              </w:rPr>
              <w:t> </w:t>
            </w:r>
            <w:r>
              <w:rPr>
                <w:color w:val="231F20"/>
                <w:spacing w:val="-2"/>
                <w:sz w:val="15"/>
              </w:rPr>
              <w:t>dysarthria</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Thin</w:t>
            </w:r>
            <w:r>
              <w:rPr>
                <w:color w:val="231F20"/>
                <w:spacing w:val="-8"/>
                <w:sz w:val="15"/>
              </w:rPr>
              <w:t> </w:t>
            </w:r>
            <w:r>
              <w:rPr>
                <w:color w:val="231F20"/>
                <w:spacing w:val="-4"/>
                <w:sz w:val="15"/>
              </w:rPr>
              <w:t>lips</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Squint</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Small</w:t>
            </w:r>
            <w:r>
              <w:rPr>
                <w:color w:val="231F20"/>
                <w:spacing w:val="-7"/>
                <w:sz w:val="15"/>
              </w:rPr>
              <w:t> </w:t>
            </w:r>
            <w:r>
              <w:rPr>
                <w:color w:val="231F20"/>
                <w:spacing w:val="-4"/>
                <w:sz w:val="15"/>
              </w:rPr>
              <w:t>chin</w:t>
            </w:r>
          </w:p>
        </w:tc>
      </w:tr>
      <w:tr>
        <w:trPr>
          <w:trHeight w:val="169" w:hRule="atLeast"/>
        </w:trPr>
        <w:tc>
          <w:tcPr>
            <w:tcW w:w="4871" w:type="dxa"/>
            <w:gridSpan w:val="2"/>
            <w:tcBorders>
              <w:right w:val="single" w:sz="4" w:space="0" w:color="231F20"/>
            </w:tcBorders>
            <w:shd w:val="clear" w:color="auto" w:fill="E8F5F1"/>
          </w:tcPr>
          <w:p>
            <w:pPr>
              <w:pStyle w:val="TableParagraph"/>
              <w:spacing w:line="149" w:lineRule="exact"/>
              <w:ind w:left="74"/>
              <w:rPr>
                <w:sz w:val="15"/>
              </w:rPr>
            </w:pPr>
            <w:r>
              <w:rPr>
                <w:color w:val="231F20"/>
                <w:sz w:val="15"/>
              </w:rPr>
              <w:t>Absence</w:t>
            </w:r>
            <w:r>
              <w:rPr>
                <w:color w:val="231F20"/>
                <w:spacing w:val="1"/>
                <w:sz w:val="15"/>
              </w:rPr>
              <w:t> </w:t>
            </w:r>
            <w:r>
              <w:rPr>
                <w:color w:val="231F20"/>
                <w:sz w:val="15"/>
              </w:rPr>
              <w:t>of</w:t>
            </w:r>
            <w:r>
              <w:rPr>
                <w:color w:val="231F20"/>
                <w:spacing w:val="1"/>
                <w:sz w:val="15"/>
              </w:rPr>
              <w:t> </w:t>
            </w:r>
            <w:r>
              <w:rPr>
                <w:color w:val="231F20"/>
                <w:sz w:val="15"/>
              </w:rPr>
              <w:t>optic</w:t>
            </w:r>
            <w:r>
              <w:rPr>
                <w:color w:val="231F20"/>
                <w:spacing w:val="2"/>
                <w:sz w:val="15"/>
              </w:rPr>
              <w:t> </w:t>
            </w:r>
            <w:r>
              <w:rPr>
                <w:color w:val="231F20"/>
                <w:sz w:val="15"/>
              </w:rPr>
              <w:t>or</w:t>
            </w:r>
            <w:r>
              <w:rPr>
                <w:color w:val="231F20"/>
                <w:spacing w:val="1"/>
                <w:sz w:val="15"/>
              </w:rPr>
              <w:t> </w:t>
            </w:r>
            <w:r>
              <w:rPr>
                <w:color w:val="231F20"/>
                <w:sz w:val="15"/>
              </w:rPr>
              <w:t>acoustic</w:t>
            </w:r>
            <w:r>
              <w:rPr>
                <w:color w:val="231F20"/>
                <w:spacing w:val="2"/>
                <w:sz w:val="15"/>
              </w:rPr>
              <w:t> </w:t>
            </w:r>
            <w:r>
              <w:rPr>
                <w:color w:val="231F20"/>
                <w:spacing w:val="-2"/>
                <w:sz w:val="15"/>
              </w:rPr>
              <w:t>blink</w:t>
            </w:r>
          </w:p>
        </w:tc>
        <w:tc>
          <w:tcPr>
            <w:tcW w:w="4871" w:type="dxa"/>
            <w:tcBorders>
              <w:left w:val="single" w:sz="4" w:space="0" w:color="231F20"/>
            </w:tcBorders>
            <w:shd w:val="clear" w:color="auto" w:fill="E8F5F1"/>
          </w:tcPr>
          <w:p>
            <w:pPr>
              <w:pStyle w:val="TableParagraph"/>
              <w:spacing w:line="149" w:lineRule="exact"/>
              <w:ind w:left="68"/>
              <w:rPr>
                <w:sz w:val="15"/>
              </w:rPr>
            </w:pPr>
            <w:r>
              <w:rPr>
                <w:color w:val="231F20"/>
                <w:sz w:val="15"/>
              </w:rPr>
              <w:t>Long,</w:t>
            </w:r>
            <w:r>
              <w:rPr>
                <w:color w:val="231F20"/>
                <w:spacing w:val="-11"/>
                <w:sz w:val="15"/>
              </w:rPr>
              <w:t> </w:t>
            </w:r>
            <w:r>
              <w:rPr>
                <w:color w:val="231F20"/>
                <w:sz w:val="15"/>
              </w:rPr>
              <w:t>featureless</w:t>
            </w:r>
            <w:r>
              <w:rPr>
                <w:color w:val="231F20"/>
                <w:spacing w:val="-10"/>
                <w:sz w:val="15"/>
              </w:rPr>
              <w:t> </w:t>
            </w:r>
            <w:r>
              <w:rPr>
                <w:color w:val="231F20"/>
                <w:spacing w:val="-2"/>
                <w:sz w:val="15"/>
              </w:rPr>
              <w:t>philtrum</w:t>
            </w:r>
          </w:p>
        </w:tc>
      </w:tr>
      <w:tr>
        <w:trPr>
          <w:trHeight w:val="171" w:hRule="atLeast"/>
        </w:trPr>
        <w:tc>
          <w:tcPr>
            <w:tcW w:w="4871" w:type="dxa"/>
            <w:gridSpan w:val="2"/>
            <w:tcBorders>
              <w:right w:val="single" w:sz="4" w:space="0" w:color="231F20"/>
            </w:tcBorders>
            <w:shd w:val="clear" w:color="auto" w:fill="E8F5F1"/>
          </w:tcPr>
          <w:p>
            <w:pPr>
              <w:pStyle w:val="TableParagraph"/>
              <w:spacing w:line="152" w:lineRule="exact"/>
              <w:ind w:left="74"/>
              <w:rPr>
                <w:i/>
                <w:sz w:val="15"/>
              </w:rPr>
            </w:pPr>
            <w:r>
              <w:rPr>
                <w:i/>
                <w:color w:val="231F20"/>
                <w:sz w:val="15"/>
              </w:rPr>
              <w:t>Other</w:t>
            </w:r>
            <w:r>
              <w:rPr>
                <w:i/>
                <w:color w:val="231F20"/>
                <w:spacing w:val="4"/>
                <w:sz w:val="15"/>
              </w:rPr>
              <w:t> </w:t>
            </w:r>
            <w:r>
              <w:rPr>
                <w:i/>
                <w:color w:val="231F20"/>
                <w:sz w:val="15"/>
              </w:rPr>
              <w:t>Cerebral</w:t>
            </w:r>
            <w:r>
              <w:rPr>
                <w:i/>
                <w:color w:val="231F20"/>
                <w:spacing w:val="5"/>
                <w:sz w:val="15"/>
              </w:rPr>
              <w:t> </w:t>
            </w:r>
            <w:r>
              <w:rPr>
                <w:i/>
                <w:color w:val="231F20"/>
                <w:spacing w:val="-2"/>
                <w:sz w:val="15"/>
              </w:rPr>
              <w:t>Manifestations</w:t>
            </w:r>
          </w:p>
        </w:tc>
        <w:tc>
          <w:tcPr>
            <w:tcW w:w="4871" w:type="dxa"/>
            <w:tcBorders>
              <w:left w:val="single" w:sz="4" w:space="0" w:color="231F20"/>
            </w:tcBorders>
            <w:shd w:val="clear" w:color="auto" w:fill="E8F5F1"/>
          </w:tcPr>
          <w:p>
            <w:pPr>
              <w:pStyle w:val="TableParagraph"/>
              <w:spacing w:line="152" w:lineRule="exact"/>
              <w:ind w:left="68"/>
              <w:rPr>
                <w:sz w:val="15"/>
              </w:rPr>
            </w:pPr>
            <w:r>
              <w:rPr>
                <w:color w:val="231F20"/>
                <w:spacing w:val="-2"/>
                <w:w w:val="105"/>
                <w:sz w:val="15"/>
              </w:rPr>
              <w:t>Hypospadia</w:t>
            </w:r>
          </w:p>
        </w:tc>
      </w:tr>
      <w:tr>
        <w:trPr>
          <w:trHeight w:val="167" w:hRule="atLeast"/>
        </w:trPr>
        <w:tc>
          <w:tcPr>
            <w:tcW w:w="4871" w:type="dxa"/>
            <w:gridSpan w:val="2"/>
            <w:tcBorders>
              <w:right w:val="single" w:sz="4" w:space="0" w:color="231F20"/>
            </w:tcBorders>
            <w:shd w:val="clear" w:color="auto" w:fill="E8F5F1"/>
          </w:tcPr>
          <w:p>
            <w:pPr>
              <w:pStyle w:val="TableParagraph"/>
              <w:spacing w:line="147" w:lineRule="exact"/>
              <w:ind w:left="74"/>
              <w:rPr>
                <w:sz w:val="15"/>
              </w:rPr>
            </w:pPr>
            <w:r>
              <w:rPr>
                <w:color w:val="231F20"/>
                <w:spacing w:val="-2"/>
                <w:sz w:val="15"/>
              </w:rPr>
              <w:t>Stroke-like</w:t>
            </w:r>
            <w:r>
              <w:rPr>
                <w:color w:val="231F20"/>
                <w:spacing w:val="-7"/>
                <w:sz w:val="15"/>
              </w:rPr>
              <w:t> </w:t>
            </w:r>
            <w:r>
              <w:rPr>
                <w:color w:val="231F20"/>
                <w:spacing w:val="-2"/>
                <w:sz w:val="15"/>
              </w:rPr>
              <w:t>episodes</w:t>
            </w:r>
          </w:p>
        </w:tc>
        <w:tc>
          <w:tcPr>
            <w:tcW w:w="4871" w:type="dxa"/>
            <w:tcBorders>
              <w:left w:val="single" w:sz="4" w:space="0" w:color="231F20"/>
            </w:tcBorders>
            <w:shd w:val="clear" w:color="auto" w:fill="E8F5F1"/>
          </w:tcPr>
          <w:p>
            <w:pPr>
              <w:pStyle w:val="TableParagraph"/>
              <w:spacing w:line="148" w:lineRule="exact"/>
              <w:ind w:left="68"/>
              <w:rPr>
                <w:i/>
                <w:sz w:val="15"/>
              </w:rPr>
            </w:pPr>
            <w:r>
              <w:rPr>
                <w:i/>
                <w:color w:val="231F20"/>
                <w:spacing w:val="-2"/>
                <w:w w:val="105"/>
                <w:sz w:val="15"/>
              </w:rPr>
              <w:t>Others</w:t>
            </w:r>
          </w:p>
        </w:tc>
      </w:tr>
      <w:tr>
        <w:trPr>
          <w:trHeight w:val="167" w:hRule="atLeast"/>
        </w:trPr>
        <w:tc>
          <w:tcPr>
            <w:tcW w:w="4871" w:type="dxa"/>
            <w:gridSpan w:val="2"/>
            <w:tcBorders>
              <w:right w:val="single" w:sz="4" w:space="0" w:color="231F20"/>
            </w:tcBorders>
            <w:shd w:val="clear" w:color="auto" w:fill="E8F5F1"/>
          </w:tcPr>
          <w:p>
            <w:pPr>
              <w:pStyle w:val="TableParagraph"/>
              <w:spacing w:line="147" w:lineRule="exact"/>
              <w:ind w:left="74"/>
              <w:rPr>
                <w:sz w:val="15"/>
              </w:rPr>
            </w:pPr>
            <w:r>
              <w:rPr>
                <w:color w:val="231F20"/>
                <w:sz w:val="15"/>
              </w:rPr>
              <w:t>Delay</w:t>
            </w:r>
            <w:r>
              <w:rPr>
                <w:color w:val="231F20"/>
                <w:spacing w:val="-3"/>
                <w:sz w:val="15"/>
              </w:rPr>
              <w:t> </w:t>
            </w:r>
            <w:r>
              <w:rPr>
                <w:color w:val="231F20"/>
                <w:sz w:val="15"/>
              </w:rPr>
              <w:t>of</w:t>
            </w:r>
            <w:r>
              <w:rPr>
                <w:color w:val="231F20"/>
                <w:spacing w:val="-2"/>
                <w:sz w:val="15"/>
              </w:rPr>
              <w:t> </w:t>
            </w:r>
            <w:r>
              <w:rPr>
                <w:color w:val="231F20"/>
                <w:sz w:val="15"/>
              </w:rPr>
              <w:t>developmental</w:t>
            </w:r>
            <w:r>
              <w:rPr>
                <w:color w:val="231F20"/>
                <w:spacing w:val="-3"/>
                <w:sz w:val="15"/>
              </w:rPr>
              <w:t> </w:t>
            </w:r>
            <w:r>
              <w:rPr>
                <w:color w:val="231F20"/>
                <w:spacing w:val="-2"/>
                <w:sz w:val="15"/>
              </w:rPr>
              <w:t>milestones</w:t>
            </w:r>
          </w:p>
        </w:tc>
        <w:tc>
          <w:tcPr>
            <w:tcW w:w="4871" w:type="dxa"/>
            <w:tcBorders>
              <w:left w:val="single" w:sz="4" w:space="0" w:color="231F20"/>
            </w:tcBorders>
            <w:shd w:val="clear" w:color="auto" w:fill="E8F5F1"/>
          </w:tcPr>
          <w:p>
            <w:pPr>
              <w:pStyle w:val="TableParagraph"/>
              <w:spacing w:line="147" w:lineRule="exact"/>
              <w:ind w:left="68"/>
              <w:rPr>
                <w:sz w:val="15"/>
              </w:rPr>
            </w:pPr>
            <w:r>
              <w:rPr>
                <w:color w:val="231F20"/>
                <w:sz w:val="15"/>
              </w:rPr>
              <w:t>Inguinal</w:t>
            </w:r>
            <w:r>
              <w:rPr>
                <w:color w:val="231F20"/>
                <w:spacing w:val="-5"/>
                <w:sz w:val="15"/>
              </w:rPr>
              <w:t> </w:t>
            </w:r>
            <w:r>
              <w:rPr>
                <w:color w:val="231F20"/>
                <w:spacing w:val="-2"/>
                <w:sz w:val="15"/>
              </w:rPr>
              <w:t>hernia</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4"/>
                <w:sz w:val="15"/>
              </w:rPr>
              <w:t>Paralysis</w:t>
            </w:r>
            <w:r>
              <w:rPr>
                <w:color w:val="231F20"/>
                <w:spacing w:val="1"/>
                <w:sz w:val="15"/>
              </w:rPr>
              <w:t> </w:t>
            </w:r>
            <w:r>
              <w:rPr>
                <w:color w:val="231F20"/>
                <w:spacing w:val="-4"/>
                <w:sz w:val="15"/>
              </w:rPr>
              <w:t>of</w:t>
            </w:r>
            <w:r>
              <w:rPr>
                <w:color w:val="231F20"/>
                <w:spacing w:val="2"/>
                <w:sz w:val="15"/>
              </w:rPr>
              <w:t> </w:t>
            </w:r>
            <w:r>
              <w:rPr>
                <w:color w:val="231F20"/>
                <w:spacing w:val="-4"/>
                <w:sz w:val="15"/>
              </w:rPr>
              <w:t>vertical</w:t>
            </w:r>
            <w:r>
              <w:rPr>
                <w:color w:val="231F20"/>
                <w:spacing w:val="1"/>
                <w:sz w:val="15"/>
              </w:rPr>
              <w:t> </w:t>
            </w:r>
            <w:r>
              <w:rPr>
                <w:color w:val="231F20"/>
                <w:spacing w:val="-4"/>
                <w:sz w:val="15"/>
              </w:rPr>
              <w:t>gaze</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w w:val="90"/>
                <w:sz w:val="15"/>
              </w:rPr>
              <w:t>Stiff</w:t>
            </w:r>
            <w:r>
              <w:rPr>
                <w:color w:val="231F20"/>
                <w:spacing w:val="1"/>
                <w:sz w:val="15"/>
              </w:rPr>
              <w:t> </w:t>
            </w:r>
            <w:r>
              <w:rPr>
                <w:color w:val="231F20"/>
                <w:spacing w:val="-4"/>
                <w:sz w:val="15"/>
              </w:rPr>
              <w:t>neck</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Myoclonic</w:t>
            </w:r>
            <w:r>
              <w:rPr>
                <w:color w:val="231F20"/>
                <w:spacing w:val="-5"/>
                <w:sz w:val="15"/>
              </w:rPr>
              <w:t> </w:t>
            </w:r>
            <w:r>
              <w:rPr>
                <w:color w:val="231F20"/>
                <w:sz w:val="15"/>
              </w:rPr>
              <w:t>jerks</w:t>
            </w:r>
            <w:r>
              <w:rPr>
                <w:color w:val="231F20"/>
                <w:spacing w:val="-4"/>
                <w:sz w:val="15"/>
              </w:rPr>
              <w:t> </w:t>
            </w:r>
            <w:r>
              <w:rPr>
                <w:color w:val="231F20"/>
                <w:sz w:val="15"/>
              </w:rPr>
              <w:t>of</w:t>
            </w:r>
            <w:r>
              <w:rPr>
                <w:color w:val="231F20"/>
                <w:spacing w:val="-4"/>
                <w:sz w:val="15"/>
              </w:rPr>
              <w:t> </w:t>
            </w:r>
            <w:r>
              <w:rPr>
                <w:color w:val="231F20"/>
                <w:sz w:val="15"/>
              </w:rPr>
              <w:t>limbs</w:t>
            </w:r>
            <w:r>
              <w:rPr>
                <w:color w:val="231F20"/>
                <w:spacing w:val="-4"/>
                <w:sz w:val="15"/>
              </w:rPr>
              <w:t> </w:t>
            </w:r>
            <w:r>
              <w:rPr>
                <w:color w:val="231F20"/>
                <w:sz w:val="15"/>
              </w:rPr>
              <w:t>or</w:t>
            </w:r>
            <w:r>
              <w:rPr>
                <w:color w:val="231F20"/>
                <w:spacing w:val="-4"/>
                <w:sz w:val="15"/>
              </w:rPr>
              <w:t> </w:t>
            </w:r>
            <w:r>
              <w:rPr>
                <w:color w:val="231F20"/>
                <w:spacing w:val="-2"/>
                <w:sz w:val="15"/>
              </w:rPr>
              <w:t>eyelids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Retinal</w:t>
            </w:r>
            <w:r>
              <w:rPr>
                <w:color w:val="231F20"/>
                <w:spacing w:val="-5"/>
                <w:sz w:val="15"/>
              </w:rPr>
              <w:t> </w:t>
            </w:r>
            <w:r>
              <w:rPr>
                <w:color w:val="231F20"/>
                <w:spacing w:val="-2"/>
                <w:sz w:val="15"/>
              </w:rPr>
              <w:t>dystrophy,</w:t>
            </w:r>
            <w:r>
              <w:rPr>
                <w:color w:val="231F20"/>
                <w:spacing w:val="-5"/>
                <w:sz w:val="15"/>
              </w:rPr>
              <w:t> </w:t>
            </w:r>
            <w:r>
              <w:rPr>
                <w:color w:val="231F20"/>
                <w:spacing w:val="-2"/>
                <w:sz w:val="15"/>
              </w:rPr>
              <w:t>retinopathy</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Hypothermia</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Deafness,</w:t>
            </w:r>
            <w:r>
              <w:rPr>
                <w:color w:val="231F20"/>
                <w:spacing w:val="-6"/>
                <w:sz w:val="15"/>
              </w:rPr>
              <w:t> </w:t>
            </w:r>
            <w:r>
              <w:rPr>
                <w:color w:val="231F20"/>
                <w:spacing w:val="-2"/>
                <w:sz w:val="15"/>
              </w:rPr>
              <w:t>hypoacusis</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Drowsiness,</w:t>
            </w:r>
            <w:r>
              <w:rPr>
                <w:color w:val="231F20"/>
                <w:spacing w:val="-7"/>
                <w:sz w:val="15"/>
              </w:rPr>
              <w:t> </w:t>
            </w:r>
            <w:r>
              <w:rPr>
                <w:color w:val="231F20"/>
                <w:spacing w:val="-2"/>
                <w:sz w:val="15"/>
              </w:rPr>
              <w:t>dizziness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Hypertrophic,</w:t>
            </w:r>
            <w:r>
              <w:rPr>
                <w:color w:val="231F20"/>
                <w:spacing w:val="-1"/>
                <w:sz w:val="15"/>
              </w:rPr>
              <w:t> </w:t>
            </w:r>
            <w:r>
              <w:rPr>
                <w:color w:val="231F20"/>
                <w:spacing w:val="-2"/>
                <w:sz w:val="15"/>
              </w:rPr>
              <w:t>dilated</w:t>
            </w:r>
            <w:r>
              <w:rPr>
                <w:color w:val="231F20"/>
                <w:sz w:val="15"/>
              </w:rPr>
              <w:t> </w:t>
            </w:r>
            <w:r>
              <w:rPr>
                <w:color w:val="231F20"/>
                <w:spacing w:val="-2"/>
                <w:sz w:val="15"/>
              </w:rPr>
              <w:t>cardiomyopathy</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Psychomotor</w:t>
            </w:r>
            <w:r>
              <w:rPr>
                <w:color w:val="231F20"/>
                <w:spacing w:val="-7"/>
                <w:sz w:val="15"/>
              </w:rPr>
              <w:t> </w:t>
            </w:r>
            <w:r>
              <w:rPr>
                <w:color w:val="231F20"/>
                <w:spacing w:val="-2"/>
                <w:sz w:val="15"/>
              </w:rPr>
              <w:t>(mental)</w:t>
            </w:r>
            <w:r>
              <w:rPr>
                <w:color w:val="231F20"/>
                <w:spacing w:val="-6"/>
                <w:sz w:val="15"/>
              </w:rPr>
              <w:t> </w:t>
            </w:r>
            <w:r>
              <w:rPr>
                <w:color w:val="231F20"/>
                <w:spacing w:val="-2"/>
                <w:sz w:val="15"/>
              </w:rPr>
              <w:t>retardation</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Pancreatitis</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4"/>
                <w:sz w:val="15"/>
              </w:rPr>
              <w:t>Ataxia,</w:t>
            </w:r>
            <w:r>
              <w:rPr>
                <w:color w:val="231F20"/>
                <w:sz w:val="15"/>
              </w:rPr>
              <w:t> </w:t>
            </w:r>
            <w:r>
              <w:rPr>
                <w:color w:val="231F20"/>
                <w:spacing w:val="-2"/>
                <w:sz w:val="15"/>
              </w:rPr>
              <w:t>tremor</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Diarrhea</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Seizures,</w:t>
            </w:r>
            <w:r>
              <w:rPr>
                <w:color w:val="231F20"/>
                <w:spacing w:val="-6"/>
                <w:sz w:val="15"/>
              </w:rPr>
              <w:t> </w:t>
            </w:r>
            <w:r>
              <w:rPr>
                <w:color w:val="231F20"/>
                <w:spacing w:val="-2"/>
                <w:sz w:val="15"/>
              </w:rPr>
              <w:t>convulsions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Urinary excretion of Krebs-cycle intermediates</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Growth</w:t>
            </w:r>
            <w:r>
              <w:rPr>
                <w:color w:val="231F20"/>
                <w:spacing w:val="-4"/>
                <w:sz w:val="15"/>
              </w:rPr>
              <w:t> </w:t>
            </w:r>
            <w:r>
              <w:rPr>
                <w:color w:val="231F20"/>
                <w:spacing w:val="-2"/>
                <w:sz w:val="15"/>
              </w:rPr>
              <w:t>retardation</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Intrauterine</w:t>
            </w:r>
            <w:r>
              <w:rPr>
                <w:color w:val="231F20"/>
                <w:spacing w:val="-6"/>
                <w:sz w:val="15"/>
              </w:rPr>
              <w:t> </w:t>
            </w:r>
            <w:r>
              <w:rPr>
                <w:color w:val="231F20"/>
                <w:spacing w:val="-2"/>
                <w:sz w:val="15"/>
              </w:rPr>
              <w:t>growth</w:t>
            </w:r>
            <w:r>
              <w:rPr>
                <w:color w:val="231F20"/>
                <w:spacing w:val="-5"/>
                <w:sz w:val="15"/>
              </w:rPr>
              <w:t> </w:t>
            </w:r>
            <w:r>
              <w:rPr>
                <w:color w:val="231F20"/>
                <w:spacing w:val="-2"/>
                <w:sz w:val="15"/>
              </w:rPr>
              <w:t>retardation</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Dystonia</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Hypertrichosis</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Clumsiness,</w:t>
            </w:r>
            <w:r>
              <w:rPr>
                <w:color w:val="231F20"/>
                <w:spacing w:val="-7"/>
                <w:sz w:val="15"/>
              </w:rPr>
              <w:t> </w:t>
            </w:r>
            <w:r>
              <w:rPr>
                <w:color w:val="231F20"/>
                <w:spacing w:val="-2"/>
                <w:sz w:val="15"/>
              </w:rPr>
              <w:t>dullness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Villous</w:t>
            </w:r>
            <w:r>
              <w:rPr>
                <w:color w:val="231F20"/>
                <w:spacing w:val="1"/>
                <w:sz w:val="15"/>
              </w:rPr>
              <w:t> </w:t>
            </w:r>
            <w:r>
              <w:rPr>
                <w:color w:val="231F20"/>
                <w:spacing w:val="-2"/>
                <w:sz w:val="15"/>
              </w:rPr>
              <w:t>atrophy</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Nystagmus,</w:t>
            </w:r>
            <w:r>
              <w:rPr>
                <w:color w:val="231F20"/>
                <w:spacing w:val="-3"/>
                <w:sz w:val="15"/>
              </w:rPr>
              <w:t> </w:t>
            </w:r>
            <w:r>
              <w:rPr>
                <w:color w:val="231F20"/>
                <w:sz w:val="15"/>
              </w:rPr>
              <w:t>uncoordinated</w:t>
            </w:r>
            <w:r>
              <w:rPr>
                <w:color w:val="231F20"/>
                <w:spacing w:val="-3"/>
                <w:sz w:val="15"/>
              </w:rPr>
              <w:t> </w:t>
            </w:r>
            <w:r>
              <w:rPr>
                <w:color w:val="231F20"/>
                <w:sz w:val="15"/>
              </w:rPr>
              <w:t>eye</w:t>
            </w:r>
            <w:r>
              <w:rPr>
                <w:color w:val="231F20"/>
                <w:spacing w:val="-2"/>
                <w:sz w:val="15"/>
              </w:rPr>
              <w:t> </w:t>
            </w:r>
            <w:r>
              <w:rPr>
                <w:color w:val="231F20"/>
                <w:sz w:val="15"/>
              </w:rPr>
              <w:t>movement,</w:t>
            </w:r>
            <w:r>
              <w:rPr>
                <w:color w:val="231F20"/>
                <w:spacing w:val="-3"/>
                <w:sz w:val="15"/>
              </w:rPr>
              <w:t> </w:t>
            </w:r>
            <w:r>
              <w:rPr>
                <w:color w:val="231F20"/>
                <w:sz w:val="15"/>
              </w:rPr>
              <w:t>slow</w:t>
            </w:r>
            <w:r>
              <w:rPr>
                <w:color w:val="231F20"/>
                <w:spacing w:val="-3"/>
                <w:sz w:val="15"/>
              </w:rPr>
              <w:t> </w:t>
            </w:r>
            <w:r>
              <w:rPr>
                <w:color w:val="231F20"/>
                <w:spacing w:val="-2"/>
                <w:sz w:val="15"/>
              </w:rPr>
              <w:t>saccades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z w:val="15"/>
              </w:rPr>
              <w:t>Nephrotic</w:t>
            </w:r>
            <w:r>
              <w:rPr>
                <w:color w:val="231F20"/>
                <w:spacing w:val="7"/>
                <w:sz w:val="15"/>
              </w:rPr>
              <w:t> </w:t>
            </w:r>
            <w:r>
              <w:rPr>
                <w:color w:val="231F20"/>
                <w:spacing w:val="-2"/>
                <w:sz w:val="15"/>
              </w:rPr>
              <w:t>syndrome</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Optic</w:t>
            </w:r>
            <w:r>
              <w:rPr>
                <w:color w:val="231F20"/>
                <w:spacing w:val="11"/>
                <w:sz w:val="15"/>
              </w:rPr>
              <w:t> </w:t>
            </w:r>
            <w:r>
              <w:rPr>
                <w:color w:val="231F20"/>
                <w:spacing w:val="-2"/>
                <w:sz w:val="15"/>
              </w:rPr>
              <w:t>atrophy</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Nephropathy</w:t>
            </w: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Visual</w:t>
            </w:r>
            <w:r>
              <w:rPr>
                <w:color w:val="231F20"/>
                <w:spacing w:val="-3"/>
                <w:sz w:val="15"/>
              </w:rPr>
              <w:t> </w:t>
            </w:r>
            <w:r>
              <w:rPr>
                <w:color w:val="231F20"/>
                <w:spacing w:val="-4"/>
                <w:sz w:val="15"/>
              </w:rPr>
              <w:t>loss</w:t>
            </w:r>
          </w:p>
        </w:tc>
        <w:tc>
          <w:tcPr>
            <w:tcW w:w="4871" w:type="dxa"/>
            <w:tcBorders>
              <w:left w:val="single" w:sz="4" w:space="0" w:color="231F20"/>
            </w:tcBorders>
            <w:shd w:val="clear" w:color="auto" w:fill="E8F5F1"/>
          </w:tcPr>
          <w:p>
            <w:pPr>
              <w:pStyle w:val="TableParagraph"/>
              <w:spacing w:line="148" w:lineRule="exact"/>
              <w:ind w:left="68"/>
              <w:rPr>
                <w:sz w:val="15"/>
              </w:rPr>
            </w:pPr>
            <w:r>
              <w:rPr>
                <w:color w:val="231F20"/>
                <w:spacing w:val="-2"/>
                <w:sz w:val="15"/>
              </w:rPr>
              <w:t>Hyperhidrosis</w:t>
            </w:r>
          </w:p>
        </w:tc>
      </w:tr>
      <w:tr>
        <w:trPr>
          <w:trHeight w:val="168" w:hRule="atLeast"/>
        </w:trPr>
        <w:tc>
          <w:tcPr>
            <w:tcW w:w="4871" w:type="dxa"/>
            <w:gridSpan w:val="2"/>
            <w:tcBorders>
              <w:right w:val="single" w:sz="4" w:space="0" w:color="231F20"/>
            </w:tcBorders>
            <w:shd w:val="clear" w:color="auto" w:fill="E8F5F1"/>
          </w:tcPr>
          <w:p>
            <w:pPr>
              <w:pStyle w:val="TableParagraph"/>
              <w:spacing w:line="149" w:lineRule="exact"/>
              <w:ind w:left="74"/>
              <w:rPr>
                <w:sz w:val="15"/>
              </w:rPr>
            </w:pPr>
            <w:r>
              <w:rPr>
                <w:color w:val="231F20"/>
                <w:spacing w:val="-2"/>
                <w:sz w:val="15"/>
              </w:rPr>
              <w:t>Facial</w:t>
            </w:r>
            <w:r>
              <w:rPr>
                <w:color w:val="231F20"/>
                <w:spacing w:val="-7"/>
                <w:sz w:val="15"/>
              </w:rPr>
              <w:t> </w:t>
            </w:r>
            <w:r>
              <w:rPr>
                <w:color w:val="231F20"/>
                <w:spacing w:val="-2"/>
                <w:sz w:val="15"/>
              </w:rPr>
              <w:t>dyskinesia</w:t>
            </w:r>
          </w:p>
        </w:tc>
        <w:tc>
          <w:tcPr>
            <w:tcW w:w="4871" w:type="dxa"/>
            <w:tcBorders>
              <w:left w:val="single" w:sz="4" w:space="0" w:color="231F20"/>
            </w:tcBorders>
            <w:shd w:val="clear" w:color="auto" w:fill="E8F5F1"/>
          </w:tcPr>
          <w:p>
            <w:pPr>
              <w:pStyle w:val="TableParagraph"/>
              <w:spacing w:line="149" w:lineRule="exact"/>
              <w:ind w:left="68"/>
              <w:rPr>
                <w:sz w:val="15"/>
              </w:rPr>
            </w:pPr>
            <w:r>
              <w:rPr>
                <w:color w:val="231F20"/>
                <w:spacing w:val="-2"/>
                <w:sz w:val="15"/>
              </w:rPr>
              <w:t>Scoliosis</w:t>
            </w:r>
          </w:p>
        </w:tc>
      </w:tr>
      <w:tr>
        <w:trPr>
          <w:trHeight w:val="165" w:hRule="atLeast"/>
        </w:trPr>
        <w:tc>
          <w:tcPr>
            <w:tcW w:w="4871" w:type="dxa"/>
            <w:gridSpan w:val="2"/>
            <w:tcBorders>
              <w:right w:val="single" w:sz="4" w:space="0" w:color="231F20"/>
            </w:tcBorders>
            <w:shd w:val="clear" w:color="auto" w:fill="E8F5F1"/>
          </w:tcPr>
          <w:p>
            <w:pPr>
              <w:pStyle w:val="TableParagraph"/>
              <w:spacing w:line="146" w:lineRule="exact"/>
              <w:ind w:left="74"/>
              <w:rPr>
                <w:sz w:val="15"/>
              </w:rPr>
            </w:pPr>
            <w:r>
              <w:rPr>
                <w:color w:val="231F20"/>
                <w:sz w:val="15"/>
              </w:rPr>
              <w:t>Ocular</w:t>
            </w:r>
            <w:r>
              <w:rPr>
                <w:color w:val="231F20"/>
                <w:spacing w:val="1"/>
                <w:sz w:val="15"/>
              </w:rPr>
              <w:t> </w:t>
            </w:r>
            <w:r>
              <w:rPr>
                <w:color w:val="231F20"/>
                <w:spacing w:val="-2"/>
                <w:sz w:val="15"/>
              </w:rPr>
              <w:t>apraxia</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w w:val="105"/>
                <w:sz w:val="15"/>
              </w:rPr>
              <w:t>Drooling</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9" w:hRule="atLeast"/>
        </w:trPr>
        <w:tc>
          <w:tcPr>
            <w:tcW w:w="4871" w:type="dxa"/>
            <w:gridSpan w:val="2"/>
            <w:tcBorders>
              <w:right w:val="single" w:sz="4" w:space="0" w:color="231F20"/>
            </w:tcBorders>
            <w:shd w:val="clear" w:color="auto" w:fill="E8F5F1"/>
          </w:tcPr>
          <w:p>
            <w:pPr>
              <w:pStyle w:val="TableParagraph"/>
              <w:spacing w:line="150" w:lineRule="exact"/>
              <w:ind w:left="74"/>
              <w:rPr>
                <w:sz w:val="15"/>
              </w:rPr>
            </w:pPr>
            <w:r>
              <w:rPr>
                <w:color w:val="231F20"/>
                <w:spacing w:val="-2"/>
                <w:sz w:val="15"/>
              </w:rPr>
              <w:t>Gaze fixation difficulty</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72" w:hRule="atLeast"/>
        </w:trPr>
        <w:tc>
          <w:tcPr>
            <w:tcW w:w="4871" w:type="dxa"/>
            <w:gridSpan w:val="2"/>
            <w:tcBorders>
              <w:right w:val="single" w:sz="4" w:space="0" w:color="231F20"/>
            </w:tcBorders>
            <w:shd w:val="clear" w:color="auto" w:fill="E8F5F1"/>
          </w:tcPr>
          <w:p>
            <w:pPr>
              <w:pStyle w:val="TableParagraph"/>
              <w:spacing w:line="152" w:lineRule="exact"/>
              <w:ind w:left="74"/>
              <w:rPr>
                <w:i/>
                <w:sz w:val="15"/>
              </w:rPr>
            </w:pPr>
            <w:r>
              <w:rPr>
                <w:i/>
                <w:color w:val="231F20"/>
                <w:sz w:val="15"/>
              </w:rPr>
              <w:t>Peripheral</w:t>
            </w:r>
            <w:r>
              <w:rPr>
                <w:i/>
                <w:color w:val="231F20"/>
                <w:spacing w:val="12"/>
                <w:sz w:val="15"/>
              </w:rPr>
              <w:t> </w:t>
            </w:r>
            <w:r>
              <w:rPr>
                <w:i/>
                <w:color w:val="231F20"/>
                <w:sz w:val="15"/>
              </w:rPr>
              <w:t>Nervous</w:t>
            </w:r>
            <w:r>
              <w:rPr>
                <w:i/>
                <w:color w:val="231F20"/>
                <w:spacing w:val="12"/>
                <w:sz w:val="15"/>
              </w:rPr>
              <w:t> </w:t>
            </w:r>
            <w:r>
              <w:rPr>
                <w:i/>
                <w:color w:val="231F20"/>
                <w:sz w:val="15"/>
              </w:rPr>
              <w:t>System</w:t>
            </w:r>
            <w:r>
              <w:rPr>
                <w:i/>
                <w:color w:val="231F20"/>
                <w:spacing w:val="13"/>
                <w:sz w:val="15"/>
              </w:rPr>
              <w:t> </w:t>
            </w:r>
            <w:r>
              <w:rPr>
                <w:i/>
                <w:color w:val="231F20"/>
                <w:spacing w:val="-2"/>
                <w:sz w:val="15"/>
              </w:rPr>
              <w:t>Manifestations</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5" w:hRule="atLeast"/>
        </w:trPr>
        <w:tc>
          <w:tcPr>
            <w:tcW w:w="4871" w:type="dxa"/>
            <w:gridSpan w:val="2"/>
            <w:tcBorders>
              <w:right w:val="single" w:sz="4" w:space="0" w:color="231F20"/>
            </w:tcBorders>
            <w:shd w:val="clear" w:color="auto" w:fill="E8F5F1"/>
          </w:tcPr>
          <w:p>
            <w:pPr>
              <w:pStyle w:val="TableParagraph"/>
              <w:spacing w:line="146" w:lineRule="exact"/>
              <w:ind w:left="74"/>
              <w:rPr>
                <w:sz w:val="15"/>
              </w:rPr>
            </w:pPr>
            <w:r>
              <w:rPr>
                <w:color w:val="231F20"/>
                <w:spacing w:val="-2"/>
                <w:sz w:val="15"/>
              </w:rPr>
              <w:t>Cranial</w:t>
            </w:r>
            <w:r>
              <w:rPr>
                <w:color w:val="231F20"/>
                <w:sz w:val="15"/>
              </w:rPr>
              <w:t> </w:t>
            </w:r>
            <w:r>
              <w:rPr>
                <w:color w:val="231F20"/>
                <w:spacing w:val="-2"/>
                <w:sz w:val="15"/>
              </w:rPr>
              <w:t>nerve</w:t>
            </w:r>
            <w:r>
              <w:rPr>
                <w:color w:val="231F20"/>
                <w:sz w:val="15"/>
              </w:rPr>
              <w:t> </w:t>
            </w:r>
            <w:r>
              <w:rPr>
                <w:color w:val="231F20"/>
                <w:spacing w:val="-2"/>
                <w:sz w:val="15"/>
              </w:rPr>
              <w:t>palsies</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Generalized</w:t>
            </w:r>
            <w:r>
              <w:rPr>
                <w:color w:val="231F20"/>
                <w:spacing w:val="-8"/>
                <w:sz w:val="15"/>
              </w:rPr>
              <w:t> </w:t>
            </w:r>
            <w:r>
              <w:rPr>
                <w:color w:val="231F20"/>
                <w:spacing w:val="-2"/>
                <w:sz w:val="15"/>
              </w:rPr>
              <w:t>wasting</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5"/>
                <w:sz w:val="15"/>
              </w:rPr>
              <w:t>Bilateral</w:t>
            </w:r>
            <w:r>
              <w:rPr>
                <w:color w:val="231F20"/>
                <w:spacing w:val="5"/>
                <w:sz w:val="15"/>
              </w:rPr>
              <w:t> </w:t>
            </w:r>
            <w:r>
              <w:rPr>
                <w:color w:val="231F20"/>
                <w:spacing w:val="-2"/>
                <w:sz w:val="15"/>
              </w:rPr>
              <w:t>ptoses</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Chronic</w:t>
            </w:r>
            <w:r>
              <w:rPr>
                <w:color w:val="231F20"/>
                <w:spacing w:val="-3"/>
                <w:sz w:val="15"/>
              </w:rPr>
              <w:t> </w:t>
            </w:r>
            <w:r>
              <w:rPr>
                <w:color w:val="231F20"/>
                <w:sz w:val="15"/>
              </w:rPr>
              <w:t>progressive</w:t>
            </w:r>
            <w:r>
              <w:rPr>
                <w:color w:val="231F20"/>
                <w:spacing w:val="-3"/>
                <w:sz w:val="15"/>
              </w:rPr>
              <w:t> </w:t>
            </w:r>
            <w:r>
              <w:rPr>
                <w:color w:val="231F20"/>
                <w:sz w:val="15"/>
              </w:rPr>
              <w:t>external</w:t>
            </w:r>
            <w:r>
              <w:rPr>
                <w:color w:val="231F20"/>
                <w:spacing w:val="-3"/>
                <w:sz w:val="15"/>
              </w:rPr>
              <w:t> </w:t>
            </w:r>
            <w:r>
              <w:rPr>
                <w:color w:val="231F20"/>
                <w:sz w:val="15"/>
              </w:rPr>
              <w:t>ophthalmoplegia,</w:t>
            </w:r>
            <w:r>
              <w:rPr>
                <w:color w:val="231F20"/>
                <w:spacing w:val="-3"/>
                <w:sz w:val="15"/>
              </w:rPr>
              <w:t> </w:t>
            </w:r>
            <w:r>
              <w:rPr>
                <w:color w:val="231F20"/>
                <w:spacing w:val="-2"/>
                <w:sz w:val="15"/>
              </w:rPr>
              <w:t>strabismus</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Reduced</w:t>
            </w:r>
            <w:r>
              <w:rPr>
                <w:color w:val="231F20"/>
                <w:spacing w:val="11"/>
                <w:sz w:val="15"/>
              </w:rPr>
              <w:t> </w:t>
            </w:r>
            <w:r>
              <w:rPr>
                <w:color w:val="231F20"/>
                <w:sz w:val="15"/>
              </w:rPr>
              <w:t>tendon</w:t>
            </w:r>
            <w:r>
              <w:rPr>
                <w:color w:val="231F20"/>
                <w:spacing w:val="12"/>
                <w:sz w:val="15"/>
              </w:rPr>
              <w:t> </w:t>
            </w:r>
            <w:r>
              <w:rPr>
                <w:color w:val="231F20"/>
                <w:spacing w:val="-2"/>
                <w:sz w:val="15"/>
              </w:rPr>
              <w:t>reflexes</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pacing w:val="-2"/>
                <w:sz w:val="15"/>
              </w:rPr>
              <w:t>Polyneuropathy</w:t>
            </w:r>
          </w:p>
        </w:tc>
        <w:tc>
          <w:tcPr>
            <w:tcW w:w="4871" w:type="dxa"/>
            <w:tcBorders>
              <w:left w:val="single" w:sz="4" w:space="0" w:color="231F20"/>
            </w:tcBorders>
            <w:shd w:val="clear" w:color="auto" w:fill="E8F5F1"/>
          </w:tcPr>
          <w:p>
            <w:pPr>
              <w:pStyle w:val="TableParagraph"/>
              <w:rPr>
                <w:rFonts w:ascii="Times New Roman"/>
                <w:sz w:val="10"/>
              </w:rPr>
            </w:pPr>
          </w:p>
        </w:tc>
      </w:tr>
      <w:tr>
        <w:trPr>
          <w:trHeight w:val="167" w:hRule="atLeast"/>
        </w:trPr>
        <w:tc>
          <w:tcPr>
            <w:tcW w:w="4871" w:type="dxa"/>
            <w:gridSpan w:val="2"/>
            <w:tcBorders>
              <w:right w:val="single" w:sz="4" w:space="0" w:color="231F20"/>
            </w:tcBorders>
            <w:shd w:val="clear" w:color="auto" w:fill="E8F5F1"/>
          </w:tcPr>
          <w:p>
            <w:pPr>
              <w:pStyle w:val="TableParagraph"/>
              <w:spacing w:line="148" w:lineRule="exact"/>
              <w:ind w:left="74"/>
              <w:rPr>
                <w:sz w:val="15"/>
              </w:rPr>
            </w:pPr>
            <w:r>
              <w:rPr>
                <w:color w:val="231F20"/>
                <w:sz w:val="15"/>
              </w:rPr>
              <w:t>Muscle</w:t>
            </w:r>
            <w:r>
              <w:rPr>
                <w:color w:val="231F20"/>
                <w:spacing w:val="18"/>
                <w:sz w:val="15"/>
              </w:rPr>
              <w:t> </w:t>
            </w:r>
            <w:r>
              <w:rPr>
                <w:color w:val="231F20"/>
                <w:spacing w:val="-2"/>
                <w:sz w:val="15"/>
              </w:rPr>
              <w:t>weakness</w:t>
            </w:r>
          </w:p>
        </w:tc>
        <w:tc>
          <w:tcPr>
            <w:tcW w:w="4871" w:type="dxa"/>
            <w:tcBorders>
              <w:left w:val="single" w:sz="4" w:space="0" w:color="231F20"/>
            </w:tcBorders>
            <w:shd w:val="clear" w:color="auto" w:fill="E8F5F1"/>
          </w:tcPr>
          <w:p>
            <w:pPr>
              <w:pStyle w:val="TableParagraph"/>
              <w:rPr>
                <w:rFonts w:ascii="Times New Roman"/>
                <w:sz w:val="10"/>
              </w:rPr>
            </w:pPr>
          </w:p>
        </w:tc>
      </w:tr>
      <w:tr>
        <w:trPr>
          <w:trHeight w:val="204" w:hRule="atLeast"/>
        </w:trPr>
        <w:tc>
          <w:tcPr>
            <w:tcW w:w="4871" w:type="dxa"/>
            <w:gridSpan w:val="2"/>
            <w:tcBorders>
              <w:bottom w:val="single" w:sz="12" w:space="0" w:color="231F20"/>
              <w:right w:val="single" w:sz="4" w:space="0" w:color="231F20"/>
            </w:tcBorders>
            <w:shd w:val="clear" w:color="auto" w:fill="E8F5F1"/>
          </w:tcPr>
          <w:p>
            <w:pPr>
              <w:pStyle w:val="TableParagraph"/>
              <w:spacing w:line="169" w:lineRule="exact"/>
              <w:ind w:left="74"/>
              <w:rPr>
                <w:sz w:val="15"/>
              </w:rPr>
            </w:pPr>
            <w:r>
              <w:rPr>
                <w:color w:val="231F20"/>
                <w:spacing w:val="-2"/>
                <w:w w:val="105"/>
                <w:sz w:val="15"/>
              </w:rPr>
              <w:t>Myopathy</w:t>
            </w:r>
          </w:p>
        </w:tc>
        <w:tc>
          <w:tcPr>
            <w:tcW w:w="4871" w:type="dxa"/>
            <w:tcBorders>
              <w:left w:val="single" w:sz="4" w:space="0" w:color="231F20"/>
              <w:bottom w:val="single" w:sz="8" w:space="0" w:color="231F20"/>
            </w:tcBorders>
            <w:shd w:val="clear" w:color="auto" w:fill="E8F5F1"/>
          </w:tcPr>
          <w:p>
            <w:pPr>
              <w:pStyle w:val="TableParagraph"/>
              <w:rPr>
                <w:rFonts w:ascii="Times New Roman"/>
                <w:sz w:val="14"/>
              </w:rPr>
            </w:pPr>
          </w:p>
        </w:tc>
      </w:tr>
    </w:tbl>
    <w:p>
      <w:pPr>
        <w:spacing w:before="106"/>
        <w:ind w:left="822" w:right="0" w:firstLine="0"/>
        <w:jc w:val="left"/>
        <w:rPr>
          <w:i/>
          <w:sz w:val="13"/>
        </w:rPr>
      </w:pPr>
      <w:r>
        <w:rPr>
          <w:i/>
          <w:color w:val="231F20"/>
          <w:sz w:val="13"/>
        </w:rPr>
        <w:t>From</w:t>
      </w:r>
      <w:r>
        <w:rPr>
          <w:i/>
          <w:color w:val="231F20"/>
          <w:spacing w:val="-6"/>
          <w:sz w:val="13"/>
        </w:rPr>
        <w:t> </w:t>
      </w:r>
      <w:r>
        <w:rPr>
          <w:i/>
          <w:color w:val="231F20"/>
          <w:sz w:val="13"/>
        </w:rPr>
        <w:t>Finsterer</w:t>
      </w:r>
      <w:r>
        <w:rPr>
          <w:i/>
          <w:color w:val="231F20"/>
          <w:spacing w:val="-6"/>
          <w:sz w:val="13"/>
        </w:rPr>
        <w:t> </w:t>
      </w:r>
      <w:r>
        <w:rPr>
          <w:i/>
          <w:color w:val="231F20"/>
          <w:sz w:val="13"/>
        </w:rPr>
        <w:t>J:</w:t>
      </w:r>
      <w:r>
        <w:rPr>
          <w:i/>
          <w:color w:val="231F20"/>
          <w:spacing w:val="-6"/>
          <w:sz w:val="13"/>
        </w:rPr>
        <w:t> </w:t>
      </w:r>
      <w:r>
        <w:rPr>
          <w:i/>
          <w:color w:val="231F20"/>
          <w:sz w:val="13"/>
        </w:rPr>
        <w:t>Leigh</w:t>
      </w:r>
      <w:r>
        <w:rPr>
          <w:i/>
          <w:color w:val="231F20"/>
          <w:spacing w:val="-6"/>
          <w:sz w:val="13"/>
        </w:rPr>
        <w:t> </w:t>
      </w:r>
      <w:r>
        <w:rPr>
          <w:i/>
          <w:color w:val="231F20"/>
          <w:sz w:val="13"/>
        </w:rPr>
        <w:t>and</w:t>
      </w:r>
      <w:r>
        <w:rPr>
          <w:i/>
          <w:color w:val="231F20"/>
          <w:spacing w:val="-6"/>
          <w:sz w:val="13"/>
        </w:rPr>
        <w:t> </w:t>
      </w:r>
      <w:r>
        <w:rPr>
          <w:i/>
          <w:color w:val="231F20"/>
          <w:sz w:val="13"/>
        </w:rPr>
        <w:t>Leigh-like</w:t>
      </w:r>
      <w:r>
        <w:rPr>
          <w:i/>
          <w:color w:val="231F20"/>
          <w:spacing w:val="-6"/>
          <w:sz w:val="13"/>
        </w:rPr>
        <w:t> </w:t>
      </w:r>
      <w:r>
        <w:rPr>
          <w:i/>
          <w:color w:val="231F20"/>
          <w:sz w:val="13"/>
        </w:rPr>
        <w:t>syndrome</w:t>
      </w:r>
      <w:r>
        <w:rPr>
          <w:i/>
          <w:color w:val="231F20"/>
          <w:spacing w:val="-6"/>
          <w:sz w:val="13"/>
        </w:rPr>
        <w:t> </w:t>
      </w:r>
      <w:r>
        <w:rPr>
          <w:i/>
          <w:color w:val="231F20"/>
          <w:sz w:val="13"/>
        </w:rPr>
        <w:t>in</w:t>
      </w:r>
      <w:r>
        <w:rPr>
          <w:i/>
          <w:color w:val="231F20"/>
          <w:spacing w:val="-6"/>
          <w:sz w:val="13"/>
        </w:rPr>
        <w:t> </w:t>
      </w:r>
      <w:r>
        <w:rPr>
          <w:i/>
          <w:color w:val="231F20"/>
          <w:sz w:val="13"/>
        </w:rPr>
        <w:t>children</w:t>
      </w:r>
      <w:r>
        <w:rPr>
          <w:i/>
          <w:color w:val="231F20"/>
          <w:spacing w:val="-5"/>
          <w:sz w:val="13"/>
        </w:rPr>
        <w:t> </w:t>
      </w:r>
      <w:r>
        <w:rPr>
          <w:i/>
          <w:color w:val="231F20"/>
          <w:sz w:val="13"/>
        </w:rPr>
        <w:t>and</w:t>
      </w:r>
      <w:r>
        <w:rPr>
          <w:i/>
          <w:color w:val="231F20"/>
          <w:spacing w:val="-6"/>
          <w:sz w:val="13"/>
        </w:rPr>
        <w:t> </w:t>
      </w:r>
      <w:r>
        <w:rPr>
          <w:i/>
          <w:color w:val="231F20"/>
          <w:sz w:val="13"/>
        </w:rPr>
        <w:t>adults.</w:t>
      </w:r>
      <w:r>
        <w:rPr>
          <w:i/>
          <w:color w:val="231F20"/>
          <w:spacing w:val="-6"/>
          <w:sz w:val="13"/>
        </w:rPr>
        <w:t> </w:t>
      </w:r>
      <w:r>
        <w:rPr>
          <w:color w:val="231F20"/>
          <w:sz w:val="13"/>
        </w:rPr>
        <w:t>Pediatr</w:t>
      </w:r>
      <w:r>
        <w:rPr>
          <w:color w:val="231F20"/>
          <w:spacing w:val="-6"/>
          <w:sz w:val="13"/>
        </w:rPr>
        <w:t> </w:t>
      </w:r>
      <w:r>
        <w:rPr>
          <w:color w:val="231F20"/>
          <w:sz w:val="13"/>
        </w:rPr>
        <w:t>Neurol</w:t>
      </w:r>
      <w:r>
        <w:rPr>
          <w:color w:val="231F20"/>
          <w:spacing w:val="-6"/>
          <w:sz w:val="13"/>
        </w:rPr>
        <w:t> </w:t>
      </w:r>
      <w:r>
        <w:rPr>
          <w:i/>
          <w:color w:val="231F20"/>
          <w:sz w:val="13"/>
        </w:rPr>
        <w:t>39:223–235,</w:t>
      </w:r>
      <w:r>
        <w:rPr>
          <w:i/>
          <w:color w:val="231F20"/>
          <w:spacing w:val="-6"/>
          <w:sz w:val="13"/>
        </w:rPr>
        <w:t> </w:t>
      </w:r>
      <w:r>
        <w:rPr>
          <w:i/>
          <w:color w:val="231F20"/>
          <w:sz w:val="13"/>
        </w:rPr>
        <w:t>2008,</w:t>
      </w:r>
      <w:r>
        <w:rPr>
          <w:i/>
          <w:color w:val="231F20"/>
          <w:spacing w:val="-6"/>
          <w:sz w:val="13"/>
        </w:rPr>
        <w:t> </w:t>
      </w:r>
      <w:r>
        <w:rPr>
          <w:i/>
          <w:color w:val="231F20"/>
          <w:sz w:val="13"/>
        </w:rPr>
        <w:t>Table</w:t>
      </w:r>
      <w:r>
        <w:rPr>
          <w:i/>
          <w:color w:val="231F20"/>
          <w:spacing w:val="-6"/>
          <w:sz w:val="13"/>
        </w:rPr>
        <w:t> </w:t>
      </w:r>
      <w:r>
        <w:rPr>
          <w:i/>
          <w:color w:val="231F20"/>
          <w:spacing w:val="-5"/>
          <w:sz w:val="13"/>
        </w:rPr>
        <w:t>1.</w:t>
      </w:r>
    </w:p>
    <w:p>
      <w:pPr>
        <w:pStyle w:val="BodyText"/>
        <w:spacing w:before="131"/>
        <w:rPr>
          <w:i/>
          <w:sz w:val="20"/>
        </w:rPr>
      </w:pPr>
      <w:r>
        <w:rPr>
          <w:i/>
          <w:sz w:val="20"/>
        </w:rPr>
        <mc:AlternateContent>
          <mc:Choice Requires="wps">
            <w:drawing>
              <wp:anchor distT="0" distB="0" distL="0" distR="0" allowOverlap="1" layoutInCell="1" locked="0" behindDoc="1" simplePos="0" relativeHeight="487636480">
                <wp:simplePos x="0" y="0"/>
                <wp:positionH relativeFrom="page">
                  <wp:posOffset>883249</wp:posOffset>
                </wp:positionH>
                <wp:positionV relativeFrom="paragraph">
                  <wp:posOffset>354332</wp:posOffset>
                </wp:positionV>
                <wp:extent cx="2986405" cy="3088005"/>
                <wp:effectExtent l="0" t="0" r="0" b="0"/>
                <wp:wrapTopAndBottom/>
                <wp:docPr id="775" name="Group 775"/>
                <wp:cNvGraphicFramePr>
                  <a:graphicFrameLocks/>
                </wp:cNvGraphicFramePr>
                <a:graphic>
                  <a:graphicData uri="http://schemas.microsoft.com/office/word/2010/wordprocessingGroup">
                    <wpg:wgp>
                      <wpg:cNvPr id="775" name="Group 775"/>
                      <wpg:cNvGrpSpPr/>
                      <wpg:grpSpPr>
                        <a:xfrm>
                          <a:off x="0" y="0"/>
                          <a:ext cx="2986405" cy="3088005"/>
                          <a:chExt cx="2986405" cy="3088005"/>
                        </a:xfrm>
                      </wpg:grpSpPr>
                      <wps:wsp>
                        <wps:cNvPr id="776" name="Textbox 776"/>
                        <wps:cNvSpPr txBox="1"/>
                        <wps:spPr>
                          <a:xfrm>
                            <a:off x="11" y="355478"/>
                            <a:ext cx="2986405" cy="2726690"/>
                          </a:xfrm>
                          <a:prstGeom prst="rect">
                            <a:avLst/>
                          </a:prstGeom>
                          <a:solidFill>
                            <a:srgbClr val="E8F5F1"/>
                          </a:solidFill>
                        </wps:spPr>
                        <wps:txbx>
                          <w:txbxContent>
                            <w:p>
                              <w:pPr>
                                <w:numPr>
                                  <w:ilvl w:val="0"/>
                                  <w:numId w:val="82"/>
                                </w:numPr>
                                <w:tabs>
                                  <w:tab w:pos="264" w:val="left" w:leader="none"/>
                                  <w:tab w:pos="266" w:val="left" w:leader="none"/>
                                </w:tabs>
                                <w:spacing w:line="230" w:lineRule="auto" w:before="53"/>
                                <w:ind w:left="266" w:right="421" w:hanging="193"/>
                                <w:jc w:val="left"/>
                                <w:rPr>
                                  <w:color w:val="000000"/>
                                  <w:sz w:val="15"/>
                                </w:rPr>
                              </w:pPr>
                              <w:r>
                                <w:rPr>
                                  <w:color w:val="231F20"/>
                                  <w:sz w:val="15"/>
                                </w:rPr>
                                <w:t>Acute</w:t>
                              </w:r>
                              <w:r>
                                <w:rPr>
                                  <w:color w:val="231F20"/>
                                  <w:spacing w:val="-12"/>
                                  <w:sz w:val="15"/>
                                </w:rPr>
                                <w:t> </w:t>
                              </w:r>
                              <w:r>
                                <w:rPr>
                                  <w:color w:val="231F20"/>
                                  <w:sz w:val="15"/>
                                </w:rPr>
                                <w:t>encephalopathy</w:t>
                              </w:r>
                              <w:r>
                                <w:rPr>
                                  <w:color w:val="231F20"/>
                                  <w:spacing w:val="-11"/>
                                  <w:sz w:val="15"/>
                                </w:rPr>
                                <w:t> </w:t>
                              </w:r>
                              <w:r>
                                <w:rPr>
                                  <w:color w:val="231F20"/>
                                  <w:sz w:val="15"/>
                                </w:rPr>
                                <w:t>following</w:t>
                              </w:r>
                              <w:r>
                                <w:rPr>
                                  <w:color w:val="231F20"/>
                                  <w:spacing w:val="-11"/>
                                  <w:sz w:val="15"/>
                                </w:rPr>
                                <w:t> </w:t>
                              </w:r>
                              <w:r>
                                <w:rPr>
                                  <w:color w:val="231F20"/>
                                  <w:sz w:val="15"/>
                                </w:rPr>
                                <w:t>(1-3</w:t>
                              </w:r>
                              <w:r>
                                <w:rPr>
                                  <w:color w:val="231F20"/>
                                  <w:spacing w:val="-12"/>
                                  <w:sz w:val="15"/>
                                </w:rPr>
                                <w:t> </w:t>
                              </w:r>
                              <w:r>
                                <w:rPr>
                                  <w:color w:val="231F20"/>
                                  <w:sz w:val="15"/>
                                </w:rPr>
                                <w:t>days)</w:t>
                              </w:r>
                              <w:r>
                                <w:rPr>
                                  <w:color w:val="231F20"/>
                                  <w:spacing w:val="-11"/>
                                  <w:sz w:val="15"/>
                                </w:rPr>
                                <w:t> </w:t>
                              </w:r>
                              <w:r>
                                <w:rPr>
                                  <w:color w:val="231F20"/>
                                  <w:sz w:val="15"/>
                                </w:rPr>
                                <w:t>a</w:t>
                              </w:r>
                              <w:r>
                                <w:rPr>
                                  <w:color w:val="231F20"/>
                                  <w:spacing w:val="-11"/>
                                  <w:sz w:val="15"/>
                                </w:rPr>
                                <w:t> </w:t>
                              </w:r>
                              <w:r>
                                <w:rPr>
                                  <w:color w:val="231F20"/>
                                  <w:sz w:val="15"/>
                                </w:rPr>
                                <w:t>febrile</w:t>
                              </w:r>
                              <w:r>
                                <w:rPr>
                                  <w:color w:val="231F20"/>
                                  <w:spacing w:val="-12"/>
                                  <w:sz w:val="15"/>
                                </w:rPr>
                                <w:t> </w:t>
                              </w:r>
                              <w:r>
                                <w:rPr>
                                  <w:color w:val="231F20"/>
                                  <w:sz w:val="15"/>
                                </w:rPr>
                                <w:t>disease. Rapid deterioration in the level of consciousness. Seizures.</w:t>
                              </w:r>
                            </w:p>
                            <w:p>
                              <w:pPr>
                                <w:numPr>
                                  <w:ilvl w:val="0"/>
                                  <w:numId w:val="82"/>
                                </w:numPr>
                                <w:tabs>
                                  <w:tab w:pos="264" w:val="left" w:leader="none"/>
                                  <w:tab w:pos="266" w:val="left" w:leader="none"/>
                                </w:tabs>
                                <w:spacing w:line="230" w:lineRule="auto" w:before="1"/>
                                <w:ind w:left="266" w:right="72" w:hanging="193"/>
                                <w:jc w:val="left"/>
                                <w:rPr>
                                  <w:color w:val="000000"/>
                                  <w:sz w:val="15"/>
                                </w:rPr>
                              </w:pPr>
                              <w:r>
                                <w:rPr>
                                  <w:color w:val="231F20"/>
                                  <w:sz w:val="15"/>
                                </w:rPr>
                                <w:t>No</w:t>
                              </w:r>
                              <w:r>
                                <w:rPr>
                                  <w:color w:val="231F20"/>
                                  <w:spacing w:val="-12"/>
                                  <w:sz w:val="15"/>
                                </w:rPr>
                                <w:t> </w:t>
                              </w:r>
                              <w:r>
                                <w:rPr>
                                  <w:color w:val="231F20"/>
                                  <w:sz w:val="15"/>
                                </w:rPr>
                                <w:t>cerebrospinal</w:t>
                              </w:r>
                              <w:r>
                                <w:rPr>
                                  <w:color w:val="231F20"/>
                                  <w:spacing w:val="-11"/>
                                  <w:sz w:val="15"/>
                                </w:rPr>
                                <w:t> </w:t>
                              </w:r>
                              <w:r>
                                <w:rPr>
                                  <w:color w:val="231F20"/>
                                  <w:sz w:val="15"/>
                                </w:rPr>
                                <w:t>fluid</w:t>
                              </w:r>
                              <w:r>
                                <w:rPr>
                                  <w:color w:val="231F20"/>
                                  <w:spacing w:val="-11"/>
                                  <w:sz w:val="15"/>
                                </w:rPr>
                                <w:t> </w:t>
                              </w:r>
                              <w:r>
                                <w:rPr>
                                  <w:color w:val="231F20"/>
                                  <w:sz w:val="15"/>
                                </w:rPr>
                                <w:t>pleocytosis.</w:t>
                              </w:r>
                              <w:r>
                                <w:rPr>
                                  <w:color w:val="231F20"/>
                                  <w:spacing w:val="-12"/>
                                  <w:sz w:val="15"/>
                                </w:rPr>
                                <w:t> </w:t>
                              </w:r>
                              <w:r>
                                <w:rPr>
                                  <w:color w:val="231F20"/>
                                  <w:sz w:val="15"/>
                                </w:rPr>
                                <w:t>Increase</w:t>
                              </w:r>
                              <w:r>
                                <w:rPr>
                                  <w:color w:val="231F20"/>
                                  <w:spacing w:val="-11"/>
                                  <w:sz w:val="15"/>
                                </w:rPr>
                                <w:t> </w:t>
                              </w:r>
                              <w:r>
                                <w:rPr>
                                  <w:color w:val="231F20"/>
                                  <w:sz w:val="15"/>
                                </w:rPr>
                                <w:t>in</w:t>
                              </w:r>
                              <w:r>
                                <w:rPr>
                                  <w:color w:val="231F20"/>
                                  <w:spacing w:val="-11"/>
                                  <w:sz w:val="15"/>
                                </w:rPr>
                                <w:t> </w:t>
                              </w:r>
                              <w:r>
                                <w:rPr>
                                  <w:color w:val="231F20"/>
                                  <w:sz w:val="15"/>
                                </w:rPr>
                                <w:t>cerebrospinal</w:t>
                              </w:r>
                              <w:r>
                                <w:rPr>
                                  <w:color w:val="231F20"/>
                                  <w:spacing w:val="-12"/>
                                  <w:sz w:val="15"/>
                                </w:rPr>
                                <w:t> </w:t>
                              </w:r>
                              <w:r>
                                <w:rPr>
                                  <w:color w:val="231F20"/>
                                  <w:sz w:val="15"/>
                                </w:rPr>
                                <w:t>fluid </w:t>
                              </w:r>
                              <w:r>
                                <w:rPr>
                                  <w:color w:val="231F20"/>
                                  <w:spacing w:val="-2"/>
                                  <w:sz w:val="15"/>
                                </w:rPr>
                                <w:t>protein.</w:t>
                              </w:r>
                            </w:p>
                            <w:p>
                              <w:pPr>
                                <w:numPr>
                                  <w:ilvl w:val="0"/>
                                  <w:numId w:val="82"/>
                                </w:numPr>
                                <w:tabs>
                                  <w:tab w:pos="264" w:val="left" w:leader="none"/>
                                  <w:tab w:pos="266" w:val="left" w:leader="none"/>
                                </w:tabs>
                                <w:spacing w:line="230" w:lineRule="auto" w:before="2"/>
                                <w:ind w:left="266" w:right="115" w:hanging="193"/>
                                <w:jc w:val="left"/>
                                <w:rPr>
                                  <w:color w:val="000000"/>
                                  <w:sz w:val="15"/>
                                </w:rPr>
                              </w:pPr>
                              <w:r>
                                <w:rPr>
                                  <w:color w:val="231F20"/>
                                  <w:sz w:val="15"/>
                                </w:rPr>
                                <w:t>CT or MRI evidence of symmetric, multifocal brain lesions. Involvement</w:t>
                              </w:r>
                              <w:r>
                                <w:rPr>
                                  <w:color w:val="231F20"/>
                                  <w:spacing w:val="-12"/>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bilateral</w:t>
                              </w:r>
                              <w:r>
                                <w:rPr>
                                  <w:color w:val="231F20"/>
                                  <w:spacing w:val="-12"/>
                                  <w:sz w:val="15"/>
                                </w:rPr>
                                <w:t> </w:t>
                              </w:r>
                              <w:r>
                                <w:rPr>
                                  <w:color w:val="231F20"/>
                                  <w:sz w:val="15"/>
                                </w:rPr>
                                <w:t>thalami.</w:t>
                              </w:r>
                              <w:r>
                                <w:rPr>
                                  <w:color w:val="231F20"/>
                                  <w:spacing w:val="-11"/>
                                  <w:sz w:val="15"/>
                                </w:rPr>
                                <w:t> </w:t>
                              </w:r>
                              <w:r>
                                <w:rPr>
                                  <w:color w:val="231F20"/>
                                  <w:sz w:val="15"/>
                                </w:rPr>
                                <w:t>Lesions</w:t>
                              </w:r>
                              <w:r>
                                <w:rPr>
                                  <w:color w:val="231F20"/>
                                  <w:spacing w:val="-11"/>
                                  <w:sz w:val="15"/>
                                </w:rPr>
                                <w:t> </w:t>
                              </w:r>
                              <w:r>
                                <w:rPr>
                                  <w:color w:val="231F20"/>
                                  <w:sz w:val="15"/>
                                </w:rPr>
                                <w:t>also</w:t>
                              </w:r>
                              <w:r>
                                <w:rPr>
                                  <w:color w:val="231F20"/>
                                  <w:spacing w:val="-12"/>
                                  <w:sz w:val="15"/>
                                </w:rPr>
                                <w:t> </w:t>
                              </w:r>
                              <w:r>
                                <w:rPr>
                                  <w:color w:val="231F20"/>
                                  <w:sz w:val="15"/>
                                </w:rPr>
                                <w:t>common</w:t>
                              </w:r>
                              <w:r>
                                <w:rPr>
                                  <w:color w:val="231F20"/>
                                  <w:spacing w:val="-11"/>
                                  <w:sz w:val="15"/>
                                </w:rPr>
                                <w:t> </w:t>
                              </w:r>
                              <w:r>
                                <w:rPr>
                                  <w:color w:val="231F20"/>
                                  <w:sz w:val="15"/>
                                </w:rPr>
                                <w:t>in</w:t>
                              </w:r>
                              <w:r>
                                <w:rPr>
                                  <w:color w:val="231F20"/>
                                  <w:spacing w:val="-11"/>
                                  <w:sz w:val="15"/>
                                </w:rPr>
                                <w:t> </w:t>
                              </w:r>
                              <w:r>
                                <w:rPr>
                                  <w:color w:val="231F20"/>
                                  <w:sz w:val="15"/>
                                </w:rPr>
                                <w:t>the </w:t>
                              </w:r>
                              <w:r>
                                <w:rPr>
                                  <w:color w:val="231F20"/>
                                  <w:spacing w:val="-2"/>
                                  <w:sz w:val="15"/>
                                </w:rPr>
                                <w:t>cerebral</w:t>
                              </w:r>
                              <w:r>
                                <w:rPr>
                                  <w:color w:val="231F20"/>
                                  <w:spacing w:val="-10"/>
                                  <w:sz w:val="15"/>
                                </w:rPr>
                                <w:t> </w:t>
                              </w:r>
                              <w:r>
                                <w:rPr>
                                  <w:color w:val="231F20"/>
                                  <w:spacing w:val="-2"/>
                                  <w:sz w:val="15"/>
                                </w:rPr>
                                <w:t>periventricular</w:t>
                              </w:r>
                              <w:r>
                                <w:rPr>
                                  <w:color w:val="231F20"/>
                                  <w:spacing w:val="-9"/>
                                  <w:sz w:val="15"/>
                                </w:rPr>
                                <w:t> </w:t>
                              </w:r>
                              <w:r>
                                <w:rPr>
                                  <w:color w:val="231F20"/>
                                  <w:spacing w:val="-2"/>
                                  <w:sz w:val="15"/>
                                </w:rPr>
                                <w:t>white</w:t>
                              </w:r>
                              <w:r>
                                <w:rPr>
                                  <w:color w:val="231F20"/>
                                  <w:spacing w:val="-9"/>
                                  <w:sz w:val="15"/>
                                </w:rPr>
                                <w:t> </w:t>
                              </w:r>
                              <w:r>
                                <w:rPr>
                                  <w:color w:val="231F20"/>
                                  <w:spacing w:val="-2"/>
                                  <w:sz w:val="15"/>
                                </w:rPr>
                                <w:t>matter,</w:t>
                              </w:r>
                              <w:r>
                                <w:rPr>
                                  <w:color w:val="231F20"/>
                                  <w:spacing w:val="-10"/>
                                  <w:sz w:val="15"/>
                                </w:rPr>
                                <w:t> </w:t>
                              </w:r>
                              <w:r>
                                <w:rPr>
                                  <w:color w:val="231F20"/>
                                  <w:spacing w:val="-2"/>
                                  <w:sz w:val="15"/>
                                </w:rPr>
                                <w:t>internal</w:t>
                              </w:r>
                              <w:r>
                                <w:rPr>
                                  <w:color w:val="231F20"/>
                                  <w:spacing w:val="-9"/>
                                  <w:sz w:val="15"/>
                                </w:rPr>
                                <w:t> </w:t>
                              </w:r>
                              <w:r>
                                <w:rPr>
                                  <w:color w:val="231F20"/>
                                  <w:spacing w:val="-2"/>
                                  <w:sz w:val="15"/>
                                </w:rPr>
                                <w:t>capsule,</w:t>
                              </w:r>
                              <w:r>
                                <w:rPr>
                                  <w:color w:val="231F20"/>
                                  <w:spacing w:val="-9"/>
                                  <w:sz w:val="15"/>
                                </w:rPr>
                                <w:t> </w:t>
                              </w:r>
                              <w:r>
                                <w:rPr>
                                  <w:color w:val="231F20"/>
                                  <w:spacing w:val="-2"/>
                                  <w:sz w:val="15"/>
                                </w:rPr>
                                <w:t>putamen, </w:t>
                              </w:r>
                              <w:r>
                                <w:rPr>
                                  <w:color w:val="231F20"/>
                                  <w:sz w:val="15"/>
                                </w:rPr>
                                <w:t>upper brainstem tegmentum and cerebellar medulla. No involvement of other central nervous system regions.</w:t>
                              </w:r>
                            </w:p>
                            <w:p>
                              <w:pPr>
                                <w:numPr>
                                  <w:ilvl w:val="0"/>
                                  <w:numId w:val="82"/>
                                </w:numPr>
                                <w:tabs>
                                  <w:tab w:pos="264" w:val="left" w:leader="none"/>
                                  <w:tab w:pos="266" w:val="left" w:leader="none"/>
                                </w:tabs>
                                <w:spacing w:line="230" w:lineRule="auto" w:before="3"/>
                                <w:ind w:left="266" w:right="316" w:hanging="193"/>
                                <w:jc w:val="left"/>
                                <w:rPr>
                                  <w:color w:val="000000"/>
                                  <w:sz w:val="15"/>
                                </w:rPr>
                              </w:pPr>
                              <w:r>
                                <w:rPr>
                                  <w:color w:val="231F20"/>
                                  <w:sz w:val="15"/>
                                </w:rPr>
                                <w:t>Elevation</w:t>
                              </w:r>
                              <w:r>
                                <w:rPr>
                                  <w:color w:val="231F20"/>
                                  <w:spacing w:val="-9"/>
                                  <w:sz w:val="15"/>
                                </w:rPr>
                                <w:t> </w:t>
                              </w:r>
                              <w:r>
                                <w:rPr>
                                  <w:color w:val="231F20"/>
                                  <w:sz w:val="15"/>
                                </w:rPr>
                                <w:t>of</w:t>
                              </w:r>
                              <w:r>
                                <w:rPr>
                                  <w:color w:val="231F20"/>
                                  <w:spacing w:val="-9"/>
                                  <w:sz w:val="15"/>
                                </w:rPr>
                                <w:t> </w:t>
                              </w:r>
                              <w:r>
                                <w:rPr>
                                  <w:color w:val="231F20"/>
                                  <w:sz w:val="15"/>
                                </w:rPr>
                                <w:t>serum</w:t>
                              </w:r>
                              <w:r>
                                <w:rPr>
                                  <w:color w:val="231F20"/>
                                  <w:spacing w:val="-9"/>
                                  <w:sz w:val="15"/>
                                </w:rPr>
                                <w:t> </w:t>
                              </w:r>
                              <w:r>
                                <w:rPr>
                                  <w:color w:val="231F20"/>
                                  <w:sz w:val="15"/>
                                </w:rPr>
                                <w:t>aminotransferases</w:t>
                              </w:r>
                              <w:r>
                                <w:rPr>
                                  <w:color w:val="231F20"/>
                                  <w:spacing w:val="-9"/>
                                  <w:sz w:val="15"/>
                                </w:rPr>
                                <w:t> </w:t>
                              </w:r>
                              <w:r>
                                <w:rPr>
                                  <w:color w:val="231F20"/>
                                  <w:sz w:val="15"/>
                                </w:rPr>
                                <w:t>of</w:t>
                              </w:r>
                              <w:r>
                                <w:rPr>
                                  <w:color w:val="231F20"/>
                                  <w:spacing w:val="-9"/>
                                  <w:sz w:val="15"/>
                                </w:rPr>
                                <w:t> </w:t>
                              </w:r>
                              <w:r>
                                <w:rPr>
                                  <w:color w:val="231F20"/>
                                  <w:sz w:val="15"/>
                                </w:rPr>
                                <w:t>variable</w:t>
                              </w:r>
                              <w:r>
                                <w:rPr>
                                  <w:color w:val="231F20"/>
                                  <w:spacing w:val="-9"/>
                                  <w:sz w:val="15"/>
                                </w:rPr>
                                <w:t> </w:t>
                              </w:r>
                              <w:r>
                                <w:rPr>
                                  <w:color w:val="231F20"/>
                                  <w:sz w:val="15"/>
                                </w:rPr>
                                <w:t>degrees.</w:t>
                              </w:r>
                              <w:r>
                                <w:rPr>
                                  <w:color w:val="231F20"/>
                                  <w:spacing w:val="-9"/>
                                  <w:sz w:val="15"/>
                                </w:rPr>
                                <w:t> </w:t>
                              </w:r>
                              <w:r>
                                <w:rPr>
                                  <w:color w:val="231F20"/>
                                  <w:sz w:val="15"/>
                                </w:rPr>
                                <w:t>No increase in blood ammonia.</w:t>
                              </w:r>
                            </w:p>
                            <w:p>
                              <w:pPr>
                                <w:numPr>
                                  <w:ilvl w:val="0"/>
                                  <w:numId w:val="82"/>
                                </w:numPr>
                                <w:tabs>
                                  <w:tab w:pos="265" w:val="left" w:leader="none"/>
                                </w:tabs>
                                <w:spacing w:line="167" w:lineRule="exact" w:before="0"/>
                                <w:ind w:left="265" w:right="0" w:hanging="191"/>
                                <w:jc w:val="left"/>
                                <w:rPr>
                                  <w:color w:val="000000"/>
                                  <w:sz w:val="15"/>
                                </w:rPr>
                              </w:pPr>
                              <w:r>
                                <w:rPr>
                                  <w:color w:val="231F20"/>
                                  <w:sz w:val="15"/>
                                </w:rPr>
                                <w:t>Exclusion</w:t>
                              </w:r>
                              <w:r>
                                <w:rPr>
                                  <w:color w:val="231F20"/>
                                  <w:spacing w:val="2"/>
                                  <w:sz w:val="15"/>
                                </w:rPr>
                                <w:t> </w:t>
                              </w:r>
                              <w:r>
                                <w:rPr>
                                  <w:color w:val="231F20"/>
                                  <w:sz w:val="15"/>
                                </w:rPr>
                                <w:t>of</w:t>
                              </w:r>
                              <w:r>
                                <w:rPr>
                                  <w:color w:val="231F20"/>
                                  <w:spacing w:val="2"/>
                                  <w:sz w:val="15"/>
                                </w:rPr>
                                <w:t> </w:t>
                              </w:r>
                              <w:r>
                                <w:rPr>
                                  <w:color w:val="231F20"/>
                                  <w:sz w:val="15"/>
                                </w:rPr>
                                <w:t>resembling</w:t>
                              </w:r>
                              <w:r>
                                <w:rPr>
                                  <w:color w:val="231F20"/>
                                  <w:spacing w:val="2"/>
                                  <w:sz w:val="15"/>
                                </w:rPr>
                                <w:t> </w:t>
                              </w:r>
                              <w:r>
                                <w:rPr>
                                  <w:color w:val="231F20"/>
                                  <w:spacing w:val="-2"/>
                                  <w:sz w:val="15"/>
                                </w:rPr>
                                <w:t>diseases.</w:t>
                              </w:r>
                            </w:p>
                            <w:p>
                              <w:pPr>
                                <w:numPr>
                                  <w:ilvl w:val="1"/>
                                  <w:numId w:val="82"/>
                                </w:numPr>
                                <w:tabs>
                                  <w:tab w:pos="471" w:val="left" w:leader="none"/>
                                </w:tabs>
                                <w:spacing w:line="168" w:lineRule="exact" w:before="0"/>
                                <w:ind w:left="471" w:right="0" w:hanging="205"/>
                                <w:jc w:val="left"/>
                                <w:rPr>
                                  <w:color w:val="000000"/>
                                  <w:sz w:val="15"/>
                                </w:rPr>
                              </w:pPr>
                              <w:r>
                                <w:rPr>
                                  <w:color w:val="231F20"/>
                                  <w:spacing w:val="-2"/>
                                  <w:sz w:val="15"/>
                                </w:rPr>
                                <w:t>Differential diagnosis from</w:t>
                              </w:r>
                              <w:r>
                                <w:rPr>
                                  <w:color w:val="231F20"/>
                                  <w:spacing w:val="-1"/>
                                  <w:sz w:val="15"/>
                                </w:rPr>
                                <w:t> </w:t>
                              </w:r>
                              <w:r>
                                <w:rPr>
                                  <w:color w:val="231F20"/>
                                  <w:spacing w:val="-2"/>
                                  <w:sz w:val="15"/>
                                </w:rPr>
                                <w:t>clinical viewpoints.</w:t>
                              </w:r>
                            </w:p>
                            <w:p>
                              <w:pPr>
                                <w:spacing w:line="230" w:lineRule="auto" w:before="3"/>
                                <w:ind w:left="471" w:right="164" w:hanging="206"/>
                                <w:jc w:val="left"/>
                                <w:rPr>
                                  <w:color w:val="000000"/>
                                  <w:sz w:val="15"/>
                                </w:rPr>
                              </w:pPr>
                              <w:r>
                                <w:rPr>
                                  <w:color w:val="231F20"/>
                                  <w:sz w:val="15"/>
                                </w:rPr>
                                <w:t>Overwhelming bacterial and viral infections, and fulminant </w:t>
                              </w:r>
                              <w:r>
                                <w:rPr>
                                  <w:color w:val="231F20"/>
                                  <w:spacing w:val="-2"/>
                                  <w:sz w:val="15"/>
                                </w:rPr>
                                <w:t>hepatitis;</w:t>
                              </w:r>
                              <w:r>
                                <w:rPr>
                                  <w:color w:val="231F20"/>
                                  <w:spacing w:val="-4"/>
                                  <w:sz w:val="15"/>
                                </w:rPr>
                                <w:t> </w:t>
                              </w:r>
                              <w:r>
                                <w:rPr>
                                  <w:color w:val="231F20"/>
                                  <w:spacing w:val="-2"/>
                                  <w:sz w:val="15"/>
                                </w:rPr>
                                <w:t>toxic</w:t>
                              </w:r>
                              <w:r>
                                <w:rPr>
                                  <w:color w:val="231F20"/>
                                  <w:spacing w:val="-4"/>
                                  <w:sz w:val="15"/>
                                </w:rPr>
                                <w:t> </w:t>
                              </w:r>
                              <w:r>
                                <w:rPr>
                                  <w:color w:val="231F20"/>
                                  <w:spacing w:val="-2"/>
                                  <w:sz w:val="15"/>
                                </w:rPr>
                                <w:t>shock,</w:t>
                              </w:r>
                              <w:r>
                                <w:rPr>
                                  <w:color w:val="231F20"/>
                                  <w:spacing w:val="-4"/>
                                  <w:sz w:val="15"/>
                                </w:rPr>
                                <w:t> </w:t>
                              </w:r>
                              <w:r>
                                <w:rPr>
                                  <w:color w:val="231F20"/>
                                  <w:spacing w:val="-2"/>
                                  <w:sz w:val="15"/>
                                </w:rPr>
                                <w:t>hemolytic</w:t>
                              </w:r>
                              <w:r>
                                <w:rPr>
                                  <w:color w:val="231F20"/>
                                  <w:spacing w:val="-4"/>
                                  <w:sz w:val="15"/>
                                </w:rPr>
                                <w:t> </w:t>
                              </w:r>
                              <w:r>
                                <w:rPr>
                                  <w:color w:val="231F20"/>
                                  <w:spacing w:val="-2"/>
                                  <w:sz w:val="15"/>
                                </w:rPr>
                                <w:t>uremic</w:t>
                              </w:r>
                              <w:r>
                                <w:rPr>
                                  <w:color w:val="231F20"/>
                                  <w:spacing w:val="-4"/>
                                  <w:sz w:val="15"/>
                                </w:rPr>
                                <w:t> </w:t>
                              </w:r>
                              <w:r>
                                <w:rPr>
                                  <w:color w:val="231F20"/>
                                  <w:spacing w:val="-2"/>
                                  <w:sz w:val="15"/>
                                </w:rPr>
                                <w:t>syndrome,</w:t>
                              </w:r>
                              <w:r>
                                <w:rPr>
                                  <w:color w:val="231F20"/>
                                  <w:spacing w:val="-4"/>
                                  <w:sz w:val="15"/>
                                </w:rPr>
                                <w:t> </w:t>
                              </w:r>
                              <w:r>
                                <w:rPr>
                                  <w:color w:val="231F20"/>
                                  <w:spacing w:val="-2"/>
                                  <w:sz w:val="15"/>
                                </w:rPr>
                                <w:t>and</w:t>
                              </w:r>
                              <w:r>
                                <w:rPr>
                                  <w:color w:val="231F20"/>
                                  <w:spacing w:val="-4"/>
                                  <w:sz w:val="15"/>
                                </w:rPr>
                                <w:t> </w:t>
                              </w:r>
                              <w:r>
                                <w:rPr>
                                  <w:color w:val="231F20"/>
                                  <w:spacing w:val="-2"/>
                                  <w:sz w:val="15"/>
                                </w:rPr>
                                <w:t>other </w:t>
                              </w:r>
                              <w:r>
                                <w:rPr>
                                  <w:color w:val="231F20"/>
                                  <w:sz w:val="15"/>
                                </w:rPr>
                                <w:t>toxin-induced diseases; Reye syndrome, hemorrhagic shock and encephalopathy syndrome, and heat stroke.</w:t>
                              </w:r>
                            </w:p>
                            <w:p>
                              <w:pPr>
                                <w:numPr>
                                  <w:ilvl w:val="1"/>
                                  <w:numId w:val="82"/>
                                </w:numPr>
                                <w:tabs>
                                  <w:tab w:pos="471" w:val="left" w:leader="none"/>
                                </w:tabs>
                                <w:spacing w:line="168" w:lineRule="exact" w:before="0"/>
                                <w:ind w:left="471" w:right="0" w:hanging="205"/>
                                <w:jc w:val="left"/>
                                <w:rPr>
                                  <w:color w:val="000000"/>
                                  <w:sz w:val="15"/>
                                </w:rPr>
                              </w:pPr>
                              <w:r>
                                <w:rPr>
                                  <w:color w:val="231F20"/>
                                  <w:sz w:val="15"/>
                                </w:rPr>
                                <w:t>Differential</w:t>
                              </w:r>
                              <w:r>
                                <w:rPr>
                                  <w:color w:val="231F20"/>
                                  <w:spacing w:val="-9"/>
                                  <w:sz w:val="15"/>
                                </w:rPr>
                                <w:t> </w:t>
                              </w:r>
                              <w:r>
                                <w:rPr>
                                  <w:color w:val="231F20"/>
                                  <w:sz w:val="15"/>
                                </w:rPr>
                                <w:t>diagnosis</w:t>
                              </w:r>
                              <w:r>
                                <w:rPr>
                                  <w:color w:val="231F20"/>
                                  <w:spacing w:val="-8"/>
                                  <w:sz w:val="15"/>
                                </w:rPr>
                                <w:t> </w:t>
                              </w:r>
                              <w:r>
                                <w:rPr>
                                  <w:color w:val="231F20"/>
                                  <w:sz w:val="15"/>
                                </w:rPr>
                                <w:t>from</w:t>
                              </w:r>
                              <w:r>
                                <w:rPr>
                                  <w:color w:val="231F20"/>
                                  <w:spacing w:val="-9"/>
                                  <w:sz w:val="15"/>
                                </w:rPr>
                                <w:t> </w:t>
                              </w:r>
                              <w:r>
                                <w:rPr>
                                  <w:color w:val="231F20"/>
                                  <w:sz w:val="15"/>
                                </w:rPr>
                                <w:t>radiologic</w:t>
                              </w:r>
                              <w:r>
                                <w:rPr>
                                  <w:color w:val="231F20"/>
                                  <w:spacing w:val="-8"/>
                                  <w:sz w:val="15"/>
                                </w:rPr>
                                <w:t> </w:t>
                              </w:r>
                              <w:r>
                                <w:rPr>
                                  <w:color w:val="231F20"/>
                                  <w:spacing w:val="-2"/>
                                  <w:sz w:val="15"/>
                                </w:rPr>
                                <w:t>viewpoints.</w:t>
                              </w:r>
                            </w:p>
                            <w:p>
                              <w:pPr>
                                <w:spacing w:line="230" w:lineRule="auto" w:before="2"/>
                                <w:ind w:left="471" w:right="108" w:hanging="206"/>
                                <w:jc w:val="left"/>
                                <w:rPr>
                                  <w:color w:val="000000"/>
                                  <w:sz w:val="15"/>
                                </w:rPr>
                              </w:pPr>
                              <w:r>
                                <w:rPr>
                                  <w:color w:val="231F20"/>
                                  <w:sz w:val="15"/>
                                </w:rPr>
                                <w:t>Leigh encephalopathy and related mitochondrial cytopathies; glutaric acidemia, methylmalonic acidemia, and infantile bilateral striatal necrosis; Wernicke encephalopathy and carbon monoxide poisoning; acute disseminated encephalomyelitis, acute hemorrhagic leukoencephalitis, </w:t>
                              </w:r>
                              <w:r>
                                <w:rPr>
                                  <w:color w:val="231F20"/>
                                  <w:spacing w:val="-2"/>
                                  <w:sz w:val="15"/>
                                </w:rPr>
                                <w:t>other</w:t>
                              </w:r>
                              <w:r>
                                <w:rPr>
                                  <w:color w:val="231F20"/>
                                  <w:spacing w:val="-6"/>
                                  <w:sz w:val="15"/>
                                </w:rPr>
                                <w:t> </w:t>
                              </w:r>
                              <w:r>
                                <w:rPr>
                                  <w:color w:val="231F20"/>
                                  <w:spacing w:val="-2"/>
                                  <w:sz w:val="15"/>
                                </w:rPr>
                                <w:t>types</w:t>
                              </w:r>
                              <w:r>
                                <w:rPr>
                                  <w:color w:val="231F20"/>
                                  <w:spacing w:val="-6"/>
                                  <w:sz w:val="15"/>
                                </w:rPr>
                                <w:t> </w:t>
                              </w:r>
                              <w:r>
                                <w:rPr>
                                  <w:color w:val="231F20"/>
                                  <w:spacing w:val="-2"/>
                                  <w:sz w:val="15"/>
                                </w:rPr>
                                <w:t>of</w:t>
                              </w:r>
                              <w:r>
                                <w:rPr>
                                  <w:color w:val="231F20"/>
                                  <w:spacing w:val="-6"/>
                                  <w:sz w:val="15"/>
                                </w:rPr>
                                <w:t> </w:t>
                              </w:r>
                              <w:r>
                                <w:rPr>
                                  <w:color w:val="231F20"/>
                                  <w:spacing w:val="-2"/>
                                  <w:sz w:val="15"/>
                                </w:rPr>
                                <w:t>encephalitis,</w:t>
                              </w:r>
                              <w:r>
                                <w:rPr>
                                  <w:color w:val="231F20"/>
                                  <w:spacing w:val="-6"/>
                                  <w:sz w:val="15"/>
                                </w:rPr>
                                <w:t> </w:t>
                              </w:r>
                              <w:r>
                                <w:rPr>
                                  <w:color w:val="231F20"/>
                                  <w:spacing w:val="-2"/>
                                  <w:sz w:val="15"/>
                                </w:rPr>
                                <w:t>and</w:t>
                              </w:r>
                              <w:r>
                                <w:rPr>
                                  <w:color w:val="231F20"/>
                                  <w:spacing w:val="-6"/>
                                  <w:sz w:val="15"/>
                                </w:rPr>
                                <w:t> </w:t>
                              </w:r>
                              <w:r>
                                <w:rPr>
                                  <w:color w:val="231F20"/>
                                  <w:spacing w:val="-2"/>
                                  <w:sz w:val="15"/>
                                </w:rPr>
                                <w:t>vasculitis;</w:t>
                              </w:r>
                              <w:r>
                                <w:rPr>
                                  <w:color w:val="231F20"/>
                                  <w:spacing w:val="-6"/>
                                  <w:sz w:val="15"/>
                                </w:rPr>
                                <w:t> </w:t>
                              </w:r>
                              <w:r>
                                <w:rPr>
                                  <w:color w:val="231F20"/>
                                  <w:spacing w:val="-2"/>
                                  <w:sz w:val="15"/>
                                </w:rPr>
                                <w:t>arterial</w:t>
                              </w:r>
                              <w:r>
                                <w:rPr>
                                  <w:color w:val="231F20"/>
                                  <w:spacing w:val="-6"/>
                                  <w:sz w:val="15"/>
                                </w:rPr>
                                <w:t> </w:t>
                              </w:r>
                              <w:r>
                                <w:rPr>
                                  <w:color w:val="231F20"/>
                                  <w:spacing w:val="-2"/>
                                  <w:sz w:val="15"/>
                                </w:rPr>
                                <w:t>or</w:t>
                              </w:r>
                              <w:r>
                                <w:rPr>
                                  <w:color w:val="231F20"/>
                                  <w:spacing w:val="-6"/>
                                  <w:sz w:val="15"/>
                                </w:rPr>
                                <w:t> </w:t>
                              </w:r>
                              <w:r>
                                <w:rPr>
                                  <w:color w:val="231F20"/>
                                  <w:spacing w:val="-2"/>
                                  <w:sz w:val="15"/>
                                </w:rPr>
                                <w:t>venous </w:t>
                              </w:r>
                              <w:r>
                                <w:rPr>
                                  <w:color w:val="231F20"/>
                                  <w:sz w:val="15"/>
                                </w:rPr>
                                <w:t>infection,</w:t>
                              </w:r>
                              <w:r>
                                <w:rPr>
                                  <w:color w:val="231F20"/>
                                  <w:spacing w:val="-9"/>
                                  <w:sz w:val="15"/>
                                </w:rPr>
                                <w:t> </w:t>
                              </w:r>
                              <w:r>
                                <w:rPr>
                                  <w:color w:val="231F20"/>
                                  <w:sz w:val="15"/>
                                </w:rPr>
                                <w:t>and</w:t>
                              </w:r>
                              <w:r>
                                <w:rPr>
                                  <w:color w:val="231F20"/>
                                  <w:spacing w:val="-9"/>
                                  <w:sz w:val="15"/>
                                </w:rPr>
                                <w:t> </w:t>
                              </w:r>
                              <w:r>
                                <w:rPr>
                                  <w:color w:val="231F20"/>
                                  <w:sz w:val="15"/>
                                </w:rPr>
                                <w:t>the</w:t>
                              </w:r>
                              <w:r>
                                <w:rPr>
                                  <w:color w:val="231F20"/>
                                  <w:spacing w:val="-9"/>
                                  <w:sz w:val="15"/>
                                </w:rPr>
                                <w:t> </w:t>
                              </w:r>
                              <w:r>
                                <w:rPr>
                                  <w:color w:val="231F20"/>
                                  <w:sz w:val="15"/>
                                </w:rPr>
                                <w:t>effects</w:t>
                              </w:r>
                              <w:r>
                                <w:rPr>
                                  <w:color w:val="231F20"/>
                                  <w:spacing w:val="-9"/>
                                  <w:sz w:val="15"/>
                                </w:rPr>
                                <w:t> </w:t>
                              </w:r>
                              <w:r>
                                <w:rPr>
                                  <w:color w:val="231F20"/>
                                  <w:sz w:val="15"/>
                                </w:rPr>
                                <w:t>of</w:t>
                              </w:r>
                              <w:r>
                                <w:rPr>
                                  <w:color w:val="231F20"/>
                                  <w:spacing w:val="-8"/>
                                  <w:sz w:val="15"/>
                                </w:rPr>
                                <w:t> </w:t>
                              </w:r>
                              <w:r>
                                <w:rPr>
                                  <w:color w:val="231F20"/>
                                  <w:sz w:val="15"/>
                                </w:rPr>
                                <w:t>severe</w:t>
                              </w:r>
                              <w:r>
                                <w:rPr>
                                  <w:color w:val="231F20"/>
                                  <w:spacing w:val="-9"/>
                                  <w:sz w:val="15"/>
                                </w:rPr>
                                <w:t> </w:t>
                              </w:r>
                              <w:r>
                                <w:rPr>
                                  <w:color w:val="231F20"/>
                                  <w:sz w:val="15"/>
                                </w:rPr>
                                <w:t>hypoxia</w:t>
                              </w:r>
                              <w:r>
                                <w:rPr>
                                  <w:color w:val="231F20"/>
                                  <w:spacing w:val="-9"/>
                                  <w:sz w:val="15"/>
                                </w:rPr>
                                <w:t> </w:t>
                              </w:r>
                              <w:r>
                                <w:rPr>
                                  <w:color w:val="231F20"/>
                                  <w:sz w:val="15"/>
                                </w:rPr>
                                <w:t>or</w:t>
                              </w:r>
                              <w:r>
                                <w:rPr>
                                  <w:color w:val="231F20"/>
                                  <w:spacing w:val="-9"/>
                                  <w:sz w:val="15"/>
                                </w:rPr>
                                <w:t> </w:t>
                              </w:r>
                              <w:r>
                                <w:rPr>
                                  <w:color w:val="231F20"/>
                                  <w:sz w:val="15"/>
                                </w:rPr>
                                <w:t>head</w:t>
                              </w:r>
                              <w:r>
                                <w:rPr>
                                  <w:color w:val="231F20"/>
                                  <w:spacing w:val="-9"/>
                                  <w:sz w:val="15"/>
                                </w:rPr>
                                <w:t> </w:t>
                              </w:r>
                              <w:r>
                                <w:rPr>
                                  <w:color w:val="231F20"/>
                                  <w:spacing w:val="-2"/>
                                  <w:sz w:val="15"/>
                                </w:rPr>
                                <w:t>trauma</w:t>
                              </w:r>
                            </w:p>
                          </w:txbxContent>
                        </wps:txbx>
                        <wps:bodyPr wrap="square" lIns="0" tIns="0" rIns="0" bIns="0" rtlCol="0">
                          <a:noAutofit/>
                        </wps:bodyPr>
                      </wps:wsp>
                      <wps:wsp>
                        <wps:cNvPr id="777" name="Graphic 777"/>
                        <wps:cNvSpPr/>
                        <wps:spPr>
                          <a:xfrm>
                            <a:off x="0" y="3075814"/>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778" name="Textbox 778"/>
                        <wps:cNvSpPr txBox="1"/>
                        <wps:spPr>
                          <a:xfrm>
                            <a:off x="734655" y="0"/>
                            <a:ext cx="2251710" cy="344170"/>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Diagnostic Criteria for Acute </w:t>
                              </w:r>
                              <w:r>
                                <w:rPr>
                                  <w:color w:val="FFFFFF"/>
                                  <w:w w:val="105"/>
                                  <w:sz w:val="16"/>
                                </w:rPr>
                                <w:t>Necrotizing Encephalopathy of Childhood</w:t>
                              </w:r>
                            </w:p>
                          </w:txbxContent>
                        </wps:txbx>
                        <wps:bodyPr wrap="square" lIns="0" tIns="0" rIns="0" bIns="0" rtlCol="0">
                          <a:noAutofit/>
                        </wps:bodyPr>
                      </wps:wsp>
                      <wps:wsp>
                        <wps:cNvPr id="779" name="Textbox 779"/>
                        <wps:cNvSpPr txBox="1"/>
                        <wps:spPr>
                          <a:xfrm>
                            <a:off x="11" y="0"/>
                            <a:ext cx="723265" cy="34417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598-</w:t>
                              </w:r>
                              <w:r>
                                <w:rPr>
                                  <w:b/>
                                  <w:color w:val="FFFFFF"/>
                                  <w:spacing w:val="-10"/>
                                  <w:w w:val="105"/>
                                  <w:sz w:val="16"/>
                                </w:rPr>
                                <w:t>4</w:t>
                              </w:r>
                            </w:p>
                          </w:txbxContent>
                        </wps:txbx>
                        <wps:bodyPr wrap="square" lIns="0" tIns="0" rIns="0" bIns="0" rtlCol="0">
                          <a:noAutofit/>
                        </wps:bodyPr>
                      </wps:wsp>
                    </wpg:wgp>
                  </a:graphicData>
                </a:graphic>
              </wp:anchor>
            </w:drawing>
          </mc:Choice>
          <mc:Fallback>
            <w:pict>
              <v:group style="position:absolute;margin-left:69.547203pt;margin-top:27.900229pt;width:235.15pt;height:243.15pt;mso-position-horizontal-relative:page;mso-position-vertical-relative:paragraph;z-index:-15680000;mso-wrap-distance-left:0;mso-wrap-distance-right:0" id="docshapegroup644" coordorigin="1391,558" coordsize="4703,4863">
                <v:shape style="position:absolute;left:1390;top:1117;width:4703;height:4294" type="#_x0000_t202" id="docshape645" filled="true" fillcolor="#e8f5f1" stroked="false">
                  <v:textbox inset="0,0,0,0">
                    <w:txbxContent>
                      <w:p>
                        <w:pPr>
                          <w:numPr>
                            <w:ilvl w:val="0"/>
                            <w:numId w:val="82"/>
                          </w:numPr>
                          <w:tabs>
                            <w:tab w:pos="264" w:val="left" w:leader="none"/>
                            <w:tab w:pos="266" w:val="left" w:leader="none"/>
                          </w:tabs>
                          <w:spacing w:line="230" w:lineRule="auto" w:before="53"/>
                          <w:ind w:left="266" w:right="421" w:hanging="193"/>
                          <w:jc w:val="left"/>
                          <w:rPr>
                            <w:color w:val="000000"/>
                            <w:sz w:val="15"/>
                          </w:rPr>
                        </w:pPr>
                        <w:r>
                          <w:rPr>
                            <w:color w:val="231F20"/>
                            <w:sz w:val="15"/>
                          </w:rPr>
                          <w:t>Acute</w:t>
                        </w:r>
                        <w:r>
                          <w:rPr>
                            <w:color w:val="231F20"/>
                            <w:spacing w:val="-12"/>
                            <w:sz w:val="15"/>
                          </w:rPr>
                          <w:t> </w:t>
                        </w:r>
                        <w:r>
                          <w:rPr>
                            <w:color w:val="231F20"/>
                            <w:sz w:val="15"/>
                          </w:rPr>
                          <w:t>encephalopathy</w:t>
                        </w:r>
                        <w:r>
                          <w:rPr>
                            <w:color w:val="231F20"/>
                            <w:spacing w:val="-11"/>
                            <w:sz w:val="15"/>
                          </w:rPr>
                          <w:t> </w:t>
                        </w:r>
                        <w:r>
                          <w:rPr>
                            <w:color w:val="231F20"/>
                            <w:sz w:val="15"/>
                          </w:rPr>
                          <w:t>following</w:t>
                        </w:r>
                        <w:r>
                          <w:rPr>
                            <w:color w:val="231F20"/>
                            <w:spacing w:val="-11"/>
                            <w:sz w:val="15"/>
                          </w:rPr>
                          <w:t> </w:t>
                        </w:r>
                        <w:r>
                          <w:rPr>
                            <w:color w:val="231F20"/>
                            <w:sz w:val="15"/>
                          </w:rPr>
                          <w:t>(1-3</w:t>
                        </w:r>
                        <w:r>
                          <w:rPr>
                            <w:color w:val="231F20"/>
                            <w:spacing w:val="-12"/>
                            <w:sz w:val="15"/>
                          </w:rPr>
                          <w:t> </w:t>
                        </w:r>
                        <w:r>
                          <w:rPr>
                            <w:color w:val="231F20"/>
                            <w:sz w:val="15"/>
                          </w:rPr>
                          <w:t>days)</w:t>
                        </w:r>
                        <w:r>
                          <w:rPr>
                            <w:color w:val="231F20"/>
                            <w:spacing w:val="-11"/>
                            <w:sz w:val="15"/>
                          </w:rPr>
                          <w:t> </w:t>
                        </w:r>
                        <w:r>
                          <w:rPr>
                            <w:color w:val="231F20"/>
                            <w:sz w:val="15"/>
                          </w:rPr>
                          <w:t>a</w:t>
                        </w:r>
                        <w:r>
                          <w:rPr>
                            <w:color w:val="231F20"/>
                            <w:spacing w:val="-11"/>
                            <w:sz w:val="15"/>
                          </w:rPr>
                          <w:t> </w:t>
                        </w:r>
                        <w:r>
                          <w:rPr>
                            <w:color w:val="231F20"/>
                            <w:sz w:val="15"/>
                          </w:rPr>
                          <w:t>febrile</w:t>
                        </w:r>
                        <w:r>
                          <w:rPr>
                            <w:color w:val="231F20"/>
                            <w:spacing w:val="-12"/>
                            <w:sz w:val="15"/>
                          </w:rPr>
                          <w:t> </w:t>
                        </w:r>
                        <w:r>
                          <w:rPr>
                            <w:color w:val="231F20"/>
                            <w:sz w:val="15"/>
                          </w:rPr>
                          <w:t>disease. Rapid deterioration in the level of consciousness. Seizures.</w:t>
                        </w:r>
                      </w:p>
                      <w:p>
                        <w:pPr>
                          <w:numPr>
                            <w:ilvl w:val="0"/>
                            <w:numId w:val="82"/>
                          </w:numPr>
                          <w:tabs>
                            <w:tab w:pos="264" w:val="left" w:leader="none"/>
                            <w:tab w:pos="266" w:val="left" w:leader="none"/>
                          </w:tabs>
                          <w:spacing w:line="230" w:lineRule="auto" w:before="1"/>
                          <w:ind w:left="266" w:right="72" w:hanging="193"/>
                          <w:jc w:val="left"/>
                          <w:rPr>
                            <w:color w:val="000000"/>
                            <w:sz w:val="15"/>
                          </w:rPr>
                        </w:pPr>
                        <w:r>
                          <w:rPr>
                            <w:color w:val="231F20"/>
                            <w:sz w:val="15"/>
                          </w:rPr>
                          <w:t>No</w:t>
                        </w:r>
                        <w:r>
                          <w:rPr>
                            <w:color w:val="231F20"/>
                            <w:spacing w:val="-12"/>
                            <w:sz w:val="15"/>
                          </w:rPr>
                          <w:t> </w:t>
                        </w:r>
                        <w:r>
                          <w:rPr>
                            <w:color w:val="231F20"/>
                            <w:sz w:val="15"/>
                          </w:rPr>
                          <w:t>cerebrospinal</w:t>
                        </w:r>
                        <w:r>
                          <w:rPr>
                            <w:color w:val="231F20"/>
                            <w:spacing w:val="-11"/>
                            <w:sz w:val="15"/>
                          </w:rPr>
                          <w:t> </w:t>
                        </w:r>
                        <w:r>
                          <w:rPr>
                            <w:color w:val="231F20"/>
                            <w:sz w:val="15"/>
                          </w:rPr>
                          <w:t>fluid</w:t>
                        </w:r>
                        <w:r>
                          <w:rPr>
                            <w:color w:val="231F20"/>
                            <w:spacing w:val="-11"/>
                            <w:sz w:val="15"/>
                          </w:rPr>
                          <w:t> </w:t>
                        </w:r>
                        <w:r>
                          <w:rPr>
                            <w:color w:val="231F20"/>
                            <w:sz w:val="15"/>
                          </w:rPr>
                          <w:t>pleocytosis.</w:t>
                        </w:r>
                        <w:r>
                          <w:rPr>
                            <w:color w:val="231F20"/>
                            <w:spacing w:val="-12"/>
                            <w:sz w:val="15"/>
                          </w:rPr>
                          <w:t> </w:t>
                        </w:r>
                        <w:r>
                          <w:rPr>
                            <w:color w:val="231F20"/>
                            <w:sz w:val="15"/>
                          </w:rPr>
                          <w:t>Increase</w:t>
                        </w:r>
                        <w:r>
                          <w:rPr>
                            <w:color w:val="231F20"/>
                            <w:spacing w:val="-11"/>
                            <w:sz w:val="15"/>
                          </w:rPr>
                          <w:t> </w:t>
                        </w:r>
                        <w:r>
                          <w:rPr>
                            <w:color w:val="231F20"/>
                            <w:sz w:val="15"/>
                          </w:rPr>
                          <w:t>in</w:t>
                        </w:r>
                        <w:r>
                          <w:rPr>
                            <w:color w:val="231F20"/>
                            <w:spacing w:val="-11"/>
                            <w:sz w:val="15"/>
                          </w:rPr>
                          <w:t> </w:t>
                        </w:r>
                        <w:r>
                          <w:rPr>
                            <w:color w:val="231F20"/>
                            <w:sz w:val="15"/>
                          </w:rPr>
                          <w:t>cerebrospinal</w:t>
                        </w:r>
                        <w:r>
                          <w:rPr>
                            <w:color w:val="231F20"/>
                            <w:spacing w:val="-12"/>
                            <w:sz w:val="15"/>
                          </w:rPr>
                          <w:t> </w:t>
                        </w:r>
                        <w:r>
                          <w:rPr>
                            <w:color w:val="231F20"/>
                            <w:sz w:val="15"/>
                          </w:rPr>
                          <w:t>fluid </w:t>
                        </w:r>
                        <w:r>
                          <w:rPr>
                            <w:color w:val="231F20"/>
                            <w:spacing w:val="-2"/>
                            <w:sz w:val="15"/>
                          </w:rPr>
                          <w:t>protein.</w:t>
                        </w:r>
                      </w:p>
                      <w:p>
                        <w:pPr>
                          <w:numPr>
                            <w:ilvl w:val="0"/>
                            <w:numId w:val="82"/>
                          </w:numPr>
                          <w:tabs>
                            <w:tab w:pos="264" w:val="left" w:leader="none"/>
                            <w:tab w:pos="266" w:val="left" w:leader="none"/>
                          </w:tabs>
                          <w:spacing w:line="230" w:lineRule="auto" w:before="2"/>
                          <w:ind w:left="266" w:right="115" w:hanging="193"/>
                          <w:jc w:val="left"/>
                          <w:rPr>
                            <w:color w:val="000000"/>
                            <w:sz w:val="15"/>
                          </w:rPr>
                        </w:pPr>
                        <w:r>
                          <w:rPr>
                            <w:color w:val="231F20"/>
                            <w:sz w:val="15"/>
                          </w:rPr>
                          <w:t>CT or MRI evidence of symmetric, multifocal brain lesions. Involvement</w:t>
                        </w:r>
                        <w:r>
                          <w:rPr>
                            <w:color w:val="231F20"/>
                            <w:spacing w:val="-12"/>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bilateral</w:t>
                        </w:r>
                        <w:r>
                          <w:rPr>
                            <w:color w:val="231F20"/>
                            <w:spacing w:val="-12"/>
                            <w:sz w:val="15"/>
                          </w:rPr>
                          <w:t> </w:t>
                        </w:r>
                        <w:r>
                          <w:rPr>
                            <w:color w:val="231F20"/>
                            <w:sz w:val="15"/>
                          </w:rPr>
                          <w:t>thalami.</w:t>
                        </w:r>
                        <w:r>
                          <w:rPr>
                            <w:color w:val="231F20"/>
                            <w:spacing w:val="-11"/>
                            <w:sz w:val="15"/>
                          </w:rPr>
                          <w:t> </w:t>
                        </w:r>
                        <w:r>
                          <w:rPr>
                            <w:color w:val="231F20"/>
                            <w:sz w:val="15"/>
                          </w:rPr>
                          <w:t>Lesions</w:t>
                        </w:r>
                        <w:r>
                          <w:rPr>
                            <w:color w:val="231F20"/>
                            <w:spacing w:val="-11"/>
                            <w:sz w:val="15"/>
                          </w:rPr>
                          <w:t> </w:t>
                        </w:r>
                        <w:r>
                          <w:rPr>
                            <w:color w:val="231F20"/>
                            <w:sz w:val="15"/>
                          </w:rPr>
                          <w:t>also</w:t>
                        </w:r>
                        <w:r>
                          <w:rPr>
                            <w:color w:val="231F20"/>
                            <w:spacing w:val="-12"/>
                            <w:sz w:val="15"/>
                          </w:rPr>
                          <w:t> </w:t>
                        </w:r>
                        <w:r>
                          <w:rPr>
                            <w:color w:val="231F20"/>
                            <w:sz w:val="15"/>
                          </w:rPr>
                          <w:t>common</w:t>
                        </w:r>
                        <w:r>
                          <w:rPr>
                            <w:color w:val="231F20"/>
                            <w:spacing w:val="-11"/>
                            <w:sz w:val="15"/>
                          </w:rPr>
                          <w:t> </w:t>
                        </w:r>
                        <w:r>
                          <w:rPr>
                            <w:color w:val="231F20"/>
                            <w:sz w:val="15"/>
                          </w:rPr>
                          <w:t>in</w:t>
                        </w:r>
                        <w:r>
                          <w:rPr>
                            <w:color w:val="231F20"/>
                            <w:spacing w:val="-11"/>
                            <w:sz w:val="15"/>
                          </w:rPr>
                          <w:t> </w:t>
                        </w:r>
                        <w:r>
                          <w:rPr>
                            <w:color w:val="231F20"/>
                            <w:sz w:val="15"/>
                          </w:rPr>
                          <w:t>the </w:t>
                        </w:r>
                        <w:r>
                          <w:rPr>
                            <w:color w:val="231F20"/>
                            <w:spacing w:val="-2"/>
                            <w:sz w:val="15"/>
                          </w:rPr>
                          <w:t>cerebral</w:t>
                        </w:r>
                        <w:r>
                          <w:rPr>
                            <w:color w:val="231F20"/>
                            <w:spacing w:val="-10"/>
                            <w:sz w:val="15"/>
                          </w:rPr>
                          <w:t> </w:t>
                        </w:r>
                        <w:r>
                          <w:rPr>
                            <w:color w:val="231F20"/>
                            <w:spacing w:val="-2"/>
                            <w:sz w:val="15"/>
                          </w:rPr>
                          <w:t>periventricular</w:t>
                        </w:r>
                        <w:r>
                          <w:rPr>
                            <w:color w:val="231F20"/>
                            <w:spacing w:val="-9"/>
                            <w:sz w:val="15"/>
                          </w:rPr>
                          <w:t> </w:t>
                        </w:r>
                        <w:r>
                          <w:rPr>
                            <w:color w:val="231F20"/>
                            <w:spacing w:val="-2"/>
                            <w:sz w:val="15"/>
                          </w:rPr>
                          <w:t>white</w:t>
                        </w:r>
                        <w:r>
                          <w:rPr>
                            <w:color w:val="231F20"/>
                            <w:spacing w:val="-9"/>
                            <w:sz w:val="15"/>
                          </w:rPr>
                          <w:t> </w:t>
                        </w:r>
                        <w:r>
                          <w:rPr>
                            <w:color w:val="231F20"/>
                            <w:spacing w:val="-2"/>
                            <w:sz w:val="15"/>
                          </w:rPr>
                          <w:t>matter,</w:t>
                        </w:r>
                        <w:r>
                          <w:rPr>
                            <w:color w:val="231F20"/>
                            <w:spacing w:val="-10"/>
                            <w:sz w:val="15"/>
                          </w:rPr>
                          <w:t> </w:t>
                        </w:r>
                        <w:r>
                          <w:rPr>
                            <w:color w:val="231F20"/>
                            <w:spacing w:val="-2"/>
                            <w:sz w:val="15"/>
                          </w:rPr>
                          <w:t>internal</w:t>
                        </w:r>
                        <w:r>
                          <w:rPr>
                            <w:color w:val="231F20"/>
                            <w:spacing w:val="-9"/>
                            <w:sz w:val="15"/>
                          </w:rPr>
                          <w:t> </w:t>
                        </w:r>
                        <w:r>
                          <w:rPr>
                            <w:color w:val="231F20"/>
                            <w:spacing w:val="-2"/>
                            <w:sz w:val="15"/>
                          </w:rPr>
                          <w:t>capsule,</w:t>
                        </w:r>
                        <w:r>
                          <w:rPr>
                            <w:color w:val="231F20"/>
                            <w:spacing w:val="-9"/>
                            <w:sz w:val="15"/>
                          </w:rPr>
                          <w:t> </w:t>
                        </w:r>
                        <w:r>
                          <w:rPr>
                            <w:color w:val="231F20"/>
                            <w:spacing w:val="-2"/>
                            <w:sz w:val="15"/>
                          </w:rPr>
                          <w:t>putamen, </w:t>
                        </w:r>
                        <w:r>
                          <w:rPr>
                            <w:color w:val="231F20"/>
                            <w:sz w:val="15"/>
                          </w:rPr>
                          <w:t>upper brainstem tegmentum and cerebellar medulla. No involvement of other central nervous system regions.</w:t>
                        </w:r>
                      </w:p>
                      <w:p>
                        <w:pPr>
                          <w:numPr>
                            <w:ilvl w:val="0"/>
                            <w:numId w:val="82"/>
                          </w:numPr>
                          <w:tabs>
                            <w:tab w:pos="264" w:val="left" w:leader="none"/>
                            <w:tab w:pos="266" w:val="left" w:leader="none"/>
                          </w:tabs>
                          <w:spacing w:line="230" w:lineRule="auto" w:before="3"/>
                          <w:ind w:left="266" w:right="316" w:hanging="193"/>
                          <w:jc w:val="left"/>
                          <w:rPr>
                            <w:color w:val="000000"/>
                            <w:sz w:val="15"/>
                          </w:rPr>
                        </w:pPr>
                        <w:r>
                          <w:rPr>
                            <w:color w:val="231F20"/>
                            <w:sz w:val="15"/>
                          </w:rPr>
                          <w:t>Elevation</w:t>
                        </w:r>
                        <w:r>
                          <w:rPr>
                            <w:color w:val="231F20"/>
                            <w:spacing w:val="-9"/>
                            <w:sz w:val="15"/>
                          </w:rPr>
                          <w:t> </w:t>
                        </w:r>
                        <w:r>
                          <w:rPr>
                            <w:color w:val="231F20"/>
                            <w:sz w:val="15"/>
                          </w:rPr>
                          <w:t>of</w:t>
                        </w:r>
                        <w:r>
                          <w:rPr>
                            <w:color w:val="231F20"/>
                            <w:spacing w:val="-9"/>
                            <w:sz w:val="15"/>
                          </w:rPr>
                          <w:t> </w:t>
                        </w:r>
                        <w:r>
                          <w:rPr>
                            <w:color w:val="231F20"/>
                            <w:sz w:val="15"/>
                          </w:rPr>
                          <w:t>serum</w:t>
                        </w:r>
                        <w:r>
                          <w:rPr>
                            <w:color w:val="231F20"/>
                            <w:spacing w:val="-9"/>
                            <w:sz w:val="15"/>
                          </w:rPr>
                          <w:t> </w:t>
                        </w:r>
                        <w:r>
                          <w:rPr>
                            <w:color w:val="231F20"/>
                            <w:sz w:val="15"/>
                          </w:rPr>
                          <w:t>aminotransferases</w:t>
                        </w:r>
                        <w:r>
                          <w:rPr>
                            <w:color w:val="231F20"/>
                            <w:spacing w:val="-9"/>
                            <w:sz w:val="15"/>
                          </w:rPr>
                          <w:t> </w:t>
                        </w:r>
                        <w:r>
                          <w:rPr>
                            <w:color w:val="231F20"/>
                            <w:sz w:val="15"/>
                          </w:rPr>
                          <w:t>of</w:t>
                        </w:r>
                        <w:r>
                          <w:rPr>
                            <w:color w:val="231F20"/>
                            <w:spacing w:val="-9"/>
                            <w:sz w:val="15"/>
                          </w:rPr>
                          <w:t> </w:t>
                        </w:r>
                        <w:r>
                          <w:rPr>
                            <w:color w:val="231F20"/>
                            <w:sz w:val="15"/>
                          </w:rPr>
                          <w:t>variable</w:t>
                        </w:r>
                        <w:r>
                          <w:rPr>
                            <w:color w:val="231F20"/>
                            <w:spacing w:val="-9"/>
                            <w:sz w:val="15"/>
                          </w:rPr>
                          <w:t> </w:t>
                        </w:r>
                        <w:r>
                          <w:rPr>
                            <w:color w:val="231F20"/>
                            <w:sz w:val="15"/>
                          </w:rPr>
                          <w:t>degrees.</w:t>
                        </w:r>
                        <w:r>
                          <w:rPr>
                            <w:color w:val="231F20"/>
                            <w:spacing w:val="-9"/>
                            <w:sz w:val="15"/>
                          </w:rPr>
                          <w:t> </w:t>
                        </w:r>
                        <w:r>
                          <w:rPr>
                            <w:color w:val="231F20"/>
                            <w:sz w:val="15"/>
                          </w:rPr>
                          <w:t>No increase in blood ammonia.</w:t>
                        </w:r>
                      </w:p>
                      <w:p>
                        <w:pPr>
                          <w:numPr>
                            <w:ilvl w:val="0"/>
                            <w:numId w:val="82"/>
                          </w:numPr>
                          <w:tabs>
                            <w:tab w:pos="265" w:val="left" w:leader="none"/>
                          </w:tabs>
                          <w:spacing w:line="167" w:lineRule="exact" w:before="0"/>
                          <w:ind w:left="265" w:right="0" w:hanging="191"/>
                          <w:jc w:val="left"/>
                          <w:rPr>
                            <w:color w:val="000000"/>
                            <w:sz w:val="15"/>
                          </w:rPr>
                        </w:pPr>
                        <w:r>
                          <w:rPr>
                            <w:color w:val="231F20"/>
                            <w:sz w:val="15"/>
                          </w:rPr>
                          <w:t>Exclusion</w:t>
                        </w:r>
                        <w:r>
                          <w:rPr>
                            <w:color w:val="231F20"/>
                            <w:spacing w:val="2"/>
                            <w:sz w:val="15"/>
                          </w:rPr>
                          <w:t> </w:t>
                        </w:r>
                        <w:r>
                          <w:rPr>
                            <w:color w:val="231F20"/>
                            <w:sz w:val="15"/>
                          </w:rPr>
                          <w:t>of</w:t>
                        </w:r>
                        <w:r>
                          <w:rPr>
                            <w:color w:val="231F20"/>
                            <w:spacing w:val="2"/>
                            <w:sz w:val="15"/>
                          </w:rPr>
                          <w:t> </w:t>
                        </w:r>
                        <w:r>
                          <w:rPr>
                            <w:color w:val="231F20"/>
                            <w:sz w:val="15"/>
                          </w:rPr>
                          <w:t>resembling</w:t>
                        </w:r>
                        <w:r>
                          <w:rPr>
                            <w:color w:val="231F20"/>
                            <w:spacing w:val="2"/>
                            <w:sz w:val="15"/>
                          </w:rPr>
                          <w:t> </w:t>
                        </w:r>
                        <w:r>
                          <w:rPr>
                            <w:color w:val="231F20"/>
                            <w:spacing w:val="-2"/>
                            <w:sz w:val="15"/>
                          </w:rPr>
                          <w:t>diseases.</w:t>
                        </w:r>
                      </w:p>
                      <w:p>
                        <w:pPr>
                          <w:numPr>
                            <w:ilvl w:val="1"/>
                            <w:numId w:val="82"/>
                          </w:numPr>
                          <w:tabs>
                            <w:tab w:pos="471" w:val="left" w:leader="none"/>
                          </w:tabs>
                          <w:spacing w:line="168" w:lineRule="exact" w:before="0"/>
                          <w:ind w:left="471" w:right="0" w:hanging="205"/>
                          <w:jc w:val="left"/>
                          <w:rPr>
                            <w:color w:val="000000"/>
                            <w:sz w:val="15"/>
                          </w:rPr>
                        </w:pPr>
                        <w:r>
                          <w:rPr>
                            <w:color w:val="231F20"/>
                            <w:spacing w:val="-2"/>
                            <w:sz w:val="15"/>
                          </w:rPr>
                          <w:t>Differential diagnosis from</w:t>
                        </w:r>
                        <w:r>
                          <w:rPr>
                            <w:color w:val="231F20"/>
                            <w:spacing w:val="-1"/>
                            <w:sz w:val="15"/>
                          </w:rPr>
                          <w:t> </w:t>
                        </w:r>
                        <w:r>
                          <w:rPr>
                            <w:color w:val="231F20"/>
                            <w:spacing w:val="-2"/>
                            <w:sz w:val="15"/>
                          </w:rPr>
                          <w:t>clinical viewpoints.</w:t>
                        </w:r>
                      </w:p>
                      <w:p>
                        <w:pPr>
                          <w:spacing w:line="230" w:lineRule="auto" w:before="3"/>
                          <w:ind w:left="471" w:right="164" w:hanging="206"/>
                          <w:jc w:val="left"/>
                          <w:rPr>
                            <w:color w:val="000000"/>
                            <w:sz w:val="15"/>
                          </w:rPr>
                        </w:pPr>
                        <w:r>
                          <w:rPr>
                            <w:color w:val="231F20"/>
                            <w:sz w:val="15"/>
                          </w:rPr>
                          <w:t>Overwhelming bacterial and viral infections, and fulminant </w:t>
                        </w:r>
                        <w:r>
                          <w:rPr>
                            <w:color w:val="231F20"/>
                            <w:spacing w:val="-2"/>
                            <w:sz w:val="15"/>
                          </w:rPr>
                          <w:t>hepatitis;</w:t>
                        </w:r>
                        <w:r>
                          <w:rPr>
                            <w:color w:val="231F20"/>
                            <w:spacing w:val="-4"/>
                            <w:sz w:val="15"/>
                          </w:rPr>
                          <w:t> </w:t>
                        </w:r>
                        <w:r>
                          <w:rPr>
                            <w:color w:val="231F20"/>
                            <w:spacing w:val="-2"/>
                            <w:sz w:val="15"/>
                          </w:rPr>
                          <w:t>toxic</w:t>
                        </w:r>
                        <w:r>
                          <w:rPr>
                            <w:color w:val="231F20"/>
                            <w:spacing w:val="-4"/>
                            <w:sz w:val="15"/>
                          </w:rPr>
                          <w:t> </w:t>
                        </w:r>
                        <w:r>
                          <w:rPr>
                            <w:color w:val="231F20"/>
                            <w:spacing w:val="-2"/>
                            <w:sz w:val="15"/>
                          </w:rPr>
                          <w:t>shock,</w:t>
                        </w:r>
                        <w:r>
                          <w:rPr>
                            <w:color w:val="231F20"/>
                            <w:spacing w:val="-4"/>
                            <w:sz w:val="15"/>
                          </w:rPr>
                          <w:t> </w:t>
                        </w:r>
                        <w:r>
                          <w:rPr>
                            <w:color w:val="231F20"/>
                            <w:spacing w:val="-2"/>
                            <w:sz w:val="15"/>
                          </w:rPr>
                          <w:t>hemolytic</w:t>
                        </w:r>
                        <w:r>
                          <w:rPr>
                            <w:color w:val="231F20"/>
                            <w:spacing w:val="-4"/>
                            <w:sz w:val="15"/>
                          </w:rPr>
                          <w:t> </w:t>
                        </w:r>
                        <w:r>
                          <w:rPr>
                            <w:color w:val="231F20"/>
                            <w:spacing w:val="-2"/>
                            <w:sz w:val="15"/>
                          </w:rPr>
                          <w:t>uremic</w:t>
                        </w:r>
                        <w:r>
                          <w:rPr>
                            <w:color w:val="231F20"/>
                            <w:spacing w:val="-4"/>
                            <w:sz w:val="15"/>
                          </w:rPr>
                          <w:t> </w:t>
                        </w:r>
                        <w:r>
                          <w:rPr>
                            <w:color w:val="231F20"/>
                            <w:spacing w:val="-2"/>
                            <w:sz w:val="15"/>
                          </w:rPr>
                          <w:t>syndrome,</w:t>
                        </w:r>
                        <w:r>
                          <w:rPr>
                            <w:color w:val="231F20"/>
                            <w:spacing w:val="-4"/>
                            <w:sz w:val="15"/>
                          </w:rPr>
                          <w:t> </w:t>
                        </w:r>
                        <w:r>
                          <w:rPr>
                            <w:color w:val="231F20"/>
                            <w:spacing w:val="-2"/>
                            <w:sz w:val="15"/>
                          </w:rPr>
                          <w:t>and</w:t>
                        </w:r>
                        <w:r>
                          <w:rPr>
                            <w:color w:val="231F20"/>
                            <w:spacing w:val="-4"/>
                            <w:sz w:val="15"/>
                          </w:rPr>
                          <w:t> </w:t>
                        </w:r>
                        <w:r>
                          <w:rPr>
                            <w:color w:val="231F20"/>
                            <w:spacing w:val="-2"/>
                            <w:sz w:val="15"/>
                          </w:rPr>
                          <w:t>other </w:t>
                        </w:r>
                        <w:r>
                          <w:rPr>
                            <w:color w:val="231F20"/>
                            <w:sz w:val="15"/>
                          </w:rPr>
                          <w:t>toxin-induced diseases; Reye syndrome, hemorrhagic shock and encephalopathy syndrome, and heat stroke.</w:t>
                        </w:r>
                      </w:p>
                      <w:p>
                        <w:pPr>
                          <w:numPr>
                            <w:ilvl w:val="1"/>
                            <w:numId w:val="82"/>
                          </w:numPr>
                          <w:tabs>
                            <w:tab w:pos="471" w:val="left" w:leader="none"/>
                          </w:tabs>
                          <w:spacing w:line="168" w:lineRule="exact" w:before="0"/>
                          <w:ind w:left="471" w:right="0" w:hanging="205"/>
                          <w:jc w:val="left"/>
                          <w:rPr>
                            <w:color w:val="000000"/>
                            <w:sz w:val="15"/>
                          </w:rPr>
                        </w:pPr>
                        <w:r>
                          <w:rPr>
                            <w:color w:val="231F20"/>
                            <w:sz w:val="15"/>
                          </w:rPr>
                          <w:t>Differential</w:t>
                        </w:r>
                        <w:r>
                          <w:rPr>
                            <w:color w:val="231F20"/>
                            <w:spacing w:val="-9"/>
                            <w:sz w:val="15"/>
                          </w:rPr>
                          <w:t> </w:t>
                        </w:r>
                        <w:r>
                          <w:rPr>
                            <w:color w:val="231F20"/>
                            <w:sz w:val="15"/>
                          </w:rPr>
                          <w:t>diagnosis</w:t>
                        </w:r>
                        <w:r>
                          <w:rPr>
                            <w:color w:val="231F20"/>
                            <w:spacing w:val="-8"/>
                            <w:sz w:val="15"/>
                          </w:rPr>
                          <w:t> </w:t>
                        </w:r>
                        <w:r>
                          <w:rPr>
                            <w:color w:val="231F20"/>
                            <w:sz w:val="15"/>
                          </w:rPr>
                          <w:t>from</w:t>
                        </w:r>
                        <w:r>
                          <w:rPr>
                            <w:color w:val="231F20"/>
                            <w:spacing w:val="-9"/>
                            <w:sz w:val="15"/>
                          </w:rPr>
                          <w:t> </w:t>
                        </w:r>
                        <w:r>
                          <w:rPr>
                            <w:color w:val="231F20"/>
                            <w:sz w:val="15"/>
                          </w:rPr>
                          <w:t>radiologic</w:t>
                        </w:r>
                        <w:r>
                          <w:rPr>
                            <w:color w:val="231F20"/>
                            <w:spacing w:val="-8"/>
                            <w:sz w:val="15"/>
                          </w:rPr>
                          <w:t> </w:t>
                        </w:r>
                        <w:r>
                          <w:rPr>
                            <w:color w:val="231F20"/>
                            <w:spacing w:val="-2"/>
                            <w:sz w:val="15"/>
                          </w:rPr>
                          <w:t>viewpoints.</w:t>
                        </w:r>
                      </w:p>
                      <w:p>
                        <w:pPr>
                          <w:spacing w:line="230" w:lineRule="auto" w:before="2"/>
                          <w:ind w:left="471" w:right="108" w:hanging="206"/>
                          <w:jc w:val="left"/>
                          <w:rPr>
                            <w:color w:val="000000"/>
                            <w:sz w:val="15"/>
                          </w:rPr>
                        </w:pPr>
                        <w:r>
                          <w:rPr>
                            <w:color w:val="231F20"/>
                            <w:sz w:val="15"/>
                          </w:rPr>
                          <w:t>Leigh encephalopathy and related mitochondrial cytopathies; glutaric acidemia, methylmalonic acidemia, and infantile bilateral striatal necrosis; Wernicke encephalopathy and carbon monoxide poisoning; acute disseminated encephalomyelitis, acute hemorrhagic leukoencephalitis, </w:t>
                        </w:r>
                        <w:r>
                          <w:rPr>
                            <w:color w:val="231F20"/>
                            <w:spacing w:val="-2"/>
                            <w:sz w:val="15"/>
                          </w:rPr>
                          <w:t>other</w:t>
                        </w:r>
                        <w:r>
                          <w:rPr>
                            <w:color w:val="231F20"/>
                            <w:spacing w:val="-6"/>
                            <w:sz w:val="15"/>
                          </w:rPr>
                          <w:t> </w:t>
                        </w:r>
                        <w:r>
                          <w:rPr>
                            <w:color w:val="231F20"/>
                            <w:spacing w:val="-2"/>
                            <w:sz w:val="15"/>
                          </w:rPr>
                          <w:t>types</w:t>
                        </w:r>
                        <w:r>
                          <w:rPr>
                            <w:color w:val="231F20"/>
                            <w:spacing w:val="-6"/>
                            <w:sz w:val="15"/>
                          </w:rPr>
                          <w:t> </w:t>
                        </w:r>
                        <w:r>
                          <w:rPr>
                            <w:color w:val="231F20"/>
                            <w:spacing w:val="-2"/>
                            <w:sz w:val="15"/>
                          </w:rPr>
                          <w:t>of</w:t>
                        </w:r>
                        <w:r>
                          <w:rPr>
                            <w:color w:val="231F20"/>
                            <w:spacing w:val="-6"/>
                            <w:sz w:val="15"/>
                          </w:rPr>
                          <w:t> </w:t>
                        </w:r>
                        <w:r>
                          <w:rPr>
                            <w:color w:val="231F20"/>
                            <w:spacing w:val="-2"/>
                            <w:sz w:val="15"/>
                          </w:rPr>
                          <w:t>encephalitis,</w:t>
                        </w:r>
                        <w:r>
                          <w:rPr>
                            <w:color w:val="231F20"/>
                            <w:spacing w:val="-6"/>
                            <w:sz w:val="15"/>
                          </w:rPr>
                          <w:t> </w:t>
                        </w:r>
                        <w:r>
                          <w:rPr>
                            <w:color w:val="231F20"/>
                            <w:spacing w:val="-2"/>
                            <w:sz w:val="15"/>
                          </w:rPr>
                          <w:t>and</w:t>
                        </w:r>
                        <w:r>
                          <w:rPr>
                            <w:color w:val="231F20"/>
                            <w:spacing w:val="-6"/>
                            <w:sz w:val="15"/>
                          </w:rPr>
                          <w:t> </w:t>
                        </w:r>
                        <w:r>
                          <w:rPr>
                            <w:color w:val="231F20"/>
                            <w:spacing w:val="-2"/>
                            <w:sz w:val="15"/>
                          </w:rPr>
                          <w:t>vasculitis;</w:t>
                        </w:r>
                        <w:r>
                          <w:rPr>
                            <w:color w:val="231F20"/>
                            <w:spacing w:val="-6"/>
                            <w:sz w:val="15"/>
                          </w:rPr>
                          <w:t> </w:t>
                        </w:r>
                        <w:r>
                          <w:rPr>
                            <w:color w:val="231F20"/>
                            <w:spacing w:val="-2"/>
                            <w:sz w:val="15"/>
                          </w:rPr>
                          <w:t>arterial</w:t>
                        </w:r>
                        <w:r>
                          <w:rPr>
                            <w:color w:val="231F20"/>
                            <w:spacing w:val="-6"/>
                            <w:sz w:val="15"/>
                          </w:rPr>
                          <w:t> </w:t>
                        </w:r>
                        <w:r>
                          <w:rPr>
                            <w:color w:val="231F20"/>
                            <w:spacing w:val="-2"/>
                            <w:sz w:val="15"/>
                          </w:rPr>
                          <w:t>or</w:t>
                        </w:r>
                        <w:r>
                          <w:rPr>
                            <w:color w:val="231F20"/>
                            <w:spacing w:val="-6"/>
                            <w:sz w:val="15"/>
                          </w:rPr>
                          <w:t> </w:t>
                        </w:r>
                        <w:r>
                          <w:rPr>
                            <w:color w:val="231F20"/>
                            <w:spacing w:val="-2"/>
                            <w:sz w:val="15"/>
                          </w:rPr>
                          <w:t>venous </w:t>
                        </w:r>
                        <w:r>
                          <w:rPr>
                            <w:color w:val="231F20"/>
                            <w:sz w:val="15"/>
                          </w:rPr>
                          <w:t>infection,</w:t>
                        </w:r>
                        <w:r>
                          <w:rPr>
                            <w:color w:val="231F20"/>
                            <w:spacing w:val="-9"/>
                            <w:sz w:val="15"/>
                          </w:rPr>
                          <w:t> </w:t>
                        </w:r>
                        <w:r>
                          <w:rPr>
                            <w:color w:val="231F20"/>
                            <w:sz w:val="15"/>
                          </w:rPr>
                          <w:t>and</w:t>
                        </w:r>
                        <w:r>
                          <w:rPr>
                            <w:color w:val="231F20"/>
                            <w:spacing w:val="-9"/>
                            <w:sz w:val="15"/>
                          </w:rPr>
                          <w:t> </w:t>
                        </w:r>
                        <w:r>
                          <w:rPr>
                            <w:color w:val="231F20"/>
                            <w:sz w:val="15"/>
                          </w:rPr>
                          <w:t>the</w:t>
                        </w:r>
                        <w:r>
                          <w:rPr>
                            <w:color w:val="231F20"/>
                            <w:spacing w:val="-9"/>
                            <w:sz w:val="15"/>
                          </w:rPr>
                          <w:t> </w:t>
                        </w:r>
                        <w:r>
                          <w:rPr>
                            <w:color w:val="231F20"/>
                            <w:sz w:val="15"/>
                          </w:rPr>
                          <w:t>effects</w:t>
                        </w:r>
                        <w:r>
                          <w:rPr>
                            <w:color w:val="231F20"/>
                            <w:spacing w:val="-9"/>
                            <w:sz w:val="15"/>
                          </w:rPr>
                          <w:t> </w:t>
                        </w:r>
                        <w:r>
                          <w:rPr>
                            <w:color w:val="231F20"/>
                            <w:sz w:val="15"/>
                          </w:rPr>
                          <w:t>of</w:t>
                        </w:r>
                        <w:r>
                          <w:rPr>
                            <w:color w:val="231F20"/>
                            <w:spacing w:val="-8"/>
                            <w:sz w:val="15"/>
                          </w:rPr>
                          <w:t> </w:t>
                        </w:r>
                        <w:r>
                          <w:rPr>
                            <w:color w:val="231F20"/>
                            <w:sz w:val="15"/>
                          </w:rPr>
                          <w:t>severe</w:t>
                        </w:r>
                        <w:r>
                          <w:rPr>
                            <w:color w:val="231F20"/>
                            <w:spacing w:val="-9"/>
                            <w:sz w:val="15"/>
                          </w:rPr>
                          <w:t> </w:t>
                        </w:r>
                        <w:r>
                          <w:rPr>
                            <w:color w:val="231F20"/>
                            <w:sz w:val="15"/>
                          </w:rPr>
                          <w:t>hypoxia</w:t>
                        </w:r>
                        <w:r>
                          <w:rPr>
                            <w:color w:val="231F20"/>
                            <w:spacing w:val="-9"/>
                            <w:sz w:val="15"/>
                          </w:rPr>
                          <w:t> </w:t>
                        </w:r>
                        <w:r>
                          <w:rPr>
                            <w:color w:val="231F20"/>
                            <w:sz w:val="15"/>
                          </w:rPr>
                          <w:t>or</w:t>
                        </w:r>
                        <w:r>
                          <w:rPr>
                            <w:color w:val="231F20"/>
                            <w:spacing w:val="-9"/>
                            <w:sz w:val="15"/>
                          </w:rPr>
                          <w:t> </w:t>
                        </w:r>
                        <w:r>
                          <w:rPr>
                            <w:color w:val="231F20"/>
                            <w:sz w:val="15"/>
                          </w:rPr>
                          <w:t>head</w:t>
                        </w:r>
                        <w:r>
                          <w:rPr>
                            <w:color w:val="231F20"/>
                            <w:spacing w:val="-9"/>
                            <w:sz w:val="15"/>
                          </w:rPr>
                          <w:t> </w:t>
                        </w:r>
                        <w:r>
                          <w:rPr>
                            <w:color w:val="231F20"/>
                            <w:spacing w:val="-2"/>
                            <w:sz w:val="15"/>
                          </w:rPr>
                          <w:t>trauma</w:t>
                        </w:r>
                      </w:p>
                    </w:txbxContent>
                  </v:textbox>
                  <v:fill type="solid"/>
                  <w10:wrap type="none"/>
                </v:shape>
                <v:rect style="position:absolute;left:1390;top:5401;width:4703;height:19" id="docshape646" filled="true" fillcolor="#231f20" stroked="false">
                  <v:fill type="solid"/>
                </v:rect>
                <v:shape style="position:absolute;left:2547;top:558;width:3546;height:542" type="#_x0000_t202" id="docshape647" filled="true" fillcolor="#231f20" stroked="false">
                  <v:textbox inset="0,0,0,0">
                    <w:txbxContent>
                      <w:p>
                        <w:pPr>
                          <w:spacing w:before="89"/>
                          <w:ind w:left="74" w:right="0" w:firstLine="0"/>
                          <w:jc w:val="left"/>
                          <w:rPr>
                            <w:color w:val="000000"/>
                            <w:sz w:val="16"/>
                          </w:rPr>
                        </w:pPr>
                        <w:r>
                          <w:rPr>
                            <w:color w:val="FFFFFF"/>
                            <w:w w:val="105"/>
                            <w:sz w:val="16"/>
                          </w:rPr>
                          <w:t>Diagnostic Criteria for Acute </w:t>
                        </w:r>
                        <w:r>
                          <w:rPr>
                            <w:color w:val="FFFFFF"/>
                            <w:w w:val="105"/>
                            <w:sz w:val="16"/>
                          </w:rPr>
                          <w:t>Necrotizing Encephalopathy of Childhood</w:t>
                        </w:r>
                      </w:p>
                    </w:txbxContent>
                  </v:textbox>
                  <v:fill type="solid"/>
                  <w10:wrap type="none"/>
                </v:shape>
                <v:shape style="position:absolute;left:1390;top:558;width:1139;height:542" type="#_x0000_t202" id="docshape648"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598-</w:t>
                        </w:r>
                        <w:r>
                          <w:rPr>
                            <w:b/>
                            <w:color w:val="FFFFFF"/>
                            <w:spacing w:val="-10"/>
                            <w:w w:val="105"/>
                            <w:sz w:val="16"/>
                          </w:rPr>
                          <w:t>4</w:t>
                        </w:r>
                      </w:p>
                    </w:txbxContent>
                  </v:textbox>
                  <v:fill type="solid"/>
                  <w10:wrap type="none"/>
                </v:shape>
                <w10:wrap type="topAndBottom"/>
              </v:group>
            </w:pict>
          </mc:Fallback>
        </mc:AlternateContent>
      </w:r>
      <w:r>
        <w:rPr>
          <w:i/>
          <w:sz w:val="20"/>
        </w:rPr>
        <mc:AlternateContent>
          <mc:Choice Requires="wps">
            <w:drawing>
              <wp:anchor distT="0" distB="0" distL="0" distR="0" allowOverlap="1" layoutInCell="1" locked="0" behindDoc="1" simplePos="0" relativeHeight="487636992">
                <wp:simplePos x="0" y="0"/>
                <wp:positionH relativeFrom="page">
                  <wp:posOffset>4108474</wp:posOffset>
                </wp:positionH>
                <wp:positionV relativeFrom="paragraph">
                  <wp:posOffset>245888</wp:posOffset>
                </wp:positionV>
                <wp:extent cx="2986405" cy="3514725"/>
                <wp:effectExtent l="0" t="0" r="0" b="0"/>
                <wp:wrapTopAndBottom/>
                <wp:docPr id="780" name="Group 780"/>
                <wp:cNvGraphicFramePr>
                  <a:graphicFrameLocks/>
                </wp:cNvGraphicFramePr>
                <a:graphic>
                  <a:graphicData uri="http://schemas.microsoft.com/office/word/2010/wordprocessingGroup">
                    <wpg:wgp>
                      <wpg:cNvPr id="780" name="Group 780"/>
                      <wpg:cNvGrpSpPr/>
                      <wpg:grpSpPr>
                        <a:xfrm>
                          <a:off x="0" y="0"/>
                          <a:ext cx="2986405" cy="3514725"/>
                          <a:chExt cx="2986405" cy="3514725"/>
                        </a:xfrm>
                      </wpg:grpSpPr>
                      <wps:wsp>
                        <wps:cNvPr id="781" name="Textbox 781"/>
                        <wps:cNvSpPr txBox="1"/>
                        <wps:spPr>
                          <a:xfrm>
                            <a:off x="11" y="355478"/>
                            <a:ext cx="2986405" cy="3153410"/>
                          </a:xfrm>
                          <a:prstGeom prst="rect">
                            <a:avLst/>
                          </a:prstGeom>
                          <a:solidFill>
                            <a:srgbClr val="E8F5F1"/>
                          </a:solidFill>
                        </wps:spPr>
                        <wps:txbx>
                          <w:txbxContent>
                            <w:p>
                              <w:pPr>
                                <w:spacing w:line="230" w:lineRule="auto" w:before="53"/>
                                <w:ind w:left="74" w:right="1476" w:firstLine="0"/>
                                <w:jc w:val="left"/>
                                <w:rPr>
                                  <w:color w:val="000000"/>
                                  <w:sz w:val="15"/>
                                </w:rPr>
                              </w:pPr>
                              <w:r>
                                <w:rPr>
                                  <w:color w:val="231F20"/>
                                  <w:sz w:val="15"/>
                                </w:rPr>
                                <w:t>Acute</w:t>
                              </w:r>
                              <w:r>
                                <w:rPr>
                                  <w:color w:val="231F20"/>
                                  <w:spacing w:val="-5"/>
                                  <w:sz w:val="15"/>
                                </w:rPr>
                                <w:t> </w:t>
                              </w:r>
                              <w:r>
                                <w:rPr>
                                  <w:color w:val="231F20"/>
                                  <w:sz w:val="15"/>
                                </w:rPr>
                                <w:t>disseminated</w:t>
                              </w:r>
                              <w:r>
                                <w:rPr>
                                  <w:color w:val="231F20"/>
                                  <w:spacing w:val="-5"/>
                                  <w:sz w:val="15"/>
                                </w:rPr>
                                <w:t> </w:t>
                              </w:r>
                              <w:r>
                                <w:rPr>
                                  <w:color w:val="231F20"/>
                                  <w:sz w:val="15"/>
                                </w:rPr>
                                <w:t>encephalomyelitis</w:t>
                              </w:r>
                              <w:r>
                                <w:rPr>
                                  <w:color w:val="231F20"/>
                                  <w:spacing w:val="-5"/>
                                  <w:sz w:val="15"/>
                                </w:rPr>
                                <w:t> </w:t>
                              </w:r>
                              <w:r>
                                <w:rPr>
                                  <w:color w:val="231F20"/>
                                  <w:sz w:val="15"/>
                                </w:rPr>
                                <w:t>(ADEM) Multiple sclerosis (including tumefactive MS) Acute hemorrhagic leukoencephalopathy Clinically isolated syndrome (CIS) Neuromyelitis optica spectrum disorder</w:t>
                              </w:r>
                            </w:p>
                            <w:p>
                              <w:pPr>
                                <w:spacing w:line="230" w:lineRule="auto" w:before="3"/>
                                <w:ind w:left="186" w:right="0" w:hanging="112"/>
                                <w:jc w:val="left"/>
                                <w:rPr>
                                  <w:color w:val="000000"/>
                                  <w:sz w:val="15"/>
                                </w:rPr>
                              </w:pPr>
                              <w:r>
                                <w:rPr>
                                  <w:i/>
                                  <w:color w:val="231F20"/>
                                  <w:sz w:val="15"/>
                                </w:rPr>
                                <w:t>N</w:t>
                              </w:r>
                              <w:r>
                                <w:rPr>
                                  <w:color w:val="231F20"/>
                                  <w:sz w:val="15"/>
                                </w:rPr>
                                <w:t>-methyl-</w:t>
                              </w:r>
                              <w:r>
                                <w:rPr>
                                  <w:color w:val="231F20"/>
                                  <w:sz w:val="12"/>
                                </w:rPr>
                                <w:t>D</w:t>
                              </w:r>
                              <w:r>
                                <w:rPr>
                                  <w:color w:val="231F20"/>
                                  <w:sz w:val="15"/>
                                </w:rPr>
                                <w:t>-aspartate</w:t>
                              </w:r>
                              <w:r>
                                <w:rPr>
                                  <w:color w:val="231F20"/>
                                  <w:spacing w:val="-2"/>
                                  <w:sz w:val="15"/>
                                </w:rPr>
                                <w:t> </w:t>
                              </w:r>
                              <w:r>
                                <w:rPr>
                                  <w:color w:val="231F20"/>
                                  <w:sz w:val="15"/>
                                </w:rPr>
                                <w:t>receptor</w:t>
                              </w:r>
                              <w:r>
                                <w:rPr>
                                  <w:color w:val="231F20"/>
                                  <w:spacing w:val="-2"/>
                                  <w:sz w:val="15"/>
                                </w:rPr>
                                <w:t> </w:t>
                              </w:r>
                              <w:r>
                                <w:rPr>
                                  <w:color w:val="231F20"/>
                                  <w:sz w:val="15"/>
                                </w:rPr>
                                <w:t>(NMDAR)</w:t>
                              </w:r>
                              <w:r>
                                <w:rPr>
                                  <w:color w:val="231F20"/>
                                  <w:spacing w:val="-2"/>
                                  <w:sz w:val="15"/>
                                </w:rPr>
                                <w:t> </w:t>
                              </w:r>
                              <w:r>
                                <w:rPr>
                                  <w:color w:val="231F20"/>
                                  <w:sz w:val="15"/>
                                </w:rPr>
                                <w:t>antibody</w:t>
                              </w:r>
                              <w:r>
                                <w:rPr>
                                  <w:color w:val="231F20"/>
                                  <w:spacing w:val="-2"/>
                                  <w:sz w:val="15"/>
                                </w:rPr>
                                <w:t> </w:t>
                              </w:r>
                              <w:r>
                                <w:rPr>
                                  <w:color w:val="231F20"/>
                                  <w:sz w:val="15"/>
                                </w:rPr>
                                <w:t>and</w:t>
                              </w:r>
                              <w:r>
                                <w:rPr>
                                  <w:color w:val="231F20"/>
                                  <w:spacing w:val="-2"/>
                                  <w:sz w:val="15"/>
                                </w:rPr>
                                <w:t> </w:t>
                              </w:r>
                              <w:r>
                                <w:rPr>
                                  <w:color w:val="231F20"/>
                                  <w:sz w:val="15"/>
                                </w:rPr>
                                <w:t>other autoimmune encephalitis</w:t>
                              </w:r>
                            </w:p>
                            <w:p>
                              <w:pPr>
                                <w:spacing w:line="167" w:lineRule="exact" w:before="0"/>
                                <w:ind w:left="74" w:right="0" w:firstLine="0"/>
                                <w:jc w:val="left"/>
                                <w:rPr>
                                  <w:color w:val="000000"/>
                                  <w:sz w:val="15"/>
                                </w:rPr>
                              </w:pPr>
                              <w:r>
                                <w:rPr>
                                  <w:color w:val="231F20"/>
                                  <w:spacing w:val="-2"/>
                                  <w:sz w:val="15"/>
                                </w:rPr>
                                <w:t>Vasculitis/angiopathies</w:t>
                              </w:r>
                            </w:p>
                            <w:p>
                              <w:pPr>
                                <w:spacing w:line="230" w:lineRule="auto" w:before="3"/>
                                <w:ind w:left="74" w:right="0" w:firstLine="0"/>
                                <w:jc w:val="left"/>
                                <w:rPr>
                                  <w:color w:val="000000"/>
                                  <w:sz w:val="15"/>
                                </w:rPr>
                              </w:pPr>
                              <w:r>
                                <w:rPr>
                                  <w:color w:val="231F20"/>
                                  <w:sz w:val="15"/>
                                </w:rPr>
                                <w:t>Hashimoto</w:t>
                              </w:r>
                              <w:r>
                                <w:rPr>
                                  <w:color w:val="231F20"/>
                                  <w:spacing w:val="-12"/>
                                  <w:sz w:val="15"/>
                                </w:rPr>
                                <w:t> </w:t>
                              </w:r>
                              <w:r>
                                <w:rPr>
                                  <w:color w:val="231F20"/>
                                  <w:sz w:val="15"/>
                                </w:rPr>
                                <w:t>encephalitis</w:t>
                              </w:r>
                              <w:r>
                                <w:rPr>
                                  <w:color w:val="231F20"/>
                                  <w:spacing w:val="-11"/>
                                  <w:sz w:val="15"/>
                                </w:rPr>
                                <w:t> </w:t>
                              </w:r>
                              <w:r>
                                <w:rPr>
                                  <w:color w:val="231F20"/>
                                  <w:sz w:val="15"/>
                                </w:rPr>
                                <w:t>(anti–thyroid</w:t>
                              </w:r>
                              <w:r>
                                <w:rPr>
                                  <w:color w:val="231F20"/>
                                  <w:spacing w:val="-11"/>
                                  <w:sz w:val="15"/>
                                </w:rPr>
                                <w:t> </w:t>
                              </w:r>
                              <w:r>
                                <w:rPr>
                                  <w:color w:val="231F20"/>
                                  <w:sz w:val="15"/>
                                </w:rPr>
                                <w:t>peroxidase</w:t>
                              </w:r>
                              <w:r>
                                <w:rPr>
                                  <w:color w:val="231F20"/>
                                  <w:spacing w:val="-12"/>
                                  <w:sz w:val="15"/>
                                </w:rPr>
                                <w:t> </w:t>
                              </w:r>
                              <w:r>
                                <w:rPr>
                                  <w:color w:val="231F20"/>
                                  <w:sz w:val="15"/>
                                </w:rPr>
                                <w:t>[TPO]</w:t>
                              </w:r>
                              <w:r>
                                <w:rPr>
                                  <w:color w:val="231F20"/>
                                  <w:spacing w:val="-11"/>
                                  <w:sz w:val="15"/>
                                </w:rPr>
                                <w:t> </w:t>
                              </w:r>
                              <w:r>
                                <w:rPr>
                                  <w:color w:val="231F20"/>
                                  <w:sz w:val="15"/>
                                </w:rPr>
                                <w:t>antibody) Familial hemophagocytic lymphohistiocytosis</w:t>
                              </w:r>
                            </w:p>
                            <w:p>
                              <w:pPr>
                                <w:spacing w:line="230" w:lineRule="auto" w:before="1"/>
                                <w:ind w:left="74" w:right="2339" w:firstLine="0"/>
                                <w:jc w:val="left"/>
                                <w:rPr>
                                  <w:color w:val="000000"/>
                                  <w:sz w:val="15"/>
                                </w:rPr>
                              </w:pPr>
                              <w:r>
                                <w:rPr>
                                  <w:color w:val="231F20"/>
                                  <w:spacing w:val="-2"/>
                                  <w:sz w:val="15"/>
                                </w:rPr>
                                <w:t>Langerhans</w:t>
                              </w:r>
                              <w:r>
                                <w:rPr>
                                  <w:color w:val="231F20"/>
                                  <w:spacing w:val="-5"/>
                                  <w:sz w:val="15"/>
                                </w:rPr>
                                <w:t> </w:t>
                              </w:r>
                              <w:r>
                                <w:rPr>
                                  <w:color w:val="231F20"/>
                                  <w:spacing w:val="-2"/>
                                  <w:sz w:val="15"/>
                                </w:rPr>
                                <w:t>cell</w:t>
                              </w:r>
                              <w:r>
                                <w:rPr>
                                  <w:color w:val="231F20"/>
                                  <w:spacing w:val="-5"/>
                                  <w:sz w:val="15"/>
                                </w:rPr>
                                <w:t> </w:t>
                              </w:r>
                              <w:r>
                                <w:rPr>
                                  <w:color w:val="231F20"/>
                                  <w:spacing w:val="-2"/>
                                  <w:sz w:val="15"/>
                                </w:rPr>
                                <w:t>histiocytosis Lymphoma</w:t>
                              </w:r>
                            </w:p>
                            <w:p>
                              <w:pPr>
                                <w:spacing w:line="230" w:lineRule="auto" w:before="2"/>
                                <w:ind w:left="74" w:right="2993" w:firstLine="0"/>
                                <w:jc w:val="left"/>
                                <w:rPr>
                                  <w:color w:val="000000"/>
                                  <w:sz w:val="15"/>
                                </w:rPr>
                              </w:pPr>
                              <w:r>
                                <w:rPr>
                                  <w:color w:val="231F20"/>
                                  <w:spacing w:val="-2"/>
                                  <w:sz w:val="15"/>
                                </w:rPr>
                                <w:t>Gliomatosis</w:t>
                              </w:r>
                              <w:r>
                                <w:rPr>
                                  <w:color w:val="231F20"/>
                                  <w:spacing w:val="-10"/>
                                  <w:sz w:val="15"/>
                                </w:rPr>
                                <w:t> </w:t>
                              </w:r>
                              <w:r>
                                <w:rPr>
                                  <w:color w:val="231F20"/>
                                  <w:spacing w:val="-2"/>
                                  <w:sz w:val="15"/>
                                </w:rPr>
                                <w:t>cerebri Glioma</w:t>
                              </w:r>
                            </w:p>
                            <w:p>
                              <w:pPr>
                                <w:spacing w:line="167" w:lineRule="exact" w:before="0"/>
                                <w:ind w:left="74" w:right="0" w:firstLine="0"/>
                                <w:jc w:val="left"/>
                                <w:rPr>
                                  <w:color w:val="000000"/>
                                  <w:sz w:val="15"/>
                                </w:rPr>
                              </w:pPr>
                              <w:r>
                                <w:rPr>
                                  <w:color w:val="231F20"/>
                                  <w:spacing w:val="-2"/>
                                  <w:sz w:val="15"/>
                                </w:rPr>
                                <w:t>Sarcoidosis</w:t>
                              </w:r>
                            </w:p>
                            <w:p>
                              <w:pPr>
                                <w:spacing w:line="230" w:lineRule="auto" w:before="2"/>
                                <w:ind w:left="74" w:right="1476" w:firstLine="0"/>
                                <w:jc w:val="left"/>
                                <w:rPr>
                                  <w:color w:val="000000"/>
                                  <w:sz w:val="15"/>
                                </w:rPr>
                              </w:pPr>
                              <w:r>
                                <w:rPr>
                                  <w:color w:val="231F20"/>
                                  <w:sz w:val="15"/>
                                </w:rPr>
                                <w:t>Mitochondrial</w:t>
                              </w:r>
                              <w:r>
                                <w:rPr>
                                  <w:color w:val="231F20"/>
                                  <w:spacing w:val="-11"/>
                                  <w:sz w:val="15"/>
                                </w:rPr>
                                <w:t> </w:t>
                              </w:r>
                              <w:r>
                                <w:rPr>
                                  <w:color w:val="231F20"/>
                                  <w:sz w:val="15"/>
                                </w:rPr>
                                <w:t>disorders</w:t>
                              </w:r>
                              <w:r>
                                <w:rPr>
                                  <w:color w:val="231F20"/>
                                  <w:spacing w:val="-11"/>
                                  <w:sz w:val="15"/>
                                </w:rPr>
                                <w:t> </w:t>
                              </w:r>
                              <w:r>
                                <w:rPr>
                                  <w:color w:val="231F20"/>
                                  <w:sz w:val="15"/>
                                </w:rPr>
                                <w:t>(Leigh</w:t>
                              </w:r>
                              <w:r>
                                <w:rPr>
                                  <w:color w:val="231F20"/>
                                  <w:spacing w:val="-11"/>
                                  <w:sz w:val="15"/>
                                </w:rPr>
                                <w:t> </w:t>
                              </w:r>
                              <w:r>
                                <w:rPr>
                                  <w:color w:val="231F20"/>
                                  <w:sz w:val="15"/>
                                </w:rPr>
                                <w:t>syndrome) Vitamin E deficiency</w:t>
                              </w:r>
                            </w:p>
                            <w:p>
                              <w:pPr>
                                <w:spacing w:line="230" w:lineRule="auto" w:before="2"/>
                                <w:ind w:left="74" w:right="3176" w:firstLine="0"/>
                                <w:jc w:val="left"/>
                                <w:rPr>
                                  <w:color w:val="000000"/>
                                  <w:sz w:val="15"/>
                                </w:rPr>
                              </w:pPr>
                              <w:r>
                                <w:rPr>
                                  <w:color w:val="231F20"/>
                                  <w:spacing w:val="-2"/>
                                  <w:sz w:val="15"/>
                                </w:rPr>
                                <w:t>Vitamin</w:t>
                              </w:r>
                              <w:r>
                                <w:rPr>
                                  <w:color w:val="231F20"/>
                                  <w:spacing w:val="-10"/>
                                  <w:sz w:val="15"/>
                                </w:rPr>
                                <w:t> </w:t>
                              </w:r>
                              <w:r>
                                <w:rPr>
                                  <w:color w:val="231F20"/>
                                  <w:spacing w:val="-2"/>
                                  <w:sz w:val="15"/>
                                </w:rPr>
                                <w:t>B</w:t>
                              </w:r>
                              <w:r>
                                <w:rPr>
                                  <w:color w:val="231F20"/>
                                  <w:spacing w:val="-2"/>
                                  <w:sz w:val="15"/>
                                  <w:vertAlign w:val="subscript"/>
                                </w:rPr>
                                <w:t>12</w:t>
                              </w:r>
                              <w:r>
                                <w:rPr>
                                  <w:color w:val="231F20"/>
                                  <w:spacing w:val="-9"/>
                                  <w:sz w:val="15"/>
                                  <w:vertAlign w:val="baseline"/>
                                </w:rPr>
                                <w:t> </w:t>
                              </w:r>
                              <w:r>
                                <w:rPr>
                                  <w:color w:val="231F20"/>
                                  <w:spacing w:val="-2"/>
                                  <w:sz w:val="15"/>
                                  <w:vertAlign w:val="baseline"/>
                                </w:rPr>
                                <w:t>deficiency </w:t>
                              </w:r>
                              <w:r>
                                <w:rPr>
                                  <w:color w:val="231F20"/>
                                  <w:sz w:val="15"/>
                                  <w:vertAlign w:val="baseline"/>
                                </w:rPr>
                                <w:t>Celiac disease</w:t>
                              </w:r>
                            </w:p>
                            <w:p>
                              <w:pPr>
                                <w:spacing w:line="230" w:lineRule="auto" w:before="1"/>
                                <w:ind w:left="186" w:right="108" w:hanging="112"/>
                                <w:jc w:val="left"/>
                                <w:rPr>
                                  <w:color w:val="000000"/>
                                  <w:sz w:val="15"/>
                                </w:rPr>
                              </w:pPr>
                              <w:r>
                                <w:rPr>
                                  <w:color w:val="231F20"/>
                                  <w:spacing w:val="-2"/>
                                  <w:sz w:val="15"/>
                                </w:rPr>
                                <w:t>Herpes simplex virus (HSV), enterovirus, arbovirus, Powassan </w:t>
                              </w:r>
                              <w:r>
                                <w:rPr>
                                  <w:color w:val="231F20"/>
                                  <w:spacing w:val="-2"/>
                                  <w:sz w:val="15"/>
                                </w:rPr>
                                <w:t>and </w:t>
                              </w:r>
                              <w:r>
                                <w:rPr>
                                  <w:color w:val="231F20"/>
                                  <w:sz w:val="15"/>
                                </w:rPr>
                                <w:t>other viral encephalitides</w:t>
                              </w:r>
                            </w:p>
                            <w:p>
                              <w:pPr>
                                <w:spacing w:line="167" w:lineRule="exact" w:before="0"/>
                                <w:ind w:left="74" w:right="0" w:firstLine="0"/>
                                <w:jc w:val="left"/>
                                <w:rPr>
                                  <w:color w:val="000000"/>
                                  <w:sz w:val="15"/>
                                </w:rPr>
                              </w:pPr>
                              <w:r>
                                <w:rPr>
                                  <w:color w:val="231F20"/>
                                  <w:spacing w:val="-2"/>
                                  <w:sz w:val="15"/>
                                </w:rPr>
                                <w:t>Rabies</w:t>
                              </w:r>
                            </w:p>
                            <w:p>
                              <w:pPr>
                                <w:spacing w:line="230" w:lineRule="auto" w:before="3"/>
                                <w:ind w:left="74" w:right="496" w:firstLine="0"/>
                                <w:jc w:val="left"/>
                                <w:rPr>
                                  <w:color w:val="000000"/>
                                  <w:sz w:val="15"/>
                                </w:rPr>
                              </w:pPr>
                              <w:r>
                                <w:rPr>
                                  <w:color w:val="231F20"/>
                                  <w:sz w:val="15"/>
                                </w:rPr>
                                <w:t>Subacute</w:t>
                              </w:r>
                              <w:r>
                                <w:rPr>
                                  <w:color w:val="231F20"/>
                                  <w:spacing w:val="-12"/>
                                  <w:sz w:val="15"/>
                                </w:rPr>
                                <w:t> </w:t>
                              </w:r>
                              <w:r>
                                <w:rPr>
                                  <w:color w:val="231F20"/>
                                  <w:sz w:val="15"/>
                                </w:rPr>
                                <w:t>sclerosing</w:t>
                              </w:r>
                              <w:r>
                                <w:rPr>
                                  <w:color w:val="231F20"/>
                                  <w:spacing w:val="-11"/>
                                  <w:sz w:val="15"/>
                                </w:rPr>
                                <w:t> </w:t>
                              </w:r>
                              <w:r>
                                <w:rPr>
                                  <w:color w:val="231F20"/>
                                  <w:sz w:val="15"/>
                                </w:rPr>
                                <w:t>pan-encephalitis</w:t>
                              </w:r>
                              <w:r>
                                <w:rPr>
                                  <w:color w:val="231F20"/>
                                  <w:spacing w:val="-11"/>
                                  <w:sz w:val="15"/>
                                </w:rPr>
                                <w:t> </w:t>
                              </w:r>
                              <w:r>
                                <w:rPr>
                                  <w:color w:val="231F20"/>
                                  <w:sz w:val="15"/>
                                </w:rPr>
                                <w:t>(SSPE)</w:t>
                              </w:r>
                              <w:r>
                                <w:rPr>
                                  <w:color w:val="231F20"/>
                                  <w:spacing w:val="-12"/>
                                  <w:sz w:val="15"/>
                                </w:rPr>
                                <w:t> </w:t>
                              </w:r>
                              <w:r>
                                <w:rPr>
                                  <w:color w:val="231F20"/>
                                  <w:sz w:val="15"/>
                                </w:rPr>
                                <w:t>(chronic</w:t>
                              </w:r>
                              <w:r>
                                <w:rPr>
                                  <w:color w:val="231F20"/>
                                  <w:spacing w:val="-11"/>
                                  <w:sz w:val="15"/>
                                </w:rPr>
                                <w:t> </w:t>
                              </w:r>
                              <w:r>
                                <w:rPr>
                                  <w:color w:val="231F20"/>
                                  <w:sz w:val="15"/>
                                </w:rPr>
                                <w:t>measles) Charcot-Marie-Tooth syndrome</w:t>
                              </w:r>
                            </w:p>
                            <w:p>
                              <w:pPr>
                                <w:spacing w:line="230" w:lineRule="auto" w:before="1"/>
                                <w:ind w:left="74" w:right="738" w:firstLine="0"/>
                                <w:jc w:val="left"/>
                                <w:rPr>
                                  <w:color w:val="000000"/>
                                  <w:sz w:val="15"/>
                                </w:rPr>
                              </w:pPr>
                              <w:r>
                                <w:rPr>
                                  <w:color w:val="231F20"/>
                                  <w:spacing w:val="-2"/>
                                  <w:sz w:val="15"/>
                                </w:rPr>
                                <w:t>Leukoencephalopathies (Aicardi-Goutières </w:t>
                              </w:r>
                              <w:r>
                                <w:rPr>
                                  <w:color w:val="231F20"/>
                                  <w:spacing w:val="-2"/>
                                  <w:sz w:val="15"/>
                                </w:rPr>
                                <w:t>syndrome) </w:t>
                              </w:r>
                              <w:r>
                                <w:rPr>
                                  <w:color w:val="231F20"/>
                                  <w:sz w:val="15"/>
                                </w:rPr>
                                <w:t>Vanishing white matter disease</w:t>
                              </w:r>
                            </w:p>
                            <w:p>
                              <w:pPr>
                                <w:spacing w:line="230" w:lineRule="auto" w:before="2"/>
                                <w:ind w:left="74" w:right="1140" w:firstLine="0"/>
                                <w:jc w:val="left"/>
                                <w:rPr>
                                  <w:color w:val="000000"/>
                                  <w:sz w:val="15"/>
                                </w:rPr>
                              </w:pPr>
                              <w:r>
                                <w:rPr>
                                  <w:color w:val="231F20"/>
                                  <w:sz w:val="15"/>
                                </w:rPr>
                                <w:t>Schilder</w:t>
                              </w:r>
                              <w:r>
                                <w:rPr>
                                  <w:color w:val="231F20"/>
                                  <w:spacing w:val="-12"/>
                                  <w:sz w:val="15"/>
                                </w:rPr>
                                <w:t> </w:t>
                              </w:r>
                              <w:r>
                                <w:rPr>
                                  <w:color w:val="231F20"/>
                                  <w:sz w:val="15"/>
                                </w:rPr>
                                <w:t>disease</w:t>
                              </w:r>
                              <w:r>
                                <w:rPr>
                                  <w:color w:val="231F20"/>
                                  <w:spacing w:val="-11"/>
                                  <w:sz w:val="15"/>
                                </w:rPr>
                                <w:t> </w:t>
                              </w:r>
                              <w:r>
                                <w:rPr>
                                  <w:color w:val="231F20"/>
                                  <w:sz w:val="15"/>
                                </w:rPr>
                                <w:t>(possibly</w:t>
                              </w:r>
                              <w:r>
                                <w:rPr>
                                  <w:color w:val="231F20"/>
                                  <w:spacing w:val="-11"/>
                                  <w:sz w:val="15"/>
                                </w:rPr>
                                <w:t> </w:t>
                              </w:r>
                              <w:r>
                                <w:rPr>
                                  <w:color w:val="231F20"/>
                                  <w:sz w:val="15"/>
                                </w:rPr>
                                <w:t>an</w:t>
                              </w:r>
                              <w:r>
                                <w:rPr>
                                  <w:color w:val="231F20"/>
                                  <w:spacing w:val="-12"/>
                                  <w:sz w:val="15"/>
                                </w:rPr>
                                <w:t> </w:t>
                              </w:r>
                              <w:r>
                                <w:rPr>
                                  <w:color w:val="231F20"/>
                                  <w:sz w:val="15"/>
                                </w:rPr>
                                <w:t>adrenoleukodystrophy) X-linked adrenoleukodystrophy</w:t>
                              </w:r>
                            </w:p>
                            <w:p>
                              <w:pPr>
                                <w:spacing w:line="170" w:lineRule="exact" w:before="0"/>
                                <w:ind w:left="74" w:right="0" w:firstLine="0"/>
                                <w:jc w:val="left"/>
                                <w:rPr>
                                  <w:color w:val="000000"/>
                                  <w:sz w:val="15"/>
                                </w:rPr>
                              </w:pPr>
                              <w:r>
                                <w:rPr>
                                  <w:color w:val="231F20"/>
                                  <w:sz w:val="15"/>
                                </w:rPr>
                                <w:t>Griscelli</w:t>
                              </w:r>
                              <w:r>
                                <w:rPr>
                                  <w:color w:val="231F20"/>
                                  <w:spacing w:val="-9"/>
                                  <w:sz w:val="15"/>
                                </w:rPr>
                                <w:t> </w:t>
                              </w:r>
                              <w:r>
                                <w:rPr>
                                  <w:color w:val="231F20"/>
                                  <w:sz w:val="15"/>
                                </w:rPr>
                                <w:t>syndrome</w:t>
                              </w:r>
                              <w:r>
                                <w:rPr>
                                  <w:color w:val="231F20"/>
                                  <w:spacing w:val="-8"/>
                                  <w:sz w:val="15"/>
                                </w:rPr>
                                <w:t> </w:t>
                              </w:r>
                              <w:r>
                                <w:rPr>
                                  <w:color w:val="231F20"/>
                                  <w:sz w:val="15"/>
                                </w:rPr>
                                <w:t>type</w:t>
                              </w:r>
                              <w:r>
                                <w:rPr>
                                  <w:color w:val="231F20"/>
                                  <w:spacing w:val="-8"/>
                                  <w:sz w:val="15"/>
                                </w:rPr>
                                <w:t> </w:t>
                              </w:r>
                              <w:r>
                                <w:rPr>
                                  <w:color w:val="231F20"/>
                                  <w:spacing w:val="-10"/>
                                  <w:sz w:val="15"/>
                                </w:rPr>
                                <w:t>2</w:t>
                              </w:r>
                            </w:p>
                          </w:txbxContent>
                        </wps:txbx>
                        <wps:bodyPr wrap="square" lIns="0" tIns="0" rIns="0" bIns="0" rtlCol="0">
                          <a:noAutofit/>
                        </wps:bodyPr>
                      </wps:wsp>
                      <wps:wsp>
                        <wps:cNvPr id="782" name="Graphic 782"/>
                        <wps:cNvSpPr/>
                        <wps:spPr>
                          <a:xfrm>
                            <a:off x="0" y="3502384"/>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783" name="Textbox 783"/>
                        <wps:cNvSpPr txBox="1"/>
                        <wps:spPr>
                          <a:xfrm>
                            <a:off x="734667" y="0"/>
                            <a:ext cx="2251710" cy="344170"/>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Differential Diagnosis of </w:t>
                              </w:r>
                              <w:r>
                                <w:rPr>
                                  <w:color w:val="FFFFFF"/>
                                  <w:w w:val="105"/>
                                  <w:sz w:val="16"/>
                                </w:rPr>
                                <w:t>Demyelinating </w:t>
                              </w:r>
                              <w:r>
                                <w:rPr>
                                  <w:color w:val="FFFFFF"/>
                                  <w:spacing w:val="-2"/>
                                  <w:w w:val="105"/>
                                  <w:sz w:val="16"/>
                                </w:rPr>
                                <w:t>Disorders</w:t>
                              </w:r>
                            </w:p>
                          </w:txbxContent>
                        </wps:txbx>
                        <wps:bodyPr wrap="square" lIns="0" tIns="0" rIns="0" bIns="0" rtlCol="0">
                          <a:noAutofit/>
                        </wps:bodyPr>
                      </wps:wsp>
                      <wps:wsp>
                        <wps:cNvPr id="784" name="Textbox 784"/>
                        <wps:cNvSpPr txBox="1"/>
                        <wps:spPr>
                          <a:xfrm>
                            <a:off x="11" y="0"/>
                            <a:ext cx="723265" cy="34417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1</w:t>
                              </w:r>
                            </w:p>
                          </w:txbxContent>
                        </wps:txbx>
                        <wps:bodyPr wrap="square" lIns="0" tIns="0" rIns="0" bIns="0" rtlCol="0">
                          <a:noAutofit/>
                        </wps:bodyPr>
                      </wps:wsp>
                    </wpg:wgp>
                  </a:graphicData>
                </a:graphic>
              </wp:anchor>
            </w:drawing>
          </mc:Choice>
          <mc:Fallback>
            <w:pict>
              <v:group style="position:absolute;margin-left:323.501892pt;margin-top:19.361328pt;width:235.15pt;height:276.75pt;mso-position-horizontal-relative:page;mso-position-vertical-relative:paragraph;z-index:-15679488;mso-wrap-distance-left:0;mso-wrap-distance-right:0" id="docshapegroup649" coordorigin="6470,387" coordsize="4703,5535">
                <v:shape style="position:absolute;left:6470;top:947;width:4703;height:4966" type="#_x0000_t202" id="docshape650" filled="true" fillcolor="#e8f5f1" stroked="false">
                  <v:textbox inset="0,0,0,0">
                    <w:txbxContent>
                      <w:p>
                        <w:pPr>
                          <w:spacing w:line="230" w:lineRule="auto" w:before="53"/>
                          <w:ind w:left="74" w:right="1476" w:firstLine="0"/>
                          <w:jc w:val="left"/>
                          <w:rPr>
                            <w:color w:val="000000"/>
                            <w:sz w:val="15"/>
                          </w:rPr>
                        </w:pPr>
                        <w:r>
                          <w:rPr>
                            <w:color w:val="231F20"/>
                            <w:sz w:val="15"/>
                          </w:rPr>
                          <w:t>Acute</w:t>
                        </w:r>
                        <w:r>
                          <w:rPr>
                            <w:color w:val="231F20"/>
                            <w:spacing w:val="-5"/>
                            <w:sz w:val="15"/>
                          </w:rPr>
                          <w:t> </w:t>
                        </w:r>
                        <w:r>
                          <w:rPr>
                            <w:color w:val="231F20"/>
                            <w:sz w:val="15"/>
                          </w:rPr>
                          <w:t>disseminated</w:t>
                        </w:r>
                        <w:r>
                          <w:rPr>
                            <w:color w:val="231F20"/>
                            <w:spacing w:val="-5"/>
                            <w:sz w:val="15"/>
                          </w:rPr>
                          <w:t> </w:t>
                        </w:r>
                        <w:r>
                          <w:rPr>
                            <w:color w:val="231F20"/>
                            <w:sz w:val="15"/>
                          </w:rPr>
                          <w:t>encephalomyelitis</w:t>
                        </w:r>
                        <w:r>
                          <w:rPr>
                            <w:color w:val="231F20"/>
                            <w:spacing w:val="-5"/>
                            <w:sz w:val="15"/>
                          </w:rPr>
                          <w:t> </w:t>
                        </w:r>
                        <w:r>
                          <w:rPr>
                            <w:color w:val="231F20"/>
                            <w:sz w:val="15"/>
                          </w:rPr>
                          <w:t>(ADEM) Multiple sclerosis (including tumefactive MS) Acute hemorrhagic leukoencephalopathy Clinically isolated syndrome (CIS) Neuromyelitis optica spectrum disorder</w:t>
                        </w:r>
                      </w:p>
                      <w:p>
                        <w:pPr>
                          <w:spacing w:line="230" w:lineRule="auto" w:before="3"/>
                          <w:ind w:left="186" w:right="0" w:hanging="112"/>
                          <w:jc w:val="left"/>
                          <w:rPr>
                            <w:color w:val="000000"/>
                            <w:sz w:val="15"/>
                          </w:rPr>
                        </w:pPr>
                        <w:r>
                          <w:rPr>
                            <w:i/>
                            <w:color w:val="231F20"/>
                            <w:sz w:val="15"/>
                          </w:rPr>
                          <w:t>N</w:t>
                        </w:r>
                        <w:r>
                          <w:rPr>
                            <w:color w:val="231F20"/>
                            <w:sz w:val="15"/>
                          </w:rPr>
                          <w:t>-methyl-</w:t>
                        </w:r>
                        <w:r>
                          <w:rPr>
                            <w:color w:val="231F20"/>
                            <w:sz w:val="12"/>
                          </w:rPr>
                          <w:t>D</w:t>
                        </w:r>
                        <w:r>
                          <w:rPr>
                            <w:color w:val="231F20"/>
                            <w:sz w:val="15"/>
                          </w:rPr>
                          <w:t>-aspartate</w:t>
                        </w:r>
                        <w:r>
                          <w:rPr>
                            <w:color w:val="231F20"/>
                            <w:spacing w:val="-2"/>
                            <w:sz w:val="15"/>
                          </w:rPr>
                          <w:t> </w:t>
                        </w:r>
                        <w:r>
                          <w:rPr>
                            <w:color w:val="231F20"/>
                            <w:sz w:val="15"/>
                          </w:rPr>
                          <w:t>receptor</w:t>
                        </w:r>
                        <w:r>
                          <w:rPr>
                            <w:color w:val="231F20"/>
                            <w:spacing w:val="-2"/>
                            <w:sz w:val="15"/>
                          </w:rPr>
                          <w:t> </w:t>
                        </w:r>
                        <w:r>
                          <w:rPr>
                            <w:color w:val="231F20"/>
                            <w:sz w:val="15"/>
                          </w:rPr>
                          <w:t>(NMDAR)</w:t>
                        </w:r>
                        <w:r>
                          <w:rPr>
                            <w:color w:val="231F20"/>
                            <w:spacing w:val="-2"/>
                            <w:sz w:val="15"/>
                          </w:rPr>
                          <w:t> </w:t>
                        </w:r>
                        <w:r>
                          <w:rPr>
                            <w:color w:val="231F20"/>
                            <w:sz w:val="15"/>
                          </w:rPr>
                          <w:t>antibody</w:t>
                        </w:r>
                        <w:r>
                          <w:rPr>
                            <w:color w:val="231F20"/>
                            <w:spacing w:val="-2"/>
                            <w:sz w:val="15"/>
                          </w:rPr>
                          <w:t> </w:t>
                        </w:r>
                        <w:r>
                          <w:rPr>
                            <w:color w:val="231F20"/>
                            <w:sz w:val="15"/>
                          </w:rPr>
                          <w:t>and</w:t>
                        </w:r>
                        <w:r>
                          <w:rPr>
                            <w:color w:val="231F20"/>
                            <w:spacing w:val="-2"/>
                            <w:sz w:val="15"/>
                          </w:rPr>
                          <w:t> </w:t>
                        </w:r>
                        <w:r>
                          <w:rPr>
                            <w:color w:val="231F20"/>
                            <w:sz w:val="15"/>
                          </w:rPr>
                          <w:t>other autoimmune encephalitis</w:t>
                        </w:r>
                      </w:p>
                      <w:p>
                        <w:pPr>
                          <w:spacing w:line="167" w:lineRule="exact" w:before="0"/>
                          <w:ind w:left="74" w:right="0" w:firstLine="0"/>
                          <w:jc w:val="left"/>
                          <w:rPr>
                            <w:color w:val="000000"/>
                            <w:sz w:val="15"/>
                          </w:rPr>
                        </w:pPr>
                        <w:r>
                          <w:rPr>
                            <w:color w:val="231F20"/>
                            <w:spacing w:val="-2"/>
                            <w:sz w:val="15"/>
                          </w:rPr>
                          <w:t>Vasculitis/angiopathies</w:t>
                        </w:r>
                      </w:p>
                      <w:p>
                        <w:pPr>
                          <w:spacing w:line="230" w:lineRule="auto" w:before="3"/>
                          <w:ind w:left="74" w:right="0" w:firstLine="0"/>
                          <w:jc w:val="left"/>
                          <w:rPr>
                            <w:color w:val="000000"/>
                            <w:sz w:val="15"/>
                          </w:rPr>
                        </w:pPr>
                        <w:r>
                          <w:rPr>
                            <w:color w:val="231F20"/>
                            <w:sz w:val="15"/>
                          </w:rPr>
                          <w:t>Hashimoto</w:t>
                        </w:r>
                        <w:r>
                          <w:rPr>
                            <w:color w:val="231F20"/>
                            <w:spacing w:val="-12"/>
                            <w:sz w:val="15"/>
                          </w:rPr>
                          <w:t> </w:t>
                        </w:r>
                        <w:r>
                          <w:rPr>
                            <w:color w:val="231F20"/>
                            <w:sz w:val="15"/>
                          </w:rPr>
                          <w:t>encephalitis</w:t>
                        </w:r>
                        <w:r>
                          <w:rPr>
                            <w:color w:val="231F20"/>
                            <w:spacing w:val="-11"/>
                            <w:sz w:val="15"/>
                          </w:rPr>
                          <w:t> </w:t>
                        </w:r>
                        <w:r>
                          <w:rPr>
                            <w:color w:val="231F20"/>
                            <w:sz w:val="15"/>
                          </w:rPr>
                          <w:t>(anti–thyroid</w:t>
                        </w:r>
                        <w:r>
                          <w:rPr>
                            <w:color w:val="231F20"/>
                            <w:spacing w:val="-11"/>
                            <w:sz w:val="15"/>
                          </w:rPr>
                          <w:t> </w:t>
                        </w:r>
                        <w:r>
                          <w:rPr>
                            <w:color w:val="231F20"/>
                            <w:sz w:val="15"/>
                          </w:rPr>
                          <w:t>peroxidase</w:t>
                        </w:r>
                        <w:r>
                          <w:rPr>
                            <w:color w:val="231F20"/>
                            <w:spacing w:val="-12"/>
                            <w:sz w:val="15"/>
                          </w:rPr>
                          <w:t> </w:t>
                        </w:r>
                        <w:r>
                          <w:rPr>
                            <w:color w:val="231F20"/>
                            <w:sz w:val="15"/>
                          </w:rPr>
                          <w:t>[TPO]</w:t>
                        </w:r>
                        <w:r>
                          <w:rPr>
                            <w:color w:val="231F20"/>
                            <w:spacing w:val="-11"/>
                            <w:sz w:val="15"/>
                          </w:rPr>
                          <w:t> </w:t>
                        </w:r>
                        <w:r>
                          <w:rPr>
                            <w:color w:val="231F20"/>
                            <w:sz w:val="15"/>
                          </w:rPr>
                          <w:t>antibody) Familial hemophagocytic lymphohistiocytosis</w:t>
                        </w:r>
                      </w:p>
                      <w:p>
                        <w:pPr>
                          <w:spacing w:line="230" w:lineRule="auto" w:before="1"/>
                          <w:ind w:left="74" w:right="2339" w:firstLine="0"/>
                          <w:jc w:val="left"/>
                          <w:rPr>
                            <w:color w:val="000000"/>
                            <w:sz w:val="15"/>
                          </w:rPr>
                        </w:pPr>
                        <w:r>
                          <w:rPr>
                            <w:color w:val="231F20"/>
                            <w:spacing w:val="-2"/>
                            <w:sz w:val="15"/>
                          </w:rPr>
                          <w:t>Langerhans</w:t>
                        </w:r>
                        <w:r>
                          <w:rPr>
                            <w:color w:val="231F20"/>
                            <w:spacing w:val="-5"/>
                            <w:sz w:val="15"/>
                          </w:rPr>
                          <w:t> </w:t>
                        </w:r>
                        <w:r>
                          <w:rPr>
                            <w:color w:val="231F20"/>
                            <w:spacing w:val="-2"/>
                            <w:sz w:val="15"/>
                          </w:rPr>
                          <w:t>cell</w:t>
                        </w:r>
                        <w:r>
                          <w:rPr>
                            <w:color w:val="231F20"/>
                            <w:spacing w:val="-5"/>
                            <w:sz w:val="15"/>
                          </w:rPr>
                          <w:t> </w:t>
                        </w:r>
                        <w:r>
                          <w:rPr>
                            <w:color w:val="231F20"/>
                            <w:spacing w:val="-2"/>
                            <w:sz w:val="15"/>
                          </w:rPr>
                          <w:t>histiocytosis Lymphoma</w:t>
                        </w:r>
                      </w:p>
                      <w:p>
                        <w:pPr>
                          <w:spacing w:line="230" w:lineRule="auto" w:before="2"/>
                          <w:ind w:left="74" w:right="2993" w:firstLine="0"/>
                          <w:jc w:val="left"/>
                          <w:rPr>
                            <w:color w:val="000000"/>
                            <w:sz w:val="15"/>
                          </w:rPr>
                        </w:pPr>
                        <w:r>
                          <w:rPr>
                            <w:color w:val="231F20"/>
                            <w:spacing w:val="-2"/>
                            <w:sz w:val="15"/>
                          </w:rPr>
                          <w:t>Gliomatosis</w:t>
                        </w:r>
                        <w:r>
                          <w:rPr>
                            <w:color w:val="231F20"/>
                            <w:spacing w:val="-10"/>
                            <w:sz w:val="15"/>
                          </w:rPr>
                          <w:t> </w:t>
                        </w:r>
                        <w:r>
                          <w:rPr>
                            <w:color w:val="231F20"/>
                            <w:spacing w:val="-2"/>
                            <w:sz w:val="15"/>
                          </w:rPr>
                          <w:t>cerebri Glioma</w:t>
                        </w:r>
                      </w:p>
                      <w:p>
                        <w:pPr>
                          <w:spacing w:line="167" w:lineRule="exact" w:before="0"/>
                          <w:ind w:left="74" w:right="0" w:firstLine="0"/>
                          <w:jc w:val="left"/>
                          <w:rPr>
                            <w:color w:val="000000"/>
                            <w:sz w:val="15"/>
                          </w:rPr>
                        </w:pPr>
                        <w:r>
                          <w:rPr>
                            <w:color w:val="231F20"/>
                            <w:spacing w:val="-2"/>
                            <w:sz w:val="15"/>
                          </w:rPr>
                          <w:t>Sarcoidosis</w:t>
                        </w:r>
                      </w:p>
                      <w:p>
                        <w:pPr>
                          <w:spacing w:line="230" w:lineRule="auto" w:before="2"/>
                          <w:ind w:left="74" w:right="1476" w:firstLine="0"/>
                          <w:jc w:val="left"/>
                          <w:rPr>
                            <w:color w:val="000000"/>
                            <w:sz w:val="15"/>
                          </w:rPr>
                        </w:pPr>
                        <w:r>
                          <w:rPr>
                            <w:color w:val="231F20"/>
                            <w:sz w:val="15"/>
                          </w:rPr>
                          <w:t>Mitochondrial</w:t>
                        </w:r>
                        <w:r>
                          <w:rPr>
                            <w:color w:val="231F20"/>
                            <w:spacing w:val="-11"/>
                            <w:sz w:val="15"/>
                          </w:rPr>
                          <w:t> </w:t>
                        </w:r>
                        <w:r>
                          <w:rPr>
                            <w:color w:val="231F20"/>
                            <w:sz w:val="15"/>
                          </w:rPr>
                          <w:t>disorders</w:t>
                        </w:r>
                        <w:r>
                          <w:rPr>
                            <w:color w:val="231F20"/>
                            <w:spacing w:val="-11"/>
                            <w:sz w:val="15"/>
                          </w:rPr>
                          <w:t> </w:t>
                        </w:r>
                        <w:r>
                          <w:rPr>
                            <w:color w:val="231F20"/>
                            <w:sz w:val="15"/>
                          </w:rPr>
                          <w:t>(Leigh</w:t>
                        </w:r>
                        <w:r>
                          <w:rPr>
                            <w:color w:val="231F20"/>
                            <w:spacing w:val="-11"/>
                            <w:sz w:val="15"/>
                          </w:rPr>
                          <w:t> </w:t>
                        </w:r>
                        <w:r>
                          <w:rPr>
                            <w:color w:val="231F20"/>
                            <w:sz w:val="15"/>
                          </w:rPr>
                          <w:t>syndrome) Vitamin E deficiency</w:t>
                        </w:r>
                      </w:p>
                      <w:p>
                        <w:pPr>
                          <w:spacing w:line="230" w:lineRule="auto" w:before="2"/>
                          <w:ind w:left="74" w:right="3176" w:firstLine="0"/>
                          <w:jc w:val="left"/>
                          <w:rPr>
                            <w:color w:val="000000"/>
                            <w:sz w:val="15"/>
                          </w:rPr>
                        </w:pPr>
                        <w:r>
                          <w:rPr>
                            <w:color w:val="231F20"/>
                            <w:spacing w:val="-2"/>
                            <w:sz w:val="15"/>
                          </w:rPr>
                          <w:t>Vitamin</w:t>
                        </w:r>
                        <w:r>
                          <w:rPr>
                            <w:color w:val="231F20"/>
                            <w:spacing w:val="-10"/>
                            <w:sz w:val="15"/>
                          </w:rPr>
                          <w:t> </w:t>
                        </w:r>
                        <w:r>
                          <w:rPr>
                            <w:color w:val="231F20"/>
                            <w:spacing w:val="-2"/>
                            <w:sz w:val="15"/>
                          </w:rPr>
                          <w:t>B</w:t>
                        </w:r>
                        <w:r>
                          <w:rPr>
                            <w:color w:val="231F20"/>
                            <w:spacing w:val="-2"/>
                            <w:sz w:val="15"/>
                            <w:vertAlign w:val="subscript"/>
                          </w:rPr>
                          <w:t>12</w:t>
                        </w:r>
                        <w:r>
                          <w:rPr>
                            <w:color w:val="231F20"/>
                            <w:spacing w:val="-9"/>
                            <w:sz w:val="15"/>
                            <w:vertAlign w:val="baseline"/>
                          </w:rPr>
                          <w:t> </w:t>
                        </w:r>
                        <w:r>
                          <w:rPr>
                            <w:color w:val="231F20"/>
                            <w:spacing w:val="-2"/>
                            <w:sz w:val="15"/>
                            <w:vertAlign w:val="baseline"/>
                          </w:rPr>
                          <w:t>deficiency </w:t>
                        </w:r>
                        <w:r>
                          <w:rPr>
                            <w:color w:val="231F20"/>
                            <w:sz w:val="15"/>
                            <w:vertAlign w:val="baseline"/>
                          </w:rPr>
                          <w:t>Celiac disease</w:t>
                        </w:r>
                      </w:p>
                      <w:p>
                        <w:pPr>
                          <w:spacing w:line="230" w:lineRule="auto" w:before="1"/>
                          <w:ind w:left="186" w:right="108" w:hanging="112"/>
                          <w:jc w:val="left"/>
                          <w:rPr>
                            <w:color w:val="000000"/>
                            <w:sz w:val="15"/>
                          </w:rPr>
                        </w:pPr>
                        <w:r>
                          <w:rPr>
                            <w:color w:val="231F20"/>
                            <w:spacing w:val="-2"/>
                            <w:sz w:val="15"/>
                          </w:rPr>
                          <w:t>Herpes simplex virus (HSV), enterovirus, arbovirus, Powassan </w:t>
                        </w:r>
                        <w:r>
                          <w:rPr>
                            <w:color w:val="231F20"/>
                            <w:spacing w:val="-2"/>
                            <w:sz w:val="15"/>
                          </w:rPr>
                          <w:t>and </w:t>
                        </w:r>
                        <w:r>
                          <w:rPr>
                            <w:color w:val="231F20"/>
                            <w:sz w:val="15"/>
                          </w:rPr>
                          <w:t>other viral encephalitides</w:t>
                        </w:r>
                      </w:p>
                      <w:p>
                        <w:pPr>
                          <w:spacing w:line="167" w:lineRule="exact" w:before="0"/>
                          <w:ind w:left="74" w:right="0" w:firstLine="0"/>
                          <w:jc w:val="left"/>
                          <w:rPr>
                            <w:color w:val="000000"/>
                            <w:sz w:val="15"/>
                          </w:rPr>
                        </w:pPr>
                        <w:r>
                          <w:rPr>
                            <w:color w:val="231F20"/>
                            <w:spacing w:val="-2"/>
                            <w:sz w:val="15"/>
                          </w:rPr>
                          <w:t>Rabies</w:t>
                        </w:r>
                      </w:p>
                      <w:p>
                        <w:pPr>
                          <w:spacing w:line="230" w:lineRule="auto" w:before="3"/>
                          <w:ind w:left="74" w:right="496" w:firstLine="0"/>
                          <w:jc w:val="left"/>
                          <w:rPr>
                            <w:color w:val="000000"/>
                            <w:sz w:val="15"/>
                          </w:rPr>
                        </w:pPr>
                        <w:r>
                          <w:rPr>
                            <w:color w:val="231F20"/>
                            <w:sz w:val="15"/>
                          </w:rPr>
                          <w:t>Subacute</w:t>
                        </w:r>
                        <w:r>
                          <w:rPr>
                            <w:color w:val="231F20"/>
                            <w:spacing w:val="-12"/>
                            <w:sz w:val="15"/>
                          </w:rPr>
                          <w:t> </w:t>
                        </w:r>
                        <w:r>
                          <w:rPr>
                            <w:color w:val="231F20"/>
                            <w:sz w:val="15"/>
                          </w:rPr>
                          <w:t>sclerosing</w:t>
                        </w:r>
                        <w:r>
                          <w:rPr>
                            <w:color w:val="231F20"/>
                            <w:spacing w:val="-11"/>
                            <w:sz w:val="15"/>
                          </w:rPr>
                          <w:t> </w:t>
                        </w:r>
                        <w:r>
                          <w:rPr>
                            <w:color w:val="231F20"/>
                            <w:sz w:val="15"/>
                          </w:rPr>
                          <w:t>pan-encephalitis</w:t>
                        </w:r>
                        <w:r>
                          <w:rPr>
                            <w:color w:val="231F20"/>
                            <w:spacing w:val="-11"/>
                            <w:sz w:val="15"/>
                          </w:rPr>
                          <w:t> </w:t>
                        </w:r>
                        <w:r>
                          <w:rPr>
                            <w:color w:val="231F20"/>
                            <w:sz w:val="15"/>
                          </w:rPr>
                          <w:t>(SSPE)</w:t>
                        </w:r>
                        <w:r>
                          <w:rPr>
                            <w:color w:val="231F20"/>
                            <w:spacing w:val="-12"/>
                            <w:sz w:val="15"/>
                          </w:rPr>
                          <w:t> </w:t>
                        </w:r>
                        <w:r>
                          <w:rPr>
                            <w:color w:val="231F20"/>
                            <w:sz w:val="15"/>
                          </w:rPr>
                          <w:t>(chronic</w:t>
                        </w:r>
                        <w:r>
                          <w:rPr>
                            <w:color w:val="231F20"/>
                            <w:spacing w:val="-11"/>
                            <w:sz w:val="15"/>
                          </w:rPr>
                          <w:t> </w:t>
                        </w:r>
                        <w:r>
                          <w:rPr>
                            <w:color w:val="231F20"/>
                            <w:sz w:val="15"/>
                          </w:rPr>
                          <w:t>measles) Charcot-Marie-Tooth syndrome</w:t>
                        </w:r>
                      </w:p>
                      <w:p>
                        <w:pPr>
                          <w:spacing w:line="230" w:lineRule="auto" w:before="1"/>
                          <w:ind w:left="74" w:right="738" w:firstLine="0"/>
                          <w:jc w:val="left"/>
                          <w:rPr>
                            <w:color w:val="000000"/>
                            <w:sz w:val="15"/>
                          </w:rPr>
                        </w:pPr>
                        <w:r>
                          <w:rPr>
                            <w:color w:val="231F20"/>
                            <w:spacing w:val="-2"/>
                            <w:sz w:val="15"/>
                          </w:rPr>
                          <w:t>Leukoencephalopathies (Aicardi-Goutières </w:t>
                        </w:r>
                        <w:r>
                          <w:rPr>
                            <w:color w:val="231F20"/>
                            <w:spacing w:val="-2"/>
                            <w:sz w:val="15"/>
                          </w:rPr>
                          <w:t>syndrome) </w:t>
                        </w:r>
                        <w:r>
                          <w:rPr>
                            <w:color w:val="231F20"/>
                            <w:sz w:val="15"/>
                          </w:rPr>
                          <w:t>Vanishing white matter disease</w:t>
                        </w:r>
                      </w:p>
                      <w:p>
                        <w:pPr>
                          <w:spacing w:line="230" w:lineRule="auto" w:before="2"/>
                          <w:ind w:left="74" w:right="1140" w:firstLine="0"/>
                          <w:jc w:val="left"/>
                          <w:rPr>
                            <w:color w:val="000000"/>
                            <w:sz w:val="15"/>
                          </w:rPr>
                        </w:pPr>
                        <w:r>
                          <w:rPr>
                            <w:color w:val="231F20"/>
                            <w:sz w:val="15"/>
                          </w:rPr>
                          <w:t>Schilder</w:t>
                        </w:r>
                        <w:r>
                          <w:rPr>
                            <w:color w:val="231F20"/>
                            <w:spacing w:val="-12"/>
                            <w:sz w:val="15"/>
                          </w:rPr>
                          <w:t> </w:t>
                        </w:r>
                        <w:r>
                          <w:rPr>
                            <w:color w:val="231F20"/>
                            <w:sz w:val="15"/>
                          </w:rPr>
                          <w:t>disease</w:t>
                        </w:r>
                        <w:r>
                          <w:rPr>
                            <w:color w:val="231F20"/>
                            <w:spacing w:val="-11"/>
                            <w:sz w:val="15"/>
                          </w:rPr>
                          <w:t> </w:t>
                        </w:r>
                        <w:r>
                          <w:rPr>
                            <w:color w:val="231F20"/>
                            <w:sz w:val="15"/>
                          </w:rPr>
                          <w:t>(possibly</w:t>
                        </w:r>
                        <w:r>
                          <w:rPr>
                            <w:color w:val="231F20"/>
                            <w:spacing w:val="-11"/>
                            <w:sz w:val="15"/>
                          </w:rPr>
                          <w:t> </w:t>
                        </w:r>
                        <w:r>
                          <w:rPr>
                            <w:color w:val="231F20"/>
                            <w:sz w:val="15"/>
                          </w:rPr>
                          <w:t>an</w:t>
                        </w:r>
                        <w:r>
                          <w:rPr>
                            <w:color w:val="231F20"/>
                            <w:spacing w:val="-12"/>
                            <w:sz w:val="15"/>
                          </w:rPr>
                          <w:t> </w:t>
                        </w:r>
                        <w:r>
                          <w:rPr>
                            <w:color w:val="231F20"/>
                            <w:sz w:val="15"/>
                          </w:rPr>
                          <w:t>adrenoleukodystrophy) X-linked adrenoleukodystrophy</w:t>
                        </w:r>
                      </w:p>
                      <w:p>
                        <w:pPr>
                          <w:spacing w:line="170" w:lineRule="exact" w:before="0"/>
                          <w:ind w:left="74" w:right="0" w:firstLine="0"/>
                          <w:jc w:val="left"/>
                          <w:rPr>
                            <w:color w:val="000000"/>
                            <w:sz w:val="15"/>
                          </w:rPr>
                        </w:pPr>
                        <w:r>
                          <w:rPr>
                            <w:color w:val="231F20"/>
                            <w:sz w:val="15"/>
                          </w:rPr>
                          <w:t>Griscelli</w:t>
                        </w:r>
                        <w:r>
                          <w:rPr>
                            <w:color w:val="231F20"/>
                            <w:spacing w:val="-9"/>
                            <w:sz w:val="15"/>
                          </w:rPr>
                          <w:t> </w:t>
                        </w:r>
                        <w:r>
                          <w:rPr>
                            <w:color w:val="231F20"/>
                            <w:sz w:val="15"/>
                          </w:rPr>
                          <w:t>syndrome</w:t>
                        </w:r>
                        <w:r>
                          <w:rPr>
                            <w:color w:val="231F20"/>
                            <w:spacing w:val="-8"/>
                            <w:sz w:val="15"/>
                          </w:rPr>
                          <w:t> </w:t>
                        </w:r>
                        <w:r>
                          <w:rPr>
                            <w:color w:val="231F20"/>
                            <w:sz w:val="15"/>
                          </w:rPr>
                          <w:t>type</w:t>
                        </w:r>
                        <w:r>
                          <w:rPr>
                            <w:color w:val="231F20"/>
                            <w:spacing w:val="-8"/>
                            <w:sz w:val="15"/>
                          </w:rPr>
                          <w:t> </w:t>
                        </w:r>
                        <w:r>
                          <w:rPr>
                            <w:color w:val="231F20"/>
                            <w:spacing w:val="-10"/>
                            <w:sz w:val="15"/>
                          </w:rPr>
                          <w:t>2</w:t>
                        </w:r>
                      </w:p>
                    </w:txbxContent>
                  </v:textbox>
                  <v:fill type="solid"/>
                  <w10:wrap type="none"/>
                </v:shape>
                <v:rect style="position:absolute;left:6470;top:5902;width:4703;height:19" id="docshape651" filled="true" fillcolor="#231f20" stroked="false">
                  <v:fill type="solid"/>
                </v:rect>
                <v:shape style="position:absolute;left:7627;top:387;width:3546;height:542" type="#_x0000_t202" id="docshape652" filled="true" fillcolor="#231f20" stroked="false">
                  <v:textbox inset="0,0,0,0">
                    <w:txbxContent>
                      <w:p>
                        <w:pPr>
                          <w:spacing w:before="89"/>
                          <w:ind w:left="74" w:right="0" w:firstLine="0"/>
                          <w:jc w:val="left"/>
                          <w:rPr>
                            <w:color w:val="000000"/>
                            <w:sz w:val="16"/>
                          </w:rPr>
                        </w:pPr>
                        <w:r>
                          <w:rPr>
                            <w:color w:val="FFFFFF"/>
                            <w:w w:val="105"/>
                            <w:sz w:val="16"/>
                          </w:rPr>
                          <w:t>Differential Diagnosis of </w:t>
                        </w:r>
                        <w:r>
                          <w:rPr>
                            <w:color w:val="FFFFFF"/>
                            <w:w w:val="105"/>
                            <w:sz w:val="16"/>
                          </w:rPr>
                          <w:t>Demyelinating </w:t>
                        </w:r>
                        <w:r>
                          <w:rPr>
                            <w:color w:val="FFFFFF"/>
                            <w:spacing w:val="-2"/>
                            <w:w w:val="105"/>
                            <w:sz w:val="16"/>
                          </w:rPr>
                          <w:t>Disorders</w:t>
                        </w:r>
                      </w:p>
                    </w:txbxContent>
                  </v:textbox>
                  <v:fill type="solid"/>
                  <w10:wrap type="none"/>
                </v:shape>
                <v:shape style="position:absolute;left:6470;top:387;width:1139;height:542" type="#_x0000_t202" id="docshape653"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1</w:t>
                        </w:r>
                      </w:p>
                    </w:txbxContent>
                  </v:textbox>
                  <v:fill type="solid"/>
                  <w10:wrap type="none"/>
                </v:shape>
                <w10:wrap type="topAndBottom"/>
              </v:group>
            </w:pict>
          </mc:Fallback>
        </mc:AlternateContent>
      </w:r>
    </w:p>
    <w:p>
      <w:pPr>
        <w:pStyle w:val="BodyText"/>
        <w:spacing w:after="0"/>
        <w:rPr>
          <w:i/>
          <w:sz w:val="20"/>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161"/>
        <w:rPr>
          <w:i/>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9"/>
        <w:gridCol w:w="1676"/>
        <w:gridCol w:w="1865"/>
        <w:gridCol w:w="1740"/>
      </w:tblGrid>
      <w:tr>
        <w:trPr>
          <w:trHeight w:val="390" w:hRule="atLeast"/>
        </w:trPr>
        <w:tc>
          <w:tcPr>
            <w:tcW w:w="9740" w:type="dxa"/>
            <w:gridSpan w:val="4"/>
            <w:shd w:val="clear" w:color="auto" w:fill="231F20"/>
          </w:tcPr>
          <w:p>
            <w:pPr>
              <w:pStyle w:val="TableParagraph"/>
              <w:spacing w:before="89"/>
              <w:ind w:left="111"/>
              <w:rPr>
                <w:sz w:val="16"/>
              </w:rPr>
            </w:pPr>
            <w:r>
              <w:rPr>
                <w:b/>
                <w:color w:val="FFFFFF"/>
                <w:w w:val="105"/>
                <w:sz w:val="16"/>
              </w:rPr>
              <w:t>Table</w:t>
            </w:r>
            <w:r>
              <w:rPr>
                <w:b/>
                <w:color w:val="FFFFFF"/>
                <w:spacing w:val="8"/>
                <w:w w:val="105"/>
                <w:sz w:val="16"/>
              </w:rPr>
              <w:t> </w:t>
            </w:r>
            <w:r>
              <w:rPr>
                <w:b/>
                <w:color w:val="FFFFFF"/>
                <w:w w:val="105"/>
                <w:sz w:val="16"/>
              </w:rPr>
              <w:t>598-5</w:t>
            </w:r>
            <w:r>
              <w:rPr>
                <w:b/>
                <w:color w:val="FFFFFF"/>
                <w:spacing w:val="37"/>
                <w:w w:val="105"/>
                <w:sz w:val="16"/>
              </w:rPr>
              <w:t>  </w:t>
            </w:r>
            <w:r>
              <w:rPr>
                <w:color w:val="FFFFFF"/>
                <w:w w:val="105"/>
                <w:sz w:val="16"/>
              </w:rPr>
              <w:t>Autoimmune</w:t>
            </w:r>
            <w:r>
              <w:rPr>
                <w:color w:val="FFFFFF"/>
                <w:spacing w:val="5"/>
                <w:w w:val="105"/>
                <w:sz w:val="16"/>
              </w:rPr>
              <w:t> </w:t>
            </w:r>
            <w:r>
              <w:rPr>
                <w:color w:val="FFFFFF"/>
                <w:w w:val="105"/>
                <w:sz w:val="16"/>
              </w:rPr>
              <w:t>Encephalitis</w:t>
            </w:r>
            <w:r>
              <w:rPr>
                <w:color w:val="FFFFFF"/>
                <w:spacing w:val="4"/>
                <w:w w:val="105"/>
                <w:sz w:val="16"/>
              </w:rPr>
              <w:t> </w:t>
            </w:r>
            <w:r>
              <w:rPr>
                <w:color w:val="FFFFFF"/>
                <w:w w:val="105"/>
                <w:sz w:val="16"/>
              </w:rPr>
              <w:t>in</w:t>
            </w:r>
            <w:r>
              <w:rPr>
                <w:color w:val="FFFFFF"/>
                <w:spacing w:val="5"/>
                <w:w w:val="105"/>
                <w:sz w:val="16"/>
              </w:rPr>
              <w:t> </w:t>
            </w:r>
            <w:r>
              <w:rPr>
                <w:color w:val="FFFFFF"/>
                <w:spacing w:val="-2"/>
                <w:w w:val="105"/>
                <w:sz w:val="16"/>
              </w:rPr>
              <w:t>Children</w:t>
            </w:r>
          </w:p>
        </w:tc>
      </w:tr>
      <w:tr>
        <w:trPr>
          <w:trHeight w:val="408" w:hRule="atLeast"/>
        </w:trPr>
        <w:tc>
          <w:tcPr>
            <w:tcW w:w="4459" w:type="dxa"/>
            <w:tcBorders>
              <w:bottom w:val="single" w:sz="4" w:space="0" w:color="231F20"/>
            </w:tcBorders>
            <w:shd w:val="clear" w:color="auto" w:fill="E8F5F1"/>
          </w:tcPr>
          <w:p>
            <w:pPr>
              <w:pStyle w:val="TableParagraph"/>
              <w:tabs>
                <w:tab w:pos="3213" w:val="left" w:leader="none"/>
              </w:tabs>
              <w:spacing w:line="230" w:lineRule="auto" w:before="36"/>
              <w:ind w:left="1680" w:right="204" w:firstLine="1772"/>
              <w:rPr>
                <w:b/>
                <w:sz w:val="15"/>
              </w:rPr>
            </w:pPr>
            <w:r>
              <w:rPr>
                <w:b/>
                <w:color w:val="231F20"/>
                <w:spacing w:val="-2"/>
                <w:w w:val="115"/>
                <w:sz w:val="15"/>
              </w:rPr>
              <w:t>TUMOR MECHANISMS</w:t>
            </w:r>
            <w:r>
              <w:rPr>
                <w:b/>
                <w:color w:val="231F20"/>
                <w:sz w:val="15"/>
              </w:rPr>
              <w:tab/>
            </w:r>
            <w:r>
              <w:rPr>
                <w:b/>
                <w:color w:val="231F20"/>
                <w:spacing w:val="-4"/>
                <w:w w:val="115"/>
                <w:sz w:val="15"/>
              </w:rPr>
              <w:t>ASSOCIATION</w:t>
            </w:r>
          </w:p>
        </w:tc>
        <w:tc>
          <w:tcPr>
            <w:tcW w:w="1676" w:type="dxa"/>
            <w:tcBorders>
              <w:bottom w:val="single" w:sz="4" w:space="0" w:color="231F20"/>
            </w:tcBorders>
            <w:shd w:val="clear" w:color="auto" w:fill="E8F5F1"/>
          </w:tcPr>
          <w:p>
            <w:pPr>
              <w:pStyle w:val="TableParagraph"/>
              <w:spacing w:before="24"/>
              <w:rPr>
                <w:i/>
                <w:sz w:val="15"/>
              </w:rPr>
            </w:pPr>
          </w:p>
          <w:p>
            <w:pPr>
              <w:pStyle w:val="TableParagraph"/>
              <w:ind w:left="401"/>
              <w:rPr>
                <w:b/>
                <w:sz w:val="15"/>
              </w:rPr>
            </w:pPr>
            <w:r>
              <w:rPr>
                <w:b/>
                <w:color w:val="231F20"/>
                <w:spacing w:val="-2"/>
                <w:w w:val="115"/>
                <w:sz w:val="15"/>
              </w:rPr>
              <w:t>SYNDROME</w:t>
            </w:r>
          </w:p>
        </w:tc>
        <w:tc>
          <w:tcPr>
            <w:tcW w:w="1865" w:type="dxa"/>
            <w:tcBorders>
              <w:bottom w:val="single" w:sz="4" w:space="0" w:color="231F20"/>
            </w:tcBorders>
            <w:shd w:val="clear" w:color="auto" w:fill="E8F5F1"/>
          </w:tcPr>
          <w:p>
            <w:pPr>
              <w:pStyle w:val="TableParagraph"/>
              <w:spacing w:before="24"/>
              <w:rPr>
                <w:i/>
                <w:sz w:val="15"/>
              </w:rPr>
            </w:pPr>
          </w:p>
          <w:p>
            <w:pPr>
              <w:pStyle w:val="TableParagraph"/>
              <w:ind w:left="309"/>
              <w:rPr>
                <w:b/>
                <w:sz w:val="15"/>
              </w:rPr>
            </w:pPr>
            <w:r>
              <w:rPr>
                <w:b/>
                <w:color w:val="231F20"/>
                <w:w w:val="105"/>
                <w:sz w:val="15"/>
              </w:rPr>
              <w:t>ANCILLARY</w:t>
            </w:r>
            <w:r>
              <w:rPr>
                <w:b/>
                <w:color w:val="231F20"/>
                <w:spacing w:val="35"/>
                <w:w w:val="105"/>
                <w:sz w:val="15"/>
              </w:rPr>
              <w:t> </w:t>
            </w:r>
            <w:r>
              <w:rPr>
                <w:b/>
                <w:color w:val="231F20"/>
                <w:spacing w:val="-4"/>
                <w:w w:val="105"/>
                <w:sz w:val="15"/>
              </w:rPr>
              <w:t>TEST</w:t>
            </w:r>
          </w:p>
        </w:tc>
        <w:tc>
          <w:tcPr>
            <w:tcW w:w="1740" w:type="dxa"/>
            <w:tcBorders>
              <w:bottom w:val="single" w:sz="4" w:space="0" w:color="231F20"/>
            </w:tcBorders>
            <w:shd w:val="clear" w:color="auto" w:fill="E8F5F1"/>
          </w:tcPr>
          <w:p>
            <w:pPr>
              <w:pStyle w:val="TableParagraph"/>
              <w:spacing w:line="230" w:lineRule="auto" w:before="36"/>
              <w:ind w:left="437" w:hanging="42"/>
              <w:rPr>
                <w:b/>
                <w:sz w:val="15"/>
              </w:rPr>
            </w:pPr>
            <w:r>
              <w:rPr>
                <w:b/>
                <w:color w:val="231F20"/>
                <w:spacing w:val="-2"/>
                <w:sz w:val="15"/>
              </w:rPr>
              <w:t>TREATMENT/ </w:t>
            </w:r>
            <w:r>
              <w:rPr>
                <w:b/>
                <w:color w:val="231F20"/>
                <w:spacing w:val="-2"/>
                <w:w w:val="110"/>
                <w:sz w:val="15"/>
              </w:rPr>
              <w:t>PROGNOSIS</w:t>
            </w:r>
          </w:p>
        </w:tc>
      </w:tr>
      <w:tr>
        <w:trPr>
          <w:trHeight w:val="1642" w:hRule="atLeast"/>
        </w:trPr>
        <w:tc>
          <w:tcPr>
            <w:tcW w:w="4459" w:type="dxa"/>
            <w:tcBorders>
              <w:top w:val="single" w:sz="4" w:space="0" w:color="231F20"/>
            </w:tcBorders>
            <w:shd w:val="clear" w:color="auto" w:fill="E8F5F1"/>
          </w:tcPr>
          <w:p>
            <w:pPr>
              <w:pStyle w:val="TableParagraph"/>
              <w:spacing w:line="172" w:lineRule="exact" w:before="43"/>
              <w:ind w:left="74"/>
              <w:rPr>
                <w:sz w:val="15"/>
              </w:rPr>
            </w:pPr>
            <w:r>
              <w:rPr>
                <w:color w:val="231F20"/>
                <w:w w:val="115"/>
                <w:sz w:val="15"/>
              </w:rPr>
              <w:t>DEMONSTRATED</w:t>
            </w:r>
            <w:r>
              <w:rPr>
                <w:color w:val="231F20"/>
                <w:spacing w:val="5"/>
                <w:w w:val="115"/>
                <w:sz w:val="15"/>
              </w:rPr>
              <w:t> </w:t>
            </w:r>
            <w:r>
              <w:rPr>
                <w:color w:val="231F20"/>
                <w:w w:val="115"/>
                <w:sz w:val="15"/>
              </w:rPr>
              <w:t>IMMUNE</w:t>
            </w:r>
            <w:r>
              <w:rPr>
                <w:color w:val="231F20"/>
                <w:spacing w:val="5"/>
                <w:w w:val="115"/>
                <w:sz w:val="15"/>
              </w:rPr>
              <w:t> </w:t>
            </w:r>
            <w:r>
              <w:rPr>
                <w:color w:val="231F20"/>
                <w:spacing w:val="-2"/>
                <w:w w:val="115"/>
                <w:sz w:val="15"/>
              </w:rPr>
              <w:t>MECHANISMS</w:t>
            </w:r>
          </w:p>
          <w:p>
            <w:pPr>
              <w:pStyle w:val="TableParagraph"/>
              <w:tabs>
                <w:tab w:pos="1495" w:val="left" w:leader="none"/>
                <w:tab w:pos="1607" w:val="left" w:leader="none"/>
                <w:tab w:pos="3107" w:val="left" w:leader="none"/>
                <w:tab w:pos="3219" w:val="left" w:leader="none"/>
              </w:tabs>
              <w:spacing w:line="230" w:lineRule="auto" w:before="3"/>
              <w:ind w:left="186" w:right="240" w:hanging="112"/>
              <w:rPr>
                <w:sz w:val="15"/>
              </w:rPr>
            </w:pPr>
            <w:r>
              <w:rPr>
                <w:color w:val="231F20"/>
                <w:spacing w:val="-2"/>
                <w:w w:val="105"/>
                <w:sz w:val="15"/>
              </w:rPr>
              <w:t>Anti-NMDAR</w:t>
            </w:r>
            <w:r>
              <w:rPr>
                <w:color w:val="231F20"/>
                <w:sz w:val="15"/>
              </w:rPr>
              <w:tab/>
            </w:r>
            <w:r>
              <w:rPr>
                <w:color w:val="231F20"/>
                <w:w w:val="105"/>
                <w:sz w:val="15"/>
              </w:rPr>
              <w:t>Antibodies against</w:t>
            </w:r>
            <w:r>
              <w:rPr>
                <w:color w:val="231F20"/>
                <w:sz w:val="15"/>
              </w:rPr>
              <w:tab/>
            </w:r>
            <w:r>
              <w:rPr>
                <w:color w:val="231F20"/>
                <w:w w:val="105"/>
                <w:sz w:val="15"/>
              </w:rPr>
              <w:t>Age</w:t>
            </w:r>
            <w:r>
              <w:rPr>
                <w:color w:val="231F20"/>
                <w:spacing w:val="-12"/>
                <w:w w:val="105"/>
                <w:sz w:val="15"/>
              </w:rPr>
              <w:t> </w:t>
            </w:r>
            <w:r>
              <w:rPr>
                <w:color w:val="231F20"/>
                <w:w w:val="105"/>
                <w:sz w:val="15"/>
              </w:rPr>
              <w:t>and</w:t>
            </w:r>
            <w:r>
              <w:rPr>
                <w:color w:val="231F20"/>
                <w:spacing w:val="-12"/>
                <w:w w:val="105"/>
                <w:sz w:val="15"/>
              </w:rPr>
              <w:t> </w:t>
            </w:r>
            <w:r>
              <w:rPr>
                <w:color w:val="231F20"/>
                <w:w w:val="105"/>
                <w:sz w:val="15"/>
              </w:rPr>
              <w:t>gender </w:t>
            </w:r>
            <w:r>
              <w:rPr>
                <w:color w:val="231F20"/>
                <w:spacing w:val="-2"/>
                <w:sz w:val="15"/>
              </w:rPr>
              <w:t>encephalitis</w:t>
            </w:r>
            <w:r>
              <w:rPr>
                <w:color w:val="231F20"/>
                <w:sz w:val="15"/>
              </w:rPr>
              <w:tab/>
              <w:tab/>
              <w:t>NR1</w:t>
            </w:r>
            <w:r>
              <w:rPr>
                <w:color w:val="231F20"/>
                <w:spacing w:val="7"/>
                <w:sz w:val="15"/>
              </w:rPr>
              <w:t> </w:t>
            </w:r>
            <w:r>
              <w:rPr>
                <w:color w:val="231F20"/>
                <w:sz w:val="15"/>
              </w:rPr>
              <w:t>subunit</w:t>
            </w:r>
            <w:r>
              <w:rPr>
                <w:color w:val="231F20"/>
                <w:spacing w:val="8"/>
                <w:sz w:val="15"/>
              </w:rPr>
              <w:t> </w:t>
            </w:r>
            <w:r>
              <w:rPr>
                <w:color w:val="231F20"/>
                <w:spacing w:val="-7"/>
                <w:sz w:val="15"/>
              </w:rPr>
              <w:t>of</w:t>
            </w:r>
            <w:r>
              <w:rPr>
                <w:color w:val="231F20"/>
                <w:sz w:val="15"/>
              </w:rPr>
              <w:tab/>
              <w:tab/>
              <w:t>related:</w:t>
            </w:r>
            <w:r>
              <w:rPr>
                <w:color w:val="231F20"/>
                <w:spacing w:val="-5"/>
                <w:sz w:val="15"/>
              </w:rPr>
              <w:t> </w:t>
            </w:r>
            <w:r>
              <w:rPr>
                <w:color w:val="231F20"/>
                <w:sz w:val="15"/>
              </w:rPr>
              <w:t>41%</w:t>
            </w:r>
            <w:r>
              <w:rPr>
                <w:color w:val="231F20"/>
                <w:spacing w:val="-4"/>
                <w:sz w:val="15"/>
              </w:rPr>
              <w:t> </w:t>
            </w:r>
            <w:r>
              <w:rPr>
                <w:color w:val="231F20"/>
                <w:spacing w:val="-5"/>
                <w:sz w:val="15"/>
              </w:rPr>
              <w:t>in</w:t>
            </w:r>
          </w:p>
          <w:p>
            <w:pPr>
              <w:pStyle w:val="TableParagraph"/>
              <w:tabs>
                <w:tab w:pos="3219" w:val="left" w:leader="none"/>
              </w:tabs>
              <w:spacing w:line="166" w:lineRule="exact"/>
              <w:ind w:left="1607"/>
              <w:rPr>
                <w:sz w:val="15"/>
              </w:rPr>
            </w:pPr>
            <w:r>
              <w:rPr>
                <w:color w:val="231F20"/>
                <w:spacing w:val="4"/>
                <w:sz w:val="15"/>
              </w:rPr>
              <w:t>NMDAR,</w:t>
            </w:r>
            <w:r>
              <w:rPr>
                <w:color w:val="231F20"/>
                <w:spacing w:val="40"/>
                <w:sz w:val="15"/>
              </w:rPr>
              <w:t> </w:t>
            </w:r>
            <w:r>
              <w:rPr>
                <w:color w:val="231F20"/>
                <w:spacing w:val="-2"/>
                <w:sz w:val="15"/>
              </w:rPr>
              <w:t>disrupt</w:t>
            </w:r>
            <w:r>
              <w:rPr>
                <w:color w:val="231F20"/>
                <w:sz w:val="15"/>
              </w:rPr>
              <w:tab/>
            </w:r>
            <w:r>
              <w:rPr>
                <w:color w:val="231F20"/>
                <w:spacing w:val="-2"/>
                <w:sz w:val="15"/>
              </w:rPr>
              <w:t>females</w:t>
            </w:r>
            <w:r>
              <w:rPr>
                <w:color w:val="231F20"/>
                <w:spacing w:val="-1"/>
                <w:sz w:val="15"/>
              </w:rPr>
              <w:t> </w:t>
            </w:r>
            <w:r>
              <w:rPr>
                <w:color w:val="231F20"/>
                <w:spacing w:val="-2"/>
                <w:sz w:val="15"/>
              </w:rPr>
              <w:t>older</w:t>
            </w:r>
          </w:p>
          <w:p>
            <w:pPr>
              <w:pStyle w:val="TableParagraph"/>
              <w:tabs>
                <w:tab w:pos="3219" w:val="left" w:leader="none"/>
              </w:tabs>
              <w:spacing w:line="169" w:lineRule="exact"/>
              <w:ind w:left="1607"/>
              <w:rPr>
                <w:sz w:val="15"/>
              </w:rPr>
            </w:pPr>
            <w:r>
              <w:rPr>
                <w:color w:val="231F20"/>
                <w:spacing w:val="-2"/>
                <w:sz w:val="15"/>
              </w:rPr>
              <w:t>function</w:t>
            </w:r>
            <w:r>
              <w:rPr>
                <w:color w:val="231F20"/>
                <w:spacing w:val="-6"/>
                <w:sz w:val="15"/>
              </w:rPr>
              <w:t> </w:t>
            </w:r>
            <w:r>
              <w:rPr>
                <w:color w:val="231F20"/>
                <w:spacing w:val="-5"/>
                <w:sz w:val="15"/>
              </w:rPr>
              <w:t>by</w:t>
            </w:r>
            <w:r>
              <w:rPr>
                <w:color w:val="231F20"/>
                <w:sz w:val="15"/>
              </w:rPr>
              <w:tab/>
            </w:r>
            <w:r>
              <w:rPr>
                <w:color w:val="231F20"/>
                <w:spacing w:val="-2"/>
                <w:sz w:val="15"/>
              </w:rPr>
              <w:t>than</w:t>
            </w:r>
            <w:r>
              <w:rPr>
                <w:color w:val="231F20"/>
                <w:spacing w:val="-8"/>
                <w:sz w:val="15"/>
              </w:rPr>
              <w:t> </w:t>
            </w:r>
            <w:r>
              <w:rPr>
                <w:color w:val="231F20"/>
                <w:spacing w:val="-2"/>
                <w:sz w:val="15"/>
              </w:rPr>
              <w:t>12</w:t>
            </w:r>
            <w:r>
              <w:rPr>
                <w:color w:val="231F20"/>
                <w:spacing w:val="-7"/>
                <w:sz w:val="15"/>
              </w:rPr>
              <w:t> </w:t>
            </w:r>
            <w:r>
              <w:rPr>
                <w:color w:val="231F20"/>
                <w:spacing w:val="-2"/>
                <w:sz w:val="15"/>
              </w:rPr>
              <w:t>yr;</w:t>
            </w:r>
            <w:r>
              <w:rPr>
                <w:color w:val="231F20"/>
                <w:spacing w:val="-7"/>
                <w:sz w:val="15"/>
              </w:rPr>
              <w:t> </w:t>
            </w:r>
            <w:r>
              <w:rPr>
                <w:rFonts w:ascii="Cambria"/>
                <w:color w:val="231F20"/>
                <w:spacing w:val="-5"/>
                <w:sz w:val="15"/>
              </w:rPr>
              <w:t>&lt;</w:t>
            </w:r>
            <w:r>
              <w:rPr>
                <w:color w:val="231F20"/>
                <w:spacing w:val="-5"/>
                <w:sz w:val="15"/>
              </w:rPr>
              <w:t>6%</w:t>
            </w:r>
          </w:p>
          <w:p>
            <w:pPr>
              <w:pStyle w:val="TableParagraph"/>
              <w:tabs>
                <w:tab w:pos="3219" w:val="left" w:leader="none"/>
              </w:tabs>
              <w:spacing w:line="230" w:lineRule="auto" w:before="3"/>
              <w:ind w:left="1607" w:right="99"/>
              <w:rPr>
                <w:sz w:val="15"/>
              </w:rPr>
            </w:pPr>
            <w:r>
              <w:rPr>
                <w:color w:val="231F20"/>
                <w:sz w:val="15"/>
              </w:rPr>
              <w:t>crosslinking and</w:t>
              <w:tab/>
              <w:t>in girls younger internalization of</w:t>
              <w:tab/>
              <w:t>than 12 yr. No </w:t>
            </w:r>
            <w:r>
              <w:rPr>
                <w:color w:val="231F20"/>
                <w:spacing w:val="-2"/>
                <w:sz w:val="15"/>
              </w:rPr>
              <w:t>receptors</w:t>
            </w:r>
            <w:r>
              <w:rPr>
                <w:color w:val="231F20"/>
                <w:sz w:val="15"/>
              </w:rPr>
              <w:tab/>
            </w:r>
            <w:r>
              <w:rPr>
                <w:color w:val="231F20"/>
                <w:spacing w:val="-2"/>
                <w:sz w:val="15"/>
              </w:rPr>
              <w:t>tumors</w:t>
            </w:r>
            <w:r>
              <w:rPr>
                <w:color w:val="231F20"/>
                <w:spacing w:val="-10"/>
                <w:sz w:val="15"/>
              </w:rPr>
              <w:t> </w:t>
            </w:r>
            <w:r>
              <w:rPr>
                <w:color w:val="231F20"/>
                <w:spacing w:val="-2"/>
                <w:sz w:val="15"/>
              </w:rPr>
              <w:t>identified</w:t>
            </w:r>
          </w:p>
          <w:p>
            <w:pPr>
              <w:pStyle w:val="TableParagraph"/>
              <w:spacing w:line="171" w:lineRule="exact"/>
              <w:ind w:left="3219"/>
              <w:rPr>
                <w:sz w:val="15"/>
              </w:rPr>
            </w:pPr>
            <w:r>
              <w:rPr>
                <w:color w:val="231F20"/>
                <w:w w:val="105"/>
                <w:sz w:val="15"/>
              </w:rPr>
              <w:t>in</w:t>
            </w:r>
            <w:r>
              <w:rPr>
                <w:color w:val="231F20"/>
                <w:spacing w:val="-8"/>
                <w:w w:val="105"/>
                <w:sz w:val="15"/>
              </w:rPr>
              <w:t> </w:t>
            </w:r>
            <w:r>
              <w:rPr>
                <w:color w:val="231F20"/>
                <w:w w:val="105"/>
                <w:sz w:val="15"/>
              </w:rPr>
              <w:t>young</w:t>
            </w:r>
            <w:r>
              <w:rPr>
                <w:color w:val="231F20"/>
                <w:spacing w:val="-7"/>
                <w:w w:val="105"/>
                <w:sz w:val="15"/>
              </w:rPr>
              <w:t> </w:t>
            </w:r>
            <w:r>
              <w:rPr>
                <w:color w:val="231F20"/>
                <w:spacing w:val="-4"/>
                <w:w w:val="105"/>
                <w:sz w:val="15"/>
              </w:rPr>
              <w:t>boys</w:t>
            </w:r>
          </w:p>
        </w:tc>
        <w:tc>
          <w:tcPr>
            <w:tcW w:w="1676" w:type="dxa"/>
            <w:tcBorders>
              <w:top w:val="single" w:sz="4" w:space="0" w:color="231F20"/>
            </w:tcBorders>
            <w:shd w:val="clear" w:color="auto" w:fill="E8F5F1"/>
          </w:tcPr>
          <w:p>
            <w:pPr>
              <w:pStyle w:val="TableParagraph"/>
              <w:spacing w:before="44"/>
              <w:rPr>
                <w:i/>
                <w:sz w:val="15"/>
              </w:rPr>
            </w:pPr>
          </w:p>
          <w:p>
            <w:pPr>
              <w:pStyle w:val="TableParagraph"/>
              <w:spacing w:line="230" w:lineRule="auto"/>
              <w:ind w:left="213" w:right="105" w:hanging="112"/>
              <w:rPr>
                <w:sz w:val="15"/>
              </w:rPr>
            </w:pPr>
            <w:r>
              <w:rPr>
                <w:color w:val="231F20"/>
                <w:spacing w:val="-2"/>
                <w:sz w:val="15"/>
              </w:rPr>
              <w:t>Psychiatric</w:t>
            </w:r>
            <w:r>
              <w:rPr>
                <w:color w:val="231F20"/>
                <w:spacing w:val="-10"/>
                <w:sz w:val="15"/>
              </w:rPr>
              <w:t> </w:t>
            </w:r>
            <w:r>
              <w:rPr>
                <w:color w:val="231F20"/>
                <w:spacing w:val="-2"/>
                <w:sz w:val="15"/>
              </w:rPr>
              <w:t>symptoms, </w:t>
            </w:r>
            <w:r>
              <w:rPr>
                <w:color w:val="231F20"/>
                <w:sz w:val="15"/>
              </w:rPr>
              <w:t>seizures, orofacial dyskinesias and other abnormal </w:t>
            </w:r>
            <w:r>
              <w:rPr>
                <w:color w:val="231F20"/>
                <w:spacing w:val="-2"/>
                <w:sz w:val="15"/>
              </w:rPr>
              <w:t>movements, autonomic dysfunction</w:t>
            </w:r>
          </w:p>
        </w:tc>
        <w:tc>
          <w:tcPr>
            <w:tcW w:w="1865" w:type="dxa"/>
            <w:vMerge w:val="restart"/>
            <w:tcBorders>
              <w:top w:val="single" w:sz="4" w:space="0" w:color="231F20"/>
              <w:bottom w:val="single" w:sz="4" w:space="0" w:color="FFFFFF"/>
            </w:tcBorders>
            <w:shd w:val="clear" w:color="auto" w:fill="E8F5F1"/>
          </w:tcPr>
          <w:p>
            <w:pPr>
              <w:pStyle w:val="TableParagraph"/>
              <w:spacing w:before="44"/>
              <w:rPr>
                <w:i/>
                <w:sz w:val="15"/>
              </w:rPr>
            </w:pPr>
          </w:p>
          <w:p>
            <w:pPr>
              <w:pStyle w:val="TableParagraph"/>
              <w:spacing w:line="230" w:lineRule="auto"/>
              <w:ind w:left="213" w:right="130" w:hanging="112"/>
              <w:rPr>
                <w:sz w:val="15"/>
              </w:rPr>
            </w:pPr>
            <w:r>
              <w:rPr>
                <w:color w:val="231F20"/>
                <w:sz w:val="15"/>
              </w:rPr>
              <w:t>EEG: almost always abnormal;</w:t>
            </w:r>
            <w:r>
              <w:rPr>
                <w:color w:val="231F20"/>
                <w:spacing w:val="-12"/>
                <w:sz w:val="15"/>
              </w:rPr>
              <w:t> </w:t>
            </w:r>
            <w:r>
              <w:rPr>
                <w:color w:val="231F20"/>
                <w:sz w:val="15"/>
              </w:rPr>
              <w:t>it</w:t>
            </w:r>
            <w:r>
              <w:rPr>
                <w:color w:val="231F20"/>
                <w:spacing w:val="-11"/>
                <w:sz w:val="15"/>
              </w:rPr>
              <w:t> </w:t>
            </w:r>
            <w:r>
              <w:rPr>
                <w:color w:val="231F20"/>
                <w:sz w:val="15"/>
              </w:rPr>
              <w:t>may</w:t>
            </w:r>
            <w:r>
              <w:rPr>
                <w:color w:val="231F20"/>
                <w:spacing w:val="-11"/>
                <w:sz w:val="15"/>
              </w:rPr>
              <w:t> </w:t>
            </w:r>
            <w:r>
              <w:rPr>
                <w:color w:val="231F20"/>
                <w:sz w:val="15"/>
              </w:rPr>
              <w:t>show </w:t>
            </w:r>
            <w:r>
              <w:rPr>
                <w:color w:val="231F20"/>
                <w:spacing w:val="-2"/>
                <w:sz w:val="15"/>
              </w:rPr>
              <w:t>“extreme</w:t>
            </w:r>
            <w:r>
              <w:rPr>
                <w:color w:val="231F20"/>
                <w:spacing w:val="-8"/>
                <w:sz w:val="15"/>
              </w:rPr>
              <w:t> </w:t>
            </w:r>
            <w:r>
              <w:rPr>
                <w:color w:val="231F20"/>
                <w:spacing w:val="-2"/>
                <w:sz w:val="15"/>
              </w:rPr>
              <w:t>delta</w:t>
            </w:r>
            <w:r>
              <w:rPr>
                <w:color w:val="231F20"/>
                <w:spacing w:val="-8"/>
                <w:sz w:val="15"/>
              </w:rPr>
              <w:t> </w:t>
            </w:r>
            <w:r>
              <w:rPr>
                <w:color w:val="231F20"/>
                <w:spacing w:val="-2"/>
                <w:sz w:val="15"/>
              </w:rPr>
              <w:t>brush” pattern</w:t>
            </w:r>
          </w:p>
          <w:p>
            <w:pPr>
              <w:pStyle w:val="TableParagraph"/>
              <w:spacing w:line="230" w:lineRule="auto" w:before="3"/>
              <w:ind w:left="213" w:right="279" w:hanging="112"/>
              <w:rPr>
                <w:sz w:val="15"/>
              </w:rPr>
            </w:pPr>
            <w:r>
              <w:rPr>
                <w:color w:val="231F20"/>
                <w:sz w:val="15"/>
              </w:rPr>
              <w:t>Brain</w:t>
            </w:r>
            <w:r>
              <w:rPr>
                <w:color w:val="231F20"/>
                <w:spacing w:val="-12"/>
                <w:sz w:val="15"/>
              </w:rPr>
              <w:t> </w:t>
            </w:r>
            <w:r>
              <w:rPr>
                <w:color w:val="231F20"/>
                <w:sz w:val="15"/>
              </w:rPr>
              <w:t>MRI:</w:t>
            </w:r>
            <w:r>
              <w:rPr>
                <w:color w:val="231F20"/>
                <w:spacing w:val="-11"/>
                <w:sz w:val="15"/>
              </w:rPr>
              <w:t> </w:t>
            </w:r>
            <w:r>
              <w:rPr>
                <w:color w:val="231F20"/>
                <w:sz w:val="15"/>
              </w:rPr>
              <w:t>nonspecific findings in ~35%</w:t>
            </w:r>
          </w:p>
          <w:p>
            <w:pPr>
              <w:pStyle w:val="TableParagraph"/>
              <w:spacing w:line="230" w:lineRule="auto" w:before="1"/>
              <w:ind w:left="213" w:hanging="112"/>
              <w:rPr>
                <w:sz w:val="15"/>
              </w:rPr>
            </w:pPr>
            <w:r>
              <w:rPr>
                <w:color w:val="231F20"/>
                <w:sz w:val="15"/>
              </w:rPr>
              <w:t>CSF:</w:t>
            </w:r>
            <w:r>
              <w:rPr>
                <w:color w:val="231F20"/>
                <w:spacing w:val="-12"/>
                <w:sz w:val="15"/>
              </w:rPr>
              <w:t> </w:t>
            </w:r>
            <w:r>
              <w:rPr>
                <w:color w:val="231F20"/>
                <w:sz w:val="15"/>
              </w:rPr>
              <w:t>pleocytosis</w:t>
            </w:r>
            <w:r>
              <w:rPr>
                <w:color w:val="231F20"/>
                <w:spacing w:val="-11"/>
                <w:sz w:val="15"/>
              </w:rPr>
              <w:t> </w:t>
            </w:r>
            <w:r>
              <w:rPr>
                <w:color w:val="231F20"/>
                <w:sz w:val="15"/>
              </w:rPr>
              <w:t>and/or increased protein in</w:t>
            </w:r>
          </w:p>
          <w:p>
            <w:pPr>
              <w:pStyle w:val="TableParagraph"/>
              <w:spacing w:line="170" w:lineRule="exact"/>
              <w:ind w:left="213"/>
              <w:rPr>
                <w:sz w:val="15"/>
              </w:rPr>
            </w:pPr>
            <w:r>
              <w:rPr>
                <w:rFonts w:ascii="Cambria"/>
                <w:color w:val="231F20"/>
                <w:spacing w:val="-4"/>
                <w:w w:val="110"/>
                <w:sz w:val="15"/>
              </w:rPr>
              <w:t>&gt;</w:t>
            </w:r>
            <w:r>
              <w:rPr>
                <w:color w:val="231F20"/>
                <w:spacing w:val="-4"/>
                <w:w w:val="110"/>
                <w:sz w:val="15"/>
              </w:rPr>
              <w:t>80%</w:t>
            </w:r>
          </w:p>
          <w:p>
            <w:pPr>
              <w:pStyle w:val="TableParagraph"/>
              <w:spacing w:line="230" w:lineRule="auto" w:before="20"/>
              <w:ind w:left="213" w:right="130" w:hanging="112"/>
              <w:rPr>
                <w:sz w:val="15"/>
              </w:rPr>
            </w:pPr>
            <w:r>
              <w:rPr>
                <w:color w:val="231F20"/>
                <w:sz w:val="15"/>
              </w:rPr>
              <w:t>EEG: temporal lobe </w:t>
            </w:r>
            <w:r>
              <w:rPr>
                <w:color w:val="231F20"/>
                <w:spacing w:val="-4"/>
                <w:sz w:val="15"/>
              </w:rPr>
              <w:t>epileptic</w:t>
            </w:r>
            <w:r>
              <w:rPr>
                <w:color w:val="231F20"/>
                <w:spacing w:val="-7"/>
                <w:sz w:val="15"/>
              </w:rPr>
              <w:t> </w:t>
            </w:r>
            <w:r>
              <w:rPr>
                <w:color w:val="231F20"/>
                <w:spacing w:val="-4"/>
                <w:sz w:val="15"/>
              </w:rPr>
              <w:t>activity;</w:t>
            </w:r>
            <w:r>
              <w:rPr>
                <w:color w:val="231F20"/>
                <w:spacing w:val="-7"/>
                <w:sz w:val="15"/>
              </w:rPr>
              <w:t> </w:t>
            </w:r>
            <w:r>
              <w:rPr>
                <w:color w:val="231F20"/>
                <w:spacing w:val="-4"/>
                <w:sz w:val="15"/>
              </w:rPr>
              <w:t>focal </w:t>
            </w:r>
            <w:r>
              <w:rPr>
                <w:color w:val="231F20"/>
                <w:sz w:val="15"/>
              </w:rPr>
              <w:t>or</w:t>
            </w:r>
            <w:r>
              <w:rPr>
                <w:color w:val="231F20"/>
                <w:spacing w:val="-4"/>
                <w:sz w:val="15"/>
              </w:rPr>
              <w:t> </w:t>
            </w:r>
            <w:r>
              <w:rPr>
                <w:color w:val="231F20"/>
                <w:sz w:val="15"/>
              </w:rPr>
              <w:t>generalized</w:t>
            </w:r>
            <w:r>
              <w:rPr>
                <w:color w:val="231F20"/>
                <w:spacing w:val="-4"/>
                <w:sz w:val="15"/>
              </w:rPr>
              <w:t> </w:t>
            </w:r>
            <w:r>
              <w:rPr>
                <w:color w:val="231F20"/>
                <w:spacing w:val="-2"/>
                <w:sz w:val="15"/>
              </w:rPr>
              <w:t>slowing</w:t>
            </w:r>
          </w:p>
          <w:p>
            <w:pPr>
              <w:pStyle w:val="TableParagraph"/>
              <w:spacing w:line="230" w:lineRule="auto" w:before="2"/>
              <w:ind w:left="213" w:hanging="112"/>
              <w:rPr>
                <w:sz w:val="15"/>
              </w:rPr>
            </w:pPr>
            <w:r>
              <w:rPr>
                <w:color w:val="231F20"/>
                <w:sz w:val="15"/>
              </w:rPr>
              <w:t>MRI: increased T2 and FLAIR</w:t>
            </w:r>
            <w:r>
              <w:rPr>
                <w:color w:val="231F20"/>
                <w:spacing w:val="-12"/>
                <w:sz w:val="15"/>
              </w:rPr>
              <w:t> </w:t>
            </w:r>
            <w:r>
              <w:rPr>
                <w:color w:val="231F20"/>
                <w:sz w:val="15"/>
              </w:rPr>
              <w:t>signal</w:t>
            </w:r>
            <w:r>
              <w:rPr>
                <w:color w:val="231F20"/>
                <w:spacing w:val="-11"/>
                <w:sz w:val="15"/>
              </w:rPr>
              <w:t> </w:t>
            </w:r>
            <w:r>
              <w:rPr>
                <w:color w:val="231F20"/>
                <w:sz w:val="15"/>
              </w:rPr>
              <w:t>in</w:t>
            </w:r>
            <w:r>
              <w:rPr>
                <w:color w:val="231F20"/>
                <w:spacing w:val="-11"/>
                <w:sz w:val="15"/>
              </w:rPr>
              <w:t> </w:t>
            </w:r>
            <w:r>
              <w:rPr>
                <w:color w:val="231F20"/>
                <w:sz w:val="15"/>
              </w:rPr>
              <w:t>limbic </w:t>
            </w:r>
            <w:r>
              <w:rPr>
                <w:color w:val="231F20"/>
                <w:spacing w:val="-2"/>
                <w:sz w:val="15"/>
              </w:rPr>
              <w:t>region</w:t>
            </w:r>
          </w:p>
          <w:p>
            <w:pPr>
              <w:pStyle w:val="TableParagraph"/>
              <w:spacing w:line="230" w:lineRule="auto" w:before="2"/>
              <w:ind w:left="213" w:hanging="112"/>
              <w:rPr>
                <w:sz w:val="15"/>
              </w:rPr>
            </w:pPr>
            <w:r>
              <w:rPr>
                <w:color w:val="231F20"/>
                <w:sz w:val="15"/>
              </w:rPr>
              <w:t>CSF:</w:t>
            </w:r>
            <w:r>
              <w:rPr>
                <w:color w:val="231F20"/>
                <w:spacing w:val="-8"/>
                <w:sz w:val="15"/>
              </w:rPr>
              <w:t> </w:t>
            </w:r>
            <w:r>
              <w:rPr>
                <w:color w:val="231F20"/>
                <w:sz w:val="15"/>
              </w:rPr>
              <w:t>pleocytosis</w:t>
            </w:r>
            <w:r>
              <w:rPr>
                <w:color w:val="231F20"/>
                <w:spacing w:val="-8"/>
                <w:sz w:val="15"/>
              </w:rPr>
              <w:t> </w:t>
            </w:r>
            <w:r>
              <w:rPr>
                <w:color w:val="231F20"/>
                <w:sz w:val="15"/>
              </w:rPr>
              <w:t>and increased</w:t>
            </w:r>
            <w:r>
              <w:rPr>
                <w:color w:val="231F20"/>
                <w:spacing w:val="-6"/>
                <w:sz w:val="15"/>
              </w:rPr>
              <w:t> </w:t>
            </w:r>
            <w:r>
              <w:rPr>
                <w:color w:val="231F20"/>
                <w:spacing w:val="-2"/>
                <w:sz w:val="15"/>
              </w:rPr>
              <w:t>proteins</w:t>
            </w:r>
          </w:p>
        </w:tc>
        <w:tc>
          <w:tcPr>
            <w:tcW w:w="1740" w:type="dxa"/>
            <w:vMerge w:val="restart"/>
            <w:tcBorders>
              <w:top w:val="single" w:sz="4" w:space="0" w:color="231F20"/>
              <w:bottom w:val="single" w:sz="4" w:space="0" w:color="FFFFFF"/>
            </w:tcBorders>
            <w:shd w:val="clear" w:color="auto" w:fill="E8F5F1"/>
          </w:tcPr>
          <w:p>
            <w:pPr>
              <w:pStyle w:val="TableParagraph"/>
              <w:spacing w:before="44"/>
              <w:rPr>
                <w:i/>
                <w:sz w:val="15"/>
              </w:rPr>
            </w:pPr>
          </w:p>
          <w:p>
            <w:pPr>
              <w:pStyle w:val="TableParagraph"/>
              <w:spacing w:line="230" w:lineRule="auto"/>
              <w:ind w:left="213" w:hanging="112"/>
              <w:rPr>
                <w:sz w:val="15"/>
              </w:rPr>
            </w:pPr>
            <w:r>
              <w:rPr>
                <w:color w:val="231F20"/>
                <w:sz w:val="15"/>
              </w:rPr>
              <w:t>80%</w:t>
            </w:r>
            <w:r>
              <w:rPr>
                <w:color w:val="231F20"/>
                <w:spacing w:val="-12"/>
                <w:sz w:val="15"/>
              </w:rPr>
              <w:t> </w:t>
            </w:r>
            <w:r>
              <w:rPr>
                <w:color w:val="231F20"/>
                <w:sz w:val="15"/>
              </w:rPr>
              <w:t>complete</w:t>
            </w:r>
            <w:r>
              <w:rPr>
                <w:color w:val="231F20"/>
                <w:spacing w:val="-11"/>
                <w:sz w:val="15"/>
              </w:rPr>
              <w:t> </w:t>
            </w:r>
            <w:r>
              <w:rPr>
                <w:color w:val="231F20"/>
                <w:sz w:val="15"/>
              </w:rPr>
              <w:t>recovery after</w:t>
            </w:r>
            <w:r>
              <w:rPr>
                <w:color w:val="231F20"/>
                <w:spacing w:val="-12"/>
                <w:sz w:val="15"/>
              </w:rPr>
              <w:t> </w:t>
            </w:r>
            <w:r>
              <w:rPr>
                <w:color w:val="231F20"/>
                <w:sz w:val="15"/>
              </w:rPr>
              <w:t>immunotherapy and tumor removal</w:t>
            </w:r>
          </w:p>
          <w:p>
            <w:pPr>
              <w:pStyle w:val="TableParagraph"/>
              <w:spacing w:line="230" w:lineRule="auto" w:before="2"/>
              <w:ind w:left="213" w:right="121"/>
              <w:rPr>
                <w:sz w:val="15"/>
              </w:rPr>
            </w:pPr>
            <w:r>
              <w:rPr>
                <w:color w:val="231F20"/>
                <w:sz w:val="15"/>
              </w:rPr>
              <w:t>(if appropriate). Frequently second- line drug</w:t>
            </w:r>
            <w:r>
              <w:rPr>
                <w:color w:val="0080AC"/>
                <w:sz w:val="15"/>
              </w:rPr>
              <w:t>* </w:t>
            </w:r>
            <w:r>
              <w:rPr>
                <w:color w:val="231F20"/>
                <w:sz w:val="15"/>
              </w:rPr>
              <w:t>immunotherapy is </w:t>
            </w:r>
            <w:r>
              <w:rPr>
                <w:color w:val="231F20"/>
                <w:spacing w:val="-2"/>
                <w:sz w:val="15"/>
              </w:rPr>
              <w:t>required.</w:t>
            </w:r>
            <w:r>
              <w:rPr>
                <w:color w:val="231F20"/>
                <w:spacing w:val="-10"/>
                <w:sz w:val="15"/>
              </w:rPr>
              <w:t> </w:t>
            </w:r>
            <w:r>
              <w:rPr>
                <w:color w:val="231F20"/>
                <w:spacing w:val="-2"/>
                <w:sz w:val="15"/>
              </w:rPr>
              <w:t>Relapses</w:t>
            </w:r>
            <w:r>
              <w:rPr>
                <w:color w:val="231F20"/>
                <w:spacing w:val="-9"/>
                <w:sz w:val="15"/>
              </w:rPr>
              <w:t> </w:t>
            </w:r>
            <w:r>
              <w:rPr>
                <w:color w:val="231F20"/>
                <w:spacing w:val="-2"/>
                <w:sz w:val="15"/>
              </w:rPr>
              <w:t>in</w:t>
            </w:r>
          </w:p>
          <w:p>
            <w:pPr>
              <w:pStyle w:val="TableParagraph"/>
              <w:spacing w:line="232" w:lineRule="auto" w:before="2"/>
              <w:ind w:left="101" w:right="352" w:firstLine="111"/>
              <w:jc w:val="right"/>
              <w:rPr>
                <w:sz w:val="15"/>
              </w:rPr>
            </w:pPr>
            <w:r>
              <w:rPr>
                <w:color w:val="231F20"/>
                <w:sz w:val="15"/>
              </w:rPr>
              <w:t>~15% of patients If</w:t>
            </w:r>
            <w:r>
              <w:rPr>
                <w:color w:val="231F20"/>
                <w:spacing w:val="-12"/>
                <w:sz w:val="15"/>
              </w:rPr>
              <w:t> </w:t>
            </w:r>
            <w:r>
              <w:rPr>
                <w:color w:val="231F20"/>
                <w:sz w:val="15"/>
              </w:rPr>
              <w:t>autoantigens</w:t>
            </w:r>
            <w:r>
              <w:rPr>
                <w:color w:val="231F20"/>
                <w:spacing w:val="-11"/>
                <w:sz w:val="15"/>
              </w:rPr>
              <w:t> </w:t>
            </w:r>
            <w:r>
              <w:rPr>
                <w:color w:val="231F20"/>
                <w:sz w:val="15"/>
              </w:rPr>
              <w:t>are intracellular, poor</w:t>
            </w:r>
          </w:p>
          <w:p>
            <w:pPr>
              <w:pStyle w:val="TableParagraph"/>
              <w:spacing w:line="230" w:lineRule="auto"/>
              <w:ind w:left="213"/>
              <w:rPr>
                <w:sz w:val="15"/>
              </w:rPr>
            </w:pPr>
            <w:r>
              <w:rPr>
                <w:color w:val="231F20"/>
                <w:sz w:val="15"/>
              </w:rPr>
              <w:t>response to </w:t>
            </w:r>
            <w:r>
              <w:rPr>
                <w:color w:val="231F20"/>
                <w:spacing w:val="-2"/>
                <w:sz w:val="15"/>
              </w:rPr>
              <w:t>immunotherapy</w:t>
            </w:r>
          </w:p>
          <w:p>
            <w:pPr>
              <w:pStyle w:val="TableParagraph"/>
              <w:spacing w:line="230" w:lineRule="auto" w:before="4"/>
              <w:ind w:left="213" w:hanging="112"/>
              <w:rPr>
                <w:sz w:val="15"/>
              </w:rPr>
            </w:pPr>
            <w:r>
              <w:rPr>
                <w:color w:val="231F20"/>
                <w:sz w:val="15"/>
              </w:rPr>
              <w:t>If</w:t>
            </w:r>
            <w:r>
              <w:rPr>
                <w:color w:val="231F20"/>
                <w:spacing w:val="-12"/>
                <w:sz w:val="15"/>
              </w:rPr>
              <w:t> </w:t>
            </w:r>
            <w:r>
              <w:rPr>
                <w:color w:val="231F20"/>
                <w:sz w:val="15"/>
              </w:rPr>
              <w:t>autoantigens</w:t>
            </w:r>
            <w:r>
              <w:rPr>
                <w:color w:val="231F20"/>
                <w:spacing w:val="-11"/>
                <w:sz w:val="15"/>
              </w:rPr>
              <w:t> </w:t>
            </w:r>
            <w:r>
              <w:rPr>
                <w:color w:val="231F20"/>
                <w:sz w:val="15"/>
              </w:rPr>
              <w:t>are</w:t>
            </w:r>
            <w:r>
              <w:rPr>
                <w:color w:val="231F20"/>
                <w:spacing w:val="-11"/>
                <w:sz w:val="15"/>
              </w:rPr>
              <w:t> </w:t>
            </w:r>
            <w:r>
              <w:rPr>
                <w:color w:val="231F20"/>
                <w:sz w:val="15"/>
              </w:rPr>
              <w:t>on the cell surface,</w:t>
            </w:r>
          </w:p>
          <w:p>
            <w:pPr>
              <w:pStyle w:val="TableParagraph"/>
              <w:spacing w:line="230" w:lineRule="auto" w:before="2"/>
              <w:ind w:left="213" w:right="121"/>
              <w:rPr>
                <w:sz w:val="15"/>
              </w:rPr>
            </w:pPr>
            <w:r>
              <w:rPr>
                <w:color w:val="231F20"/>
                <w:sz w:val="15"/>
              </w:rPr>
              <w:t>~80% are </w:t>
            </w:r>
            <w:r>
              <w:rPr>
                <w:color w:val="231F20"/>
                <w:sz w:val="15"/>
              </w:rPr>
              <w:t>responsive to immunotherapy</w:t>
            </w:r>
          </w:p>
        </w:tc>
      </w:tr>
      <w:tr>
        <w:trPr>
          <w:trHeight w:val="1478" w:hRule="atLeast"/>
        </w:trPr>
        <w:tc>
          <w:tcPr>
            <w:tcW w:w="4459" w:type="dxa"/>
            <w:tcBorders>
              <w:bottom w:val="single" w:sz="4" w:space="0" w:color="FFFFFF"/>
            </w:tcBorders>
            <w:shd w:val="clear" w:color="auto" w:fill="E8F5F1"/>
          </w:tcPr>
          <w:p>
            <w:pPr>
              <w:pStyle w:val="TableParagraph"/>
              <w:tabs>
                <w:tab w:pos="1495" w:val="left" w:leader="none"/>
                <w:tab w:pos="1607" w:val="left" w:leader="none"/>
                <w:tab w:pos="3107" w:val="left" w:leader="none"/>
                <w:tab w:pos="3219" w:val="left" w:leader="none"/>
              </w:tabs>
              <w:spacing w:line="206" w:lineRule="auto" w:before="92"/>
              <w:ind w:left="186" w:right="219" w:hanging="112"/>
              <w:rPr>
                <w:sz w:val="15"/>
              </w:rPr>
            </w:pPr>
            <w:r>
              <w:rPr>
                <w:color w:val="231F20"/>
                <w:spacing w:val="-2"/>
                <w:sz w:val="15"/>
              </w:rPr>
              <w:t>Limbic</w:t>
            </w:r>
            <w:r>
              <w:rPr>
                <w:color w:val="231F20"/>
                <w:sz w:val="15"/>
              </w:rPr>
              <w:tab/>
            </w:r>
            <w:r>
              <w:rPr>
                <w:color w:val="231F20"/>
                <w:position w:val="2"/>
                <w:sz w:val="15"/>
              </w:rPr>
              <w:t>Antibodies against</w:t>
              <w:tab/>
            </w:r>
            <w:r>
              <w:rPr>
                <w:color w:val="231F20"/>
                <w:spacing w:val="-4"/>
                <w:sz w:val="15"/>
              </w:rPr>
              <w:t>Extremely</w:t>
            </w:r>
            <w:r>
              <w:rPr>
                <w:color w:val="231F20"/>
                <w:spacing w:val="-8"/>
                <w:sz w:val="15"/>
              </w:rPr>
              <w:t> </w:t>
            </w:r>
            <w:r>
              <w:rPr>
                <w:color w:val="231F20"/>
                <w:spacing w:val="-4"/>
                <w:sz w:val="15"/>
              </w:rPr>
              <w:t>rare</w:t>
            </w:r>
            <w:r>
              <w:rPr>
                <w:color w:val="231F20"/>
                <w:spacing w:val="-7"/>
                <w:sz w:val="15"/>
              </w:rPr>
              <w:t> </w:t>
            </w:r>
            <w:r>
              <w:rPr>
                <w:color w:val="231F20"/>
                <w:spacing w:val="-4"/>
                <w:sz w:val="15"/>
              </w:rPr>
              <w:t>in </w:t>
            </w:r>
            <w:r>
              <w:rPr>
                <w:color w:val="231F20"/>
                <w:spacing w:val="-2"/>
                <w:sz w:val="15"/>
              </w:rPr>
              <w:t>encephalitis</w:t>
            </w:r>
            <w:r>
              <w:rPr>
                <w:color w:val="231F20"/>
                <w:sz w:val="15"/>
              </w:rPr>
              <w:tab/>
              <w:tab/>
            </w:r>
            <w:r>
              <w:rPr>
                <w:color w:val="231F20"/>
                <w:spacing w:val="-2"/>
                <w:position w:val="2"/>
                <w:sz w:val="15"/>
              </w:rPr>
              <w:t>intraneuronal</w:t>
            </w:r>
            <w:r>
              <w:rPr>
                <w:color w:val="231F20"/>
                <w:position w:val="2"/>
                <w:sz w:val="15"/>
              </w:rPr>
              <w:tab/>
              <w:tab/>
            </w:r>
            <w:r>
              <w:rPr>
                <w:color w:val="231F20"/>
                <w:sz w:val="15"/>
              </w:rPr>
              <w:t>children (see</w:t>
            </w:r>
          </w:p>
          <w:p>
            <w:pPr>
              <w:pStyle w:val="TableParagraph"/>
              <w:tabs>
                <w:tab w:pos="3219" w:val="left" w:leader="none"/>
              </w:tabs>
              <w:spacing w:line="206" w:lineRule="auto"/>
              <w:ind w:left="1607" w:right="944"/>
              <w:rPr>
                <w:sz w:val="15"/>
              </w:rPr>
            </w:pPr>
            <w:r>
              <w:rPr>
                <w:color w:val="231F20"/>
                <w:position w:val="2"/>
                <w:sz w:val="15"/>
              </w:rPr>
              <w:t>antigens: Hu, Ma2,</w:t>
              <w:tab/>
            </w:r>
            <w:r>
              <w:rPr>
                <w:color w:val="231F20"/>
                <w:spacing w:val="-10"/>
                <w:sz w:val="15"/>
              </w:rPr>
              <w:t>text)</w:t>
            </w:r>
            <w:r>
              <w:rPr>
                <w:color w:val="231F20"/>
                <w:sz w:val="15"/>
              </w:rPr>
              <w:t> amphiphysin, GAD</w:t>
            </w:r>
          </w:p>
          <w:p>
            <w:pPr>
              <w:pStyle w:val="TableParagraph"/>
              <w:spacing w:line="230" w:lineRule="auto" w:before="3"/>
              <w:ind w:left="1607" w:right="1625" w:hanging="112"/>
              <w:rPr>
                <w:sz w:val="15"/>
              </w:rPr>
            </w:pPr>
            <w:r>
              <w:rPr>
                <w:color w:val="231F20"/>
                <w:sz w:val="15"/>
              </w:rPr>
              <w:t>Antibodies against synaptic</w:t>
            </w:r>
            <w:r>
              <w:rPr>
                <w:color w:val="231F20"/>
                <w:spacing w:val="-12"/>
                <w:sz w:val="15"/>
              </w:rPr>
              <w:t> </w:t>
            </w:r>
            <w:r>
              <w:rPr>
                <w:color w:val="231F20"/>
                <w:sz w:val="15"/>
              </w:rPr>
              <w:t>antigens: GABA</w:t>
            </w:r>
            <w:r>
              <w:rPr>
                <w:color w:val="231F20"/>
                <w:sz w:val="15"/>
                <w:vertAlign w:val="subscript"/>
              </w:rPr>
              <w:t>B</w:t>
            </w:r>
            <w:r>
              <w:rPr>
                <w:color w:val="231F20"/>
                <w:sz w:val="15"/>
                <w:vertAlign w:val="baseline"/>
              </w:rPr>
              <w:t>R,</w:t>
            </w:r>
            <w:r>
              <w:rPr>
                <w:color w:val="231F20"/>
                <w:spacing w:val="35"/>
                <w:sz w:val="15"/>
                <w:vertAlign w:val="baseline"/>
              </w:rPr>
              <w:t> </w:t>
            </w:r>
            <w:r>
              <w:rPr>
                <w:color w:val="231F20"/>
                <w:spacing w:val="-2"/>
                <w:sz w:val="15"/>
                <w:vertAlign w:val="baseline"/>
              </w:rPr>
              <w:t>mGluR5</w:t>
            </w:r>
          </w:p>
        </w:tc>
        <w:tc>
          <w:tcPr>
            <w:tcW w:w="1676" w:type="dxa"/>
            <w:tcBorders>
              <w:bottom w:val="single" w:sz="4" w:space="0" w:color="FFFFFF"/>
            </w:tcBorders>
            <w:shd w:val="clear" w:color="auto" w:fill="E8F5F1"/>
          </w:tcPr>
          <w:p>
            <w:pPr>
              <w:pStyle w:val="TableParagraph"/>
              <w:spacing w:line="230" w:lineRule="auto" w:before="97"/>
              <w:ind w:left="213" w:right="105" w:hanging="112"/>
              <w:rPr>
                <w:sz w:val="15"/>
              </w:rPr>
            </w:pPr>
            <w:r>
              <w:rPr>
                <w:color w:val="231F20"/>
                <w:spacing w:val="-2"/>
                <w:sz w:val="15"/>
              </w:rPr>
              <w:t>Severe</w:t>
            </w:r>
            <w:r>
              <w:rPr>
                <w:color w:val="231F20"/>
                <w:spacing w:val="-10"/>
                <w:sz w:val="15"/>
              </w:rPr>
              <w:t> </w:t>
            </w:r>
            <w:r>
              <w:rPr>
                <w:color w:val="231F20"/>
                <w:spacing w:val="-2"/>
                <w:sz w:val="15"/>
              </w:rPr>
              <w:t>short-</w:t>
            </w:r>
            <w:r>
              <w:rPr>
                <w:color w:val="231F20"/>
                <w:spacing w:val="-2"/>
                <w:sz w:val="15"/>
              </w:rPr>
              <w:t>term </w:t>
            </w:r>
            <w:r>
              <w:rPr>
                <w:color w:val="231F20"/>
                <w:sz w:val="15"/>
              </w:rPr>
              <w:t>memory loss, </w:t>
            </w:r>
            <w:r>
              <w:rPr>
                <w:color w:val="231F20"/>
                <w:spacing w:val="-2"/>
                <w:sz w:val="15"/>
              </w:rPr>
              <w:t>seizures</w:t>
            </w:r>
          </w:p>
        </w:tc>
        <w:tc>
          <w:tcPr>
            <w:tcW w:w="1865" w:type="dxa"/>
            <w:vMerge/>
            <w:tcBorders>
              <w:top w:val="nil"/>
              <w:bottom w:val="single" w:sz="4" w:space="0" w:color="FFFFFF"/>
            </w:tcBorders>
            <w:shd w:val="clear" w:color="auto" w:fill="E8F5F1"/>
          </w:tcPr>
          <w:p>
            <w:pPr>
              <w:rPr>
                <w:sz w:val="2"/>
                <w:szCs w:val="2"/>
              </w:rPr>
            </w:pPr>
          </w:p>
        </w:tc>
        <w:tc>
          <w:tcPr>
            <w:tcW w:w="1740" w:type="dxa"/>
            <w:vMerge/>
            <w:tcBorders>
              <w:top w:val="nil"/>
              <w:bottom w:val="single" w:sz="4" w:space="0" w:color="FFFFFF"/>
            </w:tcBorders>
            <w:shd w:val="clear" w:color="auto" w:fill="E8F5F1"/>
          </w:tcPr>
          <w:p>
            <w:pPr>
              <w:rPr>
                <w:sz w:val="2"/>
                <w:szCs w:val="2"/>
              </w:rPr>
            </w:pPr>
          </w:p>
        </w:tc>
      </w:tr>
      <w:tr>
        <w:trPr>
          <w:trHeight w:val="4163" w:hRule="atLeast"/>
        </w:trPr>
        <w:tc>
          <w:tcPr>
            <w:tcW w:w="4459" w:type="dxa"/>
            <w:tcBorders>
              <w:top w:val="single" w:sz="4" w:space="0" w:color="FFFFFF"/>
            </w:tcBorders>
            <w:shd w:val="clear" w:color="auto" w:fill="E8F5F1"/>
          </w:tcPr>
          <w:p>
            <w:pPr>
              <w:pStyle w:val="TableParagraph"/>
              <w:spacing w:line="172" w:lineRule="exact" w:before="43"/>
              <w:ind w:left="74"/>
              <w:rPr>
                <w:sz w:val="15"/>
              </w:rPr>
            </w:pPr>
            <w:r>
              <w:rPr>
                <w:color w:val="231F20"/>
                <w:w w:val="110"/>
                <w:sz w:val="15"/>
              </w:rPr>
              <w:t>STRONGLY</w:t>
            </w:r>
            <w:r>
              <w:rPr>
                <w:color w:val="231F20"/>
                <w:spacing w:val="18"/>
                <w:w w:val="110"/>
                <w:sz w:val="15"/>
              </w:rPr>
              <w:t> </w:t>
            </w:r>
            <w:r>
              <w:rPr>
                <w:color w:val="231F20"/>
                <w:w w:val="110"/>
                <w:sz w:val="15"/>
              </w:rPr>
              <w:t>SUSPECTED</w:t>
            </w:r>
            <w:r>
              <w:rPr>
                <w:color w:val="231F20"/>
                <w:spacing w:val="18"/>
                <w:w w:val="110"/>
                <w:sz w:val="15"/>
              </w:rPr>
              <w:t> </w:t>
            </w:r>
            <w:r>
              <w:rPr>
                <w:color w:val="231F20"/>
                <w:w w:val="110"/>
                <w:sz w:val="15"/>
              </w:rPr>
              <w:t>IMMUNE</w:t>
            </w:r>
            <w:r>
              <w:rPr>
                <w:color w:val="231F20"/>
                <w:spacing w:val="19"/>
                <w:w w:val="110"/>
                <w:sz w:val="15"/>
              </w:rPr>
              <w:t> </w:t>
            </w:r>
            <w:r>
              <w:rPr>
                <w:color w:val="231F20"/>
                <w:spacing w:val="-2"/>
                <w:w w:val="110"/>
                <w:sz w:val="15"/>
              </w:rPr>
              <w:t>MECHANISMS</w:t>
            </w:r>
          </w:p>
          <w:p>
            <w:pPr>
              <w:pStyle w:val="TableParagraph"/>
              <w:tabs>
                <w:tab w:pos="1495" w:val="left" w:leader="none"/>
                <w:tab w:pos="1607" w:val="left" w:leader="none"/>
                <w:tab w:pos="3107" w:val="left" w:leader="none"/>
                <w:tab w:pos="3219" w:val="left" w:leader="none"/>
              </w:tabs>
              <w:spacing w:line="230" w:lineRule="auto" w:before="3"/>
              <w:ind w:left="186" w:right="140" w:hanging="112"/>
              <w:rPr>
                <w:sz w:val="15"/>
              </w:rPr>
            </w:pPr>
            <w:r>
              <w:rPr>
                <w:color w:val="231F20"/>
                <w:spacing w:val="-2"/>
                <w:sz w:val="15"/>
              </w:rPr>
              <w:t>Opsoclonus-</w:t>
            </w:r>
            <w:r>
              <w:rPr>
                <w:color w:val="231F20"/>
                <w:sz w:val="15"/>
              </w:rPr>
              <w:tab/>
              <w:t>Most patients do not</w:t>
              <w:tab/>
            </w:r>
            <w:r>
              <w:rPr>
                <w:color w:val="231F20"/>
                <w:spacing w:val="-2"/>
                <w:sz w:val="15"/>
              </w:rPr>
              <w:t>Neuroblastoma </w:t>
            </w:r>
            <w:r>
              <w:rPr>
                <w:color w:val="231F20"/>
                <w:sz w:val="15"/>
              </w:rPr>
              <w:t>myoclonus and</w:t>
              <w:tab/>
              <w:tab/>
              <w:t>have detectable</w:t>
              <w:tab/>
              <w:tab/>
              <w:t>occurs</w:t>
            </w:r>
            <w:r>
              <w:rPr>
                <w:color w:val="231F20"/>
                <w:spacing w:val="-5"/>
                <w:sz w:val="15"/>
              </w:rPr>
              <w:t> </w:t>
            </w:r>
            <w:r>
              <w:rPr>
                <w:color w:val="231F20"/>
                <w:sz w:val="15"/>
              </w:rPr>
              <w:t>in</w:t>
            </w:r>
            <w:r>
              <w:rPr>
                <w:color w:val="231F20"/>
                <w:spacing w:val="-5"/>
                <w:sz w:val="15"/>
              </w:rPr>
              <w:t> </w:t>
            </w:r>
            <w:r>
              <w:rPr>
                <w:color w:val="231F20"/>
                <w:sz w:val="15"/>
              </w:rPr>
              <w:t>50%</w:t>
            </w:r>
            <w:r>
              <w:rPr>
                <w:color w:val="231F20"/>
                <w:spacing w:val="-5"/>
                <w:sz w:val="15"/>
              </w:rPr>
              <w:t> </w:t>
            </w:r>
            <w:r>
              <w:rPr>
                <w:color w:val="231F20"/>
                <w:sz w:val="15"/>
              </w:rPr>
              <w:t>of other</w:t>
            </w:r>
            <w:r>
              <w:rPr>
                <w:color w:val="231F20"/>
                <w:spacing w:val="-3"/>
                <w:sz w:val="15"/>
              </w:rPr>
              <w:t> </w:t>
            </w:r>
            <w:r>
              <w:rPr>
                <w:color w:val="231F20"/>
                <w:sz w:val="15"/>
              </w:rPr>
              <w:t>cerebellar-</w:t>
              <w:tab/>
              <w:tab/>
              <w:t>antibodies (a few</w:t>
              <w:tab/>
              <w:tab/>
              <w:t>children</w:t>
            </w:r>
            <w:r>
              <w:rPr>
                <w:color w:val="231F20"/>
                <w:spacing w:val="-12"/>
                <w:sz w:val="15"/>
              </w:rPr>
              <w:t> </w:t>
            </w:r>
            <w:r>
              <w:rPr>
                <w:rFonts w:ascii="Cambria"/>
                <w:color w:val="231F20"/>
                <w:sz w:val="15"/>
              </w:rPr>
              <w:t>&lt;</w:t>
            </w:r>
            <w:r>
              <w:rPr>
                <w:color w:val="231F20"/>
                <w:sz w:val="15"/>
              </w:rPr>
              <w:t>2</w:t>
            </w:r>
            <w:r>
              <w:rPr>
                <w:color w:val="231F20"/>
                <w:spacing w:val="-11"/>
                <w:sz w:val="15"/>
              </w:rPr>
              <w:t> </w:t>
            </w:r>
            <w:r>
              <w:rPr>
                <w:color w:val="231F20"/>
                <w:sz w:val="15"/>
              </w:rPr>
              <w:t>year </w:t>
            </w:r>
            <w:r>
              <w:rPr>
                <w:color w:val="231F20"/>
                <w:spacing w:val="-2"/>
                <w:sz w:val="15"/>
              </w:rPr>
              <w:t>brainstem</w:t>
            </w:r>
            <w:r>
              <w:rPr>
                <w:color w:val="231F20"/>
                <w:sz w:val="15"/>
              </w:rPr>
              <w:tab/>
              <w:tab/>
              <w:t>patients have Hu</w:t>
              <w:tab/>
              <w:tab/>
              <w:t>old;</w:t>
            </w:r>
            <w:r>
              <w:rPr>
                <w:color w:val="231F20"/>
                <w:spacing w:val="-12"/>
                <w:sz w:val="15"/>
              </w:rPr>
              <w:t> </w:t>
            </w:r>
            <w:r>
              <w:rPr>
                <w:color w:val="231F20"/>
                <w:sz w:val="15"/>
              </w:rPr>
              <w:t>teratoma</w:t>
            </w:r>
            <w:r>
              <w:rPr>
                <w:color w:val="231F20"/>
                <w:spacing w:val="-11"/>
                <w:sz w:val="15"/>
              </w:rPr>
              <w:t> </w:t>
            </w:r>
            <w:r>
              <w:rPr>
                <w:color w:val="231F20"/>
                <w:sz w:val="15"/>
              </w:rPr>
              <w:t>in </w:t>
            </w:r>
            <w:r>
              <w:rPr>
                <w:color w:val="231F20"/>
                <w:spacing w:val="-2"/>
                <w:sz w:val="15"/>
              </w:rPr>
              <w:t>encephalitis</w:t>
            </w:r>
            <w:r>
              <w:rPr>
                <w:color w:val="231F20"/>
                <w:sz w:val="15"/>
              </w:rPr>
              <w:tab/>
              <w:tab/>
            </w:r>
            <w:r>
              <w:rPr>
                <w:color w:val="231F20"/>
                <w:spacing w:val="-2"/>
                <w:sz w:val="15"/>
              </w:rPr>
              <w:t>antibodies)</w:t>
            </w:r>
            <w:r>
              <w:rPr>
                <w:color w:val="231F20"/>
                <w:sz w:val="15"/>
              </w:rPr>
              <w:tab/>
              <w:tab/>
              <w:t>teenagers and</w:t>
            </w:r>
          </w:p>
          <w:p>
            <w:pPr>
              <w:pStyle w:val="TableParagraph"/>
              <w:spacing w:line="171" w:lineRule="exact"/>
              <w:ind w:left="3219"/>
              <w:rPr>
                <w:sz w:val="15"/>
              </w:rPr>
            </w:pPr>
            <w:r>
              <w:rPr>
                <w:color w:val="231F20"/>
                <w:sz w:val="15"/>
              </w:rPr>
              <w:t>young</w:t>
            </w:r>
            <w:r>
              <w:rPr>
                <w:color w:val="231F20"/>
                <w:spacing w:val="20"/>
                <w:sz w:val="15"/>
              </w:rPr>
              <w:t> </w:t>
            </w:r>
            <w:r>
              <w:rPr>
                <w:color w:val="231F20"/>
                <w:spacing w:val="-2"/>
                <w:sz w:val="15"/>
              </w:rPr>
              <w:t>adults</w:t>
            </w:r>
          </w:p>
          <w:p>
            <w:pPr>
              <w:pStyle w:val="TableParagraph"/>
              <w:spacing w:before="163"/>
              <w:rPr>
                <w:i/>
                <w:sz w:val="15"/>
              </w:rPr>
            </w:pPr>
          </w:p>
          <w:p>
            <w:pPr>
              <w:pStyle w:val="TableParagraph"/>
              <w:tabs>
                <w:tab w:pos="1495" w:val="left" w:leader="none"/>
                <w:tab w:pos="3107" w:val="left" w:leader="none"/>
                <w:tab w:pos="3219" w:val="left" w:leader="none"/>
              </w:tabs>
              <w:spacing w:line="230" w:lineRule="auto"/>
              <w:ind w:left="186" w:right="502" w:hanging="112"/>
              <w:rPr>
                <w:sz w:val="15"/>
              </w:rPr>
            </w:pPr>
            <w:r>
              <w:rPr>
                <w:color w:val="231F20"/>
                <w:spacing w:val="-2"/>
                <w:sz w:val="15"/>
              </w:rPr>
              <w:t>Bickerstaff</w:t>
            </w:r>
            <w:r>
              <w:rPr>
                <w:color w:val="231F20"/>
                <w:sz w:val="15"/>
              </w:rPr>
              <w:tab/>
              <w:t>GQ1b antibodies</w:t>
              <w:tab/>
              <w:t>No tumor </w:t>
            </w:r>
            <w:r>
              <w:rPr>
                <w:color w:val="231F20"/>
                <w:spacing w:val="-2"/>
                <w:sz w:val="15"/>
              </w:rPr>
              <w:t>encephalitis</w:t>
            </w:r>
            <w:r>
              <w:rPr>
                <w:color w:val="231F20"/>
                <w:sz w:val="15"/>
              </w:rPr>
              <w:tab/>
              <w:tab/>
              <w:tab/>
            </w:r>
            <w:r>
              <w:rPr>
                <w:color w:val="231F20"/>
                <w:spacing w:val="-2"/>
                <w:sz w:val="15"/>
              </w:rPr>
              <w:t>association</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21"/>
              <w:rPr>
                <w:i/>
                <w:sz w:val="15"/>
              </w:rPr>
            </w:pPr>
          </w:p>
          <w:p>
            <w:pPr>
              <w:pStyle w:val="TableParagraph"/>
              <w:tabs>
                <w:tab w:pos="1495" w:val="left" w:leader="none"/>
                <w:tab w:pos="3107" w:val="left" w:leader="none"/>
                <w:tab w:pos="3219" w:val="left" w:leader="none"/>
              </w:tabs>
              <w:spacing w:line="230" w:lineRule="auto"/>
              <w:ind w:left="186" w:right="502" w:hanging="112"/>
              <w:rPr>
                <w:sz w:val="15"/>
              </w:rPr>
            </w:pPr>
            <w:r>
              <w:rPr>
                <w:color w:val="231F20"/>
                <w:spacing w:val="-2"/>
                <w:sz w:val="15"/>
              </w:rPr>
              <w:t>Hashimoto</w:t>
            </w:r>
            <w:r>
              <w:rPr>
                <w:color w:val="231F20"/>
                <w:sz w:val="15"/>
              </w:rPr>
              <w:tab/>
              <w:t>TPO antibodies</w:t>
              <w:tab/>
              <w:t>No tumor </w:t>
            </w:r>
            <w:r>
              <w:rPr>
                <w:color w:val="231F20"/>
                <w:spacing w:val="-2"/>
                <w:sz w:val="15"/>
              </w:rPr>
              <w:t>encephalitis</w:t>
            </w:r>
            <w:r>
              <w:rPr>
                <w:color w:val="231F20"/>
                <w:sz w:val="15"/>
              </w:rPr>
              <w:tab/>
              <w:tab/>
              <w:tab/>
            </w:r>
            <w:r>
              <w:rPr>
                <w:color w:val="231F20"/>
                <w:spacing w:val="-2"/>
                <w:sz w:val="15"/>
              </w:rPr>
              <w:t>association</w:t>
            </w:r>
          </w:p>
        </w:tc>
        <w:tc>
          <w:tcPr>
            <w:tcW w:w="1676" w:type="dxa"/>
            <w:vMerge w:val="restart"/>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213" w:right="144" w:hanging="112"/>
              <w:rPr>
                <w:sz w:val="15"/>
              </w:rPr>
            </w:pPr>
            <w:r>
              <w:rPr>
                <w:color w:val="231F20"/>
                <w:sz w:val="15"/>
              </w:rPr>
              <w:t>Opsoclonus often accompanied by </w:t>
            </w:r>
            <w:r>
              <w:rPr>
                <w:color w:val="231F20"/>
                <w:spacing w:val="-2"/>
                <w:sz w:val="15"/>
              </w:rPr>
              <w:t>irritability,</w:t>
            </w:r>
            <w:r>
              <w:rPr>
                <w:color w:val="231F20"/>
                <w:spacing w:val="-10"/>
                <w:sz w:val="15"/>
              </w:rPr>
              <w:t> </w:t>
            </w:r>
            <w:r>
              <w:rPr>
                <w:color w:val="231F20"/>
                <w:spacing w:val="-2"/>
                <w:sz w:val="15"/>
              </w:rPr>
              <w:t>ataxia, </w:t>
            </w:r>
            <w:r>
              <w:rPr>
                <w:color w:val="231F20"/>
                <w:spacing w:val="-4"/>
                <w:sz w:val="15"/>
              </w:rPr>
              <w:t>falling,</w:t>
            </w:r>
            <w:r>
              <w:rPr>
                <w:color w:val="231F20"/>
                <w:spacing w:val="-8"/>
                <w:sz w:val="15"/>
              </w:rPr>
              <w:t> </w:t>
            </w:r>
            <w:r>
              <w:rPr>
                <w:color w:val="231F20"/>
                <w:spacing w:val="-4"/>
                <w:sz w:val="15"/>
              </w:rPr>
              <w:t>myoclonus, </w:t>
            </w:r>
            <w:r>
              <w:rPr>
                <w:color w:val="231F20"/>
                <w:sz w:val="15"/>
              </w:rPr>
              <w:t>tremor, and </w:t>
            </w:r>
            <w:r>
              <w:rPr>
                <w:color w:val="231F20"/>
                <w:spacing w:val="-2"/>
                <w:sz w:val="15"/>
              </w:rPr>
              <w:t>drooling</w:t>
            </w:r>
          </w:p>
          <w:p>
            <w:pPr>
              <w:pStyle w:val="TableParagraph"/>
              <w:spacing w:before="167"/>
              <w:rPr>
                <w:i/>
                <w:sz w:val="15"/>
              </w:rPr>
            </w:pPr>
          </w:p>
          <w:p>
            <w:pPr>
              <w:pStyle w:val="TableParagraph"/>
              <w:spacing w:line="230" w:lineRule="auto"/>
              <w:ind w:left="213" w:right="98" w:hanging="112"/>
              <w:rPr>
                <w:sz w:val="15"/>
              </w:rPr>
            </w:pPr>
            <w:r>
              <w:rPr>
                <w:color w:val="231F20"/>
                <w:spacing w:val="-2"/>
                <w:sz w:val="15"/>
              </w:rPr>
              <w:t>Ophthalmoplegia, </w:t>
            </w:r>
            <w:r>
              <w:rPr>
                <w:color w:val="231F20"/>
                <w:spacing w:val="-6"/>
                <w:sz w:val="15"/>
              </w:rPr>
              <w:t>ataxia, </w:t>
            </w:r>
            <w:r>
              <w:rPr>
                <w:color w:val="231F20"/>
                <w:spacing w:val="-6"/>
                <w:sz w:val="15"/>
              </w:rPr>
              <w:t>hyperreflexia.</w:t>
            </w:r>
            <w:r>
              <w:rPr>
                <w:color w:val="231F20"/>
                <w:sz w:val="15"/>
              </w:rPr>
              <w:t> May overlap with </w:t>
            </w:r>
            <w:r>
              <w:rPr>
                <w:color w:val="231F20"/>
                <w:spacing w:val="-2"/>
                <w:sz w:val="15"/>
              </w:rPr>
              <w:t>Miller-Fisher syndrome</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42"/>
              <w:rPr>
                <w:i/>
                <w:sz w:val="15"/>
              </w:rPr>
            </w:pPr>
          </w:p>
          <w:p>
            <w:pPr>
              <w:pStyle w:val="TableParagraph"/>
              <w:spacing w:line="230" w:lineRule="auto"/>
              <w:ind w:left="213" w:hanging="112"/>
              <w:rPr>
                <w:sz w:val="15"/>
              </w:rPr>
            </w:pPr>
            <w:r>
              <w:rPr>
                <w:color w:val="231F20"/>
                <w:spacing w:val="-2"/>
                <w:sz w:val="15"/>
              </w:rPr>
              <w:t>Stroke-like</w:t>
            </w:r>
            <w:r>
              <w:rPr>
                <w:color w:val="231F20"/>
                <w:spacing w:val="-10"/>
                <w:sz w:val="15"/>
              </w:rPr>
              <w:t> </w:t>
            </w:r>
            <w:r>
              <w:rPr>
                <w:color w:val="231F20"/>
                <w:spacing w:val="-2"/>
                <w:sz w:val="15"/>
              </w:rPr>
              <w:t>symptoms, </w:t>
            </w:r>
            <w:r>
              <w:rPr>
                <w:color w:val="231F20"/>
                <w:sz w:val="15"/>
              </w:rPr>
              <w:t>tremor, myoclonus, aphasia, sleep and </w:t>
            </w:r>
            <w:r>
              <w:rPr>
                <w:color w:val="231F20"/>
                <w:spacing w:val="-2"/>
                <w:sz w:val="15"/>
              </w:rPr>
              <w:t>behavioral</w:t>
            </w:r>
            <w:r>
              <w:rPr>
                <w:color w:val="231F20"/>
                <w:spacing w:val="-6"/>
                <w:sz w:val="15"/>
              </w:rPr>
              <w:t> </w:t>
            </w:r>
            <w:r>
              <w:rPr>
                <w:color w:val="231F20"/>
                <w:spacing w:val="-2"/>
                <w:sz w:val="15"/>
              </w:rPr>
              <w:t>problems </w:t>
            </w:r>
            <w:r>
              <w:rPr>
                <w:color w:val="231F20"/>
                <w:sz w:val="15"/>
              </w:rPr>
              <w:t>seizures, ataxia</w:t>
            </w:r>
          </w:p>
          <w:p>
            <w:pPr>
              <w:pStyle w:val="TableParagraph"/>
              <w:spacing w:line="230" w:lineRule="auto" w:before="6"/>
              <w:ind w:left="213" w:right="125" w:hanging="112"/>
              <w:rPr>
                <w:sz w:val="15"/>
              </w:rPr>
            </w:pPr>
            <w:r>
              <w:rPr>
                <w:color w:val="231F20"/>
                <w:spacing w:val="-2"/>
                <w:sz w:val="15"/>
              </w:rPr>
              <w:t>Progressive</w:t>
            </w:r>
            <w:r>
              <w:rPr>
                <w:color w:val="231F20"/>
                <w:spacing w:val="-10"/>
                <w:sz w:val="15"/>
              </w:rPr>
              <w:t> </w:t>
            </w:r>
            <w:r>
              <w:rPr>
                <w:color w:val="231F20"/>
                <w:spacing w:val="-2"/>
                <w:sz w:val="15"/>
              </w:rPr>
              <w:t>refractory </w:t>
            </w:r>
            <w:r>
              <w:rPr>
                <w:color w:val="231F20"/>
                <w:sz w:val="15"/>
              </w:rPr>
              <w:t>partial seizures, cognitive decline, focal deficits, and brain hemiatrophy</w:t>
            </w:r>
          </w:p>
          <w:p>
            <w:pPr>
              <w:pStyle w:val="TableParagraph"/>
              <w:spacing w:line="230" w:lineRule="auto" w:before="5"/>
              <w:ind w:left="213" w:right="105" w:hanging="112"/>
              <w:rPr>
                <w:sz w:val="15"/>
              </w:rPr>
            </w:pPr>
            <w:r>
              <w:rPr>
                <w:color w:val="231F20"/>
                <w:sz w:val="15"/>
              </w:rPr>
              <w:t>Abnormal</w:t>
            </w:r>
            <w:r>
              <w:rPr>
                <w:color w:val="231F20"/>
                <w:spacing w:val="-12"/>
                <w:sz w:val="15"/>
              </w:rPr>
              <w:t> </w:t>
            </w:r>
            <w:r>
              <w:rPr>
                <w:color w:val="231F20"/>
                <w:sz w:val="15"/>
              </w:rPr>
              <w:t>movement and behavior </w:t>
            </w:r>
            <w:r>
              <w:rPr>
                <w:color w:val="231F20"/>
                <w:spacing w:val="-2"/>
                <w:sz w:val="15"/>
              </w:rPr>
              <w:t>disorder</w:t>
            </w:r>
          </w:p>
        </w:tc>
        <w:tc>
          <w:tcPr>
            <w:tcW w:w="1865"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13" w:hanging="112"/>
              <w:rPr>
                <w:sz w:val="15"/>
              </w:rPr>
            </w:pPr>
            <w:r>
              <w:rPr>
                <w:color w:val="231F20"/>
                <w:sz w:val="15"/>
              </w:rPr>
              <w:t>CSF abnormalities suggesting</w:t>
            </w:r>
            <w:r>
              <w:rPr>
                <w:color w:val="231F20"/>
                <w:spacing w:val="-11"/>
                <w:sz w:val="15"/>
              </w:rPr>
              <w:t> </w:t>
            </w:r>
            <w:r>
              <w:rPr>
                <w:color w:val="231F20"/>
                <w:sz w:val="15"/>
              </w:rPr>
              <w:t>B-</w:t>
            </w:r>
            <w:r>
              <w:rPr>
                <w:color w:val="231F20"/>
                <w:sz w:val="15"/>
              </w:rPr>
              <w:t>cell </w:t>
            </w:r>
            <w:r>
              <w:rPr>
                <w:color w:val="231F20"/>
                <w:spacing w:val="-2"/>
                <w:sz w:val="15"/>
              </w:rPr>
              <w:t>activation</w:t>
            </w:r>
          </w:p>
          <w:p>
            <w:pPr>
              <w:pStyle w:val="TableParagraph"/>
              <w:spacing w:line="230" w:lineRule="auto" w:before="2"/>
              <w:ind w:left="213" w:right="424" w:hanging="112"/>
              <w:rPr>
                <w:sz w:val="15"/>
              </w:rPr>
            </w:pPr>
            <w:r>
              <w:rPr>
                <w:color w:val="231F20"/>
                <w:sz w:val="15"/>
              </w:rPr>
              <w:t>MRI: in some cases </w:t>
            </w:r>
            <w:r>
              <w:rPr>
                <w:color w:val="231F20"/>
                <w:spacing w:val="-2"/>
                <w:sz w:val="15"/>
              </w:rPr>
              <w:t>cerebellar</w:t>
            </w:r>
            <w:r>
              <w:rPr>
                <w:color w:val="231F20"/>
                <w:spacing w:val="-7"/>
                <w:sz w:val="15"/>
              </w:rPr>
              <w:t> </w:t>
            </w:r>
            <w:r>
              <w:rPr>
                <w:color w:val="231F20"/>
                <w:spacing w:val="-2"/>
                <w:sz w:val="15"/>
              </w:rPr>
              <w:t>atrophy</w:t>
            </w:r>
          </w:p>
          <w:p>
            <w:pPr>
              <w:pStyle w:val="TableParagraph"/>
              <w:rPr>
                <w:i/>
                <w:sz w:val="15"/>
              </w:rPr>
            </w:pPr>
          </w:p>
          <w:p>
            <w:pPr>
              <w:pStyle w:val="TableParagraph"/>
              <w:spacing w:before="158"/>
              <w:rPr>
                <w:i/>
                <w:sz w:val="15"/>
              </w:rPr>
            </w:pPr>
          </w:p>
          <w:p>
            <w:pPr>
              <w:pStyle w:val="TableParagraph"/>
              <w:spacing w:line="230" w:lineRule="auto"/>
              <w:ind w:left="213" w:right="197" w:hanging="112"/>
              <w:rPr>
                <w:sz w:val="15"/>
              </w:rPr>
            </w:pPr>
            <w:r>
              <w:rPr>
                <w:color w:val="231F20"/>
                <w:sz w:val="15"/>
              </w:rPr>
              <w:t>MRI: abnormal in </w:t>
            </w:r>
            <w:r>
              <w:rPr>
                <w:color w:val="231F20"/>
                <w:sz w:val="15"/>
              </w:rPr>
              <w:t>~30% </w:t>
            </w:r>
            <w:r>
              <w:rPr>
                <w:color w:val="231F20"/>
                <w:spacing w:val="-2"/>
                <w:sz w:val="15"/>
              </w:rPr>
              <w:t>(T2-signal </w:t>
            </w:r>
            <w:r>
              <w:rPr>
                <w:color w:val="231F20"/>
                <w:sz w:val="15"/>
              </w:rPr>
              <w:t>abnormalities in the brainstem,</w:t>
            </w:r>
            <w:r>
              <w:rPr>
                <w:color w:val="231F20"/>
                <w:spacing w:val="-12"/>
                <w:sz w:val="15"/>
              </w:rPr>
              <w:t> </w:t>
            </w:r>
            <w:r>
              <w:rPr>
                <w:color w:val="231F20"/>
                <w:sz w:val="15"/>
              </w:rPr>
              <w:t>thalamus, and cerebellum)</w:t>
            </w:r>
          </w:p>
          <w:p>
            <w:pPr>
              <w:pStyle w:val="TableParagraph"/>
              <w:spacing w:line="230" w:lineRule="auto" w:before="4"/>
              <w:ind w:left="213" w:right="296" w:hanging="112"/>
              <w:rPr>
                <w:sz w:val="15"/>
              </w:rPr>
            </w:pPr>
            <w:r>
              <w:rPr>
                <w:color w:val="231F20"/>
                <w:sz w:val="15"/>
              </w:rPr>
              <w:t>Nerve conduction </w:t>
            </w:r>
            <w:r>
              <w:rPr>
                <w:color w:val="231F20"/>
                <w:spacing w:val="-2"/>
                <w:sz w:val="15"/>
              </w:rPr>
              <w:t>studies:</w:t>
            </w:r>
            <w:r>
              <w:rPr>
                <w:color w:val="231F20"/>
                <w:spacing w:val="3"/>
                <w:sz w:val="15"/>
              </w:rPr>
              <w:t> </w:t>
            </w:r>
            <w:r>
              <w:rPr>
                <w:color w:val="231F20"/>
                <w:spacing w:val="-2"/>
                <w:sz w:val="15"/>
              </w:rPr>
              <w:t>abnormal</w:t>
            </w:r>
            <w:r>
              <w:rPr>
                <w:color w:val="231F20"/>
                <w:spacing w:val="3"/>
                <w:sz w:val="15"/>
              </w:rPr>
              <w:t> </w:t>
            </w:r>
            <w:r>
              <w:rPr>
                <w:color w:val="231F20"/>
                <w:spacing w:val="-5"/>
                <w:sz w:val="15"/>
              </w:rPr>
              <w:t>in</w:t>
            </w:r>
          </w:p>
          <w:p>
            <w:pPr>
              <w:pStyle w:val="TableParagraph"/>
              <w:spacing w:line="230" w:lineRule="auto" w:before="2"/>
              <w:ind w:left="213" w:right="130"/>
              <w:rPr>
                <w:sz w:val="15"/>
              </w:rPr>
            </w:pPr>
            <w:r>
              <w:rPr>
                <w:color w:val="231F20"/>
                <w:sz w:val="15"/>
              </w:rPr>
              <w:t>~44% (predominant </w:t>
            </w:r>
            <w:r>
              <w:rPr>
                <w:color w:val="231F20"/>
                <w:spacing w:val="-2"/>
                <w:sz w:val="15"/>
              </w:rPr>
              <w:t>axonal</w:t>
            </w:r>
            <w:r>
              <w:rPr>
                <w:color w:val="231F20"/>
                <w:spacing w:val="-9"/>
                <w:sz w:val="15"/>
              </w:rPr>
              <w:t> </w:t>
            </w:r>
            <w:r>
              <w:rPr>
                <w:color w:val="231F20"/>
                <w:spacing w:val="-2"/>
                <w:sz w:val="15"/>
              </w:rPr>
              <w:t>degeneration, </w:t>
            </w:r>
            <w:r>
              <w:rPr>
                <w:color w:val="231F20"/>
                <w:sz w:val="15"/>
              </w:rPr>
              <w:t>less frequent </w:t>
            </w:r>
            <w:r>
              <w:rPr>
                <w:color w:val="231F20"/>
                <w:spacing w:val="-2"/>
                <w:sz w:val="15"/>
              </w:rPr>
              <w:t>demyelination)</w:t>
            </w:r>
          </w:p>
          <w:p>
            <w:pPr>
              <w:pStyle w:val="TableParagraph"/>
              <w:spacing w:line="230" w:lineRule="auto" w:before="4"/>
              <w:ind w:left="213" w:right="279" w:hanging="112"/>
              <w:rPr>
                <w:sz w:val="15"/>
              </w:rPr>
            </w:pPr>
            <w:r>
              <w:rPr>
                <w:color w:val="231F20"/>
                <w:sz w:val="15"/>
              </w:rPr>
              <w:t>48%</w:t>
            </w:r>
            <w:r>
              <w:rPr>
                <w:color w:val="231F20"/>
                <w:spacing w:val="-12"/>
                <w:sz w:val="15"/>
              </w:rPr>
              <w:t> </w:t>
            </w:r>
            <w:r>
              <w:rPr>
                <w:color w:val="231F20"/>
                <w:sz w:val="15"/>
              </w:rPr>
              <w:t>hypothyroidism, MRI often normal</w:t>
            </w:r>
          </w:p>
          <w:p>
            <w:pPr>
              <w:pStyle w:val="TableParagraph"/>
              <w:spacing w:line="230" w:lineRule="auto" w:before="2"/>
              <w:ind w:left="101" w:right="279"/>
              <w:rPr>
                <w:sz w:val="15"/>
              </w:rPr>
            </w:pPr>
            <w:r>
              <w:rPr>
                <w:color w:val="231F20"/>
                <w:sz w:val="15"/>
              </w:rPr>
              <w:t>EEG: slow activity CSF:</w:t>
            </w:r>
            <w:r>
              <w:rPr>
                <w:color w:val="231F20"/>
                <w:spacing w:val="-12"/>
                <w:sz w:val="15"/>
              </w:rPr>
              <w:t> </w:t>
            </w:r>
            <w:r>
              <w:rPr>
                <w:color w:val="231F20"/>
                <w:sz w:val="15"/>
              </w:rPr>
              <w:t>elevated</w:t>
            </w:r>
            <w:r>
              <w:rPr>
                <w:color w:val="231F20"/>
                <w:spacing w:val="-11"/>
                <w:sz w:val="15"/>
              </w:rPr>
              <w:t> </w:t>
            </w:r>
            <w:r>
              <w:rPr>
                <w:color w:val="231F20"/>
                <w:sz w:val="15"/>
              </w:rPr>
              <w:t>protein</w:t>
            </w:r>
          </w:p>
        </w:tc>
        <w:tc>
          <w:tcPr>
            <w:tcW w:w="1740"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13" w:right="250" w:hanging="112"/>
              <w:rPr>
                <w:sz w:val="15"/>
              </w:rPr>
            </w:pPr>
            <w:r>
              <w:rPr>
                <w:color w:val="231F20"/>
                <w:sz w:val="15"/>
              </w:rPr>
              <w:t>Partial response to immunotherapy in </w:t>
            </w:r>
            <w:r>
              <w:rPr>
                <w:color w:val="231F20"/>
                <w:spacing w:val="-2"/>
                <w:sz w:val="15"/>
              </w:rPr>
              <w:t>neuroblastoma- </w:t>
            </w:r>
            <w:r>
              <w:rPr>
                <w:color w:val="231F20"/>
                <w:sz w:val="15"/>
              </w:rPr>
              <w:t>related</w:t>
            </w:r>
            <w:r>
              <w:rPr>
                <w:color w:val="231F20"/>
                <w:spacing w:val="-12"/>
                <w:sz w:val="15"/>
              </w:rPr>
              <w:t> </w:t>
            </w:r>
            <w:r>
              <w:rPr>
                <w:color w:val="231F20"/>
                <w:sz w:val="15"/>
              </w:rPr>
              <w:t>opsoclonus</w:t>
            </w:r>
          </w:p>
          <w:p>
            <w:pPr>
              <w:pStyle w:val="TableParagraph"/>
              <w:spacing w:line="230" w:lineRule="auto" w:before="3"/>
              <w:ind w:left="213" w:right="169" w:hanging="112"/>
              <w:rPr>
                <w:sz w:val="15"/>
              </w:rPr>
            </w:pPr>
            <w:r>
              <w:rPr>
                <w:color w:val="231F20"/>
                <w:sz w:val="15"/>
              </w:rPr>
              <w:t>High response to immunotherapy in </w:t>
            </w:r>
            <w:r>
              <w:rPr>
                <w:color w:val="231F20"/>
                <w:spacing w:val="-2"/>
                <w:sz w:val="15"/>
              </w:rPr>
              <w:t>teratoma-</w:t>
            </w:r>
            <w:r>
              <w:rPr>
                <w:color w:val="231F20"/>
                <w:spacing w:val="-2"/>
                <w:sz w:val="15"/>
              </w:rPr>
              <w:t>associated opsoclonus</w:t>
            </w:r>
          </w:p>
          <w:p>
            <w:pPr>
              <w:pStyle w:val="TableParagraph"/>
              <w:spacing w:line="230" w:lineRule="auto" w:before="4"/>
              <w:ind w:left="213" w:hanging="112"/>
              <w:rPr>
                <w:sz w:val="15"/>
              </w:rPr>
            </w:pPr>
            <w:r>
              <w:rPr>
                <w:color w:val="231F20"/>
                <w:sz w:val="15"/>
              </w:rPr>
              <w:t>Often good </w:t>
            </w:r>
            <w:r>
              <w:rPr>
                <w:color w:val="231F20"/>
                <w:sz w:val="15"/>
              </w:rPr>
              <w:t>outcome with steroids, IVIG and/or plasma </w:t>
            </w:r>
            <w:r>
              <w:rPr>
                <w:color w:val="231F20"/>
                <w:spacing w:val="-2"/>
                <w:sz w:val="15"/>
              </w:rPr>
              <w:t>exchange</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5"/>
              <w:rPr>
                <w:i/>
                <w:sz w:val="15"/>
              </w:rPr>
            </w:pPr>
          </w:p>
          <w:p>
            <w:pPr>
              <w:pStyle w:val="TableParagraph"/>
              <w:spacing w:line="230" w:lineRule="auto"/>
              <w:ind w:left="213" w:hanging="112"/>
              <w:rPr>
                <w:sz w:val="15"/>
              </w:rPr>
            </w:pPr>
            <w:r>
              <w:rPr>
                <w:color w:val="231F20"/>
                <w:spacing w:val="-2"/>
                <w:sz w:val="15"/>
              </w:rPr>
              <w:t>Steroid-responsive. Partial</w:t>
            </w:r>
            <w:r>
              <w:rPr>
                <w:color w:val="231F20"/>
                <w:spacing w:val="-10"/>
                <w:sz w:val="15"/>
              </w:rPr>
              <w:t> </w:t>
            </w:r>
            <w:r>
              <w:rPr>
                <w:color w:val="231F20"/>
                <w:spacing w:val="-2"/>
                <w:sz w:val="15"/>
              </w:rPr>
              <w:t>responses</w:t>
            </w:r>
            <w:r>
              <w:rPr>
                <w:color w:val="231F20"/>
                <w:spacing w:val="-9"/>
                <w:sz w:val="15"/>
              </w:rPr>
              <w:t> </w:t>
            </w:r>
            <w:r>
              <w:rPr>
                <w:color w:val="231F20"/>
                <w:spacing w:val="-2"/>
                <w:sz w:val="15"/>
              </w:rPr>
              <w:t>are frequent</w:t>
            </w:r>
          </w:p>
        </w:tc>
      </w:tr>
      <w:tr>
        <w:trPr>
          <w:trHeight w:val="1461" w:hRule="atLeast"/>
        </w:trPr>
        <w:tc>
          <w:tcPr>
            <w:tcW w:w="4459" w:type="dxa"/>
            <w:tcBorders>
              <w:bottom w:val="single" w:sz="4" w:space="0" w:color="FFFFFF"/>
            </w:tcBorders>
            <w:shd w:val="clear" w:color="auto" w:fill="E8F5F1"/>
          </w:tcPr>
          <w:p>
            <w:pPr>
              <w:pStyle w:val="TableParagraph"/>
              <w:tabs>
                <w:tab w:pos="1495" w:val="left" w:leader="none"/>
                <w:tab w:pos="1607" w:val="left" w:leader="none"/>
                <w:tab w:pos="3107" w:val="left" w:leader="none"/>
                <w:tab w:pos="3219" w:val="left" w:leader="none"/>
              </w:tabs>
              <w:spacing w:line="230" w:lineRule="auto" w:before="80"/>
              <w:ind w:left="186" w:right="502" w:hanging="112"/>
              <w:rPr>
                <w:sz w:val="15"/>
              </w:rPr>
            </w:pPr>
            <w:r>
              <w:rPr>
                <w:color w:val="231F20"/>
                <w:spacing w:val="-2"/>
                <w:sz w:val="15"/>
              </w:rPr>
              <w:t>Rasmussen</w:t>
            </w:r>
            <w:r>
              <w:rPr>
                <w:color w:val="231F20"/>
                <w:sz w:val="15"/>
              </w:rPr>
              <w:tab/>
              <w:t>Most likely immune</w:t>
              <w:tab/>
              <w:t>No tumor </w:t>
            </w:r>
            <w:r>
              <w:rPr>
                <w:color w:val="231F20"/>
                <w:spacing w:val="-2"/>
                <w:sz w:val="15"/>
              </w:rPr>
              <w:t>encephalitis</w:t>
            </w:r>
            <w:r>
              <w:rPr>
                <w:color w:val="231F20"/>
                <w:sz w:val="15"/>
              </w:rPr>
              <w:tab/>
              <w:tab/>
              <w:t>mediated (unclear</w:t>
              <w:tab/>
              <w:tab/>
            </w:r>
            <w:r>
              <w:rPr>
                <w:color w:val="231F20"/>
                <w:spacing w:val="-2"/>
                <w:sz w:val="15"/>
              </w:rPr>
              <w:t>association</w:t>
            </w:r>
          </w:p>
          <w:p>
            <w:pPr>
              <w:pStyle w:val="TableParagraph"/>
              <w:spacing w:line="170" w:lineRule="exact"/>
              <w:ind w:left="1607"/>
              <w:rPr>
                <w:sz w:val="15"/>
              </w:rPr>
            </w:pPr>
            <w:r>
              <w:rPr>
                <w:color w:val="231F20"/>
                <w:spacing w:val="-2"/>
                <w:sz w:val="15"/>
              </w:rPr>
              <w:t>mechanism)</w:t>
            </w:r>
          </w:p>
          <w:p>
            <w:pPr>
              <w:pStyle w:val="TableParagraph"/>
              <w:spacing w:before="162"/>
              <w:rPr>
                <w:i/>
                <w:sz w:val="15"/>
              </w:rPr>
            </w:pPr>
          </w:p>
          <w:p>
            <w:pPr>
              <w:pStyle w:val="TableParagraph"/>
              <w:tabs>
                <w:tab w:pos="1495" w:val="left" w:leader="none"/>
                <w:tab w:pos="1607" w:val="left" w:leader="none"/>
                <w:tab w:pos="3107" w:val="left" w:leader="none"/>
                <w:tab w:pos="3219" w:val="left" w:leader="none"/>
              </w:tabs>
              <w:spacing w:line="230" w:lineRule="auto"/>
              <w:ind w:left="186" w:right="502" w:hanging="112"/>
              <w:rPr>
                <w:sz w:val="15"/>
              </w:rPr>
            </w:pPr>
            <w:r>
              <w:rPr>
                <w:color w:val="231F20"/>
                <w:sz w:val="15"/>
              </w:rPr>
              <w:t>Basal ganglia</w:t>
              <w:tab/>
              <w:t>Antibodies to D2R in</w:t>
              <w:tab/>
              <w:t>No tumor </w:t>
            </w:r>
            <w:r>
              <w:rPr>
                <w:color w:val="231F20"/>
                <w:spacing w:val="-2"/>
                <w:sz w:val="15"/>
              </w:rPr>
              <w:t>encephalitis</w:t>
            </w:r>
            <w:r>
              <w:rPr>
                <w:color w:val="231F20"/>
                <w:sz w:val="15"/>
              </w:rPr>
              <w:tab/>
              <w:tab/>
              <w:t>some cases</w:t>
              <w:tab/>
              <w:tab/>
            </w:r>
            <w:r>
              <w:rPr>
                <w:color w:val="231F20"/>
                <w:spacing w:val="-2"/>
                <w:sz w:val="15"/>
              </w:rPr>
              <w:t>association</w:t>
            </w:r>
          </w:p>
        </w:tc>
        <w:tc>
          <w:tcPr>
            <w:tcW w:w="1676" w:type="dxa"/>
            <w:vMerge/>
            <w:tcBorders>
              <w:top w:val="nil"/>
              <w:bottom w:val="single" w:sz="4" w:space="0" w:color="FFFFFF"/>
            </w:tcBorders>
            <w:shd w:val="clear" w:color="auto" w:fill="E8F5F1"/>
          </w:tcPr>
          <w:p>
            <w:pPr>
              <w:rPr>
                <w:sz w:val="2"/>
                <w:szCs w:val="2"/>
              </w:rPr>
            </w:pPr>
          </w:p>
        </w:tc>
        <w:tc>
          <w:tcPr>
            <w:tcW w:w="1865" w:type="dxa"/>
            <w:tcBorders>
              <w:bottom w:val="single" w:sz="4" w:space="0" w:color="FFFFFF"/>
            </w:tcBorders>
            <w:shd w:val="clear" w:color="auto" w:fill="E8F5F1"/>
          </w:tcPr>
          <w:p>
            <w:pPr>
              <w:pStyle w:val="TableParagraph"/>
              <w:spacing w:line="230" w:lineRule="auto" w:before="80"/>
              <w:ind w:left="213" w:right="130" w:hanging="112"/>
              <w:rPr>
                <w:sz w:val="15"/>
              </w:rPr>
            </w:pPr>
            <w:r>
              <w:rPr>
                <w:color w:val="231F20"/>
                <w:sz w:val="15"/>
              </w:rPr>
              <w:t>MRI: progressive </w:t>
            </w:r>
            <w:r>
              <w:rPr>
                <w:color w:val="231F20"/>
                <w:spacing w:val="-4"/>
                <w:sz w:val="15"/>
              </w:rPr>
              <w:t>unilateral </w:t>
            </w:r>
            <w:r>
              <w:rPr>
                <w:color w:val="231F20"/>
                <w:spacing w:val="-4"/>
                <w:sz w:val="15"/>
              </w:rPr>
              <w:t>hemispheric </w:t>
            </w:r>
            <w:r>
              <w:rPr>
                <w:color w:val="231F20"/>
                <w:spacing w:val="-2"/>
                <w:sz w:val="15"/>
              </w:rPr>
              <w:t>atrophy</w:t>
            </w:r>
          </w:p>
          <w:p>
            <w:pPr>
              <w:pStyle w:val="TableParagraph"/>
              <w:spacing w:before="165"/>
              <w:rPr>
                <w:i/>
                <w:sz w:val="15"/>
              </w:rPr>
            </w:pPr>
          </w:p>
          <w:p>
            <w:pPr>
              <w:pStyle w:val="TableParagraph"/>
              <w:spacing w:line="230" w:lineRule="auto"/>
              <w:ind w:left="213" w:hanging="112"/>
              <w:rPr>
                <w:sz w:val="15"/>
              </w:rPr>
            </w:pPr>
            <w:r>
              <w:rPr>
                <w:color w:val="231F20"/>
                <w:sz w:val="15"/>
              </w:rPr>
              <w:t>Variable basal ganglia </w:t>
            </w:r>
            <w:r>
              <w:rPr>
                <w:color w:val="231F20"/>
                <w:spacing w:val="-2"/>
                <w:sz w:val="15"/>
              </w:rPr>
              <w:t>T2/FLAIR</w:t>
            </w:r>
            <w:r>
              <w:rPr>
                <w:color w:val="231F20"/>
                <w:spacing w:val="-10"/>
                <w:sz w:val="15"/>
              </w:rPr>
              <w:t> </w:t>
            </w:r>
            <w:r>
              <w:rPr>
                <w:color w:val="231F20"/>
                <w:spacing w:val="-2"/>
                <w:sz w:val="15"/>
              </w:rPr>
              <w:t>abnormalities</w:t>
            </w:r>
          </w:p>
        </w:tc>
        <w:tc>
          <w:tcPr>
            <w:tcW w:w="1740" w:type="dxa"/>
            <w:tcBorders>
              <w:bottom w:val="single" w:sz="4" w:space="0" w:color="FFFFFF"/>
            </w:tcBorders>
            <w:shd w:val="clear" w:color="auto" w:fill="E8F5F1"/>
          </w:tcPr>
          <w:p>
            <w:pPr>
              <w:pStyle w:val="TableParagraph"/>
              <w:spacing w:line="230" w:lineRule="auto" w:before="80"/>
              <w:ind w:left="213" w:right="284" w:hanging="112"/>
              <w:rPr>
                <w:sz w:val="15"/>
              </w:rPr>
            </w:pPr>
            <w:r>
              <w:rPr>
                <w:color w:val="231F20"/>
                <w:sz w:val="15"/>
              </w:rPr>
              <w:t>Limited</w:t>
            </w:r>
            <w:r>
              <w:rPr>
                <w:color w:val="231F20"/>
                <w:spacing w:val="-11"/>
                <w:sz w:val="15"/>
              </w:rPr>
              <w:t> </w:t>
            </w:r>
            <w:r>
              <w:rPr>
                <w:color w:val="231F20"/>
                <w:sz w:val="15"/>
              </w:rPr>
              <w:t>response</w:t>
            </w:r>
            <w:r>
              <w:rPr>
                <w:color w:val="231F20"/>
                <w:spacing w:val="-11"/>
                <w:sz w:val="15"/>
              </w:rPr>
              <w:t> </w:t>
            </w:r>
            <w:r>
              <w:rPr>
                <w:color w:val="231F20"/>
                <w:sz w:val="15"/>
              </w:rPr>
              <w:t>to </w:t>
            </w:r>
            <w:r>
              <w:rPr>
                <w:color w:val="231F20"/>
                <w:spacing w:val="-2"/>
                <w:sz w:val="15"/>
              </w:rPr>
              <w:t>immunotherapy. </w:t>
            </w:r>
            <w:r>
              <w:rPr>
                <w:color w:val="231F20"/>
                <w:sz w:val="15"/>
              </w:rPr>
              <w:t>Patients</w:t>
            </w:r>
            <w:r>
              <w:rPr>
                <w:color w:val="231F20"/>
                <w:spacing w:val="-12"/>
                <w:sz w:val="15"/>
              </w:rPr>
              <w:t> </w:t>
            </w:r>
            <w:r>
              <w:rPr>
                <w:color w:val="231F20"/>
                <w:sz w:val="15"/>
              </w:rPr>
              <w:t>may</w:t>
            </w:r>
            <w:r>
              <w:rPr>
                <w:color w:val="231F20"/>
                <w:spacing w:val="-11"/>
                <w:sz w:val="15"/>
              </w:rPr>
              <w:t> </w:t>
            </w:r>
            <w:r>
              <w:rPr>
                <w:color w:val="231F20"/>
                <w:sz w:val="15"/>
              </w:rPr>
              <w:t>need </w:t>
            </w:r>
            <w:r>
              <w:rPr>
                <w:color w:val="231F20"/>
                <w:spacing w:val="-2"/>
                <w:sz w:val="15"/>
              </w:rPr>
              <w:t>functional hemispherectomy</w:t>
            </w:r>
          </w:p>
          <w:p>
            <w:pPr>
              <w:pStyle w:val="TableParagraph"/>
              <w:spacing w:line="230" w:lineRule="auto" w:before="5"/>
              <w:ind w:left="213" w:right="250" w:hanging="112"/>
              <w:rPr>
                <w:sz w:val="15"/>
              </w:rPr>
            </w:pPr>
            <w:r>
              <w:rPr>
                <w:color w:val="231F20"/>
                <w:sz w:val="15"/>
              </w:rPr>
              <w:t>Mostly</w:t>
            </w:r>
            <w:r>
              <w:rPr>
                <w:color w:val="231F20"/>
                <w:spacing w:val="-12"/>
                <w:sz w:val="15"/>
              </w:rPr>
              <w:t> </w:t>
            </w:r>
            <w:r>
              <w:rPr>
                <w:color w:val="231F20"/>
                <w:sz w:val="15"/>
              </w:rPr>
              <w:t>monophasic, can relapse</w:t>
            </w:r>
          </w:p>
        </w:tc>
      </w:tr>
      <w:tr>
        <w:trPr>
          <w:trHeight w:val="210" w:hRule="atLeast"/>
        </w:trPr>
        <w:tc>
          <w:tcPr>
            <w:tcW w:w="4459" w:type="dxa"/>
            <w:tcBorders>
              <w:top w:val="single" w:sz="4" w:space="0" w:color="FFFFFF"/>
            </w:tcBorders>
            <w:shd w:val="clear" w:color="auto" w:fill="E8F5F1"/>
          </w:tcPr>
          <w:p>
            <w:pPr>
              <w:pStyle w:val="TableParagraph"/>
              <w:spacing w:line="147" w:lineRule="exact" w:before="43"/>
              <w:ind w:left="74"/>
              <w:rPr>
                <w:sz w:val="15"/>
              </w:rPr>
            </w:pPr>
            <w:r>
              <w:rPr>
                <w:color w:val="231F20"/>
                <w:w w:val="115"/>
                <w:sz w:val="15"/>
              </w:rPr>
              <w:t>POSSIBLE</w:t>
            </w:r>
            <w:r>
              <w:rPr>
                <w:color w:val="231F20"/>
                <w:spacing w:val="-8"/>
                <w:w w:val="115"/>
                <w:sz w:val="15"/>
              </w:rPr>
              <w:t> </w:t>
            </w:r>
            <w:r>
              <w:rPr>
                <w:color w:val="231F20"/>
                <w:w w:val="115"/>
                <w:sz w:val="15"/>
              </w:rPr>
              <w:t>IMMUNE</w:t>
            </w:r>
            <w:r>
              <w:rPr>
                <w:color w:val="231F20"/>
                <w:spacing w:val="-7"/>
                <w:w w:val="115"/>
                <w:sz w:val="15"/>
              </w:rPr>
              <w:t> </w:t>
            </w:r>
            <w:r>
              <w:rPr>
                <w:color w:val="231F20"/>
                <w:spacing w:val="-2"/>
                <w:w w:val="115"/>
                <w:sz w:val="15"/>
              </w:rPr>
              <w:t>MECHANISMS</w:t>
            </w:r>
          </w:p>
        </w:tc>
        <w:tc>
          <w:tcPr>
            <w:tcW w:w="1676" w:type="dxa"/>
            <w:vMerge w:val="restart"/>
            <w:tcBorders>
              <w:top w:val="single" w:sz="4" w:space="0" w:color="FFFFFF"/>
            </w:tcBorders>
            <w:shd w:val="clear" w:color="auto" w:fill="E8F5F1"/>
          </w:tcPr>
          <w:p>
            <w:pPr>
              <w:pStyle w:val="TableParagraph"/>
              <w:spacing w:before="44"/>
              <w:rPr>
                <w:i/>
                <w:sz w:val="15"/>
              </w:rPr>
            </w:pPr>
          </w:p>
          <w:p>
            <w:pPr>
              <w:pStyle w:val="TableParagraph"/>
              <w:spacing w:line="230" w:lineRule="auto"/>
              <w:ind w:left="213" w:hanging="112"/>
              <w:rPr>
                <w:sz w:val="15"/>
              </w:rPr>
            </w:pPr>
            <w:r>
              <w:rPr>
                <w:color w:val="231F20"/>
                <w:sz w:val="15"/>
              </w:rPr>
              <w:t>Episodic</w:t>
            </w:r>
            <w:r>
              <w:rPr>
                <w:color w:val="231F20"/>
                <w:spacing w:val="-5"/>
                <w:sz w:val="15"/>
              </w:rPr>
              <w:t> </w:t>
            </w:r>
            <w:r>
              <w:rPr>
                <w:color w:val="231F20"/>
                <w:sz w:val="15"/>
              </w:rPr>
              <w:t>diplopia</w:t>
            </w:r>
            <w:r>
              <w:rPr>
                <w:color w:val="231F20"/>
                <w:spacing w:val="-5"/>
                <w:sz w:val="15"/>
              </w:rPr>
              <w:t> </w:t>
            </w:r>
            <w:r>
              <w:rPr>
                <w:color w:val="231F20"/>
                <w:sz w:val="15"/>
              </w:rPr>
              <w:t>or </w:t>
            </w:r>
            <w:r>
              <w:rPr>
                <w:color w:val="231F20"/>
                <w:spacing w:val="-2"/>
                <w:sz w:val="15"/>
              </w:rPr>
              <w:t>facial</w:t>
            </w:r>
            <w:r>
              <w:rPr>
                <w:color w:val="231F20"/>
                <w:spacing w:val="-10"/>
                <w:sz w:val="15"/>
              </w:rPr>
              <w:t> </w:t>
            </w:r>
            <w:r>
              <w:rPr>
                <w:color w:val="231F20"/>
                <w:spacing w:val="-2"/>
                <w:sz w:val="15"/>
              </w:rPr>
              <w:t>paresthesias </w:t>
            </w:r>
            <w:r>
              <w:rPr>
                <w:color w:val="231F20"/>
                <w:sz w:val="15"/>
              </w:rPr>
              <w:t>with subsequent development of symptoms of brainstem and </w:t>
            </w:r>
            <w:r>
              <w:rPr>
                <w:color w:val="231F20"/>
                <w:spacing w:val="-2"/>
                <w:sz w:val="15"/>
              </w:rPr>
              <w:t>occasionally</w:t>
            </w:r>
            <w:r>
              <w:rPr>
                <w:color w:val="231F20"/>
                <w:spacing w:val="-10"/>
                <w:sz w:val="15"/>
              </w:rPr>
              <w:t> </w:t>
            </w:r>
            <w:r>
              <w:rPr>
                <w:color w:val="231F20"/>
                <w:spacing w:val="-2"/>
                <w:sz w:val="15"/>
              </w:rPr>
              <w:t>spinal </w:t>
            </w:r>
            <w:r>
              <w:rPr>
                <w:color w:val="231F20"/>
                <w:sz w:val="15"/>
              </w:rPr>
              <w:t>cord dysfunction</w:t>
            </w:r>
          </w:p>
        </w:tc>
        <w:tc>
          <w:tcPr>
            <w:tcW w:w="1865"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13" w:right="122" w:hanging="112"/>
              <w:rPr>
                <w:sz w:val="15"/>
              </w:rPr>
            </w:pPr>
            <w:r>
              <w:rPr>
                <w:color w:val="231F20"/>
                <w:sz w:val="15"/>
              </w:rPr>
              <w:t>MRI: symmetric curvilinear</w:t>
            </w:r>
            <w:r>
              <w:rPr>
                <w:color w:val="231F20"/>
                <w:spacing w:val="-12"/>
                <w:sz w:val="15"/>
              </w:rPr>
              <w:t> </w:t>
            </w:r>
            <w:r>
              <w:rPr>
                <w:color w:val="231F20"/>
                <w:sz w:val="15"/>
              </w:rPr>
              <w:t>gadolinium </w:t>
            </w:r>
            <w:r>
              <w:rPr>
                <w:color w:val="231F20"/>
                <w:spacing w:val="-2"/>
                <w:sz w:val="15"/>
              </w:rPr>
              <w:t>enhancement </w:t>
            </w:r>
            <w:r>
              <w:rPr>
                <w:color w:val="231F20"/>
                <w:sz w:val="15"/>
              </w:rPr>
              <w:t>peppering the pons and</w:t>
            </w:r>
            <w:r>
              <w:rPr>
                <w:color w:val="231F20"/>
                <w:spacing w:val="-12"/>
                <w:sz w:val="15"/>
              </w:rPr>
              <w:t> </w:t>
            </w:r>
            <w:r>
              <w:rPr>
                <w:color w:val="231F20"/>
                <w:sz w:val="15"/>
              </w:rPr>
              <w:t>extending</w:t>
            </w:r>
            <w:r>
              <w:rPr>
                <w:color w:val="231F20"/>
                <w:spacing w:val="-11"/>
                <w:sz w:val="15"/>
              </w:rPr>
              <w:t> </w:t>
            </w:r>
            <w:r>
              <w:rPr>
                <w:color w:val="231F20"/>
                <w:sz w:val="15"/>
              </w:rPr>
              <w:t>variably into the medulla, brachium pontis, cerebellum,</w:t>
            </w:r>
            <w:r>
              <w:rPr>
                <w:color w:val="231F20"/>
                <w:spacing w:val="-12"/>
                <w:sz w:val="15"/>
              </w:rPr>
              <w:t> </w:t>
            </w:r>
            <w:r>
              <w:rPr>
                <w:color w:val="231F20"/>
                <w:sz w:val="15"/>
              </w:rPr>
              <w:t>midbrain, and, occasionally, spinal cord</w:t>
            </w:r>
          </w:p>
          <w:p>
            <w:pPr>
              <w:pStyle w:val="TableParagraph"/>
              <w:spacing w:line="230" w:lineRule="auto" w:before="9"/>
              <w:ind w:left="213" w:right="573" w:hanging="112"/>
              <w:rPr>
                <w:sz w:val="15"/>
              </w:rPr>
            </w:pPr>
            <w:r>
              <w:rPr>
                <w:color w:val="231F20"/>
                <w:sz w:val="15"/>
              </w:rPr>
              <w:t>Brain</w:t>
            </w:r>
            <w:r>
              <w:rPr>
                <w:color w:val="231F20"/>
                <w:spacing w:val="-12"/>
                <w:sz w:val="15"/>
              </w:rPr>
              <w:t> </w:t>
            </w:r>
            <w:r>
              <w:rPr>
                <w:color w:val="231F20"/>
                <w:sz w:val="15"/>
              </w:rPr>
              <w:t>MRI,</w:t>
            </w:r>
            <w:r>
              <w:rPr>
                <w:color w:val="231F20"/>
                <w:spacing w:val="-11"/>
                <w:sz w:val="15"/>
              </w:rPr>
              <w:t> </w:t>
            </w:r>
            <w:r>
              <w:rPr>
                <w:color w:val="231F20"/>
                <w:sz w:val="15"/>
              </w:rPr>
              <w:t>usually </w:t>
            </w:r>
            <w:r>
              <w:rPr>
                <w:color w:val="231F20"/>
                <w:spacing w:val="-2"/>
                <w:sz w:val="15"/>
              </w:rPr>
              <w:t>normal</w:t>
            </w:r>
          </w:p>
        </w:tc>
        <w:tc>
          <w:tcPr>
            <w:tcW w:w="1740" w:type="dxa"/>
            <w:vMerge w:val="restart"/>
            <w:tcBorders>
              <w:top w:val="single" w:sz="4" w:space="0" w:color="FFFFFF"/>
            </w:tcBorders>
            <w:shd w:val="clear" w:color="auto" w:fill="E8F5F1"/>
          </w:tcPr>
          <w:p>
            <w:pPr>
              <w:pStyle w:val="TableParagraph"/>
              <w:spacing w:before="44"/>
              <w:rPr>
                <w:i/>
                <w:sz w:val="15"/>
              </w:rPr>
            </w:pPr>
          </w:p>
          <w:p>
            <w:pPr>
              <w:pStyle w:val="TableParagraph"/>
              <w:spacing w:line="230" w:lineRule="auto"/>
              <w:ind w:left="213" w:right="121" w:hanging="112"/>
              <w:rPr>
                <w:sz w:val="15"/>
              </w:rPr>
            </w:pPr>
            <w:r>
              <w:rPr>
                <w:color w:val="231F20"/>
                <w:sz w:val="15"/>
              </w:rPr>
              <w:t>Steroid-responsive</w:t>
            </w:r>
            <w:r>
              <w:rPr>
                <w:color w:val="231F20"/>
                <w:spacing w:val="-12"/>
                <w:sz w:val="15"/>
              </w:rPr>
              <w:t> </w:t>
            </w:r>
            <w:r>
              <w:rPr>
                <w:color w:val="231F20"/>
                <w:sz w:val="15"/>
              </w:rPr>
              <w:t>but may require chronic steroid or other </w:t>
            </w:r>
            <w:r>
              <w:rPr>
                <w:color w:val="231F20"/>
                <w:spacing w:val="-2"/>
                <w:sz w:val="15"/>
              </w:rPr>
              <w:t>immunosuppressive therapy</w:t>
            </w:r>
          </w:p>
        </w:tc>
      </w:tr>
      <w:tr>
        <w:trPr>
          <w:trHeight w:val="145" w:hRule="atLeast"/>
        </w:trPr>
        <w:tc>
          <w:tcPr>
            <w:tcW w:w="4459" w:type="dxa"/>
            <w:shd w:val="clear" w:color="auto" w:fill="E8F5F1"/>
          </w:tcPr>
          <w:p>
            <w:pPr>
              <w:pStyle w:val="TableParagraph"/>
              <w:tabs>
                <w:tab w:pos="1495" w:val="left" w:leader="none"/>
                <w:tab w:pos="3107" w:val="left" w:leader="none"/>
              </w:tabs>
              <w:spacing w:line="126" w:lineRule="exact"/>
              <w:ind w:left="74"/>
              <w:rPr>
                <w:sz w:val="15"/>
              </w:rPr>
            </w:pPr>
            <w:r>
              <w:rPr>
                <w:color w:val="231F20"/>
                <w:spacing w:val="-2"/>
                <w:w w:val="105"/>
                <w:sz w:val="15"/>
              </w:rPr>
              <w:t>CLIPPERS</w:t>
            </w:r>
            <w:r>
              <w:rPr>
                <w:color w:val="231F20"/>
                <w:sz w:val="15"/>
              </w:rPr>
              <w:tab/>
            </w:r>
            <w:r>
              <w:rPr>
                <w:color w:val="231F20"/>
                <w:w w:val="105"/>
                <w:sz w:val="15"/>
              </w:rPr>
              <w:t>No</w:t>
            </w:r>
            <w:r>
              <w:rPr>
                <w:color w:val="231F20"/>
                <w:spacing w:val="18"/>
                <w:w w:val="105"/>
                <w:sz w:val="15"/>
              </w:rPr>
              <w:t> </w:t>
            </w:r>
            <w:r>
              <w:rPr>
                <w:color w:val="231F20"/>
                <w:spacing w:val="-2"/>
                <w:w w:val="105"/>
                <w:sz w:val="15"/>
              </w:rPr>
              <w:t>antibodies</w:t>
            </w:r>
            <w:r>
              <w:rPr>
                <w:color w:val="231F20"/>
                <w:sz w:val="15"/>
              </w:rPr>
              <w:tab/>
            </w:r>
            <w:r>
              <w:rPr>
                <w:color w:val="231F20"/>
                <w:w w:val="105"/>
                <w:sz w:val="15"/>
              </w:rPr>
              <w:t>No</w:t>
            </w:r>
            <w:r>
              <w:rPr>
                <w:color w:val="231F20"/>
                <w:spacing w:val="18"/>
                <w:w w:val="105"/>
                <w:sz w:val="15"/>
              </w:rPr>
              <w:t> </w:t>
            </w:r>
            <w:r>
              <w:rPr>
                <w:color w:val="231F20"/>
                <w:spacing w:val="-2"/>
                <w:w w:val="105"/>
                <w:sz w:val="15"/>
              </w:rPr>
              <w:t>tumor</w:t>
            </w:r>
          </w:p>
        </w:tc>
        <w:tc>
          <w:tcPr>
            <w:tcW w:w="1676" w:type="dxa"/>
            <w:vMerge/>
            <w:tcBorders>
              <w:top w:val="nil"/>
            </w:tcBorders>
            <w:shd w:val="clear" w:color="auto" w:fill="E8F5F1"/>
          </w:tcPr>
          <w:p>
            <w:pPr>
              <w:rPr>
                <w:sz w:val="2"/>
                <w:szCs w:val="2"/>
              </w:rPr>
            </w:pPr>
          </w:p>
        </w:tc>
        <w:tc>
          <w:tcPr>
            <w:tcW w:w="1865" w:type="dxa"/>
            <w:vMerge/>
            <w:tcBorders>
              <w:top w:val="nil"/>
              <w:bottom w:val="single" w:sz="8" w:space="0" w:color="231F20"/>
            </w:tcBorders>
            <w:shd w:val="clear" w:color="auto" w:fill="E8F5F1"/>
          </w:tcPr>
          <w:p>
            <w:pPr>
              <w:rPr>
                <w:sz w:val="2"/>
                <w:szCs w:val="2"/>
              </w:rPr>
            </w:pPr>
          </w:p>
        </w:tc>
        <w:tc>
          <w:tcPr>
            <w:tcW w:w="1740" w:type="dxa"/>
            <w:vMerge/>
            <w:tcBorders>
              <w:top w:val="nil"/>
            </w:tcBorders>
            <w:shd w:val="clear" w:color="auto" w:fill="E8F5F1"/>
          </w:tcPr>
          <w:p>
            <w:pPr>
              <w:rPr>
                <w:sz w:val="2"/>
                <w:szCs w:val="2"/>
              </w:rPr>
            </w:pPr>
          </w:p>
        </w:tc>
      </w:tr>
      <w:tr>
        <w:trPr>
          <w:trHeight w:val="1324" w:hRule="atLeast"/>
        </w:trPr>
        <w:tc>
          <w:tcPr>
            <w:tcW w:w="4459" w:type="dxa"/>
            <w:shd w:val="clear" w:color="auto" w:fill="E8F5F1"/>
          </w:tcPr>
          <w:p>
            <w:pPr>
              <w:pStyle w:val="TableParagraph"/>
              <w:spacing w:line="159" w:lineRule="exact"/>
              <w:ind w:right="502"/>
              <w:jc w:val="right"/>
              <w:rPr>
                <w:sz w:val="15"/>
              </w:rPr>
            </w:pPr>
            <w:r>
              <w:rPr>
                <w:color w:val="231F20"/>
                <w:spacing w:val="-2"/>
                <w:sz w:val="15"/>
              </w:rPr>
              <w:t>association</w:t>
            </w:r>
          </w:p>
        </w:tc>
        <w:tc>
          <w:tcPr>
            <w:tcW w:w="1676" w:type="dxa"/>
            <w:vMerge/>
            <w:tcBorders>
              <w:top w:val="nil"/>
            </w:tcBorders>
            <w:shd w:val="clear" w:color="auto" w:fill="E8F5F1"/>
          </w:tcPr>
          <w:p>
            <w:pPr>
              <w:rPr>
                <w:sz w:val="2"/>
                <w:szCs w:val="2"/>
              </w:rPr>
            </w:pPr>
          </w:p>
        </w:tc>
        <w:tc>
          <w:tcPr>
            <w:tcW w:w="1865" w:type="dxa"/>
            <w:vMerge/>
            <w:tcBorders>
              <w:top w:val="nil"/>
              <w:bottom w:val="single" w:sz="8" w:space="0" w:color="231F20"/>
            </w:tcBorders>
            <w:shd w:val="clear" w:color="auto" w:fill="E8F5F1"/>
          </w:tcPr>
          <w:p>
            <w:pPr>
              <w:rPr>
                <w:sz w:val="2"/>
                <w:szCs w:val="2"/>
              </w:rPr>
            </w:pPr>
          </w:p>
        </w:tc>
        <w:tc>
          <w:tcPr>
            <w:tcW w:w="1740" w:type="dxa"/>
            <w:vMerge/>
            <w:tcBorders>
              <w:top w:val="nil"/>
            </w:tcBorders>
            <w:shd w:val="clear" w:color="auto" w:fill="E8F5F1"/>
          </w:tcPr>
          <w:p>
            <w:pPr>
              <w:rPr>
                <w:sz w:val="2"/>
                <w:szCs w:val="2"/>
              </w:rPr>
            </w:pPr>
          </w:p>
        </w:tc>
      </w:tr>
      <w:tr>
        <w:trPr>
          <w:trHeight w:val="316" w:hRule="atLeast"/>
        </w:trPr>
        <w:tc>
          <w:tcPr>
            <w:tcW w:w="4459" w:type="dxa"/>
            <w:shd w:val="clear" w:color="auto" w:fill="E8F5F1"/>
          </w:tcPr>
          <w:p>
            <w:pPr>
              <w:pStyle w:val="TableParagraph"/>
              <w:tabs>
                <w:tab w:pos="1495" w:val="left" w:leader="none"/>
                <w:tab w:pos="3107" w:val="left" w:leader="none"/>
              </w:tabs>
              <w:spacing w:line="143" w:lineRule="exact" w:before="153"/>
              <w:ind w:left="74"/>
              <w:rPr>
                <w:sz w:val="15"/>
              </w:rPr>
            </w:pPr>
            <w:r>
              <w:rPr>
                <w:color w:val="231F20"/>
                <w:spacing w:val="-2"/>
                <w:sz w:val="15"/>
              </w:rPr>
              <w:t>ROHHAD</w:t>
            </w:r>
            <w:r>
              <w:rPr>
                <w:color w:val="231F20"/>
                <w:sz w:val="15"/>
              </w:rPr>
              <w:tab/>
            </w:r>
            <w:r>
              <w:rPr>
                <w:color w:val="231F20"/>
                <w:spacing w:val="-2"/>
                <w:sz w:val="15"/>
              </w:rPr>
              <w:t>Unknown.</w:t>
            </w:r>
            <w:r>
              <w:rPr>
                <w:color w:val="231F20"/>
                <w:sz w:val="15"/>
              </w:rPr>
              <w:tab/>
              <w:t>Neural</w:t>
            </w:r>
            <w:r>
              <w:rPr>
                <w:color w:val="231F20"/>
                <w:spacing w:val="-12"/>
                <w:sz w:val="15"/>
              </w:rPr>
              <w:t> </w:t>
            </w:r>
            <w:r>
              <w:rPr>
                <w:color w:val="231F20"/>
                <w:sz w:val="15"/>
              </w:rPr>
              <w:t>crest</w:t>
            </w:r>
            <w:r>
              <w:rPr>
                <w:color w:val="231F20"/>
                <w:spacing w:val="-11"/>
                <w:sz w:val="15"/>
              </w:rPr>
              <w:t> </w:t>
            </w:r>
            <w:r>
              <w:rPr>
                <w:color w:val="231F20"/>
                <w:spacing w:val="-2"/>
                <w:sz w:val="15"/>
              </w:rPr>
              <w:t>tumor</w:t>
            </w:r>
          </w:p>
        </w:tc>
        <w:tc>
          <w:tcPr>
            <w:tcW w:w="1676" w:type="dxa"/>
            <w:vMerge w:val="restart"/>
            <w:tcBorders>
              <w:bottom w:val="single" w:sz="8" w:space="0" w:color="231F20"/>
            </w:tcBorders>
            <w:shd w:val="clear" w:color="auto" w:fill="E8F5F1"/>
          </w:tcPr>
          <w:p>
            <w:pPr>
              <w:pStyle w:val="TableParagraph"/>
              <w:spacing w:line="230" w:lineRule="auto" w:before="159"/>
              <w:ind w:left="213" w:right="105" w:hanging="112"/>
              <w:rPr>
                <w:sz w:val="15"/>
              </w:rPr>
            </w:pPr>
            <w:r>
              <w:rPr>
                <w:color w:val="231F20"/>
                <w:sz w:val="15"/>
              </w:rPr>
              <w:t>Rapid onset obesity, </w:t>
            </w:r>
            <w:r>
              <w:rPr>
                <w:color w:val="231F20"/>
                <w:spacing w:val="-2"/>
                <w:sz w:val="15"/>
              </w:rPr>
              <w:t>hyperphagia, abnormal</w:t>
            </w:r>
            <w:r>
              <w:rPr>
                <w:color w:val="231F20"/>
                <w:spacing w:val="-10"/>
                <w:sz w:val="15"/>
              </w:rPr>
              <w:t> </w:t>
            </w:r>
            <w:r>
              <w:rPr>
                <w:color w:val="231F20"/>
                <w:spacing w:val="-2"/>
                <w:sz w:val="15"/>
              </w:rPr>
              <w:t>behavior, autonomic </w:t>
            </w:r>
            <w:r>
              <w:rPr>
                <w:color w:val="231F20"/>
                <w:sz w:val="15"/>
              </w:rPr>
              <w:t>dysfunction, and </w:t>
            </w:r>
            <w:r>
              <w:rPr>
                <w:color w:val="231F20"/>
                <w:spacing w:val="-2"/>
                <w:sz w:val="15"/>
              </w:rPr>
              <w:t>central hypoventilation</w:t>
            </w:r>
          </w:p>
        </w:tc>
        <w:tc>
          <w:tcPr>
            <w:tcW w:w="1865" w:type="dxa"/>
            <w:vMerge/>
            <w:tcBorders>
              <w:top w:val="nil"/>
              <w:bottom w:val="single" w:sz="8" w:space="0" w:color="231F20"/>
            </w:tcBorders>
            <w:shd w:val="clear" w:color="auto" w:fill="E8F5F1"/>
          </w:tcPr>
          <w:p>
            <w:pPr>
              <w:rPr>
                <w:sz w:val="2"/>
                <w:szCs w:val="2"/>
              </w:rPr>
            </w:pPr>
          </w:p>
        </w:tc>
        <w:tc>
          <w:tcPr>
            <w:tcW w:w="1740" w:type="dxa"/>
            <w:vMerge w:val="restart"/>
            <w:tcBorders>
              <w:bottom w:val="single" w:sz="8" w:space="0" w:color="231F20"/>
            </w:tcBorders>
            <w:shd w:val="clear" w:color="auto" w:fill="E8F5F1"/>
          </w:tcPr>
          <w:p>
            <w:pPr>
              <w:pStyle w:val="TableParagraph"/>
              <w:spacing w:line="230" w:lineRule="auto" w:before="159"/>
              <w:ind w:left="213" w:right="150" w:hanging="112"/>
              <w:rPr>
                <w:sz w:val="15"/>
              </w:rPr>
            </w:pPr>
            <w:r>
              <w:rPr>
                <w:color w:val="231F20"/>
                <w:sz w:val="15"/>
              </w:rPr>
              <w:t>Symptomatic;</w:t>
            </w:r>
            <w:r>
              <w:rPr>
                <w:color w:val="231F20"/>
                <w:spacing w:val="-12"/>
                <w:sz w:val="15"/>
              </w:rPr>
              <w:t> </w:t>
            </w:r>
            <w:r>
              <w:rPr>
                <w:color w:val="231F20"/>
                <w:sz w:val="15"/>
              </w:rPr>
              <w:t>in</w:t>
            </w:r>
            <w:r>
              <w:rPr>
                <w:color w:val="231F20"/>
                <w:spacing w:val="-11"/>
                <w:sz w:val="15"/>
              </w:rPr>
              <w:t> </w:t>
            </w:r>
            <w:r>
              <w:rPr>
                <w:color w:val="231F20"/>
                <w:sz w:val="15"/>
              </w:rPr>
              <w:t>some patients limited response to </w:t>
            </w:r>
            <w:r>
              <w:rPr>
                <w:color w:val="231F20"/>
                <w:spacing w:val="-2"/>
                <w:sz w:val="15"/>
              </w:rPr>
              <w:t>immunotherapy</w:t>
            </w:r>
          </w:p>
        </w:tc>
      </w:tr>
      <w:tr>
        <w:trPr>
          <w:trHeight w:val="147" w:hRule="atLeast"/>
        </w:trPr>
        <w:tc>
          <w:tcPr>
            <w:tcW w:w="4459" w:type="dxa"/>
            <w:shd w:val="clear" w:color="auto" w:fill="E8F5F1"/>
          </w:tcPr>
          <w:p>
            <w:pPr>
              <w:pStyle w:val="TableParagraph"/>
              <w:tabs>
                <w:tab w:pos="3219" w:val="left" w:leader="none"/>
              </w:tabs>
              <w:spacing w:line="128" w:lineRule="exact"/>
              <w:ind w:left="1607"/>
              <w:rPr>
                <w:sz w:val="15"/>
              </w:rPr>
            </w:pPr>
            <w:r>
              <w:rPr>
                <w:color w:val="231F20"/>
                <w:sz w:val="15"/>
              </w:rPr>
              <w:t>Autoimmune</w:t>
            </w:r>
            <w:r>
              <w:rPr>
                <w:color w:val="231F20"/>
                <w:spacing w:val="9"/>
                <w:sz w:val="15"/>
              </w:rPr>
              <w:t> </w:t>
            </w:r>
            <w:r>
              <w:rPr>
                <w:color w:val="231F20"/>
                <w:spacing w:val="-5"/>
                <w:sz w:val="15"/>
              </w:rPr>
              <w:t>and</w:t>
            </w:r>
            <w:r>
              <w:rPr>
                <w:color w:val="231F20"/>
                <w:sz w:val="15"/>
              </w:rPr>
              <w:tab/>
              <w:t>in</w:t>
            </w:r>
            <w:r>
              <w:rPr>
                <w:color w:val="231F20"/>
                <w:spacing w:val="22"/>
                <w:sz w:val="15"/>
              </w:rPr>
              <w:t> </w:t>
            </w:r>
            <w:r>
              <w:rPr>
                <w:color w:val="231F20"/>
                <w:sz w:val="15"/>
              </w:rPr>
              <w:t>~50%</w:t>
            </w:r>
            <w:r>
              <w:rPr>
                <w:color w:val="231F20"/>
                <w:spacing w:val="22"/>
                <w:sz w:val="15"/>
              </w:rPr>
              <w:t> </w:t>
            </w:r>
            <w:r>
              <w:rPr>
                <w:color w:val="231F20"/>
                <w:spacing w:val="-5"/>
                <w:sz w:val="15"/>
              </w:rPr>
              <w:t>of</w:t>
            </w:r>
          </w:p>
        </w:tc>
        <w:tc>
          <w:tcPr>
            <w:tcW w:w="1676" w:type="dxa"/>
            <w:vMerge/>
            <w:tcBorders>
              <w:top w:val="nil"/>
              <w:bottom w:val="single" w:sz="8" w:space="0" w:color="231F20"/>
            </w:tcBorders>
            <w:shd w:val="clear" w:color="auto" w:fill="E8F5F1"/>
          </w:tcPr>
          <w:p>
            <w:pPr>
              <w:rPr>
                <w:sz w:val="2"/>
                <w:szCs w:val="2"/>
              </w:rPr>
            </w:pPr>
          </w:p>
        </w:tc>
        <w:tc>
          <w:tcPr>
            <w:tcW w:w="1865" w:type="dxa"/>
            <w:vMerge/>
            <w:tcBorders>
              <w:top w:val="nil"/>
              <w:bottom w:val="single" w:sz="8" w:space="0" w:color="231F20"/>
            </w:tcBorders>
            <w:shd w:val="clear" w:color="auto" w:fill="E8F5F1"/>
          </w:tcPr>
          <w:p>
            <w:pPr>
              <w:rPr>
                <w:sz w:val="2"/>
                <w:szCs w:val="2"/>
              </w:rPr>
            </w:pPr>
          </w:p>
        </w:tc>
        <w:tc>
          <w:tcPr>
            <w:tcW w:w="1740" w:type="dxa"/>
            <w:vMerge/>
            <w:tcBorders>
              <w:top w:val="nil"/>
              <w:bottom w:val="single" w:sz="8" w:space="0" w:color="231F20"/>
            </w:tcBorders>
            <w:shd w:val="clear" w:color="auto" w:fill="E8F5F1"/>
          </w:tcPr>
          <w:p>
            <w:pPr>
              <w:rPr>
                <w:sz w:val="2"/>
                <w:szCs w:val="2"/>
              </w:rPr>
            </w:pPr>
          </w:p>
        </w:tc>
      </w:tr>
      <w:tr>
        <w:trPr>
          <w:trHeight w:val="147" w:hRule="atLeast"/>
        </w:trPr>
        <w:tc>
          <w:tcPr>
            <w:tcW w:w="4459" w:type="dxa"/>
            <w:shd w:val="clear" w:color="auto" w:fill="E8F5F1"/>
          </w:tcPr>
          <w:p>
            <w:pPr>
              <w:pStyle w:val="TableParagraph"/>
              <w:tabs>
                <w:tab w:pos="3219" w:val="left" w:leader="none"/>
              </w:tabs>
              <w:spacing w:line="128" w:lineRule="exact"/>
              <w:ind w:left="1607"/>
              <w:rPr>
                <w:sz w:val="15"/>
              </w:rPr>
            </w:pPr>
            <w:r>
              <w:rPr>
                <w:color w:val="231F20"/>
                <w:sz w:val="15"/>
              </w:rPr>
              <w:t>genetic</w:t>
            </w:r>
            <w:r>
              <w:rPr>
                <w:color w:val="231F20"/>
                <w:spacing w:val="1"/>
                <w:sz w:val="15"/>
              </w:rPr>
              <w:t> </w:t>
            </w:r>
            <w:r>
              <w:rPr>
                <w:color w:val="231F20"/>
                <w:spacing w:val="-2"/>
                <w:sz w:val="15"/>
              </w:rPr>
              <w:t>origin</w:t>
            </w:r>
            <w:r>
              <w:rPr>
                <w:color w:val="231F20"/>
                <w:sz w:val="15"/>
              </w:rPr>
              <w:tab/>
            </w:r>
            <w:r>
              <w:rPr>
                <w:color w:val="231F20"/>
                <w:spacing w:val="-2"/>
                <w:sz w:val="15"/>
              </w:rPr>
              <w:t>cases</w:t>
            </w:r>
            <w:r>
              <w:rPr>
                <w:color w:val="0080AC"/>
                <w:spacing w:val="-2"/>
                <w:sz w:val="15"/>
                <w:vertAlign w:val="superscript"/>
              </w:rPr>
              <w:t>†</w:t>
            </w:r>
          </w:p>
        </w:tc>
        <w:tc>
          <w:tcPr>
            <w:tcW w:w="1676" w:type="dxa"/>
            <w:vMerge/>
            <w:tcBorders>
              <w:top w:val="nil"/>
              <w:bottom w:val="single" w:sz="8" w:space="0" w:color="231F20"/>
            </w:tcBorders>
            <w:shd w:val="clear" w:color="auto" w:fill="E8F5F1"/>
          </w:tcPr>
          <w:p>
            <w:pPr>
              <w:rPr>
                <w:sz w:val="2"/>
                <w:szCs w:val="2"/>
              </w:rPr>
            </w:pPr>
          </w:p>
        </w:tc>
        <w:tc>
          <w:tcPr>
            <w:tcW w:w="1865" w:type="dxa"/>
            <w:vMerge/>
            <w:tcBorders>
              <w:top w:val="nil"/>
              <w:bottom w:val="single" w:sz="8" w:space="0" w:color="231F20"/>
            </w:tcBorders>
            <w:shd w:val="clear" w:color="auto" w:fill="E8F5F1"/>
          </w:tcPr>
          <w:p>
            <w:pPr>
              <w:rPr>
                <w:sz w:val="2"/>
                <w:szCs w:val="2"/>
              </w:rPr>
            </w:pPr>
          </w:p>
        </w:tc>
        <w:tc>
          <w:tcPr>
            <w:tcW w:w="1740" w:type="dxa"/>
            <w:vMerge/>
            <w:tcBorders>
              <w:top w:val="nil"/>
              <w:bottom w:val="single" w:sz="8" w:space="0" w:color="231F20"/>
            </w:tcBorders>
            <w:shd w:val="clear" w:color="auto" w:fill="E8F5F1"/>
          </w:tcPr>
          <w:p>
            <w:pPr>
              <w:rPr>
                <w:sz w:val="2"/>
                <w:szCs w:val="2"/>
              </w:rPr>
            </w:pPr>
          </w:p>
        </w:tc>
      </w:tr>
      <w:tr>
        <w:trPr>
          <w:trHeight w:val="694" w:hRule="atLeast"/>
        </w:trPr>
        <w:tc>
          <w:tcPr>
            <w:tcW w:w="4459" w:type="dxa"/>
            <w:tcBorders>
              <w:bottom w:val="single" w:sz="8" w:space="0" w:color="231F20"/>
            </w:tcBorders>
            <w:shd w:val="clear" w:color="auto" w:fill="E8F5F1"/>
          </w:tcPr>
          <w:p>
            <w:pPr>
              <w:pStyle w:val="TableParagraph"/>
              <w:spacing w:line="159" w:lineRule="exact"/>
              <w:ind w:right="489"/>
              <w:jc w:val="center"/>
              <w:rPr>
                <w:sz w:val="15"/>
              </w:rPr>
            </w:pPr>
            <w:r>
              <w:rPr>
                <w:color w:val="231F20"/>
                <w:spacing w:val="-2"/>
                <w:sz w:val="15"/>
              </w:rPr>
              <w:t>postulated.</w:t>
            </w:r>
          </w:p>
        </w:tc>
        <w:tc>
          <w:tcPr>
            <w:tcW w:w="1676" w:type="dxa"/>
            <w:vMerge/>
            <w:tcBorders>
              <w:top w:val="nil"/>
              <w:bottom w:val="single" w:sz="8" w:space="0" w:color="231F20"/>
            </w:tcBorders>
            <w:shd w:val="clear" w:color="auto" w:fill="E8F5F1"/>
          </w:tcPr>
          <w:p>
            <w:pPr>
              <w:rPr>
                <w:sz w:val="2"/>
                <w:szCs w:val="2"/>
              </w:rPr>
            </w:pPr>
          </w:p>
        </w:tc>
        <w:tc>
          <w:tcPr>
            <w:tcW w:w="1865" w:type="dxa"/>
            <w:vMerge/>
            <w:tcBorders>
              <w:top w:val="nil"/>
              <w:bottom w:val="single" w:sz="8" w:space="0" w:color="231F20"/>
            </w:tcBorders>
            <w:shd w:val="clear" w:color="auto" w:fill="E8F5F1"/>
          </w:tcPr>
          <w:p>
            <w:pPr>
              <w:rPr>
                <w:sz w:val="2"/>
                <w:szCs w:val="2"/>
              </w:rPr>
            </w:pPr>
          </w:p>
        </w:tc>
        <w:tc>
          <w:tcPr>
            <w:tcW w:w="1740" w:type="dxa"/>
            <w:vMerge/>
            <w:tcBorders>
              <w:top w:val="nil"/>
              <w:bottom w:val="single" w:sz="8" w:space="0" w:color="231F20"/>
            </w:tcBorders>
            <w:shd w:val="clear" w:color="auto" w:fill="E8F5F1"/>
          </w:tcPr>
          <w:p>
            <w:pPr>
              <w:rPr>
                <w:sz w:val="2"/>
                <w:szCs w:val="2"/>
              </w:rPr>
            </w:pPr>
          </w:p>
        </w:tc>
      </w:tr>
    </w:tbl>
    <w:p>
      <w:pPr>
        <w:pStyle w:val="BodyText"/>
        <w:spacing w:line="150" w:lineRule="exact" w:before="79"/>
        <w:ind w:left="486"/>
      </w:pPr>
      <w:r>
        <w:rPr>
          <w:color w:val="231F20"/>
        </w:rPr>
        <w:t>*Includes</w:t>
      </w:r>
      <w:r>
        <w:rPr>
          <w:color w:val="231F20"/>
          <w:spacing w:val="-1"/>
        </w:rPr>
        <w:t> </w:t>
      </w:r>
      <w:r>
        <w:rPr>
          <w:color w:val="231F20"/>
        </w:rPr>
        <w:t>rituximab</w:t>
      </w:r>
      <w:r>
        <w:rPr>
          <w:color w:val="231F20"/>
          <w:spacing w:val="-1"/>
        </w:rPr>
        <w:t> </w:t>
      </w:r>
      <w:r>
        <w:rPr>
          <w:color w:val="231F20"/>
        </w:rPr>
        <w:t>and</w:t>
      </w:r>
      <w:r>
        <w:rPr>
          <w:color w:val="231F20"/>
          <w:spacing w:val="-1"/>
        </w:rPr>
        <w:t> </w:t>
      </w:r>
      <w:r>
        <w:rPr>
          <w:color w:val="231F20"/>
          <w:spacing w:val="-2"/>
        </w:rPr>
        <w:t>cyclophosphamide.</w:t>
      </w:r>
    </w:p>
    <w:p>
      <w:pPr>
        <w:pStyle w:val="BodyText"/>
        <w:spacing w:line="149" w:lineRule="exact"/>
        <w:ind w:left="617"/>
      </w:pPr>
      <w:r>
        <w:rPr>
          <w:color w:val="231F20"/>
          <w:vertAlign w:val="superscript"/>
        </w:rPr>
        <w:t>†</w:t>
      </w:r>
      <w:r>
        <w:rPr>
          <w:color w:val="231F20"/>
          <w:vertAlign w:val="baseline"/>
        </w:rPr>
        <w:t>Exact</w:t>
      </w:r>
      <w:r>
        <w:rPr>
          <w:color w:val="231F20"/>
          <w:spacing w:val="-6"/>
          <w:vertAlign w:val="baseline"/>
        </w:rPr>
        <w:t> </w:t>
      </w:r>
      <w:r>
        <w:rPr>
          <w:color w:val="231F20"/>
          <w:vertAlign w:val="baseline"/>
        </w:rPr>
        <w:t>frequency</w:t>
      </w:r>
      <w:r>
        <w:rPr>
          <w:color w:val="231F20"/>
          <w:spacing w:val="-5"/>
          <w:vertAlign w:val="baseline"/>
        </w:rPr>
        <w:t> </w:t>
      </w:r>
      <w:r>
        <w:rPr>
          <w:color w:val="231F20"/>
          <w:vertAlign w:val="baseline"/>
        </w:rPr>
        <w:t>is</w:t>
      </w:r>
      <w:r>
        <w:rPr>
          <w:color w:val="231F20"/>
          <w:spacing w:val="-5"/>
          <w:vertAlign w:val="baseline"/>
        </w:rPr>
        <w:t> </w:t>
      </w:r>
      <w:r>
        <w:rPr>
          <w:color w:val="231F20"/>
          <w:spacing w:val="-2"/>
          <w:vertAlign w:val="baseline"/>
        </w:rPr>
        <w:t>unknown.</w:t>
      </w:r>
    </w:p>
    <w:p>
      <w:pPr>
        <w:pStyle w:val="BodyText"/>
        <w:spacing w:line="232" w:lineRule="auto" w:before="3"/>
        <w:ind w:left="486" w:right="799" w:firstLine="130"/>
      </w:pPr>
      <w:r>
        <w:rPr>
          <w:color w:val="231F20"/>
        </w:rPr>
        <w:t>CLIPPERS,</w:t>
      </w:r>
      <w:r>
        <w:rPr>
          <w:color w:val="231F20"/>
          <w:spacing w:val="-3"/>
        </w:rPr>
        <w:t> </w:t>
      </w:r>
      <w:r>
        <w:rPr>
          <w:color w:val="231F20"/>
        </w:rPr>
        <w:t>Chronic</w:t>
      </w:r>
      <w:r>
        <w:rPr>
          <w:color w:val="231F20"/>
          <w:spacing w:val="-3"/>
        </w:rPr>
        <w:t> </w:t>
      </w:r>
      <w:r>
        <w:rPr>
          <w:color w:val="231F20"/>
        </w:rPr>
        <w:t>lymphocytic</w:t>
      </w:r>
      <w:r>
        <w:rPr>
          <w:color w:val="231F20"/>
          <w:spacing w:val="-3"/>
        </w:rPr>
        <w:t> </w:t>
      </w:r>
      <w:r>
        <w:rPr>
          <w:color w:val="231F20"/>
        </w:rPr>
        <w:t>inflammation</w:t>
      </w:r>
      <w:r>
        <w:rPr>
          <w:color w:val="231F20"/>
          <w:spacing w:val="-3"/>
        </w:rPr>
        <w:t> </w:t>
      </w:r>
      <w:r>
        <w:rPr>
          <w:color w:val="231F20"/>
        </w:rPr>
        <w:t>with</w:t>
      </w:r>
      <w:r>
        <w:rPr>
          <w:color w:val="231F20"/>
          <w:spacing w:val="-3"/>
        </w:rPr>
        <w:t> </w:t>
      </w:r>
      <w:r>
        <w:rPr>
          <w:color w:val="231F20"/>
        </w:rPr>
        <w:t>pontine</w:t>
      </w:r>
      <w:r>
        <w:rPr>
          <w:color w:val="231F20"/>
          <w:spacing w:val="-3"/>
        </w:rPr>
        <w:t> </w:t>
      </w:r>
      <w:r>
        <w:rPr>
          <w:color w:val="231F20"/>
        </w:rPr>
        <w:t>perivascular</w:t>
      </w:r>
      <w:r>
        <w:rPr>
          <w:color w:val="231F20"/>
          <w:spacing w:val="-3"/>
        </w:rPr>
        <w:t> </w:t>
      </w:r>
      <w:r>
        <w:rPr>
          <w:color w:val="231F20"/>
        </w:rPr>
        <w:t>enhancement</w:t>
      </w:r>
      <w:r>
        <w:rPr>
          <w:color w:val="231F20"/>
          <w:spacing w:val="-3"/>
        </w:rPr>
        <w:t> </w:t>
      </w:r>
      <w:r>
        <w:rPr>
          <w:color w:val="231F20"/>
        </w:rPr>
        <w:t>responsive</w:t>
      </w:r>
      <w:r>
        <w:rPr>
          <w:color w:val="231F20"/>
          <w:spacing w:val="-3"/>
        </w:rPr>
        <w:t> </w:t>
      </w:r>
      <w:r>
        <w:rPr>
          <w:color w:val="231F20"/>
        </w:rPr>
        <w:t>to</w:t>
      </w:r>
      <w:r>
        <w:rPr>
          <w:color w:val="231F20"/>
          <w:spacing w:val="-3"/>
        </w:rPr>
        <w:t> </w:t>
      </w:r>
      <w:r>
        <w:rPr>
          <w:color w:val="231F20"/>
        </w:rPr>
        <w:t>steroids;</w:t>
      </w:r>
      <w:r>
        <w:rPr>
          <w:color w:val="231F20"/>
          <w:spacing w:val="-3"/>
        </w:rPr>
        <w:t> </w:t>
      </w:r>
      <w:r>
        <w:rPr>
          <w:color w:val="231F20"/>
        </w:rPr>
        <w:t>CSF,</w:t>
      </w:r>
      <w:r>
        <w:rPr>
          <w:color w:val="231F20"/>
          <w:spacing w:val="-3"/>
        </w:rPr>
        <w:t> </w:t>
      </w:r>
      <w:r>
        <w:rPr>
          <w:color w:val="231F20"/>
        </w:rPr>
        <w:t>cerebrospinal</w:t>
      </w:r>
      <w:r>
        <w:rPr>
          <w:color w:val="231F20"/>
          <w:spacing w:val="-3"/>
        </w:rPr>
        <w:t> </w:t>
      </w:r>
      <w:r>
        <w:rPr>
          <w:color w:val="231F20"/>
        </w:rPr>
        <w:t>fluid;</w:t>
      </w:r>
      <w:r>
        <w:rPr>
          <w:color w:val="231F20"/>
          <w:spacing w:val="-3"/>
        </w:rPr>
        <w:t> </w:t>
      </w:r>
      <w:r>
        <w:rPr>
          <w:color w:val="231F20"/>
        </w:rPr>
        <w:t>D2R,</w:t>
      </w:r>
      <w:r>
        <w:rPr>
          <w:color w:val="231F20"/>
          <w:spacing w:val="-3"/>
        </w:rPr>
        <w:t> </w:t>
      </w:r>
      <w:r>
        <w:rPr>
          <w:color w:val="231F20"/>
        </w:rPr>
        <w:t>dopamine</w:t>
      </w:r>
      <w:r>
        <w:rPr>
          <w:color w:val="231F20"/>
          <w:spacing w:val="-3"/>
        </w:rPr>
        <w:t> </w:t>
      </w:r>
      <w:r>
        <w:rPr>
          <w:color w:val="231F20"/>
        </w:rPr>
        <w:t>2</w:t>
      </w:r>
      <w:r>
        <w:rPr>
          <w:color w:val="231F20"/>
          <w:spacing w:val="-3"/>
        </w:rPr>
        <w:t> </w:t>
      </w:r>
      <w:r>
        <w:rPr>
          <w:color w:val="231F20"/>
        </w:rPr>
        <w:t>receptor;</w:t>
      </w:r>
      <w:r>
        <w:rPr>
          <w:color w:val="231F20"/>
          <w:spacing w:val="40"/>
        </w:rPr>
        <w:t> </w:t>
      </w:r>
      <w:r>
        <w:rPr>
          <w:color w:val="231F20"/>
          <w:position w:val="2"/>
        </w:rPr>
        <w:t>EEG, electroencephalography; FLAIR, fluid-attenuated inversion recovery; GABA</w:t>
      </w:r>
      <w:r>
        <w:rPr>
          <w:color w:val="231F20"/>
          <w:sz w:val="8"/>
        </w:rPr>
        <w:t>B</w:t>
      </w:r>
      <w:r>
        <w:rPr>
          <w:color w:val="231F20"/>
          <w:position w:val="2"/>
        </w:rPr>
        <w:t>R, </w:t>
      </w:r>
      <w:r>
        <w:rPr>
          <w:rFonts w:ascii="Cambria" w:hAnsi="Cambria"/>
          <w:color w:val="231F20"/>
          <w:position w:val="2"/>
        </w:rPr>
        <w:t>γ</w:t>
      </w:r>
      <w:r>
        <w:rPr>
          <w:color w:val="231F20"/>
          <w:position w:val="2"/>
        </w:rPr>
        <w:t>-aminobutyric acid-B receptor, GAD, glutamic acid decarboxylase; IVIG,</w:t>
      </w:r>
      <w:r>
        <w:rPr>
          <w:color w:val="231F20"/>
          <w:spacing w:val="40"/>
          <w:position w:val="2"/>
        </w:rPr>
        <w:t> </w:t>
      </w:r>
      <w:r>
        <w:rPr>
          <w:color w:val="231F20"/>
        </w:rPr>
        <w:t>intravenous immunoglobulin; mGluR5, metabotropic glutamate receptor 5; MRI, magnetic resonance imaging; NMDAR, </w:t>
      </w:r>
      <w:r>
        <w:rPr>
          <w:i/>
          <w:color w:val="231F20"/>
        </w:rPr>
        <w:t>N</w:t>
      </w:r>
      <w:r>
        <w:rPr>
          <w:color w:val="231F20"/>
        </w:rPr>
        <w:t>-methyl-</w:t>
      </w:r>
      <w:r>
        <w:rPr>
          <w:color w:val="231F20"/>
          <w:sz w:val="10"/>
        </w:rPr>
        <w:t>D</w:t>
      </w:r>
      <w:r>
        <w:rPr>
          <w:color w:val="231F20"/>
        </w:rPr>
        <w:t>-aspartate receptor; ROHHAD,</w:t>
      </w:r>
      <w:r>
        <w:rPr>
          <w:color w:val="231F20"/>
          <w:spacing w:val="40"/>
        </w:rPr>
        <w:t> </w:t>
      </w:r>
      <w:r>
        <w:rPr>
          <w:color w:val="231F20"/>
        </w:rPr>
        <w:t>rapid onset obesity with hypothalamic dysfunction, hypoventilation, and autonomic dysregulation; TPO, thyroid peroxidase.</w:t>
      </w:r>
    </w:p>
    <w:p>
      <w:pPr>
        <w:pStyle w:val="BodyText"/>
        <w:spacing w:after="0" w:line="232" w:lineRule="auto"/>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85" name="Group 785"/>
                <wp:cNvGraphicFramePr>
                  <a:graphicFrameLocks/>
                </wp:cNvGraphicFramePr>
                <a:graphic>
                  <a:graphicData uri="http://schemas.microsoft.com/office/word/2010/wordprocessingGroup">
                    <wpg:wgp>
                      <wpg:cNvPr id="785" name="Group 785"/>
                      <wpg:cNvGrpSpPr/>
                      <wpg:grpSpPr>
                        <a:xfrm>
                          <a:off x="0" y="0"/>
                          <a:ext cx="6185535" cy="170815"/>
                          <a:chExt cx="6185535" cy="170815"/>
                        </a:xfrm>
                      </wpg:grpSpPr>
                      <wps:wsp>
                        <wps:cNvPr id="786" name="Graphic 786"/>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87" name="Graphic 787"/>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88" name="Textbox 78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2908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54"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55" filled="false" stroked="false">
                  <v:textbox inset="0,0,0,0">
                    <w:txbxContent>
                      <w:p>
                        <w:pPr>
                          <w:spacing w:before="6"/>
                          <w:ind w:left="-1" w:right="0" w:firstLine="0"/>
                          <w:jc w:val="left"/>
                          <w:rPr>
                            <w:sz w:val="18"/>
                          </w:rPr>
                        </w:pPr>
                        <w:r>
                          <w:rPr>
                            <w:b/>
                            <w:color w:val="231F20"/>
                            <w:w w:val="105"/>
                            <w:sz w:val="18"/>
                          </w:rPr>
                          <w:t>2908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6"/>
        <w:gridCol w:w="7644"/>
      </w:tblGrid>
      <w:tr>
        <w:trPr>
          <w:trHeight w:val="354" w:hRule="atLeast"/>
        </w:trPr>
        <w:tc>
          <w:tcPr>
            <w:tcW w:w="2096"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598-6</w:t>
            </w:r>
            <w:r>
              <w:rPr>
                <w:b/>
                <w:color w:val="FFFFFF"/>
                <w:spacing w:val="32"/>
                <w:w w:val="105"/>
                <w:sz w:val="16"/>
              </w:rPr>
              <w:t>  </w:t>
            </w:r>
            <w:r>
              <w:rPr>
                <w:color w:val="FFFFFF"/>
                <w:spacing w:val="-2"/>
                <w:w w:val="105"/>
                <w:sz w:val="16"/>
              </w:rPr>
              <w:t>Differential</w:t>
            </w:r>
          </w:p>
        </w:tc>
        <w:tc>
          <w:tcPr>
            <w:tcW w:w="7644" w:type="dxa"/>
            <w:shd w:val="clear" w:color="auto" w:fill="231F20"/>
          </w:tcPr>
          <w:p>
            <w:pPr>
              <w:pStyle w:val="TableParagraph"/>
              <w:spacing w:before="89"/>
              <w:ind w:left="28"/>
              <w:rPr>
                <w:sz w:val="16"/>
              </w:rPr>
            </w:pPr>
            <w:r>
              <w:rPr>
                <w:color w:val="FFFFFF"/>
                <w:w w:val="105"/>
                <w:sz w:val="16"/>
              </w:rPr>
              <w:t>Diagnosis</w:t>
            </w:r>
            <w:r>
              <w:rPr>
                <w:color w:val="FFFFFF"/>
                <w:spacing w:val="28"/>
                <w:w w:val="105"/>
                <w:sz w:val="16"/>
              </w:rPr>
              <w:t> </w:t>
            </w:r>
            <w:r>
              <w:rPr>
                <w:color w:val="FFFFFF"/>
                <w:w w:val="105"/>
                <w:sz w:val="16"/>
              </w:rPr>
              <w:t>of</w:t>
            </w:r>
            <w:r>
              <w:rPr>
                <w:color w:val="FFFFFF"/>
                <w:spacing w:val="28"/>
                <w:w w:val="105"/>
                <w:sz w:val="16"/>
              </w:rPr>
              <w:t> </w:t>
            </w:r>
            <w:r>
              <w:rPr>
                <w:color w:val="FFFFFF"/>
                <w:w w:val="105"/>
                <w:sz w:val="16"/>
              </w:rPr>
              <w:t>Anti-NMDAR</w:t>
            </w:r>
            <w:r>
              <w:rPr>
                <w:color w:val="FFFFFF"/>
                <w:spacing w:val="28"/>
                <w:w w:val="105"/>
                <w:sz w:val="16"/>
              </w:rPr>
              <w:t> </w:t>
            </w:r>
            <w:r>
              <w:rPr>
                <w:color w:val="FFFFFF"/>
                <w:w w:val="105"/>
                <w:sz w:val="16"/>
              </w:rPr>
              <w:t>Encephalitis</w:t>
            </w:r>
            <w:r>
              <w:rPr>
                <w:color w:val="FFFFFF"/>
                <w:spacing w:val="28"/>
                <w:w w:val="105"/>
                <w:sz w:val="16"/>
              </w:rPr>
              <w:t> </w:t>
            </w:r>
            <w:r>
              <w:rPr>
                <w:color w:val="FFFFFF"/>
                <w:w w:val="105"/>
                <w:sz w:val="16"/>
              </w:rPr>
              <w:t>in</w:t>
            </w:r>
            <w:r>
              <w:rPr>
                <w:color w:val="FFFFFF"/>
                <w:spacing w:val="28"/>
                <w:w w:val="105"/>
                <w:sz w:val="16"/>
              </w:rPr>
              <w:t> </w:t>
            </w:r>
            <w:r>
              <w:rPr>
                <w:color w:val="FFFFFF"/>
                <w:spacing w:val="-2"/>
                <w:w w:val="105"/>
                <w:sz w:val="16"/>
              </w:rPr>
              <w:t>Children</w:t>
            </w:r>
          </w:p>
        </w:tc>
      </w:tr>
      <w:tr>
        <w:trPr>
          <w:trHeight w:val="276" w:hRule="atLeast"/>
        </w:trPr>
        <w:tc>
          <w:tcPr>
            <w:tcW w:w="2096" w:type="dxa"/>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DISORDER</w:t>
            </w:r>
          </w:p>
        </w:tc>
        <w:tc>
          <w:tcPr>
            <w:tcW w:w="7644" w:type="dxa"/>
            <w:tcBorders>
              <w:bottom w:val="single" w:sz="4" w:space="0" w:color="231F20"/>
            </w:tcBorders>
            <w:shd w:val="clear" w:color="auto" w:fill="E8F5F1"/>
          </w:tcPr>
          <w:p>
            <w:pPr>
              <w:pStyle w:val="TableParagraph"/>
              <w:spacing w:before="66"/>
              <w:ind w:left="513"/>
              <w:jc w:val="center"/>
              <w:rPr>
                <w:b/>
                <w:sz w:val="15"/>
              </w:rPr>
            </w:pPr>
            <w:r>
              <w:rPr>
                <w:b/>
                <w:color w:val="231F20"/>
                <w:spacing w:val="-2"/>
                <w:w w:val="115"/>
                <w:sz w:val="15"/>
              </w:rPr>
              <w:t>COMMENTS</w:t>
            </w:r>
          </w:p>
        </w:tc>
      </w:tr>
      <w:tr>
        <w:trPr>
          <w:trHeight w:val="761" w:hRule="atLeast"/>
        </w:trPr>
        <w:tc>
          <w:tcPr>
            <w:tcW w:w="2096"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4"/>
                <w:sz w:val="15"/>
              </w:rPr>
              <w:t>Viral </w:t>
            </w:r>
            <w:r>
              <w:rPr>
                <w:color w:val="231F20"/>
                <w:spacing w:val="-2"/>
                <w:sz w:val="15"/>
              </w:rPr>
              <w:t>encephalitis</w:t>
            </w:r>
          </w:p>
        </w:tc>
        <w:tc>
          <w:tcPr>
            <w:tcW w:w="7644" w:type="dxa"/>
            <w:tcBorders>
              <w:top w:val="single" w:sz="4" w:space="0" w:color="231F20"/>
              <w:bottom w:val="single" w:sz="4" w:space="0" w:color="FFFFFF"/>
            </w:tcBorders>
            <w:shd w:val="clear" w:color="auto" w:fill="E8F5F1"/>
          </w:tcPr>
          <w:p>
            <w:pPr>
              <w:pStyle w:val="TableParagraph"/>
              <w:spacing w:line="230" w:lineRule="auto" w:before="52"/>
              <w:ind w:left="699" w:right="56" w:hanging="112"/>
              <w:rPr>
                <w:sz w:val="15"/>
              </w:rPr>
            </w:pPr>
            <w:r>
              <w:rPr>
                <w:color w:val="231F20"/>
                <w:sz w:val="15"/>
              </w:rPr>
              <w:t>Viral encephalitis is often suggested by the acute onset of symptoms, CSF pleocytosis, and hyperthermia.</w:t>
            </w:r>
            <w:r>
              <w:rPr>
                <w:color w:val="231F20"/>
                <w:spacing w:val="-10"/>
                <w:sz w:val="15"/>
              </w:rPr>
              <w:t> </w:t>
            </w:r>
            <w:r>
              <w:rPr>
                <w:color w:val="231F20"/>
                <w:sz w:val="15"/>
              </w:rPr>
              <w:t>Most</w:t>
            </w:r>
            <w:r>
              <w:rPr>
                <w:color w:val="231F20"/>
                <w:spacing w:val="-10"/>
                <w:sz w:val="15"/>
              </w:rPr>
              <w:t> </w:t>
            </w:r>
            <w:r>
              <w:rPr>
                <w:color w:val="231F20"/>
                <w:sz w:val="15"/>
              </w:rPr>
              <w:t>viral</w:t>
            </w:r>
            <w:r>
              <w:rPr>
                <w:color w:val="231F20"/>
                <w:spacing w:val="-10"/>
                <w:sz w:val="15"/>
              </w:rPr>
              <w:t> </w:t>
            </w:r>
            <w:r>
              <w:rPr>
                <w:color w:val="231F20"/>
                <w:sz w:val="15"/>
              </w:rPr>
              <w:t>encephalitides</w:t>
            </w:r>
            <w:r>
              <w:rPr>
                <w:color w:val="231F20"/>
                <w:spacing w:val="-10"/>
                <w:sz w:val="15"/>
              </w:rPr>
              <w:t> </w:t>
            </w:r>
            <w:r>
              <w:rPr>
                <w:color w:val="231F20"/>
                <w:sz w:val="15"/>
              </w:rPr>
              <w:t>(except</w:t>
            </w:r>
            <w:r>
              <w:rPr>
                <w:color w:val="231F20"/>
                <w:spacing w:val="-10"/>
                <w:sz w:val="15"/>
              </w:rPr>
              <w:t> </w:t>
            </w:r>
            <w:r>
              <w:rPr>
                <w:color w:val="231F20"/>
                <w:sz w:val="15"/>
              </w:rPr>
              <w:t>rabies)</w:t>
            </w:r>
            <w:r>
              <w:rPr>
                <w:color w:val="231F20"/>
                <w:spacing w:val="-10"/>
                <w:sz w:val="15"/>
              </w:rPr>
              <w:t> </w:t>
            </w:r>
            <w:r>
              <w:rPr>
                <w:color w:val="231F20"/>
                <w:sz w:val="15"/>
              </w:rPr>
              <w:t>occur</w:t>
            </w:r>
            <w:r>
              <w:rPr>
                <w:color w:val="231F20"/>
                <w:spacing w:val="-10"/>
                <w:sz w:val="15"/>
              </w:rPr>
              <w:t> </w:t>
            </w:r>
            <w:r>
              <w:rPr>
                <w:color w:val="231F20"/>
                <w:sz w:val="15"/>
              </w:rPr>
              <w:t>with</w:t>
            </w:r>
            <w:r>
              <w:rPr>
                <w:color w:val="231F20"/>
                <w:spacing w:val="-10"/>
                <w:sz w:val="15"/>
              </w:rPr>
              <w:t> </w:t>
            </w:r>
            <w:r>
              <w:rPr>
                <w:color w:val="231F20"/>
                <w:sz w:val="15"/>
              </w:rPr>
              <w:t>higher</w:t>
            </w:r>
            <w:r>
              <w:rPr>
                <w:color w:val="231F20"/>
                <w:spacing w:val="-10"/>
                <w:sz w:val="15"/>
              </w:rPr>
              <w:t> </w:t>
            </w:r>
            <w:r>
              <w:rPr>
                <w:color w:val="231F20"/>
                <w:sz w:val="15"/>
              </w:rPr>
              <w:t>levels</w:t>
            </w:r>
            <w:r>
              <w:rPr>
                <w:color w:val="231F20"/>
                <w:spacing w:val="-10"/>
                <w:sz w:val="15"/>
              </w:rPr>
              <w:t> </w:t>
            </w:r>
            <w:r>
              <w:rPr>
                <w:color w:val="231F20"/>
                <w:sz w:val="15"/>
              </w:rPr>
              <w:t>of</w:t>
            </w:r>
            <w:r>
              <w:rPr>
                <w:color w:val="231F20"/>
                <w:spacing w:val="-10"/>
                <w:sz w:val="15"/>
              </w:rPr>
              <w:t> </w:t>
            </w:r>
            <w:r>
              <w:rPr>
                <w:color w:val="231F20"/>
                <w:sz w:val="15"/>
              </w:rPr>
              <w:t>CSF</w:t>
            </w:r>
            <w:r>
              <w:rPr>
                <w:color w:val="231F20"/>
                <w:spacing w:val="-10"/>
                <w:sz w:val="15"/>
              </w:rPr>
              <w:t> </w:t>
            </w:r>
            <w:r>
              <w:rPr>
                <w:color w:val="231F20"/>
                <w:sz w:val="15"/>
              </w:rPr>
              <w:t>pleocytosis</w:t>
            </w:r>
            <w:r>
              <w:rPr>
                <w:color w:val="231F20"/>
                <w:spacing w:val="-10"/>
                <w:sz w:val="15"/>
              </w:rPr>
              <w:t> </w:t>
            </w:r>
            <w:r>
              <w:rPr>
                <w:color w:val="231F20"/>
                <w:sz w:val="15"/>
              </w:rPr>
              <w:t>and protein</w:t>
            </w:r>
            <w:r>
              <w:rPr>
                <w:color w:val="231F20"/>
                <w:spacing w:val="-2"/>
                <w:sz w:val="15"/>
              </w:rPr>
              <w:t> </w:t>
            </w:r>
            <w:r>
              <w:rPr>
                <w:color w:val="231F20"/>
                <w:sz w:val="15"/>
              </w:rPr>
              <w:t>concentration.</w:t>
            </w:r>
            <w:r>
              <w:rPr>
                <w:color w:val="231F20"/>
                <w:spacing w:val="-2"/>
                <w:sz w:val="15"/>
              </w:rPr>
              <w:t> </w:t>
            </w:r>
            <w:r>
              <w:rPr>
                <w:color w:val="231F20"/>
                <w:sz w:val="15"/>
              </w:rPr>
              <w:t>Psychosis</w:t>
            </w:r>
            <w:r>
              <w:rPr>
                <w:color w:val="231F20"/>
                <w:spacing w:val="-2"/>
                <w:sz w:val="15"/>
              </w:rPr>
              <w:t> </w:t>
            </w:r>
            <w:r>
              <w:rPr>
                <w:color w:val="231F20"/>
                <w:sz w:val="15"/>
              </w:rPr>
              <w:t>and</w:t>
            </w:r>
            <w:r>
              <w:rPr>
                <w:color w:val="231F20"/>
                <w:spacing w:val="-2"/>
                <w:sz w:val="15"/>
              </w:rPr>
              <w:t> </w:t>
            </w:r>
            <w:r>
              <w:rPr>
                <w:color w:val="231F20"/>
                <w:sz w:val="15"/>
              </w:rPr>
              <w:t>dyskinesias</w:t>
            </w:r>
            <w:r>
              <w:rPr>
                <w:color w:val="231F20"/>
                <w:spacing w:val="-2"/>
                <w:sz w:val="15"/>
              </w:rPr>
              <w:t> </w:t>
            </w:r>
            <w:r>
              <w:rPr>
                <w:color w:val="231F20"/>
                <w:sz w:val="15"/>
              </w:rPr>
              <w:t>are</w:t>
            </w:r>
            <w:r>
              <w:rPr>
                <w:color w:val="231F20"/>
                <w:spacing w:val="-2"/>
                <w:sz w:val="15"/>
              </w:rPr>
              <w:t> </w:t>
            </w:r>
            <w:r>
              <w:rPr>
                <w:color w:val="231F20"/>
                <w:sz w:val="15"/>
              </w:rPr>
              <w:t>significantly</w:t>
            </w:r>
            <w:r>
              <w:rPr>
                <w:color w:val="231F20"/>
                <w:spacing w:val="-2"/>
                <w:sz w:val="15"/>
              </w:rPr>
              <w:t> </w:t>
            </w:r>
            <w:r>
              <w:rPr>
                <w:color w:val="231F20"/>
                <w:sz w:val="15"/>
              </w:rPr>
              <w:t>less</w:t>
            </w:r>
            <w:r>
              <w:rPr>
                <w:color w:val="231F20"/>
                <w:spacing w:val="-2"/>
                <w:sz w:val="15"/>
              </w:rPr>
              <w:t> </w:t>
            </w:r>
            <w:r>
              <w:rPr>
                <w:color w:val="231F20"/>
                <w:sz w:val="15"/>
              </w:rPr>
              <w:t>frequent</w:t>
            </w:r>
            <w:r>
              <w:rPr>
                <w:color w:val="231F20"/>
                <w:spacing w:val="-2"/>
                <w:sz w:val="15"/>
              </w:rPr>
              <w:t> </w:t>
            </w:r>
            <w:r>
              <w:rPr>
                <w:color w:val="231F20"/>
                <w:sz w:val="15"/>
              </w:rPr>
              <w:t>in</w:t>
            </w:r>
            <w:r>
              <w:rPr>
                <w:color w:val="231F20"/>
                <w:spacing w:val="-2"/>
                <w:sz w:val="15"/>
              </w:rPr>
              <w:t> </w:t>
            </w:r>
            <w:r>
              <w:rPr>
                <w:color w:val="231F20"/>
                <w:sz w:val="15"/>
              </w:rPr>
              <w:t>viral</w:t>
            </w:r>
            <w:r>
              <w:rPr>
                <w:color w:val="231F20"/>
                <w:spacing w:val="-2"/>
                <w:sz w:val="15"/>
              </w:rPr>
              <w:t> </w:t>
            </w:r>
            <w:r>
              <w:rPr>
                <w:color w:val="231F20"/>
                <w:sz w:val="15"/>
              </w:rPr>
              <w:t>encephalitis than in anti-NMDAR encephalitis.</w:t>
            </w:r>
          </w:p>
        </w:tc>
      </w:tr>
      <w:tr>
        <w:trPr>
          <w:trHeight w:val="756" w:hRule="atLeast"/>
        </w:trPr>
        <w:tc>
          <w:tcPr>
            <w:tcW w:w="2096" w:type="dxa"/>
            <w:tcBorders>
              <w:top w:val="single" w:sz="4" w:space="0" w:color="FFFFFF"/>
              <w:bottom w:val="single" w:sz="4" w:space="0" w:color="FFFFFF"/>
            </w:tcBorders>
            <w:shd w:val="clear" w:color="auto" w:fill="E8F5F1"/>
          </w:tcPr>
          <w:p>
            <w:pPr>
              <w:pStyle w:val="TableParagraph"/>
              <w:spacing w:line="230" w:lineRule="auto" w:before="48"/>
              <w:ind w:left="186" w:right="152" w:hanging="112"/>
              <w:rPr>
                <w:sz w:val="15"/>
              </w:rPr>
            </w:pPr>
            <w:r>
              <w:rPr>
                <w:color w:val="231F20"/>
                <w:sz w:val="15"/>
              </w:rPr>
              <w:t>Relapsing post–herpes </w:t>
            </w:r>
            <w:r>
              <w:rPr>
                <w:color w:val="231F20"/>
                <w:spacing w:val="-2"/>
                <w:sz w:val="15"/>
              </w:rPr>
              <w:t>simplex</w:t>
            </w:r>
            <w:r>
              <w:rPr>
                <w:color w:val="231F20"/>
                <w:spacing w:val="-10"/>
                <w:sz w:val="15"/>
              </w:rPr>
              <w:t> </w:t>
            </w:r>
            <w:r>
              <w:rPr>
                <w:color w:val="231F20"/>
                <w:spacing w:val="-2"/>
                <w:sz w:val="15"/>
              </w:rPr>
              <w:t>virus</w:t>
            </w:r>
            <w:r>
              <w:rPr>
                <w:color w:val="231F20"/>
                <w:spacing w:val="-9"/>
                <w:sz w:val="15"/>
              </w:rPr>
              <w:t> </w:t>
            </w:r>
            <w:r>
              <w:rPr>
                <w:color w:val="231F20"/>
                <w:spacing w:val="-2"/>
                <w:sz w:val="15"/>
              </w:rPr>
              <w:t>encephalitis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Occurs</w:t>
            </w:r>
            <w:r>
              <w:rPr>
                <w:color w:val="231F20"/>
                <w:spacing w:val="-12"/>
                <w:sz w:val="15"/>
              </w:rPr>
              <w:t> </w:t>
            </w:r>
            <w:r>
              <w:rPr>
                <w:color w:val="231F20"/>
                <w:sz w:val="15"/>
              </w:rPr>
              <w:t>~4-6</w:t>
            </w:r>
            <w:r>
              <w:rPr>
                <w:color w:val="231F20"/>
                <w:spacing w:val="-11"/>
                <w:sz w:val="15"/>
              </w:rPr>
              <w:t> </w:t>
            </w:r>
            <w:r>
              <w:rPr>
                <w:color w:val="231F20"/>
                <w:sz w:val="15"/>
              </w:rPr>
              <w:t>wk</w:t>
            </w:r>
            <w:r>
              <w:rPr>
                <w:color w:val="231F20"/>
                <w:spacing w:val="-11"/>
                <w:sz w:val="15"/>
              </w:rPr>
              <w:t> </w:t>
            </w:r>
            <w:r>
              <w:rPr>
                <w:color w:val="231F20"/>
                <w:sz w:val="15"/>
              </w:rPr>
              <w:t>after</w:t>
            </w:r>
            <w:r>
              <w:rPr>
                <w:color w:val="231F20"/>
                <w:spacing w:val="-12"/>
                <w:sz w:val="15"/>
              </w:rPr>
              <w:t> </w:t>
            </w:r>
            <w:r>
              <w:rPr>
                <w:color w:val="231F20"/>
                <w:sz w:val="15"/>
              </w:rPr>
              <w:t>successful</w:t>
            </w:r>
            <w:r>
              <w:rPr>
                <w:color w:val="231F20"/>
                <w:spacing w:val="-11"/>
                <w:sz w:val="15"/>
              </w:rPr>
              <w:t> </w:t>
            </w:r>
            <w:r>
              <w:rPr>
                <w:color w:val="231F20"/>
                <w:sz w:val="15"/>
              </w:rPr>
              <w:t>treatment</w:t>
            </w:r>
            <w:r>
              <w:rPr>
                <w:color w:val="231F20"/>
                <w:spacing w:val="-11"/>
                <w:sz w:val="15"/>
              </w:rPr>
              <w:t> </w:t>
            </w:r>
            <w:r>
              <w:rPr>
                <w:color w:val="231F20"/>
                <w:sz w:val="15"/>
              </w:rPr>
              <w:t>of</w:t>
            </w:r>
            <w:r>
              <w:rPr>
                <w:color w:val="231F20"/>
                <w:spacing w:val="-12"/>
                <w:sz w:val="15"/>
              </w:rPr>
              <w:t> </w:t>
            </w:r>
            <w:r>
              <w:rPr>
                <w:color w:val="231F20"/>
                <w:sz w:val="15"/>
              </w:rPr>
              <w:t>herpes</w:t>
            </w:r>
            <w:r>
              <w:rPr>
                <w:color w:val="231F20"/>
                <w:spacing w:val="-11"/>
                <w:sz w:val="15"/>
              </w:rPr>
              <w:t> </w:t>
            </w:r>
            <w:r>
              <w:rPr>
                <w:color w:val="231F20"/>
                <w:sz w:val="15"/>
              </w:rPr>
              <w:t>simplex</w:t>
            </w:r>
            <w:r>
              <w:rPr>
                <w:color w:val="231F20"/>
                <w:spacing w:val="-11"/>
                <w:sz w:val="15"/>
              </w:rPr>
              <w:t> </w:t>
            </w:r>
            <w:r>
              <w:rPr>
                <w:color w:val="231F20"/>
                <w:sz w:val="15"/>
              </w:rPr>
              <w:t>encephalitis.</w:t>
            </w:r>
            <w:r>
              <w:rPr>
                <w:color w:val="231F20"/>
                <w:spacing w:val="-11"/>
                <w:sz w:val="15"/>
              </w:rPr>
              <w:t> </w:t>
            </w:r>
            <w:r>
              <w:rPr>
                <w:color w:val="231F20"/>
                <w:sz w:val="15"/>
              </w:rPr>
              <w:t>This</w:t>
            </w:r>
            <w:r>
              <w:rPr>
                <w:color w:val="231F20"/>
                <w:spacing w:val="-12"/>
                <w:sz w:val="15"/>
              </w:rPr>
              <w:t> </w:t>
            </w:r>
            <w:r>
              <w:rPr>
                <w:color w:val="231F20"/>
                <w:sz w:val="15"/>
              </w:rPr>
              <w:t>may</w:t>
            </w:r>
            <w:r>
              <w:rPr>
                <w:color w:val="231F20"/>
                <w:spacing w:val="-11"/>
                <w:sz w:val="15"/>
              </w:rPr>
              <w:t> </w:t>
            </w:r>
            <w:r>
              <w:rPr>
                <w:color w:val="231F20"/>
                <w:sz w:val="15"/>
              </w:rPr>
              <w:t>represent</w:t>
            </w:r>
            <w:r>
              <w:rPr>
                <w:color w:val="231F20"/>
                <w:spacing w:val="-11"/>
                <w:sz w:val="15"/>
              </w:rPr>
              <w:t> </w:t>
            </w:r>
            <w:r>
              <w:rPr>
                <w:color w:val="231F20"/>
                <w:sz w:val="15"/>
              </w:rPr>
              <w:t>a</w:t>
            </w:r>
            <w:r>
              <w:rPr>
                <w:color w:val="231F20"/>
                <w:spacing w:val="-12"/>
                <w:sz w:val="15"/>
              </w:rPr>
              <w:t> </w:t>
            </w:r>
            <w:r>
              <w:rPr>
                <w:color w:val="231F20"/>
                <w:sz w:val="15"/>
              </w:rPr>
              <w:t>true</w:t>
            </w:r>
            <w:r>
              <w:rPr>
                <w:color w:val="231F20"/>
                <w:spacing w:val="-11"/>
                <w:sz w:val="15"/>
              </w:rPr>
              <w:t> </w:t>
            </w:r>
            <w:r>
              <w:rPr>
                <w:color w:val="231F20"/>
                <w:sz w:val="15"/>
              </w:rPr>
              <w:t>viral relapse</w:t>
            </w:r>
            <w:r>
              <w:rPr>
                <w:color w:val="231F20"/>
                <w:spacing w:val="-6"/>
                <w:sz w:val="15"/>
              </w:rPr>
              <w:t> </w:t>
            </w:r>
            <w:r>
              <w:rPr>
                <w:color w:val="231F20"/>
                <w:sz w:val="15"/>
              </w:rPr>
              <w:t>of</w:t>
            </w:r>
            <w:r>
              <w:rPr>
                <w:color w:val="231F20"/>
                <w:spacing w:val="-6"/>
                <w:sz w:val="15"/>
              </w:rPr>
              <w:t> </w:t>
            </w:r>
            <w:r>
              <w:rPr>
                <w:color w:val="231F20"/>
                <w:sz w:val="15"/>
              </w:rPr>
              <w:t>encephalitis</w:t>
            </w:r>
            <w:r>
              <w:rPr>
                <w:color w:val="231F20"/>
                <w:spacing w:val="-6"/>
                <w:sz w:val="15"/>
              </w:rPr>
              <w:t> </w:t>
            </w:r>
            <w:r>
              <w:rPr>
                <w:color w:val="231F20"/>
                <w:sz w:val="15"/>
              </w:rPr>
              <w:t>(CSF</w:t>
            </w:r>
            <w:r>
              <w:rPr>
                <w:color w:val="231F20"/>
                <w:spacing w:val="-6"/>
                <w:sz w:val="15"/>
              </w:rPr>
              <w:t> </w:t>
            </w:r>
            <w:r>
              <w:rPr>
                <w:color w:val="231F20"/>
                <w:sz w:val="15"/>
              </w:rPr>
              <w:t>PCR-positive,</w:t>
            </w:r>
            <w:r>
              <w:rPr>
                <w:color w:val="231F20"/>
                <w:spacing w:val="-6"/>
                <w:sz w:val="15"/>
              </w:rPr>
              <w:t> </w:t>
            </w:r>
            <w:r>
              <w:rPr>
                <w:color w:val="231F20"/>
                <w:sz w:val="15"/>
              </w:rPr>
              <w:t>progression</w:t>
            </w:r>
            <w:r>
              <w:rPr>
                <w:color w:val="231F20"/>
                <w:spacing w:val="-6"/>
                <w:sz w:val="15"/>
              </w:rPr>
              <w:t> </w:t>
            </w:r>
            <w:r>
              <w:rPr>
                <w:color w:val="231F20"/>
                <w:sz w:val="15"/>
              </w:rPr>
              <w:t>of</w:t>
            </w:r>
            <w:r>
              <w:rPr>
                <w:color w:val="231F20"/>
                <w:spacing w:val="-6"/>
                <w:sz w:val="15"/>
              </w:rPr>
              <w:t> </w:t>
            </w:r>
            <w:r>
              <w:rPr>
                <w:color w:val="231F20"/>
                <w:sz w:val="15"/>
              </w:rPr>
              <w:t>necrotic</w:t>
            </w:r>
            <w:r>
              <w:rPr>
                <w:color w:val="231F20"/>
                <w:spacing w:val="-6"/>
                <w:sz w:val="15"/>
              </w:rPr>
              <w:t> </w:t>
            </w:r>
            <w:r>
              <w:rPr>
                <w:color w:val="231F20"/>
                <w:sz w:val="15"/>
              </w:rPr>
              <w:t>MRI</w:t>
            </w:r>
            <w:r>
              <w:rPr>
                <w:color w:val="231F20"/>
                <w:spacing w:val="-6"/>
                <w:sz w:val="15"/>
              </w:rPr>
              <w:t> </w:t>
            </w:r>
            <w:r>
              <w:rPr>
                <w:color w:val="231F20"/>
                <w:sz w:val="15"/>
              </w:rPr>
              <w:t>changes,</w:t>
            </w:r>
            <w:r>
              <w:rPr>
                <w:color w:val="231F20"/>
                <w:spacing w:val="-6"/>
                <w:sz w:val="15"/>
              </w:rPr>
              <w:t> </w:t>
            </w:r>
            <w:r>
              <w:rPr>
                <w:color w:val="231F20"/>
                <w:sz w:val="15"/>
              </w:rPr>
              <w:t>response</w:t>
            </w:r>
            <w:r>
              <w:rPr>
                <w:color w:val="231F20"/>
                <w:spacing w:val="-6"/>
                <w:sz w:val="15"/>
              </w:rPr>
              <w:t> </w:t>
            </w:r>
            <w:r>
              <w:rPr>
                <w:color w:val="231F20"/>
                <w:sz w:val="15"/>
              </w:rPr>
              <w:t>to</w:t>
            </w:r>
            <w:r>
              <w:rPr>
                <w:color w:val="231F20"/>
                <w:spacing w:val="-6"/>
                <w:sz w:val="15"/>
              </w:rPr>
              <w:t> </w:t>
            </w:r>
            <w:r>
              <w:rPr>
                <w:color w:val="231F20"/>
                <w:sz w:val="15"/>
              </w:rPr>
              <w:t>acyclovir), or an autoimmune disorder (CSF PCR-negative, no new necrotic lesions on MRI, lack of response to acyclovir). In a proportion of the latter patients, the disorder is anti-NMDAR encephalitis.</w:t>
            </w:r>
          </w:p>
        </w:tc>
      </w:tr>
      <w:tr>
        <w:trPr>
          <w:trHeight w:val="588"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New-onset</w:t>
            </w:r>
            <w:r>
              <w:rPr>
                <w:color w:val="231F20"/>
                <w:spacing w:val="8"/>
                <w:sz w:val="15"/>
              </w:rPr>
              <w:t> </w:t>
            </w:r>
            <w:r>
              <w:rPr>
                <w:color w:val="231F20"/>
                <w:spacing w:val="-2"/>
                <w:sz w:val="15"/>
              </w:rPr>
              <w:t>psychosis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Because most patients with anti-NMDAR encephalitis present with psychosis, a primarily psychiatric disorder</w:t>
            </w:r>
            <w:r>
              <w:rPr>
                <w:color w:val="231F20"/>
                <w:spacing w:val="-5"/>
                <w:sz w:val="15"/>
              </w:rPr>
              <w:t> </w:t>
            </w:r>
            <w:r>
              <w:rPr>
                <w:color w:val="231F20"/>
                <w:sz w:val="15"/>
              </w:rPr>
              <w:t>is</w:t>
            </w:r>
            <w:r>
              <w:rPr>
                <w:color w:val="231F20"/>
                <w:spacing w:val="-5"/>
                <w:sz w:val="15"/>
              </w:rPr>
              <w:t> </w:t>
            </w:r>
            <w:r>
              <w:rPr>
                <w:color w:val="231F20"/>
                <w:sz w:val="15"/>
              </w:rPr>
              <w:t>frequently</w:t>
            </w:r>
            <w:r>
              <w:rPr>
                <w:color w:val="231F20"/>
                <w:spacing w:val="-5"/>
                <w:sz w:val="15"/>
              </w:rPr>
              <w:t> </w:t>
            </w:r>
            <w:r>
              <w:rPr>
                <w:color w:val="231F20"/>
                <w:sz w:val="15"/>
              </w:rPr>
              <w:t>considered.</w:t>
            </w:r>
            <w:r>
              <w:rPr>
                <w:color w:val="231F20"/>
                <w:spacing w:val="-5"/>
                <w:sz w:val="15"/>
              </w:rPr>
              <w:t> </w:t>
            </w:r>
            <w:r>
              <w:rPr>
                <w:color w:val="231F20"/>
                <w:sz w:val="15"/>
              </w:rPr>
              <w:t>As</w:t>
            </w:r>
            <w:r>
              <w:rPr>
                <w:color w:val="231F20"/>
                <w:spacing w:val="-5"/>
                <w:sz w:val="15"/>
              </w:rPr>
              <w:t> </w:t>
            </w:r>
            <w:r>
              <w:rPr>
                <w:color w:val="231F20"/>
                <w:sz w:val="15"/>
              </w:rPr>
              <w:t>the</w:t>
            </w:r>
            <w:r>
              <w:rPr>
                <w:color w:val="231F20"/>
                <w:spacing w:val="-5"/>
                <w:sz w:val="15"/>
              </w:rPr>
              <w:t> </w:t>
            </w:r>
            <w:r>
              <w:rPr>
                <w:color w:val="231F20"/>
                <w:sz w:val="15"/>
              </w:rPr>
              <w:t>disease</w:t>
            </w:r>
            <w:r>
              <w:rPr>
                <w:color w:val="231F20"/>
                <w:spacing w:val="-5"/>
                <w:sz w:val="15"/>
              </w:rPr>
              <w:t> </w:t>
            </w:r>
            <w:r>
              <w:rPr>
                <w:color w:val="231F20"/>
                <w:sz w:val="15"/>
              </w:rPr>
              <w:t>evolves,</w:t>
            </w:r>
            <w:r>
              <w:rPr>
                <w:color w:val="231F20"/>
                <w:spacing w:val="-5"/>
                <w:sz w:val="15"/>
              </w:rPr>
              <w:t> </w:t>
            </w:r>
            <w:r>
              <w:rPr>
                <w:color w:val="231F20"/>
                <w:sz w:val="15"/>
              </w:rPr>
              <w:t>the</w:t>
            </w:r>
            <w:r>
              <w:rPr>
                <w:color w:val="231F20"/>
                <w:spacing w:val="-5"/>
                <w:sz w:val="15"/>
              </w:rPr>
              <w:t> </w:t>
            </w:r>
            <w:r>
              <w:rPr>
                <w:color w:val="231F20"/>
                <w:sz w:val="15"/>
              </w:rPr>
              <w:t>development</w:t>
            </w:r>
            <w:r>
              <w:rPr>
                <w:color w:val="231F20"/>
                <w:spacing w:val="-5"/>
                <w:sz w:val="15"/>
              </w:rPr>
              <w:t> </w:t>
            </w:r>
            <w:r>
              <w:rPr>
                <w:color w:val="231F20"/>
                <w:sz w:val="15"/>
              </w:rPr>
              <w:t>of</w:t>
            </w:r>
            <w:r>
              <w:rPr>
                <w:color w:val="231F20"/>
                <w:spacing w:val="-5"/>
                <w:sz w:val="15"/>
              </w:rPr>
              <w:t> </w:t>
            </w:r>
            <w:r>
              <w:rPr>
                <w:color w:val="231F20"/>
                <w:sz w:val="15"/>
              </w:rPr>
              <w:t>neurological</w:t>
            </w:r>
            <w:r>
              <w:rPr>
                <w:color w:val="231F20"/>
                <w:spacing w:val="-5"/>
                <w:sz w:val="15"/>
              </w:rPr>
              <w:t> </w:t>
            </w:r>
            <w:r>
              <w:rPr>
                <w:color w:val="231F20"/>
                <w:sz w:val="15"/>
              </w:rPr>
              <w:t>symptoms usually reveals the diagnosis.</w:t>
            </w:r>
          </w:p>
        </w:tc>
      </w:tr>
      <w:tr>
        <w:trPr>
          <w:trHeight w:val="588"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Drugs/toxins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137" w:hanging="112"/>
              <w:rPr>
                <w:sz w:val="15"/>
              </w:rPr>
            </w:pPr>
            <w:r>
              <w:rPr>
                <w:color w:val="231F20"/>
                <w:sz w:val="15"/>
              </w:rPr>
              <w:t>The</w:t>
            </w:r>
            <w:r>
              <w:rPr>
                <w:color w:val="231F20"/>
                <w:spacing w:val="-1"/>
                <w:sz w:val="15"/>
              </w:rPr>
              <w:t> </w:t>
            </w:r>
            <w:r>
              <w:rPr>
                <w:color w:val="231F20"/>
                <w:sz w:val="15"/>
              </w:rPr>
              <w:t>acute</w:t>
            </w:r>
            <w:r>
              <w:rPr>
                <w:color w:val="231F20"/>
                <w:spacing w:val="-1"/>
                <w:sz w:val="15"/>
              </w:rPr>
              <w:t> </w:t>
            </w:r>
            <w:r>
              <w:rPr>
                <w:color w:val="231F20"/>
                <w:sz w:val="15"/>
              </w:rPr>
              <w:t>development</w:t>
            </w:r>
            <w:r>
              <w:rPr>
                <w:color w:val="231F20"/>
                <w:spacing w:val="-1"/>
                <w:sz w:val="15"/>
              </w:rPr>
              <w:t> </w:t>
            </w:r>
            <w:r>
              <w:rPr>
                <w:color w:val="231F20"/>
                <w:sz w:val="15"/>
              </w:rPr>
              <w:t>of</w:t>
            </w:r>
            <w:r>
              <w:rPr>
                <w:color w:val="231F20"/>
                <w:spacing w:val="-1"/>
                <w:sz w:val="15"/>
              </w:rPr>
              <w:t> </w:t>
            </w:r>
            <w:r>
              <w:rPr>
                <w:color w:val="231F20"/>
                <w:sz w:val="15"/>
              </w:rPr>
              <w:t>personality</w:t>
            </w:r>
            <w:r>
              <w:rPr>
                <w:color w:val="231F20"/>
                <w:spacing w:val="-1"/>
                <w:sz w:val="15"/>
              </w:rPr>
              <w:t> </w:t>
            </w:r>
            <w:r>
              <w:rPr>
                <w:color w:val="231F20"/>
                <w:sz w:val="15"/>
              </w:rPr>
              <w:t>and</w:t>
            </w:r>
            <w:r>
              <w:rPr>
                <w:color w:val="231F20"/>
                <w:spacing w:val="-1"/>
                <w:sz w:val="15"/>
              </w:rPr>
              <w:t> </w:t>
            </w:r>
            <w:r>
              <w:rPr>
                <w:color w:val="231F20"/>
                <w:sz w:val="15"/>
              </w:rPr>
              <w:t>behavioral</w:t>
            </w:r>
            <w:r>
              <w:rPr>
                <w:color w:val="231F20"/>
                <w:spacing w:val="-1"/>
                <w:sz w:val="15"/>
              </w:rPr>
              <w:t> </w:t>
            </w:r>
            <w:r>
              <w:rPr>
                <w:color w:val="231F20"/>
                <w:sz w:val="15"/>
              </w:rPr>
              <w:t>changes,</w:t>
            </w:r>
            <w:r>
              <w:rPr>
                <w:color w:val="231F20"/>
                <w:spacing w:val="-1"/>
                <w:sz w:val="15"/>
              </w:rPr>
              <w:t> </w:t>
            </w:r>
            <w:r>
              <w:rPr>
                <w:color w:val="231F20"/>
                <w:sz w:val="15"/>
              </w:rPr>
              <w:t>and</w:t>
            </w:r>
            <w:r>
              <w:rPr>
                <w:color w:val="231F20"/>
                <w:spacing w:val="-1"/>
                <w:sz w:val="15"/>
              </w:rPr>
              <w:t> </w:t>
            </w:r>
            <w:r>
              <w:rPr>
                <w:color w:val="231F20"/>
                <w:sz w:val="15"/>
              </w:rPr>
              <w:t>symptoms</w:t>
            </w:r>
            <w:r>
              <w:rPr>
                <w:color w:val="231F20"/>
                <w:spacing w:val="-1"/>
                <w:sz w:val="15"/>
              </w:rPr>
              <w:t> </w:t>
            </w:r>
            <w:r>
              <w:rPr>
                <w:color w:val="231F20"/>
                <w:sz w:val="15"/>
              </w:rPr>
              <w:t>suggesting</w:t>
            </w:r>
            <w:r>
              <w:rPr>
                <w:color w:val="231F20"/>
                <w:spacing w:val="-1"/>
                <w:sz w:val="15"/>
              </w:rPr>
              <w:t> </w:t>
            </w:r>
            <w:r>
              <w:rPr>
                <w:color w:val="231F20"/>
                <w:sz w:val="15"/>
              </w:rPr>
              <w:t>involvement of dopaminergic pathways (rigidity, dystonia, orofacial movements) usually leads to a suspicion of drug abuse (e.g., ketamine, phencyclidine, among others). Carbon monoxide.</w:t>
            </w:r>
          </w:p>
        </w:tc>
      </w:tr>
      <w:tr>
        <w:trPr>
          <w:trHeight w:val="924" w:hRule="atLeast"/>
        </w:trPr>
        <w:tc>
          <w:tcPr>
            <w:tcW w:w="2096" w:type="dxa"/>
            <w:tcBorders>
              <w:top w:val="single" w:sz="4" w:space="0" w:color="FFFFFF"/>
              <w:bottom w:val="single" w:sz="4" w:space="0" w:color="FFFFFF"/>
            </w:tcBorders>
            <w:shd w:val="clear" w:color="auto" w:fill="E8F5F1"/>
          </w:tcPr>
          <w:p>
            <w:pPr>
              <w:pStyle w:val="TableParagraph"/>
              <w:spacing w:line="230" w:lineRule="auto" w:before="48"/>
              <w:ind w:left="186" w:right="516" w:hanging="112"/>
              <w:rPr>
                <w:sz w:val="15"/>
              </w:rPr>
            </w:pPr>
            <w:r>
              <w:rPr>
                <w:color w:val="231F20"/>
                <w:sz w:val="15"/>
              </w:rPr>
              <w:t>Neuroleptic</w:t>
            </w:r>
            <w:r>
              <w:rPr>
                <w:color w:val="231F20"/>
                <w:spacing w:val="-12"/>
                <w:sz w:val="15"/>
              </w:rPr>
              <w:t> </w:t>
            </w:r>
            <w:r>
              <w:rPr>
                <w:color w:val="231F20"/>
                <w:sz w:val="15"/>
              </w:rPr>
              <w:t>malignant </w:t>
            </w:r>
            <w:r>
              <w:rPr>
                <w:color w:val="231F20"/>
                <w:spacing w:val="-2"/>
                <w:sz w:val="15"/>
              </w:rPr>
              <w:t>syndrome</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The occurrence of altered level of consciousness, episodes of rigidity, hyperthermia, and autonomic instability often suggest NMS. In addition, some patients with anti-NMDAR encephalitis have elevated serum</w:t>
            </w:r>
            <w:r>
              <w:rPr>
                <w:color w:val="231F20"/>
                <w:spacing w:val="-4"/>
                <w:sz w:val="15"/>
              </w:rPr>
              <w:t> </w:t>
            </w:r>
            <w:r>
              <w:rPr>
                <w:color w:val="231F20"/>
                <w:sz w:val="15"/>
              </w:rPr>
              <w:t>creatine</w:t>
            </w:r>
            <w:r>
              <w:rPr>
                <w:color w:val="231F20"/>
                <w:spacing w:val="-4"/>
                <w:sz w:val="15"/>
              </w:rPr>
              <w:t> </w:t>
            </w:r>
            <w:r>
              <w:rPr>
                <w:color w:val="231F20"/>
                <w:sz w:val="15"/>
              </w:rPr>
              <w:t>kinase</w:t>
            </w:r>
            <w:r>
              <w:rPr>
                <w:color w:val="231F20"/>
                <w:spacing w:val="-4"/>
                <w:sz w:val="15"/>
              </w:rPr>
              <w:t> </w:t>
            </w:r>
            <w:r>
              <w:rPr>
                <w:color w:val="231F20"/>
                <w:sz w:val="15"/>
              </w:rPr>
              <w:t>and</w:t>
            </w:r>
            <w:r>
              <w:rPr>
                <w:color w:val="231F20"/>
                <w:spacing w:val="-4"/>
                <w:sz w:val="15"/>
              </w:rPr>
              <w:t> </w:t>
            </w:r>
            <w:r>
              <w:rPr>
                <w:color w:val="231F20"/>
                <w:sz w:val="15"/>
              </w:rPr>
              <w:t>rhabdomyolysis</w:t>
            </w:r>
            <w:r>
              <w:rPr>
                <w:color w:val="231F20"/>
                <w:spacing w:val="-4"/>
                <w:sz w:val="15"/>
              </w:rPr>
              <w:t> </w:t>
            </w:r>
            <w:r>
              <w:rPr>
                <w:color w:val="231F20"/>
                <w:sz w:val="15"/>
              </w:rPr>
              <w:t>(in</w:t>
            </w:r>
            <w:r>
              <w:rPr>
                <w:color w:val="231F20"/>
                <w:spacing w:val="-4"/>
                <w:sz w:val="15"/>
              </w:rPr>
              <w:t> </w:t>
            </w:r>
            <w:r>
              <w:rPr>
                <w:color w:val="231F20"/>
                <w:sz w:val="15"/>
              </w:rPr>
              <w:t>the</w:t>
            </w:r>
            <w:r>
              <w:rPr>
                <w:color w:val="231F20"/>
                <w:spacing w:val="-4"/>
                <w:sz w:val="15"/>
              </w:rPr>
              <w:t> </w:t>
            </w:r>
            <w:r>
              <w:rPr>
                <w:color w:val="231F20"/>
                <w:sz w:val="15"/>
              </w:rPr>
              <w:t>absence</w:t>
            </w:r>
            <w:r>
              <w:rPr>
                <w:color w:val="231F20"/>
                <w:spacing w:val="-4"/>
                <w:sz w:val="15"/>
              </w:rPr>
              <w:t> </w:t>
            </w:r>
            <w:r>
              <w:rPr>
                <w:color w:val="231F20"/>
                <w:sz w:val="15"/>
              </w:rPr>
              <w:t>of</w:t>
            </w:r>
            <w:r>
              <w:rPr>
                <w:color w:val="231F20"/>
                <w:spacing w:val="-4"/>
                <w:sz w:val="15"/>
              </w:rPr>
              <w:t> </w:t>
            </w:r>
            <w:r>
              <w:rPr>
                <w:color w:val="231F20"/>
                <w:sz w:val="15"/>
              </w:rPr>
              <w:t>antipsychotic</w:t>
            </w:r>
            <w:r>
              <w:rPr>
                <w:color w:val="231F20"/>
                <w:spacing w:val="-4"/>
                <w:sz w:val="15"/>
              </w:rPr>
              <w:t> </w:t>
            </w:r>
            <w:r>
              <w:rPr>
                <w:color w:val="231F20"/>
                <w:sz w:val="15"/>
              </w:rPr>
              <w:t>medication).</w:t>
            </w:r>
            <w:r>
              <w:rPr>
                <w:color w:val="231F20"/>
                <w:spacing w:val="-4"/>
                <w:sz w:val="15"/>
              </w:rPr>
              <w:t> </w:t>
            </w:r>
            <w:r>
              <w:rPr>
                <w:color w:val="231F20"/>
                <w:sz w:val="15"/>
              </w:rPr>
              <w:t>The</w:t>
            </w:r>
            <w:r>
              <w:rPr>
                <w:color w:val="231F20"/>
                <w:spacing w:val="-4"/>
                <w:sz w:val="15"/>
              </w:rPr>
              <w:t> </w:t>
            </w:r>
            <w:r>
              <w:rPr>
                <w:color w:val="231F20"/>
                <w:sz w:val="15"/>
              </w:rPr>
              <w:t>frequent use</w:t>
            </w:r>
            <w:r>
              <w:rPr>
                <w:color w:val="231F20"/>
                <w:spacing w:val="-6"/>
                <w:sz w:val="15"/>
              </w:rPr>
              <w:t> </w:t>
            </w:r>
            <w:r>
              <w:rPr>
                <w:color w:val="231F20"/>
                <w:sz w:val="15"/>
              </w:rPr>
              <w:t>of</w:t>
            </w:r>
            <w:r>
              <w:rPr>
                <w:color w:val="231F20"/>
                <w:spacing w:val="-6"/>
                <w:sz w:val="15"/>
              </w:rPr>
              <w:t> </w:t>
            </w:r>
            <w:r>
              <w:rPr>
                <w:color w:val="231F20"/>
                <w:sz w:val="15"/>
              </w:rPr>
              <w:t>neuroleptics</w:t>
            </w:r>
            <w:r>
              <w:rPr>
                <w:color w:val="231F20"/>
                <w:spacing w:val="-6"/>
                <w:sz w:val="15"/>
              </w:rPr>
              <w:t> </w:t>
            </w:r>
            <w:r>
              <w:rPr>
                <w:color w:val="231F20"/>
                <w:sz w:val="15"/>
              </w:rPr>
              <w:t>to</w:t>
            </w:r>
            <w:r>
              <w:rPr>
                <w:color w:val="231F20"/>
                <w:spacing w:val="-6"/>
                <w:sz w:val="15"/>
              </w:rPr>
              <w:t> </w:t>
            </w:r>
            <w:r>
              <w:rPr>
                <w:color w:val="231F20"/>
                <w:sz w:val="15"/>
              </w:rPr>
              <w:t>control</w:t>
            </w:r>
            <w:r>
              <w:rPr>
                <w:color w:val="231F20"/>
                <w:spacing w:val="-6"/>
                <w:sz w:val="15"/>
              </w:rPr>
              <w:t> </w:t>
            </w:r>
            <w:r>
              <w:rPr>
                <w:color w:val="231F20"/>
                <w:sz w:val="15"/>
              </w:rPr>
              <w:t>the</w:t>
            </w:r>
            <w:r>
              <w:rPr>
                <w:color w:val="231F20"/>
                <w:spacing w:val="-6"/>
                <w:sz w:val="15"/>
              </w:rPr>
              <w:t> </w:t>
            </w:r>
            <w:r>
              <w:rPr>
                <w:color w:val="231F20"/>
                <w:sz w:val="15"/>
              </w:rPr>
              <w:t>abnormal</w:t>
            </w:r>
            <w:r>
              <w:rPr>
                <w:color w:val="231F20"/>
                <w:spacing w:val="-6"/>
                <w:sz w:val="15"/>
              </w:rPr>
              <w:t> </w:t>
            </w:r>
            <w:r>
              <w:rPr>
                <w:color w:val="231F20"/>
                <w:sz w:val="15"/>
              </w:rPr>
              <w:t>behavior</w:t>
            </w:r>
            <w:r>
              <w:rPr>
                <w:color w:val="231F20"/>
                <w:spacing w:val="-6"/>
                <w:sz w:val="15"/>
              </w:rPr>
              <w:t> </w:t>
            </w:r>
            <w:r>
              <w:rPr>
                <w:color w:val="231F20"/>
                <w:sz w:val="15"/>
              </w:rPr>
              <w:t>adds</w:t>
            </w:r>
            <w:r>
              <w:rPr>
                <w:color w:val="231F20"/>
                <w:spacing w:val="-6"/>
                <w:sz w:val="15"/>
              </w:rPr>
              <w:t> </w:t>
            </w:r>
            <w:r>
              <w:rPr>
                <w:color w:val="231F20"/>
                <w:sz w:val="15"/>
              </w:rPr>
              <w:t>further</w:t>
            </w:r>
            <w:r>
              <w:rPr>
                <w:color w:val="231F20"/>
                <w:spacing w:val="-6"/>
                <w:sz w:val="15"/>
              </w:rPr>
              <w:t> </w:t>
            </w:r>
            <w:r>
              <w:rPr>
                <w:color w:val="231F20"/>
                <w:sz w:val="15"/>
              </w:rPr>
              <w:t>confusion</w:t>
            </w:r>
            <w:r>
              <w:rPr>
                <w:color w:val="231F20"/>
                <w:spacing w:val="-6"/>
                <w:sz w:val="15"/>
              </w:rPr>
              <w:t> </w:t>
            </w:r>
            <w:r>
              <w:rPr>
                <w:color w:val="231F20"/>
                <w:sz w:val="15"/>
              </w:rPr>
              <w:t>between</w:t>
            </w:r>
            <w:r>
              <w:rPr>
                <w:color w:val="231F20"/>
                <w:spacing w:val="-6"/>
                <w:sz w:val="15"/>
              </w:rPr>
              <w:t> </w:t>
            </w:r>
            <w:r>
              <w:rPr>
                <w:color w:val="231F20"/>
                <w:sz w:val="15"/>
              </w:rPr>
              <w:t>both</w:t>
            </w:r>
            <w:r>
              <w:rPr>
                <w:color w:val="231F20"/>
                <w:spacing w:val="-6"/>
                <w:sz w:val="15"/>
              </w:rPr>
              <w:t> </w:t>
            </w:r>
            <w:r>
              <w:rPr>
                <w:color w:val="231F20"/>
                <w:sz w:val="15"/>
              </w:rPr>
              <w:t>syndromes. The presence of dyskinesias and catatonia suggest anti-NMDAR encephalitis.</w:t>
            </w:r>
          </w:p>
        </w:tc>
      </w:tr>
      <w:tr>
        <w:trPr>
          <w:trHeight w:val="588"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Limbic</w:t>
            </w:r>
            <w:r>
              <w:rPr>
                <w:color w:val="231F20"/>
                <w:spacing w:val="-8"/>
                <w:sz w:val="15"/>
              </w:rPr>
              <w:t> </w:t>
            </w:r>
            <w:r>
              <w:rPr>
                <w:color w:val="231F20"/>
                <w:spacing w:val="-2"/>
                <w:sz w:val="15"/>
              </w:rPr>
              <w:t>encephalitis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Criteria</w:t>
            </w:r>
            <w:r>
              <w:rPr>
                <w:color w:val="231F20"/>
                <w:spacing w:val="-12"/>
                <w:sz w:val="15"/>
              </w:rPr>
              <w:t> </w:t>
            </w:r>
            <w:r>
              <w:rPr>
                <w:color w:val="231F20"/>
                <w:sz w:val="15"/>
              </w:rPr>
              <w:t>of</w:t>
            </w:r>
            <w:r>
              <w:rPr>
                <w:color w:val="231F20"/>
                <w:spacing w:val="-11"/>
                <w:sz w:val="15"/>
              </w:rPr>
              <w:t> </w:t>
            </w:r>
            <w:r>
              <w:rPr>
                <w:color w:val="231F20"/>
                <w:sz w:val="15"/>
              </w:rPr>
              <w:t>LE</w:t>
            </w:r>
            <w:r>
              <w:rPr>
                <w:color w:val="231F20"/>
                <w:spacing w:val="-11"/>
                <w:sz w:val="15"/>
              </w:rPr>
              <w:t> </w:t>
            </w:r>
            <w:r>
              <w:rPr>
                <w:color w:val="231F20"/>
                <w:sz w:val="15"/>
              </w:rPr>
              <w:t>are</w:t>
            </w:r>
            <w:r>
              <w:rPr>
                <w:color w:val="231F20"/>
                <w:spacing w:val="-12"/>
                <w:sz w:val="15"/>
              </w:rPr>
              <w:t> </w:t>
            </w:r>
            <w:r>
              <w:rPr>
                <w:color w:val="231F20"/>
                <w:sz w:val="15"/>
              </w:rPr>
              <w:t>well</w:t>
            </w:r>
            <w:r>
              <w:rPr>
                <w:color w:val="231F20"/>
                <w:spacing w:val="-11"/>
                <w:sz w:val="15"/>
              </w:rPr>
              <w:t> </w:t>
            </w:r>
            <w:r>
              <w:rPr>
                <w:color w:val="231F20"/>
                <w:sz w:val="15"/>
              </w:rPr>
              <w:t>defined.</w:t>
            </w:r>
            <w:r>
              <w:rPr>
                <w:color w:val="231F20"/>
                <w:spacing w:val="-11"/>
                <w:sz w:val="15"/>
              </w:rPr>
              <w:t> </w:t>
            </w:r>
            <w:r>
              <w:rPr>
                <w:color w:val="231F20"/>
                <w:sz w:val="15"/>
              </w:rPr>
              <w:t>Patients</w:t>
            </w:r>
            <w:r>
              <w:rPr>
                <w:color w:val="231F20"/>
                <w:spacing w:val="-12"/>
                <w:sz w:val="15"/>
              </w:rPr>
              <w:t> </w:t>
            </w:r>
            <w:r>
              <w:rPr>
                <w:color w:val="231F20"/>
                <w:sz w:val="15"/>
              </w:rPr>
              <w:t>with</w:t>
            </w:r>
            <w:r>
              <w:rPr>
                <w:color w:val="231F20"/>
                <w:spacing w:val="-11"/>
                <w:sz w:val="15"/>
              </w:rPr>
              <w:t> </w:t>
            </w:r>
            <w:r>
              <w:rPr>
                <w:color w:val="231F20"/>
                <w:sz w:val="15"/>
              </w:rPr>
              <w:t>LE</w:t>
            </w:r>
            <w:r>
              <w:rPr>
                <w:color w:val="231F20"/>
                <w:spacing w:val="-11"/>
                <w:sz w:val="15"/>
              </w:rPr>
              <w:t> </w:t>
            </w:r>
            <w:r>
              <w:rPr>
                <w:color w:val="231F20"/>
                <w:sz w:val="15"/>
              </w:rPr>
              <w:t>do</w:t>
            </w:r>
            <w:r>
              <w:rPr>
                <w:color w:val="231F20"/>
                <w:spacing w:val="-11"/>
                <w:sz w:val="15"/>
              </w:rPr>
              <w:t> </w:t>
            </w:r>
            <w:r>
              <w:rPr>
                <w:color w:val="231F20"/>
                <w:sz w:val="15"/>
              </w:rPr>
              <w:t>not</w:t>
            </w:r>
            <w:r>
              <w:rPr>
                <w:color w:val="231F20"/>
                <w:spacing w:val="-12"/>
                <w:sz w:val="15"/>
              </w:rPr>
              <w:t> </w:t>
            </w:r>
            <w:r>
              <w:rPr>
                <w:color w:val="231F20"/>
                <w:sz w:val="15"/>
              </w:rPr>
              <w:t>have</w:t>
            </w:r>
            <w:r>
              <w:rPr>
                <w:color w:val="231F20"/>
                <w:spacing w:val="-11"/>
                <w:sz w:val="15"/>
              </w:rPr>
              <w:t> </w:t>
            </w:r>
            <w:r>
              <w:rPr>
                <w:color w:val="231F20"/>
                <w:sz w:val="15"/>
              </w:rPr>
              <w:t>dyskinesias</w:t>
            </w:r>
            <w:r>
              <w:rPr>
                <w:color w:val="231F20"/>
                <w:spacing w:val="-11"/>
                <w:sz w:val="15"/>
              </w:rPr>
              <w:t> </w:t>
            </w:r>
            <w:r>
              <w:rPr>
                <w:color w:val="231F20"/>
                <w:sz w:val="15"/>
              </w:rPr>
              <w:t>or</w:t>
            </w:r>
            <w:r>
              <w:rPr>
                <w:color w:val="231F20"/>
                <w:spacing w:val="-12"/>
                <w:sz w:val="15"/>
              </w:rPr>
              <w:t> </w:t>
            </w:r>
            <w:r>
              <w:rPr>
                <w:color w:val="231F20"/>
                <w:sz w:val="15"/>
              </w:rPr>
              <w:t>central</w:t>
            </w:r>
            <w:r>
              <w:rPr>
                <w:color w:val="231F20"/>
                <w:spacing w:val="-11"/>
                <w:sz w:val="15"/>
              </w:rPr>
              <w:t> </w:t>
            </w:r>
            <w:r>
              <w:rPr>
                <w:color w:val="231F20"/>
                <w:sz w:val="15"/>
              </w:rPr>
              <w:t>hypoventilation;</w:t>
            </w:r>
            <w:r>
              <w:rPr>
                <w:color w:val="231F20"/>
                <w:spacing w:val="-11"/>
                <w:sz w:val="15"/>
              </w:rPr>
              <w:t> </w:t>
            </w:r>
            <w:r>
              <w:rPr>
                <w:color w:val="231F20"/>
                <w:sz w:val="15"/>
              </w:rPr>
              <w:t>the MRI usually shows abnormalities restricted to the medial temporal lobes, and the EEG findings (epileptic</w:t>
            </w:r>
            <w:r>
              <w:rPr>
                <w:color w:val="231F20"/>
                <w:spacing w:val="-4"/>
                <w:sz w:val="15"/>
              </w:rPr>
              <w:t> </w:t>
            </w:r>
            <w:r>
              <w:rPr>
                <w:color w:val="231F20"/>
                <w:sz w:val="15"/>
              </w:rPr>
              <w:t>or</w:t>
            </w:r>
            <w:r>
              <w:rPr>
                <w:color w:val="231F20"/>
                <w:spacing w:val="-4"/>
                <w:sz w:val="15"/>
              </w:rPr>
              <w:t> </w:t>
            </w:r>
            <w:r>
              <w:rPr>
                <w:color w:val="231F20"/>
                <w:sz w:val="15"/>
              </w:rPr>
              <w:t>slow</w:t>
            </w:r>
            <w:r>
              <w:rPr>
                <w:color w:val="231F20"/>
                <w:spacing w:val="-4"/>
                <w:sz w:val="15"/>
              </w:rPr>
              <w:t> </w:t>
            </w:r>
            <w:r>
              <w:rPr>
                <w:color w:val="231F20"/>
                <w:sz w:val="15"/>
              </w:rPr>
              <w:t>activity)</w:t>
            </w:r>
            <w:r>
              <w:rPr>
                <w:color w:val="231F20"/>
                <w:spacing w:val="-4"/>
                <w:sz w:val="15"/>
              </w:rPr>
              <w:t> </w:t>
            </w:r>
            <w:r>
              <w:rPr>
                <w:color w:val="231F20"/>
                <w:sz w:val="15"/>
              </w:rPr>
              <w:t>are</w:t>
            </w:r>
            <w:r>
              <w:rPr>
                <w:color w:val="231F20"/>
                <w:spacing w:val="-4"/>
                <w:sz w:val="15"/>
              </w:rPr>
              <w:t> </w:t>
            </w:r>
            <w:r>
              <w:rPr>
                <w:color w:val="231F20"/>
                <w:sz w:val="15"/>
              </w:rPr>
              <w:t>largely</w:t>
            </w:r>
            <w:r>
              <w:rPr>
                <w:color w:val="231F20"/>
                <w:spacing w:val="-4"/>
                <w:sz w:val="15"/>
              </w:rPr>
              <w:t> </w:t>
            </w:r>
            <w:r>
              <w:rPr>
                <w:color w:val="231F20"/>
                <w:sz w:val="15"/>
              </w:rPr>
              <w:t>restricted</w:t>
            </w:r>
            <w:r>
              <w:rPr>
                <w:color w:val="231F20"/>
                <w:spacing w:val="-4"/>
                <w:sz w:val="15"/>
              </w:rPr>
              <w:t> </w:t>
            </w:r>
            <w:r>
              <w:rPr>
                <w:color w:val="231F20"/>
                <w:sz w:val="15"/>
              </w:rPr>
              <w:t>to</w:t>
            </w:r>
            <w:r>
              <w:rPr>
                <w:color w:val="231F20"/>
                <w:spacing w:val="-4"/>
                <w:sz w:val="15"/>
              </w:rPr>
              <w:t> </w:t>
            </w:r>
            <w:r>
              <w:rPr>
                <w:color w:val="231F20"/>
                <w:sz w:val="15"/>
              </w:rPr>
              <w:t>the</w:t>
            </w:r>
            <w:r>
              <w:rPr>
                <w:color w:val="231F20"/>
                <w:spacing w:val="-4"/>
                <w:sz w:val="15"/>
              </w:rPr>
              <w:t> </w:t>
            </w:r>
            <w:r>
              <w:rPr>
                <w:color w:val="231F20"/>
                <w:sz w:val="15"/>
              </w:rPr>
              <w:t>temporal</w:t>
            </w:r>
            <w:r>
              <w:rPr>
                <w:color w:val="231F20"/>
                <w:spacing w:val="-4"/>
                <w:sz w:val="15"/>
              </w:rPr>
              <w:t> </w:t>
            </w:r>
            <w:r>
              <w:rPr>
                <w:color w:val="231F20"/>
                <w:sz w:val="15"/>
              </w:rPr>
              <w:t>lobes.</w:t>
            </w:r>
          </w:p>
        </w:tc>
      </w:tr>
      <w:tr>
        <w:trPr>
          <w:trHeight w:val="924"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Encephalitis</w:t>
            </w:r>
            <w:r>
              <w:rPr>
                <w:color w:val="231F20"/>
                <w:spacing w:val="8"/>
                <w:sz w:val="15"/>
              </w:rPr>
              <w:t> </w:t>
            </w:r>
            <w:r>
              <w:rPr>
                <w:color w:val="231F20"/>
                <w:spacing w:val="-2"/>
                <w:sz w:val="15"/>
              </w:rPr>
              <w:t>lethargica</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137" w:hanging="112"/>
              <w:rPr>
                <w:sz w:val="15"/>
              </w:rPr>
            </w:pPr>
            <w:r>
              <w:rPr>
                <w:color w:val="231F20"/>
                <w:sz w:val="15"/>
              </w:rPr>
              <w:t>This</w:t>
            </w:r>
            <w:r>
              <w:rPr>
                <w:color w:val="231F20"/>
                <w:spacing w:val="-11"/>
                <w:sz w:val="15"/>
              </w:rPr>
              <w:t> </w:t>
            </w:r>
            <w:r>
              <w:rPr>
                <w:color w:val="231F20"/>
                <w:sz w:val="15"/>
              </w:rPr>
              <w:t>is</w:t>
            </w:r>
            <w:r>
              <w:rPr>
                <w:color w:val="231F20"/>
                <w:spacing w:val="-11"/>
                <w:sz w:val="15"/>
              </w:rPr>
              <w:t> </w:t>
            </w:r>
            <w:r>
              <w:rPr>
                <w:color w:val="231F20"/>
                <w:sz w:val="15"/>
              </w:rPr>
              <w:t>an</w:t>
            </w:r>
            <w:r>
              <w:rPr>
                <w:color w:val="231F20"/>
                <w:spacing w:val="-11"/>
                <w:sz w:val="15"/>
              </w:rPr>
              <w:t> </w:t>
            </w:r>
            <w:r>
              <w:rPr>
                <w:color w:val="231F20"/>
                <w:sz w:val="15"/>
              </w:rPr>
              <w:t>ill-defined</w:t>
            </w:r>
            <w:r>
              <w:rPr>
                <w:color w:val="231F20"/>
                <w:spacing w:val="-11"/>
                <w:sz w:val="15"/>
              </w:rPr>
              <w:t> </w:t>
            </w:r>
            <w:r>
              <w:rPr>
                <w:color w:val="231F20"/>
                <w:sz w:val="15"/>
              </w:rPr>
              <w:t>entity,</w:t>
            </w:r>
            <w:r>
              <w:rPr>
                <w:color w:val="231F20"/>
                <w:spacing w:val="-11"/>
                <w:sz w:val="15"/>
              </w:rPr>
              <w:t> </w:t>
            </w:r>
            <w:r>
              <w:rPr>
                <w:color w:val="231F20"/>
                <w:sz w:val="15"/>
              </w:rPr>
              <w:t>likely</w:t>
            </w:r>
            <w:r>
              <w:rPr>
                <w:color w:val="231F20"/>
                <w:spacing w:val="-11"/>
                <w:sz w:val="15"/>
              </w:rPr>
              <w:t> </w:t>
            </w:r>
            <w:r>
              <w:rPr>
                <w:color w:val="231F20"/>
                <w:sz w:val="15"/>
              </w:rPr>
              <w:t>representing</w:t>
            </w:r>
            <w:r>
              <w:rPr>
                <w:color w:val="231F20"/>
                <w:spacing w:val="-11"/>
                <w:sz w:val="15"/>
              </w:rPr>
              <w:t> </w:t>
            </w:r>
            <w:r>
              <w:rPr>
                <w:color w:val="231F20"/>
                <w:sz w:val="15"/>
              </w:rPr>
              <w:t>multiple</w:t>
            </w:r>
            <w:r>
              <w:rPr>
                <w:color w:val="231F20"/>
                <w:spacing w:val="-11"/>
                <w:sz w:val="15"/>
              </w:rPr>
              <w:t> </w:t>
            </w:r>
            <w:r>
              <w:rPr>
                <w:color w:val="231F20"/>
                <w:sz w:val="15"/>
              </w:rPr>
              <w:t>disorders.</w:t>
            </w:r>
            <w:r>
              <w:rPr>
                <w:color w:val="231F20"/>
                <w:spacing w:val="-11"/>
                <w:sz w:val="15"/>
              </w:rPr>
              <w:t> </w:t>
            </w:r>
            <w:r>
              <w:rPr>
                <w:color w:val="231F20"/>
                <w:sz w:val="15"/>
              </w:rPr>
              <w:t>Criteria</w:t>
            </w:r>
            <w:r>
              <w:rPr>
                <w:color w:val="231F20"/>
                <w:spacing w:val="-11"/>
                <w:sz w:val="15"/>
              </w:rPr>
              <w:t> </w:t>
            </w:r>
            <w:r>
              <w:rPr>
                <w:color w:val="231F20"/>
                <w:sz w:val="15"/>
              </w:rPr>
              <w:t>include:</w:t>
            </w:r>
            <w:r>
              <w:rPr>
                <w:color w:val="231F20"/>
                <w:spacing w:val="-11"/>
                <w:sz w:val="15"/>
              </w:rPr>
              <w:t> </w:t>
            </w:r>
            <w:r>
              <w:rPr>
                <w:color w:val="231F20"/>
                <w:sz w:val="15"/>
              </w:rPr>
              <w:t>acute</w:t>
            </w:r>
            <w:r>
              <w:rPr>
                <w:color w:val="231F20"/>
                <w:spacing w:val="-11"/>
                <w:sz w:val="15"/>
              </w:rPr>
              <w:t> </w:t>
            </w:r>
            <w:r>
              <w:rPr>
                <w:color w:val="231F20"/>
                <w:sz w:val="15"/>
              </w:rPr>
              <w:t>or</w:t>
            </w:r>
            <w:r>
              <w:rPr>
                <w:color w:val="231F20"/>
                <w:spacing w:val="-11"/>
                <w:sz w:val="15"/>
              </w:rPr>
              <w:t> </w:t>
            </w:r>
            <w:r>
              <w:rPr>
                <w:color w:val="231F20"/>
                <w:sz w:val="15"/>
              </w:rPr>
              <w:t>subacute encephalitis with at least 3 of the following: signs of basal ganglia involvement; oculogyric crises; </w:t>
            </w:r>
            <w:r>
              <w:rPr>
                <w:color w:val="231F20"/>
                <w:spacing w:val="-2"/>
                <w:sz w:val="15"/>
              </w:rPr>
              <w:t>ophthalmoplegia; obsessive-compulsive behavior; akinetic mutism; central respiratory irregularities; </w:t>
            </w:r>
            <w:r>
              <w:rPr>
                <w:color w:val="231F20"/>
                <w:sz w:val="15"/>
              </w:rPr>
              <w:t>and</w:t>
            </w:r>
            <w:r>
              <w:rPr>
                <w:color w:val="231F20"/>
                <w:spacing w:val="-7"/>
                <w:sz w:val="15"/>
              </w:rPr>
              <w:t> </w:t>
            </w:r>
            <w:r>
              <w:rPr>
                <w:color w:val="231F20"/>
                <w:sz w:val="15"/>
              </w:rPr>
              <w:t>somnolence</w:t>
            </w:r>
            <w:r>
              <w:rPr>
                <w:color w:val="231F20"/>
                <w:spacing w:val="-7"/>
                <w:sz w:val="15"/>
              </w:rPr>
              <w:t> </w:t>
            </w:r>
            <w:r>
              <w:rPr>
                <w:color w:val="231F20"/>
                <w:sz w:val="15"/>
              </w:rPr>
              <w:t>and/or</w:t>
            </w:r>
            <w:r>
              <w:rPr>
                <w:color w:val="231F20"/>
                <w:spacing w:val="-7"/>
                <w:sz w:val="15"/>
              </w:rPr>
              <w:t> </w:t>
            </w:r>
            <w:r>
              <w:rPr>
                <w:color w:val="231F20"/>
                <w:sz w:val="15"/>
              </w:rPr>
              <w:t>sleep</w:t>
            </w:r>
            <w:r>
              <w:rPr>
                <w:color w:val="231F20"/>
                <w:spacing w:val="-7"/>
                <w:sz w:val="15"/>
              </w:rPr>
              <w:t> </w:t>
            </w:r>
            <w:r>
              <w:rPr>
                <w:color w:val="231F20"/>
                <w:sz w:val="15"/>
              </w:rPr>
              <w:t>inversion.</w:t>
            </w:r>
            <w:r>
              <w:rPr>
                <w:color w:val="231F20"/>
                <w:spacing w:val="-7"/>
                <w:sz w:val="15"/>
              </w:rPr>
              <w:t> </w:t>
            </w:r>
            <w:r>
              <w:rPr>
                <w:color w:val="231F20"/>
                <w:sz w:val="15"/>
              </w:rPr>
              <w:t>Approximately,</w:t>
            </w:r>
            <w:r>
              <w:rPr>
                <w:color w:val="231F20"/>
                <w:spacing w:val="-7"/>
                <w:sz w:val="15"/>
              </w:rPr>
              <w:t> </w:t>
            </w:r>
            <w:r>
              <w:rPr>
                <w:color w:val="231F20"/>
                <w:sz w:val="15"/>
              </w:rPr>
              <w:t>50%</w:t>
            </w:r>
            <w:r>
              <w:rPr>
                <w:color w:val="231F20"/>
                <w:spacing w:val="-7"/>
                <w:sz w:val="15"/>
              </w:rPr>
              <w:t> </w:t>
            </w:r>
            <w:r>
              <w:rPr>
                <w:color w:val="231F20"/>
                <w:sz w:val="15"/>
              </w:rPr>
              <w:t>of</w:t>
            </w:r>
            <w:r>
              <w:rPr>
                <w:color w:val="231F20"/>
                <w:spacing w:val="-7"/>
                <w:sz w:val="15"/>
              </w:rPr>
              <w:t> </w:t>
            </w:r>
            <w:r>
              <w:rPr>
                <w:color w:val="231F20"/>
                <w:sz w:val="15"/>
              </w:rPr>
              <w:t>patients</w:t>
            </w:r>
            <w:r>
              <w:rPr>
                <w:color w:val="231F20"/>
                <w:spacing w:val="-7"/>
                <w:sz w:val="15"/>
              </w:rPr>
              <w:t> </w:t>
            </w:r>
            <w:r>
              <w:rPr>
                <w:color w:val="231F20"/>
                <w:sz w:val="15"/>
              </w:rPr>
              <w:t>categorized</w:t>
            </w:r>
            <w:r>
              <w:rPr>
                <w:color w:val="231F20"/>
                <w:spacing w:val="-7"/>
                <w:sz w:val="15"/>
              </w:rPr>
              <w:t> </w:t>
            </w:r>
            <w:r>
              <w:rPr>
                <w:color w:val="231F20"/>
                <w:sz w:val="15"/>
              </w:rPr>
              <w:t>as</w:t>
            </w:r>
            <w:r>
              <w:rPr>
                <w:color w:val="231F20"/>
                <w:spacing w:val="-7"/>
                <w:sz w:val="15"/>
              </w:rPr>
              <w:t> </w:t>
            </w:r>
            <w:r>
              <w:rPr>
                <w:color w:val="231F20"/>
                <w:sz w:val="15"/>
              </w:rPr>
              <w:t>encephalitis lethargica hyperkinetica have anti-NMDAR encephalitis.</w:t>
            </w:r>
          </w:p>
        </w:tc>
      </w:tr>
      <w:tr>
        <w:trPr>
          <w:trHeight w:val="756" w:hRule="atLeast"/>
        </w:trPr>
        <w:tc>
          <w:tcPr>
            <w:tcW w:w="2096" w:type="dxa"/>
            <w:tcBorders>
              <w:top w:val="single" w:sz="4" w:space="0" w:color="FFFFFF"/>
              <w:bottom w:val="single" w:sz="4" w:space="0" w:color="FFFFFF"/>
            </w:tcBorders>
            <w:shd w:val="clear" w:color="auto" w:fill="E8F5F1"/>
          </w:tcPr>
          <w:p>
            <w:pPr>
              <w:pStyle w:val="TableParagraph"/>
              <w:spacing w:line="230" w:lineRule="auto" w:before="48"/>
              <w:ind w:left="186" w:right="152" w:hanging="112"/>
              <w:rPr>
                <w:sz w:val="15"/>
              </w:rPr>
            </w:pPr>
            <w:r>
              <w:rPr>
                <w:color w:val="231F20"/>
                <w:sz w:val="15"/>
              </w:rPr>
              <w:t>Childhood disintegrative </w:t>
            </w:r>
            <w:r>
              <w:rPr>
                <w:color w:val="231F20"/>
                <w:spacing w:val="-2"/>
                <w:sz w:val="15"/>
              </w:rPr>
              <w:t>disorder/late-onset</w:t>
            </w:r>
            <w:r>
              <w:rPr>
                <w:color w:val="231F20"/>
                <w:spacing w:val="-10"/>
                <w:sz w:val="15"/>
              </w:rPr>
              <w:t> </w:t>
            </w:r>
            <w:r>
              <w:rPr>
                <w:color w:val="231F20"/>
                <w:spacing w:val="-2"/>
                <w:sz w:val="15"/>
              </w:rPr>
              <w:t>autism</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186" w:hanging="112"/>
              <w:rPr>
                <w:sz w:val="15"/>
              </w:rPr>
            </w:pPr>
            <w:r>
              <w:rPr>
                <w:color w:val="231F20"/>
                <w:sz w:val="15"/>
              </w:rPr>
              <w:t>Children with anti-NMDAR encephalitis often show cognitive regression, rapid loss of language function,</w:t>
            </w:r>
            <w:r>
              <w:rPr>
                <w:color w:val="231F20"/>
                <w:spacing w:val="-2"/>
                <w:sz w:val="15"/>
              </w:rPr>
              <w:t> </w:t>
            </w:r>
            <w:r>
              <w:rPr>
                <w:color w:val="231F20"/>
                <w:sz w:val="15"/>
              </w:rPr>
              <w:t>autistic</w:t>
            </w:r>
            <w:r>
              <w:rPr>
                <w:color w:val="231F20"/>
                <w:spacing w:val="-2"/>
                <w:sz w:val="15"/>
              </w:rPr>
              <w:t> </w:t>
            </w:r>
            <w:r>
              <w:rPr>
                <w:color w:val="231F20"/>
                <w:sz w:val="15"/>
              </w:rPr>
              <w:t>features,</w:t>
            </w:r>
            <w:r>
              <w:rPr>
                <w:color w:val="231F20"/>
                <w:spacing w:val="-2"/>
                <w:sz w:val="15"/>
              </w:rPr>
              <w:t> </w:t>
            </w:r>
            <w:r>
              <w:rPr>
                <w:color w:val="231F20"/>
                <w:sz w:val="15"/>
              </w:rPr>
              <w:t>and</w:t>
            </w:r>
            <w:r>
              <w:rPr>
                <w:color w:val="231F20"/>
                <w:spacing w:val="-2"/>
                <w:sz w:val="15"/>
              </w:rPr>
              <w:t> </w:t>
            </w:r>
            <w:r>
              <w:rPr>
                <w:color w:val="231F20"/>
                <w:sz w:val="15"/>
              </w:rPr>
              <w:t>seizures,</w:t>
            </w:r>
            <w:r>
              <w:rPr>
                <w:color w:val="231F20"/>
                <w:spacing w:val="-2"/>
                <w:sz w:val="15"/>
              </w:rPr>
              <w:t> </w:t>
            </w:r>
            <w:r>
              <w:rPr>
                <w:color w:val="231F20"/>
                <w:sz w:val="15"/>
              </w:rPr>
              <w:t>suggesting</w:t>
            </w:r>
            <w:r>
              <w:rPr>
                <w:color w:val="231F20"/>
                <w:spacing w:val="-2"/>
                <w:sz w:val="15"/>
              </w:rPr>
              <w:t> </w:t>
            </w:r>
            <w:r>
              <w:rPr>
                <w:color w:val="231F20"/>
                <w:sz w:val="15"/>
              </w:rPr>
              <w:t>a</w:t>
            </w:r>
            <w:r>
              <w:rPr>
                <w:color w:val="231F20"/>
                <w:spacing w:val="-2"/>
                <w:sz w:val="15"/>
              </w:rPr>
              <w:t> </w:t>
            </w:r>
            <w:r>
              <w:rPr>
                <w:color w:val="231F20"/>
                <w:sz w:val="15"/>
              </w:rPr>
              <w:t>childhood</w:t>
            </w:r>
            <w:r>
              <w:rPr>
                <w:color w:val="231F20"/>
                <w:spacing w:val="-2"/>
                <w:sz w:val="15"/>
              </w:rPr>
              <w:t> </w:t>
            </w:r>
            <w:r>
              <w:rPr>
                <w:color w:val="231F20"/>
                <w:sz w:val="15"/>
              </w:rPr>
              <w:t>disintegrative</w:t>
            </w:r>
            <w:r>
              <w:rPr>
                <w:color w:val="231F20"/>
                <w:spacing w:val="-2"/>
                <w:sz w:val="15"/>
              </w:rPr>
              <w:t> </w:t>
            </w:r>
            <w:r>
              <w:rPr>
                <w:color w:val="231F20"/>
                <w:sz w:val="15"/>
              </w:rPr>
              <w:t>disorder.</w:t>
            </w:r>
            <w:r>
              <w:rPr>
                <w:color w:val="231F20"/>
                <w:spacing w:val="-2"/>
                <w:sz w:val="15"/>
              </w:rPr>
              <w:t> </w:t>
            </w:r>
            <w:r>
              <w:rPr>
                <w:color w:val="231F20"/>
                <w:sz w:val="15"/>
              </w:rPr>
              <w:t>While</w:t>
            </w:r>
            <w:r>
              <w:rPr>
                <w:color w:val="231F20"/>
                <w:spacing w:val="-2"/>
                <w:sz w:val="15"/>
              </w:rPr>
              <w:t> </w:t>
            </w:r>
            <w:r>
              <w:rPr>
                <w:color w:val="231F20"/>
                <w:sz w:val="15"/>
              </w:rPr>
              <w:t>the prognosis of CDD is poor, most patients with anti-NMDAR encephalitis respond to </w:t>
            </w:r>
            <w:r>
              <w:rPr>
                <w:color w:val="231F20"/>
                <w:sz w:val="15"/>
              </w:rPr>
              <w:t>immunotherapy and have substantial clinical recovery.</w:t>
            </w:r>
          </w:p>
        </w:tc>
      </w:tr>
      <w:tr>
        <w:trPr>
          <w:trHeight w:val="588"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Kleine-Levin</w:t>
            </w:r>
            <w:r>
              <w:rPr>
                <w:color w:val="231F20"/>
                <w:sz w:val="15"/>
              </w:rPr>
              <w:t> </w:t>
            </w:r>
            <w:r>
              <w:rPr>
                <w:color w:val="231F20"/>
                <w:spacing w:val="-2"/>
                <w:sz w:val="15"/>
              </w:rPr>
              <w:t>syndrome</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Symptoms</w:t>
            </w:r>
            <w:r>
              <w:rPr>
                <w:color w:val="231F20"/>
                <w:spacing w:val="-3"/>
                <w:sz w:val="15"/>
              </w:rPr>
              <w:t> </w:t>
            </w:r>
            <w:r>
              <w:rPr>
                <w:color w:val="231F20"/>
                <w:sz w:val="15"/>
              </w:rPr>
              <w:t>of</w:t>
            </w:r>
            <w:r>
              <w:rPr>
                <w:color w:val="231F20"/>
                <w:spacing w:val="-3"/>
                <w:sz w:val="15"/>
              </w:rPr>
              <w:t> </w:t>
            </w:r>
            <w:r>
              <w:rPr>
                <w:color w:val="231F20"/>
                <w:sz w:val="15"/>
              </w:rPr>
              <w:t>hypersomnia,</w:t>
            </w:r>
            <w:r>
              <w:rPr>
                <w:color w:val="231F20"/>
                <w:spacing w:val="-3"/>
                <w:sz w:val="15"/>
              </w:rPr>
              <w:t> </w:t>
            </w:r>
            <w:r>
              <w:rPr>
                <w:color w:val="231F20"/>
                <w:sz w:val="15"/>
              </w:rPr>
              <w:t>compulsive</w:t>
            </w:r>
            <w:r>
              <w:rPr>
                <w:color w:val="231F20"/>
                <w:spacing w:val="-3"/>
                <w:sz w:val="15"/>
              </w:rPr>
              <w:t> </w:t>
            </w:r>
            <w:r>
              <w:rPr>
                <w:color w:val="231F20"/>
                <w:sz w:val="15"/>
              </w:rPr>
              <w:t>hyperphagia,</w:t>
            </w:r>
            <w:r>
              <w:rPr>
                <w:color w:val="231F20"/>
                <w:spacing w:val="-3"/>
                <w:sz w:val="15"/>
              </w:rPr>
              <w:t> </w:t>
            </w:r>
            <w:r>
              <w:rPr>
                <w:color w:val="231F20"/>
                <w:sz w:val="15"/>
              </w:rPr>
              <w:t>hypersexuality,</w:t>
            </w:r>
            <w:r>
              <w:rPr>
                <w:color w:val="231F20"/>
                <w:spacing w:val="-3"/>
                <w:sz w:val="15"/>
              </w:rPr>
              <w:t> </w:t>
            </w:r>
            <w:r>
              <w:rPr>
                <w:color w:val="231F20"/>
                <w:sz w:val="15"/>
              </w:rPr>
              <w:t>apathy,</w:t>
            </w:r>
            <w:r>
              <w:rPr>
                <w:color w:val="231F20"/>
                <w:spacing w:val="-3"/>
                <w:sz w:val="15"/>
              </w:rPr>
              <w:t> </w:t>
            </w:r>
            <w:r>
              <w:rPr>
                <w:color w:val="231F20"/>
                <w:sz w:val="15"/>
              </w:rPr>
              <w:t>and</w:t>
            </w:r>
            <w:r>
              <w:rPr>
                <w:color w:val="231F20"/>
                <w:spacing w:val="-3"/>
                <w:sz w:val="15"/>
              </w:rPr>
              <w:t> </w:t>
            </w:r>
            <w:r>
              <w:rPr>
                <w:color w:val="231F20"/>
                <w:sz w:val="15"/>
              </w:rPr>
              <w:t>child-like</w:t>
            </w:r>
            <w:r>
              <w:rPr>
                <w:color w:val="231F20"/>
                <w:spacing w:val="-3"/>
                <w:sz w:val="15"/>
              </w:rPr>
              <w:t> </w:t>
            </w:r>
            <w:r>
              <w:rPr>
                <w:color w:val="231F20"/>
                <w:sz w:val="15"/>
              </w:rPr>
              <w:t>behavior, which</w:t>
            </w:r>
            <w:r>
              <w:rPr>
                <w:color w:val="231F20"/>
                <w:spacing w:val="-10"/>
                <w:sz w:val="15"/>
              </w:rPr>
              <w:t> </w:t>
            </w:r>
            <w:r>
              <w:rPr>
                <w:color w:val="231F20"/>
                <w:sz w:val="15"/>
              </w:rPr>
              <w:t>are</w:t>
            </w:r>
            <w:r>
              <w:rPr>
                <w:color w:val="231F20"/>
                <w:spacing w:val="-10"/>
                <w:sz w:val="15"/>
              </w:rPr>
              <w:t> </w:t>
            </w:r>
            <w:r>
              <w:rPr>
                <w:color w:val="231F20"/>
                <w:sz w:val="15"/>
              </w:rPr>
              <w:t>typical</w:t>
            </w:r>
            <w:r>
              <w:rPr>
                <w:color w:val="231F20"/>
                <w:spacing w:val="-10"/>
                <w:sz w:val="15"/>
              </w:rPr>
              <w:t> </w:t>
            </w:r>
            <w:r>
              <w:rPr>
                <w:color w:val="231F20"/>
                <w:sz w:val="15"/>
              </w:rPr>
              <w:t>components</w:t>
            </w:r>
            <w:r>
              <w:rPr>
                <w:color w:val="231F20"/>
                <w:spacing w:val="-10"/>
                <w:sz w:val="15"/>
              </w:rPr>
              <w:t> </w:t>
            </w:r>
            <w:r>
              <w:rPr>
                <w:color w:val="231F20"/>
                <w:sz w:val="15"/>
              </w:rPr>
              <w:t>of</w:t>
            </w:r>
            <w:r>
              <w:rPr>
                <w:color w:val="231F20"/>
                <w:spacing w:val="-10"/>
                <w:sz w:val="15"/>
              </w:rPr>
              <w:t> </w:t>
            </w:r>
            <w:r>
              <w:rPr>
                <w:color w:val="231F20"/>
                <w:sz w:val="15"/>
              </w:rPr>
              <w:t>Kleine-Levin</w:t>
            </w:r>
            <w:r>
              <w:rPr>
                <w:color w:val="231F20"/>
                <w:spacing w:val="-10"/>
                <w:sz w:val="15"/>
              </w:rPr>
              <w:t> </w:t>
            </w:r>
            <w:r>
              <w:rPr>
                <w:color w:val="231F20"/>
                <w:sz w:val="15"/>
              </w:rPr>
              <w:t>syndrome,</w:t>
            </w:r>
            <w:r>
              <w:rPr>
                <w:color w:val="231F20"/>
                <w:spacing w:val="-10"/>
                <w:sz w:val="15"/>
              </w:rPr>
              <w:t> </w:t>
            </w:r>
            <w:r>
              <w:rPr>
                <w:color w:val="231F20"/>
                <w:sz w:val="15"/>
              </w:rPr>
              <w:t>may</w:t>
            </w:r>
            <w:r>
              <w:rPr>
                <w:color w:val="231F20"/>
                <w:spacing w:val="-10"/>
                <w:sz w:val="15"/>
              </w:rPr>
              <w:t> </w:t>
            </w:r>
            <w:r>
              <w:rPr>
                <w:color w:val="231F20"/>
                <w:sz w:val="15"/>
              </w:rPr>
              <w:t>occur</w:t>
            </w:r>
            <w:r>
              <w:rPr>
                <w:color w:val="231F20"/>
                <w:spacing w:val="-10"/>
                <w:sz w:val="15"/>
              </w:rPr>
              <w:t> </w:t>
            </w:r>
            <w:r>
              <w:rPr>
                <w:color w:val="231F20"/>
                <w:sz w:val="15"/>
              </w:rPr>
              <w:t>transiently</w:t>
            </w:r>
            <w:r>
              <w:rPr>
                <w:color w:val="231F20"/>
                <w:spacing w:val="-10"/>
                <w:sz w:val="15"/>
              </w:rPr>
              <w:t> </w:t>
            </w:r>
            <w:r>
              <w:rPr>
                <w:color w:val="231F20"/>
                <w:sz w:val="15"/>
              </w:rPr>
              <w:t>during</w:t>
            </w:r>
            <w:r>
              <w:rPr>
                <w:color w:val="231F20"/>
                <w:spacing w:val="-10"/>
                <w:sz w:val="15"/>
              </w:rPr>
              <w:t> </w:t>
            </w:r>
            <w:r>
              <w:rPr>
                <w:color w:val="231F20"/>
                <w:sz w:val="15"/>
              </w:rPr>
              <w:t>the</w:t>
            </w:r>
            <w:r>
              <w:rPr>
                <w:color w:val="231F20"/>
                <w:spacing w:val="-10"/>
                <w:sz w:val="15"/>
              </w:rPr>
              <w:t> </w:t>
            </w:r>
            <w:r>
              <w:rPr>
                <w:color w:val="231F20"/>
                <w:sz w:val="15"/>
              </w:rPr>
              <w:t>process</w:t>
            </w:r>
            <w:r>
              <w:rPr>
                <w:color w:val="231F20"/>
                <w:spacing w:val="-10"/>
                <w:sz w:val="15"/>
              </w:rPr>
              <w:t> </w:t>
            </w:r>
            <w:r>
              <w:rPr>
                <w:color w:val="231F20"/>
                <w:sz w:val="15"/>
              </w:rPr>
              <w:t>of recovery of anti-NMDAR encephalitis, or as permanent sequelae.</w:t>
            </w:r>
          </w:p>
        </w:tc>
      </w:tr>
      <w:tr>
        <w:trPr>
          <w:trHeight w:val="1092"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Inborn</w:t>
            </w:r>
            <w:r>
              <w:rPr>
                <w:color w:val="231F20"/>
                <w:spacing w:val="-5"/>
                <w:sz w:val="15"/>
              </w:rPr>
              <w:t> </w:t>
            </w:r>
            <w:r>
              <w:rPr>
                <w:color w:val="231F20"/>
                <w:sz w:val="15"/>
              </w:rPr>
              <w:t>errors</w:t>
            </w:r>
            <w:r>
              <w:rPr>
                <w:color w:val="231F20"/>
                <w:spacing w:val="-4"/>
                <w:sz w:val="15"/>
              </w:rPr>
              <w:t> </w:t>
            </w:r>
            <w:r>
              <w:rPr>
                <w:color w:val="231F20"/>
                <w:sz w:val="15"/>
              </w:rPr>
              <w:t>of</w:t>
            </w:r>
            <w:r>
              <w:rPr>
                <w:color w:val="231F20"/>
                <w:spacing w:val="-4"/>
                <w:sz w:val="15"/>
              </w:rPr>
              <w:t> </w:t>
            </w:r>
            <w:r>
              <w:rPr>
                <w:color w:val="231F20"/>
                <w:spacing w:val="-2"/>
                <w:sz w:val="15"/>
              </w:rPr>
              <w:t>metabolism</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147" w:hanging="112"/>
              <w:jc w:val="both"/>
              <w:rPr>
                <w:sz w:val="15"/>
              </w:rPr>
            </w:pPr>
            <w:r>
              <w:rPr>
                <w:color w:val="231F20"/>
                <w:sz w:val="15"/>
              </w:rPr>
              <w:t>Glutaric</w:t>
            </w:r>
            <w:r>
              <w:rPr>
                <w:color w:val="231F20"/>
                <w:spacing w:val="-8"/>
                <w:sz w:val="15"/>
              </w:rPr>
              <w:t> </w:t>
            </w:r>
            <w:r>
              <w:rPr>
                <w:color w:val="231F20"/>
                <w:sz w:val="15"/>
              </w:rPr>
              <w:t>aciduria</w:t>
            </w:r>
            <w:r>
              <w:rPr>
                <w:color w:val="231F20"/>
                <w:spacing w:val="-8"/>
                <w:sz w:val="15"/>
              </w:rPr>
              <w:t> </w:t>
            </w:r>
            <w:r>
              <w:rPr>
                <w:color w:val="231F20"/>
                <w:sz w:val="15"/>
              </w:rPr>
              <w:t>type</w:t>
            </w:r>
            <w:r>
              <w:rPr>
                <w:color w:val="231F20"/>
                <w:spacing w:val="-8"/>
                <w:sz w:val="15"/>
              </w:rPr>
              <w:t> </w:t>
            </w:r>
            <w:r>
              <w:rPr>
                <w:color w:val="231F20"/>
                <w:sz w:val="15"/>
              </w:rPr>
              <w:t>I</w:t>
            </w:r>
            <w:r>
              <w:rPr>
                <w:color w:val="231F20"/>
                <w:spacing w:val="-8"/>
                <w:sz w:val="15"/>
              </w:rPr>
              <w:t> </w:t>
            </w:r>
            <w:r>
              <w:rPr>
                <w:color w:val="231F20"/>
                <w:sz w:val="15"/>
              </w:rPr>
              <w:t>can</w:t>
            </w:r>
            <w:r>
              <w:rPr>
                <w:color w:val="231F20"/>
                <w:spacing w:val="-8"/>
                <w:sz w:val="15"/>
              </w:rPr>
              <w:t> </w:t>
            </w:r>
            <w:r>
              <w:rPr>
                <w:color w:val="231F20"/>
                <w:sz w:val="15"/>
              </w:rPr>
              <w:t>present</w:t>
            </w:r>
            <w:r>
              <w:rPr>
                <w:color w:val="231F20"/>
                <w:spacing w:val="-8"/>
                <w:sz w:val="15"/>
              </w:rPr>
              <w:t> </w:t>
            </w:r>
            <w:r>
              <w:rPr>
                <w:color w:val="231F20"/>
                <w:sz w:val="15"/>
              </w:rPr>
              <w:t>in</w:t>
            </w:r>
            <w:r>
              <w:rPr>
                <w:color w:val="231F20"/>
                <w:spacing w:val="-8"/>
                <w:sz w:val="15"/>
              </w:rPr>
              <w:t> </w:t>
            </w:r>
            <w:r>
              <w:rPr>
                <w:color w:val="231F20"/>
                <w:sz w:val="15"/>
              </w:rPr>
              <w:t>previously</w:t>
            </w:r>
            <w:r>
              <w:rPr>
                <w:color w:val="231F20"/>
                <w:spacing w:val="-8"/>
                <w:sz w:val="15"/>
              </w:rPr>
              <w:t> </w:t>
            </w:r>
            <w:r>
              <w:rPr>
                <w:color w:val="231F20"/>
                <w:sz w:val="15"/>
              </w:rPr>
              <w:t>asymptomatic</w:t>
            </w:r>
            <w:r>
              <w:rPr>
                <w:color w:val="231F20"/>
                <w:spacing w:val="-8"/>
                <w:sz w:val="15"/>
              </w:rPr>
              <w:t> </w:t>
            </w:r>
            <w:r>
              <w:rPr>
                <w:color w:val="231F20"/>
                <w:sz w:val="15"/>
              </w:rPr>
              <w:t>patients</w:t>
            </w:r>
            <w:r>
              <w:rPr>
                <w:color w:val="231F20"/>
                <w:spacing w:val="-8"/>
                <w:sz w:val="15"/>
              </w:rPr>
              <w:t> </w:t>
            </w:r>
            <w:r>
              <w:rPr>
                <w:color w:val="231F20"/>
                <w:sz w:val="15"/>
              </w:rPr>
              <w:t>as</w:t>
            </w:r>
            <w:r>
              <w:rPr>
                <w:color w:val="231F20"/>
                <w:spacing w:val="-8"/>
                <w:sz w:val="15"/>
              </w:rPr>
              <w:t> </w:t>
            </w:r>
            <w:r>
              <w:rPr>
                <w:color w:val="231F20"/>
                <w:sz w:val="15"/>
              </w:rPr>
              <w:t>episodes</w:t>
            </w:r>
            <w:r>
              <w:rPr>
                <w:color w:val="231F20"/>
                <w:spacing w:val="-8"/>
                <w:sz w:val="15"/>
              </w:rPr>
              <w:t> </w:t>
            </w:r>
            <w:r>
              <w:rPr>
                <w:color w:val="231F20"/>
                <w:sz w:val="15"/>
              </w:rPr>
              <w:t>of</w:t>
            </w:r>
            <w:r>
              <w:rPr>
                <w:color w:val="231F20"/>
                <w:spacing w:val="-8"/>
                <w:sz w:val="15"/>
              </w:rPr>
              <w:t> </w:t>
            </w:r>
            <w:r>
              <w:rPr>
                <w:color w:val="231F20"/>
                <w:sz w:val="15"/>
              </w:rPr>
              <w:t>encephalopathy with</w:t>
            </w:r>
            <w:r>
              <w:rPr>
                <w:color w:val="231F20"/>
                <w:spacing w:val="-10"/>
                <w:sz w:val="15"/>
              </w:rPr>
              <w:t> </w:t>
            </w:r>
            <w:r>
              <w:rPr>
                <w:color w:val="231F20"/>
                <w:sz w:val="15"/>
              </w:rPr>
              <w:t>dystonia,</w:t>
            </w:r>
            <w:r>
              <w:rPr>
                <w:color w:val="231F20"/>
                <w:spacing w:val="-10"/>
                <w:sz w:val="15"/>
              </w:rPr>
              <w:t> </w:t>
            </w:r>
            <w:r>
              <w:rPr>
                <w:color w:val="231F20"/>
                <w:sz w:val="15"/>
              </w:rPr>
              <w:t>coinciding</w:t>
            </w:r>
            <w:r>
              <w:rPr>
                <w:color w:val="231F20"/>
                <w:spacing w:val="-10"/>
                <w:sz w:val="15"/>
              </w:rPr>
              <w:t> </w:t>
            </w:r>
            <w:r>
              <w:rPr>
                <w:color w:val="231F20"/>
                <w:sz w:val="15"/>
              </w:rPr>
              <w:t>with</w:t>
            </w:r>
            <w:r>
              <w:rPr>
                <w:color w:val="231F20"/>
                <w:spacing w:val="-10"/>
                <w:sz w:val="15"/>
              </w:rPr>
              <w:t> </w:t>
            </w:r>
            <w:r>
              <w:rPr>
                <w:color w:val="231F20"/>
                <w:sz w:val="15"/>
              </w:rPr>
              <w:t>an</w:t>
            </w:r>
            <w:r>
              <w:rPr>
                <w:color w:val="231F20"/>
                <w:spacing w:val="-10"/>
                <w:sz w:val="15"/>
              </w:rPr>
              <w:t> </w:t>
            </w:r>
            <w:r>
              <w:rPr>
                <w:color w:val="231F20"/>
                <w:sz w:val="15"/>
              </w:rPr>
              <w:t>infection</w:t>
            </w:r>
            <w:r>
              <w:rPr>
                <w:color w:val="231F20"/>
                <w:spacing w:val="-10"/>
                <w:sz w:val="15"/>
              </w:rPr>
              <w:t> </w:t>
            </w:r>
            <w:r>
              <w:rPr>
                <w:color w:val="231F20"/>
                <w:sz w:val="15"/>
              </w:rPr>
              <w:t>or</w:t>
            </w:r>
            <w:r>
              <w:rPr>
                <w:color w:val="231F20"/>
                <w:spacing w:val="-10"/>
                <w:sz w:val="15"/>
              </w:rPr>
              <w:t> </w:t>
            </w:r>
            <w:r>
              <w:rPr>
                <w:color w:val="231F20"/>
                <w:sz w:val="15"/>
              </w:rPr>
              <w:t>febrile</w:t>
            </w:r>
            <w:r>
              <w:rPr>
                <w:color w:val="231F20"/>
                <w:spacing w:val="-10"/>
                <w:sz w:val="15"/>
              </w:rPr>
              <w:t> </w:t>
            </w:r>
            <w:r>
              <w:rPr>
                <w:color w:val="231F20"/>
                <w:sz w:val="15"/>
              </w:rPr>
              <w:t>process.</w:t>
            </w:r>
            <w:r>
              <w:rPr>
                <w:color w:val="231F20"/>
                <w:spacing w:val="-10"/>
                <w:sz w:val="15"/>
              </w:rPr>
              <w:t> </w:t>
            </w:r>
            <w:r>
              <w:rPr>
                <w:color w:val="231F20"/>
                <w:sz w:val="15"/>
              </w:rPr>
              <w:t>Several</w:t>
            </w:r>
            <w:r>
              <w:rPr>
                <w:color w:val="231F20"/>
                <w:spacing w:val="-10"/>
                <w:sz w:val="15"/>
              </w:rPr>
              <w:t> </w:t>
            </w:r>
            <w:r>
              <w:rPr>
                <w:color w:val="231F20"/>
                <w:sz w:val="15"/>
              </w:rPr>
              <w:t>inborn</w:t>
            </w:r>
            <w:r>
              <w:rPr>
                <w:color w:val="231F20"/>
                <w:spacing w:val="-10"/>
                <w:sz w:val="15"/>
              </w:rPr>
              <w:t> </w:t>
            </w:r>
            <w:r>
              <w:rPr>
                <w:color w:val="231F20"/>
                <w:sz w:val="15"/>
              </w:rPr>
              <w:t>errors</w:t>
            </w:r>
            <w:r>
              <w:rPr>
                <w:color w:val="231F20"/>
                <w:spacing w:val="-10"/>
                <w:sz w:val="15"/>
              </w:rPr>
              <w:t> </w:t>
            </w:r>
            <w:r>
              <w:rPr>
                <w:color w:val="231F20"/>
                <w:sz w:val="15"/>
              </w:rPr>
              <w:t>of</w:t>
            </w:r>
            <w:r>
              <w:rPr>
                <w:color w:val="231F20"/>
                <w:spacing w:val="-10"/>
                <w:sz w:val="15"/>
              </w:rPr>
              <w:t> </w:t>
            </w:r>
            <w:r>
              <w:rPr>
                <w:color w:val="231F20"/>
                <w:sz w:val="15"/>
              </w:rPr>
              <w:t>metabolism</w:t>
            </w:r>
            <w:r>
              <w:rPr>
                <w:color w:val="231F20"/>
                <w:spacing w:val="-10"/>
                <w:sz w:val="15"/>
              </w:rPr>
              <w:t> </w:t>
            </w:r>
            <w:r>
              <w:rPr>
                <w:color w:val="231F20"/>
                <w:sz w:val="15"/>
              </w:rPr>
              <w:t>can also occur with acute or subacute encephalopathy with extrapyramidal signs, including</w:t>
            </w:r>
          </w:p>
          <w:p>
            <w:pPr>
              <w:pStyle w:val="TableParagraph"/>
              <w:spacing w:line="230" w:lineRule="auto" w:before="2"/>
              <w:ind w:left="699" w:right="209"/>
              <w:jc w:val="both"/>
              <w:rPr>
                <w:sz w:val="15"/>
              </w:rPr>
            </w:pPr>
            <w:r>
              <w:rPr>
                <w:color w:val="231F20"/>
                <w:spacing w:val="-2"/>
                <w:sz w:val="15"/>
              </w:rPr>
              <w:t>3-methylglutaconic aciduria, creatine transport deficiency, mitochondrial disorders (Leigh syndrome), </w:t>
            </w:r>
            <w:r>
              <w:rPr>
                <w:color w:val="231F20"/>
                <w:sz w:val="15"/>
              </w:rPr>
              <w:t>Wilson,</w:t>
            </w:r>
            <w:r>
              <w:rPr>
                <w:color w:val="231F20"/>
                <w:spacing w:val="-8"/>
                <w:sz w:val="15"/>
              </w:rPr>
              <w:t> </w:t>
            </w:r>
            <w:r>
              <w:rPr>
                <w:color w:val="231F20"/>
                <w:sz w:val="15"/>
              </w:rPr>
              <w:t>and</w:t>
            </w:r>
            <w:r>
              <w:rPr>
                <w:color w:val="231F20"/>
                <w:spacing w:val="-8"/>
                <w:sz w:val="15"/>
              </w:rPr>
              <w:t> </w:t>
            </w:r>
            <w:r>
              <w:rPr>
                <w:color w:val="231F20"/>
                <w:sz w:val="15"/>
              </w:rPr>
              <w:t>Lesch-Nyhan</w:t>
            </w:r>
            <w:r>
              <w:rPr>
                <w:color w:val="231F20"/>
                <w:spacing w:val="-8"/>
                <w:sz w:val="15"/>
              </w:rPr>
              <w:t> </w:t>
            </w:r>
            <w:r>
              <w:rPr>
                <w:color w:val="231F20"/>
                <w:sz w:val="15"/>
              </w:rPr>
              <w:t>syndromes.</w:t>
            </w:r>
            <w:r>
              <w:rPr>
                <w:color w:val="231F20"/>
                <w:spacing w:val="-8"/>
                <w:sz w:val="15"/>
              </w:rPr>
              <w:t> </w:t>
            </w:r>
            <w:r>
              <w:rPr>
                <w:color w:val="231F20"/>
                <w:sz w:val="15"/>
              </w:rPr>
              <w:t>Pantothenate</w:t>
            </w:r>
            <w:r>
              <w:rPr>
                <w:color w:val="231F20"/>
                <w:spacing w:val="-8"/>
                <w:sz w:val="15"/>
              </w:rPr>
              <w:t> </w:t>
            </w:r>
            <w:r>
              <w:rPr>
                <w:color w:val="231F20"/>
                <w:sz w:val="15"/>
              </w:rPr>
              <w:t>kinase</w:t>
            </w:r>
            <w:r>
              <w:rPr>
                <w:color w:val="231F20"/>
                <w:spacing w:val="-8"/>
                <w:sz w:val="15"/>
              </w:rPr>
              <w:t> </w:t>
            </w:r>
            <w:r>
              <w:rPr>
                <w:color w:val="231F20"/>
                <w:sz w:val="15"/>
              </w:rPr>
              <w:t>associated</w:t>
            </w:r>
            <w:r>
              <w:rPr>
                <w:color w:val="231F20"/>
                <w:spacing w:val="-8"/>
                <w:sz w:val="15"/>
              </w:rPr>
              <w:t> </w:t>
            </w:r>
            <w:r>
              <w:rPr>
                <w:color w:val="231F20"/>
                <w:sz w:val="15"/>
              </w:rPr>
              <w:t>neurodegeneration,</w:t>
            </w:r>
            <w:r>
              <w:rPr>
                <w:color w:val="231F20"/>
                <w:spacing w:val="-8"/>
                <w:sz w:val="15"/>
              </w:rPr>
              <w:t> </w:t>
            </w:r>
            <w:r>
              <w:rPr>
                <w:color w:val="231F20"/>
                <w:sz w:val="15"/>
              </w:rPr>
              <w:t>porphyria,</w:t>
            </w:r>
            <w:r>
              <w:rPr>
                <w:color w:val="231F20"/>
                <w:sz w:val="15"/>
              </w:rPr>
              <w:t> and urea cycle defects should also be considered.</w:t>
            </w:r>
          </w:p>
        </w:tc>
      </w:tr>
      <w:tr>
        <w:trPr>
          <w:trHeight w:val="588" w:hRule="atLeast"/>
        </w:trPr>
        <w:tc>
          <w:tcPr>
            <w:tcW w:w="2096" w:type="dxa"/>
            <w:tcBorders>
              <w:top w:val="single" w:sz="4" w:space="0" w:color="FFFFFF"/>
              <w:bottom w:val="single" w:sz="4" w:space="0" w:color="FFFFFF"/>
            </w:tcBorders>
            <w:shd w:val="clear" w:color="auto" w:fill="E8F5F1"/>
          </w:tcPr>
          <w:p>
            <w:pPr>
              <w:pStyle w:val="TableParagraph"/>
              <w:spacing w:line="230" w:lineRule="auto" w:before="48"/>
              <w:ind w:left="186" w:right="59" w:hanging="112"/>
              <w:rPr>
                <w:sz w:val="15"/>
              </w:rPr>
            </w:pPr>
            <w:r>
              <w:rPr>
                <w:color w:val="231F20"/>
                <w:sz w:val="15"/>
              </w:rPr>
              <w:t>Monoamine</w:t>
            </w:r>
            <w:r>
              <w:rPr>
                <w:color w:val="231F20"/>
                <w:spacing w:val="-12"/>
                <w:sz w:val="15"/>
              </w:rPr>
              <w:t> </w:t>
            </w:r>
            <w:r>
              <w:rPr>
                <w:color w:val="231F20"/>
                <w:sz w:val="15"/>
              </w:rPr>
              <w:t>neurotransmitter </w:t>
            </w:r>
            <w:r>
              <w:rPr>
                <w:color w:val="231F20"/>
                <w:spacing w:val="-2"/>
                <w:sz w:val="15"/>
              </w:rPr>
              <w:t>disorders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Deficiency</w:t>
            </w:r>
            <w:r>
              <w:rPr>
                <w:color w:val="231F20"/>
                <w:spacing w:val="-7"/>
                <w:sz w:val="15"/>
              </w:rPr>
              <w:t> </w:t>
            </w:r>
            <w:r>
              <w:rPr>
                <w:color w:val="231F20"/>
                <w:sz w:val="15"/>
              </w:rPr>
              <w:t>of</w:t>
            </w:r>
            <w:r>
              <w:rPr>
                <w:color w:val="231F20"/>
                <w:spacing w:val="-7"/>
                <w:sz w:val="15"/>
              </w:rPr>
              <w:t> </w:t>
            </w:r>
            <w:r>
              <w:rPr>
                <w:color w:val="231F20"/>
                <w:sz w:val="15"/>
              </w:rPr>
              <w:t>dopamine,</w:t>
            </w:r>
            <w:r>
              <w:rPr>
                <w:color w:val="231F20"/>
                <w:spacing w:val="-7"/>
                <w:sz w:val="15"/>
              </w:rPr>
              <w:t> </w:t>
            </w:r>
            <w:r>
              <w:rPr>
                <w:color w:val="231F20"/>
                <w:sz w:val="15"/>
              </w:rPr>
              <w:t>serotonin</w:t>
            </w:r>
            <w:r>
              <w:rPr>
                <w:color w:val="231F20"/>
                <w:spacing w:val="-7"/>
                <w:sz w:val="15"/>
              </w:rPr>
              <w:t> </w:t>
            </w:r>
            <w:r>
              <w:rPr>
                <w:color w:val="231F20"/>
                <w:sz w:val="15"/>
              </w:rPr>
              <w:t>or</w:t>
            </w:r>
            <w:r>
              <w:rPr>
                <w:color w:val="231F20"/>
                <w:spacing w:val="-7"/>
                <w:sz w:val="15"/>
              </w:rPr>
              <w:t> </w:t>
            </w:r>
            <w:r>
              <w:rPr>
                <w:color w:val="231F20"/>
                <w:sz w:val="15"/>
              </w:rPr>
              <w:t>both</w:t>
            </w:r>
            <w:r>
              <w:rPr>
                <w:color w:val="231F20"/>
                <w:spacing w:val="-7"/>
                <w:sz w:val="15"/>
              </w:rPr>
              <w:t> </w:t>
            </w:r>
            <w:r>
              <w:rPr>
                <w:color w:val="231F20"/>
                <w:sz w:val="15"/>
              </w:rPr>
              <w:t>can</w:t>
            </w:r>
            <w:r>
              <w:rPr>
                <w:color w:val="231F20"/>
                <w:spacing w:val="-7"/>
                <w:sz w:val="15"/>
              </w:rPr>
              <w:t> </w:t>
            </w:r>
            <w:r>
              <w:rPr>
                <w:color w:val="231F20"/>
                <w:sz w:val="15"/>
              </w:rPr>
              <w:t>result</w:t>
            </w:r>
            <w:r>
              <w:rPr>
                <w:color w:val="231F20"/>
                <w:spacing w:val="-7"/>
                <w:sz w:val="15"/>
              </w:rPr>
              <w:t> </w:t>
            </w:r>
            <w:r>
              <w:rPr>
                <w:color w:val="231F20"/>
                <w:sz w:val="15"/>
              </w:rPr>
              <w:t>in</w:t>
            </w:r>
            <w:r>
              <w:rPr>
                <w:color w:val="231F20"/>
                <w:spacing w:val="-7"/>
                <w:sz w:val="15"/>
              </w:rPr>
              <w:t> </w:t>
            </w:r>
            <w:r>
              <w:rPr>
                <w:color w:val="231F20"/>
                <w:sz w:val="15"/>
              </w:rPr>
              <w:t>encephalopathy,</w:t>
            </w:r>
            <w:r>
              <w:rPr>
                <w:color w:val="231F20"/>
                <w:spacing w:val="-7"/>
                <w:sz w:val="15"/>
              </w:rPr>
              <w:t> </w:t>
            </w:r>
            <w:r>
              <w:rPr>
                <w:color w:val="231F20"/>
                <w:sz w:val="15"/>
              </w:rPr>
              <w:t>epilepsy,</w:t>
            </w:r>
            <w:r>
              <w:rPr>
                <w:color w:val="231F20"/>
                <w:spacing w:val="-7"/>
                <w:sz w:val="15"/>
              </w:rPr>
              <w:t> </w:t>
            </w:r>
            <w:r>
              <w:rPr>
                <w:color w:val="231F20"/>
                <w:sz w:val="15"/>
              </w:rPr>
              <w:t>and</w:t>
            </w:r>
            <w:r>
              <w:rPr>
                <w:color w:val="231F20"/>
                <w:spacing w:val="-7"/>
                <w:sz w:val="15"/>
              </w:rPr>
              <w:t> </w:t>
            </w:r>
            <w:r>
              <w:rPr>
                <w:color w:val="231F20"/>
                <w:sz w:val="15"/>
              </w:rPr>
              <w:t>pyramidal</w:t>
            </w:r>
            <w:r>
              <w:rPr>
                <w:color w:val="231F20"/>
                <w:spacing w:val="-7"/>
                <w:sz w:val="15"/>
              </w:rPr>
              <w:t> </w:t>
            </w:r>
            <w:r>
              <w:rPr>
                <w:color w:val="231F20"/>
                <w:sz w:val="15"/>
              </w:rPr>
              <w:t>and extrapyramidal symptoms. The diagnosis is established by examining the CSF for levels of these </w:t>
            </w:r>
            <w:r>
              <w:rPr>
                <w:color w:val="231F20"/>
                <w:spacing w:val="-2"/>
                <w:sz w:val="15"/>
              </w:rPr>
              <w:t>neurotransmitters.</w:t>
            </w:r>
          </w:p>
        </w:tc>
      </w:tr>
      <w:tr>
        <w:trPr>
          <w:trHeight w:val="1092"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Demyelinating</w:t>
            </w:r>
            <w:r>
              <w:rPr>
                <w:color w:val="231F20"/>
                <w:spacing w:val="1"/>
                <w:sz w:val="15"/>
              </w:rPr>
              <w:t> </w:t>
            </w:r>
            <w:r>
              <w:rPr>
                <w:color w:val="231F20"/>
                <w:spacing w:val="-2"/>
                <w:sz w:val="15"/>
              </w:rPr>
              <w:t>disorders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56" w:hanging="112"/>
              <w:rPr>
                <w:sz w:val="15"/>
              </w:rPr>
            </w:pPr>
            <w:r>
              <w:rPr>
                <w:color w:val="231F20"/>
                <w:sz w:val="15"/>
              </w:rPr>
              <w:t>Acute disseminated encephalomyelitis and neuromyelitis optica are immune-mediated inflammatory and</w:t>
            </w:r>
            <w:r>
              <w:rPr>
                <w:color w:val="231F20"/>
                <w:spacing w:val="-3"/>
                <w:sz w:val="15"/>
              </w:rPr>
              <w:t> </w:t>
            </w:r>
            <w:r>
              <w:rPr>
                <w:color w:val="231F20"/>
                <w:sz w:val="15"/>
              </w:rPr>
              <w:t>demyelinating</w:t>
            </w:r>
            <w:r>
              <w:rPr>
                <w:color w:val="231F20"/>
                <w:spacing w:val="-3"/>
                <w:sz w:val="15"/>
              </w:rPr>
              <w:t> </w:t>
            </w:r>
            <w:r>
              <w:rPr>
                <w:color w:val="231F20"/>
                <w:sz w:val="15"/>
              </w:rPr>
              <w:t>disorders</w:t>
            </w:r>
            <w:r>
              <w:rPr>
                <w:color w:val="231F20"/>
                <w:spacing w:val="-3"/>
                <w:sz w:val="15"/>
              </w:rPr>
              <w:t> </w:t>
            </w:r>
            <w:r>
              <w:rPr>
                <w:color w:val="231F20"/>
                <w:sz w:val="15"/>
              </w:rPr>
              <w:t>of</w:t>
            </w:r>
            <w:r>
              <w:rPr>
                <w:color w:val="231F20"/>
                <w:spacing w:val="-3"/>
                <w:sz w:val="15"/>
              </w:rPr>
              <w:t> </w:t>
            </w:r>
            <w:r>
              <w:rPr>
                <w:color w:val="231F20"/>
                <w:sz w:val="15"/>
              </w:rPr>
              <w:t>the</w:t>
            </w:r>
            <w:r>
              <w:rPr>
                <w:color w:val="231F20"/>
                <w:spacing w:val="-3"/>
                <w:sz w:val="15"/>
              </w:rPr>
              <w:t> </w:t>
            </w:r>
            <w:r>
              <w:rPr>
                <w:color w:val="231F20"/>
                <w:sz w:val="15"/>
              </w:rPr>
              <w:t>central</w:t>
            </w:r>
            <w:r>
              <w:rPr>
                <w:color w:val="231F20"/>
                <w:spacing w:val="-3"/>
                <w:sz w:val="15"/>
              </w:rPr>
              <w:t> </w:t>
            </w:r>
            <w:r>
              <w:rPr>
                <w:color w:val="231F20"/>
                <w:sz w:val="15"/>
              </w:rPr>
              <w:t>nervous</w:t>
            </w:r>
            <w:r>
              <w:rPr>
                <w:color w:val="231F20"/>
                <w:spacing w:val="-3"/>
                <w:sz w:val="15"/>
              </w:rPr>
              <w:t> </w:t>
            </w:r>
            <w:r>
              <w:rPr>
                <w:color w:val="231F20"/>
                <w:sz w:val="15"/>
              </w:rPr>
              <w:t>system.</w:t>
            </w:r>
            <w:r>
              <w:rPr>
                <w:color w:val="231F20"/>
                <w:spacing w:val="-3"/>
                <w:sz w:val="15"/>
              </w:rPr>
              <w:t> </w:t>
            </w:r>
            <w:r>
              <w:rPr>
                <w:color w:val="231F20"/>
                <w:sz w:val="15"/>
              </w:rPr>
              <w:t>These</w:t>
            </w:r>
            <w:r>
              <w:rPr>
                <w:color w:val="231F20"/>
                <w:spacing w:val="-3"/>
                <w:sz w:val="15"/>
              </w:rPr>
              <w:t> </w:t>
            </w:r>
            <w:r>
              <w:rPr>
                <w:color w:val="231F20"/>
                <w:sz w:val="15"/>
              </w:rPr>
              <w:t>disorders</w:t>
            </w:r>
            <w:r>
              <w:rPr>
                <w:color w:val="231F20"/>
                <w:spacing w:val="-3"/>
                <w:sz w:val="15"/>
              </w:rPr>
              <w:t> </w:t>
            </w:r>
            <w:r>
              <w:rPr>
                <w:color w:val="231F20"/>
                <w:sz w:val="15"/>
              </w:rPr>
              <w:t>should</w:t>
            </w:r>
            <w:r>
              <w:rPr>
                <w:color w:val="231F20"/>
                <w:spacing w:val="-3"/>
                <w:sz w:val="15"/>
              </w:rPr>
              <w:t> </w:t>
            </w:r>
            <w:r>
              <w:rPr>
                <w:color w:val="231F20"/>
                <w:sz w:val="15"/>
              </w:rPr>
              <w:t>be</w:t>
            </w:r>
            <w:r>
              <w:rPr>
                <w:color w:val="231F20"/>
                <w:spacing w:val="-3"/>
                <w:sz w:val="15"/>
              </w:rPr>
              <w:t> </w:t>
            </w:r>
            <w:r>
              <w:rPr>
                <w:color w:val="231F20"/>
                <w:sz w:val="15"/>
              </w:rPr>
              <w:t>considered</w:t>
            </w:r>
            <w:r>
              <w:rPr>
                <w:color w:val="231F20"/>
                <w:spacing w:val="-3"/>
                <w:sz w:val="15"/>
              </w:rPr>
              <w:t> </w:t>
            </w:r>
            <w:r>
              <w:rPr>
                <w:color w:val="231F20"/>
                <w:sz w:val="15"/>
              </w:rPr>
              <w:t>in the</w:t>
            </w:r>
            <w:r>
              <w:rPr>
                <w:color w:val="231F20"/>
                <w:spacing w:val="-4"/>
                <w:sz w:val="15"/>
              </w:rPr>
              <w:t> </w:t>
            </w:r>
            <w:r>
              <w:rPr>
                <w:color w:val="231F20"/>
                <w:sz w:val="15"/>
              </w:rPr>
              <w:t>differential</w:t>
            </w:r>
            <w:r>
              <w:rPr>
                <w:color w:val="231F20"/>
                <w:spacing w:val="-4"/>
                <w:sz w:val="15"/>
              </w:rPr>
              <w:t> </w:t>
            </w:r>
            <w:r>
              <w:rPr>
                <w:color w:val="231F20"/>
                <w:sz w:val="15"/>
              </w:rPr>
              <w:t>diagnosis</w:t>
            </w:r>
            <w:r>
              <w:rPr>
                <w:color w:val="231F20"/>
                <w:spacing w:val="-4"/>
                <w:sz w:val="15"/>
              </w:rPr>
              <w:t> </w:t>
            </w:r>
            <w:r>
              <w:rPr>
                <w:color w:val="231F20"/>
                <w:sz w:val="15"/>
              </w:rPr>
              <w:t>of</w:t>
            </w:r>
            <w:r>
              <w:rPr>
                <w:color w:val="231F20"/>
                <w:spacing w:val="-4"/>
                <w:sz w:val="15"/>
              </w:rPr>
              <w:t> </w:t>
            </w:r>
            <w:r>
              <w:rPr>
                <w:color w:val="231F20"/>
                <w:sz w:val="15"/>
              </w:rPr>
              <w:t>multifocal</w:t>
            </w:r>
            <w:r>
              <w:rPr>
                <w:color w:val="231F20"/>
                <w:spacing w:val="-4"/>
                <w:sz w:val="15"/>
              </w:rPr>
              <w:t> </w:t>
            </w:r>
            <w:r>
              <w:rPr>
                <w:color w:val="231F20"/>
                <w:sz w:val="15"/>
              </w:rPr>
              <w:t>neurologic</w:t>
            </w:r>
            <w:r>
              <w:rPr>
                <w:color w:val="231F20"/>
                <w:spacing w:val="-4"/>
                <w:sz w:val="15"/>
              </w:rPr>
              <w:t> </w:t>
            </w:r>
            <w:r>
              <w:rPr>
                <w:color w:val="231F20"/>
                <w:sz w:val="15"/>
              </w:rPr>
              <w:t>abnormalities</w:t>
            </w:r>
            <w:r>
              <w:rPr>
                <w:color w:val="231F20"/>
                <w:spacing w:val="-4"/>
                <w:sz w:val="15"/>
              </w:rPr>
              <w:t> </w:t>
            </w:r>
            <w:r>
              <w:rPr>
                <w:color w:val="231F20"/>
                <w:sz w:val="15"/>
              </w:rPr>
              <w:t>and</w:t>
            </w:r>
            <w:r>
              <w:rPr>
                <w:color w:val="231F20"/>
                <w:spacing w:val="-4"/>
                <w:sz w:val="15"/>
              </w:rPr>
              <w:t> </w:t>
            </w:r>
            <w:r>
              <w:rPr>
                <w:color w:val="231F20"/>
                <w:sz w:val="15"/>
              </w:rPr>
              <w:t>encephalopathy</w:t>
            </w:r>
            <w:r>
              <w:rPr>
                <w:color w:val="231F20"/>
                <w:spacing w:val="-4"/>
                <w:sz w:val="15"/>
              </w:rPr>
              <w:t> </w:t>
            </w:r>
            <w:r>
              <w:rPr>
                <w:color w:val="231F20"/>
                <w:sz w:val="15"/>
              </w:rPr>
              <w:t>in</w:t>
            </w:r>
            <w:r>
              <w:rPr>
                <w:color w:val="231F20"/>
                <w:spacing w:val="-4"/>
                <w:sz w:val="15"/>
              </w:rPr>
              <w:t> </w:t>
            </w:r>
            <w:r>
              <w:rPr>
                <w:color w:val="231F20"/>
                <w:sz w:val="15"/>
              </w:rPr>
              <w:t>children.</w:t>
            </w:r>
            <w:r>
              <w:rPr>
                <w:color w:val="231F20"/>
                <w:spacing w:val="-4"/>
                <w:sz w:val="15"/>
              </w:rPr>
              <w:t> </w:t>
            </w:r>
            <w:r>
              <w:rPr>
                <w:color w:val="231F20"/>
                <w:sz w:val="15"/>
              </w:rPr>
              <w:t>As with anti-NMDAR encephalitis these disorders may be preceded by an infection and can show pleocytosis. The diagnosis is suggested by the MRI findings. In NMO the presence of aquaporin 4 antibodies in serum or CSF is associated with relapses and poor prognosis.</w:t>
            </w:r>
          </w:p>
        </w:tc>
      </w:tr>
      <w:tr>
        <w:trPr>
          <w:trHeight w:val="1092" w:hRule="atLeast"/>
        </w:trPr>
        <w:tc>
          <w:tcPr>
            <w:tcW w:w="2096"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CNS</w:t>
            </w:r>
            <w:r>
              <w:rPr>
                <w:color w:val="231F20"/>
                <w:spacing w:val="32"/>
                <w:w w:val="105"/>
                <w:sz w:val="15"/>
              </w:rPr>
              <w:t> </w:t>
            </w:r>
            <w:r>
              <w:rPr>
                <w:color w:val="231F20"/>
                <w:spacing w:val="-2"/>
                <w:w w:val="105"/>
                <w:sz w:val="15"/>
              </w:rPr>
              <w:t>vasculitis</w:t>
            </w:r>
          </w:p>
        </w:tc>
        <w:tc>
          <w:tcPr>
            <w:tcW w:w="7644" w:type="dxa"/>
            <w:tcBorders>
              <w:top w:val="single" w:sz="4" w:space="0" w:color="FFFFFF"/>
              <w:bottom w:val="single" w:sz="4" w:space="0" w:color="FFFFFF"/>
            </w:tcBorders>
            <w:shd w:val="clear" w:color="auto" w:fill="E8F5F1"/>
          </w:tcPr>
          <w:p>
            <w:pPr>
              <w:pStyle w:val="TableParagraph"/>
              <w:spacing w:line="230" w:lineRule="auto" w:before="48"/>
              <w:ind w:left="699" w:right="137" w:hanging="112"/>
              <w:rPr>
                <w:sz w:val="15"/>
              </w:rPr>
            </w:pPr>
            <w:r>
              <w:rPr>
                <w:color w:val="231F20"/>
                <w:sz w:val="15"/>
              </w:rPr>
              <w:t>CNS</w:t>
            </w:r>
            <w:r>
              <w:rPr>
                <w:color w:val="231F20"/>
                <w:spacing w:val="-9"/>
                <w:sz w:val="15"/>
              </w:rPr>
              <w:t> </w:t>
            </w:r>
            <w:r>
              <w:rPr>
                <w:color w:val="231F20"/>
                <w:sz w:val="15"/>
              </w:rPr>
              <w:t>vasculitis</w:t>
            </w:r>
            <w:r>
              <w:rPr>
                <w:color w:val="231F20"/>
                <w:spacing w:val="-9"/>
                <w:sz w:val="15"/>
              </w:rPr>
              <w:t> </w:t>
            </w:r>
            <w:r>
              <w:rPr>
                <w:color w:val="231F20"/>
                <w:sz w:val="15"/>
              </w:rPr>
              <w:t>results</w:t>
            </w:r>
            <w:r>
              <w:rPr>
                <w:color w:val="231F20"/>
                <w:spacing w:val="-9"/>
                <w:sz w:val="15"/>
              </w:rPr>
              <w:t> </w:t>
            </w:r>
            <w:r>
              <w:rPr>
                <w:color w:val="231F20"/>
                <w:sz w:val="15"/>
              </w:rPr>
              <w:t>in</w:t>
            </w:r>
            <w:r>
              <w:rPr>
                <w:color w:val="231F20"/>
                <w:spacing w:val="-9"/>
                <w:sz w:val="15"/>
              </w:rPr>
              <w:t> </w:t>
            </w:r>
            <w:r>
              <w:rPr>
                <w:color w:val="231F20"/>
                <w:sz w:val="15"/>
              </w:rPr>
              <w:t>neurologic</w:t>
            </w:r>
            <w:r>
              <w:rPr>
                <w:color w:val="231F20"/>
                <w:spacing w:val="-9"/>
                <w:sz w:val="15"/>
              </w:rPr>
              <w:t> </w:t>
            </w:r>
            <w:r>
              <w:rPr>
                <w:color w:val="231F20"/>
                <w:sz w:val="15"/>
              </w:rPr>
              <w:t>deficits</w:t>
            </w:r>
            <w:r>
              <w:rPr>
                <w:color w:val="231F20"/>
                <w:spacing w:val="-9"/>
                <w:sz w:val="15"/>
              </w:rPr>
              <w:t> </w:t>
            </w:r>
            <w:r>
              <w:rPr>
                <w:color w:val="231F20"/>
                <w:sz w:val="15"/>
              </w:rPr>
              <w:t>and</w:t>
            </w:r>
            <w:r>
              <w:rPr>
                <w:color w:val="231F20"/>
                <w:spacing w:val="-9"/>
                <w:sz w:val="15"/>
              </w:rPr>
              <w:t> </w:t>
            </w:r>
            <w:r>
              <w:rPr>
                <w:color w:val="231F20"/>
                <w:sz w:val="15"/>
              </w:rPr>
              <w:t>psychiatric</w:t>
            </w:r>
            <w:r>
              <w:rPr>
                <w:color w:val="231F20"/>
                <w:spacing w:val="-9"/>
                <w:sz w:val="15"/>
              </w:rPr>
              <w:t> </w:t>
            </w:r>
            <w:r>
              <w:rPr>
                <w:color w:val="231F20"/>
                <w:sz w:val="15"/>
              </w:rPr>
              <w:t>manifestations.</w:t>
            </w:r>
            <w:r>
              <w:rPr>
                <w:color w:val="231F20"/>
                <w:spacing w:val="-9"/>
                <w:sz w:val="15"/>
              </w:rPr>
              <w:t> </w:t>
            </w:r>
            <w:r>
              <w:rPr>
                <w:color w:val="231F20"/>
                <w:sz w:val="15"/>
              </w:rPr>
              <w:t>The</w:t>
            </w:r>
            <w:r>
              <w:rPr>
                <w:color w:val="231F20"/>
                <w:spacing w:val="-9"/>
                <w:sz w:val="15"/>
              </w:rPr>
              <w:t> </w:t>
            </w:r>
            <w:r>
              <w:rPr>
                <w:color w:val="231F20"/>
                <w:sz w:val="15"/>
              </w:rPr>
              <w:t>diagnosis</w:t>
            </w:r>
            <w:r>
              <w:rPr>
                <w:color w:val="231F20"/>
                <w:spacing w:val="-9"/>
                <w:sz w:val="15"/>
              </w:rPr>
              <w:t> </w:t>
            </w:r>
            <w:r>
              <w:rPr>
                <w:color w:val="231F20"/>
                <w:sz w:val="15"/>
              </w:rPr>
              <w:t>is</w:t>
            </w:r>
            <w:r>
              <w:rPr>
                <w:color w:val="231F20"/>
                <w:spacing w:val="-9"/>
                <w:sz w:val="15"/>
              </w:rPr>
              <w:t> </w:t>
            </w:r>
            <w:r>
              <w:rPr>
                <w:color w:val="231F20"/>
                <w:sz w:val="15"/>
              </w:rPr>
              <w:t>established by</w:t>
            </w:r>
            <w:r>
              <w:rPr>
                <w:color w:val="231F20"/>
                <w:spacing w:val="-1"/>
                <w:sz w:val="15"/>
              </w:rPr>
              <w:t> </w:t>
            </w:r>
            <w:r>
              <w:rPr>
                <w:color w:val="231F20"/>
                <w:sz w:val="15"/>
              </w:rPr>
              <w:t>angiography</w:t>
            </w:r>
            <w:r>
              <w:rPr>
                <w:color w:val="231F20"/>
                <w:spacing w:val="-1"/>
                <w:sz w:val="15"/>
              </w:rPr>
              <w:t> </w:t>
            </w:r>
            <w:r>
              <w:rPr>
                <w:color w:val="231F20"/>
                <w:sz w:val="15"/>
              </w:rPr>
              <w:t>in</w:t>
            </w:r>
            <w:r>
              <w:rPr>
                <w:color w:val="231F20"/>
                <w:spacing w:val="-1"/>
                <w:sz w:val="15"/>
              </w:rPr>
              <w:t> </w:t>
            </w:r>
            <w:r>
              <w:rPr>
                <w:color w:val="231F20"/>
                <w:sz w:val="15"/>
              </w:rPr>
              <w:t>large</w:t>
            </w:r>
            <w:r>
              <w:rPr>
                <w:color w:val="231F20"/>
                <w:spacing w:val="-1"/>
                <w:sz w:val="15"/>
              </w:rPr>
              <w:t> </w:t>
            </w:r>
            <w:r>
              <w:rPr>
                <w:color w:val="231F20"/>
                <w:sz w:val="15"/>
              </w:rPr>
              <w:t>vessel</w:t>
            </w:r>
            <w:r>
              <w:rPr>
                <w:color w:val="231F20"/>
                <w:spacing w:val="-1"/>
                <w:sz w:val="15"/>
              </w:rPr>
              <w:t> </w:t>
            </w:r>
            <w:r>
              <w:rPr>
                <w:color w:val="231F20"/>
                <w:sz w:val="15"/>
              </w:rPr>
              <w:t>angiitis,</w:t>
            </w:r>
            <w:r>
              <w:rPr>
                <w:color w:val="231F20"/>
                <w:spacing w:val="-1"/>
                <w:sz w:val="15"/>
              </w:rPr>
              <w:t> </w:t>
            </w:r>
            <w:r>
              <w:rPr>
                <w:color w:val="231F20"/>
                <w:sz w:val="15"/>
              </w:rPr>
              <w:t>and</w:t>
            </w:r>
            <w:r>
              <w:rPr>
                <w:color w:val="231F20"/>
                <w:spacing w:val="-1"/>
                <w:sz w:val="15"/>
              </w:rPr>
              <w:t> </w:t>
            </w:r>
            <w:r>
              <w:rPr>
                <w:color w:val="231F20"/>
                <w:sz w:val="15"/>
              </w:rPr>
              <w:t>brain</w:t>
            </w:r>
            <w:r>
              <w:rPr>
                <w:color w:val="231F20"/>
                <w:spacing w:val="-1"/>
                <w:sz w:val="15"/>
              </w:rPr>
              <w:t> </w:t>
            </w:r>
            <w:r>
              <w:rPr>
                <w:color w:val="231F20"/>
                <w:sz w:val="15"/>
              </w:rPr>
              <w:t>biopsy</w:t>
            </w:r>
            <w:r>
              <w:rPr>
                <w:color w:val="231F20"/>
                <w:spacing w:val="-1"/>
                <w:sz w:val="15"/>
              </w:rPr>
              <w:t> </w:t>
            </w:r>
            <w:r>
              <w:rPr>
                <w:color w:val="231F20"/>
                <w:sz w:val="15"/>
              </w:rPr>
              <w:t>in</w:t>
            </w:r>
            <w:r>
              <w:rPr>
                <w:color w:val="231F20"/>
                <w:spacing w:val="-1"/>
                <w:sz w:val="15"/>
              </w:rPr>
              <w:t> </w:t>
            </w:r>
            <w:r>
              <w:rPr>
                <w:color w:val="231F20"/>
                <w:sz w:val="15"/>
              </w:rPr>
              <w:t>small</w:t>
            </w:r>
            <w:r>
              <w:rPr>
                <w:color w:val="231F20"/>
                <w:spacing w:val="-1"/>
                <w:sz w:val="15"/>
              </w:rPr>
              <w:t> </w:t>
            </w:r>
            <w:r>
              <w:rPr>
                <w:color w:val="231F20"/>
                <w:sz w:val="15"/>
              </w:rPr>
              <w:t>vessel</w:t>
            </w:r>
            <w:r>
              <w:rPr>
                <w:color w:val="231F20"/>
                <w:spacing w:val="-1"/>
                <w:sz w:val="15"/>
              </w:rPr>
              <w:t> </w:t>
            </w:r>
            <w:r>
              <w:rPr>
                <w:color w:val="231F20"/>
                <w:sz w:val="15"/>
              </w:rPr>
              <w:t>angiitis.</w:t>
            </w:r>
            <w:r>
              <w:rPr>
                <w:color w:val="231F20"/>
                <w:spacing w:val="-1"/>
                <w:sz w:val="15"/>
              </w:rPr>
              <w:t> </w:t>
            </w:r>
            <w:r>
              <w:rPr>
                <w:color w:val="231F20"/>
                <w:sz w:val="15"/>
              </w:rPr>
              <w:t>In</w:t>
            </w:r>
            <w:r>
              <w:rPr>
                <w:color w:val="231F20"/>
                <w:spacing w:val="-1"/>
                <w:sz w:val="15"/>
              </w:rPr>
              <w:t> </w:t>
            </w:r>
            <w:r>
              <w:rPr>
                <w:color w:val="231F20"/>
                <w:sz w:val="15"/>
              </w:rPr>
              <w:t>the</w:t>
            </w:r>
            <w:r>
              <w:rPr>
                <w:color w:val="231F20"/>
                <w:spacing w:val="-1"/>
                <w:sz w:val="15"/>
              </w:rPr>
              <w:t> </w:t>
            </w:r>
            <w:r>
              <w:rPr>
                <w:color w:val="231F20"/>
                <w:sz w:val="15"/>
              </w:rPr>
              <w:t>latter,</w:t>
            </w:r>
            <w:r>
              <w:rPr>
                <w:color w:val="231F20"/>
                <w:spacing w:val="-1"/>
                <w:sz w:val="15"/>
              </w:rPr>
              <w:t> </w:t>
            </w:r>
            <w:r>
              <w:rPr>
                <w:color w:val="231F20"/>
                <w:sz w:val="15"/>
              </w:rPr>
              <w:t>serum inflammatory</w:t>
            </w:r>
            <w:r>
              <w:rPr>
                <w:color w:val="231F20"/>
                <w:spacing w:val="-6"/>
                <w:sz w:val="15"/>
              </w:rPr>
              <w:t> </w:t>
            </w:r>
            <w:r>
              <w:rPr>
                <w:color w:val="231F20"/>
                <w:sz w:val="15"/>
              </w:rPr>
              <w:t>markers</w:t>
            </w:r>
            <w:r>
              <w:rPr>
                <w:color w:val="231F20"/>
                <w:spacing w:val="-6"/>
                <w:sz w:val="15"/>
              </w:rPr>
              <w:t> </w:t>
            </w:r>
            <w:r>
              <w:rPr>
                <w:color w:val="231F20"/>
                <w:sz w:val="15"/>
              </w:rPr>
              <w:t>(erythrocyte</w:t>
            </w:r>
            <w:r>
              <w:rPr>
                <w:color w:val="231F20"/>
                <w:spacing w:val="-6"/>
                <w:sz w:val="15"/>
              </w:rPr>
              <w:t> </w:t>
            </w:r>
            <w:r>
              <w:rPr>
                <w:color w:val="231F20"/>
                <w:sz w:val="15"/>
              </w:rPr>
              <w:t>sedimentation</w:t>
            </w:r>
            <w:r>
              <w:rPr>
                <w:color w:val="231F20"/>
                <w:spacing w:val="-6"/>
                <w:sz w:val="15"/>
              </w:rPr>
              <w:t> </w:t>
            </w:r>
            <w:r>
              <w:rPr>
                <w:color w:val="231F20"/>
                <w:sz w:val="15"/>
              </w:rPr>
              <w:t>rate,</w:t>
            </w:r>
            <w:r>
              <w:rPr>
                <w:color w:val="231F20"/>
                <w:spacing w:val="-6"/>
                <w:sz w:val="15"/>
              </w:rPr>
              <w:t> </w:t>
            </w:r>
            <w:r>
              <w:rPr>
                <w:color w:val="231F20"/>
                <w:sz w:val="15"/>
              </w:rPr>
              <w:t>C-reactive</w:t>
            </w:r>
            <w:r>
              <w:rPr>
                <w:color w:val="231F20"/>
                <w:spacing w:val="-6"/>
                <w:sz w:val="15"/>
              </w:rPr>
              <w:t> </w:t>
            </w:r>
            <w:r>
              <w:rPr>
                <w:color w:val="231F20"/>
                <w:sz w:val="15"/>
              </w:rPr>
              <w:t>protein,</w:t>
            </w:r>
            <w:r>
              <w:rPr>
                <w:color w:val="231F20"/>
                <w:spacing w:val="-6"/>
                <w:sz w:val="15"/>
              </w:rPr>
              <w:t> </w:t>
            </w:r>
            <w:r>
              <w:rPr>
                <w:color w:val="231F20"/>
                <w:sz w:val="15"/>
              </w:rPr>
              <w:t>Complement</w:t>
            </w:r>
            <w:r>
              <w:rPr>
                <w:color w:val="231F20"/>
                <w:spacing w:val="-6"/>
                <w:sz w:val="15"/>
              </w:rPr>
              <w:t> </w:t>
            </w:r>
            <w:r>
              <w:rPr>
                <w:color w:val="231F20"/>
                <w:sz w:val="15"/>
              </w:rPr>
              <w:t>3,</w:t>
            </w:r>
            <w:r>
              <w:rPr>
                <w:color w:val="231F20"/>
                <w:spacing w:val="-6"/>
                <w:sz w:val="15"/>
              </w:rPr>
              <w:t> </w:t>
            </w:r>
            <w:r>
              <w:rPr>
                <w:color w:val="231F20"/>
                <w:sz w:val="15"/>
              </w:rPr>
              <w:t>von Willebrand factor antigen) are usually elevated, and the MRI shows FLAIR/T2 abnormalities in the white</w:t>
            </w:r>
            <w:r>
              <w:rPr>
                <w:color w:val="231F20"/>
                <w:spacing w:val="-9"/>
                <w:sz w:val="15"/>
              </w:rPr>
              <w:t> </w:t>
            </w:r>
            <w:r>
              <w:rPr>
                <w:color w:val="231F20"/>
                <w:sz w:val="15"/>
              </w:rPr>
              <w:t>and/or</w:t>
            </w:r>
            <w:r>
              <w:rPr>
                <w:color w:val="231F20"/>
                <w:spacing w:val="-9"/>
                <w:sz w:val="15"/>
              </w:rPr>
              <w:t> </w:t>
            </w:r>
            <w:r>
              <w:rPr>
                <w:color w:val="231F20"/>
                <w:sz w:val="15"/>
              </w:rPr>
              <w:t>gray</w:t>
            </w:r>
            <w:r>
              <w:rPr>
                <w:color w:val="231F20"/>
                <w:spacing w:val="-9"/>
                <w:sz w:val="15"/>
              </w:rPr>
              <w:t> </w:t>
            </w:r>
            <w:r>
              <w:rPr>
                <w:color w:val="231F20"/>
                <w:sz w:val="15"/>
              </w:rPr>
              <w:t>matter,</w:t>
            </w:r>
            <w:r>
              <w:rPr>
                <w:color w:val="231F20"/>
                <w:spacing w:val="-9"/>
                <w:sz w:val="15"/>
              </w:rPr>
              <w:t> </w:t>
            </w:r>
            <w:r>
              <w:rPr>
                <w:color w:val="231F20"/>
                <w:sz w:val="15"/>
              </w:rPr>
              <w:t>not</w:t>
            </w:r>
            <w:r>
              <w:rPr>
                <w:color w:val="231F20"/>
                <w:spacing w:val="-9"/>
                <w:sz w:val="15"/>
              </w:rPr>
              <w:t> </w:t>
            </w:r>
            <w:r>
              <w:rPr>
                <w:color w:val="231F20"/>
                <w:sz w:val="15"/>
              </w:rPr>
              <w:t>restricted</w:t>
            </w:r>
            <w:r>
              <w:rPr>
                <w:color w:val="231F20"/>
                <w:spacing w:val="-9"/>
                <w:sz w:val="15"/>
              </w:rPr>
              <w:t> </w:t>
            </w:r>
            <w:r>
              <w:rPr>
                <w:color w:val="231F20"/>
                <w:sz w:val="15"/>
              </w:rPr>
              <w:t>to</w:t>
            </w:r>
            <w:r>
              <w:rPr>
                <w:color w:val="231F20"/>
                <w:spacing w:val="-9"/>
                <w:sz w:val="15"/>
              </w:rPr>
              <w:t> </w:t>
            </w:r>
            <w:r>
              <w:rPr>
                <w:color w:val="231F20"/>
                <w:sz w:val="15"/>
              </w:rPr>
              <w:t>vascular</w:t>
            </w:r>
            <w:r>
              <w:rPr>
                <w:color w:val="231F20"/>
                <w:spacing w:val="-9"/>
                <w:sz w:val="15"/>
              </w:rPr>
              <w:t> </w:t>
            </w:r>
            <w:r>
              <w:rPr>
                <w:color w:val="231F20"/>
                <w:sz w:val="15"/>
              </w:rPr>
              <w:t>territories</w:t>
            </w:r>
            <w:r>
              <w:rPr>
                <w:color w:val="231F20"/>
                <w:spacing w:val="-9"/>
                <w:sz w:val="15"/>
              </w:rPr>
              <w:t> </w:t>
            </w:r>
            <w:r>
              <w:rPr>
                <w:color w:val="231F20"/>
                <w:sz w:val="15"/>
              </w:rPr>
              <w:t>with</w:t>
            </w:r>
            <w:r>
              <w:rPr>
                <w:color w:val="231F20"/>
                <w:spacing w:val="-9"/>
                <w:sz w:val="15"/>
              </w:rPr>
              <w:t> </w:t>
            </w:r>
            <w:r>
              <w:rPr>
                <w:color w:val="231F20"/>
                <w:sz w:val="15"/>
              </w:rPr>
              <w:t>frequent</w:t>
            </w:r>
            <w:r>
              <w:rPr>
                <w:color w:val="231F20"/>
                <w:spacing w:val="-9"/>
                <w:sz w:val="15"/>
              </w:rPr>
              <w:t> </w:t>
            </w:r>
            <w:r>
              <w:rPr>
                <w:color w:val="231F20"/>
                <w:sz w:val="15"/>
              </w:rPr>
              <w:t>leptomeningeal</w:t>
            </w:r>
            <w:r>
              <w:rPr>
                <w:color w:val="231F20"/>
                <w:spacing w:val="-9"/>
                <w:sz w:val="15"/>
              </w:rPr>
              <w:t> </w:t>
            </w:r>
            <w:r>
              <w:rPr>
                <w:color w:val="231F20"/>
                <w:sz w:val="15"/>
              </w:rPr>
              <w:t>and/or local enhancement.</w:t>
            </w:r>
          </w:p>
        </w:tc>
      </w:tr>
      <w:tr>
        <w:trPr>
          <w:trHeight w:val="751" w:hRule="atLeast"/>
        </w:trPr>
        <w:tc>
          <w:tcPr>
            <w:tcW w:w="2096"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Systemic</w:t>
            </w:r>
            <w:r>
              <w:rPr>
                <w:color w:val="231F20"/>
                <w:spacing w:val="-3"/>
                <w:sz w:val="15"/>
              </w:rPr>
              <w:t> </w:t>
            </w:r>
            <w:r>
              <w:rPr>
                <w:color w:val="231F20"/>
                <w:spacing w:val="-2"/>
                <w:sz w:val="15"/>
              </w:rPr>
              <w:t>rheumatic</w:t>
            </w:r>
            <w:r>
              <w:rPr>
                <w:color w:val="231F20"/>
                <w:spacing w:val="-3"/>
                <w:sz w:val="15"/>
              </w:rPr>
              <w:t> </w:t>
            </w:r>
            <w:r>
              <w:rPr>
                <w:color w:val="231F20"/>
                <w:spacing w:val="-2"/>
                <w:sz w:val="15"/>
              </w:rPr>
              <w:t>disorders</w:t>
            </w:r>
          </w:p>
        </w:tc>
        <w:tc>
          <w:tcPr>
            <w:tcW w:w="7644" w:type="dxa"/>
            <w:tcBorders>
              <w:top w:val="single" w:sz="4" w:space="0" w:color="FFFFFF"/>
              <w:bottom w:val="single" w:sz="8" w:space="0" w:color="231F20"/>
            </w:tcBorders>
            <w:shd w:val="clear" w:color="auto" w:fill="E8F5F1"/>
          </w:tcPr>
          <w:p>
            <w:pPr>
              <w:pStyle w:val="TableParagraph"/>
              <w:spacing w:line="230" w:lineRule="auto" w:before="48"/>
              <w:ind w:left="699" w:right="56" w:hanging="112"/>
              <w:rPr>
                <w:sz w:val="15"/>
              </w:rPr>
            </w:pPr>
            <w:r>
              <w:rPr>
                <w:color w:val="231F20"/>
                <w:sz w:val="15"/>
              </w:rPr>
              <w:t>Systemic lupus erythematosus and other rheumatic disorders can result in encephalopathy and multifocal</w:t>
            </w:r>
            <w:r>
              <w:rPr>
                <w:color w:val="231F20"/>
                <w:spacing w:val="-9"/>
                <w:sz w:val="15"/>
              </w:rPr>
              <w:t> </w:t>
            </w:r>
            <w:r>
              <w:rPr>
                <w:color w:val="231F20"/>
                <w:sz w:val="15"/>
              </w:rPr>
              <w:t>neurologic</w:t>
            </w:r>
            <w:r>
              <w:rPr>
                <w:color w:val="231F20"/>
                <w:spacing w:val="-9"/>
                <w:sz w:val="15"/>
              </w:rPr>
              <w:t> </w:t>
            </w:r>
            <w:r>
              <w:rPr>
                <w:color w:val="231F20"/>
                <w:sz w:val="15"/>
              </w:rPr>
              <w:t>and</w:t>
            </w:r>
            <w:r>
              <w:rPr>
                <w:color w:val="231F20"/>
                <w:spacing w:val="-9"/>
                <w:sz w:val="15"/>
              </w:rPr>
              <w:t> </w:t>
            </w:r>
            <w:r>
              <w:rPr>
                <w:color w:val="231F20"/>
                <w:sz w:val="15"/>
              </w:rPr>
              <w:t>psychiatric</w:t>
            </w:r>
            <w:r>
              <w:rPr>
                <w:color w:val="231F20"/>
                <w:spacing w:val="-9"/>
                <w:sz w:val="15"/>
              </w:rPr>
              <w:t> </w:t>
            </w:r>
            <w:r>
              <w:rPr>
                <w:color w:val="231F20"/>
                <w:sz w:val="15"/>
              </w:rPr>
              <w:t>manifestations.</w:t>
            </w:r>
            <w:r>
              <w:rPr>
                <w:color w:val="231F20"/>
                <w:spacing w:val="-9"/>
                <w:sz w:val="15"/>
              </w:rPr>
              <w:t> </w:t>
            </w:r>
            <w:r>
              <w:rPr>
                <w:color w:val="231F20"/>
                <w:sz w:val="15"/>
              </w:rPr>
              <w:t>These</w:t>
            </w:r>
            <w:r>
              <w:rPr>
                <w:color w:val="231F20"/>
                <w:spacing w:val="-9"/>
                <w:sz w:val="15"/>
              </w:rPr>
              <w:t> </w:t>
            </w:r>
            <w:r>
              <w:rPr>
                <w:color w:val="231F20"/>
                <w:sz w:val="15"/>
              </w:rPr>
              <w:t>disorders</w:t>
            </w:r>
            <w:r>
              <w:rPr>
                <w:color w:val="231F20"/>
                <w:spacing w:val="-9"/>
                <w:sz w:val="15"/>
              </w:rPr>
              <w:t> </w:t>
            </w:r>
            <w:r>
              <w:rPr>
                <w:color w:val="231F20"/>
                <w:sz w:val="15"/>
              </w:rPr>
              <w:t>are</w:t>
            </w:r>
            <w:r>
              <w:rPr>
                <w:color w:val="231F20"/>
                <w:spacing w:val="-9"/>
                <w:sz w:val="15"/>
              </w:rPr>
              <w:t> </w:t>
            </w:r>
            <w:r>
              <w:rPr>
                <w:color w:val="231F20"/>
                <w:sz w:val="15"/>
              </w:rPr>
              <w:t>usually</w:t>
            </w:r>
            <w:r>
              <w:rPr>
                <w:color w:val="231F20"/>
                <w:spacing w:val="-9"/>
                <w:sz w:val="15"/>
              </w:rPr>
              <w:t> </w:t>
            </w:r>
            <w:r>
              <w:rPr>
                <w:color w:val="231F20"/>
                <w:sz w:val="15"/>
              </w:rPr>
              <w:t>suggested</w:t>
            </w:r>
            <w:r>
              <w:rPr>
                <w:color w:val="231F20"/>
                <w:spacing w:val="-9"/>
                <w:sz w:val="15"/>
              </w:rPr>
              <w:t> </w:t>
            </w:r>
            <w:r>
              <w:rPr>
                <w:color w:val="231F20"/>
                <w:sz w:val="15"/>
              </w:rPr>
              <w:t>by</w:t>
            </w:r>
            <w:r>
              <w:rPr>
                <w:color w:val="231F20"/>
                <w:spacing w:val="-9"/>
                <w:sz w:val="15"/>
              </w:rPr>
              <w:t> </w:t>
            </w:r>
            <w:r>
              <w:rPr>
                <w:color w:val="231F20"/>
                <w:sz w:val="15"/>
              </w:rPr>
              <w:t>the presence of signs and symptoms of involvement of systemic organs: skin, joints, kidneys, blood- forming cells, and blood vessels.</w:t>
            </w:r>
          </w:p>
        </w:tc>
      </w:tr>
    </w:tbl>
    <w:p>
      <w:pPr>
        <w:pStyle w:val="BodyText"/>
        <w:spacing w:before="81"/>
        <w:ind w:left="486" w:right="705"/>
      </w:pPr>
      <w:r>
        <w:rPr>
          <w:color w:val="231F20"/>
        </w:rPr>
        <w:t>CDD, childhood disintegrative disorder; CNS, central nervous system; CSF, cerebrospinal fluid; EEG, electroencephalography; FLAIR, fluid-attenuated inversion</w:t>
      </w:r>
      <w:r>
        <w:rPr>
          <w:color w:val="231F20"/>
          <w:spacing w:val="40"/>
        </w:rPr>
        <w:t> </w:t>
      </w:r>
      <w:r>
        <w:rPr>
          <w:color w:val="231F20"/>
        </w:rPr>
        <w:t>recovery; LE, limbic encephalitis; MRI, magnetic resonance imaging; NMDAR, </w:t>
      </w:r>
      <w:r>
        <w:rPr>
          <w:i/>
          <w:color w:val="231F20"/>
        </w:rPr>
        <w:t>N</w:t>
      </w:r>
      <w:r>
        <w:rPr>
          <w:color w:val="231F20"/>
        </w:rPr>
        <w:t>-methyl-</w:t>
      </w:r>
      <w:r>
        <w:rPr>
          <w:color w:val="231F20"/>
          <w:sz w:val="10"/>
        </w:rPr>
        <w:t>D</w:t>
      </w:r>
      <w:r>
        <w:rPr>
          <w:color w:val="231F20"/>
        </w:rPr>
        <w:t>-aspartate receptor; NMO, neuromyelitis optica; NMS, neuroleptic malignant</w:t>
      </w:r>
      <w:r>
        <w:rPr>
          <w:color w:val="231F20"/>
          <w:spacing w:val="40"/>
        </w:rPr>
        <w:t> </w:t>
      </w:r>
      <w:r>
        <w:rPr>
          <w:color w:val="231F20"/>
        </w:rPr>
        <w:t>syndrome; PCR, polymerase chain reaction.</w:t>
      </w:r>
    </w:p>
    <w:p>
      <w:pPr>
        <w:pStyle w:val="BodyText"/>
        <w:spacing w:after="0"/>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789" name="Group 789"/>
                <wp:cNvGraphicFramePr>
                  <a:graphicFrameLocks/>
                </wp:cNvGraphicFramePr>
                <a:graphic>
                  <a:graphicData uri="http://schemas.microsoft.com/office/word/2010/wordprocessingGroup">
                    <wpg:wgp>
                      <wpg:cNvPr id="789" name="Group 789"/>
                      <wpg:cNvGrpSpPr/>
                      <wpg:grpSpPr>
                        <a:xfrm>
                          <a:off x="0" y="0"/>
                          <a:ext cx="6185535" cy="170815"/>
                          <a:chExt cx="6185535" cy="170815"/>
                        </a:xfrm>
                      </wpg:grpSpPr>
                      <wps:wsp>
                        <wps:cNvPr id="790" name="Graphic 790"/>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91" name="Graphic 791"/>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92" name="Textbox 792"/>
                        <wps:cNvSpPr txBox="1"/>
                        <wps:spPr>
                          <a:xfrm>
                            <a:off x="0" y="0"/>
                            <a:ext cx="6185535" cy="170815"/>
                          </a:xfrm>
                          <a:prstGeom prst="rect">
                            <a:avLst/>
                          </a:prstGeom>
                        </wps:spPr>
                        <wps:txbx>
                          <w:txbxContent>
                            <w:p>
                              <w:pPr>
                                <w:tabs>
                                  <w:tab w:pos="9298" w:val="left" w:leader="none"/>
                                </w:tabs>
                                <w:spacing w:before="6"/>
                                <w:ind w:left="3933" w:right="0" w:firstLine="0"/>
                                <w:jc w:val="left"/>
                                <w:rPr>
                                  <w:b/>
                                  <w:sz w:val="18"/>
                                </w:rPr>
                              </w:pPr>
                              <w:r>
                                <w:rPr>
                                  <w:b/>
                                  <w:color w:val="007431"/>
                                  <w:w w:val="105"/>
                                  <w:sz w:val="18"/>
                                </w:rPr>
                                <w:t>Chapter</w:t>
                              </w:r>
                              <w:r>
                                <w:rPr>
                                  <w:b/>
                                  <w:color w:val="007431"/>
                                  <w:spacing w:val="16"/>
                                  <w:w w:val="105"/>
                                  <w:sz w:val="18"/>
                                </w:rPr>
                                <w:t> </w:t>
                              </w:r>
                              <w:r>
                                <w:rPr>
                                  <w:b/>
                                  <w:color w:val="007431"/>
                                  <w:w w:val="105"/>
                                  <w:sz w:val="18"/>
                                </w:rPr>
                                <w:t>599</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Neurodegenerative</w:t>
                              </w:r>
                              <w:r>
                                <w:rPr>
                                  <w:color w:val="231F20"/>
                                  <w:spacing w:val="12"/>
                                  <w:w w:val="105"/>
                                  <w:sz w:val="18"/>
                                </w:rPr>
                                <w:t> </w:t>
                              </w:r>
                              <w:r>
                                <w:rPr>
                                  <w:color w:val="231F20"/>
                                  <w:w w:val="105"/>
                                  <w:sz w:val="18"/>
                                </w:rPr>
                                <w:t>Disorders</w:t>
                              </w:r>
                              <w:r>
                                <w:rPr>
                                  <w:color w:val="231F20"/>
                                  <w:spacing w:val="13"/>
                                  <w:w w:val="105"/>
                                  <w:sz w:val="18"/>
                                </w:rPr>
                                <w:t> </w:t>
                              </w:r>
                              <w:r>
                                <w:rPr>
                                  <w:color w:val="231F20"/>
                                  <w:w w:val="105"/>
                                  <w:sz w:val="18"/>
                                </w:rPr>
                                <w:t>of</w:t>
                              </w:r>
                              <w:r>
                                <w:rPr>
                                  <w:color w:val="231F20"/>
                                  <w:spacing w:val="12"/>
                                  <w:w w:val="105"/>
                                  <w:sz w:val="18"/>
                                </w:rPr>
                                <w:t> </w:t>
                              </w:r>
                              <w:r>
                                <w:rPr>
                                  <w:color w:val="231F20"/>
                                  <w:spacing w:val="-2"/>
                                  <w:w w:val="105"/>
                                  <w:sz w:val="18"/>
                                </w:rPr>
                                <w:t>Childhood</w:t>
                              </w:r>
                              <w:r>
                                <w:rPr>
                                  <w:color w:val="231F20"/>
                                  <w:sz w:val="18"/>
                                </w:rPr>
                                <w:tab/>
                              </w:r>
                              <w:r>
                                <w:rPr>
                                  <w:b/>
                                  <w:color w:val="231F20"/>
                                  <w:spacing w:val="-4"/>
                                  <w:w w:val="105"/>
                                  <w:sz w:val="18"/>
                                </w:rPr>
                                <w:t>2911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56"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57" filled="false" stroked="false">
                  <v:textbox inset="0,0,0,0">
                    <w:txbxContent>
                      <w:p>
                        <w:pPr>
                          <w:tabs>
                            <w:tab w:pos="9298" w:val="left" w:leader="none"/>
                          </w:tabs>
                          <w:spacing w:before="6"/>
                          <w:ind w:left="3933" w:right="0" w:firstLine="0"/>
                          <w:jc w:val="left"/>
                          <w:rPr>
                            <w:b/>
                            <w:sz w:val="18"/>
                          </w:rPr>
                        </w:pPr>
                        <w:r>
                          <w:rPr>
                            <w:b/>
                            <w:color w:val="007431"/>
                            <w:w w:val="105"/>
                            <w:sz w:val="18"/>
                          </w:rPr>
                          <w:t>Chapter</w:t>
                        </w:r>
                        <w:r>
                          <w:rPr>
                            <w:b/>
                            <w:color w:val="007431"/>
                            <w:spacing w:val="16"/>
                            <w:w w:val="105"/>
                            <w:sz w:val="18"/>
                          </w:rPr>
                          <w:t> </w:t>
                        </w:r>
                        <w:r>
                          <w:rPr>
                            <w:b/>
                            <w:color w:val="007431"/>
                            <w:w w:val="105"/>
                            <w:sz w:val="18"/>
                          </w:rPr>
                          <w:t>599</w:t>
                        </w:r>
                        <w:r>
                          <w:rPr>
                            <w:b/>
                            <w:color w:val="007431"/>
                            <w:spacing w:val="46"/>
                            <w:w w:val="105"/>
                            <w:sz w:val="18"/>
                          </w:rPr>
                          <w:t> </w:t>
                        </w:r>
                        <w:r>
                          <w:rPr>
                            <w:rFonts w:ascii="Lucida Sans Unicode" w:hAnsi="Lucida Sans Unicode"/>
                            <w:color w:val="659F6F"/>
                            <w:w w:val="105"/>
                            <w:sz w:val="15"/>
                          </w:rPr>
                          <w:t>◆</w:t>
                        </w:r>
                        <w:r>
                          <w:rPr>
                            <w:rFonts w:ascii="Lucida Sans Unicode" w:hAnsi="Lucida Sans Unicode"/>
                            <w:color w:val="659F6F"/>
                            <w:spacing w:val="54"/>
                            <w:w w:val="105"/>
                            <w:sz w:val="15"/>
                          </w:rPr>
                          <w:t> </w:t>
                        </w:r>
                        <w:r>
                          <w:rPr>
                            <w:color w:val="231F20"/>
                            <w:w w:val="105"/>
                            <w:sz w:val="18"/>
                          </w:rPr>
                          <w:t>Neurodegenerative</w:t>
                        </w:r>
                        <w:r>
                          <w:rPr>
                            <w:color w:val="231F20"/>
                            <w:spacing w:val="12"/>
                            <w:w w:val="105"/>
                            <w:sz w:val="18"/>
                          </w:rPr>
                          <w:t> </w:t>
                        </w:r>
                        <w:r>
                          <w:rPr>
                            <w:color w:val="231F20"/>
                            <w:w w:val="105"/>
                            <w:sz w:val="18"/>
                          </w:rPr>
                          <w:t>Disorders</w:t>
                        </w:r>
                        <w:r>
                          <w:rPr>
                            <w:color w:val="231F20"/>
                            <w:spacing w:val="13"/>
                            <w:w w:val="105"/>
                            <w:sz w:val="18"/>
                          </w:rPr>
                          <w:t> </w:t>
                        </w:r>
                        <w:r>
                          <w:rPr>
                            <w:color w:val="231F20"/>
                            <w:w w:val="105"/>
                            <w:sz w:val="18"/>
                          </w:rPr>
                          <w:t>of</w:t>
                        </w:r>
                        <w:r>
                          <w:rPr>
                            <w:color w:val="231F20"/>
                            <w:spacing w:val="12"/>
                            <w:w w:val="105"/>
                            <w:sz w:val="18"/>
                          </w:rPr>
                          <w:t> </w:t>
                        </w:r>
                        <w:r>
                          <w:rPr>
                            <w:color w:val="231F20"/>
                            <w:spacing w:val="-2"/>
                            <w:w w:val="105"/>
                            <w:sz w:val="18"/>
                          </w:rPr>
                          <w:t>Childhood</w:t>
                        </w:r>
                        <w:r>
                          <w:rPr>
                            <w:color w:val="231F20"/>
                            <w:sz w:val="18"/>
                          </w:rPr>
                          <w:tab/>
                        </w:r>
                        <w:r>
                          <w:rPr>
                            <w:b/>
                            <w:color w:val="231F20"/>
                            <w:spacing w:val="-4"/>
                            <w:w w:val="105"/>
                            <w:sz w:val="18"/>
                          </w:rPr>
                          <w:t>2911</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92"/>
        <w:gridCol w:w="3936"/>
        <w:gridCol w:w="4166"/>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599-</w:t>
            </w:r>
            <w:r>
              <w:rPr>
                <w:b/>
                <w:color w:val="FFFFFF"/>
                <w:spacing w:val="-10"/>
                <w:w w:val="105"/>
                <w:sz w:val="16"/>
              </w:rPr>
              <w:t>1</w:t>
            </w:r>
          </w:p>
        </w:tc>
        <w:tc>
          <w:tcPr>
            <w:tcW w:w="8594"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Neurometabolic</w:t>
            </w:r>
            <w:r>
              <w:rPr>
                <w:color w:val="FFFFFF"/>
                <w:spacing w:val="19"/>
                <w:w w:val="105"/>
                <w:sz w:val="16"/>
              </w:rPr>
              <w:t> </w:t>
            </w:r>
            <w:r>
              <w:rPr>
                <w:color w:val="FFFFFF"/>
                <w:w w:val="105"/>
                <w:sz w:val="16"/>
              </w:rPr>
              <w:t>Conditions</w:t>
            </w:r>
            <w:r>
              <w:rPr>
                <w:color w:val="FFFFFF"/>
                <w:spacing w:val="19"/>
                <w:w w:val="105"/>
                <w:sz w:val="16"/>
              </w:rPr>
              <w:t> </w:t>
            </w:r>
            <w:r>
              <w:rPr>
                <w:color w:val="FFFFFF"/>
                <w:w w:val="105"/>
                <w:sz w:val="16"/>
              </w:rPr>
              <w:t>Associated</w:t>
            </w:r>
            <w:r>
              <w:rPr>
                <w:color w:val="FFFFFF"/>
                <w:spacing w:val="20"/>
                <w:w w:val="105"/>
                <w:sz w:val="16"/>
              </w:rPr>
              <w:t> </w:t>
            </w:r>
            <w:r>
              <w:rPr>
                <w:color w:val="FFFFFF"/>
                <w:w w:val="105"/>
                <w:sz w:val="16"/>
              </w:rPr>
              <w:t>with</w:t>
            </w:r>
            <w:r>
              <w:rPr>
                <w:color w:val="FFFFFF"/>
                <w:spacing w:val="19"/>
                <w:w w:val="105"/>
                <w:sz w:val="16"/>
              </w:rPr>
              <w:t> </w:t>
            </w:r>
            <w:r>
              <w:rPr>
                <w:color w:val="FFFFFF"/>
                <w:w w:val="105"/>
                <w:sz w:val="16"/>
              </w:rPr>
              <w:t>Developmental</w:t>
            </w:r>
            <w:r>
              <w:rPr>
                <w:color w:val="FFFFFF"/>
                <w:spacing w:val="19"/>
                <w:w w:val="105"/>
                <w:sz w:val="16"/>
              </w:rPr>
              <w:t> </w:t>
            </w:r>
            <w:r>
              <w:rPr>
                <w:color w:val="FFFFFF"/>
                <w:spacing w:val="-2"/>
                <w:w w:val="105"/>
                <w:sz w:val="16"/>
              </w:rPr>
              <w:t>Regression</w:t>
            </w:r>
          </w:p>
        </w:tc>
      </w:tr>
      <w:tr>
        <w:trPr>
          <w:trHeight w:val="256" w:hRule="atLeast"/>
        </w:trPr>
        <w:tc>
          <w:tcPr>
            <w:tcW w:w="1640" w:type="dxa"/>
            <w:gridSpan w:val="2"/>
            <w:tcBorders>
              <w:bottom w:val="single" w:sz="4" w:space="0" w:color="231F20"/>
            </w:tcBorders>
            <w:shd w:val="clear" w:color="auto" w:fill="E8F5F1"/>
          </w:tcPr>
          <w:p>
            <w:pPr>
              <w:pStyle w:val="TableParagraph"/>
              <w:spacing w:before="46"/>
              <w:ind w:left="74"/>
              <w:rPr>
                <w:b/>
                <w:sz w:val="15"/>
              </w:rPr>
            </w:pPr>
            <w:r>
              <w:rPr>
                <w:b/>
                <w:color w:val="231F20"/>
                <w:w w:val="105"/>
                <w:sz w:val="15"/>
              </w:rPr>
              <w:t>AGE</w:t>
            </w:r>
            <w:r>
              <w:rPr>
                <w:b/>
                <w:color w:val="231F20"/>
                <w:spacing w:val="22"/>
                <w:w w:val="105"/>
                <w:sz w:val="15"/>
              </w:rPr>
              <w:t> </w:t>
            </w:r>
            <w:r>
              <w:rPr>
                <w:b/>
                <w:color w:val="231F20"/>
                <w:w w:val="105"/>
                <w:sz w:val="15"/>
              </w:rPr>
              <w:t>AT</w:t>
            </w:r>
            <w:r>
              <w:rPr>
                <w:b/>
                <w:color w:val="231F20"/>
                <w:spacing w:val="22"/>
                <w:w w:val="105"/>
                <w:sz w:val="15"/>
              </w:rPr>
              <w:t> </w:t>
            </w:r>
            <w:r>
              <w:rPr>
                <w:b/>
                <w:color w:val="231F20"/>
                <w:w w:val="105"/>
                <w:sz w:val="15"/>
              </w:rPr>
              <w:t>ONSET</w:t>
            </w:r>
            <w:r>
              <w:rPr>
                <w:b/>
                <w:color w:val="231F20"/>
                <w:spacing w:val="23"/>
                <w:w w:val="105"/>
                <w:sz w:val="15"/>
              </w:rPr>
              <w:t> </w:t>
            </w:r>
            <w:r>
              <w:rPr>
                <w:b/>
                <w:color w:val="231F20"/>
                <w:spacing w:val="-4"/>
                <w:w w:val="105"/>
                <w:sz w:val="15"/>
              </w:rPr>
              <w:t>(yr)</w:t>
            </w:r>
          </w:p>
        </w:tc>
        <w:tc>
          <w:tcPr>
            <w:tcW w:w="3936" w:type="dxa"/>
            <w:tcBorders>
              <w:bottom w:val="single" w:sz="4" w:space="0" w:color="231F20"/>
            </w:tcBorders>
            <w:shd w:val="clear" w:color="auto" w:fill="E8F5F1"/>
          </w:tcPr>
          <w:p>
            <w:pPr>
              <w:pStyle w:val="TableParagraph"/>
              <w:spacing w:before="46"/>
              <w:ind w:right="1"/>
              <w:jc w:val="center"/>
              <w:rPr>
                <w:b/>
                <w:sz w:val="15"/>
              </w:rPr>
            </w:pPr>
            <w:r>
              <w:rPr>
                <w:b/>
                <w:color w:val="231F20"/>
                <w:spacing w:val="-2"/>
                <w:w w:val="115"/>
                <w:sz w:val="15"/>
              </w:rPr>
              <w:t>CONDITIONS</w:t>
            </w:r>
          </w:p>
        </w:tc>
        <w:tc>
          <w:tcPr>
            <w:tcW w:w="4166" w:type="dxa"/>
            <w:tcBorders>
              <w:bottom w:val="single" w:sz="4" w:space="0" w:color="231F20"/>
            </w:tcBorders>
            <w:shd w:val="clear" w:color="auto" w:fill="E8F5F1"/>
          </w:tcPr>
          <w:p>
            <w:pPr>
              <w:pStyle w:val="TableParagraph"/>
              <w:spacing w:before="46"/>
              <w:ind w:left="62"/>
              <w:jc w:val="center"/>
              <w:rPr>
                <w:b/>
                <w:sz w:val="15"/>
              </w:rPr>
            </w:pPr>
            <w:r>
              <w:rPr>
                <w:b/>
                <w:color w:val="231F20"/>
                <w:spacing w:val="-2"/>
                <w:w w:val="115"/>
                <w:sz w:val="15"/>
              </w:rPr>
              <w:t>COMMENTS</w:t>
            </w:r>
          </w:p>
        </w:tc>
      </w:tr>
      <w:tr>
        <w:trPr>
          <w:trHeight w:val="1948" w:hRule="atLeast"/>
        </w:trPr>
        <w:tc>
          <w:tcPr>
            <w:tcW w:w="1640" w:type="dxa"/>
            <w:gridSpan w:val="2"/>
            <w:tcBorders>
              <w:top w:val="single" w:sz="4" w:space="0" w:color="231F20"/>
              <w:bottom w:val="single" w:sz="4" w:space="0" w:color="FFFFFF"/>
            </w:tcBorders>
            <w:shd w:val="clear" w:color="auto" w:fill="E8F5F1"/>
          </w:tcPr>
          <w:p>
            <w:pPr>
              <w:pStyle w:val="TableParagraph"/>
              <w:spacing w:line="230" w:lineRule="auto" w:before="53"/>
              <w:ind w:left="186" w:right="162" w:hanging="112"/>
              <w:rPr>
                <w:sz w:val="15"/>
              </w:rPr>
            </w:pPr>
            <w:r>
              <w:rPr>
                <w:rFonts w:ascii="Cambria"/>
                <w:color w:val="231F20"/>
                <w:sz w:val="15"/>
              </w:rPr>
              <w:t>&lt;</w:t>
            </w:r>
            <w:r>
              <w:rPr>
                <w:color w:val="231F20"/>
                <w:sz w:val="15"/>
              </w:rPr>
              <w:t>2 with </w:t>
            </w:r>
            <w:r>
              <w:rPr>
                <w:color w:val="231F20"/>
                <w:spacing w:val="-2"/>
                <w:sz w:val="15"/>
              </w:rPr>
              <w:t>hepatomegaly</w:t>
            </w:r>
          </w:p>
        </w:tc>
        <w:tc>
          <w:tcPr>
            <w:tcW w:w="3936" w:type="dxa"/>
            <w:tcBorders>
              <w:top w:val="single" w:sz="4" w:space="0" w:color="231F20"/>
              <w:bottom w:val="single" w:sz="4" w:space="0" w:color="FFFFFF"/>
            </w:tcBorders>
            <w:shd w:val="clear" w:color="auto" w:fill="E8F5F1"/>
          </w:tcPr>
          <w:p>
            <w:pPr>
              <w:pStyle w:val="TableParagraph"/>
              <w:spacing w:line="465" w:lineRule="auto" w:before="47"/>
              <w:ind w:left="138" w:right="1911"/>
              <w:rPr>
                <w:sz w:val="15"/>
              </w:rPr>
            </w:pPr>
            <w:r>
              <w:rPr>
                <w:color w:val="231F20"/>
                <w:spacing w:val="-2"/>
                <w:sz w:val="15"/>
              </w:rPr>
              <w:t>Fructose</w:t>
            </w:r>
            <w:r>
              <w:rPr>
                <w:color w:val="231F20"/>
                <w:spacing w:val="-10"/>
                <w:sz w:val="15"/>
              </w:rPr>
              <w:t> </w:t>
            </w:r>
            <w:r>
              <w:rPr>
                <w:color w:val="231F20"/>
                <w:spacing w:val="-2"/>
                <w:sz w:val="15"/>
              </w:rPr>
              <w:t>intolerance Galactosemia</w:t>
            </w:r>
          </w:p>
          <w:p>
            <w:pPr>
              <w:pStyle w:val="TableParagraph"/>
              <w:spacing w:line="232" w:lineRule="auto" w:before="3"/>
              <w:ind w:left="138"/>
              <w:rPr>
                <w:sz w:val="15"/>
              </w:rPr>
            </w:pPr>
            <w:r>
              <w:rPr>
                <w:color w:val="231F20"/>
                <w:sz w:val="15"/>
              </w:rPr>
              <w:t>Glycogenosis</w:t>
            </w:r>
            <w:r>
              <w:rPr>
                <w:color w:val="231F20"/>
                <w:spacing w:val="-1"/>
                <w:sz w:val="15"/>
              </w:rPr>
              <w:t> </w:t>
            </w:r>
            <w:r>
              <w:rPr>
                <w:color w:val="231F20"/>
                <w:sz w:val="15"/>
              </w:rPr>
              <w:t>(glycogen</w:t>
            </w:r>
            <w:r>
              <w:rPr>
                <w:color w:val="231F20"/>
                <w:spacing w:val="-1"/>
                <w:sz w:val="15"/>
              </w:rPr>
              <w:t> </w:t>
            </w:r>
            <w:r>
              <w:rPr>
                <w:color w:val="231F20"/>
                <w:sz w:val="15"/>
              </w:rPr>
              <w:t>storage</w:t>
            </w:r>
            <w:r>
              <w:rPr>
                <w:color w:val="231F20"/>
                <w:spacing w:val="-1"/>
                <w:sz w:val="15"/>
              </w:rPr>
              <w:t> </w:t>
            </w:r>
            <w:r>
              <w:rPr>
                <w:color w:val="231F20"/>
                <w:sz w:val="15"/>
              </w:rPr>
              <w:t>disease)</w:t>
            </w:r>
            <w:r>
              <w:rPr>
                <w:color w:val="231F20"/>
                <w:spacing w:val="-1"/>
                <w:sz w:val="15"/>
              </w:rPr>
              <w:t> </w:t>
            </w:r>
            <w:r>
              <w:rPr>
                <w:color w:val="231F20"/>
                <w:sz w:val="15"/>
              </w:rPr>
              <w:t>types</w:t>
            </w:r>
            <w:r>
              <w:rPr>
                <w:color w:val="231F20"/>
                <w:spacing w:val="-1"/>
                <w:sz w:val="15"/>
              </w:rPr>
              <w:t> </w:t>
            </w:r>
            <w:r>
              <w:rPr>
                <w:color w:val="231F20"/>
                <w:sz w:val="15"/>
              </w:rPr>
              <w:t>I-</w:t>
            </w:r>
            <w:r>
              <w:rPr>
                <w:color w:val="231F20"/>
                <w:sz w:val="15"/>
              </w:rPr>
              <w:t>IV Mucopolysaccharidosis types I and II</w:t>
            </w:r>
          </w:p>
          <w:p>
            <w:pPr>
              <w:pStyle w:val="TableParagraph"/>
              <w:spacing w:line="232" w:lineRule="auto" w:before="1"/>
              <w:ind w:left="138" w:right="1377"/>
              <w:rPr>
                <w:sz w:val="15"/>
              </w:rPr>
            </w:pPr>
            <w:r>
              <w:rPr>
                <w:color w:val="231F20"/>
                <w:spacing w:val="-2"/>
                <w:sz w:val="15"/>
              </w:rPr>
              <w:t>Niemann-Pick</w:t>
            </w:r>
            <w:r>
              <w:rPr>
                <w:color w:val="231F20"/>
                <w:spacing w:val="-8"/>
                <w:sz w:val="15"/>
              </w:rPr>
              <w:t> </w:t>
            </w:r>
            <w:r>
              <w:rPr>
                <w:color w:val="231F20"/>
                <w:spacing w:val="-2"/>
                <w:sz w:val="15"/>
              </w:rPr>
              <w:t>disease,</w:t>
            </w:r>
            <w:r>
              <w:rPr>
                <w:color w:val="231F20"/>
                <w:spacing w:val="-8"/>
                <w:sz w:val="15"/>
              </w:rPr>
              <w:t> </w:t>
            </w:r>
            <w:r>
              <w:rPr>
                <w:color w:val="231F20"/>
                <w:spacing w:val="-2"/>
                <w:sz w:val="15"/>
              </w:rPr>
              <w:t>infantile</w:t>
            </w:r>
            <w:r>
              <w:rPr>
                <w:color w:val="231F20"/>
                <w:spacing w:val="-8"/>
                <w:sz w:val="15"/>
              </w:rPr>
              <w:t> </w:t>
            </w:r>
            <w:r>
              <w:rPr>
                <w:color w:val="231F20"/>
                <w:spacing w:val="-2"/>
                <w:sz w:val="15"/>
              </w:rPr>
              <w:t>type </w:t>
            </w:r>
            <w:r>
              <w:rPr>
                <w:color w:val="231F20"/>
                <w:sz w:val="15"/>
              </w:rPr>
              <w:t>Tay-Sachs disease</w:t>
            </w:r>
          </w:p>
          <w:p>
            <w:pPr>
              <w:pStyle w:val="TableParagraph"/>
              <w:spacing w:line="169" w:lineRule="exact"/>
              <w:ind w:left="138"/>
              <w:rPr>
                <w:sz w:val="15"/>
              </w:rPr>
            </w:pPr>
            <w:r>
              <w:rPr>
                <w:color w:val="231F20"/>
                <w:spacing w:val="-2"/>
                <w:sz w:val="15"/>
              </w:rPr>
              <w:t>Zellweger</w:t>
            </w:r>
            <w:r>
              <w:rPr>
                <w:color w:val="231F20"/>
                <w:spacing w:val="5"/>
                <w:sz w:val="15"/>
              </w:rPr>
              <w:t> </w:t>
            </w:r>
            <w:r>
              <w:rPr>
                <w:color w:val="231F20"/>
                <w:spacing w:val="-2"/>
                <w:sz w:val="15"/>
              </w:rPr>
              <w:t>syndrome</w:t>
            </w:r>
          </w:p>
          <w:p>
            <w:pPr>
              <w:pStyle w:val="TableParagraph"/>
              <w:spacing w:line="232" w:lineRule="auto" w:before="2"/>
              <w:ind w:left="138" w:right="605"/>
              <w:rPr>
                <w:sz w:val="15"/>
              </w:rPr>
            </w:pPr>
            <w:r>
              <w:rPr>
                <w:color w:val="231F20"/>
                <w:sz w:val="15"/>
              </w:rPr>
              <w:t>Gaucher disease (neuronopathic form) Carbohydrate-deficient</w:t>
            </w:r>
            <w:r>
              <w:rPr>
                <w:color w:val="231F20"/>
                <w:spacing w:val="-12"/>
                <w:sz w:val="15"/>
              </w:rPr>
              <w:t> </w:t>
            </w:r>
            <w:r>
              <w:rPr>
                <w:color w:val="231F20"/>
                <w:sz w:val="15"/>
              </w:rPr>
              <w:t>glycoprotein</w:t>
            </w:r>
            <w:r>
              <w:rPr>
                <w:color w:val="231F20"/>
                <w:spacing w:val="-11"/>
                <w:sz w:val="15"/>
              </w:rPr>
              <w:t> </w:t>
            </w:r>
            <w:r>
              <w:rPr>
                <w:color w:val="231F20"/>
                <w:sz w:val="15"/>
              </w:rPr>
              <w:t>syndromes</w:t>
            </w:r>
          </w:p>
        </w:tc>
        <w:tc>
          <w:tcPr>
            <w:tcW w:w="4166" w:type="dxa"/>
            <w:tcBorders>
              <w:top w:val="single" w:sz="4" w:space="0" w:color="231F20"/>
              <w:bottom w:val="single" w:sz="4" w:space="0" w:color="FFFFFF"/>
            </w:tcBorders>
            <w:shd w:val="clear" w:color="auto" w:fill="E8F5F1"/>
          </w:tcPr>
          <w:p>
            <w:pPr>
              <w:pStyle w:val="TableParagraph"/>
              <w:spacing w:line="230" w:lineRule="auto" w:before="52"/>
              <w:ind w:left="250" w:right="35" w:hanging="112"/>
              <w:rPr>
                <w:sz w:val="15"/>
              </w:rPr>
            </w:pPr>
            <w:r>
              <w:rPr>
                <w:color w:val="231F20"/>
                <w:spacing w:val="-2"/>
                <w:sz w:val="15"/>
              </w:rPr>
              <w:t>Vomiting, hypoglycemia, poor feeding, failure to </w:t>
            </w:r>
            <w:r>
              <w:rPr>
                <w:color w:val="231F20"/>
                <w:spacing w:val="-2"/>
                <w:sz w:val="15"/>
              </w:rPr>
              <w:t>thrive </w:t>
            </w:r>
            <w:r>
              <w:rPr>
                <w:color w:val="231F20"/>
                <w:sz w:val="15"/>
              </w:rPr>
              <w:t>(when given fructose)</w:t>
            </w:r>
          </w:p>
          <w:p>
            <w:pPr>
              <w:pStyle w:val="TableParagraph"/>
              <w:spacing w:line="230" w:lineRule="auto" w:before="3"/>
              <w:ind w:left="250" w:right="35" w:hanging="112"/>
              <w:rPr>
                <w:sz w:val="15"/>
              </w:rPr>
            </w:pPr>
            <w:r>
              <w:rPr>
                <w:color w:val="231F20"/>
                <w:spacing w:val="-2"/>
                <w:sz w:val="15"/>
              </w:rPr>
              <w:t>Lethargy,</w:t>
            </w:r>
            <w:r>
              <w:rPr>
                <w:color w:val="231F20"/>
                <w:spacing w:val="-10"/>
                <w:sz w:val="15"/>
              </w:rPr>
              <w:t> </w:t>
            </w:r>
            <w:r>
              <w:rPr>
                <w:color w:val="231F20"/>
                <w:spacing w:val="-2"/>
                <w:sz w:val="15"/>
              </w:rPr>
              <w:t>hypotonia,</w:t>
            </w:r>
            <w:r>
              <w:rPr>
                <w:color w:val="231F20"/>
                <w:spacing w:val="-9"/>
                <w:sz w:val="15"/>
              </w:rPr>
              <w:t> </w:t>
            </w:r>
            <w:r>
              <w:rPr>
                <w:color w:val="231F20"/>
                <w:spacing w:val="-2"/>
                <w:sz w:val="15"/>
              </w:rPr>
              <w:t>icterus,</w:t>
            </w:r>
            <w:r>
              <w:rPr>
                <w:color w:val="231F20"/>
                <w:spacing w:val="-9"/>
                <w:sz w:val="15"/>
              </w:rPr>
              <w:t> </w:t>
            </w:r>
            <w:r>
              <w:rPr>
                <w:color w:val="231F20"/>
                <w:spacing w:val="-2"/>
                <w:sz w:val="15"/>
              </w:rPr>
              <w:t>cataract,</w:t>
            </w:r>
            <w:r>
              <w:rPr>
                <w:color w:val="231F20"/>
                <w:spacing w:val="-10"/>
                <w:sz w:val="15"/>
              </w:rPr>
              <w:t> </w:t>
            </w:r>
            <w:r>
              <w:rPr>
                <w:color w:val="231F20"/>
                <w:spacing w:val="-2"/>
                <w:sz w:val="15"/>
              </w:rPr>
              <w:t>hypoglycemia</w:t>
            </w:r>
            <w:r>
              <w:rPr>
                <w:color w:val="231F20"/>
                <w:spacing w:val="-9"/>
                <w:sz w:val="15"/>
              </w:rPr>
              <w:t> </w:t>
            </w:r>
            <w:r>
              <w:rPr>
                <w:color w:val="231F20"/>
                <w:spacing w:val="-2"/>
                <w:sz w:val="15"/>
              </w:rPr>
              <w:t>(when </w:t>
            </w:r>
            <w:r>
              <w:rPr>
                <w:color w:val="231F20"/>
                <w:sz w:val="15"/>
              </w:rPr>
              <w:t>given lactose)</w:t>
            </w:r>
          </w:p>
          <w:p>
            <w:pPr>
              <w:pStyle w:val="TableParagraph"/>
              <w:spacing w:line="232" w:lineRule="auto" w:before="2"/>
              <w:ind w:left="138" w:right="1182"/>
              <w:rPr>
                <w:sz w:val="15"/>
              </w:rPr>
            </w:pPr>
            <w:r>
              <w:rPr>
                <w:color w:val="231F20"/>
                <w:spacing w:val="-2"/>
                <w:sz w:val="15"/>
              </w:rPr>
              <w:t>Hypoglycemia,</w:t>
            </w:r>
            <w:r>
              <w:rPr>
                <w:color w:val="231F20"/>
                <w:spacing w:val="-4"/>
                <w:sz w:val="15"/>
              </w:rPr>
              <w:t> </w:t>
            </w:r>
            <w:r>
              <w:rPr>
                <w:color w:val="231F20"/>
                <w:spacing w:val="-2"/>
                <w:sz w:val="15"/>
              </w:rPr>
              <w:t>cardiomegaly</w:t>
            </w:r>
            <w:r>
              <w:rPr>
                <w:color w:val="231F20"/>
                <w:spacing w:val="-4"/>
                <w:sz w:val="15"/>
              </w:rPr>
              <w:t> </w:t>
            </w:r>
            <w:r>
              <w:rPr>
                <w:color w:val="231F20"/>
                <w:spacing w:val="-2"/>
                <w:sz w:val="15"/>
              </w:rPr>
              <w:t>(type</w:t>
            </w:r>
            <w:r>
              <w:rPr>
                <w:color w:val="231F20"/>
                <w:spacing w:val="-4"/>
                <w:sz w:val="15"/>
              </w:rPr>
              <w:t> </w:t>
            </w:r>
            <w:r>
              <w:rPr>
                <w:color w:val="231F20"/>
                <w:spacing w:val="-2"/>
                <w:sz w:val="15"/>
              </w:rPr>
              <w:t>II) </w:t>
            </w:r>
            <w:r>
              <w:rPr>
                <w:color w:val="231F20"/>
                <w:sz w:val="15"/>
              </w:rPr>
              <w:t>Coarse facies, stiff joints</w:t>
            </w:r>
          </w:p>
          <w:p>
            <w:pPr>
              <w:pStyle w:val="TableParagraph"/>
              <w:spacing w:line="169" w:lineRule="exact"/>
              <w:ind w:left="138"/>
              <w:rPr>
                <w:sz w:val="15"/>
              </w:rPr>
            </w:pPr>
            <w:r>
              <w:rPr>
                <w:color w:val="231F20"/>
                <w:spacing w:val="-2"/>
                <w:sz w:val="15"/>
              </w:rPr>
              <w:t>Gray</w:t>
            </w:r>
            <w:r>
              <w:rPr>
                <w:color w:val="231F20"/>
                <w:spacing w:val="-5"/>
                <w:sz w:val="15"/>
              </w:rPr>
              <w:t> </w:t>
            </w:r>
            <w:r>
              <w:rPr>
                <w:color w:val="231F20"/>
                <w:spacing w:val="-2"/>
                <w:sz w:val="15"/>
              </w:rPr>
              <w:t>matter</w:t>
            </w:r>
            <w:r>
              <w:rPr>
                <w:color w:val="231F20"/>
                <w:spacing w:val="-4"/>
                <w:sz w:val="15"/>
              </w:rPr>
              <w:t> </w:t>
            </w:r>
            <w:r>
              <w:rPr>
                <w:color w:val="231F20"/>
                <w:spacing w:val="-2"/>
                <w:sz w:val="15"/>
              </w:rPr>
              <w:t>disease,</w:t>
            </w:r>
            <w:r>
              <w:rPr>
                <w:color w:val="231F20"/>
                <w:spacing w:val="-4"/>
                <w:sz w:val="15"/>
              </w:rPr>
              <w:t> </w:t>
            </w:r>
            <w:r>
              <w:rPr>
                <w:color w:val="231F20"/>
                <w:spacing w:val="-2"/>
                <w:sz w:val="15"/>
              </w:rPr>
              <w:t>failure</w:t>
            </w:r>
            <w:r>
              <w:rPr>
                <w:color w:val="231F20"/>
                <w:spacing w:val="-4"/>
                <w:sz w:val="15"/>
              </w:rPr>
              <w:t> </w:t>
            </w:r>
            <w:r>
              <w:rPr>
                <w:color w:val="231F20"/>
                <w:spacing w:val="-2"/>
                <w:sz w:val="15"/>
              </w:rPr>
              <w:t>to</w:t>
            </w:r>
            <w:r>
              <w:rPr>
                <w:color w:val="231F20"/>
                <w:spacing w:val="-5"/>
                <w:sz w:val="15"/>
              </w:rPr>
              <w:t> </w:t>
            </w:r>
            <w:r>
              <w:rPr>
                <w:color w:val="231F20"/>
                <w:spacing w:val="-2"/>
                <w:sz w:val="15"/>
              </w:rPr>
              <w:t>thrive</w:t>
            </w:r>
          </w:p>
          <w:p>
            <w:pPr>
              <w:pStyle w:val="TableParagraph"/>
              <w:spacing w:line="232" w:lineRule="auto" w:before="2"/>
              <w:ind w:left="138" w:right="35"/>
              <w:rPr>
                <w:sz w:val="15"/>
              </w:rPr>
            </w:pPr>
            <w:r>
              <w:rPr>
                <w:color w:val="231F20"/>
                <w:spacing w:val="-2"/>
                <w:sz w:val="15"/>
              </w:rPr>
              <w:t>Seizures,</w:t>
            </w:r>
            <w:r>
              <w:rPr>
                <w:color w:val="231F20"/>
                <w:spacing w:val="-9"/>
                <w:sz w:val="15"/>
              </w:rPr>
              <w:t> </w:t>
            </w:r>
            <w:r>
              <w:rPr>
                <w:color w:val="231F20"/>
                <w:spacing w:val="-2"/>
                <w:sz w:val="15"/>
              </w:rPr>
              <w:t>cherry-red</w:t>
            </w:r>
            <w:r>
              <w:rPr>
                <w:color w:val="231F20"/>
                <w:spacing w:val="-9"/>
                <w:sz w:val="15"/>
              </w:rPr>
              <w:t> </w:t>
            </w:r>
            <w:r>
              <w:rPr>
                <w:color w:val="231F20"/>
                <w:spacing w:val="-2"/>
                <w:sz w:val="15"/>
              </w:rPr>
              <w:t>macula,</w:t>
            </w:r>
            <w:r>
              <w:rPr>
                <w:color w:val="231F20"/>
                <w:spacing w:val="-9"/>
                <w:sz w:val="15"/>
              </w:rPr>
              <w:t> </w:t>
            </w:r>
            <w:r>
              <w:rPr>
                <w:color w:val="231F20"/>
                <w:spacing w:val="-2"/>
                <w:sz w:val="15"/>
              </w:rPr>
              <w:t>edema,</w:t>
            </w:r>
            <w:r>
              <w:rPr>
                <w:color w:val="231F20"/>
                <w:spacing w:val="-9"/>
                <w:sz w:val="15"/>
              </w:rPr>
              <w:t> </w:t>
            </w:r>
            <w:r>
              <w:rPr>
                <w:color w:val="231F20"/>
                <w:spacing w:val="-2"/>
                <w:sz w:val="15"/>
              </w:rPr>
              <w:t>coarse</w:t>
            </w:r>
            <w:r>
              <w:rPr>
                <w:color w:val="231F20"/>
                <w:spacing w:val="-9"/>
                <w:sz w:val="15"/>
              </w:rPr>
              <w:t> </w:t>
            </w:r>
            <w:r>
              <w:rPr>
                <w:color w:val="231F20"/>
                <w:spacing w:val="-2"/>
                <w:sz w:val="15"/>
              </w:rPr>
              <w:t>facies </w:t>
            </w:r>
            <w:r>
              <w:rPr>
                <w:color w:val="231F20"/>
                <w:sz w:val="15"/>
              </w:rPr>
              <w:t>Hypotonia, high forehead, flat facies</w:t>
            </w:r>
          </w:p>
          <w:p>
            <w:pPr>
              <w:pStyle w:val="TableParagraph"/>
              <w:spacing w:line="232" w:lineRule="auto" w:before="1"/>
              <w:ind w:left="138" w:right="1182"/>
              <w:rPr>
                <w:sz w:val="15"/>
              </w:rPr>
            </w:pPr>
            <w:r>
              <w:rPr>
                <w:color w:val="231F20"/>
                <w:sz w:val="15"/>
              </w:rPr>
              <w:t>Extensor posturing, irritability </w:t>
            </w:r>
            <w:r>
              <w:rPr>
                <w:color w:val="231F20"/>
                <w:spacing w:val="-2"/>
                <w:sz w:val="15"/>
              </w:rPr>
              <w:t>Dysmyelination,</w:t>
            </w:r>
            <w:r>
              <w:rPr>
                <w:color w:val="231F20"/>
                <w:spacing w:val="-6"/>
                <w:sz w:val="15"/>
              </w:rPr>
              <w:t> </w:t>
            </w:r>
            <w:r>
              <w:rPr>
                <w:color w:val="231F20"/>
                <w:spacing w:val="-2"/>
                <w:sz w:val="15"/>
              </w:rPr>
              <w:t>cerebellar</w:t>
            </w:r>
            <w:r>
              <w:rPr>
                <w:color w:val="231F20"/>
                <w:spacing w:val="-6"/>
                <w:sz w:val="15"/>
              </w:rPr>
              <w:t> </w:t>
            </w:r>
            <w:r>
              <w:rPr>
                <w:color w:val="231F20"/>
                <w:spacing w:val="-2"/>
                <w:sz w:val="15"/>
              </w:rPr>
              <w:t>hypoplasia</w:t>
            </w:r>
          </w:p>
        </w:tc>
      </w:tr>
      <w:tr>
        <w:trPr>
          <w:trHeight w:val="1774" w:hRule="atLeast"/>
        </w:trPr>
        <w:tc>
          <w:tcPr>
            <w:tcW w:w="1640" w:type="dxa"/>
            <w:gridSpan w:val="2"/>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rFonts w:ascii="Cambria"/>
                <w:color w:val="231F20"/>
                <w:sz w:val="15"/>
              </w:rPr>
              <w:t>&lt;</w:t>
            </w:r>
            <w:r>
              <w:rPr>
                <w:color w:val="231F20"/>
                <w:sz w:val="15"/>
              </w:rPr>
              <w:t>2, without </w:t>
            </w:r>
            <w:r>
              <w:rPr>
                <w:color w:val="231F20"/>
                <w:spacing w:val="-2"/>
                <w:sz w:val="15"/>
              </w:rPr>
              <w:t>hepatomegaly</w:t>
            </w:r>
          </w:p>
        </w:tc>
        <w:tc>
          <w:tcPr>
            <w:tcW w:w="3936" w:type="dxa"/>
            <w:tcBorders>
              <w:top w:val="single" w:sz="4" w:space="0" w:color="FFFFFF"/>
              <w:bottom w:val="single" w:sz="4" w:space="0" w:color="FFFFFF"/>
            </w:tcBorders>
            <w:shd w:val="clear" w:color="auto" w:fill="E8F5F1"/>
          </w:tcPr>
          <w:p>
            <w:pPr>
              <w:pStyle w:val="TableParagraph"/>
              <w:spacing w:line="232" w:lineRule="auto" w:before="46"/>
              <w:ind w:left="138" w:right="2715"/>
              <w:rPr>
                <w:sz w:val="15"/>
              </w:rPr>
            </w:pPr>
            <w:r>
              <w:rPr>
                <w:color w:val="231F20"/>
                <w:sz w:val="15"/>
              </w:rPr>
              <w:t>Krabbe</w:t>
            </w:r>
            <w:r>
              <w:rPr>
                <w:color w:val="231F20"/>
                <w:spacing w:val="-12"/>
                <w:sz w:val="15"/>
              </w:rPr>
              <w:t> </w:t>
            </w:r>
            <w:r>
              <w:rPr>
                <w:color w:val="231F20"/>
                <w:sz w:val="15"/>
              </w:rPr>
              <w:t>disease </w:t>
            </w:r>
            <w:r>
              <w:rPr>
                <w:color w:val="231F20"/>
                <w:spacing w:val="-2"/>
                <w:sz w:val="15"/>
              </w:rPr>
              <w:t>Rett</w:t>
            </w:r>
            <w:r>
              <w:rPr>
                <w:color w:val="231F20"/>
                <w:spacing w:val="-9"/>
                <w:sz w:val="15"/>
              </w:rPr>
              <w:t> </w:t>
            </w:r>
            <w:r>
              <w:rPr>
                <w:color w:val="231F20"/>
                <w:spacing w:val="-2"/>
                <w:sz w:val="15"/>
              </w:rPr>
              <w:t>syndrome</w:t>
            </w:r>
          </w:p>
          <w:p>
            <w:pPr>
              <w:pStyle w:val="TableParagraph"/>
              <w:spacing w:line="232" w:lineRule="auto" w:before="169"/>
              <w:ind w:left="138" w:right="1911"/>
              <w:rPr>
                <w:sz w:val="15"/>
              </w:rPr>
            </w:pPr>
            <w:r>
              <w:rPr>
                <w:color w:val="231F20"/>
                <w:sz w:val="15"/>
              </w:rPr>
              <w:t>Maple</w:t>
            </w:r>
            <w:r>
              <w:rPr>
                <w:color w:val="231F20"/>
                <w:spacing w:val="-5"/>
                <w:sz w:val="15"/>
              </w:rPr>
              <w:t> </w:t>
            </w:r>
            <w:r>
              <w:rPr>
                <w:color w:val="231F20"/>
                <w:sz w:val="15"/>
              </w:rPr>
              <w:t>syrup</w:t>
            </w:r>
            <w:r>
              <w:rPr>
                <w:color w:val="231F20"/>
                <w:spacing w:val="-5"/>
                <w:sz w:val="15"/>
              </w:rPr>
              <w:t> </w:t>
            </w:r>
            <w:r>
              <w:rPr>
                <w:color w:val="231F20"/>
                <w:sz w:val="15"/>
              </w:rPr>
              <w:t>urine</w:t>
            </w:r>
            <w:r>
              <w:rPr>
                <w:color w:val="231F20"/>
                <w:spacing w:val="-5"/>
                <w:sz w:val="15"/>
              </w:rPr>
              <w:t> </w:t>
            </w:r>
            <w:r>
              <w:rPr>
                <w:color w:val="231F20"/>
                <w:sz w:val="15"/>
              </w:rPr>
              <w:t>disease </w:t>
            </w:r>
            <w:r>
              <w:rPr>
                <w:color w:val="231F20"/>
                <w:spacing w:val="-2"/>
                <w:sz w:val="15"/>
              </w:rPr>
              <w:t>Phenylketonuria</w:t>
            </w:r>
          </w:p>
          <w:p>
            <w:pPr>
              <w:pStyle w:val="TableParagraph"/>
              <w:spacing w:line="169" w:lineRule="exact"/>
              <w:ind w:left="138"/>
              <w:rPr>
                <w:sz w:val="15"/>
              </w:rPr>
            </w:pPr>
            <w:r>
              <w:rPr>
                <w:color w:val="231F20"/>
                <w:sz w:val="15"/>
              </w:rPr>
              <w:t>Menkes</w:t>
            </w:r>
            <w:r>
              <w:rPr>
                <w:color w:val="231F20"/>
                <w:spacing w:val="-4"/>
                <w:sz w:val="15"/>
              </w:rPr>
              <w:t> </w:t>
            </w:r>
            <w:r>
              <w:rPr>
                <w:color w:val="231F20"/>
                <w:sz w:val="15"/>
              </w:rPr>
              <w:t>kinky</w:t>
            </w:r>
            <w:r>
              <w:rPr>
                <w:color w:val="231F20"/>
                <w:spacing w:val="-4"/>
                <w:sz w:val="15"/>
              </w:rPr>
              <w:t> </w:t>
            </w:r>
            <w:r>
              <w:rPr>
                <w:color w:val="231F20"/>
                <w:sz w:val="15"/>
              </w:rPr>
              <w:t>hair</w:t>
            </w:r>
            <w:r>
              <w:rPr>
                <w:color w:val="231F20"/>
                <w:spacing w:val="-4"/>
                <w:sz w:val="15"/>
              </w:rPr>
              <w:t> </w:t>
            </w:r>
            <w:r>
              <w:rPr>
                <w:color w:val="231F20"/>
                <w:spacing w:val="-2"/>
                <w:sz w:val="15"/>
              </w:rPr>
              <w:t>disease</w:t>
            </w:r>
          </w:p>
          <w:p>
            <w:pPr>
              <w:pStyle w:val="TableParagraph"/>
              <w:spacing w:line="232" w:lineRule="auto" w:before="2"/>
              <w:ind w:left="138"/>
              <w:rPr>
                <w:sz w:val="15"/>
              </w:rPr>
            </w:pPr>
            <w:r>
              <w:rPr>
                <w:color w:val="231F20"/>
                <w:sz w:val="15"/>
              </w:rPr>
              <w:t>Subacute</w:t>
            </w:r>
            <w:r>
              <w:rPr>
                <w:color w:val="231F20"/>
                <w:spacing w:val="-5"/>
                <w:sz w:val="15"/>
              </w:rPr>
              <w:t> </w:t>
            </w:r>
            <w:r>
              <w:rPr>
                <w:color w:val="231F20"/>
                <w:sz w:val="15"/>
              </w:rPr>
              <w:t>necrotizing</w:t>
            </w:r>
            <w:r>
              <w:rPr>
                <w:color w:val="231F20"/>
                <w:spacing w:val="-5"/>
                <w:sz w:val="15"/>
              </w:rPr>
              <w:t> </w:t>
            </w:r>
            <w:r>
              <w:rPr>
                <w:color w:val="231F20"/>
                <w:sz w:val="15"/>
              </w:rPr>
              <w:t>encephalopathy</w:t>
            </w:r>
            <w:r>
              <w:rPr>
                <w:color w:val="231F20"/>
                <w:spacing w:val="-5"/>
                <w:sz w:val="15"/>
              </w:rPr>
              <w:t> </w:t>
            </w:r>
            <w:r>
              <w:rPr>
                <w:color w:val="231F20"/>
                <w:sz w:val="15"/>
              </w:rPr>
              <w:t>of</w:t>
            </w:r>
            <w:r>
              <w:rPr>
                <w:color w:val="231F20"/>
                <w:spacing w:val="-5"/>
                <w:sz w:val="15"/>
              </w:rPr>
              <w:t> </w:t>
            </w:r>
            <w:r>
              <w:rPr>
                <w:color w:val="231F20"/>
                <w:sz w:val="15"/>
              </w:rPr>
              <w:t>Leigh</w:t>
            </w:r>
            <w:r>
              <w:rPr>
                <w:color w:val="231F20"/>
                <w:spacing w:val="-5"/>
                <w:sz w:val="15"/>
              </w:rPr>
              <w:t> </w:t>
            </w:r>
            <w:r>
              <w:rPr>
                <w:color w:val="231F20"/>
                <w:sz w:val="15"/>
              </w:rPr>
              <w:t>disease Canavan disease</w:t>
            </w:r>
          </w:p>
          <w:p>
            <w:pPr>
              <w:pStyle w:val="TableParagraph"/>
              <w:spacing w:line="230" w:lineRule="auto" w:before="2"/>
              <w:ind w:left="250" w:right="504" w:hanging="112"/>
              <w:rPr>
                <w:sz w:val="15"/>
              </w:rPr>
            </w:pPr>
            <w:r>
              <w:rPr>
                <w:color w:val="231F20"/>
                <w:sz w:val="15"/>
              </w:rPr>
              <w:t>Neurodegeneration</w:t>
            </w:r>
            <w:r>
              <w:rPr>
                <w:color w:val="231F20"/>
                <w:spacing w:val="-12"/>
                <w:sz w:val="15"/>
              </w:rPr>
              <w:t> </w:t>
            </w:r>
            <w:r>
              <w:rPr>
                <w:color w:val="231F20"/>
                <w:sz w:val="15"/>
              </w:rPr>
              <w:t>with</w:t>
            </w:r>
            <w:r>
              <w:rPr>
                <w:color w:val="231F20"/>
                <w:spacing w:val="-11"/>
                <w:sz w:val="15"/>
              </w:rPr>
              <w:t> </w:t>
            </w:r>
            <w:r>
              <w:rPr>
                <w:color w:val="231F20"/>
                <w:sz w:val="15"/>
              </w:rPr>
              <w:t>brain</w:t>
            </w:r>
            <w:r>
              <w:rPr>
                <w:color w:val="231F20"/>
                <w:spacing w:val="-11"/>
                <w:sz w:val="15"/>
              </w:rPr>
              <w:t> </w:t>
            </w:r>
            <w:r>
              <w:rPr>
                <w:color w:val="231F20"/>
                <w:sz w:val="15"/>
              </w:rPr>
              <w:t>iron</w:t>
            </w:r>
            <w:r>
              <w:rPr>
                <w:color w:val="231F20"/>
                <w:spacing w:val="-12"/>
                <w:sz w:val="15"/>
              </w:rPr>
              <w:t> </w:t>
            </w:r>
            <w:r>
              <w:rPr>
                <w:color w:val="231F20"/>
                <w:sz w:val="15"/>
              </w:rPr>
              <w:t>accumulation </w:t>
            </w:r>
            <w:r>
              <w:rPr>
                <w:color w:val="231F20"/>
                <w:spacing w:val="-2"/>
                <w:sz w:val="15"/>
              </w:rPr>
              <w:t>disease</w:t>
            </w:r>
          </w:p>
        </w:tc>
        <w:tc>
          <w:tcPr>
            <w:tcW w:w="4166" w:type="dxa"/>
            <w:tcBorders>
              <w:top w:val="single" w:sz="4" w:space="0" w:color="FFFFFF"/>
              <w:bottom w:val="single" w:sz="4" w:space="0" w:color="FFFFFF"/>
            </w:tcBorders>
            <w:shd w:val="clear" w:color="auto" w:fill="E8F5F1"/>
          </w:tcPr>
          <w:p>
            <w:pPr>
              <w:pStyle w:val="TableParagraph"/>
              <w:spacing w:line="232" w:lineRule="auto" w:before="46"/>
              <w:ind w:left="138" w:right="35"/>
              <w:rPr>
                <w:sz w:val="15"/>
              </w:rPr>
            </w:pPr>
            <w:r>
              <w:rPr>
                <w:color w:val="231F20"/>
                <w:spacing w:val="-2"/>
                <w:sz w:val="15"/>
              </w:rPr>
              <w:t>Irritability,</w:t>
            </w:r>
            <w:r>
              <w:rPr>
                <w:color w:val="231F20"/>
                <w:spacing w:val="-5"/>
                <w:sz w:val="15"/>
              </w:rPr>
              <w:t> </w:t>
            </w:r>
            <w:r>
              <w:rPr>
                <w:color w:val="231F20"/>
                <w:spacing w:val="-2"/>
                <w:sz w:val="15"/>
              </w:rPr>
              <w:t>extensor</w:t>
            </w:r>
            <w:r>
              <w:rPr>
                <w:color w:val="231F20"/>
                <w:spacing w:val="-5"/>
                <w:sz w:val="15"/>
              </w:rPr>
              <w:t> </w:t>
            </w:r>
            <w:r>
              <w:rPr>
                <w:color w:val="231F20"/>
                <w:spacing w:val="-2"/>
                <w:sz w:val="15"/>
              </w:rPr>
              <w:t>posturing,</w:t>
            </w:r>
            <w:r>
              <w:rPr>
                <w:color w:val="231F20"/>
                <w:spacing w:val="-5"/>
                <w:sz w:val="15"/>
              </w:rPr>
              <w:t> </w:t>
            </w:r>
            <w:r>
              <w:rPr>
                <w:color w:val="231F20"/>
                <w:spacing w:val="-2"/>
                <w:sz w:val="15"/>
              </w:rPr>
              <w:t>optic</w:t>
            </w:r>
            <w:r>
              <w:rPr>
                <w:color w:val="231F20"/>
                <w:spacing w:val="-5"/>
                <w:sz w:val="15"/>
              </w:rPr>
              <w:t> </w:t>
            </w:r>
            <w:r>
              <w:rPr>
                <w:color w:val="231F20"/>
                <w:spacing w:val="-2"/>
                <w:sz w:val="15"/>
              </w:rPr>
              <w:t>atrophy,</w:t>
            </w:r>
            <w:r>
              <w:rPr>
                <w:color w:val="231F20"/>
                <w:spacing w:val="-5"/>
                <w:sz w:val="15"/>
              </w:rPr>
              <w:t> </w:t>
            </w:r>
            <w:r>
              <w:rPr>
                <w:color w:val="231F20"/>
                <w:spacing w:val="-2"/>
                <w:sz w:val="15"/>
              </w:rPr>
              <w:t>and</w:t>
            </w:r>
            <w:r>
              <w:rPr>
                <w:color w:val="231F20"/>
                <w:spacing w:val="-5"/>
                <w:sz w:val="15"/>
              </w:rPr>
              <w:t> </w:t>
            </w:r>
            <w:r>
              <w:rPr>
                <w:color w:val="231F20"/>
                <w:spacing w:val="-2"/>
                <w:sz w:val="15"/>
              </w:rPr>
              <w:t>blindness </w:t>
            </w:r>
            <w:r>
              <w:rPr>
                <w:color w:val="231F20"/>
                <w:sz w:val="15"/>
              </w:rPr>
              <w:t>Girls</w:t>
            </w:r>
            <w:r>
              <w:rPr>
                <w:color w:val="231F20"/>
                <w:spacing w:val="-3"/>
                <w:sz w:val="15"/>
              </w:rPr>
              <w:t> </w:t>
            </w:r>
            <w:r>
              <w:rPr>
                <w:color w:val="231F20"/>
                <w:sz w:val="15"/>
              </w:rPr>
              <w:t>with</w:t>
            </w:r>
            <w:r>
              <w:rPr>
                <w:color w:val="231F20"/>
                <w:spacing w:val="-3"/>
                <w:sz w:val="15"/>
              </w:rPr>
              <w:t> </w:t>
            </w:r>
            <w:r>
              <w:rPr>
                <w:color w:val="231F20"/>
                <w:sz w:val="15"/>
              </w:rPr>
              <w:t>deceleration</w:t>
            </w:r>
            <w:r>
              <w:rPr>
                <w:color w:val="231F20"/>
                <w:spacing w:val="-3"/>
                <w:sz w:val="15"/>
              </w:rPr>
              <w:t> </w:t>
            </w:r>
            <w:r>
              <w:rPr>
                <w:color w:val="231F20"/>
                <w:sz w:val="15"/>
              </w:rPr>
              <w:t>of</w:t>
            </w:r>
            <w:r>
              <w:rPr>
                <w:color w:val="231F20"/>
                <w:spacing w:val="-3"/>
                <w:sz w:val="15"/>
              </w:rPr>
              <w:t> </w:t>
            </w:r>
            <w:r>
              <w:rPr>
                <w:color w:val="231F20"/>
                <w:sz w:val="15"/>
              </w:rPr>
              <w:t>head</w:t>
            </w:r>
            <w:r>
              <w:rPr>
                <w:color w:val="231F20"/>
                <w:spacing w:val="-3"/>
                <w:sz w:val="15"/>
              </w:rPr>
              <w:t> </w:t>
            </w:r>
            <w:r>
              <w:rPr>
                <w:color w:val="231F20"/>
                <w:sz w:val="15"/>
              </w:rPr>
              <w:t>growth,</w:t>
            </w:r>
            <w:r>
              <w:rPr>
                <w:color w:val="231F20"/>
                <w:spacing w:val="-3"/>
                <w:sz w:val="15"/>
              </w:rPr>
              <w:t> </w:t>
            </w:r>
            <w:r>
              <w:rPr>
                <w:color w:val="231F20"/>
                <w:sz w:val="15"/>
              </w:rPr>
              <w:t>loss</w:t>
            </w:r>
            <w:r>
              <w:rPr>
                <w:color w:val="231F20"/>
                <w:spacing w:val="-3"/>
                <w:sz w:val="15"/>
              </w:rPr>
              <w:t> </w:t>
            </w:r>
            <w:r>
              <w:rPr>
                <w:color w:val="231F20"/>
                <w:sz w:val="15"/>
              </w:rPr>
              <w:t>of</w:t>
            </w:r>
            <w:r>
              <w:rPr>
                <w:color w:val="231F20"/>
                <w:spacing w:val="-3"/>
                <w:sz w:val="15"/>
              </w:rPr>
              <w:t> </w:t>
            </w:r>
            <w:r>
              <w:rPr>
                <w:color w:val="231F20"/>
                <w:sz w:val="15"/>
              </w:rPr>
              <w:t>hand</w:t>
            </w:r>
            <w:r>
              <w:rPr>
                <w:color w:val="231F20"/>
                <w:spacing w:val="-3"/>
                <w:sz w:val="15"/>
              </w:rPr>
              <w:t> </w:t>
            </w:r>
            <w:r>
              <w:rPr>
                <w:color w:val="231F20"/>
                <w:sz w:val="15"/>
              </w:rPr>
              <w:t>skills,</w:t>
            </w:r>
          </w:p>
          <w:p>
            <w:pPr>
              <w:pStyle w:val="TableParagraph"/>
              <w:spacing w:line="232" w:lineRule="auto"/>
              <w:ind w:left="138" w:right="149" w:firstLine="111"/>
              <w:rPr>
                <w:sz w:val="15"/>
              </w:rPr>
            </w:pPr>
            <w:r>
              <w:rPr>
                <w:color w:val="231F20"/>
                <w:sz w:val="15"/>
              </w:rPr>
              <w:t>hand</w:t>
            </w:r>
            <w:r>
              <w:rPr>
                <w:color w:val="231F20"/>
                <w:spacing w:val="-12"/>
                <w:sz w:val="15"/>
              </w:rPr>
              <w:t> </w:t>
            </w:r>
            <w:r>
              <w:rPr>
                <w:color w:val="231F20"/>
                <w:sz w:val="15"/>
              </w:rPr>
              <w:t>wringing,</w:t>
            </w:r>
            <w:r>
              <w:rPr>
                <w:color w:val="231F20"/>
                <w:spacing w:val="-11"/>
                <w:sz w:val="15"/>
              </w:rPr>
              <w:t> </w:t>
            </w:r>
            <w:r>
              <w:rPr>
                <w:color w:val="231F20"/>
                <w:sz w:val="15"/>
              </w:rPr>
              <w:t>impaired</w:t>
            </w:r>
            <w:r>
              <w:rPr>
                <w:color w:val="231F20"/>
                <w:spacing w:val="-11"/>
                <w:sz w:val="15"/>
              </w:rPr>
              <w:t> </w:t>
            </w:r>
            <w:r>
              <w:rPr>
                <w:color w:val="231F20"/>
                <w:sz w:val="15"/>
              </w:rPr>
              <w:t>language</w:t>
            </w:r>
            <w:r>
              <w:rPr>
                <w:color w:val="231F20"/>
                <w:spacing w:val="-12"/>
                <w:sz w:val="15"/>
              </w:rPr>
              <w:t> </w:t>
            </w:r>
            <w:r>
              <w:rPr>
                <w:color w:val="231F20"/>
                <w:sz w:val="15"/>
              </w:rPr>
              <w:t>skills,</w:t>
            </w:r>
            <w:r>
              <w:rPr>
                <w:color w:val="231F20"/>
                <w:spacing w:val="-11"/>
                <w:sz w:val="15"/>
              </w:rPr>
              <w:t> </w:t>
            </w:r>
            <w:r>
              <w:rPr>
                <w:color w:val="231F20"/>
                <w:sz w:val="15"/>
              </w:rPr>
              <w:t>gait</w:t>
            </w:r>
            <w:r>
              <w:rPr>
                <w:color w:val="231F20"/>
                <w:spacing w:val="-11"/>
                <w:sz w:val="15"/>
              </w:rPr>
              <w:t> </w:t>
            </w:r>
            <w:r>
              <w:rPr>
                <w:color w:val="231F20"/>
                <w:sz w:val="15"/>
              </w:rPr>
              <w:t>apraxia Poor feeding, tremors, myoclonus, opisthotonos</w:t>
            </w:r>
          </w:p>
          <w:p>
            <w:pPr>
              <w:pStyle w:val="TableParagraph"/>
              <w:spacing w:line="232" w:lineRule="auto" w:before="1"/>
              <w:ind w:left="138" w:right="771"/>
              <w:rPr>
                <w:sz w:val="15"/>
              </w:rPr>
            </w:pPr>
            <w:r>
              <w:rPr>
                <w:color w:val="231F20"/>
                <w:sz w:val="15"/>
              </w:rPr>
              <w:t>Light pigmentation, eczema, seizures </w:t>
            </w:r>
            <w:r>
              <w:rPr>
                <w:color w:val="231F20"/>
                <w:spacing w:val="-4"/>
                <w:sz w:val="15"/>
              </w:rPr>
              <w:t>Hypertonia, irritability, seizures, abnormal </w:t>
            </w:r>
            <w:r>
              <w:rPr>
                <w:color w:val="231F20"/>
                <w:spacing w:val="-4"/>
                <w:sz w:val="15"/>
              </w:rPr>
              <w:t>hair </w:t>
            </w:r>
            <w:r>
              <w:rPr>
                <w:color w:val="231F20"/>
                <w:sz w:val="15"/>
              </w:rPr>
              <w:t>White matter disease</w:t>
            </w:r>
          </w:p>
          <w:p>
            <w:pPr>
              <w:pStyle w:val="TableParagraph"/>
              <w:spacing w:line="232" w:lineRule="auto" w:before="1"/>
              <w:ind w:left="138" w:right="1182"/>
              <w:rPr>
                <w:sz w:val="15"/>
              </w:rPr>
            </w:pPr>
            <w:r>
              <w:rPr>
                <w:color w:val="231F20"/>
                <w:sz w:val="15"/>
              </w:rPr>
              <w:t>White matter disease, macrocephaly White</w:t>
            </w:r>
            <w:r>
              <w:rPr>
                <w:color w:val="231F20"/>
                <w:spacing w:val="-12"/>
                <w:sz w:val="15"/>
              </w:rPr>
              <w:t> </w:t>
            </w:r>
            <w:r>
              <w:rPr>
                <w:color w:val="231F20"/>
                <w:sz w:val="15"/>
              </w:rPr>
              <w:t>matter</w:t>
            </w:r>
            <w:r>
              <w:rPr>
                <w:color w:val="231F20"/>
                <w:spacing w:val="-11"/>
                <w:sz w:val="15"/>
              </w:rPr>
              <w:t> </w:t>
            </w:r>
            <w:r>
              <w:rPr>
                <w:color w:val="231F20"/>
                <w:sz w:val="15"/>
              </w:rPr>
              <w:t>disease,</w:t>
            </w:r>
            <w:r>
              <w:rPr>
                <w:color w:val="231F20"/>
                <w:spacing w:val="-11"/>
                <w:sz w:val="15"/>
              </w:rPr>
              <w:t> </w:t>
            </w:r>
            <w:r>
              <w:rPr>
                <w:color w:val="231F20"/>
                <w:sz w:val="15"/>
              </w:rPr>
              <w:t>movement</w:t>
            </w:r>
            <w:r>
              <w:rPr>
                <w:color w:val="231F20"/>
                <w:spacing w:val="-12"/>
                <w:sz w:val="15"/>
              </w:rPr>
              <w:t> </w:t>
            </w:r>
            <w:r>
              <w:rPr>
                <w:color w:val="231F20"/>
                <w:sz w:val="15"/>
              </w:rPr>
              <w:t>disorder</w:t>
            </w:r>
          </w:p>
        </w:tc>
      </w:tr>
      <w:tr>
        <w:trPr>
          <w:trHeight w:val="2449" w:hRule="atLeast"/>
        </w:trPr>
        <w:tc>
          <w:tcPr>
            <w:tcW w:w="164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2-</w:t>
            </w:r>
            <w:r>
              <w:rPr>
                <w:color w:val="231F20"/>
                <w:spacing w:val="-10"/>
                <w:sz w:val="15"/>
              </w:rPr>
              <w:t>5</w:t>
            </w:r>
          </w:p>
        </w:tc>
        <w:tc>
          <w:tcPr>
            <w:tcW w:w="3936" w:type="dxa"/>
            <w:tcBorders>
              <w:top w:val="single" w:sz="4" w:space="0" w:color="FFFFFF"/>
              <w:bottom w:val="single" w:sz="4" w:space="0" w:color="FFFFFF"/>
            </w:tcBorders>
            <w:shd w:val="clear" w:color="auto" w:fill="E8F5F1"/>
          </w:tcPr>
          <w:p>
            <w:pPr>
              <w:pStyle w:val="TableParagraph"/>
              <w:spacing w:line="232" w:lineRule="auto" w:before="46"/>
              <w:ind w:left="138" w:right="915"/>
              <w:rPr>
                <w:sz w:val="15"/>
              </w:rPr>
            </w:pPr>
            <w:r>
              <w:rPr>
                <w:color w:val="231F20"/>
                <w:sz w:val="15"/>
              </w:rPr>
              <w:t>Niemann-Pick</w:t>
            </w:r>
            <w:r>
              <w:rPr>
                <w:color w:val="231F20"/>
                <w:spacing w:val="-6"/>
                <w:sz w:val="15"/>
              </w:rPr>
              <w:t> </w:t>
            </w:r>
            <w:r>
              <w:rPr>
                <w:color w:val="231F20"/>
                <w:sz w:val="15"/>
              </w:rPr>
              <w:t>disease</w:t>
            </w:r>
            <w:r>
              <w:rPr>
                <w:color w:val="231F20"/>
                <w:spacing w:val="-6"/>
                <w:sz w:val="15"/>
              </w:rPr>
              <w:t> </w:t>
            </w:r>
            <w:r>
              <w:rPr>
                <w:color w:val="231F20"/>
                <w:sz w:val="15"/>
              </w:rPr>
              <w:t>types</w:t>
            </w:r>
            <w:r>
              <w:rPr>
                <w:color w:val="231F20"/>
                <w:spacing w:val="-6"/>
                <w:sz w:val="15"/>
              </w:rPr>
              <w:t> </w:t>
            </w:r>
            <w:r>
              <w:rPr>
                <w:color w:val="231F20"/>
                <w:sz w:val="15"/>
              </w:rPr>
              <w:t>III</w:t>
            </w:r>
            <w:r>
              <w:rPr>
                <w:color w:val="231F20"/>
                <w:spacing w:val="-6"/>
                <w:sz w:val="15"/>
              </w:rPr>
              <w:t> </w:t>
            </w:r>
            <w:r>
              <w:rPr>
                <w:color w:val="231F20"/>
                <w:sz w:val="15"/>
              </w:rPr>
              <w:t>and</w:t>
            </w:r>
            <w:r>
              <w:rPr>
                <w:color w:val="231F20"/>
                <w:spacing w:val="-6"/>
                <w:sz w:val="15"/>
              </w:rPr>
              <w:t> </w:t>
            </w:r>
            <w:r>
              <w:rPr>
                <w:color w:val="231F20"/>
                <w:sz w:val="15"/>
              </w:rPr>
              <w:t>IV Wilson disease</w:t>
            </w:r>
          </w:p>
          <w:p>
            <w:pPr>
              <w:pStyle w:val="TableParagraph"/>
              <w:spacing w:line="232" w:lineRule="auto" w:before="169"/>
              <w:ind w:left="138" w:right="1780"/>
              <w:rPr>
                <w:sz w:val="15"/>
              </w:rPr>
            </w:pPr>
            <w:r>
              <w:rPr>
                <w:color w:val="231F20"/>
                <w:sz w:val="15"/>
              </w:rPr>
              <w:t>Gangliosidosis type II</w:t>
            </w:r>
            <w:r>
              <w:rPr>
                <w:color w:val="231F20"/>
                <w:spacing w:val="40"/>
                <w:sz w:val="15"/>
              </w:rPr>
              <w:t> </w:t>
            </w:r>
            <w:r>
              <w:rPr>
                <w:color w:val="231F20"/>
                <w:sz w:val="15"/>
              </w:rPr>
              <w:t>Neuronal</w:t>
            </w:r>
            <w:r>
              <w:rPr>
                <w:color w:val="231F20"/>
                <w:spacing w:val="-12"/>
                <w:sz w:val="15"/>
              </w:rPr>
              <w:t> </w:t>
            </w:r>
            <w:r>
              <w:rPr>
                <w:color w:val="231F20"/>
                <w:sz w:val="15"/>
              </w:rPr>
              <w:t>ceroid</w:t>
            </w:r>
            <w:r>
              <w:rPr>
                <w:color w:val="231F20"/>
                <w:spacing w:val="-11"/>
                <w:sz w:val="15"/>
              </w:rPr>
              <w:t> </w:t>
            </w:r>
            <w:r>
              <w:rPr>
                <w:color w:val="231F20"/>
                <w:sz w:val="15"/>
              </w:rPr>
              <w:t>lipofuscinosis</w:t>
            </w:r>
          </w:p>
          <w:p>
            <w:pPr>
              <w:pStyle w:val="TableParagraph"/>
              <w:spacing w:line="230" w:lineRule="auto" w:before="2"/>
              <w:ind w:left="250" w:right="504" w:hanging="112"/>
              <w:rPr>
                <w:sz w:val="15"/>
              </w:rPr>
            </w:pPr>
            <w:r>
              <w:rPr>
                <w:color w:val="231F20"/>
                <w:spacing w:val="-2"/>
                <w:sz w:val="15"/>
              </w:rPr>
              <w:t>Mitochondrial encephalopathies (e.g., </w:t>
            </w:r>
            <w:r>
              <w:rPr>
                <w:color w:val="231F20"/>
                <w:spacing w:val="-2"/>
                <w:sz w:val="15"/>
              </w:rPr>
              <w:t>myoclonic </w:t>
            </w:r>
            <w:r>
              <w:rPr>
                <w:color w:val="231F20"/>
                <w:sz w:val="15"/>
              </w:rPr>
              <w:t>epilepsy with ragged red fibers [MERRF])</w:t>
            </w:r>
          </w:p>
          <w:p>
            <w:pPr>
              <w:pStyle w:val="TableParagraph"/>
              <w:spacing w:line="232" w:lineRule="auto" w:before="2"/>
              <w:ind w:left="138" w:right="1911"/>
              <w:rPr>
                <w:sz w:val="15"/>
              </w:rPr>
            </w:pPr>
            <w:r>
              <w:rPr>
                <w:color w:val="231F20"/>
                <w:spacing w:val="-2"/>
                <w:sz w:val="15"/>
              </w:rPr>
              <w:t>Ataxia-telangiectasia </w:t>
            </w:r>
            <w:r>
              <w:rPr>
                <w:color w:val="231F20"/>
                <w:sz w:val="15"/>
              </w:rPr>
              <w:t>Huntington</w:t>
            </w:r>
            <w:r>
              <w:rPr>
                <w:color w:val="231F20"/>
                <w:spacing w:val="-12"/>
                <w:sz w:val="15"/>
              </w:rPr>
              <w:t> </w:t>
            </w:r>
            <w:r>
              <w:rPr>
                <w:color w:val="231F20"/>
                <w:sz w:val="15"/>
              </w:rPr>
              <w:t>disease</w:t>
            </w:r>
            <w:r>
              <w:rPr>
                <w:color w:val="231F20"/>
                <w:spacing w:val="-11"/>
                <w:sz w:val="15"/>
              </w:rPr>
              <w:t> </w:t>
            </w:r>
            <w:r>
              <w:rPr>
                <w:color w:val="231F20"/>
                <w:sz w:val="15"/>
              </w:rPr>
              <w:t>(chorea)</w:t>
            </w:r>
          </w:p>
          <w:p>
            <w:pPr>
              <w:pStyle w:val="TableParagraph"/>
              <w:spacing w:line="230" w:lineRule="auto" w:before="2"/>
              <w:ind w:left="250" w:hanging="112"/>
              <w:rPr>
                <w:sz w:val="15"/>
              </w:rPr>
            </w:pPr>
            <w:r>
              <w:rPr>
                <w:color w:val="231F20"/>
                <w:sz w:val="15"/>
              </w:rPr>
              <w:t>Neurodegeneration</w:t>
            </w:r>
            <w:r>
              <w:rPr>
                <w:color w:val="231F20"/>
                <w:spacing w:val="-12"/>
                <w:sz w:val="15"/>
              </w:rPr>
              <w:t> </w:t>
            </w:r>
            <w:r>
              <w:rPr>
                <w:color w:val="231F20"/>
                <w:sz w:val="15"/>
              </w:rPr>
              <w:t>with</w:t>
            </w:r>
            <w:r>
              <w:rPr>
                <w:color w:val="231F20"/>
                <w:spacing w:val="-11"/>
                <w:sz w:val="15"/>
              </w:rPr>
              <w:t> </w:t>
            </w:r>
            <w:r>
              <w:rPr>
                <w:color w:val="231F20"/>
                <w:sz w:val="15"/>
              </w:rPr>
              <w:t>brain</w:t>
            </w:r>
            <w:r>
              <w:rPr>
                <w:color w:val="231F20"/>
                <w:spacing w:val="-11"/>
                <w:sz w:val="15"/>
              </w:rPr>
              <w:t> </w:t>
            </w:r>
            <w:r>
              <w:rPr>
                <w:color w:val="231F20"/>
                <w:sz w:val="15"/>
              </w:rPr>
              <w:t>iron</w:t>
            </w:r>
            <w:r>
              <w:rPr>
                <w:color w:val="231F20"/>
                <w:spacing w:val="-12"/>
                <w:sz w:val="15"/>
              </w:rPr>
              <w:t> </w:t>
            </w:r>
            <w:r>
              <w:rPr>
                <w:color w:val="231F20"/>
                <w:sz w:val="15"/>
              </w:rPr>
              <w:t>accumulation </w:t>
            </w:r>
            <w:r>
              <w:rPr>
                <w:color w:val="231F20"/>
                <w:spacing w:val="-2"/>
                <w:sz w:val="15"/>
              </w:rPr>
              <w:t>syndrome</w:t>
            </w:r>
          </w:p>
          <w:p>
            <w:pPr>
              <w:pStyle w:val="TableParagraph"/>
              <w:spacing w:line="232" w:lineRule="auto" w:before="2"/>
              <w:ind w:left="138" w:right="1377"/>
              <w:rPr>
                <w:sz w:val="15"/>
              </w:rPr>
            </w:pPr>
            <w:r>
              <w:rPr>
                <w:color w:val="231F20"/>
                <w:spacing w:val="-2"/>
                <w:sz w:val="15"/>
              </w:rPr>
              <w:t>Metachromatic </w:t>
            </w:r>
            <w:r>
              <w:rPr>
                <w:color w:val="231F20"/>
                <w:spacing w:val="-2"/>
                <w:sz w:val="15"/>
              </w:rPr>
              <w:t>leukodystrophy Adrenoleukodystrophy</w:t>
            </w:r>
          </w:p>
        </w:tc>
        <w:tc>
          <w:tcPr>
            <w:tcW w:w="4166" w:type="dxa"/>
            <w:tcBorders>
              <w:top w:val="single" w:sz="4" w:space="0" w:color="FFFFFF"/>
              <w:bottom w:val="single" w:sz="4" w:space="0" w:color="FFFFFF"/>
            </w:tcBorders>
            <w:shd w:val="clear" w:color="auto" w:fill="E8F5F1"/>
          </w:tcPr>
          <w:p>
            <w:pPr>
              <w:pStyle w:val="TableParagraph"/>
              <w:spacing w:line="172" w:lineRule="exact" w:before="42"/>
              <w:ind w:left="138"/>
              <w:jc w:val="both"/>
              <w:rPr>
                <w:sz w:val="15"/>
              </w:rPr>
            </w:pPr>
            <w:r>
              <w:rPr>
                <w:color w:val="231F20"/>
                <w:sz w:val="15"/>
              </w:rPr>
              <w:t>Hepatosplenomegaly,</w:t>
            </w:r>
            <w:r>
              <w:rPr>
                <w:color w:val="231F20"/>
                <w:spacing w:val="6"/>
                <w:sz w:val="15"/>
              </w:rPr>
              <w:t> </w:t>
            </w:r>
            <w:r>
              <w:rPr>
                <w:color w:val="231F20"/>
                <w:sz w:val="15"/>
              </w:rPr>
              <w:t>gait</w:t>
            </w:r>
            <w:r>
              <w:rPr>
                <w:color w:val="231F20"/>
                <w:spacing w:val="7"/>
                <w:sz w:val="15"/>
              </w:rPr>
              <w:t> </w:t>
            </w:r>
            <w:r>
              <w:rPr>
                <w:color w:val="231F20"/>
                <w:spacing w:val="-2"/>
                <w:sz w:val="15"/>
              </w:rPr>
              <w:t>difficulty</w:t>
            </w:r>
          </w:p>
          <w:p>
            <w:pPr>
              <w:pStyle w:val="TableParagraph"/>
              <w:spacing w:line="230" w:lineRule="auto" w:before="3"/>
              <w:ind w:left="250" w:right="573" w:hanging="112"/>
              <w:jc w:val="both"/>
              <w:rPr>
                <w:sz w:val="15"/>
              </w:rPr>
            </w:pPr>
            <w:r>
              <w:rPr>
                <w:color w:val="231F20"/>
                <w:spacing w:val="-2"/>
                <w:sz w:val="15"/>
              </w:rPr>
              <w:t>Liver</w:t>
            </w:r>
            <w:r>
              <w:rPr>
                <w:color w:val="231F20"/>
                <w:spacing w:val="-6"/>
                <w:sz w:val="15"/>
              </w:rPr>
              <w:t> </w:t>
            </w:r>
            <w:r>
              <w:rPr>
                <w:color w:val="231F20"/>
                <w:spacing w:val="-2"/>
                <w:sz w:val="15"/>
              </w:rPr>
              <w:t>disease,</w:t>
            </w:r>
            <w:r>
              <w:rPr>
                <w:color w:val="231F20"/>
                <w:spacing w:val="-6"/>
                <w:sz w:val="15"/>
              </w:rPr>
              <w:t> </w:t>
            </w:r>
            <w:r>
              <w:rPr>
                <w:color w:val="231F20"/>
                <w:spacing w:val="-2"/>
                <w:sz w:val="15"/>
              </w:rPr>
              <w:t>Kayser-Fleischer</w:t>
            </w:r>
            <w:r>
              <w:rPr>
                <w:color w:val="231F20"/>
                <w:spacing w:val="-6"/>
                <w:sz w:val="15"/>
              </w:rPr>
              <w:t> </w:t>
            </w:r>
            <w:r>
              <w:rPr>
                <w:color w:val="231F20"/>
                <w:spacing w:val="-2"/>
                <w:sz w:val="15"/>
              </w:rPr>
              <w:t>ring;</w:t>
            </w:r>
            <w:r>
              <w:rPr>
                <w:color w:val="231F20"/>
                <w:spacing w:val="-6"/>
                <w:sz w:val="15"/>
              </w:rPr>
              <w:t> </w:t>
            </w:r>
            <w:r>
              <w:rPr>
                <w:color w:val="231F20"/>
                <w:spacing w:val="-2"/>
                <w:sz w:val="15"/>
              </w:rPr>
              <w:t>deterioration</w:t>
            </w:r>
            <w:r>
              <w:rPr>
                <w:color w:val="231F20"/>
                <w:spacing w:val="-6"/>
                <w:sz w:val="15"/>
              </w:rPr>
              <w:t> </w:t>
            </w:r>
            <w:r>
              <w:rPr>
                <w:color w:val="231F20"/>
                <w:spacing w:val="-2"/>
                <w:sz w:val="15"/>
              </w:rPr>
              <w:t>of </w:t>
            </w:r>
            <w:r>
              <w:rPr>
                <w:color w:val="231F20"/>
                <w:sz w:val="15"/>
              </w:rPr>
              <w:t>cognition is late</w:t>
            </w:r>
          </w:p>
          <w:p>
            <w:pPr>
              <w:pStyle w:val="TableParagraph"/>
              <w:spacing w:line="232" w:lineRule="auto" w:before="2"/>
              <w:ind w:left="138" w:right="2685"/>
              <w:jc w:val="both"/>
              <w:rPr>
                <w:sz w:val="15"/>
              </w:rPr>
            </w:pPr>
            <w:r>
              <w:rPr>
                <w:color w:val="231F20"/>
                <w:sz w:val="15"/>
              </w:rPr>
              <w:t>Gray</w:t>
            </w:r>
            <w:r>
              <w:rPr>
                <w:color w:val="231F20"/>
                <w:spacing w:val="-12"/>
                <w:sz w:val="15"/>
              </w:rPr>
              <w:t> </w:t>
            </w:r>
            <w:r>
              <w:rPr>
                <w:color w:val="231F20"/>
                <w:sz w:val="15"/>
              </w:rPr>
              <w:t>matter</w:t>
            </w:r>
            <w:r>
              <w:rPr>
                <w:color w:val="231F20"/>
                <w:spacing w:val="-11"/>
                <w:sz w:val="15"/>
              </w:rPr>
              <w:t> </w:t>
            </w:r>
            <w:r>
              <w:rPr>
                <w:color w:val="231F20"/>
                <w:sz w:val="15"/>
              </w:rPr>
              <w:t>disease Gray</w:t>
            </w:r>
            <w:r>
              <w:rPr>
                <w:color w:val="231F20"/>
                <w:spacing w:val="-12"/>
                <w:sz w:val="15"/>
              </w:rPr>
              <w:t> </w:t>
            </w:r>
            <w:r>
              <w:rPr>
                <w:color w:val="231F20"/>
                <w:sz w:val="15"/>
              </w:rPr>
              <w:t>matter</w:t>
            </w:r>
            <w:r>
              <w:rPr>
                <w:color w:val="231F20"/>
                <w:spacing w:val="-11"/>
                <w:sz w:val="15"/>
              </w:rPr>
              <w:t> </w:t>
            </w:r>
            <w:r>
              <w:rPr>
                <w:color w:val="231F20"/>
                <w:sz w:val="15"/>
              </w:rPr>
              <w:t>disease </w:t>
            </w:r>
            <w:r>
              <w:rPr>
                <w:color w:val="231F20"/>
                <w:spacing w:val="-2"/>
                <w:sz w:val="15"/>
              </w:rPr>
              <w:t>Gray</w:t>
            </w:r>
            <w:r>
              <w:rPr>
                <w:color w:val="231F20"/>
                <w:spacing w:val="-5"/>
                <w:sz w:val="15"/>
              </w:rPr>
              <w:t> </w:t>
            </w:r>
            <w:r>
              <w:rPr>
                <w:color w:val="231F20"/>
                <w:spacing w:val="-2"/>
                <w:sz w:val="15"/>
              </w:rPr>
              <w:t>matter</w:t>
            </w:r>
            <w:r>
              <w:rPr>
                <w:color w:val="231F20"/>
                <w:spacing w:val="-4"/>
                <w:sz w:val="15"/>
              </w:rPr>
              <w:t> </w:t>
            </w:r>
            <w:r>
              <w:rPr>
                <w:color w:val="231F20"/>
                <w:spacing w:val="-2"/>
                <w:sz w:val="15"/>
              </w:rPr>
              <w:t>disease</w:t>
            </w:r>
          </w:p>
          <w:p>
            <w:pPr>
              <w:pStyle w:val="TableParagraph"/>
              <w:spacing w:line="232" w:lineRule="auto" w:before="169"/>
              <w:ind w:left="138" w:right="2593"/>
              <w:jc w:val="both"/>
              <w:rPr>
                <w:sz w:val="15"/>
              </w:rPr>
            </w:pPr>
            <w:r>
              <w:rPr>
                <w:color w:val="231F20"/>
                <w:sz w:val="15"/>
              </w:rPr>
              <w:t>Basal</w:t>
            </w:r>
            <w:r>
              <w:rPr>
                <w:color w:val="231F20"/>
                <w:spacing w:val="-6"/>
                <w:sz w:val="15"/>
              </w:rPr>
              <w:t> </w:t>
            </w:r>
            <w:r>
              <w:rPr>
                <w:color w:val="231F20"/>
                <w:sz w:val="15"/>
              </w:rPr>
              <w:t>ganglia</w:t>
            </w:r>
            <w:r>
              <w:rPr>
                <w:color w:val="231F20"/>
                <w:spacing w:val="-6"/>
                <w:sz w:val="15"/>
              </w:rPr>
              <w:t> </w:t>
            </w:r>
            <w:r>
              <w:rPr>
                <w:color w:val="231F20"/>
                <w:sz w:val="15"/>
              </w:rPr>
              <w:t>disease Basal</w:t>
            </w:r>
            <w:r>
              <w:rPr>
                <w:color w:val="231F20"/>
                <w:spacing w:val="-6"/>
                <w:sz w:val="15"/>
              </w:rPr>
              <w:t> </w:t>
            </w:r>
            <w:r>
              <w:rPr>
                <w:color w:val="231F20"/>
                <w:sz w:val="15"/>
              </w:rPr>
              <w:t>ganglia</w:t>
            </w:r>
            <w:r>
              <w:rPr>
                <w:color w:val="231F20"/>
                <w:spacing w:val="-6"/>
                <w:sz w:val="15"/>
              </w:rPr>
              <w:t> </w:t>
            </w:r>
            <w:r>
              <w:rPr>
                <w:color w:val="231F20"/>
                <w:sz w:val="15"/>
              </w:rPr>
              <w:t>disease Basal</w:t>
            </w:r>
            <w:r>
              <w:rPr>
                <w:color w:val="231F20"/>
                <w:spacing w:val="8"/>
                <w:sz w:val="15"/>
              </w:rPr>
              <w:t> </w:t>
            </w:r>
            <w:r>
              <w:rPr>
                <w:color w:val="231F20"/>
                <w:sz w:val="15"/>
              </w:rPr>
              <w:t>ganglia</w:t>
            </w:r>
            <w:r>
              <w:rPr>
                <w:color w:val="231F20"/>
                <w:spacing w:val="8"/>
                <w:sz w:val="15"/>
              </w:rPr>
              <w:t> </w:t>
            </w:r>
            <w:r>
              <w:rPr>
                <w:color w:val="231F20"/>
                <w:spacing w:val="-2"/>
                <w:sz w:val="15"/>
              </w:rPr>
              <w:t>disease</w:t>
            </w:r>
          </w:p>
          <w:p>
            <w:pPr>
              <w:pStyle w:val="TableParagraph"/>
              <w:spacing w:line="172" w:lineRule="exact" w:before="165"/>
              <w:ind w:left="138"/>
              <w:jc w:val="both"/>
              <w:rPr>
                <w:sz w:val="15"/>
              </w:rPr>
            </w:pPr>
            <w:r>
              <w:rPr>
                <w:color w:val="231F20"/>
                <w:spacing w:val="-2"/>
                <w:sz w:val="15"/>
              </w:rPr>
              <w:t>White</w:t>
            </w:r>
            <w:r>
              <w:rPr>
                <w:color w:val="231F20"/>
                <w:spacing w:val="-4"/>
                <w:sz w:val="15"/>
              </w:rPr>
              <w:t> </w:t>
            </w:r>
            <w:r>
              <w:rPr>
                <w:color w:val="231F20"/>
                <w:spacing w:val="-2"/>
                <w:sz w:val="15"/>
              </w:rPr>
              <w:t>matter</w:t>
            </w:r>
            <w:r>
              <w:rPr>
                <w:color w:val="231F20"/>
                <w:spacing w:val="-4"/>
                <w:sz w:val="15"/>
              </w:rPr>
              <w:t> </w:t>
            </w:r>
            <w:r>
              <w:rPr>
                <w:color w:val="231F20"/>
                <w:spacing w:val="-2"/>
                <w:sz w:val="15"/>
              </w:rPr>
              <w:t>disease</w:t>
            </w:r>
          </w:p>
          <w:p>
            <w:pPr>
              <w:pStyle w:val="TableParagraph"/>
              <w:spacing w:line="230" w:lineRule="auto" w:before="4"/>
              <w:ind w:left="250" w:right="35" w:hanging="112"/>
              <w:rPr>
                <w:sz w:val="15"/>
              </w:rPr>
            </w:pPr>
            <w:r>
              <w:rPr>
                <w:color w:val="231F20"/>
                <w:spacing w:val="-2"/>
                <w:sz w:val="15"/>
              </w:rPr>
              <w:t>White matter disease, behavior problems, </w:t>
            </w:r>
            <w:r>
              <w:rPr>
                <w:color w:val="231F20"/>
                <w:spacing w:val="-2"/>
                <w:sz w:val="15"/>
              </w:rPr>
              <w:t>deteriorating </w:t>
            </w:r>
            <w:r>
              <w:rPr>
                <w:color w:val="231F20"/>
                <w:sz w:val="15"/>
              </w:rPr>
              <w:t>school performance, quadriparesis</w:t>
            </w:r>
          </w:p>
        </w:tc>
      </w:tr>
      <w:tr>
        <w:trPr>
          <w:trHeight w:val="1600" w:hRule="atLeast"/>
        </w:trPr>
        <w:tc>
          <w:tcPr>
            <w:tcW w:w="1640"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4"/>
                <w:sz w:val="15"/>
              </w:rPr>
              <w:t>5-</w:t>
            </w:r>
            <w:r>
              <w:rPr>
                <w:color w:val="231F20"/>
                <w:spacing w:val="-5"/>
                <w:sz w:val="15"/>
              </w:rPr>
              <w:t>15</w:t>
            </w:r>
          </w:p>
        </w:tc>
        <w:tc>
          <w:tcPr>
            <w:tcW w:w="3936" w:type="dxa"/>
            <w:tcBorders>
              <w:top w:val="single" w:sz="4" w:space="0" w:color="FFFFFF"/>
              <w:bottom w:val="single" w:sz="8" w:space="0" w:color="231F20"/>
            </w:tcBorders>
            <w:shd w:val="clear" w:color="auto" w:fill="E8F5F1"/>
          </w:tcPr>
          <w:p>
            <w:pPr>
              <w:pStyle w:val="TableParagraph"/>
              <w:spacing w:line="232" w:lineRule="auto" w:before="46"/>
              <w:ind w:left="138" w:right="1911"/>
              <w:rPr>
                <w:sz w:val="15"/>
              </w:rPr>
            </w:pPr>
            <w:r>
              <w:rPr>
                <w:color w:val="231F20"/>
                <w:spacing w:val="-2"/>
                <w:sz w:val="15"/>
              </w:rPr>
              <w:t>Adrenoleukodystrophy </w:t>
            </w:r>
            <w:r>
              <w:rPr>
                <w:color w:val="231F20"/>
                <w:sz w:val="15"/>
              </w:rPr>
              <w:t>Multiple sclerosis</w:t>
            </w:r>
          </w:p>
          <w:p>
            <w:pPr>
              <w:pStyle w:val="TableParagraph"/>
              <w:spacing w:line="230" w:lineRule="auto" w:before="3"/>
              <w:ind w:left="250" w:right="504" w:hanging="112"/>
              <w:rPr>
                <w:sz w:val="15"/>
              </w:rPr>
            </w:pPr>
            <w:r>
              <w:rPr>
                <w:color w:val="231F20"/>
                <w:sz w:val="15"/>
              </w:rPr>
              <w:t>Neuronal</w:t>
            </w:r>
            <w:r>
              <w:rPr>
                <w:color w:val="231F20"/>
                <w:spacing w:val="-12"/>
                <w:sz w:val="15"/>
              </w:rPr>
              <w:t> </w:t>
            </w:r>
            <w:r>
              <w:rPr>
                <w:color w:val="231F20"/>
                <w:sz w:val="15"/>
              </w:rPr>
              <w:t>ceroid</w:t>
            </w:r>
            <w:r>
              <w:rPr>
                <w:color w:val="231F20"/>
                <w:spacing w:val="-11"/>
                <w:sz w:val="15"/>
              </w:rPr>
              <w:t> </w:t>
            </w:r>
            <w:r>
              <w:rPr>
                <w:color w:val="231F20"/>
                <w:sz w:val="15"/>
              </w:rPr>
              <w:t>lipofuscinosis,</w:t>
            </w:r>
            <w:r>
              <w:rPr>
                <w:color w:val="231F20"/>
                <w:spacing w:val="-11"/>
                <w:sz w:val="15"/>
              </w:rPr>
              <w:t> </w:t>
            </w:r>
            <w:r>
              <w:rPr>
                <w:color w:val="231F20"/>
                <w:sz w:val="15"/>
              </w:rPr>
              <w:t>juvenile</w:t>
            </w:r>
            <w:r>
              <w:rPr>
                <w:color w:val="231F20"/>
                <w:spacing w:val="-12"/>
                <w:sz w:val="15"/>
              </w:rPr>
              <w:t> </w:t>
            </w:r>
            <w:r>
              <w:rPr>
                <w:color w:val="231F20"/>
                <w:sz w:val="15"/>
              </w:rPr>
              <w:t>and</w:t>
            </w:r>
            <w:r>
              <w:rPr>
                <w:color w:val="231F20"/>
                <w:spacing w:val="-11"/>
                <w:sz w:val="15"/>
              </w:rPr>
              <w:t> </w:t>
            </w:r>
            <w:r>
              <w:rPr>
                <w:color w:val="231F20"/>
                <w:sz w:val="15"/>
              </w:rPr>
              <w:t>adult (Spielmeyer-Vogt and Kufs disease)</w:t>
            </w:r>
          </w:p>
          <w:p>
            <w:pPr>
              <w:pStyle w:val="TableParagraph"/>
              <w:spacing w:line="232" w:lineRule="auto" w:before="1"/>
              <w:ind w:left="138" w:right="2715"/>
              <w:rPr>
                <w:sz w:val="15"/>
              </w:rPr>
            </w:pPr>
            <w:r>
              <w:rPr>
                <w:color w:val="231F20"/>
                <w:sz w:val="15"/>
              </w:rPr>
              <w:t>Schilder</w:t>
            </w:r>
            <w:r>
              <w:rPr>
                <w:color w:val="231F20"/>
                <w:spacing w:val="-12"/>
                <w:sz w:val="15"/>
              </w:rPr>
              <w:t> </w:t>
            </w:r>
            <w:r>
              <w:rPr>
                <w:color w:val="231F20"/>
                <w:sz w:val="15"/>
              </w:rPr>
              <w:t>disease Refsum</w:t>
            </w:r>
            <w:r>
              <w:rPr>
                <w:color w:val="231F20"/>
                <w:spacing w:val="-4"/>
                <w:sz w:val="15"/>
              </w:rPr>
              <w:t> </w:t>
            </w:r>
            <w:r>
              <w:rPr>
                <w:color w:val="231F20"/>
                <w:spacing w:val="-2"/>
                <w:sz w:val="15"/>
              </w:rPr>
              <w:t>disease</w:t>
            </w:r>
          </w:p>
          <w:p>
            <w:pPr>
              <w:pStyle w:val="TableParagraph"/>
              <w:spacing w:line="169" w:lineRule="exact"/>
              <w:ind w:left="138"/>
              <w:rPr>
                <w:sz w:val="15"/>
              </w:rPr>
            </w:pPr>
            <w:r>
              <w:rPr>
                <w:color w:val="231F20"/>
                <w:spacing w:val="-2"/>
                <w:sz w:val="15"/>
              </w:rPr>
              <w:t>Sialidosis</w:t>
            </w:r>
            <w:r>
              <w:rPr>
                <w:color w:val="231F20"/>
                <w:spacing w:val="-6"/>
                <w:sz w:val="15"/>
              </w:rPr>
              <w:t> </w:t>
            </w:r>
            <w:r>
              <w:rPr>
                <w:color w:val="231F20"/>
                <w:spacing w:val="-2"/>
                <w:sz w:val="15"/>
              </w:rPr>
              <w:t>II,</w:t>
            </w:r>
            <w:r>
              <w:rPr>
                <w:color w:val="231F20"/>
                <w:spacing w:val="-5"/>
                <w:sz w:val="15"/>
              </w:rPr>
              <w:t> </w:t>
            </w:r>
            <w:r>
              <w:rPr>
                <w:color w:val="231F20"/>
                <w:spacing w:val="-2"/>
                <w:sz w:val="15"/>
              </w:rPr>
              <w:t>juvenile</w:t>
            </w:r>
            <w:r>
              <w:rPr>
                <w:color w:val="231F20"/>
                <w:spacing w:val="-5"/>
                <w:sz w:val="15"/>
              </w:rPr>
              <w:t> </w:t>
            </w:r>
            <w:r>
              <w:rPr>
                <w:color w:val="231F20"/>
                <w:spacing w:val="-4"/>
                <w:sz w:val="15"/>
              </w:rPr>
              <w:t>form</w:t>
            </w:r>
          </w:p>
          <w:p>
            <w:pPr>
              <w:pStyle w:val="TableParagraph"/>
              <w:spacing w:line="172" w:lineRule="exact"/>
              <w:ind w:left="138"/>
              <w:rPr>
                <w:sz w:val="15"/>
              </w:rPr>
            </w:pPr>
            <w:r>
              <w:rPr>
                <w:color w:val="231F20"/>
                <w:sz w:val="15"/>
              </w:rPr>
              <w:t>Subacute</w:t>
            </w:r>
            <w:r>
              <w:rPr>
                <w:color w:val="231F20"/>
                <w:spacing w:val="4"/>
                <w:sz w:val="15"/>
              </w:rPr>
              <w:t> </w:t>
            </w:r>
            <w:r>
              <w:rPr>
                <w:color w:val="231F20"/>
                <w:sz w:val="15"/>
              </w:rPr>
              <w:t>sclerosing</w:t>
            </w:r>
            <w:r>
              <w:rPr>
                <w:color w:val="231F20"/>
                <w:spacing w:val="4"/>
                <w:sz w:val="15"/>
              </w:rPr>
              <w:t> </w:t>
            </w:r>
            <w:r>
              <w:rPr>
                <w:color w:val="231F20"/>
                <w:spacing w:val="-2"/>
                <w:sz w:val="15"/>
              </w:rPr>
              <w:t>panencephalitis</w:t>
            </w:r>
          </w:p>
        </w:tc>
        <w:tc>
          <w:tcPr>
            <w:tcW w:w="4166" w:type="dxa"/>
            <w:tcBorders>
              <w:top w:val="single" w:sz="4" w:space="0" w:color="FFFFFF"/>
              <w:bottom w:val="single" w:sz="8" w:space="0" w:color="231F20"/>
            </w:tcBorders>
            <w:shd w:val="clear" w:color="auto" w:fill="E8F5F1"/>
          </w:tcPr>
          <w:p>
            <w:pPr>
              <w:pStyle w:val="TableParagraph"/>
              <w:spacing w:line="232" w:lineRule="auto" w:before="46"/>
              <w:ind w:left="138" w:right="771"/>
              <w:rPr>
                <w:sz w:val="15"/>
              </w:rPr>
            </w:pPr>
            <w:r>
              <w:rPr>
                <w:color w:val="231F20"/>
                <w:sz w:val="15"/>
              </w:rPr>
              <w:t>Same</w:t>
            </w:r>
            <w:r>
              <w:rPr>
                <w:color w:val="231F20"/>
                <w:spacing w:val="-6"/>
                <w:sz w:val="15"/>
              </w:rPr>
              <w:t> </w:t>
            </w:r>
            <w:r>
              <w:rPr>
                <w:color w:val="231F20"/>
                <w:sz w:val="15"/>
              </w:rPr>
              <w:t>as</w:t>
            </w:r>
            <w:r>
              <w:rPr>
                <w:color w:val="231F20"/>
                <w:spacing w:val="-6"/>
                <w:sz w:val="15"/>
              </w:rPr>
              <w:t> </w:t>
            </w:r>
            <w:r>
              <w:rPr>
                <w:color w:val="231F20"/>
                <w:sz w:val="15"/>
              </w:rPr>
              <w:t>for</w:t>
            </w:r>
            <w:r>
              <w:rPr>
                <w:color w:val="231F20"/>
                <w:spacing w:val="-6"/>
                <w:sz w:val="15"/>
              </w:rPr>
              <w:t> </w:t>
            </w:r>
            <w:r>
              <w:rPr>
                <w:color w:val="231F20"/>
                <w:sz w:val="15"/>
              </w:rPr>
              <w:t>adrenoleukodystrophy</w:t>
            </w:r>
            <w:r>
              <w:rPr>
                <w:color w:val="231F20"/>
                <w:spacing w:val="-6"/>
                <w:sz w:val="15"/>
              </w:rPr>
              <w:t> </w:t>
            </w:r>
            <w:r>
              <w:rPr>
                <w:color w:val="231F20"/>
                <w:sz w:val="15"/>
              </w:rPr>
              <w:t>in</w:t>
            </w:r>
            <w:r>
              <w:rPr>
                <w:color w:val="231F20"/>
                <w:spacing w:val="-6"/>
                <w:sz w:val="15"/>
              </w:rPr>
              <w:t> </w:t>
            </w:r>
            <w:r>
              <w:rPr>
                <w:color w:val="231F20"/>
                <w:sz w:val="15"/>
              </w:rPr>
              <w:t>2-5</w:t>
            </w:r>
            <w:r>
              <w:rPr>
                <w:color w:val="231F20"/>
                <w:spacing w:val="-6"/>
                <w:sz w:val="15"/>
              </w:rPr>
              <w:t> </w:t>
            </w:r>
            <w:r>
              <w:rPr>
                <w:color w:val="231F20"/>
                <w:sz w:val="15"/>
              </w:rPr>
              <w:t>yr</w:t>
            </w:r>
            <w:r>
              <w:rPr>
                <w:color w:val="231F20"/>
                <w:spacing w:val="-6"/>
                <w:sz w:val="15"/>
              </w:rPr>
              <w:t> </w:t>
            </w:r>
            <w:r>
              <w:rPr>
                <w:color w:val="231F20"/>
                <w:sz w:val="15"/>
              </w:rPr>
              <w:t>olds White matter disease</w:t>
            </w:r>
          </w:p>
          <w:p>
            <w:pPr>
              <w:pStyle w:val="TableParagraph"/>
              <w:spacing w:line="171" w:lineRule="exact"/>
              <w:ind w:left="138"/>
              <w:rPr>
                <w:sz w:val="15"/>
              </w:rPr>
            </w:pPr>
            <w:r>
              <w:rPr>
                <w:color w:val="231F20"/>
                <w:spacing w:val="-2"/>
                <w:sz w:val="15"/>
              </w:rPr>
              <w:t>Gray</w:t>
            </w:r>
            <w:r>
              <w:rPr>
                <w:color w:val="231F20"/>
                <w:spacing w:val="-5"/>
                <w:sz w:val="15"/>
              </w:rPr>
              <w:t> </w:t>
            </w:r>
            <w:r>
              <w:rPr>
                <w:color w:val="231F20"/>
                <w:spacing w:val="-2"/>
                <w:sz w:val="15"/>
              </w:rPr>
              <w:t>matter</w:t>
            </w:r>
            <w:r>
              <w:rPr>
                <w:color w:val="231F20"/>
                <w:spacing w:val="-4"/>
                <w:sz w:val="15"/>
              </w:rPr>
              <w:t> </w:t>
            </w:r>
            <w:r>
              <w:rPr>
                <w:color w:val="231F20"/>
                <w:spacing w:val="-2"/>
                <w:sz w:val="15"/>
              </w:rPr>
              <w:t>disease</w:t>
            </w:r>
          </w:p>
          <w:p>
            <w:pPr>
              <w:pStyle w:val="TableParagraph"/>
              <w:spacing w:line="232" w:lineRule="auto" w:before="168"/>
              <w:ind w:left="138" w:right="579"/>
              <w:rPr>
                <w:sz w:val="15"/>
              </w:rPr>
            </w:pPr>
            <w:r>
              <w:rPr>
                <w:color w:val="231F20"/>
                <w:sz w:val="15"/>
              </w:rPr>
              <w:t>White matter disease, focal neurologic symptoms Peripheral</w:t>
            </w:r>
            <w:r>
              <w:rPr>
                <w:color w:val="231F20"/>
                <w:spacing w:val="-12"/>
                <w:sz w:val="15"/>
              </w:rPr>
              <w:t> </w:t>
            </w:r>
            <w:r>
              <w:rPr>
                <w:color w:val="231F20"/>
                <w:sz w:val="15"/>
              </w:rPr>
              <w:t>neuropathy,</w:t>
            </w:r>
            <w:r>
              <w:rPr>
                <w:color w:val="231F20"/>
                <w:spacing w:val="-11"/>
                <w:sz w:val="15"/>
              </w:rPr>
              <w:t> </w:t>
            </w:r>
            <w:r>
              <w:rPr>
                <w:color w:val="231F20"/>
                <w:sz w:val="15"/>
              </w:rPr>
              <w:t>ataxia,</w:t>
            </w:r>
            <w:r>
              <w:rPr>
                <w:color w:val="231F20"/>
                <w:spacing w:val="-11"/>
                <w:sz w:val="15"/>
              </w:rPr>
              <w:t> </w:t>
            </w:r>
            <w:r>
              <w:rPr>
                <w:color w:val="231F20"/>
                <w:sz w:val="15"/>
              </w:rPr>
              <w:t>retinitis</w:t>
            </w:r>
            <w:r>
              <w:rPr>
                <w:color w:val="231F20"/>
                <w:spacing w:val="-12"/>
                <w:sz w:val="15"/>
              </w:rPr>
              <w:t> </w:t>
            </w:r>
            <w:r>
              <w:rPr>
                <w:color w:val="231F20"/>
                <w:sz w:val="15"/>
              </w:rPr>
              <w:t>pigmentosa </w:t>
            </w:r>
            <w:r>
              <w:rPr>
                <w:color w:val="231F20"/>
                <w:spacing w:val="-2"/>
                <w:sz w:val="15"/>
              </w:rPr>
              <w:t>Cherry-red</w:t>
            </w:r>
            <w:r>
              <w:rPr>
                <w:color w:val="231F20"/>
                <w:spacing w:val="-4"/>
                <w:sz w:val="15"/>
              </w:rPr>
              <w:t> </w:t>
            </w:r>
            <w:r>
              <w:rPr>
                <w:color w:val="231F20"/>
                <w:spacing w:val="-2"/>
                <w:sz w:val="15"/>
              </w:rPr>
              <w:t>macula,</w:t>
            </w:r>
            <w:r>
              <w:rPr>
                <w:color w:val="231F20"/>
                <w:spacing w:val="-4"/>
                <w:sz w:val="15"/>
              </w:rPr>
              <w:t> </w:t>
            </w:r>
            <w:r>
              <w:rPr>
                <w:color w:val="231F20"/>
                <w:spacing w:val="-2"/>
                <w:sz w:val="15"/>
              </w:rPr>
              <w:t>myoclonus,</w:t>
            </w:r>
            <w:r>
              <w:rPr>
                <w:color w:val="231F20"/>
                <w:spacing w:val="-3"/>
                <w:sz w:val="15"/>
              </w:rPr>
              <w:t> </w:t>
            </w:r>
            <w:r>
              <w:rPr>
                <w:color w:val="231F20"/>
                <w:spacing w:val="-2"/>
                <w:sz w:val="15"/>
              </w:rPr>
              <w:t>ataxia,</w:t>
            </w:r>
            <w:r>
              <w:rPr>
                <w:color w:val="231F20"/>
                <w:spacing w:val="-4"/>
                <w:sz w:val="15"/>
              </w:rPr>
              <w:t> </w:t>
            </w:r>
            <w:r>
              <w:rPr>
                <w:color w:val="231F20"/>
                <w:spacing w:val="-2"/>
                <w:sz w:val="15"/>
              </w:rPr>
              <w:t>coarse</w:t>
            </w:r>
            <w:r>
              <w:rPr>
                <w:color w:val="231F20"/>
                <w:spacing w:val="-4"/>
                <w:sz w:val="15"/>
              </w:rPr>
              <w:t> </w:t>
            </w:r>
            <w:r>
              <w:rPr>
                <w:color w:val="231F20"/>
                <w:spacing w:val="-2"/>
                <w:sz w:val="15"/>
              </w:rPr>
              <w:t>facies</w:t>
            </w:r>
          </w:p>
          <w:p>
            <w:pPr>
              <w:pStyle w:val="TableParagraph"/>
              <w:spacing w:line="230" w:lineRule="auto" w:before="3"/>
              <w:ind w:left="250" w:right="35" w:hanging="112"/>
              <w:rPr>
                <w:sz w:val="15"/>
              </w:rPr>
            </w:pPr>
            <w:r>
              <w:rPr>
                <w:color w:val="231F20"/>
                <w:spacing w:val="-2"/>
                <w:sz w:val="15"/>
              </w:rPr>
              <w:t>Diffuse encephalopathy, myoclonus; may occur years </w:t>
            </w:r>
            <w:r>
              <w:rPr>
                <w:color w:val="231F20"/>
                <w:spacing w:val="-2"/>
                <w:sz w:val="15"/>
              </w:rPr>
              <w:t>after measles</w:t>
            </w:r>
          </w:p>
        </w:tc>
      </w:tr>
    </w:tbl>
    <w:p>
      <w:pPr>
        <w:pStyle w:val="BodyText"/>
        <w:spacing w:before="3" w:after="1"/>
        <w:rPr>
          <w:sz w:val="15"/>
        </w:rPr>
      </w:pPr>
    </w:p>
    <w:tbl>
      <w:tblPr>
        <w:tblW w:w="0" w:type="auto"/>
        <w:jc w:val="left"/>
        <w:tblInd w:w="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80"/>
        <w:gridCol w:w="1678"/>
        <w:gridCol w:w="1586"/>
        <w:gridCol w:w="1680"/>
        <w:gridCol w:w="1590"/>
        <w:gridCol w:w="1882"/>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5</w:t>
            </w:r>
          </w:p>
        </w:tc>
        <w:tc>
          <w:tcPr>
            <w:tcW w:w="8596" w:type="dxa"/>
            <w:gridSpan w:val="6"/>
            <w:tcBorders>
              <w:left w:val="single" w:sz="8" w:space="0" w:color="FFFFFF"/>
            </w:tcBorders>
            <w:shd w:val="clear" w:color="auto" w:fill="231F20"/>
          </w:tcPr>
          <w:p>
            <w:pPr>
              <w:pStyle w:val="TableParagraph"/>
              <w:spacing w:before="89"/>
              <w:ind w:left="73" w:right="485"/>
              <w:rPr>
                <w:sz w:val="16"/>
              </w:rPr>
            </w:pPr>
            <w:r>
              <w:rPr>
                <w:color w:val="FFFFFF"/>
                <w:w w:val="105"/>
                <w:sz w:val="16"/>
              </w:rPr>
              <w:t>MRI Characteristics for Dissemination in Space That Increase the Likelihood of a Pediatric Multiple Sclerosis Diagnosis</w:t>
            </w:r>
          </w:p>
        </w:tc>
      </w:tr>
      <w:tr>
        <w:trPr>
          <w:trHeight w:val="593" w:hRule="atLeast"/>
        </w:trPr>
        <w:tc>
          <w:tcPr>
            <w:tcW w:w="1328" w:type="dxa"/>
            <w:gridSpan w:val="2"/>
            <w:tcBorders>
              <w:bottom w:val="single" w:sz="4" w:space="0" w:color="231F20"/>
            </w:tcBorders>
            <w:shd w:val="clear" w:color="auto" w:fill="E8F5F1"/>
          </w:tcPr>
          <w:p>
            <w:pPr>
              <w:pStyle w:val="TableParagraph"/>
              <w:rPr>
                <w:sz w:val="15"/>
              </w:rPr>
            </w:pPr>
          </w:p>
          <w:p>
            <w:pPr>
              <w:pStyle w:val="TableParagraph"/>
              <w:spacing w:before="34"/>
              <w:rPr>
                <w:sz w:val="15"/>
              </w:rPr>
            </w:pPr>
          </w:p>
          <w:p>
            <w:pPr>
              <w:pStyle w:val="TableParagraph"/>
              <w:ind w:left="74"/>
              <w:rPr>
                <w:b/>
                <w:sz w:val="15"/>
              </w:rPr>
            </w:pPr>
            <w:r>
              <w:rPr>
                <w:b/>
                <w:color w:val="231F20"/>
                <w:spacing w:val="-2"/>
                <w:w w:val="110"/>
                <w:sz w:val="15"/>
              </w:rPr>
              <w:t>BARKHOF</w:t>
            </w:r>
            <w:r>
              <w:rPr>
                <w:b/>
                <w:color w:val="0080AC"/>
                <w:spacing w:val="-2"/>
                <w:w w:val="110"/>
                <w:sz w:val="15"/>
              </w:rPr>
              <w:t>*</w:t>
            </w:r>
          </w:p>
        </w:tc>
        <w:tc>
          <w:tcPr>
            <w:tcW w:w="1678" w:type="dxa"/>
            <w:tcBorders>
              <w:bottom w:val="single" w:sz="4" w:space="0" w:color="231F20"/>
            </w:tcBorders>
            <w:shd w:val="clear" w:color="auto" w:fill="E8F5F1"/>
          </w:tcPr>
          <w:p>
            <w:pPr>
              <w:pStyle w:val="TableParagraph"/>
              <w:spacing w:before="46"/>
              <w:rPr>
                <w:sz w:val="15"/>
              </w:rPr>
            </w:pPr>
          </w:p>
          <w:p>
            <w:pPr>
              <w:pStyle w:val="TableParagraph"/>
              <w:spacing w:line="230" w:lineRule="auto"/>
              <w:ind w:left="465" w:hanging="65"/>
              <w:rPr>
                <w:b/>
                <w:sz w:val="15"/>
              </w:rPr>
            </w:pPr>
            <w:r>
              <w:rPr>
                <w:b/>
                <w:color w:val="231F20"/>
                <w:spacing w:val="-2"/>
                <w:w w:val="110"/>
                <w:sz w:val="15"/>
              </w:rPr>
              <w:t>MIKAELOFF (KIDMUS)</w:t>
            </w:r>
            <w:r>
              <w:rPr>
                <w:b/>
                <w:color w:val="0080AC"/>
                <w:spacing w:val="-2"/>
                <w:w w:val="110"/>
                <w:sz w:val="15"/>
                <w:vertAlign w:val="superscript"/>
              </w:rPr>
              <w:t>†</w:t>
            </w:r>
          </w:p>
        </w:tc>
        <w:tc>
          <w:tcPr>
            <w:tcW w:w="1586" w:type="dxa"/>
            <w:tcBorders>
              <w:bottom w:val="single" w:sz="4" w:space="0" w:color="231F20"/>
            </w:tcBorders>
            <w:shd w:val="clear" w:color="auto" w:fill="E8F5F1"/>
          </w:tcPr>
          <w:p>
            <w:pPr>
              <w:pStyle w:val="TableParagraph"/>
              <w:spacing w:before="46"/>
              <w:rPr>
                <w:sz w:val="15"/>
              </w:rPr>
            </w:pPr>
          </w:p>
          <w:p>
            <w:pPr>
              <w:pStyle w:val="TableParagraph"/>
              <w:spacing w:line="230" w:lineRule="auto"/>
              <w:ind w:left="514" w:hanging="301"/>
              <w:rPr>
                <w:b/>
                <w:sz w:val="15"/>
              </w:rPr>
            </w:pPr>
            <w:r>
              <w:rPr>
                <w:b/>
                <w:color w:val="231F20"/>
                <w:w w:val="110"/>
                <w:sz w:val="15"/>
              </w:rPr>
              <w:t>CALLEN</w:t>
            </w:r>
            <w:r>
              <w:rPr>
                <w:b/>
                <w:color w:val="231F20"/>
                <w:spacing w:val="-13"/>
                <w:w w:val="110"/>
                <w:sz w:val="15"/>
              </w:rPr>
              <w:t> </w:t>
            </w:r>
            <w:r>
              <w:rPr>
                <w:b/>
                <w:color w:val="231F20"/>
                <w:w w:val="110"/>
                <w:sz w:val="15"/>
              </w:rPr>
              <w:t>(MS</w:t>
            </w:r>
            <w:r>
              <w:rPr>
                <w:b/>
                <w:color w:val="231F20"/>
                <w:spacing w:val="-12"/>
                <w:w w:val="110"/>
                <w:sz w:val="15"/>
              </w:rPr>
              <w:t> </w:t>
            </w:r>
            <w:r>
              <w:rPr>
                <w:b/>
                <w:color w:val="231F20"/>
                <w:w w:val="110"/>
                <w:sz w:val="15"/>
              </w:rPr>
              <w:t>VS </w:t>
            </w:r>
            <w:r>
              <w:rPr>
                <w:b/>
                <w:color w:val="231F20"/>
                <w:spacing w:val="-2"/>
                <w:w w:val="110"/>
                <w:sz w:val="15"/>
              </w:rPr>
              <w:t>ADEM)</w:t>
            </w:r>
            <w:r>
              <w:rPr>
                <w:b/>
                <w:color w:val="0080AC"/>
                <w:spacing w:val="-2"/>
                <w:w w:val="110"/>
                <w:sz w:val="15"/>
                <w:vertAlign w:val="superscript"/>
              </w:rPr>
              <w:t>‡</w:t>
            </w:r>
          </w:p>
        </w:tc>
        <w:tc>
          <w:tcPr>
            <w:tcW w:w="1680" w:type="dxa"/>
            <w:tcBorders>
              <w:bottom w:val="single" w:sz="4" w:space="0" w:color="231F20"/>
            </w:tcBorders>
            <w:shd w:val="clear" w:color="auto" w:fill="E8F5F1"/>
          </w:tcPr>
          <w:p>
            <w:pPr>
              <w:pStyle w:val="TableParagraph"/>
              <w:spacing w:before="46"/>
              <w:rPr>
                <w:sz w:val="15"/>
              </w:rPr>
            </w:pPr>
          </w:p>
          <w:p>
            <w:pPr>
              <w:pStyle w:val="TableParagraph"/>
              <w:spacing w:line="230" w:lineRule="auto"/>
              <w:ind w:left="150" w:firstLine="392"/>
              <w:rPr>
                <w:b/>
                <w:sz w:val="15"/>
              </w:rPr>
            </w:pPr>
            <w:r>
              <w:rPr>
                <w:b/>
                <w:color w:val="231F20"/>
                <w:spacing w:val="-2"/>
                <w:w w:val="110"/>
                <w:sz w:val="15"/>
              </w:rPr>
              <w:t>CALLEN </w:t>
            </w:r>
            <w:r>
              <w:rPr>
                <w:b/>
                <w:color w:val="231F20"/>
                <w:w w:val="110"/>
                <w:sz w:val="15"/>
              </w:rPr>
              <w:t>(DIAGNOSTIC</w:t>
            </w:r>
            <w:r>
              <w:rPr>
                <w:b/>
                <w:color w:val="231F20"/>
                <w:spacing w:val="-13"/>
                <w:w w:val="110"/>
                <w:sz w:val="15"/>
              </w:rPr>
              <w:t> </w:t>
            </w:r>
            <w:r>
              <w:rPr>
                <w:b/>
                <w:color w:val="231F20"/>
                <w:w w:val="110"/>
                <w:sz w:val="15"/>
              </w:rPr>
              <w:t>MS)</w:t>
            </w:r>
            <w:r>
              <w:rPr>
                <w:b/>
                <w:color w:val="0080AC"/>
                <w:w w:val="110"/>
                <w:sz w:val="15"/>
                <w:vertAlign w:val="superscript"/>
              </w:rPr>
              <w:t>§</w:t>
            </w:r>
          </w:p>
        </w:tc>
        <w:tc>
          <w:tcPr>
            <w:tcW w:w="1590" w:type="dxa"/>
            <w:tcBorders>
              <w:bottom w:val="single" w:sz="4" w:space="0" w:color="231F20"/>
            </w:tcBorders>
            <w:shd w:val="clear" w:color="auto" w:fill="E8F5F1"/>
          </w:tcPr>
          <w:p>
            <w:pPr>
              <w:pStyle w:val="TableParagraph"/>
              <w:spacing w:before="46"/>
              <w:rPr>
                <w:sz w:val="15"/>
              </w:rPr>
            </w:pPr>
          </w:p>
          <w:p>
            <w:pPr>
              <w:pStyle w:val="TableParagraph"/>
              <w:spacing w:line="230" w:lineRule="auto"/>
              <w:ind w:left="234" w:firstLine="303"/>
              <w:rPr>
                <w:b/>
                <w:position w:val="4"/>
                <w:sz w:val="15"/>
              </w:rPr>
            </w:pPr>
            <w:r>
              <w:rPr>
                <w:b/>
                <w:color w:val="231F20"/>
                <w:spacing w:val="-2"/>
                <w:w w:val="105"/>
                <w:sz w:val="15"/>
              </w:rPr>
              <w:t>VERHEY </w:t>
            </w:r>
            <w:r>
              <w:rPr>
                <w:b/>
                <w:color w:val="231F20"/>
                <w:spacing w:val="-2"/>
                <w:w w:val="105"/>
                <w:sz w:val="15"/>
              </w:rPr>
              <w:t>(DIFFERENTIAL)</w:t>
            </w:r>
            <w:r>
              <w:rPr>
                <w:b/>
                <w:color w:val="231F20"/>
                <w:spacing w:val="9"/>
                <w:position w:val="4"/>
                <w:sz w:val="15"/>
              </w:rPr>
              <w:drawing>
                <wp:inline distT="0" distB="0" distL="0" distR="0">
                  <wp:extent cx="19049" cy="53974"/>
                  <wp:effectExtent l="0" t="0" r="0" b="0"/>
                  <wp:docPr id="793" name="Image 793"/>
                  <wp:cNvGraphicFramePr>
                    <a:graphicFrameLocks/>
                  </wp:cNvGraphicFramePr>
                  <a:graphic>
                    <a:graphicData uri="http://schemas.openxmlformats.org/drawingml/2006/picture">
                      <pic:pic>
                        <pic:nvPicPr>
                          <pic:cNvPr id="793" name="Image 793"/>
                          <pic:cNvPicPr/>
                        </pic:nvPicPr>
                        <pic:blipFill>
                          <a:blip r:embed="rId294" cstate="print"/>
                          <a:stretch>
                            <a:fillRect/>
                          </a:stretch>
                        </pic:blipFill>
                        <pic:spPr>
                          <a:xfrm>
                            <a:off x="0" y="0"/>
                            <a:ext cx="19049" cy="53974"/>
                          </a:xfrm>
                          <a:prstGeom prst="rect">
                            <a:avLst/>
                          </a:prstGeom>
                        </pic:spPr>
                      </pic:pic>
                    </a:graphicData>
                  </a:graphic>
                </wp:inline>
              </w:drawing>
            </w:r>
            <w:r>
              <w:rPr>
                <w:b/>
                <w:color w:val="231F20"/>
                <w:spacing w:val="9"/>
                <w:position w:val="4"/>
                <w:sz w:val="15"/>
              </w:rPr>
            </w:r>
          </w:p>
        </w:tc>
        <w:tc>
          <w:tcPr>
            <w:tcW w:w="1882" w:type="dxa"/>
            <w:tcBorders>
              <w:bottom w:val="single" w:sz="4" w:space="0" w:color="231F20"/>
            </w:tcBorders>
            <w:shd w:val="clear" w:color="auto" w:fill="E8F5F1"/>
          </w:tcPr>
          <w:p>
            <w:pPr>
              <w:pStyle w:val="TableParagraph"/>
              <w:spacing w:line="230" w:lineRule="auto" w:before="53"/>
              <w:ind w:left="136" w:right="19"/>
              <w:jc w:val="center"/>
              <w:rPr>
                <w:b/>
                <w:sz w:val="15"/>
              </w:rPr>
            </w:pPr>
            <w:r>
              <w:rPr>
                <w:b/>
                <w:color w:val="231F20"/>
                <w:w w:val="110"/>
                <w:sz w:val="15"/>
              </w:rPr>
              <w:t>POLMAN (2010 REVISED </w:t>
            </w:r>
            <w:r>
              <w:rPr>
                <w:b/>
                <w:color w:val="231F20"/>
                <w:w w:val="110"/>
                <w:sz w:val="15"/>
              </w:rPr>
              <w:t>MCDONALD </w:t>
            </w:r>
            <w:r>
              <w:rPr>
                <w:b/>
                <w:color w:val="231F20"/>
                <w:spacing w:val="-2"/>
                <w:w w:val="110"/>
                <w:sz w:val="15"/>
              </w:rPr>
              <w:t>CRITERIA)</w:t>
            </w:r>
            <w:r>
              <w:rPr>
                <w:b/>
                <w:color w:val="0080AC"/>
                <w:spacing w:val="-2"/>
                <w:w w:val="110"/>
                <w:sz w:val="15"/>
                <w:vertAlign w:val="superscript"/>
              </w:rPr>
              <w:t>¶</w:t>
            </w:r>
          </w:p>
        </w:tc>
      </w:tr>
      <w:tr>
        <w:trPr>
          <w:trHeight w:val="1427" w:hRule="atLeast"/>
        </w:trPr>
        <w:tc>
          <w:tcPr>
            <w:tcW w:w="1328" w:type="dxa"/>
            <w:gridSpan w:val="2"/>
            <w:tcBorders>
              <w:top w:val="single" w:sz="4" w:space="0" w:color="231F20"/>
              <w:bottom w:val="single" w:sz="8" w:space="0" w:color="231F20"/>
            </w:tcBorders>
            <w:shd w:val="clear" w:color="auto" w:fill="E8F5F1"/>
          </w:tcPr>
          <w:p>
            <w:pPr>
              <w:pStyle w:val="TableParagraph"/>
              <w:spacing w:line="170" w:lineRule="exact" w:before="47"/>
              <w:ind w:left="74"/>
              <w:rPr>
                <w:sz w:val="15"/>
              </w:rPr>
            </w:pPr>
            <w:r>
              <w:rPr>
                <w:color w:val="231F20"/>
                <w:sz w:val="15"/>
              </w:rPr>
              <w:t>3</w:t>
            </w:r>
            <w:r>
              <w:rPr>
                <w:color w:val="231F20"/>
                <w:spacing w:val="-2"/>
                <w:sz w:val="15"/>
              </w:rPr>
              <w:t> </w:t>
            </w:r>
            <w:r>
              <w:rPr>
                <w:color w:val="231F20"/>
                <w:sz w:val="15"/>
              </w:rPr>
              <w:t>of</w:t>
            </w:r>
            <w:r>
              <w:rPr>
                <w:color w:val="231F20"/>
                <w:spacing w:val="-2"/>
                <w:sz w:val="15"/>
              </w:rPr>
              <w:t> </w:t>
            </w:r>
            <w:r>
              <w:rPr>
                <w:color w:val="231F20"/>
                <w:spacing w:val="-5"/>
                <w:sz w:val="15"/>
              </w:rPr>
              <w:t>4:</w:t>
            </w:r>
          </w:p>
          <w:p>
            <w:pPr>
              <w:pStyle w:val="TableParagraph"/>
              <w:spacing w:line="230" w:lineRule="auto" w:before="1"/>
              <w:ind w:left="186" w:right="174" w:hanging="112"/>
              <w:rPr>
                <w:sz w:val="15"/>
              </w:rPr>
            </w:pPr>
            <w:r>
              <w:rPr>
                <w:rFonts w:ascii="Cambria" w:hAnsi="Cambria"/>
                <w:color w:val="231F20"/>
                <w:sz w:val="15"/>
              </w:rPr>
              <w:t>≥</w:t>
            </w:r>
            <w:r>
              <w:rPr>
                <w:color w:val="231F20"/>
                <w:sz w:val="15"/>
              </w:rPr>
              <w:t>9</w:t>
            </w:r>
            <w:r>
              <w:rPr>
                <w:color w:val="231F20"/>
                <w:spacing w:val="-12"/>
                <w:sz w:val="15"/>
              </w:rPr>
              <w:t> </w:t>
            </w:r>
            <w:r>
              <w:rPr>
                <w:color w:val="231F20"/>
                <w:sz w:val="15"/>
              </w:rPr>
              <w:t>T2</w:t>
            </w:r>
            <w:r>
              <w:rPr>
                <w:color w:val="231F20"/>
                <w:spacing w:val="-11"/>
                <w:sz w:val="15"/>
              </w:rPr>
              <w:t> </w:t>
            </w:r>
            <w:r>
              <w:rPr>
                <w:color w:val="231F20"/>
                <w:sz w:val="15"/>
              </w:rPr>
              <w:t>lesions</w:t>
            </w:r>
            <w:r>
              <w:rPr>
                <w:color w:val="231F20"/>
                <w:spacing w:val="-11"/>
                <w:sz w:val="15"/>
              </w:rPr>
              <w:t> </w:t>
            </w:r>
            <w:r>
              <w:rPr>
                <w:color w:val="231F20"/>
                <w:sz w:val="15"/>
              </w:rPr>
              <w:t>or 1 gadolinium </w:t>
            </w:r>
            <w:r>
              <w:rPr>
                <w:color w:val="231F20"/>
                <w:spacing w:val="-2"/>
                <w:sz w:val="15"/>
              </w:rPr>
              <w:t>enhancing</w:t>
            </w:r>
          </w:p>
          <w:p>
            <w:pPr>
              <w:pStyle w:val="TableParagraph"/>
              <w:spacing w:line="167" w:lineRule="exact"/>
              <w:ind w:left="74"/>
              <w:rPr>
                <w:sz w:val="15"/>
              </w:rPr>
            </w:pPr>
            <w:r>
              <w:rPr>
                <w:rFonts w:ascii="Cambria" w:hAnsi="Cambria"/>
                <w:color w:val="231F20"/>
                <w:sz w:val="15"/>
              </w:rPr>
              <w:t>≥</w:t>
            </w:r>
            <w:r>
              <w:rPr>
                <w:color w:val="231F20"/>
                <w:sz w:val="15"/>
              </w:rPr>
              <w:t>3</w:t>
            </w:r>
            <w:r>
              <w:rPr>
                <w:color w:val="231F20"/>
                <w:spacing w:val="-3"/>
                <w:sz w:val="15"/>
              </w:rPr>
              <w:t> </w:t>
            </w:r>
            <w:r>
              <w:rPr>
                <w:color w:val="231F20"/>
                <w:spacing w:val="-2"/>
                <w:sz w:val="15"/>
              </w:rPr>
              <w:t>Periventricular</w:t>
            </w:r>
          </w:p>
          <w:p>
            <w:pPr>
              <w:pStyle w:val="TableParagraph"/>
              <w:spacing w:line="168" w:lineRule="exact"/>
              <w:ind w:left="74"/>
              <w:rPr>
                <w:sz w:val="15"/>
              </w:rPr>
            </w:pPr>
            <w:r>
              <w:rPr>
                <w:rFonts w:ascii="Cambria" w:hAnsi="Cambria"/>
                <w:color w:val="231F20"/>
                <w:sz w:val="15"/>
              </w:rPr>
              <w:t>≥</w:t>
            </w:r>
            <w:r>
              <w:rPr>
                <w:color w:val="231F20"/>
                <w:sz w:val="15"/>
              </w:rPr>
              <w:t>1</w:t>
            </w:r>
            <w:r>
              <w:rPr>
                <w:color w:val="231F20"/>
                <w:spacing w:val="-3"/>
                <w:sz w:val="15"/>
              </w:rPr>
              <w:t> </w:t>
            </w:r>
            <w:r>
              <w:rPr>
                <w:color w:val="231F20"/>
                <w:spacing w:val="-2"/>
                <w:sz w:val="15"/>
              </w:rPr>
              <w:t>Infratentorial</w:t>
            </w:r>
          </w:p>
          <w:p>
            <w:pPr>
              <w:pStyle w:val="TableParagraph"/>
              <w:spacing w:line="172" w:lineRule="exact"/>
              <w:ind w:left="74"/>
              <w:rPr>
                <w:sz w:val="15"/>
              </w:rPr>
            </w:pPr>
            <w:r>
              <w:rPr>
                <w:rFonts w:ascii="Cambria" w:hAnsi="Cambria"/>
                <w:color w:val="231F20"/>
                <w:sz w:val="15"/>
              </w:rPr>
              <w:t>≥</w:t>
            </w:r>
            <w:r>
              <w:rPr>
                <w:color w:val="231F20"/>
                <w:sz w:val="15"/>
              </w:rPr>
              <w:t>1</w:t>
            </w:r>
            <w:r>
              <w:rPr>
                <w:color w:val="231F20"/>
                <w:spacing w:val="-3"/>
                <w:sz w:val="15"/>
              </w:rPr>
              <w:t> </w:t>
            </w:r>
            <w:r>
              <w:rPr>
                <w:color w:val="231F20"/>
                <w:spacing w:val="-2"/>
                <w:sz w:val="15"/>
              </w:rPr>
              <w:t>Juxtacortical</w:t>
            </w:r>
          </w:p>
        </w:tc>
        <w:tc>
          <w:tcPr>
            <w:tcW w:w="1678" w:type="dxa"/>
            <w:tcBorders>
              <w:top w:val="single" w:sz="4" w:space="0" w:color="231F20"/>
              <w:bottom w:val="single" w:sz="8" w:space="0" w:color="231F20"/>
            </w:tcBorders>
            <w:shd w:val="clear" w:color="auto" w:fill="E8F5F1"/>
          </w:tcPr>
          <w:p>
            <w:pPr>
              <w:pStyle w:val="TableParagraph"/>
              <w:spacing w:line="171" w:lineRule="exact" w:before="47"/>
              <w:ind w:left="103"/>
              <w:rPr>
                <w:sz w:val="15"/>
              </w:rPr>
            </w:pPr>
            <w:r>
              <w:rPr>
                <w:color w:val="231F20"/>
                <w:sz w:val="15"/>
              </w:rPr>
              <w:t>1</w:t>
            </w:r>
            <w:r>
              <w:rPr>
                <w:color w:val="231F20"/>
                <w:spacing w:val="-2"/>
                <w:sz w:val="15"/>
              </w:rPr>
              <w:t> </w:t>
            </w:r>
            <w:r>
              <w:rPr>
                <w:color w:val="231F20"/>
                <w:sz w:val="15"/>
              </w:rPr>
              <w:t>of</w:t>
            </w:r>
            <w:r>
              <w:rPr>
                <w:color w:val="231F20"/>
                <w:spacing w:val="-2"/>
                <w:sz w:val="15"/>
              </w:rPr>
              <w:t> </w:t>
            </w:r>
            <w:r>
              <w:rPr>
                <w:color w:val="231F20"/>
                <w:spacing w:val="-5"/>
                <w:sz w:val="15"/>
              </w:rPr>
              <w:t>2:</w:t>
            </w:r>
          </w:p>
          <w:p>
            <w:pPr>
              <w:pStyle w:val="TableParagraph"/>
              <w:spacing w:line="230" w:lineRule="auto" w:before="2"/>
              <w:ind w:left="214" w:right="103" w:hanging="112"/>
              <w:rPr>
                <w:sz w:val="15"/>
              </w:rPr>
            </w:pPr>
            <w:r>
              <w:rPr>
                <w:color w:val="231F20"/>
                <w:sz w:val="15"/>
              </w:rPr>
              <w:t>Lesions</w:t>
            </w:r>
            <w:r>
              <w:rPr>
                <w:color w:val="231F20"/>
                <w:spacing w:val="-12"/>
                <w:sz w:val="15"/>
              </w:rPr>
              <w:t> </w:t>
            </w:r>
            <w:r>
              <w:rPr>
                <w:color w:val="231F20"/>
                <w:sz w:val="15"/>
              </w:rPr>
              <w:t>perpendicular to long axis of the corpus callosum</w:t>
            </w:r>
          </w:p>
          <w:p>
            <w:pPr>
              <w:pStyle w:val="TableParagraph"/>
              <w:spacing w:line="168" w:lineRule="exact"/>
              <w:ind w:left="103"/>
              <w:rPr>
                <w:sz w:val="15"/>
              </w:rPr>
            </w:pPr>
            <w:r>
              <w:rPr>
                <w:color w:val="231F20"/>
                <w:sz w:val="15"/>
              </w:rPr>
              <w:t>Sole</w:t>
            </w:r>
            <w:r>
              <w:rPr>
                <w:color w:val="231F20"/>
                <w:spacing w:val="6"/>
                <w:sz w:val="15"/>
              </w:rPr>
              <w:t> </w:t>
            </w:r>
            <w:r>
              <w:rPr>
                <w:color w:val="231F20"/>
                <w:sz w:val="15"/>
              </w:rPr>
              <w:t>presence</w:t>
            </w:r>
            <w:r>
              <w:rPr>
                <w:color w:val="231F20"/>
                <w:spacing w:val="7"/>
                <w:sz w:val="15"/>
              </w:rPr>
              <w:t> </w:t>
            </w:r>
            <w:r>
              <w:rPr>
                <w:color w:val="231F20"/>
                <w:spacing w:val="-5"/>
                <w:sz w:val="15"/>
              </w:rPr>
              <w:t>of</w:t>
            </w:r>
          </w:p>
          <w:p>
            <w:pPr>
              <w:pStyle w:val="TableParagraph"/>
              <w:spacing w:line="171" w:lineRule="exact"/>
              <w:ind w:left="214"/>
              <w:rPr>
                <w:sz w:val="15"/>
              </w:rPr>
            </w:pPr>
            <w:r>
              <w:rPr>
                <w:color w:val="231F20"/>
                <w:spacing w:val="-2"/>
                <w:sz w:val="15"/>
              </w:rPr>
              <w:t>well-defined</w:t>
            </w:r>
            <w:r>
              <w:rPr>
                <w:color w:val="231F20"/>
                <w:spacing w:val="-9"/>
                <w:sz w:val="15"/>
              </w:rPr>
              <w:t> </w:t>
            </w:r>
            <w:r>
              <w:rPr>
                <w:color w:val="231F20"/>
                <w:spacing w:val="-2"/>
                <w:sz w:val="15"/>
              </w:rPr>
              <w:t>lesions</w:t>
            </w:r>
          </w:p>
        </w:tc>
        <w:tc>
          <w:tcPr>
            <w:tcW w:w="1586" w:type="dxa"/>
            <w:tcBorders>
              <w:top w:val="single" w:sz="4" w:space="0" w:color="231F20"/>
              <w:bottom w:val="single" w:sz="8" w:space="0" w:color="231F20"/>
            </w:tcBorders>
            <w:shd w:val="clear" w:color="auto" w:fill="E8F5F1"/>
          </w:tcPr>
          <w:p>
            <w:pPr>
              <w:pStyle w:val="TableParagraph"/>
              <w:spacing w:line="171" w:lineRule="exact" w:before="47"/>
              <w:ind w:left="106"/>
              <w:rPr>
                <w:sz w:val="15"/>
              </w:rPr>
            </w:pPr>
            <w:r>
              <w:rPr>
                <w:color w:val="231F20"/>
                <w:sz w:val="15"/>
              </w:rPr>
              <w:t>2</w:t>
            </w:r>
            <w:r>
              <w:rPr>
                <w:color w:val="231F20"/>
                <w:spacing w:val="-2"/>
                <w:sz w:val="15"/>
              </w:rPr>
              <w:t> </w:t>
            </w:r>
            <w:r>
              <w:rPr>
                <w:color w:val="231F20"/>
                <w:sz w:val="15"/>
              </w:rPr>
              <w:t>of</w:t>
            </w:r>
            <w:r>
              <w:rPr>
                <w:color w:val="231F20"/>
                <w:spacing w:val="-2"/>
                <w:sz w:val="15"/>
              </w:rPr>
              <w:t> </w:t>
            </w:r>
            <w:r>
              <w:rPr>
                <w:color w:val="231F20"/>
                <w:spacing w:val="-5"/>
                <w:sz w:val="15"/>
              </w:rPr>
              <w:t>3:</w:t>
            </w:r>
          </w:p>
          <w:p>
            <w:pPr>
              <w:pStyle w:val="TableParagraph"/>
              <w:spacing w:line="230" w:lineRule="auto" w:before="2"/>
              <w:ind w:left="218" w:hanging="112"/>
              <w:rPr>
                <w:sz w:val="15"/>
              </w:rPr>
            </w:pPr>
            <w:r>
              <w:rPr>
                <w:color w:val="231F20"/>
                <w:sz w:val="15"/>
              </w:rPr>
              <w:t>Absence</w:t>
            </w:r>
            <w:r>
              <w:rPr>
                <w:color w:val="231F20"/>
                <w:spacing w:val="-10"/>
                <w:sz w:val="15"/>
              </w:rPr>
              <w:t> </w:t>
            </w:r>
            <w:r>
              <w:rPr>
                <w:color w:val="231F20"/>
                <w:sz w:val="15"/>
              </w:rPr>
              <w:t>of</w:t>
            </w:r>
            <w:r>
              <w:rPr>
                <w:color w:val="231F20"/>
                <w:spacing w:val="-10"/>
                <w:sz w:val="15"/>
              </w:rPr>
              <w:t> </w:t>
            </w:r>
            <w:r>
              <w:rPr>
                <w:color w:val="231F20"/>
                <w:sz w:val="15"/>
              </w:rPr>
              <w:t>a</w:t>
            </w:r>
            <w:r>
              <w:rPr>
                <w:color w:val="231F20"/>
                <w:spacing w:val="-10"/>
                <w:sz w:val="15"/>
              </w:rPr>
              <w:t> </w:t>
            </w:r>
            <w:r>
              <w:rPr>
                <w:color w:val="231F20"/>
                <w:sz w:val="15"/>
              </w:rPr>
              <w:t>diffuse bilateral lesion </w:t>
            </w:r>
            <w:r>
              <w:rPr>
                <w:color w:val="231F20"/>
                <w:spacing w:val="-2"/>
                <w:sz w:val="15"/>
              </w:rPr>
              <w:t>pattern</w:t>
            </w:r>
          </w:p>
          <w:p>
            <w:pPr>
              <w:pStyle w:val="TableParagraph"/>
              <w:spacing w:line="230" w:lineRule="auto" w:before="2"/>
              <w:ind w:left="218" w:right="295" w:hanging="112"/>
              <w:rPr>
                <w:sz w:val="15"/>
              </w:rPr>
            </w:pPr>
            <w:r>
              <w:rPr>
                <w:color w:val="231F20"/>
                <w:sz w:val="15"/>
              </w:rPr>
              <w:t>Presence</w:t>
            </w:r>
            <w:r>
              <w:rPr>
                <w:color w:val="231F20"/>
                <w:spacing w:val="-12"/>
                <w:sz w:val="15"/>
              </w:rPr>
              <w:t> </w:t>
            </w:r>
            <w:r>
              <w:rPr>
                <w:color w:val="231F20"/>
                <w:sz w:val="15"/>
              </w:rPr>
              <w:t>of</w:t>
            </w:r>
            <w:r>
              <w:rPr>
                <w:color w:val="231F20"/>
                <w:spacing w:val="-11"/>
                <w:sz w:val="15"/>
              </w:rPr>
              <w:t> </w:t>
            </w:r>
            <w:r>
              <w:rPr>
                <w:color w:val="231F20"/>
                <w:sz w:val="15"/>
              </w:rPr>
              <w:t>black </w:t>
            </w:r>
            <w:r>
              <w:rPr>
                <w:color w:val="231F20"/>
                <w:spacing w:val="-2"/>
                <w:sz w:val="15"/>
              </w:rPr>
              <w:t>holes</w:t>
            </w:r>
          </w:p>
          <w:p>
            <w:pPr>
              <w:pStyle w:val="TableParagraph"/>
              <w:spacing w:line="230" w:lineRule="auto"/>
              <w:ind w:left="218" w:right="327" w:hanging="112"/>
              <w:rPr>
                <w:sz w:val="15"/>
              </w:rPr>
            </w:pPr>
            <w:r>
              <w:rPr>
                <w:rFonts w:ascii="Cambria" w:hAnsi="Cambria"/>
                <w:color w:val="231F20"/>
                <w:spacing w:val="-4"/>
                <w:sz w:val="15"/>
              </w:rPr>
              <w:t>≥</w:t>
            </w:r>
            <w:r>
              <w:rPr>
                <w:color w:val="231F20"/>
                <w:spacing w:val="-4"/>
                <w:sz w:val="15"/>
              </w:rPr>
              <w:t>2</w:t>
            </w:r>
            <w:r>
              <w:rPr>
                <w:color w:val="231F20"/>
                <w:spacing w:val="-8"/>
                <w:sz w:val="15"/>
              </w:rPr>
              <w:t> </w:t>
            </w:r>
            <w:r>
              <w:rPr>
                <w:color w:val="231F20"/>
                <w:spacing w:val="-4"/>
                <w:sz w:val="15"/>
              </w:rPr>
              <w:t>Periventricular </w:t>
            </w:r>
            <w:r>
              <w:rPr>
                <w:color w:val="231F20"/>
                <w:spacing w:val="-2"/>
                <w:sz w:val="15"/>
              </w:rPr>
              <w:t>lesions</w:t>
            </w:r>
          </w:p>
        </w:tc>
        <w:tc>
          <w:tcPr>
            <w:tcW w:w="1680" w:type="dxa"/>
            <w:tcBorders>
              <w:top w:val="single" w:sz="4" w:space="0" w:color="231F20"/>
              <w:bottom w:val="single" w:sz="8" w:space="0" w:color="231F20"/>
            </w:tcBorders>
            <w:shd w:val="clear" w:color="auto" w:fill="E8F5F1"/>
          </w:tcPr>
          <w:p>
            <w:pPr>
              <w:pStyle w:val="TableParagraph"/>
              <w:spacing w:line="170" w:lineRule="exact" w:before="47"/>
              <w:ind w:left="101"/>
              <w:rPr>
                <w:sz w:val="15"/>
              </w:rPr>
            </w:pPr>
            <w:r>
              <w:rPr>
                <w:color w:val="231F20"/>
                <w:sz w:val="15"/>
              </w:rPr>
              <w:t>2</w:t>
            </w:r>
            <w:r>
              <w:rPr>
                <w:color w:val="231F20"/>
                <w:spacing w:val="-2"/>
                <w:sz w:val="15"/>
              </w:rPr>
              <w:t> </w:t>
            </w:r>
            <w:r>
              <w:rPr>
                <w:color w:val="231F20"/>
                <w:sz w:val="15"/>
              </w:rPr>
              <w:t>of</w:t>
            </w:r>
            <w:r>
              <w:rPr>
                <w:color w:val="231F20"/>
                <w:spacing w:val="-2"/>
                <w:sz w:val="15"/>
              </w:rPr>
              <w:t> </w:t>
            </w:r>
            <w:r>
              <w:rPr>
                <w:color w:val="231F20"/>
                <w:spacing w:val="-5"/>
                <w:sz w:val="15"/>
              </w:rPr>
              <w:t>3:</w:t>
            </w:r>
          </w:p>
          <w:p>
            <w:pPr>
              <w:pStyle w:val="TableParagraph"/>
              <w:spacing w:line="169" w:lineRule="exact"/>
              <w:ind w:left="101"/>
              <w:rPr>
                <w:sz w:val="15"/>
              </w:rPr>
            </w:pPr>
            <w:r>
              <w:rPr>
                <w:rFonts w:ascii="Cambria" w:hAnsi="Cambria"/>
                <w:color w:val="231F20"/>
                <w:sz w:val="15"/>
              </w:rPr>
              <w:t>≥</w:t>
            </w:r>
            <w:r>
              <w:rPr>
                <w:color w:val="231F20"/>
                <w:sz w:val="15"/>
              </w:rPr>
              <w:t>5</w:t>
            </w:r>
            <w:r>
              <w:rPr>
                <w:color w:val="231F20"/>
                <w:spacing w:val="1"/>
                <w:sz w:val="15"/>
              </w:rPr>
              <w:t> </w:t>
            </w:r>
            <w:r>
              <w:rPr>
                <w:color w:val="231F20"/>
                <w:sz w:val="15"/>
              </w:rPr>
              <w:t>Lesions</w:t>
            </w:r>
            <w:r>
              <w:rPr>
                <w:color w:val="231F20"/>
                <w:spacing w:val="2"/>
                <w:sz w:val="15"/>
              </w:rPr>
              <w:t> </w:t>
            </w:r>
            <w:r>
              <w:rPr>
                <w:color w:val="231F20"/>
                <w:spacing w:val="-5"/>
                <w:sz w:val="15"/>
              </w:rPr>
              <w:t>on</w:t>
            </w:r>
          </w:p>
          <w:p>
            <w:pPr>
              <w:pStyle w:val="TableParagraph"/>
              <w:spacing w:line="230" w:lineRule="auto" w:before="2"/>
              <w:ind w:left="101" w:right="73" w:firstLine="111"/>
              <w:rPr>
                <w:sz w:val="15"/>
              </w:rPr>
            </w:pPr>
            <w:r>
              <w:rPr>
                <w:color w:val="231F20"/>
                <w:sz w:val="15"/>
              </w:rPr>
              <w:t>T2-weighted</w:t>
            </w:r>
            <w:r>
              <w:rPr>
                <w:color w:val="231F20"/>
                <w:spacing w:val="-12"/>
                <w:sz w:val="15"/>
              </w:rPr>
              <w:t> </w:t>
            </w:r>
            <w:r>
              <w:rPr>
                <w:color w:val="231F20"/>
                <w:sz w:val="15"/>
              </w:rPr>
              <w:t>images 2 Periventricular</w:t>
            </w:r>
          </w:p>
          <w:p>
            <w:pPr>
              <w:pStyle w:val="TableParagraph"/>
              <w:spacing w:line="166" w:lineRule="exact"/>
              <w:ind w:left="213"/>
              <w:rPr>
                <w:sz w:val="15"/>
              </w:rPr>
            </w:pPr>
            <w:r>
              <w:rPr>
                <w:color w:val="231F20"/>
                <w:spacing w:val="-2"/>
                <w:sz w:val="15"/>
              </w:rPr>
              <w:t>lesions</w:t>
            </w:r>
          </w:p>
          <w:p>
            <w:pPr>
              <w:pStyle w:val="TableParagraph"/>
              <w:spacing w:line="172" w:lineRule="exact"/>
              <w:ind w:left="101"/>
              <w:rPr>
                <w:sz w:val="15"/>
              </w:rPr>
            </w:pPr>
            <w:r>
              <w:rPr>
                <w:rFonts w:ascii="Cambria" w:hAnsi="Cambria"/>
                <w:color w:val="231F20"/>
                <w:sz w:val="15"/>
              </w:rPr>
              <w:t>≥</w:t>
            </w:r>
            <w:r>
              <w:rPr>
                <w:color w:val="231F20"/>
                <w:sz w:val="15"/>
              </w:rPr>
              <w:t>1</w:t>
            </w:r>
            <w:r>
              <w:rPr>
                <w:color w:val="231F20"/>
                <w:spacing w:val="-8"/>
                <w:sz w:val="15"/>
              </w:rPr>
              <w:t> </w:t>
            </w:r>
            <w:r>
              <w:rPr>
                <w:color w:val="231F20"/>
                <w:sz w:val="15"/>
              </w:rPr>
              <w:t>Brainstem</w:t>
            </w:r>
            <w:r>
              <w:rPr>
                <w:color w:val="231F20"/>
                <w:spacing w:val="-7"/>
                <w:sz w:val="15"/>
              </w:rPr>
              <w:t> </w:t>
            </w:r>
            <w:r>
              <w:rPr>
                <w:color w:val="231F20"/>
                <w:spacing w:val="-2"/>
                <w:sz w:val="15"/>
              </w:rPr>
              <w:t>lesions</w:t>
            </w:r>
          </w:p>
        </w:tc>
        <w:tc>
          <w:tcPr>
            <w:tcW w:w="1590" w:type="dxa"/>
            <w:tcBorders>
              <w:top w:val="single" w:sz="4" w:space="0" w:color="231F20"/>
              <w:bottom w:val="single" w:sz="8" w:space="0" w:color="231F20"/>
            </w:tcBorders>
            <w:shd w:val="clear" w:color="auto" w:fill="E8F5F1"/>
          </w:tcPr>
          <w:p>
            <w:pPr>
              <w:pStyle w:val="TableParagraph"/>
              <w:spacing w:line="170" w:lineRule="exact" w:before="47"/>
              <w:ind w:left="101"/>
              <w:rPr>
                <w:sz w:val="15"/>
              </w:rPr>
            </w:pPr>
            <w:r>
              <w:rPr>
                <w:color w:val="231F20"/>
                <w:sz w:val="15"/>
              </w:rPr>
              <w:t>2</w:t>
            </w:r>
            <w:r>
              <w:rPr>
                <w:color w:val="231F20"/>
                <w:spacing w:val="-2"/>
                <w:sz w:val="15"/>
              </w:rPr>
              <w:t> </w:t>
            </w:r>
            <w:r>
              <w:rPr>
                <w:color w:val="231F20"/>
                <w:sz w:val="15"/>
              </w:rPr>
              <w:t>of</w:t>
            </w:r>
            <w:r>
              <w:rPr>
                <w:color w:val="231F20"/>
                <w:spacing w:val="-2"/>
                <w:sz w:val="15"/>
              </w:rPr>
              <w:t> </w:t>
            </w:r>
            <w:r>
              <w:rPr>
                <w:color w:val="231F20"/>
                <w:spacing w:val="-5"/>
                <w:sz w:val="15"/>
              </w:rPr>
              <w:t>2:</w:t>
            </w:r>
          </w:p>
          <w:p>
            <w:pPr>
              <w:pStyle w:val="TableParagraph"/>
              <w:spacing w:line="230" w:lineRule="auto" w:before="1"/>
              <w:ind w:left="213" w:right="336" w:hanging="112"/>
              <w:rPr>
                <w:sz w:val="15"/>
              </w:rPr>
            </w:pPr>
            <w:r>
              <w:rPr>
                <w:rFonts w:ascii="Cambria" w:hAnsi="Cambria"/>
                <w:color w:val="231F20"/>
                <w:spacing w:val="-4"/>
                <w:sz w:val="15"/>
              </w:rPr>
              <w:t>≥</w:t>
            </w:r>
            <w:r>
              <w:rPr>
                <w:color w:val="231F20"/>
                <w:spacing w:val="-4"/>
                <w:sz w:val="15"/>
              </w:rPr>
              <w:t>1</w:t>
            </w:r>
            <w:r>
              <w:rPr>
                <w:color w:val="231F20"/>
                <w:spacing w:val="-8"/>
                <w:sz w:val="15"/>
              </w:rPr>
              <w:t> </w:t>
            </w:r>
            <w:r>
              <w:rPr>
                <w:color w:val="231F20"/>
                <w:spacing w:val="-4"/>
                <w:sz w:val="15"/>
              </w:rPr>
              <w:t>Periventricular </w:t>
            </w:r>
            <w:r>
              <w:rPr>
                <w:color w:val="231F20"/>
                <w:spacing w:val="-2"/>
                <w:sz w:val="15"/>
              </w:rPr>
              <w:t>lesions</w:t>
            </w:r>
          </w:p>
          <w:p>
            <w:pPr>
              <w:pStyle w:val="TableParagraph"/>
              <w:spacing w:line="230" w:lineRule="auto"/>
              <w:ind w:left="213" w:right="336" w:hanging="112"/>
              <w:rPr>
                <w:sz w:val="15"/>
              </w:rPr>
            </w:pPr>
            <w:r>
              <w:rPr>
                <w:rFonts w:ascii="Cambria" w:hAnsi="Cambria"/>
                <w:color w:val="231F20"/>
                <w:sz w:val="15"/>
              </w:rPr>
              <w:t>≥</w:t>
            </w:r>
            <w:r>
              <w:rPr>
                <w:color w:val="231F20"/>
                <w:sz w:val="15"/>
              </w:rPr>
              <w:t>1</w:t>
            </w:r>
            <w:r>
              <w:rPr>
                <w:color w:val="231F20"/>
                <w:spacing w:val="-12"/>
                <w:sz w:val="15"/>
              </w:rPr>
              <w:t> </w:t>
            </w:r>
            <w:r>
              <w:rPr>
                <w:color w:val="231F20"/>
                <w:sz w:val="15"/>
              </w:rPr>
              <w:t>Hypointense lesions on T1 </w:t>
            </w:r>
            <w:r>
              <w:rPr>
                <w:color w:val="231F20"/>
                <w:spacing w:val="-2"/>
                <w:sz w:val="15"/>
              </w:rPr>
              <w:t>images</w:t>
            </w:r>
          </w:p>
        </w:tc>
        <w:tc>
          <w:tcPr>
            <w:tcW w:w="1882" w:type="dxa"/>
            <w:tcBorders>
              <w:top w:val="single" w:sz="4" w:space="0" w:color="231F20"/>
              <w:bottom w:val="single" w:sz="8" w:space="0" w:color="231F20"/>
            </w:tcBorders>
            <w:shd w:val="clear" w:color="auto" w:fill="E8F5F1"/>
          </w:tcPr>
          <w:p>
            <w:pPr>
              <w:pStyle w:val="TableParagraph"/>
              <w:spacing w:line="170" w:lineRule="exact" w:before="47"/>
              <w:ind w:left="193"/>
              <w:rPr>
                <w:sz w:val="15"/>
              </w:rPr>
            </w:pPr>
            <w:r>
              <w:rPr>
                <w:color w:val="231F20"/>
                <w:sz w:val="15"/>
              </w:rPr>
              <w:t>2</w:t>
            </w:r>
            <w:r>
              <w:rPr>
                <w:color w:val="231F20"/>
                <w:spacing w:val="-2"/>
                <w:sz w:val="15"/>
              </w:rPr>
              <w:t> </w:t>
            </w:r>
            <w:r>
              <w:rPr>
                <w:color w:val="231F20"/>
                <w:sz w:val="15"/>
              </w:rPr>
              <w:t>of</w:t>
            </w:r>
            <w:r>
              <w:rPr>
                <w:color w:val="231F20"/>
                <w:spacing w:val="-2"/>
                <w:sz w:val="15"/>
              </w:rPr>
              <w:t> </w:t>
            </w:r>
            <w:r>
              <w:rPr>
                <w:color w:val="231F20"/>
                <w:spacing w:val="-5"/>
                <w:sz w:val="15"/>
              </w:rPr>
              <w:t>4:</w:t>
            </w:r>
          </w:p>
          <w:p>
            <w:pPr>
              <w:pStyle w:val="TableParagraph"/>
              <w:spacing w:line="168" w:lineRule="exact"/>
              <w:ind w:left="193"/>
              <w:rPr>
                <w:sz w:val="15"/>
              </w:rPr>
            </w:pPr>
            <w:r>
              <w:rPr>
                <w:rFonts w:ascii="Cambria" w:hAnsi="Cambria"/>
                <w:color w:val="231F20"/>
                <w:sz w:val="15"/>
              </w:rPr>
              <w:t>≥</w:t>
            </w:r>
            <w:r>
              <w:rPr>
                <w:color w:val="231F20"/>
                <w:sz w:val="15"/>
              </w:rPr>
              <w:t>1</w:t>
            </w:r>
            <w:r>
              <w:rPr>
                <w:color w:val="231F20"/>
                <w:spacing w:val="-3"/>
                <w:sz w:val="15"/>
              </w:rPr>
              <w:t> </w:t>
            </w:r>
            <w:r>
              <w:rPr>
                <w:color w:val="231F20"/>
                <w:spacing w:val="-2"/>
                <w:sz w:val="15"/>
              </w:rPr>
              <w:t>Periventricular</w:t>
            </w:r>
          </w:p>
          <w:p>
            <w:pPr>
              <w:pStyle w:val="TableParagraph"/>
              <w:spacing w:line="168" w:lineRule="exact"/>
              <w:ind w:left="193"/>
              <w:rPr>
                <w:sz w:val="15"/>
              </w:rPr>
            </w:pPr>
            <w:r>
              <w:rPr>
                <w:rFonts w:ascii="Cambria" w:hAnsi="Cambria"/>
                <w:color w:val="231F20"/>
                <w:sz w:val="15"/>
              </w:rPr>
              <w:t>≥</w:t>
            </w:r>
            <w:r>
              <w:rPr>
                <w:color w:val="231F20"/>
                <w:sz w:val="15"/>
              </w:rPr>
              <w:t>1</w:t>
            </w:r>
            <w:r>
              <w:rPr>
                <w:color w:val="231F20"/>
                <w:spacing w:val="-3"/>
                <w:sz w:val="15"/>
              </w:rPr>
              <w:t> </w:t>
            </w:r>
            <w:r>
              <w:rPr>
                <w:color w:val="231F20"/>
                <w:spacing w:val="-2"/>
                <w:sz w:val="15"/>
              </w:rPr>
              <w:t>Juxtacortical</w:t>
            </w:r>
          </w:p>
          <w:p>
            <w:pPr>
              <w:pStyle w:val="TableParagraph"/>
              <w:spacing w:line="168" w:lineRule="exact"/>
              <w:ind w:left="193"/>
              <w:rPr>
                <w:sz w:val="15"/>
              </w:rPr>
            </w:pPr>
            <w:r>
              <w:rPr>
                <w:rFonts w:ascii="Cambria" w:hAnsi="Cambria"/>
                <w:color w:val="231F20"/>
                <w:sz w:val="15"/>
              </w:rPr>
              <w:t>≥</w:t>
            </w:r>
            <w:r>
              <w:rPr>
                <w:color w:val="231F20"/>
                <w:sz w:val="15"/>
              </w:rPr>
              <w:t>1</w:t>
            </w:r>
            <w:r>
              <w:rPr>
                <w:color w:val="231F20"/>
                <w:spacing w:val="-3"/>
                <w:sz w:val="15"/>
              </w:rPr>
              <w:t> </w:t>
            </w:r>
            <w:r>
              <w:rPr>
                <w:color w:val="231F20"/>
                <w:spacing w:val="-2"/>
                <w:sz w:val="15"/>
              </w:rPr>
              <w:t>Infratentorial</w:t>
            </w:r>
          </w:p>
          <w:p>
            <w:pPr>
              <w:pStyle w:val="TableParagraph"/>
              <w:spacing w:line="172" w:lineRule="exact"/>
              <w:ind w:left="193"/>
              <w:rPr>
                <w:sz w:val="15"/>
              </w:rPr>
            </w:pPr>
            <w:r>
              <w:rPr>
                <w:rFonts w:ascii="Cambria" w:hAnsi="Cambria"/>
                <w:color w:val="231F20"/>
                <w:sz w:val="15"/>
              </w:rPr>
              <w:t>≥</w:t>
            </w:r>
            <w:r>
              <w:rPr>
                <w:color w:val="231F20"/>
                <w:sz w:val="15"/>
              </w:rPr>
              <w:t>1</w:t>
            </w:r>
            <w:r>
              <w:rPr>
                <w:color w:val="231F20"/>
                <w:spacing w:val="-1"/>
                <w:sz w:val="15"/>
              </w:rPr>
              <w:t> </w:t>
            </w:r>
            <w:r>
              <w:rPr>
                <w:color w:val="231F20"/>
                <w:sz w:val="15"/>
              </w:rPr>
              <w:t>Spinal</w:t>
            </w:r>
            <w:r>
              <w:rPr>
                <w:color w:val="231F20"/>
                <w:spacing w:val="-1"/>
                <w:sz w:val="15"/>
              </w:rPr>
              <w:t> </w:t>
            </w:r>
            <w:r>
              <w:rPr>
                <w:color w:val="231F20"/>
                <w:spacing w:val="-4"/>
                <w:sz w:val="15"/>
              </w:rPr>
              <w:t>cord</w:t>
            </w:r>
          </w:p>
        </w:tc>
      </w:tr>
    </w:tbl>
    <w:p>
      <w:pPr>
        <w:pStyle w:val="BodyText"/>
        <w:spacing w:before="75"/>
        <w:ind w:left="927" w:right="446"/>
      </w:pPr>
      <w:r>
        <w:rPr>
          <w:color w:val="231F20"/>
        </w:rPr>
        <w:t>*Barkhof</w:t>
      </w:r>
      <w:r>
        <w:rPr>
          <w:color w:val="231F20"/>
          <w:spacing w:val="-6"/>
        </w:rPr>
        <w:t> </w:t>
      </w:r>
      <w:r>
        <w:rPr>
          <w:color w:val="231F20"/>
        </w:rPr>
        <w:t>F,</w:t>
      </w:r>
      <w:r>
        <w:rPr>
          <w:color w:val="231F20"/>
          <w:spacing w:val="-6"/>
        </w:rPr>
        <w:t> </w:t>
      </w:r>
      <w:r>
        <w:rPr>
          <w:color w:val="231F20"/>
        </w:rPr>
        <w:t>Filippi</w:t>
      </w:r>
      <w:r>
        <w:rPr>
          <w:color w:val="231F20"/>
          <w:spacing w:val="-6"/>
        </w:rPr>
        <w:t> </w:t>
      </w:r>
      <w:r>
        <w:rPr>
          <w:color w:val="231F20"/>
        </w:rPr>
        <w:t>M,</w:t>
      </w:r>
      <w:r>
        <w:rPr>
          <w:color w:val="231F20"/>
          <w:spacing w:val="-6"/>
        </w:rPr>
        <w:t> </w:t>
      </w:r>
      <w:r>
        <w:rPr>
          <w:color w:val="231F20"/>
        </w:rPr>
        <w:t>Miller</w:t>
      </w:r>
      <w:r>
        <w:rPr>
          <w:color w:val="231F20"/>
          <w:spacing w:val="-6"/>
        </w:rPr>
        <w:t> </w:t>
      </w:r>
      <w:r>
        <w:rPr>
          <w:color w:val="231F20"/>
        </w:rPr>
        <w:t>DH,</w:t>
      </w:r>
      <w:r>
        <w:rPr>
          <w:color w:val="231F20"/>
          <w:spacing w:val="-6"/>
        </w:rPr>
        <w:t> </w:t>
      </w:r>
      <w:r>
        <w:rPr>
          <w:color w:val="231F20"/>
        </w:rPr>
        <w:t>et</w:t>
      </w:r>
      <w:r>
        <w:rPr>
          <w:color w:val="231F20"/>
          <w:spacing w:val="-6"/>
        </w:rPr>
        <w:t> </w:t>
      </w:r>
      <w:r>
        <w:rPr>
          <w:color w:val="231F20"/>
        </w:rPr>
        <w:t>al:</w:t>
      </w:r>
      <w:r>
        <w:rPr>
          <w:color w:val="231F20"/>
          <w:spacing w:val="-6"/>
        </w:rPr>
        <w:t> </w:t>
      </w:r>
      <w:r>
        <w:rPr>
          <w:color w:val="231F20"/>
        </w:rPr>
        <w:t>Comparison</w:t>
      </w:r>
      <w:r>
        <w:rPr>
          <w:color w:val="231F20"/>
          <w:spacing w:val="-6"/>
        </w:rPr>
        <w:t> </w:t>
      </w:r>
      <w:r>
        <w:rPr>
          <w:color w:val="231F20"/>
        </w:rPr>
        <w:t>of</w:t>
      </w:r>
      <w:r>
        <w:rPr>
          <w:color w:val="231F20"/>
          <w:spacing w:val="-6"/>
        </w:rPr>
        <w:t> </w:t>
      </w:r>
      <w:r>
        <w:rPr>
          <w:color w:val="231F20"/>
        </w:rPr>
        <w:t>MRI</w:t>
      </w:r>
      <w:r>
        <w:rPr>
          <w:color w:val="231F20"/>
          <w:spacing w:val="-6"/>
        </w:rPr>
        <w:t> </w:t>
      </w:r>
      <w:r>
        <w:rPr>
          <w:color w:val="231F20"/>
        </w:rPr>
        <w:t>criteria</w:t>
      </w:r>
      <w:r>
        <w:rPr>
          <w:color w:val="231F20"/>
          <w:spacing w:val="-6"/>
        </w:rPr>
        <w:t> </w:t>
      </w:r>
      <w:r>
        <w:rPr>
          <w:color w:val="231F20"/>
        </w:rPr>
        <w:t>at</w:t>
      </w:r>
      <w:r>
        <w:rPr>
          <w:color w:val="231F20"/>
          <w:spacing w:val="-6"/>
        </w:rPr>
        <w:t> </w:t>
      </w:r>
      <w:r>
        <w:rPr>
          <w:color w:val="231F20"/>
        </w:rPr>
        <w:t>first</w:t>
      </w:r>
      <w:r>
        <w:rPr>
          <w:color w:val="231F20"/>
          <w:spacing w:val="-6"/>
        </w:rPr>
        <w:t> </w:t>
      </w:r>
      <w:r>
        <w:rPr>
          <w:color w:val="231F20"/>
        </w:rPr>
        <w:t>presentation</w:t>
      </w:r>
      <w:r>
        <w:rPr>
          <w:color w:val="231F20"/>
          <w:spacing w:val="-6"/>
        </w:rPr>
        <w:t> </w:t>
      </w:r>
      <w:r>
        <w:rPr>
          <w:color w:val="231F20"/>
        </w:rPr>
        <w:t>to</w:t>
      </w:r>
      <w:r>
        <w:rPr>
          <w:color w:val="231F20"/>
          <w:spacing w:val="-6"/>
        </w:rPr>
        <w:t> </w:t>
      </w:r>
      <w:r>
        <w:rPr>
          <w:color w:val="231F20"/>
        </w:rPr>
        <w:t>predict</w:t>
      </w:r>
      <w:r>
        <w:rPr>
          <w:color w:val="231F20"/>
          <w:spacing w:val="-6"/>
        </w:rPr>
        <w:t> </w:t>
      </w:r>
      <w:r>
        <w:rPr>
          <w:color w:val="231F20"/>
        </w:rPr>
        <w:t>conversion</w:t>
      </w:r>
      <w:r>
        <w:rPr>
          <w:color w:val="231F20"/>
          <w:spacing w:val="-6"/>
        </w:rPr>
        <w:t> </w:t>
      </w:r>
      <w:r>
        <w:rPr>
          <w:color w:val="231F20"/>
        </w:rPr>
        <w:t>to</w:t>
      </w:r>
      <w:r>
        <w:rPr>
          <w:color w:val="231F20"/>
          <w:spacing w:val="-6"/>
        </w:rPr>
        <w:t> </w:t>
      </w:r>
      <w:r>
        <w:rPr>
          <w:color w:val="231F20"/>
        </w:rPr>
        <w:t>clinically</w:t>
      </w:r>
      <w:r>
        <w:rPr>
          <w:color w:val="231F20"/>
          <w:spacing w:val="-6"/>
        </w:rPr>
        <w:t> </w:t>
      </w:r>
      <w:r>
        <w:rPr>
          <w:color w:val="231F20"/>
        </w:rPr>
        <w:t>definite</w:t>
      </w:r>
      <w:r>
        <w:rPr>
          <w:color w:val="231F20"/>
          <w:spacing w:val="-6"/>
        </w:rPr>
        <w:t> </w:t>
      </w:r>
      <w:r>
        <w:rPr>
          <w:color w:val="231F20"/>
        </w:rPr>
        <w:t>multiple</w:t>
      </w:r>
      <w:r>
        <w:rPr>
          <w:color w:val="231F20"/>
          <w:spacing w:val="-6"/>
        </w:rPr>
        <w:t> </w:t>
      </w:r>
      <w:r>
        <w:rPr>
          <w:color w:val="231F20"/>
        </w:rPr>
        <w:t>sclerosis.</w:t>
      </w:r>
      <w:r>
        <w:rPr>
          <w:color w:val="231F20"/>
          <w:spacing w:val="-6"/>
        </w:rPr>
        <w:t> </w:t>
      </w:r>
      <w:r>
        <w:rPr>
          <w:i/>
          <w:color w:val="231F20"/>
        </w:rPr>
        <w:t>Brain</w:t>
      </w:r>
      <w:r>
        <w:rPr>
          <w:i/>
          <w:color w:val="231F20"/>
          <w:spacing w:val="-6"/>
        </w:rPr>
        <w:t> </w:t>
      </w:r>
      <w:r>
        <w:rPr>
          <w:color w:val="231F20"/>
        </w:rPr>
        <w:t>120:2059–</w:t>
      </w:r>
      <w:r>
        <w:rPr>
          <w:color w:val="231F20"/>
          <w:spacing w:val="40"/>
        </w:rPr>
        <w:t> </w:t>
      </w:r>
      <w:r>
        <w:rPr>
          <w:color w:val="231F20"/>
        </w:rPr>
        <w:t>2069, 1997.</w:t>
      </w:r>
    </w:p>
    <w:p>
      <w:pPr>
        <w:pStyle w:val="BodyText"/>
        <w:spacing w:line="237" w:lineRule="auto"/>
        <w:ind w:left="927" w:right="141" w:firstLine="130"/>
      </w:pPr>
      <w:r>
        <w:rPr>
          <w:color w:val="231F20"/>
          <w:vertAlign w:val="superscript"/>
        </w:rPr>
        <w:t>†</w:t>
      </w:r>
      <w:r>
        <w:rPr>
          <w:color w:val="231F20"/>
          <w:vertAlign w:val="baseline"/>
        </w:rPr>
        <w:t>Mikaeloff Y, Adamsbaum C, Husson HM, et al: MRI prognostic factors for relapse after acute CNS inflammatory demyelination in childhood. Brain 127:1942–1947,</w:t>
      </w:r>
      <w:r>
        <w:rPr>
          <w:color w:val="231F20"/>
          <w:spacing w:val="40"/>
          <w:vertAlign w:val="baseline"/>
        </w:rPr>
        <w:t> </w:t>
      </w:r>
      <w:r>
        <w:rPr>
          <w:color w:val="231F20"/>
          <w:spacing w:val="-2"/>
          <w:vertAlign w:val="baseline"/>
        </w:rPr>
        <w:t>2004.</w:t>
      </w:r>
    </w:p>
    <w:p>
      <w:pPr>
        <w:pStyle w:val="BodyText"/>
        <w:spacing w:line="149" w:lineRule="exact"/>
        <w:ind w:left="1057"/>
      </w:pPr>
      <w:r>
        <w:rPr>
          <w:color w:val="231F20"/>
          <w:vertAlign w:val="superscript"/>
        </w:rPr>
        <w:t>‡</w:t>
      </w:r>
      <w:r>
        <w:rPr>
          <w:color w:val="231F20"/>
          <w:vertAlign w:val="baseline"/>
        </w:rPr>
        <w:t>Callen</w:t>
      </w:r>
      <w:r>
        <w:rPr>
          <w:color w:val="231F20"/>
          <w:spacing w:val="4"/>
          <w:vertAlign w:val="baseline"/>
        </w:rPr>
        <w:t> </w:t>
      </w:r>
      <w:r>
        <w:rPr>
          <w:color w:val="231F20"/>
          <w:vertAlign w:val="baseline"/>
        </w:rPr>
        <w:t>DJ,</w:t>
      </w:r>
      <w:r>
        <w:rPr>
          <w:color w:val="231F20"/>
          <w:spacing w:val="4"/>
          <w:vertAlign w:val="baseline"/>
        </w:rPr>
        <w:t> </w:t>
      </w:r>
      <w:r>
        <w:rPr>
          <w:color w:val="231F20"/>
          <w:vertAlign w:val="baseline"/>
        </w:rPr>
        <w:t>Shroff</w:t>
      </w:r>
      <w:r>
        <w:rPr>
          <w:color w:val="231F20"/>
          <w:spacing w:val="4"/>
          <w:vertAlign w:val="baseline"/>
        </w:rPr>
        <w:t> </w:t>
      </w:r>
      <w:r>
        <w:rPr>
          <w:color w:val="231F20"/>
          <w:vertAlign w:val="baseline"/>
        </w:rPr>
        <w:t>MM,</w:t>
      </w:r>
      <w:r>
        <w:rPr>
          <w:color w:val="231F20"/>
          <w:spacing w:val="4"/>
          <w:vertAlign w:val="baseline"/>
        </w:rPr>
        <w:t> </w:t>
      </w:r>
      <w:r>
        <w:rPr>
          <w:color w:val="231F20"/>
          <w:vertAlign w:val="baseline"/>
        </w:rPr>
        <w:t>Branson</w:t>
      </w:r>
      <w:r>
        <w:rPr>
          <w:color w:val="231F20"/>
          <w:spacing w:val="4"/>
          <w:vertAlign w:val="baseline"/>
        </w:rPr>
        <w:t> </w:t>
      </w:r>
      <w:r>
        <w:rPr>
          <w:color w:val="231F20"/>
          <w:vertAlign w:val="baseline"/>
        </w:rPr>
        <w:t>HM,</w:t>
      </w:r>
      <w:r>
        <w:rPr>
          <w:color w:val="231F20"/>
          <w:spacing w:val="4"/>
          <w:vertAlign w:val="baseline"/>
        </w:rPr>
        <w:t> </w:t>
      </w:r>
      <w:r>
        <w:rPr>
          <w:color w:val="231F20"/>
          <w:vertAlign w:val="baseline"/>
        </w:rPr>
        <w:t>et</w:t>
      </w:r>
      <w:r>
        <w:rPr>
          <w:color w:val="231F20"/>
          <w:spacing w:val="5"/>
          <w:vertAlign w:val="baseline"/>
        </w:rPr>
        <w:t> </w:t>
      </w:r>
      <w:r>
        <w:rPr>
          <w:color w:val="231F20"/>
          <w:vertAlign w:val="baseline"/>
        </w:rPr>
        <w:t>al:</w:t>
      </w:r>
      <w:r>
        <w:rPr>
          <w:color w:val="231F20"/>
          <w:spacing w:val="4"/>
          <w:vertAlign w:val="baseline"/>
        </w:rPr>
        <w:t> </w:t>
      </w:r>
      <w:r>
        <w:rPr>
          <w:color w:val="231F20"/>
          <w:vertAlign w:val="baseline"/>
        </w:rPr>
        <w:t>Role</w:t>
      </w:r>
      <w:r>
        <w:rPr>
          <w:color w:val="231F20"/>
          <w:spacing w:val="4"/>
          <w:vertAlign w:val="baseline"/>
        </w:rPr>
        <w:t> </w:t>
      </w:r>
      <w:r>
        <w:rPr>
          <w:color w:val="231F20"/>
          <w:vertAlign w:val="baseline"/>
        </w:rPr>
        <w:t>of</w:t>
      </w:r>
      <w:r>
        <w:rPr>
          <w:color w:val="231F20"/>
          <w:spacing w:val="4"/>
          <w:vertAlign w:val="baseline"/>
        </w:rPr>
        <w:t> </w:t>
      </w:r>
      <w:r>
        <w:rPr>
          <w:color w:val="231F20"/>
          <w:vertAlign w:val="baseline"/>
        </w:rPr>
        <w:t>MRI</w:t>
      </w:r>
      <w:r>
        <w:rPr>
          <w:color w:val="231F20"/>
          <w:spacing w:val="4"/>
          <w:vertAlign w:val="baseline"/>
        </w:rPr>
        <w:t> </w:t>
      </w:r>
      <w:r>
        <w:rPr>
          <w:color w:val="231F20"/>
          <w:vertAlign w:val="baseline"/>
        </w:rPr>
        <w:t>in</w:t>
      </w:r>
      <w:r>
        <w:rPr>
          <w:color w:val="231F20"/>
          <w:spacing w:val="4"/>
          <w:vertAlign w:val="baseline"/>
        </w:rPr>
        <w:t> </w:t>
      </w:r>
      <w:r>
        <w:rPr>
          <w:color w:val="231F20"/>
          <w:vertAlign w:val="baseline"/>
        </w:rPr>
        <w:t>the</w:t>
      </w:r>
      <w:r>
        <w:rPr>
          <w:color w:val="231F20"/>
          <w:spacing w:val="4"/>
          <w:vertAlign w:val="baseline"/>
        </w:rPr>
        <w:t> </w:t>
      </w:r>
      <w:r>
        <w:rPr>
          <w:color w:val="231F20"/>
          <w:vertAlign w:val="baseline"/>
        </w:rPr>
        <w:t>differentiation</w:t>
      </w:r>
      <w:r>
        <w:rPr>
          <w:color w:val="231F20"/>
          <w:spacing w:val="5"/>
          <w:vertAlign w:val="baseline"/>
        </w:rPr>
        <w:t> </w:t>
      </w:r>
      <w:r>
        <w:rPr>
          <w:color w:val="231F20"/>
          <w:vertAlign w:val="baseline"/>
        </w:rPr>
        <w:t>of</w:t>
      </w:r>
      <w:r>
        <w:rPr>
          <w:color w:val="231F20"/>
          <w:spacing w:val="4"/>
          <w:vertAlign w:val="baseline"/>
        </w:rPr>
        <w:t> </w:t>
      </w:r>
      <w:r>
        <w:rPr>
          <w:color w:val="231F20"/>
          <w:vertAlign w:val="baseline"/>
        </w:rPr>
        <w:t>ADEM</w:t>
      </w:r>
      <w:r>
        <w:rPr>
          <w:color w:val="231F20"/>
          <w:spacing w:val="4"/>
          <w:vertAlign w:val="baseline"/>
        </w:rPr>
        <w:t> </w:t>
      </w:r>
      <w:r>
        <w:rPr>
          <w:color w:val="231F20"/>
          <w:vertAlign w:val="baseline"/>
        </w:rPr>
        <w:t>from</w:t>
      </w:r>
      <w:r>
        <w:rPr>
          <w:color w:val="231F20"/>
          <w:spacing w:val="4"/>
          <w:vertAlign w:val="baseline"/>
        </w:rPr>
        <w:t> </w:t>
      </w:r>
      <w:r>
        <w:rPr>
          <w:color w:val="231F20"/>
          <w:vertAlign w:val="baseline"/>
        </w:rPr>
        <w:t>MS</w:t>
      </w:r>
      <w:r>
        <w:rPr>
          <w:color w:val="231F20"/>
          <w:spacing w:val="4"/>
          <w:vertAlign w:val="baseline"/>
        </w:rPr>
        <w:t> </w:t>
      </w:r>
      <w:r>
        <w:rPr>
          <w:color w:val="231F20"/>
          <w:vertAlign w:val="baseline"/>
        </w:rPr>
        <w:t>in</w:t>
      </w:r>
      <w:r>
        <w:rPr>
          <w:color w:val="231F20"/>
          <w:spacing w:val="4"/>
          <w:vertAlign w:val="baseline"/>
        </w:rPr>
        <w:t> </w:t>
      </w:r>
      <w:r>
        <w:rPr>
          <w:color w:val="231F20"/>
          <w:vertAlign w:val="baseline"/>
        </w:rPr>
        <w:t>children.</w:t>
      </w:r>
      <w:r>
        <w:rPr>
          <w:color w:val="231F20"/>
          <w:spacing w:val="4"/>
          <w:vertAlign w:val="baseline"/>
        </w:rPr>
        <w:t> </w:t>
      </w:r>
      <w:r>
        <w:rPr>
          <w:i/>
          <w:color w:val="231F20"/>
          <w:vertAlign w:val="baseline"/>
        </w:rPr>
        <w:t>Neurology</w:t>
      </w:r>
      <w:r>
        <w:rPr>
          <w:i/>
          <w:color w:val="231F20"/>
          <w:spacing w:val="5"/>
          <w:vertAlign w:val="baseline"/>
        </w:rPr>
        <w:t> </w:t>
      </w:r>
      <w:r>
        <w:rPr>
          <w:color w:val="231F20"/>
          <w:vertAlign w:val="baseline"/>
        </w:rPr>
        <w:t>72:968–973,</w:t>
      </w:r>
      <w:r>
        <w:rPr>
          <w:color w:val="231F20"/>
          <w:spacing w:val="4"/>
          <w:vertAlign w:val="baseline"/>
        </w:rPr>
        <w:t> </w:t>
      </w:r>
      <w:r>
        <w:rPr>
          <w:color w:val="231F20"/>
          <w:spacing w:val="-2"/>
          <w:vertAlign w:val="baseline"/>
        </w:rPr>
        <w:t>2009.</w:t>
      </w:r>
    </w:p>
    <w:p>
      <w:pPr>
        <w:pStyle w:val="BodyText"/>
        <w:spacing w:line="149" w:lineRule="exact"/>
        <w:ind w:left="1057"/>
      </w:pPr>
      <w:r>
        <w:rPr>
          <w:color w:val="231F20"/>
          <w:vertAlign w:val="superscript"/>
        </w:rPr>
        <w:t>§</w:t>
      </w:r>
      <w:r>
        <w:rPr>
          <w:color w:val="231F20"/>
          <w:vertAlign w:val="baseline"/>
        </w:rPr>
        <w:t>Callen</w:t>
      </w:r>
      <w:r>
        <w:rPr>
          <w:color w:val="231F20"/>
          <w:spacing w:val="2"/>
          <w:vertAlign w:val="baseline"/>
        </w:rPr>
        <w:t> </w:t>
      </w:r>
      <w:r>
        <w:rPr>
          <w:color w:val="231F20"/>
          <w:vertAlign w:val="baseline"/>
        </w:rPr>
        <w:t>DJ,</w:t>
      </w:r>
      <w:r>
        <w:rPr>
          <w:color w:val="231F20"/>
          <w:spacing w:val="2"/>
          <w:vertAlign w:val="baseline"/>
        </w:rPr>
        <w:t> </w:t>
      </w:r>
      <w:r>
        <w:rPr>
          <w:color w:val="231F20"/>
          <w:vertAlign w:val="baseline"/>
        </w:rPr>
        <w:t>Shroff</w:t>
      </w:r>
      <w:r>
        <w:rPr>
          <w:color w:val="231F20"/>
          <w:spacing w:val="3"/>
          <w:vertAlign w:val="baseline"/>
        </w:rPr>
        <w:t> </w:t>
      </w:r>
      <w:r>
        <w:rPr>
          <w:color w:val="231F20"/>
          <w:vertAlign w:val="baseline"/>
        </w:rPr>
        <w:t>MM,</w:t>
      </w:r>
      <w:r>
        <w:rPr>
          <w:color w:val="231F20"/>
          <w:spacing w:val="2"/>
          <w:vertAlign w:val="baseline"/>
        </w:rPr>
        <w:t> </w:t>
      </w:r>
      <w:r>
        <w:rPr>
          <w:color w:val="231F20"/>
          <w:vertAlign w:val="baseline"/>
        </w:rPr>
        <w:t>Branson</w:t>
      </w:r>
      <w:r>
        <w:rPr>
          <w:color w:val="231F20"/>
          <w:spacing w:val="2"/>
          <w:vertAlign w:val="baseline"/>
        </w:rPr>
        <w:t> </w:t>
      </w:r>
      <w:r>
        <w:rPr>
          <w:color w:val="231F20"/>
          <w:vertAlign w:val="baseline"/>
        </w:rPr>
        <w:t>HM,</w:t>
      </w:r>
      <w:r>
        <w:rPr>
          <w:color w:val="231F20"/>
          <w:spacing w:val="3"/>
          <w:vertAlign w:val="baseline"/>
        </w:rPr>
        <w:t> </w:t>
      </w:r>
      <w:r>
        <w:rPr>
          <w:color w:val="231F20"/>
          <w:vertAlign w:val="baseline"/>
        </w:rPr>
        <w:t>et</w:t>
      </w:r>
      <w:r>
        <w:rPr>
          <w:color w:val="231F20"/>
          <w:spacing w:val="2"/>
          <w:vertAlign w:val="baseline"/>
        </w:rPr>
        <w:t> </w:t>
      </w:r>
      <w:r>
        <w:rPr>
          <w:color w:val="231F20"/>
          <w:vertAlign w:val="baseline"/>
        </w:rPr>
        <w:t>al:</w:t>
      </w:r>
      <w:r>
        <w:rPr>
          <w:color w:val="231F20"/>
          <w:spacing w:val="2"/>
          <w:vertAlign w:val="baseline"/>
        </w:rPr>
        <w:t> </w:t>
      </w:r>
      <w:r>
        <w:rPr>
          <w:color w:val="231F20"/>
          <w:vertAlign w:val="baseline"/>
        </w:rPr>
        <w:t>MRI</w:t>
      </w:r>
      <w:r>
        <w:rPr>
          <w:color w:val="231F20"/>
          <w:spacing w:val="3"/>
          <w:vertAlign w:val="baseline"/>
        </w:rPr>
        <w:t> </w:t>
      </w:r>
      <w:r>
        <w:rPr>
          <w:color w:val="231F20"/>
          <w:vertAlign w:val="baseline"/>
        </w:rPr>
        <w:t>in</w:t>
      </w:r>
      <w:r>
        <w:rPr>
          <w:color w:val="231F20"/>
          <w:spacing w:val="2"/>
          <w:vertAlign w:val="baseline"/>
        </w:rPr>
        <w:t> </w:t>
      </w:r>
      <w:r>
        <w:rPr>
          <w:color w:val="231F20"/>
          <w:vertAlign w:val="baseline"/>
        </w:rPr>
        <w:t>the</w:t>
      </w:r>
      <w:r>
        <w:rPr>
          <w:color w:val="231F20"/>
          <w:spacing w:val="3"/>
          <w:vertAlign w:val="baseline"/>
        </w:rPr>
        <w:t> </w:t>
      </w:r>
      <w:r>
        <w:rPr>
          <w:color w:val="231F20"/>
          <w:vertAlign w:val="baseline"/>
        </w:rPr>
        <w:t>diagnosis</w:t>
      </w:r>
      <w:r>
        <w:rPr>
          <w:color w:val="231F20"/>
          <w:spacing w:val="2"/>
          <w:vertAlign w:val="baseline"/>
        </w:rPr>
        <w:t> </w:t>
      </w:r>
      <w:r>
        <w:rPr>
          <w:color w:val="231F20"/>
          <w:vertAlign w:val="baseline"/>
        </w:rPr>
        <w:t>of</w:t>
      </w:r>
      <w:r>
        <w:rPr>
          <w:color w:val="231F20"/>
          <w:spacing w:val="2"/>
          <w:vertAlign w:val="baseline"/>
        </w:rPr>
        <w:t> </w:t>
      </w:r>
      <w:r>
        <w:rPr>
          <w:color w:val="231F20"/>
          <w:vertAlign w:val="baseline"/>
        </w:rPr>
        <w:t>pediatric</w:t>
      </w:r>
      <w:r>
        <w:rPr>
          <w:color w:val="231F20"/>
          <w:spacing w:val="3"/>
          <w:vertAlign w:val="baseline"/>
        </w:rPr>
        <w:t> </w:t>
      </w:r>
      <w:r>
        <w:rPr>
          <w:color w:val="231F20"/>
          <w:vertAlign w:val="baseline"/>
        </w:rPr>
        <w:t>multiple</w:t>
      </w:r>
      <w:r>
        <w:rPr>
          <w:color w:val="231F20"/>
          <w:spacing w:val="2"/>
          <w:vertAlign w:val="baseline"/>
        </w:rPr>
        <w:t> </w:t>
      </w:r>
      <w:r>
        <w:rPr>
          <w:color w:val="231F20"/>
          <w:vertAlign w:val="baseline"/>
        </w:rPr>
        <w:t>sclerosis.</w:t>
      </w:r>
      <w:r>
        <w:rPr>
          <w:color w:val="231F20"/>
          <w:spacing w:val="2"/>
          <w:vertAlign w:val="baseline"/>
        </w:rPr>
        <w:t> </w:t>
      </w:r>
      <w:r>
        <w:rPr>
          <w:i/>
          <w:color w:val="231F20"/>
          <w:vertAlign w:val="baseline"/>
        </w:rPr>
        <w:t>Neurology</w:t>
      </w:r>
      <w:r>
        <w:rPr>
          <w:i/>
          <w:color w:val="231F20"/>
          <w:spacing w:val="3"/>
          <w:vertAlign w:val="baseline"/>
        </w:rPr>
        <w:t> </w:t>
      </w:r>
      <w:r>
        <w:rPr>
          <w:color w:val="231F20"/>
          <w:vertAlign w:val="baseline"/>
        </w:rPr>
        <w:t>72:961–967,</w:t>
      </w:r>
      <w:r>
        <w:rPr>
          <w:color w:val="231F20"/>
          <w:spacing w:val="2"/>
          <w:vertAlign w:val="baseline"/>
        </w:rPr>
        <w:t> </w:t>
      </w:r>
      <w:r>
        <w:rPr>
          <w:color w:val="231F20"/>
          <w:spacing w:val="-2"/>
          <w:vertAlign w:val="baseline"/>
        </w:rPr>
        <w:t>2009.</w:t>
      </w:r>
    </w:p>
    <w:p>
      <w:pPr>
        <w:pStyle w:val="BodyText"/>
        <w:ind w:left="927" w:right="446" w:firstLine="140"/>
      </w:pPr>
      <w:r>
        <w:rPr>
          <w:position w:val="4"/>
        </w:rPr>
        <w:drawing>
          <wp:inline distT="0" distB="0" distL="0" distR="0">
            <wp:extent cx="15874" cy="44449"/>
            <wp:effectExtent l="0" t="0" r="0" b="0"/>
            <wp:docPr id="794" name="Image 794"/>
            <wp:cNvGraphicFramePr>
              <a:graphicFrameLocks/>
            </wp:cNvGraphicFramePr>
            <a:graphic>
              <a:graphicData uri="http://schemas.openxmlformats.org/drawingml/2006/picture">
                <pic:pic>
                  <pic:nvPicPr>
                    <pic:cNvPr id="794" name="Image 794"/>
                    <pic:cNvPicPr/>
                  </pic:nvPicPr>
                  <pic:blipFill>
                    <a:blip r:embed="rId295" cstate="print"/>
                    <a:stretch>
                      <a:fillRect/>
                    </a:stretch>
                  </pic:blipFill>
                  <pic:spPr>
                    <a:xfrm>
                      <a:off x="0" y="0"/>
                      <a:ext cx="15874" cy="44449"/>
                    </a:xfrm>
                    <a:prstGeom prst="rect">
                      <a:avLst/>
                    </a:prstGeom>
                  </pic:spPr>
                </pic:pic>
              </a:graphicData>
            </a:graphic>
          </wp:inline>
        </w:drawing>
      </w:r>
      <w:r>
        <w:rPr>
          <w:position w:val="4"/>
        </w:rPr>
      </w:r>
      <w:r>
        <w:rPr>
          <w:color w:val="231F20"/>
        </w:rPr>
        <w:t>Verhay LH, Branson HM, Shroff MM, et al: MRI parameters for prediction of multiple sclerosis diagnosis in children with acute CNS demyelination: a prospective</w:t>
      </w:r>
      <w:r>
        <w:rPr>
          <w:color w:val="231F20"/>
          <w:spacing w:val="40"/>
        </w:rPr>
        <w:t> </w:t>
      </w:r>
      <w:r>
        <w:rPr>
          <w:color w:val="231F20"/>
        </w:rPr>
        <w:t>national cohort study. </w:t>
      </w:r>
      <w:r>
        <w:rPr>
          <w:i/>
          <w:color w:val="231F20"/>
        </w:rPr>
        <w:t>Lancet Neurol </w:t>
      </w:r>
      <w:r>
        <w:rPr>
          <w:color w:val="231F20"/>
        </w:rPr>
        <w:t>10:1065–1073, 2011.</w:t>
      </w:r>
    </w:p>
    <w:p>
      <w:pPr>
        <w:pStyle w:val="BodyText"/>
        <w:spacing w:line="237" w:lineRule="auto"/>
        <w:ind w:left="1057" w:right="705"/>
      </w:pPr>
      <w:r>
        <w:rPr>
          <w:color w:val="231F20"/>
          <w:vertAlign w:val="superscript"/>
        </w:rPr>
        <w:t>¶</w:t>
      </w:r>
      <w:r>
        <w:rPr>
          <w:color w:val="231F20"/>
          <w:vertAlign w:val="baseline"/>
        </w:rPr>
        <w:t>Polman</w:t>
      </w:r>
      <w:r>
        <w:rPr>
          <w:color w:val="231F20"/>
          <w:spacing w:val="-3"/>
          <w:vertAlign w:val="baseline"/>
        </w:rPr>
        <w:t> </w:t>
      </w:r>
      <w:r>
        <w:rPr>
          <w:color w:val="231F20"/>
          <w:vertAlign w:val="baseline"/>
        </w:rPr>
        <w:t>CH,</w:t>
      </w:r>
      <w:r>
        <w:rPr>
          <w:color w:val="231F20"/>
          <w:spacing w:val="-3"/>
          <w:vertAlign w:val="baseline"/>
        </w:rPr>
        <w:t> </w:t>
      </w:r>
      <w:r>
        <w:rPr>
          <w:color w:val="231F20"/>
          <w:vertAlign w:val="baseline"/>
        </w:rPr>
        <w:t>Reingold</w:t>
      </w:r>
      <w:r>
        <w:rPr>
          <w:color w:val="231F20"/>
          <w:spacing w:val="-3"/>
          <w:vertAlign w:val="baseline"/>
        </w:rPr>
        <w:t> </w:t>
      </w:r>
      <w:r>
        <w:rPr>
          <w:color w:val="231F20"/>
          <w:vertAlign w:val="baseline"/>
        </w:rPr>
        <w:t>SC,</w:t>
      </w:r>
      <w:r>
        <w:rPr>
          <w:color w:val="231F20"/>
          <w:spacing w:val="-3"/>
          <w:vertAlign w:val="baseline"/>
        </w:rPr>
        <w:t> </w:t>
      </w:r>
      <w:r>
        <w:rPr>
          <w:color w:val="231F20"/>
          <w:vertAlign w:val="baseline"/>
        </w:rPr>
        <w:t>Banwell</w:t>
      </w:r>
      <w:r>
        <w:rPr>
          <w:color w:val="231F20"/>
          <w:spacing w:val="-3"/>
          <w:vertAlign w:val="baseline"/>
        </w:rPr>
        <w:t> </w:t>
      </w:r>
      <w:r>
        <w:rPr>
          <w:color w:val="231F20"/>
          <w:vertAlign w:val="baseline"/>
        </w:rPr>
        <w:t>B,</w:t>
      </w:r>
      <w:r>
        <w:rPr>
          <w:color w:val="231F20"/>
          <w:spacing w:val="-3"/>
          <w:vertAlign w:val="baseline"/>
        </w:rPr>
        <w:t> </w:t>
      </w:r>
      <w:r>
        <w:rPr>
          <w:color w:val="231F20"/>
          <w:vertAlign w:val="baseline"/>
        </w:rPr>
        <w:t>et</w:t>
      </w:r>
      <w:r>
        <w:rPr>
          <w:color w:val="231F20"/>
          <w:spacing w:val="-3"/>
          <w:vertAlign w:val="baseline"/>
        </w:rPr>
        <w:t> </w:t>
      </w:r>
      <w:r>
        <w:rPr>
          <w:color w:val="231F20"/>
          <w:vertAlign w:val="baseline"/>
        </w:rPr>
        <w:t>al.</w:t>
      </w:r>
      <w:r>
        <w:rPr>
          <w:color w:val="231F20"/>
          <w:spacing w:val="-3"/>
          <w:vertAlign w:val="baseline"/>
        </w:rPr>
        <w:t> </w:t>
      </w:r>
      <w:r>
        <w:rPr>
          <w:color w:val="231F20"/>
          <w:vertAlign w:val="baseline"/>
        </w:rPr>
        <w:t>Diagnostic</w:t>
      </w:r>
      <w:r>
        <w:rPr>
          <w:color w:val="231F20"/>
          <w:spacing w:val="-3"/>
          <w:vertAlign w:val="baseline"/>
        </w:rPr>
        <w:t> </w:t>
      </w:r>
      <w:r>
        <w:rPr>
          <w:color w:val="231F20"/>
          <w:vertAlign w:val="baseline"/>
        </w:rPr>
        <w:t>criteria</w:t>
      </w:r>
      <w:r>
        <w:rPr>
          <w:color w:val="231F20"/>
          <w:spacing w:val="-3"/>
          <w:vertAlign w:val="baseline"/>
        </w:rPr>
        <w:t> </w:t>
      </w:r>
      <w:r>
        <w:rPr>
          <w:color w:val="231F20"/>
          <w:vertAlign w:val="baseline"/>
        </w:rPr>
        <w:t>for</w:t>
      </w:r>
      <w:r>
        <w:rPr>
          <w:color w:val="231F20"/>
          <w:spacing w:val="-3"/>
          <w:vertAlign w:val="baseline"/>
        </w:rPr>
        <w:t> </w:t>
      </w:r>
      <w:r>
        <w:rPr>
          <w:color w:val="231F20"/>
          <w:vertAlign w:val="baseline"/>
        </w:rPr>
        <w:t>multiple</w:t>
      </w:r>
      <w:r>
        <w:rPr>
          <w:color w:val="231F20"/>
          <w:spacing w:val="-3"/>
          <w:vertAlign w:val="baseline"/>
        </w:rPr>
        <w:t> </w:t>
      </w:r>
      <w:r>
        <w:rPr>
          <w:color w:val="231F20"/>
          <w:vertAlign w:val="baseline"/>
        </w:rPr>
        <w:t>sclerosis:</w:t>
      </w:r>
      <w:r>
        <w:rPr>
          <w:color w:val="231F20"/>
          <w:spacing w:val="-3"/>
          <w:vertAlign w:val="baseline"/>
        </w:rPr>
        <w:t> </w:t>
      </w:r>
      <w:r>
        <w:rPr>
          <w:color w:val="231F20"/>
          <w:vertAlign w:val="baseline"/>
        </w:rPr>
        <w:t>2010</w:t>
      </w:r>
      <w:r>
        <w:rPr>
          <w:color w:val="231F20"/>
          <w:spacing w:val="-3"/>
          <w:vertAlign w:val="baseline"/>
        </w:rPr>
        <w:t> </w:t>
      </w:r>
      <w:r>
        <w:rPr>
          <w:color w:val="231F20"/>
          <w:vertAlign w:val="baseline"/>
        </w:rPr>
        <w:t>revisions</w:t>
      </w:r>
      <w:r>
        <w:rPr>
          <w:color w:val="231F20"/>
          <w:spacing w:val="-3"/>
          <w:vertAlign w:val="baseline"/>
        </w:rPr>
        <w:t> </w:t>
      </w:r>
      <w:r>
        <w:rPr>
          <w:color w:val="231F20"/>
          <w:vertAlign w:val="baseline"/>
        </w:rPr>
        <w:t>to</w:t>
      </w:r>
      <w:r>
        <w:rPr>
          <w:color w:val="231F20"/>
          <w:spacing w:val="-3"/>
          <w:vertAlign w:val="baseline"/>
        </w:rPr>
        <w:t> </w:t>
      </w:r>
      <w:r>
        <w:rPr>
          <w:color w:val="231F20"/>
          <w:vertAlign w:val="baseline"/>
        </w:rPr>
        <w:t>the</w:t>
      </w:r>
      <w:r>
        <w:rPr>
          <w:color w:val="231F20"/>
          <w:spacing w:val="-3"/>
          <w:vertAlign w:val="baseline"/>
        </w:rPr>
        <w:t> </w:t>
      </w:r>
      <w:r>
        <w:rPr>
          <w:color w:val="231F20"/>
          <w:vertAlign w:val="baseline"/>
        </w:rPr>
        <w:t>McDonald</w:t>
      </w:r>
      <w:r>
        <w:rPr>
          <w:color w:val="231F20"/>
          <w:spacing w:val="-3"/>
          <w:vertAlign w:val="baseline"/>
        </w:rPr>
        <w:t> </w:t>
      </w:r>
      <w:r>
        <w:rPr>
          <w:color w:val="231F20"/>
          <w:vertAlign w:val="baseline"/>
        </w:rPr>
        <w:t>criteria.</w:t>
      </w:r>
      <w:r>
        <w:rPr>
          <w:color w:val="231F20"/>
          <w:spacing w:val="-3"/>
          <w:vertAlign w:val="baseline"/>
        </w:rPr>
        <w:t> </w:t>
      </w:r>
      <w:r>
        <w:rPr>
          <w:i/>
          <w:color w:val="231F20"/>
          <w:vertAlign w:val="baseline"/>
        </w:rPr>
        <w:t>Ann</w:t>
      </w:r>
      <w:r>
        <w:rPr>
          <w:i/>
          <w:color w:val="231F20"/>
          <w:spacing w:val="-3"/>
          <w:vertAlign w:val="baseline"/>
        </w:rPr>
        <w:t> </w:t>
      </w:r>
      <w:r>
        <w:rPr>
          <w:i/>
          <w:color w:val="231F20"/>
          <w:vertAlign w:val="baseline"/>
        </w:rPr>
        <w:t>Neurol</w:t>
      </w:r>
      <w:r>
        <w:rPr>
          <w:i/>
          <w:color w:val="231F20"/>
          <w:spacing w:val="-3"/>
          <w:vertAlign w:val="baseline"/>
        </w:rPr>
        <w:t> </w:t>
      </w:r>
      <w:r>
        <w:rPr>
          <w:color w:val="231F20"/>
          <w:vertAlign w:val="baseline"/>
        </w:rPr>
        <w:t>69:292–302,</w:t>
      </w:r>
      <w:r>
        <w:rPr>
          <w:color w:val="231F20"/>
          <w:spacing w:val="-3"/>
          <w:vertAlign w:val="baseline"/>
        </w:rPr>
        <w:t> </w:t>
      </w:r>
      <w:r>
        <w:rPr>
          <w:color w:val="231F20"/>
          <w:vertAlign w:val="baseline"/>
        </w:rPr>
        <w:t>2011.</w:t>
      </w:r>
      <w:r>
        <w:rPr>
          <w:color w:val="231F20"/>
          <w:spacing w:val="40"/>
          <w:vertAlign w:val="baseline"/>
        </w:rPr>
        <w:t> </w:t>
      </w:r>
      <w:r>
        <w:rPr>
          <w:color w:val="231F20"/>
          <w:vertAlign w:val="baseline"/>
        </w:rPr>
        <w:t>ADEM, acute disseminated encephalomyelitis; MS, multiple sclerosis.</w:t>
      </w:r>
    </w:p>
    <w:p>
      <w:pPr>
        <w:spacing w:before="0"/>
        <w:ind w:left="927" w:right="446" w:firstLine="130"/>
        <w:jc w:val="left"/>
        <w:rPr>
          <w:i/>
          <w:sz w:val="13"/>
        </w:rPr>
      </w:pPr>
      <w:r>
        <w:rPr>
          <w:i/>
          <w:color w:val="231F20"/>
          <w:sz w:val="13"/>
        </w:rPr>
        <w:t>From</w:t>
      </w:r>
      <w:r>
        <w:rPr>
          <w:i/>
          <w:color w:val="231F20"/>
          <w:spacing w:val="-9"/>
          <w:sz w:val="13"/>
        </w:rPr>
        <w:t> </w:t>
      </w:r>
      <w:r>
        <w:rPr>
          <w:i/>
          <w:color w:val="231F20"/>
          <w:sz w:val="13"/>
        </w:rPr>
        <w:t>Krupp</w:t>
      </w:r>
      <w:r>
        <w:rPr>
          <w:i/>
          <w:color w:val="231F20"/>
          <w:spacing w:val="-9"/>
          <w:sz w:val="13"/>
        </w:rPr>
        <w:t> </w:t>
      </w:r>
      <w:r>
        <w:rPr>
          <w:i/>
          <w:color w:val="231F20"/>
          <w:sz w:val="13"/>
        </w:rPr>
        <w:t>LB,</w:t>
      </w:r>
      <w:r>
        <w:rPr>
          <w:i/>
          <w:color w:val="231F20"/>
          <w:spacing w:val="-9"/>
          <w:sz w:val="13"/>
        </w:rPr>
        <w:t> </w:t>
      </w:r>
      <w:r>
        <w:rPr>
          <w:i/>
          <w:color w:val="231F20"/>
          <w:sz w:val="13"/>
        </w:rPr>
        <w:t>Tardieu</w:t>
      </w:r>
      <w:r>
        <w:rPr>
          <w:i/>
          <w:color w:val="231F20"/>
          <w:spacing w:val="-9"/>
          <w:sz w:val="13"/>
        </w:rPr>
        <w:t> </w:t>
      </w:r>
      <w:r>
        <w:rPr>
          <w:i/>
          <w:color w:val="231F20"/>
          <w:sz w:val="13"/>
        </w:rPr>
        <w:t>M,</w:t>
      </w:r>
      <w:r>
        <w:rPr>
          <w:i/>
          <w:color w:val="231F20"/>
          <w:spacing w:val="-9"/>
          <w:sz w:val="13"/>
        </w:rPr>
        <w:t> </w:t>
      </w:r>
      <w:r>
        <w:rPr>
          <w:i/>
          <w:color w:val="231F20"/>
          <w:sz w:val="13"/>
        </w:rPr>
        <w:t>Amato</w:t>
      </w:r>
      <w:r>
        <w:rPr>
          <w:i/>
          <w:color w:val="231F20"/>
          <w:spacing w:val="-9"/>
          <w:sz w:val="13"/>
        </w:rPr>
        <w:t> </w:t>
      </w:r>
      <w:r>
        <w:rPr>
          <w:i/>
          <w:color w:val="231F20"/>
          <w:sz w:val="13"/>
        </w:rPr>
        <w:t>MP,</w:t>
      </w:r>
      <w:r>
        <w:rPr>
          <w:i/>
          <w:color w:val="231F20"/>
          <w:spacing w:val="-9"/>
          <w:sz w:val="13"/>
        </w:rPr>
        <w:t> </w:t>
      </w:r>
      <w:r>
        <w:rPr>
          <w:i/>
          <w:color w:val="231F20"/>
          <w:sz w:val="13"/>
        </w:rPr>
        <w:t>et</w:t>
      </w:r>
      <w:r>
        <w:rPr>
          <w:i/>
          <w:color w:val="231F20"/>
          <w:spacing w:val="-9"/>
          <w:sz w:val="13"/>
        </w:rPr>
        <w:t> </w:t>
      </w:r>
      <w:r>
        <w:rPr>
          <w:i/>
          <w:color w:val="231F20"/>
          <w:sz w:val="13"/>
        </w:rPr>
        <w:t>al:</w:t>
      </w:r>
      <w:r>
        <w:rPr>
          <w:i/>
          <w:color w:val="231F20"/>
          <w:spacing w:val="-9"/>
          <w:sz w:val="13"/>
        </w:rPr>
        <w:t> </w:t>
      </w:r>
      <w:r>
        <w:rPr>
          <w:i/>
          <w:color w:val="231F20"/>
          <w:sz w:val="13"/>
        </w:rPr>
        <w:t>International</w:t>
      </w:r>
      <w:r>
        <w:rPr>
          <w:i/>
          <w:color w:val="231F20"/>
          <w:spacing w:val="-9"/>
          <w:sz w:val="13"/>
        </w:rPr>
        <w:t> </w:t>
      </w:r>
      <w:r>
        <w:rPr>
          <w:i/>
          <w:color w:val="231F20"/>
          <w:sz w:val="13"/>
        </w:rPr>
        <w:t>Pediatric</w:t>
      </w:r>
      <w:r>
        <w:rPr>
          <w:i/>
          <w:color w:val="231F20"/>
          <w:spacing w:val="-9"/>
          <w:sz w:val="13"/>
        </w:rPr>
        <w:t> </w:t>
      </w:r>
      <w:r>
        <w:rPr>
          <w:i/>
          <w:color w:val="231F20"/>
          <w:sz w:val="13"/>
        </w:rPr>
        <w:t>Multiple</w:t>
      </w:r>
      <w:r>
        <w:rPr>
          <w:i/>
          <w:color w:val="231F20"/>
          <w:spacing w:val="-9"/>
          <w:sz w:val="13"/>
        </w:rPr>
        <w:t> </w:t>
      </w:r>
      <w:r>
        <w:rPr>
          <w:i/>
          <w:color w:val="231F20"/>
          <w:sz w:val="13"/>
        </w:rPr>
        <w:t>Sclerosis</w:t>
      </w:r>
      <w:r>
        <w:rPr>
          <w:i/>
          <w:color w:val="231F20"/>
          <w:spacing w:val="-9"/>
          <w:sz w:val="13"/>
        </w:rPr>
        <w:t> </w:t>
      </w:r>
      <w:r>
        <w:rPr>
          <w:i/>
          <w:color w:val="231F20"/>
          <w:sz w:val="13"/>
        </w:rPr>
        <w:t>Study</w:t>
      </w:r>
      <w:r>
        <w:rPr>
          <w:i/>
          <w:color w:val="231F20"/>
          <w:spacing w:val="-9"/>
          <w:sz w:val="13"/>
        </w:rPr>
        <w:t> </w:t>
      </w:r>
      <w:r>
        <w:rPr>
          <w:i/>
          <w:color w:val="231F20"/>
          <w:sz w:val="13"/>
        </w:rPr>
        <w:t>Group</w:t>
      </w:r>
      <w:r>
        <w:rPr>
          <w:i/>
          <w:color w:val="231F20"/>
          <w:spacing w:val="-9"/>
          <w:sz w:val="13"/>
        </w:rPr>
        <w:t> </w:t>
      </w:r>
      <w:r>
        <w:rPr>
          <w:i/>
          <w:color w:val="231F20"/>
          <w:sz w:val="13"/>
        </w:rPr>
        <w:t>criteria</w:t>
      </w:r>
      <w:r>
        <w:rPr>
          <w:i/>
          <w:color w:val="231F20"/>
          <w:spacing w:val="-9"/>
          <w:sz w:val="13"/>
        </w:rPr>
        <w:t> </w:t>
      </w:r>
      <w:r>
        <w:rPr>
          <w:i/>
          <w:color w:val="231F20"/>
          <w:sz w:val="13"/>
        </w:rPr>
        <w:t>for</w:t>
      </w:r>
      <w:r>
        <w:rPr>
          <w:i/>
          <w:color w:val="231F20"/>
          <w:spacing w:val="-9"/>
          <w:sz w:val="13"/>
        </w:rPr>
        <w:t> </w:t>
      </w:r>
      <w:r>
        <w:rPr>
          <w:i/>
          <w:color w:val="231F20"/>
          <w:sz w:val="13"/>
        </w:rPr>
        <w:t>pediatric</w:t>
      </w:r>
      <w:r>
        <w:rPr>
          <w:i/>
          <w:color w:val="231F20"/>
          <w:spacing w:val="-9"/>
          <w:sz w:val="13"/>
        </w:rPr>
        <w:t> </w:t>
      </w:r>
      <w:r>
        <w:rPr>
          <w:i/>
          <w:color w:val="231F20"/>
          <w:sz w:val="13"/>
        </w:rPr>
        <w:t>multiple</w:t>
      </w:r>
      <w:r>
        <w:rPr>
          <w:i/>
          <w:color w:val="231F20"/>
          <w:spacing w:val="-9"/>
          <w:sz w:val="13"/>
        </w:rPr>
        <w:t> </w:t>
      </w:r>
      <w:r>
        <w:rPr>
          <w:i/>
          <w:color w:val="231F20"/>
          <w:sz w:val="13"/>
        </w:rPr>
        <w:t>sclerosis</w:t>
      </w:r>
      <w:r>
        <w:rPr>
          <w:i/>
          <w:color w:val="231F20"/>
          <w:spacing w:val="-9"/>
          <w:sz w:val="13"/>
        </w:rPr>
        <w:t> </w:t>
      </w:r>
      <w:r>
        <w:rPr>
          <w:i/>
          <w:color w:val="231F20"/>
          <w:sz w:val="13"/>
        </w:rPr>
        <w:t>and</w:t>
      </w:r>
      <w:r>
        <w:rPr>
          <w:i/>
          <w:color w:val="231F20"/>
          <w:spacing w:val="-9"/>
          <w:sz w:val="13"/>
        </w:rPr>
        <w:t> </w:t>
      </w:r>
      <w:r>
        <w:rPr>
          <w:i/>
          <w:color w:val="231F20"/>
          <w:sz w:val="13"/>
        </w:rPr>
        <w:t>immune-mediated</w:t>
      </w:r>
      <w:r>
        <w:rPr>
          <w:i/>
          <w:color w:val="231F20"/>
          <w:spacing w:val="40"/>
          <w:sz w:val="13"/>
        </w:rPr>
        <w:t> </w:t>
      </w:r>
      <w:r>
        <w:rPr>
          <w:i/>
          <w:color w:val="231F20"/>
          <w:sz w:val="13"/>
        </w:rPr>
        <w:t>central</w:t>
      </w:r>
      <w:r>
        <w:rPr>
          <w:i/>
          <w:color w:val="231F20"/>
          <w:spacing w:val="-3"/>
          <w:sz w:val="13"/>
        </w:rPr>
        <w:t> </w:t>
      </w:r>
      <w:r>
        <w:rPr>
          <w:i/>
          <w:color w:val="231F20"/>
          <w:sz w:val="13"/>
        </w:rPr>
        <w:t>nervous</w:t>
      </w:r>
      <w:r>
        <w:rPr>
          <w:i/>
          <w:color w:val="231F20"/>
          <w:spacing w:val="-3"/>
          <w:sz w:val="13"/>
        </w:rPr>
        <w:t> </w:t>
      </w:r>
      <w:r>
        <w:rPr>
          <w:i/>
          <w:color w:val="231F20"/>
          <w:sz w:val="13"/>
        </w:rPr>
        <w:t>system</w:t>
      </w:r>
      <w:r>
        <w:rPr>
          <w:i/>
          <w:color w:val="231F20"/>
          <w:spacing w:val="-3"/>
          <w:sz w:val="13"/>
        </w:rPr>
        <w:t> </w:t>
      </w:r>
      <w:r>
        <w:rPr>
          <w:i/>
          <w:color w:val="231F20"/>
          <w:sz w:val="13"/>
        </w:rPr>
        <w:t>demyelinating</w:t>
      </w:r>
      <w:r>
        <w:rPr>
          <w:i/>
          <w:color w:val="231F20"/>
          <w:spacing w:val="-3"/>
          <w:sz w:val="13"/>
        </w:rPr>
        <w:t> </w:t>
      </w:r>
      <w:r>
        <w:rPr>
          <w:i/>
          <w:color w:val="231F20"/>
          <w:sz w:val="13"/>
        </w:rPr>
        <w:t>disorders:</w:t>
      </w:r>
      <w:r>
        <w:rPr>
          <w:i/>
          <w:color w:val="231F20"/>
          <w:spacing w:val="-3"/>
          <w:sz w:val="13"/>
        </w:rPr>
        <w:t> </w:t>
      </w:r>
      <w:r>
        <w:rPr>
          <w:i/>
          <w:color w:val="231F20"/>
          <w:sz w:val="13"/>
        </w:rPr>
        <w:t>revision</w:t>
      </w:r>
      <w:r>
        <w:rPr>
          <w:i/>
          <w:color w:val="231F20"/>
          <w:spacing w:val="-3"/>
          <w:sz w:val="13"/>
        </w:rPr>
        <w:t> </w:t>
      </w:r>
      <w:r>
        <w:rPr>
          <w:i/>
          <w:color w:val="231F20"/>
          <w:sz w:val="13"/>
        </w:rPr>
        <w:t>to</w:t>
      </w:r>
      <w:r>
        <w:rPr>
          <w:i/>
          <w:color w:val="231F20"/>
          <w:spacing w:val="-3"/>
          <w:sz w:val="13"/>
        </w:rPr>
        <w:t> </w:t>
      </w:r>
      <w:r>
        <w:rPr>
          <w:i/>
          <w:color w:val="231F20"/>
          <w:sz w:val="13"/>
        </w:rPr>
        <w:t>the</w:t>
      </w:r>
      <w:r>
        <w:rPr>
          <w:i/>
          <w:color w:val="231F20"/>
          <w:spacing w:val="-3"/>
          <w:sz w:val="13"/>
        </w:rPr>
        <w:t> </w:t>
      </w:r>
      <w:r>
        <w:rPr>
          <w:i/>
          <w:color w:val="231F20"/>
          <w:sz w:val="13"/>
        </w:rPr>
        <w:t>2007</w:t>
      </w:r>
      <w:r>
        <w:rPr>
          <w:i/>
          <w:color w:val="231F20"/>
          <w:spacing w:val="-3"/>
          <w:sz w:val="13"/>
        </w:rPr>
        <w:t> </w:t>
      </w:r>
      <w:r>
        <w:rPr>
          <w:i/>
          <w:color w:val="231F20"/>
          <w:sz w:val="13"/>
        </w:rPr>
        <w:t>definitions.</w:t>
      </w:r>
      <w:r>
        <w:rPr>
          <w:i/>
          <w:color w:val="231F20"/>
          <w:spacing w:val="-3"/>
          <w:sz w:val="13"/>
        </w:rPr>
        <w:t> </w:t>
      </w:r>
      <w:r>
        <w:rPr>
          <w:color w:val="231F20"/>
          <w:sz w:val="13"/>
        </w:rPr>
        <w:t>Mult</w:t>
      </w:r>
      <w:r>
        <w:rPr>
          <w:color w:val="231F20"/>
          <w:spacing w:val="-3"/>
          <w:sz w:val="13"/>
        </w:rPr>
        <w:t> </w:t>
      </w:r>
      <w:r>
        <w:rPr>
          <w:color w:val="231F20"/>
          <w:sz w:val="13"/>
        </w:rPr>
        <w:t>Scler</w:t>
      </w:r>
      <w:r>
        <w:rPr>
          <w:color w:val="231F20"/>
          <w:spacing w:val="-3"/>
          <w:sz w:val="13"/>
        </w:rPr>
        <w:t> </w:t>
      </w:r>
      <w:r>
        <w:rPr>
          <w:i/>
          <w:color w:val="231F20"/>
          <w:sz w:val="13"/>
        </w:rPr>
        <w:t>19(10):1261–1267,</w:t>
      </w:r>
      <w:r>
        <w:rPr>
          <w:i/>
          <w:color w:val="231F20"/>
          <w:spacing w:val="-3"/>
          <w:sz w:val="13"/>
        </w:rPr>
        <w:t> </w:t>
      </w:r>
      <w:r>
        <w:rPr>
          <w:i/>
          <w:color w:val="231F20"/>
          <w:sz w:val="13"/>
        </w:rPr>
        <w:t>2013,</w:t>
      </w:r>
      <w:r>
        <w:rPr>
          <w:i/>
          <w:color w:val="231F20"/>
          <w:spacing w:val="-3"/>
          <w:sz w:val="13"/>
        </w:rPr>
        <w:t> </w:t>
      </w:r>
      <w:r>
        <w:rPr>
          <w:i/>
          <w:color w:val="231F20"/>
          <w:sz w:val="13"/>
        </w:rPr>
        <w:t>Appendix</w:t>
      </w:r>
      <w:r>
        <w:rPr>
          <w:i/>
          <w:color w:val="231F20"/>
          <w:spacing w:val="-3"/>
          <w:sz w:val="13"/>
        </w:rPr>
        <w:t> </w:t>
      </w:r>
      <w:r>
        <w:rPr>
          <w:i/>
          <w:color w:val="231F20"/>
          <w:sz w:val="13"/>
        </w:rPr>
        <w:t>3,</w:t>
      </w:r>
      <w:r>
        <w:rPr>
          <w:i/>
          <w:color w:val="231F20"/>
          <w:spacing w:val="-3"/>
          <w:sz w:val="13"/>
        </w:rPr>
        <w:t> </w:t>
      </w:r>
      <w:r>
        <w:rPr>
          <w:i/>
          <w:color w:val="231F20"/>
          <w:sz w:val="13"/>
        </w:rPr>
        <w:t>p.</w:t>
      </w:r>
      <w:r>
        <w:rPr>
          <w:i/>
          <w:color w:val="231F20"/>
          <w:spacing w:val="-3"/>
          <w:sz w:val="13"/>
        </w:rPr>
        <w:t> </w:t>
      </w:r>
      <w:r>
        <w:rPr>
          <w:i/>
          <w:color w:val="231F20"/>
          <w:sz w:val="13"/>
        </w:rPr>
        <w:t>1267.</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795" name="Group 795"/>
                <wp:cNvGraphicFramePr>
                  <a:graphicFrameLocks/>
                </wp:cNvGraphicFramePr>
                <a:graphic>
                  <a:graphicData uri="http://schemas.microsoft.com/office/word/2010/wordprocessingGroup">
                    <wpg:wgp>
                      <wpg:cNvPr id="795" name="Group 795"/>
                      <wpg:cNvGrpSpPr/>
                      <wpg:grpSpPr>
                        <a:xfrm>
                          <a:off x="0" y="0"/>
                          <a:ext cx="6185535" cy="170815"/>
                          <a:chExt cx="6185535" cy="170815"/>
                        </a:xfrm>
                      </wpg:grpSpPr>
                      <wps:wsp>
                        <wps:cNvPr id="796" name="Graphic 796"/>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797" name="Graphic 797"/>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798" name="Textbox 79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2912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658"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659" filled="false" stroked="false">
                  <v:textbox inset="0,0,0,0">
                    <w:txbxContent>
                      <w:p>
                        <w:pPr>
                          <w:spacing w:before="6"/>
                          <w:ind w:left="-1" w:right="0" w:firstLine="0"/>
                          <w:jc w:val="left"/>
                          <w:rPr>
                            <w:sz w:val="18"/>
                          </w:rPr>
                        </w:pPr>
                        <w:r>
                          <w:rPr>
                            <w:b/>
                            <w:color w:val="231F20"/>
                            <w:w w:val="105"/>
                            <w:sz w:val="18"/>
                          </w:rPr>
                          <w:t>2912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3"/>
        <w:rPr>
          <w:i/>
          <w:sz w:val="9"/>
        </w:rPr>
      </w:pPr>
    </w:p>
    <w:p>
      <w:pPr>
        <w:pStyle w:val="BodyText"/>
        <w:spacing w:after="0"/>
        <w:rPr>
          <w:i/>
          <w:sz w:val="9"/>
        </w:rPr>
        <w:sectPr>
          <w:pgSz w:w="11900" w:h="16840"/>
          <w:pgMar w:header="0" w:footer="0" w:top="720" w:bottom="280" w:left="425" w:right="566"/>
        </w:sectPr>
      </w:pPr>
    </w:p>
    <w:p>
      <w:pPr>
        <w:spacing w:line="645" w:lineRule="auto" w:before="75"/>
        <w:ind w:left="1420" w:right="0" w:hanging="285"/>
        <w:jc w:val="left"/>
        <w:rPr>
          <w:rFonts w:ascii="Arial"/>
          <w:b/>
          <w:sz w:val="15"/>
        </w:rPr>
      </w:pPr>
      <w:r>
        <w:rPr>
          <w:rFonts w:ascii="Arial"/>
          <w:b/>
          <w:sz w:val="15"/>
        </w:rPr>
        <mc:AlternateContent>
          <mc:Choice Requires="wps">
            <w:drawing>
              <wp:anchor distT="0" distB="0" distL="0" distR="0" allowOverlap="1" layoutInCell="1" locked="0" behindDoc="1" simplePos="0" relativeHeight="475208192">
                <wp:simplePos x="0" y="0"/>
                <wp:positionH relativeFrom="page">
                  <wp:posOffset>1423035</wp:posOffset>
                </wp:positionH>
                <wp:positionV relativeFrom="paragraph">
                  <wp:posOffset>154865</wp:posOffset>
                </wp:positionV>
                <wp:extent cx="158750" cy="63500"/>
                <wp:effectExtent l="0" t="0" r="0" b="0"/>
                <wp:wrapNone/>
                <wp:docPr id="799" name="Graphic 799"/>
                <wp:cNvGraphicFramePr>
                  <a:graphicFrameLocks/>
                </wp:cNvGraphicFramePr>
                <a:graphic>
                  <a:graphicData uri="http://schemas.microsoft.com/office/word/2010/wordprocessingShape">
                    <wps:wsp>
                      <wps:cNvPr id="799" name="Graphic 799"/>
                      <wps:cNvSpPr/>
                      <wps:spPr>
                        <a:xfrm>
                          <a:off x="0" y="0"/>
                          <a:ext cx="158750" cy="63500"/>
                        </a:xfrm>
                        <a:custGeom>
                          <a:avLst/>
                          <a:gdLst/>
                          <a:ahLst/>
                          <a:cxnLst/>
                          <a:rect l="l" t="t" r="r" b="b"/>
                          <a:pathLst>
                            <a:path w="158750" h="63500">
                              <a:moveTo>
                                <a:pt x="0" y="0"/>
                              </a:moveTo>
                              <a:lnTo>
                                <a:pt x="158198" y="63191"/>
                              </a:lnTo>
                            </a:path>
                          </a:pathLst>
                        </a:custGeom>
                        <a:ln w="11849">
                          <a:solidFill>
                            <a:srgbClr val="009ED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8108288" from="112.050003pt,12.194166pt" to="124.506573pt,17.169890pt" stroked="true" strokeweight=".933007pt" strokecolor="#009edb">
                <v:stroke dashstyle="solid"/>
                <w10:wrap type="none"/>
              </v:line>
            </w:pict>
          </mc:Fallback>
        </mc:AlternateContent>
      </w:r>
      <w:r>
        <w:rPr>
          <w:rFonts w:ascii="Arial"/>
          <w:b/>
          <w:sz w:val="15"/>
        </w:rPr>
        <mc:AlternateContent>
          <mc:Choice Requires="wps">
            <w:drawing>
              <wp:anchor distT="0" distB="0" distL="0" distR="0" allowOverlap="1" layoutInCell="1" locked="0" behindDoc="0" simplePos="0" relativeHeight="15783424">
                <wp:simplePos x="0" y="0"/>
                <wp:positionH relativeFrom="page">
                  <wp:posOffset>1432905</wp:posOffset>
                </wp:positionH>
                <wp:positionV relativeFrom="paragraph">
                  <wp:posOffset>283228</wp:posOffset>
                </wp:positionV>
                <wp:extent cx="148590" cy="63500"/>
                <wp:effectExtent l="0" t="0" r="0" b="0"/>
                <wp:wrapNone/>
                <wp:docPr id="800" name="Graphic 800"/>
                <wp:cNvGraphicFramePr>
                  <a:graphicFrameLocks/>
                </wp:cNvGraphicFramePr>
                <a:graphic>
                  <a:graphicData uri="http://schemas.microsoft.com/office/word/2010/wordprocessingShape">
                    <wps:wsp>
                      <wps:cNvPr id="800" name="Graphic 800"/>
                      <wps:cNvSpPr/>
                      <wps:spPr>
                        <a:xfrm>
                          <a:off x="0" y="0"/>
                          <a:ext cx="148590" cy="63500"/>
                        </a:xfrm>
                        <a:custGeom>
                          <a:avLst/>
                          <a:gdLst/>
                          <a:ahLst/>
                          <a:cxnLst/>
                          <a:rect l="l" t="t" r="r" b="b"/>
                          <a:pathLst>
                            <a:path w="148590" h="63500">
                              <a:moveTo>
                                <a:pt x="0" y="63203"/>
                              </a:moveTo>
                              <a:lnTo>
                                <a:pt x="148328" y="0"/>
                              </a:lnTo>
                            </a:path>
                          </a:pathLst>
                        </a:custGeom>
                        <a:ln w="11849">
                          <a:solidFill>
                            <a:srgbClr val="009ED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424" from="112.827194pt,27.278083pt" to="124.50657pt,22.301426pt" stroked="true" strokeweight=".933007pt" strokecolor="#009edb">
                <v:stroke dashstyle="solid"/>
                <w10:wrap type="none"/>
              </v:line>
            </w:pict>
          </mc:Fallback>
        </mc:AlternateContent>
      </w:r>
      <w:r>
        <w:rPr>
          <w:rFonts w:ascii="Arial"/>
          <w:b/>
          <w:color w:val="231F20"/>
          <w:spacing w:val="-2"/>
          <w:sz w:val="15"/>
        </w:rPr>
        <w:t>Gal-GalNAc</w:t>
      </w:r>
      <w:r>
        <w:rPr>
          <w:rFonts w:ascii="Arial"/>
          <w:b/>
          <w:color w:val="231F20"/>
          <w:sz w:val="15"/>
        </w:rPr>
        <w:t> </w:t>
      </w:r>
      <w:r>
        <w:rPr>
          <w:rFonts w:ascii="Arial"/>
          <w:b/>
          <w:color w:val="231F20"/>
          <w:spacing w:val="-4"/>
          <w:sz w:val="15"/>
        </w:rPr>
        <w:t>NANA</w:t>
      </w:r>
    </w:p>
    <w:p>
      <w:pPr>
        <w:spacing w:line="240" w:lineRule="auto" w:before="135"/>
        <w:rPr>
          <w:rFonts w:ascii="Arial"/>
          <w:b/>
          <w:sz w:val="15"/>
        </w:rPr>
      </w:pPr>
      <w:r>
        <w:rPr/>
        <w:br w:type="column"/>
      </w:r>
      <w:r>
        <w:rPr>
          <w:rFonts w:ascii="Arial"/>
          <w:b/>
          <w:sz w:val="15"/>
        </w:rPr>
      </w:r>
    </w:p>
    <w:p>
      <w:pPr>
        <w:spacing w:before="1"/>
        <w:ind w:left="77" w:right="0" w:firstLine="0"/>
        <w:jc w:val="left"/>
        <w:rPr>
          <w:rFonts w:ascii="Arial"/>
          <w:b/>
          <w:sz w:val="15"/>
        </w:rPr>
      </w:pPr>
      <w:r>
        <w:rPr>
          <w:rFonts w:ascii="Arial"/>
          <w:b/>
          <w:color w:val="231F20"/>
          <w:spacing w:val="-5"/>
          <w:sz w:val="15"/>
        </w:rPr>
        <w:t>Gal</w:t>
      </w:r>
    </w:p>
    <w:p>
      <w:pPr>
        <w:spacing w:line="240" w:lineRule="auto" w:before="136"/>
        <w:rPr>
          <w:rFonts w:ascii="Arial"/>
          <w:b/>
          <w:sz w:val="15"/>
        </w:rPr>
      </w:pPr>
      <w:r>
        <w:rPr/>
        <w:br w:type="column"/>
      </w:r>
      <w:r>
        <w:rPr>
          <w:rFonts w:ascii="Arial"/>
          <w:b/>
          <w:sz w:val="15"/>
        </w:rPr>
      </w:r>
    </w:p>
    <w:p>
      <w:pPr>
        <w:spacing w:before="0"/>
        <w:ind w:left="0" w:right="0" w:firstLine="0"/>
        <w:jc w:val="left"/>
        <w:rPr>
          <w:rFonts w:ascii="Arial"/>
          <w:i/>
          <w:sz w:val="15"/>
        </w:rPr>
      </w:pPr>
      <w:r>
        <w:rPr>
          <w:position w:val="5"/>
        </w:rPr>
        <w:drawing>
          <wp:inline distT="0" distB="0" distL="0" distR="0">
            <wp:extent cx="116524" cy="11849"/>
            <wp:effectExtent l="0" t="0" r="0" b="0"/>
            <wp:docPr id="801" name="Image 801"/>
            <wp:cNvGraphicFramePr>
              <a:graphicFrameLocks/>
            </wp:cNvGraphicFramePr>
            <a:graphic>
              <a:graphicData uri="http://schemas.openxmlformats.org/drawingml/2006/picture">
                <pic:pic>
                  <pic:nvPicPr>
                    <pic:cNvPr id="801" name="Image 801"/>
                    <pic:cNvPicPr/>
                  </pic:nvPicPr>
                  <pic:blipFill>
                    <a:blip r:embed="rId298" cstate="print"/>
                    <a:stretch>
                      <a:fillRect/>
                    </a:stretch>
                  </pic:blipFill>
                  <pic:spPr>
                    <a:xfrm>
                      <a:off x="0" y="0"/>
                      <a:ext cx="116524" cy="11849"/>
                    </a:xfrm>
                    <a:prstGeom prst="rect">
                      <a:avLst/>
                    </a:prstGeom>
                  </pic:spPr>
                </pic:pic>
              </a:graphicData>
            </a:graphic>
          </wp:inline>
        </w:drawing>
      </w:r>
      <w:r>
        <w:rPr>
          <w:position w:val="5"/>
        </w:rPr>
      </w:r>
      <w:r>
        <w:rPr>
          <w:rFonts w:ascii="Times New Roman"/>
          <w:spacing w:val="-4"/>
          <w:sz w:val="20"/>
        </w:rPr>
        <w:t> </w:t>
      </w:r>
      <w:r>
        <w:rPr>
          <w:rFonts w:ascii="Arial"/>
          <w:b/>
          <w:color w:val="231F20"/>
          <w:spacing w:val="-2"/>
          <w:sz w:val="15"/>
        </w:rPr>
        <w:t>Glc-Ceramide</w:t>
      </w:r>
      <w:r>
        <w:rPr>
          <w:rFonts w:ascii="Arial"/>
          <w:b/>
          <w:color w:val="231F20"/>
          <w:sz w:val="15"/>
        </w:rPr>
        <w:t> </w:t>
      </w:r>
      <w:r>
        <w:rPr>
          <w:rFonts w:ascii="Arial"/>
          <w:i/>
          <w:color w:val="231F20"/>
          <w:spacing w:val="-2"/>
          <w:sz w:val="15"/>
        </w:rPr>
        <w:t>(GM1</w:t>
      </w:r>
      <w:r>
        <w:rPr>
          <w:rFonts w:ascii="Arial"/>
          <w:i/>
          <w:color w:val="231F20"/>
          <w:sz w:val="15"/>
        </w:rPr>
        <w:t> </w:t>
      </w:r>
      <w:r>
        <w:rPr>
          <w:rFonts w:ascii="Arial"/>
          <w:i/>
          <w:color w:val="231F20"/>
          <w:spacing w:val="-2"/>
          <w:sz w:val="15"/>
        </w:rPr>
        <w:t>Ganglioside)</w:t>
      </w:r>
    </w:p>
    <w:p>
      <w:pPr>
        <w:spacing w:after="0"/>
        <w:jc w:val="left"/>
        <w:rPr>
          <w:rFonts w:ascii="Arial"/>
          <w:i/>
          <w:sz w:val="15"/>
        </w:rPr>
        <w:sectPr>
          <w:type w:val="continuous"/>
          <w:pgSz w:w="11900" w:h="16840"/>
          <w:pgMar w:header="0" w:footer="0" w:top="620" w:bottom="280" w:left="425" w:right="566"/>
          <w:cols w:num="3" w:equalWidth="0">
            <w:col w:w="1965" w:space="40"/>
            <w:col w:w="319" w:space="39"/>
            <w:col w:w="8546"/>
          </w:cols>
        </w:sectPr>
      </w:pPr>
    </w:p>
    <w:p>
      <w:pPr>
        <w:pStyle w:val="BodyText"/>
        <w:spacing w:before="154"/>
        <w:rPr>
          <w:rFonts w:ascii="Arial"/>
          <w:i/>
          <w:sz w:val="15"/>
        </w:rPr>
      </w:pPr>
    </w:p>
    <w:p>
      <w:pPr>
        <w:spacing w:line="645" w:lineRule="auto" w:before="0"/>
        <w:ind w:left="1420" w:right="0" w:hanging="52"/>
        <w:jc w:val="left"/>
        <w:rPr>
          <w:rFonts w:ascii="Arial"/>
          <w:b/>
          <w:sz w:val="15"/>
        </w:rPr>
      </w:pPr>
      <w:r>
        <w:rPr>
          <w:rFonts w:ascii="Arial"/>
          <w:b/>
          <w:color w:val="231F20"/>
          <w:spacing w:val="-2"/>
          <w:sz w:val="15"/>
        </w:rPr>
        <w:t>GalNAc</w:t>
      </w:r>
      <w:r>
        <w:rPr>
          <w:rFonts w:ascii="Arial"/>
          <w:b/>
          <w:color w:val="231F20"/>
          <w:sz w:val="15"/>
        </w:rPr>
        <w:t> </w:t>
      </w:r>
      <w:r>
        <w:rPr>
          <w:rFonts w:ascii="Arial"/>
          <w:b/>
          <w:color w:val="231F20"/>
          <w:spacing w:val="-4"/>
          <w:sz w:val="15"/>
        </w:rPr>
        <w:t>NANA</w:t>
      </w:r>
    </w:p>
    <w:p>
      <w:pPr>
        <w:spacing w:before="5"/>
        <w:ind w:left="0" w:right="0" w:firstLine="0"/>
        <w:jc w:val="left"/>
        <w:rPr>
          <w:rFonts w:ascii="Arial MT"/>
          <w:sz w:val="15"/>
        </w:rPr>
      </w:pPr>
      <w:r>
        <w:rPr/>
        <w:br w:type="column"/>
      </w:r>
      <w:r>
        <w:rPr>
          <w:rFonts w:ascii="Arial MT"/>
          <w:color w:val="231F20"/>
          <w:spacing w:val="-5"/>
          <w:sz w:val="15"/>
        </w:rPr>
        <w:t>Gal</w:t>
      </w:r>
    </w:p>
    <w:p>
      <w:pPr>
        <w:pStyle w:val="BodyText"/>
        <w:rPr>
          <w:rFonts w:ascii="Arial MT"/>
          <w:sz w:val="15"/>
        </w:rPr>
      </w:pPr>
    </w:p>
    <w:p>
      <w:pPr>
        <w:pStyle w:val="BodyText"/>
        <w:spacing w:before="37"/>
        <w:rPr>
          <w:rFonts w:ascii="Arial MT"/>
          <w:sz w:val="15"/>
        </w:rPr>
      </w:pPr>
    </w:p>
    <w:p>
      <w:pPr>
        <w:spacing w:before="1"/>
        <w:ind w:left="144" w:right="0" w:firstLine="0"/>
        <w:jc w:val="left"/>
        <w:rPr>
          <w:rFonts w:ascii="Arial"/>
          <w:b/>
          <w:sz w:val="15"/>
        </w:rPr>
      </w:pPr>
      <w:r>
        <w:rPr>
          <w:rFonts w:ascii="Arial"/>
          <w:b/>
          <w:sz w:val="15"/>
        </w:rPr>
        <mc:AlternateContent>
          <mc:Choice Requires="wps">
            <w:drawing>
              <wp:anchor distT="0" distB="0" distL="0" distR="0" allowOverlap="1" layoutInCell="1" locked="0" behindDoc="1" simplePos="0" relativeHeight="475205632">
                <wp:simplePos x="0" y="0"/>
                <wp:positionH relativeFrom="page">
                  <wp:posOffset>1682817</wp:posOffset>
                </wp:positionH>
                <wp:positionV relativeFrom="paragraph">
                  <wp:posOffset>-658659</wp:posOffset>
                </wp:positionV>
                <wp:extent cx="2471420" cy="629920"/>
                <wp:effectExtent l="0" t="0" r="0" b="0"/>
                <wp:wrapNone/>
                <wp:docPr id="802" name="Group 802"/>
                <wp:cNvGraphicFramePr>
                  <a:graphicFrameLocks/>
                </wp:cNvGraphicFramePr>
                <a:graphic>
                  <a:graphicData uri="http://schemas.microsoft.com/office/word/2010/wordprocessingGroup">
                    <wpg:wgp>
                      <wpg:cNvPr id="802" name="Group 802"/>
                      <wpg:cNvGrpSpPr/>
                      <wpg:grpSpPr>
                        <a:xfrm>
                          <a:off x="0" y="0"/>
                          <a:ext cx="2471420" cy="629920"/>
                          <a:chExt cx="2471420" cy="629920"/>
                        </a:xfrm>
                      </wpg:grpSpPr>
                      <wps:wsp>
                        <wps:cNvPr id="803" name="Graphic 803"/>
                        <wps:cNvSpPr/>
                        <wps:spPr>
                          <a:xfrm>
                            <a:off x="451168" y="206115"/>
                            <a:ext cx="1101725" cy="1270"/>
                          </a:xfrm>
                          <a:custGeom>
                            <a:avLst/>
                            <a:gdLst/>
                            <a:ahLst/>
                            <a:cxnLst/>
                            <a:rect l="l" t="t" r="r" b="b"/>
                            <a:pathLst>
                              <a:path w="1101725" h="0">
                                <a:moveTo>
                                  <a:pt x="1101405"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04" name="Graphic 804"/>
                        <wps:cNvSpPr/>
                        <wps:spPr>
                          <a:xfrm>
                            <a:off x="384220" y="167572"/>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805" name="Graphic 805"/>
                        <wps:cNvSpPr/>
                        <wps:spPr>
                          <a:xfrm>
                            <a:off x="214185" y="5911"/>
                            <a:ext cx="1270" cy="556895"/>
                          </a:xfrm>
                          <a:custGeom>
                            <a:avLst/>
                            <a:gdLst/>
                            <a:ahLst/>
                            <a:cxnLst/>
                            <a:rect l="l" t="t" r="r" b="b"/>
                            <a:pathLst>
                              <a:path w="0" h="556895">
                                <a:moveTo>
                                  <a:pt x="0" y="235751"/>
                                </a:moveTo>
                                <a:lnTo>
                                  <a:pt x="0" y="556816"/>
                                </a:lnTo>
                              </a:path>
                              <a:path w="0" h="556895">
                                <a:moveTo>
                                  <a:pt x="0" y="0"/>
                                </a:moveTo>
                                <a:lnTo>
                                  <a:pt x="0" y="161075"/>
                                </a:lnTo>
                              </a:path>
                            </a:pathLst>
                          </a:custGeom>
                          <a:ln w="11849">
                            <a:solidFill>
                              <a:srgbClr val="2E3092"/>
                            </a:solidFill>
                            <a:prstDash val="solid"/>
                          </a:ln>
                        </wps:spPr>
                        <wps:bodyPr wrap="square" lIns="0" tIns="0" rIns="0" bIns="0" rtlCol="0">
                          <a:prstTxWarp prst="textNoShape">
                            <a:avLst/>
                          </a:prstTxWarp>
                          <a:noAutofit/>
                        </wps:bodyPr>
                      </wps:wsp>
                      <wps:wsp>
                        <wps:cNvPr id="806" name="Graphic 806"/>
                        <wps:cNvSpPr/>
                        <wps:spPr>
                          <a:xfrm>
                            <a:off x="175653" y="535330"/>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E3092"/>
                          </a:solidFill>
                        </wps:spPr>
                        <wps:bodyPr wrap="square" lIns="0" tIns="0" rIns="0" bIns="0" rtlCol="0">
                          <a:prstTxWarp prst="textNoShape">
                            <a:avLst/>
                          </a:prstTxWarp>
                          <a:noAutofit/>
                        </wps:bodyPr>
                      </wps:wsp>
                      <pic:pic>
                        <pic:nvPicPr>
                          <pic:cNvPr id="807" name="Image 807"/>
                          <pic:cNvPicPr/>
                        </pic:nvPicPr>
                        <pic:blipFill>
                          <a:blip r:embed="rId299" cstate="print"/>
                          <a:stretch>
                            <a:fillRect/>
                          </a:stretch>
                        </pic:blipFill>
                        <pic:spPr>
                          <a:xfrm>
                            <a:off x="0" y="235738"/>
                            <a:ext cx="220110" cy="138172"/>
                          </a:xfrm>
                          <a:prstGeom prst="rect">
                            <a:avLst/>
                          </a:prstGeom>
                        </pic:spPr>
                      </pic:pic>
                      <wps:wsp>
                        <wps:cNvPr id="808" name="Graphic 808"/>
                        <wps:cNvSpPr/>
                        <wps:spPr>
                          <a:xfrm>
                            <a:off x="52252" y="166987"/>
                            <a:ext cx="324485" cy="74930"/>
                          </a:xfrm>
                          <a:custGeom>
                            <a:avLst/>
                            <a:gdLst/>
                            <a:ahLst/>
                            <a:cxnLst/>
                            <a:rect l="l" t="t" r="r" b="b"/>
                            <a:pathLst>
                              <a:path w="324485" h="74930">
                                <a:moveTo>
                                  <a:pt x="323875" y="0"/>
                                </a:moveTo>
                                <a:lnTo>
                                  <a:pt x="0" y="0"/>
                                </a:lnTo>
                                <a:lnTo>
                                  <a:pt x="0" y="74675"/>
                                </a:lnTo>
                                <a:lnTo>
                                  <a:pt x="323875" y="74675"/>
                                </a:lnTo>
                                <a:lnTo>
                                  <a:pt x="323875" y="0"/>
                                </a:lnTo>
                                <a:close/>
                              </a:path>
                            </a:pathLst>
                          </a:custGeom>
                          <a:solidFill>
                            <a:srgbClr val="B23756"/>
                          </a:solidFill>
                        </wps:spPr>
                        <wps:bodyPr wrap="square" lIns="0" tIns="0" rIns="0" bIns="0" rtlCol="0">
                          <a:prstTxWarp prst="textNoShape">
                            <a:avLst/>
                          </a:prstTxWarp>
                          <a:noAutofit/>
                        </wps:bodyPr>
                      </wps:wsp>
                      <wps:wsp>
                        <wps:cNvPr id="809" name="Textbox 809"/>
                        <wps:cNvSpPr txBox="1"/>
                        <wps:spPr>
                          <a:xfrm>
                            <a:off x="0" y="5911"/>
                            <a:ext cx="1552575" cy="624205"/>
                          </a:xfrm>
                          <a:prstGeom prst="rect">
                            <a:avLst/>
                          </a:prstGeom>
                        </wps:spPr>
                        <wps:txbx>
                          <w:txbxContent>
                            <w:p>
                              <w:pPr>
                                <w:spacing w:before="128"/>
                                <w:ind w:left="869" w:right="0" w:firstLine="0"/>
                                <w:jc w:val="left"/>
                                <w:rPr>
                                  <w:rFonts w:ascii="Arial"/>
                                  <w:b/>
                                  <w:sz w:val="15"/>
                                </w:rPr>
                              </w:pPr>
                              <w:r>
                                <w:rPr>
                                  <w:rFonts w:ascii="Arial"/>
                                  <w:b/>
                                  <w:color w:val="231F20"/>
                                  <w:sz w:val="15"/>
                                </w:rPr>
                                <w:t>GM1</w:t>
                              </w:r>
                              <w:r>
                                <w:rPr>
                                  <w:rFonts w:ascii="Arial"/>
                                  <w:b/>
                                  <w:color w:val="231F20"/>
                                  <w:spacing w:val="-7"/>
                                  <w:sz w:val="15"/>
                                </w:rPr>
                                <w:t> </w:t>
                              </w:r>
                              <w:r>
                                <w:rPr>
                                  <w:rFonts w:ascii="Arial"/>
                                  <w:b/>
                                  <w:color w:val="231F20"/>
                                  <w:spacing w:val="-2"/>
                                  <w:sz w:val="15"/>
                                </w:rPr>
                                <w:t>gangliosidoses</w:t>
                              </w:r>
                            </w:p>
                            <w:p>
                              <w:pPr>
                                <w:spacing w:line="240" w:lineRule="auto" w:before="0"/>
                                <w:rPr>
                                  <w:rFonts w:ascii="Arial"/>
                                  <w:b/>
                                  <w:sz w:val="15"/>
                                </w:rPr>
                              </w:pPr>
                            </w:p>
                            <w:p>
                              <w:pPr>
                                <w:spacing w:line="240" w:lineRule="auto" w:before="28"/>
                                <w:rPr>
                                  <w:rFonts w:ascii="Arial"/>
                                  <w:b/>
                                  <w:sz w:val="15"/>
                                </w:rPr>
                              </w:pPr>
                            </w:p>
                            <w:p>
                              <w:pPr>
                                <w:spacing w:before="0"/>
                                <w:ind w:left="519" w:right="0" w:firstLine="0"/>
                                <w:jc w:val="left"/>
                                <w:rPr>
                                  <w:rFonts w:ascii="Arial" w:hAnsi="Arial"/>
                                  <w:i/>
                                  <w:sz w:val="15"/>
                                </w:rPr>
                              </w:pPr>
                              <w:r>
                                <w:rPr>
                                  <w:rFonts w:ascii="Lucida Sans Unicode" w:hAnsi="Lucida Sans Unicode"/>
                                  <w:color w:val="231F20"/>
                                  <w:spacing w:val="-2"/>
                                  <w:sz w:val="15"/>
                                </w:rPr>
                                <w:t>β</w:t>
                              </w:r>
                              <w:r>
                                <w:rPr>
                                  <w:rFonts w:ascii="Arial" w:hAnsi="Arial"/>
                                  <w:i/>
                                  <w:color w:val="231F20"/>
                                  <w:spacing w:val="-2"/>
                                  <w:sz w:val="15"/>
                                </w:rPr>
                                <w:t>-Galactosidase</w:t>
                              </w:r>
                            </w:p>
                          </w:txbxContent>
                        </wps:txbx>
                        <wps:bodyPr wrap="square" lIns="0" tIns="0" rIns="0" bIns="0" rtlCol="0">
                          <a:noAutofit/>
                        </wps:bodyPr>
                      </wps:wsp>
                      <wps:wsp>
                        <wps:cNvPr id="810" name="Textbox 810"/>
                        <wps:cNvSpPr txBox="1"/>
                        <wps:spPr>
                          <a:xfrm>
                            <a:off x="1552573" y="5924"/>
                            <a:ext cx="912494" cy="400685"/>
                          </a:xfrm>
                          <a:prstGeom prst="rect">
                            <a:avLst/>
                          </a:prstGeom>
                          <a:solidFill>
                            <a:srgbClr val="D7EDDD"/>
                          </a:solidFill>
                          <a:ln w="11849">
                            <a:solidFill>
                              <a:srgbClr val="231F20"/>
                            </a:solidFill>
                            <a:prstDash val="solid"/>
                          </a:ln>
                        </wps:spPr>
                        <wps:txbx>
                          <w:txbxContent>
                            <w:p>
                              <w:pPr>
                                <w:spacing w:line="232" w:lineRule="auto" w:before="48"/>
                                <w:ind w:left="34" w:right="0" w:firstLine="0"/>
                                <w:jc w:val="left"/>
                                <w:rPr>
                                  <w:rFonts w:ascii="Arial"/>
                                  <w:i/>
                                  <w:color w:val="000000"/>
                                  <w:sz w:val="15"/>
                                </w:rPr>
                              </w:pPr>
                              <w:r>
                                <w:rPr>
                                  <w:rFonts w:ascii="Arial"/>
                                  <w:i/>
                                  <w:color w:val="231F20"/>
                                  <w:spacing w:val="-2"/>
                                  <w:sz w:val="15"/>
                                </w:rPr>
                                <w:t>Neurodegeneration,</w:t>
                              </w:r>
                              <w:r>
                                <w:rPr>
                                  <w:rFonts w:ascii="Arial"/>
                                  <w:i/>
                                  <w:color w:val="231F20"/>
                                  <w:sz w:val="15"/>
                                </w:rPr>
                                <w:t> HSM,</w:t>
                              </w:r>
                              <w:r>
                                <w:rPr>
                                  <w:rFonts w:ascii="Arial"/>
                                  <w:i/>
                                  <w:color w:val="231F20"/>
                                  <w:spacing w:val="-1"/>
                                  <w:sz w:val="15"/>
                                </w:rPr>
                                <w:t> </w:t>
                              </w:r>
                              <w:r>
                                <w:rPr>
                                  <w:rFonts w:ascii="Arial"/>
                                  <w:i/>
                                  <w:color w:val="231F20"/>
                                  <w:sz w:val="15"/>
                                </w:rPr>
                                <w:t>CRS,</w:t>
                              </w:r>
                            </w:p>
                            <w:p>
                              <w:pPr>
                                <w:spacing w:line="170" w:lineRule="exact" w:before="0"/>
                                <w:ind w:left="34" w:right="0" w:firstLine="0"/>
                                <w:jc w:val="left"/>
                                <w:rPr>
                                  <w:rFonts w:ascii="Arial"/>
                                  <w:i/>
                                  <w:color w:val="000000"/>
                                  <w:sz w:val="15"/>
                                </w:rPr>
                              </w:pPr>
                              <w:r>
                                <w:rPr>
                                  <w:rFonts w:ascii="Arial"/>
                                  <w:i/>
                                  <w:color w:val="231F20"/>
                                  <w:spacing w:val="-2"/>
                                  <w:sz w:val="15"/>
                                </w:rPr>
                                <w:t>skeletal</w:t>
                              </w:r>
                              <w:r>
                                <w:rPr>
                                  <w:rFonts w:ascii="Arial"/>
                                  <w:i/>
                                  <w:color w:val="231F20"/>
                                  <w:spacing w:val="2"/>
                                  <w:sz w:val="15"/>
                                </w:rPr>
                                <w:t> </w:t>
                              </w:r>
                              <w:r>
                                <w:rPr>
                                  <w:rFonts w:ascii="Arial"/>
                                  <w:i/>
                                  <w:color w:val="231F20"/>
                                  <w:spacing w:val="-2"/>
                                  <w:sz w:val="15"/>
                                </w:rPr>
                                <w:t>deformities</w:t>
                              </w:r>
                            </w:p>
                          </w:txbxContent>
                        </wps:txbx>
                        <wps:bodyPr wrap="square" lIns="0" tIns="0" rIns="0" bIns="0" rtlCol="0">
                          <a:noAutofit/>
                        </wps:bodyPr>
                      </wps:wsp>
                    </wpg:wgp>
                  </a:graphicData>
                </a:graphic>
              </wp:anchor>
            </w:drawing>
          </mc:Choice>
          <mc:Fallback>
            <w:pict>
              <v:group style="position:absolute;margin-left:132.505295pt;margin-top:-51.862991pt;width:194.6pt;height:49.6pt;mso-position-horizontal-relative:page;mso-position-vertical-relative:paragraph;z-index:-28110848" id="docshapegroup660" coordorigin="2650,-1037" coordsize="3892,992">
                <v:line style="position:absolute" from="5095,-713" to="3361,-713" stroked="true" strokeweight=".933007pt" strokecolor="#231f20">
                  <v:stroke dashstyle="solid"/>
                </v:line>
                <v:shape style="position:absolute;left:3255;top:-774;width:149;height:122" id="docshape661" coordorigin="3255,-773" coordsize="149,122" path="m3404,-773l3255,-713,3404,-652,3368,-713,3404,-773xe" filled="true" fillcolor="#231f20" stroked="false">
                  <v:path arrowok="t"/>
                  <v:fill type="solid"/>
                </v:shape>
                <v:shape style="position:absolute;left:2987;top:-1028;width:2;height:877" id="docshape662" coordorigin="2987,-1028" coordsize="0,877" path="m2987,-657l2987,-151m2987,-1028l2987,-774e" filled="false" stroked="true" strokeweight=".933007pt" strokecolor="#2e3092">
                  <v:path arrowok="t"/>
                  <v:stroke dashstyle="solid"/>
                </v:shape>
                <v:shape style="position:absolute;left:2926;top:-195;width:122;height:149" id="docshape663" coordorigin="2927,-194" coordsize="122,149" path="m3048,-194l2987,-159,2927,-194,2987,-46,3048,-194xe" filled="true" fillcolor="#2e3092" stroked="false">
                  <v:path arrowok="t"/>
                  <v:fill type="solid"/>
                </v:shape>
                <v:shape style="position:absolute;left:2650;top:-667;width:347;height:218" type="#_x0000_t75" id="docshape664" stroked="false">
                  <v:imagedata r:id="rId299" o:title=""/>
                </v:shape>
                <v:rect style="position:absolute;left:2732;top:-775;width:511;height:118" id="docshape665" filled="true" fillcolor="#b23756" stroked="false">
                  <v:fill type="solid"/>
                </v:rect>
                <v:shape style="position:absolute;left:2650;top:-1028;width:2445;height:983" type="#_x0000_t202" id="docshape666" filled="false" stroked="false">
                  <v:textbox inset="0,0,0,0">
                    <w:txbxContent>
                      <w:p>
                        <w:pPr>
                          <w:spacing w:before="128"/>
                          <w:ind w:left="869" w:right="0" w:firstLine="0"/>
                          <w:jc w:val="left"/>
                          <w:rPr>
                            <w:rFonts w:ascii="Arial"/>
                            <w:b/>
                            <w:sz w:val="15"/>
                          </w:rPr>
                        </w:pPr>
                        <w:r>
                          <w:rPr>
                            <w:rFonts w:ascii="Arial"/>
                            <w:b/>
                            <w:color w:val="231F20"/>
                            <w:sz w:val="15"/>
                          </w:rPr>
                          <w:t>GM1</w:t>
                        </w:r>
                        <w:r>
                          <w:rPr>
                            <w:rFonts w:ascii="Arial"/>
                            <w:b/>
                            <w:color w:val="231F20"/>
                            <w:spacing w:val="-7"/>
                            <w:sz w:val="15"/>
                          </w:rPr>
                          <w:t> </w:t>
                        </w:r>
                        <w:r>
                          <w:rPr>
                            <w:rFonts w:ascii="Arial"/>
                            <w:b/>
                            <w:color w:val="231F20"/>
                            <w:spacing w:val="-2"/>
                            <w:sz w:val="15"/>
                          </w:rPr>
                          <w:t>gangliosidoses</w:t>
                        </w:r>
                      </w:p>
                      <w:p>
                        <w:pPr>
                          <w:spacing w:line="240" w:lineRule="auto" w:before="0"/>
                          <w:rPr>
                            <w:rFonts w:ascii="Arial"/>
                            <w:b/>
                            <w:sz w:val="15"/>
                          </w:rPr>
                        </w:pPr>
                      </w:p>
                      <w:p>
                        <w:pPr>
                          <w:spacing w:line="240" w:lineRule="auto" w:before="28"/>
                          <w:rPr>
                            <w:rFonts w:ascii="Arial"/>
                            <w:b/>
                            <w:sz w:val="15"/>
                          </w:rPr>
                        </w:pPr>
                      </w:p>
                      <w:p>
                        <w:pPr>
                          <w:spacing w:before="0"/>
                          <w:ind w:left="519" w:right="0" w:firstLine="0"/>
                          <w:jc w:val="left"/>
                          <w:rPr>
                            <w:rFonts w:ascii="Arial" w:hAnsi="Arial"/>
                            <w:i/>
                            <w:sz w:val="15"/>
                          </w:rPr>
                        </w:pPr>
                        <w:r>
                          <w:rPr>
                            <w:rFonts w:ascii="Lucida Sans Unicode" w:hAnsi="Lucida Sans Unicode"/>
                            <w:color w:val="231F20"/>
                            <w:spacing w:val="-2"/>
                            <w:sz w:val="15"/>
                          </w:rPr>
                          <w:t>β</w:t>
                        </w:r>
                        <w:r>
                          <w:rPr>
                            <w:rFonts w:ascii="Arial" w:hAnsi="Arial"/>
                            <w:i/>
                            <w:color w:val="231F20"/>
                            <w:spacing w:val="-2"/>
                            <w:sz w:val="15"/>
                          </w:rPr>
                          <w:t>-Galactosidase</w:t>
                        </w:r>
                      </w:p>
                    </w:txbxContent>
                  </v:textbox>
                  <w10:wrap type="none"/>
                </v:shape>
                <v:shape style="position:absolute;left:5095;top:-1028;width:1437;height:631" type="#_x0000_t202" id="docshape667" filled="true" fillcolor="#d7eddd" stroked="true" strokeweight=".933007pt" strokecolor="#231f20">
                  <v:textbox inset="0,0,0,0">
                    <w:txbxContent>
                      <w:p>
                        <w:pPr>
                          <w:spacing w:line="232" w:lineRule="auto" w:before="48"/>
                          <w:ind w:left="34" w:right="0" w:firstLine="0"/>
                          <w:jc w:val="left"/>
                          <w:rPr>
                            <w:rFonts w:ascii="Arial"/>
                            <w:i/>
                            <w:color w:val="000000"/>
                            <w:sz w:val="15"/>
                          </w:rPr>
                        </w:pPr>
                        <w:r>
                          <w:rPr>
                            <w:rFonts w:ascii="Arial"/>
                            <w:i/>
                            <w:color w:val="231F20"/>
                            <w:spacing w:val="-2"/>
                            <w:sz w:val="15"/>
                          </w:rPr>
                          <w:t>Neurodegeneration,</w:t>
                        </w:r>
                        <w:r>
                          <w:rPr>
                            <w:rFonts w:ascii="Arial"/>
                            <w:i/>
                            <w:color w:val="231F20"/>
                            <w:sz w:val="15"/>
                          </w:rPr>
                          <w:t> HSM,</w:t>
                        </w:r>
                        <w:r>
                          <w:rPr>
                            <w:rFonts w:ascii="Arial"/>
                            <w:i/>
                            <w:color w:val="231F20"/>
                            <w:spacing w:val="-1"/>
                            <w:sz w:val="15"/>
                          </w:rPr>
                          <w:t> </w:t>
                        </w:r>
                        <w:r>
                          <w:rPr>
                            <w:rFonts w:ascii="Arial"/>
                            <w:i/>
                            <w:color w:val="231F20"/>
                            <w:sz w:val="15"/>
                          </w:rPr>
                          <w:t>CRS,</w:t>
                        </w:r>
                      </w:p>
                      <w:p>
                        <w:pPr>
                          <w:spacing w:line="170" w:lineRule="exact" w:before="0"/>
                          <w:ind w:left="34" w:right="0" w:firstLine="0"/>
                          <w:jc w:val="left"/>
                          <w:rPr>
                            <w:rFonts w:ascii="Arial"/>
                            <w:i/>
                            <w:color w:val="000000"/>
                            <w:sz w:val="15"/>
                          </w:rPr>
                        </w:pPr>
                        <w:r>
                          <w:rPr>
                            <w:rFonts w:ascii="Arial"/>
                            <w:i/>
                            <w:color w:val="231F20"/>
                            <w:spacing w:val="-2"/>
                            <w:sz w:val="15"/>
                          </w:rPr>
                          <w:t>skeletal</w:t>
                        </w:r>
                        <w:r>
                          <w:rPr>
                            <w:rFonts w:ascii="Arial"/>
                            <w:i/>
                            <w:color w:val="231F20"/>
                            <w:spacing w:val="2"/>
                            <w:sz w:val="15"/>
                          </w:rPr>
                          <w:t> </w:t>
                        </w:r>
                        <w:r>
                          <w:rPr>
                            <w:rFonts w:ascii="Arial"/>
                            <w:i/>
                            <w:color w:val="231F20"/>
                            <w:spacing w:val="-2"/>
                            <w:sz w:val="15"/>
                          </w:rPr>
                          <w:t>deformities</w:t>
                        </w:r>
                      </w:p>
                    </w:txbxContent>
                  </v:textbox>
                  <v:fill type="solid"/>
                  <v:stroke dashstyle="solid"/>
                  <w10:wrap type="none"/>
                </v:shape>
                <w10:wrap type="none"/>
              </v:group>
            </w:pict>
          </mc:Fallback>
        </mc:AlternateContent>
      </w:r>
      <w:r>
        <w:rPr>
          <w:rFonts w:ascii="Arial"/>
          <w:b/>
          <w:sz w:val="15"/>
        </w:rPr>
        <mc:AlternateContent>
          <mc:Choice Requires="wps">
            <w:drawing>
              <wp:anchor distT="0" distB="0" distL="0" distR="0" allowOverlap="1" layoutInCell="1" locked="0" behindDoc="1" simplePos="0" relativeHeight="475206144">
                <wp:simplePos x="0" y="0"/>
                <wp:positionH relativeFrom="page">
                  <wp:posOffset>1630052</wp:posOffset>
                </wp:positionH>
                <wp:positionV relativeFrom="paragraph">
                  <wp:posOffset>69234</wp:posOffset>
                </wp:positionV>
                <wp:extent cx="2353310" cy="661670"/>
                <wp:effectExtent l="0" t="0" r="0" b="0"/>
                <wp:wrapNone/>
                <wp:docPr id="811" name="Group 811"/>
                <wp:cNvGraphicFramePr>
                  <a:graphicFrameLocks/>
                </wp:cNvGraphicFramePr>
                <a:graphic>
                  <a:graphicData uri="http://schemas.microsoft.com/office/word/2010/wordprocessingGroup">
                    <wpg:wgp>
                      <wpg:cNvPr id="811" name="Group 811"/>
                      <wpg:cNvGrpSpPr/>
                      <wpg:grpSpPr>
                        <a:xfrm>
                          <a:off x="0" y="0"/>
                          <a:ext cx="2353310" cy="661670"/>
                          <a:chExt cx="2353310" cy="661670"/>
                        </a:xfrm>
                      </wpg:grpSpPr>
                      <wps:wsp>
                        <wps:cNvPr id="812" name="Graphic 812"/>
                        <wps:cNvSpPr/>
                        <wps:spPr>
                          <a:xfrm>
                            <a:off x="503934" y="206117"/>
                            <a:ext cx="962660" cy="1270"/>
                          </a:xfrm>
                          <a:custGeom>
                            <a:avLst/>
                            <a:gdLst/>
                            <a:ahLst/>
                            <a:cxnLst/>
                            <a:rect l="l" t="t" r="r" b="b"/>
                            <a:pathLst>
                              <a:path w="962660" h="0">
                                <a:moveTo>
                                  <a:pt x="962592"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13" name="Graphic 813"/>
                        <wps:cNvSpPr/>
                        <wps:spPr>
                          <a:xfrm>
                            <a:off x="436973" y="167585"/>
                            <a:ext cx="94615" cy="77470"/>
                          </a:xfrm>
                          <a:custGeom>
                            <a:avLst/>
                            <a:gdLst/>
                            <a:ahLst/>
                            <a:cxnLst/>
                            <a:rect l="l" t="t" r="r" b="b"/>
                            <a:pathLst>
                              <a:path w="94615" h="77470">
                                <a:moveTo>
                                  <a:pt x="94335" y="0"/>
                                </a:moveTo>
                                <a:lnTo>
                                  <a:pt x="0" y="38519"/>
                                </a:lnTo>
                                <a:lnTo>
                                  <a:pt x="94335" y="77050"/>
                                </a:lnTo>
                                <a:lnTo>
                                  <a:pt x="71945" y="38519"/>
                                </a:lnTo>
                                <a:lnTo>
                                  <a:pt x="94335" y="0"/>
                                </a:lnTo>
                                <a:close/>
                              </a:path>
                            </a:pathLst>
                          </a:custGeom>
                          <a:solidFill>
                            <a:srgbClr val="231F20"/>
                          </a:solidFill>
                        </wps:spPr>
                        <wps:bodyPr wrap="square" lIns="0" tIns="0" rIns="0" bIns="0" rtlCol="0">
                          <a:prstTxWarp prst="textNoShape">
                            <a:avLst/>
                          </a:prstTxWarp>
                          <a:noAutofit/>
                        </wps:bodyPr>
                      </wps:wsp>
                      <wps:wsp>
                        <wps:cNvPr id="814" name="Graphic 814"/>
                        <wps:cNvSpPr/>
                        <wps:spPr>
                          <a:xfrm>
                            <a:off x="266950" y="48084"/>
                            <a:ext cx="1270" cy="546735"/>
                          </a:xfrm>
                          <a:custGeom>
                            <a:avLst/>
                            <a:gdLst/>
                            <a:ahLst/>
                            <a:cxnLst/>
                            <a:rect l="l" t="t" r="r" b="b"/>
                            <a:pathLst>
                              <a:path w="0" h="546735">
                                <a:moveTo>
                                  <a:pt x="0" y="187524"/>
                                </a:moveTo>
                                <a:lnTo>
                                  <a:pt x="0" y="546306"/>
                                </a:lnTo>
                              </a:path>
                              <a:path w="0" h="546735">
                                <a:moveTo>
                                  <a:pt x="0" y="0"/>
                                </a:moveTo>
                                <a:lnTo>
                                  <a:pt x="0" y="112848"/>
                                </a:lnTo>
                              </a:path>
                            </a:pathLst>
                          </a:custGeom>
                          <a:ln w="11849">
                            <a:solidFill>
                              <a:srgbClr val="2E3092"/>
                            </a:solidFill>
                            <a:prstDash val="solid"/>
                          </a:ln>
                        </wps:spPr>
                        <wps:bodyPr wrap="square" lIns="0" tIns="0" rIns="0" bIns="0" rtlCol="0">
                          <a:prstTxWarp prst="textNoShape">
                            <a:avLst/>
                          </a:prstTxWarp>
                          <a:noAutofit/>
                        </wps:bodyPr>
                      </wps:wsp>
                      <wps:wsp>
                        <wps:cNvPr id="815" name="Graphic 815"/>
                        <wps:cNvSpPr/>
                        <wps:spPr>
                          <a:xfrm>
                            <a:off x="228418" y="567004"/>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E3092"/>
                          </a:solidFill>
                        </wps:spPr>
                        <wps:bodyPr wrap="square" lIns="0" tIns="0" rIns="0" bIns="0" rtlCol="0">
                          <a:prstTxWarp prst="textNoShape">
                            <a:avLst/>
                          </a:prstTxWarp>
                          <a:noAutofit/>
                        </wps:bodyPr>
                      </wps:wsp>
                      <pic:pic>
                        <pic:nvPicPr>
                          <pic:cNvPr id="816" name="Image 816"/>
                          <pic:cNvPicPr/>
                        </pic:nvPicPr>
                        <pic:blipFill>
                          <a:blip r:embed="rId300" cstate="print"/>
                          <a:stretch>
                            <a:fillRect/>
                          </a:stretch>
                        </pic:blipFill>
                        <pic:spPr>
                          <a:xfrm>
                            <a:off x="0" y="226284"/>
                            <a:ext cx="272874" cy="185239"/>
                          </a:xfrm>
                          <a:prstGeom prst="rect">
                            <a:avLst/>
                          </a:prstGeom>
                        </pic:spPr>
                      </pic:pic>
                      <wps:wsp>
                        <wps:cNvPr id="817" name="Graphic 817"/>
                        <wps:cNvSpPr/>
                        <wps:spPr>
                          <a:xfrm>
                            <a:off x="105017" y="160933"/>
                            <a:ext cx="324485" cy="74930"/>
                          </a:xfrm>
                          <a:custGeom>
                            <a:avLst/>
                            <a:gdLst/>
                            <a:ahLst/>
                            <a:cxnLst/>
                            <a:rect l="l" t="t" r="r" b="b"/>
                            <a:pathLst>
                              <a:path w="324485" h="74930">
                                <a:moveTo>
                                  <a:pt x="323875" y="0"/>
                                </a:moveTo>
                                <a:lnTo>
                                  <a:pt x="0" y="0"/>
                                </a:lnTo>
                                <a:lnTo>
                                  <a:pt x="0" y="74675"/>
                                </a:lnTo>
                                <a:lnTo>
                                  <a:pt x="323875" y="74675"/>
                                </a:lnTo>
                                <a:lnTo>
                                  <a:pt x="323875" y="0"/>
                                </a:lnTo>
                                <a:close/>
                              </a:path>
                            </a:pathLst>
                          </a:custGeom>
                          <a:solidFill>
                            <a:srgbClr val="B23756"/>
                          </a:solidFill>
                        </wps:spPr>
                        <wps:bodyPr wrap="square" lIns="0" tIns="0" rIns="0" bIns="0" rtlCol="0">
                          <a:prstTxWarp prst="textNoShape">
                            <a:avLst/>
                          </a:prstTxWarp>
                          <a:noAutofit/>
                        </wps:bodyPr>
                      </wps:wsp>
                      <wps:wsp>
                        <wps:cNvPr id="818" name="Textbox 818"/>
                        <wps:cNvSpPr txBox="1"/>
                        <wps:spPr>
                          <a:xfrm>
                            <a:off x="0" y="48084"/>
                            <a:ext cx="1466850" cy="613410"/>
                          </a:xfrm>
                          <a:prstGeom prst="rect">
                            <a:avLst/>
                          </a:prstGeom>
                        </wps:spPr>
                        <wps:txbx>
                          <w:txbxContent>
                            <w:p>
                              <w:pPr>
                                <w:spacing w:before="61"/>
                                <w:ind w:left="901" w:right="0" w:firstLine="0"/>
                                <w:jc w:val="left"/>
                                <w:rPr>
                                  <w:rFonts w:ascii="Arial"/>
                                  <w:b/>
                                  <w:sz w:val="15"/>
                                </w:rPr>
                              </w:pPr>
                              <w:r>
                                <w:rPr>
                                  <w:rFonts w:ascii="Arial"/>
                                  <w:b/>
                                  <w:color w:val="231F20"/>
                                  <w:spacing w:val="-2"/>
                                  <w:sz w:val="15"/>
                                </w:rPr>
                                <w:t>Tay-Sachs</w:t>
                              </w:r>
                              <w:r>
                                <w:rPr>
                                  <w:rFonts w:ascii="Arial"/>
                                  <w:b/>
                                  <w:color w:val="231F20"/>
                                  <w:spacing w:val="1"/>
                                  <w:sz w:val="15"/>
                                </w:rPr>
                                <w:t> </w:t>
                              </w:r>
                              <w:r>
                                <w:rPr>
                                  <w:rFonts w:ascii="Arial"/>
                                  <w:b/>
                                  <w:color w:val="231F20"/>
                                  <w:spacing w:val="-2"/>
                                  <w:sz w:val="15"/>
                                </w:rPr>
                                <w:t>Disease</w:t>
                              </w:r>
                            </w:p>
                            <w:p>
                              <w:pPr>
                                <w:spacing w:line="240" w:lineRule="auto" w:before="0"/>
                                <w:rPr>
                                  <w:rFonts w:ascii="Arial"/>
                                  <w:b/>
                                  <w:sz w:val="15"/>
                                </w:rPr>
                              </w:pPr>
                            </w:p>
                            <w:p>
                              <w:pPr>
                                <w:spacing w:line="240" w:lineRule="auto" w:before="17"/>
                                <w:rPr>
                                  <w:rFonts w:ascii="Arial"/>
                                  <w:b/>
                                  <w:sz w:val="15"/>
                                </w:rPr>
                              </w:pPr>
                            </w:p>
                            <w:p>
                              <w:pPr>
                                <w:spacing w:before="0"/>
                                <w:ind w:left="550" w:right="0" w:firstLine="0"/>
                                <w:jc w:val="left"/>
                                <w:rPr>
                                  <w:rFonts w:ascii="Arial" w:hAnsi="Arial"/>
                                  <w:i/>
                                  <w:sz w:val="15"/>
                                </w:rPr>
                              </w:pPr>
                              <w:r>
                                <w:rPr>
                                  <w:rFonts w:ascii="Lucida Sans Unicode" w:hAnsi="Lucida Sans Unicode"/>
                                  <w:color w:val="231F20"/>
                                  <w:spacing w:val="-2"/>
                                  <w:sz w:val="15"/>
                                </w:rPr>
                                <w:t>β</w:t>
                              </w:r>
                              <w:r>
                                <w:rPr>
                                  <w:rFonts w:ascii="Arial" w:hAnsi="Arial"/>
                                  <w:i/>
                                  <w:color w:val="231F20"/>
                                  <w:spacing w:val="-2"/>
                                  <w:sz w:val="15"/>
                                </w:rPr>
                                <w:t>-Hexosaminidase</w:t>
                              </w:r>
                              <w:r>
                                <w:rPr>
                                  <w:rFonts w:ascii="Arial" w:hAnsi="Arial"/>
                                  <w:i/>
                                  <w:color w:val="231F20"/>
                                  <w:spacing w:val="5"/>
                                  <w:sz w:val="15"/>
                                </w:rPr>
                                <w:t> </w:t>
                              </w:r>
                              <w:r>
                                <w:rPr>
                                  <w:rFonts w:ascii="Arial" w:hAnsi="Arial"/>
                                  <w:i/>
                                  <w:color w:val="231F20"/>
                                  <w:spacing w:val="-10"/>
                                  <w:sz w:val="15"/>
                                </w:rPr>
                                <w:t>A</w:t>
                              </w:r>
                            </w:p>
                          </w:txbxContent>
                        </wps:txbx>
                        <wps:bodyPr wrap="square" lIns="0" tIns="0" rIns="0" bIns="0" rtlCol="0">
                          <a:noAutofit/>
                        </wps:bodyPr>
                      </wps:wsp>
                      <wps:wsp>
                        <wps:cNvPr id="819" name="Textbox 819"/>
                        <wps:cNvSpPr txBox="1"/>
                        <wps:spPr>
                          <a:xfrm>
                            <a:off x="1467093" y="5924"/>
                            <a:ext cx="880110" cy="400685"/>
                          </a:xfrm>
                          <a:prstGeom prst="rect">
                            <a:avLst/>
                          </a:prstGeom>
                          <a:solidFill>
                            <a:srgbClr val="D7EDDD"/>
                          </a:solidFill>
                          <a:ln w="11849">
                            <a:solidFill>
                              <a:srgbClr val="231F20"/>
                            </a:solidFill>
                            <a:prstDash val="solid"/>
                          </a:ln>
                        </wps:spPr>
                        <wps:txbx>
                          <w:txbxContent>
                            <w:p>
                              <w:pPr>
                                <w:spacing w:line="232" w:lineRule="auto" w:before="49"/>
                                <w:ind w:left="27" w:right="17" w:firstLine="0"/>
                                <w:jc w:val="left"/>
                                <w:rPr>
                                  <w:rFonts w:ascii="Arial"/>
                                  <w:i/>
                                  <w:color w:val="000000"/>
                                  <w:sz w:val="15"/>
                                </w:rPr>
                              </w:pPr>
                              <w:r>
                                <w:rPr>
                                  <w:rFonts w:ascii="Arial"/>
                                  <w:i/>
                                  <w:color w:val="231F20"/>
                                  <w:spacing w:val="-2"/>
                                  <w:sz w:val="15"/>
                                </w:rPr>
                                <w:t>Neurodegeneration,</w:t>
                              </w:r>
                              <w:r>
                                <w:rPr>
                                  <w:rFonts w:ascii="Arial"/>
                                  <w:i/>
                                  <w:color w:val="231F20"/>
                                  <w:sz w:val="15"/>
                                </w:rPr>
                                <w:t> CRS, large head, acoustic</w:t>
                              </w:r>
                              <w:r>
                                <w:rPr>
                                  <w:rFonts w:ascii="Arial"/>
                                  <w:i/>
                                  <w:color w:val="231F20"/>
                                  <w:spacing w:val="-1"/>
                                  <w:sz w:val="15"/>
                                </w:rPr>
                                <w:t> </w:t>
                              </w:r>
                              <w:r>
                                <w:rPr>
                                  <w:rFonts w:ascii="Arial"/>
                                  <w:i/>
                                  <w:color w:val="231F20"/>
                                  <w:sz w:val="15"/>
                                </w:rPr>
                                <w:t>startle</w:t>
                              </w:r>
                            </w:p>
                          </w:txbxContent>
                        </wps:txbx>
                        <wps:bodyPr wrap="square" lIns="0" tIns="0" rIns="0" bIns="0" rtlCol="0">
                          <a:noAutofit/>
                        </wps:bodyPr>
                      </wps:wsp>
                    </wpg:wgp>
                  </a:graphicData>
                </a:graphic>
              </wp:anchor>
            </w:drawing>
          </mc:Choice>
          <mc:Fallback>
            <w:pict>
              <v:group style="position:absolute;margin-left:128.350601pt;margin-top:5.45151pt;width:185.3pt;height:52.1pt;mso-position-horizontal-relative:page;mso-position-vertical-relative:paragraph;z-index:-28110336" id="docshapegroup668" coordorigin="2567,109" coordsize="3706,1042">
                <v:line style="position:absolute" from="4877,434" to="3361,434" stroked="true" strokeweight=".933007pt" strokecolor="#231f20">
                  <v:stroke dashstyle="solid"/>
                </v:line>
                <v:shape style="position:absolute;left:3255;top:372;width:149;height:122" id="docshape669" coordorigin="3255,373" coordsize="149,122" path="m3404,373l3255,434,3404,494,3368,434,3404,373xe" filled="true" fillcolor="#231f20" stroked="false">
                  <v:path arrowok="t"/>
                  <v:fill type="solid"/>
                </v:shape>
                <v:shape style="position:absolute;left:2987;top:184;width:2;height:861" id="docshape670" coordorigin="2987,185" coordsize="0,861" path="m2987,480l2987,1045m2987,185l2987,362e" filled="false" stroked="true" strokeweight=".933007pt" strokecolor="#2e3092">
                  <v:path arrowok="t"/>
                  <v:stroke dashstyle="solid"/>
                </v:shape>
                <v:shape style="position:absolute;left:2926;top:1001;width:122;height:149" id="docshape671" coordorigin="2927,1002" coordsize="122,149" path="m3048,1002l2987,1037,2927,1002,2987,1150,3048,1002xe" filled="true" fillcolor="#2e3092" stroked="false">
                  <v:path arrowok="t"/>
                  <v:fill type="solid"/>
                </v:shape>
                <v:shape style="position:absolute;left:2567;top:465;width:430;height:292" type="#_x0000_t75" id="docshape672" stroked="false">
                  <v:imagedata r:id="rId300" o:title=""/>
                </v:shape>
                <v:rect style="position:absolute;left:2732;top:362;width:511;height:118" id="docshape673" filled="true" fillcolor="#b23756" stroked="false">
                  <v:fill type="solid"/>
                </v:rect>
                <v:shape style="position:absolute;left:2567;top:184;width:2310;height:966" type="#_x0000_t202" id="docshape674" filled="false" stroked="false">
                  <v:textbox inset="0,0,0,0">
                    <w:txbxContent>
                      <w:p>
                        <w:pPr>
                          <w:spacing w:before="61"/>
                          <w:ind w:left="901" w:right="0" w:firstLine="0"/>
                          <w:jc w:val="left"/>
                          <w:rPr>
                            <w:rFonts w:ascii="Arial"/>
                            <w:b/>
                            <w:sz w:val="15"/>
                          </w:rPr>
                        </w:pPr>
                        <w:r>
                          <w:rPr>
                            <w:rFonts w:ascii="Arial"/>
                            <w:b/>
                            <w:color w:val="231F20"/>
                            <w:spacing w:val="-2"/>
                            <w:sz w:val="15"/>
                          </w:rPr>
                          <w:t>Tay-Sachs</w:t>
                        </w:r>
                        <w:r>
                          <w:rPr>
                            <w:rFonts w:ascii="Arial"/>
                            <w:b/>
                            <w:color w:val="231F20"/>
                            <w:spacing w:val="1"/>
                            <w:sz w:val="15"/>
                          </w:rPr>
                          <w:t> </w:t>
                        </w:r>
                        <w:r>
                          <w:rPr>
                            <w:rFonts w:ascii="Arial"/>
                            <w:b/>
                            <w:color w:val="231F20"/>
                            <w:spacing w:val="-2"/>
                            <w:sz w:val="15"/>
                          </w:rPr>
                          <w:t>Disease</w:t>
                        </w:r>
                      </w:p>
                      <w:p>
                        <w:pPr>
                          <w:spacing w:line="240" w:lineRule="auto" w:before="0"/>
                          <w:rPr>
                            <w:rFonts w:ascii="Arial"/>
                            <w:b/>
                            <w:sz w:val="15"/>
                          </w:rPr>
                        </w:pPr>
                      </w:p>
                      <w:p>
                        <w:pPr>
                          <w:spacing w:line="240" w:lineRule="auto" w:before="17"/>
                          <w:rPr>
                            <w:rFonts w:ascii="Arial"/>
                            <w:b/>
                            <w:sz w:val="15"/>
                          </w:rPr>
                        </w:pPr>
                      </w:p>
                      <w:p>
                        <w:pPr>
                          <w:spacing w:before="0"/>
                          <w:ind w:left="550" w:right="0" w:firstLine="0"/>
                          <w:jc w:val="left"/>
                          <w:rPr>
                            <w:rFonts w:ascii="Arial" w:hAnsi="Arial"/>
                            <w:i/>
                            <w:sz w:val="15"/>
                          </w:rPr>
                        </w:pPr>
                        <w:r>
                          <w:rPr>
                            <w:rFonts w:ascii="Lucida Sans Unicode" w:hAnsi="Lucida Sans Unicode"/>
                            <w:color w:val="231F20"/>
                            <w:spacing w:val="-2"/>
                            <w:sz w:val="15"/>
                          </w:rPr>
                          <w:t>β</w:t>
                        </w:r>
                        <w:r>
                          <w:rPr>
                            <w:rFonts w:ascii="Arial" w:hAnsi="Arial"/>
                            <w:i/>
                            <w:color w:val="231F20"/>
                            <w:spacing w:val="-2"/>
                            <w:sz w:val="15"/>
                          </w:rPr>
                          <w:t>-Hexosaminidase</w:t>
                        </w:r>
                        <w:r>
                          <w:rPr>
                            <w:rFonts w:ascii="Arial" w:hAnsi="Arial"/>
                            <w:i/>
                            <w:color w:val="231F20"/>
                            <w:spacing w:val="5"/>
                            <w:sz w:val="15"/>
                          </w:rPr>
                          <w:t> </w:t>
                        </w:r>
                        <w:r>
                          <w:rPr>
                            <w:rFonts w:ascii="Arial" w:hAnsi="Arial"/>
                            <w:i/>
                            <w:color w:val="231F20"/>
                            <w:spacing w:val="-10"/>
                            <w:sz w:val="15"/>
                          </w:rPr>
                          <w:t>A</w:t>
                        </w:r>
                      </w:p>
                    </w:txbxContent>
                  </v:textbox>
                  <w10:wrap type="none"/>
                </v:shape>
                <v:shape style="position:absolute;left:4877;top:118;width:1386;height:631" type="#_x0000_t202" id="docshape675" filled="true" fillcolor="#d7eddd" stroked="true" strokeweight=".933007pt" strokecolor="#231f20">
                  <v:textbox inset="0,0,0,0">
                    <w:txbxContent>
                      <w:p>
                        <w:pPr>
                          <w:spacing w:line="232" w:lineRule="auto" w:before="49"/>
                          <w:ind w:left="27" w:right="17" w:firstLine="0"/>
                          <w:jc w:val="left"/>
                          <w:rPr>
                            <w:rFonts w:ascii="Arial"/>
                            <w:i/>
                            <w:color w:val="000000"/>
                            <w:sz w:val="15"/>
                          </w:rPr>
                        </w:pPr>
                        <w:r>
                          <w:rPr>
                            <w:rFonts w:ascii="Arial"/>
                            <w:i/>
                            <w:color w:val="231F20"/>
                            <w:spacing w:val="-2"/>
                            <w:sz w:val="15"/>
                          </w:rPr>
                          <w:t>Neurodegeneration,</w:t>
                        </w:r>
                        <w:r>
                          <w:rPr>
                            <w:rFonts w:ascii="Arial"/>
                            <w:i/>
                            <w:color w:val="231F20"/>
                            <w:sz w:val="15"/>
                          </w:rPr>
                          <w:t> CRS, large head, acoustic</w:t>
                        </w:r>
                        <w:r>
                          <w:rPr>
                            <w:rFonts w:ascii="Arial"/>
                            <w:i/>
                            <w:color w:val="231F20"/>
                            <w:spacing w:val="-1"/>
                            <w:sz w:val="15"/>
                          </w:rPr>
                          <w:t> </w:t>
                        </w:r>
                        <w:r>
                          <w:rPr>
                            <w:rFonts w:ascii="Arial"/>
                            <w:i/>
                            <w:color w:val="231F20"/>
                            <w:sz w:val="15"/>
                          </w:rPr>
                          <w:t>startle</w:t>
                        </w:r>
                      </w:p>
                    </w:txbxContent>
                  </v:textbox>
                  <v:fill type="solid"/>
                  <v:stroke dashstyle="solid"/>
                  <w10:wrap type="none"/>
                </v:shape>
                <w10:wrap type="none"/>
              </v:group>
            </w:pict>
          </mc:Fallback>
        </mc:AlternateContent>
      </w:r>
      <w:r>
        <w:rPr>
          <w:rFonts w:ascii="Arial"/>
          <w:b/>
          <w:sz w:val="15"/>
        </w:rPr>
        <mc:AlternateContent>
          <mc:Choice Requires="wps">
            <w:drawing>
              <wp:anchor distT="0" distB="0" distL="0" distR="0" allowOverlap="1" layoutInCell="1" locked="0" behindDoc="0" simplePos="0" relativeHeight="15783936">
                <wp:simplePos x="0" y="0"/>
                <wp:positionH relativeFrom="page">
                  <wp:posOffset>1452657</wp:posOffset>
                </wp:positionH>
                <wp:positionV relativeFrom="paragraph">
                  <wp:posOffset>-37455</wp:posOffset>
                </wp:positionV>
                <wp:extent cx="128905" cy="55880"/>
                <wp:effectExtent l="0" t="0" r="0" b="0"/>
                <wp:wrapNone/>
                <wp:docPr id="820" name="Graphic 820"/>
                <wp:cNvGraphicFramePr>
                  <a:graphicFrameLocks/>
                </wp:cNvGraphicFramePr>
                <a:graphic>
                  <a:graphicData uri="http://schemas.microsoft.com/office/word/2010/wordprocessingShape">
                    <wps:wsp>
                      <wps:cNvPr id="820" name="Graphic 820"/>
                      <wps:cNvSpPr/>
                      <wps:spPr>
                        <a:xfrm>
                          <a:off x="0" y="0"/>
                          <a:ext cx="128905" cy="55880"/>
                        </a:xfrm>
                        <a:custGeom>
                          <a:avLst/>
                          <a:gdLst/>
                          <a:ahLst/>
                          <a:cxnLst/>
                          <a:rect l="l" t="t" r="r" b="b"/>
                          <a:pathLst>
                            <a:path w="128905" h="55880">
                              <a:moveTo>
                                <a:pt x="0" y="0"/>
                              </a:moveTo>
                              <a:lnTo>
                                <a:pt x="128575" y="55300"/>
                              </a:lnTo>
                            </a:path>
                          </a:pathLst>
                        </a:custGeom>
                        <a:ln w="11849">
                          <a:solidFill>
                            <a:srgbClr val="009ED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936" from="114.382515pt,-2.949255pt" to="124.506569pt,1.405086pt" stroked="true" strokeweight=".933007pt" strokecolor="#009edb">
                <v:stroke dashstyle="solid"/>
                <w10:wrap type="none"/>
              </v:line>
            </w:pict>
          </mc:Fallback>
        </mc:AlternateContent>
      </w:r>
      <w:r>
        <w:rPr>
          <w:rFonts w:ascii="Arial"/>
          <w:b/>
          <w:sz w:val="15"/>
        </w:rPr>
        <mc:AlternateContent>
          <mc:Choice Requires="wps">
            <w:drawing>
              <wp:anchor distT="0" distB="0" distL="0" distR="0" allowOverlap="1" layoutInCell="1" locked="0" behindDoc="0" simplePos="0" relativeHeight="15784448">
                <wp:simplePos x="0" y="0"/>
                <wp:positionH relativeFrom="page">
                  <wp:posOffset>1452657</wp:posOffset>
                </wp:positionH>
                <wp:positionV relativeFrom="paragraph">
                  <wp:posOffset>92885</wp:posOffset>
                </wp:positionV>
                <wp:extent cx="128905" cy="71120"/>
                <wp:effectExtent l="0" t="0" r="0" b="0"/>
                <wp:wrapNone/>
                <wp:docPr id="821" name="Graphic 821"/>
                <wp:cNvGraphicFramePr>
                  <a:graphicFrameLocks/>
                </wp:cNvGraphicFramePr>
                <a:graphic>
                  <a:graphicData uri="http://schemas.microsoft.com/office/word/2010/wordprocessingShape">
                    <wps:wsp>
                      <wps:cNvPr id="821" name="Graphic 821"/>
                      <wps:cNvSpPr/>
                      <wps:spPr>
                        <a:xfrm>
                          <a:off x="0" y="0"/>
                          <a:ext cx="128905" cy="71120"/>
                        </a:xfrm>
                        <a:custGeom>
                          <a:avLst/>
                          <a:gdLst/>
                          <a:ahLst/>
                          <a:cxnLst/>
                          <a:rect l="l" t="t" r="r" b="b"/>
                          <a:pathLst>
                            <a:path w="128905" h="71120">
                              <a:moveTo>
                                <a:pt x="0" y="71095"/>
                              </a:moveTo>
                              <a:lnTo>
                                <a:pt x="128575" y="0"/>
                              </a:lnTo>
                            </a:path>
                          </a:pathLst>
                        </a:custGeom>
                        <a:ln w="11849">
                          <a:solidFill>
                            <a:srgbClr val="009ED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114.382515pt,12.911855pt" to="124.506569pt,7.313816pt" stroked="true" strokeweight=".933007pt" strokecolor="#009edb">
                <v:stroke dashstyle="solid"/>
                <w10:wrap type="none"/>
              </v:line>
            </w:pict>
          </mc:Fallback>
        </mc:AlternateContent>
      </w:r>
      <w:r>
        <w:rPr>
          <w:rFonts w:ascii="Arial"/>
          <w:b/>
          <w:color w:val="231F20"/>
          <w:spacing w:val="-5"/>
          <w:sz w:val="15"/>
        </w:rPr>
        <w:t>Gal</w:t>
      </w:r>
    </w:p>
    <w:p>
      <w:pPr>
        <w:spacing w:line="240" w:lineRule="auto" w:before="0"/>
        <w:rPr>
          <w:rFonts w:ascii="Arial"/>
          <w:b/>
          <w:sz w:val="15"/>
        </w:rPr>
      </w:pPr>
      <w:r>
        <w:rPr/>
        <w:br w:type="column"/>
      </w:r>
      <w:r>
        <w:rPr>
          <w:rFonts w:ascii="Arial"/>
          <w:b/>
          <w:sz w:val="15"/>
        </w:rPr>
      </w:r>
    </w:p>
    <w:p>
      <w:pPr>
        <w:pStyle w:val="BodyText"/>
        <w:rPr>
          <w:rFonts w:ascii="Arial"/>
          <w:b/>
          <w:sz w:val="15"/>
        </w:rPr>
      </w:pPr>
    </w:p>
    <w:p>
      <w:pPr>
        <w:pStyle w:val="BodyText"/>
        <w:spacing w:before="38"/>
        <w:rPr>
          <w:rFonts w:ascii="Arial"/>
          <w:b/>
          <w:sz w:val="15"/>
        </w:rPr>
      </w:pPr>
    </w:p>
    <w:p>
      <w:pPr>
        <w:spacing w:before="0"/>
        <w:ind w:left="0" w:right="0" w:firstLine="0"/>
        <w:jc w:val="left"/>
        <w:rPr>
          <w:rFonts w:ascii="Arial"/>
          <w:i/>
          <w:sz w:val="15"/>
        </w:rPr>
      </w:pPr>
      <w:r>
        <w:rPr>
          <w:position w:val="4"/>
        </w:rPr>
        <w:drawing>
          <wp:inline distT="0" distB="0" distL="0" distR="0">
            <wp:extent cx="126395" cy="11849"/>
            <wp:effectExtent l="0" t="0" r="0" b="0"/>
            <wp:docPr id="822" name="Image 822"/>
            <wp:cNvGraphicFramePr>
              <a:graphicFrameLocks/>
            </wp:cNvGraphicFramePr>
            <a:graphic>
              <a:graphicData uri="http://schemas.openxmlformats.org/drawingml/2006/picture">
                <pic:pic>
                  <pic:nvPicPr>
                    <pic:cNvPr id="822" name="Image 822"/>
                    <pic:cNvPicPr/>
                  </pic:nvPicPr>
                  <pic:blipFill>
                    <a:blip r:embed="rId301" cstate="print"/>
                    <a:stretch>
                      <a:fillRect/>
                    </a:stretch>
                  </pic:blipFill>
                  <pic:spPr>
                    <a:xfrm>
                      <a:off x="0" y="0"/>
                      <a:ext cx="126395" cy="11849"/>
                    </a:xfrm>
                    <a:prstGeom prst="rect">
                      <a:avLst/>
                    </a:prstGeom>
                  </pic:spPr>
                </pic:pic>
              </a:graphicData>
            </a:graphic>
          </wp:inline>
        </w:drawing>
      </w:r>
      <w:r>
        <w:rPr>
          <w:position w:val="4"/>
        </w:rPr>
      </w:r>
      <w:r>
        <w:rPr>
          <w:rFonts w:ascii="Times New Roman"/>
          <w:spacing w:val="-21"/>
          <w:sz w:val="20"/>
        </w:rPr>
        <w:t> </w:t>
      </w:r>
      <w:r>
        <w:rPr>
          <w:rFonts w:ascii="Arial"/>
          <w:b/>
          <w:color w:val="231F20"/>
          <w:spacing w:val="-2"/>
          <w:sz w:val="15"/>
        </w:rPr>
        <w:t>Glc-Ceramide</w:t>
      </w:r>
      <w:r>
        <w:rPr>
          <w:rFonts w:ascii="Arial"/>
          <w:b/>
          <w:color w:val="231F20"/>
          <w:spacing w:val="2"/>
          <w:sz w:val="15"/>
        </w:rPr>
        <w:t> </w:t>
      </w:r>
      <w:r>
        <w:rPr>
          <w:rFonts w:ascii="Arial"/>
          <w:i/>
          <w:color w:val="231F20"/>
          <w:spacing w:val="-2"/>
          <w:sz w:val="15"/>
        </w:rPr>
        <w:t>(GM2)</w:t>
      </w:r>
    </w:p>
    <w:p>
      <w:pPr>
        <w:spacing w:line="240" w:lineRule="auto" w:before="75"/>
        <w:rPr>
          <w:rFonts w:ascii="Arial"/>
          <w:i/>
          <w:sz w:val="15"/>
        </w:rPr>
      </w:pPr>
      <w:r>
        <w:rPr/>
        <w:br w:type="column"/>
      </w:r>
      <w:r>
        <w:rPr>
          <w:rFonts w:ascii="Arial"/>
          <w:i/>
          <w:sz w:val="15"/>
        </w:rPr>
      </w:r>
    </w:p>
    <w:p>
      <w:pPr>
        <w:spacing w:before="0"/>
        <w:ind w:left="1368" w:right="0" w:firstLine="0"/>
        <w:jc w:val="left"/>
        <w:rPr>
          <w:rFonts w:ascii="Arial"/>
          <w:i/>
          <w:sz w:val="15"/>
        </w:rPr>
      </w:pPr>
      <w:r>
        <w:rPr>
          <w:rFonts w:ascii="Arial"/>
          <w:b/>
          <w:color w:val="231F20"/>
          <w:spacing w:val="-2"/>
          <w:sz w:val="15"/>
        </w:rPr>
        <w:t>GalNac-Gal-Gal-Glc-Ceramide</w:t>
      </w:r>
      <w:r>
        <w:rPr>
          <w:rFonts w:ascii="Arial"/>
          <w:b/>
          <w:color w:val="231F20"/>
          <w:spacing w:val="6"/>
          <w:sz w:val="15"/>
        </w:rPr>
        <w:t> </w:t>
      </w:r>
      <w:r>
        <w:rPr>
          <w:rFonts w:ascii="Arial"/>
          <w:i/>
          <w:color w:val="231F20"/>
          <w:spacing w:val="-2"/>
          <w:sz w:val="15"/>
        </w:rPr>
        <w:t>(Globoside)</w:t>
      </w:r>
    </w:p>
    <w:p>
      <w:pPr>
        <w:pStyle w:val="BodyText"/>
        <w:rPr>
          <w:rFonts w:ascii="Arial"/>
          <w:i/>
          <w:sz w:val="15"/>
        </w:rPr>
      </w:pPr>
    </w:p>
    <w:p>
      <w:pPr>
        <w:pStyle w:val="BodyText"/>
        <w:rPr>
          <w:rFonts w:ascii="Arial"/>
          <w:i/>
          <w:sz w:val="15"/>
        </w:rPr>
      </w:pPr>
    </w:p>
    <w:p>
      <w:pPr>
        <w:pStyle w:val="BodyText"/>
        <w:spacing w:before="146"/>
        <w:rPr>
          <w:rFonts w:ascii="Arial"/>
          <w:i/>
          <w:sz w:val="15"/>
        </w:rPr>
      </w:pPr>
    </w:p>
    <w:p>
      <w:pPr>
        <w:spacing w:before="1"/>
        <w:ind w:left="1378" w:right="0" w:firstLine="0"/>
        <w:jc w:val="left"/>
        <w:rPr>
          <w:rFonts w:ascii="Arial MT"/>
          <w:sz w:val="15"/>
        </w:rPr>
      </w:pPr>
      <w:r>
        <w:rPr>
          <w:rFonts w:ascii="Arial MT"/>
          <w:sz w:val="15"/>
        </w:rPr>
        <mc:AlternateContent>
          <mc:Choice Requires="wps">
            <w:drawing>
              <wp:anchor distT="0" distB="0" distL="0" distR="0" allowOverlap="1" layoutInCell="1" locked="0" behindDoc="0" simplePos="0" relativeHeight="15781376">
                <wp:simplePos x="0" y="0"/>
                <wp:positionH relativeFrom="page">
                  <wp:posOffset>4318999</wp:posOffset>
                </wp:positionH>
                <wp:positionV relativeFrom="paragraph">
                  <wp:posOffset>-403259</wp:posOffset>
                </wp:positionV>
                <wp:extent cx="2228850" cy="646430"/>
                <wp:effectExtent l="0" t="0" r="0" b="0"/>
                <wp:wrapNone/>
                <wp:docPr id="823" name="Group 823"/>
                <wp:cNvGraphicFramePr>
                  <a:graphicFrameLocks/>
                </wp:cNvGraphicFramePr>
                <a:graphic>
                  <a:graphicData uri="http://schemas.microsoft.com/office/word/2010/wordprocessingGroup">
                    <wpg:wgp>
                      <wpg:cNvPr id="823" name="Group 823"/>
                      <wpg:cNvGrpSpPr/>
                      <wpg:grpSpPr>
                        <a:xfrm>
                          <a:off x="0" y="0"/>
                          <a:ext cx="2228850" cy="646430"/>
                          <a:chExt cx="2228850" cy="646430"/>
                        </a:xfrm>
                      </wpg:grpSpPr>
                      <wps:wsp>
                        <wps:cNvPr id="824" name="Graphic 824"/>
                        <wps:cNvSpPr/>
                        <wps:spPr>
                          <a:xfrm>
                            <a:off x="441548" y="221070"/>
                            <a:ext cx="831850" cy="1270"/>
                          </a:xfrm>
                          <a:custGeom>
                            <a:avLst/>
                            <a:gdLst/>
                            <a:ahLst/>
                            <a:cxnLst/>
                            <a:rect l="l" t="t" r="r" b="b"/>
                            <a:pathLst>
                              <a:path w="831850" h="0">
                                <a:moveTo>
                                  <a:pt x="831694"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25" name="Graphic 825"/>
                        <wps:cNvSpPr/>
                        <wps:spPr>
                          <a:xfrm>
                            <a:off x="374623" y="182549"/>
                            <a:ext cx="94615" cy="77470"/>
                          </a:xfrm>
                          <a:custGeom>
                            <a:avLst/>
                            <a:gdLst/>
                            <a:ahLst/>
                            <a:cxnLst/>
                            <a:rect l="l" t="t" r="r" b="b"/>
                            <a:pathLst>
                              <a:path w="94615" h="77470">
                                <a:moveTo>
                                  <a:pt x="94322" y="0"/>
                                </a:moveTo>
                                <a:lnTo>
                                  <a:pt x="0" y="38531"/>
                                </a:lnTo>
                                <a:lnTo>
                                  <a:pt x="94322" y="77050"/>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826" name="Graphic 826"/>
                        <wps:cNvSpPr/>
                        <wps:spPr>
                          <a:xfrm>
                            <a:off x="119274" y="5924"/>
                            <a:ext cx="184150" cy="576580"/>
                          </a:xfrm>
                          <a:custGeom>
                            <a:avLst/>
                            <a:gdLst/>
                            <a:ahLst/>
                            <a:cxnLst/>
                            <a:rect l="l" t="t" r="r" b="b"/>
                            <a:pathLst>
                              <a:path w="184150" h="576580">
                                <a:moveTo>
                                  <a:pt x="183780" y="0"/>
                                </a:moveTo>
                                <a:lnTo>
                                  <a:pt x="0" y="576178"/>
                                </a:lnTo>
                              </a:path>
                            </a:pathLst>
                          </a:custGeom>
                          <a:ln w="11849">
                            <a:solidFill>
                              <a:srgbClr val="2E3092"/>
                            </a:solidFill>
                            <a:prstDash val="solid"/>
                          </a:ln>
                        </wps:spPr>
                        <wps:bodyPr wrap="square" lIns="0" tIns="0" rIns="0" bIns="0" rtlCol="0">
                          <a:prstTxWarp prst="textNoShape">
                            <a:avLst/>
                          </a:prstTxWarp>
                          <a:noAutofit/>
                        </wps:bodyPr>
                      </wps:wsp>
                      <wps:wsp>
                        <wps:cNvPr id="827" name="Graphic 827"/>
                        <wps:cNvSpPr/>
                        <wps:spPr>
                          <a:xfrm>
                            <a:off x="90890" y="544301"/>
                            <a:ext cx="73660" cy="101600"/>
                          </a:xfrm>
                          <a:custGeom>
                            <a:avLst/>
                            <a:gdLst/>
                            <a:ahLst/>
                            <a:cxnLst/>
                            <a:rect l="l" t="t" r="r" b="b"/>
                            <a:pathLst>
                              <a:path w="73660" h="101600">
                                <a:moveTo>
                                  <a:pt x="0" y="0"/>
                                </a:moveTo>
                                <a:lnTo>
                                  <a:pt x="8039" y="101561"/>
                                </a:lnTo>
                                <a:lnTo>
                                  <a:pt x="73405" y="23418"/>
                                </a:lnTo>
                                <a:lnTo>
                                  <a:pt x="29908" y="33032"/>
                                </a:lnTo>
                                <a:lnTo>
                                  <a:pt x="0" y="0"/>
                                </a:lnTo>
                                <a:close/>
                              </a:path>
                            </a:pathLst>
                          </a:custGeom>
                          <a:solidFill>
                            <a:srgbClr val="2E3092"/>
                          </a:solidFill>
                        </wps:spPr>
                        <wps:bodyPr wrap="square" lIns="0" tIns="0" rIns="0" bIns="0" rtlCol="0">
                          <a:prstTxWarp prst="textNoShape">
                            <a:avLst/>
                          </a:prstTxWarp>
                          <a:noAutofit/>
                        </wps:bodyPr>
                      </wps:wsp>
                      <pic:pic>
                        <pic:nvPicPr>
                          <pic:cNvPr id="828" name="Image 828"/>
                          <pic:cNvPicPr/>
                        </pic:nvPicPr>
                        <pic:blipFill>
                          <a:blip r:embed="rId302" cstate="print"/>
                          <a:stretch>
                            <a:fillRect/>
                          </a:stretch>
                        </pic:blipFill>
                        <pic:spPr>
                          <a:xfrm>
                            <a:off x="0" y="247825"/>
                            <a:ext cx="227705" cy="175934"/>
                          </a:xfrm>
                          <a:prstGeom prst="rect">
                            <a:avLst/>
                          </a:prstGeom>
                        </pic:spPr>
                      </pic:pic>
                      <wps:wsp>
                        <wps:cNvPr id="829" name="Graphic 829"/>
                        <wps:cNvSpPr/>
                        <wps:spPr>
                          <a:xfrm>
                            <a:off x="56861" y="179073"/>
                            <a:ext cx="324485" cy="74930"/>
                          </a:xfrm>
                          <a:custGeom>
                            <a:avLst/>
                            <a:gdLst/>
                            <a:ahLst/>
                            <a:cxnLst/>
                            <a:rect l="l" t="t" r="r" b="b"/>
                            <a:pathLst>
                              <a:path w="324485" h="74930">
                                <a:moveTo>
                                  <a:pt x="323888" y="0"/>
                                </a:moveTo>
                                <a:lnTo>
                                  <a:pt x="0" y="0"/>
                                </a:lnTo>
                                <a:lnTo>
                                  <a:pt x="0" y="74675"/>
                                </a:lnTo>
                                <a:lnTo>
                                  <a:pt x="323888" y="74675"/>
                                </a:lnTo>
                                <a:lnTo>
                                  <a:pt x="323888" y="0"/>
                                </a:lnTo>
                                <a:close/>
                              </a:path>
                            </a:pathLst>
                          </a:custGeom>
                          <a:solidFill>
                            <a:srgbClr val="B23756"/>
                          </a:solidFill>
                        </wps:spPr>
                        <wps:bodyPr wrap="square" lIns="0" tIns="0" rIns="0" bIns="0" rtlCol="0">
                          <a:prstTxWarp prst="textNoShape">
                            <a:avLst/>
                          </a:prstTxWarp>
                          <a:noAutofit/>
                        </wps:bodyPr>
                      </wps:wsp>
                      <wps:wsp>
                        <wps:cNvPr id="830" name="Textbox 830"/>
                        <wps:cNvSpPr txBox="1"/>
                        <wps:spPr>
                          <a:xfrm>
                            <a:off x="472381" y="118601"/>
                            <a:ext cx="797560" cy="95250"/>
                          </a:xfrm>
                          <a:prstGeom prst="rect">
                            <a:avLst/>
                          </a:prstGeom>
                        </wps:spPr>
                        <wps:txbx>
                          <w:txbxContent>
                            <w:p>
                              <w:pPr>
                                <w:spacing w:line="147" w:lineRule="exact" w:before="0"/>
                                <w:ind w:left="0" w:right="0" w:firstLine="0"/>
                                <w:jc w:val="left"/>
                                <w:rPr>
                                  <w:rFonts w:ascii="Arial"/>
                                  <w:b/>
                                  <w:sz w:val="15"/>
                                </w:rPr>
                              </w:pPr>
                              <w:r>
                                <w:rPr>
                                  <w:rFonts w:ascii="Arial"/>
                                  <w:b/>
                                  <w:color w:val="231F20"/>
                                  <w:sz w:val="15"/>
                                </w:rPr>
                                <w:t>Sandhoff</w:t>
                              </w:r>
                              <w:r>
                                <w:rPr>
                                  <w:rFonts w:ascii="Arial"/>
                                  <w:b/>
                                  <w:color w:val="231F20"/>
                                  <w:spacing w:val="-8"/>
                                  <w:sz w:val="15"/>
                                </w:rPr>
                                <w:t> </w:t>
                              </w:r>
                              <w:r>
                                <w:rPr>
                                  <w:rFonts w:ascii="Arial"/>
                                  <w:b/>
                                  <w:color w:val="231F20"/>
                                  <w:spacing w:val="-2"/>
                                  <w:sz w:val="15"/>
                                </w:rPr>
                                <w:t>disease</w:t>
                              </w:r>
                            </w:p>
                          </w:txbxContent>
                        </wps:txbx>
                        <wps:bodyPr wrap="square" lIns="0" tIns="0" rIns="0" bIns="0" rtlCol="0">
                          <a:noAutofit/>
                        </wps:bodyPr>
                      </wps:wsp>
                      <wps:wsp>
                        <wps:cNvPr id="831" name="Textbox 831"/>
                        <wps:cNvSpPr txBox="1"/>
                        <wps:spPr>
                          <a:xfrm>
                            <a:off x="209204" y="503079"/>
                            <a:ext cx="1103630" cy="121920"/>
                          </a:xfrm>
                          <a:prstGeom prst="rect">
                            <a:avLst/>
                          </a:prstGeom>
                        </wps:spPr>
                        <wps:txbx>
                          <w:txbxContent>
                            <w:p>
                              <w:pPr>
                                <w:spacing w:line="192" w:lineRule="exact" w:before="0"/>
                                <w:ind w:left="20" w:right="0" w:firstLine="0"/>
                                <w:jc w:val="left"/>
                                <w:rPr>
                                  <w:rFonts w:ascii="Arial" w:hAnsi="Arial"/>
                                  <w:i/>
                                  <w:sz w:val="15"/>
                                </w:rPr>
                              </w:pPr>
                              <w:r>
                                <w:rPr>
                                  <w:rFonts w:ascii="Lucida Sans Unicode" w:hAnsi="Lucida Sans Unicode"/>
                                  <w:color w:val="231F20"/>
                                  <w:sz w:val="15"/>
                                </w:rPr>
                                <w:t>β</w:t>
                              </w:r>
                              <w:r>
                                <w:rPr>
                                  <w:rFonts w:ascii="Arial" w:hAnsi="Arial"/>
                                  <w:i/>
                                  <w:color w:val="231F20"/>
                                  <w:sz w:val="15"/>
                                </w:rPr>
                                <w:t>-Hexosaminidase</w:t>
                              </w:r>
                              <w:r>
                                <w:rPr>
                                  <w:rFonts w:ascii="Arial" w:hAnsi="Arial"/>
                                  <w:i/>
                                  <w:color w:val="231F20"/>
                                  <w:spacing w:val="-11"/>
                                  <w:sz w:val="15"/>
                                </w:rPr>
                                <w:t> </w:t>
                              </w:r>
                              <w:r>
                                <w:rPr>
                                  <w:rFonts w:ascii="Arial" w:hAnsi="Arial"/>
                                  <w:i/>
                                  <w:color w:val="231F20"/>
                                  <w:sz w:val="15"/>
                                </w:rPr>
                                <w:t>A</w:t>
                              </w:r>
                              <w:r>
                                <w:rPr>
                                  <w:rFonts w:ascii="Arial" w:hAnsi="Arial"/>
                                  <w:i/>
                                  <w:color w:val="231F20"/>
                                  <w:spacing w:val="-10"/>
                                  <w:sz w:val="15"/>
                                </w:rPr>
                                <w:t> </w:t>
                              </w:r>
                              <w:r>
                                <w:rPr>
                                  <w:rFonts w:ascii="Arial" w:hAnsi="Arial"/>
                                  <w:i/>
                                  <w:color w:val="231F20"/>
                                  <w:sz w:val="15"/>
                                </w:rPr>
                                <w:t>&amp;</w:t>
                              </w:r>
                              <w:r>
                                <w:rPr>
                                  <w:rFonts w:ascii="Arial" w:hAnsi="Arial"/>
                                  <w:i/>
                                  <w:color w:val="231F20"/>
                                  <w:spacing w:val="-10"/>
                                  <w:sz w:val="15"/>
                                </w:rPr>
                                <w:t> B</w:t>
                              </w:r>
                            </w:p>
                          </w:txbxContent>
                        </wps:txbx>
                        <wps:bodyPr wrap="square" lIns="0" tIns="0" rIns="0" bIns="0" rtlCol="0">
                          <a:noAutofit/>
                        </wps:bodyPr>
                      </wps:wsp>
                      <wps:wsp>
                        <wps:cNvPr id="832" name="Textbox 832"/>
                        <wps:cNvSpPr txBox="1"/>
                        <wps:spPr>
                          <a:xfrm>
                            <a:off x="1278324" y="20890"/>
                            <a:ext cx="944880" cy="400685"/>
                          </a:xfrm>
                          <a:prstGeom prst="rect">
                            <a:avLst/>
                          </a:prstGeom>
                          <a:solidFill>
                            <a:srgbClr val="D7EDDD"/>
                          </a:solidFill>
                          <a:ln w="11849">
                            <a:solidFill>
                              <a:srgbClr val="231F20"/>
                            </a:solidFill>
                            <a:prstDash val="solid"/>
                          </a:ln>
                        </wps:spPr>
                        <wps:txbx>
                          <w:txbxContent>
                            <w:p>
                              <w:pPr>
                                <w:spacing w:line="232" w:lineRule="auto" w:before="48"/>
                                <w:ind w:left="34" w:right="10" w:firstLine="0"/>
                                <w:jc w:val="left"/>
                                <w:rPr>
                                  <w:rFonts w:ascii="Arial"/>
                                  <w:i/>
                                  <w:color w:val="000000"/>
                                  <w:sz w:val="15"/>
                                </w:rPr>
                              </w:pPr>
                              <w:r>
                                <w:rPr>
                                  <w:rFonts w:ascii="Arial"/>
                                  <w:i/>
                                  <w:color w:val="231F20"/>
                                  <w:sz w:val="15"/>
                                </w:rPr>
                                <w:t>Similar</w:t>
                              </w:r>
                              <w:r>
                                <w:rPr>
                                  <w:rFonts w:ascii="Arial"/>
                                  <w:i/>
                                  <w:color w:val="231F20"/>
                                  <w:spacing w:val="-11"/>
                                  <w:sz w:val="15"/>
                                </w:rPr>
                                <w:t> </w:t>
                              </w:r>
                              <w:r>
                                <w:rPr>
                                  <w:rFonts w:ascii="Arial"/>
                                  <w:i/>
                                  <w:color w:val="231F20"/>
                                  <w:sz w:val="15"/>
                                </w:rPr>
                                <w:t>to</w:t>
                              </w:r>
                              <w:r>
                                <w:rPr>
                                  <w:rFonts w:ascii="Arial"/>
                                  <w:i/>
                                  <w:color w:val="231F20"/>
                                  <w:spacing w:val="-10"/>
                                  <w:sz w:val="15"/>
                                </w:rPr>
                                <w:t> </w:t>
                              </w:r>
                              <w:r>
                                <w:rPr>
                                  <w:rFonts w:ascii="Arial"/>
                                  <w:i/>
                                  <w:color w:val="231F20"/>
                                  <w:sz w:val="15"/>
                                </w:rPr>
                                <w:t>Tay-</w:t>
                              </w:r>
                              <w:r>
                                <w:rPr>
                                  <w:rFonts w:ascii="Arial"/>
                                  <w:i/>
                                  <w:color w:val="231F20"/>
                                  <w:sz w:val="15"/>
                                </w:rPr>
                                <w:t>Sachs, may have HSM, dysostosis</w:t>
                              </w:r>
                              <w:r>
                                <w:rPr>
                                  <w:rFonts w:ascii="Arial"/>
                                  <w:i/>
                                  <w:color w:val="231F20"/>
                                  <w:spacing w:val="-1"/>
                                  <w:sz w:val="15"/>
                                </w:rPr>
                                <w:t> </w:t>
                              </w:r>
                              <w:r>
                                <w:rPr>
                                  <w:rFonts w:ascii="Arial"/>
                                  <w:i/>
                                  <w:color w:val="231F20"/>
                                  <w:sz w:val="15"/>
                                </w:rPr>
                                <w:t>multiplex</w:t>
                              </w:r>
                            </w:p>
                          </w:txbxContent>
                        </wps:txbx>
                        <wps:bodyPr wrap="square" lIns="0" tIns="0" rIns="0" bIns="0" rtlCol="0">
                          <a:noAutofit/>
                        </wps:bodyPr>
                      </wps:wsp>
                    </wpg:wgp>
                  </a:graphicData>
                </a:graphic>
              </wp:anchor>
            </w:drawing>
          </mc:Choice>
          <mc:Fallback>
            <w:pict>
              <v:group style="position:absolute;margin-left:340.078705pt;margin-top:-31.752735pt;width:175.5pt;height:50.9pt;mso-position-horizontal-relative:page;mso-position-vertical-relative:paragraph;z-index:15781376" id="docshapegroup676" coordorigin="6802,-635" coordsize="3510,1018">
                <v:line style="position:absolute" from="8807,-287" to="7497,-287" stroked="true" strokeweight=".933007pt" strokecolor="#231f20">
                  <v:stroke dashstyle="solid"/>
                </v:line>
                <v:shape style="position:absolute;left:7391;top:-348;width:149;height:122" id="docshape677" coordorigin="7392,-348" coordsize="149,122" path="m7540,-348l7392,-287,7540,-226,7505,-287,7540,-348xe" filled="true" fillcolor="#231f20" stroked="false">
                  <v:path arrowok="t"/>
                  <v:fill type="solid"/>
                </v:shape>
                <v:line style="position:absolute" from="7279,-626" to="6989,282" stroked="true" strokeweight=".933007pt" strokecolor="#2e3092">
                  <v:stroke dashstyle="solid"/>
                </v:line>
                <v:shape style="position:absolute;left:6944;top:222;width:116;height:160" id="docshape678" coordorigin="6945,222" coordsize="116,160" path="m6945,222l6957,382,7060,259,6992,274,6945,222xe" filled="true" fillcolor="#2e3092" stroked="false">
                  <v:path arrowok="t"/>
                  <v:fill type="solid"/>
                </v:shape>
                <v:shape style="position:absolute;left:6801;top:-245;width:359;height:278" type="#_x0000_t75" id="docshape679" stroked="false">
                  <v:imagedata r:id="rId302" o:title=""/>
                </v:shape>
                <v:rect style="position:absolute;left:6891;top:-354;width:511;height:118" id="docshape680" filled="true" fillcolor="#b23756" stroked="false">
                  <v:fill type="solid"/>
                </v:rect>
                <v:shape style="position:absolute;left:7545;top:-449;width:1256;height:150" type="#_x0000_t202" id="docshape681" filled="false" stroked="false">
                  <v:textbox inset="0,0,0,0">
                    <w:txbxContent>
                      <w:p>
                        <w:pPr>
                          <w:spacing w:line="147" w:lineRule="exact" w:before="0"/>
                          <w:ind w:left="0" w:right="0" w:firstLine="0"/>
                          <w:jc w:val="left"/>
                          <w:rPr>
                            <w:rFonts w:ascii="Arial"/>
                            <w:b/>
                            <w:sz w:val="15"/>
                          </w:rPr>
                        </w:pPr>
                        <w:r>
                          <w:rPr>
                            <w:rFonts w:ascii="Arial"/>
                            <w:b/>
                            <w:color w:val="231F20"/>
                            <w:sz w:val="15"/>
                          </w:rPr>
                          <w:t>Sandhoff</w:t>
                        </w:r>
                        <w:r>
                          <w:rPr>
                            <w:rFonts w:ascii="Arial"/>
                            <w:b/>
                            <w:color w:val="231F20"/>
                            <w:spacing w:val="-8"/>
                            <w:sz w:val="15"/>
                          </w:rPr>
                          <w:t> </w:t>
                        </w:r>
                        <w:r>
                          <w:rPr>
                            <w:rFonts w:ascii="Arial"/>
                            <w:b/>
                            <w:color w:val="231F20"/>
                            <w:spacing w:val="-2"/>
                            <w:sz w:val="15"/>
                          </w:rPr>
                          <w:t>disease</w:t>
                        </w:r>
                      </w:p>
                    </w:txbxContent>
                  </v:textbox>
                  <w10:wrap type="none"/>
                </v:shape>
                <v:shape style="position:absolute;left:7131;top:157;width:1738;height:192" type="#_x0000_t202" id="docshape682" filled="false" stroked="false">
                  <v:textbox inset="0,0,0,0">
                    <w:txbxContent>
                      <w:p>
                        <w:pPr>
                          <w:spacing w:line="192" w:lineRule="exact" w:before="0"/>
                          <w:ind w:left="20" w:right="0" w:firstLine="0"/>
                          <w:jc w:val="left"/>
                          <w:rPr>
                            <w:rFonts w:ascii="Arial" w:hAnsi="Arial"/>
                            <w:i/>
                            <w:sz w:val="15"/>
                          </w:rPr>
                        </w:pPr>
                        <w:r>
                          <w:rPr>
                            <w:rFonts w:ascii="Lucida Sans Unicode" w:hAnsi="Lucida Sans Unicode"/>
                            <w:color w:val="231F20"/>
                            <w:sz w:val="15"/>
                          </w:rPr>
                          <w:t>β</w:t>
                        </w:r>
                        <w:r>
                          <w:rPr>
                            <w:rFonts w:ascii="Arial" w:hAnsi="Arial"/>
                            <w:i/>
                            <w:color w:val="231F20"/>
                            <w:sz w:val="15"/>
                          </w:rPr>
                          <w:t>-Hexosaminidase</w:t>
                        </w:r>
                        <w:r>
                          <w:rPr>
                            <w:rFonts w:ascii="Arial" w:hAnsi="Arial"/>
                            <w:i/>
                            <w:color w:val="231F20"/>
                            <w:spacing w:val="-11"/>
                            <w:sz w:val="15"/>
                          </w:rPr>
                          <w:t> </w:t>
                        </w:r>
                        <w:r>
                          <w:rPr>
                            <w:rFonts w:ascii="Arial" w:hAnsi="Arial"/>
                            <w:i/>
                            <w:color w:val="231F20"/>
                            <w:sz w:val="15"/>
                          </w:rPr>
                          <w:t>A</w:t>
                        </w:r>
                        <w:r>
                          <w:rPr>
                            <w:rFonts w:ascii="Arial" w:hAnsi="Arial"/>
                            <w:i/>
                            <w:color w:val="231F20"/>
                            <w:spacing w:val="-10"/>
                            <w:sz w:val="15"/>
                          </w:rPr>
                          <w:t> </w:t>
                        </w:r>
                        <w:r>
                          <w:rPr>
                            <w:rFonts w:ascii="Arial" w:hAnsi="Arial"/>
                            <w:i/>
                            <w:color w:val="231F20"/>
                            <w:sz w:val="15"/>
                          </w:rPr>
                          <w:t>&amp;</w:t>
                        </w:r>
                        <w:r>
                          <w:rPr>
                            <w:rFonts w:ascii="Arial" w:hAnsi="Arial"/>
                            <w:i/>
                            <w:color w:val="231F20"/>
                            <w:spacing w:val="-10"/>
                            <w:sz w:val="15"/>
                          </w:rPr>
                          <w:t> B</w:t>
                        </w:r>
                      </w:p>
                    </w:txbxContent>
                  </v:textbox>
                  <w10:wrap type="none"/>
                </v:shape>
                <v:shape style="position:absolute;left:8814;top:-603;width:1488;height:631" type="#_x0000_t202" id="docshape683" filled="true" fillcolor="#d7eddd" stroked="true" strokeweight=".933007pt" strokecolor="#231f20">
                  <v:textbox inset="0,0,0,0">
                    <w:txbxContent>
                      <w:p>
                        <w:pPr>
                          <w:spacing w:line="232" w:lineRule="auto" w:before="48"/>
                          <w:ind w:left="34" w:right="10" w:firstLine="0"/>
                          <w:jc w:val="left"/>
                          <w:rPr>
                            <w:rFonts w:ascii="Arial"/>
                            <w:i/>
                            <w:color w:val="000000"/>
                            <w:sz w:val="15"/>
                          </w:rPr>
                        </w:pPr>
                        <w:r>
                          <w:rPr>
                            <w:rFonts w:ascii="Arial"/>
                            <w:i/>
                            <w:color w:val="231F20"/>
                            <w:sz w:val="15"/>
                          </w:rPr>
                          <w:t>Similar</w:t>
                        </w:r>
                        <w:r>
                          <w:rPr>
                            <w:rFonts w:ascii="Arial"/>
                            <w:i/>
                            <w:color w:val="231F20"/>
                            <w:spacing w:val="-11"/>
                            <w:sz w:val="15"/>
                          </w:rPr>
                          <w:t> </w:t>
                        </w:r>
                        <w:r>
                          <w:rPr>
                            <w:rFonts w:ascii="Arial"/>
                            <w:i/>
                            <w:color w:val="231F20"/>
                            <w:sz w:val="15"/>
                          </w:rPr>
                          <w:t>to</w:t>
                        </w:r>
                        <w:r>
                          <w:rPr>
                            <w:rFonts w:ascii="Arial"/>
                            <w:i/>
                            <w:color w:val="231F20"/>
                            <w:spacing w:val="-10"/>
                            <w:sz w:val="15"/>
                          </w:rPr>
                          <w:t> </w:t>
                        </w:r>
                        <w:r>
                          <w:rPr>
                            <w:rFonts w:ascii="Arial"/>
                            <w:i/>
                            <w:color w:val="231F20"/>
                            <w:sz w:val="15"/>
                          </w:rPr>
                          <w:t>Tay-</w:t>
                        </w:r>
                        <w:r>
                          <w:rPr>
                            <w:rFonts w:ascii="Arial"/>
                            <w:i/>
                            <w:color w:val="231F20"/>
                            <w:sz w:val="15"/>
                          </w:rPr>
                          <w:t>Sachs, may have HSM, dysostosis</w:t>
                        </w:r>
                        <w:r>
                          <w:rPr>
                            <w:rFonts w:ascii="Arial"/>
                            <w:i/>
                            <w:color w:val="231F20"/>
                            <w:spacing w:val="-1"/>
                            <w:sz w:val="15"/>
                          </w:rPr>
                          <w:t> </w:t>
                        </w:r>
                        <w:r>
                          <w:rPr>
                            <w:rFonts w:ascii="Arial"/>
                            <w:i/>
                            <w:color w:val="231F20"/>
                            <w:sz w:val="15"/>
                          </w:rPr>
                          <w:t>multiplex</w:t>
                        </w:r>
                      </w:p>
                    </w:txbxContent>
                  </v:textbox>
                  <v:fill type="solid"/>
                  <v:stroke dashstyle="solid"/>
                  <w10:wrap type="none"/>
                </v:shape>
                <w10:wrap type="none"/>
              </v:group>
            </w:pict>
          </mc:Fallback>
        </mc:AlternateContent>
      </w:r>
      <w:r>
        <w:rPr>
          <w:rFonts w:ascii="Arial MT"/>
          <w:color w:val="231F20"/>
          <w:spacing w:val="-2"/>
          <w:sz w:val="15"/>
        </w:rPr>
        <w:t>GalNac</w:t>
      </w:r>
    </w:p>
    <w:p>
      <w:pPr>
        <w:spacing w:after="0"/>
        <w:jc w:val="left"/>
        <w:rPr>
          <w:rFonts w:ascii="Arial MT"/>
          <w:sz w:val="15"/>
        </w:rPr>
        <w:sectPr>
          <w:type w:val="continuous"/>
          <w:pgSz w:w="11900" w:h="16840"/>
          <w:pgMar w:header="0" w:footer="0" w:top="620" w:bottom="280" w:left="425" w:right="566"/>
          <w:cols w:num="4" w:equalWidth="0">
            <w:col w:w="1908" w:space="29"/>
            <w:col w:w="386" w:space="40"/>
            <w:col w:w="1703" w:space="440"/>
            <w:col w:w="6403"/>
          </w:cols>
        </w:sectPr>
      </w:pPr>
    </w:p>
    <w:p>
      <w:pPr>
        <w:pStyle w:val="BodyText"/>
        <w:rPr>
          <w:rFonts w:ascii="Arial MT"/>
          <w:sz w:val="15"/>
        </w:rPr>
      </w:pPr>
    </w:p>
    <w:p>
      <w:pPr>
        <w:pStyle w:val="BodyText"/>
        <w:spacing w:before="122"/>
        <w:rPr>
          <w:rFonts w:ascii="Arial MT"/>
          <w:sz w:val="15"/>
        </w:rPr>
      </w:pPr>
    </w:p>
    <w:p>
      <w:pPr>
        <w:spacing w:before="0"/>
        <w:ind w:left="0" w:right="0" w:firstLine="0"/>
        <w:jc w:val="right"/>
        <w:rPr>
          <w:rFonts w:ascii="Arial"/>
          <w:b/>
          <w:sz w:val="15"/>
        </w:rPr>
      </w:pPr>
      <w:r>
        <w:rPr>
          <w:rFonts w:ascii="Arial"/>
          <w:b/>
          <w:color w:val="231F20"/>
          <w:spacing w:val="-4"/>
          <w:sz w:val="15"/>
        </w:rPr>
        <w:t>NANA</w:t>
      </w:r>
    </w:p>
    <w:p>
      <w:pPr>
        <w:pStyle w:val="Heading6"/>
        <w:spacing w:before="12"/>
        <w:ind w:left="65"/>
        <w:rPr>
          <w:rFonts w:ascii="Arial MT"/>
        </w:rPr>
      </w:pPr>
      <w:r>
        <w:rPr/>
        <w:br w:type="column"/>
      </w:r>
      <w:r>
        <w:rPr>
          <w:rFonts w:ascii="Arial MT"/>
          <w:color w:val="231F20"/>
          <w:spacing w:val="-2"/>
        </w:rPr>
        <w:t>GalNAc</w:t>
      </w:r>
    </w:p>
    <w:p>
      <w:pPr>
        <w:pStyle w:val="BodyText"/>
        <w:spacing w:before="110"/>
        <w:rPr>
          <w:rFonts w:ascii="Arial MT"/>
          <w:sz w:val="15"/>
        </w:rPr>
      </w:pPr>
    </w:p>
    <w:p>
      <w:pPr>
        <w:spacing w:line="472" w:lineRule="auto" w:before="0"/>
        <w:ind w:left="632" w:right="0" w:hanging="618"/>
        <w:jc w:val="left"/>
        <w:rPr>
          <w:rFonts w:ascii="Arial"/>
          <w:i/>
          <w:sz w:val="15"/>
        </w:rPr>
      </w:pPr>
      <w:r>
        <w:rPr>
          <w:rFonts w:ascii="Arial"/>
          <w:i/>
          <w:sz w:val="15"/>
        </w:rPr>
        <mc:AlternateContent>
          <mc:Choice Requires="wps">
            <w:drawing>
              <wp:anchor distT="0" distB="0" distL="0" distR="0" allowOverlap="1" layoutInCell="1" locked="0" behindDoc="1" simplePos="0" relativeHeight="475210240">
                <wp:simplePos x="0" y="0"/>
                <wp:positionH relativeFrom="page">
                  <wp:posOffset>2116212</wp:posOffset>
                </wp:positionH>
                <wp:positionV relativeFrom="paragraph">
                  <wp:posOffset>114180</wp:posOffset>
                </wp:positionV>
                <wp:extent cx="892810" cy="483234"/>
                <wp:effectExtent l="0" t="0" r="0" b="0"/>
                <wp:wrapNone/>
                <wp:docPr id="833" name="Group 833"/>
                <wp:cNvGraphicFramePr>
                  <a:graphicFrameLocks/>
                </wp:cNvGraphicFramePr>
                <a:graphic>
                  <a:graphicData uri="http://schemas.microsoft.com/office/word/2010/wordprocessingGroup">
                    <wpg:wgp>
                      <wpg:cNvPr id="833" name="Group 833"/>
                      <wpg:cNvGrpSpPr/>
                      <wpg:grpSpPr>
                        <a:xfrm>
                          <a:off x="0" y="0"/>
                          <a:ext cx="892810" cy="483234"/>
                          <a:chExt cx="892810" cy="483234"/>
                        </a:xfrm>
                      </wpg:grpSpPr>
                      <wps:wsp>
                        <wps:cNvPr id="834" name="Graphic 834"/>
                        <wps:cNvSpPr/>
                        <wps:spPr>
                          <a:xfrm>
                            <a:off x="726188" y="477213"/>
                            <a:ext cx="167005" cy="1270"/>
                          </a:xfrm>
                          <a:custGeom>
                            <a:avLst/>
                            <a:gdLst/>
                            <a:ahLst/>
                            <a:cxnLst/>
                            <a:rect l="l" t="t" r="r" b="b"/>
                            <a:pathLst>
                              <a:path w="167005" h="0">
                                <a:moveTo>
                                  <a:pt x="0" y="0"/>
                                </a:moveTo>
                                <a:lnTo>
                                  <a:pt x="166457" y="0"/>
                                </a:lnTo>
                              </a:path>
                            </a:pathLst>
                          </a:custGeom>
                          <a:ln w="11849">
                            <a:solidFill>
                              <a:srgbClr val="009EDB"/>
                            </a:solidFill>
                            <a:prstDash val="solid"/>
                          </a:ln>
                        </wps:spPr>
                        <wps:bodyPr wrap="square" lIns="0" tIns="0" rIns="0" bIns="0" rtlCol="0">
                          <a:prstTxWarp prst="textNoShape">
                            <a:avLst/>
                          </a:prstTxWarp>
                          <a:noAutofit/>
                        </wps:bodyPr>
                      </wps:wsp>
                      <wps:wsp>
                        <wps:cNvPr id="835" name="Graphic 835"/>
                        <wps:cNvSpPr/>
                        <wps:spPr>
                          <a:xfrm>
                            <a:off x="5924" y="5924"/>
                            <a:ext cx="704850" cy="389890"/>
                          </a:xfrm>
                          <a:custGeom>
                            <a:avLst/>
                            <a:gdLst/>
                            <a:ahLst/>
                            <a:cxnLst/>
                            <a:rect l="l" t="t" r="r" b="b"/>
                            <a:pathLst>
                              <a:path w="704850" h="389890">
                                <a:moveTo>
                                  <a:pt x="0" y="0"/>
                                </a:moveTo>
                                <a:lnTo>
                                  <a:pt x="704670" y="389660"/>
                                </a:lnTo>
                              </a:path>
                            </a:pathLst>
                          </a:custGeom>
                          <a:ln w="11849">
                            <a:solidFill>
                              <a:srgbClr val="2E3092"/>
                            </a:solidFill>
                            <a:prstDash val="solid"/>
                          </a:ln>
                        </wps:spPr>
                        <wps:bodyPr wrap="square" lIns="0" tIns="0" rIns="0" bIns="0" rtlCol="0">
                          <a:prstTxWarp prst="textNoShape">
                            <a:avLst/>
                          </a:prstTxWarp>
                          <a:noAutofit/>
                        </wps:bodyPr>
                      </wps:wsp>
                      <wps:wsp>
                        <wps:cNvPr id="836" name="Graphic 836"/>
                        <wps:cNvSpPr/>
                        <wps:spPr>
                          <a:xfrm>
                            <a:off x="667973" y="348618"/>
                            <a:ext cx="101600" cy="79375"/>
                          </a:xfrm>
                          <a:custGeom>
                            <a:avLst/>
                            <a:gdLst/>
                            <a:ahLst/>
                            <a:cxnLst/>
                            <a:rect l="l" t="t" r="r" b="b"/>
                            <a:pathLst>
                              <a:path w="101600" h="79375">
                                <a:moveTo>
                                  <a:pt x="37287" y="0"/>
                                </a:moveTo>
                                <a:lnTo>
                                  <a:pt x="38239" y="44538"/>
                                </a:lnTo>
                                <a:lnTo>
                                  <a:pt x="0" y="67424"/>
                                </a:lnTo>
                                <a:lnTo>
                                  <a:pt x="101193" y="79349"/>
                                </a:lnTo>
                                <a:lnTo>
                                  <a:pt x="37287" y="0"/>
                                </a:lnTo>
                                <a:close/>
                              </a:path>
                            </a:pathLst>
                          </a:custGeom>
                          <a:solidFill>
                            <a:srgbClr val="2E3092"/>
                          </a:solidFill>
                        </wps:spPr>
                        <wps:bodyPr wrap="square" lIns="0" tIns="0" rIns="0" bIns="0" rtlCol="0">
                          <a:prstTxWarp prst="textNoShape">
                            <a:avLst/>
                          </a:prstTxWarp>
                          <a:noAutofit/>
                        </wps:bodyPr>
                      </wps:wsp>
                      <wps:wsp>
                        <wps:cNvPr id="837" name="Graphic 837"/>
                        <wps:cNvSpPr/>
                        <wps:spPr>
                          <a:xfrm>
                            <a:off x="232172" y="131028"/>
                            <a:ext cx="393065" cy="81915"/>
                          </a:xfrm>
                          <a:custGeom>
                            <a:avLst/>
                            <a:gdLst/>
                            <a:ahLst/>
                            <a:cxnLst/>
                            <a:rect l="l" t="t" r="r" b="b"/>
                            <a:pathLst>
                              <a:path w="393065" h="81915">
                                <a:moveTo>
                                  <a:pt x="0" y="0"/>
                                </a:moveTo>
                                <a:lnTo>
                                  <a:pt x="24727" y="14049"/>
                                </a:lnTo>
                                <a:lnTo>
                                  <a:pt x="98679" y="44250"/>
                                </a:lnTo>
                                <a:lnTo>
                                  <a:pt x="221510" y="72683"/>
                                </a:lnTo>
                                <a:lnTo>
                                  <a:pt x="392871" y="81427"/>
                                </a:lnTo>
                              </a:path>
                            </a:pathLst>
                          </a:custGeom>
                          <a:ln w="11849">
                            <a:solidFill>
                              <a:srgbClr val="2E3092"/>
                            </a:solidFill>
                            <a:prstDash val="solid"/>
                          </a:ln>
                        </wps:spPr>
                        <wps:bodyPr wrap="square" lIns="0" tIns="0" rIns="0" bIns="0" rtlCol="0">
                          <a:prstTxWarp prst="textNoShape">
                            <a:avLst/>
                          </a:prstTxWarp>
                          <a:noAutofit/>
                        </wps:bodyPr>
                      </wps:wsp>
                      <wps:wsp>
                        <wps:cNvPr id="838" name="Graphic 838"/>
                        <wps:cNvSpPr/>
                        <wps:spPr>
                          <a:xfrm>
                            <a:off x="596289" y="174936"/>
                            <a:ext cx="95885" cy="77470"/>
                          </a:xfrm>
                          <a:custGeom>
                            <a:avLst/>
                            <a:gdLst/>
                            <a:ahLst/>
                            <a:cxnLst/>
                            <a:rect l="l" t="t" r="r" b="b"/>
                            <a:pathLst>
                              <a:path w="95885" h="77470">
                                <a:moveTo>
                                  <a:pt x="0" y="0"/>
                                </a:moveTo>
                                <a:lnTo>
                                  <a:pt x="23749" y="37706"/>
                                </a:lnTo>
                                <a:lnTo>
                                  <a:pt x="2768" y="77025"/>
                                </a:lnTo>
                                <a:lnTo>
                                  <a:pt x="95643" y="35102"/>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66.63089pt;margin-top:8.990562pt;width:70.3pt;height:38.050pt;mso-position-horizontal-relative:page;mso-position-vertical-relative:paragraph;z-index:-28106240" id="docshapegroup684" coordorigin="3333,180" coordsize="1406,761">
                <v:line style="position:absolute" from="4476,931" to="4738,931" stroked="true" strokeweight=".933007pt" strokecolor="#009edb">
                  <v:stroke dashstyle="solid"/>
                </v:line>
                <v:line style="position:absolute" from="3342,189" to="4452,803" stroked="true" strokeweight=".933007pt" strokecolor="#2e3092">
                  <v:stroke dashstyle="solid"/>
                </v:line>
                <v:shape style="position:absolute;left:4384;top:728;width:160;height:125" id="docshape685" coordorigin="4385,729" coordsize="160,125" path="m4443,729l4445,799,4385,835,4544,854,4443,729xe" filled="true" fillcolor="#2e3092" stroked="false">
                  <v:path arrowok="t"/>
                  <v:fill type="solid"/>
                </v:shape>
                <v:shape style="position:absolute;left:3698;top:386;width:619;height:129" id="docshape686" coordorigin="3698,386" coordsize="619,129" path="m3698,386l3737,408,3854,456,4047,501,4317,514e" filled="false" stroked="true" strokeweight=".933007pt" strokecolor="#2e3092">
                  <v:path arrowok="t"/>
                  <v:stroke dashstyle="solid"/>
                </v:shape>
                <v:shape style="position:absolute;left:4271;top:455;width:151;height:122" id="docshape687" coordorigin="4272,455" coordsize="151,122" path="m4272,455l4309,515,4276,577,4422,511,4272,455xe" filled="true" fillcolor="#2e3092" stroked="false">
                  <v:path arrowok="t"/>
                  <v:fill type="solid"/>
                </v:shape>
                <w10:wrap type="none"/>
              </v:group>
            </w:pict>
          </mc:Fallback>
        </mc:AlternateContent>
      </w:r>
      <w:r>
        <w:rPr>
          <w:position w:val="4"/>
        </w:rPr>
        <w:drawing>
          <wp:inline distT="0" distB="0" distL="0" distR="0">
            <wp:extent cx="100718" cy="11849"/>
            <wp:effectExtent l="0" t="0" r="0" b="0"/>
            <wp:docPr id="839" name="Image 839"/>
            <wp:cNvGraphicFramePr>
              <a:graphicFrameLocks/>
            </wp:cNvGraphicFramePr>
            <a:graphic>
              <a:graphicData uri="http://schemas.openxmlformats.org/drawingml/2006/picture">
                <pic:pic>
                  <pic:nvPicPr>
                    <pic:cNvPr id="839" name="Image 839"/>
                    <pic:cNvPicPr/>
                  </pic:nvPicPr>
                  <pic:blipFill>
                    <a:blip r:embed="rId303" cstate="print"/>
                    <a:stretch>
                      <a:fillRect/>
                    </a:stretch>
                  </pic:blipFill>
                  <pic:spPr>
                    <a:xfrm>
                      <a:off x="0" y="0"/>
                      <a:ext cx="100718" cy="11849"/>
                    </a:xfrm>
                    <a:prstGeom prst="rect">
                      <a:avLst/>
                    </a:prstGeom>
                  </pic:spPr>
                </pic:pic>
              </a:graphicData>
            </a:graphic>
          </wp:inline>
        </w:drawing>
      </w:r>
      <w:r>
        <w:rPr>
          <w:position w:val="4"/>
        </w:rPr>
      </w:r>
      <w:r>
        <w:rPr>
          <w:rFonts w:ascii="Times New Roman"/>
          <w:spacing w:val="-13"/>
          <w:sz w:val="20"/>
        </w:rPr>
        <w:t> </w:t>
      </w:r>
      <w:r>
        <w:rPr>
          <w:rFonts w:ascii="Arial"/>
          <w:b/>
          <w:color w:val="231F20"/>
          <w:sz w:val="15"/>
        </w:rPr>
        <w:t>Gal</w:t>
      </w:r>
      <w:r>
        <w:rPr>
          <w:rFonts w:ascii="Arial"/>
          <w:b/>
          <w:color w:val="231F20"/>
          <w:spacing w:val="-10"/>
          <w:sz w:val="15"/>
        </w:rPr>
        <w:t> </w:t>
      </w:r>
      <w:r>
        <w:rPr>
          <w:rFonts w:ascii="Arial"/>
          <w:b/>
          <w:color w:val="231F20"/>
          <w:spacing w:val="-6"/>
          <w:position w:val="4"/>
          <w:sz w:val="15"/>
        </w:rPr>
        <w:drawing>
          <wp:inline distT="0" distB="0" distL="0" distR="0">
            <wp:extent cx="101594" cy="11849"/>
            <wp:effectExtent l="0" t="0" r="0" b="0"/>
            <wp:docPr id="840" name="Image 840"/>
            <wp:cNvGraphicFramePr>
              <a:graphicFrameLocks/>
            </wp:cNvGraphicFramePr>
            <a:graphic>
              <a:graphicData uri="http://schemas.openxmlformats.org/drawingml/2006/picture">
                <pic:pic>
                  <pic:nvPicPr>
                    <pic:cNvPr id="840" name="Image 840"/>
                    <pic:cNvPicPr/>
                  </pic:nvPicPr>
                  <pic:blipFill>
                    <a:blip r:embed="rId304" cstate="print"/>
                    <a:stretch>
                      <a:fillRect/>
                    </a:stretch>
                  </pic:blipFill>
                  <pic:spPr>
                    <a:xfrm>
                      <a:off x="0" y="0"/>
                      <a:ext cx="101594" cy="11849"/>
                    </a:xfrm>
                    <a:prstGeom prst="rect">
                      <a:avLst/>
                    </a:prstGeom>
                  </pic:spPr>
                </pic:pic>
              </a:graphicData>
            </a:graphic>
          </wp:inline>
        </w:drawing>
      </w:r>
      <w:r>
        <w:rPr>
          <w:rFonts w:ascii="Arial"/>
          <w:b/>
          <w:color w:val="231F20"/>
          <w:spacing w:val="-6"/>
          <w:position w:val="4"/>
          <w:sz w:val="15"/>
        </w:rPr>
      </w:r>
      <w:r>
        <w:rPr>
          <w:rFonts w:ascii="Times New Roman"/>
          <w:color w:val="231F20"/>
          <w:sz w:val="15"/>
        </w:rPr>
        <w:t> </w:t>
      </w:r>
      <w:r>
        <w:rPr>
          <w:rFonts w:ascii="Arial"/>
          <w:b/>
          <w:color w:val="231F20"/>
          <w:sz w:val="15"/>
        </w:rPr>
        <w:t>Glc-Ceramide</w:t>
      </w:r>
      <w:r>
        <w:rPr>
          <w:rFonts w:ascii="Arial"/>
          <w:b/>
          <w:color w:val="231F20"/>
          <w:spacing w:val="-10"/>
          <w:sz w:val="15"/>
        </w:rPr>
        <w:t> </w:t>
      </w:r>
      <w:r>
        <w:rPr>
          <w:rFonts w:ascii="Arial"/>
          <w:i/>
          <w:color w:val="231F20"/>
          <w:sz w:val="15"/>
        </w:rPr>
        <w:t>(GM3) </w:t>
      </w:r>
      <w:r>
        <w:rPr>
          <w:rFonts w:ascii="Arial"/>
          <w:i/>
          <w:color w:val="231F20"/>
          <w:spacing w:val="-2"/>
          <w:sz w:val="15"/>
        </w:rPr>
        <w:t>Neuraminidase</w:t>
      </w:r>
    </w:p>
    <w:p>
      <w:pPr>
        <w:spacing w:line="240" w:lineRule="auto" w:before="0"/>
        <w:rPr>
          <w:rFonts w:ascii="Arial"/>
          <w:i/>
          <w:sz w:val="15"/>
        </w:rPr>
      </w:pPr>
      <w:r>
        <w:rPr/>
        <w:br w:type="column"/>
      </w:r>
      <w:r>
        <w:rPr>
          <w:rFonts w:ascii="Arial"/>
          <w:i/>
          <w:sz w:val="15"/>
        </w:rPr>
      </w:r>
    </w:p>
    <w:p>
      <w:pPr>
        <w:pStyle w:val="BodyText"/>
        <w:rPr>
          <w:rFonts w:ascii="Arial"/>
          <w:i/>
          <w:sz w:val="15"/>
        </w:rPr>
      </w:pPr>
    </w:p>
    <w:p>
      <w:pPr>
        <w:pStyle w:val="BodyText"/>
        <w:rPr>
          <w:rFonts w:ascii="Arial"/>
          <w:i/>
          <w:sz w:val="15"/>
        </w:rPr>
      </w:pPr>
    </w:p>
    <w:p>
      <w:pPr>
        <w:pStyle w:val="BodyText"/>
        <w:rPr>
          <w:rFonts w:ascii="Arial"/>
          <w:i/>
          <w:sz w:val="15"/>
        </w:rPr>
      </w:pPr>
    </w:p>
    <w:p>
      <w:pPr>
        <w:pStyle w:val="BodyText"/>
        <w:spacing w:before="11"/>
        <w:rPr>
          <w:rFonts w:ascii="Arial"/>
          <w:i/>
          <w:sz w:val="15"/>
        </w:rPr>
      </w:pPr>
    </w:p>
    <w:p>
      <w:pPr>
        <w:pStyle w:val="Heading6"/>
        <w:ind w:left="309"/>
        <w:rPr>
          <w:rFonts w:ascii="Arial MT"/>
        </w:rPr>
      </w:pPr>
      <w:r>
        <w:rPr>
          <w:rFonts w:ascii="Arial MT"/>
          <w:color w:val="231F20"/>
          <w:spacing w:val="-4"/>
        </w:rPr>
        <w:t>NANA</w:t>
      </w:r>
    </w:p>
    <w:p>
      <w:pPr>
        <w:spacing w:line="240" w:lineRule="auto" w:before="26"/>
        <w:rPr>
          <w:rFonts w:ascii="Arial MT"/>
          <w:sz w:val="15"/>
        </w:rPr>
      </w:pPr>
      <w:r>
        <w:rPr/>
        <w:br w:type="column"/>
      </w:r>
      <w:r>
        <w:rPr>
          <w:rFonts w:ascii="Arial MT"/>
          <w:sz w:val="15"/>
        </w:rPr>
      </w:r>
    </w:p>
    <w:p>
      <w:pPr>
        <w:spacing w:before="0"/>
        <w:ind w:left="1093" w:right="0" w:firstLine="0"/>
        <w:jc w:val="left"/>
        <w:rPr>
          <w:rFonts w:ascii="Arial"/>
          <w:b/>
          <w:sz w:val="15"/>
        </w:rPr>
      </w:pPr>
      <w:r>
        <w:rPr>
          <w:rFonts w:ascii="Arial"/>
          <w:b/>
          <w:color w:val="231F20"/>
          <w:spacing w:val="-2"/>
          <w:sz w:val="15"/>
        </w:rPr>
        <w:t>Gal-Gal-Glc-Ceramide</w:t>
      </w:r>
    </w:p>
    <w:p>
      <w:pPr>
        <w:spacing w:after="0"/>
        <w:jc w:val="left"/>
        <w:rPr>
          <w:rFonts w:ascii="Arial"/>
          <w:b/>
          <w:sz w:val="15"/>
        </w:rPr>
        <w:sectPr>
          <w:type w:val="continuous"/>
          <w:pgSz w:w="11900" w:h="16840"/>
          <w:pgMar w:header="0" w:footer="0" w:top="620" w:bottom="280" w:left="425" w:right="566"/>
          <w:cols w:num="4" w:equalWidth="0">
            <w:col w:w="1525" w:space="40"/>
            <w:col w:w="2138" w:space="39"/>
            <w:col w:w="764" w:space="126"/>
            <w:col w:w="6277"/>
          </w:cols>
        </w:sectPr>
      </w:pPr>
    </w:p>
    <w:p>
      <w:pPr>
        <w:spacing w:before="158"/>
        <w:ind w:left="0" w:right="0" w:firstLine="0"/>
        <w:jc w:val="right"/>
        <w:rPr>
          <w:rFonts w:ascii="Arial"/>
          <w:b/>
          <w:sz w:val="15"/>
        </w:rPr>
      </w:pPr>
      <w:r>
        <w:rPr>
          <w:rFonts w:ascii="Arial"/>
          <w:b/>
          <w:sz w:val="15"/>
        </w:rPr>
        <mc:AlternateContent>
          <mc:Choice Requires="wps">
            <w:drawing>
              <wp:anchor distT="0" distB="0" distL="0" distR="0" allowOverlap="1" layoutInCell="1" locked="0" behindDoc="1" simplePos="0" relativeHeight="475205120">
                <wp:simplePos x="0" y="0"/>
                <wp:positionH relativeFrom="page">
                  <wp:posOffset>1957883</wp:posOffset>
                </wp:positionH>
                <wp:positionV relativeFrom="paragraph">
                  <wp:posOffset>211526</wp:posOffset>
                </wp:positionV>
                <wp:extent cx="3393440" cy="2345055"/>
                <wp:effectExtent l="0" t="0" r="0" b="0"/>
                <wp:wrapNone/>
                <wp:docPr id="841" name="Group 841"/>
                <wp:cNvGraphicFramePr>
                  <a:graphicFrameLocks/>
                </wp:cNvGraphicFramePr>
                <a:graphic>
                  <a:graphicData uri="http://schemas.microsoft.com/office/word/2010/wordprocessingGroup">
                    <wpg:wgp>
                      <wpg:cNvPr id="841" name="Group 841"/>
                      <wpg:cNvGrpSpPr/>
                      <wpg:grpSpPr>
                        <a:xfrm>
                          <a:off x="0" y="0"/>
                          <a:ext cx="3393440" cy="2345055"/>
                          <a:chExt cx="3393440" cy="2345055"/>
                        </a:xfrm>
                      </wpg:grpSpPr>
                      <wps:wsp>
                        <wps:cNvPr id="842" name="Graphic 842"/>
                        <wps:cNvSpPr/>
                        <wps:spPr>
                          <a:xfrm>
                            <a:off x="1502246" y="2058311"/>
                            <a:ext cx="1154430" cy="280670"/>
                          </a:xfrm>
                          <a:custGeom>
                            <a:avLst/>
                            <a:gdLst/>
                            <a:ahLst/>
                            <a:cxnLst/>
                            <a:rect l="l" t="t" r="r" b="b"/>
                            <a:pathLst>
                              <a:path w="1154430" h="280670">
                                <a:moveTo>
                                  <a:pt x="1153972" y="0"/>
                                </a:moveTo>
                                <a:lnTo>
                                  <a:pt x="0" y="0"/>
                                </a:lnTo>
                                <a:lnTo>
                                  <a:pt x="0" y="280314"/>
                                </a:lnTo>
                                <a:lnTo>
                                  <a:pt x="1153972" y="280314"/>
                                </a:lnTo>
                                <a:lnTo>
                                  <a:pt x="1153972" y="0"/>
                                </a:lnTo>
                                <a:close/>
                              </a:path>
                            </a:pathLst>
                          </a:custGeom>
                          <a:solidFill>
                            <a:srgbClr val="D7EDDD"/>
                          </a:solidFill>
                        </wps:spPr>
                        <wps:bodyPr wrap="square" lIns="0" tIns="0" rIns="0" bIns="0" rtlCol="0">
                          <a:prstTxWarp prst="textNoShape">
                            <a:avLst/>
                          </a:prstTxWarp>
                          <a:noAutofit/>
                        </wps:bodyPr>
                      </wps:wsp>
                      <wps:wsp>
                        <wps:cNvPr id="843" name="Graphic 843"/>
                        <wps:cNvSpPr/>
                        <wps:spPr>
                          <a:xfrm>
                            <a:off x="1502250" y="2058310"/>
                            <a:ext cx="1154430" cy="280670"/>
                          </a:xfrm>
                          <a:custGeom>
                            <a:avLst/>
                            <a:gdLst/>
                            <a:ahLst/>
                            <a:cxnLst/>
                            <a:rect l="l" t="t" r="r" b="b"/>
                            <a:pathLst>
                              <a:path w="1154430" h="280670">
                                <a:moveTo>
                                  <a:pt x="1153968" y="280316"/>
                                </a:moveTo>
                                <a:lnTo>
                                  <a:pt x="0" y="280316"/>
                                </a:lnTo>
                                <a:lnTo>
                                  <a:pt x="0" y="0"/>
                                </a:lnTo>
                                <a:lnTo>
                                  <a:pt x="1153968" y="0"/>
                                </a:lnTo>
                                <a:lnTo>
                                  <a:pt x="1153968" y="280316"/>
                                </a:lnTo>
                                <a:close/>
                              </a:path>
                            </a:pathLst>
                          </a:custGeom>
                          <a:ln w="11849">
                            <a:solidFill>
                              <a:srgbClr val="231F20"/>
                            </a:solidFill>
                            <a:prstDash val="solid"/>
                          </a:ln>
                        </wps:spPr>
                        <wps:bodyPr wrap="square" lIns="0" tIns="0" rIns="0" bIns="0" rtlCol="0">
                          <a:prstTxWarp prst="textNoShape">
                            <a:avLst/>
                          </a:prstTxWarp>
                          <a:noAutofit/>
                        </wps:bodyPr>
                      </wps:wsp>
                      <wps:wsp>
                        <wps:cNvPr id="844" name="Graphic 844"/>
                        <wps:cNvSpPr/>
                        <wps:spPr>
                          <a:xfrm>
                            <a:off x="2153386" y="835699"/>
                            <a:ext cx="917575" cy="1270"/>
                          </a:xfrm>
                          <a:custGeom>
                            <a:avLst/>
                            <a:gdLst/>
                            <a:ahLst/>
                            <a:cxnLst/>
                            <a:rect l="l" t="t" r="r" b="b"/>
                            <a:pathLst>
                              <a:path w="917575" h="0">
                                <a:moveTo>
                                  <a:pt x="917517"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45" name="Graphic 845"/>
                        <wps:cNvSpPr/>
                        <wps:spPr>
                          <a:xfrm>
                            <a:off x="2086462" y="797167"/>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846" name="Graphic 846"/>
                        <wps:cNvSpPr/>
                        <wps:spPr>
                          <a:xfrm>
                            <a:off x="2527122" y="1516258"/>
                            <a:ext cx="866775" cy="1270"/>
                          </a:xfrm>
                          <a:custGeom>
                            <a:avLst/>
                            <a:gdLst/>
                            <a:ahLst/>
                            <a:cxnLst/>
                            <a:rect l="l" t="t" r="r" b="b"/>
                            <a:pathLst>
                              <a:path w="866775" h="0">
                                <a:moveTo>
                                  <a:pt x="866175"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47" name="Graphic 847"/>
                        <wps:cNvSpPr/>
                        <wps:spPr>
                          <a:xfrm>
                            <a:off x="2460198" y="1477726"/>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848" name="Graphic 848"/>
                        <wps:cNvSpPr/>
                        <wps:spPr>
                          <a:xfrm>
                            <a:off x="990686" y="2198462"/>
                            <a:ext cx="516890" cy="1270"/>
                          </a:xfrm>
                          <a:custGeom>
                            <a:avLst/>
                            <a:gdLst/>
                            <a:ahLst/>
                            <a:cxnLst/>
                            <a:rect l="l" t="t" r="r" b="b"/>
                            <a:pathLst>
                              <a:path w="516890" h="0">
                                <a:moveTo>
                                  <a:pt x="516458"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49" name="Graphic 849"/>
                        <wps:cNvSpPr/>
                        <wps:spPr>
                          <a:xfrm>
                            <a:off x="923749" y="2159930"/>
                            <a:ext cx="94615" cy="77470"/>
                          </a:xfrm>
                          <a:custGeom>
                            <a:avLst/>
                            <a:gdLst/>
                            <a:ahLst/>
                            <a:cxnLst/>
                            <a:rect l="l" t="t" r="r" b="b"/>
                            <a:pathLst>
                              <a:path w="94615" h="77470">
                                <a:moveTo>
                                  <a:pt x="94322" y="0"/>
                                </a:moveTo>
                                <a:lnTo>
                                  <a:pt x="0" y="38531"/>
                                </a:lnTo>
                                <a:lnTo>
                                  <a:pt x="94322" y="77063"/>
                                </a:lnTo>
                                <a:lnTo>
                                  <a:pt x="71945" y="38531"/>
                                </a:lnTo>
                                <a:lnTo>
                                  <a:pt x="94322" y="0"/>
                                </a:lnTo>
                                <a:close/>
                              </a:path>
                            </a:pathLst>
                          </a:custGeom>
                          <a:solidFill>
                            <a:srgbClr val="231F20"/>
                          </a:solidFill>
                        </wps:spPr>
                        <wps:bodyPr wrap="square" lIns="0" tIns="0" rIns="0" bIns="0" rtlCol="0">
                          <a:prstTxWarp prst="textNoShape">
                            <a:avLst/>
                          </a:prstTxWarp>
                          <a:noAutofit/>
                        </wps:bodyPr>
                      </wps:wsp>
                      <wps:wsp>
                        <wps:cNvPr id="850" name="Graphic 850"/>
                        <wps:cNvSpPr/>
                        <wps:spPr>
                          <a:xfrm>
                            <a:off x="5924" y="692336"/>
                            <a:ext cx="340360" cy="340360"/>
                          </a:xfrm>
                          <a:custGeom>
                            <a:avLst/>
                            <a:gdLst/>
                            <a:ahLst/>
                            <a:cxnLst/>
                            <a:rect l="l" t="t" r="r" b="b"/>
                            <a:pathLst>
                              <a:path w="340360" h="340360">
                                <a:moveTo>
                                  <a:pt x="0" y="340178"/>
                                </a:moveTo>
                                <a:lnTo>
                                  <a:pt x="340166" y="0"/>
                                </a:lnTo>
                              </a:path>
                            </a:pathLst>
                          </a:custGeom>
                          <a:ln w="11849">
                            <a:solidFill>
                              <a:srgbClr val="231F20"/>
                            </a:solidFill>
                            <a:prstDash val="solid"/>
                          </a:ln>
                        </wps:spPr>
                        <wps:bodyPr wrap="square" lIns="0" tIns="0" rIns="0" bIns="0" rtlCol="0">
                          <a:prstTxWarp prst="textNoShape">
                            <a:avLst/>
                          </a:prstTxWarp>
                          <a:noAutofit/>
                        </wps:bodyPr>
                      </wps:wsp>
                      <wps:wsp>
                        <wps:cNvPr id="851" name="Graphic 851"/>
                        <wps:cNvSpPr/>
                        <wps:spPr>
                          <a:xfrm>
                            <a:off x="299486" y="645011"/>
                            <a:ext cx="93980" cy="93980"/>
                          </a:xfrm>
                          <a:custGeom>
                            <a:avLst/>
                            <a:gdLst/>
                            <a:ahLst/>
                            <a:cxnLst/>
                            <a:rect l="l" t="t" r="r" b="b"/>
                            <a:pathLst>
                              <a:path w="93980" h="93980">
                                <a:moveTo>
                                  <a:pt x="93941" y="0"/>
                                </a:moveTo>
                                <a:lnTo>
                                  <a:pt x="0" y="39458"/>
                                </a:lnTo>
                                <a:lnTo>
                                  <a:pt x="43078" y="50863"/>
                                </a:lnTo>
                                <a:lnTo>
                                  <a:pt x="54482" y="93941"/>
                                </a:lnTo>
                                <a:lnTo>
                                  <a:pt x="93941" y="0"/>
                                </a:lnTo>
                                <a:close/>
                              </a:path>
                            </a:pathLst>
                          </a:custGeom>
                          <a:solidFill>
                            <a:srgbClr val="231F20"/>
                          </a:solidFill>
                        </wps:spPr>
                        <wps:bodyPr wrap="square" lIns="0" tIns="0" rIns="0" bIns="0" rtlCol="0">
                          <a:prstTxWarp prst="textNoShape">
                            <a:avLst/>
                          </a:prstTxWarp>
                          <a:noAutofit/>
                        </wps:bodyPr>
                      </wps:wsp>
                      <wps:wsp>
                        <wps:cNvPr id="852" name="Graphic 852"/>
                        <wps:cNvSpPr/>
                        <wps:spPr>
                          <a:xfrm>
                            <a:off x="1426190" y="5924"/>
                            <a:ext cx="296545" cy="474980"/>
                          </a:xfrm>
                          <a:custGeom>
                            <a:avLst/>
                            <a:gdLst/>
                            <a:ahLst/>
                            <a:cxnLst/>
                            <a:rect l="l" t="t" r="r" b="b"/>
                            <a:pathLst>
                              <a:path w="296545" h="474980">
                                <a:moveTo>
                                  <a:pt x="0" y="0"/>
                                </a:moveTo>
                                <a:lnTo>
                                  <a:pt x="296039" y="474761"/>
                                </a:lnTo>
                              </a:path>
                            </a:pathLst>
                          </a:custGeom>
                          <a:ln w="11849">
                            <a:solidFill>
                              <a:srgbClr val="2E3092"/>
                            </a:solidFill>
                            <a:prstDash val="solid"/>
                          </a:ln>
                        </wps:spPr>
                        <wps:bodyPr wrap="square" lIns="0" tIns="0" rIns="0" bIns="0" rtlCol="0">
                          <a:prstTxWarp prst="textNoShape">
                            <a:avLst/>
                          </a:prstTxWarp>
                          <a:noAutofit/>
                        </wps:bodyPr>
                      </wps:wsp>
                      <wps:wsp>
                        <wps:cNvPr id="853" name="Graphic 853"/>
                        <wps:cNvSpPr/>
                        <wps:spPr>
                          <a:xfrm>
                            <a:off x="1675036" y="437060"/>
                            <a:ext cx="83185" cy="100965"/>
                          </a:xfrm>
                          <a:custGeom>
                            <a:avLst/>
                            <a:gdLst/>
                            <a:ahLst/>
                            <a:cxnLst/>
                            <a:rect l="l" t="t" r="r" b="b"/>
                            <a:pathLst>
                              <a:path w="83185" h="100965">
                                <a:moveTo>
                                  <a:pt x="65392" y="0"/>
                                </a:moveTo>
                                <a:lnTo>
                                  <a:pt x="44538" y="39370"/>
                                </a:lnTo>
                                <a:lnTo>
                                  <a:pt x="0" y="40767"/>
                                </a:lnTo>
                                <a:lnTo>
                                  <a:pt x="82600" y="100418"/>
                                </a:lnTo>
                                <a:lnTo>
                                  <a:pt x="65392" y="0"/>
                                </a:lnTo>
                                <a:close/>
                              </a:path>
                            </a:pathLst>
                          </a:custGeom>
                          <a:solidFill>
                            <a:srgbClr val="2E3092"/>
                          </a:solidFill>
                        </wps:spPr>
                        <wps:bodyPr wrap="square" lIns="0" tIns="0" rIns="0" bIns="0" rtlCol="0">
                          <a:prstTxWarp prst="textNoShape">
                            <a:avLst/>
                          </a:prstTxWarp>
                          <a:noAutofit/>
                        </wps:bodyPr>
                      </wps:wsp>
                      <wps:wsp>
                        <wps:cNvPr id="854" name="Graphic 854"/>
                        <wps:cNvSpPr/>
                        <wps:spPr>
                          <a:xfrm>
                            <a:off x="184989" y="607070"/>
                            <a:ext cx="1182370" cy="1270"/>
                          </a:xfrm>
                          <a:custGeom>
                            <a:avLst/>
                            <a:gdLst/>
                            <a:ahLst/>
                            <a:cxnLst/>
                            <a:rect l="l" t="t" r="r" b="b"/>
                            <a:pathLst>
                              <a:path w="1182370" h="0">
                                <a:moveTo>
                                  <a:pt x="0" y="0"/>
                                </a:moveTo>
                                <a:lnTo>
                                  <a:pt x="232196" y="0"/>
                                </a:lnTo>
                              </a:path>
                              <a:path w="1182370" h="0">
                                <a:moveTo>
                                  <a:pt x="306872" y="0"/>
                                </a:moveTo>
                                <a:lnTo>
                                  <a:pt x="1181955" y="0"/>
                                </a:lnTo>
                              </a:path>
                            </a:pathLst>
                          </a:custGeom>
                          <a:ln w="11849">
                            <a:solidFill>
                              <a:srgbClr val="2E3092"/>
                            </a:solidFill>
                            <a:prstDash val="solid"/>
                          </a:ln>
                        </wps:spPr>
                        <wps:bodyPr wrap="square" lIns="0" tIns="0" rIns="0" bIns="0" rtlCol="0">
                          <a:prstTxWarp prst="textNoShape">
                            <a:avLst/>
                          </a:prstTxWarp>
                          <a:noAutofit/>
                        </wps:bodyPr>
                      </wps:wsp>
                      <wps:wsp>
                        <wps:cNvPr id="855" name="Graphic 855"/>
                        <wps:cNvSpPr/>
                        <wps:spPr>
                          <a:xfrm>
                            <a:off x="1339557" y="568551"/>
                            <a:ext cx="94615" cy="77470"/>
                          </a:xfrm>
                          <a:custGeom>
                            <a:avLst/>
                            <a:gdLst/>
                            <a:ahLst/>
                            <a:cxnLst/>
                            <a:rect l="l" t="t" r="r" b="b"/>
                            <a:pathLst>
                              <a:path w="94615" h="77470">
                                <a:moveTo>
                                  <a:pt x="0" y="0"/>
                                </a:moveTo>
                                <a:lnTo>
                                  <a:pt x="22377" y="38519"/>
                                </a:lnTo>
                                <a:lnTo>
                                  <a:pt x="0" y="77050"/>
                                </a:lnTo>
                                <a:lnTo>
                                  <a:pt x="94322" y="38519"/>
                                </a:lnTo>
                                <a:lnTo>
                                  <a:pt x="0" y="0"/>
                                </a:lnTo>
                                <a:close/>
                              </a:path>
                            </a:pathLst>
                          </a:custGeom>
                          <a:solidFill>
                            <a:srgbClr val="2E3092"/>
                          </a:solidFill>
                        </wps:spPr>
                        <wps:bodyPr wrap="square" lIns="0" tIns="0" rIns="0" bIns="0" rtlCol="0">
                          <a:prstTxWarp prst="textNoShape">
                            <a:avLst/>
                          </a:prstTxWarp>
                          <a:noAutofit/>
                        </wps:bodyPr>
                      </wps:wsp>
                      <pic:pic>
                        <pic:nvPicPr>
                          <pic:cNvPr id="856" name="Image 856"/>
                          <pic:cNvPicPr/>
                        </pic:nvPicPr>
                        <pic:blipFill>
                          <a:blip r:embed="rId305" cstate="print"/>
                          <a:stretch>
                            <a:fillRect/>
                          </a:stretch>
                        </pic:blipFill>
                        <pic:spPr>
                          <a:xfrm>
                            <a:off x="1284569" y="130779"/>
                            <a:ext cx="229347" cy="220728"/>
                          </a:xfrm>
                          <a:prstGeom prst="rect">
                            <a:avLst/>
                          </a:prstGeom>
                        </pic:spPr>
                      </pic:pic>
                      <wps:wsp>
                        <wps:cNvPr id="857" name="Graphic 857"/>
                        <wps:cNvSpPr/>
                        <wps:spPr>
                          <a:xfrm>
                            <a:off x="491859" y="607070"/>
                            <a:ext cx="269875" cy="145415"/>
                          </a:xfrm>
                          <a:custGeom>
                            <a:avLst/>
                            <a:gdLst/>
                            <a:ahLst/>
                            <a:cxnLst/>
                            <a:rect l="l" t="t" r="r" b="b"/>
                            <a:pathLst>
                              <a:path w="269875" h="145415">
                                <a:moveTo>
                                  <a:pt x="0" y="0"/>
                                </a:moveTo>
                                <a:lnTo>
                                  <a:pt x="26874" y="1882"/>
                                </a:lnTo>
                                <a:lnTo>
                                  <a:pt x="94107" y="17133"/>
                                </a:lnTo>
                                <a:lnTo>
                                  <a:pt x="181614" y="60156"/>
                                </a:lnTo>
                                <a:lnTo>
                                  <a:pt x="269308" y="145353"/>
                                </a:lnTo>
                              </a:path>
                            </a:pathLst>
                          </a:custGeom>
                          <a:ln w="11849">
                            <a:solidFill>
                              <a:srgbClr val="2E3092"/>
                            </a:solidFill>
                            <a:prstDash val="solid"/>
                          </a:ln>
                        </wps:spPr>
                        <wps:bodyPr wrap="square" lIns="0" tIns="0" rIns="0" bIns="0" rtlCol="0">
                          <a:prstTxWarp prst="textNoShape">
                            <a:avLst/>
                          </a:prstTxWarp>
                          <a:noAutofit/>
                        </wps:bodyPr>
                      </wps:wsp>
                      <wps:wsp>
                        <wps:cNvPr id="858" name="Graphic 858"/>
                        <wps:cNvSpPr/>
                        <wps:spPr>
                          <a:xfrm>
                            <a:off x="713884" y="707584"/>
                            <a:ext cx="86995" cy="99060"/>
                          </a:xfrm>
                          <a:custGeom>
                            <a:avLst/>
                            <a:gdLst/>
                            <a:ahLst/>
                            <a:cxnLst/>
                            <a:rect l="l" t="t" r="r" b="b"/>
                            <a:pathLst>
                              <a:path w="86995" h="99060">
                                <a:moveTo>
                                  <a:pt x="62242" y="0"/>
                                </a:moveTo>
                                <a:lnTo>
                                  <a:pt x="44335" y="40792"/>
                                </a:lnTo>
                                <a:lnTo>
                                  <a:pt x="0" y="45427"/>
                                </a:lnTo>
                                <a:lnTo>
                                  <a:pt x="86741" y="98894"/>
                                </a:lnTo>
                                <a:lnTo>
                                  <a:pt x="62242" y="0"/>
                                </a:lnTo>
                                <a:close/>
                              </a:path>
                            </a:pathLst>
                          </a:custGeom>
                          <a:solidFill>
                            <a:srgbClr val="2E3092"/>
                          </a:solidFill>
                        </wps:spPr>
                        <wps:bodyPr wrap="square" lIns="0" tIns="0" rIns="0" bIns="0" rtlCol="0">
                          <a:prstTxWarp prst="textNoShape">
                            <a:avLst/>
                          </a:prstTxWarp>
                          <a:noAutofit/>
                        </wps:bodyPr>
                      </wps:wsp>
                      <wps:wsp>
                        <wps:cNvPr id="859" name="Graphic 859"/>
                        <wps:cNvSpPr/>
                        <wps:spPr>
                          <a:xfrm>
                            <a:off x="1814252" y="651705"/>
                            <a:ext cx="257175" cy="486409"/>
                          </a:xfrm>
                          <a:custGeom>
                            <a:avLst/>
                            <a:gdLst/>
                            <a:ahLst/>
                            <a:cxnLst/>
                            <a:rect l="l" t="t" r="r" b="b"/>
                            <a:pathLst>
                              <a:path w="257175" h="486409">
                                <a:moveTo>
                                  <a:pt x="0" y="0"/>
                                </a:moveTo>
                                <a:lnTo>
                                  <a:pt x="256866" y="485816"/>
                                </a:lnTo>
                              </a:path>
                            </a:pathLst>
                          </a:custGeom>
                          <a:ln w="11849">
                            <a:solidFill>
                              <a:srgbClr val="2E3092"/>
                            </a:solidFill>
                            <a:prstDash val="solid"/>
                          </a:ln>
                        </wps:spPr>
                        <wps:bodyPr wrap="square" lIns="0" tIns="0" rIns="0" bIns="0" rtlCol="0">
                          <a:prstTxWarp prst="textNoShape">
                            <a:avLst/>
                          </a:prstTxWarp>
                          <a:noAutofit/>
                        </wps:bodyPr>
                      </wps:wsp>
                      <wps:wsp>
                        <wps:cNvPr id="860" name="Graphic 860"/>
                        <wps:cNvSpPr/>
                        <wps:spPr>
                          <a:xfrm>
                            <a:off x="2024256" y="1095288"/>
                            <a:ext cx="78740" cy="101600"/>
                          </a:xfrm>
                          <a:custGeom>
                            <a:avLst/>
                            <a:gdLst/>
                            <a:ahLst/>
                            <a:cxnLst/>
                            <a:rect l="l" t="t" r="r" b="b"/>
                            <a:pathLst>
                              <a:path w="78740" h="101600">
                                <a:moveTo>
                                  <a:pt x="68122" y="0"/>
                                </a:moveTo>
                                <a:lnTo>
                                  <a:pt x="44526" y="37795"/>
                                </a:lnTo>
                                <a:lnTo>
                                  <a:pt x="0" y="36042"/>
                                </a:lnTo>
                                <a:lnTo>
                                  <a:pt x="78143" y="101396"/>
                                </a:lnTo>
                                <a:lnTo>
                                  <a:pt x="68122" y="0"/>
                                </a:lnTo>
                                <a:close/>
                              </a:path>
                            </a:pathLst>
                          </a:custGeom>
                          <a:solidFill>
                            <a:srgbClr val="2E3092"/>
                          </a:solidFill>
                        </wps:spPr>
                        <wps:bodyPr wrap="square" lIns="0" tIns="0" rIns="0" bIns="0" rtlCol="0">
                          <a:prstTxWarp prst="textNoShape">
                            <a:avLst/>
                          </a:prstTxWarp>
                          <a:noAutofit/>
                        </wps:bodyPr>
                      </wps:wsp>
                      <wps:wsp>
                        <wps:cNvPr id="861" name="Graphic 861"/>
                        <wps:cNvSpPr/>
                        <wps:spPr>
                          <a:xfrm>
                            <a:off x="2193425" y="1353508"/>
                            <a:ext cx="287655" cy="459105"/>
                          </a:xfrm>
                          <a:custGeom>
                            <a:avLst/>
                            <a:gdLst/>
                            <a:ahLst/>
                            <a:cxnLst/>
                            <a:rect l="l" t="t" r="r" b="b"/>
                            <a:pathLst>
                              <a:path w="287655" h="459105">
                                <a:moveTo>
                                  <a:pt x="0" y="0"/>
                                </a:moveTo>
                                <a:lnTo>
                                  <a:pt x="287342" y="458539"/>
                                </a:lnTo>
                              </a:path>
                            </a:pathLst>
                          </a:custGeom>
                          <a:ln w="11849">
                            <a:solidFill>
                              <a:srgbClr val="2E3092"/>
                            </a:solidFill>
                            <a:prstDash val="solid"/>
                          </a:ln>
                        </wps:spPr>
                        <wps:bodyPr wrap="square" lIns="0" tIns="0" rIns="0" bIns="0" rtlCol="0">
                          <a:prstTxWarp prst="textNoShape">
                            <a:avLst/>
                          </a:prstTxWarp>
                          <a:noAutofit/>
                        </wps:bodyPr>
                      </wps:wsp>
                      <wps:wsp>
                        <wps:cNvPr id="862" name="Graphic 862"/>
                        <wps:cNvSpPr/>
                        <wps:spPr>
                          <a:xfrm>
                            <a:off x="2433576" y="1768365"/>
                            <a:ext cx="83185" cy="100965"/>
                          </a:xfrm>
                          <a:custGeom>
                            <a:avLst/>
                            <a:gdLst/>
                            <a:ahLst/>
                            <a:cxnLst/>
                            <a:rect l="l" t="t" r="r" b="b"/>
                            <a:pathLst>
                              <a:path w="83185" h="100965">
                                <a:moveTo>
                                  <a:pt x="65303" y="0"/>
                                </a:moveTo>
                                <a:lnTo>
                                  <a:pt x="44538" y="39433"/>
                                </a:lnTo>
                                <a:lnTo>
                                  <a:pt x="0" y="40919"/>
                                </a:lnTo>
                                <a:lnTo>
                                  <a:pt x="82727" y="100393"/>
                                </a:lnTo>
                                <a:lnTo>
                                  <a:pt x="65303" y="0"/>
                                </a:lnTo>
                                <a:close/>
                              </a:path>
                            </a:pathLst>
                          </a:custGeom>
                          <a:solidFill>
                            <a:srgbClr val="2E3092"/>
                          </a:solidFill>
                        </wps:spPr>
                        <wps:bodyPr wrap="square" lIns="0" tIns="0" rIns="0" bIns="0" rtlCol="0">
                          <a:prstTxWarp prst="textNoShape">
                            <a:avLst/>
                          </a:prstTxWarp>
                          <a:noAutofit/>
                        </wps:bodyPr>
                      </wps:wsp>
                      <pic:pic>
                        <pic:nvPicPr>
                          <pic:cNvPr id="863" name="Image 863"/>
                          <pic:cNvPicPr/>
                        </pic:nvPicPr>
                        <pic:blipFill>
                          <a:blip r:embed="rId306" cstate="print"/>
                          <a:stretch>
                            <a:fillRect/>
                          </a:stretch>
                        </pic:blipFill>
                        <pic:spPr>
                          <a:xfrm>
                            <a:off x="1718866" y="866259"/>
                            <a:ext cx="219241" cy="244045"/>
                          </a:xfrm>
                          <a:prstGeom prst="rect">
                            <a:avLst/>
                          </a:prstGeom>
                        </pic:spPr>
                      </pic:pic>
                      <pic:pic>
                        <pic:nvPicPr>
                          <pic:cNvPr id="864" name="Image 864"/>
                          <pic:cNvPicPr/>
                        </pic:nvPicPr>
                        <pic:blipFill>
                          <a:blip r:embed="rId307" cstate="print"/>
                          <a:stretch>
                            <a:fillRect/>
                          </a:stretch>
                        </pic:blipFill>
                        <pic:spPr>
                          <a:xfrm>
                            <a:off x="2193579" y="1547681"/>
                            <a:ext cx="134062" cy="190380"/>
                          </a:xfrm>
                          <a:prstGeom prst="rect">
                            <a:avLst/>
                          </a:prstGeom>
                        </pic:spPr>
                      </pic:pic>
                      <wps:wsp>
                        <wps:cNvPr id="865" name="Graphic 865"/>
                        <wps:cNvSpPr/>
                        <wps:spPr>
                          <a:xfrm>
                            <a:off x="626513" y="743536"/>
                            <a:ext cx="1060450" cy="1595120"/>
                          </a:xfrm>
                          <a:custGeom>
                            <a:avLst/>
                            <a:gdLst/>
                            <a:ahLst/>
                            <a:cxnLst/>
                            <a:rect l="l" t="t" r="r" b="b"/>
                            <a:pathLst>
                              <a:path w="1060450" h="1595120">
                                <a:moveTo>
                                  <a:pt x="0" y="1595089"/>
                                </a:moveTo>
                                <a:lnTo>
                                  <a:pt x="1060359" y="0"/>
                                </a:lnTo>
                              </a:path>
                            </a:pathLst>
                          </a:custGeom>
                          <a:ln w="11849">
                            <a:solidFill>
                              <a:srgbClr val="2E3092"/>
                            </a:solidFill>
                            <a:prstDash val="solid"/>
                          </a:ln>
                        </wps:spPr>
                        <wps:bodyPr wrap="square" lIns="0" tIns="0" rIns="0" bIns="0" rtlCol="0">
                          <a:prstTxWarp prst="textNoShape">
                            <a:avLst/>
                          </a:prstTxWarp>
                          <a:noAutofit/>
                        </wps:bodyPr>
                      </wps:wsp>
                      <wps:wsp>
                        <wps:cNvPr id="866" name="Graphic 866"/>
                        <wps:cNvSpPr/>
                        <wps:spPr>
                          <a:xfrm>
                            <a:off x="1639623" y="687797"/>
                            <a:ext cx="84455" cy="100330"/>
                          </a:xfrm>
                          <a:custGeom>
                            <a:avLst/>
                            <a:gdLst/>
                            <a:ahLst/>
                            <a:cxnLst/>
                            <a:rect l="l" t="t" r="r" b="b"/>
                            <a:pathLst>
                              <a:path w="84455" h="100330">
                                <a:moveTo>
                                  <a:pt x="84302" y="0"/>
                                </a:moveTo>
                                <a:lnTo>
                                  <a:pt x="0" y="57213"/>
                                </a:lnTo>
                                <a:lnTo>
                                  <a:pt x="44475" y="59905"/>
                                </a:lnTo>
                                <a:lnTo>
                                  <a:pt x="64173" y="99885"/>
                                </a:lnTo>
                                <a:lnTo>
                                  <a:pt x="84302" y="0"/>
                                </a:lnTo>
                                <a:close/>
                              </a:path>
                            </a:pathLst>
                          </a:custGeom>
                          <a:solidFill>
                            <a:srgbClr val="2E3092"/>
                          </a:solidFill>
                        </wps:spPr>
                        <wps:bodyPr wrap="square" lIns="0" tIns="0" rIns="0" bIns="0" rtlCol="0">
                          <a:prstTxWarp prst="textNoShape">
                            <a:avLst/>
                          </a:prstTxWarp>
                          <a:noAutofit/>
                        </wps:bodyPr>
                      </wps:wsp>
                      <wps:wsp>
                        <wps:cNvPr id="867" name="Graphic 867"/>
                        <wps:cNvSpPr/>
                        <wps:spPr>
                          <a:xfrm>
                            <a:off x="807841" y="1602602"/>
                            <a:ext cx="67945" cy="463550"/>
                          </a:xfrm>
                          <a:custGeom>
                            <a:avLst/>
                            <a:gdLst/>
                            <a:ahLst/>
                            <a:cxnLst/>
                            <a:rect l="l" t="t" r="r" b="b"/>
                            <a:pathLst>
                              <a:path w="67945" h="463550">
                                <a:moveTo>
                                  <a:pt x="0" y="463267"/>
                                </a:moveTo>
                                <a:lnTo>
                                  <a:pt x="22601" y="425874"/>
                                </a:lnTo>
                                <a:lnTo>
                                  <a:pt x="60270" y="324946"/>
                                </a:lnTo>
                                <a:lnTo>
                                  <a:pt x="67804" y="177361"/>
                                </a:lnTo>
                                <a:lnTo>
                                  <a:pt x="0" y="0"/>
                                </a:lnTo>
                              </a:path>
                            </a:pathLst>
                          </a:custGeom>
                          <a:ln w="11849">
                            <a:solidFill>
                              <a:srgbClr val="2E3092"/>
                            </a:solidFill>
                            <a:prstDash val="solid"/>
                          </a:ln>
                        </wps:spPr>
                        <wps:bodyPr wrap="square" lIns="0" tIns="0" rIns="0" bIns="0" rtlCol="0">
                          <a:prstTxWarp prst="textNoShape">
                            <a:avLst/>
                          </a:prstTxWarp>
                          <a:noAutofit/>
                        </wps:bodyPr>
                      </wps:wsp>
                      <wps:wsp>
                        <wps:cNvPr id="868" name="Graphic 868"/>
                        <wps:cNvSpPr/>
                        <wps:spPr>
                          <a:xfrm>
                            <a:off x="771523" y="1546378"/>
                            <a:ext cx="83820" cy="100330"/>
                          </a:xfrm>
                          <a:custGeom>
                            <a:avLst/>
                            <a:gdLst/>
                            <a:ahLst/>
                            <a:cxnLst/>
                            <a:rect l="l" t="t" r="r" b="b"/>
                            <a:pathLst>
                              <a:path w="83820" h="100330">
                                <a:moveTo>
                                  <a:pt x="0" y="0"/>
                                </a:moveTo>
                                <a:lnTo>
                                  <a:pt x="18821" y="100139"/>
                                </a:lnTo>
                                <a:lnTo>
                                  <a:pt x="39027" y="60426"/>
                                </a:lnTo>
                                <a:lnTo>
                                  <a:pt x="83553" y="58331"/>
                                </a:lnTo>
                                <a:lnTo>
                                  <a:pt x="0" y="0"/>
                                </a:lnTo>
                                <a:close/>
                              </a:path>
                            </a:pathLst>
                          </a:custGeom>
                          <a:solidFill>
                            <a:srgbClr val="2E3092"/>
                          </a:solidFill>
                        </wps:spPr>
                        <wps:bodyPr wrap="square" lIns="0" tIns="0" rIns="0" bIns="0" rtlCol="0">
                          <a:prstTxWarp prst="textNoShape">
                            <a:avLst/>
                          </a:prstTxWarp>
                          <a:noAutofit/>
                        </wps:bodyPr>
                      </wps:wsp>
                      <wps:wsp>
                        <wps:cNvPr id="869" name="Graphic 869"/>
                        <wps:cNvSpPr/>
                        <wps:spPr>
                          <a:xfrm>
                            <a:off x="417181" y="445148"/>
                            <a:ext cx="2035810" cy="1776730"/>
                          </a:xfrm>
                          <a:custGeom>
                            <a:avLst/>
                            <a:gdLst/>
                            <a:ahLst/>
                            <a:cxnLst/>
                            <a:rect l="l" t="t" r="r" b="b"/>
                            <a:pathLst>
                              <a:path w="2035810" h="1776730">
                                <a:moveTo>
                                  <a:pt x="74676" y="0"/>
                                </a:moveTo>
                                <a:lnTo>
                                  <a:pt x="0" y="0"/>
                                </a:lnTo>
                                <a:lnTo>
                                  <a:pt x="0" y="323875"/>
                                </a:lnTo>
                                <a:lnTo>
                                  <a:pt x="74676" y="323875"/>
                                </a:lnTo>
                                <a:lnTo>
                                  <a:pt x="74676" y="0"/>
                                </a:lnTo>
                                <a:close/>
                              </a:path>
                              <a:path w="2035810" h="1776730">
                                <a:moveTo>
                                  <a:pt x="522960" y="1716074"/>
                                </a:moveTo>
                                <a:lnTo>
                                  <a:pt x="260210" y="1526717"/>
                                </a:lnTo>
                                <a:lnTo>
                                  <a:pt x="216560" y="1587296"/>
                                </a:lnTo>
                                <a:lnTo>
                                  <a:pt x="479310" y="1776653"/>
                                </a:lnTo>
                                <a:lnTo>
                                  <a:pt x="522960" y="1716074"/>
                                </a:lnTo>
                                <a:close/>
                              </a:path>
                              <a:path w="2035810" h="1776730">
                                <a:moveTo>
                                  <a:pt x="1670138" y="353212"/>
                                </a:moveTo>
                                <a:lnTo>
                                  <a:pt x="1346250" y="353212"/>
                                </a:lnTo>
                                <a:lnTo>
                                  <a:pt x="1346250" y="427888"/>
                                </a:lnTo>
                                <a:lnTo>
                                  <a:pt x="1670138" y="427888"/>
                                </a:lnTo>
                                <a:lnTo>
                                  <a:pt x="1670138" y="353212"/>
                                </a:lnTo>
                                <a:close/>
                              </a:path>
                              <a:path w="2035810" h="1776730">
                                <a:moveTo>
                                  <a:pt x="2035390" y="1033780"/>
                                </a:moveTo>
                                <a:lnTo>
                                  <a:pt x="1711502" y="1033780"/>
                                </a:lnTo>
                                <a:lnTo>
                                  <a:pt x="1711502" y="1108456"/>
                                </a:lnTo>
                                <a:lnTo>
                                  <a:pt x="2035390" y="1108456"/>
                                </a:lnTo>
                                <a:lnTo>
                                  <a:pt x="2035390" y="1033780"/>
                                </a:lnTo>
                                <a:close/>
                              </a:path>
                            </a:pathLst>
                          </a:custGeom>
                          <a:solidFill>
                            <a:srgbClr val="B23756"/>
                          </a:solidFill>
                        </wps:spPr>
                        <wps:bodyPr wrap="square" lIns="0" tIns="0" rIns="0" bIns="0" rtlCol="0">
                          <a:prstTxWarp prst="textNoShape">
                            <a:avLst/>
                          </a:prstTxWarp>
                          <a:noAutofit/>
                        </wps:bodyPr>
                      </wps:wsp>
                    </wpg:wgp>
                  </a:graphicData>
                </a:graphic>
              </wp:anchor>
            </w:drawing>
          </mc:Choice>
          <mc:Fallback>
            <w:pict>
              <v:group style="position:absolute;margin-left:154.164093pt;margin-top:16.655649pt;width:267.2pt;height:184.65pt;mso-position-horizontal-relative:page;mso-position-vertical-relative:paragraph;z-index:-28111360" id="docshapegroup688" coordorigin="3083,333" coordsize="5344,3693">
                <v:rect style="position:absolute;left:5449;top:3574;width:1818;height:442" id="docshape689" filled="true" fillcolor="#d7eddd" stroked="false">
                  <v:fill type="solid"/>
                </v:rect>
                <v:rect style="position:absolute;left:5449;top:3574;width:1818;height:442" id="docshape690" filled="false" stroked="true" strokeweight=".933007pt" strokecolor="#231f20">
                  <v:stroke dashstyle="solid"/>
                </v:rect>
                <v:line style="position:absolute" from="7919,1649" to="6474,1649" stroked="true" strokeweight=".933007pt" strokecolor="#231f20">
                  <v:stroke dashstyle="solid"/>
                </v:line>
                <v:shape style="position:absolute;left:6369;top:1588;width:149;height:122" id="docshape691" coordorigin="6369,1588" coordsize="149,122" path="m6518,1588l6369,1649,6518,1710,6482,1649,6518,1588xe" filled="true" fillcolor="#231f20" stroked="false">
                  <v:path arrowok="t"/>
                  <v:fill type="solid"/>
                </v:shape>
                <v:line style="position:absolute" from="8427,2721" to="7063,2721" stroked="true" strokeweight=".933007pt" strokecolor="#231f20">
                  <v:stroke dashstyle="solid"/>
                </v:line>
                <v:shape style="position:absolute;left:6957;top:2660;width:149;height:122" id="docshape692" coordorigin="6958,2660" coordsize="149,122" path="m7106,2660l6958,2721,7106,2782,7071,2721,7106,2660xe" filled="true" fillcolor="#231f20" stroked="false">
                  <v:path arrowok="t"/>
                  <v:fill type="solid"/>
                </v:shape>
                <v:line style="position:absolute" from="5457,3795" to="4643,3795" stroked="true" strokeweight=".933007pt" strokecolor="#231f20">
                  <v:stroke dashstyle="solid"/>
                </v:line>
                <v:shape style="position:absolute;left:4538;top:3734;width:149;height:122" id="docshape693" coordorigin="4538,3735" coordsize="149,122" path="m4687,3735l4538,3795,4687,3856,4651,3795,4687,3735xe" filled="true" fillcolor="#231f20" stroked="false">
                  <v:path arrowok="t"/>
                  <v:fill type="solid"/>
                </v:shape>
                <v:line style="position:absolute" from="3093,1959" to="3628,1423" stroked="true" strokeweight=".933007pt" strokecolor="#231f20">
                  <v:stroke dashstyle="solid"/>
                </v:line>
                <v:shape style="position:absolute;left:3554;top:1348;width:148;height:148" id="docshape694" coordorigin="3555,1349" coordsize="148,148" path="m3703,1349l3555,1411,3623,1429,3641,1497,3703,1349xe" filled="true" fillcolor="#231f20" stroked="false">
                  <v:path arrowok="t"/>
                  <v:fill type="solid"/>
                </v:shape>
                <v:line style="position:absolute" from="5329,342" to="5795,1090" stroked="true" strokeweight=".933007pt" strokecolor="#2e3092">
                  <v:stroke dashstyle="solid"/>
                </v:line>
                <v:shape style="position:absolute;left:5721;top:1021;width:131;height:159" id="docshape695" coordorigin="5721,1021" coordsize="131,159" path="m5824,1021l5791,1083,5721,1086,5851,1180,5824,1021xe" filled="true" fillcolor="#2e3092" stroked="false">
                  <v:path arrowok="t"/>
                  <v:fill type="solid"/>
                </v:shape>
                <v:shape style="position:absolute;left:3374;top:1289;width:1862;height:2" id="docshape696" coordorigin="3375,1289" coordsize="1862,0" path="m3375,1289l3740,1289m3858,1289l5236,1289e" filled="false" stroked="true" strokeweight=".933007pt" strokecolor="#2e3092">
                  <v:path arrowok="t"/>
                  <v:stroke dashstyle="solid"/>
                </v:shape>
                <v:shape style="position:absolute;left:5192;top:1228;width:149;height:122" id="docshape697" coordorigin="5193,1228" coordsize="149,122" path="m5193,1228l5228,1289,5193,1350,5341,1289,5193,1228xe" filled="true" fillcolor="#2e3092" stroked="false">
                  <v:path arrowok="t"/>
                  <v:fill type="solid"/>
                </v:shape>
                <v:shape style="position:absolute;left:5106;top:539;width:362;height:348" type="#_x0000_t75" id="docshape698" stroked="false">
                  <v:imagedata r:id="rId305" o:title=""/>
                </v:shape>
                <v:shape style="position:absolute;left:3857;top:1289;width:425;height:229" id="docshape699" coordorigin="3858,1289" coordsize="425,229" path="m3858,1289l3900,1292,4006,1316,4144,1384,4282,1518e" filled="false" stroked="true" strokeweight=".933007pt" strokecolor="#2e3092">
                  <v:path arrowok="t"/>
                  <v:stroke dashstyle="solid"/>
                </v:shape>
                <v:shape style="position:absolute;left:4207;top:1447;width:137;height:156" id="docshape700" coordorigin="4208,1447" coordsize="137,156" path="m4306,1447l4277,1512,4208,1519,4344,1603,4306,1447xe" filled="true" fillcolor="#2e3092" stroked="false">
                  <v:path arrowok="t"/>
                  <v:fill type="solid"/>
                </v:shape>
                <v:line style="position:absolute" from="5940,1359" to="6345,2124" stroked="true" strokeweight=".933007pt" strokecolor="#2e3092">
                  <v:stroke dashstyle="solid"/>
                </v:line>
                <v:shape style="position:absolute;left:6271;top:2057;width:124;height:160" id="docshape701" coordorigin="6271,2058" coordsize="124,160" path="m6378,2058l6341,2117,6271,2115,6394,2218,6378,2058xe" filled="true" fillcolor="#2e3092" stroked="false">
                  <v:path arrowok="t"/>
                  <v:fill type="solid"/>
                </v:shape>
                <v:line style="position:absolute" from="6537,2465" to="6990,3187" stroked="true" strokeweight=".933007pt" strokecolor="#2e3092">
                  <v:stroke dashstyle="solid"/>
                </v:line>
                <v:shape style="position:absolute;left:6915;top:3117;width:131;height:159" id="docshape702" coordorigin="6916,3118" coordsize="131,159" path="m7019,3118l6986,3180,6916,3182,7046,3276,7019,3118xe" filled="true" fillcolor="#2e3092" stroked="false">
                  <v:path arrowok="t"/>
                  <v:fill type="solid"/>
                </v:shape>
                <v:shape style="position:absolute;left:5790;top:1697;width:346;height:385" type="#_x0000_t75" id="docshape703" stroked="false">
                  <v:imagedata r:id="rId306" o:title=""/>
                </v:shape>
                <v:shape style="position:absolute;left:6537;top:2770;width:212;height:300" type="#_x0000_t75" id="docshape704" stroked="false">
                  <v:imagedata r:id="rId307" o:title=""/>
                </v:shape>
                <v:line style="position:absolute" from="4070,4016" to="5740,1504" stroked="true" strokeweight=".933007pt" strokecolor="#2e3092">
                  <v:stroke dashstyle="solid"/>
                </v:line>
                <v:shape style="position:absolute;left:5665;top:1416;width:133;height:158" id="docshape705" coordorigin="5665,1416" coordsize="133,158" path="m5798,1416l5665,1506,5735,1511,5766,1574,5798,1416xe" filled="true" fillcolor="#2e3092" stroked="false">
                  <v:path arrowok="t"/>
                  <v:fill type="solid"/>
                </v:shape>
                <v:shape style="position:absolute;left:4355;top:2856;width:107;height:730" id="docshape706" coordorigin="4355,2857" coordsize="107,730" path="m4355,3586l4391,3528,4450,3369,4462,3136,4355,2857e" filled="false" stroked="true" strokeweight=".933007pt" strokecolor="#2e3092">
                  <v:path arrowok="t"/>
                  <v:stroke dashstyle="solid"/>
                </v:shape>
                <v:shape style="position:absolute;left:4298;top:2768;width:132;height:158" id="docshape707" coordorigin="4298,2768" coordsize="132,158" path="m4298,2768l4328,2926,4360,2864,4430,2860,4298,2768xe" filled="true" fillcolor="#2e3092" stroked="false">
                  <v:path arrowok="t"/>
                  <v:fill type="solid"/>
                </v:shape>
                <v:shape style="position:absolute;left:3740;top:1034;width:3206;height:2798" id="docshape708" coordorigin="3740,1034" coordsize="3206,2798" path="m3858,1034l3740,1034,3740,1544,3858,1544,3858,1034xm4564,3737l4150,3438,4081,3534,4495,3832,4564,3737xm6370,1590l5860,1590,5860,1708,6370,1708,6370,1590xm6946,2662l6436,2662,6436,2780,6946,2780,6946,2662xe" filled="true" fillcolor="#b23756" stroked="false">
                  <v:path arrowok="t"/>
                  <v:fill type="solid"/>
                </v:shape>
                <w10:wrap type="none"/>
              </v:group>
            </w:pict>
          </mc:Fallback>
        </mc:AlternateContent>
      </w:r>
      <w:r>
        <w:rPr>
          <w:rFonts w:ascii="Arial"/>
          <w:b/>
          <w:sz w:val="15"/>
        </w:rPr>
        <mc:AlternateContent>
          <mc:Choice Requires="wps">
            <w:drawing>
              <wp:anchor distT="0" distB="0" distL="0" distR="0" allowOverlap="1" layoutInCell="1" locked="0" behindDoc="1" simplePos="0" relativeHeight="475207168">
                <wp:simplePos x="0" y="0"/>
                <wp:positionH relativeFrom="page">
                  <wp:posOffset>3461889</wp:posOffset>
                </wp:positionH>
                <wp:positionV relativeFrom="paragraph">
                  <wp:posOffset>-563030</wp:posOffset>
                </wp:positionV>
                <wp:extent cx="2554605" cy="643255"/>
                <wp:effectExtent l="0" t="0" r="0" b="0"/>
                <wp:wrapNone/>
                <wp:docPr id="870" name="Group 870"/>
                <wp:cNvGraphicFramePr>
                  <a:graphicFrameLocks/>
                </wp:cNvGraphicFramePr>
                <a:graphic>
                  <a:graphicData uri="http://schemas.microsoft.com/office/word/2010/wordprocessingGroup">
                    <wpg:wgp>
                      <wpg:cNvPr id="870" name="Group 870"/>
                      <wpg:cNvGrpSpPr/>
                      <wpg:grpSpPr>
                        <a:xfrm>
                          <a:off x="0" y="0"/>
                          <a:ext cx="2554605" cy="643255"/>
                          <a:chExt cx="2554605" cy="643255"/>
                        </a:xfrm>
                      </wpg:grpSpPr>
                      <wps:wsp>
                        <wps:cNvPr id="871" name="Graphic 871"/>
                        <wps:cNvSpPr/>
                        <wps:spPr>
                          <a:xfrm>
                            <a:off x="890109" y="206116"/>
                            <a:ext cx="712470" cy="1270"/>
                          </a:xfrm>
                          <a:custGeom>
                            <a:avLst/>
                            <a:gdLst/>
                            <a:ahLst/>
                            <a:cxnLst/>
                            <a:rect l="l" t="t" r="r" b="b"/>
                            <a:pathLst>
                              <a:path w="712470" h="635">
                                <a:moveTo>
                                  <a:pt x="712112" y="0"/>
                                </a:moveTo>
                                <a:lnTo>
                                  <a:pt x="0" y="11"/>
                                </a:lnTo>
                              </a:path>
                            </a:pathLst>
                          </a:custGeom>
                          <a:ln w="11849">
                            <a:solidFill>
                              <a:srgbClr val="231F20"/>
                            </a:solidFill>
                            <a:prstDash val="solid"/>
                          </a:ln>
                        </wps:spPr>
                        <wps:bodyPr wrap="square" lIns="0" tIns="0" rIns="0" bIns="0" rtlCol="0">
                          <a:prstTxWarp prst="textNoShape">
                            <a:avLst/>
                          </a:prstTxWarp>
                          <a:noAutofit/>
                        </wps:bodyPr>
                      </wps:wsp>
                      <wps:wsp>
                        <wps:cNvPr id="872" name="Graphic 872"/>
                        <wps:cNvSpPr/>
                        <wps:spPr>
                          <a:xfrm>
                            <a:off x="823174" y="167597"/>
                            <a:ext cx="94615" cy="77470"/>
                          </a:xfrm>
                          <a:custGeom>
                            <a:avLst/>
                            <a:gdLst/>
                            <a:ahLst/>
                            <a:cxnLst/>
                            <a:rect l="l" t="t" r="r" b="b"/>
                            <a:pathLst>
                              <a:path w="94615" h="77470">
                                <a:moveTo>
                                  <a:pt x="94322" y="0"/>
                                </a:moveTo>
                                <a:lnTo>
                                  <a:pt x="0" y="38531"/>
                                </a:lnTo>
                                <a:lnTo>
                                  <a:pt x="94322" y="77050"/>
                                </a:lnTo>
                                <a:lnTo>
                                  <a:pt x="71945" y="38531"/>
                                </a:lnTo>
                                <a:lnTo>
                                  <a:pt x="94322" y="0"/>
                                </a:lnTo>
                                <a:close/>
                              </a:path>
                            </a:pathLst>
                          </a:custGeom>
                          <a:solidFill>
                            <a:srgbClr val="231F20"/>
                          </a:solidFill>
                        </wps:spPr>
                        <wps:bodyPr wrap="square" lIns="0" tIns="0" rIns="0" bIns="0" rtlCol="0">
                          <a:prstTxWarp prst="textNoShape">
                            <a:avLst/>
                          </a:prstTxWarp>
                          <a:noAutofit/>
                        </wps:bodyPr>
                      </wps:wsp>
                      <wps:wsp>
                        <wps:cNvPr id="873" name="Graphic 873"/>
                        <wps:cNvSpPr/>
                        <wps:spPr>
                          <a:xfrm>
                            <a:off x="55489" y="72339"/>
                            <a:ext cx="791210" cy="533400"/>
                          </a:xfrm>
                          <a:custGeom>
                            <a:avLst/>
                            <a:gdLst/>
                            <a:ahLst/>
                            <a:cxnLst/>
                            <a:rect l="l" t="t" r="r" b="b"/>
                            <a:pathLst>
                              <a:path w="791210" h="533400">
                                <a:moveTo>
                                  <a:pt x="790932" y="0"/>
                                </a:moveTo>
                                <a:lnTo>
                                  <a:pt x="0" y="533367"/>
                                </a:lnTo>
                              </a:path>
                            </a:pathLst>
                          </a:custGeom>
                          <a:ln w="11849">
                            <a:solidFill>
                              <a:srgbClr val="2E3092"/>
                            </a:solidFill>
                            <a:prstDash val="solid"/>
                          </a:ln>
                        </wps:spPr>
                        <wps:bodyPr wrap="square" lIns="0" tIns="0" rIns="0" bIns="0" rtlCol="0">
                          <a:prstTxWarp prst="textNoShape">
                            <a:avLst/>
                          </a:prstTxWarp>
                          <a:noAutofit/>
                        </wps:bodyPr>
                      </wps:wsp>
                      <wps:wsp>
                        <wps:cNvPr id="874" name="Graphic 874"/>
                        <wps:cNvSpPr/>
                        <wps:spPr>
                          <a:xfrm>
                            <a:off x="0" y="558442"/>
                            <a:ext cx="100330" cy="85090"/>
                          </a:xfrm>
                          <a:custGeom>
                            <a:avLst/>
                            <a:gdLst/>
                            <a:ahLst/>
                            <a:cxnLst/>
                            <a:rect l="l" t="t" r="r" b="b"/>
                            <a:pathLst>
                              <a:path w="100330" h="85090">
                                <a:moveTo>
                                  <a:pt x="56667" y="0"/>
                                </a:moveTo>
                                <a:lnTo>
                                  <a:pt x="0" y="84683"/>
                                </a:lnTo>
                                <a:lnTo>
                                  <a:pt x="99745" y="63893"/>
                                </a:lnTo>
                                <a:lnTo>
                                  <a:pt x="59651" y="44462"/>
                                </a:lnTo>
                                <a:lnTo>
                                  <a:pt x="56667" y="0"/>
                                </a:lnTo>
                                <a:close/>
                              </a:path>
                            </a:pathLst>
                          </a:custGeom>
                          <a:solidFill>
                            <a:srgbClr val="2E3092"/>
                          </a:solidFill>
                        </wps:spPr>
                        <wps:bodyPr wrap="square" lIns="0" tIns="0" rIns="0" bIns="0" rtlCol="0">
                          <a:prstTxWarp prst="textNoShape">
                            <a:avLst/>
                          </a:prstTxWarp>
                          <a:noAutofit/>
                        </wps:bodyPr>
                      </wps:wsp>
                      <pic:pic>
                        <pic:nvPicPr>
                          <pic:cNvPr id="875" name="Image 875"/>
                          <pic:cNvPicPr/>
                        </pic:nvPicPr>
                        <pic:blipFill>
                          <a:blip r:embed="rId308" cstate="print"/>
                          <a:stretch>
                            <a:fillRect/>
                          </a:stretch>
                        </pic:blipFill>
                        <pic:spPr>
                          <a:xfrm>
                            <a:off x="237801" y="289783"/>
                            <a:ext cx="283312" cy="76259"/>
                          </a:xfrm>
                          <a:prstGeom prst="rect">
                            <a:avLst/>
                          </a:prstGeom>
                        </pic:spPr>
                      </pic:pic>
                      <wps:wsp>
                        <wps:cNvPr id="876" name="Graphic 876"/>
                        <wps:cNvSpPr/>
                        <wps:spPr>
                          <a:xfrm>
                            <a:off x="500778" y="168776"/>
                            <a:ext cx="324485" cy="74930"/>
                          </a:xfrm>
                          <a:custGeom>
                            <a:avLst/>
                            <a:gdLst/>
                            <a:ahLst/>
                            <a:cxnLst/>
                            <a:rect l="l" t="t" r="r" b="b"/>
                            <a:pathLst>
                              <a:path w="324485" h="74930">
                                <a:moveTo>
                                  <a:pt x="323888" y="0"/>
                                </a:moveTo>
                                <a:lnTo>
                                  <a:pt x="0" y="0"/>
                                </a:lnTo>
                                <a:lnTo>
                                  <a:pt x="0" y="74688"/>
                                </a:lnTo>
                                <a:lnTo>
                                  <a:pt x="323888" y="74688"/>
                                </a:lnTo>
                                <a:lnTo>
                                  <a:pt x="323888" y="0"/>
                                </a:lnTo>
                                <a:close/>
                              </a:path>
                            </a:pathLst>
                          </a:custGeom>
                          <a:solidFill>
                            <a:srgbClr val="B23756"/>
                          </a:solidFill>
                        </wps:spPr>
                        <wps:bodyPr wrap="square" lIns="0" tIns="0" rIns="0" bIns="0" rtlCol="0">
                          <a:prstTxWarp prst="textNoShape">
                            <a:avLst/>
                          </a:prstTxWarp>
                          <a:noAutofit/>
                        </wps:bodyPr>
                      </wps:wsp>
                      <wps:wsp>
                        <wps:cNvPr id="877" name="Textbox 877"/>
                        <wps:cNvSpPr txBox="1"/>
                        <wps:spPr>
                          <a:xfrm>
                            <a:off x="947376" y="103604"/>
                            <a:ext cx="645160" cy="95250"/>
                          </a:xfrm>
                          <a:prstGeom prst="rect">
                            <a:avLst/>
                          </a:prstGeom>
                        </wps:spPr>
                        <wps:txbx>
                          <w:txbxContent>
                            <w:p>
                              <w:pPr>
                                <w:spacing w:line="147" w:lineRule="exact" w:before="0"/>
                                <w:ind w:left="0" w:right="0" w:firstLine="0"/>
                                <w:jc w:val="left"/>
                                <w:rPr>
                                  <w:rFonts w:ascii="Arial"/>
                                  <w:b/>
                                  <w:sz w:val="15"/>
                                </w:rPr>
                              </w:pPr>
                              <w:r>
                                <w:rPr>
                                  <w:rFonts w:ascii="Arial"/>
                                  <w:b/>
                                  <w:color w:val="231F20"/>
                                  <w:sz w:val="15"/>
                                </w:rPr>
                                <w:t>Fabry</w:t>
                              </w:r>
                              <w:r>
                                <w:rPr>
                                  <w:rFonts w:ascii="Arial"/>
                                  <w:b/>
                                  <w:color w:val="231F20"/>
                                  <w:spacing w:val="-10"/>
                                  <w:sz w:val="15"/>
                                </w:rPr>
                                <w:t> </w:t>
                              </w:r>
                              <w:r>
                                <w:rPr>
                                  <w:rFonts w:ascii="Arial"/>
                                  <w:b/>
                                  <w:color w:val="231F20"/>
                                  <w:spacing w:val="-2"/>
                                  <w:sz w:val="15"/>
                                </w:rPr>
                                <w:t>disease</w:t>
                              </w:r>
                            </w:p>
                          </w:txbxContent>
                        </wps:txbx>
                        <wps:bodyPr wrap="square" lIns="0" tIns="0" rIns="0" bIns="0" rtlCol="0">
                          <a:noAutofit/>
                        </wps:bodyPr>
                      </wps:wsp>
                      <wps:wsp>
                        <wps:cNvPr id="878" name="Textbox 878"/>
                        <wps:cNvSpPr txBox="1"/>
                        <wps:spPr>
                          <a:xfrm>
                            <a:off x="62812" y="247892"/>
                            <a:ext cx="16065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Gal</w:t>
                              </w:r>
                            </w:p>
                          </w:txbxContent>
                        </wps:txbx>
                        <wps:bodyPr wrap="square" lIns="0" tIns="0" rIns="0" bIns="0" rtlCol="0">
                          <a:noAutofit/>
                        </wps:bodyPr>
                      </wps:wsp>
                      <wps:wsp>
                        <wps:cNvPr id="879" name="Textbox 879"/>
                        <wps:cNvSpPr txBox="1"/>
                        <wps:spPr>
                          <a:xfrm>
                            <a:off x="303980" y="436231"/>
                            <a:ext cx="734695" cy="121920"/>
                          </a:xfrm>
                          <a:prstGeom prst="rect">
                            <a:avLst/>
                          </a:prstGeom>
                        </wps:spPr>
                        <wps:txbx>
                          <w:txbxContent>
                            <w:p>
                              <w:pPr>
                                <w:spacing w:line="192" w:lineRule="exact" w:before="0"/>
                                <w:ind w:left="20" w:right="0" w:firstLine="0"/>
                                <w:jc w:val="left"/>
                                <w:rPr>
                                  <w:rFonts w:ascii="Arial" w:hAnsi="Arial"/>
                                  <w:i/>
                                  <w:sz w:val="15"/>
                                </w:rPr>
                              </w:pPr>
                              <w:r>
                                <w:rPr>
                                  <w:rFonts w:ascii="Lucida Sans Unicode" w:hAnsi="Lucida Sans Unicode"/>
                                  <w:color w:val="231F20"/>
                                  <w:w w:val="85"/>
                                  <w:sz w:val="15"/>
                                </w:rPr>
                                <w:t>α</w:t>
                              </w:r>
                              <w:r>
                                <w:rPr>
                                  <w:rFonts w:ascii="Arial" w:hAnsi="Arial"/>
                                  <w:i/>
                                  <w:color w:val="231F20"/>
                                  <w:w w:val="85"/>
                                  <w:sz w:val="15"/>
                                </w:rPr>
                                <w:t>-</w:t>
                              </w:r>
                              <w:r>
                                <w:rPr>
                                  <w:rFonts w:ascii="Arial" w:hAnsi="Arial"/>
                                  <w:i/>
                                  <w:color w:val="231F20"/>
                                  <w:spacing w:val="-2"/>
                                  <w:sz w:val="15"/>
                                </w:rPr>
                                <w:t>Galactosidase</w:t>
                              </w:r>
                            </w:p>
                          </w:txbxContent>
                        </wps:txbx>
                        <wps:bodyPr wrap="square" lIns="0" tIns="0" rIns="0" bIns="0" rtlCol="0">
                          <a:noAutofit/>
                        </wps:bodyPr>
                      </wps:wsp>
                      <wps:wsp>
                        <wps:cNvPr id="880" name="Textbox 880"/>
                        <wps:cNvSpPr txBox="1"/>
                        <wps:spPr>
                          <a:xfrm>
                            <a:off x="1603726" y="5924"/>
                            <a:ext cx="944880" cy="400685"/>
                          </a:xfrm>
                          <a:prstGeom prst="rect">
                            <a:avLst/>
                          </a:prstGeom>
                          <a:solidFill>
                            <a:srgbClr val="D7EDDD"/>
                          </a:solidFill>
                          <a:ln w="11849">
                            <a:solidFill>
                              <a:srgbClr val="231F20"/>
                            </a:solidFill>
                            <a:prstDash val="solid"/>
                          </a:ln>
                        </wps:spPr>
                        <wps:txbx>
                          <w:txbxContent>
                            <w:p>
                              <w:pPr>
                                <w:spacing w:line="232" w:lineRule="auto" w:before="48"/>
                                <w:ind w:left="28" w:right="10" w:firstLine="0"/>
                                <w:jc w:val="left"/>
                                <w:rPr>
                                  <w:rFonts w:ascii="Arial"/>
                                  <w:i/>
                                  <w:color w:val="000000"/>
                                  <w:sz w:val="15"/>
                                </w:rPr>
                              </w:pPr>
                              <w:r>
                                <w:rPr>
                                  <w:rFonts w:ascii="Arial"/>
                                  <w:i/>
                                  <w:color w:val="231F20"/>
                                  <w:spacing w:val="-2"/>
                                  <w:sz w:val="15"/>
                                </w:rPr>
                                <w:t>Angiokeratomas,</w:t>
                              </w:r>
                              <w:r>
                                <w:rPr>
                                  <w:rFonts w:ascii="Arial"/>
                                  <w:i/>
                                  <w:color w:val="231F20"/>
                                  <w:sz w:val="15"/>
                                </w:rPr>
                                <w:t> </w:t>
                              </w:r>
                              <w:r>
                                <w:rPr>
                                  <w:rFonts w:ascii="Arial"/>
                                  <w:i/>
                                  <w:color w:val="231F20"/>
                                  <w:spacing w:val="-2"/>
                                  <w:sz w:val="15"/>
                                </w:rPr>
                                <w:t>kidney/heart</w:t>
                              </w:r>
                              <w:r>
                                <w:rPr>
                                  <w:rFonts w:ascii="Arial"/>
                                  <w:i/>
                                  <w:color w:val="231F20"/>
                                  <w:spacing w:val="-3"/>
                                  <w:sz w:val="15"/>
                                </w:rPr>
                                <w:t> </w:t>
                              </w:r>
                              <w:r>
                                <w:rPr>
                                  <w:rFonts w:ascii="Arial"/>
                                  <w:i/>
                                  <w:color w:val="231F20"/>
                                  <w:spacing w:val="-2"/>
                                  <w:sz w:val="15"/>
                                </w:rPr>
                                <w:t>disease,</w:t>
                              </w:r>
                              <w:r>
                                <w:rPr>
                                  <w:rFonts w:ascii="Arial"/>
                                  <w:i/>
                                  <w:color w:val="231F20"/>
                                  <w:sz w:val="15"/>
                                </w:rPr>
                                <w:t> </w:t>
                              </w:r>
                              <w:r>
                                <w:rPr>
                                  <w:rFonts w:ascii="Arial"/>
                                  <w:i/>
                                  <w:color w:val="231F20"/>
                                  <w:spacing w:val="-2"/>
                                  <w:sz w:val="15"/>
                                </w:rPr>
                                <w:t>burning</w:t>
                              </w:r>
                              <w:r>
                                <w:rPr>
                                  <w:rFonts w:ascii="Arial"/>
                                  <w:i/>
                                  <w:color w:val="231F20"/>
                                  <w:sz w:val="15"/>
                                </w:rPr>
                                <w:t> </w:t>
                              </w:r>
                              <w:r>
                                <w:rPr>
                                  <w:rFonts w:ascii="Arial"/>
                                  <w:i/>
                                  <w:color w:val="231F20"/>
                                  <w:spacing w:val="-2"/>
                                  <w:sz w:val="15"/>
                                </w:rPr>
                                <w:t>dysesthesias</w:t>
                              </w:r>
                            </w:p>
                          </w:txbxContent>
                        </wps:txbx>
                        <wps:bodyPr wrap="square" lIns="0" tIns="0" rIns="0" bIns="0" rtlCol="0">
                          <a:noAutofit/>
                        </wps:bodyPr>
                      </wps:wsp>
                    </wpg:wgp>
                  </a:graphicData>
                </a:graphic>
              </wp:anchor>
            </w:drawing>
          </mc:Choice>
          <mc:Fallback>
            <w:pict>
              <v:group style="position:absolute;margin-left:272.589691pt;margin-top:-44.333076pt;width:201.15pt;height:50.65pt;mso-position-horizontal-relative:page;mso-position-vertical-relative:paragraph;z-index:-28109312" id="docshapegroup709" coordorigin="5452,-887" coordsize="4023,1013">
                <v:line style="position:absolute" from="7975,-562" to="6854,-562" stroked="true" strokeweight=".933007pt" strokecolor="#231f20">
                  <v:stroke dashstyle="solid"/>
                </v:line>
                <v:shape style="position:absolute;left:6748;top:-623;width:149;height:122" id="docshape710" coordorigin="6748,-623" coordsize="149,122" path="m6897,-623l6748,-562,6897,-501,6861,-562,6897,-623xe" filled="true" fillcolor="#231f20" stroked="false">
                  <v:path arrowok="t"/>
                  <v:fill type="solid"/>
                </v:shape>
                <v:line style="position:absolute" from="6785,-773" to="5539,67" stroked="true" strokeweight=".933007pt" strokecolor="#2e3092">
                  <v:stroke dashstyle="solid"/>
                </v:line>
                <v:shape style="position:absolute;left:5451;top:-8;width:158;height:134" id="docshape711" coordorigin="5452,-7" coordsize="158,134" path="m5541,-7l5452,126,5609,93,5546,63,5541,-7xe" filled="true" fillcolor="#2e3092" stroked="false">
                  <v:path arrowok="t"/>
                  <v:fill type="solid"/>
                </v:shape>
                <v:shape style="position:absolute;left:5826;top:-431;width:447;height:121" type="#_x0000_t75" id="docshape712" stroked="false">
                  <v:imagedata r:id="rId308" o:title=""/>
                </v:shape>
                <v:rect style="position:absolute;left:6240;top:-621;width:511;height:118" id="docshape713" filled="true" fillcolor="#b23756" stroked="false">
                  <v:fill type="solid"/>
                </v:rect>
                <v:shape style="position:absolute;left:6943;top:-724;width:1016;height:150" type="#_x0000_t202" id="docshape714" filled="false" stroked="false">
                  <v:textbox inset="0,0,0,0">
                    <w:txbxContent>
                      <w:p>
                        <w:pPr>
                          <w:spacing w:line="147" w:lineRule="exact" w:before="0"/>
                          <w:ind w:left="0" w:right="0" w:firstLine="0"/>
                          <w:jc w:val="left"/>
                          <w:rPr>
                            <w:rFonts w:ascii="Arial"/>
                            <w:b/>
                            <w:sz w:val="15"/>
                          </w:rPr>
                        </w:pPr>
                        <w:r>
                          <w:rPr>
                            <w:rFonts w:ascii="Arial"/>
                            <w:b/>
                            <w:color w:val="231F20"/>
                            <w:sz w:val="15"/>
                          </w:rPr>
                          <w:t>Fabry</w:t>
                        </w:r>
                        <w:r>
                          <w:rPr>
                            <w:rFonts w:ascii="Arial"/>
                            <w:b/>
                            <w:color w:val="231F20"/>
                            <w:spacing w:val="-10"/>
                            <w:sz w:val="15"/>
                          </w:rPr>
                          <w:t> </w:t>
                        </w:r>
                        <w:r>
                          <w:rPr>
                            <w:rFonts w:ascii="Arial"/>
                            <w:b/>
                            <w:color w:val="231F20"/>
                            <w:spacing w:val="-2"/>
                            <w:sz w:val="15"/>
                          </w:rPr>
                          <w:t>disease</w:t>
                        </w:r>
                      </w:p>
                    </w:txbxContent>
                  </v:textbox>
                  <w10:wrap type="none"/>
                </v:shape>
                <v:shape style="position:absolute;left:5550;top:-497;width:253;height:150" type="#_x0000_t202" id="docshape715"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Gal</w:t>
                        </w:r>
                      </w:p>
                    </w:txbxContent>
                  </v:textbox>
                  <w10:wrap type="none"/>
                </v:shape>
                <v:shape style="position:absolute;left:5930;top:-200;width:1157;height:192" type="#_x0000_t202" id="docshape716" filled="false" stroked="false">
                  <v:textbox inset="0,0,0,0">
                    <w:txbxContent>
                      <w:p>
                        <w:pPr>
                          <w:spacing w:line="192" w:lineRule="exact" w:before="0"/>
                          <w:ind w:left="20" w:right="0" w:firstLine="0"/>
                          <w:jc w:val="left"/>
                          <w:rPr>
                            <w:rFonts w:ascii="Arial" w:hAnsi="Arial"/>
                            <w:i/>
                            <w:sz w:val="15"/>
                          </w:rPr>
                        </w:pPr>
                        <w:r>
                          <w:rPr>
                            <w:rFonts w:ascii="Lucida Sans Unicode" w:hAnsi="Lucida Sans Unicode"/>
                            <w:color w:val="231F20"/>
                            <w:w w:val="85"/>
                            <w:sz w:val="15"/>
                          </w:rPr>
                          <w:t>α</w:t>
                        </w:r>
                        <w:r>
                          <w:rPr>
                            <w:rFonts w:ascii="Arial" w:hAnsi="Arial"/>
                            <w:i/>
                            <w:color w:val="231F20"/>
                            <w:w w:val="85"/>
                            <w:sz w:val="15"/>
                          </w:rPr>
                          <w:t>-</w:t>
                        </w:r>
                        <w:r>
                          <w:rPr>
                            <w:rFonts w:ascii="Arial" w:hAnsi="Arial"/>
                            <w:i/>
                            <w:color w:val="231F20"/>
                            <w:spacing w:val="-2"/>
                            <w:sz w:val="15"/>
                          </w:rPr>
                          <w:t>Galactosidase</w:t>
                        </w:r>
                      </w:p>
                    </w:txbxContent>
                  </v:textbox>
                  <w10:wrap type="none"/>
                </v:shape>
                <v:shape style="position:absolute;left:7977;top:-878;width:1488;height:631" type="#_x0000_t202" id="docshape717" filled="true" fillcolor="#d7eddd" stroked="true" strokeweight=".933007pt" strokecolor="#231f20">
                  <v:textbox inset="0,0,0,0">
                    <w:txbxContent>
                      <w:p>
                        <w:pPr>
                          <w:spacing w:line="232" w:lineRule="auto" w:before="48"/>
                          <w:ind w:left="28" w:right="10" w:firstLine="0"/>
                          <w:jc w:val="left"/>
                          <w:rPr>
                            <w:rFonts w:ascii="Arial"/>
                            <w:i/>
                            <w:color w:val="000000"/>
                            <w:sz w:val="15"/>
                          </w:rPr>
                        </w:pPr>
                        <w:r>
                          <w:rPr>
                            <w:rFonts w:ascii="Arial"/>
                            <w:i/>
                            <w:color w:val="231F20"/>
                            <w:spacing w:val="-2"/>
                            <w:sz w:val="15"/>
                          </w:rPr>
                          <w:t>Angiokeratomas,</w:t>
                        </w:r>
                        <w:r>
                          <w:rPr>
                            <w:rFonts w:ascii="Arial"/>
                            <w:i/>
                            <w:color w:val="231F20"/>
                            <w:sz w:val="15"/>
                          </w:rPr>
                          <w:t> </w:t>
                        </w:r>
                        <w:r>
                          <w:rPr>
                            <w:rFonts w:ascii="Arial"/>
                            <w:i/>
                            <w:color w:val="231F20"/>
                            <w:spacing w:val="-2"/>
                            <w:sz w:val="15"/>
                          </w:rPr>
                          <w:t>kidney/heart</w:t>
                        </w:r>
                        <w:r>
                          <w:rPr>
                            <w:rFonts w:ascii="Arial"/>
                            <w:i/>
                            <w:color w:val="231F20"/>
                            <w:spacing w:val="-3"/>
                            <w:sz w:val="15"/>
                          </w:rPr>
                          <w:t> </w:t>
                        </w:r>
                        <w:r>
                          <w:rPr>
                            <w:rFonts w:ascii="Arial"/>
                            <w:i/>
                            <w:color w:val="231F20"/>
                            <w:spacing w:val="-2"/>
                            <w:sz w:val="15"/>
                          </w:rPr>
                          <w:t>disease,</w:t>
                        </w:r>
                        <w:r>
                          <w:rPr>
                            <w:rFonts w:ascii="Arial"/>
                            <w:i/>
                            <w:color w:val="231F20"/>
                            <w:sz w:val="15"/>
                          </w:rPr>
                          <w:t> </w:t>
                        </w:r>
                        <w:r>
                          <w:rPr>
                            <w:rFonts w:ascii="Arial"/>
                            <w:i/>
                            <w:color w:val="231F20"/>
                            <w:spacing w:val="-2"/>
                            <w:sz w:val="15"/>
                          </w:rPr>
                          <w:t>burning</w:t>
                        </w:r>
                        <w:r>
                          <w:rPr>
                            <w:rFonts w:ascii="Arial"/>
                            <w:i/>
                            <w:color w:val="231F20"/>
                            <w:sz w:val="15"/>
                          </w:rPr>
                          <w:t> </w:t>
                        </w:r>
                        <w:r>
                          <w:rPr>
                            <w:rFonts w:ascii="Arial"/>
                            <w:i/>
                            <w:color w:val="231F20"/>
                            <w:spacing w:val="-2"/>
                            <w:sz w:val="15"/>
                          </w:rPr>
                          <w:t>dysesthesias</w:t>
                        </w:r>
                      </w:p>
                    </w:txbxContent>
                  </v:textbox>
                  <v:fill type="solid"/>
                  <v:stroke dashstyle="solid"/>
                  <w10:wrap type="none"/>
                </v:shape>
                <w10:wrap type="none"/>
              </v:group>
            </w:pict>
          </mc:Fallback>
        </mc:AlternateContent>
      </w:r>
      <w:r>
        <w:rPr>
          <w:rFonts w:ascii="Arial"/>
          <w:b/>
          <w:color w:val="231F20"/>
          <w:spacing w:val="-5"/>
          <w:sz w:val="15"/>
        </w:rPr>
        <w:t>Gal</w:t>
      </w:r>
    </w:p>
    <w:p>
      <w:pPr>
        <w:spacing w:line="159" w:lineRule="exact" w:before="158"/>
        <w:ind w:left="364" w:right="0" w:firstLine="0"/>
        <w:jc w:val="left"/>
        <w:rPr>
          <w:rFonts w:ascii="Arial"/>
          <w:b/>
          <w:sz w:val="15"/>
        </w:rPr>
      </w:pPr>
      <w:r>
        <w:rPr/>
        <w:br w:type="column"/>
      </w:r>
      <w:r>
        <w:rPr>
          <w:rFonts w:ascii="Arial"/>
          <w:b/>
          <w:color w:val="231F20"/>
          <w:spacing w:val="-2"/>
          <w:sz w:val="15"/>
        </w:rPr>
        <w:t>Glc-Ceramide</w:t>
      </w:r>
    </w:p>
    <w:p>
      <w:pPr>
        <w:pStyle w:val="Heading7"/>
        <w:spacing w:line="159" w:lineRule="exact"/>
        <w:ind w:left="1171"/>
        <w:jc w:val="left"/>
      </w:pPr>
      <w:r>
        <w:rPr>
          <w:color w:val="231F20"/>
          <w:spacing w:val="-2"/>
        </w:rPr>
        <w:t>(Lactosyl</w:t>
      </w:r>
      <w:r>
        <w:rPr>
          <w:color w:val="231F20"/>
          <w:spacing w:val="1"/>
        </w:rPr>
        <w:t> </w:t>
      </w:r>
      <w:r>
        <w:rPr>
          <w:color w:val="231F20"/>
          <w:spacing w:val="-2"/>
        </w:rPr>
        <w:t>Ceramide)</w:t>
      </w:r>
    </w:p>
    <w:p>
      <w:pPr>
        <w:pStyle w:val="Heading7"/>
        <w:spacing w:after="0" w:line="159" w:lineRule="exact"/>
        <w:jc w:val="left"/>
        <w:sectPr>
          <w:type w:val="continuous"/>
          <w:pgSz w:w="11900" w:h="16840"/>
          <w:pgMar w:header="0" w:footer="0" w:top="620" w:bottom="280" w:left="425" w:right="566"/>
          <w:cols w:num="2" w:equalWidth="0">
            <w:col w:w="3960" w:space="40"/>
            <w:col w:w="6909"/>
          </w:cols>
        </w:sectPr>
      </w:pPr>
    </w:p>
    <w:p>
      <w:pPr>
        <w:pStyle w:val="BodyText"/>
        <w:spacing w:before="7"/>
        <w:rPr>
          <w:rFonts w:ascii="Arial"/>
          <w:i/>
          <w:sz w:val="9"/>
        </w:rPr>
      </w:pPr>
    </w:p>
    <w:p>
      <w:pPr>
        <w:pStyle w:val="BodyText"/>
        <w:spacing w:after="0"/>
        <w:rPr>
          <w:rFonts w:ascii="Arial"/>
          <w:i/>
          <w:sz w:val="9"/>
        </w:rPr>
        <w:sectPr>
          <w:type w:val="continuous"/>
          <w:pgSz w:w="11900" w:h="16840"/>
          <w:pgMar w:header="0" w:footer="0" w:top="620" w:bottom="280" w:left="425" w:right="566"/>
        </w:sectPr>
      </w:pPr>
    </w:p>
    <w:p>
      <w:pPr>
        <w:pStyle w:val="BodyText"/>
        <w:spacing w:before="48"/>
        <w:rPr>
          <w:rFonts w:ascii="Arial"/>
          <w:i/>
          <w:sz w:val="15"/>
        </w:rPr>
      </w:pPr>
    </w:p>
    <w:p>
      <w:pPr>
        <w:spacing w:before="0"/>
        <w:ind w:left="0" w:right="0" w:firstLine="0"/>
        <w:jc w:val="right"/>
        <w:rPr>
          <w:rFonts w:ascii="Arial"/>
          <w:i/>
          <w:sz w:val="15"/>
        </w:rPr>
      </w:pPr>
      <w:r>
        <w:rPr>
          <w:rFonts w:ascii="Arial"/>
          <w:i/>
          <w:color w:val="231F20"/>
          <w:spacing w:val="-2"/>
          <w:sz w:val="15"/>
        </w:rPr>
        <w:t>Sphingomyelinase</w:t>
      </w:r>
    </w:p>
    <w:p>
      <w:pPr>
        <w:spacing w:line="240" w:lineRule="auto" w:before="28"/>
        <w:rPr>
          <w:rFonts w:ascii="Arial"/>
          <w:i/>
          <w:sz w:val="15"/>
        </w:rPr>
      </w:pPr>
      <w:r>
        <w:rPr/>
        <w:br w:type="column"/>
      </w:r>
      <w:r>
        <w:rPr>
          <w:rFonts w:ascii="Arial"/>
          <w:i/>
          <w:sz w:val="15"/>
        </w:rPr>
      </w:r>
    </w:p>
    <w:p>
      <w:pPr>
        <w:pStyle w:val="Heading6"/>
        <w:ind w:left="422"/>
        <w:rPr>
          <w:rFonts w:ascii="Arial MT"/>
        </w:rPr>
      </w:pPr>
      <w:r>
        <w:rPr>
          <w:rFonts w:ascii="Arial MT"/>
          <w:color w:val="231F20"/>
          <w:spacing w:val="-5"/>
        </w:rPr>
        <w:t>Gal</w:t>
      </w:r>
    </w:p>
    <w:p>
      <w:pPr>
        <w:spacing w:before="54"/>
        <w:ind w:left="643" w:right="0" w:firstLine="0"/>
        <w:jc w:val="left"/>
        <w:rPr>
          <w:rFonts w:ascii="Arial" w:hAnsi="Arial"/>
          <w:i/>
          <w:sz w:val="15"/>
        </w:rPr>
      </w:pPr>
      <w:r>
        <w:rPr/>
        <w:br w:type="column"/>
      </w:r>
      <w:r>
        <w:rPr>
          <w:rFonts w:ascii="Lucida Sans Unicode" w:hAnsi="Lucida Sans Unicode"/>
          <w:color w:val="231F20"/>
          <w:spacing w:val="-2"/>
          <w:sz w:val="15"/>
        </w:rPr>
        <w:t>β</w:t>
      </w:r>
      <w:r>
        <w:rPr>
          <w:rFonts w:ascii="Arial" w:hAnsi="Arial"/>
          <w:i/>
          <w:color w:val="231F20"/>
          <w:spacing w:val="-2"/>
          <w:sz w:val="15"/>
        </w:rPr>
        <w:t>-Galactosidase</w:t>
      </w:r>
    </w:p>
    <w:p>
      <w:pPr>
        <w:spacing w:after="0"/>
        <w:jc w:val="left"/>
        <w:rPr>
          <w:rFonts w:ascii="Arial" w:hAnsi="Arial"/>
          <w:i/>
          <w:sz w:val="15"/>
        </w:rPr>
        <w:sectPr>
          <w:type w:val="continuous"/>
          <w:pgSz w:w="11900" w:h="16840"/>
          <w:pgMar w:header="0" w:footer="0" w:top="620" w:bottom="280" w:left="425" w:right="566"/>
          <w:cols w:num="3" w:equalWidth="0">
            <w:col w:w="3920" w:space="40"/>
            <w:col w:w="655" w:space="39"/>
            <w:col w:w="6255"/>
          </w:cols>
        </w:sectPr>
      </w:pPr>
    </w:p>
    <w:p>
      <w:pPr>
        <w:pStyle w:val="BodyText"/>
        <w:rPr>
          <w:rFonts w:ascii="Arial"/>
          <w:i/>
          <w:sz w:val="12"/>
        </w:rPr>
      </w:pPr>
    </w:p>
    <w:p>
      <w:pPr>
        <w:pStyle w:val="BodyText"/>
        <w:spacing w:after="0"/>
        <w:rPr>
          <w:rFonts w:ascii="Arial"/>
          <w:i/>
          <w:sz w:val="12"/>
        </w:rPr>
        <w:sectPr>
          <w:type w:val="continuous"/>
          <w:pgSz w:w="11900" w:h="16840"/>
          <w:pgMar w:header="0" w:footer="0" w:top="620" w:bottom="280" w:left="425" w:right="566"/>
        </w:sectPr>
      </w:pPr>
    </w:p>
    <w:p>
      <w:pPr>
        <w:spacing w:before="74"/>
        <w:ind w:left="827" w:right="0" w:firstLine="0"/>
        <w:jc w:val="left"/>
        <w:rPr>
          <w:rFonts w:ascii="Arial"/>
          <w:b/>
          <w:sz w:val="15"/>
        </w:rPr>
      </w:pPr>
      <w:r>
        <w:rPr>
          <w:rFonts w:ascii="Arial"/>
          <w:b/>
          <w:color w:val="231F20"/>
          <w:spacing w:val="-2"/>
          <w:sz w:val="15"/>
        </w:rPr>
        <w:t>Phosphorylcholine-Ceramide</w:t>
      </w:r>
    </w:p>
    <w:p>
      <w:pPr>
        <w:pStyle w:val="BodyText"/>
        <w:rPr>
          <w:rFonts w:ascii="Arial"/>
          <w:b/>
          <w:sz w:val="15"/>
        </w:rPr>
      </w:pPr>
    </w:p>
    <w:p>
      <w:pPr>
        <w:pStyle w:val="BodyText"/>
        <w:rPr>
          <w:rFonts w:ascii="Arial"/>
          <w:b/>
          <w:sz w:val="15"/>
        </w:rPr>
      </w:pPr>
    </w:p>
    <w:p>
      <w:pPr>
        <w:pStyle w:val="BodyText"/>
        <w:spacing w:before="99"/>
        <w:rPr>
          <w:rFonts w:ascii="Arial"/>
          <w:b/>
          <w:sz w:val="15"/>
        </w:rPr>
      </w:pPr>
    </w:p>
    <w:p>
      <w:pPr>
        <w:spacing w:before="0"/>
        <w:ind w:left="1751" w:right="0" w:firstLine="0"/>
        <w:jc w:val="left"/>
        <w:rPr>
          <w:rFonts w:ascii="Arial"/>
          <w:b/>
          <w:sz w:val="15"/>
        </w:rPr>
      </w:pPr>
      <w:r>
        <w:rPr>
          <w:rFonts w:ascii="Arial"/>
          <w:b/>
          <w:color w:val="231F20"/>
          <w:spacing w:val="-2"/>
          <w:sz w:val="15"/>
        </w:rPr>
        <w:t>Niemann-Pick</w:t>
      </w:r>
      <w:r>
        <w:rPr>
          <w:rFonts w:ascii="Arial"/>
          <w:b/>
          <w:color w:val="231F20"/>
          <w:spacing w:val="2"/>
          <w:sz w:val="15"/>
        </w:rPr>
        <w:t> </w:t>
      </w:r>
      <w:r>
        <w:rPr>
          <w:rFonts w:ascii="Arial"/>
          <w:b/>
          <w:color w:val="231F20"/>
          <w:spacing w:val="-5"/>
          <w:sz w:val="15"/>
        </w:rPr>
        <w:t>A/B</w:t>
      </w:r>
    </w:p>
    <w:p>
      <w:pPr>
        <w:spacing w:line="240" w:lineRule="auto" w:before="0"/>
        <w:rPr>
          <w:rFonts w:ascii="Arial"/>
          <w:b/>
          <w:sz w:val="15"/>
        </w:rPr>
      </w:pPr>
      <w:r>
        <w:rPr/>
        <w:br w:type="column"/>
      </w:r>
      <w:r>
        <w:rPr>
          <w:rFonts w:ascii="Arial"/>
          <w:b/>
          <w:sz w:val="15"/>
        </w:rPr>
      </w:r>
    </w:p>
    <w:p>
      <w:pPr>
        <w:pStyle w:val="BodyText"/>
        <w:rPr>
          <w:rFonts w:ascii="Arial"/>
          <w:b/>
          <w:sz w:val="15"/>
        </w:rPr>
      </w:pPr>
    </w:p>
    <w:p>
      <w:pPr>
        <w:pStyle w:val="BodyText"/>
        <w:spacing w:before="11"/>
        <w:rPr>
          <w:rFonts w:ascii="Arial"/>
          <w:b/>
          <w:sz w:val="15"/>
        </w:rPr>
      </w:pPr>
    </w:p>
    <w:p>
      <w:pPr>
        <w:spacing w:before="0"/>
        <w:ind w:left="456" w:right="0" w:firstLine="0"/>
        <w:jc w:val="left"/>
        <w:rPr>
          <w:rFonts w:ascii="Arial MT"/>
          <w:sz w:val="15"/>
        </w:rPr>
      </w:pPr>
      <w:r>
        <w:rPr>
          <w:rFonts w:ascii="Arial MT"/>
          <w:color w:val="231F20"/>
          <w:spacing w:val="-2"/>
          <w:sz w:val="15"/>
        </w:rPr>
        <w:t>Choline</w:t>
      </w:r>
      <w:r>
        <w:rPr>
          <w:rFonts w:ascii="Arial MT"/>
          <w:color w:val="231F20"/>
          <w:spacing w:val="1"/>
          <w:sz w:val="15"/>
        </w:rPr>
        <w:t> </w:t>
      </w:r>
      <w:r>
        <w:rPr>
          <w:rFonts w:ascii="Arial MT"/>
          <w:color w:val="231F20"/>
          <w:spacing w:val="-10"/>
          <w:sz w:val="15"/>
        </w:rPr>
        <w:t>P</w:t>
      </w:r>
    </w:p>
    <w:p>
      <w:pPr>
        <w:spacing w:before="74"/>
        <w:ind w:left="754" w:right="0" w:firstLine="0"/>
        <w:jc w:val="left"/>
        <w:rPr>
          <w:rFonts w:ascii="Arial"/>
          <w:b/>
          <w:sz w:val="15"/>
        </w:rPr>
      </w:pPr>
      <w:r>
        <w:rPr/>
        <w:br w:type="column"/>
      </w:r>
      <w:r>
        <w:rPr>
          <w:rFonts w:ascii="Arial"/>
          <w:b/>
          <w:color w:val="231F20"/>
          <w:spacing w:val="-2"/>
          <w:sz w:val="15"/>
        </w:rPr>
        <w:t>Glc-Ceramide</w:t>
      </w:r>
    </w:p>
    <w:p>
      <w:pPr>
        <w:pStyle w:val="BodyText"/>
        <w:rPr>
          <w:rFonts w:ascii="Arial"/>
          <w:b/>
          <w:sz w:val="15"/>
        </w:rPr>
      </w:pPr>
    </w:p>
    <w:p>
      <w:pPr>
        <w:pStyle w:val="BodyText"/>
        <w:rPr>
          <w:rFonts w:ascii="Arial"/>
          <w:b/>
          <w:sz w:val="15"/>
        </w:rPr>
      </w:pPr>
    </w:p>
    <w:p>
      <w:pPr>
        <w:pStyle w:val="BodyText"/>
        <w:rPr>
          <w:rFonts w:ascii="Arial"/>
          <w:b/>
          <w:sz w:val="15"/>
        </w:rPr>
      </w:pPr>
    </w:p>
    <w:p>
      <w:pPr>
        <w:pStyle w:val="BodyText"/>
        <w:spacing w:before="31"/>
        <w:rPr>
          <w:rFonts w:ascii="Arial"/>
          <w:b/>
          <w:sz w:val="15"/>
        </w:rPr>
      </w:pPr>
    </w:p>
    <w:p>
      <w:pPr>
        <w:pStyle w:val="Heading6"/>
        <w:ind w:left="259"/>
        <w:jc w:val="center"/>
        <w:rPr>
          <w:rFonts w:ascii="Arial MT"/>
        </w:rPr>
      </w:pPr>
      <w:r>
        <w:rPr>
          <w:rFonts w:ascii="Arial MT"/>
          <w:color w:val="231F20"/>
          <w:spacing w:val="-5"/>
        </w:rPr>
        <w:t>Glc</w:t>
      </w:r>
    </w:p>
    <w:p>
      <w:pPr>
        <w:spacing w:line="240" w:lineRule="auto" w:before="171"/>
        <w:rPr>
          <w:rFonts w:ascii="Arial MT"/>
          <w:sz w:val="15"/>
        </w:rPr>
      </w:pPr>
      <w:r>
        <w:rPr/>
        <w:br w:type="column"/>
      </w:r>
      <w:r>
        <w:rPr>
          <w:rFonts w:ascii="Arial MT"/>
          <w:sz w:val="15"/>
        </w:rPr>
      </w:r>
    </w:p>
    <w:p>
      <w:pPr>
        <w:spacing w:before="0"/>
        <w:ind w:left="235" w:right="0" w:firstLine="0"/>
        <w:jc w:val="left"/>
        <w:rPr>
          <w:rFonts w:ascii="Arial"/>
          <w:b/>
          <w:sz w:val="15"/>
        </w:rPr>
      </w:pPr>
      <w:r>
        <w:rPr>
          <w:rFonts w:ascii="Arial"/>
          <w:b/>
          <w:color w:val="231F20"/>
          <w:spacing w:val="-2"/>
          <w:sz w:val="15"/>
        </w:rPr>
        <w:t>Gaucher</w:t>
      </w:r>
      <w:r>
        <w:rPr>
          <w:rFonts w:ascii="Arial"/>
          <w:b/>
          <w:color w:val="231F20"/>
          <w:sz w:val="15"/>
        </w:rPr>
        <w:t> </w:t>
      </w:r>
      <w:r>
        <w:rPr>
          <w:rFonts w:ascii="Arial"/>
          <w:b/>
          <w:color w:val="231F20"/>
          <w:spacing w:val="-2"/>
          <w:sz w:val="15"/>
        </w:rPr>
        <w:t>disease</w:t>
      </w:r>
    </w:p>
    <w:p>
      <w:pPr>
        <w:pStyle w:val="BodyText"/>
        <w:spacing w:before="53"/>
        <w:rPr>
          <w:rFonts w:ascii="Arial"/>
          <w:b/>
          <w:sz w:val="15"/>
        </w:rPr>
      </w:pPr>
    </w:p>
    <w:p>
      <w:pPr>
        <w:spacing w:before="0"/>
        <w:ind w:left="25" w:right="0" w:firstLine="0"/>
        <w:jc w:val="left"/>
        <w:rPr>
          <w:rFonts w:ascii="Arial" w:hAnsi="Arial"/>
          <w:i/>
          <w:sz w:val="15"/>
        </w:rPr>
      </w:pPr>
      <w:r>
        <w:rPr>
          <w:rFonts w:ascii="Arial" w:hAnsi="Arial"/>
          <w:i/>
          <w:sz w:val="15"/>
        </w:rPr>
        <mc:AlternateContent>
          <mc:Choice Requires="wps">
            <w:drawing>
              <wp:anchor distT="0" distB="0" distL="0" distR="0" allowOverlap="1" layoutInCell="1" locked="0" behindDoc="0" simplePos="0" relativeHeight="15787008">
                <wp:simplePos x="0" y="0"/>
                <wp:positionH relativeFrom="page">
                  <wp:posOffset>5030068</wp:posOffset>
                </wp:positionH>
                <wp:positionV relativeFrom="paragraph">
                  <wp:posOffset>-333825</wp:posOffset>
                </wp:positionV>
                <wp:extent cx="897255" cy="400685"/>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897255" cy="400685"/>
                        </a:xfrm>
                        <a:prstGeom prst="rect">
                          <a:avLst/>
                        </a:prstGeom>
                        <a:solidFill>
                          <a:srgbClr val="D7EDDD"/>
                        </a:solidFill>
                        <a:ln w="11849">
                          <a:solidFill>
                            <a:srgbClr val="231F20"/>
                          </a:solidFill>
                          <a:prstDash val="solid"/>
                        </a:ln>
                      </wps:spPr>
                      <wps:txbx>
                        <w:txbxContent>
                          <w:p>
                            <w:pPr>
                              <w:spacing w:line="232" w:lineRule="auto" w:before="48"/>
                              <w:ind w:left="44" w:right="44" w:firstLine="0"/>
                              <w:jc w:val="left"/>
                              <w:rPr>
                                <w:rFonts w:ascii="Arial"/>
                                <w:i/>
                                <w:color w:val="000000"/>
                                <w:sz w:val="15"/>
                              </w:rPr>
                            </w:pPr>
                            <w:r>
                              <w:rPr>
                                <w:rFonts w:ascii="Arial"/>
                                <w:i/>
                                <w:color w:val="231F20"/>
                                <w:sz w:val="15"/>
                              </w:rPr>
                              <w:t>Most</w:t>
                            </w:r>
                            <w:r>
                              <w:rPr>
                                <w:rFonts w:ascii="Arial"/>
                                <w:i/>
                                <w:color w:val="231F20"/>
                                <w:spacing w:val="-1"/>
                                <w:sz w:val="15"/>
                              </w:rPr>
                              <w:t> </w:t>
                            </w:r>
                            <w:r>
                              <w:rPr>
                                <w:rFonts w:ascii="Arial"/>
                                <w:i/>
                                <w:color w:val="231F20"/>
                                <w:sz w:val="15"/>
                              </w:rPr>
                              <w:t>common </w:t>
                            </w:r>
                            <w:r>
                              <w:rPr>
                                <w:rFonts w:ascii="Arial"/>
                                <w:i/>
                                <w:color w:val="231F20"/>
                                <w:spacing w:val="-2"/>
                                <w:sz w:val="15"/>
                              </w:rPr>
                              <w:t>HSM,</w:t>
                            </w:r>
                            <w:r>
                              <w:rPr>
                                <w:rFonts w:ascii="Arial"/>
                                <w:i/>
                                <w:color w:val="231F20"/>
                                <w:spacing w:val="-9"/>
                                <w:sz w:val="15"/>
                              </w:rPr>
                              <w:t> </w:t>
                            </w:r>
                            <w:r>
                              <w:rPr>
                                <w:rFonts w:ascii="Arial"/>
                                <w:i/>
                                <w:color w:val="231F20"/>
                                <w:spacing w:val="-2"/>
                                <w:sz w:val="15"/>
                              </w:rPr>
                              <w:t>osteoporosis,</w:t>
                            </w:r>
                            <w:r>
                              <w:rPr>
                                <w:rFonts w:ascii="Arial"/>
                                <w:i/>
                                <w:color w:val="231F20"/>
                                <w:sz w:val="15"/>
                              </w:rPr>
                              <w:t> CNS disease rare</w:t>
                            </w:r>
                          </w:p>
                        </w:txbxContent>
                      </wps:txbx>
                      <wps:bodyPr wrap="square" lIns="0" tIns="0" rIns="0" bIns="0" rtlCol="0">
                        <a:noAutofit/>
                      </wps:bodyPr>
                    </wps:wsp>
                  </a:graphicData>
                </a:graphic>
              </wp:anchor>
            </w:drawing>
          </mc:Choice>
          <mc:Fallback>
            <w:pict>
              <v:shape style="position:absolute;margin-left:396.06842pt;margin-top:-26.285442pt;width:70.650pt;height:31.55pt;mso-position-horizontal-relative:page;mso-position-vertical-relative:paragraph;z-index:15787008" type="#_x0000_t202" id="docshape718" filled="true" fillcolor="#d7eddd" stroked="true" strokeweight=".933007pt" strokecolor="#231f20">
                <v:textbox inset="0,0,0,0">
                  <w:txbxContent>
                    <w:p>
                      <w:pPr>
                        <w:spacing w:line="232" w:lineRule="auto" w:before="48"/>
                        <w:ind w:left="44" w:right="44" w:firstLine="0"/>
                        <w:jc w:val="left"/>
                        <w:rPr>
                          <w:rFonts w:ascii="Arial"/>
                          <w:i/>
                          <w:color w:val="000000"/>
                          <w:sz w:val="15"/>
                        </w:rPr>
                      </w:pPr>
                      <w:r>
                        <w:rPr>
                          <w:rFonts w:ascii="Arial"/>
                          <w:i/>
                          <w:color w:val="231F20"/>
                          <w:sz w:val="15"/>
                        </w:rPr>
                        <w:t>Most</w:t>
                      </w:r>
                      <w:r>
                        <w:rPr>
                          <w:rFonts w:ascii="Arial"/>
                          <w:i/>
                          <w:color w:val="231F20"/>
                          <w:spacing w:val="-1"/>
                          <w:sz w:val="15"/>
                        </w:rPr>
                        <w:t> </w:t>
                      </w:r>
                      <w:r>
                        <w:rPr>
                          <w:rFonts w:ascii="Arial"/>
                          <w:i/>
                          <w:color w:val="231F20"/>
                          <w:sz w:val="15"/>
                        </w:rPr>
                        <w:t>common </w:t>
                      </w:r>
                      <w:r>
                        <w:rPr>
                          <w:rFonts w:ascii="Arial"/>
                          <w:i/>
                          <w:color w:val="231F20"/>
                          <w:spacing w:val="-2"/>
                          <w:sz w:val="15"/>
                        </w:rPr>
                        <w:t>HSM,</w:t>
                      </w:r>
                      <w:r>
                        <w:rPr>
                          <w:rFonts w:ascii="Arial"/>
                          <w:i/>
                          <w:color w:val="231F20"/>
                          <w:spacing w:val="-9"/>
                          <w:sz w:val="15"/>
                        </w:rPr>
                        <w:t> </w:t>
                      </w:r>
                      <w:r>
                        <w:rPr>
                          <w:rFonts w:ascii="Arial"/>
                          <w:i/>
                          <w:color w:val="231F20"/>
                          <w:spacing w:val="-2"/>
                          <w:sz w:val="15"/>
                        </w:rPr>
                        <w:t>osteoporosis,</w:t>
                      </w:r>
                      <w:r>
                        <w:rPr>
                          <w:rFonts w:ascii="Arial"/>
                          <w:i/>
                          <w:color w:val="231F20"/>
                          <w:sz w:val="15"/>
                        </w:rPr>
                        <w:t> CNS disease rare</w:t>
                      </w:r>
                    </w:p>
                  </w:txbxContent>
                </v:textbox>
                <v:fill type="solid"/>
                <v:stroke dashstyle="solid"/>
                <w10:wrap type="none"/>
              </v:shape>
            </w:pict>
          </mc:Fallback>
        </mc:AlternateContent>
      </w:r>
      <w:r>
        <w:rPr>
          <w:rFonts w:ascii="Lucida Sans Unicode" w:hAnsi="Lucida Sans Unicode"/>
          <w:color w:val="231F20"/>
          <w:spacing w:val="-2"/>
          <w:sz w:val="15"/>
        </w:rPr>
        <w:t>β</w:t>
      </w:r>
      <w:r>
        <w:rPr>
          <w:rFonts w:ascii="Arial" w:hAnsi="Arial"/>
          <w:i/>
          <w:color w:val="231F20"/>
          <w:spacing w:val="-2"/>
          <w:sz w:val="15"/>
        </w:rPr>
        <w:t>-Glucosidase</w:t>
      </w:r>
    </w:p>
    <w:p>
      <w:pPr>
        <w:spacing w:after="0"/>
        <w:jc w:val="left"/>
        <w:rPr>
          <w:rFonts w:ascii="Arial" w:hAnsi="Arial"/>
          <w:i/>
          <w:sz w:val="15"/>
        </w:rPr>
        <w:sectPr>
          <w:type w:val="continuous"/>
          <w:pgSz w:w="11900" w:h="16840"/>
          <w:pgMar w:header="0" w:footer="0" w:top="620" w:bottom="280" w:left="425" w:right="566"/>
          <w:cols w:num="4" w:equalWidth="0">
            <w:col w:w="3037" w:space="40"/>
            <w:col w:w="1104" w:space="39"/>
            <w:col w:w="1725" w:space="40"/>
            <w:col w:w="4924"/>
          </w:cols>
        </w:sectPr>
      </w:pPr>
    </w:p>
    <w:p>
      <w:pPr>
        <w:pStyle w:val="BodyText"/>
        <w:spacing w:before="116"/>
        <w:rPr>
          <w:rFonts w:ascii="Arial"/>
          <w:i/>
          <w:sz w:val="15"/>
        </w:rPr>
      </w:pPr>
    </w:p>
    <w:p>
      <w:pPr>
        <w:spacing w:before="0"/>
        <w:ind w:left="0" w:right="0" w:firstLine="0"/>
        <w:jc w:val="right"/>
        <w:rPr>
          <w:rFonts w:ascii="Arial MT"/>
          <w:sz w:val="15"/>
        </w:rPr>
      </w:pPr>
      <w:r>
        <w:rPr>
          <w:rFonts w:ascii="Arial MT"/>
          <w:sz w:val="15"/>
        </w:rPr>
        <mc:AlternateContent>
          <mc:Choice Requires="wps">
            <w:drawing>
              <wp:anchor distT="0" distB="0" distL="0" distR="0" allowOverlap="1" layoutInCell="1" locked="0" behindDoc="0" simplePos="0" relativeHeight="15786496">
                <wp:simplePos x="0" y="0"/>
                <wp:positionH relativeFrom="page">
                  <wp:posOffset>1365649</wp:posOffset>
                </wp:positionH>
                <wp:positionV relativeFrom="paragraph">
                  <wp:posOffset>-227956</wp:posOffset>
                </wp:positionV>
                <wp:extent cx="872490" cy="280670"/>
                <wp:effectExtent l="0" t="0" r="0" b="0"/>
                <wp:wrapNone/>
                <wp:docPr id="882" name="Textbox 882"/>
                <wp:cNvGraphicFramePr>
                  <a:graphicFrameLocks/>
                </wp:cNvGraphicFramePr>
                <a:graphic>
                  <a:graphicData uri="http://schemas.microsoft.com/office/word/2010/wordprocessingShape">
                    <wps:wsp>
                      <wps:cNvPr id="882" name="Textbox 882"/>
                      <wps:cNvSpPr txBox="1"/>
                      <wps:spPr>
                        <a:xfrm>
                          <a:off x="0" y="0"/>
                          <a:ext cx="872490" cy="280670"/>
                        </a:xfrm>
                        <a:prstGeom prst="rect">
                          <a:avLst/>
                        </a:prstGeom>
                        <a:solidFill>
                          <a:srgbClr val="D7EDDD"/>
                        </a:solidFill>
                        <a:ln w="11849">
                          <a:solidFill>
                            <a:srgbClr val="231F20"/>
                          </a:solidFill>
                          <a:prstDash val="solid"/>
                        </a:ln>
                      </wps:spPr>
                      <wps:txbx>
                        <w:txbxContent>
                          <w:p>
                            <w:pPr>
                              <w:spacing w:line="232" w:lineRule="auto" w:before="38"/>
                              <w:ind w:left="27" w:right="47" w:firstLine="0"/>
                              <w:jc w:val="left"/>
                              <w:rPr>
                                <w:rFonts w:ascii="Arial"/>
                                <w:i/>
                                <w:color w:val="000000"/>
                                <w:sz w:val="15"/>
                              </w:rPr>
                            </w:pPr>
                            <w:r>
                              <w:rPr>
                                <w:rFonts w:ascii="Arial"/>
                                <w:i/>
                                <w:color w:val="231F20"/>
                                <w:spacing w:val="-2"/>
                                <w:sz w:val="15"/>
                              </w:rPr>
                              <w:t>Neurodegeneration</w:t>
                            </w:r>
                            <w:r>
                              <w:rPr>
                                <w:rFonts w:ascii="Arial"/>
                                <w:i/>
                                <w:color w:val="231F20"/>
                                <w:sz w:val="15"/>
                              </w:rPr>
                              <w:t> </w:t>
                            </w:r>
                            <w:r>
                              <w:rPr>
                                <w:rFonts w:ascii="Arial"/>
                                <w:i/>
                                <w:color w:val="231F20"/>
                                <w:spacing w:val="-4"/>
                                <w:sz w:val="15"/>
                              </w:rPr>
                              <w:t>HSM</w:t>
                            </w:r>
                          </w:p>
                        </w:txbxContent>
                      </wps:txbx>
                      <wps:bodyPr wrap="square" lIns="0" tIns="0" rIns="0" bIns="0" rtlCol="0">
                        <a:noAutofit/>
                      </wps:bodyPr>
                    </wps:wsp>
                  </a:graphicData>
                </a:graphic>
              </wp:anchor>
            </w:drawing>
          </mc:Choice>
          <mc:Fallback>
            <w:pict>
              <v:shape style="position:absolute;margin-left:107.531425pt;margin-top:-17.949358pt;width:68.7pt;height:22.1pt;mso-position-horizontal-relative:page;mso-position-vertical-relative:paragraph;z-index:15786496" type="#_x0000_t202" id="docshape719" filled="true" fillcolor="#d7eddd" stroked="true" strokeweight=".933007pt" strokecolor="#231f20">
                <v:textbox inset="0,0,0,0">
                  <w:txbxContent>
                    <w:p>
                      <w:pPr>
                        <w:spacing w:line="232" w:lineRule="auto" w:before="38"/>
                        <w:ind w:left="27" w:right="47" w:firstLine="0"/>
                        <w:jc w:val="left"/>
                        <w:rPr>
                          <w:rFonts w:ascii="Arial"/>
                          <w:i/>
                          <w:color w:val="000000"/>
                          <w:sz w:val="15"/>
                        </w:rPr>
                      </w:pPr>
                      <w:r>
                        <w:rPr>
                          <w:rFonts w:ascii="Arial"/>
                          <w:i/>
                          <w:color w:val="231F20"/>
                          <w:spacing w:val="-2"/>
                          <w:sz w:val="15"/>
                        </w:rPr>
                        <w:t>Neurodegeneration</w:t>
                      </w:r>
                      <w:r>
                        <w:rPr>
                          <w:rFonts w:ascii="Arial"/>
                          <w:i/>
                          <w:color w:val="231F20"/>
                          <w:sz w:val="15"/>
                        </w:rPr>
                        <w:t> </w:t>
                      </w:r>
                      <w:r>
                        <w:rPr>
                          <w:rFonts w:ascii="Arial"/>
                          <w:i/>
                          <w:color w:val="231F20"/>
                          <w:spacing w:val="-4"/>
                          <w:sz w:val="15"/>
                        </w:rPr>
                        <w:t>HSM</w:t>
                      </w:r>
                    </w:p>
                  </w:txbxContent>
                </v:textbox>
                <v:fill type="solid"/>
                <v:stroke dashstyle="solid"/>
                <w10:wrap type="none"/>
              </v:shape>
            </w:pict>
          </mc:Fallback>
        </mc:AlternateContent>
      </w:r>
      <w:r>
        <w:rPr>
          <w:rFonts w:ascii="Arial MT"/>
          <w:color w:val="231F20"/>
          <w:spacing w:val="-5"/>
          <w:sz w:val="15"/>
        </w:rPr>
        <w:t>Gal</w:t>
      </w:r>
    </w:p>
    <w:p>
      <w:pPr>
        <w:spacing w:before="9"/>
        <w:ind w:left="0" w:right="0" w:firstLine="0"/>
        <w:jc w:val="right"/>
        <w:rPr>
          <w:rFonts w:ascii="Arial"/>
          <w:b/>
          <w:sz w:val="15"/>
        </w:rPr>
      </w:pPr>
      <w:r>
        <w:rPr/>
        <w:br w:type="column"/>
      </w:r>
      <w:r>
        <w:rPr>
          <w:rFonts w:ascii="Arial"/>
          <w:b/>
          <w:color w:val="231F20"/>
          <w:spacing w:val="-2"/>
          <w:sz w:val="15"/>
        </w:rPr>
        <w:t>Ceramide</w:t>
      </w:r>
    </w:p>
    <w:p>
      <w:pPr>
        <w:spacing w:line="240" w:lineRule="auto" w:before="95"/>
        <w:rPr>
          <w:rFonts w:ascii="Arial"/>
          <w:b/>
          <w:sz w:val="15"/>
        </w:rPr>
      </w:pPr>
      <w:r>
        <w:rPr/>
        <w:br w:type="column"/>
      </w:r>
      <w:r>
        <w:rPr>
          <w:rFonts w:ascii="Arial"/>
          <w:b/>
          <w:sz w:val="15"/>
        </w:rPr>
      </w:r>
    </w:p>
    <w:p>
      <w:pPr>
        <w:spacing w:before="1"/>
        <w:ind w:left="410" w:right="0" w:firstLine="0"/>
        <w:jc w:val="left"/>
        <w:rPr>
          <w:rFonts w:ascii="Arial"/>
          <w:b/>
          <w:sz w:val="15"/>
        </w:rPr>
      </w:pPr>
      <w:r>
        <w:rPr>
          <w:rFonts w:ascii="Arial"/>
          <w:b/>
          <w:sz w:val="15"/>
        </w:rPr>
        <mc:AlternateContent>
          <mc:Choice Requires="wps">
            <w:drawing>
              <wp:anchor distT="0" distB="0" distL="0" distR="0" allowOverlap="1" layoutInCell="1" locked="0" behindDoc="0" simplePos="0" relativeHeight="15785984">
                <wp:simplePos x="0" y="0"/>
                <wp:positionH relativeFrom="page">
                  <wp:posOffset>5351181</wp:posOffset>
                </wp:positionH>
                <wp:positionV relativeFrom="paragraph">
                  <wp:posOffset>-80844</wp:posOffset>
                </wp:positionV>
                <wp:extent cx="1092200" cy="400685"/>
                <wp:effectExtent l="0" t="0" r="0" b="0"/>
                <wp:wrapNone/>
                <wp:docPr id="883" name="Textbox 883"/>
                <wp:cNvGraphicFramePr>
                  <a:graphicFrameLocks/>
                </wp:cNvGraphicFramePr>
                <a:graphic>
                  <a:graphicData uri="http://schemas.microsoft.com/office/word/2010/wordprocessingShape">
                    <wps:wsp>
                      <wps:cNvPr id="883" name="Textbox 883"/>
                      <wps:cNvSpPr txBox="1"/>
                      <wps:spPr>
                        <a:xfrm>
                          <a:off x="0" y="0"/>
                          <a:ext cx="1092200" cy="400685"/>
                        </a:xfrm>
                        <a:prstGeom prst="rect">
                          <a:avLst/>
                        </a:prstGeom>
                        <a:solidFill>
                          <a:srgbClr val="D7EDDD"/>
                        </a:solidFill>
                        <a:ln w="11849">
                          <a:solidFill>
                            <a:srgbClr val="231F20"/>
                          </a:solidFill>
                          <a:prstDash val="solid"/>
                        </a:ln>
                      </wps:spPr>
                      <wps:txbx>
                        <w:txbxContent>
                          <w:p>
                            <w:pPr>
                              <w:spacing w:line="232" w:lineRule="auto" w:before="49"/>
                              <w:ind w:left="57" w:right="56" w:firstLine="0"/>
                              <w:jc w:val="left"/>
                              <w:rPr>
                                <w:rFonts w:ascii="Arial"/>
                                <w:i/>
                                <w:color w:val="000000"/>
                                <w:sz w:val="15"/>
                              </w:rPr>
                            </w:pPr>
                            <w:r>
                              <w:rPr>
                                <w:rFonts w:ascii="Arial"/>
                                <w:i/>
                                <w:color w:val="231F20"/>
                                <w:sz w:val="15"/>
                              </w:rPr>
                              <w:t>Painful</w:t>
                            </w:r>
                            <w:r>
                              <w:rPr>
                                <w:rFonts w:ascii="Arial"/>
                                <w:i/>
                                <w:color w:val="231F20"/>
                                <w:spacing w:val="-11"/>
                                <w:sz w:val="15"/>
                              </w:rPr>
                              <w:t> </w:t>
                            </w:r>
                            <w:r>
                              <w:rPr>
                                <w:rFonts w:ascii="Arial"/>
                                <w:i/>
                                <w:color w:val="231F20"/>
                                <w:sz w:val="15"/>
                              </w:rPr>
                              <w:t>joint</w:t>
                            </w:r>
                            <w:r>
                              <w:rPr>
                                <w:rFonts w:ascii="Arial"/>
                                <w:i/>
                                <w:color w:val="231F20"/>
                                <w:spacing w:val="-10"/>
                                <w:sz w:val="15"/>
                              </w:rPr>
                              <w:t> </w:t>
                            </w:r>
                            <w:r>
                              <w:rPr>
                                <w:rFonts w:ascii="Arial"/>
                                <w:i/>
                                <w:color w:val="231F20"/>
                                <w:sz w:val="15"/>
                              </w:rPr>
                              <w:t>deformities, subcutaneous</w:t>
                            </w:r>
                            <w:r>
                              <w:rPr>
                                <w:rFonts w:ascii="Arial"/>
                                <w:i/>
                                <w:color w:val="231F20"/>
                                <w:spacing w:val="-1"/>
                                <w:sz w:val="15"/>
                              </w:rPr>
                              <w:t> </w:t>
                            </w:r>
                            <w:r>
                              <w:rPr>
                                <w:rFonts w:ascii="Arial"/>
                                <w:i/>
                                <w:color w:val="231F20"/>
                                <w:sz w:val="15"/>
                              </w:rPr>
                              <w:t>lipid nodules, hoarse cry</w:t>
                            </w:r>
                          </w:p>
                        </w:txbxContent>
                      </wps:txbx>
                      <wps:bodyPr wrap="square" lIns="0" tIns="0" rIns="0" bIns="0" rtlCol="0">
                        <a:noAutofit/>
                      </wps:bodyPr>
                    </wps:wsp>
                  </a:graphicData>
                </a:graphic>
              </wp:anchor>
            </w:drawing>
          </mc:Choice>
          <mc:Fallback>
            <w:pict>
              <v:shape style="position:absolute;margin-left:421.352875pt;margin-top:-6.365713pt;width:86pt;height:31.55pt;mso-position-horizontal-relative:page;mso-position-vertical-relative:paragraph;z-index:15785984" type="#_x0000_t202" id="docshape720" filled="true" fillcolor="#d7eddd" stroked="true" strokeweight=".933007pt" strokecolor="#231f20">
                <v:textbox inset="0,0,0,0">
                  <w:txbxContent>
                    <w:p>
                      <w:pPr>
                        <w:spacing w:line="232" w:lineRule="auto" w:before="49"/>
                        <w:ind w:left="57" w:right="56" w:firstLine="0"/>
                        <w:jc w:val="left"/>
                        <w:rPr>
                          <w:rFonts w:ascii="Arial"/>
                          <w:i/>
                          <w:color w:val="000000"/>
                          <w:sz w:val="15"/>
                        </w:rPr>
                      </w:pPr>
                      <w:r>
                        <w:rPr>
                          <w:rFonts w:ascii="Arial"/>
                          <w:i/>
                          <w:color w:val="231F20"/>
                          <w:sz w:val="15"/>
                        </w:rPr>
                        <w:t>Painful</w:t>
                      </w:r>
                      <w:r>
                        <w:rPr>
                          <w:rFonts w:ascii="Arial"/>
                          <w:i/>
                          <w:color w:val="231F20"/>
                          <w:spacing w:val="-11"/>
                          <w:sz w:val="15"/>
                        </w:rPr>
                        <w:t> </w:t>
                      </w:r>
                      <w:r>
                        <w:rPr>
                          <w:rFonts w:ascii="Arial"/>
                          <w:i/>
                          <w:color w:val="231F20"/>
                          <w:sz w:val="15"/>
                        </w:rPr>
                        <w:t>joint</w:t>
                      </w:r>
                      <w:r>
                        <w:rPr>
                          <w:rFonts w:ascii="Arial"/>
                          <w:i/>
                          <w:color w:val="231F20"/>
                          <w:spacing w:val="-10"/>
                          <w:sz w:val="15"/>
                        </w:rPr>
                        <w:t> </w:t>
                      </w:r>
                      <w:r>
                        <w:rPr>
                          <w:rFonts w:ascii="Arial"/>
                          <w:i/>
                          <w:color w:val="231F20"/>
                          <w:sz w:val="15"/>
                        </w:rPr>
                        <w:t>deformities, subcutaneous</w:t>
                      </w:r>
                      <w:r>
                        <w:rPr>
                          <w:rFonts w:ascii="Arial"/>
                          <w:i/>
                          <w:color w:val="231F20"/>
                          <w:spacing w:val="-1"/>
                          <w:sz w:val="15"/>
                        </w:rPr>
                        <w:t> </w:t>
                      </w:r>
                      <w:r>
                        <w:rPr>
                          <w:rFonts w:ascii="Arial"/>
                          <w:i/>
                          <w:color w:val="231F20"/>
                          <w:sz w:val="15"/>
                        </w:rPr>
                        <w:t>lipid nodules, hoarse cry</w:t>
                      </w:r>
                    </w:p>
                  </w:txbxContent>
                </v:textbox>
                <v:fill type="solid"/>
                <v:stroke dashstyle="solid"/>
                <w10:wrap type="none"/>
              </v:shape>
            </w:pict>
          </mc:Fallback>
        </mc:AlternateContent>
      </w:r>
      <w:r>
        <w:rPr>
          <w:rFonts w:ascii="Arial"/>
          <w:b/>
          <w:color w:val="231F20"/>
          <w:spacing w:val="-2"/>
          <w:sz w:val="15"/>
        </w:rPr>
        <w:t>Farber</w:t>
      </w:r>
      <w:r>
        <w:rPr>
          <w:rFonts w:ascii="Arial"/>
          <w:b/>
          <w:color w:val="231F20"/>
          <w:spacing w:val="1"/>
          <w:sz w:val="15"/>
        </w:rPr>
        <w:t> </w:t>
      </w:r>
      <w:r>
        <w:rPr>
          <w:rFonts w:ascii="Arial"/>
          <w:b/>
          <w:color w:val="231F20"/>
          <w:spacing w:val="-2"/>
          <w:sz w:val="15"/>
        </w:rPr>
        <w:t>disease</w:t>
      </w:r>
    </w:p>
    <w:p>
      <w:pPr>
        <w:spacing w:after="0"/>
        <w:jc w:val="left"/>
        <w:rPr>
          <w:rFonts w:ascii="Arial"/>
          <w:b/>
          <w:sz w:val="15"/>
        </w:rPr>
        <w:sectPr>
          <w:type w:val="continuous"/>
          <w:pgSz w:w="11900" w:h="16840"/>
          <w:pgMar w:header="0" w:footer="0" w:top="620" w:bottom="280" w:left="425" w:right="566"/>
          <w:cols w:num="3" w:equalWidth="0">
            <w:col w:w="3873" w:space="40"/>
            <w:col w:w="2484" w:space="39"/>
            <w:col w:w="4473"/>
          </w:cols>
        </w:sectPr>
      </w:pPr>
    </w:p>
    <w:p>
      <w:pPr>
        <w:pStyle w:val="BodyText"/>
        <w:spacing w:before="9"/>
        <w:rPr>
          <w:rFonts w:ascii="Arial"/>
          <w:b/>
          <w:sz w:val="11"/>
        </w:rPr>
      </w:pPr>
    </w:p>
    <w:p>
      <w:pPr>
        <w:pStyle w:val="BodyText"/>
        <w:spacing w:after="0"/>
        <w:rPr>
          <w:rFonts w:ascii="Arial"/>
          <w:b/>
          <w:sz w:val="11"/>
        </w:rPr>
        <w:sectPr>
          <w:type w:val="continuous"/>
          <w:pgSz w:w="11900" w:h="16840"/>
          <w:pgMar w:header="0" w:footer="0" w:top="620" w:bottom="280" w:left="425" w:right="566"/>
        </w:sectPr>
      </w:pPr>
    </w:p>
    <w:p>
      <w:pPr>
        <w:pStyle w:val="Heading7"/>
        <w:spacing w:before="156"/>
      </w:pPr>
      <w:r>
        <w:rPr>
          <w:rFonts w:ascii="Lucida Sans Unicode" w:hAnsi="Lucida Sans Unicode"/>
          <w:i w:val="0"/>
          <w:color w:val="231F20"/>
          <w:spacing w:val="-2"/>
        </w:rPr>
        <w:t>β</w:t>
      </w:r>
      <w:r>
        <w:rPr>
          <w:color w:val="231F20"/>
          <w:spacing w:val="-2"/>
        </w:rPr>
        <w:t>-Galactosidase</w:t>
      </w:r>
    </w:p>
    <w:p>
      <w:pPr>
        <w:spacing w:line="240" w:lineRule="auto" w:before="66"/>
        <w:rPr>
          <w:rFonts w:ascii="Arial"/>
          <w:i/>
          <w:sz w:val="15"/>
        </w:rPr>
      </w:pPr>
      <w:r>
        <w:rPr/>
        <w:br w:type="column"/>
      </w:r>
      <w:r>
        <w:rPr>
          <w:rFonts w:ascii="Arial"/>
          <w:i/>
          <w:sz w:val="15"/>
        </w:rPr>
      </w:r>
    </w:p>
    <w:p>
      <w:pPr>
        <w:pStyle w:val="Heading6"/>
        <w:jc w:val="right"/>
        <w:rPr>
          <w:rFonts w:ascii="Arial MT"/>
        </w:rPr>
      </w:pPr>
      <w:r>
        <w:rPr>
          <w:rFonts w:ascii="Arial MT"/>
          <w:color w:val="231F20"/>
          <w:spacing w:val="-2"/>
        </w:rPr>
        <w:t>Fatty</w:t>
      </w:r>
      <w:r>
        <w:rPr>
          <w:rFonts w:ascii="Arial MT"/>
          <w:color w:val="231F20"/>
          <w:spacing w:val="-3"/>
        </w:rPr>
        <w:t> </w:t>
      </w:r>
      <w:r>
        <w:rPr>
          <w:rFonts w:ascii="Arial MT"/>
          <w:color w:val="231F20"/>
          <w:spacing w:val="-4"/>
        </w:rPr>
        <w:t>Acid</w:t>
      </w:r>
    </w:p>
    <w:p>
      <w:pPr>
        <w:pStyle w:val="Heading7"/>
        <w:spacing w:before="74"/>
        <w:ind w:left="242"/>
        <w:jc w:val="left"/>
      </w:pPr>
      <w:r>
        <w:rPr>
          <w:i w:val="0"/>
        </w:rPr>
        <w:br w:type="column"/>
      </w:r>
      <w:r>
        <w:rPr>
          <w:color w:val="231F20"/>
          <w:spacing w:val="-2"/>
        </w:rPr>
        <w:t>Ceramidase</w:t>
      </w:r>
    </w:p>
    <w:p>
      <w:pPr>
        <w:pStyle w:val="Heading7"/>
        <w:spacing w:after="0"/>
        <w:jc w:val="left"/>
        <w:sectPr>
          <w:type w:val="continuous"/>
          <w:pgSz w:w="11900" w:h="16840"/>
          <w:pgMar w:header="0" w:footer="0" w:top="620" w:bottom="280" w:left="425" w:right="566"/>
          <w:cols w:num="3" w:equalWidth="0">
            <w:col w:w="3916" w:space="40"/>
            <w:col w:w="2417" w:space="39"/>
            <w:col w:w="4497"/>
          </w:cols>
        </w:sectPr>
      </w:pPr>
    </w:p>
    <w:p>
      <w:pPr>
        <w:pStyle w:val="BodyText"/>
        <w:rPr>
          <w:rFonts w:ascii="Arial"/>
          <w:i/>
          <w:sz w:val="15"/>
        </w:rPr>
      </w:pPr>
    </w:p>
    <w:p>
      <w:pPr>
        <w:pStyle w:val="BodyText"/>
        <w:rPr>
          <w:rFonts w:ascii="Arial"/>
          <w:i/>
          <w:sz w:val="15"/>
        </w:rPr>
      </w:pPr>
    </w:p>
    <w:p>
      <w:pPr>
        <w:pStyle w:val="BodyText"/>
        <w:rPr>
          <w:rFonts w:ascii="Arial"/>
          <w:i/>
          <w:sz w:val="15"/>
        </w:rPr>
      </w:pPr>
    </w:p>
    <w:p>
      <w:pPr>
        <w:pStyle w:val="BodyText"/>
        <w:rPr>
          <w:rFonts w:ascii="Arial"/>
          <w:i/>
          <w:sz w:val="15"/>
        </w:rPr>
      </w:pPr>
    </w:p>
    <w:p>
      <w:pPr>
        <w:pStyle w:val="BodyText"/>
        <w:rPr>
          <w:rFonts w:ascii="Arial"/>
          <w:i/>
          <w:sz w:val="15"/>
        </w:rPr>
      </w:pPr>
    </w:p>
    <w:p>
      <w:pPr>
        <w:pStyle w:val="BodyText"/>
        <w:spacing w:before="34"/>
        <w:rPr>
          <w:rFonts w:ascii="Arial"/>
          <w:i/>
          <w:sz w:val="15"/>
        </w:rPr>
      </w:pPr>
    </w:p>
    <w:p>
      <w:pPr>
        <w:spacing w:before="0"/>
        <w:ind w:left="0" w:right="0" w:firstLine="0"/>
        <w:jc w:val="right"/>
        <w:rPr>
          <w:rFonts w:ascii="Arial MT"/>
          <w:sz w:val="15"/>
        </w:rPr>
      </w:pPr>
      <w:r>
        <w:rPr>
          <w:rFonts w:ascii="Arial MT"/>
          <w:sz w:val="15"/>
        </w:rPr>
        <mc:AlternateContent>
          <mc:Choice Requires="wps">
            <w:drawing>
              <wp:anchor distT="0" distB="0" distL="0" distR="0" allowOverlap="1" layoutInCell="1" locked="0" behindDoc="1" simplePos="0" relativeHeight="475207680">
                <wp:simplePos x="0" y="0"/>
                <wp:positionH relativeFrom="page">
                  <wp:posOffset>1897002</wp:posOffset>
                </wp:positionH>
                <wp:positionV relativeFrom="paragraph">
                  <wp:posOffset>-47809</wp:posOffset>
                </wp:positionV>
                <wp:extent cx="929640" cy="878205"/>
                <wp:effectExtent l="0" t="0" r="0" b="0"/>
                <wp:wrapNone/>
                <wp:docPr id="884" name="Group 884"/>
                <wp:cNvGraphicFramePr>
                  <a:graphicFrameLocks/>
                </wp:cNvGraphicFramePr>
                <a:graphic>
                  <a:graphicData uri="http://schemas.microsoft.com/office/word/2010/wordprocessingGroup">
                    <wpg:wgp>
                      <wpg:cNvPr id="884" name="Group 884"/>
                      <wpg:cNvGrpSpPr/>
                      <wpg:grpSpPr>
                        <a:xfrm>
                          <a:off x="0" y="0"/>
                          <a:ext cx="929640" cy="878205"/>
                          <a:chExt cx="929640" cy="878205"/>
                        </a:xfrm>
                      </wpg:grpSpPr>
                      <wps:wsp>
                        <wps:cNvPr id="885" name="Graphic 885"/>
                        <wps:cNvSpPr/>
                        <wps:spPr>
                          <a:xfrm>
                            <a:off x="383273" y="697099"/>
                            <a:ext cx="546735" cy="1270"/>
                          </a:xfrm>
                          <a:custGeom>
                            <a:avLst/>
                            <a:gdLst/>
                            <a:ahLst/>
                            <a:cxnLst/>
                            <a:rect l="l" t="t" r="r" b="b"/>
                            <a:pathLst>
                              <a:path w="546735" h="0">
                                <a:moveTo>
                                  <a:pt x="546199"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886" name="Graphic 886"/>
                        <wps:cNvSpPr/>
                        <wps:spPr>
                          <a:xfrm>
                            <a:off x="316349" y="658567"/>
                            <a:ext cx="94615" cy="77470"/>
                          </a:xfrm>
                          <a:custGeom>
                            <a:avLst/>
                            <a:gdLst/>
                            <a:ahLst/>
                            <a:cxnLst/>
                            <a:rect l="l" t="t" r="r" b="b"/>
                            <a:pathLst>
                              <a:path w="94615" h="77470">
                                <a:moveTo>
                                  <a:pt x="94310" y="0"/>
                                </a:moveTo>
                                <a:lnTo>
                                  <a:pt x="0" y="38531"/>
                                </a:lnTo>
                                <a:lnTo>
                                  <a:pt x="94310" y="77050"/>
                                </a:lnTo>
                                <a:lnTo>
                                  <a:pt x="71932" y="38531"/>
                                </a:lnTo>
                                <a:lnTo>
                                  <a:pt x="94310" y="0"/>
                                </a:lnTo>
                                <a:close/>
                              </a:path>
                            </a:pathLst>
                          </a:custGeom>
                          <a:solidFill>
                            <a:srgbClr val="231F20"/>
                          </a:solidFill>
                        </wps:spPr>
                        <wps:bodyPr wrap="square" lIns="0" tIns="0" rIns="0" bIns="0" rtlCol="0">
                          <a:prstTxWarp prst="textNoShape">
                            <a:avLst/>
                          </a:prstTxWarp>
                          <a:noAutofit/>
                        </wps:bodyPr>
                      </wps:wsp>
                      <wps:wsp>
                        <wps:cNvPr id="887" name="Graphic 887"/>
                        <wps:cNvSpPr/>
                        <wps:spPr>
                          <a:xfrm>
                            <a:off x="5924" y="55619"/>
                            <a:ext cx="547370" cy="816610"/>
                          </a:xfrm>
                          <a:custGeom>
                            <a:avLst/>
                            <a:gdLst/>
                            <a:ahLst/>
                            <a:cxnLst/>
                            <a:rect l="l" t="t" r="r" b="b"/>
                            <a:pathLst>
                              <a:path w="547370" h="816610">
                                <a:moveTo>
                                  <a:pt x="0" y="816527"/>
                                </a:moveTo>
                                <a:lnTo>
                                  <a:pt x="546816" y="0"/>
                                </a:lnTo>
                              </a:path>
                            </a:pathLst>
                          </a:custGeom>
                          <a:ln w="11849">
                            <a:solidFill>
                              <a:srgbClr val="2E3092"/>
                            </a:solidFill>
                            <a:prstDash val="solid"/>
                          </a:ln>
                        </wps:spPr>
                        <wps:bodyPr wrap="square" lIns="0" tIns="0" rIns="0" bIns="0" rtlCol="0">
                          <a:prstTxWarp prst="textNoShape">
                            <a:avLst/>
                          </a:prstTxWarp>
                          <a:noAutofit/>
                        </wps:bodyPr>
                      </wps:wsp>
                      <wps:wsp>
                        <wps:cNvPr id="888" name="Graphic 888"/>
                        <wps:cNvSpPr/>
                        <wps:spPr>
                          <a:xfrm>
                            <a:off x="505489" y="0"/>
                            <a:ext cx="85090" cy="100330"/>
                          </a:xfrm>
                          <a:custGeom>
                            <a:avLst/>
                            <a:gdLst/>
                            <a:ahLst/>
                            <a:cxnLst/>
                            <a:rect l="l" t="t" r="r" b="b"/>
                            <a:pathLst>
                              <a:path w="85090" h="100330">
                                <a:moveTo>
                                  <a:pt x="84493" y="0"/>
                                </a:moveTo>
                                <a:lnTo>
                                  <a:pt x="0" y="56934"/>
                                </a:lnTo>
                                <a:lnTo>
                                  <a:pt x="44450" y="59778"/>
                                </a:lnTo>
                                <a:lnTo>
                                  <a:pt x="64020" y="99822"/>
                                </a:lnTo>
                                <a:lnTo>
                                  <a:pt x="84493" y="0"/>
                                </a:lnTo>
                                <a:close/>
                              </a:path>
                            </a:pathLst>
                          </a:custGeom>
                          <a:solidFill>
                            <a:srgbClr val="2E3092"/>
                          </a:solidFill>
                        </wps:spPr>
                        <wps:bodyPr wrap="square" lIns="0" tIns="0" rIns="0" bIns="0" rtlCol="0">
                          <a:prstTxWarp prst="textNoShape">
                            <a:avLst/>
                          </a:prstTxWarp>
                          <a:noAutofit/>
                        </wps:bodyPr>
                      </wps:wsp>
                      <wps:wsp>
                        <wps:cNvPr id="889" name="Graphic 889"/>
                        <wps:cNvSpPr/>
                        <wps:spPr>
                          <a:xfrm>
                            <a:off x="130340" y="250065"/>
                            <a:ext cx="114935" cy="307340"/>
                          </a:xfrm>
                          <a:custGeom>
                            <a:avLst/>
                            <a:gdLst/>
                            <a:ahLst/>
                            <a:cxnLst/>
                            <a:rect l="l" t="t" r="r" b="b"/>
                            <a:pathLst>
                              <a:path w="114935" h="307340">
                                <a:moveTo>
                                  <a:pt x="86676" y="306870"/>
                                </a:moveTo>
                                <a:lnTo>
                                  <a:pt x="99794" y="288498"/>
                                </a:lnTo>
                                <a:lnTo>
                                  <a:pt x="114433" y="232306"/>
                                </a:lnTo>
                                <a:lnTo>
                                  <a:pt x="93525" y="136678"/>
                                </a:lnTo>
                                <a:lnTo>
                                  <a:pt x="0" y="0"/>
                                </a:lnTo>
                              </a:path>
                            </a:pathLst>
                          </a:custGeom>
                          <a:ln w="11849">
                            <a:solidFill>
                              <a:srgbClr val="2E3092"/>
                            </a:solidFill>
                            <a:prstDash val="solid"/>
                          </a:ln>
                        </wps:spPr>
                        <wps:bodyPr wrap="square" lIns="0" tIns="0" rIns="0" bIns="0" rtlCol="0">
                          <a:prstTxWarp prst="textNoShape">
                            <a:avLst/>
                          </a:prstTxWarp>
                          <a:noAutofit/>
                        </wps:bodyPr>
                      </wps:wsp>
                      <wps:wsp>
                        <wps:cNvPr id="890" name="Graphic 890"/>
                        <wps:cNvSpPr/>
                        <wps:spPr>
                          <a:xfrm>
                            <a:off x="85539" y="200357"/>
                            <a:ext cx="92075" cy="95885"/>
                          </a:xfrm>
                          <a:custGeom>
                            <a:avLst/>
                            <a:gdLst/>
                            <a:ahLst/>
                            <a:cxnLst/>
                            <a:rect l="l" t="t" r="r" b="b"/>
                            <a:pathLst>
                              <a:path w="92075" h="95885">
                                <a:moveTo>
                                  <a:pt x="0" y="0"/>
                                </a:moveTo>
                                <a:lnTo>
                                  <a:pt x="34531" y="95846"/>
                                </a:lnTo>
                                <a:lnTo>
                                  <a:pt x="48158" y="53416"/>
                                </a:lnTo>
                                <a:lnTo>
                                  <a:pt x="91770" y="44259"/>
                                </a:lnTo>
                                <a:lnTo>
                                  <a:pt x="0" y="0"/>
                                </a:lnTo>
                                <a:close/>
                              </a:path>
                            </a:pathLst>
                          </a:custGeom>
                          <a:solidFill>
                            <a:srgbClr val="2E3092"/>
                          </a:solidFill>
                        </wps:spPr>
                        <wps:bodyPr wrap="square" lIns="0" tIns="0" rIns="0" bIns="0" rtlCol="0">
                          <a:prstTxWarp prst="textNoShape">
                            <a:avLst/>
                          </a:prstTxWarp>
                          <a:noAutofit/>
                        </wps:bodyPr>
                      </wps:wsp>
                      <wps:wsp>
                        <wps:cNvPr id="891" name="Graphic 891"/>
                        <wps:cNvSpPr/>
                        <wps:spPr>
                          <a:xfrm>
                            <a:off x="34616" y="462306"/>
                            <a:ext cx="306705" cy="250190"/>
                          </a:xfrm>
                          <a:custGeom>
                            <a:avLst/>
                            <a:gdLst/>
                            <a:ahLst/>
                            <a:cxnLst/>
                            <a:rect l="l" t="t" r="r" b="b"/>
                            <a:pathLst>
                              <a:path w="306705" h="250190">
                                <a:moveTo>
                                  <a:pt x="43662" y="0"/>
                                </a:moveTo>
                                <a:lnTo>
                                  <a:pt x="0" y="60578"/>
                                </a:lnTo>
                                <a:lnTo>
                                  <a:pt x="262750" y="249936"/>
                                </a:lnTo>
                                <a:lnTo>
                                  <a:pt x="306412" y="189356"/>
                                </a:lnTo>
                                <a:lnTo>
                                  <a:pt x="43662" y="0"/>
                                </a:lnTo>
                                <a:close/>
                              </a:path>
                            </a:pathLst>
                          </a:custGeom>
                          <a:solidFill>
                            <a:srgbClr val="B23756"/>
                          </a:solidFill>
                        </wps:spPr>
                        <wps:bodyPr wrap="square" lIns="0" tIns="0" rIns="0" bIns="0" rtlCol="0">
                          <a:prstTxWarp prst="textNoShape">
                            <a:avLst/>
                          </a:prstTxWarp>
                          <a:noAutofit/>
                        </wps:bodyPr>
                      </wps:wsp>
                    </wpg:wgp>
                  </a:graphicData>
                </a:graphic>
              </wp:anchor>
            </w:drawing>
          </mc:Choice>
          <mc:Fallback>
            <w:pict>
              <v:group style="position:absolute;margin-left:149.370300pt;margin-top:-3.764493pt;width:73.2pt;height:69.150pt;mso-position-horizontal-relative:page;mso-position-vertical-relative:paragraph;z-index:-28108800" id="docshapegroup721" coordorigin="2987,-75" coordsize="1464,1383">
                <v:line style="position:absolute" from="4451,1023" to="3591,1023" stroked="true" strokeweight=".933007pt" strokecolor="#231f20">
                  <v:stroke dashstyle="solid"/>
                </v:line>
                <v:shape style="position:absolute;left:3485;top:961;width:149;height:122" id="docshape722" coordorigin="3486,962" coordsize="149,122" path="m3634,962l3486,1023,3634,1083,3599,1023,3634,962xe" filled="true" fillcolor="#231f20" stroked="false">
                  <v:path arrowok="t"/>
                  <v:fill type="solid"/>
                </v:shape>
                <v:line style="position:absolute" from="2997,1298" to="3858,12" stroked="true" strokeweight=".933007pt" strokecolor="#2e3092">
                  <v:stroke dashstyle="solid"/>
                </v:line>
                <v:shape style="position:absolute;left:3783;top:-76;width:134;height:158" id="docshape723" coordorigin="3783,-75" coordsize="134,158" path="m3917,-75l3783,14,3853,19,3884,82,3917,-75xe" filled="true" fillcolor="#2e3092" stroked="false">
                  <v:path arrowok="t"/>
                  <v:fill type="solid"/>
                </v:shape>
                <v:shape style="position:absolute;left:3192;top:318;width:181;height:484" id="docshape724" coordorigin="3193,319" coordsize="181,484" path="m3329,802l3350,773,3373,684,3340,534,3193,319e" filled="false" stroked="true" strokeweight=".933007pt" strokecolor="#2e3092">
                  <v:path arrowok="t"/>
                  <v:stroke dashstyle="solid"/>
                </v:shape>
                <v:shape style="position:absolute;left:3122;top:240;width:145;height:151" id="docshape725" coordorigin="3122,240" coordsize="145,151" path="m3122,240l3176,391,3198,324,3267,310,3122,240xe" filled="true" fillcolor="#2e3092" stroked="false">
                  <v:path arrowok="t"/>
                  <v:fill type="solid"/>
                </v:shape>
                <v:shape style="position:absolute;left:3041;top:652;width:483;height:394" id="docshape726" coordorigin="3042,653" coordsize="483,394" path="m3111,653l3042,748,3456,1046,3524,951,3111,653xe" filled="true" fillcolor="#b23756" stroked="false">
                  <v:path arrowok="t"/>
                  <v:fill type="solid"/>
                </v:shape>
                <w10:wrap type="none"/>
              </v:group>
            </w:pict>
          </mc:Fallback>
        </mc:AlternateContent>
      </w:r>
      <w:r>
        <w:rPr>
          <w:rFonts w:ascii="Arial MT"/>
          <w:color w:val="231F20"/>
          <w:spacing w:val="-4"/>
          <w:sz w:val="15"/>
        </w:rPr>
        <w:t>SO</w:t>
      </w:r>
      <w:r>
        <w:rPr>
          <w:rFonts w:ascii="Arial MT"/>
          <w:color w:val="231F20"/>
          <w:spacing w:val="-4"/>
          <w:position w:val="-3"/>
          <w:sz w:val="11"/>
        </w:rPr>
        <w:t>3</w:t>
      </w:r>
      <w:r>
        <w:rPr>
          <w:rFonts w:ascii="Arial MT"/>
          <w:color w:val="231F20"/>
          <w:spacing w:val="-4"/>
          <w:sz w:val="15"/>
        </w:rPr>
        <w:t>H</w:t>
      </w:r>
    </w:p>
    <w:p>
      <w:pPr>
        <w:spacing w:line="240" w:lineRule="auto" w:before="0"/>
        <w:rPr>
          <w:rFonts w:ascii="Arial MT"/>
          <w:sz w:val="15"/>
        </w:rPr>
      </w:pPr>
      <w:r>
        <w:rPr/>
        <w:br w:type="column"/>
      </w:r>
      <w:r>
        <w:rPr>
          <w:rFonts w:ascii="Arial MT"/>
          <w:sz w:val="15"/>
        </w:rPr>
      </w:r>
    </w:p>
    <w:p>
      <w:pPr>
        <w:pStyle w:val="BodyText"/>
        <w:rPr>
          <w:rFonts w:ascii="Arial MT"/>
          <w:sz w:val="15"/>
        </w:rPr>
      </w:pPr>
    </w:p>
    <w:p>
      <w:pPr>
        <w:pStyle w:val="BodyText"/>
        <w:rPr>
          <w:rFonts w:ascii="Arial MT"/>
          <w:sz w:val="15"/>
        </w:rPr>
      </w:pPr>
    </w:p>
    <w:p>
      <w:pPr>
        <w:pStyle w:val="BodyText"/>
        <w:spacing w:before="82"/>
        <w:rPr>
          <w:rFonts w:ascii="Arial MT"/>
          <w:sz w:val="15"/>
        </w:rPr>
      </w:pPr>
    </w:p>
    <w:p>
      <w:pPr>
        <w:spacing w:before="1"/>
        <w:ind w:left="325" w:right="0" w:firstLine="0"/>
        <w:jc w:val="left"/>
        <w:rPr>
          <w:rFonts w:ascii="Arial"/>
          <w:b/>
          <w:sz w:val="15"/>
        </w:rPr>
      </w:pPr>
      <w:r>
        <w:rPr>
          <w:rFonts w:ascii="Arial"/>
          <w:b/>
          <w:color w:val="231F20"/>
          <w:spacing w:val="-2"/>
          <w:sz w:val="15"/>
        </w:rPr>
        <w:t>Gal-Ceramide</w:t>
      </w:r>
    </w:p>
    <w:p>
      <w:pPr>
        <w:spacing w:line="240" w:lineRule="auto" w:before="170"/>
        <w:rPr>
          <w:rFonts w:ascii="Arial"/>
          <w:b/>
          <w:sz w:val="15"/>
        </w:rPr>
      </w:pPr>
      <w:r>
        <w:rPr/>
        <w:br w:type="column"/>
      </w:r>
      <w:r>
        <w:rPr>
          <w:rFonts w:ascii="Arial"/>
          <w:b/>
          <w:sz w:val="15"/>
        </w:rPr>
      </w:r>
    </w:p>
    <w:p>
      <w:pPr>
        <w:spacing w:before="0"/>
        <w:ind w:left="286" w:right="0" w:firstLine="0"/>
        <w:jc w:val="left"/>
        <w:rPr>
          <w:rFonts w:ascii="Arial"/>
          <w:b/>
          <w:sz w:val="15"/>
        </w:rPr>
      </w:pPr>
      <w:r>
        <w:rPr>
          <w:rFonts w:ascii="Arial"/>
          <w:b/>
          <w:color w:val="231F20"/>
          <w:spacing w:val="-2"/>
          <w:sz w:val="15"/>
        </w:rPr>
        <w:t>Krabbe</w:t>
      </w:r>
    </w:p>
    <w:p>
      <w:pPr>
        <w:spacing w:before="65"/>
        <w:ind w:left="1298" w:right="0" w:firstLine="0"/>
        <w:jc w:val="left"/>
        <w:rPr>
          <w:rFonts w:ascii="Arial"/>
          <w:b/>
          <w:sz w:val="15"/>
        </w:rPr>
      </w:pPr>
      <w:r>
        <w:rPr/>
        <w:br w:type="column"/>
      </w:r>
      <w:r>
        <w:rPr>
          <w:rFonts w:ascii="Arial"/>
          <w:b/>
          <w:color w:val="231F20"/>
          <w:spacing w:val="-2"/>
          <w:sz w:val="15"/>
        </w:rPr>
        <w:t>Sphingosine</w:t>
      </w:r>
    </w:p>
    <w:p>
      <w:pPr>
        <w:spacing w:line="232" w:lineRule="auto" w:before="119"/>
        <w:ind w:left="127" w:right="3818" w:firstLine="0"/>
        <w:jc w:val="left"/>
        <w:rPr>
          <w:rFonts w:ascii="Arial"/>
          <w:i/>
          <w:sz w:val="15"/>
        </w:rPr>
      </w:pPr>
      <w:r>
        <w:rPr>
          <w:rFonts w:ascii="Arial"/>
          <w:i/>
          <w:color w:val="231F20"/>
          <w:sz w:val="15"/>
        </w:rPr>
        <w:t>Spasticity,</w:t>
      </w:r>
      <w:r>
        <w:rPr>
          <w:rFonts w:ascii="Arial"/>
          <w:i/>
          <w:color w:val="231F20"/>
          <w:spacing w:val="-1"/>
          <w:sz w:val="15"/>
        </w:rPr>
        <w:t> </w:t>
      </w:r>
      <w:r>
        <w:rPr>
          <w:rFonts w:ascii="Arial"/>
          <w:i/>
          <w:color w:val="231F20"/>
          <w:sz w:val="15"/>
        </w:rPr>
        <w:t>irritability, blindness,</w:t>
      </w:r>
      <w:r>
        <w:rPr>
          <w:rFonts w:ascii="Arial"/>
          <w:i/>
          <w:color w:val="231F20"/>
          <w:spacing w:val="-11"/>
          <w:sz w:val="15"/>
        </w:rPr>
        <w:t> </w:t>
      </w:r>
      <w:r>
        <w:rPr>
          <w:rFonts w:ascii="Arial"/>
          <w:i/>
          <w:color w:val="231F20"/>
          <w:sz w:val="15"/>
        </w:rPr>
        <w:t>failure</w:t>
      </w:r>
      <w:r>
        <w:rPr>
          <w:rFonts w:ascii="Arial"/>
          <w:i/>
          <w:color w:val="231F20"/>
          <w:spacing w:val="-10"/>
          <w:sz w:val="15"/>
        </w:rPr>
        <w:t> </w:t>
      </w:r>
      <w:r>
        <w:rPr>
          <w:rFonts w:ascii="Arial"/>
          <w:i/>
          <w:color w:val="231F20"/>
          <w:sz w:val="15"/>
        </w:rPr>
        <w:t>to</w:t>
      </w:r>
      <w:r>
        <w:rPr>
          <w:rFonts w:ascii="Arial"/>
          <w:i/>
          <w:color w:val="231F20"/>
          <w:spacing w:val="-11"/>
          <w:sz w:val="15"/>
        </w:rPr>
        <w:t> </w:t>
      </w:r>
      <w:r>
        <w:rPr>
          <w:rFonts w:ascii="Arial"/>
          <w:i/>
          <w:color w:val="231F20"/>
          <w:sz w:val="15"/>
        </w:rPr>
        <w:t>thrive</w:t>
      </w:r>
    </w:p>
    <w:p>
      <w:pPr>
        <w:spacing w:after="0" w:line="232" w:lineRule="auto"/>
        <w:jc w:val="left"/>
        <w:rPr>
          <w:rFonts w:ascii="Arial"/>
          <w:i/>
          <w:sz w:val="15"/>
        </w:rPr>
        <w:sectPr>
          <w:type w:val="continuous"/>
          <w:pgSz w:w="11900" w:h="16840"/>
          <w:pgMar w:header="0" w:footer="0" w:top="620" w:bottom="280" w:left="425" w:right="566"/>
          <w:cols w:num="4" w:equalWidth="0">
            <w:col w:w="2735" w:space="40"/>
            <w:col w:w="1296" w:space="39"/>
            <w:col w:w="801" w:space="39"/>
            <w:col w:w="5959"/>
          </w:cols>
        </w:sectPr>
      </w:pPr>
    </w:p>
    <w:p>
      <w:pPr>
        <w:pStyle w:val="BodyText"/>
        <w:spacing w:before="28"/>
        <w:rPr>
          <w:rFonts w:ascii="Arial"/>
          <w:i/>
          <w:sz w:val="15"/>
        </w:rPr>
      </w:pPr>
    </w:p>
    <w:p>
      <w:pPr>
        <w:spacing w:before="0"/>
        <w:ind w:left="1721" w:right="0" w:firstLine="0"/>
        <w:jc w:val="left"/>
        <w:rPr>
          <w:rFonts w:ascii="Arial"/>
          <w:i/>
          <w:sz w:val="15"/>
        </w:rPr>
      </w:pPr>
      <w:r>
        <w:rPr>
          <w:rFonts w:ascii="Arial"/>
          <w:i/>
          <w:color w:val="231F20"/>
          <w:spacing w:val="-2"/>
          <w:sz w:val="15"/>
        </w:rPr>
        <w:t>Arylsulfatase</w:t>
      </w:r>
      <w:r>
        <w:rPr>
          <w:rFonts w:ascii="Arial"/>
          <w:i/>
          <w:color w:val="231F20"/>
          <w:spacing w:val="4"/>
          <w:sz w:val="15"/>
        </w:rPr>
        <w:t> </w:t>
      </w:r>
      <w:r>
        <w:rPr>
          <w:rFonts w:ascii="Arial"/>
          <w:i/>
          <w:color w:val="231F20"/>
          <w:spacing w:val="-10"/>
          <w:sz w:val="15"/>
        </w:rPr>
        <w:t>A</w:t>
      </w:r>
    </w:p>
    <w:p>
      <w:pPr>
        <w:pStyle w:val="BodyText"/>
        <w:spacing w:before="86"/>
        <w:rPr>
          <w:rFonts w:ascii="Arial"/>
          <w:i/>
          <w:sz w:val="15"/>
        </w:rPr>
      </w:pPr>
    </w:p>
    <w:p>
      <w:pPr>
        <w:spacing w:before="0"/>
        <w:ind w:left="3472" w:right="0" w:firstLine="0"/>
        <w:jc w:val="left"/>
        <w:rPr>
          <w:rFonts w:ascii="Arial"/>
          <w:b/>
          <w:sz w:val="15"/>
        </w:rPr>
      </w:pPr>
      <w:r>
        <w:rPr>
          <w:rFonts w:ascii="Arial"/>
          <w:b/>
          <w:sz w:val="15"/>
        </w:rPr>
        <mc:AlternateContent>
          <mc:Choice Requires="wps">
            <w:drawing>
              <wp:anchor distT="0" distB="0" distL="0" distR="0" allowOverlap="1" layoutInCell="1" locked="0" behindDoc="0" simplePos="0" relativeHeight="15785472">
                <wp:simplePos x="0" y="0"/>
                <wp:positionH relativeFrom="page">
                  <wp:posOffset>2826475</wp:posOffset>
                </wp:positionH>
                <wp:positionV relativeFrom="paragraph">
                  <wp:posOffset>-21394</wp:posOffset>
                </wp:positionV>
                <wp:extent cx="939165" cy="280670"/>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939165" cy="280670"/>
                        </a:xfrm>
                        <a:prstGeom prst="rect">
                          <a:avLst/>
                        </a:prstGeom>
                        <a:solidFill>
                          <a:srgbClr val="D7EDDD"/>
                        </a:solidFill>
                        <a:ln w="11849">
                          <a:solidFill>
                            <a:srgbClr val="231F20"/>
                          </a:solidFill>
                          <a:prstDash val="solid"/>
                        </a:ln>
                      </wps:spPr>
                      <wps:txbx>
                        <w:txbxContent>
                          <w:p>
                            <w:pPr>
                              <w:spacing w:line="232" w:lineRule="auto" w:before="38"/>
                              <w:ind w:left="25" w:right="54" w:firstLine="0"/>
                              <w:jc w:val="left"/>
                              <w:rPr>
                                <w:rFonts w:ascii="Arial"/>
                                <w:i/>
                                <w:color w:val="000000"/>
                                <w:sz w:val="15"/>
                              </w:rPr>
                            </w:pPr>
                            <w:r>
                              <w:rPr>
                                <w:rFonts w:ascii="Arial"/>
                                <w:i/>
                                <w:color w:val="231F20"/>
                                <w:spacing w:val="-2"/>
                                <w:sz w:val="15"/>
                              </w:rPr>
                              <w:t>Spasticity,</w:t>
                            </w:r>
                            <w:r>
                              <w:rPr>
                                <w:rFonts w:ascii="Arial"/>
                                <w:i/>
                                <w:color w:val="231F20"/>
                                <w:spacing w:val="-3"/>
                                <w:sz w:val="15"/>
                              </w:rPr>
                              <w:t> </w:t>
                            </w:r>
                            <w:r>
                              <w:rPr>
                                <w:rFonts w:ascii="Arial"/>
                                <w:i/>
                                <w:color w:val="231F20"/>
                                <w:spacing w:val="-2"/>
                                <w:sz w:val="15"/>
                              </w:rPr>
                              <w:t>dementia,</w:t>
                            </w:r>
                            <w:r>
                              <w:rPr>
                                <w:rFonts w:ascii="Arial"/>
                                <w:i/>
                                <w:color w:val="231F20"/>
                                <w:sz w:val="15"/>
                              </w:rPr>
                              <w:t> </w:t>
                            </w:r>
                            <w:r>
                              <w:rPr>
                                <w:rFonts w:ascii="Arial"/>
                                <w:i/>
                                <w:color w:val="231F20"/>
                                <w:spacing w:val="-2"/>
                                <w:sz w:val="15"/>
                              </w:rPr>
                              <w:t>areflexia</w:t>
                            </w:r>
                          </w:p>
                        </w:txbxContent>
                      </wps:txbx>
                      <wps:bodyPr wrap="square" lIns="0" tIns="0" rIns="0" bIns="0" rtlCol="0">
                        <a:noAutofit/>
                      </wps:bodyPr>
                    </wps:wsp>
                  </a:graphicData>
                </a:graphic>
              </wp:anchor>
            </w:drawing>
          </mc:Choice>
          <mc:Fallback>
            <w:pict>
              <v:shape style="position:absolute;margin-left:222.557159pt;margin-top:-1.684604pt;width:73.95pt;height:22.1pt;mso-position-horizontal-relative:page;mso-position-vertical-relative:paragraph;z-index:15785472" type="#_x0000_t202" id="docshape727" filled="true" fillcolor="#d7eddd" stroked="true" strokeweight=".933007pt" strokecolor="#231f20">
                <v:textbox inset="0,0,0,0">
                  <w:txbxContent>
                    <w:p>
                      <w:pPr>
                        <w:spacing w:line="232" w:lineRule="auto" w:before="38"/>
                        <w:ind w:left="25" w:right="54" w:firstLine="0"/>
                        <w:jc w:val="left"/>
                        <w:rPr>
                          <w:rFonts w:ascii="Arial"/>
                          <w:i/>
                          <w:color w:val="000000"/>
                          <w:sz w:val="15"/>
                        </w:rPr>
                      </w:pPr>
                      <w:r>
                        <w:rPr>
                          <w:rFonts w:ascii="Arial"/>
                          <w:i/>
                          <w:color w:val="231F20"/>
                          <w:spacing w:val="-2"/>
                          <w:sz w:val="15"/>
                        </w:rPr>
                        <w:t>Spasticity,</w:t>
                      </w:r>
                      <w:r>
                        <w:rPr>
                          <w:rFonts w:ascii="Arial"/>
                          <w:i/>
                          <w:color w:val="231F20"/>
                          <w:spacing w:val="-3"/>
                          <w:sz w:val="15"/>
                        </w:rPr>
                        <w:t> </w:t>
                      </w:r>
                      <w:r>
                        <w:rPr>
                          <w:rFonts w:ascii="Arial"/>
                          <w:i/>
                          <w:color w:val="231F20"/>
                          <w:spacing w:val="-2"/>
                          <w:sz w:val="15"/>
                        </w:rPr>
                        <w:t>dementia,</w:t>
                      </w:r>
                      <w:r>
                        <w:rPr>
                          <w:rFonts w:ascii="Arial"/>
                          <w:i/>
                          <w:color w:val="231F20"/>
                          <w:sz w:val="15"/>
                        </w:rPr>
                        <w:t> </w:t>
                      </w:r>
                      <w:r>
                        <w:rPr>
                          <w:rFonts w:ascii="Arial"/>
                          <w:i/>
                          <w:color w:val="231F20"/>
                          <w:spacing w:val="-2"/>
                          <w:sz w:val="15"/>
                        </w:rPr>
                        <w:t>areflexia</w:t>
                      </w:r>
                    </w:p>
                  </w:txbxContent>
                </v:textbox>
                <v:fill type="solid"/>
                <v:stroke dashstyle="solid"/>
                <w10:wrap type="none"/>
              </v:shape>
            </w:pict>
          </mc:Fallback>
        </mc:AlternateContent>
      </w:r>
      <w:r>
        <w:rPr>
          <w:rFonts w:ascii="Arial"/>
          <w:b/>
          <w:color w:val="231F20"/>
          <w:spacing w:val="-5"/>
          <w:sz w:val="15"/>
        </w:rPr>
        <w:t>MLD</w:t>
      </w:r>
    </w:p>
    <w:p>
      <w:pPr>
        <w:pStyle w:val="BodyText"/>
        <w:spacing w:before="118"/>
        <w:rPr>
          <w:rFonts w:ascii="Arial"/>
          <w:b/>
          <w:sz w:val="15"/>
        </w:rPr>
      </w:pPr>
    </w:p>
    <w:p>
      <w:pPr>
        <w:spacing w:before="1"/>
        <w:ind w:left="1797" w:right="0" w:firstLine="0"/>
        <w:jc w:val="left"/>
        <w:rPr>
          <w:rFonts w:ascii="Arial"/>
          <w:b/>
          <w:sz w:val="15"/>
        </w:rPr>
      </w:pPr>
      <w:r>
        <w:rPr>
          <w:rFonts w:ascii="Arial"/>
          <w:b/>
          <w:color w:val="231F20"/>
          <w:spacing w:val="-2"/>
          <w:sz w:val="15"/>
        </w:rPr>
        <w:t>SO</w:t>
      </w:r>
      <w:r>
        <w:rPr>
          <w:rFonts w:ascii="Arial"/>
          <w:b/>
          <w:color w:val="231F20"/>
          <w:spacing w:val="-2"/>
          <w:sz w:val="15"/>
          <w:vertAlign w:val="subscript"/>
        </w:rPr>
        <w:t>3</w:t>
      </w:r>
      <w:r>
        <w:rPr>
          <w:rFonts w:ascii="Arial"/>
          <w:b/>
          <w:color w:val="231F20"/>
          <w:spacing w:val="-2"/>
          <w:sz w:val="15"/>
          <w:vertAlign w:val="baseline"/>
        </w:rPr>
        <w:t>H-Gal-Ceramide</w:t>
      </w:r>
    </w:p>
    <w:p>
      <w:pPr>
        <w:pStyle w:val="Heading6"/>
        <w:spacing w:line="230" w:lineRule="auto" w:before="120"/>
        <w:ind w:left="486" w:right="679"/>
        <w:jc w:val="both"/>
      </w:pPr>
      <w:r>
        <w:rPr>
          <w:b/>
          <w:color w:val="4A0C62"/>
          <w:sz w:val="16"/>
        </w:rPr>
        <w:t>Figure 599-1 </w:t>
      </w:r>
      <w:r>
        <w:rPr>
          <w:color w:val="231F20"/>
        </w:rPr>
        <w:t>Sphingolipid degradation pathway showing the sites of enzyme deficiencies and their associated disorders. Sphingolipids </w:t>
      </w:r>
      <w:r>
        <w:rPr>
          <w:color w:val="231F20"/>
        </w:rPr>
        <w:t>are composed</w:t>
      </w:r>
      <w:r>
        <w:rPr>
          <w:color w:val="231F20"/>
          <w:spacing w:val="-8"/>
        </w:rPr>
        <w:t> </w:t>
      </w:r>
      <w:r>
        <w:rPr>
          <w:color w:val="231F20"/>
        </w:rPr>
        <w:t>of</w:t>
      </w:r>
      <w:r>
        <w:rPr>
          <w:color w:val="231F20"/>
          <w:spacing w:val="-8"/>
        </w:rPr>
        <w:t> </w:t>
      </w:r>
      <w:r>
        <w:rPr>
          <w:color w:val="231F20"/>
        </w:rPr>
        <w:t>a</w:t>
      </w:r>
      <w:r>
        <w:rPr>
          <w:color w:val="231F20"/>
          <w:spacing w:val="-8"/>
        </w:rPr>
        <w:t> </w:t>
      </w:r>
      <w:r>
        <w:rPr>
          <w:color w:val="231F20"/>
        </w:rPr>
        <w:t>ceramide</w:t>
      </w:r>
      <w:r>
        <w:rPr>
          <w:color w:val="231F20"/>
          <w:spacing w:val="-8"/>
        </w:rPr>
        <w:t> </w:t>
      </w:r>
      <w:r>
        <w:rPr>
          <w:color w:val="231F20"/>
        </w:rPr>
        <w:t>backbone</w:t>
      </w:r>
      <w:r>
        <w:rPr>
          <w:color w:val="231F20"/>
          <w:spacing w:val="-8"/>
        </w:rPr>
        <w:t> </w:t>
      </w:r>
      <w:r>
        <w:rPr>
          <w:color w:val="231F20"/>
        </w:rPr>
        <w:t>with</w:t>
      </w:r>
      <w:r>
        <w:rPr>
          <w:color w:val="231F20"/>
          <w:spacing w:val="-8"/>
        </w:rPr>
        <w:t> </w:t>
      </w:r>
      <w:r>
        <w:rPr>
          <w:color w:val="231F20"/>
        </w:rPr>
        <w:t>oligosaccharide</w:t>
      </w:r>
      <w:r>
        <w:rPr>
          <w:color w:val="231F20"/>
          <w:spacing w:val="-8"/>
        </w:rPr>
        <w:t> </w:t>
      </w:r>
      <w:r>
        <w:rPr>
          <w:color w:val="231F20"/>
        </w:rPr>
        <w:t>side</w:t>
      </w:r>
      <w:r>
        <w:rPr>
          <w:color w:val="231F20"/>
          <w:spacing w:val="-8"/>
        </w:rPr>
        <w:t> </w:t>
      </w:r>
      <w:r>
        <w:rPr>
          <w:color w:val="231F20"/>
        </w:rPr>
        <w:t>chains.</w:t>
      </w:r>
      <w:r>
        <w:rPr>
          <w:color w:val="231F20"/>
          <w:spacing w:val="-8"/>
        </w:rPr>
        <w:t> </w:t>
      </w:r>
      <w:r>
        <w:rPr>
          <w:color w:val="231F20"/>
        </w:rPr>
        <w:t>CRS,</w:t>
      </w:r>
      <w:r>
        <w:rPr>
          <w:color w:val="231F20"/>
          <w:spacing w:val="-8"/>
        </w:rPr>
        <w:t> </w:t>
      </w:r>
      <w:r>
        <w:rPr>
          <w:color w:val="231F20"/>
        </w:rPr>
        <w:t>cherry-red</w:t>
      </w:r>
      <w:r>
        <w:rPr>
          <w:color w:val="231F20"/>
          <w:spacing w:val="-8"/>
        </w:rPr>
        <w:t> </w:t>
      </w:r>
      <w:r>
        <w:rPr>
          <w:color w:val="231F20"/>
        </w:rPr>
        <w:t>spot</w:t>
      </w:r>
      <w:r>
        <w:rPr>
          <w:color w:val="231F20"/>
          <w:spacing w:val="-8"/>
        </w:rPr>
        <w:t> </w:t>
      </w:r>
      <w:r>
        <w:rPr>
          <w:color w:val="231F20"/>
        </w:rPr>
        <w:t>(retinal);</w:t>
      </w:r>
      <w:r>
        <w:rPr>
          <w:color w:val="231F20"/>
          <w:spacing w:val="-8"/>
        </w:rPr>
        <w:t> </w:t>
      </w:r>
      <w:r>
        <w:rPr>
          <w:color w:val="231F20"/>
        </w:rPr>
        <w:t>Gal-,</w:t>
      </w:r>
      <w:r>
        <w:rPr>
          <w:color w:val="231F20"/>
          <w:spacing w:val="-8"/>
        </w:rPr>
        <w:t> </w:t>
      </w:r>
      <w:r>
        <w:rPr>
          <w:color w:val="231F20"/>
        </w:rPr>
        <w:t>galactosyl-;</w:t>
      </w:r>
      <w:r>
        <w:rPr>
          <w:color w:val="231F20"/>
          <w:spacing w:val="-8"/>
        </w:rPr>
        <w:t> </w:t>
      </w:r>
      <w:r>
        <w:rPr>
          <w:color w:val="231F20"/>
        </w:rPr>
        <w:t>GalNAc,</w:t>
      </w:r>
      <w:r>
        <w:rPr>
          <w:color w:val="231F20"/>
          <w:spacing w:val="-8"/>
        </w:rPr>
        <w:t> </w:t>
      </w:r>
      <w:r>
        <w:rPr>
          <w:color w:val="231F20"/>
        </w:rPr>
        <w:t>N-acetyl-galactose; Glc-, glucosyl-; HSM, hepatosplenomegaly; MLD, metachromatic leukodystrophy; NANA, N-acetyl-neuraminic acid.</w:t>
      </w:r>
    </w:p>
    <w:p>
      <w:pPr>
        <w:pStyle w:val="BodyText"/>
        <w:spacing w:before="203"/>
        <w:rPr>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4"/>
        <w:gridCol w:w="968"/>
        <w:gridCol w:w="2315"/>
        <w:gridCol w:w="1536"/>
        <w:gridCol w:w="3748"/>
      </w:tblGrid>
      <w:tr>
        <w:trPr>
          <w:trHeight w:val="354" w:hRule="atLeast"/>
        </w:trPr>
        <w:tc>
          <w:tcPr>
            <w:tcW w:w="1264" w:type="dxa"/>
            <w:shd w:val="clear" w:color="auto" w:fill="231F20"/>
          </w:tcPr>
          <w:p>
            <w:pPr>
              <w:pStyle w:val="TableParagraph"/>
              <w:spacing w:before="89"/>
              <w:ind w:left="204"/>
              <w:rPr>
                <w:b/>
                <w:sz w:val="16"/>
              </w:rPr>
            </w:pPr>
            <w:r>
              <w:rPr>
                <w:b/>
                <w:color w:val="FFFFFF"/>
                <w:w w:val="105"/>
                <w:sz w:val="16"/>
              </w:rPr>
              <w:t>Table</w:t>
            </w:r>
            <w:r>
              <w:rPr>
                <w:b/>
                <w:color w:val="FFFFFF"/>
                <w:spacing w:val="-3"/>
                <w:w w:val="105"/>
                <w:sz w:val="16"/>
              </w:rPr>
              <w:t> </w:t>
            </w:r>
            <w:r>
              <w:rPr>
                <w:b/>
                <w:color w:val="FFFFFF"/>
                <w:w w:val="105"/>
                <w:sz w:val="16"/>
              </w:rPr>
              <w:t>599-</w:t>
            </w:r>
            <w:r>
              <w:rPr>
                <w:b/>
                <w:color w:val="FFFFFF"/>
                <w:spacing w:val="-10"/>
                <w:w w:val="105"/>
                <w:sz w:val="16"/>
              </w:rPr>
              <w:t>2</w:t>
            </w:r>
          </w:p>
        </w:tc>
        <w:tc>
          <w:tcPr>
            <w:tcW w:w="968" w:type="dxa"/>
            <w:shd w:val="clear" w:color="auto" w:fill="231F20"/>
          </w:tcPr>
          <w:p>
            <w:pPr>
              <w:pStyle w:val="TableParagraph"/>
              <w:spacing w:before="89"/>
              <w:ind w:left="33"/>
              <w:jc w:val="center"/>
              <w:rPr>
                <w:sz w:val="16"/>
              </w:rPr>
            </w:pPr>
            <w:r>
              <w:rPr>
                <w:color w:val="FFFFFF"/>
                <w:sz w:val="16"/>
              </w:rPr>
              <w:t>Clinical</w:t>
            </w:r>
            <w:r>
              <w:rPr>
                <w:color w:val="FFFFFF"/>
                <w:spacing w:val="12"/>
                <w:sz w:val="16"/>
              </w:rPr>
              <w:t> </w:t>
            </w:r>
            <w:r>
              <w:rPr>
                <w:color w:val="FFFFFF"/>
                <w:spacing w:val="-5"/>
                <w:sz w:val="16"/>
              </w:rPr>
              <w:t>and</w:t>
            </w:r>
          </w:p>
        </w:tc>
        <w:tc>
          <w:tcPr>
            <w:tcW w:w="2315" w:type="dxa"/>
            <w:shd w:val="clear" w:color="auto" w:fill="231F20"/>
          </w:tcPr>
          <w:p>
            <w:pPr>
              <w:pStyle w:val="TableParagraph"/>
              <w:spacing w:before="89"/>
              <w:ind w:left="28"/>
              <w:rPr>
                <w:sz w:val="16"/>
              </w:rPr>
            </w:pPr>
            <w:r>
              <w:rPr>
                <w:color w:val="FFFFFF"/>
                <w:w w:val="105"/>
                <w:sz w:val="16"/>
              </w:rPr>
              <w:t>Genetic</w:t>
            </w:r>
            <w:r>
              <w:rPr>
                <w:color w:val="FFFFFF"/>
                <w:spacing w:val="-3"/>
                <w:w w:val="105"/>
                <w:sz w:val="16"/>
              </w:rPr>
              <w:t> </w:t>
            </w:r>
            <w:r>
              <w:rPr>
                <w:color w:val="FFFFFF"/>
                <w:w w:val="105"/>
                <w:sz w:val="16"/>
              </w:rPr>
              <w:t>Characteristics</w:t>
            </w:r>
            <w:r>
              <w:rPr>
                <w:color w:val="FFFFFF"/>
                <w:spacing w:val="-3"/>
                <w:w w:val="105"/>
                <w:sz w:val="16"/>
              </w:rPr>
              <w:t> </w:t>
            </w:r>
            <w:r>
              <w:rPr>
                <w:color w:val="FFFFFF"/>
                <w:w w:val="105"/>
                <w:sz w:val="16"/>
              </w:rPr>
              <w:t>of</w:t>
            </w:r>
            <w:r>
              <w:rPr>
                <w:color w:val="FFFFFF"/>
                <w:spacing w:val="-2"/>
                <w:w w:val="105"/>
                <w:sz w:val="16"/>
              </w:rPr>
              <w:t> </w:t>
            </w:r>
            <w:r>
              <w:rPr>
                <w:color w:val="FFFFFF"/>
                <w:spacing w:val="-5"/>
                <w:w w:val="105"/>
                <w:sz w:val="16"/>
              </w:rPr>
              <w:t>the</w:t>
            </w:r>
          </w:p>
        </w:tc>
        <w:tc>
          <w:tcPr>
            <w:tcW w:w="5284" w:type="dxa"/>
            <w:gridSpan w:val="2"/>
            <w:shd w:val="clear" w:color="auto" w:fill="231F20"/>
          </w:tcPr>
          <w:p>
            <w:pPr>
              <w:pStyle w:val="TableParagraph"/>
              <w:spacing w:before="89"/>
              <w:ind w:left="28"/>
              <w:rPr>
                <w:sz w:val="16"/>
              </w:rPr>
            </w:pPr>
            <w:r>
              <w:rPr>
                <w:color w:val="FFFFFF"/>
                <w:sz w:val="16"/>
              </w:rPr>
              <w:t>Neuronal</w:t>
            </w:r>
            <w:r>
              <w:rPr>
                <w:color w:val="FFFFFF"/>
                <w:spacing w:val="60"/>
                <w:sz w:val="16"/>
              </w:rPr>
              <w:t> </w:t>
            </w:r>
            <w:r>
              <w:rPr>
                <w:color w:val="FFFFFF"/>
                <w:sz w:val="16"/>
              </w:rPr>
              <w:t>Ceroid</w:t>
            </w:r>
            <w:r>
              <w:rPr>
                <w:color w:val="FFFFFF"/>
                <w:spacing w:val="60"/>
                <w:sz w:val="16"/>
              </w:rPr>
              <w:t> </w:t>
            </w:r>
            <w:r>
              <w:rPr>
                <w:color w:val="FFFFFF"/>
                <w:sz w:val="16"/>
              </w:rPr>
              <w:t>Lipofuscinoses</w:t>
            </w:r>
            <w:r>
              <w:rPr>
                <w:color w:val="FFFFFF"/>
                <w:spacing w:val="60"/>
                <w:sz w:val="16"/>
              </w:rPr>
              <w:t> </w:t>
            </w:r>
            <w:r>
              <w:rPr>
                <w:color w:val="FFFFFF"/>
                <w:spacing w:val="-2"/>
                <w:sz w:val="16"/>
              </w:rPr>
              <w:t>(NCL)</w:t>
            </w:r>
          </w:p>
        </w:tc>
      </w:tr>
      <w:tr>
        <w:trPr>
          <w:trHeight w:val="276" w:hRule="atLeast"/>
        </w:trPr>
        <w:tc>
          <w:tcPr>
            <w:tcW w:w="1264" w:type="dxa"/>
            <w:tcBorders>
              <w:bottom w:val="single" w:sz="4" w:space="0" w:color="231F20"/>
            </w:tcBorders>
            <w:shd w:val="clear" w:color="auto" w:fill="E8F5F1"/>
          </w:tcPr>
          <w:p>
            <w:pPr>
              <w:pStyle w:val="TableParagraph"/>
              <w:spacing w:before="66"/>
              <w:ind w:left="167"/>
              <w:rPr>
                <w:b/>
                <w:sz w:val="15"/>
              </w:rPr>
            </w:pPr>
            <w:r>
              <w:rPr>
                <w:b/>
                <w:color w:val="231F20"/>
                <w:w w:val="105"/>
                <w:sz w:val="15"/>
              </w:rPr>
              <w:t>NCL</w:t>
            </w:r>
            <w:r>
              <w:rPr>
                <w:b/>
                <w:color w:val="231F20"/>
                <w:spacing w:val="18"/>
                <w:w w:val="105"/>
                <w:sz w:val="15"/>
              </w:rPr>
              <w:t> </w:t>
            </w:r>
            <w:r>
              <w:rPr>
                <w:b/>
                <w:color w:val="231F20"/>
                <w:spacing w:val="-4"/>
                <w:w w:val="105"/>
                <w:sz w:val="15"/>
              </w:rPr>
              <w:t>TYPE</w:t>
            </w:r>
          </w:p>
        </w:tc>
        <w:tc>
          <w:tcPr>
            <w:tcW w:w="968" w:type="dxa"/>
            <w:tcBorders>
              <w:bottom w:val="single" w:sz="4" w:space="0" w:color="231F20"/>
            </w:tcBorders>
            <w:shd w:val="clear" w:color="auto" w:fill="E8F5F1"/>
          </w:tcPr>
          <w:p>
            <w:pPr>
              <w:pStyle w:val="TableParagraph"/>
              <w:spacing w:before="66"/>
              <w:ind w:left="69"/>
              <w:jc w:val="center"/>
              <w:rPr>
                <w:b/>
                <w:sz w:val="15"/>
              </w:rPr>
            </w:pPr>
            <w:r>
              <w:rPr>
                <w:b/>
                <w:color w:val="231F20"/>
                <w:spacing w:val="-2"/>
                <w:w w:val="115"/>
                <w:sz w:val="15"/>
              </w:rPr>
              <w:t>GENE</w:t>
            </w:r>
            <w:r>
              <w:rPr>
                <w:b/>
                <w:color w:val="0080AC"/>
                <w:spacing w:val="-2"/>
                <w:w w:val="115"/>
                <w:sz w:val="15"/>
              </w:rPr>
              <w:t>*</w:t>
            </w:r>
          </w:p>
        </w:tc>
        <w:tc>
          <w:tcPr>
            <w:tcW w:w="2315" w:type="dxa"/>
            <w:tcBorders>
              <w:bottom w:val="single" w:sz="4" w:space="0" w:color="231F20"/>
            </w:tcBorders>
            <w:shd w:val="clear" w:color="auto" w:fill="E8F5F1"/>
          </w:tcPr>
          <w:p>
            <w:pPr>
              <w:pStyle w:val="TableParagraph"/>
              <w:spacing w:before="66"/>
              <w:ind w:left="8"/>
              <w:jc w:val="center"/>
              <w:rPr>
                <w:b/>
                <w:sz w:val="15"/>
              </w:rPr>
            </w:pPr>
            <w:r>
              <w:rPr>
                <w:b/>
                <w:color w:val="231F20"/>
                <w:spacing w:val="-2"/>
                <w:w w:val="110"/>
                <w:sz w:val="15"/>
              </w:rPr>
              <w:t>PROTEIN</w:t>
            </w:r>
          </w:p>
        </w:tc>
        <w:tc>
          <w:tcPr>
            <w:tcW w:w="1536" w:type="dxa"/>
            <w:tcBorders>
              <w:bottom w:val="single" w:sz="4" w:space="0" w:color="231F20"/>
            </w:tcBorders>
            <w:shd w:val="clear" w:color="auto" w:fill="E8F5F1"/>
          </w:tcPr>
          <w:p>
            <w:pPr>
              <w:pStyle w:val="TableParagraph"/>
              <w:spacing w:before="66"/>
              <w:ind w:left="215"/>
              <w:rPr>
                <w:b/>
                <w:sz w:val="15"/>
              </w:rPr>
            </w:pPr>
            <w:r>
              <w:rPr>
                <w:b/>
                <w:color w:val="231F20"/>
                <w:w w:val="110"/>
                <w:sz w:val="15"/>
              </w:rPr>
              <w:t>AGE</w:t>
            </w:r>
            <w:r>
              <w:rPr>
                <w:b/>
                <w:color w:val="231F20"/>
                <w:spacing w:val="8"/>
                <w:w w:val="110"/>
                <w:sz w:val="15"/>
              </w:rPr>
              <w:t> </w:t>
            </w:r>
            <w:r>
              <w:rPr>
                <w:b/>
                <w:color w:val="231F20"/>
                <w:w w:val="110"/>
                <w:sz w:val="15"/>
              </w:rPr>
              <w:t>OF</w:t>
            </w:r>
            <w:r>
              <w:rPr>
                <w:b/>
                <w:color w:val="231F20"/>
                <w:spacing w:val="8"/>
                <w:w w:val="110"/>
                <w:sz w:val="15"/>
              </w:rPr>
              <w:t> </w:t>
            </w:r>
            <w:r>
              <w:rPr>
                <w:b/>
                <w:color w:val="231F20"/>
                <w:spacing w:val="-2"/>
                <w:w w:val="110"/>
                <w:sz w:val="15"/>
              </w:rPr>
              <w:t>ONSET</w:t>
            </w:r>
          </w:p>
        </w:tc>
        <w:tc>
          <w:tcPr>
            <w:tcW w:w="3748" w:type="dxa"/>
            <w:tcBorders>
              <w:bottom w:val="single" w:sz="4" w:space="0" w:color="231F20"/>
            </w:tcBorders>
            <w:shd w:val="clear" w:color="auto" w:fill="E8F5F1"/>
          </w:tcPr>
          <w:p>
            <w:pPr>
              <w:pStyle w:val="TableParagraph"/>
              <w:spacing w:before="66"/>
              <w:ind w:left="972"/>
              <w:rPr>
                <w:b/>
                <w:sz w:val="15"/>
              </w:rPr>
            </w:pPr>
            <w:r>
              <w:rPr>
                <w:b/>
                <w:color w:val="231F20"/>
                <w:w w:val="110"/>
                <w:sz w:val="15"/>
              </w:rPr>
              <w:t>CLINICAL</w:t>
            </w:r>
            <w:r>
              <w:rPr>
                <w:b/>
                <w:color w:val="231F20"/>
                <w:spacing w:val="-4"/>
                <w:w w:val="110"/>
                <w:sz w:val="15"/>
              </w:rPr>
              <w:t> </w:t>
            </w:r>
            <w:r>
              <w:rPr>
                <w:b/>
                <w:color w:val="231F20"/>
                <w:spacing w:val="-2"/>
                <w:w w:val="110"/>
                <w:sz w:val="15"/>
              </w:rPr>
              <w:t>PRESENTATION</w:t>
            </w:r>
          </w:p>
        </w:tc>
      </w:tr>
      <w:tr>
        <w:trPr>
          <w:trHeight w:val="425" w:hRule="atLeast"/>
        </w:trPr>
        <w:tc>
          <w:tcPr>
            <w:tcW w:w="1264" w:type="dxa"/>
            <w:tcBorders>
              <w:top w:val="single" w:sz="4" w:space="0" w:color="231F20"/>
              <w:bottom w:val="single" w:sz="4" w:space="0" w:color="FFFFFF"/>
            </w:tcBorders>
            <w:shd w:val="clear" w:color="auto" w:fill="E8F5F1"/>
          </w:tcPr>
          <w:p>
            <w:pPr>
              <w:pStyle w:val="TableParagraph"/>
              <w:spacing w:before="47"/>
              <w:ind w:left="167"/>
              <w:rPr>
                <w:sz w:val="15"/>
              </w:rPr>
            </w:pPr>
            <w:r>
              <w:rPr>
                <w:color w:val="231F20"/>
                <w:spacing w:val="-2"/>
                <w:sz w:val="15"/>
              </w:rPr>
              <w:t>Congenital</w:t>
            </w:r>
          </w:p>
        </w:tc>
        <w:tc>
          <w:tcPr>
            <w:tcW w:w="968" w:type="dxa"/>
            <w:tcBorders>
              <w:top w:val="single" w:sz="4" w:space="0" w:color="231F20"/>
              <w:bottom w:val="single" w:sz="4" w:space="0" w:color="FFFFFF"/>
            </w:tcBorders>
            <w:shd w:val="clear" w:color="auto" w:fill="E8F5F1"/>
          </w:tcPr>
          <w:p>
            <w:pPr>
              <w:pStyle w:val="TableParagraph"/>
              <w:spacing w:before="47"/>
              <w:ind w:left="33" w:right="11"/>
              <w:jc w:val="center"/>
              <w:rPr>
                <w:i/>
                <w:sz w:val="15"/>
              </w:rPr>
            </w:pPr>
            <w:r>
              <w:rPr>
                <w:i/>
                <w:color w:val="231F20"/>
                <w:spacing w:val="-2"/>
                <w:w w:val="105"/>
                <w:sz w:val="15"/>
              </w:rPr>
              <w:t>CLN10</w:t>
            </w:r>
          </w:p>
        </w:tc>
        <w:tc>
          <w:tcPr>
            <w:tcW w:w="2315" w:type="dxa"/>
            <w:tcBorders>
              <w:top w:val="single" w:sz="4" w:space="0" w:color="231F20"/>
              <w:bottom w:val="single" w:sz="4" w:space="0" w:color="FFFFFF"/>
            </w:tcBorders>
            <w:shd w:val="clear" w:color="auto" w:fill="E8F5F1"/>
          </w:tcPr>
          <w:p>
            <w:pPr>
              <w:pStyle w:val="TableParagraph"/>
              <w:spacing w:before="47"/>
              <w:ind w:left="129"/>
              <w:rPr>
                <w:sz w:val="15"/>
              </w:rPr>
            </w:pPr>
            <w:r>
              <w:rPr>
                <w:color w:val="231F20"/>
                <w:spacing w:val="-2"/>
                <w:sz w:val="15"/>
              </w:rPr>
              <w:t>Cathepsin</w:t>
            </w:r>
            <w:r>
              <w:rPr>
                <w:color w:val="0080AC"/>
                <w:spacing w:val="-2"/>
                <w:sz w:val="15"/>
                <w:vertAlign w:val="superscript"/>
              </w:rPr>
              <w:t>‡</w:t>
            </w:r>
          </w:p>
        </w:tc>
        <w:tc>
          <w:tcPr>
            <w:tcW w:w="1536" w:type="dxa"/>
            <w:tcBorders>
              <w:top w:val="single" w:sz="4" w:space="0" w:color="231F20"/>
              <w:bottom w:val="single" w:sz="4" w:space="0" w:color="FFFFFF"/>
            </w:tcBorders>
            <w:shd w:val="clear" w:color="auto" w:fill="E8F5F1"/>
          </w:tcPr>
          <w:p>
            <w:pPr>
              <w:pStyle w:val="TableParagraph"/>
              <w:spacing w:line="230" w:lineRule="auto" w:before="52"/>
              <w:ind w:left="320" w:right="325" w:hanging="112"/>
              <w:rPr>
                <w:sz w:val="15"/>
              </w:rPr>
            </w:pPr>
            <w:r>
              <w:rPr>
                <w:color w:val="231F20"/>
                <w:sz w:val="15"/>
              </w:rPr>
              <w:t>Birth (but can </w:t>
            </w:r>
            <w:r>
              <w:rPr>
                <w:color w:val="231F20"/>
                <w:spacing w:val="-4"/>
                <w:sz w:val="15"/>
              </w:rPr>
              <w:t>present</w:t>
            </w:r>
            <w:r>
              <w:rPr>
                <w:color w:val="231F20"/>
                <w:spacing w:val="-8"/>
                <w:sz w:val="15"/>
              </w:rPr>
              <w:t> </w:t>
            </w:r>
            <w:r>
              <w:rPr>
                <w:color w:val="231F20"/>
                <w:spacing w:val="-4"/>
                <w:sz w:val="15"/>
              </w:rPr>
              <w:t>later)</w:t>
            </w:r>
          </w:p>
        </w:tc>
        <w:tc>
          <w:tcPr>
            <w:tcW w:w="3748" w:type="dxa"/>
            <w:tcBorders>
              <w:top w:val="single" w:sz="4" w:space="0" w:color="231F20"/>
              <w:bottom w:val="single" w:sz="4" w:space="0" w:color="FFFFFF"/>
            </w:tcBorders>
            <w:shd w:val="clear" w:color="auto" w:fill="E8F5F1"/>
          </w:tcPr>
          <w:p>
            <w:pPr>
              <w:pStyle w:val="TableParagraph"/>
              <w:spacing w:line="230" w:lineRule="auto" w:before="52"/>
              <w:ind w:left="166" w:right="276"/>
              <w:rPr>
                <w:sz w:val="15"/>
              </w:rPr>
            </w:pPr>
            <w:r>
              <w:rPr>
                <w:color w:val="231F20"/>
                <w:spacing w:val="-2"/>
                <w:sz w:val="15"/>
              </w:rPr>
              <w:t>Severe</w:t>
            </w:r>
            <w:r>
              <w:rPr>
                <w:color w:val="231F20"/>
                <w:spacing w:val="-8"/>
                <w:sz w:val="15"/>
              </w:rPr>
              <w:t> </w:t>
            </w:r>
            <w:r>
              <w:rPr>
                <w:color w:val="231F20"/>
                <w:spacing w:val="-2"/>
                <w:sz w:val="15"/>
              </w:rPr>
              <w:t>seizures,</w:t>
            </w:r>
            <w:r>
              <w:rPr>
                <w:color w:val="231F20"/>
                <w:spacing w:val="-8"/>
                <w:sz w:val="15"/>
              </w:rPr>
              <w:t> </w:t>
            </w:r>
            <w:r>
              <w:rPr>
                <w:color w:val="231F20"/>
                <w:spacing w:val="-2"/>
                <w:sz w:val="15"/>
              </w:rPr>
              <w:t>blindness,</w:t>
            </w:r>
            <w:r>
              <w:rPr>
                <w:color w:val="231F20"/>
                <w:spacing w:val="-8"/>
                <w:sz w:val="15"/>
              </w:rPr>
              <w:t> </w:t>
            </w:r>
            <w:r>
              <w:rPr>
                <w:color w:val="231F20"/>
                <w:spacing w:val="-2"/>
                <w:sz w:val="15"/>
              </w:rPr>
              <w:t>rigidity,</w:t>
            </w:r>
            <w:r>
              <w:rPr>
                <w:color w:val="231F20"/>
                <w:spacing w:val="-8"/>
                <w:sz w:val="15"/>
              </w:rPr>
              <w:t> </w:t>
            </w:r>
            <w:r>
              <w:rPr>
                <w:color w:val="231F20"/>
                <w:spacing w:val="-2"/>
                <w:sz w:val="15"/>
              </w:rPr>
              <w:t>early</w:t>
            </w:r>
            <w:r>
              <w:rPr>
                <w:color w:val="231F20"/>
                <w:spacing w:val="-8"/>
                <w:sz w:val="15"/>
              </w:rPr>
              <w:t> </w:t>
            </w:r>
            <w:r>
              <w:rPr>
                <w:color w:val="231F20"/>
                <w:spacing w:val="-2"/>
                <w:sz w:val="15"/>
              </w:rPr>
              <w:t>death </w:t>
            </w:r>
            <w:r>
              <w:rPr>
                <w:color w:val="231F20"/>
                <w:sz w:val="15"/>
              </w:rPr>
              <w:t>Can</w:t>
            </w:r>
            <w:r>
              <w:rPr>
                <w:color w:val="231F20"/>
                <w:spacing w:val="-11"/>
                <w:sz w:val="15"/>
              </w:rPr>
              <w:t> </w:t>
            </w:r>
            <w:r>
              <w:rPr>
                <w:color w:val="231F20"/>
                <w:sz w:val="15"/>
              </w:rPr>
              <w:t>also</w:t>
            </w:r>
            <w:r>
              <w:rPr>
                <w:color w:val="231F20"/>
                <w:spacing w:val="-11"/>
                <w:sz w:val="15"/>
              </w:rPr>
              <w:t> </w:t>
            </w:r>
            <w:r>
              <w:rPr>
                <w:color w:val="231F20"/>
                <w:sz w:val="15"/>
              </w:rPr>
              <w:t>present</w:t>
            </w:r>
            <w:r>
              <w:rPr>
                <w:color w:val="231F20"/>
                <w:spacing w:val="-11"/>
                <w:sz w:val="15"/>
              </w:rPr>
              <w:t> </w:t>
            </w:r>
            <w:r>
              <w:rPr>
                <w:color w:val="231F20"/>
                <w:sz w:val="15"/>
              </w:rPr>
              <w:t>similar</w:t>
            </w:r>
            <w:r>
              <w:rPr>
                <w:color w:val="231F20"/>
                <w:spacing w:val="-11"/>
                <w:sz w:val="15"/>
              </w:rPr>
              <w:t> </w:t>
            </w:r>
            <w:r>
              <w:rPr>
                <w:color w:val="231F20"/>
                <w:sz w:val="15"/>
              </w:rPr>
              <w:t>to</w:t>
            </w:r>
            <w:r>
              <w:rPr>
                <w:color w:val="231F20"/>
                <w:spacing w:val="-12"/>
                <w:sz w:val="15"/>
              </w:rPr>
              <w:t> </w:t>
            </w:r>
            <w:r>
              <w:rPr>
                <w:color w:val="231F20"/>
                <w:sz w:val="15"/>
              </w:rPr>
              <w:t>late</w:t>
            </w:r>
            <w:r>
              <w:rPr>
                <w:color w:val="231F20"/>
                <w:spacing w:val="-11"/>
                <w:sz w:val="15"/>
              </w:rPr>
              <w:t> </w:t>
            </w:r>
            <w:r>
              <w:rPr>
                <w:color w:val="231F20"/>
                <w:sz w:val="15"/>
              </w:rPr>
              <w:t>infantile</w:t>
            </w:r>
            <w:r>
              <w:rPr>
                <w:color w:val="231F20"/>
                <w:spacing w:val="-11"/>
                <w:sz w:val="15"/>
              </w:rPr>
              <w:t> </w:t>
            </w:r>
            <w:r>
              <w:rPr>
                <w:color w:val="231F20"/>
                <w:spacing w:val="-2"/>
                <w:sz w:val="15"/>
              </w:rPr>
              <w:t>forms</w:t>
            </w:r>
          </w:p>
        </w:tc>
      </w:tr>
      <w:tr>
        <w:trPr>
          <w:trHeight w:val="925" w:hRule="atLeast"/>
        </w:trPr>
        <w:tc>
          <w:tcPr>
            <w:tcW w:w="1264" w:type="dxa"/>
            <w:tcBorders>
              <w:top w:val="single" w:sz="4" w:space="0" w:color="FFFFFF"/>
              <w:bottom w:val="single" w:sz="4" w:space="0" w:color="FFFFFF"/>
            </w:tcBorders>
            <w:shd w:val="clear" w:color="auto" w:fill="E8F5F1"/>
          </w:tcPr>
          <w:p>
            <w:pPr>
              <w:pStyle w:val="TableParagraph"/>
              <w:spacing w:before="42"/>
              <w:ind w:left="167"/>
              <w:rPr>
                <w:sz w:val="15"/>
              </w:rPr>
            </w:pPr>
            <w:r>
              <w:rPr>
                <w:color w:val="231F20"/>
                <w:spacing w:val="-2"/>
                <w:sz w:val="15"/>
              </w:rPr>
              <w:t>Infantile</w:t>
            </w:r>
          </w:p>
          <w:p>
            <w:pPr>
              <w:pStyle w:val="TableParagraph"/>
              <w:spacing w:before="163"/>
              <w:ind w:left="167"/>
              <w:rPr>
                <w:sz w:val="15"/>
              </w:rPr>
            </w:pPr>
            <w:r>
              <w:rPr>
                <w:color w:val="231F20"/>
                <w:spacing w:val="-4"/>
                <w:sz w:val="15"/>
              </w:rPr>
              <w:t>Variant</w:t>
            </w:r>
            <w:r>
              <w:rPr>
                <w:color w:val="231F20"/>
                <w:spacing w:val="-1"/>
                <w:sz w:val="15"/>
              </w:rPr>
              <w:t> </w:t>
            </w:r>
            <w:r>
              <w:rPr>
                <w:color w:val="231F20"/>
                <w:spacing w:val="-2"/>
                <w:sz w:val="15"/>
              </w:rPr>
              <w:t>infantile</w:t>
            </w:r>
          </w:p>
        </w:tc>
        <w:tc>
          <w:tcPr>
            <w:tcW w:w="968" w:type="dxa"/>
            <w:tcBorders>
              <w:top w:val="single" w:sz="4" w:space="0" w:color="FFFFFF"/>
              <w:bottom w:val="single" w:sz="4" w:space="0" w:color="FFFFFF"/>
            </w:tcBorders>
            <w:shd w:val="clear" w:color="auto" w:fill="E8F5F1"/>
          </w:tcPr>
          <w:p>
            <w:pPr>
              <w:pStyle w:val="TableParagraph"/>
              <w:spacing w:line="465" w:lineRule="auto" w:before="42"/>
              <w:ind w:left="269" w:right="320"/>
              <w:rPr>
                <w:i/>
                <w:sz w:val="15"/>
              </w:rPr>
            </w:pPr>
            <w:r>
              <w:rPr>
                <w:i/>
                <w:color w:val="231F20"/>
                <w:spacing w:val="-4"/>
                <w:w w:val="110"/>
                <w:sz w:val="15"/>
              </w:rPr>
              <w:t>CLN1 CLN1</w:t>
            </w:r>
          </w:p>
        </w:tc>
        <w:tc>
          <w:tcPr>
            <w:tcW w:w="2315" w:type="dxa"/>
            <w:tcBorders>
              <w:top w:val="single" w:sz="4" w:space="0" w:color="FFFFFF"/>
              <w:bottom w:val="single" w:sz="4" w:space="0" w:color="FFFFFF"/>
            </w:tcBorders>
            <w:shd w:val="clear" w:color="auto" w:fill="E8F5F1"/>
          </w:tcPr>
          <w:p>
            <w:pPr>
              <w:pStyle w:val="TableParagraph"/>
              <w:spacing w:line="230" w:lineRule="auto" w:before="48"/>
              <w:ind w:left="241" w:right="628" w:hanging="112"/>
              <w:rPr>
                <w:sz w:val="15"/>
              </w:rPr>
            </w:pPr>
            <w:r>
              <w:rPr>
                <w:color w:val="231F20"/>
                <w:spacing w:val="-2"/>
                <w:sz w:val="15"/>
              </w:rPr>
              <w:t>Palmitoyl-protein </w:t>
            </w:r>
            <w:r>
              <w:rPr>
                <w:color w:val="231F20"/>
                <w:spacing w:val="-4"/>
                <w:sz w:val="15"/>
              </w:rPr>
              <w:t>thioesterase-1</w:t>
            </w:r>
            <w:r>
              <w:rPr>
                <w:color w:val="231F20"/>
                <w:spacing w:val="-7"/>
                <w:sz w:val="15"/>
              </w:rPr>
              <w:t> </w:t>
            </w:r>
            <w:r>
              <w:rPr>
                <w:color w:val="231F20"/>
                <w:spacing w:val="-4"/>
                <w:sz w:val="15"/>
              </w:rPr>
              <w:t>(PPT1)</w:t>
            </w:r>
            <w:r>
              <w:rPr>
                <w:color w:val="0080AC"/>
                <w:spacing w:val="-4"/>
                <w:sz w:val="15"/>
                <w:vertAlign w:val="superscript"/>
              </w:rPr>
              <w:t>‡</w:t>
            </w:r>
          </w:p>
        </w:tc>
        <w:tc>
          <w:tcPr>
            <w:tcW w:w="1536" w:type="dxa"/>
            <w:tcBorders>
              <w:top w:val="single" w:sz="4" w:space="0" w:color="FFFFFF"/>
              <w:bottom w:val="single" w:sz="4" w:space="0" w:color="FFFFFF"/>
            </w:tcBorders>
            <w:shd w:val="clear" w:color="auto" w:fill="E8F5F1"/>
          </w:tcPr>
          <w:p>
            <w:pPr>
              <w:pStyle w:val="TableParagraph"/>
              <w:spacing w:before="42"/>
              <w:ind w:left="209"/>
              <w:rPr>
                <w:sz w:val="15"/>
              </w:rPr>
            </w:pPr>
            <w:r>
              <w:rPr>
                <w:color w:val="231F20"/>
                <w:sz w:val="15"/>
              </w:rPr>
              <w:t>6-24</w:t>
            </w:r>
            <w:r>
              <w:rPr>
                <w:color w:val="231F20"/>
                <w:spacing w:val="-8"/>
                <w:sz w:val="15"/>
              </w:rPr>
              <w:t> </w:t>
            </w:r>
            <w:r>
              <w:rPr>
                <w:color w:val="231F20"/>
                <w:spacing w:val="-2"/>
                <w:sz w:val="15"/>
              </w:rPr>
              <w:t>months</w:t>
            </w:r>
          </w:p>
          <w:p>
            <w:pPr>
              <w:pStyle w:val="TableParagraph"/>
              <w:spacing w:before="163"/>
              <w:ind w:left="209"/>
              <w:rPr>
                <w:sz w:val="15"/>
              </w:rPr>
            </w:pPr>
            <w:r>
              <w:rPr>
                <w:color w:val="231F20"/>
                <w:sz w:val="15"/>
              </w:rPr>
              <w:t>3</w:t>
            </w:r>
            <w:r>
              <w:rPr>
                <w:color w:val="231F20"/>
                <w:spacing w:val="-6"/>
                <w:sz w:val="15"/>
              </w:rPr>
              <w:t> </w:t>
            </w:r>
            <w:r>
              <w:rPr>
                <w:color w:val="231F20"/>
                <w:sz w:val="15"/>
              </w:rPr>
              <w:t>yr</w:t>
            </w:r>
            <w:r>
              <w:rPr>
                <w:color w:val="231F20"/>
                <w:spacing w:val="-5"/>
                <w:sz w:val="15"/>
              </w:rPr>
              <w:t> </w:t>
            </w:r>
            <w:r>
              <w:rPr>
                <w:color w:val="231F20"/>
                <w:sz w:val="15"/>
              </w:rPr>
              <w:t>to</w:t>
            </w:r>
            <w:r>
              <w:rPr>
                <w:color w:val="231F20"/>
                <w:spacing w:val="-5"/>
                <w:sz w:val="15"/>
              </w:rPr>
              <w:t> </w:t>
            </w:r>
            <w:r>
              <w:rPr>
                <w:color w:val="231F20"/>
                <w:spacing w:val="-2"/>
                <w:sz w:val="15"/>
              </w:rPr>
              <w:t>adulthood</w:t>
            </w:r>
          </w:p>
        </w:tc>
        <w:tc>
          <w:tcPr>
            <w:tcW w:w="3748" w:type="dxa"/>
            <w:tcBorders>
              <w:top w:val="single" w:sz="4" w:space="0" w:color="FFFFFF"/>
              <w:bottom w:val="single" w:sz="4" w:space="0" w:color="FFFFFF"/>
            </w:tcBorders>
            <w:shd w:val="clear" w:color="auto" w:fill="E8F5F1"/>
          </w:tcPr>
          <w:p>
            <w:pPr>
              <w:pStyle w:val="TableParagraph"/>
              <w:spacing w:line="230" w:lineRule="auto" w:before="48"/>
              <w:ind w:left="278" w:hanging="112"/>
              <w:rPr>
                <w:sz w:val="15"/>
              </w:rPr>
            </w:pPr>
            <w:r>
              <w:rPr>
                <w:color w:val="231F20"/>
                <w:sz w:val="15"/>
              </w:rPr>
              <w:t>Early</w:t>
            </w:r>
            <w:r>
              <w:rPr>
                <w:color w:val="231F20"/>
                <w:spacing w:val="-12"/>
                <w:sz w:val="15"/>
              </w:rPr>
              <w:t> </w:t>
            </w:r>
            <w:r>
              <w:rPr>
                <w:color w:val="231F20"/>
                <w:sz w:val="15"/>
              </w:rPr>
              <w:t>onset,</w:t>
            </w:r>
            <w:r>
              <w:rPr>
                <w:color w:val="231F20"/>
                <w:spacing w:val="-11"/>
                <w:sz w:val="15"/>
              </w:rPr>
              <w:t> </w:t>
            </w:r>
            <w:r>
              <w:rPr>
                <w:color w:val="231F20"/>
                <w:sz w:val="15"/>
              </w:rPr>
              <w:t>often</w:t>
            </w:r>
            <w:r>
              <w:rPr>
                <w:color w:val="231F20"/>
                <w:spacing w:val="-11"/>
                <w:sz w:val="15"/>
              </w:rPr>
              <w:t> </w:t>
            </w:r>
            <w:r>
              <w:rPr>
                <w:color w:val="231F20"/>
                <w:sz w:val="15"/>
              </w:rPr>
              <w:t>rapid</w:t>
            </w:r>
            <w:r>
              <w:rPr>
                <w:color w:val="231F20"/>
                <w:spacing w:val="-12"/>
                <w:sz w:val="15"/>
              </w:rPr>
              <w:t> </w:t>
            </w:r>
            <w:r>
              <w:rPr>
                <w:color w:val="231F20"/>
                <w:sz w:val="15"/>
              </w:rPr>
              <w:t>progression</w:t>
            </w:r>
            <w:r>
              <w:rPr>
                <w:color w:val="231F20"/>
                <w:spacing w:val="-11"/>
                <w:sz w:val="15"/>
              </w:rPr>
              <w:t> </w:t>
            </w:r>
            <w:r>
              <w:rPr>
                <w:color w:val="231F20"/>
                <w:sz w:val="15"/>
              </w:rPr>
              <w:t>of</w:t>
            </w:r>
            <w:r>
              <w:rPr>
                <w:color w:val="231F20"/>
                <w:spacing w:val="-11"/>
                <w:sz w:val="15"/>
              </w:rPr>
              <w:t> </w:t>
            </w:r>
            <w:r>
              <w:rPr>
                <w:color w:val="231F20"/>
                <w:sz w:val="15"/>
              </w:rPr>
              <w:t>seizures; cognitive and motor decline with visual loss</w:t>
            </w:r>
          </w:p>
          <w:p>
            <w:pPr>
              <w:pStyle w:val="TableParagraph"/>
              <w:spacing w:line="168" w:lineRule="exact"/>
              <w:ind w:left="166"/>
              <w:rPr>
                <w:sz w:val="15"/>
              </w:rPr>
            </w:pPr>
            <w:r>
              <w:rPr>
                <w:color w:val="231F20"/>
                <w:sz w:val="15"/>
              </w:rPr>
              <w:t>Chronic</w:t>
            </w:r>
            <w:r>
              <w:rPr>
                <w:color w:val="231F20"/>
                <w:spacing w:val="6"/>
                <w:sz w:val="15"/>
              </w:rPr>
              <w:t> </w:t>
            </w:r>
            <w:r>
              <w:rPr>
                <w:color w:val="231F20"/>
                <w:spacing w:val="-2"/>
                <w:sz w:val="15"/>
              </w:rPr>
              <w:t>course</w:t>
            </w:r>
          </w:p>
          <w:p>
            <w:pPr>
              <w:pStyle w:val="TableParagraph"/>
              <w:spacing w:line="230" w:lineRule="auto" w:before="2"/>
              <w:ind w:left="278" w:hanging="112"/>
              <w:rPr>
                <w:sz w:val="15"/>
              </w:rPr>
            </w:pPr>
            <w:r>
              <w:rPr>
                <w:color w:val="231F20"/>
                <w:sz w:val="15"/>
              </w:rPr>
              <w:t>Initial</w:t>
            </w:r>
            <w:r>
              <w:rPr>
                <w:color w:val="231F20"/>
                <w:spacing w:val="-12"/>
                <w:sz w:val="15"/>
              </w:rPr>
              <w:t> </w:t>
            </w:r>
            <w:r>
              <w:rPr>
                <w:color w:val="231F20"/>
                <w:sz w:val="15"/>
              </w:rPr>
              <w:t>visual</w:t>
            </w:r>
            <w:r>
              <w:rPr>
                <w:color w:val="231F20"/>
                <w:spacing w:val="-11"/>
                <w:sz w:val="15"/>
              </w:rPr>
              <w:t> </w:t>
            </w:r>
            <w:r>
              <w:rPr>
                <w:color w:val="231F20"/>
                <w:sz w:val="15"/>
              </w:rPr>
              <w:t>loss</w:t>
            </w:r>
            <w:r>
              <w:rPr>
                <w:color w:val="231F20"/>
                <w:spacing w:val="-11"/>
                <w:sz w:val="15"/>
              </w:rPr>
              <w:t> </w:t>
            </w:r>
            <w:r>
              <w:rPr>
                <w:color w:val="231F20"/>
                <w:sz w:val="15"/>
              </w:rPr>
              <w:t>followed</w:t>
            </w:r>
            <w:r>
              <w:rPr>
                <w:color w:val="231F20"/>
                <w:spacing w:val="-12"/>
                <w:sz w:val="15"/>
              </w:rPr>
              <w:t> </w:t>
            </w:r>
            <w:r>
              <w:rPr>
                <w:color w:val="231F20"/>
                <w:sz w:val="15"/>
              </w:rPr>
              <w:t>then</w:t>
            </w:r>
            <w:r>
              <w:rPr>
                <w:color w:val="231F20"/>
                <w:spacing w:val="-11"/>
                <w:sz w:val="15"/>
              </w:rPr>
              <w:t> </w:t>
            </w:r>
            <w:r>
              <w:rPr>
                <w:color w:val="231F20"/>
                <w:sz w:val="15"/>
              </w:rPr>
              <w:t>by</w:t>
            </w:r>
            <w:r>
              <w:rPr>
                <w:color w:val="231F20"/>
                <w:spacing w:val="-11"/>
                <w:sz w:val="15"/>
              </w:rPr>
              <w:t> </w:t>
            </w:r>
            <w:r>
              <w:rPr>
                <w:color w:val="231F20"/>
                <w:sz w:val="15"/>
              </w:rPr>
              <w:t>slow</w:t>
            </w:r>
            <w:r>
              <w:rPr>
                <w:color w:val="231F20"/>
                <w:spacing w:val="-12"/>
                <w:sz w:val="15"/>
              </w:rPr>
              <w:t> </w:t>
            </w:r>
            <w:r>
              <w:rPr>
                <w:color w:val="231F20"/>
                <w:sz w:val="15"/>
              </w:rPr>
              <w:t>mental</w:t>
            </w:r>
            <w:r>
              <w:rPr>
                <w:color w:val="231F20"/>
                <w:spacing w:val="-11"/>
                <w:sz w:val="15"/>
              </w:rPr>
              <w:t> </w:t>
            </w:r>
            <w:r>
              <w:rPr>
                <w:color w:val="231F20"/>
                <w:sz w:val="15"/>
              </w:rPr>
              <w:t>and motor decline and seizures</w:t>
            </w:r>
          </w:p>
        </w:tc>
      </w:tr>
      <w:tr>
        <w:trPr>
          <w:trHeight w:val="930" w:hRule="atLeast"/>
        </w:trPr>
        <w:tc>
          <w:tcPr>
            <w:tcW w:w="1264" w:type="dxa"/>
            <w:tcBorders>
              <w:top w:val="single" w:sz="4" w:space="0" w:color="FFFFFF"/>
              <w:bottom w:val="single" w:sz="4" w:space="0" w:color="FFFFFF"/>
            </w:tcBorders>
            <w:shd w:val="clear" w:color="auto" w:fill="E8F5F1"/>
          </w:tcPr>
          <w:p>
            <w:pPr>
              <w:pStyle w:val="TableParagraph"/>
              <w:spacing w:before="42"/>
              <w:ind w:left="167"/>
              <w:rPr>
                <w:sz w:val="15"/>
              </w:rPr>
            </w:pPr>
            <w:r>
              <w:rPr>
                <w:color w:val="231F20"/>
                <w:sz w:val="15"/>
              </w:rPr>
              <w:t>Late</w:t>
            </w:r>
            <w:r>
              <w:rPr>
                <w:color w:val="231F20"/>
                <w:spacing w:val="-11"/>
                <w:sz w:val="15"/>
              </w:rPr>
              <w:t> </w:t>
            </w:r>
            <w:r>
              <w:rPr>
                <w:color w:val="231F20"/>
                <w:spacing w:val="-2"/>
                <w:sz w:val="15"/>
              </w:rPr>
              <w:t>infantile</w:t>
            </w:r>
          </w:p>
        </w:tc>
        <w:tc>
          <w:tcPr>
            <w:tcW w:w="968" w:type="dxa"/>
            <w:tcBorders>
              <w:top w:val="single" w:sz="4" w:space="0" w:color="FFFFFF"/>
              <w:bottom w:val="single" w:sz="4" w:space="0" w:color="FFFFFF"/>
            </w:tcBorders>
            <w:shd w:val="clear" w:color="auto" w:fill="E8F5F1"/>
          </w:tcPr>
          <w:p>
            <w:pPr>
              <w:pStyle w:val="TableParagraph"/>
              <w:spacing w:line="232" w:lineRule="auto" w:before="46"/>
              <w:ind w:left="269" w:right="322"/>
              <w:jc w:val="both"/>
              <w:rPr>
                <w:i/>
                <w:sz w:val="15"/>
              </w:rPr>
            </w:pPr>
            <w:r>
              <w:rPr>
                <w:i/>
                <w:color w:val="231F20"/>
                <w:spacing w:val="-4"/>
                <w:w w:val="110"/>
                <w:sz w:val="15"/>
              </w:rPr>
              <w:t>CLN2 CLN5 CLN6 CLN7 CLN8</w:t>
            </w:r>
          </w:p>
        </w:tc>
        <w:tc>
          <w:tcPr>
            <w:tcW w:w="2315" w:type="dxa"/>
            <w:tcBorders>
              <w:top w:val="single" w:sz="4" w:space="0" w:color="FFFFFF"/>
              <w:bottom w:val="single" w:sz="4" w:space="0" w:color="FFFFFF"/>
            </w:tcBorders>
            <w:shd w:val="clear" w:color="auto" w:fill="E8F5F1"/>
          </w:tcPr>
          <w:p>
            <w:pPr>
              <w:pStyle w:val="TableParagraph"/>
              <w:spacing w:line="232" w:lineRule="auto" w:before="46"/>
              <w:ind w:left="129"/>
              <w:rPr>
                <w:sz w:val="15"/>
              </w:rPr>
            </w:pPr>
            <w:r>
              <w:rPr>
                <w:color w:val="231F20"/>
                <w:spacing w:val="-2"/>
                <w:sz w:val="15"/>
              </w:rPr>
              <w:t>Tripeptidyl</w:t>
            </w:r>
            <w:r>
              <w:rPr>
                <w:color w:val="231F20"/>
                <w:spacing w:val="-10"/>
                <w:sz w:val="15"/>
              </w:rPr>
              <w:t> </w:t>
            </w:r>
            <w:r>
              <w:rPr>
                <w:color w:val="231F20"/>
                <w:spacing w:val="-2"/>
                <w:sz w:val="15"/>
              </w:rPr>
              <w:t>peptidase-1</w:t>
            </w:r>
            <w:r>
              <w:rPr>
                <w:color w:val="231F20"/>
                <w:spacing w:val="-9"/>
                <w:sz w:val="15"/>
              </w:rPr>
              <w:t> </w:t>
            </w:r>
            <w:r>
              <w:rPr>
                <w:color w:val="231F20"/>
                <w:spacing w:val="-2"/>
                <w:sz w:val="15"/>
              </w:rPr>
              <w:t>(TPP1)</w:t>
            </w:r>
            <w:r>
              <w:rPr>
                <w:color w:val="0080AC"/>
                <w:spacing w:val="-2"/>
                <w:sz w:val="15"/>
                <w:vertAlign w:val="superscript"/>
              </w:rPr>
              <w:t>‡</w:t>
            </w:r>
            <w:r>
              <w:rPr>
                <w:color w:val="0080AC"/>
                <w:spacing w:val="-2"/>
                <w:sz w:val="15"/>
                <w:vertAlign w:val="baseline"/>
              </w:rPr>
              <w:t> </w:t>
            </w:r>
            <w:r>
              <w:rPr>
                <w:color w:val="231F20"/>
                <w:sz w:val="15"/>
                <w:vertAlign w:val="baseline"/>
              </w:rPr>
              <w:t>Partially soluble protein Membrane protein</w:t>
            </w:r>
          </w:p>
          <w:p>
            <w:pPr>
              <w:pStyle w:val="TableParagraph"/>
              <w:spacing w:line="232" w:lineRule="auto" w:before="2"/>
              <w:ind w:left="129" w:right="921"/>
              <w:rPr>
                <w:sz w:val="15"/>
              </w:rPr>
            </w:pPr>
            <w:r>
              <w:rPr>
                <w:color w:val="231F20"/>
                <w:sz w:val="15"/>
              </w:rPr>
              <w:t>Membrane</w:t>
            </w:r>
            <w:r>
              <w:rPr>
                <w:color w:val="231F20"/>
                <w:spacing w:val="-12"/>
                <w:sz w:val="15"/>
              </w:rPr>
              <w:t> </w:t>
            </w:r>
            <w:r>
              <w:rPr>
                <w:color w:val="231F20"/>
                <w:sz w:val="15"/>
              </w:rPr>
              <w:t>protein Membrane</w:t>
            </w:r>
            <w:r>
              <w:rPr>
                <w:color w:val="231F20"/>
                <w:spacing w:val="28"/>
                <w:sz w:val="15"/>
              </w:rPr>
              <w:t> </w:t>
            </w:r>
            <w:r>
              <w:rPr>
                <w:color w:val="231F20"/>
                <w:spacing w:val="-2"/>
                <w:sz w:val="15"/>
              </w:rPr>
              <w:t>protein</w:t>
            </w:r>
          </w:p>
        </w:tc>
        <w:tc>
          <w:tcPr>
            <w:tcW w:w="1536" w:type="dxa"/>
            <w:tcBorders>
              <w:top w:val="single" w:sz="4" w:space="0" w:color="FFFFFF"/>
              <w:bottom w:val="single" w:sz="4" w:space="0" w:color="FFFFFF"/>
            </w:tcBorders>
            <w:shd w:val="clear" w:color="auto" w:fill="E8F5F1"/>
          </w:tcPr>
          <w:p>
            <w:pPr>
              <w:pStyle w:val="TableParagraph"/>
              <w:spacing w:before="42"/>
              <w:ind w:left="209"/>
              <w:rPr>
                <w:sz w:val="15"/>
              </w:rPr>
            </w:pPr>
            <w:r>
              <w:rPr>
                <w:color w:val="231F20"/>
                <w:sz w:val="15"/>
              </w:rPr>
              <w:t>2-8</w:t>
            </w:r>
            <w:r>
              <w:rPr>
                <w:color w:val="231F20"/>
                <w:spacing w:val="-8"/>
                <w:sz w:val="15"/>
              </w:rPr>
              <w:t> </w:t>
            </w:r>
            <w:r>
              <w:rPr>
                <w:color w:val="231F20"/>
                <w:spacing w:val="-5"/>
                <w:sz w:val="15"/>
              </w:rPr>
              <w:t>yr</w:t>
            </w:r>
          </w:p>
          <w:p>
            <w:pPr>
              <w:pStyle w:val="TableParagraph"/>
              <w:rPr>
                <w:sz w:val="15"/>
              </w:rPr>
            </w:pPr>
          </w:p>
          <w:p>
            <w:pPr>
              <w:pStyle w:val="TableParagraph"/>
              <w:spacing w:before="155"/>
              <w:rPr>
                <w:sz w:val="15"/>
              </w:rPr>
            </w:pPr>
          </w:p>
          <w:p>
            <w:pPr>
              <w:pStyle w:val="TableParagraph"/>
              <w:ind w:left="209"/>
              <w:rPr>
                <w:sz w:val="15"/>
              </w:rPr>
            </w:pPr>
            <w:r>
              <w:rPr>
                <w:color w:val="231F20"/>
                <w:sz w:val="15"/>
              </w:rPr>
              <w:t>5-10</w:t>
            </w:r>
            <w:r>
              <w:rPr>
                <w:color w:val="231F20"/>
                <w:spacing w:val="-8"/>
                <w:sz w:val="15"/>
              </w:rPr>
              <w:t> </w:t>
            </w:r>
            <w:r>
              <w:rPr>
                <w:color w:val="231F20"/>
                <w:spacing w:val="-5"/>
                <w:sz w:val="15"/>
              </w:rPr>
              <w:t>yr</w:t>
            </w:r>
          </w:p>
        </w:tc>
        <w:tc>
          <w:tcPr>
            <w:tcW w:w="3748" w:type="dxa"/>
            <w:tcBorders>
              <w:top w:val="single" w:sz="4" w:space="0" w:color="FFFFFF"/>
              <w:bottom w:val="single" w:sz="4" w:space="0" w:color="FFFFFF"/>
            </w:tcBorders>
            <w:shd w:val="clear" w:color="auto" w:fill="E8F5F1"/>
          </w:tcPr>
          <w:p>
            <w:pPr>
              <w:pStyle w:val="TableParagraph"/>
              <w:spacing w:line="230" w:lineRule="auto" w:before="48"/>
              <w:ind w:left="278" w:hanging="112"/>
              <w:rPr>
                <w:sz w:val="15"/>
              </w:rPr>
            </w:pPr>
            <w:r>
              <w:rPr>
                <w:color w:val="231F20"/>
                <w:spacing w:val="-2"/>
                <w:sz w:val="15"/>
              </w:rPr>
              <w:t>Seizures,</w:t>
            </w:r>
            <w:r>
              <w:rPr>
                <w:color w:val="231F20"/>
                <w:spacing w:val="-4"/>
                <w:sz w:val="15"/>
              </w:rPr>
              <w:t> </w:t>
            </w:r>
            <w:r>
              <w:rPr>
                <w:color w:val="231F20"/>
                <w:spacing w:val="-2"/>
                <w:sz w:val="15"/>
              </w:rPr>
              <w:t>often</w:t>
            </w:r>
            <w:r>
              <w:rPr>
                <w:color w:val="231F20"/>
                <w:spacing w:val="-4"/>
                <w:sz w:val="15"/>
              </w:rPr>
              <w:t> </w:t>
            </w:r>
            <w:r>
              <w:rPr>
                <w:color w:val="231F20"/>
                <w:spacing w:val="-2"/>
                <w:sz w:val="15"/>
              </w:rPr>
              <w:t>severe</w:t>
            </w:r>
            <w:r>
              <w:rPr>
                <w:color w:val="231F20"/>
                <w:spacing w:val="-4"/>
                <w:sz w:val="15"/>
              </w:rPr>
              <w:t> </w:t>
            </w:r>
            <w:r>
              <w:rPr>
                <w:color w:val="231F20"/>
                <w:spacing w:val="-2"/>
                <w:sz w:val="15"/>
              </w:rPr>
              <w:t>and</w:t>
            </w:r>
            <w:r>
              <w:rPr>
                <w:color w:val="231F20"/>
                <w:spacing w:val="-4"/>
                <w:sz w:val="15"/>
              </w:rPr>
              <w:t> </w:t>
            </w:r>
            <w:r>
              <w:rPr>
                <w:color w:val="231F20"/>
                <w:spacing w:val="-2"/>
                <w:sz w:val="15"/>
              </w:rPr>
              <w:t>intractable;</w:t>
            </w:r>
            <w:r>
              <w:rPr>
                <w:color w:val="231F20"/>
                <w:spacing w:val="-4"/>
                <w:sz w:val="15"/>
              </w:rPr>
              <w:t> </w:t>
            </w:r>
            <w:r>
              <w:rPr>
                <w:color w:val="231F20"/>
                <w:spacing w:val="-2"/>
                <w:sz w:val="15"/>
              </w:rPr>
              <w:t>cognitive</w:t>
            </w:r>
            <w:r>
              <w:rPr>
                <w:color w:val="231F20"/>
                <w:spacing w:val="-4"/>
                <w:sz w:val="15"/>
              </w:rPr>
              <w:t> </w:t>
            </w:r>
            <w:r>
              <w:rPr>
                <w:color w:val="231F20"/>
                <w:spacing w:val="-2"/>
                <w:sz w:val="15"/>
              </w:rPr>
              <w:t>and </w:t>
            </w:r>
            <w:r>
              <w:rPr>
                <w:color w:val="231F20"/>
                <w:sz w:val="15"/>
              </w:rPr>
              <w:t>motor decline; and visual loss</w:t>
            </w:r>
          </w:p>
          <w:p>
            <w:pPr>
              <w:pStyle w:val="TableParagraph"/>
              <w:spacing w:before="163"/>
              <w:rPr>
                <w:sz w:val="15"/>
              </w:rPr>
            </w:pPr>
          </w:p>
          <w:p>
            <w:pPr>
              <w:pStyle w:val="TableParagraph"/>
              <w:ind w:left="166"/>
              <w:rPr>
                <w:sz w:val="15"/>
              </w:rPr>
            </w:pPr>
            <w:r>
              <w:rPr>
                <w:color w:val="231F20"/>
                <w:sz w:val="15"/>
              </w:rPr>
              <w:t>Severe</w:t>
            </w:r>
            <w:r>
              <w:rPr>
                <w:color w:val="231F20"/>
                <w:spacing w:val="-10"/>
                <w:sz w:val="15"/>
              </w:rPr>
              <w:t> </w:t>
            </w:r>
            <w:r>
              <w:rPr>
                <w:color w:val="231F20"/>
                <w:sz w:val="15"/>
              </w:rPr>
              <w:t>epilepsy,</w:t>
            </w:r>
            <w:r>
              <w:rPr>
                <w:color w:val="231F20"/>
                <w:spacing w:val="-10"/>
                <w:sz w:val="15"/>
              </w:rPr>
              <w:t> </w:t>
            </w:r>
            <w:r>
              <w:rPr>
                <w:color w:val="231F20"/>
                <w:sz w:val="15"/>
              </w:rPr>
              <w:t>progressive</w:t>
            </w:r>
            <w:r>
              <w:rPr>
                <w:color w:val="231F20"/>
                <w:spacing w:val="-9"/>
                <w:sz w:val="15"/>
              </w:rPr>
              <w:t> </w:t>
            </w:r>
            <w:r>
              <w:rPr>
                <w:color w:val="231F20"/>
                <w:sz w:val="15"/>
              </w:rPr>
              <w:t>with</w:t>
            </w:r>
            <w:r>
              <w:rPr>
                <w:color w:val="231F20"/>
                <w:spacing w:val="-10"/>
                <w:sz w:val="15"/>
              </w:rPr>
              <w:t> </w:t>
            </w:r>
            <w:r>
              <w:rPr>
                <w:color w:val="231F20"/>
                <w:sz w:val="15"/>
              </w:rPr>
              <w:t>mental</w:t>
            </w:r>
            <w:r>
              <w:rPr>
                <w:color w:val="231F20"/>
                <w:spacing w:val="-10"/>
                <w:sz w:val="15"/>
              </w:rPr>
              <w:t> </w:t>
            </w:r>
            <w:r>
              <w:rPr>
                <w:color w:val="231F20"/>
                <w:spacing w:val="-2"/>
                <w:sz w:val="15"/>
              </w:rPr>
              <w:t>retardation</w:t>
            </w:r>
          </w:p>
        </w:tc>
      </w:tr>
      <w:tr>
        <w:trPr>
          <w:trHeight w:val="415" w:hRule="atLeast"/>
        </w:trPr>
        <w:tc>
          <w:tcPr>
            <w:tcW w:w="1264" w:type="dxa"/>
            <w:tcBorders>
              <w:top w:val="single" w:sz="4" w:space="0" w:color="FFFFFF"/>
              <w:bottom w:val="single" w:sz="8" w:space="0" w:color="231F20"/>
            </w:tcBorders>
            <w:shd w:val="clear" w:color="auto" w:fill="E8F5F1"/>
          </w:tcPr>
          <w:p>
            <w:pPr>
              <w:pStyle w:val="TableParagraph"/>
              <w:spacing w:before="42"/>
              <w:ind w:left="167"/>
              <w:rPr>
                <w:sz w:val="15"/>
              </w:rPr>
            </w:pPr>
            <w:r>
              <w:rPr>
                <w:color w:val="231F20"/>
                <w:spacing w:val="-2"/>
                <w:sz w:val="15"/>
              </w:rPr>
              <w:t>Juvenile</w:t>
            </w:r>
          </w:p>
        </w:tc>
        <w:tc>
          <w:tcPr>
            <w:tcW w:w="968" w:type="dxa"/>
            <w:tcBorders>
              <w:top w:val="single" w:sz="4" w:space="0" w:color="FFFFFF"/>
              <w:bottom w:val="single" w:sz="8" w:space="0" w:color="231F20"/>
            </w:tcBorders>
            <w:shd w:val="clear" w:color="auto" w:fill="E8F5F1"/>
          </w:tcPr>
          <w:p>
            <w:pPr>
              <w:pStyle w:val="TableParagraph"/>
              <w:spacing w:before="42"/>
              <w:ind w:left="33" w:right="85"/>
              <w:jc w:val="center"/>
              <w:rPr>
                <w:i/>
                <w:sz w:val="15"/>
              </w:rPr>
            </w:pPr>
            <w:r>
              <w:rPr>
                <w:i/>
                <w:color w:val="231F20"/>
                <w:spacing w:val="-4"/>
                <w:w w:val="110"/>
                <w:sz w:val="15"/>
              </w:rPr>
              <w:t>CLN3</w:t>
            </w:r>
          </w:p>
        </w:tc>
        <w:tc>
          <w:tcPr>
            <w:tcW w:w="2315" w:type="dxa"/>
            <w:tcBorders>
              <w:top w:val="single" w:sz="4" w:space="0" w:color="FFFFFF"/>
              <w:bottom w:val="single" w:sz="8" w:space="0" w:color="231F20"/>
            </w:tcBorders>
            <w:shd w:val="clear" w:color="auto" w:fill="E8F5F1"/>
          </w:tcPr>
          <w:p>
            <w:pPr>
              <w:pStyle w:val="TableParagraph"/>
              <w:spacing w:before="42"/>
              <w:ind w:left="129"/>
              <w:rPr>
                <w:sz w:val="15"/>
              </w:rPr>
            </w:pPr>
            <w:r>
              <w:rPr>
                <w:color w:val="231F20"/>
                <w:sz w:val="15"/>
              </w:rPr>
              <w:t>Membrane</w:t>
            </w:r>
            <w:r>
              <w:rPr>
                <w:color w:val="231F20"/>
                <w:spacing w:val="28"/>
                <w:sz w:val="15"/>
              </w:rPr>
              <w:t> </w:t>
            </w:r>
            <w:r>
              <w:rPr>
                <w:color w:val="231F20"/>
                <w:spacing w:val="-2"/>
                <w:sz w:val="15"/>
              </w:rPr>
              <w:t>protein</w:t>
            </w:r>
          </w:p>
        </w:tc>
        <w:tc>
          <w:tcPr>
            <w:tcW w:w="1536" w:type="dxa"/>
            <w:tcBorders>
              <w:top w:val="single" w:sz="4" w:space="0" w:color="FFFFFF"/>
              <w:bottom w:val="single" w:sz="8" w:space="0" w:color="231F20"/>
            </w:tcBorders>
            <w:shd w:val="clear" w:color="auto" w:fill="E8F5F1"/>
          </w:tcPr>
          <w:p>
            <w:pPr>
              <w:pStyle w:val="TableParagraph"/>
              <w:spacing w:before="42"/>
              <w:ind w:left="209"/>
              <w:rPr>
                <w:sz w:val="15"/>
              </w:rPr>
            </w:pPr>
            <w:r>
              <w:rPr>
                <w:color w:val="231F20"/>
                <w:sz w:val="15"/>
              </w:rPr>
              <w:t>4-10</w:t>
            </w:r>
            <w:r>
              <w:rPr>
                <w:color w:val="231F20"/>
                <w:spacing w:val="-8"/>
                <w:sz w:val="15"/>
              </w:rPr>
              <w:t> </w:t>
            </w:r>
            <w:r>
              <w:rPr>
                <w:color w:val="231F20"/>
                <w:spacing w:val="-5"/>
                <w:sz w:val="15"/>
              </w:rPr>
              <w:t>yr</w:t>
            </w:r>
          </w:p>
        </w:tc>
        <w:tc>
          <w:tcPr>
            <w:tcW w:w="3748" w:type="dxa"/>
            <w:tcBorders>
              <w:top w:val="single" w:sz="4" w:space="0" w:color="FFFFFF"/>
              <w:bottom w:val="single" w:sz="8" w:space="0" w:color="231F20"/>
            </w:tcBorders>
            <w:shd w:val="clear" w:color="auto" w:fill="E8F5F1"/>
          </w:tcPr>
          <w:p>
            <w:pPr>
              <w:pStyle w:val="TableParagraph"/>
              <w:spacing w:line="230" w:lineRule="auto" w:before="48"/>
              <w:ind w:left="166" w:right="119"/>
              <w:rPr>
                <w:sz w:val="15"/>
              </w:rPr>
            </w:pPr>
            <w:r>
              <w:rPr>
                <w:color w:val="231F20"/>
                <w:sz w:val="15"/>
              </w:rPr>
              <w:t>Visual</w:t>
            </w:r>
            <w:r>
              <w:rPr>
                <w:color w:val="231F20"/>
                <w:spacing w:val="-12"/>
                <w:sz w:val="15"/>
              </w:rPr>
              <w:t> </w:t>
            </w:r>
            <w:r>
              <w:rPr>
                <w:color w:val="231F20"/>
                <w:sz w:val="15"/>
              </w:rPr>
              <w:t>loss</w:t>
            </w:r>
            <w:r>
              <w:rPr>
                <w:color w:val="231F20"/>
                <w:spacing w:val="-11"/>
                <w:sz w:val="15"/>
              </w:rPr>
              <w:t> </w:t>
            </w:r>
            <w:r>
              <w:rPr>
                <w:color w:val="231F20"/>
                <w:sz w:val="15"/>
              </w:rPr>
              <w:t>is</w:t>
            </w:r>
            <w:r>
              <w:rPr>
                <w:color w:val="231F20"/>
                <w:spacing w:val="-11"/>
                <w:sz w:val="15"/>
              </w:rPr>
              <w:t> </w:t>
            </w:r>
            <w:r>
              <w:rPr>
                <w:color w:val="231F20"/>
                <w:sz w:val="15"/>
              </w:rPr>
              <w:t>usually</w:t>
            </w:r>
            <w:r>
              <w:rPr>
                <w:color w:val="231F20"/>
                <w:spacing w:val="-12"/>
                <w:sz w:val="15"/>
              </w:rPr>
              <w:t> </w:t>
            </w:r>
            <w:r>
              <w:rPr>
                <w:color w:val="231F20"/>
                <w:sz w:val="15"/>
              </w:rPr>
              <w:t>the</w:t>
            </w:r>
            <w:r>
              <w:rPr>
                <w:color w:val="231F20"/>
                <w:spacing w:val="-11"/>
                <w:sz w:val="15"/>
              </w:rPr>
              <w:t> </w:t>
            </w:r>
            <w:r>
              <w:rPr>
                <w:color w:val="231F20"/>
                <w:sz w:val="15"/>
              </w:rPr>
              <w:t>initial</w:t>
            </w:r>
            <w:r>
              <w:rPr>
                <w:color w:val="231F20"/>
                <w:spacing w:val="-11"/>
                <w:sz w:val="15"/>
              </w:rPr>
              <w:t> </w:t>
            </w:r>
            <w:r>
              <w:rPr>
                <w:color w:val="231F20"/>
                <w:sz w:val="15"/>
              </w:rPr>
              <w:t>presenting</w:t>
            </w:r>
            <w:r>
              <w:rPr>
                <w:color w:val="231F20"/>
                <w:spacing w:val="-12"/>
                <w:sz w:val="15"/>
              </w:rPr>
              <w:t> </w:t>
            </w:r>
            <w:r>
              <w:rPr>
                <w:color w:val="231F20"/>
                <w:sz w:val="15"/>
              </w:rPr>
              <w:t>complaint Also have mental, motor disorder and seizures</w:t>
            </w:r>
          </w:p>
        </w:tc>
      </w:tr>
    </w:tbl>
    <w:p>
      <w:pPr>
        <w:pStyle w:val="BodyText"/>
        <w:spacing w:before="76"/>
        <w:ind w:left="579" w:right="705"/>
      </w:pPr>
      <w:r>
        <w:rPr>
          <w:color w:val="231F20"/>
        </w:rPr>
        <w:t>*Note that all the NCL genes have the prefix CLN. The adult form (also called Kufs disease, with locus CLN4, caused by mutations in DNAJC5) is not well</w:t>
      </w:r>
      <w:r>
        <w:rPr>
          <w:color w:val="231F20"/>
          <w:spacing w:val="40"/>
        </w:rPr>
        <w:t> </w:t>
      </w:r>
      <w:r>
        <w:rPr>
          <w:color w:val="231F20"/>
        </w:rPr>
        <w:t>characterized and is not included in the table.</w:t>
      </w:r>
    </w:p>
    <w:p>
      <w:pPr>
        <w:pStyle w:val="BodyText"/>
        <w:spacing w:line="147" w:lineRule="exact"/>
        <w:ind w:left="710"/>
      </w:pPr>
      <w:r>
        <w:rPr>
          <w:color w:val="231F20"/>
          <w:vertAlign w:val="superscript"/>
        </w:rPr>
        <w:t>†</w:t>
      </w:r>
      <w:r>
        <w:rPr>
          <w:color w:val="231F20"/>
          <w:vertAlign w:val="baseline"/>
        </w:rPr>
        <w:t>Direct</w:t>
      </w:r>
      <w:r>
        <w:rPr>
          <w:color w:val="231F20"/>
          <w:spacing w:val="-6"/>
          <w:vertAlign w:val="baseline"/>
        </w:rPr>
        <w:t> </w:t>
      </w:r>
      <w:r>
        <w:rPr>
          <w:color w:val="231F20"/>
          <w:vertAlign w:val="baseline"/>
        </w:rPr>
        <w:t>genetic</w:t>
      </w:r>
      <w:r>
        <w:rPr>
          <w:color w:val="231F20"/>
          <w:spacing w:val="-5"/>
          <w:vertAlign w:val="baseline"/>
        </w:rPr>
        <w:t> </w:t>
      </w:r>
      <w:r>
        <w:rPr>
          <w:color w:val="231F20"/>
          <w:vertAlign w:val="baseline"/>
        </w:rPr>
        <w:t>testing</w:t>
      </w:r>
      <w:r>
        <w:rPr>
          <w:color w:val="231F20"/>
          <w:spacing w:val="-5"/>
          <w:vertAlign w:val="baseline"/>
        </w:rPr>
        <w:t> </w:t>
      </w:r>
      <w:r>
        <w:rPr>
          <w:color w:val="231F20"/>
          <w:vertAlign w:val="baseline"/>
        </w:rPr>
        <w:t>is</w:t>
      </w:r>
      <w:r>
        <w:rPr>
          <w:color w:val="231F20"/>
          <w:spacing w:val="-6"/>
          <w:vertAlign w:val="baseline"/>
        </w:rPr>
        <w:t> </w:t>
      </w:r>
      <w:r>
        <w:rPr>
          <w:color w:val="231F20"/>
          <w:vertAlign w:val="baseline"/>
        </w:rPr>
        <w:t>available</w:t>
      </w:r>
      <w:r>
        <w:rPr>
          <w:color w:val="231F20"/>
          <w:spacing w:val="-5"/>
          <w:vertAlign w:val="baseline"/>
        </w:rPr>
        <w:t> </w:t>
      </w:r>
      <w:r>
        <w:rPr>
          <w:color w:val="231F20"/>
          <w:vertAlign w:val="baseline"/>
        </w:rPr>
        <w:t>for</w:t>
      </w:r>
      <w:r>
        <w:rPr>
          <w:color w:val="231F20"/>
          <w:spacing w:val="-5"/>
          <w:vertAlign w:val="baseline"/>
        </w:rPr>
        <w:t> </w:t>
      </w:r>
      <w:r>
        <w:rPr>
          <w:color w:val="231F20"/>
          <w:spacing w:val="-4"/>
          <w:vertAlign w:val="baseline"/>
        </w:rPr>
        <w:t>all.</w:t>
      </w:r>
    </w:p>
    <w:p>
      <w:pPr>
        <w:pStyle w:val="BodyText"/>
        <w:spacing w:line="150" w:lineRule="exact"/>
        <w:ind w:left="710"/>
      </w:pPr>
      <w:r>
        <w:rPr>
          <w:color w:val="231F20"/>
          <w:vertAlign w:val="superscript"/>
        </w:rPr>
        <w:t>‡</w:t>
      </w:r>
      <w:r>
        <w:rPr>
          <w:color w:val="231F20"/>
          <w:vertAlign w:val="baseline"/>
        </w:rPr>
        <w:t>Enzyme</w:t>
      </w:r>
      <w:r>
        <w:rPr>
          <w:color w:val="231F20"/>
          <w:spacing w:val="2"/>
          <w:vertAlign w:val="baseline"/>
        </w:rPr>
        <w:t> </w:t>
      </w:r>
      <w:r>
        <w:rPr>
          <w:color w:val="231F20"/>
          <w:vertAlign w:val="baseline"/>
        </w:rPr>
        <w:t>testing</w:t>
      </w:r>
      <w:r>
        <w:rPr>
          <w:color w:val="231F20"/>
          <w:spacing w:val="3"/>
          <w:vertAlign w:val="baseline"/>
        </w:rPr>
        <w:t> </w:t>
      </w:r>
      <w:r>
        <w:rPr>
          <w:color w:val="231F20"/>
          <w:spacing w:val="-2"/>
          <w:vertAlign w:val="baseline"/>
        </w:rPr>
        <w:t>available.</w:t>
      </w:r>
    </w:p>
    <w:p>
      <w:pPr>
        <w:pStyle w:val="BodyText"/>
        <w:spacing w:after="0" w:line="150" w:lineRule="exact"/>
        <w:sectPr>
          <w:type w:val="continuous"/>
          <w:pgSz w:w="11900" w:h="16840"/>
          <w:pgMar w:header="0" w:footer="0" w:top="6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893" name="Group 893"/>
                <wp:cNvGraphicFramePr>
                  <a:graphicFrameLocks/>
                </wp:cNvGraphicFramePr>
                <a:graphic>
                  <a:graphicData uri="http://schemas.microsoft.com/office/word/2010/wordprocessingGroup">
                    <wpg:wgp>
                      <wpg:cNvPr id="893" name="Group 893"/>
                      <wpg:cNvGrpSpPr/>
                      <wpg:grpSpPr>
                        <a:xfrm>
                          <a:off x="0" y="0"/>
                          <a:ext cx="6185535" cy="170815"/>
                          <a:chExt cx="6185535" cy="170815"/>
                        </a:xfrm>
                      </wpg:grpSpPr>
                      <wps:wsp>
                        <wps:cNvPr id="894" name="Graphic 894"/>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895" name="Graphic 895"/>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896" name="Textbox 896"/>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2920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28"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729" filled="false" stroked="false">
                  <v:textbox inset="0,0,0,0">
                    <w:txbxContent>
                      <w:p>
                        <w:pPr>
                          <w:spacing w:before="6"/>
                          <w:ind w:left="-1" w:right="0" w:firstLine="0"/>
                          <w:jc w:val="left"/>
                          <w:rPr>
                            <w:sz w:val="18"/>
                          </w:rPr>
                        </w:pPr>
                        <w:r>
                          <w:rPr>
                            <w:b/>
                            <w:color w:val="231F20"/>
                            <w:w w:val="105"/>
                            <w:sz w:val="18"/>
                          </w:rPr>
                          <w:t>2920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692"/>
        <w:gridCol w:w="7902"/>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2</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IPMSSG</w:t>
            </w:r>
            <w:r>
              <w:rPr>
                <w:color w:val="FFFFFF"/>
                <w:spacing w:val="15"/>
                <w:w w:val="105"/>
                <w:sz w:val="16"/>
              </w:rPr>
              <w:t> </w:t>
            </w:r>
            <w:r>
              <w:rPr>
                <w:color w:val="FFFFFF"/>
                <w:w w:val="105"/>
                <w:sz w:val="16"/>
              </w:rPr>
              <w:t>2012</w:t>
            </w:r>
            <w:r>
              <w:rPr>
                <w:color w:val="FFFFFF"/>
                <w:spacing w:val="15"/>
                <w:w w:val="105"/>
                <w:sz w:val="16"/>
              </w:rPr>
              <w:t> </w:t>
            </w:r>
            <w:r>
              <w:rPr>
                <w:color w:val="FFFFFF"/>
                <w:w w:val="105"/>
                <w:sz w:val="16"/>
              </w:rPr>
              <w:t>Definitions</w:t>
            </w:r>
            <w:r>
              <w:rPr>
                <w:color w:val="FFFFFF"/>
                <w:spacing w:val="16"/>
                <w:w w:val="105"/>
                <w:sz w:val="16"/>
              </w:rPr>
              <w:t> </w:t>
            </w:r>
            <w:r>
              <w:rPr>
                <w:color w:val="FFFFFF"/>
                <w:w w:val="105"/>
                <w:sz w:val="16"/>
              </w:rPr>
              <w:t>for</w:t>
            </w:r>
            <w:r>
              <w:rPr>
                <w:color w:val="FFFFFF"/>
                <w:spacing w:val="15"/>
                <w:w w:val="105"/>
                <w:sz w:val="16"/>
              </w:rPr>
              <w:t> </w:t>
            </w:r>
            <w:r>
              <w:rPr>
                <w:color w:val="FFFFFF"/>
                <w:w w:val="105"/>
                <w:sz w:val="16"/>
              </w:rPr>
              <w:t>Pediatric</w:t>
            </w:r>
            <w:r>
              <w:rPr>
                <w:color w:val="FFFFFF"/>
                <w:spacing w:val="16"/>
                <w:w w:val="105"/>
                <w:sz w:val="16"/>
              </w:rPr>
              <w:t> </w:t>
            </w:r>
            <w:r>
              <w:rPr>
                <w:color w:val="FFFFFF"/>
                <w:w w:val="105"/>
                <w:sz w:val="16"/>
              </w:rPr>
              <w:t>Acute</w:t>
            </w:r>
            <w:r>
              <w:rPr>
                <w:color w:val="FFFFFF"/>
                <w:spacing w:val="15"/>
                <w:w w:val="105"/>
                <w:sz w:val="16"/>
              </w:rPr>
              <w:t> </w:t>
            </w:r>
            <w:r>
              <w:rPr>
                <w:color w:val="FFFFFF"/>
                <w:w w:val="105"/>
                <w:sz w:val="16"/>
              </w:rPr>
              <w:t>Demyelinating</w:t>
            </w:r>
            <w:r>
              <w:rPr>
                <w:color w:val="FFFFFF"/>
                <w:spacing w:val="16"/>
                <w:w w:val="105"/>
                <w:sz w:val="16"/>
              </w:rPr>
              <w:t> </w:t>
            </w:r>
            <w:r>
              <w:rPr>
                <w:color w:val="FFFFFF"/>
                <w:w w:val="105"/>
                <w:sz w:val="16"/>
              </w:rPr>
              <w:t>Disorders</w:t>
            </w:r>
            <w:r>
              <w:rPr>
                <w:color w:val="FFFFFF"/>
                <w:spacing w:val="15"/>
                <w:w w:val="105"/>
                <w:sz w:val="16"/>
              </w:rPr>
              <w:t> </w:t>
            </w:r>
            <w:r>
              <w:rPr>
                <w:color w:val="FFFFFF"/>
                <w:w w:val="105"/>
                <w:sz w:val="16"/>
              </w:rPr>
              <w:t>of</w:t>
            </w:r>
            <w:r>
              <w:rPr>
                <w:color w:val="FFFFFF"/>
                <w:spacing w:val="16"/>
                <w:w w:val="105"/>
                <w:sz w:val="16"/>
              </w:rPr>
              <w:t> </w:t>
            </w:r>
            <w:r>
              <w:rPr>
                <w:color w:val="FFFFFF"/>
                <w:w w:val="105"/>
                <w:sz w:val="16"/>
              </w:rPr>
              <w:t>the</w:t>
            </w:r>
            <w:r>
              <w:rPr>
                <w:color w:val="FFFFFF"/>
                <w:spacing w:val="15"/>
                <w:w w:val="105"/>
                <w:sz w:val="16"/>
              </w:rPr>
              <w:t> </w:t>
            </w:r>
            <w:r>
              <w:rPr>
                <w:color w:val="FFFFFF"/>
                <w:w w:val="105"/>
                <w:sz w:val="16"/>
              </w:rPr>
              <w:t>Central</w:t>
            </w:r>
            <w:r>
              <w:rPr>
                <w:color w:val="FFFFFF"/>
                <w:spacing w:val="16"/>
                <w:w w:val="105"/>
                <w:sz w:val="16"/>
              </w:rPr>
              <w:t> </w:t>
            </w:r>
            <w:r>
              <w:rPr>
                <w:color w:val="FFFFFF"/>
                <w:w w:val="105"/>
                <w:sz w:val="16"/>
              </w:rPr>
              <w:t>Nervous</w:t>
            </w:r>
            <w:r>
              <w:rPr>
                <w:color w:val="FFFFFF"/>
                <w:spacing w:val="15"/>
                <w:w w:val="105"/>
                <w:sz w:val="16"/>
              </w:rPr>
              <w:t> </w:t>
            </w:r>
            <w:r>
              <w:rPr>
                <w:color w:val="FFFFFF"/>
                <w:spacing w:val="-2"/>
                <w:w w:val="105"/>
                <w:sz w:val="16"/>
              </w:rPr>
              <w:t>System</w:t>
            </w:r>
          </w:p>
        </w:tc>
      </w:tr>
      <w:tr>
        <w:trPr>
          <w:trHeight w:val="276" w:hRule="atLeast"/>
        </w:trPr>
        <w:tc>
          <w:tcPr>
            <w:tcW w:w="1840"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DISORDER</w:t>
            </w:r>
          </w:p>
        </w:tc>
        <w:tc>
          <w:tcPr>
            <w:tcW w:w="7902" w:type="dxa"/>
            <w:tcBorders>
              <w:bottom w:val="single" w:sz="4" w:space="0" w:color="231F20"/>
            </w:tcBorders>
            <w:shd w:val="clear" w:color="auto" w:fill="E8F5F1"/>
          </w:tcPr>
          <w:p>
            <w:pPr>
              <w:pStyle w:val="TableParagraph"/>
              <w:spacing w:before="66"/>
              <w:ind w:left="391"/>
              <w:jc w:val="center"/>
              <w:rPr>
                <w:b/>
                <w:sz w:val="15"/>
              </w:rPr>
            </w:pPr>
            <w:r>
              <w:rPr>
                <w:b/>
                <w:color w:val="231F20"/>
                <w:w w:val="110"/>
                <w:sz w:val="15"/>
              </w:rPr>
              <w:t>IPMSSG</w:t>
            </w:r>
            <w:r>
              <w:rPr>
                <w:b/>
                <w:color w:val="231F20"/>
                <w:spacing w:val="22"/>
                <w:w w:val="110"/>
                <w:sz w:val="15"/>
              </w:rPr>
              <w:t> </w:t>
            </w:r>
            <w:r>
              <w:rPr>
                <w:b/>
                <w:color w:val="231F20"/>
                <w:spacing w:val="-4"/>
                <w:w w:val="110"/>
                <w:sz w:val="15"/>
              </w:rPr>
              <w:t>2012</w:t>
            </w:r>
          </w:p>
        </w:tc>
      </w:tr>
      <w:tr>
        <w:trPr>
          <w:trHeight w:val="258" w:hRule="atLeast"/>
        </w:trPr>
        <w:tc>
          <w:tcPr>
            <w:tcW w:w="1840"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5"/>
                <w:w w:val="110"/>
                <w:sz w:val="15"/>
              </w:rPr>
              <w:t>CIS</w:t>
            </w:r>
          </w:p>
        </w:tc>
        <w:tc>
          <w:tcPr>
            <w:tcW w:w="7902" w:type="dxa"/>
            <w:tcBorders>
              <w:top w:val="single" w:sz="4" w:space="0" w:color="231F20"/>
              <w:bottom w:val="single" w:sz="4" w:space="0" w:color="FFFFFF"/>
            </w:tcBorders>
            <w:shd w:val="clear" w:color="auto" w:fill="E8F5F1"/>
          </w:tcPr>
          <w:p>
            <w:pPr>
              <w:pStyle w:val="TableParagraph"/>
              <w:numPr>
                <w:ilvl w:val="0"/>
                <w:numId w:val="83"/>
              </w:numPr>
              <w:tabs>
                <w:tab w:pos="616" w:val="left" w:leader="none"/>
              </w:tabs>
              <w:spacing w:line="240" w:lineRule="auto" w:before="47" w:after="0"/>
              <w:ind w:left="616" w:right="0" w:hanging="149"/>
              <w:jc w:val="left"/>
              <w:rPr>
                <w:sz w:val="15"/>
              </w:rPr>
            </w:pPr>
            <w:r>
              <w:rPr>
                <w:color w:val="231F20"/>
                <w:sz w:val="15"/>
              </w:rPr>
              <w:t>A</w:t>
            </w:r>
            <w:r>
              <w:rPr>
                <w:color w:val="231F20"/>
                <w:spacing w:val="-4"/>
                <w:sz w:val="15"/>
              </w:rPr>
              <w:t> </w:t>
            </w:r>
            <w:r>
              <w:rPr>
                <w:color w:val="231F20"/>
                <w:sz w:val="15"/>
              </w:rPr>
              <w:t>first</w:t>
            </w:r>
            <w:r>
              <w:rPr>
                <w:color w:val="231F20"/>
                <w:spacing w:val="-3"/>
                <w:sz w:val="15"/>
              </w:rPr>
              <w:t> </w:t>
            </w:r>
            <w:r>
              <w:rPr>
                <w:color w:val="231F20"/>
                <w:sz w:val="15"/>
              </w:rPr>
              <w:t>monofocal</w:t>
            </w:r>
            <w:r>
              <w:rPr>
                <w:color w:val="231F20"/>
                <w:spacing w:val="-3"/>
                <w:sz w:val="15"/>
              </w:rPr>
              <w:t> </w:t>
            </w:r>
            <w:r>
              <w:rPr>
                <w:color w:val="231F20"/>
                <w:sz w:val="15"/>
              </w:rPr>
              <w:t>or</w:t>
            </w:r>
            <w:r>
              <w:rPr>
                <w:color w:val="231F20"/>
                <w:spacing w:val="-3"/>
                <w:sz w:val="15"/>
              </w:rPr>
              <w:t> </w:t>
            </w:r>
            <w:r>
              <w:rPr>
                <w:color w:val="231F20"/>
                <w:sz w:val="15"/>
              </w:rPr>
              <w:t>multifocal</w:t>
            </w:r>
            <w:r>
              <w:rPr>
                <w:color w:val="231F20"/>
                <w:spacing w:val="-3"/>
                <w:sz w:val="15"/>
              </w:rPr>
              <w:t> </w:t>
            </w:r>
            <w:r>
              <w:rPr>
                <w:color w:val="231F20"/>
                <w:sz w:val="15"/>
              </w:rPr>
              <w:t>CNS</w:t>
            </w:r>
            <w:r>
              <w:rPr>
                <w:color w:val="231F20"/>
                <w:spacing w:val="-4"/>
                <w:sz w:val="15"/>
              </w:rPr>
              <w:t> </w:t>
            </w:r>
            <w:r>
              <w:rPr>
                <w:color w:val="231F20"/>
                <w:sz w:val="15"/>
              </w:rPr>
              <w:t>demyelinating</w:t>
            </w:r>
            <w:r>
              <w:rPr>
                <w:color w:val="231F20"/>
                <w:spacing w:val="-3"/>
                <w:sz w:val="15"/>
              </w:rPr>
              <w:t> </w:t>
            </w:r>
            <w:r>
              <w:rPr>
                <w:color w:val="231F20"/>
                <w:sz w:val="15"/>
              </w:rPr>
              <w:t>event;</w:t>
            </w:r>
            <w:r>
              <w:rPr>
                <w:color w:val="231F20"/>
                <w:spacing w:val="-3"/>
                <w:sz w:val="15"/>
              </w:rPr>
              <w:t> </w:t>
            </w:r>
            <w:r>
              <w:rPr>
                <w:color w:val="231F20"/>
                <w:sz w:val="15"/>
              </w:rPr>
              <w:t>encephalopathy</w:t>
            </w:r>
            <w:r>
              <w:rPr>
                <w:color w:val="231F20"/>
                <w:spacing w:val="-3"/>
                <w:sz w:val="15"/>
              </w:rPr>
              <w:t> </w:t>
            </w:r>
            <w:r>
              <w:rPr>
                <w:color w:val="231F20"/>
                <w:sz w:val="15"/>
              </w:rPr>
              <w:t>is</w:t>
            </w:r>
            <w:r>
              <w:rPr>
                <w:color w:val="231F20"/>
                <w:spacing w:val="-3"/>
                <w:sz w:val="15"/>
              </w:rPr>
              <w:t> </w:t>
            </w:r>
            <w:r>
              <w:rPr>
                <w:color w:val="231F20"/>
                <w:sz w:val="15"/>
              </w:rPr>
              <w:t>absent,</w:t>
            </w:r>
            <w:r>
              <w:rPr>
                <w:color w:val="231F20"/>
                <w:spacing w:val="-4"/>
                <w:sz w:val="15"/>
              </w:rPr>
              <w:t> </w:t>
            </w:r>
            <w:r>
              <w:rPr>
                <w:color w:val="231F20"/>
                <w:sz w:val="15"/>
              </w:rPr>
              <w:t>unless caused</w:t>
            </w:r>
            <w:r>
              <w:rPr>
                <w:color w:val="231F20"/>
                <w:spacing w:val="-1"/>
                <w:sz w:val="15"/>
              </w:rPr>
              <w:t> </w:t>
            </w:r>
            <w:r>
              <w:rPr>
                <w:color w:val="231F20"/>
                <w:sz w:val="15"/>
              </w:rPr>
              <w:t>by </w:t>
            </w:r>
            <w:r>
              <w:rPr>
                <w:color w:val="231F20"/>
                <w:spacing w:val="-2"/>
                <w:sz w:val="15"/>
              </w:rPr>
              <w:t>fever</w:t>
            </w:r>
          </w:p>
        </w:tc>
      </w:tr>
      <w:tr>
        <w:trPr>
          <w:trHeight w:val="1092" w:hRule="atLeast"/>
        </w:trPr>
        <w:tc>
          <w:tcPr>
            <w:tcW w:w="184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Monophasic</w:t>
            </w:r>
            <w:r>
              <w:rPr>
                <w:color w:val="231F20"/>
                <w:spacing w:val="39"/>
                <w:sz w:val="15"/>
              </w:rPr>
              <w:t> </w:t>
            </w:r>
            <w:r>
              <w:rPr>
                <w:color w:val="231F20"/>
                <w:spacing w:val="-4"/>
                <w:sz w:val="15"/>
              </w:rPr>
              <w:t>ADEM</w:t>
            </w:r>
          </w:p>
        </w:tc>
        <w:tc>
          <w:tcPr>
            <w:tcW w:w="7902" w:type="dxa"/>
            <w:tcBorders>
              <w:top w:val="single" w:sz="4" w:space="0" w:color="FFFFFF"/>
              <w:bottom w:val="single" w:sz="4" w:space="0" w:color="FFFFFF"/>
            </w:tcBorders>
            <w:shd w:val="clear" w:color="auto" w:fill="E8F5F1"/>
          </w:tcPr>
          <w:p>
            <w:pPr>
              <w:pStyle w:val="TableParagraph"/>
              <w:numPr>
                <w:ilvl w:val="0"/>
                <w:numId w:val="84"/>
              </w:numPr>
              <w:tabs>
                <w:tab w:pos="616" w:val="left" w:leader="none"/>
              </w:tabs>
              <w:spacing w:line="171" w:lineRule="exact" w:before="42" w:after="0"/>
              <w:ind w:left="616" w:right="0" w:hanging="149"/>
              <w:jc w:val="both"/>
              <w:rPr>
                <w:sz w:val="15"/>
              </w:rPr>
            </w:pPr>
            <w:r>
              <w:rPr>
                <w:color w:val="231F20"/>
                <w:sz w:val="15"/>
              </w:rPr>
              <w:t>A</w:t>
            </w:r>
            <w:r>
              <w:rPr>
                <w:color w:val="231F20"/>
                <w:spacing w:val="-11"/>
                <w:sz w:val="15"/>
              </w:rPr>
              <w:t> </w:t>
            </w:r>
            <w:r>
              <w:rPr>
                <w:color w:val="231F20"/>
                <w:sz w:val="15"/>
              </w:rPr>
              <w:t>first</w:t>
            </w:r>
            <w:r>
              <w:rPr>
                <w:color w:val="231F20"/>
                <w:spacing w:val="-10"/>
                <w:sz w:val="15"/>
              </w:rPr>
              <w:t> </w:t>
            </w:r>
            <w:r>
              <w:rPr>
                <w:color w:val="231F20"/>
                <w:sz w:val="15"/>
              </w:rPr>
              <w:t>polyfocal</w:t>
            </w:r>
            <w:r>
              <w:rPr>
                <w:color w:val="231F20"/>
                <w:spacing w:val="-11"/>
                <w:sz w:val="15"/>
              </w:rPr>
              <w:t> </w:t>
            </w:r>
            <w:r>
              <w:rPr>
                <w:color w:val="231F20"/>
                <w:sz w:val="15"/>
              </w:rPr>
              <w:t>clinical</w:t>
            </w:r>
            <w:r>
              <w:rPr>
                <w:color w:val="231F20"/>
                <w:spacing w:val="-10"/>
                <w:sz w:val="15"/>
              </w:rPr>
              <w:t> </w:t>
            </w:r>
            <w:r>
              <w:rPr>
                <w:color w:val="231F20"/>
                <w:sz w:val="15"/>
              </w:rPr>
              <w:t>CNS</w:t>
            </w:r>
            <w:r>
              <w:rPr>
                <w:color w:val="231F20"/>
                <w:spacing w:val="-11"/>
                <w:sz w:val="15"/>
              </w:rPr>
              <w:t> </w:t>
            </w:r>
            <w:r>
              <w:rPr>
                <w:color w:val="231F20"/>
                <w:sz w:val="15"/>
              </w:rPr>
              <w:t>event</w:t>
            </w:r>
            <w:r>
              <w:rPr>
                <w:color w:val="231F20"/>
                <w:spacing w:val="-10"/>
                <w:sz w:val="15"/>
              </w:rPr>
              <w:t> </w:t>
            </w:r>
            <w:r>
              <w:rPr>
                <w:color w:val="231F20"/>
                <w:sz w:val="15"/>
              </w:rPr>
              <w:t>with</w:t>
            </w:r>
            <w:r>
              <w:rPr>
                <w:color w:val="231F20"/>
                <w:spacing w:val="-11"/>
                <w:sz w:val="15"/>
              </w:rPr>
              <w:t> </w:t>
            </w:r>
            <w:r>
              <w:rPr>
                <w:color w:val="231F20"/>
                <w:sz w:val="15"/>
              </w:rPr>
              <w:t>presumed</w:t>
            </w:r>
            <w:r>
              <w:rPr>
                <w:color w:val="231F20"/>
                <w:spacing w:val="-10"/>
                <w:sz w:val="15"/>
              </w:rPr>
              <w:t> </w:t>
            </w:r>
            <w:r>
              <w:rPr>
                <w:color w:val="231F20"/>
                <w:sz w:val="15"/>
              </w:rPr>
              <w:t>inflammatory</w:t>
            </w:r>
            <w:r>
              <w:rPr>
                <w:color w:val="231F20"/>
                <w:spacing w:val="-11"/>
                <w:sz w:val="15"/>
              </w:rPr>
              <w:t> </w:t>
            </w:r>
            <w:r>
              <w:rPr>
                <w:color w:val="231F20"/>
                <w:spacing w:val="-2"/>
                <w:sz w:val="15"/>
              </w:rPr>
              <w:t>cause</w:t>
            </w:r>
          </w:p>
          <w:p>
            <w:pPr>
              <w:pStyle w:val="TableParagraph"/>
              <w:numPr>
                <w:ilvl w:val="0"/>
                <w:numId w:val="84"/>
              </w:numPr>
              <w:tabs>
                <w:tab w:pos="616" w:val="left" w:leader="none"/>
              </w:tabs>
              <w:spacing w:line="167" w:lineRule="exact" w:before="0" w:after="0"/>
              <w:ind w:left="616" w:right="0" w:hanging="149"/>
              <w:jc w:val="both"/>
              <w:rPr>
                <w:sz w:val="15"/>
              </w:rPr>
            </w:pPr>
            <w:r>
              <w:rPr>
                <w:color w:val="231F20"/>
                <w:sz w:val="15"/>
              </w:rPr>
              <w:t>Encephalopathy</w:t>
            </w:r>
            <w:r>
              <w:rPr>
                <w:color w:val="231F20"/>
                <w:spacing w:val="-2"/>
                <w:sz w:val="15"/>
              </w:rPr>
              <w:t> </w:t>
            </w:r>
            <w:r>
              <w:rPr>
                <w:color w:val="231F20"/>
                <w:sz w:val="15"/>
              </w:rPr>
              <w:t>that</w:t>
            </w:r>
            <w:r>
              <w:rPr>
                <w:color w:val="231F20"/>
                <w:spacing w:val="-1"/>
                <w:sz w:val="15"/>
              </w:rPr>
              <w:t> </w:t>
            </w:r>
            <w:r>
              <w:rPr>
                <w:color w:val="231F20"/>
                <w:sz w:val="15"/>
              </w:rPr>
              <w:t>cannot</w:t>
            </w:r>
            <w:r>
              <w:rPr>
                <w:color w:val="231F20"/>
                <w:spacing w:val="2"/>
                <w:sz w:val="15"/>
              </w:rPr>
              <w:t> </w:t>
            </w:r>
            <w:r>
              <w:rPr>
                <w:color w:val="231F20"/>
                <w:sz w:val="15"/>
              </w:rPr>
              <w:t>be</w:t>
            </w:r>
            <w:r>
              <w:rPr>
                <w:color w:val="231F20"/>
                <w:spacing w:val="2"/>
                <w:sz w:val="15"/>
              </w:rPr>
              <w:t> </w:t>
            </w:r>
            <w:r>
              <w:rPr>
                <w:color w:val="231F20"/>
                <w:sz w:val="15"/>
              </w:rPr>
              <w:t>explained</w:t>
            </w:r>
            <w:r>
              <w:rPr>
                <w:color w:val="231F20"/>
                <w:spacing w:val="2"/>
                <w:sz w:val="15"/>
              </w:rPr>
              <w:t> </w:t>
            </w:r>
            <w:r>
              <w:rPr>
                <w:color w:val="231F20"/>
                <w:sz w:val="15"/>
              </w:rPr>
              <w:t>by</w:t>
            </w:r>
            <w:r>
              <w:rPr>
                <w:color w:val="231F20"/>
                <w:spacing w:val="1"/>
                <w:sz w:val="15"/>
              </w:rPr>
              <w:t> </w:t>
            </w:r>
            <w:r>
              <w:rPr>
                <w:color w:val="231F20"/>
                <w:sz w:val="15"/>
              </w:rPr>
              <w:t>fever</w:t>
            </w:r>
            <w:r>
              <w:rPr>
                <w:color w:val="231F20"/>
                <w:spacing w:val="-1"/>
                <w:sz w:val="15"/>
              </w:rPr>
              <w:t> </w:t>
            </w:r>
            <w:r>
              <w:rPr>
                <w:color w:val="231F20"/>
                <w:sz w:val="15"/>
              </w:rPr>
              <w:t>is</w:t>
            </w:r>
            <w:r>
              <w:rPr>
                <w:color w:val="231F20"/>
                <w:spacing w:val="-1"/>
                <w:sz w:val="15"/>
              </w:rPr>
              <w:t> </w:t>
            </w:r>
            <w:r>
              <w:rPr>
                <w:color w:val="231F20"/>
                <w:spacing w:val="-2"/>
                <w:sz w:val="15"/>
              </w:rPr>
              <w:t>present</w:t>
            </w:r>
          </w:p>
          <w:p>
            <w:pPr>
              <w:pStyle w:val="TableParagraph"/>
              <w:spacing w:line="228" w:lineRule="auto" w:before="3"/>
              <w:ind w:left="616" w:right="575"/>
              <w:jc w:val="both"/>
              <w:rPr>
                <w:sz w:val="15"/>
              </w:rPr>
            </w:pPr>
            <w:r>
              <w:rPr>
                <w:color w:val="231F20"/>
                <w:sz w:val="15"/>
              </w:rPr>
              <w:t>MRI</w:t>
            </w:r>
            <w:r>
              <w:rPr>
                <w:color w:val="231F20"/>
                <w:spacing w:val="-3"/>
                <w:sz w:val="15"/>
              </w:rPr>
              <w:t> </w:t>
            </w:r>
            <w:r>
              <w:rPr>
                <w:color w:val="231F20"/>
                <w:sz w:val="15"/>
              </w:rPr>
              <w:t>typically</w:t>
            </w:r>
            <w:r>
              <w:rPr>
                <w:color w:val="231F20"/>
                <w:spacing w:val="-3"/>
                <w:sz w:val="15"/>
              </w:rPr>
              <w:t> </w:t>
            </w:r>
            <w:r>
              <w:rPr>
                <w:color w:val="231F20"/>
                <w:sz w:val="15"/>
              </w:rPr>
              <w:t>shows</w:t>
            </w:r>
            <w:r>
              <w:rPr>
                <w:color w:val="231F20"/>
                <w:spacing w:val="-3"/>
                <w:sz w:val="15"/>
              </w:rPr>
              <w:t> </w:t>
            </w:r>
            <w:r>
              <w:rPr>
                <w:color w:val="231F20"/>
                <w:sz w:val="15"/>
              </w:rPr>
              <w:t>diffuse, poorly demarcated, large, </w:t>
            </w:r>
            <w:r>
              <w:rPr>
                <w:rFonts w:ascii="Constantia"/>
                <w:b/>
                <w:color w:val="231F20"/>
                <w:sz w:val="15"/>
              </w:rPr>
              <w:t>&gt;</w:t>
            </w:r>
            <w:r>
              <w:rPr>
                <w:color w:val="231F20"/>
                <w:sz w:val="15"/>
              </w:rPr>
              <w:t>1-2 cm lesions</w:t>
            </w:r>
            <w:r>
              <w:rPr>
                <w:color w:val="231F20"/>
                <w:spacing w:val="-3"/>
                <w:sz w:val="15"/>
              </w:rPr>
              <w:t> </w:t>
            </w:r>
            <w:r>
              <w:rPr>
                <w:color w:val="231F20"/>
                <w:sz w:val="15"/>
              </w:rPr>
              <w:t>involving</w:t>
            </w:r>
            <w:r>
              <w:rPr>
                <w:color w:val="231F20"/>
                <w:spacing w:val="-3"/>
                <w:sz w:val="15"/>
              </w:rPr>
              <w:t> </w:t>
            </w:r>
            <w:r>
              <w:rPr>
                <w:color w:val="231F20"/>
                <w:sz w:val="15"/>
              </w:rPr>
              <w:t>predominantly</w:t>
            </w:r>
            <w:r>
              <w:rPr>
                <w:color w:val="231F20"/>
                <w:spacing w:val="-3"/>
                <w:sz w:val="15"/>
              </w:rPr>
              <w:t> </w:t>
            </w:r>
            <w:r>
              <w:rPr>
                <w:color w:val="231F20"/>
                <w:sz w:val="15"/>
              </w:rPr>
              <w:t>the cerebral</w:t>
            </w:r>
            <w:r>
              <w:rPr>
                <w:color w:val="231F20"/>
                <w:spacing w:val="-12"/>
                <w:sz w:val="15"/>
              </w:rPr>
              <w:t> </w:t>
            </w:r>
            <w:r>
              <w:rPr>
                <w:color w:val="231F20"/>
                <w:sz w:val="15"/>
              </w:rPr>
              <w:t>white</w:t>
            </w:r>
            <w:r>
              <w:rPr>
                <w:color w:val="231F20"/>
                <w:spacing w:val="-11"/>
                <w:sz w:val="15"/>
              </w:rPr>
              <w:t> </w:t>
            </w:r>
            <w:r>
              <w:rPr>
                <w:color w:val="231F20"/>
                <w:sz w:val="15"/>
              </w:rPr>
              <w:t>matter;</w:t>
            </w:r>
            <w:r>
              <w:rPr>
                <w:color w:val="231F20"/>
                <w:spacing w:val="-11"/>
                <w:sz w:val="15"/>
              </w:rPr>
              <w:t> </w:t>
            </w:r>
            <w:r>
              <w:rPr>
                <w:color w:val="231F20"/>
                <w:sz w:val="15"/>
              </w:rPr>
              <w:t>T1</w:t>
            </w:r>
            <w:r>
              <w:rPr>
                <w:color w:val="231F20"/>
                <w:spacing w:val="-12"/>
                <w:sz w:val="15"/>
              </w:rPr>
              <w:t> </w:t>
            </w:r>
            <w:r>
              <w:rPr>
                <w:color w:val="231F20"/>
                <w:sz w:val="15"/>
              </w:rPr>
              <w:t>hypointense</w:t>
            </w:r>
            <w:r>
              <w:rPr>
                <w:color w:val="231F20"/>
                <w:spacing w:val="-11"/>
                <w:sz w:val="15"/>
              </w:rPr>
              <w:t> </w:t>
            </w:r>
            <w:r>
              <w:rPr>
                <w:color w:val="231F20"/>
                <w:sz w:val="15"/>
              </w:rPr>
              <w:t>white</w:t>
            </w:r>
            <w:r>
              <w:rPr>
                <w:color w:val="231F20"/>
                <w:spacing w:val="-11"/>
                <w:sz w:val="15"/>
              </w:rPr>
              <w:t> </w:t>
            </w:r>
            <w:r>
              <w:rPr>
                <w:color w:val="231F20"/>
                <w:sz w:val="15"/>
              </w:rPr>
              <w:t>matter</w:t>
            </w:r>
            <w:r>
              <w:rPr>
                <w:color w:val="231F20"/>
                <w:spacing w:val="-12"/>
                <w:sz w:val="15"/>
              </w:rPr>
              <w:t> </w:t>
            </w:r>
            <w:r>
              <w:rPr>
                <w:color w:val="231F20"/>
                <w:sz w:val="15"/>
              </w:rPr>
              <w:t>lesions</w:t>
            </w:r>
            <w:r>
              <w:rPr>
                <w:color w:val="231F20"/>
                <w:spacing w:val="-11"/>
                <w:sz w:val="15"/>
              </w:rPr>
              <w:t> </w:t>
            </w:r>
            <w:r>
              <w:rPr>
                <w:color w:val="231F20"/>
                <w:sz w:val="15"/>
              </w:rPr>
              <w:t>are</w:t>
            </w:r>
            <w:r>
              <w:rPr>
                <w:color w:val="231F20"/>
                <w:spacing w:val="-11"/>
                <w:sz w:val="15"/>
              </w:rPr>
              <w:t> </w:t>
            </w:r>
            <w:r>
              <w:rPr>
                <w:color w:val="231F20"/>
                <w:sz w:val="15"/>
              </w:rPr>
              <w:t>rare;</w:t>
            </w:r>
            <w:r>
              <w:rPr>
                <w:color w:val="231F20"/>
                <w:spacing w:val="-11"/>
                <w:sz w:val="15"/>
              </w:rPr>
              <w:t> </w:t>
            </w:r>
            <w:r>
              <w:rPr>
                <w:color w:val="231F20"/>
                <w:sz w:val="15"/>
              </w:rPr>
              <w:t>deep</w:t>
            </w:r>
            <w:r>
              <w:rPr>
                <w:color w:val="231F20"/>
                <w:spacing w:val="-12"/>
                <w:sz w:val="15"/>
              </w:rPr>
              <w:t> </w:t>
            </w:r>
            <w:r>
              <w:rPr>
                <w:color w:val="231F20"/>
                <w:sz w:val="15"/>
              </w:rPr>
              <w:t>gray-matter</w:t>
            </w:r>
            <w:r>
              <w:rPr>
                <w:color w:val="231F20"/>
                <w:spacing w:val="-11"/>
                <w:sz w:val="15"/>
              </w:rPr>
              <w:t> </w:t>
            </w:r>
            <w:r>
              <w:rPr>
                <w:color w:val="231F20"/>
                <w:sz w:val="15"/>
              </w:rPr>
              <w:t>lesions</w:t>
            </w:r>
            <w:r>
              <w:rPr>
                <w:color w:val="231F20"/>
                <w:spacing w:val="-11"/>
                <w:sz w:val="15"/>
              </w:rPr>
              <w:t> </w:t>
            </w:r>
            <w:r>
              <w:rPr>
                <w:color w:val="231F20"/>
                <w:sz w:val="15"/>
              </w:rPr>
              <w:t>(e.g., thalamus or basal ganglia) can be present</w:t>
            </w:r>
          </w:p>
          <w:p>
            <w:pPr>
              <w:pStyle w:val="TableParagraph"/>
              <w:numPr>
                <w:ilvl w:val="0"/>
                <w:numId w:val="84"/>
              </w:numPr>
              <w:tabs>
                <w:tab w:pos="616" w:val="left" w:leader="none"/>
              </w:tabs>
              <w:spacing w:line="168" w:lineRule="exact" w:before="0" w:after="0"/>
              <w:ind w:left="616" w:right="0" w:hanging="149"/>
              <w:jc w:val="both"/>
              <w:rPr>
                <w:sz w:val="15"/>
              </w:rPr>
            </w:pPr>
            <w:r>
              <w:rPr>
                <w:color w:val="231F20"/>
                <w:sz w:val="15"/>
              </w:rPr>
              <w:t>No new</w:t>
            </w:r>
            <w:r>
              <w:rPr>
                <w:color w:val="231F20"/>
                <w:spacing w:val="1"/>
                <w:sz w:val="15"/>
              </w:rPr>
              <w:t> </w:t>
            </w:r>
            <w:r>
              <w:rPr>
                <w:color w:val="231F20"/>
                <w:sz w:val="15"/>
              </w:rPr>
              <w:t>symptoms,</w:t>
            </w:r>
            <w:r>
              <w:rPr>
                <w:color w:val="231F20"/>
                <w:spacing w:val="1"/>
                <w:sz w:val="15"/>
              </w:rPr>
              <w:t> </w:t>
            </w:r>
            <w:r>
              <w:rPr>
                <w:color w:val="231F20"/>
                <w:sz w:val="15"/>
              </w:rPr>
              <w:t>signs</w:t>
            </w:r>
            <w:r>
              <w:rPr>
                <w:color w:val="231F20"/>
                <w:spacing w:val="1"/>
                <w:sz w:val="15"/>
              </w:rPr>
              <w:t> </w:t>
            </w:r>
            <w:r>
              <w:rPr>
                <w:color w:val="231F20"/>
                <w:sz w:val="15"/>
              </w:rPr>
              <w:t>or</w:t>
            </w:r>
            <w:r>
              <w:rPr>
                <w:color w:val="231F20"/>
                <w:spacing w:val="1"/>
                <w:sz w:val="15"/>
              </w:rPr>
              <w:t> </w:t>
            </w:r>
            <w:r>
              <w:rPr>
                <w:color w:val="231F20"/>
                <w:sz w:val="15"/>
              </w:rPr>
              <w:t>MRI</w:t>
            </w:r>
            <w:r>
              <w:rPr>
                <w:color w:val="231F20"/>
                <w:spacing w:val="1"/>
                <w:sz w:val="15"/>
              </w:rPr>
              <w:t> </w:t>
            </w:r>
            <w:r>
              <w:rPr>
                <w:color w:val="231F20"/>
                <w:sz w:val="15"/>
              </w:rPr>
              <w:t>findings</w:t>
            </w:r>
            <w:r>
              <w:rPr>
                <w:color w:val="231F20"/>
                <w:spacing w:val="1"/>
                <w:sz w:val="15"/>
              </w:rPr>
              <w:t> </w:t>
            </w:r>
            <w:r>
              <w:rPr>
                <w:color w:val="231F20"/>
                <w:sz w:val="15"/>
              </w:rPr>
              <w:t>after</w:t>
            </w:r>
            <w:r>
              <w:rPr>
                <w:color w:val="231F20"/>
                <w:spacing w:val="1"/>
                <w:sz w:val="15"/>
              </w:rPr>
              <w:t> </w:t>
            </w:r>
            <w:r>
              <w:rPr>
                <w:color w:val="231F20"/>
                <w:sz w:val="15"/>
              </w:rPr>
              <w:t>3</w:t>
            </w:r>
            <w:r>
              <w:rPr>
                <w:color w:val="231F20"/>
                <w:spacing w:val="1"/>
                <w:sz w:val="15"/>
              </w:rPr>
              <w:t> </w:t>
            </w:r>
            <w:r>
              <w:rPr>
                <w:color w:val="231F20"/>
                <w:sz w:val="15"/>
              </w:rPr>
              <w:t>mo</w:t>
            </w:r>
            <w:r>
              <w:rPr>
                <w:color w:val="231F20"/>
                <w:spacing w:val="1"/>
                <w:sz w:val="15"/>
              </w:rPr>
              <w:t> </w:t>
            </w:r>
            <w:r>
              <w:rPr>
                <w:color w:val="231F20"/>
                <w:sz w:val="15"/>
              </w:rPr>
              <w:t>of</w:t>
            </w:r>
            <w:r>
              <w:rPr>
                <w:color w:val="231F20"/>
                <w:spacing w:val="1"/>
                <w:sz w:val="15"/>
              </w:rPr>
              <w:t> </w:t>
            </w:r>
            <w:r>
              <w:rPr>
                <w:color w:val="231F20"/>
                <w:sz w:val="15"/>
              </w:rPr>
              <w:t>the</w:t>
            </w:r>
            <w:r>
              <w:rPr>
                <w:color w:val="231F20"/>
                <w:spacing w:val="1"/>
                <w:sz w:val="15"/>
              </w:rPr>
              <w:t> </w:t>
            </w:r>
            <w:r>
              <w:rPr>
                <w:color w:val="231F20"/>
                <w:sz w:val="15"/>
              </w:rPr>
              <w:t>incident</w:t>
            </w:r>
            <w:r>
              <w:rPr>
                <w:color w:val="231F20"/>
                <w:spacing w:val="1"/>
                <w:sz w:val="15"/>
              </w:rPr>
              <w:t> </w:t>
            </w:r>
            <w:r>
              <w:rPr>
                <w:color w:val="231F20"/>
                <w:spacing w:val="-4"/>
                <w:sz w:val="15"/>
              </w:rPr>
              <w:t>ADEM</w:t>
            </w:r>
          </w:p>
        </w:tc>
      </w:tr>
      <w:tr>
        <w:trPr>
          <w:trHeight w:val="253" w:hRule="atLeast"/>
        </w:trPr>
        <w:tc>
          <w:tcPr>
            <w:tcW w:w="184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Recurrent</w:t>
            </w:r>
            <w:r>
              <w:rPr>
                <w:color w:val="231F20"/>
                <w:spacing w:val="-8"/>
                <w:sz w:val="15"/>
              </w:rPr>
              <w:t> </w:t>
            </w:r>
            <w:r>
              <w:rPr>
                <w:color w:val="231F20"/>
                <w:spacing w:val="-4"/>
                <w:sz w:val="15"/>
              </w:rPr>
              <w:t>ADEM</w:t>
            </w:r>
          </w:p>
        </w:tc>
        <w:tc>
          <w:tcPr>
            <w:tcW w:w="7902" w:type="dxa"/>
            <w:tcBorders>
              <w:top w:val="single" w:sz="4" w:space="0" w:color="FFFFFF"/>
              <w:bottom w:val="single" w:sz="4" w:space="0" w:color="FFFFFF"/>
            </w:tcBorders>
            <w:shd w:val="clear" w:color="auto" w:fill="E8F5F1"/>
          </w:tcPr>
          <w:p>
            <w:pPr>
              <w:pStyle w:val="TableParagraph"/>
              <w:numPr>
                <w:ilvl w:val="0"/>
                <w:numId w:val="85"/>
              </w:numPr>
              <w:tabs>
                <w:tab w:pos="616" w:val="left" w:leader="none"/>
              </w:tabs>
              <w:spacing w:line="240" w:lineRule="auto" w:before="43" w:after="0"/>
              <w:ind w:left="616" w:right="0" w:hanging="149"/>
              <w:jc w:val="left"/>
              <w:rPr>
                <w:sz w:val="15"/>
              </w:rPr>
            </w:pPr>
            <w:r>
              <w:rPr>
                <w:color w:val="231F20"/>
                <w:sz w:val="15"/>
              </w:rPr>
              <w:t>See</w:t>
            </w:r>
            <w:r>
              <w:rPr>
                <w:color w:val="231F20"/>
                <w:spacing w:val="2"/>
                <w:sz w:val="15"/>
              </w:rPr>
              <w:t> </w:t>
            </w:r>
            <w:r>
              <w:rPr>
                <w:color w:val="231F20"/>
                <w:sz w:val="15"/>
              </w:rPr>
              <w:t>multiphasic</w:t>
            </w:r>
            <w:r>
              <w:rPr>
                <w:color w:val="231F20"/>
                <w:spacing w:val="2"/>
                <w:sz w:val="15"/>
              </w:rPr>
              <w:t> </w:t>
            </w:r>
            <w:r>
              <w:rPr>
                <w:color w:val="231F20"/>
                <w:spacing w:val="-4"/>
                <w:sz w:val="15"/>
              </w:rPr>
              <w:t>ADEM</w:t>
            </w:r>
          </w:p>
        </w:tc>
      </w:tr>
      <w:tr>
        <w:trPr>
          <w:trHeight w:val="421" w:hRule="atLeast"/>
        </w:trPr>
        <w:tc>
          <w:tcPr>
            <w:tcW w:w="184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Multiphasic</w:t>
            </w:r>
            <w:r>
              <w:rPr>
                <w:color w:val="231F20"/>
                <w:spacing w:val="1"/>
                <w:sz w:val="15"/>
              </w:rPr>
              <w:t> </w:t>
            </w:r>
            <w:r>
              <w:rPr>
                <w:color w:val="231F20"/>
                <w:spacing w:val="-4"/>
                <w:sz w:val="15"/>
              </w:rPr>
              <w:t>ADEM</w:t>
            </w:r>
          </w:p>
        </w:tc>
        <w:tc>
          <w:tcPr>
            <w:tcW w:w="7902" w:type="dxa"/>
            <w:tcBorders>
              <w:top w:val="single" w:sz="4" w:space="0" w:color="FFFFFF"/>
              <w:bottom w:val="single" w:sz="4" w:space="0" w:color="FFFFFF"/>
            </w:tcBorders>
            <w:shd w:val="clear" w:color="auto" w:fill="E8F5F1"/>
          </w:tcPr>
          <w:p>
            <w:pPr>
              <w:pStyle w:val="TableParagraph"/>
              <w:numPr>
                <w:ilvl w:val="0"/>
                <w:numId w:val="86"/>
              </w:numPr>
              <w:tabs>
                <w:tab w:pos="616" w:val="left" w:leader="none"/>
              </w:tabs>
              <w:spacing w:line="230" w:lineRule="auto" w:before="48" w:after="0"/>
              <w:ind w:left="616" w:right="166" w:hanging="150"/>
              <w:jc w:val="left"/>
              <w:rPr>
                <w:sz w:val="15"/>
              </w:rPr>
            </w:pPr>
            <w:r>
              <w:rPr>
                <w:color w:val="231F20"/>
                <w:sz w:val="15"/>
              </w:rPr>
              <w:t>New</w:t>
            </w:r>
            <w:r>
              <w:rPr>
                <w:color w:val="231F20"/>
                <w:spacing w:val="-2"/>
                <w:sz w:val="15"/>
              </w:rPr>
              <w:t> </w:t>
            </w:r>
            <w:r>
              <w:rPr>
                <w:color w:val="231F20"/>
                <w:sz w:val="15"/>
              </w:rPr>
              <w:t>event</w:t>
            </w:r>
            <w:r>
              <w:rPr>
                <w:color w:val="231F20"/>
                <w:spacing w:val="-2"/>
                <w:sz w:val="15"/>
              </w:rPr>
              <w:t> </w:t>
            </w:r>
            <w:r>
              <w:rPr>
                <w:color w:val="231F20"/>
                <w:sz w:val="15"/>
              </w:rPr>
              <w:t>of</w:t>
            </w:r>
            <w:r>
              <w:rPr>
                <w:color w:val="231F20"/>
                <w:spacing w:val="-2"/>
                <w:sz w:val="15"/>
              </w:rPr>
              <w:t> </w:t>
            </w:r>
            <w:r>
              <w:rPr>
                <w:color w:val="231F20"/>
                <w:sz w:val="15"/>
              </w:rPr>
              <w:t>ADEM</w:t>
            </w:r>
            <w:r>
              <w:rPr>
                <w:color w:val="231F20"/>
                <w:spacing w:val="-2"/>
                <w:sz w:val="15"/>
              </w:rPr>
              <w:t> </w:t>
            </w:r>
            <w:r>
              <w:rPr>
                <w:color w:val="231F20"/>
                <w:sz w:val="15"/>
              </w:rPr>
              <w:t>3</w:t>
            </w:r>
            <w:r>
              <w:rPr>
                <w:color w:val="231F20"/>
                <w:spacing w:val="-2"/>
                <w:sz w:val="15"/>
              </w:rPr>
              <w:t> </w:t>
            </w:r>
            <w:r>
              <w:rPr>
                <w:color w:val="231F20"/>
                <w:sz w:val="15"/>
              </w:rPr>
              <w:t>mo</w:t>
            </w:r>
            <w:r>
              <w:rPr>
                <w:color w:val="231F20"/>
                <w:spacing w:val="-2"/>
                <w:sz w:val="15"/>
              </w:rPr>
              <w:t> </w:t>
            </w:r>
            <w:r>
              <w:rPr>
                <w:color w:val="231F20"/>
                <w:sz w:val="15"/>
              </w:rPr>
              <w:t>or</w:t>
            </w:r>
            <w:r>
              <w:rPr>
                <w:color w:val="231F20"/>
                <w:spacing w:val="-2"/>
                <w:sz w:val="15"/>
              </w:rPr>
              <w:t> </w:t>
            </w:r>
            <w:r>
              <w:rPr>
                <w:color w:val="231F20"/>
                <w:sz w:val="15"/>
              </w:rPr>
              <w:t>more</w:t>
            </w:r>
            <w:r>
              <w:rPr>
                <w:color w:val="231F20"/>
                <w:spacing w:val="-2"/>
                <w:sz w:val="15"/>
              </w:rPr>
              <w:t> </w:t>
            </w:r>
            <w:r>
              <w:rPr>
                <w:color w:val="231F20"/>
                <w:sz w:val="15"/>
              </w:rPr>
              <w:t>after</w:t>
            </w:r>
            <w:r>
              <w:rPr>
                <w:color w:val="231F20"/>
                <w:spacing w:val="-2"/>
                <w:sz w:val="15"/>
              </w:rPr>
              <w:t> </w:t>
            </w:r>
            <w:r>
              <w:rPr>
                <w:color w:val="231F20"/>
                <w:sz w:val="15"/>
              </w:rPr>
              <w:t>the</w:t>
            </w:r>
            <w:r>
              <w:rPr>
                <w:color w:val="231F20"/>
                <w:spacing w:val="-2"/>
                <w:sz w:val="15"/>
              </w:rPr>
              <w:t> </w:t>
            </w:r>
            <w:r>
              <w:rPr>
                <w:color w:val="231F20"/>
                <w:sz w:val="15"/>
              </w:rPr>
              <w:t>initial</w:t>
            </w:r>
            <w:r>
              <w:rPr>
                <w:color w:val="231F20"/>
                <w:spacing w:val="-2"/>
                <w:sz w:val="15"/>
              </w:rPr>
              <w:t> </w:t>
            </w:r>
            <w:r>
              <w:rPr>
                <w:color w:val="231F20"/>
                <w:sz w:val="15"/>
              </w:rPr>
              <w:t>event</w:t>
            </w:r>
            <w:r>
              <w:rPr>
                <w:color w:val="231F20"/>
                <w:spacing w:val="-2"/>
                <w:sz w:val="15"/>
              </w:rPr>
              <w:t> </w:t>
            </w:r>
            <w:r>
              <w:rPr>
                <w:color w:val="231F20"/>
                <w:sz w:val="15"/>
              </w:rPr>
              <w:t>that</w:t>
            </w:r>
            <w:r>
              <w:rPr>
                <w:color w:val="231F20"/>
                <w:spacing w:val="-2"/>
                <w:sz w:val="15"/>
              </w:rPr>
              <w:t> </w:t>
            </w:r>
            <w:r>
              <w:rPr>
                <w:color w:val="231F20"/>
                <w:sz w:val="15"/>
              </w:rPr>
              <w:t>can</w:t>
            </w:r>
            <w:r>
              <w:rPr>
                <w:color w:val="231F20"/>
                <w:spacing w:val="-2"/>
                <w:sz w:val="15"/>
              </w:rPr>
              <w:t> </w:t>
            </w:r>
            <w:r>
              <w:rPr>
                <w:color w:val="231F20"/>
                <w:sz w:val="15"/>
              </w:rPr>
              <w:t>be</w:t>
            </w:r>
            <w:r>
              <w:rPr>
                <w:color w:val="231F20"/>
                <w:spacing w:val="-2"/>
                <w:sz w:val="15"/>
              </w:rPr>
              <w:t> </w:t>
            </w:r>
            <w:r>
              <w:rPr>
                <w:color w:val="231F20"/>
                <w:sz w:val="15"/>
              </w:rPr>
              <w:t>associated</w:t>
            </w:r>
            <w:r>
              <w:rPr>
                <w:color w:val="231F20"/>
                <w:spacing w:val="-2"/>
                <w:sz w:val="15"/>
              </w:rPr>
              <w:t> </w:t>
            </w:r>
            <w:r>
              <w:rPr>
                <w:color w:val="231F20"/>
                <w:sz w:val="15"/>
              </w:rPr>
              <w:t>with</w:t>
            </w:r>
            <w:r>
              <w:rPr>
                <w:color w:val="231F20"/>
                <w:spacing w:val="-2"/>
                <w:sz w:val="15"/>
              </w:rPr>
              <w:t> </w:t>
            </w:r>
            <w:r>
              <w:rPr>
                <w:color w:val="231F20"/>
                <w:sz w:val="15"/>
              </w:rPr>
              <w:t>new or reemergence of prior clinical and MRI findings. Timing in relation to steroids is no longer pertinent</w:t>
            </w:r>
          </w:p>
        </w:tc>
      </w:tr>
      <w:tr>
        <w:trPr>
          <w:trHeight w:val="1092" w:hRule="atLeast"/>
        </w:trPr>
        <w:tc>
          <w:tcPr>
            <w:tcW w:w="1840"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w w:val="120"/>
                <w:sz w:val="15"/>
              </w:rPr>
              <w:t>MS</w:t>
            </w:r>
          </w:p>
        </w:tc>
        <w:tc>
          <w:tcPr>
            <w:tcW w:w="7902" w:type="dxa"/>
            <w:tcBorders>
              <w:top w:val="single" w:sz="4" w:space="0" w:color="FFFFFF"/>
              <w:bottom w:val="single" w:sz="4" w:space="0" w:color="FFFFFF"/>
            </w:tcBorders>
            <w:shd w:val="clear" w:color="auto" w:fill="E8F5F1"/>
          </w:tcPr>
          <w:p>
            <w:pPr>
              <w:pStyle w:val="TableParagraph"/>
              <w:spacing w:line="171" w:lineRule="exact" w:before="42"/>
              <w:ind w:left="467"/>
              <w:rPr>
                <w:sz w:val="15"/>
              </w:rPr>
            </w:pPr>
            <w:r>
              <w:rPr>
                <w:color w:val="231F20"/>
                <w:sz w:val="15"/>
              </w:rPr>
              <w:t>Any</w:t>
            </w:r>
            <w:r>
              <w:rPr>
                <w:color w:val="231F20"/>
                <w:spacing w:val="-1"/>
                <w:sz w:val="15"/>
              </w:rPr>
              <w:t> </w:t>
            </w:r>
            <w:r>
              <w:rPr>
                <w:color w:val="231F20"/>
                <w:sz w:val="15"/>
              </w:rPr>
              <w:t>of the </w:t>
            </w:r>
            <w:r>
              <w:rPr>
                <w:color w:val="231F20"/>
                <w:spacing w:val="-2"/>
                <w:sz w:val="15"/>
              </w:rPr>
              <w:t>following:</w:t>
            </w:r>
          </w:p>
          <w:p>
            <w:pPr>
              <w:pStyle w:val="TableParagraph"/>
              <w:numPr>
                <w:ilvl w:val="0"/>
                <w:numId w:val="87"/>
              </w:numPr>
              <w:tabs>
                <w:tab w:pos="616" w:val="left" w:leader="none"/>
              </w:tabs>
              <w:spacing w:line="230" w:lineRule="auto" w:before="2" w:after="0"/>
              <w:ind w:left="616" w:right="77" w:hanging="150"/>
              <w:jc w:val="left"/>
              <w:rPr>
                <w:sz w:val="15"/>
              </w:rPr>
            </w:pPr>
            <w:r>
              <w:rPr>
                <w:color w:val="231F20"/>
                <w:sz w:val="15"/>
              </w:rPr>
              <w:t>Two</w:t>
            </w:r>
            <w:r>
              <w:rPr>
                <w:color w:val="231F20"/>
                <w:spacing w:val="-3"/>
                <w:sz w:val="15"/>
              </w:rPr>
              <w:t> </w:t>
            </w:r>
            <w:r>
              <w:rPr>
                <w:color w:val="231F20"/>
                <w:sz w:val="15"/>
              </w:rPr>
              <w:t>or</w:t>
            </w:r>
            <w:r>
              <w:rPr>
                <w:color w:val="231F20"/>
                <w:spacing w:val="-3"/>
                <w:sz w:val="15"/>
              </w:rPr>
              <w:t> </w:t>
            </w:r>
            <w:r>
              <w:rPr>
                <w:color w:val="231F20"/>
                <w:sz w:val="15"/>
              </w:rPr>
              <w:t>more</w:t>
            </w:r>
            <w:r>
              <w:rPr>
                <w:color w:val="231F20"/>
                <w:spacing w:val="-3"/>
                <w:sz w:val="15"/>
              </w:rPr>
              <w:t> </w:t>
            </w:r>
            <w:r>
              <w:rPr>
                <w:color w:val="231F20"/>
                <w:sz w:val="15"/>
              </w:rPr>
              <w:t>nonencephalopathic</w:t>
            </w:r>
            <w:r>
              <w:rPr>
                <w:color w:val="231F20"/>
                <w:spacing w:val="-3"/>
                <w:sz w:val="15"/>
              </w:rPr>
              <w:t> </w:t>
            </w:r>
            <w:r>
              <w:rPr>
                <w:color w:val="231F20"/>
                <w:sz w:val="15"/>
              </w:rPr>
              <w:t>CNS</w:t>
            </w:r>
            <w:r>
              <w:rPr>
                <w:color w:val="231F20"/>
                <w:spacing w:val="-3"/>
                <w:sz w:val="15"/>
              </w:rPr>
              <w:t> </w:t>
            </w:r>
            <w:r>
              <w:rPr>
                <w:color w:val="231F20"/>
                <w:sz w:val="15"/>
              </w:rPr>
              <w:t>clinical</w:t>
            </w:r>
            <w:r>
              <w:rPr>
                <w:color w:val="231F20"/>
                <w:spacing w:val="-3"/>
                <w:sz w:val="15"/>
              </w:rPr>
              <w:t> </w:t>
            </w:r>
            <w:r>
              <w:rPr>
                <w:color w:val="231F20"/>
                <w:sz w:val="15"/>
              </w:rPr>
              <w:t>events</w:t>
            </w:r>
            <w:r>
              <w:rPr>
                <w:color w:val="231F20"/>
                <w:spacing w:val="-3"/>
                <w:sz w:val="15"/>
              </w:rPr>
              <w:t> </w:t>
            </w:r>
            <w:r>
              <w:rPr>
                <w:color w:val="231F20"/>
                <w:sz w:val="15"/>
              </w:rPr>
              <w:t>separated</w:t>
            </w:r>
            <w:r>
              <w:rPr>
                <w:color w:val="231F20"/>
                <w:spacing w:val="-3"/>
                <w:sz w:val="15"/>
              </w:rPr>
              <w:t> </w:t>
            </w:r>
            <w:r>
              <w:rPr>
                <w:color w:val="231F20"/>
                <w:sz w:val="15"/>
              </w:rPr>
              <w:t>by</w:t>
            </w:r>
            <w:r>
              <w:rPr>
                <w:color w:val="231F20"/>
                <w:spacing w:val="-3"/>
                <w:sz w:val="15"/>
              </w:rPr>
              <w:t> </w:t>
            </w:r>
            <w:r>
              <w:rPr>
                <w:color w:val="231F20"/>
                <w:sz w:val="15"/>
              </w:rPr>
              <w:t>more</w:t>
            </w:r>
            <w:r>
              <w:rPr>
                <w:color w:val="231F20"/>
                <w:spacing w:val="-3"/>
                <w:sz w:val="15"/>
              </w:rPr>
              <w:t> </w:t>
            </w:r>
            <w:r>
              <w:rPr>
                <w:color w:val="231F20"/>
                <w:sz w:val="15"/>
              </w:rPr>
              <w:t>than</w:t>
            </w:r>
            <w:r>
              <w:rPr>
                <w:color w:val="231F20"/>
                <w:spacing w:val="-3"/>
                <w:sz w:val="15"/>
              </w:rPr>
              <w:t> </w:t>
            </w:r>
            <w:r>
              <w:rPr>
                <w:color w:val="231F20"/>
                <w:sz w:val="15"/>
              </w:rPr>
              <w:t>30</w:t>
            </w:r>
            <w:r>
              <w:rPr>
                <w:color w:val="231F20"/>
                <w:spacing w:val="-3"/>
                <w:sz w:val="15"/>
              </w:rPr>
              <w:t> </w:t>
            </w:r>
            <w:r>
              <w:rPr>
                <w:color w:val="231F20"/>
                <w:sz w:val="15"/>
              </w:rPr>
              <w:t>days,</w:t>
            </w:r>
            <w:r>
              <w:rPr>
                <w:color w:val="231F20"/>
                <w:spacing w:val="-3"/>
                <w:sz w:val="15"/>
              </w:rPr>
              <w:t> </w:t>
            </w:r>
            <w:r>
              <w:rPr>
                <w:color w:val="231F20"/>
                <w:sz w:val="15"/>
              </w:rPr>
              <w:t>involving</w:t>
            </w:r>
            <w:r>
              <w:rPr>
                <w:color w:val="231F20"/>
                <w:spacing w:val="-3"/>
                <w:sz w:val="15"/>
              </w:rPr>
              <w:t> </w:t>
            </w:r>
            <w:r>
              <w:rPr>
                <w:color w:val="231F20"/>
                <w:sz w:val="15"/>
              </w:rPr>
              <w:t>more</w:t>
            </w:r>
            <w:r>
              <w:rPr>
                <w:color w:val="231F20"/>
                <w:spacing w:val="-3"/>
                <w:sz w:val="15"/>
              </w:rPr>
              <w:t> </w:t>
            </w:r>
            <w:r>
              <w:rPr>
                <w:color w:val="231F20"/>
                <w:sz w:val="15"/>
              </w:rPr>
              <w:t>than 1 area of the CNS</w:t>
            </w:r>
          </w:p>
          <w:p>
            <w:pPr>
              <w:pStyle w:val="TableParagraph"/>
              <w:numPr>
                <w:ilvl w:val="0"/>
                <w:numId w:val="87"/>
              </w:numPr>
              <w:tabs>
                <w:tab w:pos="616" w:val="left" w:leader="none"/>
              </w:tabs>
              <w:spacing w:line="230" w:lineRule="auto" w:before="2" w:after="0"/>
              <w:ind w:left="616" w:right="223" w:hanging="150"/>
              <w:jc w:val="left"/>
              <w:rPr>
                <w:sz w:val="15"/>
              </w:rPr>
            </w:pPr>
            <w:r>
              <w:rPr>
                <w:color w:val="231F20"/>
                <w:sz w:val="15"/>
              </w:rPr>
              <w:t>Single</w:t>
            </w:r>
            <w:r>
              <w:rPr>
                <w:color w:val="231F20"/>
                <w:spacing w:val="-5"/>
                <w:sz w:val="15"/>
              </w:rPr>
              <w:t> </w:t>
            </w:r>
            <w:r>
              <w:rPr>
                <w:color w:val="231F20"/>
                <w:sz w:val="15"/>
              </w:rPr>
              <w:t>clinical</w:t>
            </w:r>
            <w:r>
              <w:rPr>
                <w:color w:val="231F20"/>
                <w:spacing w:val="-5"/>
                <w:sz w:val="15"/>
              </w:rPr>
              <w:t> </w:t>
            </w:r>
            <w:r>
              <w:rPr>
                <w:color w:val="231F20"/>
                <w:sz w:val="15"/>
              </w:rPr>
              <w:t>event</w:t>
            </w:r>
            <w:r>
              <w:rPr>
                <w:color w:val="231F20"/>
                <w:spacing w:val="-5"/>
                <w:sz w:val="15"/>
              </w:rPr>
              <w:t> </w:t>
            </w:r>
            <w:r>
              <w:rPr>
                <w:color w:val="231F20"/>
                <w:sz w:val="15"/>
              </w:rPr>
              <w:t>and</w:t>
            </w:r>
            <w:r>
              <w:rPr>
                <w:color w:val="231F20"/>
                <w:spacing w:val="-5"/>
                <w:sz w:val="15"/>
              </w:rPr>
              <w:t> </w:t>
            </w:r>
            <w:r>
              <w:rPr>
                <w:color w:val="231F20"/>
                <w:sz w:val="15"/>
              </w:rPr>
              <w:t>MRI</w:t>
            </w:r>
            <w:r>
              <w:rPr>
                <w:color w:val="231F20"/>
                <w:spacing w:val="-5"/>
                <w:sz w:val="15"/>
              </w:rPr>
              <w:t> </w:t>
            </w:r>
            <w:r>
              <w:rPr>
                <w:color w:val="231F20"/>
                <w:sz w:val="15"/>
              </w:rPr>
              <w:t>features</w:t>
            </w:r>
            <w:r>
              <w:rPr>
                <w:color w:val="231F20"/>
                <w:spacing w:val="-5"/>
                <w:sz w:val="15"/>
              </w:rPr>
              <w:t> </w:t>
            </w:r>
            <w:r>
              <w:rPr>
                <w:color w:val="231F20"/>
                <w:sz w:val="15"/>
              </w:rPr>
              <w:t>rely</w:t>
            </w:r>
            <w:r>
              <w:rPr>
                <w:color w:val="231F20"/>
                <w:spacing w:val="-5"/>
                <w:sz w:val="15"/>
              </w:rPr>
              <w:t> </w:t>
            </w:r>
            <w:r>
              <w:rPr>
                <w:color w:val="231F20"/>
                <w:sz w:val="15"/>
              </w:rPr>
              <w:t>on</w:t>
            </w:r>
            <w:r>
              <w:rPr>
                <w:color w:val="231F20"/>
                <w:spacing w:val="-5"/>
                <w:sz w:val="15"/>
              </w:rPr>
              <w:t> </w:t>
            </w:r>
            <w:r>
              <w:rPr>
                <w:color w:val="231F20"/>
                <w:sz w:val="15"/>
              </w:rPr>
              <w:t>2010</w:t>
            </w:r>
            <w:r>
              <w:rPr>
                <w:color w:val="231F20"/>
                <w:spacing w:val="-5"/>
                <w:sz w:val="15"/>
              </w:rPr>
              <w:t> </w:t>
            </w:r>
            <w:r>
              <w:rPr>
                <w:color w:val="231F20"/>
                <w:sz w:val="15"/>
              </w:rPr>
              <w:t>Revised</w:t>
            </w:r>
            <w:r>
              <w:rPr>
                <w:color w:val="231F20"/>
                <w:spacing w:val="-5"/>
                <w:sz w:val="15"/>
              </w:rPr>
              <w:t> </w:t>
            </w:r>
            <w:r>
              <w:rPr>
                <w:color w:val="231F20"/>
                <w:sz w:val="15"/>
              </w:rPr>
              <w:t>McDonald</w:t>
            </w:r>
            <w:r>
              <w:rPr>
                <w:color w:val="231F20"/>
                <w:spacing w:val="-5"/>
                <w:sz w:val="15"/>
              </w:rPr>
              <w:t> </w:t>
            </w:r>
            <w:r>
              <w:rPr>
                <w:color w:val="231F20"/>
                <w:sz w:val="15"/>
              </w:rPr>
              <w:t>criteria</w:t>
            </w:r>
            <w:r>
              <w:rPr>
                <w:color w:val="231F20"/>
                <w:spacing w:val="-5"/>
                <w:sz w:val="15"/>
              </w:rPr>
              <w:t> </w:t>
            </w:r>
            <w:r>
              <w:rPr>
                <w:color w:val="231F20"/>
                <w:sz w:val="15"/>
              </w:rPr>
              <w:t>for</w:t>
            </w:r>
            <w:r>
              <w:rPr>
                <w:color w:val="231F20"/>
                <w:spacing w:val="-5"/>
                <w:sz w:val="15"/>
              </w:rPr>
              <w:t> </w:t>
            </w:r>
            <w:r>
              <w:rPr>
                <w:color w:val="231F20"/>
                <w:sz w:val="15"/>
              </w:rPr>
              <w:t>DIS</w:t>
            </w:r>
            <w:r>
              <w:rPr>
                <w:color w:val="231F20"/>
                <w:spacing w:val="-5"/>
                <w:sz w:val="15"/>
              </w:rPr>
              <w:t> </w:t>
            </w:r>
            <w:r>
              <w:rPr>
                <w:color w:val="231F20"/>
                <w:sz w:val="15"/>
              </w:rPr>
              <w:t>and</w:t>
            </w:r>
            <w:r>
              <w:rPr>
                <w:color w:val="231F20"/>
                <w:spacing w:val="-5"/>
                <w:sz w:val="15"/>
              </w:rPr>
              <w:t> </w:t>
            </w:r>
            <w:r>
              <w:rPr>
                <w:color w:val="231F20"/>
                <w:sz w:val="15"/>
              </w:rPr>
              <w:t>DIT</w:t>
            </w:r>
            <w:r>
              <w:rPr>
                <w:color w:val="231F20"/>
                <w:spacing w:val="-5"/>
                <w:sz w:val="15"/>
              </w:rPr>
              <w:t> </w:t>
            </w:r>
            <w:r>
              <w:rPr>
                <w:color w:val="231F20"/>
                <w:sz w:val="15"/>
              </w:rPr>
              <w:t>(but</w:t>
            </w:r>
            <w:r>
              <w:rPr>
                <w:color w:val="231F20"/>
                <w:spacing w:val="-5"/>
                <w:sz w:val="15"/>
              </w:rPr>
              <w:t> </w:t>
            </w:r>
            <w:r>
              <w:rPr>
                <w:color w:val="231F20"/>
                <w:sz w:val="15"/>
              </w:rPr>
              <w:t>criteria relative for DIT for a single attack and single MRI only apply to children ages 2-12 yr and only apply to cases without an ADEM onset)</w:t>
            </w:r>
          </w:p>
        </w:tc>
      </w:tr>
      <w:tr>
        <w:trPr>
          <w:trHeight w:val="1591" w:hRule="atLeast"/>
        </w:trPr>
        <w:tc>
          <w:tcPr>
            <w:tcW w:w="1840"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5"/>
                <w:w w:val="125"/>
                <w:sz w:val="15"/>
              </w:rPr>
              <w:t>NMO</w:t>
            </w:r>
          </w:p>
        </w:tc>
        <w:tc>
          <w:tcPr>
            <w:tcW w:w="7902" w:type="dxa"/>
            <w:tcBorders>
              <w:top w:val="single" w:sz="4" w:space="0" w:color="FFFFFF"/>
              <w:bottom w:val="single" w:sz="8" w:space="0" w:color="231F20"/>
            </w:tcBorders>
            <w:shd w:val="clear" w:color="auto" w:fill="E8F5F1"/>
          </w:tcPr>
          <w:p>
            <w:pPr>
              <w:pStyle w:val="TableParagraph"/>
              <w:spacing w:line="171" w:lineRule="exact" w:before="42"/>
              <w:ind w:left="467"/>
              <w:rPr>
                <w:sz w:val="15"/>
              </w:rPr>
            </w:pPr>
            <w:r>
              <w:rPr>
                <w:color w:val="231F20"/>
                <w:sz w:val="15"/>
              </w:rPr>
              <w:t>All</w:t>
            </w:r>
            <w:r>
              <w:rPr>
                <w:color w:val="231F20"/>
                <w:spacing w:val="-6"/>
                <w:sz w:val="15"/>
              </w:rPr>
              <w:t> </w:t>
            </w:r>
            <w:r>
              <w:rPr>
                <w:color w:val="231F20"/>
                <w:sz w:val="15"/>
              </w:rPr>
              <w:t>are</w:t>
            </w:r>
            <w:r>
              <w:rPr>
                <w:color w:val="231F20"/>
                <w:spacing w:val="-5"/>
                <w:sz w:val="15"/>
              </w:rPr>
              <w:t> </w:t>
            </w:r>
            <w:r>
              <w:rPr>
                <w:color w:val="231F20"/>
                <w:spacing w:val="-2"/>
                <w:sz w:val="15"/>
              </w:rPr>
              <w:t>required:</w:t>
            </w:r>
          </w:p>
          <w:p>
            <w:pPr>
              <w:pStyle w:val="TableParagraph"/>
              <w:numPr>
                <w:ilvl w:val="0"/>
                <w:numId w:val="88"/>
              </w:numPr>
              <w:tabs>
                <w:tab w:pos="616" w:val="left" w:leader="none"/>
              </w:tabs>
              <w:spacing w:line="168" w:lineRule="exact" w:before="0" w:after="0"/>
              <w:ind w:left="616" w:right="0" w:hanging="149"/>
              <w:jc w:val="left"/>
              <w:rPr>
                <w:sz w:val="15"/>
              </w:rPr>
            </w:pPr>
            <w:r>
              <w:rPr>
                <w:color w:val="231F20"/>
                <w:sz w:val="15"/>
              </w:rPr>
              <w:t>Optic</w:t>
            </w:r>
            <w:r>
              <w:rPr>
                <w:color w:val="231F20"/>
                <w:spacing w:val="11"/>
                <w:sz w:val="15"/>
              </w:rPr>
              <w:t> </w:t>
            </w:r>
            <w:r>
              <w:rPr>
                <w:color w:val="231F20"/>
                <w:spacing w:val="-2"/>
                <w:sz w:val="15"/>
              </w:rPr>
              <w:t>neuritis</w:t>
            </w:r>
          </w:p>
          <w:p>
            <w:pPr>
              <w:pStyle w:val="TableParagraph"/>
              <w:numPr>
                <w:ilvl w:val="0"/>
                <w:numId w:val="88"/>
              </w:numPr>
              <w:tabs>
                <w:tab w:pos="616" w:val="left" w:leader="none"/>
              </w:tabs>
              <w:spacing w:line="168" w:lineRule="exact" w:before="0" w:after="0"/>
              <w:ind w:left="616" w:right="0" w:hanging="149"/>
              <w:jc w:val="left"/>
              <w:rPr>
                <w:sz w:val="15"/>
              </w:rPr>
            </w:pPr>
            <w:r>
              <w:rPr>
                <w:color w:val="231F20"/>
                <w:sz w:val="15"/>
              </w:rPr>
              <w:t>Acute</w:t>
            </w:r>
            <w:r>
              <w:rPr>
                <w:color w:val="231F20"/>
                <w:spacing w:val="1"/>
                <w:sz w:val="15"/>
              </w:rPr>
              <w:t> </w:t>
            </w:r>
            <w:r>
              <w:rPr>
                <w:color w:val="231F20"/>
                <w:spacing w:val="-2"/>
                <w:sz w:val="15"/>
              </w:rPr>
              <w:t>myelitis</w:t>
            </w:r>
          </w:p>
          <w:p>
            <w:pPr>
              <w:pStyle w:val="TableParagraph"/>
              <w:spacing w:line="168" w:lineRule="exact"/>
              <w:ind w:left="467"/>
              <w:rPr>
                <w:sz w:val="15"/>
              </w:rPr>
            </w:pPr>
            <w:r>
              <w:rPr>
                <w:color w:val="231F20"/>
                <w:sz w:val="15"/>
              </w:rPr>
              <w:t>At</w:t>
            </w:r>
            <w:r>
              <w:rPr>
                <w:color w:val="231F20"/>
                <w:spacing w:val="-4"/>
                <w:sz w:val="15"/>
              </w:rPr>
              <w:t> </w:t>
            </w:r>
            <w:r>
              <w:rPr>
                <w:color w:val="231F20"/>
                <w:sz w:val="15"/>
              </w:rPr>
              <w:t>least</w:t>
            </w:r>
            <w:r>
              <w:rPr>
                <w:color w:val="231F20"/>
                <w:spacing w:val="-4"/>
                <w:sz w:val="15"/>
              </w:rPr>
              <w:t> </w:t>
            </w:r>
            <w:r>
              <w:rPr>
                <w:color w:val="231F20"/>
                <w:sz w:val="15"/>
              </w:rPr>
              <w:t>2</w:t>
            </w:r>
            <w:r>
              <w:rPr>
                <w:color w:val="231F20"/>
                <w:spacing w:val="-3"/>
                <w:sz w:val="15"/>
              </w:rPr>
              <w:t> </w:t>
            </w:r>
            <w:r>
              <w:rPr>
                <w:color w:val="231F20"/>
                <w:sz w:val="15"/>
              </w:rPr>
              <w:t>of</w:t>
            </w:r>
            <w:r>
              <w:rPr>
                <w:color w:val="231F20"/>
                <w:spacing w:val="-4"/>
                <w:sz w:val="15"/>
              </w:rPr>
              <w:t> </w:t>
            </w:r>
            <w:r>
              <w:rPr>
                <w:color w:val="231F20"/>
                <w:sz w:val="15"/>
              </w:rPr>
              <w:t>3</w:t>
            </w:r>
            <w:r>
              <w:rPr>
                <w:color w:val="231F20"/>
                <w:spacing w:val="-3"/>
                <w:sz w:val="15"/>
              </w:rPr>
              <w:t> </w:t>
            </w:r>
            <w:r>
              <w:rPr>
                <w:color w:val="231F20"/>
                <w:sz w:val="15"/>
              </w:rPr>
              <w:t>supportive</w:t>
            </w:r>
            <w:r>
              <w:rPr>
                <w:color w:val="231F20"/>
                <w:spacing w:val="-4"/>
                <w:sz w:val="15"/>
              </w:rPr>
              <w:t> </w:t>
            </w:r>
            <w:r>
              <w:rPr>
                <w:color w:val="231F20"/>
                <w:spacing w:val="-2"/>
                <w:sz w:val="15"/>
              </w:rPr>
              <w:t>criteria</w:t>
            </w:r>
          </w:p>
          <w:p>
            <w:pPr>
              <w:pStyle w:val="TableParagraph"/>
              <w:numPr>
                <w:ilvl w:val="0"/>
                <w:numId w:val="88"/>
              </w:numPr>
              <w:tabs>
                <w:tab w:pos="616" w:val="left" w:leader="none"/>
              </w:tabs>
              <w:spacing w:line="168" w:lineRule="exact" w:before="0" w:after="0"/>
              <w:ind w:left="616" w:right="0" w:hanging="149"/>
              <w:jc w:val="left"/>
              <w:rPr>
                <w:sz w:val="15"/>
              </w:rPr>
            </w:pPr>
            <w:r>
              <w:rPr>
                <w:color w:val="231F20"/>
                <w:sz w:val="15"/>
              </w:rPr>
              <w:t>Contiguous</w:t>
            </w:r>
            <w:r>
              <w:rPr>
                <w:color w:val="231F20"/>
                <w:spacing w:val="4"/>
                <w:sz w:val="15"/>
              </w:rPr>
              <w:t> </w:t>
            </w:r>
            <w:r>
              <w:rPr>
                <w:color w:val="231F20"/>
                <w:sz w:val="15"/>
              </w:rPr>
              <w:t>spinal</w:t>
            </w:r>
            <w:r>
              <w:rPr>
                <w:color w:val="231F20"/>
                <w:spacing w:val="4"/>
                <w:sz w:val="15"/>
              </w:rPr>
              <w:t> </w:t>
            </w:r>
            <w:r>
              <w:rPr>
                <w:color w:val="231F20"/>
                <w:sz w:val="15"/>
              </w:rPr>
              <w:t>cord</w:t>
            </w:r>
            <w:r>
              <w:rPr>
                <w:color w:val="231F20"/>
                <w:spacing w:val="5"/>
                <w:sz w:val="15"/>
              </w:rPr>
              <w:t> </w:t>
            </w:r>
            <w:r>
              <w:rPr>
                <w:color w:val="231F20"/>
                <w:sz w:val="15"/>
              </w:rPr>
              <w:t>MRI</w:t>
            </w:r>
            <w:r>
              <w:rPr>
                <w:color w:val="231F20"/>
                <w:spacing w:val="4"/>
                <w:sz w:val="15"/>
              </w:rPr>
              <w:t> </w:t>
            </w:r>
            <w:r>
              <w:rPr>
                <w:color w:val="231F20"/>
                <w:sz w:val="15"/>
              </w:rPr>
              <w:t>lesion</w:t>
            </w:r>
            <w:r>
              <w:rPr>
                <w:color w:val="231F20"/>
                <w:spacing w:val="4"/>
                <w:sz w:val="15"/>
              </w:rPr>
              <w:t> </w:t>
            </w:r>
            <w:r>
              <w:rPr>
                <w:color w:val="231F20"/>
                <w:sz w:val="15"/>
              </w:rPr>
              <w:t>S3</w:t>
            </w:r>
            <w:r>
              <w:rPr>
                <w:color w:val="231F20"/>
                <w:spacing w:val="5"/>
                <w:sz w:val="15"/>
              </w:rPr>
              <w:t> </w:t>
            </w:r>
            <w:r>
              <w:rPr>
                <w:color w:val="231F20"/>
                <w:sz w:val="15"/>
              </w:rPr>
              <w:t>vertebral</w:t>
            </w:r>
            <w:r>
              <w:rPr>
                <w:color w:val="231F20"/>
                <w:spacing w:val="4"/>
                <w:sz w:val="15"/>
              </w:rPr>
              <w:t> </w:t>
            </w:r>
            <w:r>
              <w:rPr>
                <w:color w:val="231F20"/>
                <w:spacing w:val="-2"/>
                <w:sz w:val="15"/>
              </w:rPr>
              <w:t>segments</w:t>
            </w:r>
          </w:p>
          <w:p>
            <w:pPr>
              <w:pStyle w:val="TableParagraph"/>
              <w:numPr>
                <w:ilvl w:val="0"/>
                <w:numId w:val="88"/>
              </w:numPr>
              <w:tabs>
                <w:tab w:pos="616" w:val="left" w:leader="none"/>
              </w:tabs>
              <w:spacing w:line="168" w:lineRule="exact" w:before="0" w:after="0"/>
              <w:ind w:left="616" w:right="0" w:hanging="149"/>
              <w:jc w:val="left"/>
              <w:rPr>
                <w:sz w:val="15"/>
              </w:rPr>
            </w:pPr>
            <w:r>
              <w:rPr>
                <w:color w:val="231F20"/>
                <w:sz w:val="15"/>
              </w:rPr>
              <w:t>Brain</w:t>
            </w:r>
            <w:r>
              <w:rPr>
                <w:color w:val="231F20"/>
                <w:spacing w:val="6"/>
                <w:sz w:val="15"/>
              </w:rPr>
              <w:t> </w:t>
            </w:r>
            <w:r>
              <w:rPr>
                <w:color w:val="231F20"/>
                <w:sz w:val="15"/>
              </w:rPr>
              <w:t>MRI</w:t>
            </w:r>
            <w:r>
              <w:rPr>
                <w:color w:val="231F20"/>
                <w:spacing w:val="7"/>
                <w:sz w:val="15"/>
              </w:rPr>
              <w:t> </w:t>
            </w:r>
            <w:r>
              <w:rPr>
                <w:color w:val="231F20"/>
                <w:sz w:val="15"/>
              </w:rPr>
              <w:t>not</w:t>
            </w:r>
            <w:r>
              <w:rPr>
                <w:color w:val="231F20"/>
                <w:spacing w:val="7"/>
                <w:sz w:val="15"/>
              </w:rPr>
              <w:t> </w:t>
            </w:r>
            <w:r>
              <w:rPr>
                <w:color w:val="231F20"/>
                <w:sz w:val="15"/>
              </w:rPr>
              <w:t>meeting</w:t>
            </w:r>
            <w:r>
              <w:rPr>
                <w:color w:val="231F20"/>
                <w:spacing w:val="6"/>
                <w:sz w:val="15"/>
              </w:rPr>
              <w:t> </w:t>
            </w:r>
            <w:r>
              <w:rPr>
                <w:color w:val="231F20"/>
                <w:sz w:val="15"/>
              </w:rPr>
              <w:t>diagnostic</w:t>
            </w:r>
            <w:r>
              <w:rPr>
                <w:color w:val="231F20"/>
                <w:spacing w:val="7"/>
                <w:sz w:val="15"/>
              </w:rPr>
              <w:t> </w:t>
            </w:r>
            <w:r>
              <w:rPr>
                <w:color w:val="231F20"/>
                <w:sz w:val="15"/>
              </w:rPr>
              <w:t>criteria</w:t>
            </w:r>
            <w:r>
              <w:rPr>
                <w:color w:val="231F20"/>
                <w:spacing w:val="7"/>
                <w:sz w:val="15"/>
              </w:rPr>
              <w:t> </w:t>
            </w:r>
            <w:r>
              <w:rPr>
                <w:color w:val="231F20"/>
                <w:sz w:val="15"/>
              </w:rPr>
              <w:t>for</w:t>
            </w:r>
            <w:r>
              <w:rPr>
                <w:color w:val="231F20"/>
                <w:spacing w:val="6"/>
                <w:sz w:val="15"/>
              </w:rPr>
              <w:t> </w:t>
            </w:r>
            <w:r>
              <w:rPr>
                <w:color w:val="231F20"/>
                <w:spacing w:val="-5"/>
                <w:sz w:val="15"/>
              </w:rPr>
              <w:t>MS</w:t>
            </w:r>
          </w:p>
          <w:p>
            <w:pPr>
              <w:pStyle w:val="TableParagraph"/>
              <w:numPr>
                <w:ilvl w:val="0"/>
                <w:numId w:val="88"/>
              </w:numPr>
              <w:tabs>
                <w:tab w:pos="616" w:val="left" w:leader="none"/>
              </w:tabs>
              <w:spacing w:line="168" w:lineRule="exact" w:before="0" w:after="0"/>
              <w:ind w:left="616" w:right="0" w:hanging="149"/>
              <w:jc w:val="left"/>
              <w:rPr>
                <w:sz w:val="15"/>
              </w:rPr>
            </w:pPr>
            <w:r>
              <w:rPr>
                <w:color w:val="231F20"/>
                <w:sz w:val="15"/>
              </w:rPr>
              <w:t>Anti–aquaporin-4</w:t>
            </w:r>
            <w:r>
              <w:rPr>
                <w:color w:val="231F20"/>
                <w:spacing w:val="17"/>
                <w:sz w:val="15"/>
              </w:rPr>
              <w:t> </w:t>
            </w:r>
            <w:r>
              <w:rPr>
                <w:color w:val="231F20"/>
                <w:sz w:val="15"/>
              </w:rPr>
              <w:t>immunoglobulin</w:t>
            </w:r>
            <w:r>
              <w:rPr>
                <w:color w:val="231F20"/>
                <w:spacing w:val="18"/>
                <w:sz w:val="15"/>
              </w:rPr>
              <w:t> </w:t>
            </w:r>
            <w:r>
              <w:rPr>
                <w:color w:val="231F20"/>
                <w:sz w:val="15"/>
              </w:rPr>
              <w:t>G–seropositive</w:t>
            </w:r>
            <w:r>
              <w:rPr>
                <w:color w:val="231F20"/>
                <w:spacing w:val="18"/>
                <w:sz w:val="15"/>
              </w:rPr>
              <w:t> </w:t>
            </w:r>
            <w:r>
              <w:rPr>
                <w:color w:val="231F20"/>
                <w:spacing w:val="-2"/>
                <w:sz w:val="15"/>
              </w:rPr>
              <w:t>status</w:t>
            </w:r>
          </w:p>
          <w:p>
            <w:pPr>
              <w:pStyle w:val="TableParagraph"/>
              <w:numPr>
                <w:ilvl w:val="0"/>
                <w:numId w:val="88"/>
              </w:numPr>
              <w:tabs>
                <w:tab w:pos="616" w:val="left" w:leader="none"/>
              </w:tabs>
              <w:spacing w:line="230" w:lineRule="auto" w:before="2" w:after="0"/>
              <w:ind w:left="616" w:right="89" w:hanging="150"/>
              <w:jc w:val="left"/>
              <w:rPr>
                <w:sz w:val="15"/>
              </w:rPr>
            </w:pPr>
            <w:r>
              <w:rPr>
                <w:color w:val="231F20"/>
                <w:sz w:val="15"/>
              </w:rPr>
              <w:t>ADEM</w:t>
            </w:r>
            <w:r>
              <w:rPr>
                <w:color w:val="231F20"/>
                <w:spacing w:val="-2"/>
                <w:sz w:val="15"/>
              </w:rPr>
              <w:t> </w:t>
            </w:r>
            <w:r>
              <w:rPr>
                <w:color w:val="231F20"/>
                <w:sz w:val="15"/>
              </w:rPr>
              <w:t>followed</w:t>
            </w:r>
            <w:r>
              <w:rPr>
                <w:color w:val="231F20"/>
                <w:spacing w:val="-2"/>
                <w:sz w:val="15"/>
              </w:rPr>
              <w:t> </w:t>
            </w:r>
            <w:r>
              <w:rPr>
                <w:color w:val="231F20"/>
                <w:sz w:val="15"/>
              </w:rPr>
              <w:t>3</w:t>
            </w:r>
            <w:r>
              <w:rPr>
                <w:color w:val="231F20"/>
                <w:spacing w:val="-2"/>
                <w:sz w:val="15"/>
              </w:rPr>
              <w:t> </w:t>
            </w:r>
            <w:r>
              <w:rPr>
                <w:color w:val="231F20"/>
                <w:sz w:val="15"/>
              </w:rPr>
              <w:t>mo</w:t>
            </w:r>
            <w:r>
              <w:rPr>
                <w:color w:val="231F20"/>
                <w:spacing w:val="-2"/>
                <w:sz w:val="15"/>
              </w:rPr>
              <w:t> </w:t>
            </w:r>
            <w:r>
              <w:rPr>
                <w:color w:val="231F20"/>
                <w:sz w:val="15"/>
              </w:rPr>
              <w:t>later</w:t>
            </w:r>
            <w:r>
              <w:rPr>
                <w:color w:val="231F20"/>
                <w:spacing w:val="-2"/>
                <w:sz w:val="15"/>
              </w:rPr>
              <w:t> </w:t>
            </w:r>
            <w:r>
              <w:rPr>
                <w:color w:val="231F20"/>
                <w:sz w:val="15"/>
              </w:rPr>
              <w:t>by</w:t>
            </w:r>
            <w:r>
              <w:rPr>
                <w:color w:val="231F20"/>
                <w:spacing w:val="-2"/>
                <w:sz w:val="15"/>
              </w:rPr>
              <w:t> </w:t>
            </w:r>
            <w:r>
              <w:rPr>
                <w:color w:val="231F20"/>
                <w:sz w:val="15"/>
              </w:rPr>
              <w:t>a</w:t>
            </w:r>
            <w:r>
              <w:rPr>
                <w:color w:val="231F20"/>
                <w:spacing w:val="-2"/>
                <w:sz w:val="15"/>
              </w:rPr>
              <w:t> </w:t>
            </w:r>
            <w:r>
              <w:rPr>
                <w:color w:val="231F20"/>
                <w:sz w:val="15"/>
              </w:rPr>
              <w:t>nonencephalopathic</w:t>
            </w:r>
            <w:r>
              <w:rPr>
                <w:color w:val="231F20"/>
                <w:spacing w:val="-2"/>
                <w:sz w:val="15"/>
              </w:rPr>
              <w:t> </w:t>
            </w:r>
            <w:r>
              <w:rPr>
                <w:color w:val="231F20"/>
                <w:sz w:val="15"/>
              </w:rPr>
              <w:t>clinical</w:t>
            </w:r>
            <w:r>
              <w:rPr>
                <w:color w:val="231F20"/>
                <w:spacing w:val="-2"/>
                <w:sz w:val="15"/>
              </w:rPr>
              <w:t> </w:t>
            </w:r>
            <w:r>
              <w:rPr>
                <w:color w:val="231F20"/>
                <w:sz w:val="15"/>
              </w:rPr>
              <w:t>event</w:t>
            </w:r>
            <w:r>
              <w:rPr>
                <w:color w:val="231F20"/>
                <w:spacing w:val="-2"/>
                <w:sz w:val="15"/>
              </w:rPr>
              <w:t> </w:t>
            </w:r>
            <w:r>
              <w:rPr>
                <w:color w:val="231F20"/>
                <w:sz w:val="15"/>
              </w:rPr>
              <w:t>with</w:t>
            </w:r>
            <w:r>
              <w:rPr>
                <w:color w:val="231F20"/>
                <w:spacing w:val="-2"/>
                <w:sz w:val="15"/>
              </w:rPr>
              <w:t> </w:t>
            </w:r>
            <w:r>
              <w:rPr>
                <w:color w:val="231F20"/>
                <w:sz w:val="15"/>
              </w:rPr>
              <w:t>new</w:t>
            </w:r>
            <w:r>
              <w:rPr>
                <w:color w:val="231F20"/>
                <w:spacing w:val="-2"/>
                <w:sz w:val="15"/>
              </w:rPr>
              <w:t> </w:t>
            </w:r>
            <w:r>
              <w:rPr>
                <w:color w:val="231F20"/>
                <w:sz w:val="15"/>
              </w:rPr>
              <w:t>lesions</w:t>
            </w:r>
            <w:r>
              <w:rPr>
                <w:color w:val="231F20"/>
                <w:spacing w:val="-2"/>
                <w:sz w:val="15"/>
              </w:rPr>
              <w:t> </w:t>
            </w:r>
            <w:r>
              <w:rPr>
                <w:color w:val="231F20"/>
                <w:sz w:val="15"/>
              </w:rPr>
              <w:t>on</w:t>
            </w:r>
            <w:r>
              <w:rPr>
                <w:color w:val="231F20"/>
                <w:spacing w:val="-2"/>
                <w:sz w:val="15"/>
              </w:rPr>
              <w:t> </w:t>
            </w:r>
            <w:r>
              <w:rPr>
                <w:color w:val="231F20"/>
                <w:sz w:val="15"/>
              </w:rPr>
              <w:t>brain</w:t>
            </w:r>
            <w:r>
              <w:rPr>
                <w:color w:val="231F20"/>
                <w:spacing w:val="-2"/>
                <w:sz w:val="15"/>
              </w:rPr>
              <w:t> </w:t>
            </w:r>
            <w:r>
              <w:rPr>
                <w:color w:val="231F20"/>
                <w:sz w:val="15"/>
              </w:rPr>
              <w:t>MRI</w:t>
            </w:r>
            <w:r>
              <w:rPr>
                <w:color w:val="231F20"/>
                <w:spacing w:val="-2"/>
                <w:sz w:val="15"/>
              </w:rPr>
              <w:t> </w:t>
            </w:r>
            <w:r>
              <w:rPr>
                <w:color w:val="231F20"/>
                <w:sz w:val="15"/>
              </w:rPr>
              <w:t>consistent with MS</w:t>
            </w:r>
          </w:p>
        </w:tc>
      </w:tr>
    </w:tbl>
    <w:p>
      <w:pPr>
        <w:pStyle w:val="BodyText"/>
        <w:spacing w:before="77"/>
        <w:ind w:left="486" w:right="705"/>
      </w:pPr>
      <w:r>
        <w:rPr>
          <w:color w:val="231F20"/>
        </w:rPr>
        <w:t>The 2001 McDonald MRI criteria for DIS require 3 of the following 4 MRI features: 29 T2 lesions or 1 gadolinium-enhancing lesion; 23 periventricular lesions; 21</w:t>
      </w:r>
      <w:r>
        <w:rPr>
          <w:color w:val="231F20"/>
          <w:spacing w:val="40"/>
        </w:rPr>
        <w:t> </w:t>
      </w:r>
      <w:r>
        <w:rPr>
          <w:color w:val="231F20"/>
        </w:rPr>
        <w:t>infratentorial</w:t>
      </w:r>
      <w:r>
        <w:rPr>
          <w:color w:val="231F20"/>
          <w:spacing w:val="-10"/>
        </w:rPr>
        <w:t> </w:t>
      </w:r>
      <w:r>
        <w:rPr>
          <w:color w:val="231F20"/>
        </w:rPr>
        <w:t>lesion(s);</w:t>
      </w:r>
      <w:r>
        <w:rPr>
          <w:color w:val="231F20"/>
          <w:spacing w:val="-10"/>
        </w:rPr>
        <w:t> </w:t>
      </w:r>
      <w:r>
        <w:rPr>
          <w:color w:val="231F20"/>
        </w:rPr>
        <w:t>21</w:t>
      </w:r>
      <w:r>
        <w:rPr>
          <w:color w:val="231F20"/>
          <w:spacing w:val="-10"/>
        </w:rPr>
        <w:t> </w:t>
      </w:r>
      <w:r>
        <w:rPr>
          <w:color w:val="231F20"/>
        </w:rPr>
        <w:t>juxtacortical</w:t>
      </w:r>
      <w:r>
        <w:rPr>
          <w:color w:val="231F20"/>
          <w:spacing w:val="-10"/>
        </w:rPr>
        <w:t> </w:t>
      </w:r>
      <w:r>
        <w:rPr>
          <w:color w:val="231F20"/>
        </w:rPr>
        <w:t>lesion(s).</w:t>
      </w:r>
      <w:r>
        <w:rPr>
          <w:color w:val="231F20"/>
          <w:spacing w:val="-9"/>
        </w:rPr>
        <w:t> </w:t>
      </w:r>
      <w:r>
        <w:rPr>
          <w:color w:val="231F20"/>
        </w:rPr>
        <w:t>The</w:t>
      </w:r>
      <w:r>
        <w:rPr>
          <w:color w:val="231F20"/>
          <w:spacing w:val="-10"/>
        </w:rPr>
        <w:t> </w:t>
      </w:r>
      <w:r>
        <w:rPr>
          <w:color w:val="231F20"/>
        </w:rPr>
        <w:t>DIT</w:t>
      </w:r>
      <w:r>
        <w:rPr>
          <w:color w:val="231F20"/>
          <w:spacing w:val="-10"/>
        </w:rPr>
        <w:t> </w:t>
      </w:r>
      <w:r>
        <w:rPr>
          <w:color w:val="231F20"/>
        </w:rPr>
        <w:t>criteria</w:t>
      </w:r>
      <w:r>
        <w:rPr>
          <w:color w:val="231F20"/>
          <w:spacing w:val="-10"/>
        </w:rPr>
        <w:t> </w:t>
      </w:r>
      <w:r>
        <w:rPr>
          <w:color w:val="231F20"/>
        </w:rPr>
        <w:t>require</w:t>
      </w:r>
      <w:r>
        <w:rPr>
          <w:color w:val="231F20"/>
          <w:spacing w:val="-10"/>
        </w:rPr>
        <w:t> </w:t>
      </w:r>
      <w:r>
        <w:rPr>
          <w:color w:val="231F20"/>
        </w:rPr>
        <w:t>subsequent</w:t>
      </w:r>
      <w:r>
        <w:rPr>
          <w:color w:val="231F20"/>
          <w:spacing w:val="-9"/>
        </w:rPr>
        <w:t> </w:t>
      </w:r>
      <w:r>
        <w:rPr>
          <w:color w:val="231F20"/>
        </w:rPr>
        <w:t>white-matter</w:t>
      </w:r>
      <w:r>
        <w:rPr>
          <w:color w:val="231F20"/>
          <w:spacing w:val="-10"/>
        </w:rPr>
        <w:t> </w:t>
      </w:r>
      <w:r>
        <w:rPr>
          <w:color w:val="231F20"/>
        </w:rPr>
        <w:t>lesions</w:t>
      </w:r>
      <w:r>
        <w:rPr>
          <w:color w:val="231F20"/>
          <w:spacing w:val="-10"/>
        </w:rPr>
        <w:t> </w:t>
      </w:r>
      <w:r>
        <w:rPr>
          <w:color w:val="231F20"/>
        </w:rPr>
        <w:t>whose</w:t>
      </w:r>
      <w:r>
        <w:rPr>
          <w:color w:val="231F20"/>
          <w:spacing w:val="-10"/>
        </w:rPr>
        <w:t> </w:t>
      </w:r>
      <w:r>
        <w:rPr>
          <w:color w:val="231F20"/>
        </w:rPr>
        <w:t>timing</w:t>
      </w:r>
      <w:r>
        <w:rPr>
          <w:color w:val="231F20"/>
          <w:spacing w:val="-10"/>
        </w:rPr>
        <w:t> </w:t>
      </w:r>
      <w:r>
        <w:rPr>
          <w:color w:val="231F20"/>
        </w:rPr>
        <w:t>depends</w:t>
      </w:r>
      <w:r>
        <w:rPr>
          <w:color w:val="231F20"/>
          <w:spacing w:val="-9"/>
        </w:rPr>
        <w:t> </w:t>
      </w:r>
      <w:r>
        <w:rPr>
          <w:color w:val="231F20"/>
        </w:rPr>
        <w:t>on</w:t>
      </w:r>
      <w:r>
        <w:rPr>
          <w:color w:val="231F20"/>
          <w:spacing w:val="-10"/>
        </w:rPr>
        <w:t> </w:t>
      </w:r>
      <w:r>
        <w:rPr>
          <w:color w:val="231F20"/>
        </w:rPr>
        <w:t>the</w:t>
      </w:r>
      <w:r>
        <w:rPr>
          <w:color w:val="231F20"/>
          <w:spacing w:val="-10"/>
        </w:rPr>
        <w:t> </w:t>
      </w:r>
      <w:r>
        <w:rPr>
          <w:color w:val="231F20"/>
        </w:rPr>
        <w:t>temporal</w:t>
      </w:r>
      <w:r>
        <w:rPr>
          <w:color w:val="231F20"/>
          <w:spacing w:val="-10"/>
        </w:rPr>
        <w:t> </w:t>
      </w:r>
      <w:r>
        <w:rPr>
          <w:color w:val="231F20"/>
        </w:rPr>
        <w:t>relation</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initial</w:t>
      </w:r>
      <w:r>
        <w:rPr>
          <w:color w:val="231F20"/>
          <w:spacing w:val="40"/>
        </w:rPr>
        <w:t> </w:t>
      </w:r>
      <w:r>
        <w:rPr>
          <w:color w:val="231F20"/>
        </w:rPr>
        <w:t>MRI with the onset of the clinical symptoms.</w:t>
      </w:r>
    </w:p>
    <w:p>
      <w:pPr>
        <w:pStyle w:val="BodyText"/>
        <w:spacing w:line="237" w:lineRule="auto"/>
        <w:ind w:left="486" w:right="705" w:firstLine="130"/>
      </w:pPr>
      <w:r>
        <w:rPr>
          <w:color w:val="231F20"/>
        </w:rPr>
        <w:t>The 2010 Revised McDonald MRI criteria for DIS require the presence of at least 2 of the following 4 criteria: 21 lesions in each of the 4 locations; periventricular,</w:t>
      </w:r>
      <w:r>
        <w:rPr>
          <w:color w:val="231F20"/>
          <w:spacing w:val="40"/>
        </w:rPr>
        <w:t> </w:t>
      </w:r>
      <w:r>
        <w:rPr>
          <w:color w:val="231F20"/>
        </w:rPr>
        <w:t>juxtacortical, infratentorial, and spinal cord. The 2010 Revised McDonald MRI criteria for DIT can be satisfied either by the emergence of newT2 lesions (with or</w:t>
      </w:r>
      <w:r>
        <w:rPr>
          <w:color w:val="231F20"/>
          <w:spacing w:val="40"/>
        </w:rPr>
        <w:t> </w:t>
      </w:r>
      <w:r>
        <w:rPr>
          <w:color w:val="231F20"/>
        </w:rPr>
        <w:t>without</w:t>
      </w:r>
      <w:r>
        <w:rPr>
          <w:color w:val="231F20"/>
          <w:spacing w:val="-3"/>
        </w:rPr>
        <w:t> </w:t>
      </w:r>
      <w:r>
        <w:rPr>
          <w:color w:val="231F20"/>
        </w:rPr>
        <w:t>enhancement)</w:t>
      </w:r>
      <w:r>
        <w:rPr>
          <w:color w:val="231F20"/>
          <w:spacing w:val="-3"/>
        </w:rPr>
        <w:t> </w:t>
      </w:r>
      <w:r>
        <w:rPr>
          <w:color w:val="231F20"/>
        </w:rPr>
        <w:t>on</w:t>
      </w:r>
      <w:r>
        <w:rPr>
          <w:color w:val="231F20"/>
          <w:spacing w:val="-3"/>
        </w:rPr>
        <w:t> </w:t>
      </w:r>
      <w:r>
        <w:rPr>
          <w:color w:val="231F20"/>
        </w:rPr>
        <w:t>serial</w:t>
      </w:r>
      <w:r>
        <w:rPr>
          <w:color w:val="231F20"/>
          <w:spacing w:val="-3"/>
        </w:rPr>
        <w:t> </w:t>
      </w:r>
      <w:r>
        <w:rPr>
          <w:color w:val="231F20"/>
        </w:rPr>
        <w:t>scan(s)</w:t>
      </w:r>
      <w:r>
        <w:rPr>
          <w:color w:val="231F20"/>
          <w:spacing w:val="-3"/>
        </w:rPr>
        <w:t> </w:t>
      </w:r>
      <w:r>
        <w:rPr>
          <w:color w:val="231F20"/>
        </w:rPr>
        <w:t>or</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met</w:t>
      </w:r>
      <w:r>
        <w:rPr>
          <w:color w:val="231F20"/>
          <w:spacing w:val="-3"/>
        </w:rPr>
        <w:t> </w:t>
      </w:r>
      <w:r>
        <w:rPr>
          <w:color w:val="231F20"/>
        </w:rPr>
        <w:t>on</w:t>
      </w:r>
      <w:r>
        <w:rPr>
          <w:color w:val="231F20"/>
          <w:spacing w:val="-3"/>
        </w:rPr>
        <w:t> </w:t>
      </w:r>
      <w:r>
        <w:rPr>
          <w:color w:val="231F20"/>
        </w:rPr>
        <w:t>a</w:t>
      </w:r>
      <w:r>
        <w:rPr>
          <w:color w:val="231F20"/>
          <w:spacing w:val="-3"/>
        </w:rPr>
        <w:t> </w:t>
      </w:r>
      <w:r>
        <w:rPr>
          <w:color w:val="231F20"/>
        </w:rPr>
        <w:t>single</w:t>
      </w:r>
      <w:r>
        <w:rPr>
          <w:color w:val="231F20"/>
          <w:spacing w:val="-3"/>
        </w:rPr>
        <w:t> </w:t>
      </w:r>
      <w:r>
        <w:rPr>
          <w:color w:val="231F20"/>
        </w:rPr>
        <w:t>baseline</w:t>
      </w:r>
      <w:r>
        <w:rPr>
          <w:color w:val="231F20"/>
          <w:spacing w:val="-3"/>
        </w:rPr>
        <w:t> </w:t>
      </w:r>
      <w:r>
        <w:rPr>
          <w:color w:val="231F20"/>
        </w:rPr>
        <w:t>scan</w:t>
      </w:r>
      <w:r>
        <w:rPr>
          <w:color w:val="231F20"/>
          <w:spacing w:val="-3"/>
        </w:rPr>
        <w:t> </w:t>
      </w:r>
      <w:r>
        <w:rPr>
          <w:color w:val="231F20"/>
        </w:rPr>
        <w:t>if</w:t>
      </w:r>
      <w:r>
        <w:rPr>
          <w:color w:val="231F20"/>
          <w:spacing w:val="-3"/>
        </w:rPr>
        <w:t> </w:t>
      </w:r>
      <w:r>
        <w:rPr>
          <w:color w:val="231F20"/>
        </w:rPr>
        <w:t>there</w:t>
      </w:r>
      <w:r>
        <w:rPr>
          <w:color w:val="231F20"/>
          <w:spacing w:val="-3"/>
        </w:rPr>
        <w:t> </w:t>
      </w:r>
      <w:r>
        <w:rPr>
          <w:color w:val="231F20"/>
        </w:rPr>
        <w:t>exists</w:t>
      </w:r>
      <w:r>
        <w:rPr>
          <w:color w:val="231F20"/>
          <w:spacing w:val="-3"/>
        </w:rPr>
        <w:t> </w:t>
      </w:r>
      <w:r>
        <w:rPr>
          <w:color w:val="231F20"/>
        </w:rPr>
        <w:t>simultaneous</w:t>
      </w:r>
      <w:r>
        <w:rPr>
          <w:color w:val="231F20"/>
          <w:spacing w:val="-3"/>
        </w:rPr>
        <w:t> </w:t>
      </w:r>
      <w:r>
        <w:rPr>
          <w:color w:val="231F20"/>
        </w:rPr>
        <w:t>presence</w:t>
      </w:r>
      <w:r>
        <w:rPr>
          <w:color w:val="231F20"/>
          <w:spacing w:val="-3"/>
        </w:rPr>
        <w:t> </w:t>
      </w:r>
      <w:r>
        <w:rPr>
          <w:color w:val="231F20"/>
        </w:rPr>
        <w:t>of</w:t>
      </w:r>
      <w:r>
        <w:rPr>
          <w:color w:val="231F20"/>
          <w:spacing w:val="-3"/>
        </w:rPr>
        <w:t> </w:t>
      </w:r>
      <w:r>
        <w:rPr>
          <w:color w:val="231F20"/>
        </w:rPr>
        <w:t>a</w:t>
      </w:r>
      <w:r>
        <w:rPr>
          <w:color w:val="231F20"/>
          <w:spacing w:val="-3"/>
        </w:rPr>
        <w:t> </w:t>
      </w:r>
      <w:r>
        <w:rPr>
          <w:color w:val="231F20"/>
        </w:rPr>
        <w:t>clinically</w:t>
      </w:r>
      <w:r>
        <w:rPr>
          <w:color w:val="231F20"/>
          <w:spacing w:val="-3"/>
        </w:rPr>
        <w:t> </w:t>
      </w:r>
      <w:r>
        <w:rPr>
          <w:color w:val="231F20"/>
        </w:rPr>
        <w:t>silent</w:t>
      </w:r>
      <w:r>
        <w:rPr>
          <w:color w:val="231F20"/>
          <w:spacing w:val="-3"/>
        </w:rPr>
        <w:t> </w:t>
      </w:r>
      <w:r>
        <w:rPr>
          <w:color w:val="231F20"/>
        </w:rPr>
        <w:t>gadolinium-enhancing</w:t>
      </w:r>
      <w:r>
        <w:rPr>
          <w:color w:val="231F20"/>
          <w:spacing w:val="-3"/>
        </w:rPr>
        <w:t> </w:t>
      </w:r>
      <w:r>
        <w:rPr>
          <w:color w:val="231F20"/>
        </w:rPr>
        <w:t>lesion</w:t>
      </w:r>
      <w:r>
        <w:rPr>
          <w:color w:val="231F20"/>
          <w:spacing w:val="40"/>
        </w:rPr>
        <w:t> </w:t>
      </w:r>
      <w:r>
        <w:rPr>
          <w:color w:val="231F20"/>
        </w:rPr>
        <w:t>and a nonenhancing lesion.</w:t>
      </w:r>
    </w:p>
    <w:p>
      <w:pPr>
        <w:pStyle w:val="BodyText"/>
        <w:ind w:left="486" w:right="705" w:firstLine="130"/>
      </w:pPr>
      <w:r>
        <w:rPr>
          <w:color w:val="231F20"/>
        </w:rPr>
        <w:t>ADEM,</w:t>
      </w:r>
      <w:r>
        <w:rPr>
          <w:color w:val="231F20"/>
          <w:spacing w:val="-1"/>
        </w:rPr>
        <w:t> </w:t>
      </w:r>
      <w:r>
        <w:rPr>
          <w:color w:val="231F20"/>
        </w:rPr>
        <w:t>acute</w:t>
      </w:r>
      <w:r>
        <w:rPr>
          <w:color w:val="231F20"/>
          <w:spacing w:val="-1"/>
        </w:rPr>
        <w:t> </w:t>
      </w:r>
      <w:r>
        <w:rPr>
          <w:color w:val="231F20"/>
        </w:rPr>
        <w:t>disseminated</w:t>
      </w:r>
      <w:r>
        <w:rPr>
          <w:color w:val="231F20"/>
          <w:spacing w:val="-1"/>
        </w:rPr>
        <w:t> </w:t>
      </w:r>
      <w:r>
        <w:rPr>
          <w:color w:val="231F20"/>
        </w:rPr>
        <w:t>encephalomyelitis;</w:t>
      </w:r>
      <w:r>
        <w:rPr>
          <w:color w:val="231F20"/>
          <w:spacing w:val="-1"/>
        </w:rPr>
        <w:t> </w:t>
      </w:r>
      <w:r>
        <w:rPr>
          <w:color w:val="231F20"/>
        </w:rPr>
        <w:t>CIS,</w:t>
      </w:r>
      <w:r>
        <w:rPr>
          <w:color w:val="231F20"/>
          <w:spacing w:val="-1"/>
        </w:rPr>
        <w:t> </w:t>
      </w:r>
      <w:r>
        <w:rPr>
          <w:color w:val="231F20"/>
        </w:rPr>
        <w:t>clinically</w:t>
      </w:r>
      <w:r>
        <w:rPr>
          <w:color w:val="231F20"/>
          <w:spacing w:val="-1"/>
        </w:rPr>
        <w:t> </w:t>
      </w:r>
      <w:r>
        <w:rPr>
          <w:color w:val="231F20"/>
        </w:rPr>
        <w:t>isolated</w:t>
      </w:r>
      <w:r>
        <w:rPr>
          <w:color w:val="231F20"/>
          <w:spacing w:val="-1"/>
        </w:rPr>
        <w:t> </w:t>
      </w:r>
      <w:r>
        <w:rPr>
          <w:color w:val="231F20"/>
        </w:rPr>
        <w:t>syndrome;</w:t>
      </w:r>
      <w:r>
        <w:rPr>
          <w:color w:val="231F20"/>
          <w:spacing w:val="-1"/>
        </w:rPr>
        <w:t> </w:t>
      </w:r>
      <w:r>
        <w:rPr>
          <w:color w:val="231F20"/>
        </w:rPr>
        <w:t>CNS,</w:t>
      </w:r>
      <w:r>
        <w:rPr>
          <w:color w:val="231F20"/>
          <w:spacing w:val="-1"/>
        </w:rPr>
        <w:t> </w:t>
      </w:r>
      <w:r>
        <w:rPr>
          <w:color w:val="231F20"/>
        </w:rPr>
        <w:t>central</w:t>
      </w:r>
      <w:r>
        <w:rPr>
          <w:color w:val="231F20"/>
          <w:spacing w:val="-1"/>
        </w:rPr>
        <w:t> </w:t>
      </w:r>
      <w:r>
        <w:rPr>
          <w:color w:val="231F20"/>
        </w:rPr>
        <w:t>nervous</w:t>
      </w:r>
      <w:r>
        <w:rPr>
          <w:color w:val="231F20"/>
          <w:spacing w:val="-1"/>
        </w:rPr>
        <w:t> </w:t>
      </w:r>
      <w:r>
        <w:rPr>
          <w:color w:val="231F20"/>
        </w:rPr>
        <w:t>system;</w:t>
      </w:r>
      <w:r>
        <w:rPr>
          <w:color w:val="231F20"/>
          <w:spacing w:val="-1"/>
        </w:rPr>
        <w:t> </w:t>
      </w:r>
      <w:r>
        <w:rPr>
          <w:color w:val="231F20"/>
        </w:rPr>
        <w:t>DIS,</w:t>
      </w:r>
      <w:r>
        <w:rPr>
          <w:color w:val="231F20"/>
          <w:spacing w:val="-1"/>
        </w:rPr>
        <w:t> </w:t>
      </w:r>
      <w:r>
        <w:rPr>
          <w:color w:val="231F20"/>
        </w:rPr>
        <w:t>dissemination</w:t>
      </w:r>
      <w:r>
        <w:rPr>
          <w:color w:val="231F20"/>
          <w:spacing w:val="-1"/>
        </w:rPr>
        <w:t> </w:t>
      </w:r>
      <w:r>
        <w:rPr>
          <w:color w:val="231F20"/>
        </w:rPr>
        <w:t>in</w:t>
      </w:r>
      <w:r>
        <w:rPr>
          <w:color w:val="231F20"/>
          <w:spacing w:val="-1"/>
        </w:rPr>
        <w:t> </w:t>
      </w:r>
      <w:r>
        <w:rPr>
          <w:color w:val="231F20"/>
        </w:rPr>
        <w:t>space;</w:t>
      </w:r>
      <w:r>
        <w:rPr>
          <w:color w:val="231F20"/>
          <w:spacing w:val="-1"/>
        </w:rPr>
        <w:t> </w:t>
      </w:r>
      <w:r>
        <w:rPr>
          <w:color w:val="231F20"/>
        </w:rPr>
        <w:t>DIT,</w:t>
      </w:r>
      <w:r>
        <w:rPr>
          <w:color w:val="231F20"/>
          <w:spacing w:val="-1"/>
        </w:rPr>
        <w:t> </w:t>
      </w:r>
      <w:r>
        <w:rPr>
          <w:color w:val="231F20"/>
        </w:rPr>
        <w:t>dissemination</w:t>
      </w:r>
      <w:r>
        <w:rPr>
          <w:color w:val="231F20"/>
          <w:spacing w:val="-1"/>
        </w:rPr>
        <w:t> </w:t>
      </w:r>
      <w:r>
        <w:rPr>
          <w:color w:val="231F20"/>
        </w:rPr>
        <w:t>in</w:t>
      </w:r>
      <w:r>
        <w:rPr>
          <w:color w:val="231F20"/>
          <w:spacing w:val="40"/>
        </w:rPr>
        <w:t> </w:t>
      </w:r>
      <w:r>
        <w:rPr>
          <w:color w:val="231F20"/>
        </w:rPr>
        <w:t>time; IPMSSG, International Pediatric Multiple Sclerosis Study Group; MS, multiple sclerosis; NMO, neuromyelitis optica.</w:t>
      </w:r>
    </w:p>
    <w:p>
      <w:pPr>
        <w:spacing w:line="237" w:lineRule="auto" w:before="0"/>
        <w:ind w:left="486" w:right="446" w:firstLine="130"/>
        <w:jc w:val="left"/>
        <w:rPr>
          <w:i/>
          <w:sz w:val="13"/>
        </w:rPr>
      </w:pPr>
      <w:r>
        <w:rPr>
          <w:i/>
          <w:color w:val="231F20"/>
          <w:sz w:val="13"/>
        </w:rPr>
        <w:t>Modified</w:t>
      </w:r>
      <w:r>
        <w:rPr>
          <w:i/>
          <w:color w:val="231F20"/>
          <w:spacing w:val="-9"/>
          <w:sz w:val="13"/>
        </w:rPr>
        <w:t> </w:t>
      </w:r>
      <w:r>
        <w:rPr>
          <w:i/>
          <w:color w:val="231F20"/>
          <w:sz w:val="13"/>
        </w:rPr>
        <w:t>from</w:t>
      </w:r>
      <w:r>
        <w:rPr>
          <w:i/>
          <w:color w:val="231F20"/>
          <w:spacing w:val="-9"/>
          <w:sz w:val="13"/>
        </w:rPr>
        <w:t> </w:t>
      </w:r>
      <w:r>
        <w:rPr>
          <w:i/>
          <w:color w:val="231F20"/>
          <w:sz w:val="13"/>
        </w:rPr>
        <w:t>Krupp</w:t>
      </w:r>
      <w:r>
        <w:rPr>
          <w:i/>
          <w:color w:val="231F20"/>
          <w:spacing w:val="-9"/>
          <w:sz w:val="13"/>
        </w:rPr>
        <w:t> </w:t>
      </w:r>
      <w:r>
        <w:rPr>
          <w:i/>
          <w:color w:val="231F20"/>
          <w:sz w:val="13"/>
        </w:rPr>
        <w:t>LB,</w:t>
      </w:r>
      <w:r>
        <w:rPr>
          <w:i/>
          <w:color w:val="231F20"/>
          <w:spacing w:val="-9"/>
          <w:sz w:val="13"/>
        </w:rPr>
        <w:t> </w:t>
      </w:r>
      <w:r>
        <w:rPr>
          <w:i/>
          <w:color w:val="231F20"/>
          <w:sz w:val="13"/>
        </w:rPr>
        <w:t>Tardieu</w:t>
      </w:r>
      <w:r>
        <w:rPr>
          <w:i/>
          <w:color w:val="231F20"/>
          <w:spacing w:val="-9"/>
          <w:sz w:val="13"/>
        </w:rPr>
        <w:t> </w:t>
      </w:r>
      <w:r>
        <w:rPr>
          <w:i/>
          <w:color w:val="231F20"/>
          <w:sz w:val="13"/>
        </w:rPr>
        <w:t>M,</w:t>
      </w:r>
      <w:r>
        <w:rPr>
          <w:i/>
          <w:color w:val="231F20"/>
          <w:spacing w:val="-9"/>
          <w:sz w:val="13"/>
        </w:rPr>
        <w:t> </w:t>
      </w:r>
      <w:r>
        <w:rPr>
          <w:i/>
          <w:color w:val="231F20"/>
          <w:sz w:val="13"/>
        </w:rPr>
        <w:t>Amato</w:t>
      </w:r>
      <w:r>
        <w:rPr>
          <w:i/>
          <w:color w:val="231F20"/>
          <w:spacing w:val="-9"/>
          <w:sz w:val="13"/>
        </w:rPr>
        <w:t> </w:t>
      </w:r>
      <w:r>
        <w:rPr>
          <w:i/>
          <w:color w:val="231F20"/>
          <w:sz w:val="13"/>
        </w:rPr>
        <w:t>MP,</w:t>
      </w:r>
      <w:r>
        <w:rPr>
          <w:i/>
          <w:color w:val="231F20"/>
          <w:spacing w:val="-9"/>
          <w:sz w:val="13"/>
        </w:rPr>
        <w:t> </w:t>
      </w:r>
      <w:r>
        <w:rPr>
          <w:i/>
          <w:color w:val="231F20"/>
          <w:sz w:val="13"/>
        </w:rPr>
        <w:t>et</w:t>
      </w:r>
      <w:r>
        <w:rPr>
          <w:i/>
          <w:color w:val="231F20"/>
          <w:spacing w:val="-9"/>
          <w:sz w:val="13"/>
        </w:rPr>
        <w:t> </w:t>
      </w:r>
      <w:r>
        <w:rPr>
          <w:i/>
          <w:color w:val="231F20"/>
          <w:sz w:val="13"/>
        </w:rPr>
        <w:t>al:</w:t>
      </w:r>
      <w:r>
        <w:rPr>
          <w:i/>
          <w:color w:val="231F20"/>
          <w:spacing w:val="-9"/>
          <w:sz w:val="13"/>
        </w:rPr>
        <w:t> </w:t>
      </w:r>
      <w:r>
        <w:rPr>
          <w:i/>
          <w:color w:val="231F20"/>
          <w:sz w:val="13"/>
        </w:rPr>
        <w:t>International</w:t>
      </w:r>
      <w:r>
        <w:rPr>
          <w:i/>
          <w:color w:val="231F20"/>
          <w:spacing w:val="-9"/>
          <w:sz w:val="13"/>
        </w:rPr>
        <w:t> </w:t>
      </w:r>
      <w:r>
        <w:rPr>
          <w:i/>
          <w:color w:val="231F20"/>
          <w:sz w:val="13"/>
        </w:rPr>
        <w:t>Pediatric</w:t>
      </w:r>
      <w:r>
        <w:rPr>
          <w:i/>
          <w:color w:val="231F20"/>
          <w:spacing w:val="-9"/>
          <w:sz w:val="13"/>
        </w:rPr>
        <w:t> </w:t>
      </w:r>
      <w:r>
        <w:rPr>
          <w:i/>
          <w:color w:val="231F20"/>
          <w:sz w:val="13"/>
        </w:rPr>
        <w:t>Multiple</w:t>
      </w:r>
      <w:r>
        <w:rPr>
          <w:i/>
          <w:color w:val="231F20"/>
          <w:spacing w:val="-9"/>
          <w:sz w:val="13"/>
        </w:rPr>
        <w:t> </w:t>
      </w:r>
      <w:r>
        <w:rPr>
          <w:i/>
          <w:color w:val="231F20"/>
          <w:sz w:val="13"/>
        </w:rPr>
        <w:t>Sclerosis</w:t>
      </w:r>
      <w:r>
        <w:rPr>
          <w:i/>
          <w:color w:val="231F20"/>
          <w:spacing w:val="-9"/>
          <w:sz w:val="13"/>
        </w:rPr>
        <w:t> </w:t>
      </w:r>
      <w:r>
        <w:rPr>
          <w:i/>
          <w:color w:val="231F20"/>
          <w:sz w:val="13"/>
        </w:rPr>
        <w:t>Study</w:t>
      </w:r>
      <w:r>
        <w:rPr>
          <w:i/>
          <w:color w:val="231F20"/>
          <w:spacing w:val="-9"/>
          <w:sz w:val="13"/>
        </w:rPr>
        <w:t> </w:t>
      </w:r>
      <w:r>
        <w:rPr>
          <w:i/>
          <w:color w:val="231F20"/>
          <w:sz w:val="13"/>
        </w:rPr>
        <w:t>Group</w:t>
      </w:r>
      <w:r>
        <w:rPr>
          <w:i/>
          <w:color w:val="231F20"/>
          <w:spacing w:val="-9"/>
          <w:sz w:val="13"/>
        </w:rPr>
        <w:t> </w:t>
      </w:r>
      <w:r>
        <w:rPr>
          <w:i/>
          <w:color w:val="231F20"/>
          <w:sz w:val="13"/>
        </w:rPr>
        <w:t>criteria</w:t>
      </w:r>
      <w:r>
        <w:rPr>
          <w:i/>
          <w:color w:val="231F20"/>
          <w:spacing w:val="-9"/>
          <w:sz w:val="13"/>
        </w:rPr>
        <w:t> </w:t>
      </w:r>
      <w:r>
        <w:rPr>
          <w:i/>
          <w:color w:val="231F20"/>
          <w:sz w:val="13"/>
        </w:rPr>
        <w:t>for</w:t>
      </w:r>
      <w:r>
        <w:rPr>
          <w:i/>
          <w:color w:val="231F20"/>
          <w:spacing w:val="-9"/>
          <w:sz w:val="13"/>
        </w:rPr>
        <w:t> </w:t>
      </w:r>
      <w:r>
        <w:rPr>
          <w:i/>
          <w:color w:val="231F20"/>
          <w:sz w:val="13"/>
        </w:rPr>
        <w:t>pediatric</w:t>
      </w:r>
      <w:r>
        <w:rPr>
          <w:i/>
          <w:color w:val="231F20"/>
          <w:spacing w:val="-9"/>
          <w:sz w:val="13"/>
        </w:rPr>
        <w:t> </w:t>
      </w:r>
      <w:r>
        <w:rPr>
          <w:i/>
          <w:color w:val="231F20"/>
          <w:sz w:val="13"/>
        </w:rPr>
        <w:t>multiple</w:t>
      </w:r>
      <w:r>
        <w:rPr>
          <w:i/>
          <w:color w:val="231F20"/>
          <w:spacing w:val="-9"/>
          <w:sz w:val="13"/>
        </w:rPr>
        <w:t> </w:t>
      </w:r>
      <w:r>
        <w:rPr>
          <w:i/>
          <w:color w:val="231F20"/>
          <w:sz w:val="13"/>
        </w:rPr>
        <w:t>sclerosis</w:t>
      </w:r>
      <w:r>
        <w:rPr>
          <w:i/>
          <w:color w:val="231F20"/>
          <w:spacing w:val="-9"/>
          <w:sz w:val="13"/>
        </w:rPr>
        <w:t> </w:t>
      </w:r>
      <w:r>
        <w:rPr>
          <w:i/>
          <w:color w:val="231F20"/>
          <w:sz w:val="13"/>
        </w:rPr>
        <w:t>and</w:t>
      </w:r>
      <w:r>
        <w:rPr>
          <w:i/>
          <w:color w:val="231F20"/>
          <w:spacing w:val="-9"/>
          <w:sz w:val="13"/>
        </w:rPr>
        <w:t> </w:t>
      </w:r>
      <w:r>
        <w:rPr>
          <w:i/>
          <w:color w:val="231F20"/>
          <w:sz w:val="13"/>
        </w:rPr>
        <w:t>immune-</w:t>
      </w:r>
      <w:r>
        <w:rPr>
          <w:i/>
          <w:color w:val="231F20"/>
          <w:spacing w:val="40"/>
          <w:sz w:val="13"/>
        </w:rPr>
        <w:t> </w:t>
      </w:r>
      <w:r>
        <w:rPr>
          <w:i/>
          <w:color w:val="231F20"/>
          <w:sz w:val="13"/>
        </w:rPr>
        <w:t>mediated</w:t>
      </w:r>
      <w:r>
        <w:rPr>
          <w:i/>
          <w:color w:val="231F20"/>
          <w:spacing w:val="-4"/>
          <w:sz w:val="13"/>
        </w:rPr>
        <w:t> </w:t>
      </w:r>
      <w:r>
        <w:rPr>
          <w:i/>
          <w:color w:val="231F20"/>
          <w:sz w:val="13"/>
        </w:rPr>
        <w:t>central</w:t>
      </w:r>
      <w:r>
        <w:rPr>
          <w:i/>
          <w:color w:val="231F20"/>
          <w:spacing w:val="-4"/>
          <w:sz w:val="13"/>
        </w:rPr>
        <w:t> </w:t>
      </w:r>
      <w:r>
        <w:rPr>
          <w:i/>
          <w:color w:val="231F20"/>
          <w:sz w:val="13"/>
        </w:rPr>
        <w:t>nervous</w:t>
      </w:r>
      <w:r>
        <w:rPr>
          <w:i/>
          <w:color w:val="231F20"/>
          <w:spacing w:val="-4"/>
          <w:sz w:val="13"/>
        </w:rPr>
        <w:t> </w:t>
      </w:r>
      <w:r>
        <w:rPr>
          <w:i/>
          <w:color w:val="231F20"/>
          <w:sz w:val="13"/>
        </w:rPr>
        <w:t>system</w:t>
      </w:r>
      <w:r>
        <w:rPr>
          <w:i/>
          <w:color w:val="231F20"/>
          <w:spacing w:val="-4"/>
          <w:sz w:val="13"/>
        </w:rPr>
        <w:t> </w:t>
      </w:r>
      <w:r>
        <w:rPr>
          <w:i/>
          <w:color w:val="231F20"/>
          <w:sz w:val="13"/>
        </w:rPr>
        <w:t>demyelinating</w:t>
      </w:r>
      <w:r>
        <w:rPr>
          <w:i/>
          <w:color w:val="231F20"/>
          <w:spacing w:val="-4"/>
          <w:sz w:val="13"/>
        </w:rPr>
        <w:t> </w:t>
      </w:r>
      <w:r>
        <w:rPr>
          <w:i/>
          <w:color w:val="231F20"/>
          <w:sz w:val="13"/>
        </w:rPr>
        <w:t>disorders:</w:t>
      </w:r>
      <w:r>
        <w:rPr>
          <w:i/>
          <w:color w:val="231F20"/>
          <w:spacing w:val="-4"/>
          <w:sz w:val="13"/>
        </w:rPr>
        <w:t> </w:t>
      </w:r>
      <w:r>
        <w:rPr>
          <w:i/>
          <w:color w:val="231F20"/>
          <w:sz w:val="13"/>
        </w:rPr>
        <w:t>revision</w:t>
      </w:r>
      <w:r>
        <w:rPr>
          <w:i/>
          <w:color w:val="231F20"/>
          <w:spacing w:val="-4"/>
          <w:sz w:val="13"/>
        </w:rPr>
        <w:t> </w:t>
      </w:r>
      <w:r>
        <w:rPr>
          <w:i/>
          <w:color w:val="231F20"/>
          <w:sz w:val="13"/>
        </w:rPr>
        <w:t>to</w:t>
      </w:r>
      <w:r>
        <w:rPr>
          <w:i/>
          <w:color w:val="231F20"/>
          <w:spacing w:val="-4"/>
          <w:sz w:val="13"/>
        </w:rPr>
        <w:t> </w:t>
      </w:r>
      <w:r>
        <w:rPr>
          <w:i/>
          <w:color w:val="231F20"/>
          <w:sz w:val="13"/>
        </w:rPr>
        <w:t>the</w:t>
      </w:r>
      <w:r>
        <w:rPr>
          <w:i/>
          <w:color w:val="231F20"/>
          <w:spacing w:val="-4"/>
          <w:sz w:val="13"/>
        </w:rPr>
        <w:t> </w:t>
      </w:r>
      <w:r>
        <w:rPr>
          <w:i/>
          <w:color w:val="231F20"/>
          <w:sz w:val="13"/>
        </w:rPr>
        <w:t>2007</w:t>
      </w:r>
      <w:r>
        <w:rPr>
          <w:i/>
          <w:color w:val="231F20"/>
          <w:spacing w:val="-4"/>
          <w:sz w:val="13"/>
        </w:rPr>
        <w:t> </w:t>
      </w:r>
      <w:r>
        <w:rPr>
          <w:i/>
          <w:color w:val="231F20"/>
          <w:sz w:val="13"/>
        </w:rPr>
        <w:t>definitions.</w:t>
      </w:r>
      <w:r>
        <w:rPr>
          <w:i/>
          <w:color w:val="231F20"/>
          <w:spacing w:val="-4"/>
          <w:sz w:val="13"/>
        </w:rPr>
        <w:t> </w:t>
      </w:r>
      <w:r>
        <w:rPr>
          <w:i/>
          <w:color w:val="231F20"/>
          <w:sz w:val="13"/>
        </w:rPr>
        <w:t>Mult</w:t>
      </w:r>
      <w:r>
        <w:rPr>
          <w:i/>
          <w:color w:val="231F20"/>
          <w:spacing w:val="-4"/>
          <w:sz w:val="13"/>
        </w:rPr>
        <w:t> </w:t>
      </w:r>
      <w:r>
        <w:rPr>
          <w:i/>
          <w:color w:val="231F20"/>
          <w:sz w:val="13"/>
        </w:rPr>
        <w:t>Scler</w:t>
      </w:r>
      <w:r>
        <w:rPr>
          <w:i/>
          <w:color w:val="231F20"/>
          <w:spacing w:val="-4"/>
          <w:sz w:val="13"/>
        </w:rPr>
        <w:t> </w:t>
      </w:r>
      <w:r>
        <w:rPr>
          <w:i/>
          <w:color w:val="231F20"/>
          <w:sz w:val="13"/>
        </w:rPr>
        <w:t>19(10):1261–1267,</w:t>
      </w:r>
      <w:r>
        <w:rPr>
          <w:i/>
          <w:color w:val="231F20"/>
          <w:spacing w:val="-4"/>
          <w:sz w:val="13"/>
        </w:rPr>
        <w:t> </w:t>
      </w:r>
      <w:r>
        <w:rPr>
          <w:i/>
          <w:color w:val="231F20"/>
          <w:sz w:val="13"/>
        </w:rPr>
        <w:t>2013,</w:t>
      </w:r>
      <w:r>
        <w:rPr>
          <w:i/>
          <w:color w:val="231F20"/>
          <w:spacing w:val="-4"/>
          <w:sz w:val="13"/>
        </w:rPr>
        <w:t> </w:t>
      </w:r>
      <w:r>
        <w:rPr>
          <w:i/>
          <w:color w:val="231F20"/>
          <w:sz w:val="13"/>
        </w:rPr>
        <w:t>Appendix</w:t>
      </w:r>
      <w:r>
        <w:rPr>
          <w:i/>
          <w:color w:val="231F20"/>
          <w:spacing w:val="-4"/>
          <w:sz w:val="13"/>
        </w:rPr>
        <w:t> </w:t>
      </w:r>
      <w:r>
        <w:rPr>
          <w:i/>
          <w:color w:val="231F20"/>
          <w:sz w:val="13"/>
        </w:rPr>
        <w:t>1,</w:t>
      </w:r>
      <w:r>
        <w:rPr>
          <w:i/>
          <w:color w:val="231F20"/>
          <w:spacing w:val="-4"/>
          <w:sz w:val="13"/>
        </w:rPr>
        <w:t> </w:t>
      </w:r>
      <w:r>
        <w:rPr>
          <w:i/>
          <w:color w:val="231F20"/>
          <w:sz w:val="13"/>
        </w:rPr>
        <w:t>p.</w:t>
      </w:r>
      <w:r>
        <w:rPr>
          <w:i/>
          <w:color w:val="231F20"/>
          <w:spacing w:val="-4"/>
          <w:sz w:val="13"/>
        </w:rPr>
        <w:t> </w:t>
      </w:r>
      <w:r>
        <w:rPr>
          <w:i/>
          <w:color w:val="231F20"/>
          <w:sz w:val="13"/>
        </w:rPr>
        <w:t>1266.</w:t>
      </w:r>
    </w:p>
    <w:p>
      <w:pPr>
        <w:pStyle w:val="BodyText"/>
        <w:spacing w:before="143"/>
        <w:rPr>
          <w:i/>
          <w:sz w:val="20"/>
        </w:rPr>
      </w:pPr>
    </w:p>
    <w:tbl>
      <w:tblPr>
        <w:tblW w:w="0" w:type="auto"/>
        <w:jc w:val="left"/>
        <w:tblInd w:w="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553"/>
        <w:gridCol w:w="3601"/>
        <w:gridCol w:w="4440"/>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3</w:t>
            </w:r>
          </w:p>
        </w:tc>
        <w:tc>
          <w:tcPr>
            <w:tcW w:w="8594"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Symptoms</w:t>
            </w:r>
            <w:r>
              <w:rPr>
                <w:color w:val="FFFFFF"/>
                <w:spacing w:val="16"/>
                <w:w w:val="105"/>
                <w:sz w:val="16"/>
              </w:rPr>
              <w:t> </w:t>
            </w:r>
            <w:r>
              <w:rPr>
                <w:color w:val="FFFFFF"/>
                <w:w w:val="105"/>
                <w:sz w:val="16"/>
              </w:rPr>
              <w:t>and</w:t>
            </w:r>
            <w:r>
              <w:rPr>
                <w:color w:val="FFFFFF"/>
                <w:spacing w:val="16"/>
                <w:w w:val="105"/>
                <w:sz w:val="16"/>
              </w:rPr>
              <w:t> </w:t>
            </w:r>
            <w:r>
              <w:rPr>
                <w:color w:val="FFFFFF"/>
                <w:w w:val="105"/>
                <w:sz w:val="16"/>
              </w:rPr>
              <w:t>Signs</w:t>
            </w:r>
            <w:r>
              <w:rPr>
                <w:color w:val="FFFFFF"/>
                <w:spacing w:val="16"/>
                <w:w w:val="105"/>
                <w:sz w:val="16"/>
              </w:rPr>
              <w:t> </w:t>
            </w:r>
            <w:r>
              <w:rPr>
                <w:color w:val="FFFFFF"/>
                <w:w w:val="105"/>
                <w:sz w:val="16"/>
              </w:rPr>
              <w:t>of</w:t>
            </w:r>
            <w:r>
              <w:rPr>
                <w:color w:val="FFFFFF"/>
                <w:spacing w:val="16"/>
                <w:w w:val="105"/>
                <w:sz w:val="16"/>
              </w:rPr>
              <w:t> </w:t>
            </w:r>
            <w:r>
              <w:rPr>
                <w:color w:val="FFFFFF"/>
                <w:w w:val="105"/>
                <w:sz w:val="16"/>
              </w:rPr>
              <w:t>Multiple</w:t>
            </w:r>
            <w:r>
              <w:rPr>
                <w:color w:val="FFFFFF"/>
                <w:spacing w:val="16"/>
                <w:w w:val="105"/>
                <w:sz w:val="16"/>
              </w:rPr>
              <w:t> </w:t>
            </w:r>
            <w:r>
              <w:rPr>
                <w:color w:val="FFFFFF"/>
                <w:w w:val="105"/>
                <w:sz w:val="16"/>
              </w:rPr>
              <w:t>Sclerosis</w:t>
            </w:r>
            <w:r>
              <w:rPr>
                <w:color w:val="FFFFFF"/>
                <w:spacing w:val="16"/>
                <w:w w:val="105"/>
                <w:sz w:val="16"/>
              </w:rPr>
              <w:t> </w:t>
            </w:r>
            <w:r>
              <w:rPr>
                <w:color w:val="FFFFFF"/>
                <w:w w:val="105"/>
                <w:sz w:val="16"/>
              </w:rPr>
              <w:t>by</w:t>
            </w:r>
            <w:r>
              <w:rPr>
                <w:color w:val="FFFFFF"/>
                <w:spacing w:val="16"/>
                <w:w w:val="105"/>
                <w:sz w:val="16"/>
              </w:rPr>
              <w:t> </w:t>
            </w:r>
            <w:r>
              <w:rPr>
                <w:color w:val="FFFFFF"/>
                <w:spacing w:val="-4"/>
                <w:w w:val="105"/>
                <w:sz w:val="16"/>
              </w:rPr>
              <w:t>Site</w:t>
            </w:r>
          </w:p>
        </w:tc>
      </w:tr>
      <w:tr>
        <w:trPr>
          <w:trHeight w:val="276" w:hRule="atLeast"/>
        </w:trPr>
        <w:tc>
          <w:tcPr>
            <w:tcW w:w="1701" w:type="dxa"/>
            <w:gridSpan w:val="2"/>
            <w:tcBorders>
              <w:bottom w:val="single" w:sz="4" w:space="0" w:color="231F20"/>
            </w:tcBorders>
            <w:shd w:val="clear" w:color="auto" w:fill="E8F5F1"/>
          </w:tcPr>
          <w:p>
            <w:pPr>
              <w:pStyle w:val="TableParagraph"/>
              <w:rPr>
                <w:rFonts w:ascii="Times New Roman"/>
                <w:sz w:val="14"/>
              </w:rPr>
            </w:pPr>
          </w:p>
        </w:tc>
        <w:tc>
          <w:tcPr>
            <w:tcW w:w="3601" w:type="dxa"/>
            <w:tcBorders>
              <w:bottom w:val="single" w:sz="4" w:space="0" w:color="231F20"/>
            </w:tcBorders>
            <w:shd w:val="clear" w:color="auto" w:fill="E8F5F1"/>
          </w:tcPr>
          <w:p>
            <w:pPr>
              <w:pStyle w:val="TableParagraph"/>
              <w:spacing w:before="66"/>
              <w:ind w:right="1372"/>
              <w:jc w:val="right"/>
              <w:rPr>
                <w:b/>
                <w:sz w:val="15"/>
              </w:rPr>
            </w:pPr>
            <w:r>
              <w:rPr>
                <w:b/>
                <w:color w:val="231F20"/>
                <w:spacing w:val="-2"/>
                <w:w w:val="115"/>
                <w:sz w:val="15"/>
              </w:rPr>
              <w:t>SYMPTOMS</w:t>
            </w:r>
          </w:p>
        </w:tc>
        <w:tc>
          <w:tcPr>
            <w:tcW w:w="4440" w:type="dxa"/>
            <w:tcBorders>
              <w:bottom w:val="single" w:sz="4" w:space="0" w:color="231F20"/>
            </w:tcBorders>
            <w:shd w:val="clear" w:color="auto" w:fill="E8F5F1"/>
          </w:tcPr>
          <w:p>
            <w:pPr>
              <w:pStyle w:val="TableParagraph"/>
              <w:spacing w:before="66"/>
              <w:ind w:left="112"/>
              <w:jc w:val="center"/>
              <w:rPr>
                <w:b/>
                <w:sz w:val="15"/>
              </w:rPr>
            </w:pPr>
            <w:r>
              <w:rPr>
                <w:b/>
                <w:color w:val="231F20"/>
                <w:spacing w:val="-2"/>
                <w:w w:val="115"/>
                <w:sz w:val="15"/>
              </w:rPr>
              <w:t>SIGNS</w:t>
            </w:r>
          </w:p>
        </w:tc>
      </w:tr>
      <w:tr>
        <w:trPr>
          <w:trHeight w:val="1103" w:hRule="atLeast"/>
        </w:trPr>
        <w:tc>
          <w:tcPr>
            <w:tcW w:w="1701"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Cerebrum</w:t>
            </w:r>
          </w:p>
        </w:tc>
        <w:tc>
          <w:tcPr>
            <w:tcW w:w="3601" w:type="dxa"/>
            <w:tcBorders>
              <w:top w:val="single" w:sz="4" w:space="0" w:color="231F20"/>
              <w:bottom w:val="single" w:sz="4" w:space="0" w:color="FFFFFF"/>
            </w:tcBorders>
            <w:shd w:val="clear" w:color="auto" w:fill="E8F5F1"/>
          </w:tcPr>
          <w:p>
            <w:pPr>
              <w:pStyle w:val="TableParagraph"/>
              <w:spacing w:before="47"/>
              <w:ind w:left="188"/>
              <w:rPr>
                <w:sz w:val="15"/>
              </w:rPr>
            </w:pPr>
            <w:r>
              <w:rPr>
                <w:color w:val="231F20"/>
                <w:sz w:val="15"/>
              </w:rPr>
              <w:t>Cognitive</w:t>
            </w:r>
            <w:r>
              <w:rPr>
                <w:color w:val="231F20"/>
                <w:spacing w:val="13"/>
                <w:sz w:val="15"/>
              </w:rPr>
              <w:t> </w:t>
            </w:r>
            <w:r>
              <w:rPr>
                <w:color w:val="231F20"/>
                <w:spacing w:val="-2"/>
                <w:sz w:val="15"/>
              </w:rPr>
              <w:t>impairment</w:t>
            </w:r>
          </w:p>
          <w:p>
            <w:pPr>
              <w:pStyle w:val="TableParagraph"/>
              <w:spacing w:line="232" w:lineRule="auto" w:before="167"/>
              <w:ind w:left="188" w:right="1490"/>
              <w:rPr>
                <w:sz w:val="15"/>
              </w:rPr>
            </w:pPr>
            <w:r>
              <w:rPr>
                <w:color w:val="231F20"/>
                <w:sz w:val="15"/>
              </w:rPr>
              <w:t>Hemisensory and motor </w:t>
            </w:r>
            <w:r>
              <w:rPr>
                <w:color w:val="231F20"/>
                <w:spacing w:val="-2"/>
                <w:sz w:val="15"/>
              </w:rPr>
              <w:t>Affective</w:t>
            </w:r>
            <w:r>
              <w:rPr>
                <w:color w:val="231F20"/>
                <w:spacing w:val="-10"/>
                <w:sz w:val="15"/>
              </w:rPr>
              <w:t> </w:t>
            </w:r>
            <w:r>
              <w:rPr>
                <w:color w:val="231F20"/>
                <w:spacing w:val="-2"/>
                <w:sz w:val="15"/>
              </w:rPr>
              <w:t>(mainly</w:t>
            </w:r>
            <w:r>
              <w:rPr>
                <w:color w:val="231F20"/>
                <w:spacing w:val="-9"/>
                <w:sz w:val="15"/>
              </w:rPr>
              <w:t> </w:t>
            </w:r>
            <w:r>
              <w:rPr>
                <w:color w:val="231F20"/>
                <w:spacing w:val="-2"/>
                <w:sz w:val="15"/>
              </w:rPr>
              <w:t>depression) </w:t>
            </w:r>
            <w:r>
              <w:rPr>
                <w:color w:val="231F20"/>
                <w:sz w:val="15"/>
              </w:rPr>
              <w:t>Epilepsy (rare)</w:t>
            </w:r>
          </w:p>
          <w:p>
            <w:pPr>
              <w:pStyle w:val="TableParagraph"/>
              <w:spacing w:line="171" w:lineRule="exact"/>
              <w:ind w:left="188"/>
              <w:rPr>
                <w:sz w:val="15"/>
              </w:rPr>
            </w:pPr>
            <w:r>
              <w:rPr>
                <w:color w:val="231F20"/>
                <w:spacing w:val="-2"/>
                <w:sz w:val="15"/>
              </w:rPr>
              <w:t>Focal</w:t>
            </w:r>
            <w:r>
              <w:rPr>
                <w:color w:val="231F20"/>
                <w:spacing w:val="-7"/>
                <w:sz w:val="15"/>
              </w:rPr>
              <w:t> </w:t>
            </w:r>
            <w:r>
              <w:rPr>
                <w:color w:val="231F20"/>
                <w:spacing w:val="-2"/>
                <w:sz w:val="15"/>
              </w:rPr>
              <w:t>cortical</w:t>
            </w:r>
            <w:r>
              <w:rPr>
                <w:color w:val="231F20"/>
                <w:spacing w:val="-7"/>
                <w:sz w:val="15"/>
              </w:rPr>
              <w:t> </w:t>
            </w:r>
            <w:r>
              <w:rPr>
                <w:color w:val="231F20"/>
                <w:spacing w:val="-2"/>
                <w:sz w:val="15"/>
              </w:rPr>
              <w:t>deficits</w:t>
            </w:r>
            <w:r>
              <w:rPr>
                <w:color w:val="231F20"/>
                <w:spacing w:val="-7"/>
                <w:sz w:val="15"/>
              </w:rPr>
              <w:t> </w:t>
            </w:r>
            <w:r>
              <w:rPr>
                <w:color w:val="231F20"/>
                <w:spacing w:val="-2"/>
                <w:sz w:val="15"/>
              </w:rPr>
              <w:t>(rare)</w:t>
            </w:r>
          </w:p>
        </w:tc>
        <w:tc>
          <w:tcPr>
            <w:tcW w:w="4440" w:type="dxa"/>
            <w:tcBorders>
              <w:top w:val="single" w:sz="4" w:space="0" w:color="231F20"/>
              <w:bottom w:val="single" w:sz="4" w:space="0" w:color="FFFFFF"/>
            </w:tcBorders>
            <w:shd w:val="clear" w:color="auto" w:fill="E8F5F1"/>
          </w:tcPr>
          <w:p>
            <w:pPr>
              <w:pStyle w:val="TableParagraph"/>
              <w:spacing w:line="230" w:lineRule="auto" w:before="52"/>
              <w:ind w:left="300" w:hanging="112"/>
              <w:rPr>
                <w:sz w:val="15"/>
              </w:rPr>
            </w:pPr>
            <w:r>
              <w:rPr>
                <w:color w:val="231F20"/>
                <w:spacing w:val="-2"/>
                <w:sz w:val="15"/>
              </w:rPr>
              <w:t>Deficits</w:t>
            </w:r>
            <w:r>
              <w:rPr>
                <w:color w:val="231F20"/>
                <w:spacing w:val="-10"/>
                <w:sz w:val="15"/>
              </w:rPr>
              <w:t> </w:t>
            </w:r>
            <w:r>
              <w:rPr>
                <w:color w:val="231F20"/>
                <w:spacing w:val="-2"/>
                <w:sz w:val="15"/>
              </w:rPr>
              <w:t>in</w:t>
            </w:r>
            <w:r>
              <w:rPr>
                <w:color w:val="231F20"/>
                <w:spacing w:val="-9"/>
                <w:sz w:val="15"/>
              </w:rPr>
              <w:t> </w:t>
            </w:r>
            <w:r>
              <w:rPr>
                <w:color w:val="231F20"/>
                <w:spacing w:val="-2"/>
                <w:sz w:val="15"/>
              </w:rPr>
              <w:t>attention,</w:t>
            </w:r>
            <w:r>
              <w:rPr>
                <w:color w:val="231F20"/>
                <w:spacing w:val="-9"/>
                <w:sz w:val="15"/>
              </w:rPr>
              <w:t> </w:t>
            </w:r>
            <w:r>
              <w:rPr>
                <w:color w:val="231F20"/>
                <w:spacing w:val="-2"/>
                <w:sz w:val="15"/>
              </w:rPr>
              <w:t>reasoning,</w:t>
            </w:r>
            <w:r>
              <w:rPr>
                <w:color w:val="231F20"/>
                <w:spacing w:val="-10"/>
                <w:sz w:val="15"/>
              </w:rPr>
              <w:t> </w:t>
            </w:r>
            <w:r>
              <w:rPr>
                <w:color w:val="231F20"/>
                <w:spacing w:val="-2"/>
                <w:sz w:val="15"/>
              </w:rPr>
              <w:t>and</w:t>
            </w:r>
            <w:r>
              <w:rPr>
                <w:color w:val="231F20"/>
                <w:spacing w:val="-9"/>
                <w:sz w:val="15"/>
              </w:rPr>
              <w:t> </w:t>
            </w:r>
            <w:r>
              <w:rPr>
                <w:color w:val="231F20"/>
                <w:spacing w:val="-2"/>
                <w:sz w:val="15"/>
              </w:rPr>
              <w:t>executive</w:t>
            </w:r>
            <w:r>
              <w:rPr>
                <w:color w:val="231F20"/>
                <w:spacing w:val="-9"/>
                <w:sz w:val="15"/>
              </w:rPr>
              <w:t> </w:t>
            </w:r>
            <w:r>
              <w:rPr>
                <w:color w:val="231F20"/>
                <w:spacing w:val="-2"/>
                <w:sz w:val="15"/>
              </w:rPr>
              <w:t>function</w:t>
            </w:r>
            <w:r>
              <w:rPr>
                <w:color w:val="231F20"/>
                <w:spacing w:val="-10"/>
                <w:sz w:val="15"/>
              </w:rPr>
              <w:t> </w:t>
            </w:r>
            <w:r>
              <w:rPr>
                <w:color w:val="231F20"/>
                <w:spacing w:val="-2"/>
                <w:sz w:val="15"/>
              </w:rPr>
              <w:t>(early); </w:t>
            </w:r>
            <w:r>
              <w:rPr>
                <w:color w:val="231F20"/>
                <w:sz w:val="15"/>
              </w:rPr>
              <w:t>dementia (late)</w:t>
            </w:r>
          </w:p>
          <w:p>
            <w:pPr>
              <w:pStyle w:val="TableParagraph"/>
              <w:spacing w:line="172" w:lineRule="exact"/>
              <w:ind w:left="188"/>
              <w:rPr>
                <w:sz w:val="15"/>
              </w:rPr>
            </w:pPr>
            <w:r>
              <w:rPr>
                <w:color w:val="231F20"/>
                <w:sz w:val="15"/>
              </w:rPr>
              <w:t>Upper</w:t>
            </w:r>
            <w:r>
              <w:rPr>
                <w:color w:val="231F20"/>
                <w:spacing w:val="5"/>
                <w:sz w:val="15"/>
              </w:rPr>
              <w:t> </w:t>
            </w:r>
            <w:r>
              <w:rPr>
                <w:color w:val="231F20"/>
                <w:sz w:val="15"/>
              </w:rPr>
              <w:t>motor</w:t>
            </w:r>
            <w:r>
              <w:rPr>
                <w:color w:val="231F20"/>
                <w:spacing w:val="5"/>
                <w:sz w:val="15"/>
              </w:rPr>
              <w:t> </w:t>
            </w:r>
            <w:r>
              <w:rPr>
                <w:color w:val="231F20"/>
                <w:sz w:val="15"/>
              </w:rPr>
              <w:t>neuron</w:t>
            </w:r>
            <w:r>
              <w:rPr>
                <w:color w:val="231F20"/>
                <w:spacing w:val="5"/>
                <w:sz w:val="15"/>
              </w:rPr>
              <w:t> </w:t>
            </w:r>
            <w:r>
              <w:rPr>
                <w:color w:val="231F20"/>
                <w:spacing w:val="-2"/>
                <w:sz w:val="15"/>
              </w:rPr>
              <w:t>signs</w:t>
            </w:r>
          </w:p>
        </w:tc>
      </w:tr>
      <w:tr>
        <w:trPr>
          <w:trHeight w:val="420" w:hRule="atLeast"/>
        </w:trPr>
        <w:tc>
          <w:tcPr>
            <w:tcW w:w="170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Optic</w:t>
            </w:r>
            <w:r>
              <w:rPr>
                <w:color w:val="231F20"/>
                <w:spacing w:val="11"/>
                <w:sz w:val="15"/>
              </w:rPr>
              <w:t> </w:t>
            </w:r>
            <w:r>
              <w:rPr>
                <w:color w:val="231F20"/>
                <w:spacing w:val="-2"/>
                <w:sz w:val="15"/>
              </w:rPr>
              <w:t>nerve</w:t>
            </w:r>
          </w:p>
        </w:tc>
        <w:tc>
          <w:tcPr>
            <w:tcW w:w="3601" w:type="dxa"/>
            <w:tcBorders>
              <w:top w:val="single" w:sz="4" w:space="0" w:color="FFFFFF"/>
              <w:bottom w:val="single" w:sz="4" w:space="0" w:color="FFFFFF"/>
            </w:tcBorders>
            <w:shd w:val="clear" w:color="auto" w:fill="E8F5F1"/>
          </w:tcPr>
          <w:p>
            <w:pPr>
              <w:pStyle w:val="TableParagraph"/>
              <w:spacing w:before="42"/>
              <w:ind w:right="1382"/>
              <w:jc w:val="right"/>
              <w:rPr>
                <w:sz w:val="15"/>
              </w:rPr>
            </w:pPr>
            <w:r>
              <w:rPr>
                <w:color w:val="231F20"/>
                <w:spacing w:val="-2"/>
                <w:sz w:val="15"/>
              </w:rPr>
              <w:t>Unilateral painful loss of vision</w:t>
            </w:r>
          </w:p>
        </w:tc>
        <w:tc>
          <w:tcPr>
            <w:tcW w:w="4440" w:type="dxa"/>
            <w:tcBorders>
              <w:top w:val="single" w:sz="4" w:space="0" w:color="FFFFFF"/>
              <w:bottom w:val="single" w:sz="4" w:space="0" w:color="FFFFFF"/>
            </w:tcBorders>
            <w:shd w:val="clear" w:color="auto" w:fill="E8F5F1"/>
          </w:tcPr>
          <w:p>
            <w:pPr>
              <w:pStyle w:val="TableParagraph"/>
              <w:spacing w:line="230" w:lineRule="auto" w:before="48"/>
              <w:ind w:left="300" w:hanging="112"/>
              <w:rPr>
                <w:sz w:val="15"/>
              </w:rPr>
            </w:pPr>
            <w:r>
              <w:rPr>
                <w:color w:val="231F20"/>
                <w:spacing w:val="-2"/>
                <w:sz w:val="15"/>
              </w:rPr>
              <w:t>Scotoma,</w:t>
            </w:r>
            <w:r>
              <w:rPr>
                <w:color w:val="231F20"/>
                <w:spacing w:val="-5"/>
                <w:sz w:val="15"/>
              </w:rPr>
              <w:t> </w:t>
            </w:r>
            <w:r>
              <w:rPr>
                <w:color w:val="231F20"/>
                <w:spacing w:val="-2"/>
                <w:sz w:val="15"/>
              </w:rPr>
              <w:t>reduced</w:t>
            </w:r>
            <w:r>
              <w:rPr>
                <w:color w:val="231F20"/>
                <w:spacing w:val="-5"/>
                <w:sz w:val="15"/>
              </w:rPr>
              <w:t> </w:t>
            </w:r>
            <w:r>
              <w:rPr>
                <w:color w:val="231F20"/>
                <w:spacing w:val="-2"/>
                <w:sz w:val="15"/>
              </w:rPr>
              <w:t>visual</w:t>
            </w:r>
            <w:r>
              <w:rPr>
                <w:color w:val="231F20"/>
                <w:spacing w:val="-5"/>
                <w:sz w:val="15"/>
              </w:rPr>
              <w:t> </w:t>
            </w:r>
            <w:r>
              <w:rPr>
                <w:color w:val="231F20"/>
                <w:spacing w:val="-2"/>
                <w:sz w:val="15"/>
              </w:rPr>
              <w:t>acuity,</w:t>
            </w:r>
            <w:r>
              <w:rPr>
                <w:color w:val="231F20"/>
                <w:spacing w:val="-5"/>
                <w:sz w:val="15"/>
              </w:rPr>
              <w:t> </w:t>
            </w:r>
            <w:r>
              <w:rPr>
                <w:color w:val="231F20"/>
                <w:spacing w:val="-2"/>
                <w:sz w:val="15"/>
              </w:rPr>
              <w:t>color</w:t>
            </w:r>
            <w:r>
              <w:rPr>
                <w:color w:val="231F20"/>
                <w:spacing w:val="-5"/>
                <w:sz w:val="15"/>
              </w:rPr>
              <w:t> </w:t>
            </w:r>
            <w:r>
              <w:rPr>
                <w:color w:val="231F20"/>
                <w:spacing w:val="-2"/>
                <w:sz w:val="15"/>
              </w:rPr>
              <w:t>vision,</w:t>
            </w:r>
            <w:r>
              <w:rPr>
                <w:color w:val="231F20"/>
                <w:spacing w:val="-5"/>
                <w:sz w:val="15"/>
              </w:rPr>
              <w:t> </w:t>
            </w:r>
            <w:r>
              <w:rPr>
                <w:color w:val="231F20"/>
                <w:spacing w:val="-2"/>
                <w:sz w:val="15"/>
              </w:rPr>
              <w:t>and</w:t>
            </w:r>
            <w:r>
              <w:rPr>
                <w:color w:val="231F20"/>
                <w:spacing w:val="-5"/>
                <w:sz w:val="15"/>
              </w:rPr>
              <w:t> </w:t>
            </w:r>
            <w:r>
              <w:rPr>
                <w:color w:val="231F20"/>
                <w:spacing w:val="-2"/>
                <w:sz w:val="15"/>
              </w:rPr>
              <w:t>relative </w:t>
            </w:r>
            <w:r>
              <w:rPr>
                <w:color w:val="231F20"/>
                <w:sz w:val="15"/>
              </w:rPr>
              <w:t>afferent papillary defect</w:t>
            </w:r>
          </w:p>
        </w:tc>
      </w:tr>
      <w:tr>
        <w:trPr>
          <w:trHeight w:val="422" w:hRule="atLeast"/>
        </w:trPr>
        <w:tc>
          <w:tcPr>
            <w:tcW w:w="1701" w:type="dxa"/>
            <w:gridSpan w:val="2"/>
            <w:tcBorders>
              <w:top w:val="single" w:sz="4" w:space="0" w:color="FFFFFF"/>
              <w:bottom w:val="single" w:sz="4" w:space="0" w:color="FFFFFF"/>
            </w:tcBorders>
            <w:shd w:val="clear" w:color="auto" w:fill="E8F5F1"/>
          </w:tcPr>
          <w:p>
            <w:pPr>
              <w:pStyle w:val="TableParagraph"/>
              <w:spacing w:line="230" w:lineRule="auto" w:before="48"/>
              <w:ind w:left="186" w:right="179" w:hanging="112"/>
              <w:rPr>
                <w:sz w:val="15"/>
              </w:rPr>
            </w:pPr>
            <w:r>
              <w:rPr>
                <w:color w:val="231F20"/>
                <w:sz w:val="15"/>
              </w:rPr>
              <w:t>Cerebellum and </w:t>
            </w:r>
            <w:r>
              <w:rPr>
                <w:color w:val="231F20"/>
                <w:spacing w:val="-2"/>
                <w:sz w:val="15"/>
              </w:rPr>
              <w:t>cerebellar</w:t>
            </w:r>
            <w:r>
              <w:rPr>
                <w:color w:val="231F20"/>
                <w:spacing w:val="-10"/>
                <w:sz w:val="15"/>
              </w:rPr>
              <w:t> </w:t>
            </w:r>
            <w:r>
              <w:rPr>
                <w:color w:val="231F20"/>
                <w:spacing w:val="-2"/>
                <w:sz w:val="15"/>
              </w:rPr>
              <w:t>pathways</w:t>
            </w:r>
          </w:p>
        </w:tc>
        <w:tc>
          <w:tcPr>
            <w:tcW w:w="3601" w:type="dxa"/>
            <w:tcBorders>
              <w:top w:val="single" w:sz="4" w:space="0" w:color="FFFFFF"/>
              <w:bottom w:val="single" w:sz="4" w:space="0" w:color="FFFFFF"/>
            </w:tcBorders>
            <w:shd w:val="clear" w:color="auto" w:fill="E8F5F1"/>
          </w:tcPr>
          <w:p>
            <w:pPr>
              <w:pStyle w:val="TableParagraph"/>
              <w:spacing w:line="172" w:lineRule="exact" w:before="42"/>
              <w:ind w:left="189"/>
              <w:rPr>
                <w:sz w:val="15"/>
              </w:rPr>
            </w:pPr>
            <w:r>
              <w:rPr>
                <w:color w:val="231F20"/>
                <w:spacing w:val="-2"/>
                <w:sz w:val="15"/>
              </w:rPr>
              <w:t>Tremor</w:t>
            </w:r>
          </w:p>
          <w:p>
            <w:pPr>
              <w:pStyle w:val="TableParagraph"/>
              <w:spacing w:line="172" w:lineRule="exact"/>
              <w:ind w:left="189"/>
              <w:rPr>
                <w:sz w:val="15"/>
              </w:rPr>
            </w:pPr>
            <w:r>
              <w:rPr>
                <w:color w:val="231F20"/>
                <w:sz w:val="15"/>
              </w:rPr>
              <w:t>Clumsiness</w:t>
            </w:r>
            <w:r>
              <w:rPr>
                <w:color w:val="231F20"/>
                <w:spacing w:val="13"/>
                <w:sz w:val="15"/>
              </w:rPr>
              <w:t> </w:t>
            </w:r>
            <w:r>
              <w:rPr>
                <w:color w:val="231F20"/>
                <w:sz w:val="15"/>
              </w:rPr>
              <w:t>and</w:t>
            </w:r>
            <w:r>
              <w:rPr>
                <w:color w:val="231F20"/>
                <w:spacing w:val="13"/>
                <w:sz w:val="15"/>
              </w:rPr>
              <w:t> </w:t>
            </w:r>
            <w:r>
              <w:rPr>
                <w:color w:val="231F20"/>
                <w:sz w:val="15"/>
              </w:rPr>
              <w:t>poor</w:t>
            </w:r>
            <w:r>
              <w:rPr>
                <w:color w:val="231F20"/>
                <w:spacing w:val="14"/>
                <w:sz w:val="15"/>
              </w:rPr>
              <w:t> </w:t>
            </w:r>
            <w:r>
              <w:rPr>
                <w:color w:val="231F20"/>
                <w:spacing w:val="-2"/>
                <w:sz w:val="15"/>
              </w:rPr>
              <w:t>balance</w:t>
            </w:r>
          </w:p>
        </w:tc>
        <w:tc>
          <w:tcPr>
            <w:tcW w:w="4440" w:type="dxa"/>
            <w:tcBorders>
              <w:top w:val="single" w:sz="4" w:space="0" w:color="FFFFFF"/>
              <w:bottom w:val="single" w:sz="4" w:space="0" w:color="FFFFFF"/>
            </w:tcBorders>
            <w:shd w:val="clear" w:color="auto" w:fill="E8F5F1"/>
          </w:tcPr>
          <w:p>
            <w:pPr>
              <w:pStyle w:val="TableParagraph"/>
              <w:spacing w:line="232" w:lineRule="auto" w:before="46"/>
              <w:ind w:left="188" w:right="1466"/>
              <w:rPr>
                <w:sz w:val="15"/>
              </w:rPr>
            </w:pPr>
            <w:r>
              <w:rPr>
                <w:color w:val="231F20"/>
                <w:spacing w:val="-2"/>
                <w:sz w:val="15"/>
              </w:rPr>
              <w:t>Postural</w:t>
            </w:r>
            <w:r>
              <w:rPr>
                <w:color w:val="231F20"/>
                <w:spacing w:val="-10"/>
                <w:sz w:val="15"/>
              </w:rPr>
              <w:t> </w:t>
            </w:r>
            <w:r>
              <w:rPr>
                <w:color w:val="231F20"/>
                <w:spacing w:val="-2"/>
                <w:sz w:val="15"/>
              </w:rPr>
              <w:t>and</w:t>
            </w:r>
            <w:r>
              <w:rPr>
                <w:color w:val="231F20"/>
                <w:spacing w:val="-9"/>
                <w:sz w:val="15"/>
              </w:rPr>
              <w:t> </w:t>
            </w:r>
            <w:r>
              <w:rPr>
                <w:color w:val="231F20"/>
                <w:spacing w:val="-2"/>
                <w:sz w:val="15"/>
              </w:rPr>
              <w:t>action</w:t>
            </w:r>
            <w:r>
              <w:rPr>
                <w:color w:val="231F20"/>
                <w:spacing w:val="-9"/>
                <w:sz w:val="15"/>
              </w:rPr>
              <w:t> </w:t>
            </w:r>
            <w:r>
              <w:rPr>
                <w:color w:val="231F20"/>
                <w:spacing w:val="-2"/>
                <w:sz w:val="15"/>
              </w:rPr>
              <w:t>tremor,</w:t>
            </w:r>
            <w:r>
              <w:rPr>
                <w:color w:val="231F20"/>
                <w:spacing w:val="-10"/>
                <w:sz w:val="15"/>
              </w:rPr>
              <w:t> </w:t>
            </w:r>
            <w:r>
              <w:rPr>
                <w:color w:val="231F20"/>
                <w:spacing w:val="-2"/>
                <w:sz w:val="15"/>
              </w:rPr>
              <w:t>dysarthria </w:t>
            </w:r>
            <w:r>
              <w:rPr>
                <w:color w:val="231F20"/>
                <w:sz w:val="15"/>
              </w:rPr>
              <w:t>Limb incoordination and gait ataxia</w:t>
            </w:r>
          </w:p>
        </w:tc>
      </w:tr>
      <w:tr>
        <w:trPr>
          <w:trHeight w:val="930" w:hRule="atLeast"/>
        </w:trPr>
        <w:tc>
          <w:tcPr>
            <w:tcW w:w="170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Brainstem</w:t>
            </w:r>
          </w:p>
        </w:tc>
        <w:tc>
          <w:tcPr>
            <w:tcW w:w="3601" w:type="dxa"/>
            <w:tcBorders>
              <w:top w:val="single" w:sz="4" w:space="0" w:color="FFFFFF"/>
              <w:bottom w:val="single" w:sz="4" w:space="0" w:color="FFFFFF"/>
            </w:tcBorders>
            <w:shd w:val="clear" w:color="auto" w:fill="E8F5F1"/>
          </w:tcPr>
          <w:p>
            <w:pPr>
              <w:pStyle w:val="TableParagraph"/>
              <w:spacing w:line="232" w:lineRule="auto" w:before="46"/>
              <w:ind w:left="189" w:right="2062"/>
              <w:rPr>
                <w:sz w:val="15"/>
              </w:rPr>
            </w:pPr>
            <w:r>
              <w:rPr>
                <w:color w:val="231F20"/>
                <w:sz w:val="15"/>
              </w:rPr>
              <w:t>Diplopia,</w:t>
            </w:r>
            <w:r>
              <w:rPr>
                <w:color w:val="231F20"/>
                <w:spacing w:val="-12"/>
                <w:sz w:val="15"/>
              </w:rPr>
              <w:t> </w:t>
            </w:r>
            <w:r>
              <w:rPr>
                <w:color w:val="231F20"/>
                <w:sz w:val="15"/>
              </w:rPr>
              <w:t>oscillopsia </w:t>
            </w:r>
            <w:r>
              <w:rPr>
                <w:color w:val="231F20"/>
                <w:spacing w:val="-2"/>
                <w:sz w:val="15"/>
              </w:rPr>
              <w:t>Vertigo</w:t>
            </w:r>
          </w:p>
          <w:p>
            <w:pPr>
              <w:pStyle w:val="TableParagraph"/>
              <w:spacing w:line="169" w:lineRule="exact"/>
              <w:ind w:left="189"/>
              <w:rPr>
                <w:sz w:val="15"/>
              </w:rPr>
            </w:pPr>
            <w:r>
              <w:rPr>
                <w:color w:val="231F20"/>
                <w:sz w:val="15"/>
              </w:rPr>
              <w:t>Impaired</w:t>
            </w:r>
            <w:r>
              <w:rPr>
                <w:color w:val="231F20"/>
                <w:spacing w:val="-5"/>
                <w:sz w:val="15"/>
              </w:rPr>
              <w:t> </w:t>
            </w:r>
            <w:r>
              <w:rPr>
                <w:color w:val="231F20"/>
                <w:spacing w:val="-2"/>
                <w:sz w:val="15"/>
              </w:rPr>
              <w:t>swallowing</w:t>
            </w:r>
          </w:p>
          <w:p>
            <w:pPr>
              <w:pStyle w:val="TableParagraph"/>
              <w:spacing w:line="232" w:lineRule="auto" w:before="2"/>
              <w:ind w:left="189" w:right="90"/>
              <w:rPr>
                <w:sz w:val="15"/>
              </w:rPr>
            </w:pPr>
            <w:r>
              <w:rPr>
                <w:color w:val="231F20"/>
                <w:sz w:val="15"/>
              </w:rPr>
              <w:t>Impaired</w:t>
            </w:r>
            <w:r>
              <w:rPr>
                <w:color w:val="231F20"/>
                <w:spacing w:val="-12"/>
                <w:sz w:val="15"/>
              </w:rPr>
              <w:t> </w:t>
            </w:r>
            <w:r>
              <w:rPr>
                <w:color w:val="231F20"/>
                <w:sz w:val="15"/>
              </w:rPr>
              <w:t>speech</w:t>
            </w:r>
            <w:r>
              <w:rPr>
                <w:color w:val="231F20"/>
                <w:spacing w:val="-11"/>
                <w:sz w:val="15"/>
              </w:rPr>
              <w:t> </w:t>
            </w:r>
            <w:r>
              <w:rPr>
                <w:color w:val="231F20"/>
                <w:sz w:val="15"/>
              </w:rPr>
              <w:t>and</w:t>
            </w:r>
            <w:r>
              <w:rPr>
                <w:color w:val="231F20"/>
                <w:spacing w:val="-11"/>
                <w:sz w:val="15"/>
              </w:rPr>
              <w:t> </w:t>
            </w:r>
            <w:r>
              <w:rPr>
                <w:color w:val="231F20"/>
                <w:sz w:val="15"/>
              </w:rPr>
              <w:t>emotional</w:t>
            </w:r>
            <w:r>
              <w:rPr>
                <w:color w:val="231F20"/>
                <w:spacing w:val="-12"/>
                <w:sz w:val="15"/>
              </w:rPr>
              <w:t> </w:t>
            </w:r>
            <w:r>
              <w:rPr>
                <w:color w:val="231F20"/>
                <w:sz w:val="15"/>
              </w:rPr>
              <w:t>lability Paroxysmal symptoms</w:t>
            </w:r>
          </w:p>
        </w:tc>
        <w:tc>
          <w:tcPr>
            <w:tcW w:w="4440" w:type="dxa"/>
            <w:tcBorders>
              <w:top w:val="single" w:sz="4" w:space="0" w:color="FFFFFF"/>
              <w:bottom w:val="single" w:sz="4" w:space="0" w:color="FFFFFF"/>
            </w:tcBorders>
            <w:shd w:val="clear" w:color="auto" w:fill="E8F5F1"/>
          </w:tcPr>
          <w:p>
            <w:pPr>
              <w:pStyle w:val="TableParagraph"/>
              <w:spacing w:before="42"/>
              <w:ind w:left="188"/>
              <w:rPr>
                <w:sz w:val="15"/>
              </w:rPr>
            </w:pPr>
            <w:r>
              <w:rPr>
                <w:color w:val="231F20"/>
                <w:sz w:val="15"/>
              </w:rPr>
              <w:t>Nystagmus,</w:t>
            </w:r>
            <w:r>
              <w:rPr>
                <w:color w:val="231F20"/>
                <w:spacing w:val="-7"/>
                <w:sz w:val="15"/>
              </w:rPr>
              <w:t> </w:t>
            </w:r>
            <w:r>
              <w:rPr>
                <w:color w:val="231F20"/>
                <w:sz w:val="15"/>
              </w:rPr>
              <w:t>internuclear</w:t>
            </w:r>
            <w:r>
              <w:rPr>
                <w:color w:val="231F20"/>
                <w:spacing w:val="-6"/>
                <w:sz w:val="15"/>
              </w:rPr>
              <w:t> </w:t>
            </w:r>
            <w:r>
              <w:rPr>
                <w:color w:val="231F20"/>
                <w:sz w:val="15"/>
              </w:rPr>
              <w:t>and</w:t>
            </w:r>
            <w:r>
              <w:rPr>
                <w:color w:val="231F20"/>
                <w:spacing w:val="-7"/>
                <w:sz w:val="15"/>
              </w:rPr>
              <w:t> </w:t>
            </w:r>
            <w:r>
              <w:rPr>
                <w:color w:val="231F20"/>
                <w:sz w:val="15"/>
              </w:rPr>
              <w:t>other</w:t>
            </w:r>
            <w:r>
              <w:rPr>
                <w:color w:val="231F20"/>
                <w:spacing w:val="-6"/>
                <w:sz w:val="15"/>
              </w:rPr>
              <w:t> </w:t>
            </w:r>
            <w:r>
              <w:rPr>
                <w:color w:val="231F20"/>
                <w:sz w:val="15"/>
              </w:rPr>
              <w:t>complex</w:t>
            </w:r>
            <w:r>
              <w:rPr>
                <w:color w:val="231F20"/>
                <w:spacing w:val="-7"/>
                <w:sz w:val="15"/>
              </w:rPr>
              <w:t> </w:t>
            </w:r>
            <w:r>
              <w:rPr>
                <w:color w:val="231F20"/>
                <w:spacing w:val="-2"/>
                <w:sz w:val="15"/>
              </w:rPr>
              <w:t>ophthalmoplegias</w:t>
            </w:r>
          </w:p>
          <w:p>
            <w:pPr>
              <w:pStyle w:val="TableParagraph"/>
              <w:spacing w:line="232" w:lineRule="auto" w:before="169"/>
              <w:ind w:left="188" w:right="2704"/>
              <w:rPr>
                <w:sz w:val="15"/>
              </w:rPr>
            </w:pPr>
            <w:r>
              <w:rPr>
                <w:color w:val="231F20"/>
                <w:spacing w:val="-2"/>
                <w:sz w:val="15"/>
              </w:rPr>
              <w:t>Dysarthria </w:t>
            </w:r>
            <w:r>
              <w:rPr>
                <w:color w:val="231F20"/>
                <w:sz w:val="15"/>
              </w:rPr>
              <w:t>Pseudobulbar</w:t>
            </w:r>
            <w:r>
              <w:rPr>
                <w:color w:val="231F20"/>
                <w:spacing w:val="-12"/>
                <w:sz w:val="15"/>
              </w:rPr>
              <w:t> </w:t>
            </w:r>
            <w:r>
              <w:rPr>
                <w:color w:val="231F20"/>
                <w:sz w:val="15"/>
              </w:rPr>
              <w:t>palsy</w:t>
            </w:r>
          </w:p>
        </w:tc>
      </w:tr>
      <w:tr>
        <w:trPr>
          <w:trHeight w:val="930" w:hRule="atLeast"/>
        </w:trPr>
        <w:tc>
          <w:tcPr>
            <w:tcW w:w="170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Spinal</w:t>
            </w:r>
            <w:r>
              <w:rPr>
                <w:color w:val="231F20"/>
                <w:spacing w:val="1"/>
                <w:sz w:val="15"/>
              </w:rPr>
              <w:t> </w:t>
            </w:r>
            <w:r>
              <w:rPr>
                <w:color w:val="231F20"/>
                <w:spacing w:val="-4"/>
                <w:sz w:val="15"/>
              </w:rPr>
              <w:t>cord</w:t>
            </w:r>
          </w:p>
        </w:tc>
        <w:tc>
          <w:tcPr>
            <w:tcW w:w="3601" w:type="dxa"/>
            <w:tcBorders>
              <w:top w:val="single" w:sz="4" w:space="0" w:color="FFFFFF"/>
              <w:bottom w:val="single" w:sz="4" w:space="0" w:color="FFFFFF"/>
            </w:tcBorders>
            <w:shd w:val="clear" w:color="auto" w:fill="E8F5F1"/>
          </w:tcPr>
          <w:p>
            <w:pPr>
              <w:pStyle w:val="TableParagraph"/>
              <w:spacing w:line="172" w:lineRule="exact" w:before="42"/>
              <w:ind w:left="189"/>
              <w:rPr>
                <w:sz w:val="15"/>
              </w:rPr>
            </w:pPr>
            <w:r>
              <w:rPr>
                <w:color w:val="231F20"/>
                <w:spacing w:val="-2"/>
                <w:sz w:val="15"/>
              </w:rPr>
              <w:t>Weakness</w:t>
            </w:r>
          </w:p>
          <w:p>
            <w:pPr>
              <w:pStyle w:val="TableParagraph"/>
              <w:spacing w:line="232" w:lineRule="auto" w:before="2"/>
              <w:ind w:left="189" w:right="1490"/>
              <w:rPr>
                <w:sz w:val="15"/>
              </w:rPr>
            </w:pPr>
            <w:r>
              <w:rPr>
                <w:color w:val="231F20"/>
                <w:sz w:val="15"/>
              </w:rPr>
              <w:t>Stiffness</w:t>
            </w:r>
            <w:r>
              <w:rPr>
                <w:color w:val="231F20"/>
                <w:spacing w:val="-12"/>
                <w:sz w:val="15"/>
              </w:rPr>
              <w:t> </w:t>
            </w:r>
            <w:r>
              <w:rPr>
                <w:color w:val="231F20"/>
                <w:sz w:val="15"/>
              </w:rPr>
              <w:t>and</w:t>
            </w:r>
            <w:r>
              <w:rPr>
                <w:color w:val="231F20"/>
                <w:spacing w:val="-11"/>
                <w:sz w:val="15"/>
              </w:rPr>
              <w:t> </w:t>
            </w:r>
            <w:r>
              <w:rPr>
                <w:color w:val="231F20"/>
                <w:sz w:val="15"/>
              </w:rPr>
              <w:t>painful</w:t>
            </w:r>
            <w:r>
              <w:rPr>
                <w:color w:val="231F20"/>
                <w:spacing w:val="-11"/>
                <w:sz w:val="15"/>
              </w:rPr>
              <w:t> </w:t>
            </w:r>
            <w:r>
              <w:rPr>
                <w:color w:val="231F20"/>
                <w:sz w:val="15"/>
              </w:rPr>
              <w:t>spasms Bladder dysfunction</w:t>
            </w:r>
          </w:p>
          <w:p>
            <w:pPr>
              <w:pStyle w:val="TableParagraph"/>
              <w:spacing w:line="232" w:lineRule="auto" w:before="1"/>
              <w:ind w:left="189" w:right="1490"/>
              <w:rPr>
                <w:sz w:val="15"/>
              </w:rPr>
            </w:pPr>
            <w:r>
              <w:rPr>
                <w:color w:val="231F20"/>
                <w:spacing w:val="-2"/>
                <w:sz w:val="15"/>
              </w:rPr>
              <w:t>Erectile</w:t>
            </w:r>
            <w:r>
              <w:rPr>
                <w:color w:val="231F20"/>
                <w:spacing w:val="-10"/>
                <w:sz w:val="15"/>
              </w:rPr>
              <w:t> </w:t>
            </w:r>
            <w:r>
              <w:rPr>
                <w:color w:val="231F20"/>
                <w:spacing w:val="-2"/>
                <w:sz w:val="15"/>
              </w:rPr>
              <w:t>impotence Constipation</w:t>
            </w:r>
          </w:p>
        </w:tc>
        <w:tc>
          <w:tcPr>
            <w:tcW w:w="4440" w:type="dxa"/>
            <w:tcBorders>
              <w:top w:val="single" w:sz="4" w:space="0" w:color="FFFFFF"/>
              <w:bottom w:val="single" w:sz="4" w:space="0" w:color="FFFFFF"/>
            </w:tcBorders>
            <w:shd w:val="clear" w:color="auto" w:fill="E8F5F1"/>
          </w:tcPr>
          <w:p>
            <w:pPr>
              <w:pStyle w:val="TableParagraph"/>
              <w:spacing w:line="232" w:lineRule="auto" w:before="46"/>
              <w:ind w:left="188" w:right="1915"/>
              <w:rPr>
                <w:sz w:val="15"/>
              </w:rPr>
            </w:pPr>
            <w:r>
              <w:rPr>
                <w:color w:val="231F20"/>
                <w:sz w:val="15"/>
              </w:rPr>
              <w:t>Upper</w:t>
            </w:r>
            <w:r>
              <w:rPr>
                <w:color w:val="231F20"/>
                <w:spacing w:val="-1"/>
                <w:sz w:val="15"/>
              </w:rPr>
              <w:t> </w:t>
            </w:r>
            <w:r>
              <w:rPr>
                <w:color w:val="231F20"/>
                <w:sz w:val="15"/>
              </w:rPr>
              <w:t>motor</w:t>
            </w:r>
            <w:r>
              <w:rPr>
                <w:color w:val="231F20"/>
                <w:spacing w:val="-1"/>
                <w:sz w:val="15"/>
              </w:rPr>
              <w:t> </w:t>
            </w:r>
            <w:r>
              <w:rPr>
                <w:color w:val="231F20"/>
                <w:sz w:val="15"/>
              </w:rPr>
              <w:t>neuron</w:t>
            </w:r>
            <w:r>
              <w:rPr>
                <w:color w:val="231F20"/>
                <w:spacing w:val="-1"/>
                <w:sz w:val="15"/>
              </w:rPr>
              <w:t> </w:t>
            </w:r>
            <w:r>
              <w:rPr>
                <w:color w:val="231F20"/>
                <w:sz w:val="15"/>
              </w:rPr>
              <w:t>signs </w:t>
            </w:r>
            <w:r>
              <w:rPr>
                <w:color w:val="231F20"/>
                <w:spacing w:val="-2"/>
                <w:sz w:val="15"/>
              </w:rPr>
              <w:t>Spasticity</w:t>
            </w:r>
          </w:p>
        </w:tc>
      </w:tr>
      <w:tr>
        <w:trPr>
          <w:trHeight w:val="586" w:hRule="atLeast"/>
        </w:trPr>
        <w:tc>
          <w:tcPr>
            <w:tcW w:w="1701"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Other</w:t>
            </w:r>
          </w:p>
        </w:tc>
        <w:tc>
          <w:tcPr>
            <w:tcW w:w="3601" w:type="dxa"/>
            <w:tcBorders>
              <w:top w:val="single" w:sz="4" w:space="0" w:color="FFFFFF"/>
              <w:bottom w:val="single" w:sz="8" w:space="0" w:color="231F20"/>
            </w:tcBorders>
            <w:shd w:val="clear" w:color="auto" w:fill="E8F5F1"/>
          </w:tcPr>
          <w:p>
            <w:pPr>
              <w:pStyle w:val="TableParagraph"/>
              <w:spacing w:line="232" w:lineRule="auto" w:before="46"/>
              <w:ind w:left="189" w:right="2675"/>
              <w:rPr>
                <w:sz w:val="15"/>
              </w:rPr>
            </w:pPr>
            <w:r>
              <w:rPr>
                <w:color w:val="231F20"/>
                <w:spacing w:val="-4"/>
                <w:sz w:val="15"/>
              </w:rPr>
              <w:t>Pain </w:t>
            </w:r>
            <w:r>
              <w:rPr>
                <w:color w:val="231F20"/>
                <w:spacing w:val="-2"/>
                <w:sz w:val="15"/>
              </w:rPr>
              <w:t>Fatigue</w:t>
            </w:r>
          </w:p>
          <w:p>
            <w:pPr>
              <w:pStyle w:val="TableParagraph"/>
              <w:spacing w:line="171" w:lineRule="exact"/>
              <w:ind w:left="189"/>
              <w:rPr>
                <w:sz w:val="15"/>
              </w:rPr>
            </w:pPr>
            <w:r>
              <w:rPr>
                <w:color w:val="231F20"/>
                <w:spacing w:val="-2"/>
                <w:sz w:val="15"/>
              </w:rPr>
              <w:t>Temperature sensitivity</w:t>
            </w:r>
            <w:r>
              <w:rPr>
                <w:color w:val="231F20"/>
                <w:spacing w:val="-1"/>
                <w:sz w:val="15"/>
              </w:rPr>
              <w:t> </w:t>
            </w:r>
            <w:r>
              <w:rPr>
                <w:color w:val="231F20"/>
                <w:spacing w:val="-2"/>
                <w:sz w:val="15"/>
              </w:rPr>
              <w:t>and</w:t>
            </w:r>
            <w:r>
              <w:rPr>
                <w:color w:val="231F20"/>
                <w:spacing w:val="-1"/>
                <w:sz w:val="15"/>
              </w:rPr>
              <w:t> </w:t>
            </w:r>
            <w:r>
              <w:rPr>
                <w:color w:val="231F20"/>
                <w:spacing w:val="-2"/>
                <w:sz w:val="15"/>
              </w:rPr>
              <w:t>exercise</w:t>
            </w:r>
            <w:r>
              <w:rPr>
                <w:color w:val="231F20"/>
                <w:spacing w:val="-1"/>
                <w:sz w:val="15"/>
              </w:rPr>
              <w:t> </w:t>
            </w:r>
            <w:r>
              <w:rPr>
                <w:color w:val="231F20"/>
                <w:spacing w:val="-2"/>
                <w:sz w:val="15"/>
              </w:rPr>
              <w:t>intolerance</w:t>
            </w:r>
          </w:p>
        </w:tc>
        <w:tc>
          <w:tcPr>
            <w:tcW w:w="4440" w:type="dxa"/>
            <w:tcBorders>
              <w:top w:val="single" w:sz="4" w:space="0" w:color="FFFFFF"/>
              <w:bottom w:val="single" w:sz="8" w:space="0" w:color="231F20"/>
            </w:tcBorders>
            <w:shd w:val="clear" w:color="auto" w:fill="E8F5F1"/>
          </w:tcPr>
          <w:p>
            <w:pPr>
              <w:pStyle w:val="TableParagraph"/>
              <w:rPr>
                <w:rFonts w:ascii="Times New Roman"/>
                <w:sz w:val="14"/>
              </w:rPr>
            </w:pPr>
          </w:p>
        </w:tc>
      </w:tr>
    </w:tbl>
    <w:p>
      <w:pPr>
        <w:spacing w:before="76"/>
        <w:ind w:left="486" w:right="0" w:firstLine="0"/>
        <w:jc w:val="left"/>
        <w:rPr>
          <w:i/>
          <w:sz w:val="13"/>
        </w:rPr>
      </w:pPr>
      <w:r>
        <w:rPr>
          <w:i/>
          <w:color w:val="231F20"/>
          <w:sz w:val="13"/>
        </w:rPr>
        <w:t>Modified</w:t>
      </w:r>
      <w:r>
        <w:rPr>
          <w:i/>
          <w:color w:val="231F20"/>
          <w:spacing w:val="-4"/>
          <w:sz w:val="13"/>
        </w:rPr>
        <w:t> </w:t>
      </w:r>
      <w:r>
        <w:rPr>
          <w:i/>
          <w:color w:val="231F20"/>
          <w:sz w:val="13"/>
        </w:rPr>
        <w:t>from</w:t>
      </w:r>
      <w:r>
        <w:rPr>
          <w:i/>
          <w:color w:val="231F20"/>
          <w:spacing w:val="-4"/>
          <w:sz w:val="13"/>
        </w:rPr>
        <w:t> </w:t>
      </w:r>
      <w:r>
        <w:rPr>
          <w:i/>
          <w:color w:val="231F20"/>
          <w:sz w:val="13"/>
        </w:rPr>
        <w:t>Compston</w:t>
      </w:r>
      <w:r>
        <w:rPr>
          <w:i/>
          <w:color w:val="231F20"/>
          <w:spacing w:val="-4"/>
          <w:sz w:val="13"/>
        </w:rPr>
        <w:t> </w:t>
      </w:r>
      <w:r>
        <w:rPr>
          <w:i/>
          <w:color w:val="231F20"/>
          <w:sz w:val="13"/>
        </w:rPr>
        <w:t>A,</w:t>
      </w:r>
      <w:r>
        <w:rPr>
          <w:i/>
          <w:color w:val="231F20"/>
          <w:spacing w:val="-4"/>
          <w:sz w:val="13"/>
        </w:rPr>
        <w:t> </w:t>
      </w:r>
      <w:r>
        <w:rPr>
          <w:i/>
          <w:color w:val="231F20"/>
          <w:sz w:val="13"/>
        </w:rPr>
        <w:t>Coles</w:t>
      </w:r>
      <w:r>
        <w:rPr>
          <w:i/>
          <w:color w:val="231F20"/>
          <w:spacing w:val="-3"/>
          <w:sz w:val="13"/>
        </w:rPr>
        <w:t> </w:t>
      </w:r>
      <w:r>
        <w:rPr>
          <w:i/>
          <w:color w:val="231F20"/>
          <w:sz w:val="13"/>
        </w:rPr>
        <w:t>A:</w:t>
      </w:r>
      <w:r>
        <w:rPr>
          <w:i/>
          <w:color w:val="231F20"/>
          <w:spacing w:val="-4"/>
          <w:sz w:val="13"/>
        </w:rPr>
        <w:t> </w:t>
      </w:r>
      <w:r>
        <w:rPr>
          <w:i/>
          <w:color w:val="231F20"/>
          <w:sz w:val="13"/>
        </w:rPr>
        <w:t>Multiple</w:t>
      </w:r>
      <w:r>
        <w:rPr>
          <w:i/>
          <w:color w:val="231F20"/>
          <w:spacing w:val="-4"/>
          <w:sz w:val="13"/>
        </w:rPr>
        <w:t> </w:t>
      </w:r>
      <w:r>
        <w:rPr>
          <w:i/>
          <w:color w:val="231F20"/>
          <w:sz w:val="13"/>
        </w:rPr>
        <w:t>sclerosis,</w:t>
      </w:r>
      <w:r>
        <w:rPr>
          <w:i/>
          <w:color w:val="231F20"/>
          <w:spacing w:val="-4"/>
          <w:sz w:val="13"/>
        </w:rPr>
        <w:t> </w:t>
      </w:r>
      <w:r>
        <w:rPr>
          <w:color w:val="231F20"/>
          <w:sz w:val="13"/>
        </w:rPr>
        <w:t>Lancet</w:t>
      </w:r>
      <w:r>
        <w:rPr>
          <w:color w:val="231F20"/>
          <w:spacing w:val="-4"/>
          <w:sz w:val="13"/>
        </w:rPr>
        <w:t> </w:t>
      </w:r>
      <w:r>
        <w:rPr>
          <w:i/>
          <w:color w:val="231F20"/>
          <w:sz w:val="13"/>
        </w:rPr>
        <w:t>372:1502–1517,</w:t>
      </w:r>
      <w:r>
        <w:rPr>
          <w:i/>
          <w:color w:val="231F20"/>
          <w:spacing w:val="-3"/>
          <w:sz w:val="13"/>
        </w:rPr>
        <w:t> </w:t>
      </w:r>
      <w:r>
        <w:rPr>
          <w:i/>
          <w:color w:val="231F20"/>
          <w:sz w:val="13"/>
        </w:rPr>
        <w:t>2008,</w:t>
      </w:r>
      <w:r>
        <w:rPr>
          <w:i/>
          <w:color w:val="231F20"/>
          <w:spacing w:val="-4"/>
          <w:sz w:val="13"/>
        </w:rPr>
        <w:t> </w:t>
      </w:r>
      <w:r>
        <w:rPr>
          <w:i/>
          <w:color w:val="231F20"/>
          <w:sz w:val="13"/>
        </w:rPr>
        <w:t>p.</w:t>
      </w:r>
      <w:r>
        <w:rPr>
          <w:i/>
          <w:color w:val="231F20"/>
          <w:spacing w:val="-4"/>
          <w:sz w:val="13"/>
        </w:rPr>
        <w:t> </w:t>
      </w:r>
      <w:r>
        <w:rPr>
          <w:i/>
          <w:color w:val="231F20"/>
          <w:spacing w:val="-2"/>
          <w:sz w:val="13"/>
        </w:rPr>
        <w:t>1503.</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897" name="Group 897"/>
                <wp:cNvGraphicFramePr>
                  <a:graphicFrameLocks/>
                </wp:cNvGraphicFramePr>
                <a:graphic>
                  <a:graphicData uri="http://schemas.microsoft.com/office/word/2010/wordprocessingGroup">
                    <wpg:wgp>
                      <wpg:cNvPr id="897" name="Group 897"/>
                      <wpg:cNvGrpSpPr/>
                      <wpg:grpSpPr>
                        <a:xfrm>
                          <a:off x="0" y="0"/>
                          <a:ext cx="6185535" cy="170815"/>
                          <a:chExt cx="6185535" cy="170815"/>
                        </a:xfrm>
                      </wpg:grpSpPr>
                      <wps:wsp>
                        <wps:cNvPr id="898" name="Graphic 898"/>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899" name="Graphic 899"/>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900" name="Textbox 900"/>
                        <wps:cNvSpPr txBox="1"/>
                        <wps:spPr>
                          <a:xfrm>
                            <a:off x="0" y="0"/>
                            <a:ext cx="6185535" cy="170815"/>
                          </a:xfrm>
                          <a:prstGeom prst="rect">
                            <a:avLst/>
                          </a:prstGeom>
                        </wps:spPr>
                        <wps:txbx>
                          <w:txbxContent>
                            <w:p>
                              <w:pPr>
                                <w:spacing w:before="6"/>
                                <w:ind w:left="2904" w:right="0" w:firstLine="0"/>
                                <w:jc w:val="left"/>
                                <w:rPr>
                                  <w:b/>
                                  <w:sz w:val="18"/>
                                </w:rPr>
                              </w:pPr>
                              <w:r>
                                <w:rPr>
                                  <w:b/>
                                  <w:color w:val="007431"/>
                                  <w:w w:val="105"/>
                                  <w:sz w:val="18"/>
                                </w:rPr>
                                <w:t>Chapter</w:t>
                              </w:r>
                              <w:r>
                                <w:rPr>
                                  <w:b/>
                                  <w:color w:val="007431"/>
                                  <w:spacing w:val="14"/>
                                  <w:w w:val="105"/>
                                  <w:sz w:val="18"/>
                                </w:rPr>
                                <w:t> </w:t>
                              </w:r>
                              <w:r>
                                <w:rPr>
                                  <w:b/>
                                  <w:color w:val="007431"/>
                                  <w:w w:val="105"/>
                                  <w:sz w:val="18"/>
                                </w:rPr>
                                <w:t>600</w:t>
                              </w:r>
                              <w:r>
                                <w:rPr>
                                  <w:b/>
                                  <w:color w:val="007431"/>
                                  <w:spacing w:val="41"/>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Demyelinating</w:t>
                              </w:r>
                              <w:r>
                                <w:rPr>
                                  <w:color w:val="231F20"/>
                                  <w:spacing w:val="10"/>
                                  <w:w w:val="105"/>
                                  <w:sz w:val="18"/>
                                </w:rPr>
                                <w:t> </w:t>
                              </w:r>
                              <w:r>
                                <w:rPr>
                                  <w:color w:val="231F20"/>
                                  <w:w w:val="105"/>
                                  <w:sz w:val="18"/>
                                </w:rPr>
                                <w:t>Disorders</w:t>
                              </w:r>
                              <w:r>
                                <w:rPr>
                                  <w:color w:val="231F20"/>
                                  <w:spacing w:val="9"/>
                                  <w:w w:val="105"/>
                                  <w:sz w:val="18"/>
                                </w:rPr>
                                <w:t> </w:t>
                              </w:r>
                              <w:r>
                                <w:rPr>
                                  <w:color w:val="231F20"/>
                                  <w:w w:val="105"/>
                                  <w:sz w:val="18"/>
                                </w:rPr>
                                <w:t>of</w:t>
                              </w:r>
                              <w:r>
                                <w:rPr>
                                  <w:color w:val="231F20"/>
                                  <w:spacing w:val="10"/>
                                  <w:w w:val="105"/>
                                  <w:sz w:val="18"/>
                                </w:rPr>
                                <w:t> </w:t>
                              </w:r>
                              <w:r>
                                <w:rPr>
                                  <w:color w:val="231F20"/>
                                  <w:w w:val="105"/>
                                  <w:sz w:val="18"/>
                                </w:rPr>
                                <w:t>the</w:t>
                              </w:r>
                              <w:r>
                                <w:rPr>
                                  <w:color w:val="231F20"/>
                                  <w:spacing w:val="10"/>
                                  <w:w w:val="105"/>
                                  <w:sz w:val="18"/>
                                </w:rPr>
                                <w:t> </w:t>
                              </w:r>
                              <w:r>
                                <w:rPr>
                                  <w:color w:val="231F20"/>
                                  <w:w w:val="105"/>
                                  <w:sz w:val="18"/>
                                </w:rPr>
                                <w:t>Central</w:t>
                              </w:r>
                              <w:r>
                                <w:rPr>
                                  <w:color w:val="231F20"/>
                                  <w:spacing w:val="10"/>
                                  <w:w w:val="105"/>
                                  <w:sz w:val="18"/>
                                </w:rPr>
                                <w:t> </w:t>
                              </w:r>
                              <w:r>
                                <w:rPr>
                                  <w:color w:val="231F20"/>
                                  <w:w w:val="105"/>
                                  <w:sz w:val="18"/>
                                </w:rPr>
                                <w:t>Nervous</w:t>
                              </w:r>
                              <w:r>
                                <w:rPr>
                                  <w:color w:val="231F20"/>
                                  <w:spacing w:val="9"/>
                                  <w:w w:val="105"/>
                                  <w:sz w:val="18"/>
                                </w:rPr>
                                <w:t> </w:t>
                              </w:r>
                              <w:r>
                                <w:rPr>
                                  <w:color w:val="231F20"/>
                                  <w:w w:val="105"/>
                                  <w:sz w:val="18"/>
                                </w:rPr>
                                <w:t>System</w:t>
                              </w:r>
                              <w:r>
                                <w:rPr>
                                  <w:color w:val="231F20"/>
                                  <w:spacing w:val="42"/>
                                  <w:w w:val="105"/>
                                  <w:sz w:val="18"/>
                                </w:rPr>
                                <w:t>  </w:t>
                              </w:r>
                              <w:r>
                                <w:rPr>
                                  <w:b/>
                                  <w:color w:val="231F20"/>
                                  <w:spacing w:val="-4"/>
                                  <w:w w:val="105"/>
                                  <w:sz w:val="18"/>
                                </w:rPr>
                                <w:t>2923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30"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731" filled="false" stroked="false">
                  <v:textbox inset="0,0,0,0">
                    <w:txbxContent>
                      <w:p>
                        <w:pPr>
                          <w:spacing w:before="6"/>
                          <w:ind w:left="2904" w:right="0" w:firstLine="0"/>
                          <w:jc w:val="left"/>
                          <w:rPr>
                            <w:b/>
                            <w:sz w:val="18"/>
                          </w:rPr>
                        </w:pPr>
                        <w:r>
                          <w:rPr>
                            <w:b/>
                            <w:color w:val="007431"/>
                            <w:w w:val="105"/>
                            <w:sz w:val="18"/>
                          </w:rPr>
                          <w:t>Chapter</w:t>
                        </w:r>
                        <w:r>
                          <w:rPr>
                            <w:b/>
                            <w:color w:val="007431"/>
                            <w:spacing w:val="14"/>
                            <w:w w:val="105"/>
                            <w:sz w:val="18"/>
                          </w:rPr>
                          <w:t> </w:t>
                        </w:r>
                        <w:r>
                          <w:rPr>
                            <w:b/>
                            <w:color w:val="007431"/>
                            <w:w w:val="105"/>
                            <w:sz w:val="18"/>
                          </w:rPr>
                          <w:t>600</w:t>
                        </w:r>
                        <w:r>
                          <w:rPr>
                            <w:b/>
                            <w:color w:val="007431"/>
                            <w:spacing w:val="41"/>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Demyelinating</w:t>
                        </w:r>
                        <w:r>
                          <w:rPr>
                            <w:color w:val="231F20"/>
                            <w:spacing w:val="10"/>
                            <w:w w:val="105"/>
                            <w:sz w:val="18"/>
                          </w:rPr>
                          <w:t> </w:t>
                        </w:r>
                        <w:r>
                          <w:rPr>
                            <w:color w:val="231F20"/>
                            <w:w w:val="105"/>
                            <w:sz w:val="18"/>
                          </w:rPr>
                          <w:t>Disorders</w:t>
                        </w:r>
                        <w:r>
                          <w:rPr>
                            <w:color w:val="231F20"/>
                            <w:spacing w:val="9"/>
                            <w:w w:val="105"/>
                            <w:sz w:val="18"/>
                          </w:rPr>
                          <w:t> </w:t>
                        </w:r>
                        <w:r>
                          <w:rPr>
                            <w:color w:val="231F20"/>
                            <w:w w:val="105"/>
                            <w:sz w:val="18"/>
                          </w:rPr>
                          <w:t>of</w:t>
                        </w:r>
                        <w:r>
                          <w:rPr>
                            <w:color w:val="231F20"/>
                            <w:spacing w:val="10"/>
                            <w:w w:val="105"/>
                            <w:sz w:val="18"/>
                          </w:rPr>
                          <w:t> </w:t>
                        </w:r>
                        <w:r>
                          <w:rPr>
                            <w:color w:val="231F20"/>
                            <w:w w:val="105"/>
                            <w:sz w:val="18"/>
                          </w:rPr>
                          <w:t>the</w:t>
                        </w:r>
                        <w:r>
                          <w:rPr>
                            <w:color w:val="231F20"/>
                            <w:spacing w:val="10"/>
                            <w:w w:val="105"/>
                            <w:sz w:val="18"/>
                          </w:rPr>
                          <w:t> </w:t>
                        </w:r>
                        <w:r>
                          <w:rPr>
                            <w:color w:val="231F20"/>
                            <w:w w:val="105"/>
                            <w:sz w:val="18"/>
                          </w:rPr>
                          <w:t>Central</w:t>
                        </w:r>
                        <w:r>
                          <w:rPr>
                            <w:color w:val="231F20"/>
                            <w:spacing w:val="10"/>
                            <w:w w:val="105"/>
                            <w:sz w:val="18"/>
                          </w:rPr>
                          <w:t> </w:t>
                        </w:r>
                        <w:r>
                          <w:rPr>
                            <w:color w:val="231F20"/>
                            <w:w w:val="105"/>
                            <w:sz w:val="18"/>
                          </w:rPr>
                          <w:t>Nervous</w:t>
                        </w:r>
                        <w:r>
                          <w:rPr>
                            <w:color w:val="231F20"/>
                            <w:spacing w:val="9"/>
                            <w:w w:val="105"/>
                            <w:sz w:val="18"/>
                          </w:rPr>
                          <w:t> </w:t>
                        </w:r>
                        <w:r>
                          <w:rPr>
                            <w:color w:val="231F20"/>
                            <w:w w:val="105"/>
                            <w:sz w:val="18"/>
                          </w:rPr>
                          <w:t>System</w:t>
                        </w:r>
                        <w:r>
                          <w:rPr>
                            <w:color w:val="231F20"/>
                            <w:spacing w:val="42"/>
                            <w:w w:val="105"/>
                            <w:sz w:val="18"/>
                          </w:rPr>
                          <w:t>  </w:t>
                        </w:r>
                        <w:r>
                          <w:rPr>
                            <w:b/>
                            <w:color w:val="231F20"/>
                            <w:spacing w:val="-4"/>
                            <w:w w:val="105"/>
                            <w:sz w:val="18"/>
                          </w:rPr>
                          <w:t>2923</w:t>
                        </w:r>
                      </w:p>
                    </w:txbxContent>
                  </v:textbox>
                  <w10:wrap type="none"/>
                </v:shape>
              </v:group>
            </w:pict>
          </mc:Fallback>
        </mc:AlternateContent>
      </w:r>
      <w:r>
        <w:rPr>
          <w:sz w:val="20"/>
        </w:rPr>
      </w:r>
    </w:p>
    <w:p>
      <w:pPr>
        <w:pStyle w:val="BodyText"/>
        <w:spacing w:before="11"/>
        <w:rPr>
          <w:i/>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4"/>
        <w:gridCol w:w="1784"/>
        <w:gridCol w:w="2113"/>
        <w:gridCol w:w="2643"/>
        <w:gridCol w:w="2059"/>
      </w:tblGrid>
      <w:tr>
        <w:trPr>
          <w:trHeight w:val="389" w:hRule="atLeast"/>
        </w:trPr>
        <w:tc>
          <w:tcPr>
            <w:tcW w:w="1144" w:type="dxa"/>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600-</w:t>
            </w:r>
            <w:r>
              <w:rPr>
                <w:b/>
                <w:color w:val="FFFFFF"/>
                <w:spacing w:val="-10"/>
                <w:w w:val="105"/>
                <w:sz w:val="16"/>
              </w:rPr>
              <w:t>6</w:t>
            </w:r>
          </w:p>
        </w:tc>
        <w:tc>
          <w:tcPr>
            <w:tcW w:w="1784" w:type="dxa"/>
            <w:shd w:val="clear" w:color="auto" w:fill="231F20"/>
          </w:tcPr>
          <w:p>
            <w:pPr>
              <w:pStyle w:val="TableParagraph"/>
              <w:spacing w:before="89"/>
              <w:ind w:right="26"/>
              <w:jc w:val="right"/>
              <w:rPr>
                <w:sz w:val="16"/>
              </w:rPr>
            </w:pPr>
            <w:r>
              <w:rPr>
                <w:color w:val="FFFFFF"/>
                <w:w w:val="105"/>
                <w:sz w:val="16"/>
              </w:rPr>
              <w:t>Overview</w:t>
            </w:r>
            <w:r>
              <w:rPr>
                <w:color w:val="FFFFFF"/>
                <w:spacing w:val="11"/>
                <w:w w:val="105"/>
                <w:sz w:val="16"/>
              </w:rPr>
              <w:t> </w:t>
            </w:r>
            <w:r>
              <w:rPr>
                <w:color w:val="FFFFFF"/>
                <w:w w:val="105"/>
                <w:sz w:val="16"/>
              </w:rPr>
              <w:t>of</w:t>
            </w:r>
            <w:r>
              <w:rPr>
                <w:color w:val="FFFFFF"/>
                <w:spacing w:val="11"/>
                <w:w w:val="105"/>
                <w:sz w:val="16"/>
              </w:rPr>
              <w:t> </w:t>
            </w:r>
            <w:r>
              <w:rPr>
                <w:color w:val="FFFFFF"/>
                <w:spacing w:val="-2"/>
                <w:w w:val="105"/>
                <w:sz w:val="16"/>
              </w:rPr>
              <w:t>Available</w:t>
            </w:r>
          </w:p>
        </w:tc>
        <w:tc>
          <w:tcPr>
            <w:tcW w:w="2113" w:type="dxa"/>
            <w:shd w:val="clear" w:color="auto" w:fill="231F20"/>
          </w:tcPr>
          <w:p>
            <w:pPr>
              <w:pStyle w:val="TableParagraph"/>
              <w:spacing w:before="89"/>
              <w:ind w:left="27"/>
              <w:rPr>
                <w:sz w:val="16"/>
              </w:rPr>
            </w:pPr>
            <w:r>
              <w:rPr>
                <w:color w:val="FFFFFF"/>
                <w:w w:val="105"/>
                <w:sz w:val="16"/>
              </w:rPr>
              <w:t>and</w:t>
            </w:r>
            <w:r>
              <w:rPr>
                <w:color w:val="FFFFFF"/>
                <w:spacing w:val="18"/>
                <w:w w:val="105"/>
                <w:sz w:val="16"/>
              </w:rPr>
              <w:t> </w:t>
            </w:r>
            <w:r>
              <w:rPr>
                <w:color w:val="FFFFFF"/>
                <w:w w:val="105"/>
                <w:sz w:val="16"/>
              </w:rPr>
              <w:t>Emerging</w:t>
            </w:r>
            <w:r>
              <w:rPr>
                <w:color w:val="FFFFFF"/>
                <w:spacing w:val="18"/>
                <w:w w:val="105"/>
                <w:sz w:val="16"/>
              </w:rPr>
              <w:t> </w:t>
            </w:r>
            <w:r>
              <w:rPr>
                <w:color w:val="FFFFFF"/>
                <w:w w:val="105"/>
                <w:sz w:val="16"/>
              </w:rPr>
              <w:t>Therapies</w:t>
            </w:r>
            <w:r>
              <w:rPr>
                <w:color w:val="FFFFFF"/>
                <w:spacing w:val="18"/>
                <w:w w:val="105"/>
                <w:sz w:val="16"/>
              </w:rPr>
              <w:t> </w:t>
            </w:r>
            <w:r>
              <w:rPr>
                <w:color w:val="FFFFFF"/>
                <w:spacing w:val="-5"/>
                <w:w w:val="105"/>
                <w:sz w:val="16"/>
              </w:rPr>
              <w:t>in</w:t>
            </w:r>
          </w:p>
        </w:tc>
        <w:tc>
          <w:tcPr>
            <w:tcW w:w="4702" w:type="dxa"/>
            <w:gridSpan w:val="2"/>
            <w:shd w:val="clear" w:color="auto" w:fill="231F20"/>
          </w:tcPr>
          <w:p>
            <w:pPr>
              <w:pStyle w:val="TableParagraph"/>
              <w:spacing w:before="89"/>
              <w:ind w:left="26"/>
              <w:rPr>
                <w:sz w:val="16"/>
              </w:rPr>
            </w:pPr>
            <w:r>
              <w:rPr>
                <w:color w:val="FFFFFF"/>
                <w:w w:val="105"/>
                <w:sz w:val="16"/>
              </w:rPr>
              <w:t>Pediatric Multiple</w:t>
            </w:r>
            <w:r>
              <w:rPr>
                <w:color w:val="FFFFFF"/>
                <w:spacing w:val="1"/>
                <w:w w:val="105"/>
                <w:sz w:val="16"/>
              </w:rPr>
              <w:t> </w:t>
            </w:r>
            <w:r>
              <w:rPr>
                <w:color w:val="FFFFFF"/>
                <w:spacing w:val="-2"/>
                <w:w w:val="105"/>
                <w:sz w:val="16"/>
              </w:rPr>
              <w:t>Sclerosis</w:t>
            </w:r>
          </w:p>
        </w:tc>
      </w:tr>
      <w:tr>
        <w:trPr>
          <w:trHeight w:val="576" w:hRule="atLeast"/>
        </w:trPr>
        <w:tc>
          <w:tcPr>
            <w:tcW w:w="1144" w:type="dxa"/>
            <w:tcBorders>
              <w:bottom w:val="single" w:sz="4" w:space="0" w:color="231F20"/>
            </w:tcBorders>
            <w:shd w:val="clear" w:color="auto" w:fill="E8F5F1"/>
          </w:tcPr>
          <w:p>
            <w:pPr>
              <w:pStyle w:val="TableParagraph"/>
              <w:rPr>
                <w:i/>
                <w:sz w:val="15"/>
              </w:rPr>
            </w:pPr>
          </w:p>
          <w:p>
            <w:pPr>
              <w:pStyle w:val="TableParagraph"/>
              <w:spacing w:before="18"/>
              <w:rPr>
                <w:i/>
                <w:sz w:val="15"/>
              </w:rPr>
            </w:pPr>
          </w:p>
          <w:p>
            <w:pPr>
              <w:pStyle w:val="TableParagraph"/>
              <w:ind w:left="74"/>
              <w:rPr>
                <w:b/>
                <w:sz w:val="15"/>
              </w:rPr>
            </w:pPr>
            <w:r>
              <w:rPr>
                <w:b/>
                <w:color w:val="231F20"/>
                <w:spacing w:val="-2"/>
                <w:w w:val="115"/>
                <w:sz w:val="15"/>
              </w:rPr>
              <w:t>MEDICATION</w:t>
            </w:r>
          </w:p>
        </w:tc>
        <w:tc>
          <w:tcPr>
            <w:tcW w:w="1784" w:type="dxa"/>
            <w:tcBorders>
              <w:bottom w:val="single" w:sz="4" w:space="0" w:color="231F20"/>
            </w:tcBorders>
            <w:shd w:val="clear" w:color="auto" w:fill="E8F5F1"/>
          </w:tcPr>
          <w:p>
            <w:pPr>
              <w:pStyle w:val="TableParagraph"/>
              <w:spacing w:before="30"/>
              <w:rPr>
                <w:i/>
                <w:sz w:val="15"/>
              </w:rPr>
            </w:pPr>
          </w:p>
          <w:p>
            <w:pPr>
              <w:pStyle w:val="TableParagraph"/>
              <w:spacing w:line="230" w:lineRule="auto"/>
              <w:ind w:left="856" w:right="36" w:hanging="259"/>
              <w:rPr>
                <w:b/>
                <w:sz w:val="15"/>
              </w:rPr>
            </w:pPr>
            <w:r>
              <w:rPr>
                <w:b/>
                <w:color w:val="231F20"/>
                <w:spacing w:val="-2"/>
                <w:w w:val="110"/>
                <w:sz w:val="15"/>
              </w:rPr>
              <w:t>MEDICATION CLASS</w:t>
            </w:r>
          </w:p>
        </w:tc>
        <w:tc>
          <w:tcPr>
            <w:tcW w:w="2113" w:type="dxa"/>
            <w:tcBorders>
              <w:bottom w:val="single" w:sz="4" w:space="0" w:color="231F20"/>
            </w:tcBorders>
            <w:shd w:val="clear" w:color="auto" w:fill="E8F5F1"/>
          </w:tcPr>
          <w:p>
            <w:pPr>
              <w:pStyle w:val="TableParagraph"/>
              <w:rPr>
                <w:i/>
                <w:sz w:val="15"/>
              </w:rPr>
            </w:pPr>
          </w:p>
          <w:p>
            <w:pPr>
              <w:pStyle w:val="TableParagraph"/>
              <w:spacing w:before="18"/>
              <w:rPr>
                <w:i/>
                <w:sz w:val="15"/>
              </w:rPr>
            </w:pPr>
          </w:p>
          <w:p>
            <w:pPr>
              <w:pStyle w:val="TableParagraph"/>
              <w:ind w:left="395"/>
              <w:rPr>
                <w:b/>
                <w:sz w:val="15"/>
              </w:rPr>
            </w:pPr>
            <w:r>
              <w:rPr>
                <w:b/>
                <w:color w:val="231F20"/>
                <w:w w:val="115"/>
                <w:sz w:val="15"/>
              </w:rPr>
              <w:t>MECHANISM</w:t>
            </w:r>
            <w:r>
              <w:rPr>
                <w:b/>
                <w:color w:val="231F20"/>
                <w:spacing w:val="5"/>
                <w:w w:val="115"/>
                <w:sz w:val="15"/>
              </w:rPr>
              <w:t> </w:t>
            </w:r>
            <w:r>
              <w:rPr>
                <w:b/>
                <w:color w:val="231F20"/>
                <w:w w:val="115"/>
                <w:sz w:val="15"/>
              </w:rPr>
              <w:t>IN</w:t>
            </w:r>
            <w:r>
              <w:rPr>
                <w:b/>
                <w:color w:val="231F20"/>
                <w:spacing w:val="5"/>
                <w:w w:val="115"/>
                <w:sz w:val="15"/>
              </w:rPr>
              <w:t> </w:t>
            </w:r>
            <w:r>
              <w:rPr>
                <w:b/>
                <w:color w:val="231F20"/>
                <w:spacing w:val="-5"/>
                <w:w w:val="115"/>
                <w:sz w:val="15"/>
              </w:rPr>
              <w:t>MS</w:t>
            </w:r>
          </w:p>
        </w:tc>
        <w:tc>
          <w:tcPr>
            <w:tcW w:w="2643" w:type="dxa"/>
            <w:tcBorders>
              <w:bottom w:val="single" w:sz="4" w:space="0" w:color="231F20"/>
            </w:tcBorders>
            <w:shd w:val="clear" w:color="auto" w:fill="E8F5F1"/>
          </w:tcPr>
          <w:p>
            <w:pPr>
              <w:pStyle w:val="TableParagraph"/>
              <w:rPr>
                <w:i/>
                <w:sz w:val="15"/>
              </w:rPr>
            </w:pPr>
          </w:p>
          <w:p>
            <w:pPr>
              <w:pStyle w:val="TableParagraph"/>
              <w:spacing w:before="18"/>
              <w:rPr>
                <w:i/>
                <w:sz w:val="15"/>
              </w:rPr>
            </w:pPr>
          </w:p>
          <w:p>
            <w:pPr>
              <w:pStyle w:val="TableParagraph"/>
              <w:ind w:left="845"/>
              <w:rPr>
                <w:b/>
                <w:sz w:val="15"/>
              </w:rPr>
            </w:pPr>
            <w:r>
              <w:rPr>
                <w:b/>
                <w:color w:val="231F20"/>
                <w:w w:val="110"/>
                <w:sz w:val="15"/>
              </w:rPr>
              <w:t>SIDE</w:t>
            </w:r>
            <w:r>
              <w:rPr>
                <w:b/>
                <w:color w:val="231F20"/>
                <w:spacing w:val="8"/>
                <w:w w:val="110"/>
                <w:sz w:val="15"/>
              </w:rPr>
              <w:t> </w:t>
            </w:r>
            <w:r>
              <w:rPr>
                <w:b/>
                <w:color w:val="231F20"/>
                <w:spacing w:val="-2"/>
                <w:w w:val="110"/>
                <w:sz w:val="15"/>
              </w:rPr>
              <w:t>EFFECTS</w:t>
            </w:r>
          </w:p>
        </w:tc>
        <w:tc>
          <w:tcPr>
            <w:tcW w:w="2059" w:type="dxa"/>
            <w:tcBorders>
              <w:bottom w:val="single" w:sz="4" w:space="0" w:color="231F20"/>
            </w:tcBorders>
            <w:shd w:val="clear" w:color="auto" w:fill="E8F5F1"/>
          </w:tcPr>
          <w:p>
            <w:pPr>
              <w:pStyle w:val="TableParagraph"/>
              <w:spacing w:line="230" w:lineRule="auto" w:before="36"/>
              <w:ind w:left="77" w:right="30"/>
              <w:jc w:val="center"/>
              <w:rPr>
                <w:b/>
                <w:sz w:val="15"/>
              </w:rPr>
            </w:pPr>
            <w:r>
              <w:rPr>
                <w:b/>
                <w:color w:val="231F20"/>
                <w:w w:val="110"/>
                <w:sz w:val="15"/>
              </w:rPr>
              <w:t>STUDIES</w:t>
            </w:r>
            <w:r>
              <w:rPr>
                <w:b/>
                <w:color w:val="231F20"/>
                <w:spacing w:val="-13"/>
                <w:w w:val="110"/>
                <w:sz w:val="15"/>
              </w:rPr>
              <w:t> </w:t>
            </w:r>
            <w:r>
              <w:rPr>
                <w:b/>
                <w:color w:val="231F20"/>
                <w:w w:val="110"/>
                <w:sz w:val="15"/>
              </w:rPr>
              <w:t>DESCRIBING DRUG EFFICACY IN PEDIATRIC MS</w:t>
            </w:r>
          </w:p>
        </w:tc>
      </w:tr>
      <w:tr>
        <w:trPr>
          <w:trHeight w:val="633" w:hRule="atLeast"/>
        </w:trPr>
        <w:tc>
          <w:tcPr>
            <w:tcW w:w="2928" w:type="dxa"/>
            <w:gridSpan w:val="2"/>
            <w:tcBorders>
              <w:top w:val="single" w:sz="4" w:space="0" w:color="231F20"/>
            </w:tcBorders>
            <w:shd w:val="clear" w:color="auto" w:fill="E8F5F1"/>
          </w:tcPr>
          <w:p>
            <w:pPr>
              <w:pStyle w:val="TableParagraph"/>
              <w:spacing w:line="172" w:lineRule="exact" w:before="43"/>
              <w:ind w:left="74"/>
              <w:rPr>
                <w:sz w:val="15"/>
              </w:rPr>
            </w:pPr>
            <w:r>
              <w:rPr>
                <w:color w:val="231F20"/>
                <w:w w:val="105"/>
                <w:sz w:val="15"/>
              </w:rPr>
              <w:t>FIRST-LINE</w:t>
            </w:r>
            <w:r>
              <w:rPr>
                <w:color w:val="231F20"/>
                <w:spacing w:val="8"/>
                <w:w w:val="105"/>
                <w:sz w:val="15"/>
              </w:rPr>
              <w:t> </w:t>
            </w:r>
            <w:r>
              <w:rPr>
                <w:color w:val="231F20"/>
                <w:spacing w:val="-2"/>
                <w:w w:val="105"/>
                <w:sz w:val="15"/>
              </w:rPr>
              <w:t>THERAPIES</w:t>
            </w:r>
          </w:p>
          <w:p>
            <w:pPr>
              <w:pStyle w:val="TableParagraph"/>
              <w:tabs>
                <w:tab w:pos="1610" w:val="left" w:leader="none"/>
              </w:tabs>
              <w:spacing w:line="174" w:lineRule="exact"/>
              <w:ind w:left="74"/>
              <w:rPr>
                <w:sz w:val="15"/>
              </w:rPr>
            </w:pPr>
            <w:r>
              <w:rPr>
                <w:color w:val="231F20"/>
                <w:spacing w:val="-2"/>
                <w:sz w:val="15"/>
              </w:rPr>
              <w:t>Interferon-</w:t>
            </w:r>
            <w:r>
              <w:rPr>
                <w:rFonts w:ascii="Cambria" w:hAnsi="Cambria"/>
                <w:color w:val="231F20"/>
                <w:spacing w:val="-2"/>
                <w:sz w:val="15"/>
              </w:rPr>
              <w:t>α</w:t>
            </w:r>
            <w:r>
              <w:rPr>
                <w:rFonts w:ascii="Cambria" w:hAnsi="Cambria"/>
                <w:color w:val="231F20"/>
                <w:spacing w:val="11"/>
                <w:sz w:val="15"/>
              </w:rPr>
              <w:t> </w:t>
            </w:r>
            <w:r>
              <w:rPr>
                <w:color w:val="231F20"/>
                <w:spacing w:val="-2"/>
                <w:sz w:val="15"/>
              </w:rPr>
              <w:t>or</w:t>
            </w:r>
            <w:r>
              <w:rPr>
                <w:color w:val="231F20"/>
                <w:sz w:val="15"/>
              </w:rPr>
              <w:t> </w:t>
            </w:r>
            <w:r>
              <w:rPr>
                <w:rFonts w:ascii="Cambria" w:hAnsi="Cambria"/>
                <w:color w:val="231F20"/>
                <w:spacing w:val="-10"/>
                <w:sz w:val="15"/>
              </w:rPr>
              <w:t>β</w:t>
            </w:r>
            <w:r>
              <w:rPr>
                <w:rFonts w:ascii="Cambria" w:hAnsi="Cambria"/>
                <w:color w:val="231F20"/>
                <w:sz w:val="15"/>
              </w:rPr>
              <w:tab/>
            </w:r>
            <w:r>
              <w:rPr>
                <w:color w:val="231F20"/>
                <w:spacing w:val="-2"/>
                <w:sz w:val="15"/>
              </w:rPr>
              <w:t>Immunomodulator</w:t>
            </w:r>
          </w:p>
        </w:tc>
        <w:tc>
          <w:tcPr>
            <w:tcW w:w="2113" w:type="dxa"/>
            <w:tcBorders>
              <w:top w:val="single" w:sz="4" w:space="0" w:color="231F20"/>
            </w:tcBorders>
            <w:shd w:val="clear" w:color="auto" w:fill="E8F5F1"/>
          </w:tcPr>
          <w:p>
            <w:pPr>
              <w:pStyle w:val="TableParagraph"/>
              <w:spacing w:before="44"/>
              <w:rPr>
                <w:i/>
                <w:sz w:val="15"/>
              </w:rPr>
            </w:pPr>
          </w:p>
          <w:p>
            <w:pPr>
              <w:pStyle w:val="TableParagraph"/>
              <w:spacing w:line="230" w:lineRule="auto"/>
              <w:ind w:left="287" w:hanging="112"/>
              <w:rPr>
                <w:sz w:val="15"/>
              </w:rPr>
            </w:pPr>
            <w:r>
              <w:rPr>
                <w:color w:val="231F20"/>
                <w:sz w:val="15"/>
              </w:rPr>
              <w:t>Modulates</w:t>
            </w:r>
            <w:r>
              <w:rPr>
                <w:color w:val="231F20"/>
                <w:spacing w:val="-5"/>
                <w:sz w:val="15"/>
              </w:rPr>
              <w:t> </w:t>
            </w:r>
            <w:r>
              <w:rPr>
                <w:color w:val="231F20"/>
                <w:sz w:val="15"/>
              </w:rPr>
              <w:t>T</w:t>
            </w:r>
            <w:r>
              <w:rPr>
                <w:color w:val="231F20"/>
                <w:spacing w:val="-5"/>
                <w:sz w:val="15"/>
              </w:rPr>
              <w:t> </w:t>
            </w:r>
            <w:r>
              <w:rPr>
                <w:color w:val="231F20"/>
                <w:sz w:val="15"/>
              </w:rPr>
              <w:t>cells</w:t>
            </w:r>
            <w:r>
              <w:rPr>
                <w:color w:val="231F20"/>
                <w:spacing w:val="-5"/>
                <w:sz w:val="15"/>
              </w:rPr>
              <w:t> </w:t>
            </w:r>
            <w:r>
              <w:rPr>
                <w:color w:val="231F20"/>
                <w:sz w:val="15"/>
              </w:rPr>
              <w:t>and </w:t>
            </w:r>
            <w:r>
              <w:rPr>
                <w:color w:val="231F20"/>
                <w:spacing w:val="-2"/>
                <w:sz w:val="15"/>
              </w:rPr>
              <w:t>cytokine</w:t>
            </w:r>
            <w:r>
              <w:rPr>
                <w:color w:val="231F20"/>
                <w:spacing w:val="-6"/>
                <w:sz w:val="15"/>
              </w:rPr>
              <w:t> </w:t>
            </w:r>
            <w:r>
              <w:rPr>
                <w:color w:val="231F20"/>
                <w:spacing w:val="-2"/>
                <w:sz w:val="15"/>
              </w:rPr>
              <w:t>production</w:t>
            </w:r>
          </w:p>
        </w:tc>
        <w:tc>
          <w:tcPr>
            <w:tcW w:w="2643" w:type="dxa"/>
            <w:vMerge w:val="restart"/>
            <w:tcBorders>
              <w:top w:val="single" w:sz="4" w:space="0" w:color="231F20"/>
              <w:bottom w:val="single" w:sz="4" w:space="0" w:color="FFFFFF"/>
            </w:tcBorders>
            <w:shd w:val="clear" w:color="auto" w:fill="E8F5F1"/>
          </w:tcPr>
          <w:p>
            <w:pPr>
              <w:pStyle w:val="TableParagraph"/>
              <w:spacing w:before="44"/>
              <w:rPr>
                <w:i/>
                <w:sz w:val="15"/>
              </w:rPr>
            </w:pPr>
          </w:p>
          <w:p>
            <w:pPr>
              <w:pStyle w:val="TableParagraph"/>
              <w:spacing w:line="230" w:lineRule="auto"/>
              <w:ind w:left="314" w:hanging="112"/>
              <w:rPr>
                <w:sz w:val="15"/>
              </w:rPr>
            </w:pPr>
            <w:r>
              <w:rPr>
                <w:color w:val="231F20"/>
                <w:spacing w:val="-4"/>
                <w:sz w:val="15"/>
              </w:rPr>
              <w:t>Flu-like symptoms; </w:t>
            </w:r>
            <w:r>
              <w:rPr>
                <w:color w:val="231F20"/>
                <w:spacing w:val="-4"/>
                <w:sz w:val="15"/>
              </w:rPr>
              <w:t>transaminitis; </w:t>
            </w:r>
            <w:r>
              <w:rPr>
                <w:color w:val="231F20"/>
                <w:sz w:val="15"/>
              </w:rPr>
              <w:t>leukopenia; tissue necrosis at injection site (rare)</w:t>
            </w:r>
          </w:p>
          <w:p>
            <w:pPr>
              <w:pStyle w:val="TableParagraph"/>
              <w:spacing w:line="230" w:lineRule="auto" w:before="3"/>
              <w:ind w:left="314" w:right="705" w:hanging="112"/>
              <w:rPr>
                <w:sz w:val="15"/>
              </w:rPr>
            </w:pPr>
            <w:r>
              <w:rPr>
                <w:color w:val="231F20"/>
                <w:sz w:val="15"/>
              </w:rPr>
              <w:t>Flushing,</w:t>
            </w:r>
            <w:r>
              <w:rPr>
                <w:color w:val="231F20"/>
                <w:spacing w:val="-12"/>
                <w:sz w:val="15"/>
              </w:rPr>
              <w:t> </w:t>
            </w:r>
            <w:r>
              <w:rPr>
                <w:color w:val="231F20"/>
                <w:sz w:val="15"/>
              </w:rPr>
              <w:t>lipodystrophy</w:t>
            </w:r>
            <w:r>
              <w:rPr>
                <w:color w:val="231F20"/>
                <w:spacing w:val="-11"/>
                <w:sz w:val="15"/>
              </w:rPr>
              <w:t> </w:t>
            </w:r>
            <w:r>
              <w:rPr>
                <w:color w:val="231F20"/>
                <w:sz w:val="15"/>
              </w:rPr>
              <w:t>at injection sites</w:t>
            </w:r>
          </w:p>
        </w:tc>
        <w:tc>
          <w:tcPr>
            <w:tcW w:w="2059" w:type="dxa"/>
            <w:tcBorders>
              <w:top w:val="single" w:sz="4" w:space="0" w:color="231F20"/>
            </w:tcBorders>
            <w:shd w:val="clear" w:color="auto" w:fill="E8F5F1"/>
          </w:tcPr>
          <w:p>
            <w:pPr>
              <w:pStyle w:val="TableParagraph"/>
              <w:spacing w:before="44"/>
              <w:rPr>
                <w:i/>
                <w:sz w:val="15"/>
              </w:rPr>
            </w:pPr>
          </w:p>
          <w:p>
            <w:pPr>
              <w:pStyle w:val="TableParagraph"/>
              <w:spacing w:line="230" w:lineRule="auto"/>
              <w:ind w:left="122" w:right="354"/>
              <w:rPr>
                <w:sz w:val="15"/>
              </w:rPr>
            </w:pPr>
            <w:r>
              <w:rPr>
                <w:color w:val="231F20"/>
                <w:spacing w:val="-2"/>
                <w:sz w:val="15"/>
              </w:rPr>
              <w:t>Retrospective Prospective</w:t>
            </w:r>
            <w:r>
              <w:rPr>
                <w:color w:val="231F20"/>
                <w:spacing w:val="-10"/>
                <w:sz w:val="15"/>
              </w:rPr>
              <w:t> </w:t>
            </w:r>
            <w:r>
              <w:rPr>
                <w:color w:val="231F20"/>
                <w:spacing w:val="-2"/>
                <w:sz w:val="15"/>
              </w:rPr>
              <w:t>multicenter</w:t>
            </w:r>
          </w:p>
        </w:tc>
      </w:tr>
      <w:tr>
        <w:trPr>
          <w:trHeight w:val="620" w:hRule="atLeast"/>
        </w:trPr>
        <w:tc>
          <w:tcPr>
            <w:tcW w:w="1144" w:type="dxa"/>
            <w:tcBorders>
              <w:bottom w:val="single" w:sz="4" w:space="0" w:color="FFFFFF"/>
            </w:tcBorders>
            <w:shd w:val="clear" w:color="auto" w:fill="E8F5F1"/>
          </w:tcPr>
          <w:p>
            <w:pPr>
              <w:pStyle w:val="TableParagraph"/>
              <w:spacing w:line="230" w:lineRule="auto" w:before="80"/>
              <w:ind w:left="186" w:right="365" w:hanging="112"/>
              <w:rPr>
                <w:sz w:val="15"/>
              </w:rPr>
            </w:pPr>
            <w:r>
              <w:rPr>
                <w:color w:val="231F20"/>
                <w:spacing w:val="-4"/>
                <w:sz w:val="15"/>
              </w:rPr>
              <w:t>Glatiramer </w:t>
            </w:r>
            <w:r>
              <w:rPr>
                <w:color w:val="231F20"/>
                <w:spacing w:val="-2"/>
                <w:sz w:val="15"/>
              </w:rPr>
              <w:t>acetate</w:t>
            </w:r>
            <w:r>
              <w:rPr>
                <w:color w:val="0080AC"/>
                <w:spacing w:val="-2"/>
                <w:sz w:val="15"/>
              </w:rPr>
              <w:t>*</w:t>
            </w:r>
          </w:p>
        </w:tc>
        <w:tc>
          <w:tcPr>
            <w:tcW w:w="1784" w:type="dxa"/>
            <w:tcBorders>
              <w:bottom w:val="single" w:sz="4" w:space="0" w:color="FFFFFF"/>
            </w:tcBorders>
            <w:shd w:val="clear" w:color="auto" w:fill="E8F5F1"/>
          </w:tcPr>
          <w:p>
            <w:pPr>
              <w:pStyle w:val="TableParagraph"/>
              <w:spacing w:before="74"/>
              <w:ind w:right="75"/>
              <w:jc w:val="right"/>
              <w:rPr>
                <w:sz w:val="15"/>
              </w:rPr>
            </w:pPr>
            <w:r>
              <w:rPr>
                <w:color w:val="231F20"/>
                <w:spacing w:val="-2"/>
                <w:sz w:val="15"/>
              </w:rPr>
              <w:t>Immunomodulator</w:t>
            </w:r>
          </w:p>
        </w:tc>
        <w:tc>
          <w:tcPr>
            <w:tcW w:w="2113" w:type="dxa"/>
            <w:tcBorders>
              <w:bottom w:val="single" w:sz="4" w:space="0" w:color="FFFFFF"/>
            </w:tcBorders>
            <w:shd w:val="clear" w:color="auto" w:fill="E8F5F1"/>
          </w:tcPr>
          <w:p>
            <w:pPr>
              <w:pStyle w:val="TableParagraph"/>
              <w:spacing w:line="230" w:lineRule="auto" w:before="80"/>
              <w:ind w:left="287" w:right="147" w:hanging="112"/>
              <w:rPr>
                <w:sz w:val="15"/>
              </w:rPr>
            </w:pPr>
            <w:r>
              <w:rPr>
                <w:color w:val="231F20"/>
                <w:sz w:val="15"/>
              </w:rPr>
              <w:t>Modulates</w:t>
            </w:r>
            <w:r>
              <w:rPr>
                <w:color w:val="231F20"/>
                <w:spacing w:val="-5"/>
                <w:sz w:val="15"/>
              </w:rPr>
              <w:t> </w:t>
            </w:r>
            <w:r>
              <w:rPr>
                <w:color w:val="231F20"/>
                <w:sz w:val="15"/>
              </w:rPr>
              <w:t>T</w:t>
            </w:r>
            <w:r>
              <w:rPr>
                <w:color w:val="231F20"/>
                <w:spacing w:val="-5"/>
                <w:sz w:val="15"/>
              </w:rPr>
              <w:t> </w:t>
            </w:r>
            <w:r>
              <w:rPr>
                <w:color w:val="231F20"/>
                <w:sz w:val="15"/>
              </w:rPr>
              <w:t>cells</w:t>
            </w:r>
            <w:r>
              <w:rPr>
                <w:color w:val="231F20"/>
                <w:spacing w:val="-5"/>
                <w:sz w:val="15"/>
              </w:rPr>
              <w:t> </w:t>
            </w:r>
            <w:r>
              <w:rPr>
                <w:color w:val="231F20"/>
                <w:sz w:val="15"/>
              </w:rPr>
              <w:t>and reduces antigen </w:t>
            </w:r>
            <w:r>
              <w:rPr>
                <w:color w:val="231F20"/>
                <w:spacing w:val="-2"/>
                <w:sz w:val="15"/>
              </w:rPr>
              <w:t>presentation</w:t>
            </w:r>
          </w:p>
        </w:tc>
        <w:tc>
          <w:tcPr>
            <w:tcW w:w="2643" w:type="dxa"/>
            <w:vMerge/>
            <w:tcBorders>
              <w:top w:val="nil"/>
              <w:bottom w:val="single" w:sz="4" w:space="0" w:color="FFFFFF"/>
            </w:tcBorders>
            <w:shd w:val="clear" w:color="auto" w:fill="E8F5F1"/>
          </w:tcPr>
          <w:p>
            <w:pPr>
              <w:rPr>
                <w:sz w:val="2"/>
                <w:szCs w:val="2"/>
              </w:rPr>
            </w:pPr>
          </w:p>
        </w:tc>
        <w:tc>
          <w:tcPr>
            <w:tcW w:w="2059" w:type="dxa"/>
            <w:tcBorders>
              <w:bottom w:val="single" w:sz="4" w:space="0" w:color="FFFFFF"/>
            </w:tcBorders>
            <w:shd w:val="clear" w:color="auto" w:fill="E8F5F1"/>
          </w:tcPr>
          <w:p>
            <w:pPr>
              <w:pStyle w:val="TableParagraph"/>
              <w:spacing w:line="230" w:lineRule="auto" w:before="80"/>
              <w:ind w:left="122" w:right="47"/>
              <w:rPr>
                <w:sz w:val="15"/>
              </w:rPr>
            </w:pPr>
            <w:r>
              <w:rPr>
                <w:color w:val="231F20"/>
                <w:spacing w:val="-2"/>
                <w:sz w:val="15"/>
              </w:rPr>
              <w:t>Prospective</w:t>
            </w:r>
            <w:r>
              <w:rPr>
                <w:color w:val="231F20"/>
                <w:spacing w:val="-5"/>
                <w:sz w:val="15"/>
              </w:rPr>
              <w:t> </w:t>
            </w:r>
            <w:r>
              <w:rPr>
                <w:color w:val="231F20"/>
                <w:spacing w:val="-2"/>
                <w:sz w:val="15"/>
              </w:rPr>
              <w:t>single</w:t>
            </w:r>
            <w:r>
              <w:rPr>
                <w:color w:val="231F20"/>
                <w:spacing w:val="-5"/>
                <w:sz w:val="15"/>
              </w:rPr>
              <w:t> </w:t>
            </w:r>
            <w:r>
              <w:rPr>
                <w:color w:val="231F20"/>
                <w:spacing w:val="-2"/>
                <w:sz w:val="15"/>
              </w:rPr>
              <w:t>center </w:t>
            </w:r>
            <w:r>
              <w:rPr>
                <w:color w:val="231F20"/>
                <w:sz w:val="15"/>
              </w:rPr>
              <w:t>Prospective multicenter</w:t>
            </w:r>
          </w:p>
        </w:tc>
      </w:tr>
      <w:tr>
        <w:trPr>
          <w:trHeight w:val="885" w:hRule="atLeast"/>
        </w:trPr>
        <w:tc>
          <w:tcPr>
            <w:tcW w:w="2928" w:type="dxa"/>
            <w:gridSpan w:val="2"/>
            <w:tcBorders>
              <w:top w:val="single" w:sz="4" w:space="0" w:color="FFFFFF"/>
            </w:tcBorders>
            <w:shd w:val="clear" w:color="auto" w:fill="E8F5F1"/>
          </w:tcPr>
          <w:p>
            <w:pPr>
              <w:pStyle w:val="TableParagraph"/>
              <w:spacing w:line="172" w:lineRule="exact" w:before="43"/>
              <w:ind w:left="74"/>
              <w:rPr>
                <w:sz w:val="15"/>
              </w:rPr>
            </w:pPr>
            <w:r>
              <w:rPr>
                <w:color w:val="231F20"/>
                <w:w w:val="110"/>
                <w:sz w:val="15"/>
              </w:rPr>
              <w:t>SECOND-LINE</w:t>
            </w:r>
            <w:r>
              <w:rPr>
                <w:color w:val="231F20"/>
                <w:spacing w:val="34"/>
                <w:w w:val="110"/>
                <w:sz w:val="15"/>
              </w:rPr>
              <w:t> </w:t>
            </w:r>
            <w:r>
              <w:rPr>
                <w:color w:val="231F20"/>
                <w:spacing w:val="-2"/>
                <w:w w:val="110"/>
                <w:sz w:val="15"/>
              </w:rPr>
              <w:t>THERAPIES</w:t>
            </w:r>
          </w:p>
          <w:p>
            <w:pPr>
              <w:pStyle w:val="TableParagraph"/>
              <w:tabs>
                <w:tab w:pos="1610" w:val="left" w:leader="none"/>
              </w:tabs>
              <w:spacing w:line="230" w:lineRule="auto" w:before="3"/>
              <w:ind w:left="1722" w:right="529" w:hanging="1649"/>
              <w:rPr>
                <w:sz w:val="15"/>
              </w:rPr>
            </w:pPr>
            <w:r>
              <w:rPr>
                <w:color w:val="231F20"/>
                <w:spacing w:val="-2"/>
                <w:sz w:val="15"/>
              </w:rPr>
              <w:t>Natalizumab</w:t>
            </w:r>
            <w:r>
              <w:rPr>
                <w:color w:val="0080AC"/>
                <w:spacing w:val="-2"/>
                <w:sz w:val="15"/>
              </w:rPr>
              <w:t>*</w:t>
            </w:r>
            <w:r>
              <w:rPr>
                <w:color w:val="0080AC"/>
                <w:sz w:val="15"/>
              </w:rPr>
              <w:tab/>
            </w:r>
            <w:r>
              <w:rPr>
                <w:color w:val="231F20"/>
                <w:spacing w:val="-2"/>
                <w:sz w:val="15"/>
              </w:rPr>
              <w:t>Monoclonal antibody</w:t>
            </w:r>
          </w:p>
        </w:tc>
        <w:tc>
          <w:tcPr>
            <w:tcW w:w="2113" w:type="dxa"/>
            <w:vMerge w:val="restart"/>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287" w:right="147" w:hanging="112"/>
              <w:rPr>
                <w:sz w:val="15"/>
              </w:rPr>
            </w:pPr>
            <w:r>
              <w:rPr>
                <w:color w:val="231F20"/>
                <w:sz w:val="15"/>
              </w:rPr>
              <w:t>Targets </w:t>
            </w:r>
            <w:r>
              <w:rPr>
                <w:rFonts w:ascii="Cambria" w:hAnsi="Cambria"/>
                <w:color w:val="231F20"/>
                <w:sz w:val="15"/>
              </w:rPr>
              <w:t>α</w:t>
            </w:r>
            <w:r>
              <w:rPr>
                <w:color w:val="231F20"/>
                <w:sz w:val="15"/>
                <w:vertAlign w:val="subscript"/>
              </w:rPr>
              <w:t>4</w:t>
            </w:r>
            <w:r>
              <w:rPr>
                <w:color w:val="231F20"/>
                <w:sz w:val="15"/>
                <w:vertAlign w:val="baseline"/>
              </w:rPr>
              <w:t>-integrin; </w:t>
            </w:r>
            <w:r>
              <w:rPr>
                <w:color w:val="231F20"/>
                <w:spacing w:val="-2"/>
                <w:sz w:val="15"/>
                <w:vertAlign w:val="baseline"/>
              </w:rPr>
              <w:t>prevents</w:t>
            </w:r>
            <w:r>
              <w:rPr>
                <w:color w:val="231F20"/>
                <w:spacing w:val="-10"/>
                <w:sz w:val="15"/>
                <w:vertAlign w:val="baseline"/>
              </w:rPr>
              <w:t> </w:t>
            </w:r>
            <w:r>
              <w:rPr>
                <w:color w:val="231F20"/>
                <w:spacing w:val="-2"/>
                <w:sz w:val="15"/>
                <w:vertAlign w:val="baseline"/>
              </w:rPr>
              <w:t>T-cell</w:t>
            </w:r>
            <w:r>
              <w:rPr>
                <w:color w:val="231F20"/>
                <w:spacing w:val="-9"/>
                <w:sz w:val="15"/>
                <w:vertAlign w:val="baseline"/>
              </w:rPr>
              <w:t> </w:t>
            </w:r>
            <w:r>
              <w:rPr>
                <w:color w:val="231F20"/>
                <w:spacing w:val="-2"/>
                <w:sz w:val="15"/>
                <w:vertAlign w:val="baseline"/>
              </w:rPr>
              <w:t>migration </w:t>
            </w:r>
            <w:r>
              <w:rPr>
                <w:color w:val="231F20"/>
                <w:sz w:val="15"/>
                <w:vertAlign w:val="baseline"/>
              </w:rPr>
              <w:t>into CNS and other </w:t>
            </w:r>
            <w:r>
              <w:rPr>
                <w:color w:val="231F20"/>
                <w:spacing w:val="-2"/>
                <w:sz w:val="15"/>
                <w:vertAlign w:val="baseline"/>
              </w:rPr>
              <w:t>tissues</w:t>
            </w:r>
          </w:p>
          <w:p>
            <w:pPr>
              <w:pStyle w:val="TableParagraph"/>
              <w:spacing w:before="164"/>
              <w:rPr>
                <w:i/>
                <w:sz w:val="15"/>
              </w:rPr>
            </w:pPr>
          </w:p>
          <w:p>
            <w:pPr>
              <w:pStyle w:val="TableParagraph"/>
              <w:spacing w:line="230" w:lineRule="auto"/>
              <w:ind w:left="287" w:hanging="112"/>
              <w:rPr>
                <w:sz w:val="15"/>
              </w:rPr>
            </w:pPr>
            <w:r>
              <w:rPr>
                <w:color w:val="231F20"/>
                <w:sz w:val="15"/>
              </w:rPr>
              <w:t>DNA alkylation; effects </w:t>
            </w:r>
            <w:r>
              <w:rPr>
                <w:color w:val="231F20"/>
                <w:spacing w:val="-2"/>
                <w:sz w:val="15"/>
              </w:rPr>
              <w:t>include</w:t>
            </w:r>
            <w:r>
              <w:rPr>
                <w:color w:val="231F20"/>
                <w:spacing w:val="-10"/>
                <w:sz w:val="15"/>
              </w:rPr>
              <w:t> </w:t>
            </w:r>
            <w:r>
              <w:rPr>
                <w:color w:val="231F20"/>
                <w:spacing w:val="-2"/>
                <w:sz w:val="15"/>
              </w:rPr>
              <w:t>cytotoxic</w:t>
            </w:r>
            <w:r>
              <w:rPr>
                <w:color w:val="231F20"/>
                <w:spacing w:val="-9"/>
                <w:sz w:val="15"/>
              </w:rPr>
              <w:t> </w:t>
            </w:r>
            <w:r>
              <w:rPr>
                <w:color w:val="231F20"/>
                <w:spacing w:val="-2"/>
                <w:sz w:val="15"/>
              </w:rPr>
              <w:t>immune </w:t>
            </w:r>
            <w:r>
              <w:rPr>
                <w:color w:val="231F20"/>
                <w:sz w:val="15"/>
              </w:rPr>
              <w:t>cell depletion</w:t>
            </w:r>
          </w:p>
          <w:p>
            <w:pPr>
              <w:pStyle w:val="TableParagraph"/>
              <w:spacing w:line="230" w:lineRule="auto" w:before="4"/>
              <w:ind w:left="287" w:right="200" w:hanging="112"/>
              <w:rPr>
                <w:sz w:val="15"/>
              </w:rPr>
            </w:pPr>
            <w:r>
              <w:rPr>
                <w:color w:val="231F20"/>
                <w:sz w:val="15"/>
              </w:rPr>
              <w:t>Disrupts DNA synthesis; </w:t>
            </w:r>
            <w:r>
              <w:rPr>
                <w:color w:val="231F20"/>
                <w:spacing w:val="-2"/>
                <w:sz w:val="15"/>
              </w:rPr>
              <w:t>effects</w:t>
            </w:r>
            <w:r>
              <w:rPr>
                <w:color w:val="231F20"/>
                <w:spacing w:val="-10"/>
                <w:sz w:val="15"/>
              </w:rPr>
              <w:t> </w:t>
            </w:r>
            <w:r>
              <w:rPr>
                <w:color w:val="231F20"/>
                <w:spacing w:val="-2"/>
                <w:sz w:val="15"/>
              </w:rPr>
              <w:t>include</w:t>
            </w:r>
            <w:r>
              <w:rPr>
                <w:color w:val="231F20"/>
                <w:spacing w:val="-9"/>
                <w:sz w:val="15"/>
              </w:rPr>
              <w:t> </w:t>
            </w:r>
            <w:r>
              <w:rPr>
                <w:color w:val="231F20"/>
                <w:spacing w:val="-2"/>
                <w:sz w:val="15"/>
              </w:rPr>
              <w:t>cytotoxic </w:t>
            </w:r>
            <w:r>
              <w:rPr>
                <w:color w:val="231F20"/>
                <w:sz w:val="15"/>
              </w:rPr>
              <w:t>immune cell depletion</w:t>
            </w:r>
          </w:p>
          <w:p>
            <w:pPr>
              <w:pStyle w:val="TableParagraph"/>
              <w:spacing w:before="165"/>
              <w:rPr>
                <w:i/>
                <w:sz w:val="15"/>
              </w:rPr>
            </w:pPr>
          </w:p>
          <w:p>
            <w:pPr>
              <w:pStyle w:val="TableParagraph"/>
              <w:spacing w:line="230" w:lineRule="auto"/>
              <w:ind w:left="287" w:right="224" w:hanging="112"/>
              <w:rPr>
                <w:sz w:val="15"/>
              </w:rPr>
            </w:pPr>
            <w:r>
              <w:rPr>
                <w:color w:val="231F20"/>
                <w:spacing w:val="-2"/>
                <w:sz w:val="15"/>
              </w:rPr>
              <w:t>Targets/inactivates </w:t>
            </w:r>
            <w:r>
              <w:rPr>
                <w:color w:val="231F20"/>
                <w:sz w:val="15"/>
              </w:rPr>
              <w:t>interleukin-2 receptor; </w:t>
            </w:r>
            <w:r>
              <w:rPr>
                <w:color w:val="231F20"/>
                <w:spacing w:val="-2"/>
                <w:sz w:val="15"/>
              </w:rPr>
              <w:t>inhibits</w:t>
            </w:r>
            <w:r>
              <w:rPr>
                <w:color w:val="231F20"/>
                <w:spacing w:val="-5"/>
                <w:sz w:val="15"/>
              </w:rPr>
              <w:t> </w:t>
            </w:r>
            <w:r>
              <w:rPr>
                <w:color w:val="231F20"/>
                <w:spacing w:val="-2"/>
                <w:sz w:val="15"/>
              </w:rPr>
              <w:t>activated</w:t>
            </w:r>
            <w:r>
              <w:rPr>
                <w:color w:val="231F20"/>
                <w:spacing w:val="-5"/>
                <w:sz w:val="15"/>
              </w:rPr>
              <w:t> </w:t>
            </w:r>
            <w:r>
              <w:rPr>
                <w:color w:val="231F20"/>
                <w:spacing w:val="-2"/>
                <w:sz w:val="15"/>
              </w:rPr>
              <w:t>T</w:t>
            </w:r>
            <w:r>
              <w:rPr>
                <w:color w:val="231F20"/>
                <w:spacing w:val="-5"/>
                <w:sz w:val="15"/>
              </w:rPr>
              <w:t> </w:t>
            </w:r>
            <w:r>
              <w:rPr>
                <w:color w:val="231F20"/>
                <w:spacing w:val="-4"/>
                <w:sz w:val="15"/>
              </w:rPr>
              <w:t>cells</w:t>
            </w:r>
          </w:p>
          <w:p>
            <w:pPr>
              <w:pStyle w:val="TableParagraph"/>
              <w:spacing w:line="230" w:lineRule="auto" w:before="172"/>
              <w:ind w:left="287" w:right="46" w:hanging="112"/>
              <w:rPr>
                <w:sz w:val="15"/>
              </w:rPr>
            </w:pPr>
            <w:r>
              <w:rPr>
                <w:color w:val="231F20"/>
                <w:sz w:val="15"/>
              </w:rPr>
              <w:t>Targets CD20, a marker of </w:t>
            </w:r>
            <w:r>
              <w:rPr>
                <w:color w:val="231F20"/>
                <w:spacing w:val="-2"/>
                <w:sz w:val="15"/>
              </w:rPr>
              <w:t>immature</w:t>
            </w:r>
            <w:r>
              <w:rPr>
                <w:color w:val="231F20"/>
                <w:spacing w:val="-9"/>
                <w:sz w:val="15"/>
              </w:rPr>
              <w:t> </w:t>
            </w:r>
            <w:r>
              <w:rPr>
                <w:color w:val="231F20"/>
                <w:spacing w:val="-2"/>
                <w:sz w:val="15"/>
              </w:rPr>
              <w:t>B</w:t>
            </w:r>
            <w:r>
              <w:rPr>
                <w:color w:val="231F20"/>
                <w:spacing w:val="-9"/>
                <w:sz w:val="15"/>
              </w:rPr>
              <w:t> </w:t>
            </w:r>
            <w:r>
              <w:rPr>
                <w:color w:val="231F20"/>
                <w:spacing w:val="-2"/>
                <w:sz w:val="15"/>
              </w:rPr>
              <w:t>cells;</w:t>
            </w:r>
            <w:r>
              <w:rPr>
                <w:color w:val="231F20"/>
                <w:spacing w:val="-9"/>
                <w:sz w:val="15"/>
              </w:rPr>
              <w:t> </w:t>
            </w:r>
            <w:r>
              <w:rPr>
                <w:color w:val="231F20"/>
                <w:spacing w:val="-2"/>
                <w:sz w:val="15"/>
              </w:rPr>
              <w:t>depletes </w:t>
            </w:r>
            <w:r>
              <w:rPr>
                <w:color w:val="231F20"/>
                <w:sz w:val="15"/>
              </w:rPr>
              <w:t>B-cell populations</w:t>
            </w:r>
          </w:p>
          <w:p>
            <w:pPr>
              <w:pStyle w:val="TableParagraph"/>
              <w:spacing w:line="230" w:lineRule="auto" w:before="4"/>
              <w:ind w:left="287" w:right="44" w:hanging="112"/>
              <w:rPr>
                <w:sz w:val="15"/>
              </w:rPr>
            </w:pPr>
            <w:r>
              <w:rPr>
                <w:color w:val="231F20"/>
                <w:sz w:val="15"/>
              </w:rPr>
              <w:t>Disrupts</w:t>
            </w:r>
            <w:r>
              <w:rPr>
                <w:color w:val="231F20"/>
                <w:spacing w:val="-12"/>
                <w:sz w:val="15"/>
              </w:rPr>
              <w:t> </w:t>
            </w:r>
            <w:r>
              <w:rPr>
                <w:color w:val="231F20"/>
                <w:sz w:val="15"/>
              </w:rPr>
              <w:t>purine</w:t>
            </w:r>
            <w:r>
              <w:rPr>
                <w:color w:val="231F20"/>
                <w:spacing w:val="-11"/>
                <w:sz w:val="15"/>
              </w:rPr>
              <w:t> </w:t>
            </w:r>
            <w:r>
              <w:rPr>
                <w:color w:val="231F20"/>
                <w:sz w:val="15"/>
              </w:rPr>
              <w:t>metabolism; effects include cytotoxic immune cell depletion</w:t>
            </w:r>
          </w:p>
          <w:p>
            <w:pPr>
              <w:pStyle w:val="TableParagraph"/>
              <w:spacing w:line="230" w:lineRule="auto" w:before="3"/>
              <w:ind w:left="287" w:right="86" w:hanging="112"/>
              <w:rPr>
                <w:sz w:val="15"/>
              </w:rPr>
            </w:pPr>
            <w:r>
              <w:rPr>
                <w:color w:val="231F20"/>
                <w:spacing w:val="-2"/>
                <w:sz w:val="15"/>
              </w:rPr>
              <w:t>Sphingosine-1-phosphate </w:t>
            </w:r>
            <w:r>
              <w:rPr>
                <w:color w:val="231F20"/>
                <w:sz w:val="15"/>
              </w:rPr>
              <w:t>agonist; causes T-cell sequestration</w:t>
            </w:r>
            <w:r>
              <w:rPr>
                <w:color w:val="231F20"/>
                <w:spacing w:val="-12"/>
                <w:sz w:val="15"/>
              </w:rPr>
              <w:t> </w:t>
            </w:r>
            <w:r>
              <w:rPr>
                <w:color w:val="231F20"/>
                <w:sz w:val="15"/>
              </w:rPr>
              <w:t>in</w:t>
            </w:r>
            <w:r>
              <w:rPr>
                <w:color w:val="231F20"/>
                <w:spacing w:val="-11"/>
                <w:sz w:val="15"/>
              </w:rPr>
              <w:t> </w:t>
            </w:r>
            <w:r>
              <w:rPr>
                <w:color w:val="231F20"/>
                <w:sz w:val="15"/>
              </w:rPr>
              <w:t>lymphoid </w:t>
            </w:r>
            <w:r>
              <w:rPr>
                <w:color w:val="231F20"/>
                <w:spacing w:val="-2"/>
                <w:sz w:val="15"/>
              </w:rPr>
              <w:t>compartments</w:t>
            </w:r>
          </w:p>
          <w:p>
            <w:pPr>
              <w:pStyle w:val="TableParagraph"/>
              <w:spacing w:line="230" w:lineRule="auto" w:before="5"/>
              <w:ind w:left="287" w:right="147" w:hanging="112"/>
              <w:rPr>
                <w:sz w:val="15"/>
              </w:rPr>
            </w:pPr>
            <w:r>
              <w:rPr>
                <w:color w:val="231F20"/>
                <w:sz w:val="15"/>
              </w:rPr>
              <w:t>Impairs immune cell proliferation via </w:t>
            </w:r>
            <w:r>
              <w:rPr>
                <w:color w:val="231F20"/>
                <w:spacing w:val="-2"/>
                <w:sz w:val="15"/>
              </w:rPr>
              <w:t>pyrimidine</w:t>
            </w:r>
            <w:r>
              <w:rPr>
                <w:color w:val="231F20"/>
                <w:spacing w:val="-10"/>
                <w:sz w:val="15"/>
              </w:rPr>
              <w:t> </w:t>
            </w:r>
            <w:r>
              <w:rPr>
                <w:color w:val="231F20"/>
                <w:spacing w:val="-2"/>
                <w:sz w:val="15"/>
              </w:rPr>
              <w:t>synthesis inhibition</w:t>
            </w:r>
          </w:p>
        </w:tc>
        <w:tc>
          <w:tcPr>
            <w:tcW w:w="2643" w:type="dxa"/>
            <w:vMerge w:val="restart"/>
            <w:tcBorders>
              <w:top w:val="single" w:sz="4" w:space="0" w:color="FFFFFF"/>
            </w:tcBorders>
            <w:shd w:val="clear" w:color="auto" w:fill="E8F5F1"/>
          </w:tcPr>
          <w:p>
            <w:pPr>
              <w:pStyle w:val="TableParagraph"/>
              <w:spacing w:before="44"/>
              <w:rPr>
                <w:i/>
                <w:sz w:val="15"/>
              </w:rPr>
            </w:pPr>
          </w:p>
          <w:p>
            <w:pPr>
              <w:pStyle w:val="TableParagraph"/>
              <w:spacing w:line="230" w:lineRule="auto"/>
              <w:ind w:left="314" w:right="122" w:hanging="112"/>
              <w:rPr>
                <w:sz w:val="15"/>
              </w:rPr>
            </w:pPr>
            <w:r>
              <w:rPr>
                <w:color w:val="231F20"/>
                <w:sz w:val="15"/>
              </w:rPr>
              <w:t>Overall PML rate ~1 in 500 patients,</w:t>
            </w:r>
            <w:r>
              <w:rPr>
                <w:color w:val="231F20"/>
                <w:spacing w:val="-12"/>
                <w:sz w:val="15"/>
              </w:rPr>
              <w:t> </w:t>
            </w:r>
            <w:r>
              <w:rPr>
                <w:color w:val="231F20"/>
                <w:sz w:val="15"/>
              </w:rPr>
              <w:t>but</w:t>
            </w:r>
            <w:r>
              <w:rPr>
                <w:color w:val="231F20"/>
                <w:spacing w:val="-11"/>
                <w:sz w:val="15"/>
              </w:rPr>
              <w:t> </w:t>
            </w:r>
            <w:r>
              <w:rPr>
                <w:color w:val="231F20"/>
                <w:sz w:val="15"/>
              </w:rPr>
              <w:t>lower</w:t>
            </w:r>
            <w:r>
              <w:rPr>
                <w:color w:val="231F20"/>
                <w:spacing w:val="-11"/>
                <w:sz w:val="15"/>
              </w:rPr>
              <w:t> </w:t>
            </w:r>
            <w:r>
              <w:rPr>
                <w:color w:val="231F20"/>
                <w:sz w:val="15"/>
              </w:rPr>
              <w:t>in</w:t>
            </w:r>
            <w:r>
              <w:rPr>
                <w:color w:val="231F20"/>
                <w:spacing w:val="-12"/>
                <w:sz w:val="15"/>
              </w:rPr>
              <w:t> </w:t>
            </w:r>
            <w:r>
              <w:rPr>
                <w:color w:val="231F20"/>
                <w:sz w:val="15"/>
              </w:rPr>
              <w:t>subgroups; </w:t>
            </w:r>
            <w:r>
              <w:rPr>
                <w:color w:val="231F20"/>
                <w:spacing w:val="-2"/>
                <w:sz w:val="15"/>
              </w:rPr>
              <w:t>immune reconstitution syndrome after</w:t>
            </w:r>
            <w:r>
              <w:rPr>
                <w:color w:val="231F20"/>
                <w:spacing w:val="-10"/>
                <w:sz w:val="15"/>
              </w:rPr>
              <w:t> </w:t>
            </w:r>
            <w:r>
              <w:rPr>
                <w:color w:val="231F20"/>
                <w:spacing w:val="-2"/>
                <w:sz w:val="15"/>
              </w:rPr>
              <w:t>discontinuation;</w:t>
            </w:r>
            <w:r>
              <w:rPr>
                <w:color w:val="231F20"/>
                <w:spacing w:val="-9"/>
                <w:sz w:val="15"/>
              </w:rPr>
              <w:t> </w:t>
            </w:r>
            <w:r>
              <w:rPr>
                <w:color w:val="231F20"/>
                <w:spacing w:val="-2"/>
                <w:sz w:val="15"/>
              </w:rPr>
              <w:t>melanoma; </w:t>
            </w:r>
            <w:r>
              <w:rPr>
                <w:color w:val="231F20"/>
                <w:sz w:val="15"/>
              </w:rPr>
              <w:t>infusion reaction; transaminitis </w:t>
            </w:r>
            <w:r>
              <w:rPr>
                <w:color w:val="231F20"/>
                <w:spacing w:val="-2"/>
                <w:sz w:val="15"/>
              </w:rPr>
              <w:t>(rare)</w:t>
            </w:r>
          </w:p>
          <w:p>
            <w:pPr>
              <w:pStyle w:val="TableParagraph"/>
              <w:spacing w:line="230" w:lineRule="auto" w:before="6"/>
              <w:ind w:left="314" w:right="293" w:hanging="112"/>
              <w:rPr>
                <w:sz w:val="15"/>
              </w:rPr>
            </w:pPr>
            <w:r>
              <w:rPr>
                <w:color w:val="231F20"/>
                <w:sz w:val="15"/>
              </w:rPr>
              <w:t>Hemorrhagic cystitis; bladder </w:t>
            </w:r>
            <w:r>
              <w:rPr>
                <w:color w:val="231F20"/>
                <w:spacing w:val="-2"/>
                <w:sz w:val="15"/>
              </w:rPr>
              <w:t>cancer;</w:t>
            </w:r>
            <w:r>
              <w:rPr>
                <w:color w:val="231F20"/>
                <w:spacing w:val="-10"/>
                <w:sz w:val="15"/>
              </w:rPr>
              <w:t> </w:t>
            </w:r>
            <w:r>
              <w:rPr>
                <w:color w:val="231F20"/>
                <w:spacing w:val="-2"/>
                <w:sz w:val="15"/>
              </w:rPr>
              <w:t>late-onset</w:t>
            </w:r>
            <w:r>
              <w:rPr>
                <w:color w:val="231F20"/>
                <w:spacing w:val="-9"/>
                <w:sz w:val="15"/>
              </w:rPr>
              <w:t> </w:t>
            </w:r>
            <w:r>
              <w:rPr>
                <w:color w:val="231F20"/>
                <w:spacing w:val="-2"/>
                <w:sz w:val="15"/>
              </w:rPr>
              <w:t>malignancy; </w:t>
            </w:r>
            <w:r>
              <w:rPr>
                <w:color w:val="231F20"/>
                <w:sz w:val="15"/>
              </w:rPr>
              <w:t>infection; infertility</w:t>
            </w:r>
          </w:p>
          <w:p>
            <w:pPr>
              <w:pStyle w:val="TableParagraph"/>
              <w:spacing w:line="230" w:lineRule="auto" w:before="3"/>
              <w:ind w:left="314" w:right="125" w:hanging="112"/>
              <w:rPr>
                <w:sz w:val="15"/>
              </w:rPr>
            </w:pPr>
            <w:r>
              <w:rPr>
                <w:color w:val="231F20"/>
                <w:sz w:val="15"/>
              </w:rPr>
              <w:t>Significant</w:t>
            </w:r>
            <w:r>
              <w:rPr>
                <w:color w:val="231F20"/>
                <w:spacing w:val="-12"/>
                <w:sz w:val="15"/>
              </w:rPr>
              <w:t> </w:t>
            </w:r>
            <w:r>
              <w:rPr>
                <w:color w:val="231F20"/>
                <w:sz w:val="15"/>
              </w:rPr>
              <w:t>long-term</w:t>
            </w:r>
            <w:r>
              <w:rPr>
                <w:color w:val="231F20"/>
                <w:spacing w:val="-11"/>
                <w:sz w:val="15"/>
              </w:rPr>
              <w:t> </w:t>
            </w:r>
            <w:r>
              <w:rPr>
                <w:color w:val="231F20"/>
                <w:sz w:val="15"/>
              </w:rPr>
              <w:t>safety</w:t>
            </w:r>
            <w:r>
              <w:rPr>
                <w:color w:val="231F20"/>
                <w:spacing w:val="-11"/>
                <w:sz w:val="15"/>
              </w:rPr>
              <w:t> </w:t>
            </w:r>
            <w:r>
              <w:rPr>
                <w:color w:val="231F20"/>
                <w:sz w:val="15"/>
              </w:rPr>
              <w:t>risks, </w:t>
            </w:r>
            <w:r>
              <w:rPr>
                <w:color w:val="231F20"/>
                <w:spacing w:val="-2"/>
                <w:sz w:val="15"/>
              </w:rPr>
              <w:t>including</w:t>
            </w:r>
            <w:r>
              <w:rPr>
                <w:color w:val="231F20"/>
                <w:spacing w:val="-9"/>
                <w:sz w:val="15"/>
              </w:rPr>
              <w:t> </w:t>
            </w:r>
            <w:r>
              <w:rPr>
                <w:color w:val="231F20"/>
                <w:spacing w:val="-2"/>
                <w:sz w:val="15"/>
              </w:rPr>
              <w:t>cardiotoxicity</w:t>
            </w:r>
            <w:r>
              <w:rPr>
                <w:color w:val="231F20"/>
                <w:spacing w:val="-9"/>
                <w:sz w:val="15"/>
              </w:rPr>
              <w:t> </w:t>
            </w:r>
            <w:r>
              <w:rPr>
                <w:color w:val="231F20"/>
                <w:spacing w:val="-2"/>
                <w:sz w:val="15"/>
              </w:rPr>
              <w:t>(1</w:t>
            </w:r>
            <w:r>
              <w:rPr>
                <w:color w:val="231F20"/>
                <w:spacing w:val="-9"/>
                <w:sz w:val="15"/>
              </w:rPr>
              <w:t> </w:t>
            </w:r>
            <w:r>
              <w:rPr>
                <w:color w:val="231F20"/>
                <w:spacing w:val="-2"/>
                <w:sz w:val="15"/>
              </w:rPr>
              <w:t>in</w:t>
            </w:r>
            <w:r>
              <w:rPr>
                <w:color w:val="231F20"/>
                <w:spacing w:val="-9"/>
                <w:sz w:val="15"/>
              </w:rPr>
              <w:t> </w:t>
            </w:r>
            <w:r>
              <w:rPr>
                <w:color w:val="231F20"/>
                <w:spacing w:val="-2"/>
                <w:sz w:val="15"/>
              </w:rPr>
              <w:t>200 </w:t>
            </w:r>
            <w:r>
              <w:rPr>
                <w:color w:val="231F20"/>
                <w:sz w:val="15"/>
              </w:rPr>
              <w:t>patients) and secondary leukemia (1 in 125 patients); opportunistic infections</w:t>
            </w:r>
          </w:p>
          <w:p>
            <w:pPr>
              <w:pStyle w:val="TableParagraph"/>
              <w:spacing w:line="230" w:lineRule="auto" w:before="6"/>
              <w:ind w:left="314" w:hanging="112"/>
              <w:rPr>
                <w:sz w:val="15"/>
              </w:rPr>
            </w:pPr>
            <w:r>
              <w:rPr>
                <w:color w:val="231F20"/>
                <w:spacing w:val="-2"/>
                <w:sz w:val="15"/>
              </w:rPr>
              <w:t>Glucose</w:t>
            </w:r>
            <w:r>
              <w:rPr>
                <w:color w:val="231F20"/>
                <w:spacing w:val="-3"/>
                <w:sz w:val="15"/>
              </w:rPr>
              <w:t> </w:t>
            </w:r>
            <w:r>
              <w:rPr>
                <w:color w:val="231F20"/>
                <w:spacing w:val="-2"/>
                <w:sz w:val="15"/>
              </w:rPr>
              <w:t>intolerance;</w:t>
            </w:r>
            <w:r>
              <w:rPr>
                <w:color w:val="231F20"/>
                <w:spacing w:val="-3"/>
                <w:sz w:val="15"/>
              </w:rPr>
              <w:t> </w:t>
            </w:r>
            <w:r>
              <w:rPr>
                <w:color w:val="231F20"/>
                <w:spacing w:val="-2"/>
                <w:sz w:val="15"/>
              </w:rPr>
              <w:t>pulmonary </w:t>
            </w:r>
            <w:r>
              <w:rPr>
                <w:color w:val="231F20"/>
                <w:sz w:val="15"/>
              </w:rPr>
              <w:t>edema; infusion reaction; gastrointestinal upset; skin </w:t>
            </w:r>
            <w:r>
              <w:rPr>
                <w:color w:val="231F20"/>
                <w:spacing w:val="-2"/>
                <w:sz w:val="15"/>
              </w:rPr>
              <w:t>reactions</w:t>
            </w:r>
          </w:p>
          <w:p>
            <w:pPr>
              <w:pStyle w:val="TableParagraph"/>
              <w:spacing w:line="230" w:lineRule="auto" w:before="4"/>
              <w:ind w:left="314" w:hanging="112"/>
              <w:rPr>
                <w:sz w:val="15"/>
              </w:rPr>
            </w:pPr>
            <w:r>
              <w:rPr>
                <w:color w:val="231F20"/>
                <w:spacing w:val="-2"/>
                <w:sz w:val="15"/>
              </w:rPr>
              <w:t>PML</w:t>
            </w:r>
            <w:r>
              <w:rPr>
                <w:color w:val="231F20"/>
                <w:spacing w:val="-10"/>
                <w:sz w:val="15"/>
              </w:rPr>
              <w:t> </w:t>
            </w:r>
            <w:r>
              <w:rPr>
                <w:color w:val="231F20"/>
                <w:spacing w:val="-2"/>
                <w:sz w:val="15"/>
              </w:rPr>
              <w:t>(rate</w:t>
            </w:r>
            <w:r>
              <w:rPr>
                <w:color w:val="231F20"/>
                <w:spacing w:val="-9"/>
                <w:sz w:val="15"/>
              </w:rPr>
              <w:t> </w:t>
            </w:r>
            <w:r>
              <w:rPr>
                <w:color w:val="231F20"/>
                <w:spacing w:val="-2"/>
                <w:sz w:val="15"/>
              </w:rPr>
              <w:t>undefined);</w:t>
            </w:r>
            <w:r>
              <w:rPr>
                <w:color w:val="231F20"/>
                <w:spacing w:val="-9"/>
                <w:sz w:val="15"/>
              </w:rPr>
              <w:t> </w:t>
            </w:r>
            <w:r>
              <w:rPr>
                <w:color w:val="231F20"/>
                <w:spacing w:val="-2"/>
                <w:sz w:val="15"/>
              </w:rPr>
              <w:t>infusion- </w:t>
            </w:r>
            <w:r>
              <w:rPr>
                <w:color w:val="231F20"/>
                <w:sz w:val="15"/>
              </w:rPr>
              <w:t>related side effects</w:t>
            </w:r>
          </w:p>
        </w:tc>
        <w:tc>
          <w:tcPr>
            <w:tcW w:w="2059" w:type="dxa"/>
            <w:vMerge w:val="restart"/>
            <w:tcBorders>
              <w:top w:val="single" w:sz="4" w:space="0" w:color="FFFFFF"/>
            </w:tcBorders>
            <w:shd w:val="clear" w:color="auto" w:fill="E8F5F1"/>
          </w:tcPr>
          <w:p>
            <w:pPr>
              <w:pStyle w:val="TableParagraph"/>
              <w:spacing w:before="44"/>
              <w:rPr>
                <w:i/>
                <w:sz w:val="15"/>
              </w:rPr>
            </w:pPr>
          </w:p>
          <w:p>
            <w:pPr>
              <w:pStyle w:val="TableParagraph"/>
              <w:spacing w:line="230" w:lineRule="auto"/>
              <w:ind w:left="122" w:right="354"/>
              <w:rPr>
                <w:sz w:val="15"/>
              </w:rPr>
            </w:pPr>
            <w:r>
              <w:rPr>
                <w:color w:val="231F20"/>
                <w:spacing w:val="-2"/>
                <w:sz w:val="15"/>
              </w:rPr>
              <w:t>Retrospective Prospective</w:t>
            </w:r>
            <w:r>
              <w:rPr>
                <w:color w:val="231F20"/>
                <w:spacing w:val="-10"/>
                <w:sz w:val="15"/>
              </w:rPr>
              <w:t> </w:t>
            </w:r>
            <w:r>
              <w:rPr>
                <w:color w:val="231F20"/>
                <w:spacing w:val="-2"/>
                <w:sz w:val="15"/>
              </w:rPr>
              <w:t>multicenter</w:t>
            </w:r>
          </w:p>
          <w:p>
            <w:pPr>
              <w:pStyle w:val="TableParagraph"/>
              <w:rPr>
                <w:i/>
                <w:sz w:val="15"/>
              </w:rPr>
            </w:pPr>
          </w:p>
          <w:p>
            <w:pPr>
              <w:pStyle w:val="TableParagraph"/>
              <w:rPr>
                <w:i/>
                <w:sz w:val="15"/>
              </w:rPr>
            </w:pPr>
          </w:p>
          <w:p>
            <w:pPr>
              <w:pStyle w:val="TableParagraph"/>
              <w:spacing w:before="146"/>
              <w:rPr>
                <w:i/>
                <w:sz w:val="15"/>
              </w:rPr>
            </w:pPr>
          </w:p>
          <w:p>
            <w:pPr>
              <w:pStyle w:val="TableParagraph"/>
              <w:spacing w:line="696" w:lineRule="auto"/>
              <w:ind w:left="122"/>
              <w:rPr>
                <w:sz w:val="15"/>
              </w:rPr>
            </w:pPr>
            <w:r>
              <w:rPr>
                <w:color w:val="231F20"/>
                <w:sz w:val="15"/>
              </w:rPr>
              <w:t>Retrospective multicenter </w:t>
            </w:r>
            <w:r>
              <w:rPr>
                <w:color w:val="231F20"/>
                <w:spacing w:val="-2"/>
                <w:sz w:val="15"/>
              </w:rPr>
              <w:t>Retrospective</w:t>
            </w:r>
            <w:r>
              <w:rPr>
                <w:color w:val="231F20"/>
                <w:spacing w:val="-8"/>
                <w:sz w:val="15"/>
              </w:rPr>
              <w:t> </w:t>
            </w:r>
            <w:r>
              <w:rPr>
                <w:color w:val="231F20"/>
                <w:spacing w:val="-2"/>
                <w:sz w:val="15"/>
              </w:rPr>
              <w:t>single</w:t>
            </w:r>
            <w:r>
              <w:rPr>
                <w:color w:val="231F20"/>
                <w:spacing w:val="-8"/>
                <w:sz w:val="15"/>
              </w:rPr>
              <w:t> </w:t>
            </w:r>
            <w:r>
              <w:rPr>
                <w:color w:val="231F20"/>
                <w:spacing w:val="-2"/>
                <w:sz w:val="15"/>
              </w:rPr>
              <w:t>center</w:t>
            </w:r>
          </w:p>
          <w:p>
            <w:pPr>
              <w:pStyle w:val="TableParagraph"/>
              <w:spacing w:before="162"/>
              <w:rPr>
                <w:i/>
                <w:sz w:val="15"/>
              </w:rPr>
            </w:pPr>
          </w:p>
          <w:p>
            <w:pPr>
              <w:pStyle w:val="TableParagraph"/>
              <w:spacing w:before="1"/>
              <w:ind w:left="122"/>
              <w:rPr>
                <w:sz w:val="15"/>
              </w:rPr>
            </w:pPr>
            <w:r>
              <w:rPr>
                <w:color w:val="231F20"/>
                <w:spacing w:val="-2"/>
                <w:sz w:val="15"/>
              </w:rPr>
              <w:t>Retrospective</w:t>
            </w:r>
            <w:r>
              <w:rPr>
                <w:color w:val="231F20"/>
                <w:spacing w:val="8"/>
                <w:sz w:val="15"/>
              </w:rPr>
              <w:t> </w:t>
            </w:r>
            <w:r>
              <w:rPr>
                <w:color w:val="231F20"/>
                <w:spacing w:val="-2"/>
                <w:sz w:val="15"/>
              </w:rPr>
              <w:t>multicenter</w:t>
            </w:r>
          </w:p>
          <w:p>
            <w:pPr>
              <w:pStyle w:val="TableParagraph"/>
              <w:rPr>
                <w:i/>
                <w:sz w:val="15"/>
              </w:rPr>
            </w:pPr>
          </w:p>
          <w:p>
            <w:pPr>
              <w:pStyle w:val="TableParagraph"/>
              <w:spacing w:before="156"/>
              <w:rPr>
                <w:i/>
                <w:sz w:val="15"/>
              </w:rPr>
            </w:pPr>
          </w:p>
          <w:p>
            <w:pPr>
              <w:pStyle w:val="TableParagraph"/>
              <w:spacing w:line="230" w:lineRule="auto"/>
              <w:ind w:left="234" w:right="47" w:hanging="112"/>
              <w:rPr>
                <w:sz w:val="15"/>
              </w:rPr>
            </w:pPr>
            <w:r>
              <w:rPr>
                <w:color w:val="231F20"/>
                <w:sz w:val="15"/>
              </w:rPr>
              <w:t>No efficacy assessments available</w:t>
            </w:r>
            <w:r>
              <w:rPr>
                <w:color w:val="231F20"/>
                <w:spacing w:val="-12"/>
                <w:sz w:val="15"/>
              </w:rPr>
              <w:t> </w:t>
            </w:r>
            <w:r>
              <w:rPr>
                <w:color w:val="231F20"/>
                <w:sz w:val="15"/>
              </w:rPr>
              <w:t>in</w:t>
            </w:r>
            <w:r>
              <w:rPr>
                <w:color w:val="231F20"/>
                <w:spacing w:val="-11"/>
                <w:sz w:val="15"/>
              </w:rPr>
              <w:t> </w:t>
            </w:r>
            <w:r>
              <w:rPr>
                <w:color w:val="231F20"/>
                <w:sz w:val="15"/>
              </w:rPr>
              <w:t>pediatric</w:t>
            </w:r>
            <w:r>
              <w:rPr>
                <w:color w:val="231F20"/>
                <w:spacing w:val="-11"/>
                <w:sz w:val="15"/>
              </w:rPr>
              <w:t> </w:t>
            </w:r>
            <w:r>
              <w:rPr>
                <w:color w:val="231F20"/>
                <w:sz w:val="15"/>
              </w:rPr>
              <w:t>MS</w:t>
            </w:r>
          </w:p>
        </w:tc>
      </w:tr>
      <w:tr>
        <w:trPr>
          <w:trHeight w:val="663" w:hRule="atLeast"/>
        </w:trPr>
        <w:tc>
          <w:tcPr>
            <w:tcW w:w="2928" w:type="dxa"/>
            <w:gridSpan w:val="2"/>
            <w:shd w:val="clear" w:color="auto" w:fill="E8F5F1"/>
          </w:tcPr>
          <w:p>
            <w:pPr>
              <w:pStyle w:val="TableParagraph"/>
              <w:spacing w:before="152"/>
              <w:rPr>
                <w:i/>
                <w:sz w:val="15"/>
              </w:rPr>
            </w:pPr>
          </w:p>
          <w:p>
            <w:pPr>
              <w:pStyle w:val="TableParagraph"/>
              <w:tabs>
                <w:tab w:pos="1610" w:val="left" w:leader="none"/>
              </w:tabs>
              <w:ind w:left="74"/>
              <w:rPr>
                <w:sz w:val="15"/>
              </w:rPr>
            </w:pPr>
            <w:r>
              <w:rPr>
                <w:color w:val="231F20"/>
                <w:spacing w:val="-2"/>
                <w:sz w:val="15"/>
              </w:rPr>
              <w:t>Cyclophosphamide</w:t>
            </w:r>
            <w:r>
              <w:rPr>
                <w:color w:val="231F20"/>
                <w:sz w:val="15"/>
              </w:rPr>
              <w:tab/>
            </w:r>
            <w:r>
              <w:rPr>
                <w:color w:val="231F20"/>
                <w:spacing w:val="-2"/>
                <w:sz w:val="15"/>
              </w:rPr>
              <w:t>Chemotherapeutic</w:t>
            </w:r>
          </w:p>
        </w:tc>
        <w:tc>
          <w:tcPr>
            <w:tcW w:w="2113" w:type="dxa"/>
            <w:vMerge/>
            <w:tcBorders>
              <w:top w:val="nil"/>
              <w:bottom w:val="single" w:sz="4" w:space="0" w:color="FFFFFF"/>
            </w:tcBorders>
            <w:shd w:val="clear" w:color="auto" w:fill="E8F5F1"/>
          </w:tcPr>
          <w:p>
            <w:pPr>
              <w:rPr>
                <w:sz w:val="2"/>
                <w:szCs w:val="2"/>
              </w:rPr>
            </w:pPr>
          </w:p>
        </w:tc>
        <w:tc>
          <w:tcPr>
            <w:tcW w:w="2643" w:type="dxa"/>
            <w:vMerge/>
            <w:tcBorders>
              <w:top w:val="nil"/>
            </w:tcBorders>
            <w:shd w:val="clear" w:color="auto" w:fill="E8F5F1"/>
          </w:tcPr>
          <w:p>
            <w:pPr>
              <w:rPr>
                <w:sz w:val="2"/>
                <w:szCs w:val="2"/>
              </w:rPr>
            </w:pPr>
          </w:p>
        </w:tc>
        <w:tc>
          <w:tcPr>
            <w:tcW w:w="2059" w:type="dxa"/>
            <w:vMerge/>
            <w:tcBorders>
              <w:top w:val="nil"/>
            </w:tcBorders>
            <w:shd w:val="clear" w:color="auto" w:fill="E8F5F1"/>
          </w:tcPr>
          <w:p>
            <w:pPr>
              <w:rPr>
                <w:sz w:val="2"/>
                <w:szCs w:val="2"/>
              </w:rPr>
            </w:pPr>
          </w:p>
        </w:tc>
      </w:tr>
      <w:tr>
        <w:trPr>
          <w:trHeight w:val="663" w:hRule="atLeast"/>
        </w:trPr>
        <w:tc>
          <w:tcPr>
            <w:tcW w:w="2928" w:type="dxa"/>
            <w:gridSpan w:val="2"/>
            <w:shd w:val="clear" w:color="auto" w:fill="E8F5F1"/>
          </w:tcPr>
          <w:p>
            <w:pPr>
              <w:pStyle w:val="TableParagraph"/>
              <w:tabs>
                <w:tab w:pos="1610" w:val="left" w:leader="none"/>
              </w:tabs>
              <w:spacing w:before="158"/>
              <w:ind w:left="74"/>
              <w:rPr>
                <w:sz w:val="15"/>
              </w:rPr>
            </w:pPr>
            <w:r>
              <w:rPr>
                <w:color w:val="231F20"/>
                <w:spacing w:val="-2"/>
                <w:sz w:val="15"/>
              </w:rPr>
              <w:t>Mitoxantrone</w:t>
            </w:r>
            <w:r>
              <w:rPr>
                <w:color w:val="0080AC"/>
                <w:spacing w:val="-2"/>
                <w:sz w:val="15"/>
              </w:rPr>
              <w:t>*</w:t>
            </w:r>
            <w:r>
              <w:rPr>
                <w:color w:val="0080AC"/>
                <w:sz w:val="15"/>
              </w:rPr>
              <w:tab/>
            </w:r>
            <w:r>
              <w:rPr>
                <w:color w:val="231F20"/>
                <w:spacing w:val="-2"/>
                <w:sz w:val="15"/>
              </w:rPr>
              <w:t>Chemotherapeutic</w:t>
            </w:r>
          </w:p>
        </w:tc>
        <w:tc>
          <w:tcPr>
            <w:tcW w:w="2113" w:type="dxa"/>
            <w:vMerge/>
            <w:tcBorders>
              <w:top w:val="nil"/>
              <w:bottom w:val="single" w:sz="4" w:space="0" w:color="FFFFFF"/>
            </w:tcBorders>
            <w:shd w:val="clear" w:color="auto" w:fill="E8F5F1"/>
          </w:tcPr>
          <w:p>
            <w:pPr>
              <w:rPr>
                <w:sz w:val="2"/>
                <w:szCs w:val="2"/>
              </w:rPr>
            </w:pPr>
          </w:p>
        </w:tc>
        <w:tc>
          <w:tcPr>
            <w:tcW w:w="2643" w:type="dxa"/>
            <w:vMerge/>
            <w:tcBorders>
              <w:top w:val="nil"/>
            </w:tcBorders>
            <w:shd w:val="clear" w:color="auto" w:fill="E8F5F1"/>
          </w:tcPr>
          <w:p>
            <w:pPr>
              <w:rPr>
                <w:sz w:val="2"/>
                <w:szCs w:val="2"/>
              </w:rPr>
            </w:pPr>
          </w:p>
        </w:tc>
        <w:tc>
          <w:tcPr>
            <w:tcW w:w="2059" w:type="dxa"/>
            <w:vMerge/>
            <w:tcBorders>
              <w:top w:val="nil"/>
            </w:tcBorders>
            <w:shd w:val="clear" w:color="auto" w:fill="E8F5F1"/>
          </w:tcPr>
          <w:p>
            <w:pPr>
              <w:rPr>
                <w:sz w:val="2"/>
                <w:szCs w:val="2"/>
              </w:rPr>
            </w:pPr>
          </w:p>
        </w:tc>
      </w:tr>
      <w:tr>
        <w:trPr>
          <w:trHeight w:val="831" w:hRule="atLeast"/>
        </w:trPr>
        <w:tc>
          <w:tcPr>
            <w:tcW w:w="2928" w:type="dxa"/>
            <w:gridSpan w:val="2"/>
            <w:shd w:val="clear" w:color="auto" w:fill="E8F5F1"/>
          </w:tcPr>
          <w:p>
            <w:pPr>
              <w:pStyle w:val="TableParagraph"/>
              <w:spacing w:before="157"/>
              <w:rPr>
                <w:i/>
                <w:sz w:val="15"/>
              </w:rPr>
            </w:pPr>
          </w:p>
          <w:p>
            <w:pPr>
              <w:pStyle w:val="TableParagraph"/>
              <w:tabs>
                <w:tab w:pos="1610" w:val="left" w:leader="none"/>
              </w:tabs>
              <w:spacing w:line="230" w:lineRule="auto" w:before="1"/>
              <w:ind w:left="1722" w:right="529" w:hanging="1649"/>
              <w:rPr>
                <w:sz w:val="15"/>
              </w:rPr>
            </w:pPr>
            <w:r>
              <w:rPr>
                <w:color w:val="231F20"/>
                <w:spacing w:val="-2"/>
                <w:sz w:val="15"/>
              </w:rPr>
              <w:t>Daclizumab</w:t>
            </w:r>
            <w:r>
              <w:rPr>
                <w:color w:val="231F20"/>
                <w:sz w:val="15"/>
              </w:rPr>
              <w:tab/>
            </w:r>
            <w:r>
              <w:rPr>
                <w:color w:val="231F20"/>
                <w:spacing w:val="-2"/>
                <w:sz w:val="15"/>
              </w:rPr>
              <w:t>Monoclonal antibody</w:t>
            </w:r>
          </w:p>
        </w:tc>
        <w:tc>
          <w:tcPr>
            <w:tcW w:w="2113" w:type="dxa"/>
            <w:vMerge/>
            <w:tcBorders>
              <w:top w:val="nil"/>
              <w:bottom w:val="single" w:sz="4" w:space="0" w:color="FFFFFF"/>
            </w:tcBorders>
            <w:shd w:val="clear" w:color="auto" w:fill="E8F5F1"/>
          </w:tcPr>
          <w:p>
            <w:pPr>
              <w:rPr>
                <w:sz w:val="2"/>
                <w:szCs w:val="2"/>
              </w:rPr>
            </w:pPr>
          </w:p>
        </w:tc>
        <w:tc>
          <w:tcPr>
            <w:tcW w:w="2643" w:type="dxa"/>
            <w:vMerge/>
            <w:tcBorders>
              <w:top w:val="nil"/>
            </w:tcBorders>
            <w:shd w:val="clear" w:color="auto" w:fill="E8F5F1"/>
          </w:tcPr>
          <w:p>
            <w:pPr>
              <w:rPr>
                <w:sz w:val="2"/>
                <w:szCs w:val="2"/>
              </w:rPr>
            </w:pPr>
          </w:p>
        </w:tc>
        <w:tc>
          <w:tcPr>
            <w:tcW w:w="2059" w:type="dxa"/>
            <w:vMerge/>
            <w:tcBorders>
              <w:top w:val="nil"/>
            </w:tcBorders>
            <w:shd w:val="clear" w:color="auto" w:fill="E8F5F1"/>
          </w:tcPr>
          <w:p>
            <w:pPr>
              <w:rPr>
                <w:sz w:val="2"/>
                <w:szCs w:val="2"/>
              </w:rPr>
            </w:pPr>
          </w:p>
        </w:tc>
      </w:tr>
      <w:tr>
        <w:trPr>
          <w:trHeight w:val="579" w:hRule="atLeast"/>
        </w:trPr>
        <w:tc>
          <w:tcPr>
            <w:tcW w:w="2928" w:type="dxa"/>
            <w:gridSpan w:val="2"/>
            <w:shd w:val="clear" w:color="auto" w:fill="E8F5F1"/>
          </w:tcPr>
          <w:p>
            <w:pPr>
              <w:pStyle w:val="TableParagraph"/>
              <w:tabs>
                <w:tab w:pos="1610" w:val="left" w:leader="none"/>
              </w:tabs>
              <w:spacing w:line="230" w:lineRule="auto" w:before="164"/>
              <w:ind w:left="1722" w:right="529" w:hanging="1649"/>
              <w:rPr>
                <w:sz w:val="15"/>
              </w:rPr>
            </w:pPr>
            <w:r>
              <w:rPr>
                <w:color w:val="231F20"/>
                <w:spacing w:val="-2"/>
                <w:sz w:val="15"/>
              </w:rPr>
              <w:t>Rituximab</w:t>
            </w:r>
            <w:r>
              <w:rPr>
                <w:color w:val="231F20"/>
                <w:sz w:val="15"/>
              </w:rPr>
              <w:tab/>
            </w:r>
            <w:r>
              <w:rPr>
                <w:color w:val="231F20"/>
                <w:spacing w:val="-2"/>
                <w:sz w:val="15"/>
              </w:rPr>
              <w:t>Monoclonal antibody</w:t>
            </w:r>
          </w:p>
        </w:tc>
        <w:tc>
          <w:tcPr>
            <w:tcW w:w="2113" w:type="dxa"/>
            <w:vMerge/>
            <w:tcBorders>
              <w:top w:val="nil"/>
              <w:bottom w:val="single" w:sz="4" w:space="0" w:color="FFFFFF"/>
            </w:tcBorders>
            <w:shd w:val="clear" w:color="auto" w:fill="E8F5F1"/>
          </w:tcPr>
          <w:p>
            <w:pPr>
              <w:rPr>
                <w:sz w:val="2"/>
                <w:szCs w:val="2"/>
              </w:rPr>
            </w:pPr>
          </w:p>
        </w:tc>
        <w:tc>
          <w:tcPr>
            <w:tcW w:w="2643" w:type="dxa"/>
            <w:vMerge/>
            <w:tcBorders>
              <w:top w:val="nil"/>
            </w:tcBorders>
            <w:shd w:val="clear" w:color="auto" w:fill="E8F5F1"/>
          </w:tcPr>
          <w:p>
            <w:pPr>
              <w:rPr>
                <w:sz w:val="2"/>
                <w:szCs w:val="2"/>
              </w:rPr>
            </w:pPr>
          </w:p>
        </w:tc>
        <w:tc>
          <w:tcPr>
            <w:tcW w:w="2059" w:type="dxa"/>
            <w:vMerge/>
            <w:tcBorders>
              <w:top w:val="nil"/>
            </w:tcBorders>
            <w:shd w:val="clear" w:color="auto" w:fill="E8F5F1"/>
          </w:tcPr>
          <w:p>
            <w:pPr>
              <w:rPr>
                <w:sz w:val="2"/>
                <w:szCs w:val="2"/>
              </w:rPr>
            </w:pPr>
          </w:p>
        </w:tc>
      </w:tr>
      <w:tr>
        <w:trPr>
          <w:trHeight w:val="495" w:hRule="atLeast"/>
        </w:trPr>
        <w:tc>
          <w:tcPr>
            <w:tcW w:w="1144" w:type="dxa"/>
            <w:shd w:val="clear" w:color="auto" w:fill="E8F5F1"/>
          </w:tcPr>
          <w:p>
            <w:pPr>
              <w:pStyle w:val="TableParagraph"/>
              <w:spacing w:before="74"/>
              <w:ind w:left="74"/>
              <w:rPr>
                <w:sz w:val="15"/>
              </w:rPr>
            </w:pPr>
            <w:r>
              <w:rPr>
                <w:color w:val="231F20"/>
                <w:spacing w:val="-2"/>
                <w:sz w:val="15"/>
              </w:rPr>
              <w:t>Azathioprine</w:t>
            </w:r>
          </w:p>
        </w:tc>
        <w:tc>
          <w:tcPr>
            <w:tcW w:w="1784" w:type="dxa"/>
            <w:shd w:val="clear" w:color="auto" w:fill="E8F5F1"/>
          </w:tcPr>
          <w:p>
            <w:pPr>
              <w:pStyle w:val="TableParagraph"/>
              <w:spacing w:before="74"/>
              <w:ind w:right="70"/>
              <w:jc w:val="right"/>
              <w:rPr>
                <w:sz w:val="15"/>
              </w:rPr>
            </w:pPr>
            <w:r>
              <w:rPr>
                <w:color w:val="231F20"/>
                <w:spacing w:val="-2"/>
                <w:sz w:val="15"/>
              </w:rPr>
              <w:t>Chemotherapeutic</w:t>
            </w:r>
          </w:p>
        </w:tc>
        <w:tc>
          <w:tcPr>
            <w:tcW w:w="2113" w:type="dxa"/>
            <w:vMerge/>
            <w:tcBorders>
              <w:top w:val="nil"/>
              <w:bottom w:val="single" w:sz="4" w:space="0" w:color="FFFFFF"/>
            </w:tcBorders>
            <w:shd w:val="clear" w:color="auto" w:fill="E8F5F1"/>
          </w:tcPr>
          <w:p>
            <w:pPr>
              <w:rPr>
                <w:sz w:val="2"/>
                <w:szCs w:val="2"/>
              </w:rPr>
            </w:pPr>
          </w:p>
        </w:tc>
        <w:tc>
          <w:tcPr>
            <w:tcW w:w="2643" w:type="dxa"/>
            <w:shd w:val="clear" w:color="auto" w:fill="E8F5F1"/>
          </w:tcPr>
          <w:p>
            <w:pPr>
              <w:pStyle w:val="TableParagraph"/>
              <w:spacing w:line="230" w:lineRule="auto" w:before="80"/>
              <w:ind w:left="314" w:right="705" w:hanging="112"/>
              <w:rPr>
                <w:sz w:val="15"/>
              </w:rPr>
            </w:pPr>
            <w:r>
              <w:rPr>
                <w:color w:val="231F20"/>
                <w:spacing w:val="-4"/>
                <w:sz w:val="15"/>
              </w:rPr>
              <w:t>Transaminitis; </w:t>
            </w:r>
            <w:r>
              <w:rPr>
                <w:color w:val="231F20"/>
                <w:spacing w:val="-4"/>
                <w:sz w:val="15"/>
              </w:rPr>
              <w:t>leukopenia; </w:t>
            </w:r>
            <w:r>
              <w:rPr>
                <w:color w:val="231F20"/>
                <w:spacing w:val="-2"/>
                <w:sz w:val="15"/>
              </w:rPr>
              <w:t>lymphoma</w:t>
            </w:r>
          </w:p>
        </w:tc>
        <w:tc>
          <w:tcPr>
            <w:tcW w:w="2059" w:type="dxa"/>
            <w:shd w:val="clear" w:color="auto" w:fill="E8F5F1"/>
          </w:tcPr>
          <w:p>
            <w:pPr>
              <w:pStyle w:val="TableParagraph"/>
              <w:spacing w:line="230" w:lineRule="auto" w:before="80"/>
              <w:ind w:left="234" w:right="47" w:hanging="112"/>
              <w:rPr>
                <w:sz w:val="15"/>
              </w:rPr>
            </w:pPr>
            <w:r>
              <w:rPr>
                <w:color w:val="231F20"/>
                <w:sz w:val="15"/>
              </w:rPr>
              <w:t>No efficacy assessments available</w:t>
            </w:r>
            <w:r>
              <w:rPr>
                <w:color w:val="231F20"/>
                <w:spacing w:val="-12"/>
                <w:sz w:val="15"/>
              </w:rPr>
              <w:t> </w:t>
            </w:r>
            <w:r>
              <w:rPr>
                <w:color w:val="231F20"/>
                <w:sz w:val="15"/>
              </w:rPr>
              <w:t>in</w:t>
            </w:r>
            <w:r>
              <w:rPr>
                <w:color w:val="231F20"/>
                <w:spacing w:val="-11"/>
                <w:sz w:val="15"/>
              </w:rPr>
              <w:t> </w:t>
            </w:r>
            <w:r>
              <w:rPr>
                <w:color w:val="231F20"/>
                <w:sz w:val="15"/>
              </w:rPr>
              <w:t>pediatric</w:t>
            </w:r>
            <w:r>
              <w:rPr>
                <w:color w:val="231F20"/>
                <w:spacing w:val="-11"/>
                <w:sz w:val="15"/>
              </w:rPr>
              <w:t> </w:t>
            </w:r>
            <w:r>
              <w:rPr>
                <w:color w:val="231F20"/>
                <w:sz w:val="15"/>
              </w:rPr>
              <w:t>MS</w:t>
            </w:r>
          </w:p>
        </w:tc>
      </w:tr>
      <w:tr>
        <w:trPr>
          <w:trHeight w:val="663" w:hRule="atLeast"/>
        </w:trPr>
        <w:tc>
          <w:tcPr>
            <w:tcW w:w="1144" w:type="dxa"/>
            <w:shd w:val="clear" w:color="auto" w:fill="E8F5F1"/>
          </w:tcPr>
          <w:p>
            <w:pPr>
              <w:pStyle w:val="TableParagraph"/>
              <w:spacing w:before="74"/>
              <w:ind w:left="74"/>
              <w:rPr>
                <w:sz w:val="15"/>
              </w:rPr>
            </w:pPr>
            <w:r>
              <w:rPr>
                <w:color w:val="231F20"/>
                <w:spacing w:val="-2"/>
                <w:w w:val="105"/>
                <w:sz w:val="15"/>
              </w:rPr>
              <w:t>Fingolimod</w:t>
            </w:r>
            <w:r>
              <w:rPr>
                <w:color w:val="0080AC"/>
                <w:spacing w:val="-2"/>
                <w:w w:val="105"/>
                <w:sz w:val="15"/>
              </w:rPr>
              <w:t>*</w:t>
            </w:r>
            <w:r>
              <w:rPr>
                <w:color w:val="0080AC"/>
                <w:spacing w:val="-2"/>
                <w:w w:val="105"/>
                <w:sz w:val="15"/>
                <w:vertAlign w:val="superscript"/>
              </w:rPr>
              <w:t>†</w:t>
            </w:r>
          </w:p>
        </w:tc>
        <w:tc>
          <w:tcPr>
            <w:tcW w:w="1784" w:type="dxa"/>
            <w:shd w:val="clear" w:color="auto" w:fill="E8F5F1"/>
          </w:tcPr>
          <w:p>
            <w:pPr>
              <w:pStyle w:val="TableParagraph"/>
              <w:spacing w:before="74"/>
              <w:ind w:right="75"/>
              <w:jc w:val="right"/>
              <w:rPr>
                <w:sz w:val="15"/>
              </w:rPr>
            </w:pPr>
            <w:r>
              <w:rPr>
                <w:color w:val="231F20"/>
                <w:spacing w:val="-2"/>
                <w:sz w:val="15"/>
              </w:rPr>
              <w:t>Immunomodulator</w:t>
            </w:r>
          </w:p>
        </w:tc>
        <w:tc>
          <w:tcPr>
            <w:tcW w:w="2113" w:type="dxa"/>
            <w:vMerge/>
            <w:tcBorders>
              <w:top w:val="nil"/>
              <w:bottom w:val="single" w:sz="4" w:space="0" w:color="FFFFFF"/>
            </w:tcBorders>
            <w:shd w:val="clear" w:color="auto" w:fill="E8F5F1"/>
          </w:tcPr>
          <w:p>
            <w:pPr>
              <w:rPr>
                <w:sz w:val="2"/>
                <w:szCs w:val="2"/>
              </w:rPr>
            </w:pPr>
          </w:p>
        </w:tc>
        <w:tc>
          <w:tcPr>
            <w:tcW w:w="2643" w:type="dxa"/>
            <w:shd w:val="clear" w:color="auto" w:fill="E8F5F1"/>
          </w:tcPr>
          <w:p>
            <w:pPr>
              <w:pStyle w:val="TableParagraph"/>
              <w:spacing w:line="230" w:lineRule="auto" w:before="80"/>
              <w:ind w:left="313" w:hanging="112"/>
              <w:rPr>
                <w:sz w:val="15"/>
              </w:rPr>
            </w:pPr>
            <w:r>
              <w:rPr>
                <w:color w:val="231F20"/>
                <w:spacing w:val="-4"/>
                <w:sz w:val="15"/>
              </w:rPr>
              <w:t>Systemic viral infection; </w:t>
            </w:r>
            <w:r>
              <w:rPr>
                <w:color w:val="231F20"/>
                <w:spacing w:val="-4"/>
                <w:sz w:val="15"/>
              </w:rPr>
              <w:t>cardiac </w:t>
            </w:r>
            <w:r>
              <w:rPr>
                <w:color w:val="231F20"/>
                <w:sz w:val="15"/>
              </w:rPr>
              <w:t>arrhythmia; macular edema; </w:t>
            </w:r>
            <w:r>
              <w:rPr>
                <w:color w:val="231F20"/>
                <w:spacing w:val="-2"/>
                <w:sz w:val="15"/>
              </w:rPr>
              <w:t>transaminitis</w:t>
            </w:r>
          </w:p>
        </w:tc>
        <w:tc>
          <w:tcPr>
            <w:tcW w:w="2059" w:type="dxa"/>
            <w:vMerge w:val="restart"/>
            <w:tcBorders>
              <w:bottom w:val="single" w:sz="4" w:space="0" w:color="FFFFFF"/>
            </w:tcBorders>
            <w:shd w:val="clear" w:color="auto" w:fill="E8F5F1"/>
          </w:tcPr>
          <w:p>
            <w:pPr>
              <w:pStyle w:val="TableParagraph"/>
              <w:spacing w:line="230" w:lineRule="auto" w:before="80"/>
              <w:ind w:left="234" w:right="47" w:hanging="112"/>
              <w:rPr>
                <w:sz w:val="15"/>
              </w:rPr>
            </w:pPr>
            <w:r>
              <w:rPr>
                <w:color w:val="231F20"/>
                <w:sz w:val="15"/>
              </w:rPr>
              <w:t>FDA approved for adult </w:t>
            </w:r>
            <w:r>
              <w:rPr>
                <w:color w:val="231F20"/>
                <w:sz w:val="15"/>
              </w:rPr>
              <w:t>MS in September 2010; no reports</w:t>
            </w:r>
            <w:r>
              <w:rPr>
                <w:color w:val="231F20"/>
                <w:spacing w:val="-12"/>
                <w:sz w:val="15"/>
              </w:rPr>
              <w:t> </w:t>
            </w:r>
            <w:r>
              <w:rPr>
                <w:color w:val="231F20"/>
                <w:sz w:val="15"/>
              </w:rPr>
              <w:t>of</w:t>
            </w:r>
            <w:r>
              <w:rPr>
                <w:color w:val="231F20"/>
                <w:spacing w:val="-11"/>
                <w:sz w:val="15"/>
              </w:rPr>
              <w:t> </w:t>
            </w:r>
            <w:r>
              <w:rPr>
                <w:color w:val="231F20"/>
                <w:sz w:val="15"/>
              </w:rPr>
              <w:t>use</w:t>
            </w:r>
            <w:r>
              <w:rPr>
                <w:color w:val="231F20"/>
                <w:spacing w:val="-11"/>
                <w:sz w:val="15"/>
              </w:rPr>
              <w:t> </w:t>
            </w:r>
            <w:r>
              <w:rPr>
                <w:color w:val="231F20"/>
                <w:sz w:val="15"/>
              </w:rPr>
              <w:t>in</w:t>
            </w:r>
            <w:r>
              <w:rPr>
                <w:color w:val="231F20"/>
                <w:spacing w:val="-11"/>
                <w:sz w:val="15"/>
              </w:rPr>
              <w:t> </w:t>
            </w:r>
            <w:r>
              <w:rPr>
                <w:color w:val="231F20"/>
                <w:sz w:val="15"/>
              </w:rPr>
              <w:t>pediatric MS to date</w:t>
            </w:r>
          </w:p>
          <w:p>
            <w:pPr>
              <w:pStyle w:val="TableParagraph"/>
              <w:spacing w:line="230" w:lineRule="auto" w:before="4"/>
              <w:ind w:left="234" w:right="47" w:hanging="112"/>
              <w:rPr>
                <w:sz w:val="15"/>
              </w:rPr>
            </w:pPr>
            <w:r>
              <w:rPr>
                <w:color w:val="231F20"/>
                <w:sz w:val="15"/>
              </w:rPr>
              <w:t>FDA approved for adult </w:t>
            </w:r>
            <w:r>
              <w:rPr>
                <w:color w:val="231F20"/>
                <w:sz w:val="15"/>
              </w:rPr>
              <w:t>MS in September 2012; no reports</w:t>
            </w:r>
            <w:r>
              <w:rPr>
                <w:color w:val="231F20"/>
                <w:spacing w:val="-12"/>
                <w:sz w:val="15"/>
              </w:rPr>
              <w:t> </w:t>
            </w:r>
            <w:r>
              <w:rPr>
                <w:color w:val="231F20"/>
                <w:sz w:val="15"/>
              </w:rPr>
              <w:t>of</w:t>
            </w:r>
            <w:r>
              <w:rPr>
                <w:color w:val="231F20"/>
                <w:spacing w:val="-11"/>
                <w:sz w:val="15"/>
              </w:rPr>
              <w:t> </w:t>
            </w:r>
            <w:r>
              <w:rPr>
                <w:color w:val="231F20"/>
                <w:sz w:val="15"/>
              </w:rPr>
              <w:t>use</w:t>
            </w:r>
            <w:r>
              <w:rPr>
                <w:color w:val="231F20"/>
                <w:spacing w:val="-11"/>
                <w:sz w:val="15"/>
              </w:rPr>
              <w:t> </w:t>
            </w:r>
            <w:r>
              <w:rPr>
                <w:color w:val="231F20"/>
                <w:sz w:val="15"/>
              </w:rPr>
              <w:t>in</w:t>
            </w:r>
            <w:r>
              <w:rPr>
                <w:color w:val="231F20"/>
                <w:spacing w:val="-11"/>
                <w:sz w:val="15"/>
              </w:rPr>
              <w:t> </w:t>
            </w:r>
            <w:r>
              <w:rPr>
                <w:color w:val="231F20"/>
                <w:sz w:val="15"/>
              </w:rPr>
              <w:t>pediatric MS to date</w:t>
            </w:r>
          </w:p>
        </w:tc>
      </w:tr>
      <w:tr>
        <w:trPr>
          <w:trHeight w:val="788" w:hRule="atLeast"/>
        </w:trPr>
        <w:tc>
          <w:tcPr>
            <w:tcW w:w="1144" w:type="dxa"/>
            <w:tcBorders>
              <w:bottom w:val="single" w:sz="4" w:space="0" w:color="FFFFFF"/>
            </w:tcBorders>
            <w:shd w:val="clear" w:color="auto" w:fill="E8F5F1"/>
          </w:tcPr>
          <w:p>
            <w:pPr>
              <w:pStyle w:val="TableParagraph"/>
              <w:spacing w:before="74"/>
              <w:ind w:left="74"/>
              <w:rPr>
                <w:sz w:val="15"/>
              </w:rPr>
            </w:pPr>
            <w:r>
              <w:rPr>
                <w:color w:val="231F20"/>
                <w:spacing w:val="-2"/>
                <w:sz w:val="15"/>
              </w:rPr>
              <w:t>Teriflunomide</w:t>
            </w:r>
            <w:r>
              <w:rPr>
                <w:color w:val="0080AC"/>
                <w:spacing w:val="-2"/>
                <w:sz w:val="15"/>
              </w:rPr>
              <w:t>*</w:t>
            </w:r>
            <w:r>
              <w:rPr>
                <w:color w:val="0080AC"/>
                <w:spacing w:val="-2"/>
                <w:sz w:val="15"/>
                <w:vertAlign w:val="superscript"/>
              </w:rPr>
              <w:t>†</w:t>
            </w:r>
          </w:p>
        </w:tc>
        <w:tc>
          <w:tcPr>
            <w:tcW w:w="1784" w:type="dxa"/>
            <w:tcBorders>
              <w:bottom w:val="single" w:sz="4" w:space="0" w:color="FFFFFF"/>
            </w:tcBorders>
            <w:shd w:val="clear" w:color="auto" w:fill="E8F5F1"/>
          </w:tcPr>
          <w:p>
            <w:pPr>
              <w:pStyle w:val="TableParagraph"/>
              <w:spacing w:before="74"/>
              <w:ind w:right="75"/>
              <w:jc w:val="right"/>
              <w:rPr>
                <w:sz w:val="15"/>
              </w:rPr>
            </w:pPr>
            <w:r>
              <w:rPr>
                <w:color w:val="231F20"/>
                <w:spacing w:val="-2"/>
                <w:sz w:val="15"/>
              </w:rPr>
              <w:t>Immunomodulator</w:t>
            </w:r>
          </w:p>
        </w:tc>
        <w:tc>
          <w:tcPr>
            <w:tcW w:w="2113" w:type="dxa"/>
            <w:vMerge/>
            <w:tcBorders>
              <w:top w:val="nil"/>
              <w:bottom w:val="single" w:sz="4" w:space="0" w:color="FFFFFF"/>
            </w:tcBorders>
            <w:shd w:val="clear" w:color="auto" w:fill="E8F5F1"/>
          </w:tcPr>
          <w:p>
            <w:pPr>
              <w:rPr>
                <w:sz w:val="2"/>
                <w:szCs w:val="2"/>
              </w:rPr>
            </w:pPr>
          </w:p>
        </w:tc>
        <w:tc>
          <w:tcPr>
            <w:tcW w:w="2643" w:type="dxa"/>
            <w:tcBorders>
              <w:bottom w:val="single" w:sz="4" w:space="0" w:color="FFFFFF"/>
            </w:tcBorders>
            <w:shd w:val="clear" w:color="auto" w:fill="E8F5F1"/>
          </w:tcPr>
          <w:p>
            <w:pPr>
              <w:pStyle w:val="TableParagraph"/>
              <w:spacing w:line="230" w:lineRule="auto" w:before="80"/>
              <w:ind w:left="313" w:right="316" w:hanging="112"/>
              <w:rPr>
                <w:sz w:val="15"/>
              </w:rPr>
            </w:pPr>
            <w:r>
              <w:rPr>
                <w:color w:val="231F20"/>
                <w:spacing w:val="-2"/>
                <w:sz w:val="15"/>
              </w:rPr>
              <w:t>Infections;</w:t>
            </w:r>
            <w:r>
              <w:rPr>
                <w:color w:val="231F20"/>
                <w:spacing w:val="-10"/>
                <w:sz w:val="15"/>
              </w:rPr>
              <w:t> </w:t>
            </w:r>
            <w:r>
              <w:rPr>
                <w:color w:val="231F20"/>
                <w:spacing w:val="-2"/>
                <w:sz w:val="15"/>
              </w:rPr>
              <w:t>headaches;</w:t>
            </w:r>
            <w:r>
              <w:rPr>
                <w:color w:val="231F20"/>
                <w:spacing w:val="-9"/>
                <w:sz w:val="15"/>
              </w:rPr>
              <w:t> </w:t>
            </w:r>
            <w:r>
              <w:rPr>
                <w:color w:val="231F20"/>
                <w:spacing w:val="-2"/>
                <w:sz w:val="15"/>
              </w:rPr>
              <w:t>diarrhea; </w:t>
            </w:r>
            <w:r>
              <w:rPr>
                <w:color w:val="231F20"/>
                <w:sz w:val="15"/>
              </w:rPr>
              <w:t>transaminitis; alopecia; </w:t>
            </w:r>
            <w:r>
              <w:rPr>
                <w:color w:val="231F20"/>
                <w:spacing w:val="-2"/>
                <w:sz w:val="15"/>
              </w:rPr>
              <w:t>teratogenicity</w:t>
            </w:r>
          </w:p>
        </w:tc>
        <w:tc>
          <w:tcPr>
            <w:tcW w:w="2059" w:type="dxa"/>
            <w:vMerge/>
            <w:tcBorders>
              <w:top w:val="nil"/>
              <w:bottom w:val="single" w:sz="4" w:space="0" w:color="FFFFFF"/>
            </w:tcBorders>
            <w:shd w:val="clear" w:color="auto" w:fill="E8F5F1"/>
          </w:tcPr>
          <w:p>
            <w:pPr>
              <w:rPr>
                <w:sz w:val="2"/>
                <w:szCs w:val="2"/>
              </w:rPr>
            </w:pPr>
          </w:p>
        </w:tc>
      </w:tr>
      <w:tr>
        <w:trPr>
          <w:trHeight w:val="628" w:hRule="atLeast"/>
        </w:trPr>
        <w:tc>
          <w:tcPr>
            <w:tcW w:w="2928" w:type="dxa"/>
            <w:gridSpan w:val="2"/>
            <w:tcBorders>
              <w:top w:val="single" w:sz="4" w:space="0" w:color="FFFFFF"/>
            </w:tcBorders>
            <w:shd w:val="clear" w:color="auto" w:fill="E8F5F1"/>
          </w:tcPr>
          <w:p>
            <w:pPr>
              <w:pStyle w:val="TableParagraph"/>
              <w:spacing w:line="172" w:lineRule="exact" w:before="43"/>
              <w:ind w:left="74"/>
              <w:rPr>
                <w:sz w:val="15"/>
              </w:rPr>
            </w:pPr>
            <w:r>
              <w:rPr>
                <w:color w:val="231F20"/>
                <w:w w:val="110"/>
                <w:sz w:val="15"/>
              </w:rPr>
              <w:t>EMERGING</w:t>
            </w:r>
            <w:r>
              <w:rPr>
                <w:color w:val="231F20"/>
                <w:spacing w:val="34"/>
                <w:w w:val="110"/>
                <w:sz w:val="15"/>
              </w:rPr>
              <w:t> </w:t>
            </w:r>
            <w:r>
              <w:rPr>
                <w:color w:val="231F20"/>
                <w:spacing w:val="-2"/>
                <w:w w:val="110"/>
                <w:sz w:val="15"/>
              </w:rPr>
              <w:t>THERAPIES</w:t>
            </w:r>
          </w:p>
          <w:p>
            <w:pPr>
              <w:pStyle w:val="TableParagraph"/>
              <w:tabs>
                <w:tab w:pos="1610" w:val="left" w:leader="none"/>
              </w:tabs>
              <w:spacing w:line="172" w:lineRule="exact"/>
              <w:ind w:left="74"/>
              <w:rPr>
                <w:sz w:val="15"/>
              </w:rPr>
            </w:pPr>
            <w:r>
              <w:rPr>
                <w:color w:val="231F20"/>
                <w:spacing w:val="-4"/>
                <w:sz w:val="15"/>
              </w:rPr>
              <w:t>Vitamin</w:t>
            </w:r>
            <w:r>
              <w:rPr>
                <w:color w:val="231F20"/>
                <w:spacing w:val="3"/>
                <w:sz w:val="15"/>
              </w:rPr>
              <w:t> </w:t>
            </w:r>
            <w:r>
              <w:rPr>
                <w:color w:val="231F20"/>
                <w:spacing w:val="-5"/>
                <w:sz w:val="15"/>
              </w:rPr>
              <w:t>D</w:t>
            </w:r>
            <w:r>
              <w:rPr>
                <w:color w:val="0080AC"/>
                <w:spacing w:val="-5"/>
                <w:sz w:val="15"/>
                <w:vertAlign w:val="superscript"/>
              </w:rPr>
              <w:t>†</w:t>
            </w:r>
            <w:r>
              <w:rPr>
                <w:color w:val="0080AC"/>
                <w:sz w:val="15"/>
                <w:vertAlign w:val="baseline"/>
              </w:rPr>
              <w:tab/>
            </w:r>
            <w:r>
              <w:rPr>
                <w:color w:val="231F20"/>
                <w:spacing w:val="-2"/>
                <w:sz w:val="15"/>
                <w:vertAlign w:val="baseline"/>
              </w:rPr>
              <w:t>Vitamin/hormone</w:t>
            </w:r>
          </w:p>
        </w:tc>
        <w:tc>
          <w:tcPr>
            <w:tcW w:w="2113"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87" w:hanging="112"/>
              <w:rPr>
                <w:sz w:val="15"/>
              </w:rPr>
            </w:pPr>
            <w:r>
              <w:rPr>
                <w:color w:val="231F20"/>
                <w:sz w:val="15"/>
              </w:rPr>
              <w:t>Modulates</w:t>
            </w:r>
            <w:r>
              <w:rPr>
                <w:color w:val="231F20"/>
                <w:spacing w:val="-12"/>
                <w:sz w:val="15"/>
              </w:rPr>
              <w:t> </w:t>
            </w:r>
            <w:r>
              <w:rPr>
                <w:color w:val="231F20"/>
                <w:sz w:val="15"/>
              </w:rPr>
              <w:t>immune</w:t>
            </w:r>
            <w:r>
              <w:rPr>
                <w:color w:val="231F20"/>
                <w:spacing w:val="-11"/>
                <w:sz w:val="15"/>
              </w:rPr>
              <w:t> </w:t>
            </w:r>
            <w:r>
              <w:rPr>
                <w:color w:val="231F20"/>
                <w:sz w:val="15"/>
              </w:rPr>
              <w:t>cell </w:t>
            </w:r>
            <w:r>
              <w:rPr>
                <w:color w:val="231F20"/>
                <w:spacing w:val="-2"/>
                <w:sz w:val="15"/>
              </w:rPr>
              <w:t>expression</w:t>
            </w:r>
          </w:p>
        </w:tc>
        <w:tc>
          <w:tcPr>
            <w:tcW w:w="2643" w:type="dxa"/>
            <w:vMerge w:val="restart"/>
            <w:tcBorders>
              <w:top w:val="single" w:sz="4" w:space="0" w:color="FFFFFF"/>
            </w:tcBorders>
            <w:shd w:val="clear" w:color="auto" w:fill="E8F5F1"/>
          </w:tcPr>
          <w:p>
            <w:pPr>
              <w:pStyle w:val="TableParagraph"/>
              <w:spacing w:before="44"/>
              <w:rPr>
                <w:i/>
                <w:sz w:val="15"/>
              </w:rPr>
            </w:pPr>
          </w:p>
          <w:p>
            <w:pPr>
              <w:pStyle w:val="TableParagraph"/>
              <w:spacing w:line="230" w:lineRule="auto"/>
              <w:ind w:left="313" w:right="122" w:hanging="112"/>
              <w:rPr>
                <w:sz w:val="15"/>
              </w:rPr>
            </w:pPr>
            <w:r>
              <w:rPr>
                <w:color w:val="231F20"/>
                <w:sz w:val="15"/>
              </w:rPr>
              <w:t>Hypercalcemia</w:t>
            </w:r>
            <w:r>
              <w:rPr>
                <w:color w:val="231F20"/>
                <w:spacing w:val="-12"/>
                <w:sz w:val="15"/>
              </w:rPr>
              <w:t> </w:t>
            </w:r>
            <w:r>
              <w:rPr>
                <w:color w:val="231F20"/>
                <w:sz w:val="15"/>
              </w:rPr>
              <w:t>and</w:t>
            </w:r>
            <w:r>
              <w:rPr>
                <w:color w:val="231F20"/>
                <w:spacing w:val="-11"/>
                <w:sz w:val="15"/>
              </w:rPr>
              <w:t> </w:t>
            </w:r>
            <w:r>
              <w:rPr>
                <w:color w:val="231F20"/>
                <w:sz w:val="15"/>
              </w:rPr>
              <w:t>kidney</w:t>
            </w:r>
            <w:r>
              <w:rPr>
                <w:color w:val="231F20"/>
                <w:spacing w:val="-11"/>
                <w:sz w:val="15"/>
              </w:rPr>
              <w:t> </w:t>
            </w:r>
            <w:r>
              <w:rPr>
                <w:color w:val="231F20"/>
                <w:sz w:val="15"/>
              </w:rPr>
              <w:t>stones at a serum 25(OH) vitamin D level </w:t>
            </w:r>
            <w:r>
              <w:rPr>
                <w:rFonts w:ascii="Cambria"/>
                <w:color w:val="231F20"/>
                <w:sz w:val="15"/>
              </w:rPr>
              <w:t>&gt;</w:t>
            </w:r>
            <w:r>
              <w:rPr>
                <w:color w:val="231F20"/>
                <w:sz w:val="15"/>
              </w:rPr>
              <w:t>100 ng/mL</w:t>
            </w:r>
          </w:p>
          <w:p>
            <w:pPr>
              <w:pStyle w:val="TableParagraph"/>
              <w:spacing w:line="230" w:lineRule="auto" w:before="2"/>
              <w:ind w:left="314" w:right="307" w:hanging="112"/>
              <w:jc w:val="both"/>
              <w:rPr>
                <w:sz w:val="15"/>
              </w:rPr>
            </w:pPr>
            <w:r>
              <w:rPr>
                <w:color w:val="231F20"/>
                <w:sz w:val="15"/>
              </w:rPr>
              <w:t>Headache;</w:t>
            </w:r>
            <w:r>
              <w:rPr>
                <w:color w:val="231F20"/>
                <w:spacing w:val="-12"/>
                <w:sz w:val="15"/>
              </w:rPr>
              <w:t> </w:t>
            </w:r>
            <w:r>
              <w:rPr>
                <w:color w:val="231F20"/>
                <w:sz w:val="15"/>
              </w:rPr>
              <w:t>infusion-related</w:t>
            </w:r>
            <w:r>
              <w:rPr>
                <w:color w:val="231F20"/>
                <w:spacing w:val="-11"/>
                <w:sz w:val="15"/>
              </w:rPr>
              <w:t> </w:t>
            </w:r>
            <w:r>
              <w:rPr>
                <w:color w:val="231F20"/>
                <w:sz w:val="15"/>
              </w:rPr>
              <w:t>side </w:t>
            </w:r>
            <w:r>
              <w:rPr>
                <w:color w:val="231F20"/>
                <w:spacing w:val="-2"/>
                <w:sz w:val="15"/>
              </w:rPr>
              <w:t>effects;</w:t>
            </w:r>
            <w:r>
              <w:rPr>
                <w:color w:val="231F20"/>
                <w:spacing w:val="-10"/>
                <w:sz w:val="15"/>
              </w:rPr>
              <w:t> </w:t>
            </w:r>
            <w:r>
              <w:rPr>
                <w:color w:val="231F20"/>
                <w:spacing w:val="-2"/>
                <w:sz w:val="15"/>
              </w:rPr>
              <w:t>theoretical</w:t>
            </w:r>
            <w:r>
              <w:rPr>
                <w:color w:val="231F20"/>
                <w:spacing w:val="-9"/>
                <w:sz w:val="15"/>
              </w:rPr>
              <w:t> </w:t>
            </w:r>
            <w:r>
              <w:rPr>
                <w:color w:val="231F20"/>
                <w:spacing w:val="-2"/>
                <w:sz w:val="15"/>
              </w:rPr>
              <w:t>risk</w:t>
            </w:r>
            <w:r>
              <w:rPr>
                <w:color w:val="231F20"/>
                <w:spacing w:val="-9"/>
                <w:sz w:val="15"/>
              </w:rPr>
              <w:t> </w:t>
            </w:r>
            <w:r>
              <w:rPr>
                <w:color w:val="231F20"/>
                <w:spacing w:val="-2"/>
                <w:sz w:val="15"/>
              </w:rPr>
              <w:t>of</w:t>
            </w:r>
            <w:r>
              <w:rPr>
                <w:color w:val="231F20"/>
                <w:spacing w:val="-10"/>
                <w:sz w:val="15"/>
              </w:rPr>
              <w:t> </w:t>
            </w:r>
            <w:r>
              <w:rPr>
                <w:color w:val="231F20"/>
                <w:spacing w:val="-2"/>
                <w:sz w:val="15"/>
              </w:rPr>
              <w:t>PML (undefined)</w:t>
            </w:r>
          </w:p>
        </w:tc>
        <w:tc>
          <w:tcPr>
            <w:tcW w:w="2059"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34" w:right="147" w:hanging="112"/>
              <w:rPr>
                <w:sz w:val="15"/>
              </w:rPr>
            </w:pPr>
            <w:r>
              <w:rPr>
                <w:color w:val="231F20"/>
                <w:sz w:val="15"/>
              </w:rPr>
              <w:t>Prospective trials in pediatric</w:t>
            </w:r>
            <w:r>
              <w:rPr>
                <w:color w:val="231F20"/>
                <w:spacing w:val="-7"/>
                <w:sz w:val="15"/>
              </w:rPr>
              <w:t> </w:t>
            </w:r>
            <w:r>
              <w:rPr>
                <w:color w:val="231F20"/>
                <w:sz w:val="15"/>
              </w:rPr>
              <w:t>and</w:t>
            </w:r>
            <w:r>
              <w:rPr>
                <w:color w:val="231F20"/>
                <w:spacing w:val="-7"/>
                <w:sz w:val="15"/>
              </w:rPr>
              <w:t> </w:t>
            </w:r>
            <w:r>
              <w:rPr>
                <w:color w:val="231F20"/>
                <w:sz w:val="15"/>
              </w:rPr>
              <w:t>adult</w:t>
            </w:r>
            <w:r>
              <w:rPr>
                <w:color w:val="231F20"/>
                <w:spacing w:val="-7"/>
                <w:sz w:val="15"/>
              </w:rPr>
              <w:t> </w:t>
            </w:r>
            <w:r>
              <w:rPr>
                <w:color w:val="231F20"/>
                <w:sz w:val="15"/>
              </w:rPr>
              <w:t>MS </w:t>
            </w:r>
            <w:r>
              <w:rPr>
                <w:color w:val="231F20"/>
                <w:spacing w:val="-4"/>
                <w:sz w:val="15"/>
              </w:rPr>
              <w:t>are</w:t>
            </w:r>
            <w:r>
              <w:rPr>
                <w:color w:val="231F20"/>
                <w:spacing w:val="-1"/>
                <w:sz w:val="15"/>
              </w:rPr>
              <w:t> </w:t>
            </w:r>
            <w:r>
              <w:rPr>
                <w:color w:val="231F20"/>
                <w:spacing w:val="-4"/>
                <w:sz w:val="15"/>
              </w:rPr>
              <w:t>currently</w:t>
            </w:r>
            <w:r>
              <w:rPr>
                <w:color w:val="231F20"/>
                <w:spacing w:val="-1"/>
                <w:sz w:val="15"/>
              </w:rPr>
              <w:t> </w:t>
            </w:r>
            <w:r>
              <w:rPr>
                <w:color w:val="231F20"/>
                <w:spacing w:val="-4"/>
                <w:sz w:val="15"/>
              </w:rPr>
              <w:t>underway</w:t>
            </w:r>
          </w:p>
          <w:p>
            <w:pPr>
              <w:pStyle w:val="TableParagraph"/>
              <w:spacing w:line="230" w:lineRule="auto" w:before="3"/>
              <w:ind w:left="234" w:right="147" w:hanging="112"/>
              <w:rPr>
                <w:sz w:val="15"/>
              </w:rPr>
            </w:pPr>
            <w:r>
              <w:rPr>
                <w:color w:val="231F20"/>
                <w:sz w:val="15"/>
              </w:rPr>
              <w:t>Recently</w:t>
            </w:r>
            <w:r>
              <w:rPr>
                <w:color w:val="231F20"/>
                <w:spacing w:val="-12"/>
                <w:sz w:val="15"/>
              </w:rPr>
              <w:t> </w:t>
            </w:r>
            <w:r>
              <w:rPr>
                <w:color w:val="231F20"/>
                <w:sz w:val="15"/>
              </w:rPr>
              <w:t>completed</w:t>
            </w:r>
            <w:r>
              <w:rPr>
                <w:color w:val="231F20"/>
                <w:spacing w:val="-11"/>
                <w:sz w:val="15"/>
              </w:rPr>
              <w:t> </w:t>
            </w:r>
            <w:r>
              <w:rPr>
                <w:color w:val="231F20"/>
                <w:sz w:val="15"/>
              </w:rPr>
              <w:t>phase III trial in adult MS; no use in pediatric MS to </w:t>
            </w:r>
            <w:r>
              <w:rPr>
                <w:color w:val="231F20"/>
                <w:spacing w:val="-4"/>
                <w:sz w:val="15"/>
              </w:rPr>
              <w:t>date</w:t>
            </w:r>
          </w:p>
          <w:p>
            <w:pPr>
              <w:pStyle w:val="TableParagraph"/>
              <w:spacing w:line="230" w:lineRule="auto" w:before="5"/>
              <w:ind w:left="234" w:right="47" w:hanging="112"/>
              <w:rPr>
                <w:sz w:val="15"/>
              </w:rPr>
            </w:pPr>
            <w:r>
              <w:rPr>
                <w:color w:val="231F20"/>
                <w:sz w:val="15"/>
              </w:rPr>
              <w:t>FDA approved for adult </w:t>
            </w:r>
            <w:r>
              <w:rPr>
                <w:color w:val="231F20"/>
                <w:sz w:val="15"/>
              </w:rPr>
              <w:t>MS in March 2013; no use in pediatric MS to date</w:t>
            </w:r>
          </w:p>
          <w:p>
            <w:pPr>
              <w:pStyle w:val="TableParagraph"/>
              <w:spacing w:line="230" w:lineRule="auto" w:before="4"/>
              <w:ind w:left="234" w:right="147" w:hanging="112"/>
              <w:rPr>
                <w:sz w:val="15"/>
              </w:rPr>
            </w:pPr>
            <w:r>
              <w:rPr>
                <w:color w:val="231F20"/>
                <w:sz w:val="15"/>
              </w:rPr>
              <w:t>Recently</w:t>
            </w:r>
            <w:r>
              <w:rPr>
                <w:color w:val="231F20"/>
                <w:spacing w:val="-12"/>
                <w:sz w:val="15"/>
              </w:rPr>
              <w:t> </w:t>
            </w:r>
            <w:r>
              <w:rPr>
                <w:color w:val="231F20"/>
                <w:sz w:val="15"/>
              </w:rPr>
              <w:t>completed</w:t>
            </w:r>
            <w:r>
              <w:rPr>
                <w:color w:val="231F20"/>
                <w:spacing w:val="-11"/>
                <w:sz w:val="15"/>
              </w:rPr>
              <w:t> </w:t>
            </w:r>
            <w:r>
              <w:rPr>
                <w:color w:val="231F20"/>
                <w:sz w:val="15"/>
              </w:rPr>
              <w:t>phase III trial in adult MS; no use in pediatric MS to </w:t>
            </w:r>
            <w:r>
              <w:rPr>
                <w:color w:val="231F20"/>
                <w:spacing w:val="-4"/>
                <w:sz w:val="15"/>
              </w:rPr>
              <w:t>date</w:t>
            </w:r>
          </w:p>
          <w:p>
            <w:pPr>
              <w:pStyle w:val="TableParagraph"/>
              <w:spacing w:line="230" w:lineRule="auto" w:before="4"/>
              <w:ind w:left="234" w:right="147" w:hanging="112"/>
              <w:rPr>
                <w:sz w:val="15"/>
              </w:rPr>
            </w:pPr>
            <w:r>
              <w:rPr>
                <w:color w:val="231F20"/>
                <w:sz w:val="15"/>
              </w:rPr>
              <w:t>Recently</w:t>
            </w:r>
            <w:r>
              <w:rPr>
                <w:color w:val="231F20"/>
                <w:spacing w:val="-12"/>
                <w:sz w:val="15"/>
              </w:rPr>
              <w:t> </w:t>
            </w:r>
            <w:r>
              <w:rPr>
                <w:color w:val="231F20"/>
                <w:sz w:val="15"/>
              </w:rPr>
              <w:t>completed</w:t>
            </w:r>
            <w:r>
              <w:rPr>
                <w:color w:val="231F20"/>
                <w:spacing w:val="-11"/>
                <w:sz w:val="15"/>
              </w:rPr>
              <w:t> </w:t>
            </w:r>
            <w:r>
              <w:rPr>
                <w:color w:val="231F20"/>
                <w:sz w:val="15"/>
              </w:rPr>
              <w:t>phase III trial in adult MS; no use in pediatric MS to </w:t>
            </w:r>
            <w:r>
              <w:rPr>
                <w:color w:val="231F20"/>
                <w:spacing w:val="-4"/>
                <w:sz w:val="15"/>
              </w:rPr>
              <w:t>date</w:t>
            </w:r>
          </w:p>
        </w:tc>
      </w:tr>
      <w:tr>
        <w:trPr>
          <w:trHeight w:val="653" w:hRule="atLeast"/>
        </w:trPr>
        <w:tc>
          <w:tcPr>
            <w:tcW w:w="2928" w:type="dxa"/>
            <w:gridSpan w:val="2"/>
            <w:shd w:val="clear" w:color="auto" w:fill="E8F5F1"/>
          </w:tcPr>
          <w:p>
            <w:pPr>
              <w:pStyle w:val="TableParagraph"/>
              <w:tabs>
                <w:tab w:pos="1610" w:val="left" w:leader="none"/>
              </w:tabs>
              <w:spacing w:line="230" w:lineRule="auto" w:before="75"/>
              <w:ind w:left="1722" w:right="529" w:hanging="1649"/>
              <w:rPr>
                <w:sz w:val="15"/>
              </w:rPr>
            </w:pPr>
            <w:r>
              <w:rPr>
                <w:color w:val="231F20"/>
                <w:spacing w:val="-2"/>
                <w:sz w:val="15"/>
              </w:rPr>
              <w:t>Ocrelizumab</w:t>
            </w:r>
            <w:r>
              <w:rPr>
                <w:color w:val="231F20"/>
                <w:sz w:val="15"/>
              </w:rPr>
              <w:tab/>
            </w:r>
            <w:r>
              <w:rPr>
                <w:color w:val="231F20"/>
                <w:spacing w:val="-2"/>
                <w:sz w:val="15"/>
              </w:rPr>
              <w:t>Monoclonal antibody</w:t>
            </w:r>
          </w:p>
        </w:tc>
        <w:tc>
          <w:tcPr>
            <w:tcW w:w="2113" w:type="dxa"/>
            <w:shd w:val="clear" w:color="auto" w:fill="E8F5F1"/>
          </w:tcPr>
          <w:p>
            <w:pPr>
              <w:pStyle w:val="TableParagraph"/>
              <w:spacing w:line="230" w:lineRule="auto" w:before="75"/>
              <w:ind w:left="287" w:right="46" w:hanging="112"/>
              <w:rPr>
                <w:sz w:val="15"/>
              </w:rPr>
            </w:pPr>
            <w:r>
              <w:rPr>
                <w:color w:val="231F20"/>
                <w:sz w:val="15"/>
              </w:rPr>
              <w:t>Targets CD20, a marker of </w:t>
            </w:r>
            <w:r>
              <w:rPr>
                <w:color w:val="231F20"/>
                <w:spacing w:val="-2"/>
                <w:sz w:val="15"/>
              </w:rPr>
              <w:t>immature</w:t>
            </w:r>
            <w:r>
              <w:rPr>
                <w:color w:val="231F20"/>
                <w:spacing w:val="-9"/>
                <w:sz w:val="15"/>
              </w:rPr>
              <w:t> </w:t>
            </w:r>
            <w:r>
              <w:rPr>
                <w:color w:val="231F20"/>
                <w:spacing w:val="-2"/>
                <w:sz w:val="15"/>
              </w:rPr>
              <w:t>B</w:t>
            </w:r>
            <w:r>
              <w:rPr>
                <w:color w:val="231F20"/>
                <w:spacing w:val="-9"/>
                <w:sz w:val="15"/>
              </w:rPr>
              <w:t> </w:t>
            </w:r>
            <w:r>
              <w:rPr>
                <w:color w:val="231F20"/>
                <w:spacing w:val="-2"/>
                <w:sz w:val="15"/>
              </w:rPr>
              <w:t>cells;</w:t>
            </w:r>
            <w:r>
              <w:rPr>
                <w:color w:val="231F20"/>
                <w:spacing w:val="-9"/>
                <w:sz w:val="15"/>
              </w:rPr>
              <w:t> </w:t>
            </w:r>
            <w:r>
              <w:rPr>
                <w:color w:val="231F20"/>
                <w:spacing w:val="-2"/>
                <w:sz w:val="15"/>
              </w:rPr>
              <w:t>depletes </w:t>
            </w:r>
            <w:r>
              <w:rPr>
                <w:color w:val="231F20"/>
                <w:sz w:val="15"/>
              </w:rPr>
              <w:t>B-cell populations</w:t>
            </w:r>
          </w:p>
        </w:tc>
        <w:tc>
          <w:tcPr>
            <w:tcW w:w="2643" w:type="dxa"/>
            <w:vMerge/>
            <w:tcBorders>
              <w:top w:val="nil"/>
            </w:tcBorders>
            <w:shd w:val="clear" w:color="auto" w:fill="E8F5F1"/>
          </w:tcPr>
          <w:p>
            <w:pPr>
              <w:rPr>
                <w:sz w:val="2"/>
                <w:szCs w:val="2"/>
              </w:rPr>
            </w:pPr>
          </w:p>
        </w:tc>
        <w:tc>
          <w:tcPr>
            <w:tcW w:w="2059" w:type="dxa"/>
            <w:vMerge/>
            <w:tcBorders>
              <w:top w:val="nil"/>
              <w:bottom w:val="single" w:sz="8" w:space="0" w:color="231F20"/>
            </w:tcBorders>
            <w:shd w:val="clear" w:color="auto" w:fill="E8F5F1"/>
          </w:tcPr>
          <w:p>
            <w:pPr>
              <w:rPr>
                <w:sz w:val="2"/>
                <w:szCs w:val="2"/>
              </w:rPr>
            </w:pPr>
          </w:p>
        </w:tc>
      </w:tr>
      <w:tr>
        <w:trPr>
          <w:trHeight w:val="485" w:hRule="atLeast"/>
        </w:trPr>
        <w:tc>
          <w:tcPr>
            <w:tcW w:w="2928" w:type="dxa"/>
            <w:gridSpan w:val="2"/>
            <w:shd w:val="clear" w:color="auto" w:fill="E8F5F1"/>
          </w:tcPr>
          <w:p>
            <w:pPr>
              <w:pStyle w:val="TableParagraph"/>
              <w:tabs>
                <w:tab w:pos="1610" w:val="left" w:leader="none"/>
              </w:tabs>
              <w:spacing w:before="69"/>
              <w:ind w:left="74"/>
              <w:rPr>
                <w:sz w:val="15"/>
              </w:rPr>
            </w:pPr>
            <w:r>
              <w:rPr>
                <w:color w:val="231F20"/>
                <w:sz w:val="15"/>
              </w:rPr>
              <w:t>Dimethyl</w:t>
            </w:r>
            <w:r>
              <w:rPr>
                <w:color w:val="231F20"/>
                <w:spacing w:val="-12"/>
                <w:sz w:val="15"/>
              </w:rPr>
              <w:t> </w:t>
            </w:r>
            <w:r>
              <w:rPr>
                <w:color w:val="231F20"/>
                <w:spacing w:val="-2"/>
                <w:sz w:val="15"/>
              </w:rPr>
              <w:t>fumarate</w:t>
            </w:r>
            <w:r>
              <w:rPr>
                <w:color w:val="0080AC"/>
                <w:spacing w:val="-2"/>
                <w:sz w:val="15"/>
                <w:vertAlign w:val="superscript"/>
              </w:rPr>
              <w:t>†</w:t>
            </w:r>
            <w:r>
              <w:rPr>
                <w:color w:val="0080AC"/>
                <w:sz w:val="15"/>
                <w:vertAlign w:val="baseline"/>
              </w:rPr>
              <w:tab/>
            </w:r>
            <w:r>
              <w:rPr>
                <w:color w:val="231F20"/>
                <w:spacing w:val="-2"/>
                <w:sz w:val="15"/>
                <w:vertAlign w:val="baseline"/>
              </w:rPr>
              <w:t>Immunomodulator</w:t>
            </w:r>
          </w:p>
        </w:tc>
        <w:tc>
          <w:tcPr>
            <w:tcW w:w="2113" w:type="dxa"/>
            <w:shd w:val="clear" w:color="auto" w:fill="E8F5F1"/>
          </w:tcPr>
          <w:p>
            <w:pPr>
              <w:pStyle w:val="TableParagraph"/>
              <w:spacing w:line="230" w:lineRule="auto" w:before="75"/>
              <w:ind w:left="287" w:right="779" w:hanging="112"/>
              <w:rPr>
                <w:sz w:val="15"/>
              </w:rPr>
            </w:pPr>
            <w:r>
              <w:rPr>
                <w:color w:val="231F20"/>
                <w:spacing w:val="-2"/>
                <w:sz w:val="15"/>
              </w:rPr>
              <w:t>Neuroprotectant; antioxidant</w:t>
            </w:r>
          </w:p>
        </w:tc>
        <w:tc>
          <w:tcPr>
            <w:tcW w:w="2643" w:type="dxa"/>
            <w:shd w:val="clear" w:color="auto" w:fill="E8F5F1"/>
          </w:tcPr>
          <w:p>
            <w:pPr>
              <w:pStyle w:val="TableParagraph"/>
              <w:spacing w:line="230" w:lineRule="auto" w:before="75"/>
              <w:ind w:left="313" w:hanging="112"/>
              <w:rPr>
                <w:sz w:val="15"/>
              </w:rPr>
            </w:pPr>
            <w:r>
              <w:rPr>
                <w:color w:val="231F20"/>
                <w:spacing w:val="-2"/>
                <w:sz w:val="15"/>
              </w:rPr>
              <w:t>Flushing</w:t>
            </w:r>
            <w:r>
              <w:rPr>
                <w:color w:val="231F20"/>
                <w:spacing w:val="-10"/>
                <w:sz w:val="15"/>
              </w:rPr>
              <w:t> </w:t>
            </w:r>
            <w:r>
              <w:rPr>
                <w:color w:val="231F20"/>
                <w:spacing w:val="-2"/>
                <w:sz w:val="15"/>
              </w:rPr>
              <w:t>reaction;</w:t>
            </w:r>
            <w:r>
              <w:rPr>
                <w:color w:val="231F20"/>
                <w:spacing w:val="-9"/>
                <w:sz w:val="15"/>
              </w:rPr>
              <w:t> </w:t>
            </w:r>
            <w:r>
              <w:rPr>
                <w:color w:val="231F20"/>
                <w:spacing w:val="-2"/>
                <w:sz w:val="15"/>
              </w:rPr>
              <w:t>gastrointestinal </w:t>
            </w:r>
            <w:r>
              <w:rPr>
                <w:color w:val="231F20"/>
                <w:sz w:val="15"/>
              </w:rPr>
              <w:t>upset; headache</w:t>
            </w:r>
          </w:p>
        </w:tc>
        <w:tc>
          <w:tcPr>
            <w:tcW w:w="2059" w:type="dxa"/>
            <w:vMerge/>
            <w:tcBorders>
              <w:top w:val="nil"/>
              <w:bottom w:val="single" w:sz="8" w:space="0" w:color="231F20"/>
            </w:tcBorders>
            <w:shd w:val="clear" w:color="auto" w:fill="E8F5F1"/>
          </w:tcPr>
          <w:p>
            <w:pPr>
              <w:rPr>
                <w:sz w:val="2"/>
                <w:szCs w:val="2"/>
              </w:rPr>
            </w:pPr>
          </w:p>
        </w:tc>
      </w:tr>
      <w:tr>
        <w:trPr>
          <w:trHeight w:val="569" w:hRule="atLeast"/>
        </w:trPr>
        <w:tc>
          <w:tcPr>
            <w:tcW w:w="1144" w:type="dxa"/>
            <w:shd w:val="clear" w:color="auto" w:fill="E8F5F1"/>
          </w:tcPr>
          <w:p>
            <w:pPr>
              <w:pStyle w:val="TableParagraph"/>
              <w:spacing w:before="69"/>
              <w:ind w:left="74"/>
              <w:rPr>
                <w:sz w:val="15"/>
              </w:rPr>
            </w:pPr>
            <w:r>
              <w:rPr>
                <w:color w:val="231F20"/>
                <w:spacing w:val="-2"/>
                <w:sz w:val="15"/>
              </w:rPr>
              <w:t>Alemtuzumab</w:t>
            </w:r>
          </w:p>
        </w:tc>
        <w:tc>
          <w:tcPr>
            <w:tcW w:w="1784" w:type="dxa"/>
            <w:shd w:val="clear" w:color="auto" w:fill="E8F5F1"/>
          </w:tcPr>
          <w:p>
            <w:pPr>
              <w:pStyle w:val="TableParagraph"/>
              <w:spacing w:line="230" w:lineRule="auto" w:before="75"/>
              <w:ind w:left="578" w:right="36" w:hanging="112"/>
              <w:rPr>
                <w:sz w:val="15"/>
              </w:rPr>
            </w:pPr>
            <w:r>
              <w:rPr>
                <w:color w:val="231F20"/>
                <w:spacing w:val="-2"/>
                <w:sz w:val="15"/>
              </w:rPr>
              <w:t>Monoclonal antibody</w:t>
            </w:r>
          </w:p>
        </w:tc>
        <w:tc>
          <w:tcPr>
            <w:tcW w:w="2113" w:type="dxa"/>
            <w:vMerge w:val="restart"/>
            <w:tcBorders>
              <w:bottom w:val="single" w:sz="8" w:space="0" w:color="231F20"/>
            </w:tcBorders>
            <w:shd w:val="clear" w:color="auto" w:fill="E8F5F1"/>
          </w:tcPr>
          <w:p>
            <w:pPr>
              <w:pStyle w:val="TableParagraph"/>
              <w:spacing w:line="230" w:lineRule="auto" w:before="75"/>
              <w:ind w:left="287" w:hanging="112"/>
              <w:rPr>
                <w:sz w:val="15"/>
              </w:rPr>
            </w:pPr>
            <w:r>
              <w:rPr>
                <w:color w:val="231F20"/>
                <w:sz w:val="15"/>
              </w:rPr>
              <w:t>Anti-CD52</w:t>
            </w:r>
            <w:r>
              <w:rPr>
                <w:color w:val="231F20"/>
                <w:spacing w:val="-12"/>
                <w:sz w:val="15"/>
              </w:rPr>
              <w:t> </w:t>
            </w:r>
            <w:r>
              <w:rPr>
                <w:color w:val="231F20"/>
                <w:sz w:val="15"/>
              </w:rPr>
              <w:t>antibody</w:t>
            </w:r>
            <w:r>
              <w:rPr>
                <w:color w:val="231F20"/>
                <w:spacing w:val="-11"/>
                <w:sz w:val="15"/>
              </w:rPr>
              <w:t> </w:t>
            </w:r>
            <w:r>
              <w:rPr>
                <w:color w:val="231F20"/>
                <w:sz w:val="15"/>
              </w:rPr>
              <w:t>target; depletes mature T cells</w:t>
            </w:r>
          </w:p>
          <w:p>
            <w:pPr>
              <w:pStyle w:val="TableParagraph"/>
              <w:spacing w:before="164"/>
              <w:rPr>
                <w:i/>
                <w:sz w:val="15"/>
              </w:rPr>
            </w:pPr>
          </w:p>
          <w:p>
            <w:pPr>
              <w:pStyle w:val="TableParagraph"/>
              <w:spacing w:line="230" w:lineRule="auto" w:before="1"/>
              <w:ind w:left="287" w:right="147" w:hanging="112"/>
              <w:rPr>
                <w:sz w:val="15"/>
              </w:rPr>
            </w:pPr>
            <w:r>
              <w:rPr>
                <w:color w:val="231F20"/>
                <w:sz w:val="15"/>
              </w:rPr>
              <w:t>Modulates T cell and </w:t>
            </w:r>
            <w:r>
              <w:rPr>
                <w:color w:val="231F20"/>
                <w:spacing w:val="-2"/>
                <w:sz w:val="15"/>
              </w:rPr>
              <w:t>cytokine</w:t>
            </w:r>
            <w:r>
              <w:rPr>
                <w:color w:val="231F20"/>
                <w:spacing w:val="-6"/>
                <w:sz w:val="15"/>
              </w:rPr>
              <w:t> </w:t>
            </w:r>
            <w:r>
              <w:rPr>
                <w:color w:val="231F20"/>
                <w:spacing w:val="-2"/>
                <w:sz w:val="15"/>
              </w:rPr>
              <w:t>production</w:t>
            </w:r>
          </w:p>
        </w:tc>
        <w:tc>
          <w:tcPr>
            <w:tcW w:w="2643" w:type="dxa"/>
            <w:vMerge w:val="restart"/>
            <w:tcBorders>
              <w:bottom w:val="single" w:sz="8" w:space="0" w:color="231F20"/>
            </w:tcBorders>
            <w:shd w:val="clear" w:color="auto" w:fill="E8F5F1"/>
          </w:tcPr>
          <w:p>
            <w:pPr>
              <w:pStyle w:val="TableParagraph"/>
              <w:spacing w:line="230" w:lineRule="auto" w:before="75"/>
              <w:ind w:left="313" w:right="122" w:hanging="112"/>
              <w:rPr>
                <w:sz w:val="15"/>
              </w:rPr>
            </w:pPr>
            <w:r>
              <w:rPr>
                <w:color w:val="231F20"/>
                <w:sz w:val="15"/>
              </w:rPr>
              <w:t>Opportunistic infection, autoimmune</w:t>
            </w:r>
            <w:r>
              <w:rPr>
                <w:color w:val="231F20"/>
                <w:spacing w:val="-4"/>
                <w:sz w:val="15"/>
              </w:rPr>
              <w:t> </w:t>
            </w:r>
            <w:r>
              <w:rPr>
                <w:color w:val="231F20"/>
                <w:sz w:val="15"/>
              </w:rPr>
              <w:t>thyroiditis</w:t>
            </w:r>
            <w:r>
              <w:rPr>
                <w:color w:val="231F20"/>
                <w:spacing w:val="-4"/>
                <w:sz w:val="15"/>
              </w:rPr>
              <w:t> </w:t>
            </w:r>
            <w:r>
              <w:rPr>
                <w:color w:val="231F20"/>
                <w:sz w:val="15"/>
              </w:rPr>
              <w:t>(20-30% </w:t>
            </w:r>
            <w:r>
              <w:rPr>
                <w:color w:val="231F20"/>
                <w:spacing w:val="-2"/>
                <w:sz w:val="15"/>
              </w:rPr>
              <w:t>risk),</w:t>
            </w:r>
            <w:r>
              <w:rPr>
                <w:color w:val="231F20"/>
                <w:spacing w:val="-10"/>
                <w:sz w:val="15"/>
              </w:rPr>
              <w:t> </w:t>
            </w:r>
            <w:r>
              <w:rPr>
                <w:color w:val="231F20"/>
                <w:spacing w:val="-2"/>
                <w:sz w:val="15"/>
              </w:rPr>
              <w:t>immune</w:t>
            </w:r>
            <w:r>
              <w:rPr>
                <w:color w:val="231F20"/>
                <w:spacing w:val="-9"/>
                <w:sz w:val="15"/>
              </w:rPr>
              <w:t> </w:t>
            </w:r>
            <w:r>
              <w:rPr>
                <w:color w:val="231F20"/>
                <w:spacing w:val="-2"/>
                <w:sz w:val="15"/>
              </w:rPr>
              <w:t>thrombocytopenia </w:t>
            </w:r>
            <w:r>
              <w:rPr>
                <w:color w:val="231F20"/>
                <w:spacing w:val="-4"/>
                <w:sz w:val="15"/>
              </w:rPr>
              <w:t>(1%)</w:t>
            </w:r>
          </w:p>
          <w:p>
            <w:pPr>
              <w:pStyle w:val="TableParagraph"/>
              <w:spacing w:line="173" w:lineRule="exact"/>
              <w:ind w:left="202"/>
              <w:rPr>
                <w:sz w:val="15"/>
              </w:rPr>
            </w:pPr>
            <w:r>
              <w:rPr>
                <w:color w:val="231F20"/>
                <w:spacing w:val="-2"/>
                <w:sz w:val="15"/>
              </w:rPr>
              <w:t>Transaminitis</w:t>
            </w:r>
          </w:p>
        </w:tc>
        <w:tc>
          <w:tcPr>
            <w:tcW w:w="2059" w:type="dxa"/>
            <w:vMerge/>
            <w:tcBorders>
              <w:top w:val="nil"/>
              <w:bottom w:val="single" w:sz="8" w:space="0" w:color="231F20"/>
            </w:tcBorders>
            <w:shd w:val="clear" w:color="auto" w:fill="E8F5F1"/>
          </w:tcPr>
          <w:p>
            <w:pPr>
              <w:rPr>
                <w:sz w:val="2"/>
                <w:szCs w:val="2"/>
              </w:rPr>
            </w:pPr>
          </w:p>
        </w:tc>
      </w:tr>
      <w:tr>
        <w:trPr>
          <w:trHeight w:val="862" w:hRule="atLeast"/>
        </w:trPr>
        <w:tc>
          <w:tcPr>
            <w:tcW w:w="1144" w:type="dxa"/>
            <w:tcBorders>
              <w:bottom w:val="single" w:sz="8" w:space="0" w:color="231F20"/>
            </w:tcBorders>
            <w:shd w:val="clear" w:color="auto" w:fill="E8F5F1"/>
          </w:tcPr>
          <w:p>
            <w:pPr>
              <w:pStyle w:val="TableParagraph"/>
              <w:spacing w:before="153"/>
              <w:ind w:left="74"/>
              <w:rPr>
                <w:sz w:val="15"/>
              </w:rPr>
            </w:pPr>
            <w:r>
              <w:rPr>
                <w:color w:val="231F20"/>
                <w:spacing w:val="-2"/>
                <w:sz w:val="15"/>
              </w:rPr>
              <w:t>Laquinimod</w:t>
            </w:r>
            <w:r>
              <w:rPr>
                <w:color w:val="0080AC"/>
                <w:spacing w:val="-2"/>
                <w:sz w:val="15"/>
                <w:vertAlign w:val="superscript"/>
              </w:rPr>
              <w:t>†</w:t>
            </w:r>
          </w:p>
        </w:tc>
        <w:tc>
          <w:tcPr>
            <w:tcW w:w="1784" w:type="dxa"/>
            <w:tcBorders>
              <w:bottom w:val="single" w:sz="8" w:space="0" w:color="231F20"/>
            </w:tcBorders>
            <w:shd w:val="clear" w:color="auto" w:fill="E8F5F1"/>
          </w:tcPr>
          <w:p>
            <w:pPr>
              <w:pStyle w:val="TableParagraph"/>
              <w:spacing w:before="153"/>
              <w:ind w:right="75"/>
              <w:jc w:val="right"/>
              <w:rPr>
                <w:sz w:val="15"/>
              </w:rPr>
            </w:pPr>
            <w:r>
              <w:rPr>
                <w:color w:val="231F20"/>
                <w:spacing w:val="-2"/>
                <w:sz w:val="15"/>
              </w:rPr>
              <w:t>Immunomodulator</w:t>
            </w:r>
          </w:p>
        </w:tc>
        <w:tc>
          <w:tcPr>
            <w:tcW w:w="2113" w:type="dxa"/>
            <w:vMerge/>
            <w:tcBorders>
              <w:top w:val="nil"/>
              <w:bottom w:val="single" w:sz="8" w:space="0" w:color="231F20"/>
            </w:tcBorders>
            <w:shd w:val="clear" w:color="auto" w:fill="E8F5F1"/>
          </w:tcPr>
          <w:p>
            <w:pPr>
              <w:rPr>
                <w:sz w:val="2"/>
                <w:szCs w:val="2"/>
              </w:rPr>
            </w:pPr>
          </w:p>
        </w:tc>
        <w:tc>
          <w:tcPr>
            <w:tcW w:w="2643" w:type="dxa"/>
            <w:vMerge/>
            <w:tcBorders>
              <w:top w:val="nil"/>
              <w:bottom w:val="single" w:sz="8" w:space="0" w:color="231F20"/>
            </w:tcBorders>
            <w:shd w:val="clear" w:color="auto" w:fill="E8F5F1"/>
          </w:tcPr>
          <w:p>
            <w:pPr>
              <w:rPr>
                <w:sz w:val="2"/>
                <w:szCs w:val="2"/>
              </w:rPr>
            </w:pPr>
          </w:p>
        </w:tc>
        <w:tc>
          <w:tcPr>
            <w:tcW w:w="2059" w:type="dxa"/>
            <w:vMerge/>
            <w:tcBorders>
              <w:top w:val="nil"/>
              <w:bottom w:val="single" w:sz="8" w:space="0" w:color="231F20"/>
            </w:tcBorders>
            <w:shd w:val="clear" w:color="auto" w:fill="E8F5F1"/>
          </w:tcPr>
          <w:p>
            <w:pPr>
              <w:rPr>
                <w:sz w:val="2"/>
                <w:szCs w:val="2"/>
              </w:rPr>
            </w:pPr>
          </w:p>
        </w:tc>
      </w:tr>
    </w:tbl>
    <w:p>
      <w:pPr>
        <w:pStyle w:val="BodyText"/>
        <w:spacing w:line="150" w:lineRule="exact" w:before="81"/>
        <w:ind w:left="822"/>
      </w:pPr>
      <w:r>
        <w:rPr>
          <w:color w:val="231F20"/>
        </w:rPr>
        <w:t>*FDA</w:t>
      </w:r>
      <w:r>
        <w:rPr>
          <w:color w:val="231F20"/>
          <w:spacing w:val="2"/>
        </w:rPr>
        <w:t> </w:t>
      </w:r>
      <w:r>
        <w:rPr>
          <w:color w:val="231F20"/>
        </w:rPr>
        <w:t>approved</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treatment</w:t>
      </w:r>
      <w:r>
        <w:rPr>
          <w:color w:val="231F20"/>
          <w:spacing w:val="3"/>
        </w:rPr>
        <w:t> </w:t>
      </w:r>
      <w:r>
        <w:rPr>
          <w:color w:val="231F20"/>
        </w:rPr>
        <w:t>of</w:t>
      </w:r>
      <w:r>
        <w:rPr>
          <w:color w:val="231F20"/>
          <w:spacing w:val="2"/>
        </w:rPr>
        <w:t> </w:t>
      </w:r>
      <w:r>
        <w:rPr>
          <w:color w:val="231F20"/>
        </w:rPr>
        <w:t>adult</w:t>
      </w:r>
      <w:r>
        <w:rPr>
          <w:color w:val="231F20"/>
          <w:spacing w:val="2"/>
        </w:rPr>
        <w:t> </w:t>
      </w:r>
      <w:r>
        <w:rPr>
          <w:color w:val="231F20"/>
          <w:spacing w:val="-5"/>
        </w:rPr>
        <w:t>MS.</w:t>
      </w:r>
    </w:p>
    <w:p>
      <w:pPr>
        <w:pStyle w:val="BodyText"/>
        <w:spacing w:line="149" w:lineRule="exact"/>
        <w:ind w:left="953"/>
      </w:pPr>
      <w:r>
        <w:rPr>
          <w:color w:val="231F20"/>
          <w:vertAlign w:val="superscript"/>
        </w:rPr>
        <w:t>†</w:t>
      </w:r>
      <w:r>
        <w:rPr>
          <w:color w:val="231F20"/>
          <w:vertAlign w:val="baseline"/>
        </w:rPr>
        <w:t>Orally</w:t>
      </w:r>
      <w:r>
        <w:rPr>
          <w:color w:val="231F20"/>
          <w:spacing w:val="-5"/>
          <w:vertAlign w:val="baseline"/>
        </w:rPr>
        <w:t> </w:t>
      </w:r>
      <w:r>
        <w:rPr>
          <w:color w:val="231F20"/>
          <w:vertAlign w:val="baseline"/>
        </w:rPr>
        <w:t>administered</w:t>
      </w:r>
      <w:r>
        <w:rPr>
          <w:color w:val="231F20"/>
          <w:spacing w:val="-5"/>
          <w:vertAlign w:val="baseline"/>
        </w:rPr>
        <w:t> </w:t>
      </w:r>
      <w:r>
        <w:rPr>
          <w:color w:val="231F20"/>
          <w:spacing w:val="-2"/>
          <w:vertAlign w:val="baseline"/>
        </w:rPr>
        <w:t>therapy.</w:t>
      </w:r>
    </w:p>
    <w:p>
      <w:pPr>
        <w:pStyle w:val="BodyText"/>
        <w:spacing w:line="150" w:lineRule="exact"/>
        <w:ind w:left="953"/>
      </w:pPr>
      <w:r>
        <w:rPr>
          <w:color w:val="231F20"/>
        </w:rPr>
        <w:t>CNS,</w:t>
      </w:r>
      <w:r>
        <w:rPr>
          <w:color w:val="231F20"/>
          <w:spacing w:val="-3"/>
        </w:rPr>
        <w:t> </w:t>
      </w:r>
      <w:r>
        <w:rPr>
          <w:color w:val="231F20"/>
        </w:rPr>
        <w:t>central</w:t>
      </w:r>
      <w:r>
        <w:rPr>
          <w:color w:val="231F20"/>
          <w:spacing w:val="-2"/>
        </w:rPr>
        <w:t> </w:t>
      </w:r>
      <w:r>
        <w:rPr>
          <w:color w:val="231F20"/>
        </w:rPr>
        <w:t>nervous</w:t>
      </w:r>
      <w:r>
        <w:rPr>
          <w:color w:val="231F20"/>
          <w:spacing w:val="-3"/>
        </w:rPr>
        <w:t> </w:t>
      </w:r>
      <w:r>
        <w:rPr>
          <w:color w:val="231F20"/>
        </w:rPr>
        <w:t>system;</w:t>
      </w:r>
      <w:r>
        <w:rPr>
          <w:color w:val="231F20"/>
          <w:spacing w:val="-2"/>
        </w:rPr>
        <w:t> </w:t>
      </w:r>
      <w:r>
        <w:rPr>
          <w:color w:val="231F20"/>
        </w:rPr>
        <w:t>MS,</w:t>
      </w:r>
      <w:r>
        <w:rPr>
          <w:color w:val="231F20"/>
          <w:spacing w:val="-3"/>
        </w:rPr>
        <w:t> </w:t>
      </w:r>
      <w:r>
        <w:rPr>
          <w:color w:val="231F20"/>
        </w:rPr>
        <w:t>multiple</w:t>
      </w:r>
      <w:r>
        <w:rPr>
          <w:color w:val="231F20"/>
          <w:spacing w:val="-2"/>
        </w:rPr>
        <w:t> </w:t>
      </w:r>
      <w:r>
        <w:rPr>
          <w:color w:val="231F20"/>
        </w:rPr>
        <w:t>sclerosis;</w:t>
      </w:r>
      <w:r>
        <w:rPr>
          <w:color w:val="231F20"/>
          <w:spacing w:val="-3"/>
        </w:rPr>
        <w:t> </w:t>
      </w:r>
      <w:r>
        <w:rPr>
          <w:color w:val="231F20"/>
        </w:rPr>
        <w:t>PML,</w:t>
      </w:r>
      <w:r>
        <w:rPr>
          <w:color w:val="231F20"/>
          <w:spacing w:val="-2"/>
        </w:rPr>
        <w:t> </w:t>
      </w:r>
      <w:r>
        <w:rPr>
          <w:color w:val="231F20"/>
        </w:rPr>
        <w:t>progressive</w:t>
      </w:r>
      <w:r>
        <w:rPr>
          <w:color w:val="231F20"/>
          <w:spacing w:val="-3"/>
        </w:rPr>
        <w:t> </w:t>
      </w:r>
      <w:r>
        <w:rPr>
          <w:color w:val="231F20"/>
        </w:rPr>
        <w:t>multifocal</w:t>
      </w:r>
      <w:r>
        <w:rPr>
          <w:color w:val="231F20"/>
          <w:spacing w:val="-2"/>
        </w:rPr>
        <w:t> leukoencephalopathy.</w:t>
      </w:r>
    </w:p>
    <w:p>
      <w:pPr>
        <w:pStyle w:val="BodyText"/>
        <w:spacing w:after="0" w:line="150" w:lineRule="exact"/>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710"/>
        <w:rPr>
          <w:sz w:val="20"/>
        </w:rPr>
      </w:pPr>
      <w:r>
        <w:rPr>
          <w:sz w:val="20"/>
        </w:rPr>
        <mc:AlternateContent>
          <mc:Choice Requires="wps">
            <w:drawing>
              <wp:inline distT="0" distB="0" distL="0" distR="0">
                <wp:extent cx="6185535" cy="170815"/>
                <wp:effectExtent l="76200" t="0" r="5714" b="635"/>
                <wp:docPr id="901" name="Group 901"/>
                <wp:cNvGraphicFramePr>
                  <a:graphicFrameLocks/>
                </wp:cNvGraphicFramePr>
                <a:graphic>
                  <a:graphicData uri="http://schemas.microsoft.com/office/word/2010/wordprocessingGroup">
                    <wpg:wgp>
                      <wpg:cNvPr id="901" name="Group 901"/>
                      <wpg:cNvGrpSpPr/>
                      <wpg:grpSpPr>
                        <a:xfrm>
                          <a:off x="0" y="0"/>
                          <a:ext cx="6185535" cy="170815"/>
                          <a:chExt cx="6185535" cy="170815"/>
                        </a:xfrm>
                      </wpg:grpSpPr>
                      <wps:wsp>
                        <wps:cNvPr id="902" name="Graphic 902"/>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903" name="Graphic 903"/>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904" name="Textbox 904"/>
                        <wps:cNvSpPr txBox="1"/>
                        <wps:spPr>
                          <a:xfrm>
                            <a:off x="0" y="0"/>
                            <a:ext cx="6185535" cy="170815"/>
                          </a:xfrm>
                          <a:prstGeom prst="rect">
                            <a:avLst/>
                          </a:prstGeom>
                        </wps:spPr>
                        <wps:txbx>
                          <w:txbxContent>
                            <w:p>
                              <w:pPr>
                                <w:spacing w:before="6"/>
                                <w:ind w:left="6346" w:right="-15" w:firstLine="0"/>
                                <w:jc w:val="left"/>
                                <w:rPr>
                                  <w:b/>
                                  <w:sz w:val="18"/>
                                </w:rPr>
                              </w:pPr>
                              <w:r>
                                <w:rPr>
                                  <w:b/>
                                  <w:color w:val="007431"/>
                                  <w:w w:val="105"/>
                                  <w:sz w:val="18"/>
                                </w:rPr>
                                <w:t>Chapter</w:t>
                              </w:r>
                              <w:r>
                                <w:rPr>
                                  <w:b/>
                                  <w:color w:val="007431"/>
                                  <w:spacing w:val="6"/>
                                  <w:w w:val="105"/>
                                  <w:sz w:val="18"/>
                                </w:rPr>
                                <w:t> </w:t>
                              </w:r>
                              <w:r>
                                <w:rPr>
                                  <w:b/>
                                  <w:color w:val="007431"/>
                                  <w:w w:val="105"/>
                                  <w:sz w:val="18"/>
                                </w:rPr>
                                <w:t>601</w:t>
                              </w:r>
                              <w:r>
                                <w:rPr>
                                  <w:b/>
                                  <w:color w:val="007431"/>
                                  <w:spacing w:val="31"/>
                                  <w:w w:val="105"/>
                                  <w:sz w:val="18"/>
                                </w:rPr>
                                <w:t> </w:t>
                              </w:r>
                              <w:r>
                                <w:rPr>
                                  <w:rFonts w:ascii="Lucida Sans Unicode" w:hAnsi="Lucida Sans Unicode"/>
                                  <w:color w:val="659F6F"/>
                                  <w:w w:val="105"/>
                                  <w:sz w:val="15"/>
                                </w:rPr>
                                <w:t>◆</w:t>
                              </w:r>
                              <w:r>
                                <w:rPr>
                                  <w:rFonts w:ascii="Lucida Sans Unicode" w:hAnsi="Lucida Sans Unicode"/>
                                  <w:color w:val="659F6F"/>
                                  <w:spacing w:val="38"/>
                                  <w:w w:val="105"/>
                                  <w:sz w:val="15"/>
                                </w:rPr>
                                <w:t> </w:t>
                              </w:r>
                              <w:r>
                                <w:rPr>
                                  <w:color w:val="231F20"/>
                                  <w:w w:val="105"/>
                                  <w:sz w:val="18"/>
                                </w:rPr>
                                <w:t>Pediatric</w:t>
                              </w:r>
                              <w:r>
                                <w:rPr>
                                  <w:color w:val="231F20"/>
                                  <w:spacing w:val="3"/>
                                  <w:w w:val="105"/>
                                  <w:sz w:val="18"/>
                                </w:rPr>
                                <w:t> </w:t>
                              </w:r>
                              <w:r>
                                <w:rPr>
                                  <w:color w:val="231F20"/>
                                  <w:w w:val="105"/>
                                  <w:sz w:val="18"/>
                                </w:rPr>
                                <w:t>Stroke</w:t>
                              </w:r>
                              <w:r>
                                <w:rPr>
                                  <w:color w:val="231F20"/>
                                  <w:spacing w:val="31"/>
                                  <w:w w:val="105"/>
                                  <w:sz w:val="18"/>
                                </w:rPr>
                                <w:t>  </w:t>
                              </w:r>
                              <w:r>
                                <w:rPr>
                                  <w:b/>
                                  <w:color w:val="231F20"/>
                                  <w:spacing w:val="-4"/>
                                  <w:w w:val="105"/>
                                  <w:sz w:val="18"/>
                                </w:rPr>
                                <w:t>2927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32"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733" filled="false" stroked="false">
                  <v:textbox inset="0,0,0,0">
                    <w:txbxContent>
                      <w:p>
                        <w:pPr>
                          <w:spacing w:before="6"/>
                          <w:ind w:left="6346" w:right="-15" w:firstLine="0"/>
                          <w:jc w:val="left"/>
                          <w:rPr>
                            <w:b/>
                            <w:sz w:val="18"/>
                          </w:rPr>
                        </w:pPr>
                        <w:r>
                          <w:rPr>
                            <w:b/>
                            <w:color w:val="007431"/>
                            <w:w w:val="105"/>
                            <w:sz w:val="18"/>
                          </w:rPr>
                          <w:t>Chapter</w:t>
                        </w:r>
                        <w:r>
                          <w:rPr>
                            <w:b/>
                            <w:color w:val="007431"/>
                            <w:spacing w:val="6"/>
                            <w:w w:val="105"/>
                            <w:sz w:val="18"/>
                          </w:rPr>
                          <w:t> </w:t>
                        </w:r>
                        <w:r>
                          <w:rPr>
                            <w:b/>
                            <w:color w:val="007431"/>
                            <w:w w:val="105"/>
                            <w:sz w:val="18"/>
                          </w:rPr>
                          <w:t>601</w:t>
                        </w:r>
                        <w:r>
                          <w:rPr>
                            <w:b/>
                            <w:color w:val="007431"/>
                            <w:spacing w:val="31"/>
                            <w:w w:val="105"/>
                            <w:sz w:val="18"/>
                          </w:rPr>
                          <w:t> </w:t>
                        </w:r>
                        <w:r>
                          <w:rPr>
                            <w:rFonts w:ascii="Lucida Sans Unicode" w:hAnsi="Lucida Sans Unicode"/>
                            <w:color w:val="659F6F"/>
                            <w:w w:val="105"/>
                            <w:sz w:val="15"/>
                          </w:rPr>
                          <w:t>◆</w:t>
                        </w:r>
                        <w:r>
                          <w:rPr>
                            <w:rFonts w:ascii="Lucida Sans Unicode" w:hAnsi="Lucida Sans Unicode"/>
                            <w:color w:val="659F6F"/>
                            <w:spacing w:val="38"/>
                            <w:w w:val="105"/>
                            <w:sz w:val="15"/>
                          </w:rPr>
                          <w:t> </w:t>
                        </w:r>
                        <w:r>
                          <w:rPr>
                            <w:color w:val="231F20"/>
                            <w:w w:val="105"/>
                            <w:sz w:val="18"/>
                          </w:rPr>
                          <w:t>Pediatric</w:t>
                        </w:r>
                        <w:r>
                          <w:rPr>
                            <w:color w:val="231F20"/>
                            <w:spacing w:val="3"/>
                            <w:w w:val="105"/>
                            <w:sz w:val="18"/>
                          </w:rPr>
                          <w:t> </w:t>
                        </w:r>
                        <w:r>
                          <w:rPr>
                            <w:color w:val="231F20"/>
                            <w:w w:val="105"/>
                            <w:sz w:val="18"/>
                          </w:rPr>
                          <w:t>Stroke</w:t>
                        </w:r>
                        <w:r>
                          <w:rPr>
                            <w:color w:val="231F20"/>
                            <w:spacing w:val="31"/>
                            <w:w w:val="105"/>
                            <w:sz w:val="18"/>
                          </w:rPr>
                          <w:t>  </w:t>
                        </w:r>
                        <w:r>
                          <w:rPr>
                            <w:b/>
                            <w:color w:val="231F20"/>
                            <w:spacing w:val="-4"/>
                            <w:w w:val="105"/>
                            <w:sz w:val="18"/>
                          </w:rPr>
                          <w:t>2927</w:t>
                        </w:r>
                      </w:p>
                    </w:txbxContent>
                  </v:textbox>
                  <w10:wrap type="none"/>
                </v:shape>
              </v:group>
            </w:pict>
          </mc:Fallback>
        </mc:AlternateContent>
      </w:r>
      <w:r>
        <w:rPr>
          <w:sz w:val="20"/>
        </w:rPr>
      </w:r>
    </w:p>
    <w:p>
      <w:pPr>
        <w:pStyle w:val="BodyText"/>
        <w:spacing w:before="11"/>
        <w:rPr>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8"/>
        <w:gridCol w:w="8182"/>
      </w:tblGrid>
      <w:tr>
        <w:trPr>
          <w:trHeight w:val="373" w:hRule="atLeast"/>
        </w:trPr>
        <w:tc>
          <w:tcPr>
            <w:tcW w:w="1558"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601-1</w:t>
            </w:r>
            <w:r>
              <w:rPr>
                <w:b/>
                <w:color w:val="FFFFFF"/>
                <w:spacing w:val="32"/>
                <w:w w:val="105"/>
                <w:sz w:val="16"/>
              </w:rPr>
              <w:t>  </w:t>
            </w:r>
            <w:r>
              <w:rPr>
                <w:color w:val="FFFFFF"/>
                <w:spacing w:val="-4"/>
                <w:w w:val="105"/>
                <w:sz w:val="16"/>
              </w:rPr>
              <w:t>Risk</w:t>
            </w:r>
          </w:p>
        </w:tc>
        <w:tc>
          <w:tcPr>
            <w:tcW w:w="8182" w:type="dxa"/>
            <w:shd w:val="clear" w:color="auto" w:fill="231F20"/>
          </w:tcPr>
          <w:p>
            <w:pPr>
              <w:pStyle w:val="TableParagraph"/>
              <w:spacing w:before="89"/>
              <w:ind w:left="28"/>
              <w:rPr>
                <w:sz w:val="16"/>
              </w:rPr>
            </w:pPr>
            <w:r>
              <w:rPr>
                <w:color w:val="FFFFFF"/>
                <w:w w:val="105"/>
                <w:sz w:val="16"/>
              </w:rPr>
              <w:t>Factors</w:t>
            </w:r>
            <w:r>
              <w:rPr>
                <w:color w:val="FFFFFF"/>
                <w:spacing w:val="-1"/>
                <w:w w:val="105"/>
                <w:sz w:val="16"/>
              </w:rPr>
              <w:t> </w:t>
            </w:r>
            <w:r>
              <w:rPr>
                <w:color w:val="FFFFFF"/>
                <w:w w:val="105"/>
                <w:sz w:val="16"/>
              </w:rPr>
              <w:t>for</w:t>
            </w:r>
            <w:r>
              <w:rPr>
                <w:color w:val="FFFFFF"/>
                <w:spacing w:val="-1"/>
                <w:w w:val="105"/>
                <w:sz w:val="16"/>
              </w:rPr>
              <w:t> </w:t>
            </w:r>
            <w:r>
              <w:rPr>
                <w:color w:val="FFFFFF"/>
                <w:w w:val="105"/>
                <w:sz w:val="16"/>
              </w:rPr>
              <w:t>Arterial</w:t>
            </w:r>
            <w:r>
              <w:rPr>
                <w:color w:val="FFFFFF"/>
                <w:spacing w:val="-1"/>
                <w:w w:val="105"/>
                <w:sz w:val="16"/>
              </w:rPr>
              <w:t> </w:t>
            </w:r>
            <w:r>
              <w:rPr>
                <w:color w:val="FFFFFF"/>
                <w:w w:val="105"/>
                <w:sz w:val="16"/>
              </w:rPr>
              <w:t>Ischemic Stroke</w:t>
            </w:r>
            <w:r>
              <w:rPr>
                <w:color w:val="FFFFFF"/>
                <w:spacing w:val="-1"/>
                <w:w w:val="105"/>
                <w:sz w:val="16"/>
              </w:rPr>
              <w:t> </w:t>
            </w:r>
            <w:r>
              <w:rPr>
                <w:color w:val="FFFFFF"/>
                <w:w w:val="105"/>
                <w:sz w:val="16"/>
              </w:rPr>
              <w:t>in</w:t>
            </w:r>
            <w:r>
              <w:rPr>
                <w:color w:val="FFFFFF"/>
                <w:spacing w:val="-1"/>
                <w:w w:val="105"/>
                <w:sz w:val="16"/>
              </w:rPr>
              <w:t> </w:t>
            </w:r>
            <w:r>
              <w:rPr>
                <w:color w:val="FFFFFF"/>
                <w:spacing w:val="-2"/>
                <w:w w:val="105"/>
                <w:sz w:val="16"/>
              </w:rPr>
              <w:t>Children</w:t>
            </w:r>
          </w:p>
        </w:tc>
      </w:tr>
      <w:tr>
        <w:trPr>
          <w:trHeight w:val="257" w:hRule="atLeast"/>
        </w:trPr>
        <w:tc>
          <w:tcPr>
            <w:tcW w:w="1558" w:type="dxa"/>
            <w:tcBorders>
              <w:bottom w:val="single" w:sz="4" w:space="0" w:color="231F20"/>
            </w:tcBorders>
            <w:shd w:val="clear" w:color="auto" w:fill="E8F5F1"/>
          </w:tcPr>
          <w:p>
            <w:pPr>
              <w:pStyle w:val="TableParagraph"/>
              <w:spacing w:before="47"/>
              <w:ind w:left="74"/>
              <w:rPr>
                <w:b/>
                <w:sz w:val="15"/>
              </w:rPr>
            </w:pPr>
            <w:r>
              <w:rPr>
                <w:b/>
                <w:color w:val="231F20"/>
                <w:w w:val="110"/>
                <w:sz w:val="15"/>
              </w:rPr>
              <w:t>MAJOR</w:t>
            </w:r>
            <w:r>
              <w:rPr>
                <w:b/>
                <w:color w:val="231F20"/>
                <w:spacing w:val="15"/>
                <w:w w:val="110"/>
                <w:sz w:val="15"/>
              </w:rPr>
              <w:t> </w:t>
            </w:r>
            <w:r>
              <w:rPr>
                <w:b/>
                <w:color w:val="231F20"/>
                <w:spacing w:val="-2"/>
                <w:w w:val="110"/>
                <w:sz w:val="15"/>
              </w:rPr>
              <w:t>CATEGORY</w:t>
            </w:r>
          </w:p>
        </w:tc>
        <w:tc>
          <w:tcPr>
            <w:tcW w:w="8182" w:type="dxa"/>
            <w:tcBorders>
              <w:bottom w:val="single" w:sz="4" w:space="0" w:color="231F20"/>
            </w:tcBorders>
            <w:shd w:val="clear" w:color="auto" w:fill="E8F5F1"/>
          </w:tcPr>
          <w:p>
            <w:pPr>
              <w:pStyle w:val="TableParagraph"/>
              <w:spacing w:before="47"/>
              <w:ind w:left="502"/>
              <w:jc w:val="center"/>
              <w:rPr>
                <w:b/>
                <w:sz w:val="15"/>
              </w:rPr>
            </w:pPr>
            <w:r>
              <w:rPr>
                <w:b/>
                <w:color w:val="231F20"/>
                <w:spacing w:val="-2"/>
                <w:w w:val="110"/>
                <w:sz w:val="15"/>
              </w:rPr>
              <w:t>EXAMPLES</w:t>
            </w:r>
          </w:p>
        </w:tc>
      </w:tr>
      <w:tr>
        <w:trPr>
          <w:trHeight w:val="1936" w:hRule="atLeast"/>
        </w:trPr>
        <w:tc>
          <w:tcPr>
            <w:tcW w:w="155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Arteriopathy</w:t>
            </w:r>
          </w:p>
        </w:tc>
        <w:tc>
          <w:tcPr>
            <w:tcW w:w="8182" w:type="dxa"/>
            <w:tcBorders>
              <w:top w:val="single" w:sz="4" w:space="0" w:color="231F20"/>
              <w:bottom w:val="single" w:sz="4" w:space="0" w:color="FFFFFF"/>
            </w:tcBorders>
            <w:shd w:val="clear" w:color="auto" w:fill="E8F5F1"/>
          </w:tcPr>
          <w:p>
            <w:pPr>
              <w:pStyle w:val="TableParagraph"/>
              <w:spacing w:line="230" w:lineRule="auto" w:before="52"/>
              <w:ind w:left="688" w:hanging="112"/>
              <w:rPr>
                <w:sz w:val="15"/>
              </w:rPr>
            </w:pPr>
            <w:r>
              <w:rPr>
                <w:color w:val="231F20"/>
                <w:spacing w:val="-2"/>
                <w:sz w:val="15"/>
              </w:rPr>
              <w:t>Transient cerebral arteriopathy (TCA) (synonyms: childhood primary angiitis of the central nervous </w:t>
            </w:r>
            <w:r>
              <w:rPr>
                <w:color w:val="231F20"/>
                <w:spacing w:val="-2"/>
                <w:sz w:val="15"/>
              </w:rPr>
              <w:t>system </w:t>
            </w:r>
            <w:r>
              <w:rPr>
                <w:color w:val="231F20"/>
                <w:sz w:val="15"/>
              </w:rPr>
              <w:t>[cPACNS]; focal cerebral arteriopathy [FCA])</w:t>
            </w:r>
          </w:p>
          <w:p>
            <w:pPr>
              <w:pStyle w:val="TableParagraph"/>
              <w:spacing w:line="230" w:lineRule="auto" w:before="2"/>
              <w:ind w:left="576" w:right="3687"/>
              <w:rPr>
                <w:sz w:val="15"/>
              </w:rPr>
            </w:pPr>
            <w:r>
              <w:rPr>
                <w:color w:val="231F20"/>
                <w:sz w:val="15"/>
              </w:rPr>
              <w:t>Postvaricella and other viruses angiopathy (PVA) </w:t>
            </w:r>
            <w:r>
              <w:rPr>
                <w:color w:val="231F20"/>
                <w:spacing w:val="-4"/>
                <w:sz w:val="15"/>
              </w:rPr>
              <w:t>Systemic/secondary vasculitis (e.g., Takayasu </w:t>
            </w:r>
            <w:r>
              <w:rPr>
                <w:color w:val="231F20"/>
                <w:spacing w:val="-4"/>
                <w:sz w:val="15"/>
              </w:rPr>
              <w:t>arteritis) </w:t>
            </w:r>
            <w:r>
              <w:rPr>
                <w:color w:val="231F20"/>
                <w:sz w:val="15"/>
              </w:rPr>
              <w:t>Moyamoya disease/syndrome</w:t>
            </w:r>
          </w:p>
          <w:p>
            <w:pPr>
              <w:pStyle w:val="TableParagraph"/>
              <w:spacing w:line="230" w:lineRule="auto" w:before="2"/>
              <w:ind w:left="576" w:right="3687"/>
              <w:rPr>
                <w:sz w:val="15"/>
              </w:rPr>
            </w:pPr>
            <w:r>
              <w:rPr>
                <w:color w:val="231F20"/>
                <w:spacing w:val="-4"/>
                <w:sz w:val="15"/>
              </w:rPr>
              <w:t>Arterial infection (e.g., bacterial meningitis, </w:t>
            </w:r>
            <w:r>
              <w:rPr>
                <w:color w:val="231F20"/>
                <w:spacing w:val="-4"/>
                <w:sz w:val="15"/>
              </w:rPr>
              <w:t>tuberculosis) </w:t>
            </w:r>
            <w:r>
              <w:rPr>
                <w:color w:val="231F20"/>
                <w:sz w:val="15"/>
              </w:rPr>
              <w:t>Fibromuscular dysplasia</w:t>
            </w:r>
          </w:p>
          <w:p>
            <w:pPr>
              <w:pStyle w:val="TableParagraph"/>
              <w:spacing w:line="230" w:lineRule="auto" w:before="1"/>
              <w:ind w:left="576" w:right="3164"/>
              <w:rPr>
                <w:sz w:val="15"/>
              </w:rPr>
            </w:pPr>
            <w:r>
              <w:rPr>
                <w:color w:val="231F20"/>
                <w:spacing w:val="-2"/>
                <w:sz w:val="15"/>
              </w:rPr>
              <w:t>Traumatic or spontaneous carotid or vertebral artery </w:t>
            </w:r>
            <w:r>
              <w:rPr>
                <w:color w:val="231F20"/>
                <w:spacing w:val="-2"/>
                <w:sz w:val="15"/>
              </w:rPr>
              <w:t>dissection </w:t>
            </w:r>
            <w:r>
              <w:rPr>
                <w:color w:val="231F20"/>
                <w:sz w:val="15"/>
              </w:rPr>
              <w:t>Vasospasm (e.g., Call-Fleming syndrome)</w:t>
            </w:r>
          </w:p>
          <w:p>
            <w:pPr>
              <w:pStyle w:val="TableParagraph"/>
              <w:spacing w:line="167" w:lineRule="exact"/>
              <w:ind w:left="576"/>
              <w:rPr>
                <w:sz w:val="15"/>
              </w:rPr>
            </w:pPr>
            <w:r>
              <w:rPr>
                <w:color w:val="231F20"/>
                <w:sz w:val="15"/>
              </w:rPr>
              <w:t>Migraine</w:t>
            </w:r>
            <w:r>
              <w:rPr>
                <w:color w:val="231F20"/>
                <w:spacing w:val="1"/>
                <w:sz w:val="15"/>
              </w:rPr>
              <w:t> </w:t>
            </w:r>
            <w:r>
              <w:rPr>
                <w:color w:val="231F20"/>
                <w:sz w:val="15"/>
              </w:rPr>
              <w:t>(migrainous</w:t>
            </w:r>
            <w:r>
              <w:rPr>
                <w:color w:val="231F20"/>
                <w:spacing w:val="2"/>
                <w:sz w:val="15"/>
              </w:rPr>
              <w:t> </w:t>
            </w:r>
            <w:r>
              <w:rPr>
                <w:color w:val="231F20"/>
                <w:spacing w:val="-2"/>
                <w:sz w:val="15"/>
              </w:rPr>
              <w:t>infarction?)</w:t>
            </w:r>
          </w:p>
          <w:p>
            <w:pPr>
              <w:pStyle w:val="TableParagraph"/>
              <w:spacing w:line="171" w:lineRule="exact"/>
              <w:ind w:left="576"/>
              <w:rPr>
                <w:sz w:val="15"/>
              </w:rPr>
            </w:pPr>
            <w:r>
              <w:rPr>
                <w:color w:val="231F20"/>
                <w:sz w:val="15"/>
              </w:rPr>
              <w:t>Congenital</w:t>
            </w:r>
            <w:r>
              <w:rPr>
                <w:color w:val="231F20"/>
                <w:spacing w:val="-4"/>
                <w:sz w:val="15"/>
              </w:rPr>
              <w:t> </w:t>
            </w:r>
            <w:r>
              <w:rPr>
                <w:color w:val="231F20"/>
                <w:sz w:val="15"/>
              </w:rPr>
              <w:t>arterial</w:t>
            </w:r>
            <w:r>
              <w:rPr>
                <w:color w:val="231F20"/>
                <w:spacing w:val="-4"/>
                <w:sz w:val="15"/>
              </w:rPr>
              <w:t> </w:t>
            </w:r>
            <w:r>
              <w:rPr>
                <w:color w:val="231F20"/>
                <w:sz w:val="15"/>
              </w:rPr>
              <w:t>hypoplasia</w:t>
            </w:r>
            <w:r>
              <w:rPr>
                <w:color w:val="231F20"/>
                <w:spacing w:val="-4"/>
                <w:sz w:val="15"/>
              </w:rPr>
              <w:t> </w:t>
            </w:r>
            <w:r>
              <w:rPr>
                <w:color w:val="231F20"/>
                <w:sz w:val="15"/>
              </w:rPr>
              <w:t>(e.g.,</w:t>
            </w:r>
            <w:r>
              <w:rPr>
                <w:color w:val="231F20"/>
                <w:spacing w:val="-3"/>
                <w:sz w:val="15"/>
              </w:rPr>
              <w:t> </w:t>
            </w:r>
            <w:r>
              <w:rPr>
                <w:color w:val="231F20"/>
                <w:sz w:val="15"/>
              </w:rPr>
              <w:t>PHACES</w:t>
            </w:r>
            <w:r>
              <w:rPr>
                <w:color w:val="231F20"/>
                <w:spacing w:val="-4"/>
                <w:sz w:val="15"/>
              </w:rPr>
              <w:t> </w:t>
            </w:r>
            <w:r>
              <w:rPr>
                <w:color w:val="231F20"/>
                <w:spacing w:val="-2"/>
                <w:sz w:val="15"/>
              </w:rPr>
              <w:t>syndrome)</w:t>
            </w:r>
          </w:p>
        </w:tc>
      </w:tr>
      <w:tr>
        <w:trPr>
          <w:trHeight w:val="1767" w:hRule="atLeast"/>
        </w:trPr>
        <w:tc>
          <w:tcPr>
            <w:tcW w:w="155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Cardiac</w:t>
            </w:r>
          </w:p>
        </w:tc>
        <w:tc>
          <w:tcPr>
            <w:tcW w:w="8182" w:type="dxa"/>
            <w:tcBorders>
              <w:top w:val="single" w:sz="4" w:space="0" w:color="FFFFFF"/>
              <w:bottom w:val="single" w:sz="4" w:space="0" w:color="FFFFFF"/>
            </w:tcBorders>
            <w:shd w:val="clear" w:color="auto" w:fill="E8F5F1"/>
          </w:tcPr>
          <w:p>
            <w:pPr>
              <w:pStyle w:val="TableParagraph"/>
              <w:spacing w:line="211" w:lineRule="auto" w:before="41"/>
              <w:ind w:left="576" w:right="3164"/>
              <w:rPr>
                <w:sz w:val="15"/>
              </w:rPr>
            </w:pPr>
            <w:r>
              <w:rPr>
                <w:color w:val="231F20"/>
                <w:sz w:val="15"/>
              </w:rPr>
              <w:t>Complex congenital heart diseases (cyanotic </w:t>
            </w:r>
            <w:r>
              <w:rPr>
                <w:rFonts w:ascii="Lucida Sans Unicode" w:hAnsi="Lucida Sans Unicode"/>
                <w:color w:val="231F20"/>
                <w:sz w:val="15"/>
              </w:rPr>
              <w:t>≫ </w:t>
            </w:r>
            <w:r>
              <w:rPr>
                <w:color w:val="231F20"/>
                <w:sz w:val="15"/>
              </w:rPr>
              <w:t>acyanotic) </w:t>
            </w:r>
            <w:r>
              <w:rPr>
                <w:color w:val="231F20"/>
                <w:spacing w:val="-2"/>
                <w:sz w:val="15"/>
              </w:rPr>
              <w:t>Cardiac</w:t>
            </w:r>
            <w:r>
              <w:rPr>
                <w:color w:val="231F20"/>
                <w:spacing w:val="-10"/>
                <w:sz w:val="15"/>
              </w:rPr>
              <w:t> </w:t>
            </w:r>
            <w:r>
              <w:rPr>
                <w:color w:val="231F20"/>
                <w:spacing w:val="-2"/>
                <w:sz w:val="15"/>
              </w:rPr>
              <w:t>catheterization/procedure</w:t>
            </w:r>
            <w:r>
              <w:rPr>
                <w:color w:val="231F20"/>
                <w:spacing w:val="-9"/>
                <w:sz w:val="15"/>
              </w:rPr>
              <w:t> </w:t>
            </w:r>
            <w:r>
              <w:rPr>
                <w:color w:val="231F20"/>
                <w:spacing w:val="-2"/>
                <w:sz w:val="15"/>
              </w:rPr>
              <w:t>(e.g.,</w:t>
            </w:r>
            <w:r>
              <w:rPr>
                <w:color w:val="231F20"/>
                <w:spacing w:val="-9"/>
                <w:sz w:val="15"/>
              </w:rPr>
              <w:t> </w:t>
            </w:r>
            <w:r>
              <w:rPr>
                <w:color w:val="231F20"/>
                <w:spacing w:val="-2"/>
                <w:sz w:val="15"/>
              </w:rPr>
              <w:t>balloon</w:t>
            </w:r>
            <w:r>
              <w:rPr>
                <w:color w:val="231F20"/>
                <w:spacing w:val="-10"/>
                <w:sz w:val="15"/>
              </w:rPr>
              <w:t> </w:t>
            </w:r>
            <w:r>
              <w:rPr>
                <w:color w:val="231F20"/>
                <w:spacing w:val="-2"/>
                <w:sz w:val="15"/>
              </w:rPr>
              <w:t>atrial</w:t>
            </w:r>
            <w:r>
              <w:rPr>
                <w:color w:val="231F20"/>
                <w:spacing w:val="-9"/>
                <w:sz w:val="15"/>
              </w:rPr>
              <w:t> </w:t>
            </w:r>
            <w:r>
              <w:rPr>
                <w:color w:val="231F20"/>
                <w:spacing w:val="-2"/>
                <w:sz w:val="15"/>
              </w:rPr>
              <w:t>septostomy) </w:t>
            </w:r>
            <w:r>
              <w:rPr>
                <w:color w:val="231F20"/>
                <w:sz w:val="15"/>
              </w:rPr>
              <w:t>Ventricular assistive device use</w:t>
            </w:r>
          </w:p>
          <w:p>
            <w:pPr>
              <w:pStyle w:val="TableParagraph"/>
              <w:spacing w:line="230" w:lineRule="auto" w:before="4"/>
              <w:ind w:left="576" w:right="6556"/>
              <w:rPr>
                <w:sz w:val="15"/>
              </w:rPr>
            </w:pPr>
            <w:r>
              <w:rPr>
                <w:color w:val="231F20"/>
                <w:sz w:val="15"/>
              </w:rPr>
              <w:t>Cardiac</w:t>
            </w:r>
            <w:r>
              <w:rPr>
                <w:color w:val="231F20"/>
                <w:spacing w:val="-12"/>
                <w:sz w:val="15"/>
              </w:rPr>
              <w:t> </w:t>
            </w:r>
            <w:r>
              <w:rPr>
                <w:color w:val="231F20"/>
                <w:sz w:val="15"/>
              </w:rPr>
              <w:t>surgery </w:t>
            </w:r>
            <w:r>
              <w:rPr>
                <w:color w:val="231F20"/>
                <w:spacing w:val="-2"/>
                <w:sz w:val="15"/>
              </w:rPr>
              <w:t>Arrhythmia</w:t>
            </w:r>
          </w:p>
          <w:p>
            <w:pPr>
              <w:pStyle w:val="TableParagraph"/>
              <w:spacing w:line="230" w:lineRule="auto" w:before="2"/>
              <w:ind w:left="576" w:right="5638"/>
              <w:rPr>
                <w:sz w:val="15"/>
              </w:rPr>
            </w:pPr>
            <w:r>
              <w:rPr>
                <w:color w:val="231F20"/>
                <w:spacing w:val="-2"/>
                <w:sz w:val="15"/>
              </w:rPr>
              <w:t>Valvular</w:t>
            </w:r>
            <w:r>
              <w:rPr>
                <w:color w:val="231F20"/>
                <w:spacing w:val="-10"/>
                <w:sz w:val="15"/>
              </w:rPr>
              <w:t> </w:t>
            </w:r>
            <w:r>
              <w:rPr>
                <w:color w:val="231F20"/>
                <w:spacing w:val="-2"/>
                <w:sz w:val="15"/>
              </w:rPr>
              <w:t>heart</w:t>
            </w:r>
            <w:r>
              <w:rPr>
                <w:color w:val="231F20"/>
                <w:spacing w:val="-9"/>
                <w:sz w:val="15"/>
              </w:rPr>
              <w:t> </w:t>
            </w:r>
            <w:r>
              <w:rPr>
                <w:color w:val="231F20"/>
                <w:spacing w:val="-2"/>
                <w:sz w:val="15"/>
              </w:rPr>
              <w:t>disease Endocarditis</w:t>
            </w:r>
          </w:p>
          <w:p>
            <w:pPr>
              <w:pStyle w:val="TableParagraph"/>
              <w:spacing w:line="230" w:lineRule="auto" w:before="1"/>
              <w:ind w:left="576" w:right="3687"/>
              <w:rPr>
                <w:sz w:val="15"/>
              </w:rPr>
            </w:pPr>
            <w:r>
              <w:rPr>
                <w:color w:val="231F20"/>
                <w:spacing w:val="-2"/>
                <w:sz w:val="15"/>
              </w:rPr>
              <w:t>Cardiomyopathy,</w:t>
            </w:r>
            <w:r>
              <w:rPr>
                <w:color w:val="231F20"/>
                <w:spacing w:val="-6"/>
                <w:sz w:val="15"/>
              </w:rPr>
              <w:t> </w:t>
            </w:r>
            <w:r>
              <w:rPr>
                <w:color w:val="231F20"/>
                <w:spacing w:val="-2"/>
                <w:sz w:val="15"/>
              </w:rPr>
              <w:t>severe</w:t>
            </w:r>
            <w:r>
              <w:rPr>
                <w:color w:val="231F20"/>
                <w:spacing w:val="-6"/>
                <w:sz w:val="15"/>
              </w:rPr>
              <w:t> </w:t>
            </w:r>
            <w:r>
              <w:rPr>
                <w:color w:val="231F20"/>
                <w:spacing w:val="-2"/>
                <w:sz w:val="15"/>
              </w:rPr>
              <w:t>ventricular</w:t>
            </w:r>
            <w:r>
              <w:rPr>
                <w:color w:val="231F20"/>
                <w:spacing w:val="-6"/>
                <w:sz w:val="15"/>
              </w:rPr>
              <w:t> </w:t>
            </w:r>
            <w:r>
              <w:rPr>
                <w:color w:val="231F20"/>
                <w:spacing w:val="-2"/>
                <w:sz w:val="15"/>
              </w:rPr>
              <w:t>dysfunction </w:t>
            </w:r>
            <w:r>
              <w:rPr>
                <w:color w:val="231F20"/>
                <w:sz w:val="15"/>
              </w:rPr>
              <w:t>Intracardiac lesions (e.g., atrial myxoma)</w:t>
            </w:r>
          </w:p>
          <w:p>
            <w:pPr>
              <w:pStyle w:val="TableParagraph"/>
              <w:spacing w:line="170" w:lineRule="exact"/>
              <w:ind w:left="576"/>
              <w:rPr>
                <w:sz w:val="15"/>
              </w:rPr>
            </w:pPr>
            <w:r>
              <w:rPr>
                <w:color w:val="231F20"/>
                <w:spacing w:val="-2"/>
                <w:sz w:val="15"/>
              </w:rPr>
              <w:t>Septal</w:t>
            </w:r>
            <w:r>
              <w:rPr>
                <w:color w:val="231F20"/>
                <w:spacing w:val="-5"/>
                <w:sz w:val="15"/>
              </w:rPr>
              <w:t> </w:t>
            </w:r>
            <w:r>
              <w:rPr>
                <w:color w:val="231F20"/>
                <w:spacing w:val="-2"/>
                <w:sz w:val="15"/>
              </w:rPr>
              <w:t>defects</w:t>
            </w:r>
            <w:r>
              <w:rPr>
                <w:color w:val="231F20"/>
                <w:spacing w:val="-4"/>
                <w:sz w:val="15"/>
              </w:rPr>
              <w:t> </w:t>
            </w:r>
            <w:r>
              <w:rPr>
                <w:color w:val="231F20"/>
                <w:spacing w:val="-2"/>
                <w:sz w:val="15"/>
              </w:rPr>
              <w:t>(atrial</w:t>
            </w:r>
            <w:r>
              <w:rPr>
                <w:color w:val="231F20"/>
                <w:spacing w:val="-4"/>
                <w:sz w:val="15"/>
              </w:rPr>
              <w:t> </w:t>
            </w:r>
            <w:r>
              <w:rPr>
                <w:color w:val="231F20"/>
                <w:spacing w:val="-2"/>
                <w:sz w:val="15"/>
              </w:rPr>
              <w:t>septal</w:t>
            </w:r>
            <w:r>
              <w:rPr>
                <w:color w:val="231F20"/>
                <w:spacing w:val="-5"/>
                <w:sz w:val="15"/>
              </w:rPr>
              <w:t> </w:t>
            </w:r>
            <w:r>
              <w:rPr>
                <w:color w:val="231F20"/>
                <w:spacing w:val="-2"/>
                <w:sz w:val="15"/>
              </w:rPr>
              <w:t>defect,</w:t>
            </w:r>
            <w:r>
              <w:rPr>
                <w:color w:val="231F20"/>
                <w:spacing w:val="-4"/>
                <w:sz w:val="15"/>
              </w:rPr>
              <w:t> </w:t>
            </w:r>
            <w:r>
              <w:rPr>
                <w:color w:val="231F20"/>
                <w:spacing w:val="-2"/>
                <w:sz w:val="15"/>
              </w:rPr>
              <w:t>ventricular</w:t>
            </w:r>
            <w:r>
              <w:rPr>
                <w:color w:val="231F20"/>
                <w:spacing w:val="-4"/>
                <w:sz w:val="15"/>
              </w:rPr>
              <w:t> </w:t>
            </w:r>
            <w:r>
              <w:rPr>
                <w:color w:val="231F20"/>
                <w:spacing w:val="-2"/>
                <w:sz w:val="15"/>
              </w:rPr>
              <w:t>septal</w:t>
            </w:r>
            <w:r>
              <w:rPr>
                <w:color w:val="231F20"/>
                <w:spacing w:val="-5"/>
                <w:sz w:val="15"/>
              </w:rPr>
              <w:t> </w:t>
            </w:r>
            <w:r>
              <w:rPr>
                <w:color w:val="231F20"/>
                <w:spacing w:val="-2"/>
                <w:sz w:val="15"/>
              </w:rPr>
              <w:t>defect,</w:t>
            </w:r>
            <w:r>
              <w:rPr>
                <w:color w:val="231F20"/>
                <w:spacing w:val="-4"/>
                <w:sz w:val="15"/>
              </w:rPr>
              <w:t> </w:t>
            </w:r>
            <w:r>
              <w:rPr>
                <w:color w:val="231F20"/>
                <w:spacing w:val="-2"/>
                <w:sz w:val="15"/>
              </w:rPr>
              <w:t>patent</w:t>
            </w:r>
            <w:r>
              <w:rPr>
                <w:color w:val="231F20"/>
                <w:spacing w:val="-4"/>
                <w:sz w:val="15"/>
              </w:rPr>
              <w:t> </w:t>
            </w:r>
            <w:r>
              <w:rPr>
                <w:color w:val="231F20"/>
                <w:spacing w:val="-2"/>
                <w:sz w:val="15"/>
              </w:rPr>
              <w:t>foramen</w:t>
            </w:r>
            <w:r>
              <w:rPr>
                <w:color w:val="231F20"/>
                <w:spacing w:val="-5"/>
                <w:sz w:val="15"/>
              </w:rPr>
              <w:t> </w:t>
            </w:r>
            <w:r>
              <w:rPr>
                <w:color w:val="231F20"/>
                <w:spacing w:val="-2"/>
                <w:sz w:val="15"/>
              </w:rPr>
              <w:t>ovale</w:t>
            </w:r>
            <w:r>
              <w:rPr>
                <w:color w:val="231F20"/>
                <w:spacing w:val="-4"/>
                <w:sz w:val="15"/>
              </w:rPr>
              <w:t> </w:t>
            </w:r>
            <w:r>
              <w:rPr>
                <w:color w:val="231F20"/>
                <w:spacing w:val="-2"/>
                <w:sz w:val="15"/>
              </w:rPr>
              <w:t>[possible</w:t>
            </w:r>
            <w:r>
              <w:rPr>
                <w:color w:val="231F20"/>
                <w:spacing w:val="-4"/>
                <w:sz w:val="15"/>
              </w:rPr>
              <w:t> </w:t>
            </w:r>
            <w:r>
              <w:rPr>
                <w:color w:val="231F20"/>
                <w:spacing w:val="-2"/>
                <w:sz w:val="15"/>
              </w:rPr>
              <w:t>paradoxical</w:t>
            </w:r>
            <w:r>
              <w:rPr>
                <w:color w:val="231F20"/>
                <w:spacing w:val="-5"/>
                <w:sz w:val="15"/>
              </w:rPr>
              <w:t> </w:t>
            </w:r>
            <w:r>
              <w:rPr>
                <w:color w:val="231F20"/>
                <w:spacing w:val="-2"/>
                <w:sz w:val="15"/>
              </w:rPr>
              <w:t>emboli])</w:t>
            </w:r>
          </w:p>
        </w:tc>
      </w:tr>
      <w:tr>
        <w:trPr>
          <w:trHeight w:val="924" w:hRule="atLeast"/>
        </w:trPr>
        <w:tc>
          <w:tcPr>
            <w:tcW w:w="155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Hematologic</w:t>
            </w:r>
          </w:p>
        </w:tc>
        <w:tc>
          <w:tcPr>
            <w:tcW w:w="8182" w:type="dxa"/>
            <w:tcBorders>
              <w:top w:val="single" w:sz="4" w:space="0" w:color="FFFFFF"/>
              <w:bottom w:val="single" w:sz="4" w:space="0" w:color="FFFFFF"/>
            </w:tcBorders>
            <w:shd w:val="clear" w:color="auto" w:fill="E8F5F1"/>
          </w:tcPr>
          <w:p>
            <w:pPr>
              <w:pStyle w:val="TableParagraph"/>
              <w:spacing w:line="171" w:lineRule="exact" w:before="42"/>
              <w:ind w:left="576"/>
              <w:rPr>
                <w:sz w:val="15"/>
              </w:rPr>
            </w:pPr>
            <w:r>
              <w:rPr>
                <w:color w:val="231F20"/>
                <w:spacing w:val="-2"/>
                <w:sz w:val="15"/>
              </w:rPr>
              <w:t>Sickle</w:t>
            </w:r>
            <w:r>
              <w:rPr>
                <w:color w:val="231F20"/>
                <w:spacing w:val="-5"/>
                <w:sz w:val="15"/>
              </w:rPr>
              <w:t> </w:t>
            </w:r>
            <w:r>
              <w:rPr>
                <w:color w:val="231F20"/>
                <w:spacing w:val="-2"/>
                <w:sz w:val="15"/>
              </w:rPr>
              <w:t>cell</w:t>
            </w:r>
            <w:r>
              <w:rPr>
                <w:color w:val="231F20"/>
                <w:spacing w:val="-5"/>
                <w:sz w:val="15"/>
              </w:rPr>
              <w:t> </w:t>
            </w:r>
            <w:r>
              <w:rPr>
                <w:color w:val="231F20"/>
                <w:spacing w:val="-2"/>
                <w:sz w:val="15"/>
              </w:rPr>
              <w:t>anemia</w:t>
            </w:r>
          </w:p>
          <w:p>
            <w:pPr>
              <w:pStyle w:val="TableParagraph"/>
              <w:spacing w:line="168" w:lineRule="exact"/>
              <w:ind w:left="576"/>
              <w:rPr>
                <w:sz w:val="15"/>
              </w:rPr>
            </w:pPr>
            <w:r>
              <w:rPr>
                <w:color w:val="231F20"/>
                <w:spacing w:val="-4"/>
                <w:sz w:val="15"/>
              </w:rPr>
              <w:t>Iron-deficiency</w:t>
            </w:r>
            <w:r>
              <w:rPr>
                <w:color w:val="231F20"/>
                <w:spacing w:val="20"/>
                <w:sz w:val="15"/>
              </w:rPr>
              <w:t> </w:t>
            </w:r>
            <w:r>
              <w:rPr>
                <w:color w:val="231F20"/>
                <w:spacing w:val="-4"/>
                <w:sz w:val="15"/>
              </w:rPr>
              <w:t>anemia</w:t>
            </w:r>
          </w:p>
          <w:p>
            <w:pPr>
              <w:pStyle w:val="TableParagraph"/>
              <w:spacing w:line="168" w:lineRule="exact"/>
              <w:ind w:left="576"/>
              <w:rPr>
                <w:sz w:val="15"/>
              </w:rPr>
            </w:pPr>
            <w:r>
              <w:rPr>
                <w:color w:val="231F20"/>
                <w:spacing w:val="-2"/>
                <w:sz w:val="15"/>
              </w:rPr>
              <w:t>Inherited</w:t>
            </w:r>
            <w:r>
              <w:rPr>
                <w:color w:val="231F20"/>
                <w:spacing w:val="2"/>
                <w:sz w:val="15"/>
              </w:rPr>
              <w:t> </w:t>
            </w:r>
            <w:r>
              <w:rPr>
                <w:color w:val="231F20"/>
                <w:spacing w:val="-2"/>
                <w:sz w:val="15"/>
              </w:rPr>
              <w:t>prothrombotic</w:t>
            </w:r>
            <w:r>
              <w:rPr>
                <w:color w:val="231F20"/>
                <w:spacing w:val="2"/>
                <w:sz w:val="15"/>
              </w:rPr>
              <w:t> </w:t>
            </w:r>
            <w:r>
              <w:rPr>
                <w:color w:val="231F20"/>
                <w:spacing w:val="-2"/>
                <w:sz w:val="15"/>
              </w:rPr>
              <w:t>(e.g.,</w:t>
            </w:r>
            <w:r>
              <w:rPr>
                <w:color w:val="231F20"/>
                <w:spacing w:val="2"/>
                <w:sz w:val="15"/>
              </w:rPr>
              <w:t> </w:t>
            </w:r>
            <w:r>
              <w:rPr>
                <w:color w:val="231F20"/>
                <w:spacing w:val="-2"/>
                <w:sz w:val="15"/>
              </w:rPr>
              <w:t>factor</w:t>
            </w:r>
            <w:r>
              <w:rPr>
                <w:color w:val="231F20"/>
                <w:spacing w:val="2"/>
                <w:sz w:val="15"/>
              </w:rPr>
              <w:t> </w:t>
            </w:r>
            <w:r>
              <w:rPr>
                <w:color w:val="231F20"/>
                <w:spacing w:val="-2"/>
                <w:sz w:val="15"/>
              </w:rPr>
              <w:t>V</w:t>
            </w:r>
            <w:r>
              <w:rPr>
                <w:color w:val="231F20"/>
                <w:spacing w:val="2"/>
                <w:sz w:val="15"/>
              </w:rPr>
              <w:t> </w:t>
            </w:r>
            <w:r>
              <w:rPr>
                <w:color w:val="231F20"/>
                <w:spacing w:val="-2"/>
                <w:sz w:val="15"/>
              </w:rPr>
              <w:t>Leiden,</w:t>
            </w:r>
            <w:r>
              <w:rPr>
                <w:color w:val="231F20"/>
                <w:spacing w:val="2"/>
                <w:sz w:val="15"/>
              </w:rPr>
              <w:t> </w:t>
            </w:r>
            <w:r>
              <w:rPr>
                <w:color w:val="231F20"/>
                <w:spacing w:val="-2"/>
                <w:sz w:val="15"/>
              </w:rPr>
              <w:t>prothrombin</w:t>
            </w:r>
            <w:r>
              <w:rPr>
                <w:color w:val="231F20"/>
                <w:spacing w:val="2"/>
                <w:sz w:val="15"/>
              </w:rPr>
              <w:t> </w:t>
            </w:r>
            <w:r>
              <w:rPr>
                <w:color w:val="231F20"/>
                <w:spacing w:val="-2"/>
                <w:sz w:val="15"/>
              </w:rPr>
              <w:t>gene</w:t>
            </w:r>
            <w:r>
              <w:rPr>
                <w:color w:val="231F20"/>
                <w:spacing w:val="3"/>
                <w:sz w:val="15"/>
              </w:rPr>
              <w:t> </w:t>
            </w:r>
            <w:r>
              <w:rPr>
                <w:color w:val="231F20"/>
                <w:spacing w:val="-2"/>
                <w:sz w:val="15"/>
              </w:rPr>
              <w:t>mutation</w:t>
            </w:r>
            <w:r>
              <w:rPr>
                <w:color w:val="231F20"/>
                <w:spacing w:val="2"/>
                <w:sz w:val="15"/>
              </w:rPr>
              <w:t> </w:t>
            </w:r>
            <w:r>
              <w:rPr>
                <w:color w:val="231F20"/>
                <w:spacing w:val="-2"/>
                <w:sz w:val="15"/>
              </w:rPr>
              <w:t>20210A)</w:t>
            </w:r>
          </w:p>
          <w:p>
            <w:pPr>
              <w:pStyle w:val="TableParagraph"/>
              <w:spacing w:line="230" w:lineRule="auto" w:before="2"/>
              <w:ind w:left="688" w:hanging="112"/>
              <w:rPr>
                <w:sz w:val="15"/>
              </w:rPr>
            </w:pPr>
            <w:r>
              <w:rPr>
                <w:color w:val="231F20"/>
                <w:spacing w:val="-2"/>
                <w:sz w:val="15"/>
              </w:rPr>
              <w:t>Acquired prothrombotic (e.g., protein C/S deficiency, antithrombin III deficiency, lipoprotein a, </w:t>
            </w:r>
            <w:r>
              <w:rPr>
                <w:color w:val="231F20"/>
                <w:spacing w:val="-2"/>
                <w:sz w:val="15"/>
              </w:rPr>
              <w:t>antiphospholipid </w:t>
            </w:r>
            <w:r>
              <w:rPr>
                <w:color w:val="231F20"/>
                <w:sz w:val="15"/>
              </w:rPr>
              <w:t>antibodies, oral contraceptives, pregnancy)</w:t>
            </w:r>
          </w:p>
        </w:tc>
      </w:tr>
      <w:tr>
        <w:trPr>
          <w:trHeight w:val="6125" w:hRule="atLeast"/>
        </w:trPr>
        <w:tc>
          <w:tcPr>
            <w:tcW w:w="1558" w:type="dxa"/>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z w:val="15"/>
              </w:rPr>
              <w:t>Other including </w:t>
            </w:r>
            <w:r>
              <w:rPr>
                <w:color w:val="231F20"/>
                <w:spacing w:val="-4"/>
                <w:sz w:val="15"/>
              </w:rPr>
              <w:t>metabolic/genetic </w:t>
            </w:r>
            <w:r>
              <w:rPr>
                <w:color w:val="231F20"/>
                <w:spacing w:val="-2"/>
                <w:sz w:val="15"/>
              </w:rPr>
              <w:t>etiologies</w:t>
            </w:r>
          </w:p>
        </w:tc>
        <w:tc>
          <w:tcPr>
            <w:tcW w:w="8182" w:type="dxa"/>
            <w:tcBorders>
              <w:top w:val="single" w:sz="4" w:space="0" w:color="FFFFFF"/>
              <w:bottom w:val="single" w:sz="8" w:space="0" w:color="231F20"/>
            </w:tcBorders>
            <w:shd w:val="clear" w:color="auto" w:fill="E8F5F1"/>
          </w:tcPr>
          <w:p>
            <w:pPr>
              <w:pStyle w:val="TableParagraph"/>
              <w:spacing w:line="230" w:lineRule="auto" w:before="48"/>
              <w:ind w:left="576" w:right="2900"/>
              <w:jc w:val="both"/>
              <w:rPr>
                <w:sz w:val="15"/>
              </w:rPr>
            </w:pPr>
            <w:r>
              <w:rPr>
                <w:color w:val="231F20"/>
                <w:spacing w:val="-2"/>
                <w:sz w:val="15"/>
              </w:rPr>
              <w:t>Acute systemic illness (e.g., dehydration, sepsis, diabetic ketoacidosis) Chronic</w:t>
            </w:r>
            <w:r>
              <w:rPr>
                <w:color w:val="231F20"/>
                <w:spacing w:val="-6"/>
                <w:sz w:val="15"/>
              </w:rPr>
              <w:t> </w:t>
            </w:r>
            <w:r>
              <w:rPr>
                <w:color w:val="231F20"/>
                <w:spacing w:val="-2"/>
                <w:sz w:val="15"/>
              </w:rPr>
              <w:t>systemic</w:t>
            </w:r>
            <w:r>
              <w:rPr>
                <w:color w:val="231F20"/>
                <w:spacing w:val="-6"/>
                <w:sz w:val="15"/>
              </w:rPr>
              <w:t> </w:t>
            </w:r>
            <w:r>
              <w:rPr>
                <w:color w:val="231F20"/>
                <w:spacing w:val="-2"/>
                <w:sz w:val="15"/>
              </w:rPr>
              <w:t>illness</w:t>
            </w:r>
            <w:r>
              <w:rPr>
                <w:color w:val="231F20"/>
                <w:spacing w:val="-6"/>
                <w:sz w:val="15"/>
              </w:rPr>
              <w:t> </w:t>
            </w:r>
            <w:r>
              <w:rPr>
                <w:color w:val="231F20"/>
                <w:spacing w:val="-2"/>
                <w:sz w:val="15"/>
              </w:rPr>
              <w:t>(e.g.,</w:t>
            </w:r>
            <w:r>
              <w:rPr>
                <w:color w:val="231F20"/>
                <w:spacing w:val="-6"/>
                <w:sz w:val="15"/>
              </w:rPr>
              <w:t> </w:t>
            </w:r>
            <w:r>
              <w:rPr>
                <w:color w:val="231F20"/>
                <w:spacing w:val="-2"/>
                <w:sz w:val="15"/>
              </w:rPr>
              <w:t>systemic</w:t>
            </w:r>
            <w:r>
              <w:rPr>
                <w:color w:val="231F20"/>
                <w:spacing w:val="-6"/>
                <w:sz w:val="15"/>
              </w:rPr>
              <w:t> </w:t>
            </w:r>
            <w:r>
              <w:rPr>
                <w:color w:val="231F20"/>
                <w:spacing w:val="-2"/>
                <w:sz w:val="15"/>
              </w:rPr>
              <w:t>lupus</w:t>
            </w:r>
            <w:r>
              <w:rPr>
                <w:color w:val="231F20"/>
                <w:spacing w:val="-6"/>
                <w:sz w:val="15"/>
              </w:rPr>
              <w:t> </w:t>
            </w:r>
            <w:r>
              <w:rPr>
                <w:color w:val="231F20"/>
                <w:spacing w:val="-2"/>
                <w:sz w:val="15"/>
              </w:rPr>
              <w:t>erythematosus,</w:t>
            </w:r>
            <w:r>
              <w:rPr>
                <w:color w:val="231F20"/>
                <w:spacing w:val="-6"/>
                <w:sz w:val="15"/>
              </w:rPr>
              <w:t> </w:t>
            </w:r>
            <w:r>
              <w:rPr>
                <w:color w:val="231F20"/>
                <w:spacing w:val="-2"/>
                <w:sz w:val="15"/>
              </w:rPr>
              <w:t>leukemia) </w:t>
            </w:r>
            <w:r>
              <w:rPr>
                <w:color w:val="231F20"/>
                <w:sz w:val="15"/>
              </w:rPr>
              <w:t>Illicit drugs and toxins (e.g., cocaine)</w:t>
            </w:r>
          </w:p>
          <w:p>
            <w:pPr>
              <w:pStyle w:val="TableParagraph"/>
              <w:spacing w:line="230" w:lineRule="auto" w:before="2"/>
              <w:ind w:left="576" w:right="4418"/>
              <w:jc w:val="both"/>
              <w:rPr>
                <w:sz w:val="15"/>
              </w:rPr>
            </w:pPr>
            <w:r>
              <w:rPr>
                <w:color w:val="231F20"/>
                <w:sz w:val="15"/>
              </w:rPr>
              <w:t>Extracorporeal membrane oxygenation </w:t>
            </w:r>
            <w:r>
              <w:rPr>
                <w:color w:val="231F20"/>
                <w:sz w:val="15"/>
              </w:rPr>
              <w:t>(ECMO) Hereditary dyslipoproteinemia</w:t>
            </w:r>
          </w:p>
          <w:p>
            <w:pPr>
              <w:pStyle w:val="TableParagraph"/>
              <w:spacing w:line="230" w:lineRule="auto" w:before="1"/>
              <w:ind w:left="688" w:right="4956"/>
              <w:rPr>
                <w:sz w:val="15"/>
              </w:rPr>
            </w:pPr>
            <w:r>
              <w:rPr>
                <w:color w:val="231F20"/>
                <w:spacing w:val="-2"/>
                <w:sz w:val="15"/>
              </w:rPr>
              <w:t>Familial </w:t>
            </w:r>
            <w:r>
              <w:rPr>
                <w:color w:val="231F20"/>
                <w:spacing w:val="-2"/>
                <w:sz w:val="15"/>
              </w:rPr>
              <w:t>hypoalphalipoproteinemia </w:t>
            </w:r>
            <w:r>
              <w:rPr>
                <w:color w:val="231F20"/>
                <w:sz w:val="15"/>
              </w:rPr>
              <w:t>Familial hypercholesterolemia</w:t>
            </w:r>
          </w:p>
          <w:p>
            <w:pPr>
              <w:pStyle w:val="TableParagraph"/>
              <w:spacing w:line="230" w:lineRule="auto" w:before="2"/>
              <w:ind w:left="688" w:right="4956"/>
              <w:rPr>
                <w:sz w:val="15"/>
              </w:rPr>
            </w:pPr>
            <w:r>
              <w:rPr>
                <w:color w:val="231F20"/>
                <w:spacing w:val="-2"/>
                <w:sz w:val="15"/>
              </w:rPr>
              <w:t>Type</w:t>
            </w:r>
            <w:r>
              <w:rPr>
                <w:color w:val="231F20"/>
                <w:spacing w:val="-3"/>
                <w:sz w:val="15"/>
              </w:rPr>
              <w:t> </w:t>
            </w:r>
            <w:r>
              <w:rPr>
                <w:color w:val="231F20"/>
                <w:spacing w:val="-2"/>
                <w:sz w:val="15"/>
              </w:rPr>
              <w:t>IV,</w:t>
            </w:r>
            <w:r>
              <w:rPr>
                <w:color w:val="231F20"/>
                <w:spacing w:val="-3"/>
                <w:sz w:val="15"/>
              </w:rPr>
              <w:t> </w:t>
            </w:r>
            <w:r>
              <w:rPr>
                <w:color w:val="231F20"/>
                <w:spacing w:val="-2"/>
                <w:sz w:val="15"/>
              </w:rPr>
              <w:t>type</w:t>
            </w:r>
            <w:r>
              <w:rPr>
                <w:color w:val="231F20"/>
                <w:spacing w:val="-3"/>
                <w:sz w:val="15"/>
              </w:rPr>
              <w:t> </w:t>
            </w:r>
            <w:r>
              <w:rPr>
                <w:color w:val="231F20"/>
                <w:spacing w:val="-2"/>
                <w:sz w:val="15"/>
              </w:rPr>
              <w:t>III</w:t>
            </w:r>
            <w:r>
              <w:rPr>
                <w:color w:val="231F20"/>
                <w:spacing w:val="-3"/>
                <w:sz w:val="15"/>
              </w:rPr>
              <w:t> </w:t>
            </w:r>
            <w:r>
              <w:rPr>
                <w:color w:val="231F20"/>
                <w:spacing w:val="-2"/>
                <w:sz w:val="15"/>
              </w:rPr>
              <w:t>hyperlipoproteinemia </w:t>
            </w:r>
            <w:r>
              <w:rPr>
                <w:color w:val="231F20"/>
                <w:sz w:val="15"/>
              </w:rPr>
              <w:t>Tangier disease</w:t>
            </w:r>
          </w:p>
          <w:p>
            <w:pPr>
              <w:pStyle w:val="TableParagraph"/>
              <w:spacing w:line="166" w:lineRule="exact"/>
              <w:ind w:left="688"/>
              <w:rPr>
                <w:sz w:val="15"/>
              </w:rPr>
            </w:pPr>
            <w:r>
              <w:rPr>
                <w:color w:val="231F20"/>
                <w:spacing w:val="-2"/>
                <w:sz w:val="15"/>
              </w:rPr>
              <w:t>Progeria</w:t>
            </w:r>
          </w:p>
          <w:p>
            <w:pPr>
              <w:pStyle w:val="TableParagraph"/>
              <w:spacing w:line="169" w:lineRule="exact"/>
              <w:ind w:left="576"/>
              <w:rPr>
                <w:sz w:val="15"/>
              </w:rPr>
            </w:pPr>
            <w:r>
              <w:rPr>
                <w:color w:val="231F20"/>
                <w:sz w:val="15"/>
              </w:rPr>
              <w:t>Fabry</w:t>
            </w:r>
            <w:r>
              <w:rPr>
                <w:color w:val="231F20"/>
                <w:spacing w:val="2"/>
                <w:sz w:val="15"/>
              </w:rPr>
              <w:t> </w:t>
            </w:r>
            <w:r>
              <w:rPr>
                <w:color w:val="231F20"/>
                <w:sz w:val="15"/>
              </w:rPr>
              <w:t>disease</w:t>
            </w:r>
            <w:r>
              <w:rPr>
                <w:color w:val="231F20"/>
                <w:spacing w:val="2"/>
                <w:sz w:val="15"/>
              </w:rPr>
              <w:t> </w:t>
            </w:r>
            <w:r>
              <w:rPr>
                <w:color w:val="231F20"/>
                <w:sz w:val="15"/>
              </w:rPr>
              <w:t>(</w:t>
            </w:r>
            <w:r>
              <w:rPr>
                <w:rFonts w:ascii="Cambria" w:hAnsi="Cambria"/>
                <w:color w:val="231F20"/>
                <w:sz w:val="15"/>
              </w:rPr>
              <w:t>α</w:t>
            </w:r>
            <w:r>
              <w:rPr>
                <w:color w:val="231F20"/>
                <w:sz w:val="15"/>
              </w:rPr>
              <w:t>-galactosidase</w:t>
            </w:r>
            <w:r>
              <w:rPr>
                <w:color w:val="231F20"/>
                <w:spacing w:val="3"/>
                <w:sz w:val="15"/>
              </w:rPr>
              <w:t> </w:t>
            </w:r>
            <w:r>
              <w:rPr>
                <w:color w:val="231F20"/>
                <w:sz w:val="15"/>
              </w:rPr>
              <w:t>A</w:t>
            </w:r>
            <w:r>
              <w:rPr>
                <w:color w:val="231F20"/>
                <w:spacing w:val="2"/>
                <w:sz w:val="15"/>
              </w:rPr>
              <w:t> </w:t>
            </w:r>
            <w:r>
              <w:rPr>
                <w:color w:val="231F20"/>
                <w:spacing w:val="-2"/>
                <w:sz w:val="15"/>
              </w:rPr>
              <w:t>deficiency)</w:t>
            </w:r>
          </w:p>
          <w:p>
            <w:pPr>
              <w:pStyle w:val="TableParagraph"/>
              <w:spacing w:line="230" w:lineRule="auto" w:before="2"/>
              <w:ind w:left="576" w:right="3259"/>
              <w:rPr>
                <w:sz w:val="15"/>
              </w:rPr>
            </w:pPr>
            <w:r>
              <w:rPr>
                <w:color w:val="231F20"/>
                <w:sz w:val="15"/>
              </w:rPr>
              <w:t>Subacute</w:t>
            </w:r>
            <w:r>
              <w:rPr>
                <w:color w:val="231F20"/>
                <w:spacing w:val="-12"/>
                <w:sz w:val="15"/>
              </w:rPr>
              <w:t> </w:t>
            </w:r>
            <w:r>
              <w:rPr>
                <w:color w:val="231F20"/>
                <w:sz w:val="15"/>
              </w:rPr>
              <w:t>necrotizing</w:t>
            </w:r>
            <w:r>
              <w:rPr>
                <w:color w:val="231F20"/>
                <w:spacing w:val="-11"/>
                <w:sz w:val="15"/>
              </w:rPr>
              <w:t> </w:t>
            </w:r>
            <w:r>
              <w:rPr>
                <w:color w:val="231F20"/>
                <w:sz w:val="15"/>
              </w:rPr>
              <w:t>encephalomyelopathy</w:t>
            </w:r>
            <w:r>
              <w:rPr>
                <w:color w:val="231F20"/>
                <w:spacing w:val="-11"/>
                <w:sz w:val="15"/>
              </w:rPr>
              <w:t> </w:t>
            </w:r>
            <w:r>
              <w:rPr>
                <w:color w:val="231F20"/>
                <w:sz w:val="15"/>
              </w:rPr>
              <w:t>(Leigh</w:t>
            </w:r>
            <w:r>
              <w:rPr>
                <w:color w:val="231F20"/>
                <w:spacing w:val="-12"/>
                <w:sz w:val="15"/>
              </w:rPr>
              <w:t> </w:t>
            </w:r>
            <w:r>
              <w:rPr>
                <w:color w:val="231F20"/>
                <w:sz w:val="15"/>
              </w:rPr>
              <w:t>disease) Sulfite oxidase deficiency</w:t>
            </w:r>
          </w:p>
          <w:p>
            <w:pPr>
              <w:pStyle w:val="TableParagraph"/>
              <w:spacing w:line="230" w:lineRule="auto"/>
              <w:ind w:left="576" w:right="5638"/>
              <w:rPr>
                <w:sz w:val="15"/>
              </w:rPr>
            </w:pPr>
            <w:r>
              <w:rPr>
                <w:color w:val="231F20"/>
                <w:spacing w:val="-2"/>
                <w:sz w:val="15"/>
              </w:rPr>
              <w:t>11</w:t>
            </w:r>
            <w:r>
              <w:rPr>
                <w:rFonts w:ascii="Cambria" w:hAnsi="Cambria"/>
                <w:color w:val="231F20"/>
                <w:spacing w:val="-2"/>
                <w:sz w:val="15"/>
              </w:rPr>
              <w:t>β</w:t>
            </w:r>
            <w:r>
              <w:rPr>
                <w:color w:val="231F20"/>
                <w:spacing w:val="-2"/>
                <w:sz w:val="15"/>
              </w:rPr>
              <w:t>-Ketoreductase</w:t>
            </w:r>
            <w:r>
              <w:rPr>
                <w:color w:val="231F20"/>
                <w:spacing w:val="-10"/>
                <w:sz w:val="15"/>
              </w:rPr>
              <w:t> </w:t>
            </w:r>
            <w:r>
              <w:rPr>
                <w:color w:val="231F20"/>
                <w:spacing w:val="-2"/>
                <w:sz w:val="15"/>
              </w:rPr>
              <w:t>deficiency </w:t>
            </w:r>
            <w:r>
              <w:rPr>
                <w:color w:val="231F20"/>
                <w:sz w:val="15"/>
              </w:rPr>
              <w:t>17</w:t>
            </w:r>
            <w:r>
              <w:rPr>
                <w:rFonts w:ascii="Cambria" w:hAnsi="Cambria"/>
                <w:color w:val="231F20"/>
                <w:sz w:val="15"/>
              </w:rPr>
              <w:t>α</w:t>
            </w:r>
            <w:r>
              <w:rPr>
                <w:color w:val="231F20"/>
                <w:sz w:val="15"/>
              </w:rPr>
              <w:t>-Hydroxylase deficiency</w:t>
            </w:r>
          </w:p>
          <w:p>
            <w:pPr>
              <w:pStyle w:val="TableParagraph"/>
              <w:spacing w:line="230" w:lineRule="auto"/>
              <w:ind w:left="576" w:right="4105"/>
              <w:rPr>
                <w:sz w:val="15"/>
              </w:rPr>
            </w:pPr>
            <w:r>
              <w:rPr>
                <w:color w:val="231F20"/>
                <w:sz w:val="15"/>
              </w:rPr>
              <w:t>Purine</w:t>
            </w:r>
            <w:r>
              <w:rPr>
                <w:color w:val="231F20"/>
                <w:spacing w:val="-12"/>
                <w:sz w:val="15"/>
              </w:rPr>
              <w:t> </w:t>
            </w:r>
            <w:r>
              <w:rPr>
                <w:color w:val="231F20"/>
                <w:sz w:val="15"/>
              </w:rPr>
              <w:t>nucleoside</w:t>
            </w:r>
            <w:r>
              <w:rPr>
                <w:color w:val="231F20"/>
                <w:spacing w:val="-11"/>
                <w:sz w:val="15"/>
              </w:rPr>
              <w:t> </w:t>
            </w:r>
            <w:r>
              <w:rPr>
                <w:color w:val="231F20"/>
                <w:sz w:val="15"/>
              </w:rPr>
              <w:t>phosphorylase</w:t>
            </w:r>
            <w:r>
              <w:rPr>
                <w:color w:val="231F20"/>
                <w:spacing w:val="-11"/>
                <w:sz w:val="15"/>
              </w:rPr>
              <w:t> </w:t>
            </w:r>
            <w:r>
              <w:rPr>
                <w:color w:val="231F20"/>
                <w:sz w:val="15"/>
              </w:rPr>
              <w:t>deficiency Ornithine transcarbamylase deficiency Neurofibromatosis type 1</w:t>
            </w:r>
          </w:p>
          <w:p>
            <w:pPr>
              <w:pStyle w:val="TableParagraph"/>
              <w:spacing w:line="168" w:lineRule="exact"/>
              <w:ind w:left="576"/>
              <w:rPr>
                <w:sz w:val="15"/>
              </w:rPr>
            </w:pPr>
            <w:r>
              <w:rPr>
                <w:color w:val="231F20"/>
                <w:spacing w:val="-2"/>
                <w:w w:val="110"/>
                <w:sz w:val="15"/>
              </w:rPr>
              <w:t>HERNS</w:t>
            </w:r>
          </w:p>
          <w:p>
            <w:pPr>
              <w:pStyle w:val="TableParagraph"/>
              <w:spacing w:line="230" w:lineRule="auto" w:before="2"/>
              <w:ind w:left="688" w:right="4956" w:hanging="112"/>
              <w:rPr>
                <w:sz w:val="15"/>
              </w:rPr>
            </w:pPr>
            <w:r>
              <w:rPr>
                <w:color w:val="231F20"/>
                <w:sz w:val="15"/>
              </w:rPr>
              <w:t>Heritable</w:t>
            </w:r>
            <w:r>
              <w:rPr>
                <w:color w:val="231F20"/>
                <w:spacing w:val="-12"/>
                <w:sz w:val="15"/>
              </w:rPr>
              <w:t> </w:t>
            </w:r>
            <w:r>
              <w:rPr>
                <w:color w:val="231F20"/>
                <w:sz w:val="15"/>
              </w:rPr>
              <w:t>disorders</w:t>
            </w:r>
            <w:r>
              <w:rPr>
                <w:color w:val="231F20"/>
                <w:spacing w:val="-11"/>
                <w:sz w:val="15"/>
              </w:rPr>
              <w:t> </w:t>
            </w:r>
            <w:r>
              <w:rPr>
                <w:color w:val="231F20"/>
                <w:sz w:val="15"/>
              </w:rPr>
              <w:t>of</w:t>
            </w:r>
            <w:r>
              <w:rPr>
                <w:color w:val="231F20"/>
                <w:spacing w:val="-11"/>
                <w:sz w:val="15"/>
              </w:rPr>
              <w:t> </w:t>
            </w:r>
            <w:r>
              <w:rPr>
                <w:color w:val="231F20"/>
                <w:sz w:val="15"/>
              </w:rPr>
              <w:t>connective</w:t>
            </w:r>
            <w:r>
              <w:rPr>
                <w:color w:val="231F20"/>
                <w:spacing w:val="-12"/>
                <w:sz w:val="15"/>
              </w:rPr>
              <w:t> </w:t>
            </w:r>
            <w:r>
              <w:rPr>
                <w:color w:val="231F20"/>
                <w:sz w:val="15"/>
              </w:rPr>
              <w:t>tissue Ehlers-Danlos syndrome (type IV) Marfan syndrome</w:t>
            </w:r>
          </w:p>
          <w:p>
            <w:pPr>
              <w:pStyle w:val="TableParagraph"/>
              <w:spacing w:line="167" w:lineRule="exact"/>
              <w:ind w:left="688"/>
              <w:rPr>
                <w:sz w:val="15"/>
              </w:rPr>
            </w:pPr>
            <w:r>
              <w:rPr>
                <w:color w:val="231F20"/>
                <w:sz w:val="15"/>
              </w:rPr>
              <w:t>Pseudoxanthoma</w:t>
            </w:r>
            <w:r>
              <w:rPr>
                <w:color w:val="231F20"/>
                <w:spacing w:val="12"/>
                <w:sz w:val="15"/>
              </w:rPr>
              <w:t> </w:t>
            </w:r>
            <w:r>
              <w:rPr>
                <w:color w:val="231F20"/>
                <w:spacing w:val="-2"/>
                <w:sz w:val="15"/>
              </w:rPr>
              <w:t>elasticum</w:t>
            </w:r>
          </w:p>
          <w:p>
            <w:pPr>
              <w:pStyle w:val="TableParagraph"/>
              <w:spacing w:line="230" w:lineRule="auto" w:before="2"/>
              <w:ind w:left="688" w:right="504"/>
              <w:rPr>
                <w:sz w:val="15"/>
              </w:rPr>
            </w:pPr>
            <w:r>
              <w:rPr>
                <w:color w:val="231F20"/>
                <w:spacing w:val="-2"/>
                <w:sz w:val="15"/>
              </w:rPr>
              <w:t>Homocystinuria</w:t>
            </w:r>
            <w:r>
              <w:rPr>
                <w:color w:val="231F20"/>
                <w:spacing w:val="-10"/>
                <w:sz w:val="15"/>
              </w:rPr>
              <w:t> </w:t>
            </w:r>
            <w:r>
              <w:rPr>
                <w:color w:val="231F20"/>
                <w:spacing w:val="-2"/>
                <w:sz w:val="15"/>
              </w:rPr>
              <w:t>(cystathionine</w:t>
            </w:r>
            <w:r>
              <w:rPr>
                <w:color w:val="231F20"/>
                <w:spacing w:val="-9"/>
                <w:sz w:val="15"/>
              </w:rPr>
              <w:t> </w:t>
            </w:r>
            <w:r>
              <w:rPr>
                <w:rFonts w:ascii="Cambria" w:hAnsi="Cambria"/>
                <w:color w:val="231F20"/>
                <w:spacing w:val="-2"/>
                <w:sz w:val="15"/>
              </w:rPr>
              <w:t>β</w:t>
            </w:r>
            <w:r>
              <w:rPr>
                <w:color w:val="231F20"/>
                <w:spacing w:val="-2"/>
                <w:sz w:val="15"/>
              </w:rPr>
              <w:t>-synthase</w:t>
            </w:r>
            <w:r>
              <w:rPr>
                <w:color w:val="231F20"/>
                <w:spacing w:val="-9"/>
                <w:sz w:val="15"/>
              </w:rPr>
              <w:t> </w:t>
            </w:r>
            <w:r>
              <w:rPr>
                <w:color w:val="231F20"/>
                <w:spacing w:val="-2"/>
                <w:sz w:val="15"/>
              </w:rPr>
              <w:t>deficiency,</w:t>
            </w:r>
            <w:r>
              <w:rPr>
                <w:color w:val="231F20"/>
                <w:spacing w:val="-10"/>
                <w:sz w:val="15"/>
              </w:rPr>
              <w:t> </w:t>
            </w:r>
            <w:r>
              <w:rPr>
                <w:color w:val="231F20"/>
                <w:spacing w:val="-2"/>
                <w:sz w:val="15"/>
              </w:rPr>
              <w:t>or</w:t>
            </w:r>
            <w:r>
              <w:rPr>
                <w:color w:val="231F20"/>
                <w:spacing w:val="-9"/>
                <w:sz w:val="15"/>
              </w:rPr>
              <w:t> </w:t>
            </w:r>
            <w:r>
              <w:rPr>
                <w:color w:val="231F20"/>
                <w:spacing w:val="-2"/>
                <w:sz w:val="15"/>
              </w:rPr>
              <w:t>5,20-methylenetetrahydrofolate</w:t>
            </w:r>
            <w:r>
              <w:rPr>
                <w:color w:val="231F20"/>
                <w:spacing w:val="-9"/>
                <w:sz w:val="15"/>
              </w:rPr>
              <w:t> </w:t>
            </w:r>
            <w:r>
              <w:rPr>
                <w:color w:val="231F20"/>
                <w:spacing w:val="-2"/>
                <w:sz w:val="15"/>
              </w:rPr>
              <w:t>reductase) </w:t>
            </w:r>
            <w:r>
              <w:rPr>
                <w:color w:val="231F20"/>
                <w:sz w:val="15"/>
              </w:rPr>
              <w:t>Menkes syndrome</w:t>
            </w:r>
          </w:p>
          <w:p>
            <w:pPr>
              <w:pStyle w:val="TableParagraph"/>
              <w:spacing w:line="230" w:lineRule="auto" w:before="2"/>
              <w:ind w:left="688" w:right="5822" w:hanging="112"/>
              <w:rPr>
                <w:sz w:val="15"/>
              </w:rPr>
            </w:pPr>
            <w:r>
              <w:rPr>
                <w:color w:val="231F20"/>
                <w:sz w:val="15"/>
              </w:rPr>
              <w:t>Organic acidemias Methylmalonic</w:t>
            </w:r>
            <w:r>
              <w:rPr>
                <w:color w:val="231F20"/>
                <w:spacing w:val="-12"/>
                <w:sz w:val="15"/>
              </w:rPr>
              <w:t> </w:t>
            </w:r>
            <w:r>
              <w:rPr>
                <w:color w:val="231F20"/>
                <w:sz w:val="15"/>
              </w:rPr>
              <w:t>academia Propionic academia Isovaleric academia Glutaric aciduria type II</w:t>
            </w:r>
          </w:p>
          <w:p>
            <w:pPr>
              <w:pStyle w:val="TableParagraph"/>
              <w:spacing w:line="230" w:lineRule="auto" w:before="3"/>
              <w:ind w:left="688" w:right="4956" w:hanging="112"/>
              <w:rPr>
                <w:sz w:val="15"/>
              </w:rPr>
            </w:pPr>
            <w:r>
              <w:rPr>
                <w:color w:val="231F20"/>
                <w:sz w:val="15"/>
              </w:rPr>
              <w:t>Mitochondrial</w:t>
            </w:r>
            <w:r>
              <w:rPr>
                <w:color w:val="231F20"/>
                <w:spacing w:val="-12"/>
                <w:sz w:val="15"/>
              </w:rPr>
              <w:t> </w:t>
            </w:r>
            <w:r>
              <w:rPr>
                <w:color w:val="231F20"/>
                <w:sz w:val="15"/>
              </w:rPr>
              <w:t>encephalomyopathies </w:t>
            </w:r>
            <w:r>
              <w:rPr>
                <w:color w:val="231F20"/>
                <w:spacing w:val="-2"/>
                <w:sz w:val="15"/>
              </w:rPr>
              <w:t>MELAS</w:t>
            </w:r>
          </w:p>
          <w:p>
            <w:pPr>
              <w:pStyle w:val="TableParagraph"/>
              <w:spacing w:line="167" w:lineRule="exact"/>
              <w:ind w:left="688"/>
              <w:rPr>
                <w:sz w:val="15"/>
              </w:rPr>
            </w:pPr>
            <w:r>
              <w:rPr>
                <w:color w:val="231F20"/>
                <w:spacing w:val="-2"/>
                <w:w w:val="110"/>
                <w:sz w:val="15"/>
              </w:rPr>
              <w:t>MERRF</w:t>
            </w:r>
          </w:p>
          <w:p>
            <w:pPr>
              <w:pStyle w:val="TableParagraph"/>
              <w:spacing w:line="230" w:lineRule="auto" w:before="3"/>
              <w:ind w:left="688" w:right="5229"/>
              <w:rPr>
                <w:sz w:val="15"/>
              </w:rPr>
            </w:pPr>
            <w:r>
              <w:rPr>
                <w:color w:val="231F20"/>
                <w:sz w:val="15"/>
              </w:rPr>
              <w:t>MERRF/MELAS overlap </w:t>
            </w:r>
            <w:r>
              <w:rPr>
                <w:color w:val="231F20"/>
                <w:sz w:val="15"/>
              </w:rPr>
              <w:t>syndrome Kearns-Sayre syndrome</w:t>
            </w:r>
          </w:p>
          <w:p>
            <w:pPr>
              <w:pStyle w:val="TableParagraph"/>
              <w:spacing w:line="170" w:lineRule="exact"/>
              <w:ind w:left="576"/>
              <w:rPr>
                <w:sz w:val="15"/>
              </w:rPr>
            </w:pPr>
            <w:r>
              <w:rPr>
                <w:color w:val="231F20"/>
                <w:sz w:val="15"/>
              </w:rPr>
              <w:t>See</w:t>
            </w:r>
            <w:r>
              <w:rPr>
                <w:color w:val="231F20"/>
                <w:spacing w:val="-5"/>
                <w:sz w:val="15"/>
              </w:rPr>
              <w:t> </w:t>
            </w:r>
            <w:r>
              <w:rPr>
                <w:color w:val="231F20"/>
                <w:sz w:val="15"/>
              </w:rPr>
              <w:t>also:</w:t>
            </w:r>
            <w:r>
              <w:rPr>
                <w:color w:val="231F20"/>
                <w:spacing w:val="-4"/>
                <w:sz w:val="15"/>
              </w:rPr>
              <w:t> </w:t>
            </w:r>
            <w:r>
              <w:rPr>
                <w:color w:val="231F20"/>
                <w:sz w:val="15"/>
              </w:rPr>
              <w:t>stroke</w:t>
            </w:r>
            <w:r>
              <w:rPr>
                <w:color w:val="231F20"/>
                <w:spacing w:val="-4"/>
                <w:sz w:val="15"/>
              </w:rPr>
              <w:t> </w:t>
            </w:r>
            <w:r>
              <w:rPr>
                <w:color w:val="231F20"/>
                <w:sz w:val="15"/>
              </w:rPr>
              <w:t>mimics</w:t>
            </w:r>
            <w:r>
              <w:rPr>
                <w:color w:val="231F20"/>
                <w:spacing w:val="-5"/>
                <w:sz w:val="15"/>
              </w:rPr>
              <w:t> </w:t>
            </w:r>
            <w:r>
              <w:rPr>
                <w:color w:val="231F20"/>
                <w:sz w:val="15"/>
              </w:rPr>
              <w:t>(see</w:t>
            </w:r>
            <w:r>
              <w:rPr>
                <w:color w:val="231F20"/>
                <w:spacing w:val="-4"/>
                <w:sz w:val="15"/>
              </w:rPr>
              <w:t> </w:t>
            </w:r>
            <w:r>
              <w:rPr>
                <w:color w:val="0080AC"/>
                <w:sz w:val="15"/>
              </w:rPr>
              <w:t>Chapter</w:t>
            </w:r>
            <w:r>
              <w:rPr>
                <w:color w:val="0080AC"/>
                <w:spacing w:val="-4"/>
                <w:sz w:val="15"/>
              </w:rPr>
              <w:t> </w:t>
            </w:r>
            <w:r>
              <w:rPr>
                <w:color w:val="0080AC"/>
                <w:spacing w:val="-2"/>
                <w:sz w:val="15"/>
              </w:rPr>
              <w:t>601.4</w:t>
            </w:r>
            <w:r>
              <w:rPr>
                <w:color w:val="231F20"/>
                <w:spacing w:val="-2"/>
                <w:sz w:val="15"/>
              </w:rPr>
              <w:t>)</w:t>
            </w:r>
          </w:p>
        </w:tc>
      </w:tr>
    </w:tbl>
    <w:p>
      <w:pPr>
        <w:pStyle w:val="BodyText"/>
        <w:spacing w:before="76"/>
        <w:ind w:left="822" w:right="446"/>
      </w:pPr>
      <w:r>
        <w:rPr>
          <w:color w:val="231F20"/>
        </w:rPr>
        <w:t>HERNS,</w:t>
      </w:r>
      <w:r>
        <w:rPr>
          <w:color w:val="231F20"/>
          <w:spacing w:val="-6"/>
        </w:rPr>
        <w:t> </w:t>
      </w:r>
      <w:r>
        <w:rPr>
          <w:color w:val="231F20"/>
        </w:rPr>
        <w:t>hereditary</w:t>
      </w:r>
      <w:r>
        <w:rPr>
          <w:color w:val="231F20"/>
          <w:spacing w:val="-6"/>
        </w:rPr>
        <w:t> </w:t>
      </w:r>
      <w:r>
        <w:rPr>
          <w:color w:val="231F20"/>
        </w:rPr>
        <w:t>endotheliopathy</w:t>
      </w:r>
      <w:r>
        <w:rPr>
          <w:color w:val="231F20"/>
          <w:spacing w:val="-6"/>
        </w:rPr>
        <w:t> </w:t>
      </w:r>
      <w:r>
        <w:rPr>
          <w:color w:val="231F20"/>
        </w:rPr>
        <w:t>with</w:t>
      </w:r>
      <w:r>
        <w:rPr>
          <w:color w:val="231F20"/>
          <w:spacing w:val="-6"/>
        </w:rPr>
        <w:t> </w:t>
      </w:r>
      <w:r>
        <w:rPr>
          <w:color w:val="231F20"/>
        </w:rPr>
        <w:t>retinopathy,</w:t>
      </w:r>
      <w:r>
        <w:rPr>
          <w:color w:val="231F20"/>
          <w:spacing w:val="-6"/>
        </w:rPr>
        <w:t> </w:t>
      </w:r>
      <w:r>
        <w:rPr>
          <w:color w:val="231F20"/>
        </w:rPr>
        <w:t>nephropathy,</w:t>
      </w:r>
      <w:r>
        <w:rPr>
          <w:color w:val="231F20"/>
          <w:spacing w:val="-6"/>
        </w:rPr>
        <w:t> </w:t>
      </w:r>
      <w:r>
        <w:rPr>
          <w:color w:val="231F20"/>
        </w:rPr>
        <w:t>and</w:t>
      </w:r>
      <w:r>
        <w:rPr>
          <w:color w:val="231F20"/>
          <w:spacing w:val="-6"/>
        </w:rPr>
        <w:t> </w:t>
      </w:r>
      <w:r>
        <w:rPr>
          <w:color w:val="231F20"/>
        </w:rPr>
        <w:t>stroke;</w:t>
      </w:r>
      <w:r>
        <w:rPr>
          <w:color w:val="231F20"/>
          <w:spacing w:val="-6"/>
        </w:rPr>
        <w:t> </w:t>
      </w:r>
      <w:r>
        <w:rPr>
          <w:color w:val="231F20"/>
        </w:rPr>
        <w:t>MELAS,</w:t>
      </w:r>
      <w:r>
        <w:rPr>
          <w:color w:val="231F20"/>
          <w:spacing w:val="-6"/>
        </w:rPr>
        <w:t> </w:t>
      </w:r>
      <w:r>
        <w:rPr>
          <w:color w:val="231F20"/>
        </w:rPr>
        <w:t>mitochondrial</w:t>
      </w:r>
      <w:r>
        <w:rPr>
          <w:color w:val="231F20"/>
          <w:spacing w:val="-6"/>
        </w:rPr>
        <w:t> </w:t>
      </w:r>
      <w:r>
        <w:rPr>
          <w:color w:val="231F20"/>
        </w:rPr>
        <w:t>myopathy,</w:t>
      </w:r>
      <w:r>
        <w:rPr>
          <w:color w:val="231F20"/>
          <w:spacing w:val="-6"/>
        </w:rPr>
        <w:t> </w:t>
      </w:r>
      <w:r>
        <w:rPr>
          <w:color w:val="231F20"/>
        </w:rPr>
        <w:t>encephalopathy,</w:t>
      </w:r>
      <w:r>
        <w:rPr>
          <w:color w:val="231F20"/>
          <w:spacing w:val="-6"/>
        </w:rPr>
        <w:t> </w:t>
      </w:r>
      <w:r>
        <w:rPr>
          <w:color w:val="231F20"/>
        </w:rPr>
        <w:t>lactic</w:t>
      </w:r>
      <w:r>
        <w:rPr>
          <w:color w:val="231F20"/>
          <w:spacing w:val="-6"/>
        </w:rPr>
        <w:t> </w:t>
      </w:r>
      <w:r>
        <w:rPr>
          <w:color w:val="231F20"/>
        </w:rPr>
        <w:t>acidosis,</w:t>
      </w:r>
      <w:r>
        <w:rPr>
          <w:color w:val="231F20"/>
          <w:spacing w:val="-6"/>
        </w:rPr>
        <w:t> </w:t>
      </w:r>
      <w:r>
        <w:rPr>
          <w:color w:val="231F20"/>
        </w:rPr>
        <w:t>and</w:t>
      </w:r>
      <w:r>
        <w:rPr>
          <w:color w:val="231F20"/>
          <w:spacing w:val="-6"/>
        </w:rPr>
        <w:t> </w:t>
      </w:r>
      <w:r>
        <w:rPr>
          <w:color w:val="231F20"/>
        </w:rPr>
        <w:t>stroke-like</w:t>
      </w:r>
      <w:r>
        <w:rPr>
          <w:color w:val="231F20"/>
          <w:spacing w:val="40"/>
        </w:rPr>
        <w:t> </w:t>
      </w:r>
      <w:r>
        <w:rPr>
          <w:color w:val="231F20"/>
        </w:rPr>
        <w:t>episodes; MERRF, myoclonic epilepsy with ragged red fibers; PHACES, posterior fossa abnormalities, hemangioma, and arterial, cardiac, eye, and sternal</w:t>
      </w:r>
      <w:r>
        <w:rPr>
          <w:color w:val="231F20"/>
          <w:spacing w:val="40"/>
        </w:rPr>
        <w:t> </w:t>
      </w:r>
      <w:r>
        <w:rPr>
          <w:color w:val="231F20"/>
          <w:spacing w:val="-2"/>
        </w:rPr>
        <w:t>abnormalities.</w:t>
      </w:r>
    </w:p>
    <w:p>
      <w:pPr>
        <w:spacing w:line="146" w:lineRule="exact" w:before="0"/>
        <w:ind w:left="953" w:right="0" w:firstLine="0"/>
        <w:jc w:val="left"/>
        <w:rPr>
          <w:i/>
          <w:sz w:val="13"/>
        </w:rPr>
      </w:pPr>
      <w:r>
        <w:rPr>
          <w:i/>
          <w:color w:val="231F20"/>
          <w:sz w:val="13"/>
        </w:rPr>
        <w:t>Modified</w:t>
      </w:r>
      <w:r>
        <w:rPr>
          <w:i/>
          <w:color w:val="231F20"/>
          <w:spacing w:val="-4"/>
          <w:sz w:val="13"/>
        </w:rPr>
        <w:t> </w:t>
      </w:r>
      <w:r>
        <w:rPr>
          <w:i/>
          <w:color w:val="231F20"/>
          <w:sz w:val="13"/>
        </w:rPr>
        <w:t>from</w:t>
      </w:r>
      <w:r>
        <w:rPr>
          <w:i/>
          <w:color w:val="231F20"/>
          <w:spacing w:val="-3"/>
          <w:sz w:val="13"/>
        </w:rPr>
        <w:t> </w:t>
      </w:r>
      <w:r>
        <w:rPr>
          <w:i/>
          <w:color w:val="231F20"/>
          <w:sz w:val="13"/>
        </w:rPr>
        <w:t>Roach</w:t>
      </w:r>
      <w:r>
        <w:rPr>
          <w:i/>
          <w:color w:val="231F20"/>
          <w:spacing w:val="-3"/>
          <w:sz w:val="13"/>
        </w:rPr>
        <w:t> </w:t>
      </w:r>
      <w:r>
        <w:rPr>
          <w:i/>
          <w:color w:val="231F20"/>
          <w:sz w:val="13"/>
        </w:rPr>
        <w:t>ES,</w:t>
      </w:r>
      <w:r>
        <w:rPr>
          <w:i/>
          <w:color w:val="231F20"/>
          <w:spacing w:val="-3"/>
          <w:sz w:val="13"/>
        </w:rPr>
        <w:t> </w:t>
      </w:r>
      <w:r>
        <w:rPr>
          <w:i/>
          <w:color w:val="231F20"/>
          <w:sz w:val="13"/>
        </w:rPr>
        <w:t>Golomb</w:t>
      </w:r>
      <w:r>
        <w:rPr>
          <w:i/>
          <w:color w:val="231F20"/>
          <w:spacing w:val="-3"/>
          <w:sz w:val="13"/>
        </w:rPr>
        <w:t> </w:t>
      </w:r>
      <w:r>
        <w:rPr>
          <w:i/>
          <w:color w:val="231F20"/>
          <w:sz w:val="13"/>
        </w:rPr>
        <w:t>MR,</w:t>
      </w:r>
      <w:r>
        <w:rPr>
          <w:i/>
          <w:color w:val="231F20"/>
          <w:spacing w:val="-3"/>
          <w:sz w:val="13"/>
        </w:rPr>
        <w:t> </w:t>
      </w:r>
      <w:r>
        <w:rPr>
          <w:i/>
          <w:color w:val="231F20"/>
          <w:sz w:val="13"/>
        </w:rPr>
        <w:t>Adams</w:t>
      </w:r>
      <w:r>
        <w:rPr>
          <w:i/>
          <w:color w:val="231F20"/>
          <w:spacing w:val="-3"/>
          <w:sz w:val="13"/>
        </w:rPr>
        <w:t> </w:t>
      </w:r>
      <w:r>
        <w:rPr>
          <w:i/>
          <w:color w:val="231F20"/>
          <w:sz w:val="13"/>
        </w:rPr>
        <w:t>R,</w:t>
      </w:r>
      <w:r>
        <w:rPr>
          <w:i/>
          <w:color w:val="231F20"/>
          <w:spacing w:val="-3"/>
          <w:sz w:val="13"/>
        </w:rPr>
        <w:t> </w:t>
      </w:r>
      <w:r>
        <w:rPr>
          <w:i/>
          <w:color w:val="231F20"/>
          <w:sz w:val="13"/>
        </w:rPr>
        <w:t>et</w:t>
      </w:r>
      <w:r>
        <w:rPr>
          <w:i/>
          <w:color w:val="231F20"/>
          <w:spacing w:val="-3"/>
          <w:sz w:val="13"/>
        </w:rPr>
        <w:t> </w:t>
      </w:r>
      <w:r>
        <w:rPr>
          <w:i/>
          <w:color w:val="231F20"/>
          <w:sz w:val="13"/>
        </w:rPr>
        <w:t>al:</w:t>
      </w:r>
      <w:r>
        <w:rPr>
          <w:i/>
          <w:color w:val="231F20"/>
          <w:spacing w:val="-3"/>
          <w:sz w:val="13"/>
        </w:rPr>
        <w:t> </w:t>
      </w:r>
      <w:r>
        <w:rPr>
          <w:i/>
          <w:color w:val="231F20"/>
          <w:sz w:val="13"/>
        </w:rPr>
        <w:t>Management</w:t>
      </w:r>
      <w:r>
        <w:rPr>
          <w:i/>
          <w:color w:val="231F20"/>
          <w:spacing w:val="-4"/>
          <w:sz w:val="13"/>
        </w:rPr>
        <w:t> </w:t>
      </w:r>
      <w:r>
        <w:rPr>
          <w:i/>
          <w:color w:val="231F20"/>
          <w:sz w:val="13"/>
        </w:rPr>
        <w:t>of</w:t>
      </w:r>
      <w:r>
        <w:rPr>
          <w:i/>
          <w:color w:val="231F20"/>
          <w:spacing w:val="-3"/>
          <w:sz w:val="13"/>
        </w:rPr>
        <w:t> </w:t>
      </w:r>
      <w:r>
        <w:rPr>
          <w:i/>
          <w:color w:val="231F20"/>
          <w:sz w:val="13"/>
        </w:rPr>
        <w:t>stroke</w:t>
      </w:r>
      <w:r>
        <w:rPr>
          <w:i/>
          <w:color w:val="231F20"/>
          <w:spacing w:val="-3"/>
          <w:sz w:val="13"/>
        </w:rPr>
        <w:t> </w:t>
      </w:r>
      <w:r>
        <w:rPr>
          <w:i/>
          <w:color w:val="231F20"/>
          <w:sz w:val="13"/>
        </w:rPr>
        <w:t>in</w:t>
      </w:r>
      <w:r>
        <w:rPr>
          <w:i/>
          <w:color w:val="231F20"/>
          <w:spacing w:val="-3"/>
          <w:sz w:val="13"/>
        </w:rPr>
        <w:t> </w:t>
      </w:r>
      <w:r>
        <w:rPr>
          <w:i/>
          <w:color w:val="231F20"/>
          <w:sz w:val="13"/>
        </w:rPr>
        <w:t>infants</w:t>
      </w:r>
      <w:r>
        <w:rPr>
          <w:i/>
          <w:color w:val="231F20"/>
          <w:spacing w:val="-3"/>
          <w:sz w:val="13"/>
        </w:rPr>
        <w:t> </w:t>
      </w:r>
      <w:r>
        <w:rPr>
          <w:i/>
          <w:color w:val="231F20"/>
          <w:sz w:val="13"/>
        </w:rPr>
        <w:t>and</w:t>
      </w:r>
      <w:r>
        <w:rPr>
          <w:i/>
          <w:color w:val="231F20"/>
          <w:spacing w:val="-3"/>
          <w:sz w:val="13"/>
        </w:rPr>
        <w:t> </w:t>
      </w:r>
      <w:r>
        <w:rPr>
          <w:i/>
          <w:color w:val="231F20"/>
          <w:sz w:val="13"/>
        </w:rPr>
        <w:t>children.</w:t>
      </w:r>
      <w:r>
        <w:rPr>
          <w:i/>
          <w:color w:val="231F20"/>
          <w:spacing w:val="-3"/>
          <w:sz w:val="13"/>
        </w:rPr>
        <w:t> </w:t>
      </w:r>
      <w:r>
        <w:rPr>
          <w:color w:val="231F20"/>
          <w:sz w:val="13"/>
        </w:rPr>
        <w:t>Stroke</w:t>
      </w:r>
      <w:r>
        <w:rPr>
          <w:color w:val="231F20"/>
          <w:spacing w:val="-3"/>
          <w:sz w:val="13"/>
        </w:rPr>
        <w:t> </w:t>
      </w:r>
      <w:r>
        <w:rPr>
          <w:i/>
          <w:color w:val="231F20"/>
          <w:sz w:val="13"/>
        </w:rPr>
        <w:t>39:2644–2691,</w:t>
      </w:r>
      <w:r>
        <w:rPr>
          <w:i/>
          <w:color w:val="231F20"/>
          <w:spacing w:val="-3"/>
          <w:sz w:val="13"/>
        </w:rPr>
        <w:t> </w:t>
      </w:r>
      <w:r>
        <w:rPr>
          <w:i/>
          <w:color w:val="231F20"/>
          <w:sz w:val="13"/>
        </w:rPr>
        <w:t>2008,</w:t>
      </w:r>
      <w:r>
        <w:rPr>
          <w:i/>
          <w:color w:val="231F20"/>
          <w:spacing w:val="-3"/>
          <w:sz w:val="13"/>
        </w:rPr>
        <w:t> </w:t>
      </w:r>
      <w:r>
        <w:rPr>
          <w:i/>
          <w:color w:val="231F20"/>
          <w:sz w:val="13"/>
        </w:rPr>
        <w:t>Table</w:t>
      </w:r>
      <w:r>
        <w:rPr>
          <w:i/>
          <w:color w:val="231F20"/>
          <w:spacing w:val="-4"/>
          <w:sz w:val="13"/>
        </w:rPr>
        <w:t> </w:t>
      </w:r>
      <w:r>
        <w:rPr>
          <w:i/>
          <w:color w:val="231F20"/>
          <w:sz w:val="13"/>
        </w:rPr>
        <w:t>2,</w:t>
      </w:r>
      <w:r>
        <w:rPr>
          <w:i/>
          <w:color w:val="231F20"/>
          <w:spacing w:val="-3"/>
          <w:sz w:val="13"/>
        </w:rPr>
        <w:t> </w:t>
      </w:r>
      <w:r>
        <w:rPr>
          <w:i/>
          <w:color w:val="231F20"/>
          <w:sz w:val="13"/>
        </w:rPr>
        <w:t>p.</w:t>
      </w:r>
      <w:r>
        <w:rPr>
          <w:i/>
          <w:color w:val="231F20"/>
          <w:spacing w:val="-3"/>
          <w:sz w:val="13"/>
        </w:rPr>
        <w:t> </w:t>
      </w:r>
      <w:r>
        <w:rPr>
          <w:i/>
          <w:color w:val="231F20"/>
          <w:spacing w:val="-5"/>
          <w:sz w:val="13"/>
        </w:rPr>
        <w:t>6.</w:t>
      </w:r>
    </w:p>
    <w:p>
      <w:pPr>
        <w:spacing w:after="0" w:line="146" w:lineRule="exact"/>
        <w:jc w:val="left"/>
        <w:rPr>
          <w:i/>
          <w:sz w:val="13"/>
        </w:rPr>
        <w:sectPr>
          <w:pgSz w:w="11900" w:h="16840"/>
          <w:pgMar w:header="0" w:footer="0" w:top="720" w:bottom="280" w:left="425" w:right="566"/>
        </w:sectPr>
      </w:pPr>
    </w:p>
    <w:p>
      <w:pPr>
        <w:pStyle w:val="BodyText"/>
        <w:rPr>
          <w:i/>
          <w:sz w:val="20"/>
        </w:rPr>
      </w:pPr>
    </w:p>
    <w:p>
      <w:pPr>
        <w:pStyle w:val="BodyText"/>
        <w:spacing w:before="16" w:after="1"/>
        <w:rPr>
          <w:i/>
          <w:sz w:val="20"/>
        </w:rPr>
      </w:pPr>
    </w:p>
    <w:p>
      <w:pPr>
        <w:pStyle w:val="BodyText"/>
        <w:ind w:left="395"/>
        <w:rPr>
          <w:sz w:val="20"/>
        </w:rPr>
      </w:pPr>
      <w:r>
        <w:rPr>
          <w:sz w:val="20"/>
        </w:rPr>
        <mc:AlternateContent>
          <mc:Choice Requires="wps">
            <w:drawing>
              <wp:inline distT="0" distB="0" distL="0" distR="0">
                <wp:extent cx="6185535" cy="170815"/>
                <wp:effectExtent l="19050" t="0" r="62864" b="635"/>
                <wp:docPr id="905" name="Group 905"/>
                <wp:cNvGraphicFramePr>
                  <a:graphicFrameLocks/>
                </wp:cNvGraphicFramePr>
                <a:graphic>
                  <a:graphicData uri="http://schemas.microsoft.com/office/word/2010/wordprocessingGroup">
                    <wpg:wgp>
                      <wpg:cNvPr id="905" name="Group 905"/>
                      <wpg:cNvGrpSpPr/>
                      <wpg:grpSpPr>
                        <a:xfrm>
                          <a:off x="0" y="0"/>
                          <a:ext cx="6185535" cy="170815"/>
                          <a:chExt cx="6185535" cy="170815"/>
                        </a:xfrm>
                      </wpg:grpSpPr>
                      <wps:wsp>
                        <wps:cNvPr id="906" name="Graphic 906"/>
                        <wps:cNvSpPr/>
                        <wps:spPr>
                          <a:xfrm>
                            <a:off x="6161574"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907" name="Graphic 907"/>
                        <wps:cNvSpPr/>
                        <wps:spPr>
                          <a:xfrm>
                            <a:off x="0" y="15866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908" name="Textbox 90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2930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34" coordorigin="0,0" coordsize="9741,269">
                <v:line style="position:absolute" from="9703,145" to="9741,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735" filled="false" stroked="false">
                  <v:textbox inset="0,0,0,0">
                    <w:txbxContent>
                      <w:p>
                        <w:pPr>
                          <w:spacing w:before="6"/>
                          <w:ind w:left="-1" w:right="0" w:firstLine="0"/>
                          <w:jc w:val="left"/>
                          <w:rPr>
                            <w:sz w:val="18"/>
                          </w:rPr>
                        </w:pPr>
                        <w:r>
                          <w:rPr>
                            <w:b/>
                            <w:color w:val="231F20"/>
                            <w:w w:val="105"/>
                            <w:sz w:val="18"/>
                          </w:rPr>
                          <w:t>2930</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i/>
          <w:sz w:val="15"/>
        </w:rPr>
      </w:pPr>
    </w:p>
    <w:tbl>
      <w:tblPr>
        <w:tblW w:w="0" w:type="auto"/>
        <w:jc w:val="lef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784"/>
        <w:gridCol w:w="781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3</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Common</w:t>
            </w:r>
            <w:r>
              <w:rPr>
                <w:color w:val="FFFFFF"/>
                <w:spacing w:val="16"/>
                <w:w w:val="105"/>
                <w:sz w:val="16"/>
              </w:rPr>
              <w:t> </w:t>
            </w:r>
            <w:r>
              <w:rPr>
                <w:color w:val="FFFFFF"/>
                <w:w w:val="105"/>
                <w:sz w:val="16"/>
              </w:rPr>
              <w:t>Risk</w:t>
            </w:r>
            <w:r>
              <w:rPr>
                <w:color w:val="FFFFFF"/>
                <w:spacing w:val="16"/>
                <w:w w:val="105"/>
                <w:sz w:val="16"/>
              </w:rPr>
              <w:t> </w:t>
            </w:r>
            <w:r>
              <w:rPr>
                <w:color w:val="FFFFFF"/>
                <w:w w:val="105"/>
                <w:sz w:val="16"/>
              </w:rPr>
              <w:t>Factors</w:t>
            </w:r>
            <w:r>
              <w:rPr>
                <w:color w:val="FFFFFF"/>
                <w:spacing w:val="16"/>
                <w:w w:val="105"/>
                <w:sz w:val="16"/>
              </w:rPr>
              <w:t> </w:t>
            </w:r>
            <w:r>
              <w:rPr>
                <w:color w:val="FFFFFF"/>
                <w:w w:val="105"/>
                <w:sz w:val="16"/>
              </w:rPr>
              <w:t>for</w:t>
            </w:r>
            <w:r>
              <w:rPr>
                <w:color w:val="FFFFFF"/>
                <w:spacing w:val="16"/>
                <w:w w:val="105"/>
                <w:sz w:val="16"/>
              </w:rPr>
              <w:t> </w:t>
            </w:r>
            <w:r>
              <w:rPr>
                <w:color w:val="FFFFFF"/>
                <w:w w:val="105"/>
                <w:sz w:val="16"/>
              </w:rPr>
              <w:t>Cerebral</w:t>
            </w:r>
            <w:r>
              <w:rPr>
                <w:color w:val="FFFFFF"/>
                <w:spacing w:val="16"/>
                <w:w w:val="105"/>
                <w:sz w:val="16"/>
              </w:rPr>
              <w:t> </w:t>
            </w:r>
            <w:r>
              <w:rPr>
                <w:color w:val="FFFFFF"/>
                <w:w w:val="105"/>
                <w:sz w:val="16"/>
              </w:rPr>
              <w:t>Sinovenous</w:t>
            </w:r>
            <w:r>
              <w:rPr>
                <w:color w:val="FFFFFF"/>
                <w:spacing w:val="16"/>
                <w:w w:val="105"/>
                <w:sz w:val="16"/>
              </w:rPr>
              <w:t> </w:t>
            </w:r>
            <w:r>
              <w:rPr>
                <w:color w:val="FFFFFF"/>
                <w:w w:val="105"/>
                <w:sz w:val="16"/>
              </w:rPr>
              <w:t>Thrombosis</w:t>
            </w:r>
            <w:r>
              <w:rPr>
                <w:color w:val="FFFFFF"/>
                <w:spacing w:val="17"/>
                <w:w w:val="105"/>
                <w:sz w:val="16"/>
              </w:rPr>
              <w:t> </w:t>
            </w:r>
            <w:r>
              <w:rPr>
                <w:color w:val="FFFFFF"/>
                <w:w w:val="105"/>
                <w:sz w:val="16"/>
              </w:rPr>
              <w:t>in</w:t>
            </w:r>
            <w:r>
              <w:rPr>
                <w:color w:val="FFFFFF"/>
                <w:spacing w:val="16"/>
                <w:w w:val="105"/>
                <w:sz w:val="16"/>
              </w:rPr>
              <w:t> </w:t>
            </w:r>
            <w:r>
              <w:rPr>
                <w:color w:val="FFFFFF"/>
                <w:spacing w:val="-2"/>
                <w:w w:val="105"/>
                <w:sz w:val="16"/>
              </w:rPr>
              <w:t>Children</w:t>
            </w:r>
          </w:p>
        </w:tc>
      </w:tr>
      <w:tr>
        <w:trPr>
          <w:trHeight w:val="257" w:hRule="atLeast"/>
        </w:trPr>
        <w:tc>
          <w:tcPr>
            <w:tcW w:w="1932" w:type="dxa"/>
            <w:gridSpan w:val="2"/>
            <w:tcBorders>
              <w:bottom w:val="single" w:sz="4" w:space="0" w:color="231F20"/>
            </w:tcBorders>
            <w:shd w:val="clear" w:color="auto" w:fill="E8F5F1"/>
          </w:tcPr>
          <w:p>
            <w:pPr>
              <w:pStyle w:val="TableParagraph"/>
              <w:spacing w:before="47"/>
              <w:ind w:left="74"/>
              <w:rPr>
                <w:b/>
                <w:sz w:val="15"/>
              </w:rPr>
            </w:pPr>
            <w:r>
              <w:rPr>
                <w:b/>
                <w:color w:val="231F20"/>
                <w:w w:val="110"/>
                <w:sz w:val="15"/>
              </w:rPr>
              <w:t>MAJOR</w:t>
            </w:r>
            <w:r>
              <w:rPr>
                <w:b/>
                <w:color w:val="231F20"/>
                <w:spacing w:val="15"/>
                <w:w w:val="110"/>
                <w:sz w:val="15"/>
              </w:rPr>
              <w:t> </w:t>
            </w:r>
            <w:r>
              <w:rPr>
                <w:b/>
                <w:color w:val="231F20"/>
                <w:spacing w:val="-2"/>
                <w:w w:val="110"/>
                <w:sz w:val="15"/>
              </w:rPr>
              <w:t>CATEGORIES</w:t>
            </w:r>
          </w:p>
        </w:tc>
        <w:tc>
          <w:tcPr>
            <w:tcW w:w="7810" w:type="dxa"/>
            <w:tcBorders>
              <w:bottom w:val="single" w:sz="4" w:space="0" w:color="231F20"/>
            </w:tcBorders>
            <w:shd w:val="clear" w:color="auto" w:fill="E8F5F1"/>
          </w:tcPr>
          <w:p>
            <w:pPr>
              <w:pStyle w:val="TableParagraph"/>
              <w:spacing w:before="47"/>
              <w:ind w:left="225"/>
              <w:jc w:val="center"/>
              <w:rPr>
                <w:b/>
                <w:sz w:val="15"/>
              </w:rPr>
            </w:pPr>
            <w:r>
              <w:rPr>
                <w:b/>
                <w:color w:val="231F20"/>
                <w:spacing w:val="-2"/>
                <w:w w:val="110"/>
                <w:sz w:val="15"/>
              </w:rPr>
              <w:t>EXAMPLES</w:t>
            </w:r>
          </w:p>
        </w:tc>
      </w:tr>
      <w:tr>
        <w:trPr>
          <w:trHeight w:val="1936" w:hRule="atLeast"/>
        </w:trPr>
        <w:tc>
          <w:tcPr>
            <w:tcW w:w="193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w w:val="105"/>
                <w:sz w:val="15"/>
              </w:rPr>
              <w:t>Blood</w:t>
            </w:r>
            <w:r>
              <w:rPr>
                <w:color w:val="231F20"/>
                <w:spacing w:val="2"/>
                <w:w w:val="105"/>
                <w:sz w:val="15"/>
              </w:rPr>
              <w:t> </w:t>
            </w:r>
            <w:r>
              <w:rPr>
                <w:color w:val="231F20"/>
                <w:spacing w:val="-2"/>
                <w:w w:val="105"/>
                <w:sz w:val="15"/>
              </w:rPr>
              <w:t>coagulation</w:t>
            </w:r>
          </w:p>
        </w:tc>
        <w:tc>
          <w:tcPr>
            <w:tcW w:w="7810" w:type="dxa"/>
            <w:tcBorders>
              <w:top w:val="single" w:sz="4" w:space="0" w:color="231F20"/>
              <w:bottom w:val="single" w:sz="4" w:space="0" w:color="FFFFFF"/>
            </w:tcBorders>
            <w:shd w:val="clear" w:color="auto" w:fill="E8F5F1"/>
          </w:tcPr>
          <w:p>
            <w:pPr>
              <w:pStyle w:val="TableParagraph"/>
              <w:spacing w:line="171" w:lineRule="exact" w:before="47"/>
              <w:ind w:left="301"/>
              <w:rPr>
                <w:sz w:val="15"/>
              </w:rPr>
            </w:pPr>
            <w:r>
              <w:rPr>
                <w:color w:val="231F20"/>
                <w:sz w:val="15"/>
              </w:rPr>
              <w:t>Prothrombotic</w:t>
            </w:r>
            <w:r>
              <w:rPr>
                <w:color w:val="231F20"/>
                <w:spacing w:val="-9"/>
                <w:sz w:val="15"/>
              </w:rPr>
              <w:t> </w:t>
            </w:r>
            <w:r>
              <w:rPr>
                <w:color w:val="231F20"/>
                <w:spacing w:val="-2"/>
                <w:sz w:val="15"/>
              </w:rPr>
              <w:t>conditions</w:t>
            </w:r>
          </w:p>
          <w:p>
            <w:pPr>
              <w:pStyle w:val="TableParagraph"/>
              <w:spacing w:line="230" w:lineRule="auto" w:before="2"/>
              <w:ind w:left="525" w:right="13" w:hanging="112"/>
              <w:rPr>
                <w:sz w:val="15"/>
              </w:rPr>
            </w:pPr>
            <w:r>
              <w:rPr>
                <w:color w:val="231F20"/>
                <w:sz w:val="15"/>
              </w:rPr>
              <w:t>Factor</w:t>
            </w:r>
            <w:r>
              <w:rPr>
                <w:color w:val="231F20"/>
                <w:spacing w:val="-11"/>
                <w:sz w:val="15"/>
              </w:rPr>
              <w:t> </w:t>
            </w:r>
            <w:r>
              <w:rPr>
                <w:color w:val="231F20"/>
                <w:sz w:val="15"/>
              </w:rPr>
              <w:t>V</w:t>
            </w:r>
            <w:r>
              <w:rPr>
                <w:color w:val="231F20"/>
                <w:spacing w:val="-11"/>
                <w:sz w:val="15"/>
              </w:rPr>
              <w:t> </w:t>
            </w:r>
            <w:r>
              <w:rPr>
                <w:color w:val="231F20"/>
                <w:sz w:val="15"/>
              </w:rPr>
              <w:t>Leiden,</w:t>
            </w:r>
            <w:r>
              <w:rPr>
                <w:color w:val="231F20"/>
                <w:spacing w:val="-11"/>
                <w:sz w:val="15"/>
              </w:rPr>
              <w:t> </w:t>
            </w:r>
            <w:r>
              <w:rPr>
                <w:color w:val="231F20"/>
                <w:sz w:val="15"/>
              </w:rPr>
              <w:t>prothrombin</w:t>
            </w:r>
            <w:r>
              <w:rPr>
                <w:color w:val="231F20"/>
                <w:spacing w:val="-11"/>
                <w:sz w:val="15"/>
              </w:rPr>
              <w:t> </w:t>
            </w:r>
            <w:r>
              <w:rPr>
                <w:color w:val="231F20"/>
                <w:sz w:val="15"/>
              </w:rPr>
              <w:t>gene</w:t>
            </w:r>
            <w:r>
              <w:rPr>
                <w:color w:val="231F20"/>
                <w:spacing w:val="-11"/>
                <w:sz w:val="15"/>
              </w:rPr>
              <w:t> </w:t>
            </w:r>
            <w:r>
              <w:rPr>
                <w:color w:val="231F20"/>
                <w:sz w:val="15"/>
              </w:rPr>
              <w:t>mutation</w:t>
            </w:r>
            <w:r>
              <w:rPr>
                <w:color w:val="231F20"/>
                <w:spacing w:val="-11"/>
                <w:sz w:val="15"/>
              </w:rPr>
              <w:t> </w:t>
            </w:r>
            <w:r>
              <w:rPr>
                <w:color w:val="231F20"/>
                <w:sz w:val="15"/>
              </w:rPr>
              <w:t>20210A,</w:t>
            </w:r>
            <w:r>
              <w:rPr>
                <w:color w:val="231F20"/>
                <w:spacing w:val="-11"/>
                <w:sz w:val="15"/>
              </w:rPr>
              <w:t> </w:t>
            </w:r>
            <w:r>
              <w:rPr>
                <w:color w:val="231F20"/>
                <w:sz w:val="15"/>
              </w:rPr>
              <w:t>protein</w:t>
            </w:r>
            <w:r>
              <w:rPr>
                <w:color w:val="231F20"/>
                <w:spacing w:val="-11"/>
                <w:sz w:val="15"/>
              </w:rPr>
              <w:t> </w:t>
            </w:r>
            <w:r>
              <w:rPr>
                <w:color w:val="231F20"/>
                <w:sz w:val="15"/>
              </w:rPr>
              <w:t>C</w:t>
            </w:r>
            <w:r>
              <w:rPr>
                <w:color w:val="231F20"/>
                <w:spacing w:val="-11"/>
                <w:sz w:val="15"/>
              </w:rPr>
              <w:t> </w:t>
            </w:r>
            <w:r>
              <w:rPr>
                <w:color w:val="231F20"/>
                <w:sz w:val="15"/>
              </w:rPr>
              <w:t>deficiency,</w:t>
            </w:r>
            <w:r>
              <w:rPr>
                <w:color w:val="231F20"/>
                <w:spacing w:val="-11"/>
                <w:sz w:val="15"/>
              </w:rPr>
              <w:t> </w:t>
            </w:r>
            <w:r>
              <w:rPr>
                <w:color w:val="231F20"/>
                <w:sz w:val="15"/>
              </w:rPr>
              <w:t>protein</w:t>
            </w:r>
            <w:r>
              <w:rPr>
                <w:color w:val="231F20"/>
                <w:spacing w:val="-11"/>
                <w:sz w:val="15"/>
              </w:rPr>
              <w:t> </w:t>
            </w:r>
            <w:r>
              <w:rPr>
                <w:color w:val="231F20"/>
                <w:sz w:val="15"/>
              </w:rPr>
              <w:t>S</w:t>
            </w:r>
            <w:r>
              <w:rPr>
                <w:color w:val="231F20"/>
                <w:spacing w:val="-11"/>
                <w:sz w:val="15"/>
              </w:rPr>
              <w:t> </w:t>
            </w:r>
            <w:r>
              <w:rPr>
                <w:color w:val="231F20"/>
                <w:sz w:val="15"/>
              </w:rPr>
              <w:t>deficiency,</w:t>
            </w:r>
            <w:r>
              <w:rPr>
                <w:color w:val="231F20"/>
                <w:spacing w:val="-11"/>
                <w:sz w:val="15"/>
              </w:rPr>
              <w:t> </w:t>
            </w:r>
            <w:r>
              <w:rPr>
                <w:color w:val="231F20"/>
                <w:sz w:val="15"/>
              </w:rPr>
              <w:t>antithrombin III</w:t>
            </w:r>
            <w:r>
              <w:rPr>
                <w:color w:val="231F20"/>
                <w:spacing w:val="-3"/>
                <w:sz w:val="15"/>
              </w:rPr>
              <w:t> </w:t>
            </w:r>
            <w:r>
              <w:rPr>
                <w:color w:val="231F20"/>
                <w:sz w:val="15"/>
              </w:rPr>
              <w:t>deficiency,</w:t>
            </w:r>
            <w:r>
              <w:rPr>
                <w:color w:val="231F20"/>
                <w:spacing w:val="-3"/>
                <w:sz w:val="15"/>
              </w:rPr>
              <w:t> </w:t>
            </w:r>
            <w:r>
              <w:rPr>
                <w:color w:val="231F20"/>
                <w:sz w:val="15"/>
              </w:rPr>
              <w:t>lipoprotein</w:t>
            </w:r>
            <w:r>
              <w:rPr>
                <w:color w:val="231F20"/>
                <w:spacing w:val="-3"/>
                <w:sz w:val="15"/>
              </w:rPr>
              <w:t> </w:t>
            </w:r>
            <w:r>
              <w:rPr>
                <w:color w:val="231F20"/>
                <w:sz w:val="15"/>
              </w:rPr>
              <w:t>a,</w:t>
            </w:r>
            <w:r>
              <w:rPr>
                <w:color w:val="231F20"/>
                <w:spacing w:val="-3"/>
                <w:sz w:val="15"/>
              </w:rPr>
              <w:t> </w:t>
            </w:r>
            <w:r>
              <w:rPr>
                <w:color w:val="231F20"/>
                <w:sz w:val="15"/>
              </w:rPr>
              <w:t>antiphospholipid</w:t>
            </w:r>
            <w:r>
              <w:rPr>
                <w:color w:val="231F20"/>
                <w:spacing w:val="-3"/>
                <w:sz w:val="15"/>
              </w:rPr>
              <w:t> </w:t>
            </w:r>
            <w:r>
              <w:rPr>
                <w:color w:val="231F20"/>
                <w:sz w:val="15"/>
              </w:rPr>
              <w:t>antibodies</w:t>
            </w:r>
            <w:r>
              <w:rPr>
                <w:color w:val="231F20"/>
                <w:spacing w:val="-3"/>
                <w:sz w:val="15"/>
              </w:rPr>
              <w:t> </w:t>
            </w:r>
            <w:r>
              <w:rPr>
                <w:color w:val="231F20"/>
                <w:sz w:val="15"/>
              </w:rPr>
              <w:t>(lupus</w:t>
            </w:r>
            <w:r>
              <w:rPr>
                <w:color w:val="231F20"/>
                <w:spacing w:val="-3"/>
                <w:sz w:val="15"/>
              </w:rPr>
              <w:t> </w:t>
            </w:r>
            <w:r>
              <w:rPr>
                <w:color w:val="231F20"/>
                <w:sz w:val="15"/>
              </w:rPr>
              <w:t>anticoagulant,</w:t>
            </w:r>
            <w:r>
              <w:rPr>
                <w:color w:val="231F20"/>
                <w:spacing w:val="-3"/>
                <w:sz w:val="15"/>
              </w:rPr>
              <w:t> </w:t>
            </w:r>
            <w:r>
              <w:rPr>
                <w:color w:val="231F20"/>
                <w:sz w:val="15"/>
              </w:rPr>
              <w:t>anticardiolipin</w:t>
            </w:r>
            <w:r>
              <w:rPr>
                <w:color w:val="231F20"/>
                <w:spacing w:val="-3"/>
                <w:sz w:val="15"/>
              </w:rPr>
              <w:t> </w:t>
            </w:r>
            <w:r>
              <w:rPr>
                <w:color w:val="231F20"/>
                <w:sz w:val="15"/>
              </w:rPr>
              <w:t>antibodies), </w:t>
            </w:r>
            <w:r>
              <w:rPr>
                <w:color w:val="231F20"/>
                <w:spacing w:val="-2"/>
                <w:sz w:val="15"/>
              </w:rPr>
              <w:t>pregnancy/puerperium</w:t>
            </w:r>
          </w:p>
          <w:p>
            <w:pPr>
              <w:pStyle w:val="TableParagraph"/>
              <w:spacing w:line="230" w:lineRule="auto" w:before="2"/>
              <w:ind w:left="301" w:right="3548"/>
              <w:rPr>
                <w:sz w:val="15"/>
              </w:rPr>
            </w:pPr>
            <w:r>
              <w:rPr>
                <w:color w:val="231F20"/>
                <w:spacing w:val="-4"/>
                <w:sz w:val="15"/>
              </w:rPr>
              <w:t>Dehydration (e.g., gastroenteritis, neonatal failure to </w:t>
            </w:r>
            <w:r>
              <w:rPr>
                <w:color w:val="231F20"/>
                <w:spacing w:val="-4"/>
                <w:sz w:val="15"/>
              </w:rPr>
              <w:t>thrive) </w:t>
            </w:r>
            <w:r>
              <w:rPr>
                <w:color w:val="231F20"/>
                <w:sz w:val="15"/>
              </w:rPr>
              <w:t>Iron-deficiency anemia</w:t>
            </w:r>
          </w:p>
          <w:p>
            <w:pPr>
              <w:pStyle w:val="TableParagraph"/>
              <w:spacing w:line="167" w:lineRule="exact"/>
              <w:ind w:left="301"/>
              <w:rPr>
                <w:sz w:val="15"/>
              </w:rPr>
            </w:pPr>
            <w:r>
              <w:rPr>
                <w:color w:val="231F20"/>
                <w:sz w:val="15"/>
              </w:rPr>
              <w:t>Drugs</w:t>
            </w:r>
            <w:r>
              <w:rPr>
                <w:color w:val="231F20"/>
                <w:spacing w:val="-8"/>
                <w:sz w:val="15"/>
              </w:rPr>
              <w:t> </w:t>
            </w:r>
            <w:r>
              <w:rPr>
                <w:color w:val="231F20"/>
                <w:sz w:val="15"/>
              </w:rPr>
              <w:t>and</w:t>
            </w:r>
            <w:r>
              <w:rPr>
                <w:color w:val="231F20"/>
                <w:spacing w:val="-7"/>
                <w:sz w:val="15"/>
              </w:rPr>
              <w:t> </w:t>
            </w:r>
            <w:r>
              <w:rPr>
                <w:color w:val="231F20"/>
                <w:sz w:val="15"/>
              </w:rPr>
              <w:t>toxins</w:t>
            </w:r>
            <w:r>
              <w:rPr>
                <w:color w:val="231F20"/>
                <w:spacing w:val="-8"/>
                <w:sz w:val="15"/>
              </w:rPr>
              <w:t> </w:t>
            </w:r>
            <w:r>
              <w:rPr>
                <w:color w:val="231F20"/>
                <w:sz w:val="15"/>
              </w:rPr>
              <w:t>(e.g.,</w:t>
            </w:r>
            <w:r>
              <w:rPr>
                <w:color w:val="231F20"/>
                <w:spacing w:val="-7"/>
                <w:sz w:val="15"/>
              </w:rPr>
              <w:t> </w:t>
            </w:r>
            <w:r>
              <w:rPr>
                <w:color w:val="231F20"/>
                <w:sz w:val="12"/>
              </w:rPr>
              <w:t>L</w:t>
            </w:r>
            <w:r>
              <w:rPr>
                <w:color w:val="231F20"/>
                <w:sz w:val="15"/>
              </w:rPr>
              <w:t>-asparaginase,</w:t>
            </w:r>
            <w:r>
              <w:rPr>
                <w:color w:val="231F20"/>
                <w:spacing w:val="-8"/>
                <w:sz w:val="15"/>
              </w:rPr>
              <w:t> </w:t>
            </w:r>
            <w:r>
              <w:rPr>
                <w:color w:val="231F20"/>
                <w:sz w:val="15"/>
              </w:rPr>
              <w:t>oral</w:t>
            </w:r>
            <w:r>
              <w:rPr>
                <w:color w:val="231F20"/>
                <w:spacing w:val="-7"/>
                <w:sz w:val="15"/>
              </w:rPr>
              <w:t> </w:t>
            </w:r>
            <w:r>
              <w:rPr>
                <w:color w:val="231F20"/>
                <w:spacing w:val="-2"/>
                <w:sz w:val="15"/>
              </w:rPr>
              <w:t>contraceptives)</w:t>
            </w:r>
          </w:p>
          <w:p>
            <w:pPr>
              <w:pStyle w:val="TableParagraph"/>
              <w:spacing w:line="168" w:lineRule="exact"/>
              <w:ind w:left="301"/>
              <w:rPr>
                <w:sz w:val="15"/>
              </w:rPr>
            </w:pPr>
            <w:r>
              <w:rPr>
                <w:color w:val="231F20"/>
                <w:spacing w:val="-2"/>
                <w:sz w:val="15"/>
              </w:rPr>
              <w:t>Acute</w:t>
            </w:r>
            <w:r>
              <w:rPr>
                <w:color w:val="231F20"/>
                <w:spacing w:val="-4"/>
                <w:sz w:val="15"/>
              </w:rPr>
              <w:t> </w:t>
            </w:r>
            <w:r>
              <w:rPr>
                <w:color w:val="231F20"/>
                <w:spacing w:val="-2"/>
                <w:sz w:val="15"/>
              </w:rPr>
              <w:t>systemic</w:t>
            </w:r>
            <w:r>
              <w:rPr>
                <w:color w:val="231F20"/>
                <w:spacing w:val="-3"/>
                <w:sz w:val="15"/>
              </w:rPr>
              <w:t> </w:t>
            </w:r>
            <w:r>
              <w:rPr>
                <w:color w:val="231F20"/>
                <w:spacing w:val="-2"/>
                <w:sz w:val="15"/>
              </w:rPr>
              <w:t>illness</w:t>
            </w:r>
            <w:r>
              <w:rPr>
                <w:color w:val="231F20"/>
                <w:spacing w:val="-3"/>
                <w:sz w:val="15"/>
              </w:rPr>
              <w:t> </w:t>
            </w:r>
            <w:r>
              <w:rPr>
                <w:color w:val="231F20"/>
                <w:spacing w:val="-2"/>
                <w:sz w:val="15"/>
              </w:rPr>
              <w:t>(e.g.,</w:t>
            </w:r>
            <w:r>
              <w:rPr>
                <w:color w:val="231F20"/>
                <w:spacing w:val="-3"/>
                <w:sz w:val="15"/>
              </w:rPr>
              <w:t> </w:t>
            </w:r>
            <w:r>
              <w:rPr>
                <w:color w:val="231F20"/>
                <w:spacing w:val="-2"/>
                <w:sz w:val="15"/>
              </w:rPr>
              <w:t>sepsis,</w:t>
            </w:r>
            <w:r>
              <w:rPr>
                <w:color w:val="231F20"/>
                <w:spacing w:val="-3"/>
                <w:sz w:val="15"/>
              </w:rPr>
              <w:t> </w:t>
            </w:r>
            <w:r>
              <w:rPr>
                <w:color w:val="231F20"/>
                <w:spacing w:val="-2"/>
                <w:sz w:val="15"/>
              </w:rPr>
              <w:t>disseminated</w:t>
            </w:r>
            <w:r>
              <w:rPr>
                <w:color w:val="231F20"/>
                <w:spacing w:val="-3"/>
                <w:sz w:val="15"/>
              </w:rPr>
              <w:t> </w:t>
            </w:r>
            <w:r>
              <w:rPr>
                <w:color w:val="231F20"/>
                <w:spacing w:val="-2"/>
                <w:sz w:val="15"/>
              </w:rPr>
              <w:t>intravascular</w:t>
            </w:r>
            <w:r>
              <w:rPr>
                <w:color w:val="231F20"/>
                <w:spacing w:val="-3"/>
                <w:sz w:val="15"/>
              </w:rPr>
              <w:t> </w:t>
            </w:r>
            <w:r>
              <w:rPr>
                <w:color w:val="231F20"/>
                <w:spacing w:val="-2"/>
                <w:sz w:val="15"/>
              </w:rPr>
              <w:t>coagulation)</w:t>
            </w:r>
          </w:p>
          <w:p>
            <w:pPr>
              <w:pStyle w:val="TableParagraph"/>
              <w:spacing w:line="230" w:lineRule="auto" w:before="3"/>
              <w:ind w:left="301" w:right="268"/>
              <w:rPr>
                <w:sz w:val="15"/>
              </w:rPr>
            </w:pPr>
            <w:r>
              <w:rPr>
                <w:color w:val="231F20"/>
                <w:spacing w:val="-2"/>
                <w:sz w:val="15"/>
              </w:rPr>
              <w:t>Chronic</w:t>
            </w:r>
            <w:r>
              <w:rPr>
                <w:color w:val="231F20"/>
                <w:spacing w:val="-4"/>
                <w:sz w:val="15"/>
              </w:rPr>
              <w:t> </w:t>
            </w:r>
            <w:r>
              <w:rPr>
                <w:color w:val="231F20"/>
                <w:spacing w:val="-2"/>
                <w:sz w:val="15"/>
              </w:rPr>
              <w:t>systemic</w:t>
            </w:r>
            <w:r>
              <w:rPr>
                <w:color w:val="231F20"/>
                <w:spacing w:val="-4"/>
                <w:sz w:val="15"/>
              </w:rPr>
              <w:t> </w:t>
            </w:r>
            <w:r>
              <w:rPr>
                <w:color w:val="231F20"/>
                <w:spacing w:val="-2"/>
                <w:sz w:val="15"/>
              </w:rPr>
              <w:t>illness</w:t>
            </w:r>
            <w:r>
              <w:rPr>
                <w:color w:val="231F20"/>
                <w:spacing w:val="-4"/>
                <w:sz w:val="15"/>
              </w:rPr>
              <w:t> </w:t>
            </w:r>
            <w:r>
              <w:rPr>
                <w:color w:val="231F20"/>
                <w:spacing w:val="-2"/>
                <w:sz w:val="15"/>
              </w:rPr>
              <w:t>(e.g.,</w:t>
            </w:r>
            <w:r>
              <w:rPr>
                <w:color w:val="231F20"/>
                <w:spacing w:val="-4"/>
                <w:sz w:val="15"/>
              </w:rPr>
              <w:t> </w:t>
            </w:r>
            <w:r>
              <w:rPr>
                <w:color w:val="231F20"/>
                <w:spacing w:val="-2"/>
                <w:sz w:val="15"/>
              </w:rPr>
              <w:t>inflammatory</w:t>
            </w:r>
            <w:r>
              <w:rPr>
                <w:color w:val="231F20"/>
                <w:spacing w:val="-4"/>
                <w:sz w:val="15"/>
              </w:rPr>
              <w:t> </w:t>
            </w:r>
            <w:r>
              <w:rPr>
                <w:color w:val="231F20"/>
                <w:spacing w:val="-2"/>
                <w:sz w:val="15"/>
              </w:rPr>
              <w:t>bowel</w:t>
            </w:r>
            <w:r>
              <w:rPr>
                <w:color w:val="231F20"/>
                <w:spacing w:val="-4"/>
                <w:sz w:val="15"/>
              </w:rPr>
              <w:t> </w:t>
            </w:r>
            <w:r>
              <w:rPr>
                <w:color w:val="231F20"/>
                <w:spacing w:val="-2"/>
                <w:sz w:val="15"/>
              </w:rPr>
              <w:t>disease,</w:t>
            </w:r>
            <w:r>
              <w:rPr>
                <w:color w:val="231F20"/>
                <w:spacing w:val="-4"/>
                <w:sz w:val="15"/>
              </w:rPr>
              <w:t> </w:t>
            </w:r>
            <w:r>
              <w:rPr>
                <w:color w:val="231F20"/>
                <w:spacing w:val="-2"/>
                <w:sz w:val="15"/>
              </w:rPr>
              <w:t>systemic</w:t>
            </w:r>
            <w:r>
              <w:rPr>
                <w:color w:val="231F20"/>
                <w:spacing w:val="-4"/>
                <w:sz w:val="15"/>
              </w:rPr>
              <w:t> </w:t>
            </w:r>
            <w:r>
              <w:rPr>
                <w:color w:val="231F20"/>
                <w:spacing w:val="-2"/>
                <w:sz w:val="15"/>
              </w:rPr>
              <w:t>lupus</w:t>
            </w:r>
            <w:r>
              <w:rPr>
                <w:color w:val="231F20"/>
                <w:spacing w:val="-4"/>
                <w:sz w:val="15"/>
              </w:rPr>
              <w:t> </w:t>
            </w:r>
            <w:r>
              <w:rPr>
                <w:color w:val="231F20"/>
                <w:spacing w:val="-2"/>
                <w:sz w:val="15"/>
              </w:rPr>
              <w:t>erythematosus,</w:t>
            </w:r>
            <w:r>
              <w:rPr>
                <w:color w:val="231F20"/>
                <w:spacing w:val="-4"/>
                <w:sz w:val="15"/>
              </w:rPr>
              <w:t> </w:t>
            </w:r>
            <w:r>
              <w:rPr>
                <w:color w:val="231F20"/>
                <w:spacing w:val="-2"/>
                <w:sz w:val="15"/>
              </w:rPr>
              <w:t>leukemia) </w:t>
            </w:r>
            <w:r>
              <w:rPr>
                <w:color w:val="231F20"/>
                <w:sz w:val="15"/>
              </w:rPr>
              <w:t>Nephrotic syndrome</w:t>
            </w:r>
          </w:p>
          <w:p>
            <w:pPr>
              <w:pStyle w:val="TableParagraph"/>
              <w:spacing w:line="170" w:lineRule="exact"/>
              <w:ind w:left="301"/>
              <w:rPr>
                <w:sz w:val="15"/>
              </w:rPr>
            </w:pPr>
            <w:r>
              <w:rPr>
                <w:color w:val="231F20"/>
                <w:spacing w:val="-2"/>
                <w:sz w:val="15"/>
              </w:rPr>
              <w:t>Inborn errors of</w:t>
            </w:r>
            <w:r>
              <w:rPr>
                <w:color w:val="231F20"/>
                <w:spacing w:val="-1"/>
                <w:sz w:val="15"/>
              </w:rPr>
              <w:t> </w:t>
            </w:r>
            <w:r>
              <w:rPr>
                <w:color w:val="231F20"/>
                <w:spacing w:val="-2"/>
                <w:sz w:val="15"/>
              </w:rPr>
              <w:t>metabolism (e.g.,</w:t>
            </w:r>
            <w:r>
              <w:rPr>
                <w:color w:val="231F20"/>
                <w:spacing w:val="-1"/>
                <w:sz w:val="15"/>
              </w:rPr>
              <w:t> </w:t>
            </w:r>
            <w:r>
              <w:rPr>
                <w:color w:val="231F20"/>
                <w:spacing w:val="-2"/>
                <w:sz w:val="15"/>
              </w:rPr>
              <w:t>homocystinuria)</w:t>
            </w:r>
          </w:p>
        </w:tc>
      </w:tr>
      <w:tr>
        <w:trPr>
          <w:trHeight w:val="1423" w:hRule="atLeast"/>
        </w:trPr>
        <w:tc>
          <w:tcPr>
            <w:tcW w:w="193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Blood</w:t>
            </w:r>
            <w:r>
              <w:rPr>
                <w:color w:val="231F20"/>
                <w:spacing w:val="23"/>
                <w:sz w:val="15"/>
              </w:rPr>
              <w:t> </w:t>
            </w:r>
            <w:r>
              <w:rPr>
                <w:color w:val="231F20"/>
                <w:spacing w:val="-2"/>
                <w:sz w:val="15"/>
              </w:rPr>
              <w:t>vessel</w:t>
            </w:r>
          </w:p>
        </w:tc>
        <w:tc>
          <w:tcPr>
            <w:tcW w:w="7810" w:type="dxa"/>
            <w:tcBorders>
              <w:top w:val="single" w:sz="4" w:space="0" w:color="FFFFFF"/>
              <w:bottom w:val="single" w:sz="8" w:space="0" w:color="231F20"/>
            </w:tcBorders>
            <w:shd w:val="clear" w:color="auto" w:fill="E8F5F1"/>
          </w:tcPr>
          <w:p>
            <w:pPr>
              <w:pStyle w:val="TableParagraph"/>
              <w:spacing w:line="171" w:lineRule="exact" w:before="42"/>
              <w:ind w:left="301"/>
              <w:rPr>
                <w:sz w:val="15"/>
              </w:rPr>
            </w:pPr>
            <w:r>
              <w:rPr>
                <w:color w:val="231F20"/>
                <w:spacing w:val="-2"/>
                <w:sz w:val="15"/>
              </w:rPr>
              <w:t>Infection/thrombophlebitis</w:t>
            </w:r>
          </w:p>
          <w:p>
            <w:pPr>
              <w:pStyle w:val="TableParagraph"/>
              <w:spacing w:line="230" w:lineRule="auto" w:before="2"/>
              <w:ind w:left="413" w:right="1350"/>
              <w:rPr>
                <w:sz w:val="15"/>
              </w:rPr>
            </w:pPr>
            <w:r>
              <w:rPr>
                <w:color w:val="231F20"/>
                <w:spacing w:val="-2"/>
                <w:sz w:val="15"/>
              </w:rPr>
              <w:t>Otitis</w:t>
            </w:r>
            <w:r>
              <w:rPr>
                <w:color w:val="231F20"/>
                <w:spacing w:val="-4"/>
                <w:sz w:val="15"/>
              </w:rPr>
              <w:t> </w:t>
            </w:r>
            <w:r>
              <w:rPr>
                <w:color w:val="231F20"/>
                <w:spacing w:val="-2"/>
                <w:sz w:val="15"/>
              </w:rPr>
              <w:t>media,</w:t>
            </w:r>
            <w:r>
              <w:rPr>
                <w:color w:val="231F20"/>
                <w:spacing w:val="-4"/>
                <w:sz w:val="15"/>
              </w:rPr>
              <w:t> </w:t>
            </w:r>
            <w:r>
              <w:rPr>
                <w:color w:val="231F20"/>
                <w:spacing w:val="-2"/>
                <w:sz w:val="15"/>
              </w:rPr>
              <w:t>mastoiditis,</w:t>
            </w:r>
            <w:r>
              <w:rPr>
                <w:color w:val="231F20"/>
                <w:spacing w:val="-4"/>
                <w:sz w:val="15"/>
              </w:rPr>
              <w:t> </w:t>
            </w:r>
            <w:r>
              <w:rPr>
                <w:color w:val="231F20"/>
                <w:spacing w:val="-2"/>
                <w:sz w:val="15"/>
              </w:rPr>
              <w:t>bacterial</w:t>
            </w:r>
            <w:r>
              <w:rPr>
                <w:color w:val="231F20"/>
                <w:spacing w:val="-4"/>
                <w:sz w:val="15"/>
              </w:rPr>
              <w:t> </w:t>
            </w:r>
            <w:r>
              <w:rPr>
                <w:color w:val="231F20"/>
                <w:spacing w:val="-2"/>
                <w:sz w:val="15"/>
              </w:rPr>
              <w:t>meningitis,</w:t>
            </w:r>
            <w:r>
              <w:rPr>
                <w:color w:val="231F20"/>
                <w:spacing w:val="-4"/>
                <w:sz w:val="15"/>
              </w:rPr>
              <w:t> </w:t>
            </w:r>
            <w:r>
              <w:rPr>
                <w:color w:val="231F20"/>
                <w:spacing w:val="-2"/>
                <w:sz w:val="15"/>
              </w:rPr>
              <w:t>sinusitis,</w:t>
            </w:r>
            <w:r>
              <w:rPr>
                <w:color w:val="231F20"/>
                <w:spacing w:val="-4"/>
                <w:sz w:val="15"/>
              </w:rPr>
              <w:t> </w:t>
            </w:r>
            <w:r>
              <w:rPr>
                <w:color w:val="231F20"/>
                <w:spacing w:val="-2"/>
                <w:sz w:val="15"/>
              </w:rPr>
              <w:t>dental</w:t>
            </w:r>
            <w:r>
              <w:rPr>
                <w:color w:val="231F20"/>
                <w:spacing w:val="-4"/>
                <w:sz w:val="15"/>
              </w:rPr>
              <w:t> </w:t>
            </w:r>
            <w:r>
              <w:rPr>
                <w:color w:val="231F20"/>
                <w:spacing w:val="-2"/>
                <w:sz w:val="15"/>
              </w:rPr>
              <w:t>abscess,</w:t>
            </w:r>
            <w:r>
              <w:rPr>
                <w:color w:val="231F20"/>
                <w:spacing w:val="-4"/>
                <w:sz w:val="15"/>
              </w:rPr>
              <w:t> </w:t>
            </w:r>
            <w:r>
              <w:rPr>
                <w:color w:val="231F20"/>
                <w:spacing w:val="-2"/>
                <w:sz w:val="15"/>
              </w:rPr>
              <w:t>pharyngitis </w:t>
            </w:r>
            <w:r>
              <w:rPr>
                <w:color w:val="231F20"/>
                <w:sz w:val="15"/>
              </w:rPr>
              <w:t>Lemierre syndrome</w:t>
            </w:r>
          </w:p>
          <w:p>
            <w:pPr>
              <w:pStyle w:val="TableParagraph"/>
              <w:spacing w:line="167" w:lineRule="exact"/>
              <w:ind w:left="413"/>
              <w:rPr>
                <w:sz w:val="15"/>
              </w:rPr>
            </w:pPr>
            <w:r>
              <w:rPr>
                <w:color w:val="231F20"/>
                <w:spacing w:val="-2"/>
                <w:w w:val="105"/>
                <w:sz w:val="15"/>
              </w:rPr>
              <w:t>Sepsis</w:t>
            </w:r>
          </w:p>
          <w:p>
            <w:pPr>
              <w:pStyle w:val="TableParagraph"/>
              <w:spacing w:line="168" w:lineRule="exact"/>
              <w:ind w:left="301"/>
              <w:rPr>
                <w:sz w:val="15"/>
              </w:rPr>
            </w:pPr>
            <w:r>
              <w:rPr>
                <w:color w:val="231F20"/>
                <w:spacing w:val="-2"/>
                <w:sz w:val="15"/>
              </w:rPr>
              <w:t>Trauma:</w:t>
            </w:r>
            <w:r>
              <w:rPr>
                <w:color w:val="231F20"/>
                <w:spacing w:val="-8"/>
                <w:sz w:val="15"/>
              </w:rPr>
              <w:t> </w:t>
            </w:r>
            <w:r>
              <w:rPr>
                <w:color w:val="231F20"/>
                <w:spacing w:val="-2"/>
                <w:sz w:val="15"/>
              </w:rPr>
              <w:t>skull</w:t>
            </w:r>
            <w:r>
              <w:rPr>
                <w:color w:val="231F20"/>
                <w:spacing w:val="-8"/>
                <w:sz w:val="15"/>
              </w:rPr>
              <w:t> </w:t>
            </w:r>
            <w:r>
              <w:rPr>
                <w:color w:val="231F20"/>
                <w:spacing w:val="-2"/>
                <w:sz w:val="15"/>
              </w:rPr>
              <w:t>fractures,</w:t>
            </w:r>
            <w:r>
              <w:rPr>
                <w:color w:val="231F20"/>
                <w:spacing w:val="-7"/>
                <w:sz w:val="15"/>
              </w:rPr>
              <w:t> </w:t>
            </w:r>
            <w:r>
              <w:rPr>
                <w:color w:val="231F20"/>
                <w:spacing w:val="-2"/>
                <w:sz w:val="15"/>
              </w:rPr>
              <w:t>closed</w:t>
            </w:r>
            <w:r>
              <w:rPr>
                <w:color w:val="231F20"/>
                <w:spacing w:val="-8"/>
                <w:sz w:val="15"/>
              </w:rPr>
              <w:t> </w:t>
            </w:r>
            <w:r>
              <w:rPr>
                <w:color w:val="231F20"/>
                <w:spacing w:val="-2"/>
                <w:sz w:val="15"/>
              </w:rPr>
              <w:t>hear</w:t>
            </w:r>
            <w:r>
              <w:rPr>
                <w:color w:val="231F20"/>
                <w:spacing w:val="-7"/>
                <w:sz w:val="15"/>
              </w:rPr>
              <w:t> </w:t>
            </w:r>
            <w:r>
              <w:rPr>
                <w:color w:val="231F20"/>
                <w:spacing w:val="-2"/>
                <w:sz w:val="15"/>
              </w:rPr>
              <w:t>trauma</w:t>
            </w:r>
          </w:p>
          <w:p>
            <w:pPr>
              <w:pStyle w:val="TableParagraph"/>
              <w:spacing w:line="230" w:lineRule="auto" w:before="3"/>
              <w:ind w:left="301" w:right="1911"/>
              <w:rPr>
                <w:sz w:val="15"/>
              </w:rPr>
            </w:pPr>
            <w:r>
              <w:rPr>
                <w:color w:val="231F20"/>
                <w:sz w:val="15"/>
              </w:rPr>
              <w:t>Compression: birth, occipital bone compression in neonates in supine lying </w:t>
            </w:r>
            <w:r>
              <w:rPr>
                <w:color w:val="231F20"/>
                <w:spacing w:val="-2"/>
                <w:sz w:val="15"/>
              </w:rPr>
              <w:t>Iatrogenic: neurosurgery, jugular lines, extracorporeal membrane </w:t>
            </w:r>
            <w:r>
              <w:rPr>
                <w:color w:val="231F20"/>
                <w:spacing w:val="-2"/>
                <w:sz w:val="15"/>
              </w:rPr>
              <w:t>oxygenation </w:t>
            </w:r>
            <w:r>
              <w:rPr>
                <w:color w:val="231F20"/>
                <w:sz w:val="15"/>
              </w:rPr>
              <w:t>Venous malformations (e.g., dural arteriovenous fistulas)</w:t>
            </w:r>
          </w:p>
        </w:tc>
      </w:tr>
    </w:tbl>
    <w:p>
      <w:pPr>
        <w:pStyle w:val="BodyText"/>
        <w:spacing w:before="88"/>
        <w:rPr>
          <w:i/>
          <w:sz w:val="20"/>
        </w:rPr>
      </w:pPr>
      <w:r>
        <w:rPr>
          <w:i/>
          <w:sz w:val="20"/>
        </w:rPr>
        <mc:AlternateContent>
          <mc:Choice Requires="wps">
            <w:drawing>
              <wp:anchor distT="0" distB="0" distL="0" distR="0" allowOverlap="1" layoutInCell="1" locked="0" behindDoc="1" simplePos="0" relativeHeight="487587840">
                <wp:simplePos x="0" y="0"/>
                <wp:positionH relativeFrom="page">
                  <wp:posOffset>544064</wp:posOffset>
                </wp:positionH>
                <wp:positionV relativeFrom="paragraph">
                  <wp:posOffset>218643</wp:posOffset>
                </wp:positionV>
                <wp:extent cx="2986405" cy="3810635"/>
                <wp:effectExtent l="0" t="0" r="0" b="0"/>
                <wp:wrapTopAndBottom/>
                <wp:docPr id="909" name="Textbox 909"/>
                <wp:cNvGraphicFramePr>
                  <a:graphicFrameLocks/>
                </wp:cNvGraphicFramePr>
                <a:graphic>
                  <a:graphicData uri="http://schemas.microsoft.com/office/word/2010/wordprocessingShape">
                    <wps:wsp>
                      <wps:cNvPr id="909" name="Textbox 909"/>
                      <wps:cNvSpPr txBox="1"/>
                      <wps:spPr>
                        <a:xfrm>
                          <a:off x="0" y="0"/>
                          <a:ext cx="2986405" cy="381063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41"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Potential</w:t>
                                  </w:r>
                                  <w:r>
                                    <w:rPr>
                                      <w:color w:val="FFFFFF"/>
                                      <w:spacing w:val="-3"/>
                                      <w:w w:val="105"/>
                                      <w:sz w:val="16"/>
                                    </w:rPr>
                                    <w:t> </w:t>
                                  </w:r>
                                  <w:r>
                                    <w:rPr>
                                      <w:color w:val="FFFFFF"/>
                                      <w:w w:val="105"/>
                                      <w:sz w:val="16"/>
                                    </w:rPr>
                                    <w:t>Risk</w:t>
                                  </w:r>
                                  <w:r>
                                    <w:rPr>
                                      <w:color w:val="FFFFFF"/>
                                      <w:spacing w:val="-3"/>
                                      <w:w w:val="105"/>
                                      <w:sz w:val="16"/>
                                    </w:rPr>
                                    <w:t> </w:t>
                                  </w:r>
                                  <w:r>
                                    <w:rPr>
                                      <w:color w:val="FFFFFF"/>
                                      <w:w w:val="105"/>
                                      <w:sz w:val="16"/>
                                    </w:rPr>
                                    <w:t>Factors</w:t>
                                  </w:r>
                                  <w:r>
                                    <w:rPr>
                                      <w:color w:val="FFFFFF"/>
                                      <w:spacing w:val="-3"/>
                                      <w:w w:val="105"/>
                                      <w:sz w:val="16"/>
                                    </w:rPr>
                                    <w:t> </w:t>
                                  </w:r>
                                  <w:r>
                                    <w:rPr>
                                      <w:color w:val="FFFFFF"/>
                                      <w:w w:val="105"/>
                                      <w:sz w:val="16"/>
                                    </w:rPr>
                                    <w:t>for</w:t>
                                  </w:r>
                                  <w:r>
                                    <w:rPr>
                                      <w:color w:val="FFFFFF"/>
                                      <w:spacing w:val="-3"/>
                                      <w:w w:val="105"/>
                                      <w:sz w:val="16"/>
                                    </w:rPr>
                                    <w:t> </w:t>
                                  </w:r>
                                  <w:r>
                                    <w:rPr>
                                      <w:color w:val="FFFFFF"/>
                                      <w:w w:val="105"/>
                                      <w:sz w:val="16"/>
                                    </w:rPr>
                                    <w:t>Hemorrhagic Stroke in Children</w:t>
                                  </w:r>
                                </w:p>
                              </w:tc>
                            </w:tr>
                            <w:tr>
                              <w:trPr>
                                <w:trHeight w:val="444" w:hRule="atLeast"/>
                              </w:trPr>
                              <w:tc>
                                <w:tcPr>
                                  <w:tcW w:w="1148" w:type="dxa"/>
                                  <w:tcBorders>
                                    <w:bottom w:val="single" w:sz="4" w:space="0" w:color="231F20"/>
                                  </w:tcBorders>
                                  <w:shd w:val="clear" w:color="auto" w:fill="E8F5F1"/>
                                </w:tcPr>
                                <w:p>
                                  <w:pPr>
                                    <w:pStyle w:val="TableParagraph"/>
                                    <w:spacing w:line="230" w:lineRule="auto" w:before="71"/>
                                    <w:ind w:left="74"/>
                                    <w:rPr>
                                      <w:b/>
                                      <w:sz w:val="15"/>
                                    </w:rPr>
                                  </w:pPr>
                                  <w:r>
                                    <w:rPr>
                                      <w:b/>
                                      <w:color w:val="231F20"/>
                                      <w:spacing w:val="-2"/>
                                      <w:w w:val="110"/>
                                      <w:sz w:val="15"/>
                                    </w:rPr>
                                    <w:t>MAJOR CATEGORIES</w:t>
                                  </w:r>
                                </w:p>
                              </w:tc>
                              <w:tc>
                                <w:tcPr>
                                  <w:tcW w:w="3555" w:type="dxa"/>
                                  <w:tcBorders>
                                    <w:bottom w:val="single" w:sz="4" w:space="0" w:color="231F20"/>
                                  </w:tcBorders>
                                  <w:shd w:val="clear" w:color="auto" w:fill="E8F5F1"/>
                                </w:tcPr>
                                <w:p>
                                  <w:pPr>
                                    <w:pStyle w:val="TableParagraph"/>
                                    <w:spacing w:before="59"/>
                                    <w:rPr>
                                      <w:i/>
                                      <w:sz w:val="15"/>
                                    </w:rPr>
                                  </w:pPr>
                                </w:p>
                                <w:p>
                                  <w:pPr>
                                    <w:pStyle w:val="TableParagraph"/>
                                    <w:ind w:left="217"/>
                                    <w:jc w:val="center"/>
                                    <w:rPr>
                                      <w:b/>
                                      <w:sz w:val="15"/>
                                    </w:rPr>
                                  </w:pPr>
                                  <w:r>
                                    <w:rPr>
                                      <w:b/>
                                      <w:color w:val="231F20"/>
                                      <w:spacing w:val="-2"/>
                                      <w:w w:val="110"/>
                                      <w:sz w:val="15"/>
                                    </w:rPr>
                                    <w:t>EXAMPLES</w:t>
                                  </w:r>
                                </w:p>
                              </w:tc>
                            </w:tr>
                            <w:tr>
                              <w:trPr>
                                <w:trHeight w:val="2104" w:hRule="atLeast"/>
                              </w:trPr>
                              <w:tc>
                                <w:tcPr>
                                  <w:tcW w:w="1148" w:type="dxa"/>
                                  <w:tcBorders>
                                    <w:top w:val="single" w:sz="4" w:space="0" w:color="231F20"/>
                                    <w:bottom w:val="single" w:sz="4" w:space="0" w:color="FFFFFF"/>
                                  </w:tcBorders>
                                  <w:shd w:val="clear" w:color="auto" w:fill="E8F5F1"/>
                                </w:tcPr>
                                <w:p>
                                  <w:pPr>
                                    <w:pStyle w:val="TableParagraph"/>
                                    <w:spacing w:line="230" w:lineRule="auto" w:before="52"/>
                                    <w:ind w:left="186" w:right="71" w:hanging="112"/>
                                    <w:rPr>
                                      <w:sz w:val="15"/>
                                    </w:rPr>
                                  </w:pPr>
                                  <w:r>
                                    <w:rPr>
                                      <w:color w:val="231F20"/>
                                      <w:spacing w:val="-2"/>
                                      <w:sz w:val="15"/>
                                    </w:rPr>
                                    <w:t>Vascular disorder</w:t>
                                  </w:r>
                                </w:p>
                              </w:tc>
                              <w:tc>
                                <w:tcPr>
                                  <w:tcW w:w="3555" w:type="dxa"/>
                                  <w:tcBorders>
                                    <w:top w:val="single" w:sz="4" w:space="0" w:color="231F20"/>
                                    <w:bottom w:val="single" w:sz="4" w:space="0" w:color="FFFFFF"/>
                                  </w:tcBorders>
                                  <w:shd w:val="clear" w:color="auto" w:fill="E8F5F1"/>
                                </w:tcPr>
                                <w:p>
                                  <w:pPr>
                                    <w:pStyle w:val="TableParagraph"/>
                                    <w:spacing w:line="171" w:lineRule="exact" w:before="47"/>
                                    <w:ind w:left="292"/>
                                    <w:rPr>
                                      <w:sz w:val="15"/>
                                    </w:rPr>
                                  </w:pPr>
                                  <w:r>
                                    <w:rPr>
                                      <w:color w:val="231F20"/>
                                      <w:sz w:val="15"/>
                                    </w:rPr>
                                    <w:t>Arteriovenous</w:t>
                                  </w:r>
                                  <w:r>
                                    <w:rPr>
                                      <w:color w:val="231F20"/>
                                      <w:spacing w:val="-9"/>
                                      <w:sz w:val="15"/>
                                    </w:rPr>
                                    <w:t> </w:t>
                                  </w:r>
                                  <w:r>
                                    <w:rPr>
                                      <w:color w:val="231F20"/>
                                      <w:spacing w:val="-2"/>
                                      <w:sz w:val="15"/>
                                    </w:rPr>
                                    <w:t>malformations</w:t>
                                  </w:r>
                                </w:p>
                                <w:p>
                                  <w:pPr>
                                    <w:pStyle w:val="TableParagraph"/>
                                    <w:spacing w:line="230" w:lineRule="auto" w:before="2"/>
                                    <w:ind w:left="292"/>
                                    <w:rPr>
                                      <w:sz w:val="15"/>
                                    </w:rPr>
                                  </w:pPr>
                                  <w:r>
                                    <w:rPr>
                                      <w:color w:val="231F20"/>
                                      <w:sz w:val="15"/>
                                    </w:rPr>
                                    <w:t>Cavernous malformations (“cavernomas”) Venous angiomas and other venous </w:t>
                                  </w:r>
                                  <w:r>
                                    <w:rPr>
                                      <w:color w:val="231F20"/>
                                      <w:sz w:val="15"/>
                                    </w:rPr>
                                    <w:t>anomalies Hereditary hemorrhagic telangiectasia Intracranial aneurysm</w:t>
                                  </w:r>
                                </w:p>
                                <w:p>
                                  <w:pPr>
                                    <w:pStyle w:val="TableParagraph"/>
                                    <w:spacing w:line="230" w:lineRule="auto" w:before="3"/>
                                    <w:ind w:left="404" w:right="122" w:hanging="112"/>
                                    <w:rPr>
                                      <w:sz w:val="15"/>
                                    </w:rPr>
                                  </w:pPr>
                                  <w:r>
                                    <w:rPr>
                                      <w:color w:val="231F20"/>
                                      <w:sz w:val="15"/>
                                    </w:rPr>
                                    <w:t>Choroid</w:t>
                                  </w:r>
                                  <w:r>
                                    <w:rPr>
                                      <w:color w:val="231F20"/>
                                      <w:spacing w:val="-12"/>
                                      <w:sz w:val="15"/>
                                    </w:rPr>
                                    <w:t> </w:t>
                                  </w:r>
                                  <w:r>
                                    <w:rPr>
                                      <w:color w:val="231F20"/>
                                      <w:sz w:val="15"/>
                                    </w:rPr>
                                    <w:t>plexus</w:t>
                                  </w:r>
                                  <w:r>
                                    <w:rPr>
                                      <w:color w:val="231F20"/>
                                      <w:spacing w:val="-11"/>
                                      <w:sz w:val="15"/>
                                    </w:rPr>
                                    <w:t> </w:t>
                                  </w:r>
                                  <w:r>
                                    <w:rPr>
                                      <w:color w:val="231F20"/>
                                      <w:sz w:val="15"/>
                                    </w:rPr>
                                    <w:t>angiomas</w:t>
                                  </w:r>
                                  <w:r>
                                    <w:rPr>
                                      <w:color w:val="231F20"/>
                                      <w:spacing w:val="-11"/>
                                      <w:sz w:val="15"/>
                                    </w:rPr>
                                    <w:t> </w:t>
                                  </w:r>
                                  <w:r>
                                    <w:rPr>
                                      <w:color w:val="231F20"/>
                                      <w:sz w:val="15"/>
                                    </w:rPr>
                                    <w:t>(pure</w:t>
                                  </w:r>
                                  <w:r>
                                    <w:rPr>
                                      <w:color w:val="231F20"/>
                                      <w:spacing w:val="-12"/>
                                      <w:sz w:val="15"/>
                                    </w:rPr>
                                    <w:t> </w:t>
                                  </w:r>
                                  <w:r>
                                    <w:rPr>
                                      <w:color w:val="231F20"/>
                                      <w:sz w:val="15"/>
                                    </w:rPr>
                                    <w:t>intraventricular </w:t>
                                  </w:r>
                                  <w:r>
                                    <w:rPr>
                                      <w:color w:val="231F20"/>
                                      <w:spacing w:val="-2"/>
                                      <w:sz w:val="15"/>
                                    </w:rPr>
                                    <w:t>hemorrhage)</w:t>
                                  </w:r>
                                </w:p>
                                <w:p>
                                  <w:pPr>
                                    <w:pStyle w:val="TableParagraph"/>
                                    <w:spacing w:line="230" w:lineRule="auto" w:before="2"/>
                                    <w:ind w:left="292" w:right="426"/>
                                    <w:rPr>
                                      <w:sz w:val="15"/>
                                    </w:rPr>
                                  </w:pPr>
                                  <w:r>
                                    <w:rPr>
                                      <w:color w:val="231F20"/>
                                      <w:sz w:val="15"/>
                                    </w:rPr>
                                    <w:t>Moyamoya disease/syndrome </w:t>
                                  </w:r>
                                  <w:r>
                                    <w:rPr>
                                      <w:color w:val="231F20"/>
                                      <w:spacing w:val="-2"/>
                                      <w:sz w:val="15"/>
                                    </w:rPr>
                                    <w:t>Inflammatory</w:t>
                                  </w:r>
                                  <w:r>
                                    <w:rPr>
                                      <w:color w:val="231F20"/>
                                      <w:spacing w:val="-10"/>
                                      <w:sz w:val="15"/>
                                    </w:rPr>
                                    <w:t> </w:t>
                                  </w:r>
                                  <w:r>
                                    <w:rPr>
                                      <w:color w:val="231F20"/>
                                      <w:spacing w:val="-2"/>
                                      <w:sz w:val="15"/>
                                    </w:rPr>
                                    <w:t>vasculitis</w:t>
                                  </w:r>
                                  <w:r>
                                    <w:rPr>
                                      <w:color w:val="231F20"/>
                                      <w:spacing w:val="-9"/>
                                      <w:sz w:val="15"/>
                                    </w:rPr>
                                    <w:t> </w:t>
                                  </w:r>
                                  <w:r>
                                    <w:rPr>
                                      <w:color w:val="231F20"/>
                                      <w:spacing w:val="-2"/>
                                      <w:sz w:val="15"/>
                                    </w:rPr>
                                    <w:t>(see</w:t>
                                  </w:r>
                                  <w:r>
                                    <w:rPr>
                                      <w:color w:val="231F20"/>
                                      <w:spacing w:val="-9"/>
                                      <w:sz w:val="15"/>
                                    </w:rPr>
                                    <w:t> </w:t>
                                  </w:r>
                                  <w:r>
                                    <w:rPr>
                                      <w:color w:val="0080AC"/>
                                      <w:spacing w:val="-2"/>
                                      <w:sz w:val="15"/>
                                    </w:rPr>
                                    <w:t>Chapter</w:t>
                                  </w:r>
                                  <w:r>
                                    <w:rPr>
                                      <w:color w:val="0080AC"/>
                                      <w:spacing w:val="-10"/>
                                      <w:sz w:val="15"/>
                                    </w:rPr>
                                    <w:t> </w:t>
                                  </w:r>
                                  <w:r>
                                    <w:rPr>
                                      <w:color w:val="0080AC"/>
                                      <w:spacing w:val="-2"/>
                                      <w:sz w:val="15"/>
                                    </w:rPr>
                                    <w:t>601.1</w:t>
                                  </w:r>
                                  <w:r>
                                    <w:rPr>
                                      <w:color w:val="231F20"/>
                                      <w:spacing w:val="-2"/>
                                      <w:sz w:val="15"/>
                                    </w:rPr>
                                    <w:t>)</w:t>
                                  </w:r>
                                </w:p>
                                <w:p>
                                  <w:pPr>
                                    <w:pStyle w:val="TableParagraph"/>
                                    <w:spacing w:line="230" w:lineRule="auto" w:before="1"/>
                                    <w:ind w:left="292" w:right="256"/>
                                    <w:rPr>
                                      <w:sz w:val="15"/>
                                    </w:rPr>
                                  </w:pPr>
                                  <w:r>
                                    <w:rPr>
                                      <w:color w:val="231F20"/>
                                      <w:spacing w:val="-2"/>
                                      <w:sz w:val="15"/>
                                    </w:rPr>
                                    <w:t>Neoplastic lesions with unstable </w:t>
                                  </w:r>
                                  <w:r>
                                    <w:rPr>
                                      <w:color w:val="231F20"/>
                                      <w:spacing w:val="-2"/>
                                      <w:sz w:val="15"/>
                                    </w:rPr>
                                    <w:t>vasculature </w:t>
                                  </w:r>
                                  <w:r>
                                    <w:rPr>
                                      <w:color w:val="231F20"/>
                                      <w:sz w:val="15"/>
                                    </w:rPr>
                                    <w:t>Drugs/toxins (cocaine, amphetamine) Cerebral sinovenous thrombosis</w:t>
                                  </w:r>
                                </w:p>
                              </w:tc>
                            </w:tr>
                            <w:tr>
                              <w:trPr>
                                <w:trHeight w:val="109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Blood</w:t>
                                  </w:r>
                                  <w:r>
                                    <w:rPr>
                                      <w:color w:val="231F20"/>
                                      <w:spacing w:val="2"/>
                                      <w:w w:val="105"/>
                                      <w:sz w:val="15"/>
                                    </w:rPr>
                                    <w:t> </w:t>
                                  </w:r>
                                  <w:r>
                                    <w:rPr>
                                      <w:color w:val="231F20"/>
                                      <w:spacing w:val="-2"/>
                                      <w:w w:val="105"/>
                                      <w:sz w:val="15"/>
                                    </w:rPr>
                                    <w:t>disorder</w:t>
                                  </w:r>
                                </w:p>
                              </w:tc>
                              <w:tc>
                                <w:tcPr>
                                  <w:tcW w:w="3555" w:type="dxa"/>
                                  <w:tcBorders>
                                    <w:top w:val="single" w:sz="4" w:space="0" w:color="FFFFFF"/>
                                    <w:bottom w:val="single" w:sz="4" w:space="0" w:color="FFFFFF"/>
                                  </w:tcBorders>
                                  <w:shd w:val="clear" w:color="auto" w:fill="E8F5F1"/>
                                </w:tcPr>
                                <w:p>
                                  <w:pPr>
                                    <w:pStyle w:val="TableParagraph"/>
                                    <w:spacing w:line="230" w:lineRule="auto" w:before="48"/>
                                    <w:ind w:left="292" w:right="122"/>
                                    <w:rPr>
                                      <w:sz w:val="15"/>
                                    </w:rPr>
                                  </w:pPr>
                                  <w:r>
                                    <w:rPr>
                                      <w:color w:val="231F20"/>
                                      <w:sz w:val="15"/>
                                    </w:rPr>
                                    <w:t>Idiopathic</w:t>
                                  </w:r>
                                  <w:r>
                                    <w:rPr>
                                      <w:color w:val="231F20"/>
                                      <w:spacing w:val="-12"/>
                                      <w:sz w:val="15"/>
                                    </w:rPr>
                                    <w:t> </w:t>
                                  </w:r>
                                  <w:r>
                                    <w:rPr>
                                      <w:color w:val="231F20"/>
                                      <w:sz w:val="15"/>
                                    </w:rPr>
                                    <w:t>thrombocytopenic</w:t>
                                  </w:r>
                                  <w:r>
                                    <w:rPr>
                                      <w:color w:val="231F20"/>
                                      <w:spacing w:val="-11"/>
                                      <w:sz w:val="15"/>
                                    </w:rPr>
                                    <w:t> </w:t>
                                  </w:r>
                                  <w:r>
                                    <w:rPr>
                                      <w:color w:val="231F20"/>
                                      <w:sz w:val="15"/>
                                    </w:rPr>
                                    <w:t>purpura Hemolytic uremic syndrome</w:t>
                                  </w:r>
                                </w:p>
                                <w:p>
                                  <w:pPr>
                                    <w:pStyle w:val="TableParagraph"/>
                                    <w:spacing w:line="230" w:lineRule="auto" w:before="1"/>
                                    <w:ind w:left="292" w:right="256"/>
                                    <w:rPr>
                                      <w:sz w:val="15"/>
                                    </w:rPr>
                                  </w:pPr>
                                  <w:r>
                                    <w:rPr>
                                      <w:color w:val="231F20"/>
                                      <w:sz w:val="15"/>
                                    </w:rPr>
                                    <w:t>Hepatic disease/failure coagulopathy Vitamin</w:t>
                                  </w:r>
                                  <w:r>
                                    <w:rPr>
                                      <w:color w:val="231F20"/>
                                      <w:spacing w:val="-12"/>
                                      <w:sz w:val="15"/>
                                    </w:rPr>
                                    <w:t> </w:t>
                                  </w:r>
                                  <w:r>
                                    <w:rPr>
                                      <w:color w:val="231F20"/>
                                      <w:sz w:val="15"/>
                                    </w:rPr>
                                    <w:t>K</w:t>
                                  </w:r>
                                  <w:r>
                                    <w:rPr>
                                      <w:color w:val="231F20"/>
                                      <w:spacing w:val="-11"/>
                                      <w:sz w:val="15"/>
                                    </w:rPr>
                                    <w:t> </w:t>
                                  </w:r>
                                  <w:r>
                                    <w:rPr>
                                      <w:color w:val="231F20"/>
                                      <w:sz w:val="15"/>
                                    </w:rPr>
                                    <w:t>deficiency</w:t>
                                  </w:r>
                                  <w:r>
                                    <w:rPr>
                                      <w:color w:val="231F20"/>
                                      <w:spacing w:val="-11"/>
                                      <w:sz w:val="15"/>
                                    </w:rPr>
                                    <w:t> </w:t>
                                  </w:r>
                                  <w:r>
                                    <w:rPr>
                                      <w:color w:val="231F20"/>
                                      <w:sz w:val="15"/>
                                    </w:rPr>
                                    <w:t>(hemorrhagic</w:t>
                                  </w:r>
                                  <w:r>
                                    <w:rPr>
                                      <w:color w:val="231F20"/>
                                      <w:spacing w:val="-12"/>
                                      <w:sz w:val="15"/>
                                    </w:rPr>
                                    <w:t> </w:t>
                                  </w:r>
                                  <w:r>
                                    <w:rPr>
                                      <w:color w:val="231F20"/>
                                      <w:sz w:val="15"/>
                                    </w:rPr>
                                    <w:t>disease</w:t>
                                  </w:r>
                                  <w:r>
                                    <w:rPr>
                                      <w:color w:val="231F20"/>
                                      <w:spacing w:val="-11"/>
                                      <w:sz w:val="15"/>
                                    </w:rPr>
                                    <w:t> </w:t>
                                  </w:r>
                                  <w:r>
                                    <w:rPr>
                                      <w:color w:val="231F20"/>
                                      <w:sz w:val="15"/>
                                    </w:rPr>
                                    <w:t>of</w:t>
                                  </w:r>
                                </w:p>
                                <w:p>
                                  <w:pPr>
                                    <w:pStyle w:val="TableParagraph"/>
                                    <w:spacing w:line="167" w:lineRule="exact"/>
                                    <w:ind w:left="404"/>
                                    <w:rPr>
                                      <w:sz w:val="15"/>
                                    </w:rPr>
                                  </w:pPr>
                                  <w:r>
                                    <w:rPr>
                                      <w:color w:val="231F20"/>
                                      <w:sz w:val="15"/>
                                    </w:rPr>
                                    <w:t>the</w:t>
                                  </w:r>
                                  <w:r>
                                    <w:rPr>
                                      <w:color w:val="231F20"/>
                                      <w:spacing w:val="-8"/>
                                      <w:sz w:val="15"/>
                                    </w:rPr>
                                    <w:t> </w:t>
                                  </w:r>
                                  <w:r>
                                    <w:rPr>
                                      <w:color w:val="231F20"/>
                                      <w:spacing w:val="-2"/>
                                      <w:sz w:val="15"/>
                                    </w:rPr>
                                    <w:t>newborn)</w:t>
                                  </w:r>
                                </w:p>
                                <w:p>
                                  <w:pPr>
                                    <w:pStyle w:val="TableParagraph"/>
                                    <w:spacing w:line="171" w:lineRule="exact"/>
                                    <w:ind w:left="292"/>
                                    <w:rPr>
                                      <w:sz w:val="15"/>
                                    </w:rPr>
                                  </w:pPr>
                                  <w:r>
                                    <w:rPr>
                                      <w:color w:val="231F20"/>
                                      <w:spacing w:val="-2"/>
                                      <w:sz w:val="15"/>
                                    </w:rPr>
                                    <w:t>Disseminated</w:t>
                                  </w:r>
                                  <w:r>
                                    <w:rPr>
                                      <w:color w:val="231F20"/>
                                      <w:spacing w:val="4"/>
                                      <w:sz w:val="15"/>
                                    </w:rPr>
                                    <w:t> </w:t>
                                  </w:r>
                                  <w:r>
                                    <w:rPr>
                                      <w:color w:val="231F20"/>
                                      <w:spacing w:val="-2"/>
                                      <w:sz w:val="15"/>
                                    </w:rPr>
                                    <w:t>intravascular</w:t>
                                  </w:r>
                                  <w:r>
                                    <w:rPr>
                                      <w:color w:val="231F20"/>
                                      <w:spacing w:val="4"/>
                                      <w:sz w:val="15"/>
                                    </w:rPr>
                                    <w:t> </w:t>
                                  </w:r>
                                  <w:r>
                                    <w:rPr>
                                      <w:color w:val="231F20"/>
                                      <w:spacing w:val="-2"/>
                                      <w:sz w:val="15"/>
                                    </w:rPr>
                                    <w:t>coagulopathy</w:t>
                                  </w:r>
                                </w:p>
                              </w:tc>
                            </w:tr>
                            <w:tr>
                              <w:trPr>
                                <w:trHeight w:val="1759"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Trauma</w:t>
                                  </w:r>
                                </w:p>
                              </w:tc>
                              <w:tc>
                                <w:tcPr>
                                  <w:tcW w:w="3555" w:type="dxa"/>
                                  <w:tcBorders>
                                    <w:top w:val="single" w:sz="4" w:space="0" w:color="FFFFFF"/>
                                    <w:bottom w:val="single" w:sz="8" w:space="0" w:color="231F20"/>
                                  </w:tcBorders>
                                  <w:shd w:val="clear" w:color="auto" w:fill="E8F5F1"/>
                                </w:tcPr>
                                <w:p>
                                  <w:pPr>
                                    <w:pStyle w:val="TableParagraph"/>
                                    <w:spacing w:line="230" w:lineRule="auto" w:before="48"/>
                                    <w:ind w:left="404" w:hanging="112"/>
                                    <w:rPr>
                                      <w:sz w:val="15"/>
                                    </w:rPr>
                                  </w:pPr>
                                  <w:r>
                                    <w:rPr>
                                      <w:color w:val="231F20"/>
                                      <w:spacing w:val="-2"/>
                                      <w:sz w:val="15"/>
                                    </w:rPr>
                                    <w:t>Middle</w:t>
                                  </w:r>
                                  <w:r>
                                    <w:rPr>
                                      <w:color w:val="231F20"/>
                                      <w:spacing w:val="-5"/>
                                      <w:sz w:val="15"/>
                                    </w:rPr>
                                    <w:t> </w:t>
                                  </w:r>
                                  <w:r>
                                    <w:rPr>
                                      <w:color w:val="231F20"/>
                                      <w:spacing w:val="-2"/>
                                      <w:sz w:val="15"/>
                                    </w:rPr>
                                    <w:t>meningeal</w:t>
                                  </w:r>
                                  <w:r>
                                    <w:rPr>
                                      <w:color w:val="231F20"/>
                                      <w:spacing w:val="-5"/>
                                      <w:sz w:val="15"/>
                                    </w:rPr>
                                    <w:t> </w:t>
                                  </w:r>
                                  <w:r>
                                    <w:rPr>
                                      <w:color w:val="231F20"/>
                                      <w:spacing w:val="-2"/>
                                      <w:sz w:val="15"/>
                                    </w:rPr>
                                    <w:t>artery</w:t>
                                  </w:r>
                                  <w:r>
                                    <w:rPr>
                                      <w:color w:val="231F20"/>
                                      <w:spacing w:val="-5"/>
                                      <w:sz w:val="15"/>
                                    </w:rPr>
                                    <w:t> </w:t>
                                  </w:r>
                                  <w:r>
                                    <w:rPr>
                                      <w:color w:val="231F20"/>
                                      <w:spacing w:val="-2"/>
                                      <w:sz w:val="15"/>
                                    </w:rPr>
                                    <w:t>injury</w:t>
                                  </w:r>
                                  <w:r>
                                    <w:rPr>
                                      <w:color w:val="231F20"/>
                                      <w:spacing w:val="-5"/>
                                      <w:sz w:val="15"/>
                                    </w:rPr>
                                    <w:t> </w:t>
                                  </w:r>
                                  <w:r>
                                    <w:rPr>
                                      <w:color w:val="231F20"/>
                                      <w:spacing w:val="-2"/>
                                      <w:sz w:val="15"/>
                                    </w:rPr>
                                    <w:t>(epidural hematoma)</w:t>
                                  </w:r>
                                </w:p>
                                <w:p>
                                  <w:pPr>
                                    <w:pStyle w:val="TableParagraph"/>
                                    <w:spacing w:line="230" w:lineRule="auto" w:before="1"/>
                                    <w:ind w:left="292"/>
                                    <w:rPr>
                                      <w:sz w:val="15"/>
                                    </w:rPr>
                                  </w:pPr>
                                  <w:r>
                                    <w:rPr>
                                      <w:color w:val="231F20"/>
                                      <w:spacing w:val="-2"/>
                                      <w:sz w:val="15"/>
                                    </w:rPr>
                                    <w:t>Bridging vein injury (subdural </w:t>
                                  </w:r>
                                  <w:r>
                                    <w:rPr>
                                      <w:color w:val="231F20"/>
                                      <w:spacing w:val="-2"/>
                                      <w:sz w:val="15"/>
                                    </w:rPr>
                                    <w:t>hematoma) </w:t>
                                  </w:r>
                                  <w:r>
                                    <w:rPr>
                                      <w:color w:val="231F20"/>
                                      <w:sz w:val="15"/>
                                    </w:rPr>
                                    <w:t>Subarachnoid hemorrhage</w:t>
                                  </w:r>
                                </w:p>
                                <w:p>
                                  <w:pPr>
                                    <w:pStyle w:val="TableParagraph"/>
                                    <w:spacing w:line="167" w:lineRule="exact"/>
                                    <w:ind w:left="292"/>
                                    <w:rPr>
                                      <w:sz w:val="15"/>
                                    </w:rPr>
                                  </w:pPr>
                                  <w:r>
                                    <w:rPr>
                                      <w:color w:val="231F20"/>
                                      <w:sz w:val="15"/>
                                    </w:rPr>
                                    <w:t>Hemorrhagic</w:t>
                                  </w:r>
                                  <w:r>
                                    <w:rPr>
                                      <w:color w:val="231F20"/>
                                      <w:spacing w:val="4"/>
                                      <w:sz w:val="15"/>
                                    </w:rPr>
                                    <w:t> </w:t>
                                  </w:r>
                                  <w:r>
                                    <w:rPr>
                                      <w:color w:val="231F20"/>
                                      <w:sz w:val="15"/>
                                    </w:rPr>
                                    <w:t>contusions</w:t>
                                  </w:r>
                                  <w:r>
                                    <w:rPr>
                                      <w:color w:val="231F20"/>
                                      <w:spacing w:val="4"/>
                                      <w:sz w:val="15"/>
                                    </w:rPr>
                                    <w:t> </w:t>
                                  </w:r>
                                  <w:r>
                                    <w:rPr>
                                      <w:color w:val="231F20"/>
                                      <w:sz w:val="15"/>
                                    </w:rPr>
                                    <w:t>(coup</w:t>
                                  </w:r>
                                  <w:r>
                                    <w:rPr>
                                      <w:color w:val="231F20"/>
                                      <w:spacing w:val="4"/>
                                      <w:sz w:val="15"/>
                                    </w:rPr>
                                    <w:t> </w:t>
                                  </w:r>
                                  <w:r>
                                    <w:rPr>
                                      <w:color w:val="231F20"/>
                                      <w:sz w:val="15"/>
                                    </w:rPr>
                                    <w:t>and</w:t>
                                  </w:r>
                                  <w:r>
                                    <w:rPr>
                                      <w:color w:val="231F20"/>
                                      <w:spacing w:val="4"/>
                                      <w:sz w:val="15"/>
                                    </w:rPr>
                                    <w:t> </w:t>
                                  </w:r>
                                  <w:r>
                                    <w:rPr>
                                      <w:color w:val="231F20"/>
                                      <w:spacing w:val="-2"/>
                                      <w:sz w:val="15"/>
                                    </w:rPr>
                                    <w:t>contrecoup)</w:t>
                                  </w:r>
                                </w:p>
                                <w:p>
                                  <w:pPr>
                                    <w:pStyle w:val="TableParagraph"/>
                                    <w:spacing w:line="230" w:lineRule="auto" w:before="3"/>
                                    <w:ind w:left="404" w:hanging="112"/>
                                    <w:rPr>
                                      <w:sz w:val="15"/>
                                    </w:rPr>
                                  </w:pPr>
                                  <w:r>
                                    <w:rPr>
                                      <w:color w:val="231F20"/>
                                      <w:sz w:val="15"/>
                                    </w:rPr>
                                    <w:t>Nonaccidental</w:t>
                                  </w:r>
                                  <w:r>
                                    <w:rPr>
                                      <w:color w:val="231F20"/>
                                      <w:spacing w:val="-12"/>
                                      <w:sz w:val="15"/>
                                    </w:rPr>
                                    <w:t> </w:t>
                                  </w:r>
                                  <w:r>
                                    <w:rPr>
                                      <w:color w:val="231F20"/>
                                      <w:sz w:val="15"/>
                                    </w:rPr>
                                    <w:t>trauma</w:t>
                                  </w:r>
                                  <w:r>
                                    <w:rPr>
                                      <w:color w:val="231F20"/>
                                      <w:spacing w:val="-11"/>
                                      <w:sz w:val="15"/>
                                    </w:rPr>
                                    <w:t> </w:t>
                                  </w:r>
                                  <w:r>
                                    <w:rPr>
                                      <w:color w:val="231F20"/>
                                      <w:sz w:val="15"/>
                                    </w:rPr>
                                    <w:t>(subdural</w:t>
                                  </w:r>
                                  <w:r>
                                    <w:rPr>
                                      <w:color w:val="231F20"/>
                                      <w:spacing w:val="-11"/>
                                      <w:sz w:val="15"/>
                                    </w:rPr>
                                    <w:t> </w:t>
                                  </w:r>
                                  <w:r>
                                    <w:rPr>
                                      <w:color w:val="231F20"/>
                                      <w:sz w:val="15"/>
                                    </w:rPr>
                                    <w:t>hematomas</w:t>
                                  </w:r>
                                  <w:r>
                                    <w:rPr>
                                      <w:color w:val="231F20"/>
                                      <w:spacing w:val="-12"/>
                                      <w:sz w:val="15"/>
                                    </w:rPr>
                                    <w:t> </w:t>
                                  </w:r>
                                  <w:r>
                                    <w:rPr>
                                      <w:color w:val="231F20"/>
                                      <w:sz w:val="15"/>
                                    </w:rPr>
                                    <w:t>of different ages)</w:t>
                                  </w:r>
                                </w:p>
                                <w:p>
                                  <w:pPr>
                                    <w:pStyle w:val="TableParagraph"/>
                                    <w:spacing w:line="230" w:lineRule="auto" w:before="1"/>
                                    <w:ind w:left="404" w:hanging="112"/>
                                    <w:rPr>
                                      <w:sz w:val="15"/>
                                    </w:rPr>
                                  </w:pPr>
                                  <w:r>
                                    <w:rPr>
                                      <w:color w:val="231F20"/>
                                      <w:spacing w:val="-2"/>
                                      <w:sz w:val="15"/>
                                    </w:rPr>
                                    <w:t>Iatrogenic (neurosurgical </w:t>
                                  </w:r>
                                  <w:r>
                                    <w:rPr>
                                      <w:color w:val="231F20"/>
                                      <w:spacing w:val="-2"/>
                                      <w:sz w:val="15"/>
                                    </w:rPr>
                                    <w:t>procedures, angiography)</w:t>
                                  </w:r>
                                </w:p>
                                <w:p>
                                  <w:pPr>
                                    <w:pStyle w:val="TableParagraph"/>
                                    <w:spacing w:line="170" w:lineRule="exact"/>
                                    <w:ind w:left="292"/>
                                    <w:rPr>
                                      <w:sz w:val="15"/>
                                    </w:rPr>
                                  </w:pPr>
                                  <w:r>
                                    <w:rPr>
                                      <w:color w:val="231F20"/>
                                      <w:sz w:val="15"/>
                                    </w:rPr>
                                    <w:t>Rupture</w:t>
                                  </w:r>
                                  <w:r>
                                    <w:rPr>
                                      <w:color w:val="231F20"/>
                                      <w:spacing w:val="-7"/>
                                      <w:sz w:val="15"/>
                                    </w:rPr>
                                    <w:t> </w:t>
                                  </w:r>
                                  <w:r>
                                    <w:rPr>
                                      <w:color w:val="231F20"/>
                                      <w:sz w:val="15"/>
                                    </w:rPr>
                                    <w:t>of</w:t>
                                  </w:r>
                                  <w:r>
                                    <w:rPr>
                                      <w:color w:val="231F20"/>
                                      <w:spacing w:val="-6"/>
                                      <w:sz w:val="15"/>
                                    </w:rPr>
                                    <w:t> </w:t>
                                  </w:r>
                                  <w:r>
                                    <w:rPr>
                                      <w:color w:val="231F20"/>
                                      <w:sz w:val="15"/>
                                    </w:rPr>
                                    <w:t>arachnoid</w:t>
                                  </w:r>
                                  <w:r>
                                    <w:rPr>
                                      <w:color w:val="231F20"/>
                                      <w:spacing w:val="-6"/>
                                      <w:sz w:val="15"/>
                                    </w:rPr>
                                    <w:t> </w:t>
                                  </w:r>
                                  <w:r>
                                    <w:rPr>
                                      <w:color w:val="231F20"/>
                                      <w:spacing w:val="-4"/>
                                      <w:sz w:val="15"/>
                                    </w:rPr>
                                    <w:t>cyst</w:t>
                                  </w:r>
                                </w:p>
                              </w:tc>
                            </w:tr>
                          </w:tbl>
                          <w:p>
                            <w:pPr>
                              <w:pStyle w:val="BodyText"/>
                            </w:pPr>
                          </w:p>
                        </w:txbxContent>
                      </wps:txbx>
                      <wps:bodyPr wrap="square" lIns="0" tIns="0" rIns="0" bIns="0" rtlCol="0">
                        <a:noAutofit/>
                      </wps:bodyPr>
                    </wps:wsp>
                  </a:graphicData>
                </a:graphic>
              </wp:anchor>
            </w:drawing>
          </mc:Choice>
          <mc:Fallback>
            <w:pict>
              <v:shape style="position:absolute;margin-left:42.839741pt;margin-top:17.216pt;width:235.15pt;height:300.05pt;mso-position-horizontal-relative:page;mso-position-vertical-relative:paragraph;z-index:-15728640;mso-wrap-distance-left:0;mso-wrap-distance-right:0" type="#_x0000_t202" id="docshape73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41"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Potential</w:t>
                            </w:r>
                            <w:r>
                              <w:rPr>
                                <w:color w:val="FFFFFF"/>
                                <w:spacing w:val="-3"/>
                                <w:w w:val="105"/>
                                <w:sz w:val="16"/>
                              </w:rPr>
                              <w:t> </w:t>
                            </w:r>
                            <w:r>
                              <w:rPr>
                                <w:color w:val="FFFFFF"/>
                                <w:w w:val="105"/>
                                <w:sz w:val="16"/>
                              </w:rPr>
                              <w:t>Risk</w:t>
                            </w:r>
                            <w:r>
                              <w:rPr>
                                <w:color w:val="FFFFFF"/>
                                <w:spacing w:val="-3"/>
                                <w:w w:val="105"/>
                                <w:sz w:val="16"/>
                              </w:rPr>
                              <w:t> </w:t>
                            </w:r>
                            <w:r>
                              <w:rPr>
                                <w:color w:val="FFFFFF"/>
                                <w:w w:val="105"/>
                                <w:sz w:val="16"/>
                              </w:rPr>
                              <w:t>Factors</w:t>
                            </w:r>
                            <w:r>
                              <w:rPr>
                                <w:color w:val="FFFFFF"/>
                                <w:spacing w:val="-3"/>
                                <w:w w:val="105"/>
                                <w:sz w:val="16"/>
                              </w:rPr>
                              <w:t> </w:t>
                            </w:r>
                            <w:r>
                              <w:rPr>
                                <w:color w:val="FFFFFF"/>
                                <w:w w:val="105"/>
                                <w:sz w:val="16"/>
                              </w:rPr>
                              <w:t>for</w:t>
                            </w:r>
                            <w:r>
                              <w:rPr>
                                <w:color w:val="FFFFFF"/>
                                <w:spacing w:val="-3"/>
                                <w:w w:val="105"/>
                                <w:sz w:val="16"/>
                              </w:rPr>
                              <w:t> </w:t>
                            </w:r>
                            <w:r>
                              <w:rPr>
                                <w:color w:val="FFFFFF"/>
                                <w:w w:val="105"/>
                                <w:sz w:val="16"/>
                              </w:rPr>
                              <w:t>Hemorrhagic Stroke in Children</w:t>
                            </w:r>
                          </w:p>
                        </w:tc>
                      </w:tr>
                      <w:tr>
                        <w:trPr>
                          <w:trHeight w:val="444" w:hRule="atLeast"/>
                        </w:trPr>
                        <w:tc>
                          <w:tcPr>
                            <w:tcW w:w="1148" w:type="dxa"/>
                            <w:tcBorders>
                              <w:bottom w:val="single" w:sz="4" w:space="0" w:color="231F20"/>
                            </w:tcBorders>
                            <w:shd w:val="clear" w:color="auto" w:fill="E8F5F1"/>
                          </w:tcPr>
                          <w:p>
                            <w:pPr>
                              <w:pStyle w:val="TableParagraph"/>
                              <w:spacing w:line="230" w:lineRule="auto" w:before="71"/>
                              <w:ind w:left="74"/>
                              <w:rPr>
                                <w:b/>
                                <w:sz w:val="15"/>
                              </w:rPr>
                            </w:pPr>
                            <w:r>
                              <w:rPr>
                                <w:b/>
                                <w:color w:val="231F20"/>
                                <w:spacing w:val="-2"/>
                                <w:w w:val="110"/>
                                <w:sz w:val="15"/>
                              </w:rPr>
                              <w:t>MAJOR CATEGORIES</w:t>
                            </w:r>
                          </w:p>
                        </w:tc>
                        <w:tc>
                          <w:tcPr>
                            <w:tcW w:w="3555" w:type="dxa"/>
                            <w:tcBorders>
                              <w:bottom w:val="single" w:sz="4" w:space="0" w:color="231F20"/>
                            </w:tcBorders>
                            <w:shd w:val="clear" w:color="auto" w:fill="E8F5F1"/>
                          </w:tcPr>
                          <w:p>
                            <w:pPr>
                              <w:pStyle w:val="TableParagraph"/>
                              <w:spacing w:before="59"/>
                              <w:rPr>
                                <w:i/>
                                <w:sz w:val="15"/>
                              </w:rPr>
                            </w:pPr>
                          </w:p>
                          <w:p>
                            <w:pPr>
                              <w:pStyle w:val="TableParagraph"/>
                              <w:ind w:left="217"/>
                              <w:jc w:val="center"/>
                              <w:rPr>
                                <w:b/>
                                <w:sz w:val="15"/>
                              </w:rPr>
                            </w:pPr>
                            <w:r>
                              <w:rPr>
                                <w:b/>
                                <w:color w:val="231F20"/>
                                <w:spacing w:val="-2"/>
                                <w:w w:val="110"/>
                                <w:sz w:val="15"/>
                              </w:rPr>
                              <w:t>EXAMPLES</w:t>
                            </w:r>
                          </w:p>
                        </w:tc>
                      </w:tr>
                      <w:tr>
                        <w:trPr>
                          <w:trHeight w:val="2104" w:hRule="atLeast"/>
                        </w:trPr>
                        <w:tc>
                          <w:tcPr>
                            <w:tcW w:w="1148" w:type="dxa"/>
                            <w:tcBorders>
                              <w:top w:val="single" w:sz="4" w:space="0" w:color="231F20"/>
                              <w:bottom w:val="single" w:sz="4" w:space="0" w:color="FFFFFF"/>
                            </w:tcBorders>
                            <w:shd w:val="clear" w:color="auto" w:fill="E8F5F1"/>
                          </w:tcPr>
                          <w:p>
                            <w:pPr>
                              <w:pStyle w:val="TableParagraph"/>
                              <w:spacing w:line="230" w:lineRule="auto" w:before="52"/>
                              <w:ind w:left="186" w:right="71" w:hanging="112"/>
                              <w:rPr>
                                <w:sz w:val="15"/>
                              </w:rPr>
                            </w:pPr>
                            <w:r>
                              <w:rPr>
                                <w:color w:val="231F20"/>
                                <w:spacing w:val="-2"/>
                                <w:sz w:val="15"/>
                              </w:rPr>
                              <w:t>Vascular disorder</w:t>
                            </w:r>
                          </w:p>
                        </w:tc>
                        <w:tc>
                          <w:tcPr>
                            <w:tcW w:w="3555" w:type="dxa"/>
                            <w:tcBorders>
                              <w:top w:val="single" w:sz="4" w:space="0" w:color="231F20"/>
                              <w:bottom w:val="single" w:sz="4" w:space="0" w:color="FFFFFF"/>
                            </w:tcBorders>
                            <w:shd w:val="clear" w:color="auto" w:fill="E8F5F1"/>
                          </w:tcPr>
                          <w:p>
                            <w:pPr>
                              <w:pStyle w:val="TableParagraph"/>
                              <w:spacing w:line="171" w:lineRule="exact" w:before="47"/>
                              <w:ind w:left="292"/>
                              <w:rPr>
                                <w:sz w:val="15"/>
                              </w:rPr>
                            </w:pPr>
                            <w:r>
                              <w:rPr>
                                <w:color w:val="231F20"/>
                                <w:sz w:val="15"/>
                              </w:rPr>
                              <w:t>Arteriovenous</w:t>
                            </w:r>
                            <w:r>
                              <w:rPr>
                                <w:color w:val="231F20"/>
                                <w:spacing w:val="-9"/>
                                <w:sz w:val="15"/>
                              </w:rPr>
                              <w:t> </w:t>
                            </w:r>
                            <w:r>
                              <w:rPr>
                                <w:color w:val="231F20"/>
                                <w:spacing w:val="-2"/>
                                <w:sz w:val="15"/>
                              </w:rPr>
                              <w:t>malformations</w:t>
                            </w:r>
                          </w:p>
                          <w:p>
                            <w:pPr>
                              <w:pStyle w:val="TableParagraph"/>
                              <w:spacing w:line="230" w:lineRule="auto" w:before="2"/>
                              <w:ind w:left="292"/>
                              <w:rPr>
                                <w:sz w:val="15"/>
                              </w:rPr>
                            </w:pPr>
                            <w:r>
                              <w:rPr>
                                <w:color w:val="231F20"/>
                                <w:sz w:val="15"/>
                              </w:rPr>
                              <w:t>Cavernous malformations (“cavernomas”) Venous angiomas and other venous </w:t>
                            </w:r>
                            <w:r>
                              <w:rPr>
                                <w:color w:val="231F20"/>
                                <w:sz w:val="15"/>
                              </w:rPr>
                              <w:t>anomalies Hereditary hemorrhagic telangiectasia Intracranial aneurysm</w:t>
                            </w:r>
                          </w:p>
                          <w:p>
                            <w:pPr>
                              <w:pStyle w:val="TableParagraph"/>
                              <w:spacing w:line="230" w:lineRule="auto" w:before="3"/>
                              <w:ind w:left="404" w:right="122" w:hanging="112"/>
                              <w:rPr>
                                <w:sz w:val="15"/>
                              </w:rPr>
                            </w:pPr>
                            <w:r>
                              <w:rPr>
                                <w:color w:val="231F20"/>
                                <w:sz w:val="15"/>
                              </w:rPr>
                              <w:t>Choroid</w:t>
                            </w:r>
                            <w:r>
                              <w:rPr>
                                <w:color w:val="231F20"/>
                                <w:spacing w:val="-12"/>
                                <w:sz w:val="15"/>
                              </w:rPr>
                              <w:t> </w:t>
                            </w:r>
                            <w:r>
                              <w:rPr>
                                <w:color w:val="231F20"/>
                                <w:sz w:val="15"/>
                              </w:rPr>
                              <w:t>plexus</w:t>
                            </w:r>
                            <w:r>
                              <w:rPr>
                                <w:color w:val="231F20"/>
                                <w:spacing w:val="-11"/>
                                <w:sz w:val="15"/>
                              </w:rPr>
                              <w:t> </w:t>
                            </w:r>
                            <w:r>
                              <w:rPr>
                                <w:color w:val="231F20"/>
                                <w:sz w:val="15"/>
                              </w:rPr>
                              <w:t>angiomas</w:t>
                            </w:r>
                            <w:r>
                              <w:rPr>
                                <w:color w:val="231F20"/>
                                <w:spacing w:val="-11"/>
                                <w:sz w:val="15"/>
                              </w:rPr>
                              <w:t> </w:t>
                            </w:r>
                            <w:r>
                              <w:rPr>
                                <w:color w:val="231F20"/>
                                <w:sz w:val="15"/>
                              </w:rPr>
                              <w:t>(pure</w:t>
                            </w:r>
                            <w:r>
                              <w:rPr>
                                <w:color w:val="231F20"/>
                                <w:spacing w:val="-12"/>
                                <w:sz w:val="15"/>
                              </w:rPr>
                              <w:t> </w:t>
                            </w:r>
                            <w:r>
                              <w:rPr>
                                <w:color w:val="231F20"/>
                                <w:sz w:val="15"/>
                              </w:rPr>
                              <w:t>intraventricular </w:t>
                            </w:r>
                            <w:r>
                              <w:rPr>
                                <w:color w:val="231F20"/>
                                <w:spacing w:val="-2"/>
                                <w:sz w:val="15"/>
                              </w:rPr>
                              <w:t>hemorrhage)</w:t>
                            </w:r>
                          </w:p>
                          <w:p>
                            <w:pPr>
                              <w:pStyle w:val="TableParagraph"/>
                              <w:spacing w:line="230" w:lineRule="auto" w:before="2"/>
                              <w:ind w:left="292" w:right="426"/>
                              <w:rPr>
                                <w:sz w:val="15"/>
                              </w:rPr>
                            </w:pPr>
                            <w:r>
                              <w:rPr>
                                <w:color w:val="231F20"/>
                                <w:sz w:val="15"/>
                              </w:rPr>
                              <w:t>Moyamoya disease/syndrome </w:t>
                            </w:r>
                            <w:r>
                              <w:rPr>
                                <w:color w:val="231F20"/>
                                <w:spacing w:val="-2"/>
                                <w:sz w:val="15"/>
                              </w:rPr>
                              <w:t>Inflammatory</w:t>
                            </w:r>
                            <w:r>
                              <w:rPr>
                                <w:color w:val="231F20"/>
                                <w:spacing w:val="-10"/>
                                <w:sz w:val="15"/>
                              </w:rPr>
                              <w:t> </w:t>
                            </w:r>
                            <w:r>
                              <w:rPr>
                                <w:color w:val="231F20"/>
                                <w:spacing w:val="-2"/>
                                <w:sz w:val="15"/>
                              </w:rPr>
                              <w:t>vasculitis</w:t>
                            </w:r>
                            <w:r>
                              <w:rPr>
                                <w:color w:val="231F20"/>
                                <w:spacing w:val="-9"/>
                                <w:sz w:val="15"/>
                              </w:rPr>
                              <w:t> </w:t>
                            </w:r>
                            <w:r>
                              <w:rPr>
                                <w:color w:val="231F20"/>
                                <w:spacing w:val="-2"/>
                                <w:sz w:val="15"/>
                              </w:rPr>
                              <w:t>(see</w:t>
                            </w:r>
                            <w:r>
                              <w:rPr>
                                <w:color w:val="231F20"/>
                                <w:spacing w:val="-9"/>
                                <w:sz w:val="15"/>
                              </w:rPr>
                              <w:t> </w:t>
                            </w:r>
                            <w:r>
                              <w:rPr>
                                <w:color w:val="0080AC"/>
                                <w:spacing w:val="-2"/>
                                <w:sz w:val="15"/>
                              </w:rPr>
                              <w:t>Chapter</w:t>
                            </w:r>
                            <w:r>
                              <w:rPr>
                                <w:color w:val="0080AC"/>
                                <w:spacing w:val="-10"/>
                                <w:sz w:val="15"/>
                              </w:rPr>
                              <w:t> </w:t>
                            </w:r>
                            <w:r>
                              <w:rPr>
                                <w:color w:val="0080AC"/>
                                <w:spacing w:val="-2"/>
                                <w:sz w:val="15"/>
                              </w:rPr>
                              <w:t>601.1</w:t>
                            </w:r>
                            <w:r>
                              <w:rPr>
                                <w:color w:val="231F20"/>
                                <w:spacing w:val="-2"/>
                                <w:sz w:val="15"/>
                              </w:rPr>
                              <w:t>)</w:t>
                            </w:r>
                          </w:p>
                          <w:p>
                            <w:pPr>
                              <w:pStyle w:val="TableParagraph"/>
                              <w:spacing w:line="230" w:lineRule="auto" w:before="1"/>
                              <w:ind w:left="292" w:right="256"/>
                              <w:rPr>
                                <w:sz w:val="15"/>
                              </w:rPr>
                            </w:pPr>
                            <w:r>
                              <w:rPr>
                                <w:color w:val="231F20"/>
                                <w:spacing w:val="-2"/>
                                <w:sz w:val="15"/>
                              </w:rPr>
                              <w:t>Neoplastic lesions with unstable </w:t>
                            </w:r>
                            <w:r>
                              <w:rPr>
                                <w:color w:val="231F20"/>
                                <w:spacing w:val="-2"/>
                                <w:sz w:val="15"/>
                              </w:rPr>
                              <w:t>vasculature </w:t>
                            </w:r>
                            <w:r>
                              <w:rPr>
                                <w:color w:val="231F20"/>
                                <w:sz w:val="15"/>
                              </w:rPr>
                              <w:t>Drugs/toxins (cocaine, amphetamine) Cerebral sinovenous thrombosis</w:t>
                            </w:r>
                          </w:p>
                        </w:tc>
                      </w:tr>
                      <w:tr>
                        <w:trPr>
                          <w:trHeight w:val="109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Blood</w:t>
                            </w:r>
                            <w:r>
                              <w:rPr>
                                <w:color w:val="231F20"/>
                                <w:spacing w:val="2"/>
                                <w:w w:val="105"/>
                                <w:sz w:val="15"/>
                              </w:rPr>
                              <w:t> </w:t>
                            </w:r>
                            <w:r>
                              <w:rPr>
                                <w:color w:val="231F20"/>
                                <w:spacing w:val="-2"/>
                                <w:w w:val="105"/>
                                <w:sz w:val="15"/>
                              </w:rPr>
                              <w:t>disorder</w:t>
                            </w:r>
                          </w:p>
                        </w:tc>
                        <w:tc>
                          <w:tcPr>
                            <w:tcW w:w="3555" w:type="dxa"/>
                            <w:tcBorders>
                              <w:top w:val="single" w:sz="4" w:space="0" w:color="FFFFFF"/>
                              <w:bottom w:val="single" w:sz="4" w:space="0" w:color="FFFFFF"/>
                            </w:tcBorders>
                            <w:shd w:val="clear" w:color="auto" w:fill="E8F5F1"/>
                          </w:tcPr>
                          <w:p>
                            <w:pPr>
                              <w:pStyle w:val="TableParagraph"/>
                              <w:spacing w:line="230" w:lineRule="auto" w:before="48"/>
                              <w:ind w:left="292" w:right="122"/>
                              <w:rPr>
                                <w:sz w:val="15"/>
                              </w:rPr>
                            </w:pPr>
                            <w:r>
                              <w:rPr>
                                <w:color w:val="231F20"/>
                                <w:sz w:val="15"/>
                              </w:rPr>
                              <w:t>Idiopathic</w:t>
                            </w:r>
                            <w:r>
                              <w:rPr>
                                <w:color w:val="231F20"/>
                                <w:spacing w:val="-12"/>
                                <w:sz w:val="15"/>
                              </w:rPr>
                              <w:t> </w:t>
                            </w:r>
                            <w:r>
                              <w:rPr>
                                <w:color w:val="231F20"/>
                                <w:sz w:val="15"/>
                              </w:rPr>
                              <w:t>thrombocytopenic</w:t>
                            </w:r>
                            <w:r>
                              <w:rPr>
                                <w:color w:val="231F20"/>
                                <w:spacing w:val="-11"/>
                                <w:sz w:val="15"/>
                              </w:rPr>
                              <w:t> </w:t>
                            </w:r>
                            <w:r>
                              <w:rPr>
                                <w:color w:val="231F20"/>
                                <w:sz w:val="15"/>
                              </w:rPr>
                              <w:t>purpura Hemolytic uremic syndrome</w:t>
                            </w:r>
                          </w:p>
                          <w:p>
                            <w:pPr>
                              <w:pStyle w:val="TableParagraph"/>
                              <w:spacing w:line="230" w:lineRule="auto" w:before="1"/>
                              <w:ind w:left="292" w:right="256"/>
                              <w:rPr>
                                <w:sz w:val="15"/>
                              </w:rPr>
                            </w:pPr>
                            <w:r>
                              <w:rPr>
                                <w:color w:val="231F20"/>
                                <w:sz w:val="15"/>
                              </w:rPr>
                              <w:t>Hepatic disease/failure coagulopathy Vitamin</w:t>
                            </w:r>
                            <w:r>
                              <w:rPr>
                                <w:color w:val="231F20"/>
                                <w:spacing w:val="-12"/>
                                <w:sz w:val="15"/>
                              </w:rPr>
                              <w:t> </w:t>
                            </w:r>
                            <w:r>
                              <w:rPr>
                                <w:color w:val="231F20"/>
                                <w:sz w:val="15"/>
                              </w:rPr>
                              <w:t>K</w:t>
                            </w:r>
                            <w:r>
                              <w:rPr>
                                <w:color w:val="231F20"/>
                                <w:spacing w:val="-11"/>
                                <w:sz w:val="15"/>
                              </w:rPr>
                              <w:t> </w:t>
                            </w:r>
                            <w:r>
                              <w:rPr>
                                <w:color w:val="231F20"/>
                                <w:sz w:val="15"/>
                              </w:rPr>
                              <w:t>deficiency</w:t>
                            </w:r>
                            <w:r>
                              <w:rPr>
                                <w:color w:val="231F20"/>
                                <w:spacing w:val="-11"/>
                                <w:sz w:val="15"/>
                              </w:rPr>
                              <w:t> </w:t>
                            </w:r>
                            <w:r>
                              <w:rPr>
                                <w:color w:val="231F20"/>
                                <w:sz w:val="15"/>
                              </w:rPr>
                              <w:t>(hemorrhagic</w:t>
                            </w:r>
                            <w:r>
                              <w:rPr>
                                <w:color w:val="231F20"/>
                                <w:spacing w:val="-12"/>
                                <w:sz w:val="15"/>
                              </w:rPr>
                              <w:t> </w:t>
                            </w:r>
                            <w:r>
                              <w:rPr>
                                <w:color w:val="231F20"/>
                                <w:sz w:val="15"/>
                              </w:rPr>
                              <w:t>disease</w:t>
                            </w:r>
                            <w:r>
                              <w:rPr>
                                <w:color w:val="231F20"/>
                                <w:spacing w:val="-11"/>
                                <w:sz w:val="15"/>
                              </w:rPr>
                              <w:t> </w:t>
                            </w:r>
                            <w:r>
                              <w:rPr>
                                <w:color w:val="231F20"/>
                                <w:sz w:val="15"/>
                              </w:rPr>
                              <w:t>of</w:t>
                            </w:r>
                          </w:p>
                          <w:p>
                            <w:pPr>
                              <w:pStyle w:val="TableParagraph"/>
                              <w:spacing w:line="167" w:lineRule="exact"/>
                              <w:ind w:left="404"/>
                              <w:rPr>
                                <w:sz w:val="15"/>
                              </w:rPr>
                            </w:pPr>
                            <w:r>
                              <w:rPr>
                                <w:color w:val="231F20"/>
                                <w:sz w:val="15"/>
                              </w:rPr>
                              <w:t>the</w:t>
                            </w:r>
                            <w:r>
                              <w:rPr>
                                <w:color w:val="231F20"/>
                                <w:spacing w:val="-8"/>
                                <w:sz w:val="15"/>
                              </w:rPr>
                              <w:t> </w:t>
                            </w:r>
                            <w:r>
                              <w:rPr>
                                <w:color w:val="231F20"/>
                                <w:spacing w:val="-2"/>
                                <w:sz w:val="15"/>
                              </w:rPr>
                              <w:t>newborn)</w:t>
                            </w:r>
                          </w:p>
                          <w:p>
                            <w:pPr>
                              <w:pStyle w:val="TableParagraph"/>
                              <w:spacing w:line="171" w:lineRule="exact"/>
                              <w:ind w:left="292"/>
                              <w:rPr>
                                <w:sz w:val="15"/>
                              </w:rPr>
                            </w:pPr>
                            <w:r>
                              <w:rPr>
                                <w:color w:val="231F20"/>
                                <w:spacing w:val="-2"/>
                                <w:sz w:val="15"/>
                              </w:rPr>
                              <w:t>Disseminated</w:t>
                            </w:r>
                            <w:r>
                              <w:rPr>
                                <w:color w:val="231F20"/>
                                <w:spacing w:val="4"/>
                                <w:sz w:val="15"/>
                              </w:rPr>
                              <w:t> </w:t>
                            </w:r>
                            <w:r>
                              <w:rPr>
                                <w:color w:val="231F20"/>
                                <w:spacing w:val="-2"/>
                                <w:sz w:val="15"/>
                              </w:rPr>
                              <w:t>intravascular</w:t>
                            </w:r>
                            <w:r>
                              <w:rPr>
                                <w:color w:val="231F20"/>
                                <w:spacing w:val="4"/>
                                <w:sz w:val="15"/>
                              </w:rPr>
                              <w:t> </w:t>
                            </w:r>
                            <w:r>
                              <w:rPr>
                                <w:color w:val="231F20"/>
                                <w:spacing w:val="-2"/>
                                <w:sz w:val="15"/>
                              </w:rPr>
                              <w:t>coagulopathy</w:t>
                            </w:r>
                          </w:p>
                        </w:tc>
                      </w:tr>
                      <w:tr>
                        <w:trPr>
                          <w:trHeight w:val="1759"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Trauma</w:t>
                            </w:r>
                          </w:p>
                        </w:tc>
                        <w:tc>
                          <w:tcPr>
                            <w:tcW w:w="3555" w:type="dxa"/>
                            <w:tcBorders>
                              <w:top w:val="single" w:sz="4" w:space="0" w:color="FFFFFF"/>
                              <w:bottom w:val="single" w:sz="8" w:space="0" w:color="231F20"/>
                            </w:tcBorders>
                            <w:shd w:val="clear" w:color="auto" w:fill="E8F5F1"/>
                          </w:tcPr>
                          <w:p>
                            <w:pPr>
                              <w:pStyle w:val="TableParagraph"/>
                              <w:spacing w:line="230" w:lineRule="auto" w:before="48"/>
                              <w:ind w:left="404" w:hanging="112"/>
                              <w:rPr>
                                <w:sz w:val="15"/>
                              </w:rPr>
                            </w:pPr>
                            <w:r>
                              <w:rPr>
                                <w:color w:val="231F20"/>
                                <w:spacing w:val="-2"/>
                                <w:sz w:val="15"/>
                              </w:rPr>
                              <w:t>Middle</w:t>
                            </w:r>
                            <w:r>
                              <w:rPr>
                                <w:color w:val="231F20"/>
                                <w:spacing w:val="-5"/>
                                <w:sz w:val="15"/>
                              </w:rPr>
                              <w:t> </w:t>
                            </w:r>
                            <w:r>
                              <w:rPr>
                                <w:color w:val="231F20"/>
                                <w:spacing w:val="-2"/>
                                <w:sz w:val="15"/>
                              </w:rPr>
                              <w:t>meningeal</w:t>
                            </w:r>
                            <w:r>
                              <w:rPr>
                                <w:color w:val="231F20"/>
                                <w:spacing w:val="-5"/>
                                <w:sz w:val="15"/>
                              </w:rPr>
                              <w:t> </w:t>
                            </w:r>
                            <w:r>
                              <w:rPr>
                                <w:color w:val="231F20"/>
                                <w:spacing w:val="-2"/>
                                <w:sz w:val="15"/>
                              </w:rPr>
                              <w:t>artery</w:t>
                            </w:r>
                            <w:r>
                              <w:rPr>
                                <w:color w:val="231F20"/>
                                <w:spacing w:val="-5"/>
                                <w:sz w:val="15"/>
                              </w:rPr>
                              <w:t> </w:t>
                            </w:r>
                            <w:r>
                              <w:rPr>
                                <w:color w:val="231F20"/>
                                <w:spacing w:val="-2"/>
                                <w:sz w:val="15"/>
                              </w:rPr>
                              <w:t>injury</w:t>
                            </w:r>
                            <w:r>
                              <w:rPr>
                                <w:color w:val="231F20"/>
                                <w:spacing w:val="-5"/>
                                <w:sz w:val="15"/>
                              </w:rPr>
                              <w:t> </w:t>
                            </w:r>
                            <w:r>
                              <w:rPr>
                                <w:color w:val="231F20"/>
                                <w:spacing w:val="-2"/>
                                <w:sz w:val="15"/>
                              </w:rPr>
                              <w:t>(epidural hematoma)</w:t>
                            </w:r>
                          </w:p>
                          <w:p>
                            <w:pPr>
                              <w:pStyle w:val="TableParagraph"/>
                              <w:spacing w:line="230" w:lineRule="auto" w:before="1"/>
                              <w:ind w:left="292"/>
                              <w:rPr>
                                <w:sz w:val="15"/>
                              </w:rPr>
                            </w:pPr>
                            <w:r>
                              <w:rPr>
                                <w:color w:val="231F20"/>
                                <w:spacing w:val="-2"/>
                                <w:sz w:val="15"/>
                              </w:rPr>
                              <w:t>Bridging vein injury (subdural </w:t>
                            </w:r>
                            <w:r>
                              <w:rPr>
                                <w:color w:val="231F20"/>
                                <w:spacing w:val="-2"/>
                                <w:sz w:val="15"/>
                              </w:rPr>
                              <w:t>hematoma) </w:t>
                            </w:r>
                            <w:r>
                              <w:rPr>
                                <w:color w:val="231F20"/>
                                <w:sz w:val="15"/>
                              </w:rPr>
                              <w:t>Subarachnoid hemorrhage</w:t>
                            </w:r>
                          </w:p>
                          <w:p>
                            <w:pPr>
                              <w:pStyle w:val="TableParagraph"/>
                              <w:spacing w:line="167" w:lineRule="exact"/>
                              <w:ind w:left="292"/>
                              <w:rPr>
                                <w:sz w:val="15"/>
                              </w:rPr>
                            </w:pPr>
                            <w:r>
                              <w:rPr>
                                <w:color w:val="231F20"/>
                                <w:sz w:val="15"/>
                              </w:rPr>
                              <w:t>Hemorrhagic</w:t>
                            </w:r>
                            <w:r>
                              <w:rPr>
                                <w:color w:val="231F20"/>
                                <w:spacing w:val="4"/>
                                <w:sz w:val="15"/>
                              </w:rPr>
                              <w:t> </w:t>
                            </w:r>
                            <w:r>
                              <w:rPr>
                                <w:color w:val="231F20"/>
                                <w:sz w:val="15"/>
                              </w:rPr>
                              <w:t>contusions</w:t>
                            </w:r>
                            <w:r>
                              <w:rPr>
                                <w:color w:val="231F20"/>
                                <w:spacing w:val="4"/>
                                <w:sz w:val="15"/>
                              </w:rPr>
                              <w:t> </w:t>
                            </w:r>
                            <w:r>
                              <w:rPr>
                                <w:color w:val="231F20"/>
                                <w:sz w:val="15"/>
                              </w:rPr>
                              <w:t>(coup</w:t>
                            </w:r>
                            <w:r>
                              <w:rPr>
                                <w:color w:val="231F20"/>
                                <w:spacing w:val="4"/>
                                <w:sz w:val="15"/>
                              </w:rPr>
                              <w:t> </w:t>
                            </w:r>
                            <w:r>
                              <w:rPr>
                                <w:color w:val="231F20"/>
                                <w:sz w:val="15"/>
                              </w:rPr>
                              <w:t>and</w:t>
                            </w:r>
                            <w:r>
                              <w:rPr>
                                <w:color w:val="231F20"/>
                                <w:spacing w:val="4"/>
                                <w:sz w:val="15"/>
                              </w:rPr>
                              <w:t> </w:t>
                            </w:r>
                            <w:r>
                              <w:rPr>
                                <w:color w:val="231F20"/>
                                <w:spacing w:val="-2"/>
                                <w:sz w:val="15"/>
                              </w:rPr>
                              <w:t>contrecoup)</w:t>
                            </w:r>
                          </w:p>
                          <w:p>
                            <w:pPr>
                              <w:pStyle w:val="TableParagraph"/>
                              <w:spacing w:line="230" w:lineRule="auto" w:before="3"/>
                              <w:ind w:left="404" w:hanging="112"/>
                              <w:rPr>
                                <w:sz w:val="15"/>
                              </w:rPr>
                            </w:pPr>
                            <w:r>
                              <w:rPr>
                                <w:color w:val="231F20"/>
                                <w:sz w:val="15"/>
                              </w:rPr>
                              <w:t>Nonaccidental</w:t>
                            </w:r>
                            <w:r>
                              <w:rPr>
                                <w:color w:val="231F20"/>
                                <w:spacing w:val="-12"/>
                                <w:sz w:val="15"/>
                              </w:rPr>
                              <w:t> </w:t>
                            </w:r>
                            <w:r>
                              <w:rPr>
                                <w:color w:val="231F20"/>
                                <w:sz w:val="15"/>
                              </w:rPr>
                              <w:t>trauma</w:t>
                            </w:r>
                            <w:r>
                              <w:rPr>
                                <w:color w:val="231F20"/>
                                <w:spacing w:val="-11"/>
                                <w:sz w:val="15"/>
                              </w:rPr>
                              <w:t> </w:t>
                            </w:r>
                            <w:r>
                              <w:rPr>
                                <w:color w:val="231F20"/>
                                <w:sz w:val="15"/>
                              </w:rPr>
                              <w:t>(subdural</w:t>
                            </w:r>
                            <w:r>
                              <w:rPr>
                                <w:color w:val="231F20"/>
                                <w:spacing w:val="-11"/>
                                <w:sz w:val="15"/>
                              </w:rPr>
                              <w:t> </w:t>
                            </w:r>
                            <w:r>
                              <w:rPr>
                                <w:color w:val="231F20"/>
                                <w:sz w:val="15"/>
                              </w:rPr>
                              <w:t>hematomas</w:t>
                            </w:r>
                            <w:r>
                              <w:rPr>
                                <w:color w:val="231F20"/>
                                <w:spacing w:val="-12"/>
                                <w:sz w:val="15"/>
                              </w:rPr>
                              <w:t> </w:t>
                            </w:r>
                            <w:r>
                              <w:rPr>
                                <w:color w:val="231F20"/>
                                <w:sz w:val="15"/>
                              </w:rPr>
                              <w:t>of different ages)</w:t>
                            </w:r>
                          </w:p>
                          <w:p>
                            <w:pPr>
                              <w:pStyle w:val="TableParagraph"/>
                              <w:spacing w:line="230" w:lineRule="auto" w:before="1"/>
                              <w:ind w:left="404" w:hanging="112"/>
                              <w:rPr>
                                <w:sz w:val="15"/>
                              </w:rPr>
                            </w:pPr>
                            <w:r>
                              <w:rPr>
                                <w:color w:val="231F20"/>
                                <w:spacing w:val="-2"/>
                                <w:sz w:val="15"/>
                              </w:rPr>
                              <w:t>Iatrogenic (neurosurgical </w:t>
                            </w:r>
                            <w:r>
                              <w:rPr>
                                <w:color w:val="231F20"/>
                                <w:spacing w:val="-2"/>
                                <w:sz w:val="15"/>
                              </w:rPr>
                              <w:t>procedures, angiography)</w:t>
                            </w:r>
                          </w:p>
                          <w:p>
                            <w:pPr>
                              <w:pStyle w:val="TableParagraph"/>
                              <w:spacing w:line="170" w:lineRule="exact"/>
                              <w:ind w:left="292"/>
                              <w:rPr>
                                <w:sz w:val="15"/>
                              </w:rPr>
                            </w:pPr>
                            <w:r>
                              <w:rPr>
                                <w:color w:val="231F20"/>
                                <w:sz w:val="15"/>
                              </w:rPr>
                              <w:t>Rupture</w:t>
                            </w:r>
                            <w:r>
                              <w:rPr>
                                <w:color w:val="231F20"/>
                                <w:spacing w:val="-7"/>
                                <w:sz w:val="15"/>
                              </w:rPr>
                              <w:t> </w:t>
                            </w:r>
                            <w:r>
                              <w:rPr>
                                <w:color w:val="231F20"/>
                                <w:sz w:val="15"/>
                              </w:rPr>
                              <w:t>of</w:t>
                            </w:r>
                            <w:r>
                              <w:rPr>
                                <w:color w:val="231F20"/>
                                <w:spacing w:val="-6"/>
                                <w:sz w:val="15"/>
                              </w:rPr>
                              <w:t> </w:t>
                            </w:r>
                            <w:r>
                              <w:rPr>
                                <w:color w:val="231F20"/>
                                <w:sz w:val="15"/>
                              </w:rPr>
                              <w:t>arachnoid</w:t>
                            </w:r>
                            <w:r>
                              <w:rPr>
                                <w:color w:val="231F20"/>
                                <w:spacing w:val="-6"/>
                                <w:sz w:val="15"/>
                              </w:rPr>
                              <w:t> </w:t>
                            </w:r>
                            <w:r>
                              <w:rPr>
                                <w:color w:val="231F20"/>
                                <w:spacing w:val="-4"/>
                                <w:sz w:val="15"/>
                              </w:rPr>
                              <w:t>cyst</w:t>
                            </w:r>
                          </w:p>
                        </w:tc>
                      </w:tr>
                    </w:tbl>
                    <w:p>
                      <w:pPr>
                        <w:pStyle w:val="BodyText"/>
                      </w:pPr>
                    </w:p>
                  </w:txbxContent>
                </v:textbox>
                <w10:wrap type="topAndBottom"/>
              </v:shape>
            </w:pict>
          </mc:Fallback>
        </mc:AlternateContent>
      </w:r>
      <w:r>
        <w:rPr>
          <w:i/>
          <w:sz w:val="20"/>
        </w:rPr>
        <mc:AlternateContent>
          <mc:Choice Requires="wps">
            <w:drawing>
              <wp:anchor distT="0" distB="0" distL="0" distR="0" allowOverlap="1" layoutInCell="1" locked="0" behindDoc="1" simplePos="0" relativeHeight="487587840">
                <wp:simplePos x="0" y="0"/>
                <wp:positionH relativeFrom="page">
                  <wp:posOffset>3845632</wp:posOffset>
                </wp:positionH>
                <wp:positionV relativeFrom="paragraph">
                  <wp:posOffset>243295</wp:posOffset>
                </wp:positionV>
                <wp:extent cx="2986405" cy="3810635"/>
                <wp:effectExtent l="0" t="0" r="0" b="0"/>
                <wp:wrapTopAndBottom/>
                <wp:docPr id="910" name="Textbox 910"/>
                <wp:cNvGraphicFramePr>
                  <a:graphicFrameLocks/>
                </wp:cNvGraphicFramePr>
                <a:graphic>
                  <a:graphicData uri="http://schemas.microsoft.com/office/word/2010/wordprocessingShape">
                    <wps:wsp>
                      <wps:cNvPr id="910" name="Textbox 910"/>
                      <wps:cNvSpPr txBox="1"/>
                      <wps:spPr>
                        <a:xfrm>
                          <a:off x="0" y="0"/>
                          <a:ext cx="2986405" cy="381063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Potential</w:t>
                                  </w:r>
                                  <w:r>
                                    <w:rPr>
                                      <w:color w:val="FFFFFF"/>
                                      <w:spacing w:val="-3"/>
                                      <w:w w:val="105"/>
                                      <w:sz w:val="16"/>
                                    </w:rPr>
                                    <w:t> </w:t>
                                  </w:r>
                                  <w:r>
                                    <w:rPr>
                                      <w:color w:val="FFFFFF"/>
                                      <w:w w:val="105"/>
                                      <w:sz w:val="16"/>
                                    </w:rPr>
                                    <w:t>Risk</w:t>
                                  </w:r>
                                  <w:r>
                                    <w:rPr>
                                      <w:color w:val="FFFFFF"/>
                                      <w:spacing w:val="-3"/>
                                      <w:w w:val="105"/>
                                      <w:sz w:val="16"/>
                                    </w:rPr>
                                    <w:t> </w:t>
                                  </w:r>
                                  <w:r>
                                    <w:rPr>
                                      <w:color w:val="FFFFFF"/>
                                      <w:w w:val="105"/>
                                      <w:sz w:val="16"/>
                                    </w:rPr>
                                    <w:t>Factors</w:t>
                                  </w:r>
                                  <w:r>
                                    <w:rPr>
                                      <w:color w:val="FFFFFF"/>
                                      <w:spacing w:val="-3"/>
                                      <w:w w:val="105"/>
                                      <w:sz w:val="16"/>
                                    </w:rPr>
                                    <w:t> </w:t>
                                  </w:r>
                                  <w:r>
                                    <w:rPr>
                                      <w:color w:val="FFFFFF"/>
                                      <w:w w:val="105"/>
                                      <w:sz w:val="16"/>
                                    </w:rPr>
                                    <w:t>for</w:t>
                                  </w:r>
                                  <w:r>
                                    <w:rPr>
                                      <w:color w:val="FFFFFF"/>
                                      <w:spacing w:val="-3"/>
                                      <w:w w:val="105"/>
                                      <w:sz w:val="16"/>
                                    </w:rPr>
                                    <w:t> </w:t>
                                  </w:r>
                                  <w:r>
                                    <w:rPr>
                                      <w:color w:val="FFFFFF"/>
                                      <w:w w:val="105"/>
                                      <w:sz w:val="16"/>
                                    </w:rPr>
                                    <w:t>Hemorrhagic Stroke in Children</w:t>
                                  </w:r>
                                </w:p>
                              </w:tc>
                            </w:tr>
                            <w:tr>
                              <w:trPr>
                                <w:trHeight w:val="425" w:hRule="atLeast"/>
                              </w:trPr>
                              <w:tc>
                                <w:tcPr>
                                  <w:tcW w:w="1148" w:type="dxa"/>
                                  <w:tcBorders>
                                    <w:bottom w:val="single" w:sz="4" w:space="0" w:color="231F20"/>
                                  </w:tcBorders>
                                  <w:shd w:val="clear" w:color="auto" w:fill="E8F5F1"/>
                                </w:tcPr>
                                <w:p>
                                  <w:pPr>
                                    <w:pStyle w:val="TableParagraph"/>
                                    <w:spacing w:line="230" w:lineRule="auto" w:before="53"/>
                                    <w:ind w:left="74"/>
                                    <w:rPr>
                                      <w:b/>
                                      <w:sz w:val="15"/>
                                    </w:rPr>
                                  </w:pPr>
                                  <w:r>
                                    <w:rPr>
                                      <w:b/>
                                      <w:color w:val="231F20"/>
                                      <w:spacing w:val="-2"/>
                                      <w:w w:val="110"/>
                                      <w:sz w:val="15"/>
                                    </w:rPr>
                                    <w:t>MAJOR CATEGORIES</w:t>
                                  </w:r>
                                </w:p>
                              </w:tc>
                              <w:tc>
                                <w:tcPr>
                                  <w:tcW w:w="3555" w:type="dxa"/>
                                  <w:tcBorders>
                                    <w:bottom w:val="single" w:sz="4" w:space="0" w:color="231F20"/>
                                  </w:tcBorders>
                                  <w:shd w:val="clear" w:color="auto" w:fill="E8F5F1"/>
                                </w:tcPr>
                                <w:p>
                                  <w:pPr>
                                    <w:pStyle w:val="TableParagraph"/>
                                    <w:spacing w:before="41"/>
                                    <w:rPr>
                                      <w:i/>
                                      <w:sz w:val="15"/>
                                    </w:rPr>
                                  </w:pPr>
                                </w:p>
                                <w:p>
                                  <w:pPr>
                                    <w:pStyle w:val="TableParagraph"/>
                                    <w:ind w:left="217"/>
                                    <w:jc w:val="center"/>
                                    <w:rPr>
                                      <w:b/>
                                      <w:sz w:val="15"/>
                                    </w:rPr>
                                  </w:pPr>
                                  <w:r>
                                    <w:rPr>
                                      <w:b/>
                                      <w:color w:val="231F20"/>
                                      <w:spacing w:val="-2"/>
                                      <w:w w:val="110"/>
                                      <w:sz w:val="15"/>
                                    </w:rPr>
                                    <w:t>EXAMPLES</w:t>
                                  </w:r>
                                </w:p>
                              </w:tc>
                            </w:tr>
                            <w:tr>
                              <w:trPr>
                                <w:trHeight w:val="2104" w:hRule="atLeast"/>
                              </w:trPr>
                              <w:tc>
                                <w:tcPr>
                                  <w:tcW w:w="1148" w:type="dxa"/>
                                  <w:tcBorders>
                                    <w:top w:val="single" w:sz="4" w:space="0" w:color="231F20"/>
                                    <w:bottom w:val="single" w:sz="4" w:space="0" w:color="FFFFFF"/>
                                  </w:tcBorders>
                                  <w:shd w:val="clear" w:color="auto" w:fill="E8F5F1"/>
                                </w:tcPr>
                                <w:p>
                                  <w:pPr>
                                    <w:pStyle w:val="TableParagraph"/>
                                    <w:spacing w:line="230" w:lineRule="auto" w:before="52"/>
                                    <w:ind w:left="186" w:right="71" w:hanging="112"/>
                                    <w:rPr>
                                      <w:sz w:val="15"/>
                                    </w:rPr>
                                  </w:pPr>
                                  <w:r>
                                    <w:rPr>
                                      <w:color w:val="231F20"/>
                                      <w:spacing w:val="-2"/>
                                      <w:sz w:val="15"/>
                                    </w:rPr>
                                    <w:t>Vascular disorder</w:t>
                                  </w:r>
                                </w:p>
                              </w:tc>
                              <w:tc>
                                <w:tcPr>
                                  <w:tcW w:w="3555" w:type="dxa"/>
                                  <w:tcBorders>
                                    <w:top w:val="single" w:sz="4" w:space="0" w:color="231F20"/>
                                    <w:bottom w:val="single" w:sz="4" w:space="0" w:color="FFFFFF"/>
                                  </w:tcBorders>
                                  <w:shd w:val="clear" w:color="auto" w:fill="E8F5F1"/>
                                </w:tcPr>
                                <w:p>
                                  <w:pPr>
                                    <w:pStyle w:val="TableParagraph"/>
                                    <w:spacing w:line="171" w:lineRule="exact" w:before="47"/>
                                    <w:ind w:left="292"/>
                                    <w:rPr>
                                      <w:sz w:val="15"/>
                                    </w:rPr>
                                  </w:pPr>
                                  <w:r>
                                    <w:rPr>
                                      <w:color w:val="231F20"/>
                                      <w:sz w:val="15"/>
                                    </w:rPr>
                                    <w:t>Arteriovenous</w:t>
                                  </w:r>
                                  <w:r>
                                    <w:rPr>
                                      <w:color w:val="231F20"/>
                                      <w:spacing w:val="-9"/>
                                      <w:sz w:val="15"/>
                                    </w:rPr>
                                    <w:t> </w:t>
                                  </w:r>
                                  <w:r>
                                    <w:rPr>
                                      <w:color w:val="231F20"/>
                                      <w:spacing w:val="-2"/>
                                      <w:sz w:val="15"/>
                                    </w:rPr>
                                    <w:t>malformations</w:t>
                                  </w:r>
                                </w:p>
                                <w:p>
                                  <w:pPr>
                                    <w:pStyle w:val="TableParagraph"/>
                                    <w:spacing w:line="230" w:lineRule="auto" w:before="2"/>
                                    <w:ind w:left="292"/>
                                    <w:rPr>
                                      <w:sz w:val="15"/>
                                    </w:rPr>
                                  </w:pPr>
                                  <w:r>
                                    <w:rPr>
                                      <w:color w:val="231F20"/>
                                      <w:sz w:val="15"/>
                                    </w:rPr>
                                    <w:t>Cavernous malformations (“cavernomas”) Venous angiomas and other venous </w:t>
                                  </w:r>
                                  <w:r>
                                    <w:rPr>
                                      <w:color w:val="231F20"/>
                                      <w:sz w:val="15"/>
                                    </w:rPr>
                                    <w:t>anomalies Hereditary hemorrhagic telangiectasia Intracranial aneurysm</w:t>
                                  </w:r>
                                </w:p>
                                <w:p>
                                  <w:pPr>
                                    <w:pStyle w:val="TableParagraph"/>
                                    <w:spacing w:line="230" w:lineRule="auto" w:before="3"/>
                                    <w:ind w:left="404" w:right="122" w:hanging="112"/>
                                    <w:rPr>
                                      <w:sz w:val="15"/>
                                    </w:rPr>
                                  </w:pPr>
                                  <w:r>
                                    <w:rPr>
                                      <w:color w:val="231F20"/>
                                      <w:sz w:val="15"/>
                                    </w:rPr>
                                    <w:t>Choroid</w:t>
                                  </w:r>
                                  <w:r>
                                    <w:rPr>
                                      <w:color w:val="231F20"/>
                                      <w:spacing w:val="-12"/>
                                      <w:sz w:val="15"/>
                                    </w:rPr>
                                    <w:t> </w:t>
                                  </w:r>
                                  <w:r>
                                    <w:rPr>
                                      <w:color w:val="231F20"/>
                                      <w:sz w:val="15"/>
                                    </w:rPr>
                                    <w:t>plexus</w:t>
                                  </w:r>
                                  <w:r>
                                    <w:rPr>
                                      <w:color w:val="231F20"/>
                                      <w:spacing w:val="-11"/>
                                      <w:sz w:val="15"/>
                                    </w:rPr>
                                    <w:t> </w:t>
                                  </w:r>
                                  <w:r>
                                    <w:rPr>
                                      <w:color w:val="231F20"/>
                                      <w:sz w:val="15"/>
                                    </w:rPr>
                                    <w:t>angiomas</w:t>
                                  </w:r>
                                  <w:r>
                                    <w:rPr>
                                      <w:color w:val="231F20"/>
                                      <w:spacing w:val="-11"/>
                                      <w:sz w:val="15"/>
                                    </w:rPr>
                                    <w:t> </w:t>
                                  </w:r>
                                  <w:r>
                                    <w:rPr>
                                      <w:color w:val="231F20"/>
                                      <w:sz w:val="15"/>
                                    </w:rPr>
                                    <w:t>(pure</w:t>
                                  </w:r>
                                  <w:r>
                                    <w:rPr>
                                      <w:color w:val="231F20"/>
                                      <w:spacing w:val="-12"/>
                                      <w:sz w:val="15"/>
                                    </w:rPr>
                                    <w:t> </w:t>
                                  </w:r>
                                  <w:r>
                                    <w:rPr>
                                      <w:color w:val="231F20"/>
                                      <w:sz w:val="15"/>
                                    </w:rPr>
                                    <w:t>intraventricular </w:t>
                                  </w:r>
                                  <w:r>
                                    <w:rPr>
                                      <w:color w:val="231F20"/>
                                      <w:spacing w:val="-2"/>
                                      <w:sz w:val="15"/>
                                    </w:rPr>
                                    <w:t>hemorrhage)</w:t>
                                  </w:r>
                                </w:p>
                                <w:p>
                                  <w:pPr>
                                    <w:pStyle w:val="TableParagraph"/>
                                    <w:spacing w:line="230" w:lineRule="auto" w:before="2"/>
                                    <w:ind w:left="292" w:right="426"/>
                                    <w:rPr>
                                      <w:sz w:val="15"/>
                                    </w:rPr>
                                  </w:pPr>
                                  <w:r>
                                    <w:rPr>
                                      <w:color w:val="231F20"/>
                                      <w:sz w:val="15"/>
                                    </w:rPr>
                                    <w:t>Moyamoya disease/syndrome </w:t>
                                  </w:r>
                                  <w:r>
                                    <w:rPr>
                                      <w:color w:val="231F20"/>
                                      <w:spacing w:val="-2"/>
                                      <w:sz w:val="15"/>
                                    </w:rPr>
                                    <w:t>Inflammatory</w:t>
                                  </w:r>
                                  <w:r>
                                    <w:rPr>
                                      <w:color w:val="231F20"/>
                                      <w:spacing w:val="-10"/>
                                      <w:sz w:val="15"/>
                                    </w:rPr>
                                    <w:t> </w:t>
                                  </w:r>
                                  <w:r>
                                    <w:rPr>
                                      <w:color w:val="231F20"/>
                                      <w:spacing w:val="-2"/>
                                      <w:sz w:val="15"/>
                                    </w:rPr>
                                    <w:t>vasculitis</w:t>
                                  </w:r>
                                  <w:r>
                                    <w:rPr>
                                      <w:color w:val="231F20"/>
                                      <w:spacing w:val="-9"/>
                                      <w:sz w:val="15"/>
                                    </w:rPr>
                                    <w:t> </w:t>
                                  </w:r>
                                  <w:r>
                                    <w:rPr>
                                      <w:color w:val="231F20"/>
                                      <w:spacing w:val="-2"/>
                                      <w:sz w:val="15"/>
                                    </w:rPr>
                                    <w:t>(see</w:t>
                                  </w:r>
                                  <w:r>
                                    <w:rPr>
                                      <w:color w:val="231F20"/>
                                      <w:spacing w:val="-9"/>
                                      <w:sz w:val="15"/>
                                    </w:rPr>
                                    <w:t> </w:t>
                                  </w:r>
                                  <w:r>
                                    <w:rPr>
                                      <w:color w:val="0080AC"/>
                                      <w:spacing w:val="-2"/>
                                      <w:sz w:val="15"/>
                                    </w:rPr>
                                    <w:t>Chapter</w:t>
                                  </w:r>
                                  <w:r>
                                    <w:rPr>
                                      <w:color w:val="0080AC"/>
                                      <w:spacing w:val="-10"/>
                                      <w:sz w:val="15"/>
                                    </w:rPr>
                                    <w:t> </w:t>
                                  </w:r>
                                  <w:r>
                                    <w:rPr>
                                      <w:color w:val="0080AC"/>
                                      <w:spacing w:val="-2"/>
                                      <w:sz w:val="15"/>
                                    </w:rPr>
                                    <w:t>601.1</w:t>
                                  </w:r>
                                  <w:r>
                                    <w:rPr>
                                      <w:color w:val="231F20"/>
                                      <w:spacing w:val="-2"/>
                                      <w:sz w:val="15"/>
                                    </w:rPr>
                                    <w:t>)</w:t>
                                  </w:r>
                                </w:p>
                                <w:p>
                                  <w:pPr>
                                    <w:pStyle w:val="TableParagraph"/>
                                    <w:spacing w:line="230" w:lineRule="auto" w:before="1"/>
                                    <w:ind w:left="292" w:right="256"/>
                                    <w:rPr>
                                      <w:sz w:val="15"/>
                                    </w:rPr>
                                  </w:pPr>
                                  <w:r>
                                    <w:rPr>
                                      <w:color w:val="231F20"/>
                                      <w:spacing w:val="-2"/>
                                      <w:sz w:val="15"/>
                                    </w:rPr>
                                    <w:t>Neoplastic lesions with unstable </w:t>
                                  </w:r>
                                  <w:r>
                                    <w:rPr>
                                      <w:color w:val="231F20"/>
                                      <w:spacing w:val="-2"/>
                                      <w:sz w:val="15"/>
                                    </w:rPr>
                                    <w:t>vasculature </w:t>
                                  </w:r>
                                  <w:r>
                                    <w:rPr>
                                      <w:color w:val="231F20"/>
                                      <w:sz w:val="15"/>
                                    </w:rPr>
                                    <w:t>Drugs/toxins (cocaine, amphetamine) Cerebral sinovenous thrombosis</w:t>
                                  </w:r>
                                </w:p>
                              </w:tc>
                            </w:tr>
                            <w:tr>
                              <w:trPr>
                                <w:trHeight w:val="109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Blood</w:t>
                                  </w:r>
                                  <w:r>
                                    <w:rPr>
                                      <w:color w:val="231F20"/>
                                      <w:spacing w:val="2"/>
                                      <w:w w:val="105"/>
                                      <w:sz w:val="15"/>
                                    </w:rPr>
                                    <w:t> </w:t>
                                  </w:r>
                                  <w:r>
                                    <w:rPr>
                                      <w:color w:val="231F20"/>
                                      <w:spacing w:val="-2"/>
                                      <w:w w:val="105"/>
                                      <w:sz w:val="15"/>
                                    </w:rPr>
                                    <w:t>disorder</w:t>
                                  </w:r>
                                </w:p>
                              </w:tc>
                              <w:tc>
                                <w:tcPr>
                                  <w:tcW w:w="3555" w:type="dxa"/>
                                  <w:tcBorders>
                                    <w:top w:val="single" w:sz="4" w:space="0" w:color="FFFFFF"/>
                                    <w:bottom w:val="single" w:sz="4" w:space="0" w:color="FFFFFF"/>
                                  </w:tcBorders>
                                  <w:shd w:val="clear" w:color="auto" w:fill="E8F5F1"/>
                                </w:tcPr>
                                <w:p>
                                  <w:pPr>
                                    <w:pStyle w:val="TableParagraph"/>
                                    <w:spacing w:line="230" w:lineRule="auto" w:before="48"/>
                                    <w:ind w:left="292" w:right="122"/>
                                    <w:rPr>
                                      <w:sz w:val="15"/>
                                    </w:rPr>
                                  </w:pPr>
                                  <w:r>
                                    <w:rPr>
                                      <w:color w:val="231F20"/>
                                      <w:sz w:val="15"/>
                                    </w:rPr>
                                    <w:t>Idiopathic</w:t>
                                  </w:r>
                                  <w:r>
                                    <w:rPr>
                                      <w:color w:val="231F20"/>
                                      <w:spacing w:val="-12"/>
                                      <w:sz w:val="15"/>
                                    </w:rPr>
                                    <w:t> </w:t>
                                  </w:r>
                                  <w:r>
                                    <w:rPr>
                                      <w:color w:val="231F20"/>
                                      <w:sz w:val="15"/>
                                    </w:rPr>
                                    <w:t>thrombocytopenic</w:t>
                                  </w:r>
                                  <w:r>
                                    <w:rPr>
                                      <w:color w:val="231F20"/>
                                      <w:spacing w:val="-11"/>
                                      <w:sz w:val="15"/>
                                    </w:rPr>
                                    <w:t> </w:t>
                                  </w:r>
                                  <w:r>
                                    <w:rPr>
                                      <w:color w:val="231F20"/>
                                      <w:sz w:val="15"/>
                                    </w:rPr>
                                    <w:t>purpura Hemolytic uremic syndrome</w:t>
                                  </w:r>
                                </w:p>
                                <w:p>
                                  <w:pPr>
                                    <w:pStyle w:val="TableParagraph"/>
                                    <w:spacing w:line="230" w:lineRule="auto" w:before="1"/>
                                    <w:ind w:left="292" w:right="256"/>
                                    <w:rPr>
                                      <w:sz w:val="15"/>
                                    </w:rPr>
                                  </w:pPr>
                                  <w:r>
                                    <w:rPr>
                                      <w:color w:val="231F20"/>
                                      <w:sz w:val="15"/>
                                    </w:rPr>
                                    <w:t>Hepatic disease/failure coagulopathy Vitamin</w:t>
                                  </w:r>
                                  <w:r>
                                    <w:rPr>
                                      <w:color w:val="231F20"/>
                                      <w:spacing w:val="-12"/>
                                      <w:sz w:val="15"/>
                                    </w:rPr>
                                    <w:t> </w:t>
                                  </w:r>
                                  <w:r>
                                    <w:rPr>
                                      <w:color w:val="231F20"/>
                                      <w:sz w:val="15"/>
                                    </w:rPr>
                                    <w:t>K</w:t>
                                  </w:r>
                                  <w:r>
                                    <w:rPr>
                                      <w:color w:val="231F20"/>
                                      <w:spacing w:val="-11"/>
                                      <w:sz w:val="15"/>
                                    </w:rPr>
                                    <w:t> </w:t>
                                  </w:r>
                                  <w:r>
                                    <w:rPr>
                                      <w:color w:val="231F20"/>
                                      <w:sz w:val="15"/>
                                    </w:rPr>
                                    <w:t>deficiency</w:t>
                                  </w:r>
                                  <w:r>
                                    <w:rPr>
                                      <w:color w:val="231F20"/>
                                      <w:spacing w:val="-11"/>
                                      <w:sz w:val="15"/>
                                    </w:rPr>
                                    <w:t> </w:t>
                                  </w:r>
                                  <w:r>
                                    <w:rPr>
                                      <w:color w:val="231F20"/>
                                      <w:sz w:val="15"/>
                                    </w:rPr>
                                    <w:t>(hemorrhagic</w:t>
                                  </w:r>
                                  <w:r>
                                    <w:rPr>
                                      <w:color w:val="231F20"/>
                                      <w:spacing w:val="-12"/>
                                      <w:sz w:val="15"/>
                                    </w:rPr>
                                    <w:t> </w:t>
                                  </w:r>
                                  <w:r>
                                    <w:rPr>
                                      <w:color w:val="231F20"/>
                                      <w:sz w:val="15"/>
                                    </w:rPr>
                                    <w:t>disease</w:t>
                                  </w:r>
                                  <w:r>
                                    <w:rPr>
                                      <w:color w:val="231F20"/>
                                      <w:spacing w:val="-11"/>
                                      <w:sz w:val="15"/>
                                    </w:rPr>
                                    <w:t> </w:t>
                                  </w:r>
                                  <w:r>
                                    <w:rPr>
                                      <w:color w:val="231F20"/>
                                      <w:sz w:val="15"/>
                                    </w:rPr>
                                    <w:t>of</w:t>
                                  </w:r>
                                </w:p>
                                <w:p>
                                  <w:pPr>
                                    <w:pStyle w:val="TableParagraph"/>
                                    <w:spacing w:line="167" w:lineRule="exact"/>
                                    <w:ind w:left="404"/>
                                    <w:rPr>
                                      <w:sz w:val="15"/>
                                    </w:rPr>
                                  </w:pPr>
                                  <w:r>
                                    <w:rPr>
                                      <w:color w:val="231F20"/>
                                      <w:sz w:val="15"/>
                                    </w:rPr>
                                    <w:t>the</w:t>
                                  </w:r>
                                  <w:r>
                                    <w:rPr>
                                      <w:color w:val="231F20"/>
                                      <w:spacing w:val="-8"/>
                                      <w:sz w:val="15"/>
                                    </w:rPr>
                                    <w:t> </w:t>
                                  </w:r>
                                  <w:r>
                                    <w:rPr>
                                      <w:color w:val="231F20"/>
                                      <w:spacing w:val="-2"/>
                                      <w:sz w:val="15"/>
                                    </w:rPr>
                                    <w:t>newborn)</w:t>
                                  </w:r>
                                </w:p>
                                <w:p>
                                  <w:pPr>
                                    <w:pStyle w:val="TableParagraph"/>
                                    <w:spacing w:line="171" w:lineRule="exact"/>
                                    <w:ind w:left="292"/>
                                    <w:rPr>
                                      <w:sz w:val="15"/>
                                    </w:rPr>
                                  </w:pPr>
                                  <w:r>
                                    <w:rPr>
                                      <w:color w:val="231F20"/>
                                      <w:spacing w:val="-2"/>
                                      <w:sz w:val="15"/>
                                    </w:rPr>
                                    <w:t>Disseminated</w:t>
                                  </w:r>
                                  <w:r>
                                    <w:rPr>
                                      <w:color w:val="231F20"/>
                                      <w:spacing w:val="4"/>
                                      <w:sz w:val="15"/>
                                    </w:rPr>
                                    <w:t> </w:t>
                                  </w:r>
                                  <w:r>
                                    <w:rPr>
                                      <w:color w:val="231F20"/>
                                      <w:spacing w:val="-2"/>
                                      <w:sz w:val="15"/>
                                    </w:rPr>
                                    <w:t>intravascular</w:t>
                                  </w:r>
                                  <w:r>
                                    <w:rPr>
                                      <w:color w:val="231F20"/>
                                      <w:spacing w:val="4"/>
                                      <w:sz w:val="15"/>
                                    </w:rPr>
                                    <w:t> </w:t>
                                  </w:r>
                                  <w:r>
                                    <w:rPr>
                                      <w:color w:val="231F20"/>
                                      <w:spacing w:val="-2"/>
                                      <w:sz w:val="15"/>
                                    </w:rPr>
                                    <w:t>coagulopathy</w:t>
                                  </w:r>
                                </w:p>
                              </w:tc>
                            </w:tr>
                            <w:tr>
                              <w:trPr>
                                <w:trHeight w:val="1759"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Trauma</w:t>
                                  </w:r>
                                </w:p>
                              </w:tc>
                              <w:tc>
                                <w:tcPr>
                                  <w:tcW w:w="3555" w:type="dxa"/>
                                  <w:tcBorders>
                                    <w:top w:val="single" w:sz="4" w:space="0" w:color="FFFFFF"/>
                                    <w:bottom w:val="single" w:sz="8" w:space="0" w:color="231F20"/>
                                  </w:tcBorders>
                                  <w:shd w:val="clear" w:color="auto" w:fill="E8F5F1"/>
                                </w:tcPr>
                                <w:p>
                                  <w:pPr>
                                    <w:pStyle w:val="TableParagraph"/>
                                    <w:spacing w:line="230" w:lineRule="auto" w:before="48"/>
                                    <w:ind w:left="404" w:hanging="112"/>
                                    <w:rPr>
                                      <w:sz w:val="15"/>
                                    </w:rPr>
                                  </w:pPr>
                                  <w:r>
                                    <w:rPr>
                                      <w:color w:val="231F20"/>
                                      <w:spacing w:val="-2"/>
                                      <w:sz w:val="15"/>
                                    </w:rPr>
                                    <w:t>Middle</w:t>
                                  </w:r>
                                  <w:r>
                                    <w:rPr>
                                      <w:color w:val="231F20"/>
                                      <w:spacing w:val="-5"/>
                                      <w:sz w:val="15"/>
                                    </w:rPr>
                                    <w:t> </w:t>
                                  </w:r>
                                  <w:r>
                                    <w:rPr>
                                      <w:color w:val="231F20"/>
                                      <w:spacing w:val="-2"/>
                                      <w:sz w:val="15"/>
                                    </w:rPr>
                                    <w:t>meningeal</w:t>
                                  </w:r>
                                  <w:r>
                                    <w:rPr>
                                      <w:color w:val="231F20"/>
                                      <w:spacing w:val="-5"/>
                                      <w:sz w:val="15"/>
                                    </w:rPr>
                                    <w:t> </w:t>
                                  </w:r>
                                  <w:r>
                                    <w:rPr>
                                      <w:color w:val="231F20"/>
                                      <w:spacing w:val="-2"/>
                                      <w:sz w:val="15"/>
                                    </w:rPr>
                                    <w:t>artery</w:t>
                                  </w:r>
                                  <w:r>
                                    <w:rPr>
                                      <w:color w:val="231F20"/>
                                      <w:spacing w:val="-5"/>
                                      <w:sz w:val="15"/>
                                    </w:rPr>
                                    <w:t> </w:t>
                                  </w:r>
                                  <w:r>
                                    <w:rPr>
                                      <w:color w:val="231F20"/>
                                      <w:spacing w:val="-2"/>
                                      <w:sz w:val="15"/>
                                    </w:rPr>
                                    <w:t>injury</w:t>
                                  </w:r>
                                  <w:r>
                                    <w:rPr>
                                      <w:color w:val="231F20"/>
                                      <w:spacing w:val="-5"/>
                                      <w:sz w:val="15"/>
                                    </w:rPr>
                                    <w:t> </w:t>
                                  </w:r>
                                  <w:r>
                                    <w:rPr>
                                      <w:color w:val="231F20"/>
                                      <w:spacing w:val="-2"/>
                                      <w:sz w:val="15"/>
                                    </w:rPr>
                                    <w:t>(epidural hematoma)</w:t>
                                  </w:r>
                                </w:p>
                                <w:p>
                                  <w:pPr>
                                    <w:pStyle w:val="TableParagraph"/>
                                    <w:spacing w:line="230" w:lineRule="auto" w:before="1"/>
                                    <w:ind w:left="292"/>
                                    <w:rPr>
                                      <w:sz w:val="15"/>
                                    </w:rPr>
                                  </w:pPr>
                                  <w:r>
                                    <w:rPr>
                                      <w:color w:val="231F20"/>
                                      <w:spacing w:val="-2"/>
                                      <w:sz w:val="15"/>
                                    </w:rPr>
                                    <w:t>Bridging vein injury (subdural </w:t>
                                  </w:r>
                                  <w:r>
                                    <w:rPr>
                                      <w:color w:val="231F20"/>
                                      <w:spacing w:val="-2"/>
                                      <w:sz w:val="15"/>
                                    </w:rPr>
                                    <w:t>hematoma) </w:t>
                                  </w:r>
                                  <w:r>
                                    <w:rPr>
                                      <w:color w:val="231F20"/>
                                      <w:sz w:val="15"/>
                                    </w:rPr>
                                    <w:t>Subarachnoid hemorrhage</w:t>
                                  </w:r>
                                </w:p>
                                <w:p>
                                  <w:pPr>
                                    <w:pStyle w:val="TableParagraph"/>
                                    <w:spacing w:line="167" w:lineRule="exact"/>
                                    <w:ind w:left="292"/>
                                    <w:rPr>
                                      <w:sz w:val="15"/>
                                    </w:rPr>
                                  </w:pPr>
                                  <w:r>
                                    <w:rPr>
                                      <w:color w:val="231F20"/>
                                      <w:sz w:val="15"/>
                                    </w:rPr>
                                    <w:t>Hemorrhagic</w:t>
                                  </w:r>
                                  <w:r>
                                    <w:rPr>
                                      <w:color w:val="231F20"/>
                                      <w:spacing w:val="4"/>
                                      <w:sz w:val="15"/>
                                    </w:rPr>
                                    <w:t> </w:t>
                                  </w:r>
                                  <w:r>
                                    <w:rPr>
                                      <w:color w:val="231F20"/>
                                      <w:sz w:val="15"/>
                                    </w:rPr>
                                    <w:t>contusions</w:t>
                                  </w:r>
                                  <w:r>
                                    <w:rPr>
                                      <w:color w:val="231F20"/>
                                      <w:spacing w:val="4"/>
                                      <w:sz w:val="15"/>
                                    </w:rPr>
                                    <w:t> </w:t>
                                  </w:r>
                                  <w:r>
                                    <w:rPr>
                                      <w:color w:val="231F20"/>
                                      <w:sz w:val="15"/>
                                    </w:rPr>
                                    <w:t>(coup</w:t>
                                  </w:r>
                                  <w:r>
                                    <w:rPr>
                                      <w:color w:val="231F20"/>
                                      <w:spacing w:val="4"/>
                                      <w:sz w:val="15"/>
                                    </w:rPr>
                                    <w:t> </w:t>
                                  </w:r>
                                  <w:r>
                                    <w:rPr>
                                      <w:color w:val="231F20"/>
                                      <w:sz w:val="15"/>
                                    </w:rPr>
                                    <w:t>and</w:t>
                                  </w:r>
                                  <w:r>
                                    <w:rPr>
                                      <w:color w:val="231F20"/>
                                      <w:spacing w:val="4"/>
                                      <w:sz w:val="15"/>
                                    </w:rPr>
                                    <w:t> </w:t>
                                  </w:r>
                                  <w:r>
                                    <w:rPr>
                                      <w:color w:val="231F20"/>
                                      <w:spacing w:val="-2"/>
                                      <w:sz w:val="15"/>
                                    </w:rPr>
                                    <w:t>contrecoup)</w:t>
                                  </w:r>
                                </w:p>
                                <w:p>
                                  <w:pPr>
                                    <w:pStyle w:val="TableParagraph"/>
                                    <w:spacing w:line="230" w:lineRule="auto" w:before="3"/>
                                    <w:ind w:left="404" w:hanging="112"/>
                                    <w:rPr>
                                      <w:sz w:val="15"/>
                                    </w:rPr>
                                  </w:pPr>
                                  <w:r>
                                    <w:rPr>
                                      <w:color w:val="231F20"/>
                                      <w:sz w:val="15"/>
                                    </w:rPr>
                                    <w:t>Nonaccidental</w:t>
                                  </w:r>
                                  <w:r>
                                    <w:rPr>
                                      <w:color w:val="231F20"/>
                                      <w:spacing w:val="-12"/>
                                      <w:sz w:val="15"/>
                                    </w:rPr>
                                    <w:t> </w:t>
                                  </w:r>
                                  <w:r>
                                    <w:rPr>
                                      <w:color w:val="231F20"/>
                                      <w:sz w:val="15"/>
                                    </w:rPr>
                                    <w:t>trauma</w:t>
                                  </w:r>
                                  <w:r>
                                    <w:rPr>
                                      <w:color w:val="231F20"/>
                                      <w:spacing w:val="-11"/>
                                      <w:sz w:val="15"/>
                                    </w:rPr>
                                    <w:t> </w:t>
                                  </w:r>
                                  <w:r>
                                    <w:rPr>
                                      <w:color w:val="231F20"/>
                                      <w:sz w:val="15"/>
                                    </w:rPr>
                                    <w:t>(subdural</w:t>
                                  </w:r>
                                  <w:r>
                                    <w:rPr>
                                      <w:color w:val="231F20"/>
                                      <w:spacing w:val="-11"/>
                                      <w:sz w:val="15"/>
                                    </w:rPr>
                                    <w:t> </w:t>
                                  </w:r>
                                  <w:r>
                                    <w:rPr>
                                      <w:color w:val="231F20"/>
                                      <w:sz w:val="15"/>
                                    </w:rPr>
                                    <w:t>hematomas</w:t>
                                  </w:r>
                                  <w:r>
                                    <w:rPr>
                                      <w:color w:val="231F20"/>
                                      <w:spacing w:val="-12"/>
                                      <w:sz w:val="15"/>
                                    </w:rPr>
                                    <w:t> </w:t>
                                  </w:r>
                                  <w:r>
                                    <w:rPr>
                                      <w:color w:val="231F20"/>
                                      <w:sz w:val="15"/>
                                    </w:rPr>
                                    <w:t>of different ages)</w:t>
                                  </w:r>
                                </w:p>
                                <w:p>
                                  <w:pPr>
                                    <w:pStyle w:val="TableParagraph"/>
                                    <w:spacing w:line="230" w:lineRule="auto" w:before="1"/>
                                    <w:ind w:left="404" w:hanging="112"/>
                                    <w:rPr>
                                      <w:sz w:val="15"/>
                                    </w:rPr>
                                  </w:pPr>
                                  <w:r>
                                    <w:rPr>
                                      <w:color w:val="231F20"/>
                                      <w:spacing w:val="-2"/>
                                      <w:sz w:val="15"/>
                                    </w:rPr>
                                    <w:t>Iatrogenic (neurosurgical </w:t>
                                  </w:r>
                                  <w:r>
                                    <w:rPr>
                                      <w:color w:val="231F20"/>
                                      <w:spacing w:val="-2"/>
                                      <w:sz w:val="15"/>
                                    </w:rPr>
                                    <w:t>procedures, angiography)</w:t>
                                  </w:r>
                                </w:p>
                                <w:p>
                                  <w:pPr>
                                    <w:pStyle w:val="TableParagraph"/>
                                    <w:spacing w:line="170" w:lineRule="exact"/>
                                    <w:ind w:left="292"/>
                                    <w:rPr>
                                      <w:sz w:val="15"/>
                                    </w:rPr>
                                  </w:pPr>
                                  <w:r>
                                    <w:rPr>
                                      <w:color w:val="231F20"/>
                                      <w:sz w:val="15"/>
                                    </w:rPr>
                                    <w:t>Rupture</w:t>
                                  </w:r>
                                  <w:r>
                                    <w:rPr>
                                      <w:color w:val="231F20"/>
                                      <w:spacing w:val="-7"/>
                                      <w:sz w:val="15"/>
                                    </w:rPr>
                                    <w:t> </w:t>
                                  </w:r>
                                  <w:r>
                                    <w:rPr>
                                      <w:color w:val="231F20"/>
                                      <w:sz w:val="15"/>
                                    </w:rPr>
                                    <w:t>of</w:t>
                                  </w:r>
                                  <w:r>
                                    <w:rPr>
                                      <w:color w:val="231F20"/>
                                      <w:spacing w:val="-6"/>
                                      <w:sz w:val="15"/>
                                    </w:rPr>
                                    <w:t> </w:t>
                                  </w:r>
                                  <w:r>
                                    <w:rPr>
                                      <w:color w:val="231F20"/>
                                      <w:sz w:val="15"/>
                                    </w:rPr>
                                    <w:t>arachnoid</w:t>
                                  </w:r>
                                  <w:r>
                                    <w:rPr>
                                      <w:color w:val="231F20"/>
                                      <w:spacing w:val="-6"/>
                                      <w:sz w:val="15"/>
                                    </w:rPr>
                                    <w:t> </w:t>
                                  </w:r>
                                  <w:r>
                                    <w:rPr>
                                      <w:color w:val="231F20"/>
                                      <w:spacing w:val="-4"/>
                                      <w:sz w:val="15"/>
                                    </w:rPr>
                                    <w:t>cyst</w:t>
                                  </w:r>
                                </w:p>
                              </w:tc>
                            </w:tr>
                          </w:tbl>
                          <w:p>
                            <w:pPr>
                              <w:pStyle w:val="BodyText"/>
                            </w:pPr>
                          </w:p>
                        </w:txbxContent>
                      </wps:txbx>
                      <wps:bodyPr wrap="square" lIns="0" tIns="0" rIns="0" bIns="0" rtlCol="0">
                        <a:noAutofit/>
                      </wps:bodyPr>
                    </wps:wsp>
                  </a:graphicData>
                </a:graphic>
              </wp:anchor>
            </w:drawing>
          </mc:Choice>
          <mc:Fallback>
            <w:pict>
              <v:shape style="position:absolute;margin-left:302.805695pt;margin-top:19.157101pt;width:235.15pt;height:300.05pt;mso-position-horizontal-relative:page;mso-position-vertical-relative:paragraph;z-index:-15728640;mso-wrap-distance-left:0;mso-wrap-distance-right:0" type="#_x0000_t202" id="docshape73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9"/>
                              <w:ind w:left="73" w:right="197"/>
                              <w:rPr>
                                <w:sz w:val="16"/>
                              </w:rPr>
                            </w:pPr>
                            <w:r>
                              <w:rPr>
                                <w:color w:val="FFFFFF"/>
                                <w:w w:val="105"/>
                                <w:sz w:val="16"/>
                              </w:rPr>
                              <w:t>Potential</w:t>
                            </w:r>
                            <w:r>
                              <w:rPr>
                                <w:color w:val="FFFFFF"/>
                                <w:spacing w:val="-3"/>
                                <w:w w:val="105"/>
                                <w:sz w:val="16"/>
                              </w:rPr>
                              <w:t> </w:t>
                            </w:r>
                            <w:r>
                              <w:rPr>
                                <w:color w:val="FFFFFF"/>
                                <w:w w:val="105"/>
                                <w:sz w:val="16"/>
                              </w:rPr>
                              <w:t>Risk</w:t>
                            </w:r>
                            <w:r>
                              <w:rPr>
                                <w:color w:val="FFFFFF"/>
                                <w:spacing w:val="-3"/>
                                <w:w w:val="105"/>
                                <w:sz w:val="16"/>
                              </w:rPr>
                              <w:t> </w:t>
                            </w:r>
                            <w:r>
                              <w:rPr>
                                <w:color w:val="FFFFFF"/>
                                <w:w w:val="105"/>
                                <w:sz w:val="16"/>
                              </w:rPr>
                              <w:t>Factors</w:t>
                            </w:r>
                            <w:r>
                              <w:rPr>
                                <w:color w:val="FFFFFF"/>
                                <w:spacing w:val="-3"/>
                                <w:w w:val="105"/>
                                <w:sz w:val="16"/>
                              </w:rPr>
                              <w:t> </w:t>
                            </w:r>
                            <w:r>
                              <w:rPr>
                                <w:color w:val="FFFFFF"/>
                                <w:w w:val="105"/>
                                <w:sz w:val="16"/>
                              </w:rPr>
                              <w:t>for</w:t>
                            </w:r>
                            <w:r>
                              <w:rPr>
                                <w:color w:val="FFFFFF"/>
                                <w:spacing w:val="-3"/>
                                <w:w w:val="105"/>
                                <w:sz w:val="16"/>
                              </w:rPr>
                              <w:t> </w:t>
                            </w:r>
                            <w:r>
                              <w:rPr>
                                <w:color w:val="FFFFFF"/>
                                <w:w w:val="105"/>
                                <w:sz w:val="16"/>
                              </w:rPr>
                              <w:t>Hemorrhagic Stroke in Children</w:t>
                            </w:r>
                          </w:p>
                        </w:tc>
                      </w:tr>
                      <w:tr>
                        <w:trPr>
                          <w:trHeight w:val="425" w:hRule="atLeast"/>
                        </w:trPr>
                        <w:tc>
                          <w:tcPr>
                            <w:tcW w:w="1148" w:type="dxa"/>
                            <w:tcBorders>
                              <w:bottom w:val="single" w:sz="4" w:space="0" w:color="231F20"/>
                            </w:tcBorders>
                            <w:shd w:val="clear" w:color="auto" w:fill="E8F5F1"/>
                          </w:tcPr>
                          <w:p>
                            <w:pPr>
                              <w:pStyle w:val="TableParagraph"/>
                              <w:spacing w:line="230" w:lineRule="auto" w:before="53"/>
                              <w:ind w:left="74"/>
                              <w:rPr>
                                <w:b/>
                                <w:sz w:val="15"/>
                              </w:rPr>
                            </w:pPr>
                            <w:r>
                              <w:rPr>
                                <w:b/>
                                <w:color w:val="231F20"/>
                                <w:spacing w:val="-2"/>
                                <w:w w:val="110"/>
                                <w:sz w:val="15"/>
                              </w:rPr>
                              <w:t>MAJOR CATEGORIES</w:t>
                            </w:r>
                          </w:p>
                        </w:tc>
                        <w:tc>
                          <w:tcPr>
                            <w:tcW w:w="3555" w:type="dxa"/>
                            <w:tcBorders>
                              <w:bottom w:val="single" w:sz="4" w:space="0" w:color="231F20"/>
                            </w:tcBorders>
                            <w:shd w:val="clear" w:color="auto" w:fill="E8F5F1"/>
                          </w:tcPr>
                          <w:p>
                            <w:pPr>
                              <w:pStyle w:val="TableParagraph"/>
                              <w:spacing w:before="41"/>
                              <w:rPr>
                                <w:i/>
                                <w:sz w:val="15"/>
                              </w:rPr>
                            </w:pPr>
                          </w:p>
                          <w:p>
                            <w:pPr>
                              <w:pStyle w:val="TableParagraph"/>
                              <w:ind w:left="217"/>
                              <w:jc w:val="center"/>
                              <w:rPr>
                                <w:b/>
                                <w:sz w:val="15"/>
                              </w:rPr>
                            </w:pPr>
                            <w:r>
                              <w:rPr>
                                <w:b/>
                                <w:color w:val="231F20"/>
                                <w:spacing w:val="-2"/>
                                <w:w w:val="110"/>
                                <w:sz w:val="15"/>
                              </w:rPr>
                              <w:t>EXAMPLES</w:t>
                            </w:r>
                          </w:p>
                        </w:tc>
                      </w:tr>
                      <w:tr>
                        <w:trPr>
                          <w:trHeight w:val="2104" w:hRule="atLeast"/>
                        </w:trPr>
                        <w:tc>
                          <w:tcPr>
                            <w:tcW w:w="1148" w:type="dxa"/>
                            <w:tcBorders>
                              <w:top w:val="single" w:sz="4" w:space="0" w:color="231F20"/>
                              <w:bottom w:val="single" w:sz="4" w:space="0" w:color="FFFFFF"/>
                            </w:tcBorders>
                            <w:shd w:val="clear" w:color="auto" w:fill="E8F5F1"/>
                          </w:tcPr>
                          <w:p>
                            <w:pPr>
                              <w:pStyle w:val="TableParagraph"/>
                              <w:spacing w:line="230" w:lineRule="auto" w:before="52"/>
                              <w:ind w:left="186" w:right="71" w:hanging="112"/>
                              <w:rPr>
                                <w:sz w:val="15"/>
                              </w:rPr>
                            </w:pPr>
                            <w:r>
                              <w:rPr>
                                <w:color w:val="231F20"/>
                                <w:spacing w:val="-2"/>
                                <w:sz w:val="15"/>
                              </w:rPr>
                              <w:t>Vascular disorder</w:t>
                            </w:r>
                          </w:p>
                        </w:tc>
                        <w:tc>
                          <w:tcPr>
                            <w:tcW w:w="3555" w:type="dxa"/>
                            <w:tcBorders>
                              <w:top w:val="single" w:sz="4" w:space="0" w:color="231F20"/>
                              <w:bottom w:val="single" w:sz="4" w:space="0" w:color="FFFFFF"/>
                            </w:tcBorders>
                            <w:shd w:val="clear" w:color="auto" w:fill="E8F5F1"/>
                          </w:tcPr>
                          <w:p>
                            <w:pPr>
                              <w:pStyle w:val="TableParagraph"/>
                              <w:spacing w:line="171" w:lineRule="exact" w:before="47"/>
                              <w:ind w:left="292"/>
                              <w:rPr>
                                <w:sz w:val="15"/>
                              </w:rPr>
                            </w:pPr>
                            <w:r>
                              <w:rPr>
                                <w:color w:val="231F20"/>
                                <w:sz w:val="15"/>
                              </w:rPr>
                              <w:t>Arteriovenous</w:t>
                            </w:r>
                            <w:r>
                              <w:rPr>
                                <w:color w:val="231F20"/>
                                <w:spacing w:val="-9"/>
                                <w:sz w:val="15"/>
                              </w:rPr>
                              <w:t> </w:t>
                            </w:r>
                            <w:r>
                              <w:rPr>
                                <w:color w:val="231F20"/>
                                <w:spacing w:val="-2"/>
                                <w:sz w:val="15"/>
                              </w:rPr>
                              <w:t>malformations</w:t>
                            </w:r>
                          </w:p>
                          <w:p>
                            <w:pPr>
                              <w:pStyle w:val="TableParagraph"/>
                              <w:spacing w:line="230" w:lineRule="auto" w:before="2"/>
                              <w:ind w:left="292"/>
                              <w:rPr>
                                <w:sz w:val="15"/>
                              </w:rPr>
                            </w:pPr>
                            <w:r>
                              <w:rPr>
                                <w:color w:val="231F20"/>
                                <w:sz w:val="15"/>
                              </w:rPr>
                              <w:t>Cavernous malformations (“cavernomas”) Venous angiomas and other venous </w:t>
                            </w:r>
                            <w:r>
                              <w:rPr>
                                <w:color w:val="231F20"/>
                                <w:sz w:val="15"/>
                              </w:rPr>
                              <w:t>anomalies Hereditary hemorrhagic telangiectasia Intracranial aneurysm</w:t>
                            </w:r>
                          </w:p>
                          <w:p>
                            <w:pPr>
                              <w:pStyle w:val="TableParagraph"/>
                              <w:spacing w:line="230" w:lineRule="auto" w:before="3"/>
                              <w:ind w:left="404" w:right="122" w:hanging="112"/>
                              <w:rPr>
                                <w:sz w:val="15"/>
                              </w:rPr>
                            </w:pPr>
                            <w:r>
                              <w:rPr>
                                <w:color w:val="231F20"/>
                                <w:sz w:val="15"/>
                              </w:rPr>
                              <w:t>Choroid</w:t>
                            </w:r>
                            <w:r>
                              <w:rPr>
                                <w:color w:val="231F20"/>
                                <w:spacing w:val="-12"/>
                                <w:sz w:val="15"/>
                              </w:rPr>
                              <w:t> </w:t>
                            </w:r>
                            <w:r>
                              <w:rPr>
                                <w:color w:val="231F20"/>
                                <w:sz w:val="15"/>
                              </w:rPr>
                              <w:t>plexus</w:t>
                            </w:r>
                            <w:r>
                              <w:rPr>
                                <w:color w:val="231F20"/>
                                <w:spacing w:val="-11"/>
                                <w:sz w:val="15"/>
                              </w:rPr>
                              <w:t> </w:t>
                            </w:r>
                            <w:r>
                              <w:rPr>
                                <w:color w:val="231F20"/>
                                <w:sz w:val="15"/>
                              </w:rPr>
                              <w:t>angiomas</w:t>
                            </w:r>
                            <w:r>
                              <w:rPr>
                                <w:color w:val="231F20"/>
                                <w:spacing w:val="-11"/>
                                <w:sz w:val="15"/>
                              </w:rPr>
                              <w:t> </w:t>
                            </w:r>
                            <w:r>
                              <w:rPr>
                                <w:color w:val="231F20"/>
                                <w:sz w:val="15"/>
                              </w:rPr>
                              <w:t>(pure</w:t>
                            </w:r>
                            <w:r>
                              <w:rPr>
                                <w:color w:val="231F20"/>
                                <w:spacing w:val="-12"/>
                                <w:sz w:val="15"/>
                              </w:rPr>
                              <w:t> </w:t>
                            </w:r>
                            <w:r>
                              <w:rPr>
                                <w:color w:val="231F20"/>
                                <w:sz w:val="15"/>
                              </w:rPr>
                              <w:t>intraventricular </w:t>
                            </w:r>
                            <w:r>
                              <w:rPr>
                                <w:color w:val="231F20"/>
                                <w:spacing w:val="-2"/>
                                <w:sz w:val="15"/>
                              </w:rPr>
                              <w:t>hemorrhage)</w:t>
                            </w:r>
                          </w:p>
                          <w:p>
                            <w:pPr>
                              <w:pStyle w:val="TableParagraph"/>
                              <w:spacing w:line="230" w:lineRule="auto" w:before="2"/>
                              <w:ind w:left="292" w:right="426"/>
                              <w:rPr>
                                <w:sz w:val="15"/>
                              </w:rPr>
                            </w:pPr>
                            <w:r>
                              <w:rPr>
                                <w:color w:val="231F20"/>
                                <w:sz w:val="15"/>
                              </w:rPr>
                              <w:t>Moyamoya disease/syndrome </w:t>
                            </w:r>
                            <w:r>
                              <w:rPr>
                                <w:color w:val="231F20"/>
                                <w:spacing w:val="-2"/>
                                <w:sz w:val="15"/>
                              </w:rPr>
                              <w:t>Inflammatory</w:t>
                            </w:r>
                            <w:r>
                              <w:rPr>
                                <w:color w:val="231F20"/>
                                <w:spacing w:val="-10"/>
                                <w:sz w:val="15"/>
                              </w:rPr>
                              <w:t> </w:t>
                            </w:r>
                            <w:r>
                              <w:rPr>
                                <w:color w:val="231F20"/>
                                <w:spacing w:val="-2"/>
                                <w:sz w:val="15"/>
                              </w:rPr>
                              <w:t>vasculitis</w:t>
                            </w:r>
                            <w:r>
                              <w:rPr>
                                <w:color w:val="231F20"/>
                                <w:spacing w:val="-9"/>
                                <w:sz w:val="15"/>
                              </w:rPr>
                              <w:t> </w:t>
                            </w:r>
                            <w:r>
                              <w:rPr>
                                <w:color w:val="231F20"/>
                                <w:spacing w:val="-2"/>
                                <w:sz w:val="15"/>
                              </w:rPr>
                              <w:t>(see</w:t>
                            </w:r>
                            <w:r>
                              <w:rPr>
                                <w:color w:val="231F20"/>
                                <w:spacing w:val="-9"/>
                                <w:sz w:val="15"/>
                              </w:rPr>
                              <w:t> </w:t>
                            </w:r>
                            <w:r>
                              <w:rPr>
                                <w:color w:val="0080AC"/>
                                <w:spacing w:val="-2"/>
                                <w:sz w:val="15"/>
                              </w:rPr>
                              <w:t>Chapter</w:t>
                            </w:r>
                            <w:r>
                              <w:rPr>
                                <w:color w:val="0080AC"/>
                                <w:spacing w:val="-10"/>
                                <w:sz w:val="15"/>
                              </w:rPr>
                              <w:t> </w:t>
                            </w:r>
                            <w:r>
                              <w:rPr>
                                <w:color w:val="0080AC"/>
                                <w:spacing w:val="-2"/>
                                <w:sz w:val="15"/>
                              </w:rPr>
                              <w:t>601.1</w:t>
                            </w:r>
                            <w:r>
                              <w:rPr>
                                <w:color w:val="231F20"/>
                                <w:spacing w:val="-2"/>
                                <w:sz w:val="15"/>
                              </w:rPr>
                              <w:t>)</w:t>
                            </w:r>
                          </w:p>
                          <w:p>
                            <w:pPr>
                              <w:pStyle w:val="TableParagraph"/>
                              <w:spacing w:line="230" w:lineRule="auto" w:before="1"/>
                              <w:ind w:left="292" w:right="256"/>
                              <w:rPr>
                                <w:sz w:val="15"/>
                              </w:rPr>
                            </w:pPr>
                            <w:r>
                              <w:rPr>
                                <w:color w:val="231F20"/>
                                <w:spacing w:val="-2"/>
                                <w:sz w:val="15"/>
                              </w:rPr>
                              <w:t>Neoplastic lesions with unstable </w:t>
                            </w:r>
                            <w:r>
                              <w:rPr>
                                <w:color w:val="231F20"/>
                                <w:spacing w:val="-2"/>
                                <w:sz w:val="15"/>
                              </w:rPr>
                              <w:t>vasculature </w:t>
                            </w:r>
                            <w:r>
                              <w:rPr>
                                <w:color w:val="231F20"/>
                                <w:sz w:val="15"/>
                              </w:rPr>
                              <w:t>Drugs/toxins (cocaine, amphetamine) Cerebral sinovenous thrombosis</w:t>
                            </w:r>
                          </w:p>
                        </w:tc>
                      </w:tr>
                      <w:tr>
                        <w:trPr>
                          <w:trHeight w:val="109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Blood</w:t>
                            </w:r>
                            <w:r>
                              <w:rPr>
                                <w:color w:val="231F20"/>
                                <w:spacing w:val="2"/>
                                <w:w w:val="105"/>
                                <w:sz w:val="15"/>
                              </w:rPr>
                              <w:t> </w:t>
                            </w:r>
                            <w:r>
                              <w:rPr>
                                <w:color w:val="231F20"/>
                                <w:spacing w:val="-2"/>
                                <w:w w:val="105"/>
                                <w:sz w:val="15"/>
                              </w:rPr>
                              <w:t>disorder</w:t>
                            </w:r>
                          </w:p>
                        </w:tc>
                        <w:tc>
                          <w:tcPr>
                            <w:tcW w:w="3555" w:type="dxa"/>
                            <w:tcBorders>
                              <w:top w:val="single" w:sz="4" w:space="0" w:color="FFFFFF"/>
                              <w:bottom w:val="single" w:sz="4" w:space="0" w:color="FFFFFF"/>
                            </w:tcBorders>
                            <w:shd w:val="clear" w:color="auto" w:fill="E8F5F1"/>
                          </w:tcPr>
                          <w:p>
                            <w:pPr>
                              <w:pStyle w:val="TableParagraph"/>
                              <w:spacing w:line="230" w:lineRule="auto" w:before="48"/>
                              <w:ind w:left="292" w:right="122"/>
                              <w:rPr>
                                <w:sz w:val="15"/>
                              </w:rPr>
                            </w:pPr>
                            <w:r>
                              <w:rPr>
                                <w:color w:val="231F20"/>
                                <w:sz w:val="15"/>
                              </w:rPr>
                              <w:t>Idiopathic</w:t>
                            </w:r>
                            <w:r>
                              <w:rPr>
                                <w:color w:val="231F20"/>
                                <w:spacing w:val="-12"/>
                                <w:sz w:val="15"/>
                              </w:rPr>
                              <w:t> </w:t>
                            </w:r>
                            <w:r>
                              <w:rPr>
                                <w:color w:val="231F20"/>
                                <w:sz w:val="15"/>
                              </w:rPr>
                              <w:t>thrombocytopenic</w:t>
                            </w:r>
                            <w:r>
                              <w:rPr>
                                <w:color w:val="231F20"/>
                                <w:spacing w:val="-11"/>
                                <w:sz w:val="15"/>
                              </w:rPr>
                              <w:t> </w:t>
                            </w:r>
                            <w:r>
                              <w:rPr>
                                <w:color w:val="231F20"/>
                                <w:sz w:val="15"/>
                              </w:rPr>
                              <w:t>purpura Hemolytic uremic syndrome</w:t>
                            </w:r>
                          </w:p>
                          <w:p>
                            <w:pPr>
                              <w:pStyle w:val="TableParagraph"/>
                              <w:spacing w:line="230" w:lineRule="auto" w:before="1"/>
                              <w:ind w:left="292" w:right="256"/>
                              <w:rPr>
                                <w:sz w:val="15"/>
                              </w:rPr>
                            </w:pPr>
                            <w:r>
                              <w:rPr>
                                <w:color w:val="231F20"/>
                                <w:sz w:val="15"/>
                              </w:rPr>
                              <w:t>Hepatic disease/failure coagulopathy Vitamin</w:t>
                            </w:r>
                            <w:r>
                              <w:rPr>
                                <w:color w:val="231F20"/>
                                <w:spacing w:val="-12"/>
                                <w:sz w:val="15"/>
                              </w:rPr>
                              <w:t> </w:t>
                            </w:r>
                            <w:r>
                              <w:rPr>
                                <w:color w:val="231F20"/>
                                <w:sz w:val="15"/>
                              </w:rPr>
                              <w:t>K</w:t>
                            </w:r>
                            <w:r>
                              <w:rPr>
                                <w:color w:val="231F20"/>
                                <w:spacing w:val="-11"/>
                                <w:sz w:val="15"/>
                              </w:rPr>
                              <w:t> </w:t>
                            </w:r>
                            <w:r>
                              <w:rPr>
                                <w:color w:val="231F20"/>
                                <w:sz w:val="15"/>
                              </w:rPr>
                              <w:t>deficiency</w:t>
                            </w:r>
                            <w:r>
                              <w:rPr>
                                <w:color w:val="231F20"/>
                                <w:spacing w:val="-11"/>
                                <w:sz w:val="15"/>
                              </w:rPr>
                              <w:t> </w:t>
                            </w:r>
                            <w:r>
                              <w:rPr>
                                <w:color w:val="231F20"/>
                                <w:sz w:val="15"/>
                              </w:rPr>
                              <w:t>(hemorrhagic</w:t>
                            </w:r>
                            <w:r>
                              <w:rPr>
                                <w:color w:val="231F20"/>
                                <w:spacing w:val="-12"/>
                                <w:sz w:val="15"/>
                              </w:rPr>
                              <w:t> </w:t>
                            </w:r>
                            <w:r>
                              <w:rPr>
                                <w:color w:val="231F20"/>
                                <w:sz w:val="15"/>
                              </w:rPr>
                              <w:t>disease</w:t>
                            </w:r>
                            <w:r>
                              <w:rPr>
                                <w:color w:val="231F20"/>
                                <w:spacing w:val="-11"/>
                                <w:sz w:val="15"/>
                              </w:rPr>
                              <w:t> </w:t>
                            </w:r>
                            <w:r>
                              <w:rPr>
                                <w:color w:val="231F20"/>
                                <w:sz w:val="15"/>
                              </w:rPr>
                              <w:t>of</w:t>
                            </w:r>
                          </w:p>
                          <w:p>
                            <w:pPr>
                              <w:pStyle w:val="TableParagraph"/>
                              <w:spacing w:line="167" w:lineRule="exact"/>
                              <w:ind w:left="404"/>
                              <w:rPr>
                                <w:sz w:val="15"/>
                              </w:rPr>
                            </w:pPr>
                            <w:r>
                              <w:rPr>
                                <w:color w:val="231F20"/>
                                <w:sz w:val="15"/>
                              </w:rPr>
                              <w:t>the</w:t>
                            </w:r>
                            <w:r>
                              <w:rPr>
                                <w:color w:val="231F20"/>
                                <w:spacing w:val="-8"/>
                                <w:sz w:val="15"/>
                              </w:rPr>
                              <w:t> </w:t>
                            </w:r>
                            <w:r>
                              <w:rPr>
                                <w:color w:val="231F20"/>
                                <w:spacing w:val="-2"/>
                                <w:sz w:val="15"/>
                              </w:rPr>
                              <w:t>newborn)</w:t>
                            </w:r>
                          </w:p>
                          <w:p>
                            <w:pPr>
                              <w:pStyle w:val="TableParagraph"/>
                              <w:spacing w:line="171" w:lineRule="exact"/>
                              <w:ind w:left="292"/>
                              <w:rPr>
                                <w:sz w:val="15"/>
                              </w:rPr>
                            </w:pPr>
                            <w:r>
                              <w:rPr>
                                <w:color w:val="231F20"/>
                                <w:spacing w:val="-2"/>
                                <w:sz w:val="15"/>
                              </w:rPr>
                              <w:t>Disseminated</w:t>
                            </w:r>
                            <w:r>
                              <w:rPr>
                                <w:color w:val="231F20"/>
                                <w:spacing w:val="4"/>
                                <w:sz w:val="15"/>
                              </w:rPr>
                              <w:t> </w:t>
                            </w:r>
                            <w:r>
                              <w:rPr>
                                <w:color w:val="231F20"/>
                                <w:spacing w:val="-2"/>
                                <w:sz w:val="15"/>
                              </w:rPr>
                              <w:t>intravascular</w:t>
                            </w:r>
                            <w:r>
                              <w:rPr>
                                <w:color w:val="231F20"/>
                                <w:spacing w:val="4"/>
                                <w:sz w:val="15"/>
                              </w:rPr>
                              <w:t> </w:t>
                            </w:r>
                            <w:r>
                              <w:rPr>
                                <w:color w:val="231F20"/>
                                <w:spacing w:val="-2"/>
                                <w:sz w:val="15"/>
                              </w:rPr>
                              <w:t>coagulopathy</w:t>
                            </w:r>
                          </w:p>
                        </w:tc>
                      </w:tr>
                      <w:tr>
                        <w:trPr>
                          <w:trHeight w:val="1759"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Trauma</w:t>
                            </w:r>
                          </w:p>
                        </w:tc>
                        <w:tc>
                          <w:tcPr>
                            <w:tcW w:w="3555" w:type="dxa"/>
                            <w:tcBorders>
                              <w:top w:val="single" w:sz="4" w:space="0" w:color="FFFFFF"/>
                              <w:bottom w:val="single" w:sz="8" w:space="0" w:color="231F20"/>
                            </w:tcBorders>
                            <w:shd w:val="clear" w:color="auto" w:fill="E8F5F1"/>
                          </w:tcPr>
                          <w:p>
                            <w:pPr>
                              <w:pStyle w:val="TableParagraph"/>
                              <w:spacing w:line="230" w:lineRule="auto" w:before="48"/>
                              <w:ind w:left="404" w:hanging="112"/>
                              <w:rPr>
                                <w:sz w:val="15"/>
                              </w:rPr>
                            </w:pPr>
                            <w:r>
                              <w:rPr>
                                <w:color w:val="231F20"/>
                                <w:spacing w:val="-2"/>
                                <w:sz w:val="15"/>
                              </w:rPr>
                              <w:t>Middle</w:t>
                            </w:r>
                            <w:r>
                              <w:rPr>
                                <w:color w:val="231F20"/>
                                <w:spacing w:val="-5"/>
                                <w:sz w:val="15"/>
                              </w:rPr>
                              <w:t> </w:t>
                            </w:r>
                            <w:r>
                              <w:rPr>
                                <w:color w:val="231F20"/>
                                <w:spacing w:val="-2"/>
                                <w:sz w:val="15"/>
                              </w:rPr>
                              <w:t>meningeal</w:t>
                            </w:r>
                            <w:r>
                              <w:rPr>
                                <w:color w:val="231F20"/>
                                <w:spacing w:val="-5"/>
                                <w:sz w:val="15"/>
                              </w:rPr>
                              <w:t> </w:t>
                            </w:r>
                            <w:r>
                              <w:rPr>
                                <w:color w:val="231F20"/>
                                <w:spacing w:val="-2"/>
                                <w:sz w:val="15"/>
                              </w:rPr>
                              <w:t>artery</w:t>
                            </w:r>
                            <w:r>
                              <w:rPr>
                                <w:color w:val="231F20"/>
                                <w:spacing w:val="-5"/>
                                <w:sz w:val="15"/>
                              </w:rPr>
                              <w:t> </w:t>
                            </w:r>
                            <w:r>
                              <w:rPr>
                                <w:color w:val="231F20"/>
                                <w:spacing w:val="-2"/>
                                <w:sz w:val="15"/>
                              </w:rPr>
                              <w:t>injury</w:t>
                            </w:r>
                            <w:r>
                              <w:rPr>
                                <w:color w:val="231F20"/>
                                <w:spacing w:val="-5"/>
                                <w:sz w:val="15"/>
                              </w:rPr>
                              <w:t> </w:t>
                            </w:r>
                            <w:r>
                              <w:rPr>
                                <w:color w:val="231F20"/>
                                <w:spacing w:val="-2"/>
                                <w:sz w:val="15"/>
                              </w:rPr>
                              <w:t>(epidural hematoma)</w:t>
                            </w:r>
                          </w:p>
                          <w:p>
                            <w:pPr>
                              <w:pStyle w:val="TableParagraph"/>
                              <w:spacing w:line="230" w:lineRule="auto" w:before="1"/>
                              <w:ind w:left="292"/>
                              <w:rPr>
                                <w:sz w:val="15"/>
                              </w:rPr>
                            </w:pPr>
                            <w:r>
                              <w:rPr>
                                <w:color w:val="231F20"/>
                                <w:spacing w:val="-2"/>
                                <w:sz w:val="15"/>
                              </w:rPr>
                              <w:t>Bridging vein injury (subdural </w:t>
                            </w:r>
                            <w:r>
                              <w:rPr>
                                <w:color w:val="231F20"/>
                                <w:spacing w:val="-2"/>
                                <w:sz w:val="15"/>
                              </w:rPr>
                              <w:t>hematoma) </w:t>
                            </w:r>
                            <w:r>
                              <w:rPr>
                                <w:color w:val="231F20"/>
                                <w:sz w:val="15"/>
                              </w:rPr>
                              <w:t>Subarachnoid hemorrhage</w:t>
                            </w:r>
                          </w:p>
                          <w:p>
                            <w:pPr>
                              <w:pStyle w:val="TableParagraph"/>
                              <w:spacing w:line="167" w:lineRule="exact"/>
                              <w:ind w:left="292"/>
                              <w:rPr>
                                <w:sz w:val="15"/>
                              </w:rPr>
                            </w:pPr>
                            <w:r>
                              <w:rPr>
                                <w:color w:val="231F20"/>
                                <w:sz w:val="15"/>
                              </w:rPr>
                              <w:t>Hemorrhagic</w:t>
                            </w:r>
                            <w:r>
                              <w:rPr>
                                <w:color w:val="231F20"/>
                                <w:spacing w:val="4"/>
                                <w:sz w:val="15"/>
                              </w:rPr>
                              <w:t> </w:t>
                            </w:r>
                            <w:r>
                              <w:rPr>
                                <w:color w:val="231F20"/>
                                <w:sz w:val="15"/>
                              </w:rPr>
                              <w:t>contusions</w:t>
                            </w:r>
                            <w:r>
                              <w:rPr>
                                <w:color w:val="231F20"/>
                                <w:spacing w:val="4"/>
                                <w:sz w:val="15"/>
                              </w:rPr>
                              <w:t> </w:t>
                            </w:r>
                            <w:r>
                              <w:rPr>
                                <w:color w:val="231F20"/>
                                <w:sz w:val="15"/>
                              </w:rPr>
                              <w:t>(coup</w:t>
                            </w:r>
                            <w:r>
                              <w:rPr>
                                <w:color w:val="231F20"/>
                                <w:spacing w:val="4"/>
                                <w:sz w:val="15"/>
                              </w:rPr>
                              <w:t> </w:t>
                            </w:r>
                            <w:r>
                              <w:rPr>
                                <w:color w:val="231F20"/>
                                <w:sz w:val="15"/>
                              </w:rPr>
                              <w:t>and</w:t>
                            </w:r>
                            <w:r>
                              <w:rPr>
                                <w:color w:val="231F20"/>
                                <w:spacing w:val="4"/>
                                <w:sz w:val="15"/>
                              </w:rPr>
                              <w:t> </w:t>
                            </w:r>
                            <w:r>
                              <w:rPr>
                                <w:color w:val="231F20"/>
                                <w:spacing w:val="-2"/>
                                <w:sz w:val="15"/>
                              </w:rPr>
                              <w:t>contrecoup)</w:t>
                            </w:r>
                          </w:p>
                          <w:p>
                            <w:pPr>
                              <w:pStyle w:val="TableParagraph"/>
                              <w:spacing w:line="230" w:lineRule="auto" w:before="3"/>
                              <w:ind w:left="404" w:hanging="112"/>
                              <w:rPr>
                                <w:sz w:val="15"/>
                              </w:rPr>
                            </w:pPr>
                            <w:r>
                              <w:rPr>
                                <w:color w:val="231F20"/>
                                <w:sz w:val="15"/>
                              </w:rPr>
                              <w:t>Nonaccidental</w:t>
                            </w:r>
                            <w:r>
                              <w:rPr>
                                <w:color w:val="231F20"/>
                                <w:spacing w:val="-12"/>
                                <w:sz w:val="15"/>
                              </w:rPr>
                              <w:t> </w:t>
                            </w:r>
                            <w:r>
                              <w:rPr>
                                <w:color w:val="231F20"/>
                                <w:sz w:val="15"/>
                              </w:rPr>
                              <w:t>trauma</w:t>
                            </w:r>
                            <w:r>
                              <w:rPr>
                                <w:color w:val="231F20"/>
                                <w:spacing w:val="-11"/>
                                <w:sz w:val="15"/>
                              </w:rPr>
                              <w:t> </w:t>
                            </w:r>
                            <w:r>
                              <w:rPr>
                                <w:color w:val="231F20"/>
                                <w:sz w:val="15"/>
                              </w:rPr>
                              <w:t>(subdural</w:t>
                            </w:r>
                            <w:r>
                              <w:rPr>
                                <w:color w:val="231F20"/>
                                <w:spacing w:val="-11"/>
                                <w:sz w:val="15"/>
                              </w:rPr>
                              <w:t> </w:t>
                            </w:r>
                            <w:r>
                              <w:rPr>
                                <w:color w:val="231F20"/>
                                <w:sz w:val="15"/>
                              </w:rPr>
                              <w:t>hematomas</w:t>
                            </w:r>
                            <w:r>
                              <w:rPr>
                                <w:color w:val="231F20"/>
                                <w:spacing w:val="-12"/>
                                <w:sz w:val="15"/>
                              </w:rPr>
                              <w:t> </w:t>
                            </w:r>
                            <w:r>
                              <w:rPr>
                                <w:color w:val="231F20"/>
                                <w:sz w:val="15"/>
                              </w:rPr>
                              <w:t>of different ages)</w:t>
                            </w:r>
                          </w:p>
                          <w:p>
                            <w:pPr>
                              <w:pStyle w:val="TableParagraph"/>
                              <w:spacing w:line="230" w:lineRule="auto" w:before="1"/>
                              <w:ind w:left="404" w:hanging="112"/>
                              <w:rPr>
                                <w:sz w:val="15"/>
                              </w:rPr>
                            </w:pPr>
                            <w:r>
                              <w:rPr>
                                <w:color w:val="231F20"/>
                                <w:spacing w:val="-2"/>
                                <w:sz w:val="15"/>
                              </w:rPr>
                              <w:t>Iatrogenic (neurosurgical </w:t>
                            </w:r>
                            <w:r>
                              <w:rPr>
                                <w:color w:val="231F20"/>
                                <w:spacing w:val="-2"/>
                                <w:sz w:val="15"/>
                              </w:rPr>
                              <w:t>procedures, angiography)</w:t>
                            </w:r>
                          </w:p>
                          <w:p>
                            <w:pPr>
                              <w:pStyle w:val="TableParagraph"/>
                              <w:spacing w:line="170" w:lineRule="exact"/>
                              <w:ind w:left="292"/>
                              <w:rPr>
                                <w:sz w:val="15"/>
                              </w:rPr>
                            </w:pPr>
                            <w:r>
                              <w:rPr>
                                <w:color w:val="231F20"/>
                                <w:sz w:val="15"/>
                              </w:rPr>
                              <w:t>Rupture</w:t>
                            </w:r>
                            <w:r>
                              <w:rPr>
                                <w:color w:val="231F20"/>
                                <w:spacing w:val="-7"/>
                                <w:sz w:val="15"/>
                              </w:rPr>
                              <w:t> </w:t>
                            </w:r>
                            <w:r>
                              <w:rPr>
                                <w:color w:val="231F20"/>
                                <w:sz w:val="15"/>
                              </w:rPr>
                              <w:t>of</w:t>
                            </w:r>
                            <w:r>
                              <w:rPr>
                                <w:color w:val="231F20"/>
                                <w:spacing w:val="-6"/>
                                <w:sz w:val="15"/>
                              </w:rPr>
                              <w:t> </w:t>
                            </w:r>
                            <w:r>
                              <w:rPr>
                                <w:color w:val="231F20"/>
                                <w:sz w:val="15"/>
                              </w:rPr>
                              <w:t>arachnoid</w:t>
                            </w:r>
                            <w:r>
                              <w:rPr>
                                <w:color w:val="231F20"/>
                                <w:spacing w:val="-6"/>
                                <w:sz w:val="15"/>
                              </w:rPr>
                              <w:t> </w:t>
                            </w:r>
                            <w:r>
                              <w:rPr>
                                <w:color w:val="231F20"/>
                                <w:spacing w:val="-4"/>
                                <w:sz w:val="15"/>
                              </w:rPr>
                              <w:t>cyst</w:t>
                            </w:r>
                          </w:p>
                        </w:tc>
                      </w:tr>
                    </w:tbl>
                    <w:p>
                      <w:pPr>
                        <w:pStyle w:val="BodyText"/>
                      </w:pPr>
                    </w:p>
                  </w:txbxContent>
                </v:textbox>
                <w10:wrap type="topAndBottom"/>
              </v:shape>
            </w:pict>
          </mc:Fallback>
        </mc:AlternateContent>
      </w:r>
    </w:p>
    <w:p>
      <w:pPr>
        <w:pStyle w:val="BodyText"/>
        <w:spacing w:before="32"/>
        <w:rPr>
          <w:i/>
          <w:sz w:val="20"/>
        </w:rPr>
      </w:pPr>
    </w:p>
    <w:tbl>
      <w:tblPr>
        <w:tblW w:w="0" w:type="auto"/>
        <w:jc w:val="left"/>
        <w:tblInd w:w="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784"/>
        <w:gridCol w:w="781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3</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Common</w:t>
            </w:r>
            <w:r>
              <w:rPr>
                <w:color w:val="FFFFFF"/>
                <w:spacing w:val="16"/>
                <w:w w:val="105"/>
                <w:sz w:val="16"/>
              </w:rPr>
              <w:t> </w:t>
            </w:r>
            <w:r>
              <w:rPr>
                <w:color w:val="FFFFFF"/>
                <w:w w:val="105"/>
                <w:sz w:val="16"/>
              </w:rPr>
              <w:t>Risk</w:t>
            </w:r>
            <w:r>
              <w:rPr>
                <w:color w:val="FFFFFF"/>
                <w:spacing w:val="16"/>
                <w:w w:val="105"/>
                <w:sz w:val="16"/>
              </w:rPr>
              <w:t> </w:t>
            </w:r>
            <w:r>
              <w:rPr>
                <w:color w:val="FFFFFF"/>
                <w:w w:val="105"/>
                <w:sz w:val="16"/>
              </w:rPr>
              <w:t>Factors</w:t>
            </w:r>
            <w:r>
              <w:rPr>
                <w:color w:val="FFFFFF"/>
                <w:spacing w:val="16"/>
                <w:w w:val="105"/>
                <w:sz w:val="16"/>
              </w:rPr>
              <w:t> </w:t>
            </w:r>
            <w:r>
              <w:rPr>
                <w:color w:val="FFFFFF"/>
                <w:w w:val="105"/>
                <w:sz w:val="16"/>
              </w:rPr>
              <w:t>for</w:t>
            </w:r>
            <w:r>
              <w:rPr>
                <w:color w:val="FFFFFF"/>
                <w:spacing w:val="16"/>
                <w:w w:val="105"/>
                <w:sz w:val="16"/>
              </w:rPr>
              <w:t> </w:t>
            </w:r>
            <w:r>
              <w:rPr>
                <w:color w:val="FFFFFF"/>
                <w:w w:val="105"/>
                <w:sz w:val="16"/>
              </w:rPr>
              <w:t>Cerebral</w:t>
            </w:r>
            <w:r>
              <w:rPr>
                <w:color w:val="FFFFFF"/>
                <w:spacing w:val="16"/>
                <w:w w:val="105"/>
                <w:sz w:val="16"/>
              </w:rPr>
              <w:t> </w:t>
            </w:r>
            <w:r>
              <w:rPr>
                <w:color w:val="FFFFFF"/>
                <w:w w:val="105"/>
                <w:sz w:val="16"/>
              </w:rPr>
              <w:t>Sinovenous</w:t>
            </w:r>
            <w:r>
              <w:rPr>
                <w:color w:val="FFFFFF"/>
                <w:spacing w:val="16"/>
                <w:w w:val="105"/>
                <w:sz w:val="16"/>
              </w:rPr>
              <w:t> </w:t>
            </w:r>
            <w:r>
              <w:rPr>
                <w:color w:val="FFFFFF"/>
                <w:w w:val="105"/>
                <w:sz w:val="16"/>
              </w:rPr>
              <w:t>Thrombosis</w:t>
            </w:r>
            <w:r>
              <w:rPr>
                <w:color w:val="FFFFFF"/>
                <w:spacing w:val="17"/>
                <w:w w:val="105"/>
                <w:sz w:val="16"/>
              </w:rPr>
              <w:t> </w:t>
            </w:r>
            <w:r>
              <w:rPr>
                <w:color w:val="FFFFFF"/>
                <w:w w:val="105"/>
                <w:sz w:val="16"/>
              </w:rPr>
              <w:t>in</w:t>
            </w:r>
            <w:r>
              <w:rPr>
                <w:color w:val="FFFFFF"/>
                <w:spacing w:val="16"/>
                <w:w w:val="105"/>
                <w:sz w:val="16"/>
              </w:rPr>
              <w:t> </w:t>
            </w:r>
            <w:r>
              <w:rPr>
                <w:color w:val="FFFFFF"/>
                <w:spacing w:val="-2"/>
                <w:w w:val="105"/>
                <w:sz w:val="16"/>
              </w:rPr>
              <w:t>Children</w:t>
            </w:r>
          </w:p>
        </w:tc>
      </w:tr>
      <w:tr>
        <w:trPr>
          <w:trHeight w:val="257" w:hRule="atLeast"/>
        </w:trPr>
        <w:tc>
          <w:tcPr>
            <w:tcW w:w="1932" w:type="dxa"/>
            <w:gridSpan w:val="2"/>
            <w:tcBorders>
              <w:bottom w:val="single" w:sz="4" w:space="0" w:color="231F20"/>
            </w:tcBorders>
            <w:shd w:val="clear" w:color="auto" w:fill="E8F5F1"/>
          </w:tcPr>
          <w:p>
            <w:pPr>
              <w:pStyle w:val="TableParagraph"/>
              <w:spacing w:before="47"/>
              <w:ind w:left="74"/>
              <w:rPr>
                <w:b/>
                <w:sz w:val="15"/>
              </w:rPr>
            </w:pPr>
            <w:r>
              <w:rPr>
                <w:b/>
                <w:color w:val="231F20"/>
                <w:w w:val="110"/>
                <w:sz w:val="15"/>
              </w:rPr>
              <w:t>MAJOR</w:t>
            </w:r>
            <w:r>
              <w:rPr>
                <w:b/>
                <w:color w:val="231F20"/>
                <w:spacing w:val="15"/>
                <w:w w:val="110"/>
                <w:sz w:val="15"/>
              </w:rPr>
              <w:t> </w:t>
            </w:r>
            <w:r>
              <w:rPr>
                <w:b/>
                <w:color w:val="231F20"/>
                <w:spacing w:val="-2"/>
                <w:w w:val="110"/>
                <w:sz w:val="15"/>
              </w:rPr>
              <w:t>CATEGORIES</w:t>
            </w:r>
          </w:p>
        </w:tc>
        <w:tc>
          <w:tcPr>
            <w:tcW w:w="7810" w:type="dxa"/>
            <w:tcBorders>
              <w:bottom w:val="single" w:sz="4" w:space="0" w:color="231F20"/>
            </w:tcBorders>
            <w:shd w:val="clear" w:color="auto" w:fill="E8F5F1"/>
          </w:tcPr>
          <w:p>
            <w:pPr>
              <w:pStyle w:val="TableParagraph"/>
              <w:spacing w:before="47"/>
              <w:ind w:left="225"/>
              <w:jc w:val="center"/>
              <w:rPr>
                <w:b/>
                <w:sz w:val="15"/>
              </w:rPr>
            </w:pPr>
            <w:r>
              <w:rPr>
                <w:b/>
                <w:color w:val="231F20"/>
                <w:spacing w:val="-2"/>
                <w:w w:val="110"/>
                <w:sz w:val="15"/>
              </w:rPr>
              <w:t>EXAMPLES</w:t>
            </w:r>
          </w:p>
        </w:tc>
      </w:tr>
      <w:tr>
        <w:trPr>
          <w:trHeight w:val="1936" w:hRule="atLeast"/>
        </w:trPr>
        <w:tc>
          <w:tcPr>
            <w:tcW w:w="193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w w:val="105"/>
                <w:sz w:val="15"/>
              </w:rPr>
              <w:t>Blood</w:t>
            </w:r>
            <w:r>
              <w:rPr>
                <w:color w:val="231F20"/>
                <w:spacing w:val="2"/>
                <w:w w:val="105"/>
                <w:sz w:val="15"/>
              </w:rPr>
              <w:t> </w:t>
            </w:r>
            <w:r>
              <w:rPr>
                <w:color w:val="231F20"/>
                <w:spacing w:val="-2"/>
                <w:w w:val="105"/>
                <w:sz w:val="15"/>
              </w:rPr>
              <w:t>coagulation</w:t>
            </w:r>
          </w:p>
        </w:tc>
        <w:tc>
          <w:tcPr>
            <w:tcW w:w="7810" w:type="dxa"/>
            <w:tcBorders>
              <w:top w:val="single" w:sz="4" w:space="0" w:color="231F20"/>
              <w:bottom w:val="single" w:sz="4" w:space="0" w:color="FFFFFF"/>
            </w:tcBorders>
            <w:shd w:val="clear" w:color="auto" w:fill="E8F5F1"/>
          </w:tcPr>
          <w:p>
            <w:pPr>
              <w:pStyle w:val="TableParagraph"/>
              <w:spacing w:line="171" w:lineRule="exact" w:before="47"/>
              <w:ind w:left="301"/>
              <w:rPr>
                <w:sz w:val="15"/>
              </w:rPr>
            </w:pPr>
            <w:r>
              <w:rPr>
                <w:color w:val="231F20"/>
                <w:sz w:val="15"/>
              </w:rPr>
              <w:t>Prothrombotic</w:t>
            </w:r>
            <w:r>
              <w:rPr>
                <w:color w:val="231F20"/>
                <w:spacing w:val="-9"/>
                <w:sz w:val="15"/>
              </w:rPr>
              <w:t> </w:t>
            </w:r>
            <w:r>
              <w:rPr>
                <w:color w:val="231F20"/>
                <w:spacing w:val="-2"/>
                <w:sz w:val="15"/>
              </w:rPr>
              <w:t>conditions</w:t>
            </w:r>
          </w:p>
          <w:p>
            <w:pPr>
              <w:pStyle w:val="TableParagraph"/>
              <w:spacing w:line="230" w:lineRule="auto" w:before="2"/>
              <w:ind w:left="525" w:right="13" w:hanging="112"/>
              <w:rPr>
                <w:sz w:val="15"/>
              </w:rPr>
            </w:pPr>
            <w:r>
              <w:rPr>
                <w:color w:val="231F20"/>
                <w:sz w:val="15"/>
              </w:rPr>
              <w:t>Factor</w:t>
            </w:r>
            <w:r>
              <w:rPr>
                <w:color w:val="231F20"/>
                <w:spacing w:val="-11"/>
                <w:sz w:val="15"/>
              </w:rPr>
              <w:t> </w:t>
            </w:r>
            <w:r>
              <w:rPr>
                <w:color w:val="231F20"/>
                <w:sz w:val="15"/>
              </w:rPr>
              <w:t>V</w:t>
            </w:r>
            <w:r>
              <w:rPr>
                <w:color w:val="231F20"/>
                <w:spacing w:val="-11"/>
                <w:sz w:val="15"/>
              </w:rPr>
              <w:t> </w:t>
            </w:r>
            <w:r>
              <w:rPr>
                <w:color w:val="231F20"/>
                <w:sz w:val="15"/>
              </w:rPr>
              <w:t>Leiden,</w:t>
            </w:r>
            <w:r>
              <w:rPr>
                <w:color w:val="231F20"/>
                <w:spacing w:val="-11"/>
                <w:sz w:val="15"/>
              </w:rPr>
              <w:t> </w:t>
            </w:r>
            <w:r>
              <w:rPr>
                <w:color w:val="231F20"/>
                <w:sz w:val="15"/>
              </w:rPr>
              <w:t>prothrombin</w:t>
            </w:r>
            <w:r>
              <w:rPr>
                <w:color w:val="231F20"/>
                <w:spacing w:val="-11"/>
                <w:sz w:val="15"/>
              </w:rPr>
              <w:t> </w:t>
            </w:r>
            <w:r>
              <w:rPr>
                <w:color w:val="231F20"/>
                <w:sz w:val="15"/>
              </w:rPr>
              <w:t>gene</w:t>
            </w:r>
            <w:r>
              <w:rPr>
                <w:color w:val="231F20"/>
                <w:spacing w:val="-11"/>
                <w:sz w:val="15"/>
              </w:rPr>
              <w:t> </w:t>
            </w:r>
            <w:r>
              <w:rPr>
                <w:color w:val="231F20"/>
                <w:sz w:val="15"/>
              </w:rPr>
              <w:t>mutation</w:t>
            </w:r>
            <w:r>
              <w:rPr>
                <w:color w:val="231F20"/>
                <w:spacing w:val="-11"/>
                <w:sz w:val="15"/>
              </w:rPr>
              <w:t> </w:t>
            </w:r>
            <w:r>
              <w:rPr>
                <w:color w:val="231F20"/>
                <w:sz w:val="15"/>
              </w:rPr>
              <w:t>20210A,</w:t>
            </w:r>
            <w:r>
              <w:rPr>
                <w:color w:val="231F20"/>
                <w:spacing w:val="-11"/>
                <w:sz w:val="15"/>
              </w:rPr>
              <w:t> </w:t>
            </w:r>
            <w:r>
              <w:rPr>
                <w:color w:val="231F20"/>
                <w:sz w:val="15"/>
              </w:rPr>
              <w:t>protein</w:t>
            </w:r>
            <w:r>
              <w:rPr>
                <w:color w:val="231F20"/>
                <w:spacing w:val="-11"/>
                <w:sz w:val="15"/>
              </w:rPr>
              <w:t> </w:t>
            </w:r>
            <w:r>
              <w:rPr>
                <w:color w:val="231F20"/>
                <w:sz w:val="15"/>
              </w:rPr>
              <w:t>C</w:t>
            </w:r>
            <w:r>
              <w:rPr>
                <w:color w:val="231F20"/>
                <w:spacing w:val="-11"/>
                <w:sz w:val="15"/>
              </w:rPr>
              <w:t> </w:t>
            </w:r>
            <w:r>
              <w:rPr>
                <w:color w:val="231F20"/>
                <w:sz w:val="15"/>
              </w:rPr>
              <w:t>deficiency,</w:t>
            </w:r>
            <w:r>
              <w:rPr>
                <w:color w:val="231F20"/>
                <w:spacing w:val="-11"/>
                <w:sz w:val="15"/>
              </w:rPr>
              <w:t> </w:t>
            </w:r>
            <w:r>
              <w:rPr>
                <w:color w:val="231F20"/>
                <w:sz w:val="15"/>
              </w:rPr>
              <w:t>protein</w:t>
            </w:r>
            <w:r>
              <w:rPr>
                <w:color w:val="231F20"/>
                <w:spacing w:val="-11"/>
                <w:sz w:val="15"/>
              </w:rPr>
              <w:t> </w:t>
            </w:r>
            <w:r>
              <w:rPr>
                <w:color w:val="231F20"/>
                <w:sz w:val="15"/>
              </w:rPr>
              <w:t>S</w:t>
            </w:r>
            <w:r>
              <w:rPr>
                <w:color w:val="231F20"/>
                <w:spacing w:val="-11"/>
                <w:sz w:val="15"/>
              </w:rPr>
              <w:t> </w:t>
            </w:r>
            <w:r>
              <w:rPr>
                <w:color w:val="231F20"/>
                <w:sz w:val="15"/>
              </w:rPr>
              <w:t>deficiency,</w:t>
            </w:r>
            <w:r>
              <w:rPr>
                <w:color w:val="231F20"/>
                <w:spacing w:val="-11"/>
                <w:sz w:val="15"/>
              </w:rPr>
              <w:t> </w:t>
            </w:r>
            <w:r>
              <w:rPr>
                <w:color w:val="231F20"/>
                <w:sz w:val="15"/>
              </w:rPr>
              <w:t>antithrombin III</w:t>
            </w:r>
            <w:r>
              <w:rPr>
                <w:color w:val="231F20"/>
                <w:spacing w:val="-3"/>
                <w:sz w:val="15"/>
              </w:rPr>
              <w:t> </w:t>
            </w:r>
            <w:r>
              <w:rPr>
                <w:color w:val="231F20"/>
                <w:sz w:val="15"/>
              </w:rPr>
              <w:t>deficiency,</w:t>
            </w:r>
            <w:r>
              <w:rPr>
                <w:color w:val="231F20"/>
                <w:spacing w:val="-3"/>
                <w:sz w:val="15"/>
              </w:rPr>
              <w:t> </w:t>
            </w:r>
            <w:r>
              <w:rPr>
                <w:color w:val="231F20"/>
                <w:sz w:val="15"/>
              </w:rPr>
              <w:t>lipoprotein</w:t>
            </w:r>
            <w:r>
              <w:rPr>
                <w:color w:val="231F20"/>
                <w:spacing w:val="-3"/>
                <w:sz w:val="15"/>
              </w:rPr>
              <w:t> </w:t>
            </w:r>
            <w:r>
              <w:rPr>
                <w:color w:val="231F20"/>
                <w:sz w:val="15"/>
              </w:rPr>
              <w:t>a,</w:t>
            </w:r>
            <w:r>
              <w:rPr>
                <w:color w:val="231F20"/>
                <w:spacing w:val="-3"/>
                <w:sz w:val="15"/>
              </w:rPr>
              <w:t> </w:t>
            </w:r>
            <w:r>
              <w:rPr>
                <w:color w:val="231F20"/>
                <w:sz w:val="15"/>
              </w:rPr>
              <w:t>antiphospholipid</w:t>
            </w:r>
            <w:r>
              <w:rPr>
                <w:color w:val="231F20"/>
                <w:spacing w:val="-3"/>
                <w:sz w:val="15"/>
              </w:rPr>
              <w:t> </w:t>
            </w:r>
            <w:r>
              <w:rPr>
                <w:color w:val="231F20"/>
                <w:sz w:val="15"/>
              </w:rPr>
              <w:t>antibodies</w:t>
            </w:r>
            <w:r>
              <w:rPr>
                <w:color w:val="231F20"/>
                <w:spacing w:val="-3"/>
                <w:sz w:val="15"/>
              </w:rPr>
              <w:t> </w:t>
            </w:r>
            <w:r>
              <w:rPr>
                <w:color w:val="231F20"/>
                <w:sz w:val="15"/>
              </w:rPr>
              <w:t>(lupus</w:t>
            </w:r>
            <w:r>
              <w:rPr>
                <w:color w:val="231F20"/>
                <w:spacing w:val="-3"/>
                <w:sz w:val="15"/>
              </w:rPr>
              <w:t> </w:t>
            </w:r>
            <w:r>
              <w:rPr>
                <w:color w:val="231F20"/>
                <w:sz w:val="15"/>
              </w:rPr>
              <w:t>anticoagulant,</w:t>
            </w:r>
            <w:r>
              <w:rPr>
                <w:color w:val="231F20"/>
                <w:spacing w:val="-3"/>
                <w:sz w:val="15"/>
              </w:rPr>
              <w:t> </w:t>
            </w:r>
            <w:r>
              <w:rPr>
                <w:color w:val="231F20"/>
                <w:sz w:val="15"/>
              </w:rPr>
              <w:t>anticardiolipin</w:t>
            </w:r>
            <w:r>
              <w:rPr>
                <w:color w:val="231F20"/>
                <w:spacing w:val="-3"/>
                <w:sz w:val="15"/>
              </w:rPr>
              <w:t> </w:t>
            </w:r>
            <w:r>
              <w:rPr>
                <w:color w:val="231F20"/>
                <w:sz w:val="15"/>
              </w:rPr>
              <w:t>antibodies), </w:t>
            </w:r>
            <w:r>
              <w:rPr>
                <w:color w:val="231F20"/>
                <w:spacing w:val="-2"/>
                <w:sz w:val="15"/>
              </w:rPr>
              <w:t>pregnancy/puerperium</w:t>
            </w:r>
          </w:p>
          <w:p>
            <w:pPr>
              <w:pStyle w:val="TableParagraph"/>
              <w:spacing w:line="230" w:lineRule="auto" w:before="2"/>
              <w:ind w:left="301" w:right="3548"/>
              <w:rPr>
                <w:sz w:val="15"/>
              </w:rPr>
            </w:pPr>
            <w:r>
              <w:rPr>
                <w:color w:val="231F20"/>
                <w:spacing w:val="-4"/>
                <w:sz w:val="15"/>
              </w:rPr>
              <w:t>Dehydration (e.g., gastroenteritis, neonatal failure to </w:t>
            </w:r>
            <w:r>
              <w:rPr>
                <w:color w:val="231F20"/>
                <w:spacing w:val="-4"/>
                <w:sz w:val="15"/>
              </w:rPr>
              <w:t>thrive) </w:t>
            </w:r>
            <w:r>
              <w:rPr>
                <w:color w:val="231F20"/>
                <w:sz w:val="15"/>
              </w:rPr>
              <w:t>Iron-deficiency anemia</w:t>
            </w:r>
          </w:p>
          <w:p>
            <w:pPr>
              <w:pStyle w:val="TableParagraph"/>
              <w:spacing w:line="167" w:lineRule="exact"/>
              <w:ind w:left="301"/>
              <w:rPr>
                <w:sz w:val="15"/>
              </w:rPr>
            </w:pPr>
            <w:r>
              <w:rPr>
                <w:color w:val="231F20"/>
                <w:sz w:val="15"/>
              </w:rPr>
              <w:t>Drugs</w:t>
            </w:r>
            <w:r>
              <w:rPr>
                <w:color w:val="231F20"/>
                <w:spacing w:val="-8"/>
                <w:sz w:val="15"/>
              </w:rPr>
              <w:t> </w:t>
            </w:r>
            <w:r>
              <w:rPr>
                <w:color w:val="231F20"/>
                <w:sz w:val="15"/>
              </w:rPr>
              <w:t>and</w:t>
            </w:r>
            <w:r>
              <w:rPr>
                <w:color w:val="231F20"/>
                <w:spacing w:val="-7"/>
                <w:sz w:val="15"/>
              </w:rPr>
              <w:t> </w:t>
            </w:r>
            <w:r>
              <w:rPr>
                <w:color w:val="231F20"/>
                <w:sz w:val="15"/>
              </w:rPr>
              <w:t>toxins</w:t>
            </w:r>
            <w:r>
              <w:rPr>
                <w:color w:val="231F20"/>
                <w:spacing w:val="-8"/>
                <w:sz w:val="15"/>
              </w:rPr>
              <w:t> </w:t>
            </w:r>
            <w:r>
              <w:rPr>
                <w:color w:val="231F20"/>
                <w:sz w:val="15"/>
              </w:rPr>
              <w:t>(e.g.,</w:t>
            </w:r>
            <w:r>
              <w:rPr>
                <w:color w:val="231F20"/>
                <w:spacing w:val="-7"/>
                <w:sz w:val="15"/>
              </w:rPr>
              <w:t> </w:t>
            </w:r>
            <w:r>
              <w:rPr>
                <w:color w:val="231F20"/>
                <w:sz w:val="12"/>
              </w:rPr>
              <w:t>L</w:t>
            </w:r>
            <w:r>
              <w:rPr>
                <w:color w:val="231F20"/>
                <w:sz w:val="15"/>
              </w:rPr>
              <w:t>-asparaginase,</w:t>
            </w:r>
            <w:r>
              <w:rPr>
                <w:color w:val="231F20"/>
                <w:spacing w:val="-8"/>
                <w:sz w:val="15"/>
              </w:rPr>
              <w:t> </w:t>
            </w:r>
            <w:r>
              <w:rPr>
                <w:color w:val="231F20"/>
                <w:sz w:val="15"/>
              </w:rPr>
              <w:t>oral</w:t>
            </w:r>
            <w:r>
              <w:rPr>
                <w:color w:val="231F20"/>
                <w:spacing w:val="-7"/>
                <w:sz w:val="15"/>
              </w:rPr>
              <w:t> </w:t>
            </w:r>
            <w:r>
              <w:rPr>
                <w:color w:val="231F20"/>
                <w:spacing w:val="-2"/>
                <w:sz w:val="15"/>
              </w:rPr>
              <w:t>contraceptives)</w:t>
            </w:r>
          </w:p>
          <w:p>
            <w:pPr>
              <w:pStyle w:val="TableParagraph"/>
              <w:spacing w:line="168" w:lineRule="exact"/>
              <w:ind w:left="301"/>
              <w:rPr>
                <w:sz w:val="15"/>
              </w:rPr>
            </w:pPr>
            <w:r>
              <w:rPr>
                <w:color w:val="231F20"/>
                <w:spacing w:val="-2"/>
                <w:sz w:val="15"/>
              </w:rPr>
              <w:t>Acute</w:t>
            </w:r>
            <w:r>
              <w:rPr>
                <w:color w:val="231F20"/>
                <w:spacing w:val="-4"/>
                <w:sz w:val="15"/>
              </w:rPr>
              <w:t> </w:t>
            </w:r>
            <w:r>
              <w:rPr>
                <w:color w:val="231F20"/>
                <w:spacing w:val="-2"/>
                <w:sz w:val="15"/>
              </w:rPr>
              <w:t>systemic</w:t>
            </w:r>
            <w:r>
              <w:rPr>
                <w:color w:val="231F20"/>
                <w:spacing w:val="-3"/>
                <w:sz w:val="15"/>
              </w:rPr>
              <w:t> </w:t>
            </w:r>
            <w:r>
              <w:rPr>
                <w:color w:val="231F20"/>
                <w:spacing w:val="-2"/>
                <w:sz w:val="15"/>
              </w:rPr>
              <w:t>illness</w:t>
            </w:r>
            <w:r>
              <w:rPr>
                <w:color w:val="231F20"/>
                <w:spacing w:val="-3"/>
                <w:sz w:val="15"/>
              </w:rPr>
              <w:t> </w:t>
            </w:r>
            <w:r>
              <w:rPr>
                <w:color w:val="231F20"/>
                <w:spacing w:val="-2"/>
                <w:sz w:val="15"/>
              </w:rPr>
              <w:t>(e.g.,</w:t>
            </w:r>
            <w:r>
              <w:rPr>
                <w:color w:val="231F20"/>
                <w:spacing w:val="-3"/>
                <w:sz w:val="15"/>
              </w:rPr>
              <w:t> </w:t>
            </w:r>
            <w:r>
              <w:rPr>
                <w:color w:val="231F20"/>
                <w:spacing w:val="-2"/>
                <w:sz w:val="15"/>
              </w:rPr>
              <w:t>sepsis,</w:t>
            </w:r>
            <w:r>
              <w:rPr>
                <w:color w:val="231F20"/>
                <w:spacing w:val="-3"/>
                <w:sz w:val="15"/>
              </w:rPr>
              <w:t> </w:t>
            </w:r>
            <w:r>
              <w:rPr>
                <w:color w:val="231F20"/>
                <w:spacing w:val="-2"/>
                <w:sz w:val="15"/>
              </w:rPr>
              <w:t>disseminated</w:t>
            </w:r>
            <w:r>
              <w:rPr>
                <w:color w:val="231F20"/>
                <w:spacing w:val="-3"/>
                <w:sz w:val="15"/>
              </w:rPr>
              <w:t> </w:t>
            </w:r>
            <w:r>
              <w:rPr>
                <w:color w:val="231F20"/>
                <w:spacing w:val="-2"/>
                <w:sz w:val="15"/>
              </w:rPr>
              <w:t>intravascular</w:t>
            </w:r>
            <w:r>
              <w:rPr>
                <w:color w:val="231F20"/>
                <w:spacing w:val="-3"/>
                <w:sz w:val="15"/>
              </w:rPr>
              <w:t> </w:t>
            </w:r>
            <w:r>
              <w:rPr>
                <w:color w:val="231F20"/>
                <w:spacing w:val="-2"/>
                <w:sz w:val="15"/>
              </w:rPr>
              <w:t>coagulation)</w:t>
            </w:r>
          </w:p>
          <w:p>
            <w:pPr>
              <w:pStyle w:val="TableParagraph"/>
              <w:spacing w:line="230" w:lineRule="auto" w:before="3"/>
              <w:ind w:left="301" w:right="268"/>
              <w:rPr>
                <w:sz w:val="15"/>
              </w:rPr>
            </w:pPr>
            <w:r>
              <w:rPr>
                <w:color w:val="231F20"/>
                <w:spacing w:val="-2"/>
                <w:sz w:val="15"/>
              </w:rPr>
              <w:t>Chronic</w:t>
            </w:r>
            <w:r>
              <w:rPr>
                <w:color w:val="231F20"/>
                <w:spacing w:val="-4"/>
                <w:sz w:val="15"/>
              </w:rPr>
              <w:t> </w:t>
            </w:r>
            <w:r>
              <w:rPr>
                <w:color w:val="231F20"/>
                <w:spacing w:val="-2"/>
                <w:sz w:val="15"/>
              </w:rPr>
              <w:t>systemic</w:t>
            </w:r>
            <w:r>
              <w:rPr>
                <w:color w:val="231F20"/>
                <w:spacing w:val="-4"/>
                <w:sz w:val="15"/>
              </w:rPr>
              <w:t> </w:t>
            </w:r>
            <w:r>
              <w:rPr>
                <w:color w:val="231F20"/>
                <w:spacing w:val="-2"/>
                <w:sz w:val="15"/>
              </w:rPr>
              <w:t>illness</w:t>
            </w:r>
            <w:r>
              <w:rPr>
                <w:color w:val="231F20"/>
                <w:spacing w:val="-4"/>
                <w:sz w:val="15"/>
              </w:rPr>
              <w:t> </w:t>
            </w:r>
            <w:r>
              <w:rPr>
                <w:color w:val="231F20"/>
                <w:spacing w:val="-2"/>
                <w:sz w:val="15"/>
              </w:rPr>
              <w:t>(e.g.,</w:t>
            </w:r>
            <w:r>
              <w:rPr>
                <w:color w:val="231F20"/>
                <w:spacing w:val="-4"/>
                <w:sz w:val="15"/>
              </w:rPr>
              <w:t> </w:t>
            </w:r>
            <w:r>
              <w:rPr>
                <w:color w:val="231F20"/>
                <w:spacing w:val="-2"/>
                <w:sz w:val="15"/>
              </w:rPr>
              <w:t>inflammatory</w:t>
            </w:r>
            <w:r>
              <w:rPr>
                <w:color w:val="231F20"/>
                <w:spacing w:val="-4"/>
                <w:sz w:val="15"/>
              </w:rPr>
              <w:t> </w:t>
            </w:r>
            <w:r>
              <w:rPr>
                <w:color w:val="231F20"/>
                <w:spacing w:val="-2"/>
                <w:sz w:val="15"/>
              </w:rPr>
              <w:t>bowel</w:t>
            </w:r>
            <w:r>
              <w:rPr>
                <w:color w:val="231F20"/>
                <w:spacing w:val="-4"/>
                <w:sz w:val="15"/>
              </w:rPr>
              <w:t> </w:t>
            </w:r>
            <w:r>
              <w:rPr>
                <w:color w:val="231F20"/>
                <w:spacing w:val="-2"/>
                <w:sz w:val="15"/>
              </w:rPr>
              <w:t>disease,</w:t>
            </w:r>
            <w:r>
              <w:rPr>
                <w:color w:val="231F20"/>
                <w:spacing w:val="-4"/>
                <w:sz w:val="15"/>
              </w:rPr>
              <w:t> </w:t>
            </w:r>
            <w:r>
              <w:rPr>
                <w:color w:val="231F20"/>
                <w:spacing w:val="-2"/>
                <w:sz w:val="15"/>
              </w:rPr>
              <w:t>systemic</w:t>
            </w:r>
            <w:r>
              <w:rPr>
                <w:color w:val="231F20"/>
                <w:spacing w:val="-4"/>
                <w:sz w:val="15"/>
              </w:rPr>
              <w:t> </w:t>
            </w:r>
            <w:r>
              <w:rPr>
                <w:color w:val="231F20"/>
                <w:spacing w:val="-2"/>
                <w:sz w:val="15"/>
              </w:rPr>
              <w:t>lupus</w:t>
            </w:r>
            <w:r>
              <w:rPr>
                <w:color w:val="231F20"/>
                <w:spacing w:val="-4"/>
                <w:sz w:val="15"/>
              </w:rPr>
              <w:t> </w:t>
            </w:r>
            <w:r>
              <w:rPr>
                <w:color w:val="231F20"/>
                <w:spacing w:val="-2"/>
                <w:sz w:val="15"/>
              </w:rPr>
              <w:t>erythematosus,</w:t>
            </w:r>
            <w:r>
              <w:rPr>
                <w:color w:val="231F20"/>
                <w:spacing w:val="-4"/>
                <w:sz w:val="15"/>
              </w:rPr>
              <w:t> </w:t>
            </w:r>
            <w:r>
              <w:rPr>
                <w:color w:val="231F20"/>
                <w:spacing w:val="-2"/>
                <w:sz w:val="15"/>
              </w:rPr>
              <w:t>leukemia) </w:t>
            </w:r>
            <w:r>
              <w:rPr>
                <w:color w:val="231F20"/>
                <w:sz w:val="15"/>
              </w:rPr>
              <w:t>Nephrotic syndrome</w:t>
            </w:r>
          </w:p>
          <w:p>
            <w:pPr>
              <w:pStyle w:val="TableParagraph"/>
              <w:spacing w:line="170" w:lineRule="exact"/>
              <w:ind w:left="301"/>
              <w:rPr>
                <w:sz w:val="15"/>
              </w:rPr>
            </w:pPr>
            <w:r>
              <w:rPr>
                <w:color w:val="231F20"/>
                <w:spacing w:val="-2"/>
                <w:sz w:val="15"/>
              </w:rPr>
              <w:t>Inborn errors of</w:t>
            </w:r>
            <w:r>
              <w:rPr>
                <w:color w:val="231F20"/>
                <w:spacing w:val="-1"/>
                <w:sz w:val="15"/>
              </w:rPr>
              <w:t> </w:t>
            </w:r>
            <w:r>
              <w:rPr>
                <w:color w:val="231F20"/>
                <w:spacing w:val="-2"/>
                <w:sz w:val="15"/>
              </w:rPr>
              <w:t>metabolism (e.g.,</w:t>
            </w:r>
            <w:r>
              <w:rPr>
                <w:color w:val="231F20"/>
                <w:spacing w:val="-1"/>
                <w:sz w:val="15"/>
              </w:rPr>
              <w:t> </w:t>
            </w:r>
            <w:r>
              <w:rPr>
                <w:color w:val="231F20"/>
                <w:spacing w:val="-2"/>
                <w:sz w:val="15"/>
              </w:rPr>
              <w:t>homocystinuria)</w:t>
            </w:r>
          </w:p>
        </w:tc>
      </w:tr>
      <w:tr>
        <w:trPr>
          <w:trHeight w:val="1423" w:hRule="atLeast"/>
        </w:trPr>
        <w:tc>
          <w:tcPr>
            <w:tcW w:w="193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Blood</w:t>
            </w:r>
            <w:r>
              <w:rPr>
                <w:color w:val="231F20"/>
                <w:spacing w:val="23"/>
                <w:sz w:val="15"/>
              </w:rPr>
              <w:t> </w:t>
            </w:r>
            <w:r>
              <w:rPr>
                <w:color w:val="231F20"/>
                <w:spacing w:val="-2"/>
                <w:sz w:val="15"/>
              </w:rPr>
              <w:t>vessel</w:t>
            </w:r>
          </w:p>
        </w:tc>
        <w:tc>
          <w:tcPr>
            <w:tcW w:w="7810" w:type="dxa"/>
            <w:tcBorders>
              <w:top w:val="single" w:sz="4" w:space="0" w:color="FFFFFF"/>
              <w:bottom w:val="single" w:sz="8" w:space="0" w:color="231F20"/>
            </w:tcBorders>
            <w:shd w:val="clear" w:color="auto" w:fill="E8F5F1"/>
          </w:tcPr>
          <w:p>
            <w:pPr>
              <w:pStyle w:val="TableParagraph"/>
              <w:spacing w:line="171" w:lineRule="exact" w:before="42"/>
              <w:ind w:left="301"/>
              <w:rPr>
                <w:sz w:val="15"/>
              </w:rPr>
            </w:pPr>
            <w:r>
              <w:rPr>
                <w:color w:val="231F20"/>
                <w:spacing w:val="-2"/>
                <w:sz w:val="15"/>
              </w:rPr>
              <w:t>Infection/thrombophlebitis</w:t>
            </w:r>
          </w:p>
          <w:p>
            <w:pPr>
              <w:pStyle w:val="TableParagraph"/>
              <w:spacing w:line="230" w:lineRule="auto" w:before="2"/>
              <w:ind w:left="413" w:right="1350"/>
              <w:rPr>
                <w:sz w:val="15"/>
              </w:rPr>
            </w:pPr>
            <w:r>
              <w:rPr>
                <w:color w:val="231F20"/>
                <w:spacing w:val="-2"/>
                <w:sz w:val="15"/>
              </w:rPr>
              <w:t>Otitis</w:t>
            </w:r>
            <w:r>
              <w:rPr>
                <w:color w:val="231F20"/>
                <w:spacing w:val="-4"/>
                <w:sz w:val="15"/>
              </w:rPr>
              <w:t> </w:t>
            </w:r>
            <w:r>
              <w:rPr>
                <w:color w:val="231F20"/>
                <w:spacing w:val="-2"/>
                <w:sz w:val="15"/>
              </w:rPr>
              <w:t>media,</w:t>
            </w:r>
            <w:r>
              <w:rPr>
                <w:color w:val="231F20"/>
                <w:spacing w:val="-4"/>
                <w:sz w:val="15"/>
              </w:rPr>
              <w:t> </w:t>
            </w:r>
            <w:r>
              <w:rPr>
                <w:color w:val="231F20"/>
                <w:spacing w:val="-2"/>
                <w:sz w:val="15"/>
              </w:rPr>
              <w:t>mastoiditis,</w:t>
            </w:r>
            <w:r>
              <w:rPr>
                <w:color w:val="231F20"/>
                <w:spacing w:val="-4"/>
                <w:sz w:val="15"/>
              </w:rPr>
              <w:t> </w:t>
            </w:r>
            <w:r>
              <w:rPr>
                <w:color w:val="231F20"/>
                <w:spacing w:val="-2"/>
                <w:sz w:val="15"/>
              </w:rPr>
              <w:t>bacterial</w:t>
            </w:r>
            <w:r>
              <w:rPr>
                <w:color w:val="231F20"/>
                <w:spacing w:val="-4"/>
                <w:sz w:val="15"/>
              </w:rPr>
              <w:t> </w:t>
            </w:r>
            <w:r>
              <w:rPr>
                <w:color w:val="231F20"/>
                <w:spacing w:val="-2"/>
                <w:sz w:val="15"/>
              </w:rPr>
              <w:t>meningitis,</w:t>
            </w:r>
            <w:r>
              <w:rPr>
                <w:color w:val="231F20"/>
                <w:spacing w:val="-4"/>
                <w:sz w:val="15"/>
              </w:rPr>
              <w:t> </w:t>
            </w:r>
            <w:r>
              <w:rPr>
                <w:color w:val="231F20"/>
                <w:spacing w:val="-2"/>
                <w:sz w:val="15"/>
              </w:rPr>
              <w:t>sinusitis,</w:t>
            </w:r>
            <w:r>
              <w:rPr>
                <w:color w:val="231F20"/>
                <w:spacing w:val="-4"/>
                <w:sz w:val="15"/>
              </w:rPr>
              <w:t> </w:t>
            </w:r>
            <w:r>
              <w:rPr>
                <w:color w:val="231F20"/>
                <w:spacing w:val="-2"/>
                <w:sz w:val="15"/>
              </w:rPr>
              <w:t>dental</w:t>
            </w:r>
            <w:r>
              <w:rPr>
                <w:color w:val="231F20"/>
                <w:spacing w:val="-4"/>
                <w:sz w:val="15"/>
              </w:rPr>
              <w:t> </w:t>
            </w:r>
            <w:r>
              <w:rPr>
                <w:color w:val="231F20"/>
                <w:spacing w:val="-2"/>
                <w:sz w:val="15"/>
              </w:rPr>
              <w:t>abscess,</w:t>
            </w:r>
            <w:r>
              <w:rPr>
                <w:color w:val="231F20"/>
                <w:spacing w:val="-4"/>
                <w:sz w:val="15"/>
              </w:rPr>
              <w:t> </w:t>
            </w:r>
            <w:r>
              <w:rPr>
                <w:color w:val="231F20"/>
                <w:spacing w:val="-2"/>
                <w:sz w:val="15"/>
              </w:rPr>
              <w:t>pharyngitis </w:t>
            </w:r>
            <w:r>
              <w:rPr>
                <w:color w:val="231F20"/>
                <w:sz w:val="15"/>
              </w:rPr>
              <w:t>Lemierre syndrome</w:t>
            </w:r>
          </w:p>
          <w:p>
            <w:pPr>
              <w:pStyle w:val="TableParagraph"/>
              <w:spacing w:line="167" w:lineRule="exact"/>
              <w:ind w:left="413"/>
              <w:rPr>
                <w:sz w:val="15"/>
              </w:rPr>
            </w:pPr>
            <w:r>
              <w:rPr>
                <w:color w:val="231F20"/>
                <w:spacing w:val="-2"/>
                <w:w w:val="105"/>
                <w:sz w:val="15"/>
              </w:rPr>
              <w:t>Sepsis</w:t>
            </w:r>
          </w:p>
          <w:p>
            <w:pPr>
              <w:pStyle w:val="TableParagraph"/>
              <w:spacing w:line="168" w:lineRule="exact"/>
              <w:ind w:left="301"/>
              <w:rPr>
                <w:sz w:val="15"/>
              </w:rPr>
            </w:pPr>
            <w:r>
              <w:rPr>
                <w:color w:val="231F20"/>
                <w:spacing w:val="-2"/>
                <w:sz w:val="15"/>
              </w:rPr>
              <w:t>Trauma:</w:t>
            </w:r>
            <w:r>
              <w:rPr>
                <w:color w:val="231F20"/>
                <w:spacing w:val="-8"/>
                <w:sz w:val="15"/>
              </w:rPr>
              <w:t> </w:t>
            </w:r>
            <w:r>
              <w:rPr>
                <w:color w:val="231F20"/>
                <w:spacing w:val="-2"/>
                <w:sz w:val="15"/>
              </w:rPr>
              <w:t>skull</w:t>
            </w:r>
            <w:r>
              <w:rPr>
                <w:color w:val="231F20"/>
                <w:spacing w:val="-8"/>
                <w:sz w:val="15"/>
              </w:rPr>
              <w:t> </w:t>
            </w:r>
            <w:r>
              <w:rPr>
                <w:color w:val="231F20"/>
                <w:spacing w:val="-2"/>
                <w:sz w:val="15"/>
              </w:rPr>
              <w:t>fractures,</w:t>
            </w:r>
            <w:r>
              <w:rPr>
                <w:color w:val="231F20"/>
                <w:spacing w:val="-7"/>
                <w:sz w:val="15"/>
              </w:rPr>
              <w:t> </w:t>
            </w:r>
            <w:r>
              <w:rPr>
                <w:color w:val="231F20"/>
                <w:spacing w:val="-2"/>
                <w:sz w:val="15"/>
              </w:rPr>
              <w:t>closed</w:t>
            </w:r>
            <w:r>
              <w:rPr>
                <w:color w:val="231F20"/>
                <w:spacing w:val="-8"/>
                <w:sz w:val="15"/>
              </w:rPr>
              <w:t> </w:t>
            </w:r>
            <w:r>
              <w:rPr>
                <w:color w:val="231F20"/>
                <w:spacing w:val="-2"/>
                <w:sz w:val="15"/>
              </w:rPr>
              <w:t>hear</w:t>
            </w:r>
            <w:r>
              <w:rPr>
                <w:color w:val="231F20"/>
                <w:spacing w:val="-7"/>
                <w:sz w:val="15"/>
              </w:rPr>
              <w:t> </w:t>
            </w:r>
            <w:r>
              <w:rPr>
                <w:color w:val="231F20"/>
                <w:spacing w:val="-2"/>
                <w:sz w:val="15"/>
              </w:rPr>
              <w:t>trauma</w:t>
            </w:r>
          </w:p>
          <w:p>
            <w:pPr>
              <w:pStyle w:val="TableParagraph"/>
              <w:spacing w:line="230" w:lineRule="auto" w:before="3"/>
              <w:ind w:left="301" w:right="1911"/>
              <w:rPr>
                <w:sz w:val="15"/>
              </w:rPr>
            </w:pPr>
            <w:r>
              <w:rPr>
                <w:color w:val="231F20"/>
                <w:sz w:val="15"/>
              </w:rPr>
              <w:t>Compression: birth, occipital bone compression in neonates in supine lying </w:t>
            </w:r>
            <w:r>
              <w:rPr>
                <w:color w:val="231F20"/>
                <w:spacing w:val="-2"/>
                <w:sz w:val="15"/>
              </w:rPr>
              <w:t>Iatrogenic: neurosurgery, jugular lines, extracorporeal membrane </w:t>
            </w:r>
            <w:r>
              <w:rPr>
                <w:color w:val="231F20"/>
                <w:spacing w:val="-2"/>
                <w:sz w:val="15"/>
              </w:rPr>
              <w:t>oxygenation </w:t>
            </w:r>
            <w:r>
              <w:rPr>
                <w:color w:val="231F20"/>
                <w:sz w:val="15"/>
              </w:rPr>
              <w:t>Venous malformations (e.g., dural arteriovenous fistulas)</w:t>
            </w:r>
          </w:p>
        </w:tc>
      </w:tr>
    </w:tbl>
    <w:p>
      <w:pPr>
        <w:pStyle w:val="TableParagraph"/>
        <w:spacing w:after="0" w:line="230" w:lineRule="auto"/>
        <w:rPr>
          <w:sz w:val="15"/>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467"/>
        <w:rPr>
          <w:sz w:val="20"/>
        </w:rPr>
      </w:pPr>
      <w:r>
        <w:rPr>
          <w:sz w:val="20"/>
        </w:rPr>
        <mc:AlternateContent>
          <mc:Choice Requires="wps">
            <w:drawing>
              <wp:inline distT="0" distB="0" distL="0" distR="0">
                <wp:extent cx="6185535" cy="170815"/>
                <wp:effectExtent l="19050" t="0" r="62864" b="635"/>
                <wp:docPr id="911" name="Group 911"/>
                <wp:cNvGraphicFramePr>
                  <a:graphicFrameLocks/>
                </wp:cNvGraphicFramePr>
                <a:graphic>
                  <a:graphicData uri="http://schemas.microsoft.com/office/word/2010/wordprocessingGroup">
                    <wpg:wgp>
                      <wpg:cNvPr id="911" name="Group 911"/>
                      <wpg:cNvGrpSpPr/>
                      <wpg:grpSpPr>
                        <a:xfrm>
                          <a:off x="0" y="0"/>
                          <a:ext cx="6185535" cy="170815"/>
                          <a:chExt cx="6185535" cy="170815"/>
                        </a:xfrm>
                      </wpg:grpSpPr>
                      <wps:wsp>
                        <wps:cNvPr id="912" name="Graphic 912"/>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913" name="Graphic 913"/>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914" name="Textbox 914"/>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2932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38"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739" filled="false" stroked="false">
                  <v:textbox inset="0,0,0,0">
                    <w:txbxContent>
                      <w:p>
                        <w:pPr>
                          <w:spacing w:before="6"/>
                          <w:ind w:left="-1" w:right="0" w:firstLine="0"/>
                          <w:jc w:val="left"/>
                          <w:rPr>
                            <w:sz w:val="18"/>
                          </w:rPr>
                        </w:pPr>
                        <w:r>
                          <w:rPr>
                            <w:b/>
                            <w:color w:val="231F20"/>
                            <w:w w:val="105"/>
                            <w:sz w:val="18"/>
                          </w:rPr>
                          <w:t>2932</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53"/>
        <w:rPr>
          <w:i/>
          <w:sz w:val="20"/>
        </w:rPr>
      </w:pPr>
    </w:p>
    <w:tbl>
      <w:tblPr>
        <w:tblW w:w="0" w:type="auto"/>
        <w:jc w:val="left"/>
        <w:tblInd w:w="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784"/>
        <w:gridCol w:w="781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3</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Common</w:t>
            </w:r>
            <w:r>
              <w:rPr>
                <w:color w:val="FFFFFF"/>
                <w:spacing w:val="16"/>
                <w:w w:val="105"/>
                <w:sz w:val="16"/>
              </w:rPr>
              <w:t> </w:t>
            </w:r>
            <w:r>
              <w:rPr>
                <w:color w:val="FFFFFF"/>
                <w:w w:val="105"/>
                <w:sz w:val="16"/>
              </w:rPr>
              <w:t>Risk</w:t>
            </w:r>
            <w:r>
              <w:rPr>
                <w:color w:val="FFFFFF"/>
                <w:spacing w:val="16"/>
                <w:w w:val="105"/>
                <w:sz w:val="16"/>
              </w:rPr>
              <w:t> </w:t>
            </w:r>
            <w:r>
              <w:rPr>
                <w:color w:val="FFFFFF"/>
                <w:w w:val="105"/>
                <w:sz w:val="16"/>
              </w:rPr>
              <w:t>Factors</w:t>
            </w:r>
            <w:r>
              <w:rPr>
                <w:color w:val="FFFFFF"/>
                <w:spacing w:val="16"/>
                <w:w w:val="105"/>
                <w:sz w:val="16"/>
              </w:rPr>
              <w:t> </w:t>
            </w:r>
            <w:r>
              <w:rPr>
                <w:color w:val="FFFFFF"/>
                <w:w w:val="105"/>
                <w:sz w:val="16"/>
              </w:rPr>
              <w:t>for</w:t>
            </w:r>
            <w:r>
              <w:rPr>
                <w:color w:val="FFFFFF"/>
                <w:spacing w:val="16"/>
                <w:w w:val="105"/>
                <w:sz w:val="16"/>
              </w:rPr>
              <w:t> </w:t>
            </w:r>
            <w:r>
              <w:rPr>
                <w:color w:val="FFFFFF"/>
                <w:w w:val="105"/>
                <w:sz w:val="16"/>
              </w:rPr>
              <w:t>Cerebral</w:t>
            </w:r>
            <w:r>
              <w:rPr>
                <w:color w:val="FFFFFF"/>
                <w:spacing w:val="16"/>
                <w:w w:val="105"/>
                <w:sz w:val="16"/>
              </w:rPr>
              <w:t> </w:t>
            </w:r>
            <w:r>
              <w:rPr>
                <w:color w:val="FFFFFF"/>
                <w:w w:val="105"/>
                <w:sz w:val="16"/>
              </w:rPr>
              <w:t>Sinovenous</w:t>
            </w:r>
            <w:r>
              <w:rPr>
                <w:color w:val="FFFFFF"/>
                <w:spacing w:val="16"/>
                <w:w w:val="105"/>
                <w:sz w:val="16"/>
              </w:rPr>
              <w:t> </w:t>
            </w:r>
            <w:r>
              <w:rPr>
                <w:color w:val="FFFFFF"/>
                <w:w w:val="105"/>
                <w:sz w:val="16"/>
              </w:rPr>
              <w:t>Thrombosis</w:t>
            </w:r>
            <w:r>
              <w:rPr>
                <w:color w:val="FFFFFF"/>
                <w:spacing w:val="17"/>
                <w:w w:val="105"/>
                <w:sz w:val="16"/>
              </w:rPr>
              <w:t> </w:t>
            </w:r>
            <w:r>
              <w:rPr>
                <w:color w:val="FFFFFF"/>
                <w:w w:val="105"/>
                <w:sz w:val="16"/>
              </w:rPr>
              <w:t>in</w:t>
            </w:r>
            <w:r>
              <w:rPr>
                <w:color w:val="FFFFFF"/>
                <w:spacing w:val="16"/>
                <w:w w:val="105"/>
                <w:sz w:val="16"/>
              </w:rPr>
              <w:t> </w:t>
            </w:r>
            <w:r>
              <w:rPr>
                <w:color w:val="FFFFFF"/>
                <w:spacing w:val="-2"/>
                <w:w w:val="105"/>
                <w:sz w:val="16"/>
              </w:rPr>
              <w:t>Children</w:t>
            </w:r>
          </w:p>
        </w:tc>
      </w:tr>
      <w:tr>
        <w:trPr>
          <w:trHeight w:val="257" w:hRule="atLeast"/>
        </w:trPr>
        <w:tc>
          <w:tcPr>
            <w:tcW w:w="1932" w:type="dxa"/>
            <w:gridSpan w:val="2"/>
            <w:tcBorders>
              <w:bottom w:val="single" w:sz="4" w:space="0" w:color="231F20"/>
            </w:tcBorders>
            <w:shd w:val="clear" w:color="auto" w:fill="E8F5F1"/>
          </w:tcPr>
          <w:p>
            <w:pPr>
              <w:pStyle w:val="TableParagraph"/>
              <w:spacing w:before="47"/>
              <w:ind w:left="74"/>
              <w:rPr>
                <w:b/>
                <w:sz w:val="15"/>
              </w:rPr>
            </w:pPr>
            <w:r>
              <w:rPr>
                <w:b/>
                <w:color w:val="231F20"/>
                <w:w w:val="110"/>
                <w:sz w:val="15"/>
              </w:rPr>
              <w:t>MAJOR</w:t>
            </w:r>
            <w:r>
              <w:rPr>
                <w:b/>
                <w:color w:val="231F20"/>
                <w:spacing w:val="15"/>
                <w:w w:val="110"/>
                <w:sz w:val="15"/>
              </w:rPr>
              <w:t> </w:t>
            </w:r>
            <w:r>
              <w:rPr>
                <w:b/>
                <w:color w:val="231F20"/>
                <w:spacing w:val="-2"/>
                <w:w w:val="110"/>
                <w:sz w:val="15"/>
              </w:rPr>
              <w:t>CATEGORIES</w:t>
            </w:r>
          </w:p>
        </w:tc>
        <w:tc>
          <w:tcPr>
            <w:tcW w:w="7810" w:type="dxa"/>
            <w:tcBorders>
              <w:bottom w:val="single" w:sz="4" w:space="0" w:color="231F20"/>
            </w:tcBorders>
            <w:shd w:val="clear" w:color="auto" w:fill="E8F5F1"/>
          </w:tcPr>
          <w:p>
            <w:pPr>
              <w:pStyle w:val="TableParagraph"/>
              <w:spacing w:before="47"/>
              <w:ind w:left="225"/>
              <w:jc w:val="center"/>
              <w:rPr>
                <w:b/>
                <w:sz w:val="15"/>
              </w:rPr>
            </w:pPr>
            <w:r>
              <w:rPr>
                <w:b/>
                <w:color w:val="231F20"/>
                <w:spacing w:val="-2"/>
                <w:w w:val="110"/>
                <w:sz w:val="15"/>
              </w:rPr>
              <w:t>EXAMPLES</w:t>
            </w:r>
          </w:p>
        </w:tc>
      </w:tr>
      <w:tr>
        <w:trPr>
          <w:trHeight w:val="1936" w:hRule="atLeast"/>
        </w:trPr>
        <w:tc>
          <w:tcPr>
            <w:tcW w:w="1932"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w w:val="105"/>
                <w:sz w:val="15"/>
              </w:rPr>
              <w:t>Blood</w:t>
            </w:r>
            <w:r>
              <w:rPr>
                <w:color w:val="231F20"/>
                <w:spacing w:val="2"/>
                <w:w w:val="105"/>
                <w:sz w:val="15"/>
              </w:rPr>
              <w:t> </w:t>
            </w:r>
            <w:r>
              <w:rPr>
                <w:color w:val="231F20"/>
                <w:spacing w:val="-2"/>
                <w:w w:val="105"/>
                <w:sz w:val="15"/>
              </w:rPr>
              <w:t>coagulation</w:t>
            </w:r>
          </w:p>
        </w:tc>
        <w:tc>
          <w:tcPr>
            <w:tcW w:w="7810" w:type="dxa"/>
            <w:tcBorders>
              <w:top w:val="single" w:sz="4" w:space="0" w:color="231F20"/>
              <w:bottom w:val="single" w:sz="4" w:space="0" w:color="FFFFFF"/>
            </w:tcBorders>
            <w:shd w:val="clear" w:color="auto" w:fill="E8F5F1"/>
          </w:tcPr>
          <w:p>
            <w:pPr>
              <w:pStyle w:val="TableParagraph"/>
              <w:spacing w:line="171" w:lineRule="exact" w:before="47"/>
              <w:ind w:left="301"/>
              <w:rPr>
                <w:sz w:val="15"/>
              </w:rPr>
            </w:pPr>
            <w:r>
              <w:rPr>
                <w:color w:val="231F20"/>
                <w:sz w:val="15"/>
              </w:rPr>
              <w:t>Prothrombotic</w:t>
            </w:r>
            <w:r>
              <w:rPr>
                <w:color w:val="231F20"/>
                <w:spacing w:val="-9"/>
                <w:sz w:val="15"/>
              </w:rPr>
              <w:t> </w:t>
            </w:r>
            <w:r>
              <w:rPr>
                <w:color w:val="231F20"/>
                <w:spacing w:val="-2"/>
                <w:sz w:val="15"/>
              </w:rPr>
              <w:t>conditions</w:t>
            </w:r>
          </w:p>
          <w:p>
            <w:pPr>
              <w:pStyle w:val="TableParagraph"/>
              <w:spacing w:line="230" w:lineRule="auto" w:before="2"/>
              <w:ind w:left="525" w:right="13" w:hanging="112"/>
              <w:rPr>
                <w:sz w:val="15"/>
              </w:rPr>
            </w:pPr>
            <w:r>
              <w:rPr>
                <w:color w:val="231F20"/>
                <w:sz w:val="15"/>
              </w:rPr>
              <w:t>Factor</w:t>
            </w:r>
            <w:r>
              <w:rPr>
                <w:color w:val="231F20"/>
                <w:spacing w:val="-11"/>
                <w:sz w:val="15"/>
              </w:rPr>
              <w:t> </w:t>
            </w:r>
            <w:r>
              <w:rPr>
                <w:color w:val="231F20"/>
                <w:sz w:val="15"/>
              </w:rPr>
              <w:t>V</w:t>
            </w:r>
            <w:r>
              <w:rPr>
                <w:color w:val="231F20"/>
                <w:spacing w:val="-11"/>
                <w:sz w:val="15"/>
              </w:rPr>
              <w:t> </w:t>
            </w:r>
            <w:r>
              <w:rPr>
                <w:color w:val="231F20"/>
                <w:sz w:val="15"/>
              </w:rPr>
              <w:t>Leiden,</w:t>
            </w:r>
            <w:r>
              <w:rPr>
                <w:color w:val="231F20"/>
                <w:spacing w:val="-11"/>
                <w:sz w:val="15"/>
              </w:rPr>
              <w:t> </w:t>
            </w:r>
            <w:r>
              <w:rPr>
                <w:color w:val="231F20"/>
                <w:sz w:val="15"/>
              </w:rPr>
              <w:t>prothrombin</w:t>
            </w:r>
            <w:r>
              <w:rPr>
                <w:color w:val="231F20"/>
                <w:spacing w:val="-11"/>
                <w:sz w:val="15"/>
              </w:rPr>
              <w:t> </w:t>
            </w:r>
            <w:r>
              <w:rPr>
                <w:color w:val="231F20"/>
                <w:sz w:val="15"/>
              </w:rPr>
              <w:t>gene</w:t>
            </w:r>
            <w:r>
              <w:rPr>
                <w:color w:val="231F20"/>
                <w:spacing w:val="-11"/>
                <w:sz w:val="15"/>
              </w:rPr>
              <w:t> </w:t>
            </w:r>
            <w:r>
              <w:rPr>
                <w:color w:val="231F20"/>
                <w:sz w:val="15"/>
              </w:rPr>
              <w:t>mutation</w:t>
            </w:r>
            <w:r>
              <w:rPr>
                <w:color w:val="231F20"/>
                <w:spacing w:val="-11"/>
                <w:sz w:val="15"/>
              </w:rPr>
              <w:t> </w:t>
            </w:r>
            <w:r>
              <w:rPr>
                <w:color w:val="231F20"/>
                <w:sz w:val="15"/>
              </w:rPr>
              <w:t>20210A,</w:t>
            </w:r>
            <w:r>
              <w:rPr>
                <w:color w:val="231F20"/>
                <w:spacing w:val="-11"/>
                <w:sz w:val="15"/>
              </w:rPr>
              <w:t> </w:t>
            </w:r>
            <w:r>
              <w:rPr>
                <w:color w:val="231F20"/>
                <w:sz w:val="15"/>
              </w:rPr>
              <w:t>protein</w:t>
            </w:r>
            <w:r>
              <w:rPr>
                <w:color w:val="231F20"/>
                <w:spacing w:val="-11"/>
                <w:sz w:val="15"/>
              </w:rPr>
              <w:t> </w:t>
            </w:r>
            <w:r>
              <w:rPr>
                <w:color w:val="231F20"/>
                <w:sz w:val="15"/>
              </w:rPr>
              <w:t>C</w:t>
            </w:r>
            <w:r>
              <w:rPr>
                <w:color w:val="231F20"/>
                <w:spacing w:val="-11"/>
                <w:sz w:val="15"/>
              </w:rPr>
              <w:t> </w:t>
            </w:r>
            <w:r>
              <w:rPr>
                <w:color w:val="231F20"/>
                <w:sz w:val="15"/>
              </w:rPr>
              <w:t>deficiency,</w:t>
            </w:r>
            <w:r>
              <w:rPr>
                <w:color w:val="231F20"/>
                <w:spacing w:val="-11"/>
                <w:sz w:val="15"/>
              </w:rPr>
              <w:t> </w:t>
            </w:r>
            <w:r>
              <w:rPr>
                <w:color w:val="231F20"/>
                <w:sz w:val="15"/>
              </w:rPr>
              <w:t>protein</w:t>
            </w:r>
            <w:r>
              <w:rPr>
                <w:color w:val="231F20"/>
                <w:spacing w:val="-11"/>
                <w:sz w:val="15"/>
              </w:rPr>
              <w:t> </w:t>
            </w:r>
            <w:r>
              <w:rPr>
                <w:color w:val="231F20"/>
                <w:sz w:val="15"/>
              </w:rPr>
              <w:t>S</w:t>
            </w:r>
            <w:r>
              <w:rPr>
                <w:color w:val="231F20"/>
                <w:spacing w:val="-11"/>
                <w:sz w:val="15"/>
              </w:rPr>
              <w:t> </w:t>
            </w:r>
            <w:r>
              <w:rPr>
                <w:color w:val="231F20"/>
                <w:sz w:val="15"/>
              </w:rPr>
              <w:t>deficiency,</w:t>
            </w:r>
            <w:r>
              <w:rPr>
                <w:color w:val="231F20"/>
                <w:spacing w:val="-11"/>
                <w:sz w:val="15"/>
              </w:rPr>
              <w:t> </w:t>
            </w:r>
            <w:r>
              <w:rPr>
                <w:color w:val="231F20"/>
                <w:sz w:val="15"/>
              </w:rPr>
              <w:t>antithrombin III</w:t>
            </w:r>
            <w:r>
              <w:rPr>
                <w:color w:val="231F20"/>
                <w:spacing w:val="-3"/>
                <w:sz w:val="15"/>
              </w:rPr>
              <w:t> </w:t>
            </w:r>
            <w:r>
              <w:rPr>
                <w:color w:val="231F20"/>
                <w:sz w:val="15"/>
              </w:rPr>
              <w:t>deficiency,</w:t>
            </w:r>
            <w:r>
              <w:rPr>
                <w:color w:val="231F20"/>
                <w:spacing w:val="-3"/>
                <w:sz w:val="15"/>
              </w:rPr>
              <w:t> </w:t>
            </w:r>
            <w:r>
              <w:rPr>
                <w:color w:val="231F20"/>
                <w:sz w:val="15"/>
              </w:rPr>
              <w:t>lipoprotein</w:t>
            </w:r>
            <w:r>
              <w:rPr>
                <w:color w:val="231F20"/>
                <w:spacing w:val="-3"/>
                <w:sz w:val="15"/>
              </w:rPr>
              <w:t> </w:t>
            </w:r>
            <w:r>
              <w:rPr>
                <w:color w:val="231F20"/>
                <w:sz w:val="15"/>
              </w:rPr>
              <w:t>a,</w:t>
            </w:r>
            <w:r>
              <w:rPr>
                <w:color w:val="231F20"/>
                <w:spacing w:val="-3"/>
                <w:sz w:val="15"/>
              </w:rPr>
              <w:t> </w:t>
            </w:r>
            <w:r>
              <w:rPr>
                <w:color w:val="231F20"/>
                <w:sz w:val="15"/>
              </w:rPr>
              <w:t>antiphospholipid</w:t>
            </w:r>
            <w:r>
              <w:rPr>
                <w:color w:val="231F20"/>
                <w:spacing w:val="-3"/>
                <w:sz w:val="15"/>
              </w:rPr>
              <w:t> </w:t>
            </w:r>
            <w:r>
              <w:rPr>
                <w:color w:val="231F20"/>
                <w:sz w:val="15"/>
              </w:rPr>
              <w:t>antibodies</w:t>
            </w:r>
            <w:r>
              <w:rPr>
                <w:color w:val="231F20"/>
                <w:spacing w:val="-3"/>
                <w:sz w:val="15"/>
              </w:rPr>
              <w:t> </w:t>
            </w:r>
            <w:r>
              <w:rPr>
                <w:color w:val="231F20"/>
                <w:sz w:val="15"/>
              </w:rPr>
              <w:t>(lupus</w:t>
            </w:r>
            <w:r>
              <w:rPr>
                <w:color w:val="231F20"/>
                <w:spacing w:val="-3"/>
                <w:sz w:val="15"/>
              </w:rPr>
              <w:t> </w:t>
            </w:r>
            <w:r>
              <w:rPr>
                <w:color w:val="231F20"/>
                <w:sz w:val="15"/>
              </w:rPr>
              <w:t>anticoagulant,</w:t>
            </w:r>
            <w:r>
              <w:rPr>
                <w:color w:val="231F20"/>
                <w:spacing w:val="-3"/>
                <w:sz w:val="15"/>
              </w:rPr>
              <w:t> </w:t>
            </w:r>
            <w:r>
              <w:rPr>
                <w:color w:val="231F20"/>
                <w:sz w:val="15"/>
              </w:rPr>
              <w:t>anticardiolipin</w:t>
            </w:r>
            <w:r>
              <w:rPr>
                <w:color w:val="231F20"/>
                <w:spacing w:val="-3"/>
                <w:sz w:val="15"/>
              </w:rPr>
              <w:t> </w:t>
            </w:r>
            <w:r>
              <w:rPr>
                <w:color w:val="231F20"/>
                <w:sz w:val="15"/>
              </w:rPr>
              <w:t>antibodies), </w:t>
            </w:r>
            <w:r>
              <w:rPr>
                <w:color w:val="231F20"/>
                <w:spacing w:val="-2"/>
                <w:sz w:val="15"/>
              </w:rPr>
              <w:t>pregnancy/puerperium</w:t>
            </w:r>
          </w:p>
          <w:p>
            <w:pPr>
              <w:pStyle w:val="TableParagraph"/>
              <w:spacing w:line="230" w:lineRule="auto" w:before="2"/>
              <w:ind w:left="301" w:right="3548"/>
              <w:rPr>
                <w:sz w:val="15"/>
              </w:rPr>
            </w:pPr>
            <w:r>
              <w:rPr>
                <w:color w:val="231F20"/>
                <w:spacing w:val="-4"/>
                <w:sz w:val="15"/>
              </w:rPr>
              <w:t>Dehydration (e.g., gastroenteritis, neonatal failure to </w:t>
            </w:r>
            <w:r>
              <w:rPr>
                <w:color w:val="231F20"/>
                <w:spacing w:val="-4"/>
                <w:sz w:val="15"/>
              </w:rPr>
              <w:t>thrive) </w:t>
            </w:r>
            <w:r>
              <w:rPr>
                <w:color w:val="231F20"/>
                <w:sz w:val="15"/>
              </w:rPr>
              <w:t>Iron-deficiency anemia</w:t>
            </w:r>
          </w:p>
          <w:p>
            <w:pPr>
              <w:pStyle w:val="TableParagraph"/>
              <w:spacing w:line="167" w:lineRule="exact"/>
              <w:ind w:left="301"/>
              <w:rPr>
                <w:sz w:val="15"/>
              </w:rPr>
            </w:pPr>
            <w:r>
              <w:rPr>
                <w:color w:val="231F20"/>
                <w:sz w:val="15"/>
              </w:rPr>
              <w:t>Drugs</w:t>
            </w:r>
            <w:r>
              <w:rPr>
                <w:color w:val="231F20"/>
                <w:spacing w:val="-8"/>
                <w:sz w:val="15"/>
              </w:rPr>
              <w:t> </w:t>
            </w:r>
            <w:r>
              <w:rPr>
                <w:color w:val="231F20"/>
                <w:sz w:val="15"/>
              </w:rPr>
              <w:t>and</w:t>
            </w:r>
            <w:r>
              <w:rPr>
                <w:color w:val="231F20"/>
                <w:spacing w:val="-7"/>
                <w:sz w:val="15"/>
              </w:rPr>
              <w:t> </w:t>
            </w:r>
            <w:r>
              <w:rPr>
                <w:color w:val="231F20"/>
                <w:sz w:val="15"/>
              </w:rPr>
              <w:t>toxins</w:t>
            </w:r>
            <w:r>
              <w:rPr>
                <w:color w:val="231F20"/>
                <w:spacing w:val="-8"/>
                <w:sz w:val="15"/>
              </w:rPr>
              <w:t> </w:t>
            </w:r>
            <w:r>
              <w:rPr>
                <w:color w:val="231F20"/>
                <w:sz w:val="15"/>
              </w:rPr>
              <w:t>(e.g.,</w:t>
            </w:r>
            <w:r>
              <w:rPr>
                <w:color w:val="231F20"/>
                <w:spacing w:val="-7"/>
                <w:sz w:val="15"/>
              </w:rPr>
              <w:t> </w:t>
            </w:r>
            <w:r>
              <w:rPr>
                <w:color w:val="231F20"/>
                <w:sz w:val="12"/>
              </w:rPr>
              <w:t>L</w:t>
            </w:r>
            <w:r>
              <w:rPr>
                <w:color w:val="231F20"/>
                <w:sz w:val="15"/>
              </w:rPr>
              <w:t>-asparaginase,</w:t>
            </w:r>
            <w:r>
              <w:rPr>
                <w:color w:val="231F20"/>
                <w:spacing w:val="-8"/>
                <w:sz w:val="15"/>
              </w:rPr>
              <w:t> </w:t>
            </w:r>
            <w:r>
              <w:rPr>
                <w:color w:val="231F20"/>
                <w:sz w:val="15"/>
              </w:rPr>
              <w:t>oral</w:t>
            </w:r>
            <w:r>
              <w:rPr>
                <w:color w:val="231F20"/>
                <w:spacing w:val="-7"/>
                <w:sz w:val="15"/>
              </w:rPr>
              <w:t> </w:t>
            </w:r>
            <w:r>
              <w:rPr>
                <w:color w:val="231F20"/>
                <w:spacing w:val="-2"/>
                <w:sz w:val="15"/>
              </w:rPr>
              <w:t>contraceptives)</w:t>
            </w:r>
          </w:p>
          <w:p>
            <w:pPr>
              <w:pStyle w:val="TableParagraph"/>
              <w:spacing w:line="168" w:lineRule="exact"/>
              <w:ind w:left="301"/>
              <w:rPr>
                <w:sz w:val="15"/>
              </w:rPr>
            </w:pPr>
            <w:r>
              <w:rPr>
                <w:color w:val="231F20"/>
                <w:spacing w:val="-2"/>
                <w:sz w:val="15"/>
              </w:rPr>
              <w:t>Acute</w:t>
            </w:r>
            <w:r>
              <w:rPr>
                <w:color w:val="231F20"/>
                <w:spacing w:val="-4"/>
                <w:sz w:val="15"/>
              </w:rPr>
              <w:t> </w:t>
            </w:r>
            <w:r>
              <w:rPr>
                <w:color w:val="231F20"/>
                <w:spacing w:val="-2"/>
                <w:sz w:val="15"/>
              </w:rPr>
              <w:t>systemic</w:t>
            </w:r>
            <w:r>
              <w:rPr>
                <w:color w:val="231F20"/>
                <w:spacing w:val="-3"/>
                <w:sz w:val="15"/>
              </w:rPr>
              <w:t> </w:t>
            </w:r>
            <w:r>
              <w:rPr>
                <w:color w:val="231F20"/>
                <w:spacing w:val="-2"/>
                <w:sz w:val="15"/>
              </w:rPr>
              <w:t>illness</w:t>
            </w:r>
            <w:r>
              <w:rPr>
                <w:color w:val="231F20"/>
                <w:spacing w:val="-3"/>
                <w:sz w:val="15"/>
              </w:rPr>
              <w:t> </w:t>
            </w:r>
            <w:r>
              <w:rPr>
                <w:color w:val="231F20"/>
                <w:spacing w:val="-2"/>
                <w:sz w:val="15"/>
              </w:rPr>
              <w:t>(e.g.,</w:t>
            </w:r>
            <w:r>
              <w:rPr>
                <w:color w:val="231F20"/>
                <w:spacing w:val="-3"/>
                <w:sz w:val="15"/>
              </w:rPr>
              <w:t> </w:t>
            </w:r>
            <w:r>
              <w:rPr>
                <w:color w:val="231F20"/>
                <w:spacing w:val="-2"/>
                <w:sz w:val="15"/>
              </w:rPr>
              <w:t>sepsis,</w:t>
            </w:r>
            <w:r>
              <w:rPr>
                <w:color w:val="231F20"/>
                <w:spacing w:val="-3"/>
                <w:sz w:val="15"/>
              </w:rPr>
              <w:t> </w:t>
            </w:r>
            <w:r>
              <w:rPr>
                <w:color w:val="231F20"/>
                <w:spacing w:val="-2"/>
                <w:sz w:val="15"/>
              </w:rPr>
              <w:t>disseminated</w:t>
            </w:r>
            <w:r>
              <w:rPr>
                <w:color w:val="231F20"/>
                <w:spacing w:val="-3"/>
                <w:sz w:val="15"/>
              </w:rPr>
              <w:t> </w:t>
            </w:r>
            <w:r>
              <w:rPr>
                <w:color w:val="231F20"/>
                <w:spacing w:val="-2"/>
                <w:sz w:val="15"/>
              </w:rPr>
              <w:t>intravascular</w:t>
            </w:r>
            <w:r>
              <w:rPr>
                <w:color w:val="231F20"/>
                <w:spacing w:val="-3"/>
                <w:sz w:val="15"/>
              </w:rPr>
              <w:t> </w:t>
            </w:r>
            <w:r>
              <w:rPr>
                <w:color w:val="231F20"/>
                <w:spacing w:val="-2"/>
                <w:sz w:val="15"/>
              </w:rPr>
              <w:t>coagulation)</w:t>
            </w:r>
          </w:p>
          <w:p>
            <w:pPr>
              <w:pStyle w:val="TableParagraph"/>
              <w:spacing w:line="230" w:lineRule="auto" w:before="3"/>
              <w:ind w:left="301" w:right="268"/>
              <w:rPr>
                <w:sz w:val="15"/>
              </w:rPr>
            </w:pPr>
            <w:r>
              <w:rPr>
                <w:color w:val="231F20"/>
                <w:spacing w:val="-2"/>
                <w:sz w:val="15"/>
              </w:rPr>
              <w:t>Chronic</w:t>
            </w:r>
            <w:r>
              <w:rPr>
                <w:color w:val="231F20"/>
                <w:spacing w:val="-4"/>
                <w:sz w:val="15"/>
              </w:rPr>
              <w:t> </w:t>
            </w:r>
            <w:r>
              <w:rPr>
                <w:color w:val="231F20"/>
                <w:spacing w:val="-2"/>
                <w:sz w:val="15"/>
              </w:rPr>
              <w:t>systemic</w:t>
            </w:r>
            <w:r>
              <w:rPr>
                <w:color w:val="231F20"/>
                <w:spacing w:val="-4"/>
                <w:sz w:val="15"/>
              </w:rPr>
              <w:t> </w:t>
            </w:r>
            <w:r>
              <w:rPr>
                <w:color w:val="231F20"/>
                <w:spacing w:val="-2"/>
                <w:sz w:val="15"/>
              </w:rPr>
              <w:t>illness</w:t>
            </w:r>
            <w:r>
              <w:rPr>
                <w:color w:val="231F20"/>
                <w:spacing w:val="-4"/>
                <w:sz w:val="15"/>
              </w:rPr>
              <w:t> </w:t>
            </w:r>
            <w:r>
              <w:rPr>
                <w:color w:val="231F20"/>
                <w:spacing w:val="-2"/>
                <w:sz w:val="15"/>
              </w:rPr>
              <w:t>(e.g.,</w:t>
            </w:r>
            <w:r>
              <w:rPr>
                <w:color w:val="231F20"/>
                <w:spacing w:val="-4"/>
                <w:sz w:val="15"/>
              </w:rPr>
              <w:t> </w:t>
            </w:r>
            <w:r>
              <w:rPr>
                <w:color w:val="231F20"/>
                <w:spacing w:val="-2"/>
                <w:sz w:val="15"/>
              </w:rPr>
              <w:t>inflammatory</w:t>
            </w:r>
            <w:r>
              <w:rPr>
                <w:color w:val="231F20"/>
                <w:spacing w:val="-4"/>
                <w:sz w:val="15"/>
              </w:rPr>
              <w:t> </w:t>
            </w:r>
            <w:r>
              <w:rPr>
                <w:color w:val="231F20"/>
                <w:spacing w:val="-2"/>
                <w:sz w:val="15"/>
              </w:rPr>
              <w:t>bowel</w:t>
            </w:r>
            <w:r>
              <w:rPr>
                <w:color w:val="231F20"/>
                <w:spacing w:val="-4"/>
                <w:sz w:val="15"/>
              </w:rPr>
              <w:t> </w:t>
            </w:r>
            <w:r>
              <w:rPr>
                <w:color w:val="231F20"/>
                <w:spacing w:val="-2"/>
                <w:sz w:val="15"/>
              </w:rPr>
              <w:t>disease,</w:t>
            </w:r>
            <w:r>
              <w:rPr>
                <w:color w:val="231F20"/>
                <w:spacing w:val="-4"/>
                <w:sz w:val="15"/>
              </w:rPr>
              <w:t> </w:t>
            </w:r>
            <w:r>
              <w:rPr>
                <w:color w:val="231F20"/>
                <w:spacing w:val="-2"/>
                <w:sz w:val="15"/>
              </w:rPr>
              <w:t>systemic</w:t>
            </w:r>
            <w:r>
              <w:rPr>
                <w:color w:val="231F20"/>
                <w:spacing w:val="-4"/>
                <w:sz w:val="15"/>
              </w:rPr>
              <w:t> </w:t>
            </w:r>
            <w:r>
              <w:rPr>
                <w:color w:val="231F20"/>
                <w:spacing w:val="-2"/>
                <w:sz w:val="15"/>
              </w:rPr>
              <w:t>lupus</w:t>
            </w:r>
            <w:r>
              <w:rPr>
                <w:color w:val="231F20"/>
                <w:spacing w:val="-4"/>
                <w:sz w:val="15"/>
              </w:rPr>
              <w:t> </w:t>
            </w:r>
            <w:r>
              <w:rPr>
                <w:color w:val="231F20"/>
                <w:spacing w:val="-2"/>
                <w:sz w:val="15"/>
              </w:rPr>
              <w:t>erythematosus,</w:t>
            </w:r>
            <w:r>
              <w:rPr>
                <w:color w:val="231F20"/>
                <w:spacing w:val="-4"/>
                <w:sz w:val="15"/>
              </w:rPr>
              <w:t> </w:t>
            </w:r>
            <w:r>
              <w:rPr>
                <w:color w:val="231F20"/>
                <w:spacing w:val="-2"/>
                <w:sz w:val="15"/>
              </w:rPr>
              <w:t>leukemia) </w:t>
            </w:r>
            <w:r>
              <w:rPr>
                <w:color w:val="231F20"/>
                <w:sz w:val="15"/>
              </w:rPr>
              <w:t>Nephrotic syndrome</w:t>
            </w:r>
          </w:p>
          <w:p>
            <w:pPr>
              <w:pStyle w:val="TableParagraph"/>
              <w:spacing w:line="170" w:lineRule="exact"/>
              <w:ind w:left="301"/>
              <w:rPr>
                <w:sz w:val="15"/>
              </w:rPr>
            </w:pPr>
            <w:r>
              <w:rPr>
                <w:color w:val="231F20"/>
                <w:spacing w:val="-2"/>
                <w:sz w:val="15"/>
              </w:rPr>
              <w:t>Inborn errors of</w:t>
            </w:r>
            <w:r>
              <w:rPr>
                <w:color w:val="231F20"/>
                <w:spacing w:val="-1"/>
                <w:sz w:val="15"/>
              </w:rPr>
              <w:t> </w:t>
            </w:r>
            <w:r>
              <w:rPr>
                <w:color w:val="231F20"/>
                <w:spacing w:val="-2"/>
                <w:sz w:val="15"/>
              </w:rPr>
              <w:t>metabolism (e.g.,</w:t>
            </w:r>
            <w:r>
              <w:rPr>
                <w:color w:val="231F20"/>
                <w:spacing w:val="-1"/>
                <w:sz w:val="15"/>
              </w:rPr>
              <w:t> </w:t>
            </w:r>
            <w:r>
              <w:rPr>
                <w:color w:val="231F20"/>
                <w:spacing w:val="-2"/>
                <w:sz w:val="15"/>
              </w:rPr>
              <w:t>homocystinuria)</w:t>
            </w:r>
          </w:p>
        </w:tc>
      </w:tr>
      <w:tr>
        <w:trPr>
          <w:trHeight w:val="1423" w:hRule="atLeast"/>
        </w:trPr>
        <w:tc>
          <w:tcPr>
            <w:tcW w:w="1932"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Blood</w:t>
            </w:r>
            <w:r>
              <w:rPr>
                <w:color w:val="231F20"/>
                <w:spacing w:val="23"/>
                <w:sz w:val="15"/>
              </w:rPr>
              <w:t> </w:t>
            </w:r>
            <w:r>
              <w:rPr>
                <w:color w:val="231F20"/>
                <w:spacing w:val="-2"/>
                <w:sz w:val="15"/>
              </w:rPr>
              <w:t>vessel</w:t>
            </w:r>
          </w:p>
        </w:tc>
        <w:tc>
          <w:tcPr>
            <w:tcW w:w="7810" w:type="dxa"/>
            <w:tcBorders>
              <w:top w:val="single" w:sz="4" w:space="0" w:color="FFFFFF"/>
              <w:bottom w:val="single" w:sz="8" w:space="0" w:color="231F20"/>
            </w:tcBorders>
            <w:shd w:val="clear" w:color="auto" w:fill="E8F5F1"/>
          </w:tcPr>
          <w:p>
            <w:pPr>
              <w:pStyle w:val="TableParagraph"/>
              <w:spacing w:line="171" w:lineRule="exact" w:before="42"/>
              <w:ind w:left="301"/>
              <w:rPr>
                <w:sz w:val="15"/>
              </w:rPr>
            </w:pPr>
            <w:r>
              <w:rPr>
                <w:color w:val="231F20"/>
                <w:spacing w:val="-2"/>
                <w:sz w:val="15"/>
              </w:rPr>
              <w:t>Infection/thrombophlebitis</w:t>
            </w:r>
          </w:p>
          <w:p>
            <w:pPr>
              <w:pStyle w:val="TableParagraph"/>
              <w:spacing w:line="230" w:lineRule="auto" w:before="2"/>
              <w:ind w:left="413" w:right="1350"/>
              <w:rPr>
                <w:sz w:val="15"/>
              </w:rPr>
            </w:pPr>
            <w:r>
              <w:rPr>
                <w:color w:val="231F20"/>
                <w:spacing w:val="-2"/>
                <w:sz w:val="15"/>
              </w:rPr>
              <w:t>Otitis</w:t>
            </w:r>
            <w:r>
              <w:rPr>
                <w:color w:val="231F20"/>
                <w:spacing w:val="-4"/>
                <w:sz w:val="15"/>
              </w:rPr>
              <w:t> </w:t>
            </w:r>
            <w:r>
              <w:rPr>
                <w:color w:val="231F20"/>
                <w:spacing w:val="-2"/>
                <w:sz w:val="15"/>
              </w:rPr>
              <w:t>media,</w:t>
            </w:r>
            <w:r>
              <w:rPr>
                <w:color w:val="231F20"/>
                <w:spacing w:val="-4"/>
                <w:sz w:val="15"/>
              </w:rPr>
              <w:t> </w:t>
            </w:r>
            <w:r>
              <w:rPr>
                <w:color w:val="231F20"/>
                <w:spacing w:val="-2"/>
                <w:sz w:val="15"/>
              </w:rPr>
              <w:t>mastoiditis,</w:t>
            </w:r>
            <w:r>
              <w:rPr>
                <w:color w:val="231F20"/>
                <w:spacing w:val="-4"/>
                <w:sz w:val="15"/>
              </w:rPr>
              <w:t> </w:t>
            </w:r>
            <w:r>
              <w:rPr>
                <w:color w:val="231F20"/>
                <w:spacing w:val="-2"/>
                <w:sz w:val="15"/>
              </w:rPr>
              <w:t>bacterial</w:t>
            </w:r>
            <w:r>
              <w:rPr>
                <w:color w:val="231F20"/>
                <w:spacing w:val="-4"/>
                <w:sz w:val="15"/>
              </w:rPr>
              <w:t> </w:t>
            </w:r>
            <w:r>
              <w:rPr>
                <w:color w:val="231F20"/>
                <w:spacing w:val="-2"/>
                <w:sz w:val="15"/>
              </w:rPr>
              <w:t>meningitis,</w:t>
            </w:r>
            <w:r>
              <w:rPr>
                <w:color w:val="231F20"/>
                <w:spacing w:val="-4"/>
                <w:sz w:val="15"/>
              </w:rPr>
              <w:t> </w:t>
            </w:r>
            <w:r>
              <w:rPr>
                <w:color w:val="231F20"/>
                <w:spacing w:val="-2"/>
                <w:sz w:val="15"/>
              </w:rPr>
              <w:t>sinusitis,</w:t>
            </w:r>
            <w:r>
              <w:rPr>
                <w:color w:val="231F20"/>
                <w:spacing w:val="-4"/>
                <w:sz w:val="15"/>
              </w:rPr>
              <w:t> </w:t>
            </w:r>
            <w:r>
              <w:rPr>
                <w:color w:val="231F20"/>
                <w:spacing w:val="-2"/>
                <w:sz w:val="15"/>
              </w:rPr>
              <w:t>dental</w:t>
            </w:r>
            <w:r>
              <w:rPr>
                <w:color w:val="231F20"/>
                <w:spacing w:val="-4"/>
                <w:sz w:val="15"/>
              </w:rPr>
              <w:t> </w:t>
            </w:r>
            <w:r>
              <w:rPr>
                <w:color w:val="231F20"/>
                <w:spacing w:val="-2"/>
                <w:sz w:val="15"/>
              </w:rPr>
              <w:t>abscess,</w:t>
            </w:r>
            <w:r>
              <w:rPr>
                <w:color w:val="231F20"/>
                <w:spacing w:val="-4"/>
                <w:sz w:val="15"/>
              </w:rPr>
              <w:t> </w:t>
            </w:r>
            <w:r>
              <w:rPr>
                <w:color w:val="231F20"/>
                <w:spacing w:val="-2"/>
                <w:sz w:val="15"/>
              </w:rPr>
              <w:t>pharyngitis </w:t>
            </w:r>
            <w:r>
              <w:rPr>
                <w:color w:val="231F20"/>
                <w:sz w:val="15"/>
              </w:rPr>
              <w:t>Lemierre syndrome</w:t>
            </w:r>
          </w:p>
          <w:p>
            <w:pPr>
              <w:pStyle w:val="TableParagraph"/>
              <w:spacing w:line="167" w:lineRule="exact"/>
              <w:ind w:left="413"/>
              <w:rPr>
                <w:sz w:val="15"/>
              </w:rPr>
            </w:pPr>
            <w:r>
              <w:rPr>
                <w:color w:val="231F20"/>
                <w:spacing w:val="-2"/>
                <w:w w:val="105"/>
                <w:sz w:val="15"/>
              </w:rPr>
              <w:t>Sepsis</w:t>
            </w:r>
          </w:p>
          <w:p>
            <w:pPr>
              <w:pStyle w:val="TableParagraph"/>
              <w:spacing w:line="168" w:lineRule="exact"/>
              <w:ind w:left="301"/>
              <w:rPr>
                <w:sz w:val="15"/>
              </w:rPr>
            </w:pPr>
            <w:r>
              <w:rPr>
                <w:color w:val="231F20"/>
                <w:spacing w:val="-2"/>
                <w:sz w:val="15"/>
              </w:rPr>
              <w:t>Trauma:</w:t>
            </w:r>
            <w:r>
              <w:rPr>
                <w:color w:val="231F20"/>
                <w:spacing w:val="-8"/>
                <w:sz w:val="15"/>
              </w:rPr>
              <w:t> </w:t>
            </w:r>
            <w:r>
              <w:rPr>
                <w:color w:val="231F20"/>
                <w:spacing w:val="-2"/>
                <w:sz w:val="15"/>
              </w:rPr>
              <w:t>skull</w:t>
            </w:r>
            <w:r>
              <w:rPr>
                <w:color w:val="231F20"/>
                <w:spacing w:val="-8"/>
                <w:sz w:val="15"/>
              </w:rPr>
              <w:t> </w:t>
            </w:r>
            <w:r>
              <w:rPr>
                <w:color w:val="231F20"/>
                <w:spacing w:val="-2"/>
                <w:sz w:val="15"/>
              </w:rPr>
              <w:t>fractures,</w:t>
            </w:r>
            <w:r>
              <w:rPr>
                <w:color w:val="231F20"/>
                <w:spacing w:val="-7"/>
                <w:sz w:val="15"/>
              </w:rPr>
              <w:t> </w:t>
            </w:r>
            <w:r>
              <w:rPr>
                <w:color w:val="231F20"/>
                <w:spacing w:val="-2"/>
                <w:sz w:val="15"/>
              </w:rPr>
              <w:t>closed</w:t>
            </w:r>
            <w:r>
              <w:rPr>
                <w:color w:val="231F20"/>
                <w:spacing w:val="-8"/>
                <w:sz w:val="15"/>
              </w:rPr>
              <w:t> </w:t>
            </w:r>
            <w:r>
              <w:rPr>
                <w:color w:val="231F20"/>
                <w:spacing w:val="-2"/>
                <w:sz w:val="15"/>
              </w:rPr>
              <w:t>hear</w:t>
            </w:r>
            <w:r>
              <w:rPr>
                <w:color w:val="231F20"/>
                <w:spacing w:val="-7"/>
                <w:sz w:val="15"/>
              </w:rPr>
              <w:t> </w:t>
            </w:r>
            <w:r>
              <w:rPr>
                <w:color w:val="231F20"/>
                <w:spacing w:val="-2"/>
                <w:sz w:val="15"/>
              </w:rPr>
              <w:t>trauma</w:t>
            </w:r>
          </w:p>
          <w:p>
            <w:pPr>
              <w:pStyle w:val="TableParagraph"/>
              <w:spacing w:line="230" w:lineRule="auto" w:before="3"/>
              <w:ind w:left="301" w:right="1911"/>
              <w:rPr>
                <w:sz w:val="15"/>
              </w:rPr>
            </w:pPr>
            <w:r>
              <w:rPr>
                <w:color w:val="231F20"/>
                <w:sz w:val="15"/>
              </w:rPr>
              <w:t>Compression: birth, occipital bone compression in neonates in supine lying </w:t>
            </w:r>
            <w:r>
              <w:rPr>
                <w:color w:val="231F20"/>
                <w:spacing w:val="-2"/>
                <w:sz w:val="15"/>
              </w:rPr>
              <w:t>Iatrogenic: neurosurgery, jugular lines, extracorporeal membrane </w:t>
            </w:r>
            <w:r>
              <w:rPr>
                <w:color w:val="231F20"/>
                <w:spacing w:val="-2"/>
                <w:sz w:val="15"/>
              </w:rPr>
              <w:t>oxygenation </w:t>
            </w:r>
            <w:r>
              <w:rPr>
                <w:color w:val="231F20"/>
                <w:sz w:val="15"/>
              </w:rPr>
              <w:t>Venous malformations (e.g., dural arteriovenous fistulas)</w:t>
            </w:r>
          </w:p>
        </w:tc>
      </w:tr>
    </w:tbl>
    <w:p>
      <w:pPr>
        <w:pStyle w:val="BodyText"/>
        <w:spacing w:before="59"/>
        <w:rPr>
          <w:i/>
          <w:sz w:val="20"/>
        </w:rPr>
      </w:pPr>
    </w:p>
    <w:tbl>
      <w:tblPr>
        <w:tblW w:w="0" w:type="auto"/>
        <w:jc w:val="left"/>
        <w:tblInd w:w="7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105"/>
        <w:gridCol w:w="3877"/>
        <w:gridCol w:w="3611"/>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601-</w:t>
            </w:r>
            <w:r>
              <w:rPr>
                <w:b/>
                <w:color w:val="FFFFFF"/>
                <w:spacing w:val="-10"/>
                <w:w w:val="105"/>
                <w:sz w:val="16"/>
              </w:rPr>
              <w:t>5</w:t>
            </w:r>
          </w:p>
        </w:tc>
        <w:tc>
          <w:tcPr>
            <w:tcW w:w="8593"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Differential</w:t>
            </w:r>
            <w:r>
              <w:rPr>
                <w:color w:val="FFFFFF"/>
                <w:spacing w:val="9"/>
                <w:w w:val="105"/>
                <w:sz w:val="16"/>
              </w:rPr>
              <w:t> </w:t>
            </w:r>
            <w:r>
              <w:rPr>
                <w:color w:val="FFFFFF"/>
                <w:w w:val="105"/>
                <w:sz w:val="16"/>
              </w:rPr>
              <w:t>Diagnosis</w:t>
            </w:r>
            <w:r>
              <w:rPr>
                <w:color w:val="FFFFFF"/>
                <w:spacing w:val="9"/>
                <w:w w:val="105"/>
                <w:sz w:val="16"/>
              </w:rPr>
              <w:t> </w:t>
            </w:r>
            <w:r>
              <w:rPr>
                <w:color w:val="FFFFFF"/>
                <w:w w:val="105"/>
                <w:sz w:val="16"/>
              </w:rPr>
              <w:t>of</w:t>
            </w:r>
            <w:r>
              <w:rPr>
                <w:color w:val="FFFFFF"/>
                <w:spacing w:val="9"/>
                <w:w w:val="105"/>
                <w:sz w:val="16"/>
              </w:rPr>
              <w:t> </w:t>
            </w:r>
            <w:r>
              <w:rPr>
                <w:color w:val="FFFFFF"/>
                <w:w w:val="105"/>
                <w:sz w:val="16"/>
              </w:rPr>
              <w:t>Stroke-Like</w:t>
            </w:r>
            <w:r>
              <w:rPr>
                <w:color w:val="FFFFFF"/>
                <w:spacing w:val="10"/>
                <w:w w:val="105"/>
                <w:sz w:val="16"/>
              </w:rPr>
              <w:t> </w:t>
            </w:r>
            <w:r>
              <w:rPr>
                <w:color w:val="FFFFFF"/>
                <w:w w:val="105"/>
                <w:sz w:val="16"/>
              </w:rPr>
              <w:t>Episodes</w:t>
            </w:r>
            <w:r>
              <w:rPr>
                <w:color w:val="FFFFFF"/>
                <w:spacing w:val="9"/>
                <w:w w:val="105"/>
                <w:sz w:val="16"/>
              </w:rPr>
              <w:t> </w:t>
            </w:r>
            <w:r>
              <w:rPr>
                <w:color w:val="FFFFFF"/>
                <w:w w:val="105"/>
                <w:sz w:val="16"/>
              </w:rPr>
              <w:t>in</w:t>
            </w:r>
            <w:r>
              <w:rPr>
                <w:color w:val="FFFFFF"/>
                <w:spacing w:val="9"/>
                <w:w w:val="105"/>
                <w:sz w:val="16"/>
              </w:rPr>
              <w:t> </w:t>
            </w:r>
            <w:r>
              <w:rPr>
                <w:color w:val="FFFFFF"/>
                <w:spacing w:val="-2"/>
                <w:w w:val="105"/>
                <w:sz w:val="16"/>
              </w:rPr>
              <w:t>Children</w:t>
            </w:r>
          </w:p>
        </w:tc>
      </w:tr>
      <w:tr>
        <w:trPr>
          <w:trHeight w:val="257" w:hRule="atLeast"/>
        </w:trPr>
        <w:tc>
          <w:tcPr>
            <w:tcW w:w="2253" w:type="dxa"/>
            <w:gridSpan w:val="2"/>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DISORDER</w:t>
            </w:r>
          </w:p>
        </w:tc>
        <w:tc>
          <w:tcPr>
            <w:tcW w:w="3877" w:type="dxa"/>
            <w:tcBorders>
              <w:bottom w:val="single" w:sz="4" w:space="0" w:color="231F20"/>
            </w:tcBorders>
            <w:shd w:val="clear" w:color="auto" w:fill="E8F5F1"/>
          </w:tcPr>
          <w:p>
            <w:pPr>
              <w:pStyle w:val="TableParagraph"/>
              <w:spacing w:before="47"/>
              <w:ind w:left="57" w:right="57"/>
              <w:jc w:val="center"/>
              <w:rPr>
                <w:b/>
                <w:sz w:val="15"/>
              </w:rPr>
            </w:pPr>
            <w:r>
              <w:rPr>
                <w:b/>
                <w:color w:val="231F20"/>
                <w:w w:val="110"/>
                <w:sz w:val="15"/>
              </w:rPr>
              <w:t>CLINICAL</w:t>
            </w:r>
            <w:r>
              <w:rPr>
                <w:b/>
                <w:color w:val="231F20"/>
                <w:spacing w:val="4"/>
                <w:w w:val="110"/>
                <w:sz w:val="15"/>
              </w:rPr>
              <w:t> </w:t>
            </w:r>
            <w:r>
              <w:rPr>
                <w:b/>
                <w:color w:val="231F20"/>
                <w:w w:val="110"/>
                <w:sz w:val="15"/>
              </w:rPr>
              <w:t>DISTINCTION</w:t>
            </w:r>
            <w:r>
              <w:rPr>
                <w:b/>
                <w:color w:val="231F20"/>
                <w:spacing w:val="4"/>
                <w:w w:val="110"/>
                <w:sz w:val="15"/>
              </w:rPr>
              <w:t> </w:t>
            </w:r>
            <w:r>
              <w:rPr>
                <w:b/>
                <w:color w:val="231F20"/>
                <w:w w:val="110"/>
                <w:sz w:val="15"/>
              </w:rPr>
              <w:t>FROM</w:t>
            </w:r>
            <w:r>
              <w:rPr>
                <w:b/>
                <w:color w:val="231F20"/>
                <w:spacing w:val="5"/>
                <w:w w:val="110"/>
                <w:sz w:val="15"/>
              </w:rPr>
              <w:t> </w:t>
            </w:r>
            <w:r>
              <w:rPr>
                <w:b/>
                <w:color w:val="231F20"/>
                <w:spacing w:val="-2"/>
                <w:w w:val="110"/>
                <w:sz w:val="15"/>
              </w:rPr>
              <w:t>STROKE</w:t>
            </w:r>
          </w:p>
        </w:tc>
        <w:tc>
          <w:tcPr>
            <w:tcW w:w="3611" w:type="dxa"/>
            <w:tcBorders>
              <w:bottom w:val="single" w:sz="4" w:space="0" w:color="231F20"/>
            </w:tcBorders>
            <w:shd w:val="clear" w:color="auto" w:fill="E8F5F1"/>
          </w:tcPr>
          <w:p>
            <w:pPr>
              <w:pStyle w:val="TableParagraph"/>
              <w:spacing w:before="47"/>
              <w:ind w:left="428"/>
              <w:rPr>
                <w:b/>
                <w:sz w:val="15"/>
              </w:rPr>
            </w:pPr>
            <w:r>
              <w:rPr>
                <w:b/>
                <w:color w:val="231F20"/>
                <w:w w:val="110"/>
                <w:sz w:val="15"/>
              </w:rPr>
              <w:t>IMAGING</w:t>
            </w:r>
            <w:r>
              <w:rPr>
                <w:b/>
                <w:color w:val="231F20"/>
                <w:spacing w:val="20"/>
                <w:w w:val="110"/>
                <w:sz w:val="15"/>
              </w:rPr>
              <w:t> </w:t>
            </w:r>
            <w:r>
              <w:rPr>
                <w:b/>
                <w:color w:val="231F20"/>
                <w:w w:val="110"/>
                <w:sz w:val="15"/>
              </w:rPr>
              <w:t>DISTINCTION</w:t>
            </w:r>
            <w:r>
              <w:rPr>
                <w:b/>
                <w:color w:val="231F20"/>
                <w:spacing w:val="20"/>
                <w:w w:val="110"/>
                <w:sz w:val="15"/>
              </w:rPr>
              <w:t> </w:t>
            </w:r>
            <w:r>
              <w:rPr>
                <w:b/>
                <w:color w:val="231F20"/>
                <w:w w:val="110"/>
                <w:sz w:val="15"/>
              </w:rPr>
              <w:t>FROM</w:t>
            </w:r>
            <w:r>
              <w:rPr>
                <w:b/>
                <w:color w:val="231F20"/>
                <w:spacing w:val="20"/>
                <w:w w:val="110"/>
                <w:sz w:val="15"/>
              </w:rPr>
              <w:t> </w:t>
            </w:r>
            <w:r>
              <w:rPr>
                <w:b/>
                <w:color w:val="231F20"/>
                <w:spacing w:val="-2"/>
                <w:w w:val="110"/>
                <w:sz w:val="15"/>
              </w:rPr>
              <w:t>STROKE</w:t>
            </w:r>
          </w:p>
        </w:tc>
      </w:tr>
      <w:tr>
        <w:trPr>
          <w:trHeight w:val="593" w:hRule="atLeast"/>
        </w:trPr>
        <w:tc>
          <w:tcPr>
            <w:tcW w:w="2253"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w w:val="105"/>
                <w:sz w:val="15"/>
              </w:rPr>
              <w:t>Migraine</w:t>
            </w:r>
          </w:p>
        </w:tc>
        <w:tc>
          <w:tcPr>
            <w:tcW w:w="3877" w:type="dxa"/>
            <w:tcBorders>
              <w:top w:val="single" w:sz="4" w:space="0" w:color="231F20"/>
              <w:bottom w:val="single" w:sz="4" w:space="0" w:color="FFFFFF"/>
            </w:tcBorders>
            <w:shd w:val="clear" w:color="auto" w:fill="E8F5F1"/>
          </w:tcPr>
          <w:p>
            <w:pPr>
              <w:pStyle w:val="TableParagraph"/>
              <w:spacing w:line="230" w:lineRule="auto" w:before="52"/>
              <w:ind w:left="306" w:hanging="112"/>
              <w:rPr>
                <w:sz w:val="15"/>
              </w:rPr>
            </w:pPr>
            <w:r>
              <w:rPr>
                <w:color w:val="231F20"/>
                <w:sz w:val="15"/>
              </w:rPr>
              <w:t>Evolving or “marching” symptoms, short duration, </w:t>
            </w:r>
            <w:r>
              <w:rPr>
                <w:color w:val="231F20"/>
                <w:spacing w:val="-2"/>
                <w:sz w:val="15"/>
              </w:rPr>
              <w:t>complete resolution, headache, personal or </w:t>
            </w:r>
            <w:r>
              <w:rPr>
                <w:color w:val="231F20"/>
                <w:spacing w:val="-2"/>
                <w:sz w:val="15"/>
              </w:rPr>
              <w:t>family </w:t>
            </w:r>
            <w:r>
              <w:rPr>
                <w:color w:val="231F20"/>
                <w:sz w:val="15"/>
              </w:rPr>
              <w:t>history of migraine</w:t>
            </w:r>
          </w:p>
        </w:tc>
        <w:tc>
          <w:tcPr>
            <w:tcW w:w="3611" w:type="dxa"/>
            <w:tcBorders>
              <w:top w:val="single" w:sz="4" w:space="0" w:color="231F20"/>
              <w:bottom w:val="single" w:sz="4" w:space="0" w:color="FFFFFF"/>
            </w:tcBorders>
            <w:shd w:val="clear" w:color="auto" w:fill="E8F5F1"/>
          </w:tcPr>
          <w:p>
            <w:pPr>
              <w:pStyle w:val="TableParagraph"/>
              <w:spacing w:line="230" w:lineRule="auto" w:before="52"/>
              <w:ind w:left="191" w:right="1558"/>
              <w:rPr>
                <w:sz w:val="15"/>
              </w:rPr>
            </w:pPr>
            <w:r>
              <w:rPr>
                <w:color w:val="231F20"/>
                <w:sz w:val="15"/>
              </w:rPr>
              <w:t>Typically normal</w:t>
            </w:r>
            <w:r>
              <w:rPr>
                <w:color w:val="231F20"/>
                <w:spacing w:val="40"/>
                <w:sz w:val="15"/>
              </w:rPr>
              <w:t> </w:t>
            </w:r>
            <w:r>
              <w:rPr>
                <w:color w:val="231F20"/>
                <w:sz w:val="15"/>
              </w:rPr>
              <w:t>Migrainous</w:t>
            </w:r>
            <w:r>
              <w:rPr>
                <w:color w:val="231F20"/>
                <w:spacing w:val="-12"/>
                <w:sz w:val="15"/>
              </w:rPr>
              <w:t> </w:t>
            </w:r>
            <w:r>
              <w:rPr>
                <w:color w:val="231F20"/>
                <w:sz w:val="15"/>
              </w:rPr>
              <w:t>infarction</w:t>
            </w:r>
            <w:r>
              <w:rPr>
                <w:color w:val="231F20"/>
                <w:spacing w:val="-11"/>
                <w:sz w:val="15"/>
              </w:rPr>
              <w:t> </w:t>
            </w:r>
            <w:r>
              <w:rPr>
                <w:color w:val="231F20"/>
                <w:sz w:val="15"/>
              </w:rPr>
              <w:t>is</w:t>
            </w:r>
            <w:r>
              <w:rPr>
                <w:color w:val="231F20"/>
                <w:spacing w:val="-11"/>
                <w:sz w:val="15"/>
              </w:rPr>
              <w:t> </w:t>
            </w:r>
            <w:r>
              <w:rPr>
                <w:color w:val="231F20"/>
                <w:sz w:val="15"/>
              </w:rPr>
              <w:t>rare</w:t>
            </w:r>
          </w:p>
        </w:tc>
      </w:tr>
      <w:tr>
        <w:trPr>
          <w:trHeight w:val="420"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Seizure</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6" w:right="258" w:hanging="112"/>
              <w:rPr>
                <w:sz w:val="15"/>
              </w:rPr>
            </w:pPr>
            <w:r>
              <w:rPr>
                <w:color w:val="231F20"/>
                <w:sz w:val="15"/>
              </w:rPr>
              <w:t>Positive</w:t>
            </w:r>
            <w:r>
              <w:rPr>
                <w:color w:val="231F20"/>
                <w:spacing w:val="-12"/>
                <w:sz w:val="15"/>
              </w:rPr>
              <w:t> </w:t>
            </w:r>
            <w:r>
              <w:rPr>
                <w:color w:val="231F20"/>
                <w:sz w:val="15"/>
              </w:rPr>
              <w:t>symptoms,</w:t>
            </w:r>
            <w:r>
              <w:rPr>
                <w:color w:val="231F20"/>
                <w:spacing w:val="-11"/>
                <w:sz w:val="15"/>
              </w:rPr>
              <w:t> </w:t>
            </w:r>
            <w:r>
              <w:rPr>
                <w:color w:val="231F20"/>
                <w:sz w:val="15"/>
              </w:rPr>
              <w:t>Todd</w:t>
            </w:r>
            <w:r>
              <w:rPr>
                <w:color w:val="231F20"/>
                <w:spacing w:val="-11"/>
                <w:sz w:val="15"/>
              </w:rPr>
              <w:t> </w:t>
            </w:r>
            <w:r>
              <w:rPr>
                <w:color w:val="231F20"/>
                <w:sz w:val="15"/>
              </w:rPr>
              <w:t>paralysis</w:t>
            </w:r>
            <w:r>
              <w:rPr>
                <w:color w:val="231F20"/>
                <w:spacing w:val="-12"/>
                <w:sz w:val="15"/>
              </w:rPr>
              <w:t> </w:t>
            </w:r>
            <w:r>
              <w:rPr>
                <w:color w:val="231F20"/>
                <w:sz w:val="15"/>
              </w:rPr>
              <w:t>is</w:t>
            </w:r>
            <w:r>
              <w:rPr>
                <w:color w:val="231F20"/>
                <w:spacing w:val="-11"/>
                <w:sz w:val="15"/>
              </w:rPr>
              <w:t> </w:t>
            </w:r>
            <w:r>
              <w:rPr>
                <w:color w:val="231F20"/>
                <w:sz w:val="15"/>
              </w:rPr>
              <w:t>postseizure and limited</w:t>
            </w:r>
          </w:p>
        </w:tc>
        <w:tc>
          <w:tcPr>
            <w:tcW w:w="3611" w:type="dxa"/>
            <w:tcBorders>
              <w:top w:val="single" w:sz="4" w:space="0" w:color="FFFFFF"/>
              <w:bottom w:val="single" w:sz="4" w:space="0" w:color="FFFFFF"/>
            </w:tcBorders>
            <w:shd w:val="clear" w:color="auto" w:fill="E8F5F1"/>
          </w:tcPr>
          <w:p>
            <w:pPr>
              <w:pStyle w:val="TableParagraph"/>
              <w:spacing w:line="230" w:lineRule="auto" w:before="48"/>
              <w:ind w:left="303" w:hanging="112"/>
              <w:rPr>
                <w:sz w:val="15"/>
              </w:rPr>
            </w:pPr>
            <w:r>
              <w:rPr>
                <w:color w:val="231F20"/>
                <w:spacing w:val="-2"/>
                <w:sz w:val="15"/>
              </w:rPr>
              <w:t>Normal</w:t>
            </w:r>
            <w:r>
              <w:rPr>
                <w:color w:val="231F20"/>
                <w:spacing w:val="-5"/>
                <w:sz w:val="15"/>
              </w:rPr>
              <w:t> </w:t>
            </w:r>
            <w:r>
              <w:rPr>
                <w:color w:val="231F20"/>
                <w:spacing w:val="-2"/>
                <w:sz w:val="15"/>
              </w:rPr>
              <w:t>or</w:t>
            </w:r>
            <w:r>
              <w:rPr>
                <w:color w:val="231F20"/>
                <w:spacing w:val="-5"/>
                <w:sz w:val="15"/>
              </w:rPr>
              <w:t> </w:t>
            </w:r>
            <w:r>
              <w:rPr>
                <w:color w:val="231F20"/>
                <w:spacing w:val="-2"/>
                <w:sz w:val="15"/>
              </w:rPr>
              <w:t>may</w:t>
            </w:r>
            <w:r>
              <w:rPr>
                <w:color w:val="231F20"/>
                <w:spacing w:val="-5"/>
                <w:sz w:val="15"/>
              </w:rPr>
              <w:t> </w:t>
            </w:r>
            <w:r>
              <w:rPr>
                <w:color w:val="231F20"/>
                <w:spacing w:val="-2"/>
                <w:sz w:val="15"/>
              </w:rPr>
              <w:t>identify</w:t>
            </w:r>
            <w:r>
              <w:rPr>
                <w:color w:val="231F20"/>
                <w:spacing w:val="-5"/>
                <w:sz w:val="15"/>
              </w:rPr>
              <w:t> </w:t>
            </w:r>
            <w:r>
              <w:rPr>
                <w:color w:val="231F20"/>
                <w:spacing w:val="-2"/>
                <w:sz w:val="15"/>
              </w:rPr>
              <w:t>source</w:t>
            </w:r>
            <w:r>
              <w:rPr>
                <w:color w:val="231F20"/>
                <w:spacing w:val="-5"/>
                <w:sz w:val="15"/>
              </w:rPr>
              <w:t> </w:t>
            </w:r>
            <w:r>
              <w:rPr>
                <w:color w:val="231F20"/>
                <w:spacing w:val="-2"/>
                <w:sz w:val="15"/>
              </w:rPr>
              <w:t>of</w:t>
            </w:r>
            <w:r>
              <w:rPr>
                <w:color w:val="231F20"/>
                <w:spacing w:val="-5"/>
                <w:sz w:val="15"/>
              </w:rPr>
              <w:t> </w:t>
            </w:r>
            <w:r>
              <w:rPr>
                <w:color w:val="231F20"/>
                <w:spacing w:val="-2"/>
                <w:sz w:val="15"/>
              </w:rPr>
              <w:t>seizures</w:t>
            </w:r>
            <w:r>
              <w:rPr>
                <w:color w:val="231F20"/>
                <w:spacing w:val="-5"/>
                <w:sz w:val="15"/>
              </w:rPr>
              <w:t> </w:t>
            </w:r>
            <w:r>
              <w:rPr>
                <w:color w:val="231F20"/>
                <w:spacing w:val="-2"/>
                <w:sz w:val="15"/>
              </w:rPr>
              <w:t>(e.g., </w:t>
            </w:r>
            <w:r>
              <w:rPr>
                <w:color w:val="231F20"/>
                <w:sz w:val="15"/>
              </w:rPr>
              <w:t>malformation, old injury, etc.)</w:t>
            </w:r>
          </w:p>
        </w:tc>
      </w:tr>
      <w:tr>
        <w:trPr>
          <w:trHeight w:val="756"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Infection</w:t>
            </w:r>
          </w:p>
        </w:tc>
        <w:tc>
          <w:tcPr>
            <w:tcW w:w="3877" w:type="dxa"/>
            <w:tcBorders>
              <w:top w:val="single" w:sz="4" w:space="0" w:color="FFFFFF"/>
              <w:bottom w:val="single" w:sz="4" w:space="0" w:color="FFFFFF"/>
            </w:tcBorders>
            <w:shd w:val="clear" w:color="auto" w:fill="E8F5F1"/>
          </w:tcPr>
          <w:p>
            <w:pPr>
              <w:pStyle w:val="TableParagraph"/>
              <w:spacing w:before="42"/>
              <w:ind w:left="57" w:right="57"/>
              <w:jc w:val="center"/>
              <w:rPr>
                <w:sz w:val="15"/>
              </w:rPr>
            </w:pPr>
            <w:r>
              <w:rPr>
                <w:color w:val="231F20"/>
                <w:spacing w:val="-2"/>
                <w:sz w:val="15"/>
              </w:rPr>
              <w:t>Fever,</w:t>
            </w:r>
            <w:r>
              <w:rPr>
                <w:color w:val="231F20"/>
                <w:spacing w:val="1"/>
                <w:sz w:val="15"/>
              </w:rPr>
              <w:t> </w:t>
            </w:r>
            <w:r>
              <w:rPr>
                <w:color w:val="231F20"/>
                <w:spacing w:val="-2"/>
                <w:sz w:val="15"/>
              </w:rPr>
              <w:t>encephalopathy,</w:t>
            </w:r>
            <w:r>
              <w:rPr>
                <w:color w:val="231F20"/>
                <w:spacing w:val="2"/>
                <w:sz w:val="15"/>
              </w:rPr>
              <w:t> </w:t>
            </w:r>
            <w:r>
              <w:rPr>
                <w:color w:val="231F20"/>
                <w:spacing w:val="-2"/>
                <w:sz w:val="15"/>
              </w:rPr>
              <w:t>gradual</w:t>
            </w:r>
            <w:r>
              <w:rPr>
                <w:color w:val="231F20"/>
                <w:spacing w:val="2"/>
                <w:sz w:val="15"/>
              </w:rPr>
              <w:t> </w:t>
            </w:r>
            <w:r>
              <w:rPr>
                <w:color w:val="231F20"/>
                <w:spacing w:val="-2"/>
                <w:sz w:val="15"/>
              </w:rPr>
              <w:t>onset,</w:t>
            </w:r>
            <w:r>
              <w:rPr>
                <w:color w:val="231F20"/>
                <w:spacing w:val="2"/>
                <w:sz w:val="15"/>
              </w:rPr>
              <w:t> </w:t>
            </w:r>
            <w:r>
              <w:rPr>
                <w:color w:val="231F20"/>
                <w:spacing w:val="-2"/>
                <w:sz w:val="15"/>
              </w:rPr>
              <w:t>meningismus</w:t>
            </w:r>
          </w:p>
        </w:tc>
        <w:tc>
          <w:tcPr>
            <w:tcW w:w="3611" w:type="dxa"/>
            <w:tcBorders>
              <w:top w:val="single" w:sz="4" w:space="0" w:color="FFFFFF"/>
              <w:bottom w:val="single" w:sz="4" w:space="0" w:color="FFFFFF"/>
            </w:tcBorders>
            <w:shd w:val="clear" w:color="auto" w:fill="E8F5F1"/>
          </w:tcPr>
          <w:p>
            <w:pPr>
              <w:pStyle w:val="TableParagraph"/>
              <w:spacing w:line="230" w:lineRule="auto" w:before="48"/>
              <w:ind w:left="303" w:right="45" w:hanging="112"/>
              <w:rPr>
                <w:sz w:val="15"/>
              </w:rPr>
            </w:pPr>
            <w:r>
              <w:rPr>
                <w:color w:val="231F20"/>
                <w:spacing w:val="-2"/>
                <w:sz w:val="15"/>
              </w:rPr>
              <w:t>Normal</w:t>
            </w:r>
            <w:r>
              <w:rPr>
                <w:color w:val="231F20"/>
                <w:spacing w:val="-5"/>
                <w:sz w:val="15"/>
              </w:rPr>
              <w:t> </w:t>
            </w:r>
            <w:r>
              <w:rPr>
                <w:color w:val="231F20"/>
                <w:spacing w:val="-2"/>
                <w:sz w:val="15"/>
              </w:rPr>
              <w:t>or</w:t>
            </w:r>
            <w:r>
              <w:rPr>
                <w:color w:val="231F20"/>
                <w:spacing w:val="-5"/>
                <w:sz w:val="15"/>
              </w:rPr>
              <w:t> </w:t>
            </w:r>
            <w:r>
              <w:rPr>
                <w:color w:val="231F20"/>
                <w:spacing w:val="-2"/>
                <w:sz w:val="15"/>
              </w:rPr>
              <w:t>signs</w:t>
            </w:r>
            <w:r>
              <w:rPr>
                <w:color w:val="231F20"/>
                <w:spacing w:val="-5"/>
                <w:sz w:val="15"/>
              </w:rPr>
              <w:t> </w:t>
            </w:r>
            <w:r>
              <w:rPr>
                <w:color w:val="231F20"/>
                <w:spacing w:val="-2"/>
                <w:sz w:val="15"/>
              </w:rPr>
              <w:t>of</w:t>
            </w:r>
            <w:r>
              <w:rPr>
                <w:color w:val="231F20"/>
                <w:spacing w:val="-5"/>
                <w:sz w:val="15"/>
              </w:rPr>
              <w:t> </w:t>
            </w:r>
            <w:r>
              <w:rPr>
                <w:color w:val="231F20"/>
                <w:spacing w:val="-2"/>
                <w:sz w:val="15"/>
              </w:rPr>
              <w:t>encephalitis/cerebritis,</w:t>
            </w:r>
            <w:r>
              <w:rPr>
                <w:color w:val="231F20"/>
                <w:spacing w:val="-5"/>
                <w:sz w:val="15"/>
              </w:rPr>
              <w:t> </w:t>
            </w:r>
            <w:r>
              <w:rPr>
                <w:color w:val="231F20"/>
                <w:spacing w:val="-2"/>
                <w:sz w:val="15"/>
              </w:rPr>
              <w:t>which </w:t>
            </w:r>
            <w:r>
              <w:rPr>
                <w:color w:val="231F20"/>
                <w:sz w:val="15"/>
              </w:rPr>
              <w:t>are typically diffuse and bilateral. Arterial ischemic stroke and cerebral sinovenous thrombosis can occur in bacterial meningitis</w:t>
            </w:r>
          </w:p>
        </w:tc>
      </w:tr>
      <w:tr>
        <w:trPr>
          <w:trHeight w:val="924"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Demyelination</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6" w:right="258" w:hanging="112"/>
              <w:rPr>
                <w:sz w:val="15"/>
              </w:rPr>
            </w:pPr>
            <w:r>
              <w:rPr>
                <w:color w:val="231F20"/>
                <w:spacing w:val="-2"/>
                <w:sz w:val="15"/>
              </w:rPr>
              <w:t>Gradual</w:t>
            </w:r>
            <w:r>
              <w:rPr>
                <w:color w:val="231F20"/>
                <w:spacing w:val="-7"/>
                <w:sz w:val="15"/>
              </w:rPr>
              <w:t> </w:t>
            </w:r>
            <w:r>
              <w:rPr>
                <w:color w:val="231F20"/>
                <w:spacing w:val="-2"/>
                <w:sz w:val="15"/>
              </w:rPr>
              <w:t>onset,</w:t>
            </w:r>
            <w:r>
              <w:rPr>
                <w:color w:val="231F20"/>
                <w:spacing w:val="-7"/>
                <w:sz w:val="15"/>
              </w:rPr>
              <w:t> </w:t>
            </w:r>
            <w:r>
              <w:rPr>
                <w:color w:val="231F20"/>
                <w:spacing w:val="-2"/>
                <w:sz w:val="15"/>
              </w:rPr>
              <w:t>multifocal</w:t>
            </w:r>
            <w:r>
              <w:rPr>
                <w:color w:val="231F20"/>
                <w:spacing w:val="-7"/>
                <w:sz w:val="15"/>
              </w:rPr>
              <w:t> </w:t>
            </w:r>
            <w:r>
              <w:rPr>
                <w:color w:val="231F20"/>
                <w:spacing w:val="-2"/>
                <w:sz w:val="15"/>
              </w:rPr>
              <w:t>symptoms, encephalopathy</w:t>
            </w:r>
          </w:p>
          <w:p>
            <w:pPr>
              <w:pStyle w:val="TableParagraph"/>
              <w:spacing w:line="170" w:lineRule="exact"/>
              <w:ind w:left="194"/>
              <w:rPr>
                <w:sz w:val="15"/>
              </w:rPr>
            </w:pPr>
            <w:r>
              <w:rPr>
                <w:color w:val="231F20"/>
                <w:sz w:val="15"/>
              </w:rPr>
              <w:t>Accompanying</w:t>
            </w:r>
            <w:r>
              <w:rPr>
                <w:color w:val="231F20"/>
                <w:spacing w:val="-6"/>
                <w:sz w:val="15"/>
              </w:rPr>
              <w:t> </w:t>
            </w:r>
            <w:r>
              <w:rPr>
                <w:color w:val="231F20"/>
                <w:sz w:val="15"/>
              </w:rPr>
              <w:t>optic</w:t>
            </w:r>
            <w:r>
              <w:rPr>
                <w:color w:val="231F20"/>
                <w:spacing w:val="-6"/>
                <w:sz w:val="15"/>
              </w:rPr>
              <w:t> </w:t>
            </w:r>
            <w:r>
              <w:rPr>
                <w:color w:val="231F20"/>
                <w:sz w:val="15"/>
              </w:rPr>
              <w:t>neuritis</w:t>
            </w:r>
            <w:r>
              <w:rPr>
                <w:color w:val="231F20"/>
                <w:spacing w:val="-6"/>
                <w:sz w:val="15"/>
              </w:rPr>
              <w:t> </w:t>
            </w:r>
            <w:r>
              <w:rPr>
                <w:color w:val="231F20"/>
                <w:sz w:val="15"/>
              </w:rPr>
              <w:t>or</w:t>
            </w:r>
            <w:r>
              <w:rPr>
                <w:color w:val="231F20"/>
                <w:spacing w:val="-6"/>
                <w:sz w:val="15"/>
              </w:rPr>
              <w:t> </w:t>
            </w:r>
            <w:r>
              <w:rPr>
                <w:color w:val="231F20"/>
                <w:sz w:val="15"/>
              </w:rPr>
              <w:t>transverse</w:t>
            </w:r>
            <w:r>
              <w:rPr>
                <w:color w:val="231F20"/>
                <w:spacing w:val="-6"/>
                <w:sz w:val="15"/>
              </w:rPr>
              <w:t> </w:t>
            </w:r>
            <w:r>
              <w:rPr>
                <w:color w:val="231F20"/>
                <w:spacing w:val="-2"/>
                <w:sz w:val="15"/>
              </w:rPr>
              <w:t>myelitis</w:t>
            </w:r>
          </w:p>
        </w:tc>
        <w:tc>
          <w:tcPr>
            <w:tcW w:w="3611" w:type="dxa"/>
            <w:tcBorders>
              <w:top w:val="single" w:sz="4" w:space="0" w:color="FFFFFF"/>
              <w:bottom w:val="single" w:sz="4" w:space="0" w:color="FFFFFF"/>
            </w:tcBorders>
            <w:shd w:val="clear" w:color="auto" w:fill="E8F5F1"/>
          </w:tcPr>
          <w:p>
            <w:pPr>
              <w:pStyle w:val="TableParagraph"/>
              <w:spacing w:line="230" w:lineRule="auto" w:before="48"/>
              <w:ind w:left="303" w:right="45" w:hanging="112"/>
              <w:rPr>
                <w:sz w:val="15"/>
              </w:rPr>
            </w:pPr>
            <w:r>
              <w:rPr>
                <w:color w:val="231F20"/>
                <w:spacing w:val="-2"/>
                <w:sz w:val="15"/>
              </w:rPr>
              <w:t>Multifocal</w:t>
            </w:r>
            <w:r>
              <w:rPr>
                <w:color w:val="231F20"/>
                <w:spacing w:val="-10"/>
                <w:sz w:val="15"/>
              </w:rPr>
              <w:t> </w:t>
            </w:r>
            <w:r>
              <w:rPr>
                <w:color w:val="231F20"/>
                <w:spacing w:val="-2"/>
                <w:sz w:val="15"/>
              </w:rPr>
              <w:t>lesions,</w:t>
            </w:r>
            <w:r>
              <w:rPr>
                <w:color w:val="231F20"/>
                <w:spacing w:val="-9"/>
                <w:sz w:val="15"/>
              </w:rPr>
              <w:t> </w:t>
            </w:r>
            <w:r>
              <w:rPr>
                <w:color w:val="231F20"/>
                <w:spacing w:val="-2"/>
                <w:sz w:val="15"/>
              </w:rPr>
              <w:t>characteristic</w:t>
            </w:r>
            <w:r>
              <w:rPr>
                <w:color w:val="231F20"/>
                <w:spacing w:val="-9"/>
                <w:sz w:val="15"/>
              </w:rPr>
              <w:t> </w:t>
            </w:r>
            <w:r>
              <w:rPr>
                <w:color w:val="231F20"/>
                <w:spacing w:val="-2"/>
                <w:sz w:val="15"/>
              </w:rPr>
              <w:t>appearance</w:t>
            </w:r>
            <w:r>
              <w:rPr>
                <w:color w:val="231F20"/>
                <w:spacing w:val="-10"/>
                <w:sz w:val="15"/>
              </w:rPr>
              <w:t> </w:t>
            </w:r>
            <w:r>
              <w:rPr>
                <w:color w:val="231F20"/>
                <w:spacing w:val="-2"/>
                <w:sz w:val="15"/>
              </w:rPr>
              <w:t>(e.g., patchy</w:t>
            </w:r>
            <w:r>
              <w:rPr>
                <w:color w:val="231F20"/>
                <w:spacing w:val="-3"/>
                <w:sz w:val="15"/>
              </w:rPr>
              <w:t> </w:t>
            </w:r>
            <w:r>
              <w:rPr>
                <w:color w:val="231F20"/>
                <w:spacing w:val="-2"/>
                <w:sz w:val="15"/>
              </w:rPr>
              <w:t>in</w:t>
            </w:r>
            <w:r>
              <w:rPr>
                <w:color w:val="231F20"/>
                <w:spacing w:val="-3"/>
                <w:sz w:val="15"/>
              </w:rPr>
              <w:t> </w:t>
            </w:r>
            <w:r>
              <w:rPr>
                <w:color w:val="231F20"/>
                <w:spacing w:val="-2"/>
                <w:sz w:val="15"/>
              </w:rPr>
              <w:t>acute</w:t>
            </w:r>
            <w:r>
              <w:rPr>
                <w:color w:val="231F20"/>
                <w:spacing w:val="-3"/>
                <w:sz w:val="15"/>
              </w:rPr>
              <w:t> </w:t>
            </w:r>
            <w:r>
              <w:rPr>
                <w:color w:val="231F20"/>
                <w:spacing w:val="-2"/>
                <w:sz w:val="15"/>
              </w:rPr>
              <w:t>disseminated</w:t>
            </w:r>
            <w:r>
              <w:rPr>
                <w:color w:val="231F20"/>
                <w:spacing w:val="-3"/>
                <w:sz w:val="15"/>
              </w:rPr>
              <w:t> </w:t>
            </w:r>
            <w:r>
              <w:rPr>
                <w:color w:val="231F20"/>
                <w:spacing w:val="-2"/>
                <w:sz w:val="15"/>
              </w:rPr>
              <w:t>encephalomyelitis, </w:t>
            </w:r>
            <w:r>
              <w:rPr>
                <w:color w:val="231F20"/>
                <w:sz w:val="15"/>
              </w:rPr>
              <w:t>ovoid in multiple sclerosis), typical locations </w:t>
            </w:r>
            <w:r>
              <w:rPr>
                <w:color w:val="231F20"/>
                <w:spacing w:val="-4"/>
                <w:sz w:val="15"/>
              </w:rPr>
              <w:t>(e.g., pericallosal in multiple sclerosis), less likely </w:t>
            </w:r>
            <w:r>
              <w:rPr>
                <w:color w:val="231F20"/>
                <w:sz w:val="15"/>
              </w:rPr>
              <w:t>to show restricted diffusion</w:t>
            </w:r>
          </w:p>
        </w:tc>
      </w:tr>
      <w:tr>
        <w:trPr>
          <w:trHeight w:val="588"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Hypoglycemia</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6" w:hanging="112"/>
              <w:rPr>
                <w:sz w:val="15"/>
              </w:rPr>
            </w:pPr>
            <w:r>
              <w:rPr>
                <w:color w:val="231F20"/>
                <w:spacing w:val="-4"/>
                <w:sz w:val="15"/>
              </w:rPr>
              <w:t>Risk factor (e.g., insulin therapy), related to </w:t>
            </w:r>
            <w:r>
              <w:rPr>
                <w:color w:val="231F20"/>
                <w:spacing w:val="-4"/>
                <w:sz w:val="15"/>
              </w:rPr>
              <w:t>meals, </w:t>
            </w:r>
            <w:r>
              <w:rPr>
                <w:color w:val="231F20"/>
                <w:sz w:val="15"/>
              </w:rPr>
              <w:t>additional systemic symptoms</w:t>
            </w:r>
          </w:p>
        </w:tc>
        <w:tc>
          <w:tcPr>
            <w:tcW w:w="3611" w:type="dxa"/>
            <w:tcBorders>
              <w:top w:val="single" w:sz="4" w:space="0" w:color="FFFFFF"/>
              <w:bottom w:val="single" w:sz="4" w:space="0" w:color="FFFFFF"/>
            </w:tcBorders>
            <w:shd w:val="clear" w:color="auto" w:fill="E8F5F1"/>
          </w:tcPr>
          <w:p>
            <w:pPr>
              <w:pStyle w:val="TableParagraph"/>
              <w:spacing w:line="171" w:lineRule="exact" w:before="42"/>
              <w:ind w:left="191"/>
              <w:rPr>
                <w:sz w:val="15"/>
              </w:rPr>
            </w:pPr>
            <w:r>
              <w:rPr>
                <w:color w:val="231F20"/>
                <w:w w:val="90"/>
                <w:sz w:val="15"/>
              </w:rPr>
              <w:t>Bilateral,</w:t>
            </w:r>
            <w:r>
              <w:rPr>
                <w:color w:val="231F20"/>
                <w:spacing w:val="7"/>
                <w:sz w:val="15"/>
              </w:rPr>
              <w:t> </w:t>
            </w:r>
            <w:r>
              <w:rPr>
                <w:color w:val="231F20"/>
                <w:spacing w:val="-2"/>
                <w:sz w:val="15"/>
              </w:rPr>
              <w:t>symmetrical</w:t>
            </w:r>
          </w:p>
          <w:p>
            <w:pPr>
              <w:pStyle w:val="TableParagraph"/>
              <w:spacing w:line="230" w:lineRule="auto" w:before="2"/>
              <w:ind w:left="191" w:right="1569"/>
              <w:rPr>
                <w:sz w:val="15"/>
              </w:rPr>
            </w:pPr>
            <w:r>
              <w:rPr>
                <w:color w:val="231F20"/>
                <w:sz w:val="15"/>
              </w:rPr>
              <w:t>May</w:t>
            </w:r>
            <w:r>
              <w:rPr>
                <w:color w:val="231F20"/>
                <w:spacing w:val="-12"/>
                <w:sz w:val="15"/>
              </w:rPr>
              <w:t> </w:t>
            </w:r>
            <w:r>
              <w:rPr>
                <w:color w:val="231F20"/>
                <w:sz w:val="15"/>
              </w:rPr>
              <w:t>see</w:t>
            </w:r>
            <w:r>
              <w:rPr>
                <w:color w:val="231F20"/>
                <w:spacing w:val="-11"/>
                <w:sz w:val="15"/>
              </w:rPr>
              <w:t> </w:t>
            </w:r>
            <w:r>
              <w:rPr>
                <w:color w:val="231F20"/>
                <w:sz w:val="15"/>
              </w:rPr>
              <w:t>restricted</w:t>
            </w:r>
            <w:r>
              <w:rPr>
                <w:color w:val="231F20"/>
                <w:spacing w:val="-11"/>
                <w:sz w:val="15"/>
              </w:rPr>
              <w:t> </w:t>
            </w:r>
            <w:r>
              <w:rPr>
                <w:color w:val="231F20"/>
                <w:sz w:val="15"/>
              </w:rPr>
              <w:t>diffusion Posterior</w:t>
            </w:r>
            <w:r>
              <w:rPr>
                <w:color w:val="231F20"/>
                <w:spacing w:val="-6"/>
                <w:sz w:val="15"/>
              </w:rPr>
              <w:t> </w:t>
            </w:r>
            <w:r>
              <w:rPr>
                <w:color w:val="231F20"/>
                <w:sz w:val="15"/>
              </w:rPr>
              <w:t>dominant</w:t>
            </w:r>
            <w:r>
              <w:rPr>
                <w:color w:val="231F20"/>
                <w:spacing w:val="-5"/>
                <w:sz w:val="15"/>
              </w:rPr>
              <w:t> </w:t>
            </w:r>
            <w:r>
              <w:rPr>
                <w:color w:val="231F20"/>
                <w:spacing w:val="-2"/>
                <w:sz w:val="15"/>
              </w:rPr>
              <w:t>pattern</w:t>
            </w:r>
          </w:p>
        </w:tc>
      </w:tr>
      <w:tr>
        <w:trPr>
          <w:trHeight w:val="588" w:hRule="atLeast"/>
        </w:trPr>
        <w:tc>
          <w:tcPr>
            <w:tcW w:w="2253" w:type="dxa"/>
            <w:gridSpan w:val="2"/>
            <w:tcBorders>
              <w:top w:val="single" w:sz="4" w:space="0" w:color="FFFFFF"/>
              <w:bottom w:val="single" w:sz="4" w:space="0" w:color="FFFFFF"/>
            </w:tcBorders>
            <w:shd w:val="clear" w:color="auto" w:fill="E8F5F1"/>
          </w:tcPr>
          <w:p>
            <w:pPr>
              <w:pStyle w:val="TableParagraph"/>
              <w:spacing w:line="230" w:lineRule="auto" w:before="48"/>
              <w:ind w:left="187" w:right="231" w:hanging="112"/>
              <w:jc w:val="both"/>
              <w:rPr>
                <w:sz w:val="15"/>
              </w:rPr>
            </w:pPr>
            <w:r>
              <w:rPr>
                <w:color w:val="231F20"/>
                <w:sz w:val="15"/>
              </w:rPr>
              <w:t>Watershed</w:t>
            </w:r>
            <w:r>
              <w:rPr>
                <w:color w:val="231F20"/>
                <w:spacing w:val="-8"/>
                <w:sz w:val="15"/>
              </w:rPr>
              <w:t> </w:t>
            </w:r>
            <w:r>
              <w:rPr>
                <w:color w:val="231F20"/>
                <w:sz w:val="15"/>
              </w:rPr>
              <w:t>infarction</w:t>
            </w:r>
            <w:r>
              <w:rPr>
                <w:color w:val="231F20"/>
                <w:spacing w:val="-8"/>
                <w:sz w:val="15"/>
              </w:rPr>
              <w:t> </w:t>
            </w:r>
            <w:r>
              <w:rPr>
                <w:color w:val="231F20"/>
                <w:sz w:val="15"/>
              </w:rPr>
              <w:t>caused by</w:t>
            </w:r>
            <w:r>
              <w:rPr>
                <w:color w:val="231F20"/>
                <w:spacing w:val="-6"/>
                <w:sz w:val="15"/>
              </w:rPr>
              <w:t> </w:t>
            </w:r>
            <w:r>
              <w:rPr>
                <w:color w:val="231F20"/>
                <w:sz w:val="15"/>
              </w:rPr>
              <w:t>global</w:t>
            </w:r>
            <w:r>
              <w:rPr>
                <w:color w:val="231F20"/>
                <w:spacing w:val="-6"/>
                <w:sz w:val="15"/>
              </w:rPr>
              <w:t> </w:t>
            </w:r>
            <w:r>
              <w:rPr>
                <w:color w:val="231F20"/>
                <w:sz w:val="15"/>
              </w:rPr>
              <w:t>hypoxic–ischemic </w:t>
            </w:r>
            <w:r>
              <w:rPr>
                <w:color w:val="231F20"/>
                <w:spacing w:val="-2"/>
                <w:sz w:val="15"/>
              </w:rPr>
              <w:t>encephalopathy</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6" w:hanging="112"/>
              <w:rPr>
                <w:sz w:val="15"/>
              </w:rPr>
            </w:pPr>
            <w:r>
              <w:rPr>
                <w:color w:val="231F20"/>
                <w:spacing w:val="-2"/>
                <w:sz w:val="15"/>
              </w:rPr>
              <w:t>Risk</w:t>
            </w:r>
            <w:r>
              <w:rPr>
                <w:color w:val="231F20"/>
                <w:spacing w:val="-10"/>
                <w:sz w:val="15"/>
              </w:rPr>
              <w:t> </w:t>
            </w:r>
            <w:r>
              <w:rPr>
                <w:color w:val="231F20"/>
                <w:spacing w:val="-2"/>
                <w:sz w:val="15"/>
              </w:rPr>
              <w:t>factor</w:t>
            </w:r>
            <w:r>
              <w:rPr>
                <w:color w:val="231F20"/>
                <w:spacing w:val="-9"/>
                <w:sz w:val="15"/>
              </w:rPr>
              <w:t> </w:t>
            </w:r>
            <w:r>
              <w:rPr>
                <w:color w:val="231F20"/>
                <w:spacing w:val="-2"/>
                <w:sz w:val="15"/>
              </w:rPr>
              <w:t>(e.g.,</w:t>
            </w:r>
            <w:r>
              <w:rPr>
                <w:color w:val="231F20"/>
                <w:spacing w:val="-9"/>
                <w:sz w:val="15"/>
              </w:rPr>
              <w:t> </w:t>
            </w:r>
            <w:r>
              <w:rPr>
                <w:color w:val="231F20"/>
                <w:spacing w:val="-2"/>
                <w:sz w:val="15"/>
              </w:rPr>
              <w:t>hypotension,</w:t>
            </w:r>
            <w:r>
              <w:rPr>
                <w:color w:val="231F20"/>
                <w:spacing w:val="-10"/>
                <w:sz w:val="15"/>
              </w:rPr>
              <w:t> </w:t>
            </w:r>
            <w:r>
              <w:rPr>
                <w:color w:val="231F20"/>
                <w:spacing w:val="-2"/>
                <w:sz w:val="15"/>
              </w:rPr>
              <w:t>sepsis,</w:t>
            </w:r>
            <w:r>
              <w:rPr>
                <w:color w:val="231F20"/>
                <w:spacing w:val="-9"/>
                <w:sz w:val="15"/>
              </w:rPr>
              <w:t> </w:t>
            </w:r>
            <w:r>
              <w:rPr>
                <w:color w:val="231F20"/>
                <w:spacing w:val="-2"/>
                <w:sz w:val="15"/>
              </w:rPr>
              <w:t>heart</w:t>
            </w:r>
            <w:r>
              <w:rPr>
                <w:color w:val="231F20"/>
                <w:spacing w:val="-9"/>
                <w:sz w:val="15"/>
              </w:rPr>
              <w:t> </w:t>
            </w:r>
            <w:r>
              <w:rPr>
                <w:color w:val="231F20"/>
                <w:spacing w:val="-2"/>
                <w:sz w:val="15"/>
              </w:rPr>
              <w:t>disease), </w:t>
            </w:r>
            <w:r>
              <w:rPr>
                <w:color w:val="231F20"/>
                <w:sz w:val="15"/>
              </w:rPr>
              <w:t>bilateral deficits</w:t>
            </w:r>
          </w:p>
        </w:tc>
        <w:tc>
          <w:tcPr>
            <w:tcW w:w="3611" w:type="dxa"/>
            <w:tcBorders>
              <w:top w:val="single" w:sz="4" w:space="0" w:color="FFFFFF"/>
              <w:bottom w:val="single" w:sz="4" w:space="0" w:color="FFFFFF"/>
            </w:tcBorders>
            <w:shd w:val="clear" w:color="auto" w:fill="E8F5F1"/>
          </w:tcPr>
          <w:p>
            <w:pPr>
              <w:pStyle w:val="TableParagraph"/>
              <w:spacing w:line="230" w:lineRule="auto" w:before="48"/>
              <w:ind w:left="304" w:right="90" w:hanging="112"/>
              <w:rPr>
                <w:sz w:val="15"/>
              </w:rPr>
            </w:pPr>
            <w:r>
              <w:rPr>
                <w:color w:val="231F20"/>
                <w:spacing w:val="-2"/>
                <w:sz w:val="15"/>
              </w:rPr>
              <w:t>Bilateral, symmetric restricted diffusion in border zones between major arteries</w:t>
            </w:r>
            <w:r>
              <w:rPr>
                <w:color w:val="231F20"/>
                <w:spacing w:val="-1"/>
                <w:sz w:val="15"/>
              </w:rPr>
              <w:t> </w:t>
            </w:r>
            <w:r>
              <w:rPr>
                <w:color w:val="231F20"/>
                <w:spacing w:val="-2"/>
                <w:sz w:val="15"/>
              </w:rPr>
              <w:t>(watershed </w:t>
            </w:r>
            <w:r>
              <w:rPr>
                <w:color w:val="231F20"/>
                <w:spacing w:val="-2"/>
                <w:sz w:val="15"/>
              </w:rPr>
              <w:t>zones)</w:t>
            </w:r>
          </w:p>
        </w:tc>
      </w:tr>
      <w:tr>
        <w:trPr>
          <w:trHeight w:val="588" w:hRule="atLeast"/>
        </w:trPr>
        <w:tc>
          <w:tcPr>
            <w:tcW w:w="2253" w:type="dxa"/>
            <w:gridSpan w:val="2"/>
            <w:tcBorders>
              <w:top w:val="single" w:sz="4" w:space="0" w:color="FFFFFF"/>
              <w:bottom w:val="single" w:sz="4" w:space="0" w:color="FFFFFF"/>
            </w:tcBorders>
            <w:shd w:val="clear" w:color="auto" w:fill="E8F5F1"/>
          </w:tcPr>
          <w:p>
            <w:pPr>
              <w:pStyle w:val="TableParagraph"/>
              <w:spacing w:line="230" w:lineRule="auto" w:before="48"/>
              <w:ind w:left="187" w:hanging="112"/>
              <w:rPr>
                <w:sz w:val="15"/>
              </w:rPr>
            </w:pPr>
            <w:r>
              <w:rPr>
                <w:color w:val="231F20"/>
                <w:spacing w:val="-2"/>
                <w:sz w:val="15"/>
              </w:rPr>
              <w:t>Hypertensive </w:t>
            </w:r>
            <w:r>
              <w:rPr>
                <w:color w:val="231F20"/>
                <w:spacing w:val="-2"/>
                <w:sz w:val="15"/>
              </w:rPr>
              <w:t>encephalopathy </w:t>
            </w:r>
            <w:r>
              <w:rPr>
                <w:color w:val="231F20"/>
                <w:sz w:val="15"/>
              </w:rPr>
              <w:t>(posterior reversible </w:t>
            </w:r>
            <w:r>
              <w:rPr>
                <w:color w:val="231F20"/>
                <w:spacing w:val="-2"/>
                <w:sz w:val="15"/>
              </w:rPr>
              <w:t>leukoencephalopathy)</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7" w:right="258" w:hanging="112"/>
              <w:rPr>
                <w:sz w:val="15"/>
              </w:rPr>
            </w:pPr>
            <w:r>
              <w:rPr>
                <w:color w:val="231F20"/>
                <w:spacing w:val="-2"/>
                <w:sz w:val="15"/>
              </w:rPr>
              <w:t>Documented hypertension, bilateral </w:t>
            </w:r>
            <w:r>
              <w:rPr>
                <w:color w:val="231F20"/>
                <w:spacing w:val="-2"/>
                <w:sz w:val="15"/>
              </w:rPr>
              <w:t>visual </w:t>
            </w:r>
            <w:r>
              <w:rPr>
                <w:color w:val="231F20"/>
                <w:sz w:val="15"/>
              </w:rPr>
              <w:t>symptoms, encephalopathy</w:t>
            </w:r>
          </w:p>
        </w:tc>
        <w:tc>
          <w:tcPr>
            <w:tcW w:w="3611" w:type="dxa"/>
            <w:tcBorders>
              <w:top w:val="single" w:sz="4" w:space="0" w:color="FFFFFF"/>
              <w:bottom w:val="single" w:sz="4" w:space="0" w:color="FFFFFF"/>
            </w:tcBorders>
            <w:shd w:val="clear" w:color="auto" w:fill="E8F5F1"/>
          </w:tcPr>
          <w:p>
            <w:pPr>
              <w:pStyle w:val="TableParagraph"/>
              <w:spacing w:line="230" w:lineRule="auto" w:before="48"/>
              <w:ind w:left="304" w:right="433" w:hanging="112"/>
              <w:rPr>
                <w:sz w:val="15"/>
              </w:rPr>
            </w:pPr>
            <w:r>
              <w:rPr>
                <w:color w:val="231F20"/>
                <w:sz w:val="15"/>
              </w:rPr>
              <w:t>Posterior</w:t>
            </w:r>
            <w:r>
              <w:rPr>
                <w:color w:val="231F20"/>
                <w:spacing w:val="-12"/>
                <w:sz w:val="15"/>
              </w:rPr>
              <w:t> </w:t>
            </w:r>
            <w:r>
              <w:rPr>
                <w:color w:val="231F20"/>
                <w:sz w:val="15"/>
              </w:rPr>
              <w:t>dominant,</w:t>
            </w:r>
            <w:r>
              <w:rPr>
                <w:color w:val="231F20"/>
                <w:spacing w:val="-11"/>
                <w:sz w:val="15"/>
              </w:rPr>
              <w:t> </w:t>
            </w:r>
            <w:r>
              <w:rPr>
                <w:color w:val="231F20"/>
                <w:sz w:val="15"/>
              </w:rPr>
              <w:t>bilateral,</w:t>
            </w:r>
            <w:r>
              <w:rPr>
                <w:color w:val="231F20"/>
                <w:spacing w:val="-11"/>
                <w:sz w:val="15"/>
              </w:rPr>
              <w:t> </w:t>
            </w:r>
            <w:r>
              <w:rPr>
                <w:color w:val="231F20"/>
                <w:sz w:val="15"/>
              </w:rPr>
              <w:t>patchy</w:t>
            </w:r>
            <w:r>
              <w:rPr>
                <w:color w:val="231F20"/>
                <w:spacing w:val="-12"/>
                <w:sz w:val="15"/>
              </w:rPr>
              <w:t> </w:t>
            </w:r>
            <w:r>
              <w:rPr>
                <w:color w:val="231F20"/>
                <w:sz w:val="15"/>
              </w:rPr>
              <w:t>lesions involving</w:t>
            </w:r>
            <w:r>
              <w:rPr>
                <w:color w:val="231F20"/>
                <w:spacing w:val="-12"/>
                <w:sz w:val="15"/>
              </w:rPr>
              <w:t> </w:t>
            </w:r>
            <w:r>
              <w:rPr>
                <w:color w:val="231F20"/>
                <w:sz w:val="15"/>
              </w:rPr>
              <w:t>gray</w:t>
            </w:r>
            <w:r>
              <w:rPr>
                <w:color w:val="231F20"/>
                <w:spacing w:val="-11"/>
                <w:sz w:val="15"/>
              </w:rPr>
              <w:t> </w:t>
            </w:r>
            <w:r>
              <w:rPr>
                <w:color w:val="231F20"/>
                <w:sz w:val="15"/>
              </w:rPr>
              <w:t>and</w:t>
            </w:r>
            <w:r>
              <w:rPr>
                <w:color w:val="231F20"/>
                <w:spacing w:val="-11"/>
                <w:sz w:val="15"/>
              </w:rPr>
              <w:t> </w:t>
            </w:r>
            <w:r>
              <w:rPr>
                <w:color w:val="231F20"/>
                <w:sz w:val="15"/>
              </w:rPr>
              <w:t>white</w:t>
            </w:r>
            <w:r>
              <w:rPr>
                <w:color w:val="231F20"/>
                <w:spacing w:val="-12"/>
                <w:sz w:val="15"/>
              </w:rPr>
              <w:t> </w:t>
            </w:r>
            <w:r>
              <w:rPr>
                <w:color w:val="231F20"/>
                <w:sz w:val="15"/>
              </w:rPr>
              <w:t>matter,</w:t>
            </w:r>
            <w:r>
              <w:rPr>
                <w:color w:val="231F20"/>
                <w:spacing w:val="-11"/>
                <w:sz w:val="15"/>
              </w:rPr>
              <w:t> </w:t>
            </w:r>
            <w:r>
              <w:rPr>
                <w:color w:val="231F20"/>
                <w:sz w:val="15"/>
              </w:rPr>
              <w:t>usually</w:t>
            </w:r>
            <w:r>
              <w:rPr>
                <w:color w:val="231F20"/>
                <w:spacing w:val="-11"/>
                <w:sz w:val="15"/>
              </w:rPr>
              <w:t> </w:t>
            </w:r>
            <w:r>
              <w:rPr>
                <w:color w:val="231F20"/>
                <w:sz w:val="15"/>
              </w:rPr>
              <w:t>no restricted diffusion</w:t>
            </w:r>
          </w:p>
        </w:tc>
      </w:tr>
      <w:tr>
        <w:trPr>
          <w:trHeight w:val="924"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z w:val="15"/>
              </w:rPr>
              <w:t>Inborn</w:t>
            </w:r>
            <w:r>
              <w:rPr>
                <w:color w:val="231F20"/>
                <w:spacing w:val="-5"/>
                <w:sz w:val="15"/>
              </w:rPr>
              <w:t> </w:t>
            </w:r>
            <w:r>
              <w:rPr>
                <w:color w:val="231F20"/>
                <w:sz w:val="15"/>
              </w:rPr>
              <w:t>errors</w:t>
            </w:r>
            <w:r>
              <w:rPr>
                <w:color w:val="231F20"/>
                <w:spacing w:val="-4"/>
                <w:sz w:val="15"/>
              </w:rPr>
              <w:t> </w:t>
            </w:r>
            <w:r>
              <w:rPr>
                <w:color w:val="231F20"/>
                <w:sz w:val="15"/>
              </w:rPr>
              <w:t>of</w:t>
            </w:r>
            <w:r>
              <w:rPr>
                <w:color w:val="231F20"/>
                <w:spacing w:val="-4"/>
                <w:sz w:val="15"/>
              </w:rPr>
              <w:t> </w:t>
            </w:r>
            <w:r>
              <w:rPr>
                <w:color w:val="231F20"/>
                <w:spacing w:val="-2"/>
                <w:sz w:val="15"/>
              </w:rPr>
              <w:t>metabolism</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7" w:hanging="112"/>
              <w:rPr>
                <w:sz w:val="15"/>
              </w:rPr>
            </w:pPr>
            <w:r>
              <w:rPr>
                <w:color w:val="231F20"/>
                <w:spacing w:val="-2"/>
                <w:sz w:val="15"/>
              </w:rPr>
              <w:t>Preexisting</w:t>
            </w:r>
            <w:r>
              <w:rPr>
                <w:color w:val="231F20"/>
                <w:spacing w:val="-6"/>
                <w:sz w:val="15"/>
              </w:rPr>
              <w:t> </w:t>
            </w:r>
            <w:r>
              <w:rPr>
                <w:color w:val="231F20"/>
                <w:spacing w:val="-2"/>
                <w:sz w:val="15"/>
              </w:rPr>
              <w:t>delays/regression,</w:t>
            </w:r>
            <w:r>
              <w:rPr>
                <w:color w:val="231F20"/>
                <w:spacing w:val="-6"/>
                <w:sz w:val="15"/>
              </w:rPr>
              <w:t> </w:t>
            </w:r>
            <w:r>
              <w:rPr>
                <w:color w:val="231F20"/>
                <w:spacing w:val="-2"/>
                <w:sz w:val="15"/>
              </w:rPr>
              <w:t>multisystem</w:t>
            </w:r>
            <w:r>
              <w:rPr>
                <w:color w:val="231F20"/>
                <w:spacing w:val="-6"/>
                <w:sz w:val="15"/>
              </w:rPr>
              <w:t> </w:t>
            </w:r>
            <w:r>
              <w:rPr>
                <w:color w:val="231F20"/>
                <w:spacing w:val="-2"/>
                <w:sz w:val="15"/>
              </w:rPr>
              <w:t>disease, </w:t>
            </w:r>
            <w:r>
              <w:rPr>
                <w:color w:val="231F20"/>
                <w:sz w:val="15"/>
              </w:rPr>
              <w:t>abnormal biochemical profiles</w:t>
            </w:r>
          </w:p>
        </w:tc>
        <w:tc>
          <w:tcPr>
            <w:tcW w:w="3611" w:type="dxa"/>
            <w:tcBorders>
              <w:top w:val="single" w:sz="4" w:space="0" w:color="FFFFFF"/>
              <w:bottom w:val="single" w:sz="4" w:space="0" w:color="FFFFFF"/>
            </w:tcBorders>
            <w:shd w:val="clear" w:color="auto" w:fill="E8F5F1"/>
          </w:tcPr>
          <w:p>
            <w:pPr>
              <w:pStyle w:val="TableParagraph"/>
              <w:spacing w:line="230" w:lineRule="auto" w:before="48"/>
              <w:ind w:left="304" w:hanging="112"/>
              <w:rPr>
                <w:sz w:val="15"/>
              </w:rPr>
            </w:pPr>
            <w:r>
              <w:rPr>
                <w:color w:val="231F20"/>
                <w:spacing w:val="-2"/>
                <w:sz w:val="15"/>
              </w:rPr>
              <w:t>May</w:t>
            </w:r>
            <w:r>
              <w:rPr>
                <w:color w:val="231F20"/>
                <w:spacing w:val="-4"/>
                <w:sz w:val="15"/>
              </w:rPr>
              <w:t> </w:t>
            </w:r>
            <w:r>
              <w:rPr>
                <w:color w:val="231F20"/>
                <w:spacing w:val="-2"/>
                <w:sz w:val="15"/>
              </w:rPr>
              <w:t>have</w:t>
            </w:r>
            <w:r>
              <w:rPr>
                <w:color w:val="231F20"/>
                <w:spacing w:val="-4"/>
                <w:sz w:val="15"/>
              </w:rPr>
              <w:t> </w:t>
            </w:r>
            <w:r>
              <w:rPr>
                <w:color w:val="231F20"/>
                <w:spacing w:val="-2"/>
                <w:sz w:val="15"/>
              </w:rPr>
              <w:t>restricted</w:t>
            </w:r>
            <w:r>
              <w:rPr>
                <w:color w:val="231F20"/>
                <w:spacing w:val="-4"/>
                <w:sz w:val="15"/>
              </w:rPr>
              <w:t> </w:t>
            </w:r>
            <w:r>
              <w:rPr>
                <w:color w:val="231F20"/>
                <w:spacing w:val="-2"/>
                <w:sz w:val="15"/>
              </w:rPr>
              <w:t>diffusion</w:t>
            </w:r>
            <w:r>
              <w:rPr>
                <w:color w:val="231F20"/>
                <w:spacing w:val="-4"/>
                <w:sz w:val="15"/>
              </w:rPr>
              <w:t> </w:t>
            </w:r>
            <w:r>
              <w:rPr>
                <w:color w:val="231F20"/>
                <w:spacing w:val="-2"/>
                <w:sz w:val="15"/>
              </w:rPr>
              <w:t>lesions</w:t>
            </w:r>
            <w:r>
              <w:rPr>
                <w:color w:val="231F20"/>
                <w:spacing w:val="-4"/>
                <w:sz w:val="15"/>
              </w:rPr>
              <w:t> </w:t>
            </w:r>
            <w:r>
              <w:rPr>
                <w:color w:val="231F20"/>
                <w:spacing w:val="-2"/>
                <w:sz w:val="15"/>
              </w:rPr>
              <w:t>but</w:t>
            </w:r>
            <w:r>
              <w:rPr>
                <w:color w:val="231F20"/>
                <w:spacing w:val="-4"/>
                <w:sz w:val="15"/>
              </w:rPr>
              <w:t> </w:t>
            </w:r>
            <w:r>
              <w:rPr>
                <w:color w:val="231F20"/>
                <w:spacing w:val="-2"/>
                <w:sz w:val="15"/>
              </w:rPr>
              <w:t>bilateral, </w:t>
            </w:r>
            <w:r>
              <w:rPr>
                <w:color w:val="231F20"/>
                <w:sz w:val="15"/>
              </w:rPr>
              <w:t>symmetrical,</w:t>
            </w:r>
            <w:r>
              <w:rPr>
                <w:color w:val="231F20"/>
                <w:spacing w:val="-12"/>
                <w:sz w:val="15"/>
              </w:rPr>
              <w:t> </w:t>
            </w:r>
            <w:r>
              <w:rPr>
                <w:color w:val="231F20"/>
                <w:sz w:val="15"/>
              </w:rPr>
              <w:t>not</w:t>
            </w:r>
            <w:r>
              <w:rPr>
                <w:color w:val="231F20"/>
                <w:spacing w:val="-11"/>
                <w:sz w:val="15"/>
              </w:rPr>
              <w:t> </w:t>
            </w:r>
            <w:r>
              <w:rPr>
                <w:color w:val="231F20"/>
                <w:sz w:val="15"/>
              </w:rPr>
              <w:t>within</w:t>
            </w:r>
            <w:r>
              <w:rPr>
                <w:color w:val="231F20"/>
                <w:spacing w:val="-11"/>
                <w:sz w:val="15"/>
              </w:rPr>
              <w:t> </w:t>
            </w:r>
            <w:r>
              <w:rPr>
                <w:color w:val="231F20"/>
                <w:sz w:val="15"/>
              </w:rPr>
              <w:t>vascular</w:t>
            </w:r>
            <w:r>
              <w:rPr>
                <w:color w:val="231F20"/>
                <w:spacing w:val="-12"/>
                <w:sz w:val="15"/>
              </w:rPr>
              <w:t> </w:t>
            </w:r>
            <w:r>
              <w:rPr>
                <w:color w:val="231F20"/>
                <w:sz w:val="15"/>
              </w:rPr>
              <w:t>territories.</w:t>
            </w:r>
            <w:r>
              <w:rPr>
                <w:color w:val="231F20"/>
                <w:spacing w:val="-11"/>
                <w:sz w:val="15"/>
              </w:rPr>
              <w:t> </w:t>
            </w:r>
            <w:r>
              <w:rPr>
                <w:color w:val="231F20"/>
                <w:sz w:val="15"/>
              </w:rPr>
              <w:t>MR spectroscopy changes (e.g., high lactate in </w:t>
            </w:r>
            <w:r>
              <w:rPr>
                <w:color w:val="231F20"/>
                <w:spacing w:val="-2"/>
                <w:sz w:val="15"/>
              </w:rPr>
              <w:t>mitochondrial</w:t>
            </w:r>
            <w:r>
              <w:rPr>
                <w:color w:val="231F20"/>
                <w:spacing w:val="-7"/>
                <w:sz w:val="15"/>
              </w:rPr>
              <w:t> </w:t>
            </w:r>
            <w:r>
              <w:rPr>
                <w:color w:val="231F20"/>
                <w:spacing w:val="-2"/>
                <w:sz w:val="15"/>
              </w:rPr>
              <w:t>myopathy,</w:t>
            </w:r>
            <w:r>
              <w:rPr>
                <w:color w:val="231F20"/>
                <w:spacing w:val="-7"/>
                <w:sz w:val="15"/>
              </w:rPr>
              <w:t> </w:t>
            </w:r>
            <w:r>
              <w:rPr>
                <w:color w:val="231F20"/>
                <w:spacing w:val="-2"/>
                <w:sz w:val="15"/>
              </w:rPr>
              <w:t>encephalopathy,</w:t>
            </w:r>
            <w:r>
              <w:rPr>
                <w:color w:val="231F20"/>
                <w:spacing w:val="-7"/>
                <w:sz w:val="15"/>
              </w:rPr>
              <w:t> </w:t>
            </w:r>
            <w:r>
              <w:rPr>
                <w:color w:val="231F20"/>
                <w:spacing w:val="-2"/>
                <w:sz w:val="15"/>
              </w:rPr>
              <w:t>lactic </w:t>
            </w:r>
            <w:r>
              <w:rPr>
                <w:color w:val="231F20"/>
                <w:sz w:val="15"/>
              </w:rPr>
              <w:t>acidosis, and stroke-like episodes)</w:t>
            </w:r>
          </w:p>
        </w:tc>
      </w:tr>
      <w:tr>
        <w:trPr>
          <w:trHeight w:val="420"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Vestibulopathy</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7" w:hanging="112"/>
              <w:rPr>
                <w:sz w:val="15"/>
              </w:rPr>
            </w:pPr>
            <w:r>
              <w:rPr>
                <w:color w:val="231F20"/>
                <w:spacing w:val="-2"/>
                <w:sz w:val="15"/>
              </w:rPr>
              <w:t>Symptoms</w:t>
            </w:r>
            <w:r>
              <w:rPr>
                <w:color w:val="231F20"/>
                <w:spacing w:val="-7"/>
                <w:sz w:val="15"/>
              </w:rPr>
              <w:t> </w:t>
            </w:r>
            <w:r>
              <w:rPr>
                <w:color w:val="231F20"/>
                <w:spacing w:val="-2"/>
                <w:sz w:val="15"/>
              </w:rPr>
              <w:t>limited</w:t>
            </w:r>
            <w:r>
              <w:rPr>
                <w:color w:val="231F20"/>
                <w:spacing w:val="-7"/>
                <w:sz w:val="15"/>
              </w:rPr>
              <w:t> </w:t>
            </w:r>
            <w:r>
              <w:rPr>
                <w:color w:val="231F20"/>
                <w:spacing w:val="-2"/>
                <w:sz w:val="15"/>
              </w:rPr>
              <w:t>to</w:t>
            </w:r>
            <w:r>
              <w:rPr>
                <w:color w:val="231F20"/>
                <w:spacing w:val="-7"/>
                <w:sz w:val="15"/>
              </w:rPr>
              <w:t> </w:t>
            </w:r>
            <w:r>
              <w:rPr>
                <w:color w:val="231F20"/>
                <w:spacing w:val="-2"/>
                <w:sz w:val="15"/>
              </w:rPr>
              <w:t>vertigo,</w:t>
            </w:r>
            <w:r>
              <w:rPr>
                <w:color w:val="231F20"/>
                <w:spacing w:val="-7"/>
                <w:sz w:val="15"/>
              </w:rPr>
              <w:t> </w:t>
            </w:r>
            <w:r>
              <w:rPr>
                <w:color w:val="231F20"/>
                <w:spacing w:val="-2"/>
                <w:sz w:val="15"/>
              </w:rPr>
              <w:t>imbalance</w:t>
            </w:r>
            <w:r>
              <w:rPr>
                <w:color w:val="231F20"/>
                <w:spacing w:val="-7"/>
                <w:sz w:val="15"/>
              </w:rPr>
              <w:t> </w:t>
            </w:r>
            <w:r>
              <w:rPr>
                <w:color w:val="231F20"/>
                <w:spacing w:val="-2"/>
                <w:sz w:val="15"/>
              </w:rPr>
              <w:t>(i.e.,</w:t>
            </w:r>
            <w:r>
              <w:rPr>
                <w:color w:val="231F20"/>
                <w:spacing w:val="-7"/>
                <w:sz w:val="15"/>
              </w:rPr>
              <w:t> </w:t>
            </w:r>
            <w:r>
              <w:rPr>
                <w:color w:val="231F20"/>
                <w:spacing w:val="-2"/>
                <w:sz w:val="15"/>
              </w:rPr>
              <w:t>no </w:t>
            </w:r>
            <w:r>
              <w:rPr>
                <w:color w:val="231F20"/>
                <w:sz w:val="15"/>
              </w:rPr>
              <w:t>weakness). Gradual onset</w:t>
            </w:r>
          </w:p>
        </w:tc>
        <w:tc>
          <w:tcPr>
            <w:tcW w:w="3611" w:type="dxa"/>
            <w:tcBorders>
              <w:top w:val="single" w:sz="4" w:space="0" w:color="FFFFFF"/>
              <w:bottom w:val="single" w:sz="4" w:space="0" w:color="FFFFFF"/>
            </w:tcBorders>
            <w:shd w:val="clear" w:color="auto" w:fill="E8F5F1"/>
          </w:tcPr>
          <w:p>
            <w:pPr>
              <w:pStyle w:val="TableParagraph"/>
              <w:spacing w:before="42"/>
              <w:ind w:left="192"/>
              <w:rPr>
                <w:sz w:val="15"/>
              </w:rPr>
            </w:pPr>
            <w:r>
              <w:rPr>
                <w:color w:val="231F20"/>
                <w:spacing w:val="-2"/>
                <w:sz w:val="15"/>
              </w:rPr>
              <w:t>Normal</w:t>
            </w:r>
          </w:p>
        </w:tc>
      </w:tr>
      <w:tr>
        <w:trPr>
          <w:trHeight w:val="252"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6"/>
              <w:rPr>
                <w:sz w:val="15"/>
              </w:rPr>
            </w:pPr>
            <w:r>
              <w:rPr>
                <w:color w:val="231F20"/>
                <w:spacing w:val="-2"/>
                <w:sz w:val="15"/>
              </w:rPr>
              <w:t>Acute</w:t>
            </w:r>
            <w:r>
              <w:rPr>
                <w:color w:val="231F20"/>
                <w:spacing w:val="2"/>
                <w:sz w:val="15"/>
              </w:rPr>
              <w:t> </w:t>
            </w:r>
            <w:r>
              <w:rPr>
                <w:color w:val="231F20"/>
                <w:spacing w:val="-2"/>
                <w:sz w:val="15"/>
              </w:rPr>
              <w:t>cerebellar</w:t>
            </w:r>
            <w:r>
              <w:rPr>
                <w:color w:val="231F20"/>
                <w:spacing w:val="2"/>
                <w:sz w:val="15"/>
              </w:rPr>
              <w:t> </w:t>
            </w:r>
            <w:r>
              <w:rPr>
                <w:color w:val="231F20"/>
                <w:spacing w:val="-2"/>
                <w:sz w:val="15"/>
              </w:rPr>
              <w:t>ataxia</w:t>
            </w:r>
          </w:p>
        </w:tc>
        <w:tc>
          <w:tcPr>
            <w:tcW w:w="3877" w:type="dxa"/>
            <w:tcBorders>
              <w:top w:val="single" w:sz="4" w:space="0" w:color="FFFFFF"/>
              <w:bottom w:val="single" w:sz="4" w:space="0" w:color="FFFFFF"/>
            </w:tcBorders>
            <w:shd w:val="clear" w:color="auto" w:fill="E8F5F1"/>
          </w:tcPr>
          <w:p>
            <w:pPr>
              <w:pStyle w:val="TableParagraph"/>
              <w:spacing w:before="42"/>
              <w:ind w:right="57"/>
              <w:jc w:val="center"/>
              <w:rPr>
                <w:sz w:val="15"/>
              </w:rPr>
            </w:pPr>
            <w:r>
              <w:rPr>
                <w:color w:val="231F20"/>
                <w:spacing w:val="-2"/>
                <w:sz w:val="15"/>
              </w:rPr>
              <w:t>Sudden-onset</w:t>
            </w:r>
            <w:r>
              <w:rPr>
                <w:color w:val="231F20"/>
                <w:spacing w:val="-5"/>
                <w:sz w:val="15"/>
              </w:rPr>
              <w:t> </w:t>
            </w:r>
            <w:r>
              <w:rPr>
                <w:color w:val="231F20"/>
                <w:spacing w:val="-2"/>
                <w:sz w:val="15"/>
              </w:rPr>
              <w:t>bilaterally</w:t>
            </w:r>
            <w:r>
              <w:rPr>
                <w:color w:val="231F20"/>
                <w:spacing w:val="-4"/>
                <w:sz w:val="15"/>
              </w:rPr>
              <w:t> </w:t>
            </w:r>
            <w:r>
              <w:rPr>
                <w:color w:val="231F20"/>
                <w:spacing w:val="-2"/>
                <w:sz w:val="15"/>
              </w:rPr>
              <w:t>symmetric</w:t>
            </w:r>
            <w:r>
              <w:rPr>
                <w:color w:val="231F20"/>
                <w:spacing w:val="-4"/>
                <w:sz w:val="15"/>
              </w:rPr>
              <w:t> </w:t>
            </w:r>
            <w:r>
              <w:rPr>
                <w:color w:val="231F20"/>
                <w:spacing w:val="-2"/>
                <w:sz w:val="15"/>
              </w:rPr>
              <w:t>ataxia;</w:t>
            </w:r>
            <w:r>
              <w:rPr>
                <w:color w:val="231F20"/>
                <w:spacing w:val="-4"/>
                <w:sz w:val="15"/>
              </w:rPr>
              <w:t> </w:t>
            </w:r>
            <w:r>
              <w:rPr>
                <w:color w:val="231F20"/>
                <w:spacing w:val="-2"/>
                <w:sz w:val="15"/>
              </w:rPr>
              <w:t>postviral</w:t>
            </w:r>
          </w:p>
        </w:tc>
        <w:tc>
          <w:tcPr>
            <w:tcW w:w="3611" w:type="dxa"/>
            <w:tcBorders>
              <w:top w:val="single" w:sz="4" w:space="0" w:color="FFFFFF"/>
              <w:bottom w:val="single" w:sz="4" w:space="0" w:color="FFFFFF"/>
            </w:tcBorders>
            <w:shd w:val="clear" w:color="auto" w:fill="E8F5F1"/>
          </w:tcPr>
          <w:p>
            <w:pPr>
              <w:pStyle w:val="TableParagraph"/>
              <w:spacing w:before="42"/>
              <w:ind w:left="192"/>
              <w:rPr>
                <w:sz w:val="15"/>
              </w:rPr>
            </w:pPr>
            <w:r>
              <w:rPr>
                <w:color w:val="231F20"/>
                <w:spacing w:val="-2"/>
                <w:sz w:val="15"/>
              </w:rPr>
              <w:t>Normal</w:t>
            </w:r>
          </w:p>
        </w:tc>
      </w:tr>
      <w:tr>
        <w:trPr>
          <w:trHeight w:val="420" w:hRule="atLeast"/>
        </w:trPr>
        <w:tc>
          <w:tcPr>
            <w:tcW w:w="2253" w:type="dxa"/>
            <w:gridSpan w:val="2"/>
            <w:tcBorders>
              <w:top w:val="single" w:sz="4" w:space="0" w:color="FFFFFF"/>
              <w:bottom w:val="single" w:sz="4" w:space="0" w:color="FFFFFF"/>
            </w:tcBorders>
            <w:shd w:val="clear" w:color="auto" w:fill="E8F5F1"/>
          </w:tcPr>
          <w:p>
            <w:pPr>
              <w:pStyle w:val="TableParagraph"/>
              <w:spacing w:before="42"/>
              <w:ind w:left="76"/>
              <w:rPr>
                <w:sz w:val="15"/>
              </w:rPr>
            </w:pPr>
            <w:r>
              <w:rPr>
                <w:color w:val="231F20"/>
                <w:spacing w:val="-2"/>
                <w:sz w:val="15"/>
              </w:rPr>
              <w:t>Channelopathy</w:t>
            </w:r>
          </w:p>
        </w:tc>
        <w:tc>
          <w:tcPr>
            <w:tcW w:w="3877" w:type="dxa"/>
            <w:tcBorders>
              <w:top w:val="single" w:sz="4" w:space="0" w:color="FFFFFF"/>
              <w:bottom w:val="single" w:sz="4" w:space="0" w:color="FFFFFF"/>
            </w:tcBorders>
            <w:shd w:val="clear" w:color="auto" w:fill="E8F5F1"/>
          </w:tcPr>
          <w:p>
            <w:pPr>
              <w:pStyle w:val="TableParagraph"/>
              <w:spacing w:line="230" w:lineRule="auto" w:before="48"/>
              <w:ind w:left="307" w:right="89" w:hanging="112"/>
              <w:rPr>
                <w:sz w:val="15"/>
              </w:rPr>
            </w:pPr>
            <w:r>
              <w:rPr>
                <w:color w:val="231F20"/>
                <w:sz w:val="15"/>
              </w:rPr>
              <w:t>Syndromic cluster of symptoms not localizing to single</w:t>
            </w:r>
            <w:r>
              <w:rPr>
                <w:color w:val="231F20"/>
                <w:spacing w:val="-11"/>
                <w:sz w:val="15"/>
              </w:rPr>
              <w:t> </w:t>
            </w:r>
            <w:r>
              <w:rPr>
                <w:color w:val="231F20"/>
                <w:sz w:val="15"/>
              </w:rPr>
              <w:t>lesion.</w:t>
            </w:r>
            <w:r>
              <w:rPr>
                <w:color w:val="231F20"/>
                <w:spacing w:val="-11"/>
                <w:sz w:val="15"/>
              </w:rPr>
              <w:t> </w:t>
            </w:r>
            <w:r>
              <w:rPr>
                <w:color w:val="231F20"/>
                <w:sz w:val="15"/>
              </w:rPr>
              <w:t>Gradual</w:t>
            </w:r>
            <w:r>
              <w:rPr>
                <w:color w:val="231F20"/>
                <w:spacing w:val="-11"/>
                <w:sz w:val="15"/>
              </w:rPr>
              <w:t> </w:t>
            </w:r>
            <w:r>
              <w:rPr>
                <w:color w:val="231F20"/>
                <w:sz w:val="15"/>
              </w:rPr>
              <w:t>onset,</w:t>
            </w:r>
            <w:r>
              <w:rPr>
                <w:color w:val="231F20"/>
                <w:spacing w:val="-11"/>
                <w:sz w:val="15"/>
              </w:rPr>
              <w:t> </w:t>
            </w:r>
            <w:r>
              <w:rPr>
                <w:color w:val="231F20"/>
                <w:sz w:val="15"/>
              </w:rPr>
              <w:t>progressive</w:t>
            </w:r>
            <w:r>
              <w:rPr>
                <w:color w:val="231F20"/>
                <w:spacing w:val="-11"/>
                <w:sz w:val="15"/>
              </w:rPr>
              <w:t> </w:t>
            </w:r>
            <w:r>
              <w:rPr>
                <w:color w:val="231F20"/>
                <w:sz w:val="15"/>
              </w:rPr>
              <w:t>evolution</w:t>
            </w:r>
          </w:p>
        </w:tc>
        <w:tc>
          <w:tcPr>
            <w:tcW w:w="3611" w:type="dxa"/>
            <w:tcBorders>
              <w:top w:val="single" w:sz="4" w:space="0" w:color="FFFFFF"/>
              <w:bottom w:val="single" w:sz="4" w:space="0" w:color="FFFFFF"/>
            </w:tcBorders>
            <w:shd w:val="clear" w:color="auto" w:fill="E8F5F1"/>
          </w:tcPr>
          <w:p>
            <w:pPr>
              <w:pStyle w:val="TableParagraph"/>
              <w:spacing w:before="42"/>
              <w:ind w:left="192"/>
              <w:rPr>
                <w:sz w:val="15"/>
              </w:rPr>
            </w:pPr>
            <w:r>
              <w:rPr>
                <w:color w:val="231F20"/>
                <w:spacing w:val="-2"/>
                <w:sz w:val="15"/>
              </w:rPr>
              <w:t>Normal</w:t>
            </w:r>
          </w:p>
        </w:tc>
      </w:tr>
      <w:tr>
        <w:trPr>
          <w:trHeight w:val="415" w:hRule="atLeast"/>
        </w:trPr>
        <w:tc>
          <w:tcPr>
            <w:tcW w:w="2253" w:type="dxa"/>
            <w:gridSpan w:val="2"/>
            <w:tcBorders>
              <w:top w:val="single" w:sz="4" w:space="0" w:color="FFFFFF"/>
              <w:bottom w:val="single" w:sz="8" w:space="0" w:color="231F20"/>
            </w:tcBorders>
            <w:shd w:val="clear" w:color="auto" w:fill="E8F5F1"/>
          </w:tcPr>
          <w:p>
            <w:pPr>
              <w:pStyle w:val="TableParagraph"/>
              <w:spacing w:before="42"/>
              <w:ind w:left="76"/>
              <w:rPr>
                <w:sz w:val="15"/>
              </w:rPr>
            </w:pPr>
            <w:r>
              <w:rPr>
                <w:color w:val="231F20"/>
                <w:spacing w:val="-2"/>
                <w:sz w:val="15"/>
              </w:rPr>
              <w:t>Alternating</w:t>
            </w:r>
            <w:r>
              <w:rPr>
                <w:color w:val="231F20"/>
                <w:spacing w:val="7"/>
                <w:sz w:val="15"/>
              </w:rPr>
              <w:t> </w:t>
            </w:r>
            <w:r>
              <w:rPr>
                <w:color w:val="231F20"/>
                <w:spacing w:val="-2"/>
                <w:sz w:val="15"/>
              </w:rPr>
              <w:t>hemiplegia</w:t>
            </w:r>
          </w:p>
        </w:tc>
        <w:tc>
          <w:tcPr>
            <w:tcW w:w="3877" w:type="dxa"/>
            <w:tcBorders>
              <w:top w:val="single" w:sz="4" w:space="0" w:color="FFFFFF"/>
              <w:bottom w:val="single" w:sz="8" w:space="0" w:color="231F20"/>
            </w:tcBorders>
            <w:shd w:val="clear" w:color="auto" w:fill="E8F5F1"/>
          </w:tcPr>
          <w:p>
            <w:pPr>
              <w:pStyle w:val="TableParagraph"/>
              <w:spacing w:line="230" w:lineRule="auto" w:before="48"/>
              <w:ind w:left="195" w:right="1850"/>
              <w:rPr>
                <w:sz w:val="15"/>
              </w:rPr>
            </w:pPr>
            <w:r>
              <w:rPr>
                <w:color w:val="231F20"/>
                <w:spacing w:val="-2"/>
                <w:sz w:val="15"/>
              </w:rPr>
              <w:t>History</w:t>
            </w:r>
            <w:r>
              <w:rPr>
                <w:color w:val="231F20"/>
                <w:spacing w:val="-10"/>
                <w:sz w:val="15"/>
              </w:rPr>
              <w:t> </w:t>
            </w:r>
            <w:r>
              <w:rPr>
                <w:color w:val="231F20"/>
                <w:spacing w:val="-2"/>
                <w:sz w:val="15"/>
              </w:rPr>
              <w:t>contralateral</w:t>
            </w:r>
            <w:r>
              <w:rPr>
                <w:color w:val="231F20"/>
                <w:spacing w:val="-9"/>
                <w:sz w:val="15"/>
              </w:rPr>
              <w:t> </w:t>
            </w:r>
            <w:r>
              <w:rPr>
                <w:color w:val="231F20"/>
                <w:spacing w:val="-2"/>
                <w:sz w:val="15"/>
              </w:rPr>
              <w:t>events Choreoathetosis/dystonia</w:t>
            </w:r>
          </w:p>
        </w:tc>
        <w:tc>
          <w:tcPr>
            <w:tcW w:w="3611" w:type="dxa"/>
            <w:tcBorders>
              <w:top w:val="single" w:sz="4" w:space="0" w:color="FFFFFF"/>
              <w:bottom w:val="single" w:sz="8" w:space="0" w:color="231F20"/>
            </w:tcBorders>
            <w:shd w:val="clear" w:color="auto" w:fill="E8F5F1"/>
          </w:tcPr>
          <w:p>
            <w:pPr>
              <w:pStyle w:val="TableParagraph"/>
              <w:spacing w:before="42"/>
              <w:ind w:left="192"/>
              <w:rPr>
                <w:sz w:val="15"/>
              </w:rPr>
            </w:pPr>
            <w:r>
              <w:rPr>
                <w:color w:val="231F20"/>
                <w:spacing w:val="-2"/>
                <w:sz w:val="15"/>
              </w:rPr>
              <w:t>Normal</w:t>
            </w:r>
          </w:p>
        </w:tc>
      </w:tr>
    </w:tbl>
    <w:p>
      <w:pPr>
        <w:pStyle w:val="TableParagraph"/>
        <w:spacing w:after="0"/>
        <w:rPr>
          <w:sz w:val="15"/>
        </w:rPr>
        <w:sectPr>
          <w:pgSz w:w="11900" w:h="16840"/>
          <w:pgMar w:header="0" w:footer="0" w:top="720" w:bottom="280" w:left="425" w:right="566"/>
        </w:sectPr>
      </w:pPr>
    </w:p>
    <w:p>
      <w:pPr>
        <w:pStyle w:val="BodyText"/>
        <w:rPr>
          <w:i/>
          <w:sz w:val="20"/>
        </w:rPr>
      </w:pPr>
    </w:p>
    <w:p>
      <w:pPr>
        <w:pStyle w:val="BodyText"/>
        <w:spacing w:before="18"/>
        <w:rPr>
          <w:i/>
          <w:sz w:val="20"/>
        </w:rPr>
      </w:pPr>
    </w:p>
    <w:p>
      <w:pPr>
        <w:pStyle w:val="BodyText"/>
        <w:ind w:left="428"/>
        <w:rPr>
          <w:sz w:val="20"/>
        </w:rPr>
      </w:pPr>
      <w:r>
        <w:rPr>
          <w:sz w:val="20"/>
        </w:rPr>
        <mc:AlternateContent>
          <mc:Choice Requires="wps">
            <w:drawing>
              <wp:inline distT="0" distB="0" distL="0" distR="0">
                <wp:extent cx="6185535" cy="170815"/>
                <wp:effectExtent l="19050" t="0" r="62864" b="635"/>
                <wp:docPr id="915" name="Group 915"/>
                <wp:cNvGraphicFramePr>
                  <a:graphicFrameLocks/>
                </wp:cNvGraphicFramePr>
                <a:graphic>
                  <a:graphicData uri="http://schemas.microsoft.com/office/word/2010/wordprocessingGroup">
                    <wpg:wgp>
                      <wpg:cNvPr id="915" name="Group 915"/>
                      <wpg:cNvGrpSpPr/>
                      <wpg:grpSpPr>
                        <a:xfrm>
                          <a:off x="0" y="0"/>
                          <a:ext cx="6185535" cy="170815"/>
                          <a:chExt cx="6185535" cy="170815"/>
                        </a:xfrm>
                      </wpg:grpSpPr>
                      <wps:wsp>
                        <wps:cNvPr id="916" name="Graphic 916"/>
                        <wps:cNvSpPr/>
                        <wps:spPr>
                          <a:xfrm>
                            <a:off x="6161574"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917" name="Graphic 917"/>
                        <wps:cNvSpPr/>
                        <wps:spPr>
                          <a:xfrm>
                            <a:off x="0" y="15866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918" name="Textbox 91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2934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40" coordorigin="0,0" coordsize="9741,269">
                <v:line style="position:absolute" from="9703,145" to="9741,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741" filled="false" stroked="false">
                  <v:textbox inset="0,0,0,0">
                    <w:txbxContent>
                      <w:p>
                        <w:pPr>
                          <w:spacing w:before="6"/>
                          <w:ind w:left="-1" w:right="0" w:firstLine="0"/>
                          <w:jc w:val="left"/>
                          <w:rPr>
                            <w:sz w:val="18"/>
                          </w:rPr>
                        </w:pPr>
                        <w:r>
                          <w:rPr>
                            <w:b/>
                            <w:color w:val="231F20"/>
                            <w:w w:val="105"/>
                            <w:sz w:val="18"/>
                          </w:rPr>
                          <w:t>2934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7"/>
        <w:rPr>
          <w:i/>
          <w:sz w:val="14"/>
        </w:rPr>
      </w:pPr>
      <w:r>
        <w:rPr>
          <w:i/>
          <w:sz w:val="14"/>
        </w:rPr>
        <mc:AlternateContent>
          <mc:Choice Requires="wps">
            <w:drawing>
              <wp:anchor distT="0" distB="0" distL="0" distR="0" allowOverlap="1" layoutInCell="1" locked="0" behindDoc="1" simplePos="0" relativeHeight="487649792">
                <wp:simplePos x="0" y="0"/>
                <wp:positionH relativeFrom="page">
                  <wp:posOffset>1403223</wp:posOffset>
                </wp:positionH>
                <wp:positionV relativeFrom="paragraph">
                  <wp:posOffset>123880</wp:posOffset>
                </wp:positionV>
                <wp:extent cx="4486910" cy="1887855"/>
                <wp:effectExtent l="0" t="0" r="0" b="0"/>
                <wp:wrapTopAndBottom/>
                <wp:docPr id="919" name="Group 919"/>
                <wp:cNvGraphicFramePr>
                  <a:graphicFrameLocks/>
                </wp:cNvGraphicFramePr>
                <a:graphic>
                  <a:graphicData uri="http://schemas.microsoft.com/office/word/2010/wordprocessingGroup">
                    <wpg:wgp>
                      <wpg:cNvPr id="919" name="Group 919"/>
                      <wpg:cNvGrpSpPr/>
                      <wpg:grpSpPr>
                        <a:xfrm>
                          <a:off x="0" y="0"/>
                          <a:ext cx="4486910" cy="1887855"/>
                          <a:chExt cx="4486910" cy="1887855"/>
                        </a:xfrm>
                      </wpg:grpSpPr>
                      <wps:wsp>
                        <wps:cNvPr id="920" name="Graphic 920"/>
                        <wps:cNvSpPr/>
                        <wps:spPr>
                          <a:xfrm>
                            <a:off x="887740" y="1660120"/>
                            <a:ext cx="812800" cy="222250"/>
                          </a:xfrm>
                          <a:custGeom>
                            <a:avLst/>
                            <a:gdLst/>
                            <a:ahLst/>
                            <a:cxnLst/>
                            <a:rect l="l" t="t" r="r" b="b"/>
                            <a:pathLst>
                              <a:path w="812800" h="222250">
                                <a:moveTo>
                                  <a:pt x="812622" y="0"/>
                                </a:moveTo>
                                <a:lnTo>
                                  <a:pt x="0" y="0"/>
                                </a:lnTo>
                                <a:lnTo>
                                  <a:pt x="0" y="221767"/>
                                </a:lnTo>
                                <a:lnTo>
                                  <a:pt x="812622" y="221767"/>
                                </a:lnTo>
                                <a:lnTo>
                                  <a:pt x="812622" y="0"/>
                                </a:lnTo>
                                <a:close/>
                              </a:path>
                            </a:pathLst>
                          </a:custGeom>
                          <a:solidFill>
                            <a:srgbClr val="D7EDDD"/>
                          </a:solidFill>
                        </wps:spPr>
                        <wps:bodyPr wrap="square" lIns="0" tIns="0" rIns="0" bIns="0" rtlCol="0">
                          <a:prstTxWarp prst="textNoShape">
                            <a:avLst/>
                          </a:prstTxWarp>
                          <a:noAutofit/>
                        </wps:bodyPr>
                      </wps:wsp>
                      <wps:wsp>
                        <wps:cNvPr id="921" name="Graphic 921"/>
                        <wps:cNvSpPr/>
                        <wps:spPr>
                          <a:xfrm>
                            <a:off x="887738" y="1660117"/>
                            <a:ext cx="812800" cy="222250"/>
                          </a:xfrm>
                          <a:custGeom>
                            <a:avLst/>
                            <a:gdLst/>
                            <a:ahLst/>
                            <a:cxnLst/>
                            <a:rect l="l" t="t" r="r" b="b"/>
                            <a:pathLst>
                              <a:path w="812800" h="222250">
                                <a:moveTo>
                                  <a:pt x="812623" y="221771"/>
                                </a:moveTo>
                                <a:lnTo>
                                  <a:pt x="0" y="221771"/>
                                </a:lnTo>
                                <a:lnTo>
                                  <a:pt x="0" y="0"/>
                                </a:lnTo>
                                <a:lnTo>
                                  <a:pt x="812623" y="0"/>
                                </a:lnTo>
                                <a:lnTo>
                                  <a:pt x="812623" y="221771"/>
                                </a:lnTo>
                                <a:close/>
                              </a:path>
                            </a:pathLst>
                          </a:custGeom>
                          <a:ln w="11849">
                            <a:solidFill>
                              <a:srgbClr val="231F20"/>
                            </a:solidFill>
                            <a:prstDash val="solid"/>
                          </a:ln>
                        </wps:spPr>
                        <wps:bodyPr wrap="square" lIns="0" tIns="0" rIns="0" bIns="0" rtlCol="0">
                          <a:prstTxWarp prst="textNoShape">
                            <a:avLst/>
                          </a:prstTxWarp>
                          <a:noAutofit/>
                        </wps:bodyPr>
                      </wps:wsp>
                      <wps:wsp>
                        <wps:cNvPr id="922" name="Graphic 922"/>
                        <wps:cNvSpPr/>
                        <wps:spPr>
                          <a:xfrm>
                            <a:off x="2151645" y="1090043"/>
                            <a:ext cx="812800" cy="222250"/>
                          </a:xfrm>
                          <a:custGeom>
                            <a:avLst/>
                            <a:gdLst/>
                            <a:ahLst/>
                            <a:cxnLst/>
                            <a:rect l="l" t="t" r="r" b="b"/>
                            <a:pathLst>
                              <a:path w="812800" h="222250">
                                <a:moveTo>
                                  <a:pt x="812634" y="0"/>
                                </a:moveTo>
                                <a:lnTo>
                                  <a:pt x="0" y="0"/>
                                </a:lnTo>
                                <a:lnTo>
                                  <a:pt x="0" y="221780"/>
                                </a:lnTo>
                                <a:lnTo>
                                  <a:pt x="812634" y="221780"/>
                                </a:lnTo>
                                <a:lnTo>
                                  <a:pt x="812634" y="0"/>
                                </a:lnTo>
                                <a:close/>
                              </a:path>
                            </a:pathLst>
                          </a:custGeom>
                          <a:solidFill>
                            <a:srgbClr val="D7EDDD"/>
                          </a:solidFill>
                        </wps:spPr>
                        <wps:bodyPr wrap="square" lIns="0" tIns="0" rIns="0" bIns="0" rtlCol="0">
                          <a:prstTxWarp prst="textNoShape">
                            <a:avLst/>
                          </a:prstTxWarp>
                          <a:noAutofit/>
                        </wps:bodyPr>
                      </wps:wsp>
                      <wps:wsp>
                        <wps:cNvPr id="923" name="Graphic 923"/>
                        <wps:cNvSpPr/>
                        <wps:spPr>
                          <a:xfrm>
                            <a:off x="2151643" y="1090041"/>
                            <a:ext cx="812800" cy="222250"/>
                          </a:xfrm>
                          <a:custGeom>
                            <a:avLst/>
                            <a:gdLst/>
                            <a:ahLst/>
                            <a:cxnLst/>
                            <a:rect l="l" t="t" r="r" b="b"/>
                            <a:pathLst>
                              <a:path w="812800" h="222250">
                                <a:moveTo>
                                  <a:pt x="812635" y="221782"/>
                                </a:moveTo>
                                <a:lnTo>
                                  <a:pt x="0" y="221782"/>
                                </a:lnTo>
                                <a:lnTo>
                                  <a:pt x="0" y="0"/>
                                </a:lnTo>
                                <a:lnTo>
                                  <a:pt x="812635" y="0"/>
                                </a:lnTo>
                                <a:lnTo>
                                  <a:pt x="812635" y="221782"/>
                                </a:lnTo>
                                <a:close/>
                              </a:path>
                            </a:pathLst>
                          </a:custGeom>
                          <a:ln w="11849">
                            <a:solidFill>
                              <a:srgbClr val="231F20"/>
                            </a:solidFill>
                            <a:prstDash val="solid"/>
                          </a:ln>
                        </wps:spPr>
                        <wps:bodyPr wrap="square" lIns="0" tIns="0" rIns="0" bIns="0" rtlCol="0">
                          <a:prstTxWarp prst="textNoShape">
                            <a:avLst/>
                          </a:prstTxWarp>
                          <a:noAutofit/>
                        </wps:bodyPr>
                      </wps:wsp>
                      <wps:wsp>
                        <wps:cNvPr id="924" name="Graphic 924"/>
                        <wps:cNvSpPr/>
                        <wps:spPr>
                          <a:xfrm>
                            <a:off x="5927" y="1660120"/>
                            <a:ext cx="601980" cy="222250"/>
                          </a:xfrm>
                          <a:custGeom>
                            <a:avLst/>
                            <a:gdLst/>
                            <a:ahLst/>
                            <a:cxnLst/>
                            <a:rect l="l" t="t" r="r" b="b"/>
                            <a:pathLst>
                              <a:path w="601980" h="222250">
                                <a:moveTo>
                                  <a:pt x="601383" y="0"/>
                                </a:moveTo>
                                <a:lnTo>
                                  <a:pt x="0" y="0"/>
                                </a:lnTo>
                                <a:lnTo>
                                  <a:pt x="0" y="221767"/>
                                </a:lnTo>
                                <a:lnTo>
                                  <a:pt x="601383" y="221767"/>
                                </a:lnTo>
                                <a:lnTo>
                                  <a:pt x="601383" y="0"/>
                                </a:lnTo>
                                <a:close/>
                              </a:path>
                            </a:pathLst>
                          </a:custGeom>
                          <a:solidFill>
                            <a:srgbClr val="D7EDDD"/>
                          </a:solidFill>
                        </wps:spPr>
                        <wps:bodyPr wrap="square" lIns="0" tIns="0" rIns="0" bIns="0" rtlCol="0">
                          <a:prstTxWarp prst="textNoShape">
                            <a:avLst/>
                          </a:prstTxWarp>
                          <a:noAutofit/>
                        </wps:bodyPr>
                      </wps:wsp>
                      <wps:wsp>
                        <wps:cNvPr id="925" name="Graphic 925"/>
                        <wps:cNvSpPr/>
                        <wps:spPr>
                          <a:xfrm>
                            <a:off x="5924" y="1660117"/>
                            <a:ext cx="601980" cy="222250"/>
                          </a:xfrm>
                          <a:custGeom>
                            <a:avLst/>
                            <a:gdLst/>
                            <a:ahLst/>
                            <a:cxnLst/>
                            <a:rect l="l" t="t" r="r" b="b"/>
                            <a:pathLst>
                              <a:path w="601980" h="222250">
                                <a:moveTo>
                                  <a:pt x="601386" y="221771"/>
                                </a:moveTo>
                                <a:lnTo>
                                  <a:pt x="0" y="221771"/>
                                </a:lnTo>
                                <a:lnTo>
                                  <a:pt x="0" y="0"/>
                                </a:lnTo>
                                <a:lnTo>
                                  <a:pt x="601386" y="0"/>
                                </a:lnTo>
                                <a:lnTo>
                                  <a:pt x="601386" y="221771"/>
                                </a:lnTo>
                                <a:close/>
                              </a:path>
                            </a:pathLst>
                          </a:custGeom>
                          <a:ln w="11849">
                            <a:solidFill>
                              <a:srgbClr val="231F20"/>
                            </a:solidFill>
                            <a:prstDash val="solid"/>
                          </a:ln>
                        </wps:spPr>
                        <wps:bodyPr wrap="square" lIns="0" tIns="0" rIns="0" bIns="0" rtlCol="0">
                          <a:prstTxWarp prst="textNoShape">
                            <a:avLst/>
                          </a:prstTxWarp>
                          <a:noAutofit/>
                        </wps:bodyPr>
                      </wps:wsp>
                      <wps:wsp>
                        <wps:cNvPr id="926" name="Graphic 926"/>
                        <wps:cNvSpPr/>
                        <wps:spPr>
                          <a:xfrm>
                            <a:off x="485801" y="1090060"/>
                            <a:ext cx="629285" cy="278130"/>
                          </a:xfrm>
                          <a:custGeom>
                            <a:avLst/>
                            <a:gdLst/>
                            <a:ahLst/>
                            <a:cxnLst/>
                            <a:rect l="l" t="t" r="r" b="b"/>
                            <a:pathLst>
                              <a:path w="629285" h="278130">
                                <a:moveTo>
                                  <a:pt x="629081" y="0"/>
                                </a:moveTo>
                                <a:lnTo>
                                  <a:pt x="0" y="0"/>
                                </a:lnTo>
                                <a:lnTo>
                                  <a:pt x="0" y="277774"/>
                                </a:lnTo>
                                <a:lnTo>
                                  <a:pt x="629081" y="277774"/>
                                </a:lnTo>
                                <a:lnTo>
                                  <a:pt x="629081" y="0"/>
                                </a:lnTo>
                                <a:close/>
                              </a:path>
                            </a:pathLst>
                          </a:custGeom>
                          <a:solidFill>
                            <a:srgbClr val="D7EDDD"/>
                          </a:solidFill>
                        </wps:spPr>
                        <wps:bodyPr wrap="square" lIns="0" tIns="0" rIns="0" bIns="0" rtlCol="0">
                          <a:prstTxWarp prst="textNoShape">
                            <a:avLst/>
                          </a:prstTxWarp>
                          <a:noAutofit/>
                        </wps:bodyPr>
                      </wps:wsp>
                      <wps:wsp>
                        <wps:cNvPr id="927" name="Graphic 927"/>
                        <wps:cNvSpPr/>
                        <wps:spPr>
                          <a:xfrm>
                            <a:off x="485791" y="1090052"/>
                            <a:ext cx="629285" cy="278130"/>
                          </a:xfrm>
                          <a:custGeom>
                            <a:avLst/>
                            <a:gdLst/>
                            <a:ahLst/>
                            <a:cxnLst/>
                            <a:rect l="l" t="t" r="r" b="b"/>
                            <a:pathLst>
                              <a:path w="629285" h="278130">
                                <a:moveTo>
                                  <a:pt x="629089" y="277782"/>
                                </a:moveTo>
                                <a:lnTo>
                                  <a:pt x="0" y="277782"/>
                                </a:lnTo>
                                <a:lnTo>
                                  <a:pt x="0" y="0"/>
                                </a:lnTo>
                                <a:lnTo>
                                  <a:pt x="629089" y="0"/>
                                </a:lnTo>
                                <a:lnTo>
                                  <a:pt x="629089" y="277782"/>
                                </a:lnTo>
                                <a:close/>
                              </a:path>
                            </a:pathLst>
                          </a:custGeom>
                          <a:ln w="11849">
                            <a:solidFill>
                              <a:srgbClr val="231F20"/>
                            </a:solidFill>
                            <a:prstDash val="solid"/>
                          </a:ln>
                        </wps:spPr>
                        <wps:bodyPr wrap="square" lIns="0" tIns="0" rIns="0" bIns="0" rtlCol="0">
                          <a:prstTxWarp prst="textNoShape">
                            <a:avLst/>
                          </a:prstTxWarp>
                          <a:noAutofit/>
                        </wps:bodyPr>
                      </wps:wsp>
                      <wps:wsp>
                        <wps:cNvPr id="928" name="Graphic 928"/>
                        <wps:cNvSpPr/>
                        <wps:spPr>
                          <a:xfrm>
                            <a:off x="940523" y="519996"/>
                            <a:ext cx="666115" cy="278130"/>
                          </a:xfrm>
                          <a:custGeom>
                            <a:avLst/>
                            <a:gdLst/>
                            <a:ahLst/>
                            <a:cxnLst/>
                            <a:rect l="l" t="t" r="r" b="b"/>
                            <a:pathLst>
                              <a:path w="666115" h="278130">
                                <a:moveTo>
                                  <a:pt x="666064" y="0"/>
                                </a:moveTo>
                                <a:lnTo>
                                  <a:pt x="0" y="0"/>
                                </a:lnTo>
                                <a:lnTo>
                                  <a:pt x="0" y="277774"/>
                                </a:lnTo>
                                <a:lnTo>
                                  <a:pt x="666064" y="277774"/>
                                </a:lnTo>
                                <a:lnTo>
                                  <a:pt x="666064" y="0"/>
                                </a:lnTo>
                                <a:close/>
                              </a:path>
                            </a:pathLst>
                          </a:custGeom>
                          <a:solidFill>
                            <a:srgbClr val="D7EDDD"/>
                          </a:solidFill>
                        </wps:spPr>
                        <wps:bodyPr wrap="square" lIns="0" tIns="0" rIns="0" bIns="0" rtlCol="0">
                          <a:prstTxWarp prst="textNoShape">
                            <a:avLst/>
                          </a:prstTxWarp>
                          <a:noAutofit/>
                        </wps:bodyPr>
                      </wps:wsp>
                      <wps:wsp>
                        <wps:cNvPr id="929" name="Graphic 929"/>
                        <wps:cNvSpPr/>
                        <wps:spPr>
                          <a:xfrm>
                            <a:off x="940516" y="520000"/>
                            <a:ext cx="666115" cy="278130"/>
                          </a:xfrm>
                          <a:custGeom>
                            <a:avLst/>
                            <a:gdLst/>
                            <a:ahLst/>
                            <a:cxnLst/>
                            <a:rect l="l" t="t" r="r" b="b"/>
                            <a:pathLst>
                              <a:path w="666115" h="278130">
                                <a:moveTo>
                                  <a:pt x="666071" y="277770"/>
                                </a:moveTo>
                                <a:lnTo>
                                  <a:pt x="0" y="277770"/>
                                </a:lnTo>
                                <a:lnTo>
                                  <a:pt x="0" y="0"/>
                                </a:lnTo>
                                <a:lnTo>
                                  <a:pt x="666071" y="0"/>
                                </a:lnTo>
                                <a:lnTo>
                                  <a:pt x="666071" y="277770"/>
                                </a:lnTo>
                                <a:close/>
                              </a:path>
                            </a:pathLst>
                          </a:custGeom>
                          <a:ln w="11849">
                            <a:solidFill>
                              <a:srgbClr val="231F20"/>
                            </a:solidFill>
                            <a:prstDash val="solid"/>
                          </a:ln>
                        </wps:spPr>
                        <wps:bodyPr wrap="square" lIns="0" tIns="0" rIns="0" bIns="0" rtlCol="0">
                          <a:prstTxWarp prst="textNoShape">
                            <a:avLst/>
                          </a:prstTxWarp>
                          <a:noAutofit/>
                        </wps:bodyPr>
                      </wps:wsp>
                      <wps:wsp>
                        <wps:cNvPr id="930" name="Graphic 930"/>
                        <wps:cNvSpPr/>
                        <wps:spPr>
                          <a:xfrm>
                            <a:off x="2165694" y="519996"/>
                            <a:ext cx="784860" cy="278130"/>
                          </a:xfrm>
                          <a:custGeom>
                            <a:avLst/>
                            <a:gdLst/>
                            <a:ahLst/>
                            <a:cxnLst/>
                            <a:rect l="l" t="t" r="r" b="b"/>
                            <a:pathLst>
                              <a:path w="784860" h="278130">
                                <a:moveTo>
                                  <a:pt x="784555" y="0"/>
                                </a:moveTo>
                                <a:lnTo>
                                  <a:pt x="0" y="0"/>
                                </a:lnTo>
                                <a:lnTo>
                                  <a:pt x="0" y="277774"/>
                                </a:lnTo>
                                <a:lnTo>
                                  <a:pt x="784555" y="277774"/>
                                </a:lnTo>
                                <a:lnTo>
                                  <a:pt x="784555" y="0"/>
                                </a:lnTo>
                                <a:close/>
                              </a:path>
                            </a:pathLst>
                          </a:custGeom>
                          <a:solidFill>
                            <a:srgbClr val="D7EDDD"/>
                          </a:solidFill>
                        </wps:spPr>
                        <wps:bodyPr wrap="square" lIns="0" tIns="0" rIns="0" bIns="0" rtlCol="0">
                          <a:prstTxWarp prst="textNoShape">
                            <a:avLst/>
                          </a:prstTxWarp>
                          <a:noAutofit/>
                        </wps:bodyPr>
                      </wps:wsp>
                      <wps:wsp>
                        <wps:cNvPr id="931" name="Graphic 931"/>
                        <wps:cNvSpPr/>
                        <wps:spPr>
                          <a:xfrm>
                            <a:off x="2165685" y="520000"/>
                            <a:ext cx="784860" cy="278130"/>
                          </a:xfrm>
                          <a:custGeom>
                            <a:avLst/>
                            <a:gdLst/>
                            <a:ahLst/>
                            <a:cxnLst/>
                            <a:rect l="l" t="t" r="r" b="b"/>
                            <a:pathLst>
                              <a:path w="784860" h="278130">
                                <a:moveTo>
                                  <a:pt x="784564" y="277770"/>
                                </a:moveTo>
                                <a:lnTo>
                                  <a:pt x="0" y="277770"/>
                                </a:lnTo>
                                <a:lnTo>
                                  <a:pt x="0" y="0"/>
                                </a:lnTo>
                                <a:lnTo>
                                  <a:pt x="784564" y="0"/>
                                </a:lnTo>
                                <a:lnTo>
                                  <a:pt x="784564" y="277770"/>
                                </a:lnTo>
                                <a:close/>
                              </a:path>
                            </a:pathLst>
                          </a:custGeom>
                          <a:ln w="11849">
                            <a:solidFill>
                              <a:srgbClr val="231F20"/>
                            </a:solidFill>
                            <a:prstDash val="solid"/>
                          </a:ln>
                        </wps:spPr>
                        <wps:bodyPr wrap="square" lIns="0" tIns="0" rIns="0" bIns="0" rtlCol="0">
                          <a:prstTxWarp prst="textNoShape">
                            <a:avLst/>
                          </a:prstTxWarp>
                          <a:noAutofit/>
                        </wps:bodyPr>
                      </wps:wsp>
                      <wps:wsp>
                        <wps:cNvPr id="932" name="Graphic 932"/>
                        <wps:cNvSpPr/>
                        <wps:spPr>
                          <a:xfrm>
                            <a:off x="3289173" y="519996"/>
                            <a:ext cx="876935" cy="278130"/>
                          </a:xfrm>
                          <a:custGeom>
                            <a:avLst/>
                            <a:gdLst/>
                            <a:ahLst/>
                            <a:cxnLst/>
                            <a:rect l="l" t="t" r="r" b="b"/>
                            <a:pathLst>
                              <a:path w="876935" h="278130">
                                <a:moveTo>
                                  <a:pt x="876553" y="0"/>
                                </a:moveTo>
                                <a:lnTo>
                                  <a:pt x="0" y="0"/>
                                </a:lnTo>
                                <a:lnTo>
                                  <a:pt x="0" y="277774"/>
                                </a:lnTo>
                                <a:lnTo>
                                  <a:pt x="876553" y="277774"/>
                                </a:lnTo>
                                <a:lnTo>
                                  <a:pt x="876553" y="0"/>
                                </a:lnTo>
                                <a:close/>
                              </a:path>
                            </a:pathLst>
                          </a:custGeom>
                          <a:solidFill>
                            <a:srgbClr val="D7EDDD"/>
                          </a:solidFill>
                        </wps:spPr>
                        <wps:bodyPr wrap="square" lIns="0" tIns="0" rIns="0" bIns="0" rtlCol="0">
                          <a:prstTxWarp prst="textNoShape">
                            <a:avLst/>
                          </a:prstTxWarp>
                          <a:noAutofit/>
                        </wps:bodyPr>
                      </wps:wsp>
                      <wps:wsp>
                        <wps:cNvPr id="933" name="Graphic 933"/>
                        <wps:cNvSpPr/>
                        <wps:spPr>
                          <a:xfrm>
                            <a:off x="3289164" y="520000"/>
                            <a:ext cx="876935" cy="278130"/>
                          </a:xfrm>
                          <a:custGeom>
                            <a:avLst/>
                            <a:gdLst/>
                            <a:ahLst/>
                            <a:cxnLst/>
                            <a:rect l="l" t="t" r="r" b="b"/>
                            <a:pathLst>
                              <a:path w="876935" h="278130">
                                <a:moveTo>
                                  <a:pt x="876562" y="277770"/>
                                </a:moveTo>
                                <a:lnTo>
                                  <a:pt x="0" y="277770"/>
                                </a:lnTo>
                                <a:lnTo>
                                  <a:pt x="0" y="0"/>
                                </a:lnTo>
                                <a:lnTo>
                                  <a:pt x="876562" y="0"/>
                                </a:lnTo>
                                <a:lnTo>
                                  <a:pt x="876562" y="277770"/>
                                </a:lnTo>
                                <a:close/>
                              </a:path>
                            </a:pathLst>
                          </a:custGeom>
                          <a:ln w="11849">
                            <a:solidFill>
                              <a:srgbClr val="231F20"/>
                            </a:solidFill>
                            <a:prstDash val="solid"/>
                          </a:ln>
                        </wps:spPr>
                        <wps:bodyPr wrap="square" lIns="0" tIns="0" rIns="0" bIns="0" rtlCol="0">
                          <a:prstTxWarp prst="textNoShape">
                            <a:avLst/>
                          </a:prstTxWarp>
                          <a:noAutofit/>
                        </wps:bodyPr>
                      </wps:wsp>
                      <wps:wsp>
                        <wps:cNvPr id="934" name="Graphic 934"/>
                        <wps:cNvSpPr/>
                        <wps:spPr>
                          <a:xfrm>
                            <a:off x="3033339" y="1090060"/>
                            <a:ext cx="629285" cy="278130"/>
                          </a:xfrm>
                          <a:custGeom>
                            <a:avLst/>
                            <a:gdLst/>
                            <a:ahLst/>
                            <a:cxnLst/>
                            <a:rect l="l" t="t" r="r" b="b"/>
                            <a:pathLst>
                              <a:path w="629285" h="278130">
                                <a:moveTo>
                                  <a:pt x="629081" y="0"/>
                                </a:moveTo>
                                <a:lnTo>
                                  <a:pt x="0" y="0"/>
                                </a:lnTo>
                                <a:lnTo>
                                  <a:pt x="0" y="277774"/>
                                </a:lnTo>
                                <a:lnTo>
                                  <a:pt x="629081" y="277774"/>
                                </a:lnTo>
                                <a:lnTo>
                                  <a:pt x="629081" y="0"/>
                                </a:lnTo>
                                <a:close/>
                              </a:path>
                            </a:pathLst>
                          </a:custGeom>
                          <a:solidFill>
                            <a:srgbClr val="D7EDDD"/>
                          </a:solidFill>
                        </wps:spPr>
                        <wps:bodyPr wrap="square" lIns="0" tIns="0" rIns="0" bIns="0" rtlCol="0">
                          <a:prstTxWarp prst="textNoShape">
                            <a:avLst/>
                          </a:prstTxWarp>
                          <a:noAutofit/>
                        </wps:bodyPr>
                      </wps:wsp>
                      <wps:wsp>
                        <wps:cNvPr id="935" name="Graphic 935"/>
                        <wps:cNvSpPr/>
                        <wps:spPr>
                          <a:xfrm>
                            <a:off x="3033330" y="1090052"/>
                            <a:ext cx="629285" cy="278130"/>
                          </a:xfrm>
                          <a:custGeom>
                            <a:avLst/>
                            <a:gdLst/>
                            <a:ahLst/>
                            <a:cxnLst/>
                            <a:rect l="l" t="t" r="r" b="b"/>
                            <a:pathLst>
                              <a:path w="629285" h="278130">
                                <a:moveTo>
                                  <a:pt x="629089" y="277782"/>
                                </a:moveTo>
                                <a:lnTo>
                                  <a:pt x="0" y="277782"/>
                                </a:lnTo>
                                <a:lnTo>
                                  <a:pt x="0" y="0"/>
                                </a:lnTo>
                                <a:lnTo>
                                  <a:pt x="629089" y="0"/>
                                </a:lnTo>
                                <a:lnTo>
                                  <a:pt x="629089" y="277782"/>
                                </a:lnTo>
                                <a:close/>
                              </a:path>
                            </a:pathLst>
                          </a:custGeom>
                          <a:ln w="11849">
                            <a:solidFill>
                              <a:srgbClr val="231F20"/>
                            </a:solidFill>
                            <a:prstDash val="solid"/>
                          </a:ln>
                        </wps:spPr>
                        <wps:bodyPr wrap="square" lIns="0" tIns="0" rIns="0" bIns="0" rtlCol="0">
                          <a:prstTxWarp prst="textNoShape">
                            <a:avLst/>
                          </a:prstTxWarp>
                          <a:noAutofit/>
                        </wps:bodyPr>
                      </wps:wsp>
                      <wps:wsp>
                        <wps:cNvPr id="936" name="Graphic 936"/>
                        <wps:cNvSpPr/>
                        <wps:spPr>
                          <a:xfrm>
                            <a:off x="3733235" y="1090060"/>
                            <a:ext cx="748030" cy="278130"/>
                          </a:xfrm>
                          <a:custGeom>
                            <a:avLst/>
                            <a:gdLst/>
                            <a:ahLst/>
                            <a:cxnLst/>
                            <a:rect l="l" t="t" r="r" b="b"/>
                            <a:pathLst>
                              <a:path w="748030" h="278130">
                                <a:moveTo>
                                  <a:pt x="747585" y="0"/>
                                </a:moveTo>
                                <a:lnTo>
                                  <a:pt x="0" y="0"/>
                                </a:lnTo>
                                <a:lnTo>
                                  <a:pt x="0" y="277774"/>
                                </a:lnTo>
                                <a:lnTo>
                                  <a:pt x="747585" y="277774"/>
                                </a:lnTo>
                                <a:lnTo>
                                  <a:pt x="747585" y="0"/>
                                </a:lnTo>
                                <a:close/>
                              </a:path>
                            </a:pathLst>
                          </a:custGeom>
                          <a:solidFill>
                            <a:srgbClr val="D7EDDD"/>
                          </a:solidFill>
                        </wps:spPr>
                        <wps:bodyPr wrap="square" lIns="0" tIns="0" rIns="0" bIns="0" rtlCol="0">
                          <a:prstTxWarp prst="textNoShape">
                            <a:avLst/>
                          </a:prstTxWarp>
                          <a:noAutofit/>
                        </wps:bodyPr>
                      </wps:wsp>
                      <wps:wsp>
                        <wps:cNvPr id="937" name="Graphic 937"/>
                        <wps:cNvSpPr/>
                        <wps:spPr>
                          <a:xfrm>
                            <a:off x="3733225" y="1090052"/>
                            <a:ext cx="748030" cy="278130"/>
                          </a:xfrm>
                          <a:custGeom>
                            <a:avLst/>
                            <a:gdLst/>
                            <a:ahLst/>
                            <a:cxnLst/>
                            <a:rect l="l" t="t" r="r" b="b"/>
                            <a:pathLst>
                              <a:path w="748030" h="278130">
                                <a:moveTo>
                                  <a:pt x="747594" y="277782"/>
                                </a:moveTo>
                                <a:lnTo>
                                  <a:pt x="0" y="277782"/>
                                </a:lnTo>
                                <a:lnTo>
                                  <a:pt x="0" y="0"/>
                                </a:lnTo>
                                <a:lnTo>
                                  <a:pt x="747594" y="0"/>
                                </a:lnTo>
                                <a:lnTo>
                                  <a:pt x="747594" y="277782"/>
                                </a:lnTo>
                                <a:close/>
                              </a:path>
                            </a:pathLst>
                          </a:custGeom>
                          <a:ln w="11849">
                            <a:solidFill>
                              <a:srgbClr val="231F20"/>
                            </a:solidFill>
                            <a:prstDash val="solid"/>
                          </a:ln>
                        </wps:spPr>
                        <wps:bodyPr wrap="square" lIns="0" tIns="0" rIns="0" bIns="0" rtlCol="0">
                          <a:prstTxWarp prst="textNoShape">
                            <a:avLst/>
                          </a:prstTxWarp>
                          <a:noAutofit/>
                        </wps:bodyPr>
                      </wps:wsp>
                      <wps:wsp>
                        <wps:cNvPr id="938" name="Graphic 938"/>
                        <wps:cNvSpPr/>
                        <wps:spPr>
                          <a:xfrm>
                            <a:off x="1409093" y="1090052"/>
                            <a:ext cx="675640" cy="499109"/>
                          </a:xfrm>
                          <a:custGeom>
                            <a:avLst/>
                            <a:gdLst/>
                            <a:ahLst/>
                            <a:cxnLst/>
                            <a:rect l="l" t="t" r="r" b="b"/>
                            <a:pathLst>
                              <a:path w="675640" h="499109">
                                <a:moveTo>
                                  <a:pt x="675360" y="0"/>
                                </a:moveTo>
                                <a:lnTo>
                                  <a:pt x="0" y="0"/>
                                </a:lnTo>
                                <a:lnTo>
                                  <a:pt x="0" y="498970"/>
                                </a:lnTo>
                                <a:lnTo>
                                  <a:pt x="675360" y="498970"/>
                                </a:lnTo>
                                <a:lnTo>
                                  <a:pt x="675360" y="0"/>
                                </a:lnTo>
                                <a:close/>
                              </a:path>
                            </a:pathLst>
                          </a:custGeom>
                          <a:solidFill>
                            <a:srgbClr val="D7EDDD"/>
                          </a:solidFill>
                        </wps:spPr>
                        <wps:bodyPr wrap="square" lIns="0" tIns="0" rIns="0" bIns="0" rtlCol="0">
                          <a:prstTxWarp prst="textNoShape">
                            <a:avLst/>
                          </a:prstTxWarp>
                          <a:noAutofit/>
                        </wps:bodyPr>
                      </wps:wsp>
                      <wps:wsp>
                        <wps:cNvPr id="939" name="Graphic 939"/>
                        <wps:cNvSpPr/>
                        <wps:spPr>
                          <a:xfrm>
                            <a:off x="1409091" y="797765"/>
                            <a:ext cx="1149350" cy="791845"/>
                          </a:xfrm>
                          <a:custGeom>
                            <a:avLst/>
                            <a:gdLst/>
                            <a:ahLst/>
                            <a:cxnLst/>
                            <a:rect l="l" t="t" r="r" b="b"/>
                            <a:pathLst>
                              <a:path w="1149350" h="791845">
                                <a:moveTo>
                                  <a:pt x="675361" y="791259"/>
                                </a:moveTo>
                                <a:lnTo>
                                  <a:pt x="0" y="791259"/>
                                </a:lnTo>
                                <a:lnTo>
                                  <a:pt x="0" y="292286"/>
                                </a:lnTo>
                                <a:lnTo>
                                  <a:pt x="675361" y="292286"/>
                                </a:lnTo>
                                <a:lnTo>
                                  <a:pt x="675361" y="791259"/>
                                </a:lnTo>
                                <a:close/>
                              </a:path>
                              <a:path w="1149350" h="791845">
                                <a:moveTo>
                                  <a:pt x="1148870" y="0"/>
                                </a:moveTo>
                                <a:lnTo>
                                  <a:pt x="1148870" y="242092"/>
                                </a:lnTo>
                              </a:path>
                            </a:pathLst>
                          </a:custGeom>
                          <a:ln w="11849">
                            <a:solidFill>
                              <a:srgbClr val="231F20"/>
                            </a:solidFill>
                            <a:prstDash val="solid"/>
                          </a:ln>
                        </wps:spPr>
                        <wps:bodyPr wrap="square" lIns="0" tIns="0" rIns="0" bIns="0" rtlCol="0">
                          <a:prstTxWarp prst="textNoShape">
                            <a:avLst/>
                          </a:prstTxWarp>
                          <a:noAutofit/>
                        </wps:bodyPr>
                      </wps:wsp>
                      <wps:wsp>
                        <wps:cNvPr id="940" name="Graphic 940"/>
                        <wps:cNvSpPr/>
                        <wps:spPr>
                          <a:xfrm>
                            <a:off x="2529053" y="1019327"/>
                            <a:ext cx="58419" cy="71120"/>
                          </a:xfrm>
                          <a:custGeom>
                            <a:avLst/>
                            <a:gdLst/>
                            <a:ahLst/>
                            <a:cxnLst/>
                            <a:rect l="l" t="t" r="r" b="b"/>
                            <a:pathLst>
                              <a:path w="58419" h="71120">
                                <a:moveTo>
                                  <a:pt x="57810" y="0"/>
                                </a:moveTo>
                                <a:lnTo>
                                  <a:pt x="28905" y="16789"/>
                                </a:lnTo>
                                <a:lnTo>
                                  <a:pt x="0" y="0"/>
                                </a:lnTo>
                                <a:lnTo>
                                  <a:pt x="28905" y="70738"/>
                                </a:lnTo>
                                <a:lnTo>
                                  <a:pt x="57810" y="0"/>
                                </a:lnTo>
                                <a:close/>
                              </a:path>
                            </a:pathLst>
                          </a:custGeom>
                          <a:solidFill>
                            <a:srgbClr val="231F20"/>
                          </a:solidFill>
                        </wps:spPr>
                        <wps:bodyPr wrap="square" lIns="0" tIns="0" rIns="0" bIns="0" rtlCol="0">
                          <a:prstTxWarp prst="textNoShape">
                            <a:avLst/>
                          </a:prstTxWarp>
                          <a:noAutofit/>
                        </wps:bodyPr>
                      </wps:wsp>
                      <wps:wsp>
                        <wps:cNvPr id="941" name="Graphic 941"/>
                        <wps:cNvSpPr/>
                        <wps:spPr>
                          <a:xfrm>
                            <a:off x="2557958" y="357064"/>
                            <a:ext cx="1270" cy="113030"/>
                          </a:xfrm>
                          <a:custGeom>
                            <a:avLst/>
                            <a:gdLst/>
                            <a:ahLst/>
                            <a:cxnLst/>
                            <a:rect l="l" t="t" r="r" b="b"/>
                            <a:pathLst>
                              <a:path w="0" h="113030">
                                <a:moveTo>
                                  <a:pt x="0" y="0"/>
                                </a:moveTo>
                                <a:lnTo>
                                  <a:pt x="0" y="112734"/>
                                </a:lnTo>
                              </a:path>
                            </a:pathLst>
                          </a:custGeom>
                          <a:ln w="11849">
                            <a:solidFill>
                              <a:srgbClr val="231F20"/>
                            </a:solidFill>
                            <a:prstDash val="solid"/>
                          </a:ln>
                        </wps:spPr>
                        <wps:bodyPr wrap="square" lIns="0" tIns="0" rIns="0" bIns="0" rtlCol="0">
                          <a:prstTxWarp prst="textNoShape">
                            <a:avLst/>
                          </a:prstTxWarp>
                          <a:noAutofit/>
                        </wps:bodyPr>
                      </wps:wsp>
                      <wps:wsp>
                        <wps:cNvPr id="942" name="Graphic 942"/>
                        <wps:cNvSpPr/>
                        <wps:spPr>
                          <a:xfrm>
                            <a:off x="2529053" y="449251"/>
                            <a:ext cx="58419" cy="71120"/>
                          </a:xfrm>
                          <a:custGeom>
                            <a:avLst/>
                            <a:gdLst/>
                            <a:ahLst/>
                            <a:cxnLst/>
                            <a:rect l="l" t="t" r="r" b="b"/>
                            <a:pathLst>
                              <a:path w="58419" h="71120">
                                <a:moveTo>
                                  <a:pt x="57810" y="0"/>
                                </a:moveTo>
                                <a:lnTo>
                                  <a:pt x="28905" y="16789"/>
                                </a:lnTo>
                                <a:lnTo>
                                  <a:pt x="0" y="0"/>
                                </a:lnTo>
                                <a:lnTo>
                                  <a:pt x="28905" y="70739"/>
                                </a:lnTo>
                                <a:lnTo>
                                  <a:pt x="57810" y="0"/>
                                </a:lnTo>
                                <a:close/>
                              </a:path>
                            </a:pathLst>
                          </a:custGeom>
                          <a:solidFill>
                            <a:srgbClr val="231F20"/>
                          </a:solidFill>
                        </wps:spPr>
                        <wps:bodyPr wrap="square" lIns="0" tIns="0" rIns="0" bIns="0" rtlCol="0">
                          <a:prstTxWarp prst="textNoShape">
                            <a:avLst/>
                          </a:prstTxWarp>
                          <a:noAutofit/>
                        </wps:bodyPr>
                      </wps:wsp>
                      <wps:wsp>
                        <wps:cNvPr id="943" name="Graphic 943"/>
                        <wps:cNvSpPr/>
                        <wps:spPr>
                          <a:xfrm>
                            <a:off x="306618" y="1497191"/>
                            <a:ext cx="988060" cy="113030"/>
                          </a:xfrm>
                          <a:custGeom>
                            <a:avLst/>
                            <a:gdLst/>
                            <a:ahLst/>
                            <a:cxnLst/>
                            <a:rect l="l" t="t" r="r" b="b"/>
                            <a:pathLst>
                              <a:path w="988060" h="113030">
                                <a:moveTo>
                                  <a:pt x="987435" y="112722"/>
                                </a:moveTo>
                                <a:lnTo>
                                  <a:pt x="987435" y="0"/>
                                </a:lnTo>
                                <a:lnTo>
                                  <a:pt x="0" y="0"/>
                                </a:lnTo>
                                <a:lnTo>
                                  <a:pt x="0" y="112722"/>
                                </a:lnTo>
                              </a:path>
                            </a:pathLst>
                          </a:custGeom>
                          <a:ln w="11849">
                            <a:solidFill>
                              <a:srgbClr val="231F20"/>
                            </a:solidFill>
                            <a:prstDash val="solid"/>
                          </a:ln>
                        </wps:spPr>
                        <wps:bodyPr wrap="square" lIns="0" tIns="0" rIns="0" bIns="0" rtlCol="0">
                          <a:prstTxWarp prst="textNoShape">
                            <a:avLst/>
                          </a:prstTxWarp>
                          <a:noAutofit/>
                        </wps:bodyPr>
                      </wps:wsp>
                      <wps:wsp>
                        <wps:cNvPr id="944" name="Graphic 944"/>
                        <wps:cNvSpPr/>
                        <wps:spPr>
                          <a:xfrm>
                            <a:off x="277697" y="1589383"/>
                            <a:ext cx="1045844" cy="71120"/>
                          </a:xfrm>
                          <a:custGeom>
                            <a:avLst/>
                            <a:gdLst/>
                            <a:ahLst/>
                            <a:cxnLst/>
                            <a:rect l="l" t="t" r="r" b="b"/>
                            <a:pathLst>
                              <a:path w="1045844" h="71120">
                                <a:moveTo>
                                  <a:pt x="57797" y="0"/>
                                </a:moveTo>
                                <a:lnTo>
                                  <a:pt x="28905" y="16789"/>
                                </a:lnTo>
                                <a:lnTo>
                                  <a:pt x="0" y="0"/>
                                </a:lnTo>
                                <a:lnTo>
                                  <a:pt x="28905" y="70739"/>
                                </a:lnTo>
                                <a:lnTo>
                                  <a:pt x="57797" y="0"/>
                                </a:lnTo>
                                <a:close/>
                              </a:path>
                              <a:path w="1045844" h="71120">
                                <a:moveTo>
                                  <a:pt x="1045273" y="0"/>
                                </a:moveTo>
                                <a:lnTo>
                                  <a:pt x="1016355" y="16789"/>
                                </a:lnTo>
                                <a:lnTo>
                                  <a:pt x="987463" y="0"/>
                                </a:lnTo>
                                <a:lnTo>
                                  <a:pt x="1016355" y="70739"/>
                                </a:lnTo>
                                <a:lnTo>
                                  <a:pt x="1045273" y="0"/>
                                </a:lnTo>
                                <a:close/>
                              </a:path>
                            </a:pathLst>
                          </a:custGeom>
                          <a:solidFill>
                            <a:srgbClr val="231F20"/>
                          </a:solidFill>
                        </wps:spPr>
                        <wps:bodyPr wrap="square" lIns="0" tIns="0" rIns="0" bIns="0" rtlCol="0">
                          <a:prstTxWarp prst="textNoShape">
                            <a:avLst/>
                          </a:prstTxWarp>
                          <a:noAutofit/>
                        </wps:bodyPr>
                      </wps:wsp>
                      <wps:wsp>
                        <wps:cNvPr id="945" name="Graphic 945"/>
                        <wps:cNvSpPr/>
                        <wps:spPr>
                          <a:xfrm>
                            <a:off x="800345" y="927111"/>
                            <a:ext cx="946785" cy="570230"/>
                          </a:xfrm>
                          <a:custGeom>
                            <a:avLst/>
                            <a:gdLst/>
                            <a:ahLst/>
                            <a:cxnLst/>
                            <a:rect l="l" t="t" r="r" b="b"/>
                            <a:pathLst>
                              <a:path w="946785" h="570230">
                                <a:moveTo>
                                  <a:pt x="0" y="570080"/>
                                </a:moveTo>
                                <a:lnTo>
                                  <a:pt x="0" y="440721"/>
                                </a:lnTo>
                              </a:path>
                              <a:path w="946785" h="570230">
                                <a:moveTo>
                                  <a:pt x="946437" y="112734"/>
                                </a:moveTo>
                                <a:lnTo>
                                  <a:pt x="946437" y="0"/>
                                </a:lnTo>
                                <a:lnTo>
                                  <a:pt x="0" y="0"/>
                                </a:lnTo>
                                <a:lnTo>
                                  <a:pt x="0" y="112734"/>
                                </a:lnTo>
                              </a:path>
                            </a:pathLst>
                          </a:custGeom>
                          <a:ln w="11849">
                            <a:solidFill>
                              <a:srgbClr val="231F20"/>
                            </a:solidFill>
                            <a:prstDash val="solid"/>
                          </a:ln>
                        </wps:spPr>
                        <wps:bodyPr wrap="square" lIns="0" tIns="0" rIns="0" bIns="0" rtlCol="0">
                          <a:prstTxWarp prst="textNoShape">
                            <a:avLst/>
                          </a:prstTxWarp>
                          <a:noAutofit/>
                        </wps:bodyPr>
                      </wps:wsp>
                      <wps:wsp>
                        <wps:cNvPr id="946" name="Graphic 946"/>
                        <wps:cNvSpPr/>
                        <wps:spPr>
                          <a:xfrm>
                            <a:off x="771423" y="1019318"/>
                            <a:ext cx="1004569" cy="71120"/>
                          </a:xfrm>
                          <a:custGeom>
                            <a:avLst/>
                            <a:gdLst/>
                            <a:ahLst/>
                            <a:cxnLst/>
                            <a:rect l="l" t="t" r="r" b="b"/>
                            <a:pathLst>
                              <a:path w="1004569" h="71120">
                                <a:moveTo>
                                  <a:pt x="57810" y="0"/>
                                </a:moveTo>
                                <a:lnTo>
                                  <a:pt x="28917" y="16789"/>
                                </a:lnTo>
                                <a:lnTo>
                                  <a:pt x="0" y="0"/>
                                </a:lnTo>
                                <a:lnTo>
                                  <a:pt x="28917" y="70739"/>
                                </a:lnTo>
                                <a:lnTo>
                                  <a:pt x="57810" y="0"/>
                                </a:lnTo>
                                <a:close/>
                              </a:path>
                              <a:path w="1004569" h="71120">
                                <a:moveTo>
                                  <a:pt x="1004252" y="0"/>
                                </a:moveTo>
                                <a:lnTo>
                                  <a:pt x="975347" y="16789"/>
                                </a:lnTo>
                                <a:lnTo>
                                  <a:pt x="946454" y="0"/>
                                </a:lnTo>
                                <a:lnTo>
                                  <a:pt x="975347" y="70739"/>
                                </a:lnTo>
                                <a:lnTo>
                                  <a:pt x="1004252" y="0"/>
                                </a:lnTo>
                                <a:close/>
                              </a:path>
                            </a:pathLst>
                          </a:custGeom>
                          <a:solidFill>
                            <a:srgbClr val="231F20"/>
                          </a:solidFill>
                        </wps:spPr>
                        <wps:bodyPr wrap="square" lIns="0" tIns="0" rIns="0" bIns="0" rtlCol="0">
                          <a:prstTxWarp prst="textNoShape">
                            <a:avLst/>
                          </a:prstTxWarp>
                          <a:noAutofit/>
                        </wps:bodyPr>
                      </wps:wsp>
                      <wps:wsp>
                        <wps:cNvPr id="947" name="Graphic 947"/>
                        <wps:cNvSpPr/>
                        <wps:spPr>
                          <a:xfrm>
                            <a:off x="1273555" y="357071"/>
                            <a:ext cx="2454275" cy="570230"/>
                          </a:xfrm>
                          <a:custGeom>
                            <a:avLst/>
                            <a:gdLst/>
                            <a:ahLst/>
                            <a:cxnLst/>
                            <a:rect l="l" t="t" r="r" b="b"/>
                            <a:pathLst>
                              <a:path w="2454275" h="570230">
                                <a:moveTo>
                                  <a:pt x="0" y="570056"/>
                                </a:moveTo>
                                <a:lnTo>
                                  <a:pt x="0" y="440698"/>
                                </a:lnTo>
                              </a:path>
                              <a:path w="2454275" h="570230">
                                <a:moveTo>
                                  <a:pt x="2453925" y="112722"/>
                                </a:moveTo>
                                <a:lnTo>
                                  <a:pt x="2453925" y="0"/>
                                </a:lnTo>
                                <a:lnTo>
                                  <a:pt x="0" y="0"/>
                                </a:lnTo>
                                <a:lnTo>
                                  <a:pt x="0" y="112722"/>
                                </a:lnTo>
                              </a:path>
                            </a:pathLst>
                          </a:custGeom>
                          <a:ln w="11849">
                            <a:solidFill>
                              <a:srgbClr val="231F20"/>
                            </a:solidFill>
                            <a:prstDash val="solid"/>
                          </a:ln>
                        </wps:spPr>
                        <wps:bodyPr wrap="square" lIns="0" tIns="0" rIns="0" bIns="0" rtlCol="0">
                          <a:prstTxWarp prst="textNoShape">
                            <a:avLst/>
                          </a:prstTxWarp>
                          <a:noAutofit/>
                        </wps:bodyPr>
                      </wps:wsp>
                      <wps:wsp>
                        <wps:cNvPr id="948" name="Graphic 948"/>
                        <wps:cNvSpPr/>
                        <wps:spPr>
                          <a:xfrm>
                            <a:off x="1244650" y="449253"/>
                            <a:ext cx="2512060" cy="71120"/>
                          </a:xfrm>
                          <a:custGeom>
                            <a:avLst/>
                            <a:gdLst/>
                            <a:ahLst/>
                            <a:cxnLst/>
                            <a:rect l="l" t="t" r="r" b="b"/>
                            <a:pathLst>
                              <a:path w="2512060" h="71120">
                                <a:moveTo>
                                  <a:pt x="57810" y="0"/>
                                </a:moveTo>
                                <a:lnTo>
                                  <a:pt x="28905" y="16789"/>
                                </a:lnTo>
                                <a:lnTo>
                                  <a:pt x="0" y="0"/>
                                </a:lnTo>
                                <a:lnTo>
                                  <a:pt x="28905" y="70739"/>
                                </a:lnTo>
                                <a:lnTo>
                                  <a:pt x="57810" y="0"/>
                                </a:lnTo>
                                <a:close/>
                              </a:path>
                              <a:path w="2512060" h="71120">
                                <a:moveTo>
                                  <a:pt x="2511704" y="0"/>
                                </a:moveTo>
                                <a:lnTo>
                                  <a:pt x="2482799" y="16789"/>
                                </a:lnTo>
                                <a:lnTo>
                                  <a:pt x="2453894" y="0"/>
                                </a:lnTo>
                                <a:lnTo>
                                  <a:pt x="2482799" y="70739"/>
                                </a:lnTo>
                                <a:lnTo>
                                  <a:pt x="2511704" y="0"/>
                                </a:lnTo>
                                <a:close/>
                              </a:path>
                            </a:pathLst>
                          </a:custGeom>
                          <a:solidFill>
                            <a:srgbClr val="231F20"/>
                          </a:solidFill>
                        </wps:spPr>
                        <wps:bodyPr wrap="square" lIns="0" tIns="0" rIns="0" bIns="0" rtlCol="0">
                          <a:prstTxWarp prst="textNoShape">
                            <a:avLst/>
                          </a:prstTxWarp>
                          <a:noAutofit/>
                        </wps:bodyPr>
                      </wps:wsp>
                      <wps:wsp>
                        <wps:cNvPr id="949" name="Graphic 949"/>
                        <wps:cNvSpPr/>
                        <wps:spPr>
                          <a:xfrm>
                            <a:off x="2500514" y="227706"/>
                            <a:ext cx="1606550" cy="812165"/>
                          </a:xfrm>
                          <a:custGeom>
                            <a:avLst/>
                            <a:gdLst/>
                            <a:ahLst/>
                            <a:cxnLst/>
                            <a:rect l="l" t="t" r="r" b="b"/>
                            <a:pathLst>
                              <a:path w="1606550" h="812165">
                                <a:moveTo>
                                  <a:pt x="0" y="129358"/>
                                </a:moveTo>
                                <a:lnTo>
                                  <a:pt x="0" y="0"/>
                                </a:lnTo>
                              </a:path>
                              <a:path w="1606550" h="812165">
                                <a:moveTo>
                                  <a:pt x="1606524" y="812149"/>
                                </a:moveTo>
                                <a:lnTo>
                                  <a:pt x="1606524" y="699415"/>
                                </a:lnTo>
                                <a:lnTo>
                                  <a:pt x="847365" y="699415"/>
                                </a:lnTo>
                                <a:lnTo>
                                  <a:pt x="847365" y="812149"/>
                                </a:lnTo>
                              </a:path>
                            </a:pathLst>
                          </a:custGeom>
                          <a:ln w="11849">
                            <a:solidFill>
                              <a:srgbClr val="231F20"/>
                            </a:solidFill>
                            <a:prstDash val="solid"/>
                          </a:ln>
                        </wps:spPr>
                        <wps:bodyPr wrap="square" lIns="0" tIns="0" rIns="0" bIns="0" rtlCol="0">
                          <a:prstTxWarp prst="textNoShape">
                            <a:avLst/>
                          </a:prstTxWarp>
                          <a:noAutofit/>
                        </wps:bodyPr>
                      </wps:wsp>
                      <wps:wsp>
                        <wps:cNvPr id="950" name="Graphic 950"/>
                        <wps:cNvSpPr/>
                        <wps:spPr>
                          <a:xfrm>
                            <a:off x="3318954" y="1019318"/>
                            <a:ext cx="817244" cy="71120"/>
                          </a:xfrm>
                          <a:custGeom>
                            <a:avLst/>
                            <a:gdLst/>
                            <a:ahLst/>
                            <a:cxnLst/>
                            <a:rect l="l" t="t" r="r" b="b"/>
                            <a:pathLst>
                              <a:path w="817244" h="71120">
                                <a:moveTo>
                                  <a:pt x="57810" y="0"/>
                                </a:moveTo>
                                <a:lnTo>
                                  <a:pt x="28917" y="16789"/>
                                </a:lnTo>
                                <a:lnTo>
                                  <a:pt x="0" y="0"/>
                                </a:lnTo>
                                <a:lnTo>
                                  <a:pt x="28917" y="70739"/>
                                </a:lnTo>
                                <a:lnTo>
                                  <a:pt x="57810" y="0"/>
                                </a:lnTo>
                                <a:close/>
                              </a:path>
                              <a:path w="817244" h="71120">
                                <a:moveTo>
                                  <a:pt x="816965" y="0"/>
                                </a:moveTo>
                                <a:lnTo>
                                  <a:pt x="788060" y="16789"/>
                                </a:lnTo>
                                <a:lnTo>
                                  <a:pt x="759155" y="0"/>
                                </a:lnTo>
                                <a:lnTo>
                                  <a:pt x="788060" y="70739"/>
                                </a:lnTo>
                                <a:lnTo>
                                  <a:pt x="816965" y="0"/>
                                </a:lnTo>
                                <a:close/>
                              </a:path>
                            </a:pathLst>
                          </a:custGeom>
                          <a:solidFill>
                            <a:srgbClr val="231F20"/>
                          </a:solidFill>
                        </wps:spPr>
                        <wps:bodyPr wrap="square" lIns="0" tIns="0" rIns="0" bIns="0" rtlCol="0">
                          <a:prstTxWarp prst="textNoShape">
                            <a:avLst/>
                          </a:prstTxWarp>
                          <a:noAutofit/>
                        </wps:bodyPr>
                      </wps:wsp>
                      <wps:wsp>
                        <wps:cNvPr id="951" name="Graphic 951"/>
                        <wps:cNvSpPr/>
                        <wps:spPr>
                          <a:xfrm>
                            <a:off x="3727449" y="797769"/>
                            <a:ext cx="1270" cy="129539"/>
                          </a:xfrm>
                          <a:custGeom>
                            <a:avLst/>
                            <a:gdLst/>
                            <a:ahLst/>
                            <a:cxnLst/>
                            <a:rect l="l" t="t" r="r" b="b"/>
                            <a:pathLst>
                              <a:path w="0" h="129539">
                                <a:moveTo>
                                  <a:pt x="0" y="129358"/>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952" name="Textbox 952"/>
                        <wps:cNvSpPr txBox="1"/>
                        <wps:spPr>
                          <a:xfrm>
                            <a:off x="995063" y="562650"/>
                            <a:ext cx="565785" cy="201930"/>
                          </a:xfrm>
                          <a:prstGeom prst="rect">
                            <a:avLst/>
                          </a:prstGeom>
                        </wps:spPr>
                        <wps:txbx>
                          <w:txbxContent>
                            <w:p>
                              <w:pPr>
                                <w:spacing w:line="144" w:lineRule="exact" w:before="0"/>
                                <w:ind w:left="0" w:right="18" w:firstLine="0"/>
                                <w:jc w:val="center"/>
                                <w:rPr>
                                  <w:rFonts w:ascii="Arial MT"/>
                                  <w:sz w:val="15"/>
                                </w:rPr>
                              </w:pPr>
                              <w:r>
                                <w:rPr>
                                  <w:rFonts w:ascii="Arial MT"/>
                                  <w:color w:val="231F20"/>
                                  <w:sz w:val="15"/>
                                </w:rPr>
                                <w:t>Primary</w:t>
                              </w:r>
                              <w:r>
                                <w:rPr>
                                  <w:rFonts w:ascii="Arial MT"/>
                                  <w:color w:val="231F20"/>
                                  <w:spacing w:val="-7"/>
                                  <w:sz w:val="15"/>
                                </w:rPr>
                                <w:t> </w:t>
                              </w:r>
                              <w:r>
                                <w:rPr>
                                  <w:rFonts w:ascii="Arial MT"/>
                                  <w:color w:val="231F20"/>
                                  <w:spacing w:val="-5"/>
                                  <w:sz w:val="15"/>
                                </w:rPr>
                                <w:t>CNS</w:t>
                              </w:r>
                            </w:p>
                            <w:p>
                              <w:pPr>
                                <w:spacing w:line="170" w:lineRule="exact" w:before="0"/>
                                <w:ind w:left="0" w:right="12" w:firstLine="0"/>
                                <w:jc w:val="center"/>
                                <w:rPr>
                                  <w:rFonts w:ascii="Arial MT"/>
                                  <w:sz w:val="15"/>
                                </w:rPr>
                              </w:pPr>
                              <w:r>
                                <w:rPr>
                                  <w:rFonts w:ascii="Arial MT"/>
                                  <w:color w:val="231F20"/>
                                  <w:spacing w:val="-2"/>
                                  <w:sz w:val="15"/>
                                </w:rPr>
                                <w:t>Vasculitis</w:t>
                              </w:r>
                            </w:p>
                          </w:txbxContent>
                        </wps:txbx>
                        <wps:bodyPr wrap="square" lIns="0" tIns="0" rIns="0" bIns="0" rtlCol="0">
                          <a:noAutofit/>
                        </wps:bodyPr>
                      </wps:wsp>
                      <wps:wsp>
                        <wps:cNvPr id="953" name="Textbox 953"/>
                        <wps:cNvSpPr txBox="1"/>
                        <wps:spPr>
                          <a:xfrm>
                            <a:off x="2216864" y="562650"/>
                            <a:ext cx="692785" cy="201930"/>
                          </a:xfrm>
                          <a:prstGeom prst="rect">
                            <a:avLst/>
                          </a:prstGeom>
                        </wps:spPr>
                        <wps:txbx>
                          <w:txbxContent>
                            <w:p>
                              <w:pPr>
                                <w:spacing w:line="144" w:lineRule="exact" w:before="0"/>
                                <w:ind w:left="0" w:right="18" w:firstLine="0"/>
                                <w:jc w:val="center"/>
                                <w:rPr>
                                  <w:rFonts w:ascii="Arial MT"/>
                                  <w:sz w:val="15"/>
                                </w:rPr>
                              </w:pPr>
                              <w:r>
                                <w:rPr>
                                  <w:rFonts w:ascii="Arial MT"/>
                                  <w:color w:val="231F20"/>
                                  <w:sz w:val="15"/>
                                </w:rPr>
                                <w:t>Secondary</w:t>
                              </w:r>
                              <w:r>
                                <w:rPr>
                                  <w:rFonts w:ascii="Arial MT"/>
                                  <w:color w:val="231F20"/>
                                  <w:spacing w:val="-9"/>
                                  <w:sz w:val="15"/>
                                </w:rPr>
                                <w:t> </w:t>
                              </w:r>
                              <w:r>
                                <w:rPr>
                                  <w:rFonts w:ascii="Arial MT"/>
                                  <w:color w:val="231F20"/>
                                  <w:spacing w:val="-5"/>
                                  <w:sz w:val="15"/>
                                </w:rPr>
                                <w:t>CNS</w:t>
                              </w:r>
                            </w:p>
                            <w:p>
                              <w:pPr>
                                <w:spacing w:line="170" w:lineRule="exact" w:before="0"/>
                                <w:ind w:left="0" w:right="14" w:firstLine="0"/>
                                <w:jc w:val="center"/>
                                <w:rPr>
                                  <w:rFonts w:ascii="Arial MT"/>
                                  <w:sz w:val="15"/>
                                </w:rPr>
                              </w:pPr>
                              <w:r>
                                <w:rPr>
                                  <w:rFonts w:ascii="Arial MT"/>
                                  <w:color w:val="231F20"/>
                                  <w:spacing w:val="-2"/>
                                  <w:sz w:val="15"/>
                                </w:rPr>
                                <w:t>Vasculitis</w:t>
                              </w:r>
                            </w:p>
                          </w:txbxContent>
                        </wps:txbx>
                        <wps:bodyPr wrap="square" lIns="0" tIns="0" rIns="0" bIns="0" rtlCol="0">
                          <a:noAutofit/>
                        </wps:bodyPr>
                      </wps:wsp>
                      <wps:wsp>
                        <wps:cNvPr id="954" name="Textbox 954"/>
                        <wps:cNvSpPr txBox="1"/>
                        <wps:spPr>
                          <a:xfrm>
                            <a:off x="3332400" y="562650"/>
                            <a:ext cx="803275" cy="201930"/>
                          </a:xfrm>
                          <a:prstGeom prst="rect">
                            <a:avLst/>
                          </a:prstGeom>
                        </wps:spPr>
                        <wps:txbx>
                          <w:txbxContent>
                            <w:p>
                              <w:pPr>
                                <w:spacing w:line="144" w:lineRule="exact" w:before="0"/>
                                <w:ind w:left="-1" w:right="18" w:firstLine="0"/>
                                <w:jc w:val="center"/>
                                <w:rPr>
                                  <w:rFonts w:ascii="Arial MT"/>
                                  <w:sz w:val="15"/>
                                </w:rPr>
                              </w:pPr>
                              <w:r>
                                <w:rPr>
                                  <w:rFonts w:ascii="Arial MT"/>
                                  <w:color w:val="231F20"/>
                                  <w:spacing w:val="-2"/>
                                  <w:sz w:val="15"/>
                                </w:rPr>
                                <w:t>Antibody-mediated</w:t>
                              </w:r>
                            </w:p>
                            <w:p>
                              <w:pPr>
                                <w:spacing w:line="170" w:lineRule="exact" w:before="0"/>
                                <w:ind w:left="1" w:right="18" w:firstLine="0"/>
                                <w:jc w:val="center"/>
                                <w:rPr>
                                  <w:rFonts w:ascii="Arial MT"/>
                                  <w:sz w:val="15"/>
                                </w:rPr>
                              </w:pPr>
                              <w:r>
                                <w:rPr>
                                  <w:rFonts w:ascii="Arial MT"/>
                                  <w:color w:val="231F20"/>
                                  <w:spacing w:val="-2"/>
                                  <w:sz w:val="15"/>
                                </w:rPr>
                                <w:t>encephalitis</w:t>
                              </w:r>
                            </w:p>
                          </w:txbxContent>
                        </wps:txbx>
                        <wps:bodyPr wrap="square" lIns="0" tIns="0" rIns="0" bIns="0" rtlCol="0">
                          <a:noAutofit/>
                        </wps:bodyPr>
                      </wps:wsp>
                      <wps:wsp>
                        <wps:cNvPr id="955" name="Textbox 955"/>
                        <wps:cNvSpPr txBox="1"/>
                        <wps:spPr>
                          <a:xfrm>
                            <a:off x="536639" y="1132742"/>
                            <a:ext cx="545465" cy="201930"/>
                          </a:xfrm>
                          <a:prstGeom prst="rect">
                            <a:avLst/>
                          </a:prstGeom>
                        </wps:spPr>
                        <wps:txbx>
                          <w:txbxContent>
                            <w:p>
                              <w:pPr>
                                <w:spacing w:line="144" w:lineRule="exact" w:before="0"/>
                                <w:ind w:left="0" w:right="18" w:firstLine="0"/>
                                <w:jc w:val="center"/>
                                <w:rPr>
                                  <w:rFonts w:ascii="Arial MT"/>
                                  <w:sz w:val="15"/>
                                </w:rPr>
                              </w:pPr>
                              <w:r>
                                <w:rPr>
                                  <w:rFonts w:ascii="Arial MT"/>
                                  <w:color w:val="231F20"/>
                                  <w:spacing w:val="-2"/>
                                  <w:sz w:val="15"/>
                                </w:rPr>
                                <w:t>Angiography</w:t>
                              </w:r>
                            </w:p>
                            <w:p>
                              <w:pPr>
                                <w:spacing w:line="170" w:lineRule="exact" w:before="0"/>
                                <w:ind w:left="0" w:right="21" w:firstLine="0"/>
                                <w:jc w:val="center"/>
                                <w:rPr>
                                  <w:rFonts w:ascii="Arial MT"/>
                                  <w:sz w:val="15"/>
                                </w:rPr>
                              </w:pPr>
                              <w:r>
                                <w:rPr>
                                  <w:rFonts w:ascii="Arial MT"/>
                                  <w:color w:val="231F20"/>
                                  <w:spacing w:val="-2"/>
                                  <w:sz w:val="15"/>
                                </w:rPr>
                                <w:t>positive</w:t>
                              </w:r>
                            </w:p>
                          </w:txbxContent>
                        </wps:txbx>
                        <wps:bodyPr wrap="square" lIns="0" tIns="0" rIns="0" bIns="0" rtlCol="0">
                          <a:noAutofit/>
                        </wps:bodyPr>
                      </wps:wsp>
                      <wps:wsp>
                        <wps:cNvPr id="956" name="Textbox 956"/>
                        <wps:cNvSpPr txBox="1"/>
                        <wps:spPr>
                          <a:xfrm>
                            <a:off x="1483063" y="1136722"/>
                            <a:ext cx="545465" cy="415290"/>
                          </a:xfrm>
                          <a:prstGeom prst="rect">
                            <a:avLst/>
                          </a:prstGeom>
                        </wps:spPr>
                        <wps:txbx>
                          <w:txbxContent>
                            <w:p>
                              <w:pPr>
                                <w:spacing w:line="144" w:lineRule="exact" w:before="0"/>
                                <w:ind w:left="-1" w:right="18" w:firstLine="0"/>
                                <w:jc w:val="center"/>
                                <w:rPr>
                                  <w:rFonts w:ascii="Arial MT"/>
                                  <w:sz w:val="15"/>
                                </w:rPr>
                              </w:pPr>
                              <w:r>
                                <w:rPr>
                                  <w:rFonts w:ascii="Arial MT"/>
                                  <w:color w:val="231F20"/>
                                  <w:spacing w:val="-2"/>
                                  <w:sz w:val="15"/>
                                </w:rPr>
                                <w:t>Angiography</w:t>
                              </w:r>
                            </w:p>
                            <w:p>
                              <w:pPr>
                                <w:spacing w:line="232" w:lineRule="auto" w:before="2"/>
                                <w:ind w:left="5" w:right="29" w:firstLine="1"/>
                                <w:jc w:val="center"/>
                                <w:rPr>
                                  <w:rFonts w:ascii="Arial MT"/>
                                  <w:sz w:val="15"/>
                                </w:rPr>
                              </w:pPr>
                              <w:r>
                                <w:rPr>
                                  <w:rFonts w:ascii="Arial MT"/>
                                  <w:color w:val="231F20"/>
                                  <w:spacing w:val="-2"/>
                                  <w:sz w:val="15"/>
                                </w:rPr>
                                <w:t>negative</w:t>
                              </w:r>
                              <w:r>
                                <w:rPr>
                                  <w:rFonts w:ascii="Arial MT"/>
                                  <w:color w:val="231F20"/>
                                  <w:sz w:val="15"/>
                                </w:rPr>
                                <w:t> </w:t>
                              </w:r>
                              <w:r>
                                <w:rPr>
                                  <w:rFonts w:ascii="Arial MT"/>
                                  <w:color w:val="231F20"/>
                                  <w:spacing w:val="-2"/>
                                  <w:sz w:val="15"/>
                                </w:rPr>
                                <w:t>Brain</w:t>
                              </w:r>
                              <w:r>
                                <w:rPr>
                                  <w:rFonts w:ascii="Arial MT"/>
                                  <w:color w:val="231F20"/>
                                  <w:spacing w:val="-9"/>
                                  <w:sz w:val="15"/>
                                </w:rPr>
                                <w:t> </w:t>
                              </w:r>
                              <w:r>
                                <w:rPr>
                                  <w:rFonts w:ascii="Arial MT"/>
                                  <w:color w:val="231F20"/>
                                  <w:spacing w:val="-2"/>
                                  <w:sz w:val="15"/>
                                </w:rPr>
                                <w:t>biopsy</w:t>
                              </w:r>
                              <w:r>
                                <w:rPr>
                                  <w:rFonts w:ascii="Arial MT"/>
                                  <w:color w:val="231F20"/>
                                  <w:sz w:val="15"/>
                                </w:rPr>
                                <w:t> </w:t>
                              </w:r>
                              <w:r>
                                <w:rPr>
                                  <w:rFonts w:ascii="Arial MT"/>
                                  <w:color w:val="231F20"/>
                                  <w:spacing w:val="-2"/>
                                  <w:sz w:val="15"/>
                                </w:rPr>
                                <w:t>positive</w:t>
                              </w:r>
                            </w:p>
                          </w:txbxContent>
                        </wps:txbx>
                        <wps:bodyPr wrap="square" lIns="0" tIns="0" rIns="0" bIns="0" rtlCol="0">
                          <a:noAutofit/>
                        </wps:bodyPr>
                      </wps:wsp>
                      <wps:wsp>
                        <wps:cNvPr id="957" name="Textbox 957"/>
                        <wps:cNvSpPr txBox="1"/>
                        <wps:spPr>
                          <a:xfrm>
                            <a:off x="2216580" y="1158052"/>
                            <a:ext cx="70167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See</w:t>
                              </w:r>
                              <w:r>
                                <w:rPr>
                                  <w:rFonts w:ascii="Arial MT"/>
                                  <w:color w:val="231F20"/>
                                  <w:spacing w:val="-9"/>
                                  <w:sz w:val="15"/>
                                </w:rPr>
                                <w:t> </w:t>
                              </w:r>
                              <w:r>
                                <w:rPr>
                                  <w:rFonts w:ascii="Arial MT"/>
                                  <w:color w:val="231F20"/>
                                  <w:spacing w:val="-2"/>
                                  <w:sz w:val="15"/>
                                </w:rPr>
                                <w:t>Table</w:t>
                              </w:r>
                              <w:r>
                                <w:rPr>
                                  <w:rFonts w:ascii="Arial MT"/>
                                  <w:color w:val="231F20"/>
                                  <w:spacing w:val="-7"/>
                                  <w:sz w:val="15"/>
                                </w:rPr>
                                <w:t> </w:t>
                              </w:r>
                              <w:r>
                                <w:rPr>
                                  <w:rFonts w:ascii="Arial MT"/>
                                  <w:color w:val="231F20"/>
                                  <w:spacing w:val="-2"/>
                                  <w:sz w:val="15"/>
                                </w:rPr>
                                <w:t>602-</w:t>
                              </w:r>
                              <w:r>
                                <w:rPr>
                                  <w:rFonts w:ascii="Arial MT"/>
                                  <w:color w:val="231F20"/>
                                  <w:spacing w:val="-10"/>
                                  <w:sz w:val="15"/>
                                </w:rPr>
                                <w:t>1</w:t>
                              </w:r>
                            </w:p>
                          </w:txbxContent>
                        </wps:txbx>
                        <wps:bodyPr wrap="square" lIns="0" tIns="0" rIns="0" bIns="0" rtlCol="0">
                          <a:noAutofit/>
                        </wps:bodyPr>
                      </wps:wsp>
                      <wps:wsp>
                        <wps:cNvPr id="958" name="Textbox 958"/>
                        <wps:cNvSpPr txBox="1"/>
                        <wps:spPr>
                          <a:xfrm>
                            <a:off x="3103473" y="1132742"/>
                            <a:ext cx="1341755" cy="201930"/>
                          </a:xfrm>
                          <a:prstGeom prst="rect">
                            <a:avLst/>
                          </a:prstGeom>
                        </wps:spPr>
                        <wps:txbx>
                          <w:txbxContent>
                            <w:p>
                              <w:pPr>
                                <w:tabs>
                                  <w:tab w:pos="1128" w:val="left" w:leader="none"/>
                                </w:tabs>
                                <w:spacing w:line="144" w:lineRule="exact" w:before="0"/>
                                <w:ind w:left="0" w:right="78" w:firstLine="0"/>
                                <w:jc w:val="right"/>
                                <w:rPr>
                                  <w:rFonts w:ascii="Arial MT"/>
                                  <w:sz w:val="15"/>
                                </w:rPr>
                              </w:pPr>
                              <w:r>
                                <w:rPr>
                                  <w:rFonts w:ascii="Arial MT"/>
                                  <w:color w:val="231F20"/>
                                  <w:spacing w:val="-2"/>
                                  <w:sz w:val="15"/>
                                </w:rPr>
                                <w:t>Intracellular</w:t>
                              </w:r>
                              <w:r>
                                <w:rPr>
                                  <w:rFonts w:ascii="Arial MT"/>
                                  <w:color w:val="231F20"/>
                                  <w:sz w:val="15"/>
                                </w:rPr>
                                <w:tab/>
                              </w:r>
                              <w:r>
                                <w:rPr>
                                  <w:rFonts w:ascii="Arial MT"/>
                                  <w:color w:val="231F20"/>
                                  <w:spacing w:val="-2"/>
                                  <w:sz w:val="15"/>
                                </w:rPr>
                                <w:t>Receptor/Cell</w:t>
                              </w:r>
                            </w:p>
                            <w:p>
                              <w:pPr>
                                <w:tabs>
                                  <w:tab w:pos="932" w:val="left" w:leader="none"/>
                                </w:tabs>
                                <w:spacing w:line="170" w:lineRule="exact" w:before="0"/>
                                <w:ind w:left="0" w:right="18" w:firstLine="0"/>
                                <w:jc w:val="right"/>
                                <w:rPr>
                                  <w:rFonts w:ascii="Arial MT"/>
                                  <w:sz w:val="15"/>
                                </w:rPr>
                              </w:pPr>
                              <w:r>
                                <w:rPr>
                                  <w:rFonts w:ascii="Arial MT"/>
                                  <w:color w:val="231F20"/>
                                  <w:spacing w:val="-2"/>
                                  <w:sz w:val="15"/>
                                </w:rPr>
                                <w:t>antigen</w:t>
                              </w:r>
                              <w:r>
                                <w:rPr>
                                  <w:rFonts w:ascii="Arial MT"/>
                                  <w:color w:val="231F20"/>
                                  <w:sz w:val="15"/>
                                </w:rPr>
                                <w:tab/>
                              </w:r>
                              <w:r>
                                <w:rPr>
                                  <w:rFonts w:ascii="Arial MT"/>
                                  <w:color w:val="231F20"/>
                                  <w:spacing w:val="-2"/>
                                  <w:sz w:val="15"/>
                                </w:rPr>
                                <w:t>surface</w:t>
                              </w:r>
                              <w:r>
                                <w:rPr>
                                  <w:rFonts w:ascii="Arial MT"/>
                                  <w:color w:val="231F20"/>
                                  <w:spacing w:val="2"/>
                                  <w:sz w:val="15"/>
                                </w:rPr>
                                <w:t> </w:t>
                              </w:r>
                              <w:r>
                                <w:rPr>
                                  <w:rFonts w:ascii="Arial MT"/>
                                  <w:color w:val="231F20"/>
                                  <w:spacing w:val="-2"/>
                                  <w:sz w:val="15"/>
                                </w:rPr>
                                <w:t>antigen</w:t>
                              </w:r>
                            </w:p>
                          </w:txbxContent>
                        </wps:txbx>
                        <wps:bodyPr wrap="square" lIns="0" tIns="0" rIns="0" bIns="0" rtlCol="0">
                          <a:noAutofit/>
                        </wps:bodyPr>
                      </wps:wsp>
                      <wps:wsp>
                        <wps:cNvPr id="959" name="Textbox 959"/>
                        <wps:cNvSpPr txBox="1"/>
                        <wps:spPr>
                          <a:xfrm>
                            <a:off x="58118" y="1728143"/>
                            <a:ext cx="51308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Progressive</w:t>
                              </w:r>
                            </w:p>
                          </w:txbxContent>
                        </wps:txbx>
                        <wps:bodyPr wrap="square" lIns="0" tIns="0" rIns="0" bIns="0" rtlCol="0">
                          <a:noAutofit/>
                        </wps:bodyPr>
                      </wps:wsp>
                      <wps:wsp>
                        <wps:cNvPr id="960" name="Textbox 960"/>
                        <wps:cNvSpPr txBox="1"/>
                        <wps:spPr>
                          <a:xfrm>
                            <a:off x="948045" y="1728048"/>
                            <a:ext cx="70802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Non-progressive</w:t>
                              </w:r>
                            </w:p>
                          </w:txbxContent>
                        </wps:txbx>
                        <wps:bodyPr wrap="square" lIns="0" tIns="0" rIns="0" bIns="0" rtlCol="0">
                          <a:noAutofit/>
                        </wps:bodyPr>
                      </wps:wsp>
                      <wps:wsp>
                        <wps:cNvPr id="961" name="Textbox 961"/>
                        <wps:cNvSpPr txBox="1"/>
                        <wps:spPr>
                          <a:xfrm>
                            <a:off x="1818476" y="5924"/>
                            <a:ext cx="1364615" cy="222250"/>
                          </a:xfrm>
                          <a:prstGeom prst="rect">
                            <a:avLst/>
                          </a:prstGeom>
                          <a:solidFill>
                            <a:srgbClr val="D7EDDD"/>
                          </a:solidFill>
                          <a:ln w="11849">
                            <a:solidFill>
                              <a:srgbClr val="231F20"/>
                            </a:solidFill>
                            <a:prstDash val="solid"/>
                          </a:ln>
                        </wps:spPr>
                        <wps:txbx>
                          <w:txbxContent>
                            <w:p>
                              <w:pPr>
                                <w:spacing w:before="72"/>
                                <w:ind w:left="98" w:right="0" w:firstLine="0"/>
                                <w:jc w:val="left"/>
                                <w:rPr>
                                  <w:rFonts w:ascii="Arial"/>
                                  <w:b/>
                                  <w:color w:val="000000"/>
                                  <w:sz w:val="15"/>
                                </w:rPr>
                              </w:pPr>
                              <w:r>
                                <w:rPr>
                                  <w:rFonts w:ascii="Arial"/>
                                  <w:b/>
                                  <w:color w:val="231F20"/>
                                  <w:spacing w:val="-2"/>
                                  <w:sz w:val="15"/>
                                </w:rPr>
                                <w:t>Inflammatory</w:t>
                              </w:r>
                              <w:r>
                                <w:rPr>
                                  <w:rFonts w:ascii="Arial"/>
                                  <w:b/>
                                  <w:color w:val="231F20"/>
                                  <w:spacing w:val="3"/>
                                  <w:sz w:val="15"/>
                                </w:rPr>
                                <w:t> </w:t>
                              </w:r>
                              <w:r>
                                <w:rPr>
                                  <w:rFonts w:ascii="Arial"/>
                                  <w:b/>
                                  <w:color w:val="231F20"/>
                                  <w:spacing w:val="-2"/>
                                  <w:sz w:val="15"/>
                                </w:rPr>
                                <w:t>brain</w:t>
                              </w:r>
                              <w:r>
                                <w:rPr>
                                  <w:rFonts w:ascii="Arial"/>
                                  <w:b/>
                                  <w:color w:val="231F20"/>
                                  <w:spacing w:val="4"/>
                                  <w:sz w:val="15"/>
                                </w:rPr>
                                <w:t> </w:t>
                              </w:r>
                              <w:r>
                                <w:rPr>
                                  <w:rFonts w:ascii="Arial"/>
                                  <w:b/>
                                  <w:color w:val="231F20"/>
                                  <w:spacing w:val="-2"/>
                                  <w:sz w:val="15"/>
                                </w:rPr>
                                <w:t>disease</w:t>
                              </w:r>
                            </w:p>
                          </w:txbxContent>
                        </wps:txbx>
                        <wps:bodyPr wrap="square" lIns="0" tIns="0" rIns="0" bIns="0" rtlCol="0">
                          <a:noAutofit/>
                        </wps:bodyPr>
                      </wps:wsp>
                    </wpg:wgp>
                  </a:graphicData>
                </a:graphic>
              </wp:anchor>
            </w:drawing>
          </mc:Choice>
          <mc:Fallback>
            <w:pict>
              <v:group style="position:absolute;margin-left:110.490036pt;margin-top:9.754335pt;width:353.3pt;height:148.65pt;mso-position-horizontal-relative:page;mso-position-vertical-relative:paragraph;z-index:-15666688;mso-wrap-distance-left:0;mso-wrap-distance-right:0" id="docshapegroup742" coordorigin="2210,195" coordsize="7066,2973">
                <v:rect style="position:absolute;left:3607;top:2809;width:1280;height:350" id="docshape743" filled="true" fillcolor="#d7eddd" stroked="false">
                  <v:fill type="solid"/>
                </v:rect>
                <v:rect style="position:absolute;left:3607;top:2809;width:1280;height:350" id="docshape744" filled="false" stroked="true" strokeweight=".933014pt" strokecolor="#231f20">
                  <v:stroke dashstyle="solid"/>
                </v:rect>
                <v:rect style="position:absolute;left:5598;top:1911;width:1280;height:350" id="docshape745" filled="true" fillcolor="#d7eddd" stroked="false">
                  <v:fill type="solid"/>
                </v:rect>
                <v:rect style="position:absolute;left:5598;top:1911;width:1280;height:350" id="docshape746" filled="false" stroked="true" strokeweight=".933014pt" strokecolor="#231f20">
                  <v:stroke dashstyle="solid"/>
                </v:rect>
                <v:rect style="position:absolute;left:2219;top:2809;width:948;height:350" id="docshape747" filled="true" fillcolor="#d7eddd" stroked="false">
                  <v:fill type="solid"/>
                </v:rect>
                <v:rect style="position:absolute;left:2219;top:2809;width:948;height:350" id="docshape748" filled="false" stroked="true" strokeweight=".933014pt" strokecolor="#231f20">
                  <v:stroke dashstyle="solid"/>
                </v:rect>
                <v:rect style="position:absolute;left:2974;top:1911;width:991;height:438" id="docshape749" filled="true" fillcolor="#d7eddd" stroked="false">
                  <v:fill type="solid"/>
                </v:rect>
                <v:rect style="position:absolute;left:2974;top:1911;width:991;height:438" id="docshape750" filled="false" stroked="true" strokeweight=".933014pt" strokecolor="#231f20">
                  <v:stroke dashstyle="solid"/>
                </v:rect>
                <v:rect style="position:absolute;left:3690;top:1013;width:1049;height:438" id="docshape751" filled="true" fillcolor="#d7eddd" stroked="false">
                  <v:fill type="solid"/>
                </v:rect>
                <v:rect style="position:absolute;left:3690;top:1013;width:1049;height:438" id="docshape752" filled="false" stroked="true" strokeweight=".933014pt" strokecolor="#231f20">
                  <v:stroke dashstyle="solid"/>
                </v:rect>
                <v:rect style="position:absolute;left:5620;top:1013;width:1236;height:438" id="docshape753" filled="true" fillcolor="#d7eddd" stroked="false">
                  <v:fill type="solid"/>
                </v:rect>
                <v:rect style="position:absolute;left:5620;top:1013;width:1236;height:438" id="docshape754" filled="false" stroked="true" strokeweight=".933014pt" strokecolor="#231f20">
                  <v:stroke dashstyle="solid"/>
                </v:rect>
                <v:rect style="position:absolute;left:7389;top:1013;width:1381;height:438" id="docshape755" filled="true" fillcolor="#d7eddd" stroked="false">
                  <v:fill type="solid"/>
                </v:rect>
                <v:rect style="position:absolute;left:7389;top:1013;width:1381;height:438" id="docshape756" filled="false" stroked="true" strokeweight=".933014pt" strokecolor="#231f20">
                  <v:stroke dashstyle="solid"/>
                </v:rect>
                <v:rect style="position:absolute;left:6986;top:1911;width:991;height:438" id="docshape757" filled="true" fillcolor="#d7eddd" stroked="false">
                  <v:fill type="solid"/>
                </v:rect>
                <v:rect style="position:absolute;left:6986;top:1911;width:991;height:438" id="docshape758" filled="false" stroked="true" strokeweight=".933014pt" strokecolor="#231f20">
                  <v:stroke dashstyle="solid"/>
                </v:rect>
                <v:rect style="position:absolute;left:8088;top:1911;width:1178;height:438" id="docshape759" filled="true" fillcolor="#d7eddd" stroked="false">
                  <v:fill type="solid"/>
                </v:rect>
                <v:rect style="position:absolute;left:8088;top:1911;width:1178;height:438" id="docshape760" filled="false" stroked="true" strokeweight=".933014pt" strokecolor="#231f20">
                  <v:stroke dashstyle="solid"/>
                </v:rect>
                <v:rect style="position:absolute;left:4428;top:1911;width:1064;height:786" id="docshape761" filled="true" fillcolor="#d7eddd" stroked="false">
                  <v:fill type="solid"/>
                </v:rect>
                <v:shape style="position:absolute;left:4428;top:1451;width:1810;height:1247" id="docshape762" coordorigin="4429,1451" coordsize="1810,1247" path="m5492,2697l4429,2697,4429,1912,5492,1912,5492,2697xm6238,1451l6238,1833e" filled="false" stroked="true" strokeweight=".933014pt" strokecolor="#231f20">
                  <v:path arrowok="t"/>
                  <v:stroke dashstyle="solid"/>
                </v:shape>
                <v:shape style="position:absolute;left:6192;top:1800;width:92;height:112" id="docshape763" coordorigin="6193,1800" coordsize="92,112" path="m6284,1800l6238,1827,6193,1800,6238,1912,6284,1800xe" filled="true" fillcolor="#231f20" stroked="false">
                  <v:path arrowok="t"/>
                  <v:fill type="solid"/>
                </v:shape>
                <v:line style="position:absolute" from="6238,757" to="6238,935" stroked="true" strokeweight=".933014pt" strokecolor="#231f20">
                  <v:stroke dashstyle="solid"/>
                </v:line>
                <v:shape style="position:absolute;left:6192;top:902;width:92;height:112" id="docshape764" coordorigin="6193,903" coordsize="92,112" path="m6284,903l6238,929,6193,903,6238,1014,6284,903xe" filled="true" fillcolor="#231f20" stroked="false">
                  <v:path arrowok="t"/>
                  <v:fill type="solid"/>
                </v:shape>
                <v:shape style="position:absolute;left:2692;top:2552;width:1556;height:178" id="docshape765" coordorigin="2693,2553" coordsize="1556,178" path="m4248,2730l4248,2553,2693,2553,2693,2730e" filled="false" stroked="true" strokeweight=".933014pt" strokecolor="#231f20">
                  <v:path arrowok="t"/>
                  <v:stroke dashstyle="solid"/>
                </v:shape>
                <v:shape style="position:absolute;left:2647;top:2698;width:1647;height:112" id="docshape766" coordorigin="2647,2698" coordsize="1647,112" path="m2738,2698l2693,2724,2647,2698,2693,2809,2738,2698xm4293,2698l4248,2724,4202,2698,4248,2809,4293,2698xe" filled="true" fillcolor="#231f20" stroked="false">
                  <v:path arrowok="t"/>
                  <v:fill type="solid"/>
                </v:shape>
                <v:shape style="position:absolute;left:3470;top:1655;width:1491;height:898" id="docshape767" coordorigin="3470,1655" coordsize="1491,898" path="m3470,2553l3470,2349m4961,1833l4961,1655,3470,1655,3470,1833e" filled="false" stroked="true" strokeweight=".933014pt" strokecolor="#231f20">
                  <v:path arrowok="t"/>
                  <v:stroke dashstyle="solid"/>
                </v:shape>
                <v:shape style="position:absolute;left:3424;top:1800;width:1582;height:112" id="docshape768" coordorigin="3425,1800" coordsize="1582,112" path="m3516,1800l3470,1827,3425,1800,3470,1912,3516,1800xm5006,1800l4961,1827,4915,1800,4961,1912,5006,1800xe" filled="true" fillcolor="#231f20" stroked="false">
                  <v:path arrowok="t"/>
                  <v:fill type="solid"/>
                </v:shape>
                <v:shape style="position:absolute;left:4215;top:757;width:3865;height:898" id="docshape769" coordorigin="4215,757" coordsize="3865,898" path="m4215,1655l4215,1451m8080,935l8080,757,4215,757,4215,935e" filled="false" stroked="true" strokeweight=".933014pt" strokecolor="#231f20">
                  <v:path arrowok="t"/>
                  <v:stroke dashstyle="solid"/>
                </v:shape>
                <v:shape style="position:absolute;left:4169;top:902;width:3956;height:112" id="docshape770" coordorigin="4170,903" coordsize="3956,112" path="m4261,903l4215,929,4170,903,4215,1014,4261,903xm8125,903l8080,929,8034,903,8080,1014,8125,903xe" filled="true" fillcolor="#231f20" stroked="false">
                  <v:path arrowok="t"/>
                  <v:fill type="solid"/>
                </v:shape>
                <v:shape style="position:absolute;left:6147;top:553;width:2530;height:1279" id="docshape771" coordorigin="6148,554" coordsize="2530,1279" path="m6148,757l6148,554m8678,1833l8678,1655,7482,1655,7482,1833e" filled="false" stroked="true" strokeweight=".933014pt" strokecolor="#231f20">
                  <v:path arrowok="t"/>
                  <v:stroke dashstyle="solid"/>
                </v:shape>
                <v:shape style="position:absolute;left:7436;top:1800;width:1287;height:112" id="docshape772" coordorigin="7437,1800" coordsize="1287,112" path="m7528,1800l7482,1827,7437,1800,7482,1912,7528,1800xm8723,1800l8678,1827,8632,1800,8678,1912,8723,1800xe" filled="true" fillcolor="#231f20" stroked="false">
                  <v:path arrowok="t"/>
                  <v:fill type="solid"/>
                </v:shape>
                <v:line style="position:absolute" from="8080,1655" to="8080,1451" stroked="true" strokeweight=".933014pt" strokecolor="#231f20">
                  <v:stroke dashstyle="solid"/>
                </v:line>
                <v:shape style="position:absolute;left:3776;top:1081;width:891;height:318" type="#_x0000_t202" id="docshape773" filled="false" stroked="false">
                  <v:textbox inset="0,0,0,0">
                    <w:txbxContent>
                      <w:p>
                        <w:pPr>
                          <w:spacing w:line="144" w:lineRule="exact" w:before="0"/>
                          <w:ind w:left="0" w:right="18" w:firstLine="0"/>
                          <w:jc w:val="center"/>
                          <w:rPr>
                            <w:rFonts w:ascii="Arial MT"/>
                            <w:sz w:val="15"/>
                          </w:rPr>
                        </w:pPr>
                        <w:r>
                          <w:rPr>
                            <w:rFonts w:ascii="Arial MT"/>
                            <w:color w:val="231F20"/>
                            <w:sz w:val="15"/>
                          </w:rPr>
                          <w:t>Primary</w:t>
                        </w:r>
                        <w:r>
                          <w:rPr>
                            <w:rFonts w:ascii="Arial MT"/>
                            <w:color w:val="231F20"/>
                            <w:spacing w:val="-7"/>
                            <w:sz w:val="15"/>
                          </w:rPr>
                          <w:t> </w:t>
                        </w:r>
                        <w:r>
                          <w:rPr>
                            <w:rFonts w:ascii="Arial MT"/>
                            <w:color w:val="231F20"/>
                            <w:spacing w:val="-5"/>
                            <w:sz w:val="15"/>
                          </w:rPr>
                          <w:t>CNS</w:t>
                        </w:r>
                      </w:p>
                      <w:p>
                        <w:pPr>
                          <w:spacing w:line="170" w:lineRule="exact" w:before="0"/>
                          <w:ind w:left="0" w:right="12" w:firstLine="0"/>
                          <w:jc w:val="center"/>
                          <w:rPr>
                            <w:rFonts w:ascii="Arial MT"/>
                            <w:sz w:val="15"/>
                          </w:rPr>
                        </w:pPr>
                        <w:r>
                          <w:rPr>
                            <w:rFonts w:ascii="Arial MT"/>
                            <w:color w:val="231F20"/>
                            <w:spacing w:val="-2"/>
                            <w:sz w:val="15"/>
                          </w:rPr>
                          <w:t>Vasculitis</w:t>
                        </w:r>
                      </w:p>
                    </w:txbxContent>
                  </v:textbox>
                  <w10:wrap type="none"/>
                </v:shape>
                <v:shape style="position:absolute;left:5700;top:1081;width:1091;height:318" type="#_x0000_t202" id="docshape774" filled="false" stroked="false">
                  <v:textbox inset="0,0,0,0">
                    <w:txbxContent>
                      <w:p>
                        <w:pPr>
                          <w:spacing w:line="144" w:lineRule="exact" w:before="0"/>
                          <w:ind w:left="0" w:right="18" w:firstLine="0"/>
                          <w:jc w:val="center"/>
                          <w:rPr>
                            <w:rFonts w:ascii="Arial MT"/>
                            <w:sz w:val="15"/>
                          </w:rPr>
                        </w:pPr>
                        <w:r>
                          <w:rPr>
                            <w:rFonts w:ascii="Arial MT"/>
                            <w:color w:val="231F20"/>
                            <w:sz w:val="15"/>
                          </w:rPr>
                          <w:t>Secondary</w:t>
                        </w:r>
                        <w:r>
                          <w:rPr>
                            <w:rFonts w:ascii="Arial MT"/>
                            <w:color w:val="231F20"/>
                            <w:spacing w:val="-9"/>
                            <w:sz w:val="15"/>
                          </w:rPr>
                          <w:t> </w:t>
                        </w:r>
                        <w:r>
                          <w:rPr>
                            <w:rFonts w:ascii="Arial MT"/>
                            <w:color w:val="231F20"/>
                            <w:spacing w:val="-5"/>
                            <w:sz w:val="15"/>
                          </w:rPr>
                          <w:t>CNS</w:t>
                        </w:r>
                      </w:p>
                      <w:p>
                        <w:pPr>
                          <w:spacing w:line="170" w:lineRule="exact" w:before="0"/>
                          <w:ind w:left="0" w:right="14" w:firstLine="0"/>
                          <w:jc w:val="center"/>
                          <w:rPr>
                            <w:rFonts w:ascii="Arial MT"/>
                            <w:sz w:val="15"/>
                          </w:rPr>
                        </w:pPr>
                        <w:r>
                          <w:rPr>
                            <w:rFonts w:ascii="Arial MT"/>
                            <w:color w:val="231F20"/>
                            <w:spacing w:val="-2"/>
                            <w:sz w:val="15"/>
                          </w:rPr>
                          <w:t>Vasculitis</w:t>
                        </w:r>
                      </w:p>
                    </w:txbxContent>
                  </v:textbox>
                  <w10:wrap type="none"/>
                </v:shape>
                <v:shape style="position:absolute;left:7457;top:1081;width:1265;height:318" type="#_x0000_t202" id="docshape775" filled="false" stroked="false">
                  <v:textbox inset="0,0,0,0">
                    <w:txbxContent>
                      <w:p>
                        <w:pPr>
                          <w:spacing w:line="144" w:lineRule="exact" w:before="0"/>
                          <w:ind w:left="-1" w:right="18" w:firstLine="0"/>
                          <w:jc w:val="center"/>
                          <w:rPr>
                            <w:rFonts w:ascii="Arial MT"/>
                            <w:sz w:val="15"/>
                          </w:rPr>
                        </w:pPr>
                        <w:r>
                          <w:rPr>
                            <w:rFonts w:ascii="Arial MT"/>
                            <w:color w:val="231F20"/>
                            <w:spacing w:val="-2"/>
                            <w:sz w:val="15"/>
                          </w:rPr>
                          <w:t>Antibody-mediated</w:t>
                        </w:r>
                      </w:p>
                      <w:p>
                        <w:pPr>
                          <w:spacing w:line="170" w:lineRule="exact" w:before="0"/>
                          <w:ind w:left="1" w:right="18" w:firstLine="0"/>
                          <w:jc w:val="center"/>
                          <w:rPr>
                            <w:rFonts w:ascii="Arial MT"/>
                            <w:sz w:val="15"/>
                          </w:rPr>
                        </w:pPr>
                        <w:r>
                          <w:rPr>
                            <w:rFonts w:ascii="Arial MT"/>
                            <w:color w:val="231F20"/>
                            <w:spacing w:val="-2"/>
                            <w:sz w:val="15"/>
                          </w:rPr>
                          <w:t>encephalitis</w:t>
                        </w:r>
                      </w:p>
                    </w:txbxContent>
                  </v:textbox>
                  <w10:wrap type="none"/>
                </v:shape>
                <v:shape style="position:absolute;left:3054;top:1978;width:859;height:318" type="#_x0000_t202" id="docshape776" filled="false" stroked="false">
                  <v:textbox inset="0,0,0,0">
                    <w:txbxContent>
                      <w:p>
                        <w:pPr>
                          <w:spacing w:line="144" w:lineRule="exact" w:before="0"/>
                          <w:ind w:left="0" w:right="18" w:firstLine="0"/>
                          <w:jc w:val="center"/>
                          <w:rPr>
                            <w:rFonts w:ascii="Arial MT"/>
                            <w:sz w:val="15"/>
                          </w:rPr>
                        </w:pPr>
                        <w:r>
                          <w:rPr>
                            <w:rFonts w:ascii="Arial MT"/>
                            <w:color w:val="231F20"/>
                            <w:spacing w:val="-2"/>
                            <w:sz w:val="15"/>
                          </w:rPr>
                          <w:t>Angiography</w:t>
                        </w:r>
                      </w:p>
                      <w:p>
                        <w:pPr>
                          <w:spacing w:line="170" w:lineRule="exact" w:before="0"/>
                          <w:ind w:left="0" w:right="21" w:firstLine="0"/>
                          <w:jc w:val="center"/>
                          <w:rPr>
                            <w:rFonts w:ascii="Arial MT"/>
                            <w:sz w:val="15"/>
                          </w:rPr>
                        </w:pPr>
                        <w:r>
                          <w:rPr>
                            <w:rFonts w:ascii="Arial MT"/>
                            <w:color w:val="231F20"/>
                            <w:spacing w:val="-2"/>
                            <w:sz w:val="15"/>
                          </w:rPr>
                          <w:t>positive</w:t>
                        </w:r>
                      </w:p>
                    </w:txbxContent>
                  </v:textbox>
                  <w10:wrap type="none"/>
                </v:shape>
                <v:shape style="position:absolute;left:4545;top:1985;width:859;height:654" type="#_x0000_t202" id="docshape777" filled="false" stroked="false">
                  <v:textbox inset="0,0,0,0">
                    <w:txbxContent>
                      <w:p>
                        <w:pPr>
                          <w:spacing w:line="144" w:lineRule="exact" w:before="0"/>
                          <w:ind w:left="-1" w:right="18" w:firstLine="0"/>
                          <w:jc w:val="center"/>
                          <w:rPr>
                            <w:rFonts w:ascii="Arial MT"/>
                            <w:sz w:val="15"/>
                          </w:rPr>
                        </w:pPr>
                        <w:r>
                          <w:rPr>
                            <w:rFonts w:ascii="Arial MT"/>
                            <w:color w:val="231F20"/>
                            <w:spacing w:val="-2"/>
                            <w:sz w:val="15"/>
                          </w:rPr>
                          <w:t>Angiography</w:t>
                        </w:r>
                      </w:p>
                      <w:p>
                        <w:pPr>
                          <w:spacing w:line="232" w:lineRule="auto" w:before="2"/>
                          <w:ind w:left="5" w:right="29" w:firstLine="1"/>
                          <w:jc w:val="center"/>
                          <w:rPr>
                            <w:rFonts w:ascii="Arial MT"/>
                            <w:sz w:val="15"/>
                          </w:rPr>
                        </w:pPr>
                        <w:r>
                          <w:rPr>
                            <w:rFonts w:ascii="Arial MT"/>
                            <w:color w:val="231F20"/>
                            <w:spacing w:val="-2"/>
                            <w:sz w:val="15"/>
                          </w:rPr>
                          <w:t>negative</w:t>
                        </w:r>
                        <w:r>
                          <w:rPr>
                            <w:rFonts w:ascii="Arial MT"/>
                            <w:color w:val="231F20"/>
                            <w:sz w:val="15"/>
                          </w:rPr>
                          <w:t> </w:t>
                        </w:r>
                        <w:r>
                          <w:rPr>
                            <w:rFonts w:ascii="Arial MT"/>
                            <w:color w:val="231F20"/>
                            <w:spacing w:val="-2"/>
                            <w:sz w:val="15"/>
                          </w:rPr>
                          <w:t>Brain</w:t>
                        </w:r>
                        <w:r>
                          <w:rPr>
                            <w:rFonts w:ascii="Arial MT"/>
                            <w:color w:val="231F20"/>
                            <w:spacing w:val="-9"/>
                            <w:sz w:val="15"/>
                          </w:rPr>
                          <w:t> </w:t>
                        </w:r>
                        <w:r>
                          <w:rPr>
                            <w:rFonts w:ascii="Arial MT"/>
                            <w:color w:val="231F20"/>
                            <w:spacing w:val="-2"/>
                            <w:sz w:val="15"/>
                          </w:rPr>
                          <w:t>biopsy</w:t>
                        </w:r>
                        <w:r>
                          <w:rPr>
                            <w:rFonts w:ascii="Arial MT"/>
                            <w:color w:val="231F20"/>
                            <w:sz w:val="15"/>
                          </w:rPr>
                          <w:t> </w:t>
                        </w:r>
                        <w:r>
                          <w:rPr>
                            <w:rFonts w:ascii="Arial MT"/>
                            <w:color w:val="231F20"/>
                            <w:spacing w:val="-2"/>
                            <w:sz w:val="15"/>
                          </w:rPr>
                          <w:t>positive</w:t>
                        </w:r>
                      </w:p>
                    </w:txbxContent>
                  </v:textbox>
                  <w10:wrap type="none"/>
                </v:shape>
                <v:shape style="position:absolute;left:5700;top:2018;width:1105;height:150" type="#_x0000_t202" id="docshape778"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See</w:t>
                        </w:r>
                        <w:r>
                          <w:rPr>
                            <w:rFonts w:ascii="Arial MT"/>
                            <w:color w:val="231F20"/>
                            <w:spacing w:val="-9"/>
                            <w:sz w:val="15"/>
                          </w:rPr>
                          <w:t> </w:t>
                        </w:r>
                        <w:r>
                          <w:rPr>
                            <w:rFonts w:ascii="Arial MT"/>
                            <w:color w:val="231F20"/>
                            <w:spacing w:val="-2"/>
                            <w:sz w:val="15"/>
                          </w:rPr>
                          <w:t>Table</w:t>
                        </w:r>
                        <w:r>
                          <w:rPr>
                            <w:rFonts w:ascii="Arial MT"/>
                            <w:color w:val="231F20"/>
                            <w:spacing w:val="-7"/>
                            <w:sz w:val="15"/>
                          </w:rPr>
                          <w:t> </w:t>
                        </w:r>
                        <w:r>
                          <w:rPr>
                            <w:rFonts w:ascii="Arial MT"/>
                            <w:color w:val="231F20"/>
                            <w:spacing w:val="-2"/>
                            <w:sz w:val="15"/>
                          </w:rPr>
                          <w:t>602-</w:t>
                        </w:r>
                        <w:r>
                          <w:rPr>
                            <w:rFonts w:ascii="Arial MT"/>
                            <w:color w:val="231F20"/>
                            <w:spacing w:val="-10"/>
                            <w:sz w:val="15"/>
                          </w:rPr>
                          <w:t>1</w:t>
                        </w:r>
                      </w:p>
                    </w:txbxContent>
                  </v:textbox>
                  <w10:wrap type="none"/>
                </v:shape>
                <v:shape style="position:absolute;left:7097;top:1978;width:2113;height:318" type="#_x0000_t202" id="docshape779" filled="false" stroked="false">
                  <v:textbox inset="0,0,0,0">
                    <w:txbxContent>
                      <w:p>
                        <w:pPr>
                          <w:tabs>
                            <w:tab w:pos="1128" w:val="left" w:leader="none"/>
                          </w:tabs>
                          <w:spacing w:line="144" w:lineRule="exact" w:before="0"/>
                          <w:ind w:left="0" w:right="78" w:firstLine="0"/>
                          <w:jc w:val="right"/>
                          <w:rPr>
                            <w:rFonts w:ascii="Arial MT"/>
                            <w:sz w:val="15"/>
                          </w:rPr>
                        </w:pPr>
                        <w:r>
                          <w:rPr>
                            <w:rFonts w:ascii="Arial MT"/>
                            <w:color w:val="231F20"/>
                            <w:spacing w:val="-2"/>
                            <w:sz w:val="15"/>
                          </w:rPr>
                          <w:t>Intracellular</w:t>
                        </w:r>
                        <w:r>
                          <w:rPr>
                            <w:rFonts w:ascii="Arial MT"/>
                            <w:color w:val="231F20"/>
                            <w:sz w:val="15"/>
                          </w:rPr>
                          <w:tab/>
                        </w:r>
                        <w:r>
                          <w:rPr>
                            <w:rFonts w:ascii="Arial MT"/>
                            <w:color w:val="231F20"/>
                            <w:spacing w:val="-2"/>
                            <w:sz w:val="15"/>
                          </w:rPr>
                          <w:t>Receptor/Cell</w:t>
                        </w:r>
                      </w:p>
                      <w:p>
                        <w:pPr>
                          <w:tabs>
                            <w:tab w:pos="932" w:val="left" w:leader="none"/>
                          </w:tabs>
                          <w:spacing w:line="170" w:lineRule="exact" w:before="0"/>
                          <w:ind w:left="0" w:right="18" w:firstLine="0"/>
                          <w:jc w:val="right"/>
                          <w:rPr>
                            <w:rFonts w:ascii="Arial MT"/>
                            <w:sz w:val="15"/>
                          </w:rPr>
                        </w:pPr>
                        <w:r>
                          <w:rPr>
                            <w:rFonts w:ascii="Arial MT"/>
                            <w:color w:val="231F20"/>
                            <w:spacing w:val="-2"/>
                            <w:sz w:val="15"/>
                          </w:rPr>
                          <w:t>antigen</w:t>
                        </w:r>
                        <w:r>
                          <w:rPr>
                            <w:rFonts w:ascii="Arial MT"/>
                            <w:color w:val="231F20"/>
                            <w:sz w:val="15"/>
                          </w:rPr>
                          <w:tab/>
                        </w:r>
                        <w:r>
                          <w:rPr>
                            <w:rFonts w:ascii="Arial MT"/>
                            <w:color w:val="231F20"/>
                            <w:spacing w:val="-2"/>
                            <w:sz w:val="15"/>
                          </w:rPr>
                          <w:t>surface</w:t>
                        </w:r>
                        <w:r>
                          <w:rPr>
                            <w:rFonts w:ascii="Arial MT"/>
                            <w:color w:val="231F20"/>
                            <w:spacing w:val="2"/>
                            <w:sz w:val="15"/>
                          </w:rPr>
                          <w:t> </w:t>
                        </w:r>
                        <w:r>
                          <w:rPr>
                            <w:rFonts w:ascii="Arial MT"/>
                            <w:color w:val="231F20"/>
                            <w:spacing w:val="-2"/>
                            <w:sz w:val="15"/>
                          </w:rPr>
                          <w:t>antigen</w:t>
                        </w:r>
                      </w:p>
                    </w:txbxContent>
                  </v:textbox>
                  <w10:wrap type="none"/>
                </v:shape>
                <v:shape style="position:absolute;left:2301;top:2916;width:808;height:150" type="#_x0000_t202" id="docshape780"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Progressive</w:t>
                        </w:r>
                      </w:p>
                    </w:txbxContent>
                  </v:textbox>
                  <w10:wrap type="none"/>
                </v:shape>
                <v:shape style="position:absolute;left:3702;top:2916;width:1115;height:150" type="#_x0000_t202" id="docshape781"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Non-progressive</w:t>
                        </w:r>
                      </w:p>
                    </w:txbxContent>
                  </v:textbox>
                  <w10:wrap type="none"/>
                </v:shape>
                <v:shape style="position:absolute;left:5073;top:204;width:2149;height:350" type="#_x0000_t202" id="docshape782" filled="true" fillcolor="#d7eddd" stroked="true" strokeweight=".933014pt" strokecolor="#231f20">
                  <v:textbox inset="0,0,0,0">
                    <w:txbxContent>
                      <w:p>
                        <w:pPr>
                          <w:spacing w:before="72"/>
                          <w:ind w:left="98" w:right="0" w:firstLine="0"/>
                          <w:jc w:val="left"/>
                          <w:rPr>
                            <w:rFonts w:ascii="Arial"/>
                            <w:b/>
                            <w:color w:val="000000"/>
                            <w:sz w:val="15"/>
                          </w:rPr>
                        </w:pPr>
                        <w:r>
                          <w:rPr>
                            <w:rFonts w:ascii="Arial"/>
                            <w:b/>
                            <w:color w:val="231F20"/>
                            <w:spacing w:val="-2"/>
                            <w:sz w:val="15"/>
                          </w:rPr>
                          <w:t>Inflammatory</w:t>
                        </w:r>
                        <w:r>
                          <w:rPr>
                            <w:rFonts w:ascii="Arial"/>
                            <w:b/>
                            <w:color w:val="231F20"/>
                            <w:spacing w:val="3"/>
                            <w:sz w:val="15"/>
                          </w:rPr>
                          <w:t> </w:t>
                        </w:r>
                        <w:r>
                          <w:rPr>
                            <w:rFonts w:ascii="Arial"/>
                            <w:b/>
                            <w:color w:val="231F20"/>
                            <w:spacing w:val="-2"/>
                            <w:sz w:val="15"/>
                          </w:rPr>
                          <w:t>brain</w:t>
                        </w:r>
                        <w:r>
                          <w:rPr>
                            <w:rFonts w:ascii="Arial"/>
                            <w:b/>
                            <w:color w:val="231F20"/>
                            <w:spacing w:val="4"/>
                            <w:sz w:val="15"/>
                          </w:rPr>
                          <w:t> </w:t>
                        </w:r>
                        <w:r>
                          <w:rPr>
                            <w:rFonts w:ascii="Arial"/>
                            <w:b/>
                            <w:color w:val="231F20"/>
                            <w:spacing w:val="-2"/>
                            <w:sz w:val="15"/>
                          </w:rPr>
                          <w:t>disease</w:t>
                        </w:r>
                      </w:p>
                    </w:txbxContent>
                  </v:textbox>
                  <v:fill type="solid"/>
                  <v:stroke dashstyle="solid"/>
                  <w10:wrap type="none"/>
                </v:shape>
                <w10:wrap type="topAndBottom"/>
              </v:group>
            </w:pict>
          </mc:Fallback>
        </mc:AlternateContent>
      </w:r>
    </w:p>
    <w:p>
      <w:pPr>
        <w:pStyle w:val="Heading6"/>
        <w:spacing w:before="74"/>
        <w:ind w:left="1017" w:right="1288"/>
        <w:jc w:val="center"/>
      </w:pPr>
      <w:r>
        <w:rPr>
          <w:b/>
          <w:color w:val="4A0C62"/>
          <w:sz w:val="16"/>
        </w:rPr>
        <w:t>Figure</w:t>
      </w:r>
      <w:r>
        <w:rPr>
          <w:b/>
          <w:color w:val="4A0C62"/>
          <w:spacing w:val="5"/>
          <w:sz w:val="16"/>
        </w:rPr>
        <w:t> </w:t>
      </w:r>
      <w:r>
        <w:rPr>
          <w:b/>
          <w:color w:val="4A0C62"/>
          <w:sz w:val="16"/>
        </w:rPr>
        <w:t>602-1</w:t>
      </w:r>
      <w:r>
        <w:rPr>
          <w:b/>
          <w:color w:val="4A0C62"/>
          <w:spacing w:val="-4"/>
          <w:sz w:val="16"/>
        </w:rPr>
        <w:t> </w:t>
      </w:r>
      <w:r>
        <w:rPr>
          <w:color w:val="231F20"/>
        </w:rPr>
        <w:t>CNS</w:t>
      </w:r>
      <w:r>
        <w:rPr>
          <w:color w:val="231F20"/>
          <w:spacing w:val="-1"/>
        </w:rPr>
        <w:t> </w:t>
      </w:r>
      <w:r>
        <w:rPr>
          <w:color w:val="231F20"/>
        </w:rPr>
        <w:t>vasculitis</w:t>
      </w:r>
      <w:r>
        <w:rPr>
          <w:color w:val="231F20"/>
          <w:spacing w:val="-1"/>
        </w:rPr>
        <w:t> </w:t>
      </w:r>
      <w:r>
        <w:rPr>
          <w:color w:val="231F20"/>
        </w:rPr>
        <w:t>within</w:t>
      </w:r>
      <w:r>
        <w:rPr>
          <w:color w:val="231F20"/>
          <w:spacing w:val="-1"/>
        </w:rPr>
        <w:t> </w:t>
      </w:r>
      <w:r>
        <w:rPr>
          <w:color w:val="231F20"/>
        </w:rPr>
        <w:t>the</w:t>
      </w:r>
      <w:r>
        <w:rPr>
          <w:color w:val="231F20"/>
          <w:spacing w:val="-1"/>
        </w:rPr>
        <w:t> </w:t>
      </w:r>
      <w:r>
        <w:rPr>
          <w:color w:val="231F20"/>
        </w:rPr>
        <w:t>spectrum</w:t>
      </w:r>
      <w:r>
        <w:rPr>
          <w:color w:val="231F20"/>
          <w:spacing w:val="-1"/>
        </w:rPr>
        <w:t> </w:t>
      </w:r>
      <w:r>
        <w:rPr>
          <w:color w:val="231F20"/>
        </w:rPr>
        <w:t>of</w:t>
      </w:r>
      <w:r>
        <w:rPr>
          <w:color w:val="231F20"/>
          <w:spacing w:val="-1"/>
        </w:rPr>
        <w:t> </w:t>
      </w:r>
      <w:r>
        <w:rPr>
          <w:color w:val="231F20"/>
        </w:rPr>
        <w:t>immune-mediated</w:t>
      </w:r>
      <w:r>
        <w:rPr>
          <w:color w:val="231F20"/>
          <w:spacing w:val="-1"/>
        </w:rPr>
        <w:t> </w:t>
      </w:r>
      <w:r>
        <w:rPr>
          <w:color w:val="231F20"/>
        </w:rPr>
        <w:t>inflammatory</w:t>
      </w:r>
      <w:r>
        <w:rPr>
          <w:color w:val="231F20"/>
          <w:spacing w:val="-1"/>
        </w:rPr>
        <w:t> </w:t>
      </w:r>
      <w:r>
        <w:rPr>
          <w:color w:val="231F20"/>
        </w:rPr>
        <w:t>brain</w:t>
      </w:r>
      <w:r>
        <w:rPr>
          <w:color w:val="231F20"/>
          <w:spacing w:val="-1"/>
        </w:rPr>
        <w:t> </w:t>
      </w:r>
      <w:r>
        <w:rPr>
          <w:color w:val="231F20"/>
          <w:spacing w:val="-2"/>
        </w:rPr>
        <w:t>diseases.</w:t>
      </w:r>
    </w:p>
    <w:p>
      <w:pPr>
        <w:pStyle w:val="BodyText"/>
        <w:spacing w:before="10"/>
        <w:rPr>
          <w:sz w:val="7"/>
        </w:rPr>
      </w:pPr>
      <w:r>
        <w:rPr>
          <w:sz w:val="7"/>
        </w:rPr>
        <mc:AlternateContent>
          <mc:Choice Requires="wps">
            <w:drawing>
              <wp:anchor distT="0" distB="0" distL="0" distR="0" allowOverlap="1" layoutInCell="1" locked="0" behindDoc="1" simplePos="0" relativeHeight="487587840">
                <wp:simplePos x="0" y="0"/>
                <wp:positionH relativeFrom="page">
                  <wp:posOffset>553961</wp:posOffset>
                </wp:positionH>
                <wp:positionV relativeFrom="paragraph">
                  <wp:posOffset>73745</wp:posOffset>
                </wp:positionV>
                <wp:extent cx="2986405" cy="3240405"/>
                <wp:effectExtent l="0" t="0" r="0" b="0"/>
                <wp:wrapTopAndBottom/>
                <wp:docPr id="962" name="Textbox 962"/>
                <wp:cNvGraphicFramePr>
                  <a:graphicFrameLocks/>
                </wp:cNvGraphicFramePr>
                <a:graphic>
                  <a:graphicData uri="http://schemas.microsoft.com/office/word/2010/wordprocessingShape">
                    <wps:wsp>
                      <wps:cNvPr id="962" name="Textbox 962"/>
                      <wps:cNvSpPr txBox="1"/>
                      <wps:spPr>
                        <a:xfrm>
                          <a:off x="0" y="0"/>
                          <a:ext cx="2986405" cy="324040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602-</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10"/>
                                      <w:sz w:val="16"/>
                                    </w:rPr>
                                    <w:t>Causes</w:t>
                                  </w:r>
                                  <w:r>
                                    <w:rPr>
                                      <w:color w:val="FFFFFF"/>
                                      <w:spacing w:val="6"/>
                                      <w:w w:val="110"/>
                                      <w:sz w:val="16"/>
                                    </w:rPr>
                                    <w:t> </w:t>
                                  </w:r>
                                  <w:r>
                                    <w:rPr>
                                      <w:color w:val="FFFFFF"/>
                                      <w:w w:val="110"/>
                                      <w:sz w:val="16"/>
                                    </w:rPr>
                                    <w:t>of</w:t>
                                  </w:r>
                                  <w:r>
                                    <w:rPr>
                                      <w:color w:val="FFFFFF"/>
                                      <w:spacing w:val="6"/>
                                      <w:w w:val="110"/>
                                      <w:sz w:val="16"/>
                                    </w:rPr>
                                    <w:t> </w:t>
                                  </w:r>
                                  <w:r>
                                    <w:rPr>
                                      <w:color w:val="FFFFFF"/>
                                      <w:w w:val="110"/>
                                      <w:sz w:val="16"/>
                                    </w:rPr>
                                    <w:t>Secondary</w:t>
                                  </w:r>
                                  <w:r>
                                    <w:rPr>
                                      <w:color w:val="FFFFFF"/>
                                      <w:spacing w:val="6"/>
                                      <w:w w:val="110"/>
                                      <w:sz w:val="16"/>
                                    </w:rPr>
                                    <w:t> </w:t>
                                  </w:r>
                                  <w:r>
                                    <w:rPr>
                                      <w:color w:val="FFFFFF"/>
                                      <w:w w:val="110"/>
                                      <w:sz w:val="16"/>
                                    </w:rPr>
                                    <w:t>CNS</w:t>
                                  </w:r>
                                  <w:r>
                                    <w:rPr>
                                      <w:color w:val="FFFFFF"/>
                                      <w:spacing w:val="7"/>
                                      <w:w w:val="110"/>
                                      <w:sz w:val="16"/>
                                    </w:rPr>
                                    <w:t> </w:t>
                                  </w:r>
                                  <w:r>
                                    <w:rPr>
                                      <w:color w:val="FFFFFF"/>
                                      <w:spacing w:val="-2"/>
                                      <w:w w:val="110"/>
                                      <w:sz w:val="16"/>
                                    </w:rPr>
                                    <w:t>Vasculitis</w:t>
                                  </w:r>
                                </w:p>
                              </w:tc>
                            </w:tr>
                            <w:tr>
                              <w:trPr>
                                <w:trHeight w:val="596"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VIRAL</w:t>
                                  </w:r>
                                  <w:r>
                                    <w:rPr>
                                      <w:color w:val="231F20"/>
                                      <w:spacing w:val="-12"/>
                                      <w:w w:val="110"/>
                                      <w:sz w:val="15"/>
                                    </w:rPr>
                                    <w:t> </w:t>
                                  </w:r>
                                  <w:r>
                                    <w:rPr>
                                      <w:color w:val="231F20"/>
                                      <w:spacing w:val="-2"/>
                                      <w:w w:val="110"/>
                                      <w:sz w:val="15"/>
                                    </w:rPr>
                                    <w:t>INFECTIONS</w:t>
                                  </w:r>
                                </w:p>
                                <w:p>
                                  <w:pPr>
                                    <w:pStyle w:val="TableParagraph"/>
                                    <w:spacing w:line="230" w:lineRule="auto" w:before="3"/>
                                    <w:ind w:left="186" w:hanging="112"/>
                                    <w:rPr>
                                      <w:sz w:val="15"/>
                                    </w:rPr>
                                  </w:pPr>
                                  <w:r>
                                    <w:rPr>
                                      <w:color w:val="231F20"/>
                                      <w:spacing w:val="-2"/>
                                      <w:sz w:val="15"/>
                                    </w:rPr>
                                    <w:t>Varicella</w:t>
                                  </w:r>
                                  <w:r>
                                    <w:rPr>
                                      <w:color w:val="231F20"/>
                                      <w:spacing w:val="-10"/>
                                      <w:sz w:val="15"/>
                                    </w:rPr>
                                    <w:t> </w:t>
                                  </w:r>
                                  <w:r>
                                    <w:rPr>
                                      <w:color w:val="231F20"/>
                                      <w:spacing w:val="-2"/>
                                      <w:sz w:val="15"/>
                                    </w:rPr>
                                    <w:t>zoster</w:t>
                                  </w:r>
                                  <w:r>
                                    <w:rPr>
                                      <w:color w:val="231F20"/>
                                      <w:spacing w:val="-9"/>
                                      <w:sz w:val="15"/>
                                    </w:rPr>
                                    <w:t> </w:t>
                                  </w:r>
                                  <w:r>
                                    <w:rPr>
                                      <w:color w:val="231F20"/>
                                      <w:spacing w:val="-2"/>
                                      <w:sz w:val="15"/>
                                    </w:rPr>
                                    <w:t>virus,</w:t>
                                  </w:r>
                                  <w:r>
                                    <w:rPr>
                                      <w:color w:val="231F20"/>
                                      <w:spacing w:val="-9"/>
                                      <w:sz w:val="15"/>
                                    </w:rPr>
                                    <w:t> </w:t>
                                  </w:r>
                                  <w:r>
                                    <w:rPr>
                                      <w:color w:val="231F20"/>
                                      <w:spacing w:val="-2"/>
                                      <w:sz w:val="15"/>
                                    </w:rPr>
                                    <w:t>HIV,</w:t>
                                  </w:r>
                                  <w:r>
                                    <w:rPr>
                                      <w:color w:val="231F20"/>
                                      <w:spacing w:val="-10"/>
                                      <w:sz w:val="15"/>
                                    </w:rPr>
                                    <w:t> </w:t>
                                  </w:r>
                                  <w:r>
                                    <w:rPr>
                                      <w:color w:val="231F20"/>
                                      <w:spacing w:val="-2"/>
                                      <w:sz w:val="15"/>
                                    </w:rPr>
                                    <w:t>hepatitis</w:t>
                                  </w:r>
                                  <w:r>
                                    <w:rPr>
                                      <w:color w:val="231F20"/>
                                      <w:spacing w:val="-9"/>
                                      <w:sz w:val="15"/>
                                    </w:rPr>
                                    <w:t> </w:t>
                                  </w:r>
                                  <w:r>
                                    <w:rPr>
                                      <w:color w:val="231F20"/>
                                      <w:spacing w:val="-2"/>
                                      <w:sz w:val="15"/>
                                    </w:rPr>
                                    <w:t>C</w:t>
                                  </w:r>
                                  <w:r>
                                    <w:rPr>
                                      <w:color w:val="231F20"/>
                                      <w:spacing w:val="-9"/>
                                      <w:sz w:val="15"/>
                                    </w:rPr>
                                    <w:t> </w:t>
                                  </w:r>
                                  <w:r>
                                    <w:rPr>
                                      <w:color w:val="231F20"/>
                                      <w:spacing w:val="-2"/>
                                      <w:sz w:val="15"/>
                                    </w:rPr>
                                    <w:t>virus,</w:t>
                                  </w:r>
                                  <w:r>
                                    <w:rPr>
                                      <w:color w:val="231F20"/>
                                      <w:spacing w:val="-10"/>
                                      <w:sz w:val="15"/>
                                    </w:rPr>
                                    <w:t> </w:t>
                                  </w:r>
                                  <w:r>
                                    <w:rPr>
                                      <w:color w:val="231F20"/>
                                      <w:spacing w:val="-2"/>
                                      <w:sz w:val="15"/>
                                    </w:rPr>
                                    <w:t>cytomegalovirus, </w:t>
                                  </w:r>
                                  <w:r>
                                    <w:rPr>
                                      <w:color w:val="231F20"/>
                                      <w:sz w:val="15"/>
                                    </w:rPr>
                                    <w:t>parvovirus B19</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BACTERIAL</w:t>
                                  </w:r>
                                  <w:r>
                                    <w:rPr>
                                      <w:color w:val="231F20"/>
                                      <w:spacing w:val="-1"/>
                                      <w:w w:val="110"/>
                                      <w:sz w:val="15"/>
                                    </w:rPr>
                                    <w:t> </w:t>
                                  </w:r>
                                  <w:r>
                                    <w:rPr>
                                      <w:color w:val="231F20"/>
                                      <w:spacing w:val="-2"/>
                                      <w:w w:val="110"/>
                                      <w:sz w:val="15"/>
                                    </w:rPr>
                                    <w:t>INFECTIONS</w:t>
                                  </w:r>
                                </w:p>
                                <w:p>
                                  <w:pPr>
                                    <w:pStyle w:val="TableParagraph"/>
                                    <w:spacing w:line="230" w:lineRule="auto" w:before="3"/>
                                    <w:ind w:left="186" w:hanging="112"/>
                                    <w:rPr>
                                      <w:sz w:val="15"/>
                                    </w:rPr>
                                  </w:pPr>
                                  <w:r>
                                    <w:rPr>
                                      <w:i/>
                                      <w:color w:val="231F20"/>
                                      <w:sz w:val="15"/>
                                    </w:rPr>
                                    <w:t>Treponema pallidum, Borrelia burgdorferi, Mycobacterium </w:t>
                                  </w:r>
                                  <w:r>
                                    <w:rPr>
                                      <w:i/>
                                      <w:color w:val="231F20"/>
                                      <w:spacing w:val="-2"/>
                                      <w:sz w:val="15"/>
                                    </w:rPr>
                                    <w:t>tuberculosis, Mycoplasma pneumoniae, Bartonella </w:t>
                                  </w:r>
                                  <w:r>
                                    <w:rPr>
                                      <w:i/>
                                      <w:color w:val="231F20"/>
                                      <w:spacing w:val="-2"/>
                                      <w:sz w:val="15"/>
                                    </w:rPr>
                                    <w:t>henselae, </w:t>
                                  </w:r>
                                  <w:r>
                                    <w:rPr>
                                      <w:i/>
                                      <w:color w:val="231F20"/>
                                      <w:sz w:val="15"/>
                                    </w:rPr>
                                    <w:t>Rickettsia </w:t>
                                  </w:r>
                                  <w:r>
                                    <w:rPr>
                                      <w:color w:val="231F20"/>
                                      <w:sz w:val="15"/>
                                    </w:rPr>
                                    <w:t>spp.</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FUNGAL</w:t>
                                  </w:r>
                                  <w:r>
                                    <w:rPr>
                                      <w:color w:val="231F20"/>
                                      <w:spacing w:val="13"/>
                                      <w:w w:val="115"/>
                                      <w:sz w:val="15"/>
                                    </w:rPr>
                                    <w:t> </w:t>
                                  </w:r>
                                  <w:r>
                                    <w:rPr>
                                      <w:color w:val="231F20"/>
                                      <w:spacing w:val="-2"/>
                                      <w:w w:val="115"/>
                                      <w:sz w:val="15"/>
                                    </w:rPr>
                                    <w:t>INFECTIONS</w:t>
                                  </w:r>
                                </w:p>
                                <w:p>
                                  <w:pPr>
                                    <w:pStyle w:val="TableParagraph"/>
                                    <w:spacing w:line="172" w:lineRule="exact"/>
                                    <w:ind w:left="74"/>
                                    <w:rPr>
                                      <w:sz w:val="15"/>
                                    </w:rPr>
                                  </w:pPr>
                                  <w:r>
                                    <w:rPr>
                                      <w:color w:val="231F20"/>
                                      <w:spacing w:val="-2"/>
                                      <w:sz w:val="15"/>
                                    </w:rPr>
                                    <w:t>Aspergillosis,</w:t>
                                  </w:r>
                                  <w:r>
                                    <w:rPr>
                                      <w:color w:val="231F20"/>
                                      <w:spacing w:val="17"/>
                                      <w:sz w:val="15"/>
                                    </w:rPr>
                                    <w:t> </w:t>
                                  </w:r>
                                  <w:r>
                                    <w:rPr>
                                      <w:color w:val="231F20"/>
                                      <w:spacing w:val="-2"/>
                                      <w:sz w:val="15"/>
                                    </w:rPr>
                                    <w:t>mucormycosis,</w:t>
                                  </w:r>
                                  <w:r>
                                    <w:rPr>
                                      <w:color w:val="231F20"/>
                                      <w:spacing w:val="18"/>
                                      <w:sz w:val="15"/>
                                    </w:rPr>
                                    <w:t> </w:t>
                                  </w:r>
                                  <w:r>
                                    <w:rPr>
                                      <w:color w:val="231F20"/>
                                      <w:spacing w:val="-2"/>
                                      <w:sz w:val="15"/>
                                    </w:rPr>
                                    <w:t>coccidioidomycosis,</w:t>
                                  </w:r>
                                  <w:r>
                                    <w:rPr>
                                      <w:color w:val="231F20"/>
                                      <w:spacing w:val="18"/>
                                      <w:sz w:val="15"/>
                                    </w:rPr>
                                    <w:t> </w:t>
                                  </w:r>
                                  <w:r>
                                    <w:rPr>
                                      <w:color w:val="231F20"/>
                                      <w:spacing w:val="-2"/>
                                      <w:sz w:val="15"/>
                                    </w:rPr>
                                    <w:t>candidosis</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PARASITIC</w:t>
                                  </w:r>
                                  <w:r>
                                    <w:rPr>
                                      <w:color w:val="231F20"/>
                                      <w:spacing w:val="-8"/>
                                      <w:w w:val="110"/>
                                      <w:sz w:val="15"/>
                                    </w:rPr>
                                    <w:t> </w:t>
                                  </w:r>
                                  <w:r>
                                    <w:rPr>
                                      <w:color w:val="231F20"/>
                                      <w:spacing w:val="-2"/>
                                      <w:w w:val="110"/>
                                      <w:sz w:val="15"/>
                                    </w:rPr>
                                    <w:t>INFECTIONS</w:t>
                                  </w:r>
                                </w:p>
                                <w:p>
                                  <w:pPr>
                                    <w:pStyle w:val="TableParagraph"/>
                                    <w:spacing w:line="172" w:lineRule="exact"/>
                                    <w:ind w:left="74"/>
                                    <w:rPr>
                                      <w:sz w:val="15"/>
                                    </w:rPr>
                                  </w:pPr>
                                  <w:r>
                                    <w:rPr>
                                      <w:color w:val="231F20"/>
                                      <w:spacing w:val="-2"/>
                                      <w:sz w:val="15"/>
                                    </w:rPr>
                                    <w:t>Cysticercosis</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SYSTEMIC</w:t>
                                  </w:r>
                                  <w:r>
                                    <w:rPr>
                                      <w:color w:val="231F20"/>
                                      <w:spacing w:val="12"/>
                                      <w:w w:val="110"/>
                                      <w:sz w:val="15"/>
                                    </w:rPr>
                                    <w:t> </w:t>
                                  </w:r>
                                  <w:r>
                                    <w:rPr>
                                      <w:color w:val="231F20"/>
                                      <w:spacing w:val="-2"/>
                                      <w:w w:val="110"/>
                                      <w:sz w:val="15"/>
                                    </w:rPr>
                                    <w:t>VASCULITIDES</w:t>
                                  </w:r>
                                </w:p>
                                <w:p>
                                  <w:pPr>
                                    <w:pStyle w:val="TableParagraph"/>
                                    <w:spacing w:line="230" w:lineRule="auto" w:before="3"/>
                                    <w:ind w:left="186" w:right="75" w:hanging="112"/>
                                    <w:rPr>
                                      <w:sz w:val="15"/>
                                    </w:rPr>
                                  </w:pPr>
                                  <w:r>
                                    <w:rPr>
                                      <w:color w:val="231F20"/>
                                      <w:sz w:val="15"/>
                                    </w:rPr>
                                    <w:t>Wegener</w:t>
                                  </w:r>
                                  <w:r>
                                    <w:rPr>
                                      <w:color w:val="231F20"/>
                                      <w:spacing w:val="-3"/>
                                      <w:sz w:val="15"/>
                                    </w:rPr>
                                    <w:t> </w:t>
                                  </w:r>
                                  <w:r>
                                    <w:rPr>
                                      <w:color w:val="231F20"/>
                                      <w:sz w:val="15"/>
                                    </w:rPr>
                                    <w:t>granulomatosis,</w:t>
                                  </w:r>
                                  <w:r>
                                    <w:rPr>
                                      <w:color w:val="231F20"/>
                                      <w:spacing w:val="-3"/>
                                      <w:sz w:val="15"/>
                                    </w:rPr>
                                    <w:t> </w:t>
                                  </w:r>
                                  <w:r>
                                    <w:rPr>
                                      <w:color w:val="231F20"/>
                                      <w:sz w:val="15"/>
                                    </w:rPr>
                                    <w:t>Churg-Strauss</w:t>
                                  </w:r>
                                  <w:r>
                                    <w:rPr>
                                      <w:color w:val="231F20"/>
                                      <w:spacing w:val="-3"/>
                                      <w:sz w:val="15"/>
                                    </w:rPr>
                                    <w:t> </w:t>
                                  </w:r>
                                  <w:r>
                                    <w:rPr>
                                      <w:color w:val="231F20"/>
                                      <w:sz w:val="15"/>
                                    </w:rPr>
                                    <w:t>syndrome,</w:t>
                                  </w:r>
                                  <w:r>
                                    <w:rPr>
                                      <w:color w:val="231F20"/>
                                      <w:spacing w:val="-3"/>
                                      <w:sz w:val="15"/>
                                    </w:rPr>
                                    <w:t> </w:t>
                                  </w:r>
                                  <w:r>
                                    <w:rPr>
                                      <w:color w:val="231F20"/>
                                      <w:sz w:val="15"/>
                                    </w:rPr>
                                    <w:t>Behçet</w:t>
                                  </w:r>
                                  <w:r>
                                    <w:rPr>
                                      <w:color w:val="231F20"/>
                                      <w:spacing w:val="-3"/>
                                      <w:sz w:val="15"/>
                                    </w:rPr>
                                    <w:t> </w:t>
                                  </w:r>
                                  <w:r>
                                    <w:rPr>
                                      <w:color w:val="231F20"/>
                                      <w:sz w:val="15"/>
                                    </w:rPr>
                                    <w:t>disease, polyarteritis nodosa, Henoch-Schönlein purpura, Kawasaki disease,</w:t>
                                  </w:r>
                                  <w:r>
                                    <w:rPr>
                                      <w:color w:val="231F20"/>
                                      <w:spacing w:val="-5"/>
                                      <w:sz w:val="15"/>
                                    </w:rPr>
                                    <w:t> </w:t>
                                  </w:r>
                                  <w:r>
                                    <w:rPr>
                                      <w:color w:val="231F20"/>
                                      <w:sz w:val="15"/>
                                    </w:rPr>
                                    <w:t>giant-cell</w:t>
                                  </w:r>
                                  <w:r>
                                    <w:rPr>
                                      <w:color w:val="231F20"/>
                                      <w:spacing w:val="-5"/>
                                      <w:sz w:val="15"/>
                                    </w:rPr>
                                    <w:t> </w:t>
                                  </w:r>
                                  <w:r>
                                    <w:rPr>
                                      <w:color w:val="231F20"/>
                                      <w:sz w:val="15"/>
                                    </w:rPr>
                                    <w:t>arteritis,</w:t>
                                  </w:r>
                                  <w:r>
                                    <w:rPr>
                                      <w:color w:val="231F20"/>
                                      <w:spacing w:val="-5"/>
                                      <w:sz w:val="15"/>
                                    </w:rPr>
                                    <w:t> </w:t>
                                  </w:r>
                                  <w:r>
                                    <w:rPr>
                                      <w:color w:val="231F20"/>
                                      <w:sz w:val="15"/>
                                    </w:rPr>
                                    <w:t>Takayasu</w:t>
                                  </w:r>
                                  <w:r>
                                    <w:rPr>
                                      <w:color w:val="231F20"/>
                                      <w:spacing w:val="-5"/>
                                      <w:sz w:val="15"/>
                                    </w:rPr>
                                    <w:t> </w:t>
                                  </w:r>
                                  <w:r>
                                    <w:rPr>
                                      <w:color w:val="231F20"/>
                                      <w:sz w:val="15"/>
                                    </w:rPr>
                                    <w:t>arteritis</w:t>
                                  </w:r>
                                </w:p>
                              </w:tc>
                            </w:tr>
                            <w:tr>
                              <w:trPr>
                                <w:trHeight w:val="591"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CONNECTIVE</w:t>
                                  </w:r>
                                  <w:r>
                                    <w:rPr>
                                      <w:color w:val="231F20"/>
                                      <w:spacing w:val="11"/>
                                      <w:w w:val="110"/>
                                      <w:sz w:val="15"/>
                                    </w:rPr>
                                    <w:t> </w:t>
                                  </w:r>
                                  <w:r>
                                    <w:rPr>
                                      <w:color w:val="231F20"/>
                                      <w:w w:val="110"/>
                                      <w:sz w:val="15"/>
                                    </w:rPr>
                                    <w:t>TISSUE</w:t>
                                  </w:r>
                                  <w:r>
                                    <w:rPr>
                                      <w:color w:val="231F20"/>
                                      <w:spacing w:val="12"/>
                                      <w:w w:val="110"/>
                                      <w:sz w:val="15"/>
                                    </w:rPr>
                                    <w:t> </w:t>
                                  </w:r>
                                  <w:r>
                                    <w:rPr>
                                      <w:color w:val="231F20"/>
                                      <w:spacing w:val="-2"/>
                                      <w:w w:val="110"/>
                                      <w:sz w:val="15"/>
                                    </w:rPr>
                                    <w:t>DISEASES</w:t>
                                  </w:r>
                                </w:p>
                                <w:p>
                                  <w:pPr>
                                    <w:pStyle w:val="TableParagraph"/>
                                    <w:spacing w:line="230" w:lineRule="auto" w:before="3"/>
                                    <w:ind w:left="186" w:right="442" w:hanging="112"/>
                                    <w:rPr>
                                      <w:sz w:val="15"/>
                                    </w:rPr>
                                  </w:pPr>
                                  <w:r>
                                    <w:rPr>
                                      <w:color w:val="231F20"/>
                                      <w:sz w:val="15"/>
                                    </w:rPr>
                                    <w:t>Systemic lupus erythematosus, rheumatoid arthritis, Sjögren syndrome,</w:t>
                                  </w:r>
                                  <w:r>
                                    <w:rPr>
                                      <w:color w:val="231F20"/>
                                      <w:spacing w:val="-12"/>
                                      <w:sz w:val="15"/>
                                    </w:rPr>
                                    <w:t> </w:t>
                                  </w:r>
                                  <w:r>
                                    <w:rPr>
                                      <w:color w:val="231F20"/>
                                      <w:sz w:val="15"/>
                                    </w:rPr>
                                    <w:t>dermatomyositis,</w:t>
                                  </w:r>
                                  <w:r>
                                    <w:rPr>
                                      <w:color w:val="231F20"/>
                                      <w:spacing w:val="-11"/>
                                      <w:sz w:val="15"/>
                                    </w:rPr>
                                    <w:t> </w:t>
                                  </w:r>
                                  <w:r>
                                    <w:rPr>
                                      <w:color w:val="231F20"/>
                                      <w:sz w:val="15"/>
                                    </w:rPr>
                                    <w:t>mixed</w:t>
                                  </w:r>
                                  <w:r>
                                    <w:rPr>
                                      <w:color w:val="231F20"/>
                                      <w:spacing w:val="-11"/>
                                      <w:sz w:val="15"/>
                                    </w:rPr>
                                    <w:t> </w:t>
                                  </w:r>
                                  <w:r>
                                    <w:rPr>
                                      <w:color w:val="231F20"/>
                                      <w:sz w:val="15"/>
                                    </w:rPr>
                                    <w:t>connective</w:t>
                                  </w:r>
                                  <w:r>
                                    <w:rPr>
                                      <w:color w:val="231F20"/>
                                      <w:spacing w:val="-12"/>
                                      <w:sz w:val="15"/>
                                    </w:rPr>
                                    <w:t> </w:t>
                                  </w:r>
                                  <w:r>
                                    <w:rPr>
                                      <w:color w:val="231F20"/>
                                      <w:sz w:val="15"/>
                                    </w:rPr>
                                    <w:t>tissue</w:t>
                                  </w:r>
                                  <w:r>
                                    <w:rPr>
                                      <w:color w:val="231F20"/>
                                      <w:spacing w:val="-11"/>
                                      <w:sz w:val="15"/>
                                    </w:rPr>
                                    <w:t> </w:t>
                                  </w:r>
                                  <w:r>
                                    <w:rPr>
                                      <w:color w:val="231F20"/>
                                      <w:sz w:val="15"/>
                                    </w:rPr>
                                    <w:t>disease</w:t>
                                  </w:r>
                                </w:p>
                              </w:tc>
                            </w:tr>
                            <w:tr>
                              <w:trPr>
                                <w:trHeight w:val="1089"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15"/>
                                      <w:sz w:val="15"/>
                                    </w:rPr>
                                    <w:t>MISCELLANEOUS</w:t>
                                  </w:r>
                                </w:p>
                                <w:p>
                                  <w:pPr>
                                    <w:pStyle w:val="TableParagraph"/>
                                    <w:spacing w:line="230" w:lineRule="auto" w:before="3"/>
                                    <w:ind w:left="186" w:hanging="112"/>
                                    <w:rPr>
                                      <w:sz w:val="15"/>
                                    </w:rPr>
                                  </w:pPr>
                                  <w:r>
                                    <w:rPr>
                                      <w:color w:val="231F20"/>
                                      <w:sz w:val="15"/>
                                    </w:rPr>
                                    <w:t>Antiphospholipid antibodies syndrome, Hodgkin and non-</w:t>
                                  </w:r>
                                  <w:r>
                                    <w:rPr>
                                      <w:color w:val="231F20"/>
                                      <w:sz w:val="15"/>
                                    </w:rPr>
                                    <w:t>Hodgkin lymphomas, neurosarcoidosis, inflammatory bowel disease,</w:t>
                                  </w:r>
                                </w:p>
                                <w:p>
                                  <w:pPr>
                                    <w:pStyle w:val="TableParagraph"/>
                                    <w:spacing w:line="230" w:lineRule="auto" w:before="2"/>
                                    <w:ind w:left="186"/>
                                    <w:rPr>
                                      <w:sz w:val="15"/>
                                    </w:rPr>
                                  </w:pPr>
                                  <w:r>
                                    <w:rPr>
                                      <w:color w:val="231F20"/>
                                      <w:spacing w:val="-2"/>
                                      <w:sz w:val="15"/>
                                    </w:rPr>
                                    <w:t>graft-versus-host disease, bacterial endocarditis, acute bacterial </w:t>
                                  </w:r>
                                  <w:r>
                                    <w:rPr>
                                      <w:color w:val="231F20"/>
                                      <w:sz w:val="15"/>
                                    </w:rPr>
                                    <w:t>meningitis,</w:t>
                                  </w:r>
                                  <w:r>
                                    <w:rPr>
                                      <w:color w:val="231F20"/>
                                      <w:spacing w:val="-12"/>
                                      <w:sz w:val="15"/>
                                    </w:rPr>
                                    <w:t> </w:t>
                                  </w:r>
                                  <w:r>
                                    <w:rPr>
                                      <w:color w:val="231F20"/>
                                      <w:sz w:val="15"/>
                                    </w:rPr>
                                    <w:t>drug-induced</w:t>
                                  </w:r>
                                  <w:r>
                                    <w:rPr>
                                      <w:color w:val="231F20"/>
                                      <w:spacing w:val="-11"/>
                                      <w:sz w:val="15"/>
                                    </w:rPr>
                                    <w:t> </w:t>
                                  </w:r>
                                  <w:r>
                                    <w:rPr>
                                      <w:color w:val="231F20"/>
                                      <w:sz w:val="15"/>
                                    </w:rPr>
                                    <w:t>CNS</w:t>
                                  </w:r>
                                  <w:r>
                                    <w:rPr>
                                      <w:color w:val="231F20"/>
                                      <w:spacing w:val="-11"/>
                                      <w:sz w:val="15"/>
                                    </w:rPr>
                                    <w:t> </w:t>
                                  </w:r>
                                  <w:r>
                                    <w:rPr>
                                      <w:color w:val="231F20"/>
                                      <w:sz w:val="15"/>
                                    </w:rPr>
                                    <w:t>vasculitis</w:t>
                                  </w:r>
                                  <w:r>
                                    <w:rPr>
                                      <w:color w:val="231F20"/>
                                      <w:spacing w:val="-12"/>
                                      <w:sz w:val="15"/>
                                    </w:rPr>
                                    <w:t> </w:t>
                                  </w:r>
                                  <w:r>
                                    <w:rPr>
                                      <w:color w:val="231F20"/>
                                      <w:sz w:val="15"/>
                                    </w:rPr>
                                    <w:t>(cocaine,</w:t>
                                  </w:r>
                                  <w:r>
                                    <w:rPr>
                                      <w:color w:val="231F20"/>
                                      <w:spacing w:val="-11"/>
                                      <w:sz w:val="15"/>
                                    </w:rPr>
                                    <w:t> </w:t>
                                  </w:r>
                                  <w:r>
                                    <w:rPr>
                                      <w:color w:val="231F20"/>
                                      <w:sz w:val="15"/>
                                    </w:rPr>
                                    <w:t>amphetamine, ephedrine, phenylpropanolamine)</w:t>
                                  </w:r>
                                </w:p>
                              </w:tc>
                            </w:tr>
                          </w:tbl>
                          <w:p>
                            <w:pPr>
                              <w:pStyle w:val="BodyText"/>
                            </w:pPr>
                          </w:p>
                        </w:txbxContent>
                      </wps:txbx>
                      <wps:bodyPr wrap="square" lIns="0" tIns="0" rIns="0" bIns="0" rtlCol="0">
                        <a:noAutofit/>
                      </wps:bodyPr>
                    </wps:wsp>
                  </a:graphicData>
                </a:graphic>
              </wp:anchor>
            </w:drawing>
          </mc:Choice>
          <mc:Fallback>
            <w:pict>
              <v:shape style="position:absolute;margin-left:43.618992pt;margin-top:5.806724pt;width:235.15pt;height:255.15pt;mso-position-horizontal-relative:page;mso-position-vertical-relative:paragraph;z-index:-15728640;mso-wrap-distance-left:0;mso-wrap-distance-right:0" type="#_x0000_t202" id="docshape783"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602-</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10"/>
                                <w:sz w:val="16"/>
                              </w:rPr>
                              <w:t>Causes</w:t>
                            </w:r>
                            <w:r>
                              <w:rPr>
                                <w:color w:val="FFFFFF"/>
                                <w:spacing w:val="6"/>
                                <w:w w:val="110"/>
                                <w:sz w:val="16"/>
                              </w:rPr>
                              <w:t> </w:t>
                            </w:r>
                            <w:r>
                              <w:rPr>
                                <w:color w:val="FFFFFF"/>
                                <w:w w:val="110"/>
                                <w:sz w:val="16"/>
                              </w:rPr>
                              <w:t>of</w:t>
                            </w:r>
                            <w:r>
                              <w:rPr>
                                <w:color w:val="FFFFFF"/>
                                <w:spacing w:val="6"/>
                                <w:w w:val="110"/>
                                <w:sz w:val="16"/>
                              </w:rPr>
                              <w:t> </w:t>
                            </w:r>
                            <w:r>
                              <w:rPr>
                                <w:color w:val="FFFFFF"/>
                                <w:w w:val="110"/>
                                <w:sz w:val="16"/>
                              </w:rPr>
                              <w:t>Secondary</w:t>
                            </w:r>
                            <w:r>
                              <w:rPr>
                                <w:color w:val="FFFFFF"/>
                                <w:spacing w:val="6"/>
                                <w:w w:val="110"/>
                                <w:sz w:val="16"/>
                              </w:rPr>
                              <w:t> </w:t>
                            </w:r>
                            <w:r>
                              <w:rPr>
                                <w:color w:val="FFFFFF"/>
                                <w:w w:val="110"/>
                                <w:sz w:val="16"/>
                              </w:rPr>
                              <w:t>CNS</w:t>
                            </w:r>
                            <w:r>
                              <w:rPr>
                                <w:color w:val="FFFFFF"/>
                                <w:spacing w:val="7"/>
                                <w:w w:val="110"/>
                                <w:sz w:val="16"/>
                              </w:rPr>
                              <w:t> </w:t>
                            </w:r>
                            <w:r>
                              <w:rPr>
                                <w:color w:val="FFFFFF"/>
                                <w:spacing w:val="-2"/>
                                <w:w w:val="110"/>
                                <w:sz w:val="16"/>
                              </w:rPr>
                              <w:t>Vasculitis</w:t>
                            </w:r>
                          </w:p>
                        </w:tc>
                      </w:tr>
                      <w:tr>
                        <w:trPr>
                          <w:trHeight w:val="596"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VIRAL</w:t>
                            </w:r>
                            <w:r>
                              <w:rPr>
                                <w:color w:val="231F20"/>
                                <w:spacing w:val="-12"/>
                                <w:w w:val="110"/>
                                <w:sz w:val="15"/>
                              </w:rPr>
                              <w:t> </w:t>
                            </w:r>
                            <w:r>
                              <w:rPr>
                                <w:color w:val="231F20"/>
                                <w:spacing w:val="-2"/>
                                <w:w w:val="110"/>
                                <w:sz w:val="15"/>
                              </w:rPr>
                              <w:t>INFECTIONS</w:t>
                            </w:r>
                          </w:p>
                          <w:p>
                            <w:pPr>
                              <w:pStyle w:val="TableParagraph"/>
                              <w:spacing w:line="230" w:lineRule="auto" w:before="3"/>
                              <w:ind w:left="186" w:hanging="112"/>
                              <w:rPr>
                                <w:sz w:val="15"/>
                              </w:rPr>
                            </w:pPr>
                            <w:r>
                              <w:rPr>
                                <w:color w:val="231F20"/>
                                <w:spacing w:val="-2"/>
                                <w:sz w:val="15"/>
                              </w:rPr>
                              <w:t>Varicella</w:t>
                            </w:r>
                            <w:r>
                              <w:rPr>
                                <w:color w:val="231F20"/>
                                <w:spacing w:val="-10"/>
                                <w:sz w:val="15"/>
                              </w:rPr>
                              <w:t> </w:t>
                            </w:r>
                            <w:r>
                              <w:rPr>
                                <w:color w:val="231F20"/>
                                <w:spacing w:val="-2"/>
                                <w:sz w:val="15"/>
                              </w:rPr>
                              <w:t>zoster</w:t>
                            </w:r>
                            <w:r>
                              <w:rPr>
                                <w:color w:val="231F20"/>
                                <w:spacing w:val="-9"/>
                                <w:sz w:val="15"/>
                              </w:rPr>
                              <w:t> </w:t>
                            </w:r>
                            <w:r>
                              <w:rPr>
                                <w:color w:val="231F20"/>
                                <w:spacing w:val="-2"/>
                                <w:sz w:val="15"/>
                              </w:rPr>
                              <w:t>virus,</w:t>
                            </w:r>
                            <w:r>
                              <w:rPr>
                                <w:color w:val="231F20"/>
                                <w:spacing w:val="-9"/>
                                <w:sz w:val="15"/>
                              </w:rPr>
                              <w:t> </w:t>
                            </w:r>
                            <w:r>
                              <w:rPr>
                                <w:color w:val="231F20"/>
                                <w:spacing w:val="-2"/>
                                <w:sz w:val="15"/>
                              </w:rPr>
                              <w:t>HIV,</w:t>
                            </w:r>
                            <w:r>
                              <w:rPr>
                                <w:color w:val="231F20"/>
                                <w:spacing w:val="-10"/>
                                <w:sz w:val="15"/>
                              </w:rPr>
                              <w:t> </w:t>
                            </w:r>
                            <w:r>
                              <w:rPr>
                                <w:color w:val="231F20"/>
                                <w:spacing w:val="-2"/>
                                <w:sz w:val="15"/>
                              </w:rPr>
                              <w:t>hepatitis</w:t>
                            </w:r>
                            <w:r>
                              <w:rPr>
                                <w:color w:val="231F20"/>
                                <w:spacing w:val="-9"/>
                                <w:sz w:val="15"/>
                              </w:rPr>
                              <w:t> </w:t>
                            </w:r>
                            <w:r>
                              <w:rPr>
                                <w:color w:val="231F20"/>
                                <w:spacing w:val="-2"/>
                                <w:sz w:val="15"/>
                              </w:rPr>
                              <w:t>C</w:t>
                            </w:r>
                            <w:r>
                              <w:rPr>
                                <w:color w:val="231F20"/>
                                <w:spacing w:val="-9"/>
                                <w:sz w:val="15"/>
                              </w:rPr>
                              <w:t> </w:t>
                            </w:r>
                            <w:r>
                              <w:rPr>
                                <w:color w:val="231F20"/>
                                <w:spacing w:val="-2"/>
                                <w:sz w:val="15"/>
                              </w:rPr>
                              <w:t>virus,</w:t>
                            </w:r>
                            <w:r>
                              <w:rPr>
                                <w:color w:val="231F20"/>
                                <w:spacing w:val="-10"/>
                                <w:sz w:val="15"/>
                              </w:rPr>
                              <w:t> </w:t>
                            </w:r>
                            <w:r>
                              <w:rPr>
                                <w:color w:val="231F20"/>
                                <w:spacing w:val="-2"/>
                                <w:sz w:val="15"/>
                              </w:rPr>
                              <w:t>cytomegalovirus, </w:t>
                            </w:r>
                            <w:r>
                              <w:rPr>
                                <w:color w:val="231F20"/>
                                <w:sz w:val="15"/>
                              </w:rPr>
                              <w:t>parvovirus B19</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BACTERIAL</w:t>
                            </w:r>
                            <w:r>
                              <w:rPr>
                                <w:color w:val="231F20"/>
                                <w:spacing w:val="-1"/>
                                <w:w w:val="110"/>
                                <w:sz w:val="15"/>
                              </w:rPr>
                              <w:t> </w:t>
                            </w:r>
                            <w:r>
                              <w:rPr>
                                <w:color w:val="231F20"/>
                                <w:spacing w:val="-2"/>
                                <w:w w:val="110"/>
                                <w:sz w:val="15"/>
                              </w:rPr>
                              <w:t>INFECTIONS</w:t>
                            </w:r>
                          </w:p>
                          <w:p>
                            <w:pPr>
                              <w:pStyle w:val="TableParagraph"/>
                              <w:spacing w:line="230" w:lineRule="auto" w:before="3"/>
                              <w:ind w:left="186" w:hanging="112"/>
                              <w:rPr>
                                <w:sz w:val="15"/>
                              </w:rPr>
                            </w:pPr>
                            <w:r>
                              <w:rPr>
                                <w:i/>
                                <w:color w:val="231F20"/>
                                <w:sz w:val="15"/>
                              </w:rPr>
                              <w:t>Treponema pallidum, Borrelia burgdorferi, Mycobacterium </w:t>
                            </w:r>
                            <w:r>
                              <w:rPr>
                                <w:i/>
                                <w:color w:val="231F20"/>
                                <w:spacing w:val="-2"/>
                                <w:sz w:val="15"/>
                              </w:rPr>
                              <w:t>tuberculosis, Mycoplasma pneumoniae, Bartonella </w:t>
                            </w:r>
                            <w:r>
                              <w:rPr>
                                <w:i/>
                                <w:color w:val="231F20"/>
                                <w:spacing w:val="-2"/>
                                <w:sz w:val="15"/>
                              </w:rPr>
                              <w:t>henselae, </w:t>
                            </w:r>
                            <w:r>
                              <w:rPr>
                                <w:i/>
                                <w:color w:val="231F20"/>
                                <w:sz w:val="15"/>
                              </w:rPr>
                              <w:t>Rickettsia </w:t>
                            </w:r>
                            <w:r>
                              <w:rPr>
                                <w:color w:val="231F20"/>
                                <w:sz w:val="15"/>
                              </w:rPr>
                              <w:t>spp.</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FUNGAL</w:t>
                            </w:r>
                            <w:r>
                              <w:rPr>
                                <w:color w:val="231F20"/>
                                <w:spacing w:val="13"/>
                                <w:w w:val="115"/>
                                <w:sz w:val="15"/>
                              </w:rPr>
                              <w:t> </w:t>
                            </w:r>
                            <w:r>
                              <w:rPr>
                                <w:color w:val="231F20"/>
                                <w:spacing w:val="-2"/>
                                <w:w w:val="115"/>
                                <w:sz w:val="15"/>
                              </w:rPr>
                              <w:t>INFECTIONS</w:t>
                            </w:r>
                          </w:p>
                          <w:p>
                            <w:pPr>
                              <w:pStyle w:val="TableParagraph"/>
                              <w:spacing w:line="172" w:lineRule="exact"/>
                              <w:ind w:left="74"/>
                              <w:rPr>
                                <w:sz w:val="15"/>
                              </w:rPr>
                            </w:pPr>
                            <w:r>
                              <w:rPr>
                                <w:color w:val="231F20"/>
                                <w:spacing w:val="-2"/>
                                <w:sz w:val="15"/>
                              </w:rPr>
                              <w:t>Aspergillosis,</w:t>
                            </w:r>
                            <w:r>
                              <w:rPr>
                                <w:color w:val="231F20"/>
                                <w:spacing w:val="17"/>
                                <w:sz w:val="15"/>
                              </w:rPr>
                              <w:t> </w:t>
                            </w:r>
                            <w:r>
                              <w:rPr>
                                <w:color w:val="231F20"/>
                                <w:spacing w:val="-2"/>
                                <w:sz w:val="15"/>
                              </w:rPr>
                              <w:t>mucormycosis,</w:t>
                            </w:r>
                            <w:r>
                              <w:rPr>
                                <w:color w:val="231F20"/>
                                <w:spacing w:val="18"/>
                                <w:sz w:val="15"/>
                              </w:rPr>
                              <w:t> </w:t>
                            </w:r>
                            <w:r>
                              <w:rPr>
                                <w:color w:val="231F20"/>
                                <w:spacing w:val="-2"/>
                                <w:sz w:val="15"/>
                              </w:rPr>
                              <w:t>coccidioidomycosis,</w:t>
                            </w:r>
                            <w:r>
                              <w:rPr>
                                <w:color w:val="231F20"/>
                                <w:spacing w:val="18"/>
                                <w:sz w:val="15"/>
                              </w:rPr>
                              <w:t> </w:t>
                            </w:r>
                            <w:r>
                              <w:rPr>
                                <w:color w:val="231F20"/>
                                <w:spacing w:val="-2"/>
                                <w:sz w:val="15"/>
                              </w:rPr>
                              <w:t>candidosis</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PARASITIC</w:t>
                            </w:r>
                            <w:r>
                              <w:rPr>
                                <w:color w:val="231F20"/>
                                <w:spacing w:val="-8"/>
                                <w:w w:val="110"/>
                                <w:sz w:val="15"/>
                              </w:rPr>
                              <w:t> </w:t>
                            </w:r>
                            <w:r>
                              <w:rPr>
                                <w:color w:val="231F20"/>
                                <w:spacing w:val="-2"/>
                                <w:w w:val="110"/>
                                <w:sz w:val="15"/>
                              </w:rPr>
                              <w:t>INFECTIONS</w:t>
                            </w:r>
                          </w:p>
                          <w:p>
                            <w:pPr>
                              <w:pStyle w:val="TableParagraph"/>
                              <w:spacing w:line="172" w:lineRule="exact"/>
                              <w:ind w:left="74"/>
                              <w:rPr>
                                <w:sz w:val="15"/>
                              </w:rPr>
                            </w:pPr>
                            <w:r>
                              <w:rPr>
                                <w:color w:val="231F20"/>
                                <w:spacing w:val="-2"/>
                                <w:sz w:val="15"/>
                              </w:rPr>
                              <w:t>Cysticercosis</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SYSTEMIC</w:t>
                            </w:r>
                            <w:r>
                              <w:rPr>
                                <w:color w:val="231F20"/>
                                <w:spacing w:val="12"/>
                                <w:w w:val="110"/>
                                <w:sz w:val="15"/>
                              </w:rPr>
                              <w:t> </w:t>
                            </w:r>
                            <w:r>
                              <w:rPr>
                                <w:color w:val="231F20"/>
                                <w:spacing w:val="-2"/>
                                <w:w w:val="110"/>
                                <w:sz w:val="15"/>
                              </w:rPr>
                              <w:t>VASCULITIDES</w:t>
                            </w:r>
                          </w:p>
                          <w:p>
                            <w:pPr>
                              <w:pStyle w:val="TableParagraph"/>
                              <w:spacing w:line="230" w:lineRule="auto" w:before="3"/>
                              <w:ind w:left="186" w:right="75" w:hanging="112"/>
                              <w:rPr>
                                <w:sz w:val="15"/>
                              </w:rPr>
                            </w:pPr>
                            <w:r>
                              <w:rPr>
                                <w:color w:val="231F20"/>
                                <w:sz w:val="15"/>
                              </w:rPr>
                              <w:t>Wegener</w:t>
                            </w:r>
                            <w:r>
                              <w:rPr>
                                <w:color w:val="231F20"/>
                                <w:spacing w:val="-3"/>
                                <w:sz w:val="15"/>
                              </w:rPr>
                              <w:t> </w:t>
                            </w:r>
                            <w:r>
                              <w:rPr>
                                <w:color w:val="231F20"/>
                                <w:sz w:val="15"/>
                              </w:rPr>
                              <w:t>granulomatosis,</w:t>
                            </w:r>
                            <w:r>
                              <w:rPr>
                                <w:color w:val="231F20"/>
                                <w:spacing w:val="-3"/>
                                <w:sz w:val="15"/>
                              </w:rPr>
                              <w:t> </w:t>
                            </w:r>
                            <w:r>
                              <w:rPr>
                                <w:color w:val="231F20"/>
                                <w:sz w:val="15"/>
                              </w:rPr>
                              <w:t>Churg-Strauss</w:t>
                            </w:r>
                            <w:r>
                              <w:rPr>
                                <w:color w:val="231F20"/>
                                <w:spacing w:val="-3"/>
                                <w:sz w:val="15"/>
                              </w:rPr>
                              <w:t> </w:t>
                            </w:r>
                            <w:r>
                              <w:rPr>
                                <w:color w:val="231F20"/>
                                <w:sz w:val="15"/>
                              </w:rPr>
                              <w:t>syndrome,</w:t>
                            </w:r>
                            <w:r>
                              <w:rPr>
                                <w:color w:val="231F20"/>
                                <w:spacing w:val="-3"/>
                                <w:sz w:val="15"/>
                              </w:rPr>
                              <w:t> </w:t>
                            </w:r>
                            <w:r>
                              <w:rPr>
                                <w:color w:val="231F20"/>
                                <w:sz w:val="15"/>
                              </w:rPr>
                              <w:t>Behçet</w:t>
                            </w:r>
                            <w:r>
                              <w:rPr>
                                <w:color w:val="231F20"/>
                                <w:spacing w:val="-3"/>
                                <w:sz w:val="15"/>
                              </w:rPr>
                              <w:t> </w:t>
                            </w:r>
                            <w:r>
                              <w:rPr>
                                <w:color w:val="231F20"/>
                                <w:sz w:val="15"/>
                              </w:rPr>
                              <w:t>disease, polyarteritis nodosa, Henoch-Schönlein purpura, Kawasaki disease,</w:t>
                            </w:r>
                            <w:r>
                              <w:rPr>
                                <w:color w:val="231F20"/>
                                <w:spacing w:val="-5"/>
                                <w:sz w:val="15"/>
                              </w:rPr>
                              <w:t> </w:t>
                            </w:r>
                            <w:r>
                              <w:rPr>
                                <w:color w:val="231F20"/>
                                <w:sz w:val="15"/>
                              </w:rPr>
                              <w:t>giant-cell</w:t>
                            </w:r>
                            <w:r>
                              <w:rPr>
                                <w:color w:val="231F20"/>
                                <w:spacing w:val="-5"/>
                                <w:sz w:val="15"/>
                              </w:rPr>
                              <w:t> </w:t>
                            </w:r>
                            <w:r>
                              <w:rPr>
                                <w:color w:val="231F20"/>
                                <w:sz w:val="15"/>
                              </w:rPr>
                              <w:t>arteritis,</w:t>
                            </w:r>
                            <w:r>
                              <w:rPr>
                                <w:color w:val="231F20"/>
                                <w:spacing w:val="-5"/>
                                <w:sz w:val="15"/>
                              </w:rPr>
                              <w:t> </w:t>
                            </w:r>
                            <w:r>
                              <w:rPr>
                                <w:color w:val="231F20"/>
                                <w:sz w:val="15"/>
                              </w:rPr>
                              <w:t>Takayasu</w:t>
                            </w:r>
                            <w:r>
                              <w:rPr>
                                <w:color w:val="231F20"/>
                                <w:spacing w:val="-5"/>
                                <w:sz w:val="15"/>
                              </w:rPr>
                              <w:t> </w:t>
                            </w:r>
                            <w:r>
                              <w:rPr>
                                <w:color w:val="231F20"/>
                                <w:sz w:val="15"/>
                              </w:rPr>
                              <w:t>arteritis</w:t>
                            </w:r>
                          </w:p>
                        </w:tc>
                      </w:tr>
                      <w:tr>
                        <w:trPr>
                          <w:trHeight w:val="591"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CONNECTIVE</w:t>
                            </w:r>
                            <w:r>
                              <w:rPr>
                                <w:color w:val="231F20"/>
                                <w:spacing w:val="11"/>
                                <w:w w:val="110"/>
                                <w:sz w:val="15"/>
                              </w:rPr>
                              <w:t> </w:t>
                            </w:r>
                            <w:r>
                              <w:rPr>
                                <w:color w:val="231F20"/>
                                <w:w w:val="110"/>
                                <w:sz w:val="15"/>
                              </w:rPr>
                              <w:t>TISSUE</w:t>
                            </w:r>
                            <w:r>
                              <w:rPr>
                                <w:color w:val="231F20"/>
                                <w:spacing w:val="12"/>
                                <w:w w:val="110"/>
                                <w:sz w:val="15"/>
                              </w:rPr>
                              <w:t> </w:t>
                            </w:r>
                            <w:r>
                              <w:rPr>
                                <w:color w:val="231F20"/>
                                <w:spacing w:val="-2"/>
                                <w:w w:val="110"/>
                                <w:sz w:val="15"/>
                              </w:rPr>
                              <w:t>DISEASES</w:t>
                            </w:r>
                          </w:p>
                          <w:p>
                            <w:pPr>
                              <w:pStyle w:val="TableParagraph"/>
                              <w:spacing w:line="230" w:lineRule="auto" w:before="3"/>
                              <w:ind w:left="186" w:right="442" w:hanging="112"/>
                              <w:rPr>
                                <w:sz w:val="15"/>
                              </w:rPr>
                            </w:pPr>
                            <w:r>
                              <w:rPr>
                                <w:color w:val="231F20"/>
                                <w:sz w:val="15"/>
                              </w:rPr>
                              <w:t>Systemic lupus erythematosus, rheumatoid arthritis, Sjögren syndrome,</w:t>
                            </w:r>
                            <w:r>
                              <w:rPr>
                                <w:color w:val="231F20"/>
                                <w:spacing w:val="-12"/>
                                <w:sz w:val="15"/>
                              </w:rPr>
                              <w:t> </w:t>
                            </w:r>
                            <w:r>
                              <w:rPr>
                                <w:color w:val="231F20"/>
                                <w:sz w:val="15"/>
                              </w:rPr>
                              <w:t>dermatomyositis,</w:t>
                            </w:r>
                            <w:r>
                              <w:rPr>
                                <w:color w:val="231F20"/>
                                <w:spacing w:val="-11"/>
                                <w:sz w:val="15"/>
                              </w:rPr>
                              <w:t> </w:t>
                            </w:r>
                            <w:r>
                              <w:rPr>
                                <w:color w:val="231F20"/>
                                <w:sz w:val="15"/>
                              </w:rPr>
                              <w:t>mixed</w:t>
                            </w:r>
                            <w:r>
                              <w:rPr>
                                <w:color w:val="231F20"/>
                                <w:spacing w:val="-11"/>
                                <w:sz w:val="15"/>
                              </w:rPr>
                              <w:t> </w:t>
                            </w:r>
                            <w:r>
                              <w:rPr>
                                <w:color w:val="231F20"/>
                                <w:sz w:val="15"/>
                              </w:rPr>
                              <w:t>connective</w:t>
                            </w:r>
                            <w:r>
                              <w:rPr>
                                <w:color w:val="231F20"/>
                                <w:spacing w:val="-12"/>
                                <w:sz w:val="15"/>
                              </w:rPr>
                              <w:t> </w:t>
                            </w:r>
                            <w:r>
                              <w:rPr>
                                <w:color w:val="231F20"/>
                                <w:sz w:val="15"/>
                              </w:rPr>
                              <w:t>tissue</w:t>
                            </w:r>
                            <w:r>
                              <w:rPr>
                                <w:color w:val="231F20"/>
                                <w:spacing w:val="-11"/>
                                <w:sz w:val="15"/>
                              </w:rPr>
                              <w:t> </w:t>
                            </w:r>
                            <w:r>
                              <w:rPr>
                                <w:color w:val="231F20"/>
                                <w:sz w:val="15"/>
                              </w:rPr>
                              <w:t>disease</w:t>
                            </w:r>
                          </w:p>
                        </w:tc>
                      </w:tr>
                      <w:tr>
                        <w:trPr>
                          <w:trHeight w:val="1089"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15"/>
                                <w:sz w:val="15"/>
                              </w:rPr>
                              <w:t>MISCELLANEOUS</w:t>
                            </w:r>
                          </w:p>
                          <w:p>
                            <w:pPr>
                              <w:pStyle w:val="TableParagraph"/>
                              <w:spacing w:line="230" w:lineRule="auto" w:before="3"/>
                              <w:ind w:left="186" w:hanging="112"/>
                              <w:rPr>
                                <w:sz w:val="15"/>
                              </w:rPr>
                            </w:pPr>
                            <w:r>
                              <w:rPr>
                                <w:color w:val="231F20"/>
                                <w:sz w:val="15"/>
                              </w:rPr>
                              <w:t>Antiphospholipid antibodies syndrome, Hodgkin and non-</w:t>
                            </w:r>
                            <w:r>
                              <w:rPr>
                                <w:color w:val="231F20"/>
                                <w:sz w:val="15"/>
                              </w:rPr>
                              <w:t>Hodgkin lymphomas, neurosarcoidosis, inflammatory bowel disease,</w:t>
                            </w:r>
                          </w:p>
                          <w:p>
                            <w:pPr>
                              <w:pStyle w:val="TableParagraph"/>
                              <w:spacing w:line="230" w:lineRule="auto" w:before="2"/>
                              <w:ind w:left="186"/>
                              <w:rPr>
                                <w:sz w:val="15"/>
                              </w:rPr>
                            </w:pPr>
                            <w:r>
                              <w:rPr>
                                <w:color w:val="231F20"/>
                                <w:spacing w:val="-2"/>
                                <w:sz w:val="15"/>
                              </w:rPr>
                              <w:t>graft-versus-host disease, bacterial endocarditis, acute bacterial </w:t>
                            </w:r>
                            <w:r>
                              <w:rPr>
                                <w:color w:val="231F20"/>
                                <w:sz w:val="15"/>
                              </w:rPr>
                              <w:t>meningitis,</w:t>
                            </w:r>
                            <w:r>
                              <w:rPr>
                                <w:color w:val="231F20"/>
                                <w:spacing w:val="-12"/>
                                <w:sz w:val="15"/>
                              </w:rPr>
                              <w:t> </w:t>
                            </w:r>
                            <w:r>
                              <w:rPr>
                                <w:color w:val="231F20"/>
                                <w:sz w:val="15"/>
                              </w:rPr>
                              <w:t>drug-induced</w:t>
                            </w:r>
                            <w:r>
                              <w:rPr>
                                <w:color w:val="231F20"/>
                                <w:spacing w:val="-11"/>
                                <w:sz w:val="15"/>
                              </w:rPr>
                              <w:t> </w:t>
                            </w:r>
                            <w:r>
                              <w:rPr>
                                <w:color w:val="231F20"/>
                                <w:sz w:val="15"/>
                              </w:rPr>
                              <w:t>CNS</w:t>
                            </w:r>
                            <w:r>
                              <w:rPr>
                                <w:color w:val="231F20"/>
                                <w:spacing w:val="-11"/>
                                <w:sz w:val="15"/>
                              </w:rPr>
                              <w:t> </w:t>
                            </w:r>
                            <w:r>
                              <w:rPr>
                                <w:color w:val="231F20"/>
                                <w:sz w:val="15"/>
                              </w:rPr>
                              <w:t>vasculitis</w:t>
                            </w:r>
                            <w:r>
                              <w:rPr>
                                <w:color w:val="231F20"/>
                                <w:spacing w:val="-12"/>
                                <w:sz w:val="15"/>
                              </w:rPr>
                              <w:t> </w:t>
                            </w:r>
                            <w:r>
                              <w:rPr>
                                <w:color w:val="231F20"/>
                                <w:sz w:val="15"/>
                              </w:rPr>
                              <w:t>(cocaine,</w:t>
                            </w:r>
                            <w:r>
                              <w:rPr>
                                <w:color w:val="231F20"/>
                                <w:spacing w:val="-11"/>
                                <w:sz w:val="15"/>
                              </w:rPr>
                              <w:t> </w:t>
                            </w:r>
                            <w:r>
                              <w:rPr>
                                <w:color w:val="231F20"/>
                                <w:sz w:val="15"/>
                              </w:rPr>
                              <w:t>amphetamine, ephedrine, phenylpropanolamine)</w:t>
                            </w:r>
                          </w:p>
                        </w:tc>
                      </w:tr>
                    </w:tbl>
                    <w:p>
                      <w:pPr>
                        <w:pStyle w:val="BodyText"/>
                      </w:pPr>
                    </w:p>
                  </w:txbxContent>
                </v:textbox>
                <w10:wrap type="topAndBottom"/>
              </v:shape>
            </w:pict>
          </mc:Fallback>
        </mc:AlternateContent>
      </w:r>
      <w:r>
        <w:rPr>
          <w:sz w:val="7"/>
        </w:rPr>
        <mc:AlternateContent>
          <mc:Choice Requires="wps">
            <w:drawing>
              <wp:anchor distT="0" distB="0" distL="0" distR="0" allowOverlap="1" layoutInCell="1" locked="0" behindDoc="1" simplePos="0" relativeHeight="487650304">
                <wp:simplePos x="0" y="0"/>
                <wp:positionH relativeFrom="page">
                  <wp:posOffset>3946373</wp:posOffset>
                </wp:positionH>
                <wp:positionV relativeFrom="paragraph">
                  <wp:posOffset>121991</wp:posOffset>
                </wp:positionV>
                <wp:extent cx="2986405" cy="4592955"/>
                <wp:effectExtent l="0" t="0" r="0" b="0"/>
                <wp:wrapTopAndBottom/>
                <wp:docPr id="963" name="Group 963"/>
                <wp:cNvGraphicFramePr>
                  <a:graphicFrameLocks/>
                </wp:cNvGraphicFramePr>
                <a:graphic>
                  <a:graphicData uri="http://schemas.microsoft.com/office/word/2010/wordprocessingGroup">
                    <wpg:wgp>
                      <wpg:cNvPr id="963" name="Group 963"/>
                      <wpg:cNvGrpSpPr/>
                      <wpg:grpSpPr>
                        <a:xfrm>
                          <a:off x="0" y="0"/>
                          <a:ext cx="2986405" cy="4592955"/>
                          <a:chExt cx="2986405" cy="4592955"/>
                        </a:xfrm>
                      </wpg:grpSpPr>
                      <wps:wsp>
                        <wps:cNvPr id="964" name="Textbox 964"/>
                        <wps:cNvSpPr txBox="1"/>
                        <wps:spPr>
                          <a:xfrm>
                            <a:off x="12" y="473957"/>
                            <a:ext cx="2986405" cy="4112895"/>
                          </a:xfrm>
                          <a:prstGeom prst="rect">
                            <a:avLst/>
                          </a:prstGeom>
                          <a:solidFill>
                            <a:srgbClr val="E8F5F1"/>
                          </a:solidFill>
                        </wps:spPr>
                        <wps:txbx>
                          <w:txbxContent>
                            <w:p>
                              <w:pPr>
                                <w:numPr>
                                  <w:ilvl w:val="0"/>
                                  <w:numId w:val="89"/>
                                </w:numPr>
                                <w:tabs>
                                  <w:tab w:pos="264" w:val="left" w:leader="none"/>
                                  <w:tab w:pos="266" w:val="left" w:leader="none"/>
                                </w:tabs>
                                <w:spacing w:line="230" w:lineRule="auto" w:before="53"/>
                                <w:ind w:left="266" w:right="505" w:hanging="193"/>
                                <w:jc w:val="left"/>
                                <w:rPr>
                                  <w:color w:val="000000"/>
                                  <w:sz w:val="15"/>
                                </w:rPr>
                              </w:pPr>
                              <w:r>
                                <w:rPr>
                                  <w:color w:val="231F20"/>
                                  <w:sz w:val="15"/>
                                </w:rPr>
                                <w:t>Clinical</w:t>
                              </w:r>
                              <w:r>
                                <w:rPr>
                                  <w:color w:val="231F20"/>
                                  <w:spacing w:val="-12"/>
                                  <w:sz w:val="15"/>
                                </w:rPr>
                                <w:t> </w:t>
                              </w:r>
                              <w:r>
                                <w:rPr>
                                  <w:color w:val="231F20"/>
                                  <w:sz w:val="15"/>
                                </w:rPr>
                                <w:t>evaluation:</w:t>
                              </w:r>
                              <w:r>
                                <w:rPr>
                                  <w:color w:val="231F20"/>
                                  <w:spacing w:val="-11"/>
                                  <w:sz w:val="15"/>
                                </w:rPr>
                                <w:t> </w:t>
                              </w:r>
                              <w:r>
                                <w:rPr>
                                  <w:color w:val="231F20"/>
                                  <w:sz w:val="15"/>
                                </w:rPr>
                                <w:t>Newly</w:t>
                              </w:r>
                              <w:r>
                                <w:rPr>
                                  <w:color w:val="231F20"/>
                                  <w:spacing w:val="-11"/>
                                  <w:sz w:val="15"/>
                                </w:rPr>
                                <w:t> </w:t>
                              </w:r>
                              <w:r>
                                <w:rPr>
                                  <w:color w:val="231F20"/>
                                  <w:sz w:val="15"/>
                                </w:rPr>
                                <w:t>acquired</w:t>
                              </w:r>
                              <w:r>
                                <w:rPr>
                                  <w:color w:val="231F20"/>
                                  <w:spacing w:val="-12"/>
                                  <w:sz w:val="15"/>
                                </w:rPr>
                                <w:t> </w:t>
                              </w:r>
                              <w:r>
                                <w:rPr>
                                  <w:color w:val="231F20"/>
                                  <w:sz w:val="15"/>
                                </w:rPr>
                                <w:t>symptom</w:t>
                              </w:r>
                              <w:r>
                                <w:rPr>
                                  <w:color w:val="231F20"/>
                                  <w:spacing w:val="-11"/>
                                  <w:sz w:val="15"/>
                                </w:rPr>
                                <w:t> </w:t>
                              </w:r>
                              <w:r>
                                <w:rPr>
                                  <w:color w:val="231F20"/>
                                  <w:sz w:val="15"/>
                                </w:rPr>
                                <w:t>or</w:t>
                              </w:r>
                              <w:r>
                                <w:rPr>
                                  <w:color w:val="231F20"/>
                                  <w:spacing w:val="-11"/>
                                  <w:sz w:val="15"/>
                                </w:rPr>
                                <w:t> </w:t>
                              </w:r>
                              <w:r>
                                <w:rPr>
                                  <w:color w:val="231F20"/>
                                  <w:sz w:val="15"/>
                                </w:rPr>
                                <w:t>deficit</w:t>
                              </w:r>
                              <w:r>
                                <w:rPr>
                                  <w:color w:val="231F20"/>
                                  <w:spacing w:val="-12"/>
                                  <w:sz w:val="15"/>
                                </w:rPr>
                                <w:t> </w:t>
                              </w:r>
                              <w:r>
                                <w:rPr>
                                  <w:color w:val="231F20"/>
                                  <w:sz w:val="15"/>
                                </w:rPr>
                                <w:t>in</w:t>
                              </w:r>
                              <w:r>
                                <w:rPr>
                                  <w:color w:val="231F20"/>
                                  <w:spacing w:val="-11"/>
                                  <w:sz w:val="15"/>
                                </w:rPr>
                                <w:t> </w:t>
                              </w:r>
                              <w:r>
                                <w:rPr>
                                  <w:color w:val="231F20"/>
                                  <w:sz w:val="15"/>
                                </w:rPr>
                                <w:t>a previously healthy child</w:t>
                              </w:r>
                            </w:p>
                            <w:p>
                              <w:pPr>
                                <w:numPr>
                                  <w:ilvl w:val="1"/>
                                  <w:numId w:val="89"/>
                                </w:numPr>
                                <w:tabs>
                                  <w:tab w:pos="416" w:val="left" w:leader="none"/>
                                </w:tabs>
                                <w:spacing w:line="230" w:lineRule="auto" w:before="1"/>
                                <w:ind w:left="416" w:right="404" w:hanging="150"/>
                                <w:jc w:val="left"/>
                                <w:rPr>
                                  <w:color w:val="000000"/>
                                  <w:sz w:val="15"/>
                                </w:rPr>
                              </w:pPr>
                              <w:r>
                                <w:rPr>
                                  <w:color w:val="231F20"/>
                                  <w:sz w:val="15"/>
                                </w:rPr>
                                <w:t>Focal neurologic deficit: hemiparesis, hemisensory loss, </w:t>
                              </w:r>
                              <w:r>
                                <w:rPr>
                                  <w:color w:val="231F20"/>
                                  <w:spacing w:val="-2"/>
                                  <w:sz w:val="15"/>
                                </w:rPr>
                                <w:t>aphasia,</w:t>
                              </w:r>
                              <w:r>
                                <w:rPr>
                                  <w:color w:val="231F20"/>
                                  <w:spacing w:val="-10"/>
                                  <w:sz w:val="15"/>
                                </w:rPr>
                                <w:t> </w:t>
                              </w:r>
                              <w:r>
                                <w:rPr>
                                  <w:color w:val="231F20"/>
                                  <w:spacing w:val="-2"/>
                                  <w:sz w:val="15"/>
                                </w:rPr>
                                <w:t>ataxia,</w:t>
                              </w:r>
                              <w:r>
                                <w:rPr>
                                  <w:color w:val="231F20"/>
                                  <w:spacing w:val="-9"/>
                                  <w:sz w:val="15"/>
                                </w:rPr>
                                <w:t> </w:t>
                              </w:r>
                              <w:r>
                                <w:rPr>
                                  <w:color w:val="231F20"/>
                                  <w:spacing w:val="-2"/>
                                  <w:sz w:val="15"/>
                                </w:rPr>
                                <w:t>movement</w:t>
                              </w:r>
                              <w:r>
                                <w:rPr>
                                  <w:color w:val="231F20"/>
                                  <w:spacing w:val="-9"/>
                                  <w:sz w:val="15"/>
                                </w:rPr>
                                <w:t> </w:t>
                              </w:r>
                              <w:r>
                                <w:rPr>
                                  <w:color w:val="231F20"/>
                                  <w:spacing w:val="-2"/>
                                  <w:sz w:val="15"/>
                                </w:rPr>
                                <w:t>abnormality,</w:t>
                              </w:r>
                              <w:r>
                                <w:rPr>
                                  <w:color w:val="231F20"/>
                                  <w:spacing w:val="-10"/>
                                  <w:sz w:val="15"/>
                                </w:rPr>
                                <w:t> </w:t>
                              </w:r>
                              <w:r>
                                <w:rPr>
                                  <w:color w:val="231F20"/>
                                  <w:spacing w:val="-2"/>
                                  <w:sz w:val="15"/>
                                </w:rPr>
                                <w:t>paresthesia,</w:t>
                              </w:r>
                              <w:r>
                                <w:rPr>
                                  <w:color w:val="231F20"/>
                                  <w:spacing w:val="-9"/>
                                  <w:sz w:val="15"/>
                                </w:rPr>
                                <w:t> </w:t>
                              </w:r>
                              <w:r>
                                <w:rPr>
                                  <w:color w:val="231F20"/>
                                  <w:spacing w:val="-2"/>
                                  <w:sz w:val="15"/>
                                </w:rPr>
                                <w:t>facial </w:t>
                              </w:r>
                              <w:r>
                                <w:rPr>
                                  <w:color w:val="231F20"/>
                                  <w:sz w:val="15"/>
                                </w:rPr>
                                <w:t>droop, ataxia, vision loss, spinal cord symptoms, others</w:t>
                              </w:r>
                            </w:p>
                            <w:p>
                              <w:pPr>
                                <w:numPr>
                                  <w:ilvl w:val="1"/>
                                  <w:numId w:val="89"/>
                                </w:numPr>
                                <w:tabs>
                                  <w:tab w:pos="415" w:val="left" w:leader="none"/>
                                </w:tabs>
                                <w:spacing w:line="168" w:lineRule="exact" w:before="0"/>
                                <w:ind w:left="415" w:right="0" w:hanging="149"/>
                                <w:jc w:val="left"/>
                                <w:rPr>
                                  <w:color w:val="000000"/>
                                  <w:sz w:val="15"/>
                                </w:rPr>
                              </w:pPr>
                              <w:r>
                                <w:rPr>
                                  <w:color w:val="231F20"/>
                                  <w:spacing w:val="-4"/>
                                  <w:sz w:val="15"/>
                                </w:rPr>
                                <w:t>Seizures</w:t>
                              </w:r>
                              <w:r>
                                <w:rPr>
                                  <w:color w:val="231F20"/>
                                  <w:spacing w:val="2"/>
                                  <w:sz w:val="15"/>
                                </w:rPr>
                                <w:t> </w:t>
                              </w:r>
                              <w:r>
                                <w:rPr>
                                  <w:color w:val="231F20"/>
                                  <w:spacing w:val="-4"/>
                                  <w:sz w:val="15"/>
                                </w:rPr>
                                <w:t>or</w:t>
                              </w:r>
                              <w:r>
                                <w:rPr>
                                  <w:color w:val="231F20"/>
                                  <w:spacing w:val="2"/>
                                  <w:sz w:val="15"/>
                                </w:rPr>
                                <w:t> </w:t>
                              </w:r>
                              <w:r>
                                <w:rPr>
                                  <w:color w:val="231F20"/>
                                  <w:spacing w:val="-4"/>
                                  <w:sz w:val="15"/>
                                </w:rPr>
                                <w:t>(refractory)</w:t>
                              </w:r>
                              <w:r>
                                <w:rPr>
                                  <w:color w:val="231F20"/>
                                  <w:spacing w:val="3"/>
                                  <w:sz w:val="15"/>
                                </w:rPr>
                                <w:t> </w:t>
                              </w:r>
                              <w:r>
                                <w:rPr>
                                  <w:color w:val="231F20"/>
                                  <w:spacing w:val="-4"/>
                                  <w:sz w:val="15"/>
                                </w:rPr>
                                <w:t>seizure</w:t>
                              </w:r>
                              <w:r>
                                <w:rPr>
                                  <w:color w:val="231F20"/>
                                  <w:spacing w:val="2"/>
                                  <w:sz w:val="15"/>
                                </w:rPr>
                                <w:t> </w:t>
                              </w:r>
                              <w:r>
                                <w:rPr>
                                  <w:color w:val="231F20"/>
                                  <w:spacing w:val="-4"/>
                                  <w:sz w:val="15"/>
                                </w:rPr>
                                <w:t>status</w:t>
                              </w:r>
                            </w:p>
                            <w:p>
                              <w:pPr>
                                <w:numPr>
                                  <w:ilvl w:val="1"/>
                                  <w:numId w:val="89"/>
                                </w:numPr>
                                <w:tabs>
                                  <w:tab w:pos="416" w:val="left" w:leader="none"/>
                                </w:tabs>
                                <w:spacing w:line="230" w:lineRule="auto" w:before="3"/>
                                <w:ind w:left="416" w:right="73" w:hanging="150"/>
                                <w:jc w:val="left"/>
                                <w:rPr>
                                  <w:color w:val="000000"/>
                                  <w:sz w:val="15"/>
                                </w:rPr>
                              </w:pPr>
                              <w:r>
                                <w:rPr>
                                  <w:color w:val="231F20"/>
                                  <w:sz w:val="15"/>
                                </w:rPr>
                                <w:t>Diffuse</w:t>
                              </w:r>
                              <w:r>
                                <w:rPr>
                                  <w:color w:val="231F20"/>
                                  <w:spacing w:val="-2"/>
                                  <w:sz w:val="15"/>
                                </w:rPr>
                                <w:t> </w:t>
                              </w:r>
                              <w:r>
                                <w:rPr>
                                  <w:color w:val="231F20"/>
                                  <w:sz w:val="15"/>
                                </w:rPr>
                                <w:t>neurologic</w:t>
                              </w:r>
                              <w:r>
                                <w:rPr>
                                  <w:color w:val="231F20"/>
                                  <w:spacing w:val="-2"/>
                                  <w:sz w:val="15"/>
                                </w:rPr>
                                <w:t> </w:t>
                              </w:r>
                              <w:r>
                                <w:rPr>
                                  <w:color w:val="231F20"/>
                                  <w:sz w:val="15"/>
                                </w:rPr>
                                <w:t>deficit</w:t>
                              </w:r>
                              <w:r>
                                <w:rPr>
                                  <w:color w:val="231F20"/>
                                  <w:spacing w:val="-2"/>
                                  <w:sz w:val="15"/>
                                </w:rPr>
                                <w:t> </w:t>
                              </w:r>
                              <w:r>
                                <w:rPr>
                                  <w:color w:val="231F20"/>
                                  <w:sz w:val="15"/>
                                </w:rPr>
                                <w:t>including</w:t>
                              </w:r>
                              <w:r>
                                <w:rPr>
                                  <w:color w:val="231F20"/>
                                  <w:spacing w:val="-2"/>
                                  <w:sz w:val="15"/>
                                </w:rPr>
                                <w:t> </w:t>
                              </w:r>
                              <w:r>
                                <w:rPr>
                                  <w:color w:val="231F20"/>
                                  <w:sz w:val="15"/>
                                </w:rPr>
                                <w:t>cognitive</w:t>
                              </w:r>
                              <w:r>
                                <w:rPr>
                                  <w:color w:val="231F20"/>
                                  <w:spacing w:val="-2"/>
                                  <w:sz w:val="15"/>
                                </w:rPr>
                                <w:t> </w:t>
                              </w:r>
                              <w:r>
                                <w:rPr>
                                  <w:color w:val="231F20"/>
                                  <w:sz w:val="15"/>
                                </w:rPr>
                                <w:t>decline</w:t>
                              </w:r>
                              <w:r>
                                <w:rPr>
                                  <w:color w:val="231F20"/>
                                  <w:spacing w:val="-2"/>
                                  <w:sz w:val="15"/>
                                </w:rPr>
                                <w:t> </w:t>
                              </w:r>
                              <w:r>
                                <w:rPr>
                                  <w:color w:val="231F20"/>
                                  <w:sz w:val="15"/>
                                </w:rPr>
                                <w:t>with</w:t>
                              </w:r>
                              <w:r>
                                <w:rPr>
                                  <w:color w:val="231F20"/>
                                  <w:spacing w:val="-2"/>
                                  <w:sz w:val="15"/>
                                </w:rPr>
                                <w:t> </w:t>
                              </w:r>
                              <w:r>
                                <w:rPr>
                                  <w:color w:val="231F20"/>
                                  <w:sz w:val="15"/>
                                </w:rPr>
                                <w:t>loss </w:t>
                              </w:r>
                              <w:r>
                                <w:rPr>
                                  <w:color w:val="231F20"/>
                                  <w:spacing w:val="-2"/>
                                  <w:sz w:val="15"/>
                                </w:rPr>
                                <w:t>of</w:t>
                              </w:r>
                              <w:r>
                                <w:rPr>
                                  <w:color w:val="231F20"/>
                                  <w:spacing w:val="-10"/>
                                  <w:sz w:val="15"/>
                                </w:rPr>
                                <w:t> </w:t>
                              </w:r>
                              <w:r>
                                <w:rPr>
                                  <w:color w:val="231F20"/>
                                  <w:spacing w:val="-2"/>
                                  <w:sz w:val="15"/>
                                </w:rPr>
                                <w:t>higher</w:t>
                              </w:r>
                              <w:r>
                                <w:rPr>
                                  <w:color w:val="231F20"/>
                                  <w:spacing w:val="-9"/>
                                  <w:sz w:val="15"/>
                                </w:rPr>
                                <w:t> </w:t>
                              </w:r>
                              <w:r>
                                <w:rPr>
                                  <w:color w:val="231F20"/>
                                  <w:spacing w:val="-2"/>
                                  <w:sz w:val="15"/>
                                </w:rPr>
                                <w:t>executive</w:t>
                              </w:r>
                              <w:r>
                                <w:rPr>
                                  <w:color w:val="231F20"/>
                                  <w:spacing w:val="-9"/>
                                  <w:sz w:val="15"/>
                                </w:rPr>
                                <w:t> </w:t>
                              </w:r>
                              <w:r>
                                <w:rPr>
                                  <w:color w:val="231F20"/>
                                  <w:spacing w:val="-2"/>
                                  <w:sz w:val="15"/>
                                </w:rPr>
                                <w:t>function,</w:t>
                              </w:r>
                              <w:r>
                                <w:rPr>
                                  <w:color w:val="231F20"/>
                                  <w:spacing w:val="-10"/>
                                  <w:sz w:val="15"/>
                                </w:rPr>
                                <w:t> </w:t>
                              </w:r>
                              <w:r>
                                <w:rPr>
                                  <w:color w:val="231F20"/>
                                  <w:spacing w:val="-2"/>
                                  <w:sz w:val="15"/>
                                </w:rPr>
                                <w:t>concentration</w:t>
                              </w:r>
                              <w:r>
                                <w:rPr>
                                  <w:color w:val="231F20"/>
                                  <w:spacing w:val="-9"/>
                                  <w:sz w:val="15"/>
                                </w:rPr>
                                <w:t> </w:t>
                              </w:r>
                              <w:r>
                                <w:rPr>
                                  <w:color w:val="231F20"/>
                                  <w:spacing w:val="-2"/>
                                  <w:sz w:val="15"/>
                                </w:rPr>
                                <w:t>difficulties,</w:t>
                              </w:r>
                              <w:r>
                                <w:rPr>
                                  <w:color w:val="231F20"/>
                                  <w:spacing w:val="-9"/>
                                  <w:sz w:val="15"/>
                                </w:rPr>
                                <w:t> </w:t>
                              </w:r>
                              <w:r>
                                <w:rPr>
                                  <w:color w:val="231F20"/>
                                  <w:spacing w:val="-2"/>
                                  <w:sz w:val="15"/>
                                </w:rPr>
                                <w:t>learning </w:t>
                              </w:r>
                              <w:r>
                                <w:rPr>
                                  <w:color w:val="231F20"/>
                                  <w:sz w:val="15"/>
                                </w:rPr>
                                <w:t>or memory problems, behavior or personality changes, loss of social skills or emotional/impulse control, others</w:t>
                              </w:r>
                            </w:p>
                            <w:p>
                              <w:pPr>
                                <w:numPr>
                                  <w:ilvl w:val="1"/>
                                  <w:numId w:val="89"/>
                                </w:numPr>
                                <w:tabs>
                                  <w:tab w:pos="415" w:val="left" w:leader="none"/>
                                </w:tabs>
                                <w:spacing w:line="168" w:lineRule="exact" w:before="0"/>
                                <w:ind w:left="415" w:right="0" w:hanging="149"/>
                                <w:jc w:val="left"/>
                                <w:rPr>
                                  <w:color w:val="000000"/>
                                  <w:sz w:val="15"/>
                                </w:rPr>
                              </w:pPr>
                              <w:r>
                                <w:rPr>
                                  <w:color w:val="231F20"/>
                                  <w:spacing w:val="-2"/>
                                  <w:sz w:val="15"/>
                                </w:rPr>
                                <w:t>Headaches</w:t>
                              </w:r>
                            </w:p>
                            <w:p>
                              <w:pPr>
                                <w:numPr>
                                  <w:ilvl w:val="1"/>
                                  <w:numId w:val="89"/>
                                </w:numPr>
                                <w:tabs>
                                  <w:tab w:pos="415" w:val="left" w:leader="none"/>
                                </w:tabs>
                                <w:spacing w:line="168" w:lineRule="exact" w:before="0"/>
                                <w:ind w:left="415" w:right="0" w:hanging="149"/>
                                <w:jc w:val="left"/>
                                <w:rPr>
                                  <w:color w:val="000000"/>
                                  <w:sz w:val="15"/>
                                </w:rPr>
                              </w:pPr>
                              <w:r>
                                <w:rPr>
                                  <w:color w:val="231F20"/>
                                  <w:sz w:val="15"/>
                                </w:rPr>
                                <w:t>Meningitis</w:t>
                              </w:r>
                              <w:r>
                                <w:rPr>
                                  <w:color w:val="231F20"/>
                                  <w:spacing w:val="-4"/>
                                  <w:sz w:val="15"/>
                                </w:rPr>
                                <w:t> </w:t>
                              </w:r>
                              <w:r>
                                <w:rPr>
                                  <w:color w:val="231F20"/>
                                  <w:sz w:val="15"/>
                                </w:rPr>
                                <w:t>symptoms,</w:t>
                              </w:r>
                              <w:r>
                                <w:rPr>
                                  <w:color w:val="231F20"/>
                                  <w:spacing w:val="-4"/>
                                  <w:sz w:val="15"/>
                                </w:rPr>
                                <w:t> </w:t>
                              </w:r>
                              <w:r>
                                <w:rPr>
                                  <w:color w:val="231F20"/>
                                  <w:sz w:val="15"/>
                                </w:rPr>
                                <w:t>abnormal</w:t>
                              </w:r>
                              <w:r>
                                <w:rPr>
                                  <w:color w:val="231F20"/>
                                  <w:spacing w:val="-4"/>
                                  <w:sz w:val="15"/>
                                </w:rPr>
                                <w:t> </w:t>
                              </w:r>
                              <w:r>
                                <w:rPr>
                                  <w:color w:val="231F20"/>
                                  <w:sz w:val="15"/>
                                </w:rPr>
                                <w:t>level</w:t>
                              </w:r>
                              <w:r>
                                <w:rPr>
                                  <w:color w:val="231F20"/>
                                  <w:spacing w:val="-3"/>
                                  <w:sz w:val="15"/>
                                </w:rPr>
                                <w:t> </w:t>
                              </w:r>
                              <w:r>
                                <w:rPr>
                                  <w:color w:val="231F20"/>
                                  <w:sz w:val="15"/>
                                </w:rPr>
                                <w:t>of</w:t>
                              </w:r>
                              <w:r>
                                <w:rPr>
                                  <w:color w:val="231F20"/>
                                  <w:spacing w:val="-4"/>
                                  <w:sz w:val="15"/>
                                </w:rPr>
                                <w:t> </w:t>
                              </w:r>
                              <w:r>
                                <w:rPr>
                                  <w:color w:val="231F20"/>
                                  <w:spacing w:val="-2"/>
                                  <w:sz w:val="15"/>
                                </w:rPr>
                                <w:t>consciousness</w:t>
                              </w:r>
                            </w:p>
                            <w:p>
                              <w:pPr>
                                <w:numPr>
                                  <w:ilvl w:val="1"/>
                                  <w:numId w:val="89"/>
                                </w:numPr>
                                <w:tabs>
                                  <w:tab w:pos="415" w:val="left" w:leader="none"/>
                                </w:tabs>
                                <w:spacing w:line="168" w:lineRule="exact" w:before="0"/>
                                <w:ind w:left="415" w:right="0" w:hanging="149"/>
                                <w:jc w:val="left"/>
                                <w:rPr>
                                  <w:color w:val="000000"/>
                                  <w:sz w:val="15"/>
                                </w:rPr>
                              </w:pPr>
                              <w:r>
                                <w:rPr>
                                  <w:color w:val="231F20"/>
                                  <w:spacing w:val="-2"/>
                                  <w:sz w:val="15"/>
                                </w:rPr>
                                <w:t>Psychiatric</w:t>
                              </w:r>
                              <w:r>
                                <w:rPr>
                                  <w:color w:val="231F20"/>
                                  <w:sz w:val="15"/>
                                </w:rPr>
                                <w:t> </w:t>
                              </w:r>
                              <w:r>
                                <w:rPr>
                                  <w:color w:val="231F20"/>
                                  <w:spacing w:val="-2"/>
                                  <w:sz w:val="15"/>
                                </w:rPr>
                                <w:t>symptoms</w:t>
                              </w:r>
                              <w:r>
                                <w:rPr>
                                  <w:color w:val="231F20"/>
                                  <w:spacing w:val="1"/>
                                  <w:sz w:val="15"/>
                                </w:rPr>
                                <w:t> </w:t>
                              </w:r>
                              <w:r>
                                <w:rPr>
                                  <w:color w:val="231F20"/>
                                  <w:spacing w:val="-2"/>
                                  <w:sz w:val="15"/>
                                </w:rPr>
                                <w:t>including</w:t>
                              </w:r>
                              <w:r>
                                <w:rPr>
                                  <w:color w:val="231F20"/>
                                  <w:spacing w:val="1"/>
                                  <w:sz w:val="15"/>
                                </w:rPr>
                                <w:t> </w:t>
                              </w:r>
                              <w:r>
                                <w:rPr>
                                  <w:color w:val="231F20"/>
                                  <w:spacing w:val="-2"/>
                                  <w:sz w:val="15"/>
                                </w:rPr>
                                <w:t>hallucinations,</w:t>
                              </w:r>
                              <w:r>
                                <w:rPr>
                                  <w:color w:val="231F20"/>
                                  <w:spacing w:val="1"/>
                                  <w:sz w:val="15"/>
                                </w:rPr>
                                <w:t> </w:t>
                              </w:r>
                              <w:r>
                                <w:rPr>
                                  <w:color w:val="231F20"/>
                                  <w:spacing w:val="-2"/>
                                  <w:sz w:val="15"/>
                                </w:rPr>
                                <w:t>pseudoseizures</w:t>
                              </w:r>
                            </w:p>
                            <w:p>
                              <w:pPr>
                                <w:spacing w:line="168" w:lineRule="exact" w:before="0"/>
                                <w:ind w:left="304" w:right="0" w:firstLine="0"/>
                                <w:jc w:val="left"/>
                                <w:rPr>
                                  <w:i/>
                                  <w:color w:val="000000"/>
                                  <w:sz w:val="15"/>
                                </w:rPr>
                              </w:pPr>
                              <w:r>
                                <w:rPr>
                                  <w:i/>
                                  <w:color w:val="231F20"/>
                                  <w:spacing w:val="-2"/>
                                  <w:sz w:val="15"/>
                                </w:rPr>
                                <w:t>Differential</w:t>
                              </w:r>
                              <w:r>
                                <w:rPr>
                                  <w:i/>
                                  <w:color w:val="231F20"/>
                                  <w:spacing w:val="-8"/>
                                  <w:sz w:val="15"/>
                                </w:rPr>
                                <w:t> </w:t>
                              </w:r>
                              <w:r>
                                <w:rPr>
                                  <w:i/>
                                  <w:color w:val="231F20"/>
                                  <w:spacing w:val="-2"/>
                                  <w:sz w:val="15"/>
                                </w:rPr>
                                <w:t>diagnosis</w:t>
                              </w:r>
                              <w:r>
                                <w:rPr>
                                  <w:i/>
                                  <w:color w:val="231F20"/>
                                  <w:spacing w:val="-8"/>
                                  <w:sz w:val="15"/>
                                </w:rPr>
                                <w:t> </w:t>
                              </w:r>
                              <w:r>
                                <w:rPr>
                                  <w:i/>
                                  <w:color w:val="231F20"/>
                                  <w:spacing w:val="-2"/>
                                  <w:sz w:val="15"/>
                                </w:rPr>
                                <w:t>approach:</w:t>
                              </w:r>
                            </w:p>
                            <w:p>
                              <w:pPr>
                                <w:numPr>
                                  <w:ilvl w:val="1"/>
                                  <w:numId w:val="89"/>
                                </w:numPr>
                                <w:tabs>
                                  <w:tab w:pos="416" w:val="left" w:leader="none"/>
                                </w:tabs>
                                <w:spacing w:line="230" w:lineRule="auto" w:before="2"/>
                                <w:ind w:left="416" w:right="386" w:hanging="150"/>
                                <w:jc w:val="left"/>
                                <w:rPr>
                                  <w:color w:val="000000"/>
                                  <w:sz w:val="15"/>
                                </w:rPr>
                              </w:pPr>
                              <w:r>
                                <w:rPr>
                                  <w:color w:val="231F20"/>
                                  <w:sz w:val="15"/>
                                </w:rPr>
                                <w:t>Underlying</w:t>
                              </w:r>
                              <w:r>
                                <w:rPr>
                                  <w:color w:val="231F20"/>
                                  <w:spacing w:val="-8"/>
                                  <w:sz w:val="15"/>
                                </w:rPr>
                                <w:t> </w:t>
                              </w:r>
                              <w:r>
                                <w:rPr>
                                  <w:color w:val="231F20"/>
                                  <w:sz w:val="15"/>
                                </w:rPr>
                                <w:t>illness</w:t>
                              </w:r>
                              <w:r>
                                <w:rPr>
                                  <w:color w:val="231F20"/>
                                  <w:spacing w:val="-8"/>
                                  <w:sz w:val="15"/>
                                </w:rPr>
                                <w:t> </w:t>
                              </w:r>
                              <w:r>
                                <w:rPr>
                                  <w:color w:val="231F20"/>
                                  <w:sz w:val="15"/>
                                </w:rPr>
                                <w:t>known</w:t>
                              </w:r>
                              <w:r>
                                <w:rPr>
                                  <w:color w:val="231F20"/>
                                  <w:spacing w:val="-8"/>
                                  <w:sz w:val="15"/>
                                </w:rPr>
                                <w:t> </w:t>
                              </w:r>
                              <w:r>
                                <w:rPr>
                                  <w:color w:val="231F20"/>
                                  <w:sz w:val="15"/>
                                </w:rPr>
                                <w:t>to</w:t>
                              </w:r>
                              <w:r>
                                <w:rPr>
                                  <w:color w:val="231F20"/>
                                  <w:spacing w:val="-8"/>
                                  <w:sz w:val="15"/>
                                </w:rPr>
                                <w:t> </w:t>
                              </w:r>
                              <w:r>
                                <w:rPr>
                                  <w:color w:val="231F20"/>
                                  <w:sz w:val="15"/>
                                </w:rPr>
                                <w:t>cause,</w:t>
                              </w:r>
                              <w:r>
                                <w:rPr>
                                  <w:color w:val="231F20"/>
                                  <w:spacing w:val="-8"/>
                                  <w:sz w:val="15"/>
                                </w:rPr>
                                <w:t> </w:t>
                              </w:r>
                              <w:r>
                                <w:rPr>
                                  <w:color w:val="231F20"/>
                                  <w:sz w:val="15"/>
                                </w:rPr>
                                <w:t>be</w:t>
                              </w:r>
                              <w:r>
                                <w:rPr>
                                  <w:color w:val="231F20"/>
                                  <w:spacing w:val="-8"/>
                                  <w:sz w:val="15"/>
                                </w:rPr>
                                <w:t> </w:t>
                              </w:r>
                              <w:r>
                                <w:rPr>
                                  <w:color w:val="231F20"/>
                                  <w:sz w:val="15"/>
                                </w:rPr>
                                <w:t>associated</w:t>
                              </w:r>
                              <w:r>
                                <w:rPr>
                                  <w:color w:val="231F20"/>
                                  <w:spacing w:val="-8"/>
                                  <w:sz w:val="15"/>
                                </w:rPr>
                                <w:t> </w:t>
                              </w:r>
                              <w:r>
                                <w:rPr>
                                  <w:color w:val="231F20"/>
                                  <w:sz w:val="15"/>
                                </w:rPr>
                                <w:t>or</w:t>
                              </w:r>
                              <w:r>
                                <w:rPr>
                                  <w:color w:val="231F20"/>
                                  <w:spacing w:val="-8"/>
                                  <w:sz w:val="15"/>
                                </w:rPr>
                                <w:t> </w:t>
                              </w:r>
                              <w:r>
                                <w:rPr>
                                  <w:color w:val="231F20"/>
                                  <w:sz w:val="15"/>
                                </w:rPr>
                                <w:t>mimic CNS vasculitis: check all potential clinical features</w:t>
                              </w:r>
                            </w:p>
                            <w:p>
                              <w:pPr>
                                <w:numPr>
                                  <w:ilvl w:val="0"/>
                                  <w:numId w:val="89"/>
                                </w:numPr>
                                <w:tabs>
                                  <w:tab w:pos="265" w:val="left" w:leader="none"/>
                                </w:tabs>
                                <w:spacing w:line="167" w:lineRule="exact" w:before="0"/>
                                <w:ind w:left="265" w:right="0" w:hanging="191"/>
                                <w:jc w:val="left"/>
                                <w:rPr>
                                  <w:color w:val="000000"/>
                                  <w:sz w:val="15"/>
                                </w:rPr>
                              </w:pPr>
                              <w:r>
                                <w:rPr>
                                  <w:color w:val="231F20"/>
                                  <w:spacing w:val="-2"/>
                                  <w:sz w:val="15"/>
                                </w:rPr>
                                <w:t>Laboratory</w:t>
                              </w:r>
                              <w:r>
                                <w:rPr>
                                  <w:color w:val="231F20"/>
                                  <w:spacing w:val="6"/>
                                  <w:sz w:val="15"/>
                                </w:rPr>
                                <w:t> </w:t>
                              </w:r>
                              <w:r>
                                <w:rPr>
                                  <w:color w:val="231F20"/>
                                  <w:spacing w:val="-2"/>
                                  <w:sz w:val="15"/>
                                </w:rPr>
                                <w:t>tests</w:t>
                              </w:r>
                            </w:p>
                            <w:p>
                              <w:pPr>
                                <w:numPr>
                                  <w:ilvl w:val="1"/>
                                  <w:numId w:val="89"/>
                                </w:numPr>
                                <w:tabs>
                                  <w:tab w:pos="415" w:val="left" w:leader="none"/>
                                </w:tabs>
                                <w:spacing w:line="230" w:lineRule="auto" w:before="3"/>
                                <w:ind w:left="415" w:right="288" w:hanging="150"/>
                                <w:jc w:val="left"/>
                                <w:rPr>
                                  <w:color w:val="000000"/>
                                  <w:sz w:val="15"/>
                                </w:rPr>
                              </w:pPr>
                              <w:r>
                                <w:rPr>
                                  <w:color w:val="231F20"/>
                                  <w:spacing w:val="-2"/>
                                  <w:sz w:val="15"/>
                                </w:rPr>
                                <w:t>Blood</w:t>
                              </w:r>
                              <w:r>
                                <w:rPr>
                                  <w:color w:val="231F20"/>
                                  <w:spacing w:val="-10"/>
                                  <w:sz w:val="15"/>
                                </w:rPr>
                                <w:t> </w:t>
                              </w:r>
                              <w:r>
                                <w:rPr>
                                  <w:color w:val="231F20"/>
                                  <w:spacing w:val="-2"/>
                                  <w:sz w:val="15"/>
                                </w:rPr>
                                <w:t>inflammatory</w:t>
                              </w:r>
                              <w:r>
                                <w:rPr>
                                  <w:color w:val="231F20"/>
                                  <w:spacing w:val="-9"/>
                                  <w:sz w:val="15"/>
                                </w:rPr>
                                <w:t> </w:t>
                              </w:r>
                              <w:r>
                                <w:rPr>
                                  <w:color w:val="231F20"/>
                                  <w:spacing w:val="-2"/>
                                  <w:sz w:val="15"/>
                                </w:rPr>
                                <w:t>markers:</w:t>
                              </w:r>
                              <w:r>
                                <w:rPr>
                                  <w:color w:val="231F20"/>
                                  <w:spacing w:val="-9"/>
                                  <w:sz w:val="15"/>
                                </w:rPr>
                                <w:t> </w:t>
                              </w:r>
                              <w:r>
                                <w:rPr>
                                  <w:color w:val="231F20"/>
                                  <w:spacing w:val="-2"/>
                                  <w:sz w:val="15"/>
                                </w:rPr>
                                <w:t>C-reactive</w:t>
                              </w:r>
                              <w:r>
                                <w:rPr>
                                  <w:color w:val="231F20"/>
                                  <w:spacing w:val="-10"/>
                                  <w:sz w:val="15"/>
                                </w:rPr>
                                <w:t> </w:t>
                              </w:r>
                              <w:r>
                                <w:rPr>
                                  <w:color w:val="231F20"/>
                                  <w:spacing w:val="-2"/>
                                  <w:sz w:val="15"/>
                                </w:rPr>
                                <w:t>protein,</w:t>
                              </w:r>
                              <w:r>
                                <w:rPr>
                                  <w:color w:val="231F20"/>
                                  <w:spacing w:val="-9"/>
                                  <w:sz w:val="15"/>
                                </w:rPr>
                                <w:t> </w:t>
                              </w:r>
                              <w:r>
                                <w:rPr>
                                  <w:color w:val="231F20"/>
                                  <w:spacing w:val="-2"/>
                                  <w:sz w:val="15"/>
                                </w:rPr>
                                <w:t>erythrocyte </w:t>
                              </w:r>
                              <w:r>
                                <w:rPr>
                                  <w:color w:val="231F20"/>
                                  <w:sz w:val="15"/>
                                </w:rPr>
                                <w:t>sedimentation rate and complete blood counts</w:t>
                              </w:r>
                            </w:p>
                            <w:p>
                              <w:pPr>
                                <w:numPr>
                                  <w:ilvl w:val="1"/>
                                  <w:numId w:val="89"/>
                                </w:numPr>
                                <w:tabs>
                                  <w:tab w:pos="415" w:val="left" w:leader="none"/>
                                </w:tabs>
                                <w:spacing w:line="167" w:lineRule="exact" w:before="0"/>
                                <w:ind w:left="415" w:right="0" w:hanging="149"/>
                                <w:jc w:val="left"/>
                                <w:rPr>
                                  <w:color w:val="000000"/>
                                  <w:sz w:val="15"/>
                                </w:rPr>
                              </w:pPr>
                              <w:r>
                                <w:rPr>
                                  <w:color w:val="231F20"/>
                                  <w:spacing w:val="-2"/>
                                  <w:sz w:val="15"/>
                                </w:rPr>
                                <w:t>Endothelial</w:t>
                              </w:r>
                              <w:r>
                                <w:rPr>
                                  <w:color w:val="231F20"/>
                                  <w:spacing w:val="-1"/>
                                  <w:sz w:val="15"/>
                                </w:rPr>
                                <w:t> </w:t>
                              </w:r>
                              <w:r>
                                <w:rPr>
                                  <w:color w:val="231F20"/>
                                  <w:spacing w:val="-2"/>
                                  <w:sz w:val="15"/>
                                </w:rPr>
                                <w:t>markers:</w:t>
                              </w:r>
                              <w:r>
                                <w:rPr>
                                  <w:color w:val="231F20"/>
                                  <w:sz w:val="15"/>
                                </w:rPr>
                                <w:t> </w:t>
                              </w:r>
                              <w:r>
                                <w:rPr>
                                  <w:color w:val="231F20"/>
                                  <w:spacing w:val="-2"/>
                                  <w:sz w:val="15"/>
                                </w:rPr>
                                <w:t>von</w:t>
                              </w:r>
                              <w:r>
                                <w:rPr>
                                  <w:color w:val="231F20"/>
                                  <w:sz w:val="15"/>
                                </w:rPr>
                                <w:t> </w:t>
                              </w:r>
                              <w:r>
                                <w:rPr>
                                  <w:color w:val="231F20"/>
                                  <w:spacing w:val="-2"/>
                                  <w:sz w:val="15"/>
                                </w:rPr>
                                <w:t>Willebrand</w:t>
                              </w:r>
                              <w:r>
                                <w:rPr>
                                  <w:color w:val="231F20"/>
                                  <w:spacing w:val="-1"/>
                                  <w:sz w:val="15"/>
                                </w:rPr>
                                <w:t> </w:t>
                              </w:r>
                              <w:r>
                                <w:rPr>
                                  <w:color w:val="231F20"/>
                                  <w:spacing w:val="-2"/>
                                  <w:sz w:val="15"/>
                                </w:rPr>
                                <w:t>factor</w:t>
                              </w:r>
                              <w:r>
                                <w:rPr>
                                  <w:color w:val="231F20"/>
                                  <w:sz w:val="15"/>
                                </w:rPr>
                                <w:t> </w:t>
                              </w:r>
                              <w:r>
                                <w:rPr>
                                  <w:color w:val="231F20"/>
                                  <w:spacing w:val="-2"/>
                                  <w:sz w:val="15"/>
                                </w:rPr>
                                <w:t>(vWF)</w:t>
                              </w:r>
                              <w:r>
                                <w:rPr>
                                  <w:color w:val="231F20"/>
                                  <w:sz w:val="15"/>
                                </w:rPr>
                                <w:t> </w:t>
                              </w:r>
                              <w:r>
                                <w:rPr>
                                  <w:color w:val="231F20"/>
                                  <w:spacing w:val="-2"/>
                                  <w:sz w:val="15"/>
                                </w:rPr>
                                <w:t>antigen</w:t>
                              </w:r>
                            </w:p>
                            <w:p>
                              <w:pPr>
                                <w:numPr>
                                  <w:ilvl w:val="1"/>
                                  <w:numId w:val="89"/>
                                </w:numPr>
                                <w:tabs>
                                  <w:tab w:pos="415" w:val="left" w:leader="none"/>
                                </w:tabs>
                                <w:spacing w:line="230" w:lineRule="auto" w:before="2"/>
                                <w:ind w:left="415" w:right="497" w:hanging="150"/>
                                <w:jc w:val="left"/>
                                <w:rPr>
                                  <w:color w:val="000000"/>
                                  <w:sz w:val="15"/>
                                </w:rPr>
                              </w:pPr>
                              <w:r>
                                <w:rPr>
                                  <w:color w:val="231F20"/>
                                  <w:sz w:val="15"/>
                                </w:rPr>
                                <w:t>Cerebrospinal</w:t>
                              </w:r>
                              <w:r>
                                <w:rPr>
                                  <w:color w:val="231F20"/>
                                  <w:spacing w:val="-12"/>
                                  <w:sz w:val="15"/>
                                </w:rPr>
                                <w:t> </w:t>
                              </w:r>
                              <w:r>
                                <w:rPr>
                                  <w:color w:val="231F20"/>
                                  <w:sz w:val="15"/>
                                </w:rPr>
                                <w:t>fluid</w:t>
                              </w:r>
                              <w:r>
                                <w:rPr>
                                  <w:color w:val="231F20"/>
                                  <w:spacing w:val="-11"/>
                                  <w:sz w:val="15"/>
                                </w:rPr>
                                <w:t> </w:t>
                              </w:r>
                              <w:r>
                                <w:rPr>
                                  <w:color w:val="231F20"/>
                                  <w:sz w:val="15"/>
                                </w:rPr>
                                <w:t>(CSF)</w:t>
                              </w:r>
                              <w:r>
                                <w:rPr>
                                  <w:color w:val="231F20"/>
                                  <w:spacing w:val="-11"/>
                                  <w:sz w:val="15"/>
                                </w:rPr>
                                <w:t> </w:t>
                              </w:r>
                              <w:r>
                                <w:rPr>
                                  <w:color w:val="231F20"/>
                                  <w:sz w:val="15"/>
                                </w:rPr>
                                <w:t>inflammatory</w:t>
                              </w:r>
                              <w:r>
                                <w:rPr>
                                  <w:color w:val="231F20"/>
                                  <w:spacing w:val="-12"/>
                                  <w:sz w:val="15"/>
                                </w:rPr>
                                <w:t> </w:t>
                              </w:r>
                              <w:r>
                                <w:rPr>
                                  <w:color w:val="231F20"/>
                                  <w:sz w:val="15"/>
                                </w:rPr>
                                <w:t>markers:</w:t>
                              </w:r>
                              <w:r>
                                <w:rPr>
                                  <w:color w:val="231F20"/>
                                  <w:spacing w:val="-11"/>
                                  <w:sz w:val="15"/>
                                </w:rPr>
                                <w:t> </w:t>
                              </w:r>
                              <w:r>
                                <w:rPr>
                                  <w:color w:val="231F20"/>
                                  <w:sz w:val="15"/>
                                </w:rPr>
                                <w:t>opening pressure, cell count, protein, oligoclonal bands</w:t>
                              </w:r>
                            </w:p>
                            <w:p>
                              <w:pPr>
                                <w:spacing w:line="167" w:lineRule="exact" w:before="0"/>
                                <w:ind w:left="303" w:right="0" w:firstLine="0"/>
                                <w:jc w:val="left"/>
                                <w:rPr>
                                  <w:i/>
                                  <w:color w:val="000000"/>
                                  <w:sz w:val="15"/>
                                </w:rPr>
                              </w:pPr>
                              <w:r>
                                <w:rPr>
                                  <w:i/>
                                  <w:color w:val="231F20"/>
                                  <w:spacing w:val="-2"/>
                                  <w:sz w:val="15"/>
                                </w:rPr>
                                <w:t>Differential</w:t>
                              </w:r>
                              <w:r>
                                <w:rPr>
                                  <w:i/>
                                  <w:color w:val="231F20"/>
                                  <w:spacing w:val="-8"/>
                                  <w:sz w:val="15"/>
                                </w:rPr>
                                <w:t> </w:t>
                              </w:r>
                              <w:r>
                                <w:rPr>
                                  <w:i/>
                                  <w:color w:val="231F20"/>
                                  <w:spacing w:val="-2"/>
                                  <w:sz w:val="15"/>
                                </w:rPr>
                                <w:t>diagnosis</w:t>
                              </w:r>
                              <w:r>
                                <w:rPr>
                                  <w:i/>
                                  <w:color w:val="231F20"/>
                                  <w:spacing w:val="-8"/>
                                  <w:sz w:val="15"/>
                                </w:rPr>
                                <w:t> </w:t>
                              </w:r>
                              <w:r>
                                <w:rPr>
                                  <w:i/>
                                  <w:color w:val="231F20"/>
                                  <w:spacing w:val="-2"/>
                                  <w:sz w:val="15"/>
                                </w:rPr>
                                <w:t>approach:</w:t>
                              </w:r>
                            </w:p>
                            <w:p>
                              <w:pPr>
                                <w:numPr>
                                  <w:ilvl w:val="1"/>
                                  <w:numId w:val="89"/>
                                </w:numPr>
                                <w:tabs>
                                  <w:tab w:pos="415" w:val="left" w:leader="none"/>
                                </w:tabs>
                                <w:spacing w:line="230" w:lineRule="auto" w:before="3"/>
                                <w:ind w:left="415" w:right="334" w:hanging="150"/>
                                <w:jc w:val="left"/>
                                <w:rPr>
                                  <w:color w:val="000000"/>
                                  <w:sz w:val="15"/>
                                </w:rPr>
                              </w:pPr>
                              <w:r>
                                <w:rPr>
                                  <w:color w:val="231F20"/>
                                  <w:spacing w:val="-4"/>
                                  <w:sz w:val="15"/>
                                </w:rPr>
                                <w:t>Infections/postinfectious inflammation: cultures, </w:t>
                              </w:r>
                              <w:r>
                                <w:rPr>
                                  <w:color w:val="231F20"/>
                                  <w:spacing w:val="-4"/>
                                  <w:sz w:val="15"/>
                                </w:rPr>
                                <w:t>serologies, </w:t>
                              </w:r>
                              <w:r>
                                <w:rPr>
                                  <w:color w:val="231F20"/>
                                  <w:sz w:val="15"/>
                                </w:rPr>
                                <w:t>Gram stains</w:t>
                              </w:r>
                            </w:p>
                            <w:p>
                              <w:pPr>
                                <w:numPr>
                                  <w:ilvl w:val="1"/>
                                  <w:numId w:val="89"/>
                                </w:numPr>
                                <w:tabs>
                                  <w:tab w:pos="415" w:val="left" w:leader="none"/>
                                </w:tabs>
                                <w:spacing w:line="230" w:lineRule="auto" w:before="1"/>
                                <w:ind w:left="415" w:right="255" w:hanging="150"/>
                                <w:jc w:val="left"/>
                                <w:rPr>
                                  <w:color w:val="000000"/>
                                  <w:sz w:val="15"/>
                                </w:rPr>
                              </w:pPr>
                              <w:r>
                                <w:rPr>
                                  <w:color w:val="231F20"/>
                                  <w:sz w:val="15"/>
                                </w:rPr>
                                <w:t>Autoimmune</w:t>
                              </w:r>
                              <w:r>
                                <w:rPr>
                                  <w:color w:val="231F20"/>
                                  <w:spacing w:val="-6"/>
                                  <w:sz w:val="15"/>
                                </w:rPr>
                                <w:t> </w:t>
                              </w:r>
                              <w:r>
                                <w:rPr>
                                  <w:color w:val="231F20"/>
                                  <w:sz w:val="15"/>
                                </w:rPr>
                                <w:t>encephalitis:</w:t>
                              </w:r>
                              <w:r>
                                <w:rPr>
                                  <w:color w:val="231F20"/>
                                  <w:spacing w:val="-6"/>
                                  <w:sz w:val="15"/>
                                </w:rPr>
                                <w:t> </w:t>
                              </w:r>
                              <w:r>
                                <w:rPr>
                                  <w:color w:val="231F20"/>
                                  <w:sz w:val="15"/>
                                </w:rPr>
                                <w:t>check</w:t>
                              </w:r>
                              <w:r>
                                <w:rPr>
                                  <w:color w:val="231F20"/>
                                  <w:spacing w:val="-6"/>
                                  <w:sz w:val="15"/>
                                </w:rPr>
                                <w:t> </w:t>
                              </w:r>
                              <w:r>
                                <w:rPr>
                                  <w:color w:val="231F20"/>
                                  <w:sz w:val="15"/>
                                </w:rPr>
                                <w:t>neuronal</w:t>
                              </w:r>
                              <w:r>
                                <w:rPr>
                                  <w:color w:val="231F20"/>
                                  <w:spacing w:val="-6"/>
                                  <w:sz w:val="15"/>
                                </w:rPr>
                                <w:t> </w:t>
                              </w:r>
                              <w:r>
                                <w:rPr>
                                  <w:color w:val="231F20"/>
                                  <w:sz w:val="15"/>
                                </w:rPr>
                                <w:t>antibodies</w:t>
                              </w:r>
                              <w:r>
                                <w:rPr>
                                  <w:color w:val="231F20"/>
                                  <w:spacing w:val="-6"/>
                                  <w:sz w:val="15"/>
                                </w:rPr>
                                <w:t> </w:t>
                              </w:r>
                              <w:r>
                                <w:rPr>
                                  <w:color w:val="231F20"/>
                                  <w:sz w:val="15"/>
                                </w:rPr>
                                <w:t>in</w:t>
                              </w:r>
                              <w:r>
                                <w:rPr>
                                  <w:color w:val="231F20"/>
                                  <w:spacing w:val="-6"/>
                                  <w:sz w:val="15"/>
                                </w:rPr>
                                <w:t> </w:t>
                              </w:r>
                              <w:r>
                                <w:rPr>
                                  <w:color w:val="231F20"/>
                                  <w:sz w:val="15"/>
                                </w:rPr>
                                <w:t>CSF and blood</w:t>
                              </w:r>
                            </w:p>
                            <w:p>
                              <w:pPr>
                                <w:numPr>
                                  <w:ilvl w:val="1"/>
                                  <w:numId w:val="89"/>
                                </w:numPr>
                                <w:tabs>
                                  <w:tab w:pos="415" w:val="left" w:leader="none"/>
                                </w:tabs>
                                <w:spacing w:line="230" w:lineRule="auto" w:before="2"/>
                                <w:ind w:left="415" w:right="531" w:hanging="150"/>
                                <w:jc w:val="left"/>
                                <w:rPr>
                                  <w:color w:val="000000"/>
                                  <w:sz w:val="15"/>
                                </w:rPr>
                              </w:pPr>
                              <w:r>
                                <w:rPr>
                                  <w:color w:val="231F20"/>
                                  <w:spacing w:val="-2"/>
                                  <w:sz w:val="15"/>
                                </w:rPr>
                                <w:t>Systemic</w:t>
                              </w:r>
                              <w:r>
                                <w:rPr>
                                  <w:color w:val="231F20"/>
                                  <w:spacing w:val="-10"/>
                                  <w:sz w:val="15"/>
                                </w:rPr>
                                <w:t> </w:t>
                              </w:r>
                              <w:r>
                                <w:rPr>
                                  <w:color w:val="231F20"/>
                                  <w:spacing w:val="-2"/>
                                  <w:sz w:val="15"/>
                                </w:rPr>
                                <w:t>inflammation/rheumatic</w:t>
                              </w:r>
                              <w:r>
                                <w:rPr>
                                  <w:color w:val="231F20"/>
                                  <w:spacing w:val="-9"/>
                                  <w:sz w:val="15"/>
                                </w:rPr>
                                <w:t> </w:t>
                              </w:r>
                              <w:r>
                                <w:rPr>
                                  <w:color w:val="231F20"/>
                                  <w:spacing w:val="-2"/>
                                  <w:sz w:val="15"/>
                                </w:rPr>
                                <w:t>disease:</w:t>
                              </w:r>
                              <w:r>
                                <w:rPr>
                                  <w:color w:val="231F20"/>
                                  <w:spacing w:val="-9"/>
                                  <w:sz w:val="15"/>
                                </w:rPr>
                                <w:t> </w:t>
                              </w:r>
                              <w:r>
                                <w:rPr>
                                  <w:color w:val="231F20"/>
                                  <w:spacing w:val="-2"/>
                                  <w:sz w:val="15"/>
                                </w:rPr>
                                <w:t>characteristic </w:t>
                              </w:r>
                              <w:r>
                                <w:rPr>
                                  <w:color w:val="231F20"/>
                                  <w:sz w:val="15"/>
                                </w:rPr>
                                <w:t>laboratory</w:t>
                              </w:r>
                              <w:r>
                                <w:rPr>
                                  <w:color w:val="231F20"/>
                                  <w:spacing w:val="-12"/>
                                  <w:sz w:val="15"/>
                                </w:rPr>
                                <w:t> </w:t>
                              </w:r>
                              <w:r>
                                <w:rPr>
                                  <w:color w:val="231F20"/>
                                  <w:sz w:val="15"/>
                                </w:rPr>
                                <w:t>markers</w:t>
                              </w:r>
                              <w:r>
                                <w:rPr>
                                  <w:color w:val="231F20"/>
                                  <w:spacing w:val="-11"/>
                                  <w:sz w:val="15"/>
                                </w:rPr>
                                <w:t> </w:t>
                              </w:r>
                              <w:r>
                                <w:rPr>
                                  <w:color w:val="231F20"/>
                                  <w:sz w:val="15"/>
                                </w:rPr>
                                <w:t>such</w:t>
                              </w:r>
                              <w:r>
                                <w:rPr>
                                  <w:color w:val="231F20"/>
                                  <w:spacing w:val="-11"/>
                                  <w:sz w:val="15"/>
                                </w:rPr>
                                <w:t> </w:t>
                              </w:r>
                              <w:r>
                                <w:rPr>
                                  <w:color w:val="231F20"/>
                                  <w:sz w:val="15"/>
                                </w:rPr>
                                <w:t>as</w:t>
                              </w:r>
                              <w:r>
                                <w:rPr>
                                  <w:color w:val="231F20"/>
                                  <w:spacing w:val="-12"/>
                                  <w:sz w:val="15"/>
                                </w:rPr>
                                <w:t> </w:t>
                              </w:r>
                              <w:r>
                                <w:rPr>
                                  <w:color w:val="231F20"/>
                                  <w:sz w:val="15"/>
                                </w:rPr>
                                <w:t>complement,</w:t>
                              </w:r>
                              <w:r>
                                <w:rPr>
                                  <w:color w:val="231F20"/>
                                  <w:spacing w:val="-11"/>
                                  <w:sz w:val="15"/>
                                </w:rPr>
                                <w:t> </w:t>
                              </w:r>
                              <w:r>
                                <w:rPr>
                                  <w:color w:val="231F20"/>
                                  <w:sz w:val="15"/>
                                </w:rPr>
                                <w:t>autoantibodies</w:t>
                              </w:r>
                            </w:p>
                            <w:p>
                              <w:pPr>
                                <w:numPr>
                                  <w:ilvl w:val="1"/>
                                  <w:numId w:val="89"/>
                                </w:numPr>
                                <w:tabs>
                                  <w:tab w:pos="415" w:val="left" w:leader="none"/>
                                </w:tabs>
                                <w:spacing w:line="167" w:lineRule="exact" w:before="0"/>
                                <w:ind w:left="415" w:right="0" w:hanging="149"/>
                                <w:jc w:val="left"/>
                                <w:rPr>
                                  <w:color w:val="000000"/>
                                  <w:sz w:val="15"/>
                                </w:rPr>
                              </w:pPr>
                              <w:r>
                                <w:rPr>
                                  <w:color w:val="231F20"/>
                                  <w:sz w:val="15"/>
                                </w:rPr>
                                <w:t>Thromboembolic</w:t>
                              </w:r>
                              <w:r>
                                <w:rPr>
                                  <w:color w:val="231F20"/>
                                  <w:spacing w:val="-1"/>
                                  <w:sz w:val="15"/>
                                </w:rPr>
                                <w:t> </w:t>
                              </w:r>
                              <w:r>
                                <w:rPr>
                                  <w:color w:val="231F20"/>
                                  <w:sz w:val="15"/>
                                </w:rPr>
                                <w:t>conditions: procoagulatory </w:t>
                              </w:r>
                              <w:r>
                                <w:rPr>
                                  <w:color w:val="231F20"/>
                                  <w:spacing w:val="-2"/>
                                  <w:sz w:val="15"/>
                                </w:rPr>
                                <w:t>profile</w:t>
                              </w:r>
                            </w:p>
                            <w:p>
                              <w:pPr>
                                <w:numPr>
                                  <w:ilvl w:val="0"/>
                                  <w:numId w:val="89"/>
                                </w:numPr>
                                <w:tabs>
                                  <w:tab w:pos="265" w:val="left" w:leader="none"/>
                                </w:tabs>
                                <w:spacing w:line="168" w:lineRule="exact" w:before="0"/>
                                <w:ind w:left="265" w:right="0" w:hanging="191"/>
                                <w:jc w:val="left"/>
                                <w:rPr>
                                  <w:color w:val="000000"/>
                                  <w:sz w:val="15"/>
                                </w:rPr>
                              </w:pPr>
                              <w:r>
                                <w:rPr>
                                  <w:color w:val="231F20"/>
                                  <w:spacing w:val="-2"/>
                                  <w:w w:val="105"/>
                                  <w:sz w:val="15"/>
                                </w:rPr>
                                <w:t>Neuroimaging</w:t>
                              </w:r>
                            </w:p>
                            <w:p>
                              <w:pPr>
                                <w:numPr>
                                  <w:ilvl w:val="1"/>
                                  <w:numId w:val="89"/>
                                </w:numPr>
                                <w:tabs>
                                  <w:tab w:pos="415" w:val="left" w:leader="none"/>
                                </w:tabs>
                                <w:spacing w:line="168" w:lineRule="exact" w:before="0"/>
                                <w:ind w:left="415" w:right="0" w:hanging="149"/>
                                <w:jc w:val="left"/>
                                <w:rPr>
                                  <w:color w:val="000000"/>
                                  <w:sz w:val="15"/>
                                </w:rPr>
                              </w:pPr>
                              <w:r>
                                <w:rPr>
                                  <w:color w:val="231F20"/>
                                  <w:sz w:val="15"/>
                                </w:rPr>
                                <w:t>Parenchymal imaging on </w:t>
                              </w:r>
                              <w:r>
                                <w:rPr>
                                  <w:color w:val="231F20"/>
                                  <w:spacing w:val="-4"/>
                                  <w:sz w:val="15"/>
                                </w:rPr>
                                <w:t>MRI:</w:t>
                              </w:r>
                            </w:p>
                            <w:p>
                              <w:pPr>
                                <w:numPr>
                                  <w:ilvl w:val="2"/>
                                  <w:numId w:val="89"/>
                                </w:numPr>
                                <w:tabs>
                                  <w:tab w:pos="565" w:val="left" w:leader="none"/>
                                </w:tabs>
                                <w:spacing w:line="230" w:lineRule="auto" w:before="2"/>
                                <w:ind w:left="565" w:right="155" w:hanging="150"/>
                                <w:jc w:val="left"/>
                                <w:rPr>
                                  <w:color w:val="000000"/>
                                  <w:sz w:val="15"/>
                                </w:rPr>
                              </w:pPr>
                              <w:r>
                                <w:rPr>
                                  <w:color w:val="231F20"/>
                                  <w:spacing w:val="-2"/>
                                  <w:sz w:val="15"/>
                                </w:rPr>
                                <w:t>Inflammatory</w:t>
                              </w:r>
                              <w:r>
                                <w:rPr>
                                  <w:color w:val="231F20"/>
                                  <w:spacing w:val="-10"/>
                                  <w:sz w:val="15"/>
                                </w:rPr>
                                <w:t> </w:t>
                              </w:r>
                              <w:r>
                                <w:rPr>
                                  <w:color w:val="231F20"/>
                                  <w:spacing w:val="-2"/>
                                  <w:sz w:val="15"/>
                                </w:rPr>
                                <w:t>lesions:</w:t>
                              </w:r>
                              <w:r>
                                <w:rPr>
                                  <w:color w:val="231F20"/>
                                  <w:spacing w:val="-9"/>
                                  <w:sz w:val="15"/>
                                </w:rPr>
                                <w:t> </w:t>
                              </w:r>
                              <w:r>
                                <w:rPr>
                                  <w:color w:val="231F20"/>
                                  <w:spacing w:val="-2"/>
                                  <w:sz w:val="15"/>
                                </w:rPr>
                                <w:t>T2/fluid</w:t>
                              </w:r>
                              <w:r>
                                <w:rPr>
                                  <w:color w:val="231F20"/>
                                  <w:spacing w:val="-9"/>
                                  <w:sz w:val="15"/>
                                </w:rPr>
                                <w:t> </w:t>
                              </w:r>
                              <w:r>
                                <w:rPr>
                                  <w:color w:val="231F20"/>
                                  <w:spacing w:val="-2"/>
                                  <w:sz w:val="15"/>
                                </w:rPr>
                                <w:t>attenuated</w:t>
                              </w:r>
                              <w:r>
                                <w:rPr>
                                  <w:color w:val="231F20"/>
                                  <w:spacing w:val="-10"/>
                                  <w:sz w:val="15"/>
                                </w:rPr>
                                <w:t> </w:t>
                              </w:r>
                              <w:r>
                                <w:rPr>
                                  <w:color w:val="231F20"/>
                                  <w:spacing w:val="-2"/>
                                  <w:sz w:val="15"/>
                                </w:rPr>
                                <w:t>inversion</w:t>
                              </w:r>
                              <w:r>
                                <w:rPr>
                                  <w:color w:val="231F20"/>
                                  <w:spacing w:val="-9"/>
                                  <w:sz w:val="15"/>
                                </w:rPr>
                                <w:t> </w:t>
                              </w:r>
                              <w:r>
                                <w:rPr>
                                  <w:color w:val="231F20"/>
                                  <w:spacing w:val="-2"/>
                                  <w:sz w:val="15"/>
                                </w:rPr>
                                <w:t>recovery </w:t>
                              </w:r>
                              <w:r>
                                <w:rPr>
                                  <w:color w:val="231F20"/>
                                  <w:sz w:val="15"/>
                                </w:rPr>
                                <w:t>sequences plus gadolinium contrast (lesion enhancement)</w:t>
                              </w:r>
                            </w:p>
                            <w:p>
                              <w:pPr>
                                <w:numPr>
                                  <w:ilvl w:val="2"/>
                                  <w:numId w:val="89"/>
                                </w:numPr>
                                <w:tabs>
                                  <w:tab w:pos="565" w:val="left" w:leader="none"/>
                                </w:tabs>
                                <w:spacing w:line="230" w:lineRule="auto" w:before="2"/>
                                <w:ind w:left="565" w:right="550" w:hanging="150"/>
                                <w:jc w:val="left"/>
                                <w:rPr>
                                  <w:color w:val="000000"/>
                                  <w:sz w:val="15"/>
                                </w:rPr>
                              </w:pPr>
                              <w:r>
                                <w:rPr>
                                  <w:color w:val="231F20"/>
                                  <w:spacing w:val="-2"/>
                                  <w:sz w:val="15"/>
                                </w:rPr>
                                <w:t>Ischemic lesions: diffusion-weighted </w:t>
                              </w:r>
                              <w:r>
                                <w:rPr>
                                  <w:color w:val="231F20"/>
                                  <w:spacing w:val="-2"/>
                                  <w:sz w:val="15"/>
                                </w:rPr>
                                <w:t>images/apparent </w:t>
                              </w:r>
                              <w:r>
                                <w:rPr>
                                  <w:color w:val="231F20"/>
                                  <w:sz w:val="15"/>
                                </w:rPr>
                                <w:t>diffusion coefficient mapping</w:t>
                              </w:r>
                            </w:p>
                            <w:p>
                              <w:pPr>
                                <w:numPr>
                                  <w:ilvl w:val="1"/>
                                  <w:numId w:val="89"/>
                                </w:numPr>
                                <w:tabs>
                                  <w:tab w:pos="415" w:val="left" w:leader="none"/>
                                </w:tabs>
                                <w:spacing w:line="167" w:lineRule="exact" w:before="0"/>
                                <w:ind w:left="415" w:right="0" w:hanging="149"/>
                                <w:jc w:val="left"/>
                                <w:rPr>
                                  <w:color w:val="000000"/>
                                  <w:sz w:val="15"/>
                                </w:rPr>
                              </w:pPr>
                              <w:r>
                                <w:rPr>
                                  <w:color w:val="231F20"/>
                                  <w:sz w:val="15"/>
                                </w:rPr>
                                <w:t>Vessel</w:t>
                              </w:r>
                              <w:r>
                                <w:rPr>
                                  <w:color w:val="231F20"/>
                                  <w:spacing w:val="1"/>
                                  <w:sz w:val="15"/>
                                </w:rPr>
                                <w:t> </w:t>
                              </w:r>
                              <w:r>
                                <w:rPr>
                                  <w:color w:val="231F20"/>
                                  <w:spacing w:val="-2"/>
                                  <w:sz w:val="15"/>
                                </w:rPr>
                                <w:t>imaging</w:t>
                              </w:r>
                            </w:p>
                            <w:p>
                              <w:pPr>
                                <w:numPr>
                                  <w:ilvl w:val="0"/>
                                  <w:numId w:val="89"/>
                                </w:numPr>
                                <w:tabs>
                                  <w:tab w:pos="265" w:val="left" w:leader="none"/>
                                </w:tabs>
                                <w:spacing w:line="171" w:lineRule="exact" w:before="0"/>
                                <w:ind w:left="265" w:right="0" w:hanging="191"/>
                                <w:jc w:val="left"/>
                                <w:rPr>
                                  <w:color w:val="000000"/>
                                  <w:sz w:val="15"/>
                                </w:rPr>
                              </w:pPr>
                              <w:r>
                                <w:rPr>
                                  <w:color w:val="231F20"/>
                                  <w:sz w:val="15"/>
                                </w:rPr>
                                <w:t>Brain</w:t>
                              </w:r>
                              <w:r>
                                <w:rPr>
                                  <w:color w:val="231F20"/>
                                  <w:spacing w:val="-6"/>
                                  <w:sz w:val="15"/>
                                </w:rPr>
                                <w:t> </w:t>
                              </w:r>
                              <w:r>
                                <w:rPr>
                                  <w:color w:val="231F20"/>
                                  <w:spacing w:val="-2"/>
                                  <w:sz w:val="15"/>
                                </w:rPr>
                                <w:t>biopsy</w:t>
                              </w:r>
                            </w:p>
                          </w:txbxContent>
                        </wps:txbx>
                        <wps:bodyPr wrap="square" lIns="0" tIns="0" rIns="0" bIns="0" rtlCol="0">
                          <a:noAutofit/>
                        </wps:bodyPr>
                      </wps:wsp>
                      <wps:wsp>
                        <wps:cNvPr id="965" name="Graphic 965"/>
                        <wps:cNvSpPr/>
                        <wps:spPr>
                          <a:xfrm>
                            <a:off x="0" y="4580647"/>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966" name="Textbox 966"/>
                        <wps:cNvSpPr txBox="1"/>
                        <wps:spPr>
                          <a:xfrm>
                            <a:off x="734664" y="0"/>
                            <a:ext cx="2251710" cy="474345"/>
                          </a:xfrm>
                          <a:prstGeom prst="rect">
                            <a:avLst/>
                          </a:prstGeom>
                          <a:solidFill>
                            <a:srgbClr val="231F20"/>
                          </a:solidFill>
                        </wps:spPr>
                        <wps:txbx>
                          <w:txbxContent>
                            <w:p>
                              <w:pPr>
                                <w:spacing w:before="89"/>
                                <w:ind w:left="74" w:right="808" w:firstLine="0"/>
                                <w:jc w:val="both"/>
                                <w:rPr>
                                  <w:color w:val="000000"/>
                                  <w:sz w:val="16"/>
                                </w:rPr>
                              </w:pPr>
                              <w:r>
                                <w:rPr>
                                  <w:color w:val="FFFFFF"/>
                                  <w:w w:val="110"/>
                                  <w:sz w:val="16"/>
                                </w:rPr>
                                <w:t>Proposed</w:t>
                              </w:r>
                              <w:r>
                                <w:rPr>
                                  <w:color w:val="FFFFFF"/>
                                  <w:spacing w:val="-14"/>
                                  <w:w w:val="110"/>
                                  <w:sz w:val="16"/>
                                </w:rPr>
                                <w:t> </w:t>
                              </w:r>
                              <w:r>
                                <w:rPr>
                                  <w:color w:val="FFFFFF"/>
                                  <w:w w:val="110"/>
                                  <w:sz w:val="16"/>
                                </w:rPr>
                                <w:t>Diagnostic</w:t>
                              </w:r>
                              <w:r>
                                <w:rPr>
                                  <w:color w:val="FFFFFF"/>
                                  <w:spacing w:val="-13"/>
                                  <w:w w:val="110"/>
                                  <w:sz w:val="16"/>
                                </w:rPr>
                                <w:t> </w:t>
                              </w:r>
                              <w:r>
                                <w:rPr>
                                  <w:color w:val="FFFFFF"/>
                                  <w:w w:val="110"/>
                                  <w:sz w:val="16"/>
                                </w:rPr>
                                <w:t>Evaluation</w:t>
                              </w:r>
                              <w:r>
                                <w:rPr>
                                  <w:color w:val="FFFFFF"/>
                                  <w:spacing w:val="-13"/>
                                  <w:w w:val="110"/>
                                  <w:sz w:val="16"/>
                                </w:rPr>
                                <w:t> </w:t>
                              </w:r>
                              <w:r>
                                <w:rPr>
                                  <w:color w:val="FFFFFF"/>
                                  <w:w w:val="110"/>
                                  <w:sz w:val="16"/>
                                </w:rPr>
                                <w:t>of Suspected</w:t>
                              </w:r>
                              <w:r>
                                <w:rPr>
                                  <w:color w:val="FFFFFF"/>
                                  <w:spacing w:val="-10"/>
                                  <w:w w:val="110"/>
                                  <w:sz w:val="16"/>
                                </w:rPr>
                                <w:t> </w:t>
                              </w:r>
                              <w:r>
                                <w:rPr>
                                  <w:color w:val="FFFFFF"/>
                                  <w:w w:val="110"/>
                                  <w:sz w:val="16"/>
                                </w:rPr>
                                <w:t>Childhood</w:t>
                              </w:r>
                              <w:r>
                                <w:rPr>
                                  <w:color w:val="FFFFFF"/>
                                  <w:spacing w:val="-10"/>
                                  <w:w w:val="110"/>
                                  <w:sz w:val="16"/>
                                </w:rPr>
                                <w:t> </w:t>
                              </w:r>
                              <w:r>
                                <w:rPr>
                                  <w:color w:val="FFFFFF"/>
                                  <w:w w:val="110"/>
                                  <w:sz w:val="16"/>
                                </w:rPr>
                                <w:t>Primary</w:t>
                              </w:r>
                              <w:r>
                                <w:rPr>
                                  <w:color w:val="FFFFFF"/>
                                  <w:spacing w:val="-10"/>
                                  <w:w w:val="110"/>
                                  <w:sz w:val="16"/>
                                </w:rPr>
                                <w:t> </w:t>
                              </w:r>
                              <w:r>
                                <w:rPr>
                                  <w:color w:val="FFFFFF"/>
                                  <w:w w:val="110"/>
                                  <w:sz w:val="16"/>
                                </w:rPr>
                                <w:t>CNS </w:t>
                              </w:r>
                              <w:r>
                                <w:rPr>
                                  <w:color w:val="FFFFFF"/>
                                  <w:spacing w:val="-2"/>
                                  <w:w w:val="110"/>
                                  <w:sz w:val="16"/>
                                </w:rPr>
                                <w:t>Vasculitis</w:t>
                              </w:r>
                            </w:p>
                          </w:txbxContent>
                        </wps:txbx>
                        <wps:bodyPr wrap="square" lIns="0" tIns="0" rIns="0" bIns="0" rtlCol="0">
                          <a:noAutofit/>
                        </wps:bodyPr>
                      </wps:wsp>
                      <wps:wsp>
                        <wps:cNvPr id="967" name="Textbox 967"/>
                        <wps:cNvSpPr txBox="1"/>
                        <wps:spPr>
                          <a:xfrm>
                            <a:off x="12" y="0"/>
                            <a:ext cx="723265" cy="474345"/>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602-</w:t>
                              </w:r>
                              <w:r>
                                <w:rPr>
                                  <w:b/>
                                  <w:color w:val="FFFFFF"/>
                                  <w:spacing w:val="-10"/>
                                  <w:w w:val="105"/>
                                  <w:sz w:val="16"/>
                                </w:rPr>
                                <w:t>2</w:t>
                              </w:r>
                            </w:p>
                          </w:txbxContent>
                        </wps:txbx>
                        <wps:bodyPr wrap="square" lIns="0" tIns="0" rIns="0" bIns="0" rtlCol="0">
                          <a:noAutofit/>
                        </wps:bodyPr>
                      </wps:wsp>
                    </wpg:wgp>
                  </a:graphicData>
                </a:graphic>
              </wp:anchor>
            </w:drawing>
          </mc:Choice>
          <mc:Fallback>
            <w:pict>
              <v:group style="position:absolute;margin-left:310.738098pt;margin-top:9.605631pt;width:235.15pt;height:361.65pt;mso-position-horizontal-relative:page;mso-position-vertical-relative:paragraph;z-index:-15666176;mso-wrap-distance-left:0;mso-wrap-distance-right:0" id="docshapegroup784" coordorigin="6215,192" coordsize="4703,7233">
                <v:shape style="position:absolute;left:6214;top:938;width:4703;height:6477" type="#_x0000_t202" id="docshape785" filled="true" fillcolor="#e8f5f1" stroked="false">
                  <v:textbox inset="0,0,0,0">
                    <w:txbxContent>
                      <w:p>
                        <w:pPr>
                          <w:numPr>
                            <w:ilvl w:val="0"/>
                            <w:numId w:val="89"/>
                          </w:numPr>
                          <w:tabs>
                            <w:tab w:pos="264" w:val="left" w:leader="none"/>
                            <w:tab w:pos="266" w:val="left" w:leader="none"/>
                          </w:tabs>
                          <w:spacing w:line="230" w:lineRule="auto" w:before="53"/>
                          <w:ind w:left="266" w:right="505" w:hanging="193"/>
                          <w:jc w:val="left"/>
                          <w:rPr>
                            <w:color w:val="000000"/>
                            <w:sz w:val="15"/>
                          </w:rPr>
                        </w:pPr>
                        <w:r>
                          <w:rPr>
                            <w:color w:val="231F20"/>
                            <w:sz w:val="15"/>
                          </w:rPr>
                          <w:t>Clinical</w:t>
                        </w:r>
                        <w:r>
                          <w:rPr>
                            <w:color w:val="231F20"/>
                            <w:spacing w:val="-12"/>
                            <w:sz w:val="15"/>
                          </w:rPr>
                          <w:t> </w:t>
                        </w:r>
                        <w:r>
                          <w:rPr>
                            <w:color w:val="231F20"/>
                            <w:sz w:val="15"/>
                          </w:rPr>
                          <w:t>evaluation:</w:t>
                        </w:r>
                        <w:r>
                          <w:rPr>
                            <w:color w:val="231F20"/>
                            <w:spacing w:val="-11"/>
                            <w:sz w:val="15"/>
                          </w:rPr>
                          <w:t> </w:t>
                        </w:r>
                        <w:r>
                          <w:rPr>
                            <w:color w:val="231F20"/>
                            <w:sz w:val="15"/>
                          </w:rPr>
                          <w:t>Newly</w:t>
                        </w:r>
                        <w:r>
                          <w:rPr>
                            <w:color w:val="231F20"/>
                            <w:spacing w:val="-11"/>
                            <w:sz w:val="15"/>
                          </w:rPr>
                          <w:t> </w:t>
                        </w:r>
                        <w:r>
                          <w:rPr>
                            <w:color w:val="231F20"/>
                            <w:sz w:val="15"/>
                          </w:rPr>
                          <w:t>acquired</w:t>
                        </w:r>
                        <w:r>
                          <w:rPr>
                            <w:color w:val="231F20"/>
                            <w:spacing w:val="-12"/>
                            <w:sz w:val="15"/>
                          </w:rPr>
                          <w:t> </w:t>
                        </w:r>
                        <w:r>
                          <w:rPr>
                            <w:color w:val="231F20"/>
                            <w:sz w:val="15"/>
                          </w:rPr>
                          <w:t>symptom</w:t>
                        </w:r>
                        <w:r>
                          <w:rPr>
                            <w:color w:val="231F20"/>
                            <w:spacing w:val="-11"/>
                            <w:sz w:val="15"/>
                          </w:rPr>
                          <w:t> </w:t>
                        </w:r>
                        <w:r>
                          <w:rPr>
                            <w:color w:val="231F20"/>
                            <w:sz w:val="15"/>
                          </w:rPr>
                          <w:t>or</w:t>
                        </w:r>
                        <w:r>
                          <w:rPr>
                            <w:color w:val="231F20"/>
                            <w:spacing w:val="-11"/>
                            <w:sz w:val="15"/>
                          </w:rPr>
                          <w:t> </w:t>
                        </w:r>
                        <w:r>
                          <w:rPr>
                            <w:color w:val="231F20"/>
                            <w:sz w:val="15"/>
                          </w:rPr>
                          <w:t>deficit</w:t>
                        </w:r>
                        <w:r>
                          <w:rPr>
                            <w:color w:val="231F20"/>
                            <w:spacing w:val="-12"/>
                            <w:sz w:val="15"/>
                          </w:rPr>
                          <w:t> </w:t>
                        </w:r>
                        <w:r>
                          <w:rPr>
                            <w:color w:val="231F20"/>
                            <w:sz w:val="15"/>
                          </w:rPr>
                          <w:t>in</w:t>
                        </w:r>
                        <w:r>
                          <w:rPr>
                            <w:color w:val="231F20"/>
                            <w:spacing w:val="-11"/>
                            <w:sz w:val="15"/>
                          </w:rPr>
                          <w:t> </w:t>
                        </w:r>
                        <w:r>
                          <w:rPr>
                            <w:color w:val="231F20"/>
                            <w:sz w:val="15"/>
                          </w:rPr>
                          <w:t>a previously healthy child</w:t>
                        </w:r>
                      </w:p>
                      <w:p>
                        <w:pPr>
                          <w:numPr>
                            <w:ilvl w:val="1"/>
                            <w:numId w:val="89"/>
                          </w:numPr>
                          <w:tabs>
                            <w:tab w:pos="416" w:val="left" w:leader="none"/>
                          </w:tabs>
                          <w:spacing w:line="230" w:lineRule="auto" w:before="1"/>
                          <w:ind w:left="416" w:right="404" w:hanging="150"/>
                          <w:jc w:val="left"/>
                          <w:rPr>
                            <w:color w:val="000000"/>
                            <w:sz w:val="15"/>
                          </w:rPr>
                        </w:pPr>
                        <w:r>
                          <w:rPr>
                            <w:color w:val="231F20"/>
                            <w:sz w:val="15"/>
                          </w:rPr>
                          <w:t>Focal neurologic deficit: hemiparesis, hemisensory loss, </w:t>
                        </w:r>
                        <w:r>
                          <w:rPr>
                            <w:color w:val="231F20"/>
                            <w:spacing w:val="-2"/>
                            <w:sz w:val="15"/>
                          </w:rPr>
                          <w:t>aphasia,</w:t>
                        </w:r>
                        <w:r>
                          <w:rPr>
                            <w:color w:val="231F20"/>
                            <w:spacing w:val="-10"/>
                            <w:sz w:val="15"/>
                          </w:rPr>
                          <w:t> </w:t>
                        </w:r>
                        <w:r>
                          <w:rPr>
                            <w:color w:val="231F20"/>
                            <w:spacing w:val="-2"/>
                            <w:sz w:val="15"/>
                          </w:rPr>
                          <w:t>ataxia,</w:t>
                        </w:r>
                        <w:r>
                          <w:rPr>
                            <w:color w:val="231F20"/>
                            <w:spacing w:val="-9"/>
                            <w:sz w:val="15"/>
                          </w:rPr>
                          <w:t> </w:t>
                        </w:r>
                        <w:r>
                          <w:rPr>
                            <w:color w:val="231F20"/>
                            <w:spacing w:val="-2"/>
                            <w:sz w:val="15"/>
                          </w:rPr>
                          <w:t>movement</w:t>
                        </w:r>
                        <w:r>
                          <w:rPr>
                            <w:color w:val="231F20"/>
                            <w:spacing w:val="-9"/>
                            <w:sz w:val="15"/>
                          </w:rPr>
                          <w:t> </w:t>
                        </w:r>
                        <w:r>
                          <w:rPr>
                            <w:color w:val="231F20"/>
                            <w:spacing w:val="-2"/>
                            <w:sz w:val="15"/>
                          </w:rPr>
                          <w:t>abnormality,</w:t>
                        </w:r>
                        <w:r>
                          <w:rPr>
                            <w:color w:val="231F20"/>
                            <w:spacing w:val="-10"/>
                            <w:sz w:val="15"/>
                          </w:rPr>
                          <w:t> </w:t>
                        </w:r>
                        <w:r>
                          <w:rPr>
                            <w:color w:val="231F20"/>
                            <w:spacing w:val="-2"/>
                            <w:sz w:val="15"/>
                          </w:rPr>
                          <w:t>paresthesia,</w:t>
                        </w:r>
                        <w:r>
                          <w:rPr>
                            <w:color w:val="231F20"/>
                            <w:spacing w:val="-9"/>
                            <w:sz w:val="15"/>
                          </w:rPr>
                          <w:t> </w:t>
                        </w:r>
                        <w:r>
                          <w:rPr>
                            <w:color w:val="231F20"/>
                            <w:spacing w:val="-2"/>
                            <w:sz w:val="15"/>
                          </w:rPr>
                          <w:t>facial </w:t>
                        </w:r>
                        <w:r>
                          <w:rPr>
                            <w:color w:val="231F20"/>
                            <w:sz w:val="15"/>
                          </w:rPr>
                          <w:t>droop, ataxia, vision loss, spinal cord symptoms, others</w:t>
                        </w:r>
                      </w:p>
                      <w:p>
                        <w:pPr>
                          <w:numPr>
                            <w:ilvl w:val="1"/>
                            <w:numId w:val="89"/>
                          </w:numPr>
                          <w:tabs>
                            <w:tab w:pos="415" w:val="left" w:leader="none"/>
                          </w:tabs>
                          <w:spacing w:line="168" w:lineRule="exact" w:before="0"/>
                          <w:ind w:left="415" w:right="0" w:hanging="149"/>
                          <w:jc w:val="left"/>
                          <w:rPr>
                            <w:color w:val="000000"/>
                            <w:sz w:val="15"/>
                          </w:rPr>
                        </w:pPr>
                        <w:r>
                          <w:rPr>
                            <w:color w:val="231F20"/>
                            <w:spacing w:val="-4"/>
                            <w:sz w:val="15"/>
                          </w:rPr>
                          <w:t>Seizures</w:t>
                        </w:r>
                        <w:r>
                          <w:rPr>
                            <w:color w:val="231F20"/>
                            <w:spacing w:val="2"/>
                            <w:sz w:val="15"/>
                          </w:rPr>
                          <w:t> </w:t>
                        </w:r>
                        <w:r>
                          <w:rPr>
                            <w:color w:val="231F20"/>
                            <w:spacing w:val="-4"/>
                            <w:sz w:val="15"/>
                          </w:rPr>
                          <w:t>or</w:t>
                        </w:r>
                        <w:r>
                          <w:rPr>
                            <w:color w:val="231F20"/>
                            <w:spacing w:val="2"/>
                            <w:sz w:val="15"/>
                          </w:rPr>
                          <w:t> </w:t>
                        </w:r>
                        <w:r>
                          <w:rPr>
                            <w:color w:val="231F20"/>
                            <w:spacing w:val="-4"/>
                            <w:sz w:val="15"/>
                          </w:rPr>
                          <w:t>(refractory)</w:t>
                        </w:r>
                        <w:r>
                          <w:rPr>
                            <w:color w:val="231F20"/>
                            <w:spacing w:val="3"/>
                            <w:sz w:val="15"/>
                          </w:rPr>
                          <w:t> </w:t>
                        </w:r>
                        <w:r>
                          <w:rPr>
                            <w:color w:val="231F20"/>
                            <w:spacing w:val="-4"/>
                            <w:sz w:val="15"/>
                          </w:rPr>
                          <w:t>seizure</w:t>
                        </w:r>
                        <w:r>
                          <w:rPr>
                            <w:color w:val="231F20"/>
                            <w:spacing w:val="2"/>
                            <w:sz w:val="15"/>
                          </w:rPr>
                          <w:t> </w:t>
                        </w:r>
                        <w:r>
                          <w:rPr>
                            <w:color w:val="231F20"/>
                            <w:spacing w:val="-4"/>
                            <w:sz w:val="15"/>
                          </w:rPr>
                          <w:t>status</w:t>
                        </w:r>
                      </w:p>
                      <w:p>
                        <w:pPr>
                          <w:numPr>
                            <w:ilvl w:val="1"/>
                            <w:numId w:val="89"/>
                          </w:numPr>
                          <w:tabs>
                            <w:tab w:pos="416" w:val="left" w:leader="none"/>
                          </w:tabs>
                          <w:spacing w:line="230" w:lineRule="auto" w:before="3"/>
                          <w:ind w:left="416" w:right="73" w:hanging="150"/>
                          <w:jc w:val="left"/>
                          <w:rPr>
                            <w:color w:val="000000"/>
                            <w:sz w:val="15"/>
                          </w:rPr>
                        </w:pPr>
                        <w:r>
                          <w:rPr>
                            <w:color w:val="231F20"/>
                            <w:sz w:val="15"/>
                          </w:rPr>
                          <w:t>Diffuse</w:t>
                        </w:r>
                        <w:r>
                          <w:rPr>
                            <w:color w:val="231F20"/>
                            <w:spacing w:val="-2"/>
                            <w:sz w:val="15"/>
                          </w:rPr>
                          <w:t> </w:t>
                        </w:r>
                        <w:r>
                          <w:rPr>
                            <w:color w:val="231F20"/>
                            <w:sz w:val="15"/>
                          </w:rPr>
                          <w:t>neurologic</w:t>
                        </w:r>
                        <w:r>
                          <w:rPr>
                            <w:color w:val="231F20"/>
                            <w:spacing w:val="-2"/>
                            <w:sz w:val="15"/>
                          </w:rPr>
                          <w:t> </w:t>
                        </w:r>
                        <w:r>
                          <w:rPr>
                            <w:color w:val="231F20"/>
                            <w:sz w:val="15"/>
                          </w:rPr>
                          <w:t>deficit</w:t>
                        </w:r>
                        <w:r>
                          <w:rPr>
                            <w:color w:val="231F20"/>
                            <w:spacing w:val="-2"/>
                            <w:sz w:val="15"/>
                          </w:rPr>
                          <w:t> </w:t>
                        </w:r>
                        <w:r>
                          <w:rPr>
                            <w:color w:val="231F20"/>
                            <w:sz w:val="15"/>
                          </w:rPr>
                          <w:t>including</w:t>
                        </w:r>
                        <w:r>
                          <w:rPr>
                            <w:color w:val="231F20"/>
                            <w:spacing w:val="-2"/>
                            <w:sz w:val="15"/>
                          </w:rPr>
                          <w:t> </w:t>
                        </w:r>
                        <w:r>
                          <w:rPr>
                            <w:color w:val="231F20"/>
                            <w:sz w:val="15"/>
                          </w:rPr>
                          <w:t>cognitive</w:t>
                        </w:r>
                        <w:r>
                          <w:rPr>
                            <w:color w:val="231F20"/>
                            <w:spacing w:val="-2"/>
                            <w:sz w:val="15"/>
                          </w:rPr>
                          <w:t> </w:t>
                        </w:r>
                        <w:r>
                          <w:rPr>
                            <w:color w:val="231F20"/>
                            <w:sz w:val="15"/>
                          </w:rPr>
                          <w:t>decline</w:t>
                        </w:r>
                        <w:r>
                          <w:rPr>
                            <w:color w:val="231F20"/>
                            <w:spacing w:val="-2"/>
                            <w:sz w:val="15"/>
                          </w:rPr>
                          <w:t> </w:t>
                        </w:r>
                        <w:r>
                          <w:rPr>
                            <w:color w:val="231F20"/>
                            <w:sz w:val="15"/>
                          </w:rPr>
                          <w:t>with</w:t>
                        </w:r>
                        <w:r>
                          <w:rPr>
                            <w:color w:val="231F20"/>
                            <w:spacing w:val="-2"/>
                            <w:sz w:val="15"/>
                          </w:rPr>
                          <w:t> </w:t>
                        </w:r>
                        <w:r>
                          <w:rPr>
                            <w:color w:val="231F20"/>
                            <w:sz w:val="15"/>
                          </w:rPr>
                          <w:t>loss </w:t>
                        </w:r>
                        <w:r>
                          <w:rPr>
                            <w:color w:val="231F20"/>
                            <w:spacing w:val="-2"/>
                            <w:sz w:val="15"/>
                          </w:rPr>
                          <w:t>of</w:t>
                        </w:r>
                        <w:r>
                          <w:rPr>
                            <w:color w:val="231F20"/>
                            <w:spacing w:val="-10"/>
                            <w:sz w:val="15"/>
                          </w:rPr>
                          <w:t> </w:t>
                        </w:r>
                        <w:r>
                          <w:rPr>
                            <w:color w:val="231F20"/>
                            <w:spacing w:val="-2"/>
                            <w:sz w:val="15"/>
                          </w:rPr>
                          <w:t>higher</w:t>
                        </w:r>
                        <w:r>
                          <w:rPr>
                            <w:color w:val="231F20"/>
                            <w:spacing w:val="-9"/>
                            <w:sz w:val="15"/>
                          </w:rPr>
                          <w:t> </w:t>
                        </w:r>
                        <w:r>
                          <w:rPr>
                            <w:color w:val="231F20"/>
                            <w:spacing w:val="-2"/>
                            <w:sz w:val="15"/>
                          </w:rPr>
                          <w:t>executive</w:t>
                        </w:r>
                        <w:r>
                          <w:rPr>
                            <w:color w:val="231F20"/>
                            <w:spacing w:val="-9"/>
                            <w:sz w:val="15"/>
                          </w:rPr>
                          <w:t> </w:t>
                        </w:r>
                        <w:r>
                          <w:rPr>
                            <w:color w:val="231F20"/>
                            <w:spacing w:val="-2"/>
                            <w:sz w:val="15"/>
                          </w:rPr>
                          <w:t>function,</w:t>
                        </w:r>
                        <w:r>
                          <w:rPr>
                            <w:color w:val="231F20"/>
                            <w:spacing w:val="-10"/>
                            <w:sz w:val="15"/>
                          </w:rPr>
                          <w:t> </w:t>
                        </w:r>
                        <w:r>
                          <w:rPr>
                            <w:color w:val="231F20"/>
                            <w:spacing w:val="-2"/>
                            <w:sz w:val="15"/>
                          </w:rPr>
                          <w:t>concentration</w:t>
                        </w:r>
                        <w:r>
                          <w:rPr>
                            <w:color w:val="231F20"/>
                            <w:spacing w:val="-9"/>
                            <w:sz w:val="15"/>
                          </w:rPr>
                          <w:t> </w:t>
                        </w:r>
                        <w:r>
                          <w:rPr>
                            <w:color w:val="231F20"/>
                            <w:spacing w:val="-2"/>
                            <w:sz w:val="15"/>
                          </w:rPr>
                          <w:t>difficulties,</w:t>
                        </w:r>
                        <w:r>
                          <w:rPr>
                            <w:color w:val="231F20"/>
                            <w:spacing w:val="-9"/>
                            <w:sz w:val="15"/>
                          </w:rPr>
                          <w:t> </w:t>
                        </w:r>
                        <w:r>
                          <w:rPr>
                            <w:color w:val="231F20"/>
                            <w:spacing w:val="-2"/>
                            <w:sz w:val="15"/>
                          </w:rPr>
                          <w:t>learning </w:t>
                        </w:r>
                        <w:r>
                          <w:rPr>
                            <w:color w:val="231F20"/>
                            <w:sz w:val="15"/>
                          </w:rPr>
                          <w:t>or memory problems, behavior or personality changes, loss of social skills or emotional/impulse control, others</w:t>
                        </w:r>
                      </w:p>
                      <w:p>
                        <w:pPr>
                          <w:numPr>
                            <w:ilvl w:val="1"/>
                            <w:numId w:val="89"/>
                          </w:numPr>
                          <w:tabs>
                            <w:tab w:pos="415" w:val="left" w:leader="none"/>
                          </w:tabs>
                          <w:spacing w:line="168" w:lineRule="exact" w:before="0"/>
                          <w:ind w:left="415" w:right="0" w:hanging="149"/>
                          <w:jc w:val="left"/>
                          <w:rPr>
                            <w:color w:val="000000"/>
                            <w:sz w:val="15"/>
                          </w:rPr>
                        </w:pPr>
                        <w:r>
                          <w:rPr>
                            <w:color w:val="231F20"/>
                            <w:spacing w:val="-2"/>
                            <w:sz w:val="15"/>
                          </w:rPr>
                          <w:t>Headaches</w:t>
                        </w:r>
                      </w:p>
                      <w:p>
                        <w:pPr>
                          <w:numPr>
                            <w:ilvl w:val="1"/>
                            <w:numId w:val="89"/>
                          </w:numPr>
                          <w:tabs>
                            <w:tab w:pos="415" w:val="left" w:leader="none"/>
                          </w:tabs>
                          <w:spacing w:line="168" w:lineRule="exact" w:before="0"/>
                          <w:ind w:left="415" w:right="0" w:hanging="149"/>
                          <w:jc w:val="left"/>
                          <w:rPr>
                            <w:color w:val="000000"/>
                            <w:sz w:val="15"/>
                          </w:rPr>
                        </w:pPr>
                        <w:r>
                          <w:rPr>
                            <w:color w:val="231F20"/>
                            <w:sz w:val="15"/>
                          </w:rPr>
                          <w:t>Meningitis</w:t>
                        </w:r>
                        <w:r>
                          <w:rPr>
                            <w:color w:val="231F20"/>
                            <w:spacing w:val="-4"/>
                            <w:sz w:val="15"/>
                          </w:rPr>
                          <w:t> </w:t>
                        </w:r>
                        <w:r>
                          <w:rPr>
                            <w:color w:val="231F20"/>
                            <w:sz w:val="15"/>
                          </w:rPr>
                          <w:t>symptoms,</w:t>
                        </w:r>
                        <w:r>
                          <w:rPr>
                            <w:color w:val="231F20"/>
                            <w:spacing w:val="-4"/>
                            <w:sz w:val="15"/>
                          </w:rPr>
                          <w:t> </w:t>
                        </w:r>
                        <w:r>
                          <w:rPr>
                            <w:color w:val="231F20"/>
                            <w:sz w:val="15"/>
                          </w:rPr>
                          <w:t>abnormal</w:t>
                        </w:r>
                        <w:r>
                          <w:rPr>
                            <w:color w:val="231F20"/>
                            <w:spacing w:val="-4"/>
                            <w:sz w:val="15"/>
                          </w:rPr>
                          <w:t> </w:t>
                        </w:r>
                        <w:r>
                          <w:rPr>
                            <w:color w:val="231F20"/>
                            <w:sz w:val="15"/>
                          </w:rPr>
                          <w:t>level</w:t>
                        </w:r>
                        <w:r>
                          <w:rPr>
                            <w:color w:val="231F20"/>
                            <w:spacing w:val="-3"/>
                            <w:sz w:val="15"/>
                          </w:rPr>
                          <w:t> </w:t>
                        </w:r>
                        <w:r>
                          <w:rPr>
                            <w:color w:val="231F20"/>
                            <w:sz w:val="15"/>
                          </w:rPr>
                          <w:t>of</w:t>
                        </w:r>
                        <w:r>
                          <w:rPr>
                            <w:color w:val="231F20"/>
                            <w:spacing w:val="-4"/>
                            <w:sz w:val="15"/>
                          </w:rPr>
                          <w:t> </w:t>
                        </w:r>
                        <w:r>
                          <w:rPr>
                            <w:color w:val="231F20"/>
                            <w:spacing w:val="-2"/>
                            <w:sz w:val="15"/>
                          </w:rPr>
                          <w:t>consciousness</w:t>
                        </w:r>
                      </w:p>
                      <w:p>
                        <w:pPr>
                          <w:numPr>
                            <w:ilvl w:val="1"/>
                            <w:numId w:val="89"/>
                          </w:numPr>
                          <w:tabs>
                            <w:tab w:pos="415" w:val="left" w:leader="none"/>
                          </w:tabs>
                          <w:spacing w:line="168" w:lineRule="exact" w:before="0"/>
                          <w:ind w:left="415" w:right="0" w:hanging="149"/>
                          <w:jc w:val="left"/>
                          <w:rPr>
                            <w:color w:val="000000"/>
                            <w:sz w:val="15"/>
                          </w:rPr>
                        </w:pPr>
                        <w:r>
                          <w:rPr>
                            <w:color w:val="231F20"/>
                            <w:spacing w:val="-2"/>
                            <w:sz w:val="15"/>
                          </w:rPr>
                          <w:t>Psychiatric</w:t>
                        </w:r>
                        <w:r>
                          <w:rPr>
                            <w:color w:val="231F20"/>
                            <w:sz w:val="15"/>
                          </w:rPr>
                          <w:t> </w:t>
                        </w:r>
                        <w:r>
                          <w:rPr>
                            <w:color w:val="231F20"/>
                            <w:spacing w:val="-2"/>
                            <w:sz w:val="15"/>
                          </w:rPr>
                          <w:t>symptoms</w:t>
                        </w:r>
                        <w:r>
                          <w:rPr>
                            <w:color w:val="231F20"/>
                            <w:spacing w:val="1"/>
                            <w:sz w:val="15"/>
                          </w:rPr>
                          <w:t> </w:t>
                        </w:r>
                        <w:r>
                          <w:rPr>
                            <w:color w:val="231F20"/>
                            <w:spacing w:val="-2"/>
                            <w:sz w:val="15"/>
                          </w:rPr>
                          <w:t>including</w:t>
                        </w:r>
                        <w:r>
                          <w:rPr>
                            <w:color w:val="231F20"/>
                            <w:spacing w:val="1"/>
                            <w:sz w:val="15"/>
                          </w:rPr>
                          <w:t> </w:t>
                        </w:r>
                        <w:r>
                          <w:rPr>
                            <w:color w:val="231F20"/>
                            <w:spacing w:val="-2"/>
                            <w:sz w:val="15"/>
                          </w:rPr>
                          <w:t>hallucinations,</w:t>
                        </w:r>
                        <w:r>
                          <w:rPr>
                            <w:color w:val="231F20"/>
                            <w:spacing w:val="1"/>
                            <w:sz w:val="15"/>
                          </w:rPr>
                          <w:t> </w:t>
                        </w:r>
                        <w:r>
                          <w:rPr>
                            <w:color w:val="231F20"/>
                            <w:spacing w:val="-2"/>
                            <w:sz w:val="15"/>
                          </w:rPr>
                          <w:t>pseudoseizures</w:t>
                        </w:r>
                      </w:p>
                      <w:p>
                        <w:pPr>
                          <w:spacing w:line="168" w:lineRule="exact" w:before="0"/>
                          <w:ind w:left="304" w:right="0" w:firstLine="0"/>
                          <w:jc w:val="left"/>
                          <w:rPr>
                            <w:i/>
                            <w:color w:val="000000"/>
                            <w:sz w:val="15"/>
                          </w:rPr>
                        </w:pPr>
                        <w:r>
                          <w:rPr>
                            <w:i/>
                            <w:color w:val="231F20"/>
                            <w:spacing w:val="-2"/>
                            <w:sz w:val="15"/>
                          </w:rPr>
                          <w:t>Differential</w:t>
                        </w:r>
                        <w:r>
                          <w:rPr>
                            <w:i/>
                            <w:color w:val="231F20"/>
                            <w:spacing w:val="-8"/>
                            <w:sz w:val="15"/>
                          </w:rPr>
                          <w:t> </w:t>
                        </w:r>
                        <w:r>
                          <w:rPr>
                            <w:i/>
                            <w:color w:val="231F20"/>
                            <w:spacing w:val="-2"/>
                            <w:sz w:val="15"/>
                          </w:rPr>
                          <w:t>diagnosis</w:t>
                        </w:r>
                        <w:r>
                          <w:rPr>
                            <w:i/>
                            <w:color w:val="231F20"/>
                            <w:spacing w:val="-8"/>
                            <w:sz w:val="15"/>
                          </w:rPr>
                          <w:t> </w:t>
                        </w:r>
                        <w:r>
                          <w:rPr>
                            <w:i/>
                            <w:color w:val="231F20"/>
                            <w:spacing w:val="-2"/>
                            <w:sz w:val="15"/>
                          </w:rPr>
                          <w:t>approach:</w:t>
                        </w:r>
                      </w:p>
                      <w:p>
                        <w:pPr>
                          <w:numPr>
                            <w:ilvl w:val="1"/>
                            <w:numId w:val="89"/>
                          </w:numPr>
                          <w:tabs>
                            <w:tab w:pos="416" w:val="left" w:leader="none"/>
                          </w:tabs>
                          <w:spacing w:line="230" w:lineRule="auto" w:before="2"/>
                          <w:ind w:left="416" w:right="386" w:hanging="150"/>
                          <w:jc w:val="left"/>
                          <w:rPr>
                            <w:color w:val="000000"/>
                            <w:sz w:val="15"/>
                          </w:rPr>
                        </w:pPr>
                        <w:r>
                          <w:rPr>
                            <w:color w:val="231F20"/>
                            <w:sz w:val="15"/>
                          </w:rPr>
                          <w:t>Underlying</w:t>
                        </w:r>
                        <w:r>
                          <w:rPr>
                            <w:color w:val="231F20"/>
                            <w:spacing w:val="-8"/>
                            <w:sz w:val="15"/>
                          </w:rPr>
                          <w:t> </w:t>
                        </w:r>
                        <w:r>
                          <w:rPr>
                            <w:color w:val="231F20"/>
                            <w:sz w:val="15"/>
                          </w:rPr>
                          <w:t>illness</w:t>
                        </w:r>
                        <w:r>
                          <w:rPr>
                            <w:color w:val="231F20"/>
                            <w:spacing w:val="-8"/>
                            <w:sz w:val="15"/>
                          </w:rPr>
                          <w:t> </w:t>
                        </w:r>
                        <w:r>
                          <w:rPr>
                            <w:color w:val="231F20"/>
                            <w:sz w:val="15"/>
                          </w:rPr>
                          <w:t>known</w:t>
                        </w:r>
                        <w:r>
                          <w:rPr>
                            <w:color w:val="231F20"/>
                            <w:spacing w:val="-8"/>
                            <w:sz w:val="15"/>
                          </w:rPr>
                          <w:t> </w:t>
                        </w:r>
                        <w:r>
                          <w:rPr>
                            <w:color w:val="231F20"/>
                            <w:sz w:val="15"/>
                          </w:rPr>
                          <w:t>to</w:t>
                        </w:r>
                        <w:r>
                          <w:rPr>
                            <w:color w:val="231F20"/>
                            <w:spacing w:val="-8"/>
                            <w:sz w:val="15"/>
                          </w:rPr>
                          <w:t> </w:t>
                        </w:r>
                        <w:r>
                          <w:rPr>
                            <w:color w:val="231F20"/>
                            <w:sz w:val="15"/>
                          </w:rPr>
                          <w:t>cause,</w:t>
                        </w:r>
                        <w:r>
                          <w:rPr>
                            <w:color w:val="231F20"/>
                            <w:spacing w:val="-8"/>
                            <w:sz w:val="15"/>
                          </w:rPr>
                          <w:t> </w:t>
                        </w:r>
                        <w:r>
                          <w:rPr>
                            <w:color w:val="231F20"/>
                            <w:sz w:val="15"/>
                          </w:rPr>
                          <w:t>be</w:t>
                        </w:r>
                        <w:r>
                          <w:rPr>
                            <w:color w:val="231F20"/>
                            <w:spacing w:val="-8"/>
                            <w:sz w:val="15"/>
                          </w:rPr>
                          <w:t> </w:t>
                        </w:r>
                        <w:r>
                          <w:rPr>
                            <w:color w:val="231F20"/>
                            <w:sz w:val="15"/>
                          </w:rPr>
                          <w:t>associated</w:t>
                        </w:r>
                        <w:r>
                          <w:rPr>
                            <w:color w:val="231F20"/>
                            <w:spacing w:val="-8"/>
                            <w:sz w:val="15"/>
                          </w:rPr>
                          <w:t> </w:t>
                        </w:r>
                        <w:r>
                          <w:rPr>
                            <w:color w:val="231F20"/>
                            <w:sz w:val="15"/>
                          </w:rPr>
                          <w:t>or</w:t>
                        </w:r>
                        <w:r>
                          <w:rPr>
                            <w:color w:val="231F20"/>
                            <w:spacing w:val="-8"/>
                            <w:sz w:val="15"/>
                          </w:rPr>
                          <w:t> </w:t>
                        </w:r>
                        <w:r>
                          <w:rPr>
                            <w:color w:val="231F20"/>
                            <w:sz w:val="15"/>
                          </w:rPr>
                          <w:t>mimic CNS vasculitis: check all potential clinical features</w:t>
                        </w:r>
                      </w:p>
                      <w:p>
                        <w:pPr>
                          <w:numPr>
                            <w:ilvl w:val="0"/>
                            <w:numId w:val="89"/>
                          </w:numPr>
                          <w:tabs>
                            <w:tab w:pos="265" w:val="left" w:leader="none"/>
                          </w:tabs>
                          <w:spacing w:line="167" w:lineRule="exact" w:before="0"/>
                          <w:ind w:left="265" w:right="0" w:hanging="191"/>
                          <w:jc w:val="left"/>
                          <w:rPr>
                            <w:color w:val="000000"/>
                            <w:sz w:val="15"/>
                          </w:rPr>
                        </w:pPr>
                        <w:r>
                          <w:rPr>
                            <w:color w:val="231F20"/>
                            <w:spacing w:val="-2"/>
                            <w:sz w:val="15"/>
                          </w:rPr>
                          <w:t>Laboratory</w:t>
                        </w:r>
                        <w:r>
                          <w:rPr>
                            <w:color w:val="231F20"/>
                            <w:spacing w:val="6"/>
                            <w:sz w:val="15"/>
                          </w:rPr>
                          <w:t> </w:t>
                        </w:r>
                        <w:r>
                          <w:rPr>
                            <w:color w:val="231F20"/>
                            <w:spacing w:val="-2"/>
                            <w:sz w:val="15"/>
                          </w:rPr>
                          <w:t>tests</w:t>
                        </w:r>
                      </w:p>
                      <w:p>
                        <w:pPr>
                          <w:numPr>
                            <w:ilvl w:val="1"/>
                            <w:numId w:val="89"/>
                          </w:numPr>
                          <w:tabs>
                            <w:tab w:pos="415" w:val="left" w:leader="none"/>
                          </w:tabs>
                          <w:spacing w:line="230" w:lineRule="auto" w:before="3"/>
                          <w:ind w:left="415" w:right="288" w:hanging="150"/>
                          <w:jc w:val="left"/>
                          <w:rPr>
                            <w:color w:val="000000"/>
                            <w:sz w:val="15"/>
                          </w:rPr>
                        </w:pPr>
                        <w:r>
                          <w:rPr>
                            <w:color w:val="231F20"/>
                            <w:spacing w:val="-2"/>
                            <w:sz w:val="15"/>
                          </w:rPr>
                          <w:t>Blood</w:t>
                        </w:r>
                        <w:r>
                          <w:rPr>
                            <w:color w:val="231F20"/>
                            <w:spacing w:val="-10"/>
                            <w:sz w:val="15"/>
                          </w:rPr>
                          <w:t> </w:t>
                        </w:r>
                        <w:r>
                          <w:rPr>
                            <w:color w:val="231F20"/>
                            <w:spacing w:val="-2"/>
                            <w:sz w:val="15"/>
                          </w:rPr>
                          <w:t>inflammatory</w:t>
                        </w:r>
                        <w:r>
                          <w:rPr>
                            <w:color w:val="231F20"/>
                            <w:spacing w:val="-9"/>
                            <w:sz w:val="15"/>
                          </w:rPr>
                          <w:t> </w:t>
                        </w:r>
                        <w:r>
                          <w:rPr>
                            <w:color w:val="231F20"/>
                            <w:spacing w:val="-2"/>
                            <w:sz w:val="15"/>
                          </w:rPr>
                          <w:t>markers:</w:t>
                        </w:r>
                        <w:r>
                          <w:rPr>
                            <w:color w:val="231F20"/>
                            <w:spacing w:val="-9"/>
                            <w:sz w:val="15"/>
                          </w:rPr>
                          <w:t> </w:t>
                        </w:r>
                        <w:r>
                          <w:rPr>
                            <w:color w:val="231F20"/>
                            <w:spacing w:val="-2"/>
                            <w:sz w:val="15"/>
                          </w:rPr>
                          <w:t>C-reactive</w:t>
                        </w:r>
                        <w:r>
                          <w:rPr>
                            <w:color w:val="231F20"/>
                            <w:spacing w:val="-10"/>
                            <w:sz w:val="15"/>
                          </w:rPr>
                          <w:t> </w:t>
                        </w:r>
                        <w:r>
                          <w:rPr>
                            <w:color w:val="231F20"/>
                            <w:spacing w:val="-2"/>
                            <w:sz w:val="15"/>
                          </w:rPr>
                          <w:t>protein,</w:t>
                        </w:r>
                        <w:r>
                          <w:rPr>
                            <w:color w:val="231F20"/>
                            <w:spacing w:val="-9"/>
                            <w:sz w:val="15"/>
                          </w:rPr>
                          <w:t> </w:t>
                        </w:r>
                        <w:r>
                          <w:rPr>
                            <w:color w:val="231F20"/>
                            <w:spacing w:val="-2"/>
                            <w:sz w:val="15"/>
                          </w:rPr>
                          <w:t>erythrocyte </w:t>
                        </w:r>
                        <w:r>
                          <w:rPr>
                            <w:color w:val="231F20"/>
                            <w:sz w:val="15"/>
                          </w:rPr>
                          <w:t>sedimentation rate and complete blood counts</w:t>
                        </w:r>
                      </w:p>
                      <w:p>
                        <w:pPr>
                          <w:numPr>
                            <w:ilvl w:val="1"/>
                            <w:numId w:val="89"/>
                          </w:numPr>
                          <w:tabs>
                            <w:tab w:pos="415" w:val="left" w:leader="none"/>
                          </w:tabs>
                          <w:spacing w:line="167" w:lineRule="exact" w:before="0"/>
                          <w:ind w:left="415" w:right="0" w:hanging="149"/>
                          <w:jc w:val="left"/>
                          <w:rPr>
                            <w:color w:val="000000"/>
                            <w:sz w:val="15"/>
                          </w:rPr>
                        </w:pPr>
                        <w:r>
                          <w:rPr>
                            <w:color w:val="231F20"/>
                            <w:spacing w:val="-2"/>
                            <w:sz w:val="15"/>
                          </w:rPr>
                          <w:t>Endothelial</w:t>
                        </w:r>
                        <w:r>
                          <w:rPr>
                            <w:color w:val="231F20"/>
                            <w:spacing w:val="-1"/>
                            <w:sz w:val="15"/>
                          </w:rPr>
                          <w:t> </w:t>
                        </w:r>
                        <w:r>
                          <w:rPr>
                            <w:color w:val="231F20"/>
                            <w:spacing w:val="-2"/>
                            <w:sz w:val="15"/>
                          </w:rPr>
                          <w:t>markers:</w:t>
                        </w:r>
                        <w:r>
                          <w:rPr>
                            <w:color w:val="231F20"/>
                            <w:sz w:val="15"/>
                          </w:rPr>
                          <w:t> </w:t>
                        </w:r>
                        <w:r>
                          <w:rPr>
                            <w:color w:val="231F20"/>
                            <w:spacing w:val="-2"/>
                            <w:sz w:val="15"/>
                          </w:rPr>
                          <w:t>von</w:t>
                        </w:r>
                        <w:r>
                          <w:rPr>
                            <w:color w:val="231F20"/>
                            <w:sz w:val="15"/>
                          </w:rPr>
                          <w:t> </w:t>
                        </w:r>
                        <w:r>
                          <w:rPr>
                            <w:color w:val="231F20"/>
                            <w:spacing w:val="-2"/>
                            <w:sz w:val="15"/>
                          </w:rPr>
                          <w:t>Willebrand</w:t>
                        </w:r>
                        <w:r>
                          <w:rPr>
                            <w:color w:val="231F20"/>
                            <w:spacing w:val="-1"/>
                            <w:sz w:val="15"/>
                          </w:rPr>
                          <w:t> </w:t>
                        </w:r>
                        <w:r>
                          <w:rPr>
                            <w:color w:val="231F20"/>
                            <w:spacing w:val="-2"/>
                            <w:sz w:val="15"/>
                          </w:rPr>
                          <w:t>factor</w:t>
                        </w:r>
                        <w:r>
                          <w:rPr>
                            <w:color w:val="231F20"/>
                            <w:sz w:val="15"/>
                          </w:rPr>
                          <w:t> </w:t>
                        </w:r>
                        <w:r>
                          <w:rPr>
                            <w:color w:val="231F20"/>
                            <w:spacing w:val="-2"/>
                            <w:sz w:val="15"/>
                          </w:rPr>
                          <w:t>(vWF)</w:t>
                        </w:r>
                        <w:r>
                          <w:rPr>
                            <w:color w:val="231F20"/>
                            <w:sz w:val="15"/>
                          </w:rPr>
                          <w:t> </w:t>
                        </w:r>
                        <w:r>
                          <w:rPr>
                            <w:color w:val="231F20"/>
                            <w:spacing w:val="-2"/>
                            <w:sz w:val="15"/>
                          </w:rPr>
                          <w:t>antigen</w:t>
                        </w:r>
                      </w:p>
                      <w:p>
                        <w:pPr>
                          <w:numPr>
                            <w:ilvl w:val="1"/>
                            <w:numId w:val="89"/>
                          </w:numPr>
                          <w:tabs>
                            <w:tab w:pos="415" w:val="left" w:leader="none"/>
                          </w:tabs>
                          <w:spacing w:line="230" w:lineRule="auto" w:before="2"/>
                          <w:ind w:left="415" w:right="497" w:hanging="150"/>
                          <w:jc w:val="left"/>
                          <w:rPr>
                            <w:color w:val="000000"/>
                            <w:sz w:val="15"/>
                          </w:rPr>
                        </w:pPr>
                        <w:r>
                          <w:rPr>
                            <w:color w:val="231F20"/>
                            <w:sz w:val="15"/>
                          </w:rPr>
                          <w:t>Cerebrospinal</w:t>
                        </w:r>
                        <w:r>
                          <w:rPr>
                            <w:color w:val="231F20"/>
                            <w:spacing w:val="-12"/>
                            <w:sz w:val="15"/>
                          </w:rPr>
                          <w:t> </w:t>
                        </w:r>
                        <w:r>
                          <w:rPr>
                            <w:color w:val="231F20"/>
                            <w:sz w:val="15"/>
                          </w:rPr>
                          <w:t>fluid</w:t>
                        </w:r>
                        <w:r>
                          <w:rPr>
                            <w:color w:val="231F20"/>
                            <w:spacing w:val="-11"/>
                            <w:sz w:val="15"/>
                          </w:rPr>
                          <w:t> </w:t>
                        </w:r>
                        <w:r>
                          <w:rPr>
                            <w:color w:val="231F20"/>
                            <w:sz w:val="15"/>
                          </w:rPr>
                          <w:t>(CSF)</w:t>
                        </w:r>
                        <w:r>
                          <w:rPr>
                            <w:color w:val="231F20"/>
                            <w:spacing w:val="-11"/>
                            <w:sz w:val="15"/>
                          </w:rPr>
                          <w:t> </w:t>
                        </w:r>
                        <w:r>
                          <w:rPr>
                            <w:color w:val="231F20"/>
                            <w:sz w:val="15"/>
                          </w:rPr>
                          <w:t>inflammatory</w:t>
                        </w:r>
                        <w:r>
                          <w:rPr>
                            <w:color w:val="231F20"/>
                            <w:spacing w:val="-12"/>
                            <w:sz w:val="15"/>
                          </w:rPr>
                          <w:t> </w:t>
                        </w:r>
                        <w:r>
                          <w:rPr>
                            <w:color w:val="231F20"/>
                            <w:sz w:val="15"/>
                          </w:rPr>
                          <w:t>markers:</w:t>
                        </w:r>
                        <w:r>
                          <w:rPr>
                            <w:color w:val="231F20"/>
                            <w:spacing w:val="-11"/>
                            <w:sz w:val="15"/>
                          </w:rPr>
                          <w:t> </w:t>
                        </w:r>
                        <w:r>
                          <w:rPr>
                            <w:color w:val="231F20"/>
                            <w:sz w:val="15"/>
                          </w:rPr>
                          <w:t>opening pressure, cell count, protein, oligoclonal bands</w:t>
                        </w:r>
                      </w:p>
                      <w:p>
                        <w:pPr>
                          <w:spacing w:line="167" w:lineRule="exact" w:before="0"/>
                          <w:ind w:left="303" w:right="0" w:firstLine="0"/>
                          <w:jc w:val="left"/>
                          <w:rPr>
                            <w:i/>
                            <w:color w:val="000000"/>
                            <w:sz w:val="15"/>
                          </w:rPr>
                        </w:pPr>
                        <w:r>
                          <w:rPr>
                            <w:i/>
                            <w:color w:val="231F20"/>
                            <w:spacing w:val="-2"/>
                            <w:sz w:val="15"/>
                          </w:rPr>
                          <w:t>Differential</w:t>
                        </w:r>
                        <w:r>
                          <w:rPr>
                            <w:i/>
                            <w:color w:val="231F20"/>
                            <w:spacing w:val="-8"/>
                            <w:sz w:val="15"/>
                          </w:rPr>
                          <w:t> </w:t>
                        </w:r>
                        <w:r>
                          <w:rPr>
                            <w:i/>
                            <w:color w:val="231F20"/>
                            <w:spacing w:val="-2"/>
                            <w:sz w:val="15"/>
                          </w:rPr>
                          <w:t>diagnosis</w:t>
                        </w:r>
                        <w:r>
                          <w:rPr>
                            <w:i/>
                            <w:color w:val="231F20"/>
                            <w:spacing w:val="-8"/>
                            <w:sz w:val="15"/>
                          </w:rPr>
                          <w:t> </w:t>
                        </w:r>
                        <w:r>
                          <w:rPr>
                            <w:i/>
                            <w:color w:val="231F20"/>
                            <w:spacing w:val="-2"/>
                            <w:sz w:val="15"/>
                          </w:rPr>
                          <w:t>approach:</w:t>
                        </w:r>
                      </w:p>
                      <w:p>
                        <w:pPr>
                          <w:numPr>
                            <w:ilvl w:val="1"/>
                            <w:numId w:val="89"/>
                          </w:numPr>
                          <w:tabs>
                            <w:tab w:pos="415" w:val="left" w:leader="none"/>
                          </w:tabs>
                          <w:spacing w:line="230" w:lineRule="auto" w:before="3"/>
                          <w:ind w:left="415" w:right="334" w:hanging="150"/>
                          <w:jc w:val="left"/>
                          <w:rPr>
                            <w:color w:val="000000"/>
                            <w:sz w:val="15"/>
                          </w:rPr>
                        </w:pPr>
                        <w:r>
                          <w:rPr>
                            <w:color w:val="231F20"/>
                            <w:spacing w:val="-4"/>
                            <w:sz w:val="15"/>
                          </w:rPr>
                          <w:t>Infections/postinfectious inflammation: cultures, </w:t>
                        </w:r>
                        <w:r>
                          <w:rPr>
                            <w:color w:val="231F20"/>
                            <w:spacing w:val="-4"/>
                            <w:sz w:val="15"/>
                          </w:rPr>
                          <w:t>serologies, </w:t>
                        </w:r>
                        <w:r>
                          <w:rPr>
                            <w:color w:val="231F20"/>
                            <w:sz w:val="15"/>
                          </w:rPr>
                          <w:t>Gram stains</w:t>
                        </w:r>
                      </w:p>
                      <w:p>
                        <w:pPr>
                          <w:numPr>
                            <w:ilvl w:val="1"/>
                            <w:numId w:val="89"/>
                          </w:numPr>
                          <w:tabs>
                            <w:tab w:pos="415" w:val="left" w:leader="none"/>
                          </w:tabs>
                          <w:spacing w:line="230" w:lineRule="auto" w:before="1"/>
                          <w:ind w:left="415" w:right="255" w:hanging="150"/>
                          <w:jc w:val="left"/>
                          <w:rPr>
                            <w:color w:val="000000"/>
                            <w:sz w:val="15"/>
                          </w:rPr>
                        </w:pPr>
                        <w:r>
                          <w:rPr>
                            <w:color w:val="231F20"/>
                            <w:sz w:val="15"/>
                          </w:rPr>
                          <w:t>Autoimmune</w:t>
                        </w:r>
                        <w:r>
                          <w:rPr>
                            <w:color w:val="231F20"/>
                            <w:spacing w:val="-6"/>
                            <w:sz w:val="15"/>
                          </w:rPr>
                          <w:t> </w:t>
                        </w:r>
                        <w:r>
                          <w:rPr>
                            <w:color w:val="231F20"/>
                            <w:sz w:val="15"/>
                          </w:rPr>
                          <w:t>encephalitis:</w:t>
                        </w:r>
                        <w:r>
                          <w:rPr>
                            <w:color w:val="231F20"/>
                            <w:spacing w:val="-6"/>
                            <w:sz w:val="15"/>
                          </w:rPr>
                          <w:t> </w:t>
                        </w:r>
                        <w:r>
                          <w:rPr>
                            <w:color w:val="231F20"/>
                            <w:sz w:val="15"/>
                          </w:rPr>
                          <w:t>check</w:t>
                        </w:r>
                        <w:r>
                          <w:rPr>
                            <w:color w:val="231F20"/>
                            <w:spacing w:val="-6"/>
                            <w:sz w:val="15"/>
                          </w:rPr>
                          <w:t> </w:t>
                        </w:r>
                        <w:r>
                          <w:rPr>
                            <w:color w:val="231F20"/>
                            <w:sz w:val="15"/>
                          </w:rPr>
                          <w:t>neuronal</w:t>
                        </w:r>
                        <w:r>
                          <w:rPr>
                            <w:color w:val="231F20"/>
                            <w:spacing w:val="-6"/>
                            <w:sz w:val="15"/>
                          </w:rPr>
                          <w:t> </w:t>
                        </w:r>
                        <w:r>
                          <w:rPr>
                            <w:color w:val="231F20"/>
                            <w:sz w:val="15"/>
                          </w:rPr>
                          <w:t>antibodies</w:t>
                        </w:r>
                        <w:r>
                          <w:rPr>
                            <w:color w:val="231F20"/>
                            <w:spacing w:val="-6"/>
                            <w:sz w:val="15"/>
                          </w:rPr>
                          <w:t> </w:t>
                        </w:r>
                        <w:r>
                          <w:rPr>
                            <w:color w:val="231F20"/>
                            <w:sz w:val="15"/>
                          </w:rPr>
                          <w:t>in</w:t>
                        </w:r>
                        <w:r>
                          <w:rPr>
                            <w:color w:val="231F20"/>
                            <w:spacing w:val="-6"/>
                            <w:sz w:val="15"/>
                          </w:rPr>
                          <w:t> </w:t>
                        </w:r>
                        <w:r>
                          <w:rPr>
                            <w:color w:val="231F20"/>
                            <w:sz w:val="15"/>
                          </w:rPr>
                          <w:t>CSF and blood</w:t>
                        </w:r>
                      </w:p>
                      <w:p>
                        <w:pPr>
                          <w:numPr>
                            <w:ilvl w:val="1"/>
                            <w:numId w:val="89"/>
                          </w:numPr>
                          <w:tabs>
                            <w:tab w:pos="415" w:val="left" w:leader="none"/>
                          </w:tabs>
                          <w:spacing w:line="230" w:lineRule="auto" w:before="2"/>
                          <w:ind w:left="415" w:right="531" w:hanging="150"/>
                          <w:jc w:val="left"/>
                          <w:rPr>
                            <w:color w:val="000000"/>
                            <w:sz w:val="15"/>
                          </w:rPr>
                        </w:pPr>
                        <w:r>
                          <w:rPr>
                            <w:color w:val="231F20"/>
                            <w:spacing w:val="-2"/>
                            <w:sz w:val="15"/>
                          </w:rPr>
                          <w:t>Systemic</w:t>
                        </w:r>
                        <w:r>
                          <w:rPr>
                            <w:color w:val="231F20"/>
                            <w:spacing w:val="-10"/>
                            <w:sz w:val="15"/>
                          </w:rPr>
                          <w:t> </w:t>
                        </w:r>
                        <w:r>
                          <w:rPr>
                            <w:color w:val="231F20"/>
                            <w:spacing w:val="-2"/>
                            <w:sz w:val="15"/>
                          </w:rPr>
                          <w:t>inflammation/rheumatic</w:t>
                        </w:r>
                        <w:r>
                          <w:rPr>
                            <w:color w:val="231F20"/>
                            <w:spacing w:val="-9"/>
                            <w:sz w:val="15"/>
                          </w:rPr>
                          <w:t> </w:t>
                        </w:r>
                        <w:r>
                          <w:rPr>
                            <w:color w:val="231F20"/>
                            <w:spacing w:val="-2"/>
                            <w:sz w:val="15"/>
                          </w:rPr>
                          <w:t>disease:</w:t>
                        </w:r>
                        <w:r>
                          <w:rPr>
                            <w:color w:val="231F20"/>
                            <w:spacing w:val="-9"/>
                            <w:sz w:val="15"/>
                          </w:rPr>
                          <w:t> </w:t>
                        </w:r>
                        <w:r>
                          <w:rPr>
                            <w:color w:val="231F20"/>
                            <w:spacing w:val="-2"/>
                            <w:sz w:val="15"/>
                          </w:rPr>
                          <w:t>characteristic </w:t>
                        </w:r>
                        <w:r>
                          <w:rPr>
                            <w:color w:val="231F20"/>
                            <w:sz w:val="15"/>
                          </w:rPr>
                          <w:t>laboratory</w:t>
                        </w:r>
                        <w:r>
                          <w:rPr>
                            <w:color w:val="231F20"/>
                            <w:spacing w:val="-12"/>
                            <w:sz w:val="15"/>
                          </w:rPr>
                          <w:t> </w:t>
                        </w:r>
                        <w:r>
                          <w:rPr>
                            <w:color w:val="231F20"/>
                            <w:sz w:val="15"/>
                          </w:rPr>
                          <w:t>markers</w:t>
                        </w:r>
                        <w:r>
                          <w:rPr>
                            <w:color w:val="231F20"/>
                            <w:spacing w:val="-11"/>
                            <w:sz w:val="15"/>
                          </w:rPr>
                          <w:t> </w:t>
                        </w:r>
                        <w:r>
                          <w:rPr>
                            <w:color w:val="231F20"/>
                            <w:sz w:val="15"/>
                          </w:rPr>
                          <w:t>such</w:t>
                        </w:r>
                        <w:r>
                          <w:rPr>
                            <w:color w:val="231F20"/>
                            <w:spacing w:val="-11"/>
                            <w:sz w:val="15"/>
                          </w:rPr>
                          <w:t> </w:t>
                        </w:r>
                        <w:r>
                          <w:rPr>
                            <w:color w:val="231F20"/>
                            <w:sz w:val="15"/>
                          </w:rPr>
                          <w:t>as</w:t>
                        </w:r>
                        <w:r>
                          <w:rPr>
                            <w:color w:val="231F20"/>
                            <w:spacing w:val="-12"/>
                            <w:sz w:val="15"/>
                          </w:rPr>
                          <w:t> </w:t>
                        </w:r>
                        <w:r>
                          <w:rPr>
                            <w:color w:val="231F20"/>
                            <w:sz w:val="15"/>
                          </w:rPr>
                          <w:t>complement,</w:t>
                        </w:r>
                        <w:r>
                          <w:rPr>
                            <w:color w:val="231F20"/>
                            <w:spacing w:val="-11"/>
                            <w:sz w:val="15"/>
                          </w:rPr>
                          <w:t> </w:t>
                        </w:r>
                        <w:r>
                          <w:rPr>
                            <w:color w:val="231F20"/>
                            <w:sz w:val="15"/>
                          </w:rPr>
                          <w:t>autoantibodies</w:t>
                        </w:r>
                      </w:p>
                      <w:p>
                        <w:pPr>
                          <w:numPr>
                            <w:ilvl w:val="1"/>
                            <w:numId w:val="89"/>
                          </w:numPr>
                          <w:tabs>
                            <w:tab w:pos="415" w:val="left" w:leader="none"/>
                          </w:tabs>
                          <w:spacing w:line="167" w:lineRule="exact" w:before="0"/>
                          <w:ind w:left="415" w:right="0" w:hanging="149"/>
                          <w:jc w:val="left"/>
                          <w:rPr>
                            <w:color w:val="000000"/>
                            <w:sz w:val="15"/>
                          </w:rPr>
                        </w:pPr>
                        <w:r>
                          <w:rPr>
                            <w:color w:val="231F20"/>
                            <w:sz w:val="15"/>
                          </w:rPr>
                          <w:t>Thromboembolic</w:t>
                        </w:r>
                        <w:r>
                          <w:rPr>
                            <w:color w:val="231F20"/>
                            <w:spacing w:val="-1"/>
                            <w:sz w:val="15"/>
                          </w:rPr>
                          <w:t> </w:t>
                        </w:r>
                        <w:r>
                          <w:rPr>
                            <w:color w:val="231F20"/>
                            <w:sz w:val="15"/>
                          </w:rPr>
                          <w:t>conditions: procoagulatory </w:t>
                        </w:r>
                        <w:r>
                          <w:rPr>
                            <w:color w:val="231F20"/>
                            <w:spacing w:val="-2"/>
                            <w:sz w:val="15"/>
                          </w:rPr>
                          <w:t>profile</w:t>
                        </w:r>
                      </w:p>
                      <w:p>
                        <w:pPr>
                          <w:numPr>
                            <w:ilvl w:val="0"/>
                            <w:numId w:val="89"/>
                          </w:numPr>
                          <w:tabs>
                            <w:tab w:pos="265" w:val="left" w:leader="none"/>
                          </w:tabs>
                          <w:spacing w:line="168" w:lineRule="exact" w:before="0"/>
                          <w:ind w:left="265" w:right="0" w:hanging="191"/>
                          <w:jc w:val="left"/>
                          <w:rPr>
                            <w:color w:val="000000"/>
                            <w:sz w:val="15"/>
                          </w:rPr>
                        </w:pPr>
                        <w:r>
                          <w:rPr>
                            <w:color w:val="231F20"/>
                            <w:spacing w:val="-2"/>
                            <w:w w:val="105"/>
                            <w:sz w:val="15"/>
                          </w:rPr>
                          <w:t>Neuroimaging</w:t>
                        </w:r>
                      </w:p>
                      <w:p>
                        <w:pPr>
                          <w:numPr>
                            <w:ilvl w:val="1"/>
                            <w:numId w:val="89"/>
                          </w:numPr>
                          <w:tabs>
                            <w:tab w:pos="415" w:val="left" w:leader="none"/>
                          </w:tabs>
                          <w:spacing w:line="168" w:lineRule="exact" w:before="0"/>
                          <w:ind w:left="415" w:right="0" w:hanging="149"/>
                          <w:jc w:val="left"/>
                          <w:rPr>
                            <w:color w:val="000000"/>
                            <w:sz w:val="15"/>
                          </w:rPr>
                        </w:pPr>
                        <w:r>
                          <w:rPr>
                            <w:color w:val="231F20"/>
                            <w:sz w:val="15"/>
                          </w:rPr>
                          <w:t>Parenchymal imaging on </w:t>
                        </w:r>
                        <w:r>
                          <w:rPr>
                            <w:color w:val="231F20"/>
                            <w:spacing w:val="-4"/>
                            <w:sz w:val="15"/>
                          </w:rPr>
                          <w:t>MRI:</w:t>
                        </w:r>
                      </w:p>
                      <w:p>
                        <w:pPr>
                          <w:numPr>
                            <w:ilvl w:val="2"/>
                            <w:numId w:val="89"/>
                          </w:numPr>
                          <w:tabs>
                            <w:tab w:pos="565" w:val="left" w:leader="none"/>
                          </w:tabs>
                          <w:spacing w:line="230" w:lineRule="auto" w:before="2"/>
                          <w:ind w:left="565" w:right="155" w:hanging="150"/>
                          <w:jc w:val="left"/>
                          <w:rPr>
                            <w:color w:val="000000"/>
                            <w:sz w:val="15"/>
                          </w:rPr>
                        </w:pPr>
                        <w:r>
                          <w:rPr>
                            <w:color w:val="231F20"/>
                            <w:spacing w:val="-2"/>
                            <w:sz w:val="15"/>
                          </w:rPr>
                          <w:t>Inflammatory</w:t>
                        </w:r>
                        <w:r>
                          <w:rPr>
                            <w:color w:val="231F20"/>
                            <w:spacing w:val="-10"/>
                            <w:sz w:val="15"/>
                          </w:rPr>
                          <w:t> </w:t>
                        </w:r>
                        <w:r>
                          <w:rPr>
                            <w:color w:val="231F20"/>
                            <w:spacing w:val="-2"/>
                            <w:sz w:val="15"/>
                          </w:rPr>
                          <w:t>lesions:</w:t>
                        </w:r>
                        <w:r>
                          <w:rPr>
                            <w:color w:val="231F20"/>
                            <w:spacing w:val="-9"/>
                            <w:sz w:val="15"/>
                          </w:rPr>
                          <w:t> </w:t>
                        </w:r>
                        <w:r>
                          <w:rPr>
                            <w:color w:val="231F20"/>
                            <w:spacing w:val="-2"/>
                            <w:sz w:val="15"/>
                          </w:rPr>
                          <w:t>T2/fluid</w:t>
                        </w:r>
                        <w:r>
                          <w:rPr>
                            <w:color w:val="231F20"/>
                            <w:spacing w:val="-9"/>
                            <w:sz w:val="15"/>
                          </w:rPr>
                          <w:t> </w:t>
                        </w:r>
                        <w:r>
                          <w:rPr>
                            <w:color w:val="231F20"/>
                            <w:spacing w:val="-2"/>
                            <w:sz w:val="15"/>
                          </w:rPr>
                          <w:t>attenuated</w:t>
                        </w:r>
                        <w:r>
                          <w:rPr>
                            <w:color w:val="231F20"/>
                            <w:spacing w:val="-10"/>
                            <w:sz w:val="15"/>
                          </w:rPr>
                          <w:t> </w:t>
                        </w:r>
                        <w:r>
                          <w:rPr>
                            <w:color w:val="231F20"/>
                            <w:spacing w:val="-2"/>
                            <w:sz w:val="15"/>
                          </w:rPr>
                          <w:t>inversion</w:t>
                        </w:r>
                        <w:r>
                          <w:rPr>
                            <w:color w:val="231F20"/>
                            <w:spacing w:val="-9"/>
                            <w:sz w:val="15"/>
                          </w:rPr>
                          <w:t> </w:t>
                        </w:r>
                        <w:r>
                          <w:rPr>
                            <w:color w:val="231F20"/>
                            <w:spacing w:val="-2"/>
                            <w:sz w:val="15"/>
                          </w:rPr>
                          <w:t>recovery </w:t>
                        </w:r>
                        <w:r>
                          <w:rPr>
                            <w:color w:val="231F20"/>
                            <w:sz w:val="15"/>
                          </w:rPr>
                          <w:t>sequences plus gadolinium contrast (lesion enhancement)</w:t>
                        </w:r>
                      </w:p>
                      <w:p>
                        <w:pPr>
                          <w:numPr>
                            <w:ilvl w:val="2"/>
                            <w:numId w:val="89"/>
                          </w:numPr>
                          <w:tabs>
                            <w:tab w:pos="565" w:val="left" w:leader="none"/>
                          </w:tabs>
                          <w:spacing w:line="230" w:lineRule="auto" w:before="2"/>
                          <w:ind w:left="565" w:right="550" w:hanging="150"/>
                          <w:jc w:val="left"/>
                          <w:rPr>
                            <w:color w:val="000000"/>
                            <w:sz w:val="15"/>
                          </w:rPr>
                        </w:pPr>
                        <w:r>
                          <w:rPr>
                            <w:color w:val="231F20"/>
                            <w:spacing w:val="-2"/>
                            <w:sz w:val="15"/>
                          </w:rPr>
                          <w:t>Ischemic lesions: diffusion-weighted </w:t>
                        </w:r>
                        <w:r>
                          <w:rPr>
                            <w:color w:val="231F20"/>
                            <w:spacing w:val="-2"/>
                            <w:sz w:val="15"/>
                          </w:rPr>
                          <w:t>images/apparent </w:t>
                        </w:r>
                        <w:r>
                          <w:rPr>
                            <w:color w:val="231F20"/>
                            <w:sz w:val="15"/>
                          </w:rPr>
                          <w:t>diffusion coefficient mapping</w:t>
                        </w:r>
                      </w:p>
                      <w:p>
                        <w:pPr>
                          <w:numPr>
                            <w:ilvl w:val="1"/>
                            <w:numId w:val="89"/>
                          </w:numPr>
                          <w:tabs>
                            <w:tab w:pos="415" w:val="left" w:leader="none"/>
                          </w:tabs>
                          <w:spacing w:line="167" w:lineRule="exact" w:before="0"/>
                          <w:ind w:left="415" w:right="0" w:hanging="149"/>
                          <w:jc w:val="left"/>
                          <w:rPr>
                            <w:color w:val="000000"/>
                            <w:sz w:val="15"/>
                          </w:rPr>
                        </w:pPr>
                        <w:r>
                          <w:rPr>
                            <w:color w:val="231F20"/>
                            <w:sz w:val="15"/>
                          </w:rPr>
                          <w:t>Vessel</w:t>
                        </w:r>
                        <w:r>
                          <w:rPr>
                            <w:color w:val="231F20"/>
                            <w:spacing w:val="1"/>
                            <w:sz w:val="15"/>
                          </w:rPr>
                          <w:t> </w:t>
                        </w:r>
                        <w:r>
                          <w:rPr>
                            <w:color w:val="231F20"/>
                            <w:spacing w:val="-2"/>
                            <w:sz w:val="15"/>
                          </w:rPr>
                          <w:t>imaging</w:t>
                        </w:r>
                      </w:p>
                      <w:p>
                        <w:pPr>
                          <w:numPr>
                            <w:ilvl w:val="0"/>
                            <w:numId w:val="89"/>
                          </w:numPr>
                          <w:tabs>
                            <w:tab w:pos="265" w:val="left" w:leader="none"/>
                          </w:tabs>
                          <w:spacing w:line="171" w:lineRule="exact" w:before="0"/>
                          <w:ind w:left="265" w:right="0" w:hanging="191"/>
                          <w:jc w:val="left"/>
                          <w:rPr>
                            <w:color w:val="000000"/>
                            <w:sz w:val="15"/>
                          </w:rPr>
                        </w:pPr>
                        <w:r>
                          <w:rPr>
                            <w:color w:val="231F20"/>
                            <w:sz w:val="15"/>
                          </w:rPr>
                          <w:t>Brain</w:t>
                        </w:r>
                        <w:r>
                          <w:rPr>
                            <w:color w:val="231F20"/>
                            <w:spacing w:val="-6"/>
                            <w:sz w:val="15"/>
                          </w:rPr>
                          <w:t> </w:t>
                        </w:r>
                        <w:r>
                          <w:rPr>
                            <w:color w:val="231F20"/>
                            <w:spacing w:val="-2"/>
                            <w:sz w:val="15"/>
                          </w:rPr>
                          <w:t>biopsy</w:t>
                        </w:r>
                      </w:p>
                    </w:txbxContent>
                  </v:textbox>
                  <v:fill type="solid"/>
                  <w10:wrap type="none"/>
                </v:shape>
                <v:rect style="position:absolute;left:6214;top:7405;width:4703;height:19" id="docshape786" filled="true" fillcolor="#231f20" stroked="false">
                  <v:fill type="solid"/>
                </v:rect>
                <v:shape style="position:absolute;left:7371;top:192;width:3546;height:747" type="#_x0000_t202" id="docshape787" filled="true" fillcolor="#231f20" stroked="false">
                  <v:textbox inset="0,0,0,0">
                    <w:txbxContent>
                      <w:p>
                        <w:pPr>
                          <w:spacing w:before="89"/>
                          <w:ind w:left="74" w:right="808" w:firstLine="0"/>
                          <w:jc w:val="both"/>
                          <w:rPr>
                            <w:color w:val="000000"/>
                            <w:sz w:val="16"/>
                          </w:rPr>
                        </w:pPr>
                        <w:r>
                          <w:rPr>
                            <w:color w:val="FFFFFF"/>
                            <w:w w:val="110"/>
                            <w:sz w:val="16"/>
                          </w:rPr>
                          <w:t>Proposed</w:t>
                        </w:r>
                        <w:r>
                          <w:rPr>
                            <w:color w:val="FFFFFF"/>
                            <w:spacing w:val="-14"/>
                            <w:w w:val="110"/>
                            <w:sz w:val="16"/>
                          </w:rPr>
                          <w:t> </w:t>
                        </w:r>
                        <w:r>
                          <w:rPr>
                            <w:color w:val="FFFFFF"/>
                            <w:w w:val="110"/>
                            <w:sz w:val="16"/>
                          </w:rPr>
                          <w:t>Diagnostic</w:t>
                        </w:r>
                        <w:r>
                          <w:rPr>
                            <w:color w:val="FFFFFF"/>
                            <w:spacing w:val="-13"/>
                            <w:w w:val="110"/>
                            <w:sz w:val="16"/>
                          </w:rPr>
                          <w:t> </w:t>
                        </w:r>
                        <w:r>
                          <w:rPr>
                            <w:color w:val="FFFFFF"/>
                            <w:w w:val="110"/>
                            <w:sz w:val="16"/>
                          </w:rPr>
                          <w:t>Evaluation</w:t>
                        </w:r>
                        <w:r>
                          <w:rPr>
                            <w:color w:val="FFFFFF"/>
                            <w:spacing w:val="-13"/>
                            <w:w w:val="110"/>
                            <w:sz w:val="16"/>
                          </w:rPr>
                          <w:t> </w:t>
                        </w:r>
                        <w:r>
                          <w:rPr>
                            <w:color w:val="FFFFFF"/>
                            <w:w w:val="110"/>
                            <w:sz w:val="16"/>
                          </w:rPr>
                          <w:t>of Suspected</w:t>
                        </w:r>
                        <w:r>
                          <w:rPr>
                            <w:color w:val="FFFFFF"/>
                            <w:spacing w:val="-10"/>
                            <w:w w:val="110"/>
                            <w:sz w:val="16"/>
                          </w:rPr>
                          <w:t> </w:t>
                        </w:r>
                        <w:r>
                          <w:rPr>
                            <w:color w:val="FFFFFF"/>
                            <w:w w:val="110"/>
                            <w:sz w:val="16"/>
                          </w:rPr>
                          <w:t>Childhood</w:t>
                        </w:r>
                        <w:r>
                          <w:rPr>
                            <w:color w:val="FFFFFF"/>
                            <w:spacing w:val="-10"/>
                            <w:w w:val="110"/>
                            <w:sz w:val="16"/>
                          </w:rPr>
                          <w:t> </w:t>
                        </w:r>
                        <w:r>
                          <w:rPr>
                            <w:color w:val="FFFFFF"/>
                            <w:w w:val="110"/>
                            <w:sz w:val="16"/>
                          </w:rPr>
                          <w:t>Primary</w:t>
                        </w:r>
                        <w:r>
                          <w:rPr>
                            <w:color w:val="FFFFFF"/>
                            <w:spacing w:val="-10"/>
                            <w:w w:val="110"/>
                            <w:sz w:val="16"/>
                          </w:rPr>
                          <w:t> </w:t>
                        </w:r>
                        <w:r>
                          <w:rPr>
                            <w:color w:val="FFFFFF"/>
                            <w:w w:val="110"/>
                            <w:sz w:val="16"/>
                          </w:rPr>
                          <w:t>CNS </w:t>
                        </w:r>
                        <w:r>
                          <w:rPr>
                            <w:color w:val="FFFFFF"/>
                            <w:spacing w:val="-2"/>
                            <w:w w:val="110"/>
                            <w:sz w:val="16"/>
                          </w:rPr>
                          <w:t>Vasculitis</w:t>
                        </w:r>
                      </w:p>
                    </w:txbxContent>
                  </v:textbox>
                  <v:fill type="solid"/>
                  <w10:wrap type="none"/>
                </v:shape>
                <v:shape style="position:absolute;left:6214;top:192;width:1139;height:747" type="#_x0000_t202" id="docshape788"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602-</w:t>
                        </w:r>
                        <w:r>
                          <w:rPr>
                            <w:b/>
                            <w:color w:val="FFFFFF"/>
                            <w:spacing w:val="-10"/>
                            <w:w w:val="105"/>
                            <w:sz w:val="16"/>
                          </w:rPr>
                          <w:t>2</w:t>
                        </w:r>
                      </w:p>
                    </w:txbxContent>
                  </v:textbox>
                  <v:fill type="solid"/>
                  <w10:wrap type="none"/>
                </v:shape>
                <w10:wrap type="topAndBottom"/>
              </v:group>
            </w:pict>
          </mc:Fallback>
        </mc:AlternateContent>
      </w:r>
    </w:p>
    <w:p>
      <w:pPr>
        <w:pStyle w:val="BodyText"/>
        <w:spacing w:before="11"/>
        <w:rPr>
          <w:sz w:val="12"/>
        </w:rPr>
      </w:pPr>
    </w:p>
    <w:tbl>
      <w:tblPr>
        <w:tblW w:w="0" w:type="auto"/>
        <w:jc w:val="left"/>
        <w:tblInd w:w="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87"/>
        <w:gridCol w:w="4643"/>
        <w:gridCol w:w="3464"/>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602-</w:t>
            </w:r>
            <w:r>
              <w:rPr>
                <w:b/>
                <w:color w:val="FFFFFF"/>
                <w:spacing w:val="-10"/>
                <w:w w:val="105"/>
                <w:sz w:val="16"/>
              </w:rPr>
              <w:t>3</w:t>
            </w:r>
          </w:p>
        </w:tc>
        <w:tc>
          <w:tcPr>
            <w:tcW w:w="8594"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Characteristics</w:t>
            </w:r>
            <w:r>
              <w:rPr>
                <w:color w:val="FFFFFF"/>
                <w:spacing w:val="3"/>
                <w:w w:val="105"/>
                <w:sz w:val="16"/>
              </w:rPr>
              <w:t> </w:t>
            </w:r>
            <w:r>
              <w:rPr>
                <w:color w:val="FFFFFF"/>
                <w:w w:val="105"/>
                <w:sz w:val="16"/>
              </w:rPr>
              <w:t>of</w:t>
            </w:r>
            <w:r>
              <w:rPr>
                <w:color w:val="FFFFFF"/>
                <w:spacing w:val="4"/>
                <w:w w:val="105"/>
                <w:sz w:val="16"/>
              </w:rPr>
              <w:t> </w:t>
            </w:r>
            <w:r>
              <w:rPr>
                <w:color w:val="FFFFFF"/>
                <w:w w:val="105"/>
                <w:sz w:val="16"/>
              </w:rPr>
              <w:t>Primary</w:t>
            </w:r>
            <w:r>
              <w:rPr>
                <w:color w:val="FFFFFF"/>
                <w:spacing w:val="4"/>
                <w:w w:val="105"/>
                <w:sz w:val="16"/>
              </w:rPr>
              <w:t> </w:t>
            </w:r>
            <w:r>
              <w:rPr>
                <w:color w:val="FFFFFF"/>
                <w:w w:val="105"/>
                <w:sz w:val="16"/>
              </w:rPr>
              <w:t>CNS</w:t>
            </w:r>
            <w:r>
              <w:rPr>
                <w:color w:val="FFFFFF"/>
                <w:spacing w:val="4"/>
                <w:w w:val="105"/>
                <w:sz w:val="16"/>
              </w:rPr>
              <w:t> </w:t>
            </w:r>
            <w:r>
              <w:rPr>
                <w:color w:val="FFFFFF"/>
                <w:w w:val="105"/>
                <w:sz w:val="16"/>
              </w:rPr>
              <w:t>Vasculitis</w:t>
            </w:r>
            <w:r>
              <w:rPr>
                <w:color w:val="FFFFFF"/>
                <w:spacing w:val="4"/>
                <w:w w:val="105"/>
                <w:sz w:val="16"/>
              </w:rPr>
              <w:t> </w:t>
            </w:r>
            <w:r>
              <w:rPr>
                <w:color w:val="FFFFFF"/>
                <w:w w:val="105"/>
                <w:sz w:val="16"/>
              </w:rPr>
              <w:t>and</w:t>
            </w:r>
            <w:r>
              <w:rPr>
                <w:color w:val="FFFFFF"/>
                <w:spacing w:val="4"/>
                <w:w w:val="105"/>
                <w:sz w:val="16"/>
              </w:rPr>
              <w:t> </w:t>
            </w:r>
            <w:r>
              <w:rPr>
                <w:color w:val="FFFFFF"/>
                <w:w w:val="105"/>
                <w:sz w:val="16"/>
              </w:rPr>
              <w:t>Reversible</w:t>
            </w:r>
            <w:r>
              <w:rPr>
                <w:color w:val="FFFFFF"/>
                <w:spacing w:val="4"/>
                <w:w w:val="105"/>
                <w:sz w:val="16"/>
              </w:rPr>
              <w:t> </w:t>
            </w:r>
            <w:r>
              <w:rPr>
                <w:color w:val="FFFFFF"/>
                <w:w w:val="105"/>
                <w:sz w:val="16"/>
              </w:rPr>
              <w:t>Cerebral</w:t>
            </w:r>
            <w:r>
              <w:rPr>
                <w:color w:val="FFFFFF"/>
                <w:spacing w:val="4"/>
                <w:w w:val="105"/>
                <w:sz w:val="16"/>
              </w:rPr>
              <w:t> </w:t>
            </w:r>
            <w:r>
              <w:rPr>
                <w:color w:val="FFFFFF"/>
                <w:w w:val="105"/>
                <w:sz w:val="16"/>
              </w:rPr>
              <w:t>Vasoconstriction</w:t>
            </w:r>
            <w:r>
              <w:rPr>
                <w:color w:val="FFFFFF"/>
                <w:spacing w:val="3"/>
                <w:w w:val="105"/>
                <w:sz w:val="16"/>
              </w:rPr>
              <w:t> </w:t>
            </w:r>
            <w:r>
              <w:rPr>
                <w:color w:val="FFFFFF"/>
                <w:spacing w:val="-2"/>
                <w:w w:val="105"/>
                <w:sz w:val="16"/>
              </w:rPr>
              <w:t>Syndrome</w:t>
            </w:r>
          </w:p>
        </w:tc>
      </w:tr>
      <w:tr>
        <w:trPr>
          <w:trHeight w:val="257" w:hRule="atLeast"/>
        </w:trPr>
        <w:tc>
          <w:tcPr>
            <w:tcW w:w="1635" w:type="dxa"/>
            <w:gridSpan w:val="2"/>
            <w:tcBorders>
              <w:bottom w:val="single" w:sz="4" w:space="0" w:color="231F20"/>
            </w:tcBorders>
            <w:shd w:val="clear" w:color="auto" w:fill="E8F5F1"/>
          </w:tcPr>
          <w:p>
            <w:pPr>
              <w:pStyle w:val="TableParagraph"/>
              <w:rPr>
                <w:rFonts w:ascii="Times New Roman"/>
                <w:sz w:val="14"/>
              </w:rPr>
            </w:pPr>
          </w:p>
        </w:tc>
        <w:tc>
          <w:tcPr>
            <w:tcW w:w="4643" w:type="dxa"/>
            <w:tcBorders>
              <w:bottom w:val="single" w:sz="4" w:space="0" w:color="231F20"/>
            </w:tcBorders>
            <w:shd w:val="clear" w:color="auto" w:fill="E8F5F1"/>
          </w:tcPr>
          <w:p>
            <w:pPr>
              <w:pStyle w:val="TableParagraph"/>
              <w:spacing w:before="47"/>
              <w:ind w:right="1"/>
              <w:jc w:val="center"/>
              <w:rPr>
                <w:b/>
                <w:sz w:val="15"/>
              </w:rPr>
            </w:pPr>
            <w:r>
              <w:rPr>
                <w:b/>
                <w:color w:val="231F20"/>
                <w:spacing w:val="-2"/>
                <w:w w:val="115"/>
                <w:sz w:val="15"/>
              </w:rPr>
              <w:t>PCNSV</w:t>
            </w:r>
          </w:p>
        </w:tc>
        <w:tc>
          <w:tcPr>
            <w:tcW w:w="3464" w:type="dxa"/>
            <w:tcBorders>
              <w:bottom w:val="single" w:sz="4" w:space="0" w:color="231F20"/>
            </w:tcBorders>
            <w:shd w:val="clear" w:color="auto" w:fill="E8F5F1"/>
          </w:tcPr>
          <w:p>
            <w:pPr>
              <w:pStyle w:val="TableParagraph"/>
              <w:spacing w:before="47"/>
              <w:ind w:left="214"/>
              <w:jc w:val="center"/>
              <w:rPr>
                <w:b/>
                <w:sz w:val="15"/>
              </w:rPr>
            </w:pPr>
            <w:r>
              <w:rPr>
                <w:b/>
                <w:color w:val="231F20"/>
                <w:spacing w:val="-4"/>
                <w:w w:val="110"/>
                <w:sz w:val="15"/>
              </w:rPr>
              <w:t>RCVS</w:t>
            </w:r>
          </w:p>
        </w:tc>
      </w:tr>
      <w:tr>
        <w:trPr>
          <w:trHeight w:val="425" w:hRule="atLeast"/>
        </w:trPr>
        <w:tc>
          <w:tcPr>
            <w:tcW w:w="1635"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Precipitating</w:t>
            </w:r>
            <w:r>
              <w:rPr>
                <w:color w:val="231F20"/>
                <w:spacing w:val="1"/>
                <w:sz w:val="15"/>
              </w:rPr>
              <w:t> </w:t>
            </w:r>
            <w:r>
              <w:rPr>
                <w:color w:val="231F20"/>
                <w:spacing w:val="-2"/>
                <w:sz w:val="15"/>
              </w:rPr>
              <w:t>factor</w:t>
            </w:r>
          </w:p>
        </w:tc>
        <w:tc>
          <w:tcPr>
            <w:tcW w:w="4643" w:type="dxa"/>
            <w:tcBorders>
              <w:top w:val="single" w:sz="4" w:space="0" w:color="231F20"/>
              <w:bottom w:val="single" w:sz="4" w:space="0" w:color="FFFFFF"/>
            </w:tcBorders>
            <w:shd w:val="clear" w:color="auto" w:fill="E8F5F1"/>
          </w:tcPr>
          <w:p>
            <w:pPr>
              <w:pStyle w:val="TableParagraph"/>
              <w:spacing w:before="47"/>
              <w:ind w:left="290"/>
              <w:rPr>
                <w:sz w:val="15"/>
              </w:rPr>
            </w:pPr>
            <w:r>
              <w:rPr>
                <w:color w:val="231F20"/>
                <w:spacing w:val="-4"/>
                <w:w w:val="110"/>
                <w:sz w:val="15"/>
              </w:rPr>
              <w:t>None</w:t>
            </w:r>
          </w:p>
        </w:tc>
        <w:tc>
          <w:tcPr>
            <w:tcW w:w="3464" w:type="dxa"/>
            <w:tcBorders>
              <w:top w:val="single" w:sz="4" w:space="0" w:color="231F20"/>
              <w:bottom w:val="single" w:sz="4" w:space="0" w:color="FFFFFF"/>
            </w:tcBorders>
            <w:shd w:val="clear" w:color="auto" w:fill="E8F5F1"/>
          </w:tcPr>
          <w:p>
            <w:pPr>
              <w:pStyle w:val="TableParagraph"/>
              <w:spacing w:line="230" w:lineRule="auto" w:before="52"/>
              <w:ind w:left="402" w:hanging="112"/>
              <w:rPr>
                <w:sz w:val="15"/>
              </w:rPr>
            </w:pPr>
            <w:r>
              <w:rPr>
                <w:color w:val="231F20"/>
                <w:sz w:val="15"/>
              </w:rPr>
              <w:t>Postpartum</w:t>
            </w:r>
            <w:r>
              <w:rPr>
                <w:color w:val="231F20"/>
                <w:spacing w:val="-9"/>
                <w:sz w:val="15"/>
              </w:rPr>
              <w:t> </w:t>
            </w:r>
            <w:r>
              <w:rPr>
                <w:color w:val="231F20"/>
                <w:sz w:val="15"/>
              </w:rPr>
              <w:t>onset</w:t>
            </w:r>
            <w:r>
              <w:rPr>
                <w:color w:val="231F20"/>
                <w:spacing w:val="-9"/>
                <w:sz w:val="15"/>
              </w:rPr>
              <w:t> </w:t>
            </w:r>
            <w:r>
              <w:rPr>
                <w:color w:val="231F20"/>
                <w:sz w:val="15"/>
              </w:rPr>
              <w:t>or</w:t>
            </w:r>
            <w:r>
              <w:rPr>
                <w:color w:val="231F20"/>
                <w:spacing w:val="-9"/>
                <w:sz w:val="15"/>
              </w:rPr>
              <w:t> </w:t>
            </w:r>
            <w:r>
              <w:rPr>
                <w:color w:val="231F20"/>
                <w:sz w:val="15"/>
              </w:rPr>
              <w:t>onset</w:t>
            </w:r>
            <w:r>
              <w:rPr>
                <w:color w:val="231F20"/>
                <w:spacing w:val="-9"/>
                <w:sz w:val="15"/>
              </w:rPr>
              <w:t> </w:t>
            </w:r>
            <w:r>
              <w:rPr>
                <w:color w:val="231F20"/>
                <w:sz w:val="15"/>
              </w:rPr>
              <w:t>after</w:t>
            </w:r>
            <w:r>
              <w:rPr>
                <w:color w:val="231F20"/>
                <w:spacing w:val="-9"/>
                <w:sz w:val="15"/>
              </w:rPr>
              <w:t> </w:t>
            </w:r>
            <w:r>
              <w:rPr>
                <w:color w:val="231F20"/>
                <w:sz w:val="15"/>
              </w:rPr>
              <w:t>exposure</w:t>
            </w:r>
            <w:r>
              <w:rPr>
                <w:color w:val="231F20"/>
                <w:spacing w:val="-9"/>
                <w:sz w:val="15"/>
              </w:rPr>
              <w:t> </w:t>
            </w:r>
            <w:r>
              <w:rPr>
                <w:color w:val="231F20"/>
                <w:sz w:val="15"/>
              </w:rPr>
              <w:t>to vasoactive substances</w:t>
            </w:r>
          </w:p>
        </w:tc>
      </w:tr>
      <w:tr>
        <w:trPr>
          <w:trHeight w:val="252" w:hRule="atLeast"/>
        </w:trPr>
        <w:tc>
          <w:tcPr>
            <w:tcW w:w="163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Onset</w:t>
            </w:r>
          </w:p>
        </w:tc>
        <w:tc>
          <w:tcPr>
            <w:tcW w:w="4643"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More</w:t>
            </w:r>
            <w:r>
              <w:rPr>
                <w:color w:val="231F20"/>
                <w:spacing w:val="5"/>
                <w:sz w:val="15"/>
              </w:rPr>
              <w:t> </w:t>
            </w:r>
            <w:r>
              <w:rPr>
                <w:color w:val="231F20"/>
                <w:sz w:val="15"/>
              </w:rPr>
              <w:t>insidious,</w:t>
            </w:r>
            <w:r>
              <w:rPr>
                <w:color w:val="231F20"/>
                <w:spacing w:val="6"/>
                <w:sz w:val="15"/>
              </w:rPr>
              <w:t> </w:t>
            </w:r>
            <w:r>
              <w:rPr>
                <w:color w:val="231F20"/>
                <w:sz w:val="15"/>
              </w:rPr>
              <w:t>progressive</w:t>
            </w:r>
            <w:r>
              <w:rPr>
                <w:color w:val="231F20"/>
                <w:spacing w:val="6"/>
                <w:sz w:val="15"/>
              </w:rPr>
              <w:t> </w:t>
            </w:r>
            <w:r>
              <w:rPr>
                <w:color w:val="231F20"/>
                <w:spacing w:val="-2"/>
                <w:sz w:val="15"/>
              </w:rPr>
              <w:t>course</w:t>
            </w:r>
          </w:p>
        </w:tc>
        <w:tc>
          <w:tcPr>
            <w:tcW w:w="3464"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Acute</w:t>
            </w:r>
            <w:r>
              <w:rPr>
                <w:color w:val="231F20"/>
                <w:spacing w:val="1"/>
                <w:sz w:val="15"/>
              </w:rPr>
              <w:t> </w:t>
            </w:r>
            <w:r>
              <w:rPr>
                <w:color w:val="231F20"/>
                <w:sz w:val="15"/>
              </w:rPr>
              <w:t>onset</w:t>
            </w:r>
            <w:r>
              <w:rPr>
                <w:color w:val="231F20"/>
                <w:spacing w:val="2"/>
                <w:sz w:val="15"/>
              </w:rPr>
              <w:t> </w:t>
            </w:r>
            <w:r>
              <w:rPr>
                <w:color w:val="231F20"/>
                <w:sz w:val="15"/>
              </w:rPr>
              <w:t>followed</w:t>
            </w:r>
            <w:r>
              <w:rPr>
                <w:color w:val="231F20"/>
                <w:spacing w:val="2"/>
                <w:sz w:val="15"/>
              </w:rPr>
              <w:t> </w:t>
            </w:r>
            <w:r>
              <w:rPr>
                <w:color w:val="231F20"/>
                <w:sz w:val="15"/>
              </w:rPr>
              <w:t>by</w:t>
            </w:r>
            <w:r>
              <w:rPr>
                <w:color w:val="231F20"/>
                <w:spacing w:val="1"/>
                <w:sz w:val="15"/>
              </w:rPr>
              <w:t> </w:t>
            </w:r>
            <w:r>
              <w:rPr>
                <w:color w:val="231F20"/>
                <w:sz w:val="15"/>
              </w:rPr>
              <w:t>a</w:t>
            </w:r>
            <w:r>
              <w:rPr>
                <w:color w:val="231F20"/>
                <w:spacing w:val="2"/>
                <w:sz w:val="15"/>
              </w:rPr>
              <w:t> </w:t>
            </w:r>
            <w:r>
              <w:rPr>
                <w:color w:val="231F20"/>
                <w:sz w:val="15"/>
              </w:rPr>
              <w:t>monophasic</w:t>
            </w:r>
            <w:r>
              <w:rPr>
                <w:color w:val="231F20"/>
                <w:spacing w:val="2"/>
                <w:sz w:val="15"/>
              </w:rPr>
              <w:t> </w:t>
            </w:r>
            <w:r>
              <w:rPr>
                <w:color w:val="231F20"/>
                <w:spacing w:val="-2"/>
                <w:sz w:val="15"/>
              </w:rPr>
              <w:t>course</w:t>
            </w:r>
          </w:p>
        </w:tc>
      </w:tr>
      <w:tr>
        <w:trPr>
          <w:trHeight w:val="252" w:hRule="atLeast"/>
        </w:trPr>
        <w:tc>
          <w:tcPr>
            <w:tcW w:w="163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Headaches</w:t>
            </w:r>
          </w:p>
        </w:tc>
        <w:tc>
          <w:tcPr>
            <w:tcW w:w="4643"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Chronic</w:t>
            </w:r>
            <w:r>
              <w:rPr>
                <w:color w:val="231F20"/>
                <w:spacing w:val="7"/>
                <w:sz w:val="15"/>
              </w:rPr>
              <w:t> </w:t>
            </w:r>
            <w:r>
              <w:rPr>
                <w:color w:val="231F20"/>
                <w:sz w:val="15"/>
              </w:rPr>
              <w:t>and</w:t>
            </w:r>
            <w:r>
              <w:rPr>
                <w:color w:val="231F20"/>
                <w:spacing w:val="7"/>
                <w:sz w:val="15"/>
              </w:rPr>
              <w:t> </w:t>
            </w:r>
            <w:r>
              <w:rPr>
                <w:color w:val="231F20"/>
                <w:spacing w:val="-2"/>
                <w:sz w:val="15"/>
              </w:rPr>
              <w:t>progressive</w:t>
            </w:r>
          </w:p>
        </w:tc>
        <w:tc>
          <w:tcPr>
            <w:tcW w:w="3464"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pacing w:val="-2"/>
                <w:sz w:val="15"/>
              </w:rPr>
              <w:t>Acute,</w:t>
            </w:r>
            <w:r>
              <w:rPr>
                <w:color w:val="231F20"/>
                <w:spacing w:val="3"/>
                <w:sz w:val="15"/>
              </w:rPr>
              <w:t> </w:t>
            </w:r>
            <w:r>
              <w:rPr>
                <w:color w:val="231F20"/>
                <w:spacing w:val="-2"/>
                <w:sz w:val="15"/>
              </w:rPr>
              <w:t>thunderclap</w:t>
            </w:r>
            <w:r>
              <w:rPr>
                <w:color w:val="231F20"/>
                <w:spacing w:val="3"/>
                <w:sz w:val="15"/>
              </w:rPr>
              <w:t> </w:t>
            </w:r>
            <w:r>
              <w:rPr>
                <w:color w:val="231F20"/>
                <w:spacing w:val="-4"/>
                <w:sz w:val="15"/>
              </w:rPr>
              <w:t>type</w:t>
            </w:r>
          </w:p>
        </w:tc>
      </w:tr>
      <w:tr>
        <w:trPr>
          <w:trHeight w:val="252" w:hRule="atLeast"/>
        </w:trPr>
        <w:tc>
          <w:tcPr>
            <w:tcW w:w="163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CSF</w:t>
            </w:r>
            <w:r>
              <w:rPr>
                <w:color w:val="231F20"/>
                <w:spacing w:val="15"/>
                <w:w w:val="105"/>
                <w:sz w:val="15"/>
              </w:rPr>
              <w:t> </w:t>
            </w:r>
            <w:r>
              <w:rPr>
                <w:color w:val="231F20"/>
                <w:spacing w:val="-2"/>
                <w:w w:val="105"/>
                <w:sz w:val="15"/>
              </w:rPr>
              <w:t>findings</w:t>
            </w:r>
          </w:p>
        </w:tc>
        <w:tc>
          <w:tcPr>
            <w:tcW w:w="4643"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Abnormal</w:t>
            </w:r>
            <w:r>
              <w:rPr>
                <w:color w:val="231F20"/>
                <w:spacing w:val="-6"/>
                <w:sz w:val="15"/>
              </w:rPr>
              <w:t> </w:t>
            </w:r>
            <w:r>
              <w:rPr>
                <w:color w:val="231F20"/>
                <w:sz w:val="15"/>
              </w:rPr>
              <w:t>(leucocytosis</w:t>
            </w:r>
            <w:r>
              <w:rPr>
                <w:color w:val="231F20"/>
                <w:spacing w:val="-5"/>
                <w:sz w:val="15"/>
              </w:rPr>
              <w:t> </w:t>
            </w:r>
            <w:r>
              <w:rPr>
                <w:color w:val="231F20"/>
                <w:sz w:val="15"/>
              </w:rPr>
              <w:t>and</w:t>
            </w:r>
            <w:r>
              <w:rPr>
                <w:color w:val="231F20"/>
                <w:spacing w:val="-6"/>
                <w:sz w:val="15"/>
              </w:rPr>
              <w:t> </w:t>
            </w:r>
            <w:r>
              <w:rPr>
                <w:color w:val="231F20"/>
                <w:sz w:val="15"/>
              </w:rPr>
              <w:t>high</w:t>
            </w:r>
            <w:r>
              <w:rPr>
                <w:color w:val="231F20"/>
                <w:spacing w:val="-5"/>
                <w:sz w:val="15"/>
              </w:rPr>
              <w:t> </w:t>
            </w:r>
            <w:r>
              <w:rPr>
                <w:color w:val="231F20"/>
                <w:sz w:val="15"/>
              </w:rPr>
              <w:t>total</w:t>
            </w:r>
            <w:r>
              <w:rPr>
                <w:color w:val="231F20"/>
                <w:spacing w:val="-6"/>
                <w:sz w:val="15"/>
              </w:rPr>
              <w:t> </w:t>
            </w:r>
            <w:r>
              <w:rPr>
                <w:color w:val="231F20"/>
                <w:sz w:val="15"/>
              </w:rPr>
              <w:t>protein</w:t>
            </w:r>
            <w:r>
              <w:rPr>
                <w:color w:val="231F20"/>
                <w:spacing w:val="-5"/>
                <w:sz w:val="15"/>
              </w:rPr>
              <w:t> </w:t>
            </w:r>
            <w:r>
              <w:rPr>
                <w:color w:val="231F20"/>
                <w:spacing w:val="-2"/>
                <w:sz w:val="15"/>
              </w:rPr>
              <w:t>concentration)</w:t>
            </w:r>
          </w:p>
        </w:tc>
        <w:tc>
          <w:tcPr>
            <w:tcW w:w="3464"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Normal to near </w:t>
            </w:r>
            <w:r>
              <w:rPr>
                <w:color w:val="231F20"/>
                <w:spacing w:val="-2"/>
                <w:sz w:val="15"/>
              </w:rPr>
              <w:t>normal</w:t>
            </w:r>
          </w:p>
        </w:tc>
      </w:tr>
      <w:tr>
        <w:trPr>
          <w:trHeight w:val="252" w:hRule="atLeast"/>
        </w:trPr>
        <w:tc>
          <w:tcPr>
            <w:tcW w:w="163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w w:val="110"/>
                <w:sz w:val="15"/>
              </w:rPr>
              <w:t>MRI</w:t>
            </w:r>
          </w:p>
        </w:tc>
        <w:tc>
          <w:tcPr>
            <w:tcW w:w="4643"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Abnormal</w:t>
            </w:r>
            <w:r>
              <w:rPr>
                <w:color w:val="231F20"/>
                <w:spacing w:val="-5"/>
                <w:sz w:val="15"/>
              </w:rPr>
              <w:t> </w:t>
            </w:r>
            <w:r>
              <w:rPr>
                <w:color w:val="231F20"/>
                <w:sz w:val="15"/>
              </w:rPr>
              <w:t>in</w:t>
            </w:r>
            <w:r>
              <w:rPr>
                <w:color w:val="231F20"/>
                <w:spacing w:val="-4"/>
                <w:sz w:val="15"/>
              </w:rPr>
              <w:t> </w:t>
            </w:r>
            <w:r>
              <w:rPr>
                <w:color w:val="231F20"/>
                <w:sz w:val="15"/>
              </w:rPr>
              <w:t>almost</w:t>
            </w:r>
            <w:r>
              <w:rPr>
                <w:color w:val="231F20"/>
                <w:spacing w:val="-4"/>
                <w:sz w:val="15"/>
              </w:rPr>
              <w:t> </w:t>
            </w:r>
            <w:r>
              <w:rPr>
                <w:color w:val="231F20"/>
                <w:sz w:val="15"/>
              </w:rPr>
              <w:t>all</w:t>
            </w:r>
            <w:r>
              <w:rPr>
                <w:color w:val="231F20"/>
                <w:spacing w:val="-4"/>
                <w:sz w:val="15"/>
              </w:rPr>
              <w:t> </w:t>
            </w:r>
            <w:r>
              <w:rPr>
                <w:color w:val="231F20"/>
                <w:spacing w:val="-2"/>
                <w:sz w:val="15"/>
              </w:rPr>
              <w:t>patients</w:t>
            </w:r>
          </w:p>
        </w:tc>
        <w:tc>
          <w:tcPr>
            <w:tcW w:w="3464"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Normal</w:t>
            </w:r>
            <w:r>
              <w:rPr>
                <w:color w:val="231F20"/>
                <w:spacing w:val="7"/>
                <w:sz w:val="15"/>
              </w:rPr>
              <w:t> </w:t>
            </w:r>
            <w:r>
              <w:rPr>
                <w:color w:val="231F20"/>
                <w:sz w:val="15"/>
              </w:rPr>
              <w:t>in</w:t>
            </w:r>
            <w:r>
              <w:rPr>
                <w:color w:val="231F20"/>
                <w:spacing w:val="8"/>
                <w:sz w:val="15"/>
              </w:rPr>
              <w:t> </w:t>
            </w:r>
            <w:r>
              <w:rPr>
                <w:color w:val="231F20"/>
                <w:sz w:val="15"/>
              </w:rPr>
              <w:t>70%</w:t>
            </w:r>
            <w:r>
              <w:rPr>
                <w:color w:val="231F20"/>
                <w:spacing w:val="7"/>
                <w:sz w:val="15"/>
              </w:rPr>
              <w:t> </w:t>
            </w:r>
            <w:r>
              <w:rPr>
                <w:color w:val="231F20"/>
                <w:sz w:val="15"/>
              </w:rPr>
              <w:t>of</w:t>
            </w:r>
            <w:r>
              <w:rPr>
                <w:color w:val="231F20"/>
                <w:spacing w:val="8"/>
                <w:sz w:val="15"/>
              </w:rPr>
              <w:t> </w:t>
            </w:r>
            <w:r>
              <w:rPr>
                <w:color w:val="231F20"/>
                <w:spacing w:val="-2"/>
                <w:sz w:val="15"/>
              </w:rPr>
              <w:t>patients</w:t>
            </w:r>
          </w:p>
        </w:tc>
      </w:tr>
      <w:tr>
        <w:trPr>
          <w:trHeight w:val="756" w:hRule="atLeast"/>
        </w:trPr>
        <w:tc>
          <w:tcPr>
            <w:tcW w:w="163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05"/>
                <w:sz w:val="15"/>
              </w:rPr>
              <w:t>Angiography</w:t>
            </w:r>
          </w:p>
        </w:tc>
        <w:tc>
          <w:tcPr>
            <w:tcW w:w="4643" w:type="dxa"/>
            <w:tcBorders>
              <w:top w:val="single" w:sz="4" w:space="0" w:color="FFFFFF"/>
              <w:bottom w:val="single" w:sz="4" w:space="0" w:color="FFFFFF"/>
            </w:tcBorders>
            <w:shd w:val="clear" w:color="auto" w:fill="E8F5F1"/>
          </w:tcPr>
          <w:p>
            <w:pPr>
              <w:pStyle w:val="TableParagraph"/>
              <w:spacing w:line="230" w:lineRule="auto" w:before="48"/>
              <w:ind w:left="402" w:right="404" w:hanging="112"/>
              <w:rPr>
                <w:sz w:val="15"/>
              </w:rPr>
            </w:pPr>
            <w:r>
              <w:rPr>
                <w:color w:val="231F20"/>
                <w:sz w:val="15"/>
              </w:rPr>
              <w:t>Possibly</w:t>
            </w:r>
            <w:r>
              <w:rPr>
                <w:color w:val="231F20"/>
                <w:spacing w:val="-12"/>
                <w:sz w:val="15"/>
              </w:rPr>
              <w:t> </w:t>
            </w:r>
            <w:r>
              <w:rPr>
                <w:color w:val="231F20"/>
                <w:sz w:val="15"/>
              </w:rPr>
              <w:t>normal;</w:t>
            </w:r>
            <w:r>
              <w:rPr>
                <w:color w:val="231F20"/>
                <w:spacing w:val="-11"/>
                <w:sz w:val="15"/>
              </w:rPr>
              <w:t> </w:t>
            </w:r>
            <w:r>
              <w:rPr>
                <w:color w:val="231F20"/>
                <w:sz w:val="15"/>
              </w:rPr>
              <w:t>otherwise,</w:t>
            </w:r>
            <w:r>
              <w:rPr>
                <w:color w:val="231F20"/>
                <w:spacing w:val="-11"/>
                <w:sz w:val="15"/>
              </w:rPr>
              <w:t> </w:t>
            </w:r>
            <w:r>
              <w:rPr>
                <w:color w:val="231F20"/>
                <w:sz w:val="15"/>
              </w:rPr>
              <w:t>diffuse</w:t>
            </w:r>
            <w:r>
              <w:rPr>
                <w:color w:val="231F20"/>
                <w:spacing w:val="-12"/>
                <w:sz w:val="15"/>
              </w:rPr>
              <w:t> </w:t>
            </w:r>
            <w:r>
              <w:rPr>
                <w:color w:val="231F20"/>
                <w:sz w:val="15"/>
              </w:rPr>
              <w:t>abnormalities</w:t>
            </w:r>
            <w:r>
              <w:rPr>
                <w:color w:val="231F20"/>
                <w:spacing w:val="-11"/>
                <w:sz w:val="15"/>
              </w:rPr>
              <w:t> </w:t>
            </w:r>
            <w:r>
              <w:rPr>
                <w:color w:val="231F20"/>
                <w:sz w:val="15"/>
              </w:rPr>
              <w:t>are</w:t>
            </w:r>
            <w:r>
              <w:rPr>
                <w:color w:val="231F20"/>
                <w:spacing w:val="-11"/>
                <w:sz w:val="15"/>
              </w:rPr>
              <w:t> </w:t>
            </w:r>
            <w:r>
              <w:rPr>
                <w:color w:val="231F20"/>
                <w:sz w:val="15"/>
              </w:rPr>
              <w:t>often indistinguishable from RCVS; irregular and asymmetrical arterial stenoses or multiple occlusions are more suggestive</w:t>
            </w:r>
            <w:r>
              <w:rPr>
                <w:color w:val="231F20"/>
                <w:spacing w:val="-5"/>
                <w:sz w:val="15"/>
              </w:rPr>
              <w:t> </w:t>
            </w:r>
            <w:r>
              <w:rPr>
                <w:color w:val="231F20"/>
                <w:sz w:val="15"/>
              </w:rPr>
              <w:t>of</w:t>
            </w:r>
            <w:r>
              <w:rPr>
                <w:color w:val="231F20"/>
                <w:spacing w:val="-5"/>
                <w:sz w:val="15"/>
              </w:rPr>
              <w:t> </w:t>
            </w:r>
            <w:r>
              <w:rPr>
                <w:color w:val="231F20"/>
                <w:sz w:val="15"/>
              </w:rPr>
              <w:t>PCNSV;</w:t>
            </w:r>
            <w:r>
              <w:rPr>
                <w:color w:val="231F20"/>
                <w:spacing w:val="-5"/>
                <w:sz w:val="15"/>
              </w:rPr>
              <w:t> </w:t>
            </w:r>
            <w:r>
              <w:rPr>
                <w:color w:val="231F20"/>
                <w:sz w:val="15"/>
              </w:rPr>
              <w:t>abnormalities</w:t>
            </w:r>
            <w:r>
              <w:rPr>
                <w:color w:val="231F20"/>
                <w:spacing w:val="-5"/>
                <w:sz w:val="15"/>
              </w:rPr>
              <w:t> </w:t>
            </w:r>
            <w:r>
              <w:rPr>
                <w:color w:val="231F20"/>
                <w:sz w:val="15"/>
              </w:rPr>
              <w:t>might</w:t>
            </w:r>
            <w:r>
              <w:rPr>
                <w:color w:val="231F20"/>
                <w:spacing w:val="-5"/>
                <w:sz w:val="15"/>
              </w:rPr>
              <w:t> </w:t>
            </w:r>
            <w:r>
              <w:rPr>
                <w:color w:val="231F20"/>
                <w:sz w:val="15"/>
              </w:rPr>
              <w:t>be</w:t>
            </w:r>
            <w:r>
              <w:rPr>
                <w:color w:val="231F20"/>
                <w:spacing w:val="-5"/>
                <w:sz w:val="15"/>
              </w:rPr>
              <w:t> </w:t>
            </w:r>
            <w:r>
              <w:rPr>
                <w:color w:val="231F20"/>
                <w:sz w:val="15"/>
              </w:rPr>
              <w:t>irreversible</w:t>
            </w:r>
          </w:p>
        </w:tc>
        <w:tc>
          <w:tcPr>
            <w:tcW w:w="3464" w:type="dxa"/>
            <w:tcBorders>
              <w:top w:val="single" w:sz="4" w:space="0" w:color="FFFFFF"/>
              <w:bottom w:val="single" w:sz="4" w:space="0" w:color="FFFFFF"/>
            </w:tcBorders>
            <w:shd w:val="clear" w:color="auto" w:fill="E8F5F1"/>
          </w:tcPr>
          <w:p>
            <w:pPr>
              <w:pStyle w:val="TableParagraph"/>
              <w:spacing w:line="230" w:lineRule="auto" w:before="48"/>
              <w:ind w:left="402" w:right="124" w:hanging="112"/>
              <w:rPr>
                <w:sz w:val="15"/>
              </w:rPr>
            </w:pPr>
            <w:r>
              <w:rPr>
                <w:color w:val="231F20"/>
                <w:sz w:val="15"/>
              </w:rPr>
              <w:t>Always abnormal, strings of beads appearance of cerebral arteries; </w:t>
            </w:r>
            <w:r>
              <w:rPr>
                <w:color w:val="231F20"/>
                <w:spacing w:val="-2"/>
                <w:sz w:val="15"/>
              </w:rPr>
              <w:t>abnormalities</w:t>
            </w:r>
            <w:r>
              <w:rPr>
                <w:color w:val="231F20"/>
                <w:spacing w:val="-10"/>
                <w:sz w:val="15"/>
              </w:rPr>
              <w:t> </w:t>
            </w:r>
            <w:r>
              <w:rPr>
                <w:color w:val="231F20"/>
                <w:spacing w:val="-2"/>
                <w:sz w:val="15"/>
              </w:rPr>
              <w:t>reversible</w:t>
            </w:r>
            <w:r>
              <w:rPr>
                <w:color w:val="231F20"/>
                <w:spacing w:val="-9"/>
                <w:sz w:val="15"/>
              </w:rPr>
              <w:t> </w:t>
            </w:r>
            <w:r>
              <w:rPr>
                <w:color w:val="231F20"/>
                <w:spacing w:val="-2"/>
                <w:sz w:val="15"/>
              </w:rPr>
              <w:t>within</w:t>
            </w:r>
            <w:r>
              <w:rPr>
                <w:color w:val="231F20"/>
                <w:spacing w:val="-9"/>
                <w:sz w:val="15"/>
              </w:rPr>
              <w:t> </w:t>
            </w:r>
            <w:r>
              <w:rPr>
                <w:color w:val="231F20"/>
                <w:spacing w:val="-2"/>
                <w:sz w:val="15"/>
              </w:rPr>
              <w:t>6-12</w:t>
            </w:r>
            <w:r>
              <w:rPr>
                <w:color w:val="231F20"/>
                <w:spacing w:val="-10"/>
                <w:sz w:val="15"/>
              </w:rPr>
              <w:t> </w:t>
            </w:r>
            <w:r>
              <w:rPr>
                <w:color w:val="231F20"/>
                <w:spacing w:val="-2"/>
                <w:sz w:val="15"/>
              </w:rPr>
              <w:t>wk</w:t>
            </w:r>
          </w:p>
        </w:tc>
      </w:tr>
      <w:tr>
        <w:trPr>
          <w:trHeight w:val="252" w:hRule="atLeast"/>
        </w:trPr>
        <w:tc>
          <w:tcPr>
            <w:tcW w:w="163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Cerebral</w:t>
            </w:r>
            <w:r>
              <w:rPr>
                <w:color w:val="231F20"/>
                <w:spacing w:val="-5"/>
                <w:sz w:val="15"/>
              </w:rPr>
              <w:t> </w:t>
            </w:r>
            <w:r>
              <w:rPr>
                <w:color w:val="231F20"/>
                <w:spacing w:val="-2"/>
                <w:sz w:val="15"/>
              </w:rPr>
              <w:t>biopsy</w:t>
            </w:r>
          </w:p>
        </w:tc>
        <w:tc>
          <w:tcPr>
            <w:tcW w:w="4643" w:type="dxa"/>
            <w:tcBorders>
              <w:top w:val="single" w:sz="4" w:space="0" w:color="FFFFFF"/>
              <w:bottom w:val="single" w:sz="4" w:space="0" w:color="FFFFFF"/>
            </w:tcBorders>
            <w:shd w:val="clear" w:color="auto" w:fill="E8F5F1"/>
          </w:tcPr>
          <w:p>
            <w:pPr>
              <w:pStyle w:val="TableParagraph"/>
              <w:spacing w:before="42"/>
              <w:ind w:left="291"/>
              <w:rPr>
                <w:sz w:val="15"/>
              </w:rPr>
            </w:pPr>
            <w:r>
              <w:rPr>
                <w:color w:val="231F20"/>
                <w:spacing w:val="-2"/>
                <w:sz w:val="15"/>
              </w:rPr>
              <w:t>Vasculitis</w:t>
            </w:r>
          </w:p>
        </w:tc>
        <w:tc>
          <w:tcPr>
            <w:tcW w:w="3464" w:type="dxa"/>
            <w:tcBorders>
              <w:top w:val="single" w:sz="4" w:space="0" w:color="FFFFFF"/>
              <w:bottom w:val="single" w:sz="4" w:space="0" w:color="FFFFFF"/>
            </w:tcBorders>
            <w:shd w:val="clear" w:color="auto" w:fill="E8F5F1"/>
          </w:tcPr>
          <w:p>
            <w:pPr>
              <w:pStyle w:val="TableParagraph"/>
              <w:spacing w:before="42"/>
              <w:ind w:left="290"/>
              <w:rPr>
                <w:sz w:val="15"/>
              </w:rPr>
            </w:pPr>
            <w:r>
              <w:rPr>
                <w:color w:val="231F20"/>
                <w:sz w:val="15"/>
              </w:rPr>
              <w:t>No</w:t>
            </w:r>
            <w:r>
              <w:rPr>
                <w:color w:val="231F20"/>
                <w:spacing w:val="-8"/>
                <w:sz w:val="15"/>
              </w:rPr>
              <w:t> </w:t>
            </w:r>
            <w:r>
              <w:rPr>
                <w:color w:val="231F20"/>
                <w:sz w:val="15"/>
              </w:rPr>
              <w:t>vasculitic</w:t>
            </w:r>
            <w:r>
              <w:rPr>
                <w:color w:val="231F20"/>
                <w:spacing w:val="-7"/>
                <w:sz w:val="15"/>
              </w:rPr>
              <w:t> </w:t>
            </w:r>
            <w:r>
              <w:rPr>
                <w:color w:val="231F20"/>
                <w:spacing w:val="-2"/>
                <w:sz w:val="15"/>
              </w:rPr>
              <w:t>changes</w:t>
            </w:r>
          </w:p>
        </w:tc>
      </w:tr>
      <w:tr>
        <w:trPr>
          <w:trHeight w:val="247" w:hRule="atLeast"/>
        </w:trPr>
        <w:tc>
          <w:tcPr>
            <w:tcW w:w="1635"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Drug</w:t>
            </w:r>
            <w:r>
              <w:rPr>
                <w:color w:val="231F20"/>
                <w:spacing w:val="25"/>
                <w:sz w:val="15"/>
              </w:rPr>
              <w:t> </w:t>
            </w:r>
            <w:r>
              <w:rPr>
                <w:color w:val="231F20"/>
                <w:spacing w:val="-2"/>
                <w:sz w:val="15"/>
              </w:rPr>
              <w:t>treatment</w:t>
            </w:r>
          </w:p>
        </w:tc>
        <w:tc>
          <w:tcPr>
            <w:tcW w:w="4643" w:type="dxa"/>
            <w:tcBorders>
              <w:top w:val="single" w:sz="4" w:space="0" w:color="FFFFFF"/>
              <w:bottom w:val="single" w:sz="8" w:space="0" w:color="231F20"/>
            </w:tcBorders>
            <w:shd w:val="clear" w:color="auto" w:fill="E8F5F1"/>
          </w:tcPr>
          <w:p>
            <w:pPr>
              <w:pStyle w:val="TableParagraph"/>
              <w:spacing w:before="42"/>
              <w:ind w:left="291"/>
              <w:rPr>
                <w:sz w:val="15"/>
              </w:rPr>
            </w:pPr>
            <w:r>
              <w:rPr>
                <w:color w:val="231F20"/>
                <w:spacing w:val="-2"/>
                <w:sz w:val="15"/>
              </w:rPr>
              <w:t>Prednisone</w:t>
            </w:r>
            <w:r>
              <w:rPr>
                <w:color w:val="231F20"/>
                <w:sz w:val="15"/>
              </w:rPr>
              <w:t> </w:t>
            </w:r>
            <w:r>
              <w:rPr>
                <w:color w:val="231F20"/>
                <w:spacing w:val="-2"/>
                <w:sz w:val="15"/>
              </w:rPr>
              <w:t>with</w:t>
            </w:r>
            <w:r>
              <w:rPr>
                <w:color w:val="231F20"/>
                <w:sz w:val="15"/>
              </w:rPr>
              <w:t> </w:t>
            </w:r>
            <w:r>
              <w:rPr>
                <w:color w:val="231F20"/>
                <w:spacing w:val="-2"/>
                <w:sz w:val="15"/>
              </w:rPr>
              <w:t>or</w:t>
            </w:r>
            <w:r>
              <w:rPr>
                <w:color w:val="231F20"/>
                <w:sz w:val="15"/>
              </w:rPr>
              <w:t> </w:t>
            </w:r>
            <w:r>
              <w:rPr>
                <w:color w:val="231F20"/>
                <w:spacing w:val="-2"/>
                <w:sz w:val="15"/>
              </w:rPr>
              <w:t>without</w:t>
            </w:r>
            <w:r>
              <w:rPr>
                <w:color w:val="231F20"/>
                <w:sz w:val="15"/>
              </w:rPr>
              <w:t> </w:t>
            </w:r>
            <w:r>
              <w:rPr>
                <w:color w:val="231F20"/>
                <w:spacing w:val="-2"/>
                <w:sz w:val="15"/>
              </w:rPr>
              <w:t>cytotoxic</w:t>
            </w:r>
            <w:r>
              <w:rPr>
                <w:color w:val="231F20"/>
                <w:sz w:val="15"/>
              </w:rPr>
              <w:t> </w:t>
            </w:r>
            <w:r>
              <w:rPr>
                <w:color w:val="231F20"/>
                <w:spacing w:val="-2"/>
                <w:sz w:val="15"/>
              </w:rPr>
              <w:t>agents</w:t>
            </w:r>
          </w:p>
        </w:tc>
        <w:tc>
          <w:tcPr>
            <w:tcW w:w="3464" w:type="dxa"/>
            <w:tcBorders>
              <w:top w:val="single" w:sz="4" w:space="0" w:color="FFFFFF"/>
              <w:bottom w:val="single" w:sz="8" w:space="0" w:color="231F20"/>
            </w:tcBorders>
            <w:shd w:val="clear" w:color="auto" w:fill="E8F5F1"/>
          </w:tcPr>
          <w:p>
            <w:pPr>
              <w:pStyle w:val="TableParagraph"/>
              <w:spacing w:before="42"/>
              <w:ind w:left="290"/>
              <w:rPr>
                <w:sz w:val="15"/>
              </w:rPr>
            </w:pPr>
            <w:r>
              <w:rPr>
                <w:color w:val="231F20"/>
                <w:spacing w:val="-2"/>
                <w:w w:val="105"/>
                <w:sz w:val="15"/>
              </w:rPr>
              <w:t>Nimodipine</w:t>
            </w:r>
          </w:p>
        </w:tc>
      </w:tr>
    </w:tbl>
    <w:p>
      <w:pPr>
        <w:pStyle w:val="BodyText"/>
        <w:spacing w:line="150" w:lineRule="exact" w:before="79"/>
        <w:ind w:left="726"/>
      </w:pPr>
      <w:r>
        <w:rPr>
          <w:color w:val="231F20"/>
        </w:rPr>
        <w:t>CSF,</w:t>
      </w:r>
      <w:r>
        <w:rPr>
          <w:color w:val="231F20"/>
          <w:spacing w:val="-2"/>
        </w:rPr>
        <w:t> </w:t>
      </w:r>
      <w:r>
        <w:rPr>
          <w:color w:val="231F20"/>
        </w:rPr>
        <w:t>cerebrospinal</w:t>
      </w:r>
      <w:r>
        <w:rPr>
          <w:color w:val="231F20"/>
          <w:spacing w:val="-2"/>
        </w:rPr>
        <w:t> </w:t>
      </w:r>
      <w:r>
        <w:rPr>
          <w:color w:val="231F20"/>
        </w:rPr>
        <w:t>fluid;</w:t>
      </w:r>
      <w:r>
        <w:rPr>
          <w:color w:val="231F20"/>
          <w:spacing w:val="-2"/>
        </w:rPr>
        <w:t> </w:t>
      </w:r>
      <w:r>
        <w:rPr>
          <w:color w:val="231F20"/>
        </w:rPr>
        <w:t>PCNSV,</w:t>
      </w:r>
      <w:r>
        <w:rPr>
          <w:color w:val="231F20"/>
          <w:spacing w:val="-2"/>
        </w:rPr>
        <w:t> </w:t>
      </w:r>
      <w:r>
        <w:rPr>
          <w:color w:val="231F20"/>
        </w:rPr>
        <w:t>primary</w:t>
      </w:r>
      <w:r>
        <w:rPr>
          <w:color w:val="231F20"/>
          <w:spacing w:val="-2"/>
        </w:rPr>
        <w:t> </w:t>
      </w:r>
      <w:r>
        <w:rPr>
          <w:color w:val="231F20"/>
        </w:rPr>
        <w:t>CNS</w:t>
      </w:r>
      <w:r>
        <w:rPr>
          <w:color w:val="231F20"/>
          <w:spacing w:val="-2"/>
        </w:rPr>
        <w:t> </w:t>
      </w:r>
      <w:r>
        <w:rPr>
          <w:color w:val="231F20"/>
        </w:rPr>
        <w:t>vasculitis;</w:t>
      </w:r>
      <w:r>
        <w:rPr>
          <w:color w:val="231F20"/>
          <w:spacing w:val="-2"/>
        </w:rPr>
        <w:t> </w:t>
      </w:r>
      <w:r>
        <w:rPr>
          <w:color w:val="231F20"/>
        </w:rPr>
        <w:t>RCVS,</w:t>
      </w:r>
      <w:r>
        <w:rPr>
          <w:color w:val="231F20"/>
          <w:spacing w:val="-2"/>
        </w:rPr>
        <w:t> </w:t>
      </w:r>
      <w:r>
        <w:rPr>
          <w:color w:val="231F20"/>
        </w:rPr>
        <w:t>reversible</w:t>
      </w:r>
      <w:r>
        <w:rPr>
          <w:color w:val="231F20"/>
          <w:spacing w:val="-2"/>
        </w:rPr>
        <w:t> </w:t>
      </w:r>
      <w:r>
        <w:rPr>
          <w:color w:val="231F20"/>
        </w:rPr>
        <w:t>cerebral</w:t>
      </w:r>
      <w:r>
        <w:rPr>
          <w:color w:val="231F20"/>
          <w:spacing w:val="-2"/>
        </w:rPr>
        <w:t> </w:t>
      </w:r>
      <w:r>
        <w:rPr>
          <w:color w:val="231F20"/>
        </w:rPr>
        <w:t>vasoconstriction</w:t>
      </w:r>
      <w:r>
        <w:rPr>
          <w:color w:val="231F20"/>
          <w:spacing w:val="-2"/>
        </w:rPr>
        <w:t> syndrome.</w:t>
      </w:r>
    </w:p>
    <w:p>
      <w:pPr>
        <w:spacing w:line="150" w:lineRule="exact" w:before="0"/>
        <w:ind w:left="856" w:right="0" w:firstLine="0"/>
        <w:jc w:val="left"/>
        <w:rPr>
          <w:i/>
          <w:sz w:val="13"/>
        </w:rPr>
      </w:pPr>
      <w:r>
        <w:rPr>
          <w:i/>
          <w:color w:val="231F20"/>
          <w:sz w:val="13"/>
        </w:rPr>
        <w:t>From</w:t>
      </w:r>
      <w:r>
        <w:rPr>
          <w:i/>
          <w:color w:val="231F20"/>
          <w:spacing w:val="-9"/>
          <w:sz w:val="13"/>
        </w:rPr>
        <w:t> </w:t>
      </w:r>
      <w:r>
        <w:rPr>
          <w:i/>
          <w:color w:val="231F20"/>
          <w:sz w:val="13"/>
        </w:rPr>
        <w:t>Salvarani</w:t>
      </w:r>
      <w:r>
        <w:rPr>
          <w:i/>
          <w:color w:val="231F20"/>
          <w:spacing w:val="-9"/>
          <w:sz w:val="13"/>
        </w:rPr>
        <w:t> </w:t>
      </w:r>
      <w:r>
        <w:rPr>
          <w:i/>
          <w:color w:val="231F20"/>
          <w:sz w:val="13"/>
        </w:rPr>
        <w:t>C,</w:t>
      </w:r>
      <w:r>
        <w:rPr>
          <w:i/>
          <w:color w:val="231F20"/>
          <w:spacing w:val="-9"/>
          <w:sz w:val="13"/>
        </w:rPr>
        <w:t> </w:t>
      </w:r>
      <w:r>
        <w:rPr>
          <w:i/>
          <w:color w:val="231F20"/>
          <w:sz w:val="13"/>
        </w:rPr>
        <w:t>Brown</w:t>
      </w:r>
      <w:r>
        <w:rPr>
          <w:i/>
          <w:color w:val="231F20"/>
          <w:spacing w:val="-8"/>
          <w:sz w:val="13"/>
        </w:rPr>
        <w:t> </w:t>
      </w:r>
      <w:r>
        <w:rPr>
          <w:i/>
          <w:color w:val="231F20"/>
          <w:sz w:val="13"/>
        </w:rPr>
        <w:t>Jr.</w:t>
      </w:r>
      <w:r>
        <w:rPr>
          <w:i/>
          <w:color w:val="231F20"/>
          <w:spacing w:val="-9"/>
          <w:sz w:val="13"/>
        </w:rPr>
        <w:t> </w:t>
      </w:r>
      <w:r>
        <w:rPr>
          <w:i/>
          <w:color w:val="231F20"/>
          <w:sz w:val="13"/>
        </w:rPr>
        <w:t>RD,</w:t>
      </w:r>
      <w:r>
        <w:rPr>
          <w:i/>
          <w:color w:val="231F20"/>
          <w:spacing w:val="-9"/>
          <w:sz w:val="13"/>
        </w:rPr>
        <w:t> </w:t>
      </w:r>
      <w:r>
        <w:rPr>
          <w:i/>
          <w:color w:val="231F20"/>
          <w:sz w:val="13"/>
        </w:rPr>
        <w:t>Hunder</w:t>
      </w:r>
      <w:r>
        <w:rPr>
          <w:i/>
          <w:color w:val="231F20"/>
          <w:spacing w:val="-9"/>
          <w:sz w:val="13"/>
        </w:rPr>
        <w:t> </w:t>
      </w:r>
      <w:r>
        <w:rPr>
          <w:i/>
          <w:color w:val="231F20"/>
          <w:sz w:val="13"/>
        </w:rPr>
        <w:t>GG:</w:t>
      </w:r>
      <w:r>
        <w:rPr>
          <w:i/>
          <w:color w:val="231F20"/>
          <w:spacing w:val="-8"/>
          <w:sz w:val="13"/>
        </w:rPr>
        <w:t> </w:t>
      </w:r>
      <w:r>
        <w:rPr>
          <w:i/>
          <w:color w:val="231F20"/>
          <w:sz w:val="13"/>
        </w:rPr>
        <w:t>Adult</w:t>
      </w:r>
      <w:r>
        <w:rPr>
          <w:i/>
          <w:color w:val="231F20"/>
          <w:spacing w:val="-9"/>
          <w:sz w:val="13"/>
        </w:rPr>
        <w:t> </w:t>
      </w:r>
      <w:r>
        <w:rPr>
          <w:i/>
          <w:color w:val="231F20"/>
          <w:sz w:val="13"/>
        </w:rPr>
        <w:t>primary</w:t>
      </w:r>
      <w:r>
        <w:rPr>
          <w:i/>
          <w:color w:val="231F20"/>
          <w:spacing w:val="-9"/>
          <w:sz w:val="13"/>
        </w:rPr>
        <w:t> </w:t>
      </w:r>
      <w:r>
        <w:rPr>
          <w:i/>
          <w:color w:val="231F20"/>
          <w:sz w:val="13"/>
        </w:rPr>
        <w:t>central</w:t>
      </w:r>
      <w:r>
        <w:rPr>
          <w:i/>
          <w:color w:val="231F20"/>
          <w:spacing w:val="-9"/>
          <w:sz w:val="13"/>
        </w:rPr>
        <w:t> </w:t>
      </w:r>
      <w:r>
        <w:rPr>
          <w:i/>
          <w:color w:val="231F20"/>
          <w:sz w:val="13"/>
        </w:rPr>
        <w:t>nervous</w:t>
      </w:r>
      <w:r>
        <w:rPr>
          <w:i/>
          <w:color w:val="231F20"/>
          <w:spacing w:val="-8"/>
          <w:sz w:val="13"/>
        </w:rPr>
        <w:t> </w:t>
      </w:r>
      <w:r>
        <w:rPr>
          <w:i/>
          <w:color w:val="231F20"/>
          <w:sz w:val="13"/>
        </w:rPr>
        <w:t>system</w:t>
      </w:r>
      <w:r>
        <w:rPr>
          <w:i/>
          <w:color w:val="231F20"/>
          <w:spacing w:val="-9"/>
          <w:sz w:val="13"/>
        </w:rPr>
        <w:t> </w:t>
      </w:r>
      <w:r>
        <w:rPr>
          <w:i/>
          <w:color w:val="231F20"/>
          <w:sz w:val="13"/>
        </w:rPr>
        <w:t>vasculitis.</w:t>
      </w:r>
      <w:r>
        <w:rPr>
          <w:i/>
          <w:color w:val="231F20"/>
          <w:spacing w:val="-9"/>
          <w:sz w:val="13"/>
        </w:rPr>
        <w:t> </w:t>
      </w:r>
      <w:r>
        <w:rPr>
          <w:color w:val="231F20"/>
          <w:sz w:val="13"/>
        </w:rPr>
        <w:t>Lancet</w:t>
      </w:r>
      <w:r>
        <w:rPr>
          <w:color w:val="231F20"/>
          <w:spacing w:val="-9"/>
          <w:sz w:val="13"/>
        </w:rPr>
        <w:t> </w:t>
      </w:r>
      <w:r>
        <w:rPr>
          <w:i/>
          <w:color w:val="231F20"/>
          <w:sz w:val="13"/>
        </w:rPr>
        <w:t>380:767–776,</w:t>
      </w:r>
      <w:r>
        <w:rPr>
          <w:i/>
          <w:color w:val="231F20"/>
          <w:spacing w:val="-8"/>
          <w:sz w:val="13"/>
        </w:rPr>
        <w:t> </w:t>
      </w:r>
      <w:r>
        <w:rPr>
          <w:i/>
          <w:color w:val="231F20"/>
          <w:sz w:val="13"/>
        </w:rPr>
        <w:t>2012,</w:t>
      </w:r>
      <w:r>
        <w:rPr>
          <w:i/>
          <w:color w:val="231F20"/>
          <w:spacing w:val="-9"/>
          <w:sz w:val="13"/>
        </w:rPr>
        <w:t> </w:t>
      </w:r>
      <w:r>
        <w:rPr>
          <w:i/>
          <w:color w:val="231F20"/>
          <w:sz w:val="13"/>
        </w:rPr>
        <w:t>Table</w:t>
      </w:r>
      <w:r>
        <w:rPr>
          <w:i/>
          <w:color w:val="231F20"/>
          <w:spacing w:val="-9"/>
          <w:sz w:val="13"/>
        </w:rPr>
        <w:t> </w:t>
      </w:r>
      <w:r>
        <w:rPr>
          <w:i/>
          <w:color w:val="231F20"/>
          <w:spacing w:val="-5"/>
          <w:sz w:val="13"/>
        </w:rPr>
        <w:t>2.</w:t>
      </w:r>
    </w:p>
    <w:p>
      <w:pPr>
        <w:spacing w:after="0" w:line="150" w:lineRule="exact"/>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968" name="Group 968"/>
                <wp:cNvGraphicFramePr>
                  <a:graphicFrameLocks/>
                </wp:cNvGraphicFramePr>
                <a:graphic>
                  <a:graphicData uri="http://schemas.microsoft.com/office/word/2010/wordprocessingGroup">
                    <wpg:wgp>
                      <wpg:cNvPr id="968" name="Group 968"/>
                      <wpg:cNvGrpSpPr/>
                      <wpg:grpSpPr>
                        <a:xfrm>
                          <a:off x="0" y="0"/>
                          <a:ext cx="6185535" cy="170815"/>
                          <a:chExt cx="6185535" cy="170815"/>
                        </a:xfrm>
                      </wpg:grpSpPr>
                      <wps:wsp>
                        <wps:cNvPr id="969" name="Graphic 969"/>
                        <wps:cNvSpPr/>
                        <wps:spPr>
                          <a:xfrm>
                            <a:off x="0"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970" name="Graphic 970"/>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971" name="Textbox 971"/>
                        <wps:cNvSpPr txBox="1"/>
                        <wps:spPr>
                          <a:xfrm>
                            <a:off x="0" y="0"/>
                            <a:ext cx="6185535" cy="170815"/>
                          </a:xfrm>
                          <a:prstGeom prst="rect">
                            <a:avLst/>
                          </a:prstGeom>
                        </wps:spPr>
                        <wps:txbx>
                          <w:txbxContent>
                            <w:p>
                              <w:pPr>
                                <w:spacing w:before="6"/>
                                <w:ind w:left="4753" w:right="-15" w:firstLine="0"/>
                                <w:jc w:val="left"/>
                                <w:rPr>
                                  <w:b/>
                                  <w:sz w:val="18"/>
                                </w:rPr>
                              </w:pPr>
                              <w:r>
                                <w:rPr>
                                  <w:b/>
                                  <w:color w:val="007431"/>
                                  <w:w w:val="105"/>
                                  <w:sz w:val="18"/>
                                </w:rPr>
                                <w:t>Chapter</w:t>
                              </w:r>
                              <w:r>
                                <w:rPr>
                                  <w:b/>
                                  <w:color w:val="007431"/>
                                  <w:spacing w:val="11"/>
                                  <w:w w:val="105"/>
                                  <w:sz w:val="18"/>
                                </w:rPr>
                                <w:t> </w:t>
                              </w:r>
                              <w:r>
                                <w:rPr>
                                  <w:b/>
                                  <w:color w:val="007431"/>
                                  <w:w w:val="105"/>
                                  <w:sz w:val="18"/>
                                </w:rPr>
                                <w:t>603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Central</w:t>
                              </w:r>
                              <w:r>
                                <w:rPr>
                                  <w:color w:val="231F20"/>
                                  <w:spacing w:val="7"/>
                                  <w:w w:val="105"/>
                                  <w:sz w:val="18"/>
                                </w:rPr>
                                <w:t> </w:t>
                              </w:r>
                              <w:r>
                                <w:rPr>
                                  <w:color w:val="231F20"/>
                                  <w:w w:val="105"/>
                                  <w:sz w:val="18"/>
                                </w:rPr>
                                <w:t>Nervous</w:t>
                              </w:r>
                              <w:r>
                                <w:rPr>
                                  <w:color w:val="231F20"/>
                                  <w:spacing w:val="7"/>
                                  <w:w w:val="105"/>
                                  <w:sz w:val="18"/>
                                </w:rPr>
                                <w:t> </w:t>
                              </w:r>
                              <w:r>
                                <w:rPr>
                                  <w:color w:val="231F20"/>
                                  <w:w w:val="105"/>
                                  <w:sz w:val="18"/>
                                </w:rPr>
                                <w:t>System</w:t>
                              </w:r>
                              <w:r>
                                <w:rPr>
                                  <w:color w:val="231F20"/>
                                  <w:spacing w:val="7"/>
                                  <w:w w:val="105"/>
                                  <w:sz w:val="18"/>
                                </w:rPr>
                                <w:t> </w:t>
                              </w:r>
                              <w:r>
                                <w:rPr>
                                  <w:color w:val="231F20"/>
                                  <w:w w:val="105"/>
                                  <w:sz w:val="18"/>
                                </w:rPr>
                                <w:t>Infections</w:t>
                              </w:r>
                              <w:r>
                                <w:rPr>
                                  <w:color w:val="231F20"/>
                                  <w:spacing w:val="38"/>
                                  <w:w w:val="105"/>
                                  <w:sz w:val="18"/>
                                </w:rPr>
                                <w:t>  </w:t>
                              </w:r>
                              <w:r>
                                <w:rPr>
                                  <w:b/>
                                  <w:color w:val="231F20"/>
                                  <w:spacing w:val="-4"/>
                                  <w:w w:val="105"/>
                                  <w:sz w:val="18"/>
                                </w:rPr>
                                <w:t>2937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89" coordorigin="0,0" coordsize="9741,269">
                <v:line style="position:absolute" from="0,145" to="37,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790" filled="false" stroked="false">
                  <v:textbox inset="0,0,0,0">
                    <w:txbxContent>
                      <w:p>
                        <w:pPr>
                          <w:spacing w:before="6"/>
                          <w:ind w:left="4753" w:right="-15" w:firstLine="0"/>
                          <w:jc w:val="left"/>
                          <w:rPr>
                            <w:b/>
                            <w:sz w:val="18"/>
                          </w:rPr>
                        </w:pPr>
                        <w:r>
                          <w:rPr>
                            <w:b/>
                            <w:color w:val="007431"/>
                            <w:w w:val="105"/>
                            <w:sz w:val="18"/>
                          </w:rPr>
                          <w:t>Chapter</w:t>
                        </w:r>
                        <w:r>
                          <w:rPr>
                            <w:b/>
                            <w:color w:val="007431"/>
                            <w:spacing w:val="11"/>
                            <w:w w:val="105"/>
                            <w:sz w:val="18"/>
                          </w:rPr>
                          <w:t> </w:t>
                        </w:r>
                        <w:r>
                          <w:rPr>
                            <w:b/>
                            <w:color w:val="007431"/>
                            <w:w w:val="105"/>
                            <w:sz w:val="18"/>
                          </w:rPr>
                          <w:t>603</w:t>
                        </w:r>
                        <w:r>
                          <w:rPr>
                            <w:b/>
                            <w:color w:val="007431"/>
                            <w:spacing w:val="37"/>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Central</w:t>
                        </w:r>
                        <w:r>
                          <w:rPr>
                            <w:color w:val="231F20"/>
                            <w:spacing w:val="7"/>
                            <w:w w:val="105"/>
                            <w:sz w:val="18"/>
                          </w:rPr>
                          <w:t> </w:t>
                        </w:r>
                        <w:r>
                          <w:rPr>
                            <w:color w:val="231F20"/>
                            <w:w w:val="105"/>
                            <w:sz w:val="18"/>
                          </w:rPr>
                          <w:t>Nervous</w:t>
                        </w:r>
                        <w:r>
                          <w:rPr>
                            <w:color w:val="231F20"/>
                            <w:spacing w:val="7"/>
                            <w:w w:val="105"/>
                            <w:sz w:val="18"/>
                          </w:rPr>
                          <w:t> </w:t>
                        </w:r>
                        <w:r>
                          <w:rPr>
                            <w:color w:val="231F20"/>
                            <w:w w:val="105"/>
                            <w:sz w:val="18"/>
                          </w:rPr>
                          <w:t>System</w:t>
                        </w:r>
                        <w:r>
                          <w:rPr>
                            <w:color w:val="231F20"/>
                            <w:spacing w:val="7"/>
                            <w:w w:val="105"/>
                            <w:sz w:val="18"/>
                          </w:rPr>
                          <w:t> </w:t>
                        </w:r>
                        <w:r>
                          <w:rPr>
                            <w:color w:val="231F20"/>
                            <w:w w:val="105"/>
                            <w:sz w:val="18"/>
                          </w:rPr>
                          <w:t>Infections</w:t>
                        </w:r>
                        <w:r>
                          <w:rPr>
                            <w:color w:val="231F20"/>
                            <w:spacing w:val="38"/>
                            <w:w w:val="105"/>
                            <w:sz w:val="18"/>
                          </w:rPr>
                          <w:t>  </w:t>
                        </w:r>
                        <w:r>
                          <w:rPr>
                            <w:b/>
                            <w:color w:val="231F20"/>
                            <w:spacing w:val="-4"/>
                            <w:w w:val="105"/>
                            <w:sz w:val="18"/>
                          </w:rPr>
                          <w:t>2937</w:t>
                        </w:r>
                      </w:p>
                    </w:txbxContent>
                  </v:textbox>
                  <w10:wrap type="none"/>
                </v:shape>
              </v:group>
            </w:pict>
          </mc:Fallback>
        </mc:AlternateContent>
      </w:r>
      <w:r>
        <w:rPr>
          <w:sz w:val="20"/>
        </w:rPr>
      </w:r>
    </w:p>
    <w:p>
      <w:pPr>
        <w:pStyle w:val="BodyText"/>
        <w:spacing w:before="11"/>
        <w:rPr>
          <w:i/>
          <w:sz w:val="15"/>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8"/>
        <w:gridCol w:w="1461"/>
        <w:gridCol w:w="2062"/>
        <w:gridCol w:w="1161"/>
        <w:gridCol w:w="1389"/>
        <w:gridCol w:w="2114"/>
      </w:tblGrid>
      <w:tr>
        <w:trPr>
          <w:trHeight w:val="380" w:hRule="atLeast"/>
        </w:trPr>
        <w:tc>
          <w:tcPr>
            <w:tcW w:w="9745" w:type="dxa"/>
            <w:gridSpan w:val="6"/>
            <w:shd w:val="clear" w:color="auto" w:fill="231F20"/>
          </w:tcPr>
          <w:p>
            <w:pPr>
              <w:pStyle w:val="TableParagraph"/>
              <w:spacing w:before="89"/>
              <w:ind w:left="111"/>
              <w:rPr>
                <w:sz w:val="16"/>
              </w:rPr>
            </w:pPr>
            <w:r>
              <w:rPr>
                <w:b/>
                <w:color w:val="FFFFFF"/>
                <w:w w:val="105"/>
                <w:sz w:val="16"/>
              </w:rPr>
              <w:t>Table</w:t>
            </w:r>
            <w:r>
              <w:rPr>
                <w:b/>
                <w:color w:val="FFFFFF"/>
                <w:spacing w:val="13"/>
                <w:w w:val="105"/>
                <w:sz w:val="16"/>
              </w:rPr>
              <w:t> </w:t>
            </w:r>
            <w:r>
              <w:rPr>
                <w:b/>
                <w:color w:val="FFFFFF"/>
                <w:w w:val="105"/>
                <w:sz w:val="16"/>
              </w:rPr>
              <w:t>603-1</w:t>
            </w:r>
            <w:r>
              <w:rPr>
                <w:b/>
                <w:color w:val="FFFFFF"/>
                <w:spacing w:val="45"/>
                <w:w w:val="105"/>
                <w:sz w:val="16"/>
              </w:rPr>
              <w:t>  </w:t>
            </w:r>
            <w:r>
              <w:rPr>
                <w:color w:val="FFFFFF"/>
                <w:w w:val="105"/>
                <w:sz w:val="16"/>
              </w:rPr>
              <w:t>Cerebrospinal</w:t>
            </w:r>
            <w:r>
              <w:rPr>
                <w:color w:val="FFFFFF"/>
                <w:spacing w:val="10"/>
                <w:w w:val="105"/>
                <w:sz w:val="16"/>
              </w:rPr>
              <w:t> </w:t>
            </w:r>
            <w:r>
              <w:rPr>
                <w:color w:val="FFFFFF"/>
                <w:w w:val="105"/>
                <w:sz w:val="16"/>
              </w:rPr>
              <w:t>Fluid</w:t>
            </w:r>
            <w:r>
              <w:rPr>
                <w:color w:val="FFFFFF"/>
                <w:spacing w:val="9"/>
                <w:w w:val="105"/>
                <w:sz w:val="16"/>
              </w:rPr>
              <w:t> </w:t>
            </w:r>
            <w:r>
              <w:rPr>
                <w:color w:val="FFFFFF"/>
                <w:w w:val="105"/>
                <w:sz w:val="16"/>
              </w:rPr>
              <w:t>Findings</w:t>
            </w:r>
            <w:r>
              <w:rPr>
                <w:color w:val="FFFFFF"/>
                <w:spacing w:val="9"/>
                <w:w w:val="105"/>
                <w:sz w:val="16"/>
              </w:rPr>
              <w:t> </w:t>
            </w:r>
            <w:r>
              <w:rPr>
                <w:color w:val="FFFFFF"/>
                <w:w w:val="105"/>
                <w:sz w:val="16"/>
              </w:rPr>
              <w:t>in</w:t>
            </w:r>
            <w:r>
              <w:rPr>
                <w:color w:val="FFFFFF"/>
                <w:spacing w:val="10"/>
                <w:w w:val="105"/>
                <w:sz w:val="16"/>
              </w:rPr>
              <w:t> </w:t>
            </w:r>
            <w:r>
              <w:rPr>
                <w:color w:val="FFFFFF"/>
                <w:w w:val="105"/>
                <w:sz w:val="16"/>
              </w:rPr>
              <w:t>Central</w:t>
            </w:r>
            <w:r>
              <w:rPr>
                <w:color w:val="FFFFFF"/>
                <w:spacing w:val="9"/>
                <w:w w:val="105"/>
                <w:sz w:val="16"/>
              </w:rPr>
              <w:t> </w:t>
            </w:r>
            <w:r>
              <w:rPr>
                <w:color w:val="FFFFFF"/>
                <w:w w:val="105"/>
                <w:sz w:val="16"/>
              </w:rPr>
              <w:t>Nervous</w:t>
            </w:r>
            <w:r>
              <w:rPr>
                <w:color w:val="FFFFFF"/>
                <w:spacing w:val="9"/>
                <w:w w:val="105"/>
                <w:sz w:val="16"/>
              </w:rPr>
              <w:t> </w:t>
            </w:r>
            <w:r>
              <w:rPr>
                <w:color w:val="FFFFFF"/>
                <w:w w:val="105"/>
                <w:sz w:val="16"/>
              </w:rPr>
              <w:t>System</w:t>
            </w:r>
            <w:r>
              <w:rPr>
                <w:color w:val="FFFFFF"/>
                <w:spacing w:val="10"/>
                <w:w w:val="105"/>
                <w:sz w:val="16"/>
              </w:rPr>
              <w:t> </w:t>
            </w:r>
            <w:r>
              <w:rPr>
                <w:color w:val="FFFFFF"/>
                <w:spacing w:val="-2"/>
                <w:w w:val="105"/>
                <w:sz w:val="16"/>
              </w:rPr>
              <w:t>Disorders</w:t>
            </w:r>
          </w:p>
        </w:tc>
      </w:tr>
      <w:tr>
        <w:trPr>
          <w:trHeight w:val="418" w:hRule="atLeast"/>
        </w:trPr>
        <w:tc>
          <w:tcPr>
            <w:tcW w:w="1558" w:type="dxa"/>
            <w:tcBorders>
              <w:bottom w:val="single" w:sz="4" w:space="0" w:color="231F20"/>
            </w:tcBorders>
            <w:shd w:val="clear" w:color="auto" w:fill="E8F5F1"/>
          </w:tcPr>
          <w:p>
            <w:pPr>
              <w:pStyle w:val="TableParagraph"/>
              <w:spacing w:before="33"/>
              <w:rPr>
                <w:i/>
                <w:sz w:val="15"/>
              </w:rPr>
            </w:pPr>
          </w:p>
          <w:p>
            <w:pPr>
              <w:pStyle w:val="TableParagraph"/>
              <w:ind w:left="74"/>
              <w:rPr>
                <w:b/>
                <w:sz w:val="15"/>
              </w:rPr>
            </w:pPr>
            <w:r>
              <w:rPr>
                <w:b/>
                <w:color w:val="231F20"/>
                <w:spacing w:val="-2"/>
                <w:w w:val="115"/>
                <w:sz w:val="15"/>
              </w:rPr>
              <w:t>CONDITION</w:t>
            </w:r>
          </w:p>
        </w:tc>
        <w:tc>
          <w:tcPr>
            <w:tcW w:w="1461" w:type="dxa"/>
            <w:tcBorders>
              <w:bottom w:val="single" w:sz="4" w:space="0" w:color="231F20"/>
            </w:tcBorders>
            <w:shd w:val="clear" w:color="auto" w:fill="E8F5F1"/>
          </w:tcPr>
          <w:p>
            <w:pPr>
              <w:pStyle w:val="TableParagraph"/>
              <w:spacing w:line="230" w:lineRule="auto" w:before="45"/>
              <w:ind w:left="431" w:right="52" w:hanging="31"/>
              <w:rPr>
                <w:b/>
                <w:sz w:val="15"/>
              </w:rPr>
            </w:pPr>
            <w:r>
              <w:rPr>
                <w:b/>
                <w:color w:val="231F20"/>
                <w:spacing w:val="-2"/>
                <w:w w:val="105"/>
                <w:sz w:val="15"/>
              </w:rPr>
              <w:t>PRESSURE </w:t>
            </w:r>
            <w:r>
              <w:rPr>
                <w:b/>
                <w:color w:val="231F20"/>
                <w:sz w:val="15"/>
              </w:rPr>
              <w:t>(mm</w:t>
            </w:r>
            <w:r>
              <w:rPr>
                <w:b/>
                <w:color w:val="231F20"/>
                <w:spacing w:val="-3"/>
                <w:sz w:val="15"/>
              </w:rPr>
              <w:t> </w:t>
            </w:r>
            <w:r>
              <w:rPr>
                <w:b/>
                <w:color w:val="231F20"/>
                <w:spacing w:val="-4"/>
                <w:sz w:val="15"/>
              </w:rPr>
              <w:t>H</w:t>
            </w:r>
            <w:r>
              <w:rPr>
                <w:b/>
                <w:color w:val="231F20"/>
                <w:spacing w:val="-4"/>
                <w:sz w:val="15"/>
                <w:vertAlign w:val="subscript"/>
              </w:rPr>
              <w:t>2</w:t>
            </w:r>
            <w:r>
              <w:rPr>
                <w:b/>
                <w:color w:val="231F20"/>
                <w:spacing w:val="-4"/>
                <w:sz w:val="15"/>
                <w:vertAlign w:val="baseline"/>
              </w:rPr>
              <w:t>O)</w:t>
            </w:r>
          </w:p>
        </w:tc>
        <w:tc>
          <w:tcPr>
            <w:tcW w:w="2062" w:type="dxa"/>
            <w:tcBorders>
              <w:bottom w:val="single" w:sz="4" w:space="0" w:color="231F20"/>
            </w:tcBorders>
            <w:shd w:val="clear" w:color="auto" w:fill="E8F5F1"/>
          </w:tcPr>
          <w:p>
            <w:pPr>
              <w:pStyle w:val="TableParagraph"/>
              <w:spacing w:before="33"/>
              <w:rPr>
                <w:i/>
                <w:sz w:val="15"/>
              </w:rPr>
            </w:pPr>
          </w:p>
          <w:p>
            <w:pPr>
              <w:pStyle w:val="TableParagraph"/>
              <w:ind w:left="310"/>
              <w:rPr>
                <w:b/>
                <w:sz w:val="15"/>
              </w:rPr>
            </w:pPr>
            <w:r>
              <w:rPr>
                <w:b/>
                <w:color w:val="231F20"/>
                <w:w w:val="105"/>
                <w:sz w:val="15"/>
              </w:rPr>
              <w:t>LEUKOCYTES</w:t>
            </w:r>
            <w:r>
              <w:rPr>
                <w:b/>
                <w:color w:val="231F20"/>
                <w:spacing w:val="31"/>
                <w:w w:val="105"/>
                <w:sz w:val="15"/>
              </w:rPr>
              <w:t> </w:t>
            </w:r>
            <w:r>
              <w:rPr>
                <w:b/>
                <w:color w:val="231F20"/>
                <w:spacing w:val="-4"/>
                <w:w w:val="105"/>
                <w:sz w:val="15"/>
              </w:rPr>
              <w:t>(mm</w:t>
            </w:r>
            <w:r>
              <w:rPr>
                <w:b/>
                <w:color w:val="231F20"/>
                <w:spacing w:val="-4"/>
                <w:w w:val="105"/>
                <w:sz w:val="15"/>
                <w:vertAlign w:val="superscript"/>
              </w:rPr>
              <w:t>3</w:t>
            </w:r>
            <w:r>
              <w:rPr>
                <w:b/>
                <w:color w:val="231F20"/>
                <w:spacing w:val="-4"/>
                <w:w w:val="105"/>
                <w:sz w:val="15"/>
                <w:vertAlign w:val="baseline"/>
              </w:rPr>
              <w:t>)</w:t>
            </w:r>
          </w:p>
        </w:tc>
        <w:tc>
          <w:tcPr>
            <w:tcW w:w="1161" w:type="dxa"/>
            <w:tcBorders>
              <w:bottom w:val="single" w:sz="4" w:space="0" w:color="231F20"/>
            </w:tcBorders>
            <w:shd w:val="clear" w:color="auto" w:fill="E8F5F1"/>
          </w:tcPr>
          <w:p>
            <w:pPr>
              <w:pStyle w:val="TableParagraph"/>
              <w:spacing w:line="171" w:lineRule="exact" w:before="39"/>
              <w:ind w:left="247"/>
              <w:rPr>
                <w:b/>
                <w:sz w:val="15"/>
              </w:rPr>
            </w:pPr>
            <w:r>
              <w:rPr>
                <w:b/>
                <w:color w:val="231F20"/>
                <w:spacing w:val="-2"/>
                <w:w w:val="110"/>
                <w:sz w:val="15"/>
              </w:rPr>
              <w:t>PROTEIN</w:t>
            </w:r>
          </w:p>
          <w:p>
            <w:pPr>
              <w:pStyle w:val="TableParagraph"/>
              <w:spacing w:line="171" w:lineRule="exact"/>
              <w:ind w:left="301"/>
              <w:rPr>
                <w:b/>
                <w:sz w:val="15"/>
              </w:rPr>
            </w:pPr>
            <w:r>
              <w:rPr>
                <w:b/>
                <w:color w:val="231F20"/>
                <w:spacing w:val="-2"/>
                <w:sz w:val="15"/>
              </w:rPr>
              <w:t>(mg/dL)</w:t>
            </w:r>
          </w:p>
        </w:tc>
        <w:tc>
          <w:tcPr>
            <w:tcW w:w="1389" w:type="dxa"/>
            <w:tcBorders>
              <w:bottom w:val="single" w:sz="4" w:space="0" w:color="231F20"/>
            </w:tcBorders>
            <w:shd w:val="clear" w:color="auto" w:fill="E8F5F1"/>
          </w:tcPr>
          <w:p>
            <w:pPr>
              <w:pStyle w:val="TableParagraph"/>
              <w:spacing w:line="171" w:lineRule="exact" w:before="39"/>
              <w:ind w:left="334"/>
              <w:rPr>
                <w:b/>
                <w:sz w:val="15"/>
              </w:rPr>
            </w:pPr>
            <w:r>
              <w:rPr>
                <w:b/>
                <w:color w:val="231F20"/>
                <w:spacing w:val="-2"/>
                <w:w w:val="110"/>
                <w:sz w:val="15"/>
              </w:rPr>
              <w:t>GLUCOSE</w:t>
            </w:r>
          </w:p>
          <w:p>
            <w:pPr>
              <w:pStyle w:val="TableParagraph"/>
              <w:spacing w:line="171" w:lineRule="exact"/>
              <w:ind w:left="414"/>
              <w:rPr>
                <w:b/>
                <w:sz w:val="15"/>
              </w:rPr>
            </w:pPr>
            <w:r>
              <w:rPr>
                <w:b/>
                <w:color w:val="231F20"/>
                <w:spacing w:val="-2"/>
                <w:sz w:val="15"/>
              </w:rPr>
              <w:t>(mg/dL)</w:t>
            </w:r>
          </w:p>
        </w:tc>
        <w:tc>
          <w:tcPr>
            <w:tcW w:w="2114" w:type="dxa"/>
            <w:tcBorders>
              <w:bottom w:val="single" w:sz="4" w:space="0" w:color="231F20"/>
            </w:tcBorders>
            <w:shd w:val="clear" w:color="auto" w:fill="E8F5F1"/>
          </w:tcPr>
          <w:p>
            <w:pPr>
              <w:pStyle w:val="TableParagraph"/>
              <w:spacing w:before="33"/>
              <w:rPr>
                <w:i/>
                <w:sz w:val="15"/>
              </w:rPr>
            </w:pPr>
          </w:p>
          <w:p>
            <w:pPr>
              <w:pStyle w:val="TableParagraph"/>
              <w:ind w:left="609"/>
              <w:rPr>
                <w:b/>
                <w:sz w:val="15"/>
              </w:rPr>
            </w:pPr>
            <w:r>
              <w:rPr>
                <w:b/>
                <w:color w:val="231F20"/>
                <w:spacing w:val="-2"/>
                <w:w w:val="115"/>
                <w:sz w:val="15"/>
              </w:rPr>
              <w:t>COMMENTS</w:t>
            </w:r>
          </w:p>
        </w:tc>
      </w:tr>
      <w:tr>
        <w:trPr>
          <w:trHeight w:val="427" w:hRule="atLeast"/>
        </w:trPr>
        <w:tc>
          <w:tcPr>
            <w:tcW w:w="155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Normal</w:t>
            </w:r>
          </w:p>
        </w:tc>
        <w:tc>
          <w:tcPr>
            <w:tcW w:w="1461" w:type="dxa"/>
            <w:tcBorders>
              <w:top w:val="single" w:sz="4" w:space="0" w:color="231F20"/>
              <w:bottom w:val="single" w:sz="4" w:space="0" w:color="FFFFFF"/>
            </w:tcBorders>
            <w:shd w:val="clear" w:color="auto" w:fill="E8F5F1"/>
          </w:tcPr>
          <w:p>
            <w:pPr>
              <w:pStyle w:val="TableParagraph"/>
              <w:spacing w:before="47"/>
              <w:ind w:left="182"/>
              <w:rPr>
                <w:sz w:val="15"/>
              </w:rPr>
            </w:pPr>
            <w:r>
              <w:rPr>
                <w:color w:val="231F20"/>
                <w:spacing w:val="-4"/>
                <w:sz w:val="15"/>
              </w:rPr>
              <w:t>50-</w:t>
            </w:r>
            <w:r>
              <w:rPr>
                <w:color w:val="231F20"/>
                <w:spacing w:val="-5"/>
                <w:sz w:val="15"/>
              </w:rPr>
              <w:t>80</w:t>
            </w:r>
          </w:p>
        </w:tc>
        <w:tc>
          <w:tcPr>
            <w:tcW w:w="2062" w:type="dxa"/>
            <w:tcBorders>
              <w:top w:val="single" w:sz="4" w:space="0" w:color="231F20"/>
              <w:bottom w:val="single" w:sz="4" w:space="0" w:color="FFFFFF"/>
            </w:tcBorders>
            <w:shd w:val="clear" w:color="auto" w:fill="E8F5F1"/>
          </w:tcPr>
          <w:p>
            <w:pPr>
              <w:pStyle w:val="TableParagraph"/>
              <w:spacing w:before="47"/>
              <w:ind w:left="85"/>
              <w:rPr>
                <w:sz w:val="15"/>
              </w:rPr>
            </w:pPr>
            <w:r>
              <w:rPr>
                <w:rFonts w:ascii="Cambria" w:hAnsi="Cambria"/>
                <w:color w:val="231F20"/>
                <w:sz w:val="15"/>
              </w:rPr>
              <w:t>&lt;</w:t>
            </w:r>
            <w:r>
              <w:rPr>
                <w:color w:val="231F20"/>
                <w:sz w:val="15"/>
              </w:rPr>
              <w:t>5,</w:t>
            </w:r>
            <w:r>
              <w:rPr>
                <w:color w:val="231F20"/>
                <w:spacing w:val="4"/>
                <w:sz w:val="15"/>
              </w:rPr>
              <w:t> </w:t>
            </w:r>
            <w:r>
              <w:rPr>
                <w:rFonts w:ascii="Cambria" w:hAnsi="Cambria"/>
                <w:color w:val="231F20"/>
                <w:sz w:val="15"/>
              </w:rPr>
              <w:t>≥</w:t>
            </w:r>
            <w:r>
              <w:rPr>
                <w:color w:val="231F20"/>
                <w:sz w:val="15"/>
              </w:rPr>
              <w:t>75%</w:t>
            </w:r>
            <w:r>
              <w:rPr>
                <w:color w:val="231F20"/>
                <w:spacing w:val="4"/>
                <w:sz w:val="15"/>
              </w:rPr>
              <w:t> </w:t>
            </w:r>
            <w:r>
              <w:rPr>
                <w:color w:val="231F20"/>
                <w:spacing w:val="-2"/>
                <w:sz w:val="15"/>
              </w:rPr>
              <w:t>Lymphocytes</w:t>
            </w:r>
          </w:p>
        </w:tc>
        <w:tc>
          <w:tcPr>
            <w:tcW w:w="1161" w:type="dxa"/>
            <w:tcBorders>
              <w:top w:val="single" w:sz="4" w:space="0" w:color="231F20"/>
              <w:bottom w:val="single" w:sz="4" w:space="0" w:color="FFFFFF"/>
            </w:tcBorders>
            <w:shd w:val="clear" w:color="auto" w:fill="E8F5F1"/>
          </w:tcPr>
          <w:p>
            <w:pPr>
              <w:pStyle w:val="TableParagraph"/>
              <w:spacing w:before="47"/>
              <w:ind w:left="82"/>
              <w:rPr>
                <w:sz w:val="15"/>
              </w:rPr>
            </w:pPr>
            <w:r>
              <w:rPr>
                <w:color w:val="231F20"/>
                <w:spacing w:val="-4"/>
                <w:sz w:val="15"/>
              </w:rPr>
              <w:t>20-</w:t>
            </w:r>
            <w:r>
              <w:rPr>
                <w:color w:val="231F20"/>
                <w:spacing w:val="-5"/>
                <w:sz w:val="15"/>
              </w:rPr>
              <w:t>45</w:t>
            </w:r>
          </w:p>
        </w:tc>
        <w:tc>
          <w:tcPr>
            <w:tcW w:w="1389" w:type="dxa"/>
            <w:tcBorders>
              <w:top w:val="single" w:sz="4" w:space="0" w:color="231F20"/>
              <w:bottom w:val="single" w:sz="4" w:space="0" w:color="FFFFFF"/>
            </w:tcBorders>
            <w:shd w:val="clear" w:color="auto" w:fill="E8F5F1"/>
          </w:tcPr>
          <w:p>
            <w:pPr>
              <w:pStyle w:val="TableParagraph"/>
              <w:spacing w:line="173" w:lineRule="exact" w:before="47"/>
              <w:ind w:left="81"/>
              <w:rPr>
                <w:sz w:val="15"/>
              </w:rPr>
            </w:pPr>
            <w:r>
              <w:rPr>
                <w:rFonts w:ascii="Cambria"/>
                <w:color w:val="231F20"/>
                <w:sz w:val="15"/>
              </w:rPr>
              <w:t>&gt;</w:t>
            </w:r>
            <w:r>
              <w:rPr>
                <w:color w:val="231F20"/>
                <w:sz w:val="15"/>
              </w:rPr>
              <w:t>50</w:t>
            </w:r>
            <w:r>
              <w:rPr>
                <w:color w:val="231F20"/>
                <w:spacing w:val="-11"/>
                <w:sz w:val="15"/>
              </w:rPr>
              <w:t> </w:t>
            </w:r>
            <w:r>
              <w:rPr>
                <w:color w:val="231F20"/>
                <w:sz w:val="15"/>
              </w:rPr>
              <w:t>(or</w:t>
            </w:r>
            <w:r>
              <w:rPr>
                <w:color w:val="231F20"/>
                <w:spacing w:val="-10"/>
                <w:sz w:val="15"/>
              </w:rPr>
              <w:t> </w:t>
            </w:r>
            <w:r>
              <w:rPr>
                <w:color w:val="231F20"/>
                <w:spacing w:val="-5"/>
                <w:sz w:val="15"/>
              </w:rPr>
              <w:t>75%</w:t>
            </w:r>
          </w:p>
          <w:p>
            <w:pPr>
              <w:pStyle w:val="TableParagraph"/>
              <w:spacing w:line="171" w:lineRule="exact"/>
              <w:ind w:left="193"/>
              <w:rPr>
                <w:sz w:val="15"/>
              </w:rPr>
            </w:pPr>
            <w:r>
              <w:rPr>
                <w:color w:val="231F20"/>
                <w:sz w:val="15"/>
              </w:rPr>
              <w:t>serum</w:t>
            </w:r>
            <w:r>
              <w:rPr>
                <w:color w:val="231F20"/>
                <w:spacing w:val="-4"/>
                <w:sz w:val="15"/>
              </w:rPr>
              <w:t> </w:t>
            </w:r>
            <w:r>
              <w:rPr>
                <w:color w:val="231F20"/>
                <w:spacing w:val="-2"/>
                <w:sz w:val="15"/>
              </w:rPr>
              <w:t>glucose)</w:t>
            </w:r>
          </w:p>
        </w:tc>
        <w:tc>
          <w:tcPr>
            <w:tcW w:w="2114" w:type="dxa"/>
            <w:tcBorders>
              <w:top w:val="single" w:sz="4" w:space="0" w:color="231F20"/>
              <w:bottom w:val="single" w:sz="4" w:space="0" w:color="FFFFFF"/>
            </w:tcBorders>
            <w:shd w:val="clear" w:color="auto" w:fill="E8F5F1"/>
          </w:tcPr>
          <w:p>
            <w:pPr>
              <w:pStyle w:val="TableParagraph"/>
              <w:rPr>
                <w:rFonts w:ascii="Times New Roman"/>
                <w:sz w:val="14"/>
              </w:rPr>
            </w:pPr>
          </w:p>
        </w:tc>
      </w:tr>
      <w:tr>
        <w:trPr>
          <w:trHeight w:val="3451" w:hRule="atLeast"/>
        </w:trPr>
        <w:tc>
          <w:tcPr>
            <w:tcW w:w="3019"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COMMON</w:t>
            </w:r>
            <w:r>
              <w:rPr>
                <w:color w:val="231F20"/>
                <w:spacing w:val="15"/>
                <w:w w:val="115"/>
                <w:sz w:val="15"/>
              </w:rPr>
              <w:t> </w:t>
            </w:r>
            <w:r>
              <w:rPr>
                <w:color w:val="231F20"/>
                <w:w w:val="115"/>
                <w:sz w:val="15"/>
              </w:rPr>
              <w:t>FORMS</w:t>
            </w:r>
            <w:r>
              <w:rPr>
                <w:color w:val="231F20"/>
                <w:spacing w:val="15"/>
                <w:w w:val="115"/>
                <w:sz w:val="15"/>
              </w:rPr>
              <w:t> </w:t>
            </w:r>
            <w:r>
              <w:rPr>
                <w:color w:val="231F20"/>
                <w:w w:val="115"/>
                <w:sz w:val="15"/>
              </w:rPr>
              <w:t>OF</w:t>
            </w:r>
            <w:r>
              <w:rPr>
                <w:color w:val="231F20"/>
                <w:spacing w:val="15"/>
                <w:w w:val="115"/>
                <w:sz w:val="15"/>
              </w:rPr>
              <w:t> </w:t>
            </w:r>
            <w:r>
              <w:rPr>
                <w:color w:val="231F20"/>
                <w:spacing w:val="-2"/>
                <w:w w:val="115"/>
                <w:sz w:val="15"/>
              </w:rPr>
              <w:t>MENINGITIS</w:t>
            </w:r>
          </w:p>
          <w:p>
            <w:pPr>
              <w:pStyle w:val="TableParagraph"/>
              <w:tabs>
                <w:tab w:pos="1740" w:val="left" w:leader="none"/>
              </w:tabs>
              <w:spacing w:line="169" w:lineRule="exact"/>
              <w:ind w:left="74"/>
              <w:rPr>
                <w:sz w:val="15"/>
              </w:rPr>
            </w:pPr>
            <w:r>
              <w:rPr>
                <w:color w:val="231F20"/>
                <w:sz w:val="15"/>
              </w:rPr>
              <w:t>Acute</w:t>
            </w:r>
            <w:r>
              <w:rPr>
                <w:color w:val="231F20"/>
                <w:spacing w:val="1"/>
                <w:sz w:val="15"/>
              </w:rPr>
              <w:t> </w:t>
            </w:r>
            <w:r>
              <w:rPr>
                <w:color w:val="231F20"/>
                <w:spacing w:val="-2"/>
                <w:sz w:val="15"/>
              </w:rPr>
              <w:t>bacterial</w:t>
            </w:r>
            <w:r>
              <w:rPr>
                <w:color w:val="231F20"/>
                <w:sz w:val="15"/>
              </w:rPr>
              <w:tab/>
            </w:r>
            <w:r>
              <w:rPr>
                <w:color w:val="231F20"/>
                <w:spacing w:val="-2"/>
                <w:sz w:val="15"/>
              </w:rPr>
              <w:t>Usually</w:t>
            </w:r>
            <w:r>
              <w:rPr>
                <w:color w:val="231F20"/>
                <w:sz w:val="15"/>
              </w:rPr>
              <w:t> </w:t>
            </w:r>
            <w:r>
              <w:rPr>
                <w:color w:val="231F20"/>
                <w:spacing w:val="-2"/>
                <w:sz w:val="15"/>
              </w:rPr>
              <w:t>elevated</w:t>
            </w:r>
          </w:p>
          <w:p>
            <w:pPr>
              <w:pStyle w:val="TableParagraph"/>
              <w:tabs>
                <w:tab w:pos="1852" w:val="left" w:leader="none"/>
              </w:tabs>
              <w:spacing w:line="171" w:lineRule="exact"/>
              <w:ind w:left="186"/>
              <w:rPr>
                <w:sz w:val="15"/>
              </w:rPr>
            </w:pPr>
            <w:r>
              <w:rPr>
                <w:color w:val="231F20"/>
                <w:spacing w:val="-2"/>
                <w:sz w:val="15"/>
              </w:rPr>
              <w:t>meningitis</w:t>
            </w:r>
            <w:r>
              <w:rPr>
                <w:color w:val="231F20"/>
                <w:sz w:val="15"/>
              </w:rPr>
              <w:tab/>
            </w:r>
            <w:r>
              <w:rPr>
                <w:color w:val="231F20"/>
                <w:w w:val="90"/>
                <w:sz w:val="15"/>
              </w:rPr>
              <w:t>(100-</w:t>
            </w:r>
            <w:r>
              <w:rPr>
                <w:color w:val="231F20"/>
                <w:spacing w:val="-4"/>
                <w:sz w:val="15"/>
              </w:rPr>
              <w:t>300)</w:t>
            </w:r>
          </w:p>
          <w:p>
            <w:pPr>
              <w:pStyle w:val="TableParagraph"/>
              <w:spacing w:before="162"/>
              <w:rPr>
                <w:i/>
                <w:sz w:val="15"/>
              </w:rPr>
            </w:pPr>
          </w:p>
          <w:p>
            <w:pPr>
              <w:pStyle w:val="TableParagraph"/>
              <w:tabs>
                <w:tab w:pos="1740" w:val="left" w:leader="none"/>
                <w:tab w:pos="1852" w:val="left" w:leader="none"/>
              </w:tabs>
              <w:spacing w:line="230" w:lineRule="auto"/>
              <w:ind w:left="186" w:right="591" w:hanging="112"/>
              <w:rPr>
                <w:sz w:val="15"/>
              </w:rPr>
            </w:pPr>
            <w:r>
              <w:rPr>
                <w:color w:val="231F20"/>
                <w:sz w:val="15"/>
              </w:rPr>
              <w:t>Partially treated</w:t>
              <w:tab/>
              <w:t>Normal</w:t>
            </w:r>
            <w:r>
              <w:rPr>
                <w:color w:val="231F20"/>
                <w:spacing w:val="-12"/>
                <w:sz w:val="15"/>
              </w:rPr>
              <w:t> </w:t>
            </w:r>
            <w:r>
              <w:rPr>
                <w:color w:val="231F20"/>
                <w:sz w:val="15"/>
              </w:rPr>
              <w:t>or </w:t>
            </w:r>
            <w:r>
              <w:rPr>
                <w:color w:val="231F20"/>
                <w:spacing w:val="-4"/>
                <w:sz w:val="15"/>
              </w:rPr>
              <w:t>bacterial</w:t>
            </w:r>
            <w:r>
              <w:rPr>
                <w:color w:val="231F20"/>
                <w:spacing w:val="6"/>
                <w:sz w:val="15"/>
              </w:rPr>
              <w:t> </w:t>
            </w:r>
            <w:r>
              <w:rPr>
                <w:color w:val="231F20"/>
                <w:spacing w:val="-2"/>
                <w:sz w:val="15"/>
              </w:rPr>
              <w:t>meningitis</w:t>
            </w:r>
            <w:r>
              <w:rPr>
                <w:color w:val="231F20"/>
                <w:sz w:val="15"/>
              </w:rPr>
              <w:tab/>
              <w:tab/>
            </w:r>
            <w:r>
              <w:rPr>
                <w:color w:val="231F20"/>
                <w:spacing w:val="-4"/>
                <w:sz w:val="15"/>
              </w:rPr>
              <w:t>elevated</w:t>
            </w:r>
          </w:p>
          <w:p>
            <w:pPr>
              <w:pStyle w:val="TableParagraph"/>
              <w:rPr>
                <w:i/>
                <w:sz w:val="15"/>
              </w:rPr>
            </w:pPr>
          </w:p>
          <w:p>
            <w:pPr>
              <w:pStyle w:val="TableParagraph"/>
              <w:rPr>
                <w:i/>
                <w:sz w:val="15"/>
              </w:rPr>
            </w:pPr>
          </w:p>
          <w:p>
            <w:pPr>
              <w:pStyle w:val="TableParagraph"/>
              <w:spacing w:before="152"/>
              <w:rPr>
                <w:i/>
                <w:sz w:val="15"/>
              </w:rPr>
            </w:pPr>
          </w:p>
          <w:p>
            <w:pPr>
              <w:pStyle w:val="TableParagraph"/>
              <w:tabs>
                <w:tab w:pos="1740" w:val="left" w:leader="none"/>
                <w:tab w:pos="1852" w:val="left" w:leader="none"/>
              </w:tabs>
              <w:spacing w:line="230" w:lineRule="auto" w:before="1"/>
              <w:ind w:left="186" w:right="85" w:hanging="112"/>
              <w:rPr>
                <w:sz w:val="15"/>
              </w:rPr>
            </w:pPr>
            <w:r>
              <w:rPr>
                <w:color w:val="231F20"/>
                <w:sz w:val="15"/>
              </w:rPr>
              <w:t>Viral meningitis or</w:t>
              <w:tab/>
              <w:t>Normal</w:t>
            </w:r>
            <w:r>
              <w:rPr>
                <w:color w:val="231F20"/>
                <w:spacing w:val="-12"/>
                <w:sz w:val="15"/>
              </w:rPr>
              <w:t> </w:t>
            </w:r>
            <w:r>
              <w:rPr>
                <w:color w:val="231F20"/>
                <w:sz w:val="15"/>
              </w:rPr>
              <w:t>or</w:t>
            </w:r>
            <w:r>
              <w:rPr>
                <w:color w:val="231F20"/>
                <w:spacing w:val="-11"/>
                <w:sz w:val="15"/>
              </w:rPr>
              <w:t> </w:t>
            </w:r>
            <w:r>
              <w:rPr>
                <w:color w:val="231F20"/>
                <w:sz w:val="15"/>
              </w:rPr>
              <w:t>slightly </w:t>
            </w:r>
            <w:r>
              <w:rPr>
                <w:color w:val="231F20"/>
                <w:spacing w:val="-2"/>
                <w:sz w:val="15"/>
              </w:rPr>
              <w:t>meningoencephalitis</w:t>
            </w:r>
            <w:r>
              <w:rPr>
                <w:color w:val="231F20"/>
                <w:sz w:val="15"/>
              </w:rPr>
              <w:tab/>
              <w:tab/>
            </w:r>
            <w:r>
              <w:rPr>
                <w:color w:val="231F20"/>
                <w:spacing w:val="-2"/>
                <w:sz w:val="15"/>
              </w:rPr>
              <w:t>elevated</w:t>
            </w:r>
          </w:p>
          <w:p>
            <w:pPr>
              <w:pStyle w:val="TableParagraph"/>
              <w:spacing w:line="170" w:lineRule="exact"/>
              <w:ind w:left="1852"/>
              <w:rPr>
                <w:sz w:val="15"/>
              </w:rPr>
            </w:pPr>
            <w:r>
              <w:rPr>
                <w:color w:val="231F20"/>
                <w:w w:val="90"/>
                <w:sz w:val="15"/>
              </w:rPr>
              <w:t>(80-</w:t>
            </w:r>
            <w:r>
              <w:rPr>
                <w:color w:val="231F20"/>
                <w:spacing w:val="-4"/>
                <w:sz w:val="15"/>
              </w:rPr>
              <w:t>150)</w:t>
            </w:r>
          </w:p>
        </w:tc>
        <w:tc>
          <w:tcPr>
            <w:tcW w:w="2062" w:type="dxa"/>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197" w:right="151" w:hanging="112"/>
              <w:rPr>
                <w:sz w:val="15"/>
              </w:rPr>
            </w:pPr>
            <w:r>
              <w:rPr>
                <w:color w:val="231F20"/>
                <w:spacing w:val="-2"/>
                <w:sz w:val="15"/>
              </w:rPr>
              <w:t>100-10,000</w:t>
            </w:r>
            <w:r>
              <w:rPr>
                <w:color w:val="231F20"/>
                <w:spacing w:val="-10"/>
                <w:sz w:val="15"/>
              </w:rPr>
              <w:t> </w:t>
            </w:r>
            <w:r>
              <w:rPr>
                <w:color w:val="231F20"/>
                <w:spacing w:val="-2"/>
                <w:sz w:val="15"/>
              </w:rPr>
              <w:t>or</w:t>
            </w:r>
            <w:r>
              <w:rPr>
                <w:color w:val="231F20"/>
                <w:spacing w:val="-9"/>
                <w:sz w:val="15"/>
              </w:rPr>
              <w:t> </w:t>
            </w:r>
            <w:r>
              <w:rPr>
                <w:color w:val="231F20"/>
                <w:spacing w:val="-2"/>
                <w:sz w:val="15"/>
              </w:rPr>
              <w:t>more;</w:t>
            </w:r>
            <w:r>
              <w:rPr>
                <w:color w:val="231F20"/>
                <w:spacing w:val="-9"/>
                <w:sz w:val="15"/>
              </w:rPr>
              <w:t> </w:t>
            </w:r>
            <w:r>
              <w:rPr>
                <w:color w:val="231F20"/>
                <w:spacing w:val="-2"/>
                <w:sz w:val="15"/>
              </w:rPr>
              <w:t>usuall</w:t>
            </w:r>
            <w:r>
              <w:rPr>
                <w:color w:val="231F20"/>
                <w:spacing w:val="-2"/>
                <w:sz w:val="15"/>
              </w:rPr>
              <w:t>y</w:t>
            </w:r>
            <w:r>
              <w:rPr>
                <w:color w:val="231F20"/>
                <w:spacing w:val="-2"/>
                <w:sz w:val="15"/>
              </w:rPr>
              <w:t> </w:t>
            </w:r>
            <w:r>
              <w:rPr>
                <w:color w:val="231F20"/>
                <w:sz w:val="15"/>
              </w:rPr>
              <w:t>300-2,000; PMNs</w:t>
            </w:r>
          </w:p>
          <w:p>
            <w:pPr>
              <w:pStyle w:val="TableParagraph"/>
              <w:spacing w:line="170" w:lineRule="exact"/>
              <w:ind w:left="197"/>
              <w:rPr>
                <w:sz w:val="15"/>
              </w:rPr>
            </w:pPr>
            <w:r>
              <w:rPr>
                <w:color w:val="231F20"/>
                <w:spacing w:val="-2"/>
                <w:sz w:val="15"/>
              </w:rPr>
              <w:t>predominate</w:t>
            </w:r>
          </w:p>
          <w:p>
            <w:pPr>
              <w:pStyle w:val="TableParagraph"/>
              <w:spacing w:line="230" w:lineRule="auto" w:before="169"/>
              <w:ind w:left="197" w:right="114" w:hanging="112"/>
              <w:rPr>
                <w:sz w:val="15"/>
              </w:rPr>
            </w:pPr>
            <w:r>
              <w:rPr>
                <w:color w:val="231F20"/>
                <w:sz w:val="15"/>
              </w:rPr>
              <w:t>5-10,000; PMNs usual but mononuclear cells may </w:t>
            </w:r>
            <w:r>
              <w:rPr>
                <w:color w:val="231F20"/>
                <w:spacing w:val="-2"/>
                <w:sz w:val="15"/>
              </w:rPr>
              <w:t>predominate</w:t>
            </w:r>
            <w:r>
              <w:rPr>
                <w:color w:val="231F20"/>
                <w:spacing w:val="-10"/>
                <w:sz w:val="15"/>
              </w:rPr>
              <w:t> </w:t>
            </w:r>
            <w:r>
              <w:rPr>
                <w:color w:val="231F20"/>
                <w:spacing w:val="-2"/>
                <w:sz w:val="15"/>
              </w:rPr>
              <w:t>if</w:t>
            </w:r>
            <w:r>
              <w:rPr>
                <w:color w:val="231F20"/>
                <w:spacing w:val="-9"/>
                <w:sz w:val="15"/>
              </w:rPr>
              <w:t> </w:t>
            </w:r>
            <w:r>
              <w:rPr>
                <w:color w:val="231F20"/>
                <w:spacing w:val="-2"/>
                <w:sz w:val="15"/>
              </w:rPr>
              <w:t>pretreate</w:t>
            </w:r>
            <w:r>
              <w:rPr>
                <w:color w:val="231F20"/>
                <w:spacing w:val="-2"/>
                <w:sz w:val="15"/>
              </w:rPr>
              <w:t>d</w:t>
            </w:r>
            <w:r>
              <w:rPr>
                <w:color w:val="231F20"/>
                <w:spacing w:val="-2"/>
                <w:sz w:val="15"/>
              </w:rPr>
              <w:t> </w:t>
            </w:r>
            <w:r>
              <w:rPr>
                <w:color w:val="231F20"/>
                <w:sz w:val="15"/>
              </w:rPr>
              <w:t>for extended period of </w:t>
            </w:r>
            <w:r>
              <w:rPr>
                <w:color w:val="231F20"/>
                <w:spacing w:val="-4"/>
                <w:sz w:val="15"/>
              </w:rPr>
              <w:t>time</w:t>
            </w:r>
          </w:p>
          <w:p>
            <w:pPr>
              <w:pStyle w:val="TableParagraph"/>
              <w:spacing w:line="230" w:lineRule="auto" w:before="173"/>
              <w:ind w:left="197" w:right="102" w:hanging="112"/>
              <w:rPr>
                <w:sz w:val="15"/>
              </w:rPr>
            </w:pPr>
            <w:r>
              <w:rPr>
                <w:color w:val="231F20"/>
                <w:sz w:val="15"/>
              </w:rPr>
              <w:t>Rarely</w:t>
            </w:r>
            <w:r>
              <w:rPr>
                <w:color w:val="231F20"/>
                <w:spacing w:val="-12"/>
                <w:sz w:val="15"/>
              </w:rPr>
              <w:t> </w:t>
            </w:r>
            <w:r>
              <w:rPr>
                <w:rFonts w:ascii="Cambria"/>
                <w:color w:val="231F20"/>
                <w:sz w:val="15"/>
              </w:rPr>
              <w:t>&gt;</w:t>
            </w:r>
            <w:r>
              <w:rPr>
                <w:color w:val="231F20"/>
                <w:sz w:val="15"/>
              </w:rPr>
              <w:t>1,000</w:t>
            </w:r>
            <w:r>
              <w:rPr>
                <w:color w:val="231F20"/>
                <w:spacing w:val="-11"/>
                <w:sz w:val="15"/>
              </w:rPr>
              <w:t> </w:t>
            </w:r>
            <w:r>
              <w:rPr>
                <w:color w:val="231F20"/>
                <w:sz w:val="15"/>
              </w:rPr>
              <w:t>cells.</w:t>
            </w:r>
            <w:r>
              <w:rPr>
                <w:color w:val="231F20"/>
                <w:spacing w:val="-11"/>
                <w:sz w:val="15"/>
              </w:rPr>
              <w:t> </w:t>
            </w:r>
            <w:r>
              <w:rPr>
                <w:color w:val="231F20"/>
                <w:sz w:val="15"/>
              </w:rPr>
              <w:t>Eastern equine encephalitis and </w:t>
            </w:r>
            <w:r>
              <w:rPr>
                <w:color w:val="231F20"/>
                <w:spacing w:val="-2"/>
                <w:sz w:val="15"/>
              </w:rPr>
              <w:t>lymphocytic </w:t>
            </w:r>
            <w:r>
              <w:rPr>
                <w:color w:val="231F20"/>
                <w:sz w:val="15"/>
              </w:rPr>
              <w:t>choriomeningitis may</w:t>
            </w:r>
            <w:r>
              <w:rPr>
                <w:color w:val="231F20"/>
                <w:spacing w:val="40"/>
                <w:sz w:val="15"/>
              </w:rPr>
              <w:t> </w:t>
            </w:r>
            <w:r>
              <w:rPr>
                <w:color w:val="231F20"/>
                <w:sz w:val="15"/>
              </w:rPr>
              <w:t>have</w:t>
            </w:r>
            <w:r>
              <w:rPr>
                <w:color w:val="231F20"/>
                <w:spacing w:val="-12"/>
                <w:sz w:val="15"/>
              </w:rPr>
              <w:t> </w:t>
            </w:r>
            <w:r>
              <w:rPr>
                <w:color w:val="231F20"/>
                <w:sz w:val="15"/>
              </w:rPr>
              <w:t>cell</w:t>
            </w:r>
            <w:r>
              <w:rPr>
                <w:color w:val="231F20"/>
                <w:spacing w:val="-11"/>
                <w:sz w:val="15"/>
              </w:rPr>
              <w:t> </w:t>
            </w:r>
            <w:r>
              <w:rPr>
                <w:color w:val="231F20"/>
                <w:sz w:val="15"/>
              </w:rPr>
              <w:t>counts</w:t>
            </w:r>
            <w:r>
              <w:rPr>
                <w:color w:val="231F20"/>
                <w:spacing w:val="-11"/>
                <w:sz w:val="15"/>
              </w:rPr>
              <w:t> </w:t>
            </w:r>
            <w:r>
              <w:rPr>
                <w:color w:val="231F20"/>
                <w:sz w:val="15"/>
              </w:rPr>
              <w:t>of</w:t>
            </w:r>
            <w:r>
              <w:rPr>
                <w:color w:val="231F20"/>
                <w:spacing w:val="-12"/>
                <w:sz w:val="15"/>
              </w:rPr>
              <w:t> </w:t>
            </w:r>
            <w:r>
              <w:rPr>
                <w:color w:val="231F20"/>
                <w:sz w:val="15"/>
              </w:rPr>
              <w:t>several thousand. PMNs early but mononuclear cells predominate through</w:t>
            </w:r>
            <w:r>
              <w:rPr>
                <w:color w:val="231F20"/>
                <w:spacing w:val="40"/>
                <w:sz w:val="15"/>
              </w:rPr>
              <w:t> </w:t>
            </w:r>
            <w:r>
              <w:rPr>
                <w:color w:val="231F20"/>
                <w:sz w:val="15"/>
              </w:rPr>
              <w:t>most of the course</w:t>
            </w:r>
          </w:p>
        </w:tc>
        <w:tc>
          <w:tcPr>
            <w:tcW w:w="1161" w:type="dxa"/>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194" w:right="449" w:hanging="112"/>
              <w:rPr>
                <w:sz w:val="15"/>
              </w:rPr>
            </w:pPr>
            <w:r>
              <w:rPr>
                <w:color w:val="231F20"/>
                <w:spacing w:val="-2"/>
                <w:sz w:val="15"/>
              </w:rPr>
              <w:t>Usually </w:t>
            </w:r>
            <w:r>
              <w:rPr>
                <w:color w:val="231F20"/>
                <w:spacing w:val="-4"/>
                <w:sz w:val="15"/>
              </w:rPr>
              <w:t>100-</w:t>
            </w:r>
            <w:r>
              <w:rPr>
                <w:color w:val="231F20"/>
                <w:spacing w:val="-4"/>
                <w:sz w:val="15"/>
              </w:rPr>
              <w:t>500</w:t>
            </w:r>
          </w:p>
          <w:p>
            <w:pPr>
              <w:pStyle w:val="TableParagraph"/>
              <w:spacing w:before="164"/>
              <w:rPr>
                <w:i/>
                <w:sz w:val="15"/>
              </w:rPr>
            </w:pPr>
          </w:p>
          <w:p>
            <w:pPr>
              <w:pStyle w:val="TableParagraph"/>
              <w:spacing w:line="230" w:lineRule="auto"/>
              <w:ind w:left="194" w:right="449" w:hanging="112"/>
              <w:rPr>
                <w:sz w:val="15"/>
              </w:rPr>
            </w:pPr>
            <w:r>
              <w:rPr>
                <w:color w:val="231F20"/>
                <w:spacing w:val="-2"/>
                <w:sz w:val="15"/>
              </w:rPr>
              <w:t>Usually </w:t>
            </w:r>
            <w:r>
              <w:rPr>
                <w:color w:val="231F20"/>
                <w:spacing w:val="-4"/>
                <w:sz w:val="15"/>
              </w:rPr>
              <w:t>100-</w:t>
            </w:r>
            <w:r>
              <w:rPr>
                <w:color w:val="231F20"/>
                <w:spacing w:val="-4"/>
                <w:sz w:val="15"/>
              </w:rPr>
              <w:t>500</w:t>
            </w:r>
          </w:p>
          <w:p>
            <w:pPr>
              <w:pStyle w:val="TableParagraph"/>
              <w:rPr>
                <w:i/>
                <w:sz w:val="15"/>
              </w:rPr>
            </w:pPr>
          </w:p>
          <w:p>
            <w:pPr>
              <w:pStyle w:val="TableParagraph"/>
              <w:rPr>
                <w:i/>
                <w:sz w:val="15"/>
              </w:rPr>
            </w:pPr>
          </w:p>
          <w:p>
            <w:pPr>
              <w:pStyle w:val="TableParagraph"/>
              <w:spacing w:before="147"/>
              <w:rPr>
                <w:i/>
                <w:sz w:val="15"/>
              </w:rPr>
            </w:pPr>
          </w:p>
          <w:p>
            <w:pPr>
              <w:pStyle w:val="TableParagraph"/>
              <w:ind w:left="82"/>
              <w:rPr>
                <w:sz w:val="15"/>
              </w:rPr>
            </w:pPr>
            <w:r>
              <w:rPr>
                <w:color w:val="231F20"/>
                <w:spacing w:val="-2"/>
                <w:sz w:val="15"/>
              </w:rPr>
              <w:t>Usually</w:t>
            </w:r>
            <w:r>
              <w:rPr>
                <w:color w:val="231F20"/>
                <w:sz w:val="15"/>
              </w:rPr>
              <w:t> </w:t>
            </w:r>
            <w:r>
              <w:rPr>
                <w:color w:val="231F20"/>
                <w:spacing w:val="-2"/>
                <w:sz w:val="15"/>
              </w:rPr>
              <w:t>50-</w:t>
            </w:r>
            <w:r>
              <w:rPr>
                <w:color w:val="231F20"/>
                <w:spacing w:val="-5"/>
                <w:sz w:val="15"/>
              </w:rPr>
              <w:t>200</w:t>
            </w:r>
          </w:p>
        </w:tc>
        <w:tc>
          <w:tcPr>
            <w:tcW w:w="1389" w:type="dxa"/>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193" w:right="230" w:hanging="112"/>
              <w:rPr>
                <w:sz w:val="15"/>
              </w:rPr>
            </w:pPr>
            <w:r>
              <w:rPr>
                <w:color w:val="231F20"/>
                <w:spacing w:val="-2"/>
                <w:sz w:val="15"/>
              </w:rPr>
              <w:t>Decreased, usually</w:t>
            </w:r>
            <w:r>
              <w:rPr>
                <w:color w:val="231F20"/>
                <w:spacing w:val="-10"/>
                <w:sz w:val="15"/>
              </w:rPr>
              <w:t> </w:t>
            </w:r>
            <w:r>
              <w:rPr>
                <w:rFonts w:ascii="Cambria"/>
                <w:color w:val="231F20"/>
                <w:spacing w:val="-2"/>
                <w:sz w:val="15"/>
              </w:rPr>
              <w:t>&lt;</w:t>
            </w:r>
            <w:r>
              <w:rPr>
                <w:color w:val="231F20"/>
                <w:spacing w:val="-2"/>
                <w:sz w:val="15"/>
              </w:rPr>
              <w:t>40</w:t>
            </w:r>
            <w:r>
              <w:rPr>
                <w:color w:val="231F20"/>
                <w:spacing w:val="-9"/>
                <w:sz w:val="15"/>
              </w:rPr>
              <w:t> </w:t>
            </w:r>
            <w:r>
              <w:rPr>
                <w:color w:val="231F20"/>
                <w:spacing w:val="-2"/>
                <w:sz w:val="15"/>
              </w:rPr>
              <w:t>(or</w:t>
            </w:r>
          </w:p>
          <w:p>
            <w:pPr>
              <w:pStyle w:val="TableParagraph"/>
              <w:spacing w:line="230" w:lineRule="auto"/>
              <w:ind w:left="193"/>
              <w:rPr>
                <w:sz w:val="15"/>
              </w:rPr>
            </w:pPr>
            <w:r>
              <w:rPr>
                <w:rFonts w:ascii="Cambria"/>
                <w:color w:val="231F20"/>
                <w:sz w:val="15"/>
              </w:rPr>
              <w:t>&lt;</w:t>
            </w:r>
            <w:r>
              <w:rPr>
                <w:color w:val="231F20"/>
                <w:sz w:val="15"/>
              </w:rPr>
              <w:t>50%</w:t>
            </w:r>
            <w:r>
              <w:rPr>
                <w:color w:val="231F20"/>
                <w:spacing w:val="-9"/>
                <w:sz w:val="15"/>
              </w:rPr>
              <w:t> </w:t>
            </w:r>
            <w:r>
              <w:rPr>
                <w:color w:val="231F20"/>
                <w:sz w:val="15"/>
              </w:rPr>
              <w:t>serum </w:t>
            </w:r>
            <w:r>
              <w:rPr>
                <w:color w:val="231F20"/>
                <w:spacing w:val="-2"/>
                <w:sz w:val="15"/>
              </w:rPr>
              <w:t>glucose)</w:t>
            </w:r>
          </w:p>
          <w:p>
            <w:pPr>
              <w:pStyle w:val="TableParagraph"/>
              <w:spacing w:line="230" w:lineRule="auto" w:before="1"/>
              <w:ind w:left="193" w:hanging="112"/>
              <w:rPr>
                <w:sz w:val="15"/>
              </w:rPr>
            </w:pPr>
            <w:r>
              <w:rPr>
                <w:color w:val="231F20"/>
                <w:sz w:val="15"/>
              </w:rPr>
              <w:t>Normal or </w:t>
            </w:r>
            <w:r>
              <w:rPr>
                <w:color w:val="231F20"/>
                <w:spacing w:val="-2"/>
                <w:sz w:val="15"/>
              </w:rPr>
              <w:t>decreased</w:t>
            </w:r>
          </w:p>
          <w:p>
            <w:pPr>
              <w:pStyle w:val="TableParagraph"/>
              <w:rPr>
                <w:i/>
                <w:sz w:val="15"/>
              </w:rPr>
            </w:pPr>
          </w:p>
          <w:p>
            <w:pPr>
              <w:pStyle w:val="TableParagraph"/>
              <w:rPr>
                <w:i/>
                <w:sz w:val="15"/>
              </w:rPr>
            </w:pPr>
          </w:p>
          <w:p>
            <w:pPr>
              <w:pStyle w:val="TableParagraph"/>
              <w:spacing w:before="152"/>
              <w:rPr>
                <w:i/>
                <w:sz w:val="15"/>
              </w:rPr>
            </w:pPr>
          </w:p>
          <w:p>
            <w:pPr>
              <w:pStyle w:val="TableParagraph"/>
              <w:spacing w:line="230" w:lineRule="auto"/>
              <w:ind w:left="193" w:right="121" w:hanging="112"/>
              <w:rPr>
                <w:sz w:val="15"/>
              </w:rPr>
            </w:pPr>
            <w:r>
              <w:rPr>
                <w:color w:val="231F20"/>
                <w:spacing w:val="-4"/>
                <w:sz w:val="15"/>
              </w:rPr>
              <w:t>Generally</w:t>
            </w:r>
            <w:r>
              <w:rPr>
                <w:color w:val="231F20"/>
                <w:spacing w:val="-8"/>
                <w:sz w:val="15"/>
              </w:rPr>
              <w:t> </w:t>
            </w:r>
            <w:r>
              <w:rPr>
                <w:color w:val="231F20"/>
                <w:spacing w:val="-4"/>
                <w:sz w:val="15"/>
              </w:rPr>
              <w:t>normal; </w:t>
            </w:r>
            <w:r>
              <w:rPr>
                <w:color w:val="231F20"/>
                <w:sz w:val="15"/>
              </w:rPr>
              <w:t>may be decreased to</w:t>
            </w:r>
          </w:p>
          <w:p>
            <w:pPr>
              <w:pStyle w:val="TableParagraph"/>
              <w:spacing w:line="230" w:lineRule="auto" w:before="1"/>
              <w:ind w:left="193" w:right="121"/>
              <w:rPr>
                <w:sz w:val="15"/>
              </w:rPr>
            </w:pPr>
            <w:r>
              <w:rPr>
                <w:rFonts w:ascii="Cambria"/>
                <w:color w:val="231F20"/>
                <w:sz w:val="15"/>
              </w:rPr>
              <w:t>&lt;</w:t>
            </w:r>
            <w:r>
              <w:rPr>
                <w:color w:val="231F20"/>
                <w:sz w:val="15"/>
              </w:rPr>
              <w:t>40 in some viral diseases, </w:t>
            </w:r>
            <w:r>
              <w:rPr>
                <w:color w:val="231F20"/>
                <w:spacing w:val="-2"/>
                <w:sz w:val="15"/>
              </w:rPr>
              <w:t>particularly </w:t>
            </w:r>
            <w:r>
              <w:rPr>
                <w:color w:val="231F20"/>
                <w:sz w:val="15"/>
              </w:rPr>
              <w:t>mumps</w:t>
            </w:r>
            <w:r>
              <w:rPr>
                <w:color w:val="231F20"/>
                <w:spacing w:val="-12"/>
                <w:sz w:val="15"/>
              </w:rPr>
              <w:t> </w:t>
            </w:r>
            <w:r>
              <w:rPr>
                <w:color w:val="231F20"/>
                <w:sz w:val="15"/>
              </w:rPr>
              <w:t>(15-</w:t>
            </w:r>
            <w:r>
              <w:rPr>
                <w:color w:val="231F20"/>
                <w:sz w:val="15"/>
              </w:rPr>
              <w:t>20% of cases)</w:t>
            </w:r>
          </w:p>
        </w:tc>
        <w:tc>
          <w:tcPr>
            <w:tcW w:w="2114" w:type="dxa"/>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192" w:right="161" w:hanging="112"/>
              <w:rPr>
                <w:sz w:val="15"/>
              </w:rPr>
            </w:pPr>
            <w:r>
              <w:rPr>
                <w:color w:val="231F20"/>
                <w:sz w:val="15"/>
              </w:rPr>
              <w:t>Organisms usually seen on Gram</w:t>
            </w:r>
            <w:r>
              <w:rPr>
                <w:color w:val="231F20"/>
                <w:spacing w:val="-12"/>
                <w:sz w:val="15"/>
              </w:rPr>
              <w:t> </w:t>
            </w:r>
            <w:r>
              <w:rPr>
                <w:color w:val="231F20"/>
                <w:sz w:val="15"/>
              </w:rPr>
              <w:t>stain</w:t>
            </w:r>
            <w:r>
              <w:rPr>
                <w:color w:val="231F20"/>
                <w:spacing w:val="-11"/>
                <w:sz w:val="15"/>
              </w:rPr>
              <w:t> </w:t>
            </w:r>
            <w:r>
              <w:rPr>
                <w:color w:val="231F20"/>
                <w:sz w:val="15"/>
              </w:rPr>
              <w:t>and</w:t>
            </w:r>
            <w:r>
              <w:rPr>
                <w:color w:val="231F20"/>
                <w:spacing w:val="-11"/>
                <w:sz w:val="15"/>
              </w:rPr>
              <w:t> </w:t>
            </w:r>
            <w:r>
              <w:rPr>
                <w:color w:val="231F20"/>
                <w:sz w:val="15"/>
              </w:rPr>
              <w:t>recovered by culture</w:t>
            </w:r>
          </w:p>
          <w:p>
            <w:pPr>
              <w:pStyle w:val="TableParagraph"/>
              <w:spacing w:line="230" w:lineRule="auto" w:before="171"/>
              <w:ind w:left="192" w:hanging="112"/>
              <w:rPr>
                <w:sz w:val="15"/>
              </w:rPr>
            </w:pPr>
            <w:r>
              <w:rPr>
                <w:color w:val="231F20"/>
                <w:w w:val="105"/>
                <w:sz w:val="15"/>
              </w:rPr>
              <w:t>Organisms</w:t>
            </w:r>
            <w:r>
              <w:rPr>
                <w:color w:val="231F20"/>
                <w:spacing w:val="-12"/>
                <w:w w:val="105"/>
                <w:sz w:val="15"/>
              </w:rPr>
              <w:t> </w:t>
            </w:r>
            <w:r>
              <w:rPr>
                <w:color w:val="231F20"/>
                <w:w w:val="105"/>
                <w:sz w:val="15"/>
              </w:rPr>
              <w:t>may</w:t>
            </w:r>
            <w:r>
              <w:rPr>
                <w:color w:val="231F20"/>
                <w:spacing w:val="-12"/>
                <w:w w:val="105"/>
                <w:sz w:val="15"/>
              </w:rPr>
              <w:t> </w:t>
            </w:r>
            <w:r>
              <w:rPr>
                <w:color w:val="231F20"/>
                <w:w w:val="105"/>
                <w:sz w:val="15"/>
              </w:rPr>
              <w:t>be</w:t>
            </w:r>
            <w:r>
              <w:rPr>
                <w:color w:val="231F20"/>
                <w:spacing w:val="-12"/>
                <w:w w:val="105"/>
                <w:sz w:val="15"/>
              </w:rPr>
              <w:t> </w:t>
            </w:r>
            <w:r>
              <w:rPr>
                <w:color w:val="231F20"/>
                <w:w w:val="105"/>
                <w:sz w:val="15"/>
              </w:rPr>
              <w:t>seen</w:t>
            </w:r>
            <w:r>
              <w:rPr>
                <w:color w:val="231F20"/>
                <w:spacing w:val="-12"/>
                <w:w w:val="105"/>
                <w:sz w:val="15"/>
              </w:rPr>
              <w:t> </w:t>
            </w:r>
            <w:r>
              <w:rPr>
                <w:color w:val="231F20"/>
                <w:w w:val="105"/>
                <w:sz w:val="15"/>
              </w:rPr>
              <w:t>on Gram stain</w:t>
            </w:r>
          </w:p>
          <w:p>
            <w:pPr>
              <w:pStyle w:val="TableParagraph"/>
              <w:spacing w:line="230" w:lineRule="auto" w:before="2"/>
              <w:ind w:left="192" w:right="161" w:hanging="112"/>
              <w:rPr>
                <w:sz w:val="15"/>
              </w:rPr>
            </w:pPr>
            <w:r>
              <w:rPr>
                <w:color w:val="231F20"/>
                <w:sz w:val="15"/>
              </w:rPr>
              <w:t>Pretreatment may render CSF</w:t>
            </w:r>
            <w:r>
              <w:rPr>
                <w:color w:val="231F20"/>
                <w:spacing w:val="-12"/>
                <w:sz w:val="15"/>
              </w:rPr>
              <w:t> </w:t>
            </w:r>
            <w:r>
              <w:rPr>
                <w:color w:val="231F20"/>
                <w:sz w:val="15"/>
              </w:rPr>
              <w:t>sterile.</w:t>
            </w:r>
            <w:r>
              <w:rPr>
                <w:color w:val="231F20"/>
                <w:spacing w:val="-11"/>
                <w:sz w:val="15"/>
              </w:rPr>
              <w:t> </w:t>
            </w:r>
            <w:r>
              <w:rPr>
                <w:color w:val="231F20"/>
                <w:sz w:val="15"/>
              </w:rPr>
              <w:t>Antigen</w:t>
            </w:r>
            <w:r>
              <w:rPr>
                <w:color w:val="231F20"/>
                <w:spacing w:val="-11"/>
                <w:sz w:val="15"/>
              </w:rPr>
              <w:t> </w:t>
            </w:r>
            <w:r>
              <w:rPr>
                <w:color w:val="231F20"/>
                <w:sz w:val="15"/>
              </w:rPr>
              <w:t>may be detected by agglutination test</w:t>
            </w:r>
          </w:p>
          <w:p>
            <w:pPr>
              <w:pStyle w:val="TableParagraph"/>
              <w:spacing w:line="230" w:lineRule="auto" w:before="4"/>
              <w:ind w:left="192" w:right="86" w:hanging="112"/>
              <w:rPr>
                <w:sz w:val="15"/>
              </w:rPr>
            </w:pPr>
            <w:r>
              <w:rPr>
                <w:color w:val="231F20"/>
                <w:sz w:val="15"/>
              </w:rPr>
              <w:t>HSV encephalitis is</w:t>
            </w:r>
            <w:r>
              <w:rPr>
                <w:color w:val="231F20"/>
                <w:spacing w:val="40"/>
                <w:sz w:val="15"/>
              </w:rPr>
              <w:t> </w:t>
            </w:r>
            <w:r>
              <w:rPr>
                <w:color w:val="231F20"/>
                <w:sz w:val="15"/>
              </w:rPr>
              <w:t>suggested</w:t>
            </w:r>
            <w:r>
              <w:rPr>
                <w:color w:val="231F20"/>
                <w:spacing w:val="-7"/>
                <w:sz w:val="15"/>
              </w:rPr>
              <w:t> </w:t>
            </w:r>
            <w:r>
              <w:rPr>
                <w:color w:val="231F20"/>
                <w:sz w:val="15"/>
              </w:rPr>
              <w:t>by</w:t>
            </w:r>
            <w:r>
              <w:rPr>
                <w:color w:val="231F20"/>
                <w:spacing w:val="-7"/>
                <w:sz w:val="15"/>
              </w:rPr>
              <w:t> </w:t>
            </w:r>
            <w:r>
              <w:rPr>
                <w:color w:val="231F20"/>
                <w:sz w:val="15"/>
              </w:rPr>
              <w:t>focal</w:t>
            </w:r>
            <w:r>
              <w:rPr>
                <w:color w:val="231F20"/>
                <w:spacing w:val="-7"/>
                <w:sz w:val="15"/>
              </w:rPr>
              <w:t> </w:t>
            </w:r>
            <w:r>
              <w:rPr>
                <w:color w:val="231F20"/>
                <w:sz w:val="15"/>
              </w:rPr>
              <w:t>seizures or by focal findings on CT or MRI scans or EEG. Enteroviruses and HSV infrequently recovered from CSF. HSV and enteroviruses may be detected by PCR of CSF</w:t>
            </w:r>
          </w:p>
        </w:tc>
      </w:tr>
      <w:tr>
        <w:trPr>
          <w:trHeight w:val="4626" w:hRule="atLeast"/>
        </w:trPr>
        <w:tc>
          <w:tcPr>
            <w:tcW w:w="3019" w:type="dxa"/>
            <w:gridSpan w:val="2"/>
            <w:tcBorders>
              <w:top w:val="single" w:sz="4" w:space="0" w:color="FFFFFF"/>
              <w:bottom w:val="single" w:sz="4" w:space="0" w:color="FFFFFF"/>
            </w:tcBorders>
            <w:shd w:val="clear" w:color="auto" w:fill="E8F5F1"/>
          </w:tcPr>
          <w:p>
            <w:pPr>
              <w:pStyle w:val="TableParagraph"/>
              <w:spacing w:line="172" w:lineRule="exact" w:before="43"/>
              <w:ind w:left="75"/>
              <w:rPr>
                <w:sz w:val="15"/>
              </w:rPr>
            </w:pPr>
            <w:r>
              <w:rPr>
                <w:color w:val="231F20"/>
                <w:w w:val="115"/>
                <w:sz w:val="15"/>
              </w:rPr>
              <w:t>UNCOMMON</w:t>
            </w:r>
            <w:r>
              <w:rPr>
                <w:color w:val="231F20"/>
                <w:spacing w:val="15"/>
                <w:w w:val="115"/>
                <w:sz w:val="15"/>
              </w:rPr>
              <w:t> </w:t>
            </w:r>
            <w:r>
              <w:rPr>
                <w:color w:val="231F20"/>
                <w:w w:val="115"/>
                <w:sz w:val="15"/>
              </w:rPr>
              <w:t>FORMS</w:t>
            </w:r>
            <w:r>
              <w:rPr>
                <w:color w:val="231F20"/>
                <w:spacing w:val="15"/>
                <w:w w:val="115"/>
                <w:sz w:val="15"/>
              </w:rPr>
              <w:t> </w:t>
            </w:r>
            <w:r>
              <w:rPr>
                <w:color w:val="231F20"/>
                <w:w w:val="115"/>
                <w:sz w:val="15"/>
              </w:rPr>
              <w:t>OF</w:t>
            </w:r>
            <w:r>
              <w:rPr>
                <w:color w:val="231F20"/>
                <w:spacing w:val="15"/>
                <w:w w:val="115"/>
                <w:sz w:val="15"/>
              </w:rPr>
              <w:t> </w:t>
            </w:r>
            <w:r>
              <w:rPr>
                <w:color w:val="231F20"/>
                <w:spacing w:val="-2"/>
                <w:w w:val="115"/>
                <w:sz w:val="15"/>
              </w:rPr>
              <w:t>MENINGITIS</w:t>
            </w:r>
          </w:p>
          <w:p>
            <w:pPr>
              <w:pStyle w:val="TableParagraph"/>
              <w:tabs>
                <w:tab w:pos="1741" w:val="left" w:leader="none"/>
              </w:tabs>
              <w:spacing w:line="230" w:lineRule="auto" w:before="3"/>
              <w:ind w:left="186" w:right="189" w:hanging="112"/>
              <w:rPr>
                <w:sz w:val="15"/>
              </w:rPr>
            </w:pPr>
            <w:r>
              <w:rPr>
                <w:color w:val="231F20"/>
                <w:spacing w:val="-2"/>
                <w:sz w:val="15"/>
              </w:rPr>
              <w:t>Tuberculous</w:t>
            </w:r>
            <w:r>
              <w:rPr>
                <w:color w:val="231F20"/>
                <w:sz w:val="15"/>
              </w:rPr>
              <w:tab/>
            </w:r>
            <w:r>
              <w:rPr>
                <w:color w:val="231F20"/>
                <w:spacing w:val="-2"/>
                <w:sz w:val="15"/>
              </w:rPr>
              <w:t>Usually</w:t>
            </w:r>
            <w:r>
              <w:rPr>
                <w:color w:val="231F20"/>
                <w:spacing w:val="-10"/>
                <w:sz w:val="15"/>
              </w:rPr>
              <w:t> </w:t>
            </w:r>
            <w:r>
              <w:rPr>
                <w:color w:val="231F20"/>
                <w:spacing w:val="-2"/>
                <w:sz w:val="15"/>
              </w:rPr>
              <w:t>elevated meningitis</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4"/>
              <w:rPr>
                <w:i/>
                <w:sz w:val="15"/>
              </w:rPr>
            </w:pPr>
          </w:p>
          <w:p>
            <w:pPr>
              <w:pStyle w:val="TableParagraph"/>
              <w:tabs>
                <w:tab w:pos="1741" w:val="left" w:leader="none"/>
              </w:tabs>
              <w:ind w:left="75"/>
              <w:rPr>
                <w:sz w:val="15"/>
              </w:rPr>
            </w:pPr>
            <w:r>
              <w:rPr>
                <w:color w:val="231F20"/>
                <w:sz w:val="15"/>
              </w:rPr>
              <w:t>Fungal</w:t>
            </w:r>
            <w:r>
              <w:rPr>
                <w:color w:val="231F20"/>
                <w:spacing w:val="9"/>
                <w:sz w:val="15"/>
              </w:rPr>
              <w:t> </w:t>
            </w:r>
            <w:r>
              <w:rPr>
                <w:color w:val="231F20"/>
                <w:spacing w:val="-2"/>
                <w:sz w:val="15"/>
              </w:rPr>
              <w:t>meningitis</w:t>
            </w:r>
            <w:r>
              <w:rPr>
                <w:color w:val="231F20"/>
                <w:sz w:val="15"/>
              </w:rPr>
              <w:tab/>
            </w:r>
            <w:r>
              <w:rPr>
                <w:color w:val="231F20"/>
                <w:spacing w:val="-2"/>
                <w:sz w:val="15"/>
              </w:rPr>
              <w:t>Usually</w:t>
            </w:r>
            <w:r>
              <w:rPr>
                <w:color w:val="231F20"/>
                <w:sz w:val="15"/>
              </w:rPr>
              <w:t> </w:t>
            </w:r>
            <w:r>
              <w:rPr>
                <w:color w:val="231F20"/>
                <w:spacing w:val="-2"/>
                <w:sz w:val="15"/>
              </w:rPr>
              <w:t>elevated</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8"/>
              <w:rPr>
                <w:i/>
                <w:sz w:val="15"/>
              </w:rPr>
            </w:pPr>
          </w:p>
          <w:p>
            <w:pPr>
              <w:pStyle w:val="TableParagraph"/>
              <w:tabs>
                <w:tab w:pos="1741" w:val="left" w:leader="none"/>
              </w:tabs>
              <w:spacing w:line="230" w:lineRule="auto"/>
              <w:ind w:left="187" w:right="189" w:hanging="112"/>
              <w:rPr>
                <w:sz w:val="15"/>
              </w:rPr>
            </w:pPr>
            <w:r>
              <w:rPr>
                <w:color w:val="231F20"/>
                <w:sz w:val="15"/>
              </w:rPr>
              <w:t>Syphilis (acute) and</w:t>
              <w:tab/>
            </w:r>
            <w:r>
              <w:rPr>
                <w:color w:val="231F20"/>
                <w:spacing w:val="-2"/>
                <w:sz w:val="15"/>
              </w:rPr>
              <w:t>Usually</w:t>
            </w:r>
            <w:r>
              <w:rPr>
                <w:color w:val="231F20"/>
                <w:spacing w:val="-10"/>
                <w:sz w:val="15"/>
              </w:rPr>
              <w:t> </w:t>
            </w:r>
            <w:r>
              <w:rPr>
                <w:color w:val="231F20"/>
                <w:spacing w:val="-2"/>
                <w:sz w:val="15"/>
              </w:rPr>
              <w:t>elevated leptospirosis</w:t>
            </w:r>
          </w:p>
          <w:p>
            <w:pPr>
              <w:pStyle w:val="TableParagraph"/>
              <w:rPr>
                <w:i/>
                <w:sz w:val="15"/>
              </w:rPr>
            </w:pPr>
          </w:p>
          <w:p>
            <w:pPr>
              <w:pStyle w:val="TableParagraph"/>
              <w:rPr>
                <w:i/>
                <w:sz w:val="15"/>
              </w:rPr>
            </w:pPr>
          </w:p>
          <w:p>
            <w:pPr>
              <w:pStyle w:val="TableParagraph"/>
              <w:rPr>
                <w:i/>
                <w:sz w:val="15"/>
              </w:rPr>
            </w:pPr>
          </w:p>
          <w:p>
            <w:pPr>
              <w:pStyle w:val="TableParagraph"/>
              <w:spacing w:before="146"/>
              <w:rPr>
                <w:i/>
                <w:sz w:val="15"/>
              </w:rPr>
            </w:pPr>
          </w:p>
          <w:p>
            <w:pPr>
              <w:pStyle w:val="TableParagraph"/>
              <w:tabs>
                <w:tab w:pos="1741" w:val="left" w:leader="none"/>
              </w:tabs>
              <w:spacing w:line="230" w:lineRule="auto"/>
              <w:ind w:left="187" w:right="697" w:hanging="112"/>
              <w:rPr>
                <w:sz w:val="15"/>
              </w:rPr>
            </w:pPr>
            <w:r>
              <w:rPr>
                <w:color w:val="231F20"/>
                <w:sz w:val="15"/>
              </w:rPr>
              <w:t>Amebic (</w:t>
            </w:r>
            <w:r>
              <w:rPr>
                <w:i/>
                <w:color w:val="231F20"/>
                <w:sz w:val="15"/>
              </w:rPr>
              <w:t>Naegleria</w:t>
            </w:r>
            <w:r>
              <w:rPr>
                <w:color w:val="231F20"/>
                <w:sz w:val="15"/>
              </w:rPr>
              <w:t>)</w:t>
              <w:tab/>
            </w:r>
            <w:r>
              <w:rPr>
                <w:color w:val="231F20"/>
                <w:spacing w:val="-2"/>
                <w:sz w:val="15"/>
              </w:rPr>
              <w:t>Elevated meningoencephalitis</w:t>
            </w:r>
          </w:p>
        </w:tc>
        <w:tc>
          <w:tcPr>
            <w:tcW w:w="2062" w:type="dxa"/>
            <w:tcBorders>
              <w:top w:val="single" w:sz="4" w:space="0" w:color="FFFFFF"/>
              <w:bottom w:val="single" w:sz="4" w:space="0" w:color="FFFFFF"/>
            </w:tcBorders>
            <w:shd w:val="clear" w:color="auto" w:fill="E8F5F1"/>
          </w:tcPr>
          <w:p>
            <w:pPr>
              <w:pStyle w:val="TableParagraph"/>
              <w:spacing w:before="43"/>
              <w:rPr>
                <w:i/>
                <w:sz w:val="15"/>
              </w:rPr>
            </w:pPr>
          </w:p>
          <w:p>
            <w:pPr>
              <w:pStyle w:val="TableParagraph"/>
              <w:spacing w:line="230" w:lineRule="auto" w:before="1"/>
              <w:ind w:left="198" w:right="114" w:hanging="112"/>
              <w:rPr>
                <w:sz w:val="15"/>
              </w:rPr>
            </w:pPr>
            <w:r>
              <w:rPr>
                <w:color w:val="231F20"/>
                <w:sz w:val="15"/>
              </w:rPr>
              <w:t>10-500; PMNs early, but lymphocytes</w:t>
            </w:r>
            <w:r>
              <w:rPr>
                <w:color w:val="231F20"/>
                <w:spacing w:val="-12"/>
                <w:sz w:val="15"/>
              </w:rPr>
              <w:t> </w:t>
            </w:r>
            <w:r>
              <w:rPr>
                <w:color w:val="231F20"/>
                <w:sz w:val="15"/>
              </w:rPr>
              <w:t>predominate through most of the </w:t>
            </w:r>
            <w:r>
              <w:rPr>
                <w:color w:val="231F20"/>
                <w:spacing w:val="-2"/>
                <w:sz w:val="15"/>
              </w:rPr>
              <w:t>course</w:t>
            </w:r>
          </w:p>
          <w:p>
            <w:pPr>
              <w:pStyle w:val="TableParagraph"/>
              <w:rPr>
                <w:i/>
                <w:sz w:val="15"/>
              </w:rPr>
            </w:pPr>
          </w:p>
          <w:p>
            <w:pPr>
              <w:pStyle w:val="TableParagraph"/>
              <w:rPr>
                <w:i/>
                <w:sz w:val="15"/>
              </w:rPr>
            </w:pPr>
          </w:p>
          <w:p>
            <w:pPr>
              <w:pStyle w:val="TableParagraph"/>
              <w:spacing w:before="153"/>
              <w:rPr>
                <w:i/>
                <w:sz w:val="15"/>
              </w:rPr>
            </w:pPr>
          </w:p>
          <w:p>
            <w:pPr>
              <w:pStyle w:val="TableParagraph"/>
              <w:spacing w:line="230" w:lineRule="auto"/>
              <w:ind w:left="198" w:right="151" w:hanging="112"/>
              <w:rPr>
                <w:sz w:val="15"/>
              </w:rPr>
            </w:pPr>
            <w:r>
              <w:rPr>
                <w:color w:val="231F20"/>
                <w:sz w:val="15"/>
              </w:rPr>
              <w:t>5-500; PMNs early but mononuclear cells predominate through most of the course. </w:t>
            </w:r>
            <w:r>
              <w:rPr>
                <w:color w:val="231F20"/>
                <w:spacing w:val="-2"/>
                <w:sz w:val="15"/>
              </w:rPr>
              <w:t>Cryptococcal </w:t>
            </w:r>
            <w:r>
              <w:rPr>
                <w:color w:val="231F20"/>
                <w:spacing w:val="-2"/>
                <w:sz w:val="15"/>
              </w:rPr>
              <w:t>meningiti</w:t>
            </w:r>
            <w:r>
              <w:rPr>
                <w:color w:val="231F20"/>
                <w:spacing w:val="-2"/>
                <w:sz w:val="15"/>
              </w:rPr>
              <w:t>s</w:t>
            </w:r>
            <w:r>
              <w:rPr>
                <w:color w:val="231F20"/>
                <w:spacing w:val="-2"/>
                <w:sz w:val="15"/>
              </w:rPr>
              <w:t> </w:t>
            </w:r>
            <w:r>
              <w:rPr>
                <w:color w:val="231F20"/>
                <w:sz w:val="15"/>
              </w:rPr>
              <w:t>may have no cellular inflammatory response</w:t>
            </w:r>
          </w:p>
          <w:p>
            <w:pPr>
              <w:pStyle w:val="TableParagraph"/>
              <w:spacing w:line="230" w:lineRule="auto" w:before="7"/>
              <w:ind w:left="198" w:right="614" w:hanging="112"/>
              <w:rPr>
                <w:sz w:val="15"/>
              </w:rPr>
            </w:pPr>
            <w:r>
              <w:rPr>
                <w:color w:val="231F20"/>
                <w:spacing w:val="-2"/>
                <w:sz w:val="15"/>
              </w:rPr>
              <w:t>50-500;</w:t>
            </w:r>
            <w:r>
              <w:rPr>
                <w:color w:val="231F20"/>
                <w:spacing w:val="-10"/>
                <w:sz w:val="15"/>
              </w:rPr>
              <w:t> </w:t>
            </w:r>
            <w:r>
              <w:rPr>
                <w:color w:val="231F20"/>
                <w:spacing w:val="-2"/>
                <w:sz w:val="15"/>
              </w:rPr>
              <w:t>lymphocyte</w:t>
            </w:r>
            <w:r>
              <w:rPr>
                <w:color w:val="231F20"/>
                <w:spacing w:val="-2"/>
                <w:sz w:val="15"/>
              </w:rPr>
              <w:t>s</w:t>
            </w:r>
            <w:r>
              <w:rPr>
                <w:color w:val="231F20"/>
                <w:spacing w:val="-2"/>
                <w:sz w:val="15"/>
              </w:rPr>
              <w:t> predominate</w:t>
            </w:r>
          </w:p>
          <w:p>
            <w:pPr>
              <w:pStyle w:val="TableParagraph"/>
              <w:rPr>
                <w:i/>
                <w:sz w:val="15"/>
              </w:rPr>
            </w:pPr>
          </w:p>
          <w:p>
            <w:pPr>
              <w:pStyle w:val="TableParagraph"/>
              <w:rPr>
                <w:i/>
                <w:sz w:val="15"/>
              </w:rPr>
            </w:pPr>
          </w:p>
          <w:p>
            <w:pPr>
              <w:pStyle w:val="TableParagraph"/>
              <w:rPr>
                <w:i/>
                <w:sz w:val="15"/>
              </w:rPr>
            </w:pPr>
          </w:p>
          <w:p>
            <w:pPr>
              <w:pStyle w:val="TableParagraph"/>
              <w:spacing w:before="146"/>
              <w:rPr>
                <w:i/>
                <w:sz w:val="15"/>
              </w:rPr>
            </w:pPr>
          </w:p>
          <w:p>
            <w:pPr>
              <w:pStyle w:val="TableParagraph"/>
              <w:spacing w:line="230" w:lineRule="auto"/>
              <w:ind w:left="198" w:hanging="112"/>
              <w:rPr>
                <w:sz w:val="15"/>
              </w:rPr>
            </w:pPr>
            <w:r>
              <w:rPr>
                <w:color w:val="231F20"/>
                <w:sz w:val="15"/>
              </w:rPr>
              <w:t>1,000-10,000</w:t>
            </w:r>
            <w:r>
              <w:rPr>
                <w:color w:val="231F20"/>
                <w:spacing w:val="-12"/>
                <w:sz w:val="15"/>
              </w:rPr>
              <w:t> </w:t>
            </w:r>
            <w:r>
              <w:rPr>
                <w:color w:val="231F20"/>
                <w:sz w:val="15"/>
              </w:rPr>
              <w:t>or</w:t>
            </w:r>
            <w:r>
              <w:rPr>
                <w:color w:val="231F20"/>
                <w:spacing w:val="-11"/>
                <w:sz w:val="15"/>
              </w:rPr>
              <w:t> </w:t>
            </w:r>
            <w:r>
              <w:rPr>
                <w:color w:val="231F20"/>
                <w:sz w:val="15"/>
              </w:rPr>
              <w:t>more;</w:t>
            </w:r>
            <w:r>
              <w:rPr>
                <w:color w:val="231F20"/>
                <w:spacing w:val="-11"/>
                <w:sz w:val="15"/>
              </w:rPr>
              <w:t> </w:t>
            </w:r>
            <w:r>
              <w:rPr>
                <w:color w:val="231F20"/>
                <w:sz w:val="15"/>
              </w:rPr>
              <w:t>PMNs </w:t>
            </w:r>
            <w:r>
              <w:rPr>
                <w:color w:val="231F20"/>
                <w:spacing w:val="-2"/>
                <w:sz w:val="15"/>
              </w:rPr>
              <w:t>predominate</w:t>
            </w:r>
          </w:p>
        </w:tc>
        <w:tc>
          <w:tcPr>
            <w:tcW w:w="1161"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spacing w:line="171" w:lineRule="exact"/>
              <w:ind w:left="82"/>
              <w:jc w:val="both"/>
              <w:rPr>
                <w:sz w:val="15"/>
              </w:rPr>
            </w:pPr>
            <w:r>
              <w:rPr>
                <w:color w:val="231F20"/>
                <w:w w:val="90"/>
                <w:sz w:val="15"/>
              </w:rPr>
              <w:t>100-3,000;</w:t>
            </w:r>
            <w:r>
              <w:rPr>
                <w:color w:val="231F20"/>
                <w:spacing w:val="23"/>
                <w:sz w:val="15"/>
              </w:rPr>
              <w:t> </w:t>
            </w:r>
            <w:r>
              <w:rPr>
                <w:color w:val="231F20"/>
                <w:spacing w:val="-5"/>
                <w:w w:val="90"/>
                <w:sz w:val="15"/>
              </w:rPr>
              <w:t>may</w:t>
            </w:r>
          </w:p>
          <w:p>
            <w:pPr>
              <w:pStyle w:val="TableParagraph"/>
              <w:spacing w:line="230" w:lineRule="auto" w:before="3"/>
              <w:ind w:left="194" w:right="152"/>
              <w:jc w:val="both"/>
              <w:rPr>
                <w:sz w:val="15"/>
              </w:rPr>
            </w:pPr>
            <w:r>
              <w:rPr>
                <w:color w:val="231F20"/>
                <w:sz w:val="15"/>
              </w:rPr>
              <w:t>be</w:t>
            </w:r>
            <w:r>
              <w:rPr>
                <w:color w:val="231F20"/>
                <w:spacing w:val="-12"/>
                <w:sz w:val="15"/>
              </w:rPr>
              <w:t> </w:t>
            </w:r>
            <w:r>
              <w:rPr>
                <w:color w:val="231F20"/>
                <w:sz w:val="15"/>
              </w:rPr>
              <w:t>higher</w:t>
            </w:r>
            <w:r>
              <w:rPr>
                <w:color w:val="231F20"/>
                <w:spacing w:val="-11"/>
                <w:sz w:val="15"/>
              </w:rPr>
              <w:t> </w:t>
            </w:r>
            <w:r>
              <w:rPr>
                <w:color w:val="231F20"/>
                <w:sz w:val="15"/>
              </w:rPr>
              <w:t>in presence</w:t>
            </w:r>
            <w:r>
              <w:rPr>
                <w:color w:val="231F20"/>
                <w:spacing w:val="-11"/>
                <w:sz w:val="15"/>
              </w:rPr>
              <w:t> </w:t>
            </w:r>
            <w:r>
              <w:rPr>
                <w:color w:val="231F20"/>
                <w:sz w:val="15"/>
              </w:rPr>
              <w:t>of </w:t>
            </w:r>
            <w:r>
              <w:rPr>
                <w:color w:val="231F20"/>
                <w:spacing w:val="-2"/>
                <w:sz w:val="15"/>
              </w:rPr>
              <w:t>block</w:t>
            </w:r>
          </w:p>
          <w:p>
            <w:pPr>
              <w:pStyle w:val="TableParagraph"/>
              <w:rPr>
                <w:i/>
                <w:sz w:val="15"/>
              </w:rPr>
            </w:pPr>
          </w:p>
          <w:p>
            <w:pPr>
              <w:pStyle w:val="TableParagraph"/>
              <w:rPr>
                <w:i/>
                <w:sz w:val="15"/>
              </w:rPr>
            </w:pPr>
          </w:p>
          <w:p>
            <w:pPr>
              <w:pStyle w:val="TableParagraph"/>
              <w:spacing w:before="147"/>
              <w:rPr>
                <w:i/>
                <w:sz w:val="15"/>
              </w:rPr>
            </w:pPr>
          </w:p>
          <w:p>
            <w:pPr>
              <w:pStyle w:val="TableParagraph"/>
              <w:ind w:left="82"/>
              <w:rPr>
                <w:sz w:val="15"/>
              </w:rPr>
            </w:pPr>
            <w:r>
              <w:rPr>
                <w:color w:val="231F20"/>
                <w:spacing w:val="-4"/>
                <w:sz w:val="15"/>
              </w:rPr>
              <w:t>25-</w:t>
            </w:r>
            <w:r>
              <w:rPr>
                <w:color w:val="231F20"/>
                <w:spacing w:val="-5"/>
                <w:sz w:val="15"/>
              </w:rPr>
              <w:t>500</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2"/>
              <w:rPr>
                <w:i/>
                <w:sz w:val="15"/>
              </w:rPr>
            </w:pPr>
          </w:p>
          <w:p>
            <w:pPr>
              <w:pStyle w:val="TableParagraph"/>
              <w:ind w:left="83"/>
              <w:rPr>
                <w:sz w:val="15"/>
              </w:rPr>
            </w:pPr>
            <w:r>
              <w:rPr>
                <w:color w:val="231F20"/>
                <w:spacing w:val="-4"/>
                <w:sz w:val="15"/>
              </w:rPr>
              <w:t>50-</w:t>
            </w:r>
            <w:r>
              <w:rPr>
                <w:color w:val="231F20"/>
                <w:spacing w:val="-5"/>
                <w:sz w:val="15"/>
              </w:rPr>
              <w:t>200</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2"/>
              <w:rPr>
                <w:i/>
                <w:sz w:val="15"/>
              </w:rPr>
            </w:pPr>
          </w:p>
          <w:p>
            <w:pPr>
              <w:pStyle w:val="TableParagraph"/>
              <w:ind w:left="83"/>
              <w:rPr>
                <w:sz w:val="15"/>
              </w:rPr>
            </w:pPr>
            <w:r>
              <w:rPr>
                <w:color w:val="231F20"/>
                <w:spacing w:val="-4"/>
                <w:sz w:val="15"/>
              </w:rPr>
              <w:t>50-</w:t>
            </w:r>
            <w:r>
              <w:rPr>
                <w:color w:val="231F20"/>
                <w:spacing w:val="-5"/>
                <w:sz w:val="15"/>
              </w:rPr>
              <w:t>500</w:t>
            </w:r>
          </w:p>
        </w:tc>
        <w:tc>
          <w:tcPr>
            <w:tcW w:w="1389" w:type="dxa"/>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193" w:right="84" w:hanging="112"/>
              <w:rPr>
                <w:sz w:val="15"/>
              </w:rPr>
            </w:pPr>
            <w:r>
              <w:rPr>
                <w:rFonts w:ascii="Cambria"/>
                <w:color w:val="231F20"/>
                <w:sz w:val="15"/>
              </w:rPr>
              <w:t>&lt;</w:t>
            </w:r>
            <w:r>
              <w:rPr>
                <w:color w:val="231F20"/>
                <w:sz w:val="15"/>
              </w:rPr>
              <w:t>50</w:t>
            </w:r>
            <w:r>
              <w:rPr>
                <w:color w:val="231F20"/>
                <w:spacing w:val="-12"/>
                <w:sz w:val="15"/>
              </w:rPr>
              <w:t> </w:t>
            </w:r>
            <w:r>
              <w:rPr>
                <w:color w:val="231F20"/>
                <w:sz w:val="15"/>
              </w:rPr>
              <w:t>in</w:t>
            </w:r>
            <w:r>
              <w:rPr>
                <w:color w:val="231F20"/>
                <w:spacing w:val="-11"/>
                <w:sz w:val="15"/>
              </w:rPr>
              <w:t> </w:t>
            </w:r>
            <w:r>
              <w:rPr>
                <w:color w:val="231F20"/>
                <w:sz w:val="15"/>
              </w:rPr>
              <w:t>most</w:t>
            </w:r>
            <w:r>
              <w:rPr>
                <w:color w:val="231F20"/>
                <w:spacing w:val="-11"/>
                <w:sz w:val="15"/>
              </w:rPr>
              <w:t> </w:t>
            </w:r>
            <w:r>
              <w:rPr>
                <w:color w:val="231F20"/>
                <w:sz w:val="15"/>
              </w:rPr>
              <w:t>cases; decreases with time if treatment</w:t>
            </w:r>
            <w:r>
              <w:rPr>
                <w:color w:val="231F20"/>
                <w:spacing w:val="-12"/>
                <w:sz w:val="15"/>
              </w:rPr>
              <w:t> </w:t>
            </w:r>
            <w:r>
              <w:rPr>
                <w:color w:val="231F20"/>
                <w:sz w:val="15"/>
              </w:rPr>
              <w:t>is</w:t>
            </w:r>
            <w:r>
              <w:rPr>
                <w:color w:val="231F20"/>
                <w:spacing w:val="-11"/>
                <w:sz w:val="15"/>
              </w:rPr>
              <w:t> </w:t>
            </w:r>
            <w:r>
              <w:rPr>
                <w:color w:val="231F20"/>
                <w:sz w:val="15"/>
              </w:rPr>
              <w:t>not </w:t>
            </w:r>
            <w:r>
              <w:rPr>
                <w:color w:val="231F20"/>
                <w:spacing w:val="-2"/>
                <w:sz w:val="15"/>
              </w:rPr>
              <w:t>provided</w:t>
            </w:r>
          </w:p>
          <w:p>
            <w:pPr>
              <w:pStyle w:val="TableParagraph"/>
              <w:rPr>
                <w:i/>
                <w:sz w:val="15"/>
              </w:rPr>
            </w:pPr>
          </w:p>
          <w:p>
            <w:pPr>
              <w:pStyle w:val="TableParagraph"/>
              <w:spacing w:before="159"/>
              <w:rPr>
                <w:i/>
                <w:sz w:val="15"/>
              </w:rPr>
            </w:pPr>
          </w:p>
          <w:p>
            <w:pPr>
              <w:pStyle w:val="TableParagraph"/>
              <w:spacing w:line="230" w:lineRule="auto"/>
              <w:ind w:left="193" w:right="121" w:hanging="112"/>
              <w:rPr>
                <w:sz w:val="15"/>
              </w:rPr>
            </w:pPr>
            <w:r>
              <w:rPr>
                <w:rFonts w:ascii="Cambria"/>
                <w:color w:val="231F20"/>
                <w:sz w:val="15"/>
              </w:rPr>
              <w:t>&lt;</w:t>
            </w:r>
            <w:r>
              <w:rPr>
                <w:color w:val="231F20"/>
                <w:sz w:val="15"/>
              </w:rPr>
              <w:t>50; decreases with time if </w:t>
            </w:r>
            <w:r>
              <w:rPr>
                <w:color w:val="231F20"/>
                <w:spacing w:val="-2"/>
                <w:sz w:val="15"/>
              </w:rPr>
              <w:t>treatment</w:t>
            </w:r>
            <w:r>
              <w:rPr>
                <w:color w:val="231F20"/>
                <w:spacing w:val="-10"/>
                <w:sz w:val="15"/>
              </w:rPr>
              <w:t> </w:t>
            </w:r>
            <w:r>
              <w:rPr>
                <w:color w:val="231F20"/>
                <w:spacing w:val="-2"/>
                <w:sz w:val="15"/>
              </w:rPr>
              <w:t>is</w:t>
            </w:r>
            <w:r>
              <w:rPr>
                <w:color w:val="231F20"/>
                <w:spacing w:val="-9"/>
                <w:sz w:val="15"/>
              </w:rPr>
              <w:t> </w:t>
            </w:r>
            <w:r>
              <w:rPr>
                <w:color w:val="231F20"/>
                <w:spacing w:val="-2"/>
                <w:sz w:val="15"/>
              </w:rPr>
              <w:t>not provided</w:t>
            </w:r>
          </w:p>
          <w:p>
            <w:pPr>
              <w:pStyle w:val="TableParagraph"/>
              <w:rPr>
                <w:i/>
                <w:sz w:val="15"/>
              </w:rPr>
            </w:pPr>
          </w:p>
          <w:p>
            <w:pPr>
              <w:pStyle w:val="TableParagraph"/>
              <w:spacing w:before="152"/>
              <w:rPr>
                <w:i/>
                <w:sz w:val="15"/>
              </w:rPr>
            </w:pPr>
          </w:p>
          <w:p>
            <w:pPr>
              <w:pStyle w:val="TableParagraph"/>
              <w:ind w:left="81"/>
              <w:rPr>
                <w:sz w:val="15"/>
              </w:rPr>
            </w:pPr>
            <w:r>
              <w:rPr>
                <w:color w:val="231F20"/>
                <w:spacing w:val="-2"/>
                <w:sz w:val="15"/>
              </w:rPr>
              <w:t>Usually</w:t>
            </w:r>
            <w:r>
              <w:rPr>
                <w:color w:val="231F20"/>
                <w:sz w:val="15"/>
              </w:rPr>
              <w:t> </w:t>
            </w:r>
            <w:r>
              <w:rPr>
                <w:color w:val="231F20"/>
                <w:spacing w:val="-2"/>
                <w:sz w:val="15"/>
              </w:rPr>
              <w:t>normal</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8"/>
              <w:rPr>
                <w:i/>
                <w:sz w:val="15"/>
              </w:rPr>
            </w:pPr>
          </w:p>
          <w:p>
            <w:pPr>
              <w:pStyle w:val="TableParagraph"/>
              <w:spacing w:line="230" w:lineRule="auto"/>
              <w:ind w:left="194" w:hanging="112"/>
              <w:rPr>
                <w:sz w:val="15"/>
              </w:rPr>
            </w:pPr>
            <w:r>
              <w:rPr>
                <w:color w:val="231F20"/>
                <w:sz w:val="15"/>
              </w:rPr>
              <w:t>Normal</w:t>
            </w:r>
            <w:r>
              <w:rPr>
                <w:color w:val="231F20"/>
                <w:spacing w:val="-12"/>
                <w:sz w:val="15"/>
              </w:rPr>
              <w:t> </w:t>
            </w:r>
            <w:r>
              <w:rPr>
                <w:color w:val="231F20"/>
                <w:sz w:val="15"/>
              </w:rPr>
              <w:t>or</w:t>
            </w:r>
            <w:r>
              <w:rPr>
                <w:color w:val="231F20"/>
                <w:spacing w:val="-11"/>
                <w:sz w:val="15"/>
              </w:rPr>
              <w:t> </w:t>
            </w:r>
            <w:r>
              <w:rPr>
                <w:color w:val="231F20"/>
                <w:sz w:val="15"/>
              </w:rPr>
              <w:t>slightly </w:t>
            </w:r>
            <w:r>
              <w:rPr>
                <w:color w:val="231F20"/>
                <w:spacing w:val="-2"/>
                <w:sz w:val="15"/>
              </w:rPr>
              <w:t>decreased</w:t>
            </w:r>
          </w:p>
        </w:tc>
        <w:tc>
          <w:tcPr>
            <w:tcW w:w="2114" w:type="dxa"/>
            <w:tcBorders>
              <w:top w:val="single" w:sz="4" w:space="0" w:color="FFFFFF"/>
              <w:bottom w:val="single" w:sz="4" w:space="0" w:color="FFFFFF"/>
            </w:tcBorders>
            <w:shd w:val="clear" w:color="auto" w:fill="E8F5F1"/>
          </w:tcPr>
          <w:p>
            <w:pPr>
              <w:pStyle w:val="TableParagraph"/>
              <w:spacing w:before="43"/>
              <w:rPr>
                <w:i/>
                <w:sz w:val="15"/>
              </w:rPr>
            </w:pPr>
          </w:p>
          <w:p>
            <w:pPr>
              <w:pStyle w:val="TableParagraph"/>
              <w:spacing w:line="230" w:lineRule="auto" w:before="1"/>
              <w:ind w:left="192" w:hanging="112"/>
              <w:rPr>
                <w:sz w:val="15"/>
              </w:rPr>
            </w:pPr>
            <w:r>
              <w:rPr>
                <w:color w:val="231F20"/>
                <w:sz w:val="15"/>
              </w:rPr>
              <w:t>Acid-fast</w:t>
            </w:r>
            <w:r>
              <w:rPr>
                <w:color w:val="231F20"/>
                <w:spacing w:val="-12"/>
                <w:sz w:val="15"/>
              </w:rPr>
              <w:t> </w:t>
            </w:r>
            <w:r>
              <w:rPr>
                <w:color w:val="231F20"/>
                <w:sz w:val="15"/>
              </w:rPr>
              <w:t>organisms</w:t>
            </w:r>
            <w:r>
              <w:rPr>
                <w:color w:val="231F20"/>
                <w:spacing w:val="-11"/>
                <w:sz w:val="15"/>
              </w:rPr>
              <w:t> </w:t>
            </w:r>
            <w:r>
              <w:rPr>
                <w:color w:val="231F20"/>
                <w:sz w:val="15"/>
              </w:rPr>
              <w:t>almost never seen on smear.</w:t>
            </w:r>
          </w:p>
          <w:p>
            <w:pPr>
              <w:pStyle w:val="TableParagraph"/>
              <w:spacing w:line="230" w:lineRule="auto" w:before="1"/>
              <w:ind w:left="192" w:right="161"/>
              <w:rPr>
                <w:sz w:val="15"/>
              </w:rPr>
            </w:pPr>
            <w:r>
              <w:rPr>
                <w:color w:val="231F20"/>
                <w:sz w:val="15"/>
              </w:rPr>
              <w:t>Organisms may be recovered in culture of large volumes of CSF. </w:t>
            </w:r>
            <w:r>
              <w:rPr>
                <w:i/>
                <w:color w:val="231F20"/>
                <w:spacing w:val="-2"/>
                <w:sz w:val="15"/>
              </w:rPr>
              <w:t>Mycobacterium </w:t>
            </w:r>
            <w:r>
              <w:rPr>
                <w:i/>
                <w:color w:val="231F20"/>
                <w:sz w:val="15"/>
              </w:rPr>
              <w:t>tuberculosis </w:t>
            </w:r>
            <w:r>
              <w:rPr>
                <w:color w:val="231F20"/>
                <w:sz w:val="15"/>
              </w:rPr>
              <w:t>may be detected by PCR of </w:t>
            </w:r>
            <w:r>
              <w:rPr>
                <w:color w:val="231F20"/>
                <w:sz w:val="15"/>
              </w:rPr>
              <w:t>CSF</w:t>
            </w:r>
          </w:p>
          <w:p>
            <w:pPr>
              <w:pStyle w:val="TableParagraph"/>
              <w:spacing w:line="230" w:lineRule="auto" w:before="6"/>
              <w:ind w:left="192" w:right="50" w:hanging="112"/>
              <w:rPr>
                <w:sz w:val="15"/>
              </w:rPr>
            </w:pPr>
            <w:r>
              <w:rPr>
                <w:color w:val="231F20"/>
                <w:sz w:val="15"/>
              </w:rPr>
              <w:t>Budding</w:t>
            </w:r>
            <w:r>
              <w:rPr>
                <w:color w:val="231F20"/>
                <w:spacing w:val="-4"/>
                <w:sz w:val="15"/>
              </w:rPr>
              <w:t> </w:t>
            </w:r>
            <w:r>
              <w:rPr>
                <w:color w:val="231F20"/>
                <w:sz w:val="15"/>
              </w:rPr>
              <w:t>yeast</w:t>
            </w:r>
            <w:r>
              <w:rPr>
                <w:color w:val="231F20"/>
                <w:spacing w:val="-4"/>
                <w:sz w:val="15"/>
              </w:rPr>
              <w:t> </w:t>
            </w:r>
            <w:r>
              <w:rPr>
                <w:color w:val="231F20"/>
                <w:sz w:val="15"/>
              </w:rPr>
              <w:t>may</w:t>
            </w:r>
            <w:r>
              <w:rPr>
                <w:color w:val="231F20"/>
                <w:spacing w:val="-4"/>
                <w:sz w:val="15"/>
              </w:rPr>
              <w:t> </w:t>
            </w:r>
            <w:r>
              <w:rPr>
                <w:color w:val="231F20"/>
                <w:sz w:val="15"/>
              </w:rPr>
              <w:t>be</w:t>
            </w:r>
            <w:r>
              <w:rPr>
                <w:color w:val="231F20"/>
                <w:spacing w:val="-4"/>
                <w:sz w:val="15"/>
              </w:rPr>
              <w:t> </w:t>
            </w:r>
            <w:r>
              <w:rPr>
                <w:color w:val="231F20"/>
                <w:sz w:val="15"/>
              </w:rPr>
              <w:t>seen. Organisms may be recovered in culture.</w:t>
            </w:r>
          </w:p>
          <w:p>
            <w:pPr>
              <w:pStyle w:val="TableParagraph"/>
              <w:spacing w:line="230" w:lineRule="auto" w:before="2"/>
              <w:ind w:left="192" w:right="50"/>
              <w:rPr>
                <w:sz w:val="15"/>
              </w:rPr>
            </w:pPr>
            <w:r>
              <w:rPr>
                <w:color w:val="231F20"/>
                <w:sz w:val="15"/>
              </w:rPr>
              <w:t>Cryptococcal antigen (CSF and</w:t>
            </w:r>
            <w:r>
              <w:rPr>
                <w:color w:val="231F20"/>
                <w:spacing w:val="-12"/>
                <w:sz w:val="15"/>
              </w:rPr>
              <w:t> </w:t>
            </w:r>
            <w:r>
              <w:rPr>
                <w:color w:val="231F20"/>
                <w:sz w:val="15"/>
              </w:rPr>
              <w:t>serum)</w:t>
            </w:r>
            <w:r>
              <w:rPr>
                <w:color w:val="231F20"/>
                <w:spacing w:val="-11"/>
                <w:sz w:val="15"/>
              </w:rPr>
              <w:t> </w:t>
            </w:r>
            <w:r>
              <w:rPr>
                <w:color w:val="231F20"/>
                <w:sz w:val="15"/>
              </w:rPr>
              <w:t>may</w:t>
            </w:r>
            <w:r>
              <w:rPr>
                <w:color w:val="231F20"/>
                <w:spacing w:val="-11"/>
                <w:sz w:val="15"/>
              </w:rPr>
              <w:t> </w:t>
            </w:r>
            <w:r>
              <w:rPr>
                <w:color w:val="231F20"/>
                <w:sz w:val="15"/>
              </w:rPr>
              <w:t>be</w:t>
            </w:r>
            <w:r>
              <w:rPr>
                <w:color w:val="231F20"/>
                <w:spacing w:val="-12"/>
                <w:sz w:val="15"/>
              </w:rPr>
              <w:t> </w:t>
            </w:r>
            <w:r>
              <w:rPr>
                <w:color w:val="231F20"/>
                <w:sz w:val="15"/>
              </w:rPr>
              <w:t>positive in cryptococcal infection</w:t>
            </w:r>
          </w:p>
          <w:p>
            <w:pPr>
              <w:pStyle w:val="TableParagraph"/>
              <w:spacing w:line="230" w:lineRule="auto" w:before="172"/>
              <w:ind w:left="192" w:right="161" w:hanging="112"/>
              <w:rPr>
                <w:sz w:val="15"/>
              </w:rPr>
            </w:pPr>
            <w:r>
              <w:rPr>
                <w:color w:val="231F20"/>
                <w:sz w:val="15"/>
              </w:rPr>
              <w:t>Positive CSF serology. Spirochetes not demonstrable</w:t>
            </w:r>
            <w:r>
              <w:rPr>
                <w:color w:val="231F20"/>
                <w:spacing w:val="-7"/>
                <w:sz w:val="15"/>
              </w:rPr>
              <w:t> </w:t>
            </w:r>
            <w:r>
              <w:rPr>
                <w:color w:val="231F20"/>
                <w:sz w:val="15"/>
              </w:rPr>
              <w:t>by</w:t>
            </w:r>
            <w:r>
              <w:rPr>
                <w:color w:val="231F20"/>
                <w:spacing w:val="-7"/>
                <w:sz w:val="15"/>
              </w:rPr>
              <w:t> </w:t>
            </w:r>
            <w:r>
              <w:rPr>
                <w:color w:val="231F20"/>
                <w:sz w:val="15"/>
              </w:rPr>
              <w:t>usual techniques</w:t>
            </w:r>
            <w:r>
              <w:rPr>
                <w:color w:val="231F20"/>
                <w:spacing w:val="-12"/>
                <w:sz w:val="15"/>
              </w:rPr>
              <w:t> </w:t>
            </w:r>
            <w:r>
              <w:rPr>
                <w:color w:val="231F20"/>
                <w:sz w:val="15"/>
              </w:rPr>
              <w:t>of</w:t>
            </w:r>
            <w:r>
              <w:rPr>
                <w:color w:val="231F20"/>
                <w:spacing w:val="-11"/>
                <w:sz w:val="15"/>
              </w:rPr>
              <w:t> </w:t>
            </w:r>
            <w:r>
              <w:rPr>
                <w:color w:val="231F20"/>
                <w:sz w:val="15"/>
              </w:rPr>
              <w:t>smear</w:t>
            </w:r>
            <w:r>
              <w:rPr>
                <w:color w:val="231F20"/>
                <w:spacing w:val="-11"/>
                <w:sz w:val="15"/>
              </w:rPr>
              <w:t> </w:t>
            </w:r>
            <w:r>
              <w:rPr>
                <w:color w:val="231F20"/>
                <w:sz w:val="15"/>
              </w:rPr>
              <w:t>or culture; dark-field examination may be </w:t>
            </w:r>
            <w:r>
              <w:rPr>
                <w:color w:val="231F20"/>
                <w:spacing w:val="-2"/>
                <w:sz w:val="15"/>
              </w:rPr>
              <w:t>positive</w:t>
            </w:r>
          </w:p>
          <w:p>
            <w:pPr>
              <w:pStyle w:val="TableParagraph"/>
              <w:spacing w:line="230" w:lineRule="auto" w:before="7"/>
              <w:ind w:left="193" w:right="89" w:hanging="112"/>
              <w:rPr>
                <w:sz w:val="15"/>
              </w:rPr>
            </w:pPr>
            <w:r>
              <w:rPr>
                <w:color w:val="231F20"/>
                <w:w w:val="105"/>
                <w:sz w:val="15"/>
              </w:rPr>
              <w:t>Mobile</w:t>
            </w:r>
            <w:r>
              <w:rPr>
                <w:color w:val="231F20"/>
                <w:spacing w:val="-12"/>
                <w:w w:val="105"/>
                <w:sz w:val="15"/>
              </w:rPr>
              <w:t> </w:t>
            </w:r>
            <w:r>
              <w:rPr>
                <w:color w:val="231F20"/>
                <w:w w:val="105"/>
                <w:sz w:val="15"/>
              </w:rPr>
              <w:t>amebas</w:t>
            </w:r>
            <w:r>
              <w:rPr>
                <w:color w:val="231F20"/>
                <w:spacing w:val="-12"/>
                <w:w w:val="105"/>
                <w:sz w:val="15"/>
              </w:rPr>
              <w:t> </w:t>
            </w:r>
            <w:r>
              <w:rPr>
                <w:color w:val="231F20"/>
                <w:w w:val="105"/>
                <w:sz w:val="15"/>
              </w:rPr>
              <w:t>may</w:t>
            </w:r>
            <w:r>
              <w:rPr>
                <w:color w:val="231F20"/>
                <w:spacing w:val="-12"/>
                <w:w w:val="105"/>
                <w:sz w:val="15"/>
              </w:rPr>
              <w:t> </w:t>
            </w:r>
            <w:r>
              <w:rPr>
                <w:color w:val="231F20"/>
                <w:w w:val="105"/>
                <w:sz w:val="15"/>
              </w:rPr>
              <w:t>be</w:t>
            </w:r>
            <w:r>
              <w:rPr>
                <w:color w:val="231F20"/>
                <w:spacing w:val="-12"/>
                <w:w w:val="105"/>
                <w:sz w:val="15"/>
              </w:rPr>
              <w:t> </w:t>
            </w:r>
            <w:r>
              <w:rPr>
                <w:color w:val="231F20"/>
                <w:w w:val="105"/>
                <w:sz w:val="15"/>
              </w:rPr>
              <w:t>seen by hanging-drop examination of CSF at room temperature</w:t>
            </w:r>
          </w:p>
        </w:tc>
      </w:tr>
      <w:tr>
        <w:trPr>
          <w:trHeight w:val="207" w:hRule="atLeast"/>
        </w:trPr>
        <w:tc>
          <w:tcPr>
            <w:tcW w:w="5081" w:type="dxa"/>
            <w:gridSpan w:val="3"/>
            <w:tcBorders>
              <w:top w:val="single" w:sz="4" w:space="0" w:color="FFFFFF"/>
            </w:tcBorders>
            <w:shd w:val="clear" w:color="auto" w:fill="E8F5F1"/>
          </w:tcPr>
          <w:p>
            <w:pPr>
              <w:pStyle w:val="TableParagraph"/>
              <w:spacing w:line="145" w:lineRule="exact" w:before="43"/>
              <w:ind w:left="75"/>
              <w:rPr>
                <w:sz w:val="15"/>
              </w:rPr>
            </w:pPr>
            <w:r>
              <w:rPr>
                <w:color w:val="231F20"/>
                <w:w w:val="115"/>
                <w:sz w:val="15"/>
              </w:rPr>
              <w:t>BRAIN</w:t>
            </w:r>
            <w:r>
              <w:rPr>
                <w:color w:val="231F20"/>
                <w:spacing w:val="-3"/>
                <w:w w:val="115"/>
                <w:sz w:val="15"/>
              </w:rPr>
              <w:t> </w:t>
            </w:r>
            <w:r>
              <w:rPr>
                <w:color w:val="231F20"/>
                <w:w w:val="115"/>
                <w:sz w:val="15"/>
              </w:rPr>
              <w:t>ABSCESSES</w:t>
            </w:r>
            <w:r>
              <w:rPr>
                <w:color w:val="231F20"/>
                <w:spacing w:val="-2"/>
                <w:w w:val="115"/>
                <w:sz w:val="15"/>
              </w:rPr>
              <w:t> </w:t>
            </w:r>
            <w:r>
              <w:rPr>
                <w:color w:val="231F20"/>
                <w:w w:val="115"/>
                <w:sz w:val="15"/>
              </w:rPr>
              <w:t>AND</w:t>
            </w:r>
            <w:r>
              <w:rPr>
                <w:color w:val="231F20"/>
                <w:spacing w:val="-3"/>
                <w:w w:val="115"/>
                <w:sz w:val="15"/>
              </w:rPr>
              <w:t> </w:t>
            </w:r>
            <w:r>
              <w:rPr>
                <w:color w:val="231F20"/>
                <w:w w:val="115"/>
                <w:sz w:val="15"/>
              </w:rPr>
              <w:t>PARAMENINGEAL</w:t>
            </w:r>
            <w:r>
              <w:rPr>
                <w:color w:val="231F20"/>
                <w:spacing w:val="-2"/>
                <w:w w:val="115"/>
                <w:sz w:val="15"/>
              </w:rPr>
              <w:t> FOCUS</w:t>
            </w:r>
          </w:p>
        </w:tc>
        <w:tc>
          <w:tcPr>
            <w:tcW w:w="1161" w:type="dxa"/>
            <w:tcBorders>
              <w:top w:val="single" w:sz="4" w:space="0" w:color="FFFFFF"/>
            </w:tcBorders>
            <w:shd w:val="clear" w:color="auto" w:fill="E8F5F1"/>
          </w:tcPr>
          <w:p>
            <w:pPr>
              <w:pStyle w:val="TableParagraph"/>
              <w:rPr>
                <w:rFonts w:ascii="Times New Roman"/>
                <w:sz w:val="14"/>
              </w:rPr>
            </w:pPr>
          </w:p>
        </w:tc>
        <w:tc>
          <w:tcPr>
            <w:tcW w:w="1389" w:type="dxa"/>
            <w:vMerge w:val="restart"/>
            <w:tcBorders>
              <w:top w:val="single" w:sz="4" w:space="0" w:color="FFFFFF"/>
              <w:bottom w:val="single" w:sz="8" w:space="0" w:color="231F20"/>
            </w:tcBorders>
            <w:shd w:val="clear" w:color="auto" w:fill="E8F5F1"/>
          </w:tcPr>
          <w:p>
            <w:pPr>
              <w:pStyle w:val="TableParagraph"/>
              <w:spacing w:before="43"/>
              <w:rPr>
                <w:i/>
                <w:sz w:val="15"/>
              </w:rPr>
            </w:pPr>
          </w:p>
          <w:p>
            <w:pPr>
              <w:pStyle w:val="TableParagraph"/>
              <w:spacing w:line="230" w:lineRule="auto" w:before="1"/>
              <w:ind w:left="194" w:right="333" w:hanging="112"/>
              <w:rPr>
                <w:sz w:val="15"/>
              </w:rPr>
            </w:pPr>
            <w:r>
              <w:rPr>
                <w:color w:val="231F20"/>
                <w:sz w:val="15"/>
              </w:rPr>
              <w:t>Normal</w:t>
            </w:r>
            <w:r>
              <w:rPr>
                <w:color w:val="231F20"/>
                <w:spacing w:val="-8"/>
                <w:sz w:val="15"/>
              </w:rPr>
              <w:t> </w:t>
            </w:r>
            <w:r>
              <w:rPr>
                <w:color w:val="231F20"/>
                <w:sz w:val="15"/>
              </w:rPr>
              <w:t>unless </w:t>
            </w:r>
            <w:r>
              <w:rPr>
                <w:color w:val="231F20"/>
                <w:spacing w:val="-2"/>
                <w:sz w:val="15"/>
              </w:rPr>
              <w:t>abscess ruptures</w:t>
            </w:r>
            <w:r>
              <w:rPr>
                <w:color w:val="231F20"/>
                <w:spacing w:val="-10"/>
                <w:sz w:val="15"/>
              </w:rPr>
              <w:t> </w:t>
            </w:r>
            <w:r>
              <w:rPr>
                <w:color w:val="231F20"/>
                <w:spacing w:val="-2"/>
                <w:sz w:val="15"/>
              </w:rPr>
              <w:t>into ventricular system</w:t>
            </w:r>
          </w:p>
          <w:p>
            <w:pPr>
              <w:pStyle w:val="TableParagraph"/>
              <w:spacing w:before="167"/>
              <w:ind w:left="82"/>
              <w:rPr>
                <w:sz w:val="15"/>
              </w:rPr>
            </w:pPr>
            <w:r>
              <w:rPr>
                <w:color w:val="231F20"/>
                <w:spacing w:val="-2"/>
                <w:sz w:val="15"/>
              </w:rPr>
              <w:t>Normal</w:t>
            </w:r>
          </w:p>
          <w:p>
            <w:pPr>
              <w:pStyle w:val="TableParagraph"/>
              <w:rPr>
                <w:i/>
                <w:sz w:val="15"/>
              </w:rPr>
            </w:pPr>
          </w:p>
          <w:p>
            <w:pPr>
              <w:pStyle w:val="TableParagraph"/>
              <w:rPr>
                <w:i/>
                <w:sz w:val="15"/>
              </w:rPr>
            </w:pPr>
          </w:p>
          <w:p>
            <w:pPr>
              <w:pStyle w:val="TableParagraph"/>
              <w:spacing w:before="145"/>
              <w:rPr>
                <w:i/>
                <w:sz w:val="15"/>
              </w:rPr>
            </w:pPr>
          </w:p>
          <w:p>
            <w:pPr>
              <w:pStyle w:val="TableParagraph"/>
              <w:spacing w:line="465" w:lineRule="auto"/>
              <w:ind w:left="82" w:right="387" w:hanging="1"/>
              <w:rPr>
                <w:sz w:val="15"/>
              </w:rPr>
            </w:pPr>
            <w:r>
              <w:rPr>
                <w:color w:val="231F20"/>
                <w:spacing w:val="-2"/>
                <w:sz w:val="15"/>
              </w:rPr>
              <w:t>Normal Normal</w:t>
            </w:r>
          </w:p>
          <w:p>
            <w:pPr>
              <w:pStyle w:val="TableParagraph"/>
              <w:spacing w:line="230" w:lineRule="auto" w:before="4"/>
              <w:ind w:left="194" w:hanging="112"/>
              <w:rPr>
                <w:sz w:val="15"/>
              </w:rPr>
            </w:pPr>
            <w:r>
              <w:rPr>
                <w:color w:val="231F20"/>
                <w:sz w:val="15"/>
              </w:rPr>
              <w:t>Normal</w:t>
            </w:r>
            <w:r>
              <w:rPr>
                <w:color w:val="231F20"/>
                <w:spacing w:val="-12"/>
                <w:sz w:val="15"/>
              </w:rPr>
              <w:t> </w:t>
            </w:r>
            <w:r>
              <w:rPr>
                <w:color w:val="231F20"/>
                <w:sz w:val="15"/>
              </w:rPr>
              <w:t>or</w:t>
            </w:r>
            <w:r>
              <w:rPr>
                <w:color w:val="231F20"/>
                <w:spacing w:val="-11"/>
                <w:sz w:val="15"/>
              </w:rPr>
              <w:t> </w:t>
            </w:r>
            <w:r>
              <w:rPr>
                <w:color w:val="231F20"/>
                <w:sz w:val="15"/>
              </w:rPr>
              <w:t>slightly </w:t>
            </w:r>
            <w:r>
              <w:rPr>
                <w:color w:val="231F20"/>
                <w:spacing w:val="-2"/>
                <w:sz w:val="15"/>
              </w:rPr>
              <w:t>decreased</w:t>
            </w:r>
          </w:p>
        </w:tc>
        <w:tc>
          <w:tcPr>
            <w:tcW w:w="2114" w:type="dxa"/>
            <w:tcBorders>
              <w:top w:val="single" w:sz="4" w:space="0" w:color="FFFFFF"/>
            </w:tcBorders>
            <w:shd w:val="clear" w:color="auto" w:fill="E8F5F1"/>
          </w:tcPr>
          <w:p>
            <w:pPr>
              <w:pStyle w:val="TableParagraph"/>
              <w:rPr>
                <w:rFonts w:ascii="Times New Roman"/>
                <w:sz w:val="14"/>
              </w:rPr>
            </w:pPr>
          </w:p>
        </w:tc>
      </w:tr>
      <w:tr>
        <w:trPr>
          <w:trHeight w:val="148" w:hRule="atLeast"/>
        </w:trPr>
        <w:tc>
          <w:tcPr>
            <w:tcW w:w="1558" w:type="dxa"/>
            <w:shd w:val="clear" w:color="auto" w:fill="E8F5F1"/>
          </w:tcPr>
          <w:p>
            <w:pPr>
              <w:pStyle w:val="TableParagraph"/>
              <w:spacing w:line="129" w:lineRule="exact"/>
              <w:ind w:left="75"/>
              <w:rPr>
                <w:sz w:val="15"/>
              </w:rPr>
            </w:pPr>
            <w:r>
              <w:rPr>
                <w:color w:val="231F20"/>
                <w:sz w:val="15"/>
              </w:rPr>
              <w:t>Brain</w:t>
            </w:r>
            <w:r>
              <w:rPr>
                <w:color w:val="231F20"/>
                <w:spacing w:val="-6"/>
                <w:sz w:val="15"/>
              </w:rPr>
              <w:t> </w:t>
            </w:r>
            <w:r>
              <w:rPr>
                <w:color w:val="231F20"/>
                <w:spacing w:val="-2"/>
                <w:sz w:val="15"/>
              </w:rPr>
              <w:t>abscess</w:t>
            </w:r>
          </w:p>
        </w:tc>
        <w:tc>
          <w:tcPr>
            <w:tcW w:w="1461" w:type="dxa"/>
            <w:shd w:val="clear" w:color="auto" w:fill="E8F5F1"/>
          </w:tcPr>
          <w:p>
            <w:pPr>
              <w:pStyle w:val="TableParagraph"/>
              <w:spacing w:line="129" w:lineRule="exact"/>
              <w:ind w:left="183"/>
              <w:rPr>
                <w:sz w:val="15"/>
              </w:rPr>
            </w:pPr>
            <w:r>
              <w:rPr>
                <w:color w:val="231F20"/>
                <w:spacing w:val="-2"/>
                <w:sz w:val="15"/>
              </w:rPr>
              <w:t>Usually</w:t>
            </w:r>
            <w:r>
              <w:rPr>
                <w:color w:val="231F20"/>
                <w:sz w:val="15"/>
              </w:rPr>
              <w:t> </w:t>
            </w:r>
            <w:r>
              <w:rPr>
                <w:color w:val="231F20"/>
                <w:spacing w:val="-2"/>
                <w:sz w:val="15"/>
              </w:rPr>
              <w:t>elevated</w:t>
            </w:r>
          </w:p>
        </w:tc>
        <w:tc>
          <w:tcPr>
            <w:tcW w:w="2062" w:type="dxa"/>
            <w:shd w:val="clear" w:color="auto" w:fill="E8F5F1"/>
          </w:tcPr>
          <w:p>
            <w:pPr>
              <w:pStyle w:val="TableParagraph"/>
              <w:spacing w:line="129" w:lineRule="exact"/>
              <w:ind w:left="86"/>
              <w:rPr>
                <w:sz w:val="15"/>
              </w:rPr>
            </w:pPr>
            <w:r>
              <w:rPr>
                <w:color w:val="231F20"/>
                <w:sz w:val="15"/>
              </w:rPr>
              <w:t>5-200;</w:t>
            </w:r>
            <w:r>
              <w:rPr>
                <w:color w:val="231F20"/>
                <w:spacing w:val="-10"/>
                <w:sz w:val="15"/>
              </w:rPr>
              <w:t> </w:t>
            </w:r>
            <w:r>
              <w:rPr>
                <w:color w:val="231F20"/>
                <w:sz w:val="15"/>
              </w:rPr>
              <w:t>CSF</w:t>
            </w:r>
            <w:r>
              <w:rPr>
                <w:color w:val="231F20"/>
                <w:spacing w:val="-9"/>
                <w:sz w:val="15"/>
              </w:rPr>
              <w:t> </w:t>
            </w:r>
            <w:r>
              <w:rPr>
                <w:color w:val="231F20"/>
                <w:sz w:val="15"/>
              </w:rPr>
              <w:t>rarely</w:t>
            </w:r>
            <w:r>
              <w:rPr>
                <w:color w:val="231F20"/>
                <w:spacing w:val="-9"/>
                <w:sz w:val="15"/>
              </w:rPr>
              <w:t> </w:t>
            </w:r>
            <w:r>
              <w:rPr>
                <w:color w:val="231F20"/>
                <w:spacing w:val="-2"/>
                <w:sz w:val="15"/>
              </w:rPr>
              <w:t>acellular;</w:t>
            </w:r>
          </w:p>
        </w:tc>
        <w:tc>
          <w:tcPr>
            <w:tcW w:w="1161" w:type="dxa"/>
            <w:shd w:val="clear" w:color="auto" w:fill="E8F5F1"/>
          </w:tcPr>
          <w:p>
            <w:pPr>
              <w:pStyle w:val="TableParagraph"/>
              <w:spacing w:line="129" w:lineRule="exact"/>
              <w:ind w:left="83"/>
              <w:rPr>
                <w:sz w:val="15"/>
              </w:rPr>
            </w:pPr>
            <w:r>
              <w:rPr>
                <w:color w:val="231F20"/>
                <w:spacing w:val="-4"/>
                <w:sz w:val="15"/>
              </w:rPr>
              <w:t>75-</w:t>
            </w:r>
            <w:r>
              <w:rPr>
                <w:color w:val="231F20"/>
                <w:spacing w:val="-5"/>
                <w:sz w:val="15"/>
              </w:rPr>
              <w:t>500</w:t>
            </w: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9" w:lineRule="exact"/>
              <w:ind w:left="81"/>
              <w:rPr>
                <w:sz w:val="15"/>
              </w:rPr>
            </w:pPr>
            <w:r>
              <w:rPr>
                <w:color w:val="231F20"/>
                <w:w w:val="105"/>
                <w:sz w:val="15"/>
              </w:rPr>
              <w:t>No</w:t>
            </w:r>
            <w:r>
              <w:rPr>
                <w:color w:val="231F20"/>
                <w:spacing w:val="-8"/>
                <w:w w:val="105"/>
                <w:sz w:val="15"/>
              </w:rPr>
              <w:t> </w:t>
            </w:r>
            <w:r>
              <w:rPr>
                <w:color w:val="231F20"/>
                <w:w w:val="105"/>
                <w:sz w:val="15"/>
              </w:rPr>
              <w:t>organisms</w:t>
            </w:r>
            <w:r>
              <w:rPr>
                <w:color w:val="231F20"/>
                <w:spacing w:val="-7"/>
                <w:w w:val="105"/>
                <w:sz w:val="15"/>
              </w:rPr>
              <w:t> </w:t>
            </w:r>
            <w:r>
              <w:rPr>
                <w:color w:val="231F20"/>
                <w:w w:val="105"/>
                <w:sz w:val="15"/>
              </w:rPr>
              <w:t>on</w:t>
            </w:r>
            <w:r>
              <w:rPr>
                <w:color w:val="231F20"/>
                <w:spacing w:val="-8"/>
                <w:w w:val="105"/>
                <w:sz w:val="15"/>
              </w:rPr>
              <w:t> </w:t>
            </w:r>
            <w:r>
              <w:rPr>
                <w:color w:val="231F20"/>
                <w:w w:val="105"/>
                <w:sz w:val="15"/>
              </w:rPr>
              <w:t>smear</w:t>
            </w:r>
            <w:r>
              <w:rPr>
                <w:color w:val="231F20"/>
                <w:spacing w:val="-7"/>
                <w:w w:val="105"/>
                <w:sz w:val="15"/>
              </w:rPr>
              <w:t> </w:t>
            </w:r>
            <w:r>
              <w:rPr>
                <w:color w:val="231F20"/>
                <w:spacing w:val="-5"/>
                <w:w w:val="105"/>
                <w:sz w:val="15"/>
              </w:rPr>
              <w:t>or</w:t>
            </w:r>
          </w:p>
        </w:tc>
      </w:tr>
      <w:tr>
        <w:trPr>
          <w:trHeight w:val="147" w:hRule="atLeast"/>
        </w:trPr>
        <w:tc>
          <w:tcPr>
            <w:tcW w:w="1558" w:type="dxa"/>
            <w:shd w:val="clear" w:color="auto" w:fill="E8F5F1"/>
          </w:tcPr>
          <w:p>
            <w:pPr>
              <w:pStyle w:val="TableParagraph"/>
              <w:rPr>
                <w:rFonts w:ascii="Times New Roman"/>
                <w:sz w:val="8"/>
              </w:rPr>
            </w:pPr>
          </w:p>
        </w:tc>
        <w:tc>
          <w:tcPr>
            <w:tcW w:w="1461" w:type="dxa"/>
            <w:shd w:val="clear" w:color="auto" w:fill="E8F5F1"/>
          </w:tcPr>
          <w:p>
            <w:pPr>
              <w:pStyle w:val="TableParagraph"/>
              <w:spacing w:line="127" w:lineRule="exact"/>
              <w:ind w:left="295"/>
              <w:rPr>
                <w:sz w:val="15"/>
              </w:rPr>
            </w:pPr>
            <w:r>
              <w:rPr>
                <w:color w:val="231F20"/>
                <w:w w:val="90"/>
                <w:sz w:val="15"/>
              </w:rPr>
              <w:t>(100-</w:t>
            </w:r>
            <w:r>
              <w:rPr>
                <w:color w:val="231F20"/>
                <w:spacing w:val="-4"/>
                <w:sz w:val="15"/>
              </w:rPr>
              <w:t>300)</w:t>
            </w:r>
          </w:p>
        </w:tc>
        <w:tc>
          <w:tcPr>
            <w:tcW w:w="2062" w:type="dxa"/>
            <w:shd w:val="clear" w:color="auto" w:fill="E8F5F1"/>
          </w:tcPr>
          <w:p>
            <w:pPr>
              <w:pStyle w:val="TableParagraph"/>
              <w:spacing w:line="127" w:lineRule="exact"/>
              <w:ind w:left="198"/>
              <w:rPr>
                <w:sz w:val="15"/>
              </w:rPr>
            </w:pPr>
            <w:r>
              <w:rPr>
                <w:color w:val="231F20"/>
                <w:sz w:val="15"/>
              </w:rPr>
              <w:t>lymphocytes</w:t>
            </w:r>
            <w:r>
              <w:rPr>
                <w:color w:val="231F20"/>
                <w:spacing w:val="-8"/>
                <w:sz w:val="15"/>
              </w:rPr>
              <w:t> </w:t>
            </w:r>
            <w:r>
              <w:rPr>
                <w:color w:val="231F20"/>
                <w:spacing w:val="-2"/>
                <w:sz w:val="15"/>
              </w:rPr>
              <w:t>predominate;</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7" w:lineRule="exact"/>
              <w:ind w:left="193"/>
              <w:rPr>
                <w:sz w:val="15"/>
              </w:rPr>
            </w:pPr>
            <w:r>
              <w:rPr>
                <w:color w:val="231F20"/>
                <w:spacing w:val="-2"/>
                <w:sz w:val="15"/>
              </w:rPr>
              <w:t>culture</w:t>
            </w:r>
            <w:r>
              <w:rPr>
                <w:color w:val="231F20"/>
                <w:spacing w:val="-1"/>
                <w:sz w:val="15"/>
              </w:rPr>
              <w:t> </w:t>
            </w:r>
            <w:r>
              <w:rPr>
                <w:color w:val="231F20"/>
                <w:spacing w:val="-2"/>
                <w:sz w:val="15"/>
              </w:rPr>
              <w:t>unless</w:t>
            </w:r>
            <w:r>
              <w:rPr>
                <w:color w:val="231F20"/>
                <w:sz w:val="15"/>
              </w:rPr>
              <w:t> </w:t>
            </w:r>
            <w:r>
              <w:rPr>
                <w:color w:val="231F20"/>
                <w:spacing w:val="-2"/>
                <w:sz w:val="15"/>
              </w:rPr>
              <w:t>abscess</w:t>
            </w:r>
          </w:p>
        </w:tc>
      </w:tr>
      <w:tr>
        <w:trPr>
          <w:trHeight w:val="147" w:hRule="atLeast"/>
        </w:trPr>
        <w:tc>
          <w:tcPr>
            <w:tcW w:w="5081" w:type="dxa"/>
            <w:gridSpan w:val="3"/>
            <w:shd w:val="clear" w:color="auto" w:fill="E8F5F1"/>
          </w:tcPr>
          <w:p>
            <w:pPr>
              <w:pStyle w:val="TableParagraph"/>
              <w:spacing w:line="128" w:lineRule="exact"/>
              <w:ind w:left="3217"/>
              <w:rPr>
                <w:sz w:val="15"/>
              </w:rPr>
            </w:pPr>
            <w:r>
              <w:rPr>
                <w:color w:val="231F20"/>
                <w:sz w:val="15"/>
              </w:rPr>
              <w:t>if</w:t>
            </w:r>
            <w:r>
              <w:rPr>
                <w:color w:val="231F20"/>
                <w:spacing w:val="-8"/>
                <w:sz w:val="15"/>
              </w:rPr>
              <w:t> </w:t>
            </w:r>
            <w:r>
              <w:rPr>
                <w:color w:val="231F20"/>
                <w:sz w:val="15"/>
              </w:rPr>
              <w:t>abscess</w:t>
            </w:r>
            <w:r>
              <w:rPr>
                <w:color w:val="231F20"/>
                <w:spacing w:val="-8"/>
                <w:sz w:val="15"/>
              </w:rPr>
              <w:t> </w:t>
            </w:r>
            <w:r>
              <w:rPr>
                <w:color w:val="231F20"/>
                <w:sz w:val="15"/>
              </w:rPr>
              <w:t>ruptures</w:t>
            </w:r>
            <w:r>
              <w:rPr>
                <w:color w:val="231F20"/>
                <w:spacing w:val="-7"/>
                <w:sz w:val="15"/>
              </w:rPr>
              <w:t> </w:t>
            </w:r>
            <w:r>
              <w:rPr>
                <w:color w:val="231F20"/>
                <w:spacing w:val="-4"/>
                <w:sz w:val="15"/>
              </w:rPr>
              <w:t>into</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8" w:lineRule="exact"/>
              <w:ind w:left="193"/>
              <w:rPr>
                <w:sz w:val="15"/>
              </w:rPr>
            </w:pPr>
            <w:r>
              <w:rPr>
                <w:color w:val="231F20"/>
                <w:spacing w:val="-2"/>
                <w:sz w:val="15"/>
              </w:rPr>
              <w:t>ruptures</w:t>
            </w:r>
            <w:r>
              <w:rPr>
                <w:color w:val="231F20"/>
                <w:sz w:val="15"/>
              </w:rPr>
              <w:t> </w:t>
            </w:r>
            <w:r>
              <w:rPr>
                <w:color w:val="231F20"/>
                <w:spacing w:val="-2"/>
                <w:sz w:val="15"/>
              </w:rPr>
              <w:t>into</w:t>
            </w:r>
            <w:r>
              <w:rPr>
                <w:color w:val="231F20"/>
                <w:spacing w:val="1"/>
                <w:sz w:val="15"/>
              </w:rPr>
              <w:t> </w:t>
            </w:r>
            <w:r>
              <w:rPr>
                <w:color w:val="231F20"/>
                <w:spacing w:val="-2"/>
                <w:sz w:val="15"/>
              </w:rPr>
              <w:t>ventricular</w:t>
            </w:r>
          </w:p>
        </w:tc>
      </w:tr>
      <w:tr>
        <w:trPr>
          <w:trHeight w:val="149" w:hRule="atLeast"/>
        </w:trPr>
        <w:tc>
          <w:tcPr>
            <w:tcW w:w="5081" w:type="dxa"/>
            <w:gridSpan w:val="3"/>
            <w:shd w:val="clear" w:color="auto" w:fill="E8F5F1"/>
          </w:tcPr>
          <w:p>
            <w:pPr>
              <w:pStyle w:val="TableParagraph"/>
              <w:spacing w:line="130" w:lineRule="exact"/>
              <w:ind w:left="3217"/>
              <w:rPr>
                <w:sz w:val="15"/>
              </w:rPr>
            </w:pPr>
            <w:r>
              <w:rPr>
                <w:color w:val="231F20"/>
                <w:w w:val="90"/>
                <w:sz w:val="15"/>
              </w:rPr>
              <w:t>ventricle,</w:t>
            </w:r>
            <w:r>
              <w:rPr>
                <w:color w:val="231F20"/>
                <w:spacing w:val="5"/>
                <w:w w:val="105"/>
                <w:sz w:val="15"/>
              </w:rPr>
              <w:t> </w:t>
            </w:r>
            <w:r>
              <w:rPr>
                <w:color w:val="231F20"/>
                <w:spacing w:val="-4"/>
                <w:w w:val="105"/>
                <w:sz w:val="15"/>
              </w:rPr>
              <w:t>PMNs</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30" w:lineRule="exact"/>
              <w:ind w:left="193"/>
              <w:rPr>
                <w:sz w:val="15"/>
              </w:rPr>
            </w:pPr>
            <w:r>
              <w:rPr>
                <w:color w:val="231F20"/>
                <w:spacing w:val="-2"/>
                <w:sz w:val="15"/>
              </w:rPr>
              <w:t>system</w:t>
            </w:r>
          </w:p>
        </w:tc>
      </w:tr>
      <w:tr>
        <w:trPr>
          <w:trHeight w:val="140" w:hRule="atLeast"/>
        </w:trPr>
        <w:tc>
          <w:tcPr>
            <w:tcW w:w="5081" w:type="dxa"/>
            <w:gridSpan w:val="3"/>
            <w:shd w:val="clear" w:color="auto" w:fill="E8F5F1"/>
          </w:tcPr>
          <w:p>
            <w:pPr>
              <w:pStyle w:val="TableParagraph"/>
              <w:spacing w:line="120" w:lineRule="exact"/>
              <w:ind w:left="3217"/>
              <w:rPr>
                <w:sz w:val="15"/>
              </w:rPr>
            </w:pPr>
            <w:r>
              <w:rPr>
                <w:color w:val="231F20"/>
                <w:sz w:val="15"/>
              </w:rPr>
              <w:t>predominate</w:t>
            </w:r>
            <w:r>
              <w:rPr>
                <w:color w:val="231F20"/>
                <w:spacing w:val="4"/>
                <w:sz w:val="15"/>
              </w:rPr>
              <w:t> </w:t>
            </w:r>
            <w:r>
              <w:rPr>
                <w:color w:val="231F20"/>
                <w:sz w:val="15"/>
              </w:rPr>
              <w:t>and</w:t>
            </w:r>
            <w:r>
              <w:rPr>
                <w:color w:val="231F20"/>
                <w:spacing w:val="5"/>
                <w:sz w:val="15"/>
              </w:rPr>
              <w:t> </w:t>
            </w:r>
            <w:r>
              <w:rPr>
                <w:color w:val="231F20"/>
                <w:spacing w:val="-4"/>
                <w:sz w:val="15"/>
              </w:rPr>
              <w:t>cell</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rPr>
                <w:rFonts w:ascii="Times New Roman"/>
                <w:sz w:val="8"/>
              </w:rPr>
            </w:pPr>
          </w:p>
        </w:tc>
      </w:tr>
      <w:tr>
        <w:trPr>
          <w:trHeight w:val="158" w:hRule="atLeast"/>
        </w:trPr>
        <w:tc>
          <w:tcPr>
            <w:tcW w:w="5081" w:type="dxa"/>
            <w:gridSpan w:val="3"/>
            <w:shd w:val="clear" w:color="auto" w:fill="E8F5F1"/>
          </w:tcPr>
          <w:p>
            <w:pPr>
              <w:pStyle w:val="TableParagraph"/>
              <w:spacing w:line="138" w:lineRule="exact"/>
              <w:ind w:left="3217"/>
              <w:rPr>
                <w:sz w:val="15"/>
              </w:rPr>
            </w:pPr>
            <w:r>
              <w:rPr>
                <w:color w:val="231F20"/>
                <w:sz w:val="15"/>
              </w:rPr>
              <w:t>count</w:t>
            </w:r>
            <w:r>
              <w:rPr>
                <w:color w:val="231F20"/>
                <w:spacing w:val="-6"/>
                <w:sz w:val="15"/>
              </w:rPr>
              <w:t> </w:t>
            </w:r>
            <w:r>
              <w:rPr>
                <w:color w:val="231F20"/>
                <w:sz w:val="15"/>
              </w:rPr>
              <w:t>may</w:t>
            </w:r>
            <w:r>
              <w:rPr>
                <w:color w:val="231F20"/>
                <w:spacing w:val="-6"/>
                <w:sz w:val="15"/>
              </w:rPr>
              <w:t> </w:t>
            </w:r>
            <w:r>
              <w:rPr>
                <w:color w:val="231F20"/>
                <w:sz w:val="15"/>
              </w:rPr>
              <w:t>reach</w:t>
            </w:r>
            <w:r>
              <w:rPr>
                <w:color w:val="231F20"/>
                <w:spacing w:val="-6"/>
                <w:sz w:val="15"/>
              </w:rPr>
              <w:t> </w:t>
            </w:r>
            <w:r>
              <w:rPr>
                <w:rFonts w:ascii="Cambria"/>
                <w:color w:val="231F20"/>
                <w:spacing w:val="-2"/>
                <w:sz w:val="15"/>
              </w:rPr>
              <w:t>&gt;</w:t>
            </w:r>
            <w:r>
              <w:rPr>
                <w:color w:val="231F20"/>
                <w:spacing w:val="-2"/>
                <w:sz w:val="15"/>
              </w:rPr>
              <w:t>100,000</w:t>
            </w:r>
          </w:p>
        </w:tc>
        <w:tc>
          <w:tcPr>
            <w:tcW w:w="1161" w:type="dxa"/>
            <w:shd w:val="clear" w:color="auto" w:fill="E8F5F1"/>
          </w:tcPr>
          <w:p>
            <w:pPr>
              <w:pStyle w:val="TableParagraph"/>
              <w:rPr>
                <w:rFonts w:ascii="Times New Roman"/>
                <w:sz w:val="10"/>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rPr>
                <w:rFonts w:ascii="Times New Roman"/>
                <w:sz w:val="10"/>
              </w:rPr>
            </w:pPr>
          </w:p>
        </w:tc>
      </w:tr>
      <w:tr>
        <w:trPr>
          <w:trHeight w:val="314" w:hRule="atLeast"/>
        </w:trPr>
        <w:tc>
          <w:tcPr>
            <w:tcW w:w="1558" w:type="dxa"/>
            <w:shd w:val="clear" w:color="auto" w:fill="E8F5F1"/>
          </w:tcPr>
          <w:p>
            <w:pPr>
              <w:pStyle w:val="TableParagraph"/>
              <w:spacing w:line="156" w:lineRule="exact"/>
              <w:ind w:left="75"/>
              <w:rPr>
                <w:sz w:val="15"/>
              </w:rPr>
            </w:pPr>
            <w:r>
              <w:rPr>
                <w:color w:val="231F20"/>
                <w:sz w:val="15"/>
              </w:rPr>
              <w:t>Subdural</w:t>
            </w:r>
            <w:r>
              <w:rPr>
                <w:color w:val="231F20"/>
                <w:spacing w:val="6"/>
                <w:sz w:val="15"/>
              </w:rPr>
              <w:t> </w:t>
            </w:r>
            <w:r>
              <w:rPr>
                <w:color w:val="231F20"/>
                <w:spacing w:val="-2"/>
                <w:sz w:val="15"/>
              </w:rPr>
              <w:t>empyema</w:t>
            </w:r>
          </w:p>
        </w:tc>
        <w:tc>
          <w:tcPr>
            <w:tcW w:w="1461" w:type="dxa"/>
            <w:shd w:val="clear" w:color="auto" w:fill="E8F5F1"/>
          </w:tcPr>
          <w:p>
            <w:pPr>
              <w:pStyle w:val="TableParagraph"/>
              <w:spacing w:line="153" w:lineRule="exact"/>
              <w:ind w:left="183"/>
              <w:rPr>
                <w:sz w:val="15"/>
              </w:rPr>
            </w:pPr>
            <w:r>
              <w:rPr>
                <w:color w:val="231F20"/>
                <w:spacing w:val="-2"/>
                <w:sz w:val="15"/>
              </w:rPr>
              <w:t>Usually</w:t>
            </w:r>
            <w:r>
              <w:rPr>
                <w:color w:val="231F20"/>
                <w:sz w:val="15"/>
              </w:rPr>
              <w:t> </w:t>
            </w:r>
            <w:r>
              <w:rPr>
                <w:color w:val="231F20"/>
                <w:spacing w:val="-2"/>
                <w:sz w:val="15"/>
              </w:rPr>
              <w:t>elevated</w:t>
            </w:r>
          </w:p>
          <w:p>
            <w:pPr>
              <w:pStyle w:val="TableParagraph"/>
              <w:spacing w:line="142" w:lineRule="exact"/>
              <w:ind w:left="295"/>
              <w:rPr>
                <w:sz w:val="15"/>
              </w:rPr>
            </w:pPr>
            <w:r>
              <w:rPr>
                <w:color w:val="231F20"/>
                <w:w w:val="90"/>
                <w:sz w:val="15"/>
              </w:rPr>
              <w:t>(100-</w:t>
            </w:r>
            <w:r>
              <w:rPr>
                <w:color w:val="231F20"/>
                <w:spacing w:val="-4"/>
                <w:sz w:val="15"/>
              </w:rPr>
              <w:t>300)</w:t>
            </w:r>
          </w:p>
        </w:tc>
        <w:tc>
          <w:tcPr>
            <w:tcW w:w="2062" w:type="dxa"/>
            <w:shd w:val="clear" w:color="auto" w:fill="E8F5F1"/>
          </w:tcPr>
          <w:p>
            <w:pPr>
              <w:pStyle w:val="TableParagraph"/>
              <w:spacing w:line="153" w:lineRule="exact"/>
              <w:ind w:left="32" w:right="802"/>
              <w:jc w:val="center"/>
              <w:rPr>
                <w:sz w:val="15"/>
              </w:rPr>
            </w:pPr>
            <w:r>
              <w:rPr>
                <w:color w:val="231F20"/>
                <w:w w:val="90"/>
                <w:sz w:val="15"/>
              </w:rPr>
              <w:t>100-5,000;</w:t>
            </w:r>
            <w:r>
              <w:rPr>
                <w:color w:val="231F20"/>
                <w:spacing w:val="23"/>
                <w:sz w:val="15"/>
              </w:rPr>
              <w:t> </w:t>
            </w:r>
            <w:r>
              <w:rPr>
                <w:color w:val="231F20"/>
                <w:spacing w:val="-4"/>
                <w:w w:val="90"/>
                <w:sz w:val="15"/>
              </w:rPr>
              <w:t>PMNs</w:t>
            </w:r>
          </w:p>
          <w:p>
            <w:pPr>
              <w:pStyle w:val="TableParagraph"/>
              <w:spacing w:line="142" w:lineRule="exact"/>
              <w:ind w:right="802"/>
              <w:jc w:val="center"/>
              <w:rPr>
                <w:sz w:val="15"/>
              </w:rPr>
            </w:pPr>
            <w:r>
              <w:rPr>
                <w:color w:val="231F20"/>
                <w:spacing w:val="-2"/>
                <w:sz w:val="15"/>
              </w:rPr>
              <w:t>predominate</w:t>
            </w:r>
          </w:p>
        </w:tc>
        <w:tc>
          <w:tcPr>
            <w:tcW w:w="1161" w:type="dxa"/>
            <w:shd w:val="clear" w:color="auto" w:fill="E8F5F1"/>
          </w:tcPr>
          <w:p>
            <w:pPr>
              <w:pStyle w:val="TableParagraph"/>
              <w:spacing w:line="156" w:lineRule="exact"/>
              <w:ind w:left="83"/>
              <w:rPr>
                <w:sz w:val="15"/>
              </w:rPr>
            </w:pPr>
            <w:r>
              <w:rPr>
                <w:color w:val="231F20"/>
                <w:spacing w:val="-4"/>
                <w:sz w:val="15"/>
              </w:rPr>
              <w:t>100-</w:t>
            </w:r>
            <w:r>
              <w:rPr>
                <w:color w:val="231F20"/>
                <w:spacing w:val="-5"/>
                <w:sz w:val="15"/>
              </w:rPr>
              <w:t>500</w:t>
            </w: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53" w:lineRule="exact"/>
              <w:ind w:left="81"/>
              <w:rPr>
                <w:sz w:val="15"/>
              </w:rPr>
            </w:pPr>
            <w:r>
              <w:rPr>
                <w:color w:val="231F20"/>
                <w:w w:val="105"/>
                <w:sz w:val="15"/>
              </w:rPr>
              <w:t>No</w:t>
            </w:r>
            <w:r>
              <w:rPr>
                <w:color w:val="231F20"/>
                <w:spacing w:val="-8"/>
                <w:w w:val="105"/>
                <w:sz w:val="15"/>
              </w:rPr>
              <w:t> </w:t>
            </w:r>
            <w:r>
              <w:rPr>
                <w:color w:val="231F20"/>
                <w:w w:val="105"/>
                <w:sz w:val="15"/>
              </w:rPr>
              <w:t>organisms</w:t>
            </w:r>
            <w:r>
              <w:rPr>
                <w:color w:val="231F20"/>
                <w:spacing w:val="-7"/>
                <w:w w:val="105"/>
                <w:sz w:val="15"/>
              </w:rPr>
              <w:t> </w:t>
            </w:r>
            <w:r>
              <w:rPr>
                <w:color w:val="231F20"/>
                <w:w w:val="105"/>
                <w:sz w:val="15"/>
              </w:rPr>
              <w:t>on</w:t>
            </w:r>
            <w:r>
              <w:rPr>
                <w:color w:val="231F20"/>
                <w:spacing w:val="-8"/>
                <w:w w:val="105"/>
                <w:sz w:val="15"/>
              </w:rPr>
              <w:t> </w:t>
            </w:r>
            <w:r>
              <w:rPr>
                <w:color w:val="231F20"/>
                <w:w w:val="105"/>
                <w:sz w:val="15"/>
              </w:rPr>
              <w:t>smear</w:t>
            </w:r>
            <w:r>
              <w:rPr>
                <w:color w:val="231F20"/>
                <w:spacing w:val="-7"/>
                <w:w w:val="105"/>
                <w:sz w:val="15"/>
              </w:rPr>
              <w:t> </w:t>
            </w:r>
            <w:r>
              <w:rPr>
                <w:color w:val="231F20"/>
                <w:spacing w:val="-5"/>
                <w:w w:val="105"/>
                <w:sz w:val="15"/>
              </w:rPr>
              <w:t>or</w:t>
            </w:r>
          </w:p>
          <w:p>
            <w:pPr>
              <w:pStyle w:val="TableParagraph"/>
              <w:spacing w:line="142" w:lineRule="exact"/>
              <w:ind w:left="193"/>
              <w:rPr>
                <w:sz w:val="15"/>
              </w:rPr>
            </w:pPr>
            <w:r>
              <w:rPr>
                <w:color w:val="231F20"/>
                <w:sz w:val="15"/>
              </w:rPr>
              <w:t>culture</w:t>
            </w:r>
            <w:r>
              <w:rPr>
                <w:color w:val="231F20"/>
                <w:spacing w:val="-1"/>
                <w:sz w:val="15"/>
              </w:rPr>
              <w:t> </w:t>
            </w:r>
            <w:r>
              <w:rPr>
                <w:color w:val="231F20"/>
                <w:sz w:val="15"/>
              </w:rPr>
              <w:t>of CSF</w:t>
            </w:r>
            <w:r>
              <w:rPr>
                <w:color w:val="231F20"/>
                <w:spacing w:val="-1"/>
                <w:sz w:val="15"/>
              </w:rPr>
              <w:t> </w:t>
            </w:r>
            <w:r>
              <w:rPr>
                <w:color w:val="231F20"/>
                <w:spacing w:val="-2"/>
                <w:sz w:val="15"/>
              </w:rPr>
              <w:t>unless</w:t>
            </w:r>
          </w:p>
        </w:tc>
      </w:tr>
      <w:tr>
        <w:trPr>
          <w:trHeight w:val="146" w:hRule="atLeast"/>
        </w:trPr>
        <w:tc>
          <w:tcPr>
            <w:tcW w:w="5081" w:type="dxa"/>
            <w:gridSpan w:val="3"/>
            <w:shd w:val="clear" w:color="auto" w:fill="E8F5F1"/>
          </w:tcPr>
          <w:p>
            <w:pPr>
              <w:pStyle w:val="TableParagraph"/>
              <w:rPr>
                <w:rFonts w:ascii="Times New Roman"/>
                <w:sz w:val="8"/>
              </w:rPr>
            </w:pP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6" w:lineRule="exact"/>
              <w:ind w:left="193"/>
              <w:rPr>
                <w:sz w:val="15"/>
              </w:rPr>
            </w:pPr>
            <w:r>
              <w:rPr>
                <w:color w:val="231F20"/>
                <w:sz w:val="15"/>
              </w:rPr>
              <w:t>meningitis</w:t>
            </w:r>
            <w:r>
              <w:rPr>
                <w:color w:val="231F20"/>
                <w:spacing w:val="-3"/>
                <w:sz w:val="15"/>
              </w:rPr>
              <w:t> </w:t>
            </w:r>
            <w:r>
              <w:rPr>
                <w:color w:val="231F20"/>
                <w:sz w:val="15"/>
              </w:rPr>
              <w:t>also</w:t>
            </w:r>
            <w:r>
              <w:rPr>
                <w:color w:val="231F20"/>
                <w:spacing w:val="-2"/>
                <w:sz w:val="15"/>
              </w:rPr>
              <w:t> present;</w:t>
            </w:r>
          </w:p>
        </w:tc>
      </w:tr>
      <w:tr>
        <w:trPr>
          <w:trHeight w:val="147" w:hRule="atLeast"/>
        </w:trPr>
        <w:tc>
          <w:tcPr>
            <w:tcW w:w="5081" w:type="dxa"/>
            <w:gridSpan w:val="3"/>
            <w:shd w:val="clear" w:color="auto" w:fill="E8F5F1"/>
          </w:tcPr>
          <w:p>
            <w:pPr>
              <w:pStyle w:val="TableParagraph"/>
              <w:rPr>
                <w:rFonts w:ascii="Times New Roman"/>
                <w:sz w:val="8"/>
              </w:rPr>
            </w:pP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8" w:lineRule="exact"/>
              <w:ind w:left="193"/>
              <w:rPr>
                <w:sz w:val="15"/>
              </w:rPr>
            </w:pPr>
            <w:r>
              <w:rPr>
                <w:color w:val="231F20"/>
                <w:sz w:val="15"/>
              </w:rPr>
              <w:t>organisms</w:t>
            </w:r>
            <w:r>
              <w:rPr>
                <w:color w:val="231F20"/>
                <w:spacing w:val="6"/>
                <w:sz w:val="15"/>
              </w:rPr>
              <w:t> </w:t>
            </w:r>
            <w:r>
              <w:rPr>
                <w:color w:val="231F20"/>
                <w:sz w:val="15"/>
              </w:rPr>
              <w:t>found</w:t>
            </w:r>
            <w:r>
              <w:rPr>
                <w:color w:val="231F20"/>
                <w:spacing w:val="6"/>
                <w:sz w:val="15"/>
              </w:rPr>
              <w:t> </w:t>
            </w:r>
            <w:r>
              <w:rPr>
                <w:color w:val="231F20"/>
                <w:sz w:val="15"/>
              </w:rPr>
              <w:t>on</w:t>
            </w:r>
            <w:r>
              <w:rPr>
                <w:color w:val="231F20"/>
                <w:spacing w:val="6"/>
                <w:sz w:val="15"/>
              </w:rPr>
              <w:t> </w:t>
            </w:r>
            <w:r>
              <w:rPr>
                <w:color w:val="231F20"/>
                <w:sz w:val="15"/>
              </w:rPr>
              <w:t>tap</w:t>
            </w:r>
            <w:r>
              <w:rPr>
                <w:color w:val="231F20"/>
                <w:spacing w:val="6"/>
                <w:sz w:val="15"/>
              </w:rPr>
              <w:t> </w:t>
            </w:r>
            <w:r>
              <w:rPr>
                <w:color w:val="231F20"/>
                <w:spacing w:val="-5"/>
                <w:sz w:val="15"/>
              </w:rPr>
              <w:t>of</w:t>
            </w:r>
          </w:p>
        </w:tc>
      </w:tr>
      <w:tr>
        <w:trPr>
          <w:trHeight w:val="148" w:hRule="atLeast"/>
        </w:trPr>
        <w:tc>
          <w:tcPr>
            <w:tcW w:w="5081" w:type="dxa"/>
            <w:gridSpan w:val="3"/>
            <w:shd w:val="clear" w:color="auto" w:fill="E8F5F1"/>
          </w:tcPr>
          <w:p>
            <w:pPr>
              <w:pStyle w:val="TableParagraph"/>
              <w:rPr>
                <w:rFonts w:ascii="Times New Roman"/>
                <w:sz w:val="8"/>
              </w:rPr>
            </w:pP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9" w:lineRule="exact"/>
              <w:ind w:left="193"/>
              <w:rPr>
                <w:sz w:val="15"/>
              </w:rPr>
            </w:pPr>
            <w:r>
              <w:rPr>
                <w:color w:val="231F20"/>
                <w:sz w:val="15"/>
              </w:rPr>
              <w:t>subdural</w:t>
            </w:r>
            <w:r>
              <w:rPr>
                <w:color w:val="231F20"/>
                <w:spacing w:val="1"/>
                <w:sz w:val="15"/>
              </w:rPr>
              <w:t> </w:t>
            </w:r>
            <w:r>
              <w:rPr>
                <w:color w:val="231F20"/>
                <w:spacing w:val="-2"/>
                <w:sz w:val="15"/>
              </w:rPr>
              <w:t>fluid</w:t>
            </w:r>
          </w:p>
        </w:tc>
      </w:tr>
      <w:tr>
        <w:trPr>
          <w:trHeight w:val="149" w:hRule="atLeast"/>
        </w:trPr>
        <w:tc>
          <w:tcPr>
            <w:tcW w:w="1558" w:type="dxa"/>
            <w:shd w:val="clear" w:color="auto" w:fill="E8F5F1"/>
          </w:tcPr>
          <w:p>
            <w:pPr>
              <w:pStyle w:val="TableParagraph"/>
              <w:spacing w:line="130" w:lineRule="exact"/>
              <w:ind w:left="75"/>
              <w:rPr>
                <w:sz w:val="15"/>
              </w:rPr>
            </w:pPr>
            <w:r>
              <w:rPr>
                <w:color w:val="231F20"/>
                <w:sz w:val="15"/>
              </w:rPr>
              <w:t>Cerebral</w:t>
            </w:r>
            <w:r>
              <w:rPr>
                <w:color w:val="231F20"/>
                <w:spacing w:val="-5"/>
                <w:sz w:val="15"/>
              </w:rPr>
              <w:t> </w:t>
            </w:r>
            <w:r>
              <w:rPr>
                <w:color w:val="231F20"/>
                <w:spacing w:val="-2"/>
                <w:sz w:val="15"/>
              </w:rPr>
              <w:t>epidural</w:t>
            </w:r>
          </w:p>
        </w:tc>
        <w:tc>
          <w:tcPr>
            <w:tcW w:w="1461" w:type="dxa"/>
            <w:shd w:val="clear" w:color="auto" w:fill="E8F5F1"/>
          </w:tcPr>
          <w:p>
            <w:pPr>
              <w:pStyle w:val="TableParagraph"/>
              <w:spacing w:line="130" w:lineRule="exact"/>
              <w:ind w:left="184"/>
              <w:rPr>
                <w:sz w:val="15"/>
              </w:rPr>
            </w:pPr>
            <w:r>
              <w:rPr>
                <w:color w:val="231F20"/>
                <w:sz w:val="15"/>
              </w:rPr>
              <w:t>Normal</w:t>
            </w:r>
            <w:r>
              <w:rPr>
                <w:color w:val="231F20"/>
                <w:spacing w:val="4"/>
                <w:sz w:val="15"/>
              </w:rPr>
              <w:t> </w:t>
            </w:r>
            <w:r>
              <w:rPr>
                <w:color w:val="231F20"/>
                <w:sz w:val="15"/>
              </w:rPr>
              <w:t>to</w:t>
            </w:r>
            <w:r>
              <w:rPr>
                <w:color w:val="231F20"/>
                <w:spacing w:val="4"/>
                <w:sz w:val="15"/>
              </w:rPr>
              <w:t> </w:t>
            </w:r>
            <w:r>
              <w:rPr>
                <w:color w:val="231F20"/>
                <w:spacing w:val="-2"/>
                <w:sz w:val="15"/>
              </w:rPr>
              <w:t>slightly</w:t>
            </w:r>
          </w:p>
        </w:tc>
        <w:tc>
          <w:tcPr>
            <w:tcW w:w="2062" w:type="dxa"/>
            <w:shd w:val="clear" w:color="auto" w:fill="E8F5F1"/>
          </w:tcPr>
          <w:p>
            <w:pPr>
              <w:pStyle w:val="TableParagraph"/>
              <w:spacing w:line="130" w:lineRule="exact"/>
              <w:ind w:left="87"/>
              <w:rPr>
                <w:sz w:val="15"/>
              </w:rPr>
            </w:pPr>
            <w:r>
              <w:rPr>
                <w:color w:val="231F20"/>
                <w:spacing w:val="-4"/>
                <w:sz w:val="15"/>
              </w:rPr>
              <w:t>10-500;</w:t>
            </w:r>
            <w:r>
              <w:rPr>
                <w:color w:val="231F20"/>
                <w:spacing w:val="-1"/>
                <w:sz w:val="15"/>
              </w:rPr>
              <w:t> </w:t>
            </w:r>
            <w:r>
              <w:rPr>
                <w:color w:val="231F20"/>
                <w:spacing w:val="-4"/>
                <w:sz w:val="15"/>
              </w:rPr>
              <w:t>lymphocytes</w:t>
            </w:r>
          </w:p>
        </w:tc>
        <w:tc>
          <w:tcPr>
            <w:tcW w:w="1161" w:type="dxa"/>
            <w:shd w:val="clear" w:color="auto" w:fill="E8F5F1"/>
          </w:tcPr>
          <w:p>
            <w:pPr>
              <w:pStyle w:val="TableParagraph"/>
              <w:spacing w:line="130" w:lineRule="exact"/>
              <w:ind w:left="83"/>
              <w:rPr>
                <w:sz w:val="15"/>
              </w:rPr>
            </w:pPr>
            <w:r>
              <w:rPr>
                <w:color w:val="231F20"/>
                <w:spacing w:val="-4"/>
                <w:sz w:val="15"/>
              </w:rPr>
              <w:t>50-</w:t>
            </w:r>
            <w:r>
              <w:rPr>
                <w:color w:val="231F20"/>
                <w:spacing w:val="-5"/>
                <w:sz w:val="15"/>
              </w:rPr>
              <w:t>200</w:t>
            </w: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30" w:lineRule="exact"/>
              <w:ind w:left="81"/>
              <w:rPr>
                <w:sz w:val="15"/>
              </w:rPr>
            </w:pPr>
            <w:r>
              <w:rPr>
                <w:color w:val="231F20"/>
                <w:w w:val="105"/>
                <w:sz w:val="15"/>
              </w:rPr>
              <w:t>No</w:t>
            </w:r>
            <w:r>
              <w:rPr>
                <w:color w:val="231F20"/>
                <w:spacing w:val="-8"/>
                <w:w w:val="105"/>
                <w:sz w:val="15"/>
              </w:rPr>
              <w:t> </w:t>
            </w:r>
            <w:r>
              <w:rPr>
                <w:color w:val="231F20"/>
                <w:w w:val="105"/>
                <w:sz w:val="15"/>
              </w:rPr>
              <w:t>organisms</w:t>
            </w:r>
            <w:r>
              <w:rPr>
                <w:color w:val="231F20"/>
                <w:spacing w:val="-7"/>
                <w:w w:val="105"/>
                <w:sz w:val="15"/>
              </w:rPr>
              <w:t> </w:t>
            </w:r>
            <w:r>
              <w:rPr>
                <w:color w:val="231F20"/>
                <w:w w:val="105"/>
                <w:sz w:val="15"/>
              </w:rPr>
              <w:t>on</w:t>
            </w:r>
            <w:r>
              <w:rPr>
                <w:color w:val="231F20"/>
                <w:spacing w:val="-8"/>
                <w:w w:val="105"/>
                <w:sz w:val="15"/>
              </w:rPr>
              <w:t> </w:t>
            </w:r>
            <w:r>
              <w:rPr>
                <w:color w:val="231F20"/>
                <w:w w:val="105"/>
                <w:sz w:val="15"/>
              </w:rPr>
              <w:t>smear</w:t>
            </w:r>
            <w:r>
              <w:rPr>
                <w:color w:val="231F20"/>
                <w:spacing w:val="-7"/>
                <w:w w:val="105"/>
                <w:sz w:val="15"/>
              </w:rPr>
              <w:t> </w:t>
            </w:r>
            <w:r>
              <w:rPr>
                <w:color w:val="231F20"/>
                <w:spacing w:val="-5"/>
                <w:w w:val="105"/>
                <w:sz w:val="15"/>
              </w:rPr>
              <w:t>or</w:t>
            </w:r>
          </w:p>
        </w:tc>
      </w:tr>
      <w:tr>
        <w:trPr>
          <w:trHeight w:val="147" w:hRule="atLeast"/>
        </w:trPr>
        <w:tc>
          <w:tcPr>
            <w:tcW w:w="1558" w:type="dxa"/>
            <w:shd w:val="clear" w:color="auto" w:fill="E8F5F1"/>
          </w:tcPr>
          <w:p>
            <w:pPr>
              <w:pStyle w:val="TableParagraph"/>
              <w:spacing w:line="128" w:lineRule="exact"/>
              <w:ind w:left="187"/>
              <w:rPr>
                <w:sz w:val="15"/>
              </w:rPr>
            </w:pPr>
            <w:r>
              <w:rPr>
                <w:color w:val="231F20"/>
                <w:spacing w:val="-2"/>
                <w:sz w:val="15"/>
              </w:rPr>
              <w:t>abscess</w:t>
            </w:r>
          </w:p>
        </w:tc>
        <w:tc>
          <w:tcPr>
            <w:tcW w:w="1461" w:type="dxa"/>
            <w:shd w:val="clear" w:color="auto" w:fill="E8F5F1"/>
          </w:tcPr>
          <w:p>
            <w:pPr>
              <w:pStyle w:val="TableParagraph"/>
              <w:spacing w:line="128" w:lineRule="exact"/>
              <w:ind w:left="296"/>
              <w:rPr>
                <w:sz w:val="15"/>
              </w:rPr>
            </w:pPr>
            <w:r>
              <w:rPr>
                <w:color w:val="231F20"/>
                <w:spacing w:val="-2"/>
                <w:sz w:val="15"/>
              </w:rPr>
              <w:t>elevated</w:t>
            </w:r>
          </w:p>
        </w:tc>
        <w:tc>
          <w:tcPr>
            <w:tcW w:w="2062" w:type="dxa"/>
            <w:shd w:val="clear" w:color="auto" w:fill="E8F5F1"/>
          </w:tcPr>
          <w:p>
            <w:pPr>
              <w:pStyle w:val="TableParagraph"/>
              <w:spacing w:line="128" w:lineRule="exact"/>
              <w:ind w:left="199"/>
              <w:rPr>
                <w:sz w:val="15"/>
              </w:rPr>
            </w:pPr>
            <w:r>
              <w:rPr>
                <w:color w:val="231F20"/>
                <w:spacing w:val="-2"/>
                <w:sz w:val="15"/>
              </w:rPr>
              <w:t>predominate</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8" w:lineRule="exact"/>
              <w:ind w:left="193"/>
              <w:rPr>
                <w:sz w:val="15"/>
              </w:rPr>
            </w:pPr>
            <w:r>
              <w:rPr>
                <w:color w:val="231F20"/>
                <w:spacing w:val="-2"/>
                <w:sz w:val="15"/>
              </w:rPr>
              <w:t>culture</w:t>
            </w:r>
            <w:r>
              <w:rPr>
                <w:color w:val="231F20"/>
                <w:spacing w:val="-7"/>
                <w:sz w:val="15"/>
              </w:rPr>
              <w:t> </w:t>
            </w:r>
            <w:r>
              <w:rPr>
                <w:color w:val="231F20"/>
                <w:spacing w:val="-2"/>
                <w:sz w:val="15"/>
              </w:rPr>
              <w:t>of</w:t>
            </w:r>
            <w:r>
              <w:rPr>
                <w:color w:val="231F20"/>
                <w:spacing w:val="-6"/>
                <w:sz w:val="15"/>
              </w:rPr>
              <w:t> </w:t>
            </w:r>
            <w:r>
              <w:rPr>
                <w:color w:val="231F20"/>
                <w:spacing w:val="-5"/>
                <w:sz w:val="15"/>
              </w:rPr>
              <w:t>CSF</w:t>
            </w:r>
          </w:p>
        </w:tc>
      </w:tr>
      <w:tr>
        <w:trPr>
          <w:trHeight w:val="149" w:hRule="atLeast"/>
        </w:trPr>
        <w:tc>
          <w:tcPr>
            <w:tcW w:w="1558" w:type="dxa"/>
            <w:shd w:val="clear" w:color="auto" w:fill="E8F5F1"/>
          </w:tcPr>
          <w:p>
            <w:pPr>
              <w:pStyle w:val="TableParagraph"/>
              <w:spacing w:line="130" w:lineRule="exact"/>
              <w:ind w:left="76"/>
              <w:rPr>
                <w:sz w:val="15"/>
              </w:rPr>
            </w:pPr>
            <w:r>
              <w:rPr>
                <w:color w:val="231F20"/>
                <w:sz w:val="15"/>
              </w:rPr>
              <w:t>Spinal</w:t>
            </w:r>
            <w:r>
              <w:rPr>
                <w:color w:val="231F20"/>
                <w:spacing w:val="1"/>
                <w:sz w:val="15"/>
              </w:rPr>
              <w:t> </w:t>
            </w:r>
            <w:r>
              <w:rPr>
                <w:color w:val="231F20"/>
                <w:spacing w:val="-2"/>
                <w:sz w:val="15"/>
              </w:rPr>
              <w:t>epidural</w:t>
            </w:r>
          </w:p>
        </w:tc>
        <w:tc>
          <w:tcPr>
            <w:tcW w:w="1461" w:type="dxa"/>
            <w:shd w:val="clear" w:color="auto" w:fill="E8F5F1"/>
          </w:tcPr>
          <w:p>
            <w:pPr>
              <w:pStyle w:val="TableParagraph"/>
              <w:spacing w:line="130" w:lineRule="exact"/>
              <w:ind w:left="184"/>
              <w:rPr>
                <w:sz w:val="15"/>
              </w:rPr>
            </w:pPr>
            <w:r>
              <w:rPr>
                <w:color w:val="231F20"/>
                <w:spacing w:val="-2"/>
                <w:sz w:val="15"/>
              </w:rPr>
              <w:t>Usually</w:t>
            </w:r>
            <w:r>
              <w:rPr>
                <w:color w:val="231F20"/>
                <w:spacing w:val="-7"/>
                <w:sz w:val="15"/>
              </w:rPr>
              <w:t> </w:t>
            </w:r>
            <w:r>
              <w:rPr>
                <w:color w:val="231F20"/>
                <w:spacing w:val="-2"/>
                <w:sz w:val="15"/>
              </w:rPr>
              <w:t>low,</w:t>
            </w:r>
            <w:r>
              <w:rPr>
                <w:color w:val="231F20"/>
                <w:spacing w:val="-7"/>
                <w:sz w:val="15"/>
              </w:rPr>
              <w:t> </w:t>
            </w:r>
            <w:r>
              <w:rPr>
                <w:color w:val="231F20"/>
                <w:spacing w:val="-4"/>
                <w:sz w:val="15"/>
              </w:rPr>
              <w:t>with</w:t>
            </w:r>
          </w:p>
        </w:tc>
        <w:tc>
          <w:tcPr>
            <w:tcW w:w="2062" w:type="dxa"/>
            <w:shd w:val="clear" w:color="auto" w:fill="E8F5F1"/>
          </w:tcPr>
          <w:p>
            <w:pPr>
              <w:pStyle w:val="TableParagraph"/>
              <w:spacing w:line="130" w:lineRule="exact"/>
              <w:ind w:left="87"/>
              <w:rPr>
                <w:sz w:val="15"/>
              </w:rPr>
            </w:pPr>
            <w:r>
              <w:rPr>
                <w:color w:val="231F20"/>
                <w:spacing w:val="-4"/>
                <w:sz w:val="15"/>
              </w:rPr>
              <w:t>10-100;</w:t>
            </w:r>
            <w:r>
              <w:rPr>
                <w:color w:val="231F20"/>
                <w:spacing w:val="-1"/>
                <w:sz w:val="15"/>
              </w:rPr>
              <w:t> </w:t>
            </w:r>
            <w:r>
              <w:rPr>
                <w:color w:val="231F20"/>
                <w:spacing w:val="-4"/>
                <w:sz w:val="15"/>
              </w:rPr>
              <w:t>lymphocytes</w:t>
            </w:r>
          </w:p>
        </w:tc>
        <w:tc>
          <w:tcPr>
            <w:tcW w:w="1161" w:type="dxa"/>
            <w:shd w:val="clear" w:color="auto" w:fill="E8F5F1"/>
          </w:tcPr>
          <w:p>
            <w:pPr>
              <w:pStyle w:val="TableParagraph"/>
              <w:spacing w:line="130" w:lineRule="exact"/>
              <w:ind w:left="83"/>
              <w:rPr>
                <w:sz w:val="15"/>
              </w:rPr>
            </w:pPr>
            <w:r>
              <w:rPr>
                <w:color w:val="231F20"/>
                <w:spacing w:val="-4"/>
                <w:sz w:val="15"/>
              </w:rPr>
              <w:t>50-</w:t>
            </w:r>
            <w:r>
              <w:rPr>
                <w:color w:val="231F20"/>
                <w:spacing w:val="-5"/>
                <w:sz w:val="15"/>
              </w:rPr>
              <w:t>400</w:t>
            </w: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30" w:lineRule="exact"/>
              <w:ind w:left="81"/>
              <w:rPr>
                <w:sz w:val="15"/>
              </w:rPr>
            </w:pPr>
            <w:r>
              <w:rPr>
                <w:color w:val="231F20"/>
                <w:w w:val="105"/>
                <w:sz w:val="15"/>
              </w:rPr>
              <w:t>No</w:t>
            </w:r>
            <w:r>
              <w:rPr>
                <w:color w:val="231F20"/>
                <w:spacing w:val="-8"/>
                <w:w w:val="105"/>
                <w:sz w:val="15"/>
              </w:rPr>
              <w:t> </w:t>
            </w:r>
            <w:r>
              <w:rPr>
                <w:color w:val="231F20"/>
                <w:w w:val="105"/>
                <w:sz w:val="15"/>
              </w:rPr>
              <w:t>organisms</w:t>
            </w:r>
            <w:r>
              <w:rPr>
                <w:color w:val="231F20"/>
                <w:spacing w:val="-7"/>
                <w:w w:val="105"/>
                <w:sz w:val="15"/>
              </w:rPr>
              <w:t> </w:t>
            </w:r>
            <w:r>
              <w:rPr>
                <w:color w:val="231F20"/>
                <w:w w:val="105"/>
                <w:sz w:val="15"/>
              </w:rPr>
              <w:t>on</w:t>
            </w:r>
            <w:r>
              <w:rPr>
                <w:color w:val="231F20"/>
                <w:spacing w:val="-8"/>
                <w:w w:val="105"/>
                <w:sz w:val="15"/>
              </w:rPr>
              <w:t> </w:t>
            </w:r>
            <w:r>
              <w:rPr>
                <w:color w:val="231F20"/>
                <w:w w:val="105"/>
                <w:sz w:val="15"/>
              </w:rPr>
              <w:t>smear</w:t>
            </w:r>
            <w:r>
              <w:rPr>
                <w:color w:val="231F20"/>
                <w:spacing w:val="-7"/>
                <w:w w:val="105"/>
                <w:sz w:val="15"/>
              </w:rPr>
              <w:t> </w:t>
            </w:r>
            <w:r>
              <w:rPr>
                <w:color w:val="231F20"/>
                <w:spacing w:val="-5"/>
                <w:w w:val="105"/>
                <w:sz w:val="15"/>
              </w:rPr>
              <w:t>or</w:t>
            </w:r>
          </w:p>
        </w:tc>
      </w:tr>
      <w:tr>
        <w:trPr>
          <w:trHeight w:val="147" w:hRule="atLeast"/>
        </w:trPr>
        <w:tc>
          <w:tcPr>
            <w:tcW w:w="1558" w:type="dxa"/>
            <w:shd w:val="clear" w:color="auto" w:fill="E8F5F1"/>
          </w:tcPr>
          <w:p>
            <w:pPr>
              <w:pStyle w:val="TableParagraph"/>
              <w:spacing w:line="128" w:lineRule="exact"/>
              <w:ind w:left="188"/>
              <w:rPr>
                <w:sz w:val="15"/>
              </w:rPr>
            </w:pPr>
            <w:r>
              <w:rPr>
                <w:color w:val="231F20"/>
                <w:spacing w:val="-2"/>
                <w:sz w:val="15"/>
              </w:rPr>
              <w:t>abscess</w:t>
            </w:r>
          </w:p>
        </w:tc>
        <w:tc>
          <w:tcPr>
            <w:tcW w:w="1461" w:type="dxa"/>
            <w:shd w:val="clear" w:color="auto" w:fill="E8F5F1"/>
          </w:tcPr>
          <w:p>
            <w:pPr>
              <w:pStyle w:val="TableParagraph"/>
              <w:spacing w:line="128" w:lineRule="exact"/>
              <w:ind w:left="296"/>
              <w:rPr>
                <w:sz w:val="15"/>
              </w:rPr>
            </w:pPr>
            <w:r>
              <w:rPr>
                <w:color w:val="231F20"/>
                <w:sz w:val="15"/>
              </w:rPr>
              <w:t>spinal</w:t>
            </w:r>
            <w:r>
              <w:rPr>
                <w:color w:val="231F20"/>
                <w:spacing w:val="-7"/>
                <w:sz w:val="15"/>
              </w:rPr>
              <w:t> </w:t>
            </w:r>
            <w:r>
              <w:rPr>
                <w:color w:val="231F20"/>
                <w:spacing w:val="-2"/>
                <w:sz w:val="15"/>
              </w:rPr>
              <w:t>block</w:t>
            </w:r>
          </w:p>
        </w:tc>
        <w:tc>
          <w:tcPr>
            <w:tcW w:w="2062" w:type="dxa"/>
            <w:shd w:val="clear" w:color="auto" w:fill="E8F5F1"/>
          </w:tcPr>
          <w:p>
            <w:pPr>
              <w:pStyle w:val="TableParagraph"/>
              <w:spacing w:line="128" w:lineRule="exact"/>
              <w:ind w:left="199"/>
              <w:rPr>
                <w:sz w:val="15"/>
              </w:rPr>
            </w:pPr>
            <w:r>
              <w:rPr>
                <w:color w:val="231F20"/>
                <w:spacing w:val="-2"/>
                <w:sz w:val="15"/>
              </w:rPr>
              <w:t>predominate</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8" w:lineRule="exact"/>
              <w:ind w:left="193"/>
              <w:rPr>
                <w:sz w:val="15"/>
              </w:rPr>
            </w:pPr>
            <w:r>
              <w:rPr>
                <w:color w:val="231F20"/>
                <w:spacing w:val="-2"/>
                <w:sz w:val="15"/>
              </w:rPr>
              <w:t>culture</w:t>
            </w:r>
            <w:r>
              <w:rPr>
                <w:color w:val="231F20"/>
                <w:spacing w:val="-7"/>
                <w:sz w:val="15"/>
              </w:rPr>
              <w:t> </w:t>
            </w:r>
            <w:r>
              <w:rPr>
                <w:color w:val="231F20"/>
                <w:spacing w:val="-2"/>
                <w:sz w:val="15"/>
              </w:rPr>
              <w:t>of</w:t>
            </w:r>
            <w:r>
              <w:rPr>
                <w:color w:val="231F20"/>
                <w:spacing w:val="-6"/>
                <w:sz w:val="15"/>
              </w:rPr>
              <w:t> </w:t>
            </w:r>
            <w:r>
              <w:rPr>
                <w:color w:val="231F20"/>
                <w:spacing w:val="-5"/>
                <w:sz w:val="15"/>
              </w:rPr>
              <w:t>CSF</w:t>
            </w:r>
          </w:p>
        </w:tc>
      </w:tr>
      <w:tr>
        <w:trPr>
          <w:trHeight w:val="149" w:hRule="atLeast"/>
        </w:trPr>
        <w:tc>
          <w:tcPr>
            <w:tcW w:w="1558" w:type="dxa"/>
            <w:shd w:val="clear" w:color="auto" w:fill="E8F5F1"/>
          </w:tcPr>
          <w:p>
            <w:pPr>
              <w:pStyle w:val="TableParagraph"/>
              <w:spacing w:line="130" w:lineRule="exact"/>
              <w:ind w:left="76"/>
              <w:rPr>
                <w:sz w:val="15"/>
              </w:rPr>
            </w:pPr>
            <w:r>
              <w:rPr>
                <w:color w:val="231F20"/>
                <w:sz w:val="15"/>
              </w:rPr>
              <w:t>Chemical</w:t>
            </w:r>
            <w:r>
              <w:rPr>
                <w:color w:val="231F20"/>
                <w:spacing w:val="1"/>
                <w:sz w:val="15"/>
              </w:rPr>
              <w:t> </w:t>
            </w:r>
            <w:r>
              <w:rPr>
                <w:color w:val="231F20"/>
                <w:spacing w:val="-2"/>
                <w:sz w:val="15"/>
              </w:rPr>
              <w:t>(drugs,</w:t>
            </w:r>
          </w:p>
        </w:tc>
        <w:tc>
          <w:tcPr>
            <w:tcW w:w="1461" w:type="dxa"/>
            <w:shd w:val="clear" w:color="auto" w:fill="E8F5F1"/>
          </w:tcPr>
          <w:p>
            <w:pPr>
              <w:pStyle w:val="TableParagraph"/>
              <w:spacing w:line="130" w:lineRule="exact"/>
              <w:ind w:left="184"/>
              <w:rPr>
                <w:sz w:val="15"/>
              </w:rPr>
            </w:pPr>
            <w:r>
              <w:rPr>
                <w:color w:val="231F20"/>
                <w:spacing w:val="-2"/>
                <w:sz w:val="15"/>
              </w:rPr>
              <w:t>Usually</w:t>
            </w:r>
            <w:r>
              <w:rPr>
                <w:color w:val="231F20"/>
                <w:sz w:val="15"/>
              </w:rPr>
              <w:t> </w:t>
            </w:r>
            <w:r>
              <w:rPr>
                <w:color w:val="231F20"/>
                <w:spacing w:val="-2"/>
                <w:sz w:val="15"/>
              </w:rPr>
              <w:t>elevated</w:t>
            </w:r>
          </w:p>
        </w:tc>
        <w:tc>
          <w:tcPr>
            <w:tcW w:w="2062" w:type="dxa"/>
            <w:shd w:val="clear" w:color="auto" w:fill="E8F5F1"/>
          </w:tcPr>
          <w:p>
            <w:pPr>
              <w:pStyle w:val="TableParagraph"/>
              <w:spacing w:line="130" w:lineRule="exact"/>
              <w:ind w:left="87"/>
              <w:rPr>
                <w:sz w:val="15"/>
              </w:rPr>
            </w:pPr>
            <w:r>
              <w:rPr>
                <w:color w:val="231F20"/>
                <w:spacing w:val="-2"/>
                <w:sz w:val="15"/>
              </w:rPr>
              <w:t>100-1,000</w:t>
            </w:r>
            <w:r>
              <w:rPr>
                <w:color w:val="231F20"/>
                <w:spacing w:val="-5"/>
                <w:sz w:val="15"/>
              </w:rPr>
              <w:t> </w:t>
            </w:r>
            <w:r>
              <w:rPr>
                <w:color w:val="231F20"/>
                <w:spacing w:val="-2"/>
                <w:sz w:val="15"/>
              </w:rPr>
              <w:t>or</w:t>
            </w:r>
            <w:r>
              <w:rPr>
                <w:color w:val="231F20"/>
                <w:spacing w:val="-5"/>
                <w:sz w:val="15"/>
              </w:rPr>
              <w:t> </w:t>
            </w:r>
            <w:r>
              <w:rPr>
                <w:color w:val="231F20"/>
                <w:spacing w:val="-2"/>
                <w:sz w:val="15"/>
              </w:rPr>
              <w:t>more;</w:t>
            </w:r>
            <w:r>
              <w:rPr>
                <w:color w:val="231F20"/>
                <w:spacing w:val="-4"/>
                <w:sz w:val="15"/>
              </w:rPr>
              <w:t> PMNs</w:t>
            </w:r>
          </w:p>
        </w:tc>
        <w:tc>
          <w:tcPr>
            <w:tcW w:w="1161" w:type="dxa"/>
            <w:shd w:val="clear" w:color="auto" w:fill="E8F5F1"/>
          </w:tcPr>
          <w:p>
            <w:pPr>
              <w:pStyle w:val="TableParagraph"/>
              <w:spacing w:line="130" w:lineRule="exact"/>
              <w:ind w:left="83"/>
              <w:rPr>
                <w:sz w:val="15"/>
              </w:rPr>
            </w:pPr>
            <w:r>
              <w:rPr>
                <w:color w:val="231F20"/>
                <w:spacing w:val="-4"/>
                <w:sz w:val="15"/>
              </w:rPr>
              <w:t>50-</w:t>
            </w:r>
            <w:r>
              <w:rPr>
                <w:color w:val="231F20"/>
                <w:spacing w:val="-5"/>
                <w:sz w:val="15"/>
              </w:rPr>
              <w:t>100</w:t>
            </w: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30" w:lineRule="exact"/>
              <w:ind w:left="81"/>
              <w:rPr>
                <w:sz w:val="15"/>
              </w:rPr>
            </w:pPr>
            <w:r>
              <w:rPr>
                <w:color w:val="231F20"/>
                <w:sz w:val="15"/>
              </w:rPr>
              <w:t>Epithelial</w:t>
            </w:r>
            <w:r>
              <w:rPr>
                <w:color w:val="231F20"/>
                <w:spacing w:val="-9"/>
                <w:sz w:val="15"/>
              </w:rPr>
              <w:t> </w:t>
            </w:r>
            <w:r>
              <w:rPr>
                <w:color w:val="231F20"/>
                <w:sz w:val="15"/>
              </w:rPr>
              <w:t>cells</w:t>
            </w:r>
            <w:r>
              <w:rPr>
                <w:color w:val="231F20"/>
                <w:spacing w:val="-9"/>
                <w:sz w:val="15"/>
              </w:rPr>
              <w:t> </w:t>
            </w:r>
            <w:r>
              <w:rPr>
                <w:color w:val="231F20"/>
                <w:sz w:val="15"/>
              </w:rPr>
              <w:t>may</w:t>
            </w:r>
            <w:r>
              <w:rPr>
                <w:color w:val="231F20"/>
                <w:spacing w:val="-8"/>
                <w:sz w:val="15"/>
              </w:rPr>
              <w:t> </w:t>
            </w:r>
            <w:r>
              <w:rPr>
                <w:color w:val="231F20"/>
                <w:sz w:val="15"/>
              </w:rPr>
              <w:t>be</w:t>
            </w:r>
            <w:r>
              <w:rPr>
                <w:color w:val="231F20"/>
                <w:spacing w:val="-9"/>
                <w:sz w:val="15"/>
              </w:rPr>
              <w:t> </w:t>
            </w:r>
            <w:r>
              <w:rPr>
                <w:color w:val="231F20"/>
                <w:spacing w:val="-4"/>
                <w:sz w:val="15"/>
              </w:rPr>
              <w:t>seen</w:t>
            </w:r>
          </w:p>
        </w:tc>
      </w:tr>
      <w:tr>
        <w:trPr>
          <w:trHeight w:val="147" w:hRule="atLeast"/>
        </w:trPr>
        <w:tc>
          <w:tcPr>
            <w:tcW w:w="1558" w:type="dxa"/>
            <w:shd w:val="clear" w:color="auto" w:fill="E8F5F1"/>
          </w:tcPr>
          <w:p>
            <w:pPr>
              <w:pStyle w:val="TableParagraph"/>
              <w:spacing w:line="127" w:lineRule="exact"/>
              <w:ind w:left="188"/>
              <w:rPr>
                <w:sz w:val="15"/>
              </w:rPr>
            </w:pPr>
            <w:r>
              <w:rPr>
                <w:color w:val="231F20"/>
                <w:sz w:val="15"/>
              </w:rPr>
              <w:t>dermoid</w:t>
            </w:r>
            <w:r>
              <w:rPr>
                <w:color w:val="231F20"/>
                <w:spacing w:val="12"/>
                <w:sz w:val="15"/>
              </w:rPr>
              <w:t> </w:t>
            </w:r>
            <w:r>
              <w:rPr>
                <w:color w:val="231F20"/>
                <w:spacing w:val="-2"/>
                <w:sz w:val="15"/>
              </w:rPr>
              <w:t>cysts,</w:t>
            </w:r>
          </w:p>
        </w:tc>
        <w:tc>
          <w:tcPr>
            <w:tcW w:w="1461" w:type="dxa"/>
            <w:shd w:val="clear" w:color="auto" w:fill="E8F5F1"/>
          </w:tcPr>
          <w:p>
            <w:pPr>
              <w:pStyle w:val="TableParagraph"/>
              <w:rPr>
                <w:rFonts w:ascii="Times New Roman"/>
                <w:sz w:val="8"/>
              </w:rPr>
            </w:pPr>
          </w:p>
        </w:tc>
        <w:tc>
          <w:tcPr>
            <w:tcW w:w="2062" w:type="dxa"/>
            <w:shd w:val="clear" w:color="auto" w:fill="E8F5F1"/>
          </w:tcPr>
          <w:p>
            <w:pPr>
              <w:pStyle w:val="TableParagraph"/>
              <w:spacing w:line="127" w:lineRule="exact"/>
              <w:ind w:left="199"/>
              <w:rPr>
                <w:sz w:val="15"/>
              </w:rPr>
            </w:pPr>
            <w:r>
              <w:rPr>
                <w:color w:val="231F20"/>
                <w:spacing w:val="-2"/>
                <w:sz w:val="15"/>
              </w:rPr>
              <w:t>predominate</w:t>
            </w:r>
          </w:p>
        </w:tc>
        <w:tc>
          <w:tcPr>
            <w:tcW w:w="1161" w:type="dxa"/>
            <w:shd w:val="clear" w:color="auto" w:fill="E8F5F1"/>
          </w:tcPr>
          <w:p>
            <w:pPr>
              <w:pStyle w:val="TableParagraph"/>
              <w:rPr>
                <w:rFonts w:ascii="Times New Roman"/>
                <w:sz w:val="8"/>
              </w:rPr>
            </w:pPr>
          </w:p>
        </w:tc>
        <w:tc>
          <w:tcPr>
            <w:tcW w:w="1389" w:type="dxa"/>
            <w:vMerge/>
            <w:tcBorders>
              <w:top w:val="nil"/>
              <w:bottom w:val="single" w:sz="8" w:space="0" w:color="231F20"/>
            </w:tcBorders>
            <w:shd w:val="clear" w:color="auto" w:fill="E8F5F1"/>
          </w:tcPr>
          <w:p>
            <w:pPr>
              <w:rPr>
                <w:sz w:val="2"/>
                <w:szCs w:val="2"/>
              </w:rPr>
            </w:pPr>
          </w:p>
        </w:tc>
        <w:tc>
          <w:tcPr>
            <w:tcW w:w="2114" w:type="dxa"/>
            <w:shd w:val="clear" w:color="auto" w:fill="E8F5F1"/>
          </w:tcPr>
          <w:p>
            <w:pPr>
              <w:pStyle w:val="TableParagraph"/>
              <w:spacing w:line="127" w:lineRule="exact"/>
              <w:ind w:left="193"/>
              <w:rPr>
                <w:sz w:val="15"/>
              </w:rPr>
            </w:pPr>
            <w:r>
              <w:rPr>
                <w:color w:val="231F20"/>
                <w:sz w:val="15"/>
              </w:rPr>
              <w:t>within</w:t>
            </w:r>
            <w:r>
              <w:rPr>
                <w:color w:val="231F20"/>
                <w:spacing w:val="2"/>
                <w:sz w:val="15"/>
              </w:rPr>
              <w:t> </w:t>
            </w:r>
            <w:r>
              <w:rPr>
                <w:color w:val="231F20"/>
                <w:sz w:val="15"/>
              </w:rPr>
              <w:t>CSF</w:t>
            </w:r>
            <w:r>
              <w:rPr>
                <w:color w:val="231F20"/>
                <w:spacing w:val="2"/>
                <w:sz w:val="15"/>
              </w:rPr>
              <w:t> </w:t>
            </w:r>
            <w:r>
              <w:rPr>
                <w:color w:val="231F20"/>
                <w:sz w:val="15"/>
              </w:rPr>
              <w:t>by</w:t>
            </w:r>
            <w:r>
              <w:rPr>
                <w:color w:val="231F20"/>
                <w:spacing w:val="3"/>
                <w:sz w:val="15"/>
              </w:rPr>
              <w:t> </w:t>
            </w:r>
            <w:r>
              <w:rPr>
                <w:color w:val="231F20"/>
                <w:sz w:val="15"/>
              </w:rPr>
              <w:t>use</w:t>
            </w:r>
            <w:r>
              <w:rPr>
                <w:color w:val="231F20"/>
                <w:spacing w:val="2"/>
                <w:sz w:val="15"/>
              </w:rPr>
              <w:t> </w:t>
            </w:r>
            <w:r>
              <w:rPr>
                <w:color w:val="231F20"/>
                <w:spacing w:val="-5"/>
                <w:sz w:val="15"/>
              </w:rPr>
              <w:t>of</w:t>
            </w:r>
          </w:p>
        </w:tc>
      </w:tr>
      <w:tr>
        <w:trPr>
          <w:trHeight w:val="361" w:hRule="atLeast"/>
        </w:trPr>
        <w:tc>
          <w:tcPr>
            <w:tcW w:w="5081" w:type="dxa"/>
            <w:gridSpan w:val="3"/>
            <w:tcBorders>
              <w:bottom w:val="single" w:sz="8" w:space="0" w:color="231F20"/>
            </w:tcBorders>
            <w:shd w:val="clear" w:color="auto" w:fill="E8F5F1"/>
          </w:tcPr>
          <w:p>
            <w:pPr>
              <w:pStyle w:val="TableParagraph"/>
              <w:spacing w:line="159" w:lineRule="exact"/>
              <w:ind w:left="188"/>
              <w:rPr>
                <w:sz w:val="15"/>
              </w:rPr>
            </w:pPr>
            <w:r>
              <w:rPr>
                <w:color w:val="231F20"/>
                <w:sz w:val="15"/>
              </w:rPr>
              <w:t>myelography</w:t>
            </w:r>
            <w:r>
              <w:rPr>
                <w:color w:val="231F20"/>
                <w:spacing w:val="9"/>
                <w:sz w:val="15"/>
              </w:rPr>
              <w:t> </w:t>
            </w:r>
            <w:r>
              <w:rPr>
                <w:color w:val="231F20"/>
                <w:spacing w:val="-4"/>
                <w:sz w:val="15"/>
              </w:rPr>
              <w:t>dye)</w:t>
            </w:r>
          </w:p>
        </w:tc>
        <w:tc>
          <w:tcPr>
            <w:tcW w:w="1161" w:type="dxa"/>
            <w:tcBorders>
              <w:bottom w:val="single" w:sz="8" w:space="0" w:color="231F20"/>
            </w:tcBorders>
            <w:shd w:val="clear" w:color="auto" w:fill="E8F5F1"/>
          </w:tcPr>
          <w:p>
            <w:pPr>
              <w:pStyle w:val="TableParagraph"/>
              <w:rPr>
                <w:rFonts w:ascii="Times New Roman"/>
                <w:sz w:val="14"/>
              </w:rPr>
            </w:pPr>
          </w:p>
        </w:tc>
        <w:tc>
          <w:tcPr>
            <w:tcW w:w="1389" w:type="dxa"/>
            <w:vMerge/>
            <w:tcBorders>
              <w:top w:val="nil"/>
              <w:bottom w:val="single" w:sz="8" w:space="0" w:color="231F20"/>
            </w:tcBorders>
            <w:shd w:val="clear" w:color="auto" w:fill="E8F5F1"/>
          </w:tcPr>
          <w:p>
            <w:pPr>
              <w:rPr>
                <w:sz w:val="2"/>
                <w:szCs w:val="2"/>
              </w:rPr>
            </w:pPr>
          </w:p>
        </w:tc>
        <w:tc>
          <w:tcPr>
            <w:tcW w:w="2114" w:type="dxa"/>
            <w:tcBorders>
              <w:bottom w:val="single" w:sz="8" w:space="0" w:color="231F20"/>
            </w:tcBorders>
            <w:shd w:val="clear" w:color="auto" w:fill="E8F5F1"/>
          </w:tcPr>
          <w:p>
            <w:pPr>
              <w:pStyle w:val="TableParagraph"/>
              <w:spacing w:line="156" w:lineRule="exact"/>
              <w:ind w:left="193"/>
              <w:rPr>
                <w:sz w:val="15"/>
              </w:rPr>
            </w:pPr>
            <w:r>
              <w:rPr>
                <w:color w:val="231F20"/>
                <w:sz w:val="15"/>
              </w:rPr>
              <w:t>polarized</w:t>
            </w:r>
            <w:r>
              <w:rPr>
                <w:color w:val="231F20"/>
                <w:spacing w:val="-9"/>
                <w:sz w:val="15"/>
              </w:rPr>
              <w:t> </w:t>
            </w:r>
            <w:r>
              <w:rPr>
                <w:color w:val="231F20"/>
                <w:sz w:val="15"/>
              </w:rPr>
              <w:t>light</w:t>
            </w:r>
            <w:r>
              <w:rPr>
                <w:color w:val="231F20"/>
                <w:spacing w:val="-8"/>
                <w:sz w:val="15"/>
              </w:rPr>
              <w:t> </w:t>
            </w:r>
            <w:r>
              <w:rPr>
                <w:color w:val="231F20"/>
                <w:sz w:val="15"/>
              </w:rPr>
              <w:t>in</w:t>
            </w:r>
            <w:r>
              <w:rPr>
                <w:color w:val="231F20"/>
                <w:spacing w:val="-8"/>
                <w:sz w:val="15"/>
              </w:rPr>
              <w:t> </w:t>
            </w:r>
            <w:r>
              <w:rPr>
                <w:color w:val="231F20"/>
                <w:spacing w:val="-4"/>
                <w:sz w:val="15"/>
              </w:rPr>
              <w:t>some</w:t>
            </w:r>
          </w:p>
          <w:p>
            <w:pPr>
              <w:pStyle w:val="TableParagraph"/>
              <w:spacing w:line="171" w:lineRule="exact"/>
              <w:ind w:left="193"/>
              <w:rPr>
                <w:sz w:val="15"/>
              </w:rPr>
            </w:pPr>
            <w:r>
              <w:rPr>
                <w:color w:val="231F20"/>
                <w:spacing w:val="-2"/>
                <w:sz w:val="15"/>
              </w:rPr>
              <w:t>children</w:t>
            </w:r>
            <w:r>
              <w:rPr>
                <w:color w:val="231F20"/>
                <w:spacing w:val="-8"/>
                <w:sz w:val="15"/>
              </w:rPr>
              <w:t> </w:t>
            </w:r>
            <w:r>
              <w:rPr>
                <w:color w:val="231F20"/>
                <w:spacing w:val="-2"/>
                <w:sz w:val="15"/>
              </w:rPr>
              <w:t>with</w:t>
            </w:r>
            <w:r>
              <w:rPr>
                <w:color w:val="231F20"/>
                <w:spacing w:val="-7"/>
                <w:sz w:val="15"/>
              </w:rPr>
              <w:t> </w:t>
            </w:r>
            <w:r>
              <w:rPr>
                <w:color w:val="231F20"/>
                <w:spacing w:val="-2"/>
                <w:sz w:val="15"/>
              </w:rPr>
              <w:t>dermoids</w:t>
            </w:r>
          </w:p>
        </w:tc>
      </w:tr>
    </w:tbl>
    <w:p>
      <w:pPr>
        <w:pStyle w:val="Heading7"/>
        <w:spacing w:before="66"/>
        <w:ind w:right="341"/>
        <w:rPr>
          <w:rFonts w:ascii="Trebuchet MS"/>
        </w:rPr>
      </w:pPr>
      <w:r>
        <w:rPr>
          <w:rFonts w:ascii="Trebuchet MS"/>
          <w:color w:val="231F20"/>
          <w:spacing w:val="-2"/>
        </w:rPr>
        <w:t>Continued</w:t>
      </w:r>
    </w:p>
    <w:p>
      <w:pPr>
        <w:pStyle w:val="Heading7"/>
        <w:spacing w:after="0"/>
        <w:rPr>
          <w:rFonts w:ascii="Trebuchet MS"/>
        </w:rPr>
        <w:sectPr>
          <w:pgSz w:w="11900" w:h="16840"/>
          <w:pgMar w:header="0" w:footer="0" w:top="720" w:bottom="280" w:left="425" w:right="566"/>
        </w:sectPr>
      </w:pPr>
    </w:p>
    <w:p>
      <w:pPr>
        <w:pStyle w:val="BodyText"/>
        <w:spacing w:before="9" w:after="1"/>
        <w:rPr>
          <w:i/>
          <w:sz w:val="11"/>
        </w:rPr>
      </w:pPr>
    </w:p>
    <w:p>
      <w:pPr>
        <w:pStyle w:val="BodyText"/>
        <w:ind w:left="532"/>
        <w:rPr>
          <w:sz w:val="20"/>
        </w:rPr>
      </w:pPr>
      <w:r>
        <w:rPr>
          <w:sz w:val="20"/>
        </w:rPr>
        <mc:AlternateContent>
          <mc:Choice Requires="wps">
            <w:drawing>
              <wp:inline distT="0" distB="0" distL="0" distR="0">
                <wp:extent cx="6185535" cy="170815"/>
                <wp:effectExtent l="19050" t="0" r="62864" b="635"/>
                <wp:docPr id="972" name="Group 972"/>
                <wp:cNvGraphicFramePr>
                  <a:graphicFrameLocks/>
                </wp:cNvGraphicFramePr>
                <a:graphic>
                  <a:graphicData uri="http://schemas.microsoft.com/office/word/2010/wordprocessingGroup">
                    <wpg:wgp>
                      <wpg:cNvPr id="972" name="Group 972"/>
                      <wpg:cNvGrpSpPr/>
                      <wpg:grpSpPr>
                        <a:xfrm>
                          <a:off x="0" y="0"/>
                          <a:ext cx="6185535" cy="170815"/>
                          <a:chExt cx="6185535" cy="170815"/>
                        </a:xfrm>
                      </wpg:grpSpPr>
                      <wps:wsp>
                        <wps:cNvPr id="973" name="Graphic 973"/>
                        <wps:cNvSpPr/>
                        <wps:spPr>
                          <a:xfrm>
                            <a:off x="6161574"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974" name="Graphic 974"/>
                        <wps:cNvSpPr/>
                        <wps:spPr>
                          <a:xfrm>
                            <a:off x="0" y="158659"/>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975" name="Textbox 975"/>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2938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91" coordorigin="0,0" coordsize="9741,269">
                <v:line style="position:absolute" from="9703,145" to="9741,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792" filled="false" stroked="false">
                  <v:textbox inset="0,0,0,0">
                    <w:txbxContent>
                      <w:p>
                        <w:pPr>
                          <w:spacing w:before="6"/>
                          <w:ind w:left="-1" w:right="0" w:firstLine="0"/>
                          <w:jc w:val="left"/>
                          <w:rPr>
                            <w:sz w:val="18"/>
                          </w:rPr>
                        </w:pPr>
                        <w:r>
                          <w:rPr>
                            <w:b/>
                            <w:color w:val="231F20"/>
                            <w:w w:val="105"/>
                            <w:sz w:val="18"/>
                          </w:rPr>
                          <w:t>2938</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2"/>
        <w:rPr>
          <w:i/>
          <w:sz w:val="15"/>
        </w:rPr>
      </w:pPr>
    </w:p>
    <w:tbl>
      <w:tblPr>
        <w:tblW w:w="0" w:type="auto"/>
        <w:jc w:val="left"/>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873"/>
        <w:gridCol w:w="2059"/>
        <w:gridCol w:w="1078"/>
        <w:gridCol w:w="1457"/>
        <w:gridCol w:w="2163"/>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603-</w:t>
            </w:r>
            <w:r>
              <w:rPr>
                <w:b/>
                <w:color w:val="FFFFFF"/>
                <w:spacing w:val="-10"/>
                <w:w w:val="105"/>
                <w:sz w:val="16"/>
              </w:rPr>
              <w:t>1</w:t>
            </w:r>
          </w:p>
        </w:tc>
        <w:tc>
          <w:tcPr>
            <w:tcW w:w="8630" w:type="dxa"/>
            <w:gridSpan w:val="5"/>
            <w:tcBorders>
              <w:left w:val="single" w:sz="8" w:space="0" w:color="FFFFFF"/>
            </w:tcBorders>
            <w:shd w:val="clear" w:color="auto" w:fill="231F20"/>
          </w:tcPr>
          <w:p>
            <w:pPr>
              <w:pStyle w:val="TableParagraph"/>
              <w:spacing w:before="89"/>
              <w:ind w:left="73"/>
              <w:rPr>
                <w:sz w:val="16"/>
              </w:rPr>
            </w:pPr>
            <w:r>
              <w:rPr>
                <w:color w:val="FFFFFF"/>
                <w:w w:val="105"/>
                <w:sz w:val="16"/>
              </w:rPr>
              <w:t>Cerebrospinal</w:t>
            </w:r>
            <w:r>
              <w:rPr>
                <w:color w:val="FFFFFF"/>
                <w:spacing w:val="19"/>
                <w:w w:val="105"/>
                <w:sz w:val="16"/>
              </w:rPr>
              <w:t> </w:t>
            </w:r>
            <w:r>
              <w:rPr>
                <w:color w:val="FFFFFF"/>
                <w:w w:val="105"/>
                <w:sz w:val="16"/>
              </w:rPr>
              <w:t>Fluid</w:t>
            </w:r>
            <w:r>
              <w:rPr>
                <w:color w:val="FFFFFF"/>
                <w:spacing w:val="20"/>
                <w:w w:val="105"/>
                <w:sz w:val="16"/>
              </w:rPr>
              <w:t> </w:t>
            </w:r>
            <w:r>
              <w:rPr>
                <w:color w:val="FFFFFF"/>
                <w:w w:val="105"/>
                <w:sz w:val="16"/>
              </w:rPr>
              <w:t>Findings</w:t>
            </w:r>
            <w:r>
              <w:rPr>
                <w:color w:val="FFFFFF"/>
                <w:spacing w:val="19"/>
                <w:w w:val="105"/>
                <w:sz w:val="16"/>
              </w:rPr>
              <w:t> </w:t>
            </w:r>
            <w:r>
              <w:rPr>
                <w:color w:val="FFFFFF"/>
                <w:w w:val="105"/>
                <w:sz w:val="16"/>
              </w:rPr>
              <w:t>in</w:t>
            </w:r>
            <w:r>
              <w:rPr>
                <w:color w:val="FFFFFF"/>
                <w:spacing w:val="20"/>
                <w:w w:val="105"/>
                <w:sz w:val="16"/>
              </w:rPr>
              <w:t> </w:t>
            </w:r>
            <w:r>
              <w:rPr>
                <w:color w:val="FFFFFF"/>
                <w:w w:val="105"/>
                <w:sz w:val="16"/>
              </w:rPr>
              <w:t>Central</w:t>
            </w:r>
            <w:r>
              <w:rPr>
                <w:color w:val="FFFFFF"/>
                <w:spacing w:val="19"/>
                <w:w w:val="105"/>
                <w:sz w:val="16"/>
              </w:rPr>
              <w:t> </w:t>
            </w:r>
            <w:r>
              <w:rPr>
                <w:color w:val="FFFFFF"/>
                <w:w w:val="105"/>
                <w:sz w:val="16"/>
              </w:rPr>
              <w:t>Nervous</w:t>
            </w:r>
            <w:r>
              <w:rPr>
                <w:color w:val="FFFFFF"/>
                <w:spacing w:val="20"/>
                <w:w w:val="105"/>
                <w:sz w:val="16"/>
              </w:rPr>
              <w:t> </w:t>
            </w:r>
            <w:r>
              <w:rPr>
                <w:color w:val="FFFFFF"/>
                <w:w w:val="105"/>
                <w:sz w:val="16"/>
              </w:rPr>
              <w:t>System</w:t>
            </w:r>
            <w:r>
              <w:rPr>
                <w:color w:val="FFFFFF"/>
                <w:spacing w:val="20"/>
                <w:w w:val="105"/>
                <w:sz w:val="16"/>
              </w:rPr>
              <w:t> </w:t>
            </w:r>
            <w:r>
              <w:rPr>
                <w:color w:val="FFFFFF"/>
                <w:w w:val="105"/>
                <w:sz w:val="16"/>
              </w:rPr>
              <w:t>Disorders—</w:t>
            </w:r>
            <w:r>
              <w:rPr>
                <w:color w:val="FFFFFF"/>
                <w:spacing w:val="-2"/>
                <w:w w:val="105"/>
                <w:sz w:val="16"/>
              </w:rPr>
              <w:t>cont’d</w:t>
            </w:r>
          </w:p>
        </w:tc>
      </w:tr>
      <w:tr>
        <w:trPr>
          <w:trHeight w:val="444" w:hRule="atLeast"/>
        </w:trPr>
        <w:tc>
          <w:tcPr>
            <w:tcW w:w="3021" w:type="dxa"/>
            <w:gridSpan w:val="2"/>
            <w:tcBorders>
              <w:bottom w:val="single" w:sz="4" w:space="0" w:color="231F20"/>
            </w:tcBorders>
            <w:shd w:val="clear" w:color="auto" w:fill="E8F5F1"/>
          </w:tcPr>
          <w:p>
            <w:pPr>
              <w:pStyle w:val="TableParagraph"/>
              <w:spacing w:line="171" w:lineRule="exact" w:before="66"/>
              <w:ind w:right="301"/>
              <w:jc w:val="right"/>
              <w:rPr>
                <w:b/>
                <w:sz w:val="15"/>
              </w:rPr>
            </w:pPr>
            <w:r>
              <w:rPr>
                <w:b/>
                <w:color w:val="231F20"/>
                <w:spacing w:val="-2"/>
                <w:w w:val="110"/>
                <w:sz w:val="15"/>
              </w:rPr>
              <w:t>PRESSURE</w:t>
            </w:r>
          </w:p>
          <w:p>
            <w:pPr>
              <w:pStyle w:val="TableParagraph"/>
              <w:tabs>
                <w:tab w:pos="1915" w:val="left" w:leader="none"/>
              </w:tabs>
              <w:spacing w:line="171" w:lineRule="exact"/>
              <w:ind w:right="332"/>
              <w:jc w:val="right"/>
              <w:rPr>
                <w:b/>
                <w:sz w:val="15"/>
              </w:rPr>
            </w:pPr>
            <w:r>
              <w:rPr>
                <w:b/>
                <w:color w:val="231F20"/>
                <w:spacing w:val="-2"/>
                <w:sz w:val="15"/>
              </w:rPr>
              <w:t>CONDITION</w:t>
            </w:r>
            <w:r>
              <w:rPr>
                <w:b/>
                <w:color w:val="231F20"/>
                <w:sz w:val="15"/>
              </w:rPr>
              <w:tab/>
              <w:t>(mm</w:t>
            </w:r>
            <w:r>
              <w:rPr>
                <w:b/>
                <w:color w:val="231F20"/>
                <w:spacing w:val="-3"/>
                <w:sz w:val="15"/>
              </w:rPr>
              <w:t> </w:t>
            </w:r>
            <w:r>
              <w:rPr>
                <w:b/>
                <w:color w:val="231F20"/>
                <w:spacing w:val="-4"/>
                <w:sz w:val="15"/>
              </w:rPr>
              <w:t>H</w:t>
            </w:r>
            <w:r>
              <w:rPr>
                <w:b/>
                <w:color w:val="231F20"/>
                <w:spacing w:val="-4"/>
                <w:sz w:val="15"/>
                <w:vertAlign w:val="subscript"/>
              </w:rPr>
              <w:t>2</w:t>
            </w:r>
            <w:r>
              <w:rPr>
                <w:b/>
                <w:color w:val="231F20"/>
                <w:spacing w:val="-4"/>
                <w:sz w:val="15"/>
                <w:vertAlign w:val="baseline"/>
              </w:rPr>
              <w:t>O)</w:t>
            </w:r>
          </w:p>
        </w:tc>
        <w:tc>
          <w:tcPr>
            <w:tcW w:w="2059" w:type="dxa"/>
            <w:tcBorders>
              <w:bottom w:val="single" w:sz="4" w:space="0" w:color="231F20"/>
            </w:tcBorders>
            <w:shd w:val="clear" w:color="auto" w:fill="E8F5F1"/>
          </w:tcPr>
          <w:p>
            <w:pPr>
              <w:pStyle w:val="TableParagraph"/>
              <w:spacing w:before="59"/>
              <w:rPr>
                <w:i/>
                <w:sz w:val="15"/>
              </w:rPr>
            </w:pPr>
          </w:p>
          <w:p>
            <w:pPr>
              <w:pStyle w:val="TableParagraph"/>
              <w:ind w:left="308"/>
              <w:rPr>
                <w:b/>
                <w:sz w:val="15"/>
              </w:rPr>
            </w:pPr>
            <w:r>
              <w:rPr>
                <w:b/>
                <w:color w:val="231F20"/>
                <w:w w:val="105"/>
                <w:sz w:val="15"/>
              </w:rPr>
              <w:t>LEUKOCYTES</w:t>
            </w:r>
            <w:r>
              <w:rPr>
                <w:b/>
                <w:color w:val="231F20"/>
                <w:spacing w:val="31"/>
                <w:w w:val="105"/>
                <w:sz w:val="15"/>
              </w:rPr>
              <w:t> </w:t>
            </w:r>
            <w:r>
              <w:rPr>
                <w:b/>
                <w:color w:val="231F20"/>
                <w:spacing w:val="-4"/>
                <w:w w:val="105"/>
                <w:sz w:val="15"/>
              </w:rPr>
              <w:t>(mm</w:t>
            </w:r>
            <w:r>
              <w:rPr>
                <w:b/>
                <w:color w:val="231F20"/>
                <w:spacing w:val="-4"/>
                <w:w w:val="105"/>
                <w:sz w:val="15"/>
                <w:vertAlign w:val="superscript"/>
              </w:rPr>
              <w:t>3</w:t>
            </w:r>
            <w:r>
              <w:rPr>
                <w:b/>
                <w:color w:val="231F20"/>
                <w:spacing w:val="-4"/>
                <w:w w:val="105"/>
                <w:sz w:val="15"/>
                <w:vertAlign w:val="baseline"/>
              </w:rPr>
              <w:t>)</w:t>
            </w:r>
          </w:p>
        </w:tc>
        <w:tc>
          <w:tcPr>
            <w:tcW w:w="1078" w:type="dxa"/>
            <w:tcBorders>
              <w:bottom w:val="single" w:sz="4" w:space="0" w:color="231F20"/>
            </w:tcBorders>
            <w:shd w:val="clear" w:color="auto" w:fill="E8F5F1"/>
          </w:tcPr>
          <w:p>
            <w:pPr>
              <w:pStyle w:val="TableParagraph"/>
              <w:spacing w:line="171" w:lineRule="exact" w:before="66"/>
              <w:ind w:left="248"/>
              <w:rPr>
                <w:b/>
                <w:sz w:val="15"/>
              </w:rPr>
            </w:pPr>
            <w:r>
              <w:rPr>
                <w:b/>
                <w:color w:val="231F20"/>
                <w:spacing w:val="-2"/>
                <w:w w:val="110"/>
                <w:sz w:val="15"/>
              </w:rPr>
              <w:t>PROTEIN</w:t>
            </w:r>
          </w:p>
          <w:p>
            <w:pPr>
              <w:pStyle w:val="TableParagraph"/>
              <w:spacing w:line="171" w:lineRule="exact"/>
              <w:ind w:left="302"/>
              <w:rPr>
                <w:b/>
                <w:sz w:val="15"/>
              </w:rPr>
            </w:pPr>
            <w:r>
              <w:rPr>
                <w:b/>
                <w:color w:val="231F20"/>
                <w:spacing w:val="-2"/>
                <w:sz w:val="15"/>
              </w:rPr>
              <w:t>(mg/dL)</w:t>
            </w:r>
          </w:p>
        </w:tc>
        <w:tc>
          <w:tcPr>
            <w:tcW w:w="1457" w:type="dxa"/>
            <w:tcBorders>
              <w:bottom w:val="single" w:sz="4" w:space="0" w:color="231F20"/>
            </w:tcBorders>
            <w:shd w:val="clear" w:color="auto" w:fill="E8F5F1"/>
          </w:tcPr>
          <w:p>
            <w:pPr>
              <w:pStyle w:val="TableParagraph"/>
              <w:spacing w:line="171" w:lineRule="exact" w:before="66"/>
              <w:ind w:left="418"/>
              <w:rPr>
                <w:b/>
                <w:sz w:val="15"/>
              </w:rPr>
            </w:pPr>
            <w:r>
              <w:rPr>
                <w:b/>
                <w:color w:val="231F20"/>
                <w:spacing w:val="-2"/>
                <w:w w:val="110"/>
                <w:sz w:val="15"/>
              </w:rPr>
              <w:t>GLUCOSE</w:t>
            </w:r>
          </w:p>
          <w:p>
            <w:pPr>
              <w:pStyle w:val="TableParagraph"/>
              <w:spacing w:line="171" w:lineRule="exact"/>
              <w:ind w:left="498"/>
              <w:rPr>
                <w:b/>
                <w:sz w:val="15"/>
              </w:rPr>
            </w:pPr>
            <w:r>
              <w:rPr>
                <w:b/>
                <w:color w:val="231F20"/>
                <w:spacing w:val="-2"/>
                <w:sz w:val="15"/>
              </w:rPr>
              <w:t>(mg/dL)</w:t>
            </w:r>
          </w:p>
        </w:tc>
        <w:tc>
          <w:tcPr>
            <w:tcW w:w="2163" w:type="dxa"/>
            <w:tcBorders>
              <w:bottom w:val="single" w:sz="4" w:space="0" w:color="231F20"/>
            </w:tcBorders>
            <w:shd w:val="clear" w:color="auto" w:fill="E8F5F1"/>
          </w:tcPr>
          <w:p>
            <w:pPr>
              <w:pStyle w:val="TableParagraph"/>
              <w:spacing w:before="59"/>
              <w:rPr>
                <w:i/>
                <w:sz w:val="15"/>
              </w:rPr>
            </w:pPr>
          </w:p>
          <w:p>
            <w:pPr>
              <w:pStyle w:val="TableParagraph"/>
              <w:ind w:left="625"/>
              <w:rPr>
                <w:b/>
                <w:sz w:val="15"/>
              </w:rPr>
            </w:pPr>
            <w:r>
              <w:rPr>
                <w:b/>
                <w:color w:val="231F20"/>
                <w:spacing w:val="-2"/>
                <w:w w:val="115"/>
                <w:sz w:val="15"/>
              </w:rPr>
              <w:t>COMMENTS</w:t>
            </w:r>
          </w:p>
        </w:tc>
      </w:tr>
      <w:tr>
        <w:trPr>
          <w:trHeight w:val="2439" w:hRule="atLeast"/>
        </w:trPr>
        <w:tc>
          <w:tcPr>
            <w:tcW w:w="3021" w:type="dxa"/>
            <w:gridSpan w:val="2"/>
            <w:tcBorders>
              <w:top w:val="single" w:sz="4" w:space="0" w:color="231F20"/>
              <w:bottom w:val="single" w:sz="8" w:space="0" w:color="231F20"/>
            </w:tcBorders>
            <w:shd w:val="clear" w:color="auto" w:fill="E8F5F1"/>
          </w:tcPr>
          <w:p>
            <w:pPr>
              <w:pStyle w:val="TableParagraph"/>
              <w:spacing w:line="172" w:lineRule="exact" w:before="43"/>
              <w:ind w:left="74"/>
              <w:rPr>
                <w:sz w:val="15"/>
              </w:rPr>
            </w:pPr>
            <w:r>
              <w:rPr>
                <w:color w:val="231F20"/>
                <w:w w:val="115"/>
                <w:sz w:val="15"/>
              </w:rPr>
              <w:t>NONINFECTIOUS</w:t>
            </w:r>
            <w:r>
              <w:rPr>
                <w:color w:val="231F20"/>
                <w:spacing w:val="-3"/>
                <w:w w:val="115"/>
                <w:sz w:val="15"/>
              </w:rPr>
              <w:t> </w:t>
            </w:r>
            <w:r>
              <w:rPr>
                <w:color w:val="231F20"/>
                <w:spacing w:val="-2"/>
                <w:w w:val="115"/>
                <w:sz w:val="15"/>
              </w:rPr>
              <w:t>CAUSES</w:t>
            </w:r>
          </w:p>
          <w:p>
            <w:pPr>
              <w:pStyle w:val="TableParagraph"/>
              <w:tabs>
                <w:tab w:pos="1740" w:val="left" w:leader="none"/>
              </w:tabs>
              <w:spacing w:line="230" w:lineRule="auto" w:before="3"/>
              <w:ind w:left="1852" w:right="83" w:hanging="1779"/>
              <w:rPr>
                <w:sz w:val="15"/>
              </w:rPr>
            </w:pPr>
            <w:r>
              <w:rPr>
                <w:color w:val="231F20"/>
                <w:spacing w:val="-2"/>
                <w:sz w:val="15"/>
              </w:rPr>
              <w:t>Sarcoidosis</w:t>
            </w:r>
            <w:r>
              <w:rPr>
                <w:color w:val="231F20"/>
                <w:sz w:val="15"/>
              </w:rPr>
              <w:tab/>
              <w:t>Normal or </w:t>
            </w:r>
            <w:r>
              <w:rPr>
                <w:color w:val="231F20"/>
                <w:spacing w:val="-2"/>
                <w:sz w:val="15"/>
              </w:rPr>
              <w:t>elevated</w:t>
            </w:r>
            <w:r>
              <w:rPr>
                <w:color w:val="231F20"/>
                <w:spacing w:val="-10"/>
                <w:sz w:val="15"/>
              </w:rPr>
              <w:t> </w:t>
            </w:r>
            <w:r>
              <w:rPr>
                <w:color w:val="231F20"/>
                <w:spacing w:val="-2"/>
                <w:sz w:val="15"/>
              </w:rPr>
              <w:t>slightly</w:t>
            </w:r>
          </w:p>
          <w:p>
            <w:pPr>
              <w:pStyle w:val="TableParagraph"/>
              <w:tabs>
                <w:tab w:pos="1740" w:val="left" w:leader="none"/>
              </w:tabs>
              <w:spacing w:line="230" w:lineRule="auto" w:before="3"/>
              <w:ind w:left="186" w:right="175" w:hanging="112"/>
              <w:rPr>
                <w:sz w:val="15"/>
              </w:rPr>
            </w:pPr>
            <w:r>
              <w:rPr>
                <w:color w:val="231F20"/>
                <w:sz w:val="15"/>
              </w:rPr>
              <w:t>Systemic lupus</w:t>
              <w:tab/>
            </w:r>
            <w:r>
              <w:rPr>
                <w:color w:val="231F20"/>
                <w:spacing w:val="-2"/>
                <w:sz w:val="15"/>
              </w:rPr>
              <w:t>Slightly</w:t>
            </w:r>
            <w:r>
              <w:rPr>
                <w:color w:val="231F20"/>
                <w:spacing w:val="-10"/>
                <w:sz w:val="15"/>
              </w:rPr>
              <w:t> </w:t>
            </w:r>
            <w:r>
              <w:rPr>
                <w:color w:val="231F20"/>
                <w:spacing w:val="-2"/>
                <w:sz w:val="15"/>
              </w:rPr>
              <w:t>elevated </w:t>
            </w:r>
            <w:r>
              <w:rPr>
                <w:color w:val="231F20"/>
                <w:sz w:val="15"/>
              </w:rPr>
              <w:t>erythematosus with</w:t>
            </w:r>
          </w:p>
          <w:p>
            <w:pPr>
              <w:pStyle w:val="TableParagraph"/>
              <w:spacing w:line="170" w:lineRule="exact"/>
              <w:ind w:left="186"/>
              <w:rPr>
                <w:sz w:val="15"/>
              </w:rPr>
            </w:pPr>
            <w:r>
              <w:rPr>
                <w:color w:val="231F20"/>
                <w:w w:val="105"/>
                <w:sz w:val="15"/>
              </w:rPr>
              <w:t>CNS</w:t>
            </w:r>
            <w:r>
              <w:rPr>
                <w:color w:val="231F20"/>
                <w:spacing w:val="32"/>
                <w:w w:val="105"/>
                <w:sz w:val="15"/>
              </w:rPr>
              <w:t> </w:t>
            </w:r>
            <w:r>
              <w:rPr>
                <w:color w:val="231F20"/>
                <w:spacing w:val="-2"/>
                <w:w w:val="105"/>
                <w:sz w:val="15"/>
              </w:rPr>
              <w:t>involvement</w:t>
            </w:r>
          </w:p>
          <w:p>
            <w:pPr>
              <w:pStyle w:val="TableParagraph"/>
              <w:tabs>
                <w:tab w:pos="1740" w:val="left" w:leader="none"/>
              </w:tabs>
              <w:spacing w:line="171" w:lineRule="exact" w:before="163"/>
              <w:ind w:left="74"/>
              <w:rPr>
                <w:sz w:val="15"/>
              </w:rPr>
            </w:pPr>
            <w:r>
              <w:rPr>
                <w:color w:val="231F20"/>
                <w:spacing w:val="-2"/>
                <w:sz w:val="15"/>
              </w:rPr>
              <w:t>Tumor, leukemia</w:t>
            </w:r>
            <w:r>
              <w:rPr>
                <w:color w:val="231F20"/>
                <w:sz w:val="15"/>
              </w:rPr>
              <w:tab/>
            </w:r>
            <w:r>
              <w:rPr>
                <w:color w:val="231F20"/>
                <w:spacing w:val="-2"/>
                <w:sz w:val="15"/>
              </w:rPr>
              <w:t>Slightly</w:t>
            </w:r>
            <w:r>
              <w:rPr>
                <w:color w:val="231F20"/>
                <w:spacing w:val="2"/>
                <w:sz w:val="15"/>
              </w:rPr>
              <w:t> </w:t>
            </w:r>
            <w:r>
              <w:rPr>
                <w:color w:val="231F20"/>
                <w:spacing w:val="-2"/>
                <w:sz w:val="15"/>
              </w:rPr>
              <w:t>elevated</w:t>
            </w:r>
          </w:p>
          <w:p>
            <w:pPr>
              <w:pStyle w:val="TableParagraph"/>
              <w:spacing w:line="171" w:lineRule="exact"/>
              <w:ind w:left="1852"/>
              <w:rPr>
                <w:sz w:val="15"/>
              </w:rPr>
            </w:pPr>
            <w:r>
              <w:rPr>
                <w:color w:val="231F20"/>
                <w:sz w:val="15"/>
              </w:rPr>
              <w:t>to</w:t>
            </w:r>
            <w:r>
              <w:rPr>
                <w:color w:val="231F20"/>
                <w:spacing w:val="-10"/>
                <w:sz w:val="15"/>
              </w:rPr>
              <w:t> </w:t>
            </w:r>
            <w:r>
              <w:rPr>
                <w:color w:val="231F20"/>
                <w:sz w:val="15"/>
              </w:rPr>
              <w:t>very</w:t>
            </w:r>
            <w:r>
              <w:rPr>
                <w:color w:val="231F20"/>
                <w:spacing w:val="-9"/>
                <w:sz w:val="15"/>
              </w:rPr>
              <w:t> </w:t>
            </w:r>
            <w:r>
              <w:rPr>
                <w:color w:val="231F20"/>
                <w:spacing w:val="-4"/>
                <w:sz w:val="15"/>
              </w:rPr>
              <w:t>high</w:t>
            </w:r>
          </w:p>
          <w:p>
            <w:pPr>
              <w:pStyle w:val="TableParagraph"/>
              <w:tabs>
                <w:tab w:pos="1740" w:val="left" w:leader="none"/>
                <w:tab w:pos="1852" w:val="left" w:leader="none"/>
              </w:tabs>
              <w:spacing w:line="230" w:lineRule="auto" w:before="169"/>
              <w:ind w:left="186" w:right="593" w:hanging="112"/>
              <w:rPr>
                <w:sz w:val="15"/>
              </w:rPr>
            </w:pPr>
            <w:r>
              <w:rPr>
                <w:color w:val="231F20"/>
                <w:sz w:val="15"/>
              </w:rPr>
              <w:t>Acute disseminated</w:t>
              <w:tab/>
              <w:t>Normal</w:t>
            </w:r>
            <w:r>
              <w:rPr>
                <w:color w:val="231F20"/>
                <w:spacing w:val="-12"/>
                <w:sz w:val="15"/>
              </w:rPr>
              <w:t> </w:t>
            </w:r>
            <w:r>
              <w:rPr>
                <w:color w:val="231F20"/>
                <w:sz w:val="15"/>
              </w:rPr>
              <w:t>or </w:t>
            </w:r>
            <w:r>
              <w:rPr>
                <w:color w:val="231F20"/>
                <w:spacing w:val="-2"/>
                <w:sz w:val="15"/>
              </w:rPr>
              <w:t>encephalomyelitis</w:t>
            </w:r>
            <w:r>
              <w:rPr>
                <w:color w:val="231F20"/>
                <w:sz w:val="15"/>
              </w:rPr>
              <w:tab/>
              <w:tab/>
            </w:r>
            <w:r>
              <w:rPr>
                <w:color w:val="231F20"/>
                <w:spacing w:val="-4"/>
                <w:sz w:val="15"/>
              </w:rPr>
              <w:t>elevated</w:t>
            </w:r>
          </w:p>
          <w:p>
            <w:pPr>
              <w:pStyle w:val="TableParagraph"/>
              <w:tabs>
                <w:tab w:pos="1741" w:val="left" w:leader="none"/>
              </w:tabs>
              <w:spacing w:line="230" w:lineRule="auto" w:before="3"/>
              <w:ind w:left="186" w:right="782" w:hanging="112"/>
              <w:rPr>
                <w:sz w:val="15"/>
              </w:rPr>
            </w:pPr>
            <w:r>
              <w:rPr>
                <w:color w:val="231F20"/>
                <w:spacing w:val="-2"/>
                <w:sz w:val="15"/>
              </w:rPr>
              <w:t>Autoimmune</w:t>
            </w:r>
            <w:r>
              <w:rPr>
                <w:color w:val="231F20"/>
                <w:sz w:val="15"/>
              </w:rPr>
              <w:tab/>
            </w:r>
            <w:r>
              <w:rPr>
                <w:color w:val="231F20"/>
                <w:spacing w:val="-2"/>
                <w:sz w:val="15"/>
              </w:rPr>
              <w:t>Normal encephalitis</w:t>
            </w:r>
          </w:p>
        </w:tc>
        <w:tc>
          <w:tcPr>
            <w:tcW w:w="2059" w:type="dxa"/>
            <w:tcBorders>
              <w:top w:val="single" w:sz="4" w:space="0" w:color="231F20"/>
              <w:bottom w:val="single" w:sz="8" w:space="0" w:color="231F20"/>
            </w:tcBorders>
            <w:shd w:val="clear" w:color="auto" w:fill="E8F5F1"/>
          </w:tcPr>
          <w:p>
            <w:pPr>
              <w:pStyle w:val="TableParagraph"/>
              <w:spacing w:before="38"/>
              <w:rPr>
                <w:i/>
                <w:sz w:val="15"/>
              </w:rPr>
            </w:pPr>
          </w:p>
          <w:p>
            <w:pPr>
              <w:pStyle w:val="TableParagraph"/>
              <w:ind w:left="83"/>
              <w:rPr>
                <w:sz w:val="15"/>
              </w:rPr>
            </w:pPr>
            <w:r>
              <w:rPr>
                <w:color w:val="231F20"/>
                <w:spacing w:val="-4"/>
                <w:sz w:val="15"/>
              </w:rPr>
              <w:t>0-100;</w:t>
            </w:r>
            <w:r>
              <w:rPr>
                <w:color w:val="231F20"/>
                <w:spacing w:val="-3"/>
                <w:sz w:val="15"/>
              </w:rPr>
              <w:t> </w:t>
            </w:r>
            <w:r>
              <w:rPr>
                <w:color w:val="231F20"/>
                <w:spacing w:val="-4"/>
                <w:sz w:val="15"/>
              </w:rPr>
              <w:t>mononuclear</w:t>
            </w:r>
          </w:p>
          <w:p>
            <w:pPr>
              <w:pStyle w:val="TableParagraph"/>
              <w:spacing w:line="230" w:lineRule="auto" w:before="169"/>
              <w:ind w:left="195" w:right="47" w:hanging="112"/>
              <w:rPr>
                <w:sz w:val="15"/>
              </w:rPr>
            </w:pPr>
            <w:r>
              <w:rPr>
                <w:color w:val="231F20"/>
                <w:sz w:val="15"/>
              </w:rPr>
              <w:t>0-500; PMNs usually </w:t>
            </w:r>
            <w:r>
              <w:rPr>
                <w:color w:val="231F20"/>
                <w:spacing w:val="-2"/>
                <w:sz w:val="15"/>
              </w:rPr>
              <w:t>predominate;</w:t>
            </w:r>
            <w:r>
              <w:rPr>
                <w:color w:val="231F20"/>
                <w:spacing w:val="-10"/>
                <w:sz w:val="15"/>
              </w:rPr>
              <w:t> </w:t>
            </w:r>
            <w:r>
              <w:rPr>
                <w:color w:val="231F20"/>
                <w:spacing w:val="-2"/>
                <w:sz w:val="15"/>
              </w:rPr>
              <w:t>lymphocyte</w:t>
            </w:r>
            <w:r>
              <w:rPr>
                <w:color w:val="231F20"/>
                <w:spacing w:val="-2"/>
                <w:sz w:val="15"/>
              </w:rPr>
              <w:t>s</w:t>
            </w:r>
            <w:r>
              <w:rPr>
                <w:color w:val="231F20"/>
                <w:spacing w:val="-2"/>
                <w:sz w:val="15"/>
              </w:rPr>
              <w:t> </w:t>
            </w:r>
            <w:r>
              <w:rPr>
                <w:color w:val="231F20"/>
                <w:sz w:val="15"/>
              </w:rPr>
              <w:t>may be present</w:t>
            </w:r>
          </w:p>
          <w:p>
            <w:pPr>
              <w:pStyle w:val="TableParagraph"/>
              <w:spacing w:line="230" w:lineRule="auto" w:before="172"/>
              <w:ind w:left="195" w:right="76" w:hanging="112"/>
              <w:rPr>
                <w:sz w:val="15"/>
              </w:rPr>
            </w:pPr>
            <w:r>
              <w:rPr>
                <w:color w:val="231F20"/>
                <w:sz w:val="15"/>
              </w:rPr>
              <w:t>0-100</w:t>
            </w:r>
            <w:r>
              <w:rPr>
                <w:color w:val="231F20"/>
                <w:spacing w:val="-12"/>
                <w:sz w:val="15"/>
              </w:rPr>
              <w:t> </w:t>
            </w:r>
            <w:r>
              <w:rPr>
                <w:color w:val="231F20"/>
                <w:sz w:val="15"/>
              </w:rPr>
              <w:t>or</w:t>
            </w:r>
            <w:r>
              <w:rPr>
                <w:color w:val="231F20"/>
                <w:spacing w:val="-11"/>
                <w:sz w:val="15"/>
              </w:rPr>
              <w:t> </w:t>
            </w:r>
            <w:r>
              <w:rPr>
                <w:color w:val="231F20"/>
                <w:sz w:val="15"/>
              </w:rPr>
              <w:t>more;</w:t>
            </w:r>
            <w:r>
              <w:rPr>
                <w:color w:val="231F20"/>
                <w:spacing w:val="-11"/>
                <w:sz w:val="15"/>
              </w:rPr>
              <w:t> </w:t>
            </w:r>
            <w:r>
              <w:rPr>
                <w:color w:val="231F20"/>
                <w:sz w:val="15"/>
              </w:rPr>
              <w:t>mononuclear or blast cells</w:t>
            </w:r>
          </w:p>
          <w:p>
            <w:pPr>
              <w:pStyle w:val="TableParagraph"/>
              <w:spacing w:before="165"/>
              <w:ind w:left="84"/>
              <w:rPr>
                <w:sz w:val="15"/>
              </w:rPr>
            </w:pPr>
            <w:r>
              <w:rPr>
                <w:color w:val="231F20"/>
                <w:sz w:val="15"/>
              </w:rPr>
              <w:t>~100</w:t>
            </w:r>
            <w:r>
              <w:rPr>
                <w:color w:val="231F20"/>
                <w:spacing w:val="16"/>
                <w:sz w:val="15"/>
              </w:rPr>
              <w:t> </w:t>
            </w:r>
            <w:r>
              <w:rPr>
                <w:color w:val="231F20"/>
                <w:spacing w:val="-2"/>
                <w:sz w:val="15"/>
              </w:rPr>
              <w:t>lymphocytes</w:t>
            </w:r>
          </w:p>
          <w:p>
            <w:pPr>
              <w:pStyle w:val="TableParagraph"/>
              <w:spacing w:before="163"/>
              <w:ind w:left="84"/>
              <w:rPr>
                <w:sz w:val="15"/>
              </w:rPr>
            </w:pPr>
            <w:r>
              <w:rPr>
                <w:color w:val="231F20"/>
                <w:sz w:val="15"/>
              </w:rPr>
              <w:t>~100</w:t>
            </w:r>
            <w:r>
              <w:rPr>
                <w:color w:val="231F20"/>
                <w:spacing w:val="16"/>
                <w:sz w:val="15"/>
              </w:rPr>
              <w:t> </w:t>
            </w:r>
            <w:r>
              <w:rPr>
                <w:color w:val="231F20"/>
                <w:spacing w:val="-2"/>
                <w:sz w:val="15"/>
              </w:rPr>
              <w:t>lymphocytes</w:t>
            </w:r>
          </w:p>
        </w:tc>
        <w:tc>
          <w:tcPr>
            <w:tcW w:w="1078" w:type="dxa"/>
            <w:tcBorders>
              <w:top w:val="single" w:sz="4" w:space="0" w:color="231F20"/>
              <w:bottom w:val="single" w:sz="8" w:space="0" w:color="231F20"/>
            </w:tcBorders>
            <w:shd w:val="clear" w:color="auto" w:fill="E8F5F1"/>
          </w:tcPr>
          <w:p>
            <w:pPr>
              <w:pStyle w:val="TableParagraph"/>
              <w:spacing w:before="38"/>
              <w:rPr>
                <w:i/>
                <w:sz w:val="15"/>
              </w:rPr>
            </w:pPr>
          </w:p>
          <w:p>
            <w:pPr>
              <w:pStyle w:val="TableParagraph"/>
              <w:ind w:left="83"/>
              <w:rPr>
                <w:sz w:val="15"/>
              </w:rPr>
            </w:pPr>
            <w:r>
              <w:rPr>
                <w:color w:val="231F20"/>
                <w:spacing w:val="-4"/>
                <w:sz w:val="15"/>
              </w:rPr>
              <w:t>40-</w:t>
            </w:r>
            <w:r>
              <w:rPr>
                <w:color w:val="231F20"/>
                <w:spacing w:val="-5"/>
                <w:sz w:val="15"/>
              </w:rPr>
              <w:t>100</w:t>
            </w:r>
          </w:p>
          <w:p>
            <w:pPr>
              <w:pStyle w:val="TableParagraph"/>
              <w:spacing w:before="163"/>
              <w:ind w:left="83"/>
              <w:rPr>
                <w:sz w:val="15"/>
              </w:rPr>
            </w:pPr>
            <w:r>
              <w:rPr>
                <w:color w:val="231F20"/>
                <w:spacing w:val="-5"/>
                <w:sz w:val="15"/>
              </w:rPr>
              <w:t>100</w:t>
            </w:r>
          </w:p>
          <w:p>
            <w:pPr>
              <w:pStyle w:val="TableParagraph"/>
              <w:rPr>
                <w:i/>
                <w:sz w:val="15"/>
              </w:rPr>
            </w:pPr>
          </w:p>
          <w:p>
            <w:pPr>
              <w:pStyle w:val="TableParagraph"/>
              <w:spacing w:before="151"/>
              <w:rPr>
                <w:i/>
                <w:sz w:val="15"/>
              </w:rPr>
            </w:pPr>
          </w:p>
          <w:p>
            <w:pPr>
              <w:pStyle w:val="TableParagraph"/>
              <w:ind w:left="83"/>
              <w:rPr>
                <w:sz w:val="15"/>
              </w:rPr>
            </w:pPr>
            <w:r>
              <w:rPr>
                <w:color w:val="231F20"/>
                <w:spacing w:val="-4"/>
                <w:sz w:val="15"/>
              </w:rPr>
              <w:t>50-</w:t>
            </w:r>
            <w:r>
              <w:rPr>
                <w:color w:val="231F20"/>
                <w:spacing w:val="-2"/>
                <w:sz w:val="15"/>
              </w:rPr>
              <w:t>1,000</w:t>
            </w:r>
          </w:p>
          <w:p>
            <w:pPr>
              <w:pStyle w:val="TableParagraph"/>
              <w:spacing w:before="161"/>
              <w:rPr>
                <w:i/>
                <w:sz w:val="15"/>
              </w:rPr>
            </w:pPr>
          </w:p>
          <w:p>
            <w:pPr>
              <w:pStyle w:val="TableParagraph"/>
              <w:spacing w:line="232" w:lineRule="auto"/>
              <w:ind w:left="83" w:right="307" w:hanging="1"/>
              <w:jc w:val="right"/>
              <w:rPr>
                <w:sz w:val="15"/>
              </w:rPr>
            </w:pPr>
            <w:r>
              <w:rPr>
                <w:color w:val="231F20"/>
                <w:sz w:val="15"/>
              </w:rPr>
              <w:t>Normal</w:t>
            </w:r>
            <w:r>
              <w:rPr>
                <w:color w:val="231F20"/>
                <w:spacing w:val="-12"/>
                <w:sz w:val="15"/>
              </w:rPr>
              <w:t> </w:t>
            </w:r>
            <w:r>
              <w:rPr>
                <w:color w:val="231F20"/>
                <w:sz w:val="15"/>
              </w:rPr>
              <w:t>to </w:t>
            </w:r>
            <w:r>
              <w:rPr>
                <w:color w:val="231F20"/>
                <w:spacing w:val="-2"/>
                <w:sz w:val="15"/>
              </w:rPr>
              <w:t>elevated </w:t>
            </w:r>
            <w:r>
              <w:rPr>
                <w:color w:val="231F20"/>
                <w:sz w:val="15"/>
              </w:rPr>
              <w:t>Normal</w:t>
            </w:r>
            <w:r>
              <w:rPr>
                <w:color w:val="231F20"/>
                <w:spacing w:val="-12"/>
                <w:sz w:val="15"/>
              </w:rPr>
              <w:t> </w:t>
            </w:r>
            <w:r>
              <w:rPr>
                <w:color w:val="231F20"/>
                <w:sz w:val="15"/>
              </w:rPr>
              <w:t>to </w:t>
            </w:r>
            <w:r>
              <w:rPr>
                <w:color w:val="231F20"/>
                <w:spacing w:val="-2"/>
                <w:sz w:val="15"/>
              </w:rPr>
              <w:t>elevated</w:t>
            </w:r>
          </w:p>
        </w:tc>
        <w:tc>
          <w:tcPr>
            <w:tcW w:w="1457" w:type="dxa"/>
            <w:tcBorders>
              <w:top w:val="single" w:sz="4" w:space="0" w:color="231F20"/>
              <w:bottom w:val="single" w:sz="8" w:space="0" w:color="231F20"/>
            </w:tcBorders>
            <w:shd w:val="clear" w:color="auto" w:fill="E8F5F1"/>
          </w:tcPr>
          <w:p>
            <w:pPr>
              <w:pStyle w:val="TableParagraph"/>
              <w:spacing w:before="38"/>
              <w:rPr>
                <w:i/>
                <w:sz w:val="15"/>
              </w:rPr>
            </w:pPr>
          </w:p>
          <w:p>
            <w:pPr>
              <w:pStyle w:val="TableParagraph"/>
              <w:ind w:left="165"/>
              <w:rPr>
                <w:sz w:val="15"/>
              </w:rPr>
            </w:pPr>
            <w:r>
              <w:rPr>
                <w:color w:val="231F20"/>
                <w:spacing w:val="-2"/>
                <w:sz w:val="15"/>
              </w:rPr>
              <w:t>Normal</w:t>
            </w:r>
          </w:p>
          <w:p>
            <w:pPr>
              <w:pStyle w:val="TableParagraph"/>
              <w:spacing w:line="230" w:lineRule="auto" w:before="169"/>
              <w:ind w:left="277" w:hanging="112"/>
              <w:rPr>
                <w:sz w:val="15"/>
              </w:rPr>
            </w:pPr>
            <w:r>
              <w:rPr>
                <w:color w:val="231F20"/>
                <w:sz w:val="15"/>
              </w:rPr>
              <w:t>Normal</w:t>
            </w:r>
            <w:r>
              <w:rPr>
                <w:color w:val="231F20"/>
                <w:spacing w:val="-12"/>
                <w:sz w:val="15"/>
              </w:rPr>
              <w:t> </w:t>
            </w:r>
            <w:r>
              <w:rPr>
                <w:color w:val="231F20"/>
                <w:sz w:val="15"/>
              </w:rPr>
              <w:t>or</w:t>
            </w:r>
            <w:r>
              <w:rPr>
                <w:color w:val="231F20"/>
                <w:spacing w:val="-11"/>
                <w:sz w:val="15"/>
              </w:rPr>
              <w:t> </w:t>
            </w:r>
            <w:r>
              <w:rPr>
                <w:color w:val="231F20"/>
                <w:sz w:val="15"/>
              </w:rPr>
              <w:t>slightly </w:t>
            </w:r>
            <w:r>
              <w:rPr>
                <w:color w:val="231F20"/>
                <w:spacing w:val="-2"/>
                <w:sz w:val="15"/>
              </w:rPr>
              <w:t>decreased</w:t>
            </w:r>
          </w:p>
          <w:p>
            <w:pPr>
              <w:pStyle w:val="TableParagraph"/>
              <w:spacing w:before="164"/>
              <w:rPr>
                <w:i/>
                <w:sz w:val="15"/>
              </w:rPr>
            </w:pPr>
          </w:p>
          <w:p>
            <w:pPr>
              <w:pStyle w:val="TableParagraph"/>
              <w:spacing w:line="230" w:lineRule="auto" w:before="1"/>
              <w:ind w:left="277" w:right="483" w:hanging="112"/>
              <w:rPr>
                <w:sz w:val="15"/>
              </w:rPr>
            </w:pPr>
            <w:r>
              <w:rPr>
                <w:color w:val="231F20"/>
                <w:sz w:val="15"/>
              </w:rPr>
              <w:t>Normal to </w:t>
            </w:r>
            <w:r>
              <w:rPr>
                <w:color w:val="231F20"/>
                <w:spacing w:val="-2"/>
                <w:sz w:val="15"/>
              </w:rPr>
              <w:t>decreased (20-40)</w:t>
            </w:r>
          </w:p>
          <w:p>
            <w:pPr>
              <w:pStyle w:val="TableParagraph"/>
              <w:spacing w:line="465" w:lineRule="auto"/>
              <w:ind w:left="165" w:right="483" w:hanging="1"/>
              <w:rPr>
                <w:sz w:val="15"/>
              </w:rPr>
            </w:pPr>
            <w:r>
              <w:rPr>
                <w:color w:val="231F20"/>
                <w:spacing w:val="-2"/>
                <w:sz w:val="15"/>
              </w:rPr>
              <w:t>Normal Normal</w:t>
            </w:r>
          </w:p>
        </w:tc>
        <w:tc>
          <w:tcPr>
            <w:tcW w:w="2163" w:type="dxa"/>
            <w:tcBorders>
              <w:top w:val="single" w:sz="4" w:space="0" w:color="231F20"/>
              <w:bottom w:val="single" w:sz="8" w:space="0" w:color="231F20"/>
            </w:tcBorders>
            <w:shd w:val="clear" w:color="auto" w:fill="E8F5F1"/>
          </w:tcPr>
          <w:p>
            <w:pPr>
              <w:pStyle w:val="TableParagraph"/>
              <w:spacing w:before="38"/>
              <w:rPr>
                <w:i/>
                <w:sz w:val="15"/>
              </w:rPr>
            </w:pPr>
          </w:p>
          <w:p>
            <w:pPr>
              <w:pStyle w:val="TableParagraph"/>
              <w:ind w:left="96"/>
              <w:rPr>
                <w:sz w:val="15"/>
              </w:rPr>
            </w:pPr>
            <w:r>
              <w:rPr>
                <w:color w:val="231F20"/>
                <w:sz w:val="15"/>
              </w:rPr>
              <w:t>No</w:t>
            </w:r>
            <w:r>
              <w:rPr>
                <w:color w:val="231F20"/>
                <w:spacing w:val="2"/>
                <w:sz w:val="15"/>
              </w:rPr>
              <w:t> </w:t>
            </w:r>
            <w:r>
              <w:rPr>
                <w:color w:val="231F20"/>
                <w:sz w:val="15"/>
              </w:rPr>
              <w:t>specific</w:t>
            </w:r>
            <w:r>
              <w:rPr>
                <w:color w:val="231F20"/>
                <w:spacing w:val="2"/>
                <w:sz w:val="15"/>
              </w:rPr>
              <w:t> </w:t>
            </w:r>
            <w:r>
              <w:rPr>
                <w:color w:val="231F20"/>
                <w:spacing w:val="-2"/>
                <w:sz w:val="15"/>
              </w:rPr>
              <w:t>findings</w:t>
            </w:r>
          </w:p>
          <w:p>
            <w:pPr>
              <w:pStyle w:val="TableParagraph"/>
              <w:spacing w:line="230" w:lineRule="auto" w:before="169"/>
              <w:ind w:left="208" w:right="259" w:hanging="112"/>
              <w:rPr>
                <w:sz w:val="15"/>
              </w:rPr>
            </w:pPr>
            <w:r>
              <w:rPr>
                <w:color w:val="231F20"/>
                <w:sz w:val="15"/>
              </w:rPr>
              <w:t>No organisms on smear or </w:t>
            </w:r>
            <w:r>
              <w:rPr>
                <w:color w:val="231F20"/>
                <w:spacing w:val="-2"/>
                <w:sz w:val="15"/>
              </w:rPr>
              <w:t>culture.</w:t>
            </w:r>
            <w:r>
              <w:rPr>
                <w:color w:val="231F20"/>
                <w:spacing w:val="-10"/>
                <w:sz w:val="15"/>
              </w:rPr>
              <w:t> </w:t>
            </w:r>
            <w:r>
              <w:rPr>
                <w:color w:val="231F20"/>
                <w:spacing w:val="-2"/>
                <w:sz w:val="15"/>
              </w:rPr>
              <w:t>Positive</w:t>
            </w:r>
            <w:r>
              <w:rPr>
                <w:color w:val="231F20"/>
                <w:spacing w:val="-9"/>
                <w:sz w:val="15"/>
              </w:rPr>
              <w:t> </w:t>
            </w:r>
            <w:r>
              <w:rPr>
                <w:color w:val="231F20"/>
                <w:spacing w:val="-2"/>
                <w:sz w:val="15"/>
              </w:rPr>
              <w:t>neuronal </w:t>
            </w:r>
            <w:r>
              <w:rPr>
                <w:color w:val="231F20"/>
                <w:sz w:val="15"/>
              </w:rPr>
              <w:t>and ribosomal P protein antibodies in CSF</w:t>
            </w:r>
          </w:p>
          <w:p>
            <w:pPr>
              <w:pStyle w:val="TableParagraph"/>
              <w:spacing w:line="173" w:lineRule="exact"/>
              <w:ind w:left="96"/>
              <w:rPr>
                <w:sz w:val="15"/>
              </w:rPr>
            </w:pPr>
            <w:r>
              <w:rPr>
                <w:color w:val="231F20"/>
                <w:sz w:val="15"/>
              </w:rPr>
              <w:t>Cytology</w:t>
            </w:r>
            <w:r>
              <w:rPr>
                <w:color w:val="231F20"/>
                <w:spacing w:val="7"/>
                <w:sz w:val="15"/>
              </w:rPr>
              <w:t> </w:t>
            </w:r>
            <w:r>
              <w:rPr>
                <w:color w:val="231F20"/>
                <w:sz w:val="15"/>
              </w:rPr>
              <w:t>may</w:t>
            </w:r>
            <w:r>
              <w:rPr>
                <w:color w:val="231F20"/>
                <w:spacing w:val="8"/>
                <w:sz w:val="15"/>
              </w:rPr>
              <w:t> </w:t>
            </w:r>
            <w:r>
              <w:rPr>
                <w:color w:val="231F20"/>
                <w:sz w:val="15"/>
              </w:rPr>
              <w:t>be</w:t>
            </w:r>
            <w:r>
              <w:rPr>
                <w:color w:val="231F20"/>
                <w:spacing w:val="8"/>
                <w:sz w:val="15"/>
              </w:rPr>
              <w:t> </w:t>
            </w:r>
            <w:r>
              <w:rPr>
                <w:color w:val="231F20"/>
                <w:spacing w:val="-2"/>
                <w:sz w:val="15"/>
              </w:rPr>
              <w:t>positive</w:t>
            </w:r>
          </w:p>
          <w:p>
            <w:pPr>
              <w:pStyle w:val="TableParagraph"/>
              <w:spacing w:before="157"/>
              <w:rPr>
                <w:i/>
                <w:sz w:val="15"/>
              </w:rPr>
            </w:pPr>
          </w:p>
          <w:p>
            <w:pPr>
              <w:pStyle w:val="TableParagraph"/>
              <w:ind w:left="96" w:hanging="1"/>
              <w:rPr>
                <w:sz w:val="15"/>
              </w:rPr>
            </w:pPr>
            <w:r>
              <w:rPr>
                <w:color w:val="231F20"/>
                <w:w w:val="105"/>
                <w:sz w:val="15"/>
              </w:rPr>
              <w:t>MRI</w:t>
            </w:r>
            <w:r>
              <w:rPr>
                <w:color w:val="231F20"/>
                <w:spacing w:val="-1"/>
                <w:w w:val="105"/>
                <w:sz w:val="15"/>
              </w:rPr>
              <w:t> </w:t>
            </w:r>
            <w:r>
              <w:rPr>
                <w:color w:val="231F20"/>
                <w:w w:val="105"/>
                <w:sz w:val="15"/>
              </w:rPr>
              <w:t>adds</w:t>
            </w:r>
            <w:r>
              <w:rPr>
                <w:color w:val="231F20"/>
                <w:spacing w:val="-1"/>
                <w:w w:val="105"/>
                <w:sz w:val="15"/>
              </w:rPr>
              <w:t> </w:t>
            </w:r>
            <w:r>
              <w:rPr>
                <w:color w:val="231F20"/>
                <w:w w:val="105"/>
                <w:sz w:val="15"/>
              </w:rPr>
              <w:t>to </w:t>
            </w:r>
            <w:r>
              <w:rPr>
                <w:color w:val="231F20"/>
                <w:spacing w:val="-2"/>
                <w:w w:val="105"/>
                <w:sz w:val="15"/>
              </w:rPr>
              <w:t>diagnosis</w:t>
            </w:r>
          </w:p>
          <w:p>
            <w:pPr>
              <w:pStyle w:val="TableParagraph"/>
              <w:spacing w:line="230" w:lineRule="auto" w:before="169"/>
              <w:ind w:left="208" w:right="259" w:hanging="112"/>
              <w:rPr>
                <w:sz w:val="15"/>
              </w:rPr>
            </w:pPr>
            <w:r>
              <w:rPr>
                <w:color w:val="231F20"/>
                <w:w w:val="105"/>
                <w:sz w:val="15"/>
              </w:rPr>
              <w:t>Anti-NMDAR</w:t>
            </w:r>
            <w:r>
              <w:rPr>
                <w:color w:val="231F20"/>
                <w:spacing w:val="-12"/>
                <w:w w:val="105"/>
                <w:sz w:val="15"/>
              </w:rPr>
              <w:t> </w:t>
            </w:r>
            <w:r>
              <w:rPr>
                <w:color w:val="231F20"/>
                <w:w w:val="105"/>
                <w:sz w:val="15"/>
              </w:rPr>
              <w:t>antibody– </w:t>
            </w:r>
            <w:r>
              <w:rPr>
                <w:color w:val="231F20"/>
                <w:spacing w:val="-2"/>
                <w:w w:val="105"/>
                <w:sz w:val="15"/>
              </w:rPr>
              <w:t>positive</w:t>
            </w:r>
          </w:p>
        </w:tc>
      </w:tr>
    </w:tbl>
    <w:p>
      <w:pPr>
        <w:pStyle w:val="BodyText"/>
        <w:spacing w:before="74"/>
        <w:ind w:left="519" w:right="1191" w:hanging="1"/>
      </w:pPr>
      <w:r>
        <w:rPr>
          <w:color w:val="231F20"/>
        </w:rPr>
        <w:t>CSF,</w:t>
      </w:r>
      <w:r>
        <w:rPr>
          <w:color w:val="231F20"/>
          <w:spacing w:val="-1"/>
        </w:rPr>
        <w:t> </w:t>
      </w:r>
      <w:r>
        <w:rPr>
          <w:color w:val="231F20"/>
        </w:rPr>
        <w:t>cerebrospinal</w:t>
      </w:r>
      <w:r>
        <w:rPr>
          <w:color w:val="231F20"/>
          <w:spacing w:val="-1"/>
        </w:rPr>
        <w:t> </w:t>
      </w:r>
      <w:r>
        <w:rPr>
          <w:color w:val="231F20"/>
        </w:rPr>
        <w:t>fluid;</w:t>
      </w:r>
      <w:r>
        <w:rPr>
          <w:color w:val="231F20"/>
          <w:spacing w:val="-1"/>
        </w:rPr>
        <w:t> </w:t>
      </w:r>
      <w:r>
        <w:rPr>
          <w:color w:val="231F20"/>
        </w:rPr>
        <w:t>EEG,</w:t>
      </w:r>
      <w:r>
        <w:rPr>
          <w:color w:val="231F20"/>
          <w:spacing w:val="-1"/>
        </w:rPr>
        <w:t> </w:t>
      </w:r>
      <w:r>
        <w:rPr>
          <w:color w:val="231F20"/>
        </w:rPr>
        <w:t>electroencephalogram;</w:t>
      </w:r>
      <w:r>
        <w:rPr>
          <w:color w:val="231F20"/>
          <w:spacing w:val="-1"/>
        </w:rPr>
        <w:t> </w:t>
      </w:r>
      <w:r>
        <w:rPr>
          <w:color w:val="231F20"/>
        </w:rPr>
        <w:t>HSV,</w:t>
      </w:r>
      <w:r>
        <w:rPr>
          <w:color w:val="231F20"/>
          <w:spacing w:val="-1"/>
        </w:rPr>
        <w:t> </w:t>
      </w:r>
      <w:r>
        <w:rPr>
          <w:color w:val="231F20"/>
        </w:rPr>
        <w:t>herpes</w:t>
      </w:r>
      <w:r>
        <w:rPr>
          <w:color w:val="231F20"/>
          <w:spacing w:val="-1"/>
        </w:rPr>
        <w:t> </w:t>
      </w:r>
      <w:r>
        <w:rPr>
          <w:color w:val="231F20"/>
        </w:rPr>
        <w:t>simplex</w:t>
      </w:r>
      <w:r>
        <w:rPr>
          <w:color w:val="231F20"/>
          <w:spacing w:val="-1"/>
        </w:rPr>
        <w:t> </w:t>
      </w:r>
      <w:r>
        <w:rPr>
          <w:color w:val="231F20"/>
        </w:rPr>
        <w:t>virus;</w:t>
      </w:r>
      <w:r>
        <w:rPr>
          <w:color w:val="231F20"/>
          <w:spacing w:val="-1"/>
        </w:rPr>
        <w:t> </w:t>
      </w:r>
      <w:r>
        <w:rPr>
          <w:color w:val="231F20"/>
        </w:rPr>
        <w:t>NMDAR,</w:t>
      </w:r>
      <w:r>
        <w:rPr>
          <w:color w:val="231F20"/>
          <w:spacing w:val="-1"/>
        </w:rPr>
        <w:t> </w:t>
      </w:r>
      <w:r>
        <w:rPr>
          <w:i/>
          <w:color w:val="231F20"/>
        </w:rPr>
        <w:t>N</w:t>
      </w:r>
      <w:r>
        <w:rPr>
          <w:color w:val="231F20"/>
        </w:rPr>
        <w:t>-methyl-</w:t>
      </w:r>
      <w:r>
        <w:rPr>
          <w:color w:val="231F20"/>
          <w:sz w:val="10"/>
        </w:rPr>
        <w:t>D</w:t>
      </w:r>
      <w:r>
        <w:rPr>
          <w:color w:val="231F20"/>
        </w:rPr>
        <w:t>-aspartate</w:t>
      </w:r>
      <w:r>
        <w:rPr>
          <w:color w:val="231F20"/>
          <w:spacing w:val="-1"/>
        </w:rPr>
        <w:t> </w:t>
      </w:r>
      <w:r>
        <w:rPr>
          <w:color w:val="231F20"/>
        </w:rPr>
        <w:t>receptor;</w:t>
      </w:r>
      <w:r>
        <w:rPr>
          <w:color w:val="231F20"/>
          <w:spacing w:val="-1"/>
        </w:rPr>
        <w:t> </w:t>
      </w:r>
      <w:r>
        <w:rPr>
          <w:color w:val="231F20"/>
        </w:rPr>
        <w:t>PCR,</w:t>
      </w:r>
      <w:r>
        <w:rPr>
          <w:color w:val="231F20"/>
          <w:spacing w:val="-1"/>
        </w:rPr>
        <w:t> </w:t>
      </w:r>
      <w:r>
        <w:rPr>
          <w:color w:val="231F20"/>
        </w:rPr>
        <w:t>polymerase</w:t>
      </w:r>
      <w:r>
        <w:rPr>
          <w:color w:val="231F20"/>
          <w:spacing w:val="-1"/>
        </w:rPr>
        <w:t> </w:t>
      </w:r>
      <w:r>
        <w:rPr>
          <w:color w:val="231F20"/>
        </w:rPr>
        <w:t>chain</w:t>
      </w:r>
      <w:r>
        <w:rPr>
          <w:color w:val="231F20"/>
          <w:spacing w:val="-1"/>
        </w:rPr>
        <w:t> </w:t>
      </w:r>
      <w:r>
        <w:rPr>
          <w:color w:val="231F20"/>
        </w:rPr>
        <w:t>reaction;</w:t>
      </w:r>
      <w:r>
        <w:rPr>
          <w:color w:val="231F20"/>
          <w:spacing w:val="40"/>
        </w:rPr>
        <w:t> </w:t>
      </w:r>
      <w:r>
        <w:rPr>
          <w:color w:val="231F20"/>
        </w:rPr>
        <w:t>PMN, polymorphonuclear neutrophils.</w:t>
      </w:r>
    </w:p>
    <w:p>
      <w:pPr>
        <w:pStyle w:val="BodyText"/>
        <w:spacing w:before="10"/>
        <w:rPr>
          <w:sz w:val="15"/>
        </w:rPr>
      </w:pPr>
    </w:p>
    <w:tbl>
      <w:tblPr>
        <w:tblW w:w="0" w:type="auto"/>
        <w:jc w:val="left"/>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2"/>
        <w:gridCol w:w="2786"/>
        <w:gridCol w:w="836"/>
        <w:gridCol w:w="2435"/>
        <w:gridCol w:w="2538"/>
      </w:tblGrid>
      <w:tr>
        <w:trPr>
          <w:trHeight w:val="354" w:hRule="atLeast"/>
        </w:trPr>
        <w:tc>
          <w:tcPr>
            <w:tcW w:w="1182" w:type="dxa"/>
            <w:tcBorders>
              <w:right w:val="single" w:sz="8" w:space="0" w:color="FFFFFF"/>
            </w:tcBorders>
            <w:shd w:val="clear" w:color="auto" w:fill="231F20"/>
          </w:tcPr>
          <w:p>
            <w:pPr>
              <w:pStyle w:val="TableParagraph"/>
              <w:spacing w:before="89"/>
              <w:ind w:left="146"/>
              <w:rPr>
                <w:b/>
                <w:sz w:val="16"/>
              </w:rPr>
            </w:pPr>
            <w:r>
              <w:rPr>
                <w:b/>
                <w:color w:val="FFFFFF"/>
                <w:w w:val="105"/>
                <w:sz w:val="16"/>
              </w:rPr>
              <w:t>Table</w:t>
            </w:r>
            <w:r>
              <w:rPr>
                <w:b/>
                <w:color w:val="FFFFFF"/>
                <w:spacing w:val="-3"/>
                <w:w w:val="105"/>
                <w:sz w:val="16"/>
              </w:rPr>
              <w:t> </w:t>
            </w:r>
            <w:r>
              <w:rPr>
                <w:b/>
                <w:color w:val="FFFFFF"/>
                <w:w w:val="105"/>
                <w:sz w:val="16"/>
              </w:rPr>
              <w:t>603-</w:t>
            </w:r>
            <w:r>
              <w:rPr>
                <w:b/>
                <w:color w:val="FFFFFF"/>
                <w:spacing w:val="-10"/>
                <w:w w:val="105"/>
                <w:sz w:val="16"/>
              </w:rPr>
              <w:t>4</w:t>
            </w:r>
          </w:p>
        </w:tc>
        <w:tc>
          <w:tcPr>
            <w:tcW w:w="8595" w:type="dxa"/>
            <w:gridSpan w:val="4"/>
            <w:tcBorders>
              <w:left w:val="single" w:sz="8" w:space="0" w:color="FFFFFF"/>
            </w:tcBorders>
            <w:shd w:val="clear" w:color="auto" w:fill="231F20"/>
          </w:tcPr>
          <w:p>
            <w:pPr>
              <w:pStyle w:val="TableParagraph"/>
              <w:spacing w:before="89"/>
              <w:ind w:left="73"/>
              <w:rPr>
                <w:sz w:val="16"/>
              </w:rPr>
            </w:pPr>
            <w:r>
              <w:rPr>
                <w:color w:val="FFFFFF"/>
                <w:w w:val="105"/>
                <w:sz w:val="16"/>
              </w:rPr>
              <w:t>Antibiotics Used for the Treatment of Bacterial </w:t>
            </w:r>
            <w:r>
              <w:rPr>
                <w:color w:val="FFFFFF"/>
                <w:spacing w:val="-2"/>
                <w:w w:val="105"/>
                <w:sz w:val="16"/>
              </w:rPr>
              <w:t>Meningitis</w:t>
            </w:r>
            <w:r>
              <w:rPr>
                <w:color w:val="0080AC"/>
                <w:spacing w:val="-2"/>
                <w:w w:val="105"/>
                <w:sz w:val="16"/>
              </w:rPr>
              <w:t>*</w:t>
            </w:r>
          </w:p>
        </w:tc>
      </w:tr>
      <w:tr>
        <w:trPr>
          <w:trHeight w:val="539" w:hRule="atLeast"/>
        </w:trPr>
        <w:tc>
          <w:tcPr>
            <w:tcW w:w="1182" w:type="dxa"/>
            <w:tcBorders>
              <w:bottom w:val="single" w:sz="4" w:space="0" w:color="231F20"/>
            </w:tcBorders>
            <w:shd w:val="clear" w:color="auto" w:fill="E8F5F1"/>
          </w:tcPr>
          <w:p>
            <w:pPr>
              <w:pStyle w:val="TableParagraph"/>
              <w:spacing w:before="154"/>
              <w:rPr>
                <w:sz w:val="15"/>
              </w:rPr>
            </w:pPr>
          </w:p>
          <w:p>
            <w:pPr>
              <w:pStyle w:val="TableParagraph"/>
              <w:ind w:left="108"/>
              <w:rPr>
                <w:b/>
                <w:sz w:val="15"/>
              </w:rPr>
            </w:pPr>
            <w:r>
              <w:rPr>
                <w:b/>
                <w:color w:val="231F20"/>
                <w:spacing w:val="-2"/>
                <w:w w:val="110"/>
                <w:sz w:val="15"/>
              </w:rPr>
              <w:t>DRUGS</w:t>
            </w:r>
          </w:p>
        </w:tc>
        <w:tc>
          <w:tcPr>
            <w:tcW w:w="2786" w:type="dxa"/>
            <w:tcBorders>
              <w:bottom w:val="single" w:sz="4" w:space="0" w:color="231F20"/>
            </w:tcBorders>
            <w:shd w:val="clear" w:color="auto" w:fill="E8F5F1"/>
          </w:tcPr>
          <w:p>
            <w:pPr>
              <w:pStyle w:val="TableParagraph"/>
              <w:spacing w:before="154"/>
              <w:rPr>
                <w:sz w:val="15"/>
              </w:rPr>
            </w:pPr>
          </w:p>
          <w:p>
            <w:pPr>
              <w:pStyle w:val="TableParagraph"/>
              <w:ind w:left="1427"/>
              <w:rPr>
                <w:b/>
                <w:sz w:val="15"/>
              </w:rPr>
            </w:pPr>
            <w:r>
              <w:rPr>
                <w:b/>
                <w:color w:val="231F20"/>
                <w:sz w:val="15"/>
              </w:rPr>
              <w:t>0-7</w:t>
            </w:r>
            <w:r>
              <w:rPr>
                <w:b/>
                <w:color w:val="231F20"/>
                <w:spacing w:val="-5"/>
                <w:sz w:val="15"/>
              </w:rPr>
              <w:t> </w:t>
            </w:r>
            <w:r>
              <w:rPr>
                <w:b/>
                <w:color w:val="231F20"/>
                <w:spacing w:val="-4"/>
                <w:sz w:val="15"/>
              </w:rPr>
              <w:t>DAYS</w:t>
            </w:r>
          </w:p>
        </w:tc>
        <w:tc>
          <w:tcPr>
            <w:tcW w:w="836" w:type="dxa"/>
            <w:tcBorders>
              <w:bottom w:val="single" w:sz="4" w:space="0" w:color="231F20"/>
            </w:tcBorders>
            <w:shd w:val="clear" w:color="auto" w:fill="E8F5F1"/>
          </w:tcPr>
          <w:p>
            <w:pPr>
              <w:pStyle w:val="TableParagraph"/>
              <w:spacing w:before="66"/>
              <w:ind w:left="57"/>
              <w:rPr>
                <w:b/>
                <w:sz w:val="15"/>
              </w:rPr>
            </w:pPr>
            <w:r>
              <w:rPr>
                <w:b/>
                <w:color w:val="231F20"/>
                <w:spacing w:val="-2"/>
                <w:w w:val="105"/>
                <w:sz w:val="15"/>
              </w:rPr>
              <w:t>Neonates</w:t>
            </w:r>
          </w:p>
        </w:tc>
        <w:tc>
          <w:tcPr>
            <w:tcW w:w="2435" w:type="dxa"/>
            <w:tcBorders>
              <w:bottom w:val="single" w:sz="4" w:space="0" w:color="231F20"/>
            </w:tcBorders>
            <w:shd w:val="clear" w:color="auto" w:fill="E8F5F1"/>
          </w:tcPr>
          <w:p>
            <w:pPr>
              <w:pStyle w:val="TableParagraph"/>
              <w:spacing w:before="154"/>
              <w:rPr>
                <w:sz w:val="15"/>
              </w:rPr>
            </w:pPr>
          </w:p>
          <w:p>
            <w:pPr>
              <w:pStyle w:val="TableParagraph"/>
              <w:ind w:left="632"/>
              <w:rPr>
                <w:b/>
                <w:sz w:val="15"/>
              </w:rPr>
            </w:pPr>
            <w:r>
              <w:rPr>
                <w:b/>
                <w:color w:val="231F20"/>
                <w:sz w:val="15"/>
              </w:rPr>
              <w:t>8-28</w:t>
            </w:r>
            <w:r>
              <w:rPr>
                <w:b/>
                <w:color w:val="231F20"/>
                <w:spacing w:val="-3"/>
                <w:sz w:val="15"/>
              </w:rPr>
              <w:t> </w:t>
            </w:r>
            <w:r>
              <w:rPr>
                <w:b/>
                <w:color w:val="231F20"/>
                <w:spacing w:val="-4"/>
                <w:sz w:val="15"/>
              </w:rPr>
              <w:t>DAYS</w:t>
            </w:r>
          </w:p>
        </w:tc>
        <w:tc>
          <w:tcPr>
            <w:tcW w:w="2538" w:type="dxa"/>
            <w:tcBorders>
              <w:bottom w:val="single" w:sz="4" w:space="0" w:color="231F20"/>
            </w:tcBorders>
            <w:shd w:val="clear" w:color="auto" w:fill="E8F5F1"/>
          </w:tcPr>
          <w:p>
            <w:pPr>
              <w:pStyle w:val="TableParagraph"/>
              <w:spacing w:before="154"/>
              <w:rPr>
                <w:sz w:val="15"/>
              </w:rPr>
            </w:pPr>
          </w:p>
          <w:p>
            <w:pPr>
              <w:pStyle w:val="TableParagraph"/>
              <w:ind w:left="540"/>
              <w:rPr>
                <w:b/>
                <w:sz w:val="15"/>
              </w:rPr>
            </w:pPr>
            <w:r>
              <w:rPr>
                <w:b/>
                <w:color w:val="231F20"/>
                <w:w w:val="110"/>
                <w:sz w:val="15"/>
              </w:rPr>
              <w:t>INFANTS</w:t>
            </w:r>
            <w:r>
              <w:rPr>
                <w:b/>
                <w:color w:val="231F20"/>
                <w:spacing w:val="14"/>
                <w:w w:val="110"/>
                <w:sz w:val="15"/>
              </w:rPr>
              <w:t> </w:t>
            </w:r>
            <w:r>
              <w:rPr>
                <w:b/>
                <w:color w:val="231F20"/>
                <w:w w:val="110"/>
                <w:sz w:val="15"/>
              </w:rPr>
              <w:t>AND</w:t>
            </w:r>
            <w:r>
              <w:rPr>
                <w:b/>
                <w:color w:val="231F20"/>
                <w:spacing w:val="14"/>
                <w:w w:val="110"/>
                <w:sz w:val="15"/>
              </w:rPr>
              <w:t> </w:t>
            </w:r>
            <w:r>
              <w:rPr>
                <w:b/>
                <w:color w:val="231F20"/>
                <w:spacing w:val="-2"/>
                <w:w w:val="110"/>
                <w:sz w:val="15"/>
              </w:rPr>
              <w:t>CHILDREN</w:t>
            </w:r>
          </w:p>
        </w:tc>
      </w:tr>
      <w:tr>
        <w:trPr>
          <w:trHeight w:val="257" w:hRule="atLeast"/>
        </w:trPr>
        <w:tc>
          <w:tcPr>
            <w:tcW w:w="1182" w:type="dxa"/>
            <w:tcBorders>
              <w:top w:val="single" w:sz="4" w:space="0" w:color="231F20"/>
              <w:bottom w:val="single" w:sz="4" w:space="0" w:color="FFFFFF"/>
            </w:tcBorders>
            <w:shd w:val="clear" w:color="auto" w:fill="E8F5F1"/>
          </w:tcPr>
          <w:p>
            <w:pPr>
              <w:pStyle w:val="TableParagraph"/>
              <w:spacing w:before="47"/>
              <w:ind w:left="108"/>
              <w:rPr>
                <w:sz w:val="15"/>
              </w:rPr>
            </w:pPr>
            <w:r>
              <w:rPr>
                <w:color w:val="231F20"/>
                <w:spacing w:val="-2"/>
                <w:sz w:val="15"/>
              </w:rPr>
              <w:t>Amikacin</w:t>
            </w:r>
            <w:r>
              <w:rPr>
                <w:color w:val="0080AC"/>
                <w:spacing w:val="-2"/>
                <w:sz w:val="15"/>
                <w:vertAlign w:val="superscript"/>
              </w:rPr>
              <w:t>†‡</w:t>
            </w:r>
          </w:p>
        </w:tc>
        <w:tc>
          <w:tcPr>
            <w:tcW w:w="2786" w:type="dxa"/>
            <w:tcBorders>
              <w:top w:val="single" w:sz="4" w:space="0" w:color="231F20"/>
              <w:bottom w:val="single" w:sz="4" w:space="0" w:color="FFFFFF"/>
            </w:tcBorders>
            <w:shd w:val="clear" w:color="auto" w:fill="E8F5F1"/>
          </w:tcPr>
          <w:p>
            <w:pPr>
              <w:pStyle w:val="TableParagraph"/>
              <w:spacing w:before="47"/>
              <w:ind w:left="808"/>
              <w:rPr>
                <w:sz w:val="15"/>
              </w:rPr>
            </w:pPr>
            <w:r>
              <w:rPr>
                <w:sz w:val="15"/>
              </w:rPr>
              <mc:AlternateContent>
                <mc:Choice Requires="wps">
                  <w:drawing>
                    <wp:anchor distT="0" distB="0" distL="0" distR="0" allowOverlap="1" layoutInCell="1" locked="0" behindDoc="0" simplePos="0" relativeHeight="15792640">
                      <wp:simplePos x="0" y="0"/>
                      <wp:positionH relativeFrom="column">
                        <wp:posOffset>513180</wp:posOffset>
                      </wp:positionH>
                      <wp:positionV relativeFrom="paragraph">
                        <wp:posOffset>-169958</wp:posOffset>
                      </wp:positionV>
                      <wp:extent cx="3065145" cy="6350"/>
                      <wp:effectExtent l="0" t="0" r="0" b="0"/>
                      <wp:wrapNone/>
                      <wp:docPr id="976" name="Group 976"/>
                      <wp:cNvGraphicFramePr>
                        <a:graphicFrameLocks/>
                      </wp:cNvGraphicFramePr>
                      <a:graphic>
                        <a:graphicData uri="http://schemas.microsoft.com/office/word/2010/wordprocessingGroup">
                          <wpg:wgp>
                            <wpg:cNvPr id="976" name="Group 976"/>
                            <wpg:cNvGrpSpPr/>
                            <wpg:grpSpPr>
                              <a:xfrm>
                                <a:off x="0" y="0"/>
                                <a:ext cx="3065145" cy="6350"/>
                                <a:chExt cx="3065145" cy="6350"/>
                              </a:xfrm>
                            </wpg:grpSpPr>
                            <wps:wsp>
                              <wps:cNvPr id="977" name="Graphic 977"/>
                              <wps:cNvSpPr/>
                              <wps:spPr>
                                <a:xfrm>
                                  <a:off x="0" y="2962"/>
                                  <a:ext cx="3065145" cy="1270"/>
                                </a:xfrm>
                                <a:custGeom>
                                  <a:avLst/>
                                  <a:gdLst/>
                                  <a:ahLst/>
                                  <a:cxnLst/>
                                  <a:rect l="l" t="t" r="r" b="b"/>
                                  <a:pathLst>
                                    <a:path w="3065145" h="0">
                                      <a:moveTo>
                                        <a:pt x="0" y="0"/>
                                      </a:moveTo>
                                      <a:lnTo>
                                        <a:pt x="3064685" y="0"/>
                                      </a:lnTo>
                                    </a:path>
                                  </a:pathLst>
                                </a:custGeom>
                                <a:ln w="592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40789pt;margin-top:-13.382532pt;width:241.35pt;height:.5pt;mso-position-horizontal-relative:column;mso-position-vertical-relative:paragraph;z-index:15792640" id="docshapegroup793" coordorigin="808,-268" coordsize="4827,10">
                      <v:line style="position:absolute" from="808,-263" to="5634,-263" stroked="true" strokeweight=".466507pt" strokecolor="#231f20">
                        <v:stroke dashstyle="solid"/>
                      </v:line>
                      <w10:wrap type="none"/>
                    </v:group>
                  </w:pict>
                </mc:Fallback>
              </mc:AlternateContent>
            </w:r>
            <w:r>
              <w:rPr>
                <w:color w:val="231F20"/>
                <w:sz w:val="15"/>
              </w:rPr>
              <w:t>15-20</w:t>
            </w:r>
            <w:r>
              <w:rPr>
                <w:color w:val="231F20"/>
                <w:spacing w:val="-3"/>
                <w:sz w:val="15"/>
              </w:rPr>
              <w:t> </w:t>
            </w:r>
            <w:r>
              <w:rPr>
                <w:color w:val="231F20"/>
                <w:sz w:val="15"/>
              </w:rPr>
              <w:t>divided</w:t>
            </w:r>
            <w:r>
              <w:rPr>
                <w:color w:val="231F20"/>
                <w:spacing w:val="-2"/>
                <w:sz w:val="15"/>
              </w:rPr>
              <w:t> </w:t>
            </w:r>
            <w:r>
              <w:rPr>
                <w:color w:val="231F20"/>
                <w:spacing w:val="-4"/>
                <w:sz w:val="15"/>
              </w:rPr>
              <w:t>q12h</w:t>
            </w:r>
          </w:p>
        </w:tc>
        <w:tc>
          <w:tcPr>
            <w:tcW w:w="836" w:type="dxa"/>
            <w:tcBorders>
              <w:top w:val="single" w:sz="4" w:space="0" w:color="231F20"/>
              <w:bottom w:val="single" w:sz="4" w:space="0" w:color="FFFFFF"/>
            </w:tcBorders>
            <w:shd w:val="clear" w:color="auto" w:fill="E8F5F1"/>
          </w:tcPr>
          <w:p>
            <w:pPr>
              <w:pStyle w:val="TableParagraph"/>
              <w:rPr>
                <w:rFonts w:ascii="Times New Roman"/>
                <w:sz w:val="14"/>
              </w:rPr>
            </w:pPr>
          </w:p>
        </w:tc>
        <w:tc>
          <w:tcPr>
            <w:tcW w:w="2435" w:type="dxa"/>
            <w:tcBorders>
              <w:top w:val="single" w:sz="4" w:space="0" w:color="231F20"/>
              <w:bottom w:val="single" w:sz="4" w:space="0" w:color="FFFFFF"/>
            </w:tcBorders>
            <w:shd w:val="clear" w:color="auto" w:fill="E8F5F1"/>
          </w:tcPr>
          <w:p>
            <w:pPr>
              <w:pStyle w:val="TableParagraph"/>
              <w:spacing w:before="47"/>
              <w:ind w:left="96"/>
              <w:rPr>
                <w:sz w:val="15"/>
              </w:rPr>
            </w:pPr>
            <w:r>
              <w:rPr>
                <w:color w:val="231F20"/>
                <w:sz w:val="15"/>
              </w:rPr>
              <w:t>30</w:t>
            </w:r>
            <w:r>
              <w:rPr>
                <w:color w:val="231F20"/>
                <w:spacing w:val="1"/>
                <w:sz w:val="15"/>
              </w:rPr>
              <w:t> </w:t>
            </w:r>
            <w:r>
              <w:rPr>
                <w:color w:val="231F20"/>
                <w:sz w:val="15"/>
              </w:rPr>
              <w:t>divided</w:t>
            </w:r>
            <w:r>
              <w:rPr>
                <w:color w:val="231F20"/>
                <w:spacing w:val="2"/>
                <w:sz w:val="15"/>
              </w:rPr>
              <w:t> </w:t>
            </w:r>
            <w:r>
              <w:rPr>
                <w:color w:val="231F20"/>
                <w:spacing w:val="-5"/>
                <w:sz w:val="15"/>
              </w:rPr>
              <w:t>q8h</w:t>
            </w:r>
          </w:p>
        </w:tc>
        <w:tc>
          <w:tcPr>
            <w:tcW w:w="2538" w:type="dxa"/>
            <w:tcBorders>
              <w:top w:val="single" w:sz="4" w:space="0" w:color="231F20"/>
              <w:bottom w:val="single" w:sz="4" w:space="0" w:color="FFFFFF"/>
            </w:tcBorders>
            <w:shd w:val="clear" w:color="auto" w:fill="E8F5F1"/>
          </w:tcPr>
          <w:p>
            <w:pPr>
              <w:pStyle w:val="TableParagraph"/>
              <w:spacing w:before="47"/>
              <w:ind w:left="494"/>
              <w:rPr>
                <w:sz w:val="15"/>
              </w:rPr>
            </w:pPr>
            <w:r>
              <w:rPr>
                <w:color w:val="231F20"/>
                <w:sz w:val="15"/>
              </w:rPr>
              <w:t>20-30</w:t>
            </w:r>
            <w:r>
              <w:rPr>
                <w:color w:val="231F20"/>
                <w:spacing w:val="-3"/>
                <w:sz w:val="15"/>
              </w:rPr>
              <w:t> </w:t>
            </w:r>
            <w:r>
              <w:rPr>
                <w:color w:val="231F20"/>
                <w:sz w:val="15"/>
              </w:rPr>
              <w:t>divided</w:t>
            </w:r>
            <w:r>
              <w:rPr>
                <w:color w:val="231F20"/>
                <w:spacing w:val="-2"/>
                <w:sz w:val="15"/>
              </w:rPr>
              <w:t> </w:t>
            </w:r>
            <w:r>
              <w:rPr>
                <w:color w:val="231F20"/>
                <w:spacing w:val="-5"/>
                <w:sz w:val="15"/>
              </w:rPr>
              <w:t>q8h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Ampicillin</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150</w:t>
            </w:r>
            <w:r>
              <w:rPr>
                <w:color w:val="231F20"/>
                <w:spacing w:val="1"/>
                <w:sz w:val="15"/>
              </w:rPr>
              <w:t> </w:t>
            </w:r>
            <w:r>
              <w:rPr>
                <w:color w:val="231F20"/>
                <w:sz w:val="15"/>
              </w:rPr>
              <w:t>divided</w:t>
            </w:r>
            <w:r>
              <w:rPr>
                <w:color w:val="231F20"/>
                <w:spacing w:val="1"/>
                <w:sz w:val="15"/>
              </w:rPr>
              <w:t> </w:t>
            </w:r>
            <w:r>
              <w:rPr>
                <w:color w:val="231F20"/>
                <w:spacing w:val="-5"/>
                <w:sz w:val="15"/>
              </w:rPr>
              <w:t>q8h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200</w:t>
            </w:r>
            <w:r>
              <w:rPr>
                <w:color w:val="231F20"/>
                <w:spacing w:val="2"/>
                <w:sz w:val="15"/>
              </w:rPr>
              <w:t> </w:t>
            </w:r>
            <w:r>
              <w:rPr>
                <w:color w:val="231F20"/>
                <w:sz w:val="15"/>
              </w:rPr>
              <w:t>divided</w:t>
            </w:r>
            <w:r>
              <w:rPr>
                <w:color w:val="231F20"/>
                <w:spacing w:val="3"/>
                <w:sz w:val="15"/>
              </w:rPr>
              <w:t> </w:t>
            </w:r>
            <w:r>
              <w:rPr>
                <w:color w:val="231F20"/>
                <w:sz w:val="15"/>
              </w:rPr>
              <w:t>q6h</w:t>
            </w:r>
            <w:r>
              <w:rPr>
                <w:color w:val="231F20"/>
                <w:spacing w:val="2"/>
                <w:sz w:val="15"/>
              </w:rPr>
              <w:t> </w:t>
            </w:r>
            <w:r>
              <w:rPr>
                <w:color w:val="231F20"/>
                <w:sz w:val="15"/>
              </w:rPr>
              <w:t>or</w:t>
            </w:r>
            <w:r>
              <w:rPr>
                <w:color w:val="231F20"/>
                <w:spacing w:val="3"/>
                <w:sz w:val="15"/>
              </w:rPr>
              <w:t>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300</w:t>
            </w:r>
            <w:r>
              <w:rPr>
                <w:color w:val="231F20"/>
                <w:spacing w:val="1"/>
                <w:sz w:val="15"/>
              </w:rPr>
              <w:t> </w:t>
            </w:r>
            <w:r>
              <w:rPr>
                <w:color w:val="231F20"/>
                <w:sz w:val="15"/>
              </w:rPr>
              <w:t>divided</w:t>
            </w:r>
            <w:r>
              <w:rPr>
                <w:color w:val="231F20"/>
                <w:spacing w:val="1"/>
                <w:sz w:val="15"/>
              </w:rPr>
              <w:t> </w:t>
            </w:r>
            <w:r>
              <w:rPr>
                <w:color w:val="231F20"/>
                <w:spacing w:val="-5"/>
                <w:sz w:val="15"/>
              </w:rPr>
              <w:t>q6h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Cefotaxime</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100-150</w:t>
            </w:r>
            <w:r>
              <w:rPr>
                <w:color w:val="231F20"/>
                <w:spacing w:val="-1"/>
                <w:sz w:val="15"/>
              </w:rPr>
              <w:t> </w:t>
            </w:r>
            <w:r>
              <w:rPr>
                <w:color w:val="231F20"/>
                <w:sz w:val="15"/>
              </w:rPr>
              <w:t>divided q8h or </w:t>
            </w:r>
            <w:r>
              <w:rPr>
                <w:color w:val="231F20"/>
                <w:spacing w:val="-4"/>
                <w:sz w:val="15"/>
              </w:rPr>
              <w:t>q12h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150-200</w:t>
            </w:r>
            <w:r>
              <w:rPr>
                <w:color w:val="231F20"/>
                <w:spacing w:val="-1"/>
                <w:sz w:val="15"/>
              </w:rPr>
              <w:t> </w:t>
            </w:r>
            <w:r>
              <w:rPr>
                <w:color w:val="231F20"/>
                <w:sz w:val="15"/>
              </w:rPr>
              <w:t>divided q6h or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225-300</w:t>
            </w:r>
            <w:r>
              <w:rPr>
                <w:color w:val="231F20"/>
                <w:spacing w:val="-1"/>
                <w:sz w:val="15"/>
              </w:rPr>
              <w:t> </w:t>
            </w:r>
            <w:r>
              <w:rPr>
                <w:color w:val="231F20"/>
                <w:sz w:val="15"/>
              </w:rPr>
              <w:t>divided q6h or </w:t>
            </w:r>
            <w:r>
              <w:rPr>
                <w:color w:val="231F20"/>
                <w:spacing w:val="-5"/>
                <w:sz w:val="15"/>
              </w:rPr>
              <w:t>q8h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Ceftriaxone</w:t>
            </w:r>
            <w:r>
              <w:rPr>
                <w:color w:val="0080AC"/>
                <w:spacing w:val="-2"/>
                <w:sz w:val="15"/>
                <w:vertAlign w:val="superscript"/>
              </w:rPr>
              <w:t>§</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pacing w:val="-10"/>
                <w:w w:val="135"/>
                <w:sz w:val="15"/>
              </w:rPr>
              <w:t>—</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pacing w:val="-10"/>
                <w:w w:val="135"/>
                <w:sz w:val="15"/>
              </w:rPr>
              <w:t>—</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100</w:t>
            </w:r>
            <w:r>
              <w:rPr>
                <w:color w:val="231F20"/>
                <w:spacing w:val="2"/>
                <w:sz w:val="15"/>
              </w:rPr>
              <w:t> </w:t>
            </w:r>
            <w:r>
              <w:rPr>
                <w:color w:val="231F20"/>
                <w:sz w:val="15"/>
              </w:rPr>
              <w:t>divided</w:t>
            </w:r>
            <w:r>
              <w:rPr>
                <w:color w:val="231F20"/>
                <w:spacing w:val="2"/>
                <w:sz w:val="15"/>
              </w:rPr>
              <w:t> </w:t>
            </w:r>
            <w:r>
              <w:rPr>
                <w:color w:val="231F20"/>
                <w:sz w:val="15"/>
              </w:rPr>
              <w:t>q12h</w:t>
            </w:r>
            <w:r>
              <w:rPr>
                <w:color w:val="231F20"/>
                <w:spacing w:val="2"/>
                <w:sz w:val="15"/>
              </w:rPr>
              <w:t> </w:t>
            </w:r>
            <w:r>
              <w:rPr>
                <w:color w:val="231F20"/>
                <w:sz w:val="15"/>
              </w:rPr>
              <w:t>or</w:t>
            </w:r>
            <w:r>
              <w:rPr>
                <w:color w:val="231F20"/>
                <w:spacing w:val="3"/>
                <w:sz w:val="15"/>
              </w:rPr>
              <w:t> </w:t>
            </w:r>
            <w:r>
              <w:rPr>
                <w:color w:val="231F20"/>
                <w:spacing w:val="-4"/>
                <w:sz w:val="15"/>
              </w:rPr>
              <w:t>q24h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Ceftazidime</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100-150</w:t>
            </w:r>
            <w:r>
              <w:rPr>
                <w:color w:val="231F20"/>
                <w:spacing w:val="-1"/>
                <w:sz w:val="15"/>
              </w:rPr>
              <w:t> </w:t>
            </w:r>
            <w:r>
              <w:rPr>
                <w:color w:val="231F20"/>
                <w:sz w:val="15"/>
              </w:rPr>
              <w:t>divided q8h or </w:t>
            </w:r>
            <w:r>
              <w:rPr>
                <w:color w:val="231F20"/>
                <w:spacing w:val="-4"/>
                <w:sz w:val="15"/>
              </w:rPr>
              <w:t>q12h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150</w:t>
            </w:r>
            <w:r>
              <w:rPr>
                <w:color w:val="231F20"/>
                <w:spacing w:val="1"/>
                <w:sz w:val="15"/>
              </w:rPr>
              <w:t> </w:t>
            </w:r>
            <w:r>
              <w:rPr>
                <w:color w:val="231F20"/>
                <w:sz w:val="15"/>
              </w:rPr>
              <w:t>divided</w:t>
            </w:r>
            <w:r>
              <w:rPr>
                <w:color w:val="231F20"/>
                <w:spacing w:val="1"/>
                <w:sz w:val="15"/>
              </w:rPr>
              <w:t>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150</w:t>
            </w:r>
            <w:r>
              <w:rPr>
                <w:color w:val="231F20"/>
                <w:spacing w:val="1"/>
                <w:sz w:val="15"/>
              </w:rPr>
              <w:t> </w:t>
            </w:r>
            <w:r>
              <w:rPr>
                <w:color w:val="231F20"/>
                <w:sz w:val="15"/>
              </w:rPr>
              <w:t>divided</w:t>
            </w:r>
            <w:r>
              <w:rPr>
                <w:color w:val="231F20"/>
                <w:spacing w:val="1"/>
                <w:sz w:val="15"/>
              </w:rPr>
              <w:t> </w:t>
            </w:r>
            <w:r>
              <w:rPr>
                <w:color w:val="231F20"/>
                <w:spacing w:val="-5"/>
                <w:sz w:val="15"/>
              </w:rPr>
              <w:t>q8h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Gentamicin</w:t>
            </w:r>
            <w:r>
              <w:rPr>
                <w:color w:val="0080AC"/>
                <w:spacing w:val="-2"/>
                <w:sz w:val="15"/>
                <w:vertAlign w:val="superscript"/>
              </w:rPr>
              <w:t>†‡</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5</w:t>
            </w:r>
            <w:r>
              <w:rPr>
                <w:color w:val="231F20"/>
                <w:spacing w:val="2"/>
                <w:sz w:val="15"/>
              </w:rPr>
              <w:t> </w:t>
            </w:r>
            <w:r>
              <w:rPr>
                <w:color w:val="231F20"/>
                <w:sz w:val="15"/>
              </w:rPr>
              <w:t>divided</w:t>
            </w:r>
            <w:r>
              <w:rPr>
                <w:color w:val="231F20"/>
                <w:spacing w:val="3"/>
                <w:sz w:val="15"/>
              </w:rPr>
              <w:t> </w:t>
            </w:r>
            <w:r>
              <w:rPr>
                <w:color w:val="231F20"/>
                <w:spacing w:val="-4"/>
                <w:sz w:val="15"/>
              </w:rPr>
              <w:t>q12h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7.5</w:t>
            </w:r>
            <w:r>
              <w:rPr>
                <w:color w:val="231F20"/>
                <w:spacing w:val="-7"/>
                <w:sz w:val="15"/>
              </w:rPr>
              <w:t> </w:t>
            </w:r>
            <w:r>
              <w:rPr>
                <w:color w:val="231F20"/>
                <w:sz w:val="15"/>
              </w:rPr>
              <w:t>divided</w:t>
            </w:r>
            <w:r>
              <w:rPr>
                <w:color w:val="231F20"/>
                <w:spacing w:val="-6"/>
                <w:sz w:val="15"/>
              </w:rPr>
              <w:t>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7.5</w:t>
            </w:r>
            <w:r>
              <w:rPr>
                <w:color w:val="231F20"/>
                <w:spacing w:val="-7"/>
                <w:sz w:val="15"/>
              </w:rPr>
              <w:t> </w:t>
            </w:r>
            <w:r>
              <w:rPr>
                <w:color w:val="231F20"/>
                <w:sz w:val="15"/>
              </w:rPr>
              <w:t>divided</w:t>
            </w:r>
            <w:r>
              <w:rPr>
                <w:color w:val="231F20"/>
                <w:spacing w:val="-6"/>
                <w:sz w:val="15"/>
              </w:rPr>
              <w:t> </w:t>
            </w:r>
            <w:r>
              <w:rPr>
                <w:color w:val="231F20"/>
                <w:spacing w:val="-5"/>
                <w:sz w:val="15"/>
              </w:rPr>
              <w:t>q8h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w w:val="105"/>
                <w:sz w:val="15"/>
              </w:rPr>
              <w:t>Meropenem</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pacing w:val="-10"/>
                <w:w w:val="135"/>
                <w:sz w:val="15"/>
              </w:rPr>
              <w:t>—</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pacing w:val="-10"/>
                <w:w w:val="135"/>
                <w:sz w:val="15"/>
              </w:rPr>
              <w:t>—</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120</w:t>
            </w:r>
            <w:r>
              <w:rPr>
                <w:color w:val="231F20"/>
                <w:spacing w:val="1"/>
                <w:sz w:val="15"/>
              </w:rPr>
              <w:t> </w:t>
            </w:r>
            <w:r>
              <w:rPr>
                <w:color w:val="231F20"/>
                <w:sz w:val="15"/>
              </w:rPr>
              <w:t>divided</w:t>
            </w:r>
            <w:r>
              <w:rPr>
                <w:color w:val="231F20"/>
                <w:spacing w:val="1"/>
                <w:sz w:val="15"/>
              </w:rPr>
              <w:t> </w:t>
            </w:r>
            <w:r>
              <w:rPr>
                <w:color w:val="231F20"/>
                <w:spacing w:val="-5"/>
                <w:sz w:val="15"/>
              </w:rPr>
              <w:t>q8h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Nafcillin</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75</w:t>
            </w:r>
            <w:r>
              <w:rPr>
                <w:color w:val="231F20"/>
                <w:spacing w:val="2"/>
                <w:sz w:val="15"/>
              </w:rPr>
              <w:t> </w:t>
            </w:r>
            <w:r>
              <w:rPr>
                <w:color w:val="231F20"/>
                <w:sz w:val="15"/>
              </w:rPr>
              <w:t>divided</w:t>
            </w:r>
            <w:r>
              <w:rPr>
                <w:color w:val="231F20"/>
                <w:spacing w:val="3"/>
                <w:sz w:val="15"/>
              </w:rPr>
              <w:t> </w:t>
            </w:r>
            <w:r>
              <w:rPr>
                <w:color w:val="231F20"/>
                <w:sz w:val="15"/>
              </w:rPr>
              <w:t>q8h</w:t>
            </w:r>
            <w:r>
              <w:rPr>
                <w:color w:val="231F20"/>
                <w:spacing w:val="3"/>
                <w:sz w:val="15"/>
              </w:rPr>
              <w:t> </w:t>
            </w:r>
            <w:r>
              <w:rPr>
                <w:color w:val="231F20"/>
                <w:sz w:val="15"/>
              </w:rPr>
              <w:t>or</w:t>
            </w:r>
            <w:r>
              <w:rPr>
                <w:color w:val="231F20"/>
                <w:spacing w:val="3"/>
                <w:sz w:val="15"/>
              </w:rPr>
              <w:t> </w:t>
            </w:r>
            <w:r>
              <w:rPr>
                <w:color w:val="231F20"/>
                <w:spacing w:val="-4"/>
                <w:sz w:val="15"/>
              </w:rPr>
              <w:t>q12h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100-150</w:t>
            </w:r>
            <w:r>
              <w:rPr>
                <w:color w:val="231F20"/>
                <w:spacing w:val="-1"/>
                <w:sz w:val="15"/>
              </w:rPr>
              <w:t> </w:t>
            </w:r>
            <w:r>
              <w:rPr>
                <w:color w:val="231F20"/>
                <w:sz w:val="15"/>
              </w:rPr>
              <w:t>divided q6h or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200</w:t>
            </w:r>
            <w:r>
              <w:rPr>
                <w:color w:val="231F20"/>
                <w:spacing w:val="1"/>
                <w:sz w:val="15"/>
              </w:rPr>
              <w:t> </w:t>
            </w:r>
            <w:r>
              <w:rPr>
                <w:color w:val="231F20"/>
                <w:sz w:val="15"/>
              </w:rPr>
              <w:t>divided</w:t>
            </w:r>
            <w:r>
              <w:rPr>
                <w:color w:val="231F20"/>
                <w:spacing w:val="1"/>
                <w:sz w:val="15"/>
              </w:rPr>
              <w:t> </w:t>
            </w:r>
            <w:r>
              <w:rPr>
                <w:color w:val="231F20"/>
                <w:spacing w:val="-5"/>
                <w:sz w:val="15"/>
              </w:rPr>
              <w:t>q6h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4"/>
                <w:sz w:val="15"/>
              </w:rPr>
              <w:t>Penicillin</w:t>
            </w:r>
            <w:r>
              <w:rPr>
                <w:color w:val="231F20"/>
                <w:spacing w:val="3"/>
                <w:sz w:val="15"/>
              </w:rPr>
              <w:t> </w:t>
            </w:r>
            <w:r>
              <w:rPr>
                <w:color w:val="231F20"/>
                <w:spacing w:val="-10"/>
                <w:sz w:val="15"/>
              </w:rPr>
              <w:t>G</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150,000</w:t>
            </w:r>
            <w:r>
              <w:rPr>
                <w:color w:val="231F20"/>
                <w:spacing w:val="-3"/>
                <w:sz w:val="15"/>
              </w:rPr>
              <w:t> </w:t>
            </w:r>
            <w:r>
              <w:rPr>
                <w:color w:val="231F20"/>
                <w:sz w:val="15"/>
              </w:rPr>
              <w:t>divided</w:t>
            </w:r>
            <w:r>
              <w:rPr>
                <w:color w:val="231F20"/>
                <w:spacing w:val="-3"/>
                <w:sz w:val="15"/>
              </w:rPr>
              <w:t> </w:t>
            </w:r>
            <w:r>
              <w:rPr>
                <w:color w:val="231F20"/>
                <w:sz w:val="15"/>
              </w:rPr>
              <w:t>q8h</w:t>
            </w:r>
            <w:r>
              <w:rPr>
                <w:color w:val="231F20"/>
                <w:spacing w:val="-3"/>
                <w:sz w:val="15"/>
              </w:rPr>
              <w:t> </w:t>
            </w:r>
            <w:r>
              <w:rPr>
                <w:color w:val="231F20"/>
                <w:sz w:val="15"/>
              </w:rPr>
              <w:t>or</w:t>
            </w:r>
            <w:r>
              <w:rPr>
                <w:color w:val="231F20"/>
                <w:spacing w:val="-3"/>
                <w:sz w:val="15"/>
              </w:rPr>
              <w:t> </w:t>
            </w:r>
            <w:r>
              <w:rPr>
                <w:color w:val="231F20"/>
                <w:spacing w:val="-4"/>
                <w:sz w:val="15"/>
              </w:rPr>
              <w:t>q12h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200,000</w:t>
            </w:r>
            <w:r>
              <w:rPr>
                <w:color w:val="231F20"/>
                <w:spacing w:val="-3"/>
                <w:sz w:val="15"/>
              </w:rPr>
              <w:t> </w:t>
            </w:r>
            <w:r>
              <w:rPr>
                <w:color w:val="231F20"/>
                <w:sz w:val="15"/>
              </w:rPr>
              <w:t>divided</w:t>
            </w:r>
            <w:r>
              <w:rPr>
                <w:color w:val="231F20"/>
                <w:spacing w:val="-3"/>
                <w:sz w:val="15"/>
              </w:rPr>
              <w:t> </w:t>
            </w:r>
            <w:r>
              <w:rPr>
                <w:color w:val="231F20"/>
                <w:sz w:val="15"/>
              </w:rPr>
              <w:t>q6h</w:t>
            </w:r>
            <w:r>
              <w:rPr>
                <w:color w:val="231F20"/>
                <w:spacing w:val="-3"/>
                <w:sz w:val="15"/>
              </w:rPr>
              <w:t> </w:t>
            </w:r>
            <w:r>
              <w:rPr>
                <w:color w:val="231F20"/>
                <w:sz w:val="15"/>
              </w:rPr>
              <w:t>or</w:t>
            </w:r>
            <w:r>
              <w:rPr>
                <w:color w:val="231F20"/>
                <w:spacing w:val="-3"/>
                <w:sz w:val="15"/>
              </w:rPr>
              <w:t>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300,000</w:t>
            </w:r>
            <w:r>
              <w:rPr>
                <w:color w:val="231F20"/>
                <w:spacing w:val="-3"/>
                <w:sz w:val="15"/>
              </w:rPr>
              <w:t> </w:t>
            </w:r>
            <w:r>
              <w:rPr>
                <w:color w:val="231F20"/>
                <w:sz w:val="15"/>
              </w:rPr>
              <w:t>divided</w:t>
            </w:r>
            <w:r>
              <w:rPr>
                <w:color w:val="231F20"/>
                <w:spacing w:val="-3"/>
                <w:sz w:val="15"/>
              </w:rPr>
              <w:t> </w:t>
            </w:r>
            <w:r>
              <w:rPr>
                <w:color w:val="231F20"/>
                <w:sz w:val="15"/>
              </w:rPr>
              <w:t>q4h</w:t>
            </w:r>
            <w:r>
              <w:rPr>
                <w:color w:val="231F20"/>
                <w:spacing w:val="-3"/>
                <w:sz w:val="15"/>
              </w:rPr>
              <w:t> </w:t>
            </w:r>
            <w:r>
              <w:rPr>
                <w:color w:val="231F20"/>
                <w:sz w:val="15"/>
              </w:rPr>
              <w:t>or</w:t>
            </w:r>
            <w:r>
              <w:rPr>
                <w:color w:val="231F20"/>
                <w:spacing w:val="-3"/>
                <w:sz w:val="15"/>
              </w:rPr>
              <w:t> </w:t>
            </w:r>
            <w:r>
              <w:rPr>
                <w:color w:val="231F20"/>
                <w:spacing w:val="-5"/>
                <w:sz w:val="15"/>
              </w:rPr>
              <w:t>q6h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Rifampin</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pacing w:val="-10"/>
                <w:w w:val="135"/>
                <w:sz w:val="15"/>
              </w:rPr>
              <w:t>—</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10-20</w:t>
            </w:r>
            <w:r>
              <w:rPr>
                <w:color w:val="231F20"/>
                <w:spacing w:val="-3"/>
                <w:sz w:val="15"/>
              </w:rPr>
              <w:t> </w:t>
            </w:r>
            <w:r>
              <w:rPr>
                <w:color w:val="231F20"/>
                <w:sz w:val="15"/>
              </w:rPr>
              <w:t>divided</w:t>
            </w:r>
            <w:r>
              <w:rPr>
                <w:color w:val="231F20"/>
                <w:spacing w:val="-2"/>
                <w:sz w:val="15"/>
              </w:rPr>
              <w:t> </w:t>
            </w:r>
            <w:r>
              <w:rPr>
                <w:color w:val="231F20"/>
                <w:spacing w:val="-4"/>
                <w:sz w:val="15"/>
              </w:rPr>
              <w:t>q12h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10-20 divided</w:t>
            </w:r>
            <w:r>
              <w:rPr>
                <w:color w:val="231F20"/>
                <w:spacing w:val="1"/>
                <w:sz w:val="15"/>
              </w:rPr>
              <w:t> </w:t>
            </w:r>
            <w:r>
              <w:rPr>
                <w:color w:val="231F20"/>
                <w:sz w:val="15"/>
              </w:rPr>
              <w:t>q12h</w:t>
            </w:r>
            <w:r>
              <w:rPr>
                <w:color w:val="231F20"/>
                <w:spacing w:val="1"/>
                <w:sz w:val="15"/>
              </w:rPr>
              <w:t> </w:t>
            </w:r>
            <w:r>
              <w:rPr>
                <w:color w:val="231F20"/>
                <w:sz w:val="15"/>
              </w:rPr>
              <w:t>or </w:t>
            </w:r>
            <w:r>
              <w:rPr>
                <w:color w:val="231F20"/>
                <w:spacing w:val="-4"/>
                <w:sz w:val="15"/>
              </w:rPr>
              <w:t>q24h</w:t>
            </w:r>
          </w:p>
        </w:tc>
      </w:tr>
      <w:tr>
        <w:trPr>
          <w:trHeight w:val="252" w:hRule="atLeast"/>
        </w:trPr>
        <w:tc>
          <w:tcPr>
            <w:tcW w:w="1182" w:type="dxa"/>
            <w:tcBorders>
              <w:top w:val="single" w:sz="4" w:space="0" w:color="FFFFFF"/>
              <w:bottom w:val="single" w:sz="4" w:space="0" w:color="FFFFFF"/>
            </w:tcBorders>
            <w:shd w:val="clear" w:color="auto" w:fill="E8F5F1"/>
          </w:tcPr>
          <w:p>
            <w:pPr>
              <w:pStyle w:val="TableParagraph"/>
              <w:spacing w:before="42"/>
              <w:ind w:left="108"/>
              <w:rPr>
                <w:sz w:val="15"/>
              </w:rPr>
            </w:pPr>
            <w:r>
              <w:rPr>
                <w:color w:val="231F20"/>
                <w:spacing w:val="-2"/>
                <w:sz w:val="15"/>
              </w:rPr>
              <w:t>Tobramycin</w:t>
            </w:r>
            <w:r>
              <w:rPr>
                <w:color w:val="0080AC"/>
                <w:spacing w:val="-2"/>
                <w:sz w:val="15"/>
                <w:vertAlign w:val="superscript"/>
              </w:rPr>
              <w:t>†‡</w:t>
            </w:r>
          </w:p>
        </w:tc>
        <w:tc>
          <w:tcPr>
            <w:tcW w:w="2786" w:type="dxa"/>
            <w:tcBorders>
              <w:top w:val="single" w:sz="4" w:space="0" w:color="FFFFFF"/>
              <w:bottom w:val="single" w:sz="4" w:space="0" w:color="FFFFFF"/>
            </w:tcBorders>
            <w:shd w:val="clear" w:color="auto" w:fill="E8F5F1"/>
          </w:tcPr>
          <w:p>
            <w:pPr>
              <w:pStyle w:val="TableParagraph"/>
              <w:spacing w:before="42"/>
              <w:ind w:left="808"/>
              <w:rPr>
                <w:sz w:val="15"/>
              </w:rPr>
            </w:pPr>
            <w:r>
              <w:rPr>
                <w:color w:val="231F20"/>
                <w:sz w:val="15"/>
              </w:rPr>
              <w:t>5</w:t>
            </w:r>
            <w:r>
              <w:rPr>
                <w:color w:val="231F20"/>
                <w:spacing w:val="2"/>
                <w:sz w:val="15"/>
              </w:rPr>
              <w:t> </w:t>
            </w:r>
            <w:r>
              <w:rPr>
                <w:color w:val="231F20"/>
                <w:sz w:val="15"/>
              </w:rPr>
              <w:t>divided</w:t>
            </w:r>
            <w:r>
              <w:rPr>
                <w:color w:val="231F20"/>
                <w:spacing w:val="3"/>
                <w:sz w:val="15"/>
              </w:rPr>
              <w:t> </w:t>
            </w:r>
            <w:r>
              <w:rPr>
                <w:color w:val="231F20"/>
                <w:spacing w:val="-4"/>
                <w:sz w:val="15"/>
              </w:rPr>
              <w:t>q12h</w:t>
            </w:r>
          </w:p>
        </w:tc>
        <w:tc>
          <w:tcPr>
            <w:tcW w:w="8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2435" w:type="dxa"/>
            <w:tcBorders>
              <w:top w:val="single" w:sz="4" w:space="0" w:color="FFFFFF"/>
              <w:bottom w:val="single" w:sz="4" w:space="0" w:color="FFFFFF"/>
            </w:tcBorders>
            <w:shd w:val="clear" w:color="auto" w:fill="E8F5F1"/>
          </w:tcPr>
          <w:p>
            <w:pPr>
              <w:pStyle w:val="TableParagraph"/>
              <w:spacing w:before="42"/>
              <w:ind w:left="96"/>
              <w:rPr>
                <w:sz w:val="15"/>
              </w:rPr>
            </w:pPr>
            <w:r>
              <w:rPr>
                <w:color w:val="231F20"/>
                <w:sz w:val="15"/>
              </w:rPr>
              <w:t>7.5</w:t>
            </w:r>
            <w:r>
              <w:rPr>
                <w:color w:val="231F20"/>
                <w:spacing w:val="-7"/>
                <w:sz w:val="15"/>
              </w:rPr>
              <w:t> </w:t>
            </w:r>
            <w:r>
              <w:rPr>
                <w:color w:val="231F20"/>
                <w:sz w:val="15"/>
              </w:rPr>
              <w:t>divided</w:t>
            </w:r>
            <w:r>
              <w:rPr>
                <w:color w:val="231F20"/>
                <w:spacing w:val="-6"/>
                <w:sz w:val="15"/>
              </w:rPr>
              <w:t> </w:t>
            </w:r>
            <w:r>
              <w:rPr>
                <w:color w:val="231F20"/>
                <w:spacing w:val="-5"/>
                <w:sz w:val="15"/>
              </w:rPr>
              <w:t>q8h</w:t>
            </w:r>
          </w:p>
        </w:tc>
        <w:tc>
          <w:tcPr>
            <w:tcW w:w="2538" w:type="dxa"/>
            <w:tcBorders>
              <w:top w:val="single" w:sz="4" w:space="0" w:color="FFFFFF"/>
              <w:bottom w:val="single" w:sz="4" w:space="0" w:color="FFFFFF"/>
            </w:tcBorders>
            <w:shd w:val="clear" w:color="auto" w:fill="E8F5F1"/>
          </w:tcPr>
          <w:p>
            <w:pPr>
              <w:pStyle w:val="TableParagraph"/>
              <w:spacing w:before="42"/>
              <w:ind w:left="494"/>
              <w:rPr>
                <w:sz w:val="15"/>
              </w:rPr>
            </w:pPr>
            <w:r>
              <w:rPr>
                <w:color w:val="231F20"/>
                <w:sz w:val="15"/>
              </w:rPr>
              <w:t>7.5</w:t>
            </w:r>
            <w:r>
              <w:rPr>
                <w:color w:val="231F20"/>
                <w:spacing w:val="-7"/>
                <w:sz w:val="15"/>
              </w:rPr>
              <w:t> </w:t>
            </w:r>
            <w:r>
              <w:rPr>
                <w:color w:val="231F20"/>
                <w:sz w:val="15"/>
              </w:rPr>
              <w:t>divided</w:t>
            </w:r>
            <w:r>
              <w:rPr>
                <w:color w:val="231F20"/>
                <w:spacing w:val="-6"/>
                <w:sz w:val="15"/>
              </w:rPr>
              <w:t> </w:t>
            </w:r>
            <w:r>
              <w:rPr>
                <w:color w:val="231F20"/>
                <w:spacing w:val="-5"/>
                <w:sz w:val="15"/>
              </w:rPr>
              <w:t>q8h</w:t>
            </w:r>
          </w:p>
        </w:tc>
      </w:tr>
      <w:tr>
        <w:trPr>
          <w:trHeight w:val="247" w:hRule="atLeast"/>
        </w:trPr>
        <w:tc>
          <w:tcPr>
            <w:tcW w:w="1182" w:type="dxa"/>
            <w:tcBorders>
              <w:top w:val="single" w:sz="4" w:space="0" w:color="FFFFFF"/>
              <w:bottom w:val="single" w:sz="8" w:space="0" w:color="231F20"/>
            </w:tcBorders>
            <w:shd w:val="clear" w:color="auto" w:fill="E8F5F1"/>
          </w:tcPr>
          <w:p>
            <w:pPr>
              <w:pStyle w:val="TableParagraph"/>
              <w:spacing w:before="42"/>
              <w:ind w:left="108"/>
              <w:rPr>
                <w:sz w:val="15"/>
              </w:rPr>
            </w:pPr>
            <w:r>
              <w:rPr>
                <w:color w:val="231F20"/>
                <w:spacing w:val="-2"/>
                <w:sz w:val="15"/>
              </w:rPr>
              <w:t>Vancomycin</w:t>
            </w:r>
            <w:r>
              <w:rPr>
                <w:color w:val="0080AC"/>
                <w:spacing w:val="-2"/>
                <w:sz w:val="15"/>
                <w:vertAlign w:val="superscript"/>
              </w:rPr>
              <w:t>†‡</w:t>
            </w:r>
          </w:p>
        </w:tc>
        <w:tc>
          <w:tcPr>
            <w:tcW w:w="2786" w:type="dxa"/>
            <w:tcBorders>
              <w:top w:val="single" w:sz="4" w:space="0" w:color="FFFFFF"/>
              <w:bottom w:val="single" w:sz="8" w:space="0" w:color="231F20"/>
            </w:tcBorders>
            <w:shd w:val="clear" w:color="auto" w:fill="E8F5F1"/>
          </w:tcPr>
          <w:p>
            <w:pPr>
              <w:pStyle w:val="TableParagraph"/>
              <w:spacing w:before="42"/>
              <w:ind w:left="808"/>
              <w:rPr>
                <w:sz w:val="15"/>
              </w:rPr>
            </w:pPr>
            <w:r>
              <w:rPr>
                <w:color w:val="231F20"/>
                <w:sz w:val="15"/>
              </w:rPr>
              <w:t>20-30 divided</w:t>
            </w:r>
            <w:r>
              <w:rPr>
                <w:color w:val="231F20"/>
                <w:spacing w:val="1"/>
                <w:sz w:val="15"/>
              </w:rPr>
              <w:t> </w:t>
            </w:r>
            <w:r>
              <w:rPr>
                <w:color w:val="231F20"/>
                <w:sz w:val="15"/>
              </w:rPr>
              <w:t>q8h</w:t>
            </w:r>
            <w:r>
              <w:rPr>
                <w:color w:val="231F20"/>
                <w:spacing w:val="1"/>
                <w:sz w:val="15"/>
              </w:rPr>
              <w:t> </w:t>
            </w:r>
            <w:r>
              <w:rPr>
                <w:color w:val="231F20"/>
                <w:sz w:val="15"/>
              </w:rPr>
              <w:t>or</w:t>
            </w:r>
            <w:r>
              <w:rPr>
                <w:color w:val="231F20"/>
                <w:spacing w:val="1"/>
                <w:sz w:val="15"/>
              </w:rPr>
              <w:t> </w:t>
            </w:r>
            <w:r>
              <w:rPr>
                <w:color w:val="231F20"/>
                <w:spacing w:val="-4"/>
                <w:sz w:val="15"/>
              </w:rPr>
              <w:t>q12h</w:t>
            </w:r>
          </w:p>
        </w:tc>
        <w:tc>
          <w:tcPr>
            <w:tcW w:w="836" w:type="dxa"/>
            <w:tcBorders>
              <w:top w:val="single" w:sz="4" w:space="0" w:color="FFFFFF"/>
              <w:bottom w:val="single" w:sz="8" w:space="0" w:color="231F20"/>
            </w:tcBorders>
            <w:shd w:val="clear" w:color="auto" w:fill="E8F5F1"/>
          </w:tcPr>
          <w:p>
            <w:pPr>
              <w:pStyle w:val="TableParagraph"/>
              <w:rPr>
                <w:rFonts w:ascii="Times New Roman"/>
                <w:sz w:val="14"/>
              </w:rPr>
            </w:pPr>
          </w:p>
        </w:tc>
        <w:tc>
          <w:tcPr>
            <w:tcW w:w="2435" w:type="dxa"/>
            <w:tcBorders>
              <w:top w:val="single" w:sz="4" w:space="0" w:color="FFFFFF"/>
              <w:bottom w:val="single" w:sz="8" w:space="0" w:color="231F20"/>
            </w:tcBorders>
            <w:shd w:val="clear" w:color="auto" w:fill="E8F5F1"/>
          </w:tcPr>
          <w:p>
            <w:pPr>
              <w:pStyle w:val="TableParagraph"/>
              <w:spacing w:before="42"/>
              <w:ind w:left="96"/>
              <w:rPr>
                <w:sz w:val="15"/>
              </w:rPr>
            </w:pPr>
            <w:r>
              <w:rPr>
                <w:color w:val="231F20"/>
                <w:sz w:val="15"/>
              </w:rPr>
              <w:t>30-45 divided</w:t>
            </w:r>
            <w:r>
              <w:rPr>
                <w:color w:val="231F20"/>
                <w:spacing w:val="1"/>
                <w:sz w:val="15"/>
              </w:rPr>
              <w:t> </w:t>
            </w:r>
            <w:r>
              <w:rPr>
                <w:color w:val="231F20"/>
                <w:sz w:val="15"/>
              </w:rPr>
              <w:t>q6h</w:t>
            </w:r>
            <w:r>
              <w:rPr>
                <w:color w:val="231F20"/>
                <w:spacing w:val="1"/>
                <w:sz w:val="15"/>
              </w:rPr>
              <w:t> </w:t>
            </w:r>
            <w:r>
              <w:rPr>
                <w:color w:val="231F20"/>
                <w:sz w:val="15"/>
              </w:rPr>
              <w:t>or</w:t>
            </w:r>
            <w:r>
              <w:rPr>
                <w:color w:val="231F20"/>
                <w:spacing w:val="1"/>
                <w:sz w:val="15"/>
              </w:rPr>
              <w:t> </w:t>
            </w:r>
            <w:r>
              <w:rPr>
                <w:color w:val="231F20"/>
                <w:spacing w:val="-5"/>
                <w:sz w:val="15"/>
              </w:rPr>
              <w:t>q8h</w:t>
            </w:r>
          </w:p>
        </w:tc>
        <w:tc>
          <w:tcPr>
            <w:tcW w:w="2538" w:type="dxa"/>
            <w:tcBorders>
              <w:top w:val="single" w:sz="4" w:space="0" w:color="FFFFFF"/>
              <w:bottom w:val="single" w:sz="8" w:space="0" w:color="231F20"/>
            </w:tcBorders>
            <w:shd w:val="clear" w:color="auto" w:fill="E8F5F1"/>
          </w:tcPr>
          <w:p>
            <w:pPr>
              <w:pStyle w:val="TableParagraph"/>
              <w:spacing w:before="42"/>
              <w:ind w:left="494"/>
              <w:rPr>
                <w:sz w:val="15"/>
              </w:rPr>
            </w:pPr>
            <w:r>
              <w:rPr>
                <w:color w:val="231F20"/>
                <w:sz w:val="15"/>
              </w:rPr>
              <w:t>60</w:t>
            </w:r>
            <w:r>
              <w:rPr>
                <w:color w:val="231F20"/>
                <w:spacing w:val="1"/>
                <w:sz w:val="15"/>
              </w:rPr>
              <w:t> </w:t>
            </w:r>
            <w:r>
              <w:rPr>
                <w:color w:val="231F20"/>
                <w:sz w:val="15"/>
              </w:rPr>
              <w:t>divided</w:t>
            </w:r>
            <w:r>
              <w:rPr>
                <w:color w:val="231F20"/>
                <w:spacing w:val="2"/>
                <w:sz w:val="15"/>
              </w:rPr>
              <w:t> </w:t>
            </w:r>
            <w:r>
              <w:rPr>
                <w:color w:val="231F20"/>
                <w:spacing w:val="-5"/>
                <w:sz w:val="15"/>
              </w:rPr>
              <w:t>q6h</w:t>
            </w:r>
          </w:p>
        </w:tc>
      </w:tr>
    </w:tbl>
    <w:p>
      <w:pPr>
        <w:pStyle w:val="BodyText"/>
        <w:spacing w:line="150" w:lineRule="exact" w:before="82"/>
        <w:ind w:left="553"/>
      </w:pPr>
      <w:r>
        <w:rPr>
          <w:color w:val="231F20"/>
        </w:rPr>
        <w:t>*Dosages in</w:t>
      </w:r>
      <w:r>
        <w:rPr>
          <w:color w:val="231F20"/>
          <w:spacing w:val="1"/>
        </w:rPr>
        <w:t> </w:t>
      </w:r>
      <w:r>
        <w:rPr>
          <w:color w:val="231F20"/>
        </w:rPr>
        <w:t>mg/kg (units/kg</w:t>
      </w:r>
      <w:r>
        <w:rPr>
          <w:color w:val="231F20"/>
          <w:spacing w:val="1"/>
        </w:rPr>
        <w:t> </w:t>
      </w:r>
      <w:r>
        <w:rPr>
          <w:color w:val="231F20"/>
        </w:rPr>
        <w:t>for penicillin</w:t>
      </w:r>
      <w:r>
        <w:rPr>
          <w:color w:val="231F20"/>
          <w:spacing w:val="1"/>
        </w:rPr>
        <w:t> </w:t>
      </w:r>
      <w:r>
        <w:rPr>
          <w:color w:val="231F20"/>
        </w:rPr>
        <w:t>G) per</w:t>
      </w:r>
      <w:r>
        <w:rPr>
          <w:color w:val="231F20"/>
          <w:spacing w:val="1"/>
        </w:rPr>
        <w:t> </w:t>
      </w:r>
      <w:r>
        <w:rPr>
          <w:color w:val="231F20"/>
          <w:spacing w:val="-4"/>
        </w:rPr>
        <w:t>day.</w:t>
      </w:r>
    </w:p>
    <w:p>
      <w:pPr>
        <w:pStyle w:val="BodyText"/>
        <w:spacing w:line="149" w:lineRule="exact"/>
        <w:ind w:left="684"/>
      </w:pPr>
      <w:r>
        <w:rPr>
          <w:color w:val="231F20"/>
          <w:vertAlign w:val="superscript"/>
        </w:rPr>
        <w:t>†</w:t>
      </w:r>
      <w:r>
        <w:rPr>
          <w:color w:val="231F20"/>
          <w:vertAlign w:val="baseline"/>
        </w:rPr>
        <w:t>Smaller</w:t>
      </w:r>
      <w:r>
        <w:rPr>
          <w:color w:val="231F20"/>
          <w:spacing w:val="-2"/>
          <w:vertAlign w:val="baseline"/>
        </w:rPr>
        <w:t> </w:t>
      </w:r>
      <w:r>
        <w:rPr>
          <w:color w:val="231F20"/>
          <w:vertAlign w:val="baseline"/>
        </w:rPr>
        <w:t>doses</w:t>
      </w:r>
      <w:r>
        <w:rPr>
          <w:color w:val="231F20"/>
          <w:spacing w:val="-2"/>
          <w:vertAlign w:val="baseline"/>
        </w:rPr>
        <w:t> </w:t>
      </w:r>
      <w:r>
        <w:rPr>
          <w:color w:val="231F20"/>
          <w:vertAlign w:val="baseline"/>
        </w:rPr>
        <w:t>and</w:t>
      </w:r>
      <w:r>
        <w:rPr>
          <w:color w:val="231F20"/>
          <w:spacing w:val="-2"/>
          <w:vertAlign w:val="baseline"/>
        </w:rPr>
        <w:t> </w:t>
      </w:r>
      <w:r>
        <w:rPr>
          <w:color w:val="231F20"/>
          <w:vertAlign w:val="baseline"/>
        </w:rPr>
        <w:t>longer</w:t>
      </w:r>
      <w:r>
        <w:rPr>
          <w:color w:val="231F20"/>
          <w:spacing w:val="-2"/>
          <w:vertAlign w:val="baseline"/>
        </w:rPr>
        <w:t> </w:t>
      </w:r>
      <w:r>
        <w:rPr>
          <w:color w:val="231F20"/>
          <w:vertAlign w:val="baseline"/>
        </w:rPr>
        <w:t>dosing</w:t>
      </w:r>
      <w:r>
        <w:rPr>
          <w:color w:val="231F20"/>
          <w:spacing w:val="-2"/>
          <w:vertAlign w:val="baseline"/>
        </w:rPr>
        <w:t> </w:t>
      </w:r>
      <w:r>
        <w:rPr>
          <w:color w:val="231F20"/>
          <w:vertAlign w:val="baseline"/>
        </w:rPr>
        <w:t>intervals,</w:t>
      </w:r>
      <w:r>
        <w:rPr>
          <w:color w:val="231F20"/>
          <w:spacing w:val="-2"/>
          <w:vertAlign w:val="baseline"/>
        </w:rPr>
        <w:t> </w:t>
      </w:r>
      <w:r>
        <w:rPr>
          <w:color w:val="231F20"/>
          <w:vertAlign w:val="baseline"/>
        </w:rPr>
        <w:t>especially</w:t>
      </w:r>
      <w:r>
        <w:rPr>
          <w:color w:val="231F20"/>
          <w:spacing w:val="-2"/>
          <w:vertAlign w:val="baseline"/>
        </w:rPr>
        <w:t> </w:t>
      </w:r>
      <w:r>
        <w:rPr>
          <w:color w:val="231F20"/>
          <w:vertAlign w:val="baseline"/>
        </w:rPr>
        <w:t>for</w:t>
      </w:r>
      <w:r>
        <w:rPr>
          <w:color w:val="231F20"/>
          <w:spacing w:val="-2"/>
          <w:vertAlign w:val="baseline"/>
        </w:rPr>
        <w:t> </w:t>
      </w:r>
      <w:r>
        <w:rPr>
          <w:color w:val="231F20"/>
          <w:vertAlign w:val="baseline"/>
        </w:rPr>
        <w:t>aminoglycosides</w:t>
      </w:r>
      <w:r>
        <w:rPr>
          <w:color w:val="231F20"/>
          <w:spacing w:val="-2"/>
          <w:vertAlign w:val="baseline"/>
        </w:rPr>
        <w:t> </w:t>
      </w:r>
      <w:r>
        <w:rPr>
          <w:color w:val="231F20"/>
          <w:vertAlign w:val="baseline"/>
        </w:rPr>
        <w:t>and</w:t>
      </w:r>
      <w:r>
        <w:rPr>
          <w:color w:val="231F20"/>
          <w:spacing w:val="-2"/>
          <w:vertAlign w:val="baseline"/>
        </w:rPr>
        <w:t> </w:t>
      </w:r>
      <w:r>
        <w:rPr>
          <w:color w:val="231F20"/>
          <w:vertAlign w:val="baseline"/>
        </w:rPr>
        <w:t>vancomycin</w:t>
      </w:r>
      <w:r>
        <w:rPr>
          <w:color w:val="231F20"/>
          <w:spacing w:val="-1"/>
          <w:vertAlign w:val="baseline"/>
        </w:rPr>
        <w:t> </w:t>
      </w:r>
      <w:r>
        <w:rPr>
          <w:color w:val="231F20"/>
          <w:vertAlign w:val="baseline"/>
        </w:rPr>
        <w:t>for</w:t>
      </w:r>
      <w:r>
        <w:rPr>
          <w:color w:val="231F20"/>
          <w:spacing w:val="-2"/>
          <w:vertAlign w:val="baseline"/>
        </w:rPr>
        <w:t> </w:t>
      </w:r>
      <w:r>
        <w:rPr>
          <w:color w:val="231F20"/>
          <w:vertAlign w:val="baseline"/>
        </w:rPr>
        <w:t>very-low-birthweight</w:t>
      </w:r>
      <w:r>
        <w:rPr>
          <w:color w:val="231F20"/>
          <w:spacing w:val="-2"/>
          <w:vertAlign w:val="baseline"/>
        </w:rPr>
        <w:t> </w:t>
      </w:r>
      <w:r>
        <w:rPr>
          <w:color w:val="231F20"/>
          <w:vertAlign w:val="baseline"/>
        </w:rPr>
        <w:t>neonates,</w:t>
      </w:r>
      <w:r>
        <w:rPr>
          <w:color w:val="231F20"/>
          <w:spacing w:val="-2"/>
          <w:vertAlign w:val="baseline"/>
        </w:rPr>
        <w:t> </w:t>
      </w:r>
      <w:r>
        <w:rPr>
          <w:color w:val="231F20"/>
          <w:vertAlign w:val="baseline"/>
        </w:rPr>
        <w:t>may</w:t>
      </w:r>
      <w:r>
        <w:rPr>
          <w:color w:val="231F20"/>
          <w:spacing w:val="-2"/>
          <w:vertAlign w:val="baseline"/>
        </w:rPr>
        <w:t> </w:t>
      </w:r>
      <w:r>
        <w:rPr>
          <w:color w:val="231F20"/>
          <w:vertAlign w:val="baseline"/>
        </w:rPr>
        <w:t>be</w:t>
      </w:r>
      <w:r>
        <w:rPr>
          <w:color w:val="231F20"/>
          <w:spacing w:val="-2"/>
          <w:vertAlign w:val="baseline"/>
        </w:rPr>
        <w:t> advisable.</w:t>
      </w:r>
    </w:p>
    <w:p>
      <w:pPr>
        <w:pStyle w:val="BodyText"/>
        <w:spacing w:line="149" w:lineRule="exact"/>
        <w:ind w:left="684"/>
      </w:pPr>
      <w:r>
        <w:rPr>
          <w:color w:val="231F20"/>
          <w:vertAlign w:val="superscript"/>
        </w:rPr>
        <w:t>‡</w:t>
      </w:r>
      <w:r>
        <w:rPr>
          <w:color w:val="231F20"/>
          <w:vertAlign w:val="baseline"/>
        </w:rPr>
        <w:t>Monitoring</w:t>
      </w:r>
      <w:r>
        <w:rPr>
          <w:color w:val="231F20"/>
          <w:spacing w:val="2"/>
          <w:vertAlign w:val="baseline"/>
        </w:rPr>
        <w:t> </w:t>
      </w:r>
      <w:r>
        <w:rPr>
          <w:color w:val="231F20"/>
          <w:vertAlign w:val="baseline"/>
        </w:rPr>
        <w:t>of</w:t>
      </w:r>
      <w:r>
        <w:rPr>
          <w:color w:val="231F20"/>
          <w:spacing w:val="3"/>
          <w:vertAlign w:val="baseline"/>
        </w:rPr>
        <w:t> </w:t>
      </w:r>
      <w:r>
        <w:rPr>
          <w:color w:val="231F20"/>
          <w:vertAlign w:val="baseline"/>
        </w:rPr>
        <w:t>serum</w:t>
      </w:r>
      <w:r>
        <w:rPr>
          <w:color w:val="231F20"/>
          <w:spacing w:val="2"/>
          <w:vertAlign w:val="baseline"/>
        </w:rPr>
        <w:t> </w:t>
      </w:r>
      <w:r>
        <w:rPr>
          <w:color w:val="231F20"/>
          <w:vertAlign w:val="baseline"/>
        </w:rPr>
        <w:t>levels</w:t>
      </w:r>
      <w:r>
        <w:rPr>
          <w:color w:val="231F20"/>
          <w:spacing w:val="3"/>
          <w:vertAlign w:val="baseline"/>
        </w:rPr>
        <w:t> </w:t>
      </w:r>
      <w:r>
        <w:rPr>
          <w:color w:val="231F20"/>
          <w:vertAlign w:val="baseline"/>
        </w:rPr>
        <w:t>is</w:t>
      </w:r>
      <w:r>
        <w:rPr>
          <w:color w:val="231F20"/>
          <w:spacing w:val="2"/>
          <w:vertAlign w:val="baseline"/>
        </w:rPr>
        <w:t> </w:t>
      </w:r>
      <w:r>
        <w:rPr>
          <w:color w:val="231F20"/>
          <w:vertAlign w:val="baseline"/>
        </w:rPr>
        <w:t>recommended</w:t>
      </w:r>
      <w:r>
        <w:rPr>
          <w:color w:val="231F20"/>
          <w:spacing w:val="3"/>
          <w:vertAlign w:val="baseline"/>
        </w:rPr>
        <w:t> </w:t>
      </w:r>
      <w:r>
        <w:rPr>
          <w:color w:val="231F20"/>
          <w:vertAlign w:val="baseline"/>
        </w:rPr>
        <w:t>to</w:t>
      </w:r>
      <w:r>
        <w:rPr>
          <w:color w:val="231F20"/>
          <w:spacing w:val="2"/>
          <w:vertAlign w:val="baseline"/>
        </w:rPr>
        <w:t> </w:t>
      </w:r>
      <w:r>
        <w:rPr>
          <w:color w:val="231F20"/>
          <w:vertAlign w:val="baseline"/>
        </w:rPr>
        <w:t>ensure</w:t>
      </w:r>
      <w:r>
        <w:rPr>
          <w:color w:val="231F20"/>
          <w:spacing w:val="3"/>
          <w:vertAlign w:val="baseline"/>
        </w:rPr>
        <w:t> </w:t>
      </w:r>
      <w:r>
        <w:rPr>
          <w:color w:val="231F20"/>
          <w:vertAlign w:val="baseline"/>
        </w:rPr>
        <w:t>safe</w:t>
      </w:r>
      <w:r>
        <w:rPr>
          <w:color w:val="231F20"/>
          <w:spacing w:val="2"/>
          <w:vertAlign w:val="baseline"/>
        </w:rPr>
        <w:t> </w:t>
      </w:r>
      <w:r>
        <w:rPr>
          <w:color w:val="231F20"/>
          <w:vertAlign w:val="baseline"/>
        </w:rPr>
        <w:t>and</w:t>
      </w:r>
      <w:r>
        <w:rPr>
          <w:color w:val="231F20"/>
          <w:spacing w:val="3"/>
          <w:vertAlign w:val="baseline"/>
        </w:rPr>
        <w:t> </w:t>
      </w:r>
      <w:r>
        <w:rPr>
          <w:color w:val="231F20"/>
          <w:vertAlign w:val="baseline"/>
        </w:rPr>
        <w:t>therapeutic</w:t>
      </w:r>
      <w:r>
        <w:rPr>
          <w:color w:val="231F20"/>
          <w:spacing w:val="2"/>
          <w:vertAlign w:val="baseline"/>
        </w:rPr>
        <w:t> </w:t>
      </w:r>
      <w:r>
        <w:rPr>
          <w:color w:val="231F20"/>
          <w:spacing w:val="-2"/>
          <w:vertAlign w:val="baseline"/>
        </w:rPr>
        <w:t>values.</w:t>
      </w:r>
    </w:p>
    <w:p>
      <w:pPr>
        <w:pStyle w:val="BodyText"/>
        <w:spacing w:line="149" w:lineRule="exact"/>
        <w:ind w:left="684"/>
      </w:pPr>
      <w:r>
        <w:rPr>
          <w:color w:val="231F20"/>
          <w:vertAlign w:val="superscript"/>
        </w:rPr>
        <w:t>§</w:t>
      </w:r>
      <w:r>
        <w:rPr>
          <w:color w:val="231F20"/>
          <w:vertAlign w:val="baseline"/>
        </w:rPr>
        <w:t>Use</w:t>
      </w:r>
      <w:r>
        <w:rPr>
          <w:color w:val="231F20"/>
          <w:spacing w:val="3"/>
          <w:vertAlign w:val="baseline"/>
        </w:rPr>
        <w:t> </w:t>
      </w:r>
      <w:r>
        <w:rPr>
          <w:color w:val="231F20"/>
          <w:vertAlign w:val="baseline"/>
        </w:rPr>
        <w:t>in</w:t>
      </w:r>
      <w:r>
        <w:rPr>
          <w:color w:val="231F20"/>
          <w:spacing w:val="4"/>
          <w:vertAlign w:val="baseline"/>
        </w:rPr>
        <w:t> </w:t>
      </w:r>
      <w:r>
        <w:rPr>
          <w:color w:val="231F20"/>
          <w:vertAlign w:val="baseline"/>
        </w:rPr>
        <w:t>neonates</w:t>
      </w:r>
      <w:r>
        <w:rPr>
          <w:color w:val="231F20"/>
          <w:spacing w:val="3"/>
          <w:vertAlign w:val="baseline"/>
        </w:rPr>
        <w:t> </w:t>
      </w:r>
      <w:r>
        <w:rPr>
          <w:color w:val="231F20"/>
          <w:vertAlign w:val="baseline"/>
        </w:rPr>
        <w:t>is</w:t>
      </w:r>
      <w:r>
        <w:rPr>
          <w:color w:val="231F20"/>
          <w:spacing w:val="4"/>
          <w:vertAlign w:val="baseline"/>
        </w:rPr>
        <w:t> </w:t>
      </w:r>
      <w:r>
        <w:rPr>
          <w:color w:val="231F20"/>
          <w:vertAlign w:val="baseline"/>
        </w:rPr>
        <w:t>not</w:t>
      </w:r>
      <w:r>
        <w:rPr>
          <w:color w:val="231F20"/>
          <w:spacing w:val="4"/>
          <w:vertAlign w:val="baseline"/>
        </w:rPr>
        <w:t> </w:t>
      </w:r>
      <w:r>
        <w:rPr>
          <w:color w:val="231F20"/>
          <w:vertAlign w:val="baseline"/>
        </w:rPr>
        <w:t>recommended</w:t>
      </w:r>
      <w:r>
        <w:rPr>
          <w:color w:val="231F20"/>
          <w:spacing w:val="3"/>
          <w:vertAlign w:val="baseline"/>
        </w:rPr>
        <w:t> </w:t>
      </w:r>
      <w:r>
        <w:rPr>
          <w:color w:val="231F20"/>
          <w:vertAlign w:val="baseline"/>
        </w:rPr>
        <w:t>because</w:t>
      </w:r>
      <w:r>
        <w:rPr>
          <w:color w:val="231F20"/>
          <w:spacing w:val="4"/>
          <w:vertAlign w:val="baseline"/>
        </w:rPr>
        <w:t> </w:t>
      </w:r>
      <w:r>
        <w:rPr>
          <w:color w:val="231F20"/>
          <w:vertAlign w:val="baseline"/>
        </w:rPr>
        <w:t>of</w:t>
      </w:r>
      <w:r>
        <w:rPr>
          <w:color w:val="231F20"/>
          <w:spacing w:val="4"/>
          <w:vertAlign w:val="baseline"/>
        </w:rPr>
        <w:t> </w:t>
      </w:r>
      <w:r>
        <w:rPr>
          <w:color w:val="231F20"/>
          <w:vertAlign w:val="baseline"/>
        </w:rPr>
        <w:t>inadequate</w:t>
      </w:r>
      <w:r>
        <w:rPr>
          <w:color w:val="231F20"/>
          <w:spacing w:val="3"/>
          <w:vertAlign w:val="baseline"/>
        </w:rPr>
        <w:t> </w:t>
      </w:r>
      <w:r>
        <w:rPr>
          <w:color w:val="231F20"/>
          <w:vertAlign w:val="baseline"/>
        </w:rPr>
        <w:t>experience</w:t>
      </w:r>
      <w:r>
        <w:rPr>
          <w:color w:val="231F20"/>
          <w:spacing w:val="4"/>
          <w:vertAlign w:val="baseline"/>
        </w:rPr>
        <w:t> </w:t>
      </w:r>
      <w:r>
        <w:rPr>
          <w:color w:val="231F20"/>
          <w:vertAlign w:val="baseline"/>
        </w:rPr>
        <w:t>in</w:t>
      </w:r>
      <w:r>
        <w:rPr>
          <w:color w:val="231F20"/>
          <w:spacing w:val="4"/>
          <w:vertAlign w:val="baseline"/>
        </w:rPr>
        <w:t> </w:t>
      </w:r>
      <w:r>
        <w:rPr>
          <w:color w:val="231F20"/>
          <w:vertAlign w:val="baseline"/>
        </w:rPr>
        <w:t>neonatal</w:t>
      </w:r>
      <w:r>
        <w:rPr>
          <w:color w:val="231F20"/>
          <w:spacing w:val="3"/>
          <w:vertAlign w:val="baseline"/>
        </w:rPr>
        <w:t> </w:t>
      </w:r>
      <w:r>
        <w:rPr>
          <w:color w:val="231F20"/>
          <w:spacing w:val="-2"/>
          <w:vertAlign w:val="baseline"/>
        </w:rPr>
        <w:t>meningitis.</w:t>
      </w:r>
    </w:p>
    <w:p>
      <w:pPr>
        <w:pStyle w:val="BodyText"/>
        <w:spacing w:line="150" w:lineRule="exact"/>
        <w:ind w:left="684"/>
      </w:pPr>
      <w:r>
        <w:rPr>
          <w:color w:val="231F20"/>
        </w:rPr>
        <w:t>Adapted</w:t>
      </w:r>
      <w:r>
        <w:rPr>
          <w:color w:val="231F20"/>
          <w:spacing w:val="-7"/>
        </w:rPr>
        <w:t> </w:t>
      </w:r>
      <w:r>
        <w:rPr>
          <w:color w:val="231F20"/>
        </w:rPr>
        <w:t>from</w:t>
      </w:r>
      <w:r>
        <w:rPr>
          <w:color w:val="231F20"/>
          <w:spacing w:val="-6"/>
        </w:rPr>
        <w:t> </w:t>
      </w:r>
      <w:r>
        <w:rPr>
          <w:color w:val="231F20"/>
        </w:rPr>
        <w:t>Tunkel</w:t>
      </w:r>
      <w:r>
        <w:rPr>
          <w:color w:val="231F20"/>
          <w:spacing w:val="-6"/>
        </w:rPr>
        <w:t> </w:t>
      </w:r>
      <w:r>
        <w:rPr>
          <w:color w:val="231F20"/>
        </w:rPr>
        <w:t>AR,</w:t>
      </w:r>
      <w:r>
        <w:rPr>
          <w:color w:val="231F20"/>
          <w:spacing w:val="-6"/>
        </w:rPr>
        <w:t> </w:t>
      </w:r>
      <w:r>
        <w:rPr>
          <w:color w:val="231F20"/>
        </w:rPr>
        <w:t>Hartman</w:t>
      </w:r>
      <w:r>
        <w:rPr>
          <w:color w:val="231F20"/>
          <w:spacing w:val="-6"/>
        </w:rPr>
        <w:t> </w:t>
      </w:r>
      <w:r>
        <w:rPr>
          <w:color w:val="231F20"/>
        </w:rPr>
        <w:t>BJ,</w:t>
      </w:r>
      <w:r>
        <w:rPr>
          <w:color w:val="231F20"/>
          <w:spacing w:val="-6"/>
        </w:rPr>
        <w:t> </w:t>
      </w:r>
      <w:r>
        <w:rPr>
          <w:color w:val="231F20"/>
        </w:rPr>
        <w:t>Kaplan</w:t>
      </w:r>
      <w:r>
        <w:rPr>
          <w:color w:val="231F20"/>
          <w:spacing w:val="-6"/>
        </w:rPr>
        <w:t> </w:t>
      </w:r>
      <w:r>
        <w:rPr>
          <w:color w:val="231F20"/>
        </w:rPr>
        <w:t>SL,</w:t>
      </w:r>
      <w:r>
        <w:rPr>
          <w:color w:val="231F20"/>
          <w:spacing w:val="-6"/>
        </w:rPr>
        <w:t> </w:t>
      </w:r>
      <w:r>
        <w:rPr>
          <w:color w:val="231F20"/>
        </w:rPr>
        <w:t>et</w:t>
      </w:r>
      <w:r>
        <w:rPr>
          <w:color w:val="231F20"/>
          <w:spacing w:val="-6"/>
        </w:rPr>
        <w:t> </w:t>
      </w:r>
      <w:r>
        <w:rPr>
          <w:color w:val="231F20"/>
        </w:rPr>
        <w:t>al:</w:t>
      </w:r>
      <w:r>
        <w:rPr>
          <w:color w:val="231F20"/>
          <w:spacing w:val="-6"/>
        </w:rPr>
        <w:t> </w:t>
      </w:r>
      <w:r>
        <w:rPr>
          <w:color w:val="231F20"/>
        </w:rPr>
        <w:t>Practice</w:t>
      </w:r>
      <w:r>
        <w:rPr>
          <w:color w:val="231F20"/>
          <w:spacing w:val="-6"/>
        </w:rPr>
        <w:t> </w:t>
      </w:r>
      <w:r>
        <w:rPr>
          <w:color w:val="231F20"/>
        </w:rPr>
        <w:t>guidelines</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management</w:t>
      </w:r>
      <w:r>
        <w:rPr>
          <w:color w:val="231F20"/>
          <w:spacing w:val="-6"/>
        </w:rPr>
        <w:t> </w:t>
      </w:r>
      <w:r>
        <w:rPr>
          <w:color w:val="231F20"/>
        </w:rPr>
        <w:t>of</w:t>
      </w:r>
      <w:r>
        <w:rPr>
          <w:color w:val="231F20"/>
          <w:spacing w:val="-6"/>
        </w:rPr>
        <w:t> </w:t>
      </w:r>
      <w:r>
        <w:rPr>
          <w:color w:val="231F20"/>
        </w:rPr>
        <w:t>bacterial</w:t>
      </w:r>
      <w:r>
        <w:rPr>
          <w:color w:val="231F20"/>
          <w:spacing w:val="-6"/>
        </w:rPr>
        <w:t> </w:t>
      </w:r>
      <w:r>
        <w:rPr>
          <w:color w:val="231F20"/>
        </w:rPr>
        <w:t>meningitis.</w:t>
      </w:r>
      <w:r>
        <w:rPr>
          <w:color w:val="231F20"/>
          <w:spacing w:val="-7"/>
        </w:rPr>
        <w:t> </w:t>
      </w:r>
      <w:r>
        <w:rPr>
          <w:i/>
          <w:color w:val="231F20"/>
        </w:rPr>
        <w:t>Clin</w:t>
      </w:r>
      <w:r>
        <w:rPr>
          <w:i/>
          <w:color w:val="231F20"/>
          <w:spacing w:val="-6"/>
        </w:rPr>
        <w:t> </w:t>
      </w:r>
      <w:r>
        <w:rPr>
          <w:i/>
          <w:color w:val="231F20"/>
        </w:rPr>
        <w:t>Infect</w:t>
      </w:r>
      <w:r>
        <w:rPr>
          <w:i/>
          <w:color w:val="231F20"/>
          <w:spacing w:val="-6"/>
        </w:rPr>
        <w:t> </w:t>
      </w:r>
      <w:r>
        <w:rPr>
          <w:i/>
          <w:color w:val="231F20"/>
        </w:rPr>
        <w:t>Dis</w:t>
      </w:r>
      <w:r>
        <w:rPr>
          <w:i/>
          <w:color w:val="231F20"/>
          <w:spacing w:val="-6"/>
        </w:rPr>
        <w:t> </w:t>
      </w:r>
      <w:r>
        <w:rPr>
          <w:color w:val="231F20"/>
        </w:rPr>
        <w:t>39(9):1267–1284,</w:t>
      </w:r>
      <w:r>
        <w:rPr>
          <w:color w:val="231F20"/>
          <w:spacing w:val="-6"/>
        </w:rPr>
        <w:t> </w:t>
      </w:r>
      <w:r>
        <w:rPr>
          <w:color w:val="231F20"/>
          <w:spacing w:val="-2"/>
        </w:rPr>
        <w:t>2004,</w:t>
      </w:r>
    </w:p>
    <w:p>
      <w:pPr>
        <w:pStyle w:val="BodyText"/>
        <w:spacing w:before="89"/>
        <w:rPr>
          <w:sz w:val="20"/>
        </w:rPr>
      </w:pPr>
    </w:p>
    <w:tbl>
      <w:tblPr>
        <w:tblW w:w="0" w:type="auto"/>
        <w:jc w:val="left"/>
        <w:tblInd w:w="5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1"/>
        <w:gridCol w:w="3723"/>
        <w:gridCol w:w="4882"/>
      </w:tblGrid>
      <w:tr>
        <w:trPr>
          <w:trHeight w:val="372" w:hRule="atLeast"/>
        </w:trPr>
        <w:tc>
          <w:tcPr>
            <w:tcW w:w="1171" w:type="dxa"/>
            <w:tcBorders>
              <w:right w:val="single" w:sz="8" w:space="0" w:color="FFFFFF"/>
            </w:tcBorders>
            <w:shd w:val="clear" w:color="auto" w:fill="231F20"/>
          </w:tcPr>
          <w:p>
            <w:pPr>
              <w:pStyle w:val="TableParagraph"/>
              <w:spacing w:before="89"/>
              <w:ind w:left="135"/>
              <w:rPr>
                <w:b/>
                <w:sz w:val="16"/>
              </w:rPr>
            </w:pPr>
            <w:r>
              <w:rPr>
                <w:b/>
                <w:color w:val="FFFFFF"/>
                <w:w w:val="105"/>
                <w:sz w:val="16"/>
              </w:rPr>
              <w:t>Table</w:t>
            </w:r>
            <w:r>
              <w:rPr>
                <w:b/>
                <w:color w:val="FFFFFF"/>
                <w:spacing w:val="-3"/>
                <w:w w:val="105"/>
                <w:sz w:val="16"/>
              </w:rPr>
              <w:t> </w:t>
            </w:r>
            <w:r>
              <w:rPr>
                <w:b/>
                <w:color w:val="FFFFFF"/>
                <w:w w:val="105"/>
                <w:sz w:val="16"/>
              </w:rPr>
              <w:t>606-</w:t>
            </w:r>
            <w:r>
              <w:rPr>
                <w:b/>
                <w:color w:val="FFFFFF"/>
                <w:spacing w:val="-10"/>
                <w:w w:val="105"/>
                <w:sz w:val="16"/>
              </w:rPr>
              <w:t>1</w:t>
            </w:r>
          </w:p>
        </w:tc>
        <w:tc>
          <w:tcPr>
            <w:tcW w:w="8605"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Clinical</w:t>
            </w:r>
            <w:r>
              <w:rPr>
                <w:color w:val="FFFFFF"/>
                <w:spacing w:val="7"/>
                <w:w w:val="105"/>
                <w:sz w:val="16"/>
              </w:rPr>
              <w:t> </w:t>
            </w:r>
            <w:r>
              <w:rPr>
                <w:color w:val="FFFFFF"/>
                <w:w w:val="105"/>
                <w:sz w:val="16"/>
              </w:rPr>
              <w:t>and</w:t>
            </w:r>
            <w:r>
              <w:rPr>
                <w:color w:val="FFFFFF"/>
                <w:spacing w:val="8"/>
                <w:w w:val="105"/>
                <w:sz w:val="16"/>
              </w:rPr>
              <w:t> </w:t>
            </w:r>
            <w:r>
              <w:rPr>
                <w:color w:val="FFFFFF"/>
                <w:w w:val="105"/>
                <w:sz w:val="16"/>
              </w:rPr>
              <w:t>Radiologic</w:t>
            </w:r>
            <w:r>
              <w:rPr>
                <w:color w:val="FFFFFF"/>
                <w:spacing w:val="8"/>
                <w:w w:val="105"/>
                <w:sz w:val="16"/>
              </w:rPr>
              <w:t> </w:t>
            </w:r>
            <w:r>
              <w:rPr>
                <w:color w:val="FFFFFF"/>
                <w:w w:val="105"/>
                <w:sz w:val="16"/>
              </w:rPr>
              <w:t>Mimics</w:t>
            </w:r>
            <w:r>
              <w:rPr>
                <w:color w:val="FFFFFF"/>
                <w:spacing w:val="8"/>
                <w:w w:val="105"/>
                <w:sz w:val="16"/>
              </w:rPr>
              <w:t> </w:t>
            </w:r>
            <w:r>
              <w:rPr>
                <w:color w:val="FFFFFF"/>
                <w:w w:val="105"/>
                <w:sz w:val="16"/>
              </w:rPr>
              <w:t>of</w:t>
            </w:r>
            <w:r>
              <w:rPr>
                <w:color w:val="FFFFFF"/>
                <w:spacing w:val="8"/>
                <w:w w:val="105"/>
                <w:sz w:val="16"/>
              </w:rPr>
              <w:t> </w:t>
            </w:r>
            <w:r>
              <w:rPr>
                <w:color w:val="FFFFFF"/>
                <w:w w:val="105"/>
                <w:sz w:val="16"/>
              </w:rPr>
              <w:t>Transverse</w:t>
            </w:r>
            <w:r>
              <w:rPr>
                <w:color w:val="FFFFFF"/>
                <w:spacing w:val="8"/>
                <w:w w:val="105"/>
                <w:sz w:val="16"/>
              </w:rPr>
              <w:t> </w:t>
            </w:r>
            <w:r>
              <w:rPr>
                <w:color w:val="FFFFFF"/>
                <w:spacing w:val="-2"/>
                <w:w w:val="105"/>
                <w:sz w:val="16"/>
              </w:rPr>
              <w:t>Myelitis</w:t>
            </w:r>
          </w:p>
        </w:tc>
      </w:tr>
      <w:tr>
        <w:trPr>
          <w:trHeight w:val="4949" w:hRule="atLeast"/>
        </w:trPr>
        <w:tc>
          <w:tcPr>
            <w:tcW w:w="4894" w:type="dxa"/>
            <w:gridSpan w:val="2"/>
            <w:tcBorders>
              <w:bottom w:val="thickThinMediumGap" w:sz="4" w:space="0" w:color="231F20"/>
              <w:right w:val="single" w:sz="4" w:space="0" w:color="231F20"/>
            </w:tcBorders>
            <w:shd w:val="clear" w:color="auto" w:fill="E8F5F1"/>
          </w:tcPr>
          <w:p>
            <w:pPr>
              <w:pStyle w:val="TableParagraph"/>
              <w:spacing w:line="172" w:lineRule="exact" w:before="38"/>
              <w:ind w:left="97"/>
              <w:rPr>
                <w:sz w:val="15"/>
              </w:rPr>
            </w:pPr>
            <w:r>
              <w:rPr>
                <w:color w:val="231F20"/>
                <w:w w:val="110"/>
                <w:sz w:val="15"/>
              </w:rPr>
              <w:t>EXTRAAXIAL</w:t>
            </w:r>
            <w:r>
              <w:rPr>
                <w:color w:val="231F20"/>
                <w:spacing w:val="31"/>
                <w:w w:val="110"/>
                <w:sz w:val="15"/>
              </w:rPr>
              <w:t> </w:t>
            </w:r>
            <w:r>
              <w:rPr>
                <w:color w:val="231F20"/>
                <w:w w:val="110"/>
                <w:sz w:val="15"/>
              </w:rPr>
              <w:t>COMPRESSION</w:t>
            </w:r>
            <w:r>
              <w:rPr>
                <w:color w:val="231F20"/>
                <w:spacing w:val="31"/>
                <w:w w:val="110"/>
                <w:sz w:val="15"/>
              </w:rPr>
              <w:t> </w:t>
            </w:r>
            <w:r>
              <w:rPr>
                <w:color w:val="231F20"/>
                <w:spacing w:val="-2"/>
                <w:w w:val="110"/>
                <w:sz w:val="15"/>
              </w:rPr>
              <w:t>DISEASE</w:t>
            </w:r>
          </w:p>
          <w:p>
            <w:pPr>
              <w:pStyle w:val="TableParagraph"/>
              <w:numPr>
                <w:ilvl w:val="0"/>
                <w:numId w:val="90"/>
              </w:numPr>
              <w:tabs>
                <w:tab w:pos="288" w:val="left" w:leader="none"/>
              </w:tabs>
              <w:spacing w:line="169" w:lineRule="exact" w:before="0" w:after="0"/>
              <w:ind w:left="288" w:right="0" w:hanging="191"/>
              <w:jc w:val="left"/>
              <w:rPr>
                <w:sz w:val="15"/>
              </w:rPr>
            </w:pPr>
            <w:r>
              <w:rPr>
                <w:color w:val="231F20"/>
                <w:spacing w:val="-2"/>
                <w:sz w:val="15"/>
              </w:rPr>
              <w:t>Vertebral</w:t>
            </w:r>
            <w:r>
              <w:rPr>
                <w:color w:val="231F20"/>
                <w:sz w:val="15"/>
              </w:rPr>
              <w:t> </w:t>
            </w:r>
            <w:r>
              <w:rPr>
                <w:color w:val="231F20"/>
                <w:spacing w:val="-2"/>
                <w:sz w:val="15"/>
              </w:rPr>
              <w:t>spine</w:t>
            </w:r>
            <w:r>
              <w:rPr>
                <w:color w:val="231F20"/>
                <w:spacing w:val="1"/>
                <w:sz w:val="15"/>
              </w:rPr>
              <w:t> </w:t>
            </w:r>
            <w:r>
              <w:rPr>
                <w:color w:val="231F20"/>
                <w:spacing w:val="-2"/>
                <w:sz w:val="15"/>
              </w:rPr>
              <w:t>disorders</w:t>
            </w:r>
          </w:p>
          <w:p>
            <w:pPr>
              <w:pStyle w:val="TableParagraph"/>
              <w:numPr>
                <w:ilvl w:val="1"/>
                <w:numId w:val="90"/>
              </w:numPr>
              <w:tabs>
                <w:tab w:pos="494" w:val="left" w:leader="none"/>
              </w:tabs>
              <w:spacing w:line="168" w:lineRule="exact" w:before="0" w:after="0"/>
              <w:ind w:left="494" w:right="0" w:hanging="204"/>
              <w:jc w:val="left"/>
              <w:rPr>
                <w:sz w:val="15"/>
              </w:rPr>
            </w:pPr>
            <w:r>
              <w:rPr>
                <w:color w:val="231F20"/>
                <w:spacing w:val="-2"/>
                <w:sz w:val="15"/>
              </w:rPr>
              <w:t>Trauma</w:t>
            </w:r>
          </w:p>
          <w:p>
            <w:pPr>
              <w:pStyle w:val="TableParagraph"/>
              <w:numPr>
                <w:ilvl w:val="2"/>
                <w:numId w:val="90"/>
              </w:numPr>
              <w:tabs>
                <w:tab w:pos="768" w:val="left" w:leader="none"/>
              </w:tabs>
              <w:spacing w:line="168" w:lineRule="exact" w:before="0" w:after="0"/>
              <w:ind w:left="768" w:right="0" w:hanging="202"/>
              <w:jc w:val="left"/>
              <w:rPr>
                <w:sz w:val="15"/>
              </w:rPr>
            </w:pPr>
            <w:r>
              <w:rPr>
                <w:color w:val="231F20"/>
                <w:spacing w:val="-2"/>
                <w:sz w:val="15"/>
              </w:rPr>
              <w:t>Blunt</w:t>
            </w:r>
          </w:p>
          <w:p>
            <w:pPr>
              <w:pStyle w:val="TableParagraph"/>
              <w:numPr>
                <w:ilvl w:val="2"/>
                <w:numId w:val="90"/>
              </w:numPr>
              <w:tabs>
                <w:tab w:pos="769" w:val="left" w:leader="none"/>
              </w:tabs>
              <w:spacing w:line="168" w:lineRule="exact" w:before="0" w:after="0"/>
              <w:ind w:left="769" w:right="0" w:hanging="238"/>
              <w:jc w:val="left"/>
              <w:rPr>
                <w:sz w:val="15"/>
              </w:rPr>
            </w:pPr>
            <w:r>
              <w:rPr>
                <w:color w:val="231F20"/>
                <w:spacing w:val="-2"/>
                <w:sz w:val="15"/>
              </w:rPr>
              <w:t>Penetrating</w:t>
            </w:r>
          </w:p>
          <w:p>
            <w:pPr>
              <w:pStyle w:val="TableParagraph"/>
              <w:numPr>
                <w:ilvl w:val="2"/>
                <w:numId w:val="90"/>
              </w:numPr>
              <w:tabs>
                <w:tab w:pos="715" w:val="left" w:leader="none"/>
              </w:tabs>
              <w:spacing w:line="168" w:lineRule="exact" w:before="0" w:after="0"/>
              <w:ind w:left="715" w:right="0" w:hanging="220"/>
              <w:jc w:val="left"/>
              <w:rPr>
                <w:sz w:val="15"/>
              </w:rPr>
            </w:pPr>
            <w:r>
              <w:rPr>
                <w:color w:val="231F20"/>
                <w:spacing w:val="-2"/>
                <w:sz w:val="15"/>
              </w:rPr>
              <w:t>Surfing</w:t>
            </w:r>
          </w:p>
          <w:p>
            <w:pPr>
              <w:pStyle w:val="TableParagraph"/>
              <w:numPr>
                <w:ilvl w:val="1"/>
                <w:numId w:val="90"/>
              </w:numPr>
              <w:tabs>
                <w:tab w:pos="494" w:val="left" w:leader="none"/>
              </w:tabs>
              <w:spacing w:line="168" w:lineRule="exact" w:before="0" w:after="0"/>
              <w:ind w:left="494" w:right="0" w:hanging="204"/>
              <w:jc w:val="left"/>
              <w:rPr>
                <w:sz w:val="15"/>
              </w:rPr>
            </w:pPr>
            <w:r>
              <w:rPr>
                <w:color w:val="231F20"/>
                <w:spacing w:val="-2"/>
                <w:sz w:val="15"/>
              </w:rPr>
              <w:t>Atlantoaxial</w:t>
            </w:r>
            <w:r>
              <w:rPr>
                <w:color w:val="231F20"/>
                <w:spacing w:val="-8"/>
                <w:sz w:val="15"/>
              </w:rPr>
              <w:t> </w:t>
            </w:r>
            <w:r>
              <w:rPr>
                <w:color w:val="231F20"/>
                <w:spacing w:val="-2"/>
                <w:sz w:val="15"/>
              </w:rPr>
              <w:t>subluxation</w:t>
            </w:r>
          </w:p>
          <w:p>
            <w:pPr>
              <w:pStyle w:val="TableParagraph"/>
              <w:numPr>
                <w:ilvl w:val="2"/>
                <w:numId w:val="90"/>
              </w:numPr>
              <w:tabs>
                <w:tab w:pos="768" w:val="left" w:leader="none"/>
              </w:tabs>
              <w:spacing w:line="168" w:lineRule="exact" w:before="0" w:after="0"/>
              <w:ind w:left="768" w:right="0" w:hanging="202"/>
              <w:jc w:val="left"/>
              <w:rPr>
                <w:sz w:val="15"/>
              </w:rPr>
            </w:pPr>
            <w:r>
              <w:rPr>
                <w:color w:val="231F20"/>
                <w:sz w:val="15"/>
              </w:rPr>
              <w:t>Trisomy</w:t>
            </w:r>
            <w:r>
              <w:rPr>
                <w:color w:val="231F20"/>
                <w:spacing w:val="-10"/>
                <w:sz w:val="15"/>
              </w:rPr>
              <w:t> </w:t>
            </w:r>
            <w:r>
              <w:rPr>
                <w:color w:val="231F20"/>
                <w:spacing w:val="-5"/>
                <w:sz w:val="15"/>
              </w:rPr>
              <w:t>21</w:t>
            </w:r>
          </w:p>
          <w:p>
            <w:pPr>
              <w:pStyle w:val="TableParagraph"/>
              <w:numPr>
                <w:ilvl w:val="2"/>
                <w:numId w:val="90"/>
              </w:numPr>
              <w:tabs>
                <w:tab w:pos="769" w:val="left" w:leader="none"/>
              </w:tabs>
              <w:spacing w:line="168" w:lineRule="exact" w:before="0" w:after="0"/>
              <w:ind w:left="769" w:right="0" w:hanging="238"/>
              <w:jc w:val="left"/>
              <w:rPr>
                <w:sz w:val="15"/>
              </w:rPr>
            </w:pPr>
            <w:r>
              <w:rPr>
                <w:color w:val="231F20"/>
                <w:sz w:val="15"/>
              </w:rPr>
              <w:t>Mucopolysaccharidosis</w:t>
            </w:r>
            <w:r>
              <w:rPr>
                <w:color w:val="231F20"/>
                <w:spacing w:val="13"/>
                <w:sz w:val="15"/>
              </w:rPr>
              <w:t> </w:t>
            </w:r>
            <w:r>
              <w:rPr>
                <w:color w:val="231F20"/>
                <w:sz w:val="15"/>
              </w:rPr>
              <w:t>type</w:t>
            </w:r>
            <w:r>
              <w:rPr>
                <w:color w:val="231F20"/>
                <w:spacing w:val="13"/>
                <w:sz w:val="15"/>
              </w:rPr>
              <w:t> </w:t>
            </w:r>
            <w:r>
              <w:rPr>
                <w:color w:val="231F20"/>
                <w:spacing w:val="-5"/>
                <w:sz w:val="15"/>
              </w:rPr>
              <w:t>IV</w:t>
            </w:r>
          </w:p>
          <w:p>
            <w:pPr>
              <w:pStyle w:val="TableParagraph"/>
              <w:numPr>
                <w:ilvl w:val="2"/>
                <w:numId w:val="90"/>
              </w:numPr>
              <w:tabs>
                <w:tab w:pos="768" w:val="left" w:leader="none"/>
              </w:tabs>
              <w:spacing w:line="168" w:lineRule="exact" w:before="0" w:after="0"/>
              <w:ind w:left="768" w:right="0" w:hanging="273"/>
              <w:jc w:val="left"/>
              <w:rPr>
                <w:sz w:val="15"/>
              </w:rPr>
            </w:pPr>
            <w:r>
              <w:rPr>
                <w:color w:val="231F20"/>
                <w:sz w:val="15"/>
              </w:rPr>
              <w:t>Grisel</w:t>
            </w:r>
            <w:r>
              <w:rPr>
                <w:color w:val="231F20"/>
                <w:spacing w:val="-7"/>
                <w:sz w:val="15"/>
              </w:rPr>
              <w:t> </w:t>
            </w:r>
            <w:r>
              <w:rPr>
                <w:color w:val="231F20"/>
                <w:spacing w:val="-2"/>
                <w:sz w:val="15"/>
              </w:rPr>
              <w:t>syndrome</w:t>
            </w:r>
          </w:p>
          <w:p>
            <w:pPr>
              <w:pStyle w:val="TableParagraph"/>
              <w:numPr>
                <w:ilvl w:val="1"/>
                <w:numId w:val="90"/>
              </w:numPr>
              <w:tabs>
                <w:tab w:pos="495" w:val="left" w:leader="none"/>
              </w:tabs>
              <w:spacing w:line="168" w:lineRule="exact" w:before="0" w:after="0"/>
              <w:ind w:left="495" w:right="0" w:hanging="205"/>
              <w:jc w:val="left"/>
              <w:rPr>
                <w:sz w:val="15"/>
              </w:rPr>
            </w:pPr>
            <w:r>
              <w:rPr>
                <w:color w:val="231F20"/>
                <w:spacing w:val="-2"/>
                <w:sz w:val="15"/>
              </w:rPr>
              <w:t>Destructive</w:t>
            </w:r>
            <w:r>
              <w:rPr>
                <w:color w:val="231F20"/>
                <w:sz w:val="15"/>
              </w:rPr>
              <w:t> </w:t>
            </w:r>
            <w:r>
              <w:rPr>
                <w:color w:val="231F20"/>
                <w:spacing w:val="-2"/>
                <w:sz w:val="15"/>
              </w:rPr>
              <w:t>lesions</w:t>
            </w:r>
          </w:p>
          <w:p>
            <w:pPr>
              <w:pStyle w:val="TableParagraph"/>
              <w:numPr>
                <w:ilvl w:val="2"/>
                <w:numId w:val="90"/>
              </w:numPr>
              <w:tabs>
                <w:tab w:pos="768" w:val="left" w:leader="none"/>
              </w:tabs>
              <w:spacing w:line="168" w:lineRule="exact" w:before="0" w:after="0"/>
              <w:ind w:left="768" w:right="0" w:hanging="202"/>
              <w:jc w:val="left"/>
              <w:rPr>
                <w:sz w:val="15"/>
              </w:rPr>
            </w:pPr>
            <w:r>
              <w:rPr>
                <w:color w:val="231F20"/>
                <w:spacing w:val="-2"/>
                <w:sz w:val="15"/>
              </w:rPr>
              <w:t>Tuberculosis</w:t>
            </w:r>
          </w:p>
          <w:p>
            <w:pPr>
              <w:pStyle w:val="TableParagraph"/>
              <w:numPr>
                <w:ilvl w:val="2"/>
                <w:numId w:val="90"/>
              </w:numPr>
              <w:tabs>
                <w:tab w:pos="769" w:val="left" w:leader="none"/>
              </w:tabs>
              <w:spacing w:line="168" w:lineRule="exact" w:before="0" w:after="0"/>
              <w:ind w:left="769" w:right="0" w:hanging="238"/>
              <w:jc w:val="left"/>
              <w:rPr>
                <w:sz w:val="15"/>
              </w:rPr>
            </w:pPr>
            <w:r>
              <w:rPr>
                <w:color w:val="231F20"/>
                <w:spacing w:val="-2"/>
                <w:sz w:val="15"/>
              </w:rPr>
              <w:t>Lymphoma</w:t>
            </w:r>
          </w:p>
          <w:p>
            <w:pPr>
              <w:pStyle w:val="TableParagraph"/>
              <w:numPr>
                <w:ilvl w:val="2"/>
                <w:numId w:val="90"/>
              </w:numPr>
              <w:tabs>
                <w:tab w:pos="768" w:val="left" w:leader="none"/>
              </w:tabs>
              <w:spacing w:line="168" w:lineRule="exact" w:before="0" w:after="0"/>
              <w:ind w:left="768" w:right="0" w:hanging="273"/>
              <w:jc w:val="left"/>
              <w:rPr>
                <w:sz w:val="15"/>
              </w:rPr>
            </w:pPr>
            <w:r>
              <w:rPr>
                <w:color w:val="231F20"/>
                <w:sz w:val="15"/>
              </w:rPr>
              <w:t>Langerhans</w:t>
            </w:r>
            <w:r>
              <w:rPr>
                <w:color w:val="231F20"/>
                <w:spacing w:val="-7"/>
                <w:sz w:val="15"/>
              </w:rPr>
              <w:t> </w:t>
            </w:r>
            <w:r>
              <w:rPr>
                <w:color w:val="231F20"/>
                <w:sz w:val="15"/>
              </w:rPr>
              <w:t>cell</w:t>
            </w:r>
            <w:r>
              <w:rPr>
                <w:color w:val="231F20"/>
                <w:spacing w:val="-5"/>
                <w:sz w:val="15"/>
              </w:rPr>
              <w:t> </w:t>
            </w:r>
            <w:r>
              <w:rPr>
                <w:color w:val="231F20"/>
                <w:spacing w:val="-2"/>
                <w:sz w:val="15"/>
              </w:rPr>
              <w:t>histiocytosis</w:t>
            </w:r>
          </w:p>
          <w:p>
            <w:pPr>
              <w:pStyle w:val="TableParagraph"/>
              <w:numPr>
                <w:ilvl w:val="1"/>
                <w:numId w:val="90"/>
              </w:numPr>
              <w:tabs>
                <w:tab w:pos="494" w:val="left" w:leader="none"/>
              </w:tabs>
              <w:spacing w:line="168" w:lineRule="exact" w:before="0" w:after="0"/>
              <w:ind w:left="494" w:right="0" w:hanging="204"/>
              <w:jc w:val="left"/>
              <w:rPr>
                <w:sz w:val="15"/>
              </w:rPr>
            </w:pPr>
            <w:r>
              <w:rPr>
                <w:color w:val="231F20"/>
                <w:sz w:val="15"/>
              </w:rPr>
              <w:t>Scheuermann</w:t>
            </w:r>
            <w:r>
              <w:rPr>
                <w:color w:val="231F20"/>
                <w:spacing w:val="1"/>
                <w:sz w:val="15"/>
              </w:rPr>
              <w:t> </w:t>
            </w:r>
            <w:r>
              <w:rPr>
                <w:color w:val="231F20"/>
                <w:spacing w:val="-2"/>
                <w:sz w:val="15"/>
              </w:rPr>
              <w:t>disease</w:t>
            </w:r>
          </w:p>
          <w:p>
            <w:pPr>
              <w:pStyle w:val="TableParagraph"/>
              <w:numPr>
                <w:ilvl w:val="0"/>
                <w:numId w:val="90"/>
              </w:numPr>
              <w:tabs>
                <w:tab w:pos="288" w:val="left" w:leader="none"/>
              </w:tabs>
              <w:spacing w:line="168" w:lineRule="exact" w:before="0" w:after="0"/>
              <w:ind w:left="288" w:right="0" w:hanging="191"/>
              <w:jc w:val="left"/>
              <w:rPr>
                <w:sz w:val="15"/>
              </w:rPr>
            </w:pPr>
            <w:r>
              <w:rPr>
                <w:color w:val="231F20"/>
                <w:sz w:val="15"/>
              </w:rPr>
              <w:t>Epidural</w:t>
            </w:r>
            <w:r>
              <w:rPr>
                <w:color w:val="231F20"/>
                <w:spacing w:val="-5"/>
                <w:sz w:val="15"/>
              </w:rPr>
              <w:t> </w:t>
            </w:r>
            <w:r>
              <w:rPr>
                <w:color w:val="231F20"/>
                <w:spacing w:val="-2"/>
                <w:sz w:val="15"/>
              </w:rPr>
              <w:t>disease</w:t>
            </w:r>
          </w:p>
          <w:p>
            <w:pPr>
              <w:pStyle w:val="TableParagraph"/>
              <w:numPr>
                <w:ilvl w:val="1"/>
                <w:numId w:val="90"/>
              </w:numPr>
              <w:tabs>
                <w:tab w:pos="493" w:val="left" w:leader="none"/>
              </w:tabs>
              <w:spacing w:line="168" w:lineRule="exact" w:before="0" w:after="0"/>
              <w:ind w:left="493" w:right="0" w:hanging="204"/>
              <w:jc w:val="left"/>
              <w:rPr>
                <w:sz w:val="15"/>
              </w:rPr>
            </w:pPr>
            <w:r>
              <w:rPr>
                <w:color w:val="231F20"/>
                <w:spacing w:val="-2"/>
                <w:sz w:val="15"/>
              </w:rPr>
              <w:t>Tumor</w:t>
            </w:r>
          </w:p>
          <w:p>
            <w:pPr>
              <w:pStyle w:val="TableParagraph"/>
              <w:numPr>
                <w:ilvl w:val="2"/>
                <w:numId w:val="90"/>
              </w:numPr>
              <w:tabs>
                <w:tab w:pos="768" w:val="left" w:leader="none"/>
              </w:tabs>
              <w:spacing w:line="168" w:lineRule="exact" w:before="0" w:after="0"/>
              <w:ind w:left="768" w:right="0" w:hanging="202"/>
              <w:jc w:val="left"/>
              <w:rPr>
                <w:sz w:val="15"/>
              </w:rPr>
            </w:pPr>
            <w:r>
              <w:rPr>
                <w:color w:val="231F20"/>
                <w:spacing w:val="-2"/>
                <w:sz w:val="15"/>
              </w:rPr>
              <w:t>Neuroblastoma</w:t>
            </w:r>
          </w:p>
          <w:p>
            <w:pPr>
              <w:pStyle w:val="TableParagraph"/>
              <w:numPr>
                <w:ilvl w:val="2"/>
                <w:numId w:val="90"/>
              </w:numPr>
              <w:tabs>
                <w:tab w:pos="769" w:val="left" w:leader="none"/>
              </w:tabs>
              <w:spacing w:line="168" w:lineRule="exact" w:before="0" w:after="0"/>
              <w:ind w:left="769" w:right="0" w:hanging="238"/>
              <w:jc w:val="left"/>
              <w:rPr>
                <w:sz w:val="15"/>
              </w:rPr>
            </w:pPr>
            <w:r>
              <w:rPr>
                <w:color w:val="231F20"/>
                <w:sz w:val="15"/>
              </w:rPr>
              <w:t>Wilms</w:t>
            </w:r>
            <w:r>
              <w:rPr>
                <w:color w:val="231F20"/>
                <w:spacing w:val="1"/>
                <w:sz w:val="15"/>
              </w:rPr>
              <w:t> </w:t>
            </w:r>
            <w:r>
              <w:rPr>
                <w:color w:val="231F20"/>
                <w:spacing w:val="-2"/>
                <w:sz w:val="15"/>
              </w:rPr>
              <w:t>tumor</w:t>
            </w:r>
          </w:p>
          <w:p>
            <w:pPr>
              <w:pStyle w:val="TableParagraph"/>
              <w:numPr>
                <w:ilvl w:val="2"/>
                <w:numId w:val="90"/>
              </w:numPr>
              <w:tabs>
                <w:tab w:pos="768" w:val="left" w:leader="none"/>
              </w:tabs>
              <w:spacing w:line="168" w:lineRule="exact" w:before="0" w:after="0"/>
              <w:ind w:left="768" w:right="0" w:hanging="273"/>
              <w:jc w:val="left"/>
              <w:rPr>
                <w:sz w:val="15"/>
              </w:rPr>
            </w:pPr>
            <w:r>
              <w:rPr>
                <w:color w:val="231F20"/>
                <w:sz w:val="15"/>
              </w:rPr>
              <w:t>Ewing</w:t>
            </w:r>
            <w:r>
              <w:rPr>
                <w:color w:val="231F20"/>
                <w:spacing w:val="8"/>
                <w:sz w:val="15"/>
              </w:rPr>
              <w:t> </w:t>
            </w:r>
            <w:r>
              <w:rPr>
                <w:color w:val="231F20"/>
                <w:spacing w:val="-2"/>
                <w:sz w:val="15"/>
              </w:rPr>
              <w:t>sarcoma</w:t>
            </w:r>
          </w:p>
          <w:p>
            <w:pPr>
              <w:pStyle w:val="TableParagraph"/>
              <w:numPr>
                <w:ilvl w:val="1"/>
                <w:numId w:val="90"/>
              </w:numPr>
              <w:tabs>
                <w:tab w:pos="493" w:val="left" w:leader="none"/>
              </w:tabs>
              <w:spacing w:line="168" w:lineRule="exact" w:before="0" w:after="0"/>
              <w:ind w:left="493" w:right="0" w:hanging="204"/>
              <w:jc w:val="left"/>
              <w:rPr>
                <w:sz w:val="15"/>
              </w:rPr>
            </w:pPr>
            <w:r>
              <w:rPr>
                <w:color w:val="231F20"/>
                <w:spacing w:val="-2"/>
                <w:w w:val="105"/>
                <w:sz w:val="15"/>
              </w:rPr>
              <w:t>Abscess</w:t>
            </w:r>
          </w:p>
          <w:p>
            <w:pPr>
              <w:pStyle w:val="TableParagraph"/>
              <w:numPr>
                <w:ilvl w:val="2"/>
                <w:numId w:val="90"/>
              </w:numPr>
              <w:tabs>
                <w:tab w:pos="768" w:val="left" w:leader="none"/>
              </w:tabs>
              <w:spacing w:line="168" w:lineRule="exact" w:before="0" w:after="0"/>
              <w:ind w:left="768" w:right="0" w:hanging="202"/>
              <w:jc w:val="left"/>
              <w:rPr>
                <w:sz w:val="15"/>
              </w:rPr>
            </w:pPr>
            <w:r>
              <w:rPr>
                <w:color w:val="231F20"/>
                <w:sz w:val="15"/>
              </w:rPr>
              <w:t>Associated</w:t>
            </w:r>
            <w:r>
              <w:rPr>
                <w:color w:val="231F20"/>
                <w:spacing w:val="-7"/>
                <w:sz w:val="15"/>
              </w:rPr>
              <w:t> </w:t>
            </w:r>
            <w:r>
              <w:rPr>
                <w:color w:val="231F20"/>
                <w:sz w:val="15"/>
              </w:rPr>
              <w:t>dermal</w:t>
            </w:r>
            <w:r>
              <w:rPr>
                <w:color w:val="231F20"/>
                <w:spacing w:val="-6"/>
                <w:sz w:val="15"/>
              </w:rPr>
              <w:t> </w:t>
            </w:r>
            <w:r>
              <w:rPr>
                <w:color w:val="231F20"/>
                <w:sz w:val="15"/>
              </w:rPr>
              <w:t>sinus,</w:t>
            </w:r>
            <w:r>
              <w:rPr>
                <w:color w:val="231F20"/>
                <w:spacing w:val="-6"/>
                <w:sz w:val="15"/>
              </w:rPr>
              <w:t> </w:t>
            </w:r>
            <w:r>
              <w:rPr>
                <w:color w:val="231F20"/>
                <w:sz w:val="15"/>
              </w:rPr>
              <w:t>vertebral</w:t>
            </w:r>
            <w:r>
              <w:rPr>
                <w:color w:val="231F20"/>
                <w:spacing w:val="-6"/>
                <w:sz w:val="15"/>
              </w:rPr>
              <w:t> </w:t>
            </w:r>
            <w:r>
              <w:rPr>
                <w:color w:val="231F20"/>
                <w:sz w:val="15"/>
              </w:rPr>
              <w:t>body</w:t>
            </w:r>
            <w:r>
              <w:rPr>
                <w:color w:val="231F20"/>
                <w:spacing w:val="-6"/>
                <w:sz w:val="15"/>
              </w:rPr>
              <w:t> </w:t>
            </w:r>
            <w:r>
              <w:rPr>
                <w:color w:val="231F20"/>
                <w:spacing w:val="-2"/>
                <w:sz w:val="15"/>
              </w:rPr>
              <w:t>infection</w:t>
            </w:r>
          </w:p>
          <w:p>
            <w:pPr>
              <w:pStyle w:val="TableParagraph"/>
              <w:numPr>
                <w:ilvl w:val="1"/>
                <w:numId w:val="90"/>
              </w:numPr>
              <w:tabs>
                <w:tab w:pos="205" w:val="left" w:leader="none"/>
              </w:tabs>
              <w:spacing w:line="168" w:lineRule="exact" w:before="0" w:after="0"/>
              <w:ind w:left="205" w:right="3653" w:hanging="205"/>
              <w:jc w:val="right"/>
              <w:rPr>
                <w:sz w:val="15"/>
              </w:rPr>
            </w:pPr>
            <w:r>
              <w:rPr>
                <w:color w:val="231F20"/>
                <w:spacing w:val="-2"/>
                <w:sz w:val="15"/>
              </w:rPr>
              <w:t>Hematoma</w:t>
            </w:r>
          </w:p>
          <w:p>
            <w:pPr>
              <w:pStyle w:val="TableParagraph"/>
              <w:numPr>
                <w:ilvl w:val="0"/>
                <w:numId w:val="90"/>
              </w:numPr>
              <w:tabs>
                <w:tab w:pos="191" w:val="left" w:leader="none"/>
              </w:tabs>
              <w:spacing w:line="168" w:lineRule="exact" w:before="0" w:after="0"/>
              <w:ind w:left="191" w:right="3729" w:hanging="191"/>
              <w:jc w:val="right"/>
              <w:rPr>
                <w:sz w:val="15"/>
              </w:rPr>
            </w:pPr>
            <w:r>
              <w:rPr>
                <w:color w:val="231F20"/>
                <w:spacing w:val="-2"/>
                <w:sz w:val="15"/>
              </w:rPr>
              <w:t>Arachnoiditis</w:t>
            </w:r>
          </w:p>
          <w:p>
            <w:pPr>
              <w:pStyle w:val="TableParagraph"/>
              <w:numPr>
                <w:ilvl w:val="1"/>
                <w:numId w:val="90"/>
              </w:numPr>
              <w:tabs>
                <w:tab w:pos="204" w:val="left" w:leader="none"/>
              </w:tabs>
              <w:spacing w:line="168" w:lineRule="exact" w:before="0" w:after="0"/>
              <w:ind w:left="204" w:right="3557" w:hanging="204"/>
              <w:jc w:val="right"/>
              <w:rPr>
                <w:sz w:val="15"/>
              </w:rPr>
            </w:pPr>
            <w:r>
              <w:rPr>
                <w:color w:val="231F20"/>
                <w:spacing w:val="-2"/>
                <w:sz w:val="15"/>
              </w:rPr>
              <w:t>Tuberculosis</w:t>
            </w:r>
          </w:p>
          <w:p>
            <w:pPr>
              <w:pStyle w:val="TableParagraph"/>
              <w:numPr>
                <w:ilvl w:val="1"/>
                <w:numId w:val="90"/>
              </w:numPr>
              <w:tabs>
                <w:tab w:pos="493" w:val="left" w:leader="none"/>
              </w:tabs>
              <w:spacing w:line="168" w:lineRule="exact" w:before="0" w:after="0"/>
              <w:ind w:left="493" w:right="0" w:hanging="204"/>
              <w:jc w:val="left"/>
              <w:rPr>
                <w:sz w:val="15"/>
              </w:rPr>
            </w:pPr>
            <w:r>
              <w:rPr>
                <w:color w:val="231F20"/>
                <w:spacing w:val="-2"/>
                <w:sz w:val="15"/>
              </w:rPr>
              <w:t>Cryptococcosis</w:t>
            </w:r>
          </w:p>
          <w:p>
            <w:pPr>
              <w:pStyle w:val="TableParagraph"/>
              <w:numPr>
                <w:ilvl w:val="1"/>
                <w:numId w:val="90"/>
              </w:numPr>
              <w:tabs>
                <w:tab w:pos="494" w:val="left" w:leader="none"/>
              </w:tabs>
              <w:spacing w:line="168" w:lineRule="exact" w:before="0" w:after="0"/>
              <w:ind w:left="494" w:right="0" w:hanging="205"/>
              <w:jc w:val="left"/>
              <w:rPr>
                <w:sz w:val="15"/>
              </w:rPr>
            </w:pPr>
            <w:r>
              <w:rPr>
                <w:color w:val="231F20"/>
                <w:sz w:val="15"/>
              </w:rPr>
              <w:t>Carcinomatous</w:t>
            </w:r>
            <w:r>
              <w:rPr>
                <w:color w:val="231F20"/>
                <w:spacing w:val="1"/>
                <w:sz w:val="15"/>
              </w:rPr>
              <w:t> </w:t>
            </w:r>
            <w:r>
              <w:rPr>
                <w:color w:val="231F20"/>
                <w:spacing w:val="-2"/>
                <w:sz w:val="15"/>
              </w:rPr>
              <w:t>infiltration</w:t>
            </w:r>
          </w:p>
          <w:p>
            <w:pPr>
              <w:pStyle w:val="TableParagraph"/>
              <w:numPr>
                <w:ilvl w:val="0"/>
                <w:numId w:val="90"/>
              </w:numPr>
              <w:tabs>
                <w:tab w:pos="288" w:val="left" w:leader="none"/>
              </w:tabs>
              <w:spacing w:line="168" w:lineRule="exact" w:before="0" w:after="0"/>
              <w:ind w:left="288" w:right="0" w:hanging="191"/>
              <w:jc w:val="left"/>
              <w:rPr>
                <w:sz w:val="15"/>
              </w:rPr>
            </w:pPr>
            <w:r>
              <w:rPr>
                <w:color w:val="231F20"/>
                <w:sz w:val="15"/>
              </w:rPr>
              <w:t>Spinal</w:t>
            </w:r>
            <w:r>
              <w:rPr>
                <w:color w:val="231F20"/>
                <w:spacing w:val="-4"/>
                <w:sz w:val="15"/>
              </w:rPr>
              <w:t> </w:t>
            </w:r>
            <w:r>
              <w:rPr>
                <w:color w:val="231F20"/>
                <w:sz w:val="15"/>
              </w:rPr>
              <w:t>nerve</w:t>
            </w:r>
            <w:r>
              <w:rPr>
                <w:color w:val="231F20"/>
                <w:spacing w:val="-4"/>
                <w:sz w:val="15"/>
              </w:rPr>
              <w:t> </w:t>
            </w:r>
            <w:r>
              <w:rPr>
                <w:color w:val="231F20"/>
                <w:sz w:val="15"/>
              </w:rPr>
              <w:t>root</w:t>
            </w:r>
            <w:r>
              <w:rPr>
                <w:color w:val="231F20"/>
                <w:spacing w:val="-4"/>
                <w:sz w:val="15"/>
              </w:rPr>
              <w:t> </w:t>
            </w:r>
            <w:r>
              <w:rPr>
                <w:color w:val="231F20"/>
                <w:spacing w:val="-2"/>
                <w:sz w:val="15"/>
              </w:rPr>
              <w:t>inflammation</w:t>
            </w:r>
          </w:p>
          <w:p>
            <w:pPr>
              <w:pStyle w:val="TableParagraph"/>
              <w:numPr>
                <w:ilvl w:val="1"/>
                <w:numId w:val="90"/>
              </w:numPr>
              <w:tabs>
                <w:tab w:pos="493" w:val="left" w:leader="none"/>
              </w:tabs>
              <w:spacing w:line="171" w:lineRule="exact" w:before="0" w:after="0"/>
              <w:ind w:left="493" w:right="0" w:hanging="204"/>
              <w:jc w:val="left"/>
              <w:rPr>
                <w:sz w:val="15"/>
              </w:rPr>
            </w:pPr>
            <w:r>
              <w:rPr>
                <w:color w:val="231F20"/>
                <w:spacing w:val="-2"/>
                <w:sz w:val="15"/>
              </w:rPr>
              <w:t>Guillain-Barré</w:t>
            </w:r>
            <w:r>
              <w:rPr>
                <w:color w:val="231F20"/>
                <w:spacing w:val="-9"/>
                <w:sz w:val="15"/>
              </w:rPr>
              <w:t> </w:t>
            </w:r>
            <w:r>
              <w:rPr>
                <w:color w:val="231F20"/>
                <w:spacing w:val="-2"/>
                <w:sz w:val="15"/>
              </w:rPr>
              <w:t>syndrome</w:t>
            </w:r>
          </w:p>
        </w:tc>
        <w:tc>
          <w:tcPr>
            <w:tcW w:w="4882" w:type="dxa"/>
            <w:tcBorders>
              <w:top w:val="single" w:sz="4" w:space="0" w:color="FFFFFF"/>
              <w:left w:val="single" w:sz="4" w:space="0" w:color="231F20"/>
              <w:bottom w:val="single" w:sz="8" w:space="0" w:color="231F20"/>
            </w:tcBorders>
            <w:shd w:val="clear" w:color="auto" w:fill="E8F5F1"/>
          </w:tcPr>
          <w:p>
            <w:pPr>
              <w:pStyle w:val="TableParagraph"/>
              <w:spacing w:line="172" w:lineRule="exact" w:before="43"/>
              <w:ind w:left="69"/>
              <w:rPr>
                <w:sz w:val="15"/>
              </w:rPr>
            </w:pPr>
            <w:r>
              <w:rPr>
                <w:color w:val="231F20"/>
                <w:w w:val="115"/>
                <w:sz w:val="15"/>
              </w:rPr>
              <w:t>SPINAL</w:t>
            </w:r>
            <w:r>
              <w:rPr>
                <w:color w:val="231F20"/>
                <w:spacing w:val="-8"/>
                <w:w w:val="115"/>
                <w:sz w:val="15"/>
              </w:rPr>
              <w:t> </w:t>
            </w:r>
            <w:r>
              <w:rPr>
                <w:color w:val="231F20"/>
                <w:w w:val="115"/>
                <w:sz w:val="15"/>
              </w:rPr>
              <w:t>CORD</w:t>
            </w:r>
            <w:r>
              <w:rPr>
                <w:color w:val="231F20"/>
                <w:spacing w:val="-8"/>
                <w:w w:val="115"/>
                <w:sz w:val="15"/>
              </w:rPr>
              <w:t> </w:t>
            </w:r>
            <w:r>
              <w:rPr>
                <w:color w:val="231F20"/>
                <w:spacing w:val="-2"/>
                <w:w w:val="115"/>
                <w:sz w:val="15"/>
              </w:rPr>
              <w:t>DISORDERS</w:t>
            </w:r>
          </w:p>
          <w:p>
            <w:pPr>
              <w:pStyle w:val="TableParagraph"/>
              <w:numPr>
                <w:ilvl w:val="0"/>
                <w:numId w:val="91"/>
              </w:numPr>
              <w:tabs>
                <w:tab w:pos="260" w:val="left" w:leader="none"/>
              </w:tabs>
              <w:spacing w:line="169" w:lineRule="exact" w:before="0" w:after="0"/>
              <w:ind w:left="260" w:right="0" w:hanging="191"/>
              <w:jc w:val="left"/>
              <w:rPr>
                <w:sz w:val="15"/>
              </w:rPr>
            </w:pPr>
            <w:r>
              <w:rPr>
                <w:color w:val="231F20"/>
                <w:sz w:val="15"/>
              </w:rPr>
              <w:t>Congenital</w:t>
            </w:r>
            <w:r>
              <w:rPr>
                <w:color w:val="231F20"/>
                <w:spacing w:val="15"/>
                <w:sz w:val="15"/>
              </w:rPr>
              <w:t> </w:t>
            </w:r>
            <w:r>
              <w:rPr>
                <w:color w:val="231F20"/>
                <w:spacing w:val="-2"/>
                <w:sz w:val="15"/>
              </w:rPr>
              <w:t>malformation</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pacing w:val="-2"/>
                <w:sz w:val="15"/>
              </w:rPr>
              <w:t>Neurenteric</w:t>
            </w:r>
            <w:r>
              <w:rPr>
                <w:color w:val="231F20"/>
                <w:spacing w:val="7"/>
                <w:sz w:val="15"/>
              </w:rPr>
              <w:t> </w:t>
            </w:r>
            <w:r>
              <w:rPr>
                <w:color w:val="231F20"/>
                <w:spacing w:val="-2"/>
                <w:sz w:val="15"/>
              </w:rPr>
              <w:t>cysts</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z w:val="15"/>
              </w:rPr>
              <w:t>Spinal</w:t>
            </w:r>
            <w:r>
              <w:rPr>
                <w:color w:val="231F20"/>
                <w:spacing w:val="2"/>
                <w:sz w:val="15"/>
              </w:rPr>
              <w:t> </w:t>
            </w:r>
            <w:r>
              <w:rPr>
                <w:color w:val="231F20"/>
                <w:sz w:val="15"/>
              </w:rPr>
              <w:t>cord</w:t>
            </w:r>
            <w:r>
              <w:rPr>
                <w:color w:val="231F20"/>
                <w:spacing w:val="2"/>
                <w:sz w:val="15"/>
              </w:rPr>
              <w:t> </w:t>
            </w:r>
            <w:r>
              <w:rPr>
                <w:color w:val="231F20"/>
                <w:spacing w:val="-2"/>
                <w:sz w:val="15"/>
              </w:rPr>
              <w:t>tethering</w:t>
            </w:r>
          </w:p>
          <w:p>
            <w:pPr>
              <w:pStyle w:val="TableParagraph"/>
              <w:numPr>
                <w:ilvl w:val="0"/>
                <w:numId w:val="91"/>
              </w:numPr>
              <w:tabs>
                <w:tab w:pos="260" w:val="left" w:leader="none"/>
              </w:tabs>
              <w:spacing w:line="168" w:lineRule="exact" w:before="0" w:after="0"/>
              <w:ind w:left="260" w:right="0" w:hanging="191"/>
              <w:jc w:val="left"/>
              <w:rPr>
                <w:sz w:val="15"/>
              </w:rPr>
            </w:pPr>
            <w:r>
              <w:rPr>
                <w:color w:val="231F20"/>
                <w:spacing w:val="-2"/>
                <w:sz w:val="15"/>
              </w:rPr>
              <w:t>Infection</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z w:val="15"/>
              </w:rPr>
              <w:t>Nonpolio</w:t>
            </w:r>
            <w:r>
              <w:rPr>
                <w:color w:val="231F20"/>
                <w:spacing w:val="36"/>
                <w:sz w:val="15"/>
              </w:rPr>
              <w:t> </w:t>
            </w:r>
            <w:r>
              <w:rPr>
                <w:color w:val="231F20"/>
                <w:spacing w:val="-2"/>
                <w:sz w:val="15"/>
              </w:rPr>
              <w:t>enteroviruses</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z w:val="15"/>
              </w:rPr>
              <w:t>West</w:t>
            </w:r>
            <w:r>
              <w:rPr>
                <w:color w:val="231F20"/>
                <w:spacing w:val="6"/>
                <w:sz w:val="15"/>
              </w:rPr>
              <w:t> </w:t>
            </w:r>
            <w:r>
              <w:rPr>
                <w:color w:val="231F20"/>
                <w:sz w:val="15"/>
              </w:rPr>
              <w:t>Nile</w:t>
            </w:r>
            <w:r>
              <w:rPr>
                <w:color w:val="231F20"/>
                <w:spacing w:val="7"/>
                <w:sz w:val="15"/>
              </w:rPr>
              <w:t> </w:t>
            </w:r>
            <w:r>
              <w:rPr>
                <w:color w:val="231F20"/>
                <w:spacing w:val="-2"/>
                <w:sz w:val="15"/>
              </w:rPr>
              <w:t>virus</w:t>
            </w:r>
          </w:p>
          <w:p>
            <w:pPr>
              <w:pStyle w:val="TableParagraph"/>
              <w:numPr>
                <w:ilvl w:val="1"/>
                <w:numId w:val="91"/>
              </w:numPr>
              <w:tabs>
                <w:tab w:pos="466" w:val="left" w:leader="none"/>
              </w:tabs>
              <w:spacing w:line="168" w:lineRule="exact" w:before="0" w:after="0"/>
              <w:ind w:left="466" w:right="0" w:hanging="205"/>
              <w:jc w:val="left"/>
              <w:rPr>
                <w:sz w:val="15"/>
              </w:rPr>
            </w:pPr>
            <w:r>
              <w:rPr>
                <w:color w:val="231F20"/>
                <w:sz w:val="15"/>
              </w:rPr>
              <w:t>Human</w:t>
            </w:r>
            <w:r>
              <w:rPr>
                <w:color w:val="231F20"/>
                <w:spacing w:val="-9"/>
                <w:sz w:val="15"/>
              </w:rPr>
              <w:t> </w:t>
            </w:r>
            <w:r>
              <w:rPr>
                <w:color w:val="231F20"/>
                <w:sz w:val="15"/>
              </w:rPr>
              <w:t>T-lymphocyte</w:t>
            </w:r>
            <w:r>
              <w:rPr>
                <w:color w:val="231F20"/>
                <w:spacing w:val="-8"/>
                <w:sz w:val="15"/>
              </w:rPr>
              <w:t> </w:t>
            </w:r>
            <w:r>
              <w:rPr>
                <w:color w:val="231F20"/>
                <w:sz w:val="15"/>
              </w:rPr>
              <w:t>virus</w:t>
            </w:r>
            <w:r>
              <w:rPr>
                <w:color w:val="231F20"/>
                <w:spacing w:val="-9"/>
                <w:sz w:val="15"/>
              </w:rPr>
              <w:t> </w:t>
            </w:r>
            <w:r>
              <w:rPr>
                <w:color w:val="231F20"/>
                <w:spacing w:val="-10"/>
                <w:sz w:val="15"/>
              </w:rPr>
              <w:t>1</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pacing w:val="-2"/>
                <w:sz w:val="15"/>
              </w:rPr>
              <w:t>Neurocysticercosis</w:t>
            </w:r>
          </w:p>
          <w:p>
            <w:pPr>
              <w:pStyle w:val="TableParagraph"/>
              <w:numPr>
                <w:ilvl w:val="0"/>
                <w:numId w:val="91"/>
              </w:numPr>
              <w:tabs>
                <w:tab w:pos="259" w:val="left" w:leader="none"/>
              </w:tabs>
              <w:spacing w:line="168" w:lineRule="exact" w:before="0" w:after="0"/>
              <w:ind w:left="259" w:right="0" w:hanging="191"/>
              <w:jc w:val="left"/>
              <w:rPr>
                <w:sz w:val="15"/>
              </w:rPr>
            </w:pPr>
            <w:r>
              <w:rPr>
                <w:color w:val="231F20"/>
                <w:spacing w:val="-2"/>
                <w:sz w:val="15"/>
              </w:rPr>
              <w:t>Vascular</w:t>
            </w:r>
            <w:r>
              <w:rPr>
                <w:color w:val="231F20"/>
                <w:spacing w:val="-6"/>
                <w:sz w:val="15"/>
              </w:rPr>
              <w:t> </w:t>
            </w:r>
            <w:r>
              <w:rPr>
                <w:color w:val="231F20"/>
                <w:spacing w:val="-2"/>
                <w:sz w:val="15"/>
              </w:rPr>
              <w:t>disorders</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z w:val="15"/>
              </w:rPr>
              <w:t>Arteriovenous</w:t>
            </w:r>
            <w:r>
              <w:rPr>
                <w:color w:val="231F20"/>
                <w:spacing w:val="-9"/>
                <w:sz w:val="15"/>
              </w:rPr>
              <w:t> </w:t>
            </w:r>
            <w:r>
              <w:rPr>
                <w:color w:val="231F20"/>
                <w:spacing w:val="-2"/>
                <w:sz w:val="15"/>
              </w:rPr>
              <w:t>malformation</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pacing w:val="-2"/>
                <w:sz w:val="15"/>
              </w:rPr>
              <w:t>Cavernomas</w:t>
            </w:r>
          </w:p>
          <w:p>
            <w:pPr>
              <w:pStyle w:val="TableParagraph"/>
              <w:numPr>
                <w:ilvl w:val="1"/>
                <w:numId w:val="91"/>
              </w:numPr>
              <w:tabs>
                <w:tab w:pos="466" w:val="left" w:leader="none"/>
              </w:tabs>
              <w:spacing w:line="168" w:lineRule="exact" w:before="0" w:after="0"/>
              <w:ind w:left="466" w:right="0" w:hanging="205"/>
              <w:jc w:val="left"/>
              <w:rPr>
                <w:sz w:val="15"/>
              </w:rPr>
            </w:pPr>
            <w:r>
              <w:rPr>
                <w:color w:val="231F20"/>
                <w:w w:val="105"/>
                <w:sz w:val="15"/>
              </w:rPr>
              <w:t>Cobb</w:t>
            </w:r>
            <w:r>
              <w:rPr>
                <w:color w:val="231F20"/>
                <w:spacing w:val="18"/>
                <w:w w:val="105"/>
                <w:sz w:val="15"/>
              </w:rPr>
              <w:t> </w:t>
            </w:r>
            <w:r>
              <w:rPr>
                <w:color w:val="231F20"/>
                <w:spacing w:val="-2"/>
                <w:w w:val="105"/>
                <w:sz w:val="15"/>
              </w:rPr>
              <w:t>syndrome</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pacing w:val="-2"/>
                <w:sz w:val="15"/>
              </w:rPr>
              <w:t>Fibrocartilaginous</w:t>
            </w:r>
            <w:r>
              <w:rPr>
                <w:color w:val="231F20"/>
                <w:spacing w:val="12"/>
                <w:sz w:val="15"/>
              </w:rPr>
              <w:t> </w:t>
            </w:r>
            <w:r>
              <w:rPr>
                <w:color w:val="231F20"/>
                <w:spacing w:val="-2"/>
                <w:sz w:val="15"/>
              </w:rPr>
              <w:t>embolization</w:t>
            </w:r>
          </w:p>
          <w:p>
            <w:pPr>
              <w:pStyle w:val="TableParagraph"/>
              <w:numPr>
                <w:ilvl w:val="1"/>
                <w:numId w:val="91"/>
              </w:numPr>
              <w:tabs>
                <w:tab w:pos="466" w:val="left" w:leader="none"/>
              </w:tabs>
              <w:spacing w:line="168" w:lineRule="exact" w:before="0" w:after="0"/>
              <w:ind w:left="466" w:right="0" w:hanging="205"/>
              <w:jc w:val="left"/>
              <w:rPr>
                <w:sz w:val="15"/>
              </w:rPr>
            </w:pPr>
            <w:r>
              <w:rPr>
                <w:color w:val="231F20"/>
                <w:sz w:val="15"/>
              </w:rPr>
              <w:t>Spinal</w:t>
            </w:r>
            <w:r>
              <w:rPr>
                <w:color w:val="231F20"/>
                <w:spacing w:val="2"/>
                <w:sz w:val="15"/>
              </w:rPr>
              <w:t> </w:t>
            </w:r>
            <w:r>
              <w:rPr>
                <w:color w:val="231F20"/>
                <w:sz w:val="15"/>
              </w:rPr>
              <w:t>cord</w:t>
            </w:r>
            <w:r>
              <w:rPr>
                <w:color w:val="231F20"/>
                <w:spacing w:val="2"/>
                <w:sz w:val="15"/>
              </w:rPr>
              <w:t> </w:t>
            </w:r>
            <w:r>
              <w:rPr>
                <w:color w:val="231F20"/>
                <w:spacing w:val="-2"/>
                <w:sz w:val="15"/>
              </w:rPr>
              <w:t>infarction</w:t>
            </w:r>
          </w:p>
          <w:p>
            <w:pPr>
              <w:pStyle w:val="TableParagraph"/>
              <w:numPr>
                <w:ilvl w:val="0"/>
                <w:numId w:val="91"/>
              </w:numPr>
              <w:tabs>
                <w:tab w:pos="259" w:val="left" w:leader="none"/>
              </w:tabs>
              <w:spacing w:line="168" w:lineRule="exact" w:before="0" w:after="0"/>
              <w:ind w:left="259" w:right="0" w:hanging="191"/>
              <w:jc w:val="left"/>
              <w:rPr>
                <w:sz w:val="15"/>
              </w:rPr>
            </w:pPr>
            <w:r>
              <w:rPr>
                <w:color w:val="231F20"/>
                <w:spacing w:val="-2"/>
                <w:sz w:val="15"/>
              </w:rPr>
              <w:t>Vasculitis</w:t>
            </w:r>
          </w:p>
          <w:p>
            <w:pPr>
              <w:pStyle w:val="TableParagraph"/>
              <w:numPr>
                <w:ilvl w:val="1"/>
                <w:numId w:val="91"/>
              </w:numPr>
              <w:tabs>
                <w:tab w:pos="464" w:val="left" w:leader="none"/>
              </w:tabs>
              <w:spacing w:line="168" w:lineRule="exact" w:before="0" w:after="0"/>
              <w:ind w:left="464" w:right="0" w:hanging="204"/>
              <w:jc w:val="left"/>
              <w:rPr>
                <w:sz w:val="15"/>
              </w:rPr>
            </w:pPr>
            <w:r>
              <w:rPr>
                <w:color w:val="231F20"/>
                <w:sz w:val="15"/>
              </w:rPr>
              <w:t>Systemic</w:t>
            </w:r>
            <w:r>
              <w:rPr>
                <w:color w:val="231F20"/>
                <w:spacing w:val="-4"/>
                <w:sz w:val="15"/>
              </w:rPr>
              <w:t> </w:t>
            </w:r>
            <w:r>
              <w:rPr>
                <w:color w:val="231F20"/>
                <w:sz w:val="15"/>
              </w:rPr>
              <w:t>lupus</w:t>
            </w:r>
            <w:r>
              <w:rPr>
                <w:color w:val="231F20"/>
                <w:spacing w:val="-3"/>
                <w:sz w:val="15"/>
              </w:rPr>
              <w:t> </w:t>
            </w:r>
            <w:r>
              <w:rPr>
                <w:color w:val="231F20"/>
                <w:spacing w:val="-2"/>
                <w:sz w:val="15"/>
              </w:rPr>
              <w:t>erythematosus</w:t>
            </w:r>
          </w:p>
          <w:p>
            <w:pPr>
              <w:pStyle w:val="TableParagraph"/>
              <w:numPr>
                <w:ilvl w:val="1"/>
                <w:numId w:val="91"/>
              </w:numPr>
              <w:tabs>
                <w:tab w:pos="464" w:val="left" w:leader="none"/>
              </w:tabs>
              <w:spacing w:line="168" w:lineRule="exact" w:before="0" w:after="0"/>
              <w:ind w:left="464" w:right="0" w:hanging="204"/>
              <w:jc w:val="left"/>
              <w:rPr>
                <w:sz w:val="15"/>
              </w:rPr>
            </w:pPr>
            <w:r>
              <w:rPr>
                <w:color w:val="231F20"/>
                <w:sz w:val="15"/>
              </w:rPr>
              <w:t>Behçet</w:t>
            </w:r>
            <w:r>
              <w:rPr>
                <w:color w:val="231F20"/>
                <w:spacing w:val="1"/>
                <w:sz w:val="15"/>
              </w:rPr>
              <w:t> </w:t>
            </w:r>
            <w:r>
              <w:rPr>
                <w:color w:val="231F20"/>
                <w:spacing w:val="-2"/>
                <w:sz w:val="15"/>
              </w:rPr>
              <w:t>disease</w:t>
            </w:r>
          </w:p>
          <w:p>
            <w:pPr>
              <w:pStyle w:val="TableParagraph"/>
              <w:numPr>
                <w:ilvl w:val="0"/>
                <w:numId w:val="91"/>
              </w:numPr>
              <w:tabs>
                <w:tab w:pos="259" w:val="left" w:leader="none"/>
              </w:tabs>
              <w:spacing w:line="168" w:lineRule="exact" w:before="0" w:after="0"/>
              <w:ind w:left="259" w:right="0" w:hanging="191"/>
              <w:jc w:val="left"/>
              <w:rPr>
                <w:sz w:val="15"/>
              </w:rPr>
            </w:pPr>
            <w:r>
              <w:rPr>
                <w:color w:val="231F20"/>
                <w:spacing w:val="-2"/>
                <w:sz w:val="15"/>
              </w:rPr>
              <w:t>Nutritional</w:t>
            </w:r>
            <w:r>
              <w:rPr>
                <w:color w:val="231F20"/>
                <w:spacing w:val="1"/>
                <w:sz w:val="15"/>
              </w:rPr>
              <w:t> </w:t>
            </w:r>
            <w:r>
              <w:rPr>
                <w:color w:val="231F20"/>
                <w:spacing w:val="-2"/>
                <w:sz w:val="15"/>
              </w:rPr>
              <w:t>disorders</w:t>
            </w:r>
          </w:p>
          <w:p>
            <w:pPr>
              <w:pStyle w:val="TableParagraph"/>
              <w:numPr>
                <w:ilvl w:val="1"/>
                <w:numId w:val="91"/>
              </w:numPr>
              <w:tabs>
                <w:tab w:pos="464" w:val="left" w:leader="none"/>
              </w:tabs>
              <w:spacing w:line="168" w:lineRule="exact" w:before="0" w:after="0"/>
              <w:ind w:left="464" w:right="0" w:hanging="204"/>
              <w:jc w:val="left"/>
              <w:rPr>
                <w:sz w:val="15"/>
              </w:rPr>
            </w:pPr>
            <w:r>
              <w:rPr>
                <w:color w:val="231F20"/>
                <w:sz w:val="15"/>
              </w:rPr>
              <w:t>Vitamin</w:t>
            </w:r>
            <w:r>
              <w:rPr>
                <w:color w:val="231F20"/>
                <w:spacing w:val="-11"/>
                <w:sz w:val="15"/>
              </w:rPr>
              <w:t> </w:t>
            </w:r>
            <w:r>
              <w:rPr>
                <w:color w:val="231F20"/>
                <w:sz w:val="15"/>
              </w:rPr>
              <w:t>B</w:t>
            </w:r>
            <w:r>
              <w:rPr>
                <w:color w:val="231F20"/>
                <w:sz w:val="15"/>
                <w:vertAlign w:val="subscript"/>
              </w:rPr>
              <w:t>12</w:t>
            </w:r>
            <w:r>
              <w:rPr>
                <w:color w:val="231F20"/>
                <w:spacing w:val="-11"/>
                <w:sz w:val="15"/>
                <w:vertAlign w:val="baseline"/>
              </w:rPr>
              <w:t> </w:t>
            </w:r>
            <w:r>
              <w:rPr>
                <w:color w:val="231F20"/>
                <w:sz w:val="15"/>
                <w:vertAlign w:val="baseline"/>
              </w:rPr>
              <w:t>deficiency</w:t>
            </w:r>
            <w:r>
              <w:rPr>
                <w:color w:val="231F20"/>
                <w:spacing w:val="-10"/>
                <w:sz w:val="15"/>
                <w:vertAlign w:val="baseline"/>
              </w:rPr>
              <w:t> </w:t>
            </w:r>
            <w:r>
              <w:rPr>
                <w:color w:val="231F20"/>
                <w:sz w:val="15"/>
                <w:vertAlign w:val="baseline"/>
              </w:rPr>
              <w:t>(Subacute</w:t>
            </w:r>
            <w:r>
              <w:rPr>
                <w:color w:val="231F20"/>
                <w:spacing w:val="-11"/>
                <w:sz w:val="15"/>
                <w:vertAlign w:val="baseline"/>
              </w:rPr>
              <w:t> </w:t>
            </w:r>
            <w:r>
              <w:rPr>
                <w:color w:val="231F20"/>
                <w:sz w:val="15"/>
                <w:vertAlign w:val="baseline"/>
              </w:rPr>
              <w:t>combined</w:t>
            </w:r>
            <w:r>
              <w:rPr>
                <w:color w:val="231F20"/>
                <w:spacing w:val="-11"/>
                <w:sz w:val="15"/>
                <w:vertAlign w:val="baseline"/>
              </w:rPr>
              <w:t> </w:t>
            </w:r>
            <w:r>
              <w:rPr>
                <w:color w:val="231F20"/>
                <w:spacing w:val="-2"/>
                <w:sz w:val="15"/>
                <w:vertAlign w:val="baseline"/>
              </w:rPr>
              <w:t>degeneration)</w:t>
            </w:r>
          </w:p>
          <w:p>
            <w:pPr>
              <w:pStyle w:val="TableParagraph"/>
              <w:numPr>
                <w:ilvl w:val="0"/>
                <w:numId w:val="91"/>
              </w:numPr>
              <w:tabs>
                <w:tab w:pos="260" w:val="left" w:leader="none"/>
              </w:tabs>
              <w:spacing w:line="168" w:lineRule="exact" w:before="0" w:after="0"/>
              <w:ind w:left="260" w:right="0" w:hanging="191"/>
              <w:jc w:val="left"/>
              <w:rPr>
                <w:sz w:val="15"/>
              </w:rPr>
            </w:pPr>
            <w:r>
              <w:rPr>
                <w:color w:val="231F20"/>
                <w:sz w:val="15"/>
              </w:rPr>
              <w:t>Toxic</w:t>
            </w:r>
            <w:r>
              <w:rPr>
                <w:color w:val="231F20"/>
                <w:spacing w:val="-7"/>
                <w:sz w:val="15"/>
              </w:rPr>
              <w:t> </w:t>
            </w:r>
            <w:r>
              <w:rPr>
                <w:color w:val="231F20"/>
                <w:spacing w:val="-2"/>
                <w:sz w:val="15"/>
              </w:rPr>
              <w:t>injury</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pacing w:val="-2"/>
                <w:sz w:val="15"/>
              </w:rPr>
              <w:t>Chemotherapy</w:t>
            </w:r>
            <w:r>
              <w:rPr>
                <w:color w:val="231F20"/>
                <w:spacing w:val="-1"/>
                <w:sz w:val="15"/>
              </w:rPr>
              <w:t> </w:t>
            </w:r>
            <w:r>
              <w:rPr>
                <w:color w:val="231F20"/>
                <w:spacing w:val="-2"/>
                <w:sz w:val="15"/>
              </w:rPr>
              <w:t>(e.g.,</w:t>
            </w:r>
            <w:r>
              <w:rPr>
                <w:color w:val="231F20"/>
                <w:spacing w:val="-1"/>
                <w:sz w:val="15"/>
              </w:rPr>
              <w:t> </w:t>
            </w:r>
            <w:r>
              <w:rPr>
                <w:color w:val="231F20"/>
                <w:spacing w:val="-2"/>
                <w:sz w:val="15"/>
              </w:rPr>
              <w:t>methotrexate)</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pacing w:val="-2"/>
                <w:sz w:val="15"/>
              </w:rPr>
              <w:t>Radiation</w:t>
            </w:r>
          </w:p>
          <w:p>
            <w:pPr>
              <w:pStyle w:val="TableParagraph"/>
              <w:numPr>
                <w:ilvl w:val="0"/>
                <w:numId w:val="91"/>
              </w:numPr>
              <w:tabs>
                <w:tab w:pos="260" w:val="left" w:leader="none"/>
              </w:tabs>
              <w:spacing w:line="168" w:lineRule="exact" w:before="0" w:after="0"/>
              <w:ind w:left="260" w:right="0" w:hanging="191"/>
              <w:jc w:val="left"/>
              <w:rPr>
                <w:sz w:val="15"/>
              </w:rPr>
            </w:pPr>
            <w:r>
              <w:rPr>
                <w:color w:val="231F20"/>
                <w:sz w:val="15"/>
              </w:rPr>
              <w:t>Immune</w:t>
            </w:r>
            <w:r>
              <w:rPr>
                <w:color w:val="231F20"/>
                <w:spacing w:val="6"/>
                <w:sz w:val="15"/>
              </w:rPr>
              <w:t> </w:t>
            </w:r>
            <w:r>
              <w:rPr>
                <w:color w:val="231F20"/>
                <w:spacing w:val="-2"/>
                <w:sz w:val="15"/>
              </w:rPr>
              <w:t>mediated</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z w:val="15"/>
              </w:rPr>
              <w:t>Acute</w:t>
            </w:r>
            <w:r>
              <w:rPr>
                <w:color w:val="231F20"/>
                <w:spacing w:val="1"/>
                <w:sz w:val="15"/>
              </w:rPr>
              <w:t> </w:t>
            </w:r>
            <w:r>
              <w:rPr>
                <w:color w:val="231F20"/>
                <w:sz w:val="15"/>
              </w:rPr>
              <w:t>disseminated</w:t>
            </w:r>
            <w:r>
              <w:rPr>
                <w:color w:val="231F20"/>
                <w:spacing w:val="1"/>
                <w:sz w:val="15"/>
              </w:rPr>
              <w:t> </w:t>
            </w:r>
            <w:r>
              <w:rPr>
                <w:color w:val="231F20"/>
                <w:spacing w:val="-2"/>
                <w:sz w:val="15"/>
              </w:rPr>
              <w:t>encephalomyelitis</w:t>
            </w:r>
          </w:p>
          <w:p>
            <w:pPr>
              <w:pStyle w:val="TableParagraph"/>
              <w:numPr>
                <w:ilvl w:val="1"/>
                <w:numId w:val="91"/>
              </w:numPr>
              <w:tabs>
                <w:tab w:pos="465" w:val="left" w:leader="none"/>
              </w:tabs>
              <w:spacing w:line="168" w:lineRule="exact" w:before="0" w:after="0"/>
              <w:ind w:left="465" w:right="0" w:hanging="204"/>
              <w:jc w:val="left"/>
              <w:rPr>
                <w:sz w:val="15"/>
              </w:rPr>
            </w:pPr>
            <w:r>
              <w:rPr>
                <w:color w:val="231F20"/>
                <w:sz w:val="15"/>
              </w:rPr>
              <w:t>Neuromyelitis</w:t>
            </w:r>
            <w:r>
              <w:rPr>
                <w:color w:val="231F20"/>
                <w:spacing w:val="-9"/>
                <w:sz w:val="15"/>
              </w:rPr>
              <w:t> </w:t>
            </w:r>
            <w:r>
              <w:rPr>
                <w:color w:val="231F20"/>
                <w:spacing w:val="-2"/>
                <w:sz w:val="15"/>
              </w:rPr>
              <w:t>optica</w:t>
            </w:r>
          </w:p>
          <w:p>
            <w:pPr>
              <w:pStyle w:val="TableParagraph"/>
              <w:numPr>
                <w:ilvl w:val="1"/>
                <w:numId w:val="91"/>
              </w:numPr>
              <w:tabs>
                <w:tab w:pos="466" w:val="left" w:leader="none"/>
              </w:tabs>
              <w:spacing w:line="171" w:lineRule="exact" w:before="0" w:after="0"/>
              <w:ind w:left="466" w:right="0" w:hanging="205"/>
              <w:jc w:val="left"/>
              <w:rPr>
                <w:sz w:val="15"/>
              </w:rPr>
            </w:pPr>
            <w:r>
              <w:rPr>
                <w:color w:val="231F20"/>
                <w:sz w:val="15"/>
              </w:rPr>
              <w:t>Multiple</w:t>
            </w:r>
            <w:r>
              <w:rPr>
                <w:color w:val="231F20"/>
                <w:spacing w:val="1"/>
                <w:sz w:val="15"/>
              </w:rPr>
              <w:t> </w:t>
            </w:r>
            <w:r>
              <w:rPr>
                <w:color w:val="231F20"/>
                <w:spacing w:val="-2"/>
                <w:sz w:val="15"/>
              </w:rPr>
              <w:t>sclerosis</w:t>
            </w:r>
          </w:p>
        </w:tc>
      </w:tr>
    </w:tbl>
    <w:p>
      <w:pPr>
        <w:spacing w:before="59"/>
        <w:ind w:left="542" w:right="0" w:firstLine="0"/>
        <w:jc w:val="left"/>
        <w:rPr>
          <w:i/>
          <w:sz w:val="13"/>
        </w:rPr>
      </w:pPr>
      <w:r>
        <w:rPr>
          <w:i/>
          <w:color w:val="231F20"/>
          <w:sz w:val="13"/>
        </w:rPr>
        <w:t>Modified</w:t>
      </w:r>
      <w:r>
        <w:rPr>
          <w:i/>
          <w:color w:val="231F20"/>
          <w:spacing w:val="1"/>
          <w:sz w:val="13"/>
        </w:rPr>
        <w:t> </w:t>
      </w:r>
      <w:r>
        <w:rPr>
          <w:i/>
          <w:color w:val="231F20"/>
          <w:sz w:val="13"/>
        </w:rPr>
        <w:t>from</w:t>
      </w:r>
      <w:r>
        <w:rPr>
          <w:i/>
          <w:color w:val="231F20"/>
          <w:spacing w:val="1"/>
          <w:sz w:val="13"/>
        </w:rPr>
        <w:t> </w:t>
      </w:r>
      <w:r>
        <w:rPr>
          <w:i/>
          <w:color w:val="231F20"/>
          <w:sz w:val="13"/>
        </w:rPr>
        <w:t>Thomas</w:t>
      </w:r>
      <w:r>
        <w:rPr>
          <w:i/>
          <w:color w:val="231F20"/>
          <w:spacing w:val="1"/>
          <w:sz w:val="13"/>
        </w:rPr>
        <w:t> </w:t>
      </w:r>
      <w:r>
        <w:rPr>
          <w:i/>
          <w:color w:val="231F20"/>
          <w:sz w:val="13"/>
        </w:rPr>
        <w:t>T,</w:t>
      </w:r>
      <w:r>
        <w:rPr>
          <w:i/>
          <w:color w:val="231F20"/>
          <w:spacing w:val="2"/>
          <w:sz w:val="13"/>
        </w:rPr>
        <w:t> </w:t>
      </w:r>
      <w:r>
        <w:rPr>
          <w:i/>
          <w:color w:val="231F20"/>
          <w:sz w:val="13"/>
        </w:rPr>
        <w:t>Branson</w:t>
      </w:r>
      <w:r>
        <w:rPr>
          <w:i/>
          <w:color w:val="231F20"/>
          <w:spacing w:val="1"/>
          <w:sz w:val="13"/>
        </w:rPr>
        <w:t> </w:t>
      </w:r>
      <w:r>
        <w:rPr>
          <w:i/>
          <w:color w:val="231F20"/>
          <w:sz w:val="13"/>
        </w:rPr>
        <w:t>HM:</w:t>
      </w:r>
      <w:r>
        <w:rPr>
          <w:i/>
          <w:color w:val="231F20"/>
          <w:spacing w:val="1"/>
          <w:sz w:val="13"/>
        </w:rPr>
        <w:t> </w:t>
      </w:r>
      <w:r>
        <w:rPr>
          <w:i/>
          <w:color w:val="231F20"/>
          <w:sz w:val="13"/>
        </w:rPr>
        <w:t>Childhood</w:t>
      </w:r>
      <w:r>
        <w:rPr>
          <w:i/>
          <w:color w:val="231F20"/>
          <w:spacing w:val="1"/>
          <w:sz w:val="13"/>
        </w:rPr>
        <w:t> </w:t>
      </w:r>
      <w:r>
        <w:rPr>
          <w:i/>
          <w:color w:val="231F20"/>
          <w:sz w:val="13"/>
        </w:rPr>
        <w:t>transverse</w:t>
      </w:r>
      <w:r>
        <w:rPr>
          <w:i/>
          <w:color w:val="231F20"/>
          <w:spacing w:val="2"/>
          <w:sz w:val="13"/>
        </w:rPr>
        <w:t> </w:t>
      </w:r>
      <w:r>
        <w:rPr>
          <w:i/>
          <w:color w:val="231F20"/>
          <w:sz w:val="13"/>
        </w:rPr>
        <w:t>myelitis</w:t>
      </w:r>
      <w:r>
        <w:rPr>
          <w:i/>
          <w:color w:val="231F20"/>
          <w:spacing w:val="1"/>
          <w:sz w:val="13"/>
        </w:rPr>
        <w:t> </w:t>
      </w:r>
      <w:r>
        <w:rPr>
          <w:i/>
          <w:color w:val="231F20"/>
          <w:sz w:val="13"/>
        </w:rPr>
        <w:t>and</w:t>
      </w:r>
      <w:r>
        <w:rPr>
          <w:i/>
          <w:color w:val="231F20"/>
          <w:spacing w:val="1"/>
          <w:sz w:val="13"/>
        </w:rPr>
        <w:t> </w:t>
      </w:r>
      <w:r>
        <w:rPr>
          <w:i/>
          <w:color w:val="231F20"/>
          <w:sz w:val="13"/>
        </w:rPr>
        <w:t>its</w:t>
      </w:r>
      <w:r>
        <w:rPr>
          <w:i/>
          <w:color w:val="231F20"/>
          <w:spacing w:val="1"/>
          <w:sz w:val="13"/>
        </w:rPr>
        <w:t> </w:t>
      </w:r>
      <w:r>
        <w:rPr>
          <w:i/>
          <w:color w:val="231F20"/>
          <w:sz w:val="13"/>
        </w:rPr>
        <w:t>mimics.</w:t>
      </w:r>
      <w:r>
        <w:rPr>
          <w:i/>
          <w:color w:val="231F20"/>
          <w:spacing w:val="2"/>
          <w:sz w:val="13"/>
        </w:rPr>
        <w:t> </w:t>
      </w:r>
      <w:r>
        <w:rPr>
          <w:color w:val="231F20"/>
          <w:sz w:val="13"/>
        </w:rPr>
        <w:t>Neuroimaging</w:t>
      </w:r>
      <w:r>
        <w:rPr>
          <w:color w:val="231F20"/>
          <w:spacing w:val="1"/>
          <w:sz w:val="13"/>
        </w:rPr>
        <w:t> </w:t>
      </w:r>
      <w:r>
        <w:rPr>
          <w:color w:val="231F20"/>
          <w:sz w:val="13"/>
        </w:rPr>
        <w:t>Clin</w:t>
      </w:r>
      <w:r>
        <w:rPr>
          <w:color w:val="231F20"/>
          <w:spacing w:val="1"/>
          <w:sz w:val="13"/>
        </w:rPr>
        <w:t> </w:t>
      </w:r>
      <w:r>
        <w:rPr>
          <w:color w:val="231F20"/>
          <w:sz w:val="13"/>
        </w:rPr>
        <w:t>N</w:t>
      </w:r>
      <w:r>
        <w:rPr>
          <w:color w:val="231F20"/>
          <w:spacing w:val="1"/>
          <w:sz w:val="13"/>
        </w:rPr>
        <w:t> </w:t>
      </w:r>
      <w:r>
        <w:rPr>
          <w:color w:val="231F20"/>
          <w:sz w:val="13"/>
        </w:rPr>
        <w:t>Am</w:t>
      </w:r>
      <w:r>
        <w:rPr>
          <w:color w:val="231F20"/>
          <w:spacing w:val="2"/>
          <w:sz w:val="13"/>
        </w:rPr>
        <w:t> </w:t>
      </w:r>
      <w:r>
        <w:rPr>
          <w:i/>
          <w:color w:val="231F20"/>
          <w:sz w:val="13"/>
        </w:rPr>
        <w:t>23:267–278,</w:t>
      </w:r>
      <w:r>
        <w:rPr>
          <w:i/>
          <w:color w:val="231F20"/>
          <w:spacing w:val="1"/>
          <w:sz w:val="13"/>
        </w:rPr>
        <w:t> </w:t>
      </w:r>
      <w:r>
        <w:rPr>
          <w:i/>
          <w:color w:val="231F20"/>
          <w:sz w:val="13"/>
        </w:rPr>
        <w:t>2013,</w:t>
      </w:r>
      <w:r>
        <w:rPr>
          <w:i/>
          <w:color w:val="231F20"/>
          <w:spacing w:val="1"/>
          <w:sz w:val="13"/>
        </w:rPr>
        <w:t> </w:t>
      </w:r>
      <w:r>
        <w:rPr>
          <w:i/>
          <w:color w:val="231F20"/>
          <w:sz w:val="13"/>
        </w:rPr>
        <w:t>Box</w:t>
      </w:r>
      <w:r>
        <w:rPr>
          <w:i/>
          <w:color w:val="231F20"/>
          <w:spacing w:val="1"/>
          <w:sz w:val="13"/>
        </w:rPr>
        <w:t> </w:t>
      </w:r>
      <w:r>
        <w:rPr>
          <w:i/>
          <w:color w:val="231F20"/>
          <w:spacing w:val="-5"/>
          <w:sz w:val="13"/>
        </w:rPr>
        <w:t>11.</w:t>
      </w:r>
    </w:p>
    <w:p>
      <w:pPr>
        <w:spacing w:after="0"/>
        <w:jc w:val="left"/>
        <w:rPr>
          <w:i/>
          <w:sz w:val="13"/>
        </w:rPr>
        <w:sectPr>
          <w:pgSz w:w="11900" w:h="16840"/>
          <w:pgMar w:header="0" w:footer="0" w:top="720" w:bottom="280" w:left="425" w:right="566"/>
        </w:sectPr>
      </w:pPr>
    </w:p>
    <w:p>
      <w:pPr>
        <w:pStyle w:val="BodyText"/>
        <w:rPr>
          <w:i/>
          <w:sz w:val="20"/>
        </w:rPr>
      </w:pPr>
    </w:p>
    <w:p>
      <w:pPr>
        <w:pStyle w:val="BodyText"/>
        <w:rPr>
          <w:i/>
          <w:sz w:val="20"/>
        </w:rPr>
      </w:pPr>
    </w:p>
    <w:p>
      <w:pPr>
        <w:pStyle w:val="BodyText"/>
        <w:spacing w:before="186"/>
        <w:rPr>
          <w:i/>
          <w:sz w:val="20"/>
        </w:rPr>
      </w:pPr>
    </w:p>
    <w:tbl>
      <w:tblPr>
        <w:tblW w:w="0" w:type="auto"/>
        <w:jc w:val="left"/>
        <w:tblInd w:w="4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870"/>
        <w:gridCol w:w="4870"/>
      </w:tblGrid>
      <w:tr>
        <w:trPr>
          <w:trHeight w:val="377" w:hRule="exact"/>
        </w:trPr>
        <w:tc>
          <w:tcPr>
            <w:tcW w:w="9740" w:type="dxa"/>
            <w:gridSpan w:val="2"/>
            <w:tcBorders>
              <w:top w:val="nil"/>
              <w:left w:val="nil"/>
              <w:bottom w:val="nil"/>
              <w:right w:val="nil"/>
            </w:tcBorders>
            <w:shd w:val="clear" w:color="auto" w:fill="231F20"/>
          </w:tcPr>
          <w:p>
            <w:pPr>
              <w:pStyle w:val="TableParagraph"/>
              <w:spacing w:before="89"/>
              <w:ind w:left="111"/>
              <w:rPr>
                <w:sz w:val="16"/>
              </w:rPr>
            </w:pPr>
            <w:r>
              <w:rPr>
                <w:b/>
                <w:color w:val="FFFFFF"/>
                <w:w w:val="105"/>
                <w:sz w:val="16"/>
              </w:rPr>
              <w:t>Table</w:t>
            </w:r>
            <w:r>
              <w:rPr>
                <w:b/>
                <w:color w:val="FFFFFF"/>
                <w:spacing w:val="11"/>
                <w:w w:val="105"/>
                <w:sz w:val="16"/>
              </w:rPr>
              <w:t> </w:t>
            </w:r>
            <w:r>
              <w:rPr>
                <w:b/>
                <w:color w:val="FFFFFF"/>
                <w:w w:val="105"/>
                <w:sz w:val="16"/>
              </w:rPr>
              <w:t>603-2</w:t>
            </w:r>
            <w:r>
              <w:rPr>
                <w:b/>
                <w:color w:val="FFFFFF"/>
                <w:spacing w:val="42"/>
                <w:w w:val="105"/>
                <w:sz w:val="16"/>
              </w:rPr>
              <w:t>  </w:t>
            </w:r>
            <w:r>
              <w:rPr>
                <w:color w:val="FFFFFF"/>
                <w:w w:val="105"/>
                <w:sz w:val="16"/>
              </w:rPr>
              <w:t>Clinical</w:t>
            </w:r>
            <w:r>
              <w:rPr>
                <w:color w:val="FFFFFF"/>
                <w:spacing w:val="9"/>
                <w:w w:val="105"/>
                <w:sz w:val="16"/>
              </w:rPr>
              <w:t> </w:t>
            </w:r>
            <w:r>
              <w:rPr>
                <w:color w:val="FFFFFF"/>
                <w:w w:val="105"/>
                <w:sz w:val="16"/>
              </w:rPr>
              <w:t>Conditions</w:t>
            </w:r>
            <w:r>
              <w:rPr>
                <w:color w:val="FFFFFF"/>
                <w:spacing w:val="8"/>
                <w:w w:val="105"/>
                <w:sz w:val="16"/>
              </w:rPr>
              <w:t> </w:t>
            </w:r>
            <w:r>
              <w:rPr>
                <w:color w:val="FFFFFF"/>
                <w:w w:val="105"/>
                <w:sz w:val="16"/>
              </w:rPr>
              <w:t>and</w:t>
            </w:r>
            <w:r>
              <w:rPr>
                <w:color w:val="FFFFFF"/>
                <w:spacing w:val="8"/>
                <w:w w:val="105"/>
                <w:sz w:val="16"/>
              </w:rPr>
              <w:t> </w:t>
            </w:r>
            <w:r>
              <w:rPr>
                <w:color w:val="FFFFFF"/>
                <w:w w:val="105"/>
                <w:sz w:val="16"/>
              </w:rPr>
              <w:t>Infectious</w:t>
            </w:r>
            <w:r>
              <w:rPr>
                <w:color w:val="FFFFFF"/>
                <w:spacing w:val="7"/>
                <w:w w:val="105"/>
                <w:sz w:val="16"/>
              </w:rPr>
              <w:t> </w:t>
            </w:r>
            <w:r>
              <w:rPr>
                <w:color w:val="FFFFFF"/>
                <w:w w:val="105"/>
                <w:sz w:val="16"/>
              </w:rPr>
              <w:t>Agents</w:t>
            </w:r>
            <w:r>
              <w:rPr>
                <w:color w:val="FFFFFF"/>
                <w:spacing w:val="8"/>
                <w:w w:val="105"/>
                <w:sz w:val="16"/>
              </w:rPr>
              <w:t> </w:t>
            </w:r>
            <w:r>
              <w:rPr>
                <w:color w:val="FFFFFF"/>
                <w:w w:val="105"/>
                <w:sz w:val="16"/>
              </w:rPr>
              <w:t>Associated</w:t>
            </w:r>
            <w:r>
              <w:rPr>
                <w:color w:val="FFFFFF"/>
                <w:spacing w:val="8"/>
                <w:w w:val="105"/>
                <w:sz w:val="16"/>
              </w:rPr>
              <w:t> </w:t>
            </w:r>
            <w:r>
              <w:rPr>
                <w:color w:val="FFFFFF"/>
                <w:w w:val="105"/>
                <w:sz w:val="16"/>
              </w:rPr>
              <w:t>with</w:t>
            </w:r>
            <w:r>
              <w:rPr>
                <w:color w:val="FFFFFF"/>
                <w:spacing w:val="7"/>
                <w:w w:val="105"/>
                <w:sz w:val="16"/>
              </w:rPr>
              <w:t> </w:t>
            </w:r>
            <w:r>
              <w:rPr>
                <w:color w:val="FFFFFF"/>
                <w:w w:val="105"/>
                <w:sz w:val="16"/>
              </w:rPr>
              <w:t>Aseptic</w:t>
            </w:r>
            <w:r>
              <w:rPr>
                <w:color w:val="FFFFFF"/>
                <w:spacing w:val="8"/>
                <w:w w:val="105"/>
                <w:sz w:val="16"/>
              </w:rPr>
              <w:t> </w:t>
            </w:r>
            <w:r>
              <w:rPr>
                <w:color w:val="FFFFFF"/>
                <w:spacing w:val="-2"/>
                <w:w w:val="105"/>
                <w:sz w:val="16"/>
              </w:rPr>
              <w:t>Meningitis</w:t>
            </w:r>
          </w:p>
        </w:tc>
      </w:tr>
      <w:tr>
        <w:trPr>
          <w:trHeight w:val="941" w:hRule="exact"/>
        </w:trPr>
        <w:tc>
          <w:tcPr>
            <w:tcW w:w="4870" w:type="dxa"/>
            <w:vMerge w:val="restart"/>
            <w:tcBorders>
              <w:top w:val="nil"/>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VIRUSES</w:t>
            </w:r>
          </w:p>
          <w:p>
            <w:pPr>
              <w:pStyle w:val="TableParagraph"/>
              <w:spacing w:line="232" w:lineRule="auto" w:before="2"/>
              <w:ind w:left="74"/>
              <w:rPr>
                <w:sz w:val="15"/>
              </w:rPr>
            </w:pPr>
            <w:r>
              <w:rPr>
                <w:color w:val="231F20"/>
                <w:sz w:val="15"/>
              </w:rPr>
              <w:t>Enteroviruses</w:t>
            </w:r>
            <w:r>
              <w:rPr>
                <w:color w:val="231F20"/>
                <w:spacing w:val="-5"/>
                <w:sz w:val="15"/>
              </w:rPr>
              <w:t> </w:t>
            </w:r>
            <w:r>
              <w:rPr>
                <w:color w:val="231F20"/>
                <w:sz w:val="15"/>
              </w:rPr>
              <w:t>(coxsackievirus,</w:t>
            </w:r>
            <w:r>
              <w:rPr>
                <w:color w:val="231F20"/>
                <w:spacing w:val="-5"/>
                <w:sz w:val="15"/>
              </w:rPr>
              <w:t> </w:t>
            </w:r>
            <w:r>
              <w:rPr>
                <w:color w:val="231F20"/>
                <w:sz w:val="15"/>
              </w:rPr>
              <w:t>echovirus,</w:t>
            </w:r>
            <w:r>
              <w:rPr>
                <w:color w:val="231F20"/>
                <w:spacing w:val="-5"/>
                <w:sz w:val="15"/>
              </w:rPr>
              <w:t> </w:t>
            </w:r>
            <w:r>
              <w:rPr>
                <w:color w:val="231F20"/>
                <w:sz w:val="15"/>
              </w:rPr>
              <w:t>poliovirus,</w:t>
            </w:r>
            <w:r>
              <w:rPr>
                <w:color w:val="231F20"/>
                <w:spacing w:val="-5"/>
                <w:sz w:val="15"/>
              </w:rPr>
              <w:t> </w:t>
            </w:r>
            <w:r>
              <w:rPr>
                <w:color w:val="231F20"/>
                <w:sz w:val="15"/>
              </w:rPr>
              <w:t>enterovirus) Arboviruses:</w:t>
            </w:r>
            <w:r>
              <w:rPr>
                <w:color w:val="231F20"/>
                <w:spacing w:val="-12"/>
                <w:sz w:val="15"/>
              </w:rPr>
              <w:t> </w:t>
            </w:r>
            <w:r>
              <w:rPr>
                <w:color w:val="231F20"/>
                <w:sz w:val="15"/>
              </w:rPr>
              <w:t>Eastern</w:t>
            </w:r>
            <w:r>
              <w:rPr>
                <w:color w:val="231F20"/>
                <w:spacing w:val="-11"/>
                <w:sz w:val="15"/>
              </w:rPr>
              <w:t> </w:t>
            </w:r>
            <w:r>
              <w:rPr>
                <w:color w:val="231F20"/>
                <w:sz w:val="15"/>
              </w:rPr>
              <w:t>equine,</w:t>
            </w:r>
            <w:r>
              <w:rPr>
                <w:color w:val="231F20"/>
                <w:spacing w:val="-11"/>
                <w:sz w:val="15"/>
              </w:rPr>
              <w:t> </w:t>
            </w:r>
            <w:r>
              <w:rPr>
                <w:color w:val="231F20"/>
                <w:sz w:val="15"/>
              </w:rPr>
              <w:t>Western</w:t>
            </w:r>
            <w:r>
              <w:rPr>
                <w:color w:val="231F20"/>
                <w:spacing w:val="-12"/>
                <w:sz w:val="15"/>
              </w:rPr>
              <w:t> </w:t>
            </w:r>
            <w:r>
              <w:rPr>
                <w:color w:val="231F20"/>
                <w:sz w:val="15"/>
              </w:rPr>
              <w:t>equine,</w:t>
            </w:r>
            <w:r>
              <w:rPr>
                <w:color w:val="231F20"/>
                <w:spacing w:val="-11"/>
                <w:sz w:val="15"/>
              </w:rPr>
              <w:t> </w:t>
            </w:r>
            <w:r>
              <w:rPr>
                <w:color w:val="231F20"/>
                <w:sz w:val="15"/>
              </w:rPr>
              <w:t>Venezuelan</w:t>
            </w:r>
            <w:r>
              <w:rPr>
                <w:color w:val="231F20"/>
                <w:spacing w:val="-11"/>
                <w:sz w:val="15"/>
              </w:rPr>
              <w:t> </w:t>
            </w:r>
            <w:r>
              <w:rPr>
                <w:color w:val="231F20"/>
                <w:sz w:val="15"/>
              </w:rPr>
              <w:t>equine,</w:t>
            </w:r>
          </w:p>
          <w:p>
            <w:pPr>
              <w:pStyle w:val="TableParagraph"/>
              <w:spacing w:line="230" w:lineRule="auto" w:before="1"/>
              <w:ind w:left="186" w:right="120"/>
              <w:rPr>
                <w:sz w:val="15"/>
              </w:rPr>
            </w:pPr>
            <w:r>
              <w:rPr>
                <w:color w:val="231F20"/>
                <w:spacing w:val="-2"/>
                <w:sz w:val="15"/>
              </w:rPr>
              <w:t>St. Louis encephalitis, Powassan and California encephalitis, </w:t>
            </w:r>
            <w:r>
              <w:rPr>
                <w:color w:val="231F20"/>
                <w:spacing w:val="-2"/>
                <w:sz w:val="15"/>
              </w:rPr>
              <w:t>West </w:t>
            </w:r>
            <w:r>
              <w:rPr>
                <w:color w:val="231F20"/>
                <w:sz w:val="15"/>
              </w:rPr>
              <w:t>Nile virus, Colorado tick fever</w:t>
            </w:r>
          </w:p>
          <w:p>
            <w:pPr>
              <w:pStyle w:val="TableParagraph"/>
              <w:spacing w:line="169" w:lineRule="exact"/>
              <w:ind w:left="74"/>
              <w:rPr>
                <w:sz w:val="15"/>
              </w:rPr>
            </w:pPr>
            <w:r>
              <w:rPr>
                <w:color w:val="231F20"/>
                <w:spacing w:val="-2"/>
                <w:sz w:val="15"/>
              </w:rPr>
              <w:t>Parechovirus</w:t>
            </w:r>
          </w:p>
          <w:p>
            <w:pPr>
              <w:pStyle w:val="TableParagraph"/>
              <w:spacing w:line="232" w:lineRule="auto" w:before="2"/>
              <w:ind w:left="74" w:right="2987"/>
              <w:rPr>
                <w:sz w:val="15"/>
              </w:rPr>
            </w:pPr>
            <w:r>
              <w:rPr>
                <w:color w:val="231F20"/>
                <w:spacing w:val="-2"/>
                <w:sz w:val="15"/>
              </w:rPr>
              <w:t>Herpes</w:t>
            </w:r>
            <w:r>
              <w:rPr>
                <w:color w:val="231F20"/>
                <w:spacing w:val="-8"/>
                <w:sz w:val="15"/>
              </w:rPr>
              <w:t> </w:t>
            </w:r>
            <w:r>
              <w:rPr>
                <w:color w:val="231F20"/>
                <w:spacing w:val="-2"/>
                <w:sz w:val="15"/>
              </w:rPr>
              <w:t>simplex</w:t>
            </w:r>
            <w:r>
              <w:rPr>
                <w:color w:val="231F20"/>
                <w:spacing w:val="-8"/>
                <w:sz w:val="15"/>
              </w:rPr>
              <w:t> </w:t>
            </w:r>
            <w:r>
              <w:rPr>
                <w:color w:val="231F20"/>
                <w:spacing w:val="-2"/>
                <w:sz w:val="15"/>
              </w:rPr>
              <w:t>(types</w:t>
            </w:r>
            <w:r>
              <w:rPr>
                <w:color w:val="231F20"/>
                <w:spacing w:val="-8"/>
                <w:sz w:val="15"/>
              </w:rPr>
              <w:t> </w:t>
            </w:r>
            <w:r>
              <w:rPr>
                <w:color w:val="231F20"/>
                <w:spacing w:val="-2"/>
                <w:sz w:val="15"/>
              </w:rPr>
              <w:t>1,</w:t>
            </w:r>
            <w:r>
              <w:rPr>
                <w:color w:val="231F20"/>
                <w:spacing w:val="-8"/>
                <w:sz w:val="15"/>
              </w:rPr>
              <w:t> </w:t>
            </w:r>
            <w:r>
              <w:rPr>
                <w:color w:val="231F20"/>
                <w:spacing w:val="-2"/>
                <w:sz w:val="15"/>
              </w:rPr>
              <w:t>2) </w:t>
            </w:r>
            <w:r>
              <w:rPr>
                <w:color w:val="231F20"/>
                <w:sz w:val="15"/>
              </w:rPr>
              <w:t>Human herpesvirus type 6 Varicella-zoster virus Epstein-Barr virus Parvovirus B19 </w:t>
            </w:r>
            <w:r>
              <w:rPr>
                <w:color w:val="231F20"/>
                <w:spacing w:val="-2"/>
                <w:sz w:val="15"/>
              </w:rPr>
              <w:t>Cytomegalovirus</w:t>
            </w:r>
            <w:r>
              <w:rPr>
                <w:color w:val="231F20"/>
                <w:spacing w:val="40"/>
                <w:sz w:val="15"/>
              </w:rPr>
              <w:t> </w:t>
            </w:r>
            <w:r>
              <w:rPr>
                <w:color w:val="231F20"/>
                <w:spacing w:val="-2"/>
                <w:sz w:val="15"/>
              </w:rPr>
              <w:t>Adenovirus</w:t>
            </w:r>
          </w:p>
          <w:p>
            <w:pPr>
              <w:pStyle w:val="TableParagraph"/>
              <w:spacing w:line="232" w:lineRule="auto" w:before="3"/>
              <w:ind w:left="74" w:right="3376"/>
              <w:rPr>
                <w:sz w:val="15"/>
              </w:rPr>
            </w:pPr>
            <w:r>
              <w:rPr>
                <w:color w:val="231F20"/>
                <w:spacing w:val="-4"/>
                <w:sz w:val="15"/>
              </w:rPr>
              <w:t>Variola</w:t>
            </w:r>
            <w:r>
              <w:rPr>
                <w:color w:val="231F20"/>
                <w:spacing w:val="-8"/>
                <w:sz w:val="15"/>
              </w:rPr>
              <w:t> </w:t>
            </w:r>
            <w:r>
              <w:rPr>
                <w:color w:val="231F20"/>
                <w:spacing w:val="-4"/>
                <w:sz w:val="15"/>
              </w:rPr>
              <w:t>(smallpox) </w:t>
            </w:r>
            <w:r>
              <w:rPr>
                <w:color w:val="231F20"/>
                <w:spacing w:val="-2"/>
                <w:sz w:val="15"/>
              </w:rPr>
              <w:t>Measles</w:t>
            </w:r>
          </w:p>
          <w:p>
            <w:pPr>
              <w:pStyle w:val="TableParagraph"/>
              <w:spacing w:line="232" w:lineRule="auto" w:before="1"/>
              <w:ind w:left="74" w:right="4283"/>
              <w:rPr>
                <w:sz w:val="15"/>
              </w:rPr>
            </w:pPr>
            <w:r>
              <w:rPr>
                <w:color w:val="231F20"/>
                <w:spacing w:val="-2"/>
                <w:w w:val="105"/>
                <w:sz w:val="15"/>
              </w:rPr>
              <w:t>Mumps </w:t>
            </w:r>
            <w:r>
              <w:rPr>
                <w:color w:val="231F20"/>
                <w:spacing w:val="-2"/>
                <w:sz w:val="15"/>
              </w:rPr>
              <w:t>Rubella</w:t>
            </w:r>
          </w:p>
          <w:p>
            <w:pPr>
              <w:pStyle w:val="TableParagraph"/>
              <w:spacing w:line="232" w:lineRule="auto" w:before="1"/>
              <w:ind w:left="74" w:right="3376"/>
              <w:rPr>
                <w:sz w:val="15"/>
              </w:rPr>
            </w:pPr>
            <w:r>
              <w:rPr>
                <w:color w:val="231F20"/>
                <w:sz w:val="15"/>
              </w:rPr>
              <w:t>Influenza</w:t>
            </w:r>
            <w:r>
              <w:rPr>
                <w:color w:val="231F20"/>
                <w:spacing w:val="-11"/>
                <w:sz w:val="15"/>
              </w:rPr>
              <w:t> </w:t>
            </w:r>
            <w:r>
              <w:rPr>
                <w:color w:val="231F20"/>
                <w:sz w:val="15"/>
              </w:rPr>
              <w:t>A</w:t>
            </w:r>
            <w:r>
              <w:rPr>
                <w:color w:val="231F20"/>
                <w:spacing w:val="-11"/>
                <w:sz w:val="15"/>
              </w:rPr>
              <w:t> </w:t>
            </w:r>
            <w:r>
              <w:rPr>
                <w:color w:val="231F20"/>
                <w:sz w:val="15"/>
              </w:rPr>
              <w:t>and</w:t>
            </w:r>
            <w:r>
              <w:rPr>
                <w:color w:val="231F20"/>
                <w:spacing w:val="-11"/>
                <w:sz w:val="15"/>
              </w:rPr>
              <w:t> </w:t>
            </w:r>
            <w:r>
              <w:rPr>
                <w:color w:val="231F20"/>
                <w:sz w:val="15"/>
              </w:rPr>
              <w:t>B </w:t>
            </w:r>
            <w:r>
              <w:rPr>
                <w:color w:val="231F20"/>
                <w:spacing w:val="-2"/>
                <w:sz w:val="15"/>
              </w:rPr>
              <w:t>Parainfluenza Rhinovirus</w:t>
            </w:r>
          </w:p>
          <w:p>
            <w:pPr>
              <w:pStyle w:val="TableParagraph"/>
              <w:spacing w:line="169" w:lineRule="exact"/>
              <w:ind w:left="74"/>
              <w:rPr>
                <w:sz w:val="15"/>
              </w:rPr>
            </w:pPr>
            <w:r>
              <w:rPr>
                <w:color w:val="231F20"/>
                <w:spacing w:val="-2"/>
                <w:sz w:val="15"/>
              </w:rPr>
              <w:t>Rabies</w:t>
            </w:r>
          </w:p>
          <w:p>
            <w:pPr>
              <w:pStyle w:val="TableParagraph"/>
              <w:spacing w:line="232" w:lineRule="auto" w:before="2"/>
              <w:ind w:left="74" w:right="2197"/>
              <w:rPr>
                <w:sz w:val="15"/>
              </w:rPr>
            </w:pPr>
            <w:r>
              <w:rPr>
                <w:color w:val="231F20"/>
                <w:spacing w:val="-2"/>
                <w:sz w:val="15"/>
              </w:rPr>
              <w:t>Lymphocytic </w:t>
            </w:r>
            <w:r>
              <w:rPr>
                <w:color w:val="231F20"/>
                <w:spacing w:val="-2"/>
                <w:sz w:val="15"/>
              </w:rPr>
              <w:t>choriomeningitis Rotaviruses</w:t>
            </w:r>
          </w:p>
          <w:p>
            <w:pPr>
              <w:pStyle w:val="TableParagraph"/>
              <w:spacing w:line="169" w:lineRule="exact"/>
              <w:ind w:left="74"/>
              <w:rPr>
                <w:sz w:val="15"/>
              </w:rPr>
            </w:pPr>
            <w:r>
              <w:rPr>
                <w:color w:val="231F20"/>
                <w:spacing w:val="-2"/>
                <w:sz w:val="15"/>
              </w:rPr>
              <w:t>Coronaviruses</w:t>
            </w:r>
          </w:p>
          <w:p>
            <w:pPr>
              <w:pStyle w:val="TableParagraph"/>
              <w:spacing w:line="172" w:lineRule="exact"/>
              <w:ind w:left="74"/>
              <w:rPr>
                <w:sz w:val="15"/>
              </w:rPr>
            </w:pPr>
            <w:r>
              <w:rPr>
                <w:color w:val="231F20"/>
                <w:sz w:val="15"/>
              </w:rPr>
              <w:t>Human</w:t>
            </w:r>
            <w:r>
              <w:rPr>
                <w:color w:val="231F20"/>
                <w:spacing w:val="-10"/>
                <w:sz w:val="15"/>
              </w:rPr>
              <w:t> </w:t>
            </w:r>
            <w:r>
              <w:rPr>
                <w:color w:val="231F20"/>
                <w:sz w:val="15"/>
              </w:rPr>
              <w:t>immunodeficiency</w:t>
            </w:r>
            <w:r>
              <w:rPr>
                <w:color w:val="231F20"/>
                <w:spacing w:val="-9"/>
                <w:sz w:val="15"/>
              </w:rPr>
              <w:t> </w:t>
            </w:r>
            <w:r>
              <w:rPr>
                <w:color w:val="231F20"/>
                <w:sz w:val="15"/>
              </w:rPr>
              <w:t>virus</w:t>
            </w:r>
            <w:r>
              <w:rPr>
                <w:color w:val="231F20"/>
                <w:spacing w:val="-9"/>
                <w:sz w:val="15"/>
              </w:rPr>
              <w:t> </w:t>
            </w:r>
            <w:r>
              <w:rPr>
                <w:color w:val="231F20"/>
                <w:sz w:val="15"/>
              </w:rPr>
              <w:t>type</w:t>
            </w:r>
            <w:r>
              <w:rPr>
                <w:color w:val="231F20"/>
                <w:spacing w:val="-9"/>
                <w:sz w:val="15"/>
              </w:rPr>
              <w:t> </w:t>
            </w:r>
            <w:r>
              <w:rPr>
                <w:color w:val="231F20"/>
                <w:spacing w:val="-10"/>
                <w:sz w:val="15"/>
              </w:rPr>
              <w:t>1</w:t>
            </w: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w w:val="110"/>
                <w:sz w:val="15"/>
              </w:rPr>
              <w:t>PARASITES</w:t>
            </w:r>
            <w:r>
              <w:rPr>
                <w:color w:val="231F20"/>
                <w:spacing w:val="-1"/>
                <w:w w:val="110"/>
                <w:sz w:val="15"/>
              </w:rPr>
              <w:t> </w:t>
            </w:r>
            <w:r>
              <w:rPr>
                <w:color w:val="231F20"/>
                <w:spacing w:val="-2"/>
                <w:w w:val="110"/>
                <w:sz w:val="15"/>
              </w:rPr>
              <w:t>(NONEOSINOPHILIC)</w:t>
            </w:r>
          </w:p>
          <w:p>
            <w:pPr>
              <w:pStyle w:val="TableParagraph"/>
              <w:spacing w:line="169" w:lineRule="exact"/>
              <w:ind w:left="69"/>
              <w:rPr>
                <w:sz w:val="15"/>
              </w:rPr>
            </w:pPr>
            <w:r>
              <w:rPr>
                <w:i/>
                <w:color w:val="231F20"/>
                <w:sz w:val="15"/>
              </w:rPr>
              <w:t>Toxoplasma</w:t>
            </w:r>
            <w:r>
              <w:rPr>
                <w:i/>
                <w:color w:val="231F20"/>
                <w:spacing w:val="11"/>
                <w:sz w:val="15"/>
              </w:rPr>
              <w:t> </w:t>
            </w:r>
            <w:r>
              <w:rPr>
                <w:i/>
                <w:color w:val="231F20"/>
                <w:sz w:val="15"/>
              </w:rPr>
              <w:t>gondii</w:t>
            </w:r>
            <w:r>
              <w:rPr>
                <w:i/>
                <w:color w:val="231F20"/>
                <w:spacing w:val="11"/>
                <w:sz w:val="15"/>
              </w:rPr>
              <w:t> </w:t>
            </w:r>
            <w:r>
              <w:rPr>
                <w:color w:val="231F20"/>
                <w:spacing w:val="-2"/>
                <w:sz w:val="15"/>
              </w:rPr>
              <w:t>(toxoplasmosis)</w:t>
            </w:r>
          </w:p>
          <w:p>
            <w:pPr>
              <w:pStyle w:val="TableParagraph"/>
              <w:spacing w:line="232" w:lineRule="auto" w:before="2"/>
              <w:ind w:left="69" w:right="3376"/>
              <w:rPr>
                <w:sz w:val="15"/>
              </w:rPr>
            </w:pPr>
            <w:r>
              <w:rPr>
                <w:i/>
                <w:color w:val="231F20"/>
                <w:sz w:val="15"/>
              </w:rPr>
              <w:t>Acanthamoeba</w:t>
            </w:r>
            <w:r>
              <w:rPr>
                <w:i/>
                <w:color w:val="231F20"/>
                <w:spacing w:val="-12"/>
                <w:sz w:val="15"/>
              </w:rPr>
              <w:t> </w:t>
            </w:r>
            <w:r>
              <w:rPr>
                <w:color w:val="231F20"/>
                <w:sz w:val="15"/>
              </w:rPr>
              <w:t>spp. </w:t>
            </w:r>
            <w:r>
              <w:rPr>
                <w:i/>
                <w:color w:val="231F20"/>
                <w:sz w:val="15"/>
              </w:rPr>
              <w:t>Naegleria fowleri </w:t>
            </w:r>
            <w:r>
              <w:rPr>
                <w:color w:val="231F20"/>
                <w:spacing w:val="-2"/>
                <w:sz w:val="15"/>
              </w:rPr>
              <w:t>Malaria</w:t>
            </w:r>
          </w:p>
        </w:tc>
      </w:tr>
      <w:tr>
        <w:trPr>
          <w:trHeight w:val="602"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0"/>
                <w:sz w:val="15"/>
              </w:rPr>
              <w:t>POSTINFECTIOUS</w:t>
            </w:r>
          </w:p>
          <w:p>
            <w:pPr>
              <w:pStyle w:val="TableParagraph"/>
              <w:spacing w:line="232" w:lineRule="auto" w:before="2"/>
              <w:ind w:left="69" w:right="1710"/>
              <w:rPr>
                <w:sz w:val="15"/>
              </w:rPr>
            </w:pPr>
            <w:r>
              <w:rPr>
                <w:color w:val="231F20"/>
                <w:spacing w:val="-2"/>
                <w:sz w:val="15"/>
              </w:rPr>
              <w:t>Vaccines:</w:t>
            </w:r>
            <w:r>
              <w:rPr>
                <w:color w:val="231F20"/>
                <w:spacing w:val="-10"/>
                <w:sz w:val="15"/>
              </w:rPr>
              <w:t> </w:t>
            </w:r>
            <w:r>
              <w:rPr>
                <w:color w:val="231F20"/>
                <w:spacing w:val="-2"/>
                <w:sz w:val="15"/>
              </w:rPr>
              <w:t>rabies,</w:t>
            </w:r>
            <w:r>
              <w:rPr>
                <w:color w:val="231F20"/>
                <w:spacing w:val="-9"/>
                <w:sz w:val="15"/>
              </w:rPr>
              <w:t> </w:t>
            </w:r>
            <w:r>
              <w:rPr>
                <w:color w:val="231F20"/>
                <w:spacing w:val="-2"/>
                <w:sz w:val="15"/>
              </w:rPr>
              <w:t>influenza,</w:t>
            </w:r>
            <w:r>
              <w:rPr>
                <w:color w:val="231F20"/>
                <w:spacing w:val="-9"/>
                <w:sz w:val="15"/>
              </w:rPr>
              <w:t> </w:t>
            </w:r>
            <w:r>
              <w:rPr>
                <w:color w:val="231F20"/>
                <w:spacing w:val="-2"/>
                <w:sz w:val="15"/>
              </w:rPr>
              <w:t>measles,</w:t>
            </w:r>
            <w:r>
              <w:rPr>
                <w:color w:val="231F20"/>
                <w:spacing w:val="-10"/>
                <w:sz w:val="15"/>
              </w:rPr>
              <w:t> </w:t>
            </w:r>
            <w:r>
              <w:rPr>
                <w:color w:val="231F20"/>
                <w:spacing w:val="-2"/>
                <w:sz w:val="15"/>
              </w:rPr>
              <w:t>poliovirus </w:t>
            </w:r>
            <w:r>
              <w:rPr>
                <w:color w:val="231F20"/>
                <w:sz w:val="15"/>
              </w:rPr>
              <w:t>Demyelinating or allergic encephalitis</w:t>
            </w:r>
          </w:p>
        </w:tc>
      </w:tr>
      <w:tr>
        <w:trPr>
          <w:trHeight w:val="2778" w:hRule="exact"/>
        </w:trPr>
        <w:tc>
          <w:tcPr>
            <w:tcW w:w="4870" w:type="dxa"/>
            <w:vMerge/>
            <w:tcBorders>
              <w:top w:val="nil"/>
              <w:left w:val="nil"/>
              <w:right w:val="single" w:sz="4" w:space="0" w:color="231F20"/>
            </w:tcBorders>
            <w:shd w:val="clear" w:color="auto" w:fill="E8F5F1"/>
          </w:tcPr>
          <w:p>
            <w:pPr>
              <w:rPr>
                <w:sz w:val="2"/>
                <w:szCs w:val="2"/>
              </w:rPr>
            </w:pPr>
          </w:p>
        </w:tc>
        <w:tc>
          <w:tcPr>
            <w:tcW w:w="4870" w:type="dxa"/>
            <w:vMerge w:val="restart"/>
            <w:tcBorders>
              <w:left w:val="single" w:sz="4" w:space="0" w:color="231F20"/>
              <w:right w:val="nil"/>
            </w:tcBorders>
            <w:shd w:val="clear" w:color="auto" w:fill="E8F5F1"/>
          </w:tcPr>
          <w:p>
            <w:pPr>
              <w:pStyle w:val="TableParagraph"/>
              <w:spacing w:line="172" w:lineRule="exact" w:before="43"/>
              <w:ind w:left="69"/>
              <w:rPr>
                <w:sz w:val="15"/>
              </w:rPr>
            </w:pPr>
            <w:r>
              <w:rPr>
                <w:color w:val="231F20"/>
                <w:w w:val="110"/>
                <w:sz w:val="15"/>
              </w:rPr>
              <w:t>SYSTEMIC</w:t>
            </w:r>
            <w:r>
              <w:rPr>
                <w:color w:val="231F20"/>
                <w:spacing w:val="23"/>
                <w:w w:val="110"/>
                <w:sz w:val="15"/>
              </w:rPr>
              <w:t> </w:t>
            </w:r>
            <w:r>
              <w:rPr>
                <w:color w:val="231F20"/>
                <w:w w:val="110"/>
                <w:sz w:val="15"/>
              </w:rPr>
              <w:t>OR</w:t>
            </w:r>
            <w:r>
              <w:rPr>
                <w:color w:val="231F20"/>
                <w:spacing w:val="23"/>
                <w:w w:val="110"/>
                <w:sz w:val="15"/>
              </w:rPr>
              <w:t> </w:t>
            </w:r>
            <w:r>
              <w:rPr>
                <w:color w:val="231F20"/>
                <w:w w:val="110"/>
                <w:sz w:val="15"/>
              </w:rPr>
              <w:t>IMMUNOLOGICALLY</w:t>
            </w:r>
            <w:r>
              <w:rPr>
                <w:color w:val="231F20"/>
                <w:spacing w:val="24"/>
                <w:w w:val="110"/>
                <w:sz w:val="15"/>
              </w:rPr>
              <w:t> </w:t>
            </w:r>
            <w:r>
              <w:rPr>
                <w:color w:val="231F20"/>
                <w:spacing w:val="-2"/>
                <w:w w:val="110"/>
                <w:sz w:val="15"/>
              </w:rPr>
              <w:t>MEDIATED</w:t>
            </w:r>
          </w:p>
          <w:p>
            <w:pPr>
              <w:pStyle w:val="TableParagraph"/>
              <w:spacing w:line="235" w:lineRule="auto" w:before="1"/>
              <w:ind w:left="69" w:right="895"/>
              <w:rPr>
                <w:i/>
                <w:sz w:val="15"/>
              </w:rPr>
            </w:pPr>
            <w:r>
              <w:rPr>
                <w:i/>
                <w:color w:val="231F20"/>
                <w:sz w:val="15"/>
              </w:rPr>
              <w:t>Acute Disseminated Encephalomyelitis </w:t>
            </w:r>
            <w:r>
              <w:rPr>
                <w:i/>
                <w:color w:val="231F20"/>
                <w:sz w:val="15"/>
              </w:rPr>
              <w:t>(ADEM) Autoimmune Encephalitis</w:t>
            </w:r>
          </w:p>
          <w:p>
            <w:pPr>
              <w:pStyle w:val="TableParagraph"/>
              <w:spacing w:line="232" w:lineRule="auto"/>
              <w:ind w:left="69" w:right="3350"/>
              <w:rPr>
                <w:sz w:val="15"/>
              </w:rPr>
            </w:pPr>
            <w:r>
              <w:rPr>
                <w:color w:val="231F20"/>
                <w:spacing w:val="-2"/>
                <w:sz w:val="15"/>
              </w:rPr>
              <w:t>Bacterial</w:t>
            </w:r>
            <w:r>
              <w:rPr>
                <w:color w:val="231F20"/>
                <w:spacing w:val="-10"/>
                <w:sz w:val="15"/>
              </w:rPr>
              <w:t> </w:t>
            </w:r>
            <w:r>
              <w:rPr>
                <w:color w:val="231F20"/>
                <w:spacing w:val="-2"/>
                <w:sz w:val="15"/>
              </w:rPr>
              <w:t>endocarditis </w:t>
            </w:r>
            <w:r>
              <w:rPr>
                <w:color w:val="231F20"/>
                <w:sz w:val="15"/>
              </w:rPr>
              <w:t>Kawasaki disease</w:t>
            </w:r>
          </w:p>
          <w:p>
            <w:pPr>
              <w:pStyle w:val="TableParagraph"/>
              <w:spacing w:line="232" w:lineRule="auto" w:before="1"/>
              <w:ind w:left="69" w:right="2127"/>
              <w:rPr>
                <w:sz w:val="15"/>
              </w:rPr>
            </w:pPr>
            <w:r>
              <w:rPr>
                <w:color w:val="231F20"/>
                <w:sz w:val="15"/>
              </w:rPr>
              <w:t>Systemic lupus erythematosus </w:t>
            </w:r>
            <w:r>
              <w:rPr>
                <w:color w:val="231F20"/>
                <w:spacing w:val="-2"/>
                <w:sz w:val="15"/>
              </w:rPr>
              <w:t>Vasculitis,</w:t>
            </w:r>
            <w:r>
              <w:rPr>
                <w:color w:val="231F20"/>
                <w:spacing w:val="-6"/>
                <w:sz w:val="15"/>
              </w:rPr>
              <w:t> </w:t>
            </w:r>
            <w:r>
              <w:rPr>
                <w:color w:val="231F20"/>
                <w:spacing w:val="-2"/>
                <w:sz w:val="15"/>
              </w:rPr>
              <w:t>including</w:t>
            </w:r>
            <w:r>
              <w:rPr>
                <w:color w:val="231F20"/>
                <w:spacing w:val="-6"/>
                <w:sz w:val="15"/>
              </w:rPr>
              <w:t> </w:t>
            </w:r>
            <w:r>
              <w:rPr>
                <w:color w:val="231F20"/>
                <w:spacing w:val="-2"/>
                <w:sz w:val="15"/>
              </w:rPr>
              <w:t>polyarteritis</w:t>
            </w:r>
            <w:r>
              <w:rPr>
                <w:color w:val="231F20"/>
                <w:spacing w:val="-6"/>
                <w:sz w:val="15"/>
              </w:rPr>
              <w:t> </w:t>
            </w:r>
            <w:r>
              <w:rPr>
                <w:color w:val="231F20"/>
                <w:spacing w:val="-2"/>
                <w:sz w:val="15"/>
              </w:rPr>
              <w:t>nodosa </w:t>
            </w:r>
            <w:r>
              <w:rPr>
                <w:color w:val="231F20"/>
                <w:sz w:val="15"/>
              </w:rPr>
              <w:t>Sjögren syndrome</w:t>
            </w:r>
          </w:p>
          <w:p>
            <w:pPr>
              <w:pStyle w:val="TableParagraph"/>
              <w:spacing w:line="232" w:lineRule="auto" w:before="1"/>
              <w:ind w:left="69" w:right="2197"/>
              <w:rPr>
                <w:sz w:val="15"/>
              </w:rPr>
            </w:pPr>
            <w:r>
              <w:rPr>
                <w:color w:val="231F20"/>
                <w:sz w:val="15"/>
              </w:rPr>
              <w:t>Mixed</w:t>
            </w:r>
            <w:r>
              <w:rPr>
                <w:color w:val="231F20"/>
                <w:spacing w:val="-8"/>
                <w:sz w:val="15"/>
              </w:rPr>
              <w:t> </w:t>
            </w:r>
            <w:r>
              <w:rPr>
                <w:color w:val="231F20"/>
                <w:sz w:val="15"/>
              </w:rPr>
              <w:t>connective</w:t>
            </w:r>
            <w:r>
              <w:rPr>
                <w:color w:val="231F20"/>
                <w:spacing w:val="-8"/>
                <w:sz w:val="15"/>
              </w:rPr>
              <w:t> </w:t>
            </w:r>
            <w:r>
              <w:rPr>
                <w:color w:val="231F20"/>
                <w:sz w:val="15"/>
              </w:rPr>
              <w:t>tissue</w:t>
            </w:r>
            <w:r>
              <w:rPr>
                <w:color w:val="231F20"/>
                <w:spacing w:val="-8"/>
                <w:sz w:val="15"/>
              </w:rPr>
              <w:t> </w:t>
            </w:r>
            <w:r>
              <w:rPr>
                <w:color w:val="231F20"/>
                <w:sz w:val="15"/>
              </w:rPr>
              <w:t>disease Rheumatoid arthritis</w:t>
            </w:r>
          </w:p>
          <w:p>
            <w:pPr>
              <w:pStyle w:val="TableParagraph"/>
              <w:spacing w:line="232" w:lineRule="auto" w:before="1"/>
              <w:ind w:left="69" w:right="3072"/>
              <w:rPr>
                <w:sz w:val="15"/>
              </w:rPr>
            </w:pPr>
            <w:r>
              <w:rPr>
                <w:color w:val="231F20"/>
                <w:sz w:val="15"/>
              </w:rPr>
              <w:t>Behçet syndrome Wegener</w:t>
            </w:r>
            <w:r>
              <w:rPr>
                <w:color w:val="231F20"/>
                <w:spacing w:val="-5"/>
                <w:sz w:val="15"/>
              </w:rPr>
              <w:t> </w:t>
            </w:r>
            <w:r>
              <w:rPr>
                <w:color w:val="231F20"/>
                <w:sz w:val="15"/>
              </w:rPr>
              <w:t>granulomatosis</w:t>
            </w:r>
          </w:p>
          <w:p>
            <w:pPr>
              <w:pStyle w:val="TableParagraph"/>
              <w:spacing w:line="232" w:lineRule="auto" w:before="1"/>
              <w:ind w:left="69" w:right="2703"/>
              <w:rPr>
                <w:sz w:val="15"/>
              </w:rPr>
            </w:pPr>
            <w:r>
              <w:rPr>
                <w:color w:val="231F20"/>
                <w:sz w:val="15"/>
              </w:rPr>
              <w:t>Lymphomatoid</w:t>
            </w:r>
            <w:r>
              <w:rPr>
                <w:color w:val="231F20"/>
                <w:spacing w:val="-12"/>
                <w:sz w:val="15"/>
              </w:rPr>
              <w:t> </w:t>
            </w:r>
            <w:r>
              <w:rPr>
                <w:color w:val="231F20"/>
                <w:sz w:val="15"/>
              </w:rPr>
              <w:t>granulomatosis Granulomatous arteritis </w:t>
            </w:r>
            <w:r>
              <w:rPr>
                <w:color w:val="231F20"/>
                <w:spacing w:val="-2"/>
                <w:sz w:val="15"/>
              </w:rPr>
              <w:t>Sarcoidosis</w:t>
            </w:r>
          </w:p>
          <w:p>
            <w:pPr>
              <w:pStyle w:val="TableParagraph"/>
              <w:spacing w:line="232" w:lineRule="auto" w:before="1"/>
              <w:ind w:left="69" w:right="2578"/>
              <w:rPr>
                <w:sz w:val="15"/>
              </w:rPr>
            </w:pPr>
            <w:r>
              <w:rPr>
                <w:color w:val="231F20"/>
                <w:sz w:val="15"/>
              </w:rPr>
              <w:t>Familial Mediterranean fever Vogt-Koyanagi-Harada</w:t>
            </w:r>
            <w:r>
              <w:rPr>
                <w:color w:val="231F20"/>
                <w:spacing w:val="-2"/>
                <w:sz w:val="15"/>
              </w:rPr>
              <w:t> </w:t>
            </w:r>
            <w:r>
              <w:rPr>
                <w:color w:val="231F20"/>
                <w:sz w:val="15"/>
              </w:rPr>
              <w:t>syndrome</w:t>
            </w:r>
          </w:p>
        </w:tc>
      </w:tr>
      <w:tr>
        <w:trPr>
          <w:trHeight w:val="197" w:hRule="exact"/>
        </w:trPr>
        <w:tc>
          <w:tcPr>
            <w:tcW w:w="4870" w:type="dxa"/>
            <w:vMerge w:val="restart"/>
            <w:tcBorders>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BACTERIA</w:t>
            </w:r>
          </w:p>
          <w:p>
            <w:pPr>
              <w:pStyle w:val="TableParagraph"/>
              <w:spacing w:line="232" w:lineRule="auto" w:before="2"/>
              <w:ind w:left="74" w:right="1809"/>
              <w:rPr>
                <w:sz w:val="15"/>
              </w:rPr>
            </w:pPr>
            <w:r>
              <w:rPr>
                <w:i/>
                <w:color w:val="231F20"/>
                <w:spacing w:val="-2"/>
                <w:sz w:val="15"/>
              </w:rPr>
              <w:t>Mycobacterium</w:t>
            </w:r>
            <w:r>
              <w:rPr>
                <w:i/>
                <w:color w:val="231F20"/>
                <w:spacing w:val="-10"/>
                <w:sz w:val="15"/>
              </w:rPr>
              <w:t> </w:t>
            </w:r>
            <w:r>
              <w:rPr>
                <w:i/>
                <w:color w:val="231F20"/>
                <w:spacing w:val="-2"/>
                <w:sz w:val="15"/>
              </w:rPr>
              <w:t>tuberculosis</w:t>
            </w:r>
            <w:r>
              <w:rPr>
                <w:i/>
                <w:color w:val="231F20"/>
                <w:spacing w:val="-9"/>
                <w:sz w:val="15"/>
              </w:rPr>
              <w:t> </w:t>
            </w:r>
            <w:r>
              <w:rPr>
                <w:color w:val="231F20"/>
                <w:spacing w:val="-2"/>
                <w:sz w:val="15"/>
              </w:rPr>
              <w:t>(early</w:t>
            </w:r>
            <w:r>
              <w:rPr>
                <w:color w:val="231F20"/>
                <w:spacing w:val="-9"/>
                <w:sz w:val="15"/>
              </w:rPr>
              <w:t> </w:t>
            </w:r>
            <w:r>
              <w:rPr>
                <w:color w:val="231F20"/>
                <w:spacing w:val="-2"/>
                <w:sz w:val="15"/>
              </w:rPr>
              <w:t>and</w:t>
            </w:r>
            <w:r>
              <w:rPr>
                <w:color w:val="231F20"/>
                <w:spacing w:val="-10"/>
                <w:sz w:val="15"/>
              </w:rPr>
              <w:t> </w:t>
            </w:r>
            <w:r>
              <w:rPr>
                <w:color w:val="231F20"/>
                <w:spacing w:val="-2"/>
                <w:sz w:val="15"/>
              </w:rPr>
              <w:t>late) </w:t>
            </w:r>
            <w:r>
              <w:rPr>
                <w:i/>
                <w:color w:val="231F20"/>
                <w:sz w:val="15"/>
              </w:rPr>
              <w:t>Leptospira </w:t>
            </w:r>
            <w:r>
              <w:rPr>
                <w:color w:val="231F20"/>
                <w:sz w:val="15"/>
              </w:rPr>
              <w:t>species (leptospirosis) </w:t>
            </w:r>
            <w:r>
              <w:rPr>
                <w:i/>
                <w:color w:val="231F20"/>
                <w:sz w:val="15"/>
              </w:rPr>
              <w:t>Treponema pallidum </w:t>
            </w:r>
            <w:r>
              <w:rPr>
                <w:color w:val="231F20"/>
                <w:sz w:val="15"/>
              </w:rPr>
              <w:t>(syphilis)</w:t>
            </w:r>
          </w:p>
          <w:p>
            <w:pPr>
              <w:pStyle w:val="TableParagraph"/>
              <w:spacing w:line="232" w:lineRule="auto" w:before="1"/>
              <w:ind w:left="74" w:right="2446"/>
              <w:rPr>
                <w:sz w:val="15"/>
              </w:rPr>
            </w:pPr>
            <w:r>
              <w:rPr>
                <w:i/>
                <w:color w:val="231F20"/>
                <w:sz w:val="15"/>
              </w:rPr>
              <w:t>Borrelia </w:t>
            </w:r>
            <w:r>
              <w:rPr>
                <w:color w:val="231F20"/>
                <w:sz w:val="15"/>
              </w:rPr>
              <w:t>species (relapsing fever) </w:t>
            </w:r>
            <w:r>
              <w:rPr>
                <w:i/>
                <w:color w:val="231F20"/>
                <w:spacing w:val="-2"/>
                <w:sz w:val="15"/>
              </w:rPr>
              <w:t>Borrelia</w:t>
            </w:r>
            <w:r>
              <w:rPr>
                <w:i/>
                <w:color w:val="231F20"/>
                <w:spacing w:val="-10"/>
                <w:sz w:val="15"/>
              </w:rPr>
              <w:t> </w:t>
            </w:r>
            <w:r>
              <w:rPr>
                <w:i/>
                <w:color w:val="231F20"/>
                <w:spacing w:val="-2"/>
                <w:sz w:val="15"/>
              </w:rPr>
              <w:t>burgdorferi</w:t>
            </w:r>
            <w:r>
              <w:rPr>
                <w:i/>
                <w:color w:val="231F20"/>
                <w:spacing w:val="-9"/>
                <w:sz w:val="15"/>
              </w:rPr>
              <w:t> </w:t>
            </w:r>
            <w:r>
              <w:rPr>
                <w:color w:val="231F20"/>
                <w:spacing w:val="-2"/>
                <w:sz w:val="15"/>
              </w:rPr>
              <w:t>(Lyme</w:t>
            </w:r>
            <w:r>
              <w:rPr>
                <w:color w:val="231F20"/>
                <w:spacing w:val="-9"/>
                <w:sz w:val="15"/>
              </w:rPr>
              <w:t> </w:t>
            </w:r>
            <w:r>
              <w:rPr>
                <w:color w:val="231F20"/>
                <w:spacing w:val="-2"/>
                <w:sz w:val="15"/>
              </w:rPr>
              <w:t>disease) </w:t>
            </w:r>
            <w:r>
              <w:rPr>
                <w:i/>
                <w:color w:val="231F20"/>
                <w:sz w:val="15"/>
              </w:rPr>
              <w:t>Nocardia </w:t>
            </w:r>
            <w:r>
              <w:rPr>
                <w:color w:val="231F20"/>
                <w:sz w:val="15"/>
              </w:rPr>
              <w:t>species (nocardiosis) </w:t>
            </w:r>
            <w:r>
              <w:rPr>
                <w:i/>
                <w:color w:val="231F20"/>
                <w:sz w:val="15"/>
              </w:rPr>
              <w:t>Brucella </w:t>
            </w:r>
            <w:r>
              <w:rPr>
                <w:color w:val="231F20"/>
                <w:sz w:val="15"/>
              </w:rPr>
              <w:t>species</w:t>
            </w:r>
          </w:p>
          <w:p>
            <w:pPr>
              <w:pStyle w:val="TableParagraph"/>
              <w:spacing w:line="170" w:lineRule="exact"/>
              <w:ind w:left="74"/>
              <w:rPr>
                <w:sz w:val="15"/>
              </w:rPr>
            </w:pPr>
            <w:r>
              <w:rPr>
                <w:i/>
                <w:color w:val="231F20"/>
                <w:spacing w:val="-2"/>
                <w:sz w:val="15"/>
              </w:rPr>
              <w:t>Bartonella</w:t>
            </w:r>
            <w:r>
              <w:rPr>
                <w:i/>
                <w:color w:val="231F20"/>
                <w:spacing w:val="-9"/>
                <w:sz w:val="15"/>
              </w:rPr>
              <w:t> </w:t>
            </w:r>
            <w:r>
              <w:rPr>
                <w:color w:val="231F20"/>
                <w:spacing w:val="-2"/>
                <w:sz w:val="15"/>
              </w:rPr>
              <w:t>species</w:t>
            </w:r>
            <w:r>
              <w:rPr>
                <w:color w:val="231F20"/>
                <w:spacing w:val="-9"/>
                <w:sz w:val="15"/>
              </w:rPr>
              <w:t> </w:t>
            </w:r>
            <w:r>
              <w:rPr>
                <w:color w:val="231F20"/>
                <w:spacing w:val="-2"/>
                <w:sz w:val="15"/>
              </w:rPr>
              <w:t>(cat-scratch</w:t>
            </w:r>
            <w:r>
              <w:rPr>
                <w:color w:val="231F20"/>
                <w:spacing w:val="-9"/>
                <w:sz w:val="15"/>
              </w:rPr>
              <w:t> </w:t>
            </w:r>
            <w:r>
              <w:rPr>
                <w:color w:val="231F20"/>
                <w:spacing w:val="-2"/>
                <w:sz w:val="15"/>
              </w:rPr>
              <w:t>disease)</w:t>
            </w:r>
          </w:p>
          <w:p>
            <w:pPr>
              <w:pStyle w:val="TableParagraph"/>
              <w:spacing w:line="169" w:lineRule="exact"/>
              <w:ind w:left="74"/>
              <w:rPr>
                <w:sz w:val="15"/>
              </w:rPr>
            </w:pPr>
            <w:r>
              <w:rPr>
                <w:i/>
                <w:color w:val="231F20"/>
                <w:spacing w:val="-2"/>
                <w:sz w:val="15"/>
              </w:rPr>
              <w:t>Rickettsia</w:t>
            </w:r>
            <w:r>
              <w:rPr>
                <w:i/>
                <w:color w:val="231F20"/>
                <w:spacing w:val="-6"/>
                <w:sz w:val="15"/>
              </w:rPr>
              <w:t> </w:t>
            </w:r>
            <w:r>
              <w:rPr>
                <w:i/>
                <w:color w:val="231F20"/>
                <w:spacing w:val="-2"/>
                <w:sz w:val="15"/>
              </w:rPr>
              <w:t>rickettsii</w:t>
            </w:r>
            <w:r>
              <w:rPr>
                <w:i/>
                <w:color w:val="231F20"/>
                <w:spacing w:val="-5"/>
                <w:sz w:val="15"/>
              </w:rPr>
              <w:t> </w:t>
            </w:r>
            <w:r>
              <w:rPr>
                <w:color w:val="231F20"/>
                <w:spacing w:val="-2"/>
                <w:sz w:val="15"/>
              </w:rPr>
              <w:t>(Rocky</w:t>
            </w:r>
            <w:r>
              <w:rPr>
                <w:color w:val="231F20"/>
                <w:spacing w:val="-5"/>
                <w:sz w:val="15"/>
              </w:rPr>
              <w:t> </w:t>
            </w:r>
            <w:r>
              <w:rPr>
                <w:color w:val="231F20"/>
                <w:spacing w:val="-2"/>
                <w:sz w:val="15"/>
              </w:rPr>
              <w:t>Mountain</w:t>
            </w:r>
            <w:r>
              <w:rPr>
                <w:color w:val="231F20"/>
                <w:spacing w:val="-5"/>
                <w:sz w:val="15"/>
              </w:rPr>
              <w:t> </w:t>
            </w:r>
            <w:r>
              <w:rPr>
                <w:color w:val="231F20"/>
                <w:spacing w:val="-2"/>
                <w:sz w:val="15"/>
              </w:rPr>
              <w:t>spotted</w:t>
            </w:r>
            <w:r>
              <w:rPr>
                <w:color w:val="231F20"/>
                <w:spacing w:val="-6"/>
                <w:sz w:val="15"/>
              </w:rPr>
              <w:t> </w:t>
            </w:r>
            <w:r>
              <w:rPr>
                <w:color w:val="231F20"/>
                <w:spacing w:val="-2"/>
                <w:sz w:val="15"/>
              </w:rPr>
              <w:t>fever)</w:t>
            </w:r>
          </w:p>
          <w:p>
            <w:pPr>
              <w:pStyle w:val="TableParagraph"/>
              <w:spacing w:line="169" w:lineRule="exact"/>
              <w:ind w:left="74"/>
              <w:rPr>
                <w:sz w:val="15"/>
              </w:rPr>
            </w:pPr>
            <w:r>
              <w:rPr>
                <w:i/>
                <w:color w:val="231F20"/>
                <w:spacing w:val="-4"/>
                <w:sz w:val="15"/>
              </w:rPr>
              <w:t>Rickettsia</w:t>
            </w:r>
            <w:r>
              <w:rPr>
                <w:i/>
                <w:color w:val="231F20"/>
                <w:spacing w:val="-1"/>
                <w:sz w:val="15"/>
              </w:rPr>
              <w:t> </w:t>
            </w:r>
            <w:r>
              <w:rPr>
                <w:i/>
                <w:color w:val="231F20"/>
                <w:spacing w:val="-4"/>
                <w:sz w:val="15"/>
              </w:rPr>
              <w:t>prowazekii</w:t>
            </w:r>
            <w:r>
              <w:rPr>
                <w:i/>
                <w:color w:val="231F20"/>
                <w:spacing w:val="-1"/>
                <w:sz w:val="15"/>
              </w:rPr>
              <w:t> </w:t>
            </w:r>
            <w:r>
              <w:rPr>
                <w:color w:val="231F20"/>
                <w:spacing w:val="-4"/>
                <w:sz w:val="15"/>
              </w:rPr>
              <w:t>(typhus)</w:t>
            </w:r>
          </w:p>
          <w:p>
            <w:pPr>
              <w:pStyle w:val="TableParagraph"/>
              <w:spacing w:line="232" w:lineRule="auto" w:before="2"/>
              <w:ind w:left="74" w:right="3640"/>
              <w:rPr>
                <w:i/>
                <w:sz w:val="15"/>
              </w:rPr>
            </w:pPr>
            <w:r>
              <w:rPr>
                <w:i/>
                <w:color w:val="231F20"/>
                <w:sz w:val="15"/>
              </w:rPr>
              <w:t>Ehrlichia canis </w:t>
            </w:r>
            <w:r>
              <w:rPr>
                <w:i/>
                <w:color w:val="231F20"/>
                <w:spacing w:val="-4"/>
                <w:sz w:val="15"/>
              </w:rPr>
              <w:t>Coxiella</w:t>
            </w:r>
            <w:r>
              <w:rPr>
                <w:i/>
                <w:color w:val="231F20"/>
                <w:spacing w:val="-8"/>
                <w:sz w:val="15"/>
              </w:rPr>
              <w:t> </w:t>
            </w:r>
            <w:r>
              <w:rPr>
                <w:i/>
                <w:color w:val="231F20"/>
                <w:spacing w:val="-4"/>
                <w:sz w:val="15"/>
              </w:rPr>
              <w:t>burnetii</w:t>
            </w:r>
          </w:p>
          <w:p>
            <w:pPr>
              <w:pStyle w:val="TableParagraph"/>
              <w:spacing w:line="232" w:lineRule="auto" w:before="1"/>
              <w:ind w:left="74" w:right="2987"/>
              <w:rPr>
                <w:i/>
                <w:sz w:val="15"/>
              </w:rPr>
            </w:pPr>
            <w:r>
              <w:rPr>
                <w:i/>
                <w:color w:val="231F20"/>
                <w:sz w:val="15"/>
              </w:rPr>
              <w:t>Mycoplasma </w:t>
            </w:r>
            <w:r>
              <w:rPr>
                <w:i/>
                <w:color w:val="231F20"/>
                <w:sz w:val="15"/>
              </w:rPr>
              <w:t>pneumoniae Mycoplasma hominis Chlamydia trachomatis Chlamydia psittaci Chlamydia pneumoniae</w:t>
            </w:r>
          </w:p>
          <w:p>
            <w:pPr>
              <w:pStyle w:val="TableParagraph"/>
              <w:spacing w:line="172" w:lineRule="exact"/>
              <w:ind w:left="74"/>
              <w:rPr>
                <w:sz w:val="15"/>
              </w:rPr>
            </w:pPr>
            <w:r>
              <w:rPr>
                <w:color w:val="231F20"/>
                <w:spacing w:val="-4"/>
                <w:sz w:val="15"/>
              </w:rPr>
              <w:t>Partially</w:t>
            </w:r>
            <w:r>
              <w:rPr>
                <w:color w:val="231F20"/>
                <w:sz w:val="15"/>
              </w:rPr>
              <w:t> </w:t>
            </w:r>
            <w:r>
              <w:rPr>
                <w:color w:val="231F20"/>
                <w:spacing w:val="-4"/>
                <w:sz w:val="15"/>
              </w:rPr>
              <w:t>treated</w:t>
            </w:r>
            <w:r>
              <w:rPr>
                <w:color w:val="231F20"/>
                <w:spacing w:val="1"/>
                <w:sz w:val="15"/>
              </w:rPr>
              <w:t> </w:t>
            </w:r>
            <w:r>
              <w:rPr>
                <w:color w:val="231F20"/>
                <w:spacing w:val="-4"/>
                <w:sz w:val="15"/>
              </w:rPr>
              <w:t>bacterial</w:t>
            </w:r>
            <w:r>
              <w:rPr>
                <w:color w:val="231F20"/>
                <w:sz w:val="15"/>
              </w:rPr>
              <w:t> </w:t>
            </w:r>
            <w:r>
              <w:rPr>
                <w:color w:val="231F20"/>
                <w:spacing w:val="-4"/>
                <w:sz w:val="15"/>
              </w:rPr>
              <w:t>meningitis</w:t>
            </w:r>
          </w:p>
        </w:tc>
        <w:tc>
          <w:tcPr>
            <w:tcW w:w="4870" w:type="dxa"/>
            <w:vMerge/>
            <w:tcBorders>
              <w:top w:val="nil"/>
              <w:left w:val="single" w:sz="4" w:space="0" w:color="231F20"/>
              <w:right w:val="nil"/>
            </w:tcBorders>
            <w:shd w:val="clear" w:color="auto" w:fill="E8F5F1"/>
          </w:tcPr>
          <w:p>
            <w:pPr>
              <w:rPr>
                <w:sz w:val="2"/>
                <w:szCs w:val="2"/>
              </w:rPr>
            </w:pPr>
          </w:p>
        </w:tc>
      </w:tr>
      <w:tr>
        <w:trPr>
          <w:trHeight w:val="1109"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5"/>
                <w:sz w:val="15"/>
              </w:rPr>
              <w:t>MALIGNANCY</w:t>
            </w:r>
          </w:p>
          <w:p>
            <w:pPr>
              <w:pStyle w:val="TableParagraph"/>
              <w:spacing w:line="232" w:lineRule="auto" w:before="2"/>
              <w:ind w:left="69" w:right="3640"/>
              <w:rPr>
                <w:sz w:val="15"/>
              </w:rPr>
            </w:pPr>
            <w:r>
              <w:rPr>
                <w:color w:val="231F20"/>
                <w:spacing w:val="-2"/>
                <w:sz w:val="15"/>
              </w:rPr>
              <w:t>Leukemia Lymphoma</w:t>
            </w:r>
          </w:p>
          <w:p>
            <w:pPr>
              <w:pStyle w:val="TableParagraph"/>
              <w:spacing w:line="169" w:lineRule="exact"/>
              <w:ind w:left="69"/>
              <w:rPr>
                <w:sz w:val="15"/>
              </w:rPr>
            </w:pPr>
            <w:r>
              <w:rPr>
                <w:color w:val="231F20"/>
                <w:spacing w:val="-2"/>
                <w:sz w:val="15"/>
              </w:rPr>
              <w:t>Metastatic</w:t>
            </w:r>
            <w:r>
              <w:rPr>
                <w:color w:val="231F20"/>
                <w:spacing w:val="6"/>
                <w:sz w:val="15"/>
              </w:rPr>
              <w:t> </w:t>
            </w:r>
            <w:r>
              <w:rPr>
                <w:color w:val="231F20"/>
                <w:spacing w:val="-2"/>
                <w:sz w:val="15"/>
              </w:rPr>
              <w:t>carcinoma</w:t>
            </w:r>
          </w:p>
          <w:p>
            <w:pPr>
              <w:pStyle w:val="TableParagraph"/>
              <w:spacing w:line="230" w:lineRule="auto" w:before="3"/>
              <w:ind w:left="181" w:hanging="112"/>
              <w:rPr>
                <w:sz w:val="15"/>
              </w:rPr>
            </w:pPr>
            <w:r>
              <w:rPr>
                <w:color w:val="231F20"/>
                <w:spacing w:val="-2"/>
                <w:sz w:val="15"/>
              </w:rPr>
              <w:t>Central nervous system tumor (e.g., craniopharyngioma, </w:t>
            </w:r>
            <w:r>
              <w:rPr>
                <w:color w:val="231F20"/>
                <w:spacing w:val="-2"/>
                <w:sz w:val="15"/>
              </w:rPr>
              <w:t>glioma, </w:t>
            </w:r>
            <w:r>
              <w:rPr>
                <w:color w:val="231F20"/>
                <w:sz w:val="15"/>
              </w:rPr>
              <w:t>ependymoma, astrocytoma, medulloblastoma, teratoma)</w:t>
            </w:r>
          </w:p>
        </w:tc>
      </w:tr>
      <w:tr>
        <w:trPr>
          <w:trHeight w:val="1785" w:hRule="exact"/>
        </w:trPr>
        <w:tc>
          <w:tcPr>
            <w:tcW w:w="4870" w:type="dxa"/>
            <w:vMerge/>
            <w:tcBorders>
              <w:top w:val="nil"/>
              <w:left w:val="nil"/>
              <w:right w:val="single" w:sz="4" w:space="0" w:color="231F20"/>
            </w:tcBorders>
            <w:shd w:val="clear" w:color="auto" w:fill="E8F5F1"/>
          </w:tcPr>
          <w:p>
            <w:pPr>
              <w:rPr>
                <w:sz w:val="2"/>
                <w:szCs w:val="2"/>
              </w:rPr>
            </w:pPr>
          </w:p>
        </w:tc>
        <w:tc>
          <w:tcPr>
            <w:tcW w:w="4870" w:type="dxa"/>
            <w:tcBorders>
              <w:left w:val="single" w:sz="4" w:space="0" w:color="231F20"/>
              <w:right w:val="nil"/>
            </w:tcBorders>
            <w:shd w:val="clear" w:color="auto" w:fill="E8F5F1"/>
          </w:tcPr>
          <w:p>
            <w:pPr>
              <w:pStyle w:val="TableParagraph"/>
              <w:spacing w:line="172" w:lineRule="exact" w:before="43"/>
              <w:ind w:left="69"/>
              <w:rPr>
                <w:sz w:val="15"/>
              </w:rPr>
            </w:pPr>
            <w:r>
              <w:rPr>
                <w:color w:val="231F20"/>
                <w:spacing w:val="-2"/>
                <w:w w:val="110"/>
                <w:sz w:val="15"/>
              </w:rPr>
              <w:t>DRUGS</w:t>
            </w:r>
          </w:p>
          <w:p>
            <w:pPr>
              <w:pStyle w:val="TableParagraph"/>
              <w:spacing w:line="230" w:lineRule="auto" w:before="3"/>
              <w:ind w:left="181" w:right="895" w:hanging="112"/>
              <w:rPr>
                <w:sz w:val="15"/>
              </w:rPr>
            </w:pPr>
            <w:r>
              <w:rPr>
                <w:color w:val="231F20"/>
                <w:spacing w:val="-4"/>
                <w:sz w:val="15"/>
              </w:rPr>
              <w:t>Intrathecal infections (contrast media, serum, </w:t>
            </w:r>
            <w:r>
              <w:rPr>
                <w:color w:val="231F20"/>
                <w:spacing w:val="-4"/>
                <w:sz w:val="15"/>
              </w:rPr>
              <w:t>antibiotics, </w:t>
            </w:r>
            <w:r>
              <w:rPr>
                <w:color w:val="231F20"/>
                <w:sz w:val="15"/>
              </w:rPr>
              <w:t>antineoplastic agents)</w:t>
            </w:r>
          </w:p>
          <w:p>
            <w:pPr>
              <w:pStyle w:val="TableParagraph"/>
              <w:spacing w:line="232" w:lineRule="auto" w:before="2"/>
              <w:ind w:left="69" w:right="2197"/>
              <w:rPr>
                <w:sz w:val="15"/>
              </w:rPr>
            </w:pPr>
            <w:r>
              <w:rPr>
                <w:color w:val="231F20"/>
                <w:spacing w:val="-2"/>
                <w:sz w:val="15"/>
              </w:rPr>
              <w:t>Nonsteroidal antiinflammatory </w:t>
            </w:r>
            <w:r>
              <w:rPr>
                <w:color w:val="231F20"/>
                <w:spacing w:val="-2"/>
                <w:sz w:val="15"/>
              </w:rPr>
              <w:t>agents </w:t>
            </w:r>
            <w:r>
              <w:rPr>
                <w:color w:val="231F20"/>
                <w:sz w:val="15"/>
              </w:rPr>
              <w:t>OKT3 monoclonal antibodies </w:t>
            </w:r>
            <w:r>
              <w:rPr>
                <w:color w:val="231F20"/>
                <w:spacing w:val="-2"/>
                <w:sz w:val="15"/>
              </w:rPr>
              <w:t>Carbamazepine</w:t>
            </w:r>
          </w:p>
          <w:p>
            <w:pPr>
              <w:pStyle w:val="TableParagraph"/>
              <w:spacing w:line="169" w:lineRule="exact"/>
              <w:ind w:left="69"/>
              <w:rPr>
                <w:sz w:val="15"/>
              </w:rPr>
            </w:pPr>
            <w:r>
              <w:rPr>
                <w:color w:val="231F20"/>
                <w:spacing w:val="-2"/>
                <w:sz w:val="15"/>
              </w:rPr>
              <w:t>Azathioprine</w:t>
            </w:r>
          </w:p>
          <w:p>
            <w:pPr>
              <w:pStyle w:val="TableParagraph"/>
              <w:spacing w:line="169" w:lineRule="exact"/>
              <w:ind w:left="69"/>
              <w:rPr>
                <w:sz w:val="15"/>
              </w:rPr>
            </w:pPr>
            <w:r>
              <w:rPr>
                <w:color w:val="231F20"/>
                <w:sz w:val="15"/>
              </w:rPr>
              <w:t>Intravenous</w:t>
            </w:r>
            <w:r>
              <w:rPr>
                <w:color w:val="231F20"/>
                <w:spacing w:val="-7"/>
                <w:sz w:val="15"/>
              </w:rPr>
              <w:t> </w:t>
            </w:r>
            <w:r>
              <w:rPr>
                <w:color w:val="231F20"/>
                <w:sz w:val="15"/>
              </w:rPr>
              <w:t>immune</w:t>
            </w:r>
            <w:r>
              <w:rPr>
                <w:color w:val="231F20"/>
                <w:spacing w:val="-7"/>
                <w:sz w:val="15"/>
              </w:rPr>
              <w:t> </w:t>
            </w:r>
            <w:r>
              <w:rPr>
                <w:color w:val="231F20"/>
                <w:spacing w:val="-2"/>
                <w:sz w:val="15"/>
              </w:rPr>
              <w:t>globulins</w:t>
            </w:r>
          </w:p>
          <w:p>
            <w:pPr>
              <w:pStyle w:val="TableParagraph"/>
              <w:spacing w:line="230" w:lineRule="auto" w:before="3"/>
              <w:ind w:left="181" w:right="895" w:hanging="112"/>
              <w:rPr>
                <w:sz w:val="15"/>
              </w:rPr>
            </w:pPr>
            <w:r>
              <w:rPr>
                <w:color w:val="231F20"/>
                <w:spacing w:val="-4"/>
                <w:sz w:val="15"/>
              </w:rPr>
              <w:t>Antibiotics (trimethoprim-sulfamethoxazole, </w:t>
            </w:r>
            <w:r>
              <w:rPr>
                <w:color w:val="231F20"/>
                <w:spacing w:val="-4"/>
                <w:sz w:val="15"/>
              </w:rPr>
              <w:t>sulfasalazine, </w:t>
            </w:r>
            <w:r>
              <w:rPr>
                <w:color w:val="231F20"/>
                <w:sz w:val="15"/>
              </w:rPr>
              <w:t>ciprofloxacin, isoniazid)</w:t>
            </w:r>
          </w:p>
        </w:tc>
      </w:tr>
      <w:tr>
        <w:trPr>
          <w:trHeight w:val="220" w:hRule="exact"/>
        </w:trPr>
        <w:tc>
          <w:tcPr>
            <w:tcW w:w="4870" w:type="dxa"/>
            <w:vMerge/>
            <w:tcBorders>
              <w:top w:val="nil"/>
              <w:left w:val="nil"/>
              <w:right w:val="single" w:sz="4" w:space="0" w:color="231F20"/>
            </w:tcBorders>
            <w:shd w:val="clear" w:color="auto" w:fill="E8F5F1"/>
          </w:tcPr>
          <w:p>
            <w:pPr>
              <w:rPr>
                <w:sz w:val="2"/>
                <w:szCs w:val="2"/>
              </w:rPr>
            </w:pPr>
          </w:p>
        </w:tc>
        <w:tc>
          <w:tcPr>
            <w:tcW w:w="4870" w:type="dxa"/>
            <w:vMerge w:val="restart"/>
            <w:tcBorders>
              <w:left w:val="single" w:sz="4" w:space="0" w:color="231F20"/>
              <w:bottom w:val="single" w:sz="8" w:space="0" w:color="231F20"/>
              <w:right w:val="nil"/>
            </w:tcBorders>
            <w:shd w:val="clear" w:color="auto" w:fill="E8F5F1"/>
          </w:tcPr>
          <w:p>
            <w:pPr>
              <w:pStyle w:val="TableParagraph"/>
              <w:spacing w:line="172" w:lineRule="exact" w:before="43"/>
              <w:ind w:left="69"/>
              <w:rPr>
                <w:sz w:val="15"/>
              </w:rPr>
            </w:pPr>
            <w:r>
              <w:rPr>
                <w:color w:val="231F20"/>
                <w:spacing w:val="-2"/>
                <w:w w:val="115"/>
                <w:sz w:val="15"/>
              </w:rPr>
              <w:t>MISCELLANEOUS</w:t>
            </w:r>
          </w:p>
          <w:p>
            <w:pPr>
              <w:pStyle w:val="TableParagraph"/>
              <w:spacing w:line="232" w:lineRule="auto" w:before="2"/>
              <w:ind w:left="69" w:right="2197"/>
              <w:rPr>
                <w:sz w:val="15"/>
              </w:rPr>
            </w:pPr>
            <w:r>
              <w:rPr>
                <w:color w:val="231F20"/>
                <w:spacing w:val="-2"/>
                <w:sz w:val="15"/>
              </w:rPr>
              <w:t>Heavy</w:t>
            </w:r>
            <w:r>
              <w:rPr>
                <w:color w:val="231F20"/>
                <w:spacing w:val="-4"/>
                <w:sz w:val="15"/>
              </w:rPr>
              <w:t> </w:t>
            </w:r>
            <w:r>
              <w:rPr>
                <w:color w:val="231F20"/>
                <w:spacing w:val="-2"/>
                <w:sz w:val="15"/>
              </w:rPr>
              <w:t>metal</w:t>
            </w:r>
            <w:r>
              <w:rPr>
                <w:color w:val="231F20"/>
                <w:spacing w:val="-4"/>
                <w:sz w:val="15"/>
              </w:rPr>
              <w:t> </w:t>
            </w:r>
            <w:r>
              <w:rPr>
                <w:color w:val="231F20"/>
                <w:spacing w:val="-2"/>
                <w:sz w:val="15"/>
              </w:rPr>
              <w:t>poisoning</w:t>
            </w:r>
            <w:r>
              <w:rPr>
                <w:color w:val="231F20"/>
                <w:spacing w:val="-4"/>
                <w:sz w:val="15"/>
              </w:rPr>
              <w:t> </w:t>
            </w:r>
            <w:r>
              <w:rPr>
                <w:color w:val="231F20"/>
                <w:spacing w:val="-2"/>
                <w:sz w:val="15"/>
              </w:rPr>
              <w:t>(lead,</w:t>
            </w:r>
            <w:r>
              <w:rPr>
                <w:color w:val="231F20"/>
                <w:spacing w:val="-4"/>
                <w:sz w:val="15"/>
              </w:rPr>
              <w:t> </w:t>
            </w:r>
            <w:r>
              <w:rPr>
                <w:color w:val="231F20"/>
                <w:spacing w:val="-2"/>
                <w:sz w:val="15"/>
              </w:rPr>
              <w:t>arsenic) </w:t>
            </w:r>
            <w:r>
              <w:rPr>
                <w:color w:val="231F20"/>
                <w:sz w:val="15"/>
              </w:rPr>
              <w:t>Foreign bodies (shunt, reservoir) Subarachnoid hemorrhage</w:t>
            </w:r>
          </w:p>
          <w:p>
            <w:pPr>
              <w:pStyle w:val="TableParagraph"/>
              <w:spacing w:line="232" w:lineRule="auto" w:before="1"/>
              <w:ind w:left="69" w:right="3376"/>
              <w:rPr>
                <w:sz w:val="15"/>
              </w:rPr>
            </w:pPr>
            <w:r>
              <w:rPr>
                <w:color w:val="231F20"/>
                <w:sz w:val="15"/>
              </w:rPr>
              <w:t>Postictal state </w:t>
            </w:r>
            <w:r>
              <w:rPr>
                <w:color w:val="231F20"/>
                <w:spacing w:val="-2"/>
                <w:sz w:val="15"/>
              </w:rPr>
              <w:t>Postmigraine</w:t>
            </w:r>
            <w:r>
              <w:rPr>
                <w:color w:val="231F20"/>
                <w:spacing w:val="-10"/>
                <w:sz w:val="15"/>
              </w:rPr>
              <w:t> </w:t>
            </w:r>
            <w:r>
              <w:rPr>
                <w:color w:val="231F20"/>
                <w:spacing w:val="-2"/>
                <w:sz w:val="15"/>
              </w:rPr>
              <w:t>state</w:t>
            </w:r>
          </w:p>
          <w:p>
            <w:pPr>
              <w:pStyle w:val="TableParagraph"/>
              <w:spacing w:line="232" w:lineRule="auto" w:before="1"/>
              <w:ind w:left="69" w:right="2287"/>
              <w:rPr>
                <w:sz w:val="15"/>
              </w:rPr>
            </w:pPr>
            <w:r>
              <w:rPr>
                <w:color w:val="231F20"/>
                <w:sz w:val="15"/>
              </w:rPr>
              <w:t>Mollaret syndrome (recurrent) </w:t>
            </w:r>
            <w:r>
              <w:rPr>
                <w:color w:val="231F20"/>
                <w:spacing w:val="-4"/>
                <w:sz w:val="15"/>
              </w:rPr>
              <w:t>Intraventricular hemorrhage </w:t>
            </w:r>
            <w:r>
              <w:rPr>
                <w:color w:val="231F20"/>
                <w:spacing w:val="-4"/>
                <w:sz w:val="15"/>
              </w:rPr>
              <w:t>(neonate) </w:t>
            </w:r>
            <w:r>
              <w:rPr>
                <w:color w:val="231F20"/>
                <w:sz w:val="15"/>
              </w:rPr>
              <w:t>Familial hemophagocytic syndrome </w:t>
            </w:r>
            <w:r>
              <w:rPr>
                <w:color w:val="231F20"/>
                <w:spacing w:val="-2"/>
                <w:sz w:val="15"/>
              </w:rPr>
              <w:t>Postneurosurgery</w:t>
            </w:r>
            <w:r>
              <w:rPr>
                <w:color w:val="231F20"/>
                <w:spacing w:val="40"/>
                <w:sz w:val="15"/>
              </w:rPr>
              <w:t> </w:t>
            </w:r>
            <w:r>
              <w:rPr>
                <w:color w:val="231F20"/>
                <w:sz w:val="15"/>
              </w:rPr>
              <w:t>Dermoid–epidermoid cyst</w:t>
            </w:r>
          </w:p>
          <w:p>
            <w:pPr>
              <w:pStyle w:val="TableParagraph"/>
              <w:spacing w:line="170" w:lineRule="exact"/>
              <w:ind w:left="69"/>
              <w:rPr>
                <w:sz w:val="15"/>
              </w:rPr>
            </w:pPr>
            <w:r>
              <w:rPr>
                <w:color w:val="231F20"/>
                <w:sz w:val="15"/>
              </w:rPr>
              <w:t>Headache, neurologic</w:t>
            </w:r>
            <w:r>
              <w:rPr>
                <w:color w:val="231F20"/>
                <w:spacing w:val="1"/>
                <w:sz w:val="15"/>
              </w:rPr>
              <w:t> </w:t>
            </w:r>
            <w:r>
              <w:rPr>
                <w:color w:val="231F20"/>
                <w:spacing w:val="-2"/>
                <w:sz w:val="15"/>
              </w:rPr>
              <w:t>deficits</w:t>
            </w:r>
          </w:p>
          <w:p>
            <w:pPr>
              <w:pStyle w:val="TableParagraph"/>
              <w:spacing w:line="230" w:lineRule="auto" w:before="3"/>
              <w:ind w:left="181" w:hanging="112"/>
              <w:rPr>
                <w:sz w:val="15"/>
              </w:rPr>
            </w:pPr>
            <w:r>
              <w:rPr>
                <w:color w:val="231F20"/>
                <w:sz w:val="15"/>
              </w:rPr>
              <w:t>CSF</w:t>
            </w:r>
            <w:r>
              <w:rPr>
                <w:color w:val="231F20"/>
                <w:spacing w:val="-3"/>
                <w:sz w:val="15"/>
              </w:rPr>
              <w:t> </w:t>
            </w:r>
            <w:r>
              <w:rPr>
                <w:color w:val="231F20"/>
                <w:sz w:val="15"/>
              </w:rPr>
              <w:t>lymphocytosis</w:t>
            </w:r>
            <w:r>
              <w:rPr>
                <w:color w:val="231F20"/>
                <w:spacing w:val="-3"/>
                <w:sz w:val="15"/>
              </w:rPr>
              <w:t> </w:t>
            </w:r>
            <w:r>
              <w:rPr>
                <w:color w:val="231F20"/>
                <w:sz w:val="15"/>
              </w:rPr>
              <w:t>(syndrome</w:t>
            </w:r>
            <w:r>
              <w:rPr>
                <w:color w:val="231F20"/>
                <w:spacing w:val="-3"/>
                <w:sz w:val="15"/>
              </w:rPr>
              <w:t> </w:t>
            </w:r>
            <w:r>
              <w:rPr>
                <w:color w:val="231F20"/>
                <w:sz w:val="15"/>
              </w:rPr>
              <w:t>of</w:t>
            </w:r>
            <w:r>
              <w:rPr>
                <w:color w:val="231F20"/>
                <w:spacing w:val="-3"/>
                <w:sz w:val="15"/>
              </w:rPr>
              <w:t> </w:t>
            </w:r>
            <w:r>
              <w:rPr>
                <w:color w:val="231F20"/>
                <w:sz w:val="15"/>
              </w:rPr>
              <w:t>transient</w:t>
            </w:r>
            <w:r>
              <w:rPr>
                <w:color w:val="231F20"/>
                <w:spacing w:val="-3"/>
                <w:sz w:val="15"/>
              </w:rPr>
              <w:t> </w:t>
            </w:r>
            <w:r>
              <w:rPr>
                <w:color w:val="231F20"/>
                <w:sz w:val="15"/>
              </w:rPr>
              <w:t>headache</w:t>
            </w:r>
            <w:r>
              <w:rPr>
                <w:color w:val="231F20"/>
                <w:spacing w:val="-3"/>
                <w:sz w:val="15"/>
              </w:rPr>
              <w:t> </w:t>
            </w:r>
            <w:r>
              <w:rPr>
                <w:color w:val="231F20"/>
                <w:sz w:val="15"/>
              </w:rPr>
              <w:t>and</w:t>
            </w:r>
            <w:r>
              <w:rPr>
                <w:color w:val="231F20"/>
                <w:spacing w:val="-3"/>
                <w:sz w:val="15"/>
              </w:rPr>
              <w:t> </w:t>
            </w:r>
            <w:r>
              <w:rPr>
                <w:color w:val="231F20"/>
                <w:sz w:val="15"/>
              </w:rPr>
              <w:t>neurologic deficits with cerebrospinal fluid lymphocytosis [HaNDL])</w:t>
            </w:r>
          </w:p>
        </w:tc>
      </w:tr>
      <w:tr>
        <w:trPr>
          <w:trHeight w:val="1110" w:hRule="exact"/>
        </w:trPr>
        <w:tc>
          <w:tcPr>
            <w:tcW w:w="4870" w:type="dxa"/>
            <w:tcBorders>
              <w:left w:val="nil"/>
              <w:right w:val="single" w:sz="4" w:space="0" w:color="231F20"/>
            </w:tcBorders>
            <w:shd w:val="clear" w:color="auto" w:fill="E8F5F1"/>
          </w:tcPr>
          <w:p>
            <w:pPr>
              <w:pStyle w:val="TableParagraph"/>
              <w:spacing w:line="172" w:lineRule="exact" w:before="43"/>
              <w:ind w:left="74"/>
              <w:rPr>
                <w:sz w:val="15"/>
              </w:rPr>
            </w:pPr>
            <w:r>
              <w:rPr>
                <w:color w:val="231F20"/>
                <w:w w:val="110"/>
                <w:sz w:val="15"/>
              </w:rPr>
              <w:t>BACTERIAL</w:t>
            </w:r>
            <w:r>
              <w:rPr>
                <w:color w:val="231F20"/>
                <w:spacing w:val="27"/>
                <w:w w:val="110"/>
                <w:sz w:val="15"/>
              </w:rPr>
              <w:t> </w:t>
            </w:r>
            <w:r>
              <w:rPr>
                <w:color w:val="231F20"/>
                <w:w w:val="110"/>
                <w:sz w:val="15"/>
              </w:rPr>
              <w:t>PARAMENINGEAL</w:t>
            </w:r>
            <w:r>
              <w:rPr>
                <w:color w:val="231F20"/>
                <w:spacing w:val="27"/>
                <w:w w:val="110"/>
                <w:sz w:val="15"/>
              </w:rPr>
              <w:t> </w:t>
            </w:r>
            <w:r>
              <w:rPr>
                <w:color w:val="231F20"/>
                <w:spacing w:val="-2"/>
                <w:w w:val="110"/>
                <w:sz w:val="15"/>
              </w:rPr>
              <w:t>FOCUS</w:t>
            </w:r>
          </w:p>
          <w:p>
            <w:pPr>
              <w:pStyle w:val="TableParagraph"/>
              <w:spacing w:line="232" w:lineRule="auto" w:before="2"/>
              <w:ind w:left="74" w:right="3790"/>
              <w:rPr>
                <w:sz w:val="15"/>
              </w:rPr>
            </w:pPr>
            <w:r>
              <w:rPr>
                <w:color w:val="231F20"/>
                <w:spacing w:val="-2"/>
                <w:sz w:val="15"/>
              </w:rPr>
              <w:t>Sinusitis Mastoiditis </w:t>
            </w:r>
            <w:r>
              <w:rPr>
                <w:color w:val="231F20"/>
                <w:sz w:val="15"/>
              </w:rPr>
              <w:t>Brain</w:t>
            </w:r>
            <w:r>
              <w:rPr>
                <w:color w:val="231F20"/>
                <w:spacing w:val="-12"/>
                <w:sz w:val="15"/>
              </w:rPr>
              <w:t> </w:t>
            </w:r>
            <w:r>
              <w:rPr>
                <w:color w:val="231F20"/>
                <w:sz w:val="15"/>
              </w:rPr>
              <w:t>abscess</w:t>
            </w:r>
          </w:p>
          <w:p>
            <w:pPr>
              <w:pStyle w:val="TableParagraph"/>
              <w:spacing w:line="232" w:lineRule="auto" w:before="1"/>
              <w:ind w:left="74" w:right="2703"/>
              <w:rPr>
                <w:sz w:val="15"/>
              </w:rPr>
            </w:pPr>
            <w:r>
              <w:rPr>
                <w:color w:val="231F20"/>
                <w:sz w:val="15"/>
              </w:rPr>
              <w:t>Subdural-epidural</w:t>
            </w:r>
            <w:r>
              <w:rPr>
                <w:color w:val="231F20"/>
                <w:spacing w:val="-12"/>
                <w:sz w:val="15"/>
              </w:rPr>
              <w:t> </w:t>
            </w:r>
            <w:r>
              <w:rPr>
                <w:color w:val="231F20"/>
                <w:sz w:val="15"/>
              </w:rPr>
              <w:t>empyema Cranial osteomyelitis</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r>
        <w:trPr>
          <w:trHeight w:val="1616" w:hRule="exact"/>
        </w:trPr>
        <w:tc>
          <w:tcPr>
            <w:tcW w:w="4870" w:type="dxa"/>
            <w:tcBorders>
              <w:left w:val="nil"/>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FUNGI</w:t>
            </w:r>
          </w:p>
          <w:p>
            <w:pPr>
              <w:pStyle w:val="TableParagraph"/>
              <w:spacing w:line="232" w:lineRule="auto" w:before="2"/>
              <w:ind w:left="74" w:right="1539"/>
              <w:rPr>
                <w:sz w:val="15"/>
              </w:rPr>
            </w:pPr>
            <w:r>
              <w:rPr>
                <w:i/>
                <w:color w:val="231F20"/>
                <w:sz w:val="15"/>
              </w:rPr>
              <w:t>Coccidioides</w:t>
            </w:r>
            <w:r>
              <w:rPr>
                <w:i/>
                <w:color w:val="231F20"/>
                <w:spacing w:val="-11"/>
                <w:sz w:val="15"/>
              </w:rPr>
              <w:t> </w:t>
            </w:r>
            <w:r>
              <w:rPr>
                <w:i/>
                <w:color w:val="231F20"/>
                <w:sz w:val="15"/>
              </w:rPr>
              <w:t>immitis</w:t>
            </w:r>
            <w:r>
              <w:rPr>
                <w:i/>
                <w:color w:val="231F20"/>
                <w:spacing w:val="-11"/>
                <w:sz w:val="15"/>
              </w:rPr>
              <w:t> </w:t>
            </w:r>
            <w:r>
              <w:rPr>
                <w:color w:val="231F20"/>
                <w:sz w:val="15"/>
              </w:rPr>
              <w:t>(coccidioidomycosis) </w:t>
            </w:r>
            <w:r>
              <w:rPr>
                <w:i/>
                <w:color w:val="231F20"/>
                <w:sz w:val="15"/>
              </w:rPr>
              <w:t>Blastomyces dermatitidis </w:t>
            </w:r>
            <w:r>
              <w:rPr>
                <w:color w:val="231F20"/>
                <w:sz w:val="15"/>
              </w:rPr>
              <w:t>(blastomycosis) </w:t>
            </w:r>
            <w:r>
              <w:rPr>
                <w:i/>
                <w:color w:val="231F20"/>
                <w:spacing w:val="-2"/>
                <w:sz w:val="15"/>
              </w:rPr>
              <w:t>Cryptococcus neoformans </w:t>
            </w:r>
            <w:r>
              <w:rPr>
                <w:color w:val="231F20"/>
                <w:spacing w:val="-2"/>
                <w:sz w:val="15"/>
              </w:rPr>
              <w:t>(cryptococcosis) </w:t>
            </w:r>
            <w:r>
              <w:rPr>
                <w:i/>
                <w:color w:val="231F20"/>
                <w:sz w:val="15"/>
              </w:rPr>
              <w:t>Histoplasma capsulatum </w:t>
            </w:r>
            <w:r>
              <w:rPr>
                <w:color w:val="231F20"/>
                <w:sz w:val="15"/>
              </w:rPr>
              <w:t>(histoplasmosis) </w:t>
            </w:r>
            <w:r>
              <w:rPr>
                <w:i/>
                <w:color w:val="231F20"/>
                <w:sz w:val="15"/>
              </w:rPr>
              <w:t>Candida </w:t>
            </w:r>
            <w:r>
              <w:rPr>
                <w:color w:val="231F20"/>
                <w:sz w:val="15"/>
              </w:rPr>
              <w:t>species</w:t>
            </w:r>
          </w:p>
          <w:p>
            <w:pPr>
              <w:pStyle w:val="TableParagraph"/>
              <w:spacing w:line="230" w:lineRule="auto" w:before="4"/>
              <w:ind w:left="186" w:hanging="112"/>
              <w:rPr>
                <w:i/>
                <w:sz w:val="15"/>
              </w:rPr>
            </w:pPr>
            <w:r>
              <w:rPr>
                <w:color w:val="231F20"/>
                <w:spacing w:val="-2"/>
                <w:sz w:val="15"/>
              </w:rPr>
              <w:t>Other fungi </w:t>
            </w:r>
            <w:r>
              <w:rPr>
                <w:i/>
                <w:color w:val="231F20"/>
                <w:spacing w:val="-2"/>
                <w:sz w:val="15"/>
              </w:rPr>
              <w:t>(Alternaria, Aspergillus, Cephalosporium, </w:t>
            </w:r>
            <w:r>
              <w:rPr>
                <w:i/>
                <w:color w:val="231F20"/>
                <w:spacing w:val="-2"/>
                <w:sz w:val="15"/>
              </w:rPr>
              <w:t>Cladosporium, Drechslera hawaiiensis, Paracoccidioides brasiliensis, Petriellidium </w:t>
            </w:r>
            <w:r>
              <w:rPr>
                <w:i/>
                <w:color w:val="231F20"/>
                <w:sz w:val="15"/>
              </w:rPr>
              <w:t>boydii, Sporotrichum schenckii, Ustilago </w:t>
            </w:r>
            <w:r>
              <w:rPr>
                <w:color w:val="231F20"/>
                <w:sz w:val="15"/>
              </w:rPr>
              <w:t>spp.</w:t>
            </w:r>
            <w:r>
              <w:rPr>
                <w:i/>
                <w:color w:val="231F20"/>
                <w:sz w:val="15"/>
              </w:rPr>
              <w:t>, Zygomycetes)</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r>
        <w:trPr>
          <w:trHeight w:val="1962" w:hRule="exact"/>
        </w:trPr>
        <w:tc>
          <w:tcPr>
            <w:tcW w:w="4870" w:type="dxa"/>
            <w:tcBorders>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w w:val="110"/>
                <w:sz w:val="15"/>
              </w:rPr>
              <w:t>PARASITES</w:t>
            </w:r>
            <w:r>
              <w:rPr>
                <w:color w:val="231F20"/>
                <w:spacing w:val="-1"/>
                <w:w w:val="110"/>
                <w:sz w:val="15"/>
              </w:rPr>
              <w:t> </w:t>
            </w:r>
            <w:r>
              <w:rPr>
                <w:color w:val="231F20"/>
                <w:spacing w:val="-2"/>
                <w:w w:val="110"/>
                <w:sz w:val="15"/>
              </w:rPr>
              <w:t>(EOSINOPHILIC)</w:t>
            </w:r>
          </w:p>
          <w:p>
            <w:pPr>
              <w:pStyle w:val="TableParagraph"/>
              <w:spacing w:line="232" w:lineRule="auto" w:before="2"/>
              <w:ind w:left="74" w:right="2703"/>
              <w:rPr>
                <w:i/>
                <w:sz w:val="15"/>
              </w:rPr>
            </w:pPr>
            <w:r>
              <w:rPr>
                <w:i/>
                <w:color w:val="231F20"/>
                <w:sz w:val="15"/>
              </w:rPr>
              <w:t>Angiostrongylus</w:t>
            </w:r>
            <w:r>
              <w:rPr>
                <w:i/>
                <w:color w:val="231F20"/>
                <w:spacing w:val="-12"/>
                <w:sz w:val="15"/>
              </w:rPr>
              <w:t> </w:t>
            </w:r>
            <w:r>
              <w:rPr>
                <w:i/>
                <w:color w:val="231F20"/>
                <w:sz w:val="15"/>
              </w:rPr>
              <w:t>cantonensis Gnathostoma spinigerum Baylisascaris procyonis Strongyloides stercoralis Trichinella spiralis</w:t>
            </w:r>
          </w:p>
          <w:p>
            <w:pPr>
              <w:pStyle w:val="TableParagraph"/>
              <w:spacing w:line="170" w:lineRule="exact"/>
              <w:ind w:left="74"/>
              <w:rPr>
                <w:i/>
                <w:sz w:val="15"/>
              </w:rPr>
            </w:pPr>
            <w:r>
              <w:rPr>
                <w:i/>
                <w:color w:val="231F20"/>
                <w:sz w:val="15"/>
              </w:rPr>
              <w:t>Toxocara</w:t>
            </w:r>
            <w:r>
              <w:rPr>
                <w:i/>
                <w:color w:val="231F20"/>
                <w:spacing w:val="-6"/>
                <w:sz w:val="15"/>
              </w:rPr>
              <w:t> </w:t>
            </w:r>
            <w:r>
              <w:rPr>
                <w:i/>
                <w:color w:val="231F20"/>
                <w:spacing w:val="-2"/>
                <w:sz w:val="15"/>
              </w:rPr>
              <w:t>canis</w:t>
            </w:r>
          </w:p>
          <w:p>
            <w:pPr>
              <w:pStyle w:val="TableParagraph"/>
              <w:spacing w:line="232" w:lineRule="auto" w:before="2"/>
              <w:ind w:left="74" w:right="2703"/>
              <w:rPr>
                <w:sz w:val="15"/>
              </w:rPr>
            </w:pPr>
            <w:r>
              <w:rPr>
                <w:i/>
                <w:color w:val="231F20"/>
                <w:spacing w:val="-4"/>
                <w:sz w:val="15"/>
              </w:rPr>
              <w:t>Taenia solium </w:t>
            </w:r>
            <w:r>
              <w:rPr>
                <w:color w:val="231F20"/>
                <w:spacing w:val="-4"/>
                <w:sz w:val="15"/>
              </w:rPr>
              <w:t>(cysticercosis) </w:t>
            </w:r>
            <w:r>
              <w:rPr>
                <w:i/>
                <w:color w:val="231F20"/>
                <w:sz w:val="15"/>
              </w:rPr>
              <w:t>Paragonimus westermani Schistosoma </w:t>
            </w:r>
            <w:r>
              <w:rPr>
                <w:color w:val="231F20"/>
                <w:sz w:val="15"/>
              </w:rPr>
              <w:t>spp.</w:t>
            </w:r>
          </w:p>
          <w:p>
            <w:pPr>
              <w:pStyle w:val="TableParagraph"/>
              <w:spacing w:line="171" w:lineRule="exact"/>
              <w:ind w:left="74"/>
              <w:rPr>
                <w:sz w:val="15"/>
              </w:rPr>
            </w:pPr>
            <w:r>
              <w:rPr>
                <w:i/>
                <w:color w:val="231F20"/>
                <w:sz w:val="15"/>
              </w:rPr>
              <w:t>Fasciola</w:t>
            </w:r>
            <w:r>
              <w:rPr>
                <w:i/>
                <w:color w:val="231F20"/>
                <w:spacing w:val="-10"/>
                <w:sz w:val="15"/>
              </w:rPr>
              <w:t> </w:t>
            </w:r>
            <w:r>
              <w:rPr>
                <w:color w:val="231F20"/>
                <w:spacing w:val="-4"/>
                <w:sz w:val="15"/>
              </w:rPr>
              <w:t>spp.</w:t>
            </w:r>
          </w:p>
        </w:tc>
        <w:tc>
          <w:tcPr>
            <w:tcW w:w="4870" w:type="dxa"/>
            <w:vMerge/>
            <w:tcBorders>
              <w:top w:val="nil"/>
              <w:left w:val="single" w:sz="4" w:space="0" w:color="231F20"/>
              <w:bottom w:val="single" w:sz="8" w:space="0" w:color="231F20"/>
              <w:right w:val="nil"/>
            </w:tcBorders>
            <w:shd w:val="clear" w:color="auto" w:fill="E8F5F1"/>
          </w:tcPr>
          <w:p>
            <w:pPr>
              <w:rPr>
                <w:sz w:val="2"/>
                <w:szCs w:val="2"/>
              </w:rPr>
            </w:pPr>
          </w:p>
        </w:tc>
      </w:tr>
    </w:tbl>
    <w:p>
      <w:pPr>
        <w:spacing w:before="79"/>
        <w:ind w:left="486" w:right="705" w:firstLine="0"/>
        <w:jc w:val="left"/>
        <w:rPr>
          <w:sz w:val="13"/>
        </w:rPr>
      </w:pPr>
      <w:r>
        <w:rPr>
          <w:color w:val="231F20"/>
          <w:sz w:val="13"/>
        </w:rPr>
        <w:t>Compiled from Cherry JD: Aseptic meningitis and viral meningitis. In Feigin RD, Cherry JD, editors: </w:t>
      </w:r>
      <w:r>
        <w:rPr>
          <w:i/>
          <w:color w:val="231F20"/>
          <w:sz w:val="13"/>
        </w:rPr>
        <w:t>Textbook of pediatric infectious diseases</w:t>
      </w:r>
      <w:r>
        <w:rPr>
          <w:color w:val="231F20"/>
          <w:sz w:val="13"/>
        </w:rPr>
        <w:t>, ed 4, Philadelphia,</w:t>
      </w:r>
      <w:r>
        <w:rPr>
          <w:color w:val="231F20"/>
          <w:spacing w:val="40"/>
          <w:sz w:val="13"/>
        </w:rPr>
        <w:t> </w:t>
      </w:r>
      <w:r>
        <w:rPr>
          <w:color w:val="231F20"/>
          <w:sz w:val="13"/>
        </w:rPr>
        <w:t>1998,</w:t>
      </w:r>
      <w:r>
        <w:rPr>
          <w:color w:val="231F20"/>
          <w:spacing w:val="-3"/>
          <w:sz w:val="13"/>
        </w:rPr>
        <w:t> </w:t>
      </w:r>
      <w:r>
        <w:rPr>
          <w:color w:val="231F20"/>
          <w:sz w:val="13"/>
        </w:rPr>
        <w:t>WB</w:t>
      </w:r>
      <w:r>
        <w:rPr>
          <w:color w:val="231F20"/>
          <w:spacing w:val="-3"/>
          <w:sz w:val="13"/>
        </w:rPr>
        <w:t> </w:t>
      </w:r>
      <w:r>
        <w:rPr>
          <w:color w:val="231F20"/>
          <w:sz w:val="13"/>
        </w:rPr>
        <w:t>Saunders,</w:t>
      </w:r>
      <w:r>
        <w:rPr>
          <w:color w:val="231F20"/>
          <w:spacing w:val="-3"/>
          <w:sz w:val="13"/>
        </w:rPr>
        <w:t> </w:t>
      </w:r>
      <w:r>
        <w:rPr>
          <w:color w:val="231F20"/>
          <w:sz w:val="13"/>
        </w:rPr>
        <w:t>p.</w:t>
      </w:r>
      <w:r>
        <w:rPr>
          <w:color w:val="231F20"/>
          <w:spacing w:val="-3"/>
          <w:sz w:val="13"/>
        </w:rPr>
        <w:t> </w:t>
      </w:r>
      <w:r>
        <w:rPr>
          <w:color w:val="231F20"/>
          <w:sz w:val="13"/>
        </w:rPr>
        <w:t>450;</w:t>
      </w:r>
      <w:r>
        <w:rPr>
          <w:color w:val="231F20"/>
          <w:spacing w:val="-3"/>
          <w:sz w:val="13"/>
        </w:rPr>
        <w:t> </w:t>
      </w:r>
      <w:r>
        <w:rPr>
          <w:color w:val="231F20"/>
          <w:sz w:val="13"/>
        </w:rPr>
        <w:t>Davis</w:t>
      </w:r>
      <w:r>
        <w:rPr>
          <w:color w:val="231F20"/>
          <w:spacing w:val="-3"/>
          <w:sz w:val="13"/>
        </w:rPr>
        <w:t> </w:t>
      </w:r>
      <w:r>
        <w:rPr>
          <w:color w:val="231F20"/>
          <w:sz w:val="13"/>
        </w:rPr>
        <w:t>LE:</w:t>
      </w:r>
      <w:r>
        <w:rPr>
          <w:color w:val="231F20"/>
          <w:spacing w:val="-3"/>
          <w:sz w:val="13"/>
        </w:rPr>
        <w:t> </w:t>
      </w:r>
      <w:r>
        <w:rPr>
          <w:color w:val="231F20"/>
          <w:sz w:val="13"/>
        </w:rPr>
        <w:t>Aseptic</w:t>
      </w:r>
      <w:r>
        <w:rPr>
          <w:color w:val="231F20"/>
          <w:spacing w:val="-3"/>
          <w:sz w:val="13"/>
        </w:rPr>
        <w:t> </w:t>
      </w:r>
      <w:r>
        <w:rPr>
          <w:color w:val="231F20"/>
          <w:sz w:val="13"/>
        </w:rPr>
        <w:t>and</w:t>
      </w:r>
      <w:r>
        <w:rPr>
          <w:color w:val="231F20"/>
          <w:spacing w:val="-3"/>
          <w:sz w:val="13"/>
        </w:rPr>
        <w:t> </w:t>
      </w:r>
      <w:r>
        <w:rPr>
          <w:color w:val="231F20"/>
          <w:sz w:val="13"/>
        </w:rPr>
        <w:t>viral</w:t>
      </w:r>
      <w:r>
        <w:rPr>
          <w:color w:val="231F20"/>
          <w:spacing w:val="-3"/>
          <w:sz w:val="13"/>
        </w:rPr>
        <w:t> </w:t>
      </w:r>
      <w:r>
        <w:rPr>
          <w:color w:val="231F20"/>
          <w:sz w:val="13"/>
        </w:rPr>
        <w:t>meningitis.</w:t>
      </w:r>
      <w:r>
        <w:rPr>
          <w:color w:val="231F20"/>
          <w:spacing w:val="-3"/>
          <w:sz w:val="13"/>
        </w:rPr>
        <w:t> </w:t>
      </w:r>
      <w:r>
        <w:rPr>
          <w:color w:val="231F20"/>
          <w:sz w:val="13"/>
        </w:rPr>
        <w:t>In</w:t>
      </w:r>
      <w:r>
        <w:rPr>
          <w:color w:val="231F20"/>
          <w:spacing w:val="-3"/>
          <w:sz w:val="13"/>
        </w:rPr>
        <w:t> </w:t>
      </w:r>
      <w:r>
        <w:rPr>
          <w:color w:val="231F20"/>
          <w:sz w:val="13"/>
        </w:rPr>
        <w:t>Long</w:t>
      </w:r>
      <w:r>
        <w:rPr>
          <w:color w:val="231F20"/>
          <w:spacing w:val="-3"/>
          <w:sz w:val="13"/>
        </w:rPr>
        <w:t> </w:t>
      </w:r>
      <w:r>
        <w:rPr>
          <w:color w:val="231F20"/>
          <w:sz w:val="13"/>
        </w:rPr>
        <w:t>SS,</w:t>
      </w:r>
      <w:r>
        <w:rPr>
          <w:color w:val="231F20"/>
          <w:spacing w:val="-3"/>
          <w:sz w:val="13"/>
        </w:rPr>
        <w:t> </w:t>
      </w:r>
      <w:r>
        <w:rPr>
          <w:color w:val="231F20"/>
          <w:sz w:val="13"/>
        </w:rPr>
        <w:t>Pickering</w:t>
      </w:r>
      <w:r>
        <w:rPr>
          <w:color w:val="231F20"/>
          <w:spacing w:val="-3"/>
          <w:sz w:val="13"/>
        </w:rPr>
        <w:t> </w:t>
      </w:r>
      <w:r>
        <w:rPr>
          <w:color w:val="231F20"/>
          <w:sz w:val="13"/>
        </w:rPr>
        <w:t>LK,</w:t>
      </w:r>
      <w:r>
        <w:rPr>
          <w:color w:val="231F20"/>
          <w:spacing w:val="-3"/>
          <w:sz w:val="13"/>
        </w:rPr>
        <w:t> </w:t>
      </w:r>
      <w:r>
        <w:rPr>
          <w:color w:val="231F20"/>
          <w:sz w:val="13"/>
        </w:rPr>
        <w:t>Prober</w:t>
      </w:r>
      <w:r>
        <w:rPr>
          <w:color w:val="231F20"/>
          <w:spacing w:val="-3"/>
          <w:sz w:val="13"/>
        </w:rPr>
        <w:t> </w:t>
      </w:r>
      <w:r>
        <w:rPr>
          <w:color w:val="231F20"/>
          <w:sz w:val="13"/>
        </w:rPr>
        <w:t>CG,</w:t>
      </w:r>
      <w:r>
        <w:rPr>
          <w:color w:val="231F20"/>
          <w:spacing w:val="-3"/>
          <w:sz w:val="13"/>
        </w:rPr>
        <w:t> </w:t>
      </w:r>
      <w:r>
        <w:rPr>
          <w:color w:val="231F20"/>
          <w:sz w:val="13"/>
        </w:rPr>
        <w:t>editors:</w:t>
      </w:r>
      <w:r>
        <w:rPr>
          <w:color w:val="231F20"/>
          <w:spacing w:val="-3"/>
          <w:sz w:val="13"/>
        </w:rPr>
        <w:t> </w:t>
      </w:r>
      <w:r>
        <w:rPr>
          <w:i/>
          <w:color w:val="231F20"/>
          <w:sz w:val="13"/>
        </w:rPr>
        <w:t>Principles</w:t>
      </w:r>
      <w:r>
        <w:rPr>
          <w:i/>
          <w:color w:val="231F20"/>
          <w:spacing w:val="-3"/>
          <w:sz w:val="13"/>
        </w:rPr>
        <w:t> </w:t>
      </w:r>
      <w:r>
        <w:rPr>
          <w:i/>
          <w:color w:val="231F20"/>
          <w:sz w:val="13"/>
        </w:rPr>
        <w:t>and</w:t>
      </w:r>
      <w:r>
        <w:rPr>
          <w:i/>
          <w:color w:val="231F20"/>
          <w:spacing w:val="-3"/>
          <w:sz w:val="13"/>
        </w:rPr>
        <w:t> </w:t>
      </w:r>
      <w:r>
        <w:rPr>
          <w:i/>
          <w:color w:val="231F20"/>
          <w:sz w:val="13"/>
        </w:rPr>
        <w:t>practice</w:t>
      </w:r>
      <w:r>
        <w:rPr>
          <w:i/>
          <w:color w:val="231F20"/>
          <w:spacing w:val="-3"/>
          <w:sz w:val="13"/>
        </w:rPr>
        <w:t> </w:t>
      </w:r>
      <w:r>
        <w:rPr>
          <w:i/>
          <w:color w:val="231F20"/>
          <w:sz w:val="13"/>
        </w:rPr>
        <w:t>of</w:t>
      </w:r>
      <w:r>
        <w:rPr>
          <w:i/>
          <w:color w:val="231F20"/>
          <w:spacing w:val="-3"/>
          <w:sz w:val="13"/>
        </w:rPr>
        <w:t> </w:t>
      </w:r>
      <w:r>
        <w:rPr>
          <w:i/>
          <w:color w:val="231F20"/>
          <w:sz w:val="13"/>
        </w:rPr>
        <w:t>pediatric</w:t>
      </w:r>
      <w:r>
        <w:rPr>
          <w:i/>
          <w:color w:val="231F20"/>
          <w:spacing w:val="-3"/>
          <w:sz w:val="13"/>
        </w:rPr>
        <w:t> </w:t>
      </w:r>
      <w:r>
        <w:rPr>
          <w:i/>
          <w:color w:val="231F20"/>
          <w:sz w:val="13"/>
        </w:rPr>
        <w:t>infectious</w:t>
      </w:r>
      <w:r>
        <w:rPr>
          <w:i/>
          <w:color w:val="231F20"/>
          <w:spacing w:val="-3"/>
          <w:sz w:val="13"/>
        </w:rPr>
        <w:t> </w:t>
      </w:r>
      <w:r>
        <w:rPr>
          <w:i/>
          <w:color w:val="231F20"/>
          <w:sz w:val="13"/>
        </w:rPr>
        <w:t>disease</w:t>
      </w:r>
      <w:r>
        <w:rPr>
          <w:color w:val="231F20"/>
          <w:sz w:val="13"/>
        </w:rPr>
        <w:t>,</w:t>
      </w:r>
      <w:r>
        <w:rPr>
          <w:color w:val="231F20"/>
          <w:spacing w:val="40"/>
          <w:sz w:val="13"/>
        </w:rPr>
        <w:t> </w:t>
      </w:r>
      <w:r>
        <w:rPr>
          <w:color w:val="231F20"/>
          <w:sz w:val="13"/>
        </w:rPr>
        <w:t>New</w:t>
      </w:r>
      <w:r>
        <w:rPr>
          <w:color w:val="231F20"/>
          <w:spacing w:val="-2"/>
          <w:sz w:val="13"/>
        </w:rPr>
        <w:t> </w:t>
      </w:r>
      <w:r>
        <w:rPr>
          <w:color w:val="231F20"/>
          <w:sz w:val="13"/>
        </w:rPr>
        <w:t>York,</w:t>
      </w:r>
      <w:r>
        <w:rPr>
          <w:color w:val="231F20"/>
          <w:spacing w:val="-2"/>
          <w:sz w:val="13"/>
        </w:rPr>
        <w:t> </w:t>
      </w:r>
      <w:r>
        <w:rPr>
          <w:color w:val="231F20"/>
          <w:sz w:val="13"/>
        </w:rPr>
        <w:t>1997,</w:t>
      </w:r>
      <w:r>
        <w:rPr>
          <w:color w:val="231F20"/>
          <w:spacing w:val="-2"/>
          <w:sz w:val="13"/>
        </w:rPr>
        <w:t> </w:t>
      </w:r>
      <w:r>
        <w:rPr>
          <w:color w:val="231F20"/>
          <w:sz w:val="13"/>
        </w:rPr>
        <w:t>Churchill</w:t>
      </w:r>
      <w:r>
        <w:rPr>
          <w:color w:val="231F20"/>
          <w:spacing w:val="-2"/>
          <w:sz w:val="13"/>
        </w:rPr>
        <w:t> </w:t>
      </w:r>
      <w:r>
        <w:rPr>
          <w:color w:val="231F20"/>
          <w:sz w:val="13"/>
        </w:rPr>
        <w:t>Livingstone,</w:t>
      </w:r>
      <w:r>
        <w:rPr>
          <w:color w:val="231F20"/>
          <w:spacing w:val="-2"/>
          <w:sz w:val="13"/>
        </w:rPr>
        <w:t> </w:t>
      </w:r>
      <w:r>
        <w:rPr>
          <w:color w:val="231F20"/>
          <w:sz w:val="13"/>
        </w:rPr>
        <w:t>p.</w:t>
      </w:r>
      <w:r>
        <w:rPr>
          <w:color w:val="231F20"/>
          <w:spacing w:val="-2"/>
          <w:sz w:val="13"/>
        </w:rPr>
        <w:t> </w:t>
      </w:r>
      <w:r>
        <w:rPr>
          <w:color w:val="231F20"/>
          <w:sz w:val="13"/>
        </w:rPr>
        <w:t>329;</w:t>
      </w:r>
      <w:r>
        <w:rPr>
          <w:color w:val="231F20"/>
          <w:spacing w:val="-2"/>
          <w:sz w:val="13"/>
        </w:rPr>
        <w:t> </w:t>
      </w:r>
      <w:r>
        <w:rPr>
          <w:color w:val="231F20"/>
          <w:sz w:val="13"/>
        </w:rPr>
        <w:t>and</w:t>
      </w:r>
      <w:r>
        <w:rPr>
          <w:color w:val="231F20"/>
          <w:spacing w:val="-2"/>
          <w:sz w:val="13"/>
        </w:rPr>
        <w:t> </w:t>
      </w:r>
      <w:r>
        <w:rPr>
          <w:color w:val="231F20"/>
          <w:sz w:val="13"/>
        </w:rPr>
        <w:t>Kliegman</w:t>
      </w:r>
      <w:r>
        <w:rPr>
          <w:color w:val="231F20"/>
          <w:spacing w:val="-2"/>
          <w:sz w:val="13"/>
        </w:rPr>
        <w:t> </w:t>
      </w:r>
      <w:r>
        <w:rPr>
          <w:color w:val="231F20"/>
          <w:sz w:val="13"/>
        </w:rPr>
        <w:t>RM,</w:t>
      </w:r>
      <w:r>
        <w:rPr>
          <w:color w:val="231F20"/>
          <w:spacing w:val="-2"/>
          <w:sz w:val="13"/>
        </w:rPr>
        <w:t> </w:t>
      </w:r>
      <w:r>
        <w:rPr>
          <w:color w:val="231F20"/>
          <w:sz w:val="13"/>
        </w:rPr>
        <w:t>Greenbaum</w:t>
      </w:r>
      <w:r>
        <w:rPr>
          <w:color w:val="231F20"/>
          <w:spacing w:val="-2"/>
          <w:sz w:val="13"/>
        </w:rPr>
        <w:t> </w:t>
      </w:r>
      <w:r>
        <w:rPr>
          <w:color w:val="231F20"/>
          <w:sz w:val="13"/>
        </w:rPr>
        <w:t>LA,</w:t>
      </w:r>
      <w:r>
        <w:rPr>
          <w:color w:val="231F20"/>
          <w:spacing w:val="-2"/>
          <w:sz w:val="13"/>
        </w:rPr>
        <w:t> </w:t>
      </w:r>
      <w:r>
        <w:rPr>
          <w:color w:val="231F20"/>
          <w:sz w:val="13"/>
        </w:rPr>
        <w:t>Lye</w:t>
      </w:r>
      <w:r>
        <w:rPr>
          <w:color w:val="231F20"/>
          <w:spacing w:val="-2"/>
          <w:sz w:val="13"/>
        </w:rPr>
        <w:t> </w:t>
      </w:r>
      <w:r>
        <w:rPr>
          <w:color w:val="231F20"/>
          <w:sz w:val="13"/>
        </w:rPr>
        <w:t>PS:</w:t>
      </w:r>
      <w:r>
        <w:rPr>
          <w:color w:val="231F20"/>
          <w:spacing w:val="-2"/>
          <w:sz w:val="13"/>
        </w:rPr>
        <w:t> </w:t>
      </w:r>
      <w:r>
        <w:rPr>
          <w:i/>
          <w:color w:val="231F20"/>
          <w:sz w:val="13"/>
        </w:rPr>
        <w:t>Practical</w:t>
      </w:r>
      <w:r>
        <w:rPr>
          <w:i/>
          <w:color w:val="231F20"/>
          <w:spacing w:val="-2"/>
          <w:sz w:val="13"/>
        </w:rPr>
        <w:t> </w:t>
      </w:r>
      <w:r>
        <w:rPr>
          <w:i/>
          <w:color w:val="231F20"/>
          <w:sz w:val="13"/>
        </w:rPr>
        <w:t>strategies</w:t>
      </w:r>
      <w:r>
        <w:rPr>
          <w:i/>
          <w:color w:val="231F20"/>
          <w:spacing w:val="-2"/>
          <w:sz w:val="13"/>
        </w:rPr>
        <w:t> </w:t>
      </w:r>
      <w:r>
        <w:rPr>
          <w:i/>
          <w:color w:val="231F20"/>
          <w:sz w:val="13"/>
        </w:rPr>
        <w:t>in</w:t>
      </w:r>
      <w:r>
        <w:rPr>
          <w:i/>
          <w:color w:val="231F20"/>
          <w:spacing w:val="-2"/>
          <w:sz w:val="13"/>
        </w:rPr>
        <w:t> </w:t>
      </w:r>
      <w:r>
        <w:rPr>
          <w:i/>
          <w:color w:val="231F20"/>
          <w:sz w:val="13"/>
        </w:rPr>
        <w:t>pediatric</w:t>
      </w:r>
      <w:r>
        <w:rPr>
          <w:i/>
          <w:color w:val="231F20"/>
          <w:spacing w:val="-2"/>
          <w:sz w:val="13"/>
        </w:rPr>
        <w:t> </w:t>
      </w:r>
      <w:r>
        <w:rPr>
          <w:i/>
          <w:color w:val="231F20"/>
          <w:sz w:val="13"/>
        </w:rPr>
        <w:t>diagnosis</w:t>
      </w:r>
      <w:r>
        <w:rPr>
          <w:i/>
          <w:color w:val="231F20"/>
          <w:spacing w:val="-2"/>
          <w:sz w:val="13"/>
        </w:rPr>
        <w:t> </w:t>
      </w:r>
      <w:r>
        <w:rPr>
          <w:i/>
          <w:color w:val="231F20"/>
          <w:sz w:val="13"/>
        </w:rPr>
        <w:t>therapy</w:t>
      </w:r>
      <w:r>
        <w:rPr>
          <w:color w:val="231F20"/>
          <w:sz w:val="13"/>
        </w:rPr>
        <w:t>,</w:t>
      </w:r>
      <w:r>
        <w:rPr>
          <w:color w:val="231F20"/>
          <w:spacing w:val="-2"/>
          <w:sz w:val="13"/>
        </w:rPr>
        <w:t> </w:t>
      </w:r>
      <w:r>
        <w:rPr>
          <w:color w:val="231F20"/>
          <w:sz w:val="13"/>
        </w:rPr>
        <w:t>ed</w:t>
      </w:r>
      <w:r>
        <w:rPr>
          <w:color w:val="231F20"/>
          <w:spacing w:val="-2"/>
          <w:sz w:val="13"/>
        </w:rPr>
        <w:t> </w:t>
      </w:r>
      <w:r>
        <w:rPr>
          <w:color w:val="231F20"/>
          <w:sz w:val="13"/>
        </w:rPr>
        <w:t>2,</w:t>
      </w:r>
      <w:r>
        <w:rPr>
          <w:color w:val="231F20"/>
          <w:spacing w:val="-2"/>
          <w:sz w:val="13"/>
        </w:rPr>
        <w:t> </w:t>
      </w:r>
      <w:r>
        <w:rPr>
          <w:color w:val="231F20"/>
          <w:sz w:val="13"/>
        </w:rPr>
        <w:t>Philadelphia,</w:t>
      </w:r>
      <w:r>
        <w:rPr>
          <w:color w:val="231F20"/>
          <w:spacing w:val="-2"/>
          <w:sz w:val="13"/>
        </w:rPr>
        <w:t> </w:t>
      </w:r>
      <w:r>
        <w:rPr>
          <w:color w:val="231F20"/>
          <w:sz w:val="13"/>
        </w:rPr>
        <w:t>2004,</w:t>
      </w:r>
      <w:r>
        <w:rPr>
          <w:color w:val="231F20"/>
          <w:spacing w:val="40"/>
          <w:sz w:val="13"/>
        </w:rPr>
        <w:t> </w:t>
      </w:r>
      <w:r>
        <w:rPr>
          <w:color w:val="231F20"/>
          <w:sz w:val="13"/>
        </w:rPr>
        <w:t>Elsevier, p. 961.</w:t>
      </w:r>
    </w:p>
    <w:p>
      <w:pPr>
        <w:spacing w:after="0"/>
        <w:jc w:val="left"/>
        <w:rPr>
          <w:sz w:val="13"/>
        </w:rPr>
        <w:sectPr>
          <w:pgSz w:w="11900" w:h="16840"/>
          <w:pgMar w:header="0" w:footer="0" w:top="720" w:bottom="280" w:left="425" w:right="566"/>
        </w:sectPr>
      </w:pPr>
    </w:p>
    <w:p>
      <w:pPr>
        <w:pStyle w:val="BodyText"/>
        <w:rPr>
          <w:sz w:val="20"/>
        </w:rPr>
      </w:pPr>
    </w:p>
    <w:p>
      <w:pPr>
        <w:pStyle w:val="BodyText"/>
        <w:rPr>
          <w:sz w:val="20"/>
        </w:rPr>
      </w:pPr>
    </w:p>
    <w:p>
      <w:pPr>
        <w:pStyle w:val="BodyText"/>
        <w:spacing w:before="219"/>
        <w:rPr>
          <w:sz w:val="20"/>
        </w:rPr>
      </w:pPr>
    </w:p>
    <w:p>
      <w:pPr>
        <w:pStyle w:val="BodyText"/>
        <w:ind w:left="467"/>
        <w:rPr>
          <w:sz w:val="20"/>
        </w:rPr>
      </w:pPr>
      <w:r>
        <w:rPr>
          <w:sz w:val="20"/>
        </w:rPr>
        <mc:AlternateContent>
          <mc:Choice Requires="wps">
            <w:drawing>
              <wp:inline distT="0" distB="0" distL="0" distR="0">
                <wp:extent cx="6185535" cy="170815"/>
                <wp:effectExtent l="19050" t="0" r="62864" b="635"/>
                <wp:docPr id="978" name="Group 978"/>
                <wp:cNvGraphicFramePr>
                  <a:graphicFrameLocks/>
                </wp:cNvGraphicFramePr>
                <a:graphic>
                  <a:graphicData uri="http://schemas.microsoft.com/office/word/2010/wordprocessingGroup">
                    <wpg:wgp>
                      <wpg:cNvPr id="978" name="Group 978"/>
                      <wpg:cNvGrpSpPr/>
                      <wpg:grpSpPr>
                        <a:xfrm>
                          <a:off x="0" y="0"/>
                          <a:ext cx="6185535" cy="170815"/>
                          <a:chExt cx="6185535" cy="170815"/>
                        </a:xfrm>
                      </wpg:grpSpPr>
                      <wps:wsp>
                        <wps:cNvPr id="979" name="Graphic 979"/>
                        <wps:cNvSpPr/>
                        <wps:spPr>
                          <a:xfrm>
                            <a:off x="6161574" y="92305"/>
                            <a:ext cx="24130" cy="1270"/>
                          </a:xfrm>
                          <a:custGeom>
                            <a:avLst/>
                            <a:gdLst/>
                            <a:ahLst/>
                            <a:cxnLst/>
                            <a:rect l="l" t="t" r="r" b="b"/>
                            <a:pathLst>
                              <a:path w="24130" h="0">
                                <a:moveTo>
                                  <a:pt x="0" y="0"/>
                                </a:moveTo>
                                <a:lnTo>
                                  <a:pt x="23698" y="0"/>
                                </a:lnTo>
                              </a:path>
                            </a:pathLst>
                          </a:custGeom>
                          <a:ln w="142190">
                            <a:solidFill>
                              <a:srgbClr val="007431"/>
                            </a:solidFill>
                            <a:prstDash val="solid"/>
                          </a:ln>
                        </wps:spPr>
                        <wps:bodyPr wrap="square" lIns="0" tIns="0" rIns="0" bIns="0" rtlCol="0">
                          <a:prstTxWarp prst="textNoShape">
                            <a:avLst/>
                          </a:prstTxWarp>
                          <a:noAutofit/>
                        </wps:bodyPr>
                      </wps:wsp>
                      <wps:wsp>
                        <wps:cNvPr id="980" name="Graphic 980"/>
                        <wps:cNvSpPr/>
                        <wps:spPr>
                          <a:xfrm>
                            <a:off x="0" y="158660"/>
                            <a:ext cx="6185535" cy="1270"/>
                          </a:xfrm>
                          <a:custGeom>
                            <a:avLst/>
                            <a:gdLst/>
                            <a:ahLst/>
                            <a:cxnLst/>
                            <a:rect l="l" t="t" r="r" b="b"/>
                            <a:pathLst>
                              <a:path w="6185535" h="0">
                                <a:moveTo>
                                  <a:pt x="0" y="0"/>
                                </a:moveTo>
                                <a:lnTo>
                                  <a:pt x="6185273" y="0"/>
                                </a:lnTo>
                              </a:path>
                            </a:pathLst>
                          </a:custGeom>
                          <a:ln w="23698">
                            <a:solidFill>
                              <a:srgbClr val="007431"/>
                            </a:solidFill>
                            <a:prstDash val="solid"/>
                          </a:ln>
                        </wps:spPr>
                        <wps:bodyPr wrap="square" lIns="0" tIns="0" rIns="0" bIns="0" rtlCol="0">
                          <a:prstTxWarp prst="textNoShape">
                            <a:avLst/>
                          </a:prstTxWarp>
                          <a:noAutofit/>
                        </wps:bodyPr>
                      </wps:wsp>
                      <wps:wsp>
                        <wps:cNvPr id="981" name="Textbox 981"/>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2944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794" coordorigin="0,0" coordsize="9741,269">
                <v:line style="position:absolute" from="9703,145" to="9741,145" stroked="true" strokeweight="11.196078pt" strokecolor="#007431">
                  <v:stroke dashstyle="solid"/>
                </v:line>
                <v:line style="position:absolute" from="0,250" to="9741,250" stroked="true" strokeweight="1.866013pt" strokecolor="#007431">
                  <v:stroke dashstyle="solid"/>
                </v:line>
                <v:shape style="position:absolute;left:0;top:0;width:9741;height:269" type="#_x0000_t202" id="docshape795" filled="false" stroked="false">
                  <v:textbox inset="0,0,0,0">
                    <w:txbxContent>
                      <w:p>
                        <w:pPr>
                          <w:spacing w:before="6"/>
                          <w:ind w:left="-1" w:right="0" w:firstLine="0"/>
                          <w:jc w:val="left"/>
                          <w:rPr>
                            <w:sz w:val="18"/>
                          </w:rPr>
                        </w:pPr>
                        <w:r>
                          <w:rPr>
                            <w:b/>
                            <w:color w:val="231F20"/>
                            <w:w w:val="105"/>
                            <w:sz w:val="18"/>
                          </w:rPr>
                          <w:t>2944</w:t>
                        </w:r>
                        <w:r>
                          <w:rPr>
                            <w:b/>
                            <w:color w:val="231F20"/>
                            <w:spacing w:val="42"/>
                            <w:w w:val="105"/>
                            <w:sz w:val="18"/>
                          </w:rPr>
                          <w:t>  </w:t>
                        </w:r>
                        <w:r>
                          <w:rPr>
                            <w:b/>
                            <w:color w:val="007431"/>
                            <w:w w:val="105"/>
                            <w:sz w:val="18"/>
                          </w:rPr>
                          <w:t>Part</w:t>
                        </w:r>
                        <w:r>
                          <w:rPr>
                            <w:b/>
                            <w:color w:val="007431"/>
                            <w:spacing w:val="15"/>
                            <w:w w:val="105"/>
                            <w:sz w:val="18"/>
                          </w:rPr>
                          <w:t> </w:t>
                        </w:r>
                        <w:r>
                          <w:rPr>
                            <w:b/>
                            <w:color w:val="007431"/>
                            <w:w w:val="105"/>
                            <w:sz w:val="18"/>
                          </w:rPr>
                          <w:t>XXVII</w:t>
                        </w:r>
                        <w:r>
                          <w:rPr>
                            <w:b/>
                            <w:color w:val="007431"/>
                            <w:spacing w:val="42"/>
                            <w:w w:val="105"/>
                            <w:sz w:val="18"/>
                          </w:rPr>
                          <w:t> </w:t>
                        </w:r>
                        <w:r>
                          <w:rPr>
                            <w:rFonts w:ascii="Lucida Sans Unicode" w:hAnsi="Lucida Sans Unicode"/>
                            <w:color w:val="659F6F"/>
                            <w:w w:val="105"/>
                            <w:sz w:val="15"/>
                          </w:rPr>
                          <w:t>◆</w:t>
                        </w:r>
                        <w:r>
                          <w:rPr>
                            <w:rFonts w:ascii="Lucida Sans Unicode" w:hAnsi="Lucida Sans Unicode"/>
                            <w:color w:val="659F6F"/>
                            <w:spacing w:val="50"/>
                            <w:w w:val="105"/>
                            <w:sz w:val="15"/>
                          </w:rPr>
                          <w:t> </w:t>
                        </w:r>
                        <w:r>
                          <w:rPr>
                            <w:color w:val="231F20"/>
                            <w:w w:val="105"/>
                            <w:sz w:val="18"/>
                          </w:rPr>
                          <w:t>The</w:t>
                        </w:r>
                        <w:r>
                          <w:rPr>
                            <w:color w:val="231F20"/>
                            <w:spacing w:val="10"/>
                            <w:w w:val="105"/>
                            <w:sz w:val="18"/>
                          </w:rPr>
                          <w:t> </w:t>
                        </w:r>
                        <w:r>
                          <w:rPr>
                            <w:color w:val="231F20"/>
                            <w:w w:val="105"/>
                            <w:sz w:val="18"/>
                          </w:rPr>
                          <w:t>Nervous</w:t>
                        </w:r>
                        <w:r>
                          <w:rPr>
                            <w:color w:val="231F20"/>
                            <w:spacing w:val="10"/>
                            <w:w w:val="105"/>
                            <w:sz w:val="18"/>
                          </w:rPr>
                          <w:t> </w:t>
                        </w:r>
                        <w:r>
                          <w:rPr>
                            <w:color w:val="231F20"/>
                            <w:spacing w:val="-2"/>
                            <w:w w:val="105"/>
                            <w:sz w:val="18"/>
                          </w:rPr>
                          <w:t>System</w:t>
                        </w:r>
                      </w:p>
                    </w:txbxContent>
                  </v:textbox>
                  <w10:wrap type="none"/>
                </v:shape>
              </v:group>
            </w:pict>
          </mc:Fallback>
        </mc:AlternateContent>
      </w:r>
      <w:r>
        <w:rPr>
          <w:sz w:val="20"/>
        </w:rPr>
      </w:r>
    </w:p>
    <w:p>
      <w:pPr>
        <w:pStyle w:val="BodyText"/>
        <w:spacing w:before="11"/>
        <w:rPr>
          <w:sz w:val="15"/>
        </w:rPr>
      </w:pPr>
    </w:p>
    <w:tbl>
      <w:tblPr>
        <w:tblW w:w="0" w:type="auto"/>
        <w:jc w:val="left"/>
        <w:tblInd w:w="49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3723"/>
        <w:gridCol w:w="4871"/>
      </w:tblGrid>
      <w:tr>
        <w:trPr>
          <w:trHeight w:val="353" w:hRule="atLeast"/>
        </w:trPr>
        <w:tc>
          <w:tcPr>
            <w:tcW w:w="1148" w:type="dxa"/>
            <w:tcBorders>
              <w:top w:val="nil"/>
              <w:left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603-</w:t>
            </w:r>
            <w:r>
              <w:rPr>
                <w:b/>
                <w:color w:val="FFFFFF"/>
                <w:spacing w:val="-10"/>
                <w:w w:val="105"/>
                <w:sz w:val="16"/>
              </w:rPr>
              <w:t>3</w:t>
            </w:r>
          </w:p>
        </w:tc>
        <w:tc>
          <w:tcPr>
            <w:tcW w:w="8594" w:type="dxa"/>
            <w:gridSpan w:val="2"/>
            <w:tcBorders>
              <w:top w:val="nil"/>
              <w:right w:val="nil"/>
            </w:tcBorders>
            <w:shd w:val="clear" w:color="auto" w:fill="231F20"/>
          </w:tcPr>
          <w:p>
            <w:pPr>
              <w:pStyle w:val="TableParagraph"/>
              <w:spacing w:before="89"/>
              <w:ind w:left="73"/>
              <w:rPr>
                <w:sz w:val="16"/>
              </w:rPr>
            </w:pPr>
            <w:r>
              <w:rPr>
                <w:color w:val="FFFFFF"/>
                <w:w w:val="105"/>
                <w:sz w:val="16"/>
              </w:rPr>
              <w:t>Classification</w:t>
            </w:r>
            <w:r>
              <w:rPr>
                <w:color w:val="FFFFFF"/>
                <w:spacing w:val="4"/>
                <w:w w:val="105"/>
                <w:sz w:val="16"/>
              </w:rPr>
              <w:t> </w:t>
            </w:r>
            <w:r>
              <w:rPr>
                <w:color w:val="FFFFFF"/>
                <w:w w:val="105"/>
                <w:sz w:val="16"/>
              </w:rPr>
              <w:t>of</w:t>
            </w:r>
            <w:r>
              <w:rPr>
                <w:color w:val="FFFFFF"/>
                <w:spacing w:val="4"/>
                <w:w w:val="105"/>
                <w:sz w:val="16"/>
              </w:rPr>
              <w:t> </w:t>
            </w:r>
            <w:r>
              <w:rPr>
                <w:color w:val="FFFFFF"/>
                <w:w w:val="105"/>
                <w:sz w:val="16"/>
              </w:rPr>
              <w:t>Encephalitis</w:t>
            </w:r>
            <w:r>
              <w:rPr>
                <w:color w:val="FFFFFF"/>
                <w:spacing w:val="4"/>
                <w:w w:val="105"/>
                <w:sz w:val="16"/>
              </w:rPr>
              <w:t> </w:t>
            </w:r>
            <w:r>
              <w:rPr>
                <w:color w:val="FFFFFF"/>
                <w:w w:val="105"/>
                <w:sz w:val="16"/>
              </w:rPr>
              <w:t>by</w:t>
            </w:r>
            <w:r>
              <w:rPr>
                <w:color w:val="FFFFFF"/>
                <w:spacing w:val="5"/>
                <w:w w:val="105"/>
                <w:sz w:val="16"/>
              </w:rPr>
              <w:t> </w:t>
            </w:r>
            <w:r>
              <w:rPr>
                <w:color w:val="FFFFFF"/>
                <w:w w:val="105"/>
                <w:sz w:val="16"/>
              </w:rPr>
              <w:t>Cause</w:t>
            </w:r>
            <w:r>
              <w:rPr>
                <w:color w:val="FFFFFF"/>
                <w:spacing w:val="4"/>
                <w:w w:val="105"/>
                <w:sz w:val="16"/>
              </w:rPr>
              <w:t> </w:t>
            </w:r>
            <w:r>
              <w:rPr>
                <w:color w:val="FFFFFF"/>
                <w:w w:val="105"/>
                <w:sz w:val="16"/>
              </w:rPr>
              <w:t>and</w:t>
            </w:r>
            <w:r>
              <w:rPr>
                <w:color w:val="FFFFFF"/>
                <w:spacing w:val="4"/>
                <w:w w:val="105"/>
                <w:sz w:val="16"/>
              </w:rPr>
              <w:t> </w:t>
            </w:r>
            <w:r>
              <w:rPr>
                <w:color w:val="FFFFFF"/>
                <w:spacing w:val="-2"/>
                <w:w w:val="105"/>
                <w:sz w:val="16"/>
              </w:rPr>
              <w:t>Source</w:t>
            </w:r>
          </w:p>
        </w:tc>
      </w:tr>
      <w:tr>
        <w:trPr>
          <w:trHeight w:val="9909" w:hRule="atLeast"/>
        </w:trPr>
        <w:tc>
          <w:tcPr>
            <w:tcW w:w="4871" w:type="dxa"/>
            <w:gridSpan w:val="2"/>
            <w:tcBorders>
              <w:left w:val="nil"/>
              <w:bottom w:val="single" w:sz="8" w:space="0" w:color="231F20"/>
              <w:right w:val="single" w:sz="4" w:space="0" w:color="231F20"/>
            </w:tcBorders>
            <w:shd w:val="clear" w:color="auto" w:fill="E8F5F1"/>
          </w:tcPr>
          <w:p>
            <w:pPr>
              <w:pStyle w:val="TableParagraph"/>
              <w:spacing w:line="171" w:lineRule="exact" w:before="46"/>
              <w:ind w:left="163"/>
              <w:rPr>
                <w:sz w:val="15"/>
              </w:rPr>
            </w:pPr>
            <w:r>
              <w:rPr>
                <w:color w:val="231F20"/>
                <w:sz w:val="15"/>
              </w:rPr>
              <w:t>I.</w:t>
            </w:r>
            <w:r>
              <w:rPr>
                <w:color w:val="231F20"/>
                <w:spacing w:val="65"/>
                <w:sz w:val="15"/>
              </w:rPr>
              <w:t> </w:t>
            </w:r>
            <w:r>
              <w:rPr>
                <w:color w:val="231F20"/>
                <w:sz w:val="15"/>
              </w:rPr>
              <w:t>INFECTIONS:</w:t>
            </w:r>
            <w:r>
              <w:rPr>
                <w:color w:val="231F20"/>
                <w:spacing w:val="23"/>
                <w:sz w:val="15"/>
              </w:rPr>
              <w:t> </w:t>
            </w:r>
            <w:r>
              <w:rPr>
                <w:color w:val="231F20"/>
                <w:spacing w:val="-2"/>
                <w:sz w:val="15"/>
              </w:rPr>
              <w:t>VIRAL</w:t>
            </w:r>
          </w:p>
          <w:p>
            <w:pPr>
              <w:pStyle w:val="TableParagraph"/>
              <w:numPr>
                <w:ilvl w:val="0"/>
                <w:numId w:val="92"/>
              </w:numPr>
              <w:tabs>
                <w:tab w:pos="562" w:val="left" w:leader="none"/>
              </w:tabs>
              <w:spacing w:line="168" w:lineRule="exact" w:before="0" w:after="0"/>
              <w:ind w:left="562" w:right="0" w:hanging="215"/>
              <w:jc w:val="left"/>
              <w:rPr>
                <w:sz w:val="15"/>
              </w:rPr>
            </w:pPr>
            <w:r>
              <w:rPr>
                <w:color w:val="231F20"/>
                <w:sz w:val="15"/>
              </w:rPr>
              <w:t>Spread:</w:t>
            </w:r>
            <w:r>
              <w:rPr>
                <w:color w:val="231F20"/>
                <w:spacing w:val="4"/>
                <w:sz w:val="15"/>
              </w:rPr>
              <w:t> </w:t>
            </w:r>
            <w:r>
              <w:rPr>
                <w:color w:val="231F20"/>
                <w:sz w:val="15"/>
              </w:rPr>
              <w:t>person</w:t>
            </w:r>
            <w:r>
              <w:rPr>
                <w:color w:val="231F20"/>
                <w:spacing w:val="5"/>
                <w:sz w:val="15"/>
              </w:rPr>
              <w:t> </w:t>
            </w:r>
            <w:r>
              <w:rPr>
                <w:color w:val="231F20"/>
                <w:sz w:val="15"/>
              </w:rPr>
              <w:t>to</w:t>
            </w:r>
            <w:r>
              <w:rPr>
                <w:color w:val="231F20"/>
                <w:spacing w:val="5"/>
                <w:sz w:val="15"/>
              </w:rPr>
              <w:t> </w:t>
            </w:r>
            <w:r>
              <w:rPr>
                <w:color w:val="231F20"/>
                <w:sz w:val="15"/>
              </w:rPr>
              <w:t>person</w:t>
            </w:r>
            <w:r>
              <w:rPr>
                <w:color w:val="231F20"/>
                <w:spacing w:val="5"/>
                <w:sz w:val="15"/>
              </w:rPr>
              <w:t> </w:t>
            </w:r>
            <w:r>
              <w:rPr>
                <w:color w:val="231F20"/>
                <w:spacing w:val="-4"/>
                <w:sz w:val="15"/>
              </w:rPr>
              <w:t>only</w:t>
            </w:r>
          </w:p>
          <w:p>
            <w:pPr>
              <w:pStyle w:val="TableParagraph"/>
              <w:numPr>
                <w:ilvl w:val="1"/>
                <w:numId w:val="92"/>
              </w:numPr>
              <w:tabs>
                <w:tab w:pos="830" w:val="left" w:leader="none"/>
                <w:tab w:pos="832" w:val="left" w:leader="none"/>
              </w:tabs>
              <w:spacing w:line="230" w:lineRule="auto" w:before="3" w:after="0"/>
              <w:ind w:left="832" w:right="361" w:hanging="192"/>
              <w:jc w:val="left"/>
              <w:rPr>
                <w:sz w:val="15"/>
              </w:rPr>
            </w:pPr>
            <w:r>
              <w:rPr>
                <w:color w:val="231F20"/>
                <w:sz w:val="15"/>
              </w:rPr>
              <w:t>Mumps:</w:t>
            </w:r>
            <w:r>
              <w:rPr>
                <w:color w:val="231F20"/>
                <w:spacing w:val="-9"/>
                <w:sz w:val="15"/>
              </w:rPr>
              <w:t> </w:t>
            </w:r>
            <w:r>
              <w:rPr>
                <w:color w:val="231F20"/>
                <w:sz w:val="15"/>
              </w:rPr>
              <w:t>frequent</w:t>
            </w:r>
            <w:r>
              <w:rPr>
                <w:color w:val="231F20"/>
                <w:spacing w:val="-9"/>
                <w:sz w:val="15"/>
              </w:rPr>
              <w:t> </w:t>
            </w:r>
            <w:r>
              <w:rPr>
                <w:color w:val="231F20"/>
                <w:sz w:val="15"/>
              </w:rPr>
              <w:t>in</w:t>
            </w:r>
            <w:r>
              <w:rPr>
                <w:color w:val="231F20"/>
                <w:spacing w:val="-9"/>
                <w:sz w:val="15"/>
              </w:rPr>
              <w:t> </w:t>
            </w:r>
            <w:r>
              <w:rPr>
                <w:color w:val="231F20"/>
                <w:sz w:val="15"/>
              </w:rPr>
              <w:t>an</w:t>
            </w:r>
            <w:r>
              <w:rPr>
                <w:color w:val="231F20"/>
                <w:spacing w:val="-9"/>
                <w:sz w:val="15"/>
              </w:rPr>
              <w:t> </w:t>
            </w:r>
            <w:r>
              <w:rPr>
                <w:color w:val="231F20"/>
                <w:sz w:val="15"/>
              </w:rPr>
              <w:t>unimmunized</w:t>
            </w:r>
            <w:r>
              <w:rPr>
                <w:color w:val="231F20"/>
                <w:spacing w:val="-9"/>
                <w:sz w:val="15"/>
              </w:rPr>
              <w:t> </w:t>
            </w:r>
            <w:r>
              <w:rPr>
                <w:color w:val="231F20"/>
                <w:sz w:val="15"/>
              </w:rPr>
              <w:t>population;</w:t>
            </w:r>
            <w:r>
              <w:rPr>
                <w:color w:val="231F20"/>
                <w:spacing w:val="-9"/>
                <w:sz w:val="15"/>
              </w:rPr>
              <w:t> </w:t>
            </w:r>
            <w:r>
              <w:rPr>
                <w:color w:val="231F20"/>
                <w:sz w:val="15"/>
              </w:rPr>
              <w:t>often </w:t>
            </w:r>
            <w:r>
              <w:rPr>
                <w:color w:val="231F20"/>
                <w:spacing w:val="-4"/>
                <w:sz w:val="15"/>
              </w:rPr>
              <w:t>mild</w:t>
            </w:r>
          </w:p>
          <w:p>
            <w:pPr>
              <w:pStyle w:val="TableParagraph"/>
              <w:numPr>
                <w:ilvl w:val="1"/>
                <w:numId w:val="92"/>
              </w:numPr>
              <w:tabs>
                <w:tab w:pos="831" w:val="left" w:leader="none"/>
              </w:tabs>
              <w:spacing w:line="167" w:lineRule="exact" w:before="0" w:after="0"/>
              <w:ind w:left="831" w:right="0" w:hanging="190"/>
              <w:jc w:val="left"/>
              <w:rPr>
                <w:sz w:val="15"/>
              </w:rPr>
            </w:pPr>
            <w:r>
              <w:rPr>
                <w:color w:val="231F20"/>
                <w:sz w:val="15"/>
              </w:rPr>
              <w:t>Measles:</w:t>
            </w:r>
            <w:r>
              <w:rPr>
                <w:color w:val="231F20"/>
                <w:spacing w:val="-1"/>
                <w:sz w:val="15"/>
              </w:rPr>
              <w:t> </w:t>
            </w:r>
            <w:r>
              <w:rPr>
                <w:color w:val="231F20"/>
                <w:sz w:val="15"/>
              </w:rPr>
              <w:t>may</w:t>
            </w:r>
            <w:r>
              <w:rPr>
                <w:color w:val="231F20"/>
                <w:spacing w:val="-1"/>
                <w:sz w:val="15"/>
              </w:rPr>
              <w:t> </w:t>
            </w:r>
            <w:r>
              <w:rPr>
                <w:color w:val="231F20"/>
                <w:sz w:val="15"/>
              </w:rPr>
              <w:t>have serious</w:t>
            </w:r>
            <w:r>
              <w:rPr>
                <w:color w:val="231F20"/>
                <w:spacing w:val="-1"/>
                <w:sz w:val="15"/>
              </w:rPr>
              <w:t> </w:t>
            </w:r>
            <w:r>
              <w:rPr>
                <w:color w:val="231F20"/>
                <w:spacing w:val="-2"/>
                <w:sz w:val="15"/>
              </w:rPr>
              <w:t>sequelae</w:t>
            </w:r>
          </w:p>
          <w:p>
            <w:pPr>
              <w:pStyle w:val="TableParagraph"/>
              <w:numPr>
                <w:ilvl w:val="1"/>
                <w:numId w:val="92"/>
              </w:numPr>
              <w:tabs>
                <w:tab w:pos="830" w:val="left" w:leader="none"/>
                <w:tab w:pos="832" w:val="left" w:leader="none"/>
              </w:tabs>
              <w:spacing w:line="230" w:lineRule="auto" w:before="3" w:after="0"/>
              <w:ind w:left="832" w:right="644" w:hanging="192"/>
              <w:jc w:val="left"/>
              <w:rPr>
                <w:sz w:val="15"/>
              </w:rPr>
            </w:pPr>
            <w:r>
              <w:rPr>
                <w:color w:val="231F20"/>
                <w:sz w:val="15"/>
              </w:rPr>
              <w:t>Enteroviruses:</w:t>
            </w:r>
            <w:r>
              <w:rPr>
                <w:color w:val="231F20"/>
                <w:spacing w:val="-12"/>
                <w:sz w:val="15"/>
              </w:rPr>
              <w:t> </w:t>
            </w:r>
            <w:r>
              <w:rPr>
                <w:color w:val="231F20"/>
                <w:sz w:val="15"/>
              </w:rPr>
              <w:t>frequent</w:t>
            </w:r>
            <w:r>
              <w:rPr>
                <w:color w:val="231F20"/>
                <w:spacing w:val="-11"/>
                <w:sz w:val="15"/>
              </w:rPr>
              <w:t> </w:t>
            </w:r>
            <w:r>
              <w:rPr>
                <w:color w:val="231F20"/>
                <w:sz w:val="15"/>
              </w:rPr>
              <w:t>at</w:t>
            </w:r>
            <w:r>
              <w:rPr>
                <w:color w:val="231F20"/>
                <w:spacing w:val="-11"/>
                <w:sz w:val="15"/>
              </w:rPr>
              <w:t> </w:t>
            </w:r>
            <w:r>
              <w:rPr>
                <w:color w:val="231F20"/>
                <w:sz w:val="15"/>
              </w:rPr>
              <w:t>all</w:t>
            </w:r>
            <w:r>
              <w:rPr>
                <w:color w:val="231F20"/>
                <w:spacing w:val="-12"/>
                <w:sz w:val="15"/>
              </w:rPr>
              <w:t> </w:t>
            </w:r>
            <w:r>
              <w:rPr>
                <w:color w:val="231F20"/>
                <w:sz w:val="15"/>
              </w:rPr>
              <w:t>ages;</w:t>
            </w:r>
            <w:r>
              <w:rPr>
                <w:color w:val="231F20"/>
                <w:spacing w:val="-11"/>
                <w:sz w:val="15"/>
              </w:rPr>
              <w:t> </w:t>
            </w:r>
            <w:r>
              <w:rPr>
                <w:color w:val="231F20"/>
                <w:sz w:val="15"/>
              </w:rPr>
              <w:t>more</w:t>
            </w:r>
            <w:r>
              <w:rPr>
                <w:color w:val="231F20"/>
                <w:spacing w:val="-11"/>
                <w:sz w:val="15"/>
              </w:rPr>
              <w:t> </w:t>
            </w:r>
            <w:r>
              <w:rPr>
                <w:color w:val="231F20"/>
                <w:sz w:val="15"/>
              </w:rPr>
              <w:t>serious</w:t>
            </w:r>
            <w:r>
              <w:rPr>
                <w:color w:val="231F20"/>
                <w:spacing w:val="-12"/>
                <w:sz w:val="15"/>
              </w:rPr>
              <w:t> </w:t>
            </w:r>
            <w:r>
              <w:rPr>
                <w:color w:val="231F20"/>
                <w:sz w:val="15"/>
              </w:rPr>
              <w:t>in </w:t>
            </w:r>
            <w:r>
              <w:rPr>
                <w:color w:val="231F20"/>
                <w:spacing w:val="-2"/>
                <w:sz w:val="15"/>
              </w:rPr>
              <w:t>newborns</w:t>
            </w:r>
          </w:p>
          <w:p>
            <w:pPr>
              <w:pStyle w:val="TableParagraph"/>
              <w:numPr>
                <w:ilvl w:val="1"/>
                <w:numId w:val="92"/>
              </w:numPr>
              <w:tabs>
                <w:tab w:pos="831" w:val="left" w:leader="none"/>
              </w:tabs>
              <w:spacing w:line="167" w:lineRule="exact" w:before="0" w:after="0"/>
              <w:ind w:left="831" w:right="0" w:hanging="190"/>
              <w:jc w:val="left"/>
              <w:rPr>
                <w:sz w:val="15"/>
              </w:rPr>
            </w:pPr>
            <w:r>
              <w:rPr>
                <w:color w:val="231F20"/>
                <w:spacing w:val="-2"/>
                <w:sz w:val="15"/>
              </w:rPr>
              <w:t>Parechovirus</w:t>
            </w:r>
          </w:p>
          <w:p>
            <w:pPr>
              <w:pStyle w:val="TableParagraph"/>
              <w:numPr>
                <w:ilvl w:val="1"/>
                <w:numId w:val="92"/>
              </w:numPr>
              <w:tabs>
                <w:tab w:pos="830" w:val="left" w:leader="none"/>
                <w:tab w:pos="832" w:val="left" w:leader="none"/>
              </w:tabs>
              <w:spacing w:line="230" w:lineRule="auto" w:before="2" w:after="0"/>
              <w:ind w:left="832" w:right="298" w:hanging="192"/>
              <w:jc w:val="left"/>
              <w:rPr>
                <w:sz w:val="15"/>
              </w:rPr>
            </w:pPr>
            <w:r>
              <w:rPr>
                <w:color w:val="231F20"/>
                <w:sz w:val="15"/>
              </w:rPr>
              <w:t>Rubella:</w:t>
            </w:r>
            <w:r>
              <w:rPr>
                <w:color w:val="231F20"/>
                <w:spacing w:val="-12"/>
                <w:sz w:val="15"/>
              </w:rPr>
              <w:t> </w:t>
            </w:r>
            <w:r>
              <w:rPr>
                <w:color w:val="231F20"/>
                <w:sz w:val="15"/>
              </w:rPr>
              <w:t>uncommon;</w:t>
            </w:r>
            <w:r>
              <w:rPr>
                <w:color w:val="231F20"/>
                <w:spacing w:val="-11"/>
                <w:sz w:val="15"/>
              </w:rPr>
              <w:t> </w:t>
            </w:r>
            <w:r>
              <w:rPr>
                <w:color w:val="231F20"/>
                <w:sz w:val="15"/>
              </w:rPr>
              <w:t>sequelae</w:t>
            </w:r>
            <w:r>
              <w:rPr>
                <w:color w:val="231F20"/>
                <w:spacing w:val="-11"/>
                <w:sz w:val="15"/>
              </w:rPr>
              <w:t> </w:t>
            </w:r>
            <w:r>
              <w:rPr>
                <w:color w:val="231F20"/>
                <w:sz w:val="15"/>
              </w:rPr>
              <w:t>rare</w:t>
            </w:r>
            <w:r>
              <w:rPr>
                <w:color w:val="231F20"/>
                <w:spacing w:val="-12"/>
                <w:sz w:val="15"/>
              </w:rPr>
              <w:t> </w:t>
            </w:r>
            <w:r>
              <w:rPr>
                <w:color w:val="231F20"/>
                <w:sz w:val="15"/>
              </w:rPr>
              <w:t>except</w:t>
            </w:r>
            <w:r>
              <w:rPr>
                <w:color w:val="231F20"/>
                <w:spacing w:val="-11"/>
                <w:sz w:val="15"/>
              </w:rPr>
              <w:t> </w:t>
            </w:r>
            <w:r>
              <w:rPr>
                <w:color w:val="231F20"/>
                <w:sz w:val="15"/>
              </w:rPr>
              <w:t>in</w:t>
            </w:r>
            <w:r>
              <w:rPr>
                <w:color w:val="231F20"/>
                <w:spacing w:val="-11"/>
                <w:sz w:val="15"/>
              </w:rPr>
              <w:t> </w:t>
            </w:r>
            <w:r>
              <w:rPr>
                <w:color w:val="231F20"/>
                <w:sz w:val="15"/>
              </w:rPr>
              <w:t>congenital </w:t>
            </w:r>
            <w:r>
              <w:rPr>
                <w:color w:val="231F20"/>
                <w:spacing w:val="-2"/>
                <w:sz w:val="15"/>
              </w:rPr>
              <w:t>rubella</w:t>
            </w:r>
          </w:p>
          <w:p>
            <w:pPr>
              <w:pStyle w:val="TableParagraph"/>
              <w:numPr>
                <w:ilvl w:val="1"/>
                <w:numId w:val="92"/>
              </w:numPr>
              <w:tabs>
                <w:tab w:pos="831" w:val="left" w:leader="none"/>
              </w:tabs>
              <w:spacing w:line="167" w:lineRule="exact" w:before="0" w:after="0"/>
              <w:ind w:left="831" w:right="0" w:hanging="190"/>
              <w:jc w:val="left"/>
              <w:rPr>
                <w:sz w:val="15"/>
              </w:rPr>
            </w:pPr>
            <w:r>
              <w:rPr>
                <w:color w:val="231F20"/>
                <w:sz w:val="15"/>
              </w:rPr>
              <w:t>Herpesvirus</w:t>
            </w:r>
            <w:r>
              <w:rPr>
                <w:color w:val="231F20"/>
                <w:spacing w:val="-7"/>
                <w:sz w:val="15"/>
              </w:rPr>
              <w:t> </w:t>
            </w:r>
            <w:r>
              <w:rPr>
                <w:color w:val="231F20"/>
                <w:spacing w:val="-2"/>
                <w:sz w:val="15"/>
              </w:rPr>
              <w:t>group</w:t>
            </w:r>
          </w:p>
          <w:p>
            <w:pPr>
              <w:pStyle w:val="TableParagraph"/>
              <w:numPr>
                <w:ilvl w:val="2"/>
                <w:numId w:val="92"/>
              </w:numPr>
              <w:tabs>
                <w:tab w:pos="1033" w:val="left" w:leader="none"/>
                <w:tab w:pos="1035" w:val="left" w:leader="none"/>
              </w:tabs>
              <w:spacing w:line="230" w:lineRule="auto" w:before="3" w:after="0"/>
              <w:ind w:left="1035" w:right="226" w:hanging="204"/>
              <w:jc w:val="left"/>
              <w:rPr>
                <w:sz w:val="15"/>
              </w:rPr>
            </w:pPr>
            <w:r>
              <w:rPr>
                <w:color w:val="231F20"/>
                <w:sz w:val="15"/>
              </w:rPr>
              <w:t>Herpes</w:t>
            </w:r>
            <w:r>
              <w:rPr>
                <w:color w:val="231F20"/>
                <w:spacing w:val="-1"/>
                <w:sz w:val="15"/>
              </w:rPr>
              <w:t> </w:t>
            </w:r>
            <w:r>
              <w:rPr>
                <w:color w:val="231F20"/>
                <w:sz w:val="15"/>
              </w:rPr>
              <w:t>simplex</w:t>
            </w:r>
            <w:r>
              <w:rPr>
                <w:color w:val="231F20"/>
                <w:spacing w:val="-1"/>
                <w:sz w:val="15"/>
              </w:rPr>
              <w:t> </w:t>
            </w:r>
            <w:r>
              <w:rPr>
                <w:color w:val="231F20"/>
                <w:sz w:val="15"/>
              </w:rPr>
              <w:t>(types</w:t>
            </w:r>
            <w:r>
              <w:rPr>
                <w:color w:val="231F20"/>
                <w:spacing w:val="-1"/>
                <w:sz w:val="15"/>
              </w:rPr>
              <w:t> </w:t>
            </w:r>
            <w:r>
              <w:rPr>
                <w:color w:val="231F20"/>
                <w:sz w:val="15"/>
              </w:rPr>
              <w:t>1</w:t>
            </w:r>
            <w:r>
              <w:rPr>
                <w:color w:val="231F20"/>
                <w:spacing w:val="-1"/>
                <w:sz w:val="15"/>
              </w:rPr>
              <w:t> </w:t>
            </w:r>
            <w:r>
              <w:rPr>
                <w:color w:val="231F20"/>
                <w:sz w:val="15"/>
              </w:rPr>
              <w:t>and</w:t>
            </w:r>
            <w:r>
              <w:rPr>
                <w:color w:val="231F20"/>
                <w:spacing w:val="-1"/>
                <w:sz w:val="15"/>
              </w:rPr>
              <w:t> </w:t>
            </w:r>
            <w:r>
              <w:rPr>
                <w:color w:val="231F20"/>
                <w:sz w:val="15"/>
              </w:rPr>
              <w:t>2,</w:t>
            </w:r>
            <w:r>
              <w:rPr>
                <w:color w:val="231F20"/>
                <w:spacing w:val="-1"/>
                <w:sz w:val="15"/>
              </w:rPr>
              <w:t> </w:t>
            </w:r>
            <w:r>
              <w:rPr>
                <w:color w:val="231F20"/>
                <w:sz w:val="15"/>
              </w:rPr>
              <w:t>possibly</w:t>
            </w:r>
            <w:r>
              <w:rPr>
                <w:color w:val="231F20"/>
                <w:spacing w:val="-1"/>
                <w:sz w:val="15"/>
              </w:rPr>
              <w:t> </w:t>
            </w:r>
            <w:r>
              <w:rPr>
                <w:color w:val="231F20"/>
                <w:sz w:val="15"/>
              </w:rPr>
              <w:t>6):</w:t>
            </w:r>
            <w:r>
              <w:rPr>
                <w:color w:val="231F20"/>
                <w:spacing w:val="-1"/>
                <w:sz w:val="15"/>
              </w:rPr>
              <w:t> </w:t>
            </w:r>
            <w:r>
              <w:rPr>
                <w:color w:val="231F20"/>
                <w:sz w:val="15"/>
              </w:rPr>
              <w:t>relatively common;</w:t>
            </w:r>
            <w:r>
              <w:rPr>
                <w:color w:val="231F20"/>
                <w:spacing w:val="-12"/>
                <w:sz w:val="15"/>
              </w:rPr>
              <w:t> </w:t>
            </w:r>
            <w:r>
              <w:rPr>
                <w:color w:val="231F20"/>
                <w:sz w:val="15"/>
              </w:rPr>
              <w:t>sequelae</w:t>
            </w:r>
            <w:r>
              <w:rPr>
                <w:color w:val="231F20"/>
                <w:spacing w:val="-11"/>
                <w:sz w:val="15"/>
              </w:rPr>
              <w:t> </w:t>
            </w:r>
            <w:r>
              <w:rPr>
                <w:color w:val="231F20"/>
                <w:sz w:val="15"/>
              </w:rPr>
              <w:t>frequent;</w:t>
            </w:r>
            <w:r>
              <w:rPr>
                <w:color w:val="231F20"/>
                <w:spacing w:val="-11"/>
                <w:sz w:val="15"/>
              </w:rPr>
              <w:t> </w:t>
            </w:r>
            <w:r>
              <w:rPr>
                <w:color w:val="231F20"/>
                <w:sz w:val="15"/>
              </w:rPr>
              <w:t>devastating</w:t>
            </w:r>
            <w:r>
              <w:rPr>
                <w:color w:val="231F20"/>
                <w:spacing w:val="-12"/>
                <w:sz w:val="15"/>
              </w:rPr>
              <w:t> </w:t>
            </w:r>
            <w:r>
              <w:rPr>
                <w:color w:val="231F20"/>
                <w:sz w:val="15"/>
              </w:rPr>
              <w:t>in</w:t>
            </w:r>
            <w:r>
              <w:rPr>
                <w:color w:val="231F20"/>
                <w:spacing w:val="-11"/>
                <w:sz w:val="15"/>
              </w:rPr>
              <w:t> </w:t>
            </w:r>
            <w:r>
              <w:rPr>
                <w:color w:val="231F20"/>
                <w:sz w:val="15"/>
              </w:rPr>
              <w:t>newborns</w:t>
            </w:r>
          </w:p>
          <w:p>
            <w:pPr>
              <w:pStyle w:val="TableParagraph"/>
              <w:numPr>
                <w:ilvl w:val="2"/>
                <w:numId w:val="92"/>
              </w:numPr>
              <w:tabs>
                <w:tab w:pos="1033" w:val="left" w:leader="none"/>
                <w:tab w:pos="1035" w:val="left" w:leader="none"/>
              </w:tabs>
              <w:spacing w:line="230" w:lineRule="auto" w:before="1" w:after="0"/>
              <w:ind w:left="1035" w:right="171" w:hanging="204"/>
              <w:jc w:val="left"/>
              <w:rPr>
                <w:sz w:val="15"/>
              </w:rPr>
            </w:pPr>
            <w:r>
              <w:rPr>
                <w:color w:val="231F20"/>
                <w:spacing w:val="-2"/>
                <w:sz w:val="15"/>
              </w:rPr>
              <w:t>Varicella-zoster virus: uncommon; serious sequelae </w:t>
            </w:r>
            <w:r>
              <w:rPr>
                <w:color w:val="231F20"/>
                <w:spacing w:val="-2"/>
                <w:sz w:val="15"/>
              </w:rPr>
              <w:t>not </w:t>
            </w:r>
            <w:r>
              <w:rPr>
                <w:color w:val="231F20"/>
                <w:spacing w:val="-4"/>
                <w:sz w:val="15"/>
              </w:rPr>
              <w:t>rare</w:t>
            </w:r>
          </w:p>
          <w:p>
            <w:pPr>
              <w:pStyle w:val="TableParagraph"/>
              <w:numPr>
                <w:ilvl w:val="2"/>
                <w:numId w:val="92"/>
              </w:numPr>
              <w:tabs>
                <w:tab w:pos="1036" w:val="left" w:leader="none"/>
              </w:tabs>
              <w:spacing w:line="230" w:lineRule="auto" w:before="2" w:after="0"/>
              <w:ind w:left="1036" w:right="392" w:hanging="204"/>
              <w:jc w:val="left"/>
              <w:rPr>
                <w:sz w:val="15"/>
              </w:rPr>
            </w:pPr>
            <w:r>
              <w:rPr>
                <w:color w:val="231F20"/>
                <w:sz w:val="15"/>
              </w:rPr>
              <w:t>Cytomegalovirus,</w:t>
            </w:r>
            <w:r>
              <w:rPr>
                <w:color w:val="231F20"/>
                <w:spacing w:val="-12"/>
                <w:sz w:val="15"/>
              </w:rPr>
              <w:t> </w:t>
            </w:r>
            <w:r>
              <w:rPr>
                <w:color w:val="231F20"/>
                <w:sz w:val="15"/>
              </w:rPr>
              <w:t>congenital</w:t>
            </w:r>
            <w:r>
              <w:rPr>
                <w:color w:val="231F20"/>
                <w:spacing w:val="-11"/>
                <w:sz w:val="15"/>
              </w:rPr>
              <w:t> </w:t>
            </w:r>
            <w:r>
              <w:rPr>
                <w:color w:val="231F20"/>
                <w:sz w:val="15"/>
              </w:rPr>
              <w:t>or</w:t>
            </w:r>
            <w:r>
              <w:rPr>
                <w:color w:val="231F20"/>
                <w:spacing w:val="-11"/>
                <w:sz w:val="15"/>
              </w:rPr>
              <w:t> </w:t>
            </w:r>
            <w:r>
              <w:rPr>
                <w:color w:val="231F20"/>
                <w:sz w:val="15"/>
              </w:rPr>
              <w:t>acquired:</w:t>
            </w:r>
            <w:r>
              <w:rPr>
                <w:color w:val="231F20"/>
                <w:spacing w:val="-12"/>
                <w:sz w:val="15"/>
              </w:rPr>
              <w:t> </w:t>
            </w:r>
            <w:r>
              <w:rPr>
                <w:color w:val="231F20"/>
                <w:sz w:val="15"/>
              </w:rPr>
              <w:t>may</w:t>
            </w:r>
            <w:r>
              <w:rPr>
                <w:color w:val="231F20"/>
                <w:spacing w:val="-11"/>
                <w:sz w:val="15"/>
              </w:rPr>
              <w:t> </w:t>
            </w:r>
            <w:r>
              <w:rPr>
                <w:color w:val="231F20"/>
                <w:sz w:val="15"/>
              </w:rPr>
              <w:t>have delayed sequelae in congenital type</w:t>
            </w:r>
          </w:p>
          <w:p>
            <w:pPr>
              <w:pStyle w:val="TableParagraph"/>
              <w:numPr>
                <w:ilvl w:val="2"/>
                <w:numId w:val="92"/>
              </w:numPr>
              <w:tabs>
                <w:tab w:pos="1034" w:val="left" w:leader="none"/>
                <w:tab w:pos="1036" w:val="left" w:leader="none"/>
              </w:tabs>
              <w:spacing w:line="230" w:lineRule="auto" w:before="1" w:after="0"/>
              <w:ind w:left="1036" w:right="552" w:hanging="204"/>
              <w:jc w:val="left"/>
              <w:rPr>
                <w:sz w:val="15"/>
              </w:rPr>
            </w:pPr>
            <w:r>
              <w:rPr>
                <w:color w:val="231F20"/>
                <w:spacing w:val="-2"/>
                <w:sz w:val="15"/>
              </w:rPr>
              <w:t>Epstein-Barr</w:t>
            </w:r>
            <w:r>
              <w:rPr>
                <w:color w:val="231F20"/>
                <w:spacing w:val="-5"/>
                <w:sz w:val="15"/>
              </w:rPr>
              <w:t> </w:t>
            </w:r>
            <w:r>
              <w:rPr>
                <w:color w:val="231F20"/>
                <w:spacing w:val="-2"/>
                <w:sz w:val="15"/>
              </w:rPr>
              <w:t>virus</w:t>
            </w:r>
            <w:r>
              <w:rPr>
                <w:color w:val="231F20"/>
                <w:spacing w:val="-5"/>
                <w:sz w:val="15"/>
              </w:rPr>
              <w:t> </w:t>
            </w:r>
            <w:r>
              <w:rPr>
                <w:color w:val="231F20"/>
                <w:spacing w:val="-2"/>
                <w:sz w:val="15"/>
              </w:rPr>
              <w:t>(infectious</w:t>
            </w:r>
            <w:r>
              <w:rPr>
                <w:color w:val="231F20"/>
                <w:spacing w:val="-5"/>
                <w:sz w:val="15"/>
              </w:rPr>
              <w:t> </w:t>
            </w:r>
            <w:r>
              <w:rPr>
                <w:color w:val="231F20"/>
                <w:spacing w:val="-2"/>
                <w:sz w:val="15"/>
              </w:rPr>
              <w:t>mononucleosis):</w:t>
            </w:r>
            <w:r>
              <w:rPr>
                <w:color w:val="231F20"/>
                <w:spacing w:val="-5"/>
                <w:sz w:val="15"/>
              </w:rPr>
              <w:t> </w:t>
            </w:r>
            <w:r>
              <w:rPr>
                <w:color w:val="231F20"/>
                <w:spacing w:val="-2"/>
                <w:sz w:val="15"/>
              </w:rPr>
              <w:t>not common</w:t>
            </w:r>
          </w:p>
          <w:p>
            <w:pPr>
              <w:pStyle w:val="TableParagraph"/>
              <w:numPr>
                <w:ilvl w:val="1"/>
                <w:numId w:val="92"/>
              </w:numPr>
              <w:tabs>
                <w:tab w:pos="831" w:val="left" w:leader="none"/>
              </w:tabs>
              <w:spacing w:line="167" w:lineRule="exact" w:before="0" w:after="0"/>
              <w:ind w:left="831" w:right="0" w:hanging="190"/>
              <w:jc w:val="left"/>
              <w:rPr>
                <w:sz w:val="15"/>
              </w:rPr>
            </w:pPr>
            <w:r>
              <w:rPr>
                <w:color w:val="231F20"/>
                <w:w w:val="105"/>
                <w:sz w:val="15"/>
              </w:rPr>
              <w:t>Pox</w:t>
            </w:r>
            <w:r>
              <w:rPr>
                <w:color w:val="231F20"/>
                <w:spacing w:val="-9"/>
                <w:w w:val="105"/>
                <w:sz w:val="15"/>
              </w:rPr>
              <w:t> </w:t>
            </w:r>
            <w:r>
              <w:rPr>
                <w:color w:val="231F20"/>
                <w:spacing w:val="-2"/>
                <w:w w:val="105"/>
                <w:sz w:val="15"/>
              </w:rPr>
              <w:t>group</w:t>
            </w:r>
          </w:p>
          <w:p>
            <w:pPr>
              <w:pStyle w:val="TableParagraph"/>
              <w:numPr>
                <w:ilvl w:val="2"/>
                <w:numId w:val="92"/>
              </w:numPr>
              <w:tabs>
                <w:tab w:pos="1034" w:val="left" w:leader="none"/>
                <w:tab w:pos="1036" w:val="left" w:leader="none"/>
              </w:tabs>
              <w:spacing w:line="230" w:lineRule="auto" w:before="2" w:after="0"/>
              <w:ind w:left="1036" w:right="495" w:hanging="204"/>
              <w:jc w:val="left"/>
              <w:rPr>
                <w:sz w:val="15"/>
              </w:rPr>
            </w:pPr>
            <w:r>
              <w:rPr>
                <w:color w:val="231F20"/>
                <w:sz w:val="15"/>
              </w:rPr>
              <w:t>Vaccinia</w:t>
            </w:r>
            <w:r>
              <w:rPr>
                <w:color w:val="231F20"/>
                <w:spacing w:val="-5"/>
                <w:sz w:val="15"/>
              </w:rPr>
              <w:t> </w:t>
            </w:r>
            <w:r>
              <w:rPr>
                <w:color w:val="231F20"/>
                <w:sz w:val="15"/>
              </w:rPr>
              <w:t>and</w:t>
            </w:r>
            <w:r>
              <w:rPr>
                <w:color w:val="231F20"/>
                <w:spacing w:val="-5"/>
                <w:sz w:val="15"/>
              </w:rPr>
              <w:t> </w:t>
            </w:r>
            <w:r>
              <w:rPr>
                <w:color w:val="231F20"/>
                <w:sz w:val="15"/>
              </w:rPr>
              <w:t>variola:</w:t>
            </w:r>
            <w:r>
              <w:rPr>
                <w:color w:val="231F20"/>
                <w:spacing w:val="-5"/>
                <w:sz w:val="15"/>
              </w:rPr>
              <w:t> </w:t>
            </w:r>
            <w:r>
              <w:rPr>
                <w:color w:val="231F20"/>
                <w:sz w:val="15"/>
              </w:rPr>
              <w:t>uncommon,</w:t>
            </w:r>
            <w:r>
              <w:rPr>
                <w:color w:val="231F20"/>
                <w:spacing w:val="-5"/>
                <w:sz w:val="15"/>
              </w:rPr>
              <w:t> </w:t>
            </w:r>
            <w:r>
              <w:rPr>
                <w:color w:val="231F20"/>
                <w:sz w:val="15"/>
              </w:rPr>
              <w:t>but</w:t>
            </w:r>
            <w:r>
              <w:rPr>
                <w:color w:val="231F20"/>
                <w:spacing w:val="-5"/>
                <w:sz w:val="15"/>
              </w:rPr>
              <w:t> </w:t>
            </w:r>
            <w:r>
              <w:rPr>
                <w:color w:val="231F20"/>
                <w:sz w:val="15"/>
              </w:rPr>
              <w:t>serious</w:t>
            </w:r>
            <w:r>
              <w:rPr>
                <w:color w:val="231F20"/>
                <w:spacing w:val="-5"/>
                <w:sz w:val="15"/>
              </w:rPr>
              <w:t> </w:t>
            </w:r>
            <w:r>
              <w:rPr>
                <w:color w:val="231F20"/>
                <w:sz w:val="15"/>
              </w:rPr>
              <w:t>CNS damage occurs</w:t>
            </w:r>
          </w:p>
          <w:p>
            <w:pPr>
              <w:pStyle w:val="TableParagraph"/>
              <w:numPr>
                <w:ilvl w:val="1"/>
                <w:numId w:val="92"/>
              </w:numPr>
              <w:tabs>
                <w:tab w:pos="831" w:val="left" w:leader="none"/>
              </w:tabs>
              <w:spacing w:line="167" w:lineRule="exact" w:before="0" w:after="0"/>
              <w:ind w:left="831" w:right="0" w:hanging="190"/>
              <w:jc w:val="left"/>
              <w:rPr>
                <w:sz w:val="15"/>
              </w:rPr>
            </w:pPr>
            <w:r>
              <w:rPr>
                <w:color w:val="231F20"/>
                <w:spacing w:val="-4"/>
                <w:sz w:val="15"/>
              </w:rPr>
              <w:t>Parvovirus</w:t>
            </w:r>
            <w:r>
              <w:rPr>
                <w:color w:val="231F20"/>
                <w:spacing w:val="8"/>
                <w:sz w:val="15"/>
              </w:rPr>
              <w:t> </w:t>
            </w:r>
            <w:r>
              <w:rPr>
                <w:color w:val="231F20"/>
                <w:spacing w:val="-4"/>
                <w:sz w:val="15"/>
              </w:rPr>
              <w:t>(erythema</w:t>
            </w:r>
            <w:r>
              <w:rPr>
                <w:color w:val="231F20"/>
                <w:spacing w:val="8"/>
                <w:sz w:val="15"/>
              </w:rPr>
              <w:t> </w:t>
            </w:r>
            <w:r>
              <w:rPr>
                <w:color w:val="231F20"/>
                <w:spacing w:val="-4"/>
                <w:sz w:val="15"/>
              </w:rPr>
              <w:t>infectiosum):</w:t>
            </w:r>
            <w:r>
              <w:rPr>
                <w:color w:val="231F20"/>
                <w:spacing w:val="8"/>
                <w:sz w:val="15"/>
              </w:rPr>
              <w:t> </w:t>
            </w:r>
            <w:r>
              <w:rPr>
                <w:color w:val="231F20"/>
                <w:spacing w:val="-4"/>
                <w:sz w:val="15"/>
              </w:rPr>
              <w:t>not</w:t>
            </w:r>
            <w:r>
              <w:rPr>
                <w:color w:val="231F20"/>
                <w:spacing w:val="8"/>
                <w:sz w:val="15"/>
              </w:rPr>
              <w:t> </w:t>
            </w:r>
            <w:r>
              <w:rPr>
                <w:color w:val="231F20"/>
                <w:spacing w:val="-4"/>
                <w:sz w:val="15"/>
              </w:rPr>
              <w:t>common</w:t>
            </w:r>
          </w:p>
          <w:p>
            <w:pPr>
              <w:pStyle w:val="TableParagraph"/>
              <w:numPr>
                <w:ilvl w:val="1"/>
                <w:numId w:val="92"/>
              </w:numPr>
              <w:tabs>
                <w:tab w:pos="831" w:val="left" w:leader="none"/>
              </w:tabs>
              <w:spacing w:line="168" w:lineRule="exact" w:before="0" w:after="0"/>
              <w:ind w:left="831" w:right="0" w:hanging="190"/>
              <w:jc w:val="left"/>
              <w:rPr>
                <w:sz w:val="15"/>
              </w:rPr>
            </w:pPr>
            <w:r>
              <w:rPr>
                <w:color w:val="231F20"/>
                <w:sz w:val="15"/>
              </w:rPr>
              <w:t>Influenzas</w:t>
            </w:r>
            <w:r>
              <w:rPr>
                <w:color w:val="231F20"/>
                <w:spacing w:val="-2"/>
                <w:sz w:val="15"/>
              </w:rPr>
              <w:t> </w:t>
            </w:r>
            <w:r>
              <w:rPr>
                <w:color w:val="231F20"/>
                <w:sz w:val="15"/>
              </w:rPr>
              <w:t>A</w:t>
            </w:r>
            <w:r>
              <w:rPr>
                <w:color w:val="231F20"/>
                <w:spacing w:val="-1"/>
                <w:sz w:val="15"/>
              </w:rPr>
              <w:t> </w:t>
            </w:r>
            <w:r>
              <w:rPr>
                <w:color w:val="231F20"/>
                <w:sz w:val="15"/>
              </w:rPr>
              <w:t>and</w:t>
            </w:r>
            <w:r>
              <w:rPr>
                <w:color w:val="231F20"/>
                <w:spacing w:val="-1"/>
                <w:sz w:val="15"/>
              </w:rPr>
              <w:t> </w:t>
            </w:r>
            <w:r>
              <w:rPr>
                <w:color w:val="231F20"/>
                <w:spacing w:val="-10"/>
                <w:sz w:val="15"/>
              </w:rPr>
              <w:t>B</w:t>
            </w:r>
          </w:p>
          <w:p>
            <w:pPr>
              <w:pStyle w:val="TableParagraph"/>
              <w:numPr>
                <w:ilvl w:val="1"/>
                <w:numId w:val="92"/>
              </w:numPr>
              <w:tabs>
                <w:tab w:pos="831" w:val="left" w:leader="none"/>
              </w:tabs>
              <w:spacing w:line="168" w:lineRule="exact" w:before="0" w:after="0"/>
              <w:ind w:left="831" w:right="0" w:hanging="268"/>
              <w:jc w:val="left"/>
              <w:rPr>
                <w:sz w:val="15"/>
              </w:rPr>
            </w:pPr>
            <w:r>
              <w:rPr>
                <w:color w:val="231F20"/>
                <w:spacing w:val="-2"/>
                <w:sz w:val="15"/>
              </w:rPr>
              <w:t>Adenovirus</w:t>
            </w:r>
          </w:p>
          <w:p>
            <w:pPr>
              <w:pStyle w:val="TableParagraph"/>
              <w:numPr>
                <w:ilvl w:val="1"/>
                <w:numId w:val="92"/>
              </w:numPr>
              <w:tabs>
                <w:tab w:pos="832" w:val="left" w:leader="none"/>
              </w:tabs>
              <w:spacing w:line="230" w:lineRule="auto" w:before="3" w:after="0"/>
              <w:ind w:left="832" w:right="485" w:hanging="269"/>
              <w:jc w:val="left"/>
              <w:rPr>
                <w:sz w:val="15"/>
              </w:rPr>
            </w:pPr>
            <w:r>
              <w:rPr>
                <w:color w:val="231F20"/>
                <w:spacing w:val="-4"/>
                <w:sz w:val="15"/>
              </w:rPr>
              <w:t>Other: reoviruses, respiratory syncytial, </w:t>
            </w:r>
            <w:r>
              <w:rPr>
                <w:color w:val="231F20"/>
                <w:spacing w:val="-4"/>
                <w:sz w:val="15"/>
              </w:rPr>
              <w:t>parainfluenza, </w:t>
            </w:r>
            <w:r>
              <w:rPr>
                <w:color w:val="231F20"/>
                <w:sz w:val="15"/>
              </w:rPr>
              <w:t>hepatitis B</w:t>
            </w:r>
          </w:p>
          <w:p>
            <w:pPr>
              <w:pStyle w:val="TableParagraph"/>
              <w:numPr>
                <w:ilvl w:val="0"/>
                <w:numId w:val="92"/>
              </w:numPr>
              <w:tabs>
                <w:tab w:pos="563" w:val="left" w:leader="none"/>
              </w:tabs>
              <w:spacing w:line="167" w:lineRule="exact" w:before="0" w:after="0"/>
              <w:ind w:left="563" w:right="0" w:hanging="207"/>
              <w:jc w:val="left"/>
              <w:rPr>
                <w:sz w:val="15"/>
              </w:rPr>
            </w:pPr>
            <w:r>
              <w:rPr>
                <w:color w:val="231F20"/>
                <w:sz w:val="15"/>
              </w:rPr>
              <w:t>Arthropod-borne</w:t>
            </w:r>
            <w:r>
              <w:rPr>
                <w:color w:val="231F20"/>
                <w:spacing w:val="23"/>
                <w:sz w:val="15"/>
              </w:rPr>
              <w:t> </w:t>
            </w:r>
            <w:r>
              <w:rPr>
                <w:color w:val="231F20"/>
                <w:spacing w:val="-2"/>
                <w:sz w:val="15"/>
              </w:rPr>
              <w:t>agents</w:t>
            </w:r>
          </w:p>
          <w:p>
            <w:pPr>
              <w:pStyle w:val="TableParagraph"/>
              <w:numPr>
                <w:ilvl w:val="0"/>
                <w:numId w:val="92"/>
              </w:numPr>
              <w:tabs>
                <w:tab w:pos="563" w:val="left" w:leader="none"/>
              </w:tabs>
              <w:spacing w:line="230" w:lineRule="auto" w:before="3" w:after="0"/>
              <w:ind w:left="563" w:right="263" w:hanging="219"/>
              <w:jc w:val="left"/>
              <w:rPr>
                <w:sz w:val="15"/>
              </w:rPr>
            </w:pPr>
            <w:r>
              <w:rPr>
                <w:color w:val="231F20"/>
                <w:sz w:val="15"/>
              </w:rPr>
              <w:t>Arboviruses: spread to humans by mosquitoes or ticks; seasonal</w:t>
            </w:r>
            <w:r>
              <w:rPr>
                <w:color w:val="231F20"/>
                <w:spacing w:val="-3"/>
                <w:sz w:val="15"/>
              </w:rPr>
              <w:t> </w:t>
            </w:r>
            <w:r>
              <w:rPr>
                <w:color w:val="231F20"/>
                <w:sz w:val="15"/>
              </w:rPr>
              <w:t>epidemics</w:t>
            </w:r>
            <w:r>
              <w:rPr>
                <w:color w:val="231F20"/>
                <w:spacing w:val="-3"/>
                <w:sz w:val="15"/>
              </w:rPr>
              <w:t> </w:t>
            </w:r>
            <w:r>
              <w:rPr>
                <w:color w:val="231F20"/>
                <w:sz w:val="15"/>
              </w:rPr>
              <w:t>depend</w:t>
            </w:r>
            <w:r>
              <w:rPr>
                <w:color w:val="231F20"/>
                <w:spacing w:val="-3"/>
                <w:sz w:val="15"/>
              </w:rPr>
              <w:t> </w:t>
            </w:r>
            <w:r>
              <w:rPr>
                <w:color w:val="231F20"/>
                <w:sz w:val="15"/>
              </w:rPr>
              <w:t>on</w:t>
            </w:r>
            <w:r>
              <w:rPr>
                <w:color w:val="231F20"/>
                <w:spacing w:val="-3"/>
                <w:sz w:val="15"/>
              </w:rPr>
              <w:t> </w:t>
            </w:r>
            <w:r>
              <w:rPr>
                <w:color w:val="231F20"/>
                <w:sz w:val="15"/>
              </w:rPr>
              <w:t>ecology</w:t>
            </w:r>
            <w:r>
              <w:rPr>
                <w:color w:val="231F20"/>
                <w:spacing w:val="-3"/>
                <w:sz w:val="15"/>
              </w:rPr>
              <w:t> </w:t>
            </w:r>
            <w:r>
              <w:rPr>
                <w:color w:val="231F20"/>
                <w:sz w:val="15"/>
              </w:rPr>
              <w:t>of</w:t>
            </w:r>
            <w:r>
              <w:rPr>
                <w:color w:val="231F20"/>
                <w:spacing w:val="-3"/>
                <w:sz w:val="15"/>
              </w:rPr>
              <w:t> </w:t>
            </w:r>
            <w:r>
              <w:rPr>
                <w:color w:val="231F20"/>
                <w:sz w:val="15"/>
              </w:rPr>
              <w:t>the</w:t>
            </w:r>
            <w:r>
              <w:rPr>
                <w:color w:val="231F20"/>
                <w:spacing w:val="-3"/>
                <w:sz w:val="15"/>
              </w:rPr>
              <w:t> </w:t>
            </w:r>
            <w:r>
              <w:rPr>
                <w:color w:val="231F20"/>
                <w:sz w:val="15"/>
              </w:rPr>
              <w:t>insect</w:t>
            </w:r>
            <w:r>
              <w:rPr>
                <w:color w:val="231F20"/>
                <w:spacing w:val="-3"/>
                <w:sz w:val="15"/>
              </w:rPr>
              <w:t> </w:t>
            </w:r>
            <w:r>
              <w:rPr>
                <w:color w:val="231F20"/>
                <w:sz w:val="15"/>
              </w:rPr>
              <w:t>vector; the following occur in the United States:</w:t>
            </w:r>
          </w:p>
          <w:p>
            <w:pPr>
              <w:pStyle w:val="TableParagraph"/>
              <w:tabs>
                <w:tab w:pos="2728" w:val="left" w:leader="none"/>
              </w:tabs>
              <w:spacing w:line="172" w:lineRule="exact" w:before="16"/>
              <w:ind w:left="563"/>
              <w:rPr>
                <w:sz w:val="15"/>
              </w:rPr>
            </w:pPr>
            <w:r>
              <w:rPr>
                <w:color w:val="231F20"/>
                <w:sz w:val="15"/>
              </w:rPr>
              <w:t>Eastern</w:t>
            </w:r>
            <w:r>
              <w:rPr>
                <w:color w:val="231F20"/>
                <w:spacing w:val="-10"/>
                <w:sz w:val="15"/>
              </w:rPr>
              <w:t> </w:t>
            </w:r>
            <w:r>
              <w:rPr>
                <w:color w:val="231F20"/>
                <w:spacing w:val="-2"/>
                <w:sz w:val="15"/>
              </w:rPr>
              <w:t>equine</w:t>
            </w:r>
            <w:r>
              <w:rPr>
                <w:color w:val="231F20"/>
                <w:sz w:val="15"/>
              </w:rPr>
              <w:tab/>
            </w:r>
            <w:r>
              <w:rPr>
                <w:color w:val="231F20"/>
                <w:spacing w:val="-2"/>
                <w:sz w:val="15"/>
              </w:rPr>
              <w:t>California</w:t>
            </w:r>
          </w:p>
          <w:p>
            <w:pPr>
              <w:pStyle w:val="TableParagraph"/>
              <w:tabs>
                <w:tab w:pos="2728" w:val="left" w:leader="none"/>
              </w:tabs>
              <w:spacing w:line="169" w:lineRule="exact"/>
              <w:ind w:left="563"/>
              <w:rPr>
                <w:sz w:val="15"/>
              </w:rPr>
            </w:pPr>
            <w:r>
              <w:rPr>
                <w:color w:val="231F20"/>
                <w:sz w:val="15"/>
              </w:rPr>
              <w:t>Western</w:t>
            </w:r>
            <w:r>
              <w:rPr>
                <w:color w:val="231F20"/>
                <w:spacing w:val="1"/>
                <w:sz w:val="15"/>
              </w:rPr>
              <w:t> </w:t>
            </w:r>
            <w:r>
              <w:rPr>
                <w:color w:val="231F20"/>
                <w:spacing w:val="-2"/>
                <w:sz w:val="15"/>
              </w:rPr>
              <w:t>equine</w:t>
            </w:r>
            <w:r>
              <w:rPr>
                <w:color w:val="231F20"/>
                <w:sz w:val="15"/>
              </w:rPr>
              <w:tab/>
            </w:r>
            <w:r>
              <w:rPr>
                <w:color w:val="231F20"/>
                <w:spacing w:val="-2"/>
                <w:sz w:val="15"/>
              </w:rPr>
              <w:t>Powassan</w:t>
            </w:r>
          </w:p>
          <w:p>
            <w:pPr>
              <w:pStyle w:val="TableParagraph"/>
              <w:tabs>
                <w:tab w:pos="2728" w:val="left" w:leader="none"/>
              </w:tabs>
              <w:spacing w:line="169" w:lineRule="exact"/>
              <w:ind w:left="563"/>
              <w:rPr>
                <w:sz w:val="15"/>
              </w:rPr>
            </w:pPr>
            <w:r>
              <w:rPr>
                <w:color w:val="231F20"/>
                <w:spacing w:val="-2"/>
                <w:sz w:val="15"/>
              </w:rPr>
              <w:t>Venezuelan</w:t>
            </w:r>
            <w:r>
              <w:rPr>
                <w:color w:val="231F20"/>
                <w:spacing w:val="5"/>
                <w:sz w:val="15"/>
              </w:rPr>
              <w:t> </w:t>
            </w:r>
            <w:r>
              <w:rPr>
                <w:color w:val="231F20"/>
                <w:spacing w:val="-2"/>
                <w:sz w:val="15"/>
              </w:rPr>
              <w:t>equine</w:t>
            </w:r>
            <w:r>
              <w:rPr>
                <w:color w:val="231F20"/>
                <w:sz w:val="15"/>
              </w:rPr>
              <w:tab/>
            </w:r>
            <w:r>
              <w:rPr>
                <w:color w:val="231F20"/>
                <w:spacing w:val="-2"/>
                <w:sz w:val="15"/>
              </w:rPr>
              <w:t>Dengue</w:t>
            </w:r>
          </w:p>
          <w:p>
            <w:pPr>
              <w:pStyle w:val="TableParagraph"/>
              <w:tabs>
                <w:tab w:pos="2728" w:val="left" w:leader="none"/>
              </w:tabs>
              <w:spacing w:line="232" w:lineRule="auto" w:before="2"/>
              <w:ind w:left="563" w:right="859"/>
              <w:rPr>
                <w:sz w:val="15"/>
              </w:rPr>
            </w:pPr>
            <w:r>
              <w:rPr>
                <w:color w:val="231F20"/>
                <w:sz w:val="15"/>
              </w:rPr>
              <w:t>St. Louis</w:t>
              <w:tab/>
              <w:t>Colorado</w:t>
            </w:r>
            <w:r>
              <w:rPr>
                <w:color w:val="231F20"/>
                <w:spacing w:val="-12"/>
                <w:sz w:val="15"/>
              </w:rPr>
              <w:t> </w:t>
            </w:r>
            <w:r>
              <w:rPr>
                <w:color w:val="231F20"/>
                <w:sz w:val="15"/>
              </w:rPr>
              <w:t>tick</w:t>
            </w:r>
            <w:r>
              <w:rPr>
                <w:color w:val="231F20"/>
                <w:spacing w:val="-11"/>
                <w:sz w:val="15"/>
              </w:rPr>
              <w:t> </w:t>
            </w:r>
            <w:r>
              <w:rPr>
                <w:color w:val="231F20"/>
                <w:sz w:val="15"/>
              </w:rPr>
              <w:t>fever West Nile</w:t>
            </w:r>
          </w:p>
          <w:p>
            <w:pPr>
              <w:pStyle w:val="TableParagraph"/>
              <w:numPr>
                <w:ilvl w:val="0"/>
                <w:numId w:val="92"/>
              </w:numPr>
              <w:tabs>
                <w:tab w:pos="562" w:val="left" w:leader="none"/>
              </w:tabs>
              <w:spacing w:line="166" w:lineRule="exact" w:before="0" w:after="0"/>
              <w:ind w:left="562" w:right="0" w:hanging="223"/>
              <w:jc w:val="left"/>
              <w:rPr>
                <w:sz w:val="15"/>
              </w:rPr>
            </w:pPr>
            <w:r>
              <w:rPr>
                <w:color w:val="231F20"/>
                <w:sz w:val="15"/>
              </w:rPr>
              <w:t>Spread</w:t>
            </w:r>
            <w:r>
              <w:rPr>
                <w:color w:val="231F20"/>
                <w:spacing w:val="9"/>
                <w:sz w:val="15"/>
              </w:rPr>
              <w:t> </w:t>
            </w:r>
            <w:r>
              <w:rPr>
                <w:color w:val="231F20"/>
                <w:sz w:val="15"/>
              </w:rPr>
              <w:t>by</w:t>
            </w:r>
            <w:r>
              <w:rPr>
                <w:color w:val="231F20"/>
                <w:spacing w:val="9"/>
                <w:sz w:val="15"/>
              </w:rPr>
              <w:t> </w:t>
            </w:r>
            <w:r>
              <w:rPr>
                <w:color w:val="231F20"/>
                <w:sz w:val="15"/>
              </w:rPr>
              <w:t>warm-blooded</w:t>
            </w:r>
            <w:r>
              <w:rPr>
                <w:color w:val="231F20"/>
                <w:spacing w:val="9"/>
                <w:sz w:val="15"/>
              </w:rPr>
              <w:t> </w:t>
            </w:r>
            <w:r>
              <w:rPr>
                <w:color w:val="231F20"/>
                <w:spacing w:val="-2"/>
                <w:sz w:val="15"/>
              </w:rPr>
              <w:t>mammals</w:t>
            </w:r>
          </w:p>
          <w:p>
            <w:pPr>
              <w:pStyle w:val="TableParagraph"/>
              <w:numPr>
                <w:ilvl w:val="1"/>
                <w:numId w:val="92"/>
              </w:numPr>
              <w:tabs>
                <w:tab w:pos="830" w:val="left" w:leader="none"/>
                <w:tab w:pos="832" w:val="left" w:leader="none"/>
              </w:tabs>
              <w:spacing w:line="230" w:lineRule="auto" w:before="3" w:after="0"/>
              <w:ind w:left="832" w:right="478" w:hanging="192"/>
              <w:jc w:val="left"/>
              <w:rPr>
                <w:sz w:val="15"/>
              </w:rPr>
            </w:pPr>
            <w:r>
              <w:rPr>
                <w:color w:val="231F20"/>
                <w:sz w:val="15"/>
              </w:rPr>
              <w:t>Rabies:</w:t>
            </w:r>
            <w:r>
              <w:rPr>
                <w:color w:val="231F20"/>
                <w:spacing w:val="-11"/>
                <w:sz w:val="15"/>
              </w:rPr>
              <w:t> </w:t>
            </w:r>
            <w:r>
              <w:rPr>
                <w:color w:val="231F20"/>
                <w:sz w:val="15"/>
              </w:rPr>
              <w:t>saliva</w:t>
            </w:r>
            <w:r>
              <w:rPr>
                <w:color w:val="231F20"/>
                <w:spacing w:val="-11"/>
                <w:sz w:val="15"/>
              </w:rPr>
              <w:t> </w:t>
            </w:r>
            <w:r>
              <w:rPr>
                <w:color w:val="231F20"/>
                <w:sz w:val="15"/>
              </w:rPr>
              <w:t>of</w:t>
            </w:r>
            <w:r>
              <w:rPr>
                <w:color w:val="231F20"/>
                <w:spacing w:val="-11"/>
                <w:sz w:val="15"/>
              </w:rPr>
              <w:t> </w:t>
            </w:r>
            <w:r>
              <w:rPr>
                <w:color w:val="231F20"/>
                <w:sz w:val="15"/>
              </w:rPr>
              <w:t>many</w:t>
            </w:r>
            <w:r>
              <w:rPr>
                <w:color w:val="231F20"/>
                <w:spacing w:val="-11"/>
                <w:sz w:val="15"/>
              </w:rPr>
              <w:t> </w:t>
            </w:r>
            <w:r>
              <w:rPr>
                <w:color w:val="231F20"/>
                <w:sz w:val="15"/>
              </w:rPr>
              <w:t>domestic</w:t>
            </w:r>
            <w:r>
              <w:rPr>
                <w:color w:val="231F20"/>
                <w:spacing w:val="-11"/>
                <w:sz w:val="15"/>
              </w:rPr>
              <w:t> </w:t>
            </w:r>
            <w:r>
              <w:rPr>
                <w:color w:val="231F20"/>
                <w:sz w:val="15"/>
              </w:rPr>
              <w:t>and</w:t>
            </w:r>
            <w:r>
              <w:rPr>
                <w:color w:val="231F20"/>
                <w:spacing w:val="-11"/>
                <w:sz w:val="15"/>
              </w:rPr>
              <w:t> </w:t>
            </w:r>
            <w:r>
              <w:rPr>
                <w:color w:val="231F20"/>
                <w:sz w:val="15"/>
              </w:rPr>
              <w:t>wild</w:t>
            </w:r>
            <w:r>
              <w:rPr>
                <w:color w:val="231F20"/>
                <w:spacing w:val="-11"/>
                <w:sz w:val="15"/>
              </w:rPr>
              <w:t> </w:t>
            </w:r>
            <w:r>
              <w:rPr>
                <w:color w:val="231F20"/>
                <w:sz w:val="15"/>
              </w:rPr>
              <w:t>mammalian </w:t>
            </w:r>
            <w:r>
              <w:rPr>
                <w:color w:val="231F20"/>
                <w:spacing w:val="-2"/>
                <w:sz w:val="15"/>
              </w:rPr>
              <w:t>species</w:t>
            </w:r>
          </w:p>
          <w:p>
            <w:pPr>
              <w:pStyle w:val="TableParagraph"/>
              <w:numPr>
                <w:ilvl w:val="1"/>
                <w:numId w:val="92"/>
              </w:numPr>
              <w:tabs>
                <w:tab w:pos="831" w:val="left" w:leader="none"/>
              </w:tabs>
              <w:spacing w:line="167" w:lineRule="exact" w:before="0" w:after="0"/>
              <w:ind w:left="831" w:right="0" w:hanging="190"/>
              <w:jc w:val="left"/>
              <w:rPr>
                <w:sz w:val="15"/>
              </w:rPr>
            </w:pPr>
            <w:r>
              <w:rPr>
                <w:color w:val="231F20"/>
                <w:spacing w:val="-2"/>
                <w:sz w:val="15"/>
              </w:rPr>
              <w:t>Herpesvirus</w:t>
            </w:r>
            <w:r>
              <w:rPr>
                <w:color w:val="231F20"/>
                <w:spacing w:val="-4"/>
                <w:sz w:val="15"/>
              </w:rPr>
              <w:t> </w:t>
            </w:r>
            <w:r>
              <w:rPr>
                <w:color w:val="231F20"/>
                <w:spacing w:val="-2"/>
                <w:sz w:val="15"/>
              </w:rPr>
              <w:t>simiae</w:t>
            </w:r>
            <w:r>
              <w:rPr>
                <w:color w:val="231F20"/>
                <w:spacing w:val="-3"/>
                <w:sz w:val="15"/>
              </w:rPr>
              <w:t> </w:t>
            </w:r>
            <w:r>
              <w:rPr>
                <w:color w:val="231F20"/>
                <w:spacing w:val="-2"/>
                <w:sz w:val="15"/>
              </w:rPr>
              <w:t>(“B”</w:t>
            </w:r>
            <w:r>
              <w:rPr>
                <w:color w:val="231F20"/>
                <w:spacing w:val="-3"/>
                <w:sz w:val="15"/>
              </w:rPr>
              <w:t> </w:t>
            </w:r>
            <w:r>
              <w:rPr>
                <w:color w:val="231F20"/>
                <w:spacing w:val="-2"/>
                <w:sz w:val="15"/>
              </w:rPr>
              <w:t>virus):</w:t>
            </w:r>
            <w:r>
              <w:rPr>
                <w:color w:val="231F20"/>
                <w:spacing w:val="-3"/>
                <w:sz w:val="15"/>
              </w:rPr>
              <w:t> </w:t>
            </w:r>
            <w:r>
              <w:rPr>
                <w:color w:val="231F20"/>
                <w:spacing w:val="-2"/>
                <w:sz w:val="15"/>
              </w:rPr>
              <w:t>monkeys’</w:t>
            </w:r>
            <w:r>
              <w:rPr>
                <w:color w:val="231F20"/>
                <w:spacing w:val="-3"/>
                <w:sz w:val="15"/>
              </w:rPr>
              <w:t> </w:t>
            </w:r>
            <w:r>
              <w:rPr>
                <w:color w:val="231F20"/>
                <w:spacing w:val="-2"/>
                <w:sz w:val="15"/>
              </w:rPr>
              <w:t>saliva</w:t>
            </w:r>
          </w:p>
          <w:p>
            <w:pPr>
              <w:pStyle w:val="TableParagraph"/>
              <w:numPr>
                <w:ilvl w:val="1"/>
                <w:numId w:val="92"/>
              </w:numPr>
              <w:tabs>
                <w:tab w:pos="831" w:val="left" w:leader="none"/>
              </w:tabs>
              <w:spacing w:line="168" w:lineRule="exact" w:before="0" w:after="0"/>
              <w:ind w:left="831" w:right="0" w:hanging="190"/>
              <w:jc w:val="left"/>
              <w:rPr>
                <w:sz w:val="15"/>
              </w:rPr>
            </w:pPr>
            <w:r>
              <w:rPr>
                <w:color w:val="231F20"/>
                <w:spacing w:val="-2"/>
                <w:sz w:val="15"/>
              </w:rPr>
              <w:t>Lymphocytic</w:t>
            </w:r>
            <w:r>
              <w:rPr>
                <w:color w:val="231F20"/>
                <w:spacing w:val="5"/>
                <w:sz w:val="15"/>
              </w:rPr>
              <w:t> </w:t>
            </w:r>
            <w:r>
              <w:rPr>
                <w:color w:val="231F20"/>
                <w:spacing w:val="-2"/>
                <w:sz w:val="15"/>
              </w:rPr>
              <w:t>choriomeningitis:</w:t>
            </w:r>
            <w:r>
              <w:rPr>
                <w:color w:val="231F20"/>
                <w:spacing w:val="6"/>
                <w:sz w:val="15"/>
              </w:rPr>
              <w:t> </w:t>
            </w:r>
            <w:r>
              <w:rPr>
                <w:color w:val="231F20"/>
                <w:spacing w:val="-2"/>
                <w:sz w:val="15"/>
              </w:rPr>
              <w:t>rodents’</w:t>
            </w:r>
            <w:r>
              <w:rPr>
                <w:color w:val="231F20"/>
                <w:spacing w:val="6"/>
                <w:sz w:val="15"/>
              </w:rPr>
              <w:t> </w:t>
            </w:r>
            <w:r>
              <w:rPr>
                <w:color w:val="231F20"/>
                <w:spacing w:val="-2"/>
                <w:sz w:val="15"/>
              </w:rPr>
              <w:t>excreta</w:t>
            </w:r>
          </w:p>
          <w:p>
            <w:pPr>
              <w:pStyle w:val="TableParagraph"/>
              <w:spacing w:line="168" w:lineRule="exact"/>
              <w:ind w:left="124"/>
              <w:rPr>
                <w:sz w:val="15"/>
              </w:rPr>
            </w:pPr>
            <w:r>
              <w:rPr>
                <w:color w:val="231F20"/>
                <w:w w:val="105"/>
                <w:sz w:val="15"/>
              </w:rPr>
              <w:t>II.</w:t>
            </w:r>
            <w:r>
              <w:rPr>
                <w:color w:val="231F20"/>
                <w:spacing w:val="31"/>
                <w:w w:val="105"/>
                <w:sz w:val="15"/>
              </w:rPr>
              <w:t> </w:t>
            </w:r>
            <w:r>
              <w:rPr>
                <w:color w:val="231F20"/>
                <w:w w:val="105"/>
                <w:sz w:val="15"/>
              </w:rPr>
              <w:t>INFECTIONS: </w:t>
            </w:r>
            <w:r>
              <w:rPr>
                <w:color w:val="231F20"/>
                <w:spacing w:val="-2"/>
                <w:w w:val="105"/>
                <w:sz w:val="15"/>
              </w:rPr>
              <w:t>NONVIRAL</w:t>
            </w:r>
          </w:p>
          <w:p>
            <w:pPr>
              <w:pStyle w:val="TableParagraph"/>
              <w:numPr>
                <w:ilvl w:val="0"/>
                <w:numId w:val="93"/>
              </w:numPr>
              <w:tabs>
                <w:tab w:pos="563" w:val="left" w:leader="none"/>
              </w:tabs>
              <w:spacing w:line="230" w:lineRule="auto" w:before="2" w:after="0"/>
              <w:ind w:left="563" w:right="554" w:hanging="216"/>
              <w:jc w:val="left"/>
              <w:rPr>
                <w:sz w:val="15"/>
              </w:rPr>
            </w:pPr>
            <w:r>
              <w:rPr>
                <w:color w:val="231F20"/>
                <w:sz w:val="15"/>
              </w:rPr>
              <w:t>Rickettsial:</w:t>
            </w:r>
            <w:r>
              <w:rPr>
                <w:color w:val="231F20"/>
                <w:spacing w:val="-12"/>
                <w:sz w:val="15"/>
              </w:rPr>
              <w:t> </w:t>
            </w:r>
            <w:r>
              <w:rPr>
                <w:color w:val="231F20"/>
                <w:sz w:val="15"/>
              </w:rPr>
              <w:t>in</w:t>
            </w:r>
            <w:r>
              <w:rPr>
                <w:color w:val="231F20"/>
                <w:spacing w:val="-11"/>
                <w:sz w:val="15"/>
              </w:rPr>
              <w:t> </w:t>
            </w:r>
            <w:r>
              <w:rPr>
                <w:color w:val="231F20"/>
                <w:sz w:val="15"/>
              </w:rPr>
              <w:t>Rocky</w:t>
            </w:r>
            <w:r>
              <w:rPr>
                <w:color w:val="231F20"/>
                <w:spacing w:val="-11"/>
                <w:sz w:val="15"/>
              </w:rPr>
              <w:t> </w:t>
            </w:r>
            <w:r>
              <w:rPr>
                <w:color w:val="231F20"/>
                <w:sz w:val="15"/>
              </w:rPr>
              <w:t>Mountain</w:t>
            </w:r>
            <w:r>
              <w:rPr>
                <w:color w:val="231F20"/>
                <w:spacing w:val="-12"/>
                <w:sz w:val="15"/>
              </w:rPr>
              <w:t> </w:t>
            </w:r>
            <w:r>
              <w:rPr>
                <w:color w:val="231F20"/>
                <w:sz w:val="15"/>
              </w:rPr>
              <w:t>spotted</w:t>
            </w:r>
            <w:r>
              <w:rPr>
                <w:color w:val="231F20"/>
                <w:spacing w:val="-11"/>
                <w:sz w:val="15"/>
              </w:rPr>
              <w:t> </w:t>
            </w:r>
            <w:r>
              <w:rPr>
                <w:color w:val="231F20"/>
                <w:sz w:val="15"/>
              </w:rPr>
              <w:t>fever</w:t>
            </w:r>
            <w:r>
              <w:rPr>
                <w:color w:val="231F20"/>
                <w:spacing w:val="-11"/>
                <w:sz w:val="15"/>
              </w:rPr>
              <w:t> </w:t>
            </w:r>
            <w:r>
              <w:rPr>
                <w:color w:val="231F20"/>
                <w:sz w:val="15"/>
              </w:rPr>
              <w:t>and</w:t>
            </w:r>
            <w:r>
              <w:rPr>
                <w:color w:val="231F20"/>
                <w:spacing w:val="-12"/>
                <w:sz w:val="15"/>
              </w:rPr>
              <w:t> </w:t>
            </w:r>
            <w:r>
              <w:rPr>
                <w:color w:val="231F20"/>
                <w:sz w:val="15"/>
              </w:rPr>
              <w:t>typhus; encephalitic component from cerebral vasculitis</w:t>
            </w:r>
          </w:p>
          <w:p>
            <w:pPr>
              <w:pStyle w:val="TableParagraph"/>
              <w:numPr>
                <w:ilvl w:val="0"/>
                <w:numId w:val="93"/>
              </w:numPr>
              <w:tabs>
                <w:tab w:pos="563" w:val="left" w:leader="none"/>
              </w:tabs>
              <w:spacing w:line="230" w:lineRule="auto" w:before="2" w:after="0"/>
              <w:ind w:left="563" w:right="453" w:hanging="208"/>
              <w:jc w:val="left"/>
              <w:rPr>
                <w:sz w:val="15"/>
              </w:rPr>
            </w:pPr>
            <w:r>
              <w:rPr>
                <w:i/>
                <w:color w:val="231F20"/>
                <w:sz w:val="15"/>
              </w:rPr>
              <w:t>Mycoplasma</w:t>
            </w:r>
            <w:r>
              <w:rPr>
                <w:i/>
                <w:color w:val="231F20"/>
                <w:spacing w:val="-6"/>
                <w:sz w:val="15"/>
              </w:rPr>
              <w:t> </w:t>
            </w:r>
            <w:r>
              <w:rPr>
                <w:i/>
                <w:color w:val="231F20"/>
                <w:sz w:val="15"/>
              </w:rPr>
              <w:t>pneumoniae:</w:t>
            </w:r>
            <w:r>
              <w:rPr>
                <w:i/>
                <w:color w:val="231F20"/>
                <w:spacing w:val="-6"/>
                <w:sz w:val="15"/>
              </w:rPr>
              <w:t> </w:t>
            </w:r>
            <w:r>
              <w:rPr>
                <w:color w:val="231F20"/>
                <w:sz w:val="15"/>
              </w:rPr>
              <w:t>interval</w:t>
            </w:r>
            <w:r>
              <w:rPr>
                <w:color w:val="231F20"/>
                <w:spacing w:val="-6"/>
                <w:sz w:val="15"/>
              </w:rPr>
              <w:t> </w:t>
            </w:r>
            <w:r>
              <w:rPr>
                <w:color w:val="231F20"/>
                <w:sz w:val="15"/>
              </w:rPr>
              <w:t>of</w:t>
            </w:r>
            <w:r>
              <w:rPr>
                <w:color w:val="231F20"/>
                <w:spacing w:val="-6"/>
                <w:sz w:val="15"/>
              </w:rPr>
              <w:t> </w:t>
            </w:r>
            <w:r>
              <w:rPr>
                <w:color w:val="231F20"/>
                <w:sz w:val="15"/>
              </w:rPr>
              <w:t>some</w:t>
            </w:r>
            <w:r>
              <w:rPr>
                <w:color w:val="231F20"/>
                <w:spacing w:val="-6"/>
                <w:sz w:val="15"/>
              </w:rPr>
              <w:t> </w:t>
            </w:r>
            <w:r>
              <w:rPr>
                <w:color w:val="231F20"/>
                <w:sz w:val="15"/>
              </w:rPr>
              <w:t>days</w:t>
            </w:r>
            <w:r>
              <w:rPr>
                <w:color w:val="231F20"/>
                <w:spacing w:val="-6"/>
                <w:sz w:val="15"/>
              </w:rPr>
              <w:t> </w:t>
            </w:r>
            <w:r>
              <w:rPr>
                <w:color w:val="231F20"/>
                <w:sz w:val="15"/>
              </w:rPr>
              <w:t>between respiratory and CNS symptoms</w:t>
            </w:r>
          </w:p>
          <w:p>
            <w:pPr>
              <w:pStyle w:val="TableParagraph"/>
              <w:numPr>
                <w:ilvl w:val="0"/>
                <w:numId w:val="93"/>
              </w:numPr>
              <w:tabs>
                <w:tab w:pos="563" w:val="left" w:leader="none"/>
              </w:tabs>
              <w:spacing w:line="230" w:lineRule="auto" w:before="1" w:after="0"/>
              <w:ind w:left="563" w:right="100" w:hanging="219"/>
              <w:jc w:val="left"/>
              <w:rPr>
                <w:sz w:val="15"/>
              </w:rPr>
            </w:pPr>
            <w:r>
              <w:rPr>
                <w:color w:val="231F20"/>
                <w:spacing w:val="-2"/>
                <w:sz w:val="15"/>
              </w:rPr>
              <w:t>Bacterial:</w:t>
            </w:r>
            <w:r>
              <w:rPr>
                <w:color w:val="231F20"/>
                <w:spacing w:val="-4"/>
                <w:sz w:val="15"/>
              </w:rPr>
              <w:t> </w:t>
            </w:r>
            <w:r>
              <w:rPr>
                <w:color w:val="231F20"/>
                <w:spacing w:val="-2"/>
                <w:sz w:val="15"/>
              </w:rPr>
              <w:t>tuberculous</w:t>
            </w:r>
            <w:r>
              <w:rPr>
                <w:color w:val="231F20"/>
                <w:spacing w:val="-4"/>
                <w:sz w:val="15"/>
              </w:rPr>
              <w:t> </w:t>
            </w:r>
            <w:r>
              <w:rPr>
                <w:color w:val="231F20"/>
                <w:spacing w:val="-2"/>
                <w:sz w:val="15"/>
              </w:rPr>
              <w:t>and</w:t>
            </w:r>
            <w:r>
              <w:rPr>
                <w:color w:val="231F20"/>
                <w:spacing w:val="-4"/>
                <w:sz w:val="15"/>
              </w:rPr>
              <w:t> </w:t>
            </w:r>
            <w:r>
              <w:rPr>
                <w:color w:val="231F20"/>
                <w:spacing w:val="-2"/>
                <w:sz w:val="15"/>
              </w:rPr>
              <w:t>other</w:t>
            </w:r>
            <w:r>
              <w:rPr>
                <w:color w:val="231F20"/>
                <w:spacing w:val="-4"/>
                <w:sz w:val="15"/>
              </w:rPr>
              <w:t> </w:t>
            </w:r>
            <w:r>
              <w:rPr>
                <w:color w:val="231F20"/>
                <w:spacing w:val="-2"/>
                <w:sz w:val="15"/>
              </w:rPr>
              <w:t>bacterial</w:t>
            </w:r>
            <w:r>
              <w:rPr>
                <w:color w:val="231F20"/>
                <w:spacing w:val="-4"/>
                <w:sz w:val="15"/>
              </w:rPr>
              <w:t> </w:t>
            </w:r>
            <w:r>
              <w:rPr>
                <w:color w:val="231F20"/>
                <w:spacing w:val="-2"/>
                <w:sz w:val="15"/>
              </w:rPr>
              <w:t>meningitis;</w:t>
            </w:r>
            <w:r>
              <w:rPr>
                <w:color w:val="231F20"/>
                <w:spacing w:val="-4"/>
                <w:sz w:val="15"/>
              </w:rPr>
              <w:t> </w:t>
            </w:r>
            <w:r>
              <w:rPr>
                <w:color w:val="231F20"/>
                <w:spacing w:val="-2"/>
                <w:sz w:val="15"/>
              </w:rPr>
              <w:t>often</w:t>
            </w:r>
            <w:r>
              <w:rPr>
                <w:color w:val="231F20"/>
                <w:spacing w:val="-4"/>
                <w:sz w:val="15"/>
              </w:rPr>
              <w:t> </w:t>
            </w:r>
            <w:r>
              <w:rPr>
                <w:color w:val="231F20"/>
                <w:spacing w:val="-2"/>
                <w:sz w:val="15"/>
              </w:rPr>
              <w:t>has </w:t>
            </w:r>
            <w:r>
              <w:rPr>
                <w:color w:val="231F20"/>
                <w:sz w:val="15"/>
              </w:rPr>
              <w:t>encephalitic component</w:t>
            </w:r>
          </w:p>
          <w:p>
            <w:pPr>
              <w:pStyle w:val="TableParagraph"/>
              <w:numPr>
                <w:ilvl w:val="0"/>
                <w:numId w:val="93"/>
              </w:numPr>
              <w:tabs>
                <w:tab w:pos="561" w:val="left" w:leader="none"/>
                <w:tab w:pos="563" w:val="left" w:leader="none"/>
              </w:tabs>
              <w:spacing w:line="230" w:lineRule="auto" w:before="2" w:after="0"/>
              <w:ind w:left="563" w:right="423" w:hanging="225"/>
              <w:jc w:val="left"/>
              <w:rPr>
                <w:sz w:val="15"/>
              </w:rPr>
            </w:pPr>
            <w:r>
              <w:rPr>
                <w:color w:val="231F20"/>
                <w:spacing w:val="-2"/>
                <w:sz w:val="15"/>
              </w:rPr>
              <w:t>Spirochetal: syphilis, congenital or acquired; </w:t>
            </w:r>
            <w:r>
              <w:rPr>
                <w:color w:val="231F20"/>
                <w:spacing w:val="-2"/>
                <w:sz w:val="15"/>
              </w:rPr>
              <w:t>leptospirosis; </w:t>
            </w:r>
            <w:r>
              <w:rPr>
                <w:color w:val="231F20"/>
                <w:sz w:val="15"/>
              </w:rPr>
              <w:t>Lyme disease</w:t>
            </w:r>
          </w:p>
          <w:p>
            <w:pPr>
              <w:pStyle w:val="TableParagraph"/>
              <w:numPr>
                <w:ilvl w:val="0"/>
                <w:numId w:val="93"/>
              </w:numPr>
              <w:tabs>
                <w:tab w:pos="562" w:val="left" w:leader="none"/>
              </w:tabs>
              <w:spacing w:line="167" w:lineRule="exact" w:before="0" w:after="0"/>
              <w:ind w:left="562" w:right="0" w:hanging="201"/>
              <w:jc w:val="left"/>
              <w:rPr>
                <w:sz w:val="15"/>
              </w:rPr>
            </w:pPr>
            <w:r>
              <w:rPr>
                <w:color w:val="231F20"/>
                <w:spacing w:val="-2"/>
                <w:sz w:val="15"/>
              </w:rPr>
              <w:t>Cat-scratch</w:t>
            </w:r>
            <w:r>
              <w:rPr>
                <w:color w:val="231F20"/>
                <w:spacing w:val="-1"/>
                <w:sz w:val="15"/>
              </w:rPr>
              <w:t> </w:t>
            </w:r>
            <w:r>
              <w:rPr>
                <w:color w:val="231F20"/>
                <w:spacing w:val="-2"/>
                <w:sz w:val="15"/>
              </w:rPr>
              <w:t>disease</w:t>
            </w:r>
          </w:p>
          <w:p>
            <w:pPr>
              <w:pStyle w:val="TableParagraph"/>
              <w:numPr>
                <w:ilvl w:val="0"/>
                <w:numId w:val="93"/>
              </w:numPr>
              <w:tabs>
                <w:tab w:pos="563" w:val="left" w:leader="none"/>
              </w:tabs>
              <w:spacing w:line="230" w:lineRule="auto" w:before="2" w:after="0"/>
              <w:ind w:left="563" w:right="144" w:hanging="197"/>
              <w:jc w:val="left"/>
              <w:rPr>
                <w:sz w:val="15"/>
              </w:rPr>
            </w:pPr>
            <w:r>
              <w:rPr>
                <w:color w:val="231F20"/>
                <w:sz w:val="15"/>
              </w:rPr>
              <w:t>Fungal:</w:t>
            </w:r>
            <w:r>
              <w:rPr>
                <w:color w:val="231F20"/>
                <w:spacing w:val="-12"/>
                <w:sz w:val="15"/>
              </w:rPr>
              <w:t> </w:t>
            </w:r>
            <w:r>
              <w:rPr>
                <w:color w:val="231F20"/>
                <w:sz w:val="15"/>
              </w:rPr>
              <w:t>immunologically</w:t>
            </w:r>
            <w:r>
              <w:rPr>
                <w:color w:val="231F20"/>
                <w:spacing w:val="-11"/>
                <w:sz w:val="15"/>
              </w:rPr>
              <w:t> </w:t>
            </w:r>
            <w:r>
              <w:rPr>
                <w:color w:val="231F20"/>
                <w:sz w:val="15"/>
              </w:rPr>
              <w:t>compromised</w:t>
            </w:r>
            <w:r>
              <w:rPr>
                <w:color w:val="231F20"/>
                <w:spacing w:val="-11"/>
                <w:sz w:val="15"/>
              </w:rPr>
              <w:t> </w:t>
            </w:r>
            <w:r>
              <w:rPr>
                <w:color w:val="231F20"/>
                <w:sz w:val="15"/>
              </w:rPr>
              <w:t>patients</w:t>
            </w:r>
            <w:r>
              <w:rPr>
                <w:color w:val="231F20"/>
                <w:spacing w:val="-12"/>
                <w:sz w:val="15"/>
              </w:rPr>
              <w:t> </w:t>
            </w:r>
            <w:r>
              <w:rPr>
                <w:color w:val="231F20"/>
                <w:sz w:val="15"/>
              </w:rPr>
              <w:t>at</w:t>
            </w:r>
            <w:r>
              <w:rPr>
                <w:color w:val="231F20"/>
                <w:spacing w:val="-11"/>
                <w:sz w:val="15"/>
              </w:rPr>
              <w:t> </w:t>
            </w:r>
            <w:r>
              <w:rPr>
                <w:color w:val="231F20"/>
                <w:sz w:val="15"/>
              </w:rPr>
              <w:t>special</w:t>
            </w:r>
            <w:r>
              <w:rPr>
                <w:color w:val="231F20"/>
                <w:spacing w:val="-11"/>
                <w:sz w:val="15"/>
              </w:rPr>
              <w:t> </w:t>
            </w:r>
            <w:r>
              <w:rPr>
                <w:color w:val="231F20"/>
                <w:sz w:val="15"/>
              </w:rPr>
              <w:t>risk: cryptococcosis; histoplasmosis; aspergillosis; mucormycosis; candidosis; coccidioidomycosis</w:t>
            </w:r>
          </w:p>
          <w:p>
            <w:pPr>
              <w:pStyle w:val="TableParagraph"/>
              <w:numPr>
                <w:ilvl w:val="0"/>
                <w:numId w:val="93"/>
              </w:numPr>
              <w:tabs>
                <w:tab w:pos="562" w:val="left" w:leader="none"/>
              </w:tabs>
              <w:spacing w:line="168" w:lineRule="exact" w:before="0" w:after="0"/>
              <w:ind w:left="562" w:right="0" w:hanging="229"/>
              <w:jc w:val="left"/>
              <w:rPr>
                <w:sz w:val="15"/>
              </w:rPr>
            </w:pPr>
            <w:r>
              <w:rPr>
                <w:color w:val="231F20"/>
                <w:spacing w:val="-2"/>
                <w:sz w:val="15"/>
              </w:rPr>
              <w:t>Protozoal:</w:t>
            </w:r>
            <w:r>
              <w:rPr>
                <w:color w:val="231F20"/>
                <w:spacing w:val="3"/>
                <w:sz w:val="15"/>
              </w:rPr>
              <w:t> </w:t>
            </w:r>
            <w:r>
              <w:rPr>
                <w:i/>
                <w:color w:val="231F20"/>
                <w:spacing w:val="-2"/>
                <w:sz w:val="15"/>
              </w:rPr>
              <w:t>Plasmodium</w:t>
            </w:r>
            <w:r>
              <w:rPr>
                <w:color w:val="231F20"/>
                <w:spacing w:val="-2"/>
                <w:sz w:val="15"/>
              </w:rPr>
              <w:t>,</w:t>
            </w:r>
            <w:r>
              <w:rPr>
                <w:color w:val="231F20"/>
                <w:spacing w:val="3"/>
                <w:sz w:val="15"/>
              </w:rPr>
              <w:t> </w:t>
            </w:r>
            <w:r>
              <w:rPr>
                <w:i/>
                <w:color w:val="231F20"/>
                <w:spacing w:val="-2"/>
                <w:sz w:val="15"/>
              </w:rPr>
              <w:t>Trypanosoma</w:t>
            </w:r>
            <w:r>
              <w:rPr>
                <w:color w:val="231F20"/>
                <w:spacing w:val="-2"/>
                <w:sz w:val="15"/>
              </w:rPr>
              <w:t>,</w:t>
            </w:r>
            <w:r>
              <w:rPr>
                <w:color w:val="231F20"/>
                <w:spacing w:val="3"/>
                <w:sz w:val="15"/>
              </w:rPr>
              <w:t> </w:t>
            </w:r>
            <w:r>
              <w:rPr>
                <w:i/>
                <w:color w:val="231F20"/>
                <w:spacing w:val="-2"/>
                <w:sz w:val="15"/>
              </w:rPr>
              <w:t>Naegleria</w:t>
            </w:r>
            <w:r>
              <w:rPr>
                <w:color w:val="231F20"/>
                <w:spacing w:val="-2"/>
                <w:sz w:val="15"/>
              </w:rPr>
              <w:t>,</w:t>
            </w:r>
            <w:r>
              <w:rPr>
                <w:color w:val="231F20"/>
                <w:spacing w:val="3"/>
                <w:sz w:val="15"/>
              </w:rPr>
              <w:t> </w:t>
            </w:r>
            <w:r>
              <w:rPr>
                <w:color w:val="231F20"/>
                <w:spacing w:val="-5"/>
                <w:sz w:val="15"/>
              </w:rPr>
              <w:t>and</w:t>
            </w:r>
          </w:p>
          <w:p>
            <w:pPr>
              <w:pStyle w:val="TableParagraph"/>
              <w:spacing w:line="168" w:lineRule="exact"/>
              <w:ind w:left="563"/>
              <w:rPr>
                <w:sz w:val="15"/>
              </w:rPr>
            </w:pPr>
            <w:r>
              <w:rPr>
                <w:i/>
                <w:color w:val="231F20"/>
                <w:sz w:val="15"/>
              </w:rPr>
              <w:t>Acanthamoeba</w:t>
            </w:r>
            <w:r>
              <w:rPr>
                <w:i/>
                <w:color w:val="231F20"/>
                <w:spacing w:val="1"/>
                <w:sz w:val="15"/>
              </w:rPr>
              <w:t> </w:t>
            </w:r>
            <w:r>
              <w:rPr>
                <w:color w:val="231F20"/>
                <w:sz w:val="15"/>
              </w:rPr>
              <w:t>spp.;</w:t>
            </w:r>
            <w:r>
              <w:rPr>
                <w:color w:val="231F20"/>
                <w:spacing w:val="1"/>
                <w:sz w:val="15"/>
              </w:rPr>
              <w:t> </w:t>
            </w:r>
            <w:r>
              <w:rPr>
                <w:color w:val="231F20"/>
                <w:sz w:val="15"/>
              </w:rPr>
              <w:t>Toxoplasma</w:t>
            </w:r>
            <w:r>
              <w:rPr>
                <w:color w:val="231F20"/>
                <w:spacing w:val="1"/>
                <w:sz w:val="15"/>
              </w:rPr>
              <w:t> </w:t>
            </w:r>
            <w:r>
              <w:rPr>
                <w:color w:val="231F20"/>
                <w:spacing w:val="-2"/>
                <w:sz w:val="15"/>
              </w:rPr>
              <w:t>gondii</w:t>
            </w:r>
          </w:p>
          <w:p>
            <w:pPr>
              <w:pStyle w:val="TableParagraph"/>
              <w:numPr>
                <w:ilvl w:val="0"/>
                <w:numId w:val="93"/>
              </w:numPr>
              <w:tabs>
                <w:tab w:pos="561" w:val="left" w:leader="none"/>
                <w:tab w:pos="563" w:val="left" w:leader="none"/>
              </w:tabs>
              <w:spacing w:line="230" w:lineRule="auto" w:before="3" w:after="0"/>
              <w:ind w:left="563" w:right="917" w:hanging="222"/>
              <w:jc w:val="left"/>
              <w:rPr>
                <w:sz w:val="15"/>
              </w:rPr>
            </w:pPr>
            <w:r>
              <w:rPr>
                <w:color w:val="231F20"/>
                <w:spacing w:val="-2"/>
                <w:sz w:val="15"/>
              </w:rPr>
              <w:t>Metazoal:</w:t>
            </w:r>
            <w:r>
              <w:rPr>
                <w:color w:val="231F20"/>
                <w:spacing w:val="-10"/>
                <w:sz w:val="15"/>
              </w:rPr>
              <w:t> </w:t>
            </w:r>
            <w:r>
              <w:rPr>
                <w:color w:val="231F20"/>
                <w:spacing w:val="-2"/>
                <w:sz w:val="15"/>
              </w:rPr>
              <w:t>trichinosis;</w:t>
            </w:r>
            <w:r>
              <w:rPr>
                <w:color w:val="231F20"/>
                <w:spacing w:val="-9"/>
                <w:sz w:val="15"/>
              </w:rPr>
              <w:t> </w:t>
            </w:r>
            <w:r>
              <w:rPr>
                <w:color w:val="231F20"/>
                <w:spacing w:val="-2"/>
                <w:sz w:val="15"/>
              </w:rPr>
              <w:t>echinococcosis;</w:t>
            </w:r>
            <w:r>
              <w:rPr>
                <w:color w:val="231F20"/>
                <w:spacing w:val="-9"/>
                <w:sz w:val="15"/>
              </w:rPr>
              <w:t> </w:t>
            </w:r>
            <w:r>
              <w:rPr>
                <w:color w:val="231F20"/>
                <w:spacing w:val="-2"/>
                <w:sz w:val="15"/>
              </w:rPr>
              <w:t>cysticercosis; schistosomiasis</w:t>
            </w:r>
          </w:p>
        </w:tc>
        <w:tc>
          <w:tcPr>
            <w:tcW w:w="4871" w:type="dxa"/>
            <w:tcBorders>
              <w:left w:val="single" w:sz="4" w:space="0" w:color="231F20"/>
              <w:bottom w:val="single" w:sz="8" w:space="0" w:color="231F20"/>
              <w:right w:val="nil"/>
            </w:tcBorders>
            <w:shd w:val="clear" w:color="auto" w:fill="E8F5F1"/>
          </w:tcPr>
          <w:p>
            <w:pPr>
              <w:pStyle w:val="TableParagraph"/>
              <w:numPr>
                <w:ilvl w:val="0"/>
                <w:numId w:val="94"/>
              </w:numPr>
              <w:tabs>
                <w:tab w:pos="310" w:val="left" w:leader="none"/>
              </w:tabs>
              <w:spacing w:line="171" w:lineRule="exact" w:before="46" w:after="0"/>
              <w:ind w:left="310" w:right="0" w:hanging="231"/>
              <w:jc w:val="left"/>
              <w:rPr>
                <w:sz w:val="15"/>
              </w:rPr>
            </w:pPr>
            <w:r>
              <w:rPr>
                <w:color w:val="231F20"/>
                <w:spacing w:val="2"/>
                <w:sz w:val="15"/>
              </w:rPr>
              <w:t>PARAINFECTIOUS:</w:t>
            </w:r>
            <w:r>
              <w:rPr>
                <w:color w:val="231F20"/>
                <w:spacing w:val="43"/>
                <w:sz w:val="15"/>
              </w:rPr>
              <w:t> </w:t>
            </w:r>
            <w:r>
              <w:rPr>
                <w:color w:val="231F20"/>
                <w:spacing w:val="2"/>
                <w:sz w:val="15"/>
              </w:rPr>
              <w:t>POSTINFECTIOUS,</w:t>
            </w:r>
            <w:r>
              <w:rPr>
                <w:color w:val="231F20"/>
                <w:spacing w:val="44"/>
                <w:sz w:val="15"/>
              </w:rPr>
              <w:t> </w:t>
            </w:r>
            <w:r>
              <w:rPr>
                <w:color w:val="231F20"/>
                <w:spacing w:val="2"/>
                <w:sz w:val="15"/>
              </w:rPr>
              <w:t>ALLERGIC,</w:t>
            </w:r>
            <w:r>
              <w:rPr>
                <w:color w:val="231F20"/>
                <w:spacing w:val="43"/>
                <w:sz w:val="15"/>
              </w:rPr>
              <w:t> </w:t>
            </w:r>
            <w:r>
              <w:rPr>
                <w:color w:val="231F20"/>
                <w:spacing w:val="-2"/>
                <w:sz w:val="15"/>
              </w:rPr>
              <w:t>AUTOIMMUNE</w:t>
            </w:r>
          </w:p>
          <w:p>
            <w:pPr>
              <w:pStyle w:val="TableParagraph"/>
              <w:spacing w:line="230" w:lineRule="auto" w:before="3"/>
              <w:ind w:left="180" w:hanging="112"/>
              <w:rPr>
                <w:sz w:val="15"/>
              </w:rPr>
            </w:pPr>
            <w:r>
              <w:rPr>
                <w:color w:val="231F20"/>
                <w:sz w:val="15"/>
              </w:rPr>
              <w:t>Patients in whom an infectious agent or 1 of its components plays a contributory role in etiology, but the intact infectious agent is not isolated</w:t>
            </w:r>
            <w:r>
              <w:rPr>
                <w:color w:val="231F20"/>
                <w:spacing w:val="-12"/>
                <w:sz w:val="15"/>
              </w:rPr>
              <w:t> </w:t>
            </w:r>
            <w:r>
              <w:rPr>
                <w:color w:val="231F20"/>
                <w:sz w:val="15"/>
              </w:rPr>
              <w:t>in</w:t>
            </w:r>
            <w:r>
              <w:rPr>
                <w:color w:val="231F20"/>
                <w:spacing w:val="-11"/>
                <w:sz w:val="15"/>
              </w:rPr>
              <w:t> </w:t>
            </w:r>
            <w:r>
              <w:rPr>
                <w:color w:val="231F20"/>
                <w:sz w:val="15"/>
              </w:rPr>
              <w:t>vitro</w:t>
            </w:r>
            <w:r>
              <w:rPr>
                <w:color w:val="231F20"/>
                <w:spacing w:val="-11"/>
                <w:sz w:val="15"/>
              </w:rPr>
              <w:t> </w:t>
            </w:r>
            <w:r>
              <w:rPr>
                <w:color w:val="231F20"/>
                <w:sz w:val="15"/>
              </w:rPr>
              <w:t>from</w:t>
            </w:r>
            <w:r>
              <w:rPr>
                <w:color w:val="231F20"/>
                <w:spacing w:val="-12"/>
                <w:sz w:val="15"/>
              </w:rPr>
              <w:t> </w:t>
            </w:r>
            <w:r>
              <w:rPr>
                <w:color w:val="231F20"/>
                <w:sz w:val="15"/>
              </w:rPr>
              <w:t>the</w:t>
            </w:r>
            <w:r>
              <w:rPr>
                <w:color w:val="231F20"/>
                <w:spacing w:val="-11"/>
                <w:sz w:val="15"/>
              </w:rPr>
              <w:t> </w:t>
            </w:r>
            <w:r>
              <w:rPr>
                <w:color w:val="231F20"/>
                <w:sz w:val="15"/>
              </w:rPr>
              <w:t>nervous</w:t>
            </w:r>
            <w:r>
              <w:rPr>
                <w:color w:val="231F20"/>
                <w:spacing w:val="-11"/>
                <w:sz w:val="15"/>
              </w:rPr>
              <w:t> </w:t>
            </w:r>
            <w:r>
              <w:rPr>
                <w:color w:val="231F20"/>
                <w:sz w:val="15"/>
              </w:rPr>
              <w:t>system;</w:t>
            </w:r>
            <w:r>
              <w:rPr>
                <w:color w:val="231F20"/>
                <w:spacing w:val="-12"/>
                <w:sz w:val="15"/>
              </w:rPr>
              <w:t> </w:t>
            </w:r>
            <w:r>
              <w:rPr>
                <w:color w:val="231F20"/>
                <w:sz w:val="15"/>
              </w:rPr>
              <w:t>it</w:t>
            </w:r>
            <w:r>
              <w:rPr>
                <w:color w:val="231F20"/>
                <w:spacing w:val="-11"/>
                <w:sz w:val="15"/>
              </w:rPr>
              <w:t> </w:t>
            </w:r>
            <w:r>
              <w:rPr>
                <w:color w:val="231F20"/>
                <w:sz w:val="15"/>
              </w:rPr>
              <w:t>is</w:t>
            </w:r>
            <w:r>
              <w:rPr>
                <w:color w:val="231F20"/>
                <w:spacing w:val="-11"/>
                <w:sz w:val="15"/>
              </w:rPr>
              <w:t> </w:t>
            </w:r>
            <w:r>
              <w:rPr>
                <w:color w:val="231F20"/>
                <w:sz w:val="15"/>
              </w:rPr>
              <w:t>postulated</w:t>
            </w:r>
            <w:r>
              <w:rPr>
                <w:color w:val="231F20"/>
                <w:spacing w:val="-11"/>
                <w:sz w:val="15"/>
              </w:rPr>
              <w:t> </w:t>
            </w:r>
            <w:r>
              <w:rPr>
                <w:color w:val="231F20"/>
                <w:sz w:val="15"/>
              </w:rPr>
              <w:t>that</w:t>
            </w:r>
            <w:r>
              <w:rPr>
                <w:color w:val="231F20"/>
                <w:spacing w:val="-12"/>
                <w:sz w:val="15"/>
              </w:rPr>
              <w:t> </w:t>
            </w:r>
            <w:r>
              <w:rPr>
                <w:color w:val="231F20"/>
                <w:sz w:val="15"/>
              </w:rPr>
              <w:t>in</w:t>
            </w:r>
            <w:r>
              <w:rPr>
                <w:color w:val="231F20"/>
                <w:spacing w:val="-11"/>
                <w:sz w:val="15"/>
              </w:rPr>
              <w:t> </w:t>
            </w:r>
            <w:r>
              <w:rPr>
                <w:color w:val="231F20"/>
                <w:sz w:val="15"/>
              </w:rPr>
              <w:t>this group, the influence of cell-mediated antigen–antibody complexes plus</w:t>
            </w:r>
            <w:r>
              <w:rPr>
                <w:color w:val="231F20"/>
                <w:spacing w:val="-2"/>
                <w:sz w:val="15"/>
              </w:rPr>
              <w:t> </w:t>
            </w:r>
            <w:r>
              <w:rPr>
                <w:color w:val="231F20"/>
                <w:sz w:val="15"/>
              </w:rPr>
              <w:t>complement</w:t>
            </w:r>
            <w:r>
              <w:rPr>
                <w:color w:val="231F20"/>
                <w:spacing w:val="-2"/>
                <w:sz w:val="15"/>
              </w:rPr>
              <w:t> </w:t>
            </w:r>
            <w:r>
              <w:rPr>
                <w:color w:val="231F20"/>
                <w:sz w:val="15"/>
              </w:rPr>
              <w:t>is</w:t>
            </w:r>
            <w:r>
              <w:rPr>
                <w:color w:val="231F20"/>
                <w:spacing w:val="-2"/>
                <w:sz w:val="15"/>
              </w:rPr>
              <w:t> </w:t>
            </w:r>
            <w:r>
              <w:rPr>
                <w:color w:val="231F20"/>
                <w:sz w:val="15"/>
              </w:rPr>
              <w:t>especially</w:t>
            </w:r>
            <w:r>
              <w:rPr>
                <w:color w:val="231F20"/>
                <w:spacing w:val="-2"/>
                <w:sz w:val="15"/>
              </w:rPr>
              <w:t> </w:t>
            </w:r>
            <w:r>
              <w:rPr>
                <w:color w:val="231F20"/>
                <w:sz w:val="15"/>
              </w:rPr>
              <w:t>important</w:t>
            </w:r>
            <w:r>
              <w:rPr>
                <w:color w:val="231F20"/>
                <w:spacing w:val="-2"/>
                <w:sz w:val="15"/>
              </w:rPr>
              <w:t> </w:t>
            </w:r>
            <w:r>
              <w:rPr>
                <w:color w:val="231F20"/>
                <w:sz w:val="15"/>
              </w:rPr>
              <w:t>in</w:t>
            </w:r>
            <w:r>
              <w:rPr>
                <w:color w:val="231F20"/>
                <w:spacing w:val="-2"/>
                <w:sz w:val="15"/>
              </w:rPr>
              <w:t> </w:t>
            </w:r>
            <w:r>
              <w:rPr>
                <w:color w:val="231F20"/>
                <w:sz w:val="15"/>
              </w:rPr>
              <w:t>producing</w:t>
            </w:r>
            <w:r>
              <w:rPr>
                <w:color w:val="231F20"/>
                <w:spacing w:val="-2"/>
                <w:sz w:val="15"/>
              </w:rPr>
              <w:t> </w:t>
            </w:r>
            <w:r>
              <w:rPr>
                <w:color w:val="231F20"/>
                <w:sz w:val="15"/>
              </w:rPr>
              <w:t>the</w:t>
            </w:r>
            <w:r>
              <w:rPr>
                <w:color w:val="231F20"/>
                <w:spacing w:val="-2"/>
                <w:sz w:val="15"/>
              </w:rPr>
              <w:t> </w:t>
            </w:r>
            <w:r>
              <w:rPr>
                <w:color w:val="231F20"/>
                <w:sz w:val="15"/>
              </w:rPr>
              <w:t>observed tissue damage</w:t>
            </w:r>
          </w:p>
          <w:p>
            <w:pPr>
              <w:pStyle w:val="TableParagraph"/>
              <w:numPr>
                <w:ilvl w:val="1"/>
                <w:numId w:val="94"/>
              </w:numPr>
              <w:tabs>
                <w:tab w:pos="557" w:val="left" w:leader="none"/>
              </w:tabs>
              <w:spacing w:line="230" w:lineRule="auto" w:before="4" w:after="0"/>
              <w:ind w:left="557" w:right="109" w:hanging="216"/>
              <w:jc w:val="left"/>
              <w:rPr>
                <w:sz w:val="15"/>
              </w:rPr>
            </w:pPr>
            <w:r>
              <w:rPr>
                <w:color w:val="231F20"/>
                <w:sz w:val="15"/>
              </w:rPr>
              <w:t>Associated</w:t>
            </w:r>
            <w:r>
              <w:rPr>
                <w:color w:val="231F20"/>
                <w:spacing w:val="-7"/>
                <w:sz w:val="15"/>
              </w:rPr>
              <w:t> </w:t>
            </w:r>
            <w:r>
              <w:rPr>
                <w:color w:val="231F20"/>
                <w:sz w:val="15"/>
              </w:rPr>
              <w:t>with</w:t>
            </w:r>
            <w:r>
              <w:rPr>
                <w:color w:val="231F20"/>
                <w:spacing w:val="-7"/>
                <w:sz w:val="15"/>
              </w:rPr>
              <w:t> </w:t>
            </w:r>
            <w:r>
              <w:rPr>
                <w:color w:val="231F20"/>
                <w:sz w:val="15"/>
              </w:rPr>
              <w:t>specific</w:t>
            </w:r>
            <w:r>
              <w:rPr>
                <w:color w:val="231F20"/>
                <w:spacing w:val="-7"/>
                <w:sz w:val="15"/>
              </w:rPr>
              <w:t> </w:t>
            </w:r>
            <w:r>
              <w:rPr>
                <w:color w:val="231F20"/>
                <w:sz w:val="15"/>
              </w:rPr>
              <w:t>diseases</w:t>
            </w:r>
            <w:r>
              <w:rPr>
                <w:color w:val="231F20"/>
                <w:spacing w:val="-7"/>
                <w:sz w:val="15"/>
              </w:rPr>
              <w:t> </w:t>
            </w:r>
            <w:r>
              <w:rPr>
                <w:color w:val="231F20"/>
                <w:sz w:val="15"/>
              </w:rPr>
              <w:t>(these</w:t>
            </w:r>
            <w:r>
              <w:rPr>
                <w:color w:val="231F20"/>
                <w:spacing w:val="-7"/>
                <w:sz w:val="15"/>
              </w:rPr>
              <w:t> </w:t>
            </w:r>
            <w:r>
              <w:rPr>
                <w:color w:val="231F20"/>
                <w:sz w:val="15"/>
              </w:rPr>
              <w:t>agents</w:t>
            </w:r>
            <w:r>
              <w:rPr>
                <w:color w:val="231F20"/>
                <w:spacing w:val="-7"/>
                <w:sz w:val="15"/>
              </w:rPr>
              <w:t> </w:t>
            </w:r>
            <w:r>
              <w:rPr>
                <w:color w:val="231F20"/>
                <w:sz w:val="15"/>
              </w:rPr>
              <w:t>may</w:t>
            </w:r>
            <w:r>
              <w:rPr>
                <w:color w:val="231F20"/>
                <w:spacing w:val="-7"/>
                <w:sz w:val="15"/>
              </w:rPr>
              <w:t> </w:t>
            </w:r>
            <w:r>
              <w:rPr>
                <w:color w:val="231F20"/>
                <w:sz w:val="15"/>
              </w:rPr>
              <w:t>also</w:t>
            </w:r>
            <w:r>
              <w:rPr>
                <w:color w:val="231F20"/>
                <w:spacing w:val="-7"/>
                <w:sz w:val="15"/>
              </w:rPr>
              <w:t> </w:t>
            </w:r>
            <w:r>
              <w:rPr>
                <w:color w:val="231F20"/>
                <w:sz w:val="15"/>
              </w:rPr>
              <w:t>cause direct CNS damage; see I and II)</w:t>
            </w:r>
          </w:p>
          <w:p>
            <w:pPr>
              <w:pStyle w:val="TableParagraph"/>
              <w:spacing w:line="167" w:lineRule="exact"/>
              <w:ind w:left="557"/>
              <w:rPr>
                <w:sz w:val="15"/>
              </w:rPr>
            </w:pPr>
            <w:r>
              <w:rPr>
                <w:color w:val="231F20"/>
                <w:spacing w:val="-2"/>
                <w:w w:val="105"/>
                <w:sz w:val="15"/>
              </w:rPr>
              <w:t>Measles</w:t>
            </w:r>
          </w:p>
          <w:p>
            <w:pPr>
              <w:pStyle w:val="TableParagraph"/>
              <w:spacing w:line="230" w:lineRule="auto" w:before="3"/>
              <w:ind w:left="557" w:right="2518"/>
              <w:rPr>
                <w:sz w:val="15"/>
              </w:rPr>
            </w:pPr>
            <w:r>
              <w:rPr>
                <w:color w:val="231F20"/>
                <w:spacing w:val="-4"/>
                <w:sz w:val="15"/>
              </w:rPr>
              <w:t>Rickettsial</w:t>
            </w:r>
            <w:r>
              <w:rPr>
                <w:color w:val="231F20"/>
                <w:spacing w:val="-8"/>
                <w:sz w:val="15"/>
              </w:rPr>
              <w:t> </w:t>
            </w:r>
            <w:r>
              <w:rPr>
                <w:color w:val="231F20"/>
                <w:spacing w:val="-4"/>
                <w:sz w:val="15"/>
              </w:rPr>
              <w:t>infections </w:t>
            </w:r>
            <w:r>
              <w:rPr>
                <w:color w:val="231F20"/>
                <w:spacing w:val="-2"/>
                <w:sz w:val="15"/>
              </w:rPr>
              <w:t>Rubella</w:t>
            </w:r>
          </w:p>
          <w:p>
            <w:pPr>
              <w:pStyle w:val="TableParagraph"/>
              <w:spacing w:line="230" w:lineRule="auto" w:before="1"/>
              <w:ind w:left="557" w:right="3038"/>
              <w:rPr>
                <w:sz w:val="15"/>
              </w:rPr>
            </w:pPr>
            <w:r>
              <w:rPr>
                <w:color w:val="231F20"/>
                <w:spacing w:val="-4"/>
                <w:w w:val="105"/>
                <w:sz w:val="15"/>
              </w:rPr>
              <w:t>Influenzas</w:t>
            </w:r>
            <w:r>
              <w:rPr>
                <w:color w:val="231F20"/>
                <w:spacing w:val="-8"/>
                <w:w w:val="105"/>
                <w:sz w:val="15"/>
              </w:rPr>
              <w:t> </w:t>
            </w:r>
            <w:r>
              <w:rPr>
                <w:color w:val="231F20"/>
                <w:spacing w:val="-4"/>
                <w:w w:val="105"/>
                <w:sz w:val="15"/>
              </w:rPr>
              <w:t>A</w:t>
            </w:r>
            <w:r>
              <w:rPr>
                <w:color w:val="231F20"/>
                <w:spacing w:val="-8"/>
                <w:w w:val="105"/>
                <w:sz w:val="15"/>
              </w:rPr>
              <w:t> </w:t>
            </w:r>
            <w:r>
              <w:rPr>
                <w:color w:val="231F20"/>
                <w:spacing w:val="-4"/>
                <w:w w:val="105"/>
                <w:sz w:val="15"/>
              </w:rPr>
              <w:t>and</w:t>
            </w:r>
            <w:r>
              <w:rPr>
                <w:color w:val="231F20"/>
                <w:spacing w:val="-8"/>
                <w:w w:val="105"/>
                <w:sz w:val="15"/>
              </w:rPr>
              <w:t> </w:t>
            </w:r>
            <w:r>
              <w:rPr>
                <w:color w:val="231F20"/>
                <w:spacing w:val="-4"/>
                <w:w w:val="105"/>
                <w:sz w:val="15"/>
              </w:rPr>
              <w:t>B </w:t>
            </w:r>
            <w:r>
              <w:rPr>
                <w:color w:val="231F20"/>
                <w:spacing w:val="-2"/>
                <w:w w:val="105"/>
                <w:sz w:val="15"/>
              </w:rPr>
              <w:t>Mumps</w:t>
            </w:r>
          </w:p>
          <w:p>
            <w:pPr>
              <w:pStyle w:val="TableParagraph"/>
              <w:spacing w:line="167" w:lineRule="exact"/>
              <w:ind w:left="557"/>
              <w:rPr>
                <w:sz w:val="15"/>
              </w:rPr>
            </w:pPr>
            <w:r>
              <w:rPr>
                <w:color w:val="231F20"/>
                <w:w w:val="90"/>
                <w:sz w:val="15"/>
              </w:rPr>
              <w:t>Varicella-</w:t>
            </w:r>
            <w:r>
              <w:rPr>
                <w:color w:val="231F20"/>
                <w:spacing w:val="-2"/>
                <w:sz w:val="15"/>
              </w:rPr>
              <w:t>zoster</w:t>
            </w:r>
          </w:p>
          <w:p>
            <w:pPr>
              <w:pStyle w:val="TableParagraph"/>
              <w:spacing w:line="168" w:lineRule="exact"/>
              <w:ind w:left="557"/>
              <w:rPr>
                <w:i/>
                <w:sz w:val="15"/>
              </w:rPr>
            </w:pPr>
            <w:r>
              <w:rPr>
                <w:color w:val="231F20"/>
                <w:w w:val="105"/>
                <w:sz w:val="15"/>
              </w:rPr>
              <w:t>M.</w:t>
            </w:r>
            <w:r>
              <w:rPr>
                <w:color w:val="231F20"/>
                <w:spacing w:val="28"/>
                <w:w w:val="105"/>
                <w:sz w:val="15"/>
              </w:rPr>
              <w:t> </w:t>
            </w:r>
            <w:r>
              <w:rPr>
                <w:i/>
                <w:color w:val="231F20"/>
                <w:spacing w:val="-2"/>
                <w:w w:val="105"/>
                <w:sz w:val="15"/>
              </w:rPr>
              <w:t>pneumoniae</w:t>
            </w:r>
          </w:p>
          <w:p>
            <w:pPr>
              <w:pStyle w:val="TableParagraph"/>
              <w:numPr>
                <w:ilvl w:val="1"/>
                <w:numId w:val="94"/>
              </w:numPr>
              <w:tabs>
                <w:tab w:pos="557" w:val="left" w:leader="none"/>
              </w:tabs>
              <w:spacing w:line="230" w:lineRule="auto" w:before="3" w:after="0"/>
              <w:ind w:left="557" w:right="2656" w:hanging="208"/>
              <w:jc w:val="left"/>
              <w:rPr>
                <w:sz w:val="15"/>
              </w:rPr>
            </w:pPr>
            <w:r>
              <w:rPr>
                <w:color w:val="231F20"/>
                <w:sz w:val="15"/>
              </w:rPr>
              <w:t>Associated</w:t>
            </w:r>
            <w:r>
              <w:rPr>
                <w:color w:val="231F20"/>
                <w:spacing w:val="-12"/>
                <w:sz w:val="15"/>
              </w:rPr>
              <w:t> </w:t>
            </w:r>
            <w:r>
              <w:rPr>
                <w:color w:val="231F20"/>
                <w:sz w:val="15"/>
              </w:rPr>
              <w:t>with</w:t>
            </w:r>
            <w:r>
              <w:rPr>
                <w:color w:val="231F20"/>
                <w:spacing w:val="-11"/>
                <w:sz w:val="15"/>
              </w:rPr>
              <w:t> </w:t>
            </w:r>
            <w:r>
              <w:rPr>
                <w:color w:val="231F20"/>
                <w:sz w:val="15"/>
              </w:rPr>
              <w:t>vaccines </w:t>
            </w:r>
            <w:r>
              <w:rPr>
                <w:color w:val="231F20"/>
                <w:spacing w:val="-2"/>
                <w:sz w:val="15"/>
              </w:rPr>
              <w:t>Rabies</w:t>
            </w:r>
          </w:p>
          <w:p>
            <w:pPr>
              <w:pStyle w:val="TableParagraph"/>
              <w:spacing w:line="230" w:lineRule="auto" w:before="1"/>
              <w:ind w:left="557" w:right="3434"/>
              <w:rPr>
                <w:sz w:val="15"/>
              </w:rPr>
            </w:pPr>
            <w:r>
              <w:rPr>
                <w:color w:val="231F20"/>
                <w:spacing w:val="-2"/>
                <w:sz w:val="15"/>
              </w:rPr>
              <w:t>Measles Vaccinia </w:t>
            </w:r>
            <w:r>
              <w:rPr>
                <w:color w:val="231F20"/>
                <w:spacing w:val="-4"/>
                <w:sz w:val="15"/>
              </w:rPr>
              <w:t>Yellow</w:t>
            </w:r>
            <w:r>
              <w:rPr>
                <w:color w:val="231F20"/>
                <w:spacing w:val="-8"/>
                <w:sz w:val="15"/>
              </w:rPr>
              <w:t> </w:t>
            </w:r>
            <w:r>
              <w:rPr>
                <w:color w:val="231F20"/>
                <w:spacing w:val="-4"/>
                <w:sz w:val="15"/>
              </w:rPr>
              <w:t>fever</w:t>
            </w:r>
          </w:p>
          <w:p>
            <w:pPr>
              <w:pStyle w:val="TableParagraph"/>
              <w:numPr>
                <w:ilvl w:val="1"/>
                <w:numId w:val="94"/>
              </w:numPr>
              <w:tabs>
                <w:tab w:pos="557" w:val="left" w:leader="none"/>
              </w:tabs>
              <w:spacing w:line="168" w:lineRule="exact" w:before="0" w:after="0"/>
              <w:ind w:left="557" w:right="0" w:hanging="218"/>
              <w:jc w:val="left"/>
              <w:rPr>
                <w:sz w:val="15"/>
              </w:rPr>
            </w:pPr>
            <w:r>
              <w:rPr>
                <w:color w:val="231F20"/>
                <w:sz w:val="15"/>
              </w:rPr>
              <w:t>Autoimmune</w:t>
            </w:r>
            <w:r>
              <w:rPr>
                <w:color w:val="231F20"/>
                <w:spacing w:val="9"/>
                <w:sz w:val="15"/>
              </w:rPr>
              <w:t> </w:t>
            </w:r>
            <w:r>
              <w:rPr>
                <w:color w:val="231F20"/>
                <w:spacing w:val="-2"/>
                <w:sz w:val="15"/>
              </w:rPr>
              <w:t>encephalitis</w:t>
            </w:r>
          </w:p>
          <w:p>
            <w:pPr>
              <w:pStyle w:val="TableParagraph"/>
              <w:numPr>
                <w:ilvl w:val="1"/>
                <w:numId w:val="94"/>
              </w:numPr>
              <w:tabs>
                <w:tab w:pos="555" w:val="left" w:leader="none"/>
                <w:tab w:pos="557" w:val="left" w:leader="none"/>
              </w:tabs>
              <w:spacing w:line="230" w:lineRule="auto" w:before="3" w:after="0"/>
              <w:ind w:left="557" w:right="1183" w:hanging="225"/>
              <w:jc w:val="left"/>
              <w:rPr>
                <w:sz w:val="15"/>
              </w:rPr>
            </w:pPr>
            <w:r>
              <w:rPr>
                <w:color w:val="231F20"/>
                <w:sz w:val="15"/>
              </w:rPr>
              <w:t>Acute</w:t>
            </w:r>
            <w:r>
              <w:rPr>
                <w:color w:val="231F20"/>
                <w:spacing w:val="-5"/>
                <w:sz w:val="15"/>
              </w:rPr>
              <w:t> </w:t>
            </w:r>
            <w:r>
              <w:rPr>
                <w:color w:val="231F20"/>
                <w:sz w:val="15"/>
              </w:rPr>
              <w:t>disseminated</w:t>
            </w:r>
            <w:r>
              <w:rPr>
                <w:color w:val="231F20"/>
                <w:spacing w:val="-5"/>
                <w:sz w:val="15"/>
              </w:rPr>
              <w:t> </w:t>
            </w:r>
            <w:r>
              <w:rPr>
                <w:color w:val="231F20"/>
                <w:sz w:val="15"/>
              </w:rPr>
              <w:t>encephalomyelitis</w:t>
            </w:r>
            <w:r>
              <w:rPr>
                <w:color w:val="231F20"/>
                <w:spacing w:val="-5"/>
                <w:sz w:val="15"/>
              </w:rPr>
              <w:t> </w:t>
            </w:r>
            <w:r>
              <w:rPr>
                <w:color w:val="231F20"/>
                <w:sz w:val="15"/>
              </w:rPr>
              <w:t>(ADEM) </w:t>
            </w:r>
            <w:r>
              <w:rPr>
                <w:color w:val="231F20"/>
                <w:spacing w:val="-2"/>
                <w:sz w:val="15"/>
              </w:rPr>
              <w:t>Paraneoplastic</w:t>
            </w:r>
          </w:p>
          <w:p>
            <w:pPr>
              <w:pStyle w:val="TableParagraph"/>
              <w:spacing w:line="167" w:lineRule="exact"/>
              <w:ind w:left="557"/>
              <w:rPr>
                <w:sz w:val="15"/>
              </w:rPr>
            </w:pPr>
            <w:r>
              <w:rPr>
                <w:color w:val="231F20"/>
                <w:spacing w:val="-2"/>
                <w:sz w:val="15"/>
              </w:rPr>
              <w:t>Idiopathic</w:t>
            </w:r>
          </w:p>
          <w:p>
            <w:pPr>
              <w:pStyle w:val="TableParagraph"/>
              <w:numPr>
                <w:ilvl w:val="0"/>
                <w:numId w:val="94"/>
              </w:numPr>
              <w:tabs>
                <w:tab w:pos="310" w:val="left" w:leader="none"/>
              </w:tabs>
              <w:spacing w:line="168" w:lineRule="exact" w:before="0" w:after="0"/>
              <w:ind w:left="310" w:right="0" w:hanging="242"/>
              <w:jc w:val="left"/>
              <w:rPr>
                <w:sz w:val="15"/>
              </w:rPr>
            </w:pPr>
            <w:r>
              <w:rPr>
                <w:color w:val="231F20"/>
                <w:w w:val="110"/>
                <w:sz w:val="15"/>
              </w:rPr>
              <w:t>HUMAN</w:t>
            </w:r>
            <w:r>
              <w:rPr>
                <w:color w:val="231F20"/>
                <w:spacing w:val="-8"/>
                <w:w w:val="110"/>
                <w:sz w:val="15"/>
              </w:rPr>
              <w:t> </w:t>
            </w:r>
            <w:r>
              <w:rPr>
                <w:color w:val="231F20"/>
                <w:w w:val="110"/>
                <w:sz w:val="15"/>
              </w:rPr>
              <w:t>SLOW-VIRUS</w:t>
            </w:r>
            <w:r>
              <w:rPr>
                <w:color w:val="231F20"/>
                <w:spacing w:val="-8"/>
                <w:w w:val="110"/>
                <w:sz w:val="15"/>
              </w:rPr>
              <w:t> </w:t>
            </w:r>
            <w:r>
              <w:rPr>
                <w:color w:val="231F20"/>
                <w:spacing w:val="-2"/>
                <w:w w:val="110"/>
                <w:sz w:val="15"/>
              </w:rPr>
              <w:t>DISEASES</w:t>
            </w:r>
          </w:p>
          <w:p>
            <w:pPr>
              <w:pStyle w:val="TableParagraph"/>
              <w:spacing w:line="230" w:lineRule="auto" w:before="2"/>
              <w:ind w:left="180" w:right="58" w:hanging="112"/>
              <w:rPr>
                <w:sz w:val="15"/>
              </w:rPr>
            </w:pPr>
            <w:r>
              <w:rPr>
                <w:color w:val="231F20"/>
                <w:spacing w:val="-2"/>
                <w:sz w:val="15"/>
              </w:rPr>
              <w:t>Accumulating</w:t>
            </w:r>
            <w:r>
              <w:rPr>
                <w:color w:val="231F20"/>
                <w:spacing w:val="-6"/>
                <w:sz w:val="15"/>
              </w:rPr>
              <w:t> </w:t>
            </w:r>
            <w:r>
              <w:rPr>
                <w:color w:val="231F20"/>
                <w:spacing w:val="-2"/>
                <w:sz w:val="15"/>
              </w:rPr>
              <w:t>evidence</w:t>
            </w:r>
            <w:r>
              <w:rPr>
                <w:color w:val="231F20"/>
                <w:spacing w:val="-6"/>
                <w:sz w:val="15"/>
              </w:rPr>
              <w:t> </w:t>
            </w:r>
            <w:r>
              <w:rPr>
                <w:color w:val="231F20"/>
                <w:spacing w:val="-2"/>
                <w:sz w:val="15"/>
              </w:rPr>
              <w:t>that</w:t>
            </w:r>
            <w:r>
              <w:rPr>
                <w:color w:val="231F20"/>
                <w:spacing w:val="-6"/>
                <w:sz w:val="15"/>
              </w:rPr>
              <w:t> </w:t>
            </w:r>
            <w:r>
              <w:rPr>
                <w:color w:val="231F20"/>
                <w:spacing w:val="-2"/>
                <w:sz w:val="15"/>
              </w:rPr>
              <w:t>viruses</w:t>
            </w:r>
            <w:r>
              <w:rPr>
                <w:color w:val="231F20"/>
                <w:spacing w:val="-6"/>
                <w:sz w:val="15"/>
              </w:rPr>
              <w:t> </w:t>
            </w:r>
            <w:r>
              <w:rPr>
                <w:color w:val="231F20"/>
                <w:spacing w:val="-2"/>
                <w:sz w:val="15"/>
              </w:rPr>
              <w:t>frequently</w:t>
            </w:r>
            <w:r>
              <w:rPr>
                <w:color w:val="231F20"/>
                <w:spacing w:val="-6"/>
                <w:sz w:val="15"/>
              </w:rPr>
              <w:t> </w:t>
            </w:r>
            <w:r>
              <w:rPr>
                <w:color w:val="231F20"/>
                <w:spacing w:val="-2"/>
                <w:sz w:val="15"/>
              </w:rPr>
              <w:t>acquired</w:t>
            </w:r>
            <w:r>
              <w:rPr>
                <w:color w:val="231F20"/>
                <w:spacing w:val="-6"/>
                <w:sz w:val="15"/>
              </w:rPr>
              <w:t> </w:t>
            </w:r>
            <w:r>
              <w:rPr>
                <w:color w:val="231F20"/>
                <w:spacing w:val="-2"/>
                <w:sz w:val="15"/>
              </w:rPr>
              <w:t>earlier</w:t>
            </w:r>
            <w:r>
              <w:rPr>
                <w:color w:val="231F20"/>
                <w:spacing w:val="-6"/>
                <w:sz w:val="15"/>
              </w:rPr>
              <w:t> </w:t>
            </w:r>
            <w:r>
              <w:rPr>
                <w:color w:val="231F20"/>
                <w:spacing w:val="-2"/>
                <w:sz w:val="15"/>
              </w:rPr>
              <w:t>in</w:t>
            </w:r>
            <w:r>
              <w:rPr>
                <w:color w:val="231F20"/>
                <w:spacing w:val="-6"/>
                <w:sz w:val="15"/>
              </w:rPr>
              <w:t> </w:t>
            </w:r>
            <w:r>
              <w:rPr>
                <w:color w:val="231F20"/>
                <w:spacing w:val="-2"/>
                <w:sz w:val="15"/>
              </w:rPr>
              <w:t>life, </w:t>
            </w:r>
            <w:r>
              <w:rPr>
                <w:color w:val="231F20"/>
                <w:sz w:val="15"/>
              </w:rPr>
              <w:t>not</w:t>
            </w:r>
            <w:r>
              <w:rPr>
                <w:color w:val="231F20"/>
                <w:spacing w:val="-3"/>
                <w:sz w:val="15"/>
              </w:rPr>
              <w:t> </w:t>
            </w:r>
            <w:r>
              <w:rPr>
                <w:color w:val="231F20"/>
                <w:sz w:val="15"/>
              </w:rPr>
              <w:t>necessarily</w:t>
            </w:r>
            <w:r>
              <w:rPr>
                <w:color w:val="231F20"/>
                <w:spacing w:val="-3"/>
                <w:sz w:val="15"/>
              </w:rPr>
              <w:t> </w:t>
            </w:r>
            <w:r>
              <w:rPr>
                <w:color w:val="231F20"/>
                <w:sz w:val="15"/>
              </w:rPr>
              <w:t>with</w:t>
            </w:r>
            <w:r>
              <w:rPr>
                <w:color w:val="231F20"/>
                <w:spacing w:val="-3"/>
                <w:sz w:val="15"/>
              </w:rPr>
              <w:t> </w:t>
            </w:r>
            <w:r>
              <w:rPr>
                <w:color w:val="231F20"/>
                <w:sz w:val="15"/>
              </w:rPr>
              <w:t>detectable</w:t>
            </w:r>
            <w:r>
              <w:rPr>
                <w:color w:val="231F20"/>
                <w:spacing w:val="-3"/>
                <w:sz w:val="15"/>
              </w:rPr>
              <w:t> </w:t>
            </w:r>
            <w:r>
              <w:rPr>
                <w:color w:val="231F20"/>
                <w:sz w:val="15"/>
              </w:rPr>
              <w:t>acute</w:t>
            </w:r>
            <w:r>
              <w:rPr>
                <w:color w:val="231F20"/>
                <w:spacing w:val="-3"/>
                <w:sz w:val="15"/>
              </w:rPr>
              <w:t> </w:t>
            </w:r>
            <w:r>
              <w:rPr>
                <w:color w:val="231F20"/>
                <w:sz w:val="15"/>
              </w:rPr>
              <w:t>illness,</w:t>
            </w:r>
            <w:r>
              <w:rPr>
                <w:color w:val="231F20"/>
                <w:spacing w:val="-3"/>
                <w:sz w:val="15"/>
              </w:rPr>
              <w:t> </w:t>
            </w:r>
            <w:r>
              <w:rPr>
                <w:color w:val="231F20"/>
                <w:sz w:val="15"/>
              </w:rPr>
              <w:t>participate</w:t>
            </w:r>
            <w:r>
              <w:rPr>
                <w:color w:val="231F20"/>
                <w:spacing w:val="-3"/>
                <w:sz w:val="15"/>
              </w:rPr>
              <w:t> </w:t>
            </w:r>
            <w:r>
              <w:rPr>
                <w:color w:val="231F20"/>
                <w:sz w:val="15"/>
              </w:rPr>
              <w:t>in</w:t>
            </w:r>
            <w:r>
              <w:rPr>
                <w:color w:val="231F20"/>
                <w:spacing w:val="-3"/>
                <w:sz w:val="15"/>
              </w:rPr>
              <w:t> </w:t>
            </w:r>
            <w:r>
              <w:rPr>
                <w:color w:val="231F20"/>
                <w:sz w:val="15"/>
              </w:rPr>
              <w:t>later chronic neurologic disease (similar events also known to occur in </w:t>
            </w:r>
            <w:r>
              <w:rPr>
                <w:color w:val="231F20"/>
                <w:spacing w:val="-2"/>
                <w:sz w:val="15"/>
              </w:rPr>
              <w:t>animals)</w:t>
            </w:r>
          </w:p>
          <w:p>
            <w:pPr>
              <w:pStyle w:val="TableParagraph"/>
              <w:numPr>
                <w:ilvl w:val="1"/>
                <w:numId w:val="94"/>
              </w:numPr>
              <w:tabs>
                <w:tab w:pos="557" w:val="left" w:leader="none"/>
              </w:tabs>
              <w:spacing w:line="168" w:lineRule="exact" w:before="0" w:after="0"/>
              <w:ind w:left="557" w:right="0" w:hanging="215"/>
              <w:jc w:val="left"/>
              <w:rPr>
                <w:sz w:val="15"/>
              </w:rPr>
            </w:pPr>
            <w:r>
              <w:rPr>
                <w:color w:val="231F20"/>
                <w:sz w:val="15"/>
              </w:rPr>
              <w:t>Subacute</w:t>
            </w:r>
            <w:r>
              <w:rPr>
                <w:color w:val="231F20"/>
                <w:spacing w:val="-11"/>
                <w:sz w:val="15"/>
              </w:rPr>
              <w:t> </w:t>
            </w:r>
            <w:r>
              <w:rPr>
                <w:color w:val="231F20"/>
                <w:sz w:val="15"/>
              </w:rPr>
              <w:t>sclerosing</w:t>
            </w:r>
            <w:r>
              <w:rPr>
                <w:color w:val="231F20"/>
                <w:spacing w:val="-10"/>
                <w:sz w:val="15"/>
              </w:rPr>
              <w:t> </w:t>
            </w:r>
            <w:r>
              <w:rPr>
                <w:color w:val="231F20"/>
                <w:sz w:val="15"/>
              </w:rPr>
              <w:t>panencephalitis;</w:t>
            </w:r>
            <w:r>
              <w:rPr>
                <w:color w:val="231F20"/>
                <w:spacing w:val="-10"/>
                <w:sz w:val="15"/>
              </w:rPr>
              <w:t> </w:t>
            </w:r>
            <w:r>
              <w:rPr>
                <w:color w:val="231F20"/>
                <w:sz w:val="15"/>
              </w:rPr>
              <w:t>measles;</w:t>
            </w:r>
            <w:r>
              <w:rPr>
                <w:color w:val="231F20"/>
                <w:spacing w:val="-10"/>
                <w:sz w:val="15"/>
              </w:rPr>
              <w:t> </w:t>
            </w:r>
            <w:r>
              <w:rPr>
                <w:color w:val="231F20"/>
                <w:spacing w:val="-2"/>
                <w:sz w:val="15"/>
              </w:rPr>
              <w:t>rubella?</w:t>
            </w:r>
          </w:p>
          <w:p>
            <w:pPr>
              <w:pStyle w:val="TableParagraph"/>
              <w:numPr>
                <w:ilvl w:val="1"/>
                <w:numId w:val="94"/>
              </w:numPr>
              <w:tabs>
                <w:tab w:pos="557" w:val="left" w:leader="none"/>
              </w:tabs>
              <w:spacing w:line="168" w:lineRule="exact" w:before="0" w:after="0"/>
              <w:ind w:left="557" w:right="0" w:hanging="207"/>
              <w:jc w:val="left"/>
              <w:rPr>
                <w:sz w:val="15"/>
              </w:rPr>
            </w:pPr>
            <w:r>
              <w:rPr>
                <w:color w:val="231F20"/>
                <w:sz w:val="15"/>
              </w:rPr>
              <w:t>Creutzfeldt-Jakob</w:t>
            </w:r>
            <w:r>
              <w:rPr>
                <w:color w:val="231F20"/>
                <w:spacing w:val="-6"/>
                <w:sz w:val="15"/>
              </w:rPr>
              <w:t> </w:t>
            </w:r>
            <w:r>
              <w:rPr>
                <w:color w:val="231F20"/>
                <w:sz w:val="15"/>
              </w:rPr>
              <w:t>disease</w:t>
            </w:r>
            <w:r>
              <w:rPr>
                <w:color w:val="231F20"/>
                <w:spacing w:val="-5"/>
                <w:sz w:val="15"/>
              </w:rPr>
              <w:t> </w:t>
            </w:r>
            <w:r>
              <w:rPr>
                <w:color w:val="231F20"/>
                <w:sz w:val="15"/>
              </w:rPr>
              <w:t>(spongiform</w:t>
            </w:r>
            <w:r>
              <w:rPr>
                <w:color w:val="231F20"/>
                <w:spacing w:val="-6"/>
                <w:sz w:val="15"/>
              </w:rPr>
              <w:t> </w:t>
            </w:r>
            <w:r>
              <w:rPr>
                <w:color w:val="231F20"/>
                <w:spacing w:val="-2"/>
                <w:sz w:val="15"/>
              </w:rPr>
              <w:t>encephalopathy)</w:t>
            </w:r>
          </w:p>
          <w:p>
            <w:pPr>
              <w:pStyle w:val="TableParagraph"/>
              <w:numPr>
                <w:ilvl w:val="1"/>
                <w:numId w:val="94"/>
              </w:numPr>
              <w:tabs>
                <w:tab w:pos="557" w:val="left" w:leader="none"/>
              </w:tabs>
              <w:spacing w:line="168" w:lineRule="exact" w:before="0" w:after="0"/>
              <w:ind w:left="557" w:right="0" w:hanging="218"/>
              <w:jc w:val="left"/>
              <w:rPr>
                <w:sz w:val="15"/>
              </w:rPr>
            </w:pPr>
            <w:r>
              <w:rPr>
                <w:color w:val="231F20"/>
                <w:spacing w:val="-2"/>
                <w:sz w:val="15"/>
              </w:rPr>
              <w:t>Progressive</w:t>
            </w:r>
            <w:r>
              <w:rPr>
                <w:color w:val="231F20"/>
                <w:spacing w:val="1"/>
                <w:sz w:val="15"/>
              </w:rPr>
              <w:t> </w:t>
            </w:r>
            <w:r>
              <w:rPr>
                <w:color w:val="231F20"/>
                <w:spacing w:val="-2"/>
                <w:sz w:val="15"/>
              </w:rPr>
              <w:t>multifocal</w:t>
            </w:r>
            <w:r>
              <w:rPr>
                <w:color w:val="231F20"/>
                <w:spacing w:val="1"/>
                <w:sz w:val="15"/>
              </w:rPr>
              <w:t> </w:t>
            </w:r>
            <w:r>
              <w:rPr>
                <w:color w:val="231F20"/>
                <w:spacing w:val="-2"/>
                <w:sz w:val="15"/>
              </w:rPr>
              <w:t>leukoencephalopathy</w:t>
            </w:r>
          </w:p>
          <w:p>
            <w:pPr>
              <w:pStyle w:val="TableParagraph"/>
              <w:numPr>
                <w:ilvl w:val="1"/>
                <w:numId w:val="94"/>
              </w:numPr>
              <w:tabs>
                <w:tab w:pos="556" w:val="left" w:leader="none"/>
              </w:tabs>
              <w:spacing w:line="168" w:lineRule="exact" w:before="0" w:after="0"/>
              <w:ind w:left="556" w:right="0" w:hanging="223"/>
              <w:jc w:val="left"/>
              <w:rPr>
                <w:sz w:val="15"/>
              </w:rPr>
            </w:pPr>
            <w:r>
              <w:rPr>
                <w:color w:val="231F20"/>
                <w:sz w:val="15"/>
              </w:rPr>
              <w:t>Kuru</w:t>
            </w:r>
            <w:r>
              <w:rPr>
                <w:color w:val="231F20"/>
                <w:spacing w:val="-3"/>
                <w:sz w:val="15"/>
              </w:rPr>
              <w:t> </w:t>
            </w:r>
            <w:r>
              <w:rPr>
                <w:color w:val="231F20"/>
                <w:sz w:val="15"/>
              </w:rPr>
              <w:t>(Fore</w:t>
            </w:r>
            <w:r>
              <w:rPr>
                <w:color w:val="231F20"/>
                <w:spacing w:val="-2"/>
                <w:sz w:val="15"/>
              </w:rPr>
              <w:t> </w:t>
            </w:r>
            <w:r>
              <w:rPr>
                <w:color w:val="231F20"/>
                <w:sz w:val="15"/>
              </w:rPr>
              <w:t>tribe</w:t>
            </w:r>
            <w:r>
              <w:rPr>
                <w:color w:val="231F20"/>
                <w:spacing w:val="-2"/>
                <w:sz w:val="15"/>
              </w:rPr>
              <w:t> </w:t>
            </w:r>
            <w:r>
              <w:rPr>
                <w:color w:val="231F20"/>
                <w:sz w:val="15"/>
              </w:rPr>
              <w:t>in</w:t>
            </w:r>
            <w:r>
              <w:rPr>
                <w:color w:val="231F20"/>
                <w:spacing w:val="-2"/>
                <w:sz w:val="15"/>
              </w:rPr>
              <w:t> </w:t>
            </w:r>
            <w:r>
              <w:rPr>
                <w:color w:val="231F20"/>
                <w:sz w:val="15"/>
              </w:rPr>
              <w:t>New</w:t>
            </w:r>
            <w:r>
              <w:rPr>
                <w:color w:val="231F20"/>
                <w:spacing w:val="-3"/>
                <w:sz w:val="15"/>
              </w:rPr>
              <w:t> </w:t>
            </w:r>
            <w:r>
              <w:rPr>
                <w:color w:val="231F20"/>
                <w:sz w:val="15"/>
              </w:rPr>
              <w:t>Guinea</w:t>
            </w:r>
            <w:r>
              <w:rPr>
                <w:color w:val="231F20"/>
                <w:spacing w:val="-2"/>
                <w:sz w:val="15"/>
              </w:rPr>
              <w:t> only)</w:t>
            </w:r>
          </w:p>
          <w:p>
            <w:pPr>
              <w:pStyle w:val="TableParagraph"/>
              <w:numPr>
                <w:ilvl w:val="1"/>
                <w:numId w:val="94"/>
              </w:numPr>
              <w:tabs>
                <w:tab w:pos="556" w:val="left" w:leader="none"/>
              </w:tabs>
              <w:spacing w:line="168" w:lineRule="exact" w:before="0" w:after="0"/>
              <w:ind w:left="556" w:right="0" w:hanging="201"/>
              <w:jc w:val="left"/>
              <w:rPr>
                <w:sz w:val="15"/>
              </w:rPr>
            </w:pPr>
            <w:r>
              <w:rPr>
                <w:color w:val="231F20"/>
                <w:sz w:val="15"/>
              </w:rPr>
              <w:t>Human</w:t>
            </w:r>
            <w:r>
              <w:rPr>
                <w:color w:val="231F20"/>
                <w:spacing w:val="-7"/>
                <w:sz w:val="15"/>
              </w:rPr>
              <w:t> </w:t>
            </w:r>
            <w:r>
              <w:rPr>
                <w:color w:val="231F20"/>
                <w:sz w:val="15"/>
              </w:rPr>
              <w:t>immunodeficiency</w:t>
            </w:r>
            <w:r>
              <w:rPr>
                <w:color w:val="231F20"/>
                <w:spacing w:val="-7"/>
                <w:sz w:val="15"/>
              </w:rPr>
              <w:t> </w:t>
            </w:r>
            <w:r>
              <w:rPr>
                <w:color w:val="231F20"/>
                <w:spacing w:val="-2"/>
                <w:sz w:val="15"/>
              </w:rPr>
              <w:t>virus</w:t>
            </w:r>
          </w:p>
          <w:p>
            <w:pPr>
              <w:pStyle w:val="TableParagraph"/>
              <w:numPr>
                <w:ilvl w:val="0"/>
                <w:numId w:val="94"/>
              </w:numPr>
              <w:tabs>
                <w:tab w:pos="310" w:val="left" w:leader="none"/>
              </w:tabs>
              <w:spacing w:line="168" w:lineRule="exact" w:before="0" w:after="0"/>
              <w:ind w:left="310" w:right="0" w:hanging="203"/>
              <w:jc w:val="left"/>
              <w:rPr>
                <w:sz w:val="15"/>
              </w:rPr>
            </w:pPr>
            <w:r>
              <w:rPr>
                <w:color w:val="231F20"/>
                <w:w w:val="110"/>
                <w:sz w:val="15"/>
              </w:rPr>
              <w:t>UNKNOWN:</w:t>
            </w:r>
            <w:r>
              <w:rPr>
                <w:color w:val="231F20"/>
                <w:spacing w:val="13"/>
                <w:w w:val="110"/>
                <w:sz w:val="15"/>
              </w:rPr>
              <w:t> </w:t>
            </w:r>
            <w:r>
              <w:rPr>
                <w:color w:val="231F20"/>
                <w:w w:val="110"/>
                <w:sz w:val="15"/>
              </w:rPr>
              <w:t>COMPLEX</w:t>
            </w:r>
            <w:r>
              <w:rPr>
                <w:color w:val="231F20"/>
                <w:spacing w:val="13"/>
                <w:w w:val="110"/>
                <w:sz w:val="15"/>
              </w:rPr>
              <w:t> </w:t>
            </w:r>
            <w:r>
              <w:rPr>
                <w:color w:val="231F20"/>
                <w:spacing w:val="-2"/>
                <w:w w:val="110"/>
                <w:sz w:val="15"/>
              </w:rPr>
              <w:t>GROUP</w:t>
            </w:r>
          </w:p>
          <w:p>
            <w:pPr>
              <w:pStyle w:val="TableParagraph"/>
              <w:spacing w:line="230" w:lineRule="auto" w:before="3"/>
              <w:ind w:left="180" w:right="199" w:hanging="112"/>
              <w:rPr>
                <w:sz w:val="15"/>
              </w:rPr>
            </w:pPr>
            <w:r>
              <w:rPr>
                <w:color w:val="231F20"/>
                <w:sz w:val="15"/>
              </w:rPr>
              <w:t>This group constitutes more than two-thirds of the cases of encephalitis reported to the Centers for Disease Control and Prevention, Atlanta, Georgia; the yearly epidemic curve of these undiagnosed</w:t>
            </w:r>
            <w:r>
              <w:rPr>
                <w:color w:val="231F20"/>
                <w:spacing w:val="-2"/>
                <w:sz w:val="15"/>
              </w:rPr>
              <w:t> </w:t>
            </w:r>
            <w:r>
              <w:rPr>
                <w:color w:val="231F20"/>
                <w:sz w:val="15"/>
              </w:rPr>
              <w:t>cases</w:t>
            </w:r>
            <w:r>
              <w:rPr>
                <w:color w:val="231F20"/>
                <w:spacing w:val="-2"/>
                <w:sz w:val="15"/>
              </w:rPr>
              <w:t> </w:t>
            </w:r>
            <w:r>
              <w:rPr>
                <w:color w:val="231F20"/>
                <w:sz w:val="15"/>
              </w:rPr>
              <w:t>suggests</w:t>
            </w:r>
            <w:r>
              <w:rPr>
                <w:color w:val="231F20"/>
                <w:spacing w:val="-2"/>
                <w:sz w:val="15"/>
              </w:rPr>
              <w:t> </w:t>
            </w:r>
            <w:r>
              <w:rPr>
                <w:color w:val="231F20"/>
                <w:sz w:val="15"/>
              </w:rPr>
              <w:t>that</w:t>
            </w:r>
            <w:r>
              <w:rPr>
                <w:color w:val="231F20"/>
                <w:spacing w:val="-2"/>
                <w:sz w:val="15"/>
              </w:rPr>
              <w:t> </w:t>
            </w:r>
            <w:r>
              <w:rPr>
                <w:color w:val="231F20"/>
                <w:sz w:val="15"/>
              </w:rPr>
              <w:t>the</w:t>
            </w:r>
            <w:r>
              <w:rPr>
                <w:color w:val="231F20"/>
                <w:spacing w:val="-2"/>
                <w:sz w:val="15"/>
              </w:rPr>
              <w:t> </w:t>
            </w:r>
            <w:r>
              <w:rPr>
                <w:color w:val="231F20"/>
                <w:sz w:val="15"/>
              </w:rPr>
              <w:t>majority</w:t>
            </w:r>
            <w:r>
              <w:rPr>
                <w:color w:val="231F20"/>
                <w:spacing w:val="-2"/>
                <w:sz w:val="15"/>
              </w:rPr>
              <w:t> </w:t>
            </w:r>
            <w:r>
              <w:rPr>
                <w:color w:val="231F20"/>
                <w:sz w:val="15"/>
              </w:rPr>
              <w:t>are</w:t>
            </w:r>
            <w:r>
              <w:rPr>
                <w:color w:val="231F20"/>
                <w:spacing w:val="-2"/>
                <w:sz w:val="15"/>
              </w:rPr>
              <w:t> </w:t>
            </w:r>
            <w:r>
              <w:rPr>
                <w:color w:val="231F20"/>
                <w:sz w:val="15"/>
              </w:rPr>
              <w:t>probably</w:t>
            </w:r>
            <w:r>
              <w:rPr>
                <w:color w:val="231F20"/>
                <w:spacing w:val="-2"/>
                <w:sz w:val="15"/>
              </w:rPr>
              <w:t> </w:t>
            </w:r>
            <w:r>
              <w:rPr>
                <w:color w:val="231F20"/>
                <w:sz w:val="15"/>
              </w:rPr>
              <w:t>caused by enteroviruses and/or arboviruses.</w:t>
            </w:r>
          </w:p>
          <w:p>
            <w:pPr>
              <w:pStyle w:val="TableParagraph"/>
              <w:spacing w:line="230" w:lineRule="auto" w:before="3"/>
              <w:ind w:left="180" w:hanging="112"/>
              <w:rPr>
                <w:sz w:val="15"/>
              </w:rPr>
            </w:pPr>
            <w:r>
              <w:rPr>
                <w:color w:val="231F20"/>
                <w:sz w:val="15"/>
              </w:rPr>
              <w:t>There</w:t>
            </w:r>
            <w:r>
              <w:rPr>
                <w:color w:val="231F20"/>
                <w:spacing w:val="-1"/>
                <w:sz w:val="15"/>
              </w:rPr>
              <w:t> </w:t>
            </w:r>
            <w:r>
              <w:rPr>
                <w:color w:val="231F20"/>
                <w:sz w:val="15"/>
              </w:rPr>
              <w:t>is</w:t>
            </w:r>
            <w:r>
              <w:rPr>
                <w:color w:val="231F20"/>
                <w:spacing w:val="-1"/>
                <w:sz w:val="15"/>
              </w:rPr>
              <w:t> </w:t>
            </w:r>
            <w:r>
              <w:rPr>
                <w:color w:val="231F20"/>
                <w:sz w:val="15"/>
              </w:rPr>
              <w:t>also</w:t>
            </w:r>
            <w:r>
              <w:rPr>
                <w:color w:val="231F20"/>
                <w:spacing w:val="-1"/>
                <w:sz w:val="15"/>
              </w:rPr>
              <w:t> </w:t>
            </w:r>
            <w:r>
              <w:rPr>
                <w:color w:val="231F20"/>
                <w:sz w:val="15"/>
              </w:rPr>
              <w:t>a</w:t>
            </w:r>
            <w:r>
              <w:rPr>
                <w:color w:val="231F20"/>
                <w:spacing w:val="-1"/>
                <w:sz w:val="15"/>
              </w:rPr>
              <w:t> </w:t>
            </w:r>
            <w:r>
              <w:rPr>
                <w:color w:val="231F20"/>
                <w:sz w:val="15"/>
              </w:rPr>
              <w:t>miscellaneous</w:t>
            </w:r>
            <w:r>
              <w:rPr>
                <w:color w:val="231F20"/>
                <w:spacing w:val="-1"/>
                <w:sz w:val="15"/>
              </w:rPr>
              <w:t> </w:t>
            </w:r>
            <w:r>
              <w:rPr>
                <w:color w:val="231F20"/>
                <w:sz w:val="15"/>
              </w:rPr>
              <w:t>group</w:t>
            </w:r>
            <w:r>
              <w:rPr>
                <w:color w:val="231F20"/>
                <w:spacing w:val="-1"/>
                <w:sz w:val="15"/>
              </w:rPr>
              <w:t> </w:t>
            </w:r>
            <w:r>
              <w:rPr>
                <w:color w:val="231F20"/>
                <w:sz w:val="15"/>
              </w:rPr>
              <w:t>that</w:t>
            </w:r>
            <w:r>
              <w:rPr>
                <w:color w:val="231F20"/>
                <w:spacing w:val="-1"/>
                <w:sz w:val="15"/>
              </w:rPr>
              <w:t> </w:t>
            </w:r>
            <w:r>
              <w:rPr>
                <w:color w:val="231F20"/>
                <w:sz w:val="15"/>
              </w:rPr>
              <w:t>is</w:t>
            </w:r>
            <w:r>
              <w:rPr>
                <w:color w:val="231F20"/>
                <w:spacing w:val="-1"/>
                <w:sz w:val="15"/>
              </w:rPr>
              <w:t> </w:t>
            </w:r>
            <w:r>
              <w:rPr>
                <w:color w:val="231F20"/>
                <w:sz w:val="15"/>
              </w:rPr>
              <w:t>based</w:t>
            </w:r>
            <w:r>
              <w:rPr>
                <w:color w:val="231F20"/>
                <w:spacing w:val="-1"/>
                <w:sz w:val="15"/>
              </w:rPr>
              <w:t> </w:t>
            </w:r>
            <w:r>
              <w:rPr>
                <w:color w:val="231F20"/>
                <w:sz w:val="15"/>
              </w:rPr>
              <w:t>on</w:t>
            </w:r>
            <w:r>
              <w:rPr>
                <w:color w:val="231F20"/>
                <w:spacing w:val="-1"/>
                <w:sz w:val="15"/>
              </w:rPr>
              <w:t> </w:t>
            </w:r>
            <w:r>
              <w:rPr>
                <w:color w:val="231F20"/>
                <w:sz w:val="15"/>
              </w:rPr>
              <w:t>clinical</w:t>
            </w:r>
            <w:r>
              <w:rPr>
                <w:color w:val="231F20"/>
                <w:spacing w:val="-1"/>
                <w:sz w:val="15"/>
              </w:rPr>
              <w:t> </w:t>
            </w:r>
            <w:r>
              <w:rPr>
                <w:color w:val="231F20"/>
                <w:sz w:val="15"/>
              </w:rPr>
              <w:t>criteria: Reye</w:t>
            </w:r>
            <w:r>
              <w:rPr>
                <w:color w:val="231F20"/>
                <w:spacing w:val="-8"/>
                <w:sz w:val="15"/>
              </w:rPr>
              <w:t> </w:t>
            </w:r>
            <w:r>
              <w:rPr>
                <w:color w:val="231F20"/>
                <w:sz w:val="15"/>
              </w:rPr>
              <w:t>syndrome</w:t>
            </w:r>
            <w:r>
              <w:rPr>
                <w:color w:val="231F20"/>
                <w:spacing w:val="-8"/>
                <w:sz w:val="15"/>
              </w:rPr>
              <w:t> </w:t>
            </w:r>
            <w:r>
              <w:rPr>
                <w:color w:val="231F20"/>
                <w:sz w:val="15"/>
              </w:rPr>
              <w:t>is</w:t>
            </w:r>
            <w:r>
              <w:rPr>
                <w:color w:val="231F20"/>
                <w:spacing w:val="-8"/>
                <w:sz w:val="15"/>
              </w:rPr>
              <w:t> </w:t>
            </w:r>
            <w:r>
              <w:rPr>
                <w:color w:val="231F20"/>
                <w:sz w:val="15"/>
              </w:rPr>
              <w:t>1</w:t>
            </w:r>
            <w:r>
              <w:rPr>
                <w:color w:val="231F20"/>
                <w:spacing w:val="-8"/>
                <w:sz w:val="15"/>
              </w:rPr>
              <w:t> </w:t>
            </w:r>
            <w:r>
              <w:rPr>
                <w:color w:val="231F20"/>
                <w:sz w:val="15"/>
              </w:rPr>
              <w:t>current</w:t>
            </w:r>
            <w:r>
              <w:rPr>
                <w:color w:val="231F20"/>
                <w:spacing w:val="-8"/>
                <w:sz w:val="15"/>
              </w:rPr>
              <w:t> </w:t>
            </w:r>
            <w:r>
              <w:rPr>
                <w:color w:val="231F20"/>
                <w:sz w:val="15"/>
              </w:rPr>
              <w:t>example;</w:t>
            </w:r>
            <w:r>
              <w:rPr>
                <w:color w:val="231F20"/>
                <w:spacing w:val="-8"/>
                <w:sz w:val="15"/>
              </w:rPr>
              <w:t> </w:t>
            </w:r>
            <w:r>
              <w:rPr>
                <w:color w:val="231F20"/>
                <w:sz w:val="15"/>
              </w:rPr>
              <w:t>others</w:t>
            </w:r>
            <w:r>
              <w:rPr>
                <w:color w:val="231F20"/>
                <w:spacing w:val="-8"/>
                <w:sz w:val="15"/>
              </w:rPr>
              <w:t> </w:t>
            </w:r>
            <w:r>
              <w:rPr>
                <w:color w:val="231F20"/>
                <w:sz w:val="15"/>
              </w:rPr>
              <w:t>include</w:t>
            </w:r>
            <w:r>
              <w:rPr>
                <w:color w:val="231F20"/>
                <w:spacing w:val="-8"/>
                <w:sz w:val="15"/>
              </w:rPr>
              <w:t> </w:t>
            </w:r>
            <w:r>
              <w:rPr>
                <w:color w:val="231F20"/>
                <w:sz w:val="15"/>
              </w:rPr>
              <w:t>the</w:t>
            </w:r>
            <w:r>
              <w:rPr>
                <w:color w:val="231F20"/>
                <w:spacing w:val="-8"/>
                <w:sz w:val="15"/>
              </w:rPr>
              <w:t> </w:t>
            </w:r>
            <w:r>
              <w:rPr>
                <w:color w:val="231F20"/>
                <w:sz w:val="15"/>
              </w:rPr>
              <w:t>extinct</w:t>
            </w:r>
            <w:r>
              <w:rPr>
                <w:color w:val="231F20"/>
                <w:spacing w:val="-8"/>
                <w:sz w:val="15"/>
              </w:rPr>
              <w:t> </w:t>
            </w:r>
            <w:r>
              <w:rPr>
                <w:color w:val="231F20"/>
                <w:sz w:val="15"/>
              </w:rPr>
              <w:t>von Economo encephalitis (epidemic during 1918-1928); myoclonic encephalopathy of infancy; retinomeningoencephalitis with </w:t>
            </w:r>
            <w:r>
              <w:rPr>
                <w:color w:val="231F20"/>
                <w:spacing w:val="-2"/>
                <w:sz w:val="15"/>
              </w:rPr>
              <w:t>papilledema and retinal hemorrhage; recurrent encephalomyelitis </w:t>
            </w:r>
            <w:r>
              <w:rPr>
                <w:color w:val="231F20"/>
                <w:spacing w:val="-2"/>
                <w:sz w:val="15"/>
              </w:rPr>
              <w:t>(? </w:t>
            </w:r>
            <w:r>
              <w:rPr>
                <w:color w:val="231F20"/>
                <w:sz w:val="15"/>
              </w:rPr>
              <w:t>allergic or autoimmune); pseudotumor cerebri; and epidemic neuromyasthenia (Iceland disease).</w:t>
            </w:r>
          </w:p>
          <w:p>
            <w:pPr>
              <w:pStyle w:val="TableParagraph"/>
              <w:spacing w:line="230" w:lineRule="auto" w:before="6"/>
              <w:ind w:left="180" w:right="163" w:hanging="112"/>
              <w:rPr>
                <w:sz w:val="15"/>
              </w:rPr>
            </w:pPr>
            <w:r>
              <w:rPr>
                <w:color w:val="231F20"/>
                <w:sz w:val="15"/>
              </w:rPr>
              <w:t>An</w:t>
            </w:r>
            <w:r>
              <w:rPr>
                <w:color w:val="231F20"/>
                <w:spacing w:val="-12"/>
                <w:sz w:val="15"/>
              </w:rPr>
              <w:t> </w:t>
            </w:r>
            <w:r>
              <w:rPr>
                <w:color w:val="231F20"/>
                <w:sz w:val="15"/>
              </w:rPr>
              <w:t>encephalitic</w:t>
            </w:r>
            <w:r>
              <w:rPr>
                <w:color w:val="231F20"/>
                <w:spacing w:val="-11"/>
                <w:sz w:val="15"/>
              </w:rPr>
              <w:t> </w:t>
            </w:r>
            <w:r>
              <w:rPr>
                <w:color w:val="231F20"/>
                <w:sz w:val="15"/>
              </w:rPr>
              <w:t>clinical</w:t>
            </w:r>
            <w:r>
              <w:rPr>
                <w:color w:val="231F20"/>
                <w:spacing w:val="-11"/>
                <w:sz w:val="15"/>
              </w:rPr>
              <w:t> </w:t>
            </w:r>
            <w:r>
              <w:rPr>
                <w:color w:val="231F20"/>
                <w:sz w:val="15"/>
              </w:rPr>
              <w:t>pattern</w:t>
            </w:r>
            <w:r>
              <w:rPr>
                <w:color w:val="231F20"/>
                <w:spacing w:val="-12"/>
                <w:sz w:val="15"/>
              </w:rPr>
              <w:t> </w:t>
            </w:r>
            <w:r>
              <w:rPr>
                <w:color w:val="231F20"/>
                <w:sz w:val="15"/>
              </w:rPr>
              <w:t>may</w:t>
            </w:r>
            <w:r>
              <w:rPr>
                <w:color w:val="231F20"/>
                <w:spacing w:val="-11"/>
                <w:sz w:val="15"/>
              </w:rPr>
              <w:t> </w:t>
            </w:r>
            <w:r>
              <w:rPr>
                <w:color w:val="231F20"/>
                <w:sz w:val="15"/>
              </w:rPr>
              <w:t>follow</w:t>
            </w:r>
            <w:r>
              <w:rPr>
                <w:color w:val="231F20"/>
                <w:spacing w:val="-11"/>
                <w:sz w:val="15"/>
              </w:rPr>
              <w:t> </w:t>
            </w:r>
            <w:r>
              <w:rPr>
                <w:color w:val="231F20"/>
                <w:sz w:val="15"/>
              </w:rPr>
              <w:t>ingestion</w:t>
            </w:r>
            <w:r>
              <w:rPr>
                <w:color w:val="231F20"/>
                <w:spacing w:val="-11"/>
                <w:sz w:val="15"/>
              </w:rPr>
              <w:t> </w:t>
            </w:r>
            <w:r>
              <w:rPr>
                <w:color w:val="231F20"/>
                <w:sz w:val="15"/>
              </w:rPr>
              <w:t>or</w:t>
            </w:r>
            <w:r>
              <w:rPr>
                <w:color w:val="231F20"/>
                <w:spacing w:val="-12"/>
                <w:sz w:val="15"/>
              </w:rPr>
              <w:t> </w:t>
            </w:r>
            <w:r>
              <w:rPr>
                <w:color w:val="231F20"/>
                <w:sz w:val="15"/>
              </w:rPr>
              <w:t>absorption</w:t>
            </w:r>
            <w:r>
              <w:rPr>
                <w:color w:val="231F20"/>
                <w:spacing w:val="-11"/>
                <w:sz w:val="15"/>
              </w:rPr>
              <w:t> </w:t>
            </w:r>
            <w:r>
              <w:rPr>
                <w:color w:val="231F20"/>
                <w:sz w:val="15"/>
              </w:rPr>
              <w:t>of a number of known and unknown toxic substances; these include ingestion of lead and mercury, and percutaneous absorption of hexachlorophene as a skin disinfectant and gamma benzene hexachloride as a scabicide.</w:t>
            </w:r>
          </w:p>
        </w:tc>
      </w:tr>
    </w:tbl>
    <w:p>
      <w:pPr>
        <w:pStyle w:val="BodyText"/>
        <w:spacing w:line="150" w:lineRule="exact" w:before="74"/>
        <w:ind w:left="486"/>
      </w:pPr>
      <w:r>
        <w:rPr>
          <w:color w:val="231F20"/>
        </w:rPr>
        <w:t>CNS,</w:t>
      </w:r>
      <w:r>
        <w:rPr>
          <w:color w:val="231F20"/>
          <w:spacing w:val="3"/>
        </w:rPr>
        <w:t> </w:t>
      </w:r>
      <w:r>
        <w:rPr>
          <w:color w:val="231F20"/>
        </w:rPr>
        <w:t>central</w:t>
      </w:r>
      <w:r>
        <w:rPr>
          <w:color w:val="231F20"/>
          <w:spacing w:val="3"/>
        </w:rPr>
        <w:t> </w:t>
      </w:r>
      <w:r>
        <w:rPr>
          <w:color w:val="231F20"/>
        </w:rPr>
        <w:t>nervous</w:t>
      </w:r>
      <w:r>
        <w:rPr>
          <w:color w:val="231F20"/>
          <w:spacing w:val="3"/>
        </w:rPr>
        <w:t> </w:t>
      </w:r>
      <w:r>
        <w:rPr>
          <w:color w:val="231F20"/>
          <w:spacing w:val="-2"/>
        </w:rPr>
        <w:t>system.</w:t>
      </w:r>
    </w:p>
    <w:p>
      <w:pPr>
        <w:spacing w:before="0"/>
        <w:ind w:left="486" w:right="705" w:firstLine="130"/>
        <w:jc w:val="left"/>
        <w:rPr>
          <w:i/>
          <w:sz w:val="13"/>
        </w:rPr>
      </w:pPr>
      <w:r>
        <w:rPr>
          <w:i/>
          <w:color w:val="231F20"/>
          <w:sz w:val="13"/>
        </w:rPr>
        <w:t>Modified</w:t>
      </w:r>
      <w:r>
        <w:rPr>
          <w:i/>
          <w:color w:val="231F20"/>
          <w:spacing w:val="-3"/>
          <w:sz w:val="13"/>
        </w:rPr>
        <w:t> </w:t>
      </w:r>
      <w:r>
        <w:rPr>
          <w:i/>
          <w:color w:val="231F20"/>
          <w:sz w:val="13"/>
        </w:rPr>
        <w:t>from</w:t>
      </w:r>
      <w:r>
        <w:rPr>
          <w:i/>
          <w:color w:val="231F20"/>
          <w:spacing w:val="-3"/>
          <w:sz w:val="13"/>
        </w:rPr>
        <w:t> </w:t>
      </w:r>
      <w:r>
        <w:rPr>
          <w:i/>
          <w:color w:val="231F20"/>
          <w:sz w:val="13"/>
        </w:rPr>
        <w:t>Behrman</w:t>
      </w:r>
      <w:r>
        <w:rPr>
          <w:i/>
          <w:color w:val="231F20"/>
          <w:spacing w:val="-3"/>
          <w:sz w:val="13"/>
        </w:rPr>
        <w:t> </w:t>
      </w:r>
      <w:r>
        <w:rPr>
          <w:i/>
          <w:color w:val="231F20"/>
          <w:sz w:val="13"/>
        </w:rPr>
        <w:t>RE,</w:t>
      </w:r>
      <w:r>
        <w:rPr>
          <w:i/>
          <w:color w:val="231F20"/>
          <w:spacing w:val="-3"/>
          <w:sz w:val="13"/>
        </w:rPr>
        <w:t> </w:t>
      </w:r>
      <w:r>
        <w:rPr>
          <w:i/>
          <w:color w:val="231F20"/>
          <w:sz w:val="13"/>
        </w:rPr>
        <w:t>editor:</w:t>
      </w:r>
      <w:r>
        <w:rPr>
          <w:i/>
          <w:color w:val="231F20"/>
          <w:spacing w:val="-3"/>
          <w:sz w:val="13"/>
        </w:rPr>
        <w:t> </w:t>
      </w:r>
      <w:r>
        <w:rPr>
          <w:i/>
          <w:color w:val="231F20"/>
          <w:sz w:val="13"/>
        </w:rPr>
        <w:t>Nelson</w:t>
      </w:r>
      <w:r>
        <w:rPr>
          <w:i/>
          <w:color w:val="231F20"/>
          <w:spacing w:val="-3"/>
          <w:sz w:val="13"/>
        </w:rPr>
        <w:t> </w:t>
      </w:r>
      <w:r>
        <w:rPr>
          <w:i/>
          <w:color w:val="231F20"/>
          <w:sz w:val="13"/>
        </w:rPr>
        <w:t>textbook</w:t>
      </w:r>
      <w:r>
        <w:rPr>
          <w:i/>
          <w:color w:val="231F20"/>
          <w:spacing w:val="-3"/>
          <w:sz w:val="13"/>
        </w:rPr>
        <w:t> </w:t>
      </w:r>
      <w:r>
        <w:rPr>
          <w:i/>
          <w:color w:val="231F20"/>
          <w:sz w:val="13"/>
        </w:rPr>
        <w:t>of</w:t>
      </w:r>
      <w:r>
        <w:rPr>
          <w:i/>
          <w:color w:val="231F20"/>
          <w:spacing w:val="-3"/>
          <w:sz w:val="13"/>
        </w:rPr>
        <w:t> </w:t>
      </w:r>
      <w:r>
        <w:rPr>
          <w:i/>
          <w:color w:val="231F20"/>
          <w:sz w:val="13"/>
        </w:rPr>
        <w:t>pediatrics,</w:t>
      </w:r>
      <w:r>
        <w:rPr>
          <w:i/>
          <w:color w:val="231F20"/>
          <w:spacing w:val="-3"/>
          <w:sz w:val="13"/>
        </w:rPr>
        <w:t> </w:t>
      </w:r>
      <w:r>
        <w:rPr>
          <w:i/>
          <w:color w:val="231F20"/>
          <w:sz w:val="13"/>
        </w:rPr>
        <w:t>ed</w:t>
      </w:r>
      <w:r>
        <w:rPr>
          <w:i/>
          <w:color w:val="231F20"/>
          <w:spacing w:val="-3"/>
          <w:sz w:val="13"/>
        </w:rPr>
        <w:t> </w:t>
      </w:r>
      <w:r>
        <w:rPr>
          <w:i/>
          <w:color w:val="231F20"/>
          <w:sz w:val="13"/>
        </w:rPr>
        <w:t>14,</w:t>
      </w:r>
      <w:r>
        <w:rPr>
          <w:i/>
          <w:color w:val="231F20"/>
          <w:spacing w:val="-3"/>
          <w:sz w:val="13"/>
        </w:rPr>
        <w:t> </w:t>
      </w:r>
      <w:r>
        <w:rPr>
          <w:i/>
          <w:color w:val="231F20"/>
          <w:sz w:val="13"/>
        </w:rPr>
        <w:t>Philadelphia,</w:t>
      </w:r>
      <w:r>
        <w:rPr>
          <w:i/>
          <w:color w:val="231F20"/>
          <w:spacing w:val="-3"/>
          <w:sz w:val="13"/>
        </w:rPr>
        <w:t> </w:t>
      </w:r>
      <w:r>
        <w:rPr>
          <w:i/>
          <w:color w:val="231F20"/>
          <w:sz w:val="13"/>
        </w:rPr>
        <w:t>1992,</w:t>
      </w:r>
      <w:r>
        <w:rPr>
          <w:i/>
          <w:color w:val="231F20"/>
          <w:spacing w:val="-3"/>
          <w:sz w:val="13"/>
        </w:rPr>
        <w:t> </w:t>
      </w:r>
      <w:r>
        <w:rPr>
          <w:i/>
          <w:color w:val="231F20"/>
          <w:sz w:val="13"/>
        </w:rPr>
        <w:t>WB</w:t>
      </w:r>
      <w:r>
        <w:rPr>
          <w:i/>
          <w:color w:val="231F20"/>
          <w:spacing w:val="-3"/>
          <w:sz w:val="13"/>
        </w:rPr>
        <w:t> </w:t>
      </w:r>
      <w:r>
        <w:rPr>
          <w:i/>
          <w:color w:val="231F20"/>
          <w:sz w:val="13"/>
        </w:rPr>
        <w:t>Saunders,</w:t>
      </w:r>
      <w:r>
        <w:rPr>
          <w:i/>
          <w:color w:val="231F20"/>
          <w:spacing w:val="-3"/>
          <w:sz w:val="13"/>
        </w:rPr>
        <w:t> </w:t>
      </w:r>
      <w:r>
        <w:rPr>
          <w:i/>
          <w:color w:val="231F20"/>
          <w:sz w:val="13"/>
        </w:rPr>
        <w:t>p.</w:t>
      </w:r>
      <w:r>
        <w:rPr>
          <w:i/>
          <w:color w:val="231F20"/>
          <w:spacing w:val="-3"/>
          <w:sz w:val="13"/>
        </w:rPr>
        <w:t> </w:t>
      </w:r>
      <w:r>
        <w:rPr>
          <w:i/>
          <w:color w:val="231F20"/>
          <w:sz w:val="13"/>
        </w:rPr>
        <w:t>667.</w:t>
      </w:r>
      <w:r>
        <w:rPr>
          <w:i/>
          <w:color w:val="231F20"/>
          <w:spacing w:val="-3"/>
          <w:sz w:val="13"/>
        </w:rPr>
        <w:t> </w:t>
      </w:r>
      <w:r>
        <w:rPr>
          <w:i/>
          <w:color w:val="231F20"/>
          <w:sz w:val="13"/>
        </w:rPr>
        <w:t>From</w:t>
      </w:r>
      <w:r>
        <w:rPr>
          <w:i/>
          <w:color w:val="231F20"/>
          <w:spacing w:val="-3"/>
          <w:sz w:val="13"/>
        </w:rPr>
        <w:t> </w:t>
      </w:r>
      <w:r>
        <w:rPr>
          <w:i/>
          <w:color w:val="231F20"/>
          <w:sz w:val="13"/>
        </w:rPr>
        <w:t>Kliegman</w:t>
      </w:r>
      <w:r>
        <w:rPr>
          <w:i/>
          <w:color w:val="231F20"/>
          <w:spacing w:val="-3"/>
          <w:sz w:val="13"/>
        </w:rPr>
        <w:t> </w:t>
      </w:r>
      <w:r>
        <w:rPr>
          <w:i/>
          <w:color w:val="231F20"/>
          <w:sz w:val="13"/>
        </w:rPr>
        <w:t>RM,</w:t>
      </w:r>
      <w:r>
        <w:rPr>
          <w:i/>
          <w:color w:val="231F20"/>
          <w:spacing w:val="-3"/>
          <w:sz w:val="13"/>
        </w:rPr>
        <w:t> </w:t>
      </w:r>
      <w:r>
        <w:rPr>
          <w:i/>
          <w:color w:val="231F20"/>
          <w:sz w:val="13"/>
        </w:rPr>
        <w:t>Greenbaum</w:t>
      </w:r>
      <w:r>
        <w:rPr>
          <w:i/>
          <w:color w:val="231F20"/>
          <w:spacing w:val="-3"/>
          <w:sz w:val="13"/>
        </w:rPr>
        <w:t> </w:t>
      </w:r>
      <w:r>
        <w:rPr>
          <w:i/>
          <w:color w:val="231F20"/>
          <w:sz w:val="13"/>
        </w:rPr>
        <w:t>LA,</w:t>
      </w:r>
      <w:r>
        <w:rPr>
          <w:i/>
          <w:color w:val="231F20"/>
          <w:spacing w:val="-3"/>
          <w:sz w:val="13"/>
        </w:rPr>
        <w:t> </w:t>
      </w:r>
      <w:r>
        <w:rPr>
          <w:i/>
          <w:color w:val="231F20"/>
          <w:sz w:val="13"/>
        </w:rPr>
        <w:t>Lye</w:t>
      </w:r>
      <w:r>
        <w:rPr>
          <w:i/>
          <w:color w:val="231F20"/>
          <w:spacing w:val="-3"/>
          <w:sz w:val="13"/>
        </w:rPr>
        <w:t> </w:t>
      </w:r>
      <w:r>
        <w:rPr>
          <w:i/>
          <w:color w:val="231F20"/>
          <w:sz w:val="13"/>
        </w:rPr>
        <w:t>PS:</w:t>
      </w:r>
      <w:r>
        <w:rPr>
          <w:i/>
          <w:color w:val="231F20"/>
          <w:spacing w:val="40"/>
          <w:sz w:val="13"/>
        </w:rPr>
        <w:t> </w:t>
      </w:r>
      <w:r>
        <w:rPr>
          <w:i/>
          <w:color w:val="231F20"/>
          <w:sz w:val="13"/>
        </w:rPr>
        <w:t>Practical</w:t>
      </w:r>
      <w:r>
        <w:rPr>
          <w:i/>
          <w:color w:val="231F20"/>
          <w:spacing w:val="-4"/>
          <w:sz w:val="13"/>
        </w:rPr>
        <w:t> </w:t>
      </w:r>
      <w:r>
        <w:rPr>
          <w:i/>
          <w:color w:val="231F20"/>
          <w:sz w:val="13"/>
        </w:rPr>
        <w:t>strategies</w:t>
      </w:r>
      <w:r>
        <w:rPr>
          <w:i/>
          <w:color w:val="231F20"/>
          <w:spacing w:val="-4"/>
          <w:sz w:val="13"/>
        </w:rPr>
        <w:t> </w:t>
      </w:r>
      <w:r>
        <w:rPr>
          <w:i/>
          <w:color w:val="231F20"/>
          <w:sz w:val="13"/>
        </w:rPr>
        <w:t>in</w:t>
      </w:r>
      <w:r>
        <w:rPr>
          <w:i/>
          <w:color w:val="231F20"/>
          <w:spacing w:val="-4"/>
          <w:sz w:val="13"/>
        </w:rPr>
        <w:t> </w:t>
      </w:r>
      <w:r>
        <w:rPr>
          <w:i/>
          <w:color w:val="231F20"/>
          <w:sz w:val="13"/>
        </w:rPr>
        <w:t>pediatric</w:t>
      </w:r>
      <w:r>
        <w:rPr>
          <w:i/>
          <w:color w:val="231F20"/>
          <w:spacing w:val="-4"/>
          <w:sz w:val="13"/>
        </w:rPr>
        <w:t> </w:t>
      </w:r>
      <w:r>
        <w:rPr>
          <w:i/>
          <w:color w:val="231F20"/>
          <w:sz w:val="13"/>
        </w:rPr>
        <w:t>diagnosis</w:t>
      </w:r>
      <w:r>
        <w:rPr>
          <w:i/>
          <w:color w:val="231F20"/>
          <w:spacing w:val="-4"/>
          <w:sz w:val="13"/>
        </w:rPr>
        <w:t> </w:t>
      </w:r>
      <w:r>
        <w:rPr>
          <w:i/>
          <w:color w:val="231F20"/>
          <w:sz w:val="13"/>
        </w:rPr>
        <w:t>and</w:t>
      </w:r>
      <w:r>
        <w:rPr>
          <w:i/>
          <w:color w:val="231F20"/>
          <w:spacing w:val="-4"/>
          <w:sz w:val="13"/>
        </w:rPr>
        <w:t> </w:t>
      </w:r>
      <w:r>
        <w:rPr>
          <w:i/>
          <w:color w:val="231F20"/>
          <w:sz w:val="13"/>
        </w:rPr>
        <w:t>therapy,</w:t>
      </w:r>
      <w:r>
        <w:rPr>
          <w:i/>
          <w:color w:val="231F20"/>
          <w:spacing w:val="-4"/>
          <w:sz w:val="13"/>
        </w:rPr>
        <w:t> </w:t>
      </w:r>
      <w:r>
        <w:rPr>
          <w:i/>
          <w:color w:val="231F20"/>
          <w:sz w:val="13"/>
        </w:rPr>
        <w:t>ed</w:t>
      </w:r>
      <w:r>
        <w:rPr>
          <w:i/>
          <w:color w:val="231F20"/>
          <w:spacing w:val="-4"/>
          <w:sz w:val="13"/>
        </w:rPr>
        <w:t> </w:t>
      </w:r>
      <w:r>
        <w:rPr>
          <w:i/>
          <w:color w:val="231F20"/>
          <w:sz w:val="13"/>
        </w:rPr>
        <w:t>2,</w:t>
      </w:r>
      <w:r>
        <w:rPr>
          <w:i/>
          <w:color w:val="231F20"/>
          <w:spacing w:val="-4"/>
          <w:sz w:val="13"/>
        </w:rPr>
        <w:t> </w:t>
      </w:r>
      <w:r>
        <w:rPr>
          <w:i/>
          <w:color w:val="231F20"/>
          <w:sz w:val="13"/>
        </w:rPr>
        <w:t>Philadelphia,</w:t>
      </w:r>
      <w:r>
        <w:rPr>
          <w:i/>
          <w:color w:val="231F20"/>
          <w:spacing w:val="-4"/>
          <w:sz w:val="13"/>
        </w:rPr>
        <w:t> </w:t>
      </w:r>
      <w:r>
        <w:rPr>
          <w:i/>
          <w:color w:val="231F20"/>
          <w:sz w:val="13"/>
        </w:rPr>
        <w:t>2004,</w:t>
      </w:r>
      <w:r>
        <w:rPr>
          <w:i/>
          <w:color w:val="231F20"/>
          <w:spacing w:val="-4"/>
          <w:sz w:val="13"/>
        </w:rPr>
        <w:t> </w:t>
      </w:r>
      <w:r>
        <w:rPr>
          <w:i/>
          <w:color w:val="231F20"/>
          <w:sz w:val="13"/>
        </w:rPr>
        <w:t>Elsevier,</w:t>
      </w:r>
      <w:r>
        <w:rPr>
          <w:i/>
          <w:color w:val="231F20"/>
          <w:spacing w:val="-4"/>
          <w:sz w:val="13"/>
        </w:rPr>
        <w:t> </w:t>
      </w:r>
      <w:r>
        <w:rPr>
          <w:i/>
          <w:color w:val="231F20"/>
          <w:sz w:val="13"/>
        </w:rPr>
        <w:t>p.</w:t>
      </w:r>
      <w:r>
        <w:rPr>
          <w:i/>
          <w:color w:val="231F20"/>
          <w:spacing w:val="-4"/>
          <w:sz w:val="13"/>
        </w:rPr>
        <w:t> </w:t>
      </w:r>
      <w:r>
        <w:rPr>
          <w:i/>
          <w:color w:val="231F20"/>
          <w:sz w:val="13"/>
        </w:rPr>
        <w:t>967.</w:t>
      </w:r>
    </w:p>
    <w:p>
      <w:pPr>
        <w:spacing w:after="0"/>
        <w:jc w:val="left"/>
        <w:rPr>
          <w:i/>
          <w:sz w:val="13"/>
        </w:rPr>
        <w:sectPr>
          <w:pgSz w:w="11900" w:h="16840"/>
          <w:pgMar w:header="0" w:footer="0" w:top="720" w:bottom="280" w:left="425" w:right="566"/>
        </w:sectPr>
      </w:pPr>
    </w:p>
    <w:p>
      <w:pPr>
        <w:pStyle w:val="BodyText"/>
        <w:rPr>
          <w:i/>
          <w:sz w:val="20"/>
        </w:rPr>
      </w:pPr>
      <w:r>
        <w:rPr>
          <w:i/>
          <w:sz w:val="20"/>
        </w:rPr>
        <mc:AlternateContent>
          <mc:Choice Requires="wps">
            <w:drawing>
              <wp:anchor distT="0" distB="0" distL="0" distR="0" allowOverlap="1" layoutInCell="1" locked="0" behindDoc="0" simplePos="0" relativeHeight="15794176">
                <wp:simplePos x="0" y="0"/>
                <wp:positionH relativeFrom="page">
                  <wp:posOffset>822256</wp:posOffset>
                </wp:positionH>
                <wp:positionV relativeFrom="page">
                  <wp:posOffset>6984958</wp:posOffset>
                </wp:positionV>
                <wp:extent cx="2986405" cy="3514725"/>
                <wp:effectExtent l="0" t="0" r="0" b="0"/>
                <wp:wrapNone/>
                <wp:docPr id="982" name="Group 982"/>
                <wp:cNvGraphicFramePr>
                  <a:graphicFrameLocks/>
                </wp:cNvGraphicFramePr>
                <a:graphic>
                  <a:graphicData uri="http://schemas.microsoft.com/office/word/2010/wordprocessingGroup">
                    <wpg:wgp>
                      <wpg:cNvPr id="982" name="Group 982"/>
                      <wpg:cNvGrpSpPr/>
                      <wpg:grpSpPr>
                        <a:xfrm>
                          <a:off x="0" y="0"/>
                          <a:ext cx="2986405" cy="3514725"/>
                          <a:chExt cx="2986405" cy="3514725"/>
                        </a:xfrm>
                      </wpg:grpSpPr>
                      <wps:wsp>
                        <wps:cNvPr id="983" name="Textbox 983"/>
                        <wps:cNvSpPr txBox="1"/>
                        <wps:spPr>
                          <a:xfrm>
                            <a:off x="11" y="355478"/>
                            <a:ext cx="2986405" cy="3153410"/>
                          </a:xfrm>
                          <a:prstGeom prst="rect">
                            <a:avLst/>
                          </a:prstGeom>
                          <a:solidFill>
                            <a:srgbClr val="E8F5F1"/>
                          </a:solidFill>
                        </wps:spPr>
                        <wps:txbx>
                          <w:txbxContent>
                            <w:p>
                              <w:pPr>
                                <w:spacing w:line="230" w:lineRule="auto" w:before="53"/>
                                <w:ind w:left="74" w:right="2993" w:firstLine="0"/>
                                <w:jc w:val="left"/>
                                <w:rPr>
                                  <w:color w:val="000000"/>
                                  <w:sz w:val="15"/>
                                </w:rPr>
                              </w:pPr>
                              <w:r>
                                <w:rPr>
                                  <w:color w:val="231F20"/>
                                  <w:sz w:val="15"/>
                                </w:rPr>
                                <w:t>Brainstem stroke </w:t>
                              </w:r>
                              <w:r>
                                <w:rPr>
                                  <w:color w:val="231F20"/>
                                  <w:spacing w:val="-2"/>
                                  <w:sz w:val="15"/>
                                </w:rPr>
                                <w:t>Brainstem</w:t>
                              </w:r>
                              <w:r>
                                <w:rPr>
                                  <w:color w:val="231F20"/>
                                  <w:spacing w:val="-10"/>
                                  <w:sz w:val="15"/>
                                </w:rPr>
                                <w:t> </w:t>
                              </w:r>
                              <w:r>
                                <w:rPr>
                                  <w:color w:val="231F20"/>
                                  <w:spacing w:val="-2"/>
                                  <w:sz w:val="15"/>
                                </w:rPr>
                                <w:t>encephalitis</w:t>
                              </w:r>
                            </w:p>
                            <w:p>
                              <w:pPr>
                                <w:spacing w:line="167" w:lineRule="exact" w:before="0"/>
                                <w:ind w:left="74" w:right="0" w:firstLine="0"/>
                                <w:jc w:val="left"/>
                                <w:rPr>
                                  <w:color w:val="000000"/>
                                  <w:sz w:val="15"/>
                                </w:rPr>
                              </w:pPr>
                              <w:r>
                                <w:rPr>
                                  <w:color w:val="231F20"/>
                                  <w:spacing w:val="-2"/>
                                  <w:sz w:val="15"/>
                                </w:rPr>
                                <w:t>Acute</w:t>
                              </w:r>
                              <w:r>
                                <w:rPr>
                                  <w:color w:val="231F20"/>
                                  <w:sz w:val="15"/>
                                </w:rPr>
                                <w:t> </w:t>
                              </w:r>
                              <w:r>
                                <w:rPr>
                                  <w:color w:val="231F20"/>
                                  <w:spacing w:val="-2"/>
                                  <w:sz w:val="15"/>
                                </w:rPr>
                                <w:t>anterior</w:t>
                              </w:r>
                              <w:r>
                                <w:rPr>
                                  <w:color w:val="231F20"/>
                                  <w:sz w:val="15"/>
                                </w:rPr>
                                <w:t> </w:t>
                              </w:r>
                              <w:r>
                                <w:rPr>
                                  <w:color w:val="231F20"/>
                                  <w:spacing w:val="-2"/>
                                  <w:sz w:val="15"/>
                                </w:rPr>
                                <w:t>poliomyelitis</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Caused</w:t>
                              </w:r>
                              <w:r>
                                <w:rPr>
                                  <w:color w:val="231F20"/>
                                  <w:spacing w:val="13"/>
                                  <w:sz w:val="15"/>
                                </w:rPr>
                                <w:t> </w:t>
                              </w:r>
                              <w:r>
                                <w:rPr>
                                  <w:color w:val="231F20"/>
                                  <w:sz w:val="15"/>
                                </w:rPr>
                                <w:t>by</w:t>
                              </w:r>
                              <w:r>
                                <w:rPr>
                                  <w:color w:val="231F20"/>
                                  <w:spacing w:val="14"/>
                                  <w:sz w:val="15"/>
                                </w:rPr>
                                <w:t> </w:t>
                              </w:r>
                              <w:r>
                                <w:rPr>
                                  <w:color w:val="231F20"/>
                                  <w:spacing w:val="-2"/>
                                  <w:sz w:val="15"/>
                                </w:rPr>
                                <w:t>poliovirus</w:t>
                              </w:r>
                            </w:p>
                            <w:p>
                              <w:pPr>
                                <w:numPr>
                                  <w:ilvl w:val="0"/>
                                  <w:numId w:val="95"/>
                                </w:numPr>
                                <w:tabs>
                                  <w:tab w:pos="223" w:val="left" w:leader="none"/>
                                </w:tabs>
                                <w:spacing w:line="230" w:lineRule="auto" w:before="2"/>
                                <w:ind w:left="74" w:right="2050" w:firstLine="0"/>
                                <w:jc w:val="left"/>
                                <w:rPr>
                                  <w:color w:val="000000"/>
                                  <w:sz w:val="15"/>
                                </w:rPr>
                              </w:pPr>
                              <w:r>
                                <w:rPr>
                                  <w:color w:val="231F20"/>
                                  <w:sz w:val="15"/>
                                </w:rPr>
                                <w:t>Caused</w:t>
                              </w:r>
                              <w:r>
                                <w:rPr>
                                  <w:color w:val="231F20"/>
                                  <w:spacing w:val="-8"/>
                                  <w:sz w:val="15"/>
                                </w:rPr>
                                <w:t> </w:t>
                              </w:r>
                              <w:r>
                                <w:rPr>
                                  <w:color w:val="231F20"/>
                                  <w:sz w:val="15"/>
                                </w:rPr>
                                <w:t>by</w:t>
                              </w:r>
                              <w:r>
                                <w:rPr>
                                  <w:color w:val="231F20"/>
                                  <w:spacing w:val="-8"/>
                                  <w:sz w:val="15"/>
                                </w:rPr>
                                <w:t> </w:t>
                              </w:r>
                              <w:r>
                                <w:rPr>
                                  <w:color w:val="231F20"/>
                                  <w:sz w:val="15"/>
                                </w:rPr>
                                <w:t>other</w:t>
                              </w:r>
                              <w:r>
                                <w:rPr>
                                  <w:color w:val="231F20"/>
                                  <w:spacing w:val="-8"/>
                                  <w:sz w:val="15"/>
                                </w:rPr>
                                <w:t> </w:t>
                              </w:r>
                              <w:r>
                                <w:rPr>
                                  <w:color w:val="231F20"/>
                                  <w:sz w:val="15"/>
                                </w:rPr>
                                <w:t>neurotropic</w:t>
                              </w:r>
                              <w:r>
                                <w:rPr>
                                  <w:color w:val="231F20"/>
                                  <w:spacing w:val="-8"/>
                                  <w:sz w:val="15"/>
                                </w:rPr>
                                <w:t> </w:t>
                              </w:r>
                              <w:r>
                                <w:rPr>
                                  <w:color w:val="231F20"/>
                                  <w:sz w:val="15"/>
                                </w:rPr>
                                <w:t>viruses Acute myelopathy</w:t>
                              </w:r>
                            </w:p>
                            <w:p>
                              <w:pPr>
                                <w:numPr>
                                  <w:ilvl w:val="0"/>
                                  <w:numId w:val="95"/>
                                </w:numPr>
                                <w:tabs>
                                  <w:tab w:pos="223" w:val="left" w:leader="none"/>
                                </w:tabs>
                                <w:spacing w:line="167" w:lineRule="exact" w:before="0"/>
                                <w:ind w:left="223" w:right="0" w:hanging="149"/>
                                <w:jc w:val="left"/>
                                <w:rPr>
                                  <w:color w:val="000000"/>
                                  <w:sz w:val="15"/>
                                </w:rPr>
                              </w:pPr>
                              <w:r>
                                <w:rPr>
                                  <w:color w:val="231F20"/>
                                  <w:sz w:val="15"/>
                                </w:rPr>
                                <w:t>Space-occupying</w:t>
                              </w:r>
                              <w:r>
                                <w:rPr>
                                  <w:color w:val="231F20"/>
                                  <w:spacing w:val="23"/>
                                  <w:sz w:val="15"/>
                                </w:rPr>
                                <w:t> </w:t>
                              </w:r>
                              <w:r>
                                <w:rPr>
                                  <w:color w:val="231F20"/>
                                  <w:spacing w:val="-2"/>
                                  <w:sz w:val="15"/>
                                </w:rPr>
                                <w:t>lesions</w:t>
                              </w:r>
                            </w:p>
                            <w:p>
                              <w:pPr>
                                <w:numPr>
                                  <w:ilvl w:val="0"/>
                                  <w:numId w:val="95"/>
                                </w:numPr>
                                <w:tabs>
                                  <w:tab w:pos="223" w:val="left" w:leader="none"/>
                                </w:tabs>
                                <w:spacing w:line="230" w:lineRule="auto" w:before="3"/>
                                <w:ind w:left="74" w:right="2821" w:firstLine="0"/>
                                <w:jc w:val="left"/>
                                <w:rPr>
                                  <w:color w:val="000000"/>
                                  <w:sz w:val="15"/>
                                </w:rPr>
                              </w:pPr>
                              <w:r>
                                <w:rPr>
                                  <w:color w:val="231F20"/>
                                  <w:spacing w:val="-2"/>
                                  <w:sz w:val="15"/>
                                </w:rPr>
                                <w:t>Acute</w:t>
                              </w:r>
                              <w:r>
                                <w:rPr>
                                  <w:color w:val="231F20"/>
                                  <w:spacing w:val="-10"/>
                                  <w:sz w:val="15"/>
                                </w:rPr>
                                <w:t> </w:t>
                              </w:r>
                              <w:r>
                                <w:rPr>
                                  <w:color w:val="231F20"/>
                                  <w:spacing w:val="-2"/>
                                  <w:sz w:val="15"/>
                                </w:rPr>
                                <w:t>transverse</w:t>
                              </w:r>
                              <w:r>
                                <w:rPr>
                                  <w:color w:val="231F20"/>
                                  <w:spacing w:val="-9"/>
                                  <w:sz w:val="15"/>
                                </w:rPr>
                                <w:t> </w:t>
                              </w:r>
                              <w:r>
                                <w:rPr>
                                  <w:color w:val="231F20"/>
                                  <w:spacing w:val="-2"/>
                                  <w:sz w:val="15"/>
                                </w:rPr>
                                <w:t>myelitis </w:t>
                              </w:r>
                              <w:r>
                                <w:rPr>
                                  <w:color w:val="231F20"/>
                                  <w:sz w:val="15"/>
                                </w:rPr>
                                <w:t>Peripheral neuropathy</w:t>
                              </w:r>
                            </w:p>
                            <w:p>
                              <w:pPr>
                                <w:numPr>
                                  <w:ilvl w:val="0"/>
                                  <w:numId w:val="95"/>
                                </w:numPr>
                                <w:tabs>
                                  <w:tab w:pos="223" w:val="left" w:leader="none"/>
                                </w:tabs>
                                <w:spacing w:line="167" w:lineRule="exact" w:before="0"/>
                                <w:ind w:left="223" w:right="0" w:hanging="149"/>
                                <w:jc w:val="left"/>
                                <w:rPr>
                                  <w:color w:val="000000"/>
                                  <w:sz w:val="15"/>
                                </w:rPr>
                              </w:pPr>
                              <w:r>
                                <w:rPr>
                                  <w:color w:val="231F20"/>
                                  <w:spacing w:val="-2"/>
                                  <w:sz w:val="15"/>
                                </w:rPr>
                                <w:t>Guillain-Barré</w:t>
                              </w:r>
                              <w:r>
                                <w:rPr>
                                  <w:color w:val="231F20"/>
                                  <w:spacing w:val="-9"/>
                                  <w:sz w:val="15"/>
                                </w:rPr>
                                <w:t> </w:t>
                              </w:r>
                              <w:r>
                                <w:rPr>
                                  <w:color w:val="231F20"/>
                                  <w:spacing w:val="-2"/>
                                  <w:sz w:val="15"/>
                                </w:rPr>
                                <w:t>syndrome</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Post–rabies</w:t>
                              </w:r>
                              <w:r>
                                <w:rPr>
                                  <w:color w:val="231F20"/>
                                  <w:spacing w:val="-2"/>
                                  <w:sz w:val="15"/>
                                </w:rPr>
                                <w:t> </w:t>
                              </w:r>
                              <w:r>
                                <w:rPr>
                                  <w:color w:val="231F20"/>
                                  <w:sz w:val="15"/>
                                </w:rPr>
                                <w:t>vaccine</w:t>
                              </w:r>
                              <w:r>
                                <w:rPr>
                                  <w:color w:val="231F20"/>
                                  <w:spacing w:val="-2"/>
                                  <w:sz w:val="15"/>
                                </w:rPr>
                                <w:t> neuropathy</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Diphtheritic</w:t>
                              </w:r>
                              <w:r>
                                <w:rPr>
                                  <w:color w:val="231F20"/>
                                  <w:sz w:val="15"/>
                                </w:rPr>
                                <w:t> </w:t>
                              </w:r>
                              <w:r>
                                <w:rPr>
                                  <w:color w:val="231F20"/>
                                  <w:spacing w:val="-2"/>
                                  <w:sz w:val="15"/>
                                </w:rPr>
                                <w:t>neuropathy</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Heavy</w:t>
                              </w:r>
                              <w:r>
                                <w:rPr>
                                  <w:color w:val="231F20"/>
                                  <w:spacing w:val="-5"/>
                                  <w:sz w:val="15"/>
                                </w:rPr>
                                <w:t> </w:t>
                              </w:r>
                              <w:r>
                                <w:rPr>
                                  <w:color w:val="231F20"/>
                                  <w:sz w:val="15"/>
                                </w:rPr>
                                <w:t>metals,</w:t>
                              </w:r>
                              <w:r>
                                <w:rPr>
                                  <w:color w:val="231F20"/>
                                  <w:spacing w:val="-5"/>
                                  <w:sz w:val="15"/>
                                </w:rPr>
                                <w:t> </w:t>
                              </w:r>
                              <w:r>
                                <w:rPr>
                                  <w:color w:val="231F20"/>
                                  <w:sz w:val="15"/>
                                </w:rPr>
                                <w:t>biologic</w:t>
                              </w:r>
                              <w:r>
                                <w:rPr>
                                  <w:color w:val="231F20"/>
                                  <w:spacing w:val="-4"/>
                                  <w:sz w:val="15"/>
                                </w:rPr>
                                <w:t> </w:t>
                              </w:r>
                              <w:r>
                                <w:rPr>
                                  <w:color w:val="231F20"/>
                                  <w:sz w:val="15"/>
                                </w:rPr>
                                <w:t>toxins,</w:t>
                              </w:r>
                              <w:r>
                                <w:rPr>
                                  <w:color w:val="231F20"/>
                                  <w:spacing w:val="-5"/>
                                  <w:sz w:val="15"/>
                                </w:rPr>
                                <w:t> </w:t>
                              </w:r>
                              <w:r>
                                <w:rPr>
                                  <w:color w:val="231F20"/>
                                  <w:sz w:val="15"/>
                                </w:rPr>
                                <w:t>or</w:t>
                              </w:r>
                              <w:r>
                                <w:rPr>
                                  <w:color w:val="231F20"/>
                                  <w:spacing w:val="-4"/>
                                  <w:sz w:val="15"/>
                                </w:rPr>
                                <w:t> </w:t>
                              </w:r>
                              <w:r>
                                <w:rPr>
                                  <w:color w:val="231F20"/>
                                  <w:sz w:val="15"/>
                                </w:rPr>
                                <w:t>drug</w:t>
                              </w:r>
                              <w:r>
                                <w:rPr>
                                  <w:color w:val="231F20"/>
                                  <w:spacing w:val="-5"/>
                                  <w:sz w:val="15"/>
                                </w:rPr>
                                <w:t> </w:t>
                              </w:r>
                              <w:r>
                                <w:rPr>
                                  <w:color w:val="231F20"/>
                                  <w:spacing w:val="-2"/>
                                  <w:sz w:val="15"/>
                                </w:rPr>
                                <w:t>intoxication</w:t>
                              </w:r>
                            </w:p>
                            <w:p>
                              <w:pPr>
                                <w:numPr>
                                  <w:ilvl w:val="0"/>
                                  <w:numId w:val="95"/>
                                </w:numPr>
                                <w:tabs>
                                  <w:tab w:pos="223" w:val="left" w:leader="none"/>
                                </w:tabs>
                                <w:spacing w:line="168" w:lineRule="exact" w:before="0"/>
                                <w:ind w:left="223" w:right="0" w:hanging="149"/>
                                <w:jc w:val="left"/>
                                <w:rPr>
                                  <w:color w:val="000000"/>
                                  <w:sz w:val="15"/>
                                </w:rPr>
                              </w:pPr>
                              <w:r>
                                <w:rPr>
                                  <w:color w:val="231F20"/>
                                  <w:spacing w:val="-4"/>
                                  <w:sz w:val="15"/>
                                </w:rPr>
                                <w:t>Acute</w:t>
                              </w:r>
                              <w:r>
                                <w:rPr>
                                  <w:color w:val="231F20"/>
                                  <w:spacing w:val="5"/>
                                  <w:sz w:val="15"/>
                                </w:rPr>
                                <w:t> </w:t>
                              </w:r>
                              <w:r>
                                <w:rPr>
                                  <w:color w:val="231F20"/>
                                  <w:spacing w:val="-4"/>
                                  <w:sz w:val="15"/>
                                </w:rPr>
                                <w:t>intermittent</w:t>
                              </w:r>
                              <w:r>
                                <w:rPr>
                                  <w:color w:val="231F20"/>
                                  <w:spacing w:val="6"/>
                                  <w:sz w:val="15"/>
                                </w:rPr>
                                <w:t> </w:t>
                              </w:r>
                              <w:r>
                                <w:rPr>
                                  <w:color w:val="231F20"/>
                                  <w:spacing w:val="-4"/>
                                  <w:sz w:val="15"/>
                                </w:rPr>
                                <w:t>porphyria</w:t>
                              </w:r>
                            </w:p>
                            <w:p>
                              <w:pPr>
                                <w:numPr>
                                  <w:ilvl w:val="0"/>
                                  <w:numId w:val="95"/>
                                </w:numPr>
                                <w:tabs>
                                  <w:tab w:pos="223" w:val="left" w:leader="none"/>
                                </w:tabs>
                                <w:spacing w:line="168" w:lineRule="exact" w:before="0"/>
                                <w:ind w:left="223" w:right="0" w:hanging="149"/>
                                <w:jc w:val="left"/>
                                <w:rPr>
                                  <w:color w:val="000000"/>
                                  <w:sz w:val="15"/>
                                </w:rPr>
                              </w:pPr>
                              <w:r>
                                <w:rPr>
                                  <w:color w:val="231F20"/>
                                  <w:spacing w:val="-4"/>
                                  <w:sz w:val="15"/>
                                </w:rPr>
                                <w:t>Vasculitic</w:t>
                              </w:r>
                              <w:r>
                                <w:rPr>
                                  <w:color w:val="231F20"/>
                                  <w:spacing w:val="2"/>
                                  <w:sz w:val="15"/>
                                </w:rPr>
                                <w:t> </w:t>
                              </w:r>
                              <w:r>
                                <w:rPr>
                                  <w:color w:val="231F20"/>
                                  <w:spacing w:val="-2"/>
                                  <w:sz w:val="15"/>
                                </w:rPr>
                                <w:t>neuropathy</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Critical</w:t>
                              </w:r>
                              <w:r>
                                <w:rPr>
                                  <w:color w:val="231F20"/>
                                  <w:spacing w:val="-8"/>
                                  <w:sz w:val="15"/>
                                </w:rPr>
                                <w:t> </w:t>
                              </w:r>
                              <w:r>
                                <w:rPr>
                                  <w:color w:val="231F20"/>
                                  <w:spacing w:val="-2"/>
                                  <w:sz w:val="15"/>
                                </w:rPr>
                                <w:t>illness</w:t>
                              </w:r>
                              <w:r>
                                <w:rPr>
                                  <w:color w:val="231F20"/>
                                  <w:spacing w:val="-7"/>
                                  <w:sz w:val="15"/>
                                </w:rPr>
                                <w:t> </w:t>
                              </w:r>
                              <w:r>
                                <w:rPr>
                                  <w:color w:val="231F20"/>
                                  <w:spacing w:val="-2"/>
                                  <w:sz w:val="15"/>
                                </w:rPr>
                                <w:t>neuropathy</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Lymphomatous</w:t>
                              </w:r>
                              <w:r>
                                <w:rPr>
                                  <w:color w:val="231F20"/>
                                  <w:spacing w:val="11"/>
                                  <w:sz w:val="15"/>
                                </w:rPr>
                                <w:t> </w:t>
                              </w:r>
                              <w:r>
                                <w:rPr>
                                  <w:color w:val="231F20"/>
                                  <w:spacing w:val="-2"/>
                                  <w:sz w:val="15"/>
                                </w:rPr>
                                <w:t>neuropathy</w:t>
                              </w:r>
                            </w:p>
                            <w:p>
                              <w:pPr>
                                <w:spacing w:line="168" w:lineRule="exact" w:before="0"/>
                                <w:ind w:left="74" w:right="0" w:firstLine="0"/>
                                <w:jc w:val="left"/>
                                <w:rPr>
                                  <w:color w:val="000000"/>
                                  <w:sz w:val="15"/>
                                </w:rPr>
                              </w:pPr>
                              <w:r>
                                <w:rPr>
                                  <w:color w:val="231F20"/>
                                  <w:sz w:val="15"/>
                                </w:rPr>
                                <w:t>Disorders</w:t>
                              </w:r>
                              <w:r>
                                <w:rPr>
                                  <w:color w:val="231F20"/>
                                  <w:spacing w:val="-3"/>
                                  <w:sz w:val="15"/>
                                </w:rPr>
                                <w:t> </w:t>
                              </w:r>
                              <w:r>
                                <w:rPr>
                                  <w:color w:val="231F20"/>
                                  <w:sz w:val="15"/>
                                </w:rPr>
                                <w:t>of</w:t>
                              </w:r>
                              <w:r>
                                <w:rPr>
                                  <w:color w:val="231F20"/>
                                  <w:spacing w:val="-3"/>
                                  <w:sz w:val="15"/>
                                </w:rPr>
                                <w:t> </w:t>
                              </w:r>
                              <w:r>
                                <w:rPr>
                                  <w:color w:val="231F20"/>
                                  <w:sz w:val="15"/>
                                </w:rPr>
                                <w:t>neuromuscular</w:t>
                              </w:r>
                              <w:r>
                                <w:rPr>
                                  <w:color w:val="231F20"/>
                                  <w:spacing w:val="-3"/>
                                  <w:sz w:val="15"/>
                                </w:rPr>
                                <w:t> </w:t>
                              </w:r>
                              <w:r>
                                <w:rPr>
                                  <w:color w:val="231F20"/>
                                  <w:spacing w:val="-2"/>
                                  <w:sz w:val="15"/>
                                </w:rPr>
                                <w:t>transmission</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Myasthenia</w:t>
                              </w:r>
                              <w:r>
                                <w:rPr>
                                  <w:color w:val="231F20"/>
                                  <w:spacing w:val="8"/>
                                  <w:sz w:val="15"/>
                                </w:rPr>
                                <w:t> </w:t>
                              </w:r>
                              <w:r>
                                <w:rPr>
                                  <w:color w:val="231F20"/>
                                  <w:spacing w:val="-2"/>
                                  <w:sz w:val="15"/>
                                </w:rPr>
                                <w:t>gravis</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Biologic</w:t>
                              </w:r>
                              <w:r>
                                <w:rPr>
                                  <w:color w:val="231F20"/>
                                  <w:spacing w:val="-5"/>
                                  <w:sz w:val="15"/>
                                </w:rPr>
                                <w:t> </w:t>
                              </w:r>
                              <w:r>
                                <w:rPr>
                                  <w:color w:val="231F20"/>
                                  <w:sz w:val="15"/>
                                </w:rPr>
                                <w:t>or</w:t>
                              </w:r>
                              <w:r>
                                <w:rPr>
                                  <w:color w:val="231F20"/>
                                  <w:spacing w:val="-5"/>
                                  <w:sz w:val="15"/>
                                </w:rPr>
                                <w:t> </w:t>
                              </w:r>
                              <w:r>
                                <w:rPr>
                                  <w:color w:val="231F20"/>
                                  <w:sz w:val="15"/>
                                </w:rPr>
                                <w:t>industrial</w:t>
                              </w:r>
                              <w:r>
                                <w:rPr>
                                  <w:color w:val="231F20"/>
                                  <w:spacing w:val="-5"/>
                                  <w:sz w:val="15"/>
                                </w:rPr>
                                <w:t> </w:t>
                              </w:r>
                              <w:r>
                                <w:rPr>
                                  <w:color w:val="231F20"/>
                                  <w:spacing w:val="-2"/>
                                  <w:sz w:val="15"/>
                                </w:rPr>
                                <w:t>toxins</w:t>
                              </w:r>
                            </w:p>
                            <w:p>
                              <w:pPr>
                                <w:numPr>
                                  <w:ilvl w:val="0"/>
                                  <w:numId w:val="95"/>
                                </w:numPr>
                                <w:tabs>
                                  <w:tab w:pos="223" w:val="left" w:leader="none"/>
                                </w:tabs>
                                <w:spacing w:line="230" w:lineRule="auto" w:before="2"/>
                                <w:ind w:left="74" w:right="3299" w:firstLine="0"/>
                                <w:jc w:val="left"/>
                                <w:rPr>
                                  <w:color w:val="000000"/>
                                  <w:sz w:val="15"/>
                                </w:rPr>
                              </w:pPr>
                              <w:r>
                                <w:rPr>
                                  <w:color w:val="231F20"/>
                                  <w:sz w:val="15"/>
                                </w:rPr>
                                <w:t>Tic paralysis Disorders</w:t>
                              </w:r>
                              <w:r>
                                <w:rPr>
                                  <w:color w:val="231F20"/>
                                  <w:spacing w:val="-12"/>
                                  <w:sz w:val="15"/>
                                </w:rPr>
                                <w:t> </w:t>
                              </w:r>
                              <w:r>
                                <w:rPr>
                                  <w:color w:val="231F20"/>
                                  <w:sz w:val="15"/>
                                </w:rPr>
                                <w:t>of</w:t>
                              </w:r>
                              <w:r>
                                <w:rPr>
                                  <w:color w:val="231F20"/>
                                  <w:spacing w:val="-11"/>
                                  <w:sz w:val="15"/>
                                </w:rPr>
                                <w:t> </w:t>
                              </w:r>
                              <w:r>
                                <w:rPr>
                                  <w:color w:val="231F20"/>
                                  <w:sz w:val="15"/>
                                </w:rPr>
                                <w:t>muscle</w:t>
                              </w:r>
                            </w:p>
                            <w:p>
                              <w:pPr>
                                <w:numPr>
                                  <w:ilvl w:val="0"/>
                                  <w:numId w:val="95"/>
                                </w:numPr>
                                <w:tabs>
                                  <w:tab w:pos="223" w:val="left" w:leader="none"/>
                                </w:tabs>
                                <w:spacing w:line="167" w:lineRule="exact" w:before="0"/>
                                <w:ind w:left="223" w:right="0" w:hanging="149"/>
                                <w:jc w:val="left"/>
                                <w:rPr>
                                  <w:color w:val="000000"/>
                                  <w:sz w:val="15"/>
                                </w:rPr>
                              </w:pPr>
                              <w:r>
                                <w:rPr>
                                  <w:color w:val="231F20"/>
                                  <w:spacing w:val="-2"/>
                                  <w:sz w:val="15"/>
                                </w:rPr>
                                <w:t>Hypokalemia</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Hypophosphatemia</w:t>
                              </w:r>
                            </w:p>
                            <w:p>
                              <w:pPr>
                                <w:numPr>
                                  <w:ilvl w:val="0"/>
                                  <w:numId w:val="95"/>
                                </w:numPr>
                                <w:tabs>
                                  <w:tab w:pos="223" w:val="left" w:leader="none"/>
                                </w:tabs>
                                <w:spacing w:line="168" w:lineRule="exact" w:before="0"/>
                                <w:ind w:left="223" w:right="0" w:hanging="149"/>
                                <w:jc w:val="left"/>
                                <w:rPr>
                                  <w:color w:val="000000"/>
                                  <w:sz w:val="15"/>
                                </w:rPr>
                              </w:pPr>
                              <w:r>
                                <w:rPr>
                                  <w:color w:val="231F20"/>
                                  <w:spacing w:val="-4"/>
                                  <w:sz w:val="15"/>
                                </w:rPr>
                                <w:t>Inflammatory</w:t>
                              </w:r>
                              <w:r>
                                <w:rPr>
                                  <w:color w:val="231F20"/>
                                  <w:spacing w:val="3"/>
                                  <w:sz w:val="15"/>
                                </w:rPr>
                                <w:t> </w:t>
                              </w:r>
                              <w:r>
                                <w:rPr>
                                  <w:color w:val="231F20"/>
                                  <w:spacing w:val="-2"/>
                                  <w:sz w:val="15"/>
                                </w:rPr>
                                <w:t>myopathy</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Acute</w:t>
                              </w:r>
                              <w:r>
                                <w:rPr>
                                  <w:color w:val="231F20"/>
                                  <w:spacing w:val="1"/>
                                  <w:sz w:val="15"/>
                                </w:rPr>
                                <w:t> </w:t>
                              </w:r>
                              <w:r>
                                <w:rPr>
                                  <w:color w:val="231F20"/>
                                  <w:spacing w:val="-2"/>
                                  <w:sz w:val="15"/>
                                </w:rPr>
                                <w:t>rhabdomyolysis</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Trichinosis</w:t>
                              </w:r>
                            </w:p>
                            <w:p>
                              <w:pPr>
                                <w:numPr>
                                  <w:ilvl w:val="0"/>
                                  <w:numId w:val="95"/>
                                </w:numPr>
                                <w:tabs>
                                  <w:tab w:pos="223" w:val="left" w:leader="none"/>
                                </w:tabs>
                                <w:spacing w:line="230" w:lineRule="auto" w:before="3"/>
                                <w:ind w:left="223" w:right="731" w:hanging="150"/>
                                <w:jc w:val="left"/>
                                <w:rPr>
                                  <w:color w:val="000000"/>
                                  <w:sz w:val="15"/>
                                </w:rPr>
                              </w:pPr>
                              <w:r>
                                <w:rPr>
                                  <w:color w:val="231F20"/>
                                  <w:spacing w:val="-2"/>
                                  <w:sz w:val="15"/>
                                </w:rPr>
                                <w:t>Familial</w:t>
                              </w:r>
                              <w:r>
                                <w:rPr>
                                  <w:color w:val="231F20"/>
                                  <w:spacing w:val="-8"/>
                                  <w:sz w:val="15"/>
                                </w:rPr>
                                <w:t> </w:t>
                              </w:r>
                              <w:r>
                                <w:rPr>
                                  <w:color w:val="231F20"/>
                                  <w:spacing w:val="-2"/>
                                  <w:sz w:val="15"/>
                                </w:rPr>
                                <w:t>periodic</w:t>
                              </w:r>
                              <w:r>
                                <w:rPr>
                                  <w:color w:val="231F20"/>
                                  <w:spacing w:val="-8"/>
                                  <w:sz w:val="15"/>
                                </w:rPr>
                                <w:t> </w:t>
                              </w:r>
                              <w:r>
                                <w:rPr>
                                  <w:color w:val="231F20"/>
                                  <w:spacing w:val="-2"/>
                                  <w:sz w:val="15"/>
                                </w:rPr>
                                <w:t>paralyses</w:t>
                              </w:r>
                              <w:r>
                                <w:rPr>
                                  <w:color w:val="231F20"/>
                                  <w:spacing w:val="-8"/>
                                  <w:sz w:val="15"/>
                                </w:rPr>
                                <w:t> </w:t>
                              </w:r>
                              <w:r>
                                <w:rPr>
                                  <w:color w:val="231F20"/>
                                  <w:spacing w:val="-2"/>
                                  <w:sz w:val="15"/>
                                </w:rPr>
                                <w:t>(normokalemic,</w:t>
                              </w:r>
                              <w:r>
                                <w:rPr>
                                  <w:color w:val="231F20"/>
                                  <w:spacing w:val="-8"/>
                                  <w:sz w:val="15"/>
                                </w:rPr>
                                <w:t> </w:t>
                              </w:r>
                              <w:r>
                                <w:rPr>
                                  <w:color w:val="231F20"/>
                                  <w:spacing w:val="-2"/>
                                  <w:sz w:val="15"/>
                                </w:rPr>
                                <w:t>hypokalemic, hyperkalemic)</w:t>
                              </w:r>
                            </w:p>
                          </w:txbxContent>
                        </wps:txbx>
                        <wps:bodyPr wrap="square" lIns="0" tIns="0" rIns="0" bIns="0" rtlCol="0">
                          <a:noAutofit/>
                        </wps:bodyPr>
                      </wps:wsp>
                      <wps:wsp>
                        <wps:cNvPr id="984" name="Graphic 984"/>
                        <wps:cNvSpPr/>
                        <wps:spPr>
                          <a:xfrm>
                            <a:off x="0" y="3502384"/>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985" name="Textbox 985"/>
                        <wps:cNvSpPr txBox="1"/>
                        <wps:spPr>
                          <a:xfrm>
                            <a:off x="734667" y="0"/>
                            <a:ext cx="2251710" cy="355600"/>
                          </a:xfrm>
                          <a:prstGeom prst="rect">
                            <a:avLst/>
                          </a:prstGeom>
                          <a:solidFill>
                            <a:srgbClr val="231F20"/>
                          </a:solidFill>
                        </wps:spPr>
                        <wps:txbx>
                          <w:txbxContent>
                            <w:p>
                              <w:pPr>
                                <w:spacing w:before="89"/>
                                <w:ind w:left="74" w:right="0" w:firstLine="0"/>
                                <w:jc w:val="left"/>
                                <w:rPr>
                                  <w:color w:val="000000"/>
                                  <w:sz w:val="16"/>
                                </w:rPr>
                              </w:pPr>
                              <w:r>
                                <w:rPr>
                                  <w:color w:val="FFFFFF"/>
                                  <w:w w:val="105"/>
                                  <w:sz w:val="16"/>
                                </w:rPr>
                                <w:t>Differential Diagnosis of Acute </w:t>
                              </w:r>
                              <w:r>
                                <w:rPr>
                                  <w:color w:val="FFFFFF"/>
                                  <w:w w:val="105"/>
                                  <w:sz w:val="16"/>
                                </w:rPr>
                                <w:t>Flaccid </w:t>
                              </w:r>
                              <w:r>
                                <w:rPr>
                                  <w:color w:val="FFFFFF"/>
                                  <w:spacing w:val="-2"/>
                                  <w:w w:val="105"/>
                                  <w:sz w:val="16"/>
                                </w:rPr>
                                <w:t>Paralysis</w:t>
                              </w:r>
                            </w:p>
                          </w:txbxContent>
                        </wps:txbx>
                        <wps:bodyPr wrap="square" lIns="0" tIns="0" rIns="0" bIns="0" rtlCol="0">
                          <a:noAutofit/>
                        </wps:bodyPr>
                      </wps:wsp>
                      <wps:wsp>
                        <wps:cNvPr id="986" name="Textbox 986"/>
                        <wps:cNvSpPr txBox="1"/>
                        <wps:spPr>
                          <a:xfrm>
                            <a:off x="11" y="0"/>
                            <a:ext cx="723265" cy="35560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607-</w:t>
                              </w:r>
                              <w:r>
                                <w:rPr>
                                  <w:b/>
                                  <w:color w:val="FFFFFF"/>
                                  <w:spacing w:val="-10"/>
                                  <w:w w:val="105"/>
                                  <w:sz w:val="16"/>
                                </w:rPr>
                                <w:t>4</w:t>
                              </w:r>
                            </w:p>
                          </w:txbxContent>
                        </wps:txbx>
                        <wps:bodyPr wrap="square" lIns="0" tIns="0" rIns="0" bIns="0" rtlCol="0">
                          <a:noAutofit/>
                        </wps:bodyPr>
                      </wps:wsp>
                    </wpg:wgp>
                  </a:graphicData>
                </a:graphic>
              </wp:anchor>
            </w:drawing>
          </mc:Choice>
          <mc:Fallback>
            <w:pict>
              <v:group style="position:absolute;margin-left:64.744629pt;margin-top:549.996704pt;width:235.15pt;height:276.75pt;mso-position-horizontal-relative:page;mso-position-vertical-relative:page;z-index:15794176" id="docshapegroup796" coordorigin="1295,11000" coordsize="4703,5535">
                <v:shape style="position:absolute;left:1294;top:11559;width:4703;height:4966" type="#_x0000_t202" id="docshape797" filled="true" fillcolor="#e8f5f1" stroked="false">
                  <v:textbox inset="0,0,0,0">
                    <w:txbxContent>
                      <w:p>
                        <w:pPr>
                          <w:spacing w:line="230" w:lineRule="auto" w:before="53"/>
                          <w:ind w:left="74" w:right="2993" w:firstLine="0"/>
                          <w:jc w:val="left"/>
                          <w:rPr>
                            <w:color w:val="000000"/>
                            <w:sz w:val="15"/>
                          </w:rPr>
                        </w:pPr>
                        <w:r>
                          <w:rPr>
                            <w:color w:val="231F20"/>
                            <w:sz w:val="15"/>
                          </w:rPr>
                          <w:t>Brainstem stroke </w:t>
                        </w:r>
                        <w:r>
                          <w:rPr>
                            <w:color w:val="231F20"/>
                            <w:spacing w:val="-2"/>
                            <w:sz w:val="15"/>
                          </w:rPr>
                          <w:t>Brainstem</w:t>
                        </w:r>
                        <w:r>
                          <w:rPr>
                            <w:color w:val="231F20"/>
                            <w:spacing w:val="-10"/>
                            <w:sz w:val="15"/>
                          </w:rPr>
                          <w:t> </w:t>
                        </w:r>
                        <w:r>
                          <w:rPr>
                            <w:color w:val="231F20"/>
                            <w:spacing w:val="-2"/>
                            <w:sz w:val="15"/>
                          </w:rPr>
                          <w:t>encephalitis</w:t>
                        </w:r>
                      </w:p>
                      <w:p>
                        <w:pPr>
                          <w:spacing w:line="167" w:lineRule="exact" w:before="0"/>
                          <w:ind w:left="74" w:right="0" w:firstLine="0"/>
                          <w:jc w:val="left"/>
                          <w:rPr>
                            <w:color w:val="000000"/>
                            <w:sz w:val="15"/>
                          </w:rPr>
                        </w:pPr>
                        <w:r>
                          <w:rPr>
                            <w:color w:val="231F20"/>
                            <w:spacing w:val="-2"/>
                            <w:sz w:val="15"/>
                          </w:rPr>
                          <w:t>Acute</w:t>
                        </w:r>
                        <w:r>
                          <w:rPr>
                            <w:color w:val="231F20"/>
                            <w:sz w:val="15"/>
                          </w:rPr>
                          <w:t> </w:t>
                        </w:r>
                        <w:r>
                          <w:rPr>
                            <w:color w:val="231F20"/>
                            <w:spacing w:val="-2"/>
                            <w:sz w:val="15"/>
                          </w:rPr>
                          <w:t>anterior</w:t>
                        </w:r>
                        <w:r>
                          <w:rPr>
                            <w:color w:val="231F20"/>
                            <w:sz w:val="15"/>
                          </w:rPr>
                          <w:t> </w:t>
                        </w:r>
                        <w:r>
                          <w:rPr>
                            <w:color w:val="231F20"/>
                            <w:spacing w:val="-2"/>
                            <w:sz w:val="15"/>
                          </w:rPr>
                          <w:t>poliomyelitis</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Caused</w:t>
                        </w:r>
                        <w:r>
                          <w:rPr>
                            <w:color w:val="231F20"/>
                            <w:spacing w:val="13"/>
                            <w:sz w:val="15"/>
                          </w:rPr>
                          <w:t> </w:t>
                        </w:r>
                        <w:r>
                          <w:rPr>
                            <w:color w:val="231F20"/>
                            <w:sz w:val="15"/>
                          </w:rPr>
                          <w:t>by</w:t>
                        </w:r>
                        <w:r>
                          <w:rPr>
                            <w:color w:val="231F20"/>
                            <w:spacing w:val="14"/>
                            <w:sz w:val="15"/>
                          </w:rPr>
                          <w:t> </w:t>
                        </w:r>
                        <w:r>
                          <w:rPr>
                            <w:color w:val="231F20"/>
                            <w:spacing w:val="-2"/>
                            <w:sz w:val="15"/>
                          </w:rPr>
                          <w:t>poliovirus</w:t>
                        </w:r>
                      </w:p>
                      <w:p>
                        <w:pPr>
                          <w:numPr>
                            <w:ilvl w:val="0"/>
                            <w:numId w:val="95"/>
                          </w:numPr>
                          <w:tabs>
                            <w:tab w:pos="223" w:val="left" w:leader="none"/>
                          </w:tabs>
                          <w:spacing w:line="230" w:lineRule="auto" w:before="2"/>
                          <w:ind w:left="74" w:right="2050" w:firstLine="0"/>
                          <w:jc w:val="left"/>
                          <w:rPr>
                            <w:color w:val="000000"/>
                            <w:sz w:val="15"/>
                          </w:rPr>
                        </w:pPr>
                        <w:r>
                          <w:rPr>
                            <w:color w:val="231F20"/>
                            <w:sz w:val="15"/>
                          </w:rPr>
                          <w:t>Caused</w:t>
                        </w:r>
                        <w:r>
                          <w:rPr>
                            <w:color w:val="231F20"/>
                            <w:spacing w:val="-8"/>
                            <w:sz w:val="15"/>
                          </w:rPr>
                          <w:t> </w:t>
                        </w:r>
                        <w:r>
                          <w:rPr>
                            <w:color w:val="231F20"/>
                            <w:sz w:val="15"/>
                          </w:rPr>
                          <w:t>by</w:t>
                        </w:r>
                        <w:r>
                          <w:rPr>
                            <w:color w:val="231F20"/>
                            <w:spacing w:val="-8"/>
                            <w:sz w:val="15"/>
                          </w:rPr>
                          <w:t> </w:t>
                        </w:r>
                        <w:r>
                          <w:rPr>
                            <w:color w:val="231F20"/>
                            <w:sz w:val="15"/>
                          </w:rPr>
                          <w:t>other</w:t>
                        </w:r>
                        <w:r>
                          <w:rPr>
                            <w:color w:val="231F20"/>
                            <w:spacing w:val="-8"/>
                            <w:sz w:val="15"/>
                          </w:rPr>
                          <w:t> </w:t>
                        </w:r>
                        <w:r>
                          <w:rPr>
                            <w:color w:val="231F20"/>
                            <w:sz w:val="15"/>
                          </w:rPr>
                          <w:t>neurotropic</w:t>
                        </w:r>
                        <w:r>
                          <w:rPr>
                            <w:color w:val="231F20"/>
                            <w:spacing w:val="-8"/>
                            <w:sz w:val="15"/>
                          </w:rPr>
                          <w:t> </w:t>
                        </w:r>
                        <w:r>
                          <w:rPr>
                            <w:color w:val="231F20"/>
                            <w:sz w:val="15"/>
                          </w:rPr>
                          <w:t>viruses Acute myelopathy</w:t>
                        </w:r>
                      </w:p>
                      <w:p>
                        <w:pPr>
                          <w:numPr>
                            <w:ilvl w:val="0"/>
                            <w:numId w:val="95"/>
                          </w:numPr>
                          <w:tabs>
                            <w:tab w:pos="223" w:val="left" w:leader="none"/>
                          </w:tabs>
                          <w:spacing w:line="167" w:lineRule="exact" w:before="0"/>
                          <w:ind w:left="223" w:right="0" w:hanging="149"/>
                          <w:jc w:val="left"/>
                          <w:rPr>
                            <w:color w:val="000000"/>
                            <w:sz w:val="15"/>
                          </w:rPr>
                        </w:pPr>
                        <w:r>
                          <w:rPr>
                            <w:color w:val="231F20"/>
                            <w:sz w:val="15"/>
                          </w:rPr>
                          <w:t>Space-occupying</w:t>
                        </w:r>
                        <w:r>
                          <w:rPr>
                            <w:color w:val="231F20"/>
                            <w:spacing w:val="23"/>
                            <w:sz w:val="15"/>
                          </w:rPr>
                          <w:t> </w:t>
                        </w:r>
                        <w:r>
                          <w:rPr>
                            <w:color w:val="231F20"/>
                            <w:spacing w:val="-2"/>
                            <w:sz w:val="15"/>
                          </w:rPr>
                          <w:t>lesions</w:t>
                        </w:r>
                      </w:p>
                      <w:p>
                        <w:pPr>
                          <w:numPr>
                            <w:ilvl w:val="0"/>
                            <w:numId w:val="95"/>
                          </w:numPr>
                          <w:tabs>
                            <w:tab w:pos="223" w:val="left" w:leader="none"/>
                          </w:tabs>
                          <w:spacing w:line="230" w:lineRule="auto" w:before="3"/>
                          <w:ind w:left="74" w:right="2821" w:firstLine="0"/>
                          <w:jc w:val="left"/>
                          <w:rPr>
                            <w:color w:val="000000"/>
                            <w:sz w:val="15"/>
                          </w:rPr>
                        </w:pPr>
                        <w:r>
                          <w:rPr>
                            <w:color w:val="231F20"/>
                            <w:spacing w:val="-2"/>
                            <w:sz w:val="15"/>
                          </w:rPr>
                          <w:t>Acute</w:t>
                        </w:r>
                        <w:r>
                          <w:rPr>
                            <w:color w:val="231F20"/>
                            <w:spacing w:val="-10"/>
                            <w:sz w:val="15"/>
                          </w:rPr>
                          <w:t> </w:t>
                        </w:r>
                        <w:r>
                          <w:rPr>
                            <w:color w:val="231F20"/>
                            <w:spacing w:val="-2"/>
                            <w:sz w:val="15"/>
                          </w:rPr>
                          <w:t>transverse</w:t>
                        </w:r>
                        <w:r>
                          <w:rPr>
                            <w:color w:val="231F20"/>
                            <w:spacing w:val="-9"/>
                            <w:sz w:val="15"/>
                          </w:rPr>
                          <w:t> </w:t>
                        </w:r>
                        <w:r>
                          <w:rPr>
                            <w:color w:val="231F20"/>
                            <w:spacing w:val="-2"/>
                            <w:sz w:val="15"/>
                          </w:rPr>
                          <w:t>myelitis </w:t>
                        </w:r>
                        <w:r>
                          <w:rPr>
                            <w:color w:val="231F20"/>
                            <w:sz w:val="15"/>
                          </w:rPr>
                          <w:t>Peripheral neuropathy</w:t>
                        </w:r>
                      </w:p>
                      <w:p>
                        <w:pPr>
                          <w:numPr>
                            <w:ilvl w:val="0"/>
                            <w:numId w:val="95"/>
                          </w:numPr>
                          <w:tabs>
                            <w:tab w:pos="223" w:val="left" w:leader="none"/>
                          </w:tabs>
                          <w:spacing w:line="167" w:lineRule="exact" w:before="0"/>
                          <w:ind w:left="223" w:right="0" w:hanging="149"/>
                          <w:jc w:val="left"/>
                          <w:rPr>
                            <w:color w:val="000000"/>
                            <w:sz w:val="15"/>
                          </w:rPr>
                        </w:pPr>
                        <w:r>
                          <w:rPr>
                            <w:color w:val="231F20"/>
                            <w:spacing w:val="-2"/>
                            <w:sz w:val="15"/>
                          </w:rPr>
                          <w:t>Guillain-Barré</w:t>
                        </w:r>
                        <w:r>
                          <w:rPr>
                            <w:color w:val="231F20"/>
                            <w:spacing w:val="-9"/>
                            <w:sz w:val="15"/>
                          </w:rPr>
                          <w:t> </w:t>
                        </w:r>
                        <w:r>
                          <w:rPr>
                            <w:color w:val="231F20"/>
                            <w:spacing w:val="-2"/>
                            <w:sz w:val="15"/>
                          </w:rPr>
                          <w:t>syndrome</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Post–rabies</w:t>
                        </w:r>
                        <w:r>
                          <w:rPr>
                            <w:color w:val="231F20"/>
                            <w:spacing w:val="-2"/>
                            <w:sz w:val="15"/>
                          </w:rPr>
                          <w:t> </w:t>
                        </w:r>
                        <w:r>
                          <w:rPr>
                            <w:color w:val="231F20"/>
                            <w:sz w:val="15"/>
                          </w:rPr>
                          <w:t>vaccine</w:t>
                        </w:r>
                        <w:r>
                          <w:rPr>
                            <w:color w:val="231F20"/>
                            <w:spacing w:val="-2"/>
                            <w:sz w:val="15"/>
                          </w:rPr>
                          <w:t> neuropathy</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Diphtheritic</w:t>
                        </w:r>
                        <w:r>
                          <w:rPr>
                            <w:color w:val="231F20"/>
                            <w:sz w:val="15"/>
                          </w:rPr>
                          <w:t> </w:t>
                        </w:r>
                        <w:r>
                          <w:rPr>
                            <w:color w:val="231F20"/>
                            <w:spacing w:val="-2"/>
                            <w:sz w:val="15"/>
                          </w:rPr>
                          <w:t>neuropathy</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Heavy</w:t>
                        </w:r>
                        <w:r>
                          <w:rPr>
                            <w:color w:val="231F20"/>
                            <w:spacing w:val="-5"/>
                            <w:sz w:val="15"/>
                          </w:rPr>
                          <w:t> </w:t>
                        </w:r>
                        <w:r>
                          <w:rPr>
                            <w:color w:val="231F20"/>
                            <w:sz w:val="15"/>
                          </w:rPr>
                          <w:t>metals,</w:t>
                        </w:r>
                        <w:r>
                          <w:rPr>
                            <w:color w:val="231F20"/>
                            <w:spacing w:val="-5"/>
                            <w:sz w:val="15"/>
                          </w:rPr>
                          <w:t> </w:t>
                        </w:r>
                        <w:r>
                          <w:rPr>
                            <w:color w:val="231F20"/>
                            <w:sz w:val="15"/>
                          </w:rPr>
                          <w:t>biologic</w:t>
                        </w:r>
                        <w:r>
                          <w:rPr>
                            <w:color w:val="231F20"/>
                            <w:spacing w:val="-4"/>
                            <w:sz w:val="15"/>
                          </w:rPr>
                          <w:t> </w:t>
                        </w:r>
                        <w:r>
                          <w:rPr>
                            <w:color w:val="231F20"/>
                            <w:sz w:val="15"/>
                          </w:rPr>
                          <w:t>toxins,</w:t>
                        </w:r>
                        <w:r>
                          <w:rPr>
                            <w:color w:val="231F20"/>
                            <w:spacing w:val="-5"/>
                            <w:sz w:val="15"/>
                          </w:rPr>
                          <w:t> </w:t>
                        </w:r>
                        <w:r>
                          <w:rPr>
                            <w:color w:val="231F20"/>
                            <w:sz w:val="15"/>
                          </w:rPr>
                          <w:t>or</w:t>
                        </w:r>
                        <w:r>
                          <w:rPr>
                            <w:color w:val="231F20"/>
                            <w:spacing w:val="-4"/>
                            <w:sz w:val="15"/>
                          </w:rPr>
                          <w:t> </w:t>
                        </w:r>
                        <w:r>
                          <w:rPr>
                            <w:color w:val="231F20"/>
                            <w:sz w:val="15"/>
                          </w:rPr>
                          <w:t>drug</w:t>
                        </w:r>
                        <w:r>
                          <w:rPr>
                            <w:color w:val="231F20"/>
                            <w:spacing w:val="-5"/>
                            <w:sz w:val="15"/>
                          </w:rPr>
                          <w:t> </w:t>
                        </w:r>
                        <w:r>
                          <w:rPr>
                            <w:color w:val="231F20"/>
                            <w:spacing w:val="-2"/>
                            <w:sz w:val="15"/>
                          </w:rPr>
                          <w:t>intoxication</w:t>
                        </w:r>
                      </w:p>
                      <w:p>
                        <w:pPr>
                          <w:numPr>
                            <w:ilvl w:val="0"/>
                            <w:numId w:val="95"/>
                          </w:numPr>
                          <w:tabs>
                            <w:tab w:pos="223" w:val="left" w:leader="none"/>
                          </w:tabs>
                          <w:spacing w:line="168" w:lineRule="exact" w:before="0"/>
                          <w:ind w:left="223" w:right="0" w:hanging="149"/>
                          <w:jc w:val="left"/>
                          <w:rPr>
                            <w:color w:val="000000"/>
                            <w:sz w:val="15"/>
                          </w:rPr>
                        </w:pPr>
                        <w:r>
                          <w:rPr>
                            <w:color w:val="231F20"/>
                            <w:spacing w:val="-4"/>
                            <w:sz w:val="15"/>
                          </w:rPr>
                          <w:t>Acute</w:t>
                        </w:r>
                        <w:r>
                          <w:rPr>
                            <w:color w:val="231F20"/>
                            <w:spacing w:val="5"/>
                            <w:sz w:val="15"/>
                          </w:rPr>
                          <w:t> </w:t>
                        </w:r>
                        <w:r>
                          <w:rPr>
                            <w:color w:val="231F20"/>
                            <w:spacing w:val="-4"/>
                            <w:sz w:val="15"/>
                          </w:rPr>
                          <w:t>intermittent</w:t>
                        </w:r>
                        <w:r>
                          <w:rPr>
                            <w:color w:val="231F20"/>
                            <w:spacing w:val="6"/>
                            <w:sz w:val="15"/>
                          </w:rPr>
                          <w:t> </w:t>
                        </w:r>
                        <w:r>
                          <w:rPr>
                            <w:color w:val="231F20"/>
                            <w:spacing w:val="-4"/>
                            <w:sz w:val="15"/>
                          </w:rPr>
                          <w:t>porphyria</w:t>
                        </w:r>
                      </w:p>
                      <w:p>
                        <w:pPr>
                          <w:numPr>
                            <w:ilvl w:val="0"/>
                            <w:numId w:val="95"/>
                          </w:numPr>
                          <w:tabs>
                            <w:tab w:pos="223" w:val="left" w:leader="none"/>
                          </w:tabs>
                          <w:spacing w:line="168" w:lineRule="exact" w:before="0"/>
                          <w:ind w:left="223" w:right="0" w:hanging="149"/>
                          <w:jc w:val="left"/>
                          <w:rPr>
                            <w:color w:val="000000"/>
                            <w:sz w:val="15"/>
                          </w:rPr>
                        </w:pPr>
                        <w:r>
                          <w:rPr>
                            <w:color w:val="231F20"/>
                            <w:spacing w:val="-4"/>
                            <w:sz w:val="15"/>
                          </w:rPr>
                          <w:t>Vasculitic</w:t>
                        </w:r>
                        <w:r>
                          <w:rPr>
                            <w:color w:val="231F20"/>
                            <w:spacing w:val="2"/>
                            <w:sz w:val="15"/>
                          </w:rPr>
                          <w:t> </w:t>
                        </w:r>
                        <w:r>
                          <w:rPr>
                            <w:color w:val="231F20"/>
                            <w:spacing w:val="-2"/>
                            <w:sz w:val="15"/>
                          </w:rPr>
                          <w:t>neuropathy</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Critical</w:t>
                        </w:r>
                        <w:r>
                          <w:rPr>
                            <w:color w:val="231F20"/>
                            <w:spacing w:val="-8"/>
                            <w:sz w:val="15"/>
                          </w:rPr>
                          <w:t> </w:t>
                        </w:r>
                        <w:r>
                          <w:rPr>
                            <w:color w:val="231F20"/>
                            <w:spacing w:val="-2"/>
                            <w:sz w:val="15"/>
                          </w:rPr>
                          <w:t>illness</w:t>
                        </w:r>
                        <w:r>
                          <w:rPr>
                            <w:color w:val="231F20"/>
                            <w:spacing w:val="-7"/>
                            <w:sz w:val="15"/>
                          </w:rPr>
                          <w:t> </w:t>
                        </w:r>
                        <w:r>
                          <w:rPr>
                            <w:color w:val="231F20"/>
                            <w:spacing w:val="-2"/>
                            <w:sz w:val="15"/>
                          </w:rPr>
                          <w:t>neuropathy</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Lymphomatous</w:t>
                        </w:r>
                        <w:r>
                          <w:rPr>
                            <w:color w:val="231F20"/>
                            <w:spacing w:val="11"/>
                            <w:sz w:val="15"/>
                          </w:rPr>
                          <w:t> </w:t>
                        </w:r>
                        <w:r>
                          <w:rPr>
                            <w:color w:val="231F20"/>
                            <w:spacing w:val="-2"/>
                            <w:sz w:val="15"/>
                          </w:rPr>
                          <w:t>neuropathy</w:t>
                        </w:r>
                      </w:p>
                      <w:p>
                        <w:pPr>
                          <w:spacing w:line="168" w:lineRule="exact" w:before="0"/>
                          <w:ind w:left="74" w:right="0" w:firstLine="0"/>
                          <w:jc w:val="left"/>
                          <w:rPr>
                            <w:color w:val="000000"/>
                            <w:sz w:val="15"/>
                          </w:rPr>
                        </w:pPr>
                        <w:r>
                          <w:rPr>
                            <w:color w:val="231F20"/>
                            <w:sz w:val="15"/>
                          </w:rPr>
                          <w:t>Disorders</w:t>
                        </w:r>
                        <w:r>
                          <w:rPr>
                            <w:color w:val="231F20"/>
                            <w:spacing w:val="-3"/>
                            <w:sz w:val="15"/>
                          </w:rPr>
                          <w:t> </w:t>
                        </w:r>
                        <w:r>
                          <w:rPr>
                            <w:color w:val="231F20"/>
                            <w:sz w:val="15"/>
                          </w:rPr>
                          <w:t>of</w:t>
                        </w:r>
                        <w:r>
                          <w:rPr>
                            <w:color w:val="231F20"/>
                            <w:spacing w:val="-3"/>
                            <w:sz w:val="15"/>
                          </w:rPr>
                          <w:t> </w:t>
                        </w:r>
                        <w:r>
                          <w:rPr>
                            <w:color w:val="231F20"/>
                            <w:sz w:val="15"/>
                          </w:rPr>
                          <w:t>neuromuscular</w:t>
                        </w:r>
                        <w:r>
                          <w:rPr>
                            <w:color w:val="231F20"/>
                            <w:spacing w:val="-3"/>
                            <w:sz w:val="15"/>
                          </w:rPr>
                          <w:t> </w:t>
                        </w:r>
                        <w:r>
                          <w:rPr>
                            <w:color w:val="231F20"/>
                            <w:spacing w:val="-2"/>
                            <w:sz w:val="15"/>
                          </w:rPr>
                          <w:t>transmission</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Myasthenia</w:t>
                        </w:r>
                        <w:r>
                          <w:rPr>
                            <w:color w:val="231F20"/>
                            <w:spacing w:val="8"/>
                            <w:sz w:val="15"/>
                          </w:rPr>
                          <w:t> </w:t>
                        </w:r>
                        <w:r>
                          <w:rPr>
                            <w:color w:val="231F20"/>
                            <w:spacing w:val="-2"/>
                            <w:sz w:val="15"/>
                          </w:rPr>
                          <w:t>gravis</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Biologic</w:t>
                        </w:r>
                        <w:r>
                          <w:rPr>
                            <w:color w:val="231F20"/>
                            <w:spacing w:val="-5"/>
                            <w:sz w:val="15"/>
                          </w:rPr>
                          <w:t> </w:t>
                        </w:r>
                        <w:r>
                          <w:rPr>
                            <w:color w:val="231F20"/>
                            <w:sz w:val="15"/>
                          </w:rPr>
                          <w:t>or</w:t>
                        </w:r>
                        <w:r>
                          <w:rPr>
                            <w:color w:val="231F20"/>
                            <w:spacing w:val="-5"/>
                            <w:sz w:val="15"/>
                          </w:rPr>
                          <w:t> </w:t>
                        </w:r>
                        <w:r>
                          <w:rPr>
                            <w:color w:val="231F20"/>
                            <w:sz w:val="15"/>
                          </w:rPr>
                          <w:t>industrial</w:t>
                        </w:r>
                        <w:r>
                          <w:rPr>
                            <w:color w:val="231F20"/>
                            <w:spacing w:val="-5"/>
                            <w:sz w:val="15"/>
                          </w:rPr>
                          <w:t> </w:t>
                        </w:r>
                        <w:r>
                          <w:rPr>
                            <w:color w:val="231F20"/>
                            <w:spacing w:val="-2"/>
                            <w:sz w:val="15"/>
                          </w:rPr>
                          <w:t>toxins</w:t>
                        </w:r>
                      </w:p>
                      <w:p>
                        <w:pPr>
                          <w:numPr>
                            <w:ilvl w:val="0"/>
                            <w:numId w:val="95"/>
                          </w:numPr>
                          <w:tabs>
                            <w:tab w:pos="223" w:val="left" w:leader="none"/>
                          </w:tabs>
                          <w:spacing w:line="230" w:lineRule="auto" w:before="2"/>
                          <w:ind w:left="74" w:right="3299" w:firstLine="0"/>
                          <w:jc w:val="left"/>
                          <w:rPr>
                            <w:color w:val="000000"/>
                            <w:sz w:val="15"/>
                          </w:rPr>
                        </w:pPr>
                        <w:r>
                          <w:rPr>
                            <w:color w:val="231F20"/>
                            <w:sz w:val="15"/>
                          </w:rPr>
                          <w:t>Tic paralysis Disorders</w:t>
                        </w:r>
                        <w:r>
                          <w:rPr>
                            <w:color w:val="231F20"/>
                            <w:spacing w:val="-12"/>
                            <w:sz w:val="15"/>
                          </w:rPr>
                          <w:t> </w:t>
                        </w:r>
                        <w:r>
                          <w:rPr>
                            <w:color w:val="231F20"/>
                            <w:sz w:val="15"/>
                          </w:rPr>
                          <w:t>of</w:t>
                        </w:r>
                        <w:r>
                          <w:rPr>
                            <w:color w:val="231F20"/>
                            <w:spacing w:val="-11"/>
                            <w:sz w:val="15"/>
                          </w:rPr>
                          <w:t> </w:t>
                        </w:r>
                        <w:r>
                          <w:rPr>
                            <w:color w:val="231F20"/>
                            <w:sz w:val="15"/>
                          </w:rPr>
                          <w:t>muscle</w:t>
                        </w:r>
                      </w:p>
                      <w:p>
                        <w:pPr>
                          <w:numPr>
                            <w:ilvl w:val="0"/>
                            <w:numId w:val="95"/>
                          </w:numPr>
                          <w:tabs>
                            <w:tab w:pos="223" w:val="left" w:leader="none"/>
                          </w:tabs>
                          <w:spacing w:line="167" w:lineRule="exact" w:before="0"/>
                          <w:ind w:left="223" w:right="0" w:hanging="149"/>
                          <w:jc w:val="left"/>
                          <w:rPr>
                            <w:color w:val="000000"/>
                            <w:sz w:val="15"/>
                          </w:rPr>
                        </w:pPr>
                        <w:r>
                          <w:rPr>
                            <w:color w:val="231F20"/>
                            <w:spacing w:val="-2"/>
                            <w:sz w:val="15"/>
                          </w:rPr>
                          <w:t>Hypokalemia</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Hypophosphatemia</w:t>
                        </w:r>
                      </w:p>
                      <w:p>
                        <w:pPr>
                          <w:numPr>
                            <w:ilvl w:val="0"/>
                            <w:numId w:val="95"/>
                          </w:numPr>
                          <w:tabs>
                            <w:tab w:pos="223" w:val="left" w:leader="none"/>
                          </w:tabs>
                          <w:spacing w:line="168" w:lineRule="exact" w:before="0"/>
                          <w:ind w:left="223" w:right="0" w:hanging="149"/>
                          <w:jc w:val="left"/>
                          <w:rPr>
                            <w:color w:val="000000"/>
                            <w:sz w:val="15"/>
                          </w:rPr>
                        </w:pPr>
                        <w:r>
                          <w:rPr>
                            <w:color w:val="231F20"/>
                            <w:spacing w:val="-4"/>
                            <w:sz w:val="15"/>
                          </w:rPr>
                          <w:t>Inflammatory</w:t>
                        </w:r>
                        <w:r>
                          <w:rPr>
                            <w:color w:val="231F20"/>
                            <w:spacing w:val="3"/>
                            <w:sz w:val="15"/>
                          </w:rPr>
                          <w:t> </w:t>
                        </w:r>
                        <w:r>
                          <w:rPr>
                            <w:color w:val="231F20"/>
                            <w:spacing w:val="-2"/>
                            <w:sz w:val="15"/>
                          </w:rPr>
                          <w:t>myopathy</w:t>
                        </w:r>
                      </w:p>
                      <w:p>
                        <w:pPr>
                          <w:numPr>
                            <w:ilvl w:val="0"/>
                            <w:numId w:val="95"/>
                          </w:numPr>
                          <w:tabs>
                            <w:tab w:pos="223" w:val="left" w:leader="none"/>
                          </w:tabs>
                          <w:spacing w:line="168" w:lineRule="exact" w:before="0"/>
                          <w:ind w:left="223" w:right="0" w:hanging="149"/>
                          <w:jc w:val="left"/>
                          <w:rPr>
                            <w:color w:val="000000"/>
                            <w:sz w:val="15"/>
                          </w:rPr>
                        </w:pPr>
                        <w:r>
                          <w:rPr>
                            <w:color w:val="231F20"/>
                            <w:sz w:val="15"/>
                          </w:rPr>
                          <w:t>Acute</w:t>
                        </w:r>
                        <w:r>
                          <w:rPr>
                            <w:color w:val="231F20"/>
                            <w:spacing w:val="1"/>
                            <w:sz w:val="15"/>
                          </w:rPr>
                          <w:t> </w:t>
                        </w:r>
                        <w:r>
                          <w:rPr>
                            <w:color w:val="231F20"/>
                            <w:spacing w:val="-2"/>
                            <w:sz w:val="15"/>
                          </w:rPr>
                          <w:t>rhabdomyolysis</w:t>
                        </w:r>
                      </w:p>
                      <w:p>
                        <w:pPr>
                          <w:numPr>
                            <w:ilvl w:val="0"/>
                            <w:numId w:val="95"/>
                          </w:numPr>
                          <w:tabs>
                            <w:tab w:pos="223" w:val="left" w:leader="none"/>
                          </w:tabs>
                          <w:spacing w:line="168" w:lineRule="exact" w:before="0"/>
                          <w:ind w:left="223" w:right="0" w:hanging="149"/>
                          <w:jc w:val="left"/>
                          <w:rPr>
                            <w:color w:val="000000"/>
                            <w:sz w:val="15"/>
                          </w:rPr>
                        </w:pPr>
                        <w:r>
                          <w:rPr>
                            <w:color w:val="231F20"/>
                            <w:spacing w:val="-2"/>
                            <w:sz w:val="15"/>
                          </w:rPr>
                          <w:t>Trichinosis</w:t>
                        </w:r>
                      </w:p>
                      <w:p>
                        <w:pPr>
                          <w:numPr>
                            <w:ilvl w:val="0"/>
                            <w:numId w:val="95"/>
                          </w:numPr>
                          <w:tabs>
                            <w:tab w:pos="223" w:val="left" w:leader="none"/>
                          </w:tabs>
                          <w:spacing w:line="230" w:lineRule="auto" w:before="3"/>
                          <w:ind w:left="223" w:right="731" w:hanging="150"/>
                          <w:jc w:val="left"/>
                          <w:rPr>
                            <w:color w:val="000000"/>
                            <w:sz w:val="15"/>
                          </w:rPr>
                        </w:pPr>
                        <w:r>
                          <w:rPr>
                            <w:color w:val="231F20"/>
                            <w:spacing w:val="-2"/>
                            <w:sz w:val="15"/>
                          </w:rPr>
                          <w:t>Familial</w:t>
                        </w:r>
                        <w:r>
                          <w:rPr>
                            <w:color w:val="231F20"/>
                            <w:spacing w:val="-8"/>
                            <w:sz w:val="15"/>
                          </w:rPr>
                          <w:t> </w:t>
                        </w:r>
                        <w:r>
                          <w:rPr>
                            <w:color w:val="231F20"/>
                            <w:spacing w:val="-2"/>
                            <w:sz w:val="15"/>
                          </w:rPr>
                          <w:t>periodic</w:t>
                        </w:r>
                        <w:r>
                          <w:rPr>
                            <w:color w:val="231F20"/>
                            <w:spacing w:val="-8"/>
                            <w:sz w:val="15"/>
                          </w:rPr>
                          <w:t> </w:t>
                        </w:r>
                        <w:r>
                          <w:rPr>
                            <w:color w:val="231F20"/>
                            <w:spacing w:val="-2"/>
                            <w:sz w:val="15"/>
                          </w:rPr>
                          <w:t>paralyses</w:t>
                        </w:r>
                        <w:r>
                          <w:rPr>
                            <w:color w:val="231F20"/>
                            <w:spacing w:val="-8"/>
                            <w:sz w:val="15"/>
                          </w:rPr>
                          <w:t> </w:t>
                        </w:r>
                        <w:r>
                          <w:rPr>
                            <w:color w:val="231F20"/>
                            <w:spacing w:val="-2"/>
                            <w:sz w:val="15"/>
                          </w:rPr>
                          <w:t>(normokalemic,</w:t>
                        </w:r>
                        <w:r>
                          <w:rPr>
                            <w:color w:val="231F20"/>
                            <w:spacing w:val="-8"/>
                            <w:sz w:val="15"/>
                          </w:rPr>
                          <w:t> </w:t>
                        </w:r>
                        <w:r>
                          <w:rPr>
                            <w:color w:val="231F20"/>
                            <w:spacing w:val="-2"/>
                            <w:sz w:val="15"/>
                          </w:rPr>
                          <w:t>hypokalemic, hyperkalemic)</w:t>
                        </w:r>
                      </w:p>
                    </w:txbxContent>
                  </v:textbox>
                  <v:fill type="solid"/>
                  <w10:wrap type="none"/>
                </v:shape>
                <v:rect style="position:absolute;left:1294;top:16515;width:4703;height:19" id="docshape798" filled="true" fillcolor="#231f20" stroked="false">
                  <v:fill type="solid"/>
                </v:rect>
                <v:shape style="position:absolute;left:2451;top:10999;width:3546;height:560" type="#_x0000_t202" id="docshape799" filled="true" fillcolor="#231f20" stroked="false">
                  <v:textbox inset="0,0,0,0">
                    <w:txbxContent>
                      <w:p>
                        <w:pPr>
                          <w:spacing w:before="89"/>
                          <w:ind w:left="74" w:right="0" w:firstLine="0"/>
                          <w:jc w:val="left"/>
                          <w:rPr>
                            <w:color w:val="000000"/>
                            <w:sz w:val="16"/>
                          </w:rPr>
                        </w:pPr>
                        <w:r>
                          <w:rPr>
                            <w:color w:val="FFFFFF"/>
                            <w:w w:val="105"/>
                            <w:sz w:val="16"/>
                          </w:rPr>
                          <w:t>Differential Diagnosis of Acute </w:t>
                        </w:r>
                        <w:r>
                          <w:rPr>
                            <w:color w:val="FFFFFF"/>
                            <w:w w:val="105"/>
                            <w:sz w:val="16"/>
                          </w:rPr>
                          <w:t>Flaccid </w:t>
                        </w:r>
                        <w:r>
                          <w:rPr>
                            <w:color w:val="FFFFFF"/>
                            <w:spacing w:val="-2"/>
                            <w:w w:val="105"/>
                            <w:sz w:val="16"/>
                          </w:rPr>
                          <w:t>Paralysis</w:t>
                        </w:r>
                      </w:p>
                    </w:txbxContent>
                  </v:textbox>
                  <v:fill type="solid"/>
                  <w10:wrap type="none"/>
                </v:shape>
                <v:shape style="position:absolute;left:1294;top:10999;width:1139;height:560" type="#_x0000_t202" id="docshape800"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607-</w:t>
                        </w:r>
                        <w:r>
                          <w:rPr>
                            <w:b/>
                            <w:color w:val="FFFFFF"/>
                            <w:spacing w:val="-10"/>
                            <w:w w:val="105"/>
                            <w:sz w:val="16"/>
                          </w:rPr>
                          <w:t>4</w:t>
                        </w:r>
                      </w:p>
                    </w:txbxContent>
                  </v:textbox>
                  <v:fill type="solid"/>
                  <w10:wrap type="none"/>
                </v:shape>
                <w10:wrap type="none"/>
              </v:group>
            </w:pict>
          </mc:Fallback>
        </mc:AlternateContent>
      </w:r>
      <w:r>
        <w:rPr>
          <w:i/>
          <w:sz w:val="20"/>
        </w:rPr>
        <mc:AlternateContent>
          <mc:Choice Requires="wps">
            <w:drawing>
              <wp:anchor distT="0" distB="0" distL="0" distR="0" allowOverlap="1" layoutInCell="1" locked="0" behindDoc="0" simplePos="0" relativeHeight="15794688">
                <wp:simplePos x="0" y="0"/>
                <wp:positionH relativeFrom="page">
                  <wp:posOffset>4058414</wp:posOffset>
                </wp:positionH>
                <wp:positionV relativeFrom="page">
                  <wp:posOffset>1194896</wp:posOffset>
                </wp:positionV>
                <wp:extent cx="2986405" cy="6820534"/>
                <wp:effectExtent l="0" t="0" r="0" b="0"/>
                <wp:wrapNone/>
                <wp:docPr id="987" name="Group 987"/>
                <wp:cNvGraphicFramePr>
                  <a:graphicFrameLocks/>
                </wp:cNvGraphicFramePr>
                <a:graphic>
                  <a:graphicData uri="http://schemas.microsoft.com/office/word/2010/wordprocessingGroup">
                    <wpg:wgp>
                      <wpg:cNvPr id="987" name="Group 987"/>
                      <wpg:cNvGrpSpPr/>
                      <wpg:grpSpPr>
                        <a:xfrm>
                          <a:off x="0" y="0"/>
                          <a:ext cx="2986405" cy="6820534"/>
                          <a:chExt cx="2986405" cy="6820534"/>
                        </a:xfrm>
                      </wpg:grpSpPr>
                      <wps:wsp>
                        <wps:cNvPr id="988" name="Textbox 988"/>
                        <wps:cNvSpPr txBox="1"/>
                        <wps:spPr>
                          <a:xfrm>
                            <a:off x="12" y="355478"/>
                            <a:ext cx="2986405" cy="6459220"/>
                          </a:xfrm>
                          <a:prstGeom prst="rect">
                            <a:avLst/>
                          </a:prstGeom>
                          <a:solidFill>
                            <a:srgbClr val="E8F5F1"/>
                          </a:solidFill>
                        </wps:spPr>
                        <wps:txbx>
                          <w:txbxContent>
                            <w:p>
                              <w:pPr>
                                <w:spacing w:line="171" w:lineRule="exact" w:before="47"/>
                                <w:ind w:left="74" w:right="0" w:firstLine="0"/>
                                <w:jc w:val="left"/>
                                <w:rPr>
                                  <w:color w:val="000000"/>
                                  <w:sz w:val="15"/>
                                </w:rPr>
                              </w:pPr>
                              <w:r>
                                <w:rPr>
                                  <w:color w:val="231F20"/>
                                  <w:sz w:val="15"/>
                                </w:rPr>
                                <w:t>Cerebral</w:t>
                              </w:r>
                              <w:r>
                                <w:rPr>
                                  <w:color w:val="231F20"/>
                                  <w:spacing w:val="-5"/>
                                  <w:sz w:val="15"/>
                                </w:rPr>
                                <w:t> </w:t>
                              </w:r>
                              <w:r>
                                <w:rPr>
                                  <w:color w:val="231F20"/>
                                  <w:spacing w:val="-2"/>
                                  <w:sz w:val="15"/>
                                </w:rPr>
                                <w:t>hypotonia</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Benign</w:t>
                              </w:r>
                              <w:r>
                                <w:rPr>
                                  <w:color w:val="231F20"/>
                                  <w:spacing w:val="6"/>
                                  <w:sz w:val="15"/>
                                </w:rPr>
                                <w:t> </w:t>
                              </w:r>
                              <w:r>
                                <w:rPr>
                                  <w:color w:val="231F20"/>
                                  <w:sz w:val="15"/>
                                </w:rPr>
                                <w:t>congenital</w:t>
                              </w:r>
                              <w:r>
                                <w:rPr>
                                  <w:color w:val="231F20"/>
                                  <w:spacing w:val="6"/>
                                  <w:sz w:val="15"/>
                                </w:rPr>
                                <w:t> </w:t>
                              </w:r>
                              <w:r>
                                <w:rPr>
                                  <w:color w:val="231F20"/>
                                  <w:spacing w:val="-2"/>
                                  <w:sz w:val="15"/>
                                </w:rPr>
                                <w:t>hypotonia</w:t>
                              </w:r>
                            </w:p>
                            <w:p>
                              <w:pPr>
                                <w:numPr>
                                  <w:ilvl w:val="0"/>
                                  <w:numId w:val="96"/>
                                </w:numPr>
                                <w:tabs>
                                  <w:tab w:pos="223" w:val="left" w:leader="none"/>
                                </w:tabs>
                                <w:spacing w:line="168" w:lineRule="exact" w:before="0"/>
                                <w:ind w:left="223" w:right="0" w:hanging="149"/>
                                <w:jc w:val="left"/>
                                <w:rPr>
                                  <w:color w:val="000000"/>
                                  <w:sz w:val="15"/>
                                </w:rPr>
                              </w:pPr>
                              <w:r>
                                <w:rPr>
                                  <w:color w:val="231F20"/>
                                  <w:w w:val="105"/>
                                  <w:sz w:val="15"/>
                                </w:rPr>
                                <w:t>Chromosome</w:t>
                              </w:r>
                              <w:r>
                                <w:rPr>
                                  <w:color w:val="231F20"/>
                                  <w:spacing w:val="-10"/>
                                  <w:w w:val="105"/>
                                  <w:sz w:val="15"/>
                                </w:rPr>
                                <w:t> </w:t>
                              </w:r>
                              <w:r>
                                <w:rPr>
                                  <w:color w:val="231F20"/>
                                  <w:spacing w:val="-2"/>
                                  <w:w w:val="105"/>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Prader-Willi</w:t>
                              </w:r>
                              <w:r>
                                <w:rPr>
                                  <w:color w:val="231F20"/>
                                  <w:spacing w:val="-8"/>
                                  <w:sz w:val="15"/>
                                </w:rPr>
                                <w:t> </w:t>
                              </w:r>
                              <w:r>
                                <w:rPr>
                                  <w:color w:val="231F20"/>
                                  <w:spacing w:val="-2"/>
                                  <w:sz w:val="15"/>
                                </w:rPr>
                                <w:t>syndrome</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Trisomy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Chronic</w:t>
                              </w:r>
                              <w:r>
                                <w:rPr>
                                  <w:color w:val="231F20"/>
                                  <w:spacing w:val="13"/>
                                  <w:sz w:val="15"/>
                                </w:rPr>
                                <w:t> </w:t>
                              </w:r>
                              <w:r>
                                <w:rPr>
                                  <w:color w:val="231F20"/>
                                  <w:sz w:val="15"/>
                                </w:rPr>
                                <w:t>nonprogressive</w:t>
                              </w:r>
                              <w:r>
                                <w:rPr>
                                  <w:color w:val="231F20"/>
                                  <w:spacing w:val="14"/>
                                  <w:sz w:val="15"/>
                                </w:rPr>
                                <w:t> </w:t>
                              </w:r>
                              <w:r>
                                <w:rPr>
                                  <w:color w:val="231F20"/>
                                  <w:spacing w:val="-2"/>
                                  <w:sz w:val="15"/>
                                </w:rPr>
                                <w:t>encephalopathy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Cerebral</w:t>
                              </w:r>
                              <w:r>
                                <w:rPr>
                                  <w:color w:val="231F20"/>
                                  <w:spacing w:val="-5"/>
                                  <w:sz w:val="15"/>
                                </w:rPr>
                                <w:t> </w:t>
                              </w:r>
                              <w:r>
                                <w:rPr>
                                  <w:color w:val="231F20"/>
                                  <w:spacing w:val="-2"/>
                                  <w:sz w:val="15"/>
                                </w:rPr>
                                <w:t>malformation</w:t>
                              </w:r>
                            </w:p>
                            <w:p>
                              <w:pPr>
                                <w:numPr>
                                  <w:ilvl w:val="0"/>
                                  <w:numId w:val="96"/>
                                </w:numPr>
                                <w:tabs>
                                  <w:tab w:pos="223" w:val="left" w:leader="none"/>
                                </w:tabs>
                                <w:spacing w:line="168" w:lineRule="exact" w:before="0"/>
                                <w:ind w:left="223" w:right="0" w:hanging="149"/>
                                <w:jc w:val="left"/>
                                <w:rPr>
                                  <w:color w:val="000000"/>
                                  <w:sz w:val="15"/>
                                </w:rPr>
                              </w:pPr>
                              <w:r>
                                <w:rPr>
                                  <w:color w:val="231F20"/>
                                  <w:spacing w:val="-4"/>
                                  <w:sz w:val="15"/>
                                </w:rPr>
                                <w:t>Perinatal</w:t>
                              </w:r>
                              <w:r>
                                <w:rPr>
                                  <w:color w:val="231F20"/>
                                  <w:sz w:val="15"/>
                                </w:rPr>
                                <w:t> </w:t>
                              </w:r>
                              <w:r>
                                <w:rPr>
                                  <w:color w:val="231F20"/>
                                  <w:spacing w:val="-2"/>
                                  <w:sz w:val="15"/>
                                </w:rPr>
                                <w:t>distress</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Postnatal</w:t>
                              </w:r>
                              <w:r>
                                <w:rPr>
                                  <w:color w:val="231F20"/>
                                  <w:sz w:val="15"/>
                                </w:rPr>
                                <w:t> </w:t>
                              </w:r>
                              <w:r>
                                <w:rPr>
                                  <w:color w:val="231F20"/>
                                  <w:spacing w:val="-2"/>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Peroxisomal</w:t>
                              </w:r>
                              <w:r>
                                <w:rPr>
                                  <w:color w:val="231F20"/>
                                  <w:spacing w:val="-8"/>
                                  <w:sz w:val="15"/>
                                </w:rPr>
                                <w:t> </w:t>
                              </w:r>
                              <w:r>
                                <w:rPr>
                                  <w:color w:val="231F20"/>
                                  <w:spacing w:val="-2"/>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Cerebrohepatorenal</w:t>
                              </w:r>
                              <w:r>
                                <w:rPr>
                                  <w:color w:val="231F20"/>
                                  <w:spacing w:val="-7"/>
                                  <w:sz w:val="15"/>
                                </w:rPr>
                                <w:t> </w:t>
                              </w:r>
                              <w:r>
                                <w:rPr>
                                  <w:color w:val="231F20"/>
                                  <w:sz w:val="15"/>
                                </w:rPr>
                                <w:t>syndrome</w:t>
                              </w:r>
                              <w:r>
                                <w:rPr>
                                  <w:color w:val="231F20"/>
                                  <w:spacing w:val="-6"/>
                                  <w:sz w:val="15"/>
                                </w:rPr>
                                <w:t> </w:t>
                              </w:r>
                              <w:r>
                                <w:rPr>
                                  <w:color w:val="231F20"/>
                                  <w:sz w:val="15"/>
                                </w:rPr>
                                <w:t>(Zellweger</w:t>
                              </w:r>
                              <w:r>
                                <w:rPr>
                                  <w:color w:val="231F20"/>
                                  <w:spacing w:val="-7"/>
                                  <w:sz w:val="15"/>
                                </w:rPr>
                                <w:t> </w:t>
                              </w:r>
                              <w:r>
                                <w:rPr>
                                  <w:color w:val="231F20"/>
                                  <w:spacing w:val="-2"/>
                                  <w:sz w:val="15"/>
                                </w:rPr>
                                <w:t>syndrome)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Neonatal</w:t>
                              </w:r>
                              <w:r>
                                <w:rPr>
                                  <w:color w:val="231F20"/>
                                  <w:spacing w:val="7"/>
                                  <w:sz w:val="15"/>
                                </w:rPr>
                                <w:t> </w:t>
                              </w:r>
                              <w:r>
                                <w:rPr>
                                  <w:color w:val="231F20"/>
                                  <w:spacing w:val="-2"/>
                                  <w:sz w:val="15"/>
                                </w:rPr>
                                <w:t>adrenoleukodystrophy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Other</w:t>
                              </w:r>
                              <w:r>
                                <w:rPr>
                                  <w:color w:val="231F20"/>
                                  <w:spacing w:val="2"/>
                                  <w:sz w:val="15"/>
                                </w:rPr>
                                <w:t> </w:t>
                              </w:r>
                              <w:r>
                                <w:rPr>
                                  <w:color w:val="231F20"/>
                                  <w:sz w:val="15"/>
                                </w:rPr>
                                <w:t>genetic</w:t>
                              </w:r>
                              <w:r>
                                <w:rPr>
                                  <w:color w:val="231F20"/>
                                  <w:spacing w:val="3"/>
                                  <w:sz w:val="15"/>
                                </w:rPr>
                                <w:t> </w:t>
                              </w:r>
                              <w:r>
                                <w:rPr>
                                  <w:color w:val="231F20"/>
                                  <w:spacing w:val="-2"/>
                                  <w:sz w:val="15"/>
                                </w:rPr>
                                <w:t>defects</w:t>
                              </w:r>
                            </w:p>
                            <w:p>
                              <w:pPr>
                                <w:numPr>
                                  <w:ilvl w:val="0"/>
                                  <w:numId w:val="96"/>
                                </w:numPr>
                                <w:tabs>
                                  <w:tab w:pos="223" w:val="left" w:leader="none"/>
                                </w:tabs>
                                <w:spacing w:line="168" w:lineRule="exact" w:before="0"/>
                                <w:ind w:left="223" w:right="0" w:hanging="149"/>
                                <w:jc w:val="left"/>
                                <w:rPr>
                                  <w:color w:val="000000"/>
                                  <w:sz w:val="15"/>
                                </w:rPr>
                              </w:pPr>
                              <w:r>
                                <w:rPr>
                                  <w:color w:val="231F20"/>
                                  <w:spacing w:val="-4"/>
                                  <w:sz w:val="15"/>
                                </w:rPr>
                                <w:t>Familial</w:t>
                              </w:r>
                              <w:r>
                                <w:rPr>
                                  <w:color w:val="231F20"/>
                                  <w:spacing w:val="6"/>
                                  <w:sz w:val="15"/>
                                </w:rPr>
                                <w:t> </w:t>
                              </w:r>
                              <w:r>
                                <w:rPr>
                                  <w:color w:val="231F20"/>
                                  <w:spacing w:val="-2"/>
                                  <w:sz w:val="15"/>
                                </w:rPr>
                                <w:t>dysautonomia</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Oculocerebrorenal</w:t>
                              </w:r>
                              <w:r>
                                <w:rPr>
                                  <w:color w:val="231F20"/>
                                  <w:spacing w:val="-3"/>
                                  <w:sz w:val="15"/>
                                </w:rPr>
                                <w:t> </w:t>
                              </w:r>
                              <w:r>
                                <w:rPr>
                                  <w:color w:val="231F20"/>
                                  <w:sz w:val="15"/>
                                </w:rPr>
                                <w:t>syndrome</w:t>
                              </w:r>
                              <w:r>
                                <w:rPr>
                                  <w:color w:val="231F20"/>
                                  <w:spacing w:val="-2"/>
                                  <w:sz w:val="15"/>
                                </w:rPr>
                                <w:t> </w:t>
                              </w:r>
                              <w:r>
                                <w:rPr>
                                  <w:color w:val="231F20"/>
                                  <w:sz w:val="15"/>
                                </w:rPr>
                                <w:t>(Lowe</w:t>
                              </w:r>
                              <w:r>
                                <w:rPr>
                                  <w:color w:val="231F20"/>
                                  <w:spacing w:val="-2"/>
                                  <w:sz w:val="15"/>
                                </w:rPr>
                                <w:t> syndrome)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Other</w:t>
                              </w:r>
                              <w:r>
                                <w:rPr>
                                  <w:color w:val="231F20"/>
                                  <w:spacing w:val="-4"/>
                                  <w:sz w:val="15"/>
                                </w:rPr>
                                <w:t> </w:t>
                              </w:r>
                              <w:r>
                                <w:rPr>
                                  <w:color w:val="231F20"/>
                                  <w:sz w:val="15"/>
                                </w:rPr>
                                <w:t>metabolic</w:t>
                              </w:r>
                              <w:r>
                                <w:rPr>
                                  <w:color w:val="231F20"/>
                                  <w:spacing w:val="-4"/>
                                  <w:sz w:val="15"/>
                                </w:rPr>
                                <w:t> </w:t>
                              </w:r>
                              <w:r>
                                <w:rPr>
                                  <w:color w:val="231F20"/>
                                  <w:spacing w:val="-2"/>
                                  <w:sz w:val="15"/>
                                </w:rPr>
                                <w:t>defects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Acid</w:t>
                              </w:r>
                              <w:r>
                                <w:rPr>
                                  <w:color w:val="231F20"/>
                                  <w:spacing w:val="-7"/>
                                  <w:sz w:val="15"/>
                                </w:rPr>
                                <w:t> </w:t>
                              </w:r>
                              <w:r>
                                <w:rPr>
                                  <w:color w:val="231F20"/>
                                  <w:sz w:val="15"/>
                                </w:rPr>
                                <w:t>maltase</w:t>
                              </w:r>
                              <w:r>
                                <w:rPr>
                                  <w:color w:val="231F20"/>
                                  <w:spacing w:val="-6"/>
                                  <w:sz w:val="15"/>
                                </w:rPr>
                                <w:t> </w:t>
                              </w:r>
                              <w:r>
                                <w:rPr>
                                  <w:color w:val="231F20"/>
                                  <w:sz w:val="15"/>
                                </w:rPr>
                                <w:t>deficiency</w:t>
                              </w:r>
                              <w:r>
                                <w:rPr>
                                  <w:color w:val="231F20"/>
                                  <w:spacing w:val="-6"/>
                                  <w:sz w:val="15"/>
                                </w:rPr>
                                <w:t> </w:t>
                              </w:r>
                              <w:r>
                                <w:rPr>
                                  <w:color w:val="231F20"/>
                                  <w:sz w:val="15"/>
                                </w:rPr>
                                <w:t>(see</w:t>
                              </w:r>
                              <w:r>
                                <w:rPr>
                                  <w:color w:val="231F20"/>
                                  <w:spacing w:val="-6"/>
                                  <w:sz w:val="15"/>
                                </w:rPr>
                                <w:t> </w:t>
                              </w:r>
                              <w:r>
                                <w:rPr>
                                  <w:color w:val="231F20"/>
                                  <w:sz w:val="15"/>
                                </w:rPr>
                                <w:t>“Metabolic</w:t>
                              </w:r>
                              <w:r>
                                <w:rPr>
                                  <w:color w:val="231F20"/>
                                  <w:spacing w:val="-6"/>
                                  <w:sz w:val="15"/>
                                </w:rPr>
                                <w:t> </w:t>
                              </w:r>
                              <w:r>
                                <w:rPr>
                                  <w:color w:val="231F20"/>
                                  <w:spacing w:val="-2"/>
                                  <w:sz w:val="15"/>
                                </w:rPr>
                                <w:t>Myopathies”)</w:t>
                              </w:r>
                            </w:p>
                            <w:p>
                              <w:pPr>
                                <w:numPr>
                                  <w:ilvl w:val="0"/>
                                  <w:numId w:val="96"/>
                                </w:numPr>
                                <w:tabs>
                                  <w:tab w:pos="74" w:val="left" w:leader="none"/>
                                  <w:tab w:pos="222" w:val="left" w:leader="none"/>
                                </w:tabs>
                                <w:spacing w:line="230" w:lineRule="auto" w:before="2"/>
                                <w:ind w:left="74" w:right="2711" w:hanging="1"/>
                                <w:jc w:val="left"/>
                                <w:rPr>
                                  <w:color w:val="000000"/>
                                  <w:sz w:val="15"/>
                                </w:rPr>
                              </w:pPr>
                              <w:r>
                                <w:rPr>
                                  <w:color w:val="231F20"/>
                                  <w:sz w:val="15"/>
                                </w:rPr>
                                <w:t>Infantile</w:t>
                              </w:r>
                              <w:r>
                                <w:rPr>
                                  <w:color w:val="231F20"/>
                                  <w:spacing w:val="-6"/>
                                  <w:sz w:val="15"/>
                                </w:rPr>
                                <w:t> </w:t>
                              </w:r>
                              <w:r>
                                <w:rPr>
                                  <w:color w:val="231F20"/>
                                  <w:sz w:val="15"/>
                                </w:rPr>
                                <w:t>G</w:t>
                              </w:r>
                              <w:r>
                                <w:rPr>
                                  <w:color w:val="231F20"/>
                                  <w:sz w:val="15"/>
                                  <w:vertAlign w:val="subscript"/>
                                </w:rPr>
                                <w:t>M</w:t>
                              </w:r>
                              <w:r>
                                <w:rPr>
                                  <w:color w:val="231F20"/>
                                  <w:spacing w:val="-6"/>
                                  <w:sz w:val="15"/>
                                  <w:vertAlign w:val="baseline"/>
                                </w:rPr>
                                <w:t> </w:t>
                              </w:r>
                              <w:r>
                                <w:rPr>
                                  <w:color w:val="231F20"/>
                                  <w:sz w:val="15"/>
                                  <w:vertAlign w:val="baseline"/>
                                </w:rPr>
                                <w:t>gangliosidosis </w:t>
                              </w:r>
                              <w:r>
                                <w:rPr>
                                  <w:color w:val="231F20"/>
                                  <w:w w:val="105"/>
                                  <w:sz w:val="15"/>
                                  <w:vertAlign w:val="baseline"/>
                                </w:rPr>
                                <w:t>Spinal cord disorders</w:t>
                              </w:r>
                            </w:p>
                            <w:p>
                              <w:pPr>
                                <w:spacing w:line="167" w:lineRule="exact" w:before="0"/>
                                <w:ind w:left="74" w:right="0" w:firstLine="0"/>
                                <w:jc w:val="left"/>
                                <w:rPr>
                                  <w:color w:val="000000"/>
                                  <w:sz w:val="15"/>
                                </w:rPr>
                              </w:pPr>
                              <w:r>
                                <w:rPr>
                                  <w:color w:val="231F20"/>
                                  <w:sz w:val="15"/>
                                </w:rPr>
                                <w:t>Spinal</w:t>
                              </w:r>
                              <w:r>
                                <w:rPr>
                                  <w:color w:val="231F20"/>
                                  <w:spacing w:val="-9"/>
                                  <w:sz w:val="15"/>
                                </w:rPr>
                                <w:t> </w:t>
                              </w:r>
                              <w:r>
                                <w:rPr>
                                  <w:color w:val="231F20"/>
                                  <w:sz w:val="15"/>
                                </w:rPr>
                                <w:t>muscular</w:t>
                              </w:r>
                              <w:r>
                                <w:rPr>
                                  <w:color w:val="231F20"/>
                                  <w:spacing w:val="-8"/>
                                  <w:sz w:val="15"/>
                                </w:rPr>
                                <w:t> </w:t>
                              </w:r>
                              <w:r>
                                <w:rPr>
                                  <w:color w:val="231F20"/>
                                  <w:spacing w:val="-2"/>
                                  <w:sz w:val="15"/>
                                </w:rPr>
                                <w:t>atrophies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Acute</w:t>
                              </w:r>
                              <w:r>
                                <w:rPr>
                                  <w:color w:val="231F20"/>
                                  <w:spacing w:val="1"/>
                                  <w:sz w:val="15"/>
                                </w:rPr>
                                <w:t> </w:t>
                              </w:r>
                              <w:r>
                                <w:rPr>
                                  <w:color w:val="231F20"/>
                                  <w:spacing w:val="-2"/>
                                  <w:sz w:val="15"/>
                                </w:rPr>
                                <w:t>infantile</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dominant</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recessive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Cytochrome-c</w:t>
                              </w:r>
                              <w:r>
                                <w:rPr>
                                  <w:color w:val="231F20"/>
                                  <w:spacing w:val="3"/>
                                  <w:sz w:val="15"/>
                                </w:rPr>
                                <w:t> </w:t>
                              </w:r>
                              <w:r>
                                <w:rPr>
                                  <w:color w:val="231F20"/>
                                  <w:sz w:val="15"/>
                                </w:rPr>
                                <w:t>oxidase</w:t>
                              </w:r>
                              <w:r>
                                <w:rPr>
                                  <w:color w:val="231F20"/>
                                  <w:spacing w:val="4"/>
                                  <w:sz w:val="15"/>
                                </w:rPr>
                                <w:t> </w:t>
                              </w:r>
                              <w:r>
                                <w:rPr>
                                  <w:color w:val="231F20"/>
                                  <w:spacing w:val="-2"/>
                                  <w:sz w:val="15"/>
                                </w:rPr>
                                <w:t>deficiency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X-linked</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Chronic</w:t>
                              </w:r>
                              <w:r>
                                <w:rPr>
                                  <w:color w:val="231F20"/>
                                  <w:spacing w:val="6"/>
                                  <w:sz w:val="15"/>
                                </w:rPr>
                                <w:t> </w:t>
                              </w:r>
                              <w:r>
                                <w:rPr>
                                  <w:color w:val="231F20"/>
                                  <w:spacing w:val="-2"/>
                                  <w:sz w:val="15"/>
                                </w:rPr>
                                <w:t>infantile</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dominant</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recessive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12"/>
                                  <w:sz w:val="15"/>
                                </w:rPr>
                                <w:t> </w:t>
                              </w:r>
                              <w:r>
                                <w:rPr>
                                  <w:color w:val="231F20"/>
                                  <w:sz w:val="15"/>
                                </w:rPr>
                                <w:t>cervical</w:t>
                              </w:r>
                              <w:r>
                                <w:rPr>
                                  <w:color w:val="231F20"/>
                                  <w:spacing w:val="-11"/>
                                  <w:sz w:val="15"/>
                                </w:rPr>
                                <w:t> </w:t>
                              </w:r>
                              <w:r>
                                <w:rPr>
                                  <w:color w:val="231F20"/>
                                  <w:sz w:val="15"/>
                                </w:rPr>
                                <w:t>spinal</w:t>
                              </w:r>
                              <w:r>
                                <w:rPr>
                                  <w:color w:val="231F20"/>
                                  <w:spacing w:val="-11"/>
                                  <w:sz w:val="15"/>
                                </w:rPr>
                                <w:t> </w:t>
                              </w:r>
                              <w:r>
                                <w:rPr>
                                  <w:color w:val="231F20"/>
                                  <w:sz w:val="15"/>
                                </w:rPr>
                                <w:t>muscular</w:t>
                              </w:r>
                              <w:r>
                                <w:rPr>
                                  <w:color w:val="231F20"/>
                                  <w:spacing w:val="-11"/>
                                  <w:sz w:val="15"/>
                                </w:rPr>
                                <w:t> </w:t>
                              </w:r>
                              <w:r>
                                <w:rPr>
                                  <w:color w:val="231F20"/>
                                  <w:spacing w:val="-2"/>
                                  <w:sz w:val="15"/>
                                </w:rPr>
                                <w:t>atrophy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Infantile</w:t>
                              </w:r>
                              <w:r>
                                <w:rPr>
                                  <w:color w:val="231F20"/>
                                  <w:spacing w:val="-5"/>
                                  <w:sz w:val="15"/>
                                </w:rPr>
                                <w:t> </w:t>
                              </w:r>
                              <w:r>
                                <w:rPr>
                                  <w:color w:val="231F20"/>
                                  <w:spacing w:val="-2"/>
                                  <w:sz w:val="15"/>
                                </w:rPr>
                                <w:t>neuronal</w:t>
                              </w:r>
                              <w:r>
                                <w:rPr>
                                  <w:color w:val="231F20"/>
                                  <w:spacing w:val="-5"/>
                                  <w:sz w:val="15"/>
                                </w:rPr>
                                <w:t> </w:t>
                              </w:r>
                              <w:r>
                                <w:rPr>
                                  <w:color w:val="231F20"/>
                                  <w:spacing w:val="-2"/>
                                  <w:sz w:val="15"/>
                                </w:rPr>
                                <w:t>degeneration</w:t>
                              </w:r>
                            </w:p>
                            <w:p>
                              <w:pPr>
                                <w:numPr>
                                  <w:ilvl w:val="0"/>
                                  <w:numId w:val="96"/>
                                </w:numPr>
                                <w:tabs>
                                  <w:tab w:pos="223" w:val="left" w:leader="none"/>
                                </w:tabs>
                                <w:spacing w:line="230" w:lineRule="auto" w:before="3"/>
                                <w:ind w:left="74" w:right="2693" w:firstLine="0"/>
                                <w:jc w:val="left"/>
                                <w:rPr>
                                  <w:color w:val="000000"/>
                                  <w:sz w:val="15"/>
                                </w:rPr>
                              </w:pPr>
                              <w:r>
                                <w:rPr>
                                  <w:color w:val="231F20"/>
                                  <w:sz w:val="15"/>
                                </w:rPr>
                                <w:t>Neurogenic</w:t>
                              </w:r>
                              <w:r>
                                <w:rPr>
                                  <w:color w:val="231F20"/>
                                  <w:spacing w:val="-6"/>
                                  <w:sz w:val="15"/>
                                </w:rPr>
                                <w:t> </w:t>
                              </w:r>
                              <w:r>
                                <w:rPr>
                                  <w:color w:val="231F20"/>
                                  <w:sz w:val="15"/>
                                </w:rPr>
                                <w:t>arthrogryposis </w:t>
                              </w:r>
                              <w:r>
                                <w:rPr>
                                  <w:color w:val="231F20"/>
                                  <w:spacing w:val="-2"/>
                                  <w:sz w:val="15"/>
                                </w:rPr>
                                <w:t>Polyneuropathies</w:t>
                              </w:r>
                            </w:p>
                            <w:p>
                              <w:pPr>
                                <w:numPr>
                                  <w:ilvl w:val="0"/>
                                  <w:numId w:val="96"/>
                                </w:numPr>
                                <w:tabs>
                                  <w:tab w:pos="223" w:val="left" w:leader="none"/>
                                </w:tabs>
                                <w:spacing w:line="167" w:lineRule="exact" w:before="0"/>
                                <w:ind w:left="223" w:right="0" w:hanging="149"/>
                                <w:jc w:val="left"/>
                                <w:rPr>
                                  <w:color w:val="000000"/>
                                  <w:sz w:val="15"/>
                                </w:rPr>
                              </w:pPr>
                              <w:r>
                                <w:rPr>
                                  <w:color w:val="231F20"/>
                                  <w:sz w:val="15"/>
                                </w:rPr>
                                <w:t>Congenital</w:t>
                              </w:r>
                              <w:r>
                                <w:rPr>
                                  <w:color w:val="231F20"/>
                                  <w:spacing w:val="2"/>
                                  <w:sz w:val="15"/>
                                </w:rPr>
                                <w:t> </w:t>
                              </w:r>
                              <w:r>
                                <w:rPr>
                                  <w:color w:val="231F20"/>
                                  <w:sz w:val="15"/>
                                </w:rPr>
                                <w:t>hypomyelinating</w:t>
                              </w:r>
                              <w:r>
                                <w:rPr>
                                  <w:color w:val="231F20"/>
                                  <w:spacing w:val="3"/>
                                  <w:sz w:val="15"/>
                                </w:rPr>
                                <w:t> </w:t>
                              </w:r>
                              <w:r>
                                <w:rPr>
                                  <w:color w:val="231F20"/>
                                  <w:spacing w:val="-2"/>
                                  <w:sz w:val="15"/>
                                </w:rPr>
                                <w:t>neuropathy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Giant</w:t>
                              </w:r>
                              <w:r>
                                <w:rPr>
                                  <w:color w:val="231F20"/>
                                  <w:spacing w:val="-6"/>
                                  <w:sz w:val="15"/>
                                </w:rPr>
                                <w:t> </w:t>
                              </w:r>
                              <w:r>
                                <w:rPr>
                                  <w:color w:val="231F20"/>
                                  <w:sz w:val="15"/>
                                </w:rPr>
                                <w:t>axonal</w:t>
                              </w:r>
                              <w:r>
                                <w:rPr>
                                  <w:color w:val="231F20"/>
                                  <w:spacing w:val="-5"/>
                                  <w:sz w:val="15"/>
                                </w:rPr>
                                <w:t> </w:t>
                              </w:r>
                              <w:r>
                                <w:rPr>
                                  <w:color w:val="231F20"/>
                                  <w:spacing w:val="-2"/>
                                  <w:sz w:val="15"/>
                                </w:rPr>
                                <w:t>neuropathy</w:t>
                              </w:r>
                            </w:p>
                            <w:p>
                              <w:pPr>
                                <w:numPr>
                                  <w:ilvl w:val="0"/>
                                  <w:numId w:val="96"/>
                                </w:numPr>
                                <w:tabs>
                                  <w:tab w:pos="223" w:val="left" w:leader="none"/>
                                </w:tabs>
                                <w:spacing w:line="230" w:lineRule="auto" w:before="3"/>
                                <w:ind w:left="74" w:right="1861" w:firstLine="0"/>
                                <w:jc w:val="left"/>
                                <w:rPr>
                                  <w:color w:val="000000"/>
                                  <w:sz w:val="15"/>
                                </w:rPr>
                              </w:pPr>
                              <w:r>
                                <w:rPr>
                                  <w:color w:val="231F20"/>
                                  <w:spacing w:val="-2"/>
                                  <w:sz w:val="15"/>
                                </w:rPr>
                                <w:t>Hereditary motor-sensory </w:t>
                              </w:r>
                              <w:r>
                                <w:rPr>
                                  <w:color w:val="231F20"/>
                                  <w:spacing w:val="-2"/>
                                  <w:sz w:val="15"/>
                                </w:rPr>
                                <w:t>neuropathies </w:t>
                              </w:r>
                              <w:r>
                                <w:rPr>
                                  <w:color w:val="231F20"/>
                                  <w:sz w:val="15"/>
                                </w:rPr>
                                <w:t>Disorders of neuromuscular transmission</w:t>
                              </w:r>
                            </w:p>
                            <w:p>
                              <w:pPr>
                                <w:numPr>
                                  <w:ilvl w:val="0"/>
                                  <w:numId w:val="96"/>
                                </w:numPr>
                                <w:tabs>
                                  <w:tab w:pos="223" w:val="left" w:leader="none"/>
                                </w:tabs>
                                <w:spacing w:line="167" w:lineRule="exact" w:before="0"/>
                                <w:ind w:left="223" w:right="0" w:hanging="149"/>
                                <w:jc w:val="left"/>
                                <w:rPr>
                                  <w:color w:val="000000"/>
                                  <w:sz w:val="15"/>
                                </w:rPr>
                              </w:pPr>
                              <w:r>
                                <w:rPr>
                                  <w:color w:val="231F20"/>
                                  <w:spacing w:val="-4"/>
                                  <w:sz w:val="15"/>
                                </w:rPr>
                                <w:t>Familial</w:t>
                              </w:r>
                              <w:r>
                                <w:rPr>
                                  <w:color w:val="231F20"/>
                                  <w:spacing w:val="-2"/>
                                  <w:sz w:val="15"/>
                                </w:rPr>
                                <w:t> </w:t>
                              </w:r>
                              <w:r>
                                <w:rPr>
                                  <w:color w:val="231F20"/>
                                  <w:spacing w:val="-4"/>
                                  <w:sz w:val="15"/>
                                </w:rPr>
                                <w:t>infantile</w:t>
                              </w:r>
                              <w:r>
                                <w:rPr>
                                  <w:color w:val="231F20"/>
                                  <w:spacing w:val="-1"/>
                                  <w:sz w:val="15"/>
                                </w:rPr>
                                <w:t> </w:t>
                              </w:r>
                              <w:r>
                                <w:rPr>
                                  <w:color w:val="231F20"/>
                                  <w:spacing w:val="-4"/>
                                  <w:sz w:val="15"/>
                                </w:rPr>
                                <w:t>myasthenia</w:t>
                              </w:r>
                            </w:p>
                            <w:p>
                              <w:pPr>
                                <w:numPr>
                                  <w:ilvl w:val="0"/>
                                  <w:numId w:val="96"/>
                                </w:numPr>
                                <w:tabs>
                                  <w:tab w:pos="223" w:val="left" w:leader="none"/>
                                </w:tabs>
                                <w:spacing w:line="168" w:lineRule="exact" w:before="0"/>
                                <w:ind w:left="223" w:right="0" w:hanging="149"/>
                                <w:jc w:val="left"/>
                                <w:rPr>
                                  <w:color w:val="000000"/>
                                  <w:sz w:val="15"/>
                                </w:rPr>
                              </w:pPr>
                              <w:r>
                                <w:rPr>
                                  <w:color w:val="231F20"/>
                                  <w:spacing w:val="-5"/>
                                  <w:sz w:val="15"/>
                                </w:rPr>
                                <w:t>Infantile</w:t>
                              </w:r>
                              <w:r>
                                <w:rPr>
                                  <w:color w:val="231F20"/>
                                  <w:spacing w:val="6"/>
                                  <w:sz w:val="15"/>
                                </w:rPr>
                                <w:t> </w:t>
                              </w:r>
                              <w:r>
                                <w:rPr>
                                  <w:color w:val="231F20"/>
                                  <w:spacing w:val="-2"/>
                                  <w:sz w:val="15"/>
                                </w:rPr>
                                <w:t>botulism</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Transitory</w:t>
                              </w:r>
                              <w:r>
                                <w:rPr>
                                  <w:color w:val="231F20"/>
                                  <w:spacing w:val="-8"/>
                                  <w:sz w:val="15"/>
                                </w:rPr>
                                <w:t> </w:t>
                              </w:r>
                              <w:r>
                                <w:rPr>
                                  <w:color w:val="231F20"/>
                                  <w:spacing w:val="-2"/>
                                  <w:sz w:val="15"/>
                                </w:rPr>
                                <w:t>myasthenia</w:t>
                              </w:r>
                              <w:r>
                                <w:rPr>
                                  <w:color w:val="231F20"/>
                                  <w:spacing w:val="-8"/>
                                  <w:sz w:val="15"/>
                                </w:rPr>
                                <w:t> </w:t>
                              </w:r>
                              <w:r>
                                <w:rPr>
                                  <w:color w:val="231F20"/>
                                  <w:spacing w:val="-2"/>
                                  <w:sz w:val="15"/>
                                </w:rPr>
                                <w:t>gravis</w:t>
                              </w:r>
                            </w:p>
                            <w:p>
                              <w:pPr>
                                <w:spacing w:line="168" w:lineRule="exact" w:before="0"/>
                                <w:ind w:left="74" w:right="0" w:firstLine="0"/>
                                <w:jc w:val="left"/>
                                <w:rPr>
                                  <w:color w:val="000000"/>
                                  <w:sz w:val="15"/>
                                </w:rPr>
                              </w:pPr>
                              <w:r>
                                <w:rPr>
                                  <w:color w:val="231F20"/>
                                  <w:sz w:val="15"/>
                                </w:rPr>
                                <w:t>Fiber-type</w:t>
                              </w:r>
                              <w:r>
                                <w:rPr>
                                  <w:color w:val="231F20"/>
                                  <w:spacing w:val="-2"/>
                                  <w:sz w:val="15"/>
                                </w:rPr>
                                <w:t> </w:t>
                              </w:r>
                              <w:r>
                                <w:rPr>
                                  <w:color w:val="231F20"/>
                                  <w:sz w:val="15"/>
                                </w:rPr>
                                <w:t>disproportion</w:t>
                              </w:r>
                              <w:r>
                                <w:rPr>
                                  <w:color w:val="231F20"/>
                                  <w:spacing w:val="-2"/>
                                  <w:sz w:val="15"/>
                                </w:rPr>
                                <w:t> myopathies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Central</w:t>
                              </w:r>
                              <w:r>
                                <w:rPr>
                                  <w:color w:val="231F20"/>
                                  <w:spacing w:val="-8"/>
                                  <w:sz w:val="15"/>
                                </w:rPr>
                                <w:t> </w:t>
                              </w:r>
                              <w:r>
                                <w:rPr>
                                  <w:color w:val="231F20"/>
                                  <w:sz w:val="15"/>
                                </w:rPr>
                                <w:t>core</w:t>
                              </w:r>
                              <w:r>
                                <w:rPr>
                                  <w:color w:val="231F20"/>
                                  <w:spacing w:val="-8"/>
                                  <w:sz w:val="15"/>
                                </w:rPr>
                                <w:t> </w:t>
                              </w:r>
                              <w:r>
                                <w:rPr>
                                  <w:color w:val="231F20"/>
                                  <w:spacing w:val="-2"/>
                                  <w:sz w:val="15"/>
                                </w:rPr>
                                <w:t>disease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3"/>
                                  <w:sz w:val="15"/>
                                </w:rPr>
                                <w:t> </w:t>
                              </w:r>
                              <w:r>
                                <w:rPr>
                                  <w:color w:val="231F20"/>
                                  <w:sz w:val="15"/>
                                </w:rPr>
                                <w:t>fiber-type</w:t>
                              </w:r>
                              <w:r>
                                <w:rPr>
                                  <w:color w:val="231F20"/>
                                  <w:spacing w:val="-2"/>
                                  <w:sz w:val="15"/>
                                </w:rPr>
                                <w:t> </w:t>
                              </w:r>
                              <w:r>
                                <w:rPr>
                                  <w:color w:val="231F20"/>
                                  <w:sz w:val="15"/>
                                </w:rPr>
                                <w:t>disproportion</w:t>
                              </w:r>
                              <w:r>
                                <w:rPr>
                                  <w:color w:val="231F20"/>
                                  <w:spacing w:val="-3"/>
                                  <w:sz w:val="15"/>
                                </w:rPr>
                                <w:t> </w:t>
                              </w:r>
                              <w:r>
                                <w:rPr>
                                  <w:color w:val="231F20"/>
                                  <w:spacing w:val="-2"/>
                                  <w:sz w:val="15"/>
                                </w:rPr>
                                <w:t>myopathy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Myotubular (centronuclear) myopathy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Acute</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Chronic</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Nemaline</w:t>
                              </w:r>
                              <w:r>
                                <w:rPr>
                                  <w:color w:val="231F20"/>
                                  <w:spacing w:val="-10"/>
                                  <w:sz w:val="15"/>
                                </w:rPr>
                                <w:t> </w:t>
                              </w:r>
                              <w:r>
                                <w:rPr>
                                  <w:color w:val="231F20"/>
                                  <w:sz w:val="15"/>
                                </w:rPr>
                                <w:t>(nemaline</w:t>
                              </w:r>
                              <w:r>
                                <w:rPr>
                                  <w:color w:val="231F20"/>
                                  <w:spacing w:val="-10"/>
                                  <w:sz w:val="15"/>
                                </w:rPr>
                                <w:t> </w:t>
                              </w:r>
                              <w:r>
                                <w:rPr>
                                  <w:color w:val="231F20"/>
                                  <w:sz w:val="15"/>
                                </w:rPr>
                                <w:t>rod)</w:t>
                              </w:r>
                              <w:r>
                                <w:rPr>
                                  <w:color w:val="231F20"/>
                                  <w:spacing w:val="-9"/>
                                  <w:sz w:val="15"/>
                                </w:rPr>
                                <w:t> </w:t>
                              </w:r>
                              <w:r>
                                <w:rPr>
                                  <w:color w:val="231F20"/>
                                  <w:spacing w:val="-2"/>
                                  <w:sz w:val="15"/>
                                </w:rPr>
                                <w:t>myopathy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Autosomal</w:t>
                              </w:r>
                              <w:r>
                                <w:rPr>
                                  <w:color w:val="231F20"/>
                                  <w:spacing w:val="14"/>
                                  <w:sz w:val="15"/>
                                </w:rPr>
                                <w:t> </w:t>
                              </w:r>
                              <w:r>
                                <w:rPr>
                                  <w:color w:val="231F20"/>
                                  <w:spacing w:val="-2"/>
                                  <w:sz w:val="15"/>
                                </w:rPr>
                                <w:t>dominant</w:t>
                              </w:r>
                            </w:p>
                            <w:p>
                              <w:pPr>
                                <w:numPr>
                                  <w:ilvl w:val="0"/>
                                  <w:numId w:val="96"/>
                                </w:numPr>
                                <w:tabs>
                                  <w:tab w:pos="223" w:val="left" w:leader="none"/>
                                </w:tabs>
                                <w:spacing w:line="230" w:lineRule="auto" w:before="2"/>
                                <w:ind w:left="74" w:right="3110" w:firstLine="0"/>
                                <w:jc w:val="left"/>
                                <w:rPr>
                                  <w:color w:val="000000"/>
                                  <w:sz w:val="15"/>
                                </w:rPr>
                              </w:pPr>
                              <w:r>
                                <w:rPr>
                                  <w:color w:val="231F20"/>
                                  <w:sz w:val="15"/>
                                </w:rPr>
                                <w:t>Autosomal</w:t>
                              </w:r>
                              <w:r>
                                <w:rPr>
                                  <w:color w:val="231F20"/>
                                  <w:spacing w:val="-12"/>
                                  <w:sz w:val="15"/>
                                </w:rPr>
                                <w:t> </w:t>
                              </w:r>
                              <w:r>
                                <w:rPr>
                                  <w:color w:val="231F20"/>
                                  <w:sz w:val="15"/>
                                </w:rPr>
                                <w:t>recessive Metabolic myopathies</w:t>
                              </w:r>
                            </w:p>
                            <w:p>
                              <w:pPr>
                                <w:numPr>
                                  <w:ilvl w:val="0"/>
                                  <w:numId w:val="96"/>
                                </w:numPr>
                                <w:tabs>
                                  <w:tab w:pos="223" w:val="left" w:leader="none"/>
                                </w:tabs>
                                <w:spacing w:line="167" w:lineRule="exact" w:before="0"/>
                                <w:ind w:left="223" w:right="0" w:hanging="149"/>
                                <w:jc w:val="left"/>
                                <w:rPr>
                                  <w:color w:val="000000"/>
                                  <w:sz w:val="15"/>
                                </w:rPr>
                              </w:pPr>
                              <w:r>
                                <w:rPr>
                                  <w:color w:val="231F20"/>
                                  <w:sz w:val="15"/>
                                </w:rPr>
                                <w:t>Acid</w:t>
                              </w:r>
                              <w:r>
                                <w:rPr>
                                  <w:color w:val="231F20"/>
                                  <w:spacing w:val="-6"/>
                                  <w:sz w:val="15"/>
                                </w:rPr>
                                <w:t> </w:t>
                              </w:r>
                              <w:r>
                                <w:rPr>
                                  <w:color w:val="231F20"/>
                                  <w:sz w:val="15"/>
                                </w:rPr>
                                <w:t>maltase</w:t>
                              </w:r>
                              <w:r>
                                <w:rPr>
                                  <w:color w:val="231F20"/>
                                  <w:spacing w:val="-6"/>
                                  <w:sz w:val="15"/>
                                </w:rPr>
                                <w:t> </w:t>
                              </w:r>
                              <w:r>
                                <w:rPr>
                                  <w:color w:val="231F20"/>
                                  <w:sz w:val="15"/>
                                </w:rPr>
                                <w:t>deficiency</w:t>
                              </w:r>
                              <w:r>
                                <w:rPr>
                                  <w:color w:val="231F20"/>
                                  <w:spacing w:val="-6"/>
                                  <w:sz w:val="15"/>
                                </w:rPr>
                                <w:t> </w:t>
                              </w:r>
                              <w:r>
                                <w:rPr>
                                  <w:color w:val="231F20"/>
                                  <w:sz w:val="15"/>
                                </w:rPr>
                                <w:t>(Pompe</w:t>
                              </w:r>
                              <w:r>
                                <w:rPr>
                                  <w:color w:val="231F20"/>
                                  <w:spacing w:val="-5"/>
                                  <w:sz w:val="15"/>
                                </w:rPr>
                                <w:t> </w:t>
                              </w:r>
                              <w:r>
                                <w:rPr>
                                  <w:color w:val="231F20"/>
                                  <w:spacing w:val="-2"/>
                                  <w:sz w:val="15"/>
                                </w:rPr>
                                <w:t>disease)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Cytochrome-c</w:t>
                              </w:r>
                              <w:r>
                                <w:rPr>
                                  <w:color w:val="231F20"/>
                                  <w:spacing w:val="3"/>
                                  <w:sz w:val="15"/>
                                </w:rPr>
                                <w:t> </w:t>
                              </w:r>
                              <w:r>
                                <w:rPr>
                                  <w:color w:val="231F20"/>
                                  <w:sz w:val="15"/>
                                </w:rPr>
                                <w:t>oxidase</w:t>
                              </w:r>
                              <w:r>
                                <w:rPr>
                                  <w:color w:val="231F20"/>
                                  <w:spacing w:val="4"/>
                                  <w:sz w:val="15"/>
                                </w:rPr>
                                <w:t> </w:t>
                              </w:r>
                              <w:r>
                                <w:rPr>
                                  <w:color w:val="231F20"/>
                                  <w:spacing w:val="-2"/>
                                  <w:sz w:val="15"/>
                                </w:rPr>
                                <w:t>deficiency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Other</w:t>
                              </w:r>
                              <w:r>
                                <w:rPr>
                                  <w:color w:val="231F20"/>
                                  <w:spacing w:val="-7"/>
                                  <w:sz w:val="15"/>
                                </w:rPr>
                                <w:t> </w:t>
                              </w:r>
                              <w:r>
                                <w:rPr>
                                  <w:color w:val="231F20"/>
                                  <w:sz w:val="15"/>
                                </w:rPr>
                                <w:t>mitochondrial</w:t>
                              </w:r>
                              <w:r>
                                <w:rPr>
                                  <w:color w:val="231F20"/>
                                  <w:spacing w:val="-6"/>
                                  <w:sz w:val="15"/>
                                </w:rPr>
                                <w:t> </w:t>
                              </w:r>
                              <w:r>
                                <w:rPr>
                                  <w:color w:val="231F20"/>
                                  <w:spacing w:val="-2"/>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Muscular</w:t>
                              </w:r>
                              <w:r>
                                <w:rPr>
                                  <w:color w:val="231F20"/>
                                  <w:spacing w:val="6"/>
                                  <w:sz w:val="15"/>
                                </w:rPr>
                                <w:t> </w:t>
                              </w:r>
                              <w:r>
                                <w:rPr>
                                  <w:color w:val="231F20"/>
                                  <w:spacing w:val="-2"/>
                                  <w:sz w:val="15"/>
                                </w:rPr>
                                <w:t>dystrophies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Bethlem</w:t>
                              </w:r>
                              <w:r>
                                <w:rPr>
                                  <w:color w:val="231F20"/>
                                  <w:spacing w:val="-5"/>
                                  <w:sz w:val="15"/>
                                </w:rPr>
                                <w:t> </w:t>
                              </w:r>
                              <w:r>
                                <w:rPr>
                                  <w:color w:val="231F20"/>
                                  <w:spacing w:val="-2"/>
                                  <w:sz w:val="15"/>
                                </w:rPr>
                                <w:t>myopathy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15"/>
                                  <w:sz w:val="15"/>
                                </w:rPr>
                                <w:t> </w:t>
                              </w:r>
                              <w:r>
                                <w:rPr>
                                  <w:color w:val="231F20"/>
                                  <w:spacing w:val="-2"/>
                                  <w:sz w:val="15"/>
                                </w:rPr>
                                <w:t>dystrophinopathy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1"/>
                                  <w:sz w:val="15"/>
                                </w:rPr>
                                <w:t> </w:t>
                              </w:r>
                              <w:r>
                                <w:rPr>
                                  <w:color w:val="231F20"/>
                                  <w:sz w:val="15"/>
                                </w:rPr>
                                <w:t>muscular</w:t>
                              </w:r>
                              <w:r>
                                <w:rPr>
                                  <w:color w:val="231F20"/>
                                  <w:spacing w:val="-1"/>
                                  <w:sz w:val="15"/>
                                </w:rPr>
                                <w:t> </w:t>
                              </w:r>
                              <w:r>
                                <w:rPr>
                                  <w:color w:val="231F20"/>
                                  <w:spacing w:val="-2"/>
                                  <w:sz w:val="15"/>
                                </w:rPr>
                                <w:t>dystrophy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Merosin</w:t>
                              </w:r>
                              <w:r>
                                <w:rPr>
                                  <w:color w:val="231F20"/>
                                  <w:spacing w:val="-3"/>
                                  <w:sz w:val="15"/>
                                </w:rPr>
                                <w:t> </w:t>
                              </w:r>
                              <w:r>
                                <w:rPr>
                                  <w:color w:val="231F20"/>
                                  <w:sz w:val="15"/>
                                </w:rPr>
                                <w:t>deficiency</w:t>
                              </w:r>
                              <w:r>
                                <w:rPr>
                                  <w:color w:val="231F20"/>
                                  <w:spacing w:val="-3"/>
                                  <w:sz w:val="15"/>
                                </w:rPr>
                                <w:t> </w:t>
                              </w:r>
                              <w:r>
                                <w:rPr>
                                  <w:color w:val="231F20"/>
                                  <w:spacing w:val="-2"/>
                                  <w:sz w:val="15"/>
                                </w:rPr>
                                <w:t>primary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Merosin</w:t>
                              </w:r>
                              <w:r>
                                <w:rPr>
                                  <w:color w:val="231F20"/>
                                  <w:spacing w:val="-3"/>
                                  <w:sz w:val="15"/>
                                </w:rPr>
                                <w:t> </w:t>
                              </w:r>
                              <w:r>
                                <w:rPr>
                                  <w:color w:val="231F20"/>
                                  <w:sz w:val="15"/>
                                </w:rPr>
                                <w:t>deficiency</w:t>
                              </w:r>
                              <w:r>
                                <w:rPr>
                                  <w:color w:val="231F20"/>
                                  <w:spacing w:val="-3"/>
                                  <w:sz w:val="15"/>
                                </w:rPr>
                                <w:t> </w:t>
                              </w:r>
                              <w:r>
                                <w:rPr>
                                  <w:color w:val="231F20"/>
                                  <w:spacing w:val="-2"/>
                                  <w:sz w:val="15"/>
                                </w:rPr>
                                <w:t>secondary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Merosin</w:t>
                              </w:r>
                              <w:r>
                                <w:rPr>
                                  <w:color w:val="231F20"/>
                                  <w:spacing w:val="21"/>
                                  <w:sz w:val="15"/>
                                </w:rPr>
                                <w:t> </w:t>
                              </w:r>
                              <w:r>
                                <w:rPr>
                                  <w:color w:val="231F20"/>
                                  <w:spacing w:val="-2"/>
                                  <w:sz w:val="15"/>
                                </w:rPr>
                                <w:t>positive</w:t>
                              </w:r>
                            </w:p>
                            <w:p>
                              <w:pPr>
                                <w:numPr>
                                  <w:ilvl w:val="0"/>
                                  <w:numId w:val="96"/>
                                </w:numPr>
                                <w:tabs>
                                  <w:tab w:pos="223" w:val="left" w:leader="none"/>
                                </w:tabs>
                                <w:spacing w:line="171" w:lineRule="exact" w:before="0"/>
                                <w:ind w:left="223" w:right="0" w:hanging="149"/>
                                <w:jc w:val="left"/>
                                <w:rPr>
                                  <w:color w:val="000000"/>
                                  <w:sz w:val="15"/>
                                </w:rPr>
                              </w:pPr>
                              <w:r>
                                <w:rPr>
                                  <w:color w:val="231F20"/>
                                  <w:sz w:val="15"/>
                                </w:rPr>
                                <w:t>Congenital</w:t>
                              </w:r>
                              <w:r>
                                <w:rPr>
                                  <w:color w:val="231F20"/>
                                  <w:spacing w:val="5"/>
                                  <w:sz w:val="15"/>
                                </w:rPr>
                                <w:t> </w:t>
                              </w:r>
                              <w:r>
                                <w:rPr>
                                  <w:color w:val="231F20"/>
                                  <w:sz w:val="15"/>
                                </w:rPr>
                                <w:t>myotonic</w:t>
                              </w:r>
                              <w:r>
                                <w:rPr>
                                  <w:color w:val="231F20"/>
                                  <w:spacing w:val="5"/>
                                  <w:sz w:val="15"/>
                                </w:rPr>
                                <w:t> </w:t>
                              </w:r>
                              <w:r>
                                <w:rPr>
                                  <w:color w:val="231F20"/>
                                  <w:spacing w:val="-2"/>
                                  <w:sz w:val="15"/>
                                </w:rPr>
                                <w:t>dystrophy</w:t>
                              </w:r>
                            </w:p>
                          </w:txbxContent>
                        </wps:txbx>
                        <wps:bodyPr wrap="square" lIns="0" tIns="0" rIns="0" bIns="0" rtlCol="0">
                          <a:noAutofit/>
                        </wps:bodyPr>
                      </wps:wsp>
                      <wps:wsp>
                        <wps:cNvPr id="989" name="Graphic 989"/>
                        <wps:cNvSpPr/>
                        <wps:spPr>
                          <a:xfrm>
                            <a:off x="0" y="6808306"/>
                            <a:ext cx="2986405" cy="12065"/>
                          </a:xfrm>
                          <a:custGeom>
                            <a:avLst/>
                            <a:gdLst/>
                            <a:ahLst/>
                            <a:cxnLst/>
                            <a:rect l="l" t="t" r="r" b="b"/>
                            <a:pathLst>
                              <a:path w="2986405" h="12065">
                                <a:moveTo>
                                  <a:pt x="0" y="11849"/>
                                </a:moveTo>
                                <a:lnTo>
                                  <a:pt x="2986017" y="11849"/>
                                </a:lnTo>
                                <a:lnTo>
                                  <a:pt x="2986017" y="0"/>
                                </a:lnTo>
                                <a:lnTo>
                                  <a:pt x="0" y="0"/>
                                </a:lnTo>
                                <a:lnTo>
                                  <a:pt x="0" y="11849"/>
                                </a:lnTo>
                                <a:close/>
                              </a:path>
                            </a:pathLst>
                          </a:custGeom>
                          <a:solidFill>
                            <a:srgbClr val="231F20"/>
                          </a:solidFill>
                        </wps:spPr>
                        <wps:bodyPr wrap="square" lIns="0" tIns="0" rIns="0" bIns="0" rtlCol="0">
                          <a:prstTxWarp prst="textNoShape">
                            <a:avLst/>
                          </a:prstTxWarp>
                          <a:noAutofit/>
                        </wps:bodyPr>
                      </wps:wsp>
                      <wps:wsp>
                        <wps:cNvPr id="990" name="Textbox 990"/>
                        <wps:cNvSpPr txBox="1"/>
                        <wps:spPr>
                          <a:xfrm>
                            <a:off x="734664" y="0"/>
                            <a:ext cx="2251710" cy="355600"/>
                          </a:xfrm>
                          <a:prstGeom prst="rect">
                            <a:avLst/>
                          </a:prstGeom>
                          <a:solidFill>
                            <a:srgbClr val="231F20"/>
                          </a:solidFill>
                        </wps:spPr>
                        <wps:txbx>
                          <w:txbxContent>
                            <w:p>
                              <w:pPr>
                                <w:spacing w:before="89"/>
                                <w:ind w:left="74" w:right="289" w:firstLine="0"/>
                                <w:jc w:val="left"/>
                                <w:rPr>
                                  <w:color w:val="000000"/>
                                  <w:sz w:val="16"/>
                                </w:rPr>
                              </w:pPr>
                              <w:r>
                                <w:rPr>
                                  <w:color w:val="FFFFFF"/>
                                  <w:w w:val="105"/>
                                  <w:sz w:val="16"/>
                                </w:rPr>
                                <w:t>Differential</w:t>
                              </w:r>
                              <w:r>
                                <w:rPr>
                                  <w:color w:val="FFFFFF"/>
                                  <w:spacing w:val="-13"/>
                                  <w:w w:val="105"/>
                                  <w:sz w:val="16"/>
                                </w:rPr>
                                <w:t> </w:t>
                              </w:r>
                              <w:r>
                                <w:rPr>
                                  <w:color w:val="FFFFFF"/>
                                  <w:w w:val="105"/>
                                  <w:sz w:val="16"/>
                                </w:rPr>
                                <w:t>Diagnosis</w:t>
                              </w:r>
                              <w:r>
                                <w:rPr>
                                  <w:color w:val="FFFFFF"/>
                                  <w:spacing w:val="-13"/>
                                  <w:w w:val="105"/>
                                  <w:sz w:val="16"/>
                                </w:rPr>
                                <w:t> </w:t>
                              </w:r>
                              <w:r>
                                <w:rPr>
                                  <w:color w:val="FFFFFF"/>
                                  <w:w w:val="105"/>
                                  <w:sz w:val="16"/>
                                </w:rPr>
                                <w:t>of</w:t>
                              </w:r>
                              <w:r>
                                <w:rPr>
                                  <w:color w:val="FFFFFF"/>
                                  <w:spacing w:val="-12"/>
                                  <w:w w:val="105"/>
                                  <w:sz w:val="16"/>
                                </w:rPr>
                                <w:t> </w:t>
                              </w:r>
                              <w:r>
                                <w:rPr>
                                  <w:color w:val="FFFFFF"/>
                                  <w:w w:val="105"/>
                                  <w:sz w:val="16"/>
                                </w:rPr>
                                <w:t>Infantile </w:t>
                              </w:r>
                              <w:r>
                                <w:rPr>
                                  <w:color w:val="FFFFFF"/>
                                  <w:spacing w:val="-2"/>
                                  <w:w w:val="105"/>
                                  <w:sz w:val="16"/>
                                </w:rPr>
                                <w:t>Hypotonia</w:t>
                              </w:r>
                            </w:p>
                          </w:txbxContent>
                        </wps:txbx>
                        <wps:bodyPr wrap="square" lIns="0" tIns="0" rIns="0" bIns="0" rtlCol="0">
                          <a:noAutofit/>
                        </wps:bodyPr>
                      </wps:wsp>
                      <wps:wsp>
                        <wps:cNvPr id="991" name="Textbox 991"/>
                        <wps:cNvSpPr txBox="1"/>
                        <wps:spPr>
                          <a:xfrm>
                            <a:off x="12" y="0"/>
                            <a:ext cx="723265" cy="355600"/>
                          </a:xfrm>
                          <a:prstGeom prst="rect">
                            <a:avLst/>
                          </a:prstGeom>
                          <a:solidFill>
                            <a:srgbClr val="231F20"/>
                          </a:solidFill>
                        </wps:spPr>
                        <wps:txbx>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607-</w:t>
                              </w:r>
                              <w:r>
                                <w:rPr>
                                  <w:b/>
                                  <w:color w:val="FFFFFF"/>
                                  <w:spacing w:val="-10"/>
                                  <w:w w:val="105"/>
                                  <w:sz w:val="16"/>
                                </w:rPr>
                                <w:t>3</w:t>
                              </w:r>
                            </w:p>
                          </w:txbxContent>
                        </wps:txbx>
                        <wps:bodyPr wrap="square" lIns="0" tIns="0" rIns="0" bIns="0" rtlCol="0">
                          <a:noAutofit/>
                        </wps:bodyPr>
                      </wps:wsp>
                    </wpg:wgp>
                  </a:graphicData>
                </a:graphic>
              </wp:anchor>
            </w:drawing>
          </mc:Choice>
          <mc:Fallback>
            <w:pict>
              <v:group style="position:absolute;margin-left:319.560211pt;margin-top:94.086304pt;width:235.15pt;height:537.050pt;mso-position-horizontal-relative:page;mso-position-vertical-relative:page;z-index:15794688" id="docshapegroup801" coordorigin="6391,1882" coordsize="4703,10741">
                <v:shape style="position:absolute;left:6391;top:2441;width:4703;height:10172" type="#_x0000_t202" id="docshape802" filled="true" fillcolor="#e8f5f1" stroked="false">
                  <v:textbox inset="0,0,0,0">
                    <w:txbxContent>
                      <w:p>
                        <w:pPr>
                          <w:spacing w:line="171" w:lineRule="exact" w:before="47"/>
                          <w:ind w:left="74" w:right="0" w:firstLine="0"/>
                          <w:jc w:val="left"/>
                          <w:rPr>
                            <w:color w:val="000000"/>
                            <w:sz w:val="15"/>
                          </w:rPr>
                        </w:pPr>
                        <w:r>
                          <w:rPr>
                            <w:color w:val="231F20"/>
                            <w:sz w:val="15"/>
                          </w:rPr>
                          <w:t>Cerebral</w:t>
                        </w:r>
                        <w:r>
                          <w:rPr>
                            <w:color w:val="231F20"/>
                            <w:spacing w:val="-5"/>
                            <w:sz w:val="15"/>
                          </w:rPr>
                          <w:t> </w:t>
                        </w:r>
                        <w:r>
                          <w:rPr>
                            <w:color w:val="231F20"/>
                            <w:spacing w:val="-2"/>
                            <w:sz w:val="15"/>
                          </w:rPr>
                          <w:t>hypotonia</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Benign</w:t>
                        </w:r>
                        <w:r>
                          <w:rPr>
                            <w:color w:val="231F20"/>
                            <w:spacing w:val="6"/>
                            <w:sz w:val="15"/>
                          </w:rPr>
                          <w:t> </w:t>
                        </w:r>
                        <w:r>
                          <w:rPr>
                            <w:color w:val="231F20"/>
                            <w:sz w:val="15"/>
                          </w:rPr>
                          <w:t>congenital</w:t>
                        </w:r>
                        <w:r>
                          <w:rPr>
                            <w:color w:val="231F20"/>
                            <w:spacing w:val="6"/>
                            <w:sz w:val="15"/>
                          </w:rPr>
                          <w:t> </w:t>
                        </w:r>
                        <w:r>
                          <w:rPr>
                            <w:color w:val="231F20"/>
                            <w:spacing w:val="-2"/>
                            <w:sz w:val="15"/>
                          </w:rPr>
                          <w:t>hypotonia</w:t>
                        </w:r>
                      </w:p>
                      <w:p>
                        <w:pPr>
                          <w:numPr>
                            <w:ilvl w:val="0"/>
                            <w:numId w:val="96"/>
                          </w:numPr>
                          <w:tabs>
                            <w:tab w:pos="223" w:val="left" w:leader="none"/>
                          </w:tabs>
                          <w:spacing w:line="168" w:lineRule="exact" w:before="0"/>
                          <w:ind w:left="223" w:right="0" w:hanging="149"/>
                          <w:jc w:val="left"/>
                          <w:rPr>
                            <w:color w:val="000000"/>
                            <w:sz w:val="15"/>
                          </w:rPr>
                        </w:pPr>
                        <w:r>
                          <w:rPr>
                            <w:color w:val="231F20"/>
                            <w:w w:val="105"/>
                            <w:sz w:val="15"/>
                          </w:rPr>
                          <w:t>Chromosome</w:t>
                        </w:r>
                        <w:r>
                          <w:rPr>
                            <w:color w:val="231F20"/>
                            <w:spacing w:val="-10"/>
                            <w:w w:val="105"/>
                            <w:sz w:val="15"/>
                          </w:rPr>
                          <w:t> </w:t>
                        </w:r>
                        <w:r>
                          <w:rPr>
                            <w:color w:val="231F20"/>
                            <w:spacing w:val="-2"/>
                            <w:w w:val="105"/>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Prader-Willi</w:t>
                        </w:r>
                        <w:r>
                          <w:rPr>
                            <w:color w:val="231F20"/>
                            <w:spacing w:val="-8"/>
                            <w:sz w:val="15"/>
                          </w:rPr>
                          <w:t> </w:t>
                        </w:r>
                        <w:r>
                          <w:rPr>
                            <w:color w:val="231F20"/>
                            <w:spacing w:val="-2"/>
                            <w:sz w:val="15"/>
                          </w:rPr>
                          <w:t>syndrome</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Trisomy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Chronic</w:t>
                        </w:r>
                        <w:r>
                          <w:rPr>
                            <w:color w:val="231F20"/>
                            <w:spacing w:val="13"/>
                            <w:sz w:val="15"/>
                          </w:rPr>
                          <w:t> </w:t>
                        </w:r>
                        <w:r>
                          <w:rPr>
                            <w:color w:val="231F20"/>
                            <w:sz w:val="15"/>
                          </w:rPr>
                          <w:t>nonprogressive</w:t>
                        </w:r>
                        <w:r>
                          <w:rPr>
                            <w:color w:val="231F20"/>
                            <w:spacing w:val="14"/>
                            <w:sz w:val="15"/>
                          </w:rPr>
                          <w:t> </w:t>
                        </w:r>
                        <w:r>
                          <w:rPr>
                            <w:color w:val="231F20"/>
                            <w:spacing w:val="-2"/>
                            <w:sz w:val="15"/>
                          </w:rPr>
                          <w:t>encephalopathy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Cerebral</w:t>
                        </w:r>
                        <w:r>
                          <w:rPr>
                            <w:color w:val="231F20"/>
                            <w:spacing w:val="-5"/>
                            <w:sz w:val="15"/>
                          </w:rPr>
                          <w:t> </w:t>
                        </w:r>
                        <w:r>
                          <w:rPr>
                            <w:color w:val="231F20"/>
                            <w:spacing w:val="-2"/>
                            <w:sz w:val="15"/>
                          </w:rPr>
                          <w:t>malformation</w:t>
                        </w:r>
                      </w:p>
                      <w:p>
                        <w:pPr>
                          <w:numPr>
                            <w:ilvl w:val="0"/>
                            <w:numId w:val="96"/>
                          </w:numPr>
                          <w:tabs>
                            <w:tab w:pos="223" w:val="left" w:leader="none"/>
                          </w:tabs>
                          <w:spacing w:line="168" w:lineRule="exact" w:before="0"/>
                          <w:ind w:left="223" w:right="0" w:hanging="149"/>
                          <w:jc w:val="left"/>
                          <w:rPr>
                            <w:color w:val="000000"/>
                            <w:sz w:val="15"/>
                          </w:rPr>
                        </w:pPr>
                        <w:r>
                          <w:rPr>
                            <w:color w:val="231F20"/>
                            <w:spacing w:val="-4"/>
                            <w:sz w:val="15"/>
                          </w:rPr>
                          <w:t>Perinatal</w:t>
                        </w:r>
                        <w:r>
                          <w:rPr>
                            <w:color w:val="231F20"/>
                            <w:sz w:val="15"/>
                          </w:rPr>
                          <w:t> </w:t>
                        </w:r>
                        <w:r>
                          <w:rPr>
                            <w:color w:val="231F20"/>
                            <w:spacing w:val="-2"/>
                            <w:sz w:val="15"/>
                          </w:rPr>
                          <w:t>distress</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Postnatal</w:t>
                        </w:r>
                        <w:r>
                          <w:rPr>
                            <w:color w:val="231F20"/>
                            <w:sz w:val="15"/>
                          </w:rPr>
                          <w:t> </w:t>
                        </w:r>
                        <w:r>
                          <w:rPr>
                            <w:color w:val="231F20"/>
                            <w:spacing w:val="-2"/>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Peroxisomal</w:t>
                        </w:r>
                        <w:r>
                          <w:rPr>
                            <w:color w:val="231F20"/>
                            <w:spacing w:val="-8"/>
                            <w:sz w:val="15"/>
                          </w:rPr>
                          <w:t> </w:t>
                        </w:r>
                        <w:r>
                          <w:rPr>
                            <w:color w:val="231F20"/>
                            <w:spacing w:val="-2"/>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Cerebrohepatorenal</w:t>
                        </w:r>
                        <w:r>
                          <w:rPr>
                            <w:color w:val="231F20"/>
                            <w:spacing w:val="-7"/>
                            <w:sz w:val="15"/>
                          </w:rPr>
                          <w:t> </w:t>
                        </w:r>
                        <w:r>
                          <w:rPr>
                            <w:color w:val="231F20"/>
                            <w:sz w:val="15"/>
                          </w:rPr>
                          <w:t>syndrome</w:t>
                        </w:r>
                        <w:r>
                          <w:rPr>
                            <w:color w:val="231F20"/>
                            <w:spacing w:val="-6"/>
                            <w:sz w:val="15"/>
                          </w:rPr>
                          <w:t> </w:t>
                        </w:r>
                        <w:r>
                          <w:rPr>
                            <w:color w:val="231F20"/>
                            <w:sz w:val="15"/>
                          </w:rPr>
                          <w:t>(Zellweger</w:t>
                        </w:r>
                        <w:r>
                          <w:rPr>
                            <w:color w:val="231F20"/>
                            <w:spacing w:val="-7"/>
                            <w:sz w:val="15"/>
                          </w:rPr>
                          <w:t> </w:t>
                        </w:r>
                        <w:r>
                          <w:rPr>
                            <w:color w:val="231F20"/>
                            <w:spacing w:val="-2"/>
                            <w:sz w:val="15"/>
                          </w:rPr>
                          <w:t>syndrome)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Neonatal</w:t>
                        </w:r>
                        <w:r>
                          <w:rPr>
                            <w:color w:val="231F20"/>
                            <w:spacing w:val="7"/>
                            <w:sz w:val="15"/>
                          </w:rPr>
                          <w:t> </w:t>
                        </w:r>
                        <w:r>
                          <w:rPr>
                            <w:color w:val="231F20"/>
                            <w:spacing w:val="-2"/>
                            <w:sz w:val="15"/>
                          </w:rPr>
                          <w:t>adrenoleukodystrophy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Other</w:t>
                        </w:r>
                        <w:r>
                          <w:rPr>
                            <w:color w:val="231F20"/>
                            <w:spacing w:val="2"/>
                            <w:sz w:val="15"/>
                          </w:rPr>
                          <w:t> </w:t>
                        </w:r>
                        <w:r>
                          <w:rPr>
                            <w:color w:val="231F20"/>
                            <w:sz w:val="15"/>
                          </w:rPr>
                          <w:t>genetic</w:t>
                        </w:r>
                        <w:r>
                          <w:rPr>
                            <w:color w:val="231F20"/>
                            <w:spacing w:val="3"/>
                            <w:sz w:val="15"/>
                          </w:rPr>
                          <w:t> </w:t>
                        </w:r>
                        <w:r>
                          <w:rPr>
                            <w:color w:val="231F20"/>
                            <w:spacing w:val="-2"/>
                            <w:sz w:val="15"/>
                          </w:rPr>
                          <w:t>defects</w:t>
                        </w:r>
                      </w:p>
                      <w:p>
                        <w:pPr>
                          <w:numPr>
                            <w:ilvl w:val="0"/>
                            <w:numId w:val="96"/>
                          </w:numPr>
                          <w:tabs>
                            <w:tab w:pos="223" w:val="left" w:leader="none"/>
                          </w:tabs>
                          <w:spacing w:line="168" w:lineRule="exact" w:before="0"/>
                          <w:ind w:left="223" w:right="0" w:hanging="149"/>
                          <w:jc w:val="left"/>
                          <w:rPr>
                            <w:color w:val="000000"/>
                            <w:sz w:val="15"/>
                          </w:rPr>
                        </w:pPr>
                        <w:r>
                          <w:rPr>
                            <w:color w:val="231F20"/>
                            <w:spacing w:val="-4"/>
                            <w:sz w:val="15"/>
                          </w:rPr>
                          <w:t>Familial</w:t>
                        </w:r>
                        <w:r>
                          <w:rPr>
                            <w:color w:val="231F20"/>
                            <w:spacing w:val="6"/>
                            <w:sz w:val="15"/>
                          </w:rPr>
                          <w:t> </w:t>
                        </w:r>
                        <w:r>
                          <w:rPr>
                            <w:color w:val="231F20"/>
                            <w:spacing w:val="-2"/>
                            <w:sz w:val="15"/>
                          </w:rPr>
                          <w:t>dysautonomia</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Oculocerebrorenal</w:t>
                        </w:r>
                        <w:r>
                          <w:rPr>
                            <w:color w:val="231F20"/>
                            <w:spacing w:val="-3"/>
                            <w:sz w:val="15"/>
                          </w:rPr>
                          <w:t> </w:t>
                        </w:r>
                        <w:r>
                          <w:rPr>
                            <w:color w:val="231F20"/>
                            <w:sz w:val="15"/>
                          </w:rPr>
                          <w:t>syndrome</w:t>
                        </w:r>
                        <w:r>
                          <w:rPr>
                            <w:color w:val="231F20"/>
                            <w:spacing w:val="-2"/>
                            <w:sz w:val="15"/>
                          </w:rPr>
                          <w:t> </w:t>
                        </w:r>
                        <w:r>
                          <w:rPr>
                            <w:color w:val="231F20"/>
                            <w:sz w:val="15"/>
                          </w:rPr>
                          <w:t>(Lowe</w:t>
                        </w:r>
                        <w:r>
                          <w:rPr>
                            <w:color w:val="231F20"/>
                            <w:spacing w:val="-2"/>
                            <w:sz w:val="15"/>
                          </w:rPr>
                          <w:t> syndrome)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Other</w:t>
                        </w:r>
                        <w:r>
                          <w:rPr>
                            <w:color w:val="231F20"/>
                            <w:spacing w:val="-4"/>
                            <w:sz w:val="15"/>
                          </w:rPr>
                          <w:t> </w:t>
                        </w:r>
                        <w:r>
                          <w:rPr>
                            <w:color w:val="231F20"/>
                            <w:sz w:val="15"/>
                          </w:rPr>
                          <w:t>metabolic</w:t>
                        </w:r>
                        <w:r>
                          <w:rPr>
                            <w:color w:val="231F20"/>
                            <w:spacing w:val="-4"/>
                            <w:sz w:val="15"/>
                          </w:rPr>
                          <w:t> </w:t>
                        </w:r>
                        <w:r>
                          <w:rPr>
                            <w:color w:val="231F20"/>
                            <w:spacing w:val="-2"/>
                            <w:sz w:val="15"/>
                          </w:rPr>
                          <w:t>defects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Acid</w:t>
                        </w:r>
                        <w:r>
                          <w:rPr>
                            <w:color w:val="231F20"/>
                            <w:spacing w:val="-7"/>
                            <w:sz w:val="15"/>
                          </w:rPr>
                          <w:t> </w:t>
                        </w:r>
                        <w:r>
                          <w:rPr>
                            <w:color w:val="231F20"/>
                            <w:sz w:val="15"/>
                          </w:rPr>
                          <w:t>maltase</w:t>
                        </w:r>
                        <w:r>
                          <w:rPr>
                            <w:color w:val="231F20"/>
                            <w:spacing w:val="-6"/>
                            <w:sz w:val="15"/>
                          </w:rPr>
                          <w:t> </w:t>
                        </w:r>
                        <w:r>
                          <w:rPr>
                            <w:color w:val="231F20"/>
                            <w:sz w:val="15"/>
                          </w:rPr>
                          <w:t>deficiency</w:t>
                        </w:r>
                        <w:r>
                          <w:rPr>
                            <w:color w:val="231F20"/>
                            <w:spacing w:val="-6"/>
                            <w:sz w:val="15"/>
                          </w:rPr>
                          <w:t> </w:t>
                        </w:r>
                        <w:r>
                          <w:rPr>
                            <w:color w:val="231F20"/>
                            <w:sz w:val="15"/>
                          </w:rPr>
                          <w:t>(see</w:t>
                        </w:r>
                        <w:r>
                          <w:rPr>
                            <w:color w:val="231F20"/>
                            <w:spacing w:val="-6"/>
                            <w:sz w:val="15"/>
                          </w:rPr>
                          <w:t> </w:t>
                        </w:r>
                        <w:r>
                          <w:rPr>
                            <w:color w:val="231F20"/>
                            <w:sz w:val="15"/>
                          </w:rPr>
                          <w:t>“Metabolic</w:t>
                        </w:r>
                        <w:r>
                          <w:rPr>
                            <w:color w:val="231F20"/>
                            <w:spacing w:val="-6"/>
                            <w:sz w:val="15"/>
                          </w:rPr>
                          <w:t> </w:t>
                        </w:r>
                        <w:r>
                          <w:rPr>
                            <w:color w:val="231F20"/>
                            <w:spacing w:val="-2"/>
                            <w:sz w:val="15"/>
                          </w:rPr>
                          <w:t>Myopathies”)</w:t>
                        </w:r>
                      </w:p>
                      <w:p>
                        <w:pPr>
                          <w:numPr>
                            <w:ilvl w:val="0"/>
                            <w:numId w:val="96"/>
                          </w:numPr>
                          <w:tabs>
                            <w:tab w:pos="74" w:val="left" w:leader="none"/>
                            <w:tab w:pos="222" w:val="left" w:leader="none"/>
                          </w:tabs>
                          <w:spacing w:line="230" w:lineRule="auto" w:before="2"/>
                          <w:ind w:left="74" w:right="2711" w:hanging="1"/>
                          <w:jc w:val="left"/>
                          <w:rPr>
                            <w:color w:val="000000"/>
                            <w:sz w:val="15"/>
                          </w:rPr>
                        </w:pPr>
                        <w:r>
                          <w:rPr>
                            <w:color w:val="231F20"/>
                            <w:sz w:val="15"/>
                          </w:rPr>
                          <w:t>Infantile</w:t>
                        </w:r>
                        <w:r>
                          <w:rPr>
                            <w:color w:val="231F20"/>
                            <w:spacing w:val="-6"/>
                            <w:sz w:val="15"/>
                          </w:rPr>
                          <w:t> </w:t>
                        </w:r>
                        <w:r>
                          <w:rPr>
                            <w:color w:val="231F20"/>
                            <w:sz w:val="15"/>
                          </w:rPr>
                          <w:t>G</w:t>
                        </w:r>
                        <w:r>
                          <w:rPr>
                            <w:color w:val="231F20"/>
                            <w:sz w:val="15"/>
                            <w:vertAlign w:val="subscript"/>
                          </w:rPr>
                          <w:t>M</w:t>
                        </w:r>
                        <w:r>
                          <w:rPr>
                            <w:color w:val="231F20"/>
                            <w:spacing w:val="-6"/>
                            <w:sz w:val="15"/>
                            <w:vertAlign w:val="baseline"/>
                          </w:rPr>
                          <w:t> </w:t>
                        </w:r>
                        <w:r>
                          <w:rPr>
                            <w:color w:val="231F20"/>
                            <w:sz w:val="15"/>
                            <w:vertAlign w:val="baseline"/>
                          </w:rPr>
                          <w:t>gangliosidosis </w:t>
                        </w:r>
                        <w:r>
                          <w:rPr>
                            <w:color w:val="231F20"/>
                            <w:w w:val="105"/>
                            <w:sz w:val="15"/>
                            <w:vertAlign w:val="baseline"/>
                          </w:rPr>
                          <w:t>Spinal cord disorders</w:t>
                        </w:r>
                      </w:p>
                      <w:p>
                        <w:pPr>
                          <w:spacing w:line="167" w:lineRule="exact" w:before="0"/>
                          <w:ind w:left="74" w:right="0" w:firstLine="0"/>
                          <w:jc w:val="left"/>
                          <w:rPr>
                            <w:color w:val="000000"/>
                            <w:sz w:val="15"/>
                          </w:rPr>
                        </w:pPr>
                        <w:r>
                          <w:rPr>
                            <w:color w:val="231F20"/>
                            <w:sz w:val="15"/>
                          </w:rPr>
                          <w:t>Spinal</w:t>
                        </w:r>
                        <w:r>
                          <w:rPr>
                            <w:color w:val="231F20"/>
                            <w:spacing w:val="-9"/>
                            <w:sz w:val="15"/>
                          </w:rPr>
                          <w:t> </w:t>
                        </w:r>
                        <w:r>
                          <w:rPr>
                            <w:color w:val="231F20"/>
                            <w:sz w:val="15"/>
                          </w:rPr>
                          <w:t>muscular</w:t>
                        </w:r>
                        <w:r>
                          <w:rPr>
                            <w:color w:val="231F20"/>
                            <w:spacing w:val="-8"/>
                            <w:sz w:val="15"/>
                          </w:rPr>
                          <w:t> </w:t>
                        </w:r>
                        <w:r>
                          <w:rPr>
                            <w:color w:val="231F20"/>
                            <w:spacing w:val="-2"/>
                            <w:sz w:val="15"/>
                          </w:rPr>
                          <w:t>atrophies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Acute</w:t>
                        </w:r>
                        <w:r>
                          <w:rPr>
                            <w:color w:val="231F20"/>
                            <w:spacing w:val="1"/>
                            <w:sz w:val="15"/>
                          </w:rPr>
                          <w:t> </w:t>
                        </w:r>
                        <w:r>
                          <w:rPr>
                            <w:color w:val="231F20"/>
                            <w:spacing w:val="-2"/>
                            <w:sz w:val="15"/>
                          </w:rPr>
                          <w:t>infantile</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dominant</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recessive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Cytochrome-c</w:t>
                        </w:r>
                        <w:r>
                          <w:rPr>
                            <w:color w:val="231F20"/>
                            <w:spacing w:val="3"/>
                            <w:sz w:val="15"/>
                          </w:rPr>
                          <w:t> </w:t>
                        </w:r>
                        <w:r>
                          <w:rPr>
                            <w:color w:val="231F20"/>
                            <w:sz w:val="15"/>
                          </w:rPr>
                          <w:t>oxidase</w:t>
                        </w:r>
                        <w:r>
                          <w:rPr>
                            <w:color w:val="231F20"/>
                            <w:spacing w:val="4"/>
                            <w:sz w:val="15"/>
                          </w:rPr>
                          <w:t> </w:t>
                        </w:r>
                        <w:r>
                          <w:rPr>
                            <w:color w:val="231F20"/>
                            <w:spacing w:val="-2"/>
                            <w:sz w:val="15"/>
                          </w:rPr>
                          <w:t>deficiency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X-linked</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Chronic</w:t>
                        </w:r>
                        <w:r>
                          <w:rPr>
                            <w:color w:val="231F20"/>
                            <w:spacing w:val="6"/>
                            <w:sz w:val="15"/>
                          </w:rPr>
                          <w:t> </w:t>
                        </w:r>
                        <w:r>
                          <w:rPr>
                            <w:color w:val="231F20"/>
                            <w:spacing w:val="-2"/>
                            <w:sz w:val="15"/>
                          </w:rPr>
                          <w:t>infantile</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dominant</w:t>
                        </w:r>
                      </w:p>
                      <w:p>
                        <w:pPr>
                          <w:numPr>
                            <w:ilvl w:val="1"/>
                            <w:numId w:val="96"/>
                          </w:numPr>
                          <w:tabs>
                            <w:tab w:pos="372" w:val="left" w:leader="none"/>
                          </w:tabs>
                          <w:spacing w:line="168" w:lineRule="exact" w:before="0"/>
                          <w:ind w:left="372" w:right="0" w:hanging="149"/>
                          <w:jc w:val="left"/>
                          <w:rPr>
                            <w:color w:val="000000"/>
                            <w:sz w:val="15"/>
                          </w:rPr>
                        </w:pPr>
                        <w:r>
                          <w:rPr>
                            <w:color w:val="231F20"/>
                            <w:sz w:val="15"/>
                          </w:rPr>
                          <w:t>Autosomal</w:t>
                        </w:r>
                        <w:r>
                          <w:rPr>
                            <w:color w:val="231F20"/>
                            <w:spacing w:val="14"/>
                            <w:sz w:val="15"/>
                          </w:rPr>
                          <w:t> </w:t>
                        </w:r>
                        <w:r>
                          <w:rPr>
                            <w:color w:val="231F20"/>
                            <w:spacing w:val="-2"/>
                            <w:sz w:val="15"/>
                          </w:rPr>
                          <w:t>recessive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12"/>
                            <w:sz w:val="15"/>
                          </w:rPr>
                          <w:t> </w:t>
                        </w:r>
                        <w:r>
                          <w:rPr>
                            <w:color w:val="231F20"/>
                            <w:sz w:val="15"/>
                          </w:rPr>
                          <w:t>cervical</w:t>
                        </w:r>
                        <w:r>
                          <w:rPr>
                            <w:color w:val="231F20"/>
                            <w:spacing w:val="-11"/>
                            <w:sz w:val="15"/>
                          </w:rPr>
                          <w:t> </w:t>
                        </w:r>
                        <w:r>
                          <w:rPr>
                            <w:color w:val="231F20"/>
                            <w:sz w:val="15"/>
                          </w:rPr>
                          <w:t>spinal</w:t>
                        </w:r>
                        <w:r>
                          <w:rPr>
                            <w:color w:val="231F20"/>
                            <w:spacing w:val="-11"/>
                            <w:sz w:val="15"/>
                          </w:rPr>
                          <w:t> </w:t>
                        </w:r>
                        <w:r>
                          <w:rPr>
                            <w:color w:val="231F20"/>
                            <w:sz w:val="15"/>
                          </w:rPr>
                          <w:t>muscular</w:t>
                        </w:r>
                        <w:r>
                          <w:rPr>
                            <w:color w:val="231F20"/>
                            <w:spacing w:val="-11"/>
                            <w:sz w:val="15"/>
                          </w:rPr>
                          <w:t> </w:t>
                        </w:r>
                        <w:r>
                          <w:rPr>
                            <w:color w:val="231F20"/>
                            <w:spacing w:val="-2"/>
                            <w:sz w:val="15"/>
                          </w:rPr>
                          <w:t>atrophy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Infantile</w:t>
                        </w:r>
                        <w:r>
                          <w:rPr>
                            <w:color w:val="231F20"/>
                            <w:spacing w:val="-5"/>
                            <w:sz w:val="15"/>
                          </w:rPr>
                          <w:t> </w:t>
                        </w:r>
                        <w:r>
                          <w:rPr>
                            <w:color w:val="231F20"/>
                            <w:spacing w:val="-2"/>
                            <w:sz w:val="15"/>
                          </w:rPr>
                          <w:t>neuronal</w:t>
                        </w:r>
                        <w:r>
                          <w:rPr>
                            <w:color w:val="231F20"/>
                            <w:spacing w:val="-5"/>
                            <w:sz w:val="15"/>
                          </w:rPr>
                          <w:t> </w:t>
                        </w:r>
                        <w:r>
                          <w:rPr>
                            <w:color w:val="231F20"/>
                            <w:spacing w:val="-2"/>
                            <w:sz w:val="15"/>
                          </w:rPr>
                          <w:t>degeneration</w:t>
                        </w:r>
                      </w:p>
                      <w:p>
                        <w:pPr>
                          <w:numPr>
                            <w:ilvl w:val="0"/>
                            <w:numId w:val="96"/>
                          </w:numPr>
                          <w:tabs>
                            <w:tab w:pos="223" w:val="left" w:leader="none"/>
                          </w:tabs>
                          <w:spacing w:line="230" w:lineRule="auto" w:before="3"/>
                          <w:ind w:left="74" w:right="2693" w:firstLine="0"/>
                          <w:jc w:val="left"/>
                          <w:rPr>
                            <w:color w:val="000000"/>
                            <w:sz w:val="15"/>
                          </w:rPr>
                        </w:pPr>
                        <w:r>
                          <w:rPr>
                            <w:color w:val="231F20"/>
                            <w:sz w:val="15"/>
                          </w:rPr>
                          <w:t>Neurogenic</w:t>
                        </w:r>
                        <w:r>
                          <w:rPr>
                            <w:color w:val="231F20"/>
                            <w:spacing w:val="-6"/>
                            <w:sz w:val="15"/>
                          </w:rPr>
                          <w:t> </w:t>
                        </w:r>
                        <w:r>
                          <w:rPr>
                            <w:color w:val="231F20"/>
                            <w:sz w:val="15"/>
                          </w:rPr>
                          <w:t>arthrogryposis </w:t>
                        </w:r>
                        <w:r>
                          <w:rPr>
                            <w:color w:val="231F20"/>
                            <w:spacing w:val="-2"/>
                            <w:sz w:val="15"/>
                          </w:rPr>
                          <w:t>Polyneuropathies</w:t>
                        </w:r>
                      </w:p>
                      <w:p>
                        <w:pPr>
                          <w:numPr>
                            <w:ilvl w:val="0"/>
                            <w:numId w:val="96"/>
                          </w:numPr>
                          <w:tabs>
                            <w:tab w:pos="223" w:val="left" w:leader="none"/>
                          </w:tabs>
                          <w:spacing w:line="167" w:lineRule="exact" w:before="0"/>
                          <w:ind w:left="223" w:right="0" w:hanging="149"/>
                          <w:jc w:val="left"/>
                          <w:rPr>
                            <w:color w:val="000000"/>
                            <w:sz w:val="15"/>
                          </w:rPr>
                        </w:pPr>
                        <w:r>
                          <w:rPr>
                            <w:color w:val="231F20"/>
                            <w:sz w:val="15"/>
                          </w:rPr>
                          <w:t>Congenital</w:t>
                        </w:r>
                        <w:r>
                          <w:rPr>
                            <w:color w:val="231F20"/>
                            <w:spacing w:val="2"/>
                            <w:sz w:val="15"/>
                          </w:rPr>
                          <w:t> </w:t>
                        </w:r>
                        <w:r>
                          <w:rPr>
                            <w:color w:val="231F20"/>
                            <w:sz w:val="15"/>
                          </w:rPr>
                          <w:t>hypomyelinating</w:t>
                        </w:r>
                        <w:r>
                          <w:rPr>
                            <w:color w:val="231F20"/>
                            <w:spacing w:val="3"/>
                            <w:sz w:val="15"/>
                          </w:rPr>
                          <w:t> </w:t>
                        </w:r>
                        <w:r>
                          <w:rPr>
                            <w:color w:val="231F20"/>
                            <w:spacing w:val="-2"/>
                            <w:sz w:val="15"/>
                          </w:rPr>
                          <w:t>neuropathy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Giant</w:t>
                        </w:r>
                        <w:r>
                          <w:rPr>
                            <w:color w:val="231F20"/>
                            <w:spacing w:val="-6"/>
                            <w:sz w:val="15"/>
                          </w:rPr>
                          <w:t> </w:t>
                        </w:r>
                        <w:r>
                          <w:rPr>
                            <w:color w:val="231F20"/>
                            <w:sz w:val="15"/>
                          </w:rPr>
                          <w:t>axonal</w:t>
                        </w:r>
                        <w:r>
                          <w:rPr>
                            <w:color w:val="231F20"/>
                            <w:spacing w:val="-5"/>
                            <w:sz w:val="15"/>
                          </w:rPr>
                          <w:t> </w:t>
                        </w:r>
                        <w:r>
                          <w:rPr>
                            <w:color w:val="231F20"/>
                            <w:spacing w:val="-2"/>
                            <w:sz w:val="15"/>
                          </w:rPr>
                          <w:t>neuropathy</w:t>
                        </w:r>
                      </w:p>
                      <w:p>
                        <w:pPr>
                          <w:numPr>
                            <w:ilvl w:val="0"/>
                            <w:numId w:val="96"/>
                          </w:numPr>
                          <w:tabs>
                            <w:tab w:pos="223" w:val="left" w:leader="none"/>
                          </w:tabs>
                          <w:spacing w:line="230" w:lineRule="auto" w:before="3"/>
                          <w:ind w:left="74" w:right="1861" w:firstLine="0"/>
                          <w:jc w:val="left"/>
                          <w:rPr>
                            <w:color w:val="000000"/>
                            <w:sz w:val="15"/>
                          </w:rPr>
                        </w:pPr>
                        <w:r>
                          <w:rPr>
                            <w:color w:val="231F20"/>
                            <w:spacing w:val="-2"/>
                            <w:sz w:val="15"/>
                          </w:rPr>
                          <w:t>Hereditary motor-sensory </w:t>
                        </w:r>
                        <w:r>
                          <w:rPr>
                            <w:color w:val="231F20"/>
                            <w:spacing w:val="-2"/>
                            <w:sz w:val="15"/>
                          </w:rPr>
                          <w:t>neuropathies </w:t>
                        </w:r>
                        <w:r>
                          <w:rPr>
                            <w:color w:val="231F20"/>
                            <w:sz w:val="15"/>
                          </w:rPr>
                          <w:t>Disorders of neuromuscular transmission</w:t>
                        </w:r>
                      </w:p>
                      <w:p>
                        <w:pPr>
                          <w:numPr>
                            <w:ilvl w:val="0"/>
                            <w:numId w:val="96"/>
                          </w:numPr>
                          <w:tabs>
                            <w:tab w:pos="223" w:val="left" w:leader="none"/>
                          </w:tabs>
                          <w:spacing w:line="167" w:lineRule="exact" w:before="0"/>
                          <w:ind w:left="223" w:right="0" w:hanging="149"/>
                          <w:jc w:val="left"/>
                          <w:rPr>
                            <w:color w:val="000000"/>
                            <w:sz w:val="15"/>
                          </w:rPr>
                        </w:pPr>
                        <w:r>
                          <w:rPr>
                            <w:color w:val="231F20"/>
                            <w:spacing w:val="-4"/>
                            <w:sz w:val="15"/>
                          </w:rPr>
                          <w:t>Familial</w:t>
                        </w:r>
                        <w:r>
                          <w:rPr>
                            <w:color w:val="231F20"/>
                            <w:spacing w:val="-2"/>
                            <w:sz w:val="15"/>
                          </w:rPr>
                          <w:t> </w:t>
                        </w:r>
                        <w:r>
                          <w:rPr>
                            <w:color w:val="231F20"/>
                            <w:spacing w:val="-4"/>
                            <w:sz w:val="15"/>
                          </w:rPr>
                          <w:t>infantile</w:t>
                        </w:r>
                        <w:r>
                          <w:rPr>
                            <w:color w:val="231F20"/>
                            <w:spacing w:val="-1"/>
                            <w:sz w:val="15"/>
                          </w:rPr>
                          <w:t> </w:t>
                        </w:r>
                        <w:r>
                          <w:rPr>
                            <w:color w:val="231F20"/>
                            <w:spacing w:val="-4"/>
                            <w:sz w:val="15"/>
                          </w:rPr>
                          <w:t>myasthenia</w:t>
                        </w:r>
                      </w:p>
                      <w:p>
                        <w:pPr>
                          <w:numPr>
                            <w:ilvl w:val="0"/>
                            <w:numId w:val="96"/>
                          </w:numPr>
                          <w:tabs>
                            <w:tab w:pos="223" w:val="left" w:leader="none"/>
                          </w:tabs>
                          <w:spacing w:line="168" w:lineRule="exact" w:before="0"/>
                          <w:ind w:left="223" w:right="0" w:hanging="149"/>
                          <w:jc w:val="left"/>
                          <w:rPr>
                            <w:color w:val="000000"/>
                            <w:sz w:val="15"/>
                          </w:rPr>
                        </w:pPr>
                        <w:r>
                          <w:rPr>
                            <w:color w:val="231F20"/>
                            <w:spacing w:val="-5"/>
                            <w:sz w:val="15"/>
                          </w:rPr>
                          <w:t>Infantile</w:t>
                        </w:r>
                        <w:r>
                          <w:rPr>
                            <w:color w:val="231F20"/>
                            <w:spacing w:val="6"/>
                            <w:sz w:val="15"/>
                          </w:rPr>
                          <w:t> </w:t>
                        </w:r>
                        <w:r>
                          <w:rPr>
                            <w:color w:val="231F20"/>
                            <w:spacing w:val="-2"/>
                            <w:sz w:val="15"/>
                          </w:rPr>
                          <w:t>botulism</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Transitory</w:t>
                        </w:r>
                        <w:r>
                          <w:rPr>
                            <w:color w:val="231F20"/>
                            <w:spacing w:val="-8"/>
                            <w:sz w:val="15"/>
                          </w:rPr>
                          <w:t> </w:t>
                        </w:r>
                        <w:r>
                          <w:rPr>
                            <w:color w:val="231F20"/>
                            <w:spacing w:val="-2"/>
                            <w:sz w:val="15"/>
                          </w:rPr>
                          <w:t>myasthenia</w:t>
                        </w:r>
                        <w:r>
                          <w:rPr>
                            <w:color w:val="231F20"/>
                            <w:spacing w:val="-8"/>
                            <w:sz w:val="15"/>
                          </w:rPr>
                          <w:t> </w:t>
                        </w:r>
                        <w:r>
                          <w:rPr>
                            <w:color w:val="231F20"/>
                            <w:spacing w:val="-2"/>
                            <w:sz w:val="15"/>
                          </w:rPr>
                          <w:t>gravis</w:t>
                        </w:r>
                      </w:p>
                      <w:p>
                        <w:pPr>
                          <w:spacing w:line="168" w:lineRule="exact" w:before="0"/>
                          <w:ind w:left="74" w:right="0" w:firstLine="0"/>
                          <w:jc w:val="left"/>
                          <w:rPr>
                            <w:color w:val="000000"/>
                            <w:sz w:val="15"/>
                          </w:rPr>
                        </w:pPr>
                        <w:r>
                          <w:rPr>
                            <w:color w:val="231F20"/>
                            <w:sz w:val="15"/>
                          </w:rPr>
                          <w:t>Fiber-type</w:t>
                        </w:r>
                        <w:r>
                          <w:rPr>
                            <w:color w:val="231F20"/>
                            <w:spacing w:val="-2"/>
                            <w:sz w:val="15"/>
                          </w:rPr>
                          <w:t> </w:t>
                        </w:r>
                        <w:r>
                          <w:rPr>
                            <w:color w:val="231F20"/>
                            <w:sz w:val="15"/>
                          </w:rPr>
                          <w:t>disproportion</w:t>
                        </w:r>
                        <w:r>
                          <w:rPr>
                            <w:color w:val="231F20"/>
                            <w:spacing w:val="-2"/>
                            <w:sz w:val="15"/>
                          </w:rPr>
                          <w:t> myopathies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Central</w:t>
                        </w:r>
                        <w:r>
                          <w:rPr>
                            <w:color w:val="231F20"/>
                            <w:spacing w:val="-8"/>
                            <w:sz w:val="15"/>
                          </w:rPr>
                          <w:t> </w:t>
                        </w:r>
                        <w:r>
                          <w:rPr>
                            <w:color w:val="231F20"/>
                            <w:sz w:val="15"/>
                          </w:rPr>
                          <w:t>core</w:t>
                        </w:r>
                        <w:r>
                          <w:rPr>
                            <w:color w:val="231F20"/>
                            <w:spacing w:val="-8"/>
                            <w:sz w:val="15"/>
                          </w:rPr>
                          <w:t> </w:t>
                        </w:r>
                        <w:r>
                          <w:rPr>
                            <w:color w:val="231F20"/>
                            <w:spacing w:val="-2"/>
                            <w:sz w:val="15"/>
                          </w:rPr>
                          <w:t>disease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3"/>
                            <w:sz w:val="15"/>
                          </w:rPr>
                          <w:t> </w:t>
                        </w:r>
                        <w:r>
                          <w:rPr>
                            <w:color w:val="231F20"/>
                            <w:sz w:val="15"/>
                          </w:rPr>
                          <w:t>fiber-type</w:t>
                        </w:r>
                        <w:r>
                          <w:rPr>
                            <w:color w:val="231F20"/>
                            <w:spacing w:val="-2"/>
                            <w:sz w:val="15"/>
                          </w:rPr>
                          <w:t> </w:t>
                        </w:r>
                        <w:r>
                          <w:rPr>
                            <w:color w:val="231F20"/>
                            <w:sz w:val="15"/>
                          </w:rPr>
                          <w:t>disproportion</w:t>
                        </w:r>
                        <w:r>
                          <w:rPr>
                            <w:color w:val="231F20"/>
                            <w:spacing w:val="-3"/>
                            <w:sz w:val="15"/>
                          </w:rPr>
                          <w:t> </w:t>
                        </w:r>
                        <w:r>
                          <w:rPr>
                            <w:color w:val="231F20"/>
                            <w:spacing w:val="-2"/>
                            <w:sz w:val="15"/>
                          </w:rPr>
                          <w:t>myopathy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Myotubular (centronuclear) myopathy</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Acute</w:t>
                        </w:r>
                      </w:p>
                      <w:p>
                        <w:pPr>
                          <w:numPr>
                            <w:ilvl w:val="0"/>
                            <w:numId w:val="96"/>
                          </w:numPr>
                          <w:tabs>
                            <w:tab w:pos="223" w:val="left" w:leader="none"/>
                          </w:tabs>
                          <w:spacing w:line="168" w:lineRule="exact" w:before="0"/>
                          <w:ind w:left="223" w:right="0" w:hanging="149"/>
                          <w:jc w:val="left"/>
                          <w:rPr>
                            <w:color w:val="000000"/>
                            <w:sz w:val="15"/>
                          </w:rPr>
                        </w:pPr>
                        <w:r>
                          <w:rPr>
                            <w:color w:val="231F20"/>
                            <w:spacing w:val="-2"/>
                            <w:sz w:val="15"/>
                          </w:rPr>
                          <w:t>Chronic</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Nemaline</w:t>
                        </w:r>
                        <w:r>
                          <w:rPr>
                            <w:color w:val="231F20"/>
                            <w:spacing w:val="-10"/>
                            <w:sz w:val="15"/>
                          </w:rPr>
                          <w:t> </w:t>
                        </w:r>
                        <w:r>
                          <w:rPr>
                            <w:color w:val="231F20"/>
                            <w:sz w:val="15"/>
                          </w:rPr>
                          <w:t>(nemaline</w:t>
                        </w:r>
                        <w:r>
                          <w:rPr>
                            <w:color w:val="231F20"/>
                            <w:spacing w:val="-10"/>
                            <w:sz w:val="15"/>
                          </w:rPr>
                          <w:t> </w:t>
                        </w:r>
                        <w:r>
                          <w:rPr>
                            <w:color w:val="231F20"/>
                            <w:sz w:val="15"/>
                          </w:rPr>
                          <w:t>rod)</w:t>
                        </w:r>
                        <w:r>
                          <w:rPr>
                            <w:color w:val="231F20"/>
                            <w:spacing w:val="-9"/>
                            <w:sz w:val="15"/>
                          </w:rPr>
                          <w:t> </w:t>
                        </w:r>
                        <w:r>
                          <w:rPr>
                            <w:color w:val="231F20"/>
                            <w:spacing w:val="-2"/>
                            <w:sz w:val="15"/>
                          </w:rPr>
                          <w:t>myopathy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Autosomal</w:t>
                        </w:r>
                        <w:r>
                          <w:rPr>
                            <w:color w:val="231F20"/>
                            <w:spacing w:val="14"/>
                            <w:sz w:val="15"/>
                          </w:rPr>
                          <w:t> </w:t>
                        </w:r>
                        <w:r>
                          <w:rPr>
                            <w:color w:val="231F20"/>
                            <w:spacing w:val="-2"/>
                            <w:sz w:val="15"/>
                          </w:rPr>
                          <w:t>dominant</w:t>
                        </w:r>
                      </w:p>
                      <w:p>
                        <w:pPr>
                          <w:numPr>
                            <w:ilvl w:val="0"/>
                            <w:numId w:val="96"/>
                          </w:numPr>
                          <w:tabs>
                            <w:tab w:pos="223" w:val="left" w:leader="none"/>
                          </w:tabs>
                          <w:spacing w:line="230" w:lineRule="auto" w:before="2"/>
                          <w:ind w:left="74" w:right="3110" w:firstLine="0"/>
                          <w:jc w:val="left"/>
                          <w:rPr>
                            <w:color w:val="000000"/>
                            <w:sz w:val="15"/>
                          </w:rPr>
                        </w:pPr>
                        <w:r>
                          <w:rPr>
                            <w:color w:val="231F20"/>
                            <w:sz w:val="15"/>
                          </w:rPr>
                          <w:t>Autosomal</w:t>
                        </w:r>
                        <w:r>
                          <w:rPr>
                            <w:color w:val="231F20"/>
                            <w:spacing w:val="-12"/>
                            <w:sz w:val="15"/>
                          </w:rPr>
                          <w:t> </w:t>
                        </w:r>
                        <w:r>
                          <w:rPr>
                            <w:color w:val="231F20"/>
                            <w:sz w:val="15"/>
                          </w:rPr>
                          <w:t>recessive Metabolic myopathies</w:t>
                        </w:r>
                      </w:p>
                      <w:p>
                        <w:pPr>
                          <w:numPr>
                            <w:ilvl w:val="0"/>
                            <w:numId w:val="96"/>
                          </w:numPr>
                          <w:tabs>
                            <w:tab w:pos="223" w:val="left" w:leader="none"/>
                          </w:tabs>
                          <w:spacing w:line="167" w:lineRule="exact" w:before="0"/>
                          <w:ind w:left="223" w:right="0" w:hanging="149"/>
                          <w:jc w:val="left"/>
                          <w:rPr>
                            <w:color w:val="000000"/>
                            <w:sz w:val="15"/>
                          </w:rPr>
                        </w:pPr>
                        <w:r>
                          <w:rPr>
                            <w:color w:val="231F20"/>
                            <w:sz w:val="15"/>
                          </w:rPr>
                          <w:t>Acid</w:t>
                        </w:r>
                        <w:r>
                          <w:rPr>
                            <w:color w:val="231F20"/>
                            <w:spacing w:val="-6"/>
                            <w:sz w:val="15"/>
                          </w:rPr>
                          <w:t> </w:t>
                        </w:r>
                        <w:r>
                          <w:rPr>
                            <w:color w:val="231F20"/>
                            <w:sz w:val="15"/>
                          </w:rPr>
                          <w:t>maltase</w:t>
                        </w:r>
                        <w:r>
                          <w:rPr>
                            <w:color w:val="231F20"/>
                            <w:spacing w:val="-6"/>
                            <w:sz w:val="15"/>
                          </w:rPr>
                          <w:t> </w:t>
                        </w:r>
                        <w:r>
                          <w:rPr>
                            <w:color w:val="231F20"/>
                            <w:sz w:val="15"/>
                          </w:rPr>
                          <w:t>deficiency</w:t>
                        </w:r>
                        <w:r>
                          <w:rPr>
                            <w:color w:val="231F20"/>
                            <w:spacing w:val="-6"/>
                            <w:sz w:val="15"/>
                          </w:rPr>
                          <w:t> </w:t>
                        </w:r>
                        <w:r>
                          <w:rPr>
                            <w:color w:val="231F20"/>
                            <w:sz w:val="15"/>
                          </w:rPr>
                          <w:t>(Pompe</w:t>
                        </w:r>
                        <w:r>
                          <w:rPr>
                            <w:color w:val="231F20"/>
                            <w:spacing w:val="-5"/>
                            <w:sz w:val="15"/>
                          </w:rPr>
                          <w:t> </w:t>
                        </w:r>
                        <w:r>
                          <w:rPr>
                            <w:color w:val="231F20"/>
                            <w:spacing w:val="-2"/>
                            <w:sz w:val="15"/>
                          </w:rPr>
                          <w:t>disease)</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Cytochrome-c</w:t>
                        </w:r>
                        <w:r>
                          <w:rPr>
                            <w:color w:val="231F20"/>
                            <w:spacing w:val="3"/>
                            <w:sz w:val="15"/>
                          </w:rPr>
                          <w:t> </w:t>
                        </w:r>
                        <w:r>
                          <w:rPr>
                            <w:color w:val="231F20"/>
                            <w:sz w:val="15"/>
                          </w:rPr>
                          <w:t>oxidase</w:t>
                        </w:r>
                        <w:r>
                          <w:rPr>
                            <w:color w:val="231F20"/>
                            <w:spacing w:val="4"/>
                            <w:sz w:val="15"/>
                          </w:rPr>
                          <w:t> </w:t>
                        </w:r>
                        <w:r>
                          <w:rPr>
                            <w:color w:val="231F20"/>
                            <w:spacing w:val="-2"/>
                            <w:sz w:val="15"/>
                          </w:rPr>
                          <w:t>deficiency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Other</w:t>
                        </w:r>
                        <w:r>
                          <w:rPr>
                            <w:color w:val="231F20"/>
                            <w:spacing w:val="-7"/>
                            <w:sz w:val="15"/>
                          </w:rPr>
                          <w:t> </w:t>
                        </w:r>
                        <w:r>
                          <w:rPr>
                            <w:color w:val="231F20"/>
                            <w:sz w:val="15"/>
                          </w:rPr>
                          <w:t>mitochondrial</w:t>
                        </w:r>
                        <w:r>
                          <w:rPr>
                            <w:color w:val="231F20"/>
                            <w:spacing w:val="-6"/>
                            <w:sz w:val="15"/>
                          </w:rPr>
                          <w:t> </w:t>
                        </w:r>
                        <w:r>
                          <w:rPr>
                            <w:color w:val="231F20"/>
                            <w:spacing w:val="-2"/>
                            <w:sz w:val="15"/>
                          </w:rPr>
                          <w:t>disorders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Muscular</w:t>
                        </w:r>
                        <w:r>
                          <w:rPr>
                            <w:color w:val="231F20"/>
                            <w:spacing w:val="6"/>
                            <w:sz w:val="15"/>
                          </w:rPr>
                          <w:t> </w:t>
                        </w:r>
                        <w:r>
                          <w:rPr>
                            <w:color w:val="231F20"/>
                            <w:spacing w:val="-2"/>
                            <w:sz w:val="15"/>
                          </w:rPr>
                          <w:t>dystrophies</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Bethlem</w:t>
                        </w:r>
                        <w:r>
                          <w:rPr>
                            <w:color w:val="231F20"/>
                            <w:spacing w:val="-5"/>
                            <w:sz w:val="15"/>
                          </w:rPr>
                          <w:t> </w:t>
                        </w:r>
                        <w:r>
                          <w:rPr>
                            <w:color w:val="231F20"/>
                            <w:spacing w:val="-2"/>
                            <w:sz w:val="15"/>
                          </w:rPr>
                          <w:t>myopathy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15"/>
                            <w:sz w:val="15"/>
                          </w:rPr>
                          <w:t> </w:t>
                        </w:r>
                        <w:r>
                          <w:rPr>
                            <w:color w:val="231F20"/>
                            <w:spacing w:val="-2"/>
                            <w:sz w:val="15"/>
                          </w:rPr>
                          <w:t>dystrophinopathy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Congenital</w:t>
                        </w:r>
                        <w:r>
                          <w:rPr>
                            <w:color w:val="231F20"/>
                            <w:spacing w:val="-1"/>
                            <w:sz w:val="15"/>
                          </w:rPr>
                          <w:t> </w:t>
                        </w:r>
                        <w:r>
                          <w:rPr>
                            <w:color w:val="231F20"/>
                            <w:sz w:val="15"/>
                          </w:rPr>
                          <w:t>muscular</w:t>
                        </w:r>
                        <w:r>
                          <w:rPr>
                            <w:color w:val="231F20"/>
                            <w:spacing w:val="-1"/>
                            <w:sz w:val="15"/>
                          </w:rPr>
                          <w:t> </w:t>
                        </w:r>
                        <w:r>
                          <w:rPr>
                            <w:color w:val="231F20"/>
                            <w:spacing w:val="-2"/>
                            <w:sz w:val="15"/>
                          </w:rPr>
                          <w:t>dystrophy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Merosin</w:t>
                        </w:r>
                        <w:r>
                          <w:rPr>
                            <w:color w:val="231F20"/>
                            <w:spacing w:val="-3"/>
                            <w:sz w:val="15"/>
                          </w:rPr>
                          <w:t> </w:t>
                        </w:r>
                        <w:r>
                          <w:rPr>
                            <w:color w:val="231F20"/>
                            <w:sz w:val="15"/>
                          </w:rPr>
                          <w:t>deficiency</w:t>
                        </w:r>
                        <w:r>
                          <w:rPr>
                            <w:color w:val="231F20"/>
                            <w:spacing w:val="-3"/>
                            <w:sz w:val="15"/>
                          </w:rPr>
                          <w:t> </w:t>
                        </w:r>
                        <w:r>
                          <w:rPr>
                            <w:color w:val="231F20"/>
                            <w:spacing w:val="-2"/>
                            <w:sz w:val="15"/>
                          </w:rPr>
                          <w:t>primary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Merosin</w:t>
                        </w:r>
                        <w:r>
                          <w:rPr>
                            <w:color w:val="231F20"/>
                            <w:spacing w:val="-3"/>
                            <w:sz w:val="15"/>
                          </w:rPr>
                          <w:t> </w:t>
                        </w:r>
                        <w:r>
                          <w:rPr>
                            <w:color w:val="231F20"/>
                            <w:sz w:val="15"/>
                          </w:rPr>
                          <w:t>deficiency</w:t>
                        </w:r>
                        <w:r>
                          <w:rPr>
                            <w:color w:val="231F20"/>
                            <w:spacing w:val="-3"/>
                            <w:sz w:val="15"/>
                          </w:rPr>
                          <w:t> </w:t>
                        </w:r>
                        <w:r>
                          <w:rPr>
                            <w:color w:val="231F20"/>
                            <w:spacing w:val="-2"/>
                            <w:sz w:val="15"/>
                          </w:rPr>
                          <w:t>secondary</w:t>
                        </w:r>
                      </w:p>
                      <w:p>
                        <w:pPr>
                          <w:numPr>
                            <w:ilvl w:val="0"/>
                            <w:numId w:val="96"/>
                          </w:numPr>
                          <w:tabs>
                            <w:tab w:pos="223" w:val="left" w:leader="none"/>
                          </w:tabs>
                          <w:spacing w:line="168" w:lineRule="exact" w:before="0"/>
                          <w:ind w:left="223" w:right="0" w:hanging="149"/>
                          <w:jc w:val="left"/>
                          <w:rPr>
                            <w:color w:val="000000"/>
                            <w:sz w:val="15"/>
                          </w:rPr>
                        </w:pPr>
                        <w:r>
                          <w:rPr>
                            <w:color w:val="231F20"/>
                            <w:sz w:val="15"/>
                          </w:rPr>
                          <w:t>Merosin</w:t>
                        </w:r>
                        <w:r>
                          <w:rPr>
                            <w:color w:val="231F20"/>
                            <w:spacing w:val="21"/>
                            <w:sz w:val="15"/>
                          </w:rPr>
                          <w:t> </w:t>
                        </w:r>
                        <w:r>
                          <w:rPr>
                            <w:color w:val="231F20"/>
                            <w:spacing w:val="-2"/>
                            <w:sz w:val="15"/>
                          </w:rPr>
                          <w:t>positive</w:t>
                        </w:r>
                      </w:p>
                      <w:p>
                        <w:pPr>
                          <w:numPr>
                            <w:ilvl w:val="0"/>
                            <w:numId w:val="96"/>
                          </w:numPr>
                          <w:tabs>
                            <w:tab w:pos="223" w:val="left" w:leader="none"/>
                          </w:tabs>
                          <w:spacing w:line="171" w:lineRule="exact" w:before="0"/>
                          <w:ind w:left="223" w:right="0" w:hanging="149"/>
                          <w:jc w:val="left"/>
                          <w:rPr>
                            <w:color w:val="000000"/>
                            <w:sz w:val="15"/>
                          </w:rPr>
                        </w:pPr>
                        <w:r>
                          <w:rPr>
                            <w:color w:val="231F20"/>
                            <w:sz w:val="15"/>
                          </w:rPr>
                          <w:t>Congenital</w:t>
                        </w:r>
                        <w:r>
                          <w:rPr>
                            <w:color w:val="231F20"/>
                            <w:spacing w:val="5"/>
                            <w:sz w:val="15"/>
                          </w:rPr>
                          <w:t> </w:t>
                        </w:r>
                        <w:r>
                          <w:rPr>
                            <w:color w:val="231F20"/>
                            <w:sz w:val="15"/>
                          </w:rPr>
                          <w:t>myotonic</w:t>
                        </w:r>
                        <w:r>
                          <w:rPr>
                            <w:color w:val="231F20"/>
                            <w:spacing w:val="5"/>
                            <w:sz w:val="15"/>
                          </w:rPr>
                          <w:t> </w:t>
                        </w:r>
                        <w:r>
                          <w:rPr>
                            <w:color w:val="231F20"/>
                            <w:spacing w:val="-2"/>
                            <w:sz w:val="15"/>
                          </w:rPr>
                          <w:t>dystrophy</w:t>
                        </w:r>
                      </w:p>
                    </w:txbxContent>
                  </v:textbox>
                  <v:fill type="solid"/>
                  <w10:wrap type="none"/>
                </v:shape>
                <v:rect style="position:absolute;left:6391;top:12603;width:4703;height:19" id="docshape803" filled="true" fillcolor="#231f20" stroked="false">
                  <v:fill type="solid"/>
                </v:rect>
                <v:shape style="position:absolute;left:7548;top:1881;width:3546;height:560" type="#_x0000_t202" id="docshape804" filled="true" fillcolor="#231f20" stroked="false">
                  <v:textbox inset="0,0,0,0">
                    <w:txbxContent>
                      <w:p>
                        <w:pPr>
                          <w:spacing w:before="89"/>
                          <w:ind w:left="74" w:right="289" w:firstLine="0"/>
                          <w:jc w:val="left"/>
                          <w:rPr>
                            <w:color w:val="000000"/>
                            <w:sz w:val="16"/>
                          </w:rPr>
                        </w:pPr>
                        <w:r>
                          <w:rPr>
                            <w:color w:val="FFFFFF"/>
                            <w:w w:val="105"/>
                            <w:sz w:val="16"/>
                          </w:rPr>
                          <w:t>Differential</w:t>
                        </w:r>
                        <w:r>
                          <w:rPr>
                            <w:color w:val="FFFFFF"/>
                            <w:spacing w:val="-13"/>
                            <w:w w:val="105"/>
                            <w:sz w:val="16"/>
                          </w:rPr>
                          <w:t> </w:t>
                        </w:r>
                        <w:r>
                          <w:rPr>
                            <w:color w:val="FFFFFF"/>
                            <w:w w:val="105"/>
                            <w:sz w:val="16"/>
                          </w:rPr>
                          <w:t>Diagnosis</w:t>
                        </w:r>
                        <w:r>
                          <w:rPr>
                            <w:color w:val="FFFFFF"/>
                            <w:spacing w:val="-13"/>
                            <w:w w:val="105"/>
                            <w:sz w:val="16"/>
                          </w:rPr>
                          <w:t> </w:t>
                        </w:r>
                        <w:r>
                          <w:rPr>
                            <w:color w:val="FFFFFF"/>
                            <w:w w:val="105"/>
                            <w:sz w:val="16"/>
                          </w:rPr>
                          <w:t>of</w:t>
                        </w:r>
                        <w:r>
                          <w:rPr>
                            <w:color w:val="FFFFFF"/>
                            <w:spacing w:val="-12"/>
                            <w:w w:val="105"/>
                            <w:sz w:val="16"/>
                          </w:rPr>
                          <w:t> </w:t>
                        </w:r>
                        <w:r>
                          <w:rPr>
                            <w:color w:val="FFFFFF"/>
                            <w:w w:val="105"/>
                            <w:sz w:val="16"/>
                          </w:rPr>
                          <w:t>Infantile </w:t>
                        </w:r>
                        <w:r>
                          <w:rPr>
                            <w:color w:val="FFFFFF"/>
                            <w:spacing w:val="-2"/>
                            <w:w w:val="105"/>
                            <w:sz w:val="16"/>
                          </w:rPr>
                          <w:t>Hypotonia</w:t>
                        </w:r>
                      </w:p>
                    </w:txbxContent>
                  </v:textbox>
                  <v:fill type="solid"/>
                  <w10:wrap type="none"/>
                </v:shape>
                <v:shape style="position:absolute;left:6391;top:1881;width:1139;height:560" type="#_x0000_t202" id="docshape805" filled="true" fillcolor="#231f20" stroked="false">
                  <v:textbox inset="0,0,0,0">
                    <w:txbxContent>
                      <w:p>
                        <w:pPr>
                          <w:spacing w:before="89"/>
                          <w:ind w:left="111" w:right="0" w:firstLine="0"/>
                          <w:jc w:val="left"/>
                          <w:rPr>
                            <w:b/>
                            <w:color w:val="000000"/>
                            <w:sz w:val="16"/>
                          </w:rPr>
                        </w:pPr>
                        <w:r>
                          <w:rPr>
                            <w:b/>
                            <w:color w:val="FFFFFF"/>
                            <w:w w:val="105"/>
                            <w:sz w:val="16"/>
                          </w:rPr>
                          <w:t>Table</w:t>
                        </w:r>
                        <w:r>
                          <w:rPr>
                            <w:b/>
                            <w:color w:val="FFFFFF"/>
                            <w:spacing w:val="-3"/>
                            <w:w w:val="105"/>
                            <w:sz w:val="16"/>
                          </w:rPr>
                          <w:t> </w:t>
                        </w:r>
                        <w:r>
                          <w:rPr>
                            <w:b/>
                            <w:color w:val="FFFFFF"/>
                            <w:w w:val="105"/>
                            <w:sz w:val="16"/>
                          </w:rPr>
                          <w:t>607-</w:t>
                        </w:r>
                        <w:r>
                          <w:rPr>
                            <w:b/>
                            <w:color w:val="FFFFFF"/>
                            <w:spacing w:val="-10"/>
                            <w:w w:val="105"/>
                            <w:sz w:val="16"/>
                          </w:rPr>
                          <w:t>3</w:t>
                        </w:r>
                      </w:p>
                    </w:txbxContent>
                  </v:textbox>
                  <v:fill type="solid"/>
                  <w10:wrap type="none"/>
                </v:shape>
                <w10:wrap type="none"/>
              </v:group>
            </w:pict>
          </mc:Fallback>
        </mc:AlternateContent>
      </w:r>
    </w:p>
    <w:p>
      <w:pPr>
        <w:pStyle w:val="BodyText"/>
        <w:spacing w:before="135"/>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992" name="Group 992"/>
                <wp:cNvGraphicFramePr>
                  <a:graphicFrameLocks/>
                </wp:cNvGraphicFramePr>
                <a:graphic>
                  <a:graphicData uri="http://schemas.microsoft.com/office/word/2010/wordprocessingGroup">
                    <wpg:wgp>
                      <wpg:cNvPr id="992" name="Group 992"/>
                      <wpg:cNvGrpSpPr/>
                      <wpg:grpSpPr>
                        <a:xfrm>
                          <a:off x="0" y="0"/>
                          <a:ext cx="6185535" cy="170815"/>
                          <a:chExt cx="6185535" cy="170815"/>
                        </a:xfrm>
                      </wpg:grpSpPr>
                      <wps:wsp>
                        <wps:cNvPr id="993" name="Graphic 993"/>
                        <wps:cNvSpPr/>
                        <wps:spPr>
                          <a:xfrm>
                            <a:off x="0" y="92305"/>
                            <a:ext cx="24130" cy="1270"/>
                          </a:xfrm>
                          <a:custGeom>
                            <a:avLst/>
                            <a:gdLst/>
                            <a:ahLst/>
                            <a:cxnLst/>
                            <a:rect l="l" t="t" r="r" b="b"/>
                            <a:pathLst>
                              <a:path w="24130" h="0">
                                <a:moveTo>
                                  <a:pt x="0" y="0"/>
                                </a:moveTo>
                                <a:lnTo>
                                  <a:pt x="23698" y="0"/>
                                </a:lnTo>
                              </a:path>
                            </a:pathLst>
                          </a:custGeom>
                          <a:ln w="142191">
                            <a:solidFill>
                              <a:srgbClr val="007431"/>
                            </a:solidFill>
                            <a:prstDash val="solid"/>
                          </a:ln>
                        </wps:spPr>
                        <wps:bodyPr wrap="square" lIns="0" tIns="0" rIns="0" bIns="0" rtlCol="0">
                          <a:prstTxWarp prst="textNoShape">
                            <a:avLst/>
                          </a:prstTxWarp>
                          <a:noAutofit/>
                        </wps:bodyPr>
                      </wps:wsp>
                      <wps:wsp>
                        <wps:cNvPr id="994" name="Graphic 994"/>
                        <wps:cNvSpPr/>
                        <wps:spPr>
                          <a:xfrm>
                            <a:off x="0" y="15866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wps:wsp>
                        <wps:cNvPr id="995" name="Textbox 995"/>
                        <wps:cNvSpPr txBox="1"/>
                        <wps:spPr>
                          <a:xfrm>
                            <a:off x="0" y="0"/>
                            <a:ext cx="6185535" cy="170815"/>
                          </a:xfrm>
                          <a:prstGeom prst="rect">
                            <a:avLst/>
                          </a:prstGeom>
                        </wps:spPr>
                        <wps:txbx>
                          <w:txbxContent>
                            <w:p>
                              <w:pPr>
                                <w:spacing w:before="6"/>
                                <w:ind w:left="2759" w:right="-15" w:firstLine="0"/>
                                <w:jc w:val="left"/>
                                <w:rPr>
                                  <w:b/>
                                  <w:sz w:val="18"/>
                                </w:rPr>
                              </w:pPr>
                              <w:r>
                                <w:rPr>
                                  <w:b/>
                                  <w:color w:val="007431"/>
                                  <w:w w:val="105"/>
                                  <w:sz w:val="18"/>
                                </w:rPr>
                                <w:t>Chapter</w:t>
                              </w:r>
                              <w:r>
                                <w:rPr>
                                  <w:b/>
                                  <w:color w:val="007431"/>
                                  <w:spacing w:val="5"/>
                                  <w:w w:val="105"/>
                                  <w:sz w:val="18"/>
                                </w:rPr>
                                <w:t> </w:t>
                              </w:r>
                              <w:r>
                                <w:rPr>
                                  <w:b/>
                                  <w:color w:val="007431"/>
                                  <w:w w:val="105"/>
                                  <w:sz w:val="18"/>
                                </w:rPr>
                                <w:t>605</w:t>
                              </w:r>
                              <w:r>
                                <w:rPr>
                                  <w:b/>
                                  <w:color w:val="007431"/>
                                  <w:spacing w:val="29"/>
                                  <w:w w:val="105"/>
                                  <w:sz w:val="18"/>
                                </w:rPr>
                                <w:t> </w:t>
                              </w:r>
                              <w:r>
                                <w:rPr>
                                  <w:rFonts w:ascii="Lucida Sans Unicode" w:hAnsi="Lucida Sans Unicode"/>
                                  <w:color w:val="659F6F"/>
                                  <w:w w:val="105"/>
                                  <w:sz w:val="15"/>
                                </w:rPr>
                                <w:t>◆</w:t>
                              </w:r>
                              <w:r>
                                <w:rPr>
                                  <w:rFonts w:ascii="Lucida Sans Unicode" w:hAnsi="Lucida Sans Unicode"/>
                                  <w:color w:val="659F6F"/>
                                  <w:spacing w:val="37"/>
                                  <w:w w:val="105"/>
                                  <w:sz w:val="15"/>
                                </w:rPr>
                                <w:t> </w:t>
                              </w:r>
                              <w:r>
                                <w:rPr>
                                  <w:color w:val="231F20"/>
                                  <w:w w:val="105"/>
                                  <w:sz w:val="18"/>
                                </w:rPr>
                                <w:t>Idiopathic</w:t>
                              </w:r>
                              <w:r>
                                <w:rPr>
                                  <w:color w:val="231F20"/>
                                  <w:spacing w:val="2"/>
                                  <w:w w:val="105"/>
                                  <w:sz w:val="18"/>
                                </w:rPr>
                                <w:t> </w:t>
                              </w:r>
                              <w:r>
                                <w:rPr>
                                  <w:color w:val="231F20"/>
                                  <w:w w:val="105"/>
                                  <w:sz w:val="18"/>
                                </w:rPr>
                                <w:t>Intracranial</w:t>
                              </w:r>
                              <w:r>
                                <w:rPr>
                                  <w:color w:val="231F20"/>
                                  <w:spacing w:val="1"/>
                                  <w:w w:val="105"/>
                                  <w:sz w:val="18"/>
                                </w:rPr>
                                <w:t> </w:t>
                              </w:r>
                              <w:r>
                                <w:rPr>
                                  <w:color w:val="231F20"/>
                                  <w:w w:val="105"/>
                                  <w:sz w:val="18"/>
                                </w:rPr>
                                <w:t>Hypertension/Pseudotumor</w:t>
                              </w:r>
                              <w:r>
                                <w:rPr>
                                  <w:color w:val="231F20"/>
                                  <w:spacing w:val="1"/>
                                  <w:w w:val="105"/>
                                  <w:sz w:val="18"/>
                                </w:rPr>
                                <w:t> </w:t>
                              </w:r>
                              <w:r>
                                <w:rPr>
                                  <w:color w:val="231F20"/>
                                  <w:w w:val="105"/>
                                  <w:sz w:val="18"/>
                                </w:rPr>
                                <w:t>Cerebri</w:t>
                              </w:r>
                              <w:r>
                                <w:rPr>
                                  <w:color w:val="231F20"/>
                                  <w:spacing w:val="30"/>
                                  <w:w w:val="105"/>
                                  <w:sz w:val="18"/>
                                </w:rPr>
                                <w:t>  </w:t>
                              </w:r>
                              <w:r>
                                <w:rPr>
                                  <w:b/>
                                  <w:color w:val="231F20"/>
                                  <w:spacing w:val="-4"/>
                                  <w:w w:val="105"/>
                                  <w:sz w:val="18"/>
                                </w:rPr>
                                <w:t>2951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06" coordorigin="0,0" coordsize="9741,269">
                <v:line style="position:absolute" from="0,145" to="37,145" stroked="true" strokeweight="11.196167pt" strokecolor="#007431">
                  <v:stroke dashstyle="solid"/>
                </v:line>
                <v:line style="position:absolute" from="0,250" to="9741,250" stroked="true" strokeweight="1.866028pt" strokecolor="#007431">
                  <v:stroke dashstyle="solid"/>
                </v:line>
                <v:shape style="position:absolute;left:0;top:0;width:9741;height:269" type="#_x0000_t202" id="docshape807" filled="false" stroked="false">
                  <v:textbox inset="0,0,0,0">
                    <w:txbxContent>
                      <w:p>
                        <w:pPr>
                          <w:spacing w:before="6"/>
                          <w:ind w:left="2759" w:right="-15" w:firstLine="0"/>
                          <w:jc w:val="left"/>
                          <w:rPr>
                            <w:b/>
                            <w:sz w:val="18"/>
                          </w:rPr>
                        </w:pPr>
                        <w:r>
                          <w:rPr>
                            <w:b/>
                            <w:color w:val="007431"/>
                            <w:w w:val="105"/>
                            <w:sz w:val="18"/>
                          </w:rPr>
                          <w:t>Chapter</w:t>
                        </w:r>
                        <w:r>
                          <w:rPr>
                            <w:b/>
                            <w:color w:val="007431"/>
                            <w:spacing w:val="5"/>
                            <w:w w:val="105"/>
                            <w:sz w:val="18"/>
                          </w:rPr>
                          <w:t> </w:t>
                        </w:r>
                        <w:r>
                          <w:rPr>
                            <w:b/>
                            <w:color w:val="007431"/>
                            <w:w w:val="105"/>
                            <w:sz w:val="18"/>
                          </w:rPr>
                          <w:t>605</w:t>
                        </w:r>
                        <w:r>
                          <w:rPr>
                            <w:b/>
                            <w:color w:val="007431"/>
                            <w:spacing w:val="29"/>
                            <w:w w:val="105"/>
                            <w:sz w:val="18"/>
                          </w:rPr>
                          <w:t> </w:t>
                        </w:r>
                        <w:r>
                          <w:rPr>
                            <w:rFonts w:ascii="Lucida Sans Unicode" w:hAnsi="Lucida Sans Unicode"/>
                            <w:color w:val="659F6F"/>
                            <w:w w:val="105"/>
                            <w:sz w:val="15"/>
                          </w:rPr>
                          <w:t>◆</w:t>
                        </w:r>
                        <w:r>
                          <w:rPr>
                            <w:rFonts w:ascii="Lucida Sans Unicode" w:hAnsi="Lucida Sans Unicode"/>
                            <w:color w:val="659F6F"/>
                            <w:spacing w:val="37"/>
                            <w:w w:val="105"/>
                            <w:sz w:val="15"/>
                          </w:rPr>
                          <w:t> </w:t>
                        </w:r>
                        <w:r>
                          <w:rPr>
                            <w:color w:val="231F20"/>
                            <w:w w:val="105"/>
                            <w:sz w:val="18"/>
                          </w:rPr>
                          <w:t>Idiopathic</w:t>
                        </w:r>
                        <w:r>
                          <w:rPr>
                            <w:color w:val="231F20"/>
                            <w:spacing w:val="2"/>
                            <w:w w:val="105"/>
                            <w:sz w:val="18"/>
                          </w:rPr>
                          <w:t> </w:t>
                        </w:r>
                        <w:r>
                          <w:rPr>
                            <w:color w:val="231F20"/>
                            <w:w w:val="105"/>
                            <w:sz w:val="18"/>
                          </w:rPr>
                          <w:t>Intracranial</w:t>
                        </w:r>
                        <w:r>
                          <w:rPr>
                            <w:color w:val="231F20"/>
                            <w:spacing w:val="1"/>
                            <w:w w:val="105"/>
                            <w:sz w:val="18"/>
                          </w:rPr>
                          <w:t> </w:t>
                        </w:r>
                        <w:r>
                          <w:rPr>
                            <w:color w:val="231F20"/>
                            <w:w w:val="105"/>
                            <w:sz w:val="18"/>
                          </w:rPr>
                          <w:t>Hypertension/Pseudotumor</w:t>
                        </w:r>
                        <w:r>
                          <w:rPr>
                            <w:color w:val="231F20"/>
                            <w:spacing w:val="1"/>
                            <w:w w:val="105"/>
                            <w:sz w:val="18"/>
                          </w:rPr>
                          <w:t> </w:t>
                        </w:r>
                        <w:r>
                          <w:rPr>
                            <w:color w:val="231F20"/>
                            <w:w w:val="105"/>
                            <w:sz w:val="18"/>
                          </w:rPr>
                          <w:t>Cerebri</w:t>
                        </w:r>
                        <w:r>
                          <w:rPr>
                            <w:color w:val="231F20"/>
                            <w:spacing w:val="30"/>
                            <w:w w:val="105"/>
                            <w:sz w:val="18"/>
                          </w:rPr>
                          <w:t>  </w:t>
                        </w:r>
                        <w:r>
                          <w:rPr>
                            <w:b/>
                            <w:color w:val="231F20"/>
                            <w:spacing w:val="-4"/>
                            <w:w w:val="105"/>
                            <w:sz w:val="18"/>
                          </w:rPr>
                          <w:t>2951</w:t>
                        </w:r>
                      </w:p>
                    </w:txbxContent>
                  </v:textbox>
                  <w10:wrap type="none"/>
                </v:shape>
              </v:group>
            </w:pict>
          </mc:Fallback>
        </mc:AlternateContent>
      </w:r>
      <w:r>
        <w:rPr>
          <w:sz w:val="20"/>
        </w:rPr>
      </w:r>
    </w:p>
    <w:p>
      <w:pPr>
        <w:pStyle w:val="BodyText"/>
        <w:spacing w:before="9"/>
        <w:rPr>
          <w:i/>
          <w:sz w:val="16"/>
        </w:rPr>
      </w:pPr>
    </w:p>
    <w:tbl>
      <w:tblPr>
        <w:tblW w:w="0" w:type="auto"/>
        <w:jc w:val="left"/>
        <w:tblInd w:w="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1204"/>
        <w:gridCol w:w="2352"/>
      </w:tblGrid>
      <w:tr>
        <w:trPr>
          <w:trHeight w:val="564"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605-</w:t>
            </w:r>
            <w:r>
              <w:rPr>
                <w:b/>
                <w:color w:val="FFFFFF"/>
                <w:spacing w:val="-10"/>
                <w:w w:val="105"/>
                <w:sz w:val="16"/>
              </w:rPr>
              <w:t>1</w:t>
            </w:r>
          </w:p>
        </w:tc>
        <w:tc>
          <w:tcPr>
            <w:tcW w:w="3556" w:type="dxa"/>
            <w:gridSpan w:val="2"/>
            <w:tcBorders>
              <w:top w:val="nil"/>
              <w:bottom w:val="nil"/>
              <w:right w:val="nil"/>
            </w:tcBorders>
            <w:shd w:val="clear" w:color="auto" w:fill="231F20"/>
          </w:tcPr>
          <w:p>
            <w:pPr>
              <w:pStyle w:val="TableParagraph"/>
              <w:spacing w:before="89"/>
              <w:ind w:left="73" w:right="314"/>
              <w:rPr>
                <w:sz w:val="16"/>
              </w:rPr>
            </w:pPr>
            <w:r>
              <w:rPr>
                <w:color w:val="FFFFFF"/>
                <w:w w:val="105"/>
                <w:sz w:val="16"/>
              </w:rPr>
              <w:t>Etiology of Childhood </w:t>
            </w:r>
            <w:r>
              <w:rPr>
                <w:color w:val="FFFFFF"/>
                <w:w w:val="105"/>
                <w:sz w:val="16"/>
              </w:rPr>
              <w:t>Pseudotumor </w:t>
            </w:r>
            <w:r>
              <w:rPr>
                <w:color w:val="FFFFFF"/>
                <w:spacing w:val="-2"/>
                <w:w w:val="105"/>
                <w:sz w:val="16"/>
              </w:rPr>
              <w:t>Cerebri</w:t>
            </w:r>
          </w:p>
        </w:tc>
      </w:tr>
      <w:tr>
        <w:trPr>
          <w:trHeight w:val="1109" w:hRule="exact"/>
        </w:trPr>
        <w:tc>
          <w:tcPr>
            <w:tcW w:w="2352" w:type="dxa"/>
            <w:gridSpan w:val="2"/>
            <w:vMerge w:val="restart"/>
            <w:tcBorders>
              <w:top w:val="nil"/>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HEMATOLOGIC</w:t>
            </w:r>
          </w:p>
          <w:p>
            <w:pPr>
              <w:pStyle w:val="TableParagraph"/>
              <w:spacing w:line="232" w:lineRule="auto" w:before="2"/>
              <w:ind w:left="74" w:right="547"/>
              <w:rPr>
                <w:sz w:val="15"/>
              </w:rPr>
            </w:pPr>
            <w:r>
              <w:rPr>
                <w:color w:val="231F20"/>
                <w:sz w:val="15"/>
              </w:rPr>
              <w:t>Wiskott-Aldrich</w:t>
            </w:r>
            <w:r>
              <w:rPr>
                <w:color w:val="231F20"/>
                <w:spacing w:val="-12"/>
                <w:sz w:val="15"/>
              </w:rPr>
              <w:t> </w:t>
            </w:r>
            <w:r>
              <w:rPr>
                <w:color w:val="231F20"/>
                <w:sz w:val="15"/>
              </w:rPr>
              <w:t>syndrome Iron-deficiency anemia Aplastic anemia</w:t>
            </w:r>
          </w:p>
          <w:p>
            <w:pPr>
              <w:pStyle w:val="TableParagraph"/>
              <w:spacing w:line="232" w:lineRule="auto" w:before="2"/>
              <w:ind w:left="74" w:right="405"/>
              <w:rPr>
                <w:sz w:val="15"/>
              </w:rPr>
            </w:pPr>
            <w:r>
              <w:rPr>
                <w:color w:val="231F20"/>
                <w:spacing w:val="-2"/>
                <w:sz w:val="15"/>
              </w:rPr>
              <w:t>Sickle</w:t>
            </w:r>
            <w:r>
              <w:rPr>
                <w:color w:val="231F20"/>
                <w:spacing w:val="-10"/>
                <w:sz w:val="15"/>
              </w:rPr>
              <w:t> </w:t>
            </w:r>
            <w:r>
              <w:rPr>
                <w:color w:val="231F20"/>
                <w:spacing w:val="-2"/>
                <w:sz w:val="15"/>
              </w:rPr>
              <w:t>cell</w:t>
            </w:r>
            <w:r>
              <w:rPr>
                <w:color w:val="231F20"/>
                <w:spacing w:val="-9"/>
                <w:sz w:val="15"/>
              </w:rPr>
              <w:t> </w:t>
            </w:r>
            <w:r>
              <w:rPr>
                <w:color w:val="231F20"/>
                <w:spacing w:val="-2"/>
                <w:sz w:val="15"/>
              </w:rPr>
              <w:t>disease Polycythemia?</w:t>
            </w:r>
          </w:p>
          <w:p>
            <w:pPr>
              <w:pStyle w:val="TableParagraph"/>
              <w:spacing w:line="230" w:lineRule="auto" w:before="2"/>
              <w:ind w:left="186" w:right="316" w:hanging="112"/>
              <w:rPr>
                <w:sz w:val="15"/>
              </w:rPr>
            </w:pPr>
            <w:r>
              <w:rPr>
                <w:color w:val="231F20"/>
                <w:spacing w:val="-2"/>
                <w:sz w:val="15"/>
              </w:rPr>
              <w:t>Bone</w:t>
            </w:r>
            <w:r>
              <w:rPr>
                <w:color w:val="231F20"/>
                <w:spacing w:val="-3"/>
                <w:sz w:val="15"/>
              </w:rPr>
              <w:t> </w:t>
            </w:r>
            <w:r>
              <w:rPr>
                <w:color w:val="231F20"/>
                <w:spacing w:val="-2"/>
                <w:sz w:val="15"/>
              </w:rPr>
              <w:t>marrow</w:t>
            </w:r>
            <w:r>
              <w:rPr>
                <w:color w:val="231F20"/>
                <w:spacing w:val="-3"/>
                <w:sz w:val="15"/>
              </w:rPr>
              <w:t> </w:t>
            </w:r>
            <w:r>
              <w:rPr>
                <w:color w:val="231F20"/>
                <w:spacing w:val="-2"/>
                <w:sz w:val="15"/>
              </w:rPr>
              <w:t>transplantation </w:t>
            </w:r>
            <w:r>
              <w:rPr>
                <w:color w:val="231F20"/>
                <w:sz w:val="15"/>
              </w:rPr>
              <w:t>and</w:t>
            </w:r>
            <w:r>
              <w:rPr>
                <w:color w:val="231F20"/>
                <w:spacing w:val="4"/>
                <w:sz w:val="15"/>
              </w:rPr>
              <w:t> </w:t>
            </w:r>
            <w:r>
              <w:rPr>
                <w:color w:val="231F20"/>
                <w:sz w:val="15"/>
              </w:rPr>
              <w:t>associated</w:t>
            </w:r>
            <w:r>
              <w:rPr>
                <w:color w:val="231F20"/>
                <w:spacing w:val="5"/>
                <w:sz w:val="15"/>
              </w:rPr>
              <w:t> </w:t>
            </w:r>
            <w:r>
              <w:rPr>
                <w:color w:val="231F20"/>
                <w:spacing w:val="-2"/>
                <w:sz w:val="15"/>
              </w:rPr>
              <w:t>treatments?</w:t>
            </w:r>
          </w:p>
          <w:p>
            <w:pPr>
              <w:pStyle w:val="TableParagraph"/>
              <w:spacing w:line="232" w:lineRule="auto" w:before="1"/>
              <w:ind w:left="74" w:right="547"/>
              <w:rPr>
                <w:sz w:val="15"/>
              </w:rPr>
            </w:pPr>
            <w:r>
              <w:rPr>
                <w:color w:val="231F20"/>
                <w:spacing w:val="-2"/>
                <w:sz w:val="15"/>
              </w:rPr>
              <w:t>Prothrombotic</w:t>
            </w:r>
            <w:r>
              <w:rPr>
                <w:color w:val="231F20"/>
                <w:spacing w:val="-10"/>
                <w:sz w:val="15"/>
              </w:rPr>
              <w:t> </w:t>
            </w:r>
            <w:r>
              <w:rPr>
                <w:color w:val="231F20"/>
                <w:spacing w:val="-2"/>
                <w:sz w:val="15"/>
              </w:rPr>
              <w:t>states </w:t>
            </w:r>
            <w:r>
              <w:rPr>
                <w:color w:val="231F20"/>
                <w:sz w:val="15"/>
              </w:rPr>
              <w:t>Fanconi anemia</w:t>
            </w:r>
          </w:p>
        </w:tc>
        <w:tc>
          <w:tcPr>
            <w:tcW w:w="2352"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0"/>
                <w:sz w:val="15"/>
              </w:rPr>
              <w:t>NUTRITIONAL</w:t>
            </w:r>
          </w:p>
          <w:p>
            <w:pPr>
              <w:pStyle w:val="TableParagraph"/>
              <w:spacing w:line="232" w:lineRule="auto" w:before="2"/>
              <w:ind w:left="69" w:right="665"/>
              <w:rPr>
                <w:sz w:val="15"/>
              </w:rPr>
            </w:pPr>
            <w:r>
              <w:rPr>
                <w:color w:val="231F20"/>
                <w:sz w:val="15"/>
              </w:rPr>
              <w:t>Hypovitaminosis A </w:t>
            </w:r>
            <w:r>
              <w:rPr>
                <w:color w:val="231F20"/>
                <w:spacing w:val="-2"/>
                <w:sz w:val="15"/>
              </w:rPr>
              <w:t>Vitamin</w:t>
            </w:r>
            <w:r>
              <w:rPr>
                <w:color w:val="231F20"/>
                <w:spacing w:val="-10"/>
                <w:sz w:val="15"/>
              </w:rPr>
              <w:t> </w:t>
            </w:r>
            <w:r>
              <w:rPr>
                <w:color w:val="231F20"/>
                <w:spacing w:val="-2"/>
                <w:sz w:val="15"/>
              </w:rPr>
              <w:t>A</w:t>
            </w:r>
            <w:r>
              <w:rPr>
                <w:color w:val="231F20"/>
                <w:spacing w:val="-9"/>
                <w:sz w:val="15"/>
              </w:rPr>
              <w:t> </w:t>
            </w:r>
            <w:r>
              <w:rPr>
                <w:color w:val="231F20"/>
                <w:spacing w:val="-2"/>
                <w:sz w:val="15"/>
              </w:rPr>
              <w:t>intoxication </w:t>
            </w:r>
            <w:r>
              <w:rPr>
                <w:color w:val="231F20"/>
                <w:sz w:val="15"/>
              </w:rPr>
              <w:t>Hyperalimentation in</w:t>
            </w:r>
          </w:p>
          <w:p>
            <w:pPr>
              <w:pStyle w:val="TableParagraph"/>
              <w:spacing w:line="232" w:lineRule="auto"/>
              <w:ind w:left="69" w:right="316" w:firstLine="111"/>
              <w:rPr>
                <w:sz w:val="15"/>
              </w:rPr>
            </w:pPr>
            <w:r>
              <w:rPr>
                <w:color w:val="231F20"/>
                <w:sz w:val="15"/>
              </w:rPr>
              <w:t>malnourished patient Vitamin</w:t>
            </w:r>
            <w:r>
              <w:rPr>
                <w:color w:val="231F20"/>
                <w:spacing w:val="-12"/>
                <w:sz w:val="15"/>
              </w:rPr>
              <w:t> </w:t>
            </w:r>
            <w:r>
              <w:rPr>
                <w:color w:val="231F20"/>
                <w:sz w:val="15"/>
              </w:rPr>
              <w:t>D–dependent</w:t>
            </w:r>
            <w:r>
              <w:rPr>
                <w:color w:val="231F20"/>
                <w:spacing w:val="-11"/>
                <w:sz w:val="15"/>
              </w:rPr>
              <w:t> </w:t>
            </w:r>
            <w:r>
              <w:rPr>
                <w:color w:val="231F20"/>
                <w:sz w:val="15"/>
              </w:rPr>
              <w:t>rickets</w:t>
            </w:r>
          </w:p>
        </w:tc>
      </w:tr>
      <w:tr>
        <w:trPr>
          <w:trHeight w:val="673"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230" w:lineRule="auto" w:before="48"/>
              <w:ind w:left="69" w:right="405"/>
              <w:rPr>
                <w:sz w:val="15"/>
              </w:rPr>
            </w:pPr>
            <w:r>
              <w:rPr>
                <w:color w:val="231F20"/>
                <w:w w:val="110"/>
                <w:sz w:val="15"/>
              </w:rPr>
              <w:t>CONNECTIVE</w:t>
            </w:r>
            <w:r>
              <w:rPr>
                <w:color w:val="231F20"/>
                <w:spacing w:val="-2"/>
                <w:w w:val="110"/>
                <w:sz w:val="15"/>
              </w:rPr>
              <w:t> </w:t>
            </w:r>
            <w:r>
              <w:rPr>
                <w:color w:val="231F20"/>
                <w:w w:val="110"/>
                <w:sz w:val="15"/>
              </w:rPr>
              <w:t>TISSUE </w:t>
            </w:r>
            <w:r>
              <w:rPr>
                <w:color w:val="231F20"/>
                <w:spacing w:val="-2"/>
                <w:w w:val="110"/>
                <w:sz w:val="15"/>
              </w:rPr>
              <w:t>DISORDERS</w:t>
            </w:r>
          </w:p>
          <w:p>
            <w:pPr>
              <w:pStyle w:val="TableParagraph"/>
              <w:spacing w:line="230" w:lineRule="auto" w:before="3"/>
              <w:ind w:left="181" w:hanging="112"/>
              <w:rPr>
                <w:sz w:val="15"/>
              </w:rPr>
            </w:pPr>
            <w:r>
              <w:rPr>
                <w:color w:val="231F20"/>
                <w:sz w:val="15"/>
              </w:rPr>
              <w:t>Antiphospholipid</w:t>
            </w:r>
            <w:r>
              <w:rPr>
                <w:color w:val="231F20"/>
                <w:spacing w:val="-6"/>
                <w:sz w:val="15"/>
              </w:rPr>
              <w:t> </w:t>
            </w:r>
            <w:r>
              <w:rPr>
                <w:color w:val="231F20"/>
                <w:sz w:val="15"/>
              </w:rPr>
              <w:t>antibody </w:t>
            </w:r>
            <w:r>
              <w:rPr>
                <w:color w:val="231F20"/>
                <w:spacing w:val="-2"/>
                <w:sz w:val="15"/>
              </w:rPr>
              <w:t>syndrome</w:t>
            </w:r>
          </w:p>
          <w:p>
            <w:pPr>
              <w:pStyle w:val="TableParagraph"/>
              <w:spacing w:line="232" w:lineRule="auto" w:before="2"/>
              <w:ind w:left="69"/>
              <w:rPr>
                <w:sz w:val="15"/>
              </w:rPr>
            </w:pPr>
            <w:r>
              <w:rPr>
                <w:color w:val="231F20"/>
                <w:sz w:val="15"/>
              </w:rPr>
              <w:t>Systemic</w:t>
            </w:r>
            <w:r>
              <w:rPr>
                <w:color w:val="231F20"/>
                <w:spacing w:val="-12"/>
                <w:sz w:val="15"/>
              </w:rPr>
              <w:t> </w:t>
            </w:r>
            <w:r>
              <w:rPr>
                <w:color w:val="231F20"/>
                <w:sz w:val="15"/>
              </w:rPr>
              <w:t>lupus</w:t>
            </w:r>
            <w:r>
              <w:rPr>
                <w:color w:val="231F20"/>
                <w:spacing w:val="-11"/>
                <w:sz w:val="15"/>
              </w:rPr>
              <w:t> </w:t>
            </w:r>
            <w:r>
              <w:rPr>
                <w:color w:val="231F20"/>
                <w:sz w:val="15"/>
              </w:rPr>
              <w:t>erythematosus? Behçet disease</w:t>
            </w:r>
          </w:p>
        </w:tc>
      </w:tr>
      <w:tr>
        <w:trPr>
          <w:trHeight w:val="434" w:hRule="exact"/>
        </w:trPr>
        <w:tc>
          <w:tcPr>
            <w:tcW w:w="2352"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INFECTIONS</w:t>
            </w:r>
          </w:p>
          <w:p>
            <w:pPr>
              <w:pStyle w:val="TableParagraph"/>
              <w:spacing w:line="169" w:lineRule="exact"/>
              <w:ind w:left="74"/>
              <w:rPr>
                <w:sz w:val="15"/>
              </w:rPr>
            </w:pPr>
            <w:r>
              <w:rPr>
                <w:color w:val="231F20"/>
                <w:sz w:val="15"/>
              </w:rPr>
              <w:t>Acute</w:t>
            </w:r>
            <w:r>
              <w:rPr>
                <w:color w:val="231F20"/>
                <w:spacing w:val="1"/>
                <w:sz w:val="15"/>
              </w:rPr>
              <w:t> </w:t>
            </w:r>
            <w:r>
              <w:rPr>
                <w:color w:val="231F20"/>
                <w:spacing w:val="-2"/>
                <w:sz w:val="15"/>
              </w:rPr>
              <w:t>sinusitis</w:t>
            </w:r>
          </w:p>
          <w:p>
            <w:pPr>
              <w:pStyle w:val="TableParagraph"/>
              <w:spacing w:line="230" w:lineRule="auto" w:before="3"/>
              <w:ind w:left="186" w:hanging="112"/>
              <w:rPr>
                <w:sz w:val="15"/>
              </w:rPr>
            </w:pPr>
            <w:r>
              <w:rPr>
                <w:color w:val="231F20"/>
                <w:spacing w:val="-2"/>
                <w:sz w:val="15"/>
              </w:rPr>
              <w:t>Otitis</w:t>
            </w:r>
            <w:r>
              <w:rPr>
                <w:color w:val="231F20"/>
                <w:spacing w:val="-10"/>
                <w:sz w:val="15"/>
              </w:rPr>
              <w:t> </w:t>
            </w:r>
            <w:r>
              <w:rPr>
                <w:color w:val="231F20"/>
                <w:spacing w:val="-2"/>
                <w:sz w:val="15"/>
              </w:rPr>
              <w:t>media</w:t>
            </w:r>
            <w:r>
              <w:rPr>
                <w:color w:val="231F20"/>
                <w:spacing w:val="-9"/>
                <w:sz w:val="15"/>
              </w:rPr>
              <w:t> </w:t>
            </w:r>
            <w:r>
              <w:rPr>
                <w:color w:val="231F20"/>
                <w:spacing w:val="-2"/>
                <w:sz w:val="15"/>
              </w:rPr>
              <w:t>(lateral</w:t>
            </w:r>
            <w:r>
              <w:rPr>
                <w:color w:val="231F20"/>
                <w:spacing w:val="-9"/>
                <w:sz w:val="15"/>
              </w:rPr>
              <w:t> </w:t>
            </w:r>
            <w:r>
              <w:rPr>
                <w:color w:val="231F20"/>
                <w:spacing w:val="-2"/>
                <w:sz w:val="15"/>
              </w:rPr>
              <w:t>sinus thrombosis)</w:t>
            </w:r>
          </w:p>
          <w:p>
            <w:pPr>
              <w:pStyle w:val="TableParagraph"/>
              <w:spacing w:line="232" w:lineRule="auto" w:before="2"/>
              <w:ind w:left="74" w:right="1292"/>
              <w:rPr>
                <w:sz w:val="15"/>
              </w:rPr>
            </w:pPr>
            <w:r>
              <w:rPr>
                <w:color w:val="231F20"/>
                <w:spacing w:val="-2"/>
                <w:sz w:val="15"/>
              </w:rPr>
              <w:t>Mastoiditis Tonsillitis Measles Roseola</w:t>
            </w:r>
          </w:p>
          <w:p>
            <w:pPr>
              <w:pStyle w:val="TableParagraph"/>
              <w:spacing w:line="230" w:lineRule="auto" w:before="3"/>
              <w:ind w:left="186" w:right="316" w:hanging="112"/>
              <w:rPr>
                <w:sz w:val="15"/>
              </w:rPr>
            </w:pPr>
            <w:r>
              <w:rPr>
                <w:color w:val="231F20"/>
                <w:spacing w:val="-6"/>
                <w:sz w:val="15"/>
              </w:rPr>
              <w:t>Varicella,</w:t>
            </w:r>
            <w:r>
              <w:rPr>
                <w:color w:val="231F20"/>
                <w:sz w:val="15"/>
              </w:rPr>
              <w:t> </w:t>
            </w:r>
            <w:r>
              <w:rPr>
                <w:color w:val="231F20"/>
                <w:spacing w:val="-6"/>
                <w:sz w:val="15"/>
              </w:rPr>
              <w:t>recurrent</w:t>
            </w:r>
            <w:r>
              <w:rPr>
                <w:color w:val="231F20"/>
                <w:sz w:val="15"/>
              </w:rPr>
              <w:t> </w:t>
            </w:r>
            <w:r>
              <w:rPr>
                <w:color w:val="231F20"/>
                <w:spacing w:val="-6"/>
                <w:sz w:val="15"/>
              </w:rPr>
              <w:t>varicella-</w:t>
            </w:r>
            <w:r>
              <w:rPr>
                <w:color w:val="231F20"/>
                <w:sz w:val="15"/>
              </w:rPr>
              <w:t> zoster virus infection</w:t>
            </w:r>
          </w:p>
          <w:p>
            <w:pPr>
              <w:pStyle w:val="TableParagraph"/>
              <w:spacing w:line="169" w:lineRule="exact"/>
              <w:ind w:left="74"/>
              <w:rPr>
                <w:sz w:val="15"/>
              </w:rPr>
            </w:pPr>
            <w:r>
              <w:rPr>
                <w:color w:val="231F20"/>
                <w:sz w:val="15"/>
              </w:rPr>
              <w:t>Lyme</w:t>
            </w:r>
            <w:r>
              <w:rPr>
                <w:color w:val="231F20"/>
                <w:spacing w:val="-3"/>
                <w:sz w:val="15"/>
              </w:rPr>
              <w:t> </w:t>
            </w:r>
            <w:r>
              <w:rPr>
                <w:color w:val="231F20"/>
                <w:spacing w:val="-2"/>
                <w:sz w:val="15"/>
              </w:rPr>
              <w:t>disease?</w:t>
            </w:r>
          </w:p>
          <w:p>
            <w:pPr>
              <w:pStyle w:val="TableParagraph"/>
              <w:spacing w:line="230" w:lineRule="auto" w:before="3"/>
              <w:ind w:left="186" w:right="397" w:hanging="112"/>
              <w:rPr>
                <w:sz w:val="15"/>
              </w:rPr>
            </w:pPr>
            <w:r>
              <w:rPr>
                <w:color w:val="231F20"/>
                <w:sz w:val="15"/>
              </w:rPr>
              <w:t>HIV</w:t>
            </w:r>
            <w:r>
              <w:rPr>
                <w:color w:val="231F20"/>
                <w:spacing w:val="-12"/>
                <w:sz w:val="15"/>
              </w:rPr>
              <w:t> </w:t>
            </w:r>
            <w:r>
              <w:rPr>
                <w:color w:val="231F20"/>
                <w:sz w:val="15"/>
              </w:rPr>
              <w:t>or</w:t>
            </w:r>
            <w:r>
              <w:rPr>
                <w:color w:val="231F20"/>
                <w:spacing w:val="-11"/>
                <w:sz w:val="15"/>
              </w:rPr>
              <w:t> </w:t>
            </w:r>
            <w:r>
              <w:rPr>
                <w:color w:val="231F20"/>
                <w:sz w:val="15"/>
              </w:rPr>
              <w:t>associated</w:t>
            </w:r>
            <w:r>
              <w:rPr>
                <w:color w:val="231F20"/>
                <w:spacing w:val="-11"/>
                <w:sz w:val="15"/>
              </w:rPr>
              <w:t> </w:t>
            </w:r>
            <w:r>
              <w:rPr>
                <w:color w:val="231F20"/>
                <w:sz w:val="15"/>
              </w:rPr>
              <w:t>treatment </w:t>
            </w:r>
            <w:r>
              <w:rPr>
                <w:color w:val="231F20"/>
                <w:spacing w:val="-2"/>
                <w:sz w:val="15"/>
              </w:rPr>
              <w:t>complications?</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1617"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ENDOCRINE</w:t>
            </w:r>
          </w:p>
          <w:p>
            <w:pPr>
              <w:pStyle w:val="TableParagraph"/>
              <w:spacing w:line="169" w:lineRule="exact"/>
              <w:ind w:left="69"/>
              <w:rPr>
                <w:sz w:val="15"/>
              </w:rPr>
            </w:pPr>
            <w:r>
              <w:rPr>
                <w:color w:val="231F20"/>
                <w:spacing w:val="-2"/>
                <w:sz w:val="15"/>
              </w:rPr>
              <w:t>Menarche</w:t>
            </w:r>
          </w:p>
          <w:p>
            <w:pPr>
              <w:pStyle w:val="TableParagraph"/>
              <w:spacing w:line="232" w:lineRule="auto" w:before="2"/>
              <w:ind w:left="69"/>
              <w:rPr>
                <w:sz w:val="15"/>
              </w:rPr>
            </w:pPr>
            <w:r>
              <w:rPr>
                <w:color w:val="231F20"/>
                <w:spacing w:val="-2"/>
                <w:sz w:val="15"/>
              </w:rPr>
              <w:t>Polycystic</w:t>
            </w:r>
            <w:r>
              <w:rPr>
                <w:color w:val="231F20"/>
                <w:spacing w:val="-7"/>
                <w:sz w:val="15"/>
              </w:rPr>
              <w:t> </w:t>
            </w:r>
            <w:r>
              <w:rPr>
                <w:color w:val="231F20"/>
                <w:spacing w:val="-2"/>
                <w:sz w:val="15"/>
              </w:rPr>
              <w:t>ovarian</w:t>
            </w:r>
            <w:r>
              <w:rPr>
                <w:color w:val="231F20"/>
                <w:spacing w:val="-7"/>
                <w:sz w:val="15"/>
              </w:rPr>
              <w:t> </w:t>
            </w:r>
            <w:r>
              <w:rPr>
                <w:color w:val="231F20"/>
                <w:spacing w:val="-2"/>
                <w:sz w:val="15"/>
              </w:rPr>
              <w:t>syndrome Hypothyroidism Hypoparathyroidism/</w:t>
            </w:r>
          </w:p>
          <w:p>
            <w:pPr>
              <w:pStyle w:val="TableParagraph"/>
              <w:spacing w:line="232" w:lineRule="auto"/>
              <w:ind w:left="69" w:right="132" w:firstLine="111"/>
              <w:rPr>
                <w:sz w:val="15"/>
              </w:rPr>
            </w:pPr>
            <w:r>
              <w:rPr>
                <w:color w:val="231F20"/>
                <w:spacing w:val="-2"/>
                <w:sz w:val="15"/>
              </w:rPr>
              <w:t>hyperparathyroidism </w:t>
            </w:r>
            <w:r>
              <w:rPr>
                <w:color w:val="231F20"/>
                <w:sz w:val="15"/>
              </w:rPr>
              <w:t>Congenital</w:t>
            </w:r>
            <w:r>
              <w:rPr>
                <w:color w:val="231F20"/>
                <w:spacing w:val="-12"/>
                <w:sz w:val="15"/>
              </w:rPr>
              <w:t> </w:t>
            </w:r>
            <w:r>
              <w:rPr>
                <w:color w:val="231F20"/>
                <w:sz w:val="15"/>
              </w:rPr>
              <w:t>adrenal</w:t>
            </w:r>
            <w:r>
              <w:rPr>
                <w:color w:val="231F20"/>
                <w:spacing w:val="-11"/>
                <w:sz w:val="15"/>
              </w:rPr>
              <w:t> </w:t>
            </w:r>
            <w:r>
              <w:rPr>
                <w:color w:val="231F20"/>
                <w:sz w:val="15"/>
              </w:rPr>
              <w:t>hyperplasia Addison disease</w:t>
            </w:r>
          </w:p>
          <w:p>
            <w:pPr>
              <w:pStyle w:val="TableParagraph"/>
              <w:spacing w:line="171" w:lineRule="exact"/>
              <w:ind w:left="69"/>
              <w:rPr>
                <w:sz w:val="15"/>
              </w:rPr>
            </w:pPr>
            <w:r>
              <w:rPr>
                <w:color w:val="231F20"/>
                <w:sz w:val="15"/>
              </w:rPr>
              <w:t>Recombinant</w:t>
            </w:r>
            <w:r>
              <w:rPr>
                <w:color w:val="231F20"/>
                <w:spacing w:val="1"/>
                <w:sz w:val="15"/>
              </w:rPr>
              <w:t> </w:t>
            </w:r>
            <w:r>
              <w:rPr>
                <w:color w:val="231F20"/>
                <w:sz w:val="15"/>
              </w:rPr>
              <w:t>growth</w:t>
            </w:r>
            <w:r>
              <w:rPr>
                <w:color w:val="231F20"/>
                <w:spacing w:val="1"/>
                <w:sz w:val="15"/>
              </w:rPr>
              <w:t> </w:t>
            </w:r>
            <w:r>
              <w:rPr>
                <w:color w:val="231F20"/>
                <w:spacing w:val="-2"/>
                <w:sz w:val="15"/>
              </w:rPr>
              <w:t>hormone</w:t>
            </w:r>
          </w:p>
        </w:tc>
      </w:tr>
      <w:tr>
        <w:trPr>
          <w:trHeight w:val="239"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0"/>
                <w:sz w:val="15"/>
              </w:rPr>
              <w:t>OTHER</w:t>
            </w:r>
          </w:p>
          <w:p>
            <w:pPr>
              <w:pStyle w:val="TableParagraph"/>
              <w:spacing w:line="232" w:lineRule="auto" w:before="2"/>
              <w:ind w:left="69" w:right="316"/>
              <w:rPr>
                <w:sz w:val="15"/>
              </w:rPr>
            </w:pPr>
            <w:r>
              <w:rPr>
                <w:color w:val="231F20"/>
                <w:sz w:val="15"/>
              </w:rPr>
              <w:t>Dural sinus thrombosis </w:t>
            </w:r>
            <w:r>
              <w:rPr>
                <w:color w:val="231F20"/>
                <w:spacing w:val="-2"/>
                <w:sz w:val="15"/>
              </w:rPr>
              <w:t>Obesity</w:t>
            </w:r>
            <w:r>
              <w:rPr>
                <w:color w:val="231F20"/>
                <w:spacing w:val="-10"/>
                <w:sz w:val="15"/>
              </w:rPr>
              <w:t> </w:t>
            </w:r>
            <w:r>
              <w:rPr>
                <w:color w:val="231F20"/>
                <w:spacing w:val="-2"/>
                <w:sz w:val="15"/>
              </w:rPr>
              <w:t>(in</w:t>
            </w:r>
            <w:r>
              <w:rPr>
                <w:color w:val="231F20"/>
                <w:spacing w:val="-9"/>
                <w:sz w:val="15"/>
              </w:rPr>
              <w:t> </w:t>
            </w:r>
            <w:r>
              <w:rPr>
                <w:color w:val="231F20"/>
                <w:spacing w:val="-2"/>
                <w:sz w:val="15"/>
              </w:rPr>
              <w:t>pubertal</w:t>
            </w:r>
            <w:r>
              <w:rPr>
                <w:color w:val="231F20"/>
                <w:spacing w:val="-9"/>
                <w:sz w:val="15"/>
              </w:rPr>
              <w:t> </w:t>
            </w:r>
            <w:r>
              <w:rPr>
                <w:color w:val="231F20"/>
                <w:spacing w:val="-2"/>
                <w:sz w:val="15"/>
              </w:rPr>
              <w:t>patients) </w:t>
            </w:r>
            <w:r>
              <w:rPr>
                <w:color w:val="231F20"/>
                <w:sz w:val="15"/>
              </w:rPr>
              <w:t>Bariatric surgery</w:t>
            </w:r>
          </w:p>
          <w:p>
            <w:pPr>
              <w:pStyle w:val="TableParagraph"/>
              <w:spacing w:line="169" w:lineRule="exact"/>
              <w:ind w:left="69"/>
              <w:rPr>
                <w:sz w:val="15"/>
              </w:rPr>
            </w:pPr>
            <w:r>
              <w:rPr>
                <w:color w:val="231F20"/>
                <w:sz w:val="15"/>
              </w:rPr>
              <w:t>Head</w:t>
            </w:r>
            <w:r>
              <w:rPr>
                <w:color w:val="231F20"/>
                <w:spacing w:val="18"/>
                <w:sz w:val="15"/>
              </w:rPr>
              <w:t> </w:t>
            </w:r>
            <w:r>
              <w:rPr>
                <w:color w:val="231F20"/>
                <w:spacing w:val="-2"/>
                <w:sz w:val="15"/>
              </w:rPr>
              <w:t>trauma</w:t>
            </w:r>
          </w:p>
          <w:p>
            <w:pPr>
              <w:pStyle w:val="TableParagraph"/>
              <w:spacing w:line="232" w:lineRule="auto" w:before="2"/>
              <w:ind w:left="69" w:right="132"/>
              <w:rPr>
                <w:sz w:val="15"/>
              </w:rPr>
            </w:pPr>
            <w:r>
              <w:rPr>
                <w:color w:val="231F20"/>
                <w:sz w:val="15"/>
              </w:rPr>
              <w:t>Superior</w:t>
            </w:r>
            <w:r>
              <w:rPr>
                <w:color w:val="231F20"/>
                <w:spacing w:val="-10"/>
                <w:sz w:val="15"/>
              </w:rPr>
              <w:t> </w:t>
            </w:r>
            <w:r>
              <w:rPr>
                <w:color w:val="231F20"/>
                <w:sz w:val="15"/>
              </w:rPr>
              <w:t>vena</w:t>
            </w:r>
            <w:r>
              <w:rPr>
                <w:color w:val="231F20"/>
                <w:spacing w:val="-10"/>
                <w:sz w:val="15"/>
              </w:rPr>
              <w:t> </w:t>
            </w:r>
            <w:r>
              <w:rPr>
                <w:color w:val="231F20"/>
                <w:sz w:val="15"/>
              </w:rPr>
              <w:t>cava</w:t>
            </w:r>
            <w:r>
              <w:rPr>
                <w:color w:val="231F20"/>
                <w:spacing w:val="-10"/>
                <w:sz w:val="15"/>
              </w:rPr>
              <w:t> </w:t>
            </w:r>
            <w:r>
              <w:rPr>
                <w:color w:val="231F20"/>
                <w:sz w:val="15"/>
              </w:rPr>
              <w:t>syndrome Arteriovenous malformation Sleep apnea</w:t>
            </w:r>
          </w:p>
          <w:p>
            <w:pPr>
              <w:pStyle w:val="TableParagraph"/>
              <w:spacing w:line="232" w:lineRule="auto" w:before="1"/>
              <w:ind w:left="69" w:right="665"/>
              <w:rPr>
                <w:sz w:val="15"/>
              </w:rPr>
            </w:pPr>
            <w:r>
              <w:rPr>
                <w:color w:val="231F20"/>
                <w:spacing w:val="-2"/>
                <w:sz w:val="15"/>
              </w:rPr>
              <w:t>Guillain-Barré</w:t>
            </w:r>
            <w:r>
              <w:rPr>
                <w:color w:val="231F20"/>
                <w:spacing w:val="-10"/>
                <w:sz w:val="15"/>
              </w:rPr>
              <w:t> </w:t>
            </w:r>
            <w:r>
              <w:rPr>
                <w:color w:val="231F20"/>
                <w:spacing w:val="-2"/>
                <w:sz w:val="15"/>
              </w:rPr>
              <w:t>syndrome </w:t>
            </w:r>
            <w:r>
              <w:rPr>
                <w:color w:val="231F20"/>
                <w:sz w:val="15"/>
              </w:rPr>
              <w:t>Crohn disease Ulcerative colitis?</w:t>
            </w:r>
          </w:p>
          <w:p>
            <w:pPr>
              <w:pStyle w:val="TableParagraph"/>
              <w:spacing w:line="171" w:lineRule="exact"/>
              <w:ind w:left="69"/>
              <w:rPr>
                <w:sz w:val="15"/>
              </w:rPr>
            </w:pPr>
            <w:r>
              <w:rPr>
                <w:color w:val="231F20"/>
                <w:spacing w:val="-2"/>
                <w:sz w:val="15"/>
              </w:rPr>
              <w:t>Turner</w:t>
            </w:r>
            <w:r>
              <w:rPr>
                <w:color w:val="231F20"/>
                <w:spacing w:val="-5"/>
                <w:sz w:val="15"/>
              </w:rPr>
              <w:t> </w:t>
            </w:r>
            <w:r>
              <w:rPr>
                <w:color w:val="231F20"/>
                <w:spacing w:val="-2"/>
                <w:sz w:val="15"/>
              </w:rPr>
              <w:t>syndrome</w:t>
            </w:r>
          </w:p>
        </w:tc>
      </w:tr>
      <w:tr>
        <w:trPr>
          <w:trHeight w:val="1887" w:hRule="exact"/>
        </w:trPr>
        <w:tc>
          <w:tcPr>
            <w:tcW w:w="2352"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DRUGS</w:t>
            </w:r>
          </w:p>
          <w:p>
            <w:pPr>
              <w:pStyle w:val="TableParagraph"/>
              <w:spacing w:line="232" w:lineRule="auto" w:before="2"/>
              <w:ind w:left="74" w:right="1073"/>
              <w:rPr>
                <w:sz w:val="15"/>
              </w:rPr>
            </w:pPr>
            <w:r>
              <w:rPr>
                <w:color w:val="231F20"/>
                <w:spacing w:val="-2"/>
                <w:sz w:val="15"/>
              </w:rPr>
              <w:t>Tetracyclines Sulfonamides </w:t>
            </w:r>
            <w:r>
              <w:rPr>
                <w:color w:val="231F20"/>
                <w:sz w:val="15"/>
              </w:rPr>
              <w:t>Nalidixic acid </w:t>
            </w:r>
            <w:r>
              <w:rPr>
                <w:color w:val="231F20"/>
                <w:spacing w:val="-2"/>
                <w:sz w:val="15"/>
              </w:rPr>
              <w:t>Fluoroquinolones</w:t>
            </w:r>
          </w:p>
          <w:p>
            <w:pPr>
              <w:pStyle w:val="TableParagraph"/>
              <w:spacing w:line="230" w:lineRule="auto" w:before="3"/>
              <w:ind w:left="186" w:hanging="112"/>
              <w:rPr>
                <w:sz w:val="15"/>
              </w:rPr>
            </w:pPr>
            <w:r>
              <w:rPr>
                <w:color w:val="231F20"/>
                <w:sz w:val="15"/>
              </w:rPr>
              <w:t>Corticosteroid</w:t>
            </w:r>
            <w:r>
              <w:rPr>
                <w:color w:val="231F20"/>
                <w:spacing w:val="-12"/>
                <w:sz w:val="15"/>
              </w:rPr>
              <w:t> </w:t>
            </w:r>
            <w:r>
              <w:rPr>
                <w:color w:val="231F20"/>
                <w:sz w:val="15"/>
              </w:rPr>
              <w:t>therapy</w:t>
            </w:r>
            <w:r>
              <w:rPr>
                <w:color w:val="231F20"/>
                <w:spacing w:val="-11"/>
                <w:sz w:val="15"/>
              </w:rPr>
              <w:t> </w:t>
            </w:r>
            <w:r>
              <w:rPr>
                <w:color w:val="231F20"/>
                <w:sz w:val="15"/>
              </w:rPr>
              <w:t>and </w:t>
            </w:r>
            <w:r>
              <w:rPr>
                <w:color w:val="231F20"/>
                <w:spacing w:val="-2"/>
                <w:sz w:val="15"/>
              </w:rPr>
              <w:t>withdrawal</w:t>
            </w:r>
          </w:p>
          <w:p>
            <w:pPr>
              <w:pStyle w:val="TableParagraph"/>
              <w:spacing w:line="232" w:lineRule="auto" w:before="2"/>
              <w:ind w:left="74" w:right="1292"/>
              <w:rPr>
                <w:sz w:val="15"/>
              </w:rPr>
            </w:pPr>
            <w:r>
              <w:rPr>
                <w:color w:val="231F20"/>
                <w:spacing w:val="-4"/>
                <w:sz w:val="15"/>
              </w:rPr>
              <w:t>Nitrofurantoin </w:t>
            </w:r>
            <w:r>
              <w:rPr>
                <w:color w:val="231F20"/>
                <w:spacing w:val="-2"/>
                <w:sz w:val="15"/>
              </w:rPr>
              <w:t>Cytarabine Cyclosporine Phenytoin Mesalamine Isotretinoin Amiodarone?</w:t>
            </w:r>
          </w:p>
          <w:p>
            <w:pPr>
              <w:pStyle w:val="TableParagraph"/>
              <w:spacing w:line="230" w:lineRule="auto" w:before="4"/>
              <w:ind w:left="186" w:hanging="112"/>
              <w:rPr>
                <w:sz w:val="15"/>
              </w:rPr>
            </w:pPr>
            <w:r>
              <w:rPr>
                <w:color w:val="231F20"/>
                <w:spacing w:val="-2"/>
                <w:sz w:val="15"/>
              </w:rPr>
              <w:t>1-Deamino-8-</w:t>
            </w:r>
            <w:r>
              <w:rPr>
                <w:color w:val="231F20"/>
                <w:spacing w:val="-2"/>
                <w:sz w:val="12"/>
              </w:rPr>
              <w:t>D</w:t>
            </w:r>
            <w:r>
              <w:rPr>
                <w:color w:val="231F20"/>
                <w:spacing w:val="-2"/>
                <w:sz w:val="15"/>
              </w:rPr>
              <w:t>-</w:t>
            </w:r>
            <w:r>
              <w:rPr>
                <w:color w:val="231F20"/>
                <w:spacing w:val="-2"/>
                <w:sz w:val="15"/>
              </w:rPr>
              <w:t>arginin</w:t>
            </w:r>
            <w:r>
              <w:rPr>
                <w:color w:val="231F20"/>
                <w:spacing w:val="-2"/>
                <w:sz w:val="15"/>
              </w:rPr>
              <w:t>e</w:t>
            </w:r>
            <w:r>
              <w:rPr>
                <w:color w:val="231F20"/>
                <w:spacing w:val="-2"/>
                <w:sz w:val="15"/>
              </w:rPr>
              <w:t> </w:t>
            </w:r>
            <w:r>
              <w:rPr>
                <w:color w:val="231F20"/>
                <w:sz w:val="15"/>
              </w:rPr>
              <w:t>vasopressin</w:t>
            </w:r>
            <w:r>
              <w:rPr>
                <w:color w:val="231F20"/>
                <w:spacing w:val="1"/>
                <w:sz w:val="15"/>
              </w:rPr>
              <w:t> </w:t>
            </w:r>
            <w:r>
              <w:rPr>
                <w:color w:val="231F20"/>
                <w:spacing w:val="-2"/>
                <w:sz w:val="15"/>
              </w:rPr>
              <w:t>(DDAVP)?</w:t>
            </w:r>
          </w:p>
          <w:p>
            <w:pPr>
              <w:pStyle w:val="TableParagraph"/>
              <w:spacing w:line="169" w:lineRule="exact"/>
              <w:ind w:left="74"/>
              <w:rPr>
                <w:sz w:val="15"/>
              </w:rPr>
            </w:pPr>
            <w:r>
              <w:rPr>
                <w:color w:val="231F20"/>
                <w:spacing w:val="-2"/>
                <w:sz w:val="15"/>
              </w:rPr>
              <w:t>Lithium?</w:t>
            </w:r>
          </w:p>
          <w:p>
            <w:pPr>
              <w:pStyle w:val="TableParagraph"/>
              <w:spacing w:line="232" w:lineRule="auto" w:before="2"/>
              <w:ind w:left="74" w:right="594"/>
              <w:rPr>
                <w:sz w:val="15"/>
              </w:rPr>
            </w:pPr>
            <w:r>
              <w:rPr>
                <w:color w:val="231F20"/>
                <w:sz w:val="15"/>
              </w:rPr>
              <w:t>Levonorgestrel</w:t>
            </w:r>
            <w:r>
              <w:rPr>
                <w:color w:val="231F20"/>
                <w:spacing w:val="-12"/>
                <w:sz w:val="15"/>
              </w:rPr>
              <w:t> </w:t>
            </w:r>
            <w:r>
              <w:rPr>
                <w:color w:val="231F20"/>
                <w:sz w:val="15"/>
              </w:rPr>
              <w:t>implants? Oral contraceptive pills</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1423"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nil"/>
              <w:right w:val="nil"/>
            </w:tcBorders>
            <w:shd w:val="clear" w:color="auto" w:fill="E8F5F1"/>
          </w:tcPr>
          <w:p>
            <w:pPr>
              <w:pStyle w:val="TableParagraph"/>
              <w:spacing w:line="172" w:lineRule="exact" w:before="43"/>
              <w:ind w:left="69"/>
              <w:rPr>
                <w:sz w:val="15"/>
              </w:rPr>
            </w:pPr>
            <w:r>
              <w:rPr>
                <w:color w:val="231F20"/>
                <w:w w:val="110"/>
                <w:sz w:val="15"/>
              </w:rPr>
              <w:t>POSSIBLE</w:t>
            </w:r>
            <w:r>
              <w:rPr>
                <w:color w:val="231F20"/>
                <w:spacing w:val="3"/>
                <w:w w:val="115"/>
                <w:sz w:val="15"/>
              </w:rPr>
              <w:t> </w:t>
            </w:r>
            <w:r>
              <w:rPr>
                <w:color w:val="231F20"/>
                <w:spacing w:val="-2"/>
                <w:w w:val="115"/>
                <w:sz w:val="15"/>
              </w:rPr>
              <w:t>ASSOCIATIONS</w:t>
            </w:r>
          </w:p>
          <w:p>
            <w:pPr>
              <w:pStyle w:val="TableParagraph"/>
              <w:spacing w:line="232" w:lineRule="auto" w:before="2"/>
              <w:ind w:left="69" w:right="1292"/>
              <w:rPr>
                <w:sz w:val="15"/>
              </w:rPr>
            </w:pPr>
            <w:r>
              <w:rPr>
                <w:color w:val="231F20"/>
                <w:spacing w:val="-2"/>
                <w:sz w:val="15"/>
              </w:rPr>
              <w:t>Cystic</w:t>
            </w:r>
            <w:r>
              <w:rPr>
                <w:color w:val="231F20"/>
                <w:spacing w:val="-10"/>
                <w:sz w:val="15"/>
              </w:rPr>
              <w:t> </w:t>
            </w:r>
            <w:r>
              <w:rPr>
                <w:color w:val="231F20"/>
                <w:spacing w:val="-2"/>
                <w:sz w:val="15"/>
              </w:rPr>
              <w:t>fibrosis Cystinosis</w:t>
            </w:r>
          </w:p>
          <w:p>
            <w:pPr>
              <w:pStyle w:val="TableParagraph"/>
              <w:spacing w:line="232" w:lineRule="auto" w:before="1"/>
              <w:ind w:left="69"/>
              <w:rPr>
                <w:sz w:val="15"/>
              </w:rPr>
            </w:pPr>
            <w:r>
              <w:rPr>
                <w:color w:val="231F20"/>
                <w:sz w:val="15"/>
              </w:rPr>
              <w:t>Down syndrome </w:t>
            </w:r>
            <w:r>
              <w:rPr>
                <w:color w:val="231F20"/>
                <w:spacing w:val="-2"/>
                <w:sz w:val="15"/>
              </w:rPr>
              <w:t>Hypomagnesemia–hypercalciuria </w:t>
            </w:r>
            <w:r>
              <w:rPr>
                <w:color w:val="231F20"/>
                <w:sz w:val="15"/>
              </w:rPr>
              <w:t>Galactokinase deficiency </w:t>
            </w:r>
            <w:r>
              <w:rPr>
                <w:color w:val="231F20"/>
                <w:spacing w:val="-2"/>
                <w:sz w:val="15"/>
              </w:rPr>
              <w:t>Galactosemia</w:t>
            </w:r>
          </w:p>
          <w:p>
            <w:pPr>
              <w:pStyle w:val="TableParagraph"/>
              <w:spacing w:line="232" w:lineRule="auto" w:before="2"/>
              <w:ind w:left="69" w:right="405"/>
              <w:rPr>
                <w:sz w:val="15"/>
              </w:rPr>
            </w:pPr>
            <w:r>
              <w:rPr>
                <w:color w:val="231F20"/>
                <w:spacing w:val="-2"/>
                <w:sz w:val="15"/>
              </w:rPr>
              <w:t>Atrial</w:t>
            </w:r>
            <w:r>
              <w:rPr>
                <w:color w:val="231F20"/>
                <w:spacing w:val="-10"/>
                <w:sz w:val="15"/>
              </w:rPr>
              <w:t> </w:t>
            </w:r>
            <w:r>
              <w:rPr>
                <w:color w:val="231F20"/>
                <w:spacing w:val="-2"/>
                <w:sz w:val="15"/>
              </w:rPr>
              <w:t>septal</w:t>
            </w:r>
            <w:r>
              <w:rPr>
                <w:color w:val="231F20"/>
                <w:spacing w:val="-9"/>
                <w:sz w:val="15"/>
              </w:rPr>
              <w:t> </w:t>
            </w:r>
            <w:r>
              <w:rPr>
                <w:color w:val="231F20"/>
                <w:spacing w:val="-2"/>
                <w:sz w:val="15"/>
              </w:rPr>
              <w:t>defect</w:t>
            </w:r>
            <w:r>
              <w:rPr>
                <w:color w:val="231F20"/>
                <w:spacing w:val="-9"/>
                <w:sz w:val="15"/>
              </w:rPr>
              <w:t> </w:t>
            </w:r>
            <w:r>
              <w:rPr>
                <w:color w:val="231F20"/>
                <w:spacing w:val="-2"/>
                <w:sz w:val="15"/>
              </w:rPr>
              <w:t>repair </w:t>
            </w:r>
            <w:r>
              <w:rPr>
                <w:color w:val="231F20"/>
                <w:sz w:val="15"/>
              </w:rPr>
              <w:t>Moebius syndrome </w:t>
            </w:r>
            <w:r>
              <w:rPr>
                <w:color w:val="231F20"/>
                <w:spacing w:val="-2"/>
                <w:sz w:val="15"/>
              </w:rPr>
              <w:t>Sarcoidosis?</w:t>
            </w:r>
          </w:p>
        </w:tc>
      </w:tr>
      <w:tr>
        <w:trPr>
          <w:trHeight w:val="960" w:hRule="exact"/>
        </w:trPr>
        <w:tc>
          <w:tcPr>
            <w:tcW w:w="2352" w:type="dxa"/>
            <w:gridSpan w:val="2"/>
            <w:tcBorders>
              <w:top w:val="single" w:sz="4" w:space="0" w:color="FFFFFF"/>
              <w:left w:val="nil"/>
              <w:bottom w:val="nil"/>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RENAL</w:t>
            </w:r>
          </w:p>
          <w:p>
            <w:pPr>
              <w:pStyle w:val="TableParagraph"/>
              <w:spacing w:line="232" w:lineRule="auto" w:before="2"/>
              <w:ind w:left="74" w:right="448"/>
              <w:rPr>
                <w:sz w:val="15"/>
              </w:rPr>
            </w:pPr>
            <w:r>
              <w:rPr>
                <w:color w:val="231F20"/>
                <w:sz w:val="15"/>
              </w:rPr>
              <w:t>Nephrotic syndrome </w:t>
            </w:r>
            <w:r>
              <w:rPr>
                <w:color w:val="231F20"/>
                <w:spacing w:val="-2"/>
                <w:sz w:val="15"/>
              </w:rPr>
              <w:t>Chronic</w:t>
            </w:r>
            <w:r>
              <w:rPr>
                <w:color w:val="231F20"/>
                <w:spacing w:val="-10"/>
                <w:sz w:val="15"/>
              </w:rPr>
              <w:t> </w:t>
            </w:r>
            <w:r>
              <w:rPr>
                <w:color w:val="231F20"/>
                <w:spacing w:val="-2"/>
                <w:sz w:val="15"/>
              </w:rPr>
              <w:t>renal</w:t>
            </w:r>
            <w:r>
              <w:rPr>
                <w:color w:val="231F20"/>
                <w:spacing w:val="-9"/>
                <w:sz w:val="15"/>
              </w:rPr>
              <w:t> </w:t>
            </w:r>
            <w:r>
              <w:rPr>
                <w:color w:val="231F20"/>
                <w:spacing w:val="-2"/>
                <w:sz w:val="15"/>
              </w:rPr>
              <w:t>insufficiency? Post–renal transplantation? </w:t>
            </w:r>
            <w:r>
              <w:rPr>
                <w:color w:val="231F20"/>
                <w:sz w:val="15"/>
              </w:rPr>
              <w:t>Peritoneal dialysis?</w:t>
            </w:r>
          </w:p>
        </w:tc>
        <w:tc>
          <w:tcPr>
            <w:tcW w:w="2352" w:type="dxa"/>
            <w:vMerge/>
            <w:tcBorders>
              <w:top w:val="nil"/>
              <w:left w:val="single" w:sz="4" w:space="0" w:color="231F20"/>
              <w:bottom w:val="nil"/>
              <w:right w:val="nil"/>
            </w:tcBorders>
            <w:shd w:val="clear" w:color="auto" w:fill="E8F5F1"/>
          </w:tcPr>
          <w:p>
            <w:pPr>
              <w:rPr>
                <w:sz w:val="2"/>
                <w:szCs w:val="2"/>
              </w:rPr>
            </w:pPr>
          </w:p>
        </w:tc>
      </w:tr>
    </w:tbl>
    <w:p>
      <w:pPr>
        <w:spacing w:after="0"/>
        <w:rPr>
          <w:sz w:val="2"/>
          <w:szCs w:val="2"/>
        </w:rPr>
        <w:sectPr>
          <w:pgSz w:w="11900" w:h="16840"/>
          <w:pgMar w:header="0" w:footer="0" w:top="720" w:bottom="0" w:left="425" w:right="566"/>
        </w:sectPr>
      </w:pPr>
    </w:p>
    <w:p>
      <w:pPr>
        <w:pStyle w:val="BodyText"/>
        <w:rPr>
          <w:i/>
          <w:sz w:val="20"/>
        </w:rPr>
      </w:pPr>
    </w:p>
    <w:p>
      <w:pPr>
        <w:pStyle w:val="BodyText"/>
        <w:rPr>
          <w:i/>
          <w:sz w:val="20"/>
        </w:rPr>
      </w:pPr>
    </w:p>
    <w:p>
      <w:pPr>
        <w:pStyle w:val="BodyText"/>
        <w:spacing w:before="219"/>
        <w:rPr>
          <w:i/>
          <w:sz w:val="20"/>
        </w:rPr>
      </w:pPr>
    </w:p>
    <w:p>
      <w:pPr>
        <w:pStyle w:val="BodyText"/>
        <w:ind w:left="710"/>
        <w:rPr>
          <w:sz w:val="20"/>
        </w:rPr>
      </w:pPr>
      <w:r>
        <w:rPr>
          <w:sz w:val="20"/>
        </w:rPr>
        <mc:AlternateContent>
          <mc:Choice Requires="wps">
            <w:drawing>
              <wp:inline distT="0" distB="0" distL="0" distR="0">
                <wp:extent cx="6185535" cy="170815"/>
                <wp:effectExtent l="76200" t="0" r="5714" b="635"/>
                <wp:docPr id="996" name="Group 996"/>
                <wp:cNvGraphicFramePr>
                  <a:graphicFrameLocks/>
                </wp:cNvGraphicFramePr>
                <a:graphic>
                  <a:graphicData uri="http://schemas.microsoft.com/office/word/2010/wordprocessingGroup">
                    <wpg:wgp>
                      <wpg:cNvPr id="996" name="Group 996"/>
                      <wpg:cNvGrpSpPr/>
                      <wpg:grpSpPr>
                        <a:xfrm>
                          <a:off x="0" y="0"/>
                          <a:ext cx="6185535" cy="170815"/>
                          <a:chExt cx="6185535" cy="170815"/>
                        </a:xfrm>
                      </wpg:grpSpPr>
                      <wps:wsp>
                        <wps:cNvPr id="997" name="Graphic 997"/>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998" name="Graphic 998"/>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999" name="Textbox 999"/>
                        <wps:cNvSpPr txBox="1"/>
                        <wps:spPr>
                          <a:xfrm>
                            <a:off x="0" y="0"/>
                            <a:ext cx="6185535" cy="170815"/>
                          </a:xfrm>
                          <a:prstGeom prst="rect">
                            <a:avLst/>
                          </a:prstGeom>
                        </wps:spPr>
                        <wps:txbx>
                          <w:txbxContent>
                            <w:p>
                              <w:pPr>
                                <w:spacing w:before="6"/>
                                <w:ind w:left="5299" w:right="0" w:firstLine="0"/>
                                <w:jc w:val="left"/>
                                <w:rPr>
                                  <w:b/>
                                  <w:sz w:val="18"/>
                                </w:rPr>
                              </w:pPr>
                              <w:r>
                                <w:rPr>
                                  <w:b/>
                                  <w:color w:val="0073BC"/>
                                  <w:w w:val="105"/>
                                  <w:sz w:val="18"/>
                                </w:rPr>
                                <w:t>Chapter</w:t>
                              </w:r>
                              <w:r>
                                <w:rPr>
                                  <w:b/>
                                  <w:color w:val="0073BC"/>
                                  <w:spacing w:val="7"/>
                                  <w:w w:val="105"/>
                                  <w:sz w:val="18"/>
                                </w:rPr>
                                <w:t> </w:t>
                              </w:r>
                              <w:r>
                                <w:rPr>
                                  <w:b/>
                                  <w:color w:val="0073BC"/>
                                  <w:w w:val="105"/>
                                  <w:sz w:val="18"/>
                                </w:rPr>
                                <w:t>607</w:t>
                              </w:r>
                              <w:r>
                                <w:rPr>
                                  <w:b/>
                                  <w:color w:val="0073BC"/>
                                  <w:spacing w:val="33"/>
                                  <w:w w:val="105"/>
                                  <w:sz w:val="18"/>
                                </w:rPr>
                                <w:t> </w:t>
                              </w:r>
                              <w:r>
                                <w:rPr>
                                  <w:rFonts w:ascii="Lucida Sans Unicode" w:hAnsi="Lucida Sans Unicode"/>
                                  <w:color w:val="6C9BD2"/>
                                  <w:w w:val="105"/>
                                  <w:sz w:val="15"/>
                                </w:rPr>
                                <w:t>◆</w:t>
                              </w:r>
                              <w:r>
                                <w:rPr>
                                  <w:rFonts w:ascii="Lucida Sans Unicode" w:hAnsi="Lucida Sans Unicode"/>
                                  <w:color w:val="6C9BD2"/>
                                  <w:spacing w:val="40"/>
                                  <w:w w:val="105"/>
                                  <w:sz w:val="15"/>
                                </w:rPr>
                                <w:t> </w:t>
                              </w:r>
                              <w:r>
                                <w:rPr>
                                  <w:color w:val="231F20"/>
                                  <w:w w:val="105"/>
                                  <w:sz w:val="18"/>
                                </w:rPr>
                                <w:t>Evaluation</w:t>
                              </w:r>
                              <w:r>
                                <w:rPr>
                                  <w:color w:val="231F20"/>
                                  <w:spacing w:val="4"/>
                                  <w:w w:val="105"/>
                                  <w:sz w:val="18"/>
                                </w:rPr>
                                <w:t> </w:t>
                              </w:r>
                              <w:r>
                                <w:rPr>
                                  <w:color w:val="231F20"/>
                                  <w:w w:val="105"/>
                                  <w:sz w:val="18"/>
                                </w:rPr>
                                <w:t>and</w:t>
                              </w:r>
                              <w:r>
                                <w:rPr>
                                  <w:color w:val="231F20"/>
                                  <w:spacing w:val="4"/>
                                  <w:w w:val="105"/>
                                  <w:sz w:val="18"/>
                                </w:rPr>
                                <w:t> </w:t>
                              </w:r>
                              <w:r>
                                <w:rPr>
                                  <w:color w:val="231F20"/>
                                  <w:w w:val="105"/>
                                  <w:sz w:val="18"/>
                                </w:rPr>
                                <w:t>Investigation</w:t>
                              </w:r>
                              <w:r>
                                <w:rPr>
                                  <w:color w:val="231F20"/>
                                  <w:spacing w:val="33"/>
                                  <w:w w:val="105"/>
                                  <w:sz w:val="18"/>
                                </w:rPr>
                                <w:t>  </w:t>
                              </w:r>
                              <w:r>
                                <w:rPr>
                                  <w:b/>
                                  <w:color w:val="231F20"/>
                                  <w:spacing w:val="-4"/>
                                  <w:w w:val="105"/>
                                  <w:sz w:val="18"/>
                                </w:rPr>
                                <w:t>2961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08"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09" filled="false" stroked="false">
                  <v:textbox inset="0,0,0,0">
                    <w:txbxContent>
                      <w:p>
                        <w:pPr>
                          <w:spacing w:before="6"/>
                          <w:ind w:left="5299" w:right="0" w:firstLine="0"/>
                          <w:jc w:val="left"/>
                          <w:rPr>
                            <w:b/>
                            <w:sz w:val="18"/>
                          </w:rPr>
                        </w:pPr>
                        <w:r>
                          <w:rPr>
                            <w:b/>
                            <w:color w:val="0073BC"/>
                            <w:w w:val="105"/>
                            <w:sz w:val="18"/>
                          </w:rPr>
                          <w:t>Chapter</w:t>
                        </w:r>
                        <w:r>
                          <w:rPr>
                            <w:b/>
                            <w:color w:val="0073BC"/>
                            <w:spacing w:val="7"/>
                            <w:w w:val="105"/>
                            <w:sz w:val="18"/>
                          </w:rPr>
                          <w:t> </w:t>
                        </w:r>
                        <w:r>
                          <w:rPr>
                            <w:b/>
                            <w:color w:val="0073BC"/>
                            <w:w w:val="105"/>
                            <w:sz w:val="18"/>
                          </w:rPr>
                          <w:t>607</w:t>
                        </w:r>
                        <w:r>
                          <w:rPr>
                            <w:b/>
                            <w:color w:val="0073BC"/>
                            <w:spacing w:val="33"/>
                            <w:w w:val="105"/>
                            <w:sz w:val="18"/>
                          </w:rPr>
                          <w:t> </w:t>
                        </w:r>
                        <w:r>
                          <w:rPr>
                            <w:rFonts w:ascii="Lucida Sans Unicode" w:hAnsi="Lucida Sans Unicode"/>
                            <w:color w:val="6C9BD2"/>
                            <w:w w:val="105"/>
                            <w:sz w:val="15"/>
                          </w:rPr>
                          <w:t>◆</w:t>
                        </w:r>
                        <w:r>
                          <w:rPr>
                            <w:rFonts w:ascii="Lucida Sans Unicode" w:hAnsi="Lucida Sans Unicode"/>
                            <w:color w:val="6C9BD2"/>
                            <w:spacing w:val="40"/>
                            <w:w w:val="105"/>
                            <w:sz w:val="15"/>
                          </w:rPr>
                          <w:t> </w:t>
                        </w:r>
                        <w:r>
                          <w:rPr>
                            <w:color w:val="231F20"/>
                            <w:w w:val="105"/>
                            <w:sz w:val="18"/>
                          </w:rPr>
                          <w:t>Evaluation</w:t>
                        </w:r>
                        <w:r>
                          <w:rPr>
                            <w:color w:val="231F20"/>
                            <w:spacing w:val="4"/>
                            <w:w w:val="105"/>
                            <w:sz w:val="18"/>
                          </w:rPr>
                          <w:t> </w:t>
                        </w:r>
                        <w:r>
                          <w:rPr>
                            <w:color w:val="231F20"/>
                            <w:w w:val="105"/>
                            <w:sz w:val="18"/>
                          </w:rPr>
                          <w:t>and</w:t>
                        </w:r>
                        <w:r>
                          <w:rPr>
                            <w:color w:val="231F20"/>
                            <w:spacing w:val="4"/>
                            <w:w w:val="105"/>
                            <w:sz w:val="18"/>
                          </w:rPr>
                          <w:t> </w:t>
                        </w:r>
                        <w:r>
                          <w:rPr>
                            <w:color w:val="231F20"/>
                            <w:w w:val="105"/>
                            <w:sz w:val="18"/>
                          </w:rPr>
                          <w:t>Investigation</w:t>
                        </w:r>
                        <w:r>
                          <w:rPr>
                            <w:color w:val="231F20"/>
                            <w:spacing w:val="33"/>
                            <w:w w:val="105"/>
                            <w:sz w:val="18"/>
                          </w:rPr>
                          <w:t>  </w:t>
                        </w:r>
                        <w:r>
                          <w:rPr>
                            <w:b/>
                            <w:color w:val="231F20"/>
                            <w:spacing w:val="-4"/>
                            <w:w w:val="105"/>
                            <w:sz w:val="18"/>
                          </w:rPr>
                          <w:t>2961</w:t>
                        </w:r>
                      </w:p>
                    </w:txbxContent>
                  </v:textbox>
                  <w10:wrap type="none"/>
                </v:shape>
              </v:group>
            </w:pict>
          </mc:Fallback>
        </mc:AlternateContent>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79" w:after="1"/>
        <w:rPr>
          <w:i/>
          <w:sz w:val="20"/>
        </w:rPr>
      </w:pPr>
    </w:p>
    <w:tbl>
      <w:tblPr>
        <w:tblW w:w="0" w:type="auto"/>
        <w:jc w:val="left"/>
        <w:tblInd w:w="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818"/>
        <w:gridCol w:w="586"/>
        <w:gridCol w:w="584"/>
        <w:gridCol w:w="899"/>
        <w:gridCol w:w="968"/>
        <w:gridCol w:w="1751"/>
        <w:gridCol w:w="1040"/>
        <w:gridCol w:w="1949"/>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sz w:val="16"/>
              </w:rPr>
              <mc:AlternateContent>
                <mc:Choice Requires="wps">
                  <w:drawing>
                    <wp:anchor distT="0" distB="0" distL="0" distR="0" allowOverlap="1" layoutInCell="1" locked="0" behindDoc="1" simplePos="0" relativeHeight="475220992">
                      <wp:simplePos x="0" y="0"/>
                      <wp:positionH relativeFrom="column">
                        <wp:posOffset>0</wp:posOffset>
                      </wp:positionH>
                      <wp:positionV relativeFrom="paragraph">
                        <wp:posOffset>236741</wp:posOffset>
                      </wp:positionV>
                      <wp:extent cx="6185535" cy="2663825"/>
                      <wp:effectExtent l="0" t="0" r="0" b="0"/>
                      <wp:wrapNone/>
                      <wp:docPr id="1000" name="Group 1000"/>
                      <wp:cNvGraphicFramePr>
                        <a:graphicFrameLocks/>
                      </wp:cNvGraphicFramePr>
                      <a:graphic>
                        <a:graphicData uri="http://schemas.microsoft.com/office/word/2010/wordprocessingGroup">
                          <wpg:wgp>
                            <wpg:cNvPr id="1000" name="Group 1000"/>
                            <wpg:cNvGrpSpPr/>
                            <wpg:grpSpPr>
                              <a:xfrm>
                                <a:off x="0" y="0"/>
                                <a:ext cx="6185535" cy="2663825"/>
                                <a:chExt cx="6185535" cy="2663825"/>
                              </a:xfrm>
                            </wpg:grpSpPr>
                            <wps:wsp>
                              <wps:cNvPr id="1001" name="Graphic 1001"/>
                              <wps:cNvSpPr/>
                              <wps:spPr>
                                <a:xfrm>
                                  <a:off x="-5" y="3"/>
                                  <a:ext cx="6185535" cy="2663825"/>
                                </a:xfrm>
                                <a:custGeom>
                                  <a:avLst/>
                                  <a:gdLst/>
                                  <a:ahLst/>
                                  <a:cxnLst/>
                                  <a:rect l="l" t="t" r="r" b="b"/>
                                  <a:pathLst>
                                    <a:path w="6185535" h="2663825">
                                      <a:moveTo>
                                        <a:pt x="2003945" y="166839"/>
                                      </a:moveTo>
                                      <a:lnTo>
                                        <a:pt x="1651317" y="166839"/>
                                      </a:lnTo>
                                      <a:lnTo>
                                        <a:pt x="1272425" y="166839"/>
                                      </a:lnTo>
                                      <a:lnTo>
                                        <a:pt x="1272425" y="2663812"/>
                                      </a:lnTo>
                                      <a:lnTo>
                                        <a:pt x="1651317" y="2663812"/>
                                      </a:lnTo>
                                      <a:lnTo>
                                        <a:pt x="2003945" y="2663812"/>
                                      </a:lnTo>
                                      <a:lnTo>
                                        <a:pt x="2003945" y="166839"/>
                                      </a:lnTo>
                                      <a:close/>
                                    </a:path>
                                    <a:path w="6185535" h="2663825">
                                      <a:moveTo>
                                        <a:pt x="2586545" y="266"/>
                                      </a:moveTo>
                                      <a:lnTo>
                                        <a:pt x="786409" y="266"/>
                                      </a:lnTo>
                                      <a:lnTo>
                                        <a:pt x="786409" y="0"/>
                                      </a:lnTo>
                                      <a:lnTo>
                                        <a:pt x="0" y="0"/>
                                      </a:lnTo>
                                      <a:lnTo>
                                        <a:pt x="0" y="2663812"/>
                                      </a:lnTo>
                                      <a:lnTo>
                                        <a:pt x="786409" y="2663812"/>
                                      </a:lnTo>
                                      <a:lnTo>
                                        <a:pt x="786409" y="2663456"/>
                                      </a:lnTo>
                                      <a:lnTo>
                                        <a:pt x="1272413" y="2663456"/>
                                      </a:lnTo>
                                      <a:lnTo>
                                        <a:pt x="1272413" y="166636"/>
                                      </a:lnTo>
                                      <a:lnTo>
                                        <a:pt x="2586545" y="166636"/>
                                      </a:lnTo>
                                      <a:lnTo>
                                        <a:pt x="2586545" y="266"/>
                                      </a:lnTo>
                                      <a:close/>
                                    </a:path>
                                    <a:path w="6185535" h="2663825">
                                      <a:moveTo>
                                        <a:pt x="4312437" y="0"/>
                                      </a:moveTo>
                                      <a:lnTo>
                                        <a:pt x="3200806" y="0"/>
                                      </a:lnTo>
                                      <a:lnTo>
                                        <a:pt x="2586558" y="0"/>
                                      </a:lnTo>
                                      <a:lnTo>
                                        <a:pt x="2586558" y="166839"/>
                                      </a:lnTo>
                                      <a:lnTo>
                                        <a:pt x="2003958" y="166839"/>
                                      </a:lnTo>
                                      <a:lnTo>
                                        <a:pt x="2003958" y="2663812"/>
                                      </a:lnTo>
                                      <a:lnTo>
                                        <a:pt x="2586558" y="2663812"/>
                                      </a:lnTo>
                                      <a:lnTo>
                                        <a:pt x="3200806" y="2663812"/>
                                      </a:lnTo>
                                      <a:lnTo>
                                        <a:pt x="4312437" y="2663812"/>
                                      </a:lnTo>
                                      <a:lnTo>
                                        <a:pt x="4312437" y="0"/>
                                      </a:lnTo>
                                      <a:close/>
                                    </a:path>
                                    <a:path w="6185535" h="2663825">
                                      <a:moveTo>
                                        <a:pt x="6185268" y="0"/>
                                      </a:moveTo>
                                      <a:lnTo>
                                        <a:pt x="4972494" y="0"/>
                                      </a:lnTo>
                                      <a:lnTo>
                                        <a:pt x="4312450" y="0"/>
                                      </a:lnTo>
                                      <a:lnTo>
                                        <a:pt x="4312450" y="2663812"/>
                                      </a:lnTo>
                                      <a:lnTo>
                                        <a:pt x="4972494" y="2663812"/>
                                      </a:lnTo>
                                      <a:lnTo>
                                        <a:pt x="6185268" y="2663812"/>
                                      </a:lnTo>
                                      <a:lnTo>
                                        <a:pt x="6185268" y="0"/>
                                      </a:lnTo>
                                      <a:close/>
                                    </a:path>
                                  </a:pathLst>
                                </a:custGeom>
                                <a:solidFill>
                                  <a:srgbClr val="E8F5F1"/>
                                </a:solidFill>
                              </wps:spPr>
                              <wps:bodyPr wrap="square" lIns="0" tIns="0" rIns="0" bIns="0" rtlCol="0">
                                <a:prstTxWarp prst="textNoShape">
                                  <a:avLst/>
                                </a:prstTxWarp>
                                <a:noAutofit/>
                              </wps:bodyPr>
                            </wps:wsp>
                            <wps:wsp>
                              <wps:cNvPr id="1002" name="Graphic 1002"/>
                              <wps:cNvSpPr/>
                              <wps:spPr>
                                <a:xfrm>
                                  <a:off x="833803" y="169798"/>
                                  <a:ext cx="1704339" cy="1270"/>
                                </a:xfrm>
                                <a:custGeom>
                                  <a:avLst/>
                                  <a:gdLst/>
                                  <a:ahLst/>
                                  <a:cxnLst/>
                                  <a:rect l="l" t="t" r="r" b="b"/>
                                  <a:pathLst>
                                    <a:path w="1704339" h="0">
                                      <a:moveTo>
                                        <a:pt x="0" y="0"/>
                                      </a:moveTo>
                                      <a:lnTo>
                                        <a:pt x="1703829" y="0"/>
                                      </a:lnTo>
                                    </a:path>
                                  </a:pathLst>
                                </a:custGeom>
                                <a:ln w="592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8.641102pt;width:487.05pt;height:209.75pt;mso-position-horizontal-relative:column;mso-position-vertical-relative:paragraph;z-index:-28095488" id="docshapegroup810" coordorigin="0,373" coordsize="9741,4195">
                      <v:shape style="position:absolute;left:0;top:372;width:9741;height:4195" id="docshape811" coordorigin="0,373" coordsize="9741,4195" path="m3156,636l2600,636,2004,636,2004,4568,2600,4568,3156,4568,3156,636xm4073,373l1238,373,1238,373,0,373,0,4568,1238,4568,1238,4567,2004,4567,2004,635,4073,635,4073,373xm6791,373l5041,373,4073,373,4073,636,3156,636,3156,4568,4073,4568,5041,4568,6791,4568,6791,373xm9741,373l7831,373,6791,373,6791,4568,7831,4568,9741,4568,9741,373xe" filled="true" fillcolor="#e8f5f1" stroked="false">
                        <v:path arrowok="t"/>
                        <v:fill type="solid"/>
                      </v:shape>
                      <v:line style="position:absolute" from="1313,640" to="3996,640" stroked="true" strokeweight=".466503pt" strokecolor="#231f20">
                        <v:stroke dashstyle="solid"/>
                      </v:line>
                      <w10:wrap type="none"/>
                    </v:group>
                  </w:pict>
                </mc:Fallback>
              </mc:AlternateContent>
            </w:r>
            <w:r>
              <w:rPr>
                <w:b/>
                <w:color w:val="FFFFFF"/>
                <w:w w:val="105"/>
                <w:sz w:val="16"/>
              </w:rPr>
              <w:t>Table</w:t>
            </w:r>
            <w:r>
              <w:rPr>
                <w:b/>
                <w:color w:val="FFFFFF"/>
                <w:spacing w:val="-3"/>
                <w:w w:val="105"/>
                <w:sz w:val="16"/>
              </w:rPr>
              <w:t> </w:t>
            </w:r>
            <w:r>
              <w:rPr>
                <w:b/>
                <w:color w:val="FFFFFF"/>
                <w:w w:val="105"/>
                <w:sz w:val="16"/>
              </w:rPr>
              <w:t>607-</w:t>
            </w:r>
            <w:r>
              <w:rPr>
                <w:b/>
                <w:color w:val="FFFFFF"/>
                <w:spacing w:val="-10"/>
                <w:w w:val="105"/>
                <w:sz w:val="16"/>
              </w:rPr>
              <w:t>1</w:t>
            </w:r>
          </w:p>
        </w:tc>
        <w:tc>
          <w:tcPr>
            <w:tcW w:w="8595" w:type="dxa"/>
            <w:gridSpan w:val="8"/>
            <w:tcBorders>
              <w:left w:val="single" w:sz="8" w:space="0" w:color="FFFFFF"/>
            </w:tcBorders>
            <w:shd w:val="clear" w:color="auto" w:fill="231F20"/>
          </w:tcPr>
          <w:p>
            <w:pPr>
              <w:pStyle w:val="TableParagraph"/>
              <w:spacing w:before="89"/>
              <w:ind w:left="73"/>
              <w:rPr>
                <w:sz w:val="16"/>
              </w:rPr>
            </w:pPr>
            <w:r>
              <w:rPr>
                <w:color w:val="FFFFFF"/>
                <w:w w:val="105"/>
                <w:sz w:val="16"/>
              </w:rPr>
              <w:t>Distinguishing</w:t>
            </w:r>
            <w:r>
              <w:rPr>
                <w:color w:val="FFFFFF"/>
                <w:spacing w:val="16"/>
                <w:w w:val="105"/>
                <w:sz w:val="16"/>
              </w:rPr>
              <w:t> </w:t>
            </w:r>
            <w:r>
              <w:rPr>
                <w:color w:val="FFFFFF"/>
                <w:w w:val="105"/>
                <w:sz w:val="16"/>
              </w:rPr>
              <w:t>Features</w:t>
            </w:r>
            <w:r>
              <w:rPr>
                <w:color w:val="FFFFFF"/>
                <w:spacing w:val="16"/>
                <w:w w:val="105"/>
                <w:sz w:val="16"/>
              </w:rPr>
              <w:t> </w:t>
            </w:r>
            <w:r>
              <w:rPr>
                <w:color w:val="FFFFFF"/>
                <w:w w:val="105"/>
                <w:sz w:val="16"/>
              </w:rPr>
              <w:t>of</w:t>
            </w:r>
            <w:r>
              <w:rPr>
                <w:color w:val="FFFFFF"/>
                <w:spacing w:val="16"/>
                <w:w w:val="105"/>
                <w:sz w:val="16"/>
              </w:rPr>
              <w:t> </w:t>
            </w:r>
            <w:r>
              <w:rPr>
                <w:color w:val="FFFFFF"/>
                <w:w w:val="105"/>
                <w:sz w:val="16"/>
              </w:rPr>
              <w:t>Disorders</w:t>
            </w:r>
            <w:r>
              <w:rPr>
                <w:color w:val="FFFFFF"/>
                <w:spacing w:val="17"/>
                <w:w w:val="105"/>
                <w:sz w:val="16"/>
              </w:rPr>
              <w:t> </w:t>
            </w:r>
            <w:r>
              <w:rPr>
                <w:color w:val="FFFFFF"/>
                <w:w w:val="105"/>
                <w:sz w:val="16"/>
              </w:rPr>
              <w:t>of</w:t>
            </w:r>
            <w:r>
              <w:rPr>
                <w:color w:val="FFFFFF"/>
                <w:spacing w:val="16"/>
                <w:w w:val="105"/>
                <w:sz w:val="16"/>
              </w:rPr>
              <w:t> </w:t>
            </w:r>
            <w:r>
              <w:rPr>
                <w:color w:val="FFFFFF"/>
                <w:w w:val="105"/>
                <w:sz w:val="16"/>
              </w:rPr>
              <w:t>the</w:t>
            </w:r>
            <w:r>
              <w:rPr>
                <w:color w:val="FFFFFF"/>
                <w:spacing w:val="16"/>
                <w:w w:val="105"/>
                <w:sz w:val="16"/>
              </w:rPr>
              <w:t> </w:t>
            </w:r>
            <w:r>
              <w:rPr>
                <w:color w:val="FFFFFF"/>
                <w:w w:val="105"/>
                <w:sz w:val="16"/>
              </w:rPr>
              <w:t>Motor</w:t>
            </w:r>
            <w:r>
              <w:rPr>
                <w:color w:val="FFFFFF"/>
                <w:spacing w:val="17"/>
                <w:w w:val="105"/>
                <w:sz w:val="16"/>
              </w:rPr>
              <w:t> </w:t>
            </w:r>
            <w:r>
              <w:rPr>
                <w:color w:val="FFFFFF"/>
                <w:spacing w:val="-2"/>
                <w:w w:val="105"/>
                <w:sz w:val="16"/>
              </w:rPr>
              <w:t>System</w:t>
            </w:r>
          </w:p>
        </w:tc>
      </w:tr>
      <w:tr>
        <w:trPr>
          <w:trHeight w:val="688" w:hRule="atLeast"/>
        </w:trPr>
        <w:tc>
          <w:tcPr>
            <w:tcW w:w="1148" w:type="dxa"/>
            <w:tcBorders>
              <w:bottom w:val="single" w:sz="4" w:space="0" w:color="231F20"/>
            </w:tcBorders>
          </w:tcPr>
          <w:p>
            <w:pPr>
              <w:pStyle w:val="TableParagraph"/>
              <w:spacing w:before="141"/>
              <w:rPr>
                <w:i/>
                <w:sz w:val="15"/>
              </w:rPr>
            </w:pPr>
          </w:p>
          <w:p>
            <w:pPr>
              <w:pStyle w:val="TableParagraph"/>
              <w:spacing w:line="230" w:lineRule="auto"/>
              <w:ind w:left="74" w:right="300"/>
              <w:rPr>
                <w:b/>
                <w:sz w:val="15"/>
              </w:rPr>
            </w:pPr>
            <w:r>
              <w:rPr>
                <w:b/>
                <w:color w:val="231F20"/>
                <w:w w:val="110"/>
                <w:sz w:val="15"/>
              </w:rPr>
              <w:t>LOCUS</w:t>
            </w:r>
            <w:r>
              <w:rPr>
                <w:b/>
                <w:color w:val="231F20"/>
                <w:spacing w:val="-13"/>
                <w:w w:val="110"/>
                <w:sz w:val="15"/>
              </w:rPr>
              <w:t> </w:t>
            </w:r>
            <w:r>
              <w:rPr>
                <w:b/>
                <w:color w:val="231F20"/>
                <w:w w:val="110"/>
                <w:sz w:val="15"/>
              </w:rPr>
              <w:t>OF </w:t>
            </w:r>
            <w:r>
              <w:rPr>
                <w:b/>
                <w:color w:val="231F20"/>
                <w:spacing w:val="-2"/>
                <w:w w:val="110"/>
                <w:sz w:val="15"/>
              </w:rPr>
              <w:t>LESION</w:t>
            </w:r>
          </w:p>
        </w:tc>
        <w:tc>
          <w:tcPr>
            <w:tcW w:w="818" w:type="dxa"/>
            <w:tcBorders>
              <w:bottom w:val="single" w:sz="4" w:space="0" w:color="231F20"/>
            </w:tcBorders>
          </w:tcPr>
          <w:p>
            <w:pPr>
              <w:pStyle w:val="TableParagraph"/>
              <w:rPr>
                <w:i/>
                <w:sz w:val="15"/>
              </w:rPr>
            </w:pPr>
          </w:p>
          <w:p>
            <w:pPr>
              <w:pStyle w:val="TableParagraph"/>
              <w:spacing w:before="129"/>
              <w:rPr>
                <w:i/>
                <w:sz w:val="15"/>
              </w:rPr>
            </w:pPr>
          </w:p>
          <w:p>
            <w:pPr>
              <w:pStyle w:val="TableParagraph"/>
              <w:ind w:left="271"/>
              <w:rPr>
                <w:b/>
                <w:sz w:val="15"/>
              </w:rPr>
            </w:pPr>
            <w:r>
              <w:rPr>
                <w:b/>
                <w:color w:val="231F20"/>
                <w:spacing w:val="-4"/>
                <w:sz w:val="15"/>
              </w:rPr>
              <w:t>Face</w:t>
            </w:r>
          </w:p>
        </w:tc>
        <w:tc>
          <w:tcPr>
            <w:tcW w:w="1170" w:type="dxa"/>
            <w:gridSpan w:val="2"/>
            <w:tcBorders>
              <w:bottom w:val="single" w:sz="4" w:space="0" w:color="231F20"/>
            </w:tcBorders>
          </w:tcPr>
          <w:p>
            <w:pPr>
              <w:pStyle w:val="TableParagraph"/>
              <w:spacing w:before="47"/>
              <w:ind w:left="226"/>
              <w:rPr>
                <w:b/>
                <w:sz w:val="15"/>
              </w:rPr>
            </w:pPr>
            <w:r>
              <w:rPr>
                <w:b/>
                <w:color w:val="231F20"/>
                <w:spacing w:val="-2"/>
                <w:w w:val="115"/>
                <w:sz w:val="15"/>
              </w:rPr>
              <w:t>WEAKNESS</w:t>
            </w:r>
          </w:p>
          <w:p>
            <w:pPr>
              <w:pStyle w:val="TableParagraph"/>
              <w:spacing w:before="82"/>
              <w:rPr>
                <w:i/>
                <w:sz w:val="15"/>
              </w:rPr>
            </w:pPr>
          </w:p>
          <w:p>
            <w:pPr>
              <w:pStyle w:val="TableParagraph"/>
              <w:tabs>
                <w:tab w:pos="709" w:val="left" w:leader="none"/>
              </w:tabs>
              <w:ind w:left="112"/>
              <w:rPr>
                <w:b/>
                <w:sz w:val="15"/>
              </w:rPr>
            </w:pPr>
            <w:r>
              <w:rPr>
                <w:b/>
                <w:color w:val="231F20"/>
                <w:spacing w:val="-4"/>
                <w:w w:val="105"/>
                <w:sz w:val="15"/>
              </w:rPr>
              <w:t>Arms</w:t>
            </w:r>
            <w:r>
              <w:rPr>
                <w:b/>
                <w:color w:val="231F20"/>
                <w:sz w:val="15"/>
              </w:rPr>
              <w:tab/>
            </w:r>
            <w:r>
              <w:rPr>
                <w:b/>
                <w:color w:val="231F20"/>
                <w:spacing w:val="-4"/>
                <w:w w:val="105"/>
                <w:sz w:val="15"/>
              </w:rPr>
              <w:t>Legs</w:t>
            </w:r>
          </w:p>
        </w:tc>
        <w:tc>
          <w:tcPr>
            <w:tcW w:w="899" w:type="dxa"/>
            <w:tcBorders>
              <w:bottom w:val="single" w:sz="4" w:space="0" w:color="231F20"/>
            </w:tcBorders>
          </w:tcPr>
          <w:p>
            <w:pPr>
              <w:pStyle w:val="TableParagraph"/>
              <w:spacing w:before="141"/>
              <w:rPr>
                <w:i/>
                <w:sz w:val="15"/>
              </w:rPr>
            </w:pPr>
          </w:p>
          <w:p>
            <w:pPr>
              <w:pStyle w:val="TableParagraph"/>
              <w:spacing w:line="230" w:lineRule="auto"/>
              <w:ind w:left="239" w:hanging="146"/>
              <w:rPr>
                <w:b/>
                <w:sz w:val="15"/>
              </w:rPr>
            </w:pPr>
            <w:r>
              <w:rPr>
                <w:b/>
                <w:color w:val="231F20"/>
                <w:spacing w:val="-2"/>
                <w:sz w:val="15"/>
              </w:rPr>
              <w:t>Proximal– Distal</w:t>
            </w:r>
          </w:p>
        </w:tc>
        <w:tc>
          <w:tcPr>
            <w:tcW w:w="968" w:type="dxa"/>
            <w:tcBorders>
              <w:bottom w:val="single" w:sz="4" w:space="0" w:color="231F20"/>
            </w:tcBorders>
          </w:tcPr>
          <w:p>
            <w:pPr>
              <w:pStyle w:val="TableParagraph"/>
              <w:spacing w:line="230" w:lineRule="auto" w:before="147"/>
              <w:ind w:left="113" w:right="111" w:hanging="1"/>
              <w:jc w:val="center"/>
              <w:rPr>
                <w:b/>
                <w:sz w:val="15"/>
              </w:rPr>
            </w:pPr>
            <w:r>
              <w:rPr>
                <w:b/>
                <w:color w:val="231F20"/>
                <w:spacing w:val="-4"/>
                <w:w w:val="110"/>
                <w:sz w:val="15"/>
              </w:rPr>
              <w:t>DEEP </w:t>
            </w:r>
            <w:r>
              <w:rPr>
                <w:b/>
                <w:color w:val="231F20"/>
                <w:spacing w:val="-2"/>
                <w:w w:val="110"/>
                <w:sz w:val="15"/>
              </w:rPr>
              <w:t>TENDON </w:t>
            </w:r>
            <w:r>
              <w:rPr>
                <w:b/>
                <w:color w:val="231F20"/>
                <w:spacing w:val="-2"/>
                <w:sz w:val="15"/>
              </w:rPr>
              <w:t>REFLEXES</w:t>
            </w:r>
          </w:p>
        </w:tc>
        <w:tc>
          <w:tcPr>
            <w:tcW w:w="1751" w:type="dxa"/>
            <w:tcBorders>
              <w:bottom w:val="single" w:sz="4" w:space="0" w:color="231F20"/>
            </w:tcBorders>
          </w:tcPr>
          <w:p>
            <w:pPr>
              <w:pStyle w:val="TableParagraph"/>
              <w:spacing w:before="141"/>
              <w:rPr>
                <w:i/>
                <w:sz w:val="15"/>
              </w:rPr>
            </w:pPr>
          </w:p>
          <w:p>
            <w:pPr>
              <w:pStyle w:val="TableParagraph"/>
              <w:spacing w:line="230" w:lineRule="auto"/>
              <w:ind w:left="379" w:firstLine="134"/>
              <w:rPr>
                <w:b/>
                <w:sz w:val="15"/>
              </w:rPr>
            </w:pPr>
            <w:r>
              <w:rPr>
                <w:b/>
                <w:color w:val="231F20"/>
                <w:spacing w:val="-2"/>
                <w:w w:val="110"/>
                <w:sz w:val="15"/>
              </w:rPr>
              <w:t>ELECTRO- MYOGRAPHY</w:t>
            </w:r>
          </w:p>
        </w:tc>
        <w:tc>
          <w:tcPr>
            <w:tcW w:w="1040" w:type="dxa"/>
            <w:tcBorders>
              <w:bottom w:val="single" w:sz="4" w:space="0" w:color="231F20"/>
            </w:tcBorders>
          </w:tcPr>
          <w:p>
            <w:pPr>
              <w:pStyle w:val="TableParagraph"/>
              <w:spacing w:before="141"/>
              <w:rPr>
                <w:i/>
                <w:sz w:val="15"/>
              </w:rPr>
            </w:pPr>
          </w:p>
          <w:p>
            <w:pPr>
              <w:pStyle w:val="TableParagraph"/>
              <w:spacing w:line="230" w:lineRule="auto"/>
              <w:ind w:left="247" w:hanging="36"/>
              <w:rPr>
                <w:b/>
                <w:sz w:val="15"/>
              </w:rPr>
            </w:pPr>
            <w:r>
              <w:rPr>
                <w:b/>
                <w:color w:val="231F20"/>
                <w:spacing w:val="-2"/>
                <w:w w:val="110"/>
                <w:sz w:val="15"/>
              </w:rPr>
              <w:t>MUSCLE BIOPSY</w:t>
            </w:r>
          </w:p>
        </w:tc>
        <w:tc>
          <w:tcPr>
            <w:tcW w:w="1949" w:type="dxa"/>
            <w:tcBorders>
              <w:bottom w:val="single" w:sz="4" w:space="0" w:color="231F20"/>
            </w:tcBorders>
          </w:tcPr>
          <w:p>
            <w:pPr>
              <w:pStyle w:val="TableParagraph"/>
              <w:rPr>
                <w:i/>
                <w:sz w:val="15"/>
              </w:rPr>
            </w:pPr>
          </w:p>
          <w:p>
            <w:pPr>
              <w:pStyle w:val="TableParagraph"/>
              <w:spacing w:before="129"/>
              <w:rPr>
                <w:i/>
                <w:sz w:val="15"/>
              </w:rPr>
            </w:pPr>
          </w:p>
          <w:p>
            <w:pPr>
              <w:pStyle w:val="TableParagraph"/>
              <w:ind w:left="34"/>
              <w:jc w:val="center"/>
              <w:rPr>
                <w:b/>
                <w:sz w:val="15"/>
              </w:rPr>
            </w:pPr>
            <w:r>
              <w:rPr>
                <w:b/>
                <w:color w:val="231F20"/>
                <w:spacing w:val="-2"/>
                <w:w w:val="105"/>
                <w:sz w:val="15"/>
              </w:rPr>
              <w:t>OTHER</w:t>
            </w:r>
          </w:p>
        </w:tc>
      </w:tr>
      <w:tr>
        <w:trPr>
          <w:trHeight w:val="425" w:hRule="atLeast"/>
        </w:trPr>
        <w:tc>
          <w:tcPr>
            <w:tcW w:w="114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sz w:val="15"/>
              </w:rPr>
              <w:t>Central</w:t>
            </w:r>
          </w:p>
        </w:tc>
        <w:tc>
          <w:tcPr>
            <w:tcW w:w="818" w:type="dxa"/>
            <w:tcBorders>
              <w:top w:val="single" w:sz="4" w:space="0" w:color="231F20"/>
              <w:bottom w:val="single" w:sz="4" w:space="0" w:color="FFFFFF"/>
            </w:tcBorders>
            <w:shd w:val="clear" w:color="auto" w:fill="E8F5F1"/>
          </w:tcPr>
          <w:p>
            <w:pPr>
              <w:pStyle w:val="TableParagraph"/>
              <w:spacing w:before="47"/>
              <w:ind w:left="165"/>
              <w:rPr>
                <w:sz w:val="15"/>
              </w:rPr>
            </w:pPr>
            <w:r>
              <w:rPr>
                <w:color w:val="231F20"/>
                <w:spacing w:val="-10"/>
                <w:sz w:val="15"/>
              </w:rPr>
              <w:t>0</w:t>
            </w:r>
          </w:p>
        </w:tc>
        <w:tc>
          <w:tcPr>
            <w:tcW w:w="586" w:type="dxa"/>
            <w:tcBorders>
              <w:top w:val="single" w:sz="4" w:space="0" w:color="231F20"/>
              <w:bottom w:val="single" w:sz="4" w:space="0" w:color="FFFFFF"/>
            </w:tcBorders>
            <w:shd w:val="clear" w:color="auto" w:fill="E8F5F1"/>
          </w:tcPr>
          <w:p>
            <w:pPr>
              <w:pStyle w:val="TableParagraph"/>
              <w:spacing w:before="47"/>
              <w:ind w:left="10" w:right="1"/>
              <w:jc w:val="center"/>
              <w:rPr>
                <w:rFonts w:ascii="Cambria"/>
                <w:sz w:val="15"/>
              </w:rPr>
            </w:pPr>
            <w:r>
              <w:rPr>
                <w:rFonts w:ascii="Cambria"/>
                <w:color w:val="231F20"/>
                <w:spacing w:val="-10"/>
                <w:sz w:val="15"/>
              </w:rPr>
              <w:t>+</w:t>
            </w:r>
          </w:p>
        </w:tc>
        <w:tc>
          <w:tcPr>
            <w:tcW w:w="584" w:type="dxa"/>
            <w:tcBorders>
              <w:top w:val="single" w:sz="4" w:space="0" w:color="231F20"/>
              <w:bottom w:val="single" w:sz="4" w:space="0" w:color="FFFFFF"/>
            </w:tcBorders>
            <w:shd w:val="clear" w:color="auto" w:fill="E8F5F1"/>
          </w:tcPr>
          <w:p>
            <w:pPr>
              <w:pStyle w:val="TableParagraph"/>
              <w:spacing w:before="47"/>
              <w:ind w:right="6"/>
              <w:jc w:val="center"/>
              <w:rPr>
                <w:rFonts w:ascii="Cambria"/>
                <w:sz w:val="15"/>
              </w:rPr>
            </w:pPr>
            <w:r>
              <w:rPr>
                <w:rFonts w:ascii="Cambria"/>
                <w:color w:val="231F20"/>
                <w:spacing w:val="-10"/>
                <w:sz w:val="15"/>
              </w:rPr>
              <w:t>+</w:t>
            </w:r>
          </w:p>
        </w:tc>
        <w:tc>
          <w:tcPr>
            <w:tcW w:w="899" w:type="dxa"/>
            <w:tcBorders>
              <w:top w:val="single" w:sz="4" w:space="0" w:color="231F20"/>
              <w:bottom w:val="single" w:sz="4" w:space="0" w:color="FFFFFF"/>
            </w:tcBorders>
            <w:shd w:val="clear" w:color="auto" w:fill="E8F5F1"/>
          </w:tcPr>
          <w:p>
            <w:pPr>
              <w:pStyle w:val="TableParagraph"/>
              <w:spacing w:before="47"/>
              <w:ind w:right="16"/>
              <w:jc w:val="center"/>
              <w:rPr>
                <w:rFonts w:ascii="Cambria" w:hAnsi="Cambria"/>
                <w:sz w:val="15"/>
              </w:rPr>
            </w:pPr>
            <w:r>
              <w:rPr>
                <w:rFonts w:ascii="Cambria" w:hAnsi="Cambria"/>
                <w:color w:val="231F20"/>
                <w:spacing w:val="-10"/>
                <w:sz w:val="15"/>
              </w:rPr>
              <w:t>≥</w:t>
            </w:r>
          </w:p>
        </w:tc>
        <w:tc>
          <w:tcPr>
            <w:tcW w:w="968" w:type="dxa"/>
            <w:tcBorders>
              <w:top w:val="single" w:sz="4" w:space="0" w:color="231F20"/>
              <w:bottom w:val="single" w:sz="4" w:space="0" w:color="FFFFFF"/>
            </w:tcBorders>
            <w:shd w:val="clear" w:color="auto" w:fill="E8F5F1"/>
          </w:tcPr>
          <w:p>
            <w:pPr>
              <w:pStyle w:val="TableParagraph"/>
              <w:spacing w:line="170" w:lineRule="exact" w:before="47"/>
              <w:ind w:left="113"/>
              <w:rPr>
                <w:sz w:val="15"/>
              </w:rPr>
            </w:pPr>
            <w:r>
              <w:rPr>
                <w:color w:val="231F20"/>
                <w:sz w:val="15"/>
              </w:rPr>
              <w:t>Normal</w:t>
            </w:r>
            <w:r>
              <w:rPr>
                <w:color w:val="231F20"/>
                <w:spacing w:val="10"/>
                <w:sz w:val="15"/>
              </w:rPr>
              <w:t> </w:t>
            </w:r>
            <w:r>
              <w:rPr>
                <w:color w:val="231F20"/>
                <w:spacing w:val="-5"/>
                <w:sz w:val="15"/>
              </w:rPr>
              <w:t>or</w:t>
            </w:r>
          </w:p>
          <w:p>
            <w:pPr>
              <w:pStyle w:val="TableParagraph"/>
              <w:spacing w:line="172" w:lineRule="exact"/>
              <w:ind w:left="225"/>
              <w:rPr>
                <w:rFonts w:ascii="Cambria" w:hAnsi="Cambria"/>
                <w:sz w:val="15"/>
              </w:rPr>
            </w:pPr>
            <w:r>
              <w:rPr>
                <w:rFonts w:ascii="Cambria" w:hAnsi="Cambria"/>
                <w:color w:val="231F20"/>
                <w:spacing w:val="-10"/>
                <w:w w:val="130"/>
                <w:sz w:val="15"/>
              </w:rPr>
              <w:t>↑</w:t>
            </w:r>
          </w:p>
        </w:tc>
        <w:tc>
          <w:tcPr>
            <w:tcW w:w="1751" w:type="dxa"/>
            <w:tcBorders>
              <w:top w:val="single" w:sz="4" w:space="0" w:color="231F20"/>
              <w:bottom w:val="single" w:sz="4" w:space="0" w:color="FFFFFF"/>
            </w:tcBorders>
            <w:shd w:val="clear" w:color="auto" w:fill="E8F5F1"/>
          </w:tcPr>
          <w:p>
            <w:pPr>
              <w:pStyle w:val="TableParagraph"/>
              <w:spacing w:before="47"/>
              <w:ind w:left="112"/>
              <w:rPr>
                <w:sz w:val="15"/>
              </w:rPr>
            </w:pPr>
            <w:r>
              <w:rPr>
                <w:color w:val="231F20"/>
                <w:spacing w:val="-2"/>
                <w:sz w:val="15"/>
              </w:rPr>
              <w:t>Normal</w:t>
            </w:r>
          </w:p>
        </w:tc>
        <w:tc>
          <w:tcPr>
            <w:tcW w:w="1040" w:type="dxa"/>
            <w:tcBorders>
              <w:top w:val="single" w:sz="4" w:space="0" w:color="231F20"/>
              <w:bottom w:val="single" w:sz="4" w:space="0" w:color="FFFFFF"/>
            </w:tcBorders>
            <w:shd w:val="clear" w:color="auto" w:fill="E8F5F1"/>
          </w:tcPr>
          <w:p>
            <w:pPr>
              <w:pStyle w:val="TableParagraph"/>
              <w:spacing w:before="47"/>
              <w:ind w:left="112"/>
              <w:rPr>
                <w:sz w:val="15"/>
              </w:rPr>
            </w:pPr>
            <w:r>
              <w:rPr>
                <w:color w:val="231F20"/>
                <w:spacing w:val="-2"/>
                <w:sz w:val="15"/>
              </w:rPr>
              <w:t>Normal</w:t>
            </w:r>
          </w:p>
        </w:tc>
        <w:tc>
          <w:tcPr>
            <w:tcW w:w="1949" w:type="dxa"/>
            <w:tcBorders>
              <w:top w:val="single" w:sz="4" w:space="0" w:color="231F20"/>
              <w:bottom w:val="single" w:sz="4" w:space="0" w:color="FFFFFF"/>
            </w:tcBorders>
            <w:shd w:val="clear" w:color="auto" w:fill="E8F5F1"/>
          </w:tcPr>
          <w:p>
            <w:pPr>
              <w:pStyle w:val="TableParagraph"/>
              <w:spacing w:line="230" w:lineRule="auto" w:before="52"/>
              <w:ind w:left="223" w:hanging="112"/>
              <w:rPr>
                <w:sz w:val="15"/>
              </w:rPr>
            </w:pPr>
            <w:r>
              <w:rPr>
                <w:color w:val="231F20"/>
                <w:spacing w:val="-2"/>
                <w:sz w:val="15"/>
              </w:rPr>
              <w:t>Seizures,</w:t>
            </w:r>
            <w:r>
              <w:rPr>
                <w:color w:val="231F20"/>
                <w:spacing w:val="-10"/>
                <w:sz w:val="15"/>
              </w:rPr>
              <w:t> </w:t>
            </w:r>
            <w:r>
              <w:rPr>
                <w:color w:val="231F20"/>
                <w:spacing w:val="-2"/>
                <w:sz w:val="15"/>
              </w:rPr>
              <w:t>hemiparesis,</w:t>
            </w:r>
            <w:r>
              <w:rPr>
                <w:color w:val="231F20"/>
                <w:spacing w:val="-9"/>
                <w:sz w:val="15"/>
              </w:rPr>
              <w:t> </w:t>
            </w:r>
            <w:r>
              <w:rPr>
                <w:color w:val="231F20"/>
                <w:spacing w:val="-2"/>
                <w:sz w:val="15"/>
              </w:rPr>
              <w:t>and </w:t>
            </w:r>
            <w:r>
              <w:rPr>
                <w:color w:val="231F20"/>
                <w:sz w:val="15"/>
              </w:rPr>
              <w:t>delayed development</w:t>
            </w:r>
          </w:p>
        </w:tc>
      </w:tr>
      <w:tr>
        <w:trPr>
          <w:trHeight w:val="420" w:hRule="atLeast"/>
        </w:trPr>
        <w:tc>
          <w:tcPr>
            <w:tcW w:w="1148" w:type="dxa"/>
            <w:tcBorders>
              <w:top w:val="single" w:sz="4" w:space="0" w:color="FFFFFF"/>
              <w:bottom w:val="single" w:sz="4" w:space="0" w:color="FFFFFF"/>
            </w:tcBorders>
            <w:shd w:val="clear" w:color="auto" w:fill="E8F5F1"/>
          </w:tcPr>
          <w:p>
            <w:pPr>
              <w:pStyle w:val="TableParagraph"/>
              <w:spacing w:line="230" w:lineRule="auto" w:before="48"/>
              <w:ind w:left="186" w:right="245" w:hanging="112"/>
              <w:rPr>
                <w:sz w:val="15"/>
              </w:rPr>
            </w:pPr>
            <w:r>
              <w:rPr>
                <w:color w:val="231F20"/>
                <w:spacing w:val="-2"/>
                <w:sz w:val="15"/>
              </w:rPr>
              <w:t>Ventral</w:t>
            </w:r>
            <w:r>
              <w:rPr>
                <w:color w:val="231F20"/>
                <w:spacing w:val="-10"/>
                <w:sz w:val="15"/>
              </w:rPr>
              <w:t> </w:t>
            </w:r>
            <w:r>
              <w:rPr>
                <w:color w:val="231F20"/>
                <w:spacing w:val="-2"/>
                <w:sz w:val="15"/>
              </w:rPr>
              <w:t>horn </w:t>
            </w:r>
            <w:r>
              <w:rPr>
                <w:color w:val="231F20"/>
                <w:spacing w:val="-4"/>
                <w:sz w:val="15"/>
              </w:rPr>
              <w:t>cell</w:t>
            </w:r>
          </w:p>
        </w:tc>
        <w:tc>
          <w:tcPr>
            <w:tcW w:w="818" w:type="dxa"/>
            <w:tcBorders>
              <w:top w:val="single" w:sz="4" w:space="0" w:color="FFFFFF"/>
              <w:bottom w:val="single" w:sz="4" w:space="0" w:color="FFFFFF"/>
            </w:tcBorders>
            <w:shd w:val="clear" w:color="auto" w:fill="E8F5F1"/>
          </w:tcPr>
          <w:p>
            <w:pPr>
              <w:pStyle w:val="TableParagraph"/>
              <w:spacing w:before="42"/>
              <w:ind w:left="165"/>
              <w:rPr>
                <w:sz w:val="15"/>
              </w:rPr>
            </w:pPr>
            <w:r>
              <w:rPr>
                <w:color w:val="231F20"/>
                <w:spacing w:val="-4"/>
                <w:sz w:val="15"/>
              </w:rPr>
              <w:t>Late</w:t>
            </w:r>
          </w:p>
        </w:tc>
        <w:tc>
          <w:tcPr>
            <w:tcW w:w="586" w:type="dxa"/>
            <w:tcBorders>
              <w:top w:val="single" w:sz="4" w:space="0" w:color="FFFFFF"/>
              <w:bottom w:val="single" w:sz="4" w:space="0" w:color="FFFFFF"/>
            </w:tcBorders>
            <w:shd w:val="clear" w:color="auto" w:fill="E8F5F1"/>
          </w:tcPr>
          <w:p>
            <w:pPr>
              <w:pStyle w:val="TableParagraph"/>
              <w:spacing w:before="42"/>
              <w:ind w:left="10" w:right="1"/>
              <w:jc w:val="center"/>
              <w:rPr>
                <w:rFonts w:ascii="Cambria"/>
                <w:sz w:val="15"/>
              </w:rPr>
            </w:pPr>
            <w:r>
              <w:rPr>
                <w:rFonts w:ascii="Cambria"/>
                <w:color w:val="231F20"/>
                <w:spacing w:val="-4"/>
                <w:sz w:val="15"/>
              </w:rPr>
              <w:t>++++</w:t>
            </w:r>
          </w:p>
        </w:tc>
        <w:tc>
          <w:tcPr>
            <w:tcW w:w="584" w:type="dxa"/>
            <w:tcBorders>
              <w:top w:val="single" w:sz="4" w:space="0" w:color="FFFFFF"/>
              <w:bottom w:val="single" w:sz="4" w:space="0" w:color="FFFFFF"/>
            </w:tcBorders>
            <w:shd w:val="clear" w:color="auto" w:fill="E8F5F1"/>
          </w:tcPr>
          <w:p>
            <w:pPr>
              <w:pStyle w:val="TableParagraph"/>
              <w:spacing w:before="42"/>
              <w:ind w:right="6"/>
              <w:jc w:val="center"/>
              <w:rPr>
                <w:rFonts w:ascii="Cambria"/>
                <w:sz w:val="15"/>
              </w:rPr>
            </w:pPr>
            <w:r>
              <w:rPr>
                <w:rFonts w:ascii="Cambria"/>
                <w:color w:val="231F20"/>
                <w:spacing w:val="-4"/>
                <w:sz w:val="15"/>
              </w:rPr>
              <w:t>++++</w:t>
            </w:r>
          </w:p>
        </w:tc>
        <w:tc>
          <w:tcPr>
            <w:tcW w:w="899" w:type="dxa"/>
            <w:tcBorders>
              <w:top w:val="single" w:sz="4" w:space="0" w:color="FFFFFF"/>
              <w:bottom w:val="single" w:sz="4" w:space="0" w:color="FFFFFF"/>
            </w:tcBorders>
            <w:shd w:val="clear" w:color="auto" w:fill="E8F5F1"/>
          </w:tcPr>
          <w:p>
            <w:pPr>
              <w:pStyle w:val="TableParagraph"/>
              <w:spacing w:before="42"/>
              <w:ind w:right="16"/>
              <w:jc w:val="center"/>
              <w:rPr>
                <w:rFonts w:ascii="Cambria" w:hAnsi="Cambria"/>
                <w:sz w:val="15"/>
              </w:rPr>
            </w:pPr>
            <w:r>
              <w:rPr>
                <w:rFonts w:ascii="Cambria" w:hAnsi="Cambria"/>
                <w:color w:val="231F20"/>
                <w:spacing w:val="-10"/>
                <w:sz w:val="15"/>
              </w:rPr>
              <w:t>≥</w:t>
            </w:r>
          </w:p>
        </w:tc>
        <w:tc>
          <w:tcPr>
            <w:tcW w:w="968" w:type="dxa"/>
            <w:tcBorders>
              <w:top w:val="single" w:sz="4" w:space="0" w:color="FFFFFF"/>
              <w:bottom w:val="single" w:sz="4" w:space="0" w:color="FFFFFF"/>
            </w:tcBorders>
            <w:shd w:val="clear" w:color="auto" w:fill="E8F5F1"/>
          </w:tcPr>
          <w:p>
            <w:pPr>
              <w:pStyle w:val="TableParagraph"/>
              <w:spacing w:before="42"/>
              <w:jc w:val="center"/>
              <w:rPr>
                <w:sz w:val="15"/>
              </w:rPr>
            </w:pPr>
            <w:r>
              <w:rPr>
                <w:color w:val="231F20"/>
                <w:spacing w:val="-10"/>
                <w:sz w:val="15"/>
              </w:rPr>
              <w:t>0</w:t>
            </w:r>
          </w:p>
        </w:tc>
        <w:tc>
          <w:tcPr>
            <w:tcW w:w="1751" w:type="dxa"/>
            <w:tcBorders>
              <w:top w:val="single" w:sz="4" w:space="0" w:color="FFFFFF"/>
              <w:bottom w:val="single" w:sz="4" w:space="0" w:color="FFFFFF"/>
            </w:tcBorders>
            <w:shd w:val="clear" w:color="auto" w:fill="E8F5F1"/>
          </w:tcPr>
          <w:p>
            <w:pPr>
              <w:pStyle w:val="TableParagraph"/>
              <w:spacing w:line="230" w:lineRule="auto" w:before="48"/>
              <w:ind w:left="224" w:right="417" w:hanging="112"/>
              <w:rPr>
                <w:sz w:val="15"/>
              </w:rPr>
            </w:pPr>
            <w:r>
              <w:rPr>
                <w:color w:val="231F20"/>
                <w:spacing w:val="-2"/>
                <w:sz w:val="15"/>
              </w:rPr>
              <w:t>Fasciculations</w:t>
            </w:r>
            <w:r>
              <w:rPr>
                <w:color w:val="231F20"/>
                <w:spacing w:val="-10"/>
                <w:sz w:val="15"/>
              </w:rPr>
              <w:t> </w:t>
            </w:r>
            <w:r>
              <w:rPr>
                <w:color w:val="231F20"/>
                <w:spacing w:val="-2"/>
                <w:sz w:val="15"/>
              </w:rPr>
              <w:t>and fibrillations</w:t>
            </w:r>
          </w:p>
        </w:tc>
        <w:tc>
          <w:tcPr>
            <w:tcW w:w="1040" w:type="dxa"/>
            <w:tcBorders>
              <w:top w:val="single" w:sz="4" w:space="0" w:color="FFFFFF"/>
              <w:bottom w:val="single" w:sz="4" w:space="0" w:color="FFFFFF"/>
            </w:tcBorders>
            <w:shd w:val="clear" w:color="auto" w:fill="E8F5F1"/>
          </w:tcPr>
          <w:p>
            <w:pPr>
              <w:pStyle w:val="TableParagraph"/>
              <w:spacing w:line="230" w:lineRule="auto" w:before="48"/>
              <w:ind w:left="224" w:hanging="112"/>
              <w:rPr>
                <w:sz w:val="15"/>
              </w:rPr>
            </w:pPr>
            <w:r>
              <w:rPr>
                <w:color w:val="231F20"/>
                <w:spacing w:val="-2"/>
                <w:sz w:val="15"/>
              </w:rPr>
              <w:t>Denervation pattern</w:t>
            </w:r>
          </w:p>
        </w:tc>
        <w:tc>
          <w:tcPr>
            <w:tcW w:w="1949" w:type="dxa"/>
            <w:tcBorders>
              <w:top w:val="single" w:sz="4" w:space="0" w:color="FFFFFF"/>
              <w:bottom w:val="single" w:sz="4" w:space="0" w:color="FFFFFF"/>
            </w:tcBorders>
            <w:shd w:val="clear" w:color="auto" w:fill="E8F5F1"/>
          </w:tcPr>
          <w:p>
            <w:pPr>
              <w:pStyle w:val="TableParagraph"/>
              <w:spacing w:before="42"/>
              <w:ind w:left="111"/>
              <w:rPr>
                <w:sz w:val="15"/>
              </w:rPr>
            </w:pPr>
            <w:r>
              <w:rPr>
                <w:color w:val="231F20"/>
                <w:spacing w:val="-2"/>
                <w:sz w:val="15"/>
              </w:rPr>
              <w:t>Fasciculations</w:t>
            </w:r>
            <w:r>
              <w:rPr>
                <w:color w:val="231F20"/>
                <w:sz w:val="15"/>
              </w:rPr>
              <w:t> </w:t>
            </w:r>
            <w:r>
              <w:rPr>
                <w:color w:val="231F20"/>
                <w:spacing w:val="-2"/>
                <w:sz w:val="15"/>
              </w:rPr>
              <w:t>(tongue)</w:t>
            </w:r>
          </w:p>
        </w:tc>
      </w:tr>
      <w:tr>
        <w:trPr>
          <w:trHeight w:val="756" w:hRule="atLeast"/>
        </w:trPr>
        <w:tc>
          <w:tcPr>
            <w:tcW w:w="1148" w:type="dxa"/>
            <w:tcBorders>
              <w:top w:val="single" w:sz="4" w:space="0" w:color="FFFFFF"/>
              <w:bottom w:val="single" w:sz="4" w:space="0" w:color="FFFFFF"/>
            </w:tcBorders>
            <w:shd w:val="clear" w:color="auto" w:fill="E8F5F1"/>
          </w:tcPr>
          <w:p>
            <w:pPr>
              <w:pStyle w:val="TableParagraph"/>
              <w:spacing w:line="230" w:lineRule="auto" w:before="48"/>
              <w:ind w:left="186" w:right="71" w:hanging="112"/>
              <w:rPr>
                <w:sz w:val="15"/>
              </w:rPr>
            </w:pPr>
            <w:r>
              <w:rPr>
                <w:color w:val="231F20"/>
                <w:spacing w:val="-4"/>
                <w:sz w:val="15"/>
              </w:rPr>
              <w:t>Peripheral </w:t>
            </w:r>
            <w:r>
              <w:rPr>
                <w:color w:val="231F20"/>
                <w:spacing w:val="-2"/>
                <w:sz w:val="15"/>
              </w:rPr>
              <w:t>nerve</w:t>
            </w:r>
          </w:p>
        </w:tc>
        <w:tc>
          <w:tcPr>
            <w:tcW w:w="818" w:type="dxa"/>
            <w:tcBorders>
              <w:top w:val="single" w:sz="4" w:space="0" w:color="FFFFFF"/>
              <w:bottom w:val="single" w:sz="4" w:space="0" w:color="FFFFFF"/>
            </w:tcBorders>
            <w:shd w:val="clear" w:color="auto" w:fill="E8F5F1"/>
          </w:tcPr>
          <w:p>
            <w:pPr>
              <w:pStyle w:val="TableParagraph"/>
              <w:spacing w:before="42"/>
              <w:ind w:left="165"/>
              <w:rPr>
                <w:sz w:val="15"/>
              </w:rPr>
            </w:pPr>
            <w:r>
              <w:rPr>
                <w:color w:val="231F20"/>
                <w:spacing w:val="-10"/>
                <w:sz w:val="15"/>
              </w:rPr>
              <w:t>0</w:t>
            </w:r>
          </w:p>
        </w:tc>
        <w:tc>
          <w:tcPr>
            <w:tcW w:w="586" w:type="dxa"/>
            <w:tcBorders>
              <w:top w:val="single" w:sz="4" w:space="0" w:color="FFFFFF"/>
              <w:bottom w:val="single" w:sz="4" w:space="0" w:color="FFFFFF"/>
            </w:tcBorders>
            <w:shd w:val="clear" w:color="auto" w:fill="E8F5F1"/>
          </w:tcPr>
          <w:p>
            <w:pPr>
              <w:pStyle w:val="TableParagraph"/>
              <w:spacing w:before="42"/>
              <w:ind w:left="10" w:right="1"/>
              <w:jc w:val="center"/>
              <w:rPr>
                <w:rFonts w:ascii="Cambria"/>
                <w:sz w:val="15"/>
              </w:rPr>
            </w:pPr>
            <w:r>
              <w:rPr>
                <w:rFonts w:ascii="Cambria"/>
                <w:color w:val="231F20"/>
                <w:spacing w:val="-5"/>
                <w:sz w:val="15"/>
              </w:rPr>
              <w:t>+++</w:t>
            </w:r>
          </w:p>
        </w:tc>
        <w:tc>
          <w:tcPr>
            <w:tcW w:w="584" w:type="dxa"/>
            <w:tcBorders>
              <w:top w:val="single" w:sz="4" w:space="0" w:color="FFFFFF"/>
              <w:bottom w:val="single" w:sz="4" w:space="0" w:color="FFFFFF"/>
            </w:tcBorders>
            <w:shd w:val="clear" w:color="auto" w:fill="E8F5F1"/>
          </w:tcPr>
          <w:p>
            <w:pPr>
              <w:pStyle w:val="TableParagraph"/>
              <w:spacing w:before="42"/>
              <w:ind w:left="1" w:right="6"/>
              <w:jc w:val="center"/>
              <w:rPr>
                <w:rFonts w:ascii="Cambria"/>
                <w:sz w:val="15"/>
              </w:rPr>
            </w:pPr>
            <w:r>
              <w:rPr>
                <w:rFonts w:ascii="Cambria"/>
                <w:color w:val="231F20"/>
                <w:spacing w:val="-5"/>
                <w:sz w:val="15"/>
              </w:rPr>
              <w:t>+++</w:t>
            </w:r>
          </w:p>
        </w:tc>
        <w:tc>
          <w:tcPr>
            <w:tcW w:w="899" w:type="dxa"/>
            <w:tcBorders>
              <w:top w:val="single" w:sz="4" w:space="0" w:color="FFFFFF"/>
              <w:bottom w:val="single" w:sz="4" w:space="0" w:color="FFFFFF"/>
            </w:tcBorders>
            <w:shd w:val="clear" w:color="auto" w:fill="E8F5F1"/>
          </w:tcPr>
          <w:p>
            <w:pPr>
              <w:pStyle w:val="TableParagraph"/>
              <w:spacing w:before="42"/>
              <w:ind w:right="16"/>
              <w:jc w:val="center"/>
              <w:rPr>
                <w:rFonts w:ascii="Cambria"/>
                <w:sz w:val="15"/>
              </w:rPr>
            </w:pPr>
            <w:r>
              <w:rPr>
                <w:rFonts w:ascii="Cambria"/>
                <w:color w:val="231F20"/>
                <w:spacing w:val="-10"/>
                <w:sz w:val="15"/>
              </w:rPr>
              <w:t>&lt;</w:t>
            </w:r>
          </w:p>
        </w:tc>
        <w:tc>
          <w:tcPr>
            <w:tcW w:w="968" w:type="dxa"/>
            <w:tcBorders>
              <w:top w:val="single" w:sz="4" w:space="0" w:color="FFFFFF"/>
              <w:bottom w:val="single" w:sz="4" w:space="0" w:color="FFFFFF"/>
            </w:tcBorders>
            <w:shd w:val="clear" w:color="auto" w:fill="E8F5F1"/>
          </w:tcPr>
          <w:p>
            <w:pPr>
              <w:pStyle w:val="TableParagraph"/>
              <w:spacing w:before="42"/>
              <w:jc w:val="center"/>
              <w:rPr>
                <w:rFonts w:ascii="Cambria" w:hAnsi="Cambria"/>
                <w:sz w:val="15"/>
              </w:rPr>
            </w:pPr>
            <w:r>
              <w:rPr>
                <w:rFonts w:ascii="Cambria" w:hAnsi="Cambria"/>
                <w:color w:val="231F20"/>
                <w:spacing w:val="-10"/>
                <w:w w:val="130"/>
                <w:sz w:val="15"/>
              </w:rPr>
              <w:t>↓</w:t>
            </w:r>
          </w:p>
        </w:tc>
        <w:tc>
          <w:tcPr>
            <w:tcW w:w="1751"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sz w:val="15"/>
              </w:rPr>
              <w:t>Fibrillations</w:t>
            </w:r>
          </w:p>
        </w:tc>
        <w:tc>
          <w:tcPr>
            <w:tcW w:w="1040" w:type="dxa"/>
            <w:tcBorders>
              <w:top w:val="single" w:sz="4" w:space="0" w:color="FFFFFF"/>
              <w:bottom w:val="single" w:sz="4" w:space="0" w:color="FFFFFF"/>
            </w:tcBorders>
            <w:shd w:val="clear" w:color="auto" w:fill="E8F5F1"/>
          </w:tcPr>
          <w:p>
            <w:pPr>
              <w:pStyle w:val="TableParagraph"/>
              <w:spacing w:line="230" w:lineRule="auto" w:before="48"/>
              <w:ind w:left="224" w:hanging="112"/>
              <w:rPr>
                <w:sz w:val="15"/>
              </w:rPr>
            </w:pPr>
            <w:r>
              <w:rPr>
                <w:color w:val="231F20"/>
                <w:spacing w:val="-2"/>
                <w:sz w:val="15"/>
              </w:rPr>
              <w:t>Denervation pattern</w:t>
            </w:r>
          </w:p>
        </w:tc>
        <w:tc>
          <w:tcPr>
            <w:tcW w:w="1949" w:type="dxa"/>
            <w:tcBorders>
              <w:top w:val="single" w:sz="4" w:space="0" w:color="FFFFFF"/>
              <w:bottom w:val="single" w:sz="4" w:space="0" w:color="FFFFFF"/>
            </w:tcBorders>
            <w:shd w:val="clear" w:color="auto" w:fill="E8F5F1"/>
          </w:tcPr>
          <w:p>
            <w:pPr>
              <w:pStyle w:val="TableParagraph"/>
              <w:spacing w:line="230" w:lineRule="auto" w:before="48"/>
              <w:ind w:left="223" w:right="104" w:hanging="112"/>
              <w:rPr>
                <w:sz w:val="15"/>
              </w:rPr>
            </w:pPr>
            <w:r>
              <w:rPr>
                <w:color w:val="231F20"/>
                <w:spacing w:val="-2"/>
                <w:sz w:val="15"/>
              </w:rPr>
              <w:t>Sensory</w:t>
            </w:r>
            <w:r>
              <w:rPr>
                <w:color w:val="231F20"/>
                <w:spacing w:val="-10"/>
                <w:sz w:val="15"/>
              </w:rPr>
              <w:t> </w:t>
            </w:r>
            <w:r>
              <w:rPr>
                <w:color w:val="231F20"/>
                <w:spacing w:val="-2"/>
                <w:sz w:val="15"/>
              </w:rPr>
              <w:t>deficit,</w:t>
            </w:r>
            <w:r>
              <w:rPr>
                <w:color w:val="231F20"/>
                <w:spacing w:val="-9"/>
                <w:sz w:val="15"/>
              </w:rPr>
              <w:t> </w:t>
            </w:r>
            <w:r>
              <w:rPr>
                <w:color w:val="231F20"/>
                <w:spacing w:val="-2"/>
                <w:sz w:val="15"/>
              </w:rPr>
              <w:t>elevated </w:t>
            </w:r>
            <w:r>
              <w:rPr>
                <w:color w:val="231F20"/>
                <w:sz w:val="15"/>
              </w:rPr>
              <w:t>cerebrospinal fluid protein, depressed nerve biopsy</w:t>
            </w:r>
          </w:p>
        </w:tc>
      </w:tr>
      <w:tr>
        <w:trPr>
          <w:trHeight w:val="924" w:hRule="atLeast"/>
        </w:trPr>
        <w:tc>
          <w:tcPr>
            <w:tcW w:w="1148"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2"/>
                <w:sz w:val="15"/>
              </w:rPr>
              <w:t>Neuromuscular junction</w:t>
            </w:r>
          </w:p>
        </w:tc>
        <w:tc>
          <w:tcPr>
            <w:tcW w:w="818" w:type="dxa"/>
            <w:tcBorders>
              <w:top w:val="single" w:sz="4" w:space="0" w:color="FFFFFF"/>
              <w:bottom w:val="single" w:sz="4" w:space="0" w:color="FFFFFF"/>
            </w:tcBorders>
            <w:shd w:val="clear" w:color="auto" w:fill="E8F5F1"/>
          </w:tcPr>
          <w:p>
            <w:pPr>
              <w:pStyle w:val="TableParagraph"/>
              <w:spacing w:before="42"/>
              <w:ind w:left="165"/>
              <w:rPr>
                <w:rFonts w:ascii="Cambria"/>
                <w:sz w:val="15"/>
              </w:rPr>
            </w:pPr>
            <w:r>
              <w:rPr>
                <w:rFonts w:ascii="Cambria"/>
                <w:color w:val="231F20"/>
                <w:spacing w:val="-5"/>
                <w:sz w:val="15"/>
              </w:rPr>
              <w:t>+++</w:t>
            </w:r>
          </w:p>
        </w:tc>
        <w:tc>
          <w:tcPr>
            <w:tcW w:w="586" w:type="dxa"/>
            <w:tcBorders>
              <w:top w:val="single" w:sz="4" w:space="0" w:color="FFFFFF"/>
              <w:bottom w:val="single" w:sz="4" w:space="0" w:color="FFFFFF"/>
            </w:tcBorders>
            <w:shd w:val="clear" w:color="auto" w:fill="E8F5F1"/>
          </w:tcPr>
          <w:p>
            <w:pPr>
              <w:pStyle w:val="TableParagraph"/>
              <w:spacing w:before="42"/>
              <w:ind w:left="10" w:right="1"/>
              <w:jc w:val="center"/>
              <w:rPr>
                <w:rFonts w:ascii="Cambria"/>
                <w:sz w:val="15"/>
              </w:rPr>
            </w:pPr>
            <w:r>
              <w:rPr>
                <w:rFonts w:ascii="Cambria"/>
                <w:color w:val="231F20"/>
                <w:spacing w:val="-5"/>
                <w:sz w:val="15"/>
              </w:rPr>
              <w:t>+++</w:t>
            </w:r>
          </w:p>
        </w:tc>
        <w:tc>
          <w:tcPr>
            <w:tcW w:w="584" w:type="dxa"/>
            <w:tcBorders>
              <w:top w:val="single" w:sz="4" w:space="0" w:color="FFFFFF"/>
              <w:bottom w:val="single" w:sz="4" w:space="0" w:color="FFFFFF"/>
            </w:tcBorders>
            <w:shd w:val="clear" w:color="auto" w:fill="E8F5F1"/>
          </w:tcPr>
          <w:p>
            <w:pPr>
              <w:pStyle w:val="TableParagraph"/>
              <w:spacing w:before="42"/>
              <w:ind w:left="1" w:right="6"/>
              <w:jc w:val="center"/>
              <w:rPr>
                <w:rFonts w:ascii="Cambria"/>
                <w:sz w:val="15"/>
              </w:rPr>
            </w:pPr>
            <w:r>
              <w:rPr>
                <w:rFonts w:ascii="Cambria"/>
                <w:color w:val="231F20"/>
                <w:spacing w:val="-5"/>
                <w:sz w:val="15"/>
              </w:rPr>
              <w:t>+++</w:t>
            </w:r>
          </w:p>
        </w:tc>
        <w:tc>
          <w:tcPr>
            <w:tcW w:w="899" w:type="dxa"/>
            <w:tcBorders>
              <w:top w:val="single" w:sz="4" w:space="0" w:color="FFFFFF"/>
              <w:bottom w:val="single" w:sz="4" w:space="0" w:color="FFFFFF"/>
            </w:tcBorders>
            <w:shd w:val="clear" w:color="auto" w:fill="E8F5F1"/>
          </w:tcPr>
          <w:p>
            <w:pPr>
              <w:pStyle w:val="TableParagraph"/>
              <w:spacing w:before="42"/>
              <w:ind w:right="16"/>
              <w:jc w:val="center"/>
              <w:rPr>
                <w:rFonts w:ascii="Cambria"/>
                <w:sz w:val="15"/>
              </w:rPr>
            </w:pPr>
            <w:r>
              <w:rPr>
                <w:rFonts w:ascii="Cambria"/>
                <w:color w:val="231F20"/>
                <w:spacing w:val="-10"/>
                <w:sz w:val="15"/>
              </w:rPr>
              <w:t>=</w:t>
            </w:r>
          </w:p>
        </w:tc>
        <w:tc>
          <w:tcPr>
            <w:tcW w:w="968" w:type="dxa"/>
            <w:tcBorders>
              <w:top w:val="single" w:sz="4" w:space="0" w:color="FFFFFF"/>
              <w:bottom w:val="single" w:sz="4" w:space="0" w:color="FFFFFF"/>
            </w:tcBorders>
            <w:shd w:val="clear" w:color="auto" w:fill="E8F5F1"/>
          </w:tcPr>
          <w:p>
            <w:pPr>
              <w:pStyle w:val="TableParagraph"/>
              <w:spacing w:before="42"/>
              <w:ind w:left="113"/>
              <w:rPr>
                <w:sz w:val="15"/>
              </w:rPr>
            </w:pPr>
            <w:r>
              <w:rPr>
                <w:color w:val="231F20"/>
                <w:spacing w:val="-2"/>
                <w:sz w:val="15"/>
              </w:rPr>
              <w:t>Normal</w:t>
            </w:r>
          </w:p>
        </w:tc>
        <w:tc>
          <w:tcPr>
            <w:tcW w:w="1751" w:type="dxa"/>
            <w:tcBorders>
              <w:top w:val="single" w:sz="4" w:space="0" w:color="FFFFFF"/>
              <w:bottom w:val="single" w:sz="4" w:space="0" w:color="FFFFFF"/>
            </w:tcBorders>
            <w:shd w:val="clear" w:color="auto" w:fill="E8F5F1"/>
          </w:tcPr>
          <w:p>
            <w:pPr>
              <w:pStyle w:val="TableParagraph"/>
              <w:spacing w:line="230" w:lineRule="auto" w:before="48"/>
              <w:ind w:left="224" w:right="129" w:hanging="112"/>
              <w:rPr>
                <w:sz w:val="15"/>
              </w:rPr>
            </w:pPr>
            <w:r>
              <w:rPr>
                <w:color w:val="231F20"/>
                <w:sz w:val="15"/>
              </w:rPr>
              <w:t>Decremental</w:t>
            </w:r>
            <w:r>
              <w:rPr>
                <w:color w:val="231F20"/>
                <w:spacing w:val="-12"/>
                <w:sz w:val="15"/>
              </w:rPr>
              <w:t> </w:t>
            </w:r>
            <w:r>
              <w:rPr>
                <w:color w:val="231F20"/>
                <w:sz w:val="15"/>
              </w:rPr>
              <w:t>response </w:t>
            </w:r>
            <w:r>
              <w:rPr>
                <w:color w:val="231F20"/>
                <w:spacing w:val="-2"/>
                <w:sz w:val="15"/>
              </w:rPr>
              <w:t>(myasthenia); incremental</w:t>
            </w:r>
            <w:r>
              <w:rPr>
                <w:color w:val="231F20"/>
                <w:spacing w:val="40"/>
                <w:sz w:val="15"/>
              </w:rPr>
              <w:t> </w:t>
            </w:r>
            <w:r>
              <w:rPr>
                <w:color w:val="231F20"/>
                <w:sz w:val="15"/>
              </w:rPr>
              <w:t>response and BSAP </w:t>
            </w:r>
            <w:r>
              <w:rPr>
                <w:color w:val="231F20"/>
                <w:spacing w:val="-2"/>
                <w:sz w:val="15"/>
              </w:rPr>
              <w:t>(botulism)</w:t>
            </w:r>
          </w:p>
        </w:tc>
        <w:tc>
          <w:tcPr>
            <w:tcW w:w="1040"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sz w:val="15"/>
              </w:rPr>
              <w:t>Normal</w:t>
            </w:r>
          </w:p>
        </w:tc>
        <w:tc>
          <w:tcPr>
            <w:tcW w:w="1949" w:type="dxa"/>
            <w:tcBorders>
              <w:top w:val="single" w:sz="4" w:space="0" w:color="FFFFFF"/>
              <w:bottom w:val="single" w:sz="4" w:space="0" w:color="FFFFFF"/>
            </w:tcBorders>
            <w:shd w:val="clear" w:color="auto" w:fill="E8F5F1"/>
          </w:tcPr>
          <w:p>
            <w:pPr>
              <w:pStyle w:val="TableParagraph"/>
              <w:spacing w:line="230" w:lineRule="auto" w:before="48"/>
              <w:ind w:left="223" w:right="104" w:hanging="112"/>
              <w:rPr>
                <w:sz w:val="15"/>
              </w:rPr>
            </w:pPr>
            <w:r>
              <w:rPr>
                <w:color w:val="231F20"/>
                <w:sz w:val="15"/>
              </w:rPr>
              <w:t>Response</w:t>
            </w:r>
            <w:r>
              <w:rPr>
                <w:color w:val="231F20"/>
                <w:spacing w:val="-1"/>
                <w:sz w:val="15"/>
              </w:rPr>
              <w:t> </w:t>
            </w:r>
            <w:r>
              <w:rPr>
                <w:color w:val="231F20"/>
                <w:sz w:val="15"/>
              </w:rPr>
              <w:t>to</w:t>
            </w:r>
            <w:r>
              <w:rPr>
                <w:color w:val="231F20"/>
                <w:spacing w:val="-1"/>
                <w:sz w:val="15"/>
              </w:rPr>
              <w:t> </w:t>
            </w:r>
            <w:r>
              <w:rPr>
                <w:color w:val="231F20"/>
                <w:sz w:val="15"/>
              </w:rPr>
              <w:t>neostigmine or edrophonium </w:t>
            </w:r>
            <w:r>
              <w:rPr>
                <w:color w:val="231F20"/>
                <w:spacing w:val="-2"/>
                <w:sz w:val="15"/>
              </w:rPr>
              <w:t>(myasthenia); </w:t>
            </w:r>
            <w:r>
              <w:rPr>
                <w:color w:val="231F20"/>
                <w:sz w:val="15"/>
              </w:rPr>
              <w:t>constipation and fixed pupils (botulism)</w:t>
            </w:r>
          </w:p>
        </w:tc>
      </w:tr>
      <w:tr>
        <w:trPr>
          <w:trHeight w:val="919" w:hRule="atLeast"/>
        </w:trPr>
        <w:tc>
          <w:tcPr>
            <w:tcW w:w="1148" w:type="dxa"/>
            <w:tcBorders>
              <w:top w:val="single" w:sz="4" w:space="0" w:color="FFFFFF"/>
              <w:bottom w:val="single" w:sz="8" w:space="0" w:color="231F20"/>
            </w:tcBorders>
            <w:shd w:val="clear" w:color="auto" w:fill="E8F5F1"/>
          </w:tcPr>
          <w:p>
            <w:pPr>
              <w:pStyle w:val="TableParagraph"/>
              <w:spacing w:before="42"/>
              <w:ind w:left="75"/>
              <w:rPr>
                <w:sz w:val="15"/>
              </w:rPr>
            </w:pPr>
            <w:r>
              <w:rPr>
                <w:color w:val="231F20"/>
                <w:spacing w:val="-2"/>
                <w:w w:val="105"/>
                <w:sz w:val="15"/>
              </w:rPr>
              <w:t>Muscle</w:t>
            </w:r>
          </w:p>
        </w:tc>
        <w:tc>
          <w:tcPr>
            <w:tcW w:w="818" w:type="dxa"/>
            <w:tcBorders>
              <w:top w:val="single" w:sz="4" w:space="0" w:color="FFFFFF"/>
              <w:bottom w:val="single" w:sz="8" w:space="0" w:color="231F20"/>
            </w:tcBorders>
            <w:shd w:val="clear" w:color="auto" w:fill="E8F5F1"/>
          </w:tcPr>
          <w:p>
            <w:pPr>
              <w:pStyle w:val="TableParagraph"/>
              <w:spacing w:line="230" w:lineRule="auto" w:before="48"/>
              <w:ind w:left="124" w:right="70"/>
              <w:jc w:val="center"/>
              <w:rPr>
                <w:sz w:val="15"/>
              </w:rPr>
            </w:pPr>
            <w:r>
              <w:rPr>
                <w:color w:val="231F20"/>
                <w:spacing w:val="-4"/>
                <w:sz w:val="15"/>
              </w:rPr>
              <w:t>Variable </w:t>
            </w:r>
            <w:r>
              <w:rPr>
                <w:color w:val="231F20"/>
                <w:sz w:val="15"/>
              </w:rPr>
              <w:t>(</w:t>
            </w:r>
            <w:r>
              <w:rPr>
                <w:rFonts w:ascii="Cambria"/>
                <w:color w:val="231F20"/>
                <w:sz w:val="15"/>
              </w:rPr>
              <w:t>+ </w:t>
            </w:r>
            <w:r>
              <w:rPr>
                <w:color w:val="231F20"/>
                <w:sz w:val="15"/>
              </w:rPr>
              <w:t>to</w:t>
            </w:r>
          </w:p>
          <w:p>
            <w:pPr>
              <w:pStyle w:val="TableParagraph"/>
              <w:spacing w:line="168" w:lineRule="exact"/>
              <w:ind w:left="103"/>
              <w:jc w:val="center"/>
              <w:rPr>
                <w:sz w:val="15"/>
              </w:rPr>
            </w:pPr>
            <w:r>
              <w:rPr>
                <w:rFonts w:ascii="Cambria"/>
                <w:color w:val="231F20"/>
                <w:spacing w:val="-2"/>
                <w:sz w:val="15"/>
              </w:rPr>
              <w:t>++++</w:t>
            </w:r>
            <w:r>
              <w:rPr>
                <w:color w:val="231F20"/>
                <w:spacing w:val="-2"/>
                <w:sz w:val="15"/>
              </w:rPr>
              <w:t>)</w:t>
            </w:r>
          </w:p>
        </w:tc>
        <w:tc>
          <w:tcPr>
            <w:tcW w:w="586" w:type="dxa"/>
            <w:tcBorders>
              <w:top w:val="single" w:sz="4" w:space="0" w:color="FFFFFF"/>
              <w:bottom w:val="single" w:sz="8" w:space="0" w:color="231F20"/>
            </w:tcBorders>
            <w:shd w:val="clear" w:color="auto" w:fill="E8F5F1"/>
          </w:tcPr>
          <w:p>
            <w:pPr>
              <w:pStyle w:val="TableParagraph"/>
              <w:spacing w:before="42"/>
              <w:ind w:left="10"/>
              <w:jc w:val="center"/>
              <w:rPr>
                <w:rFonts w:ascii="Cambria"/>
                <w:sz w:val="15"/>
              </w:rPr>
            </w:pPr>
            <w:r>
              <w:rPr>
                <w:rFonts w:ascii="Cambria"/>
                <w:color w:val="231F20"/>
                <w:spacing w:val="-5"/>
                <w:sz w:val="15"/>
              </w:rPr>
              <w:t>++</w:t>
            </w:r>
          </w:p>
        </w:tc>
        <w:tc>
          <w:tcPr>
            <w:tcW w:w="584" w:type="dxa"/>
            <w:tcBorders>
              <w:top w:val="single" w:sz="4" w:space="0" w:color="FFFFFF"/>
              <w:bottom w:val="single" w:sz="8" w:space="0" w:color="231F20"/>
            </w:tcBorders>
            <w:shd w:val="clear" w:color="auto" w:fill="E8F5F1"/>
          </w:tcPr>
          <w:p>
            <w:pPr>
              <w:pStyle w:val="TableParagraph"/>
              <w:spacing w:before="42"/>
              <w:ind w:left="1" w:right="6"/>
              <w:jc w:val="center"/>
              <w:rPr>
                <w:rFonts w:ascii="Cambria"/>
                <w:sz w:val="15"/>
              </w:rPr>
            </w:pPr>
            <w:r>
              <w:rPr>
                <w:rFonts w:ascii="Cambria"/>
                <w:color w:val="231F20"/>
                <w:spacing w:val="-10"/>
                <w:sz w:val="15"/>
              </w:rPr>
              <w:t>+</w:t>
            </w:r>
          </w:p>
        </w:tc>
        <w:tc>
          <w:tcPr>
            <w:tcW w:w="899" w:type="dxa"/>
            <w:tcBorders>
              <w:top w:val="single" w:sz="4" w:space="0" w:color="FFFFFF"/>
              <w:bottom w:val="single" w:sz="8" w:space="0" w:color="231F20"/>
            </w:tcBorders>
            <w:shd w:val="clear" w:color="auto" w:fill="E8F5F1"/>
          </w:tcPr>
          <w:p>
            <w:pPr>
              <w:pStyle w:val="TableParagraph"/>
              <w:spacing w:before="42"/>
              <w:ind w:left="1" w:right="16"/>
              <w:jc w:val="center"/>
              <w:rPr>
                <w:rFonts w:ascii="Cambria"/>
                <w:sz w:val="15"/>
              </w:rPr>
            </w:pPr>
            <w:r>
              <w:rPr>
                <w:rFonts w:ascii="Cambria"/>
                <w:color w:val="231F20"/>
                <w:spacing w:val="-10"/>
                <w:sz w:val="15"/>
              </w:rPr>
              <w:t>&gt;</w:t>
            </w:r>
          </w:p>
        </w:tc>
        <w:tc>
          <w:tcPr>
            <w:tcW w:w="968" w:type="dxa"/>
            <w:tcBorders>
              <w:top w:val="single" w:sz="4" w:space="0" w:color="FFFFFF"/>
              <w:bottom w:val="single" w:sz="8" w:space="0" w:color="231F20"/>
            </w:tcBorders>
            <w:shd w:val="clear" w:color="auto" w:fill="E8F5F1"/>
          </w:tcPr>
          <w:p>
            <w:pPr>
              <w:pStyle w:val="TableParagraph"/>
              <w:spacing w:before="42"/>
              <w:jc w:val="center"/>
              <w:rPr>
                <w:rFonts w:ascii="Cambria" w:hAnsi="Cambria"/>
                <w:sz w:val="15"/>
              </w:rPr>
            </w:pPr>
            <w:r>
              <w:rPr>
                <w:rFonts w:ascii="Cambria" w:hAnsi="Cambria"/>
                <w:color w:val="231F20"/>
                <w:spacing w:val="-10"/>
                <w:w w:val="130"/>
                <w:sz w:val="15"/>
              </w:rPr>
              <w:t>↓</w:t>
            </w:r>
          </w:p>
        </w:tc>
        <w:tc>
          <w:tcPr>
            <w:tcW w:w="1751" w:type="dxa"/>
            <w:tcBorders>
              <w:top w:val="single" w:sz="4" w:space="0" w:color="FFFFFF"/>
              <w:bottom w:val="single" w:sz="8" w:space="0" w:color="231F20"/>
            </w:tcBorders>
            <w:shd w:val="clear" w:color="auto" w:fill="E8F5F1"/>
          </w:tcPr>
          <w:p>
            <w:pPr>
              <w:pStyle w:val="TableParagraph"/>
              <w:spacing w:line="230" w:lineRule="auto" w:before="48"/>
              <w:ind w:left="224" w:right="460" w:hanging="112"/>
              <w:rPr>
                <w:sz w:val="15"/>
              </w:rPr>
            </w:pPr>
            <w:r>
              <w:rPr>
                <w:color w:val="231F20"/>
                <w:sz w:val="15"/>
              </w:rPr>
              <w:t>Short duration, </w:t>
            </w:r>
            <w:r>
              <w:rPr>
                <w:color w:val="231F20"/>
                <w:spacing w:val="-4"/>
                <w:sz w:val="15"/>
              </w:rPr>
              <w:t>small-</w:t>
            </w:r>
            <w:r>
              <w:rPr>
                <w:color w:val="231F20"/>
                <w:spacing w:val="-4"/>
                <w:sz w:val="15"/>
              </w:rPr>
              <w:t>amplitude</w:t>
            </w:r>
          </w:p>
          <w:p>
            <w:pPr>
              <w:pStyle w:val="TableParagraph"/>
              <w:spacing w:line="230" w:lineRule="auto" w:before="1"/>
              <w:ind w:left="224"/>
              <w:rPr>
                <w:sz w:val="15"/>
              </w:rPr>
            </w:pPr>
            <w:r>
              <w:rPr>
                <w:color w:val="231F20"/>
                <w:spacing w:val="-2"/>
                <w:sz w:val="15"/>
              </w:rPr>
              <w:t>motor</w:t>
            </w:r>
            <w:r>
              <w:rPr>
                <w:color w:val="231F20"/>
                <w:spacing w:val="-10"/>
                <w:sz w:val="15"/>
              </w:rPr>
              <w:t> </w:t>
            </w:r>
            <w:r>
              <w:rPr>
                <w:color w:val="231F20"/>
                <w:spacing w:val="-2"/>
                <w:sz w:val="15"/>
              </w:rPr>
              <w:t>unit</w:t>
            </w:r>
            <w:r>
              <w:rPr>
                <w:color w:val="231F20"/>
                <w:spacing w:val="-9"/>
                <w:sz w:val="15"/>
              </w:rPr>
              <w:t> </w:t>
            </w:r>
            <w:r>
              <w:rPr>
                <w:color w:val="231F20"/>
                <w:spacing w:val="-2"/>
                <w:sz w:val="15"/>
              </w:rPr>
              <w:t>potentials </w:t>
            </w:r>
            <w:r>
              <w:rPr>
                <w:color w:val="231F20"/>
                <w:sz w:val="15"/>
              </w:rPr>
              <w:t>and myopathic </w:t>
            </w:r>
            <w:r>
              <w:rPr>
                <w:color w:val="231F20"/>
                <w:spacing w:val="-2"/>
                <w:sz w:val="15"/>
              </w:rPr>
              <w:t>polyphasic</w:t>
            </w:r>
            <w:r>
              <w:rPr>
                <w:color w:val="231F20"/>
                <w:spacing w:val="-8"/>
                <w:sz w:val="15"/>
              </w:rPr>
              <w:t> </w:t>
            </w:r>
            <w:r>
              <w:rPr>
                <w:color w:val="231F20"/>
                <w:spacing w:val="-2"/>
                <w:sz w:val="15"/>
              </w:rPr>
              <w:t>potentials</w:t>
            </w:r>
          </w:p>
        </w:tc>
        <w:tc>
          <w:tcPr>
            <w:tcW w:w="1040" w:type="dxa"/>
            <w:tcBorders>
              <w:top w:val="single" w:sz="4" w:space="0" w:color="FFFFFF"/>
              <w:bottom w:val="single" w:sz="8" w:space="0" w:color="231F20"/>
            </w:tcBorders>
            <w:shd w:val="clear" w:color="auto" w:fill="E8F5F1"/>
          </w:tcPr>
          <w:p>
            <w:pPr>
              <w:pStyle w:val="TableParagraph"/>
              <w:spacing w:line="230" w:lineRule="auto" w:before="48"/>
              <w:ind w:left="224" w:right="226" w:hanging="112"/>
              <w:rPr>
                <w:sz w:val="15"/>
              </w:rPr>
            </w:pPr>
            <w:r>
              <w:rPr>
                <w:color w:val="231F20"/>
                <w:spacing w:val="-2"/>
                <w:sz w:val="15"/>
              </w:rPr>
              <w:t>Myopathic pattern</w:t>
            </w:r>
            <w:r>
              <w:rPr>
                <w:color w:val="0080AC"/>
                <w:spacing w:val="-2"/>
                <w:sz w:val="15"/>
              </w:rPr>
              <w:t>*</w:t>
            </w:r>
          </w:p>
        </w:tc>
        <w:tc>
          <w:tcPr>
            <w:tcW w:w="1949" w:type="dxa"/>
            <w:tcBorders>
              <w:top w:val="single" w:sz="4" w:space="0" w:color="FFFFFF"/>
              <w:bottom w:val="single" w:sz="8" w:space="0" w:color="231F20"/>
            </w:tcBorders>
            <w:shd w:val="clear" w:color="auto" w:fill="E8F5F1"/>
          </w:tcPr>
          <w:p>
            <w:pPr>
              <w:pStyle w:val="TableParagraph"/>
              <w:spacing w:line="230" w:lineRule="auto" w:before="48"/>
              <w:ind w:left="223" w:right="184" w:hanging="112"/>
              <w:rPr>
                <w:sz w:val="15"/>
              </w:rPr>
            </w:pPr>
            <w:r>
              <w:rPr>
                <w:color w:val="231F20"/>
                <w:sz w:val="15"/>
              </w:rPr>
              <w:t>Elevated</w:t>
            </w:r>
            <w:r>
              <w:rPr>
                <w:color w:val="231F20"/>
                <w:spacing w:val="-12"/>
                <w:sz w:val="15"/>
              </w:rPr>
              <w:t> </w:t>
            </w:r>
            <w:r>
              <w:rPr>
                <w:color w:val="231F20"/>
                <w:sz w:val="15"/>
              </w:rPr>
              <w:t>muscle</w:t>
            </w:r>
            <w:r>
              <w:rPr>
                <w:color w:val="231F20"/>
                <w:spacing w:val="-11"/>
                <w:sz w:val="15"/>
              </w:rPr>
              <w:t> </w:t>
            </w:r>
            <w:r>
              <w:rPr>
                <w:color w:val="231F20"/>
                <w:sz w:val="15"/>
              </w:rPr>
              <w:t>enzyme levels (variable)</w:t>
            </w:r>
          </w:p>
        </w:tc>
      </w:tr>
    </w:tbl>
    <w:p>
      <w:pPr>
        <w:pStyle w:val="BodyText"/>
        <w:spacing w:line="149" w:lineRule="exact" w:before="76"/>
        <w:ind w:left="822"/>
      </w:pPr>
      <w:r>
        <w:rPr>
          <w:color w:val="231F20"/>
        </w:rPr>
        <w:t>*Can</w:t>
      </w:r>
      <w:r>
        <w:rPr>
          <w:color w:val="231F20"/>
          <w:spacing w:val="-3"/>
        </w:rPr>
        <w:t> </w:t>
      </w:r>
      <w:r>
        <w:rPr>
          <w:color w:val="231F20"/>
        </w:rPr>
        <w:t>also</w:t>
      </w:r>
      <w:r>
        <w:rPr>
          <w:color w:val="231F20"/>
          <w:spacing w:val="-3"/>
        </w:rPr>
        <w:t> </w:t>
      </w:r>
      <w:r>
        <w:rPr>
          <w:color w:val="231F20"/>
        </w:rPr>
        <w:t>show</w:t>
      </w:r>
      <w:r>
        <w:rPr>
          <w:color w:val="231F20"/>
          <w:spacing w:val="-3"/>
        </w:rPr>
        <w:t> </w:t>
      </w:r>
      <w:r>
        <w:rPr>
          <w:color w:val="231F20"/>
        </w:rPr>
        <w:t>unique</w:t>
      </w:r>
      <w:r>
        <w:rPr>
          <w:color w:val="231F20"/>
          <w:spacing w:val="-2"/>
        </w:rPr>
        <w:t> </w:t>
      </w:r>
      <w:r>
        <w:rPr>
          <w:color w:val="231F20"/>
        </w:rPr>
        <w:t>features,</w:t>
      </w:r>
      <w:r>
        <w:rPr>
          <w:color w:val="231F20"/>
          <w:spacing w:val="-3"/>
        </w:rPr>
        <w:t> </w:t>
      </w:r>
      <w:r>
        <w:rPr>
          <w:color w:val="231F20"/>
        </w:rPr>
        <w:t>such</w:t>
      </w:r>
      <w:r>
        <w:rPr>
          <w:color w:val="231F20"/>
          <w:spacing w:val="-3"/>
        </w:rPr>
        <w:t> </w:t>
      </w:r>
      <w:r>
        <w:rPr>
          <w:color w:val="231F20"/>
        </w:rPr>
        <w:t>as</w:t>
      </w:r>
      <w:r>
        <w:rPr>
          <w:color w:val="231F20"/>
          <w:spacing w:val="-3"/>
        </w:rPr>
        <w:t> </w:t>
      </w:r>
      <w:r>
        <w:rPr>
          <w:color w:val="231F20"/>
        </w:rPr>
        <w:t>in</w:t>
      </w:r>
      <w:r>
        <w:rPr>
          <w:color w:val="231F20"/>
          <w:spacing w:val="-2"/>
        </w:rPr>
        <w:t> </w:t>
      </w:r>
      <w:r>
        <w:rPr>
          <w:color w:val="231F20"/>
        </w:rPr>
        <w:t>central</w:t>
      </w:r>
      <w:r>
        <w:rPr>
          <w:color w:val="231F20"/>
          <w:spacing w:val="-3"/>
        </w:rPr>
        <w:t> </w:t>
      </w:r>
      <w:r>
        <w:rPr>
          <w:color w:val="231F20"/>
        </w:rPr>
        <w:t>core</w:t>
      </w:r>
      <w:r>
        <w:rPr>
          <w:color w:val="231F20"/>
          <w:spacing w:val="-3"/>
        </w:rPr>
        <w:t> </w:t>
      </w:r>
      <w:r>
        <w:rPr>
          <w:color w:val="231F20"/>
        </w:rPr>
        <w:t>disease,</w:t>
      </w:r>
      <w:r>
        <w:rPr>
          <w:color w:val="231F20"/>
          <w:spacing w:val="-2"/>
        </w:rPr>
        <w:t> </w:t>
      </w:r>
      <w:r>
        <w:rPr>
          <w:color w:val="231F20"/>
        </w:rPr>
        <w:t>nemaline</w:t>
      </w:r>
      <w:r>
        <w:rPr>
          <w:color w:val="231F20"/>
          <w:spacing w:val="-3"/>
        </w:rPr>
        <w:t> </w:t>
      </w:r>
      <w:r>
        <w:rPr>
          <w:color w:val="231F20"/>
        </w:rPr>
        <w:t>myopathy,</w:t>
      </w:r>
      <w:r>
        <w:rPr>
          <w:color w:val="231F20"/>
          <w:spacing w:val="-3"/>
        </w:rPr>
        <w:t> </w:t>
      </w:r>
      <w:r>
        <w:rPr>
          <w:color w:val="231F20"/>
        </w:rPr>
        <w:t>myotubular</w:t>
      </w:r>
      <w:r>
        <w:rPr>
          <w:color w:val="231F20"/>
          <w:spacing w:val="-3"/>
        </w:rPr>
        <w:t> </w:t>
      </w:r>
      <w:r>
        <w:rPr>
          <w:color w:val="231F20"/>
        </w:rPr>
        <w:t>myopathy,</w:t>
      </w:r>
      <w:r>
        <w:rPr>
          <w:color w:val="231F20"/>
          <w:spacing w:val="-2"/>
        </w:rPr>
        <w:t> </w:t>
      </w:r>
      <w:r>
        <w:rPr>
          <w:color w:val="231F20"/>
        </w:rPr>
        <w:t>and</w:t>
      </w:r>
      <w:r>
        <w:rPr>
          <w:color w:val="231F20"/>
          <w:spacing w:val="-3"/>
        </w:rPr>
        <w:t> </w:t>
      </w:r>
      <w:r>
        <w:rPr>
          <w:color w:val="231F20"/>
        </w:rPr>
        <w:t>congenital</w:t>
      </w:r>
      <w:r>
        <w:rPr>
          <w:color w:val="231F20"/>
          <w:spacing w:val="-3"/>
        </w:rPr>
        <w:t> </w:t>
      </w:r>
      <w:r>
        <w:rPr>
          <w:color w:val="231F20"/>
        </w:rPr>
        <w:t>fiber</w:t>
      </w:r>
      <w:r>
        <w:rPr>
          <w:color w:val="231F20"/>
          <w:spacing w:val="-2"/>
        </w:rPr>
        <w:t> </w:t>
      </w:r>
      <w:r>
        <w:rPr>
          <w:color w:val="231F20"/>
        </w:rPr>
        <w:t>type</w:t>
      </w:r>
      <w:r>
        <w:rPr>
          <w:color w:val="231F20"/>
          <w:spacing w:val="-3"/>
        </w:rPr>
        <w:t> </w:t>
      </w:r>
      <w:r>
        <w:rPr>
          <w:color w:val="231F20"/>
          <w:spacing w:val="-2"/>
        </w:rPr>
        <w:t>disproportion.</w:t>
      </w:r>
    </w:p>
    <w:p>
      <w:pPr>
        <w:pStyle w:val="BodyText"/>
        <w:spacing w:line="150" w:lineRule="exact"/>
        <w:ind w:left="953"/>
      </w:pPr>
      <w:r>
        <w:rPr>
          <w:rFonts w:ascii="Cambria"/>
          <w:color w:val="231F20"/>
        </w:rPr>
        <w:t>+</w:t>
      </w:r>
      <w:r>
        <w:rPr>
          <w:rFonts w:ascii="Cambria"/>
          <w:color w:val="231F20"/>
          <w:spacing w:val="5"/>
        </w:rPr>
        <w:t> </w:t>
      </w:r>
      <w:r>
        <w:rPr>
          <w:color w:val="231F20"/>
        </w:rPr>
        <w:t>to</w:t>
      </w:r>
      <w:r>
        <w:rPr>
          <w:color w:val="231F20"/>
          <w:spacing w:val="-5"/>
        </w:rPr>
        <w:t> </w:t>
      </w:r>
      <w:r>
        <w:rPr>
          <w:rFonts w:ascii="Cambria"/>
          <w:color w:val="231F20"/>
        </w:rPr>
        <w:t>++++</w:t>
      </w:r>
      <w:r>
        <w:rPr>
          <w:color w:val="231F20"/>
        </w:rPr>
        <w:t>,</w:t>
      </w:r>
      <w:r>
        <w:rPr>
          <w:color w:val="231F20"/>
          <w:spacing w:val="-5"/>
        </w:rPr>
        <w:t> </w:t>
      </w:r>
      <w:r>
        <w:rPr>
          <w:color w:val="231F20"/>
        </w:rPr>
        <w:t>varying</w:t>
      </w:r>
      <w:r>
        <w:rPr>
          <w:color w:val="231F20"/>
          <w:spacing w:val="-5"/>
        </w:rPr>
        <w:t> </w:t>
      </w:r>
      <w:r>
        <w:rPr>
          <w:color w:val="231F20"/>
        </w:rPr>
        <w:t>degrees</w:t>
      </w:r>
      <w:r>
        <w:rPr>
          <w:color w:val="231F20"/>
          <w:spacing w:val="-5"/>
        </w:rPr>
        <w:t> </w:t>
      </w:r>
      <w:r>
        <w:rPr>
          <w:color w:val="231F20"/>
        </w:rPr>
        <w:t>of</w:t>
      </w:r>
      <w:r>
        <w:rPr>
          <w:color w:val="231F20"/>
          <w:spacing w:val="-6"/>
        </w:rPr>
        <w:t> </w:t>
      </w:r>
      <w:r>
        <w:rPr>
          <w:color w:val="231F20"/>
        </w:rPr>
        <w:t>severity;</w:t>
      </w:r>
      <w:r>
        <w:rPr>
          <w:color w:val="231F20"/>
          <w:spacing w:val="-5"/>
        </w:rPr>
        <w:t> </w:t>
      </w:r>
      <w:r>
        <w:rPr>
          <w:color w:val="231F20"/>
        </w:rPr>
        <w:t>BSAP,</w:t>
      </w:r>
      <w:r>
        <w:rPr>
          <w:color w:val="231F20"/>
          <w:spacing w:val="-5"/>
        </w:rPr>
        <w:t> </w:t>
      </w:r>
      <w:r>
        <w:rPr>
          <w:color w:val="231F20"/>
        </w:rPr>
        <w:t>brief</w:t>
      </w:r>
      <w:r>
        <w:rPr>
          <w:color w:val="231F20"/>
          <w:spacing w:val="-5"/>
        </w:rPr>
        <w:t> </w:t>
      </w:r>
      <w:r>
        <w:rPr>
          <w:color w:val="231F20"/>
        </w:rPr>
        <w:t>duration,</w:t>
      </w:r>
      <w:r>
        <w:rPr>
          <w:color w:val="231F20"/>
          <w:spacing w:val="-5"/>
        </w:rPr>
        <w:t> </w:t>
      </w:r>
      <w:r>
        <w:rPr>
          <w:color w:val="231F20"/>
        </w:rPr>
        <w:t>small</w:t>
      </w:r>
      <w:r>
        <w:rPr>
          <w:color w:val="231F20"/>
          <w:spacing w:val="-5"/>
        </w:rPr>
        <w:t> </w:t>
      </w:r>
      <w:r>
        <w:rPr>
          <w:color w:val="231F20"/>
        </w:rPr>
        <w:t>amplitude,</w:t>
      </w:r>
      <w:r>
        <w:rPr>
          <w:color w:val="231F20"/>
          <w:spacing w:val="-6"/>
        </w:rPr>
        <w:t> </w:t>
      </w:r>
      <w:r>
        <w:rPr>
          <w:color w:val="231F20"/>
        </w:rPr>
        <w:t>overly</w:t>
      </w:r>
      <w:r>
        <w:rPr>
          <w:color w:val="231F20"/>
          <w:spacing w:val="-5"/>
        </w:rPr>
        <w:t> </w:t>
      </w:r>
      <w:r>
        <w:rPr>
          <w:color w:val="231F20"/>
        </w:rPr>
        <w:t>abundant</w:t>
      </w:r>
      <w:r>
        <w:rPr>
          <w:color w:val="231F20"/>
          <w:spacing w:val="-5"/>
        </w:rPr>
        <w:t> </w:t>
      </w:r>
      <w:r>
        <w:rPr>
          <w:color w:val="231F20"/>
        </w:rPr>
        <w:t>motor</w:t>
      </w:r>
      <w:r>
        <w:rPr>
          <w:color w:val="231F20"/>
          <w:spacing w:val="-5"/>
        </w:rPr>
        <w:t> </w:t>
      </w:r>
      <w:r>
        <w:rPr>
          <w:color w:val="231F20"/>
        </w:rPr>
        <w:t>unit</w:t>
      </w:r>
      <w:r>
        <w:rPr>
          <w:color w:val="231F20"/>
          <w:spacing w:val="-5"/>
        </w:rPr>
        <w:t> </w:t>
      </w:r>
      <w:r>
        <w:rPr>
          <w:color w:val="231F20"/>
          <w:spacing w:val="-2"/>
        </w:rPr>
        <w:t>potentials.</w:t>
      </w:r>
    </w:p>
    <w:p>
      <w:pPr>
        <w:spacing w:line="150" w:lineRule="exact" w:before="0"/>
        <w:ind w:left="953" w:right="0" w:firstLine="0"/>
        <w:jc w:val="left"/>
        <w:rPr>
          <w:i/>
          <w:sz w:val="13"/>
        </w:rPr>
      </w:pPr>
      <w:r>
        <w:rPr>
          <w:i/>
          <w:color w:val="231F20"/>
          <w:sz w:val="13"/>
        </w:rPr>
        <w:t>From</w:t>
      </w:r>
      <w:r>
        <w:rPr>
          <w:i/>
          <w:color w:val="231F20"/>
          <w:spacing w:val="-2"/>
          <w:sz w:val="13"/>
        </w:rPr>
        <w:t> </w:t>
      </w:r>
      <w:r>
        <w:rPr>
          <w:i/>
          <w:color w:val="231F20"/>
          <w:sz w:val="13"/>
        </w:rPr>
        <w:t>Volpe</w:t>
      </w:r>
      <w:r>
        <w:rPr>
          <w:i/>
          <w:color w:val="231F20"/>
          <w:spacing w:val="-1"/>
          <w:sz w:val="13"/>
        </w:rPr>
        <w:t> </w:t>
      </w:r>
      <w:r>
        <w:rPr>
          <w:i/>
          <w:color w:val="231F20"/>
          <w:sz w:val="13"/>
        </w:rPr>
        <w:t>J:</w:t>
      </w:r>
      <w:r>
        <w:rPr>
          <w:i/>
          <w:color w:val="231F20"/>
          <w:spacing w:val="-1"/>
          <w:sz w:val="13"/>
        </w:rPr>
        <w:t> </w:t>
      </w:r>
      <w:r>
        <w:rPr>
          <w:color w:val="231F20"/>
          <w:sz w:val="13"/>
        </w:rPr>
        <w:t>Neurology</w:t>
      </w:r>
      <w:r>
        <w:rPr>
          <w:color w:val="231F20"/>
          <w:spacing w:val="-1"/>
          <w:sz w:val="13"/>
        </w:rPr>
        <w:t> </w:t>
      </w:r>
      <w:r>
        <w:rPr>
          <w:color w:val="231F20"/>
          <w:sz w:val="13"/>
        </w:rPr>
        <w:t>of</w:t>
      </w:r>
      <w:r>
        <w:rPr>
          <w:color w:val="231F20"/>
          <w:spacing w:val="-1"/>
          <w:sz w:val="13"/>
        </w:rPr>
        <w:t> </w:t>
      </w:r>
      <w:r>
        <w:rPr>
          <w:color w:val="231F20"/>
          <w:sz w:val="13"/>
        </w:rPr>
        <w:t>the</w:t>
      </w:r>
      <w:r>
        <w:rPr>
          <w:color w:val="231F20"/>
          <w:spacing w:val="-2"/>
          <w:sz w:val="13"/>
        </w:rPr>
        <w:t> </w:t>
      </w:r>
      <w:r>
        <w:rPr>
          <w:color w:val="231F20"/>
          <w:sz w:val="13"/>
        </w:rPr>
        <w:t>newborn</w:t>
      </w:r>
      <w:r>
        <w:rPr>
          <w:i/>
          <w:color w:val="231F20"/>
          <w:sz w:val="13"/>
        </w:rPr>
        <w:t>,</w:t>
      </w:r>
      <w:r>
        <w:rPr>
          <w:i/>
          <w:color w:val="231F20"/>
          <w:spacing w:val="-1"/>
          <w:sz w:val="13"/>
        </w:rPr>
        <w:t> </w:t>
      </w:r>
      <w:r>
        <w:rPr>
          <w:i/>
          <w:color w:val="231F20"/>
          <w:sz w:val="13"/>
        </w:rPr>
        <w:t>ed</w:t>
      </w:r>
      <w:r>
        <w:rPr>
          <w:i/>
          <w:color w:val="231F20"/>
          <w:spacing w:val="-1"/>
          <w:sz w:val="13"/>
        </w:rPr>
        <w:t> </w:t>
      </w:r>
      <w:r>
        <w:rPr>
          <w:i/>
          <w:color w:val="231F20"/>
          <w:sz w:val="13"/>
        </w:rPr>
        <w:t>4,</w:t>
      </w:r>
      <w:r>
        <w:rPr>
          <w:i/>
          <w:color w:val="231F20"/>
          <w:spacing w:val="-1"/>
          <w:sz w:val="13"/>
        </w:rPr>
        <w:t> </w:t>
      </w:r>
      <w:r>
        <w:rPr>
          <w:i/>
          <w:color w:val="231F20"/>
          <w:sz w:val="13"/>
        </w:rPr>
        <w:t>Philadelphia,</w:t>
      </w:r>
      <w:r>
        <w:rPr>
          <w:i/>
          <w:color w:val="231F20"/>
          <w:spacing w:val="-1"/>
          <w:sz w:val="13"/>
        </w:rPr>
        <w:t> </w:t>
      </w:r>
      <w:r>
        <w:rPr>
          <w:i/>
          <w:color w:val="231F20"/>
          <w:sz w:val="13"/>
        </w:rPr>
        <w:t>2001,</w:t>
      </w:r>
      <w:r>
        <w:rPr>
          <w:i/>
          <w:color w:val="231F20"/>
          <w:spacing w:val="-2"/>
          <w:sz w:val="13"/>
        </w:rPr>
        <w:t> </w:t>
      </w:r>
      <w:r>
        <w:rPr>
          <w:i/>
          <w:color w:val="231F20"/>
          <w:sz w:val="13"/>
        </w:rPr>
        <w:t>WB</w:t>
      </w:r>
      <w:r>
        <w:rPr>
          <w:i/>
          <w:color w:val="231F20"/>
          <w:spacing w:val="-1"/>
          <w:sz w:val="13"/>
        </w:rPr>
        <w:t> </w:t>
      </w:r>
      <w:r>
        <w:rPr>
          <w:i/>
          <w:color w:val="231F20"/>
          <w:sz w:val="13"/>
        </w:rPr>
        <w:t>Saunders,</w:t>
      </w:r>
      <w:r>
        <w:rPr>
          <w:i/>
          <w:color w:val="231F20"/>
          <w:spacing w:val="-1"/>
          <w:sz w:val="13"/>
        </w:rPr>
        <w:t> </w:t>
      </w:r>
      <w:r>
        <w:rPr>
          <w:i/>
          <w:color w:val="231F20"/>
          <w:sz w:val="13"/>
        </w:rPr>
        <w:t>p.</w:t>
      </w:r>
      <w:r>
        <w:rPr>
          <w:i/>
          <w:color w:val="231F20"/>
          <w:spacing w:val="-1"/>
          <w:sz w:val="13"/>
        </w:rPr>
        <w:t> </w:t>
      </w:r>
      <w:r>
        <w:rPr>
          <w:i/>
          <w:color w:val="231F20"/>
          <w:spacing w:val="-4"/>
          <w:sz w:val="13"/>
        </w:rPr>
        <w:t>706.</w:t>
      </w:r>
    </w:p>
    <w:p>
      <w:pPr>
        <w:pStyle w:val="BodyText"/>
        <w:spacing w:before="1"/>
        <w:rPr>
          <w:i/>
          <w:sz w:val="20"/>
        </w:rPr>
      </w:pPr>
    </w:p>
    <w:tbl>
      <w:tblPr>
        <w:tblW w:w="0" w:type="auto"/>
        <w:jc w:val="left"/>
        <w:tblInd w:w="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908"/>
        <w:gridCol w:w="2756"/>
        <w:gridCol w:w="3929"/>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607-</w:t>
            </w:r>
            <w:r>
              <w:rPr>
                <w:b/>
                <w:color w:val="FFFFFF"/>
                <w:spacing w:val="-10"/>
                <w:w w:val="105"/>
                <w:sz w:val="16"/>
              </w:rPr>
              <w:t>2</w:t>
            </w:r>
          </w:p>
        </w:tc>
        <w:tc>
          <w:tcPr>
            <w:tcW w:w="8593"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Pattern</w:t>
            </w:r>
            <w:r>
              <w:rPr>
                <w:color w:val="FFFFFF"/>
                <w:spacing w:val="4"/>
                <w:w w:val="105"/>
                <w:sz w:val="16"/>
              </w:rPr>
              <w:t> </w:t>
            </w:r>
            <w:r>
              <w:rPr>
                <w:color w:val="FFFFFF"/>
                <w:w w:val="105"/>
                <w:sz w:val="16"/>
              </w:rPr>
              <w:t>of</w:t>
            </w:r>
            <w:r>
              <w:rPr>
                <w:color w:val="FFFFFF"/>
                <w:spacing w:val="5"/>
                <w:w w:val="105"/>
                <w:sz w:val="16"/>
              </w:rPr>
              <w:t> </w:t>
            </w:r>
            <w:r>
              <w:rPr>
                <w:color w:val="FFFFFF"/>
                <w:w w:val="105"/>
                <w:sz w:val="16"/>
              </w:rPr>
              <w:t>Weakness</w:t>
            </w:r>
            <w:r>
              <w:rPr>
                <w:color w:val="FFFFFF"/>
                <w:spacing w:val="5"/>
                <w:w w:val="105"/>
                <w:sz w:val="16"/>
              </w:rPr>
              <w:t> </w:t>
            </w:r>
            <w:r>
              <w:rPr>
                <w:color w:val="FFFFFF"/>
                <w:w w:val="105"/>
                <w:sz w:val="16"/>
              </w:rPr>
              <w:t>and</w:t>
            </w:r>
            <w:r>
              <w:rPr>
                <w:color w:val="FFFFFF"/>
                <w:spacing w:val="4"/>
                <w:w w:val="105"/>
                <w:sz w:val="16"/>
              </w:rPr>
              <w:t> </w:t>
            </w:r>
            <w:r>
              <w:rPr>
                <w:color w:val="FFFFFF"/>
                <w:w w:val="105"/>
                <w:sz w:val="16"/>
              </w:rPr>
              <w:t>Localization</w:t>
            </w:r>
            <w:r>
              <w:rPr>
                <w:color w:val="FFFFFF"/>
                <w:spacing w:val="5"/>
                <w:w w:val="105"/>
                <w:sz w:val="16"/>
              </w:rPr>
              <w:t> </w:t>
            </w:r>
            <w:r>
              <w:rPr>
                <w:color w:val="FFFFFF"/>
                <w:w w:val="105"/>
                <w:sz w:val="16"/>
              </w:rPr>
              <w:t>in</w:t>
            </w:r>
            <w:r>
              <w:rPr>
                <w:color w:val="FFFFFF"/>
                <w:spacing w:val="5"/>
                <w:w w:val="105"/>
                <w:sz w:val="16"/>
              </w:rPr>
              <w:t> </w:t>
            </w:r>
            <w:r>
              <w:rPr>
                <w:color w:val="FFFFFF"/>
                <w:w w:val="105"/>
                <w:sz w:val="16"/>
              </w:rPr>
              <w:t>the</w:t>
            </w:r>
            <w:r>
              <w:rPr>
                <w:color w:val="FFFFFF"/>
                <w:spacing w:val="5"/>
                <w:w w:val="105"/>
                <w:sz w:val="16"/>
              </w:rPr>
              <w:t> </w:t>
            </w:r>
            <w:r>
              <w:rPr>
                <w:color w:val="FFFFFF"/>
                <w:w w:val="105"/>
                <w:sz w:val="16"/>
              </w:rPr>
              <w:t>Floppy</w:t>
            </w:r>
            <w:r>
              <w:rPr>
                <w:color w:val="FFFFFF"/>
                <w:spacing w:val="4"/>
                <w:w w:val="105"/>
                <w:sz w:val="16"/>
              </w:rPr>
              <w:t> </w:t>
            </w:r>
            <w:r>
              <w:rPr>
                <w:color w:val="FFFFFF"/>
                <w:spacing w:val="-2"/>
                <w:w w:val="105"/>
                <w:sz w:val="16"/>
              </w:rPr>
              <w:t>Infant</w:t>
            </w:r>
          </w:p>
        </w:tc>
      </w:tr>
      <w:tr>
        <w:trPr>
          <w:trHeight w:val="257" w:hRule="atLeast"/>
        </w:trPr>
        <w:tc>
          <w:tcPr>
            <w:tcW w:w="3056" w:type="dxa"/>
            <w:gridSpan w:val="2"/>
            <w:tcBorders>
              <w:bottom w:val="single" w:sz="4" w:space="0" w:color="231F20"/>
            </w:tcBorders>
            <w:shd w:val="clear" w:color="auto" w:fill="E8F5F1"/>
          </w:tcPr>
          <w:p>
            <w:pPr>
              <w:pStyle w:val="TableParagraph"/>
              <w:spacing w:before="47"/>
              <w:ind w:left="74"/>
              <w:rPr>
                <w:b/>
                <w:sz w:val="15"/>
              </w:rPr>
            </w:pPr>
            <w:r>
              <w:rPr>
                <w:b/>
                <w:color w:val="231F20"/>
                <w:w w:val="110"/>
                <w:sz w:val="15"/>
              </w:rPr>
              <w:t>ANATOMIC</w:t>
            </w:r>
            <w:r>
              <w:rPr>
                <w:b/>
                <w:color w:val="231F20"/>
                <w:spacing w:val="17"/>
                <w:w w:val="110"/>
                <w:sz w:val="15"/>
              </w:rPr>
              <w:t> </w:t>
            </w:r>
            <w:r>
              <w:rPr>
                <w:b/>
                <w:color w:val="231F20"/>
                <w:w w:val="110"/>
                <w:sz w:val="15"/>
              </w:rPr>
              <w:t>REGION</w:t>
            </w:r>
            <w:r>
              <w:rPr>
                <w:b/>
                <w:color w:val="231F20"/>
                <w:spacing w:val="18"/>
                <w:w w:val="110"/>
                <w:sz w:val="15"/>
              </w:rPr>
              <w:t> </w:t>
            </w:r>
            <w:r>
              <w:rPr>
                <w:b/>
                <w:color w:val="231F20"/>
                <w:w w:val="110"/>
                <w:sz w:val="15"/>
              </w:rPr>
              <w:t>OF</w:t>
            </w:r>
            <w:r>
              <w:rPr>
                <w:b/>
                <w:color w:val="231F20"/>
                <w:spacing w:val="17"/>
                <w:w w:val="110"/>
                <w:sz w:val="15"/>
              </w:rPr>
              <w:t> </w:t>
            </w:r>
            <w:r>
              <w:rPr>
                <w:b/>
                <w:color w:val="231F20"/>
                <w:spacing w:val="-2"/>
                <w:w w:val="110"/>
                <w:sz w:val="15"/>
              </w:rPr>
              <w:t>HYPOTONIA</w:t>
            </w:r>
          </w:p>
        </w:tc>
        <w:tc>
          <w:tcPr>
            <w:tcW w:w="2756" w:type="dxa"/>
            <w:tcBorders>
              <w:bottom w:val="single" w:sz="4" w:space="0" w:color="231F20"/>
            </w:tcBorders>
            <w:shd w:val="clear" w:color="auto" w:fill="E8F5F1"/>
          </w:tcPr>
          <w:p>
            <w:pPr>
              <w:pStyle w:val="TableParagraph"/>
              <w:spacing w:before="47"/>
              <w:ind w:left="256"/>
              <w:rPr>
                <w:b/>
                <w:sz w:val="15"/>
              </w:rPr>
            </w:pPr>
            <w:r>
              <w:rPr>
                <w:b/>
                <w:color w:val="231F20"/>
                <w:w w:val="110"/>
                <w:sz w:val="15"/>
              </w:rPr>
              <w:t>CORRESPONDING</w:t>
            </w:r>
            <w:r>
              <w:rPr>
                <w:b/>
                <w:color w:val="231F20"/>
                <w:spacing w:val="35"/>
                <w:w w:val="115"/>
                <w:sz w:val="15"/>
              </w:rPr>
              <w:t> </w:t>
            </w:r>
            <w:r>
              <w:rPr>
                <w:b/>
                <w:color w:val="231F20"/>
                <w:spacing w:val="-2"/>
                <w:w w:val="115"/>
                <w:sz w:val="15"/>
              </w:rPr>
              <w:t>DISORDERS</w:t>
            </w:r>
          </w:p>
        </w:tc>
        <w:tc>
          <w:tcPr>
            <w:tcW w:w="3929" w:type="dxa"/>
            <w:tcBorders>
              <w:bottom w:val="single" w:sz="4" w:space="0" w:color="231F20"/>
            </w:tcBorders>
            <w:shd w:val="clear" w:color="auto" w:fill="E8F5F1"/>
          </w:tcPr>
          <w:p>
            <w:pPr>
              <w:pStyle w:val="TableParagraph"/>
              <w:spacing w:before="47"/>
              <w:ind w:left="343"/>
              <w:rPr>
                <w:b/>
                <w:sz w:val="15"/>
              </w:rPr>
            </w:pPr>
            <w:r>
              <w:rPr>
                <w:b/>
                <w:color w:val="231F20"/>
                <w:w w:val="110"/>
                <w:sz w:val="15"/>
              </w:rPr>
              <w:t>PATTERN</w:t>
            </w:r>
            <w:r>
              <w:rPr>
                <w:b/>
                <w:color w:val="231F20"/>
                <w:spacing w:val="9"/>
                <w:w w:val="110"/>
                <w:sz w:val="15"/>
              </w:rPr>
              <w:t> </w:t>
            </w:r>
            <w:r>
              <w:rPr>
                <w:b/>
                <w:color w:val="231F20"/>
                <w:w w:val="110"/>
                <w:sz w:val="15"/>
              </w:rPr>
              <w:t>OF</w:t>
            </w:r>
            <w:r>
              <w:rPr>
                <w:b/>
                <w:color w:val="231F20"/>
                <w:spacing w:val="9"/>
                <w:w w:val="110"/>
                <w:sz w:val="15"/>
              </w:rPr>
              <w:t> </w:t>
            </w:r>
            <w:r>
              <w:rPr>
                <w:b/>
                <w:color w:val="231F20"/>
                <w:w w:val="110"/>
                <w:sz w:val="15"/>
              </w:rPr>
              <w:t>WEAKNESS</w:t>
            </w:r>
            <w:r>
              <w:rPr>
                <w:b/>
                <w:color w:val="231F20"/>
                <w:spacing w:val="9"/>
                <w:w w:val="110"/>
                <w:sz w:val="15"/>
              </w:rPr>
              <w:t> </w:t>
            </w:r>
            <w:r>
              <w:rPr>
                <w:b/>
                <w:color w:val="231F20"/>
                <w:w w:val="110"/>
                <w:sz w:val="15"/>
              </w:rPr>
              <w:t>AND</w:t>
            </w:r>
            <w:r>
              <w:rPr>
                <w:b/>
                <w:color w:val="231F20"/>
                <w:spacing w:val="10"/>
                <w:w w:val="110"/>
                <w:sz w:val="15"/>
              </w:rPr>
              <w:t> </w:t>
            </w:r>
            <w:r>
              <w:rPr>
                <w:b/>
                <w:color w:val="231F20"/>
                <w:spacing w:val="-2"/>
                <w:w w:val="110"/>
                <w:sz w:val="15"/>
              </w:rPr>
              <w:t>INVOLVEMENT</w:t>
            </w:r>
          </w:p>
        </w:tc>
      </w:tr>
      <w:tr>
        <w:trPr>
          <w:trHeight w:val="761" w:hRule="atLeast"/>
        </w:trPr>
        <w:tc>
          <w:tcPr>
            <w:tcW w:w="3056"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Central</w:t>
            </w:r>
            <w:r>
              <w:rPr>
                <w:color w:val="231F20"/>
                <w:spacing w:val="-7"/>
                <w:sz w:val="15"/>
              </w:rPr>
              <w:t> </w:t>
            </w:r>
            <w:r>
              <w:rPr>
                <w:color w:val="231F20"/>
                <w:sz w:val="15"/>
              </w:rPr>
              <w:t>nervous</w:t>
            </w:r>
            <w:r>
              <w:rPr>
                <w:color w:val="231F20"/>
                <w:spacing w:val="-6"/>
                <w:sz w:val="15"/>
              </w:rPr>
              <w:t> </w:t>
            </w:r>
            <w:r>
              <w:rPr>
                <w:color w:val="231F20"/>
                <w:spacing w:val="-2"/>
                <w:sz w:val="15"/>
              </w:rPr>
              <w:t>system</w:t>
            </w:r>
          </w:p>
        </w:tc>
        <w:tc>
          <w:tcPr>
            <w:tcW w:w="2756" w:type="dxa"/>
            <w:tcBorders>
              <w:top w:val="single" w:sz="4" w:space="0" w:color="231F20"/>
              <w:bottom w:val="single" w:sz="4" w:space="0" w:color="FFFFFF"/>
            </w:tcBorders>
            <w:shd w:val="clear" w:color="auto" w:fill="E8F5F1"/>
          </w:tcPr>
          <w:p>
            <w:pPr>
              <w:pStyle w:val="TableParagraph"/>
              <w:spacing w:line="230" w:lineRule="auto" w:before="52"/>
              <w:ind w:left="257" w:right="580"/>
              <w:rPr>
                <w:sz w:val="15"/>
              </w:rPr>
            </w:pPr>
            <w:r>
              <w:rPr>
                <w:color w:val="231F20"/>
                <w:sz w:val="15"/>
              </w:rPr>
              <w:t>Chromosomal disorders Inborn</w:t>
            </w:r>
            <w:r>
              <w:rPr>
                <w:color w:val="231F20"/>
                <w:spacing w:val="-4"/>
                <w:sz w:val="15"/>
              </w:rPr>
              <w:t> </w:t>
            </w:r>
            <w:r>
              <w:rPr>
                <w:color w:val="231F20"/>
                <w:sz w:val="15"/>
              </w:rPr>
              <w:t>errors</w:t>
            </w:r>
            <w:r>
              <w:rPr>
                <w:color w:val="231F20"/>
                <w:spacing w:val="-4"/>
                <w:sz w:val="15"/>
              </w:rPr>
              <w:t> </w:t>
            </w:r>
            <w:r>
              <w:rPr>
                <w:color w:val="231F20"/>
                <w:sz w:val="15"/>
              </w:rPr>
              <w:t>of</w:t>
            </w:r>
            <w:r>
              <w:rPr>
                <w:color w:val="231F20"/>
                <w:spacing w:val="-4"/>
                <w:sz w:val="15"/>
              </w:rPr>
              <w:t> </w:t>
            </w:r>
            <w:r>
              <w:rPr>
                <w:color w:val="231F20"/>
                <w:sz w:val="15"/>
              </w:rPr>
              <w:t>metabolism Cerebral dysgenesis </w:t>
            </w:r>
            <w:r>
              <w:rPr>
                <w:color w:val="231F20"/>
                <w:spacing w:val="-2"/>
                <w:sz w:val="15"/>
              </w:rPr>
              <w:t>Cerebral,</w:t>
            </w:r>
            <w:r>
              <w:rPr>
                <w:color w:val="231F20"/>
                <w:spacing w:val="-7"/>
                <w:sz w:val="15"/>
              </w:rPr>
              <w:t> </w:t>
            </w:r>
            <w:r>
              <w:rPr>
                <w:color w:val="231F20"/>
                <w:spacing w:val="-2"/>
                <w:sz w:val="15"/>
              </w:rPr>
              <w:t>spinal</w:t>
            </w:r>
            <w:r>
              <w:rPr>
                <w:color w:val="231F20"/>
                <w:spacing w:val="-7"/>
                <w:sz w:val="15"/>
              </w:rPr>
              <w:t> </w:t>
            </w:r>
            <w:r>
              <w:rPr>
                <w:color w:val="231F20"/>
                <w:spacing w:val="-2"/>
                <w:sz w:val="15"/>
              </w:rPr>
              <w:t>cord</w:t>
            </w:r>
            <w:r>
              <w:rPr>
                <w:color w:val="231F20"/>
                <w:spacing w:val="-7"/>
                <w:sz w:val="15"/>
              </w:rPr>
              <w:t> </w:t>
            </w:r>
            <w:r>
              <w:rPr>
                <w:color w:val="231F20"/>
                <w:spacing w:val="-2"/>
                <w:sz w:val="15"/>
              </w:rPr>
              <w:t>trauma</w:t>
            </w:r>
          </w:p>
        </w:tc>
        <w:tc>
          <w:tcPr>
            <w:tcW w:w="3929" w:type="dxa"/>
            <w:tcBorders>
              <w:top w:val="single" w:sz="4" w:space="0" w:color="231F20"/>
              <w:bottom w:val="single" w:sz="4" w:space="0" w:color="FFFFFF"/>
            </w:tcBorders>
            <w:shd w:val="clear" w:color="auto" w:fill="E8F5F1"/>
          </w:tcPr>
          <w:p>
            <w:pPr>
              <w:pStyle w:val="TableParagraph"/>
              <w:spacing w:line="171" w:lineRule="exact" w:before="47"/>
              <w:ind w:left="256"/>
              <w:rPr>
                <w:sz w:val="15"/>
              </w:rPr>
            </w:pPr>
            <w:r>
              <w:rPr>
                <w:color w:val="231F20"/>
                <w:spacing w:val="-2"/>
                <w:sz w:val="15"/>
              </w:rPr>
              <w:t>Central</w:t>
            </w:r>
            <w:r>
              <w:rPr>
                <w:color w:val="231F20"/>
                <w:sz w:val="15"/>
              </w:rPr>
              <w:t> </w:t>
            </w:r>
            <w:r>
              <w:rPr>
                <w:color w:val="231F20"/>
                <w:spacing w:val="-2"/>
                <w:sz w:val="15"/>
              </w:rPr>
              <w:t>hypotonia</w:t>
            </w:r>
          </w:p>
          <w:p>
            <w:pPr>
              <w:pStyle w:val="TableParagraph"/>
              <w:spacing w:line="230" w:lineRule="auto" w:before="2"/>
              <w:ind w:left="256" w:right="1081"/>
              <w:rPr>
                <w:sz w:val="15"/>
              </w:rPr>
            </w:pPr>
            <w:r>
              <w:rPr>
                <w:color w:val="231F20"/>
                <w:sz w:val="15"/>
              </w:rPr>
              <w:t>Axial</w:t>
            </w:r>
            <w:r>
              <w:rPr>
                <w:color w:val="231F20"/>
                <w:spacing w:val="-12"/>
                <w:sz w:val="15"/>
              </w:rPr>
              <w:t> </w:t>
            </w:r>
            <w:r>
              <w:rPr>
                <w:color w:val="231F20"/>
                <w:sz w:val="15"/>
              </w:rPr>
              <w:t>hypotonia</w:t>
            </w:r>
            <w:r>
              <w:rPr>
                <w:color w:val="231F20"/>
                <w:spacing w:val="-11"/>
                <w:sz w:val="15"/>
              </w:rPr>
              <w:t> </w:t>
            </w:r>
            <w:r>
              <w:rPr>
                <w:color w:val="231F20"/>
                <w:sz w:val="15"/>
              </w:rPr>
              <w:t>more</w:t>
            </w:r>
            <w:r>
              <w:rPr>
                <w:color w:val="231F20"/>
                <w:spacing w:val="-11"/>
                <w:sz w:val="15"/>
              </w:rPr>
              <w:t> </w:t>
            </w:r>
            <w:r>
              <w:rPr>
                <w:color w:val="231F20"/>
                <w:sz w:val="15"/>
              </w:rPr>
              <w:t>prominent Hyperactive reflexes</w:t>
            </w:r>
          </w:p>
        </w:tc>
      </w:tr>
      <w:tr>
        <w:trPr>
          <w:trHeight w:val="420" w:hRule="atLeast"/>
        </w:trPr>
        <w:tc>
          <w:tcPr>
            <w:tcW w:w="3056"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Motor</w:t>
            </w:r>
            <w:r>
              <w:rPr>
                <w:color w:val="231F20"/>
                <w:spacing w:val="2"/>
                <w:w w:val="105"/>
                <w:sz w:val="15"/>
              </w:rPr>
              <w:t> </w:t>
            </w:r>
            <w:r>
              <w:rPr>
                <w:color w:val="231F20"/>
                <w:spacing w:val="-2"/>
                <w:w w:val="105"/>
                <w:sz w:val="15"/>
              </w:rPr>
              <w:t>neuron</w:t>
            </w:r>
          </w:p>
        </w:tc>
        <w:tc>
          <w:tcPr>
            <w:tcW w:w="2756" w:type="dxa"/>
            <w:tcBorders>
              <w:top w:val="single" w:sz="4" w:space="0" w:color="FFFFFF"/>
              <w:bottom w:val="single" w:sz="4" w:space="0" w:color="FFFFFF"/>
            </w:tcBorders>
            <w:shd w:val="clear" w:color="auto" w:fill="E8F5F1"/>
          </w:tcPr>
          <w:p>
            <w:pPr>
              <w:pStyle w:val="TableParagraph"/>
              <w:spacing w:before="42"/>
              <w:ind w:left="257"/>
              <w:rPr>
                <w:sz w:val="15"/>
              </w:rPr>
            </w:pPr>
            <w:r>
              <w:rPr>
                <w:color w:val="231F20"/>
                <w:sz w:val="15"/>
              </w:rPr>
              <w:t>Spinal</w:t>
            </w:r>
            <w:r>
              <w:rPr>
                <w:color w:val="231F20"/>
                <w:spacing w:val="-9"/>
                <w:sz w:val="15"/>
              </w:rPr>
              <w:t> </w:t>
            </w:r>
            <w:r>
              <w:rPr>
                <w:color w:val="231F20"/>
                <w:sz w:val="15"/>
              </w:rPr>
              <w:t>muscular</w:t>
            </w:r>
            <w:r>
              <w:rPr>
                <w:color w:val="231F20"/>
                <w:spacing w:val="-8"/>
                <w:sz w:val="15"/>
              </w:rPr>
              <w:t> </w:t>
            </w:r>
            <w:r>
              <w:rPr>
                <w:color w:val="231F20"/>
                <w:spacing w:val="-2"/>
                <w:sz w:val="15"/>
              </w:rPr>
              <w:t>atrophy</w:t>
            </w:r>
          </w:p>
        </w:tc>
        <w:tc>
          <w:tcPr>
            <w:tcW w:w="3929" w:type="dxa"/>
            <w:tcBorders>
              <w:top w:val="single" w:sz="4" w:space="0" w:color="FFFFFF"/>
              <w:bottom w:val="single" w:sz="4" w:space="0" w:color="FFFFFF"/>
            </w:tcBorders>
            <w:shd w:val="clear" w:color="auto" w:fill="E8F5F1"/>
          </w:tcPr>
          <w:p>
            <w:pPr>
              <w:pStyle w:val="TableParagraph"/>
              <w:spacing w:line="230" w:lineRule="auto" w:before="48"/>
              <w:ind w:left="368" w:hanging="112"/>
              <w:rPr>
                <w:sz w:val="15"/>
              </w:rPr>
            </w:pPr>
            <w:r>
              <w:rPr>
                <w:color w:val="231F20"/>
                <w:sz w:val="15"/>
              </w:rPr>
              <w:t>Generalized</w:t>
            </w:r>
            <w:r>
              <w:rPr>
                <w:color w:val="231F20"/>
                <w:spacing w:val="-12"/>
                <w:sz w:val="15"/>
              </w:rPr>
              <w:t> </w:t>
            </w:r>
            <w:r>
              <w:rPr>
                <w:color w:val="231F20"/>
                <w:sz w:val="15"/>
              </w:rPr>
              <w:t>weakness;</w:t>
            </w:r>
            <w:r>
              <w:rPr>
                <w:color w:val="231F20"/>
                <w:spacing w:val="-11"/>
                <w:sz w:val="15"/>
              </w:rPr>
              <w:t> </w:t>
            </w:r>
            <w:r>
              <w:rPr>
                <w:color w:val="231F20"/>
                <w:sz w:val="15"/>
              </w:rPr>
              <w:t>often</w:t>
            </w:r>
            <w:r>
              <w:rPr>
                <w:color w:val="231F20"/>
                <w:spacing w:val="-11"/>
                <w:sz w:val="15"/>
              </w:rPr>
              <w:t> </w:t>
            </w:r>
            <w:r>
              <w:rPr>
                <w:color w:val="231F20"/>
                <w:sz w:val="15"/>
              </w:rPr>
              <w:t>spares</w:t>
            </w:r>
            <w:r>
              <w:rPr>
                <w:color w:val="231F20"/>
                <w:spacing w:val="-12"/>
                <w:sz w:val="15"/>
              </w:rPr>
              <w:t> </w:t>
            </w:r>
            <w:r>
              <w:rPr>
                <w:color w:val="231F20"/>
                <w:sz w:val="15"/>
              </w:rPr>
              <w:t>the</w:t>
            </w:r>
            <w:r>
              <w:rPr>
                <w:color w:val="231F20"/>
                <w:spacing w:val="-11"/>
                <w:sz w:val="15"/>
              </w:rPr>
              <w:t> </w:t>
            </w:r>
            <w:r>
              <w:rPr>
                <w:color w:val="231F20"/>
                <w:sz w:val="15"/>
              </w:rPr>
              <w:t>diaphragm, facial muscles, pelvis, and sphincters</w:t>
            </w:r>
          </w:p>
        </w:tc>
      </w:tr>
      <w:tr>
        <w:trPr>
          <w:trHeight w:val="420" w:hRule="atLeast"/>
        </w:trPr>
        <w:tc>
          <w:tcPr>
            <w:tcW w:w="3056"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Nerve</w:t>
            </w:r>
          </w:p>
        </w:tc>
        <w:tc>
          <w:tcPr>
            <w:tcW w:w="2756" w:type="dxa"/>
            <w:tcBorders>
              <w:top w:val="single" w:sz="4" w:space="0" w:color="FFFFFF"/>
              <w:bottom w:val="single" w:sz="4" w:space="0" w:color="FFFFFF"/>
            </w:tcBorders>
            <w:shd w:val="clear" w:color="auto" w:fill="E8F5F1"/>
          </w:tcPr>
          <w:p>
            <w:pPr>
              <w:pStyle w:val="TableParagraph"/>
              <w:spacing w:before="42"/>
              <w:ind w:left="257"/>
              <w:rPr>
                <w:sz w:val="15"/>
              </w:rPr>
            </w:pPr>
            <w:r>
              <w:rPr>
                <w:color w:val="231F20"/>
                <w:spacing w:val="-2"/>
                <w:sz w:val="15"/>
              </w:rPr>
              <w:t>Peripheral</w:t>
            </w:r>
            <w:r>
              <w:rPr>
                <w:color w:val="231F20"/>
                <w:sz w:val="15"/>
              </w:rPr>
              <w:t> </w:t>
            </w:r>
            <w:r>
              <w:rPr>
                <w:color w:val="231F20"/>
                <w:spacing w:val="-2"/>
                <w:sz w:val="15"/>
              </w:rPr>
              <w:t>neuropathies</w:t>
            </w:r>
          </w:p>
        </w:tc>
        <w:tc>
          <w:tcPr>
            <w:tcW w:w="3929" w:type="dxa"/>
            <w:tcBorders>
              <w:top w:val="single" w:sz="4" w:space="0" w:color="FFFFFF"/>
              <w:bottom w:val="single" w:sz="4" w:space="0" w:color="FFFFFF"/>
            </w:tcBorders>
            <w:shd w:val="clear" w:color="auto" w:fill="E8F5F1"/>
          </w:tcPr>
          <w:p>
            <w:pPr>
              <w:pStyle w:val="TableParagraph"/>
              <w:spacing w:line="230" w:lineRule="auto" w:before="48"/>
              <w:ind w:left="256" w:right="1081"/>
              <w:rPr>
                <w:sz w:val="15"/>
              </w:rPr>
            </w:pPr>
            <w:r>
              <w:rPr>
                <w:color w:val="231F20"/>
                <w:sz w:val="15"/>
              </w:rPr>
              <w:t>Distal</w:t>
            </w:r>
            <w:r>
              <w:rPr>
                <w:color w:val="231F20"/>
                <w:spacing w:val="-7"/>
                <w:sz w:val="15"/>
              </w:rPr>
              <w:t> </w:t>
            </w:r>
            <w:r>
              <w:rPr>
                <w:color w:val="231F20"/>
                <w:sz w:val="15"/>
              </w:rPr>
              <w:t>muscle</w:t>
            </w:r>
            <w:r>
              <w:rPr>
                <w:color w:val="231F20"/>
                <w:spacing w:val="-7"/>
                <w:sz w:val="15"/>
              </w:rPr>
              <w:t> </w:t>
            </w:r>
            <w:r>
              <w:rPr>
                <w:color w:val="231F20"/>
                <w:sz w:val="15"/>
              </w:rPr>
              <w:t>groups</w:t>
            </w:r>
            <w:r>
              <w:rPr>
                <w:color w:val="231F20"/>
                <w:spacing w:val="-7"/>
                <w:sz w:val="15"/>
              </w:rPr>
              <w:t> </w:t>
            </w:r>
            <w:r>
              <w:rPr>
                <w:color w:val="231F20"/>
                <w:sz w:val="15"/>
              </w:rPr>
              <w:t>involved Weakness with wasting</w:t>
            </w:r>
          </w:p>
        </w:tc>
      </w:tr>
      <w:tr>
        <w:trPr>
          <w:trHeight w:val="420" w:hRule="atLeast"/>
        </w:trPr>
        <w:tc>
          <w:tcPr>
            <w:tcW w:w="3056"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Neuromuscular</w:t>
            </w:r>
            <w:r>
              <w:rPr>
                <w:color w:val="231F20"/>
                <w:spacing w:val="-1"/>
                <w:sz w:val="15"/>
              </w:rPr>
              <w:t> </w:t>
            </w:r>
            <w:r>
              <w:rPr>
                <w:color w:val="231F20"/>
                <w:spacing w:val="-2"/>
                <w:sz w:val="15"/>
              </w:rPr>
              <w:t>junction</w:t>
            </w:r>
          </w:p>
        </w:tc>
        <w:tc>
          <w:tcPr>
            <w:tcW w:w="2756" w:type="dxa"/>
            <w:tcBorders>
              <w:top w:val="single" w:sz="4" w:space="0" w:color="FFFFFF"/>
              <w:bottom w:val="single" w:sz="4" w:space="0" w:color="FFFFFF"/>
            </w:tcBorders>
            <w:shd w:val="clear" w:color="auto" w:fill="E8F5F1"/>
          </w:tcPr>
          <w:p>
            <w:pPr>
              <w:pStyle w:val="TableParagraph"/>
              <w:spacing w:line="230" w:lineRule="auto" w:before="48"/>
              <w:ind w:left="257" w:right="580"/>
              <w:rPr>
                <w:sz w:val="15"/>
              </w:rPr>
            </w:pPr>
            <w:r>
              <w:rPr>
                <w:color w:val="231F20"/>
                <w:sz w:val="15"/>
              </w:rPr>
              <w:t>Myasthenia</w:t>
            </w:r>
            <w:r>
              <w:rPr>
                <w:color w:val="231F20"/>
                <w:spacing w:val="-12"/>
                <w:sz w:val="15"/>
              </w:rPr>
              <w:t> </w:t>
            </w:r>
            <w:r>
              <w:rPr>
                <w:color w:val="231F20"/>
                <w:sz w:val="15"/>
              </w:rPr>
              <w:t>syndromes Infantile botulism</w:t>
            </w:r>
          </w:p>
        </w:tc>
        <w:tc>
          <w:tcPr>
            <w:tcW w:w="3929" w:type="dxa"/>
            <w:tcBorders>
              <w:top w:val="single" w:sz="4" w:space="0" w:color="FFFFFF"/>
              <w:bottom w:val="single" w:sz="4" w:space="0" w:color="FFFFFF"/>
            </w:tcBorders>
            <w:shd w:val="clear" w:color="auto" w:fill="E8F5F1"/>
          </w:tcPr>
          <w:p>
            <w:pPr>
              <w:pStyle w:val="TableParagraph"/>
              <w:spacing w:line="230" w:lineRule="auto" w:before="48"/>
              <w:ind w:left="368" w:hanging="112"/>
              <w:rPr>
                <w:sz w:val="15"/>
              </w:rPr>
            </w:pPr>
            <w:r>
              <w:rPr>
                <w:color w:val="231F20"/>
                <w:sz w:val="15"/>
              </w:rPr>
              <w:t>Bulbar,</w:t>
            </w:r>
            <w:r>
              <w:rPr>
                <w:color w:val="231F20"/>
                <w:spacing w:val="-9"/>
                <w:sz w:val="15"/>
              </w:rPr>
              <w:t> </w:t>
            </w:r>
            <w:r>
              <w:rPr>
                <w:color w:val="231F20"/>
                <w:sz w:val="15"/>
              </w:rPr>
              <w:t>oculomotor</w:t>
            </w:r>
            <w:r>
              <w:rPr>
                <w:color w:val="231F20"/>
                <w:spacing w:val="-9"/>
                <w:sz w:val="15"/>
              </w:rPr>
              <w:t> </w:t>
            </w:r>
            <w:r>
              <w:rPr>
                <w:color w:val="231F20"/>
                <w:sz w:val="15"/>
              </w:rPr>
              <w:t>muscles</w:t>
            </w:r>
            <w:r>
              <w:rPr>
                <w:color w:val="231F20"/>
                <w:spacing w:val="-9"/>
                <w:sz w:val="15"/>
              </w:rPr>
              <w:t> </w:t>
            </w:r>
            <w:r>
              <w:rPr>
                <w:color w:val="231F20"/>
                <w:sz w:val="15"/>
              </w:rPr>
              <w:t>exhibit</w:t>
            </w:r>
            <w:r>
              <w:rPr>
                <w:color w:val="231F20"/>
                <w:spacing w:val="-9"/>
                <w:sz w:val="15"/>
              </w:rPr>
              <w:t> </w:t>
            </w:r>
            <w:r>
              <w:rPr>
                <w:color w:val="231F20"/>
                <w:sz w:val="15"/>
              </w:rPr>
              <w:t>greater</w:t>
            </w:r>
            <w:r>
              <w:rPr>
                <w:color w:val="231F20"/>
                <w:spacing w:val="-9"/>
                <w:sz w:val="15"/>
              </w:rPr>
              <w:t> </w:t>
            </w:r>
            <w:r>
              <w:rPr>
                <w:color w:val="231F20"/>
                <w:sz w:val="15"/>
              </w:rPr>
              <w:t>degree</w:t>
            </w:r>
            <w:r>
              <w:rPr>
                <w:color w:val="231F20"/>
                <w:spacing w:val="-9"/>
                <w:sz w:val="15"/>
              </w:rPr>
              <w:t> </w:t>
            </w:r>
            <w:r>
              <w:rPr>
                <w:color w:val="231F20"/>
                <w:sz w:val="15"/>
              </w:rPr>
              <w:t>of </w:t>
            </w:r>
            <w:r>
              <w:rPr>
                <w:color w:val="231F20"/>
                <w:spacing w:val="-2"/>
                <w:sz w:val="15"/>
              </w:rPr>
              <w:t>involvement</w:t>
            </w:r>
          </w:p>
        </w:tc>
      </w:tr>
      <w:tr>
        <w:trPr>
          <w:trHeight w:val="751" w:hRule="atLeast"/>
        </w:trPr>
        <w:tc>
          <w:tcPr>
            <w:tcW w:w="3056"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w w:val="105"/>
                <w:sz w:val="15"/>
              </w:rPr>
              <w:t>Muscle</w:t>
            </w:r>
          </w:p>
        </w:tc>
        <w:tc>
          <w:tcPr>
            <w:tcW w:w="2756" w:type="dxa"/>
            <w:tcBorders>
              <w:top w:val="single" w:sz="4" w:space="0" w:color="FFFFFF"/>
              <w:bottom w:val="single" w:sz="8" w:space="0" w:color="231F20"/>
            </w:tcBorders>
            <w:shd w:val="clear" w:color="auto" w:fill="E8F5F1"/>
          </w:tcPr>
          <w:p>
            <w:pPr>
              <w:pStyle w:val="TableParagraph"/>
              <w:spacing w:line="230" w:lineRule="auto" w:before="48"/>
              <w:ind w:left="257" w:right="337"/>
              <w:rPr>
                <w:sz w:val="15"/>
              </w:rPr>
            </w:pPr>
            <w:r>
              <w:rPr>
                <w:color w:val="231F20"/>
                <w:sz w:val="15"/>
              </w:rPr>
              <w:t>Congenital myopathies Metabolic myopathies Congenital</w:t>
            </w:r>
            <w:r>
              <w:rPr>
                <w:color w:val="231F20"/>
                <w:spacing w:val="-5"/>
                <w:sz w:val="15"/>
              </w:rPr>
              <w:t> </w:t>
            </w:r>
            <w:r>
              <w:rPr>
                <w:color w:val="231F20"/>
                <w:sz w:val="15"/>
              </w:rPr>
              <w:t>muscular</w:t>
            </w:r>
            <w:r>
              <w:rPr>
                <w:color w:val="231F20"/>
                <w:spacing w:val="-5"/>
                <w:sz w:val="15"/>
              </w:rPr>
              <w:t> </w:t>
            </w:r>
            <w:r>
              <w:rPr>
                <w:color w:val="231F20"/>
                <w:sz w:val="15"/>
              </w:rPr>
              <w:t>dystrophy Congenital</w:t>
            </w:r>
            <w:r>
              <w:rPr>
                <w:color w:val="231F20"/>
                <w:spacing w:val="5"/>
                <w:sz w:val="15"/>
              </w:rPr>
              <w:t> </w:t>
            </w:r>
            <w:r>
              <w:rPr>
                <w:color w:val="231F20"/>
                <w:sz w:val="15"/>
              </w:rPr>
              <w:t>myotonic</w:t>
            </w:r>
            <w:r>
              <w:rPr>
                <w:color w:val="231F20"/>
                <w:spacing w:val="5"/>
                <w:sz w:val="15"/>
              </w:rPr>
              <w:t> </w:t>
            </w:r>
            <w:r>
              <w:rPr>
                <w:color w:val="231F20"/>
                <w:spacing w:val="-2"/>
                <w:sz w:val="15"/>
              </w:rPr>
              <w:t>dystrophy</w:t>
            </w:r>
          </w:p>
        </w:tc>
        <w:tc>
          <w:tcPr>
            <w:tcW w:w="3929" w:type="dxa"/>
            <w:tcBorders>
              <w:top w:val="single" w:sz="4" w:space="0" w:color="FFFFFF"/>
              <w:bottom w:val="single" w:sz="8" w:space="0" w:color="231F20"/>
            </w:tcBorders>
            <w:shd w:val="clear" w:color="auto" w:fill="E8F5F1"/>
          </w:tcPr>
          <w:p>
            <w:pPr>
              <w:pStyle w:val="TableParagraph"/>
              <w:spacing w:line="230" w:lineRule="auto" w:before="48"/>
              <w:ind w:left="256" w:right="2025"/>
              <w:rPr>
                <w:sz w:val="15"/>
              </w:rPr>
            </w:pPr>
            <w:r>
              <w:rPr>
                <w:color w:val="231F20"/>
                <w:sz w:val="15"/>
              </w:rPr>
              <w:t>Weakness</w:t>
            </w:r>
            <w:r>
              <w:rPr>
                <w:color w:val="231F20"/>
                <w:spacing w:val="-12"/>
                <w:sz w:val="15"/>
              </w:rPr>
              <w:t> </w:t>
            </w:r>
            <w:r>
              <w:rPr>
                <w:color w:val="231F20"/>
                <w:sz w:val="15"/>
              </w:rPr>
              <w:t>is</w:t>
            </w:r>
            <w:r>
              <w:rPr>
                <w:color w:val="231F20"/>
                <w:spacing w:val="-11"/>
                <w:sz w:val="15"/>
              </w:rPr>
              <w:t> </w:t>
            </w:r>
            <w:r>
              <w:rPr>
                <w:color w:val="231F20"/>
                <w:sz w:val="15"/>
              </w:rPr>
              <w:t>prominent Proximal musculature Hypoactive reflexes Joint contractures</w:t>
            </w:r>
          </w:p>
        </w:tc>
      </w:tr>
    </w:tbl>
    <w:p>
      <w:pPr>
        <w:pStyle w:val="BodyText"/>
        <w:spacing w:before="154"/>
        <w:rPr>
          <w:i/>
          <w:sz w:val="20"/>
        </w:rPr>
      </w:pPr>
    </w:p>
    <w:tbl>
      <w:tblPr>
        <w:tblW w:w="0" w:type="auto"/>
        <w:jc w:val="left"/>
        <w:tblInd w:w="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006"/>
        <w:gridCol w:w="1795"/>
        <w:gridCol w:w="1849"/>
        <w:gridCol w:w="1404"/>
        <w:gridCol w:w="1075"/>
        <w:gridCol w:w="1473"/>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608-</w:t>
            </w:r>
            <w:r>
              <w:rPr>
                <w:b/>
                <w:color w:val="FFFFFF"/>
                <w:spacing w:val="-10"/>
                <w:w w:val="105"/>
                <w:sz w:val="16"/>
              </w:rPr>
              <w:t>4</w:t>
            </w:r>
          </w:p>
        </w:tc>
        <w:tc>
          <w:tcPr>
            <w:tcW w:w="8602" w:type="dxa"/>
            <w:gridSpan w:val="6"/>
            <w:tcBorders>
              <w:left w:val="single" w:sz="8" w:space="0" w:color="FFFFFF"/>
            </w:tcBorders>
            <w:shd w:val="clear" w:color="auto" w:fill="231F20"/>
          </w:tcPr>
          <w:p>
            <w:pPr>
              <w:pStyle w:val="TableParagraph"/>
              <w:spacing w:before="89"/>
              <w:ind w:left="73"/>
              <w:rPr>
                <w:sz w:val="16"/>
              </w:rPr>
            </w:pPr>
            <w:r>
              <w:rPr>
                <w:color w:val="FFFFFF"/>
                <w:w w:val="105"/>
                <w:sz w:val="16"/>
              </w:rPr>
              <w:t>Specific</w:t>
            </w:r>
            <w:r>
              <w:rPr>
                <w:color w:val="FFFFFF"/>
                <w:spacing w:val="12"/>
                <w:w w:val="105"/>
                <w:sz w:val="16"/>
              </w:rPr>
              <w:t> </w:t>
            </w:r>
            <w:r>
              <w:rPr>
                <w:color w:val="FFFFFF"/>
                <w:w w:val="105"/>
                <w:sz w:val="16"/>
              </w:rPr>
              <w:t>Congenital</w:t>
            </w:r>
            <w:r>
              <w:rPr>
                <w:color w:val="FFFFFF"/>
                <w:spacing w:val="12"/>
                <w:w w:val="105"/>
                <w:sz w:val="16"/>
              </w:rPr>
              <w:t> </w:t>
            </w:r>
            <w:r>
              <w:rPr>
                <w:color w:val="FFFFFF"/>
                <w:w w:val="105"/>
                <w:sz w:val="16"/>
              </w:rPr>
              <w:t>Myopathies:</w:t>
            </w:r>
            <w:r>
              <w:rPr>
                <w:color w:val="FFFFFF"/>
                <w:spacing w:val="12"/>
                <w:w w:val="105"/>
                <w:sz w:val="16"/>
              </w:rPr>
              <w:t> </w:t>
            </w:r>
            <w:r>
              <w:rPr>
                <w:color w:val="FFFFFF"/>
                <w:w w:val="105"/>
                <w:sz w:val="16"/>
              </w:rPr>
              <w:t>Distinguishing</w:t>
            </w:r>
            <w:r>
              <w:rPr>
                <w:color w:val="FFFFFF"/>
                <w:spacing w:val="12"/>
                <w:w w:val="105"/>
                <w:sz w:val="16"/>
              </w:rPr>
              <w:t> </w:t>
            </w:r>
            <w:r>
              <w:rPr>
                <w:color w:val="FFFFFF"/>
                <w:w w:val="105"/>
                <w:sz w:val="16"/>
              </w:rPr>
              <w:t>Clinical</w:t>
            </w:r>
            <w:r>
              <w:rPr>
                <w:color w:val="FFFFFF"/>
                <w:spacing w:val="12"/>
                <w:w w:val="105"/>
                <w:sz w:val="16"/>
              </w:rPr>
              <w:t> </w:t>
            </w:r>
            <w:r>
              <w:rPr>
                <w:color w:val="FFFFFF"/>
                <w:spacing w:val="-2"/>
                <w:w w:val="105"/>
                <w:sz w:val="16"/>
              </w:rPr>
              <w:t>Features</w:t>
            </w:r>
          </w:p>
        </w:tc>
      </w:tr>
      <w:tr>
        <w:trPr>
          <w:trHeight w:val="593" w:hRule="atLeast"/>
        </w:trPr>
        <w:tc>
          <w:tcPr>
            <w:tcW w:w="2154" w:type="dxa"/>
            <w:gridSpan w:val="2"/>
            <w:tcBorders>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74"/>
              <w:rPr>
                <w:b/>
                <w:sz w:val="15"/>
              </w:rPr>
            </w:pPr>
            <w:r>
              <w:rPr>
                <w:b/>
                <w:color w:val="231F20"/>
                <w:spacing w:val="-2"/>
                <w:w w:val="110"/>
                <w:sz w:val="15"/>
              </w:rPr>
              <w:t>MYOPATHY</w:t>
            </w:r>
          </w:p>
        </w:tc>
        <w:tc>
          <w:tcPr>
            <w:tcW w:w="1795" w:type="dxa"/>
            <w:tcBorders>
              <w:bottom w:val="single" w:sz="4" w:space="0" w:color="231F20"/>
            </w:tcBorders>
            <w:shd w:val="clear" w:color="auto" w:fill="E8F5F1"/>
          </w:tcPr>
          <w:p>
            <w:pPr>
              <w:pStyle w:val="TableParagraph"/>
              <w:spacing w:line="230" w:lineRule="auto" w:before="53"/>
              <w:ind w:left="275" w:right="277"/>
              <w:jc w:val="center"/>
              <w:rPr>
                <w:b/>
                <w:sz w:val="15"/>
              </w:rPr>
            </w:pPr>
            <w:r>
              <w:rPr>
                <w:b/>
                <w:color w:val="231F20"/>
                <w:spacing w:val="-2"/>
                <w:w w:val="115"/>
                <w:sz w:val="15"/>
              </w:rPr>
              <w:t>NEONATAL HYPOTONIA </w:t>
            </w:r>
            <w:r>
              <w:rPr>
                <w:b/>
                <w:color w:val="231F20"/>
                <w:w w:val="115"/>
                <w:sz w:val="15"/>
              </w:rPr>
              <w:t>AND</w:t>
            </w:r>
            <w:r>
              <w:rPr>
                <w:b/>
                <w:color w:val="231F20"/>
                <w:spacing w:val="-13"/>
                <w:w w:val="115"/>
                <w:sz w:val="15"/>
              </w:rPr>
              <w:t> </w:t>
            </w:r>
            <w:r>
              <w:rPr>
                <w:b/>
                <w:color w:val="231F20"/>
                <w:w w:val="115"/>
                <w:sz w:val="15"/>
              </w:rPr>
              <w:t>WEAKNESS</w:t>
            </w:r>
          </w:p>
        </w:tc>
        <w:tc>
          <w:tcPr>
            <w:tcW w:w="1849" w:type="dxa"/>
            <w:tcBorders>
              <w:bottom w:val="single" w:sz="4" w:space="0" w:color="231F20"/>
            </w:tcBorders>
            <w:shd w:val="clear" w:color="auto" w:fill="E8F5F1"/>
          </w:tcPr>
          <w:p>
            <w:pPr>
              <w:pStyle w:val="TableParagraph"/>
              <w:spacing w:line="230" w:lineRule="auto" w:before="53"/>
              <w:ind w:left="274" w:right="278" w:hanging="1"/>
              <w:jc w:val="center"/>
              <w:rPr>
                <w:b/>
                <w:sz w:val="15"/>
              </w:rPr>
            </w:pPr>
            <w:r>
              <w:rPr>
                <w:b/>
                <w:color w:val="231F20"/>
                <w:w w:val="110"/>
                <w:sz w:val="15"/>
              </w:rPr>
              <w:t>SEVERE FORM WITH</w:t>
            </w:r>
            <w:r>
              <w:rPr>
                <w:b/>
                <w:color w:val="231F20"/>
                <w:spacing w:val="-13"/>
                <w:w w:val="110"/>
                <w:sz w:val="15"/>
              </w:rPr>
              <w:t> </w:t>
            </w:r>
            <w:r>
              <w:rPr>
                <w:b/>
                <w:color w:val="231F20"/>
                <w:w w:val="110"/>
                <w:sz w:val="15"/>
              </w:rPr>
              <w:t>NEONATAL </w:t>
            </w:r>
            <w:r>
              <w:rPr>
                <w:b/>
                <w:color w:val="231F20"/>
                <w:spacing w:val="-2"/>
                <w:w w:val="110"/>
                <w:sz w:val="15"/>
              </w:rPr>
              <w:t>DEATH</w:t>
            </w:r>
          </w:p>
        </w:tc>
        <w:tc>
          <w:tcPr>
            <w:tcW w:w="1404" w:type="dxa"/>
            <w:tcBorders>
              <w:bottom w:val="single" w:sz="4" w:space="0" w:color="231F20"/>
            </w:tcBorders>
            <w:shd w:val="clear" w:color="auto" w:fill="E8F5F1"/>
          </w:tcPr>
          <w:p>
            <w:pPr>
              <w:pStyle w:val="TableParagraph"/>
              <w:spacing w:before="46"/>
              <w:rPr>
                <w:i/>
                <w:sz w:val="15"/>
              </w:rPr>
            </w:pPr>
          </w:p>
          <w:p>
            <w:pPr>
              <w:pStyle w:val="TableParagraph"/>
              <w:spacing w:line="230" w:lineRule="auto"/>
              <w:ind w:left="273" w:firstLine="156"/>
              <w:rPr>
                <w:b/>
                <w:sz w:val="15"/>
              </w:rPr>
            </w:pPr>
            <w:r>
              <w:rPr>
                <w:b/>
                <w:color w:val="231F20"/>
                <w:spacing w:val="-2"/>
                <w:w w:val="110"/>
                <w:sz w:val="15"/>
              </w:rPr>
              <w:t>FACIAL WEAKNESS</w:t>
            </w:r>
          </w:p>
        </w:tc>
        <w:tc>
          <w:tcPr>
            <w:tcW w:w="1075" w:type="dxa"/>
            <w:tcBorders>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right="10"/>
              <w:jc w:val="center"/>
              <w:rPr>
                <w:b/>
                <w:sz w:val="15"/>
              </w:rPr>
            </w:pPr>
            <w:r>
              <w:rPr>
                <w:b/>
                <w:color w:val="231F20"/>
                <w:spacing w:val="-2"/>
                <w:w w:val="110"/>
                <w:sz w:val="15"/>
              </w:rPr>
              <w:t>PTOSIS</w:t>
            </w:r>
          </w:p>
        </w:tc>
        <w:tc>
          <w:tcPr>
            <w:tcW w:w="1473" w:type="dxa"/>
            <w:tcBorders>
              <w:bottom w:val="single" w:sz="4" w:space="0" w:color="231F20"/>
            </w:tcBorders>
            <w:shd w:val="clear" w:color="auto" w:fill="E8F5F1"/>
          </w:tcPr>
          <w:p>
            <w:pPr>
              <w:pStyle w:val="TableParagraph"/>
              <w:spacing w:line="230" w:lineRule="auto" w:before="53"/>
              <w:ind w:left="404" w:hanging="136"/>
              <w:rPr>
                <w:b/>
                <w:sz w:val="15"/>
              </w:rPr>
            </w:pPr>
            <w:r>
              <w:rPr>
                <w:b/>
                <w:color w:val="231F20"/>
                <w:spacing w:val="-2"/>
                <w:sz w:val="15"/>
              </w:rPr>
              <w:t>EXTRAOCULAR </w:t>
            </w:r>
            <w:r>
              <w:rPr>
                <w:b/>
                <w:color w:val="231F20"/>
                <w:spacing w:val="-2"/>
                <w:w w:val="110"/>
                <w:sz w:val="15"/>
              </w:rPr>
              <w:t>MUSCULAR WEAKNESS</w:t>
            </w:r>
          </w:p>
        </w:tc>
      </w:tr>
      <w:tr>
        <w:trPr>
          <w:trHeight w:val="259" w:hRule="atLeast"/>
        </w:trPr>
        <w:tc>
          <w:tcPr>
            <w:tcW w:w="2154"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Central</w:t>
            </w:r>
            <w:r>
              <w:rPr>
                <w:color w:val="231F20"/>
                <w:spacing w:val="-8"/>
                <w:sz w:val="15"/>
              </w:rPr>
              <w:t> </w:t>
            </w:r>
            <w:r>
              <w:rPr>
                <w:color w:val="231F20"/>
                <w:sz w:val="15"/>
              </w:rPr>
              <w:t>core</w:t>
            </w:r>
            <w:r>
              <w:rPr>
                <w:color w:val="231F20"/>
                <w:spacing w:val="-8"/>
                <w:sz w:val="15"/>
              </w:rPr>
              <w:t> </w:t>
            </w:r>
            <w:r>
              <w:rPr>
                <w:color w:val="231F20"/>
                <w:spacing w:val="-2"/>
                <w:sz w:val="15"/>
              </w:rPr>
              <w:t>disease</w:t>
            </w:r>
          </w:p>
        </w:tc>
        <w:tc>
          <w:tcPr>
            <w:tcW w:w="1795" w:type="dxa"/>
            <w:tcBorders>
              <w:top w:val="single" w:sz="4" w:space="0" w:color="231F20"/>
              <w:bottom w:val="single" w:sz="4" w:space="0" w:color="FFFFFF"/>
            </w:tcBorders>
            <w:shd w:val="clear" w:color="auto" w:fill="E8F5F1"/>
          </w:tcPr>
          <w:p>
            <w:pPr>
              <w:pStyle w:val="TableParagraph"/>
              <w:spacing w:before="47"/>
              <w:ind w:right="1"/>
              <w:jc w:val="center"/>
              <w:rPr>
                <w:rFonts w:ascii="Cambria"/>
                <w:sz w:val="15"/>
              </w:rPr>
            </w:pPr>
            <w:r>
              <w:rPr>
                <w:rFonts w:ascii="Cambria"/>
                <w:color w:val="231F20"/>
                <w:spacing w:val="-10"/>
                <w:sz w:val="15"/>
              </w:rPr>
              <w:t>+</w:t>
            </w:r>
          </w:p>
        </w:tc>
        <w:tc>
          <w:tcPr>
            <w:tcW w:w="1849" w:type="dxa"/>
            <w:tcBorders>
              <w:top w:val="single" w:sz="4" w:space="0" w:color="231F20"/>
              <w:bottom w:val="single" w:sz="4" w:space="0" w:color="FFFFFF"/>
            </w:tcBorders>
            <w:shd w:val="clear" w:color="auto" w:fill="E8F5F1"/>
          </w:tcPr>
          <w:p>
            <w:pPr>
              <w:pStyle w:val="TableParagraph"/>
              <w:spacing w:before="47"/>
              <w:ind w:right="4"/>
              <w:jc w:val="center"/>
              <w:rPr>
                <w:sz w:val="15"/>
              </w:rPr>
            </w:pPr>
            <w:r>
              <w:rPr>
                <w:color w:val="231F20"/>
                <w:spacing w:val="-10"/>
                <w:sz w:val="15"/>
              </w:rPr>
              <w:t>0</w:t>
            </w:r>
          </w:p>
        </w:tc>
        <w:tc>
          <w:tcPr>
            <w:tcW w:w="1404" w:type="dxa"/>
            <w:tcBorders>
              <w:top w:val="single" w:sz="4" w:space="0" w:color="231F20"/>
              <w:bottom w:val="single" w:sz="4" w:space="0" w:color="FFFFFF"/>
            </w:tcBorders>
            <w:shd w:val="clear" w:color="auto" w:fill="E8F5F1"/>
          </w:tcPr>
          <w:p>
            <w:pPr>
              <w:pStyle w:val="TableParagraph"/>
              <w:spacing w:before="47"/>
              <w:ind w:right="7"/>
              <w:jc w:val="center"/>
              <w:rPr>
                <w:rFonts w:ascii="Cambria" w:hAnsi="Cambria"/>
                <w:sz w:val="15"/>
              </w:rPr>
            </w:pPr>
            <w:r>
              <w:rPr>
                <w:rFonts w:ascii="Cambria" w:hAnsi="Cambria"/>
                <w:color w:val="231F20"/>
                <w:spacing w:val="-10"/>
                <w:sz w:val="15"/>
              </w:rPr>
              <w:t>±</w:t>
            </w:r>
          </w:p>
        </w:tc>
        <w:tc>
          <w:tcPr>
            <w:tcW w:w="1075" w:type="dxa"/>
            <w:tcBorders>
              <w:top w:val="single" w:sz="4" w:space="0" w:color="231F20"/>
              <w:bottom w:val="single" w:sz="4" w:space="0" w:color="FFFFFF"/>
            </w:tcBorders>
            <w:shd w:val="clear" w:color="auto" w:fill="E8F5F1"/>
          </w:tcPr>
          <w:p>
            <w:pPr>
              <w:pStyle w:val="TableParagraph"/>
              <w:spacing w:before="47"/>
              <w:ind w:right="10"/>
              <w:jc w:val="center"/>
              <w:rPr>
                <w:sz w:val="15"/>
              </w:rPr>
            </w:pPr>
            <w:r>
              <w:rPr>
                <w:color w:val="231F20"/>
                <w:spacing w:val="-10"/>
                <w:sz w:val="15"/>
              </w:rPr>
              <w:t>0</w:t>
            </w:r>
          </w:p>
        </w:tc>
        <w:tc>
          <w:tcPr>
            <w:tcW w:w="1473" w:type="dxa"/>
            <w:tcBorders>
              <w:top w:val="single" w:sz="4" w:space="0" w:color="231F20"/>
              <w:bottom w:val="single" w:sz="4" w:space="0" w:color="FFFFFF"/>
            </w:tcBorders>
            <w:shd w:val="clear" w:color="auto" w:fill="E8F5F1"/>
          </w:tcPr>
          <w:p>
            <w:pPr>
              <w:pStyle w:val="TableParagraph"/>
              <w:spacing w:before="47"/>
              <w:ind w:right="602"/>
              <w:jc w:val="right"/>
              <w:rPr>
                <w:sz w:val="15"/>
              </w:rPr>
            </w:pPr>
            <w:r>
              <w:rPr>
                <w:color w:val="231F20"/>
                <w:spacing w:val="-10"/>
                <w:sz w:val="15"/>
              </w:rPr>
              <w:t>0</w:t>
            </w:r>
          </w:p>
        </w:tc>
      </w:tr>
      <w:tr>
        <w:trPr>
          <w:trHeight w:val="254" w:hRule="atLeast"/>
        </w:trPr>
        <w:tc>
          <w:tcPr>
            <w:tcW w:w="215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Nemaline</w:t>
            </w:r>
            <w:r>
              <w:rPr>
                <w:color w:val="231F20"/>
                <w:spacing w:val="7"/>
                <w:sz w:val="15"/>
              </w:rPr>
              <w:t> </w:t>
            </w:r>
            <w:r>
              <w:rPr>
                <w:color w:val="231F20"/>
                <w:spacing w:val="-2"/>
                <w:sz w:val="15"/>
              </w:rPr>
              <w:t>myopathy</w:t>
            </w:r>
          </w:p>
        </w:tc>
        <w:tc>
          <w:tcPr>
            <w:tcW w:w="1795" w:type="dxa"/>
            <w:tcBorders>
              <w:top w:val="single" w:sz="4" w:space="0" w:color="FFFFFF"/>
              <w:bottom w:val="single" w:sz="4" w:space="0" w:color="FFFFFF"/>
            </w:tcBorders>
            <w:shd w:val="clear" w:color="auto" w:fill="E8F5F1"/>
          </w:tcPr>
          <w:p>
            <w:pPr>
              <w:pStyle w:val="TableParagraph"/>
              <w:spacing w:before="42"/>
              <w:ind w:right="1"/>
              <w:jc w:val="center"/>
              <w:rPr>
                <w:rFonts w:ascii="Cambria"/>
                <w:sz w:val="15"/>
              </w:rPr>
            </w:pPr>
            <w:r>
              <w:rPr>
                <w:rFonts w:ascii="Cambria"/>
                <w:color w:val="231F20"/>
                <w:spacing w:val="-10"/>
                <w:sz w:val="15"/>
              </w:rPr>
              <w:t>+</w:t>
            </w:r>
          </w:p>
        </w:tc>
        <w:tc>
          <w:tcPr>
            <w:tcW w:w="1849" w:type="dxa"/>
            <w:tcBorders>
              <w:top w:val="single" w:sz="4" w:space="0" w:color="FFFFFF"/>
              <w:bottom w:val="single" w:sz="4" w:space="0" w:color="FFFFFF"/>
            </w:tcBorders>
            <w:shd w:val="clear" w:color="auto" w:fill="E8F5F1"/>
          </w:tcPr>
          <w:p>
            <w:pPr>
              <w:pStyle w:val="TableParagraph"/>
              <w:spacing w:before="42"/>
              <w:ind w:right="4"/>
              <w:jc w:val="center"/>
              <w:rPr>
                <w:rFonts w:ascii="Cambria"/>
                <w:sz w:val="15"/>
              </w:rPr>
            </w:pPr>
            <w:r>
              <w:rPr>
                <w:rFonts w:ascii="Cambria"/>
                <w:color w:val="231F20"/>
                <w:spacing w:val="-10"/>
                <w:sz w:val="15"/>
              </w:rPr>
              <w:t>+</w:t>
            </w:r>
          </w:p>
        </w:tc>
        <w:tc>
          <w:tcPr>
            <w:tcW w:w="1404" w:type="dxa"/>
            <w:tcBorders>
              <w:top w:val="single" w:sz="4" w:space="0" w:color="FFFFFF"/>
              <w:bottom w:val="single" w:sz="4" w:space="0" w:color="FFFFFF"/>
            </w:tcBorders>
            <w:shd w:val="clear" w:color="auto" w:fill="E8F5F1"/>
          </w:tcPr>
          <w:p>
            <w:pPr>
              <w:pStyle w:val="TableParagraph"/>
              <w:spacing w:before="42"/>
              <w:ind w:right="7"/>
              <w:jc w:val="center"/>
              <w:rPr>
                <w:rFonts w:ascii="Cambria"/>
                <w:sz w:val="15"/>
              </w:rPr>
            </w:pPr>
            <w:r>
              <w:rPr>
                <w:rFonts w:ascii="Cambria"/>
                <w:color w:val="231F20"/>
                <w:spacing w:val="-10"/>
                <w:sz w:val="15"/>
              </w:rPr>
              <w:t>+</w:t>
            </w:r>
          </w:p>
        </w:tc>
        <w:tc>
          <w:tcPr>
            <w:tcW w:w="1075" w:type="dxa"/>
            <w:tcBorders>
              <w:top w:val="single" w:sz="4" w:space="0" w:color="FFFFFF"/>
              <w:bottom w:val="single" w:sz="4" w:space="0" w:color="FFFFFF"/>
            </w:tcBorders>
            <w:shd w:val="clear" w:color="auto" w:fill="E8F5F1"/>
          </w:tcPr>
          <w:p>
            <w:pPr>
              <w:pStyle w:val="TableParagraph"/>
              <w:spacing w:before="42"/>
              <w:ind w:right="10"/>
              <w:jc w:val="center"/>
              <w:rPr>
                <w:sz w:val="15"/>
              </w:rPr>
            </w:pPr>
            <w:r>
              <w:rPr>
                <w:color w:val="231F20"/>
                <w:spacing w:val="-10"/>
                <w:sz w:val="15"/>
              </w:rPr>
              <w:t>0</w:t>
            </w:r>
          </w:p>
        </w:tc>
        <w:tc>
          <w:tcPr>
            <w:tcW w:w="1473" w:type="dxa"/>
            <w:tcBorders>
              <w:top w:val="single" w:sz="4" w:space="0" w:color="FFFFFF"/>
              <w:bottom w:val="single" w:sz="4" w:space="0" w:color="FFFFFF"/>
            </w:tcBorders>
            <w:shd w:val="clear" w:color="auto" w:fill="E8F5F1"/>
          </w:tcPr>
          <w:p>
            <w:pPr>
              <w:pStyle w:val="TableParagraph"/>
              <w:spacing w:before="42"/>
              <w:ind w:right="602"/>
              <w:jc w:val="right"/>
              <w:rPr>
                <w:sz w:val="15"/>
              </w:rPr>
            </w:pPr>
            <w:r>
              <w:rPr>
                <w:color w:val="231F20"/>
                <w:spacing w:val="-10"/>
                <w:sz w:val="15"/>
              </w:rPr>
              <w:t>0</w:t>
            </w:r>
          </w:p>
        </w:tc>
      </w:tr>
      <w:tr>
        <w:trPr>
          <w:trHeight w:val="420" w:hRule="atLeast"/>
        </w:trPr>
        <w:tc>
          <w:tcPr>
            <w:tcW w:w="2154" w:type="dxa"/>
            <w:gridSpan w:val="2"/>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Myotubular myopathy </w:t>
            </w:r>
            <w:r>
              <w:rPr>
                <w:color w:val="231F20"/>
                <w:spacing w:val="-4"/>
                <w:sz w:val="15"/>
              </w:rPr>
              <w:t>(centronuclear</w:t>
            </w:r>
            <w:r>
              <w:rPr>
                <w:color w:val="231F20"/>
                <w:spacing w:val="-5"/>
                <w:sz w:val="15"/>
              </w:rPr>
              <w:t> </w:t>
            </w:r>
            <w:r>
              <w:rPr>
                <w:color w:val="231F20"/>
                <w:spacing w:val="-4"/>
                <w:sz w:val="15"/>
              </w:rPr>
              <w:t>myopathy)</w:t>
            </w:r>
          </w:p>
        </w:tc>
        <w:tc>
          <w:tcPr>
            <w:tcW w:w="1795" w:type="dxa"/>
            <w:tcBorders>
              <w:top w:val="single" w:sz="4" w:space="0" w:color="FFFFFF"/>
              <w:bottom w:val="single" w:sz="4" w:space="0" w:color="FFFFFF"/>
            </w:tcBorders>
            <w:shd w:val="clear" w:color="auto" w:fill="E8F5F1"/>
          </w:tcPr>
          <w:p>
            <w:pPr>
              <w:pStyle w:val="TableParagraph"/>
              <w:spacing w:before="42"/>
              <w:ind w:right="1"/>
              <w:jc w:val="center"/>
              <w:rPr>
                <w:rFonts w:ascii="Cambria"/>
                <w:sz w:val="15"/>
              </w:rPr>
            </w:pPr>
            <w:r>
              <w:rPr>
                <w:rFonts w:ascii="Cambria"/>
                <w:color w:val="231F20"/>
                <w:spacing w:val="-10"/>
                <w:sz w:val="15"/>
              </w:rPr>
              <w:t>+</w:t>
            </w:r>
          </w:p>
        </w:tc>
        <w:tc>
          <w:tcPr>
            <w:tcW w:w="1849" w:type="dxa"/>
            <w:tcBorders>
              <w:top w:val="single" w:sz="4" w:space="0" w:color="FFFFFF"/>
              <w:bottom w:val="single" w:sz="4" w:space="0" w:color="FFFFFF"/>
            </w:tcBorders>
            <w:shd w:val="clear" w:color="auto" w:fill="E8F5F1"/>
          </w:tcPr>
          <w:p>
            <w:pPr>
              <w:pStyle w:val="TableParagraph"/>
              <w:spacing w:before="42"/>
              <w:ind w:right="4"/>
              <w:jc w:val="center"/>
              <w:rPr>
                <w:rFonts w:ascii="Cambria"/>
                <w:sz w:val="15"/>
              </w:rPr>
            </w:pPr>
            <w:r>
              <w:rPr>
                <w:rFonts w:ascii="Cambria"/>
                <w:color w:val="231F20"/>
                <w:spacing w:val="-10"/>
                <w:sz w:val="15"/>
              </w:rPr>
              <w:t>+</w:t>
            </w:r>
          </w:p>
        </w:tc>
        <w:tc>
          <w:tcPr>
            <w:tcW w:w="1404" w:type="dxa"/>
            <w:tcBorders>
              <w:top w:val="single" w:sz="4" w:space="0" w:color="FFFFFF"/>
              <w:bottom w:val="single" w:sz="4" w:space="0" w:color="FFFFFF"/>
            </w:tcBorders>
            <w:shd w:val="clear" w:color="auto" w:fill="E8F5F1"/>
          </w:tcPr>
          <w:p>
            <w:pPr>
              <w:pStyle w:val="TableParagraph"/>
              <w:spacing w:before="42"/>
              <w:ind w:right="7"/>
              <w:jc w:val="center"/>
              <w:rPr>
                <w:rFonts w:ascii="Cambria"/>
                <w:sz w:val="15"/>
              </w:rPr>
            </w:pPr>
            <w:r>
              <w:rPr>
                <w:rFonts w:ascii="Cambria"/>
                <w:color w:val="231F20"/>
                <w:spacing w:val="-10"/>
                <w:sz w:val="15"/>
              </w:rPr>
              <w:t>+</w:t>
            </w:r>
          </w:p>
        </w:tc>
        <w:tc>
          <w:tcPr>
            <w:tcW w:w="1075" w:type="dxa"/>
            <w:tcBorders>
              <w:top w:val="single" w:sz="4" w:space="0" w:color="FFFFFF"/>
              <w:bottom w:val="single" w:sz="4" w:space="0" w:color="FFFFFF"/>
            </w:tcBorders>
            <w:shd w:val="clear" w:color="auto" w:fill="E8F5F1"/>
          </w:tcPr>
          <w:p>
            <w:pPr>
              <w:pStyle w:val="TableParagraph"/>
              <w:spacing w:before="42"/>
              <w:ind w:right="10"/>
              <w:jc w:val="center"/>
              <w:rPr>
                <w:rFonts w:ascii="Cambria"/>
                <w:sz w:val="15"/>
              </w:rPr>
            </w:pPr>
            <w:r>
              <w:rPr>
                <w:rFonts w:ascii="Cambria"/>
                <w:color w:val="231F20"/>
                <w:spacing w:val="-10"/>
                <w:sz w:val="15"/>
              </w:rPr>
              <w:t>+</w:t>
            </w:r>
          </w:p>
        </w:tc>
        <w:tc>
          <w:tcPr>
            <w:tcW w:w="1473" w:type="dxa"/>
            <w:tcBorders>
              <w:top w:val="single" w:sz="4" w:space="0" w:color="FFFFFF"/>
              <w:bottom w:val="single" w:sz="4" w:space="0" w:color="FFFFFF"/>
            </w:tcBorders>
            <w:shd w:val="clear" w:color="auto" w:fill="E8F5F1"/>
          </w:tcPr>
          <w:p>
            <w:pPr>
              <w:pStyle w:val="TableParagraph"/>
              <w:spacing w:before="42"/>
              <w:ind w:right="600"/>
              <w:jc w:val="right"/>
              <w:rPr>
                <w:rFonts w:ascii="Cambria"/>
                <w:sz w:val="15"/>
              </w:rPr>
            </w:pPr>
            <w:r>
              <w:rPr>
                <w:rFonts w:ascii="Cambria"/>
                <w:color w:val="231F20"/>
                <w:spacing w:val="-10"/>
                <w:sz w:val="15"/>
              </w:rPr>
              <w:t>+</w:t>
            </w:r>
          </w:p>
        </w:tc>
      </w:tr>
      <w:tr>
        <w:trPr>
          <w:trHeight w:val="415" w:hRule="atLeast"/>
        </w:trPr>
        <w:tc>
          <w:tcPr>
            <w:tcW w:w="2154" w:type="dxa"/>
            <w:gridSpan w:val="2"/>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pacing w:val="-2"/>
                <w:sz w:val="15"/>
              </w:rPr>
              <w:t>Congenital</w:t>
            </w:r>
            <w:r>
              <w:rPr>
                <w:color w:val="231F20"/>
                <w:spacing w:val="-10"/>
                <w:sz w:val="15"/>
              </w:rPr>
              <w:t> </w:t>
            </w:r>
            <w:r>
              <w:rPr>
                <w:color w:val="231F20"/>
                <w:spacing w:val="-2"/>
                <w:sz w:val="15"/>
              </w:rPr>
              <w:t>fiber-</w:t>
            </w:r>
            <w:r>
              <w:rPr>
                <w:color w:val="231F20"/>
                <w:spacing w:val="-2"/>
                <w:sz w:val="15"/>
              </w:rPr>
              <w:t>type disproportion</w:t>
            </w:r>
          </w:p>
        </w:tc>
        <w:tc>
          <w:tcPr>
            <w:tcW w:w="1795" w:type="dxa"/>
            <w:tcBorders>
              <w:top w:val="single" w:sz="4" w:space="0" w:color="FFFFFF"/>
              <w:bottom w:val="single" w:sz="8" w:space="0" w:color="231F20"/>
            </w:tcBorders>
            <w:shd w:val="clear" w:color="auto" w:fill="E8F5F1"/>
          </w:tcPr>
          <w:p>
            <w:pPr>
              <w:pStyle w:val="TableParagraph"/>
              <w:spacing w:before="42"/>
              <w:ind w:right="1"/>
              <w:jc w:val="center"/>
              <w:rPr>
                <w:rFonts w:ascii="Cambria"/>
                <w:sz w:val="15"/>
              </w:rPr>
            </w:pPr>
            <w:r>
              <w:rPr>
                <w:rFonts w:ascii="Cambria"/>
                <w:color w:val="231F20"/>
                <w:spacing w:val="-10"/>
                <w:sz w:val="15"/>
              </w:rPr>
              <w:t>+</w:t>
            </w:r>
          </w:p>
        </w:tc>
        <w:tc>
          <w:tcPr>
            <w:tcW w:w="1849" w:type="dxa"/>
            <w:tcBorders>
              <w:top w:val="single" w:sz="4" w:space="0" w:color="FFFFFF"/>
              <w:bottom w:val="single" w:sz="8" w:space="0" w:color="231F20"/>
            </w:tcBorders>
            <w:shd w:val="clear" w:color="auto" w:fill="E8F5F1"/>
          </w:tcPr>
          <w:p>
            <w:pPr>
              <w:pStyle w:val="TableParagraph"/>
              <w:spacing w:before="42"/>
              <w:ind w:right="4"/>
              <w:jc w:val="center"/>
              <w:rPr>
                <w:rFonts w:ascii="Cambria" w:hAnsi="Cambria"/>
                <w:sz w:val="15"/>
              </w:rPr>
            </w:pPr>
            <w:r>
              <w:rPr>
                <w:rFonts w:ascii="Cambria" w:hAnsi="Cambria"/>
                <w:color w:val="231F20"/>
                <w:spacing w:val="-10"/>
                <w:sz w:val="15"/>
              </w:rPr>
              <w:t>±</w:t>
            </w:r>
          </w:p>
        </w:tc>
        <w:tc>
          <w:tcPr>
            <w:tcW w:w="1404" w:type="dxa"/>
            <w:tcBorders>
              <w:top w:val="single" w:sz="4" w:space="0" w:color="FFFFFF"/>
              <w:bottom w:val="single" w:sz="8" w:space="0" w:color="231F20"/>
            </w:tcBorders>
            <w:shd w:val="clear" w:color="auto" w:fill="E8F5F1"/>
          </w:tcPr>
          <w:p>
            <w:pPr>
              <w:pStyle w:val="TableParagraph"/>
              <w:spacing w:before="42"/>
              <w:ind w:right="7"/>
              <w:jc w:val="center"/>
              <w:rPr>
                <w:rFonts w:ascii="Cambria" w:hAnsi="Cambria"/>
                <w:sz w:val="15"/>
              </w:rPr>
            </w:pPr>
            <w:r>
              <w:rPr>
                <w:rFonts w:ascii="Cambria" w:hAnsi="Cambria"/>
                <w:color w:val="231F20"/>
                <w:spacing w:val="-10"/>
                <w:sz w:val="15"/>
              </w:rPr>
              <w:t>±</w:t>
            </w:r>
          </w:p>
        </w:tc>
        <w:tc>
          <w:tcPr>
            <w:tcW w:w="1075" w:type="dxa"/>
            <w:tcBorders>
              <w:top w:val="single" w:sz="4" w:space="0" w:color="FFFFFF"/>
              <w:bottom w:val="single" w:sz="8" w:space="0" w:color="231F20"/>
            </w:tcBorders>
            <w:shd w:val="clear" w:color="auto" w:fill="E8F5F1"/>
          </w:tcPr>
          <w:p>
            <w:pPr>
              <w:pStyle w:val="TableParagraph"/>
              <w:spacing w:before="42"/>
              <w:ind w:right="10"/>
              <w:jc w:val="center"/>
              <w:rPr>
                <w:sz w:val="15"/>
              </w:rPr>
            </w:pPr>
            <w:r>
              <w:rPr>
                <w:color w:val="231F20"/>
                <w:spacing w:val="-10"/>
                <w:sz w:val="15"/>
              </w:rPr>
              <w:t>0</w:t>
            </w:r>
          </w:p>
        </w:tc>
        <w:tc>
          <w:tcPr>
            <w:tcW w:w="1473" w:type="dxa"/>
            <w:tcBorders>
              <w:top w:val="single" w:sz="4" w:space="0" w:color="FFFFFF"/>
              <w:bottom w:val="single" w:sz="8" w:space="0" w:color="231F20"/>
            </w:tcBorders>
            <w:shd w:val="clear" w:color="auto" w:fill="E8F5F1"/>
          </w:tcPr>
          <w:p>
            <w:pPr>
              <w:pStyle w:val="TableParagraph"/>
              <w:spacing w:before="42"/>
              <w:ind w:right="600"/>
              <w:jc w:val="right"/>
              <w:rPr>
                <w:rFonts w:ascii="Cambria"/>
                <w:sz w:val="15"/>
              </w:rPr>
            </w:pPr>
            <w:r>
              <w:rPr>
                <w:rFonts w:ascii="Cambria"/>
                <w:color w:val="231F20"/>
                <w:spacing w:val="-10"/>
                <w:sz w:val="15"/>
              </w:rPr>
              <w:t>+</w:t>
            </w:r>
          </w:p>
        </w:tc>
      </w:tr>
    </w:tbl>
    <w:p>
      <w:pPr>
        <w:pStyle w:val="BodyText"/>
        <w:spacing w:line="152" w:lineRule="exact" w:before="75"/>
        <w:ind w:left="694"/>
      </w:pPr>
      <w:r>
        <w:rPr>
          <w:rFonts w:ascii="Cambria" w:hAnsi="Cambria"/>
          <w:color w:val="231F20"/>
        </w:rPr>
        <w:t>+</w:t>
      </w:r>
      <w:r>
        <w:rPr>
          <w:color w:val="231F20"/>
        </w:rPr>
        <w:t>,</w:t>
      </w:r>
      <w:r>
        <w:rPr>
          <w:color w:val="231F20"/>
          <w:spacing w:val="-9"/>
        </w:rPr>
        <w:t> </w:t>
      </w:r>
      <w:r>
        <w:rPr>
          <w:color w:val="231F20"/>
        </w:rPr>
        <w:t>Often</w:t>
      </w:r>
      <w:r>
        <w:rPr>
          <w:color w:val="231F20"/>
          <w:spacing w:val="-9"/>
        </w:rPr>
        <w:t> </w:t>
      </w:r>
      <w:r>
        <w:rPr>
          <w:color w:val="231F20"/>
        </w:rPr>
        <w:t>a</w:t>
      </w:r>
      <w:r>
        <w:rPr>
          <w:color w:val="231F20"/>
          <w:spacing w:val="-9"/>
        </w:rPr>
        <w:t> </w:t>
      </w:r>
      <w:r>
        <w:rPr>
          <w:color w:val="231F20"/>
        </w:rPr>
        <w:t>prominent</w:t>
      </w:r>
      <w:r>
        <w:rPr>
          <w:color w:val="231F20"/>
          <w:spacing w:val="-9"/>
        </w:rPr>
        <w:t> </w:t>
      </w:r>
      <w:r>
        <w:rPr>
          <w:color w:val="231F20"/>
        </w:rPr>
        <w:t>feature;</w:t>
      </w:r>
      <w:r>
        <w:rPr>
          <w:color w:val="231F20"/>
          <w:spacing w:val="-9"/>
        </w:rPr>
        <w:t> </w:t>
      </w:r>
      <w:r>
        <w:rPr>
          <w:rFonts w:ascii="Cambria" w:hAnsi="Cambria"/>
          <w:color w:val="231F20"/>
        </w:rPr>
        <w:t>±</w:t>
      </w:r>
      <w:r>
        <w:rPr>
          <w:color w:val="231F20"/>
        </w:rPr>
        <w:t>,</w:t>
      </w:r>
      <w:r>
        <w:rPr>
          <w:color w:val="231F20"/>
          <w:spacing w:val="-9"/>
        </w:rPr>
        <w:t> </w:t>
      </w:r>
      <w:r>
        <w:rPr>
          <w:color w:val="231F20"/>
        </w:rPr>
        <w:t>variably</w:t>
      </w:r>
      <w:r>
        <w:rPr>
          <w:color w:val="231F20"/>
          <w:spacing w:val="-9"/>
        </w:rPr>
        <w:t> </w:t>
      </w:r>
      <w:r>
        <w:rPr>
          <w:color w:val="231F20"/>
        </w:rPr>
        <w:t>a</w:t>
      </w:r>
      <w:r>
        <w:rPr>
          <w:color w:val="231F20"/>
          <w:spacing w:val="-9"/>
        </w:rPr>
        <w:t> </w:t>
      </w:r>
      <w:r>
        <w:rPr>
          <w:color w:val="231F20"/>
        </w:rPr>
        <w:t>prominent</w:t>
      </w:r>
      <w:r>
        <w:rPr>
          <w:color w:val="231F20"/>
          <w:spacing w:val="-9"/>
        </w:rPr>
        <w:t> </w:t>
      </w:r>
      <w:r>
        <w:rPr>
          <w:color w:val="231F20"/>
        </w:rPr>
        <w:t>feature;</w:t>
      </w:r>
      <w:r>
        <w:rPr>
          <w:color w:val="231F20"/>
          <w:spacing w:val="-9"/>
        </w:rPr>
        <w:t> </w:t>
      </w:r>
      <w:r>
        <w:rPr>
          <w:color w:val="231F20"/>
        </w:rPr>
        <w:t>0,</w:t>
      </w:r>
      <w:r>
        <w:rPr>
          <w:color w:val="231F20"/>
          <w:spacing w:val="-9"/>
        </w:rPr>
        <w:t> </w:t>
      </w:r>
      <w:r>
        <w:rPr>
          <w:color w:val="231F20"/>
        </w:rPr>
        <w:t>not</w:t>
      </w:r>
      <w:r>
        <w:rPr>
          <w:color w:val="231F20"/>
          <w:spacing w:val="-9"/>
        </w:rPr>
        <w:t> </w:t>
      </w:r>
      <w:r>
        <w:rPr>
          <w:color w:val="231F20"/>
        </w:rPr>
        <w:t>a</w:t>
      </w:r>
      <w:r>
        <w:rPr>
          <w:color w:val="231F20"/>
          <w:spacing w:val="-9"/>
        </w:rPr>
        <w:t> </w:t>
      </w:r>
      <w:r>
        <w:rPr>
          <w:color w:val="231F20"/>
        </w:rPr>
        <w:t>prominent</w:t>
      </w:r>
      <w:r>
        <w:rPr>
          <w:color w:val="231F20"/>
          <w:spacing w:val="-9"/>
        </w:rPr>
        <w:t> </w:t>
      </w:r>
      <w:r>
        <w:rPr>
          <w:color w:val="231F20"/>
          <w:spacing w:val="-2"/>
        </w:rPr>
        <w:t>feature.</w:t>
      </w:r>
    </w:p>
    <w:p>
      <w:pPr>
        <w:spacing w:line="150" w:lineRule="exact" w:before="0"/>
        <w:ind w:left="824" w:right="0" w:firstLine="0"/>
        <w:jc w:val="left"/>
        <w:rPr>
          <w:i/>
          <w:sz w:val="13"/>
        </w:rPr>
      </w:pPr>
      <w:r>
        <w:rPr>
          <w:i/>
          <w:color w:val="231F20"/>
          <w:sz w:val="13"/>
        </w:rPr>
        <w:t>From</w:t>
      </w:r>
      <w:r>
        <w:rPr>
          <w:i/>
          <w:color w:val="231F20"/>
          <w:spacing w:val="-4"/>
          <w:sz w:val="13"/>
        </w:rPr>
        <w:t> </w:t>
      </w:r>
      <w:r>
        <w:rPr>
          <w:i/>
          <w:color w:val="231F20"/>
          <w:sz w:val="13"/>
        </w:rPr>
        <w:t>Volpe</w:t>
      </w:r>
      <w:r>
        <w:rPr>
          <w:i/>
          <w:color w:val="231F20"/>
          <w:spacing w:val="-4"/>
          <w:sz w:val="13"/>
        </w:rPr>
        <w:t> </w:t>
      </w:r>
      <w:r>
        <w:rPr>
          <w:i/>
          <w:color w:val="231F20"/>
          <w:sz w:val="13"/>
        </w:rPr>
        <w:t>JJ:</w:t>
      </w:r>
      <w:r>
        <w:rPr>
          <w:i/>
          <w:color w:val="231F20"/>
          <w:spacing w:val="-4"/>
          <w:sz w:val="13"/>
        </w:rPr>
        <w:t> </w:t>
      </w:r>
      <w:r>
        <w:rPr>
          <w:color w:val="231F20"/>
          <w:sz w:val="13"/>
        </w:rPr>
        <w:t>Neurology</w:t>
      </w:r>
      <w:r>
        <w:rPr>
          <w:color w:val="231F20"/>
          <w:spacing w:val="-4"/>
          <w:sz w:val="13"/>
        </w:rPr>
        <w:t> </w:t>
      </w:r>
      <w:r>
        <w:rPr>
          <w:color w:val="231F20"/>
          <w:sz w:val="13"/>
        </w:rPr>
        <w:t>of</w:t>
      </w:r>
      <w:r>
        <w:rPr>
          <w:color w:val="231F20"/>
          <w:spacing w:val="-4"/>
          <w:sz w:val="13"/>
        </w:rPr>
        <w:t> </w:t>
      </w:r>
      <w:r>
        <w:rPr>
          <w:color w:val="231F20"/>
          <w:sz w:val="13"/>
        </w:rPr>
        <w:t>the</w:t>
      </w:r>
      <w:r>
        <w:rPr>
          <w:color w:val="231F20"/>
          <w:spacing w:val="-4"/>
          <w:sz w:val="13"/>
        </w:rPr>
        <w:t> </w:t>
      </w:r>
      <w:r>
        <w:rPr>
          <w:color w:val="231F20"/>
          <w:sz w:val="13"/>
        </w:rPr>
        <w:t>newborn</w:t>
      </w:r>
      <w:r>
        <w:rPr>
          <w:i/>
          <w:color w:val="231F20"/>
          <w:sz w:val="13"/>
        </w:rPr>
        <w:t>,</w:t>
      </w:r>
      <w:r>
        <w:rPr>
          <w:i/>
          <w:color w:val="231F20"/>
          <w:spacing w:val="-4"/>
          <w:sz w:val="13"/>
        </w:rPr>
        <w:t> </w:t>
      </w:r>
      <w:r>
        <w:rPr>
          <w:i/>
          <w:color w:val="231F20"/>
          <w:sz w:val="13"/>
        </w:rPr>
        <w:t>ed</w:t>
      </w:r>
      <w:r>
        <w:rPr>
          <w:i/>
          <w:color w:val="231F20"/>
          <w:spacing w:val="-3"/>
          <w:sz w:val="13"/>
        </w:rPr>
        <w:t> </w:t>
      </w:r>
      <w:r>
        <w:rPr>
          <w:i/>
          <w:color w:val="231F20"/>
          <w:sz w:val="13"/>
        </w:rPr>
        <w:t>5,</w:t>
      </w:r>
      <w:r>
        <w:rPr>
          <w:i/>
          <w:color w:val="231F20"/>
          <w:spacing w:val="-4"/>
          <w:sz w:val="13"/>
        </w:rPr>
        <w:t> </w:t>
      </w:r>
      <w:r>
        <w:rPr>
          <w:i/>
          <w:color w:val="231F20"/>
          <w:sz w:val="13"/>
        </w:rPr>
        <w:t>Philadelphia,</w:t>
      </w:r>
      <w:r>
        <w:rPr>
          <w:i/>
          <w:color w:val="231F20"/>
          <w:spacing w:val="-4"/>
          <w:sz w:val="13"/>
        </w:rPr>
        <w:t> </w:t>
      </w:r>
      <w:r>
        <w:rPr>
          <w:i/>
          <w:color w:val="231F20"/>
          <w:sz w:val="13"/>
        </w:rPr>
        <w:t>2008,</w:t>
      </w:r>
      <w:r>
        <w:rPr>
          <w:i/>
          <w:color w:val="231F20"/>
          <w:spacing w:val="-4"/>
          <w:sz w:val="13"/>
        </w:rPr>
        <w:t> </w:t>
      </w:r>
      <w:r>
        <w:rPr>
          <w:i/>
          <w:color w:val="231F20"/>
          <w:sz w:val="13"/>
        </w:rPr>
        <w:t>Elsevier</w:t>
      </w:r>
      <w:r>
        <w:rPr>
          <w:i/>
          <w:color w:val="231F20"/>
          <w:spacing w:val="-4"/>
          <w:sz w:val="13"/>
        </w:rPr>
        <w:t> </w:t>
      </w:r>
      <w:r>
        <w:rPr>
          <w:i/>
          <w:color w:val="231F20"/>
          <w:sz w:val="13"/>
        </w:rPr>
        <w:t>Saunders,</w:t>
      </w:r>
      <w:r>
        <w:rPr>
          <w:i/>
          <w:color w:val="231F20"/>
          <w:spacing w:val="-4"/>
          <w:sz w:val="13"/>
        </w:rPr>
        <w:t> </w:t>
      </w:r>
      <w:r>
        <w:rPr>
          <w:i/>
          <w:color w:val="231F20"/>
          <w:sz w:val="13"/>
        </w:rPr>
        <w:t>p.</w:t>
      </w:r>
      <w:r>
        <w:rPr>
          <w:i/>
          <w:color w:val="231F20"/>
          <w:spacing w:val="-4"/>
          <w:sz w:val="13"/>
        </w:rPr>
        <w:t> 820.</w:t>
      </w:r>
    </w:p>
    <w:p>
      <w:pPr>
        <w:spacing w:after="0" w:line="150" w:lineRule="exact"/>
        <w:jc w:val="left"/>
        <w:rPr>
          <w:i/>
          <w:sz w:val="13"/>
        </w:rPr>
        <w:sectPr>
          <w:pgSz w:w="11900" w:h="16840"/>
          <w:pgMar w:header="0" w:footer="0" w:top="720" w:bottom="280" w:left="425" w:right="566"/>
        </w:sectPr>
      </w:pPr>
    </w:p>
    <w:p>
      <w:pPr>
        <w:pStyle w:val="BodyText"/>
        <w:rPr>
          <w:i/>
          <w:sz w:val="20"/>
        </w:rPr>
      </w:pPr>
      <w:r>
        <w:rPr>
          <w:i/>
          <w:sz w:val="20"/>
        </w:rPr>
        <mc:AlternateContent>
          <mc:Choice Requires="wps">
            <w:drawing>
              <wp:anchor distT="0" distB="0" distL="0" distR="0" allowOverlap="1" layoutInCell="1" locked="0" behindDoc="0" simplePos="0" relativeHeight="15796224">
                <wp:simplePos x="0" y="0"/>
                <wp:positionH relativeFrom="page">
                  <wp:posOffset>9483600</wp:posOffset>
                </wp:positionH>
                <wp:positionV relativeFrom="page">
                  <wp:posOffset>792255</wp:posOffset>
                </wp:positionV>
                <wp:extent cx="149860" cy="6185535"/>
                <wp:effectExtent l="0" t="0" r="0" b="0"/>
                <wp:wrapNone/>
                <wp:docPr id="1003" name="Group 1003"/>
                <wp:cNvGraphicFramePr>
                  <a:graphicFrameLocks/>
                </wp:cNvGraphicFramePr>
                <a:graphic>
                  <a:graphicData uri="http://schemas.microsoft.com/office/word/2010/wordprocessingGroup">
                    <wpg:wgp>
                      <wpg:cNvPr id="1003" name="Group 1003"/>
                      <wpg:cNvGrpSpPr/>
                      <wpg:grpSpPr>
                        <a:xfrm>
                          <a:off x="0" y="0"/>
                          <a:ext cx="149860" cy="6185535"/>
                          <a:chExt cx="149860" cy="6185535"/>
                        </a:xfrm>
                      </wpg:grpSpPr>
                      <wps:wsp>
                        <wps:cNvPr id="1004" name="Graphic 1004"/>
                        <wps:cNvSpPr/>
                        <wps:spPr>
                          <a:xfrm>
                            <a:off x="78204" y="0"/>
                            <a:ext cx="1270" cy="24130"/>
                          </a:xfrm>
                          <a:custGeom>
                            <a:avLst/>
                            <a:gdLst/>
                            <a:ahLst/>
                            <a:cxnLst/>
                            <a:rect l="l" t="t" r="r" b="b"/>
                            <a:pathLst>
                              <a:path w="0" h="24130">
                                <a:moveTo>
                                  <a:pt x="0" y="0"/>
                                </a:moveTo>
                                <a:lnTo>
                                  <a:pt x="0" y="23698"/>
                                </a:lnTo>
                              </a:path>
                            </a:pathLst>
                          </a:custGeom>
                          <a:ln w="142190">
                            <a:solidFill>
                              <a:srgbClr val="0073BC"/>
                            </a:solidFill>
                            <a:prstDash val="solid"/>
                          </a:ln>
                        </wps:spPr>
                        <wps:bodyPr wrap="square" lIns="0" tIns="0" rIns="0" bIns="0" rtlCol="0">
                          <a:prstTxWarp prst="textNoShape">
                            <a:avLst/>
                          </a:prstTxWarp>
                          <a:noAutofit/>
                        </wps:bodyPr>
                      </wps:wsp>
                      <wps:wsp>
                        <wps:cNvPr id="1005" name="Graphic 1005"/>
                        <wps:cNvSpPr/>
                        <wps:spPr>
                          <a:xfrm>
                            <a:off x="11849" y="0"/>
                            <a:ext cx="1270" cy="6185535"/>
                          </a:xfrm>
                          <a:custGeom>
                            <a:avLst/>
                            <a:gdLst/>
                            <a:ahLst/>
                            <a:cxnLst/>
                            <a:rect l="l" t="t" r="r" b="b"/>
                            <a:pathLst>
                              <a:path w="0" h="6185535">
                                <a:moveTo>
                                  <a:pt x="0" y="0"/>
                                </a:moveTo>
                                <a:lnTo>
                                  <a:pt x="0" y="6185273"/>
                                </a:lnTo>
                              </a:path>
                            </a:pathLst>
                          </a:custGeom>
                          <a:ln w="23698">
                            <a:solidFill>
                              <a:srgbClr val="0073B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6.740173pt;margin-top:62.382351pt;width:11.8pt;height:487.05pt;mso-position-horizontal-relative:page;mso-position-vertical-relative:page;z-index:15796224" id="docshapegroup812" coordorigin="14935,1248" coordsize="236,9741">
                <v:line style="position:absolute" from="15058,1248" to="15058,1285" stroked="true" strokeweight="11.196078pt" strokecolor="#0073bc">
                  <v:stroke dashstyle="solid"/>
                </v:line>
                <v:line style="position:absolute" from="14953,1248" to="14953,10988" stroked="true" strokeweight="1.866013pt" strokecolor="#0073bc">
                  <v:stroke dashstyle="solid"/>
                </v:line>
                <w10:wrap type="none"/>
              </v:group>
            </w:pict>
          </mc:Fallback>
        </mc:AlternateContent>
      </w:r>
      <w:r>
        <w:rPr>
          <w:i/>
          <w:sz w:val="20"/>
        </w:rPr>
        <mc:AlternateContent>
          <mc:Choice Requires="wps">
            <w:drawing>
              <wp:anchor distT="0" distB="0" distL="0" distR="0" allowOverlap="1" layoutInCell="1" locked="0" behindDoc="0" simplePos="0" relativeHeight="15796736">
                <wp:simplePos x="0" y="0"/>
                <wp:positionH relativeFrom="page">
                  <wp:posOffset>10223272</wp:posOffset>
                </wp:positionH>
                <wp:positionV relativeFrom="page">
                  <wp:posOffset>3638410</wp:posOffset>
                </wp:positionV>
                <wp:extent cx="196215" cy="280035"/>
                <wp:effectExtent l="0" t="0" r="0" b="0"/>
                <wp:wrapNone/>
                <wp:docPr id="1006" name="Textbox 1006"/>
                <wp:cNvGraphicFramePr>
                  <a:graphicFrameLocks/>
                </wp:cNvGraphicFramePr>
                <a:graphic>
                  <a:graphicData uri="http://schemas.microsoft.com/office/word/2010/wordprocessingShape">
                    <wps:wsp>
                      <wps:cNvPr id="1006" name="Textbox 1006"/>
                      <wps:cNvSpPr txBox="1"/>
                      <wps:spPr>
                        <a:xfrm>
                          <a:off x="0" y="0"/>
                          <a:ext cx="196215" cy="280035"/>
                        </a:xfrm>
                        <a:prstGeom prst="rect">
                          <a:avLst/>
                        </a:prstGeom>
                      </wps:spPr>
                      <wps:txbx>
                        <w:txbxContent>
                          <w:p>
                            <w:pPr>
                              <w:spacing w:before="12"/>
                              <w:ind w:left="20" w:right="0" w:firstLine="0"/>
                              <w:jc w:val="left"/>
                              <w:rPr>
                                <w:rFonts w:ascii="Arial MT"/>
                                <w:sz w:val="24"/>
                              </w:rPr>
                            </w:pPr>
                            <w:r>
                              <w:rPr>
                                <w:rFonts w:ascii="Arial MT"/>
                                <w:spacing w:val="-5"/>
                                <w:sz w:val="24"/>
                              </w:rPr>
                              <w:t>531</w:t>
                            </w:r>
                          </w:p>
                        </w:txbxContent>
                      </wps:txbx>
                      <wps:bodyPr wrap="square" lIns="0" tIns="0" rIns="0" bIns="0" rtlCol="0" vert="vert">
                        <a:noAutofit/>
                      </wps:bodyPr>
                    </wps:wsp>
                  </a:graphicData>
                </a:graphic>
              </wp:anchor>
            </w:drawing>
          </mc:Choice>
          <mc:Fallback>
            <w:pict>
              <v:shape style="position:absolute;margin-left:804.982056pt;margin-top:286.489014pt;width:15.45pt;height:22.05pt;mso-position-horizontal-relative:page;mso-position-vertical-relative:page;z-index:15796736" type="#_x0000_t202" id="docshape813" filled="false" stroked="false">
                <v:textbox inset="0,0,0,0" style="layout-flow:vertical">
                  <w:txbxContent>
                    <w:p>
                      <w:pPr>
                        <w:spacing w:before="12"/>
                        <w:ind w:left="20" w:right="0" w:firstLine="0"/>
                        <w:jc w:val="left"/>
                        <w:rPr>
                          <w:rFonts w:ascii="Arial MT"/>
                          <w:sz w:val="24"/>
                        </w:rPr>
                      </w:pPr>
                      <w:r>
                        <w:rPr>
                          <w:rFonts w:ascii="Arial MT"/>
                          <w:spacing w:val="-5"/>
                          <w:sz w:val="24"/>
                        </w:rPr>
                        <w:t>531</w:t>
                      </w:r>
                    </w:p>
                  </w:txbxContent>
                </v:textbox>
                <w10:wrap type="none"/>
              </v:shape>
            </w:pict>
          </mc:Fallback>
        </mc:AlternateContent>
      </w:r>
      <w:r>
        <w:rPr>
          <w:i/>
          <w:sz w:val="20"/>
        </w:rPr>
        <mc:AlternateContent>
          <mc:Choice Requires="wps">
            <w:drawing>
              <wp:anchor distT="0" distB="0" distL="0" distR="0" allowOverlap="1" layoutInCell="1" locked="0" behindDoc="0" simplePos="0" relativeHeight="15797248">
                <wp:simplePos x="0" y="0"/>
                <wp:positionH relativeFrom="page">
                  <wp:posOffset>9496731</wp:posOffset>
                </wp:positionH>
                <wp:positionV relativeFrom="page">
                  <wp:posOffset>3732359</wp:posOffset>
                </wp:positionV>
                <wp:extent cx="170180" cy="3258185"/>
                <wp:effectExtent l="0" t="0" r="0" b="0"/>
                <wp:wrapNone/>
                <wp:docPr id="1007" name="Textbox 1007"/>
                <wp:cNvGraphicFramePr>
                  <a:graphicFrameLocks/>
                </wp:cNvGraphicFramePr>
                <a:graphic>
                  <a:graphicData uri="http://schemas.microsoft.com/office/word/2010/wordprocessingShape">
                    <wps:wsp>
                      <wps:cNvPr id="1007" name="Textbox 1007"/>
                      <wps:cNvSpPr txBox="1"/>
                      <wps:spPr>
                        <a:xfrm>
                          <a:off x="0" y="0"/>
                          <a:ext cx="170180" cy="3258185"/>
                        </a:xfrm>
                        <a:prstGeom prst="rect">
                          <a:avLst/>
                        </a:prstGeom>
                      </wps:spPr>
                      <wps:txbx>
                        <w:txbxContent>
                          <w:p>
                            <w:pPr>
                              <w:spacing w:before="26"/>
                              <w:ind w:left="20" w:right="0" w:firstLine="0"/>
                              <w:jc w:val="left"/>
                              <w:rPr>
                                <w:b/>
                                <w:sz w:val="18"/>
                              </w:rPr>
                            </w:pPr>
                            <w:r>
                              <w:rPr>
                                <w:b/>
                                <w:color w:val="0073BC"/>
                                <w:w w:val="105"/>
                                <w:sz w:val="18"/>
                              </w:rPr>
                              <w:t>Chapter</w:t>
                            </w:r>
                            <w:r>
                              <w:rPr>
                                <w:b/>
                                <w:color w:val="0073BC"/>
                                <w:spacing w:val="15"/>
                                <w:w w:val="105"/>
                                <w:sz w:val="18"/>
                              </w:rPr>
                              <w:t> </w:t>
                            </w:r>
                            <w:r>
                              <w:rPr>
                                <w:b/>
                                <w:color w:val="0073BC"/>
                                <w:w w:val="105"/>
                                <w:sz w:val="18"/>
                              </w:rPr>
                              <w:t>608</w:t>
                            </w:r>
                            <w:r>
                              <w:rPr>
                                <w:b/>
                                <w:color w:val="0073BC"/>
                                <w:spacing w:val="44"/>
                                <w:w w:val="105"/>
                                <w:sz w:val="18"/>
                              </w:rPr>
                              <w:t> </w:t>
                            </w:r>
                            <w:r>
                              <w:rPr>
                                <w:rFonts w:ascii="Lucida Sans Unicode" w:hAnsi="Lucida Sans Unicode"/>
                                <w:color w:val="6C9BD2"/>
                                <w:w w:val="105"/>
                                <w:sz w:val="15"/>
                              </w:rPr>
                              <w:t>◆</w:t>
                            </w:r>
                            <w:r>
                              <w:rPr>
                                <w:rFonts w:ascii="Lucida Sans Unicode" w:hAnsi="Lucida Sans Unicode"/>
                                <w:color w:val="6C9BD2"/>
                                <w:spacing w:val="51"/>
                                <w:w w:val="105"/>
                                <w:sz w:val="15"/>
                              </w:rPr>
                              <w:t> </w:t>
                            </w:r>
                            <w:r>
                              <w:rPr>
                                <w:color w:val="231F20"/>
                                <w:w w:val="105"/>
                                <w:sz w:val="18"/>
                              </w:rPr>
                              <w:t>Developmental</w:t>
                            </w:r>
                            <w:r>
                              <w:rPr>
                                <w:color w:val="231F20"/>
                                <w:spacing w:val="12"/>
                                <w:w w:val="105"/>
                                <w:sz w:val="18"/>
                              </w:rPr>
                              <w:t> </w:t>
                            </w:r>
                            <w:r>
                              <w:rPr>
                                <w:color w:val="231F20"/>
                                <w:w w:val="105"/>
                                <w:sz w:val="18"/>
                              </w:rPr>
                              <w:t>Disorders</w:t>
                            </w:r>
                            <w:r>
                              <w:rPr>
                                <w:color w:val="231F20"/>
                                <w:spacing w:val="11"/>
                                <w:w w:val="105"/>
                                <w:sz w:val="18"/>
                              </w:rPr>
                              <w:t> </w:t>
                            </w:r>
                            <w:r>
                              <w:rPr>
                                <w:color w:val="231F20"/>
                                <w:w w:val="105"/>
                                <w:sz w:val="18"/>
                              </w:rPr>
                              <w:t>of</w:t>
                            </w:r>
                            <w:r>
                              <w:rPr>
                                <w:color w:val="231F20"/>
                                <w:spacing w:val="11"/>
                                <w:w w:val="105"/>
                                <w:sz w:val="18"/>
                              </w:rPr>
                              <w:t> </w:t>
                            </w:r>
                            <w:r>
                              <w:rPr>
                                <w:color w:val="231F20"/>
                                <w:w w:val="105"/>
                                <w:sz w:val="18"/>
                              </w:rPr>
                              <w:t>Muscle</w:t>
                            </w:r>
                            <w:r>
                              <w:rPr>
                                <w:color w:val="231F20"/>
                                <w:spacing w:val="44"/>
                                <w:w w:val="105"/>
                                <w:sz w:val="18"/>
                              </w:rPr>
                              <w:t>  </w:t>
                            </w:r>
                            <w:r>
                              <w:rPr>
                                <w:b/>
                                <w:color w:val="231F20"/>
                                <w:spacing w:val="-4"/>
                                <w:w w:val="105"/>
                                <w:sz w:val="18"/>
                              </w:rPr>
                              <w:t>2967</w:t>
                            </w:r>
                          </w:p>
                        </w:txbxContent>
                      </wps:txbx>
                      <wps:bodyPr wrap="square" lIns="0" tIns="0" rIns="0" bIns="0" rtlCol="0" vert="vert">
                        <a:noAutofit/>
                      </wps:bodyPr>
                    </wps:wsp>
                  </a:graphicData>
                </a:graphic>
              </wp:anchor>
            </w:drawing>
          </mc:Choice>
          <mc:Fallback>
            <w:pict>
              <v:shape style="position:absolute;margin-left:747.774109pt;margin-top:293.886597pt;width:13.4pt;height:256.55pt;mso-position-horizontal-relative:page;mso-position-vertical-relative:page;z-index:15797248" type="#_x0000_t202" id="docshape814" filled="false" stroked="false">
                <v:textbox inset="0,0,0,0" style="layout-flow:vertical">
                  <w:txbxContent>
                    <w:p>
                      <w:pPr>
                        <w:spacing w:before="26"/>
                        <w:ind w:left="20" w:right="0" w:firstLine="0"/>
                        <w:jc w:val="left"/>
                        <w:rPr>
                          <w:b/>
                          <w:sz w:val="18"/>
                        </w:rPr>
                      </w:pPr>
                      <w:r>
                        <w:rPr>
                          <w:b/>
                          <w:color w:val="0073BC"/>
                          <w:w w:val="105"/>
                          <w:sz w:val="18"/>
                        </w:rPr>
                        <w:t>Chapter</w:t>
                      </w:r>
                      <w:r>
                        <w:rPr>
                          <w:b/>
                          <w:color w:val="0073BC"/>
                          <w:spacing w:val="15"/>
                          <w:w w:val="105"/>
                          <w:sz w:val="18"/>
                        </w:rPr>
                        <w:t> </w:t>
                      </w:r>
                      <w:r>
                        <w:rPr>
                          <w:b/>
                          <w:color w:val="0073BC"/>
                          <w:w w:val="105"/>
                          <w:sz w:val="18"/>
                        </w:rPr>
                        <w:t>608</w:t>
                      </w:r>
                      <w:r>
                        <w:rPr>
                          <w:b/>
                          <w:color w:val="0073BC"/>
                          <w:spacing w:val="44"/>
                          <w:w w:val="105"/>
                          <w:sz w:val="18"/>
                        </w:rPr>
                        <w:t> </w:t>
                      </w:r>
                      <w:r>
                        <w:rPr>
                          <w:rFonts w:ascii="Lucida Sans Unicode" w:hAnsi="Lucida Sans Unicode"/>
                          <w:color w:val="6C9BD2"/>
                          <w:w w:val="105"/>
                          <w:sz w:val="15"/>
                        </w:rPr>
                        <w:t>◆</w:t>
                      </w:r>
                      <w:r>
                        <w:rPr>
                          <w:rFonts w:ascii="Lucida Sans Unicode" w:hAnsi="Lucida Sans Unicode"/>
                          <w:color w:val="6C9BD2"/>
                          <w:spacing w:val="51"/>
                          <w:w w:val="105"/>
                          <w:sz w:val="15"/>
                        </w:rPr>
                        <w:t> </w:t>
                      </w:r>
                      <w:r>
                        <w:rPr>
                          <w:color w:val="231F20"/>
                          <w:w w:val="105"/>
                          <w:sz w:val="18"/>
                        </w:rPr>
                        <w:t>Developmental</w:t>
                      </w:r>
                      <w:r>
                        <w:rPr>
                          <w:color w:val="231F20"/>
                          <w:spacing w:val="12"/>
                          <w:w w:val="105"/>
                          <w:sz w:val="18"/>
                        </w:rPr>
                        <w:t> </w:t>
                      </w:r>
                      <w:r>
                        <w:rPr>
                          <w:color w:val="231F20"/>
                          <w:w w:val="105"/>
                          <w:sz w:val="18"/>
                        </w:rPr>
                        <w:t>Disorders</w:t>
                      </w:r>
                      <w:r>
                        <w:rPr>
                          <w:color w:val="231F20"/>
                          <w:spacing w:val="11"/>
                          <w:w w:val="105"/>
                          <w:sz w:val="18"/>
                        </w:rPr>
                        <w:t> </w:t>
                      </w:r>
                      <w:r>
                        <w:rPr>
                          <w:color w:val="231F20"/>
                          <w:w w:val="105"/>
                          <w:sz w:val="18"/>
                        </w:rPr>
                        <w:t>of</w:t>
                      </w:r>
                      <w:r>
                        <w:rPr>
                          <w:color w:val="231F20"/>
                          <w:spacing w:val="11"/>
                          <w:w w:val="105"/>
                          <w:sz w:val="18"/>
                        </w:rPr>
                        <w:t> </w:t>
                      </w:r>
                      <w:r>
                        <w:rPr>
                          <w:color w:val="231F20"/>
                          <w:w w:val="105"/>
                          <w:sz w:val="18"/>
                        </w:rPr>
                        <w:t>Muscle</w:t>
                      </w:r>
                      <w:r>
                        <w:rPr>
                          <w:color w:val="231F20"/>
                          <w:spacing w:val="44"/>
                          <w:w w:val="105"/>
                          <w:sz w:val="18"/>
                        </w:rPr>
                        <w:t>  </w:t>
                      </w:r>
                      <w:r>
                        <w:rPr>
                          <w:b/>
                          <w:color w:val="231F20"/>
                          <w:spacing w:val="-4"/>
                          <w:w w:val="105"/>
                          <w:sz w:val="18"/>
                        </w:rPr>
                        <w:t>2967</w:t>
                      </w:r>
                    </w:p>
                  </w:txbxContent>
                </v:textbox>
                <w10:wrap type="none"/>
              </v:shape>
            </w:pict>
          </mc:Fallback>
        </mc:AlternateContent>
      </w:r>
    </w:p>
    <w:p>
      <w:pPr>
        <w:pStyle w:val="BodyText"/>
        <w:rPr>
          <w:i/>
          <w:sz w:val="20"/>
        </w:rPr>
      </w:pPr>
    </w:p>
    <w:p>
      <w:pPr>
        <w:pStyle w:val="BodyText"/>
        <w:rPr>
          <w:i/>
          <w:sz w:val="20"/>
        </w:rPr>
      </w:pPr>
    </w:p>
    <w:p>
      <w:pPr>
        <w:pStyle w:val="BodyText"/>
        <w:spacing w:before="147"/>
        <w:rPr>
          <w:i/>
          <w:sz w:val="20"/>
        </w:rPr>
      </w:pPr>
    </w:p>
    <w:tbl>
      <w:tblPr>
        <w:tblW w:w="0" w:type="auto"/>
        <w:jc w:val="left"/>
        <w:tblInd w:w="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76"/>
        <w:gridCol w:w="597"/>
        <w:gridCol w:w="1666"/>
        <w:gridCol w:w="1295"/>
        <w:gridCol w:w="1473"/>
        <w:gridCol w:w="1095"/>
        <w:gridCol w:w="1518"/>
      </w:tblGrid>
      <w:tr>
        <w:trPr>
          <w:trHeight w:val="373" w:hRule="atLeast"/>
        </w:trPr>
        <w:tc>
          <w:tcPr>
            <w:tcW w:w="12820" w:type="dxa"/>
            <w:gridSpan w:val="7"/>
            <w:shd w:val="clear" w:color="auto" w:fill="231F20"/>
          </w:tcPr>
          <w:p>
            <w:pPr>
              <w:pStyle w:val="TableParagraph"/>
              <w:spacing w:before="89"/>
              <w:ind w:left="111"/>
              <w:rPr>
                <w:sz w:val="16"/>
              </w:rPr>
            </w:pPr>
            <w:r>
              <w:rPr>
                <w:b/>
                <w:color w:val="FFFFFF"/>
                <w:w w:val="105"/>
                <w:sz w:val="16"/>
              </w:rPr>
              <w:t>Table</w:t>
            </w:r>
            <w:r>
              <w:rPr>
                <w:b/>
                <w:color w:val="FFFFFF"/>
                <w:spacing w:val="-1"/>
                <w:w w:val="105"/>
                <w:sz w:val="16"/>
              </w:rPr>
              <w:t> </w:t>
            </w:r>
            <w:r>
              <w:rPr>
                <w:b/>
                <w:color w:val="FFFFFF"/>
                <w:w w:val="105"/>
                <w:sz w:val="16"/>
              </w:rPr>
              <w:t>608-2</w:t>
            </w:r>
            <w:r>
              <w:rPr>
                <w:b/>
                <w:color w:val="FFFFFF"/>
                <w:spacing w:val="35"/>
                <w:w w:val="105"/>
                <w:sz w:val="16"/>
              </w:rPr>
              <w:t>  </w:t>
            </w:r>
            <w:r>
              <w:rPr>
                <w:color w:val="FFFFFF"/>
                <w:w w:val="105"/>
                <w:sz w:val="16"/>
              </w:rPr>
              <w:t>Clinical</w:t>
            </w:r>
            <w:r>
              <w:rPr>
                <w:color w:val="FFFFFF"/>
                <w:spacing w:val="6"/>
                <w:w w:val="105"/>
                <w:sz w:val="16"/>
              </w:rPr>
              <w:t> </w:t>
            </w:r>
            <w:r>
              <w:rPr>
                <w:color w:val="FFFFFF"/>
                <w:w w:val="105"/>
                <w:sz w:val="16"/>
              </w:rPr>
              <w:t>Signs</w:t>
            </w:r>
            <w:r>
              <w:rPr>
                <w:color w:val="FFFFFF"/>
                <w:spacing w:val="5"/>
                <w:w w:val="105"/>
                <w:sz w:val="16"/>
              </w:rPr>
              <w:t> </w:t>
            </w:r>
            <w:r>
              <w:rPr>
                <w:color w:val="FFFFFF"/>
                <w:w w:val="105"/>
                <w:sz w:val="16"/>
              </w:rPr>
              <w:t>of</w:t>
            </w:r>
            <w:r>
              <w:rPr>
                <w:color w:val="FFFFFF"/>
                <w:spacing w:val="6"/>
                <w:w w:val="105"/>
                <w:sz w:val="16"/>
              </w:rPr>
              <w:t> </w:t>
            </w:r>
            <w:r>
              <w:rPr>
                <w:color w:val="FFFFFF"/>
                <w:w w:val="105"/>
                <w:sz w:val="16"/>
              </w:rPr>
              <w:t>Muscular</w:t>
            </w:r>
            <w:r>
              <w:rPr>
                <w:color w:val="FFFFFF"/>
                <w:spacing w:val="6"/>
                <w:w w:val="105"/>
                <w:sz w:val="16"/>
              </w:rPr>
              <w:t> </w:t>
            </w:r>
            <w:r>
              <w:rPr>
                <w:color w:val="FFFFFF"/>
                <w:spacing w:val="-2"/>
                <w:w w:val="105"/>
                <w:sz w:val="16"/>
              </w:rPr>
              <w:t>Dystrophy</w:t>
            </w:r>
          </w:p>
        </w:tc>
      </w:tr>
      <w:tr>
        <w:trPr>
          <w:trHeight w:val="425" w:hRule="atLeast"/>
        </w:trPr>
        <w:tc>
          <w:tcPr>
            <w:tcW w:w="5176" w:type="dxa"/>
            <w:tcBorders>
              <w:bottom w:val="single" w:sz="4" w:space="0" w:color="231F20"/>
            </w:tcBorders>
            <w:shd w:val="clear" w:color="auto" w:fill="E8F5F1"/>
          </w:tcPr>
          <w:p>
            <w:pPr>
              <w:pStyle w:val="TableParagraph"/>
              <w:tabs>
                <w:tab w:pos="3896" w:val="left" w:leader="none"/>
              </w:tabs>
              <w:spacing w:line="230" w:lineRule="auto" w:before="53"/>
              <w:ind w:left="2139" w:right="163" w:firstLine="1787"/>
              <w:rPr>
                <w:b/>
                <w:sz w:val="15"/>
              </w:rPr>
            </w:pPr>
            <w:r>
              <w:rPr>
                <w:b/>
                <w:color w:val="231F20"/>
                <w:spacing w:val="-2"/>
                <w:w w:val="110"/>
                <w:sz w:val="15"/>
              </w:rPr>
              <w:t>DISTRIBUTION </w:t>
            </w:r>
            <w:r>
              <w:rPr>
                <w:b/>
                <w:color w:val="231F20"/>
                <w:w w:val="110"/>
                <w:sz w:val="15"/>
              </w:rPr>
              <w:t>MOTOR</w:t>
            </w:r>
            <w:r>
              <w:rPr>
                <w:b/>
                <w:color w:val="231F20"/>
                <w:spacing w:val="12"/>
                <w:w w:val="110"/>
                <w:sz w:val="15"/>
              </w:rPr>
              <w:t> </w:t>
            </w:r>
            <w:r>
              <w:rPr>
                <w:b/>
                <w:color w:val="231F20"/>
                <w:spacing w:val="-2"/>
                <w:w w:val="110"/>
                <w:sz w:val="15"/>
              </w:rPr>
              <w:t>FUNCTION</w:t>
            </w:r>
            <w:r>
              <w:rPr>
                <w:b/>
                <w:color w:val="231F20"/>
                <w:sz w:val="15"/>
              </w:rPr>
              <w:tab/>
            </w:r>
            <w:r>
              <w:rPr>
                <w:b/>
                <w:color w:val="231F20"/>
                <w:w w:val="110"/>
                <w:sz w:val="15"/>
              </w:rPr>
              <w:t>OF</w:t>
            </w:r>
            <w:r>
              <w:rPr>
                <w:b/>
                <w:color w:val="231F20"/>
                <w:spacing w:val="2"/>
                <w:w w:val="110"/>
                <w:sz w:val="15"/>
              </w:rPr>
              <w:t> </w:t>
            </w:r>
            <w:r>
              <w:rPr>
                <w:b/>
                <w:color w:val="231F20"/>
                <w:spacing w:val="-2"/>
                <w:w w:val="110"/>
                <w:sz w:val="15"/>
              </w:rPr>
              <w:t>WEAKNESS</w:t>
            </w:r>
          </w:p>
        </w:tc>
        <w:tc>
          <w:tcPr>
            <w:tcW w:w="597" w:type="dxa"/>
            <w:tcBorders>
              <w:bottom w:val="single" w:sz="4" w:space="0" w:color="231F20"/>
            </w:tcBorders>
            <w:shd w:val="clear" w:color="auto" w:fill="E8F5F1"/>
          </w:tcPr>
          <w:p>
            <w:pPr>
              <w:pStyle w:val="TableParagraph"/>
              <w:spacing w:line="230" w:lineRule="auto" w:before="53"/>
              <w:ind w:left="51" w:firstLine="12"/>
              <w:rPr>
                <w:b/>
                <w:sz w:val="15"/>
              </w:rPr>
            </w:pPr>
            <w:r>
              <w:rPr>
                <w:b/>
                <w:color w:val="231F20"/>
                <w:spacing w:val="-2"/>
                <w:w w:val="110"/>
                <w:sz w:val="15"/>
              </w:rPr>
              <w:t>RIGID SPINE</w:t>
            </w:r>
          </w:p>
        </w:tc>
        <w:tc>
          <w:tcPr>
            <w:tcW w:w="1666" w:type="dxa"/>
            <w:tcBorders>
              <w:bottom w:val="single" w:sz="4" w:space="0" w:color="231F20"/>
            </w:tcBorders>
            <w:shd w:val="clear" w:color="auto" w:fill="E8F5F1"/>
          </w:tcPr>
          <w:p>
            <w:pPr>
              <w:pStyle w:val="TableParagraph"/>
              <w:spacing w:before="41"/>
              <w:rPr>
                <w:i/>
                <w:sz w:val="15"/>
              </w:rPr>
            </w:pPr>
          </w:p>
          <w:p>
            <w:pPr>
              <w:pStyle w:val="TableParagraph"/>
              <w:ind w:left="107"/>
              <w:rPr>
                <w:b/>
                <w:sz w:val="15"/>
              </w:rPr>
            </w:pPr>
            <w:r>
              <w:rPr>
                <w:b/>
                <w:color w:val="231F20"/>
                <w:spacing w:val="-2"/>
                <w:w w:val="110"/>
                <w:sz w:val="15"/>
              </w:rPr>
              <w:t>CARDIOMYOPATHY</w:t>
            </w:r>
          </w:p>
        </w:tc>
        <w:tc>
          <w:tcPr>
            <w:tcW w:w="1295" w:type="dxa"/>
            <w:tcBorders>
              <w:bottom w:val="single" w:sz="4" w:space="0" w:color="231F20"/>
            </w:tcBorders>
            <w:shd w:val="clear" w:color="auto" w:fill="E8F5F1"/>
          </w:tcPr>
          <w:p>
            <w:pPr>
              <w:pStyle w:val="TableParagraph"/>
              <w:spacing w:line="230" w:lineRule="auto" w:before="53"/>
              <w:ind w:left="165" w:right="61" w:hanging="27"/>
              <w:rPr>
                <w:b/>
                <w:sz w:val="15"/>
              </w:rPr>
            </w:pPr>
            <w:r>
              <w:rPr>
                <w:b/>
                <w:color w:val="231F20"/>
                <w:spacing w:val="-2"/>
                <w:sz w:val="15"/>
              </w:rPr>
              <w:t>RESPIRATORY </w:t>
            </w:r>
            <w:r>
              <w:rPr>
                <w:b/>
                <w:color w:val="231F20"/>
                <w:spacing w:val="-2"/>
                <w:w w:val="110"/>
                <w:sz w:val="15"/>
              </w:rPr>
              <w:t>IMPAIRMENT</w:t>
            </w:r>
          </w:p>
        </w:tc>
        <w:tc>
          <w:tcPr>
            <w:tcW w:w="1473" w:type="dxa"/>
            <w:tcBorders>
              <w:bottom w:val="single" w:sz="4" w:space="0" w:color="231F20"/>
            </w:tcBorders>
            <w:shd w:val="clear" w:color="auto" w:fill="E8F5F1"/>
          </w:tcPr>
          <w:p>
            <w:pPr>
              <w:pStyle w:val="TableParagraph"/>
              <w:spacing w:line="230" w:lineRule="auto" w:before="53"/>
              <w:ind w:left="443" w:hanging="8"/>
              <w:rPr>
                <w:b/>
                <w:sz w:val="15"/>
              </w:rPr>
            </w:pPr>
            <w:r>
              <w:rPr>
                <w:b/>
                <w:color w:val="231F20"/>
                <w:spacing w:val="-2"/>
                <w:w w:val="110"/>
                <w:sz w:val="15"/>
              </w:rPr>
              <w:t>DISEASE COURSE</w:t>
            </w:r>
          </w:p>
        </w:tc>
        <w:tc>
          <w:tcPr>
            <w:tcW w:w="1095" w:type="dxa"/>
            <w:tcBorders>
              <w:bottom w:val="single" w:sz="4" w:space="0" w:color="231F20"/>
            </w:tcBorders>
            <w:shd w:val="clear" w:color="auto" w:fill="E8F5F1"/>
          </w:tcPr>
          <w:p>
            <w:pPr>
              <w:pStyle w:val="TableParagraph"/>
              <w:spacing w:line="230" w:lineRule="auto" w:before="53"/>
              <w:ind w:left="452" w:hanging="327"/>
              <w:rPr>
                <w:b/>
                <w:sz w:val="15"/>
              </w:rPr>
            </w:pPr>
            <w:r>
              <w:rPr>
                <w:b/>
                <w:color w:val="231F20"/>
                <w:spacing w:val="-2"/>
                <w:w w:val="110"/>
                <w:sz w:val="15"/>
              </w:rPr>
              <w:t>INCREASED </w:t>
            </w:r>
            <w:r>
              <w:rPr>
                <w:b/>
                <w:color w:val="231F20"/>
                <w:spacing w:val="-6"/>
                <w:w w:val="115"/>
                <w:sz w:val="15"/>
              </w:rPr>
              <w:t>CK</w:t>
            </w:r>
          </w:p>
        </w:tc>
        <w:tc>
          <w:tcPr>
            <w:tcW w:w="1518" w:type="dxa"/>
            <w:tcBorders>
              <w:bottom w:val="single" w:sz="4" w:space="0" w:color="231F20"/>
            </w:tcBorders>
            <w:shd w:val="clear" w:color="auto" w:fill="E8F5F1"/>
          </w:tcPr>
          <w:p>
            <w:pPr>
              <w:pStyle w:val="TableParagraph"/>
              <w:spacing w:before="41"/>
              <w:rPr>
                <w:i/>
                <w:sz w:val="15"/>
              </w:rPr>
            </w:pPr>
          </w:p>
          <w:p>
            <w:pPr>
              <w:pStyle w:val="TableParagraph"/>
              <w:ind w:left="264"/>
              <w:rPr>
                <w:b/>
                <w:sz w:val="15"/>
              </w:rPr>
            </w:pPr>
            <w:r>
              <w:rPr>
                <w:b/>
                <w:color w:val="231F20"/>
                <w:w w:val="110"/>
                <w:sz w:val="15"/>
              </w:rPr>
              <w:t>OTHER</w:t>
            </w:r>
            <w:r>
              <w:rPr>
                <w:b/>
                <w:color w:val="231F20"/>
                <w:spacing w:val="-12"/>
                <w:w w:val="110"/>
                <w:sz w:val="15"/>
              </w:rPr>
              <w:t> </w:t>
            </w:r>
            <w:r>
              <w:rPr>
                <w:b/>
                <w:color w:val="231F20"/>
                <w:spacing w:val="-2"/>
                <w:w w:val="110"/>
                <w:sz w:val="15"/>
              </w:rPr>
              <w:t>SIGNS</w:t>
            </w:r>
          </w:p>
        </w:tc>
      </w:tr>
      <w:tr>
        <w:trPr>
          <w:trHeight w:val="3618" w:hRule="atLeast"/>
        </w:trPr>
        <w:tc>
          <w:tcPr>
            <w:tcW w:w="5176" w:type="dxa"/>
            <w:tcBorders>
              <w:top w:val="single" w:sz="4" w:space="0" w:color="231F20"/>
              <w:bottom w:val="single" w:sz="4" w:space="0" w:color="FFFFFF"/>
            </w:tcBorders>
            <w:shd w:val="clear" w:color="auto" w:fill="E8F5F1"/>
          </w:tcPr>
          <w:p>
            <w:pPr>
              <w:pStyle w:val="TableParagraph"/>
              <w:spacing w:line="172" w:lineRule="exact" w:before="43"/>
              <w:ind w:left="74"/>
              <w:rPr>
                <w:sz w:val="15"/>
              </w:rPr>
            </w:pPr>
            <w:r>
              <w:rPr>
                <w:color w:val="231F20"/>
                <w:w w:val="110"/>
                <w:sz w:val="15"/>
              </w:rPr>
              <w:t>CONGENITAL-ONSET</w:t>
            </w:r>
            <w:r>
              <w:rPr>
                <w:color w:val="231F20"/>
                <w:spacing w:val="26"/>
                <w:w w:val="110"/>
                <w:sz w:val="15"/>
              </w:rPr>
              <w:t> </w:t>
            </w:r>
            <w:r>
              <w:rPr>
                <w:color w:val="231F20"/>
                <w:w w:val="110"/>
                <w:sz w:val="15"/>
              </w:rPr>
              <w:t>MUSCULAR</w:t>
            </w:r>
            <w:r>
              <w:rPr>
                <w:color w:val="231F20"/>
                <w:spacing w:val="27"/>
                <w:w w:val="110"/>
                <w:sz w:val="15"/>
              </w:rPr>
              <w:t> </w:t>
            </w:r>
            <w:r>
              <w:rPr>
                <w:color w:val="231F20"/>
                <w:spacing w:val="-2"/>
                <w:w w:val="110"/>
                <w:sz w:val="15"/>
              </w:rPr>
              <w:t>DYSTROPHY</w:t>
            </w:r>
          </w:p>
          <w:p>
            <w:pPr>
              <w:pStyle w:val="TableParagraph"/>
              <w:tabs>
                <w:tab w:pos="2022" w:val="left" w:leader="none"/>
                <w:tab w:pos="2134" w:val="left" w:leader="none"/>
                <w:tab w:pos="3891" w:val="left" w:leader="none"/>
                <w:tab w:pos="4003" w:val="left" w:leader="none"/>
              </w:tabs>
              <w:spacing w:line="230" w:lineRule="auto" w:before="3"/>
              <w:ind w:left="186" w:right="336" w:hanging="112"/>
              <w:rPr>
                <w:sz w:val="15"/>
              </w:rPr>
            </w:pPr>
            <w:r>
              <w:rPr>
                <w:color w:val="231F20"/>
                <w:sz w:val="15"/>
              </w:rPr>
              <w:t>Congenital muscular</w:t>
              <w:tab/>
              <w:t>Independent ambulation</w:t>
              <w:tab/>
              <w:t>Upper</w:t>
            </w:r>
            <w:r>
              <w:rPr>
                <w:color w:val="231F20"/>
                <w:spacing w:val="-12"/>
                <w:sz w:val="15"/>
              </w:rPr>
              <w:t> </w:t>
            </w:r>
            <w:r>
              <w:rPr>
                <w:color w:val="231F20"/>
                <w:sz w:val="15"/>
              </w:rPr>
              <w:t>limbs</w:t>
            </w:r>
            <w:r>
              <w:rPr>
                <w:color w:val="231F20"/>
                <w:spacing w:val="-11"/>
                <w:sz w:val="15"/>
              </w:rPr>
              <w:t> </w:t>
            </w:r>
            <w:r>
              <w:rPr>
                <w:rFonts w:ascii="Cambria"/>
                <w:color w:val="231F20"/>
                <w:sz w:val="15"/>
              </w:rPr>
              <w:t>&gt;</w:t>
            </w:r>
            <w:r>
              <w:rPr>
                <w:rFonts w:ascii="Cambria"/>
                <w:color w:val="231F20"/>
                <w:spacing w:val="40"/>
                <w:sz w:val="15"/>
              </w:rPr>
              <w:t> </w:t>
            </w:r>
            <w:r>
              <w:rPr>
                <w:color w:val="231F20"/>
                <w:sz w:val="15"/>
              </w:rPr>
              <w:t>dystrophy with merosin</w:t>
              <w:tab/>
              <w:tab/>
              <w:t>generally not achieved</w:t>
              <w:tab/>
              <w:tab/>
              <w:t>lower limbs </w:t>
            </w:r>
            <w:r>
              <w:rPr>
                <w:color w:val="231F20"/>
                <w:spacing w:val="-2"/>
                <w:sz w:val="15"/>
              </w:rPr>
              <w:t>deficiency</w:t>
            </w:r>
            <w:r>
              <w:rPr>
                <w:color w:val="231F20"/>
                <w:sz w:val="15"/>
              </w:rPr>
              <w:tab/>
              <w:tab/>
              <w:t>in patients with absent</w:t>
            </w:r>
          </w:p>
          <w:p>
            <w:pPr>
              <w:pStyle w:val="TableParagraph"/>
              <w:spacing w:line="166" w:lineRule="exact"/>
              <w:ind w:left="2134"/>
              <w:rPr>
                <w:sz w:val="15"/>
              </w:rPr>
            </w:pPr>
            <w:r>
              <w:rPr>
                <w:color w:val="231F20"/>
                <w:spacing w:val="-2"/>
                <w:sz w:val="15"/>
              </w:rPr>
              <w:t>merosin</w:t>
            </w:r>
          </w:p>
          <w:p>
            <w:pPr>
              <w:pStyle w:val="TableParagraph"/>
              <w:tabs>
                <w:tab w:pos="2022" w:val="left" w:leader="none"/>
                <w:tab w:pos="2134" w:val="left" w:leader="none"/>
                <w:tab w:pos="3891" w:val="left" w:leader="none"/>
                <w:tab w:pos="4003" w:val="left" w:leader="none"/>
              </w:tabs>
              <w:spacing w:line="230" w:lineRule="auto" w:before="4"/>
              <w:ind w:left="186" w:right="336" w:hanging="112"/>
              <w:rPr>
                <w:sz w:val="15"/>
              </w:rPr>
            </w:pPr>
            <w:r>
              <w:rPr>
                <w:color w:val="231F20"/>
                <w:sz w:val="15"/>
              </w:rPr>
              <w:t>Congenital muscular</w:t>
              <w:tab/>
              <w:t>Independent ambulation</w:t>
              <w:tab/>
              <w:t>Upper</w:t>
            </w:r>
            <w:r>
              <w:rPr>
                <w:color w:val="231F20"/>
                <w:spacing w:val="-12"/>
                <w:sz w:val="15"/>
              </w:rPr>
              <w:t> </w:t>
            </w:r>
            <w:r>
              <w:rPr>
                <w:color w:val="231F20"/>
                <w:sz w:val="15"/>
              </w:rPr>
              <w:t>limbs</w:t>
            </w:r>
            <w:r>
              <w:rPr>
                <w:color w:val="231F20"/>
                <w:spacing w:val="-11"/>
                <w:sz w:val="15"/>
              </w:rPr>
              <w:t> </w:t>
            </w:r>
            <w:r>
              <w:rPr>
                <w:rFonts w:ascii="Cambria"/>
                <w:color w:val="231F20"/>
                <w:sz w:val="15"/>
              </w:rPr>
              <w:t>&gt;</w:t>
            </w:r>
            <w:r>
              <w:rPr>
                <w:rFonts w:ascii="Cambria"/>
                <w:color w:val="231F20"/>
                <w:spacing w:val="40"/>
                <w:sz w:val="15"/>
              </w:rPr>
              <w:t> </w:t>
            </w:r>
            <w:r>
              <w:rPr>
                <w:color w:val="231F20"/>
                <w:sz w:val="15"/>
              </w:rPr>
              <w:t>dystrophy and</w:t>
              <w:tab/>
              <w:tab/>
              <w:t>generally not achieved</w:t>
              <w:tab/>
              <w:tab/>
              <w:t>lower limbs abnormal glycosylation</w:t>
            </w:r>
          </w:p>
          <w:p>
            <w:pPr>
              <w:pStyle w:val="TableParagraph"/>
              <w:spacing w:line="230" w:lineRule="auto"/>
              <w:ind w:left="186" w:right="3449"/>
              <w:rPr>
                <w:sz w:val="15"/>
              </w:rPr>
            </w:pPr>
            <w:r>
              <w:rPr>
                <w:color w:val="231F20"/>
                <w:sz w:val="15"/>
              </w:rPr>
              <w:t>of dystroglycan </w:t>
            </w:r>
            <w:r>
              <w:rPr>
                <w:color w:val="231F20"/>
                <w:spacing w:val="-2"/>
                <w:sz w:val="15"/>
              </w:rPr>
              <w:t>(Walker-Warburg syndrome,</w:t>
            </w:r>
            <w:r>
              <w:rPr>
                <w:color w:val="231F20"/>
                <w:spacing w:val="-10"/>
                <w:sz w:val="15"/>
              </w:rPr>
              <w:t> </w:t>
            </w:r>
            <w:r>
              <w:rPr>
                <w:color w:val="231F20"/>
                <w:spacing w:val="-2"/>
                <w:sz w:val="15"/>
              </w:rPr>
              <w:t>muscle-</w:t>
            </w:r>
            <w:r>
              <w:rPr>
                <w:color w:val="231F20"/>
                <w:spacing w:val="-2"/>
                <w:sz w:val="15"/>
              </w:rPr>
              <w:t>eye- </w:t>
            </w:r>
            <w:r>
              <w:rPr>
                <w:color w:val="231F20"/>
                <w:sz w:val="15"/>
              </w:rPr>
              <w:t>brain disease, congenital muscular</w:t>
            </w:r>
          </w:p>
          <w:p>
            <w:pPr>
              <w:pStyle w:val="TableParagraph"/>
              <w:spacing w:line="170" w:lineRule="exact"/>
              <w:ind w:left="186"/>
              <w:rPr>
                <w:sz w:val="15"/>
              </w:rPr>
            </w:pPr>
            <w:r>
              <w:rPr>
                <w:color w:val="231F20"/>
                <w:sz w:val="15"/>
              </w:rPr>
              <w:t>dystrophy</w:t>
            </w:r>
            <w:r>
              <w:rPr>
                <w:color w:val="231F20"/>
                <w:spacing w:val="-4"/>
                <w:sz w:val="15"/>
              </w:rPr>
              <w:t> </w:t>
            </w:r>
            <w:r>
              <w:rPr>
                <w:color w:val="231F20"/>
                <w:sz w:val="15"/>
              </w:rPr>
              <w:t>type</w:t>
            </w:r>
            <w:r>
              <w:rPr>
                <w:color w:val="231F20"/>
                <w:spacing w:val="-4"/>
                <w:sz w:val="15"/>
              </w:rPr>
              <w:t> </w:t>
            </w:r>
            <w:r>
              <w:rPr>
                <w:color w:val="231F20"/>
                <w:sz w:val="15"/>
              </w:rPr>
              <w:t>1C,</w:t>
            </w:r>
            <w:r>
              <w:rPr>
                <w:color w:val="231F20"/>
                <w:spacing w:val="-4"/>
                <w:sz w:val="15"/>
              </w:rPr>
              <w:t> </w:t>
            </w:r>
            <w:r>
              <w:rPr>
                <w:color w:val="231F20"/>
                <w:spacing w:val="-2"/>
                <w:sz w:val="15"/>
              </w:rPr>
              <w:t>etc.)</w:t>
            </w:r>
          </w:p>
          <w:p>
            <w:pPr>
              <w:pStyle w:val="TableParagraph"/>
              <w:tabs>
                <w:tab w:pos="2022" w:val="left" w:leader="none"/>
                <w:tab w:pos="3891" w:val="left" w:leader="none"/>
              </w:tabs>
              <w:spacing w:line="171" w:lineRule="exact"/>
              <w:ind w:left="74"/>
              <w:rPr>
                <w:rFonts w:ascii="Cambria"/>
                <w:sz w:val="15"/>
              </w:rPr>
            </w:pPr>
            <w:r>
              <w:rPr>
                <w:color w:val="231F20"/>
                <w:sz w:val="15"/>
              </w:rPr>
              <w:t>Congenital</w:t>
            </w:r>
            <w:r>
              <w:rPr>
                <w:color w:val="231F20"/>
                <w:spacing w:val="15"/>
                <w:sz w:val="15"/>
              </w:rPr>
              <w:t> </w:t>
            </w:r>
            <w:r>
              <w:rPr>
                <w:color w:val="231F20"/>
                <w:spacing w:val="-2"/>
                <w:sz w:val="15"/>
              </w:rPr>
              <w:t>muscular</w:t>
            </w:r>
            <w:r>
              <w:rPr>
                <w:color w:val="231F20"/>
                <w:sz w:val="15"/>
              </w:rPr>
              <w:tab/>
              <w:t>Ambulation</w:t>
            </w:r>
            <w:r>
              <w:rPr>
                <w:color w:val="231F20"/>
                <w:spacing w:val="8"/>
                <w:sz w:val="15"/>
              </w:rPr>
              <w:t> </w:t>
            </w:r>
            <w:r>
              <w:rPr>
                <w:color w:val="231F20"/>
                <w:spacing w:val="-2"/>
                <w:sz w:val="15"/>
              </w:rPr>
              <w:t>achieved</w:t>
            </w:r>
            <w:r>
              <w:rPr>
                <w:color w:val="231F20"/>
                <w:sz w:val="15"/>
              </w:rPr>
              <w:tab/>
              <w:t>Axial</w:t>
            </w:r>
            <w:r>
              <w:rPr>
                <w:color w:val="231F20"/>
                <w:spacing w:val="-5"/>
                <w:sz w:val="15"/>
              </w:rPr>
              <w:t> </w:t>
            </w:r>
            <w:r>
              <w:rPr>
                <w:color w:val="231F20"/>
                <w:sz w:val="15"/>
              </w:rPr>
              <w:t>muscles</w:t>
            </w:r>
            <w:r>
              <w:rPr>
                <w:color w:val="231F20"/>
                <w:spacing w:val="-5"/>
                <w:sz w:val="15"/>
              </w:rPr>
              <w:t> </w:t>
            </w:r>
            <w:r>
              <w:rPr>
                <w:rFonts w:ascii="Cambria"/>
                <w:color w:val="231F20"/>
                <w:spacing w:val="-10"/>
                <w:sz w:val="15"/>
              </w:rPr>
              <w:t>&gt;</w:t>
            </w:r>
          </w:p>
          <w:p>
            <w:pPr>
              <w:pStyle w:val="TableParagraph"/>
              <w:tabs>
                <w:tab w:pos="4003" w:val="left" w:leader="none"/>
              </w:tabs>
              <w:spacing w:line="167" w:lineRule="exact"/>
              <w:ind w:left="186"/>
              <w:rPr>
                <w:sz w:val="15"/>
              </w:rPr>
            </w:pPr>
            <w:r>
              <w:rPr>
                <w:color w:val="231F20"/>
                <w:spacing w:val="-2"/>
                <w:sz w:val="15"/>
              </w:rPr>
              <w:t>dystrophy with</w:t>
            </w:r>
            <w:r>
              <w:rPr>
                <w:color w:val="231F20"/>
                <w:spacing w:val="-1"/>
                <w:sz w:val="15"/>
              </w:rPr>
              <w:t> </w:t>
            </w:r>
            <w:r>
              <w:rPr>
                <w:color w:val="231F20"/>
                <w:spacing w:val="-4"/>
                <w:sz w:val="15"/>
              </w:rPr>
              <w:t>rigid</w:t>
            </w:r>
            <w:r>
              <w:rPr>
                <w:color w:val="231F20"/>
                <w:sz w:val="15"/>
              </w:rPr>
              <w:tab/>
            </w:r>
            <w:r>
              <w:rPr>
                <w:color w:val="231F20"/>
                <w:spacing w:val="-2"/>
                <w:sz w:val="15"/>
              </w:rPr>
              <w:t>limbs</w:t>
            </w:r>
          </w:p>
          <w:p>
            <w:pPr>
              <w:pStyle w:val="TableParagraph"/>
              <w:spacing w:line="230" w:lineRule="auto" w:before="1"/>
              <w:ind w:left="186" w:right="3449"/>
              <w:rPr>
                <w:sz w:val="15"/>
              </w:rPr>
            </w:pPr>
            <w:r>
              <w:rPr>
                <w:color w:val="231F20"/>
                <w:sz w:val="15"/>
              </w:rPr>
              <w:t>spine</w:t>
            </w:r>
            <w:r>
              <w:rPr>
                <w:color w:val="231F20"/>
                <w:spacing w:val="-9"/>
                <w:sz w:val="15"/>
              </w:rPr>
              <w:t> </w:t>
            </w:r>
            <w:r>
              <w:rPr>
                <w:color w:val="231F20"/>
                <w:sz w:val="15"/>
              </w:rPr>
              <w:t>syndrome</w:t>
            </w:r>
            <w:r>
              <w:rPr>
                <w:color w:val="231F20"/>
                <w:spacing w:val="-9"/>
                <w:sz w:val="15"/>
              </w:rPr>
              <w:t> </w:t>
            </w:r>
            <w:r>
              <w:rPr>
                <w:color w:val="231F20"/>
                <w:sz w:val="15"/>
              </w:rPr>
              <w:t>type</w:t>
            </w:r>
            <w:r>
              <w:rPr>
                <w:color w:val="231F20"/>
                <w:spacing w:val="-9"/>
                <w:sz w:val="15"/>
              </w:rPr>
              <w:t> </w:t>
            </w:r>
            <w:r>
              <w:rPr>
                <w:color w:val="231F20"/>
                <w:sz w:val="15"/>
              </w:rPr>
              <w:t>1 </w:t>
            </w:r>
            <w:r>
              <w:rPr>
                <w:color w:val="231F20"/>
                <w:spacing w:val="-2"/>
                <w:sz w:val="15"/>
              </w:rPr>
              <w:t>(SEPN1)</w:t>
            </w:r>
          </w:p>
          <w:p>
            <w:pPr>
              <w:pStyle w:val="TableParagraph"/>
              <w:tabs>
                <w:tab w:pos="2022" w:val="left" w:leader="none"/>
                <w:tab w:pos="3891" w:val="left" w:leader="none"/>
              </w:tabs>
              <w:spacing w:line="168" w:lineRule="exact"/>
              <w:ind w:left="74"/>
              <w:rPr>
                <w:sz w:val="15"/>
              </w:rPr>
            </w:pPr>
            <w:r>
              <w:rPr>
                <w:color w:val="231F20"/>
                <w:spacing w:val="-4"/>
                <w:sz w:val="15"/>
              </w:rPr>
              <w:t>Ullrich</w:t>
            </w:r>
            <w:r>
              <w:rPr>
                <w:color w:val="231F20"/>
                <w:spacing w:val="-3"/>
                <w:sz w:val="15"/>
              </w:rPr>
              <w:t> </w:t>
            </w:r>
            <w:r>
              <w:rPr>
                <w:color w:val="231F20"/>
                <w:spacing w:val="-2"/>
                <w:sz w:val="15"/>
              </w:rPr>
              <w:t>syndrome</w:t>
            </w:r>
            <w:r>
              <w:rPr>
                <w:color w:val="231F20"/>
                <w:sz w:val="15"/>
              </w:rPr>
              <w:tab/>
              <w:t>Ambulation</w:t>
            </w:r>
            <w:r>
              <w:rPr>
                <w:color w:val="231F20"/>
                <w:spacing w:val="1"/>
                <w:sz w:val="15"/>
              </w:rPr>
              <w:t> </w:t>
            </w:r>
            <w:r>
              <w:rPr>
                <w:color w:val="231F20"/>
                <w:sz w:val="15"/>
              </w:rPr>
              <w:t>achieved</w:t>
            </w:r>
            <w:r>
              <w:rPr>
                <w:color w:val="231F20"/>
                <w:spacing w:val="2"/>
                <w:sz w:val="15"/>
              </w:rPr>
              <w:t> </w:t>
            </w:r>
            <w:r>
              <w:rPr>
                <w:color w:val="231F20"/>
                <w:spacing w:val="-5"/>
                <w:sz w:val="15"/>
              </w:rPr>
              <w:t>in</w:t>
            </w:r>
            <w:r>
              <w:rPr>
                <w:color w:val="231F20"/>
                <w:sz w:val="15"/>
              </w:rPr>
              <w:tab/>
            </w:r>
            <w:r>
              <w:rPr>
                <w:color w:val="231F20"/>
                <w:spacing w:val="-2"/>
                <w:sz w:val="15"/>
              </w:rPr>
              <w:t>Proximal</w:t>
            </w:r>
            <w:r>
              <w:rPr>
                <w:color w:val="231F20"/>
                <w:spacing w:val="-1"/>
                <w:sz w:val="15"/>
              </w:rPr>
              <w:t> </w:t>
            </w:r>
            <w:r>
              <w:rPr>
                <w:color w:val="231F20"/>
                <w:spacing w:val="-5"/>
                <w:sz w:val="15"/>
              </w:rPr>
              <w:t>and</w:t>
            </w:r>
          </w:p>
          <w:p>
            <w:pPr>
              <w:pStyle w:val="TableParagraph"/>
              <w:tabs>
                <w:tab w:pos="4003" w:val="left" w:leader="none"/>
              </w:tabs>
              <w:spacing w:line="230" w:lineRule="auto" w:before="3"/>
              <w:ind w:left="2134" w:right="872"/>
              <w:rPr>
                <w:sz w:val="15"/>
              </w:rPr>
            </w:pPr>
            <w:r>
              <w:rPr>
                <w:color w:val="231F20"/>
                <w:sz w:val="15"/>
              </w:rPr>
              <w:t>~50% but lost by</w:t>
              <w:tab/>
            </w:r>
            <w:r>
              <w:rPr>
                <w:color w:val="231F20"/>
                <w:spacing w:val="-6"/>
                <w:sz w:val="15"/>
              </w:rPr>
              <w:t>axial</w:t>
            </w:r>
            <w:r>
              <w:rPr>
                <w:color w:val="231F20"/>
                <w:sz w:val="15"/>
              </w:rPr>
              <w:t> middle teens</w:t>
            </w:r>
          </w:p>
        </w:tc>
        <w:tc>
          <w:tcPr>
            <w:tcW w:w="597"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ind w:left="1" w:right="53"/>
              <w:jc w:val="center"/>
              <w:rPr>
                <w:sz w:val="15"/>
              </w:rPr>
            </w:pPr>
            <w:r>
              <w:rPr>
                <w:color w:val="231F20"/>
                <w:spacing w:val="-10"/>
                <w:w w:val="135"/>
                <w:sz w:val="15"/>
              </w:rPr>
              <w:t>–</w:t>
            </w:r>
          </w:p>
          <w:p>
            <w:pPr>
              <w:pStyle w:val="TableParagraph"/>
              <w:rPr>
                <w:i/>
                <w:sz w:val="15"/>
              </w:rPr>
            </w:pPr>
          </w:p>
          <w:p>
            <w:pPr>
              <w:pStyle w:val="TableParagraph"/>
              <w:spacing w:before="151"/>
              <w:rPr>
                <w:i/>
                <w:sz w:val="15"/>
              </w:rPr>
            </w:pPr>
          </w:p>
          <w:p>
            <w:pPr>
              <w:pStyle w:val="TableParagraph"/>
              <w:ind w:left="1" w:right="53"/>
              <w:jc w:val="center"/>
              <w:rPr>
                <w:sz w:val="15"/>
              </w:rPr>
            </w:pPr>
            <w:r>
              <w:rPr>
                <w:color w:val="231F20"/>
                <w:spacing w:val="-10"/>
                <w:w w:val="135"/>
                <w:sz w:val="15"/>
              </w:rPr>
              <w:t>–</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20"/>
              <w:rPr>
                <w:i/>
                <w:sz w:val="15"/>
              </w:rPr>
            </w:pPr>
          </w:p>
          <w:p>
            <w:pPr>
              <w:pStyle w:val="TableParagraph"/>
              <w:ind w:left="1" w:right="53"/>
              <w:jc w:val="center"/>
              <w:rPr>
                <w:rFonts w:ascii="Cambria"/>
                <w:sz w:val="15"/>
              </w:rPr>
            </w:pPr>
            <w:r>
              <w:rPr>
                <w:rFonts w:ascii="Cambria"/>
                <w:color w:val="231F20"/>
                <w:spacing w:val="-5"/>
                <w:sz w:val="15"/>
              </w:rPr>
              <w:t>++</w:t>
            </w:r>
          </w:p>
          <w:p>
            <w:pPr>
              <w:pStyle w:val="TableParagraph"/>
              <w:rPr>
                <w:i/>
                <w:sz w:val="15"/>
              </w:rPr>
            </w:pPr>
          </w:p>
          <w:p>
            <w:pPr>
              <w:pStyle w:val="TableParagraph"/>
              <w:spacing w:before="149"/>
              <w:rPr>
                <w:i/>
                <w:sz w:val="15"/>
              </w:rPr>
            </w:pPr>
          </w:p>
          <w:p>
            <w:pPr>
              <w:pStyle w:val="TableParagraph"/>
              <w:ind w:left="1" w:right="53"/>
              <w:jc w:val="center"/>
              <w:rPr>
                <w:rFonts w:ascii="Cambria"/>
                <w:sz w:val="15"/>
              </w:rPr>
            </w:pPr>
            <w:r>
              <w:rPr>
                <w:rFonts w:ascii="Cambria"/>
                <w:color w:val="231F20"/>
                <w:spacing w:val="-5"/>
                <w:sz w:val="15"/>
              </w:rPr>
              <w:t>++</w:t>
            </w:r>
          </w:p>
        </w:tc>
        <w:tc>
          <w:tcPr>
            <w:tcW w:w="1666"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ind w:left="107"/>
              <w:rPr>
                <w:sz w:val="15"/>
              </w:rPr>
            </w:pPr>
            <w:r>
              <w:rPr>
                <w:color w:val="231F20"/>
                <w:sz w:val="15"/>
              </w:rPr>
              <w:t>Not</w:t>
            </w:r>
            <w:r>
              <w:rPr>
                <w:color w:val="231F20"/>
                <w:spacing w:val="17"/>
                <w:sz w:val="15"/>
              </w:rPr>
              <w:t> </w:t>
            </w:r>
            <w:r>
              <w:rPr>
                <w:color w:val="231F20"/>
                <w:spacing w:val="-2"/>
                <w:sz w:val="15"/>
              </w:rPr>
              <w:t>frequent</w:t>
            </w:r>
          </w:p>
          <w:p>
            <w:pPr>
              <w:pStyle w:val="TableParagraph"/>
              <w:rPr>
                <w:i/>
                <w:sz w:val="15"/>
              </w:rPr>
            </w:pPr>
          </w:p>
          <w:p>
            <w:pPr>
              <w:pStyle w:val="TableParagraph"/>
              <w:spacing w:before="151"/>
              <w:rPr>
                <w:i/>
                <w:sz w:val="15"/>
              </w:rPr>
            </w:pPr>
          </w:p>
          <w:p>
            <w:pPr>
              <w:pStyle w:val="TableParagraph"/>
              <w:ind w:left="106"/>
              <w:rPr>
                <w:sz w:val="15"/>
              </w:rPr>
            </w:pPr>
            <w:r>
              <w:rPr>
                <w:color w:val="231F20"/>
                <w:sz w:val="15"/>
              </w:rPr>
              <w:t>Not</w:t>
            </w:r>
            <w:r>
              <w:rPr>
                <w:color w:val="231F20"/>
                <w:spacing w:val="17"/>
                <w:sz w:val="15"/>
              </w:rPr>
              <w:t> </w:t>
            </w:r>
            <w:r>
              <w:rPr>
                <w:color w:val="231F20"/>
                <w:spacing w:val="-2"/>
                <w:sz w:val="15"/>
              </w:rPr>
              <w:t>frequent</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19"/>
              <w:rPr>
                <w:i/>
                <w:sz w:val="15"/>
              </w:rPr>
            </w:pPr>
          </w:p>
          <w:p>
            <w:pPr>
              <w:pStyle w:val="TableParagraph"/>
              <w:ind w:left="1"/>
              <w:jc w:val="center"/>
              <w:rPr>
                <w:sz w:val="15"/>
              </w:rPr>
            </w:pPr>
            <w:r>
              <w:rPr>
                <w:color w:val="231F20"/>
                <w:spacing w:val="-10"/>
                <w:w w:val="135"/>
                <w:sz w:val="15"/>
              </w:rPr>
              <w:t>–</w:t>
            </w:r>
          </w:p>
          <w:p>
            <w:pPr>
              <w:pStyle w:val="TableParagraph"/>
              <w:rPr>
                <w:i/>
                <w:sz w:val="15"/>
              </w:rPr>
            </w:pPr>
          </w:p>
          <w:p>
            <w:pPr>
              <w:pStyle w:val="TableParagraph"/>
              <w:spacing w:before="151"/>
              <w:rPr>
                <w:i/>
                <w:sz w:val="15"/>
              </w:rPr>
            </w:pPr>
          </w:p>
          <w:p>
            <w:pPr>
              <w:pStyle w:val="TableParagraph"/>
              <w:ind w:left="1" w:right="1"/>
              <w:jc w:val="center"/>
              <w:rPr>
                <w:sz w:val="15"/>
              </w:rPr>
            </w:pPr>
            <w:r>
              <w:rPr>
                <w:color w:val="231F20"/>
                <w:spacing w:val="-10"/>
                <w:w w:val="135"/>
                <w:sz w:val="15"/>
              </w:rPr>
              <w:t>–</w:t>
            </w:r>
          </w:p>
        </w:tc>
        <w:tc>
          <w:tcPr>
            <w:tcW w:w="1295"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spacing w:before="1"/>
              <w:ind w:left="9"/>
              <w:jc w:val="center"/>
              <w:rPr>
                <w:rFonts w:ascii="Cambria"/>
                <w:sz w:val="15"/>
              </w:rPr>
            </w:pPr>
            <w:r>
              <w:rPr>
                <w:rFonts w:ascii="Cambria"/>
                <w:color w:val="231F20"/>
                <w:spacing w:val="-5"/>
                <w:sz w:val="15"/>
              </w:rPr>
              <w:t>++</w:t>
            </w:r>
          </w:p>
          <w:p>
            <w:pPr>
              <w:pStyle w:val="TableParagraph"/>
              <w:rPr>
                <w:i/>
                <w:sz w:val="15"/>
              </w:rPr>
            </w:pPr>
          </w:p>
          <w:p>
            <w:pPr>
              <w:pStyle w:val="TableParagraph"/>
              <w:spacing w:before="149"/>
              <w:rPr>
                <w:i/>
                <w:sz w:val="15"/>
              </w:rPr>
            </w:pPr>
          </w:p>
          <w:p>
            <w:pPr>
              <w:pStyle w:val="TableParagraph"/>
              <w:ind w:left="9"/>
              <w:jc w:val="center"/>
              <w:rPr>
                <w:rFonts w:ascii="Cambria"/>
                <w:sz w:val="15"/>
              </w:rPr>
            </w:pPr>
            <w:r>
              <w:rPr>
                <w:rFonts w:ascii="Cambria"/>
                <w:color w:val="231F20"/>
                <w:spacing w:val="-10"/>
                <w:sz w:val="15"/>
              </w:rPr>
              <w:t>+</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23"/>
              <w:rPr>
                <w:i/>
                <w:sz w:val="15"/>
              </w:rPr>
            </w:pPr>
          </w:p>
          <w:p>
            <w:pPr>
              <w:pStyle w:val="TableParagraph"/>
              <w:spacing w:line="230" w:lineRule="auto"/>
              <w:ind w:left="219" w:right="61" w:hanging="112"/>
              <w:rPr>
                <w:sz w:val="15"/>
              </w:rPr>
            </w:pPr>
            <w:r>
              <w:rPr>
                <w:color w:val="231F20"/>
                <w:spacing w:val="-4"/>
                <w:sz w:val="15"/>
              </w:rPr>
              <w:t>Early</w:t>
            </w:r>
            <w:r>
              <w:rPr>
                <w:color w:val="231F20"/>
                <w:spacing w:val="-8"/>
                <w:sz w:val="15"/>
              </w:rPr>
              <w:t> </w:t>
            </w:r>
            <w:r>
              <w:rPr>
                <w:color w:val="231F20"/>
                <w:spacing w:val="-4"/>
                <w:sz w:val="15"/>
              </w:rPr>
              <w:t>respiratory </w:t>
            </w:r>
            <w:r>
              <w:rPr>
                <w:color w:val="231F20"/>
                <w:spacing w:val="-2"/>
                <w:sz w:val="15"/>
              </w:rPr>
              <w:t>failure</w:t>
            </w:r>
          </w:p>
          <w:p>
            <w:pPr>
              <w:pStyle w:val="TableParagraph"/>
              <w:spacing w:before="164"/>
              <w:rPr>
                <w:i/>
                <w:sz w:val="15"/>
              </w:rPr>
            </w:pPr>
          </w:p>
          <w:p>
            <w:pPr>
              <w:pStyle w:val="TableParagraph"/>
              <w:spacing w:line="230" w:lineRule="auto"/>
              <w:ind w:left="219" w:right="61" w:hanging="112"/>
              <w:rPr>
                <w:sz w:val="15"/>
              </w:rPr>
            </w:pPr>
            <w:r>
              <w:rPr>
                <w:color w:val="231F20"/>
                <w:spacing w:val="-4"/>
                <w:sz w:val="15"/>
              </w:rPr>
              <w:t>Early</w:t>
            </w:r>
            <w:r>
              <w:rPr>
                <w:color w:val="231F20"/>
                <w:spacing w:val="-8"/>
                <w:sz w:val="15"/>
              </w:rPr>
              <w:t> </w:t>
            </w:r>
            <w:r>
              <w:rPr>
                <w:color w:val="231F20"/>
                <w:spacing w:val="-4"/>
                <w:sz w:val="15"/>
              </w:rPr>
              <w:t>respiratory </w:t>
            </w:r>
            <w:r>
              <w:rPr>
                <w:color w:val="231F20"/>
                <w:spacing w:val="-2"/>
                <w:sz w:val="15"/>
              </w:rPr>
              <w:t>failure</w:t>
            </w:r>
          </w:p>
        </w:tc>
        <w:tc>
          <w:tcPr>
            <w:tcW w:w="1473"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ind w:left="114"/>
              <w:rPr>
                <w:sz w:val="15"/>
              </w:rPr>
            </w:pPr>
            <w:r>
              <w:rPr>
                <w:color w:val="231F20"/>
                <w:spacing w:val="-2"/>
                <w:sz w:val="15"/>
              </w:rPr>
              <w:t>Slowly</w:t>
            </w:r>
            <w:r>
              <w:rPr>
                <w:color w:val="231F20"/>
                <w:sz w:val="15"/>
              </w:rPr>
              <w:t> </w:t>
            </w:r>
            <w:r>
              <w:rPr>
                <w:color w:val="231F20"/>
                <w:spacing w:val="-2"/>
                <w:sz w:val="15"/>
              </w:rPr>
              <w:t>progressive</w:t>
            </w:r>
          </w:p>
          <w:p>
            <w:pPr>
              <w:pStyle w:val="TableParagraph"/>
              <w:rPr>
                <w:i/>
                <w:sz w:val="15"/>
              </w:rPr>
            </w:pPr>
          </w:p>
          <w:p>
            <w:pPr>
              <w:pStyle w:val="TableParagraph"/>
              <w:spacing w:before="151"/>
              <w:rPr>
                <w:i/>
                <w:sz w:val="15"/>
              </w:rPr>
            </w:pPr>
          </w:p>
          <w:p>
            <w:pPr>
              <w:pStyle w:val="TableParagraph"/>
              <w:ind w:left="114"/>
              <w:rPr>
                <w:sz w:val="15"/>
              </w:rPr>
            </w:pPr>
            <w:r>
              <w:rPr>
                <w:color w:val="231F20"/>
                <w:spacing w:val="-2"/>
                <w:sz w:val="15"/>
              </w:rPr>
              <w:t>Slowly</w:t>
            </w:r>
            <w:r>
              <w:rPr>
                <w:color w:val="231F20"/>
                <w:sz w:val="15"/>
              </w:rPr>
              <w:t> </w:t>
            </w:r>
            <w:r>
              <w:rPr>
                <w:color w:val="231F20"/>
                <w:spacing w:val="-2"/>
                <w:sz w:val="15"/>
              </w:rPr>
              <w:t>progressive</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25"/>
              <w:rPr>
                <w:i/>
                <w:sz w:val="15"/>
              </w:rPr>
            </w:pPr>
          </w:p>
          <w:p>
            <w:pPr>
              <w:pStyle w:val="TableParagraph"/>
              <w:spacing w:line="230" w:lineRule="auto"/>
              <w:ind w:left="226" w:hanging="112"/>
              <w:rPr>
                <w:sz w:val="15"/>
              </w:rPr>
            </w:pPr>
            <w:r>
              <w:rPr>
                <w:color w:val="231F20"/>
                <w:sz w:val="15"/>
              </w:rPr>
              <w:t>Progression of </w:t>
            </w:r>
            <w:r>
              <w:rPr>
                <w:color w:val="231F20"/>
                <w:spacing w:val="-2"/>
                <w:sz w:val="15"/>
              </w:rPr>
              <w:t>respiratory</w:t>
            </w:r>
            <w:r>
              <w:rPr>
                <w:color w:val="231F20"/>
                <w:spacing w:val="-10"/>
                <w:sz w:val="15"/>
              </w:rPr>
              <w:t> </w:t>
            </w:r>
            <w:r>
              <w:rPr>
                <w:color w:val="231F20"/>
                <w:spacing w:val="-2"/>
                <w:sz w:val="15"/>
              </w:rPr>
              <w:t>signs</w:t>
            </w:r>
          </w:p>
          <w:p>
            <w:pPr>
              <w:pStyle w:val="TableParagraph"/>
              <w:spacing w:line="170" w:lineRule="exact"/>
              <w:ind w:left="226"/>
              <w:rPr>
                <w:sz w:val="15"/>
              </w:rPr>
            </w:pPr>
            <w:r>
              <w:rPr>
                <w:rFonts w:ascii="Cambria"/>
                <w:color w:val="231F20"/>
                <w:sz w:val="15"/>
              </w:rPr>
              <w:t>&gt;</w:t>
            </w:r>
            <w:r>
              <w:rPr>
                <w:rFonts w:ascii="Cambria"/>
                <w:color w:val="231F20"/>
                <w:spacing w:val="12"/>
                <w:sz w:val="15"/>
              </w:rPr>
              <w:t> </w:t>
            </w:r>
            <w:r>
              <w:rPr>
                <w:color w:val="231F20"/>
                <w:sz w:val="15"/>
              </w:rPr>
              <w:t>motor </w:t>
            </w:r>
            <w:r>
              <w:rPr>
                <w:color w:val="231F20"/>
                <w:spacing w:val="-2"/>
                <w:sz w:val="15"/>
              </w:rPr>
              <w:t>signs</w:t>
            </w:r>
          </w:p>
          <w:p>
            <w:pPr>
              <w:pStyle w:val="TableParagraph"/>
              <w:spacing w:line="230" w:lineRule="auto" w:before="169"/>
              <w:ind w:left="226" w:hanging="112"/>
              <w:rPr>
                <w:sz w:val="15"/>
              </w:rPr>
            </w:pPr>
            <w:r>
              <w:rPr>
                <w:color w:val="231F20"/>
                <w:sz w:val="15"/>
              </w:rPr>
              <w:t>Progression of </w:t>
            </w:r>
            <w:r>
              <w:rPr>
                <w:color w:val="231F20"/>
                <w:spacing w:val="-2"/>
                <w:sz w:val="15"/>
              </w:rPr>
              <w:t>respiratory</w:t>
            </w:r>
            <w:r>
              <w:rPr>
                <w:color w:val="231F20"/>
                <w:spacing w:val="-10"/>
                <w:sz w:val="15"/>
              </w:rPr>
              <w:t> </w:t>
            </w:r>
            <w:r>
              <w:rPr>
                <w:color w:val="231F20"/>
                <w:spacing w:val="-2"/>
                <w:sz w:val="15"/>
              </w:rPr>
              <w:t>and </w:t>
            </w:r>
            <w:r>
              <w:rPr>
                <w:color w:val="231F20"/>
                <w:sz w:val="15"/>
              </w:rPr>
              <w:t>motor signs</w:t>
            </w:r>
          </w:p>
        </w:tc>
        <w:tc>
          <w:tcPr>
            <w:tcW w:w="1095" w:type="dxa"/>
            <w:tcBorders>
              <w:top w:val="single" w:sz="4" w:space="0" w:color="231F20"/>
              <w:bottom w:val="single" w:sz="4" w:space="0" w:color="FFFFFF"/>
            </w:tcBorders>
            <w:shd w:val="clear" w:color="auto" w:fill="E8F5F1"/>
          </w:tcPr>
          <w:p>
            <w:pPr>
              <w:pStyle w:val="TableParagraph"/>
              <w:spacing w:before="38"/>
              <w:rPr>
                <w:i/>
                <w:sz w:val="15"/>
              </w:rPr>
            </w:pPr>
          </w:p>
          <w:p>
            <w:pPr>
              <w:pStyle w:val="TableParagraph"/>
              <w:spacing w:before="1"/>
              <w:ind w:left="20" w:right="1"/>
              <w:jc w:val="center"/>
              <w:rPr>
                <w:rFonts w:ascii="Cambria"/>
                <w:sz w:val="15"/>
              </w:rPr>
            </w:pPr>
            <w:r>
              <w:rPr>
                <w:rFonts w:ascii="Cambria"/>
                <w:color w:val="231F20"/>
                <w:spacing w:val="-5"/>
                <w:sz w:val="15"/>
              </w:rPr>
              <w:t>++</w:t>
            </w:r>
          </w:p>
          <w:p>
            <w:pPr>
              <w:pStyle w:val="TableParagraph"/>
              <w:rPr>
                <w:i/>
                <w:sz w:val="15"/>
              </w:rPr>
            </w:pPr>
          </w:p>
          <w:p>
            <w:pPr>
              <w:pStyle w:val="TableParagraph"/>
              <w:spacing w:before="149"/>
              <w:rPr>
                <w:i/>
                <w:sz w:val="15"/>
              </w:rPr>
            </w:pPr>
          </w:p>
          <w:p>
            <w:pPr>
              <w:pStyle w:val="TableParagraph"/>
              <w:ind w:left="20" w:right="1"/>
              <w:jc w:val="center"/>
              <w:rPr>
                <w:rFonts w:ascii="Cambria"/>
                <w:sz w:val="15"/>
              </w:rPr>
            </w:pPr>
            <w:r>
              <w:rPr>
                <w:rFonts w:ascii="Cambria"/>
                <w:color w:val="231F20"/>
                <w:spacing w:val="-5"/>
                <w:sz w:val="15"/>
              </w:rPr>
              <w:t>++</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17"/>
              <w:rPr>
                <w:i/>
                <w:sz w:val="15"/>
              </w:rPr>
            </w:pPr>
          </w:p>
          <w:p>
            <w:pPr>
              <w:pStyle w:val="TableParagraph"/>
              <w:spacing w:before="1"/>
              <w:ind w:left="125"/>
              <w:rPr>
                <w:rFonts w:ascii="Cambria"/>
                <w:sz w:val="15"/>
              </w:rPr>
            </w:pPr>
            <w:r>
              <w:rPr>
                <w:color w:val="231F20"/>
                <w:w w:val="105"/>
                <w:sz w:val="15"/>
              </w:rPr>
              <w:t>N</w:t>
            </w:r>
            <w:r>
              <w:rPr>
                <w:color w:val="231F20"/>
                <w:spacing w:val="2"/>
                <w:w w:val="105"/>
                <w:sz w:val="15"/>
              </w:rPr>
              <w:t> </w:t>
            </w:r>
            <w:r>
              <w:rPr>
                <w:color w:val="231F20"/>
                <w:w w:val="105"/>
                <w:sz w:val="15"/>
              </w:rPr>
              <w:t>or</w:t>
            </w:r>
            <w:r>
              <w:rPr>
                <w:color w:val="231F20"/>
                <w:spacing w:val="2"/>
                <w:w w:val="105"/>
                <w:sz w:val="15"/>
              </w:rPr>
              <w:t> </w:t>
            </w:r>
            <w:r>
              <w:rPr>
                <w:rFonts w:ascii="Cambria"/>
                <w:color w:val="231F20"/>
                <w:spacing w:val="-10"/>
                <w:w w:val="105"/>
                <w:sz w:val="15"/>
              </w:rPr>
              <w:t>+</w:t>
            </w:r>
          </w:p>
          <w:p>
            <w:pPr>
              <w:pStyle w:val="TableParagraph"/>
              <w:rPr>
                <w:i/>
                <w:sz w:val="15"/>
              </w:rPr>
            </w:pPr>
          </w:p>
          <w:p>
            <w:pPr>
              <w:pStyle w:val="TableParagraph"/>
              <w:spacing w:before="149"/>
              <w:rPr>
                <w:i/>
                <w:sz w:val="15"/>
              </w:rPr>
            </w:pPr>
          </w:p>
          <w:p>
            <w:pPr>
              <w:pStyle w:val="TableParagraph"/>
              <w:ind w:left="125"/>
              <w:rPr>
                <w:rFonts w:ascii="Cambria"/>
                <w:sz w:val="15"/>
              </w:rPr>
            </w:pPr>
            <w:r>
              <w:rPr>
                <w:color w:val="231F20"/>
                <w:w w:val="105"/>
                <w:sz w:val="15"/>
              </w:rPr>
              <w:t>N</w:t>
            </w:r>
            <w:r>
              <w:rPr>
                <w:color w:val="231F20"/>
                <w:spacing w:val="2"/>
                <w:w w:val="105"/>
                <w:sz w:val="15"/>
              </w:rPr>
              <w:t> </w:t>
            </w:r>
            <w:r>
              <w:rPr>
                <w:color w:val="231F20"/>
                <w:w w:val="105"/>
                <w:sz w:val="15"/>
              </w:rPr>
              <w:t>or</w:t>
            </w:r>
            <w:r>
              <w:rPr>
                <w:color w:val="231F20"/>
                <w:spacing w:val="2"/>
                <w:w w:val="105"/>
                <w:sz w:val="15"/>
              </w:rPr>
              <w:t> </w:t>
            </w:r>
            <w:r>
              <w:rPr>
                <w:rFonts w:ascii="Cambria"/>
                <w:color w:val="231F20"/>
                <w:spacing w:val="-10"/>
                <w:w w:val="105"/>
                <w:sz w:val="15"/>
              </w:rPr>
              <w:t>+</w:t>
            </w:r>
          </w:p>
        </w:tc>
        <w:tc>
          <w:tcPr>
            <w:tcW w:w="1518" w:type="dxa"/>
            <w:tcBorders>
              <w:top w:val="single" w:sz="4" w:space="0" w:color="231F20"/>
              <w:bottom w:val="single" w:sz="4" w:space="0" w:color="FFFFFF"/>
            </w:tcBorders>
            <w:shd w:val="clear" w:color="auto" w:fill="E8F5F1"/>
          </w:tcPr>
          <w:p>
            <w:pPr>
              <w:pStyle w:val="TableParagraph"/>
              <w:spacing w:before="44"/>
              <w:rPr>
                <w:i/>
                <w:sz w:val="15"/>
              </w:rPr>
            </w:pPr>
          </w:p>
          <w:p>
            <w:pPr>
              <w:pStyle w:val="TableParagraph"/>
              <w:spacing w:line="230" w:lineRule="auto"/>
              <w:ind w:left="218" w:right="138" w:hanging="112"/>
              <w:rPr>
                <w:sz w:val="15"/>
              </w:rPr>
            </w:pPr>
            <w:r>
              <w:rPr>
                <w:color w:val="231F20"/>
                <w:w w:val="105"/>
                <w:sz w:val="15"/>
              </w:rPr>
              <w:t>White matter </w:t>
            </w:r>
            <w:r>
              <w:rPr>
                <w:color w:val="231F20"/>
                <w:spacing w:val="-2"/>
                <w:w w:val="105"/>
                <w:sz w:val="15"/>
              </w:rPr>
              <w:t>changes</w:t>
            </w:r>
            <w:r>
              <w:rPr>
                <w:color w:val="231F20"/>
                <w:spacing w:val="-10"/>
                <w:w w:val="105"/>
                <w:sz w:val="15"/>
              </w:rPr>
              <w:t> </w:t>
            </w:r>
            <w:r>
              <w:rPr>
                <w:color w:val="231F20"/>
                <w:spacing w:val="-2"/>
                <w:w w:val="105"/>
                <w:sz w:val="15"/>
              </w:rPr>
              <w:t>on</w:t>
            </w:r>
            <w:r>
              <w:rPr>
                <w:color w:val="231F20"/>
                <w:spacing w:val="-10"/>
                <w:w w:val="105"/>
                <w:sz w:val="15"/>
              </w:rPr>
              <w:t> </w:t>
            </w:r>
            <w:r>
              <w:rPr>
                <w:color w:val="231F20"/>
                <w:spacing w:val="-2"/>
                <w:w w:val="105"/>
                <w:sz w:val="15"/>
              </w:rPr>
              <w:t>brain </w:t>
            </w:r>
            <w:r>
              <w:rPr>
                <w:color w:val="231F20"/>
                <w:spacing w:val="-4"/>
                <w:w w:val="105"/>
                <w:sz w:val="15"/>
              </w:rPr>
              <w:t>MRI</w:t>
            </w:r>
          </w:p>
          <w:p>
            <w:pPr>
              <w:pStyle w:val="TableParagraph"/>
              <w:spacing w:line="230" w:lineRule="auto" w:before="171"/>
              <w:ind w:left="218" w:hanging="112"/>
              <w:rPr>
                <w:sz w:val="15"/>
              </w:rPr>
            </w:pPr>
            <w:r>
              <w:rPr>
                <w:color w:val="231F20"/>
                <w:spacing w:val="-4"/>
                <w:sz w:val="15"/>
              </w:rPr>
              <w:t>Frequent</w:t>
            </w:r>
            <w:r>
              <w:rPr>
                <w:color w:val="231F20"/>
                <w:spacing w:val="-8"/>
                <w:sz w:val="15"/>
              </w:rPr>
              <w:t> </w:t>
            </w:r>
            <w:r>
              <w:rPr>
                <w:color w:val="231F20"/>
                <w:spacing w:val="-4"/>
                <w:sz w:val="15"/>
              </w:rPr>
              <w:t>structural </w:t>
            </w:r>
            <w:r>
              <w:rPr>
                <w:color w:val="231F20"/>
                <w:sz w:val="15"/>
              </w:rPr>
              <w:t>brain changes</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28"/>
              <w:rPr>
                <w:i/>
                <w:sz w:val="15"/>
              </w:rPr>
            </w:pPr>
          </w:p>
          <w:p>
            <w:pPr>
              <w:pStyle w:val="TableParagraph"/>
              <w:ind w:left="106"/>
              <w:rPr>
                <w:sz w:val="15"/>
              </w:rPr>
            </w:pPr>
            <w:r>
              <w:rPr>
                <w:color w:val="231F20"/>
                <w:spacing w:val="-2"/>
                <w:sz w:val="15"/>
              </w:rPr>
              <w:t>Scoliosis</w:t>
            </w:r>
          </w:p>
          <w:p>
            <w:pPr>
              <w:pStyle w:val="TableParagraph"/>
              <w:rPr>
                <w:i/>
                <w:sz w:val="15"/>
              </w:rPr>
            </w:pPr>
          </w:p>
          <w:p>
            <w:pPr>
              <w:pStyle w:val="TableParagraph"/>
              <w:spacing w:before="151"/>
              <w:rPr>
                <w:i/>
                <w:sz w:val="15"/>
              </w:rPr>
            </w:pPr>
          </w:p>
          <w:p>
            <w:pPr>
              <w:pStyle w:val="TableParagraph"/>
              <w:ind w:left="106"/>
              <w:rPr>
                <w:sz w:val="15"/>
              </w:rPr>
            </w:pPr>
            <w:r>
              <w:rPr>
                <w:color w:val="231F20"/>
                <w:sz w:val="15"/>
              </w:rPr>
              <w:t>Distal</w:t>
            </w:r>
            <w:r>
              <w:rPr>
                <w:color w:val="231F20"/>
                <w:spacing w:val="-7"/>
                <w:sz w:val="15"/>
              </w:rPr>
              <w:t> </w:t>
            </w:r>
            <w:r>
              <w:rPr>
                <w:color w:val="231F20"/>
                <w:spacing w:val="-2"/>
                <w:sz w:val="15"/>
              </w:rPr>
              <w:t>laxity</w:t>
            </w:r>
          </w:p>
        </w:tc>
      </w:tr>
      <w:tr>
        <w:trPr>
          <w:trHeight w:val="2941" w:hRule="atLeast"/>
        </w:trPr>
        <w:tc>
          <w:tcPr>
            <w:tcW w:w="5176" w:type="dxa"/>
            <w:tcBorders>
              <w:top w:val="single" w:sz="4" w:space="0" w:color="FFFFFF"/>
              <w:bottom w:val="single" w:sz="8" w:space="0" w:color="231F20"/>
            </w:tcBorders>
            <w:shd w:val="clear" w:color="auto" w:fill="E8F5F1"/>
          </w:tcPr>
          <w:p>
            <w:pPr>
              <w:pStyle w:val="TableParagraph"/>
              <w:spacing w:line="172" w:lineRule="exact" w:before="43"/>
              <w:ind w:left="73"/>
              <w:rPr>
                <w:sz w:val="15"/>
              </w:rPr>
            </w:pPr>
            <w:r>
              <w:rPr>
                <w:color w:val="231F20"/>
                <w:w w:val="110"/>
                <w:sz w:val="15"/>
              </w:rPr>
              <w:t>FROM</w:t>
            </w:r>
            <w:r>
              <w:rPr>
                <w:color w:val="231F20"/>
                <w:spacing w:val="17"/>
                <w:w w:val="110"/>
                <w:sz w:val="15"/>
              </w:rPr>
              <w:t> </w:t>
            </w:r>
            <w:r>
              <w:rPr>
                <w:color w:val="231F20"/>
                <w:w w:val="110"/>
                <w:sz w:val="15"/>
              </w:rPr>
              <w:t>EARLY-ONSET</w:t>
            </w:r>
            <w:r>
              <w:rPr>
                <w:color w:val="231F20"/>
                <w:spacing w:val="17"/>
                <w:w w:val="110"/>
                <w:sz w:val="15"/>
              </w:rPr>
              <w:t> </w:t>
            </w:r>
            <w:r>
              <w:rPr>
                <w:color w:val="231F20"/>
                <w:w w:val="110"/>
                <w:sz w:val="15"/>
              </w:rPr>
              <w:t>TO</w:t>
            </w:r>
            <w:r>
              <w:rPr>
                <w:color w:val="231F20"/>
                <w:spacing w:val="18"/>
                <w:w w:val="110"/>
                <w:sz w:val="15"/>
              </w:rPr>
              <w:t> </w:t>
            </w:r>
            <w:r>
              <w:rPr>
                <w:color w:val="231F20"/>
                <w:w w:val="110"/>
                <w:sz w:val="15"/>
              </w:rPr>
              <w:t>CHILDHOOD-ONSET</w:t>
            </w:r>
            <w:r>
              <w:rPr>
                <w:color w:val="231F20"/>
                <w:spacing w:val="17"/>
                <w:w w:val="110"/>
                <w:sz w:val="15"/>
              </w:rPr>
              <w:t> </w:t>
            </w:r>
            <w:r>
              <w:rPr>
                <w:color w:val="231F20"/>
                <w:w w:val="110"/>
                <w:sz w:val="15"/>
              </w:rPr>
              <w:t>MUSCULAR</w:t>
            </w:r>
            <w:r>
              <w:rPr>
                <w:color w:val="231F20"/>
                <w:spacing w:val="18"/>
                <w:w w:val="110"/>
                <w:sz w:val="15"/>
              </w:rPr>
              <w:t> </w:t>
            </w:r>
            <w:r>
              <w:rPr>
                <w:color w:val="231F20"/>
                <w:spacing w:val="-2"/>
                <w:w w:val="110"/>
                <w:sz w:val="15"/>
              </w:rPr>
              <w:t>DYSTROPHY</w:t>
            </w:r>
          </w:p>
          <w:p>
            <w:pPr>
              <w:pStyle w:val="TableParagraph"/>
              <w:tabs>
                <w:tab w:pos="2022" w:val="left" w:leader="none"/>
                <w:tab w:pos="2134" w:val="left" w:leader="none"/>
                <w:tab w:pos="3891" w:val="left" w:leader="none"/>
                <w:tab w:pos="4003" w:val="left" w:leader="none"/>
              </w:tabs>
              <w:spacing w:line="230" w:lineRule="auto" w:before="3"/>
              <w:ind w:left="185" w:right="181" w:hanging="112"/>
              <w:rPr>
                <w:sz w:val="15"/>
              </w:rPr>
            </w:pPr>
            <w:r>
              <w:rPr>
                <w:color w:val="231F20"/>
                <w:sz w:val="15"/>
              </w:rPr>
              <w:t>Duchenne muscular</w:t>
              <w:tab/>
              <w:t>Independent ambulation</w:t>
              <w:tab/>
            </w:r>
            <w:r>
              <w:rPr>
                <w:color w:val="231F20"/>
                <w:spacing w:val="-2"/>
                <w:sz w:val="15"/>
              </w:rPr>
              <w:t>Proximal</w:t>
            </w:r>
            <w:r>
              <w:rPr>
                <w:color w:val="231F20"/>
                <w:spacing w:val="-10"/>
                <w:sz w:val="15"/>
              </w:rPr>
              <w:t> </w:t>
            </w:r>
            <w:r>
              <w:rPr>
                <w:rFonts w:ascii="Cambria"/>
                <w:color w:val="231F20"/>
                <w:spacing w:val="-2"/>
                <w:sz w:val="15"/>
              </w:rPr>
              <w:t>&gt;</w:t>
            </w:r>
            <w:r>
              <w:rPr>
                <w:rFonts w:ascii="Cambria"/>
                <w:color w:val="231F20"/>
                <w:spacing w:val="-3"/>
                <w:sz w:val="15"/>
              </w:rPr>
              <w:t> </w:t>
            </w:r>
            <w:r>
              <w:rPr>
                <w:color w:val="231F20"/>
                <w:spacing w:val="-2"/>
                <w:sz w:val="15"/>
              </w:rPr>
              <w:t>distal dystrophy</w:t>
            </w:r>
            <w:r>
              <w:rPr>
                <w:color w:val="231F20"/>
                <w:sz w:val="15"/>
              </w:rPr>
              <w:tab/>
              <w:tab/>
              <w:t>achieved, but lost</w:t>
              <w:tab/>
              <w:tab/>
              <w:t>(pattern A)</w:t>
            </w:r>
          </w:p>
          <w:p>
            <w:pPr>
              <w:pStyle w:val="TableParagraph"/>
              <w:spacing w:line="168" w:lineRule="exact"/>
              <w:ind w:left="2134"/>
              <w:rPr>
                <w:sz w:val="15"/>
              </w:rPr>
            </w:pPr>
            <w:r>
              <w:rPr>
                <w:color w:val="231F20"/>
                <w:sz w:val="15"/>
              </w:rPr>
              <w:t>before</w:t>
            </w:r>
            <w:r>
              <w:rPr>
                <w:color w:val="231F20"/>
                <w:spacing w:val="1"/>
                <w:sz w:val="15"/>
              </w:rPr>
              <w:t> </w:t>
            </w:r>
            <w:r>
              <w:rPr>
                <w:color w:val="231F20"/>
                <w:sz w:val="15"/>
              </w:rPr>
              <w:t>age</w:t>
            </w:r>
            <w:r>
              <w:rPr>
                <w:color w:val="231F20"/>
                <w:spacing w:val="2"/>
                <w:sz w:val="15"/>
              </w:rPr>
              <w:t> </w:t>
            </w:r>
            <w:r>
              <w:rPr>
                <w:color w:val="231F20"/>
                <w:sz w:val="15"/>
              </w:rPr>
              <w:t>of</w:t>
            </w:r>
            <w:r>
              <w:rPr>
                <w:color w:val="231F20"/>
                <w:spacing w:val="1"/>
                <w:sz w:val="15"/>
              </w:rPr>
              <w:t> </w:t>
            </w:r>
            <w:r>
              <w:rPr>
                <w:color w:val="231F20"/>
                <w:sz w:val="15"/>
              </w:rPr>
              <w:t>13</w:t>
            </w:r>
            <w:r>
              <w:rPr>
                <w:color w:val="231F20"/>
                <w:spacing w:val="2"/>
                <w:sz w:val="15"/>
              </w:rPr>
              <w:t> </w:t>
            </w:r>
            <w:r>
              <w:rPr>
                <w:color w:val="231F20"/>
                <w:spacing w:val="-5"/>
                <w:sz w:val="15"/>
              </w:rPr>
              <w:t>yr</w:t>
            </w:r>
          </w:p>
          <w:p>
            <w:pPr>
              <w:pStyle w:val="TableParagraph"/>
              <w:tabs>
                <w:tab w:pos="2021" w:val="left" w:leader="none"/>
                <w:tab w:pos="2133" w:val="left" w:leader="none"/>
                <w:tab w:pos="3890" w:val="left" w:leader="none"/>
                <w:tab w:pos="4002" w:val="left" w:leader="none"/>
              </w:tabs>
              <w:spacing w:line="230" w:lineRule="auto" w:before="169"/>
              <w:ind w:left="185" w:right="163" w:hanging="112"/>
              <w:rPr>
                <w:sz w:val="15"/>
              </w:rPr>
            </w:pPr>
            <w:r>
              <w:rPr>
                <w:color w:val="231F20"/>
                <w:sz w:val="15"/>
              </w:rPr>
              <w:t>Emery-Dreifuss muscular</w:t>
              <w:tab/>
              <w:t>Ambulation achieved in</w:t>
              <w:tab/>
            </w:r>
            <w:r>
              <w:rPr>
                <w:color w:val="231F20"/>
                <w:spacing w:val="-2"/>
                <w:sz w:val="15"/>
              </w:rPr>
              <w:t>Scapuloperoneal </w:t>
            </w:r>
            <w:r>
              <w:rPr>
                <w:color w:val="231F20"/>
                <w:sz w:val="15"/>
              </w:rPr>
              <w:t>dystrophy with lamin</w:t>
              <w:tab/>
              <w:tab/>
              <w:t>all cases except for</w:t>
              <w:tab/>
              <w:tab/>
              <w:t>(pattern B)</w:t>
            </w:r>
          </w:p>
          <w:p>
            <w:pPr>
              <w:pStyle w:val="TableParagraph"/>
              <w:tabs>
                <w:tab w:pos="2133" w:val="left" w:leader="none"/>
              </w:tabs>
              <w:spacing w:line="167" w:lineRule="exact"/>
              <w:ind w:left="185"/>
              <w:rPr>
                <w:sz w:val="15"/>
              </w:rPr>
            </w:pPr>
            <w:r>
              <w:rPr>
                <w:color w:val="231F20"/>
                <w:sz w:val="15"/>
              </w:rPr>
              <w:t>AC</w:t>
            </w:r>
            <w:r>
              <w:rPr>
                <w:color w:val="231F20"/>
                <w:spacing w:val="-7"/>
                <w:sz w:val="15"/>
              </w:rPr>
              <w:t> </w:t>
            </w:r>
            <w:r>
              <w:rPr>
                <w:color w:val="231F20"/>
                <w:sz w:val="15"/>
              </w:rPr>
              <w:t>deficiency</w:t>
            </w:r>
            <w:r>
              <w:rPr>
                <w:color w:val="231F20"/>
                <w:spacing w:val="-7"/>
                <w:sz w:val="15"/>
              </w:rPr>
              <w:t> </w:t>
            </w:r>
            <w:r>
              <w:rPr>
                <w:color w:val="231F20"/>
                <w:sz w:val="15"/>
              </w:rPr>
              <w:t>(type</w:t>
            </w:r>
            <w:r>
              <w:rPr>
                <w:color w:val="231F20"/>
                <w:spacing w:val="-7"/>
                <w:sz w:val="15"/>
              </w:rPr>
              <w:t> </w:t>
            </w:r>
            <w:r>
              <w:rPr>
                <w:color w:val="231F20"/>
                <w:spacing w:val="-5"/>
                <w:sz w:val="15"/>
              </w:rPr>
              <w:t>2)</w:t>
            </w:r>
            <w:r>
              <w:rPr>
                <w:color w:val="231F20"/>
                <w:sz w:val="15"/>
              </w:rPr>
              <w:tab/>
              <w:t>rare</w:t>
            </w:r>
            <w:r>
              <w:rPr>
                <w:color w:val="231F20"/>
                <w:spacing w:val="-9"/>
                <w:sz w:val="15"/>
              </w:rPr>
              <w:t> </w:t>
            </w:r>
            <w:r>
              <w:rPr>
                <w:color w:val="231F20"/>
                <w:sz w:val="15"/>
              </w:rPr>
              <w:t>cases</w:t>
            </w:r>
            <w:r>
              <w:rPr>
                <w:color w:val="231F20"/>
                <w:spacing w:val="-9"/>
                <w:sz w:val="15"/>
              </w:rPr>
              <w:t> </w:t>
            </w:r>
            <w:r>
              <w:rPr>
                <w:color w:val="231F20"/>
                <w:spacing w:val="-4"/>
                <w:sz w:val="15"/>
              </w:rPr>
              <w:t>with</w:t>
            </w:r>
          </w:p>
          <w:p>
            <w:pPr>
              <w:pStyle w:val="TableParagraph"/>
              <w:spacing w:line="171" w:lineRule="exact"/>
              <w:ind w:left="2133"/>
              <w:rPr>
                <w:sz w:val="15"/>
              </w:rPr>
            </w:pPr>
            <w:r>
              <w:rPr>
                <w:color w:val="231F20"/>
                <w:sz w:val="15"/>
              </w:rPr>
              <w:t>congenital</w:t>
            </w:r>
            <w:r>
              <w:rPr>
                <w:color w:val="231F20"/>
                <w:spacing w:val="-7"/>
                <w:sz w:val="15"/>
              </w:rPr>
              <w:t> </w:t>
            </w:r>
            <w:r>
              <w:rPr>
                <w:color w:val="231F20"/>
                <w:spacing w:val="-2"/>
                <w:sz w:val="15"/>
              </w:rPr>
              <w:t>onset</w:t>
            </w:r>
          </w:p>
          <w:p>
            <w:pPr>
              <w:pStyle w:val="TableParagraph"/>
              <w:spacing w:before="163"/>
              <w:rPr>
                <w:i/>
                <w:sz w:val="15"/>
              </w:rPr>
            </w:pPr>
          </w:p>
          <w:p>
            <w:pPr>
              <w:pStyle w:val="TableParagraph"/>
              <w:tabs>
                <w:tab w:pos="2022" w:val="left" w:leader="none"/>
                <w:tab w:pos="2134" w:val="left" w:leader="none"/>
                <w:tab w:pos="3891" w:val="left" w:leader="none"/>
                <w:tab w:pos="4003" w:val="left" w:leader="none"/>
              </w:tabs>
              <w:spacing w:line="230" w:lineRule="auto" w:before="1"/>
              <w:ind w:left="186" w:right="181" w:hanging="112"/>
              <w:rPr>
                <w:sz w:val="15"/>
              </w:rPr>
            </w:pPr>
            <w:r>
              <w:rPr>
                <w:color w:val="231F20"/>
                <w:sz w:val="15"/>
              </w:rPr>
              <w:t>Limb-girdle muscular</w:t>
              <w:tab/>
              <w:t>Independent ambulation</w:t>
              <w:tab/>
            </w:r>
            <w:r>
              <w:rPr>
                <w:color w:val="231F20"/>
                <w:spacing w:val="-2"/>
                <w:sz w:val="15"/>
              </w:rPr>
              <w:t>Proximal</w:t>
            </w:r>
            <w:r>
              <w:rPr>
                <w:color w:val="231F20"/>
                <w:spacing w:val="-10"/>
                <w:sz w:val="15"/>
              </w:rPr>
              <w:t> </w:t>
            </w:r>
            <w:r>
              <w:rPr>
                <w:rFonts w:ascii="Cambria"/>
                <w:color w:val="231F20"/>
                <w:spacing w:val="-2"/>
                <w:sz w:val="15"/>
              </w:rPr>
              <w:t>&gt;</w:t>
            </w:r>
            <w:r>
              <w:rPr>
                <w:rFonts w:ascii="Cambria"/>
                <w:color w:val="231F20"/>
                <w:spacing w:val="-3"/>
                <w:sz w:val="15"/>
              </w:rPr>
              <w:t> </w:t>
            </w:r>
            <w:r>
              <w:rPr>
                <w:color w:val="231F20"/>
                <w:spacing w:val="-2"/>
                <w:sz w:val="15"/>
              </w:rPr>
              <w:t>distal </w:t>
            </w:r>
            <w:r>
              <w:rPr>
                <w:color w:val="231F20"/>
                <w:sz w:val="15"/>
              </w:rPr>
              <w:t>dystrophy with lamin</w:t>
              <w:tab/>
              <w:tab/>
              <w:t>achieved, variable</w:t>
              <w:tab/>
              <w:tab/>
              <w:t>(pattern A)</w:t>
            </w:r>
          </w:p>
          <w:p>
            <w:pPr>
              <w:pStyle w:val="TableParagraph"/>
              <w:tabs>
                <w:tab w:pos="2134" w:val="left" w:leader="none"/>
              </w:tabs>
              <w:spacing w:line="166" w:lineRule="exact"/>
              <w:ind w:left="186"/>
              <w:rPr>
                <w:sz w:val="15"/>
              </w:rPr>
            </w:pPr>
            <w:r>
              <w:rPr>
                <w:color w:val="231F20"/>
                <w:sz w:val="15"/>
              </w:rPr>
              <w:t>AC</w:t>
            </w:r>
            <w:r>
              <w:rPr>
                <w:color w:val="231F20"/>
                <w:spacing w:val="-7"/>
                <w:sz w:val="15"/>
              </w:rPr>
              <w:t> </w:t>
            </w:r>
            <w:r>
              <w:rPr>
                <w:color w:val="231F20"/>
                <w:sz w:val="15"/>
              </w:rPr>
              <w:t>deficiency</w:t>
            </w:r>
            <w:r>
              <w:rPr>
                <w:color w:val="231F20"/>
                <w:spacing w:val="-7"/>
                <w:sz w:val="15"/>
              </w:rPr>
              <w:t> </w:t>
            </w:r>
            <w:r>
              <w:rPr>
                <w:color w:val="231F20"/>
                <w:sz w:val="15"/>
              </w:rPr>
              <w:t>(type</w:t>
            </w:r>
            <w:r>
              <w:rPr>
                <w:color w:val="231F20"/>
                <w:spacing w:val="-7"/>
                <w:sz w:val="15"/>
              </w:rPr>
              <w:t> </w:t>
            </w:r>
            <w:r>
              <w:rPr>
                <w:color w:val="231F20"/>
                <w:spacing w:val="-5"/>
                <w:sz w:val="15"/>
              </w:rPr>
              <w:t>1B)</w:t>
            </w:r>
            <w:r>
              <w:rPr>
                <w:color w:val="231F20"/>
                <w:sz w:val="15"/>
              </w:rPr>
              <w:tab/>
            </w:r>
            <w:r>
              <w:rPr>
                <w:color w:val="231F20"/>
                <w:spacing w:val="-2"/>
                <w:sz w:val="15"/>
              </w:rPr>
              <w:t>progression</w:t>
            </w:r>
          </w:p>
          <w:p>
            <w:pPr>
              <w:pStyle w:val="TableParagraph"/>
              <w:tabs>
                <w:tab w:pos="2022" w:val="left" w:leader="none"/>
                <w:tab w:pos="3891" w:val="left" w:leader="none"/>
                <w:tab w:pos="4003" w:val="left" w:leader="none"/>
              </w:tabs>
              <w:spacing w:line="230" w:lineRule="auto" w:before="3"/>
              <w:ind w:left="186" w:right="181" w:hanging="112"/>
              <w:rPr>
                <w:sz w:val="15"/>
              </w:rPr>
            </w:pPr>
            <w:r>
              <w:rPr>
                <w:color w:val="231F20"/>
                <w:sz w:val="15"/>
              </w:rPr>
              <w:t>Limb-girdle muscular</w:t>
              <w:tab/>
              <w:t>Ambulation achieved</w:t>
              <w:tab/>
            </w:r>
            <w:r>
              <w:rPr>
                <w:color w:val="231F20"/>
                <w:spacing w:val="-2"/>
                <w:sz w:val="15"/>
              </w:rPr>
              <w:t>Proximal</w:t>
            </w:r>
            <w:r>
              <w:rPr>
                <w:color w:val="231F20"/>
                <w:spacing w:val="-10"/>
                <w:sz w:val="15"/>
              </w:rPr>
              <w:t> </w:t>
            </w:r>
            <w:r>
              <w:rPr>
                <w:rFonts w:ascii="Cambria"/>
                <w:color w:val="231F20"/>
                <w:spacing w:val="-2"/>
                <w:sz w:val="15"/>
              </w:rPr>
              <w:t>&gt;</w:t>
            </w:r>
            <w:r>
              <w:rPr>
                <w:rFonts w:ascii="Cambria"/>
                <w:color w:val="231F20"/>
                <w:spacing w:val="-3"/>
                <w:sz w:val="15"/>
              </w:rPr>
              <w:t> </w:t>
            </w:r>
            <w:r>
              <w:rPr>
                <w:color w:val="231F20"/>
                <w:spacing w:val="-2"/>
                <w:sz w:val="15"/>
              </w:rPr>
              <w:t>distal </w:t>
            </w:r>
            <w:r>
              <w:rPr>
                <w:color w:val="231F20"/>
                <w:sz w:val="15"/>
              </w:rPr>
              <w:t>dystrophy with calpain</w:t>
              <w:tab/>
              <w:tab/>
              <w:tab/>
              <w:t>(pattern A)</w:t>
            </w:r>
          </w:p>
          <w:p>
            <w:pPr>
              <w:pStyle w:val="TableParagraph"/>
              <w:spacing w:line="168" w:lineRule="exact"/>
              <w:ind w:left="186"/>
              <w:rPr>
                <w:sz w:val="15"/>
              </w:rPr>
            </w:pPr>
            <w:r>
              <w:rPr>
                <w:color w:val="231F20"/>
                <w:spacing w:val="-4"/>
                <w:sz w:val="15"/>
              </w:rPr>
              <w:t>deficiency</w:t>
            </w:r>
            <w:r>
              <w:rPr>
                <w:color w:val="231F20"/>
                <w:spacing w:val="4"/>
                <w:sz w:val="15"/>
              </w:rPr>
              <w:t> </w:t>
            </w:r>
            <w:r>
              <w:rPr>
                <w:color w:val="231F20"/>
                <w:spacing w:val="-4"/>
                <w:sz w:val="15"/>
              </w:rPr>
              <w:t>(type</w:t>
            </w:r>
            <w:r>
              <w:rPr>
                <w:color w:val="231F20"/>
                <w:spacing w:val="5"/>
                <w:sz w:val="15"/>
              </w:rPr>
              <w:t> </w:t>
            </w:r>
            <w:r>
              <w:rPr>
                <w:color w:val="231F20"/>
                <w:spacing w:val="-5"/>
                <w:sz w:val="15"/>
              </w:rPr>
              <w:t>2A)</w:t>
            </w:r>
          </w:p>
        </w:tc>
        <w:tc>
          <w:tcPr>
            <w:tcW w:w="597"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ind w:right="53"/>
              <w:jc w:val="center"/>
              <w:rPr>
                <w:sz w:val="15"/>
              </w:rPr>
            </w:pPr>
            <w:r>
              <w:rPr>
                <w:color w:val="231F20"/>
                <w:spacing w:val="-10"/>
                <w:w w:val="135"/>
                <w:sz w:val="15"/>
              </w:rPr>
              <w:t>–</w:t>
            </w:r>
          </w:p>
          <w:p>
            <w:pPr>
              <w:pStyle w:val="TableParagraph"/>
              <w:rPr>
                <w:i/>
                <w:sz w:val="15"/>
              </w:rPr>
            </w:pPr>
          </w:p>
          <w:p>
            <w:pPr>
              <w:pStyle w:val="TableParagraph"/>
              <w:spacing w:before="151"/>
              <w:rPr>
                <w:i/>
                <w:sz w:val="15"/>
              </w:rPr>
            </w:pPr>
          </w:p>
          <w:p>
            <w:pPr>
              <w:pStyle w:val="TableParagraph"/>
              <w:ind w:right="53"/>
              <w:jc w:val="center"/>
              <w:rPr>
                <w:rFonts w:ascii="Cambria"/>
                <w:sz w:val="15"/>
              </w:rPr>
            </w:pPr>
            <w:r>
              <w:rPr>
                <w:rFonts w:ascii="Cambria"/>
                <w:color w:val="231F20"/>
                <w:spacing w:val="-5"/>
                <w:sz w:val="15"/>
              </w:rPr>
              <w:t>++</w:t>
            </w:r>
          </w:p>
          <w:p>
            <w:pPr>
              <w:pStyle w:val="TableParagraph"/>
              <w:rPr>
                <w:i/>
                <w:sz w:val="15"/>
              </w:rPr>
            </w:pPr>
          </w:p>
          <w:p>
            <w:pPr>
              <w:pStyle w:val="TableParagraph"/>
              <w:rPr>
                <w:i/>
                <w:sz w:val="15"/>
              </w:rPr>
            </w:pPr>
          </w:p>
          <w:p>
            <w:pPr>
              <w:pStyle w:val="TableParagraph"/>
              <w:rPr>
                <w:i/>
                <w:sz w:val="15"/>
              </w:rPr>
            </w:pPr>
          </w:p>
          <w:p>
            <w:pPr>
              <w:pStyle w:val="TableParagraph"/>
              <w:spacing w:before="137"/>
              <w:rPr>
                <w:i/>
                <w:sz w:val="15"/>
              </w:rPr>
            </w:pPr>
          </w:p>
          <w:p>
            <w:pPr>
              <w:pStyle w:val="TableParagraph"/>
              <w:ind w:left="1" w:right="53"/>
              <w:jc w:val="center"/>
              <w:rPr>
                <w:rFonts w:ascii="Cambria"/>
                <w:sz w:val="15"/>
              </w:rPr>
            </w:pPr>
            <w:r>
              <w:rPr>
                <w:rFonts w:ascii="Cambria"/>
                <w:color w:val="231F20"/>
                <w:spacing w:val="-10"/>
                <w:sz w:val="15"/>
              </w:rPr>
              <w:t>+</w:t>
            </w:r>
          </w:p>
          <w:p>
            <w:pPr>
              <w:pStyle w:val="TableParagraph"/>
              <w:spacing w:before="155"/>
              <w:rPr>
                <w:i/>
                <w:sz w:val="15"/>
              </w:rPr>
            </w:pPr>
          </w:p>
          <w:p>
            <w:pPr>
              <w:pStyle w:val="TableParagraph"/>
              <w:ind w:left="1" w:right="53"/>
              <w:jc w:val="center"/>
              <w:rPr>
                <w:rFonts w:ascii="Cambria"/>
                <w:sz w:val="15"/>
              </w:rPr>
            </w:pPr>
            <w:r>
              <w:rPr>
                <w:rFonts w:ascii="Cambria"/>
                <w:color w:val="231F20"/>
                <w:spacing w:val="-10"/>
                <w:sz w:val="15"/>
              </w:rPr>
              <w:t>+</w:t>
            </w:r>
          </w:p>
        </w:tc>
        <w:tc>
          <w:tcPr>
            <w:tcW w:w="1666"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spacing w:before="1"/>
              <w:ind w:left="1" w:right="1"/>
              <w:jc w:val="center"/>
              <w:rPr>
                <w:rFonts w:ascii="Cambria"/>
                <w:sz w:val="15"/>
              </w:rPr>
            </w:pPr>
            <w:r>
              <w:rPr>
                <w:rFonts w:ascii="Cambria"/>
                <w:color w:val="231F20"/>
                <w:spacing w:val="-5"/>
                <w:sz w:val="15"/>
              </w:rPr>
              <w:t>++</w:t>
            </w:r>
          </w:p>
          <w:p>
            <w:pPr>
              <w:pStyle w:val="TableParagraph"/>
              <w:rPr>
                <w:i/>
                <w:sz w:val="15"/>
              </w:rPr>
            </w:pPr>
          </w:p>
          <w:p>
            <w:pPr>
              <w:pStyle w:val="TableParagraph"/>
              <w:spacing w:before="149"/>
              <w:rPr>
                <w:i/>
                <w:sz w:val="15"/>
              </w:rPr>
            </w:pPr>
          </w:p>
          <w:p>
            <w:pPr>
              <w:pStyle w:val="TableParagraph"/>
              <w:ind w:left="1" w:right="1"/>
              <w:jc w:val="center"/>
              <w:rPr>
                <w:rFonts w:ascii="Cambria"/>
                <w:sz w:val="15"/>
              </w:rPr>
            </w:pPr>
            <w:r>
              <w:rPr>
                <w:rFonts w:ascii="Cambria"/>
                <w:color w:val="231F20"/>
                <w:spacing w:val="-5"/>
                <w:sz w:val="15"/>
              </w:rPr>
              <w:t>++</w:t>
            </w:r>
          </w:p>
          <w:p>
            <w:pPr>
              <w:pStyle w:val="TableParagraph"/>
              <w:rPr>
                <w:i/>
                <w:sz w:val="15"/>
              </w:rPr>
            </w:pPr>
          </w:p>
          <w:p>
            <w:pPr>
              <w:pStyle w:val="TableParagraph"/>
              <w:rPr>
                <w:i/>
                <w:sz w:val="15"/>
              </w:rPr>
            </w:pPr>
          </w:p>
          <w:p>
            <w:pPr>
              <w:pStyle w:val="TableParagraph"/>
              <w:rPr>
                <w:i/>
                <w:sz w:val="15"/>
              </w:rPr>
            </w:pPr>
          </w:p>
          <w:p>
            <w:pPr>
              <w:pStyle w:val="TableParagraph"/>
              <w:spacing w:before="136"/>
              <w:rPr>
                <w:i/>
                <w:sz w:val="15"/>
              </w:rPr>
            </w:pPr>
          </w:p>
          <w:p>
            <w:pPr>
              <w:pStyle w:val="TableParagraph"/>
              <w:ind w:left="1"/>
              <w:jc w:val="center"/>
              <w:rPr>
                <w:rFonts w:ascii="Cambria"/>
                <w:sz w:val="15"/>
              </w:rPr>
            </w:pPr>
            <w:r>
              <w:rPr>
                <w:rFonts w:ascii="Cambria"/>
                <w:color w:val="231F20"/>
                <w:spacing w:val="-5"/>
                <w:sz w:val="15"/>
              </w:rPr>
              <w:t>++</w:t>
            </w:r>
          </w:p>
          <w:p>
            <w:pPr>
              <w:pStyle w:val="TableParagraph"/>
              <w:spacing w:before="155"/>
              <w:rPr>
                <w:i/>
                <w:sz w:val="15"/>
              </w:rPr>
            </w:pPr>
          </w:p>
          <w:p>
            <w:pPr>
              <w:pStyle w:val="TableParagraph"/>
              <w:ind w:left="1"/>
              <w:jc w:val="center"/>
              <w:rPr>
                <w:sz w:val="15"/>
              </w:rPr>
            </w:pPr>
            <w:r>
              <w:rPr>
                <w:color w:val="231F20"/>
                <w:spacing w:val="-10"/>
                <w:w w:val="135"/>
                <w:sz w:val="15"/>
              </w:rPr>
              <w:t>–</w:t>
            </w:r>
          </w:p>
        </w:tc>
        <w:tc>
          <w:tcPr>
            <w:tcW w:w="1295"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spacing w:before="1"/>
              <w:ind w:left="9" w:right="1"/>
              <w:jc w:val="center"/>
              <w:rPr>
                <w:rFonts w:ascii="Cambria"/>
                <w:sz w:val="15"/>
              </w:rPr>
            </w:pPr>
            <w:r>
              <w:rPr>
                <w:rFonts w:ascii="Cambria"/>
                <w:color w:val="231F20"/>
                <w:spacing w:val="-5"/>
                <w:sz w:val="15"/>
              </w:rPr>
              <w:t>++</w:t>
            </w:r>
          </w:p>
          <w:p>
            <w:pPr>
              <w:pStyle w:val="TableParagraph"/>
              <w:rPr>
                <w:i/>
                <w:sz w:val="15"/>
              </w:rPr>
            </w:pPr>
          </w:p>
          <w:p>
            <w:pPr>
              <w:pStyle w:val="TableParagraph"/>
              <w:spacing w:before="154"/>
              <w:rPr>
                <w:i/>
                <w:sz w:val="15"/>
              </w:rPr>
            </w:pPr>
          </w:p>
          <w:p>
            <w:pPr>
              <w:pStyle w:val="TableParagraph"/>
              <w:spacing w:line="230" w:lineRule="auto"/>
              <w:ind w:left="218" w:right="61" w:hanging="112"/>
              <w:rPr>
                <w:sz w:val="15"/>
              </w:rPr>
            </w:pPr>
            <w:r>
              <w:rPr>
                <w:color w:val="231F20"/>
                <w:sz w:val="15"/>
              </w:rPr>
              <w:t>In</w:t>
            </w:r>
            <w:r>
              <w:rPr>
                <w:color w:val="231F20"/>
                <w:spacing w:val="-4"/>
                <w:sz w:val="15"/>
              </w:rPr>
              <w:t> </w:t>
            </w:r>
            <w:r>
              <w:rPr>
                <w:color w:val="231F20"/>
                <w:sz w:val="15"/>
              </w:rPr>
              <w:t>adulthood</w:t>
            </w:r>
            <w:r>
              <w:rPr>
                <w:color w:val="231F20"/>
                <w:spacing w:val="-4"/>
                <w:sz w:val="15"/>
              </w:rPr>
              <w:t> </w:t>
            </w:r>
            <w:r>
              <w:rPr>
                <w:color w:val="231F20"/>
                <w:sz w:val="15"/>
              </w:rPr>
              <w:t>in the typical </w:t>
            </w:r>
            <w:r>
              <w:rPr>
                <w:color w:val="231F20"/>
                <w:spacing w:val="-2"/>
                <w:sz w:val="15"/>
              </w:rPr>
              <w:t>form,</w:t>
            </w:r>
            <w:r>
              <w:rPr>
                <w:color w:val="231F20"/>
                <w:spacing w:val="-10"/>
                <w:sz w:val="15"/>
              </w:rPr>
              <w:t> </w:t>
            </w:r>
            <w:r>
              <w:rPr>
                <w:color w:val="231F20"/>
                <w:spacing w:val="-2"/>
                <w:sz w:val="15"/>
              </w:rPr>
              <w:t>but</w:t>
            </w:r>
            <w:r>
              <w:rPr>
                <w:color w:val="231F20"/>
                <w:spacing w:val="-9"/>
                <w:sz w:val="15"/>
              </w:rPr>
              <w:t> </w:t>
            </w:r>
            <w:r>
              <w:rPr>
                <w:color w:val="231F20"/>
                <w:spacing w:val="-2"/>
                <w:sz w:val="15"/>
              </w:rPr>
              <w:t>also </w:t>
            </w:r>
            <w:r>
              <w:rPr>
                <w:color w:val="231F20"/>
                <w:sz w:val="15"/>
              </w:rPr>
              <w:t>in childhood </w:t>
            </w:r>
            <w:r>
              <w:rPr>
                <w:color w:val="231F20"/>
                <w:spacing w:val="-2"/>
                <w:sz w:val="15"/>
              </w:rPr>
              <w:t>(congenital variants)</w:t>
            </w:r>
          </w:p>
          <w:p>
            <w:pPr>
              <w:pStyle w:val="TableParagraph"/>
              <w:spacing w:line="696" w:lineRule="auto"/>
              <w:ind w:left="107" w:right="140"/>
              <w:rPr>
                <w:sz w:val="15"/>
              </w:rPr>
            </w:pPr>
            <w:r>
              <w:rPr>
                <w:color w:val="231F20"/>
                <w:sz w:val="15"/>
              </w:rPr>
              <w:t>In</w:t>
            </w:r>
            <w:r>
              <w:rPr>
                <w:color w:val="231F20"/>
                <w:spacing w:val="-12"/>
                <w:sz w:val="15"/>
              </w:rPr>
              <w:t> </w:t>
            </w:r>
            <w:r>
              <w:rPr>
                <w:color w:val="231F20"/>
                <w:sz w:val="15"/>
              </w:rPr>
              <w:t>adulthood Not</w:t>
            </w:r>
            <w:r>
              <w:rPr>
                <w:color w:val="231F20"/>
                <w:spacing w:val="17"/>
                <w:sz w:val="15"/>
              </w:rPr>
              <w:t> </w:t>
            </w:r>
            <w:r>
              <w:rPr>
                <w:color w:val="231F20"/>
                <w:spacing w:val="-4"/>
                <w:sz w:val="15"/>
              </w:rPr>
              <w:t>frequent</w:t>
            </w:r>
          </w:p>
        </w:tc>
        <w:tc>
          <w:tcPr>
            <w:tcW w:w="1473"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26" w:right="43" w:hanging="112"/>
              <w:rPr>
                <w:sz w:val="15"/>
              </w:rPr>
            </w:pPr>
            <w:r>
              <w:rPr>
                <w:color w:val="231F20"/>
                <w:sz w:val="15"/>
              </w:rPr>
              <w:t>Progression of </w:t>
            </w:r>
            <w:r>
              <w:rPr>
                <w:color w:val="231F20"/>
                <w:spacing w:val="-4"/>
                <w:sz w:val="15"/>
              </w:rPr>
              <w:t>motor,</w:t>
            </w:r>
            <w:r>
              <w:rPr>
                <w:color w:val="231F20"/>
                <w:spacing w:val="-8"/>
                <w:sz w:val="15"/>
              </w:rPr>
              <w:t> </w:t>
            </w:r>
            <w:r>
              <w:rPr>
                <w:color w:val="231F20"/>
                <w:spacing w:val="-4"/>
                <w:sz w:val="15"/>
              </w:rPr>
              <w:t>cardiac, </w:t>
            </w:r>
            <w:r>
              <w:rPr>
                <w:color w:val="231F20"/>
                <w:spacing w:val="-2"/>
                <w:sz w:val="15"/>
              </w:rPr>
              <w:t>and</w:t>
            </w:r>
            <w:r>
              <w:rPr>
                <w:color w:val="231F20"/>
                <w:spacing w:val="-10"/>
                <w:sz w:val="15"/>
              </w:rPr>
              <w:t> </w:t>
            </w:r>
            <w:r>
              <w:rPr>
                <w:color w:val="231F20"/>
                <w:spacing w:val="-2"/>
                <w:sz w:val="15"/>
              </w:rPr>
              <w:t>respiratory signs</w:t>
            </w:r>
          </w:p>
          <w:p>
            <w:pPr>
              <w:pStyle w:val="TableParagraph"/>
              <w:spacing w:line="173" w:lineRule="exact"/>
              <w:ind w:left="113"/>
              <w:rPr>
                <w:sz w:val="15"/>
              </w:rPr>
            </w:pPr>
            <w:r>
              <w:rPr>
                <w:color w:val="231F20"/>
                <w:spacing w:val="-2"/>
                <w:sz w:val="15"/>
              </w:rPr>
              <w:t>Slowly</w:t>
            </w:r>
            <w:r>
              <w:rPr>
                <w:color w:val="231F20"/>
                <w:sz w:val="15"/>
              </w:rPr>
              <w:t> </w:t>
            </w:r>
            <w:r>
              <w:rPr>
                <w:color w:val="231F20"/>
                <w:spacing w:val="-2"/>
                <w:sz w:val="15"/>
              </w:rPr>
              <w:t>progressive</w:t>
            </w:r>
          </w:p>
          <w:p>
            <w:pPr>
              <w:pStyle w:val="TableParagraph"/>
              <w:rPr>
                <w:i/>
                <w:sz w:val="15"/>
              </w:rPr>
            </w:pPr>
          </w:p>
          <w:p>
            <w:pPr>
              <w:pStyle w:val="TableParagraph"/>
              <w:rPr>
                <w:i/>
                <w:sz w:val="15"/>
              </w:rPr>
            </w:pPr>
          </w:p>
          <w:p>
            <w:pPr>
              <w:pStyle w:val="TableParagraph"/>
              <w:rPr>
                <w:i/>
                <w:sz w:val="15"/>
              </w:rPr>
            </w:pPr>
          </w:p>
          <w:p>
            <w:pPr>
              <w:pStyle w:val="TableParagraph"/>
              <w:spacing w:before="144"/>
              <w:rPr>
                <w:i/>
                <w:sz w:val="15"/>
              </w:rPr>
            </w:pPr>
          </w:p>
          <w:p>
            <w:pPr>
              <w:pStyle w:val="TableParagraph"/>
              <w:spacing w:line="230" w:lineRule="auto"/>
              <w:ind w:left="226" w:hanging="112"/>
              <w:rPr>
                <w:sz w:val="15"/>
              </w:rPr>
            </w:pPr>
            <w:r>
              <w:rPr>
                <w:color w:val="231F20"/>
                <w:sz w:val="15"/>
              </w:rPr>
              <w:t>Progression of cardiac</w:t>
            </w:r>
            <w:r>
              <w:rPr>
                <w:color w:val="231F20"/>
                <w:spacing w:val="-12"/>
                <w:sz w:val="15"/>
              </w:rPr>
              <w:t> </w:t>
            </w:r>
            <w:r>
              <w:rPr>
                <w:color w:val="231F20"/>
                <w:sz w:val="15"/>
              </w:rPr>
              <w:t>signs</w:t>
            </w:r>
            <w:r>
              <w:rPr>
                <w:color w:val="231F20"/>
                <w:spacing w:val="-11"/>
                <w:sz w:val="15"/>
              </w:rPr>
              <w:t> </w:t>
            </w:r>
            <w:r>
              <w:rPr>
                <w:rFonts w:ascii="Cambria"/>
                <w:color w:val="231F20"/>
                <w:sz w:val="15"/>
              </w:rPr>
              <w:t>&gt;</w:t>
            </w:r>
            <w:r>
              <w:rPr>
                <w:rFonts w:ascii="Cambria"/>
                <w:color w:val="231F20"/>
                <w:spacing w:val="40"/>
                <w:sz w:val="15"/>
              </w:rPr>
              <w:t> </w:t>
            </w:r>
            <w:r>
              <w:rPr>
                <w:color w:val="231F20"/>
                <w:sz w:val="15"/>
              </w:rPr>
              <w:t>motor signs</w:t>
            </w:r>
          </w:p>
          <w:p>
            <w:pPr>
              <w:pStyle w:val="TableParagraph"/>
              <w:spacing w:line="171" w:lineRule="exact"/>
              <w:ind w:left="114"/>
              <w:rPr>
                <w:sz w:val="15"/>
              </w:rPr>
            </w:pPr>
            <w:r>
              <w:rPr>
                <w:color w:val="231F20"/>
                <w:sz w:val="15"/>
              </w:rPr>
              <w:t>Slow</w:t>
            </w:r>
            <w:r>
              <w:rPr>
                <w:color w:val="231F20"/>
                <w:spacing w:val="4"/>
                <w:sz w:val="15"/>
              </w:rPr>
              <w:t> </w:t>
            </w:r>
            <w:r>
              <w:rPr>
                <w:color w:val="231F20"/>
                <w:spacing w:val="-2"/>
                <w:sz w:val="15"/>
              </w:rPr>
              <w:t>progression</w:t>
            </w:r>
          </w:p>
        </w:tc>
        <w:tc>
          <w:tcPr>
            <w:tcW w:w="1095"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spacing w:before="1"/>
              <w:ind w:left="20" w:right="2"/>
              <w:jc w:val="center"/>
              <w:rPr>
                <w:rFonts w:ascii="Cambria"/>
                <w:sz w:val="15"/>
              </w:rPr>
            </w:pPr>
            <w:r>
              <w:rPr>
                <w:rFonts w:ascii="Cambria"/>
                <w:color w:val="231F20"/>
                <w:spacing w:val="-5"/>
                <w:sz w:val="15"/>
              </w:rPr>
              <w:t>++</w:t>
            </w:r>
          </w:p>
          <w:p>
            <w:pPr>
              <w:pStyle w:val="TableParagraph"/>
              <w:rPr>
                <w:i/>
                <w:sz w:val="15"/>
              </w:rPr>
            </w:pPr>
          </w:p>
          <w:p>
            <w:pPr>
              <w:pStyle w:val="TableParagraph"/>
              <w:spacing w:before="149"/>
              <w:rPr>
                <w:i/>
                <w:sz w:val="15"/>
              </w:rPr>
            </w:pPr>
          </w:p>
          <w:p>
            <w:pPr>
              <w:pStyle w:val="TableParagraph"/>
              <w:ind w:left="20" w:right="1"/>
              <w:jc w:val="center"/>
              <w:rPr>
                <w:sz w:val="15"/>
              </w:rPr>
            </w:pPr>
            <w:r>
              <w:rPr>
                <w:rFonts w:ascii="Cambria"/>
                <w:color w:val="231F20"/>
                <w:sz w:val="15"/>
              </w:rPr>
              <w:t>+</w:t>
            </w:r>
            <w:r>
              <w:rPr>
                <w:rFonts w:ascii="Cambria"/>
                <w:color w:val="231F20"/>
                <w:spacing w:val="12"/>
                <w:sz w:val="15"/>
              </w:rPr>
              <w:t> </w:t>
            </w:r>
            <w:r>
              <w:rPr>
                <w:color w:val="231F20"/>
                <w:spacing w:val="-5"/>
                <w:sz w:val="15"/>
              </w:rPr>
              <w:t>(</w:t>
            </w:r>
            <w:r>
              <w:rPr>
                <w:rFonts w:ascii="Cambria"/>
                <w:color w:val="231F20"/>
                <w:spacing w:val="-5"/>
                <w:sz w:val="15"/>
              </w:rPr>
              <w:t>+</w:t>
            </w:r>
            <w:r>
              <w:rPr>
                <w:color w:val="231F20"/>
                <w:spacing w:val="-5"/>
                <w:sz w:val="15"/>
              </w:rPr>
              <w:t>)</w:t>
            </w:r>
          </w:p>
          <w:p>
            <w:pPr>
              <w:pStyle w:val="TableParagraph"/>
              <w:rPr>
                <w:i/>
                <w:sz w:val="15"/>
              </w:rPr>
            </w:pPr>
          </w:p>
          <w:p>
            <w:pPr>
              <w:pStyle w:val="TableParagraph"/>
              <w:rPr>
                <w:i/>
                <w:sz w:val="15"/>
              </w:rPr>
            </w:pPr>
          </w:p>
          <w:p>
            <w:pPr>
              <w:pStyle w:val="TableParagraph"/>
              <w:rPr>
                <w:i/>
                <w:sz w:val="15"/>
              </w:rPr>
            </w:pPr>
          </w:p>
          <w:p>
            <w:pPr>
              <w:pStyle w:val="TableParagraph"/>
              <w:spacing w:before="136"/>
              <w:rPr>
                <w:i/>
                <w:sz w:val="15"/>
              </w:rPr>
            </w:pPr>
          </w:p>
          <w:p>
            <w:pPr>
              <w:pStyle w:val="TableParagraph"/>
              <w:ind w:left="20"/>
              <w:jc w:val="center"/>
              <w:rPr>
                <w:sz w:val="15"/>
              </w:rPr>
            </w:pPr>
            <w:r>
              <w:rPr>
                <w:rFonts w:ascii="Cambria"/>
                <w:color w:val="231F20"/>
                <w:sz w:val="15"/>
              </w:rPr>
              <w:t>+</w:t>
            </w:r>
            <w:r>
              <w:rPr>
                <w:rFonts w:ascii="Cambria"/>
                <w:color w:val="231F20"/>
                <w:spacing w:val="11"/>
                <w:sz w:val="15"/>
              </w:rPr>
              <w:t> </w:t>
            </w:r>
            <w:r>
              <w:rPr>
                <w:color w:val="231F20"/>
                <w:spacing w:val="-5"/>
                <w:sz w:val="15"/>
              </w:rPr>
              <w:t>(</w:t>
            </w:r>
            <w:r>
              <w:rPr>
                <w:rFonts w:ascii="Cambria"/>
                <w:color w:val="231F20"/>
                <w:spacing w:val="-5"/>
                <w:sz w:val="15"/>
              </w:rPr>
              <w:t>+</w:t>
            </w:r>
            <w:r>
              <w:rPr>
                <w:color w:val="231F20"/>
                <w:spacing w:val="-5"/>
                <w:sz w:val="15"/>
              </w:rPr>
              <w:t>)</w:t>
            </w:r>
          </w:p>
          <w:p>
            <w:pPr>
              <w:pStyle w:val="TableParagraph"/>
              <w:spacing w:before="155"/>
              <w:rPr>
                <w:i/>
                <w:sz w:val="15"/>
              </w:rPr>
            </w:pPr>
          </w:p>
          <w:p>
            <w:pPr>
              <w:pStyle w:val="TableParagraph"/>
              <w:spacing w:before="1"/>
              <w:ind w:left="20"/>
              <w:jc w:val="center"/>
              <w:rPr>
                <w:rFonts w:ascii="Cambria"/>
                <w:sz w:val="15"/>
              </w:rPr>
            </w:pPr>
            <w:r>
              <w:rPr>
                <w:rFonts w:ascii="Cambria"/>
                <w:color w:val="231F20"/>
                <w:spacing w:val="-5"/>
                <w:sz w:val="15"/>
              </w:rPr>
              <w:t>++</w:t>
            </w:r>
          </w:p>
        </w:tc>
        <w:tc>
          <w:tcPr>
            <w:tcW w:w="1518"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17" w:right="138" w:hanging="112"/>
              <w:rPr>
                <w:sz w:val="15"/>
              </w:rPr>
            </w:pPr>
            <w:r>
              <w:rPr>
                <w:color w:val="231F20"/>
                <w:spacing w:val="-2"/>
                <w:sz w:val="15"/>
              </w:rPr>
              <w:t>Mental</w:t>
            </w:r>
            <w:r>
              <w:rPr>
                <w:color w:val="231F20"/>
                <w:spacing w:val="-10"/>
                <w:sz w:val="15"/>
              </w:rPr>
              <w:t> </w:t>
            </w:r>
            <w:r>
              <w:rPr>
                <w:color w:val="231F20"/>
                <w:spacing w:val="-2"/>
                <w:sz w:val="15"/>
              </w:rPr>
              <w:t>retardation </w:t>
            </w:r>
            <w:r>
              <w:rPr>
                <w:color w:val="231F20"/>
                <w:w w:val="105"/>
                <w:sz w:val="15"/>
              </w:rPr>
              <w:t>in 30%</w:t>
            </w:r>
          </w:p>
          <w:p>
            <w:pPr>
              <w:pStyle w:val="TableParagraph"/>
              <w:spacing w:before="164"/>
              <w:rPr>
                <w:i/>
                <w:sz w:val="15"/>
              </w:rPr>
            </w:pPr>
          </w:p>
          <w:p>
            <w:pPr>
              <w:pStyle w:val="TableParagraph"/>
              <w:spacing w:line="230" w:lineRule="auto"/>
              <w:ind w:left="218" w:right="97" w:hanging="112"/>
              <w:rPr>
                <w:sz w:val="15"/>
              </w:rPr>
            </w:pPr>
            <w:r>
              <w:rPr>
                <w:color w:val="231F20"/>
                <w:spacing w:val="-2"/>
                <w:sz w:val="15"/>
              </w:rPr>
              <w:t>Frequent </w:t>
            </w:r>
            <w:r>
              <w:rPr>
                <w:color w:val="231F20"/>
                <w:sz w:val="15"/>
              </w:rPr>
              <w:t>association with </w:t>
            </w:r>
            <w:r>
              <w:rPr>
                <w:color w:val="231F20"/>
                <w:spacing w:val="-2"/>
                <w:sz w:val="15"/>
              </w:rPr>
              <w:t>Dunningham-</w:t>
            </w:r>
            <w:r>
              <w:rPr>
                <w:color w:val="231F20"/>
                <w:spacing w:val="-2"/>
                <w:sz w:val="15"/>
              </w:rPr>
              <w:t>type lipodystrophy</w:t>
            </w:r>
          </w:p>
          <w:p>
            <w:pPr>
              <w:pStyle w:val="TableParagraph"/>
              <w:spacing w:before="161"/>
              <w:rPr>
                <w:i/>
                <w:sz w:val="15"/>
              </w:rPr>
            </w:pPr>
          </w:p>
          <w:p>
            <w:pPr>
              <w:pStyle w:val="TableParagraph"/>
              <w:spacing w:line="696" w:lineRule="auto"/>
              <w:ind w:left="106" w:right="1034"/>
              <w:rPr>
                <w:sz w:val="15"/>
              </w:rPr>
            </w:pPr>
            <w:r>
              <w:rPr>
                <w:color w:val="231F20"/>
                <w:spacing w:val="-4"/>
                <w:w w:val="110"/>
                <w:sz w:val="15"/>
              </w:rPr>
              <w:t>None None</w:t>
            </w:r>
          </w:p>
        </w:tc>
      </w:tr>
    </w:tbl>
    <w:p>
      <w:pPr>
        <w:pStyle w:val="Heading7"/>
        <w:spacing w:before="56"/>
        <w:ind w:right="130"/>
        <w:rPr>
          <w:rFonts w:ascii="Trebuchet MS"/>
        </w:rPr>
      </w:pPr>
      <w:r>
        <w:rPr>
          <w:rFonts w:ascii="Trebuchet MS"/>
          <w:color w:val="231F20"/>
          <w:spacing w:val="-2"/>
        </w:rPr>
        <w:t>Continued</w:t>
      </w:r>
    </w:p>
    <w:p>
      <w:pPr>
        <w:pStyle w:val="Heading7"/>
        <w:spacing w:after="0"/>
        <w:rPr>
          <w:rFonts w:ascii="Trebuchet MS"/>
        </w:rPr>
        <w:sectPr>
          <w:headerReference w:type="default" r:id="rId309"/>
          <w:pgSz w:w="16840" w:h="11900" w:orient="landscape"/>
          <w:pgMar w:header="0" w:footer="0" w:top="1240" w:bottom="280" w:left="1842" w:right="1984"/>
        </w:sectPr>
      </w:pPr>
    </w:p>
    <w:p>
      <w:pPr>
        <w:pStyle w:val="BodyText"/>
        <w:rPr>
          <w:i/>
          <w:sz w:val="20"/>
        </w:rPr>
      </w:pPr>
      <w:r>
        <w:rPr>
          <w:i/>
          <w:sz w:val="20"/>
        </w:rPr>
        <mc:AlternateContent>
          <mc:Choice Requires="wps">
            <w:drawing>
              <wp:anchor distT="0" distB="0" distL="0" distR="0" allowOverlap="1" layoutInCell="1" locked="0" behindDoc="0" simplePos="0" relativeHeight="15797760">
                <wp:simplePos x="0" y="0"/>
                <wp:positionH relativeFrom="page">
                  <wp:posOffset>9483600</wp:posOffset>
                </wp:positionH>
                <wp:positionV relativeFrom="page">
                  <wp:posOffset>578970</wp:posOffset>
                </wp:positionV>
                <wp:extent cx="149860" cy="6185535"/>
                <wp:effectExtent l="0" t="0" r="0" b="0"/>
                <wp:wrapNone/>
                <wp:docPr id="1008" name="Group 1008"/>
                <wp:cNvGraphicFramePr>
                  <a:graphicFrameLocks/>
                </wp:cNvGraphicFramePr>
                <a:graphic>
                  <a:graphicData uri="http://schemas.microsoft.com/office/word/2010/wordprocessingGroup">
                    <wpg:wgp>
                      <wpg:cNvPr id="1008" name="Group 1008"/>
                      <wpg:cNvGrpSpPr/>
                      <wpg:grpSpPr>
                        <a:xfrm>
                          <a:off x="0" y="0"/>
                          <a:ext cx="149860" cy="6185535"/>
                          <a:chExt cx="149860" cy="6185535"/>
                        </a:xfrm>
                      </wpg:grpSpPr>
                      <wps:wsp>
                        <wps:cNvPr id="1009" name="Graphic 1009"/>
                        <wps:cNvSpPr/>
                        <wps:spPr>
                          <a:xfrm>
                            <a:off x="78204" y="6161574"/>
                            <a:ext cx="1270" cy="24130"/>
                          </a:xfrm>
                          <a:custGeom>
                            <a:avLst/>
                            <a:gdLst/>
                            <a:ahLst/>
                            <a:cxnLst/>
                            <a:rect l="l" t="t" r="r" b="b"/>
                            <a:pathLst>
                              <a:path w="0" h="24130">
                                <a:moveTo>
                                  <a:pt x="0" y="0"/>
                                </a:moveTo>
                                <a:lnTo>
                                  <a:pt x="0" y="23698"/>
                                </a:lnTo>
                              </a:path>
                            </a:pathLst>
                          </a:custGeom>
                          <a:ln w="142190">
                            <a:solidFill>
                              <a:srgbClr val="0073BC"/>
                            </a:solidFill>
                            <a:prstDash val="solid"/>
                          </a:ln>
                        </wps:spPr>
                        <wps:bodyPr wrap="square" lIns="0" tIns="0" rIns="0" bIns="0" rtlCol="0">
                          <a:prstTxWarp prst="textNoShape">
                            <a:avLst/>
                          </a:prstTxWarp>
                          <a:noAutofit/>
                        </wps:bodyPr>
                      </wps:wsp>
                      <wps:wsp>
                        <wps:cNvPr id="1010" name="Graphic 1010"/>
                        <wps:cNvSpPr/>
                        <wps:spPr>
                          <a:xfrm>
                            <a:off x="11849" y="0"/>
                            <a:ext cx="1270" cy="6185535"/>
                          </a:xfrm>
                          <a:custGeom>
                            <a:avLst/>
                            <a:gdLst/>
                            <a:ahLst/>
                            <a:cxnLst/>
                            <a:rect l="l" t="t" r="r" b="b"/>
                            <a:pathLst>
                              <a:path w="0" h="6185535">
                                <a:moveTo>
                                  <a:pt x="0" y="0"/>
                                </a:moveTo>
                                <a:lnTo>
                                  <a:pt x="0" y="6185273"/>
                                </a:lnTo>
                              </a:path>
                            </a:pathLst>
                          </a:custGeom>
                          <a:ln w="23698">
                            <a:solidFill>
                              <a:srgbClr val="0073B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6.740173pt;margin-top:45.588242pt;width:11.8pt;height:487.05pt;mso-position-horizontal-relative:page;mso-position-vertical-relative:page;z-index:15797760" id="docshapegroup815" coordorigin="14935,912" coordsize="236,9741">
                <v:line style="position:absolute" from="15058,10615" to="15058,10652" stroked="true" strokeweight="11.196078pt" strokecolor="#0073bc">
                  <v:stroke dashstyle="solid"/>
                </v:line>
                <v:line style="position:absolute" from="14953,912" to="14953,10652" stroked="true" strokeweight="1.866013pt" strokecolor="#0073bc">
                  <v:stroke dashstyle="solid"/>
                </v:line>
                <w10:wrap type="none"/>
              </v:group>
            </w:pict>
          </mc:Fallback>
        </mc:AlternateContent>
      </w:r>
      <w:r>
        <w:rPr>
          <w:i/>
          <w:sz w:val="20"/>
        </w:rPr>
        <mc:AlternateContent>
          <mc:Choice Requires="wps">
            <w:drawing>
              <wp:anchor distT="0" distB="0" distL="0" distR="0" allowOverlap="1" layoutInCell="1" locked="0" behindDoc="0" simplePos="0" relativeHeight="15798272">
                <wp:simplePos x="0" y="0"/>
                <wp:positionH relativeFrom="page">
                  <wp:posOffset>10223272</wp:posOffset>
                </wp:positionH>
                <wp:positionV relativeFrom="page">
                  <wp:posOffset>3638410</wp:posOffset>
                </wp:positionV>
                <wp:extent cx="196215" cy="280035"/>
                <wp:effectExtent l="0" t="0" r="0" b="0"/>
                <wp:wrapNone/>
                <wp:docPr id="1011" name="Textbox 1011"/>
                <wp:cNvGraphicFramePr>
                  <a:graphicFrameLocks/>
                </wp:cNvGraphicFramePr>
                <a:graphic>
                  <a:graphicData uri="http://schemas.microsoft.com/office/word/2010/wordprocessingShape">
                    <wps:wsp>
                      <wps:cNvPr id="1011" name="Textbox 1011"/>
                      <wps:cNvSpPr txBox="1"/>
                      <wps:spPr>
                        <a:xfrm>
                          <a:off x="0" y="0"/>
                          <a:ext cx="196215" cy="280035"/>
                        </a:xfrm>
                        <a:prstGeom prst="rect">
                          <a:avLst/>
                        </a:prstGeom>
                      </wps:spPr>
                      <wps:txbx>
                        <w:txbxContent>
                          <w:p>
                            <w:pPr>
                              <w:spacing w:before="12"/>
                              <w:ind w:left="20" w:right="0" w:firstLine="0"/>
                              <w:jc w:val="left"/>
                              <w:rPr>
                                <w:rFonts w:ascii="Arial MT"/>
                                <w:sz w:val="24"/>
                              </w:rPr>
                            </w:pPr>
                            <w:r>
                              <w:rPr>
                                <w:rFonts w:ascii="Arial MT"/>
                                <w:spacing w:val="-5"/>
                                <w:sz w:val="24"/>
                              </w:rPr>
                              <w:t>532</w:t>
                            </w:r>
                          </w:p>
                        </w:txbxContent>
                      </wps:txbx>
                      <wps:bodyPr wrap="square" lIns="0" tIns="0" rIns="0" bIns="0" rtlCol="0" vert="vert">
                        <a:noAutofit/>
                      </wps:bodyPr>
                    </wps:wsp>
                  </a:graphicData>
                </a:graphic>
              </wp:anchor>
            </w:drawing>
          </mc:Choice>
          <mc:Fallback>
            <w:pict>
              <v:shape style="position:absolute;margin-left:804.982056pt;margin-top:286.489014pt;width:15.45pt;height:22.05pt;mso-position-horizontal-relative:page;mso-position-vertical-relative:page;z-index:15798272" type="#_x0000_t202" id="docshape816" filled="false" stroked="false">
                <v:textbox inset="0,0,0,0" style="layout-flow:vertical">
                  <w:txbxContent>
                    <w:p>
                      <w:pPr>
                        <w:spacing w:before="12"/>
                        <w:ind w:left="20" w:right="0" w:firstLine="0"/>
                        <w:jc w:val="left"/>
                        <w:rPr>
                          <w:rFonts w:ascii="Arial MT"/>
                          <w:sz w:val="24"/>
                        </w:rPr>
                      </w:pPr>
                      <w:r>
                        <w:rPr>
                          <w:rFonts w:ascii="Arial MT"/>
                          <w:spacing w:val="-5"/>
                          <w:sz w:val="24"/>
                        </w:rPr>
                        <w:t>532</w:t>
                      </w:r>
                    </w:p>
                  </w:txbxContent>
                </v:textbox>
                <w10:wrap type="none"/>
              </v:shape>
            </w:pict>
          </mc:Fallback>
        </mc:AlternateContent>
      </w:r>
      <w:r>
        <w:rPr>
          <w:i/>
          <w:sz w:val="20"/>
        </w:rPr>
        <mc:AlternateContent>
          <mc:Choice Requires="wps">
            <w:drawing>
              <wp:anchor distT="0" distB="0" distL="0" distR="0" allowOverlap="1" layoutInCell="1" locked="0" behindDoc="0" simplePos="0" relativeHeight="15798784">
                <wp:simplePos x="0" y="0"/>
                <wp:positionH relativeFrom="page">
                  <wp:posOffset>9496731</wp:posOffset>
                </wp:positionH>
                <wp:positionV relativeFrom="page">
                  <wp:posOffset>566270</wp:posOffset>
                </wp:positionV>
                <wp:extent cx="170180" cy="2602230"/>
                <wp:effectExtent l="0" t="0" r="0" b="0"/>
                <wp:wrapNone/>
                <wp:docPr id="1012" name="Textbox 1012"/>
                <wp:cNvGraphicFramePr>
                  <a:graphicFrameLocks/>
                </wp:cNvGraphicFramePr>
                <a:graphic>
                  <a:graphicData uri="http://schemas.microsoft.com/office/word/2010/wordprocessingShape">
                    <wps:wsp>
                      <wps:cNvPr id="1012" name="Textbox 1012"/>
                      <wps:cNvSpPr txBox="1"/>
                      <wps:spPr>
                        <a:xfrm>
                          <a:off x="0" y="0"/>
                          <a:ext cx="170180" cy="2602230"/>
                        </a:xfrm>
                        <a:prstGeom prst="rect">
                          <a:avLst/>
                        </a:prstGeom>
                      </wps:spPr>
                      <wps:txbx>
                        <w:txbxContent>
                          <w:p>
                            <w:pPr>
                              <w:spacing w:before="26"/>
                              <w:ind w:left="20" w:right="0" w:firstLine="0"/>
                              <w:jc w:val="left"/>
                              <w:rPr>
                                <w:sz w:val="18"/>
                              </w:rPr>
                            </w:pPr>
                            <w:r>
                              <w:rPr>
                                <w:b/>
                                <w:color w:val="231F20"/>
                                <w:w w:val="105"/>
                                <w:sz w:val="18"/>
                              </w:rPr>
                              <w:t>2968</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vert="vert">
                        <a:noAutofit/>
                      </wps:bodyPr>
                    </wps:wsp>
                  </a:graphicData>
                </a:graphic>
              </wp:anchor>
            </w:drawing>
          </mc:Choice>
          <mc:Fallback>
            <w:pict>
              <v:shape style="position:absolute;margin-left:747.774109pt;margin-top:44.5882pt;width:13.4pt;height:204.9pt;mso-position-horizontal-relative:page;mso-position-vertical-relative:page;z-index:15798784" type="#_x0000_t202" id="docshape817" filled="false" stroked="false">
                <v:textbox inset="0,0,0,0" style="layout-flow:vertical">
                  <w:txbxContent>
                    <w:p>
                      <w:pPr>
                        <w:spacing w:before="26"/>
                        <w:ind w:left="20" w:right="0" w:firstLine="0"/>
                        <w:jc w:val="left"/>
                        <w:rPr>
                          <w:sz w:val="18"/>
                        </w:rPr>
                      </w:pPr>
                      <w:r>
                        <w:rPr>
                          <w:b/>
                          <w:color w:val="231F20"/>
                          <w:w w:val="105"/>
                          <w:sz w:val="18"/>
                        </w:rPr>
                        <w:t>2968</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w:pict>
          </mc:Fallback>
        </mc:AlternateContent>
      </w:r>
    </w:p>
    <w:p>
      <w:pPr>
        <w:pStyle w:val="BodyText"/>
        <w:spacing w:before="180"/>
        <w:rPr>
          <w:i/>
          <w:sz w:val="20"/>
        </w:rPr>
      </w:pPr>
    </w:p>
    <w:tbl>
      <w:tblPr>
        <w:tblW w:w="0" w:type="auto"/>
        <w:jc w:val="lef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5"/>
        <w:gridCol w:w="1336"/>
        <w:gridCol w:w="653"/>
        <w:gridCol w:w="1667"/>
        <w:gridCol w:w="1293"/>
        <w:gridCol w:w="1495"/>
        <w:gridCol w:w="1076"/>
        <w:gridCol w:w="1498"/>
      </w:tblGrid>
      <w:tr>
        <w:trPr>
          <w:trHeight w:val="373" w:hRule="atLeast"/>
        </w:trPr>
        <w:tc>
          <w:tcPr>
            <w:tcW w:w="12803" w:type="dxa"/>
            <w:gridSpan w:val="8"/>
            <w:shd w:val="clear" w:color="auto" w:fill="231F20"/>
          </w:tcPr>
          <w:p>
            <w:pPr>
              <w:pStyle w:val="TableParagraph"/>
              <w:spacing w:before="89"/>
              <w:ind w:left="111"/>
              <w:rPr>
                <w:sz w:val="16"/>
              </w:rPr>
            </w:pPr>
            <w:r>
              <w:rPr>
                <w:b/>
                <w:color w:val="FFFFFF"/>
                <w:w w:val="110"/>
                <w:sz w:val="16"/>
              </w:rPr>
              <w:t>Table</w:t>
            </w:r>
            <w:r>
              <w:rPr>
                <w:b/>
                <w:color w:val="FFFFFF"/>
                <w:spacing w:val="-14"/>
                <w:w w:val="110"/>
                <w:sz w:val="16"/>
              </w:rPr>
              <w:t> </w:t>
            </w:r>
            <w:r>
              <w:rPr>
                <w:b/>
                <w:color w:val="FFFFFF"/>
                <w:w w:val="110"/>
                <w:sz w:val="16"/>
              </w:rPr>
              <w:t>608-2</w:t>
            </w:r>
            <w:r>
              <w:rPr>
                <w:b/>
                <w:color w:val="FFFFFF"/>
                <w:spacing w:val="67"/>
                <w:w w:val="110"/>
                <w:sz w:val="16"/>
              </w:rPr>
              <w:t> </w:t>
            </w:r>
            <w:r>
              <w:rPr>
                <w:color w:val="FFFFFF"/>
                <w:w w:val="110"/>
                <w:sz w:val="16"/>
              </w:rPr>
              <w:t>Clinical</w:t>
            </w:r>
            <w:r>
              <w:rPr>
                <w:color w:val="FFFFFF"/>
                <w:spacing w:val="-13"/>
                <w:w w:val="110"/>
                <w:sz w:val="16"/>
              </w:rPr>
              <w:t> </w:t>
            </w:r>
            <w:r>
              <w:rPr>
                <w:color w:val="FFFFFF"/>
                <w:w w:val="110"/>
                <w:sz w:val="16"/>
              </w:rPr>
              <w:t>Signs</w:t>
            </w:r>
            <w:r>
              <w:rPr>
                <w:color w:val="FFFFFF"/>
                <w:spacing w:val="-12"/>
                <w:w w:val="110"/>
                <w:sz w:val="16"/>
              </w:rPr>
              <w:t> </w:t>
            </w:r>
            <w:r>
              <w:rPr>
                <w:color w:val="FFFFFF"/>
                <w:w w:val="110"/>
                <w:sz w:val="16"/>
              </w:rPr>
              <w:t>of</w:t>
            </w:r>
            <w:r>
              <w:rPr>
                <w:color w:val="FFFFFF"/>
                <w:spacing w:val="-13"/>
                <w:w w:val="110"/>
                <w:sz w:val="16"/>
              </w:rPr>
              <w:t> </w:t>
            </w:r>
            <w:r>
              <w:rPr>
                <w:color w:val="FFFFFF"/>
                <w:w w:val="110"/>
                <w:sz w:val="16"/>
              </w:rPr>
              <w:t>Muscular</w:t>
            </w:r>
            <w:r>
              <w:rPr>
                <w:color w:val="FFFFFF"/>
                <w:spacing w:val="-12"/>
                <w:w w:val="110"/>
                <w:sz w:val="16"/>
              </w:rPr>
              <w:t> </w:t>
            </w:r>
            <w:r>
              <w:rPr>
                <w:color w:val="FFFFFF"/>
                <w:w w:val="110"/>
                <w:sz w:val="16"/>
              </w:rPr>
              <w:t>Dystrophy—</w:t>
            </w:r>
            <w:r>
              <w:rPr>
                <w:color w:val="FFFFFF"/>
                <w:spacing w:val="-2"/>
                <w:w w:val="110"/>
                <w:sz w:val="16"/>
              </w:rPr>
              <w:t>cont’d</w:t>
            </w:r>
          </w:p>
        </w:tc>
      </w:tr>
      <w:tr>
        <w:trPr>
          <w:trHeight w:val="425" w:hRule="atLeast"/>
        </w:trPr>
        <w:tc>
          <w:tcPr>
            <w:tcW w:w="3785" w:type="dxa"/>
            <w:tcBorders>
              <w:bottom w:val="single" w:sz="4" w:space="0" w:color="231F20"/>
            </w:tcBorders>
            <w:shd w:val="clear" w:color="auto" w:fill="E8F5F1"/>
          </w:tcPr>
          <w:p>
            <w:pPr>
              <w:pStyle w:val="TableParagraph"/>
              <w:spacing w:before="41"/>
              <w:rPr>
                <w:i/>
                <w:sz w:val="15"/>
              </w:rPr>
            </w:pPr>
          </w:p>
          <w:p>
            <w:pPr>
              <w:pStyle w:val="TableParagraph"/>
              <w:ind w:left="2139"/>
              <w:rPr>
                <w:b/>
                <w:sz w:val="15"/>
              </w:rPr>
            </w:pPr>
            <w:r>
              <w:rPr>
                <w:b/>
                <w:color w:val="231F20"/>
                <w:w w:val="110"/>
                <w:sz w:val="15"/>
              </w:rPr>
              <w:t>MOTOR</w:t>
            </w:r>
            <w:r>
              <w:rPr>
                <w:b/>
                <w:color w:val="231F20"/>
                <w:spacing w:val="12"/>
                <w:w w:val="110"/>
                <w:sz w:val="15"/>
              </w:rPr>
              <w:t> </w:t>
            </w:r>
            <w:r>
              <w:rPr>
                <w:b/>
                <w:color w:val="231F20"/>
                <w:spacing w:val="-2"/>
                <w:w w:val="110"/>
                <w:sz w:val="15"/>
              </w:rPr>
              <w:t>FUNCTION</w:t>
            </w:r>
          </w:p>
        </w:tc>
        <w:tc>
          <w:tcPr>
            <w:tcW w:w="1336" w:type="dxa"/>
            <w:tcBorders>
              <w:bottom w:val="single" w:sz="4" w:space="0" w:color="231F20"/>
            </w:tcBorders>
            <w:shd w:val="clear" w:color="auto" w:fill="E8F5F1"/>
          </w:tcPr>
          <w:p>
            <w:pPr>
              <w:pStyle w:val="TableParagraph"/>
              <w:spacing w:line="230" w:lineRule="auto" w:before="53"/>
              <w:ind w:left="111" w:firstLine="30"/>
              <w:rPr>
                <w:b/>
                <w:sz w:val="15"/>
              </w:rPr>
            </w:pPr>
            <w:r>
              <w:rPr>
                <w:b/>
                <w:color w:val="231F20"/>
                <w:spacing w:val="-2"/>
                <w:w w:val="110"/>
                <w:sz w:val="15"/>
              </w:rPr>
              <w:t>DISTRIBUTION </w:t>
            </w:r>
            <w:r>
              <w:rPr>
                <w:b/>
                <w:color w:val="231F20"/>
                <w:w w:val="110"/>
                <w:sz w:val="15"/>
              </w:rPr>
              <w:t>OF</w:t>
            </w:r>
            <w:r>
              <w:rPr>
                <w:b/>
                <w:color w:val="231F20"/>
                <w:spacing w:val="2"/>
                <w:w w:val="110"/>
                <w:sz w:val="15"/>
              </w:rPr>
              <w:t> </w:t>
            </w:r>
            <w:r>
              <w:rPr>
                <w:b/>
                <w:color w:val="231F20"/>
                <w:spacing w:val="-2"/>
                <w:w w:val="110"/>
                <w:sz w:val="15"/>
              </w:rPr>
              <w:t>WEAKNESS</w:t>
            </w:r>
          </w:p>
        </w:tc>
        <w:tc>
          <w:tcPr>
            <w:tcW w:w="653" w:type="dxa"/>
            <w:tcBorders>
              <w:bottom w:val="single" w:sz="4" w:space="0" w:color="231F20"/>
            </w:tcBorders>
            <w:shd w:val="clear" w:color="auto" w:fill="E8F5F1"/>
          </w:tcPr>
          <w:p>
            <w:pPr>
              <w:pStyle w:val="TableParagraph"/>
              <w:spacing w:line="230" w:lineRule="auto" w:before="53"/>
              <w:ind w:left="106" w:firstLine="12"/>
              <w:rPr>
                <w:b/>
                <w:sz w:val="15"/>
              </w:rPr>
            </w:pPr>
            <w:r>
              <w:rPr>
                <w:b/>
                <w:color w:val="231F20"/>
                <w:spacing w:val="-2"/>
                <w:w w:val="110"/>
                <w:sz w:val="15"/>
              </w:rPr>
              <w:t>RIGID SPINE</w:t>
            </w:r>
          </w:p>
        </w:tc>
        <w:tc>
          <w:tcPr>
            <w:tcW w:w="1667" w:type="dxa"/>
            <w:tcBorders>
              <w:bottom w:val="single" w:sz="4" w:space="0" w:color="231F20"/>
            </w:tcBorders>
            <w:shd w:val="clear" w:color="auto" w:fill="E8F5F1"/>
          </w:tcPr>
          <w:p>
            <w:pPr>
              <w:pStyle w:val="TableParagraph"/>
              <w:spacing w:before="41"/>
              <w:rPr>
                <w:i/>
                <w:sz w:val="15"/>
              </w:rPr>
            </w:pPr>
          </w:p>
          <w:p>
            <w:pPr>
              <w:pStyle w:val="TableParagraph"/>
              <w:ind w:right="1"/>
              <w:jc w:val="center"/>
              <w:rPr>
                <w:b/>
                <w:sz w:val="15"/>
              </w:rPr>
            </w:pPr>
            <w:r>
              <w:rPr>
                <w:b/>
                <w:color w:val="231F20"/>
                <w:spacing w:val="-2"/>
                <w:w w:val="110"/>
                <w:sz w:val="15"/>
              </w:rPr>
              <w:t>CARDIOMYOPATHY</w:t>
            </w:r>
          </w:p>
        </w:tc>
        <w:tc>
          <w:tcPr>
            <w:tcW w:w="1293" w:type="dxa"/>
            <w:tcBorders>
              <w:bottom w:val="single" w:sz="4" w:space="0" w:color="231F20"/>
            </w:tcBorders>
            <w:shd w:val="clear" w:color="auto" w:fill="E8F5F1"/>
          </w:tcPr>
          <w:p>
            <w:pPr>
              <w:pStyle w:val="TableParagraph"/>
              <w:spacing w:line="230" w:lineRule="auto" w:before="53"/>
              <w:ind w:left="163" w:hanging="27"/>
              <w:rPr>
                <w:b/>
                <w:sz w:val="15"/>
              </w:rPr>
            </w:pPr>
            <w:r>
              <w:rPr>
                <w:b/>
                <w:color w:val="231F20"/>
                <w:spacing w:val="-2"/>
                <w:sz w:val="15"/>
              </w:rPr>
              <w:t>RESPIRATORY </w:t>
            </w:r>
            <w:r>
              <w:rPr>
                <w:b/>
                <w:color w:val="231F20"/>
                <w:spacing w:val="-2"/>
                <w:w w:val="110"/>
                <w:sz w:val="15"/>
              </w:rPr>
              <w:t>IMPAIRMENT</w:t>
            </w:r>
          </w:p>
        </w:tc>
        <w:tc>
          <w:tcPr>
            <w:tcW w:w="1495" w:type="dxa"/>
            <w:tcBorders>
              <w:bottom w:val="single" w:sz="4" w:space="0" w:color="231F20"/>
            </w:tcBorders>
            <w:shd w:val="clear" w:color="auto" w:fill="E8F5F1"/>
          </w:tcPr>
          <w:p>
            <w:pPr>
              <w:pStyle w:val="TableParagraph"/>
              <w:spacing w:line="230" w:lineRule="auto" w:before="53"/>
              <w:ind w:left="443" w:hanging="8"/>
              <w:rPr>
                <w:b/>
                <w:sz w:val="15"/>
              </w:rPr>
            </w:pPr>
            <w:r>
              <w:rPr>
                <w:b/>
                <w:color w:val="231F20"/>
                <w:spacing w:val="-2"/>
                <w:w w:val="110"/>
                <w:sz w:val="15"/>
              </w:rPr>
              <w:t>DISEASE COURSE</w:t>
            </w:r>
          </w:p>
        </w:tc>
        <w:tc>
          <w:tcPr>
            <w:tcW w:w="1076" w:type="dxa"/>
            <w:tcBorders>
              <w:bottom w:val="single" w:sz="4" w:space="0" w:color="231F20"/>
            </w:tcBorders>
            <w:shd w:val="clear" w:color="auto" w:fill="E8F5F1"/>
          </w:tcPr>
          <w:p>
            <w:pPr>
              <w:pStyle w:val="TableParagraph"/>
              <w:spacing w:line="230" w:lineRule="auto" w:before="53"/>
              <w:ind w:left="430" w:right="107" w:hanging="327"/>
              <w:rPr>
                <w:b/>
                <w:sz w:val="15"/>
              </w:rPr>
            </w:pPr>
            <w:r>
              <w:rPr>
                <w:b/>
                <w:color w:val="231F20"/>
                <w:spacing w:val="-2"/>
                <w:w w:val="110"/>
                <w:sz w:val="15"/>
              </w:rPr>
              <w:t>INCREASED </w:t>
            </w:r>
            <w:r>
              <w:rPr>
                <w:b/>
                <w:color w:val="231F20"/>
                <w:spacing w:val="-6"/>
                <w:w w:val="115"/>
                <w:sz w:val="15"/>
              </w:rPr>
              <w:t>CK</w:t>
            </w:r>
          </w:p>
        </w:tc>
        <w:tc>
          <w:tcPr>
            <w:tcW w:w="1498" w:type="dxa"/>
            <w:tcBorders>
              <w:bottom w:val="single" w:sz="4" w:space="0" w:color="231F20"/>
            </w:tcBorders>
            <w:shd w:val="clear" w:color="auto" w:fill="E8F5F1"/>
          </w:tcPr>
          <w:p>
            <w:pPr>
              <w:pStyle w:val="TableParagraph"/>
              <w:spacing w:before="41"/>
              <w:rPr>
                <w:i/>
                <w:sz w:val="15"/>
              </w:rPr>
            </w:pPr>
          </w:p>
          <w:p>
            <w:pPr>
              <w:pStyle w:val="TableParagraph"/>
              <w:ind w:left="261"/>
              <w:rPr>
                <w:b/>
                <w:sz w:val="15"/>
              </w:rPr>
            </w:pPr>
            <w:r>
              <w:rPr>
                <w:b/>
                <w:color w:val="231F20"/>
                <w:w w:val="110"/>
                <w:sz w:val="15"/>
              </w:rPr>
              <w:t>OTHER</w:t>
            </w:r>
            <w:r>
              <w:rPr>
                <w:b/>
                <w:color w:val="231F20"/>
                <w:spacing w:val="-12"/>
                <w:w w:val="110"/>
                <w:sz w:val="15"/>
              </w:rPr>
              <w:t> </w:t>
            </w:r>
            <w:r>
              <w:rPr>
                <w:b/>
                <w:color w:val="231F20"/>
                <w:spacing w:val="-2"/>
                <w:w w:val="110"/>
                <w:sz w:val="15"/>
              </w:rPr>
              <w:t>SIGNS</w:t>
            </w:r>
          </w:p>
        </w:tc>
      </w:tr>
      <w:tr>
        <w:trPr>
          <w:trHeight w:val="206" w:hRule="atLeast"/>
        </w:trPr>
        <w:tc>
          <w:tcPr>
            <w:tcW w:w="5774" w:type="dxa"/>
            <w:gridSpan w:val="3"/>
            <w:tcBorders>
              <w:top w:val="single" w:sz="4" w:space="0" w:color="231F20"/>
            </w:tcBorders>
            <w:shd w:val="clear" w:color="auto" w:fill="E8F5F1"/>
          </w:tcPr>
          <w:p>
            <w:pPr>
              <w:pStyle w:val="TableParagraph"/>
              <w:spacing w:line="143" w:lineRule="exact" w:before="43"/>
              <w:ind w:left="74"/>
              <w:rPr>
                <w:sz w:val="15"/>
              </w:rPr>
            </w:pPr>
            <w:r>
              <w:rPr>
                <w:color w:val="231F20"/>
                <w:w w:val="110"/>
                <w:sz w:val="15"/>
              </w:rPr>
              <w:t>CHILDHOOD-ONSET</w:t>
            </w:r>
            <w:r>
              <w:rPr>
                <w:color w:val="231F20"/>
                <w:spacing w:val="33"/>
                <w:w w:val="110"/>
                <w:sz w:val="15"/>
              </w:rPr>
              <w:t> </w:t>
            </w:r>
            <w:r>
              <w:rPr>
                <w:color w:val="231F20"/>
                <w:w w:val="110"/>
                <w:sz w:val="15"/>
              </w:rPr>
              <w:t>AND</w:t>
            </w:r>
            <w:r>
              <w:rPr>
                <w:color w:val="231F20"/>
                <w:spacing w:val="33"/>
                <w:w w:val="110"/>
                <w:sz w:val="15"/>
              </w:rPr>
              <w:t> </w:t>
            </w:r>
            <w:r>
              <w:rPr>
                <w:color w:val="231F20"/>
                <w:w w:val="110"/>
                <w:sz w:val="15"/>
              </w:rPr>
              <w:t>ADULTHOOD-ONSET</w:t>
            </w:r>
            <w:r>
              <w:rPr>
                <w:color w:val="231F20"/>
                <w:spacing w:val="34"/>
                <w:w w:val="110"/>
                <w:sz w:val="15"/>
              </w:rPr>
              <w:t> </w:t>
            </w:r>
            <w:r>
              <w:rPr>
                <w:color w:val="231F20"/>
                <w:w w:val="110"/>
                <w:sz w:val="15"/>
              </w:rPr>
              <w:t>MUSCULAR</w:t>
            </w:r>
            <w:r>
              <w:rPr>
                <w:color w:val="231F20"/>
                <w:spacing w:val="33"/>
                <w:w w:val="110"/>
                <w:sz w:val="15"/>
              </w:rPr>
              <w:t> </w:t>
            </w:r>
            <w:r>
              <w:rPr>
                <w:color w:val="231F20"/>
                <w:spacing w:val="-2"/>
                <w:w w:val="110"/>
                <w:sz w:val="15"/>
              </w:rPr>
              <w:t>DYSTROPHY</w:t>
            </w:r>
          </w:p>
        </w:tc>
        <w:tc>
          <w:tcPr>
            <w:tcW w:w="1667" w:type="dxa"/>
            <w:tcBorders>
              <w:top w:val="single" w:sz="4" w:space="0" w:color="231F20"/>
            </w:tcBorders>
            <w:shd w:val="clear" w:color="auto" w:fill="E8F5F1"/>
          </w:tcPr>
          <w:p>
            <w:pPr>
              <w:pStyle w:val="TableParagraph"/>
              <w:rPr>
                <w:rFonts w:ascii="Times New Roman"/>
                <w:sz w:val="14"/>
              </w:rPr>
            </w:pPr>
          </w:p>
        </w:tc>
        <w:tc>
          <w:tcPr>
            <w:tcW w:w="1293" w:type="dxa"/>
            <w:vMerge w:val="restart"/>
            <w:tcBorders>
              <w:top w:val="single" w:sz="4" w:space="0" w:color="231F20"/>
              <w:bottom w:val="single" w:sz="4" w:space="0" w:color="FFFFFF"/>
            </w:tcBorders>
            <w:shd w:val="clear" w:color="auto" w:fill="E8F5F1"/>
          </w:tcPr>
          <w:p>
            <w:pPr>
              <w:pStyle w:val="TableParagraph"/>
              <w:spacing w:before="38"/>
              <w:rPr>
                <w:i/>
                <w:sz w:val="15"/>
              </w:rPr>
            </w:pPr>
          </w:p>
          <w:p>
            <w:pPr>
              <w:pStyle w:val="TableParagraph"/>
              <w:ind w:left="105"/>
              <w:rPr>
                <w:sz w:val="15"/>
              </w:rPr>
            </w:pPr>
            <w:r>
              <w:rPr>
                <w:color w:val="231F20"/>
                <w:sz w:val="15"/>
              </w:rPr>
              <w:t>Not</w:t>
            </w:r>
            <w:r>
              <w:rPr>
                <w:color w:val="231F20"/>
                <w:spacing w:val="17"/>
                <w:sz w:val="15"/>
              </w:rPr>
              <w:t> </w:t>
            </w:r>
            <w:r>
              <w:rPr>
                <w:color w:val="231F20"/>
                <w:spacing w:val="-2"/>
                <w:sz w:val="15"/>
              </w:rPr>
              <w:t>frequent</w:t>
            </w:r>
          </w:p>
          <w:p>
            <w:pPr>
              <w:pStyle w:val="TableParagraph"/>
              <w:spacing w:before="157"/>
              <w:rPr>
                <w:i/>
                <w:sz w:val="15"/>
              </w:rPr>
            </w:pPr>
          </w:p>
          <w:p>
            <w:pPr>
              <w:pStyle w:val="TableParagraph"/>
              <w:spacing w:before="1"/>
              <w:ind w:left="7"/>
              <w:jc w:val="center"/>
              <w:rPr>
                <w:rFonts w:ascii="Cambria"/>
                <w:sz w:val="15"/>
              </w:rPr>
            </w:pPr>
            <w:r>
              <w:rPr>
                <w:rFonts w:ascii="Cambria"/>
                <w:color w:val="231F20"/>
                <w:spacing w:val="-5"/>
                <w:sz w:val="15"/>
              </w:rPr>
              <w:t>++</w:t>
            </w:r>
          </w:p>
          <w:p>
            <w:pPr>
              <w:pStyle w:val="TableParagraph"/>
              <w:rPr>
                <w:i/>
                <w:sz w:val="15"/>
              </w:rPr>
            </w:pPr>
          </w:p>
          <w:p>
            <w:pPr>
              <w:pStyle w:val="TableParagraph"/>
              <w:spacing w:before="149"/>
              <w:rPr>
                <w:i/>
                <w:sz w:val="15"/>
              </w:rPr>
            </w:pPr>
          </w:p>
          <w:p>
            <w:pPr>
              <w:pStyle w:val="TableParagraph"/>
              <w:ind w:left="7"/>
              <w:jc w:val="center"/>
              <w:rPr>
                <w:sz w:val="15"/>
              </w:rPr>
            </w:pPr>
            <w:r>
              <w:rPr>
                <w:rFonts w:ascii="Cambria"/>
                <w:color w:val="231F20"/>
                <w:spacing w:val="-4"/>
                <w:w w:val="95"/>
                <w:sz w:val="15"/>
              </w:rPr>
              <w:t>+</w:t>
            </w:r>
            <w:r>
              <w:rPr>
                <w:color w:val="231F20"/>
                <w:spacing w:val="-4"/>
                <w:w w:val="95"/>
                <w:sz w:val="15"/>
              </w:rPr>
              <w:t>(</w:t>
            </w:r>
            <w:r>
              <w:rPr>
                <w:rFonts w:ascii="Cambria"/>
                <w:color w:val="231F20"/>
                <w:spacing w:val="-4"/>
                <w:w w:val="95"/>
                <w:sz w:val="15"/>
              </w:rPr>
              <w:t>+</w:t>
            </w:r>
            <w:r>
              <w:rPr>
                <w:color w:val="231F20"/>
                <w:spacing w:val="-4"/>
                <w:w w:val="95"/>
                <w:sz w:val="15"/>
              </w:rPr>
              <w:t>)</w:t>
            </w:r>
          </w:p>
          <w:p>
            <w:pPr>
              <w:pStyle w:val="TableParagraph"/>
              <w:rPr>
                <w:i/>
                <w:sz w:val="15"/>
              </w:rPr>
            </w:pPr>
          </w:p>
          <w:p>
            <w:pPr>
              <w:pStyle w:val="TableParagraph"/>
              <w:rPr>
                <w:i/>
                <w:sz w:val="15"/>
              </w:rPr>
            </w:pPr>
          </w:p>
          <w:p>
            <w:pPr>
              <w:pStyle w:val="TableParagraph"/>
              <w:spacing w:before="142"/>
              <w:rPr>
                <w:i/>
                <w:sz w:val="15"/>
              </w:rPr>
            </w:pPr>
          </w:p>
          <w:p>
            <w:pPr>
              <w:pStyle w:val="TableParagraph"/>
              <w:ind w:left="7" w:right="1"/>
              <w:jc w:val="center"/>
              <w:rPr>
                <w:sz w:val="15"/>
              </w:rPr>
            </w:pPr>
            <w:r>
              <w:rPr>
                <w:color w:val="231F20"/>
                <w:spacing w:val="-10"/>
                <w:w w:val="135"/>
                <w:sz w:val="15"/>
              </w:rPr>
              <w:t>–</w:t>
            </w:r>
          </w:p>
          <w:p>
            <w:pPr>
              <w:pStyle w:val="TableParagraph"/>
              <w:spacing w:before="157"/>
              <w:rPr>
                <w:i/>
                <w:sz w:val="15"/>
              </w:rPr>
            </w:pPr>
          </w:p>
          <w:p>
            <w:pPr>
              <w:pStyle w:val="TableParagraph"/>
              <w:spacing w:before="1"/>
              <w:ind w:left="7" w:right="1"/>
              <w:jc w:val="center"/>
              <w:rPr>
                <w:rFonts w:ascii="Cambria"/>
                <w:sz w:val="15"/>
              </w:rPr>
            </w:pPr>
            <w:r>
              <w:rPr>
                <w:rFonts w:ascii="Cambria"/>
                <w:color w:val="231F20"/>
                <w:spacing w:val="-10"/>
                <w:sz w:val="15"/>
              </w:rPr>
              <w:t>+</w:t>
            </w:r>
          </w:p>
          <w:p>
            <w:pPr>
              <w:pStyle w:val="TableParagraph"/>
              <w:rPr>
                <w:i/>
                <w:sz w:val="15"/>
              </w:rPr>
            </w:pPr>
          </w:p>
          <w:p>
            <w:pPr>
              <w:pStyle w:val="TableParagraph"/>
              <w:spacing w:before="150"/>
              <w:rPr>
                <w:i/>
                <w:sz w:val="15"/>
              </w:rPr>
            </w:pPr>
          </w:p>
          <w:p>
            <w:pPr>
              <w:pStyle w:val="TableParagraph"/>
              <w:ind w:left="7"/>
              <w:jc w:val="center"/>
              <w:rPr>
                <w:sz w:val="15"/>
              </w:rPr>
            </w:pPr>
            <w:r>
              <w:rPr>
                <w:color w:val="231F20"/>
                <w:spacing w:val="-10"/>
                <w:w w:val="135"/>
                <w:sz w:val="15"/>
              </w:rPr>
              <w:t>–</w:t>
            </w:r>
          </w:p>
          <w:p>
            <w:pPr>
              <w:pStyle w:val="TableParagraph"/>
              <w:spacing w:before="165"/>
              <w:rPr>
                <w:i/>
                <w:sz w:val="15"/>
              </w:rPr>
            </w:pPr>
          </w:p>
          <w:p>
            <w:pPr>
              <w:pStyle w:val="TableParagraph"/>
              <w:spacing w:line="230" w:lineRule="auto"/>
              <w:ind w:left="217" w:hanging="112"/>
              <w:rPr>
                <w:sz w:val="15"/>
              </w:rPr>
            </w:pPr>
            <w:r>
              <w:rPr>
                <w:color w:val="231F20"/>
                <w:sz w:val="15"/>
              </w:rPr>
              <w:t>Uncommon</w:t>
            </w:r>
            <w:r>
              <w:rPr>
                <w:color w:val="231F20"/>
                <w:spacing w:val="-3"/>
                <w:sz w:val="15"/>
              </w:rPr>
              <w:t> </w:t>
            </w:r>
            <w:r>
              <w:rPr>
                <w:color w:val="231F20"/>
                <w:sz w:val="15"/>
              </w:rPr>
              <w:t>and </w:t>
            </w:r>
            <w:r>
              <w:rPr>
                <w:color w:val="231F20"/>
                <w:spacing w:val="-4"/>
                <w:sz w:val="15"/>
              </w:rPr>
              <w:t>mild</w:t>
            </w:r>
          </w:p>
          <w:p>
            <w:pPr>
              <w:pStyle w:val="TableParagraph"/>
              <w:spacing w:before="159"/>
              <w:rPr>
                <w:i/>
                <w:sz w:val="15"/>
              </w:rPr>
            </w:pPr>
          </w:p>
          <w:p>
            <w:pPr>
              <w:pStyle w:val="TableParagraph"/>
              <w:ind w:left="105"/>
              <w:rPr>
                <w:sz w:val="15"/>
              </w:rPr>
            </w:pPr>
            <w:r>
              <w:rPr>
                <w:color w:val="231F20"/>
                <w:sz w:val="15"/>
              </w:rPr>
              <w:t>Not</w:t>
            </w:r>
            <w:r>
              <w:rPr>
                <w:color w:val="231F20"/>
                <w:spacing w:val="17"/>
                <w:sz w:val="15"/>
              </w:rPr>
              <w:t> </w:t>
            </w:r>
            <w:r>
              <w:rPr>
                <w:color w:val="231F20"/>
                <w:spacing w:val="-2"/>
                <w:sz w:val="15"/>
              </w:rPr>
              <w:t>frequent</w:t>
            </w:r>
          </w:p>
        </w:tc>
        <w:tc>
          <w:tcPr>
            <w:tcW w:w="1495" w:type="dxa"/>
            <w:tcBorders>
              <w:top w:val="single" w:sz="4" w:space="0" w:color="231F20"/>
            </w:tcBorders>
            <w:shd w:val="clear" w:color="auto" w:fill="E8F5F1"/>
          </w:tcPr>
          <w:p>
            <w:pPr>
              <w:pStyle w:val="TableParagraph"/>
              <w:rPr>
                <w:rFonts w:ascii="Times New Roman"/>
                <w:sz w:val="14"/>
              </w:rPr>
            </w:pPr>
          </w:p>
        </w:tc>
        <w:tc>
          <w:tcPr>
            <w:tcW w:w="1076" w:type="dxa"/>
            <w:tcBorders>
              <w:top w:val="single" w:sz="4" w:space="0" w:color="231F20"/>
            </w:tcBorders>
            <w:shd w:val="clear" w:color="auto" w:fill="E8F5F1"/>
          </w:tcPr>
          <w:p>
            <w:pPr>
              <w:pStyle w:val="TableParagraph"/>
              <w:rPr>
                <w:rFonts w:ascii="Times New Roman"/>
                <w:sz w:val="14"/>
              </w:rPr>
            </w:pPr>
          </w:p>
        </w:tc>
        <w:tc>
          <w:tcPr>
            <w:tcW w:w="1498" w:type="dxa"/>
            <w:vMerge w:val="restart"/>
            <w:tcBorders>
              <w:top w:val="single" w:sz="4" w:space="0" w:color="231F20"/>
              <w:bottom w:val="single" w:sz="4" w:space="0" w:color="FFFFFF"/>
            </w:tcBorders>
            <w:shd w:val="clear" w:color="auto" w:fill="E8F5F1"/>
          </w:tcPr>
          <w:p>
            <w:pPr>
              <w:pStyle w:val="TableParagraph"/>
              <w:spacing w:before="38"/>
              <w:rPr>
                <w:i/>
                <w:sz w:val="15"/>
              </w:rPr>
            </w:pPr>
          </w:p>
          <w:p>
            <w:pPr>
              <w:pStyle w:val="TableParagraph"/>
              <w:spacing w:line="696" w:lineRule="auto"/>
              <w:ind w:left="103" w:right="1017"/>
              <w:rPr>
                <w:sz w:val="15"/>
              </w:rPr>
            </w:pPr>
            <w:r>
              <w:rPr>
                <w:color w:val="231F20"/>
                <w:spacing w:val="-4"/>
                <w:w w:val="110"/>
                <w:sz w:val="15"/>
              </w:rPr>
              <w:t>None None</w:t>
            </w:r>
          </w:p>
          <w:p>
            <w:pPr>
              <w:pStyle w:val="TableParagraph"/>
              <w:rPr>
                <w:i/>
                <w:sz w:val="15"/>
              </w:rPr>
            </w:pPr>
          </w:p>
          <w:p>
            <w:pPr>
              <w:pStyle w:val="TableParagraph"/>
              <w:spacing w:line="230" w:lineRule="auto"/>
              <w:ind w:left="215" w:right="119" w:hanging="112"/>
              <w:jc w:val="both"/>
              <w:rPr>
                <w:sz w:val="15"/>
              </w:rPr>
            </w:pPr>
            <w:r>
              <w:rPr>
                <w:color w:val="231F20"/>
                <w:sz w:val="15"/>
              </w:rPr>
              <w:t>Mental</w:t>
            </w:r>
            <w:r>
              <w:rPr>
                <w:color w:val="231F20"/>
                <w:spacing w:val="-12"/>
                <w:sz w:val="15"/>
              </w:rPr>
              <w:t> </w:t>
            </w:r>
            <w:r>
              <w:rPr>
                <w:color w:val="231F20"/>
                <w:sz w:val="15"/>
              </w:rPr>
              <w:t>retardation reported</w:t>
            </w:r>
            <w:r>
              <w:rPr>
                <w:color w:val="231F20"/>
                <w:spacing w:val="-12"/>
                <w:sz w:val="15"/>
              </w:rPr>
              <w:t> </w:t>
            </w:r>
            <w:r>
              <w:rPr>
                <w:color w:val="231F20"/>
                <w:sz w:val="15"/>
              </w:rPr>
              <w:t>in</w:t>
            </w:r>
            <w:r>
              <w:rPr>
                <w:color w:val="231F20"/>
                <w:spacing w:val="-11"/>
                <w:sz w:val="15"/>
              </w:rPr>
              <w:t> </w:t>
            </w:r>
            <w:r>
              <w:rPr>
                <w:color w:val="231F20"/>
                <w:sz w:val="15"/>
              </w:rPr>
              <w:t>some </w:t>
            </w:r>
            <w:r>
              <w:rPr>
                <w:color w:val="231F20"/>
                <w:spacing w:val="-2"/>
                <w:sz w:val="15"/>
              </w:rPr>
              <w:t>cases</w:t>
            </w:r>
          </w:p>
          <w:p>
            <w:pPr>
              <w:pStyle w:val="TableParagraph"/>
              <w:spacing w:before="160"/>
              <w:rPr>
                <w:i/>
                <w:sz w:val="15"/>
              </w:rPr>
            </w:pPr>
          </w:p>
          <w:p>
            <w:pPr>
              <w:pStyle w:val="TableParagraph"/>
              <w:spacing w:line="696" w:lineRule="auto"/>
              <w:ind w:left="103" w:right="1017" w:hanging="1"/>
              <w:rPr>
                <w:sz w:val="15"/>
              </w:rPr>
            </w:pPr>
            <w:r>
              <w:rPr>
                <w:color w:val="231F20"/>
                <w:spacing w:val="-4"/>
                <w:w w:val="110"/>
                <w:sz w:val="15"/>
              </w:rPr>
              <w:t>None None</w:t>
            </w:r>
          </w:p>
          <w:p>
            <w:pPr>
              <w:pStyle w:val="TableParagraph"/>
              <w:spacing w:before="170"/>
              <w:ind w:left="103"/>
              <w:rPr>
                <w:sz w:val="15"/>
              </w:rPr>
            </w:pPr>
            <w:r>
              <w:rPr>
                <w:color w:val="231F20"/>
                <w:spacing w:val="-4"/>
                <w:w w:val="110"/>
                <w:sz w:val="15"/>
              </w:rPr>
              <w:t>None</w:t>
            </w:r>
          </w:p>
          <w:p>
            <w:pPr>
              <w:pStyle w:val="TableParagraph"/>
              <w:spacing w:before="165"/>
              <w:rPr>
                <w:i/>
                <w:sz w:val="15"/>
              </w:rPr>
            </w:pPr>
          </w:p>
          <w:p>
            <w:pPr>
              <w:pStyle w:val="TableParagraph"/>
              <w:spacing w:line="230" w:lineRule="auto"/>
              <w:ind w:left="215" w:right="41" w:hanging="112"/>
              <w:rPr>
                <w:sz w:val="15"/>
              </w:rPr>
            </w:pPr>
            <w:r>
              <w:rPr>
                <w:color w:val="231F20"/>
                <w:spacing w:val="-2"/>
                <w:sz w:val="15"/>
              </w:rPr>
              <w:t>Neurosensory </w:t>
            </w:r>
            <w:r>
              <w:rPr>
                <w:color w:val="231F20"/>
                <w:sz w:val="15"/>
              </w:rPr>
              <w:t>hearing</w:t>
            </w:r>
            <w:r>
              <w:rPr>
                <w:color w:val="231F20"/>
                <w:spacing w:val="-10"/>
                <w:sz w:val="15"/>
              </w:rPr>
              <w:t> </w:t>
            </w:r>
            <w:r>
              <w:rPr>
                <w:color w:val="231F20"/>
                <w:sz w:val="15"/>
              </w:rPr>
              <w:t>loss</w:t>
            </w:r>
            <w:r>
              <w:rPr>
                <w:color w:val="231F20"/>
                <w:spacing w:val="-10"/>
                <w:sz w:val="15"/>
              </w:rPr>
              <w:t> </w:t>
            </w:r>
            <w:r>
              <w:rPr>
                <w:color w:val="231F20"/>
                <w:sz w:val="15"/>
              </w:rPr>
              <w:t>and </w:t>
            </w:r>
            <w:r>
              <w:rPr>
                <w:color w:val="231F20"/>
                <w:spacing w:val="-2"/>
                <w:sz w:val="15"/>
              </w:rPr>
              <w:t>retinal degeneration</w:t>
            </w:r>
          </w:p>
          <w:p>
            <w:pPr>
              <w:pStyle w:val="TableParagraph"/>
              <w:spacing w:line="173" w:lineRule="exact"/>
              <w:ind w:left="103"/>
              <w:rPr>
                <w:sz w:val="15"/>
              </w:rPr>
            </w:pPr>
            <w:r>
              <w:rPr>
                <w:color w:val="231F20"/>
                <w:spacing w:val="-4"/>
                <w:w w:val="110"/>
                <w:sz w:val="15"/>
              </w:rPr>
              <w:t>None</w:t>
            </w:r>
          </w:p>
        </w:tc>
      </w:tr>
      <w:tr>
        <w:trPr>
          <w:trHeight w:val="171" w:hRule="atLeast"/>
        </w:trPr>
        <w:tc>
          <w:tcPr>
            <w:tcW w:w="3785" w:type="dxa"/>
            <w:shd w:val="clear" w:color="auto" w:fill="E8F5F1"/>
          </w:tcPr>
          <w:p>
            <w:pPr>
              <w:pStyle w:val="TableParagraph"/>
              <w:tabs>
                <w:tab w:pos="2022" w:val="left" w:leader="none"/>
              </w:tabs>
              <w:spacing w:line="151" w:lineRule="exact"/>
              <w:ind w:left="74"/>
              <w:rPr>
                <w:sz w:val="15"/>
              </w:rPr>
            </w:pPr>
            <w:r>
              <w:rPr>
                <w:color w:val="231F20"/>
                <w:sz w:val="15"/>
              </w:rPr>
              <w:t>Becker</w:t>
            </w:r>
            <w:r>
              <w:rPr>
                <w:color w:val="231F20"/>
                <w:spacing w:val="-4"/>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51" w:lineRule="exact"/>
              <w:ind w:left="106"/>
              <w:rPr>
                <w:sz w:val="15"/>
              </w:rPr>
            </w:pPr>
            <w:r>
              <w:rPr>
                <w:color w:val="231F20"/>
                <w:sz w:val="15"/>
              </w:rPr>
              <w:t>Proximal</w:t>
            </w:r>
            <w:r>
              <w:rPr>
                <w:color w:val="231F20"/>
                <w:spacing w:val="-9"/>
                <w:sz w:val="15"/>
              </w:rPr>
              <w:t> </w:t>
            </w:r>
            <w:r>
              <w:rPr>
                <w:rFonts w:ascii="Cambria"/>
                <w:color w:val="231F20"/>
                <w:sz w:val="15"/>
              </w:rPr>
              <w:t>&gt;</w:t>
            </w:r>
            <w:r>
              <w:rPr>
                <w:rFonts w:ascii="Cambria"/>
                <w:color w:val="231F20"/>
                <w:spacing w:val="3"/>
                <w:sz w:val="15"/>
              </w:rPr>
              <w:t> </w:t>
            </w:r>
            <w:r>
              <w:rPr>
                <w:color w:val="231F20"/>
                <w:spacing w:val="-2"/>
                <w:sz w:val="15"/>
              </w:rPr>
              <w:t>distal</w:t>
            </w:r>
          </w:p>
        </w:tc>
        <w:tc>
          <w:tcPr>
            <w:tcW w:w="653" w:type="dxa"/>
            <w:shd w:val="clear" w:color="auto" w:fill="E8F5F1"/>
          </w:tcPr>
          <w:p>
            <w:pPr>
              <w:pStyle w:val="TableParagraph"/>
              <w:spacing w:line="151" w:lineRule="exact"/>
              <w:jc w:val="center"/>
              <w:rPr>
                <w:sz w:val="15"/>
              </w:rPr>
            </w:pPr>
            <w:r>
              <w:rPr>
                <w:color w:val="231F20"/>
                <w:spacing w:val="-10"/>
                <w:w w:val="135"/>
                <w:sz w:val="15"/>
              </w:rPr>
              <w:t>–</w:t>
            </w:r>
          </w:p>
        </w:tc>
        <w:tc>
          <w:tcPr>
            <w:tcW w:w="1667" w:type="dxa"/>
            <w:shd w:val="clear" w:color="auto" w:fill="E8F5F1"/>
          </w:tcPr>
          <w:p>
            <w:pPr>
              <w:pStyle w:val="TableParagraph"/>
              <w:spacing w:line="153" w:lineRule="exact"/>
              <w:ind w:right="1"/>
              <w:jc w:val="center"/>
              <w:rPr>
                <w:rFonts w:ascii="Cambria"/>
                <w:sz w:val="15"/>
              </w:rPr>
            </w:pPr>
            <w:r>
              <w:rPr>
                <w:rFonts w:ascii="Cambria"/>
                <w:color w:val="231F20"/>
                <w:spacing w:val="-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52" w:lineRule="exact"/>
              <w:ind w:left="114"/>
              <w:rPr>
                <w:sz w:val="15"/>
              </w:rPr>
            </w:pPr>
            <w:r>
              <w:rPr>
                <w:color w:val="231F20"/>
                <w:sz w:val="15"/>
              </w:rPr>
              <w:t>Progressive</w:t>
            </w:r>
            <w:r>
              <w:rPr>
                <w:color w:val="231F20"/>
                <w:spacing w:val="1"/>
                <w:sz w:val="15"/>
              </w:rPr>
              <w:t> </w:t>
            </w:r>
            <w:r>
              <w:rPr>
                <w:color w:val="231F20"/>
                <w:spacing w:val="-4"/>
                <w:sz w:val="15"/>
              </w:rPr>
              <w:t>with</w:t>
            </w:r>
          </w:p>
        </w:tc>
        <w:tc>
          <w:tcPr>
            <w:tcW w:w="1076" w:type="dxa"/>
            <w:shd w:val="clear" w:color="auto" w:fill="E8F5F1"/>
          </w:tcPr>
          <w:p>
            <w:pPr>
              <w:pStyle w:val="TableParagraph"/>
              <w:spacing w:line="153" w:lineRule="exact"/>
              <w:ind w:left="1" w:right="3"/>
              <w:jc w:val="center"/>
              <w:rPr>
                <w:rFonts w:ascii="Cambria"/>
                <w:sz w:val="15"/>
              </w:rPr>
            </w:pPr>
            <w:r>
              <w:rPr>
                <w:rFonts w:ascii="Cambria"/>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1" w:hRule="atLeast"/>
        </w:trPr>
        <w:tc>
          <w:tcPr>
            <w:tcW w:w="3785" w:type="dxa"/>
            <w:shd w:val="clear" w:color="auto" w:fill="E8F5F1"/>
          </w:tcPr>
          <w:p>
            <w:pPr>
              <w:pStyle w:val="TableParagraph"/>
              <w:tabs>
                <w:tab w:pos="2134" w:val="left" w:leader="none"/>
              </w:tabs>
              <w:spacing w:line="132" w:lineRule="exact"/>
              <w:ind w:left="186"/>
              <w:rPr>
                <w:sz w:val="15"/>
              </w:rPr>
            </w:pPr>
            <w:r>
              <w:rPr>
                <w:color w:val="231F20"/>
                <w:spacing w:val="-2"/>
                <w:sz w:val="15"/>
              </w:rPr>
              <w:t>dystrophy</w:t>
            </w:r>
            <w:r>
              <w:rPr>
                <w:color w:val="231F20"/>
                <w:sz w:val="15"/>
              </w:rPr>
              <w:tab/>
            </w:r>
            <w:r>
              <w:rPr>
                <w:color w:val="231F20"/>
                <w:spacing w:val="-2"/>
                <w:sz w:val="15"/>
              </w:rPr>
              <w:t>achieved,</w:t>
            </w:r>
            <w:r>
              <w:rPr>
                <w:color w:val="231F20"/>
                <w:spacing w:val="-8"/>
                <w:sz w:val="15"/>
              </w:rPr>
              <w:t> </w:t>
            </w:r>
            <w:r>
              <w:rPr>
                <w:color w:val="231F20"/>
                <w:spacing w:val="-2"/>
                <w:sz w:val="15"/>
              </w:rPr>
              <w:t>variable</w:t>
            </w:r>
          </w:p>
        </w:tc>
        <w:tc>
          <w:tcPr>
            <w:tcW w:w="1336" w:type="dxa"/>
            <w:shd w:val="clear" w:color="auto" w:fill="E8F5F1"/>
          </w:tcPr>
          <w:p>
            <w:pPr>
              <w:pStyle w:val="TableParagraph"/>
              <w:spacing w:line="132" w:lineRule="exact"/>
              <w:ind w:left="218"/>
              <w:rPr>
                <w:sz w:val="15"/>
              </w:rPr>
            </w:pPr>
            <w:r>
              <w:rPr>
                <w:color w:val="231F20"/>
                <w:spacing w:val="-5"/>
                <w:sz w:val="15"/>
              </w:rPr>
              <w:t>(pattern</w:t>
            </w:r>
            <w:r>
              <w:rPr>
                <w:color w:val="231F20"/>
                <w:spacing w:val="1"/>
                <w:sz w:val="15"/>
              </w:rPr>
              <w:t> </w:t>
            </w:r>
            <w:r>
              <w:rPr>
                <w:color w:val="231F20"/>
                <w:spacing w:val="-5"/>
                <w:sz w:val="15"/>
              </w:rPr>
              <w:t>A)</w:t>
            </w:r>
          </w:p>
        </w:tc>
        <w:tc>
          <w:tcPr>
            <w:tcW w:w="653" w:type="dxa"/>
            <w:shd w:val="clear" w:color="auto" w:fill="E8F5F1"/>
          </w:tcPr>
          <w:p>
            <w:pPr>
              <w:pStyle w:val="TableParagraph"/>
              <w:rPr>
                <w:rFonts w:ascii="Times New Roman"/>
                <w:sz w:val="8"/>
              </w:rPr>
            </w:pP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2" w:lineRule="exact"/>
              <w:ind w:left="226"/>
              <w:rPr>
                <w:sz w:val="15"/>
              </w:rPr>
            </w:pPr>
            <w:r>
              <w:rPr>
                <w:color w:val="231F20"/>
                <w:spacing w:val="-2"/>
                <w:sz w:val="15"/>
              </w:rPr>
              <w:t>substantial</w:t>
            </w: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54" w:hRule="atLeast"/>
        </w:trPr>
        <w:tc>
          <w:tcPr>
            <w:tcW w:w="5774" w:type="dxa"/>
            <w:gridSpan w:val="3"/>
            <w:shd w:val="clear" w:color="auto" w:fill="E8F5F1"/>
          </w:tcPr>
          <w:p>
            <w:pPr>
              <w:pStyle w:val="TableParagraph"/>
              <w:spacing w:line="134" w:lineRule="exact"/>
              <w:ind w:right="714"/>
              <w:jc w:val="center"/>
              <w:rPr>
                <w:sz w:val="15"/>
              </w:rPr>
            </w:pPr>
            <w:r>
              <w:rPr>
                <w:color w:val="231F20"/>
                <w:spacing w:val="-2"/>
                <w:w w:val="105"/>
                <w:sz w:val="15"/>
              </w:rPr>
              <w:t>progression</w:t>
            </w: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5" w:lineRule="exact"/>
              <w:ind w:left="226"/>
              <w:rPr>
                <w:sz w:val="15"/>
              </w:rPr>
            </w:pPr>
            <w:r>
              <w:rPr>
                <w:color w:val="231F20"/>
                <w:spacing w:val="-2"/>
                <w:sz w:val="15"/>
              </w:rPr>
              <w:t>variability</w:t>
            </w: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69" w:hRule="atLeast"/>
        </w:trPr>
        <w:tc>
          <w:tcPr>
            <w:tcW w:w="3785" w:type="dxa"/>
            <w:shd w:val="clear" w:color="auto" w:fill="E8F5F1"/>
          </w:tcPr>
          <w:p>
            <w:pPr>
              <w:pStyle w:val="TableParagraph"/>
              <w:tabs>
                <w:tab w:pos="2022" w:val="left" w:leader="none"/>
              </w:tabs>
              <w:spacing w:line="149" w:lineRule="exact"/>
              <w:ind w:left="74"/>
              <w:rPr>
                <w:sz w:val="15"/>
              </w:rPr>
            </w:pPr>
            <w:r>
              <w:rPr>
                <w:color w:val="231F20"/>
                <w:sz w:val="15"/>
              </w:rPr>
              <w:t>Limb-girdle</w:t>
            </w:r>
            <w:r>
              <w:rPr>
                <w:color w:val="231F20"/>
                <w:spacing w:val="-7"/>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49" w:lineRule="exact"/>
              <w:ind w:left="106"/>
              <w:rPr>
                <w:sz w:val="15"/>
              </w:rPr>
            </w:pPr>
            <w:r>
              <w:rPr>
                <w:color w:val="231F20"/>
                <w:sz w:val="15"/>
              </w:rPr>
              <w:t>Proximal</w:t>
            </w:r>
            <w:r>
              <w:rPr>
                <w:color w:val="231F20"/>
                <w:spacing w:val="-9"/>
                <w:sz w:val="15"/>
              </w:rPr>
              <w:t> </w:t>
            </w:r>
            <w:r>
              <w:rPr>
                <w:rFonts w:ascii="Cambria"/>
                <w:color w:val="231F20"/>
                <w:sz w:val="15"/>
              </w:rPr>
              <w:t>&gt;</w:t>
            </w:r>
            <w:r>
              <w:rPr>
                <w:rFonts w:ascii="Cambria"/>
                <w:color w:val="231F20"/>
                <w:spacing w:val="3"/>
                <w:sz w:val="15"/>
              </w:rPr>
              <w:t> </w:t>
            </w:r>
            <w:r>
              <w:rPr>
                <w:color w:val="231F20"/>
                <w:spacing w:val="-2"/>
                <w:sz w:val="15"/>
              </w:rPr>
              <w:t>distal</w:t>
            </w:r>
          </w:p>
        </w:tc>
        <w:tc>
          <w:tcPr>
            <w:tcW w:w="653" w:type="dxa"/>
            <w:shd w:val="clear" w:color="auto" w:fill="E8F5F1"/>
          </w:tcPr>
          <w:p>
            <w:pPr>
              <w:pStyle w:val="TableParagraph"/>
              <w:spacing w:line="149" w:lineRule="exact"/>
              <w:jc w:val="center"/>
              <w:rPr>
                <w:sz w:val="15"/>
              </w:rPr>
            </w:pPr>
            <w:r>
              <w:rPr>
                <w:color w:val="231F20"/>
                <w:spacing w:val="-10"/>
                <w:w w:val="135"/>
                <w:sz w:val="15"/>
              </w:rPr>
              <w:t>–</w:t>
            </w:r>
          </w:p>
        </w:tc>
        <w:tc>
          <w:tcPr>
            <w:tcW w:w="1667" w:type="dxa"/>
            <w:shd w:val="clear" w:color="auto" w:fill="E8F5F1"/>
          </w:tcPr>
          <w:p>
            <w:pPr>
              <w:pStyle w:val="TableParagraph"/>
              <w:spacing w:line="150" w:lineRule="exact"/>
              <w:ind w:right="1"/>
              <w:jc w:val="center"/>
              <w:rPr>
                <w:rFonts w:ascii="Cambria"/>
                <w:sz w:val="15"/>
              </w:rPr>
            </w:pPr>
            <w:r>
              <w:rPr>
                <w:rFonts w:ascii="Cambria"/>
                <w:color w:val="231F20"/>
                <w:spacing w:val="-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49" w:lineRule="exact"/>
              <w:ind w:left="114"/>
              <w:rPr>
                <w:sz w:val="15"/>
              </w:rPr>
            </w:pPr>
            <w:r>
              <w:rPr>
                <w:color w:val="231F20"/>
                <w:sz w:val="15"/>
              </w:rPr>
              <w:t>Progression</w:t>
            </w:r>
            <w:r>
              <w:rPr>
                <w:color w:val="231F20"/>
                <w:spacing w:val="16"/>
                <w:sz w:val="15"/>
              </w:rPr>
              <w:t> </w:t>
            </w:r>
            <w:r>
              <w:rPr>
                <w:color w:val="231F20"/>
                <w:spacing w:val="-5"/>
                <w:sz w:val="15"/>
              </w:rPr>
              <w:t>of</w:t>
            </w:r>
          </w:p>
        </w:tc>
        <w:tc>
          <w:tcPr>
            <w:tcW w:w="1076" w:type="dxa"/>
            <w:shd w:val="clear" w:color="auto" w:fill="E8F5F1"/>
          </w:tcPr>
          <w:p>
            <w:pPr>
              <w:pStyle w:val="TableParagraph"/>
              <w:spacing w:line="150" w:lineRule="exact"/>
              <w:ind w:right="3"/>
              <w:jc w:val="center"/>
              <w:rPr>
                <w:rFonts w:ascii="Cambria"/>
                <w:sz w:val="15"/>
              </w:rPr>
            </w:pPr>
            <w:r>
              <w:rPr>
                <w:rFonts w:ascii="Cambria"/>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1" w:hRule="atLeast"/>
        </w:trPr>
        <w:tc>
          <w:tcPr>
            <w:tcW w:w="3785" w:type="dxa"/>
            <w:shd w:val="clear" w:color="auto" w:fill="E8F5F1"/>
          </w:tcPr>
          <w:p>
            <w:pPr>
              <w:pStyle w:val="TableParagraph"/>
              <w:tabs>
                <w:tab w:pos="2134" w:val="left" w:leader="none"/>
              </w:tabs>
              <w:spacing w:line="132" w:lineRule="exact"/>
              <w:ind w:left="186"/>
              <w:rPr>
                <w:sz w:val="15"/>
              </w:rPr>
            </w:pPr>
            <w:r>
              <w:rPr>
                <w:color w:val="231F20"/>
                <w:sz w:val="15"/>
              </w:rPr>
              <w:t>dystrophy</w:t>
            </w:r>
            <w:r>
              <w:rPr>
                <w:color w:val="231F20"/>
                <w:spacing w:val="-6"/>
                <w:sz w:val="15"/>
              </w:rPr>
              <w:t> </w:t>
            </w:r>
            <w:r>
              <w:rPr>
                <w:color w:val="231F20"/>
                <w:spacing w:val="-4"/>
                <w:sz w:val="15"/>
              </w:rPr>
              <w:t>with</w:t>
            </w:r>
            <w:r>
              <w:rPr>
                <w:color w:val="231F20"/>
                <w:sz w:val="15"/>
              </w:rPr>
              <w:tab/>
            </w:r>
            <w:r>
              <w:rPr>
                <w:color w:val="231F20"/>
                <w:spacing w:val="-2"/>
                <w:sz w:val="15"/>
              </w:rPr>
              <w:t>achieved,</w:t>
            </w:r>
            <w:r>
              <w:rPr>
                <w:color w:val="231F20"/>
                <w:spacing w:val="-8"/>
                <w:sz w:val="15"/>
              </w:rPr>
              <w:t> </w:t>
            </w:r>
            <w:r>
              <w:rPr>
                <w:color w:val="231F20"/>
                <w:spacing w:val="-2"/>
                <w:sz w:val="15"/>
              </w:rPr>
              <w:t>generally</w:t>
            </w:r>
          </w:p>
        </w:tc>
        <w:tc>
          <w:tcPr>
            <w:tcW w:w="1336" w:type="dxa"/>
            <w:shd w:val="clear" w:color="auto" w:fill="E8F5F1"/>
          </w:tcPr>
          <w:p>
            <w:pPr>
              <w:pStyle w:val="TableParagraph"/>
              <w:spacing w:line="132" w:lineRule="exact"/>
              <w:ind w:left="218"/>
              <w:rPr>
                <w:sz w:val="15"/>
              </w:rPr>
            </w:pPr>
            <w:r>
              <w:rPr>
                <w:color w:val="231F20"/>
                <w:spacing w:val="-5"/>
                <w:sz w:val="15"/>
              </w:rPr>
              <w:t>(pattern</w:t>
            </w:r>
            <w:r>
              <w:rPr>
                <w:color w:val="231F20"/>
                <w:spacing w:val="1"/>
                <w:sz w:val="15"/>
              </w:rPr>
              <w:t> </w:t>
            </w:r>
            <w:r>
              <w:rPr>
                <w:color w:val="231F20"/>
                <w:spacing w:val="-5"/>
                <w:sz w:val="15"/>
              </w:rPr>
              <w:t>A)</w:t>
            </w:r>
          </w:p>
        </w:tc>
        <w:tc>
          <w:tcPr>
            <w:tcW w:w="653" w:type="dxa"/>
            <w:shd w:val="clear" w:color="auto" w:fill="E8F5F1"/>
          </w:tcPr>
          <w:p>
            <w:pPr>
              <w:pStyle w:val="TableParagraph"/>
              <w:rPr>
                <w:rFonts w:ascii="Times New Roman"/>
                <w:sz w:val="8"/>
              </w:rPr>
            </w:pP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2" w:lineRule="exact"/>
              <w:ind w:left="226"/>
              <w:rPr>
                <w:sz w:val="15"/>
              </w:rPr>
            </w:pPr>
            <w:r>
              <w:rPr>
                <w:color w:val="231F20"/>
                <w:spacing w:val="-2"/>
                <w:sz w:val="15"/>
              </w:rPr>
              <w:t>motor,</w:t>
            </w:r>
            <w:r>
              <w:rPr>
                <w:color w:val="231F20"/>
                <w:spacing w:val="-6"/>
                <w:sz w:val="15"/>
              </w:rPr>
              <w:t> </w:t>
            </w:r>
            <w:r>
              <w:rPr>
                <w:color w:val="231F20"/>
                <w:spacing w:val="-2"/>
                <w:sz w:val="15"/>
              </w:rPr>
              <w:t>cardiac,</w:t>
            </w: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57" w:hRule="atLeast"/>
        </w:trPr>
        <w:tc>
          <w:tcPr>
            <w:tcW w:w="5774" w:type="dxa"/>
            <w:gridSpan w:val="3"/>
            <w:shd w:val="clear" w:color="auto" w:fill="E8F5F1"/>
          </w:tcPr>
          <w:p>
            <w:pPr>
              <w:pStyle w:val="TableParagraph"/>
              <w:tabs>
                <w:tab w:pos="2134" w:val="left" w:leader="none"/>
              </w:tabs>
              <w:spacing w:line="137" w:lineRule="exact"/>
              <w:ind w:left="186"/>
              <w:rPr>
                <w:sz w:val="15"/>
              </w:rPr>
            </w:pPr>
            <w:r>
              <w:rPr>
                <w:color w:val="231F20"/>
                <w:sz w:val="15"/>
              </w:rPr>
              <w:t>sarcoglycan</w:t>
            </w:r>
            <w:r>
              <w:rPr>
                <w:color w:val="231F20"/>
                <w:spacing w:val="-7"/>
                <w:sz w:val="15"/>
              </w:rPr>
              <w:t> </w:t>
            </w:r>
            <w:r>
              <w:rPr>
                <w:color w:val="231F20"/>
                <w:spacing w:val="-2"/>
                <w:sz w:val="15"/>
              </w:rPr>
              <w:t>deficiency</w:t>
            </w:r>
            <w:r>
              <w:rPr>
                <w:color w:val="231F20"/>
                <w:sz w:val="15"/>
              </w:rPr>
              <w:tab/>
              <w:t>lost</w:t>
            </w:r>
            <w:r>
              <w:rPr>
                <w:color w:val="231F20"/>
                <w:spacing w:val="-3"/>
                <w:sz w:val="15"/>
              </w:rPr>
              <w:t> </w:t>
            </w:r>
            <w:r>
              <w:rPr>
                <w:color w:val="231F20"/>
                <w:sz w:val="15"/>
              </w:rPr>
              <w:t>in</w:t>
            </w:r>
            <w:r>
              <w:rPr>
                <w:color w:val="231F20"/>
                <w:spacing w:val="-3"/>
                <w:sz w:val="15"/>
              </w:rPr>
              <w:t> </w:t>
            </w:r>
            <w:r>
              <w:rPr>
                <w:color w:val="231F20"/>
                <w:sz w:val="15"/>
              </w:rPr>
              <w:t>the</w:t>
            </w:r>
            <w:r>
              <w:rPr>
                <w:color w:val="231F20"/>
                <w:spacing w:val="-3"/>
                <w:sz w:val="15"/>
              </w:rPr>
              <w:t> </w:t>
            </w:r>
            <w:r>
              <w:rPr>
                <w:color w:val="231F20"/>
                <w:sz w:val="15"/>
              </w:rPr>
              <w:t>2nd</w:t>
            </w:r>
            <w:r>
              <w:rPr>
                <w:color w:val="231F20"/>
                <w:spacing w:val="-3"/>
                <w:sz w:val="15"/>
              </w:rPr>
              <w:t> </w:t>
            </w:r>
            <w:r>
              <w:rPr>
                <w:color w:val="231F20"/>
                <w:spacing w:val="-2"/>
                <w:sz w:val="15"/>
              </w:rPr>
              <w:t>decade</w:t>
            </w: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7" w:lineRule="exact"/>
              <w:ind w:left="226"/>
              <w:rPr>
                <w:sz w:val="15"/>
              </w:rPr>
            </w:pPr>
            <w:r>
              <w:rPr>
                <w:color w:val="231F20"/>
                <w:sz w:val="15"/>
              </w:rPr>
              <w:t>and</w:t>
            </w:r>
            <w:r>
              <w:rPr>
                <w:color w:val="231F20"/>
                <w:spacing w:val="8"/>
                <w:sz w:val="15"/>
              </w:rPr>
              <w:t> </w:t>
            </w:r>
            <w:r>
              <w:rPr>
                <w:color w:val="231F20"/>
                <w:spacing w:val="-2"/>
                <w:sz w:val="15"/>
              </w:rPr>
              <w:t>respiratory</w:t>
            </w: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55" w:hRule="atLeast"/>
        </w:trPr>
        <w:tc>
          <w:tcPr>
            <w:tcW w:w="5774" w:type="dxa"/>
            <w:gridSpan w:val="3"/>
            <w:shd w:val="clear" w:color="auto" w:fill="E8F5F1"/>
          </w:tcPr>
          <w:p>
            <w:pPr>
              <w:pStyle w:val="TableParagraph"/>
              <w:spacing w:line="135" w:lineRule="exact"/>
              <w:ind w:left="186"/>
              <w:rPr>
                <w:sz w:val="15"/>
              </w:rPr>
            </w:pPr>
            <w:r>
              <w:rPr>
                <w:color w:val="231F20"/>
                <w:sz w:val="15"/>
              </w:rPr>
              <w:t>(types</w:t>
            </w:r>
            <w:r>
              <w:rPr>
                <w:color w:val="231F20"/>
                <w:spacing w:val="-8"/>
                <w:sz w:val="15"/>
              </w:rPr>
              <w:t> </w:t>
            </w:r>
            <w:r>
              <w:rPr>
                <w:color w:val="231F20"/>
                <w:sz w:val="15"/>
              </w:rPr>
              <w:t>2C,</w:t>
            </w:r>
            <w:r>
              <w:rPr>
                <w:color w:val="231F20"/>
                <w:spacing w:val="-7"/>
                <w:sz w:val="15"/>
              </w:rPr>
              <w:t> </w:t>
            </w:r>
            <w:r>
              <w:rPr>
                <w:color w:val="231F20"/>
                <w:sz w:val="15"/>
              </w:rPr>
              <w:t>2D,</w:t>
            </w:r>
            <w:r>
              <w:rPr>
                <w:color w:val="231F20"/>
                <w:spacing w:val="-8"/>
                <w:sz w:val="15"/>
              </w:rPr>
              <w:t> </w:t>
            </w:r>
            <w:r>
              <w:rPr>
                <w:color w:val="231F20"/>
                <w:sz w:val="15"/>
              </w:rPr>
              <w:t>2E,</w:t>
            </w:r>
            <w:r>
              <w:rPr>
                <w:color w:val="231F20"/>
                <w:spacing w:val="-7"/>
                <w:sz w:val="15"/>
              </w:rPr>
              <w:t> </w:t>
            </w:r>
            <w:r>
              <w:rPr>
                <w:color w:val="231F20"/>
                <w:spacing w:val="-5"/>
                <w:sz w:val="15"/>
              </w:rPr>
              <w:t>2F)</w:t>
            </w: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5" w:lineRule="exact"/>
              <w:ind w:left="226"/>
              <w:rPr>
                <w:sz w:val="15"/>
              </w:rPr>
            </w:pPr>
            <w:r>
              <w:rPr>
                <w:color w:val="231F20"/>
                <w:spacing w:val="-2"/>
                <w:w w:val="105"/>
                <w:sz w:val="15"/>
              </w:rPr>
              <w:t>signs</w:t>
            </w: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70" w:hRule="atLeast"/>
        </w:trPr>
        <w:tc>
          <w:tcPr>
            <w:tcW w:w="3785" w:type="dxa"/>
            <w:shd w:val="clear" w:color="auto" w:fill="E8F5F1"/>
          </w:tcPr>
          <w:p>
            <w:pPr>
              <w:pStyle w:val="TableParagraph"/>
              <w:tabs>
                <w:tab w:pos="2022" w:val="left" w:leader="none"/>
              </w:tabs>
              <w:spacing w:line="151" w:lineRule="exact"/>
              <w:ind w:left="74"/>
              <w:rPr>
                <w:sz w:val="15"/>
              </w:rPr>
            </w:pPr>
            <w:r>
              <w:rPr>
                <w:color w:val="231F20"/>
                <w:sz w:val="15"/>
              </w:rPr>
              <w:t>Limb-girdle</w:t>
            </w:r>
            <w:r>
              <w:rPr>
                <w:color w:val="231F20"/>
                <w:spacing w:val="-7"/>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51" w:lineRule="exact"/>
              <w:ind w:left="106"/>
              <w:rPr>
                <w:sz w:val="15"/>
              </w:rPr>
            </w:pPr>
            <w:r>
              <w:rPr>
                <w:color w:val="231F20"/>
                <w:sz w:val="15"/>
              </w:rPr>
              <w:t>Proximal</w:t>
            </w:r>
            <w:r>
              <w:rPr>
                <w:color w:val="231F20"/>
                <w:spacing w:val="-9"/>
                <w:sz w:val="15"/>
              </w:rPr>
              <w:t> </w:t>
            </w:r>
            <w:r>
              <w:rPr>
                <w:rFonts w:ascii="Cambria"/>
                <w:color w:val="231F20"/>
                <w:sz w:val="15"/>
              </w:rPr>
              <w:t>&gt;</w:t>
            </w:r>
            <w:r>
              <w:rPr>
                <w:rFonts w:ascii="Cambria"/>
                <w:color w:val="231F20"/>
                <w:spacing w:val="3"/>
                <w:sz w:val="15"/>
              </w:rPr>
              <w:t> </w:t>
            </w:r>
            <w:r>
              <w:rPr>
                <w:color w:val="231F20"/>
                <w:spacing w:val="-2"/>
                <w:sz w:val="15"/>
              </w:rPr>
              <w:t>distal</w:t>
            </w:r>
          </w:p>
        </w:tc>
        <w:tc>
          <w:tcPr>
            <w:tcW w:w="653" w:type="dxa"/>
            <w:shd w:val="clear" w:color="auto" w:fill="E8F5F1"/>
          </w:tcPr>
          <w:p>
            <w:pPr>
              <w:pStyle w:val="TableParagraph"/>
              <w:spacing w:line="151" w:lineRule="exact"/>
              <w:jc w:val="center"/>
              <w:rPr>
                <w:sz w:val="15"/>
              </w:rPr>
            </w:pPr>
            <w:r>
              <w:rPr>
                <w:color w:val="231F20"/>
                <w:spacing w:val="-10"/>
                <w:w w:val="135"/>
                <w:sz w:val="15"/>
              </w:rPr>
              <w:t>–</w:t>
            </w:r>
          </w:p>
        </w:tc>
        <w:tc>
          <w:tcPr>
            <w:tcW w:w="1667" w:type="dxa"/>
            <w:shd w:val="clear" w:color="auto" w:fill="E8F5F1"/>
          </w:tcPr>
          <w:p>
            <w:pPr>
              <w:pStyle w:val="TableParagraph"/>
              <w:spacing w:line="151" w:lineRule="exact"/>
              <w:ind w:right="1"/>
              <w:jc w:val="center"/>
              <w:rPr>
                <w:rFonts w:ascii="Cambria"/>
                <w:sz w:val="15"/>
              </w:rPr>
            </w:pPr>
            <w:r>
              <w:rPr>
                <w:rFonts w:ascii="Cambria"/>
                <w:color w:val="231F20"/>
                <w:spacing w:val="-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51" w:lineRule="exact"/>
              <w:ind w:left="114"/>
              <w:rPr>
                <w:sz w:val="15"/>
              </w:rPr>
            </w:pPr>
            <w:r>
              <w:rPr>
                <w:color w:val="231F20"/>
                <w:spacing w:val="-2"/>
                <w:sz w:val="15"/>
              </w:rPr>
              <w:t>Progressive</w:t>
            </w:r>
          </w:p>
        </w:tc>
        <w:tc>
          <w:tcPr>
            <w:tcW w:w="1076" w:type="dxa"/>
            <w:shd w:val="clear" w:color="auto" w:fill="E8F5F1"/>
          </w:tcPr>
          <w:p>
            <w:pPr>
              <w:pStyle w:val="TableParagraph"/>
              <w:spacing w:line="151" w:lineRule="exact"/>
              <w:ind w:right="3"/>
              <w:jc w:val="center"/>
              <w:rPr>
                <w:rFonts w:ascii="Cambria"/>
                <w:sz w:val="15"/>
              </w:rPr>
            </w:pPr>
            <w:r>
              <w:rPr>
                <w:rFonts w:ascii="Cambria"/>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0" w:hRule="atLeast"/>
        </w:trPr>
        <w:tc>
          <w:tcPr>
            <w:tcW w:w="3785" w:type="dxa"/>
            <w:shd w:val="clear" w:color="auto" w:fill="E8F5F1"/>
          </w:tcPr>
          <w:p>
            <w:pPr>
              <w:pStyle w:val="TableParagraph"/>
              <w:tabs>
                <w:tab w:pos="2134" w:val="left" w:leader="none"/>
              </w:tabs>
              <w:spacing w:line="131" w:lineRule="exact"/>
              <w:ind w:left="186"/>
              <w:rPr>
                <w:sz w:val="15"/>
              </w:rPr>
            </w:pPr>
            <w:r>
              <w:rPr>
                <w:color w:val="231F20"/>
                <w:sz w:val="15"/>
              </w:rPr>
              <w:t>dystrophy</w:t>
            </w:r>
            <w:r>
              <w:rPr>
                <w:color w:val="231F20"/>
                <w:spacing w:val="-6"/>
                <w:sz w:val="15"/>
              </w:rPr>
              <w:t> </w:t>
            </w:r>
            <w:r>
              <w:rPr>
                <w:color w:val="231F20"/>
                <w:spacing w:val="-4"/>
                <w:sz w:val="15"/>
              </w:rPr>
              <w:t>with</w:t>
            </w:r>
            <w:r>
              <w:rPr>
                <w:color w:val="231F20"/>
                <w:sz w:val="15"/>
              </w:rPr>
              <w:tab/>
            </w:r>
            <w:r>
              <w:rPr>
                <w:color w:val="231F20"/>
                <w:spacing w:val="-2"/>
                <w:sz w:val="15"/>
              </w:rPr>
              <w:t>achieved,</w:t>
            </w:r>
            <w:r>
              <w:rPr>
                <w:color w:val="231F20"/>
                <w:spacing w:val="-8"/>
                <w:sz w:val="15"/>
              </w:rPr>
              <w:t> </w:t>
            </w:r>
            <w:r>
              <w:rPr>
                <w:color w:val="231F20"/>
                <w:spacing w:val="-2"/>
                <w:sz w:val="15"/>
              </w:rPr>
              <w:t>variable</w:t>
            </w:r>
          </w:p>
        </w:tc>
        <w:tc>
          <w:tcPr>
            <w:tcW w:w="1336" w:type="dxa"/>
            <w:shd w:val="clear" w:color="auto" w:fill="E8F5F1"/>
          </w:tcPr>
          <w:p>
            <w:pPr>
              <w:pStyle w:val="TableParagraph"/>
              <w:spacing w:line="131" w:lineRule="exact"/>
              <w:ind w:left="218"/>
              <w:rPr>
                <w:sz w:val="15"/>
              </w:rPr>
            </w:pPr>
            <w:r>
              <w:rPr>
                <w:color w:val="231F20"/>
                <w:spacing w:val="-5"/>
                <w:sz w:val="15"/>
              </w:rPr>
              <w:t>(pattern</w:t>
            </w:r>
            <w:r>
              <w:rPr>
                <w:color w:val="231F20"/>
                <w:spacing w:val="1"/>
                <w:sz w:val="15"/>
              </w:rPr>
              <w:t> </w:t>
            </w:r>
            <w:r>
              <w:rPr>
                <w:color w:val="231F20"/>
                <w:spacing w:val="-5"/>
                <w:sz w:val="15"/>
              </w:rPr>
              <w:t>A)</w:t>
            </w:r>
          </w:p>
        </w:tc>
        <w:tc>
          <w:tcPr>
            <w:tcW w:w="653" w:type="dxa"/>
            <w:shd w:val="clear" w:color="auto" w:fill="E8F5F1"/>
          </w:tcPr>
          <w:p>
            <w:pPr>
              <w:pStyle w:val="TableParagraph"/>
              <w:rPr>
                <w:rFonts w:ascii="Times New Roman"/>
                <w:sz w:val="8"/>
              </w:rPr>
            </w:pP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8"/>
              </w:rPr>
            </w:pP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56" w:hRule="atLeast"/>
        </w:trPr>
        <w:tc>
          <w:tcPr>
            <w:tcW w:w="5774" w:type="dxa"/>
            <w:gridSpan w:val="3"/>
            <w:shd w:val="clear" w:color="auto" w:fill="E8F5F1"/>
          </w:tcPr>
          <w:p>
            <w:pPr>
              <w:pStyle w:val="TableParagraph"/>
              <w:tabs>
                <w:tab w:pos="2134" w:val="left" w:leader="none"/>
              </w:tabs>
              <w:spacing w:line="137" w:lineRule="exact"/>
              <w:ind w:left="186"/>
              <w:rPr>
                <w:sz w:val="15"/>
              </w:rPr>
            </w:pPr>
            <w:r>
              <w:rPr>
                <w:color w:val="231F20"/>
                <w:sz w:val="15"/>
              </w:rPr>
              <w:t>abnormal</w:t>
            </w:r>
            <w:r>
              <w:rPr>
                <w:color w:val="231F20"/>
                <w:spacing w:val="-6"/>
                <w:sz w:val="15"/>
              </w:rPr>
              <w:t> </w:t>
            </w:r>
            <w:r>
              <w:rPr>
                <w:color w:val="231F20"/>
                <w:spacing w:val="-2"/>
                <w:sz w:val="15"/>
              </w:rPr>
              <w:t>glycosylation</w:t>
            </w:r>
            <w:r>
              <w:rPr>
                <w:color w:val="231F20"/>
                <w:sz w:val="15"/>
              </w:rPr>
              <w:tab/>
            </w:r>
            <w:r>
              <w:rPr>
                <w:color w:val="231F20"/>
                <w:spacing w:val="-2"/>
                <w:sz w:val="15"/>
              </w:rPr>
              <w:t>progression</w:t>
            </w: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10"/>
              </w:rPr>
            </w:pP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57" w:hRule="atLeast"/>
        </w:trPr>
        <w:tc>
          <w:tcPr>
            <w:tcW w:w="5774" w:type="dxa"/>
            <w:gridSpan w:val="3"/>
            <w:shd w:val="clear" w:color="auto" w:fill="E8F5F1"/>
          </w:tcPr>
          <w:p>
            <w:pPr>
              <w:pStyle w:val="TableParagraph"/>
              <w:spacing w:line="138" w:lineRule="exact"/>
              <w:ind w:left="186"/>
              <w:rPr>
                <w:sz w:val="15"/>
              </w:rPr>
            </w:pPr>
            <w:r>
              <w:rPr>
                <w:color w:val="231F20"/>
                <w:sz w:val="15"/>
              </w:rPr>
              <w:t>of</w:t>
            </w:r>
            <w:r>
              <w:rPr>
                <w:color w:val="231F20"/>
                <w:spacing w:val="-6"/>
                <w:sz w:val="15"/>
              </w:rPr>
              <w:t> </w:t>
            </w:r>
            <w:r>
              <w:rPr>
                <w:color w:val="231F20"/>
                <w:sz w:val="15"/>
              </w:rPr>
              <w:t>dystroglycan</w:t>
            </w:r>
            <w:r>
              <w:rPr>
                <w:color w:val="231F20"/>
                <w:spacing w:val="-5"/>
                <w:sz w:val="15"/>
              </w:rPr>
              <w:t> </w:t>
            </w:r>
            <w:r>
              <w:rPr>
                <w:color w:val="231F20"/>
                <w:spacing w:val="-2"/>
                <w:sz w:val="15"/>
              </w:rPr>
              <w:t>(types</w:t>
            </w: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10"/>
              </w:rPr>
            </w:pP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58" w:hRule="atLeast"/>
        </w:trPr>
        <w:tc>
          <w:tcPr>
            <w:tcW w:w="5774" w:type="dxa"/>
            <w:gridSpan w:val="3"/>
            <w:shd w:val="clear" w:color="auto" w:fill="E8F5F1"/>
          </w:tcPr>
          <w:p>
            <w:pPr>
              <w:pStyle w:val="TableParagraph"/>
              <w:spacing w:line="139" w:lineRule="exact"/>
              <w:ind w:left="186"/>
              <w:rPr>
                <w:sz w:val="15"/>
              </w:rPr>
            </w:pPr>
            <w:r>
              <w:rPr>
                <w:color w:val="231F20"/>
                <w:sz w:val="15"/>
              </w:rPr>
              <w:t>2I,</w:t>
            </w:r>
            <w:r>
              <w:rPr>
                <w:color w:val="231F20"/>
                <w:spacing w:val="-8"/>
                <w:sz w:val="15"/>
              </w:rPr>
              <w:t> </w:t>
            </w:r>
            <w:r>
              <w:rPr>
                <w:color w:val="231F20"/>
                <w:sz w:val="15"/>
              </w:rPr>
              <w:t>2K,</w:t>
            </w:r>
            <w:r>
              <w:rPr>
                <w:color w:val="231F20"/>
                <w:spacing w:val="-8"/>
                <w:sz w:val="15"/>
              </w:rPr>
              <w:t> </w:t>
            </w:r>
            <w:r>
              <w:rPr>
                <w:color w:val="231F20"/>
                <w:sz w:val="15"/>
              </w:rPr>
              <w:t>2L,</w:t>
            </w:r>
            <w:r>
              <w:rPr>
                <w:color w:val="231F20"/>
                <w:spacing w:val="-8"/>
                <w:sz w:val="15"/>
              </w:rPr>
              <w:t> </w:t>
            </w:r>
            <w:r>
              <w:rPr>
                <w:color w:val="231F20"/>
                <w:sz w:val="15"/>
              </w:rPr>
              <w:t>2M,</w:t>
            </w:r>
            <w:r>
              <w:rPr>
                <w:color w:val="231F20"/>
                <w:spacing w:val="-7"/>
                <w:sz w:val="15"/>
              </w:rPr>
              <w:t> </w:t>
            </w:r>
            <w:r>
              <w:rPr>
                <w:color w:val="231F20"/>
                <w:sz w:val="15"/>
              </w:rPr>
              <w:t>2N,</w:t>
            </w:r>
            <w:r>
              <w:rPr>
                <w:color w:val="231F20"/>
                <w:spacing w:val="-8"/>
                <w:sz w:val="15"/>
              </w:rPr>
              <w:t> </w:t>
            </w:r>
            <w:r>
              <w:rPr>
                <w:color w:val="231F20"/>
                <w:spacing w:val="-5"/>
                <w:sz w:val="15"/>
              </w:rPr>
              <w:t>2O)</w:t>
            </w: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10"/>
              </w:rPr>
            </w:pP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62" w:hRule="atLeast"/>
        </w:trPr>
        <w:tc>
          <w:tcPr>
            <w:tcW w:w="3785" w:type="dxa"/>
            <w:shd w:val="clear" w:color="auto" w:fill="E8F5F1"/>
          </w:tcPr>
          <w:p>
            <w:pPr>
              <w:pStyle w:val="TableParagraph"/>
              <w:tabs>
                <w:tab w:pos="2022" w:val="left" w:leader="none"/>
              </w:tabs>
              <w:spacing w:line="143" w:lineRule="exact"/>
              <w:ind w:left="74"/>
              <w:rPr>
                <w:sz w:val="15"/>
              </w:rPr>
            </w:pPr>
            <w:r>
              <w:rPr>
                <w:color w:val="231F20"/>
                <w:sz w:val="15"/>
              </w:rPr>
              <w:t>Limb-girdle</w:t>
            </w:r>
            <w:r>
              <w:rPr>
                <w:color w:val="231F20"/>
                <w:spacing w:val="-7"/>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43" w:lineRule="exact"/>
              <w:ind w:left="106"/>
              <w:rPr>
                <w:sz w:val="15"/>
              </w:rPr>
            </w:pPr>
            <w:r>
              <w:rPr>
                <w:color w:val="231F20"/>
                <w:sz w:val="15"/>
              </w:rPr>
              <w:t>Both</w:t>
            </w:r>
            <w:r>
              <w:rPr>
                <w:color w:val="231F20"/>
                <w:spacing w:val="-6"/>
                <w:sz w:val="15"/>
              </w:rPr>
              <w:t> </w:t>
            </w:r>
            <w:r>
              <w:rPr>
                <w:color w:val="231F20"/>
                <w:sz w:val="15"/>
              </w:rPr>
              <w:t>pattern</w:t>
            </w:r>
            <w:r>
              <w:rPr>
                <w:color w:val="231F20"/>
                <w:spacing w:val="-6"/>
                <w:sz w:val="15"/>
              </w:rPr>
              <w:t> </w:t>
            </w:r>
            <w:r>
              <w:rPr>
                <w:color w:val="231F20"/>
                <w:spacing w:val="-10"/>
                <w:sz w:val="15"/>
              </w:rPr>
              <w:t>A</w:t>
            </w:r>
          </w:p>
        </w:tc>
        <w:tc>
          <w:tcPr>
            <w:tcW w:w="653" w:type="dxa"/>
            <w:shd w:val="clear" w:color="auto" w:fill="E8F5F1"/>
          </w:tcPr>
          <w:p>
            <w:pPr>
              <w:pStyle w:val="TableParagraph"/>
              <w:spacing w:line="143" w:lineRule="exact"/>
              <w:jc w:val="center"/>
              <w:rPr>
                <w:sz w:val="15"/>
              </w:rPr>
            </w:pPr>
            <w:r>
              <w:rPr>
                <w:color w:val="231F20"/>
                <w:spacing w:val="-10"/>
                <w:w w:val="135"/>
                <w:sz w:val="15"/>
              </w:rPr>
              <w:t>–</w:t>
            </w:r>
          </w:p>
        </w:tc>
        <w:tc>
          <w:tcPr>
            <w:tcW w:w="1667" w:type="dxa"/>
            <w:shd w:val="clear" w:color="auto" w:fill="E8F5F1"/>
          </w:tcPr>
          <w:p>
            <w:pPr>
              <w:pStyle w:val="TableParagraph"/>
              <w:spacing w:line="143" w:lineRule="exact"/>
              <w:ind w:right="1"/>
              <w:jc w:val="center"/>
              <w:rPr>
                <w:sz w:val="15"/>
              </w:rPr>
            </w:pPr>
            <w:r>
              <w:rPr>
                <w:color w:val="231F20"/>
                <w:spacing w:val="-10"/>
                <w:w w:val="13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43" w:lineRule="exact"/>
              <w:ind w:left="114"/>
              <w:rPr>
                <w:sz w:val="15"/>
              </w:rPr>
            </w:pPr>
            <w:r>
              <w:rPr>
                <w:color w:val="231F20"/>
                <w:sz w:val="15"/>
              </w:rPr>
              <w:t>Progressive</w:t>
            </w:r>
            <w:r>
              <w:rPr>
                <w:color w:val="231F20"/>
                <w:spacing w:val="1"/>
                <w:sz w:val="15"/>
              </w:rPr>
              <w:t> </w:t>
            </w:r>
            <w:r>
              <w:rPr>
                <w:color w:val="231F20"/>
                <w:spacing w:val="-5"/>
                <w:sz w:val="15"/>
              </w:rPr>
              <w:t>in</w:t>
            </w:r>
          </w:p>
        </w:tc>
        <w:tc>
          <w:tcPr>
            <w:tcW w:w="1076" w:type="dxa"/>
            <w:shd w:val="clear" w:color="auto" w:fill="E8F5F1"/>
          </w:tcPr>
          <w:p>
            <w:pPr>
              <w:pStyle w:val="TableParagraph"/>
              <w:spacing w:line="144" w:lineRule="exact"/>
              <w:ind w:right="3"/>
              <w:jc w:val="center"/>
              <w:rPr>
                <w:rFonts w:ascii="Cambria"/>
                <w:sz w:val="15"/>
              </w:rPr>
            </w:pPr>
            <w:r>
              <w:rPr>
                <w:rFonts w:ascii="Cambria"/>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5" w:hRule="atLeast"/>
        </w:trPr>
        <w:tc>
          <w:tcPr>
            <w:tcW w:w="3785" w:type="dxa"/>
            <w:shd w:val="clear" w:color="auto" w:fill="E8F5F1"/>
          </w:tcPr>
          <w:p>
            <w:pPr>
              <w:pStyle w:val="TableParagraph"/>
              <w:tabs>
                <w:tab w:pos="2134" w:val="left" w:leader="none"/>
              </w:tabs>
              <w:spacing w:line="136" w:lineRule="exact"/>
              <w:ind w:left="186"/>
              <w:rPr>
                <w:sz w:val="15"/>
              </w:rPr>
            </w:pPr>
            <w:r>
              <w:rPr>
                <w:color w:val="231F20"/>
                <w:spacing w:val="-2"/>
                <w:sz w:val="15"/>
              </w:rPr>
              <w:t>dystrophy with</w:t>
            </w:r>
            <w:r>
              <w:rPr>
                <w:color w:val="231F20"/>
                <w:spacing w:val="-1"/>
                <w:sz w:val="15"/>
              </w:rPr>
              <w:t> </w:t>
            </w:r>
            <w:r>
              <w:rPr>
                <w:color w:val="231F20"/>
                <w:spacing w:val="-2"/>
                <w:sz w:val="15"/>
              </w:rPr>
              <w:t>dysferlin</w:t>
            </w:r>
            <w:r>
              <w:rPr>
                <w:color w:val="231F20"/>
                <w:sz w:val="15"/>
              </w:rPr>
              <w:tab/>
            </w:r>
            <w:r>
              <w:rPr>
                <w:color w:val="231F20"/>
                <w:spacing w:val="-4"/>
                <w:sz w:val="15"/>
              </w:rPr>
              <w:t>always</w:t>
            </w:r>
            <w:r>
              <w:rPr>
                <w:color w:val="231F20"/>
                <w:spacing w:val="2"/>
                <w:sz w:val="15"/>
              </w:rPr>
              <w:t> </w:t>
            </w:r>
            <w:r>
              <w:rPr>
                <w:color w:val="231F20"/>
                <w:spacing w:val="-2"/>
                <w:sz w:val="15"/>
              </w:rPr>
              <w:t>achieved</w:t>
            </w:r>
          </w:p>
        </w:tc>
        <w:tc>
          <w:tcPr>
            <w:tcW w:w="1336" w:type="dxa"/>
            <w:shd w:val="clear" w:color="auto" w:fill="E8F5F1"/>
          </w:tcPr>
          <w:p>
            <w:pPr>
              <w:pStyle w:val="TableParagraph"/>
              <w:spacing w:line="136" w:lineRule="exact"/>
              <w:ind w:left="218"/>
              <w:rPr>
                <w:sz w:val="15"/>
              </w:rPr>
            </w:pPr>
            <w:r>
              <w:rPr>
                <w:color w:val="231F20"/>
                <w:sz w:val="15"/>
              </w:rPr>
              <w:t>and</w:t>
            </w:r>
            <w:r>
              <w:rPr>
                <w:color w:val="231F20"/>
                <w:spacing w:val="-6"/>
                <w:sz w:val="15"/>
              </w:rPr>
              <w:t> </w:t>
            </w:r>
            <w:r>
              <w:rPr>
                <w:color w:val="231F20"/>
                <w:sz w:val="15"/>
              </w:rPr>
              <w:t>pattern</w:t>
            </w:r>
            <w:r>
              <w:rPr>
                <w:color w:val="231F20"/>
                <w:spacing w:val="-5"/>
                <w:sz w:val="15"/>
              </w:rPr>
              <w:t> </w:t>
            </w:r>
            <w:r>
              <w:rPr>
                <w:color w:val="231F20"/>
                <w:spacing w:val="-10"/>
                <w:sz w:val="15"/>
              </w:rPr>
              <w:t>E</w:t>
            </w:r>
          </w:p>
        </w:tc>
        <w:tc>
          <w:tcPr>
            <w:tcW w:w="653" w:type="dxa"/>
            <w:shd w:val="clear" w:color="auto" w:fill="E8F5F1"/>
          </w:tcPr>
          <w:p>
            <w:pPr>
              <w:pStyle w:val="TableParagraph"/>
              <w:rPr>
                <w:rFonts w:ascii="Times New Roman"/>
                <w:sz w:val="10"/>
              </w:rPr>
            </w:pP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6" w:lineRule="exact"/>
              <w:ind w:left="226"/>
              <w:rPr>
                <w:sz w:val="15"/>
              </w:rPr>
            </w:pPr>
            <w:r>
              <w:rPr>
                <w:color w:val="231F20"/>
                <w:spacing w:val="-2"/>
                <w:sz w:val="15"/>
              </w:rPr>
              <w:t>adulthood</w:t>
            </w: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52" w:hRule="atLeast"/>
        </w:trPr>
        <w:tc>
          <w:tcPr>
            <w:tcW w:w="5774" w:type="dxa"/>
            <w:gridSpan w:val="3"/>
            <w:shd w:val="clear" w:color="auto" w:fill="E8F5F1"/>
          </w:tcPr>
          <w:p>
            <w:pPr>
              <w:pStyle w:val="TableParagraph"/>
              <w:spacing w:line="132" w:lineRule="exact"/>
              <w:ind w:left="186"/>
              <w:rPr>
                <w:sz w:val="15"/>
              </w:rPr>
            </w:pPr>
            <w:r>
              <w:rPr>
                <w:color w:val="231F20"/>
                <w:spacing w:val="-4"/>
                <w:sz w:val="15"/>
              </w:rPr>
              <w:t>deficiency</w:t>
            </w:r>
            <w:r>
              <w:rPr>
                <w:color w:val="231F20"/>
                <w:spacing w:val="4"/>
                <w:sz w:val="15"/>
              </w:rPr>
              <w:t> </w:t>
            </w:r>
            <w:r>
              <w:rPr>
                <w:color w:val="231F20"/>
                <w:spacing w:val="-4"/>
                <w:sz w:val="15"/>
              </w:rPr>
              <w:t>(type</w:t>
            </w:r>
            <w:r>
              <w:rPr>
                <w:color w:val="231F20"/>
                <w:spacing w:val="5"/>
                <w:sz w:val="15"/>
              </w:rPr>
              <w:t> </w:t>
            </w:r>
            <w:r>
              <w:rPr>
                <w:color w:val="231F20"/>
                <w:spacing w:val="-5"/>
                <w:sz w:val="15"/>
              </w:rPr>
              <w:t>2B)</w:t>
            </w: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8"/>
              </w:rPr>
            </w:pP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70" w:hRule="atLeast"/>
        </w:trPr>
        <w:tc>
          <w:tcPr>
            <w:tcW w:w="3785" w:type="dxa"/>
            <w:shd w:val="clear" w:color="auto" w:fill="E8F5F1"/>
          </w:tcPr>
          <w:p>
            <w:pPr>
              <w:pStyle w:val="TableParagraph"/>
              <w:tabs>
                <w:tab w:pos="2022" w:val="left" w:leader="none"/>
              </w:tabs>
              <w:spacing w:line="151" w:lineRule="exact"/>
              <w:ind w:left="74"/>
              <w:rPr>
                <w:sz w:val="15"/>
              </w:rPr>
            </w:pPr>
            <w:r>
              <w:rPr>
                <w:color w:val="231F20"/>
                <w:sz w:val="15"/>
              </w:rPr>
              <w:t>Limb-girdle</w:t>
            </w:r>
            <w:r>
              <w:rPr>
                <w:color w:val="231F20"/>
                <w:spacing w:val="-7"/>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51" w:lineRule="exact"/>
              <w:ind w:left="106"/>
              <w:rPr>
                <w:sz w:val="15"/>
              </w:rPr>
            </w:pPr>
            <w:r>
              <w:rPr>
                <w:color w:val="231F20"/>
                <w:sz w:val="15"/>
              </w:rPr>
              <w:t>Proximal</w:t>
            </w:r>
            <w:r>
              <w:rPr>
                <w:color w:val="231F20"/>
                <w:spacing w:val="-9"/>
                <w:sz w:val="15"/>
              </w:rPr>
              <w:t> </w:t>
            </w:r>
            <w:r>
              <w:rPr>
                <w:rFonts w:ascii="Cambria"/>
                <w:color w:val="231F20"/>
                <w:sz w:val="15"/>
              </w:rPr>
              <w:t>&gt;</w:t>
            </w:r>
            <w:r>
              <w:rPr>
                <w:rFonts w:ascii="Cambria"/>
                <w:color w:val="231F20"/>
                <w:spacing w:val="3"/>
                <w:sz w:val="15"/>
              </w:rPr>
              <w:t> </w:t>
            </w:r>
            <w:r>
              <w:rPr>
                <w:color w:val="231F20"/>
                <w:spacing w:val="-2"/>
                <w:sz w:val="15"/>
              </w:rPr>
              <w:t>distal</w:t>
            </w:r>
          </w:p>
        </w:tc>
        <w:tc>
          <w:tcPr>
            <w:tcW w:w="653" w:type="dxa"/>
            <w:shd w:val="clear" w:color="auto" w:fill="E8F5F1"/>
          </w:tcPr>
          <w:p>
            <w:pPr>
              <w:pStyle w:val="TableParagraph"/>
              <w:spacing w:line="151" w:lineRule="exact"/>
              <w:jc w:val="center"/>
              <w:rPr>
                <w:sz w:val="15"/>
              </w:rPr>
            </w:pPr>
            <w:r>
              <w:rPr>
                <w:color w:val="231F20"/>
                <w:spacing w:val="-10"/>
                <w:w w:val="135"/>
                <w:sz w:val="15"/>
              </w:rPr>
              <w:t>–</w:t>
            </w:r>
          </w:p>
        </w:tc>
        <w:tc>
          <w:tcPr>
            <w:tcW w:w="1667" w:type="dxa"/>
            <w:shd w:val="clear" w:color="auto" w:fill="E8F5F1"/>
          </w:tcPr>
          <w:p>
            <w:pPr>
              <w:pStyle w:val="TableParagraph"/>
              <w:spacing w:line="151" w:lineRule="exact"/>
              <w:ind w:right="1"/>
              <w:jc w:val="center"/>
              <w:rPr>
                <w:rFonts w:ascii="Cambria"/>
                <w:sz w:val="15"/>
              </w:rPr>
            </w:pPr>
            <w:r>
              <w:rPr>
                <w:rFonts w:ascii="Cambria"/>
                <w:color w:val="231F20"/>
                <w:spacing w:val="-10"/>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50" w:lineRule="exact"/>
              <w:ind w:left="114"/>
              <w:rPr>
                <w:sz w:val="15"/>
              </w:rPr>
            </w:pPr>
            <w:r>
              <w:rPr>
                <w:color w:val="231F20"/>
                <w:sz w:val="15"/>
              </w:rPr>
              <w:t>Progressive</w:t>
            </w:r>
            <w:r>
              <w:rPr>
                <w:color w:val="231F20"/>
                <w:spacing w:val="1"/>
                <w:sz w:val="15"/>
              </w:rPr>
              <w:t> </w:t>
            </w:r>
            <w:r>
              <w:rPr>
                <w:color w:val="231F20"/>
                <w:spacing w:val="-5"/>
                <w:sz w:val="15"/>
              </w:rPr>
              <w:t>in</w:t>
            </w:r>
          </w:p>
        </w:tc>
        <w:tc>
          <w:tcPr>
            <w:tcW w:w="1076" w:type="dxa"/>
            <w:shd w:val="clear" w:color="auto" w:fill="E8F5F1"/>
          </w:tcPr>
          <w:p>
            <w:pPr>
              <w:pStyle w:val="TableParagraph"/>
              <w:spacing w:line="151" w:lineRule="exact"/>
              <w:ind w:right="3"/>
              <w:jc w:val="center"/>
              <w:rPr>
                <w:sz w:val="15"/>
              </w:rPr>
            </w:pPr>
            <w:r>
              <w:rPr>
                <w:rFonts w:ascii="Cambria"/>
                <w:color w:val="231F20"/>
                <w:sz w:val="15"/>
              </w:rPr>
              <w:t>+</w:t>
            </w:r>
            <w:r>
              <w:rPr>
                <w:rFonts w:ascii="Cambria"/>
                <w:color w:val="231F20"/>
                <w:spacing w:val="12"/>
                <w:sz w:val="15"/>
              </w:rPr>
              <w:t> </w:t>
            </w:r>
            <w:r>
              <w:rPr>
                <w:color w:val="231F20"/>
                <w:spacing w:val="-5"/>
                <w:sz w:val="15"/>
              </w:rPr>
              <w:t>(</w:t>
            </w:r>
            <w:r>
              <w:rPr>
                <w:rFonts w:ascii="Cambria"/>
                <w:color w:val="231F20"/>
                <w:spacing w:val="-5"/>
                <w:sz w:val="15"/>
              </w:rPr>
              <w:t>+</w:t>
            </w:r>
            <w:r>
              <w:rPr>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3" w:hRule="atLeast"/>
        </w:trPr>
        <w:tc>
          <w:tcPr>
            <w:tcW w:w="3785" w:type="dxa"/>
            <w:shd w:val="clear" w:color="auto" w:fill="E8F5F1"/>
          </w:tcPr>
          <w:p>
            <w:pPr>
              <w:pStyle w:val="TableParagraph"/>
              <w:tabs>
                <w:tab w:pos="2134" w:val="left" w:leader="none"/>
              </w:tabs>
              <w:spacing w:line="133" w:lineRule="exact"/>
              <w:ind w:left="186"/>
              <w:rPr>
                <w:sz w:val="15"/>
              </w:rPr>
            </w:pPr>
            <w:r>
              <w:rPr>
                <w:color w:val="231F20"/>
                <w:sz w:val="15"/>
              </w:rPr>
              <w:t>dystrophy</w:t>
            </w:r>
            <w:r>
              <w:rPr>
                <w:color w:val="231F20"/>
                <w:spacing w:val="-6"/>
                <w:sz w:val="15"/>
              </w:rPr>
              <w:t> </w:t>
            </w:r>
            <w:r>
              <w:rPr>
                <w:color w:val="231F20"/>
                <w:spacing w:val="-4"/>
                <w:sz w:val="15"/>
              </w:rPr>
              <w:t>with</w:t>
            </w:r>
            <w:r>
              <w:rPr>
                <w:color w:val="231F20"/>
                <w:sz w:val="15"/>
              </w:rPr>
              <w:tab/>
            </w:r>
            <w:r>
              <w:rPr>
                <w:color w:val="231F20"/>
                <w:spacing w:val="-2"/>
                <w:sz w:val="15"/>
              </w:rPr>
              <w:t>achieved,</w:t>
            </w:r>
            <w:r>
              <w:rPr>
                <w:color w:val="231F20"/>
                <w:spacing w:val="-8"/>
                <w:sz w:val="15"/>
              </w:rPr>
              <w:t> </w:t>
            </w:r>
            <w:r>
              <w:rPr>
                <w:color w:val="231F20"/>
                <w:spacing w:val="-2"/>
                <w:sz w:val="15"/>
              </w:rPr>
              <w:t>generally</w:t>
            </w:r>
          </w:p>
        </w:tc>
        <w:tc>
          <w:tcPr>
            <w:tcW w:w="1336" w:type="dxa"/>
            <w:shd w:val="clear" w:color="auto" w:fill="E8F5F1"/>
          </w:tcPr>
          <w:p>
            <w:pPr>
              <w:pStyle w:val="TableParagraph"/>
              <w:spacing w:line="133" w:lineRule="exact"/>
              <w:ind w:left="218"/>
              <w:rPr>
                <w:sz w:val="15"/>
              </w:rPr>
            </w:pPr>
            <w:r>
              <w:rPr>
                <w:color w:val="231F20"/>
                <w:spacing w:val="-4"/>
                <w:sz w:val="15"/>
              </w:rPr>
              <w:t>(pattern</w:t>
            </w:r>
            <w:r>
              <w:rPr>
                <w:color w:val="231F20"/>
                <w:spacing w:val="-7"/>
                <w:sz w:val="15"/>
              </w:rPr>
              <w:t> </w:t>
            </w:r>
            <w:r>
              <w:rPr>
                <w:color w:val="231F20"/>
                <w:spacing w:val="-4"/>
                <w:sz w:val="15"/>
              </w:rPr>
              <w:t>A);</w:t>
            </w:r>
            <w:r>
              <w:rPr>
                <w:color w:val="231F20"/>
                <w:spacing w:val="-6"/>
                <w:sz w:val="15"/>
              </w:rPr>
              <w:t> </w:t>
            </w:r>
            <w:r>
              <w:rPr>
                <w:color w:val="231F20"/>
                <w:spacing w:val="-5"/>
                <w:sz w:val="15"/>
              </w:rPr>
              <w:t>in</w:t>
            </w:r>
          </w:p>
        </w:tc>
        <w:tc>
          <w:tcPr>
            <w:tcW w:w="653" w:type="dxa"/>
            <w:shd w:val="clear" w:color="auto" w:fill="E8F5F1"/>
          </w:tcPr>
          <w:p>
            <w:pPr>
              <w:pStyle w:val="TableParagraph"/>
              <w:rPr>
                <w:rFonts w:ascii="Times New Roman"/>
                <w:sz w:val="8"/>
              </w:rPr>
            </w:pP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3" w:lineRule="exact"/>
              <w:ind w:left="226"/>
              <w:rPr>
                <w:sz w:val="15"/>
              </w:rPr>
            </w:pPr>
            <w:r>
              <w:rPr>
                <w:color w:val="231F20"/>
                <w:spacing w:val="-2"/>
                <w:sz w:val="15"/>
              </w:rPr>
              <w:t>adulthood</w:t>
            </w: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56" w:hRule="atLeast"/>
        </w:trPr>
        <w:tc>
          <w:tcPr>
            <w:tcW w:w="3785" w:type="dxa"/>
            <w:shd w:val="clear" w:color="auto" w:fill="E8F5F1"/>
          </w:tcPr>
          <w:p>
            <w:pPr>
              <w:pStyle w:val="TableParagraph"/>
              <w:tabs>
                <w:tab w:pos="2134" w:val="left" w:leader="none"/>
              </w:tabs>
              <w:spacing w:line="137" w:lineRule="exact"/>
              <w:ind w:left="186"/>
              <w:rPr>
                <w:sz w:val="15"/>
              </w:rPr>
            </w:pPr>
            <w:r>
              <w:rPr>
                <w:color w:val="231F20"/>
                <w:spacing w:val="-2"/>
                <w:sz w:val="15"/>
              </w:rPr>
              <w:t>telethonin</w:t>
            </w:r>
            <w:r>
              <w:rPr>
                <w:color w:val="231F20"/>
                <w:spacing w:val="-7"/>
                <w:sz w:val="15"/>
              </w:rPr>
              <w:t> </w:t>
            </w:r>
            <w:r>
              <w:rPr>
                <w:color w:val="231F20"/>
                <w:spacing w:val="-2"/>
                <w:sz w:val="15"/>
              </w:rPr>
              <w:t>deficiency</w:t>
            </w:r>
            <w:r>
              <w:rPr>
                <w:color w:val="231F20"/>
                <w:sz w:val="15"/>
              </w:rPr>
              <w:tab/>
              <w:t>lost</w:t>
            </w:r>
            <w:r>
              <w:rPr>
                <w:color w:val="231F20"/>
                <w:spacing w:val="-8"/>
                <w:sz w:val="15"/>
              </w:rPr>
              <w:t> </w:t>
            </w:r>
            <w:r>
              <w:rPr>
                <w:color w:val="231F20"/>
                <w:sz w:val="15"/>
              </w:rPr>
              <w:t>in</w:t>
            </w:r>
            <w:r>
              <w:rPr>
                <w:color w:val="231F20"/>
                <w:spacing w:val="-7"/>
                <w:sz w:val="15"/>
              </w:rPr>
              <w:t> </w:t>
            </w:r>
            <w:r>
              <w:rPr>
                <w:color w:val="231F20"/>
                <w:sz w:val="15"/>
              </w:rPr>
              <w:t>the</w:t>
            </w:r>
            <w:r>
              <w:rPr>
                <w:color w:val="231F20"/>
                <w:spacing w:val="-8"/>
                <w:sz w:val="15"/>
              </w:rPr>
              <w:t> </w:t>
            </w:r>
            <w:r>
              <w:rPr>
                <w:color w:val="231F20"/>
                <w:sz w:val="15"/>
              </w:rPr>
              <w:t>4th</w:t>
            </w:r>
            <w:r>
              <w:rPr>
                <w:color w:val="231F20"/>
                <w:spacing w:val="-7"/>
                <w:sz w:val="15"/>
              </w:rPr>
              <w:t> </w:t>
            </w:r>
            <w:r>
              <w:rPr>
                <w:color w:val="231F20"/>
                <w:spacing w:val="-2"/>
                <w:sz w:val="15"/>
              </w:rPr>
              <w:t>decade</w:t>
            </w:r>
          </w:p>
        </w:tc>
        <w:tc>
          <w:tcPr>
            <w:tcW w:w="1336" w:type="dxa"/>
            <w:shd w:val="clear" w:color="auto" w:fill="E8F5F1"/>
          </w:tcPr>
          <w:p>
            <w:pPr>
              <w:pStyle w:val="TableParagraph"/>
              <w:spacing w:line="137" w:lineRule="exact"/>
              <w:ind w:left="218"/>
              <w:rPr>
                <w:sz w:val="15"/>
              </w:rPr>
            </w:pPr>
            <w:r>
              <w:rPr>
                <w:color w:val="231F20"/>
                <w:sz w:val="15"/>
              </w:rPr>
              <w:t>some</w:t>
            </w:r>
            <w:r>
              <w:rPr>
                <w:color w:val="231F20"/>
                <w:spacing w:val="14"/>
                <w:sz w:val="15"/>
              </w:rPr>
              <w:t> </w:t>
            </w:r>
            <w:r>
              <w:rPr>
                <w:color w:val="231F20"/>
                <w:spacing w:val="-2"/>
                <w:sz w:val="15"/>
              </w:rPr>
              <w:t>pattern</w:t>
            </w:r>
          </w:p>
        </w:tc>
        <w:tc>
          <w:tcPr>
            <w:tcW w:w="653" w:type="dxa"/>
            <w:shd w:val="clear" w:color="auto" w:fill="E8F5F1"/>
          </w:tcPr>
          <w:p>
            <w:pPr>
              <w:pStyle w:val="TableParagraph"/>
              <w:rPr>
                <w:rFonts w:ascii="Times New Roman"/>
                <w:sz w:val="10"/>
              </w:rPr>
            </w:pP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10"/>
              </w:rPr>
            </w:pP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55" w:hRule="atLeast"/>
        </w:trPr>
        <w:tc>
          <w:tcPr>
            <w:tcW w:w="3785" w:type="dxa"/>
            <w:shd w:val="clear" w:color="auto" w:fill="E8F5F1"/>
          </w:tcPr>
          <w:p>
            <w:pPr>
              <w:pStyle w:val="TableParagraph"/>
              <w:spacing w:line="135" w:lineRule="exact"/>
              <w:ind w:left="186"/>
              <w:rPr>
                <w:sz w:val="15"/>
              </w:rPr>
            </w:pPr>
            <w:r>
              <w:rPr>
                <w:color w:val="231F20"/>
                <w:spacing w:val="-4"/>
                <w:sz w:val="15"/>
              </w:rPr>
              <w:t>(type </w:t>
            </w:r>
            <w:r>
              <w:rPr>
                <w:color w:val="231F20"/>
                <w:spacing w:val="-5"/>
                <w:sz w:val="15"/>
              </w:rPr>
              <w:t>2G)</w:t>
            </w:r>
          </w:p>
        </w:tc>
        <w:tc>
          <w:tcPr>
            <w:tcW w:w="1336" w:type="dxa"/>
            <w:shd w:val="clear" w:color="auto" w:fill="E8F5F1"/>
          </w:tcPr>
          <w:p>
            <w:pPr>
              <w:pStyle w:val="TableParagraph"/>
              <w:spacing w:line="135" w:lineRule="exact"/>
              <w:ind w:left="218"/>
              <w:rPr>
                <w:sz w:val="15"/>
              </w:rPr>
            </w:pPr>
            <w:r>
              <w:rPr>
                <w:color w:val="231F20"/>
                <w:spacing w:val="-10"/>
                <w:w w:val="110"/>
                <w:sz w:val="15"/>
              </w:rPr>
              <w:t>B</w:t>
            </w:r>
          </w:p>
        </w:tc>
        <w:tc>
          <w:tcPr>
            <w:tcW w:w="653" w:type="dxa"/>
            <w:shd w:val="clear" w:color="auto" w:fill="E8F5F1"/>
          </w:tcPr>
          <w:p>
            <w:pPr>
              <w:pStyle w:val="TableParagraph"/>
              <w:rPr>
                <w:rFonts w:ascii="Times New Roman"/>
                <w:sz w:val="10"/>
              </w:rPr>
            </w:pP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10"/>
              </w:rPr>
            </w:pP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69" w:hRule="atLeast"/>
        </w:trPr>
        <w:tc>
          <w:tcPr>
            <w:tcW w:w="3785" w:type="dxa"/>
            <w:shd w:val="clear" w:color="auto" w:fill="E8F5F1"/>
          </w:tcPr>
          <w:p>
            <w:pPr>
              <w:pStyle w:val="TableParagraph"/>
              <w:tabs>
                <w:tab w:pos="2022" w:val="left" w:leader="none"/>
              </w:tabs>
              <w:spacing w:line="150" w:lineRule="exact"/>
              <w:ind w:left="74"/>
              <w:rPr>
                <w:sz w:val="15"/>
              </w:rPr>
            </w:pPr>
            <w:r>
              <w:rPr>
                <w:color w:val="231F20"/>
                <w:sz w:val="15"/>
              </w:rPr>
              <w:t>Limb-girdle</w:t>
            </w:r>
            <w:r>
              <w:rPr>
                <w:color w:val="231F20"/>
                <w:spacing w:val="-7"/>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50" w:lineRule="exact"/>
              <w:ind w:left="106"/>
              <w:rPr>
                <w:sz w:val="15"/>
              </w:rPr>
            </w:pPr>
            <w:r>
              <w:rPr>
                <w:color w:val="231F20"/>
                <w:sz w:val="15"/>
              </w:rPr>
              <w:t>Proximal</w:t>
            </w:r>
            <w:r>
              <w:rPr>
                <w:color w:val="231F20"/>
                <w:spacing w:val="-9"/>
                <w:sz w:val="15"/>
              </w:rPr>
              <w:t> </w:t>
            </w:r>
            <w:r>
              <w:rPr>
                <w:rFonts w:ascii="Cambria"/>
                <w:color w:val="231F20"/>
                <w:sz w:val="15"/>
              </w:rPr>
              <w:t>&gt;</w:t>
            </w:r>
            <w:r>
              <w:rPr>
                <w:rFonts w:ascii="Cambria"/>
                <w:color w:val="231F20"/>
                <w:spacing w:val="3"/>
                <w:sz w:val="15"/>
              </w:rPr>
              <w:t> </w:t>
            </w:r>
            <w:r>
              <w:rPr>
                <w:color w:val="231F20"/>
                <w:spacing w:val="-2"/>
                <w:sz w:val="15"/>
              </w:rPr>
              <w:t>distal</w:t>
            </w:r>
          </w:p>
        </w:tc>
        <w:tc>
          <w:tcPr>
            <w:tcW w:w="653" w:type="dxa"/>
            <w:shd w:val="clear" w:color="auto" w:fill="E8F5F1"/>
          </w:tcPr>
          <w:p>
            <w:pPr>
              <w:pStyle w:val="TableParagraph"/>
              <w:spacing w:line="150" w:lineRule="exact"/>
              <w:jc w:val="center"/>
              <w:rPr>
                <w:sz w:val="15"/>
              </w:rPr>
            </w:pPr>
            <w:r>
              <w:rPr>
                <w:color w:val="231F20"/>
                <w:spacing w:val="-10"/>
                <w:w w:val="135"/>
                <w:sz w:val="15"/>
              </w:rPr>
              <w:t>–</w:t>
            </w:r>
          </w:p>
        </w:tc>
        <w:tc>
          <w:tcPr>
            <w:tcW w:w="1667" w:type="dxa"/>
            <w:shd w:val="clear" w:color="auto" w:fill="E8F5F1"/>
          </w:tcPr>
          <w:p>
            <w:pPr>
              <w:pStyle w:val="TableParagraph"/>
              <w:spacing w:line="150" w:lineRule="exact"/>
              <w:ind w:right="1"/>
              <w:jc w:val="center"/>
              <w:rPr>
                <w:sz w:val="15"/>
              </w:rPr>
            </w:pPr>
            <w:r>
              <w:rPr>
                <w:color w:val="231F20"/>
                <w:spacing w:val="-10"/>
                <w:w w:val="13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50" w:lineRule="exact"/>
              <w:ind w:left="114"/>
              <w:rPr>
                <w:sz w:val="15"/>
              </w:rPr>
            </w:pPr>
            <w:r>
              <w:rPr>
                <w:color w:val="231F20"/>
                <w:sz w:val="15"/>
              </w:rPr>
              <w:t>Roughly</w:t>
            </w:r>
            <w:r>
              <w:rPr>
                <w:color w:val="231F20"/>
                <w:spacing w:val="-5"/>
                <w:sz w:val="15"/>
              </w:rPr>
              <w:t> </w:t>
            </w:r>
            <w:r>
              <w:rPr>
                <w:color w:val="231F20"/>
                <w:sz w:val="15"/>
              </w:rPr>
              <w:t>half</w:t>
            </w:r>
            <w:r>
              <w:rPr>
                <w:color w:val="231F20"/>
                <w:spacing w:val="-4"/>
                <w:sz w:val="15"/>
              </w:rPr>
              <w:t> lose</w:t>
            </w:r>
          </w:p>
        </w:tc>
        <w:tc>
          <w:tcPr>
            <w:tcW w:w="1076" w:type="dxa"/>
            <w:shd w:val="clear" w:color="auto" w:fill="E8F5F1"/>
          </w:tcPr>
          <w:p>
            <w:pPr>
              <w:pStyle w:val="TableParagraph"/>
              <w:spacing w:line="150" w:lineRule="exact"/>
              <w:ind w:right="3"/>
              <w:jc w:val="center"/>
              <w:rPr>
                <w:rFonts w:ascii="Cambria"/>
                <w:sz w:val="15"/>
              </w:rPr>
            </w:pPr>
            <w:r>
              <w:rPr>
                <w:rFonts w:ascii="Cambria"/>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2" w:hRule="atLeast"/>
        </w:trPr>
        <w:tc>
          <w:tcPr>
            <w:tcW w:w="3785" w:type="dxa"/>
            <w:shd w:val="clear" w:color="auto" w:fill="E8F5F1"/>
          </w:tcPr>
          <w:p>
            <w:pPr>
              <w:pStyle w:val="TableParagraph"/>
              <w:tabs>
                <w:tab w:pos="2134" w:val="left" w:leader="none"/>
              </w:tabs>
              <w:spacing w:line="132" w:lineRule="exact"/>
              <w:ind w:left="186"/>
              <w:rPr>
                <w:sz w:val="15"/>
              </w:rPr>
            </w:pPr>
            <w:r>
              <w:rPr>
                <w:color w:val="231F20"/>
                <w:spacing w:val="-2"/>
                <w:sz w:val="15"/>
              </w:rPr>
              <w:t>dystrophy with</w:t>
            </w:r>
            <w:r>
              <w:rPr>
                <w:color w:val="231F20"/>
                <w:spacing w:val="-1"/>
                <w:sz w:val="15"/>
              </w:rPr>
              <w:t> </w:t>
            </w:r>
            <w:r>
              <w:rPr>
                <w:color w:val="231F20"/>
                <w:spacing w:val="-2"/>
                <w:sz w:val="15"/>
              </w:rPr>
              <w:t>titin</w:t>
            </w:r>
            <w:r>
              <w:rPr>
                <w:color w:val="231F20"/>
                <w:sz w:val="15"/>
              </w:rPr>
              <w:tab/>
            </w:r>
            <w:r>
              <w:rPr>
                <w:color w:val="231F20"/>
                <w:spacing w:val="-2"/>
                <w:sz w:val="15"/>
              </w:rPr>
              <w:t>achieved</w:t>
            </w:r>
          </w:p>
        </w:tc>
        <w:tc>
          <w:tcPr>
            <w:tcW w:w="1336" w:type="dxa"/>
            <w:shd w:val="clear" w:color="auto" w:fill="E8F5F1"/>
          </w:tcPr>
          <w:p>
            <w:pPr>
              <w:pStyle w:val="TableParagraph"/>
              <w:spacing w:line="132" w:lineRule="exact"/>
              <w:ind w:right="134"/>
              <w:jc w:val="right"/>
              <w:rPr>
                <w:sz w:val="15"/>
              </w:rPr>
            </w:pPr>
            <w:r>
              <w:rPr>
                <w:color w:val="231F20"/>
                <w:spacing w:val="-4"/>
                <w:sz w:val="15"/>
              </w:rPr>
              <w:t>(pattern</w:t>
            </w:r>
            <w:r>
              <w:rPr>
                <w:color w:val="231F20"/>
                <w:sz w:val="15"/>
              </w:rPr>
              <w:t> </w:t>
            </w:r>
            <w:r>
              <w:rPr>
                <w:color w:val="231F20"/>
                <w:spacing w:val="-4"/>
                <w:sz w:val="15"/>
              </w:rPr>
              <w:t>A)</w:t>
            </w:r>
            <w:r>
              <w:rPr>
                <w:color w:val="231F20"/>
                <w:sz w:val="15"/>
              </w:rPr>
              <w:t> </w:t>
            </w:r>
            <w:r>
              <w:rPr>
                <w:color w:val="231F20"/>
                <w:spacing w:val="-5"/>
                <w:sz w:val="15"/>
              </w:rPr>
              <w:t>but</w:t>
            </w:r>
          </w:p>
        </w:tc>
        <w:tc>
          <w:tcPr>
            <w:tcW w:w="653" w:type="dxa"/>
            <w:shd w:val="clear" w:color="auto" w:fill="E8F5F1"/>
          </w:tcPr>
          <w:p>
            <w:pPr>
              <w:pStyle w:val="TableParagraph"/>
              <w:rPr>
                <w:rFonts w:ascii="Times New Roman"/>
                <w:sz w:val="8"/>
              </w:rPr>
            </w:pP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2" w:lineRule="exact"/>
              <w:ind w:left="226"/>
              <w:rPr>
                <w:sz w:val="15"/>
              </w:rPr>
            </w:pPr>
            <w:r>
              <w:rPr>
                <w:color w:val="231F20"/>
                <w:sz w:val="15"/>
              </w:rPr>
              <w:t>ambulation</w:t>
            </w:r>
            <w:r>
              <w:rPr>
                <w:color w:val="231F20"/>
                <w:spacing w:val="-7"/>
                <w:sz w:val="15"/>
              </w:rPr>
              <w:t> </w:t>
            </w:r>
            <w:r>
              <w:rPr>
                <w:color w:val="231F20"/>
                <w:spacing w:val="-5"/>
                <w:sz w:val="15"/>
              </w:rPr>
              <w:t>in</w:t>
            </w: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59" w:hRule="atLeast"/>
        </w:trPr>
        <w:tc>
          <w:tcPr>
            <w:tcW w:w="3785" w:type="dxa"/>
            <w:shd w:val="clear" w:color="auto" w:fill="E8F5F1"/>
          </w:tcPr>
          <w:p>
            <w:pPr>
              <w:pStyle w:val="TableParagraph"/>
              <w:spacing w:line="140" w:lineRule="exact"/>
              <w:ind w:left="186"/>
              <w:rPr>
                <w:sz w:val="15"/>
              </w:rPr>
            </w:pPr>
            <w:r>
              <w:rPr>
                <w:color w:val="231F20"/>
                <w:spacing w:val="-4"/>
                <w:sz w:val="15"/>
              </w:rPr>
              <w:t>deficiency</w:t>
            </w:r>
            <w:r>
              <w:rPr>
                <w:color w:val="231F20"/>
                <w:spacing w:val="4"/>
                <w:sz w:val="15"/>
              </w:rPr>
              <w:t> </w:t>
            </w:r>
            <w:r>
              <w:rPr>
                <w:color w:val="231F20"/>
                <w:spacing w:val="-4"/>
                <w:sz w:val="15"/>
              </w:rPr>
              <w:t>(type</w:t>
            </w:r>
            <w:r>
              <w:rPr>
                <w:color w:val="231F20"/>
                <w:spacing w:val="5"/>
                <w:sz w:val="15"/>
              </w:rPr>
              <w:t> </w:t>
            </w:r>
            <w:r>
              <w:rPr>
                <w:color w:val="231F20"/>
                <w:spacing w:val="-5"/>
                <w:sz w:val="15"/>
              </w:rPr>
              <w:t>2J)</w:t>
            </w:r>
          </w:p>
        </w:tc>
        <w:tc>
          <w:tcPr>
            <w:tcW w:w="1336" w:type="dxa"/>
            <w:shd w:val="clear" w:color="auto" w:fill="E8F5F1"/>
          </w:tcPr>
          <w:p>
            <w:pPr>
              <w:pStyle w:val="TableParagraph"/>
              <w:spacing w:line="140" w:lineRule="exact"/>
              <w:ind w:right="184"/>
              <w:jc w:val="right"/>
              <w:rPr>
                <w:sz w:val="15"/>
              </w:rPr>
            </w:pPr>
            <w:r>
              <w:rPr>
                <w:color w:val="231F20"/>
                <w:sz w:val="15"/>
              </w:rPr>
              <w:t>also</w:t>
            </w:r>
            <w:r>
              <w:rPr>
                <w:color w:val="231F20"/>
                <w:spacing w:val="-10"/>
                <w:sz w:val="15"/>
              </w:rPr>
              <w:t> </w:t>
            </w:r>
            <w:r>
              <w:rPr>
                <w:color w:val="231F20"/>
                <w:sz w:val="15"/>
              </w:rPr>
              <w:t>pattern</w:t>
            </w:r>
            <w:r>
              <w:rPr>
                <w:color w:val="231F20"/>
                <w:spacing w:val="-9"/>
                <w:sz w:val="15"/>
              </w:rPr>
              <w:t> </w:t>
            </w:r>
            <w:r>
              <w:rPr>
                <w:color w:val="231F20"/>
                <w:spacing w:val="-10"/>
                <w:sz w:val="15"/>
              </w:rPr>
              <w:t>E</w:t>
            </w:r>
          </w:p>
        </w:tc>
        <w:tc>
          <w:tcPr>
            <w:tcW w:w="653" w:type="dxa"/>
            <w:shd w:val="clear" w:color="auto" w:fill="E8F5F1"/>
          </w:tcPr>
          <w:p>
            <w:pPr>
              <w:pStyle w:val="TableParagraph"/>
              <w:rPr>
                <w:rFonts w:ascii="Times New Roman"/>
                <w:sz w:val="10"/>
              </w:rPr>
            </w:pPr>
          </w:p>
        </w:tc>
        <w:tc>
          <w:tcPr>
            <w:tcW w:w="1667" w:type="dxa"/>
            <w:shd w:val="clear" w:color="auto" w:fill="E8F5F1"/>
          </w:tcPr>
          <w:p>
            <w:pPr>
              <w:pStyle w:val="TableParagraph"/>
              <w:rPr>
                <w:rFonts w:ascii="Times New Roman"/>
                <w:sz w:val="10"/>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40" w:lineRule="exact"/>
              <w:ind w:left="226"/>
              <w:rPr>
                <w:sz w:val="15"/>
              </w:rPr>
            </w:pPr>
            <w:r>
              <w:rPr>
                <w:color w:val="231F20"/>
                <w:spacing w:val="-2"/>
                <w:sz w:val="15"/>
              </w:rPr>
              <w:t>adulthood</w:t>
            </w:r>
          </w:p>
        </w:tc>
        <w:tc>
          <w:tcPr>
            <w:tcW w:w="1076" w:type="dxa"/>
            <w:shd w:val="clear" w:color="auto" w:fill="E8F5F1"/>
          </w:tcPr>
          <w:p>
            <w:pPr>
              <w:pStyle w:val="TableParagraph"/>
              <w:rPr>
                <w:rFonts w:ascii="Times New Roman"/>
                <w:sz w:val="10"/>
              </w:rPr>
            </w:pPr>
          </w:p>
        </w:tc>
        <w:tc>
          <w:tcPr>
            <w:tcW w:w="1498" w:type="dxa"/>
            <w:vMerge/>
            <w:tcBorders>
              <w:top w:val="nil"/>
              <w:bottom w:val="single" w:sz="4" w:space="0" w:color="FFFFFF"/>
            </w:tcBorders>
            <w:shd w:val="clear" w:color="auto" w:fill="E8F5F1"/>
          </w:tcPr>
          <w:p>
            <w:pPr>
              <w:rPr>
                <w:sz w:val="2"/>
                <w:szCs w:val="2"/>
              </w:rPr>
            </w:pPr>
          </w:p>
        </w:tc>
      </w:tr>
      <w:tr>
        <w:trPr>
          <w:trHeight w:val="162" w:hRule="atLeast"/>
        </w:trPr>
        <w:tc>
          <w:tcPr>
            <w:tcW w:w="3785" w:type="dxa"/>
            <w:shd w:val="clear" w:color="auto" w:fill="E8F5F1"/>
          </w:tcPr>
          <w:p>
            <w:pPr>
              <w:pStyle w:val="TableParagraph"/>
              <w:tabs>
                <w:tab w:pos="2022" w:val="left" w:leader="none"/>
              </w:tabs>
              <w:spacing w:line="142" w:lineRule="exact"/>
              <w:ind w:left="74"/>
              <w:rPr>
                <w:sz w:val="15"/>
              </w:rPr>
            </w:pPr>
            <w:r>
              <w:rPr>
                <w:color w:val="231F20"/>
                <w:spacing w:val="-2"/>
                <w:sz w:val="15"/>
              </w:rPr>
              <w:t>Facioscapulohumeral</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42" w:lineRule="exact"/>
              <w:ind w:left="106"/>
              <w:rPr>
                <w:sz w:val="15"/>
              </w:rPr>
            </w:pPr>
            <w:r>
              <w:rPr>
                <w:color w:val="231F20"/>
                <w:spacing w:val="-4"/>
                <w:sz w:val="15"/>
              </w:rPr>
              <w:t>Pattern</w:t>
            </w:r>
            <w:r>
              <w:rPr>
                <w:color w:val="231F20"/>
                <w:spacing w:val="3"/>
                <w:sz w:val="15"/>
              </w:rPr>
              <w:t> </w:t>
            </w:r>
            <w:r>
              <w:rPr>
                <w:color w:val="231F20"/>
                <w:spacing w:val="-10"/>
                <w:sz w:val="15"/>
              </w:rPr>
              <w:t>D</w:t>
            </w:r>
          </w:p>
        </w:tc>
        <w:tc>
          <w:tcPr>
            <w:tcW w:w="653" w:type="dxa"/>
            <w:shd w:val="clear" w:color="auto" w:fill="E8F5F1"/>
          </w:tcPr>
          <w:p>
            <w:pPr>
              <w:pStyle w:val="TableParagraph"/>
              <w:spacing w:line="142" w:lineRule="exact"/>
              <w:jc w:val="center"/>
              <w:rPr>
                <w:sz w:val="15"/>
              </w:rPr>
            </w:pPr>
            <w:r>
              <w:rPr>
                <w:color w:val="231F20"/>
                <w:spacing w:val="-10"/>
                <w:w w:val="135"/>
                <w:sz w:val="15"/>
              </w:rPr>
              <w:t>–</w:t>
            </w:r>
          </w:p>
        </w:tc>
        <w:tc>
          <w:tcPr>
            <w:tcW w:w="1667" w:type="dxa"/>
            <w:shd w:val="clear" w:color="auto" w:fill="E8F5F1"/>
          </w:tcPr>
          <w:p>
            <w:pPr>
              <w:pStyle w:val="TableParagraph"/>
              <w:spacing w:line="142" w:lineRule="exact"/>
              <w:ind w:right="1"/>
              <w:jc w:val="center"/>
              <w:rPr>
                <w:sz w:val="15"/>
              </w:rPr>
            </w:pPr>
            <w:r>
              <w:rPr>
                <w:color w:val="231F20"/>
                <w:spacing w:val="-10"/>
                <w:w w:val="13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42" w:lineRule="exact"/>
              <w:ind w:left="114"/>
              <w:rPr>
                <w:sz w:val="15"/>
              </w:rPr>
            </w:pPr>
            <w:r>
              <w:rPr>
                <w:color w:val="231F20"/>
                <w:spacing w:val="-2"/>
                <w:sz w:val="15"/>
              </w:rPr>
              <w:t>Slowly</w:t>
            </w:r>
            <w:r>
              <w:rPr>
                <w:color w:val="231F20"/>
                <w:sz w:val="15"/>
              </w:rPr>
              <w:t> </w:t>
            </w:r>
            <w:r>
              <w:rPr>
                <w:color w:val="231F20"/>
                <w:spacing w:val="-2"/>
                <w:sz w:val="15"/>
              </w:rPr>
              <w:t>progressive</w:t>
            </w:r>
          </w:p>
        </w:tc>
        <w:tc>
          <w:tcPr>
            <w:tcW w:w="1076" w:type="dxa"/>
            <w:shd w:val="clear" w:color="auto" w:fill="E8F5F1"/>
          </w:tcPr>
          <w:p>
            <w:pPr>
              <w:pStyle w:val="TableParagraph"/>
              <w:spacing w:line="143" w:lineRule="exact"/>
              <w:ind w:left="104"/>
              <w:rPr>
                <w:rFonts w:ascii="Cambria"/>
                <w:sz w:val="15"/>
              </w:rPr>
            </w:pPr>
            <w:r>
              <w:rPr>
                <w:color w:val="231F20"/>
                <w:w w:val="105"/>
                <w:sz w:val="15"/>
              </w:rPr>
              <w:t>N</w:t>
            </w:r>
            <w:r>
              <w:rPr>
                <w:color w:val="231F20"/>
                <w:spacing w:val="2"/>
                <w:w w:val="105"/>
                <w:sz w:val="15"/>
              </w:rPr>
              <w:t> </w:t>
            </w:r>
            <w:r>
              <w:rPr>
                <w:color w:val="231F20"/>
                <w:w w:val="105"/>
                <w:sz w:val="15"/>
              </w:rPr>
              <w:t>or</w:t>
            </w:r>
            <w:r>
              <w:rPr>
                <w:color w:val="231F20"/>
                <w:spacing w:val="2"/>
                <w:w w:val="105"/>
                <w:sz w:val="15"/>
              </w:rPr>
              <w:t> </w:t>
            </w:r>
            <w:r>
              <w:rPr>
                <w:rFonts w:ascii="Cambria"/>
                <w:color w:val="231F20"/>
                <w:spacing w:val="-10"/>
                <w:w w:val="105"/>
                <w:sz w:val="15"/>
              </w:rPr>
              <w:t>+</w:t>
            </w:r>
          </w:p>
        </w:tc>
        <w:tc>
          <w:tcPr>
            <w:tcW w:w="1498" w:type="dxa"/>
            <w:vMerge/>
            <w:tcBorders>
              <w:top w:val="nil"/>
              <w:bottom w:val="single" w:sz="4" w:space="0" w:color="FFFFFF"/>
            </w:tcBorders>
            <w:shd w:val="clear" w:color="auto" w:fill="E8F5F1"/>
          </w:tcPr>
          <w:p>
            <w:pPr>
              <w:rPr>
                <w:sz w:val="2"/>
                <w:szCs w:val="2"/>
              </w:rPr>
            </w:pPr>
          </w:p>
        </w:tc>
      </w:tr>
      <w:tr>
        <w:trPr>
          <w:trHeight w:val="154" w:hRule="atLeast"/>
        </w:trPr>
        <w:tc>
          <w:tcPr>
            <w:tcW w:w="5774" w:type="dxa"/>
            <w:gridSpan w:val="3"/>
            <w:shd w:val="clear" w:color="auto" w:fill="E8F5F1"/>
          </w:tcPr>
          <w:p>
            <w:pPr>
              <w:pStyle w:val="TableParagraph"/>
              <w:tabs>
                <w:tab w:pos="2134" w:val="left" w:leader="none"/>
              </w:tabs>
              <w:spacing w:line="135" w:lineRule="exact"/>
              <w:ind w:left="186"/>
              <w:rPr>
                <w:sz w:val="15"/>
              </w:rPr>
            </w:pPr>
            <w:r>
              <w:rPr>
                <w:color w:val="231F20"/>
                <w:spacing w:val="-2"/>
                <w:sz w:val="15"/>
              </w:rPr>
              <w:t>dystrophy</w:t>
            </w:r>
            <w:r>
              <w:rPr>
                <w:color w:val="231F20"/>
                <w:sz w:val="15"/>
              </w:rPr>
              <w:tab/>
            </w:r>
            <w:r>
              <w:rPr>
                <w:color w:val="231F20"/>
                <w:spacing w:val="-2"/>
                <w:sz w:val="15"/>
              </w:rPr>
              <w:t>achieved,</w:t>
            </w:r>
            <w:r>
              <w:rPr>
                <w:color w:val="231F20"/>
                <w:spacing w:val="-8"/>
                <w:sz w:val="15"/>
              </w:rPr>
              <w:t> </w:t>
            </w:r>
            <w:r>
              <w:rPr>
                <w:color w:val="231F20"/>
                <w:spacing w:val="-2"/>
                <w:sz w:val="15"/>
              </w:rPr>
              <w:t>variable</w:t>
            </w: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8"/>
              </w:rPr>
            </w:pP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237" w:hRule="atLeast"/>
        </w:trPr>
        <w:tc>
          <w:tcPr>
            <w:tcW w:w="5774" w:type="dxa"/>
            <w:gridSpan w:val="3"/>
            <w:shd w:val="clear" w:color="auto" w:fill="E8F5F1"/>
          </w:tcPr>
          <w:p>
            <w:pPr>
              <w:pStyle w:val="TableParagraph"/>
              <w:spacing w:line="164" w:lineRule="exact"/>
              <w:ind w:right="714"/>
              <w:jc w:val="center"/>
              <w:rPr>
                <w:sz w:val="15"/>
              </w:rPr>
            </w:pPr>
            <w:r>
              <w:rPr>
                <w:color w:val="231F20"/>
                <w:spacing w:val="-2"/>
                <w:w w:val="105"/>
                <w:sz w:val="15"/>
              </w:rPr>
              <w:t>progression</w:t>
            </w:r>
          </w:p>
        </w:tc>
        <w:tc>
          <w:tcPr>
            <w:tcW w:w="1667" w:type="dxa"/>
            <w:shd w:val="clear" w:color="auto" w:fill="E8F5F1"/>
          </w:tcPr>
          <w:p>
            <w:pPr>
              <w:pStyle w:val="TableParagraph"/>
              <w:rPr>
                <w:rFonts w:ascii="Times New Roman"/>
                <w:sz w:val="14"/>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rPr>
                <w:rFonts w:ascii="Times New Roman"/>
                <w:sz w:val="14"/>
              </w:rPr>
            </w:pPr>
          </w:p>
        </w:tc>
        <w:tc>
          <w:tcPr>
            <w:tcW w:w="1076" w:type="dxa"/>
            <w:shd w:val="clear" w:color="auto" w:fill="E8F5F1"/>
          </w:tcPr>
          <w:p>
            <w:pPr>
              <w:pStyle w:val="TableParagraph"/>
              <w:rPr>
                <w:rFonts w:ascii="Times New Roman"/>
                <w:sz w:val="14"/>
              </w:rPr>
            </w:pPr>
          </w:p>
        </w:tc>
        <w:tc>
          <w:tcPr>
            <w:tcW w:w="1498" w:type="dxa"/>
            <w:vMerge/>
            <w:tcBorders>
              <w:top w:val="nil"/>
              <w:bottom w:val="single" w:sz="4" w:space="0" w:color="FFFFFF"/>
            </w:tcBorders>
            <w:shd w:val="clear" w:color="auto" w:fill="E8F5F1"/>
          </w:tcPr>
          <w:p>
            <w:pPr>
              <w:rPr>
                <w:sz w:val="2"/>
                <w:szCs w:val="2"/>
              </w:rPr>
            </w:pPr>
          </w:p>
        </w:tc>
      </w:tr>
      <w:tr>
        <w:trPr>
          <w:trHeight w:val="253" w:hRule="atLeast"/>
        </w:trPr>
        <w:tc>
          <w:tcPr>
            <w:tcW w:w="3785" w:type="dxa"/>
            <w:shd w:val="clear" w:color="auto" w:fill="E8F5F1"/>
          </w:tcPr>
          <w:p>
            <w:pPr>
              <w:pStyle w:val="TableParagraph"/>
              <w:tabs>
                <w:tab w:pos="2022" w:val="left" w:leader="none"/>
              </w:tabs>
              <w:spacing w:line="155" w:lineRule="exact" w:before="79"/>
              <w:ind w:left="74"/>
              <w:rPr>
                <w:sz w:val="15"/>
              </w:rPr>
            </w:pPr>
            <w:r>
              <w:rPr>
                <w:color w:val="231F20"/>
                <w:sz w:val="15"/>
              </w:rPr>
              <w:t>Emery-Dreifuss</w:t>
            </w:r>
            <w:r>
              <w:rPr>
                <w:color w:val="231F20"/>
                <w:spacing w:val="-10"/>
                <w:sz w:val="15"/>
              </w:rPr>
              <w:t> </w:t>
            </w:r>
            <w:r>
              <w:rPr>
                <w:color w:val="231F20"/>
                <w:spacing w:val="-2"/>
                <w:sz w:val="15"/>
              </w:rPr>
              <w:t>muscular</w:t>
            </w:r>
            <w:r>
              <w:rPr>
                <w:color w:val="231F20"/>
                <w:sz w:val="15"/>
              </w:rPr>
              <w:tab/>
              <w:t>Independent</w:t>
            </w:r>
            <w:r>
              <w:rPr>
                <w:color w:val="231F20"/>
                <w:spacing w:val="17"/>
                <w:sz w:val="15"/>
              </w:rPr>
              <w:t> </w:t>
            </w:r>
            <w:r>
              <w:rPr>
                <w:color w:val="231F20"/>
                <w:spacing w:val="-2"/>
                <w:sz w:val="15"/>
              </w:rPr>
              <w:t>ambulation</w:t>
            </w:r>
          </w:p>
        </w:tc>
        <w:tc>
          <w:tcPr>
            <w:tcW w:w="1336" w:type="dxa"/>
            <w:shd w:val="clear" w:color="auto" w:fill="E8F5F1"/>
          </w:tcPr>
          <w:p>
            <w:pPr>
              <w:pStyle w:val="TableParagraph"/>
              <w:spacing w:line="155" w:lineRule="exact" w:before="79"/>
              <w:ind w:left="106"/>
              <w:rPr>
                <w:sz w:val="15"/>
              </w:rPr>
            </w:pPr>
            <w:r>
              <w:rPr>
                <w:color w:val="231F20"/>
                <w:spacing w:val="-2"/>
                <w:sz w:val="15"/>
              </w:rPr>
              <w:t>Scapuloperoneal</w:t>
            </w:r>
          </w:p>
        </w:tc>
        <w:tc>
          <w:tcPr>
            <w:tcW w:w="653" w:type="dxa"/>
            <w:shd w:val="clear" w:color="auto" w:fill="E8F5F1"/>
          </w:tcPr>
          <w:p>
            <w:pPr>
              <w:pStyle w:val="TableParagraph"/>
              <w:spacing w:line="154" w:lineRule="exact" w:before="79"/>
              <w:jc w:val="center"/>
              <w:rPr>
                <w:rFonts w:ascii="Cambria"/>
                <w:sz w:val="15"/>
              </w:rPr>
            </w:pPr>
            <w:r>
              <w:rPr>
                <w:rFonts w:ascii="Cambria"/>
                <w:color w:val="231F20"/>
                <w:spacing w:val="-10"/>
                <w:sz w:val="15"/>
              </w:rPr>
              <w:t>+</w:t>
            </w:r>
          </w:p>
        </w:tc>
        <w:tc>
          <w:tcPr>
            <w:tcW w:w="1667" w:type="dxa"/>
            <w:shd w:val="clear" w:color="auto" w:fill="E8F5F1"/>
          </w:tcPr>
          <w:p>
            <w:pPr>
              <w:pStyle w:val="TableParagraph"/>
              <w:spacing w:line="155" w:lineRule="exact" w:before="79"/>
              <w:ind w:right="1"/>
              <w:jc w:val="center"/>
              <w:rPr>
                <w:rFonts w:ascii="Cambria"/>
                <w:sz w:val="15"/>
              </w:rPr>
            </w:pPr>
            <w:r>
              <w:rPr>
                <w:rFonts w:ascii="Cambria"/>
                <w:color w:val="231F20"/>
                <w:spacing w:val="-5"/>
                <w:sz w:val="15"/>
              </w:rPr>
              <w:t>++</w:t>
            </w: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54" w:lineRule="exact" w:before="79"/>
              <w:ind w:left="114"/>
              <w:rPr>
                <w:sz w:val="15"/>
              </w:rPr>
            </w:pPr>
            <w:r>
              <w:rPr>
                <w:color w:val="231F20"/>
                <w:sz w:val="15"/>
              </w:rPr>
              <w:t>Progression</w:t>
            </w:r>
            <w:r>
              <w:rPr>
                <w:color w:val="231F20"/>
                <w:spacing w:val="16"/>
                <w:sz w:val="15"/>
              </w:rPr>
              <w:t> </w:t>
            </w:r>
            <w:r>
              <w:rPr>
                <w:color w:val="231F20"/>
                <w:spacing w:val="-5"/>
                <w:sz w:val="15"/>
              </w:rPr>
              <w:t>of</w:t>
            </w:r>
          </w:p>
        </w:tc>
        <w:tc>
          <w:tcPr>
            <w:tcW w:w="1076" w:type="dxa"/>
            <w:shd w:val="clear" w:color="auto" w:fill="E8F5F1"/>
          </w:tcPr>
          <w:p>
            <w:pPr>
              <w:pStyle w:val="TableParagraph"/>
              <w:spacing w:line="154" w:lineRule="exact" w:before="79"/>
              <w:ind w:left="104"/>
              <w:rPr>
                <w:sz w:val="15"/>
              </w:rPr>
            </w:pPr>
            <w:r>
              <w:rPr>
                <w:rFonts w:ascii="Cambria"/>
                <w:color w:val="231F20"/>
                <w:sz w:val="15"/>
              </w:rPr>
              <w:t>+</w:t>
            </w:r>
            <w:r>
              <w:rPr>
                <w:rFonts w:ascii="Cambria"/>
                <w:color w:val="231F20"/>
                <w:spacing w:val="11"/>
                <w:sz w:val="15"/>
              </w:rPr>
              <w:t> </w:t>
            </w:r>
            <w:r>
              <w:rPr>
                <w:color w:val="231F20"/>
                <w:spacing w:val="-5"/>
                <w:sz w:val="15"/>
              </w:rPr>
              <w:t>(</w:t>
            </w:r>
            <w:r>
              <w:rPr>
                <w:rFonts w:ascii="Cambria"/>
                <w:color w:val="231F20"/>
                <w:spacing w:val="-5"/>
                <w:sz w:val="15"/>
              </w:rPr>
              <w:t>+</w:t>
            </w:r>
            <w:r>
              <w:rPr>
                <w:color w:val="231F20"/>
                <w:spacing w:val="-5"/>
                <w:sz w:val="15"/>
              </w:rPr>
              <w:t>)</w:t>
            </w:r>
          </w:p>
        </w:tc>
        <w:tc>
          <w:tcPr>
            <w:tcW w:w="1498" w:type="dxa"/>
            <w:vMerge/>
            <w:tcBorders>
              <w:top w:val="nil"/>
              <w:bottom w:val="single" w:sz="4" w:space="0" w:color="FFFFFF"/>
            </w:tcBorders>
            <w:shd w:val="clear" w:color="auto" w:fill="E8F5F1"/>
          </w:tcPr>
          <w:p>
            <w:pPr>
              <w:rPr>
                <w:sz w:val="2"/>
                <w:szCs w:val="2"/>
              </w:rPr>
            </w:pPr>
          </w:p>
        </w:tc>
      </w:tr>
      <w:tr>
        <w:trPr>
          <w:trHeight w:val="152" w:hRule="atLeast"/>
        </w:trPr>
        <w:tc>
          <w:tcPr>
            <w:tcW w:w="3785" w:type="dxa"/>
            <w:shd w:val="clear" w:color="auto" w:fill="E8F5F1"/>
          </w:tcPr>
          <w:p>
            <w:pPr>
              <w:pStyle w:val="TableParagraph"/>
              <w:tabs>
                <w:tab w:pos="2134" w:val="left" w:leader="none"/>
              </w:tabs>
              <w:spacing w:line="133" w:lineRule="exact"/>
              <w:ind w:left="186"/>
              <w:rPr>
                <w:sz w:val="15"/>
              </w:rPr>
            </w:pPr>
            <w:r>
              <w:rPr>
                <w:color w:val="231F20"/>
                <w:spacing w:val="-2"/>
                <w:sz w:val="15"/>
              </w:rPr>
              <w:t>dystrophy with</w:t>
            </w:r>
            <w:r>
              <w:rPr>
                <w:color w:val="231F20"/>
                <w:spacing w:val="-1"/>
                <w:sz w:val="15"/>
              </w:rPr>
              <w:t> </w:t>
            </w:r>
            <w:r>
              <w:rPr>
                <w:color w:val="231F20"/>
                <w:spacing w:val="-4"/>
                <w:sz w:val="15"/>
              </w:rPr>
              <w:t>merin</w:t>
            </w:r>
            <w:r>
              <w:rPr>
                <w:color w:val="231F20"/>
                <w:sz w:val="15"/>
              </w:rPr>
              <w:tab/>
            </w:r>
            <w:r>
              <w:rPr>
                <w:color w:val="231F20"/>
                <w:spacing w:val="-2"/>
                <w:sz w:val="15"/>
              </w:rPr>
              <w:t>achieved,</w:t>
            </w:r>
            <w:r>
              <w:rPr>
                <w:color w:val="231F20"/>
                <w:spacing w:val="-8"/>
                <w:sz w:val="15"/>
              </w:rPr>
              <w:t> </w:t>
            </w:r>
            <w:r>
              <w:rPr>
                <w:color w:val="231F20"/>
                <w:spacing w:val="-2"/>
                <w:sz w:val="15"/>
              </w:rPr>
              <w:t>variable</w:t>
            </w:r>
          </w:p>
        </w:tc>
        <w:tc>
          <w:tcPr>
            <w:tcW w:w="1336" w:type="dxa"/>
            <w:shd w:val="clear" w:color="auto" w:fill="E8F5F1"/>
          </w:tcPr>
          <w:p>
            <w:pPr>
              <w:pStyle w:val="TableParagraph"/>
              <w:spacing w:line="133" w:lineRule="exact"/>
              <w:ind w:left="218"/>
              <w:rPr>
                <w:sz w:val="15"/>
              </w:rPr>
            </w:pPr>
            <w:r>
              <w:rPr>
                <w:color w:val="231F20"/>
                <w:spacing w:val="-5"/>
                <w:sz w:val="15"/>
              </w:rPr>
              <w:t>(pattern</w:t>
            </w:r>
            <w:r>
              <w:rPr>
                <w:color w:val="231F20"/>
                <w:spacing w:val="1"/>
                <w:sz w:val="15"/>
              </w:rPr>
              <w:t> </w:t>
            </w:r>
            <w:r>
              <w:rPr>
                <w:color w:val="231F20"/>
                <w:spacing w:val="-5"/>
                <w:sz w:val="15"/>
              </w:rPr>
              <w:t>B)</w:t>
            </w:r>
          </w:p>
        </w:tc>
        <w:tc>
          <w:tcPr>
            <w:tcW w:w="653" w:type="dxa"/>
            <w:shd w:val="clear" w:color="auto" w:fill="E8F5F1"/>
          </w:tcPr>
          <w:p>
            <w:pPr>
              <w:pStyle w:val="TableParagraph"/>
              <w:rPr>
                <w:rFonts w:ascii="Times New Roman"/>
                <w:sz w:val="8"/>
              </w:rPr>
            </w:pPr>
          </w:p>
        </w:tc>
        <w:tc>
          <w:tcPr>
            <w:tcW w:w="1667" w:type="dxa"/>
            <w:shd w:val="clear" w:color="auto" w:fill="E8F5F1"/>
          </w:tcPr>
          <w:p>
            <w:pPr>
              <w:pStyle w:val="TableParagraph"/>
              <w:rPr>
                <w:rFonts w:ascii="Times New Roman"/>
                <w:sz w:val="8"/>
              </w:rPr>
            </w:pPr>
          </w:p>
        </w:tc>
        <w:tc>
          <w:tcPr>
            <w:tcW w:w="1293" w:type="dxa"/>
            <w:vMerge/>
            <w:tcBorders>
              <w:top w:val="nil"/>
              <w:bottom w:val="single" w:sz="4" w:space="0" w:color="FFFFFF"/>
            </w:tcBorders>
            <w:shd w:val="clear" w:color="auto" w:fill="E8F5F1"/>
          </w:tcPr>
          <w:p>
            <w:pPr>
              <w:rPr>
                <w:sz w:val="2"/>
                <w:szCs w:val="2"/>
              </w:rPr>
            </w:pPr>
          </w:p>
        </w:tc>
        <w:tc>
          <w:tcPr>
            <w:tcW w:w="1495" w:type="dxa"/>
            <w:shd w:val="clear" w:color="auto" w:fill="E8F5F1"/>
          </w:tcPr>
          <w:p>
            <w:pPr>
              <w:pStyle w:val="TableParagraph"/>
              <w:spacing w:line="133" w:lineRule="exact"/>
              <w:ind w:left="226"/>
              <w:rPr>
                <w:rFonts w:ascii="Cambria"/>
                <w:sz w:val="15"/>
              </w:rPr>
            </w:pPr>
            <w:r>
              <w:rPr>
                <w:color w:val="231F20"/>
                <w:sz w:val="15"/>
              </w:rPr>
              <w:t>cardiac</w:t>
            </w:r>
            <w:r>
              <w:rPr>
                <w:color w:val="231F20"/>
                <w:spacing w:val="-3"/>
                <w:sz w:val="15"/>
              </w:rPr>
              <w:t> </w:t>
            </w:r>
            <w:r>
              <w:rPr>
                <w:color w:val="231F20"/>
                <w:sz w:val="15"/>
              </w:rPr>
              <w:t>signs</w:t>
            </w:r>
            <w:r>
              <w:rPr>
                <w:color w:val="231F20"/>
                <w:spacing w:val="-2"/>
                <w:sz w:val="15"/>
              </w:rPr>
              <w:t> </w:t>
            </w:r>
            <w:r>
              <w:rPr>
                <w:rFonts w:ascii="Cambria"/>
                <w:color w:val="231F20"/>
                <w:spacing w:val="-10"/>
                <w:sz w:val="15"/>
              </w:rPr>
              <w:t>&gt;</w:t>
            </w:r>
          </w:p>
        </w:tc>
        <w:tc>
          <w:tcPr>
            <w:tcW w:w="1076" w:type="dxa"/>
            <w:shd w:val="clear" w:color="auto" w:fill="E8F5F1"/>
          </w:tcPr>
          <w:p>
            <w:pPr>
              <w:pStyle w:val="TableParagraph"/>
              <w:rPr>
                <w:rFonts w:ascii="Times New Roman"/>
                <w:sz w:val="8"/>
              </w:rPr>
            </w:pPr>
          </w:p>
        </w:tc>
        <w:tc>
          <w:tcPr>
            <w:tcW w:w="1498" w:type="dxa"/>
            <w:vMerge/>
            <w:tcBorders>
              <w:top w:val="nil"/>
              <w:bottom w:val="single" w:sz="4" w:space="0" w:color="FFFFFF"/>
            </w:tcBorders>
            <w:shd w:val="clear" w:color="auto" w:fill="E8F5F1"/>
          </w:tcPr>
          <w:p>
            <w:pPr>
              <w:rPr>
                <w:sz w:val="2"/>
                <w:szCs w:val="2"/>
              </w:rPr>
            </w:pPr>
          </w:p>
        </w:tc>
      </w:tr>
      <w:tr>
        <w:trPr>
          <w:trHeight w:val="199" w:hRule="atLeast"/>
        </w:trPr>
        <w:tc>
          <w:tcPr>
            <w:tcW w:w="5774" w:type="dxa"/>
            <w:gridSpan w:val="3"/>
            <w:tcBorders>
              <w:bottom w:val="single" w:sz="4" w:space="0" w:color="FFFFFF"/>
            </w:tcBorders>
            <w:shd w:val="clear" w:color="auto" w:fill="E8F5F1"/>
          </w:tcPr>
          <w:p>
            <w:pPr>
              <w:pStyle w:val="TableParagraph"/>
              <w:tabs>
                <w:tab w:pos="2134" w:val="left" w:leader="none"/>
              </w:tabs>
              <w:spacing w:line="163" w:lineRule="exact"/>
              <w:ind w:left="186"/>
              <w:rPr>
                <w:sz w:val="15"/>
              </w:rPr>
            </w:pPr>
            <w:r>
              <w:rPr>
                <w:color w:val="231F20"/>
                <w:spacing w:val="-4"/>
                <w:sz w:val="15"/>
              </w:rPr>
              <w:t>deficiency</w:t>
            </w:r>
            <w:r>
              <w:rPr>
                <w:color w:val="231F20"/>
                <w:spacing w:val="4"/>
                <w:sz w:val="15"/>
              </w:rPr>
              <w:t> </w:t>
            </w:r>
            <w:r>
              <w:rPr>
                <w:color w:val="231F20"/>
                <w:spacing w:val="-4"/>
                <w:sz w:val="15"/>
              </w:rPr>
              <w:t>(type</w:t>
            </w:r>
            <w:r>
              <w:rPr>
                <w:color w:val="231F20"/>
                <w:spacing w:val="5"/>
                <w:sz w:val="15"/>
              </w:rPr>
              <w:t> </w:t>
            </w:r>
            <w:r>
              <w:rPr>
                <w:color w:val="231F20"/>
                <w:spacing w:val="-5"/>
                <w:sz w:val="15"/>
              </w:rPr>
              <w:t>1)</w:t>
            </w:r>
            <w:r>
              <w:rPr>
                <w:color w:val="231F20"/>
                <w:sz w:val="15"/>
              </w:rPr>
              <w:tab/>
            </w:r>
            <w:r>
              <w:rPr>
                <w:color w:val="231F20"/>
                <w:spacing w:val="-2"/>
                <w:sz w:val="15"/>
              </w:rPr>
              <w:t>progression</w:t>
            </w:r>
          </w:p>
        </w:tc>
        <w:tc>
          <w:tcPr>
            <w:tcW w:w="1667" w:type="dxa"/>
            <w:tcBorders>
              <w:bottom w:val="single" w:sz="4" w:space="0" w:color="FFFFFF"/>
            </w:tcBorders>
            <w:shd w:val="clear" w:color="auto" w:fill="E8F5F1"/>
          </w:tcPr>
          <w:p>
            <w:pPr>
              <w:pStyle w:val="TableParagraph"/>
              <w:rPr>
                <w:rFonts w:ascii="Times New Roman"/>
                <w:sz w:val="12"/>
              </w:rPr>
            </w:pPr>
          </w:p>
        </w:tc>
        <w:tc>
          <w:tcPr>
            <w:tcW w:w="1293" w:type="dxa"/>
            <w:vMerge/>
            <w:tcBorders>
              <w:top w:val="nil"/>
              <w:bottom w:val="single" w:sz="4" w:space="0" w:color="FFFFFF"/>
            </w:tcBorders>
            <w:shd w:val="clear" w:color="auto" w:fill="E8F5F1"/>
          </w:tcPr>
          <w:p>
            <w:pPr>
              <w:rPr>
                <w:sz w:val="2"/>
                <w:szCs w:val="2"/>
              </w:rPr>
            </w:pPr>
          </w:p>
        </w:tc>
        <w:tc>
          <w:tcPr>
            <w:tcW w:w="1495" w:type="dxa"/>
            <w:tcBorders>
              <w:bottom w:val="single" w:sz="4" w:space="0" w:color="FFFFFF"/>
            </w:tcBorders>
            <w:shd w:val="clear" w:color="auto" w:fill="E8F5F1"/>
          </w:tcPr>
          <w:p>
            <w:pPr>
              <w:pStyle w:val="TableParagraph"/>
              <w:spacing w:line="163" w:lineRule="exact"/>
              <w:ind w:left="226"/>
              <w:rPr>
                <w:sz w:val="15"/>
              </w:rPr>
            </w:pPr>
            <w:r>
              <w:rPr>
                <w:color w:val="231F20"/>
                <w:sz w:val="15"/>
              </w:rPr>
              <w:t>motor</w:t>
            </w:r>
            <w:r>
              <w:rPr>
                <w:color w:val="231F20"/>
                <w:spacing w:val="1"/>
                <w:sz w:val="15"/>
              </w:rPr>
              <w:t> </w:t>
            </w:r>
            <w:r>
              <w:rPr>
                <w:color w:val="231F20"/>
                <w:spacing w:val="-2"/>
                <w:sz w:val="15"/>
              </w:rPr>
              <w:t>signs</w:t>
            </w:r>
          </w:p>
        </w:tc>
        <w:tc>
          <w:tcPr>
            <w:tcW w:w="1076" w:type="dxa"/>
            <w:tcBorders>
              <w:bottom w:val="single" w:sz="4" w:space="0" w:color="FFFFFF"/>
            </w:tcBorders>
            <w:shd w:val="clear" w:color="auto" w:fill="E8F5F1"/>
          </w:tcPr>
          <w:p>
            <w:pPr>
              <w:pStyle w:val="TableParagraph"/>
              <w:rPr>
                <w:rFonts w:ascii="Times New Roman"/>
                <w:sz w:val="12"/>
              </w:rPr>
            </w:pPr>
          </w:p>
        </w:tc>
        <w:tc>
          <w:tcPr>
            <w:tcW w:w="1498" w:type="dxa"/>
            <w:vMerge/>
            <w:tcBorders>
              <w:top w:val="nil"/>
              <w:bottom w:val="single" w:sz="4" w:space="0" w:color="FFFFFF"/>
            </w:tcBorders>
            <w:shd w:val="clear" w:color="auto" w:fill="E8F5F1"/>
          </w:tcPr>
          <w:p>
            <w:pPr>
              <w:rPr>
                <w:sz w:val="2"/>
                <w:szCs w:val="2"/>
              </w:rPr>
            </w:pPr>
          </w:p>
        </w:tc>
      </w:tr>
      <w:tr>
        <w:trPr>
          <w:trHeight w:val="707" w:hRule="atLeast"/>
        </w:trPr>
        <w:tc>
          <w:tcPr>
            <w:tcW w:w="3785" w:type="dxa"/>
            <w:vMerge w:val="restart"/>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ADULT-ONSET</w:t>
            </w:r>
            <w:r>
              <w:rPr>
                <w:color w:val="231F20"/>
                <w:spacing w:val="6"/>
                <w:w w:val="110"/>
                <w:sz w:val="15"/>
              </w:rPr>
              <w:t> </w:t>
            </w:r>
            <w:r>
              <w:rPr>
                <w:color w:val="231F20"/>
                <w:w w:val="110"/>
                <w:sz w:val="15"/>
              </w:rPr>
              <w:t>MUSCULAR</w:t>
            </w:r>
            <w:r>
              <w:rPr>
                <w:color w:val="231F20"/>
                <w:spacing w:val="7"/>
                <w:w w:val="110"/>
                <w:sz w:val="15"/>
              </w:rPr>
              <w:t> </w:t>
            </w:r>
            <w:r>
              <w:rPr>
                <w:color w:val="231F20"/>
                <w:spacing w:val="-2"/>
                <w:w w:val="110"/>
                <w:sz w:val="15"/>
              </w:rPr>
              <w:t>DYSTROPHY</w:t>
            </w:r>
          </w:p>
          <w:p>
            <w:pPr>
              <w:pStyle w:val="TableParagraph"/>
              <w:tabs>
                <w:tab w:pos="2022" w:val="left" w:leader="none"/>
                <w:tab w:pos="2134" w:val="left" w:leader="none"/>
              </w:tabs>
              <w:spacing w:line="230" w:lineRule="auto" w:before="3"/>
              <w:ind w:left="186" w:right="109" w:hanging="112"/>
              <w:jc w:val="both"/>
              <w:rPr>
                <w:sz w:val="15"/>
              </w:rPr>
            </w:pPr>
            <w:r>
              <w:rPr>
                <w:color w:val="231F20"/>
                <w:sz w:val="15"/>
              </w:rPr>
              <w:t>Limb-girdle muscular</w:t>
              <w:tab/>
              <w:t>Onset</w:t>
            </w:r>
            <w:r>
              <w:rPr>
                <w:color w:val="231F20"/>
                <w:spacing w:val="-12"/>
                <w:sz w:val="15"/>
              </w:rPr>
              <w:t> </w:t>
            </w:r>
            <w:r>
              <w:rPr>
                <w:color w:val="231F20"/>
                <w:sz w:val="15"/>
              </w:rPr>
              <w:t>in</w:t>
            </w:r>
            <w:r>
              <w:rPr>
                <w:color w:val="231F20"/>
                <w:spacing w:val="-11"/>
                <w:sz w:val="15"/>
              </w:rPr>
              <w:t> </w:t>
            </w:r>
            <w:r>
              <w:rPr>
                <w:color w:val="231F20"/>
                <w:sz w:val="15"/>
              </w:rPr>
              <w:t>adulthood,</w:t>
            </w:r>
            <w:r>
              <w:rPr>
                <w:color w:val="231F20"/>
                <w:spacing w:val="-11"/>
                <w:sz w:val="15"/>
              </w:rPr>
              <w:t> </w:t>
            </w:r>
            <w:r>
              <w:rPr>
                <w:color w:val="231F20"/>
                <w:sz w:val="15"/>
              </w:rPr>
              <w:t>8</w:t>
            </w:r>
            <w:r>
              <w:rPr>
                <w:color w:val="231F20"/>
                <w:spacing w:val="-12"/>
                <w:sz w:val="15"/>
              </w:rPr>
              <w:t> </w:t>
            </w:r>
            <w:r>
              <w:rPr>
                <w:color w:val="231F20"/>
                <w:sz w:val="15"/>
              </w:rPr>
              <w:t>:</w:t>
            </w:r>
            <w:r>
              <w:rPr>
                <w:color w:val="231F20"/>
                <w:spacing w:val="-11"/>
                <w:sz w:val="15"/>
              </w:rPr>
              <w:t> </w:t>
            </w:r>
            <w:r>
              <w:rPr>
                <w:color w:val="231F20"/>
                <w:sz w:val="15"/>
              </w:rPr>
              <w:t>1 dystrophy with</w:t>
              <w:tab/>
              <w:tab/>
              <w:t>ratio</w:t>
            </w:r>
            <w:r>
              <w:rPr>
                <w:color w:val="231F20"/>
                <w:spacing w:val="-11"/>
                <w:sz w:val="15"/>
              </w:rPr>
              <w:t> </w:t>
            </w:r>
            <w:r>
              <w:rPr>
                <w:color w:val="231F20"/>
                <w:sz w:val="15"/>
              </w:rPr>
              <w:t>of</w:t>
            </w:r>
            <w:r>
              <w:rPr>
                <w:color w:val="231F20"/>
                <w:spacing w:val="-11"/>
                <w:sz w:val="15"/>
              </w:rPr>
              <w:t> </w:t>
            </w:r>
            <w:r>
              <w:rPr>
                <w:color w:val="231F20"/>
                <w:sz w:val="15"/>
              </w:rPr>
              <w:t>men</w:t>
            </w:r>
            <w:r>
              <w:rPr>
                <w:color w:val="231F20"/>
                <w:spacing w:val="-11"/>
                <w:sz w:val="15"/>
              </w:rPr>
              <w:t> </w:t>
            </w:r>
            <w:r>
              <w:rPr>
                <w:color w:val="231F20"/>
                <w:sz w:val="15"/>
              </w:rPr>
              <w:t>to</w:t>
            </w:r>
            <w:r>
              <w:rPr>
                <w:color w:val="231F20"/>
                <w:spacing w:val="-11"/>
                <w:sz w:val="15"/>
              </w:rPr>
              <w:t> </w:t>
            </w:r>
            <w:r>
              <w:rPr>
                <w:color w:val="231F20"/>
                <w:sz w:val="15"/>
              </w:rPr>
              <w:t>women anoctamin deficiency</w:t>
            </w:r>
          </w:p>
          <w:p>
            <w:pPr>
              <w:pStyle w:val="TableParagraph"/>
              <w:spacing w:line="168" w:lineRule="exact"/>
              <w:ind w:left="186"/>
              <w:jc w:val="both"/>
              <w:rPr>
                <w:sz w:val="15"/>
              </w:rPr>
            </w:pPr>
            <w:r>
              <w:rPr>
                <w:color w:val="231F20"/>
                <w:spacing w:val="-4"/>
                <w:sz w:val="15"/>
              </w:rPr>
              <w:t>(type </w:t>
            </w:r>
            <w:r>
              <w:rPr>
                <w:color w:val="231F20"/>
                <w:spacing w:val="-5"/>
                <w:sz w:val="15"/>
              </w:rPr>
              <w:t>2L)</w:t>
            </w:r>
          </w:p>
          <w:p>
            <w:pPr>
              <w:pStyle w:val="TableParagraph"/>
              <w:tabs>
                <w:tab w:pos="2022" w:val="left" w:leader="none"/>
                <w:tab w:pos="2134" w:val="left" w:leader="none"/>
              </w:tabs>
              <w:spacing w:line="230" w:lineRule="auto" w:before="3"/>
              <w:ind w:left="186" w:right="104" w:hanging="112"/>
              <w:jc w:val="both"/>
              <w:rPr>
                <w:sz w:val="15"/>
              </w:rPr>
            </w:pPr>
            <w:r>
              <w:rPr>
                <w:color w:val="231F20"/>
                <w:sz w:val="15"/>
              </w:rPr>
              <w:t>Limb-girdle muscular</w:t>
              <w:tab/>
              <w:t>Independent</w:t>
            </w:r>
            <w:r>
              <w:rPr>
                <w:color w:val="231F20"/>
                <w:spacing w:val="-12"/>
                <w:sz w:val="15"/>
              </w:rPr>
              <w:t> </w:t>
            </w:r>
            <w:r>
              <w:rPr>
                <w:color w:val="231F20"/>
                <w:sz w:val="15"/>
              </w:rPr>
              <w:t>ambulation dystrophy type 1A</w:t>
              <w:tab/>
              <w:tab/>
            </w:r>
            <w:r>
              <w:rPr>
                <w:color w:val="231F20"/>
                <w:spacing w:val="-2"/>
                <w:sz w:val="15"/>
              </w:rPr>
              <w:t>achieved</w:t>
            </w:r>
          </w:p>
          <w:p>
            <w:pPr>
              <w:pStyle w:val="TableParagraph"/>
              <w:spacing w:line="168" w:lineRule="exact"/>
              <w:ind w:left="186"/>
              <w:rPr>
                <w:sz w:val="15"/>
              </w:rPr>
            </w:pPr>
            <w:r>
              <w:rPr>
                <w:color w:val="231F20"/>
                <w:spacing w:val="-2"/>
                <w:sz w:val="15"/>
              </w:rPr>
              <w:t>(myotilin)</w:t>
            </w:r>
          </w:p>
          <w:p>
            <w:pPr>
              <w:pStyle w:val="TableParagraph"/>
              <w:tabs>
                <w:tab w:pos="2022" w:val="left" w:leader="none"/>
                <w:tab w:pos="2134" w:val="left" w:leader="none"/>
              </w:tabs>
              <w:spacing w:line="230" w:lineRule="auto" w:before="4"/>
              <w:ind w:left="186" w:right="104" w:hanging="112"/>
              <w:rPr>
                <w:sz w:val="15"/>
              </w:rPr>
            </w:pPr>
            <w:r>
              <w:rPr>
                <w:color w:val="231F20"/>
                <w:sz w:val="15"/>
              </w:rPr>
              <w:t>Limb-girdle muscular</w:t>
              <w:tab/>
              <w:t>Independent</w:t>
            </w:r>
            <w:r>
              <w:rPr>
                <w:color w:val="231F20"/>
                <w:spacing w:val="-12"/>
                <w:sz w:val="15"/>
              </w:rPr>
              <w:t> </w:t>
            </w:r>
            <w:r>
              <w:rPr>
                <w:color w:val="231F20"/>
                <w:sz w:val="15"/>
              </w:rPr>
              <w:t>ambulation dystrophy with caveolin</w:t>
              <w:tab/>
              <w:tab/>
              <w:t>achieved; rippling deficiency (type 1C)</w:t>
              <w:tab/>
              <w:tab/>
              <w:t>might be seen before</w:t>
            </w:r>
          </w:p>
          <w:p>
            <w:pPr>
              <w:pStyle w:val="TableParagraph"/>
              <w:spacing w:line="171" w:lineRule="exact"/>
              <w:ind w:left="2134"/>
              <w:rPr>
                <w:sz w:val="15"/>
              </w:rPr>
            </w:pPr>
            <w:r>
              <w:rPr>
                <w:color w:val="231F20"/>
                <w:spacing w:val="-2"/>
                <w:sz w:val="15"/>
              </w:rPr>
              <w:t>weakness</w:t>
            </w:r>
          </w:p>
        </w:tc>
        <w:tc>
          <w:tcPr>
            <w:tcW w:w="1336"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18" w:right="227" w:hanging="112"/>
              <w:rPr>
                <w:sz w:val="15"/>
              </w:rPr>
            </w:pPr>
            <w:r>
              <w:rPr>
                <w:color w:val="231F20"/>
                <w:sz w:val="15"/>
              </w:rPr>
              <w:t>Mainly lower </w:t>
            </w:r>
            <w:r>
              <w:rPr>
                <w:color w:val="231F20"/>
                <w:spacing w:val="-2"/>
                <w:sz w:val="15"/>
              </w:rPr>
              <w:t>limbs</w:t>
            </w:r>
            <w:r>
              <w:rPr>
                <w:color w:val="231F20"/>
                <w:spacing w:val="-10"/>
                <w:sz w:val="15"/>
              </w:rPr>
              <w:t> </w:t>
            </w:r>
            <w:r>
              <w:rPr>
                <w:color w:val="231F20"/>
                <w:spacing w:val="-2"/>
                <w:sz w:val="15"/>
              </w:rPr>
              <w:t>pattern </w:t>
            </w:r>
            <w:r>
              <w:rPr>
                <w:color w:val="231F20"/>
                <w:sz w:val="15"/>
              </w:rPr>
              <w:t>A, rarely pattern E</w:t>
            </w:r>
          </w:p>
          <w:p>
            <w:pPr>
              <w:pStyle w:val="TableParagraph"/>
              <w:spacing w:line="230" w:lineRule="auto" w:before="5"/>
              <w:ind w:left="218" w:hanging="112"/>
              <w:rPr>
                <w:sz w:val="15"/>
              </w:rPr>
            </w:pPr>
            <w:r>
              <w:rPr>
                <w:color w:val="231F20"/>
                <w:spacing w:val="-2"/>
                <w:sz w:val="15"/>
              </w:rPr>
              <w:t>Proximal</w:t>
            </w:r>
            <w:r>
              <w:rPr>
                <w:color w:val="231F20"/>
                <w:spacing w:val="-10"/>
                <w:sz w:val="15"/>
              </w:rPr>
              <w:t> </w:t>
            </w:r>
            <w:r>
              <w:rPr>
                <w:rFonts w:ascii="Cambria"/>
                <w:color w:val="231F20"/>
                <w:spacing w:val="-2"/>
                <w:sz w:val="15"/>
              </w:rPr>
              <w:t>&gt;</w:t>
            </w:r>
            <w:r>
              <w:rPr>
                <w:rFonts w:ascii="Cambria"/>
                <w:color w:val="231F20"/>
                <w:spacing w:val="-3"/>
                <w:sz w:val="15"/>
              </w:rPr>
              <w:t> </w:t>
            </w:r>
            <w:r>
              <w:rPr>
                <w:color w:val="231F20"/>
                <w:spacing w:val="-2"/>
                <w:sz w:val="15"/>
              </w:rPr>
              <w:t>distal </w:t>
            </w:r>
            <w:r>
              <w:rPr>
                <w:color w:val="231F20"/>
                <w:sz w:val="15"/>
              </w:rPr>
              <w:t>(pattern A)</w:t>
            </w:r>
          </w:p>
          <w:p>
            <w:pPr>
              <w:pStyle w:val="TableParagraph"/>
              <w:spacing w:line="230" w:lineRule="auto" w:before="169"/>
              <w:ind w:left="218" w:right="227" w:hanging="112"/>
              <w:rPr>
                <w:sz w:val="15"/>
              </w:rPr>
            </w:pPr>
            <w:r>
              <w:rPr>
                <w:color w:val="231F20"/>
                <w:spacing w:val="-2"/>
                <w:sz w:val="15"/>
              </w:rPr>
              <w:t>Proximal</w:t>
            </w:r>
            <w:r>
              <w:rPr>
                <w:color w:val="231F20"/>
                <w:spacing w:val="-10"/>
                <w:sz w:val="15"/>
              </w:rPr>
              <w:t> </w:t>
            </w:r>
            <w:r>
              <w:rPr>
                <w:color w:val="231F20"/>
                <w:spacing w:val="-2"/>
                <w:sz w:val="15"/>
              </w:rPr>
              <w:t>and distal</w:t>
            </w:r>
          </w:p>
        </w:tc>
        <w:tc>
          <w:tcPr>
            <w:tcW w:w="653" w:type="dxa"/>
            <w:vMerge w:val="restart"/>
            <w:tcBorders>
              <w:top w:val="single" w:sz="4" w:space="0" w:color="FFFFFF"/>
              <w:bottom w:val="single" w:sz="8" w:space="0" w:color="231F20"/>
            </w:tcBorders>
            <w:shd w:val="clear" w:color="auto" w:fill="E8F5F1"/>
          </w:tcPr>
          <w:p>
            <w:pPr>
              <w:pStyle w:val="TableParagraph"/>
              <w:spacing w:before="38"/>
              <w:rPr>
                <w:i/>
                <w:sz w:val="15"/>
              </w:rPr>
            </w:pPr>
          </w:p>
          <w:p>
            <w:pPr>
              <w:pStyle w:val="TableParagraph"/>
              <w:jc w:val="center"/>
              <w:rPr>
                <w:sz w:val="15"/>
              </w:rPr>
            </w:pPr>
            <w:r>
              <w:rPr>
                <w:color w:val="231F20"/>
                <w:spacing w:val="-10"/>
                <w:w w:val="135"/>
                <w:sz w:val="15"/>
              </w:rPr>
              <w:t>–</w:t>
            </w:r>
          </w:p>
          <w:p>
            <w:pPr>
              <w:pStyle w:val="TableParagraph"/>
              <w:rPr>
                <w:i/>
                <w:sz w:val="15"/>
              </w:rPr>
            </w:pPr>
          </w:p>
          <w:p>
            <w:pPr>
              <w:pStyle w:val="TableParagraph"/>
              <w:spacing w:before="151"/>
              <w:rPr>
                <w:i/>
                <w:sz w:val="15"/>
              </w:rPr>
            </w:pPr>
          </w:p>
          <w:p>
            <w:pPr>
              <w:pStyle w:val="TableParagraph"/>
              <w:jc w:val="center"/>
              <w:rPr>
                <w:sz w:val="15"/>
              </w:rPr>
            </w:pPr>
            <w:r>
              <w:rPr>
                <w:color w:val="231F20"/>
                <w:spacing w:val="-10"/>
                <w:w w:val="135"/>
                <w:sz w:val="15"/>
              </w:rPr>
              <w:t>–</w:t>
            </w:r>
          </w:p>
          <w:p>
            <w:pPr>
              <w:pStyle w:val="TableParagraph"/>
              <w:spacing w:before="157"/>
              <w:rPr>
                <w:i/>
                <w:sz w:val="15"/>
              </w:rPr>
            </w:pPr>
          </w:p>
          <w:p>
            <w:pPr>
              <w:pStyle w:val="TableParagraph"/>
              <w:jc w:val="center"/>
              <w:rPr>
                <w:sz w:val="15"/>
              </w:rPr>
            </w:pPr>
            <w:r>
              <w:rPr>
                <w:color w:val="231F20"/>
                <w:spacing w:val="-10"/>
                <w:w w:val="135"/>
                <w:sz w:val="15"/>
              </w:rPr>
              <w:t>–</w:t>
            </w:r>
          </w:p>
        </w:tc>
        <w:tc>
          <w:tcPr>
            <w:tcW w:w="1667" w:type="dxa"/>
            <w:vMerge w:val="restart"/>
            <w:tcBorders>
              <w:top w:val="single" w:sz="4" w:space="0" w:color="FFFFFF"/>
              <w:bottom w:val="single" w:sz="8" w:space="0" w:color="231F20"/>
            </w:tcBorders>
            <w:shd w:val="clear" w:color="auto" w:fill="E8F5F1"/>
          </w:tcPr>
          <w:p>
            <w:pPr>
              <w:pStyle w:val="TableParagraph"/>
              <w:spacing w:before="38"/>
              <w:rPr>
                <w:i/>
                <w:sz w:val="15"/>
              </w:rPr>
            </w:pPr>
          </w:p>
          <w:p>
            <w:pPr>
              <w:pStyle w:val="TableParagraph"/>
              <w:ind w:right="1"/>
              <w:jc w:val="center"/>
              <w:rPr>
                <w:sz w:val="15"/>
              </w:rPr>
            </w:pPr>
            <w:r>
              <w:rPr>
                <w:color w:val="231F20"/>
                <w:spacing w:val="-10"/>
                <w:w w:val="135"/>
                <w:sz w:val="15"/>
              </w:rPr>
              <w:t>–</w:t>
            </w:r>
          </w:p>
          <w:p>
            <w:pPr>
              <w:pStyle w:val="TableParagraph"/>
              <w:rPr>
                <w:i/>
                <w:sz w:val="15"/>
              </w:rPr>
            </w:pPr>
          </w:p>
          <w:p>
            <w:pPr>
              <w:pStyle w:val="TableParagraph"/>
              <w:spacing w:before="151"/>
              <w:rPr>
                <w:i/>
                <w:sz w:val="15"/>
              </w:rPr>
            </w:pPr>
          </w:p>
          <w:p>
            <w:pPr>
              <w:pStyle w:val="TableParagraph"/>
              <w:ind w:right="1"/>
              <w:jc w:val="center"/>
              <w:rPr>
                <w:sz w:val="15"/>
              </w:rPr>
            </w:pPr>
            <w:r>
              <w:rPr>
                <w:color w:val="231F20"/>
                <w:spacing w:val="-10"/>
                <w:w w:val="135"/>
                <w:sz w:val="15"/>
              </w:rPr>
              <w:t>–</w:t>
            </w:r>
          </w:p>
          <w:p>
            <w:pPr>
              <w:pStyle w:val="TableParagraph"/>
              <w:spacing w:before="157"/>
              <w:rPr>
                <w:i/>
                <w:sz w:val="15"/>
              </w:rPr>
            </w:pPr>
          </w:p>
          <w:p>
            <w:pPr>
              <w:pStyle w:val="TableParagraph"/>
              <w:ind w:right="1"/>
              <w:jc w:val="center"/>
              <w:rPr>
                <w:rFonts w:ascii="Cambria"/>
                <w:sz w:val="15"/>
              </w:rPr>
            </w:pPr>
            <w:r>
              <w:rPr>
                <w:rFonts w:ascii="Cambria"/>
                <w:color w:val="231F20"/>
                <w:spacing w:val="-10"/>
                <w:sz w:val="15"/>
              </w:rPr>
              <w:t>+</w:t>
            </w:r>
          </w:p>
        </w:tc>
        <w:tc>
          <w:tcPr>
            <w:tcW w:w="1293" w:type="dxa"/>
            <w:tcBorders>
              <w:top w:val="single" w:sz="4" w:space="0" w:color="FFFFFF"/>
            </w:tcBorders>
            <w:shd w:val="clear" w:color="auto" w:fill="E8F5F1"/>
          </w:tcPr>
          <w:p>
            <w:pPr>
              <w:pStyle w:val="TableParagraph"/>
              <w:spacing w:before="38"/>
              <w:rPr>
                <w:i/>
                <w:sz w:val="15"/>
              </w:rPr>
            </w:pPr>
          </w:p>
          <w:p>
            <w:pPr>
              <w:pStyle w:val="TableParagraph"/>
              <w:ind w:left="7"/>
              <w:jc w:val="center"/>
              <w:rPr>
                <w:sz w:val="15"/>
              </w:rPr>
            </w:pPr>
            <w:r>
              <w:rPr>
                <w:color w:val="231F20"/>
                <w:spacing w:val="-10"/>
                <w:w w:val="135"/>
                <w:sz w:val="15"/>
              </w:rPr>
              <w:t>–</w:t>
            </w:r>
          </w:p>
        </w:tc>
        <w:tc>
          <w:tcPr>
            <w:tcW w:w="1495"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26" w:right="143" w:hanging="112"/>
              <w:rPr>
                <w:sz w:val="15"/>
              </w:rPr>
            </w:pPr>
            <w:r>
              <w:rPr>
                <w:color w:val="231F20"/>
                <w:sz w:val="15"/>
              </w:rPr>
              <w:t>Slowly</w:t>
            </w:r>
            <w:r>
              <w:rPr>
                <w:color w:val="231F20"/>
                <w:spacing w:val="-12"/>
                <w:sz w:val="15"/>
              </w:rPr>
              <w:t> </w:t>
            </w:r>
            <w:r>
              <w:rPr>
                <w:color w:val="231F20"/>
                <w:sz w:val="15"/>
              </w:rPr>
              <w:t>progressive in adulthood</w:t>
            </w:r>
          </w:p>
        </w:tc>
        <w:tc>
          <w:tcPr>
            <w:tcW w:w="1076" w:type="dxa"/>
            <w:tcBorders>
              <w:top w:val="single" w:sz="4" w:space="0" w:color="FFFFFF"/>
            </w:tcBorders>
            <w:shd w:val="clear" w:color="auto" w:fill="E8F5F1"/>
          </w:tcPr>
          <w:p>
            <w:pPr>
              <w:pStyle w:val="TableParagraph"/>
              <w:spacing w:before="38"/>
              <w:rPr>
                <w:i/>
                <w:sz w:val="15"/>
              </w:rPr>
            </w:pPr>
          </w:p>
          <w:p>
            <w:pPr>
              <w:pStyle w:val="TableParagraph"/>
              <w:spacing w:before="1"/>
              <w:ind w:right="3"/>
              <w:jc w:val="center"/>
              <w:rPr>
                <w:rFonts w:ascii="Cambria"/>
                <w:sz w:val="15"/>
              </w:rPr>
            </w:pPr>
            <w:r>
              <w:rPr>
                <w:rFonts w:ascii="Cambria"/>
                <w:color w:val="231F20"/>
                <w:spacing w:val="-5"/>
                <w:sz w:val="15"/>
              </w:rPr>
              <w:t>++</w:t>
            </w:r>
          </w:p>
        </w:tc>
        <w:tc>
          <w:tcPr>
            <w:tcW w:w="1498" w:type="dxa"/>
            <w:tcBorders>
              <w:top w:val="single" w:sz="4" w:space="0" w:color="FFFFFF"/>
            </w:tcBorders>
            <w:shd w:val="clear" w:color="auto" w:fill="E8F5F1"/>
          </w:tcPr>
          <w:p>
            <w:pPr>
              <w:pStyle w:val="TableParagraph"/>
              <w:spacing w:before="38"/>
              <w:rPr>
                <w:i/>
                <w:sz w:val="15"/>
              </w:rPr>
            </w:pPr>
          </w:p>
          <w:p>
            <w:pPr>
              <w:pStyle w:val="TableParagraph"/>
              <w:ind w:left="103"/>
              <w:rPr>
                <w:sz w:val="15"/>
              </w:rPr>
            </w:pPr>
            <w:r>
              <w:rPr>
                <w:color w:val="231F20"/>
                <w:spacing w:val="-4"/>
                <w:w w:val="110"/>
                <w:sz w:val="15"/>
              </w:rPr>
              <w:t>None</w:t>
            </w:r>
          </w:p>
        </w:tc>
      </w:tr>
      <w:tr>
        <w:trPr>
          <w:trHeight w:val="1372" w:hRule="atLeast"/>
        </w:trPr>
        <w:tc>
          <w:tcPr>
            <w:tcW w:w="3785" w:type="dxa"/>
            <w:vMerge/>
            <w:tcBorders>
              <w:top w:val="nil"/>
              <w:bottom w:val="single" w:sz="8" w:space="0" w:color="231F20"/>
            </w:tcBorders>
            <w:shd w:val="clear" w:color="auto" w:fill="E8F5F1"/>
          </w:tcPr>
          <w:p>
            <w:pPr>
              <w:rPr>
                <w:sz w:val="2"/>
                <w:szCs w:val="2"/>
              </w:rPr>
            </w:pPr>
          </w:p>
        </w:tc>
        <w:tc>
          <w:tcPr>
            <w:tcW w:w="1336" w:type="dxa"/>
            <w:vMerge/>
            <w:tcBorders>
              <w:top w:val="nil"/>
              <w:bottom w:val="single" w:sz="8" w:space="0" w:color="231F20"/>
            </w:tcBorders>
            <w:shd w:val="clear" w:color="auto" w:fill="E8F5F1"/>
          </w:tcPr>
          <w:p>
            <w:pPr>
              <w:rPr>
                <w:sz w:val="2"/>
                <w:szCs w:val="2"/>
              </w:rPr>
            </w:pPr>
          </w:p>
        </w:tc>
        <w:tc>
          <w:tcPr>
            <w:tcW w:w="653" w:type="dxa"/>
            <w:vMerge/>
            <w:tcBorders>
              <w:top w:val="nil"/>
              <w:bottom w:val="single" w:sz="8" w:space="0" w:color="231F20"/>
            </w:tcBorders>
            <w:shd w:val="clear" w:color="auto" w:fill="E8F5F1"/>
          </w:tcPr>
          <w:p>
            <w:pPr>
              <w:rPr>
                <w:sz w:val="2"/>
                <w:szCs w:val="2"/>
              </w:rPr>
            </w:pPr>
          </w:p>
        </w:tc>
        <w:tc>
          <w:tcPr>
            <w:tcW w:w="1667" w:type="dxa"/>
            <w:vMerge/>
            <w:tcBorders>
              <w:top w:val="nil"/>
              <w:bottom w:val="single" w:sz="8" w:space="0" w:color="231F20"/>
            </w:tcBorders>
            <w:shd w:val="clear" w:color="auto" w:fill="E8F5F1"/>
          </w:tcPr>
          <w:p>
            <w:pPr>
              <w:rPr>
                <w:sz w:val="2"/>
                <w:szCs w:val="2"/>
              </w:rPr>
            </w:pPr>
          </w:p>
        </w:tc>
        <w:tc>
          <w:tcPr>
            <w:tcW w:w="1293" w:type="dxa"/>
            <w:tcBorders>
              <w:bottom w:val="single" w:sz="8" w:space="0" w:color="231F20"/>
            </w:tcBorders>
            <w:shd w:val="clear" w:color="auto" w:fill="E8F5F1"/>
          </w:tcPr>
          <w:p>
            <w:pPr>
              <w:pStyle w:val="TableParagraph"/>
              <w:spacing w:before="158"/>
              <w:ind w:left="7"/>
              <w:jc w:val="center"/>
              <w:rPr>
                <w:sz w:val="15"/>
              </w:rPr>
            </w:pPr>
            <w:r>
              <w:rPr>
                <w:color w:val="231F20"/>
                <w:spacing w:val="-10"/>
                <w:w w:val="135"/>
                <w:sz w:val="15"/>
              </w:rPr>
              <w:t>–</w:t>
            </w:r>
          </w:p>
          <w:p>
            <w:pPr>
              <w:pStyle w:val="TableParagraph"/>
              <w:spacing w:before="157"/>
              <w:rPr>
                <w:i/>
                <w:sz w:val="15"/>
              </w:rPr>
            </w:pPr>
          </w:p>
          <w:p>
            <w:pPr>
              <w:pStyle w:val="TableParagraph"/>
              <w:ind w:left="7"/>
              <w:jc w:val="center"/>
              <w:rPr>
                <w:sz w:val="15"/>
              </w:rPr>
            </w:pPr>
            <w:r>
              <w:rPr>
                <w:color w:val="231F20"/>
                <w:spacing w:val="-10"/>
                <w:w w:val="135"/>
                <w:sz w:val="15"/>
              </w:rPr>
              <w:t>–</w:t>
            </w:r>
          </w:p>
        </w:tc>
        <w:tc>
          <w:tcPr>
            <w:tcW w:w="1495" w:type="dxa"/>
            <w:tcBorders>
              <w:bottom w:val="single" w:sz="8" w:space="0" w:color="231F20"/>
            </w:tcBorders>
            <w:shd w:val="clear" w:color="auto" w:fill="E8F5F1"/>
          </w:tcPr>
          <w:p>
            <w:pPr>
              <w:pStyle w:val="TableParagraph"/>
              <w:spacing w:line="230" w:lineRule="auto" w:before="164"/>
              <w:ind w:left="226" w:right="300" w:hanging="112"/>
              <w:jc w:val="both"/>
              <w:rPr>
                <w:sz w:val="15"/>
              </w:rPr>
            </w:pPr>
            <w:r>
              <w:rPr>
                <w:color w:val="231F20"/>
                <w:spacing w:val="-2"/>
                <w:sz w:val="15"/>
              </w:rPr>
              <w:t>Generally</w:t>
            </w:r>
            <w:r>
              <w:rPr>
                <w:color w:val="231F20"/>
                <w:spacing w:val="-10"/>
                <w:sz w:val="15"/>
              </w:rPr>
              <w:t> </w:t>
            </w:r>
            <w:r>
              <w:rPr>
                <w:color w:val="231F20"/>
                <w:spacing w:val="-2"/>
                <w:sz w:val="15"/>
              </w:rPr>
              <w:t>slowly </w:t>
            </w:r>
            <w:r>
              <w:rPr>
                <w:color w:val="231F20"/>
                <w:sz w:val="15"/>
              </w:rPr>
              <w:t>progressive in </w:t>
            </w:r>
            <w:r>
              <w:rPr>
                <w:color w:val="231F20"/>
                <w:spacing w:val="-2"/>
                <w:sz w:val="15"/>
              </w:rPr>
              <w:t>adulthood</w:t>
            </w:r>
          </w:p>
          <w:p>
            <w:pPr>
              <w:pStyle w:val="TableParagraph"/>
              <w:spacing w:line="230" w:lineRule="auto" w:before="3"/>
              <w:ind w:left="226" w:right="106" w:hanging="112"/>
              <w:jc w:val="both"/>
              <w:rPr>
                <w:sz w:val="15"/>
              </w:rPr>
            </w:pPr>
            <w:r>
              <w:rPr>
                <w:color w:val="231F20"/>
                <w:spacing w:val="-2"/>
                <w:sz w:val="15"/>
              </w:rPr>
              <w:t>Slowly</w:t>
            </w:r>
            <w:r>
              <w:rPr>
                <w:color w:val="231F20"/>
                <w:spacing w:val="-10"/>
                <w:sz w:val="15"/>
              </w:rPr>
              <w:t> </w:t>
            </w:r>
            <w:r>
              <w:rPr>
                <w:color w:val="231F20"/>
                <w:spacing w:val="-2"/>
                <w:sz w:val="15"/>
              </w:rPr>
              <w:t>progressive, variable</w:t>
            </w:r>
          </w:p>
        </w:tc>
        <w:tc>
          <w:tcPr>
            <w:tcW w:w="1076" w:type="dxa"/>
            <w:tcBorders>
              <w:bottom w:val="single" w:sz="8" w:space="0" w:color="231F20"/>
            </w:tcBorders>
            <w:shd w:val="clear" w:color="auto" w:fill="E8F5F1"/>
          </w:tcPr>
          <w:p>
            <w:pPr>
              <w:pStyle w:val="TableParagraph"/>
              <w:spacing w:before="158"/>
              <w:ind w:right="3"/>
              <w:jc w:val="center"/>
              <w:rPr>
                <w:rFonts w:ascii="Cambria"/>
                <w:sz w:val="15"/>
              </w:rPr>
            </w:pPr>
            <w:r>
              <w:rPr>
                <w:rFonts w:ascii="Cambria"/>
                <w:color w:val="231F20"/>
                <w:spacing w:val="-10"/>
                <w:sz w:val="15"/>
              </w:rPr>
              <w:t>+</w:t>
            </w:r>
          </w:p>
          <w:p>
            <w:pPr>
              <w:pStyle w:val="TableParagraph"/>
              <w:spacing w:before="156"/>
              <w:rPr>
                <w:i/>
                <w:sz w:val="15"/>
              </w:rPr>
            </w:pPr>
          </w:p>
          <w:p>
            <w:pPr>
              <w:pStyle w:val="TableParagraph"/>
              <w:ind w:right="3"/>
              <w:jc w:val="center"/>
              <w:rPr>
                <w:rFonts w:ascii="Cambria"/>
                <w:sz w:val="15"/>
              </w:rPr>
            </w:pPr>
            <w:r>
              <w:rPr>
                <w:rFonts w:ascii="Cambria"/>
                <w:color w:val="231F20"/>
                <w:spacing w:val="-5"/>
                <w:sz w:val="15"/>
              </w:rPr>
              <w:t>++</w:t>
            </w:r>
          </w:p>
        </w:tc>
        <w:tc>
          <w:tcPr>
            <w:tcW w:w="1498" w:type="dxa"/>
            <w:tcBorders>
              <w:bottom w:val="single" w:sz="8" w:space="0" w:color="231F20"/>
            </w:tcBorders>
            <w:shd w:val="clear" w:color="auto" w:fill="E8F5F1"/>
          </w:tcPr>
          <w:p>
            <w:pPr>
              <w:pStyle w:val="TableParagraph"/>
              <w:spacing w:line="230" w:lineRule="auto" w:before="164"/>
              <w:ind w:left="215" w:right="150" w:hanging="112"/>
              <w:rPr>
                <w:sz w:val="15"/>
              </w:rPr>
            </w:pPr>
            <w:r>
              <w:rPr>
                <w:color w:val="231F20"/>
                <w:sz w:val="15"/>
              </w:rPr>
              <w:t>Dysarthria</w:t>
            </w:r>
            <w:r>
              <w:rPr>
                <w:color w:val="231F20"/>
                <w:spacing w:val="-12"/>
                <w:sz w:val="15"/>
              </w:rPr>
              <w:t> </w:t>
            </w:r>
            <w:r>
              <w:rPr>
                <w:color w:val="231F20"/>
                <w:sz w:val="15"/>
              </w:rPr>
              <w:t>in</w:t>
            </w:r>
            <w:r>
              <w:rPr>
                <w:color w:val="231F20"/>
                <w:spacing w:val="-11"/>
                <w:sz w:val="15"/>
              </w:rPr>
              <w:t> </w:t>
            </w:r>
            <w:r>
              <w:rPr>
                <w:color w:val="231F20"/>
                <w:sz w:val="15"/>
              </w:rPr>
              <w:t>some </w:t>
            </w:r>
            <w:r>
              <w:rPr>
                <w:color w:val="231F20"/>
                <w:spacing w:val="-2"/>
                <w:sz w:val="15"/>
              </w:rPr>
              <w:t>cases</w:t>
            </w:r>
          </w:p>
          <w:p>
            <w:pPr>
              <w:pStyle w:val="TableParagraph"/>
              <w:spacing w:line="230" w:lineRule="auto" w:before="170"/>
              <w:ind w:left="215" w:right="64" w:hanging="112"/>
              <w:rPr>
                <w:sz w:val="15"/>
              </w:rPr>
            </w:pPr>
            <w:r>
              <w:rPr>
                <w:color w:val="231F20"/>
                <w:sz w:val="15"/>
              </w:rPr>
              <w:t>Cramps, rippling, </w:t>
            </w:r>
            <w:r>
              <w:rPr>
                <w:color w:val="231F20"/>
                <w:spacing w:val="-2"/>
                <w:sz w:val="15"/>
              </w:rPr>
              <w:t>percussion- induced</w:t>
            </w:r>
            <w:r>
              <w:rPr>
                <w:color w:val="231F20"/>
                <w:spacing w:val="-10"/>
                <w:sz w:val="15"/>
              </w:rPr>
              <w:t> </w:t>
            </w:r>
            <w:r>
              <w:rPr>
                <w:color w:val="231F20"/>
                <w:spacing w:val="-2"/>
                <w:sz w:val="15"/>
              </w:rPr>
              <w:t>repetitive contractions</w:t>
            </w:r>
          </w:p>
        </w:tc>
      </w:tr>
    </w:tbl>
    <w:p>
      <w:pPr>
        <w:pStyle w:val="BodyText"/>
        <w:spacing w:line="152" w:lineRule="exact" w:before="89"/>
        <w:ind w:left="70"/>
      </w:pPr>
      <w:r>
        <w:rPr>
          <w:color w:val="231F20"/>
          <w:spacing w:val="-2"/>
        </w:rPr>
        <w:t>–,</w:t>
      </w:r>
      <w:r>
        <w:rPr>
          <w:color w:val="231F20"/>
          <w:spacing w:val="-3"/>
        </w:rPr>
        <w:t> </w:t>
      </w:r>
      <w:r>
        <w:rPr>
          <w:color w:val="231F20"/>
          <w:spacing w:val="-2"/>
        </w:rPr>
        <w:t>Absent; </w:t>
      </w:r>
      <w:r>
        <w:rPr>
          <w:rFonts w:ascii="Cambria" w:hAnsi="Cambria"/>
          <w:color w:val="231F20"/>
          <w:spacing w:val="-2"/>
        </w:rPr>
        <w:t>+</w:t>
      </w:r>
      <w:r>
        <w:rPr>
          <w:color w:val="231F20"/>
          <w:spacing w:val="-2"/>
        </w:rPr>
        <w:t>, mild;</w:t>
      </w:r>
      <w:r>
        <w:rPr>
          <w:color w:val="231F20"/>
          <w:spacing w:val="-3"/>
        </w:rPr>
        <w:t> </w:t>
      </w:r>
      <w:r>
        <w:rPr>
          <w:rFonts w:ascii="Cambria" w:hAnsi="Cambria"/>
          <w:color w:val="231F20"/>
          <w:spacing w:val="-2"/>
        </w:rPr>
        <w:t>++</w:t>
      </w:r>
      <w:r>
        <w:rPr>
          <w:color w:val="231F20"/>
          <w:spacing w:val="-2"/>
        </w:rPr>
        <w:t>, severe; </w:t>
      </w:r>
      <w:r>
        <w:rPr>
          <w:rFonts w:ascii="Cambria" w:hAnsi="Cambria"/>
          <w:color w:val="231F20"/>
          <w:spacing w:val="-2"/>
        </w:rPr>
        <w:t>+</w:t>
      </w:r>
      <w:r>
        <w:rPr>
          <w:color w:val="231F20"/>
          <w:spacing w:val="-2"/>
        </w:rPr>
        <w:t>(</w:t>
      </w:r>
      <w:r>
        <w:rPr>
          <w:rFonts w:ascii="Cambria" w:hAnsi="Cambria"/>
          <w:color w:val="231F20"/>
          <w:spacing w:val="-2"/>
        </w:rPr>
        <w:t>+</w:t>
      </w:r>
      <w:r>
        <w:rPr>
          <w:color w:val="231F20"/>
          <w:spacing w:val="-2"/>
        </w:rPr>
        <w:t>), variable;</w:t>
      </w:r>
      <w:r>
        <w:rPr>
          <w:color w:val="231F20"/>
          <w:spacing w:val="-3"/>
        </w:rPr>
        <w:t> </w:t>
      </w:r>
      <w:r>
        <w:rPr>
          <w:color w:val="231F20"/>
          <w:spacing w:val="-2"/>
        </w:rPr>
        <w:t>CK, creatine kinase;</w:t>
      </w:r>
      <w:r>
        <w:rPr>
          <w:color w:val="231F20"/>
          <w:spacing w:val="-3"/>
        </w:rPr>
        <w:t> </w:t>
      </w:r>
      <w:r>
        <w:rPr>
          <w:color w:val="231F20"/>
          <w:spacing w:val="-2"/>
        </w:rPr>
        <w:t>N, normal.</w:t>
      </w:r>
    </w:p>
    <w:p>
      <w:pPr>
        <w:spacing w:line="150" w:lineRule="exact" w:before="0"/>
        <w:ind w:left="200" w:right="0" w:firstLine="0"/>
        <w:jc w:val="left"/>
        <w:rPr>
          <w:i/>
          <w:sz w:val="13"/>
        </w:rPr>
      </w:pPr>
      <w:r>
        <w:rPr>
          <w:i/>
          <w:color w:val="231F20"/>
          <w:sz w:val="13"/>
        </w:rPr>
        <w:t>From</w:t>
      </w:r>
      <w:r>
        <w:rPr>
          <w:i/>
          <w:color w:val="231F20"/>
          <w:spacing w:val="-7"/>
          <w:sz w:val="13"/>
        </w:rPr>
        <w:t> </w:t>
      </w:r>
      <w:r>
        <w:rPr>
          <w:i/>
          <w:color w:val="231F20"/>
          <w:sz w:val="13"/>
        </w:rPr>
        <w:t>Mercuri</w:t>
      </w:r>
      <w:r>
        <w:rPr>
          <w:i/>
          <w:color w:val="231F20"/>
          <w:spacing w:val="-7"/>
          <w:sz w:val="13"/>
        </w:rPr>
        <w:t> </w:t>
      </w:r>
      <w:r>
        <w:rPr>
          <w:i/>
          <w:color w:val="231F20"/>
          <w:sz w:val="13"/>
        </w:rPr>
        <w:t>E,</w:t>
      </w:r>
      <w:r>
        <w:rPr>
          <w:i/>
          <w:color w:val="231F20"/>
          <w:spacing w:val="-6"/>
          <w:sz w:val="13"/>
        </w:rPr>
        <w:t> </w:t>
      </w:r>
      <w:r>
        <w:rPr>
          <w:i/>
          <w:color w:val="231F20"/>
          <w:sz w:val="13"/>
        </w:rPr>
        <w:t>Muntoni</w:t>
      </w:r>
      <w:r>
        <w:rPr>
          <w:i/>
          <w:color w:val="231F20"/>
          <w:spacing w:val="-7"/>
          <w:sz w:val="13"/>
        </w:rPr>
        <w:t> </w:t>
      </w:r>
      <w:r>
        <w:rPr>
          <w:i/>
          <w:color w:val="231F20"/>
          <w:sz w:val="13"/>
        </w:rPr>
        <w:t>F:</w:t>
      </w:r>
      <w:r>
        <w:rPr>
          <w:i/>
          <w:color w:val="231F20"/>
          <w:spacing w:val="-6"/>
          <w:sz w:val="13"/>
        </w:rPr>
        <w:t> </w:t>
      </w:r>
      <w:r>
        <w:rPr>
          <w:i/>
          <w:color w:val="231F20"/>
          <w:sz w:val="13"/>
        </w:rPr>
        <w:t>Muscular</w:t>
      </w:r>
      <w:r>
        <w:rPr>
          <w:i/>
          <w:color w:val="231F20"/>
          <w:spacing w:val="-7"/>
          <w:sz w:val="13"/>
        </w:rPr>
        <w:t> </w:t>
      </w:r>
      <w:r>
        <w:rPr>
          <w:i/>
          <w:color w:val="231F20"/>
          <w:sz w:val="13"/>
        </w:rPr>
        <w:t>dystrophies.</w:t>
      </w:r>
      <w:r>
        <w:rPr>
          <w:i/>
          <w:color w:val="231F20"/>
          <w:spacing w:val="-6"/>
          <w:sz w:val="13"/>
        </w:rPr>
        <w:t> </w:t>
      </w:r>
      <w:r>
        <w:rPr>
          <w:color w:val="231F20"/>
          <w:sz w:val="13"/>
        </w:rPr>
        <w:t>Lancet</w:t>
      </w:r>
      <w:r>
        <w:rPr>
          <w:color w:val="231F20"/>
          <w:spacing w:val="-7"/>
          <w:sz w:val="13"/>
        </w:rPr>
        <w:t> </w:t>
      </w:r>
      <w:r>
        <w:rPr>
          <w:i/>
          <w:color w:val="231F20"/>
          <w:sz w:val="13"/>
        </w:rPr>
        <w:t>381:845–858,</w:t>
      </w:r>
      <w:r>
        <w:rPr>
          <w:i/>
          <w:color w:val="231F20"/>
          <w:spacing w:val="-6"/>
          <w:sz w:val="13"/>
        </w:rPr>
        <w:t> </w:t>
      </w:r>
      <w:r>
        <w:rPr>
          <w:i/>
          <w:color w:val="231F20"/>
          <w:sz w:val="13"/>
        </w:rPr>
        <w:t>2013,</w:t>
      </w:r>
      <w:r>
        <w:rPr>
          <w:i/>
          <w:color w:val="231F20"/>
          <w:spacing w:val="-7"/>
          <w:sz w:val="13"/>
        </w:rPr>
        <w:t> </w:t>
      </w:r>
      <w:r>
        <w:rPr>
          <w:i/>
          <w:color w:val="231F20"/>
          <w:sz w:val="13"/>
        </w:rPr>
        <w:t>Table</w:t>
      </w:r>
      <w:r>
        <w:rPr>
          <w:i/>
          <w:color w:val="231F20"/>
          <w:spacing w:val="-6"/>
          <w:sz w:val="13"/>
        </w:rPr>
        <w:t> </w:t>
      </w:r>
      <w:r>
        <w:rPr>
          <w:i/>
          <w:color w:val="231F20"/>
          <w:spacing w:val="-5"/>
          <w:sz w:val="13"/>
        </w:rPr>
        <w:t>2.</w:t>
      </w:r>
    </w:p>
    <w:p>
      <w:pPr>
        <w:spacing w:after="0" w:line="150" w:lineRule="exact"/>
        <w:jc w:val="left"/>
        <w:rPr>
          <w:i/>
          <w:sz w:val="13"/>
        </w:rPr>
        <w:sectPr>
          <w:headerReference w:type="default" r:id="rId310"/>
          <w:pgSz w:w="16840" w:h="11900" w:orient="landscape"/>
          <w:pgMar w:header="0" w:footer="0" w:top="920" w:bottom="280" w:left="1842" w:right="1984"/>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014" name="Group 1014"/>
                <wp:cNvGraphicFramePr>
                  <a:graphicFrameLocks/>
                </wp:cNvGraphicFramePr>
                <a:graphic>
                  <a:graphicData uri="http://schemas.microsoft.com/office/word/2010/wordprocessingGroup">
                    <wpg:wgp>
                      <wpg:cNvPr id="1014" name="Group 1014"/>
                      <wpg:cNvGrpSpPr/>
                      <wpg:grpSpPr>
                        <a:xfrm>
                          <a:off x="0" y="0"/>
                          <a:ext cx="6185535" cy="170815"/>
                          <a:chExt cx="6185535" cy="170815"/>
                        </a:xfrm>
                      </wpg:grpSpPr>
                      <wps:wsp>
                        <wps:cNvPr id="1015" name="Graphic 1015"/>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16" name="Graphic 1016"/>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17" name="Textbox 1017"/>
                        <wps:cNvSpPr txBox="1"/>
                        <wps:spPr>
                          <a:xfrm>
                            <a:off x="0" y="0"/>
                            <a:ext cx="6185535" cy="170815"/>
                          </a:xfrm>
                          <a:prstGeom prst="rect">
                            <a:avLst/>
                          </a:prstGeom>
                        </wps:spPr>
                        <wps:txbx>
                          <w:txbxContent>
                            <w:p>
                              <w:pPr>
                                <w:spacing w:before="6"/>
                                <w:ind w:left="4650" w:right="-15" w:firstLine="0"/>
                                <w:jc w:val="left"/>
                                <w:rPr>
                                  <w:b/>
                                  <w:sz w:val="18"/>
                                </w:rPr>
                              </w:pPr>
                              <w:r>
                                <w:rPr>
                                  <w:b/>
                                  <w:color w:val="0073BC"/>
                                  <w:w w:val="105"/>
                                  <w:sz w:val="18"/>
                                </w:rPr>
                                <w:t>Chapter</w:t>
                              </w:r>
                              <w:r>
                                <w:rPr>
                                  <w:b/>
                                  <w:color w:val="0073BC"/>
                                  <w:spacing w:val="15"/>
                                  <w:w w:val="105"/>
                                  <w:sz w:val="18"/>
                                </w:rPr>
                                <w:t> </w:t>
                              </w:r>
                              <w:r>
                                <w:rPr>
                                  <w:b/>
                                  <w:color w:val="0073BC"/>
                                  <w:w w:val="105"/>
                                  <w:sz w:val="18"/>
                                </w:rPr>
                                <w:t>608</w:t>
                              </w:r>
                              <w:r>
                                <w:rPr>
                                  <w:b/>
                                  <w:color w:val="0073BC"/>
                                  <w:spacing w:val="44"/>
                                  <w:w w:val="105"/>
                                  <w:sz w:val="18"/>
                                </w:rPr>
                                <w:t> </w:t>
                              </w:r>
                              <w:r>
                                <w:rPr>
                                  <w:rFonts w:ascii="Lucida Sans Unicode" w:hAnsi="Lucida Sans Unicode"/>
                                  <w:color w:val="6C9BD2"/>
                                  <w:w w:val="105"/>
                                  <w:sz w:val="15"/>
                                </w:rPr>
                                <w:t>◆</w:t>
                              </w:r>
                              <w:r>
                                <w:rPr>
                                  <w:rFonts w:ascii="Lucida Sans Unicode" w:hAnsi="Lucida Sans Unicode"/>
                                  <w:color w:val="6C9BD2"/>
                                  <w:spacing w:val="51"/>
                                  <w:w w:val="105"/>
                                  <w:sz w:val="15"/>
                                </w:rPr>
                                <w:t> </w:t>
                              </w:r>
                              <w:r>
                                <w:rPr>
                                  <w:color w:val="231F20"/>
                                  <w:w w:val="105"/>
                                  <w:sz w:val="18"/>
                                </w:rPr>
                                <w:t>Developmental</w:t>
                              </w:r>
                              <w:r>
                                <w:rPr>
                                  <w:color w:val="231F20"/>
                                  <w:spacing w:val="12"/>
                                  <w:w w:val="105"/>
                                  <w:sz w:val="18"/>
                                </w:rPr>
                                <w:t> </w:t>
                              </w:r>
                              <w:r>
                                <w:rPr>
                                  <w:color w:val="231F20"/>
                                  <w:w w:val="105"/>
                                  <w:sz w:val="18"/>
                                </w:rPr>
                                <w:t>Disorders</w:t>
                              </w:r>
                              <w:r>
                                <w:rPr>
                                  <w:color w:val="231F20"/>
                                  <w:spacing w:val="11"/>
                                  <w:w w:val="105"/>
                                  <w:sz w:val="18"/>
                                </w:rPr>
                                <w:t> </w:t>
                              </w:r>
                              <w:r>
                                <w:rPr>
                                  <w:color w:val="231F20"/>
                                  <w:w w:val="105"/>
                                  <w:sz w:val="18"/>
                                </w:rPr>
                                <w:t>of</w:t>
                              </w:r>
                              <w:r>
                                <w:rPr>
                                  <w:color w:val="231F20"/>
                                  <w:spacing w:val="11"/>
                                  <w:w w:val="105"/>
                                  <w:sz w:val="18"/>
                                </w:rPr>
                                <w:t> </w:t>
                              </w:r>
                              <w:r>
                                <w:rPr>
                                  <w:color w:val="231F20"/>
                                  <w:w w:val="105"/>
                                  <w:sz w:val="18"/>
                                </w:rPr>
                                <w:t>Muscle</w:t>
                              </w:r>
                              <w:r>
                                <w:rPr>
                                  <w:color w:val="231F20"/>
                                  <w:spacing w:val="44"/>
                                  <w:w w:val="105"/>
                                  <w:sz w:val="18"/>
                                </w:rPr>
                                <w:t>  </w:t>
                              </w:r>
                              <w:r>
                                <w:rPr>
                                  <w:b/>
                                  <w:color w:val="231F20"/>
                                  <w:spacing w:val="-4"/>
                                  <w:w w:val="105"/>
                                  <w:sz w:val="18"/>
                                </w:rPr>
                                <w:t>2969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19"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20" filled="false" stroked="false">
                  <v:textbox inset="0,0,0,0">
                    <w:txbxContent>
                      <w:p>
                        <w:pPr>
                          <w:spacing w:before="6"/>
                          <w:ind w:left="4650" w:right="-15" w:firstLine="0"/>
                          <w:jc w:val="left"/>
                          <w:rPr>
                            <w:b/>
                            <w:sz w:val="18"/>
                          </w:rPr>
                        </w:pPr>
                        <w:r>
                          <w:rPr>
                            <w:b/>
                            <w:color w:val="0073BC"/>
                            <w:w w:val="105"/>
                            <w:sz w:val="18"/>
                          </w:rPr>
                          <w:t>Chapter</w:t>
                        </w:r>
                        <w:r>
                          <w:rPr>
                            <w:b/>
                            <w:color w:val="0073BC"/>
                            <w:spacing w:val="15"/>
                            <w:w w:val="105"/>
                            <w:sz w:val="18"/>
                          </w:rPr>
                          <w:t> </w:t>
                        </w:r>
                        <w:r>
                          <w:rPr>
                            <w:b/>
                            <w:color w:val="0073BC"/>
                            <w:w w:val="105"/>
                            <w:sz w:val="18"/>
                          </w:rPr>
                          <w:t>608</w:t>
                        </w:r>
                        <w:r>
                          <w:rPr>
                            <w:b/>
                            <w:color w:val="0073BC"/>
                            <w:spacing w:val="44"/>
                            <w:w w:val="105"/>
                            <w:sz w:val="18"/>
                          </w:rPr>
                          <w:t> </w:t>
                        </w:r>
                        <w:r>
                          <w:rPr>
                            <w:rFonts w:ascii="Lucida Sans Unicode" w:hAnsi="Lucida Sans Unicode"/>
                            <w:color w:val="6C9BD2"/>
                            <w:w w:val="105"/>
                            <w:sz w:val="15"/>
                          </w:rPr>
                          <w:t>◆</w:t>
                        </w:r>
                        <w:r>
                          <w:rPr>
                            <w:rFonts w:ascii="Lucida Sans Unicode" w:hAnsi="Lucida Sans Unicode"/>
                            <w:color w:val="6C9BD2"/>
                            <w:spacing w:val="51"/>
                            <w:w w:val="105"/>
                            <w:sz w:val="15"/>
                          </w:rPr>
                          <w:t> </w:t>
                        </w:r>
                        <w:r>
                          <w:rPr>
                            <w:color w:val="231F20"/>
                            <w:w w:val="105"/>
                            <w:sz w:val="18"/>
                          </w:rPr>
                          <w:t>Developmental</w:t>
                        </w:r>
                        <w:r>
                          <w:rPr>
                            <w:color w:val="231F20"/>
                            <w:spacing w:val="12"/>
                            <w:w w:val="105"/>
                            <w:sz w:val="18"/>
                          </w:rPr>
                          <w:t> </w:t>
                        </w:r>
                        <w:r>
                          <w:rPr>
                            <w:color w:val="231F20"/>
                            <w:w w:val="105"/>
                            <w:sz w:val="18"/>
                          </w:rPr>
                          <w:t>Disorders</w:t>
                        </w:r>
                        <w:r>
                          <w:rPr>
                            <w:color w:val="231F20"/>
                            <w:spacing w:val="11"/>
                            <w:w w:val="105"/>
                            <w:sz w:val="18"/>
                          </w:rPr>
                          <w:t> </w:t>
                        </w:r>
                        <w:r>
                          <w:rPr>
                            <w:color w:val="231F20"/>
                            <w:w w:val="105"/>
                            <w:sz w:val="18"/>
                          </w:rPr>
                          <w:t>of</w:t>
                        </w:r>
                        <w:r>
                          <w:rPr>
                            <w:color w:val="231F20"/>
                            <w:spacing w:val="11"/>
                            <w:w w:val="105"/>
                            <w:sz w:val="18"/>
                          </w:rPr>
                          <w:t> </w:t>
                        </w:r>
                        <w:r>
                          <w:rPr>
                            <w:color w:val="231F20"/>
                            <w:w w:val="105"/>
                            <w:sz w:val="18"/>
                          </w:rPr>
                          <w:t>Muscle</w:t>
                        </w:r>
                        <w:r>
                          <w:rPr>
                            <w:color w:val="231F20"/>
                            <w:spacing w:val="44"/>
                            <w:w w:val="105"/>
                            <w:sz w:val="18"/>
                          </w:rPr>
                          <w:t>  </w:t>
                        </w:r>
                        <w:r>
                          <w:rPr>
                            <w:b/>
                            <w:color w:val="231F20"/>
                            <w:spacing w:val="-4"/>
                            <w:w w:val="105"/>
                            <w:sz w:val="18"/>
                          </w:rPr>
                          <w:t>2969</w:t>
                        </w:r>
                      </w:p>
                    </w:txbxContent>
                  </v:textbox>
                  <w10:wrap type="none"/>
                </v:shape>
              </v:group>
            </w:pict>
          </mc:Fallback>
        </mc:AlternateContent>
      </w:r>
      <w:r>
        <w:rPr>
          <w:sz w:val="20"/>
        </w:rPr>
      </w:r>
    </w:p>
    <w:p>
      <w:pPr>
        <w:pStyle w:val="BodyText"/>
        <w:spacing w:before="11"/>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5"/>
        <w:gridCol w:w="1901"/>
        <w:gridCol w:w="2023"/>
        <w:gridCol w:w="1998"/>
        <w:gridCol w:w="1981"/>
      </w:tblGrid>
      <w:tr>
        <w:trPr>
          <w:trHeight w:val="373" w:hRule="atLeast"/>
        </w:trPr>
        <w:tc>
          <w:tcPr>
            <w:tcW w:w="1835"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608-3</w:t>
            </w:r>
            <w:r>
              <w:rPr>
                <w:b/>
                <w:color w:val="FFFFFF"/>
                <w:spacing w:val="32"/>
                <w:w w:val="105"/>
                <w:sz w:val="16"/>
              </w:rPr>
              <w:t>  </w:t>
            </w:r>
            <w:r>
              <w:rPr>
                <w:color w:val="FFFFFF"/>
                <w:spacing w:val="-2"/>
                <w:w w:val="105"/>
                <w:sz w:val="16"/>
              </w:rPr>
              <w:t>Cardiac</w:t>
            </w:r>
          </w:p>
        </w:tc>
        <w:tc>
          <w:tcPr>
            <w:tcW w:w="1901" w:type="dxa"/>
            <w:shd w:val="clear" w:color="auto" w:fill="231F20"/>
          </w:tcPr>
          <w:p>
            <w:pPr>
              <w:pStyle w:val="TableParagraph"/>
              <w:spacing w:before="89"/>
              <w:ind w:left="28"/>
              <w:rPr>
                <w:sz w:val="16"/>
              </w:rPr>
            </w:pPr>
            <w:r>
              <w:rPr>
                <w:color w:val="FFFFFF"/>
                <w:w w:val="105"/>
                <w:sz w:val="16"/>
              </w:rPr>
              <w:t>Involvement</w:t>
            </w:r>
            <w:r>
              <w:rPr>
                <w:color w:val="FFFFFF"/>
                <w:spacing w:val="-4"/>
                <w:w w:val="105"/>
                <w:sz w:val="16"/>
              </w:rPr>
              <w:t> </w:t>
            </w:r>
            <w:r>
              <w:rPr>
                <w:color w:val="FFFFFF"/>
                <w:w w:val="105"/>
                <w:sz w:val="16"/>
              </w:rPr>
              <w:t>in</w:t>
            </w:r>
            <w:r>
              <w:rPr>
                <w:color w:val="FFFFFF"/>
                <w:spacing w:val="-3"/>
                <w:w w:val="105"/>
                <w:sz w:val="16"/>
              </w:rPr>
              <w:t> </w:t>
            </w:r>
            <w:r>
              <w:rPr>
                <w:color w:val="FFFFFF"/>
                <w:spacing w:val="-2"/>
                <w:w w:val="105"/>
                <w:sz w:val="16"/>
              </w:rPr>
              <w:t>Muscular</w:t>
            </w:r>
          </w:p>
        </w:tc>
        <w:tc>
          <w:tcPr>
            <w:tcW w:w="6002" w:type="dxa"/>
            <w:gridSpan w:val="3"/>
            <w:shd w:val="clear" w:color="auto" w:fill="231F20"/>
          </w:tcPr>
          <w:p>
            <w:pPr>
              <w:pStyle w:val="TableParagraph"/>
              <w:spacing w:before="89"/>
              <w:ind w:left="28"/>
              <w:rPr>
                <w:sz w:val="16"/>
              </w:rPr>
            </w:pPr>
            <w:r>
              <w:rPr>
                <w:color w:val="FFFFFF"/>
                <w:spacing w:val="-2"/>
                <w:w w:val="110"/>
                <w:sz w:val="16"/>
              </w:rPr>
              <w:t>Dystrophies</w:t>
            </w:r>
          </w:p>
        </w:tc>
      </w:tr>
      <w:tr>
        <w:trPr>
          <w:trHeight w:val="425" w:hRule="atLeast"/>
        </w:trPr>
        <w:tc>
          <w:tcPr>
            <w:tcW w:w="3736" w:type="dxa"/>
            <w:gridSpan w:val="2"/>
            <w:tcBorders>
              <w:bottom w:val="single" w:sz="4" w:space="0" w:color="231F20"/>
            </w:tcBorders>
            <w:shd w:val="clear" w:color="auto" w:fill="E8F5F1"/>
          </w:tcPr>
          <w:p>
            <w:pPr>
              <w:pStyle w:val="TableParagraph"/>
              <w:spacing w:line="230" w:lineRule="auto" w:before="53"/>
              <w:ind w:left="2531" w:right="293" w:hanging="456"/>
              <w:rPr>
                <w:b/>
                <w:sz w:val="15"/>
              </w:rPr>
            </w:pPr>
            <w:r>
              <w:rPr>
                <w:b/>
                <w:color w:val="231F20"/>
                <w:w w:val="110"/>
                <w:sz w:val="15"/>
              </w:rPr>
              <w:t>ONSET</w:t>
            </w:r>
            <w:r>
              <w:rPr>
                <w:b/>
                <w:color w:val="231F20"/>
                <w:spacing w:val="-13"/>
                <w:w w:val="110"/>
                <w:sz w:val="15"/>
              </w:rPr>
              <w:t> </w:t>
            </w:r>
            <w:r>
              <w:rPr>
                <w:b/>
                <w:color w:val="231F20"/>
                <w:w w:val="110"/>
                <w:sz w:val="15"/>
              </w:rPr>
              <w:t>AND</w:t>
            </w:r>
            <w:r>
              <w:rPr>
                <w:b/>
                <w:color w:val="231F20"/>
                <w:spacing w:val="-12"/>
                <w:w w:val="110"/>
                <w:sz w:val="15"/>
              </w:rPr>
              <w:t> </w:t>
            </w:r>
            <w:r>
              <w:rPr>
                <w:b/>
                <w:color w:val="231F20"/>
                <w:w w:val="110"/>
                <w:sz w:val="15"/>
              </w:rPr>
              <w:t>FIRST </w:t>
            </w:r>
            <w:r>
              <w:rPr>
                <w:b/>
                <w:color w:val="231F20"/>
                <w:spacing w:val="-2"/>
                <w:w w:val="110"/>
                <w:sz w:val="15"/>
              </w:rPr>
              <w:t>SIGNS</w:t>
            </w:r>
          </w:p>
        </w:tc>
        <w:tc>
          <w:tcPr>
            <w:tcW w:w="2023" w:type="dxa"/>
            <w:tcBorders>
              <w:bottom w:val="single" w:sz="4" w:space="0" w:color="231F20"/>
            </w:tcBorders>
            <w:shd w:val="clear" w:color="auto" w:fill="E8F5F1"/>
          </w:tcPr>
          <w:p>
            <w:pPr>
              <w:pStyle w:val="TableParagraph"/>
              <w:spacing w:before="41"/>
              <w:rPr>
                <w:i/>
                <w:sz w:val="15"/>
              </w:rPr>
            </w:pPr>
          </w:p>
          <w:p>
            <w:pPr>
              <w:pStyle w:val="TableParagraph"/>
              <w:ind w:left="481"/>
              <w:rPr>
                <w:b/>
                <w:sz w:val="15"/>
              </w:rPr>
            </w:pPr>
            <w:r>
              <w:rPr>
                <w:b/>
                <w:color w:val="231F20"/>
                <w:spacing w:val="-2"/>
                <w:w w:val="110"/>
                <w:sz w:val="15"/>
              </w:rPr>
              <w:t>PROGRESSION</w:t>
            </w:r>
          </w:p>
        </w:tc>
        <w:tc>
          <w:tcPr>
            <w:tcW w:w="1998" w:type="dxa"/>
            <w:tcBorders>
              <w:bottom w:val="single" w:sz="4" w:space="0" w:color="231F20"/>
            </w:tcBorders>
            <w:shd w:val="clear" w:color="auto" w:fill="E8F5F1"/>
          </w:tcPr>
          <w:p>
            <w:pPr>
              <w:pStyle w:val="TableParagraph"/>
              <w:spacing w:before="41"/>
              <w:rPr>
                <w:i/>
                <w:sz w:val="15"/>
              </w:rPr>
            </w:pPr>
          </w:p>
          <w:p>
            <w:pPr>
              <w:pStyle w:val="TableParagraph"/>
              <w:ind w:left="375"/>
              <w:rPr>
                <w:b/>
                <w:sz w:val="15"/>
              </w:rPr>
            </w:pPr>
            <w:r>
              <w:rPr>
                <w:b/>
                <w:color w:val="231F20"/>
                <w:w w:val="110"/>
                <w:sz w:val="15"/>
              </w:rPr>
              <w:t>CARDIAC</w:t>
            </w:r>
            <w:r>
              <w:rPr>
                <w:b/>
                <w:color w:val="231F20"/>
                <w:spacing w:val="14"/>
                <w:w w:val="110"/>
                <w:sz w:val="15"/>
              </w:rPr>
              <w:t> </w:t>
            </w:r>
            <w:r>
              <w:rPr>
                <w:b/>
                <w:color w:val="231F20"/>
                <w:spacing w:val="-2"/>
                <w:w w:val="110"/>
                <w:sz w:val="15"/>
              </w:rPr>
              <w:t>DEATH</w:t>
            </w:r>
          </w:p>
        </w:tc>
        <w:tc>
          <w:tcPr>
            <w:tcW w:w="1981" w:type="dxa"/>
            <w:tcBorders>
              <w:bottom w:val="single" w:sz="4" w:space="0" w:color="231F20"/>
            </w:tcBorders>
            <w:shd w:val="clear" w:color="auto" w:fill="E8F5F1"/>
          </w:tcPr>
          <w:p>
            <w:pPr>
              <w:pStyle w:val="TableParagraph"/>
              <w:spacing w:before="41"/>
              <w:rPr>
                <w:i/>
                <w:sz w:val="15"/>
              </w:rPr>
            </w:pPr>
          </w:p>
          <w:p>
            <w:pPr>
              <w:pStyle w:val="TableParagraph"/>
              <w:ind w:left="455"/>
              <w:rPr>
                <w:b/>
                <w:sz w:val="15"/>
              </w:rPr>
            </w:pPr>
            <w:r>
              <w:rPr>
                <w:b/>
                <w:color w:val="231F20"/>
                <w:spacing w:val="-2"/>
                <w:w w:val="110"/>
                <w:sz w:val="15"/>
              </w:rPr>
              <w:t>SURVEILLANCE</w:t>
            </w:r>
          </w:p>
        </w:tc>
      </w:tr>
      <w:tr>
        <w:trPr>
          <w:trHeight w:val="1265" w:hRule="atLeast"/>
        </w:trPr>
        <w:tc>
          <w:tcPr>
            <w:tcW w:w="1835" w:type="dxa"/>
            <w:tcBorders>
              <w:top w:val="single" w:sz="4" w:space="0" w:color="231F20"/>
              <w:bottom w:val="single" w:sz="4" w:space="0" w:color="FFFFFF"/>
            </w:tcBorders>
            <w:shd w:val="clear" w:color="auto" w:fill="E8F5F1"/>
          </w:tcPr>
          <w:p>
            <w:pPr>
              <w:pStyle w:val="TableParagraph"/>
              <w:spacing w:line="230" w:lineRule="auto" w:before="52"/>
              <w:ind w:left="186" w:hanging="112"/>
              <w:rPr>
                <w:sz w:val="15"/>
              </w:rPr>
            </w:pPr>
            <w:r>
              <w:rPr>
                <w:color w:val="231F20"/>
                <w:sz w:val="15"/>
              </w:rPr>
              <w:t>Duchenne</w:t>
            </w:r>
            <w:r>
              <w:rPr>
                <w:color w:val="231F20"/>
                <w:spacing w:val="-12"/>
                <w:sz w:val="15"/>
              </w:rPr>
              <w:t> </w:t>
            </w:r>
            <w:r>
              <w:rPr>
                <w:color w:val="231F20"/>
                <w:sz w:val="15"/>
              </w:rPr>
              <w:t>muscular </w:t>
            </w:r>
            <w:r>
              <w:rPr>
                <w:color w:val="231F20"/>
                <w:spacing w:val="-2"/>
                <w:sz w:val="15"/>
              </w:rPr>
              <w:t>dystrophy</w:t>
            </w:r>
          </w:p>
        </w:tc>
        <w:tc>
          <w:tcPr>
            <w:tcW w:w="1901" w:type="dxa"/>
            <w:tcBorders>
              <w:top w:val="single" w:sz="4" w:space="0" w:color="231F20"/>
              <w:bottom w:val="single" w:sz="4" w:space="0" w:color="FFFFFF"/>
            </w:tcBorders>
            <w:shd w:val="clear" w:color="auto" w:fill="E8F5F1"/>
          </w:tcPr>
          <w:p>
            <w:pPr>
              <w:pStyle w:val="TableParagraph"/>
              <w:spacing w:line="230" w:lineRule="auto" w:before="52"/>
              <w:ind w:left="161" w:right="241" w:hanging="112"/>
              <w:rPr>
                <w:sz w:val="15"/>
              </w:rPr>
            </w:pPr>
            <w:r>
              <w:rPr>
                <w:color w:val="231F20"/>
                <w:sz w:val="15"/>
              </w:rPr>
              <w:t>Dilated</w:t>
            </w:r>
            <w:r>
              <w:rPr>
                <w:color w:val="231F20"/>
                <w:spacing w:val="-12"/>
                <w:sz w:val="15"/>
              </w:rPr>
              <w:t> </w:t>
            </w:r>
            <w:r>
              <w:rPr>
                <w:color w:val="231F20"/>
                <w:sz w:val="15"/>
              </w:rPr>
              <w:t>cardiomyopathy with reduced left- ventricular ejection fraction</w:t>
            </w:r>
            <w:r>
              <w:rPr>
                <w:color w:val="231F20"/>
                <w:spacing w:val="-5"/>
                <w:sz w:val="15"/>
              </w:rPr>
              <w:t> </w:t>
            </w:r>
            <w:r>
              <w:rPr>
                <w:color w:val="231F20"/>
                <w:sz w:val="15"/>
              </w:rPr>
              <w:t>after</w:t>
            </w:r>
            <w:r>
              <w:rPr>
                <w:color w:val="231F20"/>
                <w:spacing w:val="-5"/>
                <w:sz w:val="15"/>
              </w:rPr>
              <w:t> </w:t>
            </w:r>
            <w:r>
              <w:rPr>
                <w:color w:val="231F20"/>
                <w:sz w:val="15"/>
              </w:rPr>
              <w:t>10</w:t>
            </w:r>
            <w:r>
              <w:rPr>
                <w:color w:val="231F20"/>
                <w:spacing w:val="-5"/>
                <w:sz w:val="15"/>
              </w:rPr>
              <w:t> </w:t>
            </w:r>
            <w:r>
              <w:rPr>
                <w:color w:val="231F20"/>
                <w:sz w:val="15"/>
              </w:rPr>
              <w:t>yr</w:t>
            </w:r>
            <w:r>
              <w:rPr>
                <w:color w:val="231F20"/>
                <w:spacing w:val="-5"/>
                <w:sz w:val="15"/>
              </w:rPr>
              <w:t> </w:t>
            </w:r>
            <w:r>
              <w:rPr>
                <w:color w:val="231F20"/>
                <w:sz w:val="15"/>
              </w:rPr>
              <w:t>of </w:t>
            </w:r>
            <w:r>
              <w:rPr>
                <w:color w:val="231F20"/>
                <w:spacing w:val="-4"/>
                <w:sz w:val="15"/>
              </w:rPr>
              <w:t>age</w:t>
            </w:r>
          </w:p>
        </w:tc>
        <w:tc>
          <w:tcPr>
            <w:tcW w:w="2023" w:type="dxa"/>
            <w:tcBorders>
              <w:top w:val="single" w:sz="4" w:space="0" w:color="231F20"/>
              <w:bottom w:val="single" w:sz="4" w:space="0" w:color="FFFFFF"/>
            </w:tcBorders>
            <w:shd w:val="clear" w:color="auto" w:fill="E8F5F1"/>
          </w:tcPr>
          <w:p>
            <w:pPr>
              <w:pStyle w:val="TableParagraph"/>
              <w:spacing w:line="230" w:lineRule="auto" w:before="52"/>
              <w:ind w:left="261" w:right="160" w:hanging="112"/>
              <w:rPr>
                <w:sz w:val="15"/>
              </w:rPr>
            </w:pPr>
            <w:r>
              <w:rPr>
                <w:color w:val="231F20"/>
                <w:sz w:val="15"/>
              </w:rPr>
              <w:t>Dilated cardiomyopathy in</w:t>
            </w:r>
            <w:r>
              <w:rPr>
                <w:color w:val="231F20"/>
                <w:spacing w:val="-12"/>
                <w:sz w:val="15"/>
              </w:rPr>
              <w:t> </w:t>
            </w:r>
            <w:r>
              <w:rPr>
                <w:color w:val="231F20"/>
                <w:sz w:val="15"/>
              </w:rPr>
              <w:t>almost</w:t>
            </w:r>
            <w:r>
              <w:rPr>
                <w:color w:val="231F20"/>
                <w:spacing w:val="-11"/>
                <w:sz w:val="15"/>
              </w:rPr>
              <w:t> </w:t>
            </w:r>
            <w:r>
              <w:rPr>
                <w:color w:val="231F20"/>
                <w:sz w:val="15"/>
              </w:rPr>
              <w:t>all</w:t>
            </w:r>
            <w:r>
              <w:rPr>
                <w:color w:val="231F20"/>
                <w:spacing w:val="-11"/>
                <w:sz w:val="15"/>
              </w:rPr>
              <w:t> </w:t>
            </w:r>
            <w:r>
              <w:rPr>
                <w:color w:val="231F20"/>
                <w:sz w:val="15"/>
              </w:rPr>
              <w:t>patients</w:t>
            </w:r>
            <w:r>
              <w:rPr>
                <w:color w:val="231F20"/>
                <w:spacing w:val="-12"/>
                <w:sz w:val="15"/>
              </w:rPr>
              <w:t> </w:t>
            </w:r>
            <w:r>
              <w:rPr>
                <w:color w:val="231F20"/>
                <w:sz w:val="15"/>
              </w:rPr>
              <w:t>by </w:t>
            </w:r>
            <w:r>
              <w:rPr>
                <w:color w:val="231F20"/>
                <w:spacing w:val="-2"/>
                <w:sz w:val="15"/>
              </w:rPr>
              <w:t>18</w:t>
            </w:r>
            <w:r>
              <w:rPr>
                <w:color w:val="231F20"/>
                <w:spacing w:val="-10"/>
                <w:sz w:val="15"/>
              </w:rPr>
              <w:t> </w:t>
            </w:r>
            <w:r>
              <w:rPr>
                <w:color w:val="231F20"/>
                <w:spacing w:val="-2"/>
                <w:sz w:val="15"/>
              </w:rPr>
              <w:t>yr</w:t>
            </w:r>
            <w:r>
              <w:rPr>
                <w:color w:val="231F20"/>
                <w:spacing w:val="-9"/>
                <w:sz w:val="15"/>
              </w:rPr>
              <w:t> </w:t>
            </w:r>
            <w:r>
              <w:rPr>
                <w:color w:val="231F20"/>
                <w:spacing w:val="-2"/>
                <w:sz w:val="15"/>
              </w:rPr>
              <w:t>of</w:t>
            </w:r>
            <w:r>
              <w:rPr>
                <w:color w:val="231F20"/>
                <w:spacing w:val="-9"/>
                <w:sz w:val="15"/>
              </w:rPr>
              <w:t> </w:t>
            </w:r>
            <w:r>
              <w:rPr>
                <w:color w:val="231F20"/>
                <w:spacing w:val="-2"/>
                <w:sz w:val="15"/>
              </w:rPr>
              <w:t>age.</w:t>
            </w:r>
            <w:r>
              <w:rPr>
                <w:color w:val="231F20"/>
                <w:spacing w:val="-10"/>
                <w:sz w:val="15"/>
              </w:rPr>
              <w:t> </w:t>
            </w:r>
            <w:r>
              <w:rPr>
                <w:color w:val="231F20"/>
                <w:spacing w:val="-2"/>
                <w:sz w:val="15"/>
              </w:rPr>
              <w:t>Ventricular </w:t>
            </w:r>
            <w:r>
              <w:rPr>
                <w:color w:val="231F20"/>
                <w:sz w:val="15"/>
              </w:rPr>
              <w:t>dysrhythmias occur in older patients</w:t>
            </w:r>
          </w:p>
        </w:tc>
        <w:tc>
          <w:tcPr>
            <w:tcW w:w="1998" w:type="dxa"/>
            <w:tcBorders>
              <w:top w:val="single" w:sz="4" w:space="0" w:color="231F20"/>
              <w:bottom w:val="single" w:sz="4" w:space="0" w:color="FFFFFF"/>
            </w:tcBorders>
            <w:shd w:val="clear" w:color="auto" w:fill="E8F5F1"/>
          </w:tcPr>
          <w:p>
            <w:pPr>
              <w:pStyle w:val="TableParagraph"/>
              <w:spacing w:line="230" w:lineRule="auto" w:before="52"/>
              <w:ind w:left="239" w:right="141" w:hanging="112"/>
              <w:rPr>
                <w:sz w:val="15"/>
              </w:rPr>
            </w:pPr>
            <w:r>
              <w:rPr>
                <w:color w:val="231F20"/>
                <w:sz w:val="15"/>
              </w:rPr>
              <w:t>Congestive heart failure or sudden death in </w:t>
            </w:r>
            <w:r>
              <w:rPr>
                <w:color w:val="231F20"/>
                <w:sz w:val="15"/>
              </w:rPr>
              <w:t>20% of patients, although the contribution of heart to death of ventilated patients is now well established</w:t>
            </w:r>
          </w:p>
        </w:tc>
        <w:tc>
          <w:tcPr>
            <w:tcW w:w="1981" w:type="dxa"/>
            <w:tcBorders>
              <w:top w:val="single" w:sz="4" w:space="0" w:color="231F20"/>
              <w:bottom w:val="single" w:sz="4" w:space="0" w:color="FFFFFF"/>
            </w:tcBorders>
            <w:shd w:val="clear" w:color="auto" w:fill="E8F5F1"/>
          </w:tcPr>
          <w:p>
            <w:pPr>
              <w:pStyle w:val="TableParagraph"/>
              <w:spacing w:line="171" w:lineRule="exact" w:before="47"/>
              <w:ind w:left="128"/>
              <w:rPr>
                <w:sz w:val="15"/>
              </w:rPr>
            </w:pPr>
            <w:r>
              <w:rPr>
                <w:color w:val="231F20"/>
                <w:sz w:val="15"/>
              </w:rPr>
              <w:t>Echocardiography</w:t>
            </w:r>
            <w:r>
              <w:rPr>
                <w:color w:val="231F20"/>
                <w:spacing w:val="12"/>
                <w:sz w:val="15"/>
              </w:rPr>
              <w:t> </w:t>
            </w:r>
            <w:r>
              <w:rPr>
                <w:color w:val="231F20"/>
                <w:spacing w:val="-4"/>
                <w:sz w:val="15"/>
              </w:rPr>
              <w:t>every</w:t>
            </w:r>
          </w:p>
          <w:p>
            <w:pPr>
              <w:pStyle w:val="TableParagraph"/>
              <w:spacing w:line="230" w:lineRule="auto" w:before="2"/>
              <w:ind w:left="240" w:right="102"/>
              <w:rPr>
                <w:sz w:val="15"/>
              </w:rPr>
            </w:pPr>
            <w:r>
              <w:rPr>
                <w:color w:val="231F20"/>
                <w:sz w:val="15"/>
              </w:rPr>
              <w:t>2</w:t>
            </w:r>
            <w:r>
              <w:rPr>
                <w:color w:val="231F20"/>
                <w:spacing w:val="-9"/>
                <w:sz w:val="15"/>
              </w:rPr>
              <w:t> </w:t>
            </w:r>
            <w:r>
              <w:rPr>
                <w:color w:val="231F20"/>
                <w:sz w:val="15"/>
              </w:rPr>
              <w:t>yr</w:t>
            </w:r>
            <w:r>
              <w:rPr>
                <w:color w:val="231F20"/>
                <w:spacing w:val="-9"/>
                <w:sz w:val="15"/>
              </w:rPr>
              <w:t> </w:t>
            </w:r>
            <w:r>
              <w:rPr>
                <w:color w:val="231F20"/>
                <w:sz w:val="15"/>
              </w:rPr>
              <w:t>in</w:t>
            </w:r>
            <w:r>
              <w:rPr>
                <w:color w:val="231F20"/>
                <w:spacing w:val="-9"/>
                <w:sz w:val="15"/>
              </w:rPr>
              <w:t> </w:t>
            </w:r>
            <w:r>
              <w:rPr>
                <w:color w:val="231F20"/>
                <w:sz w:val="15"/>
              </w:rPr>
              <w:t>the</w:t>
            </w:r>
            <w:r>
              <w:rPr>
                <w:color w:val="231F20"/>
                <w:spacing w:val="-9"/>
                <w:sz w:val="15"/>
              </w:rPr>
              <w:t> </w:t>
            </w:r>
            <w:r>
              <w:rPr>
                <w:color w:val="231F20"/>
                <w:sz w:val="15"/>
              </w:rPr>
              <w:t>1st</w:t>
            </w:r>
            <w:r>
              <w:rPr>
                <w:color w:val="231F20"/>
                <w:spacing w:val="-9"/>
                <w:sz w:val="15"/>
              </w:rPr>
              <w:t> </w:t>
            </w:r>
            <w:r>
              <w:rPr>
                <w:color w:val="231F20"/>
                <w:sz w:val="15"/>
              </w:rPr>
              <w:t>decade</w:t>
            </w:r>
            <w:r>
              <w:rPr>
                <w:color w:val="231F20"/>
                <w:spacing w:val="-9"/>
                <w:sz w:val="15"/>
              </w:rPr>
              <w:t> </w:t>
            </w:r>
            <w:r>
              <w:rPr>
                <w:color w:val="231F20"/>
                <w:sz w:val="15"/>
              </w:rPr>
              <w:t>of</w:t>
            </w:r>
            <w:r>
              <w:rPr>
                <w:color w:val="231F20"/>
                <w:sz w:val="15"/>
              </w:rPr>
              <w:t> life and annually after</w:t>
            </w:r>
            <w:r>
              <w:rPr>
                <w:color w:val="231F20"/>
                <w:sz w:val="15"/>
              </w:rPr>
              <w:t> 10 yr of age (or more frequently if abnormalities are </w:t>
            </w:r>
            <w:r>
              <w:rPr>
                <w:color w:val="231F20"/>
                <w:spacing w:val="-2"/>
                <w:sz w:val="15"/>
              </w:rPr>
              <w:t>identified)</w:t>
            </w:r>
          </w:p>
        </w:tc>
      </w:tr>
      <w:tr>
        <w:trPr>
          <w:trHeight w:val="1428" w:hRule="atLeast"/>
        </w:trPr>
        <w:tc>
          <w:tcPr>
            <w:tcW w:w="1835" w:type="dxa"/>
            <w:tcBorders>
              <w:top w:val="single" w:sz="4" w:space="0" w:color="FFFFFF"/>
              <w:bottom w:val="single" w:sz="4" w:space="0" w:color="FFFFFF"/>
            </w:tcBorders>
            <w:shd w:val="clear" w:color="auto" w:fill="E8F5F1"/>
          </w:tcPr>
          <w:p>
            <w:pPr>
              <w:pStyle w:val="TableParagraph"/>
              <w:spacing w:line="230" w:lineRule="auto" w:before="48"/>
              <w:ind w:left="186" w:right="74" w:hanging="112"/>
              <w:rPr>
                <w:sz w:val="15"/>
              </w:rPr>
            </w:pPr>
            <w:r>
              <w:rPr>
                <w:color w:val="231F20"/>
                <w:spacing w:val="-2"/>
                <w:sz w:val="15"/>
              </w:rPr>
              <w:t>Becker</w:t>
            </w:r>
            <w:r>
              <w:rPr>
                <w:color w:val="231F20"/>
                <w:spacing w:val="-10"/>
                <w:sz w:val="15"/>
              </w:rPr>
              <w:t> </w:t>
            </w:r>
            <w:r>
              <w:rPr>
                <w:color w:val="231F20"/>
                <w:spacing w:val="-2"/>
                <w:sz w:val="15"/>
              </w:rPr>
              <w:t>muscular dystrophy</w:t>
            </w:r>
          </w:p>
        </w:tc>
        <w:tc>
          <w:tcPr>
            <w:tcW w:w="1901" w:type="dxa"/>
            <w:tcBorders>
              <w:top w:val="single" w:sz="4" w:space="0" w:color="FFFFFF"/>
              <w:bottom w:val="single" w:sz="4" w:space="0" w:color="FFFFFF"/>
            </w:tcBorders>
            <w:shd w:val="clear" w:color="auto" w:fill="E8F5F1"/>
          </w:tcPr>
          <w:p>
            <w:pPr>
              <w:pStyle w:val="TableParagraph"/>
              <w:spacing w:line="230" w:lineRule="auto" w:before="48"/>
              <w:ind w:left="161" w:right="209" w:hanging="112"/>
              <w:jc w:val="both"/>
              <w:rPr>
                <w:sz w:val="15"/>
              </w:rPr>
            </w:pPr>
            <w:r>
              <w:rPr>
                <w:color w:val="231F20"/>
                <w:spacing w:val="-2"/>
                <w:sz w:val="15"/>
              </w:rPr>
              <w:t>Dilated</w:t>
            </w:r>
            <w:r>
              <w:rPr>
                <w:color w:val="231F20"/>
                <w:spacing w:val="-10"/>
                <w:sz w:val="15"/>
              </w:rPr>
              <w:t> </w:t>
            </w:r>
            <w:r>
              <w:rPr>
                <w:color w:val="231F20"/>
                <w:spacing w:val="-2"/>
                <w:sz w:val="15"/>
              </w:rPr>
              <w:t>cardiomyopathy, </w:t>
            </w:r>
            <w:r>
              <w:rPr>
                <w:color w:val="231F20"/>
                <w:sz w:val="15"/>
              </w:rPr>
              <w:t>generally</w:t>
            </w:r>
            <w:r>
              <w:rPr>
                <w:color w:val="231F20"/>
                <w:spacing w:val="-12"/>
                <w:sz w:val="15"/>
              </w:rPr>
              <w:t> </w:t>
            </w:r>
            <w:r>
              <w:rPr>
                <w:color w:val="231F20"/>
                <w:sz w:val="15"/>
              </w:rPr>
              <w:t>after</w:t>
            </w:r>
            <w:r>
              <w:rPr>
                <w:color w:val="231F20"/>
                <w:spacing w:val="-11"/>
                <w:sz w:val="15"/>
              </w:rPr>
              <w:t> </w:t>
            </w:r>
            <w:r>
              <w:rPr>
                <w:color w:val="231F20"/>
                <w:sz w:val="15"/>
              </w:rPr>
              <w:t>10</w:t>
            </w:r>
            <w:r>
              <w:rPr>
                <w:color w:val="231F20"/>
                <w:spacing w:val="-11"/>
                <w:sz w:val="15"/>
              </w:rPr>
              <w:t> </w:t>
            </w:r>
            <w:r>
              <w:rPr>
                <w:color w:val="231F20"/>
                <w:sz w:val="15"/>
              </w:rPr>
              <w:t>yr</w:t>
            </w:r>
            <w:r>
              <w:rPr>
                <w:color w:val="231F20"/>
                <w:spacing w:val="-12"/>
                <w:sz w:val="15"/>
              </w:rPr>
              <w:t> </w:t>
            </w:r>
            <w:r>
              <w:rPr>
                <w:color w:val="231F20"/>
                <w:sz w:val="15"/>
              </w:rPr>
              <w:t>of </w:t>
            </w:r>
            <w:r>
              <w:rPr>
                <w:color w:val="231F20"/>
                <w:spacing w:val="-4"/>
                <w:sz w:val="15"/>
              </w:rPr>
              <w:t>age</w:t>
            </w:r>
          </w:p>
        </w:tc>
        <w:tc>
          <w:tcPr>
            <w:tcW w:w="2023" w:type="dxa"/>
            <w:tcBorders>
              <w:top w:val="single" w:sz="4" w:space="0" w:color="FFFFFF"/>
              <w:bottom w:val="single" w:sz="4" w:space="0" w:color="FFFFFF"/>
            </w:tcBorders>
            <w:shd w:val="clear" w:color="auto" w:fill="E8F5F1"/>
          </w:tcPr>
          <w:p>
            <w:pPr>
              <w:pStyle w:val="TableParagraph"/>
              <w:spacing w:line="230" w:lineRule="auto" w:before="48"/>
              <w:ind w:left="262" w:right="124" w:hanging="112"/>
              <w:rPr>
                <w:sz w:val="15"/>
              </w:rPr>
            </w:pPr>
            <w:r>
              <w:rPr>
                <w:color w:val="231F20"/>
                <w:sz w:val="15"/>
              </w:rPr>
              <w:t>Present</w:t>
            </w:r>
            <w:r>
              <w:rPr>
                <w:color w:val="231F20"/>
                <w:spacing w:val="-10"/>
                <w:sz w:val="15"/>
              </w:rPr>
              <w:t> </w:t>
            </w:r>
            <w:r>
              <w:rPr>
                <w:color w:val="231F20"/>
                <w:sz w:val="15"/>
              </w:rPr>
              <w:t>in</w:t>
            </w:r>
            <w:r>
              <w:rPr>
                <w:color w:val="231F20"/>
                <w:spacing w:val="-10"/>
                <w:sz w:val="15"/>
              </w:rPr>
              <w:t> </w:t>
            </w:r>
            <w:r>
              <w:rPr>
                <w:color w:val="231F20"/>
                <w:sz w:val="15"/>
              </w:rPr>
              <w:t>40%</w:t>
            </w:r>
            <w:r>
              <w:rPr>
                <w:color w:val="231F20"/>
                <w:spacing w:val="-10"/>
                <w:sz w:val="15"/>
              </w:rPr>
              <w:t> </w:t>
            </w:r>
            <w:r>
              <w:rPr>
                <w:color w:val="231F20"/>
                <w:sz w:val="15"/>
              </w:rPr>
              <w:t>of</w:t>
            </w:r>
            <w:r>
              <w:rPr>
                <w:color w:val="231F20"/>
                <w:spacing w:val="-10"/>
                <w:sz w:val="15"/>
              </w:rPr>
              <w:t> </w:t>
            </w:r>
            <w:r>
              <w:rPr>
                <w:color w:val="231F20"/>
                <w:sz w:val="15"/>
              </w:rPr>
              <w:t>patients older than 18 yr and more than 80% of those older than 40 yr. Most patients</w:t>
            </w:r>
            <w:r>
              <w:rPr>
                <w:color w:val="231F20"/>
                <w:spacing w:val="-12"/>
                <w:sz w:val="15"/>
              </w:rPr>
              <w:t> </w:t>
            </w:r>
            <w:r>
              <w:rPr>
                <w:color w:val="231F20"/>
                <w:sz w:val="15"/>
              </w:rPr>
              <w:t>develop</w:t>
            </w:r>
            <w:r>
              <w:rPr>
                <w:color w:val="231F20"/>
                <w:spacing w:val="-11"/>
                <w:sz w:val="15"/>
              </w:rPr>
              <w:t> </w:t>
            </w:r>
            <w:r>
              <w:rPr>
                <w:color w:val="231F20"/>
                <w:sz w:val="15"/>
              </w:rPr>
              <w:t>dilated </w:t>
            </w:r>
            <w:r>
              <w:rPr>
                <w:color w:val="231F20"/>
                <w:spacing w:val="-2"/>
                <w:sz w:val="15"/>
              </w:rPr>
              <w:t>cardiomyopathy</w:t>
            </w:r>
            <w:r>
              <w:rPr>
                <w:color w:val="231F20"/>
                <w:spacing w:val="40"/>
                <w:sz w:val="15"/>
              </w:rPr>
              <w:t> </w:t>
            </w:r>
            <w:r>
              <w:rPr>
                <w:color w:val="231F20"/>
                <w:sz w:val="15"/>
              </w:rPr>
              <w:t>followed by ventricular </w:t>
            </w:r>
            <w:r>
              <w:rPr>
                <w:color w:val="231F20"/>
                <w:spacing w:val="-2"/>
                <w:sz w:val="15"/>
              </w:rPr>
              <w:t>arrhythmias</w:t>
            </w:r>
          </w:p>
        </w:tc>
        <w:tc>
          <w:tcPr>
            <w:tcW w:w="1998" w:type="dxa"/>
            <w:tcBorders>
              <w:top w:val="single" w:sz="4" w:space="0" w:color="FFFFFF"/>
              <w:bottom w:val="single" w:sz="4" w:space="0" w:color="FFFFFF"/>
            </w:tcBorders>
            <w:shd w:val="clear" w:color="auto" w:fill="E8F5F1"/>
          </w:tcPr>
          <w:p>
            <w:pPr>
              <w:pStyle w:val="TableParagraph"/>
              <w:spacing w:line="230" w:lineRule="auto" w:before="48"/>
              <w:ind w:left="239" w:right="122" w:hanging="112"/>
              <w:rPr>
                <w:sz w:val="15"/>
              </w:rPr>
            </w:pPr>
            <w:r>
              <w:rPr>
                <w:color w:val="231F20"/>
                <w:sz w:val="15"/>
              </w:rPr>
              <w:t>Death from congestive heart failure and </w:t>
            </w:r>
            <w:r>
              <w:rPr>
                <w:color w:val="231F20"/>
                <w:spacing w:val="-2"/>
                <w:sz w:val="15"/>
              </w:rPr>
              <w:t>arrhythmias</w:t>
            </w:r>
            <w:r>
              <w:rPr>
                <w:color w:val="231F20"/>
                <w:spacing w:val="-10"/>
                <w:sz w:val="15"/>
              </w:rPr>
              <w:t> </w:t>
            </w:r>
            <w:r>
              <w:rPr>
                <w:color w:val="231F20"/>
                <w:spacing w:val="-2"/>
                <w:sz w:val="15"/>
              </w:rPr>
              <w:t>is</w:t>
            </w:r>
            <w:r>
              <w:rPr>
                <w:color w:val="231F20"/>
                <w:spacing w:val="-9"/>
                <w:sz w:val="15"/>
              </w:rPr>
              <w:t> </w:t>
            </w:r>
            <w:r>
              <w:rPr>
                <w:color w:val="231F20"/>
                <w:spacing w:val="-2"/>
                <w:sz w:val="15"/>
              </w:rPr>
              <w:t>estimated </w:t>
            </w:r>
            <w:r>
              <w:rPr>
                <w:color w:val="231F20"/>
                <w:sz w:val="15"/>
              </w:rPr>
              <w:t>to</w:t>
            </w:r>
            <w:r>
              <w:rPr>
                <w:color w:val="231F20"/>
                <w:spacing w:val="-2"/>
                <w:sz w:val="15"/>
              </w:rPr>
              <w:t> </w:t>
            </w:r>
            <w:r>
              <w:rPr>
                <w:color w:val="231F20"/>
                <w:sz w:val="15"/>
              </w:rPr>
              <w:t>occur</w:t>
            </w:r>
            <w:r>
              <w:rPr>
                <w:color w:val="231F20"/>
                <w:spacing w:val="-2"/>
                <w:sz w:val="15"/>
              </w:rPr>
              <w:t> </w:t>
            </w:r>
            <w:r>
              <w:rPr>
                <w:color w:val="231F20"/>
                <w:sz w:val="15"/>
              </w:rPr>
              <w:t>in</w:t>
            </w:r>
            <w:r>
              <w:rPr>
                <w:color w:val="231F20"/>
                <w:spacing w:val="-2"/>
                <w:sz w:val="15"/>
              </w:rPr>
              <w:t> </w:t>
            </w:r>
            <w:r>
              <w:rPr>
                <w:color w:val="231F20"/>
                <w:sz w:val="15"/>
              </w:rPr>
              <w:t>up</w:t>
            </w:r>
            <w:r>
              <w:rPr>
                <w:color w:val="231F20"/>
                <w:spacing w:val="-2"/>
                <w:sz w:val="15"/>
              </w:rPr>
              <w:t> </w:t>
            </w:r>
            <w:r>
              <w:rPr>
                <w:color w:val="231F20"/>
                <w:sz w:val="15"/>
              </w:rPr>
              <w:t>to</w:t>
            </w:r>
            <w:r>
              <w:rPr>
                <w:color w:val="231F20"/>
                <w:spacing w:val="-2"/>
                <w:sz w:val="15"/>
              </w:rPr>
              <w:t> </w:t>
            </w:r>
            <w:r>
              <w:rPr>
                <w:color w:val="231F20"/>
                <w:sz w:val="15"/>
              </w:rPr>
              <w:t>50%</w:t>
            </w:r>
            <w:r>
              <w:rPr>
                <w:color w:val="231F20"/>
                <w:spacing w:val="-2"/>
                <w:sz w:val="15"/>
              </w:rPr>
              <w:t> </w:t>
            </w:r>
            <w:r>
              <w:rPr>
                <w:color w:val="231F20"/>
                <w:sz w:val="15"/>
              </w:rPr>
              <w:t>of cases. Cardiac transplants reported</w:t>
            </w:r>
          </w:p>
        </w:tc>
        <w:tc>
          <w:tcPr>
            <w:tcW w:w="1981" w:type="dxa"/>
            <w:tcBorders>
              <w:top w:val="single" w:sz="4" w:space="0" w:color="FFFFFF"/>
              <w:bottom w:val="single" w:sz="4" w:space="0" w:color="FFFFFF"/>
            </w:tcBorders>
            <w:shd w:val="clear" w:color="auto" w:fill="E8F5F1"/>
          </w:tcPr>
          <w:p>
            <w:pPr>
              <w:pStyle w:val="TableParagraph"/>
              <w:spacing w:line="230" w:lineRule="auto" w:before="48"/>
              <w:ind w:left="240" w:hanging="112"/>
              <w:rPr>
                <w:sz w:val="15"/>
              </w:rPr>
            </w:pPr>
            <w:r>
              <w:rPr>
                <w:color w:val="231F20"/>
                <w:sz w:val="15"/>
              </w:rPr>
              <w:t>Echocardiography</w:t>
            </w:r>
            <w:r>
              <w:rPr>
                <w:color w:val="231F20"/>
                <w:spacing w:val="-12"/>
                <w:sz w:val="15"/>
              </w:rPr>
              <w:t> </w:t>
            </w:r>
            <w:r>
              <w:rPr>
                <w:color w:val="231F20"/>
                <w:sz w:val="15"/>
              </w:rPr>
              <w:t>at</w:t>
            </w:r>
            <w:r>
              <w:rPr>
                <w:color w:val="231F20"/>
                <w:spacing w:val="-11"/>
                <w:sz w:val="15"/>
              </w:rPr>
              <w:t> </w:t>
            </w:r>
            <w:r>
              <w:rPr>
                <w:color w:val="231F20"/>
                <w:sz w:val="15"/>
              </w:rPr>
              <w:t>least every 5 yr</w:t>
            </w:r>
          </w:p>
        </w:tc>
      </w:tr>
      <w:tr>
        <w:trPr>
          <w:trHeight w:val="1428" w:hRule="atLeast"/>
        </w:trPr>
        <w:tc>
          <w:tcPr>
            <w:tcW w:w="1835"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Myotonic</w:t>
            </w:r>
            <w:r>
              <w:rPr>
                <w:color w:val="231F20"/>
                <w:spacing w:val="17"/>
                <w:sz w:val="15"/>
              </w:rPr>
              <w:t> </w:t>
            </w:r>
            <w:r>
              <w:rPr>
                <w:color w:val="231F20"/>
                <w:spacing w:val="-2"/>
                <w:sz w:val="15"/>
              </w:rPr>
              <w:t>dystrophy</w:t>
            </w:r>
          </w:p>
        </w:tc>
        <w:tc>
          <w:tcPr>
            <w:tcW w:w="1901" w:type="dxa"/>
            <w:tcBorders>
              <w:top w:val="single" w:sz="4" w:space="0" w:color="FFFFFF"/>
              <w:bottom w:val="single" w:sz="4" w:space="0" w:color="FFFFFF"/>
            </w:tcBorders>
            <w:shd w:val="clear" w:color="auto" w:fill="E8F5F1"/>
          </w:tcPr>
          <w:p>
            <w:pPr>
              <w:pStyle w:val="TableParagraph"/>
              <w:spacing w:line="230" w:lineRule="auto" w:before="48"/>
              <w:ind w:left="162" w:right="116" w:hanging="112"/>
              <w:rPr>
                <w:sz w:val="15"/>
              </w:rPr>
            </w:pPr>
            <w:r>
              <w:rPr>
                <w:color w:val="231F20"/>
                <w:spacing w:val="-2"/>
                <w:sz w:val="15"/>
              </w:rPr>
              <w:t>Cardiac</w:t>
            </w:r>
            <w:r>
              <w:rPr>
                <w:color w:val="231F20"/>
                <w:spacing w:val="-5"/>
                <w:sz w:val="15"/>
              </w:rPr>
              <w:t> </w:t>
            </w:r>
            <w:r>
              <w:rPr>
                <w:color w:val="231F20"/>
                <w:spacing w:val="-2"/>
                <w:sz w:val="15"/>
              </w:rPr>
              <w:t>abnormalities</w:t>
            </w:r>
            <w:r>
              <w:rPr>
                <w:color w:val="231F20"/>
                <w:spacing w:val="-5"/>
                <w:sz w:val="15"/>
              </w:rPr>
              <w:t> </w:t>
            </w:r>
            <w:r>
              <w:rPr>
                <w:color w:val="231F20"/>
                <w:spacing w:val="-2"/>
                <w:sz w:val="15"/>
              </w:rPr>
              <w:t>can </w:t>
            </w:r>
            <w:r>
              <w:rPr>
                <w:color w:val="231F20"/>
                <w:sz w:val="15"/>
              </w:rPr>
              <w:t>occur as early as the 2nd decade of life</w:t>
            </w:r>
          </w:p>
        </w:tc>
        <w:tc>
          <w:tcPr>
            <w:tcW w:w="2023" w:type="dxa"/>
            <w:tcBorders>
              <w:top w:val="single" w:sz="4" w:space="0" w:color="FFFFFF"/>
              <w:bottom w:val="single" w:sz="4" w:space="0" w:color="FFFFFF"/>
            </w:tcBorders>
            <w:shd w:val="clear" w:color="auto" w:fill="E8F5F1"/>
          </w:tcPr>
          <w:p>
            <w:pPr>
              <w:pStyle w:val="TableParagraph"/>
              <w:spacing w:line="230" w:lineRule="auto" w:before="48"/>
              <w:ind w:left="262" w:right="158" w:hanging="112"/>
              <w:rPr>
                <w:sz w:val="15"/>
              </w:rPr>
            </w:pPr>
            <w:r>
              <w:rPr>
                <w:color w:val="231F20"/>
                <w:sz w:val="15"/>
              </w:rPr>
              <w:t>Conduction</w:t>
            </w:r>
            <w:r>
              <w:rPr>
                <w:color w:val="231F20"/>
                <w:spacing w:val="-12"/>
                <w:sz w:val="15"/>
              </w:rPr>
              <w:t> </w:t>
            </w:r>
            <w:r>
              <w:rPr>
                <w:color w:val="231F20"/>
                <w:sz w:val="15"/>
              </w:rPr>
              <w:t>deficits</w:t>
            </w:r>
            <w:r>
              <w:rPr>
                <w:color w:val="231F20"/>
                <w:spacing w:val="-11"/>
                <w:sz w:val="15"/>
              </w:rPr>
              <w:t> </w:t>
            </w:r>
            <w:r>
              <w:rPr>
                <w:color w:val="231F20"/>
                <w:sz w:val="15"/>
              </w:rPr>
              <w:t>occur in about 65% of adult </w:t>
            </w:r>
            <w:r>
              <w:rPr>
                <w:color w:val="231F20"/>
                <w:spacing w:val="-2"/>
                <w:sz w:val="15"/>
              </w:rPr>
              <w:t>patients</w:t>
            </w:r>
          </w:p>
        </w:tc>
        <w:tc>
          <w:tcPr>
            <w:tcW w:w="1998" w:type="dxa"/>
            <w:tcBorders>
              <w:top w:val="single" w:sz="4" w:space="0" w:color="FFFFFF"/>
              <w:bottom w:val="single" w:sz="4" w:space="0" w:color="FFFFFF"/>
            </w:tcBorders>
            <w:shd w:val="clear" w:color="auto" w:fill="E8F5F1"/>
          </w:tcPr>
          <w:p>
            <w:pPr>
              <w:pStyle w:val="TableParagraph"/>
              <w:spacing w:line="230" w:lineRule="auto" w:before="48"/>
              <w:ind w:left="240" w:right="141" w:hanging="112"/>
              <w:rPr>
                <w:sz w:val="15"/>
              </w:rPr>
            </w:pPr>
            <w:r>
              <w:rPr>
                <w:color w:val="231F20"/>
                <w:sz w:val="15"/>
              </w:rPr>
              <w:t>20-30%</w:t>
            </w:r>
            <w:r>
              <w:rPr>
                <w:color w:val="231F20"/>
                <w:spacing w:val="-12"/>
                <w:sz w:val="15"/>
              </w:rPr>
              <w:t> </w:t>
            </w:r>
            <w:r>
              <w:rPr>
                <w:color w:val="231F20"/>
                <w:sz w:val="15"/>
              </w:rPr>
              <w:t>of</w:t>
            </w:r>
            <w:r>
              <w:rPr>
                <w:color w:val="231F20"/>
                <w:spacing w:val="-11"/>
                <w:sz w:val="15"/>
              </w:rPr>
              <w:t> </w:t>
            </w:r>
            <w:r>
              <w:rPr>
                <w:color w:val="231F20"/>
                <w:sz w:val="15"/>
              </w:rPr>
              <w:t>patients;</w:t>
            </w:r>
            <w:r>
              <w:rPr>
                <w:color w:val="231F20"/>
                <w:spacing w:val="-11"/>
                <w:sz w:val="15"/>
              </w:rPr>
              <w:t> </w:t>
            </w:r>
            <w:r>
              <w:rPr>
                <w:color w:val="231F20"/>
                <w:sz w:val="15"/>
              </w:rPr>
              <w:t>mean 54 yr of age. Sudden death is mainly caused by conduction blocks, but ventricular tachyarrhythmias are also</w:t>
            </w:r>
            <w:r>
              <w:rPr>
                <w:color w:val="231F20"/>
                <w:spacing w:val="-5"/>
                <w:sz w:val="15"/>
              </w:rPr>
              <w:t> </w:t>
            </w:r>
            <w:r>
              <w:rPr>
                <w:color w:val="231F20"/>
                <w:sz w:val="15"/>
              </w:rPr>
              <w:t>a</w:t>
            </w:r>
            <w:r>
              <w:rPr>
                <w:color w:val="231F20"/>
                <w:spacing w:val="-5"/>
                <w:sz w:val="15"/>
              </w:rPr>
              <w:t> </w:t>
            </w:r>
            <w:r>
              <w:rPr>
                <w:color w:val="231F20"/>
                <w:sz w:val="15"/>
              </w:rPr>
              <w:t>possible</w:t>
            </w:r>
            <w:r>
              <w:rPr>
                <w:color w:val="231F20"/>
                <w:spacing w:val="-5"/>
                <w:sz w:val="15"/>
              </w:rPr>
              <w:t> </w:t>
            </w:r>
            <w:r>
              <w:rPr>
                <w:color w:val="231F20"/>
                <w:sz w:val="15"/>
              </w:rPr>
              <w:t>cause</w:t>
            </w:r>
            <w:r>
              <w:rPr>
                <w:color w:val="231F20"/>
                <w:spacing w:val="-5"/>
                <w:sz w:val="15"/>
              </w:rPr>
              <w:t> </w:t>
            </w:r>
            <w:r>
              <w:rPr>
                <w:color w:val="231F20"/>
                <w:sz w:val="15"/>
              </w:rPr>
              <w:t>of </w:t>
            </w:r>
            <w:r>
              <w:rPr>
                <w:color w:val="231F20"/>
                <w:spacing w:val="-2"/>
                <w:sz w:val="15"/>
              </w:rPr>
              <w:t>death</w:t>
            </w:r>
          </w:p>
        </w:tc>
        <w:tc>
          <w:tcPr>
            <w:tcW w:w="1981" w:type="dxa"/>
            <w:tcBorders>
              <w:top w:val="single" w:sz="4" w:space="0" w:color="FFFFFF"/>
              <w:bottom w:val="single" w:sz="4" w:space="0" w:color="FFFFFF"/>
            </w:tcBorders>
            <w:shd w:val="clear" w:color="auto" w:fill="E8F5F1"/>
          </w:tcPr>
          <w:p>
            <w:pPr>
              <w:pStyle w:val="TableParagraph"/>
              <w:spacing w:line="230" w:lineRule="auto" w:before="48"/>
              <w:ind w:left="240" w:right="102" w:hanging="112"/>
              <w:rPr>
                <w:sz w:val="15"/>
              </w:rPr>
            </w:pPr>
            <w:r>
              <w:rPr>
                <w:color w:val="231F20"/>
                <w:sz w:val="15"/>
              </w:rPr>
              <w:t>ECG yearly. Holter monitoring is recommended in patients with ECG </w:t>
            </w:r>
            <w:r>
              <w:rPr>
                <w:color w:val="231F20"/>
                <w:spacing w:val="-2"/>
                <w:sz w:val="15"/>
              </w:rPr>
              <w:t>abnormalities</w:t>
            </w:r>
            <w:r>
              <w:rPr>
                <w:color w:val="231F20"/>
                <w:spacing w:val="-10"/>
                <w:sz w:val="15"/>
              </w:rPr>
              <w:t> </w:t>
            </w:r>
            <w:r>
              <w:rPr>
                <w:color w:val="231F20"/>
                <w:spacing w:val="-2"/>
                <w:sz w:val="15"/>
              </w:rPr>
              <w:t>to</w:t>
            </w:r>
            <w:r>
              <w:rPr>
                <w:color w:val="231F20"/>
                <w:spacing w:val="-9"/>
                <w:sz w:val="15"/>
              </w:rPr>
              <w:t> </w:t>
            </w:r>
            <w:r>
              <w:rPr>
                <w:color w:val="231F20"/>
                <w:spacing w:val="-2"/>
                <w:sz w:val="15"/>
              </w:rPr>
              <w:t>detect asymptomatic </w:t>
            </w:r>
            <w:r>
              <w:rPr>
                <w:color w:val="231F20"/>
                <w:sz w:val="15"/>
              </w:rPr>
              <w:t>conduction blocks and </w:t>
            </w:r>
            <w:r>
              <w:rPr>
                <w:color w:val="231F20"/>
                <w:spacing w:val="-2"/>
                <w:sz w:val="15"/>
              </w:rPr>
              <w:t>arrhythmias</w:t>
            </w:r>
          </w:p>
        </w:tc>
      </w:tr>
      <w:tr>
        <w:trPr>
          <w:trHeight w:val="1473" w:hRule="atLeast"/>
        </w:trPr>
        <w:tc>
          <w:tcPr>
            <w:tcW w:w="3736" w:type="dxa"/>
            <w:gridSpan w:val="2"/>
            <w:tcBorders>
              <w:top w:val="single" w:sz="4" w:space="0" w:color="FFFFFF"/>
            </w:tcBorders>
            <w:shd w:val="clear" w:color="auto" w:fill="E8F5F1"/>
          </w:tcPr>
          <w:p>
            <w:pPr>
              <w:pStyle w:val="TableParagraph"/>
              <w:spacing w:line="172" w:lineRule="exact" w:before="43"/>
              <w:ind w:left="75"/>
              <w:rPr>
                <w:sz w:val="15"/>
              </w:rPr>
            </w:pPr>
            <w:r>
              <w:rPr>
                <w:color w:val="231F20"/>
                <w:w w:val="110"/>
                <w:sz w:val="15"/>
              </w:rPr>
              <w:t>EMERY-DREIFUSS</w:t>
            </w:r>
            <w:r>
              <w:rPr>
                <w:color w:val="231F20"/>
                <w:spacing w:val="6"/>
                <w:w w:val="110"/>
                <w:sz w:val="15"/>
              </w:rPr>
              <w:t> </w:t>
            </w:r>
            <w:r>
              <w:rPr>
                <w:color w:val="231F20"/>
                <w:w w:val="110"/>
                <w:sz w:val="15"/>
              </w:rPr>
              <w:t>MUSCULAR</w:t>
            </w:r>
            <w:r>
              <w:rPr>
                <w:color w:val="231F20"/>
                <w:spacing w:val="7"/>
                <w:w w:val="110"/>
                <w:sz w:val="15"/>
              </w:rPr>
              <w:t> </w:t>
            </w:r>
            <w:r>
              <w:rPr>
                <w:color w:val="231F20"/>
                <w:spacing w:val="-2"/>
                <w:w w:val="110"/>
                <w:sz w:val="15"/>
              </w:rPr>
              <w:t>DYSTROPHY</w:t>
            </w:r>
          </w:p>
          <w:p>
            <w:pPr>
              <w:pStyle w:val="TableParagraph"/>
              <w:tabs>
                <w:tab w:pos="1885" w:val="left" w:leader="none"/>
                <w:tab w:pos="1997" w:val="left" w:leader="none"/>
              </w:tabs>
              <w:spacing w:line="230" w:lineRule="auto" w:before="3"/>
              <w:ind w:left="336" w:right="178" w:hanging="112"/>
              <w:rPr>
                <w:sz w:val="15"/>
              </w:rPr>
            </w:pPr>
            <w:r>
              <w:rPr>
                <w:color w:val="231F20"/>
                <w:sz w:val="15"/>
              </w:rPr>
              <w:t>X-linked recessive</w:t>
              <w:tab/>
              <w:t>Conduction</w:t>
            </w:r>
            <w:r>
              <w:rPr>
                <w:color w:val="231F20"/>
                <w:spacing w:val="-12"/>
                <w:sz w:val="15"/>
              </w:rPr>
              <w:t> </w:t>
            </w:r>
            <w:r>
              <w:rPr>
                <w:color w:val="231F20"/>
                <w:sz w:val="15"/>
              </w:rPr>
              <w:t>disturbances</w:t>
            </w:r>
            <w:r>
              <w:rPr>
                <w:color w:val="231F20"/>
                <w:sz w:val="15"/>
              </w:rPr>
              <w:t> </w:t>
            </w:r>
            <w:r>
              <w:rPr>
                <w:color w:val="231F20"/>
                <w:spacing w:val="-2"/>
                <w:sz w:val="15"/>
              </w:rPr>
              <w:t>Emery-Dreifuss</w:t>
            </w:r>
            <w:r>
              <w:rPr>
                <w:color w:val="231F20"/>
                <w:sz w:val="15"/>
              </w:rPr>
              <w:tab/>
              <w:tab/>
              <w:t>generally in the 2nd muscular dystrophy</w:t>
              <w:tab/>
              <w:tab/>
            </w:r>
            <w:r>
              <w:rPr>
                <w:color w:val="231F20"/>
                <w:spacing w:val="-2"/>
                <w:sz w:val="15"/>
              </w:rPr>
              <w:t>decade</w:t>
            </w:r>
          </w:p>
          <w:p>
            <w:pPr>
              <w:pStyle w:val="TableParagraph"/>
              <w:spacing w:line="171" w:lineRule="exact"/>
              <w:ind w:left="336"/>
              <w:rPr>
                <w:sz w:val="15"/>
              </w:rPr>
            </w:pPr>
            <w:r>
              <w:rPr>
                <w:color w:val="231F20"/>
                <w:spacing w:val="-4"/>
                <w:sz w:val="15"/>
              </w:rPr>
              <w:t>(type </w:t>
            </w:r>
            <w:r>
              <w:rPr>
                <w:color w:val="231F20"/>
                <w:spacing w:val="-5"/>
                <w:sz w:val="15"/>
              </w:rPr>
              <w:t>1)</w:t>
            </w:r>
          </w:p>
        </w:tc>
        <w:tc>
          <w:tcPr>
            <w:tcW w:w="2023"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62" w:right="139" w:hanging="112"/>
              <w:rPr>
                <w:sz w:val="15"/>
              </w:rPr>
            </w:pPr>
            <w:r>
              <w:rPr>
                <w:color w:val="231F20"/>
                <w:sz w:val="15"/>
              </w:rPr>
              <w:t>Ventricular myocardium might</w:t>
            </w:r>
            <w:r>
              <w:rPr>
                <w:color w:val="231F20"/>
                <w:spacing w:val="-12"/>
                <w:sz w:val="15"/>
              </w:rPr>
              <w:t> </w:t>
            </w:r>
            <w:r>
              <w:rPr>
                <w:color w:val="231F20"/>
                <w:sz w:val="15"/>
              </w:rPr>
              <w:t>become</w:t>
            </w:r>
            <w:r>
              <w:rPr>
                <w:color w:val="231F20"/>
                <w:spacing w:val="-11"/>
                <w:sz w:val="15"/>
              </w:rPr>
              <w:t> </w:t>
            </w:r>
            <w:r>
              <w:rPr>
                <w:color w:val="231F20"/>
                <w:sz w:val="15"/>
              </w:rPr>
              <w:t>involved, leading to mild ventricular</w:t>
            </w:r>
            <w:r>
              <w:rPr>
                <w:color w:val="231F20"/>
                <w:spacing w:val="-2"/>
                <w:sz w:val="15"/>
              </w:rPr>
              <w:t> </w:t>
            </w:r>
            <w:r>
              <w:rPr>
                <w:color w:val="231F20"/>
                <w:sz w:val="15"/>
              </w:rPr>
              <w:t>dilation</w:t>
            </w:r>
            <w:r>
              <w:rPr>
                <w:color w:val="231F20"/>
                <w:spacing w:val="-2"/>
                <w:sz w:val="15"/>
              </w:rPr>
              <w:t> </w:t>
            </w:r>
            <w:r>
              <w:rPr>
                <w:color w:val="231F20"/>
                <w:sz w:val="15"/>
              </w:rPr>
              <w:t>and low-to-normal systolic </w:t>
            </w:r>
            <w:r>
              <w:rPr>
                <w:color w:val="231F20"/>
                <w:spacing w:val="-2"/>
                <w:sz w:val="15"/>
              </w:rPr>
              <w:t>function</w:t>
            </w:r>
          </w:p>
        </w:tc>
        <w:tc>
          <w:tcPr>
            <w:tcW w:w="1998"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40" w:right="189" w:hanging="112"/>
              <w:rPr>
                <w:sz w:val="15"/>
              </w:rPr>
            </w:pPr>
            <w:r>
              <w:rPr>
                <w:color w:val="231F20"/>
                <w:sz w:val="15"/>
              </w:rPr>
              <w:t>Sudden death is by far the most common cause</w:t>
            </w:r>
            <w:r>
              <w:rPr>
                <w:color w:val="231F20"/>
                <w:spacing w:val="-8"/>
                <w:sz w:val="15"/>
              </w:rPr>
              <w:t> </w:t>
            </w:r>
            <w:r>
              <w:rPr>
                <w:color w:val="231F20"/>
                <w:sz w:val="15"/>
              </w:rPr>
              <w:t>of</w:t>
            </w:r>
            <w:r>
              <w:rPr>
                <w:color w:val="231F20"/>
                <w:spacing w:val="-8"/>
                <w:sz w:val="15"/>
              </w:rPr>
              <w:t> </w:t>
            </w:r>
            <w:r>
              <w:rPr>
                <w:color w:val="231F20"/>
                <w:sz w:val="15"/>
              </w:rPr>
              <w:t>death</w:t>
            </w:r>
            <w:r>
              <w:rPr>
                <w:color w:val="231F20"/>
                <w:spacing w:val="-8"/>
                <w:sz w:val="15"/>
              </w:rPr>
              <w:t> </w:t>
            </w:r>
            <w:r>
              <w:rPr>
                <w:color w:val="231F20"/>
                <w:sz w:val="15"/>
              </w:rPr>
              <w:t>and</w:t>
            </w:r>
            <w:r>
              <w:rPr>
                <w:color w:val="231F20"/>
                <w:spacing w:val="-8"/>
                <w:sz w:val="15"/>
              </w:rPr>
              <w:t> </w:t>
            </w:r>
            <w:r>
              <w:rPr>
                <w:color w:val="231F20"/>
                <w:sz w:val="15"/>
              </w:rPr>
              <w:t>can be very unpredictable</w:t>
            </w:r>
          </w:p>
        </w:tc>
        <w:tc>
          <w:tcPr>
            <w:tcW w:w="1981" w:type="dxa"/>
            <w:vMerge w:val="restart"/>
            <w:tcBorders>
              <w:top w:val="single" w:sz="4" w:space="0" w:color="FFFFFF"/>
              <w:bottom w:val="single" w:sz="4" w:space="0" w:color="FFFFFF"/>
            </w:tcBorders>
            <w:shd w:val="clear" w:color="auto" w:fill="E8F5F1"/>
          </w:tcPr>
          <w:p>
            <w:pPr>
              <w:pStyle w:val="TableParagraph"/>
              <w:spacing w:before="44"/>
              <w:rPr>
                <w:i/>
                <w:sz w:val="15"/>
              </w:rPr>
            </w:pPr>
          </w:p>
          <w:p>
            <w:pPr>
              <w:pStyle w:val="TableParagraph"/>
              <w:spacing w:line="230" w:lineRule="auto"/>
              <w:ind w:left="240" w:right="102" w:hanging="112"/>
              <w:rPr>
                <w:sz w:val="15"/>
              </w:rPr>
            </w:pPr>
            <w:r>
              <w:rPr>
                <w:color w:val="231F20"/>
                <w:sz w:val="15"/>
              </w:rPr>
              <w:t>ECG and yearly Holter monitoring are indicated. Pacemaker implantation should be considered</w:t>
            </w:r>
            <w:r>
              <w:rPr>
                <w:color w:val="231F20"/>
                <w:spacing w:val="-7"/>
                <w:sz w:val="15"/>
              </w:rPr>
              <w:t> </w:t>
            </w:r>
            <w:r>
              <w:rPr>
                <w:color w:val="231F20"/>
                <w:sz w:val="15"/>
              </w:rPr>
              <w:t>if</w:t>
            </w:r>
            <w:r>
              <w:rPr>
                <w:color w:val="231F20"/>
                <w:spacing w:val="-7"/>
                <w:sz w:val="15"/>
              </w:rPr>
              <w:t> </w:t>
            </w:r>
            <w:r>
              <w:rPr>
                <w:color w:val="231F20"/>
                <w:sz w:val="15"/>
              </w:rPr>
              <w:t>sinus</w:t>
            </w:r>
            <w:r>
              <w:rPr>
                <w:color w:val="231F20"/>
                <w:spacing w:val="-7"/>
                <w:sz w:val="15"/>
              </w:rPr>
              <w:t> </w:t>
            </w:r>
            <w:r>
              <w:rPr>
                <w:color w:val="231F20"/>
                <w:sz w:val="15"/>
              </w:rPr>
              <w:t>node or</w:t>
            </w:r>
            <w:r>
              <w:rPr>
                <w:color w:val="231F20"/>
                <w:spacing w:val="-7"/>
                <w:sz w:val="15"/>
              </w:rPr>
              <w:t> </w:t>
            </w:r>
            <w:r>
              <w:rPr>
                <w:color w:val="231F20"/>
                <w:sz w:val="15"/>
              </w:rPr>
              <w:t>atrioventricular</w:t>
            </w:r>
            <w:r>
              <w:rPr>
                <w:color w:val="231F20"/>
                <w:spacing w:val="-7"/>
                <w:sz w:val="15"/>
              </w:rPr>
              <w:t> </w:t>
            </w:r>
            <w:r>
              <w:rPr>
                <w:color w:val="231F20"/>
                <w:sz w:val="15"/>
              </w:rPr>
              <w:t>node disease develops.</w:t>
            </w:r>
          </w:p>
          <w:p>
            <w:pPr>
              <w:pStyle w:val="TableParagraph"/>
              <w:spacing w:line="230" w:lineRule="auto" w:before="5"/>
              <w:ind w:left="240"/>
              <w:rPr>
                <w:sz w:val="15"/>
              </w:rPr>
            </w:pPr>
            <w:r>
              <w:rPr>
                <w:color w:val="231F20"/>
                <w:sz w:val="15"/>
              </w:rPr>
              <w:t>Defibrillator might be needed</w:t>
            </w:r>
            <w:r>
              <w:rPr>
                <w:color w:val="231F20"/>
                <w:spacing w:val="-7"/>
                <w:sz w:val="15"/>
              </w:rPr>
              <w:t> </w:t>
            </w:r>
            <w:r>
              <w:rPr>
                <w:color w:val="231F20"/>
                <w:sz w:val="15"/>
              </w:rPr>
              <w:t>in</w:t>
            </w:r>
            <w:r>
              <w:rPr>
                <w:color w:val="231F20"/>
                <w:spacing w:val="-7"/>
                <w:sz w:val="15"/>
              </w:rPr>
              <w:t> </w:t>
            </w:r>
            <w:r>
              <w:rPr>
                <w:color w:val="231F20"/>
                <w:sz w:val="15"/>
              </w:rPr>
              <w:t>some</w:t>
            </w:r>
            <w:r>
              <w:rPr>
                <w:color w:val="231F20"/>
                <w:spacing w:val="-7"/>
                <w:sz w:val="15"/>
              </w:rPr>
              <w:t> </w:t>
            </w:r>
            <w:r>
              <w:rPr>
                <w:color w:val="231F20"/>
                <w:sz w:val="15"/>
              </w:rPr>
              <w:t>patients</w:t>
            </w:r>
          </w:p>
          <w:p>
            <w:pPr>
              <w:pStyle w:val="TableParagraph"/>
              <w:spacing w:line="230" w:lineRule="auto" w:before="3"/>
              <w:ind w:left="240" w:right="121" w:hanging="112"/>
              <w:rPr>
                <w:sz w:val="15"/>
              </w:rPr>
            </w:pPr>
            <w:r>
              <w:rPr>
                <w:color w:val="231F20"/>
                <w:sz w:val="15"/>
              </w:rPr>
              <w:t>ECG and yearly Holter monitoring are indicated. Defibrillator implantation should be considered as pacemaker does not </w:t>
            </w:r>
            <w:r>
              <w:rPr>
                <w:color w:val="231F20"/>
                <w:spacing w:val="-2"/>
                <w:sz w:val="15"/>
              </w:rPr>
              <w:t>have</w:t>
            </w:r>
            <w:r>
              <w:rPr>
                <w:color w:val="231F20"/>
                <w:spacing w:val="-10"/>
                <w:sz w:val="15"/>
              </w:rPr>
              <w:t> </w:t>
            </w:r>
            <w:r>
              <w:rPr>
                <w:color w:val="231F20"/>
                <w:spacing w:val="-2"/>
                <w:sz w:val="15"/>
              </w:rPr>
              <w:t>a</w:t>
            </w:r>
            <w:r>
              <w:rPr>
                <w:color w:val="231F20"/>
                <w:spacing w:val="-9"/>
                <w:sz w:val="15"/>
              </w:rPr>
              <w:t> </w:t>
            </w:r>
            <w:r>
              <w:rPr>
                <w:color w:val="231F20"/>
                <w:spacing w:val="-2"/>
                <w:sz w:val="15"/>
              </w:rPr>
              <w:t>substantial</w:t>
            </w:r>
            <w:r>
              <w:rPr>
                <w:color w:val="231F20"/>
                <w:spacing w:val="-9"/>
                <w:sz w:val="15"/>
              </w:rPr>
              <w:t> </w:t>
            </w:r>
            <w:r>
              <w:rPr>
                <w:color w:val="231F20"/>
                <w:spacing w:val="-2"/>
                <w:sz w:val="15"/>
              </w:rPr>
              <w:t>effect </w:t>
            </w:r>
            <w:r>
              <w:rPr>
                <w:color w:val="231F20"/>
                <w:sz w:val="15"/>
              </w:rPr>
              <w:t>on mortality</w:t>
            </w:r>
          </w:p>
        </w:tc>
      </w:tr>
      <w:tr>
        <w:trPr>
          <w:trHeight w:val="1628" w:hRule="atLeast"/>
        </w:trPr>
        <w:tc>
          <w:tcPr>
            <w:tcW w:w="3736" w:type="dxa"/>
            <w:gridSpan w:val="2"/>
            <w:tcBorders>
              <w:bottom w:val="single" w:sz="4" w:space="0" w:color="FFFFFF"/>
            </w:tcBorders>
            <w:shd w:val="clear" w:color="auto" w:fill="E8F5F1"/>
          </w:tcPr>
          <w:p>
            <w:pPr>
              <w:pStyle w:val="TableParagraph"/>
              <w:spacing w:before="73"/>
              <w:rPr>
                <w:i/>
                <w:sz w:val="15"/>
              </w:rPr>
            </w:pPr>
          </w:p>
          <w:p>
            <w:pPr>
              <w:pStyle w:val="TableParagraph"/>
              <w:tabs>
                <w:tab w:pos="1885" w:val="left" w:leader="none"/>
                <w:tab w:pos="1997" w:val="left" w:leader="none"/>
              </w:tabs>
              <w:spacing w:line="230" w:lineRule="auto" w:before="1"/>
              <w:ind w:left="336" w:right="226" w:hanging="112"/>
              <w:rPr>
                <w:sz w:val="15"/>
              </w:rPr>
            </w:pPr>
            <w:r>
              <w:rPr>
                <w:color w:val="231F20"/>
                <w:spacing w:val="-2"/>
                <w:sz w:val="15"/>
              </w:rPr>
              <w:t>Emery-Dreifuss</w:t>
            </w:r>
            <w:r>
              <w:rPr>
                <w:color w:val="231F20"/>
                <w:sz w:val="15"/>
              </w:rPr>
              <w:tab/>
              <w:t>Conduction disease </w:t>
            </w:r>
            <w:r>
              <w:rPr>
                <w:color w:val="231F20"/>
                <w:sz w:val="15"/>
              </w:rPr>
              <w:t>and muscular dystrophy</w:t>
              <w:tab/>
              <w:tab/>
              <w:t>cardiac failure</w:t>
            </w:r>
          </w:p>
          <w:p>
            <w:pPr>
              <w:pStyle w:val="TableParagraph"/>
              <w:spacing w:line="230" w:lineRule="auto" w:before="1"/>
              <w:ind w:left="336" w:right="2006"/>
              <w:rPr>
                <w:sz w:val="15"/>
              </w:rPr>
            </w:pPr>
            <w:r>
              <w:rPr>
                <w:color w:val="231F20"/>
                <w:sz w:val="15"/>
              </w:rPr>
              <w:t>2 and limb-girdle </w:t>
            </w:r>
            <w:r>
              <w:rPr>
                <w:color w:val="231F20"/>
                <w:spacing w:val="-2"/>
                <w:sz w:val="15"/>
              </w:rPr>
              <w:t>muscular</w:t>
            </w:r>
            <w:r>
              <w:rPr>
                <w:color w:val="231F20"/>
                <w:spacing w:val="-10"/>
                <w:sz w:val="15"/>
              </w:rPr>
              <w:t> </w:t>
            </w:r>
            <w:r>
              <w:rPr>
                <w:color w:val="231F20"/>
                <w:spacing w:val="-2"/>
                <w:sz w:val="15"/>
              </w:rPr>
              <w:t>dystroph</w:t>
            </w:r>
            <w:r>
              <w:rPr>
                <w:color w:val="231F20"/>
                <w:spacing w:val="-2"/>
                <w:sz w:val="15"/>
              </w:rPr>
              <w:t>y</w:t>
            </w:r>
            <w:r>
              <w:rPr>
                <w:color w:val="231F20"/>
                <w:spacing w:val="-2"/>
                <w:sz w:val="15"/>
              </w:rPr>
              <w:t> </w:t>
            </w:r>
            <w:r>
              <w:rPr>
                <w:color w:val="231F20"/>
                <w:spacing w:val="-6"/>
                <w:sz w:val="15"/>
              </w:rPr>
              <w:t>1B</w:t>
            </w:r>
          </w:p>
        </w:tc>
        <w:tc>
          <w:tcPr>
            <w:tcW w:w="2023" w:type="dxa"/>
            <w:tcBorders>
              <w:bottom w:val="single" w:sz="4" w:space="0" w:color="FFFFFF"/>
            </w:tcBorders>
            <w:shd w:val="clear" w:color="auto" w:fill="E8F5F1"/>
          </w:tcPr>
          <w:p>
            <w:pPr>
              <w:pStyle w:val="TableParagraph"/>
              <w:spacing w:before="73"/>
              <w:rPr>
                <w:i/>
                <w:sz w:val="15"/>
              </w:rPr>
            </w:pPr>
          </w:p>
          <w:p>
            <w:pPr>
              <w:pStyle w:val="TableParagraph"/>
              <w:spacing w:line="230" w:lineRule="auto" w:before="1"/>
              <w:ind w:left="262" w:right="117" w:hanging="112"/>
              <w:rPr>
                <w:sz w:val="15"/>
              </w:rPr>
            </w:pPr>
            <w:r>
              <w:rPr>
                <w:color w:val="231F20"/>
                <w:sz w:val="15"/>
              </w:rPr>
              <w:t>Dysrhythmias (sinus </w:t>
            </w:r>
            <w:r>
              <w:rPr>
                <w:color w:val="231F20"/>
                <w:spacing w:val="-2"/>
                <w:sz w:val="15"/>
              </w:rPr>
              <w:t>bradycardia, atrioventricular </w:t>
            </w:r>
            <w:r>
              <w:rPr>
                <w:color w:val="231F20"/>
                <w:sz w:val="15"/>
              </w:rPr>
              <w:t>conduction block, or atrial arrhythmias) present in 92% of patients</w:t>
            </w:r>
            <w:r>
              <w:rPr>
                <w:color w:val="231F20"/>
                <w:spacing w:val="-12"/>
                <w:sz w:val="15"/>
              </w:rPr>
              <w:t> </w:t>
            </w:r>
            <w:r>
              <w:rPr>
                <w:color w:val="231F20"/>
                <w:sz w:val="15"/>
              </w:rPr>
              <w:t>older</w:t>
            </w:r>
            <w:r>
              <w:rPr>
                <w:color w:val="231F20"/>
                <w:spacing w:val="-11"/>
                <w:sz w:val="15"/>
              </w:rPr>
              <w:t> </w:t>
            </w:r>
            <w:r>
              <w:rPr>
                <w:color w:val="231F20"/>
                <w:sz w:val="15"/>
              </w:rPr>
              <w:t>than</w:t>
            </w:r>
            <w:r>
              <w:rPr>
                <w:color w:val="231F20"/>
                <w:spacing w:val="-11"/>
                <w:sz w:val="15"/>
              </w:rPr>
              <w:t> </w:t>
            </w:r>
            <w:r>
              <w:rPr>
                <w:color w:val="231F20"/>
                <w:sz w:val="15"/>
              </w:rPr>
              <w:t>30</w:t>
            </w:r>
            <w:r>
              <w:rPr>
                <w:color w:val="231F20"/>
                <w:spacing w:val="-12"/>
                <w:sz w:val="15"/>
              </w:rPr>
              <w:t> </w:t>
            </w:r>
            <w:r>
              <w:rPr>
                <w:color w:val="231F20"/>
                <w:sz w:val="15"/>
              </w:rPr>
              <w:t>yr</w:t>
            </w:r>
          </w:p>
        </w:tc>
        <w:tc>
          <w:tcPr>
            <w:tcW w:w="1998" w:type="dxa"/>
            <w:tcBorders>
              <w:bottom w:val="single" w:sz="4" w:space="0" w:color="FFFFFF"/>
            </w:tcBorders>
            <w:shd w:val="clear" w:color="auto" w:fill="E8F5F1"/>
          </w:tcPr>
          <w:p>
            <w:pPr>
              <w:pStyle w:val="TableParagraph"/>
              <w:spacing w:before="73"/>
              <w:rPr>
                <w:i/>
                <w:sz w:val="15"/>
              </w:rPr>
            </w:pPr>
          </w:p>
          <w:p>
            <w:pPr>
              <w:pStyle w:val="TableParagraph"/>
              <w:spacing w:line="230" w:lineRule="auto" w:before="1"/>
              <w:ind w:left="240" w:right="141" w:hanging="112"/>
              <w:rPr>
                <w:sz w:val="15"/>
              </w:rPr>
            </w:pPr>
            <w:r>
              <w:rPr>
                <w:color w:val="231F20"/>
                <w:sz w:val="15"/>
              </w:rPr>
              <w:t>Sudden death reported also in patients with </w:t>
            </w:r>
            <w:r>
              <w:rPr>
                <w:color w:val="231F20"/>
                <w:spacing w:val="-2"/>
                <w:sz w:val="15"/>
              </w:rPr>
              <w:t>pacemaker.</w:t>
            </w:r>
            <w:r>
              <w:rPr>
                <w:color w:val="231F20"/>
                <w:spacing w:val="-10"/>
                <w:sz w:val="15"/>
              </w:rPr>
              <w:t> </w:t>
            </w:r>
            <w:r>
              <w:rPr>
                <w:color w:val="231F20"/>
                <w:spacing w:val="-2"/>
                <w:sz w:val="15"/>
              </w:rPr>
              <w:t>Rare</w:t>
            </w:r>
            <w:r>
              <w:rPr>
                <w:color w:val="231F20"/>
                <w:spacing w:val="-9"/>
                <w:sz w:val="15"/>
              </w:rPr>
              <w:t> </w:t>
            </w:r>
            <w:r>
              <w:rPr>
                <w:color w:val="231F20"/>
                <w:spacing w:val="-2"/>
                <w:sz w:val="15"/>
              </w:rPr>
              <w:t>death </w:t>
            </w:r>
            <w:r>
              <w:rPr>
                <w:color w:val="231F20"/>
                <w:sz w:val="15"/>
              </w:rPr>
              <w:t>with defibrillator also reported. Cardiac failure. Cardiac transplants reported</w:t>
            </w:r>
          </w:p>
        </w:tc>
        <w:tc>
          <w:tcPr>
            <w:tcW w:w="1981" w:type="dxa"/>
            <w:vMerge/>
            <w:tcBorders>
              <w:top w:val="nil"/>
              <w:bottom w:val="single" w:sz="4" w:space="0" w:color="FFFFFF"/>
            </w:tcBorders>
            <w:shd w:val="clear" w:color="auto" w:fill="E8F5F1"/>
          </w:tcPr>
          <w:p>
            <w:pPr>
              <w:rPr>
                <w:sz w:val="2"/>
                <w:szCs w:val="2"/>
              </w:rPr>
            </w:pPr>
          </w:p>
        </w:tc>
      </w:tr>
      <w:tr>
        <w:trPr>
          <w:trHeight w:val="3947" w:hRule="atLeast"/>
        </w:trPr>
        <w:tc>
          <w:tcPr>
            <w:tcW w:w="3736" w:type="dxa"/>
            <w:gridSpan w:val="2"/>
            <w:tcBorders>
              <w:top w:val="single" w:sz="4" w:space="0" w:color="FFFFFF"/>
              <w:bottom w:val="single" w:sz="8" w:space="0" w:color="231F20"/>
            </w:tcBorders>
            <w:shd w:val="clear" w:color="auto" w:fill="E8F5F1"/>
          </w:tcPr>
          <w:p>
            <w:pPr>
              <w:pStyle w:val="TableParagraph"/>
              <w:spacing w:line="172" w:lineRule="exact" w:before="43"/>
              <w:ind w:left="75"/>
              <w:rPr>
                <w:sz w:val="15"/>
              </w:rPr>
            </w:pPr>
            <w:r>
              <w:rPr>
                <w:color w:val="231F20"/>
                <w:w w:val="110"/>
                <w:sz w:val="15"/>
              </w:rPr>
              <w:t>LIMB-GIRDLE</w:t>
            </w:r>
            <w:r>
              <w:rPr>
                <w:color w:val="231F20"/>
                <w:spacing w:val="2"/>
                <w:w w:val="110"/>
                <w:sz w:val="15"/>
              </w:rPr>
              <w:t> </w:t>
            </w:r>
            <w:r>
              <w:rPr>
                <w:color w:val="231F20"/>
                <w:w w:val="110"/>
                <w:sz w:val="15"/>
              </w:rPr>
              <w:t>MUSCULAR</w:t>
            </w:r>
            <w:r>
              <w:rPr>
                <w:color w:val="231F20"/>
                <w:spacing w:val="2"/>
                <w:w w:val="110"/>
                <w:sz w:val="15"/>
              </w:rPr>
              <w:t> </w:t>
            </w:r>
            <w:r>
              <w:rPr>
                <w:color w:val="231F20"/>
                <w:spacing w:val="-2"/>
                <w:w w:val="110"/>
                <w:sz w:val="15"/>
              </w:rPr>
              <w:t>DYSTROPHY</w:t>
            </w:r>
          </w:p>
          <w:p>
            <w:pPr>
              <w:pStyle w:val="TableParagraph"/>
              <w:tabs>
                <w:tab w:pos="1885" w:val="left" w:leader="none"/>
              </w:tabs>
              <w:spacing w:line="169" w:lineRule="exact"/>
              <w:ind w:left="224"/>
              <w:rPr>
                <w:sz w:val="15"/>
              </w:rPr>
            </w:pPr>
            <w:r>
              <w:rPr>
                <w:color w:val="231F20"/>
                <w:spacing w:val="-2"/>
                <w:sz w:val="15"/>
              </w:rPr>
              <w:t>Sarcoglycanopathies</w:t>
            </w:r>
            <w:r>
              <w:rPr>
                <w:color w:val="231F20"/>
                <w:sz w:val="15"/>
              </w:rPr>
              <w:tab/>
              <w:t>ECG</w:t>
            </w:r>
            <w:r>
              <w:rPr>
                <w:color w:val="231F20"/>
                <w:spacing w:val="39"/>
                <w:sz w:val="15"/>
              </w:rPr>
              <w:t> </w:t>
            </w:r>
            <w:r>
              <w:rPr>
                <w:color w:val="231F20"/>
                <w:spacing w:val="-2"/>
                <w:sz w:val="15"/>
              </w:rPr>
              <w:t>and/or</w:t>
            </w:r>
          </w:p>
          <w:p>
            <w:pPr>
              <w:pStyle w:val="TableParagraph"/>
              <w:spacing w:line="230" w:lineRule="auto" w:before="2"/>
              <w:ind w:left="1997" w:right="83"/>
              <w:rPr>
                <w:sz w:val="15"/>
              </w:rPr>
            </w:pPr>
            <w:r>
              <w:rPr>
                <w:color w:val="231F20"/>
                <w:spacing w:val="-2"/>
                <w:sz w:val="15"/>
              </w:rPr>
              <w:t>echocardiographic </w:t>
            </w:r>
            <w:r>
              <w:rPr>
                <w:color w:val="231F20"/>
                <w:sz w:val="15"/>
              </w:rPr>
              <w:t>abnormalities reported in 20-30% of patients (especially </w:t>
            </w:r>
            <w:r>
              <w:rPr>
                <w:rFonts w:ascii="Cambria" w:hAnsi="Cambria"/>
                <w:color w:val="231F20"/>
                <w:sz w:val="15"/>
              </w:rPr>
              <w:t>β </w:t>
            </w:r>
            <w:r>
              <w:rPr>
                <w:color w:val="231F20"/>
                <w:sz w:val="15"/>
              </w:rPr>
              <w:t>and </w:t>
            </w:r>
            <w:r>
              <w:rPr>
                <w:rFonts w:ascii="Cambria" w:hAnsi="Cambria"/>
                <w:color w:val="231F20"/>
                <w:sz w:val="15"/>
              </w:rPr>
              <w:t>δ</w:t>
            </w:r>
            <w:r>
              <w:rPr>
                <w:rFonts w:ascii="Cambria" w:hAnsi="Cambria"/>
                <w:color w:val="231F20"/>
                <w:spacing w:val="40"/>
                <w:sz w:val="15"/>
              </w:rPr>
              <w:t> </w:t>
            </w:r>
            <w:r>
              <w:rPr>
                <w:color w:val="231F20"/>
                <w:spacing w:val="-2"/>
                <w:sz w:val="15"/>
              </w:rPr>
              <w:t>variants;</w:t>
            </w:r>
            <w:r>
              <w:rPr>
                <w:color w:val="231F20"/>
                <w:spacing w:val="-8"/>
                <w:sz w:val="15"/>
              </w:rPr>
              <w:t> </w:t>
            </w:r>
            <w:r>
              <w:rPr>
                <w:color w:val="231F20"/>
                <w:spacing w:val="-2"/>
                <w:sz w:val="15"/>
              </w:rPr>
              <w:t>less</w:t>
            </w:r>
            <w:r>
              <w:rPr>
                <w:color w:val="231F20"/>
                <w:spacing w:val="-8"/>
                <w:sz w:val="15"/>
              </w:rPr>
              <w:t> </w:t>
            </w:r>
            <w:r>
              <w:rPr>
                <w:color w:val="231F20"/>
                <w:spacing w:val="-2"/>
                <w:sz w:val="15"/>
              </w:rPr>
              <w:t>common</w:t>
            </w:r>
            <w:r>
              <w:rPr>
                <w:color w:val="231F20"/>
                <w:spacing w:val="-8"/>
                <w:sz w:val="15"/>
              </w:rPr>
              <w:t> </w:t>
            </w:r>
            <w:r>
              <w:rPr>
                <w:color w:val="231F20"/>
                <w:spacing w:val="-2"/>
                <w:sz w:val="15"/>
              </w:rPr>
              <w:t>in </w:t>
            </w:r>
            <w:r>
              <w:rPr>
                <w:rFonts w:ascii="Cambria" w:hAnsi="Cambria"/>
                <w:color w:val="231F20"/>
                <w:sz w:val="15"/>
              </w:rPr>
              <w:t>α </w:t>
            </w:r>
            <w:r>
              <w:rPr>
                <w:color w:val="231F20"/>
                <w:sz w:val="15"/>
              </w:rPr>
              <w:t>variant)</w:t>
            </w:r>
          </w:p>
          <w:p>
            <w:pPr>
              <w:pStyle w:val="TableParagraph"/>
              <w:tabs>
                <w:tab w:pos="1997" w:val="left" w:leader="none"/>
              </w:tabs>
              <w:spacing w:line="230" w:lineRule="auto" w:before="171"/>
              <w:ind w:left="336" w:right="276" w:hanging="112"/>
              <w:jc w:val="both"/>
              <w:rPr>
                <w:sz w:val="15"/>
              </w:rPr>
            </w:pPr>
            <w:r>
              <w:rPr>
                <w:color w:val="231F20"/>
                <w:sz w:val="15"/>
              </w:rPr>
              <w:t>Limb-girdle muscular</w:t>
            </w:r>
            <w:r>
              <w:rPr>
                <w:color w:val="231F20"/>
                <w:spacing w:val="40"/>
                <w:sz w:val="15"/>
              </w:rPr>
              <w:t> </w:t>
            </w:r>
            <w:r>
              <w:rPr>
                <w:color w:val="231F20"/>
                <w:sz w:val="15"/>
              </w:rPr>
              <w:t>Cardiac involvement dystrophy</w:t>
            </w:r>
            <w:r>
              <w:rPr>
                <w:color w:val="231F20"/>
                <w:spacing w:val="-6"/>
                <w:sz w:val="15"/>
              </w:rPr>
              <w:t> </w:t>
            </w:r>
            <w:r>
              <w:rPr>
                <w:color w:val="231F20"/>
                <w:spacing w:val="-5"/>
                <w:sz w:val="15"/>
              </w:rPr>
              <w:t>2I</w:t>
            </w:r>
            <w:r>
              <w:rPr>
                <w:color w:val="231F20"/>
                <w:sz w:val="15"/>
              </w:rPr>
              <w:tab/>
              <w:t>reported</w:t>
            </w:r>
            <w:r>
              <w:rPr>
                <w:color w:val="231F20"/>
                <w:spacing w:val="3"/>
                <w:sz w:val="15"/>
              </w:rPr>
              <w:t> </w:t>
            </w:r>
            <w:r>
              <w:rPr>
                <w:color w:val="231F20"/>
                <w:sz w:val="15"/>
              </w:rPr>
              <w:t>in</w:t>
            </w:r>
            <w:r>
              <w:rPr>
                <w:color w:val="231F20"/>
                <w:spacing w:val="3"/>
                <w:sz w:val="15"/>
              </w:rPr>
              <w:t> </w:t>
            </w:r>
            <w:r>
              <w:rPr>
                <w:color w:val="231F20"/>
                <w:sz w:val="15"/>
              </w:rPr>
              <w:t>29-62%</w:t>
            </w:r>
            <w:r>
              <w:rPr>
                <w:color w:val="231F20"/>
                <w:spacing w:val="3"/>
                <w:sz w:val="15"/>
              </w:rPr>
              <w:t> </w:t>
            </w:r>
            <w:r>
              <w:rPr>
                <w:color w:val="231F20"/>
                <w:spacing w:val="-5"/>
                <w:sz w:val="15"/>
              </w:rPr>
              <w:t>of</w:t>
            </w:r>
          </w:p>
          <w:p>
            <w:pPr>
              <w:pStyle w:val="TableParagraph"/>
              <w:spacing w:line="230" w:lineRule="auto" w:before="1"/>
              <w:ind w:left="1997" w:right="345"/>
              <w:jc w:val="both"/>
              <w:rPr>
                <w:sz w:val="15"/>
              </w:rPr>
            </w:pPr>
            <w:r>
              <w:rPr>
                <w:color w:val="231F20"/>
                <w:sz w:val="15"/>
              </w:rPr>
              <w:t>limb-girdle</w:t>
            </w:r>
            <w:r>
              <w:rPr>
                <w:color w:val="231F20"/>
                <w:spacing w:val="-12"/>
                <w:sz w:val="15"/>
              </w:rPr>
              <w:t> </w:t>
            </w:r>
            <w:r>
              <w:rPr>
                <w:color w:val="231F20"/>
                <w:sz w:val="15"/>
              </w:rPr>
              <w:t>muscular dystrophy</w:t>
            </w:r>
            <w:r>
              <w:rPr>
                <w:color w:val="231F20"/>
                <w:spacing w:val="-12"/>
                <w:sz w:val="15"/>
              </w:rPr>
              <w:t> </w:t>
            </w:r>
            <w:r>
              <w:rPr>
                <w:color w:val="231F20"/>
                <w:sz w:val="15"/>
              </w:rPr>
              <w:t>2I.</w:t>
            </w:r>
            <w:r>
              <w:rPr>
                <w:color w:val="231F20"/>
                <w:spacing w:val="-11"/>
                <w:sz w:val="15"/>
              </w:rPr>
              <w:t> </w:t>
            </w:r>
            <w:r>
              <w:rPr>
                <w:color w:val="231F20"/>
                <w:sz w:val="15"/>
              </w:rPr>
              <w:t>Dilated </w:t>
            </w:r>
            <w:r>
              <w:rPr>
                <w:color w:val="231F20"/>
                <w:spacing w:val="-2"/>
                <w:sz w:val="15"/>
              </w:rPr>
              <w:t>cardiomyopathy</w:t>
            </w:r>
            <w:r>
              <w:rPr>
                <w:color w:val="231F20"/>
                <w:spacing w:val="-10"/>
                <w:sz w:val="15"/>
              </w:rPr>
              <w:t> </w:t>
            </w:r>
            <w:r>
              <w:rPr>
                <w:color w:val="231F20"/>
                <w:spacing w:val="-2"/>
                <w:sz w:val="15"/>
              </w:rPr>
              <w:t>may </w:t>
            </w:r>
            <w:r>
              <w:rPr>
                <w:color w:val="231F20"/>
                <w:sz w:val="15"/>
              </w:rPr>
              <w:t>start in teenage yr</w:t>
            </w:r>
          </w:p>
          <w:p>
            <w:pPr>
              <w:pStyle w:val="TableParagraph"/>
              <w:tabs>
                <w:tab w:pos="1997" w:val="left" w:leader="none"/>
              </w:tabs>
              <w:spacing w:line="230" w:lineRule="auto" w:before="5"/>
              <w:ind w:left="336" w:right="599" w:hanging="112"/>
              <w:jc w:val="both"/>
              <w:rPr>
                <w:sz w:val="15"/>
              </w:rPr>
            </w:pPr>
            <w:r>
              <w:rPr>
                <w:color w:val="231F20"/>
                <w:sz w:val="15"/>
              </w:rPr>
              <w:t>Limb-girdle</w:t>
            </w:r>
            <w:r>
              <w:rPr>
                <w:color w:val="231F20"/>
                <w:spacing w:val="-12"/>
                <w:sz w:val="15"/>
              </w:rPr>
              <w:t> </w:t>
            </w:r>
            <w:r>
              <w:rPr>
                <w:color w:val="231F20"/>
                <w:sz w:val="15"/>
              </w:rPr>
              <w:t>muscular</w:t>
            </w:r>
            <w:r>
              <w:rPr>
                <w:color w:val="231F20"/>
                <w:spacing w:val="40"/>
                <w:sz w:val="15"/>
              </w:rPr>
              <w:t> </w:t>
            </w:r>
            <w:r>
              <w:rPr>
                <w:color w:val="231F20"/>
                <w:sz w:val="15"/>
              </w:rPr>
              <w:t>Dilated,</w:t>
            </w:r>
            <w:r>
              <w:rPr>
                <w:color w:val="231F20"/>
                <w:spacing w:val="-12"/>
                <w:sz w:val="15"/>
              </w:rPr>
              <w:t> </w:t>
            </w:r>
            <w:r>
              <w:rPr>
                <w:color w:val="231F20"/>
                <w:sz w:val="15"/>
              </w:rPr>
              <w:t>restrictive, dystrophy 1E</w:t>
              <w:tab/>
            </w:r>
            <w:r>
              <w:rPr>
                <w:color w:val="231F20"/>
                <w:spacing w:val="-2"/>
                <w:sz w:val="15"/>
              </w:rPr>
              <w:t>hypertrophic</w:t>
            </w:r>
          </w:p>
          <w:p>
            <w:pPr>
              <w:pStyle w:val="TableParagraph"/>
              <w:spacing w:line="230" w:lineRule="auto" w:before="1"/>
              <w:ind w:left="1997" w:right="178"/>
              <w:rPr>
                <w:sz w:val="15"/>
              </w:rPr>
            </w:pPr>
            <w:r>
              <w:rPr>
                <w:color w:val="231F20"/>
                <w:sz w:val="15"/>
              </w:rPr>
              <w:t>cardiomyopathies</w:t>
            </w:r>
            <w:r>
              <w:rPr>
                <w:color w:val="231F20"/>
                <w:spacing w:val="-12"/>
                <w:sz w:val="15"/>
              </w:rPr>
              <w:t> </w:t>
            </w:r>
            <w:r>
              <w:rPr>
                <w:color w:val="231F20"/>
                <w:sz w:val="15"/>
              </w:rPr>
              <w:t>and arrhythmias. Cardiac involvement can precede muscle weakness in some </w:t>
            </w:r>
            <w:r>
              <w:rPr>
                <w:color w:val="231F20"/>
                <w:spacing w:val="-2"/>
                <w:sz w:val="15"/>
              </w:rPr>
              <w:t>patients</w:t>
            </w:r>
          </w:p>
        </w:tc>
        <w:tc>
          <w:tcPr>
            <w:tcW w:w="2023"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62" w:right="158" w:hanging="112"/>
              <w:rPr>
                <w:sz w:val="15"/>
              </w:rPr>
            </w:pPr>
            <w:r>
              <w:rPr>
                <w:color w:val="231F20"/>
                <w:sz w:val="15"/>
              </w:rPr>
              <w:t>Severe dilated cardiomyopathy and lethal ventricular </w:t>
            </w:r>
            <w:r>
              <w:rPr>
                <w:color w:val="231F20"/>
                <w:spacing w:val="-2"/>
                <w:sz w:val="15"/>
              </w:rPr>
              <w:t>arrhythmias</w:t>
            </w:r>
            <w:r>
              <w:rPr>
                <w:color w:val="231F20"/>
                <w:spacing w:val="-10"/>
                <w:sz w:val="15"/>
              </w:rPr>
              <w:t> </w:t>
            </w:r>
            <w:r>
              <w:rPr>
                <w:color w:val="231F20"/>
                <w:spacing w:val="-2"/>
                <w:sz w:val="15"/>
              </w:rPr>
              <w:t>might</w:t>
            </w:r>
            <w:r>
              <w:rPr>
                <w:color w:val="231F20"/>
                <w:spacing w:val="-9"/>
                <w:sz w:val="15"/>
              </w:rPr>
              <w:t> </w:t>
            </w:r>
            <w:r>
              <w:rPr>
                <w:color w:val="231F20"/>
                <w:spacing w:val="-2"/>
                <w:sz w:val="15"/>
              </w:rPr>
              <w:t>occur </w:t>
            </w:r>
            <w:r>
              <w:rPr>
                <w:color w:val="231F20"/>
                <w:sz w:val="15"/>
              </w:rPr>
              <w:t>in patients with Duchenne muscular </w:t>
            </w:r>
            <w:r>
              <w:rPr>
                <w:color w:val="231F20"/>
                <w:spacing w:val="-2"/>
                <w:sz w:val="15"/>
              </w:rPr>
              <w:t>dystrophy–like</w:t>
            </w:r>
            <w:r>
              <w:rPr>
                <w:color w:val="231F20"/>
                <w:spacing w:val="80"/>
                <w:sz w:val="15"/>
              </w:rPr>
              <w:t> </w:t>
            </w:r>
            <w:r>
              <w:rPr>
                <w:color w:val="231F20"/>
                <w:spacing w:val="-2"/>
                <w:sz w:val="15"/>
              </w:rPr>
              <w:t>dystrophy</w:t>
            </w:r>
          </w:p>
          <w:p>
            <w:pPr>
              <w:pStyle w:val="TableParagraph"/>
              <w:spacing w:line="230" w:lineRule="auto" w:before="7"/>
              <w:ind w:left="262" w:right="160" w:hanging="112"/>
              <w:rPr>
                <w:sz w:val="15"/>
              </w:rPr>
            </w:pPr>
            <w:r>
              <w:rPr>
                <w:color w:val="231F20"/>
                <w:sz w:val="15"/>
              </w:rPr>
              <w:t>Symptomatic cardiac </w:t>
            </w:r>
            <w:r>
              <w:rPr>
                <w:color w:val="231F20"/>
                <w:spacing w:val="-4"/>
                <w:sz w:val="15"/>
              </w:rPr>
              <w:t>failure</w:t>
            </w:r>
            <w:r>
              <w:rPr>
                <w:color w:val="231F20"/>
                <w:spacing w:val="-8"/>
                <w:sz w:val="15"/>
              </w:rPr>
              <w:t> </w:t>
            </w:r>
            <w:r>
              <w:rPr>
                <w:color w:val="231F20"/>
                <w:spacing w:val="-4"/>
                <w:sz w:val="15"/>
              </w:rPr>
              <w:t>over</w:t>
            </w:r>
            <w:r>
              <w:rPr>
                <w:color w:val="231F20"/>
                <w:spacing w:val="-7"/>
                <w:sz w:val="15"/>
              </w:rPr>
              <w:t> </w:t>
            </w:r>
            <w:r>
              <w:rPr>
                <w:color w:val="231F20"/>
                <w:spacing w:val="-4"/>
                <w:sz w:val="15"/>
              </w:rPr>
              <w:t>time,</w:t>
            </w:r>
            <w:r>
              <w:rPr>
                <w:color w:val="231F20"/>
                <w:spacing w:val="-7"/>
                <w:sz w:val="15"/>
              </w:rPr>
              <w:t> </w:t>
            </w:r>
            <w:r>
              <w:rPr>
                <w:color w:val="231F20"/>
                <w:spacing w:val="-4"/>
                <w:sz w:val="15"/>
              </w:rPr>
              <w:t>at</w:t>
            </w:r>
            <w:r>
              <w:rPr>
                <w:color w:val="231F20"/>
                <w:spacing w:val="-8"/>
                <w:sz w:val="15"/>
              </w:rPr>
              <w:t> </w:t>
            </w:r>
            <w:r>
              <w:rPr>
                <w:color w:val="231F20"/>
                <w:spacing w:val="-4"/>
                <w:sz w:val="15"/>
              </w:rPr>
              <w:t>a </w:t>
            </w:r>
            <w:r>
              <w:rPr>
                <w:color w:val="231F20"/>
                <w:sz w:val="15"/>
              </w:rPr>
              <w:t>mean age of 38 yr (range: 18-58 yr)</w:t>
            </w:r>
          </w:p>
          <w:p>
            <w:pPr>
              <w:pStyle w:val="TableParagraph"/>
              <w:spacing w:before="166"/>
              <w:rPr>
                <w:i/>
                <w:sz w:val="15"/>
              </w:rPr>
            </w:pPr>
          </w:p>
          <w:p>
            <w:pPr>
              <w:pStyle w:val="TableParagraph"/>
              <w:spacing w:line="230" w:lineRule="auto"/>
              <w:ind w:left="262" w:right="136" w:hanging="112"/>
              <w:rPr>
                <w:sz w:val="15"/>
              </w:rPr>
            </w:pPr>
            <w:r>
              <w:rPr>
                <w:color w:val="231F20"/>
                <w:sz w:val="15"/>
              </w:rPr>
              <w:t>Major cardiac signs, such </w:t>
            </w:r>
            <w:r>
              <w:rPr>
                <w:color w:val="231F20"/>
                <w:spacing w:val="-4"/>
                <w:sz w:val="15"/>
              </w:rPr>
              <w:t>as</w:t>
            </w:r>
            <w:r>
              <w:rPr>
                <w:color w:val="231F20"/>
                <w:spacing w:val="-8"/>
                <w:sz w:val="15"/>
              </w:rPr>
              <w:t> </w:t>
            </w:r>
            <w:r>
              <w:rPr>
                <w:color w:val="231F20"/>
                <w:spacing w:val="-4"/>
                <w:sz w:val="15"/>
              </w:rPr>
              <w:t>atrioventricular</w:t>
            </w:r>
            <w:r>
              <w:rPr>
                <w:color w:val="231F20"/>
                <w:spacing w:val="-7"/>
                <w:sz w:val="15"/>
              </w:rPr>
              <w:t> </w:t>
            </w:r>
            <w:r>
              <w:rPr>
                <w:color w:val="231F20"/>
                <w:spacing w:val="-4"/>
                <w:sz w:val="15"/>
              </w:rPr>
              <w:t>block, </w:t>
            </w:r>
            <w:r>
              <w:rPr>
                <w:color w:val="231F20"/>
                <w:sz w:val="15"/>
              </w:rPr>
              <w:t>can be the presenting symptom or occur within a decade of</w:t>
            </w:r>
            <w:r>
              <w:rPr>
                <w:color w:val="231F20"/>
                <w:spacing w:val="40"/>
                <w:sz w:val="15"/>
              </w:rPr>
              <w:t> </w:t>
            </w:r>
            <w:r>
              <w:rPr>
                <w:color w:val="231F20"/>
                <w:sz w:val="15"/>
              </w:rPr>
              <w:t>onset of muscle </w:t>
            </w:r>
            <w:r>
              <w:rPr>
                <w:color w:val="231F20"/>
                <w:spacing w:val="-2"/>
                <w:sz w:val="15"/>
              </w:rPr>
              <w:t>weakness</w:t>
            </w:r>
          </w:p>
        </w:tc>
        <w:tc>
          <w:tcPr>
            <w:tcW w:w="1998"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40" w:right="141" w:hanging="112"/>
              <w:rPr>
                <w:sz w:val="15"/>
              </w:rPr>
            </w:pPr>
            <w:r>
              <w:rPr>
                <w:color w:val="231F20"/>
                <w:sz w:val="15"/>
              </w:rPr>
              <w:t>Typically by cardiac failure. Cardiac </w:t>
            </w:r>
            <w:r>
              <w:rPr>
                <w:color w:val="231F20"/>
                <w:spacing w:val="-2"/>
                <w:sz w:val="15"/>
              </w:rPr>
              <w:t>transplants</w:t>
            </w:r>
            <w:r>
              <w:rPr>
                <w:color w:val="231F20"/>
                <w:spacing w:val="-10"/>
                <w:sz w:val="15"/>
              </w:rPr>
              <w:t> </w:t>
            </w:r>
            <w:r>
              <w:rPr>
                <w:color w:val="231F20"/>
                <w:spacing w:val="-2"/>
                <w:sz w:val="15"/>
              </w:rPr>
              <w:t>reported</w:t>
            </w:r>
          </w:p>
          <w:p>
            <w:pPr>
              <w:pStyle w:val="TableParagraph"/>
              <w:rPr>
                <w:i/>
                <w:sz w:val="15"/>
              </w:rPr>
            </w:pPr>
          </w:p>
          <w:p>
            <w:pPr>
              <w:pStyle w:val="TableParagraph"/>
              <w:rPr>
                <w:i/>
                <w:sz w:val="15"/>
              </w:rPr>
            </w:pPr>
          </w:p>
          <w:p>
            <w:pPr>
              <w:pStyle w:val="TableParagraph"/>
              <w:rPr>
                <w:i/>
                <w:sz w:val="15"/>
              </w:rPr>
            </w:pPr>
          </w:p>
          <w:p>
            <w:pPr>
              <w:pStyle w:val="TableParagraph"/>
              <w:spacing w:before="146"/>
              <w:rPr>
                <w:i/>
                <w:sz w:val="15"/>
              </w:rPr>
            </w:pPr>
          </w:p>
          <w:p>
            <w:pPr>
              <w:pStyle w:val="TableParagraph"/>
              <w:spacing w:line="230" w:lineRule="auto"/>
              <w:ind w:left="240" w:hanging="112"/>
              <w:rPr>
                <w:sz w:val="15"/>
              </w:rPr>
            </w:pPr>
            <w:r>
              <w:rPr>
                <w:color w:val="231F20"/>
                <w:spacing w:val="-2"/>
                <w:sz w:val="15"/>
              </w:rPr>
              <w:t>Cardiac</w:t>
            </w:r>
            <w:r>
              <w:rPr>
                <w:color w:val="231F20"/>
                <w:spacing w:val="-10"/>
                <w:sz w:val="15"/>
              </w:rPr>
              <w:t> </w:t>
            </w:r>
            <w:r>
              <w:rPr>
                <w:color w:val="231F20"/>
                <w:spacing w:val="-2"/>
                <w:sz w:val="15"/>
              </w:rPr>
              <w:t>failure.</w:t>
            </w:r>
            <w:r>
              <w:rPr>
                <w:color w:val="231F20"/>
                <w:spacing w:val="-9"/>
                <w:sz w:val="15"/>
              </w:rPr>
              <w:t> </w:t>
            </w:r>
            <w:r>
              <w:rPr>
                <w:color w:val="231F20"/>
                <w:spacing w:val="-2"/>
                <w:sz w:val="15"/>
              </w:rPr>
              <w:t>Cardiac </w:t>
            </w:r>
            <w:r>
              <w:rPr>
                <w:color w:val="231F20"/>
                <w:sz w:val="15"/>
              </w:rPr>
              <w:t>transplants reported</w:t>
            </w:r>
          </w:p>
          <w:p>
            <w:pPr>
              <w:pStyle w:val="TableParagraph"/>
              <w:rPr>
                <w:i/>
                <w:sz w:val="15"/>
              </w:rPr>
            </w:pPr>
          </w:p>
          <w:p>
            <w:pPr>
              <w:pStyle w:val="TableParagraph"/>
              <w:rPr>
                <w:i/>
                <w:sz w:val="15"/>
              </w:rPr>
            </w:pPr>
          </w:p>
          <w:p>
            <w:pPr>
              <w:pStyle w:val="TableParagraph"/>
              <w:spacing w:before="153"/>
              <w:rPr>
                <w:i/>
                <w:sz w:val="15"/>
              </w:rPr>
            </w:pPr>
          </w:p>
          <w:p>
            <w:pPr>
              <w:pStyle w:val="TableParagraph"/>
              <w:spacing w:line="230" w:lineRule="auto"/>
              <w:ind w:left="240" w:right="122" w:hanging="112"/>
              <w:rPr>
                <w:sz w:val="15"/>
              </w:rPr>
            </w:pPr>
            <w:r>
              <w:rPr>
                <w:color w:val="231F20"/>
                <w:sz w:val="15"/>
              </w:rPr>
              <w:t>Life-threatening cardiac complications</w:t>
            </w:r>
            <w:r>
              <w:rPr>
                <w:color w:val="231F20"/>
                <w:spacing w:val="-12"/>
                <w:sz w:val="15"/>
              </w:rPr>
              <w:t> </w:t>
            </w:r>
            <w:r>
              <w:rPr>
                <w:color w:val="231F20"/>
                <w:sz w:val="15"/>
              </w:rPr>
              <w:t>in</w:t>
            </w:r>
            <w:r>
              <w:rPr>
                <w:color w:val="231F20"/>
                <w:spacing w:val="-11"/>
                <w:sz w:val="15"/>
              </w:rPr>
              <w:t> </w:t>
            </w:r>
            <w:r>
              <w:rPr>
                <w:color w:val="231F20"/>
                <w:sz w:val="15"/>
              </w:rPr>
              <w:t>roughly 50% of patients, at a mean age of 40 yr, including</w:t>
            </w:r>
            <w:r>
              <w:rPr>
                <w:color w:val="231F20"/>
                <w:spacing w:val="-9"/>
                <w:sz w:val="15"/>
              </w:rPr>
              <w:t> </w:t>
            </w:r>
            <w:r>
              <w:rPr>
                <w:color w:val="231F20"/>
                <w:sz w:val="15"/>
              </w:rPr>
              <w:t>sudden</w:t>
            </w:r>
            <w:r>
              <w:rPr>
                <w:color w:val="231F20"/>
                <w:spacing w:val="-9"/>
                <w:sz w:val="15"/>
              </w:rPr>
              <w:t> </w:t>
            </w:r>
            <w:r>
              <w:rPr>
                <w:color w:val="231F20"/>
                <w:sz w:val="15"/>
              </w:rPr>
              <w:t>death, end-stage</w:t>
            </w:r>
            <w:r>
              <w:rPr>
                <w:color w:val="231F20"/>
                <w:spacing w:val="-6"/>
                <w:sz w:val="15"/>
              </w:rPr>
              <w:t> </w:t>
            </w:r>
            <w:r>
              <w:rPr>
                <w:color w:val="231F20"/>
                <w:sz w:val="15"/>
              </w:rPr>
              <w:t>heart</w:t>
            </w:r>
            <w:r>
              <w:rPr>
                <w:color w:val="231F20"/>
                <w:spacing w:val="-6"/>
                <w:sz w:val="15"/>
              </w:rPr>
              <w:t> </w:t>
            </w:r>
            <w:r>
              <w:rPr>
                <w:color w:val="231F20"/>
                <w:sz w:val="15"/>
              </w:rPr>
              <w:t>failure, atrioventricular block, and syncope</w:t>
            </w:r>
          </w:p>
        </w:tc>
        <w:tc>
          <w:tcPr>
            <w:tcW w:w="1981" w:type="dxa"/>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40" w:right="102"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p>
            <w:pPr>
              <w:pStyle w:val="TableParagraph"/>
              <w:rPr>
                <w:i/>
                <w:sz w:val="15"/>
              </w:rPr>
            </w:pPr>
          </w:p>
          <w:p>
            <w:pPr>
              <w:pStyle w:val="TableParagraph"/>
              <w:rPr>
                <w:i/>
                <w:sz w:val="15"/>
              </w:rPr>
            </w:pPr>
          </w:p>
          <w:p>
            <w:pPr>
              <w:pStyle w:val="TableParagraph"/>
              <w:spacing w:before="153"/>
              <w:rPr>
                <w:i/>
                <w:sz w:val="15"/>
              </w:rPr>
            </w:pPr>
          </w:p>
          <w:p>
            <w:pPr>
              <w:pStyle w:val="TableParagraph"/>
              <w:spacing w:line="230" w:lineRule="auto"/>
              <w:ind w:left="241" w:right="102"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p>
            <w:pPr>
              <w:pStyle w:val="TableParagraph"/>
              <w:spacing w:before="166"/>
              <w:rPr>
                <w:i/>
                <w:sz w:val="15"/>
              </w:rPr>
            </w:pPr>
          </w:p>
          <w:p>
            <w:pPr>
              <w:pStyle w:val="TableParagraph"/>
              <w:spacing w:line="230" w:lineRule="auto" w:before="1"/>
              <w:ind w:left="241" w:right="102"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tc>
      </w:tr>
    </w:tbl>
    <w:p>
      <w:pPr>
        <w:pStyle w:val="Heading7"/>
        <w:spacing w:before="57"/>
        <w:ind w:right="343"/>
        <w:rPr>
          <w:rFonts w:ascii="Trebuchet MS"/>
        </w:rPr>
      </w:pPr>
      <w:r>
        <w:rPr>
          <w:rFonts w:ascii="Trebuchet MS"/>
          <w:color w:val="231F20"/>
          <w:spacing w:val="-2"/>
        </w:rPr>
        <w:t>Continued</w:t>
      </w:r>
    </w:p>
    <w:p>
      <w:pPr>
        <w:pStyle w:val="Heading7"/>
        <w:spacing w:after="0"/>
        <w:rPr>
          <w:rFonts w:ascii="Trebuchet MS"/>
        </w:rPr>
        <w:sectPr>
          <w:headerReference w:type="default" r:id="rId311"/>
          <w:pgSz w:w="11900" w:h="16840"/>
          <w:pgMar w:header="452" w:footer="0" w:top="1180" w:bottom="280" w:left="708" w:right="566"/>
          <w:pgNumType w:start="533"/>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018" name="Group 1018"/>
                <wp:cNvGraphicFramePr>
                  <a:graphicFrameLocks/>
                </wp:cNvGraphicFramePr>
                <a:graphic>
                  <a:graphicData uri="http://schemas.microsoft.com/office/word/2010/wordprocessingGroup">
                    <wpg:wgp>
                      <wpg:cNvPr id="1018" name="Group 1018"/>
                      <wpg:cNvGrpSpPr/>
                      <wpg:grpSpPr>
                        <a:xfrm>
                          <a:off x="0" y="0"/>
                          <a:ext cx="6185535" cy="170815"/>
                          <a:chExt cx="6185535" cy="170815"/>
                        </a:xfrm>
                      </wpg:grpSpPr>
                      <wps:wsp>
                        <wps:cNvPr id="1019" name="Graphic 1019"/>
                        <wps:cNvSpPr/>
                        <wps:spPr>
                          <a:xfrm>
                            <a:off x="6161574"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20" name="Graphic 1020"/>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21" name="Textbox 1021"/>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2970</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21" coordorigin="0,0" coordsize="9741,269">
                <v:line style="position:absolute" from="9703,145" to="9741,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22" filled="false" stroked="false">
                  <v:textbox inset="0,0,0,0">
                    <w:txbxContent>
                      <w:p>
                        <w:pPr>
                          <w:spacing w:before="6"/>
                          <w:ind w:left="-1" w:right="0" w:firstLine="0"/>
                          <w:jc w:val="left"/>
                          <w:rPr>
                            <w:sz w:val="18"/>
                          </w:rPr>
                        </w:pPr>
                        <w:r>
                          <w:rPr>
                            <w:b/>
                            <w:color w:val="231F20"/>
                            <w:w w:val="105"/>
                            <w:sz w:val="18"/>
                          </w:rPr>
                          <w:t>2970</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v:group>
            </w:pict>
          </mc:Fallback>
        </mc:AlternateContent>
      </w:r>
      <w:r>
        <w:rPr>
          <w:sz w:val="20"/>
        </w:rPr>
      </w:r>
    </w:p>
    <w:p>
      <w:pPr>
        <w:pStyle w:val="BodyText"/>
        <w:spacing w:before="11"/>
        <w:rPr>
          <w:i/>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2568"/>
        <w:gridCol w:w="1920"/>
        <w:gridCol w:w="2016"/>
        <w:gridCol w:w="2181"/>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608-</w:t>
            </w:r>
            <w:r>
              <w:rPr>
                <w:b/>
                <w:color w:val="FFFFFF"/>
                <w:spacing w:val="-10"/>
                <w:w w:val="105"/>
                <w:sz w:val="16"/>
              </w:rPr>
              <w:t>3</w:t>
            </w:r>
          </w:p>
        </w:tc>
        <w:tc>
          <w:tcPr>
            <w:tcW w:w="8685" w:type="dxa"/>
            <w:gridSpan w:val="4"/>
            <w:tcBorders>
              <w:left w:val="single" w:sz="8" w:space="0" w:color="FFFFFF"/>
            </w:tcBorders>
            <w:shd w:val="clear" w:color="auto" w:fill="231F20"/>
          </w:tcPr>
          <w:p>
            <w:pPr>
              <w:pStyle w:val="TableParagraph"/>
              <w:spacing w:before="89"/>
              <w:ind w:left="73"/>
              <w:rPr>
                <w:sz w:val="16"/>
              </w:rPr>
            </w:pPr>
            <w:r>
              <w:rPr>
                <w:color w:val="FFFFFF"/>
                <w:w w:val="105"/>
                <w:sz w:val="16"/>
              </w:rPr>
              <w:t>Cardiac</w:t>
            </w:r>
            <w:r>
              <w:rPr>
                <w:color w:val="FFFFFF"/>
                <w:spacing w:val="16"/>
                <w:w w:val="105"/>
                <w:sz w:val="16"/>
              </w:rPr>
              <w:t> </w:t>
            </w:r>
            <w:r>
              <w:rPr>
                <w:color w:val="FFFFFF"/>
                <w:w w:val="105"/>
                <w:sz w:val="16"/>
              </w:rPr>
              <w:t>Involvement</w:t>
            </w:r>
            <w:r>
              <w:rPr>
                <w:color w:val="FFFFFF"/>
                <w:spacing w:val="16"/>
                <w:w w:val="105"/>
                <w:sz w:val="16"/>
              </w:rPr>
              <w:t> </w:t>
            </w:r>
            <w:r>
              <w:rPr>
                <w:color w:val="FFFFFF"/>
                <w:w w:val="105"/>
                <w:sz w:val="16"/>
              </w:rPr>
              <w:t>in</w:t>
            </w:r>
            <w:r>
              <w:rPr>
                <w:color w:val="FFFFFF"/>
                <w:spacing w:val="16"/>
                <w:w w:val="105"/>
                <w:sz w:val="16"/>
              </w:rPr>
              <w:t> </w:t>
            </w:r>
            <w:r>
              <w:rPr>
                <w:color w:val="FFFFFF"/>
                <w:w w:val="105"/>
                <w:sz w:val="16"/>
              </w:rPr>
              <w:t>Muscular</w:t>
            </w:r>
            <w:r>
              <w:rPr>
                <w:color w:val="FFFFFF"/>
                <w:spacing w:val="16"/>
                <w:w w:val="105"/>
                <w:sz w:val="16"/>
              </w:rPr>
              <w:t> </w:t>
            </w:r>
            <w:r>
              <w:rPr>
                <w:color w:val="FFFFFF"/>
                <w:w w:val="105"/>
                <w:sz w:val="16"/>
              </w:rPr>
              <w:t>Dystrophies—</w:t>
            </w:r>
            <w:r>
              <w:rPr>
                <w:color w:val="FFFFFF"/>
                <w:spacing w:val="-2"/>
                <w:w w:val="105"/>
                <w:sz w:val="16"/>
              </w:rPr>
              <w:t>cont’d</w:t>
            </w:r>
          </w:p>
        </w:tc>
      </w:tr>
      <w:tr>
        <w:trPr>
          <w:trHeight w:val="444" w:hRule="atLeast"/>
        </w:trPr>
        <w:tc>
          <w:tcPr>
            <w:tcW w:w="3716" w:type="dxa"/>
            <w:gridSpan w:val="2"/>
            <w:tcBorders>
              <w:bottom w:val="single" w:sz="4" w:space="0" w:color="231F20"/>
            </w:tcBorders>
            <w:shd w:val="clear" w:color="auto" w:fill="E8F5F1"/>
          </w:tcPr>
          <w:p>
            <w:pPr>
              <w:pStyle w:val="TableParagraph"/>
              <w:spacing w:line="230" w:lineRule="auto" w:before="71"/>
              <w:ind w:left="2531" w:right="273" w:hanging="456"/>
              <w:rPr>
                <w:b/>
                <w:sz w:val="15"/>
              </w:rPr>
            </w:pPr>
            <w:r>
              <w:rPr>
                <w:b/>
                <w:color w:val="231F20"/>
                <w:w w:val="110"/>
                <w:sz w:val="15"/>
              </w:rPr>
              <w:t>ONSET</w:t>
            </w:r>
            <w:r>
              <w:rPr>
                <w:b/>
                <w:color w:val="231F20"/>
                <w:spacing w:val="-13"/>
                <w:w w:val="110"/>
                <w:sz w:val="15"/>
              </w:rPr>
              <w:t> </w:t>
            </w:r>
            <w:r>
              <w:rPr>
                <w:b/>
                <w:color w:val="231F20"/>
                <w:w w:val="110"/>
                <w:sz w:val="15"/>
              </w:rPr>
              <w:t>AND</w:t>
            </w:r>
            <w:r>
              <w:rPr>
                <w:b/>
                <w:color w:val="231F20"/>
                <w:spacing w:val="-12"/>
                <w:w w:val="110"/>
                <w:sz w:val="15"/>
              </w:rPr>
              <w:t> </w:t>
            </w:r>
            <w:r>
              <w:rPr>
                <w:b/>
                <w:color w:val="231F20"/>
                <w:w w:val="110"/>
                <w:sz w:val="15"/>
              </w:rPr>
              <w:t>FIRST </w:t>
            </w:r>
            <w:r>
              <w:rPr>
                <w:b/>
                <w:color w:val="231F20"/>
                <w:spacing w:val="-2"/>
                <w:w w:val="110"/>
                <w:sz w:val="15"/>
              </w:rPr>
              <w:t>SIGNS</w:t>
            </w:r>
          </w:p>
        </w:tc>
        <w:tc>
          <w:tcPr>
            <w:tcW w:w="1920" w:type="dxa"/>
            <w:tcBorders>
              <w:bottom w:val="single" w:sz="4" w:space="0" w:color="231F20"/>
            </w:tcBorders>
            <w:shd w:val="clear" w:color="auto" w:fill="E8F5F1"/>
          </w:tcPr>
          <w:p>
            <w:pPr>
              <w:pStyle w:val="TableParagraph"/>
              <w:spacing w:before="59"/>
              <w:rPr>
                <w:i/>
                <w:sz w:val="15"/>
              </w:rPr>
            </w:pPr>
          </w:p>
          <w:p>
            <w:pPr>
              <w:pStyle w:val="TableParagraph"/>
              <w:ind w:left="501"/>
              <w:rPr>
                <w:b/>
                <w:sz w:val="15"/>
              </w:rPr>
            </w:pPr>
            <w:r>
              <w:rPr>
                <w:b/>
                <w:color w:val="231F20"/>
                <w:spacing w:val="-2"/>
                <w:w w:val="110"/>
                <w:sz w:val="15"/>
              </w:rPr>
              <w:t>PROGRESSION</w:t>
            </w:r>
          </w:p>
        </w:tc>
        <w:tc>
          <w:tcPr>
            <w:tcW w:w="2016" w:type="dxa"/>
            <w:tcBorders>
              <w:bottom w:val="single" w:sz="4" w:space="0" w:color="231F20"/>
            </w:tcBorders>
            <w:shd w:val="clear" w:color="auto" w:fill="E8F5F1"/>
          </w:tcPr>
          <w:p>
            <w:pPr>
              <w:pStyle w:val="TableParagraph"/>
              <w:spacing w:before="59"/>
              <w:rPr>
                <w:i/>
                <w:sz w:val="15"/>
              </w:rPr>
            </w:pPr>
          </w:p>
          <w:p>
            <w:pPr>
              <w:pStyle w:val="TableParagraph"/>
              <w:ind w:left="498"/>
              <w:rPr>
                <w:b/>
                <w:sz w:val="15"/>
              </w:rPr>
            </w:pPr>
            <w:r>
              <w:rPr>
                <w:b/>
                <w:color w:val="231F20"/>
                <w:w w:val="110"/>
                <w:sz w:val="15"/>
              </w:rPr>
              <w:t>CARDIAC</w:t>
            </w:r>
            <w:r>
              <w:rPr>
                <w:b/>
                <w:color w:val="231F20"/>
                <w:spacing w:val="14"/>
                <w:w w:val="110"/>
                <w:sz w:val="15"/>
              </w:rPr>
              <w:t> </w:t>
            </w:r>
            <w:r>
              <w:rPr>
                <w:b/>
                <w:color w:val="231F20"/>
                <w:spacing w:val="-2"/>
                <w:w w:val="110"/>
                <w:sz w:val="15"/>
              </w:rPr>
              <w:t>DEATH</w:t>
            </w:r>
          </w:p>
        </w:tc>
        <w:tc>
          <w:tcPr>
            <w:tcW w:w="2181" w:type="dxa"/>
            <w:tcBorders>
              <w:bottom w:val="single" w:sz="4" w:space="0" w:color="231F20"/>
            </w:tcBorders>
            <w:shd w:val="clear" w:color="auto" w:fill="E8F5F1"/>
          </w:tcPr>
          <w:p>
            <w:pPr>
              <w:pStyle w:val="TableParagraph"/>
              <w:spacing w:before="59"/>
              <w:rPr>
                <w:i/>
                <w:sz w:val="15"/>
              </w:rPr>
            </w:pPr>
          </w:p>
          <w:p>
            <w:pPr>
              <w:pStyle w:val="TableParagraph"/>
              <w:ind w:left="560"/>
              <w:rPr>
                <w:b/>
                <w:sz w:val="15"/>
              </w:rPr>
            </w:pPr>
            <w:r>
              <w:rPr>
                <w:b/>
                <w:color w:val="231F20"/>
                <w:spacing w:val="-2"/>
                <w:w w:val="110"/>
                <w:sz w:val="15"/>
              </w:rPr>
              <w:t>SURVEILLANCE</w:t>
            </w:r>
          </w:p>
        </w:tc>
      </w:tr>
      <w:tr>
        <w:trPr>
          <w:trHeight w:val="2142" w:hRule="atLeast"/>
        </w:trPr>
        <w:tc>
          <w:tcPr>
            <w:tcW w:w="3716" w:type="dxa"/>
            <w:gridSpan w:val="2"/>
            <w:tcBorders>
              <w:top w:val="single" w:sz="4" w:space="0" w:color="231F20"/>
            </w:tcBorders>
            <w:shd w:val="clear" w:color="auto" w:fill="E8F5F1"/>
          </w:tcPr>
          <w:p>
            <w:pPr>
              <w:pStyle w:val="TableParagraph"/>
              <w:spacing w:line="172" w:lineRule="exact" w:before="43"/>
              <w:ind w:left="74"/>
              <w:rPr>
                <w:sz w:val="15"/>
              </w:rPr>
            </w:pPr>
            <w:r>
              <w:rPr>
                <w:color w:val="231F20"/>
                <w:w w:val="110"/>
                <w:sz w:val="15"/>
              </w:rPr>
              <w:t>CONGENITAL</w:t>
            </w:r>
            <w:r>
              <w:rPr>
                <w:color w:val="231F20"/>
                <w:spacing w:val="23"/>
                <w:w w:val="110"/>
                <w:sz w:val="15"/>
              </w:rPr>
              <w:t> </w:t>
            </w:r>
            <w:r>
              <w:rPr>
                <w:color w:val="231F20"/>
                <w:w w:val="110"/>
                <w:sz w:val="15"/>
              </w:rPr>
              <w:t>MUSCULAR</w:t>
            </w:r>
            <w:r>
              <w:rPr>
                <w:color w:val="231F20"/>
                <w:spacing w:val="24"/>
                <w:w w:val="110"/>
                <w:sz w:val="15"/>
              </w:rPr>
              <w:t> </w:t>
            </w:r>
            <w:r>
              <w:rPr>
                <w:color w:val="231F20"/>
                <w:spacing w:val="-2"/>
                <w:w w:val="110"/>
                <w:sz w:val="15"/>
              </w:rPr>
              <w:t>DYSTROPHY</w:t>
            </w:r>
          </w:p>
          <w:p>
            <w:pPr>
              <w:pStyle w:val="TableParagraph"/>
              <w:tabs>
                <w:tab w:pos="1884" w:val="left" w:leader="none"/>
                <w:tab w:pos="1996" w:val="left" w:leader="none"/>
              </w:tabs>
              <w:spacing w:line="230" w:lineRule="auto" w:before="3"/>
              <w:ind w:left="335" w:right="170" w:hanging="112"/>
              <w:rPr>
                <w:sz w:val="15"/>
              </w:rPr>
            </w:pPr>
            <w:r>
              <w:rPr>
                <w:color w:val="231F20"/>
                <w:sz w:val="15"/>
              </w:rPr>
              <w:t>Congenital muscular</w:t>
              <w:tab/>
              <w:t>Occasional reports of dystrophy merosin</w:t>
              <w:tab/>
              <w:tab/>
            </w:r>
            <w:r>
              <w:rPr>
                <w:color w:val="231F20"/>
                <w:spacing w:val="-4"/>
                <w:sz w:val="15"/>
              </w:rPr>
              <w:t>reduced</w:t>
            </w:r>
            <w:r>
              <w:rPr>
                <w:color w:val="231F20"/>
                <w:spacing w:val="-8"/>
                <w:sz w:val="15"/>
              </w:rPr>
              <w:t> </w:t>
            </w:r>
            <w:r>
              <w:rPr>
                <w:color w:val="231F20"/>
                <w:spacing w:val="-4"/>
                <w:sz w:val="15"/>
              </w:rPr>
              <w:t>left</w:t>
            </w:r>
            <w:r>
              <w:rPr>
                <w:color w:val="231F20"/>
                <w:spacing w:val="-7"/>
                <w:sz w:val="15"/>
              </w:rPr>
              <w:t> </w:t>
            </w:r>
            <w:r>
              <w:rPr>
                <w:color w:val="231F20"/>
                <w:spacing w:val="-4"/>
                <w:sz w:val="15"/>
              </w:rPr>
              <w:t>ventricular </w:t>
            </w:r>
            <w:r>
              <w:rPr>
                <w:color w:val="231F20"/>
                <w:sz w:val="15"/>
              </w:rPr>
              <w:t>muscular dystrophy</w:t>
              <w:tab/>
              <w:tab/>
              <w:t>systolic function</w:t>
            </w:r>
          </w:p>
          <w:p>
            <w:pPr>
              <w:pStyle w:val="TableParagraph"/>
              <w:spacing w:line="168" w:lineRule="exact"/>
              <w:ind w:left="335"/>
              <w:rPr>
                <w:sz w:val="15"/>
              </w:rPr>
            </w:pPr>
            <w:r>
              <w:rPr>
                <w:color w:val="231F20"/>
                <w:sz w:val="15"/>
              </w:rPr>
              <w:t>type</w:t>
            </w:r>
            <w:r>
              <w:rPr>
                <w:color w:val="231F20"/>
                <w:spacing w:val="-5"/>
                <w:sz w:val="15"/>
              </w:rPr>
              <w:t> C1A</w:t>
            </w:r>
          </w:p>
          <w:p>
            <w:pPr>
              <w:pStyle w:val="TableParagraph"/>
              <w:tabs>
                <w:tab w:pos="1884" w:val="left" w:leader="none"/>
              </w:tabs>
              <w:spacing w:line="169" w:lineRule="exact"/>
              <w:ind w:left="223"/>
              <w:rPr>
                <w:sz w:val="15"/>
              </w:rPr>
            </w:pPr>
            <w:r>
              <w:rPr>
                <w:color w:val="231F20"/>
                <w:spacing w:val="-2"/>
                <w:sz w:val="15"/>
              </w:rPr>
              <w:t>Fukuyama</w:t>
            </w:r>
            <w:r>
              <w:rPr>
                <w:color w:val="231F20"/>
                <w:sz w:val="15"/>
              </w:rPr>
              <w:tab/>
            </w:r>
            <w:r>
              <w:rPr>
                <w:color w:val="231F20"/>
                <w:spacing w:val="-4"/>
                <w:sz w:val="15"/>
              </w:rPr>
              <w:t>Systolic</w:t>
            </w:r>
            <w:r>
              <w:rPr>
                <w:color w:val="231F20"/>
                <w:spacing w:val="14"/>
                <w:sz w:val="15"/>
              </w:rPr>
              <w:t> </w:t>
            </w:r>
            <w:r>
              <w:rPr>
                <w:color w:val="231F20"/>
                <w:spacing w:val="-4"/>
                <w:sz w:val="15"/>
              </w:rPr>
              <w:t>left-ventricular</w:t>
            </w:r>
          </w:p>
          <w:p>
            <w:pPr>
              <w:pStyle w:val="TableParagraph"/>
              <w:tabs>
                <w:tab w:pos="1996" w:val="left" w:leader="none"/>
              </w:tabs>
              <w:spacing w:line="230" w:lineRule="auto" w:before="3"/>
              <w:ind w:left="335" w:right="449"/>
              <w:rPr>
                <w:sz w:val="15"/>
              </w:rPr>
            </w:pPr>
            <w:r>
              <w:rPr>
                <w:color w:val="231F20"/>
                <w:spacing w:val="-2"/>
                <w:sz w:val="15"/>
              </w:rPr>
              <w:t>congenital</w:t>
            </w:r>
            <w:r>
              <w:rPr>
                <w:color w:val="231F20"/>
                <w:sz w:val="15"/>
              </w:rPr>
              <w:tab/>
              <w:t>dysfunction may muscular dystrophy</w:t>
              <w:tab/>
              <w:t>develop</w:t>
            </w:r>
            <w:r>
              <w:rPr>
                <w:color w:val="231F20"/>
                <w:spacing w:val="-9"/>
                <w:sz w:val="15"/>
              </w:rPr>
              <w:t> </w:t>
            </w:r>
            <w:r>
              <w:rPr>
                <w:color w:val="231F20"/>
                <w:sz w:val="15"/>
              </w:rPr>
              <w:t>in</w:t>
            </w:r>
            <w:r>
              <w:rPr>
                <w:color w:val="231F20"/>
                <w:spacing w:val="-9"/>
                <w:sz w:val="15"/>
              </w:rPr>
              <w:t> </w:t>
            </w:r>
            <w:r>
              <w:rPr>
                <w:color w:val="231F20"/>
                <w:sz w:val="15"/>
              </w:rPr>
              <w:t>the</w:t>
            </w:r>
            <w:r>
              <w:rPr>
                <w:color w:val="231F20"/>
                <w:spacing w:val="-9"/>
                <w:sz w:val="15"/>
              </w:rPr>
              <w:t> </w:t>
            </w:r>
            <w:r>
              <w:rPr>
                <w:color w:val="231F20"/>
                <w:sz w:val="15"/>
              </w:rPr>
              <w:t>2nd</w:t>
            </w:r>
          </w:p>
          <w:p>
            <w:pPr>
              <w:pStyle w:val="TableParagraph"/>
              <w:spacing w:line="168" w:lineRule="exact"/>
              <w:ind w:left="1996"/>
              <w:rPr>
                <w:sz w:val="15"/>
              </w:rPr>
            </w:pPr>
            <w:r>
              <w:rPr>
                <w:color w:val="231F20"/>
                <w:spacing w:val="-2"/>
                <w:sz w:val="15"/>
              </w:rPr>
              <w:t>decade</w:t>
            </w:r>
          </w:p>
          <w:p>
            <w:pPr>
              <w:pStyle w:val="TableParagraph"/>
              <w:tabs>
                <w:tab w:pos="1884" w:val="left" w:leader="none"/>
                <w:tab w:pos="1996" w:val="left" w:leader="none"/>
              </w:tabs>
              <w:spacing w:line="230" w:lineRule="auto" w:before="3"/>
              <w:ind w:left="335" w:right="228" w:hanging="112"/>
              <w:rPr>
                <w:sz w:val="15"/>
              </w:rPr>
            </w:pPr>
            <w:r>
              <w:rPr>
                <w:color w:val="231F20"/>
                <w:sz w:val="15"/>
              </w:rPr>
              <w:t>Muscular dystrophy</w:t>
              <w:tab/>
              <w:t>Dilated</w:t>
            </w:r>
            <w:r>
              <w:rPr>
                <w:color w:val="231F20"/>
                <w:spacing w:val="-12"/>
                <w:sz w:val="15"/>
              </w:rPr>
              <w:t> </w:t>
            </w:r>
            <w:r>
              <w:rPr>
                <w:color w:val="231F20"/>
                <w:sz w:val="15"/>
              </w:rPr>
              <w:t>cardiomyopathy type C1C</w:t>
              <w:tab/>
              <w:tab/>
              <w:t>reported in young</w:t>
            </w:r>
          </w:p>
          <w:p>
            <w:pPr>
              <w:pStyle w:val="TableParagraph"/>
              <w:spacing w:line="170" w:lineRule="exact"/>
              <w:ind w:left="1996"/>
              <w:rPr>
                <w:sz w:val="15"/>
              </w:rPr>
            </w:pPr>
            <w:r>
              <w:rPr>
                <w:color w:val="231F20"/>
                <w:spacing w:val="-2"/>
                <w:sz w:val="15"/>
              </w:rPr>
              <w:t>children</w:t>
            </w:r>
          </w:p>
        </w:tc>
        <w:tc>
          <w:tcPr>
            <w:tcW w:w="1920" w:type="dxa"/>
            <w:vMerge w:val="restart"/>
            <w:tcBorders>
              <w:top w:val="single" w:sz="4" w:space="0" w:color="231F20"/>
              <w:bottom w:val="single" w:sz="8" w:space="0" w:color="231F20"/>
            </w:tcBorders>
            <w:shd w:val="clear" w:color="auto" w:fill="E8F5F1"/>
          </w:tcPr>
          <w:p>
            <w:pPr>
              <w:pStyle w:val="TableParagraph"/>
              <w:spacing w:before="38"/>
              <w:rPr>
                <w:i/>
                <w:sz w:val="15"/>
              </w:rPr>
            </w:pPr>
          </w:p>
          <w:p>
            <w:pPr>
              <w:pStyle w:val="TableParagraph"/>
              <w:ind w:left="169"/>
              <w:rPr>
                <w:sz w:val="15"/>
              </w:rPr>
            </w:pPr>
            <w:r>
              <w:rPr>
                <w:color w:val="231F20"/>
                <w:sz w:val="15"/>
              </w:rPr>
              <w:t>Not</w:t>
            </w:r>
            <w:r>
              <w:rPr>
                <w:color w:val="231F20"/>
                <w:spacing w:val="-3"/>
                <w:sz w:val="15"/>
              </w:rPr>
              <w:t> </w:t>
            </w:r>
            <w:r>
              <w:rPr>
                <w:color w:val="231F20"/>
                <w:sz w:val="15"/>
              </w:rPr>
              <w:t>well</w:t>
            </w:r>
            <w:r>
              <w:rPr>
                <w:color w:val="231F20"/>
                <w:spacing w:val="-2"/>
                <w:sz w:val="15"/>
              </w:rPr>
              <w:t> characterized</w:t>
            </w:r>
          </w:p>
          <w:p>
            <w:pPr>
              <w:pStyle w:val="TableParagraph"/>
              <w:rPr>
                <w:i/>
                <w:sz w:val="15"/>
              </w:rPr>
            </w:pPr>
          </w:p>
          <w:p>
            <w:pPr>
              <w:pStyle w:val="TableParagraph"/>
              <w:spacing w:before="156"/>
              <w:rPr>
                <w:i/>
                <w:sz w:val="15"/>
              </w:rPr>
            </w:pPr>
          </w:p>
          <w:p>
            <w:pPr>
              <w:pStyle w:val="TableParagraph"/>
              <w:spacing w:line="230" w:lineRule="auto"/>
              <w:ind w:left="281" w:hanging="112"/>
              <w:rPr>
                <w:sz w:val="15"/>
              </w:rPr>
            </w:pPr>
            <w:r>
              <w:rPr>
                <w:color w:val="231F20"/>
                <w:spacing w:val="-2"/>
                <w:sz w:val="15"/>
              </w:rPr>
              <w:t>Symptomatic</w:t>
            </w:r>
            <w:r>
              <w:rPr>
                <w:color w:val="231F20"/>
                <w:spacing w:val="-10"/>
                <w:sz w:val="15"/>
              </w:rPr>
              <w:t> </w:t>
            </w:r>
            <w:r>
              <w:rPr>
                <w:color w:val="231F20"/>
                <w:spacing w:val="-2"/>
                <w:sz w:val="15"/>
              </w:rPr>
              <w:t>cardiac </w:t>
            </w:r>
            <w:r>
              <w:rPr>
                <w:color w:val="231F20"/>
                <w:sz w:val="15"/>
              </w:rPr>
              <w:t>failure over time</w:t>
            </w:r>
          </w:p>
          <w:p>
            <w:pPr>
              <w:pStyle w:val="TableParagraph"/>
              <w:spacing w:before="159"/>
              <w:rPr>
                <w:i/>
                <w:sz w:val="15"/>
              </w:rPr>
            </w:pPr>
          </w:p>
          <w:p>
            <w:pPr>
              <w:pStyle w:val="TableParagraph"/>
              <w:spacing w:before="1"/>
              <w:ind w:left="169"/>
              <w:rPr>
                <w:sz w:val="15"/>
              </w:rPr>
            </w:pPr>
            <w:r>
              <w:rPr>
                <w:color w:val="231F20"/>
                <w:sz w:val="15"/>
              </w:rPr>
              <w:t>Not</w:t>
            </w:r>
            <w:r>
              <w:rPr>
                <w:color w:val="231F20"/>
                <w:spacing w:val="-3"/>
                <w:sz w:val="15"/>
              </w:rPr>
              <w:t> </w:t>
            </w:r>
            <w:r>
              <w:rPr>
                <w:color w:val="231F20"/>
                <w:sz w:val="15"/>
              </w:rPr>
              <w:t>well</w:t>
            </w:r>
            <w:r>
              <w:rPr>
                <w:color w:val="231F20"/>
                <w:spacing w:val="-2"/>
                <w:sz w:val="15"/>
              </w:rPr>
              <w:t> characterized</w:t>
            </w:r>
          </w:p>
          <w:p>
            <w:pPr>
              <w:pStyle w:val="TableParagraph"/>
              <w:rPr>
                <w:i/>
                <w:sz w:val="15"/>
              </w:rPr>
            </w:pPr>
          </w:p>
          <w:p>
            <w:pPr>
              <w:pStyle w:val="TableParagraph"/>
              <w:spacing w:before="150"/>
              <w:rPr>
                <w:i/>
                <w:sz w:val="15"/>
              </w:rPr>
            </w:pPr>
          </w:p>
          <w:p>
            <w:pPr>
              <w:pStyle w:val="TableParagraph"/>
              <w:ind w:left="169"/>
              <w:rPr>
                <w:sz w:val="15"/>
              </w:rPr>
            </w:pPr>
            <w:r>
              <w:rPr>
                <w:color w:val="231F20"/>
                <w:sz w:val="15"/>
              </w:rPr>
              <w:t>Not</w:t>
            </w:r>
            <w:r>
              <w:rPr>
                <w:color w:val="231F20"/>
                <w:spacing w:val="-3"/>
                <w:sz w:val="15"/>
              </w:rPr>
              <w:t> </w:t>
            </w:r>
            <w:r>
              <w:rPr>
                <w:color w:val="231F20"/>
                <w:sz w:val="15"/>
              </w:rPr>
              <w:t>well</w:t>
            </w:r>
            <w:r>
              <w:rPr>
                <w:color w:val="231F20"/>
                <w:spacing w:val="-2"/>
                <w:sz w:val="15"/>
              </w:rPr>
              <w:t> characterized</w:t>
            </w:r>
          </w:p>
        </w:tc>
        <w:tc>
          <w:tcPr>
            <w:tcW w:w="2016" w:type="dxa"/>
            <w:tcBorders>
              <w:top w:val="single" w:sz="4" w:space="0" w:color="231F20"/>
            </w:tcBorders>
            <w:shd w:val="clear" w:color="auto" w:fill="E8F5F1"/>
          </w:tcPr>
          <w:p>
            <w:pPr>
              <w:pStyle w:val="TableParagraph"/>
              <w:spacing w:before="38"/>
              <w:rPr>
                <w:i/>
                <w:sz w:val="15"/>
              </w:rPr>
            </w:pPr>
          </w:p>
          <w:p>
            <w:pPr>
              <w:pStyle w:val="TableParagraph"/>
              <w:ind w:left="250"/>
              <w:rPr>
                <w:sz w:val="15"/>
              </w:rPr>
            </w:pPr>
            <w:r>
              <w:rPr>
                <w:color w:val="231F20"/>
                <w:sz w:val="15"/>
              </w:rPr>
              <w:t>Rare</w:t>
            </w:r>
            <w:r>
              <w:rPr>
                <w:color w:val="231F20"/>
                <w:spacing w:val="-9"/>
                <w:sz w:val="15"/>
              </w:rPr>
              <w:t> </w:t>
            </w:r>
            <w:r>
              <w:rPr>
                <w:color w:val="231F20"/>
                <w:sz w:val="15"/>
              </w:rPr>
              <w:t>by</w:t>
            </w:r>
            <w:r>
              <w:rPr>
                <w:color w:val="231F20"/>
                <w:spacing w:val="-8"/>
                <w:sz w:val="15"/>
              </w:rPr>
              <w:t> </w:t>
            </w:r>
            <w:r>
              <w:rPr>
                <w:color w:val="231F20"/>
                <w:sz w:val="15"/>
              </w:rPr>
              <w:t>cardiac</w:t>
            </w:r>
            <w:r>
              <w:rPr>
                <w:color w:val="231F20"/>
                <w:spacing w:val="-8"/>
                <w:sz w:val="15"/>
              </w:rPr>
              <w:t> </w:t>
            </w:r>
            <w:r>
              <w:rPr>
                <w:color w:val="231F20"/>
                <w:spacing w:val="-2"/>
                <w:sz w:val="15"/>
              </w:rPr>
              <w:t>failure</w:t>
            </w:r>
          </w:p>
          <w:p>
            <w:pPr>
              <w:pStyle w:val="TableParagraph"/>
              <w:rPr>
                <w:i/>
                <w:sz w:val="15"/>
              </w:rPr>
            </w:pPr>
          </w:p>
          <w:p>
            <w:pPr>
              <w:pStyle w:val="TableParagraph"/>
              <w:spacing w:before="156"/>
              <w:rPr>
                <w:i/>
                <w:sz w:val="15"/>
              </w:rPr>
            </w:pPr>
          </w:p>
          <w:p>
            <w:pPr>
              <w:pStyle w:val="TableParagraph"/>
              <w:spacing w:line="230" w:lineRule="auto"/>
              <w:ind w:left="362" w:right="214" w:hanging="112"/>
              <w:rPr>
                <w:sz w:val="15"/>
              </w:rPr>
            </w:pPr>
            <w:r>
              <w:rPr>
                <w:color w:val="231F20"/>
                <w:sz w:val="15"/>
              </w:rPr>
              <w:t>Death</w:t>
            </w:r>
            <w:r>
              <w:rPr>
                <w:color w:val="231F20"/>
                <w:spacing w:val="-12"/>
                <w:sz w:val="15"/>
              </w:rPr>
              <w:t> </w:t>
            </w:r>
            <w:r>
              <w:rPr>
                <w:color w:val="231F20"/>
                <w:sz w:val="15"/>
              </w:rPr>
              <w:t>from</w:t>
            </w:r>
            <w:r>
              <w:rPr>
                <w:color w:val="231F20"/>
                <w:spacing w:val="-11"/>
                <w:sz w:val="15"/>
              </w:rPr>
              <w:t> </w:t>
            </w:r>
            <w:r>
              <w:rPr>
                <w:color w:val="231F20"/>
                <w:sz w:val="15"/>
              </w:rPr>
              <w:t>congestive heart failure might occur by the age of 20 yr</w:t>
            </w:r>
          </w:p>
          <w:p>
            <w:pPr>
              <w:pStyle w:val="TableParagraph"/>
              <w:spacing w:line="173" w:lineRule="exact"/>
              <w:ind w:left="250"/>
              <w:rPr>
                <w:sz w:val="15"/>
              </w:rPr>
            </w:pPr>
            <w:r>
              <w:rPr>
                <w:color w:val="231F20"/>
                <w:sz w:val="15"/>
              </w:rPr>
              <w:t>Not</w:t>
            </w:r>
            <w:r>
              <w:rPr>
                <w:color w:val="231F20"/>
                <w:spacing w:val="17"/>
                <w:sz w:val="15"/>
              </w:rPr>
              <w:t> </w:t>
            </w:r>
            <w:r>
              <w:rPr>
                <w:color w:val="231F20"/>
                <w:spacing w:val="-2"/>
                <w:sz w:val="15"/>
              </w:rPr>
              <w:t>reported</w:t>
            </w:r>
          </w:p>
        </w:tc>
        <w:tc>
          <w:tcPr>
            <w:tcW w:w="2181" w:type="dxa"/>
            <w:vMerge w:val="restart"/>
            <w:tcBorders>
              <w:top w:val="single" w:sz="4" w:space="0" w:color="231F20"/>
              <w:bottom w:val="single" w:sz="8" w:space="0" w:color="231F20"/>
            </w:tcBorders>
            <w:shd w:val="clear" w:color="auto" w:fill="E8F5F1"/>
          </w:tcPr>
          <w:p>
            <w:pPr>
              <w:pStyle w:val="TableParagraph"/>
              <w:spacing w:before="44"/>
              <w:rPr>
                <w:i/>
                <w:sz w:val="15"/>
              </w:rPr>
            </w:pPr>
          </w:p>
          <w:p>
            <w:pPr>
              <w:pStyle w:val="TableParagraph"/>
              <w:spacing w:line="230" w:lineRule="auto"/>
              <w:ind w:left="345" w:right="115"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p>
            <w:pPr>
              <w:pStyle w:val="TableParagraph"/>
              <w:spacing w:line="230" w:lineRule="auto" w:before="4"/>
              <w:ind w:left="345" w:right="115"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p>
            <w:pPr>
              <w:pStyle w:val="TableParagraph"/>
              <w:spacing w:line="230" w:lineRule="auto" w:before="5"/>
              <w:ind w:left="345" w:right="115"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p>
            <w:pPr>
              <w:pStyle w:val="TableParagraph"/>
              <w:spacing w:line="230" w:lineRule="auto" w:before="4"/>
              <w:ind w:left="345" w:right="115" w:hanging="112"/>
              <w:rPr>
                <w:sz w:val="15"/>
              </w:rPr>
            </w:pPr>
            <w:r>
              <w:rPr>
                <w:color w:val="231F20"/>
                <w:sz w:val="15"/>
              </w:rPr>
              <w:t>No evidence-based </w:t>
            </w:r>
            <w:r>
              <w:rPr>
                <w:color w:val="231F20"/>
                <w:spacing w:val="-2"/>
                <w:sz w:val="15"/>
              </w:rPr>
              <w:t>standards</w:t>
            </w:r>
            <w:r>
              <w:rPr>
                <w:color w:val="231F20"/>
                <w:spacing w:val="-10"/>
                <w:sz w:val="15"/>
              </w:rPr>
              <w:t> </w:t>
            </w:r>
            <w:r>
              <w:rPr>
                <w:color w:val="231F20"/>
                <w:spacing w:val="-2"/>
                <w:sz w:val="15"/>
              </w:rPr>
              <w:t>of</w:t>
            </w:r>
            <w:r>
              <w:rPr>
                <w:color w:val="231F20"/>
                <w:spacing w:val="-9"/>
                <w:sz w:val="15"/>
              </w:rPr>
              <w:t> </w:t>
            </w:r>
            <w:r>
              <w:rPr>
                <w:color w:val="231F20"/>
                <w:spacing w:val="-2"/>
                <w:sz w:val="15"/>
              </w:rPr>
              <w:t>care</w:t>
            </w:r>
            <w:r>
              <w:rPr>
                <w:color w:val="231F20"/>
                <w:spacing w:val="-9"/>
                <w:sz w:val="15"/>
              </w:rPr>
              <w:t> </w:t>
            </w:r>
            <w:r>
              <w:rPr>
                <w:color w:val="231F20"/>
                <w:spacing w:val="-2"/>
                <w:sz w:val="15"/>
              </w:rPr>
              <w:t>exist, </w:t>
            </w:r>
            <w:r>
              <w:rPr>
                <w:color w:val="231F20"/>
                <w:sz w:val="15"/>
              </w:rPr>
              <w:t>but</w:t>
            </w:r>
            <w:r>
              <w:rPr>
                <w:color w:val="231F20"/>
                <w:spacing w:val="-12"/>
                <w:sz w:val="15"/>
              </w:rPr>
              <w:t> </w:t>
            </w:r>
            <w:r>
              <w:rPr>
                <w:color w:val="231F20"/>
                <w:sz w:val="15"/>
              </w:rPr>
              <w:t>experts</w:t>
            </w:r>
            <w:r>
              <w:rPr>
                <w:color w:val="231F20"/>
                <w:spacing w:val="-11"/>
                <w:sz w:val="15"/>
              </w:rPr>
              <w:t> </w:t>
            </w:r>
            <w:r>
              <w:rPr>
                <w:color w:val="231F20"/>
                <w:sz w:val="15"/>
              </w:rPr>
              <w:t>have</w:t>
            </w:r>
            <w:r>
              <w:rPr>
                <w:color w:val="231F20"/>
                <w:spacing w:val="-11"/>
                <w:sz w:val="15"/>
              </w:rPr>
              <w:t> </w:t>
            </w:r>
            <w:r>
              <w:rPr>
                <w:color w:val="231F20"/>
                <w:sz w:val="15"/>
              </w:rPr>
              <w:t>made </w:t>
            </w:r>
            <w:r>
              <w:rPr>
                <w:color w:val="231F20"/>
                <w:spacing w:val="-2"/>
                <w:sz w:val="15"/>
              </w:rPr>
              <w:t>recommendations</w:t>
            </w:r>
          </w:p>
        </w:tc>
      </w:tr>
      <w:tr>
        <w:trPr>
          <w:trHeight w:val="778" w:hRule="atLeast"/>
        </w:trPr>
        <w:tc>
          <w:tcPr>
            <w:tcW w:w="3716" w:type="dxa"/>
            <w:gridSpan w:val="2"/>
            <w:tcBorders>
              <w:bottom w:val="single" w:sz="8" w:space="0" w:color="231F20"/>
            </w:tcBorders>
            <w:shd w:val="clear" w:color="auto" w:fill="E8F5F1"/>
          </w:tcPr>
          <w:p>
            <w:pPr>
              <w:pStyle w:val="TableParagraph"/>
              <w:tabs>
                <w:tab w:pos="1884" w:val="left" w:leader="none"/>
              </w:tabs>
              <w:spacing w:line="230" w:lineRule="auto" w:before="75"/>
              <w:ind w:left="335" w:right="1057" w:hanging="112"/>
              <w:rPr>
                <w:sz w:val="15"/>
              </w:rPr>
            </w:pPr>
            <w:r>
              <w:rPr>
                <w:color w:val="231F20"/>
                <w:spacing w:val="-2"/>
                <w:sz w:val="15"/>
              </w:rPr>
              <w:t>Facioscapulohumeral</w:t>
            </w:r>
            <w:r>
              <w:rPr>
                <w:color w:val="231F20"/>
                <w:sz w:val="15"/>
              </w:rPr>
              <w:tab/>
            </w:r>
            <w:r>
              <w:rPr>
                <w:color w:val="231F20"/>
                <w:spacing w:val="-2"/>
                <w:sz w:val="15"/>
              </w:rPr>
              <w:t>Uncommon </w:t>
            </w:r>
            <w:r>
              <w:rPr>
                <w:color w:val="231F20"/>
                <w:sz w:val="15"/>
              </w:rPr>
              <w:t>muscular dystrophy</w:t>
            </w:r>
          </w:p>
        </w:tc>
        <w:tc>
          <w:tcPr>
            <w:tcW w:w="1920" w:type="dxa"/>
            <w:vMerge/>
            <w:tcBorders>
              <w:top w:val="nil"/>
              <w:bottom w:val="single" w:sz="8" w:space="0" w:color="231F20"/>
            </w:tcBorders>
            <w:shd w:val="clear" w:color="auto" w:fill="E8F5F1"/>
          </w:tcPr>
          <w:p>
            <w:pPr>
              <w:rPr>
                <w:sz w:val="2"/>
                <w:szCs w:val="2"/>
              </w:rPr>
            </w:pPr>
          </w:p>
        </w:tc>
        <w:tc>
          <w:tcPr>
            <w:tcW w:w="2016" w:type="dxa"/>
            <w:tcBorders>
              <w:bottom w:val="single" w:sz="8" w:space="0" w:color="231F20"/>
            </w:tcBorders>
            <w:shd w:val="clear" w:color="auto" w:fill="E8F5F1"/>
          </w:tcPr>
          <w:p>
            <w:pPr>
              <w:pStyle w:val="TableParagraph"/>
              <w:spacing w:before="69"/>
              <w:ind w:left="250"/>
              <w:rPr>
                <w:sz w:val="15"/>
              </w:rPr>
            </w:pPr>
            <w:r>
              <w:rPr>
                <w:color w:val="231F20"/>
                <w:sz w:val="15"/>
              </w:rPr>
              <w:t>Not</w:t>
            </w:r>
            <w:r>
              <w:rPr>
                <w:color w:val="231F20"/>
                <w:spacing w:val="17"/>
                <w:sz w:val="15"/>
              </w:rPr>
              <w:t> </w:t>
            </w:r>
            <w:r>
              <w:rPr>
                <w:color w:val="231F20"/>
                <w:spacing w:val="-2"/>
                <w:sz w:val="15"/>
              </w:rPr>
              <w:t>reported</w:t>
            </w:r>
          </w:p>
        </w:tc>
        <w:tc>
          <w:tcPr>
            <w:tcW w:w="2181" w:type="dxa"/>
            <w:vMerge/>
            <w:tcBorders>
              <w:top w:val="nil"/>
              <w:bottom w:val="single" w:sz="8" w:space="0" w:color="231F20"/>
            </w:tcBorders>
            <w:shd w:val="clear" w:color="auto" w:fill="E8F5F1"/>
          </w:tcPr>
          <w:p>
            <w:pPr>
              <w:rPr>
                <w:sz w:val="2"/>
                <w:szCs w:val="2"/>
              </w:rPr>
            </w:pPr>
          </w:p>
        </w:tc>
      </w:tr>
    </w:tbl>
    <w:p>
      <w:pPr>
        <w:pStyle w:val="BodyText"/>
        <w:spacing w:line="150" w:lineRule="exact" w:before="75"/>
        <w:ind w:left="203"/>
      </w:pPr>
      <w:r>
        <w:rPr>
          <w:color w:val="231F20"/>
        </w:rPr>
        <w:t>ECG,</w:t>
      </w:r>
      <w:r>
        <w:rPr>
          <w:color w:val="231F20"/>
          <w:spacing w:val="20"/>
        </w:rPr>
        <w:t> </w:t>
      </w:r>
      <w:r>
        <w:rPr>
          <w:color w:val="231F20"/>
          <w:spacing w:val="-2"/>
        </w:rPr>
        <w:t>electrocardiogram.</w:t>
      </w:r>
    </w:p>
    <w:p>
      <w:pPr>
        <w:spacing w:line="150" w:lineRule="exact" w:before="0"/>
        <w:ind w:left="334" w:right="0" w:firstLine="0"/>
        <w:jc w:val="left"/>
        <w:rPr>
          <w:i/>
          <w:sz w:val="13"/>
        </w:rPr>
      </w:pPr>
      <w:r>
        <w:rPr>
          <w:i/>
          <w:color w:val="231F20"/>
          <w:sz w:val="13"/>
        </w:rPr>
        <w:t>From</w:t>
      </w:r>
      <w:r>
        <w:rPr>
          <w:i/>
          <w:color w:val="231F20"/>
          <w:spacing w:val="-7"/>
          <w:sz w:val="13"/>
        </w:rPr>
        <w:t> </w:t>
      </w:r>
      <w:r>
        <w:rPr>
          <w:i/>
          <w:color w:val="231F20"/>
          <w:sz w:val="13"/>
        </w:rPr>
        <w:t>Mercuri</w:t>
      </w:r>
      <w:r>
        <w:rPr>
          <w:i/>
          <w:color w:val="231F20"/>
          <w:spacing w:val="-7"/>
          <w:sz w:val="13"/>
        </w:rPr>
        <w:t> </w:t>
      </w:r>
      <w:r>
        <w:rPr>
          <w:i/>
          <w:color w:val="231F20"/>
          <w:sz w:val="13"/>
        </w:rPr>
        <w:t>E,</w:t>
      </w:r>
      <w:r>
        <w:rPr>
          <w:i/>
          <w:color w:val="231F20"/>
          <w:spacing w:val="-6"/>
          <w:sz w:val="13"/>
        </w:rPr>
        <w:t> </w:t>
      </w:r>
      <w:r>
        <w:rPr>
          <w:i/>
          <w:color w:val="231F20"/>
          <w:sz w:val="13"/>
        </w:rPr>
        <w:t>Muntoni</w:t>
      </w:r>
      <w:r>
        <w:rPr>
          <w:i/>
          <w:color w:val="231F20"/>
          <w:spacing w:val="-7"/>
          <w:sz w:val="13"/>
        </w:rPr>
        <w:t> </w:t>
      </w:r>
      <w:r>
        <w:rPr>
          <w:i/>
          <w:color w:val="231F20"/>
          <w:sz w:val="13"/>
        </w:rPr>
        <w:t>F:</w:t>
      </w:r>
      <w:r>
        <w:rPr>
          <w:i/>
          <w:color w:val="231F20"/>
          <w:spacing w:val="-6"/>
          <w:sz w:val="13"/>
        </w:rPr>
        <w:t> </w:t>
      </w:r>
      <w:r>
        <w:rPr>
          <w:i/>
          <w:color w:val="231F20"/>
          <w:sz w:val="13"/>
        </w:rPr>
        <w:t>Muscular</w:t>
      </w:r>
      <w:r>
        <w:rPr>
          <w:i/>
          <w:color w:val="231F20"/>
          <w:spacing w:val="-7"/>
          <w:sz w:val="13"/>
        </w:rPr>
        <w:t> </w:t>
      </w:r>
      <w:r>
        <w:rPr>
          <w:i/>
          <w:color w:val="231F20"/>
          <w:sz w:val="13"/>
        </w:rPr>
        <w:t>dystrophies.</w:t>
      </w:r>
      <w:r>
        <w:rPr>
          <w:i/>
          <w:color w:val="231F20"/>
          <w:spacing w:val="-6"/>
          <w:sz w:val="13"/>
        </w:rPr>
        <w:t> </w:t>
      </w:r>
      <w:r>
        <w:rPr>
          <w:color w:val="231F20"/>
          <w:sz w:val="13"/>
        </w:rPr>
        <w:t>Lancet</w:t>
      </w:r>
      <w:r>
        <w:rPr>
          <w:color w:val="231F20"/>
          <w:spacing w:val="-7"/>
          <w:sz w:val="13"/>
        </w:rPr>
        <w:t> </w:t>
      </w:r>
      <w:r>
        <w:rPr>
          <w:i/>
          <w:color w:val="231F20"/>
          <w:sz w:val="13"/>
        </w:rPr>
        <w:t>381:845–858,</w:t>
      </w:r>
      <w:r>
        <w:rPr>
          <w:i/>
          <w:color w:val="231F20"/>
          <w:spacing w:val="-6"/>
          <w:sz w:val="13"/>
        </w:rPr>
        <w:t> </w:t>
      </w:r>
      <w:r>
        <w:rPr>
          <w:i/>
          <w:color w:val="231F20"/>
          <w:sz w:val="13"/>
        </w:rPr>
        <w:t>2013,</w:t>
      </w:r>
      <w:r>
        <w:rPr>
          <w:i/>
          <w:color w:val="231F20"/>
          <w:spacing w:val="-7"/>
          <w:sz w:val="13"/>
        </w:rPr>
        <w:t> </w:t>
      </w:r>
      <w:r>
        <w:rPr>
          <w:i/>
          <w:color w:val="231F20"/>
          <w:sz w:val="13"/>
        </w:rPr>
        <w:t>Table</w:t>
      </w:r>
      <w:r>
        <w:rPr>
          <w:i/>
          <w:color w:val="231F20"/>
          <w:spacing w:val="-6"/>
          <w:sz w:val="13"/>
        </w:rPr>
        <w:t> </w:t>
      </w:r>
      <w:r>
        <w:rPr>
          <w:i/>
          <w:color w:val="231F20"/>
          <w:spacing w:val="-5"/>
          <w:sz w:val="13"/>
        </w:rPr>
        <w:t>3.</w:t>
      </w:r>
    </w:p>
    <w:p>
      <w:pPr>
        <w:pStyle w:val="BodyText"/>
        <w:spacing w:before="34"/>
        <w:rPr>
          <w:i/>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2"/>
        <w:gridCol w:w="1430"/>
        <w:gridCol w:w="2400"/>
        <w:gridCol w:w="1732"/>
        <w:gridCol w:w="1479"/>
        <w:gridCol w:w="1598"/>
      </w:tblGrid>
      <w:tr>
        <w:trPr>
          <w:trHeight w:val="353" w:hRule="atLeast"/>
        </w:trPr>
        <w:tc>
          <w:tcPr>
            <w:tcW w:w="1192" w:type="dxa"/>
            <w:tcBorders>
              <w:bottom w:val="single" w:sz="8" w:space="0" w:color="FFFFFF"/>
              <w:right w:val="single" w:sz="8" w:space="0" w:color="FFFFFF"/>
            </w:tcBorders>
            <w:shd w:val="clear" w:color="auto" w:fill="231F20"/>
          </w:tcPr>
          <w:p>
            <w:pPr>
              <w:pStyle w:val="TableParagraph"/>
              <w:spacing w:before="89"/>
              <w:ind w:left="156"/>
              <w:rPr>
                <w:b/>
                <w:sz w:val="16"/>
              </w:rPr>
            </w:pPr>
            <w:r>
              <w:rPr>
                <w:b/>
                <w:color w:val="FFFFFF"/>
                <w:w w:val="105"/>
                <w:sz w:val="16"/>
              </w:rPr>
              <w:t>Table</w:t>
            </w:r>
            <w:r>
              <w:rPr>
                <w:b/>
                <w:color w:val="FFFFFF"/>
                <w:spacing w:val="-3"/>
                <w:w w:val="105"/>
                <w:sz w:val="16"/>
              </w:rPr>
              <w:t> </w:t>
            </w:r>
            <w:r>
              <w:rPr>
                <w:b/>
                <w:color w:val="FFFFFF"/>
                <w:w w:val="105"/>
                <w:sz w:val="16"/>
              </w:rPr>
              <w:t>609-</w:t>
            </w:r>
            <w:r>
              <w:rPr>
                <w:b/>
                <w:color w:val="FFFFFF"/>
                <w:spacing w:val="-10"/>
                <w:w w:val="105"/>
                <w:sz w:val="16"/>
              </w:rPr>
              <w:t>1</w:t>
            </w:r>
          </w:p>
        </w:tc>
        <w:tc>
          <w:tcPr>
            <w:tcW w:w="8639" w:type="dxa"/>
            <w:gridSpan w:val="5"/>
            <w:tcBorders>
              <w:left w:val="single" w:sz="8" w:space="0" w:color="FFFFFF"/>
              <w:bottom w:val="single" w:sz="8" w:space="0" w:color="FFFFFF"/>
            </w:tcBorders>
            <w:shd w:val="clear" w:color="auto" w:fill="231F20"/>
          </w:tcPr>
          <w:p>
            <w:pPr>
              <w:pStyle w:val="TableParagraph"/>
              <w:spacing w:before="89"/>
              <w:ind w:left="73"/>
              <w:rPr>
                <w:sz w:val="16"/>
              </w:rPr>
            </w:pPr>
            <w:r>
              <w:rPr>
                <w:color w:val="FFFFFF"/>
                <w:w w:val="105"/>
                <w:sz w:val="16"/>
              </w:rPr>
              <w:t>Channelopathies</w:t>
            </w:r>
            <w:r>
              <w:rPr>
                <w:color w:val="FFFFFF"/>
                <w:spacing w:val="9"/>
                <w:w w:val="105"/>
                <w:sz w:val="16"/>
              </w:rPr>
              <w:t> </w:t>
            </w:r>
            <w:r>
              <w:rPr>
                <w:color w:val="FFFFFF"/>
                <w:w w:val="105"/>
                <w:sz w:val="16"/>
              </w:rPr>
              <w:t>and</w:t>
            </w:r>
            <w:r>
              <w:rPr>
                <w:color w:val="FFFFFF"/>
                <w:spacing w:val="9"/>
                <w:w w:val="105"/>
                <w:sz w:val="16"/>
              </w:rPr>
              <w:t> </w:t>
            </w:r>
            <w:r>
              <w:rPr>
                <w:color w:val="FFFFFF"/>
                <w:w w:val="105"/>
                <w:sz w:val="16"/>
              </w:rPr>
              <w:t>Related</w:t>
            </w:r>
            <w:r>
              <w:rPr>
                <w:color w:val="FFFFFF"/>
                <w:spacing w:val="9"/>
                <w:w w:val="105"/>
                <w:sz w:val="16"/>
              </w:rPr>
              <w:t> </w:t>
            </w:r>
            <w:r>
              <w:rPr>
                <w:color w:val="FFFFFF"/>
                <w:spacing w:val="-2"/>
                <w:w w:val="105"/>
                <w:sz w:val="16"/>
              </w:rPr>
              <w:t>Disorders</w:t>
            </w:r>
          </w:p>
        </w:tc>
      </w:tr>
      <w:tr>
        <w:trPr>
          <w:trHeight w:val="424" w:hRule="atLeast"/>
        </w:trPr>
        <w:tc>
          <w:tcPr>
            <w:tcW w:w="2622" w:type="dxa"/>
            <w:gridSpan w:val="2"/>
            <w:tcBorders>
              <w:top w:val="single" w:sz="8" w:space="0" w:color="FFFFFF"/>
              <w:bottom w:val="single" w:sz="4" w:space="0" w:color="231F20"/>
            </w:tcBorders>
            <w:shd w:val="clear" w:color="auto" w:fill="E8F5F1"/>
          </w:tcPr>
          <w:p>
            <w:pPr>
              <w:pStyle w:val="TableParagraph"/>
              <w:spacing w:before="40"/>
              <w:rPr>
                <w:i/>
                <w:sz w:val="15"/>
              </w:rPr>
            </w:pPr>
          </w:p>
          <w:p>
            <w:pPr>
              <w:pStyle w:val="TableParagraph"/>
              <w:ind w:left="118"/>
              <w:rPr>
                <w:b/>
                <w:sz w:val="15"/>
              </w:rPr>
            </w:pPr>
            <w:r>
              <w:rPr>
                <w:b/>
                <w:color w:val="231F20"/>
                <w:spacing w:val="-2"/>
                <w:w w:val="110"/>
                <w:sz w:val="15"/>
              </w:rPr>
              <w:t>DISORDER</w:t>
            </w:r>
          </w:p>
        </w:tc>
        <w:tc>
          <w:tcPr>
            <w:tcW w:w="2400" w:type="dxa"/>
            <w:tcBorders>
              <w:top w:val="single" w:sz="8" w:space="0" w:color="FFFFFF"/>
              <w:bottom w:val="single" w:sz="4" w:space="0" w:color="231F20"/>
            </w:tcBorders>
            <w:shd w:val="clear" w:color="auto" w:fill="E8F5F1"/>
          </w:tcPr>
          <w:p>
            <w:pPr>
              <w:pStyle w:val="TableParagraph"/>
              <w:spacing w:line="230" w:lineRule="auto" w:before="52"/>
              <w:ind w:left="854" w:right="313" w:hanging="464"/>
              <w:rPr>
                <w:b/>
                <w:sz w:val="15"/>
              </w:rPr>
            </w:pPr>
            <w:r>
              <w:rPr>
                <w:b/>
                <w:color w:val="231F20"/>
                <w:w w:val="110"/>
                <w:sz w:val="15"/>
              </w:rPr>
              <w:t>PATTERN</w:t>
            </w:r>
            <w:r>
              <w:rPr>
                <w:b/>
                <w:color w:val="231F20"/>
                <w:spacing w:val="-13"/>
                <w:w w:val="110"/>
                <w:sz w:val="15"/>
              </w:rPr>
              <w:t> </w:t>
            </w:r>
            <w:r>
              <w:rPr>
                <w:b/>
                <w:color w:val="231F20"/>
                <w:w w:val="110"/>
                <w:sz w:val="15"/>
              </w:rPr>
              <w:t>OF</w:t>
            </w:r>
            <w:r>
              <w:rPr>
                <w:b/>
                <w:color w:val="231F20"/>
                <w:spacing w:val="-12"/>
                <w:w w:val="110"/>
                <w:sz w:val="15"/>
              </w:rPr>
              <w:t> </w:t>
            </w:r>
            <w:r>
              <w:rPr>
                <w:b/>
                <w:color w:val="231F20"/>
                <w:w w:val="110"/>
                <w:sz w:val="15"/>
              </w:rPr>
              <w:t>CLINICAL </w:t>
            </w:r>
            <w:r>
              <w:rPr>
                <w:b/>
                <w:color w:val="231F20"/>
                <w:spacing w:val="-2"/>
                <w:w w:val="110"/>
                <w:sz w:val="15"/>
              </w:rPr>
              <w:t>FEATURES</w:t>
            </w:r>
          </w:p>
        </w:tc>
        <w:tc>
          <w:tcPr>
            <w:tcW w:w="1732" w:type="dxa"/>
            <w:tcBorders>
              <w:top w:val="single" w:sz="8" w:space="0" w:color="FFFFFF"/>
              <w:bottom w:val="single" w:sz="4" w:space="0" w:color="231F20"/>
            </w:tcBorders>
            <w:shd w:val="clear" w:color="auto" w:fill="E8F5F1"/>
          </w:tcPr>
          <w:p>
            <w:pPr>
              <w:pStyle w:val="TableParagraph"/>
              <w:spacing w:before="40"/>
              <w:rPr>
                <w:i/>
                <w:sz w:val="15"/>
              </w:rPr>
            </w:pPr>
          </w:p>
          <w:p>
            <w:pPr>
              <w:pStyle w:val="TableParagraph"/>
              <w:ind w:left="350"/>
              <w:rPr>
                <w:b/>
                <w:sz w:val="15"/>
              </w:rPr>
            </w:pPr>
            <w:r>
              <w:rPr>
                <w:b/>
                <w:color w:val="231F20"/>
                <w:spacing w:val="-2"/>
                <w:w w:val="110"/>
                <w:sz w:val="15"/>
              </w:rPr>
              <w:t>INHERITANCE</w:t>
            </w:r>
          </w:p>
        </w:tc>
        <w:tc>
          <w:tcPr>
            <w:tcW w:w="1479" w:type="dxa"/>
            <w:tcBorders>
              <w:top w:val="single" w:sz="8" w:space="0" w:color="FFFFFF"/>
              <w:bottom w:val="single" w:sz="4" w:space="0" w:color="231F20"/>
            </w:tcBorders>
            <w:shd w:val="clear" w:color="auto" w:fill="E8F5F1"/>
          </w:tcPr>
          <w:p>
            <w:pPr>
              <w:pStyle w:val="TableParagraph"/>
              <w:spacing w:before="40"/>
              <w:rPr>
                <w:i/>
                <w:sz w:val="15"/>
              </w:rPr>
            </w:pPr>
          </w:p>
          <w:p>
            <w:pPr>
              <w:pStyle w:val="TableParagraph"/>
              <w:ind w:left="164"/>
              <w:rPr>
                <w:b/>
                <w:sz w:val="15"/>
              </w:rPr>
            </w:pPr>
            <w:r>
              <w:rPr>
                <w:b/>
                <w:color w:val="231F20"/>
                <w:spacing w:val="-2"/>
                <w:w w:val="115"/>
                <w:sz w:val="15"/>
              </w:rPr>
              <w:t>CHROMOSOME</w:t>
            </w:r>
          </w:p>
        </w:tc>
        <w:tc>
          <w:tcPr>
            <w:tcW w:w="1598" w:type="dxa"/>
            <w:tcBorders>
              <w:top w:val="single" w:sz="8" w:space="0" w:color="FFFFFF"/>
              <w:bottom w:val="single" w:sz="4" w:space="0" w:color="231F20"/>
            </w:tcBorders>
            <w:shd w:val="clear" w:color="auto" w:fill="E8F5F1"/>
          </w:tcPr>
          <w:p>
            <w:pPr>
              <w:pStyle w:val="TableParagraph"/>
              <w:spacing w:before="40"/>
              <w:rPr>
                <w:i/>
                <w:sz w:val="15"/>
              </w:rPr>
            </w:pPr>
          </w:p>
          <w:p>
            <w:pPr>
              <w:pStyle w:val="TableParagraph"/>
              <w:ind w:left="43"/>
              <w:jc w:val="center"/>
              <w:rPr>
                <w:b/>
                <w:sz w:val="15"/>
              </w:rPr>
            </w:pPr>
            <w:r>
              <w:rPr>
                <w:b/>
                <w:color w:val="231F20"/>
                <w:spacing w:val="-4"/>
                <w:w w:val="115"/>
                <w:sz w:val="15"/>
              </w:rPr>
              <w:t>GENE</w:t>
            </w:r>
          </w:p>
        </w:tc>
      </w:tr>
      <w:tr>
        <w:trPr>
          <w:trHeight w:val="762" w:hRule="atLeast"/>
        </w:trPr>
        <w:tc>
          <w:tcPr>
            <w:tcW w:w="2622" w:type="dxa"/>
            <w:gridSpan w:val="2"/>
            <w:tcBorders>
              <w:top w:val="single" w:sz="4" w:space="0" w:color="231F20"/>
              <w:bottom w:val="single" w:sz="4" w:space="0" w:color="FFFFFF"/>
            </w:tcBorders>
            <w:shd w:val="clear" w:color="auto" w:fill="E8F5F1"/>
          </w:tcPr>
          <w:p>
            <w:pPr>
              <w:pStyle w:val="TableParagraph"/>
              <w:spacing w:line="172" w:lineRule="exact" w:before="43"/>
              <w:ind w:left="119"/>
              <w:rPr>
                <w:sz w:val="15"/>
              </w:rPr>
            </w:pPr>
            <w:r>
              <w:rPr>
                <w:color w:val="231F20"/>
                <w:w w:val="110"/>
                <w:sz w:val="15"/>
              </w:rPr>
              <w:t>CHLORIDE</w:t>
            </w:r>
            <w:r>
              <w:rPr>
                <w:color w:val="231F20"/>
                <w:spacing w:val="10"/>
                <w:w w:val="115"/>
                <w:sz w:val="15"/>
              </w:rPr>
              <w:t> </w:t>
            </w:r>
            <w:r>
              <w:rPr>
                <w:color w:val="231F20"/>
                <w:spacing w:val="-2"/>
                <w:w w:val="115"/>
                <w:sz w:val="15"/>
              </w:rPr>
              <w:t>CHANNELOPATHIES</w:t>
            </w:r>
          </w:p>
          <w:p>
            <w:pPr>
              <w:pStyle w:val="TableParagraph"/>
              <w:spacing w:line="232" w:lineRule="auto" w:before="2"/>
              <w:ind w:left="119" w:right="932"/>
              <w:rPr>
                <w:sz w:val="15"/>
              </w:rPr>
            </w:pPr>
            <w:r>
              <w:rPr>
                <w:i/>
                <w:color w:val="231F20"/>
                <w:sz w:val="15"/>
              </w:rPr>
              <w:t>Myotonia </w:t>
            </w:r>
            <w:r>
              <w:rPr>
                <w:i/>
                <w:color w:val="231F20"/>
                <w:sz w:val="15"/>
              </w:rPr>
              <w:t>Congenita </w:t>
            </w:r>
            <w:r>
              <w:rPr>
                <w:color w:val="231F20"/>
                <w:sz w:val="15"/>
              </w:rPr>
              <w:t>Thomsen disease Becker disease</w:t>
            </w:r>
          </w:p>
        </w:tc>
        <w:tc>
          <w:tcPr>
            <w:tcW w:w="2400" w:type="dxa"/>
            <w:tcBorders>
              <w:top w:val="single" w:sz="4" w:space="0" w:color="231F20"/>
              <w:bottom w:val="single" w:sz="4" w:space="0" w:color="FFFFFF"/>
            </w:tcBorders>
            <w:shd w:val="clear" w:color="auto" w:fill="E8F5F1"/>
          </w:tcPr>
          <w:p>
            <w:pPr>
              <w:pStyle w:val="TableParagraph"/>
              <w:rPr>
                <w:i/>
                <w:sz w:val="15"/>
              </w:rPr>
            </w:pPr>
          </w:p>
          <w:p>
            <w:pPr>
              <w:pStyle w:val="TableParagraph"/>
              <w:spacing w:before="34"/>
              <w:rPr>
                <w:i/>
                <w:sz w:val="15"/>
              </w:rPr>
            </w:pPr>
          </w:p>
          <w:p>
            <w:pPr>
              <w:pStyle w:val="TableParagraph"/>
              <w:spacing w:line="172" w:lineRule="exact"/>
              <w:ind w:left="242"/>
              <w:rPr>
                <w:sz w:val="15"/>
              </w:rPr>
            </w:pPr>
            <w:r>
              <w:rPr>
                <w:color w:val="231F20"/>
                <w:spacing w:val="-2"/>
                <w:w w:val="105"/>
                <w:sz w:val="15"/>
              </w:rPr>
              <w:t>Myotonia</w:t>
            </w:r>
          </w:p>
          <w:p>
            <w:pPr>
              <w:pStyle w:val="TableParagraph"/>
              <w:spacing w:line="172" w:lineRule="exact"/>
              <w:ind w:left="242"/>
              <w:rPr>
                <w:sz w:val="15"/>
              </w:rPr>
            </w:pPr>
            <w:r>
              <w:rPr>
                <w:color w:val="231F20"/>
                <w:sz w:val="15"/>
              </w:rPr>
              <w:t>Myotonia</w:t>
            </w:r>
            <w:r>
              <w:rPr>
                <w:color w:val="231F20"/>
                <w:spacing w:val="13"/>
                <w:sz w:val="15"/>
              </w:rPr>
              <w:t> </w:t>
            </w:r>
            <w:r>
              <w:rPr>
                <w:color w:val="231F20"/>
                <w:sz w:val="15"/>
              </w:rPr>
              <w:t>and</w:t>
            </w:r>
            <w:r>
              <w:rPr>
                <w:color w:val="231F20"/>
                <w:spacing w:val="14"/>
                <w:sz w:val="15"/>
              </w:rPr>
              <w:t> </w:t>
            </w:r>
            <w:r>
              <w:rPr>
                <w:color w:val="231F20"/>
                <w:spacing w:val="-2"/>
                <w:sz w:val="15"/>
              </w:rPr>
              <w:t>weakness</w:t>
            </w:r>
          </w:p>
        </w:tc>
        <w:tc>
          <w:tcPr>
            <w:tcW w:w="1732" w:type="dxa"/>
            <w:tcBorders>
              <w:top w:val="single" w:sz="4" w:space="0" w:color="231F20"/>
              <w:bottom w:val="single" w:sz="4" w:space="0" w:color="FFFFFF"/>
            </w:tcBorders>
            <w:shd w:val="clear" w:color="auto" w:fill="E8F5F1"/>
          </w:tcPr>
          <w:p>
            <w:pPr>
              <w:pStyle w:val="TableParagraph"/>
              <w:rPr>
                <w:i/>
                <w:sz w:val="15"/>
              </w:rPr>
            </w:pPr>
          </w:p>
          <w:p>
            <w:pPr>
              <w:pStyle w:val="TableParagraph"/>
              <w:spacing w:before="38"/>
              <w:rPr>
                <w:i/>
                <w:sz w:val="15"/>
              </w:rPr>
            </w:pPr>
          </w:p>
          <w:p>
            <w:pPr>
              <w:pStyle w:val="TableParagraph"/>
              <w:spacing w:line="232" w:lineRule="auto"/>
              <w:ind w:left="165"/>
              <w:rPr>
                <w:sz w:val="15"/>
              </w:rPr>
            </w:pPr>
            <w:r>
              <w:rPr>
                <w:color w:val="231F20"/>
                <w:sz w:val="15"/>
              </w:rPr>
              <w:t>Autosomal</w:t>
            </w:r>
            <w:r>
              <w:rPr>
                <w:color w:val="231F20"/>
                <w:spacing w:val="-12"/>
                <w:sz w:val="15"/>
              </w:rPr>
              <w:t> </w:t>
            </w:r>
            <w:r>
              <w:rPr>
                <w:color w:val="231F20"/>
                <w:sz w:val="15"/>
              </w:rPr>
              <w:t>dominant Autosomal</w:t>
            </w:r>
            <w:r>
              <w:rPr>
                <w:color w:val="231F20"/>
                <w:spacing w:val="14"/>
                <w:sz w:val="15"/>
              </w:rPr>
              <w:t> </w:t>
            </w:r>
            <w:r>
              <w:rPr>
                <w:color w:val="231F20"/>
                <w:spacing w:val="-2"/>
                <w:sz w:val="15"/>
              </w:rPr>
              <w:t>recessive</w:t>
            </w:r>
          </w:p>
        </w:tc>
        <w:tc>
          <w:tcPr>
            <w:tcW w:w="1479" w:type="dxa"/>
            <w:tcBorders>
              <w:top w:val="single" w:sz="4" w:space="0" w:color="231F20"/>
              <w:bottom w:val="single" w:sz="4" w:space="0" w:color="FFFFFF"/>
            </w:tcBorders>
            <w:shd w:val="clear" w:color="auto" w:fill="E8F5F1"/>
          </w:tcPr>
          <w:p>
            <w:pPr>
              <w:pStyle w:val="TableParagraph"/>
              <w:rPr>
                <w:i/>
                <w:sz w:val="15"/>
              </w:rPr>
            </w:pPr>
          </w:p>
          <w:p>
            <w:pPr>
              <w:pStyle w:val="TableParagraph"/>
              <w:spacing w:before="34"/>
              <w:rPr>
                <w:i/>
                <w:sz w:val="15"/>
              </w:rPr>
            </w:pPr>
          </w:p>
          <w:p>
            <w:pPr>
              <w:pStyle w:val="TableParagraph"/>
              <w:spacing w:line="172" w:lineRule="exact"/>
              <w:ind w:left="164"/>
              <w:rPr>
                <w:sz w:val="15"/>
              </w:rPr>
            </w:pPr>
            <w:r>
              <w:rPr>
                <w:color w:val="231F20"/>
                <w:spacing w:val="-4"/>
                <w:sz w:val="15"/>
              </w:rPr>
              <w:t>7q35</w:t>
            </w:r>
          </w:p>
          <w:p>
            <w:pPr>
              <w:pStyle w:val="TableParagraph"/>
              <w:spacing w:line="172" w:lineRule="exact"/>
              <w:ind w:left="164"/>
              <w:rPr>
                <w:sz w:val="15"/>
              </w:rPr>
            </w:pPr>
            <w:r>
              <w:rPr>
                <w:color w:val="231F20"/>
                <w:spacing w:val="-4"/>
                <w:sz w:val="15"/>
              </w:rPr>
              <w:t>7q35</w:t>
            </w:r>
          </w:p>
        </w:tc>
        <w:tc>
          <w:tcPr>
            <w:tcW w:w="1598" w:type="dxa"/>
            <w:tcBorders>
              <w:top w:val="single" w:sz="4" w:space="0" w:color="231F20"/>
              <w:bottom w:val="single" w:sz="4" w:space="0" w:color="FFFFFF"/>
            </w:tcBorders>
            <w:shd w:val="clear" w:color="auto" w:fill="E8F5F1"/>
          </w:tcPr>
          <w:p>
            <w:pPr>
              <w:pStyle w:val="TableParagraph"/>
              <w:rPr>
                <w:i/>
                <w:sz w:val="15"/>
              </w:rPr>
            </w:pPr>
          </w:p>
          <w:p>
            <w:pPr>
              <w:pStyle w:val="TableParagraph"/>
              <w:spacing w:before="38"/>
              <w:rPr>
                <w:i/>
                <w:sz w:val="15"/>
              </w:rPr>
            </w:pPr>
          </w:p>
          <w:p>
            <w:pPr>
              <w:pStyle w:val="TableParagraph"/>
              <w:spacing w:line="232" w:lineRule="auto"/>
              <w:ind w:left="164" w:right="817"/>
              <w:rPr>
                <w:i/>
                <w:sz w:val="15"/>
              </w:rPr>
            </w:pPr>
            <w:r>
              <w:rPr>
                <w:i/>
                <w:color w:val="231F20"/>
                <w:spacing w:val="-4"/>
                <w:sz w:val="15"/>
              </w:rPr>
              <w:t>CLC1 CLC1</w:t>
            </w:r>
          </w:p>
        </w:tc>
      </w:tr>
      <w:tr>
        <w:trPr>
          <w:trHeight w:val="929" w:hRule="atLeast"/>
        </w:trPr>
        <w:tc>
          <w:tcPr>
            <w:tcW w:w="2622" w:type="dxa"/>
            <w:gridSpan w:val="2"/>
            <w:tcBorders>
              <w:top w:val="single" w:sz="4" w:space="0" w:color="FFFFFF"/>
              <w:bottom w:val="single" w:sz="4" w:space="0" w:color="FFFFFF"/>
            </w:tcBorders>
            <w:shd w:val="clear" w:color="auto" w:fill="E8F5F1"/>
          </w:tcPr>
          <w:p>
            <w:pPr>
              <w:pStyle w:val="TableParagraph"/>
              <w:spacing w:line="172" w:lineRule="exact" w:before="43"/>
              <w:ind w:left="119"/>
              <w:rPr>
                <w:sz w:val="15"/>
              </w:rPr>
            </w:pPr>
            <w:r>
              <w:rPr>
                <w:color w:val="231F20"/>
                <w:w w:val="115"/>
                <w:sz w:val="15"/>
              </w:rPr>
              <w:t>SODIUM</w:t>
            </w:r>
            <w:r>
              <w:rPr>
                <w:color w:val="231F20"/>
                <w:spacing w:val="7"/>
                <w:w w:val="115"/>
                <w:sz w:val="15"/>
              </w:rPr>
              <w:t> </w:t>
            </w:r>
            <w:r>
              <w:rPr>
                <w:color w:val="231F20"/>
                <w:spacing w:val="-2"/>
                <w:w w:val="115"/>
                <w:sz w:val="15"/>
              </w:rPr>
              <w:t>CHANNELOPATHIES</w:t>
            </w:r>
          </w:p>
          <w:p>
            <w:pPr>
              <w:pStyle w:val="TableParagraph"/>
              <w:spacing w:line="232" w:lineRule="auto" w:before="2"/>
              <w:ind w:left="119" w:right="385"/>
              <w:rPr>
                <w:sz w:val="15"/>
              </w:rPr>
            </w:pPr>
            <w:r>
              <w:rPr>
                <w:color w:val="231F20"/>
                <w:sz w:val="15"/>
              </w:rPr>
              <w:t>Paramyotonia congenita Hyperkalemic</w:t>
            </w:r>
            <w:r>
              <w:rPr>
                <w:color w:val="231F20"/>
                <w:spacing w:val="-11"/>
                <w:sz w:val="15"/>
              </w:rPr>
              <w:t> </w:t>
            </w:r>
            <w:r>
              <w:rPr>
                <w:color w:val="231F20"/>
                <w:sz w:val="15"/>
              </w:rPr>
              <w:t>periodic</w:t>
            </w:r>
            <w:r>
              <w:rPr>
                <w:color w:val="231F20"/>
                <w:spacing w:val="-11"/>
                <w:sz w:val="15"/>
              </w:rPr>
              <w:t> </w:t>
            </w:r>
            <w:r>
              <w:rPr>
                <w:color w:val="231F20"/>
                <w:spacing w:val="-2"/>
                <w:sz w:val="15"/>
              </w:rPr>
              <w:t>paralysis</w:t>
            </w:r>
          </w:p>
          <w:p>
            <w:pPr>
              <w:pStyle w:val="TableParagraph"/>
              <w:spacing w:before="164"/>
              <w:ind w:left="119"/>
              <w:rPr>
                <w:sz w:val="15"/>
              </w:rPr>
            </w:pPr>
            <w:r>
              <w:rPr>
                <w:color w:val="231F20"/>
                <w:sz w:val="15"/>
              </w:rPr>
              <w:t>Hypokalemic</w:t>
            </w:r>
            <w:r>
              <w:rPr>
                <w:color w:val="231F20"/>
                <w:spacing w:val="-2"/>
                <w:sz w:val="15"/>
              </w:rPr>
              <w:t> </w:t>
            </w:r>
            <w:r>
              <w:rPr>
                <w:color w:val="231F20"/>
                <w:sz w:val="15"/>
              </w:rPr>
              <w:t>periodic</w:t>
            </w:r>
            <w:r>
              <w:rPr>
                <w:color w:val="231F20"/>
                <w:spacing w:val="-2"/>
                <w:sz w:val="15"/>
              </w:rPr>
              <w:t> paralysis</w:t>
            </w:r>
          </w:p>
        </w:tc>
        <w:tc>
          <w:tcPr>
            <w:tcW w:w="2400" w:type="dxa"/>
            <w:tcBorders>
              <w:top w:val="single" w:sz="4" w:space="0" w:color="FFFFFF"/>
              <w:bottom w:val="single" w:sz="4" w:space="0" w:color="FFFFFF"/>
            </w:tcBorders>
            <w:shd w:val="clear" w:color="auto" w:fill="E8F5F1"/>
          </w:tcPr>
          <w:p>
            <w:pPr>
              <w:pStyle w:val="TableParagraph"/>
              <w:spacing w:before="42"/>
              <w:rPr>
                <w:i/>
                <w:sz w:val="15"/>
              </w:rPr>
            </w:pPr>
          </w:p>
          <w:p>
            <w:pPr>
              <w:pStyle w:val="TableParagraph"/>
              <w:spacing w:line="232" w:lineRule="auto"/>
              <w:ind w:left="242" w:right="682"/>
              <w:rPr>
                <w:sz w:val="15"/>
              </w:rPr>
            </w:pPr>
            <w:r>
              <w:rPr>
                <w:color w:val="231F20"/>
                <w:spacing w:val="-2"/>
                <w:sz w:val="15"/>
              </w:rPr>
              <w:t>Paramyotonia</w:t>
            </w:r>
            <w:r>
              <w:rPr>
                <w:color w:val="231F20"/>
                <w:spacing w:val="80"/>
                <w:sz w:val="15"/>
              </w:rPr>
              <w:t> </w:t>
            </w:r>
            <w:r>
              <w:rPr>
                <w:color w:val="231F20"/>
                <w:spacing w:val="-2"/>
                <w:sz w:val="15"/>
              </w:rPr>
              <w:t>Periodic</w:t>
            </w:r>
            <w:r>
              <w:rPr>
                <w:color w:val="231F20"/>
                <w:spacing w:val="-10"/>
                <w:sz w:val="15"/>
              </w:rPr>
              <w:t> </w:t>
            </w:r>
            <w:r>
              <w:rPr>
                <w:color w:val="231F20"/>
                <w:spacing w:val="-2"/>
                <w:sz w:val="15"/>
              </w:rPr>
              <w:t>paralysis</w:t>
            </w:r>
            <w:r>
              <w:rPr>
                <w:color w:val="231F20"/>
                <w:spacing w:val="-9"/>
                <w:sz w:val="15"/>
              </w:rPr>
              <w:t> </w:t>
            </w:r>
            <w:r>
              <w:rPr>
                <w:color w:val="231F20"/>
                <w:spacing w:val="-2"/>
                <w:sz w:val="15"/>
              </w:rPr>
              <w:t>with</w:t>
            </w:r>
          </w:p>
          <w:p>
            <w:pPr>
              <w:pStyle w:val="TableParagraph"/>
              <w:spacing w:line="232" w:lineRule="auto"/>
              <w:ind w:left="242" w:firstLine="111"/>
              <w:rPr>
                <w:sz w:val="15"/>
              </w:rPr>
            </w:pPr>
            <w:r>
              <w:rPr>
                <w:color w:val="231F20"/>
                <w:sz w:val="15"/>
              </w:rPr>
              <w:t>myotonia</w:t>
            </w:r>
            <w:r>
              <w:rPr>
                <w:color w:val="231F20"/>
                <w:spacing w:val="-12"/>
                <w:sz w:val="15"/>
              </w:rPr>
              <w:t> </w:t>
            </w:r>
            <w:r>
              <w:rPr>
                <w:color w:val="231F20"/>
                <w:sz w:val="15"/>
              </w:rPr>
              <w:t>and</w:t>
            </w:r>
            <w:r>
              <w:rPr>
                <w:color w:val="231F20"/>
                <w:spacing w:val="-11"/>
                <w:sz w:val="15"/>
              </w:rPr>
              <w:t> </w:t>
            </w:r>
            <w:r>
              <w:rPr>
                <w:color w:val="231F20"/>
                <w:sz w:val="15"/>
              </w:rPr>
              <w:t>paramyotonia Periodic paralysis</w:t>
            </w:r>
          </w:p>
        </w:tc>
        <w:tc>
          <w:tcPr>
            <w:tcW w:w="1732" w:type="dxa"/>
            <w:tcBorders>
              <w:top w:val="single" w:sz="4" w:space="0" w:color="FFFFFF"/>
              <w:bottom w:val="single" w:sz="4" w:space="0" w:color="FFFFFF"/>
            </w:tcBorders>
            <w:shd w:val="clear" w:color="auto" w:fill="E8F5F1"/>
          </w:tcPr>
          <w:p>
            <w:pPr>
              <w:pStyle w:val="TableParagraph"/>
              <w:spacing w:before="42"/>
              <w:rPr>
                <w:i/>
                <w:sz w:val="15"/>
              </w:rPr>
            </w:pPr>
          </w:p>
          <w:p>
            <w:pPr>
              <w:pStyle w:val="TableParagraph"/>
              <w:spacing w:line="232" w:lineRule="auto"/>
              <w:ind w:left="165"/>
              <w:rPr>
                <w:sz w:val="15"/>
              </w:rPr>
            </w:pPr>
            <w:r>
              <w:rPr>
                <w:color w:val="231F20"/>
                <w:sz w:val="15"/>
              </w:rPr>
              <w:t>Autosomal</w:t>
            </w:r>
            <w:r>
              <w:rPr>
                <w:color w:val="231F20"/>
                <w:spacing w:val="-12"/>
                <w:sz w:val="15"/>
              </w:rPr>
              <w:t> </w:t>
            </w:r>
            <w:r>
              <w:rPr>
                <w:color w:val="231F20"/>
                <w:sz w:val="15"/>
              </w:rPr>
              <w:t>dominant Autosomal</w:t>
            </w:r>
            <w:r>
              <w:rPr>
                <w:color w:val="231F20"/>
                <w:spacing w:val="14"/>
                <w:sz w:val="15"/>
              </w:rPr>
              <w:t> </w:t>
            </w:r>
            <w:r>
              <w:rPr>
                <w:color w:val="231F20"/>
                <w:spacing w:val="-2"/>
                <w:sz w:val="15"/>
              </w:rPr>
              <w:t>dominant</w:t>
            </w:r>
          </w:p>
          <w:p>
            <w:pPr>
              <w:pStyle w:val="TableParagraph"/>
              <w:spacing w:before="165"/>
              <w:ind w:left="165"/>
              <w:rPr>
                <w:sz w:val="15"/>
              </w:rPr>
            </w:pPr>
            <w:r>
              <w:rPr>
                <w:color w:val="231F20"/>
                <w:sz w:val="15"/>
              </w:rPr>
              <w:t>Autosomal</w:t>
            </w:r>
            <w:r>
              <w:rPr>
                <w:color w:val="231F20"/>
                <w:spacing w:val="14"/>
                <w:sz w:val="15"/>
              </w:rPr>
              <w:t> </w:t>
            </w:r>
            <w:r>
              <w:rPr>
                <w:color w:val="231F20"/>
                <w:spacing w:val="-2"/>
                <w:sz w:val="15"/>
              </w:rPr>
              <w:t>dominant</w:t>
            </w:r>
          </w:p>
        </w:tc>
        <w:tc>
          <w:tcPr>
            <w:tcW w:w="1479"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spacing w:line="172" w:lineRule="exact"/>
              <w:ind w:left="164"/>
              <w:rPr>
                <w:sz w:val="15"/>
              </w:rPr>
            </w:pPr>
            <w:r>
              <w:rPr>
                <w:color w:val="231F20"/>
                <w:spacing w:val="-5"/>
                <w:sz w:val="15"/>
              </w:rPr>
              <w:t>17q13.1-</w:t>
            </w:r>
            <w:r>
              <w:rPr>
                <w:color w:val="231F20"/>
                <w:spacing w:val="-4"/>
                <w:sz w:val="15"/>
              </w:rPr>
              <w:t>13.3</w:t>
            </w:r>
          </w:p>
          <w:p>
            <w:pPr>
              <w:pStyle w:val="TableParagraph"/>
              <w:spacing w:line="172" w:lineRule="exact"/>
              <w:ind w:left="164"/>
              <w:rPr>
                <w:sz w:val="15"/>
              </w:rPr>
            </w:pPr>
            <w:r>
              <w:rPr>
                <w:color w:val="231F20"/>
                <w:spacing w:val="-5"/>
                <w:sz w:val="15"/>
              </w:rPr>
              <w:t>17q13.1-</w:t>
            </w:r>
            <w:r>
              <w:rPr>
                <w:color w:val="231F20"/>
                <w:spacing w:val="-4"/>
                <w:sz w:val="15"/>
              </w:rPr>
              <w:t>13.3</w:t>
            </w:r>
          </w:p>
          <w:p>
            <w:pPr>
              <w:pStyle w:val="TableParagraph"/>
              <w:spacing w:before="163"/>
              <w:ind w:left="164"/>
              <w:rPr>
                <w:sz w:val="15"/>
              </w:rPr>
            </w:pPr>
            <w:r>
              <w:rPr>
                <w:color w:val="231F20"/>
                <w:spacing w:val="-5"/>
                <w:sz w:val="15"/>
              </w:rPr>
              <w:t>17q13.1-</w:t>
            </w:r>
            <w:r>
              <w:rPr>
                <w:color w:val="231F20"/>
                <w:spacing w:val="-4"/>
                <w:sz w:val="15"/>
              </w:rPr>
              <w:t>13.3</w:t>
            </w:r>
          </w:p>
        </w:tc>
        <w:tc>
          <w:tcPr>
            <w:tcW w:w="1598" w:type="dxa"/>
            <w:tcBorders>
              <w:top w:val="single" w:sz="4" w:space="0" w:color="FFFFFF"/>
              <w:bottom w:val="single" w:sz="4" w:space="0" w:color="FFFFFF"/>
            </w:tcBorders>
            <w:shd w:val="clear" w:color="auto" w:fill="E8F5F1"/>
          </w:tcPr>
          <w:p>
            <w:pPr>
              <w:pStyle w:val="TableParagraph"/>
              <w:spacing w:before="42"/>
              <w:rPr>
                <w:i/>
                <w:sz w:val="15"/>
              </w:rPr>
            </w:pPr>
          </w:p>
          <w:p>
            <w:pPr>
              <w:pStyle w:val="TableParagraph"/>
              <w:spacing w:line="232" w:lineRule="auto"/>
              <w:ind w:left="164" w:right="817"/>
              <w:rPr>
                <w:i/>
                <w:sz w:val="15"/>
              </w:rPr>
            </w:pPr>
            <w:r>
              <w:rPr>
                <w:i/>
                <w:color w:val="231F20"/>
                <w:spacing w:val="-2"/>
                <w:w w:val="110"/>
                <w:sz w:val="15"/>
              </w:rPr>
              <w:t>SCNA4A CNA4A</w:t>
            </w:r>
          </w:p>
          <w:p>
            <w:pPr>
              <w:pStyle w:val="TableParagraph"/>
              <w:spacing w:before="165"/>
              <w:ind w:left="164"/>
              <w:rPr>
                <w:i/>
                <w:sz w:val="15"/>
              </w:rPr>
            </w:pPr>
            <w:r>
              <w:rPr>
                <w:i/>
                <w:color w:val="231F20"/>
                <w:spacing w:val="-2"/>
                <w:w w:val="110"/>
                <w:sz w:val="15"/>
              </w:rPr>
              <w:t>SCNA4A</w:t>
            </w:r>
          </w:p>
        </w:tc>
      </w:tr>
      <w:tr>
        <w:trPr>
          <w:trHeight w:val="761" w:hRule="atLeast"/>
        </w:trPr>
        <w:tc>
          <w:tcPr>
            <w:tcW w:w="5022" w:type="dxa"/>
            <w:gridSpan w:val="3"/>
            <w:tcBorders>
              <w:top w:val="single" w:sz="4" w:space="0" w:color="FFFFFF"/>
              <w:bottom w:val="single" w:sz="4" w:space="0" w:color="FFFFFF"/>
            </w:tcBorders>
            <w:shd w:val="clear" w:color="auto" w:fill="E8F5F1"/>
          </w:tcPr>
          <w:p>
            <w:pPr>
              <w:pStyle w:val="TableParagraph"/>
              <w:spacing w:line="172" w:lineRule="exact" w:before="43"/>
              <w:ind w:left="119"/>
              <w:rPr>
                <w:sz w:val="15"/>
              </w:rPr>
            </w:pPr>
            <w:r>
              <w:rPr>
                <w:color w:val="231F20"/>
                <w:w w:val="110"/>
                <w:sz w:val="15"/>
              </w:rPr>
              <w:t>POTASSIUM-AGGRAVATED</w:t>
            </w:r>
            <w:r>
              <w:rPr>
                <w:color w:val="231F20"/>
                <w:spacing w:val="33"/>
                <w:w w:val="110"/>
                <w:sz w:val="15"/>
              </w:rPr>
              <w:t> </w:t>
            </w:r>
            <w:r>
              <w:rPr>
                <w:color w:val="231F20"/>
                <w:spacing w:val="-2"/>
                <w:w w:val="110"/>
                <w:sz w:val="15"/>
              </w:rPr>
              <w:t>MYOTONIAS</w:t>
            </w:r>
          </w:p>
          <w:p>
            <w:pPr>
              <w:pStyle w:val="TableParagraph"/>
              <w:tabs>
                <w:tab w:pos="2864" w:val="left" w:leader="none"/>
              </w:tabs>
              <w:spacing w:line="169" w:lineRule="exact"/>
              <w:ind w:left="119"/>
              <w:rPr>
                <w:sz w:val="15"/>
              </w:rPr>
            </w:pPr>
            <w:r>
              <w:rPr>
                <w:color w:val="231F20"/>
                <w:sz w:val="15"/>
              </w:rPr>
              <w:t>Myotonia</w:t>
            </w:r>
            <w:r>
              <w:rPr>
                <w:color w:val="231F20"/>
                <w:spacing w:val="19"/>
                <w:sz w:val="15"/>
              </w:rPr>
              <w:t> </w:t>
            </w:r>
            <w:r>
              <w:rPr>
                <w:color w:val="231F20"/>
                <w:spacing w:val="-2"/>
                <w:sz w:val="15"/>
              </w:rPr>
              <w:t>fluctuans</w:t>
            </w:r>
            <w:r>
              <w:rPr>
                <w:color w:val="231F20"/>
                <w:sz w:val="15"/>
              </w:rPr>
              <w:tab/>
            </w:r>
            <w:r>
              <w:rPr>
                <w:color w:val="231F20"/>
                <w:spacing w:val="-2"/>
                <w:sz w:val="15"/>
              </w:rPr>
              <w:t>Myotonia</w:t>
            </w:r>
          </w:p>
          <w:p>
            <w:pPr>
              <w:pStyle w:val="TableParagraph"/>
              <w:tabs>
                <w:tab w:pos="2864" w:val="left" w:leader="none"/>
              </w:tabs>
              <w:spacing w:line="232" w:lineRule="auto" w:before="2"/>
              <w:ind w:left="119" w:right="1529"/>
              <w:rPr>
                <w:sz w:val="15"/>
              </w:rPr>
            </w:pPr>
            <w:r>
              <w:rPr>
                <w:color w:val="231F20"/>
                <w:sz w:val="15"/>
              </w:rPr>
              <w:t>Myotonia permanens</w:t>
              <w:tab/>
            </w:r>
            <w:r>
              <w:rPr>
                <w:color w:val="231F20"/>
                <w:spacing w:val="-2"/>
                <w:sz w:val="15"/>
              </w:rPr>
              <w:t>Myotonia Acetazolamide-responsive</w:t>
            </w:r>
            <w:r>
              <w:rPr>
                <w:color w:val="231F20"/>
                <w:spacing w:val="31"/>
                <w:sz w:val="15"/>
              </w:rPr>
              <w:t> </w:t>
            </w:r>
            <w:r>
              <w:rPr>
                <w:color w:val="231F20"/>
                <w:spacing w:val="-2"/>
                <w:sz w:val="15"/>
              </w:rPr>
              <w:t>myotonia</w:t>
            </w:r>
            <w:r>
              <w:rPr>
                <w:color w:val="231F20"/>
                <w:sz w:val="15"/>
              </w:rPr>
              <w:tab/>
            </w:r>
            <w:r>
              <w:rPr>
                <w:color w:val="231F20"/>
                <w:spacing w:val="-2"/>
                <w:sz w:val="15"/>
              </w:rPr>
              <w:t>Myotonia</w:t>
            </w:r>
          </w:p>
        </w:tc>
        <w:tc>
          <w:tcPr>
            <w:tcW w:w="1732" w:type="dxa"/>
            <w:tcBorders>
              <w:top w:val="single" w:sz="4" w:space="0" w:color="FFFFFF"/>
              <w:bottom w:val="single" w:sz="4" w:space="0" w:color="FFFFFF"/>
            </w:tcBorders>
            <w:shd w:val="clear" w:color="auto" w:fill="E8F5F1"/>
          </w:tcPr>
          <w:p>
            <w:pPr>
              <w:pStyle w:val="TableParagraph"/>
              <w:spacing w:before="42"/>
              <w:rPr>
                <w:i/>
                <w:sz w:val="15"/>
              </w:rPr>
            </w:pPr>
          </w:p>
          <w:p>
            <w:pPr>
              <w:pStyle w:val="TableParagraph"/>
              <w:spacing w:line="232" w:lineRule="auto"/>
              <w:ind w:left="165" w:right="165"/>
              <w:jc w:val="both"/>
              <w:rPr>
                <w:sz w:val="15"/>
              </w:rPr>
            </w:pPr>
            <w:r>
              <w:rPr>
                <w:color w:val="231F20"/>
                <w:sz w:val="15"/>
              </w:rPr>
              <w:t>Autosomal</w:t>
            </w:r>
            <w:r>
              <w:rPr>
                <w:color w:val="231F20"/>
                <w:spacing w:val="-12"/>
                <w:sz w:val="15"/>
              </w:rPr>
              <w:t> </w:t>
            </w:r>
            <w:r>
              <w:rPr>
                <w:color w:val="231F20"/>
                <w:sz w:val="15"/>
              </w:rPr>
              <w:t>dominant Autosomal</w:t>
            </w:r>
            <w:r>
              <w:rPr>
                <w:color w:val="231F20"/>
                <w:spacing w:val="-12"/>
                <w:sz w:val="15"/>
              </w:rPr>
              <w:t> </w:t>
            </w:r>
            <w:r>
              <w:rPr>
                <w:color w:val="231F20"/>
                <w:sz w:val="15"/>
              </w:rPr>
              <w:t>dominant Autosomal</w:t>
            </w:r>
            <w:r>
              <w:rPr>
                <w:color w:val="231F20"/>
                <w:spacing w:val="14"/>
                <w:sz w:val="15"/>
              </w:rPr>
              <w:t> </w:t>
            </w:r>
            <w:r>
              <w:rPr>
                <w:color w:val="231F20"/>
                <w:spacing w:val="-2"/>
                <w:sz w:val="15"/>
              </w:rPr>
              <w:t>dominant</w:t>
            </w:r>
          </w:p>
        </w:tc>
        <w:tc>
          <w:tcPr>
            <w:tcW w:w="1479" w:type="dxa"/>
            <w:tcBorders>
              <w:top w:val="single" w:sz="4" w:space="0" w:color="FFFFFF"/>
              <w:bottom w:val="single" w:sz="4" w:space="0" w:color="FFFFFF"/>
            </w:tcBorders>
            <w:shd w:val="clear" w:color="auto" w:fill="E8F5F1"/>
          </w:tcPr>
          <w:p>
            <w:pPr>
              <w:pStyle w:val="TableParagraph"/>
              <w:spacing w:before="38"/>
              <w:rPr>
                <w:i/>
                <w:sz w:val="15"/>
              </w:rPr>
            </w:pPr>
          </w:p>
          <w:p>
            <w:pPr>
              <w:pStyle w:val="TableParagraph"/>
              <w:spacing w:line="172" w:lineRule="exact"/>
              <w:ind w:left="164"/>
              <w:rPr>
                <w:sz w:val="15"/>
              </w:rPr>
            </w:pPr>
            <w:r>
              <w:rPr>
                <w:color w:val="231F20"/>
                <w:spacing w:val="-5"/>
                <w:sz w:val="15"/>
              </w:rPr>
              <w:t>17q13.1-</w:t>
            </w:r>
            <w:r>
              <w:rPr>
                <w:color w:val="231F20"/>
                <w:spacing w:val="-4"/>
                <w:sz w:val="15"/>
              </w:rPr>
              <w:t>13.3</w:t>
            </w:r>
          </w:p>
          <w:p>
            <w:pPr>
              <w:pStyle w:val="TableParagraph"/>
              <w:spacing w:line="169" w:lineRule="exact"/>
              <w:ind w:left="164"/>
              <w:rPr>
                <w:sz w:val="15"/>
              </w:rPr>
            </w:pPr>
            <w:r>
              <w:rPr>
                <w:color w:val="231F20"/>
                <w:spacing w:val="-5"/>
                <w:sz w:val="15"/>
              </w:rPr>
              <w:t>17q13.1-</w:t>
            </w:r>
            <w:r>
              <w:rPr>
                <w:color w:val="231F20"/>
                <w:spacing w:val="-4"/>
                <w:sz w:val="15"/>
              </w:rPr>
              <w:t>13.3</w:t>
            </w:r>
          </w:p>
          <w:p>
            <w:pPr>
              <w:pStyle w:val="TableParagraph"/>
              <w:spacing w:line="172" w:lineRule="exact"/>
              <w:ind w:left="164"/>
              <w:rPr>
                <w:sz w:val="15"/>
              </w:rPr>
            </w:pPr>
            <w:r>
              <w:rPr>
                <w:color w:val="231F20"/>
                <w:spacing w:val="-5"/>
                <w:sz w:val="15"/>
              </w:rPr>
              <w:t>17q13.1-</w:t>
            </w:r>
            <w:r>
              <w:rPr>
                <w:color w:val="231F20"/>
                <w:spacing w:val="-4"/>
                <w:sz w:val="15"/>
              </w:rPr>
              <w:t>13.3</w:t>
            </w:r>
          </w:p>
        </w:tc>
        <w:tc>
          <w:tcPr>
            <w:tcW w:w="1598" w:type="dxa"/>
            <w:tcBorders>
              <w:top w:val="single" w:sz="4" w:space="0" w:color="FFFFFF"/>
              <w:bottom w:val="single" w:sz="4" w:space="0" w:color="FFFFFF"/>
            </w:tcBorders>
            <w:shd w:val="clear" w:color="auto" w:fill="E8F5F1"/>
          </w:tcPr>
          <w:p>
            <w:pPr>
              <w:pStyle w:val="TableParagraph"/>
              <w:spacing w:before="42"/>
              <w:rPr>
                <w:i/>
                <w:sz w:val="15"/>
              </w:rPr>
            </w:pPr>
          </w:p>
          <w:p>
            <w:pPr>
              <w:pStyle w:val="TableParagraph"/>
              <w:spacing w:line="232" w:lineRule="auto"/>
              <w:ind w:left="164" w:right="845"/>
              <w:jc w:val="both"/>
              <w:rPr>
                <w:i/>
                <w:sz w:val="15"/>
              </w:rPr>
            </w:pPr>
            <w:r>
              <w:rPr>
                <w:i/>
                <w:color w:val="231F20"/>
                <w:spacing w:val="-2"/>
                <w:w w:val="110"/>
                <w:sz w:val="15"/>
              </w:rPr>
              <w:t>SCNA4A SCNA4A SCNA4A</w:t>
            </w:r>
          </w:p>
        </w:tc>
      </w:tr>
      <w:tr>
        <w:trPr>
          <w:trHeight w:val="2104" w:hRule="atLeast"/>
        </w:trPr>
        <w:tc>
          <w:tcPr>
            <w:tcW w:w="2622" w:type="dxa"/>
            <w:gridSpan w:val="2"/>
            <w:tcBorders>
              <w:top w:val="single" w:sz="4" w:space="0" w:color="FFFFFF"/>
              <w:bottom w:val="single" w:sz="8" w:space="0" w:color="231F20"/>
            </w:tcBorders>
            <w:shd w:val="clear" w:color="auto" w:fill="E8F5F1"/>
          </w:tcPr>
          <w:p>
            <w:pPr>
              <w:pStyle w:val="TableParagraph"/>
              <w:spacing w:line="172" w:lineRule="exact" w:before="43"/>
              <w:ind w:left="119"/>
              <w:rPr>
                <w:sz w:val="15"/>
              </w:rPr>
            </w:pPr>
            <w:r>
              <w:rPr>
                <w:color w:val="231F20"/>
                <w:w w:val="115"/>
                <w:sz w:val="15"/>
              </w:rPr>
              <w:t>CALCIUM</w:t>
            </w:r>
            <w:r>
              <w:rPr>
                <w:color w:val="231F20"/>
                <w:spacing w:val="-9"/>
                <w:w w:val="115"/>
                <w:sz w:val="15"/>
              </w:rPr>
              <w:t> </w:t>
            </w:r>
            <w:r>
              <w:rPr>
                <w:color w:val="231F20"/>
                <w:spacing w:val="-2"/>
                <w:w w:val="115"/>
                <w:sz w:val="15"/>
              </w:rPr>
              <w:t>CHANNELOPATHIES</w:t>
            </w:r>
          </w:p>
          <w:p>
            <w:pPr>
              <w:pStyle w:val="TableParagraph"/>
              <w:spacing w:line="172" w:lineRule="exact"/>
              <w:ind w:left="119"/>
              <w:rPr>
                <w:sz w:val="15"/>
              </w:rPr>
            </w:pPr>
            <w:r>
              <w:rPr>
                <w:color w:val="231F20"/>
                <w:sz w:val="15"/>
              </w:rPr>
              <w:t>Hypokalemic</w:t>
            </w:r>
            <w:r>
              <w:rPr>
                <w:color w:val="231F20"/>
                <w:spacing w:val="-2"/>
                <w:sz w:val="15"/>
              </w:rPr>
              <w:t> </w:t>
            </w:r>
            <w:r>
              <w:rPr>
                <w:color w:val="231F20"/>
                <w:sz w:val="15"/>
              </w:rPr>
              <w:t>periodic</w:t>
            </w:r>
            <w:r>
              <w:rPr>
                <w:color w:val="231F20"/>
                <w:spacing w:val="-2"/>
                <w:sz w:val="15"/>
              </w:rPr>
              <w:t> paralysis</w:t>
            </w:r>
          </w:p>
          <w:p>
            <w:pPr>
              <w:pStyle w:val="TableParagraph"/>
              <w:spacing w:line="230" w:lineRule="auto" w:before="169"/>
              <w:ind w:left="231" w:hanging="112"/>
              <w:rPr>
                <w:sz w:val="15"/>
              </w:rPr>
            </w:pPr>
            <w:r>
              <w:rPr>
                <w:color w:val="231F20"/>
                <w:sz w:val="15"/>
              </w:rPr>
              <w:t>Schwartz-Jampel syndrome </w:t>
            </w:r>
            <w:r>
              <w:rPr>
                <w:color w:val="231F20"/>
                <w:spacing w:val="-2"/>
                <w:sz w:val="15"/>
              </w:rPr>
              <w:t>(chondrodystrophic</w:t>
            </w:r>
            <w:r>
              <w:rPr>
                <w:color w:val="231F20"/>
                <w:spacing w:val="-9"/>
                <w:sz w:val="15"/>
              </w:rPr>
              <w:t> </w:t>
            </w:r>
            <w:r>
              <w:rPr>
                <w:color w:val="231F20"/>
                <w:spacing w:val="-2"/>
                <w:sz w:val="15"/>
              </w:rPr>
              <w:t>myotonia)</w:t>
            </w:r>
          </w:p>
          <w:p>
            <w:pPr>
              <w:pStyle w:val="TableParagraph"/>
              <w:spacing w:line="232" w:lineRule="auto" w:before="1"/>
              <w:ind w:left="119" w:right="385"/>
              <w:rPr>
                <w:sz w:val="15"/>
              </w:rPr>
            </w:pPr>
            <w:r>
              <w:rPr>
                <w:color w:val="231F20"/>
                <w:sz w:val="15"/>
              </w:rPr>
              <w:t>Rippling</w:t>
            </w:r>
            <w:r>
              <w:rPr>
                <w:color w:val="231F20"/>
                <w:spacing w:val="-10"/>
                <w:sz w:val="15"/>
              </w:rPr>
              <w:t> </w:t>
            </w:r>
            <w:r>
              <w:rPr>
                <w:color w:val="231F20"/>
                <w:sz w:val="15"/>
              </w:rPr>
              <w:t>muscle</w:t>
            </w:r>
            <w:r>
              <w:rPr>
                <w:color w:val="231F20"/>
                <w:spacing w:val="-10"/>
                <w:sz w:val="15"/>
              </w:rPr>
              <w:t> </w:t>
            </w:r>
            <w:r>
              <w:rPr>
                <w:color w:val="231F20"/>
                <w:sz w:val="15"/>
              </w:rPr>
              <w:t>disease Anderson syndrome</w:t>
            </w:r>
          </w:p>
          <w:p>
            <w:pPr>
              <w:pStyle w:val="TableParagraph"/>
              <w:spacing w:line="465" w:lineRule="auto" w:before="165"/>
              <w:ind w:left="119" w:right="906"/>
              <w:rPr>
                <w:sz w:val="15"/>
              </w:rPr>
            </w:pPr>
            <w:r>
              <w:rPr>
                <w:color w:val="231F20"/>
                <w:sz w:val="15"/>
              </w:rPr>
              <w:t>Brody disease</w:t>
            </w:r>
            <w:r>
              <w:rPr>
                <w:color w:val="231F20"/>
                <w:spacing w:val="80"/>
                <w:sz w:val="15"/>
              </w:rPr>
              <w:t> </w:t>
            </w:r>
            <w:r>
              <w:rPr>
                <w:color w:val="231F20"/>
                <w:spacing w:val="-2"/>
                <w:sz w:val="15"/>
              </w:rPr>
              <w:t>Malignant</w:t>
            </w:r>
            <w:r>
              <w:rPr>
                <w:color w:val="231F20"/>
                <w:spacing w:val="-4"/>
                <w:sz w:val="15"/>
              </w:rPr>
              <w:t> </w:t>
            </w:r>
            <w:r>
              <w:rPr>
                <w:color w:val="231F20"/>
                <w:spacing w:val="-2"/>
                <w:sz w:val="15"/>
              </w:rPr>
              <w:t>hyperthermia</w:t>
            </w:r>
          </w:p>
        </w:tc>
        <w:tc>
          <w:tcPr>
            <w:tcW w:w="2400"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spacing w:line="465" w:lineRule="auto"/>
              <w:ind w:left="242" w:right="339"/>
              <w:rPr>
                <w:sz w:val="15"/>
              </w:rPr>
            </w:pPr>
            <w:r>
              <w:rPr>
                <w:color w:val="231F20"/>
                <w:sz w:val="15"/>
              </w:rPr>
              <w:t>Periodic paralysis Myotonia; dysmorphic</w:t>
            </w:r>
          </w:p>
          <w:p>
            <w:pPr>
              <w:pStyle w:val="TableParagraph"/>
              <w:spacing w:line="232" w:lineRule="auto" w:before="3"/>
              <w:ind w:left="242"/>
              <w:rPr>
                <w:sz w:val="15"/>
              </w:rPr>
            </w:pPr>
            <w:r>
              <w:rPr>
                <w:color w:val="231F20"/>
                <w:sz w:val="15"/>
              </w:rPr>
              <w:t>Muscle</w:t>
            </w:r>
            <w:r>
              <w:rPr>
                <w:color w:val="231F20"/>
                <w:spacing w:val="-12"/>
                <w:sz w:val="15"/>
              </w:rPr>
              <w:t> </w:t>
            </w:r>
            <w:r>
              <w:rPr>
                <w:color w:val="231F20"/>
                <w:sz w:val="15"/>
              </w:rPr>
              <w:t>mounding,</w:t>
            </w:r>
            <w:r>
              <w:rPr>
                <w:color w:val="231F20"/>
                <w:spacing w:val="-11"/>
                <w:sz w:val="15"/>
              </w:rPr>
              <w:t> </w:t>
            </w:r>
            <w:r>
              <w:rPr>
                <w:color w:val="231F20"/>
                <w:sz w:val="15"/>
              </w:rPr>
              <w:t>stiffness Periodic paralysis, cardiac</w:t>
            </w:r>
          </w:p>
          <w:p>
            <w:pPr>
              <w:pStyle w:val="TableParagraph"/>
              <w:spacing w:line="232" w:lineRule="auto"/>
              <w:ind w:left="242" w:firstLine="111"/>
              <w:rPr>
                <w:sz w:val="15"/>
              </w:rPr>
            </w:pPr>
            <w:r>
              <w:rPr>
                <w:color w:val="231F20"/>
                <w:spacing w:val="-4"/>
                <w:sz w:val="15"/>
              </w:rPr>
              <w:t>arrhythmia,</w:t>
            </w:r>
            <w:r>
              <w:rPr>
                <w:color w:val="231F20"/>
                <w:spacing w:val="-8"/>
                <w:sz w:val="15"/>
              </w:rPr>
              <w:t> </w:t>
            </w:r>
            <w:r>
              <w:rPr>
                <w:color w:val="231F20"/>
                <w:spacing w:val="-4"/>
                <w:sz w:val="15"/>
              </w:rPr>
              <w:t>distinctive</w:t>
            </w:r>
            <w:r>
              <w:rPr>
                <w:color w:val="231F20"/>
                <w:spacing w:val="-7"/>
                <w:sz w:val="15"/>
              </w:rPr>
              <w:t> </w:t>
            </w:r>
            <w:r>
              <w:rPr>
                <w:color w:val="231F20"/>
                <w:spacing w:val="-4"/>
                <w:sz w:val="15"/>
              </w:rPr>
              <w:t>facies </w:t>
            </w:r>
            <w:r>
              <w:rPr>
                <w:color w:val="231F20"/>
                <w:sz w:val="15"/>
              </w:rPr>
              <w:t>Delayed relaxation, no</w:t>
            </w:r>
          </w:p>
          <w:p>
            <w:pPr>
              <w:pStyle w:val="TableParagraph"/>
              <w:spacing w:line="232" w:lineRule="auto"/>
              <w:ind w:left="242" w:right="284" w:firstLine="111"/>
              <w:rPr>
                <w:sz w:val="15"/>
              </w:rPr>
            </w:pPr>
            <w:r>
              <w:rPr>
                <w:color w:val="231F20"/>
                <w:sz w:val="15"/>
              </w:rPr>
              <w:t>electromyogram</w:t>
            </w:r>
            <w:r>
              <w:rPr>
                <w:color w:val="231F20"/>
                <w:spacing w:val="-12"/>
                <w:sz w:val="15"/>
              </w:rPr>
              <w:t> </w:t>
            </w:r>
            <w:r>
              <w:rPr>
                <w:color w:val="231F20"/>
                <w:sz w:val="15"/>
              </w:rPr>
              <w:t>myotonia </w:t>
            </w:r>
            <w:r>
              <w:rPr>
                <w:color w:val="231F20"/>
                <w:spacing w:val="-2"/>
                <w:sz w:val="15"/>
              </w:rPr>
              <w:t>Anesthetic-induced</w:t>
            </w:r>
            <w:r>
              <w:rPr>
                <w:color w:val="231F20"/>
                <w:spacing w:val="24"/>
                <w:sz w:val="15"/>
              </w:rPr>
              <w:t> </w:t>
            </w:r>
            <w:r>
              <w:rPr>
                <w:color w:val="231F20"/>
                <w:spacing w:val="-2"/>
                <w:sz w:val="15"/>
              </w:rPr>
              <w:t>delayed</w:t>
            </w:r>
          </w:p>
          <w:p>
            <w:pPr>
              <w:pStyle w:val="TableParagraph"/>
              <w:spacing w:line="169" w:lineRule="exact"/>
              <w:ind w:left="354"/>
              <w:rPr>
                <w:sz w:val="15"/>
              </w:rPr>
            </w:pPr>
            <w:r>
              <w:rPr>
                <w:color w:val="231F20"/>
                <w:spacing w:val="-2"/>
                <w:sz w:val="15"/>
              </w:rPr>
              <w:t>relaxation</w:t>
            </w:r>
          </w:p>
        </w:tc>
        <w:tc>
          <w:tcPr>
            <w:tcW w:w="1732"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spacing w:line="465" w:lineRule="auto"/>
              <w:ind w:left="165"/>
              <w:rPr>
                <w:sz w:val="15"/>
              </w:rPr>
            </w:pPr>
            <w:r>
              <w:rPr>
                <w:color w:val="231F20"/>
                <w:sz w:val="15"/>
              </w:rPr>
              <w:t>Autosomal</w:t>
            </w:r>
            <w:r>
              <w:rPr>
                <w:color w:val="231F20"/>
                <w:spacing w:val="-12"/>
                <w:sz w:val="15"/>
              </w:rPr>
              <w:t> </w:t>
            </w:r>
            <w:r>
              <w:rPr>
                <w:color w:val="231F20"/>
                <w:sz w:val="15"/>
              </w:rPr>
              <w:t>dominant Autosomal</w:t>
            </w:r>
            <w:r>
              <w:rPr>
                <w:color w:val="231F20"/>
                <w:spacing w:val="14"/>
                <w:sz w:val="15"/>
              </w:rPr>
              <w:t> </w:t>
            </w:r>
            <w:r>
              <w:rPr>
                <w:color w:val="231F20"/>
                <w:spacing w:val="-2"/>
                <w:sz w:val="15"/>
              </w:rPr>
              <w:t>recessive</w:t>
            </w:r>
          </w:p>
          <w:p>
            <w:pPr>
              <w:pStyle w:val="TableParagraph"/>
              <w:spacing w:line="232" w:lineRule="auto" w:before="3"/>
              <w:ind w:left="165"/>
              <w:rPr>
                <w:sz w:val="15"/>
              </w:rPr>
            </w:pPr>
            <w:r>
              <w:rPr>
                <w:color w:val="231F20"/>
                <w:sz w:val="15"/>
              </w:rPr>
              <w:t>Autosomal</w:t>
            </w:r>
            <w:r>
              <w:rPr>
                <w:color w:val="231F20"/>
                <w:spacing w:val="-12"/>
                <w:sz w:val="15"/>
              </w:rPr>
              <w:t> </w:t>
            </w:r>
            <w:r>
              <w:rPr>
                <w:color w:val="231F20"/>
                <w:sz w:val="15"/>
              </w:rPr>
              <w:t>dominant Autosomal</w:t>
            </w:r>
            <w:r>
              <w:rPr>
                <w:color w:val="231F20"/>
                <w:spacing w:val="14"/>
                <w:sz w:val="15"/>
              </w:rPr>
              <w:t> </w:t>
            </w:r>
            <w:r>
              <w:rPr>
                <w:color w:val="231F20"/>
                <w:spacing w:val="-2"/>
                <w:sz w:val="15"/>
              </w:rPr>
              <w:t>dominant</w:t>
            </w:r>
          </w:p>
          <w:p>
            <w:pPr>
              <w:pStyle w:val="TableParagraph"/>
              <w:spacing w:line="465" w:lineRule="auto" w:before="165"/>
              <w:ind w:left="165"/>
              <w:rPr>
                <w:sz w:val="15"/>
              </w:rPr>
            </w:pPr>
            <w:r>
              <w:rPr>
                <w:color w:val="231F20"/>
                <w:sz w:val="15"/>
              </w:rPr>
              <w:t>Autosomal recessive Autosomal</w:t>
            </w:r>
            <w:r>
              <w:rPr>
                <w:color w:val="231F20"/>
                <w:spacing w:val="14"/>
                <w:sz w:val="15"/>
              </w:rPr>
              <w:t> </w:t>
            </w:r>
            <w:r>
              <w:rPr>
                <w:color w:val="231F20"/>
                <w:spacing w:val="-2"/>
                <w:sz w:val="15"/>
              </w:rPr>
              <w:t>dominant</w:t>
            </w:r>
          </w:p>
        </w:tc>
        <w:tc>
          <w:tcPr>
            <w:tcW w:w="1479"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ind w:left="164"/>
              <w:rPr>
                <w:sz w:val="15"/>
              </w:rPr>
            </w:pPr>
            <w:r>
              <w:rPr>
                <w:color w:val="231F20"/>
                <w:spacing w:val="-2"/>
                <w:sz w:val="15"/>
              </w:rPr>
              <w:t>1q31-</w:t>
            </w:r>
            <w:r>
              <w:rPr>
                <w:color w:val="231F20"/>
                <w:spacing w:val="-5"/>
                <w:sz w:val="15"/>
              </w:rPr>
              <w:t>32</w:t>
            </w:r>
          </w:p>
          <w:p>
            <w:pPr>
              <w:pStyle w:val="TableParagraph"/>
              <w:spacing w:before="163"/>
              <w:ind w:left="164"/>
              <w:rPr>
                <w:sz w:val="15"/>
              </w:rPr>
            </w:pPr>
            <w:r>
              <w:rPr>
                <w:color w:val="231F20"/>
                <w:spacing w:val="-5"/>
                <w:sz w:val="15"/>
              </w:rPr>
              <w:t>1q34.1-</w:t>
            </w:r>
            <w:r>
              <w:rPr>
                <w:color w:val="231F20"/>
                <w:spacing w:val="-4"/>
                <w:sz w:val="15"/>
              </w:rPr>
              <w:t>36.1</w:t>
            </w:r>
          </w:p>
          <w:p>
            <w:pPr>
              <w:pStyle w:val="TableParagraph"/>
              <w:spacing w:line="172" w:lineRule="exact" w:before="163"/>
              <w:ind w:left="164"/>
              <w:rPr>
                <w:sz w:val="15"/>
              </w:rPr>
            </w:pPr>
            <w:r>
              <w:rPr>
                <w:color w:val="231F20"/>
                <w:spacing w:val="-4"/>
                <w:sz w:val="15"/>
              </w:rPr>
              <w:t>1q41</w:t>
            </w:r>
          </w:p>
          <w:p>
            <w:pPr>
              <w:pStyle w:val="TableParagraph"/>
              <w:spacing w:line="172" w:lineRule="exact"/>
              <w:ind w:left="164"/>
              <w:rPr>
                <w:sz w:val="15"/>
              </w:rPr>
            </w:pPr>
            <w:r>
              <w:rPr>
                <w:color w:val="231F20"/>
                <w:spacing w:val="-2"/>
                <w:sz w:val="15"/>
              </w:rPr>
              <w:t>17q23</w:t>
            </w:r>
          </w:p>
          <w:p>
            <w:pPr>
              <w:pStyle w:val="TableParagraph"/>
              <w:spacing w:before="164"/>
              <w:ind w:left="164"/>
              <w:rPr>
                <w:sz w:val="15"/>
              </w:rPr>
            </w:pPr>
            <w:r>
              <w:rPr>
                <w:color w:val="231F20"/>
                <w:spacing w:val="-2"/>
                <w:sz w:val="15"/>
              </w:rPr>
              <w:t>16p12</w:t>
            </w:r>
          </w:p>
          <w:p>
            <w:pPr>
              <w:pStyle w:val="TableParagraph"/>
              <w:spacing w:before="163"/>
              <w:ind w:left="164"/>
              <w:rPr>
                <w:sz w:val="15"/>
              </w:rPr>
            </w:pPr>
            <w:r>
              <w:rPr>
                <w:color w:val="231F20"/>
                <w:spacing w:val="-2"/>
                <w:sz w:val="15"/>
              </w:rPr>
              <w:t>19q13.1</w:t>
            </w:r>
          </w:p>
        </w:tc>
        <w:tc>
          <w:tcPr>
            <w:tcW w:w="1598" w:type="dxa"/>
            <w:tcBorders>
              <w:top w:val="single" w:sz="4" w:space="0" w:color="FFFFFF"/>
              <w:bottom w:val="single" w:sz="8" w:space="0" w:color="231F20"/>
            </w:tcBorders>
            <w:shd w:val="clear" w:color="auto" w:fill="E8F5F1"/>
          </w:tcPr>
          <w:p>
            <w:pPr>
              <w:pStyle w:val="TableParagraph"/>
              <w:spacing w:before="43"/>
              <w:rPr>
                <w:i/>
                <w:sz w:val="15"/>
              </w:rPr>
            </w:pPr>
          </w:p>
          <w:p>
            <w:pPr>
              <w:pStyle w:val="TableParagraph"/>
              <w:spacing w:line="230" w:lineRule="auto" w:before="1"/>
              <w:ind w:left="276" w:hanging="112"/>
              <w:rPr>
                <w:sz w:val="15"/>
              </w:rPr>
            </w:pPr>
            <w:r>
              <w:rPr>
                <w:color w:val="231F20"/>
                <w:spacing w:val="-2"/>
                <w:sz w:val="15"/>
              </w:rPr>
              <w:t>Dihydropyridine receptor</w:t>
            </w:r>
          </w:p>
          <w:p>
            <w:pPr>
              <w:pStyle w:val="TableParagraph"/>
              <w:spacing w:line="172" w:lineRule="exact"/>
              <w:ind w:left="164"/>
              <w:rPr>
                <w:i/>
                <w:sz w:val="15"/>
              </w:rPr>
            </w:pPr>
            <w:r>
              <w:rPr>
                <w:i/>
                <w:color w:val="231F20"/>
                <w:spacing w:val="-2"/>
                <w:sz w:val="15"/>
              </w:rPr>
              <w:t>Perlecan</w:t>
            </w:r>
          </w:p>
          <w:p>
            <w:pPr>
              <w:pStyle w:val="TableParagraph"/>
              <w:spacing w:line="232" w:lineRule="auto" w:before="167"/>
              <w:ind w:left="164" w:right="549"/>
              <w:rPr>
                <w:i/>
                <w:sz w:val="15"/>
              </w:rPr>
            </w:pPr>
            <w:r>
              <w:rPr>
                <w:i/>
                <w:color w:val="231F20"/>
                <w:spacing w:val="-2"/>
                <w:sz w:val="15"/>
              </w:rPr>
              <w:t>Caveolin-3 KCNJ2-</w:t>
            </w:r>
            <w:r>
              <w:rPr>
                <w:i/>
                <w:color w:val="231F20"/>
                <w:spacing w:val="-2"/>
                <w:sz w:val="15"/>
              </w:rPr>
              <w:t>Kir2.1</w:t>
            </w:r>
          </w:p>
          <w:p>
            <w:pPr>
              <w:pStyle w:val="TableParagraph"/>
              <w:spacing w:line="232" w:lineRule="auto" w:before="169"/>
              <w:ind w:left="164" w:right="118" w:hanging="42"/>
              <w:jc w:val="center"/>
              <w:rPr>
                <w:sz w:val="15"/>
              </w:rPr>
            </w:pPr>
            <w:r>
              <w:rPr>
                <w:color w:val="231F20"/>
                <w:sz w:val="15"/>
              </w:rPr>
              <w:t>Calcium adenosine </w:t>
            </w:r>
            <w:r>
              <w:rPr>
                <w:color w:val="231F20"/>
                <w:spacing w:val="-2"/>
                <w:sz w:val="15"/>
              </w:rPr>
              <w:t>triphosphatase </w:t>
            </w:r>
            <w:r>
              <w:rPr>
                <w:color w:val="231F20"/>
                <w:sz w:val="15"/>
              </w:rPr>
              <w:t>Ryanodine</w:t>
            </w:r>
            <w:r>
              <w:rPr>
                <w:color w:val="231F20"/>
                <w:spacing w:val="-12"/>
                <w:sz w:val="15"/>
              </w:rPr>
              <w:t> </w:t>
            </w:r>
            <w:r>
              <w:rPr>
                <w:color w:val="231F20"/>
                <w:sz w:val="15"/>
              </w:rPr>
              <w:t>receptor</w:t>
            </w:r>
          </w:p>
        </w:tc>
      </w:tr>
    </w:tbl>
    <w:p>
      <w:pPr>
        <w:pStyle w:val="BodyText"/>
        <w:spacing w:before="8"/>
        <w:rPr>
          <w:i/>
          <w:sz w:val="18"/>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1495"/>
        <w:gridCol w:w="2319"/>
        <w:gridCol w:w="4778"/>
      </w:tblGrid>
      <w:tr>
        <w:trPr>
          <w:trHeight w:val="354" w:hRule="atLeast"/>
        </w:trPr>
        <w:tc>
          <w:tcPr>
            <w:tcW w:w="1236" w:type="dxa"/>
            <w:tcBorders>
              <w:right w:val="single" w:sz="8" w:space="0" w:color="FFFFFF"/>
            </w:tcBorders>
            <w:shd w:val="clear" w:color="auto" w:fill="231F20"/>
          </w:tcPr>
          <w:p>
            <w:pPr>
              <w:pStyle w:val="TableParagraph"/>
              <w:spacing w:before="89"/>
              <w:ind w:left="200"/>
              <w:rPr>
                <w:b/>
                <w:sz w:val="16"/>
              </w:rPr>
            </w:pPr>
            <w:r>
              <w:rPr>
                <w:b/>
                <w:color w:val="FFFFFF"/>
                <w:w w:val="105"/>
                <w:sz w:val="16"/>
              </w:rPr>
              <w:t>Table</w:t>
            </w:r>
            <w:r>
              <w:rPr>
                <w:b/>
                <w:color w:val="FFFFFF"/>
                <w:spacing w:val="-3"/>
                <w:w w:val="105"/>
                <w:sz w:val="16"/>
              </w:rPr>
              <w:t> </w:t>
            </w:r>
            <w:r>
              <w:rPr>
                <w:b/>
                <w:color w:val="FFFFFF"/>
                <w:w w:val="105"/>
                <w:sz w:val="16"/>
              </w:rPr>
              <w:t>609-</w:t>
            </w:r>
            <w:r>
              <w:rPr>
                <w:b/>
                <w:color w:val="FFFFFF"/>
                <w:spacing w:val="-10"/>
                <w:w w:val="105"/>
                <w:sz w:val="16"/>
              </w:rPr>
              <w:t>2</w:t>
            </w:r>
          </w:p>
        </w:tc>
        <w:tc>
          <w:tcPr>
            <w:tcW w:w="8592"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Autosomal</w:t>
            </w:r>
            <w:r>
              <w:rPr>
                <w:color w:val="FFFFFF"/>
                <w:spacing w:val="14"/>
                <w:w w:val="105"/>
                <w:sz w:val="16"/>
              </w:rPr>
              <w:t> </w:t>
            </w:r>
            <w:r>
              <w:rPr>
                <w:color w:val="FFFFFF"/>
                <w:w w:val="105"/>
                <w:sz w:val="16"/>
              </w:rPr>
              <w:t>Recessive</w:t>
            </w:r>
            <w:r>
              <w:rPr>
                <w:color w:val="FFFFFF"/>
                <w:spacing w:val="15"/>
                <w:w w:val="105"/>
                <w:sz w:val="16"/>
              </w:rPr>
              <w:t> </w:t>
            </w:r>
            <w:r>
              <w:rPr>
                <w:color w:val="FFFFFF"/>
                <w:w w:val="105"/>
                <w:sz w:val="16"/>
              </w:rPr>
              <w:t>Limb-Girdle</w:t>
            </w:r>
            <w:r>
              <w:rPr>
                <w:color w:val="FFFFFF"/>
                <w:spacing w:val="15"/>
                <w:w w:val="105"/>
                <w:sz w:val="16"/>
              </w:rPr>
              <w:t> </w:t>
            </w:r>
            <w:r>
              <w:rPr>
                <w:color w:val="FFFFFF"/>
                <w:w w:val="105"/>
                <w:sz w:val="16"/>
              </w:rPr>
              <w:t>Muscular</w:t>
            </w:r>
            <w:r>
              <w:rPr>
                <w:color w:val="FFFFFF"/>
                <w:spacing w:val="15"/>
                <w:w w:val="105"/>
                <w:sz w:val="16"/>
              </w:rPr>
              <w:t> </w:t>
            </w:r>
            <w:r>
              <w:rPr>
                <w:color w:val="FFFFFF"/>
                <w:spacing w:val="-2"/>
                <w:w w:val="105"/>
                <w:sz w:val="16"/>
              </w:rPr>
              <w:t>Dystrophies</w:t>
            </w:r>
          </w:p>
        </w:tc>
      </w:tr>
      <w:tr>
        <w:trPr>
          <w:trHeight w:val="276" w:hRule="atLeast"/>
        </w:trPr>
        <w:tc>
          <w:tcPr>
            <w:tcW w:w="1236" w:type="dxa"/>
            <w:tcBorders>
              <w:bottom w:val="single" w:sz="4" w:space="0" w:color="231F20"/>
            </w:tcBorders>
            <w:shd w:val="clear" w:color="auto" w:fill="E8F5F1"/>
          </w:tcPr>
          <w:p>
            <w:pPr>
              <w:pStyle w:val="TableParagraph"/>
              <w:spacing w:before="66"/>
              <w:ind w:left="162"/>
              <w:rPr>
                <w:b/>
                <w:sz w:val="15"/>
              </w:rPr>
            </w:pPr>
            <w:r>
              <w:rPr>
                <w:b/>
                <w:color w:val="231F20"/>
                <w:spacing w:val="-4"/>
                <w:w w:val="105"/>
                <w:sz w:val="15"/>
              </w:rPr>
              <w:t>TYPE</w:t>
            </w:r>
          </w:p>
        </w:tc>
        <w:tc>
          <w:tcPr>
            <w:tcW w:w="1495" w:type="dxa"/>
            <w:tcBorders>
              <w:bottom w:val="single" w:sz="4" w:space="0" w:color="231F20"/>
            </w:tcBorders>
            <w:shd w:val="clear" w:color="auto" w:fill="E8F5F1"/>
          </w:tcPr>
          <w:p>
            <w:pPr>
              <w:pStyle w:val="TableParagraph"/>
              <w:spacing w:before="66"/>
              <w:ind w:left="317"/>
              <w:rPr>
                <w:b/>
                <w:sz w:val="15"/>
              </w:rPr>
            </w:pPr>
            <w:r>
              <w:rPr>
                <w:b/>
                <w:color w:val="231F20"/>
                <w:spacing w:val="-2"/>
                <w:w w:val="110"/>
                <w:sz w:val="15"/>
              </w:rPr>
              <w:t>LOCATION</w:t>
            </w:r>
          </w:p>
        </w:tc>
        <w:tc>
          <w:tcPr>
            <w:tcW w:w="2319" w:type="dxa"/>
            <w:tcBorders>
              <w:bottom w:val="single" w:sz="4" w:space="0" w:color="231F20"/>
            </w:tcBorders>
            <w:shd w:val="clear" w:color="auto" w:fill="E8F5F1"/>
          </w:tcPr>
          <w:p>
            <w:pPr>
              <w:pStyle w:val="TableParagraph"/>
              <w:spacing w:before="66"/>
              <w:ind w:left="556"/>
              <w:rPr>
                <w:b/>
                <w:sz w:val="15"/>
              </w:rPr>
            </w:pPr>
            <w:r>
              <w:rPr>
                <w:b/>
                <w:color w:val="231F20"/>
                <w:w w:val="110"/>
                <w:sz w:val="15"/>
              </w:rPr>
              <w:t>GENE</w:t>
            </w:r>
            <w:r>
              <w:rPr>
                <w:b/>
                <w:color w:val="231F20"/>
                <w:spacing w:val="17"/>
                <w:w w:val="110"/>
                <w:sz w:val="15"/>
              </w:rPr>
              <w:t> </w:t>
            </w:r>
            <w:r>
              <w:rPr>
                <w:b/>
                <w:color w:val="231F20"/>
                <w:spacing w:val="-2"/>
                <w:w w:val="110"/>
                <w:sz w:val="15"/>
              </w:rPr>
              <w:t>PRODUCT</w:t>
            </w:r>
          </w:p>
        </w:tc>
        <w:tc>
          <w:tcPr>
            <w:tcW w:w="4778" w:type="dxa"/>
            <w:tcBorders>
              <w:bottom w:val="single" w:sz="4" w:space="0" w:color="231F20"/>
            </w:tcBorders>
            <w:shd w:val="clear" w:color="auto" w:fill="E8F5F1"/>
          </w:tcPr>
          <w:p>
            <w:pPr>
              <w:pStyle w:val="TableParagraph"/>
              <w:spacing w:before="66"/>
              <w:ind w:left="1792"/>
              <w:rPr>
                <w:b/>
                <w:sz w:val="15"/>
              </w:rPr>
            </w:pPr>
            <w:r>
              <w:rPr>
                <w:b/>
                <w:color w:val="231F20"/>
                <w:w w:val="110"/>
                <w:sz w:val="15"/>
              </w:rPr>
              <w:t>CLINICAL</w:t>
            </w:r>
            <w:r>
              <w:rPr>
                <w:b/>
                <w:color w:val="231F20"/>
                <w:spacing w:val="-4"/>
                <w:w w:val="110"/>
                <w:sz w:val="15"/>
              </w:rPr>
              <w:t> </w:t>
            </w:r>
            <w:r>
              <w:rPr>
                <w:b/>
                <w:color w:val="231F20"/>
                <w:spacing w:val="-2"/>
                <w:w w:val="110"/>
                <w:sz w:val="15"/>
              </w:rPr>
              <w:t>FEATURES</w:t>
            </w:r>
          </w:p>
        </w:tc>
      </w:tr>
      <w:tr>
        <w:trPr>
          <w:trHeight w:val="257" w:hRule="atLeast"/>
        </w:trPr>
        <w:tc>
          <w:tcPr>
            <w:tcW w:w="1236" w:type="dxa"/>
            <w:tcBorders>
              <w:top w:val="single" w:sz="4" w:space="0" w:color="231F20"/>
              <w:bottom w:val="single" w:sz="4" w:space="0" w:color="FFFFFF"/>
            </w:tcBorders>
            <w:shd w:val="clear" w:color="auto" w:fill="E8F5F1"/>
          </w:tcPr>
          <w:p>
            <w:pPr>
              <w:pStyle w:val="TableParagraph"/>
              <w:spacing w:before="47"/>
              <w:ind w:left="162"/>
              <w:rPr>
                <w:sz w:val="15"/>
              </w:rPr>
            </w:pPr>
            <w:r>
              <w:rPr>
                <w:color w:val="231F20"/>
                <w:spacing w:val="-2"/>
                <w:w w:val="115"/>
                <w:sz w:val="15"/>
              </w:rPr>
              <w:t>LGMD2A</w:t>
            </w:r>
          </w:p>
        </w:tc>
        <w:tc>
          <w:tcPr>
            <w:tcW w:w="1495" w:type="dxa"/>
            <w:tcBorders>
              <w:top w:val="single" w:sz="4" w:space="0" w:color="231F20"/>
              <w:bottom w:val="single" w:sz="4" w:space="0" w:color="FFFFFF"/>
            </w:tcBorders>
            <w:shd w:val="clear" w:color="auto" w:fill="E8F5F1"/>
          </w:tcPr>
          <w:p>
            <w:pPr>
              <w:pStyle w:val="TableParagraph"/>
              <w:spacing w:before="47"/>
              <w:ind w:left="317"/>
              <w:rPr>
                <w:sz w:val="15"/>
              </w:rPr>
            </w:pPr>
            <w:r>
              <w:rPr>
                <w:color w:val="231F20"/>
                <w:spacing w:val="-5"/>
                <w:sz w:val="15"/>
              </w:rPr>
              <w:t>15q</w:t>
            </w:r>
          </w:p>
        </w:tc>
        <w:tc>
          <w:tcPr>
            <w:tcW w:w="2319" w:type="dxa"/>
            <w:tcBorders>
              <w:top w:val="single" w:sz="4" w:space="0" w:color="231F20"/>
              <w:bottom w:val="single" w:sz="4" w:space="0" w:color="FFFFFF"/>
            </w:tcBorders>
            <w:shd w:val="clear" w:color="auto" w:fill="E8F5F1"/>
          </w:tcPr>
          <w:p>
            <w:pPr>
              <w:pStyle w:val="TableParagraph"/>
              <w:spacing w:before="47"/>
              <w:ind w:left="384"/>
              <w:rPr>
                <w:sz w:val="15"/>
              </w:rPr>
            </w:pPr>
            <w:r>
              <w:rPr>
                <w:color w:val="231F20"/>
                <w:sz w:val="15"/>
              </w:rPr>
              <w:t>Calpain</w:t>
            </w:r>
            <w:r>
              <w:rPr>
                <w:color w:val="231F20"/>
                <w:spacing w:val="4"/>
                <w:sz w:val="15"/>
              </w:rPr>
              <w:t> </w:t>
            </w:r>
            <w:r>
              <w:rPr>
                <w:color w:val="231F20"/>
                <w:spacing w:val="-10"/>
                <w:sz w:val="15"/>
              </w:rPr>
              <w:t>3</w:t>
            </w:r>
          </w:p>
        </w:tc>
        <w:tc>
          <w:tcPr>
            <w:tcW w:w="4778" w:type="dxa"/>
            <w:tcBorders>
              <w:top w:val="single" w:sz="4" w:space="0" w:color="231F20"/>
              <w:bottom w:val="single" w:sz="4" w:space="0" w:color="FFFFFF"/>
            </w:tcBorders>
            <w:shd w:val="clear" w:color="auto" w:fill="E8F5F1"/>
          </w:tcPr>
          <w:p>
            <w:pPr>
              <w:pStyle w:val="TableParagraph"/>
              <w:spacing w:before="47"/>
              <w:ind w:left="384"/>
              <w:rPr>
                <w:sz w:val="15"/>
              </w:rPr>
            </w:pPr>
            <w:r>
              <w:rPr>
                <w:color w:val="231F20"/>
                <w:sz w:val="15"/>
              </w:rPr>
              <w:t>Onset</w:t>
            </w:r>
            <w:r>
              <w:rPr>
                <w:color w:val="231F20"/>
                <w:spacing w:val="-2"/>
                <w:sz w:val="15"/>
              </w:rPr>
              <w:t> </w:t>
            </w:r>
            <w:r>
              <w:rPr>
                <w:color w:val="231F20"/>
                <w:sz w:val="15"/>
              </w:rPr>
              <w:t>at</w:t>
            </w:r>
            <w:r>
              <w:rPr>
                <w:color w:val="231F20"/>
                <w:spacing w:val="-2"/>
                <w:sz w:val="15"/>
              </w:rPr>
              <w:t> </w:t>
            </w:r>
            <w:r>
              <w:rPr>
                <w:color w:val="231F20"/>
                <w:sz w:val="15"/>
              </w:rPr>
              <w:t>8-15</w:t>
            </w:r>
            <w:r>
              <w:rPr>
                <w:color w:val="231F20"/>
                <w:spacing w:val="-1"/>
                <w:sz w:val="15"/>
              </w:rPr>
              <w:t> </w:t>
            </w:r>
            <w:r>
              <w:rPr>
                <w:color w:val="231F20"/>
                <w:sz w:val="15"/>
              </w:rPr>
              <w:t>yr,</w:t>
            </w:r>
            <w:r>
              <w:rPr>
                <w:color w:val="231F20"/>
                <w:spacing w:val="-2"/>
                <w:sz w:val="15"/>
              </w:rPr>
              <w:t> </w:t>
            </w:r>
            <w:r>
              <w:rPr>
                <w:color w:val="231F20"/>
                <w:sz w:val="15"/>
              </w:rPr>
              <w:t>progression</w:t>
            </w:r>
            <w:r>
              <w:rPr>
                <w:color w:val="231F20"/>
                <w:spacing w:val="-1"/>
                <w:sz w:val="15"/>
              </w:rPr>
              <w:t> </w:t>
            </w:r>
            <w:r>
              <w:rPr>
                <w:color w:val="231F20"/>
                <w:spacing w:val="-2"/>
                <w:sz w:val="15"/>
              </w:rPr>
              <w:t>variable</w:t>
            </w:r>
          </w:p>
        </w:tc>
      </w:tr>
      <w:tr>
        <w:trPr>
          <w:trHeight w:val="420" w:hRule="atLeast"/>
        </w:trPr>
        <w:tc>
          <w:tcPr>
            <w:tcW w:w="1236" w:type="dxa"/>
            <w:tcBorders>
              <w:top w:val="single" w:sz="4" w:space="0" w:color="FFFFFF"/>
              <w:bottom w:val="single" w:sz="4" w:space="0" w:color="FFFFFF"/>
            </w:tcBorders>
            <w:shd w:val="clear" w:color="auto" w:fill="E8F5F1"/>
          </w:tcPr>
          <w:p>
            <w:pPr>
              <w:pStyle w:val="TableParagraph"/>
              <w:spacing w:before="42"/>
              <w:ind w:left="162"/>
              <w:rPr>
                <w:sz w:val="15"/>
              </w:rPr>
            </w:pPr>
            <w:r>
              <w:rPr>
                <w:color w:val="231F20"/>
                <w:spacing w:val="-2"/>
                <w:w w:val="110"/>
                <w:sz w:val="15"/>
              </w:rPr>
              <w:t>LGMD2B</w:t>
            </w:r>
          </w:p>
        </w:tc>
        <w:tc>
          <w:tcPr>
            <w:tcW w:w="1495" w:type="dxa"/>
            <w:tcBorders>
              <w:top w:val="single" w:sz="4" w:space="0" w:color="FFFFFF"/>
              <w:bottom w:val="single" w:sz="4" w:space="0" w:color="FFFFFF"/>
            </w:tcBorders>
            <w:shd w:val="clear" w:color="auto" w:fill="E8F5F1"/>
          </w:tcPr>
          <w:p>
            <w:pPr>
              <w:pStyle w:val="TableParagraph"/>
              <w:spacing w:before="42"/>
              <w:ind w:left="317"/>
              <w:rPr>
                <w:sz w:val="15"/>
              </w:rPr>
            </w:pPr>
            <w:r>
              <w:rPr>
                <w:color w:val="231F20"/>
                <w:spacing w:val="-2"/>
                <w:sz w:val="15"/>
              </w:rPr>
              <w:t>2p13-</w:t>
            </w:r>
            <w:r>
              <w:rPr>
                <w:color w:val="231F20"/>
                <w:spacing w:val="-5"/>
                <w:sz w:val="15"/>
              </w:rPr>
              <w:t>16</w:t>
            </w:r>
          </w:p>
        </w:tc>
        <w:tc>
          <w:tcPr>
            <w:tcW w:w="2319" w:type="dxa"/>
            <w:tcBorders>
              <w:top w:val="single" w:sz="4" w:space="0" w:color="FFFFFF"/>
              <w:bottom w:val="single" w:sz="4" w:space="0" w:color="FFFFFF"/>
            </w:tcBorders>
            <w:shd w:val="clear" w:color="auto" w:fill="E8F5F1"/>
          </w:tcPr>
          <w:p>
            <w:pPr>
              <w:pStyle w:val="TableParagraph"/>
              <w:spacing w:before="42"/>
              <w:ind w:left="384"/>
              <w:rPr>
                <w:sz w:val="15"/>
              </w:rPr>
            </w:pPr>
            <w:r>
              <w:rPr>
                <w:color w:val="231F20"/>
                <w:spacing w:val="-2"/>
                <w:sz w:val="15"/>
              </w:rPr>
              <w:t>Dysferlin</w:t>
            </w:r>
          </w:p>
        </w:tc>
        <w:tc>
          <w:tcPr>
            <w:tcW w:w="4778" w:type="dxa"/>
            <w:tcBorders>
              <w:top w:val="single" w:sz="4" w:space="0" w:color="FFFFFF"/>
              <w:bottom w:val="single" w:sz="4" w:space="0" w:color="FFFFFF"/>
            </w:tcBorders>
            <w:shd w:val="clear" w:color="auto" w:fill="E8F5F1"/>
          </w:tcPr>
          <w:p>
            <w:pPr>
              <w:pStyle w:val="TableParagraph"/>
              <w:spacing w:line="230" w:lineRule="auto" w:before="48"/>
              <w:ind w:left="496" w:right="54" w:hanging="112"/>
              <w:rPr>
                <w:sz w:val="15"/>
              </w:rPr>
            </w:pPr>
            <w:r>
              <w:rPr>
                <w:color w:val="231F20"/>
                <w:sz w:val="15"/>
              </w:rPr>
              <w:t>Onset</w:t>
            </w:r>
            <w:r>
              <w:rPr>
                <w:color w:val="231F20"/>
                <w:spacing w:val="-5"/>
                <w:sz w:val="15"/>
              </w:rPr>
              <w:t> </w:t>
            </w:r>
            <w:r>
              <w:rPr>
                <w:color w:val="231F20"/>
                <w:sz w:val="15"/>
              </w:rPr>
              <w:t>at</w:t>
            </w:r>
            <w:r>
              <w:rPr>
                <w:color w:val="231F20"/>
                <w:spacing w:val="-5"/>
                <w:sz w:val="15"/>
              </w:rPr>
              <w:t> </w:t>
            </w:r>
            <w:r>
              <w:rPr>
                <w:color w:val="231F20"/>
                <w:sz w:val="15"/>
              </w:rPr>
              <w:t>adolescence,</w:t>
            </w:r>
            <w:r>
              <w:rPr>
                <w:color w:val="231F20"/>
                <w:spacing w:val="-5"/>
                <w:sz w:val="15"/>
              </w:rPr>
              <w:t> </w:t>
            </w:r>
            <w:r>
              <w:rPr>
                <w:color w:val="231F20"/>
                <w:sz w:val="15"/>
              </w:rPr>
              <w:t>mild</w:t>
            </w:r>
            <w:r>
              <w:rPr>
                <w:color w:val="231F20"/>
                <w:spacing w:val="-5"/>
                <w:sz w:val="15"/>
              </w:rPr>
              <w:t> </w:t>
            </w:r>
            <w:r>
              <w:rPr>
                <w:color w:val="231F20"/>
                <w:sz w:val="15"/>
              </w:rPr>
              <w:t>weakness;</w:t>
            </w:r>
            <w:r>
              <w:rPr>
                <w:color w:val="231F20"/>
                <w:spacing w:val="-5"/>
                <w:sz w:val="15"/>
              </w:rPr>
              <w:t> </w:t>
            </w:r>
            <w:r>
              <w:rPr>
                <w:color w:val="231F20"/>
                <w:sz w:val="15"/>
              </w:rPr>
              <w:t>gene</w:t>
            </w:r>
            <w:r>
              <w:rPr>
                <w:color w:val="231F20"/>
                <w:spacing w:val="-5"/>
                <w:sz w:val="15"/>
              </w:rPr>
              <w:t> </w:t>
            </w:r>
            <w:r>
              <w:rPr>
                <w:color w:val="231F20"/>
                <w:sz w:val="15"/>
              </w:rPr>
              <w:t>site</w:t>
            </w:r>
            <w:r>
              <w:rPr>
                <w:color w:val="231F20"/>
                <w:spacing w:val="-5"/>
                <w:sz w:val="15"/>
              </w:rPr>
              <w:t> </w:t>
            </w:r>
            <w:r>
              <w:rPr>
                <w:color w:val="231F20"/>
                <w:sz w:val="15"/>
              </w:rPr>
              <w:t>is</w:t>
            </w:r>
            <w:r>
              <w:rPr>
                <w:color w:val="231F20"/>
                <w:spacing w:val="-5"/>
                <w:sz w:val="15"/>
              </w:rPr>
              <w:t> </w:t>
            </w:r>
            <w:r>
              <w:rPr>
                <w:color w:val="231F20"/>
                <w:sz w:val="15"/>
              </w:rPr>
              <w:t>the</w:t>
            </w:r>
            <w:r>
              <w:rPr>
                <w:color w:val="231F20"/>
                <w:spacing w:val="-5"/>
                <w:sz w:val="15"/>
              </w:rPr>
              <w:t> </w:t>
            </w:r>
            <w:r>
              <w:rPr>
                <w:color w:val="231F20"/>
                <w:sz w:val="15"/>
              </w:rPr>
              <w:t>same</w:t>
            </w:r>
            <w:r>
              <w:rPr>
                <w:color w:val="231F20"/>
                <w:spacing w:val="-5"/>
                <w:sz w:val="15"/>
              </w:rPr>
              <w:t> </w:t>
            </w:r>
            <w:r>
              <w:rPr>
                <w:color w:val="231F20"/>
                <w:sz w:val="15"/>
              </w:rPr>
              <w:t>as for Miyoshi myopathy</w:t>
            </w:r>
          </w:p>
        </w:tc>
      </w:tr>
      <w:tr>
        <w:trPr>
          <w:trHeight w:val="420" w:hRule="atLeast"/>
        </w:trPr>
        <w:tc>
          <w:tcPr>
            <w:tcW w:w="1236"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pacing w:val="-2"/>
                <w:w w:val="115"/>
                <w:sz w:val="15"/>
              </w:rPr>
              <w:t>LGMD2C</w:t>
            </w:r>
          </w:p>
        </w:tc>
        <w:tc>
          <w:tcPr>
            <w:tcW w:w="1495" w:type="dxa"/>
            <w:tcBorders>
              <w:top w:val="single" w:sz="4" w:space="0" w:color="FFFFFF"/>
              <w:bottom w:val="single" w:sz="4" w:space="0" w:color="FFFFFF"/>
            </w:tcBorders>
            <w:shd w:val="clear" w:color="auto" w:fill="E8F5F1"/>
          </w:tcPr>
          <w:p>
            <w:pPr>
              <w:pStyle w:val="TableParagraph"/>
              <w:spacing w:before="42"/>
              <w:ind w:left="317"/>
              <w:rPr>
                <w:sz w:val="15"/>
              </w:rPr>
            </w:pPr>
            <w:r>
              <w:rPr>
                <w:color w:val="231F20"/>
                <w:spacing w:val="-2"/>
                <w:sz w:val="15"/>
              </w:rPr>
              <w:t>13q12</w:t>
            </w:r>
          </w:p>
        </w:tc>
        <w:tc>
          <w:tcPr>
            <w:tcW w:w="2319" w:type="dxa"/>
            <w:tcBorders>
              <w:top w:val="single" w:sz="4" w:space="0" w:color="FFFFFF"/>
              <w:bottom w:val="single" w:sz="4" w:space="0" w:color="FFFFFF"/>
            </w:tcBorders>
            <w:shd w:val="clear" w:color="auto" w:fill="E8F5F1"/>
          </w:tcPr>
          <w:p>
            <w:pPr>
              <w:pStyle w:val="TableParagraph"/>
              <w:spacing w:before="42"/>
              <w:ind w:left="384"/>
              <w:rPr>
                <w:sz w:val="15"/>
              </w:rPr>
            </w:pPr>
            <w:r>
              <w:rPr>
                <w:color w:val="231F20"/>
                <w:spacing w:val="-2"/>
                <w:sz w:val="15"/>
              </w:rPr>
              <w:t>Sarcoglycan</w:t>
            </w:r>
          </w:p>
        </w:tc>
        <w:tc>
          <w:tcPr>
            <w:tcW w:w="4778" w:type="dxa"/>
            <w:tcBorders>
              <w:top w:val="single" w:sz="4" w:space="0" w:color="FFFFFF"/>
              <w:bottom w:val="single" w:sz="4" w:space="0" w:color="FFFFFF"/>
            </w:tcBorders>
            <w:shd w:val="clear" w:color="auto" w:fill="E8F5F1"/>
          </w:tcPr>
          <w:p>
            <w:pPr>
              <w:pStyle w:val="TableParagraph"/>
              <w:spacing w:line="230" w:lineRule="auto" w:before="48"/>
              <w:ind w:left="496" w:hanging="112"/>
              <w:rPr>
                <w:sz w:val="15"/>
              </w:rPr>
            </w:pPr>
            <w:r>
              <w:rPr>
                <w:color w:val="231F20"/>
                <w:sz w:val="15"/>
              </w:rPr>
              <w:t>Duchenne-like,</w:t>
            </w:r>
            <w:r>
              <w:rPr>
                <w:color w:val="231F20"/>
                <w:spacing w:val="-12"/>
                <w:sz w:val="15"/>
              </w:rPr>
              <w:t> </w:t>
            </w:r>
            <w:r>
              <w:rPr>
                <w:color w:val="231F20"/>
                <w:sz w:val="15"/>
              </w:rPr>
              <w:t>severe</w:t>
            </w:r>
            <w:r>
              <w:rPr>
                <w:color w:val="231F20"/>
                <w:spacing w:val="-11"/>
                <w:sz w:val="15"/>
              </w:rPr>
              <w:t> </w:t>
            </w:r>
            <w:r>
              <w:rPr>
                <w:color w:val="231F20"/>
                <w:sz w:val="15"/>
              </w:rPr>
              <w:t>childhood</w:t>
            </w:r>
            <w:r>
              <w:rPr>
                <w:color w:val="231F20"/>
                <w:spacing w:val="-11"/>
                <w:sz w:val="15"/>
              </w:rPr>
              <w:t> </w:t>
            </w:r>
            <w:r>
              <w:rPr>
                <w:color w:val="231F20"/>
                <w:sz w:val="15"/>
              </w:rPr>
              <w:t>autosomal</w:t>
            </w:r>
            <w:r>
              <w:rPr>
                <w:color w:val="231F20"/>
                <w:spacing w:val="-12"/>
                <w:sz w:val="15"/>
              </w:rPr>
              <w:t> </w:t>
            </w:r>
            <w:r>
              <w:rPr>
                <w:color w:val="231F20"/>
                <w:sz w:val="15"/>
              </w:rPr>
              <w:t>recessive</w:t>
            </w:r>
            <w:r>
              <w:rPr>
                <w:color w:val="231F20"/>
                <w:spacing w:val="-11"/>
                <w:sz w:val="15"/>
              </w:rPr>
              <w:t> </w:t>
            </w:r>
            <w:r>
              <w:rPr>
                <w:color w:val="231F20"/>
                <w:sz w:val="15"/>
              </w:rPr>
              <w:t>muscular dystrophy (SCARMD1)</w:t>
            </w:r>
          </w:p>
        </w:tc>
      </w:tr>
      <w:tr>
        <w:trPr>
          <w:trHeight w:val="420" w:hRule="atLeast"/>
        </w:trPr>
        <w:tc>
          <w:tcPr>
            <w:tcW w:w="1236"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pacing w:val="-2"/>
                <w:w w:val="115"/>
                <w:sz w:val="15"/>
              </w:rPr>
              <w:t>LGMD2D</w:t>
            </w:r>
          </w:p>
        </w:tc>
        <w:tc>
          <w:tcPr>
            <w:tcW w:w="1495" w:type="dxa"/>
            <w:tcBorders>
              <w:top w:val="single" w:sz="4" w:space="0" w:color="FFFFFF"/>
              <w:bottom w:val="single" w:sz="4" w:space="0" w:color="FFFFFF"/>
            </w:tcBorders>
            <w:shd w:val="clear" w:color="auto" w:fill="E8F5F1"/>
          </w:tcPr>
          <w:p>
            <w:pPr>
              <w:pStyle w:val="TableParagraph"/>
              <w:spacing w:before="42"/>
              <w:ind w:left="318"/>
              <w:rPr>
                <w:sz w:val="15"/>
              </w:rPr>
            </w:pPr>
            <w:r>
              <w:rPr>
                <w:color w:val="231F20"/>
                <w:spacing w:val="-2"/>
                <w:sz w:val="15"/>
              </w:rPr>
              <w:t>17q12</w:t>
            </w:r>
          </w:p>
        </w:tc>
        <w:tc>
          <w:tcPr>
            <w:tcW w:w="2319" w:type="dxa"/>
            <w:tcBorders>
              <w:top w:val="single" w:sz="4" w:space="0" w:color="FFFFFF"/>
              <w:bottom w:val="single" w:sz="4" w:space="0" w:color="FFFFFF"/>
            </w:tcBorders>
            <w:shd w:val="clear" w:color="auto" w:fill="E8F5F1"/>
          </w:tcPr>
          <w:p>
            <w:pPr>
              <w:pStyle w:val="TableParagraph"/>
              <w:spacing w:before="42"/>
              <w:ind w:left="384"/>
              <w:rPr>
                <w:sz w:val="15"/>
              </w:rPr>
            </w:pPr>
            <w:r>
              <w:rPr>
                <w:rFonts w:ascii="Cambria" w:hAnsi="Cambria"/>
                <w:color w:val="231F20"/>
                <w:sz w:val="15"/>
              </w:rPr>
              <w:t>α</w:t>
            </w:r>
            <w:r>
              <w:rPr>
                <w:color w:val="231F20"/>
                <w:sz w:val="15"/>
              </w:rPr>
              <w:t>-Sarcoglycan</w:t>
            </w:r>
            <w:r>
              <w:rPr>
                <w:color w:val="231F20"/>
                <w:spacing w:val="8"/>
                <w:sz w:val="15"/>
              </w:rPr>
              <w:t> </w:t>
            </w:r>
            <w:r>
              <w:rPr>
                <w:color w:val="231F20"/>
                <w:spacing w:val="-2"/>
                <w:sz w:val="15"/>
              </w:rPr>
              <w:t>(adhalin)</w:t>
            </w:r>
          </w:p>
        </w:tc>
        <w:tc>
          <w:tcPr>
            <w:tcW w:w="4778" w:type="dxa"/>
            <w:tcBorders>
              <w:top w:val="single" w:sz="4" w:space="0" w:color="FFFFFF"/>
              <w:bottom w:val="single" w:sz="4" w:space="0" w:color="FFFFFF"/>
            </w:tcBorders>
            <w:shd w:val="clear" w:color="auto" w:fill="E8F5F1"/>
          </w:tcPr>
          <w:p>
            <w:pPr>
              <w:pStyle w:val="TableParagraph"/>
              <w:spacing w:line="230" w:lineRule="auto" w:before="48"/>
              <w:ind w:left="497" w:hanging="112"/>
              <w:rPr>
                <w:sz w:val="15"/>
              </w:rPr>
            </w:pPr>
            <w:r>
              <w:rPr>
                <w:color w:val="231F20"/>
                <w:sz w:val="15"/>
              </w:rPr>
              <w:t>Duchenne-like,</w:t>
            </w:r>
            <w:r>
              <w:rPr>
                <w:color w:val="231F20"/>
                <w:spacing w:val="-12"/>
                <w:sz w:val="15"/>
              </w:rPr>
              <w:t> </w:t>
            </w:r>
            <w:r>
              <w:rPr>
                <w:color w:val="231F20"/>
                <w:sz w:val="15"/>
              </w:rPr>
              <w:t>severe</w:t>
            </w:r>
            <w:r>
              <w:rPr>
                <w:color w:val="231F20"/>
                <w:spacing w:val="-11"/>
                <w:sz w:val="15"/>
              </w:rPr>
              <w:t> </w:t>
            </w:r>
            <w:r>
              <w:rPr>
                <w:color w:val="231F20"/>
                <w:sz w:val="15"/>
              </w:rPr>
              <w:t>childhood</w:t>
            </w:r>
            <w:r>
              <w:rPr>
                <w:color w:val="231F20"/>
                <w:spacing w:val="-11"/>
                <w:sz w:val="15"/>
              </w:rPr>
              <w:t> </w:t>
            </w:r>
            <w:r>
              <w:rPr>
                <w:color w:val="231F20"/>
                <w:sz w:val="15"/>
              </w:rPr>
              <w:t>autosomal</w:t>
            </w:r>
            <w:r>
              <w:rPr>
                <w:color w:val="231F20"/>
                <w:spacing w:val="-12"/>
                <w:sz w:val="15"/>
              </w:rPr>
              <w:t> </w:t>
            </w:r>
            <w:r>
              <w:rPr>
                <w:color w:val="231F20"/>
                <w:sz w:val="15"/>
              </w:rPr>
              <w:t>recessive</w:t>
            </w:r>
            <w:r>
              <w:rPr>
                <w:color w:val="231F20"/>
                <w:spacing w:val="-11"/>
                <w:sz w:val="15"/>
              </w:rPr>
              <w:t> </w:t>
            </w:r>
            <w:r>
              <w:rPr>
                <w:color w:val="231F20"/>
                <w:sz w:val="15"/>
              </w:rPr>
              <w:t>muscular dystrophy (SCARMD2)</w:t>
            </w:r>
          </w:p>
        </w:tc>
      </w:tr>
      <w:tr>
        <w:trPr>
          <w:trHeight w:val="254" w:hRule="atLeast"/>
        </w:trPr>
        <w:tc>
          <w:tcPr>
            <w:tcW w:w="1236" w:type="dxa"/>
            <w:tcBorders>
              <w:top w:val="single" w:sz="4" w:space="0" w:color="FFFFFF"/>
              <w:bottom w:val="single" w:sz="4" w:space="0" w:color="FFFFFF"/>
            </w:tcBorders>
            <w:shd w:val="clear" w:color="auto" w:fill="E8F5F1"/>
          </w:tcPr>
          <w:p>
            <w:pPr>
              <w:pStyle w:val="TableParagraph"/>
              <w:spacing w:before="42"/>
              <w:ind w:left="163"/>
              <w:rPr>
                <w:sz w:val="15"/>
              </w:rPr>
            </w:pPr>
            <w:r>
              <w:rPr>
                <w:color w:val="231F20"/>
                <w:spacing w:val="-2"/>
                <w:w w:val="110"/>
                <w:sz w:val="15"/>
              </w:rPr>
              <w:t>LGMD2E</w:t>
            </w:r>
          </w:p>
        </w:tc>
        <w:tc>
          <w:tcPr>
            <w:tcW w:w="1495" w:type="dxa"/>
            <w:tcBorders>
              <w:top w:val="single" w:sz="4" w:space="0" w:color="FFFFFF"/>
              <w:bottom w:val="single" w:sz="4" w:space="0" w:color="FFFFFF"/>
            </w:tcBorders>
            <w:shd w:val="clear" w:color="auto" w:fill="E8F5F1"/>
          </w:tcPr>
          <w:p>
            <w:pPr>
              <w:pStyle w:val="TableParagraph"/>
              <w:spacing w:before="42"/>
              <w:ind w:left="318"/>
              <w:rPr>
                <w:sz w:val="15"/>
              </w:rPr>
            </w:pPr>
            <w:r>
              <w:rPr>
                <w:color w:val="231F20"/>
                <w:spacing w:val="-4"/>
                <w:sz w:val="15"/>
              </w:rPr>
              <w:t>4q12</w:t>
            </w:r>
          </w:p>
        </w:tc>
        <w:tc>
          <w:tcPr>
            <w:tcW w:w="2319" w:type="dxa"/>
            <w:tcBorders>
              <w:top w:val="single" w:sz="4" w:space="0" w:color="FFFFFF"/>
              <w:bottom w:val="single" w:sz="4" w:space="0" w:color="FFFFFF"/>
            </w:tcBorders>
            <w:shd w:val="clear" w:color="auto" w:fill="E8F5F1"/>
          </w:tcPr>
          <w:p>
            <w:pPr>
              <w:pStyle w:val="TableParagraph"/>
              <w:spacing w:before="42"/>
              <w:ind w:left="384"/>
              <w:rPr>
                <w:sz w:val="15"/>
              </w:rPr>
            </w:pPr>
            <w:r>
              <w:rPr>
                <w:rFonts w:ascii="Cambria" w:hAnsi="Cambria"/>
                <w:color w:val="231F20"/>
                <w:spacing w:val="-2"/>
                <w:sz w:val="15"/>
              </w:rPr>
              <w:t>β</w:t>
            </w:r>
            <w:r>
              <w:rPr>
                <w:color w:val="231F20"/>
                <w:spacing w:val="-2"/>
                <w:sz w:val="15"/>
              </w:rPr>
              <w:t>-Sarcoglycan</w:t>
            </w:r>
          </w:p>
        </w:tc>
        <w:tc>
          <w:tcPr>
            <w:tcW w:w="4778" w:type="dxa"/>
            <w:tcBorders>
              <w:top w:val="single" w:sz="4" w:space="0" w:color="FFFFFF"/>
              <w:bottom w:val="single" w:sz="4" w:space="0" w:color="FFFFFF"/>
            </w:tcBorders>
            <w:shd w:val="clear" w:color="auto" w:fill="E8F5F1"/>
          </w:tcPr>
          <w:p>
            <w:pPr>
              <w:pStyle w:val="TableParagraph"/>
              <w:spacing w:before="42"/>
              <w:ind w:left="385"/>
              <w:rPr>
                <w:sz w:val="15"/>
              </w:rPr>
            </w:pPr>
            <w:r>
              <w:rPr>
                <w:color w:val="231F20"/>
                <w:sz w:val="15"/>
              </w:rPr>
              <w:t>Phenotype</w:t>
            </w:r>
            <w:r>
              <w:rPr>
                <w:color w:val="231F20"/>
                <w:spacing w:val="1"/>
                <w:sz w:val="15"/>
              </w:rPr>
              <w:t> </w:t>
            </w:r>
            <w:r>
              <w:rPr>
                <w:color w:val="231F20"/>
                <w:sz w:val="15"/>
              </w:rPr>
              <w:t>between</w:t>
            </w:r>
            <w:r>
              <w:rPr>
                <w:color w:val="231F20"/>
                <w:spacing w:val="2"/>
                <w:sz w:val="15"/>
              </w:rPr>
              <w:t> </w:t>
            </w:r>
            <w:r>
              <w:rPr>
                <w:color w:val="231F20"/>
                <w:sz w:val="15"/>
              </w:rPr>
              <w:t>Duchenne</w:t>
            </w:r>
            <w:r>
              <w:rPr>
                <w:color w:val="231F20"/>
                <w:spacing w:val="2"/>
                <w:sz w:val="15"/>
              </w:rPr>
              <w:t> </w:t>
            </w:r>
            <w:r>
              <w:rPr>
                <w:color w:val="231F20"/>
                <w:sz w:val="15"/>
              </w:rPr>
              <w:t>and</w:t>
            </w:r>
            <w:r>
              <w:rPr>
                <w:color w:val="231F20"/>
                <w:spacing w:val="2"/>
                <w:sz w:val="15"/>
              </w:rPr>
              <w:t> </w:t>
            </w:r>
            <w:r>
              <w:rPr>
                <w:color w:val="231F20"/>
                <w:sz w:val="15"/>
              </w:rPr>
              <w:t>Becker</w:t>
            </w:r>
            <w:r>
              <w:rPr>
                <w:color w:val="231F20"/>
                <w:spacing w:val="2"/>
                <w:sz w:val="15"/>
              </w:rPr>
              <w:t> </w:t>
            </w:r>
            <w:r>
              <w:rPr>
                <w:color w:val="231F20"/>
                <w:sz w:val="15"/>
              </w:rPr>
              <w:t>muscular</w:t>
            </w:r>
            <w:r>
              <w:rPr>
                <w:color w:val="231F20"/>
                <w:spacing w:val="2"/>
                <w:sz w:val="15"/>
              </w:rPr>
              <w:t> </w:t>
            </w:r>
            <w:r>
              <w:rPr>
                <w:color w:val="231F20"/>
                <w:spacing w:val="-2"/>
                <w:sz w:val="15"/>
              </w:rPr>
              <w:t>dystrophies</w:t>
            </w:r>
          </w:p>
        </w:tc>
      </w:tr>
      <w:tr>
        <w:trPr>
          <w:trHeight w:val="247" w:hRule="atLeast"/>
        </w:trPr>
        <w:tc>
          <w:tcPr>
            <w:tcW w:w="1236" w:type="dxa"/>
            <w:tcBorders>
              <w:top w:val="single" w:sz="4" w:space="0" w:color="FFFFFF"/>
              <w:bottom w:val="single" w:sz="8" w:space="0" w:color="231F20"/>
            </w:tcBorders>
            <w:shd w:val="clear" w:color="auto" w:fill="E8F5F1"/>
          </w:tcPr>
          <w:p>
            <w:pPr>
              <w:pStyle w:val="TableParagraph"/>
              <w:spacing w:before="42"/>
              <w:ind w:left="163"/>
              <w:rPr>
                <w:sz w:val="15"/>
              </w:rPr>
            </w:pPr>
            <w:r>
              <w:rPr>
                <w:color w:val="231F20"/>
                <w:spacing w:val="-2"/>
                <w:w w:val="110"/>
                <w:sz w:val="15"/>
              </w:rPr>
              <w:t>LGMD2F</w:t>
            </w:r>
          </w:p>
        </w:tc>
        <w:tc>
          <w:tcPr>
            <w:tcW w:w="1495" w:type="dxa"/>
            <w:tcBorders>
              <w:top w:val="single" w:sz="4" w:space="0" w:color="FFFFFF"/>
              <w:bottom w:val="single" w:sz="8" w:space="0" w:color="231F20"/>
            </w:tcBorders>
            <w:shd w:val="clear" w:color="auto" w:fill="E8F5F1"/>
          </w:tcPr>
          <w:p>
            <w:pPr>
              <w:pStyle w:val="TableParagraph"/>
              <w:spacing w:before="42"/>
              <w:ind w:left="318"/>
              <w:rPr>
                <w:sz w:val="15"/>
              </w:rPr>
            </w:pPr>
            <w:r>
              <w:rPr>
                <w:color w:val="231F20"/>
                <w:spacing w:val="-2"/>
                <w:sz w:val="15"/>
              </w:rPr>
              <w:t>5q33-</w:t>
            </w:r>
            <w:r>
              <w:rPr>
                <w:color w:val="231F20"/>
                <w:spacing w:val="-5"/>
                <w:sz w:val="15"/>
              </w:rPr>
              <w:t>34</w:t>
            </w:r>
          </w:p>
        </w:tc>
        <w:tc>
          <w:tcPr>
            <w:tcW w:w="2319" w:type="dxa"/>
            <w:tcBorders>
              <w:top w:val="single" w:sz="4" w:space="0" w:color="FFFFFF"/>
              <w:bottom w:val="single" w:sz="8" w:space="0" w:color="231F20"/>
            </w:tcBorders>
            <w:shd w:val="clear" w:color="auto" w:fill="E8F5F1"/>
          </w:tcPr>
          <w:p>
            <w:pPr>
              <w:pStyle w:val="TableParagraph"/>
              <w:spacing w:before="42"/>
              <w:ind w:left="384"/>
              <w:rPr>
                <w:sz w:val="15"/>
              </w:rPr>
            </w:pPr>
            <w:r>
              <w:rPr>
                <w:color w:val="231F20"/>
                <w:spacing w:val="-2"/>
                <w:sz w:val="15"/>
              </w:rPr>
              <w:t>Sarcoglycan</w:t>
            </w:r>
          </w:p>
        </w:tc>
        <w:tc>
          <w:tcPr>
            <w:tcW w:w="4778" w:type="dxa"/>
            <w:tcBorders>
              <w:top w:val="single" w:sz="4" w:space="0" w:color="FFFFFF"/>
              <w:bottom w:val="single" w:sz="8" w:space="0" w:color="231F20"/>
            </w:tcBorders>
            <w:shd w:val="clear" w:color="auto" w:fill="E8F5F1"/>
          </w:tcPr>
          <w:p>
            <w:pPr>
              <w:pStyle w:val="TableParagraph"/>
              <w:spacing w:before="42"/>
              <w:ind w:left="385"/>
              <w:rPr>
                <w:sz w:val="15"/>
              </w:rPr>
            </w:pPr>
            <w:r>
              <w:rPr>
                <w:color w:val="231F20"/>
                <w:sz w:val="15"/>
              </w:rPr>
              <w:t>Slowly</w:t>
            </w:r>
            <w:r>
              <w:rPr>
                <w:color w:val="231F20"/>
                <w:spacing w:val="-6"/>
                <w:sz w:val="15"/>
              </w:rPr>
              <w:t> </w:t>
            </w:r>
            <w:r>
              <w:rPr>
                <w:color w:val="231F20"/>
                <w:sz w:val="15"/>
              </w:rPr>
              <w:t>progressive,</w:t>
            </w:r>
            <w:r>
              <w:rPr>
                <w:color w:val="231F20"/>
                <w:spacing w:val="-6"/>
                <w:sz w:val="15"/>
              </w:rPr>
              <w:t> </w:t>
            </w:r>
            <w:r>
              <w:rPr>
                <w:color w:val="231F20"/>
                <w:sz w:val="15"/>
              </w:rPr>
              <w:t>growth</w:t>
            </w:r>
            <w:r>
              <w:rPr>
                <w:color w:val="231F20"/>
                <w:spacing w:val="-6"/>
                <w:sz w:val="15"/>
              </w:rPr>
              <w:t> </w:t>
            </w:r>
            <w:r>
              <w:rPr>
                <w:color w:val="231F20"/>
                <w:spacing w:val="-2"/>
                <w:sz w:val="15"/>
              </w:rPr>
              <w:t>retardation</w:t>
            </w:r>
          </w:p>
        </w:tc>
      </w:tr>
    </w:tbl>
    <w:p>
      <w:pPr>
        <w:pStyle w:val="BodyText"/>
        <w:spacing w:line="150" w:lineRule="exact" w:before="78"/>
        <w:ind w:left="292"/>
      </w:pPr>
      <w:r>
        <w:rPr>
          <w:color w:val="231F20"/>
        </w:rPr>
        <w:t>LGMD,</w:t>
      </w:r>
      <w:r>
        <w:rPr>
          <w:color w:val="231F20"/>
          <w:spacing w:val="7"/>
        </w:rPr>
        <w:t> </w:t>
      </w:r>
      <w:r>
        <w:rPr>
          <w:color w:val="231F20"/>
        </w:rPr>
        <w:t>limb-girdle</w:t>
      </w:r>
      <w:r>
        <w:rPr>
          <w:color w:val="231F20"/>
          <w:spacing w:val="8"/>
        </w:rPr>
        <w:t> </w:t>
      </w:r>
      <w:r>
        <w:rPr>
          <w:color w:val="231F20"/>
        </w:rPr>
        <w:t>muscular</w:t>
      </w:r>
      <w:r>
        <w:rPr>
          <w:color w:val="231F20"/>
          <w:spacing w:val="8"/>
        </w:rPr>
        <w:t> </w:t>
      </w:r>
      <w:r>
        <w:rPr>
          <w:color w:val="231F20"/>
          <w:spacing w:val="-2"/>
        </w:rPr>
        <w:t>dystrophy.</w:t>
      </w:r>
    </w:p>
    <w:p>
      <w:pPr>
        <w:spacing w:line="150" w:lineRule="exact" w:before="0"/>
        <w:ind w:left="422" w:right="0" w:firstLine="0"/>
        <w:jc w:val="left"/>
        <w:rPr>
          <w:i/>
          <w:sz w:val="13"/>
        </w:rPr>
      </w:pPr>
      <w:r>
        <w:rPr>
          <w:i/>
          <w:color w:val="231F20"/>
          <w:sz w:val="13"/>
        </w:rPr>
        <w:t>From</w:t>
      </w:r>
      <w:r>
        <w:rPr>
          <w:i/>
          <w:color w:val="231F20"/>
          <w:spacing w:val="-4"/>
          <w:sz w:val="13"/>
        </w:rPr>
        <w:t> </w:t>
      </w:r>
      <w:r>
        <w:rPr>
          <w:i/>
          <w:color w:val="231F20"/>
          <w:sz w:val="13"/>
        </w:rPr>
        <w:t>Fenichel</w:t>
      </w:r>
      <w:r>
        <w:rPr>
          <w:i/>
          <w:color w:val="231F20"/>
          <w:spacing w:val="-4"/>
          <w:sz w:val="13"/>
        </w:rPr>
        <w:t> </w:t>
      </w:r>
      <w:r>
        <w:rPr>
          <w:i/>
          <w:color w:val="231F20"/>
          <w:sz w:val="13"/>
        </w:rPr>
        <w:t>GM:</w:t>
      </w:r>
      <w:r>
        <w:rPr>
          <w:i/>
          <w:color w:val="231F20"/>
          <w:spacing w:val="-3"/>
          <w:sz w:val="13"/>
        </w:rPr>
        <w:t> </w:t>
      </w:r>
      <w:r>
        <w:rPr>
          <w:color w:val="231F20"/>
          <w:sz w:val="13"/>
        </w:rPr>
        <w:t>Clinical</w:t>
      </w:r>
      <w:r>
        <w:rPr>
          <w:color w:val="231F20"/>
          <w:spacing w:val="-4"/>
          <w:sz w:val="13"/>
        </w:rPr>
        <w:t> </w:t>
      </w:r>
      <w:r>
        <w:rPr>
          <w:color w:val="231F20"/>
          <w:sz w:val="13"/>
        </w:rPr>
        <w:t>pediatric</w:t>
      </w:r>
      <w:r>
        <w:rPr>
          <w:color w:val="231F20"/>
          <w:spacing w:val="-3"/>
          <w:sz w:val="13"/>
        </w:rPr>
        <w:t> </w:t>
      </w:r>
      <w:r>
        <w:rPr>
          <w:color w:val="231F20"/>
          <w:sz w:val="13"/>
        </w:rPr>
        <w:t>neurology:</w:t>
      </w:r>
      <w:r>
        <w:rPr>
          <w:color w:val="231F20"/>
          <w:spacing w:val="-4"/>
          <w:sz w:val="13"/>
        </w:rPr>
        <w:t> </w:t>
      </w:r>
      <w:r>
        <w:rPr>
          <w:color w:val="231F20"/>
          <w:sz w:val="13"/>
        </w:rPr>
        <w:t>a</w:t>
      </w:r>
      <w:r>
        <w:rPr>
          <w:color w:val="231F20"/>
          <w:spacing w:val="-4"/>
          <w:sz w:val="13"/>
        </w:rPr>
        <w:t> </w:t>
      </w:r>
      <w:r>
        <w:rPr>
          <w:color w:val="231F20"/>
          <w:sz w:val="13"/>
        </w:rPr>
        <w:t>signs</w:t>
      </w:r>
      <w:r>
        <w:rPr>
          <w:color w:val="231F20"/>
          <w:spacing w:val="-3"/>
          <w:sz w:val="13"/>
        </w:rPr>
        <w:t> </w:t>
      </w:r>
      <w:r>
        <w:rPr>
          <w:color w:val="231F20"/>
          <w:sz w:val="13"/>
        </w:rPr>
        <w:t>and</w:t>
      </w:r>
      <w:r>
        <w:rPr>
          <w:color w:val="231F20"/>
          <w:spacing w:val="-4"/>
          <w:sz w:val="13"/>
        </w:rPr>
        <w:t> </w:t>
      </w:r>
      <w:r>
        <w:rPr>
          <w:color w:val="231F20"/>
          <w:sz w:val="13"/>
        </w:rPr>
        <w:t>symptoms</w:t>
      </w:r>
      <w:r>
        <w:rPr>
          <w:color w:val="231F20"/>
          <w:spacing w:val="-3"/>
          <w:sz w:val="13"/>
        </w:rPr>
        <w:t> </w:t>
      </w:r>
      <w:r>
        <w:rPr>
          <w:color w:val="231F20"/>
          <w:sz w:val="13"/>
        </w:rPr>
        <w:t>approach</w:t>
      </w:r>
      <w:r>
        <w:rPr>
          <w:i/>
          <w:color w:val="231F20"/>
          <w:sz w:val="13"/>
        </w:rPr>
        <w:t>,</w:t>
      </w:r>
      <w:r>
        <w:rPr>
          <w:i/>
          <w:color w:val="231F20"/>
          <w:spacing w:val="-4"/>
          <w:sz w:val="13"/>
        </w:rPr>
        <w:t> </w:t>
      </w:r>
      <w:r>
        <w:rPr>
          <w:i/>
          <w:color w:val="231F20"/>
          <w:sz w:val="13"/>
        </w:rPr>
        <w:t>ed</w:t>
      </w:r>
      <w:r>
        <w:rPr>
          <w:i/>
          <w:color w:val="231F20"/>
          <w:spacing w:val="-4"/>
          <w:sz w:val="13"/>
        </w:rPr>
        <w:t> </w:t>
      </w:r>
      <w:r>
        <w:rPr>
          <w:i/>
          <w:color w:val="231F20"/>
          <w:sz w:val="13"/>
        </w:rPr>
        <w:t>5,</w:t>
      </w:r>
      <w:r>
        <w:rPr>
          <w:i/>
          <w:color w:val="231F20"/>
          <w:spacing w:val="-3"/>
          <w:sz w:val="13"/>
        </w:rPr>
        <w:t> </w:t>
      </w:r>
      <w:r>
        <w:rPr>
          <w:i/>
          <w:color w:val="231F20"/>
          <w:sz w:val="13"/>
        </w:rPr>
        <w:t>Philadelphia,</w:t>
      </w:r>
      <w:r>
        <w:rPr>
          <w:i/>
          <w:color w:val="231F20"/>
          <w:spacing w:val="-4"/>
          <w:sz w:val="13"/>
        </w:rPr>
        <w:t> </w:t>
      </w:r>
      <w:r>
        <w:rPr>
          <w:i/>
          <w:color w:val="231F20"/>
          <w:sz w:val="13"/>
        </w:rPr>
        <w:t>2005,</w:t>
      </w:r>
      <w:r>
        <w:rPr>
          <w:i/>
          <w:color w:val="231F20"/>
          <w:spacing w:val="-3"/>
          <w:sz w:val="13"/>
        </w:rPr>
        <w:t> </w:t>
      </w:r>
      <w:r>
        <w:rPr>
          <w:i/>
          <w:color w:val="231F20"/>
          <w:sz w:val="13"/>
        </w:rPr>
        <w:t>Elsevier</w:t>
      </w:r>
      <w:r>
        <w:rPr>
          <w:i/>
          <w:color w:val="231F20"/>
          <w:spacing w:val="-4"/>
          <w:sz w:val="13"/>
        </w:rPr>
        <w:t> </w:t>
      </w:r>
      <w:r>
        <w:rPr>
          <w:i/>
          <w:color w:val="231F20"/>
          <w:sz w:val="13"/>
        </w:rPr>
        <w:t>Saunders,</w:t>
      </w:r>
      <w:r>
        <w:rPr>
          <w:i/>
          <w:color w:val="231F20"/>
          <w:spacing w:val="-3"/>
          <w:sz w:val="13"/>
        </w:rPr>
        <w:t> </w:t>
      </w:r>
      <w:r>
        <w:rPr>
          <w:i/>
          <w:color w:val="231F20"/>
          <w:sz w:val="13"/>
        </w:rPr>
        <w:t>p.</w:t>
      </w:r>
      <w:r>
        <w:rPr>
          <w:i/>
          <w:color w:val="231F20"/>
          <w:spacing w:val="-4"/>
          <w:sz w:val="13"/>
        </w:rPr>
        <w:t> </w:t>
      </w:r>
      <w:r>
        <w:rPr>
          <w:i/>
          <w:color w:val="231F20"/>
          <w:sz w:val="13"/>
        </w:rPr>
        <w:t>176,</w:t>
      </w:r>
      <w:r>
        <w:rPr>
          <w:i/>
          <w:color w:val="231F20"/>
          <w:spacing w:val="-4"/>
          <w:sz w:val="13"/>
        </w:rPr>
        <w:t> </w:t>
      </w:r>
      <w:r>
        <w:rPr>
          <w:i/>
          <w:color w:val="231F20"/>
          <w:sz w:val="13"/>
        </w:rPr>
        <w:t>Table</w:t>
      </w:r>
      <w:r>
        <w:rPr>
          <w:i/>
          <w:color w:val="231F20"/>
          <w:spacing w:val="-3"/>
          <w:sz w:val="13"/>
        </w:rPr>
        <w:t> </w:t>
      </w:r>
      <w:r>
        <w:rPr>
          <w:i/>
          <w:color w:val="231F20"/>
          <w:sz w:val="13"/>
        </w:rPr>
        <w:t>7-</w:t>
      </w:r>
      <w:r>
        <w:rPr>
          <w:i/>
          <w:color w:val="231F20"/>
          <w:spacing w:val="-5"/>
          <w:sz w:val="13"/>
        </w:rPr>
        <w:t>5.</w:t>
      </w:r>
    </w:p>
    <w:p>
      <w:pPr>
        <w:spacing w:after="0" w:line="150" w:lineRule="exact"/>
        <w:jc w:val="left"/>
        <w:rPr>
          <w:i/>
          <w:sz w:val="13"/>
        </w:rPr>
        <w:sectPr>
          <w:pgSz w:w="11900" w:h="16840"/>
          <w:pgMar w:header="452" w:footer="0" w:top="1180" w:bottom="280" w:left="708" w:right="566"/>
        </w:sectPr>
      </w:pPr>
    </w:p>
    <w:p>
      <w:pPr>
        <w:pStyle w:val="BodyText"/>
        <w:spacing w:before="205"/>
        <w:rPr>
          <w:i/>
          <w:sz w:val="20"/>
        </w:rPr>
      </w:pPr>
      <w:r>
        <w:rPr>
          <w:i/>
          <w:sz w:val="20"/>
        </w:rPr>
        <mc:AlternateContent>
          <mc:Choice Requires="wps">
            <w:drawing>
              <wp:anchor distT="0" distB="0" distL="0" distR="0" allowOverlap="1" layoutInCell="1" locked="0" behindDoc="0" simplePos="0" relativeHeight="15800832">
                <wp:simplePos x="0" y="0"/>
                <wp:positionH relativeFrom="page">
                  <wp:posOffset>721347</wp:posOffset>
                </wp:positionH>
                <wp:positionV relativeFrom="page">
                  <wp:posOffset>4567301</wp:posOffset>
                </wp:positionV>
                <wp:extent cx="3062605" cy="3733800"/>
                <wp:effectExtent l="0" t="0" r="0" b="0"/>
                <wp:wrapNone/>
                <wp:docPr id="1022" name="Textbox 1022"/>
                <wp:cNvGraphicFramePr>
                  <a:graphicFrameLocks/>
                </wp:cNvGraphicFramePr>
                <a:graphic>
                  <a:graphicData uri="http://schemas.microsoft.com/office/word/2010/wordprocessingShape">
                    <wps:wsp>
                      <wps:cNvPr id="1022" name="Textbox 1022"/>
                      <wps:cNvSpPr txBox="1"/>
                      <wps:spPr>
                        <a:xfrm>
                          <a:off x="0" y="0"/>
                          <a:ext cx="3062605" cy="3733800"/>
                        </a:xfrm>
                        <a:prstGeom prst="rect">
                          <a:avLst/>
                        </a:prstGeom>
                      </wps:spPr>
                      <wps:txbx>
                        <w:txbxContent>
                          <w:tbl>
                            <w:tblPr>
                              <w:tblW w:w="0" w:type="auto"/>
                              <w:jc w:val="left"/>
                              <w:tblInd w:w="6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1204"/>
                              <w:gridCol w:w="2352"/>
                            </w:tblGrid>
                            <w:tr>
                              <w:trPr>
                                <w:trHeight w:val="377"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610-</w:t>
                                  </w:r>
                                  <w:r>
                                    <w:rPr>
                                      <w:b/>
                                      <w:color w:val="FFFFFF"/>
                                      <w:spacing w:val="-10"/>
                                      <w:w w:val="105"/>
                                      <w:sz w:val="16"/>
                                    </w:rPr>
                                    <w:t>1</w:t>
                                  </w:r>
                                </w:p>
                              </w:tc>
                              <w:tc>
                                <w:tcPr>
                                  <w:tcW w:w="3556" w:type="dxa"/>
                                  <w:gridSpan w:val="2"/>
                                  <w:tcBorders>
                                    <w:top w:val="nil"/>
                                    <w:bottom w:val="nil"/>
                                    <w:right w:val="nil"/>
                                  </w:tcBorders>
                                  <w:shd w:val="clear" w:color="auto" w:fill="231F20"/>
                                </w:tcPr>
                                <w:p>
                                  <w:pPr>
                                    <w:pStyle w:val="TableParagraph"/>
                                    <w:spacing w:before="89"/>
                                    <w:ind w:left="74"/>
                                    <w:rPr>
                                      <w:sz w:val="16"/>
                                    </w:rPr>
                                  </w:pPr>
                                  <w:r>
                                    <w:rPr>
                                      <w:color w:val="FFFFFF"/>
                                      <w:w w:val="105"/>
                                      <w:sz w:val="16"/>
                                    </w:rPr>
                                    <w:t>Toxic </w:t>
                                  </w:r>
                                  <w:r>
                                    <w:rPr>
                                      <w:color w:val="FFFFFF"/>
                                      <w:spacing w:val="-2"/>
                                      <w:w w:val="105"/>
                                      <w:sz w:val="16"/>
                                    </w:rPr>
                                    <w:t>Myopathies</w:t>
                                  </w:r>
                                </w:p>
                              </w:tc>
                            </w:tr>
                            <w:tr>
                              <w:trPr>
                                <w:trHeight w:val="1100" w:hRule="exact"/>
                              </w:trPr>
                              <w:tc>
                                <w:tcPr>
                                  <w:tcW w:w="2352" w:type="dxa"/>
                                  <w:gridSpan w:val="2"/>
                                  <w:tcBorders>
                                    <w:top w:val="nil"/>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INFLAMMATORY</w:t>
                                  </w:r>
                                </w:p>
                                <w:p>
                                  <w:pPr>
                                    <w:pStyle w:val="TableParagraph"/>
                                    <w:spacing w:line="169" w:lineRule="exact"/>
                                    <w:ind w:left="74"/>
                                    <w:rPr>
                                      <w:sz w:val="15"/>
                                    </w:rPr>
                                  </w:pPr>
                                  <w:r>
                                    <w:rPr>
                                      <w:color w:val="231F20"/>
                                      <w:spacing w:val="-2"/>
                                      <w:sz w:val="15"/>
                                    </w:rPr>
                                    <w:t>Cimetidine</w:t>
                                  </w:r>
                                </w:p>
                                <w:p>
                                  <w:pPr>
                                    <w:pStyle w:val="TableParagraph"/>
                                    <w:spacing w:line="230" w:lineRule="auto" w:before="3"/>
                                    <w:ind w:left="74" w:right="1248"/>
                                    <w:rPr>
                                      <w:sz w:val="15"/>
                                    </w:rPr>
                                  </w:pPr>
                                  <w:r>
                                    <w:rPr>
                                      <w:color w:val="231F20"/>
                                      <w:spacing w:val="-2"/>
                                      <w:sz w:val="12"/>
                                    </w:rPr>
                                    <w:t>D</w:t>
                                  </w:r>
                                  <w:r>
                                    <w:rPr>
                                      <w:color w:val="231F20"/>
                                      <w:spacing w:val="-2"/>
                                      <w:sz w:val="15"/>
                                    </w:rPr>
                                    <w:t>-</w:t>
                                  </w:r>
                                  <w:r>
                                    <w:rPr>
                                      <w:color w:val="231F20"/>
                                      <w:spacing w:val="-2"/>
                                      <w:sz w:val="15"/>
                                    </w:rPr>
                                    <w:t>Penicillamine Procainamide</w:t>
                                  </w:r>
                                </w:p>
                                <w:p>
                                  <w:pPr>
                                    <w:pStyle w:val="TableParagraph"/>
                                    <w:spacing w:line="230" w:lineRule="auto" w:before="1"/>
                                    <w:ind w:left="74" w:right="1390"/>
                                    <w:rPr>
                                      <w:sz w:val="15"/>
                                    </w:rPr>
                                  </w:pPr>
                                  <w:r>
                                    <w:rPr>
                                      <w:color w:val="231F20"/>
                                      <w:spacing w:val="-2"/>
                                      <w:sz w:val="12"/>
                                    </w:rPr>
                                    <w:t>L</w:t>
                                  </w:r>
                                  <w:r>
                                    <w:rPr>
                                      <w:color w:val="231F20"/>
                                      <w:spacing w:val="-2"/>
                                      <w:sz w:val="15"/>
                                    </w:rPr>
                                    <w:t>-</w:t>
                                  </w:r>
                                  <w:r>
                                    <w:rPr>
                                      <w:color w:val="231F20"/>
                                      <w:spacing w:val="-2"/>
                                      <w:sz w:val="15"/>
                                    </w:rPr>
                                    <w:t>Tryptophan </w:t>
                                  </w:r>
                                  <w:r>
                                    <w:rPr>
                                      <w:color w:val="231F20"/>
                                      <w:spacing w:val="-2"/>
                                      <w:sz w:val="12"/>
                                    </w:rPr>
                                    <w:t>L</w:t>
                                  </w:r>
                                  <w:r>
                                    <w:rPr>
                                      <w:color w:val="231F20"/>
                                      <w:spacing w:val="-2"/>
                                      <w:sz w:val="15"/>
                                    </w:rPr>
                                    <w:t>-DOPA</w:t>
                                  </w: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5"/>
                                      <w:sz w:val="15"/>
                                    </w:rPr>
                                    <w:t>MALIGNANT</w:t>
                                  </w:r>
                                  <w:r>
                                    <w:rPr>
                                      <w:color w:val="231F20"/>
                                      <w:spacing w:val="-3"/>
                                      <w:w w:val="115"/>
                                      <w:sz w:val="15"/>
                                    </w:rPr>
                                    <w:t> </w:t>
                                  </w:r>
                                  <w:r>
                                    <w:rPr>
                                      <w:color w:val="231F20"/>
                                      <w:spacing w:val="-2"/>
                                      <w:w w:val="115"/>
                                      <w:sz w:val="15"/>
                                    </w:rPr>
                                    <w:t>HYPERTHERMIA</w:t>
                                  </w:r>
                                </w:p>
                                <w:p>
                                  <w:pPr>
                                    <w:pStyle w:val="TableParagraph"/>
                                    <w:spacing w:line="230" w:lineRule="auto" w:before="3"/>
                                    <w:ind w:left="69" w:right="1242"/>
                                    <w:rPr>
                                      <w:sz w:val="15"/>
                                    </w:rPr>
                                  </w:pPr>
                                  <w:r>
                                    <w:rPr>
                                      <w:color w:val="231F20"/>
                                      <w:spacing w:val="-2"/>
                                      <w:sz w:val="15"/>
                                    </w:rPr>
                                    <w:t>Halothane Ethylene </w:t>
                                  </w:r>
                                  <w:r>
                                    <w:rPr>
                                      <w:color w:val="231F20"/>
                                      <w:sz w:val="15"/>
                                    </w:rPr>
                                    <w:t>Diethyl ether </w:t>
                                  </w:r>
                                  <w:r>
                                    <w:rPr>
                                      <w:color w:val="231F20"/>
                                      <w:spacing w:val="-2"/>
                                      <w:sz w:val="15"/>
                                    </w:rPr>
                                    <w:t>Methoxyflurane </w:t>
                                  </w:r>
                                  <w:r>
                                    <w:rPr>
                                      <w:color w:val="231F20"/>
                                      <w:sz w:val="15"/>
                                    </w:rPr>
                                    <w:t>Ethyl chloride</w:t>
                                  </w:r>
                                </w:p>
                                <w:p>
                                  <w:pPr>
                                    <w:pStyle w:val="TableParagraph"/>
                                    <w:spacing w:line="230" w:lineRule="auto" w:before="4"/>
                                    <w:ind w:left="69" w:right="665"/>
                                    <w:rPr>
                                      <w:sz w:val="15"/>
                                    </w:rPr>
                                  </w:pPr>
                                  <w:r>
                                    <w:rPr>
                                      <w:color w:val="231F20"/>
                                      <w:spacing w:val="-4"/>
                                      <w:sz w:val="15"/>
                                    </w:rPr>
                                    <w:t>Trichloroethylene </w:t>
                                  </w:r>
                                  <w:r>
                                    <w:rPr>
                                      <w:color w:val="231F20"/>
                                      <w:spacing w:val="-2"/>
                                      <w:sz w:val="15"/>
                                    </w:rPr>
                                    <w:t>Gallamine Succinylcholine</w:t>
                                  </w:r>
                                </w:p>
                              </w:tc>
                            </w:tr>
                            <w:tr>
                              <w:trPr>
                                <w:trHeight w:val="508" w:hRule="exact"/>
                              </w:trPr>
                              <w:tc>
                                <w:tcPr>
                                  <w:tcW w:w="2352"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230" w:lineRule="auto" w:before="48"/>
                                    <w:ind w:left="74"/>
                                    <w:rPr>
                                      <w:sz w:val="15"/>
                                    </w:rPr>
                                  </w:pPr>
                                  <w:r>
                                    <w:rPr>
                                      <w:color w:val="231F20"/>
                                      <w:spacing w:val="-2"/>
                                      <w:w w:val="115"/>
                                      <w:sz w:val="15"/>
                                    </w:rPr>
                                    <w:t>NONINFLAMMATORY NECROTIZING</w:t>
                                  </w:r>
                                  <w:r>
                                    <w:rPr>
                                      <w:color w:val="231F20"/>
                                      <w:spacing w:val="-11"/>
                                      <w:w w:val="115"/>
                                      <w:sz w:val="15"/>
                                    </w:rPr>
                                    <w:t> </w:t>
                                  </w:r>
                                  <w:r>
                                    <w:rPr>
                                      <w:color w:val="231F20"/>
                                      <w:spacing w:val="-2"/>
                                      <w:w w:val="115"/>
                                      <w:sz w:val="15"/>
                                    </w:rPr>
                                    <w:t>OR</w:t>
                                  </w:r>
                                  <w:r>
                                    <w:rPr>
                                      <w:color w:val="231F20"/>
                                      <w:spacing w:val="-11"/>
                                      <w:w w:val="115"/>
                                      <w:sz w:val="15"/>
                                    </w:rPr>
                                    <w:t> </w:t>
                                  </w:r>
                                  <w:r>
                                    <w:rPr>
                                      <w:color w:val="231F20"/>
                                      <w:spacing w:val="-2"/>
                                      <w:w w:val="115"/>
                                      <w:sz w:val="15"/>
                                    </w:rPr>
                                    <w:t>VACUOLAR</w:t>
                                  </w:r>
                                </w:p>
                                <w:p>
                                  <w:pPr>
                                    <w:pStyle w:val="TableParagraph"/>
                                    <w:spacing w:line="230" w:lineRule="auto" w:before="3"/>
                                    <w:ind w:left="74"/>
                                    <w:rPr>
                                      <w:sz w:val="15"/>
                                    </w:rPr>
                                  </w:pPr>
                                  <w:r>
                                    <w:rPr>
                                      <w:color w:val="231F20"/>
                                      <w:sz w:val="15"/>
                                    </w:rPr>
                                    <w:t>Cholesterol-lowering</w:t>
                                  </w:r>
                                  <w:r>
                                    <w:rPr>
                                      <w:color w:val="231F20"/>
                                      <w:spacing w:val="-12"/>
                                      <w:sz w:val="15"/>
                                    </w:rPr>
                                    <w:t> </w:t>
                                  </w:r>
                                  <w:r>
                                    <w:rPr>
                                      <w:color w:val="231F20"/>
                                      <w:sz w:val="15"/>
                                    </w:rPr>
                                    <w:t>agents </w:t>
                                  </w:r>
                                  <w:r>
                                    <w:rPr>
                                      <w:color w:val="231F20"/>
                                      <w:spacing w:val="-2"/>
                                      <w:sz w:val="15"/>
                                    </w:rPr>
                                    <w:t>Chloroquine</w:t>
                                  </w:r>
                                </w:p>
                                <w:p>
                                  <w:pPr>
                                    <w:pStyle w:val="TableParagraph"/>
                                    <w:spacing w:line="230" w:lineRule="auto" w:before="2"/>
                                    <w:ind w:left="74" w:right="1292"/>
                                    <w:rPr>
                                      <w:sz w:val="15"/>
                                    </w:rPr>
                                  </w:pPr>
                                  <w:r>
                                    <w:rPr>
                                      <w:color w:val="231F20"/>
                                      <w:spacing w:val="-2"/>
                                      <w:sz w:val="15"/>
                                    </w:rPr>
                                    <w:t>Colchicine Emetine</w:t>
                                  </w:r>
                                </w:p>
                                <w:p>
                                  <w:pPr>
                                    <w:pStyle w:val="TableParagraph"/>
                                    <w:spacing w:line="230" w:lineRule="auto"/>
                                    <w:ind w:left="74" w:right="405"/>
                                    <w:rPr>
                                      <w:sz w:val="15"/>
                                    </w:rPr>
                                  </w:pPr>
                                  <w:r>
                                    <w:rPr>
                                      <w:rFonts w:ascii="Cambria" w:hAnsi="Cambria"/>
                                      <w:color w:val="231F20"/>
                                      <w:sz w:val="15"/>
                                    </w:rPr>
                                    <w:t>ε</w:t>
                                  </w:r>
                                  <w:r>
                                    <w:rPr>
                                      <w:color w:val="231F20"/>
                                      <w:sz w:val="15"/>
                                    </w:rPr>
                                    <w:t>-Aminocaproic</w:t>
                                  </w:r>
                                  <w:r>
                                    <w:rPr>
                                      <w:color w:val="231F20"/>
                                      <w:spacing w:val="-12"/>
                                      <w:sz w:val="15"/>
                                    </w:rPr>
                                    <w:t> </w:t>
                                  </w:r>
                                  <w:r>
                                    <w:rPr>
                                      <w:color w:val="231F20"/>
                                      <w:sz w:val="15"/>
                                    </w:rPr>
                                    <w:t>acid </w:t>
                                  </w:r>
                                  <w:r>
                                    <w:rPr>
                                      <w:color w:val="231F20"/>
                                      <w:spacing w:val="-2"/>
                                      <w:sz w:val="15"/>
                                    </w:rPr>
                                    <w:t>Labetalol</w:t>
                                  </w:r>
                                </w:p>
                                <w:p>
                                  <w:pPr>
                                    <w:pStyle w:val="TableParagraph"/>
                                    <w:spacing w:line="230" w:lineRule="auto" w:before="1"/>
                                    <w:ind w:left="74"/>
                                    <w:rPr>
                                      <w:sz w:val="15"/>
                                    </w:rPr>
                                  </w:pPr>
                                  <w:r>
                                    <w:rPr>
                                      <w:color w:val="231F20"/>
                                      <w:sz w:val="15"/>
                                    </w:rPr>
                                    <w:t>Cyclosporine</w:t>
                                  </w:r>
                                  <w:r>
                                    <w:rPr>
                                      <w:color w:val="231F20"/>
                                      <w:spacing w:val="-12"/>
                                      <w:sz w:val="15"/>
                                    </w:rPr>
                                    <w:t> </w:t>
                                  </w:r>
                                  <w:r>
                                    <w:rPr>
                                      <w:color w:val="231F20"/>
                                      <w:sz w:val="15"/>
                                    </w:rPr>
                                    <w:t>and</w:t>
                                  </w:r>
                                  <w:r>
                                    <w:rPr>
                                      <w:color w:val="231F20"/>
                                      <w:spacing w:val="-11"/>
                                      <w:sz w:val="15"/>
                                    </w:rPr>
                                    <w:t> </w:t>
                                  </w:r>
                                  <w:r>
                                    <w:rPr>
                                      <w:color w:val="231F20"/>
                                      <w:sz w:val="15"/>
                                    </w:rPr>
                                    <w:t>tacrolimus Isoretinoic acid (vitamin A</w:t>
                                  </w:r>
                                </w:p>
                                <w:p>
                                  <w:pPr>
                                    <w:pStyle w:val="TableParagraph"/>
                                    <w:spacing w:line="230" w:lineRule="auto" w:before="2"/>
                                    <w:ind w:left="74" w:right="1582" w:firstLine="111"/>
                                    <w:rPr>
                                      <w:sz w:val="15"/>
                                    </w:rPr>
                                  </w:pPr>
                                  <w:r>
                                    <w:rPr>
                                      <w:color w:val="231F20"/>
                                      <w:spacing w:val="-2"/>
                                      <w:sz w:val="15"/>
                                    </w:rPr>
                                    <w:t>analog) </w:t>
                                  </w:r>
                                  <w:r>
                                    <w:rPr>
                                      <w:color w:val="231F20"/>
                                      <w:spacing w:val="-4"/>
                                      <w:sz w:val="15"/>
                                    </w:rPr>
                                    <w:t>Vincristine </w:t>
                                  </w:r>
                                  <w:r>
                                    <w:rPr>
                                      <w:color w:val="231F20"/>
                                      <w:spacing w:val="-2"/>
                                      <w:sz w:val="15"/>
                                    </w:rPr>
                                    <w:t>Alcohol</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433"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MITOCHONDRIAL</w:t>
                                  </w:r>
                                </w:p>
                                <w:p>
                                  <w:pPr>
                                    <w:pStyle w:val="TableParagraph"/>
                                    <w:spacing w:line="172" w:lineRule="exact"/>
                                    <w:ind w:left="69"/>
                                    <w:rPr>
                                      <w:sz w:val="15"/>
                                    </w:rPr>
                                  </w:pPr>
                                  <w:r>
                                    <w:rPr>
                                      <w:color w:val="231F20"/>
                                      <w:spacing w:val="-2"/>
                                      <w:sz w:val="15"/>
                                    </w:rPr>
                                    <w:t>Zidovudine</w:t>
                                  </w:r>
                                </w:p>
                              </w:tc>
                            </w:tr>
                            <w:tr>
                              <w:trPr>
                                <w:trHeight w:val="1104"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MYOTONIA</w:t>
                                  </w:r>
                                </w:p>
                                <w:p>
                                  <w:pPr>
                                    <w:pStyle w:val="TableParagraph"/>
                                    <w:spacing w:line="230" w:lineRule="auto" w:before="3"/>
                                    <w:ind w:left="69" w:right="132"/>
                                    <w:rPr>
                                      <w:sz w:val="15"/>
                                    </w:rPr>
                                  </w:pPr>
                                  <w:r>
                                    <w:rPr>
                                      <w:color w:val="231F20"/>
                                      <w:sz w:val="15"/>
                                    </w:rPr>
                                    <w:t>2,4-</w:t>
                                  </w:r>
                                  <w:r>
                                    <w:rPr>
                                      <w:i/>
                                      <w:color w:val="231F20"/>
                                      <w:sz w:val="15"/>
                                    </w:rPr>
                                    <w:t>d</w:t>
                                  </w:r>
                                  <w:r>
                                    <w:rPr>
                                      <w:color w:val="231F20"/>
                                      <w:sz w:val="15"/>
                                    </w:rPr>
                                    <w:t>-Chlorophenoxyacetic</w:t>
                                  </w:r>
                                  <w:r>
                                    <w:rPr>
                                      <w:color w:val="231F20"/>
                                      <w:spacing w:val="-12"/>
                                      <w:sz w:val="15"/>
                                    </w:rPr>
                                    <w:t> </w:t>
                                  </w:r>
                                  <w:r>
                                    <w:rPr>
                                      <w:color w:val="231F20"/>
                                      <w:sz w:val="15"/>
                                    </w:rPr>
                                    <w:t>acid </w:t>
                                  </w:r>
                                  <w:r>
                                    <w:rPr>
                                      <w:color w:val="231F20"/>
                                      <w:spacing w:val="-2"/>
                                      <w:sz w:val="15"/>
                                    </w:rPr>
                                    <w:t>Anthracene-9-carboxycyclic</w:t>
                                  </w:r>
                                  <w:r>
                                    <w:rPr>
                                      <w:color w:val="231F20"/>
                                      <w:spacing w:val="-10"/>
                                      <w:sz w:val="15"/>
                                    </w:rPr>
                                    <w:t> </w:t>
                                  </w:r>
                                  <w:r>
                                    <w:rPr>
                                      <w:color w:val="231F20"/>
                                      <w:spacing w:val="-2"/>
                                      <w:sz w:val="15"/>
                                    </w:rPr>
                                    <w:t>acid </w:t>
                                  </w:r>
                                  <w:r>
                                    <w:rPr>
                                      <w:color w:val="231F20"/>
                                      <w:sz w:val="15"/>
                                    </w:rPr>
                                    <w:t>Cholesterol-lowering drugs </w:t>
                                  </w:r>
                                  <w:r>
                                    <w:rPr>
                                      <w:color w:val="231F20"/>
                                      <w:spacing w:val="-2"/>
                                      <w:sz w:val="15"/>
                                    </w:rPr>
                                    <w:t>Chloroquine</w:t>
                                  </w:r>
                                </w:p>
                                <w:p>
                                  <w:pPr>
                                    <w:pStyle w:val="TableParagraph"/>
                                    <w:spacing w:line="171" w:lineRule="exact"/>
                                    <w:ind w:left="69"/>
                                    <w:rPr>
                                      <w:sz w:val="15"/>
                                    </w:rPr>
                                  </w:pPr>
                                  <w:r>
                                    <w:rPr>
                                      <w:color w:val="231F20"/>
                                      <w:spacing w:val="-2"/>
                                      <w:sz w:val="15"/>
                                    </w:rPr>
                                    <w:t>Cyclosporine</w:t>
                                  </w:r>
                                </w:p>
                              </w:tc>
                            </w:tr>
                            <w:tr>
                              <w:trPr>
                                <w:trHeight w:val="233"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nil"/>
                                    <w:right w:val="nil"/>
                                  </w:tcBorders>
                                  <w:shd w:val="clear" w:color="auto" w:fill="E8F5F1"/>
                                </w:tcPr>
                                <w:p>
                                  <w:pPr>
                                    <w:pStyle w:val="TableParagraph"/>
                                    <w:spacing w:line="172" w:lineRule="exact" w:before="43"/>
                                    <w:ind w:left="69"/>
                                    <w:rPr>
                                      <w:sz w:val="15"/>
                                    </w:rPr>
                                  </w:pPr>
                                  <w:r>
                                    <w:rPr>
                                      <w:color w:val="231F20"/>
                                      <w:w w:val="115"/>
                                      <w:sz w:val="15"/>
                                    </w:rPr>
                                    <w:t>MYOSIN</w:t>
                                  </w:r>
                                  <w:r>
                                    <w:rPr>
                                      <w:color w:val="231F20"/>
                                      <w:spacing w:val="12"/>
                                      <w:w w:val="115"/>
                                      <w:sz w:val="15"/>
                                    </w:rPr>
                                    <w:t> </w:t>
                                  </w:r>
                                  <w:r>
                                    <w:rPr>
                                      <w:color w:val="231F20"/>
                                      <w:spacing w:val="-4"/>
                                      <w:w w:val="115"/>
                                      <w:sz w:val="15"/>
                                    </w:rPr>
                                    <w:t>LOSS</w:t>
                                  </w:r>
                                </w:p>
                                <w:p>
                                  <w:pPr>
                                    <w:pStyle w:val="TableParagraph"/>
                                    <w:spacing w:line="230" w:lineRule="auto" w:before="3"/>
                                    <w:ind w:left="181" w:hanging="112"/>
                                    <w:rPr>
                                      <w:sz w:val="15"/>
                                    </w:rPr>
                                  </w:pPr>
                                  <w:r>
                                    <w:rPr>
                                      <w:color w:val="231F20"/>
                                      <w:sz w:val="15"/>
                                    </w:rPr>
                                    <w:t>Nondepolarizing</w:t>
                                  </w:r>
                                  <w:r>
                                    <w:rPr>
                                      <w:color w:val="231F20"/>
                                      <w:spacing w:val="-12"/>
                                      <w:sz w:val="15"/>
                                    </w:rPr>
                                    <w:t> </w:t>
                                  </w:r>
                                  <w:r>
                                    <w:rPr>
                                      <w:color w:val="231F20"/>
                                      <w:sz w:val="15"/>
                                    </w:rPr>
                                    <w:t>neuromuscular blocking agents</w:t>
                                  </w:r>
                                </w:p>
                                <w:p>
                                  <w:pPr>
                                    <w:pStyle w:val="TableParagraph"/>
                                    <w:spacing w:line="170" w:lineRule="exact"/>
                                    <w:ind w:left="69"/>
                                    <w:rPr>
                                      <w:sz w:val="15"/>
                                    </w:rPr>
                                  </w:pPr>
                                  <w:r>
                                    <w:rPr>
                                      <w:color w:val="231F20"/>
                                      <w:spacing w:val="-2"/>
                                      <w:sz w:val="15"/>
                                    </w:rPr>
                                    <w:t>Intravenous</w:t>
                                  </w:r>
                                  <w:r>
                                    <w:rPr>
                                      <w:color w:val="231F20"/>
                                      <w:spacing w:val="7"/>
                                      <w:sz w:val="15"/>
                                    </w:rPr>
                                    <w:t> </w:t>
                                  </w:r>
                                  <w:r>
                                    <w:rPr>
                                      <w:color w:val="231F20"/>
                                      <w:spacing w:val="-2"/>
                                      <w:sz w:val="15"/>
                                    </w:rPr>
                                    <w:t>glucocorticoids</w:t>
                                  </w:r>
                                </w:p>
                              </w:tc>
                            </w:tr>
                            <w:tr>
                              <w:trPr>
                                <w:trHeight w:val="2125" w:hRule="exact"/>
                              </w:trPr>
                              <w:tc>
                                <w:tcPr>
                                  <w:tcW w:w="2352" w:type="dxa"/>
                                  <w:gridSpan w:val="2"/>
                                  <w:tcBorders>
                                    <w:top w:val="single" w:sz="4" w:space="0" w:color="FFFFFF"/>
                                    <w:left w:val="nil"/>
                                    <w:bottom w:val="nil"/>
                                    <w:right w:val="single" w:sz="4" w:space="0" w:color="231F20"/>
                                  </w:tcBorders>
                                  <w:shd w:val="clear" w:color="auto" w:fill="E8F5F1"/>
                                </w:tcPr>
                                <w:p>
                                  <w:pPr>
                                    <w:pStyle w:val="TableParagraph"/>
                                    <w:spacing w:line="230" w:lineRule="auto" w:before="48"/>
                                    <w:ind w:left="74"/>
                                    <w:rPr>
                                      <w:sz w:val="15"/>
                                    </w:rPr>
                                  </w:pPr>
                                  <w:r>
                                    <w:rPr>
                                      <w:color w:val="231F20"/>
                                      <w:w w:val="115"/>
                                      <w:sz w:val="15"/>
                                    </w:rPr>
                                    <w:t>RHABDOMYOLYSIS</w:t>
                                  </w:r>
                                  <w:r>
                                    <w:rPr>
                                      <w:color w:val="231F20"/>
                                      <w:spacing w:val="-13"/>
                                      <w:w w:val="115"/>
                                      <w:sz w:val="15"/>
                                    </w:rPr>
                                    <w:t> </w:t>
                                  </w:r>
                                  <w:r>
                                    <w:rPr>
                                      <w:color w:val="231F20"/>
                                      <w:w w:val="115"/>
                                      <w:sz w:val="15"/>
                                    </w:rPr>
                                    <w:t>AND </w:t>
                                  </w:r>
                                  <w:r>
                                    <w:rPr>
                                      <w:color w:val="231F20"/>
                                      <w:spacing w:val="-2"/>
                                      <w:w w:val="115"/>
                                      <w:sz w:val="15"/>
                                    </w:rPr>
                                    <w:t>MYOGLOBINURIA</w:t>
                                  </w:r>
                                </w:p>
                                <w:p>
                                  <w:pPr>
                                    <w:pStyle w:val="TableParagraph"/>
                                    <w:spacing w:line="230" w:lineRule="auto" w:before="3"/>
                                    <w:ind w:left="186" w:hanging="112"/>
                                    <w:rPr>
                                      <w:sz w:val="15"/>
                                    </w:rPr>
                                  </w:pPr>
                                  <w:r>
                                    <w:rPr>
                                      <w:color w:val="231F20"/>
                                      <w:sz w:val="15"/>
                                    </w:rPr>
                                    <w:t>Cholesterol-lowering</w:t>
                                  </w:r>
                                  <w:r>
                                    <w:rPr>
                                      <w:color w:val="231F20"/>
                                      <w:spacing w:val="-12"/>
                                      <w:sz w:val="15"/>
                                    </w:rPr>
                                    <w:t> </w:t>
                                  </w:r>
                                  <w:r>
                                    <w:rPr>
                                      <w:color w:val="231F20"/>
                                      <w:sz w:val="15"/>
                                    </w:rPr>
                                    <w:t>drugs (especially statins)</w:t>
                                  </w:r>
                                </w:p>
                                <w:p>
                                  <w:pPr>
                                    <w:pStyle w:val="TableParagraph"/>
                                    <w:spacing w:line="230" w:lineRule="auto" w:before="2"/>
                                    <w:ind w:left="74" w:right="1341"/>
                                    <w:rPr>
                                      <w:sz w:val="15"/>
                                    </w:rPr>
                                  </w:pPr>
                                  <w:r>
                                    <w:rPr>
                                      <w:color w:val="231F20"/>
                                      <w:spacing w:val="-2"/>
                                      <w:sz w:val="15"/>
                                    </w:rPr>
                                    <w:t>Alcohol</w:t>
                                  </w:r>
                                  <w:r>
                                    <w:rPr>
                                      <w:color w:val="231F20"/>
                                      <w:spacing w:val="40"/>
                                      <w:sz w:val="15"/>
                                    </w:rPr>
                                    <w:t> </w:t>
                                  </w:r>
                                  <w:r>
                                    <w:rPr>
                                      <w:color w:val="231F20"/>
                                      <w:spacing w:val="-2"/>
                                      <w:sz w:val="15"/>
                                    </w:rPr>
                                    <w:t>Heroin Amphetamine Toluene Cocaine</w:t>
                                  </w:r>
                                </w:p>
                                <w:p>
                                  <w:pPr>
                                    <w:pStyle w:val="TableParagraph"/>
                                    <w:spacing w:line="230" w:lineRule="auto" w:before="2"/>
                                    <w:ind w:left="74" w:right="665"/>
                                    <w:rPr>
                                      <w:sz w:val="15"/>
                                    </w:rPr>
                                  </w:pPr>
                                  <w:r>
                                    <w:rPr>
                                      <w:rFonts w:ascii="Cambria" w:hAnsi="Cambria"/>
                                      <w:color w:val="231F20"/>
                                      <w:sz w:val="15"/>
                                    </w:rPr>
                                    <w:t>ε</w:t>
                                  </w:r>
                                  <w:r>
                                    <w:rPr>
                                      <w:color w:val="231F20"/>
                                      <w:sz w:val="15"/>
                                    </w:rPr>
                                    <w:t>-Aminocaproic</w:t>
                                  </w:r>
                                  <w:r>
                                    <w:rPr>
                                      <w:color w:val="231F20"/>
                                      <w:spacing w:val="-12"/>
                                      <w:sz w:val="15"/>
                                    </w:rPr>
                                    <w:t> </w:t>
                                  </w:r>
                                  <w:r>
                                    <w:rPr>
                                      <w:color w:val="231F20"/>
                                      <w:sz w:val="15"/>
                                    </w:rPr>
                                    <w:t>acid </w:t>
                                  </w:r>
                                  <w:r>
                                    <w:rPr>
                                      <w:color w:val="231F20"/>
                                      <w:spacing w:val="-2"/>
                                      <w:sz w:val="15"/>
                                    </w:rPr>
                                    <w:t>Pentazocine Phencyclidine</w:t>
                                  </w:r>
                                </w:p>
                              </w:tc>
                              <w:tc>
                                <w:tcPr>
                                  <w:tcW w:w="2352" w:type="dxa"/>
                                  <w:vMerge/>
                                  <w:tcBorders>
                                    <w:top w:val="nil"/>
                                    <w:left w:val="single" w:sz="4" w:space="0" w:color="231F20"/>
                                    <w:bottom w:val="nil"/>
                                    <w:right w:val="nil"/>
                                  </w:tcBorders>
                                  <w:shd w:val="clear" w:color="auto" w:fill="E8F5F1"/>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56.799pt;margin-top:359.630005pt;width:241.15pt;height:294pt;mso-position-horizontal-relative:page;mso-position-vertical-relative:page;z-index:15800832" type="#_x0000_t202" id="docshape823" filled="false" stroked="false">
                <v:textbox inset="0,0,0,0">
                  <w:txbxContent>
                    <w:tbl>
                      <w:tblPr>
                        <w:tblW w:w="0" w:type="auto"/>
                        <w:jc w:val="left"/>
                        <w:tblInd w:w="6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1204"/>
                        <w:gridCol w:w="2352"/>
                      </w:tblGrid>
                      <w:tr>
                        <w:trPr>
                          <w:trHeight w:val="377"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610-</w:t>
                            </w:r>
                            <w:r>
                              <w:rPr>
                                <w:b/>
                                <w:color w:val="FFFFFF"/>
                                <w:spacing w:val="-10"/>
                                <w:w w:val="105"/>
                                <w:sz w:val="16"/>
                              </w:rPr>
                              <w:t>1</w:t>
                            </w:r>
                          </w:p>
                        </w:tc>
                        <w:tc>
                          <w:tcPr>
                            <w:tcW w:w="3556" w:type="dxa"/>
                            <w:gridSpan w:val="2"/>
                            <w:tcBorders>
                              <w:top w:val="nil"/>
                              <w:bottom w:val="nil"/>
                              <w:right w:val="nil"/>
                            </w:tcBorders>
                            <w:shd w:val="clear" w:color="auto" w:fill="231F20"/>
                          </w:tcPr>
                          <w:p>
                            <w:pPr>
                              <w:pStyle w:val="TableParagraph"/>
                              <w:spacing w:before="89"/>
                              <w:ind w:left="74"/>
                              <w:rPr>
                                <w:sz w:val="16"/>
                              </w:rPr>
                            </w:pPr>
                            <w:r>
                              <w:rPr>
                                <w:color w:val="FFFFFF"/>
                                <w:w w:val="105"/>
                                <w:sz w:val="16"/>
                              </w:rPr>
                              <w:t>Toxic </w:t>
                            </w:r>
                            <w:r>
                              <w:rPr>
                                <w:color w:val="FFFFFF"/>
                                <w:spacing w:val="-2"/>
                                <w:w w:val="105"/>
                                <w:sz w:val="16"/>
                              </w:rPr>
                              <w:t>Myopathies</w:t>
                            </w:r>
                          </w:p>
                        </w:tc>
                      </w:tr>
                      <w:tr>
                        <w:trPr>
                          <w:trHeight w:val="1100" w:hRule="exact"/>
                        </w:trPr>
                        <w:tc>
                          <w:tcPr>
                            <w:tcW w:w="2352" w:type="dxa"/>
                            <w:gridSpan w:val="2"/>
                            <w:tcBorders>
                              <w:top w:val="nil"/>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INFLAMMATORY</w:t>
                            </w:r>
                          </w:p>
                          <w:p>
                            <w:pPr>
                              <w:pStyle w:val="TableParagraph"/>
                              <w:spacing w:line="169" w:lineRule="exact"/>
                              <w:ind w:left="74"/>
                              <w:rPr>
                                <w:sz w:val="15"/>
                              </w:rPr>
                            </w:pPr>
                            <w:r>
                              <w:rPr>
                                <w:color w:val="231F20"/>
                                <w:spacing w:val="-2"/>
                                <w:sz w:val="15"/>
                              </w:rPr>
                              <w:t>Cimetidine</w:t>
                            </w:r>
                          </w:p>
                          <w:p>
                            <w:pPr>
                              <w:pStyle w:val="TableParagraph"/>
                              <w:spacing w:line="230" w:lineRule="auto" w:before="3"/>
                              <w:ind w:left="74" w:right="1248"/>
                              <w:rPr>
                                <w:sz w:val="15"/>
                              </w:rPr>
                            </w:pPr>
                            <w:r>
                              <w:rPr>
                                <w:color w:val="231F20"/>
                                <w:spacing w:val="-2"/>
                                <w:sz w:val="12"/>
                              </w:rPr>
                              <w:t>D</w:t>
                            </w:r>
                            <w:r>
                              <w:rPr>
                                <w:color w:val="231F20"/>
                                <w:spacing w:val="-2"/>
                                <w:sz w:val="15"/>
                              </w:rPr>
                              <w:t>-</w:t>
                            </w:r>
                            <w:r>
                              <w:rPr>
                                <w:color w:val="231F20"/>
                                <w:spacing w:val="-2"/>
                                <w:sz w:val="15"/>
                              </w:rPr>
                              <w:t>Penicillamine Procainamide</w:t>
                            </w:r>
                          </w:p>
                          <w:p>
                            <w:pPr>
                              <w:pStyle w:val="TableParagraph"/>
                              <w:spacing w:line="230" w:lineRule="auto" w:before="1"/>
                              <w:ind w:left="74" w:right="1390"/>
                              <w:rPr>
                                <w:sz w:val="15"/>
                              </w:rPr>
                            </w:pPr>
                            <w:r>
                              <w:rPr>
                                <w:color w:val="231F20"/>
                                <w:spacing w:val="-2"/>
                                <w:sz w:val="12"/>
                              </w:rPr>
                              <w:t>L</w:t>
                            </w:r>
                            <w:r>
                              <w:rPr>
                                <w:color w:val="231F20"/>
                                <w:spacing w:val="-2"/>
                                <w:sz w:val="15"/>
                              </w:rPr>
                              <w:t>-</w:t>
                            </w:r>
                            <w:r>
                              <w:rPr>
                                <w:color w:val="231F20"/>
                                <w:spacing w:val="-2"/>
                                <w:sz w:val="15"/>
                              </w:rPr>
                              <w:t>Tryptophan </w:t>
                            </w:r>
                            <w:r>
                              <w:rPr>
                                <w:color w:val="231F20"/>
                                <w:spacing w:val="-2"/>
                                <w:sz w:val="12"/>
                              </w:rPr>
                              <w:t>L</w:t>
                            </w:r>
                            <w:r>
                              <w:rPr>
                                <w:color w:val="231F20"/>
                                <w:spacing w:val="-2"/>
                                <w:sz w:val="15"/>
                              </w:rPr>
                              <w:t>-DOPA</w:t>
                            </w: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5"/>
                                <w:sz w:val="15"/>
                              </w:rPr>
                              <w:t>MALIGNANT</w:t>
                            </w:r>
                            <w:r>
                              <w:rPr>
                                <w:color w:val="231F20"/>
                                <w:spacing w:val="-3"/>
                                <w:w w:val="115"/>
                                <w:sz w:val="15"/>
                              </w:rPr>
                              <w:t> </w:t>
                            </w:r>
                            <w:r>
                              <w:rPr>
                                <w:color w:val="231F20"/>
                                <w:spacing w:val="-2"/>
                                <w:w w:val="115"/>
                                <w:sz w:val="15"/>
                              </w:rPr>
                              <w:t>HYPERTHERMIA</w:t>
                            </w:r>
                          </w:p>
                          <w:p>
                            <w:pPr>
                              <w:pStyle w:val="TableParagraph"/>
                              <w:spacing w:line="230" w:lineRule="auto" w:before="3"/>
                              <w:ind w:left="69" w:right="1242"/>
                              <w:rPr>
                                <w:sz w:val="15"/>
                              </w:rPr>
                            </w:pPr>
                            <w:r>
                              <w:rPr>
                                <w:color w:val="231F20"/>
                                <w:spacing w:val="-2"/>
                                <w:sz w:val="15"/>
                              </w:rPr>
                              <w:t>Halothane Ethylene </w:t>
                            </w:r>
                            <w:r>
                              <w:rPr>
                                <w:color w:val="231F20"/>
                                <w:sz w:val="15"/>
                              </w:rPr>
                              <w:t>Diethyl ether </w:t>
                            </w:r>
                            <w:r>
                              <w:rPr>
                                <w:color w:val="231F20"/>
                                <w:spacing w:val="-2"/>
                                <w:sz w:val="15"/>
                              </w:rPr>
                              <w:t>Methoxyflurane </w:t>
                            </w:r>
                            <w:r>
                              <w:rPr>
                                <w:color w:val="231F20"/>
                                <w:sz w:val="15"/>
                              </w:rPr>
                              <w:t>Ethyl chloride</w:t>
                            </w:r>
                          </w:p>
                          <w:p>
                            <w:pPr>
                              <w:pStyle w:val="TableParagraph"/>
                              <w:spacing w:line="230" w:lineRule="auto" w:before="4"/>
                              <w:ind w:left="69" w:right="665"/>
                              <w:rPr>
                                <w:sz w:val="15"/>
                              </w:rPr>
                            </w:pPr>
                            <w:r>
                              <w:rPr>
                                <w:color w:val="231F20"/>
                                <w:spacing w:val="-4"/>
                                <w:sz w:val="15"/>
                              </w:rPr>
                              <w:t>Trichloroethylene </w:t>
                            </w:r>
                            <w:r>
                              <w:rPr>
                                <w:color w:val="231F20"/>
                                <w:spacing w:val="-2"/>
                                <w:sz w:val="15"/>
                              </w:rPr>
                              <w:t>Gallamine Succinylcholine</w:t>
                            </w:r>
                          </w:p>
                        </w:tc>
                      </w:tr>
                      <w:tr>
                        <w:trPr>
                          <w:trHeight w:val="508" w:hRule="exact"/>
                        </w:trPr>
                        <w:tc>
                          <w:tcPr>
                            <w:tcW w:w="2352"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230" w:lineRule="auto" w:before="48"/>
                              <w:ind w:left="74"/>
                              <w:rPr>
                                <w:sz w:val="15"/>
                              </w:rPr>
                            </w:pPr>
                            <w:r>
                              <w:rPr>
                                <w:color w:val="231F20"/>
                                <w:spacing w:val="-2"/>
                                <w:w w:val="115"/>
                                <w:sz w:val="15"/>
                              </w:rPr>
                              <w:t>NONINFLAMMATORY NECROTIZING</w:t>
                            </w:r>
                            <w:r>
                              <w:rPr>
                                <w:color w:val="231F20"/>
                                <w:spacing w:val="-11"/>
                                <w:w w:val="115"/>
                                <w:sz w:val="15"/>
                              </w:rPr>
                              <w:t> </w:t>
                            </w:r>
                            <w:r>
                              <w:rPr>
                                <w:color w:val="231F20"/>
                                <w:spacing w:val="-2"/>
                                <w:w w:val="115"/>
                                <w:sz w:val="15"/>
                              </w:rPr>
                              <w:t>OR</w:t>
                            </w:r>
                            <w:r>
                              <w:rPr>
                                <w:color w:val="231F20"/>
                                <w:spacing w:val="-11"/>
                                <w:w w:val="115"/>
                                <w:sz w:val="15"/>
                              </w:rPr>
                              <w:t> </w:t>
                            </w:r>
                            <w:r>
                              <w:rPr>
                                <w:color w:val="231F20"/>
                                <w:spacing w:val="-2"/>
                                <w:w w:val="115"/>
                                <w:sz w:val="15"/>
                              </w:rPr>
                              <w:t>VACUOLAR</w:t>
                            </w:r>
                          </w:p>
                          <w:p>
                            <w:pPr>
                              <w:pStyle w:val="TableParagraph"/>
                              <w:spacing w:line="230" w:lineRule="auto" w:before="3"/>
                              <w:ind w:left="74"/>
                              <w:rPr>
                                <w:sz w:val="15"/>
                              </w:rPr>
                            </w:pPr>
                            <w:r>
                              <w:rPr>
                                <w:color w:val="231F20"/>
                                <w:sz w:val="15"/>
                              </w:rPr>
                              <w:t>Cholesterol-lowering</w:t>
                            </w:r>
                            <w:r>
                              <w:rPr>
                                <w:color w:val="231F20"/>
                                <w:spacing w:val="-12"/>
                                <w:sz w:val="15"/>
                              </w:rPr>
                              <w:t> </w:t>
                            </w:r>
                            <w:r>
                              <w:rPr>
                                <w:color w:val="231F20"/>
                                <w:sz w:val="15"/>
                              </w:rPr>
                              <w:t>agents </w:t>
                            </w:r>
                            <w:r>
                              <w:rPr>
                                <w:color w:val="231F20"/>
                                <w:spacing w:val="-2"/>
                                <w:sz w:val="15"/>
                              </w:rPr>
                              <w:t>Chloroquine</w:t>
                            </w:r>
                          </w:p>
                          <w:p>
                            <w:pPr>
                              <w:pStyle w:val="TableParagraph"/>
                              <w:spacing w:line="230" w:lineRule="auto" w:before="2"/>
                              <w:ind w:left="74" w:right="1292"/>
                              <w:rPr>
                                <w:sz w:val="15"/>
                              </w:rPr>
                            </w:pPr>
                            <w:r>
                              <w:rPr>
                                <w:color w:val="231F20"/>
                                <w:spacing w:val="-2"/>
                                <w:sz w:val="15"/>
                              </w:rPr>
                              <w:t>Colchicine Emetine</w:t>
                            </w:r>
                          </w:p>
                          <w:p>
                            <w:pPr>
                              <w:pStyle w:val="TableParagraph"/>
                              <w:spacing w:line="230" w:lineRule="auto"/>
                              <w:ind w:left="74" w:right="405"/>
                              <w:rPr>
                                <w:sz w:val="15"/>
                              </w:rPr>
                            </w:pPr>
                            <w:r>
                              <w:rPr>
                                <w:rFonts w:ascii="Cambria" w:hAnsi="Cambria"/>
                                <w:color w:val="231F20"/>
                                <w:sz w:val="15"/>
                              </w:rPr>
                              <w:t>ε</w:t>
                            </w:r>
                            <w:r>
                              <w:rPr>
                                <w:color w:val="231F20"/>
                                <w:sz w:val="15"/>
                              </w:rPr>
                              <w:t>-Aminocaproic</w:t>
                            </w:r>
                            <w:r>
                              <w:rPr>
                                <w:color w:val="231F20"/>
                                <w:spacing w:val="-12"/>
                                <w:sz w:val="15"/>
                              </w:rPr>
                              <w:t> </w:t>
                            </w:r>
                            <w:r>
                              <w:rPr>
                                <w:color w:val="231F20"/>
                                <w:sz w:val="15"/>
                              </w:rPr>
                              <w:t>acid </w:t>
                            </w:r>
                            <w:r>
                              <w:rPr>
                                <w:color w:val="231F20"/>
                                <w:spacing w:val="-2"/>
                                <w:sz w:val="15"/>
                              </w:rPr>
                              <w:t>Labetalol</w:t>
                            </w:r>
                          </w:p>
                          <w:p>
                            <w:pPr>
                              <w:pStyle w:val="TableParagraph"/>
                              <w:spacing w:line="230" w:lineRule="auto" w:before="1"/>
                              <w:ind w:left="74"/>
                              <w:rPr>
                                <w:sz w:val="15"/>
                              </w:rPr>
                            </w:pPr>
                            <w:r>
                              <w:rPr>
                                <w:color w:val="231F20"/>
                                <w:sz w:val="15"/>
                              </w:rPr>
                              <w:t>Cyclosporine</w:t>
                            </w:r>
                            <w:r>
                              <w:rPr>
                                <w:color w:val="231F20"/>
                                <w:spacing w:val="-12"/>
                                <w:sz w:val="15"/>
                              </w:rPr>
                              <w:t> </w:t>
                            </w:r>
                            <w:r>
                              <w:rPr>
                                <w:color w:val="231F20"/>
                                <w:sz w:val="15"/>
                              </w:rPr>
                              <w:t>and</w:t>
                            </w:r>
                            <w:r>
                              <w:rPr>
                                <w:color w:val="231F20"/>
                                <w:spacing w:val="-11"/>
                                <w:sz w:val="15"/>
                              </w:rPr>
                              <w:t> </w:t>
                            </w:r>
                            <w:r>
                              <w:rPr>
                                <w:color w:val="231F20"/>
                                <w:sz w:val="15"/>
                              </w:rPr>
                              <w:t>tacrolimus Isoretinoic acid (vitamin A</w:t>
                            </w:r>
                          </w:p>
                          <w:p>
                            <w:pPr>
                              <w:pStyle w:val="TableParagraph"/>
                              <w:spacing w:line="230" w:lineRule="auto" w:before="2"/>
                              <w:ind w:left="74" w:right="1582" w:firstLine="111"/>
                              <w:rPr>
                                <w:sz w:val="15"/>
                              </w:rPr>
                            </w:pPr>
                            <w:r>
                              <w:rPr>
                                <w:color w:val="231F20"/>
                                <w:spacing w:val="-2"/>
                                <w:sz w:val="15"/>
                              </w:rPr>
                              <w:t>analog) </w:t>
                            </w:r>
                            <w:r>
                              <w:rPr>
                                <w:color w:val="231F20"/>
                                <w:spacing w:val="-4"/>
                                <w:sz w:val="15"/>
                              </w:rPr>
                              <w:t>Vincristine </w:t>
                            </w:r>
                            <w:r>
                              <w:rPr>
                                <w:color w:val="231F20"/>
                                <w:spacing w:val="-2"/>
                                <w:sz w:val="15"/>
                              </w:rPr>
                              <w:t>Alcohol</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433"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MITOCHONDRIAL</w:t>
                            </w:r>
                          </w:p>
                          <w:p>
                            <w:pPr>
                              <w:pStyle w:val="TableParagraph"/>
                              <w:spacing w:line="172" w:lineRule="exact"/>
                              <w:ind w:left="69"/>
                              <w:rPr>
                                <w:sz w:val="15"/>
                              </w:rPr>
                            </w:pPr>
                            <w:r>
                              <w:rPr>
                                <w:color w:val="231F20"/>
                                <w:spacing w:val="-2"/>
                                <w:sz w:val="15"/>
                              </w:rPr>
                              <w:t>Zidovudine</w:t>
                            </w:r>
                          </w:p>
                        </w:tc>
                      </w:tr>
                      <w:tr>
                        <w:trPr>
                          <w:trHeight w:val="1104"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MYOTONIA</w:t>
                            </w:r>
                          </w:p>
                          <w:p>
                            <w:pPr>
                              <w:pStyle w:val="TableParagraph"/>
                              <w:spacing w:line="230" w:lineRule="auto" w:before="3"/>
                              <w:ind w:left="69" w:right="132"/>
                              <w:rPr>
                                <w:sz w:val="15"/>
                              </w:rPr>
                            </w:pPr>
                            <w:r>
                              <w:rPr>
                                <w:color w:val="231F20"/>
                                <w:sz w:val="15"/>
                              </w:rPr>
                              <w:t>2,4-</w:t>
                            </w:r>
                            <w:r>
                              <w:rPr>
                                <w:i/>
                                <w:color w:val="231F20"/>
                                <w:sz w:val="15"/>
                              </w:rPr>
                              <w:t>d</w:t>
                            </w:r>
                            <w:r>
                              <w:rPr>
                                <w:color w:val="231F20"/>
                                <w:sz w:val="15"/>
                              </w:rPr>
                              <w:t>-Chlorophenoxyacetic</w:t>
                            </w:r>
                            <w:r>
                              <w:rPr>
                                <w:color w:val="231F20"/>
                                <w:spacing w:val="-12"/>
                                <w:sz w:val="15"/>
                              </w:rPr>
                              <w:t> </w:t>
                            </w:r>
                            <w:r>
                              <w:rPr>
                                <w:color w:val="231F20"/>
                                <w:sz w:val="15"/>
                              </w:rPr>
                              <w:t>acid </w:t>
                            </w:r>
                            <w:r>
                              <w:rPr>
                                <w:color w:val="231F20"/>
                                <w:spacing w:val="-2"/>
                                <w:sz w:val="15"/>
                              </w:rPr>
                              <w:t>Anthracene-9-carboxycyclic</w:t>
                            </w:r>
                            <w:r>
                              <w:rPr>
                                <w:color w:val="231F20"/>
                                <w:spacing w:val="-10"/>
                                <w:sz w:val="15"/>
                              </w:rPr>
                              <w:t> </w:t>
                            </w:r>
                            <w:r>
                              <w:rPr>
                                <w:color w:val="231F20"/>
                                <w:spacing w:val="-2"/>
                                <w:sz w:val="15"/>
                              </w:rPr>
                              <w:t>acid </w:t>
                            </w:r>
                            <w:r>
                              <w:rPr>
                                <w:color w:val="231F20"/>
                                <w:sz w:val="15"/>
                              </w:rPr>
                              <w:t>Cholesterol-lowering drugs </w:t>
                            </w:r>
                            <w:r>
                              <w:rPr>
                                <w:color w:val="231F20"/>
                                <w:spacing w:val="-2"/>
                                <w:sz w:val="15"/>
                              </w:rPr>
                              <w:t>Chloroquine</w:t>
                            </w:r>
                          </w:p>
                          <w:p>
                            <w:pPr>
                              <w:pStyle w:val="TableParagraph"/>
                              <w:spacing w:line="171" w:lineRule="exact"/>
                              <w:ind w:left="69"/>
                              <w:rPr>
                                <w:sz w:val="15"/>
                              </w:rPr>
                            </w:pPr>
                            <w:r>
                              <w:rPr>
                                <w:color w:val="231F20"/>
                                <w:spacing w:val="-2"/>
                                <w:sz w:val="15"/>
                              </w:rPr>
                              <w:t>Cyclosporine</w:t>
                            </w:r>
                          </w:p>
                        </w:tc>
                      </w:tr>
                      <w:tr>
                        <w:trPr>
                          <w:trHeight w:val="233"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nil"/>
                              <w:right w:val="nil"/>
                            </w:tcBorders>
                            <w:shd w:val="clear" w:color="auto" w:fill="E8F5F1"/>
                          </w:tcPr>
                          <w:p>
                            <w:pPr>
                              <w:pStyle w:val="TableParagraph"/>
                              <w:spacing w:line="172" w:lineRule="exact" w:before="43"/>
                              <w:ind w:left="69"/>
                              <w:rPr>
                                <w:sz w:val="15"/>
                              </w:rPr>
                            </w:pPr>
                            <w:r>
                              <w:rPr>
                                <w:color w:val="231F20"/>
                                <w:w w:val="115"/>
                                <w:sz w:val="15"/>
                              </w:rPr>
                              <w:t>MYOSIN</w:t>
                            </w:r>
                            <w:r>
                              <w:rPr>
                                <w:color w:val="231F20"/>
                                <w:spacing w:val="12"/>
                                <w:w w:val="115"/>
                                <w:sz w:val="15"/>
                              </w:rPr>
                              <w:t> </w:t>
                            </w:r>
                            <w:r>
                              <w:rPr>
                                <w:color w:val="231F20"/>
                                <w:spacing w:val="-4"/>
                                <w:w w:val="115"/>
                                <w:sz w:val="15"/>
                              </w:rPr>
                              <w:t>LOSS</w:t>
                            </w:r>
                          </w:p>
                          <w:p>
                            <w:pPr>
                              <w:pStyle w:val="TableParagraph"/>
                              <w:spacing w:line="230" w:lineRule="auto" w:before="3"/>
                              <w:ind w:left="181" w:hanging="112"/>
                              <w:rPr>
                                <w:sz w:val="15"/>
                              </w:rPr>
                            </w:pPr>
                            <w:r>
                              <w:rPr>
                                <w:color w:val="231F20"/>
                                <w:sz w:val="15"/>
                              </w:rPr>
                              <w:t>Nondepolarizing</w:t>
                            </w:r>
                            <w:r>
                              <w:rPr>
                                <w:color w:val="231F20"/>
                                <w:spacing w:val="-12"/>
                                <w:sz w:val="15"/>
                              </w:rPr>
                              <w:t> </w:t>
                            </w:r>
                            <w:r>
                              <w:rPr>
                                <w:color w:val="231F20"/>
                                <w:sz w:val="15"/>
                              </w:rPr>
                              <w:t>neuromuscular blocking agents</w:t>
                            </w:r>
                          </w:p>
                          <w:p>
                            <w:pPr>
                              <w:pStyle w:val="TableParagraph"/>
                              <w:spacing w:line="170" w:lineRule="exact"/>
                              <w:ind w:left="69"/>
                              <w:rPr>
                                <w:sz w:val="15"/>
                              </w:rPr>
                            </w:pPr>
                            <w:r>
                              <w:rPr>
                                <w:color w:val="231F20"/>
                                <w:spacing w:val="-2"/>
                                <w:sz w:val="15"/>
                              </w:rPr>
                              <w:t>Intravenous</w:t>
                            </w:r>
                            <w:r>
                              <w:rPr>
                                <w:color w:val="231F20"/>
                                <w:spacing w:val="7"/>
                                <w:sz w:val="15"/>
                              </w:rPr>
                              <w:t> </w:t>
                            </w:r>
                            <w:r>
                              <w:rPr>
                                <w:color w:val="231F20"/>
                                <w:spacing w:val="-2"/>
                                <w:sz w:val="15"/>
                              </w:rPr>
                              <w:t>glucocorticoids</w:t>
                            </w:r>
                          </w:p>
                        </w:tc>
                      </w:tr>
                      <w:tr>
                        <w:trPr>
                          <w:trHeight w:val="2125" w:hRule="exact"/>
                        </w:trPr>
                        <w:tc>
                          <w:tcPr>
                            <w:tcW w:w="2352" w:type="dxa"/>
                            <w:gridSpan w:val="2"/>
                            <w:tcBorders>
                              <w:top w:val="single" w:sz="4" w:space="0" w:color="FFFFFF"/>
                              <w:left w:val="nil"/>
                              <w:bottom w:val="nil"/>
                              <w:right w:val="single" w:sz="4" w:space="0" w:color="231F20"/>
                            </w:tcBorders>
                            <w:shd w:val="clear" w:color="auto" w:fill="E8F5F1"/>
                          </w:tcPr>
                          <w:p>
                            <w:pPr>
                              <w:pStyle w:val="TableParagraph"/>
                              <w:spacing w:line="230" w:lineRule="auto" w:before="48"/>
                              <w:ind w:left="74"/>
                              <w:rPr>
                                <w:sz w:val="15"/>
                              </w:rPr>
                            </w:pPr>
                            <w:r>
                              <w:rPr>
                                <w:color w:val="231F20"/>
                                <w:w w:val="115"/>
                                <w:sz w:val="15"/>
                              </w:rPr>
                              <w:t>RHABDOMYOLYSIS</w:t>
                            </w:r>
                            <w:r>
                              <w:rPr>
                                <w:color w:val="231F20"/>
                                <w:spacing w:val="-13"/>
                                <w:w w:val="115"/>
                                <w:sz w:val="15"/>
                              </w:rPr>
                              <w:t> </w:t>
                            </w:r>
                            <w:r>
                              <w:rPr>
                                <w:color w:val="231F20"/>
                                <w:w w:val="115"/>
                                <w:sz w:val="15"/>
                              </w:rPr>
                              <w:t>AND </w:t>
                            </w:r>
                            <w:r>
                              <w:rPr>
                                <w:color w:val="231F20"/>
                                <w:spacing w:val="-2"/>
                                <w:w w:val="115"/>
                                <w:sz w:val="15"/>
                              </w:rPr>
                              <w:t>MYOGLOBINURIA</w:t>
                            </w:r>
                          </w:p>
                          <w:p>
                            <w:pPr>
                              <w:pStyle w:val="TableParagraph"/>
                              <w:spacing w:line="230" w:lineRule="auto" w:before="3"/>
                              <w:ind w:left="186" w:hanging="112"/>
                              <w:rPr>
                                <w:sz w:val="15"/>
                              </w:rPr>
                            </w:pPr>
                            <w:r>
                              <w:rPr>
                                <w:color w:val="231F20"/>
                                <w:sz w:val="15"/>
                              </w:rPr>
                              <w:t>Cholesterol-lowering</w:t>
                            </w:r>
                            <w:r>
                              <w:rPr>
                                <w:color w:val="231F20"/>
                                <w:spacing w:val="-12"/>
                                <w:sz w:val="15"/>
                              </w:rPr>
                              <w:t> </w:t>
                            </w:r>
                            <w:r>
                              <w:rPr>
                                <w:color w:val="231F20"/>
                                <w:sz w:val="15"/>
                              </w:rPr>
                              <w:t>drugs (especially statins)</w:t>
                            </w:r>
                          </w:p>
                          <w:p>
                            <w:pPr>
                              <w:pStyle w:val="TableParagraph"/>
                              <w:spacing w:line="230" w:lineRule="auto" w:before="2"/>
                              <w:ind w:left="74" w:right="1341"/>
                              <w:rPr>
                                <w:sz w:val="15"/>
                              </w:rPr>
                            </w:pPr>
                            <w:r>
                              <w:rPr>
                                <w:color w:val="231F20"/>
                                <w:spacing w:val="-2"/>
                                <w:sz w:val="15"/>
                              </w:rPr>
                              <w:t>Alcohol</w:t>
                            </w:r>
                            <w:r>
                              <w:rPr>
                                <w:color w:val="231F20"/>
                                <w:spacing w:val="40"/>
                                <w:sz w:val="15"/>
                              </w:rPr>
                              <w:t> </w:t>
                            </w:r>
                            <w:r>
                              <w:rPr>
                                <w:color w:val="231F20"/>
                                <w:spacing w:val="-2"/>
                                <w:sz w:val="15"/>
                              </w:rPr>
                              <w:t>Heroin Amphetamine Toluene Cocaine</w:t>
                            </w:r>
                          </w:p>
                          <w:p>
                            <w:pPr>
                              <w:pStyle w:val="TableParagraph"/>
                              <w:spacing w:line="230" w:lineRule="auto" w:before="2"/>
                              <w:ind w:left="74" w:right="665"/>
                              <w:rPr>
                                <w:sz w:val="15"/>
                              </w:rPr>
                            </w:pPr>
                            <w:r>
                              <w:rPr>
                                <w:rFonts w:ascii="Cambria" w:hAnsi="Cambria"/>
                                <w:color w:val="231F20"/>
                                <w:sz w:val="15"/>
                              </w:rPr>
                              <w:t>ε</w:t>
                            </w:r>
                            <w:r>
                              <w:rPr>
                                <w:color w:val="231F20"/>
                                <w:sz w:val="15"/>
                              </w:rPr>
                              <w:t>-Aminocaproic</w:t>
                            </w:r>
                            <w:r>
                              <w:rPr>
                                <w:color w:val="231F20"/>
                                <w:spacing w:val="-12"/>
                                <w:sz w:val="15"/>
                              </w:rPr>
                              <w:t> </w:t>
                            </w:r>
                            <w:r>
                              <w:rPr>
                                <w:color w:val="231F20"/>
                                <w:sz w:val="15"/>
                              </w:rPr>
                              <w:t>acid </w:t>
                            </w:r>
                            <w:r>
                              <w:rPr>
                                <w:color w:val="231F20"/>
                                <w:spacing w:val="-2"/>
                                <w:sz w:val="15"/>
                              </w:rPr>
                              <w:t>Pentazocine Phencyclidine</w:t>
                            </w:r>
                          </w:p>
                        </w:tc>
                        <w:tc>
                          <w:tcPr>
                            <w:tcW w:w="2352" w:type="dxa"/>
                            <w:vMerge/>
                            <w:tcBorders>
                              <w:top w:val="nil"/>
                              <w:left w:val="single" w:sz="4" w:space="0" w:color="231F20"/>
                              <w:bottom w:val="nil"/>
                              <w:right w:val="nil"/>
                            </w:tcBorders>
                            <w:shd w:val="clear" w:color="auto" w:fill="E8F5F1"/>
                          </w:tcPr>
                          <w:p>
                            <w:pPr>
                              <w:rPr>
                                <w:sz w:val="2"/>
                                <w:szCs w:val="2"/>
                              </w:rPr>
                            </w:pPr>
                          </w:p>
                        </w:tc>
                      </w:tr>
                    </w:tbl>
                    <w:p>
                      <w:pPr>
                        <w:pStyle w:val="BodyText"/>
                      </w:pPr>
                    </w:p>
                  </w:txbxContent>
                </v:textbox>
                <w10:wrap type="none"/>
              </v:shape>
            </w:pict>
          </mc:Fallback>
        </mc:AlternateContent>
      </w:r>
    </w:p>
    <w:p>
      <w:pPr>
        <w:pStyle w:val="BodyText"/>
        <w:ind w:left="427"/>
        <w:rPr>
          <w:sz w:val="20"/>
        </w:rPr>
      </w:pPr>
      <w:r>
        <w:rPr>
          <w:sz w:val="20"/>
        </w:rPr>
        <mc:AlternateContent>
          <mc:Choice Requires="wps">
            <w:drawing>
              <wp:inline distT="0" distB="0" distL="0" distR="0">
                <wp:extent cx="6185535" cy="170815"/>
                <wp:effectExtent l="76200" t="0" r="5714" b="635"/>
                <wp:docPr id="1023" name="Group 1023"/>
                <wp:cNvGraphicFramePr>
                  <a:graphicFrameLocks/>
                </wp:cNvGraphicFramePr>
                <a:graphic>
                  <a:graphicData uri="http://schemas.microsoft.com/office/word/2010/wordprocessingGroup">
                    <wpg:wgp>
                      <wpg:cNvPr id="1023" name="Group 1023"/>
                      <wpg:cNvGrpSpPr/>
                      <wpg:grpSpPr>
                        <a:xfrm>
                          <a:off x="0" y="0"/>
                          <a:ext cx="6185535" cy="170815"/>
                          <a:chExt cx="6185535" cy="170815"/>
                        </a:xfrm>
                      </wpg:grpSpPr>
                      <wps:wsp>
                        <wps:cNvPr id="1024" name="Graphic 1024"/>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25" name="Graphic 1025"/>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26" name="Textbox 1026"/>
                        <wps:cNvSpPr txBox="1"/>
                        <wps:spPr>
                          <a:xfrm>
                            <a:off x="0" y="0"/>
                            <a:ext cx="6185535" cy="170815"/>
                          </a:xfrm>
                          <a:prstGeom prst="rect">
                            <a:avLst/>
                          </a:prstGeom>
                        </wps:spPr>
                        <wps:txbx>
                          <w:txbxContent>
                            <w:p>
                              <w:pPr>
                                <w:spacing w:before="6"/>
                                <w:ind w:left="5811" w:right="0" w:firstLine="0"/>
                                <w:jc w:val="left"/>
                                <w:rPr>
                                  <w:b/>
                                  <w:sz w:val="18"/>
                                </w:rPr>
                              </w:pPr>
                              <w:r>
                                <w:rPr>
                                  <w:b/>
                                  <w:color w:val="0073BC"/>
                                  <w:w w:val="105"/>
                                  <w:sz w:val="18"/>
                                </w:rPr>
                                <w:t>Chapter</w:t>
                              </w:r>
                              <w:r>
                                <w:rPr>
                                  <w:b/>
                                  <w:color w:val="0073BC"/>
                                  <w:spacing w:val="14"/>
                                  <w:w w:val="105"/>
                                  <w:sz w:val="18"/>
                                </w:rPr>
                                <w:t> </w:t>
                              </w:r>
                              <w:r>
                                <w:rPr>
                                  <w:b/>
                                  <w:color w:val="0073BC"/>
                                  <w:w w:val="105"/>
                                  <w:sz w:val="18"/>
                                </w:rPr>
                                <w:t>611</w:t>
                              </w:r>
                              <w:r>
                                <w:rPr>
                                  <w:b/>
                                  <w:color w:val="0073BC"/>
                                  <w:spacing w:val="43"/>
                                  <w:w w:val="105"/>
                                  <w:sz w:val="18"/>
                                </w:rPr>
                                <w:t> </w:t>
                              </w:r>
                              <w:r>
                                <w:rPr>
                                  <w:rFonts w:ascii="Lucida Sans Unicode" w:hAnsi="Lucida Sans Unicode"/>
                                  <w:color w:val="6C9BD2"/>
                                  <w:w w:val="105"/>
                                  <w:sz w:val="15"/>
                                </w:rPr>
                                <w:t>◆</w:t>
                              </w:r>
                              <w:r>
                                <w:rPr>
                                  <w:rFonts w:ascii="Lucida Sans Unicode" w:hAnsi="Lucida Sans Unicode"/>
                                  <w:color w:val="6C9BD2"/>
                                  <w:spacing w:val="50"/>
                                  <w:w w:val="105"/>
                                  <w:sz w:val="15"/>
                                </w:rPr>
                                <w:t> </w:t>
                              </w:r>
                              <w:r>
                                <w:rPr>
                                  <w:color w:val="231F20"/>
                                  <w:w w:val="105"/>
                                  <w:sz w:val="18"/>
                                </w:rPr>
                                <w:t>Metabolic</w:t>
                              </w:r>
                              <w:r>
                                <w:rPr>
                                  <w:color w:val="231F20"/>
                                  <w:spacing w:val="10"/>
                                  <w:w w:val="105"/>
                                  <w:sz w:val="18"/>
                                </w:rPr>
                                <w:t> </w:t>
                              </w:r>
                              <w:r>
                                <w:rPr>
                                  <w:color w:val="231F20"/>
                                  <w:w w:val="105"/>
                                  <w:sz w:val="18"/>
                                </w:rPr>
                                <w:t>Myopathies</w:t>
                              </w:r>
                              <w:r>
                                <w:rPr>
                                  <w:color w:val="231F20"/>
                                  <w:spacing w:val="43"/>
                                  <w:w w:val="105"/>
                                  <w:sz w:val="18"/>
                                </w:rPr>
                                <w:t>  </w:t>
                              </w:r>
                              <w:r>
                                <w:rPr>
                                  <w:b/>
                                  <w:color w:val="231F20"/>
                                  <w:spacing w:val="-4"/>
                                  <w:w w:val="105"/>
                                  <w:sz w:val="18"/>
                                </w:rPr>
                                <w:t>2987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24"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25" filled="false" stroked="false">
                  <v:textbox inset="0,0,0,0">
                    <w:txbxContent>
                      <w:p>
                        <w:pPr>
                          <w:spacing w:before="6"/>
                          <w:ind w:left="5811" w:right="0" w:firstLine="0"/>
                          <w:jc w:val="left"/>
                          <w:rPr>
                            <w:b/>
                            <w:sz w:val="18"/>
                          </w:rPr>
                        </w:pPr>
                        <w:r>
                          <w:rPr>
                            <w:b/>
                            <w:color w:val="0073BC"/>
                            <w:w w:val="105"/>
                            <w:sz w:val="18"/>
                          </w:rPr>
                          <w:t>Chapter</w:t>
                        </w:r>
                        <w:r>
                          <w:rPr>
                            <w:b/>
                            <w:color w:val="0073BC"/>
                            <w:spacing w:val="14"/>
                            <w:w w:val="105"/>
                            <w:sz w:val="18"/>
                          </w:rPr>
                          <w:t> </w:t>
                        </w:r>
                        <w:r>
                          <w:rPr>
                            <w:b/>
                            <w:color w:val="0073BC"/>
                            <w:w w:val="105"/>
                            <w:sz w:val="18"/>
                          </w:rPr>
                          <w:t>611</w:t>
                        </w:r>
                        <w:r>
                          <w:rPr>
                            <w:b/>
                            <w:color w:val="0073BC"/>
                            <w:spacing w:val="43"/>
                            <w:w w:val="105"/>
                            <w:sz w:val="18"/>
                          </w:rPr>
                          <w:t> </w:t>
                        </w:r>
                        <w:r>
                          <w:rPr>
                            <w:rFonts w:ascii="Lucida Sans Unicode" w:hAnsi="Lucida Sans Unicode"/>
                            <w:color w:val="6C9BD2"/>
                            <w:w w:val="105"/>
                            <w:sz w:val="15"/>
                          </w:rPr>
                          <w:t>◆</w:t>
                        </w:r>
                        <w:r>
                          <w:rPr>
                            <w:rFonts w:ascii="Lucida Sans Unicode" w:hAnsi="Lucida Sans Unicode"/>
                            <w:color w:val="6C9BD2"/>
                            <w:spacing w:val="50"/>
                            <w:w w:val="105"/>
                            <w:sz w:val="15"/>
                          </w:rPr>
                          <w:t> </w:t>
                        </w:r>
                        <w:r>
                          <w:rPr>
                            <w:color w:val="231F20"/>
                            <w:w w:val="105"/>
                            <w:sz w:val="18"/>
                          </w:rPr>
                          <w:t>Metabolic</w:t>
                        </w:r>
                        <w:r>
                          <w:rPr>
                            <w:color w:val="231F20"/>
                            <w:spacing w:val="10"/>
                            <w:w w:val="105"/>
                            <w:sz w:val="18"/>
                          </w:rPr>
                          <w:t> </w:t>
                        </w:r>
                        <w:r>
                          <w:rPr>
                            <w:color w:val="231F20"/>
                            <w:w w:val="105"/>
                            <w:sz w:val="18"/>
                          </w:rPr>
                          <w:t>Myopathies</w:t>
                        </w:r>
                        <w:r>
                          <w:rPr>
                            <w:color w:val="231F20"/>
                            <w:spacing w:val="43"/>
                            <w:w w:val="105"/>
                            <w:sz w:val="18"/>
                          </w:rPr>
                          <w:t>  </w:t>
                        </w:r>
                        <w:r>
                          <w:rPr>
                            <w:b/>
                            <w:color w:val="231F20"/>
                            <w:spacing w:val="-4"/>
                            <w:w w:val="105"/>
                            <w:sz w:val="18"/>
                          </w:rPr>
                          <w:t>2987</w:t>
                        </w:r>
                      </w:p>
                    </w:txbxContent>
                  </v:textbox>
                  <w10:wrap type="none"/>
                </v:shape>
              </v:group>
            </w:pict>
          </mc:Fallback>
        </mc:AlternateContent>
      </w:r>
      <w:r>
        <w:rPr>
          <w:sz w:val="20"/>
        </w:rPr>
      </w:r>
    </w:p>
    <w:p>
      <w:pPr>
        <w:pStyle w:val="BodyText"/>
        <w:spacing w:before="65"/>
        <w:rPr>
          <w:i/>
          <w:sz w:val="20"/>
        </w:rPr>
      </w:pPr>
      <w:r>
        <w:rPr>
          <w:i/>
          <w:sz w:val="20"/>
        </w:rPr>
        <mc:AlternateContent>
          <mc:Choice Requires="wps">
            <w:drawing>
              <wp:anchor distT="0" distB="0" distL="0" distR="0" allowOverlap="1" layoutInCell="1" locked="0" behindDoc="1" simplePos="0" relativeHeight="487587840">
                <wp:simplePos x="0" y="0"/>
                <wp:positionH relativeFrom="page">
                  <wp:posOffset>705970</wp:posOffset>
                </wp:positionH>
                <wp:positionV relativeFrom="paragraph">
                  <wp:posOffset>244953</wp:posOffset>
                </wp:positionV>
                <wp:extent cx="2986405" cy="2931795"/>
                <wp:effectExtent l="0" t="0" r="0" b="0"/>
                <wp:wrapTopAndBottom/>
                <wp:docPr id="1027" name="Textbox 1027"/>
                <wp:cNvGraphicFramePr>
                  <a:graphicFrameLocks/>
                </wp:cNvGraphicFramePr>
                <a:graphic>
                  <a:graphicData uri="http://schemas.microsoft.com/office/word/2010/wordprocessingShape">
                    <wps:wsp>
                      <wps:cNvPr id="1027" name="Textbox 1027"/>
                      <wps:cNvSpPr txBox="1"/>
                      <wps:spPr>
                        <a:xfrm>
                          <a:off x="0" y="0"/>
                          <a:ext cx="2986405" cy="293179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611-</w:t>
                                  </w:r>
                                  <w:r>
                                    <w:rPr>
                                      <w:b/>
                                      <w:color w:val="FFFFFF"/>
                                      <w:spacing w:val="-10"/>
                                      <w:w w:val="105"/>
                                      <w:sz w:val="16"/>
                                    </w:rPr>
                                    <w:t>2</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Secondary</w:t>
                                  </w:r>
                                  <w:r>
                                    <w:rPr>
                                      <w:color w:val="FFFFFF"/>
                                      <w:spacing w:val="16"/>
                                      <w:w w:val="105"/>
                                      <w:sz w:val="16"/>
                                    </w:rPr>
                                    <w:t> </w:t>
                                  </w:r>
                                  <w:r>
                                    <w:rPr>
                                      <w:color w:val="FFFFFF"/>
                                      <w:w w:val="105"/>
                                      <w:sz w:val="16"/>
                                    </w:rPr>
                                    <w:t>Causes</w:t>
                                  </w:r>
                                  <w:r>
                                    <w:rPr>
                                      <w:color w:val="FFFFFF"/>
                                      <w:spacing w:val="16"/>
                                      <w:w w:val="105"/>
                                      <w:sz w:val="16"/>
                                    </w:rPr>
                                    <w:t> </w:t>
                                  </w:r>
                                  <w:r>
                                    <w:rPr>
                                      <w:color w:val="FFFFFF"/>
                                      <w:w w:val="105"/>
                                      <w:sz w:val="16"/>
                                    </w:rPr>
                                    <w:t>of</w:t>
                                  </w:r>
                                  <w:r>
                                    <w:rPr>
                                      <w:color w:val="FFFFFF"/>
                                      <w:spacing w:val="16"/>
                                      <w:w w:val="105"/>
                                      <w:sz w:val="16"/>
                                    </w:rPr>
                                    <w:t> </w:t>
                                  </w:r>
                                  <w:r>
                                    <w:rPr>
                                      <w:color w:val="FFFFFF"/>
                                      <w:w w:val="105"/>
                                      <w:sz w:val="16"/>
                                    </w:rPr>
                                    <w:t>Periodic</w:t>
                                  </w:r>
                                  <w:r>
                                    <w:rPr>
                                      <w:color w:val="FFFFFF"/>
                                      <w:spacing w:val="16"/>
                                      <w:w w:val="105"/>
                                      <w:sz w:val="16"/>
                                    </w:rPr>
                                    <w:t> </w:t>
                                  </w:r>
                                  <w:r>
                                    <w:rPr>
                                      <w:color w:val="FFFFFF"/>
                                      <w:spacing w:val="-2"/>
                                      <w:w w:val="105"/>
                                      <w:sz w:val="16"/>
                                    </w:rPr>
                                    <w:t>Paralysis</w:t>
                                  </w:r>
                                </w:p>
                              </w:tc>
                            </w:tr>
                            <w:tr>
                              <w:trPr>
                                <w:trHeight w:val="3115"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HYPOKALEMIC</w:t>
                                  </w:r>
                                </w:p>
                                <w:p>
                                  <w:pPr>
                                    <w:pStyle w:val="TableParagraph"/>
                                    <w:spacing w:line="169" w:lineRule="exact"/>
                                    <w:ind w:left="74"/>
                                    <w:rPr>
                                      <w:sz w:val="15"/>
                                    </w:rPr>
                                  </w:pPr>
                                  <w:r>
                                    <w:rPr>
                                      <w:color w:val="231F20"/>
                                      <w:spacing w:val="-2"/>
                                      <w:sz w:val="15"/>
                                    </w:rPr>
                                    <w:t>Thyrotoxic</w:t>
                                  </w:r>
                                </w:p>
                                <w:p>
                                  <w:pPr>
                                    <w:pStyle w:val="TableParagraph"/>
                                    <w:spacing w:line="230" w:lineRule="auto" w:before="2"/>
                                    <w:ind w:left="74" w:right="1221"/>
                                    <w:rPr>
                                      <w:sz w:val="15"/>
                                    </w:rPr>
                                  </w:pPr>
                                  <w:r>
                                    <w:rPr>
                                      <w:color w:val="231F20"/>
                                      <w:sz w:val="15"/>
                                    </w:rPr>
                                    <w:t>Primary hyperaldosteronism (Conn syndrome) </w:t>
                                  </w:r>
                                  <w:r>
                                    <w:rPr>
                                      <w:color w:val="231F20"/>
                                      <w:spacing w:val="-2"/>
                                      <w:sz w:val="15"/>
                                    </w:rPr>
                                    <w:t>Renal</w:t>
                                  </w:r>
                                  <w:r>
                                    <w:rPr>
                                      <w:color w:val="231F20"/>
                                      <w:spacing w:val="-4"/>
                                      <w:sz w:val="15"/>
                                    </w:rPr>
                                    <w:t> </w:t>
                                  </w:r>
                                  <w:r>
                                    <w:rPr>
                                      <w:color w:val="231F20"/>
                                      <w:spacing w:val="-2"/>
                                      <w:sz w:val="15"/>
                                    </w:rPr>
                                    <w:t>tubular</w:t>
                                  </w:r>
                                  <w:r>
                                    <w:rPr>
                                      <w:color w:val="231F20"/>
                                      <w:spacing w:val="-4"/>
                                      <w:sz w:val="15"/>
                                    </w:rPr>
                                    <w:t> </w:t>
                                  </w:r>
                                  <w:r>
                                    <w:rPr>
                                      <w:color w:val="231F20"/>
                                      <w:spacing w:val="-2"/>
                                      <w:sz w:val="15"/>
                                    </w:rPr>
                                    <w:t>acidosis</w:t>
                                  </w:r>
                                  <w:r>
                                    <w:rPr>
                                      <w:color w:val="231F20"/>
                                      <w:spacing w:val="-4"/>
                                      <w:sz w:val="15"/>
                                    </w:rPr>
                                    <w:t> </w:t>
                                  </w:r>
                                  <w:r>
                                    <w:rPr>
                                      <w:color w:val="231F20"/>
                                      <w:spacing w:val="-2"/>
                                      <w:sz w:val="15"/>
                                    </w:rPr>
                                    <w:t>(e.g.,</w:t>
                                  </w:r>
                                  <w:r>
                                    <w:rPr>
                                      <w:color w:val="231F20"/>
                                      <w:spacing w:val="-4"/>
                                      <w:sz w:val="15"/>
                                    </w:rPr>
                                    <w:t> </w:t>
                                  </w:r>
                                  <w:r>
                                    <w:rPr>
                                      <w:color w:val="231F20"/>
                                      <w:spacing w:val="-2"/>
                                      <w:sz w:val="15"/>
                                    </w:rPr>
                                    <w:t>Fanconi</w:t>
                                  </w:r>
                                  <w:r>
                                    <w:rPr>
                                      <w:color w:val="231F20"/>
                                      <w:spacing w:val="-4"/>
                                      <w:sz w:val="15"/>
                                    </w:rPr>
                                    <w:t> </w:t>
                                  </w:r>
                                  <w:r>
                                    <w:rPr>
                                      <w:color w:val="231F20"/>
                                      <w:spacing w:val="-2"/>
                                      <w:sz w:val="15"/>
                                    </w:rPr>
                                    <w:t>syndrome)</w:t>
                                  </w:r>
                                </w:p>
                                <w:p>
                                  <w:pPr>
                                    <w:pStyle w:val="TableParagraph"/>
                                    <w:spacing w:line="230" w:lineRule="auto" w:before="2"/>
                                    <w:ind w:left="74"/>
                                    <w:rPr>
                                      <w:sz w:val="15"/>
                                    </w:rPr>
                                  </w:pPr>
                                  <w:r>
                                    <w:rPr>
                                      <w:color w:val="231F20"/>
                                      <w:spacing w:val="-2"/>
                                      <w:sz w:val="15"/>
                                    </w:rPr>
                                    <w:t>Juxtaglomerular</w:t>
                                  </w:r>
                                  <w:r>
                                    <w:rPr>
                                      <w:color w:val="231F20"/>
                                      <w:spacing w:val="-3"/>
                                      <w:sz w:val="15"/>
                                    </w:rPr>
                                    <w:t> </w:t>
                                  </w:r>
                                  <w:r>
                                    <w:rPr>
                                      <w:color w:val="231F20"/>
                                      <w:spacing w:val="-2"/>
                                      <w:sz w:val="15"/>
                                    </w:rPr>
                                    <w:t>apparatus</w:t>
                                  </w:r>
                                  <w:r>
                                    <w:rPr>
                                      <w:color w:val="231F20"/>
                                      <w:spacing w:val="-3"/>
                                      <w:sz w:val="15"/>
                                    </w:rPr>
                                    <w:t> </w:t>
                                  </w:r>
                                  <w:r>
                                    <w:rPr>
                                      <w:color w:val="231F20"/>
                                      <w:spacing w:val="-2"/>
                                      <w:sz w:val="15"/>
                                    </w:rPr>
                                    <w:t>hyperplasia</w:t>
                                  </w:r>
                                  <w:r>
                                    <w:rPr>
                                      <w:color w:val="231F20"/>
                                      <w:spacing w:val="-3"/>
                                      <w:sz w:val="15"/>
                                    </w:rPr>
                                    <w:t> </w:t>
                                  </w:r>
                                  <w:r>
                                    <w:rPr>
                                      <w:color w:val="231F20"/>
                                      <w:spacing w:val="-2"/>
                                      <w:sz w:val="15"/>
                                    </w:rPr>
                                    <w:t>(Bartter</w:t>
                                  </w:r>
                                  <w:r>
                                    <w:rPr>
                                      <w:color w:val="231F20"/>
                                      <w:spacing w:val="-3"/>
                                      <w:sz w:val="15"/>
                                    </w:rPr>
                                    <w:t> </w:t>
                                  </w:r>
                                  <w:r>
                                    <w:rPr>
                                      <w:color w:val="231F20"/>
                                      <w:spacing w:val="-2"/>
                                      <w:sz w:val="15"/>
                                    </w:rPr>
                                    <w:t>syndrome) </w:t>
                                  </w:r>
                                  <w:r>
                                    <w:rPr>
                                      <w:color w:val="231F20"/>
                                      <w:sz w:val="15"/>
                                    </w:rPr>
                                    <w:t>Gastrointestinal potassium wastage</w:t>
                                  </w:r>
                                </w:p>
                                <w:p>
                                  <w:pPr>
                                    <w:pStyle w:val="TableParagraph"/>
                                    <w:spacing w:line="230" w:lineRule="auto" w:before="1"/>
                                    <w:ind w:left="74" w:right="3450"/>
                                    <w:rPr>
                                      <w:sz w:val="15"/>
                                    </w:rPr>
                                  </w:pPr>
                                  <w:r>
                                    <w:rPr>
                                      <w:color w:val="231F20"/>
                                      <w:sz w:val="15"/>
                                    </w:rPr>
                                    <w:t>Villous</w:t>
                                  </w:r>
                                  <w:r>
                                    <w:rPr>
                                      <w:color w:val="231F20"/>
                                      <w:spacing w:val="-12"/>
                                      <w:sz w:val="15"/>
                                    </w:rPr>
                                    <w:t> </w:t>
                                  </w:r>
                                  <w:r>
                                    <w:rPr>
                                      <w:color w:val="231F20"/>
                                      <w:sz w:val="15"/>
                                    </w:rPr>
                                    <w:t>adenoma Laxative abuse</w:t>
                                  </w:r>
                                </w:p>
                                <w:p>
                                  <w:pPr>
                                    <w:pStyle w:val="TableParagraph"/>
                                    <w:spacing w:line="230" w:lineRule="auto" w:before="2"/>
                                    <w:ind w:left="74" w:right="434"/>
                                    <w:rPr>
                                      <w:sz w:val="15"/>
                                    </w:rPr>
                                  </w:pPr>
                                  <w:r>
                                    <w:rPr>
                                      <w:color w:val="231F20"/>
                                      <w:spacing w:val="-2"/>
                                      <w:sz w:val="15"/>
                                    </w:rPr>
                                    <w:t>Pancreatic non–insulin-secreting tumors with </w:t>
                                  </w:r>
                                  <w:r>
                                    <w:rPr>
                                      <w:color w:val="231F20"/>
                                      <w:spacing w:val="-2"/>
                                      <w:sz w:val="15"/>
                                    </w:rPr>
                                    <w:t>diarrhea </w:t>
                                  </w:r>
                                  <w:r>
                                    <w:rPr>
                                      <w:color w:val="231F20"/>
                                      <w:sz w:val="15"/>
                                    </w:rPr>
                                    <w:t>Nontropical sprue</w:t>
                                  </w:r>
                                </w:p>
                                <w:p>
                                  <w:pPr>
                                    <w:pStyle w:val="TableParagraph"/>
                                    <w:spacing w:line="230" w:lineRule="auto" w:before="1"/>
                                    <w:ind w:left="74" w:right="2647"/>
                                    <w:rPr>
                                      <w:sz w:val="15"/>
                                    </w:rPr>
                                  </w:pPr>
                                  <w:r>
                                    <w:rPr>
                                      <w:color w:val="231F20"/>
                                      <w:sz w:val="15"/>
                                    </w:rPr>
                                    <w:t>Barium intoxication </w:t>
                                  </w:r>
                                  <w:r>
                                    <w:rPr>
                                      <w:color w:val="231F20"/>
                                      <w:spacing w:val="-2"/>
                                      <w:sz w:val="15"/>
                                    </w:rPr>
                                    <w:t>Potassium-depleting </w:t>
                                  </w:r>
                                  <w:r>
                                    <w:rPr>
                                      <w:color w:val="231F20"/>
                                      <w:spacing w:val="-2"/>
                                      <w:sz w:val="15"/>
                                    </w:rPr>
                                    <w:t>diuretics </w:t>
                                  </w:r>
                                  <w:r>
                                    <w:rPr>
                                      <w:color w:val="231F20"/>
                                      <w:sz w:val="15"/>
                                    </w:rPr>
                                    <w:t>Amphotericin B</w:t>
                                  </w:r>
                                </w:p>
                                <w:p>
                                  <w:pPr>
                                    <w:pStyle w:val="TableParagraph"/>
                                    <w:spacing w:line="230" w:lineRule="auto" w:before="3"/>
                                    <w:ind w:left="74" w:right="3563"/>
                                    <w:rPr>
                                      <w:sz w:val="15"/>
                                    </w:rPr>
                                  </w:pPr>
                                  <w:r>
                                    <w:rPr>
                                      <w:color w:val="231F20"/>
                                      <w:spacing w:val="-2"/>
                                      <w:sz w:val="15"/>
                                    </w:rPr>
                                    <w:t>Licorice Corticosteroids </w:t>
                                  </w:r>
                                  <w:r>
                                    <w:rPr>
                                      <w:color w:val="231F20"/>
                                      <w:sz w:val="15"/>
                                    </w:rPr>
                                    <w:t>Toluene</w:t>
                                  </w:r>
                                  <w:r>
                                    <w:rPr>
                                      <w:color w:val="231F20"/>
                                      <w:spacing w:val="1"/>
                                      <w:sz w:val="15"/>
                                    </w:rPr>
                                    <w:t> </w:t>
                                  </w:r>
                                  <w:r>
                                    <w:rPr>
                                      <w:color w:val="231F20"/>
                                      <w:spacing w:val="-6"/>
                                      <w:sz w:val="15"/>
                                    </w:rPr>
                                    <w:t>toxicity</w:t>
                                  </w:r>
                                </w:p>
                                <w:p>
                                  <w:pPr>
                                    <w:pStyle w:val="TableParagraph"/>
                                    <w:spacing w:line="230" w:lineRule="auto" w:before="2"/>
                                    <w:ind w:left="74" w:right="2339"/>
                                    <w:rPr>
                                      <w:sz w:val="15"/>
                                    </w:rPr>
                                  </w:pPr>
                                  <w:r>
                                    <w:rPr>
                                      <w:i/>
                                      <w:color w:val="231F20"/>
                                      <w:spacing w:val="-2"/>
                                      <w:sz w:val="15"/>
                                    </w:rPr>
                                    <w:t>p</w:t>
                                  </w:r>
                                  <w:r>
                                    <w:rPr>
                                      <w:color w:val="231F20"/>
                                      <w:spacing w:val="-2"/>
                                      <w:sz w:val="15"/>
                                    </w:rPr>
                                    <w:t>-Aminosalicylic</w:t>
                                  </w:r>
                                  <w:r>
                                    <w:rPr>
                                      <w:color w:val="231F20"/>
                                      <w:spacing w:val="-10"/>
                                      <w:sz w:val="15"/>
                                    </w:rPr>
                                    <w:t> </w:t>
                                  </w:r>
                                  <w:r>
                                    <w:rPr>
                                      <w:color w:val="231F20"/>
                                      <w:spacing w:val="-2"/>
                                      <w:sz w:val="15"/>
                                    </w:rPr>
                                    <w:t>aci</w:t>
                                  </w:r>
                                  <w:r>
                                    <w:rPr>
                                      <w:color w:val="231F20"/>
                                      <w:spacing w:val="-2"/>
                                      <w:sz w:val="15"/>
                                    </w:rPr>
                                    <w:t>d</w:t>
                                  </w:r>
                                  <w:r>
                                    <w:rPr>
                                      <w:color w:val="231F20"/>
                                      <w:spacing w:val="-2"/>
                                      <w:sz w:val="15"/>
                                    </w:rPr>
                                    <w:t> Carbenoxolone</w:t>
                                  </w:r>
                                </w:p>
                              </w:tc>
                            </w:tr>
                            <w:tr>
                              <w:trPr>
                                <w:trHeight w:val="1089"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10"/>
                                      <w:sz w:val="15"/>
                                    </w:rPr>
                                    <w:t>HYPERKALEMIC</w:t>
                                  </w:r>
                                </w:p>
                                <w:p>
                                  <w:pPr>
                                    <w:pStyle w:val="TableParagraph"/>
                                    <w:spacing w:line="230" w:lineRule="auto" w:before="3"/>
                                    <w:ind w:left="74" w:right="2339"/>
                                    <w:rPr>
                                      <w:sz w:val="15"/>
                                    </w:rPr>
                                  </w:pPr>
                                  <w:r>
                                    <w:rPr>
                                      <w:color w:val="231F20"/>
                                      <w:w w:val="105"/>
                                      <w:sz w:val="15"/>
                                    </w:rPr>
                                    <w:t>Addison disease </w:t>
                                  </w:r>
                                  <w:r>
                                    <w:rPr>
                                      <w:color w:val="231F20"/>
                                      <w:spacing w:val="-2"/>
                                      <w:sz w:val="15"/>
                                    </w:rPr>
                                    <w:t>Hypoaldosteronism</w:t>
                                  </w:r>
                                </w:p>
                                <w:p>
                                  <w:pPr>
                                    <w:pStyle w:val="TableParagraph"/>
                                    <w:spacing w:line="230" w:lineRule="auto" w:before="2"/>
                                    <w:ind w:left="74" w:right="2097"/>
                                    <w:rPr>
                                      <w:sz w:val="15"/>
                                    </w:rPr>
                                  </w:pPr>
                                  <w:r>
                                    <w:rPr>
                                      <w:color w:val="231F20"/>
                                      <w:sz w:val="15"/>
                                    </w:rPr>
                                    <w:t>Excessive</w:t>
                                  </w:r>
                                  <w:r>
                                    <w:rPr>
                                      <w:color w:val="231F20"/>
                                      <w:spacing w:val="-12"/>
                                      <w:sz w:val="15"/>
                                    </w:rPr>
                                    <w:t> </w:t>
                                  </w:r>
                                  <w:r>
                                    <w:rPr>
                                      <w:color w:val="231F20"/>
                                      <w:sz w:val="15"/>
                                    </w:rPr>
                                    <w:t>potassium</w:t>
                                  </w:r>
                                  <w:r>
                                    <w:rPr>
                                      <w:color w:val="231F20"/>
                                      <w:spacing w:val="-11"/>
                                      <w:sz w:val="15"/>
                                    </w:rPr>
                                    <w:t> </w:t>
                                  </w:r>
                                  <w:r>
                                    <w:rPr>
                                      <w:color w:val="231F20"/>
                                      <w:sz w:val="15"/>
                                    </w:rPr>
                                    <w:t>supplementation Potassium-sparing diuretics</w:t>
                                  </w:r>
                                </w:p>
                                <w:p>
                                  <w:pPr>
                                    <w:pStyle w:val="TableParagraph"/>
                                    <w:spacing w:line="170" w:lineRule="exact"/>
                                    <w:ind w:left="74"/>
                                    <w:rPr>
                                      <w:sz w:val="15"/>
                                    </w:rPr>
                                  </w:pPr>
                                  <w:r>
                                    <w:rPr>
                                      <w:color w:val="231F20"/>
                                      <w:sz w:val="15"/>
                                    </w:rPr>
                                    <w:t>Chronic</w:t>
                                  </w:r>
                                  <w:r>
                                    <w:rPr>
                                      <w:color w:val="231F20"/>
                                      <w:spacing w:val="-6"/>
                                      <w:sz w:val="15"/>
                                    </w:rPr>
                                    <w:t> </w:t>
                                  </w:r>
                                  <w:r>
                                    <w:rPr>
                                      <w:color w:val="231F20"/>
                                      <w:sz w:val="15"/>
                                    </w:rPr>
                                    <w:t>renal</w:t>
                                  </w:r>
                                  <w:r>
                                    <w:rPr>
                                      <w:color w:val="231F20"/>
                                      <w:spacing w:val="-5"/>
                                      <w:sz w:val="15"/>
                                    </w:rPr>
                                    <w:t> </w:t>
                                  </w:r>
                                  <w:r>
                                    <w:rPr>
                                      <w:color w:val="231F20"/>
                                      <w:spacing w:val="-2"/>
                                      <w:sz w:val="15"/>
                                    </w:rPr>
                                    <w:t>failure</w:t>
                                  </w:r>
                                </w:p>
                              </w:tc>
                            </w:tr>
                          </w:tbl>
                          <w:p>
                            <w:pPr>
                              <w:pStyle w:val="BodyText"/>
                            </w:pPr>
                          </w:p>
                        </w:txbxContent>
                      </wps:txbx>
                      <wps:bodyPr wrap="square" lIns="0" tIns="0" rIns="0" bIns="0" rtlCol="0">
                        <a:noAutofit/>
                      </wps:bodyPr>
                    </wps:wsp>
                  </a:graphicData>
                </a:graphic>
              </wp:anchor>
            </w:drawing>
          </mc:Choice>
          <mc:Fallback>
            <w:pict>
              <v:shape style="position:absolute;margin-left:55.5882pt;margin-top:19.287657pt;width:235.15pt;height:230.85pt;mso-position-horizontal-relative:page;mso-position-vertical-relative:paragraph;z-index:-15728640;mso-wrap-distance-left:0;mso-wrap-distance-right:0" type="#_x0000_t202" id="docshape82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611-</w:t>
                            </w:r>
                            <w:r>
                              <w:rPr>
                                <w:b/>
                                <w:color w:val="FFFFFF"/>
                                <w:spacing w:val="-10"/>
                                <w:w w:val="105"/>
                                <w:sz w:val="16"/>
                              </w:rPr>
                              <w:t>2</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Secondary</w:t>
                            </w:r>
                            <w:r>
                              <w:rPr>
                                <w:color w:val="FFFFFF"/>
                                <w:spacing w:val="16"/>
                                <w:w w:val="105"/>
                                <w:sz w:val="16"/>
                              </w:rPr>
                              <w:t> </w:t>
                            </w:r>
                            <w:r>
                              <w:rPr>
                                <w:color w:val="FFFFFF"/>
                                <w:w w:val="105"/>
                                <w:sz w:val="16"/>
                              </w:rPr>
                              <w:t>Causes</w:t>
                            </w:r>
                            <w:r>
                              <w:rPr>
                                <w:color w:val="FFFFFF"/>
                                <w:spacing w:val="16"/>
                                <w:w w:val="105"/>
                                <w:sz w:val="16"/>
                              </w:rPr>
                              <w:t> </w:t>
                            </w:r>
                            <w:r>
                              <w:rPr>
                                <w:color w:val="FFFFFF"/>
                                <w:w w:val="105"/>
                                <w:sz w:val="16"/>
                              </w:rPr>
                              <w:t>of</w:t>
                            </w:r>
                            <w:r>
                              <w:rPr>
                                <w:color w:val="FFFFFF"/>
                                <w:spacing w:val="16"/>
                                <w:w w:val="105"/>
                                <w:sz w:val="16"/>
                              </w:rPr>
                              <w:t> </w:t>
                            </w:r>
                            <w:r>
                              <w:rPr>
                                <w:color w:val="FFFFFF"/>
                                <w:w w:val="105"/>
                                <w:sz w:val="16"/>
                              </w:rPr>
                              <w:t>Periodic</w:t>
                            </w:r>
                            <w:r>
                              <w:rPr>
                                <w:color w:val="FFFFFF"/>
                                <w:spacing w:val="16"/>
                                <w:w w:val="105"/>
                                <w:sz w:val="16"/>
                              </w:rPr>
                              <w:t> </w:t>
                            </w:r>
                            <w:r>
                              <w:rPr>
                                <w:color w:val="FFFFFF"/>
                                <w:spacing w:val="-2"/>
                                <w:w w:val="105"/>
                                <w:sz w:val="16"/>
                              </w:rPr>
                              <w:t>Paralysis</w:t>
                            </w:r>
                          </w:p>
                        </w:tc>
                      </w:tr>
                      <w:tr>
                        <w:trPr>
                          <w:trHeight w:val="3115"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spacing w:val="-2"/>
                                <w:w w:val="115"/>
                                <w:sz w:val="15"/>
                              </w:rPr>
                              <w:t>HYPOKALEMIC</w:t>
                            </w:r>
                          </w:p>
                          <w:p>
                            <w:pPr>
                              <w:pStyle w:val="TableParagraph"/>
                              <w:spacing w:line="169" w:lineRule="exact"/>
                              <w:ind w:left="74"/>
                              <w:rPr>
                                <w:sz w:val="15"/>
                              </w:rPr>
                            </w:pPr>
                            <w:r>
                              <w:rPr>
                                <w:color w:val="231F20"/>
                                <w:spacing w:val="-2"/>
                                <w:sz w:val="15"/>
                              </w:rPr>
                              <w:t>Thyrotoxic</w:t>
                            </w:r>
                          </w:p>
                          <w:p>
                            <w:pPr>
                              <w:pStyle w:val="TableParagraph"/>
                              <w:spacing w:line="230" w:lineRule="auto" w:before="2"/>
                              <w:ind w:left="74" w:right="1221"/>
                              <w:rPr>
                                <w:sz w:val="15"/>
                              </w:rPr>
                            </w:pPr>
                            <w:r>
                              <w:rPr>
                                <w:color w:val="231F20"/>
                                <w:sz w:val="15"/>
                              </w:rPr>
                              <w:t>Primary hyperaldosteronism (Conn syndrome) </w:t>
                            </w:r>
                            <w:r>
                              <w:rPr>
                                <w:color w:val="231F20"/>
                                <w:spacing w:val="-2"/>
                                <w:sz w:val="15"/>
                              </w:rPr>
                              <w:t>Renal</w:t>
                            </w:r>
                            <w:r>
                              <w:rPr>
                                <w:color w:val="231F20"/>
                                <w:spacing w:val="-4"/>
                                <w:sz w:val="15"/>
                              </w:rPr>
                              <w:t> </w:t>
                            </w:r>
                            <w:r>
                              <w:rPr>
                                <w:color w:val="231F20"/>
                                <w:spacing w:val="-2"/>
                                <w:sz w:val="15"/>
                              </w:rPr>
                              <w:t>tubular</w:t>
                            </w:r>
                            <w:r>
                              <w:rPr>
                                <w:color w:val="231F20"/>
                                <w:spacing w:val="-4"/>
                                <w:sz w:val="15"/>
                              </w:rPr>
                              <w:t> </w:t>
                            </w:r>
                            <w:r>
                              <w:rPr>
                                <w:color w:val="231F20"/>
                                <w:spacing w:val="-2"/>
                                <w:sz w:val="15"/>
                              </w:rPr>
                              <w:t>acidosis</w:t>
                            </w:r>
                            <w:r>
                              <w:rPr>
                                <w:color w:val="231F20"/>
                                <w:spacing w:val="-4"/>
                                <w:sz w:val="15"/>
                              </w:rPr>
                              <w:t> </w:t>
                            </w:r>
                            <w:r>
                              <w:rPr>
                                <w:color w:val="231F20"/>
                                <w:spacing w:val="-2"/>
                                <w:sz w:val="15"/>
                              </w:rPr>
                              <w:t>(e.g.,</w:t>
                            </w:r>
                            <w:r>
                              <w:rPr>
                                <w:color w:val="231F20"/>
                                <w:spacing w:val="-4"/>
                                <w:sz w:val="15"/>
                              </w:rPr>
                              <w:t> </w:t>
                            </w:r>
                            <w:r>
                              <w:rPr>
                                <w:color w:val="231F20"/>
                                <w:spacing w:val="-2"/>
                                <w:sz w:val="15"/>
                              </w:rPr>
                              <w:t>Fanconi</w:t>
                            </w:r>
                            <w:r>
                              <w:rPr>
                                <w:color w:val="231F20"/>
                                <w:spacing w:val="-4"/>
                                <w:sz w:val="15"/>
                              </w:rPr>
                              <w:t> </w:t>
                            </w:r>
                            <w:r>
                              <w:rPr>
                                <w:color w:val="231F20"/>
                                <w:spacing w:val="-2"/>
                                <w:sz w:val="15"/>
                              </w:rPr>
                              <w:t>syndrome)</w:t>
                            </w:r>
                          </w:p>
                          <w:p>
                            <w:pPr>
                              <w:pStyle w:val="TableParagraph"/>
                              <w:spacing w:line="230" w:lineRule="auto" w:before="2"/>
                              <w:ind w:left="74"/>
                              <w:rPr>
                                <w:sz w:val="15"/>
                              </w:rPr>
                            </w:pPr>
                            <w:r>
                              <w:rPr>
                                <w:color w:val="231F20"/>
                                <w:spacing w:val="-2"/>
                                <w:sz w:val="15"/>
                              </w:rPr>
                              <w:t>Juxtaglomerular</w:t>
                            </w:r>
                            <w:r>
                              <w:rPr>
                                <w:color w:val="231F20"/>
                                <w:spacing w:val="-3"/>
                                <w:sz w:val="15"/>
                              </w:rPr>
                              <w:t> </w:t>
                            </w:r>
                            <w:r>
                              <w:rPr>
                                <w:color w:val="231F20"/>
                                <w:spacing w:val="-2"/>
                                <w:sz w:val="15"/>
                              </w:rPr>
                              <w:t>apparatus</w:t>
                            </w:r>
                            <w:r>
                              <w:rPr>
                                <w:color w:val="231F20"/>
                                <w:spacing w:val="-3"/>
                                <w:sz w:val="15"/>
                              </w:rPr>
                              <w:t> </w:t>
                            </w:r>
                            <w:r>
                              <w:rPr>
                                <w:color w:val="231F20"/>
                                <w:spacing w:val="-2"/>
                                <w:sz w:val="15"/>
                              </w:rPr>
                              <w:t>hyperplasia</w:t>
                            </w:r>
                            <w:r>
                              <w:rPr>
                                <w:color w:val="231F20"/>
                                <w:spacing w:val="-3"/>
                                <w:sz w:val="15"/>
                              </w:rPr>
                              <w:t> </w:t>
                            </w:r>
                            <w:r>
                              <w:rPr>
                                <w:color w:val="231F20"/>
                                <w:spacing w:val="-2"/>
                                <w:sz w:val="15"/>
                              </w:rPr>
                              <w:t>(Bartter</w:t>
                            </w:r>
                            <w:r>
                              <w:rPr>
                                <w:color w:val="231F20"/>
                                <w:spacing w:val="-3"/>
                                <w:sz w:val="15"/>
                              </w:rPr>
                              <w:t> </w:t>
                            </w:r>
                            <w:r>
                              <w:rPr>
                                <w:color w:val="231F20"/>
                                <w:spacing w:val="-2"/>
                                <w:sz w:val="15"/>
                              </w:rPr>
                              <w:t>syndrome) </w:t>
                            </w:r>
                            <w:r>
                              <w:rPr>
                                <w:color w:val="231F20"/>
                                <w:sz w:val="15"/>
                              </w:rPr>
                              <w:t>Gastrointestinal potassium wastage</w:t>
                            </w:r>
                          </w:p>
                          <w:p>
                            <w:pPr>
                              <w:pStyle w:val="TableParagraph"/>
                              <w:spacing w:line="230" w:lineRule="auto" w:before="1"/>
                              <w:ind w:left="74" w:right="3450"/>
                              <w:rPr>
                                <w:sz w:val="15"/>
                              </w:rPr>
                            </w:pPr>
                            <w:r>
                              <w:rPr>
                                <w:color w:val="231F20"/>
                                <w:sz w:val="15"/>
                              </w:rPr>
                              <w:t>Villous</w:t>
                            </w:r>
                            <w:r>
                              <w:rPr>
                                <w:color w:val="231F20"/>
                                <w:spacing w:val="-12"/>
                                <w:sz w:val="15"/>
                              </w:rPr>
                              <w:t> </w:t>
                            </w:r>
                            <w:r>
                              <w:rPr>
                                <w:color w:val="231F20"/>
                                <w:sz w:val="15"/>
                              </w:rPr>
                              <w:t>adenoma Laxative abuse</w:t>
                            </w:r>
                          </w:p>
                          <w:p>
                            <w:pPr>
                              <w:pStyle w:val="TableParagraph"/>
                              <w:spacing w:line="230" w:lineRule="auto" w:before="2"/>
                              <w:ind w:left="74" w:right="434"/>
                              <w:rPr>
                                <w:sz w:val="15"/>
                              </w:rPr>
                            </w:pPr>
                            <w:r>
                              <w:rPr>
                                <w:color w:val="231F20"/>
                                <w:spacing w:val="-2"/>
                                <w:sz w:val="15"/>
                              </w:rPr>
                              <w:t>Pancreatic non–insulin-secreting tumors with </w:t>
                            </w:r>
                            <w:r>
                              <w:rPr>
                                <w:color w:val="231F20"/>
                                <w:spacing w:val="-2"/>
                                <w:sz w:val="15"/>
                              </w:rPr>
                              <w:t>diarrhea </w:t>
                            </w:r>
                            <w:r>
                              <w:rPr>
                                <w:color w:val="231F20"/>
                                <w:sz w:val="15"/>
                              </w:rPr>
                              <w:t>Nontropical sprue</w:t>
                            </w:r>
                          </w:p>
                          <w:p>
                            <w:pPr>
                              <w:pStyle w:val="TableParagraph"/>
                              <w:spacing w:line="230" w:lineRule="auto" w:before="1"/>
                              <w:ind w:left="74" w:right="2647"/>
                              <w:rPr>
                                <w:sz w:val="15"/>
                              </w:rPr>
                            </w:pPr>
                            <w:r>
                              <w:rPr>
                                <w:color w:val="231F20"/>
                                <w:sz w:val="15"/>
                              </w:rPr>
                              <w:t>Barium intoxication </w:t>
                            </w:r>
                            <w:r>
                              <w:rPr>
                                <w:color w:val="231F20"/>
                                <w:spacing w:val="-2"/>
                                <w:sz w:val="15"/>
                              </w:rPr>
                              <w:t>Potassium-depleting </w:t>
                            </w:r>
                            <w:r>
                              <w:rPr>
                                <w:color w:val="231F20"/>
                                <w:spacing w:val="-2"/>
                                <w:sz w:val="15"/>
                              </w:rPr>
                              <w:t>diuretics </w:t>
                            </w:r>
                            <w:r>
                              <w:rPr>
                                <w:color w:val="231F20"/>
                                <w:sz w:val="15"/>
                              </w:rPr>
                              <w:t>Amphotericin B</w:t>
                            </w:r>
                          </w:p>
                          <w:p>
                            <w:pPr>
                              <w:pStyle w:val="TableParagraph"/>
                              <w:spacing w:line="230" w:lineRule="auto" w:before="3"/>
                              <w:ind w:left="74" w:right="3563"/>
                              <w:rPr>
                                <w:sz w:val="15"/>
                              </w:rPr>
                            </w:pPr>
                            <w:r>
                              <w:rPr>
                                <w:color w:val="231F20"/>
                                <w:spacing w:val="-2"/>
                                <w:sz w:val="15"/>
                              </w:rPr>
                              <w:t>Licorice Corticosteroids </w:t>
                            </w:r>
                            <w:r>
                              <w:rPr>
                                <w:color w:val="231F20"/>
                                <w:sz w:val="15"/>
                              </w:rPr>
                              <w:t>Toluene</w:t>
                            </w:r>
                            <w:r>
                              <w:rPr>
                                <w:color w:val="231F20"/>
                                <w:spacing w:val="1"/>
                                <w:sz w:val="15"/>
                              </w:rPr>
                              <w:t> </w:t>
                            </w:r>
                            <w:r>
                              <w:rPr>
                                <w:color w:val="231F20"/>
                                <w:spacing w:val="-6"/>
                                <w:sz w:val="15"/>
                              </w:rPr>
                              <w:t>toxicity</w:t>
                            </w:r>
                          </w:p>
                          <w:p>
                            <w:pPr>
                              <w:pStyle w:val="TableParagraph"/>
                              <w:spacing w:line="230" w:lineRule="auto" w:before="2"/>
                              <w:ind w:left="74" w:right="2339"/>
                              <w:rPr>
                                <w:sz w:val="15"/>
                              </w:rPr>
                            </w:pPr>
                            <w:r>
                              <w:rPr>
                                <w:i/>
                                <w:color w:val="231F20"/>
                                <w:spacing w:val="-2"/>
                                <w:sz w:val="15"/>
                              </w:rPr>
                              <w:t>p</w:t>
                            </w:r>
                            <w:r>
                              <w:rPr>
                                <w:color w:val="231F20"/>
                                <w:spacing w:val="-2"/>
                                <w:sz w:val="15"/>
                              </w:rPr>
                              <w:t>-Aminosalicylic</w:t>
                            </w:r>
                            <w:r>
                              <w:rPr>
                                <w:color w:val="231F20"/>
                                <w:spacing w:val="-10"/>
                                <w:sz w:val="15"/>
                              </w:rPr>
                              <w:t> </w:t>
                            </w:r>
                            <w:r>
                              <w:rPr>
                                <w:color w:val="231F20"/>
                                <w:spacing w:val="-2"/>
                                <w:sz w:val="15"/>
                              </w:rPr>
                              <w:t>aci</w:t>
                            </w:r>
                            <w:r>
                              <w:rPr>
                                <w:color w:val="231F20"/>
                                <w:spacing w:val="-2"/>
                                <w:sz w:val="15"/>
                              </w:rPr>
                              <w:t>d</w:t>
                            </w:r>
                            <w:r>
                              <w:rPr>
                                <w:color w:val="231F20"/>
                                <w:spacing w:val="-2"/>
                                <w:sz w:val="15"/>
                              </w:rPr>
                              <w:t> Carbenoxolone</w:t>
                            </w:r>
                          </w:p>
                        </w:tc>
                      </w:tr>
                      <w:tr>
                        <w:trPr>
                          <w:trHeight w:val="1089"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spacing w:val="-2"/>
                                <w:w w:val="110"/>
                                <w:sz w:val="15"/>
                              </w:rPr>
                              <w:t>HYPERKALEMIC</w:t>
                            </w:r>
                          </w:p>
                          <w:p>
                            <w:pPr>
                              <w:pStyle w:val="TableParagraph"/>
                              <w:spacing w:line="230" w:lineRule="auto" w:before="3"/>
                              <w:ind w:left="74" w:right="2339"/>
                              <w:rPr>
                                <w:sz w:val="15"/>
                              </w:rPr>
                            </w:pPr>
                            <w:r>
                              <w:rPr>
                                <w:color w:val="231F20"/>
                                <w:w w:val="105"/>
                                <w:sz w:val="15"/>
                              </w:rPr>
                              <w:t>Addison disease </w:t>
                            </w:r>
                            <w:r>
                              <w:rPr>
                                <w:color w:val="231F20"/>
                                <w:spacing w:val="-2"/>
                                <w:sz w:val="15"/>
                              </w:rPr>
                              <w:t>Hypoaldosteronism</w:t>
                            </w:r>
                          </w:p>
                          <w:p>
                            <w:pPr>
                              <w:pStyle w:val="TableParagraph"/>
                              <w:spacing w:line="230" w:lineRule="auto" w:before="2"/>
                              <w:ind w:left="74" w:right="2097"/>
                              <w:rPr>
                                <w:sz w:val="15"/>
                              </w:rPr>
                            </w:pPr>
                            <w:r>
                              <w:rPr>
                                <w:color w:val="231F20"/>
                                <w:sz w:val="15"/>
                              </w:rPr>
                              <w:t>Excessive</w:t>
                            </w:r>
                            <w:r>
                              <w:rPr>
                                <w:color w:val="231F20"/>
                                <w:spacing w:val="-12"/>
                                <w:sz w:val="15"/>
                              </w:rPr>
                              <w:t> </w:t>
                            </w:r>
                            <w:r>
                              <w:rPr>
                                <w:color w:val="231F20"/>
                                <w:sz w:val="15"/>
                              </w:rPr>
                              <w:t>potassium</w:t>
                            </w:r>
                            <w:r>
                              <w:rPr>
                                <w:color w:val="231F20"/>
                                <w:spacing w:val="-11"/>
                                <w:sz w:val="15"/>
                              </w:rPr>
                              <w:t> </w:t>
                            </w:r>
                            <w:r>
                              <w:rPr>
                                <w:color w:val="231F20"/>
                                <w:sz w:val="15"/>
                              </w:rPr>
                              <w:t>supplementation Potassium-sparing diuretics</w:t>
                            </w:r>
                          </w:p>
                          <w:p>
                            <w:pPr>
                              <w:pStyle w:val="TableParagraph"/>
                              <w:spacing w:line="170" w:lineRule="exact"/>
                              <w:ind w:left="74"/>
                              <w:rPr>
                                <w:sz w:val="15"/>
                              </w:rPr>
                            </w:pPr>
                            <w:r>
                              <w:rPr>
                                <w:color w:val="231F20"/>
                                <w:sz w:val="15"/>
                              </w:rPr>
                              <w:t>Chronic</w:t>
                            </w:r>
                            <w:r>
                              <w:rPr>
                                <w:color w:val="231F20"/>
                                <w:spacing w:val="-6"/>
                                <w:sz w:val="15"/>
                              </w:rPr>
                              <w:t> </w:t>
                            </w:r>
                            <w:r>
                              <w:rPr>
                                <w:color w:val="231F20"/>
                                <w:sz w:val="15"/>
                              </w:rPr>
                              <w:t>renal</w:t>
                            </w:r>
                            <w:r>
                              <w:rPr>
                                <w:color w:val="231F20"/>
                                <w:spacing w:val="-5"/>
                                <w:sz w:val="15"/>
                              </w:rPr>
                              <w:t> </w:t>
                            </w:r>
                            <w:r>
                              <w:rPr>
                                <w:color w:val="231F20"/>
                                <w:spacing w:val="-2"/>
                                <w:sz w:val="15"/>
                              </w:rPr>
                              <w:t>failure</w:t>
                            </w:r>
                          </w:p>
                        </w:tc>
                      </w:tr>
                    </w:tbl>
                    <w:p>
                      <w:pPr>
                        <w:pStyle w:val="BodyText"/>
                      </w:pPr>
                    </w:p>
                  </w:txbxContent>
                </v:textbox>
                <w10:wrap type="topAndBottom"/>
              </v:shape>
            </w:pict>
          </mc:Fallback>
        </mc:AlternateContent>
      </w:r>
      <w:r>
        <w:rPr>
          <w:i/>
          <w:sz w:val="20"/>
        </w:rPr>
        <mc:AlternateContent>
          <mc:Choice Requires="wps">
            <w:drawing>
              <wp:anchor distT="0" distB="0" distL="0" distR="0" allowOverlap="1" layoutInCell="1" locked="0" behindDoc="1" simplePos="0" relativeHeight="487587840">
                <wp:simplePos x="0" y="0"/>
                <wp:positionH relativeFrom="page">
                  <wp:posOffset>4031485</wp:posOffset>
                </wp:positionH>
                <wp:positionV relativeFrom="paragraph">
                  <wp:posOffset>204516</wp:posOffset>
                </wp:positionV>
                <wp:extent cx="2986405" cy="3696970"/>
                <wp:effectExtent l="0" t="0" r="0" b="0"/>
                <wp:wrapTopAndBottom/>
                <wp:docPr id="1028" name="Textbox 1028"/>
                <wp:cNvGraphicFramePr>
                  <a:graphicFrameLocks/>
                </wp:cNvGraphicFramePr>
                <a:graphic>
                  <a:graphicData uri="http://schemas.microsoft.com/office/word/2010/wordprocessingShape">
                    <wps:wsp>
                      <wps:cNvPr id="1028" name="Textbox 1028"/>
                      <wps:cNvSpPr txBox="1"/>
                      <wps:spPr>
                        <a:xfrm>
                          <a:off x="0" y="0"/>
                          <a:ext cx="2986405" cy="369697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611-</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sz w:val="16"/>
                                    </w:rPr>
                                    <w:t>Metabolic</w:t>
                                  </w:r>
                                  <w:r>
                                    <w:rPr>
                                      <w:color w:val="FFFFFF"/>
                                      <w:spacing w:val="55"/>
                                      <w:sz w:val="16"/>
                                    </w:rPr>
                                    <w:t> </w:t>
                                  </w:r>
                                  <w:r>
                                    <w:rPr>
                                      <w:color w:val="FFFFFF"/>
                                      <w:sz w:val="16"/>
                                    </w:rPr>
                                    <w:t>and</w:t>
                                  </w:r>
                                  <w:r>
                                    <w:rPr>
                                      <w:color w:val="FFFFFF"/>
                                      <w:spacing w:val="55"/>
                                      <w:sz w:val="16"/>
                                    </w:rPr>
                                    <w:t> </w:t>
                                  </w:r>
                                  <w:r>
                                    <w:rPr>
                                      <w:color w:val="FFFFFF"/>
                                      <w:sz w:val="16"/>
                                    </w:rPr>
                                    <w:t>Mitochondrial</w:t>
                                  </w:r>
                                  <w:r>
                                    <w:rPr>
                                      <w:color w:val="FFFFFF"/>
                                      <w:spacing w:val="55"/>
                                      <w:sz w:val="16"/>
                                    </w:rPr>
                                    <w:t> </w:t>
                                  </w:r>
                                  <w:r>
                                    <w:rPr>
                                      <w:color w:val="FFFFFF"/>
                                      <w:spacing w:val="-2"/>
                                      <w:sz w:val="16"/>
                                    </w:rPr>
                                    <w:t>Myopathies</w:t>
                                  </w:r>
                                </w:p>
                              </w:tc>
                            </w:tr>
                            <w:tr>
                              <w:trPr>
                                <w:trHeight w:val="1792" w:hRule="atLeast"/>
                              </w:trPr>
                              <w:tc>
                                <w:tcPr>
                                  <w:tcW w:w="4703" w:type="dxa"/>
                                  <w:gridSpan w:val="2"/>
                                  <w:tcBorders>
                                    <w:bottom w:val="single" w:sz="4" w:space="0" w:color="FFFFFF"/>
                                  </w:tcBorders>
                                  <w:shd w:val="clear" w:color="auto" w:fill="E8F5F1"/>
                                </w:tcPr>
                                <w:p>
                                  <w:pPr>
                                    <w:pStyle w:val="TableParagraph"/>
                                    <w:spacing w:line="172" w:lineRule="exact" w:before="67"/>
                                    <w:ind w:left="74"/>
                                    <w:rPr>
                                      <w:sz w:val="15"/>
                                    </w:rPr>
                                  </w:pPr>
                                  <w:r>
                                    <w:rPr>
                                      <w:color w:val="231F20"/>
                                      <w:w w:val="115"/>
                                      <w:sz w:val="15"/>
                                    </w:rPr>
                                    <w:t>GLYCOGEN</w:t>
                                  </w:r>
                                  <w:r>
                                    <w:rPr>
                                      <w:color w:val="231F20"/>
                                      <w:spacing w:val="-7"/>
                                      <w:w w:val="115"/>
                                      <w:sz w:val="15"/>
                                    </w:rPr>
                                    <w:t> </w:t>
                                  </w:r>
                                  <w:r>
                                    <w:rPr>
                                      <w:color w:val="231F20"/>
                                      <w:w w:val="115"/>
                                      <w:sz w:val="15"/>
                                    </w:rPr>
                                    <w:t>METABOLISM</w:t>
                                  </w:r>
                                  <w:r>
                                    <w:rPr>
                                      <w:color w:val="231F20"/>
                                      <w:spacing w:val="-6"/>
                                      <w:w w:val="115"/>
                                      <w:sz w:val="15"/>
                                    </w:rPr>
                                    <w:t> </w:t>
                                  </w:r>
                                  <w:r>
                                    <w:rPr>
                                      <w:color w:val="231F20"/>
                                      <w:spacing w:val="-2"/>
                                      <w:w w:val="115"/>
                                      <w:sz w:val="15"/>
                                    </w:rPr>
                                    <w:t>DEFICIENCIES</w:t>
                                  </w:r>
                                </w:p>
                                <w:p>
                                  <w:pPr>
                                    <w:pStyle w:val="TableParagraph"/>
                                    <w:spacing w:line="230" w:lineRule="auto" w:before="3"/>
                                    <w:ind w:left="74" w:right="1899"/>
                                    <w:rPr>
                                      <w:sz w:val="15"/>
                                    </w:rPr>
                                  </w:pPr>
                                  <w:r>
                                    <w:rPr>
                                      <w:color w:val="231F20"/>
                                      <w:spacing w:val="-2"/>
                                      <w:sz w:val="15"/>
                                    </w:rPr>
                                    <w:t>Type</w:t>
                                  </w:r>
                                  <w:r>
                                    <w:rPr>
                                      <w:color w:val="231F20"/>
                                      <w:spacing w:val="-8"/>
                                      <w:sz w:val="15"/>
                                    </w:rPr>
                                    <w:t> </w:t>
                                  </w:r>
                                  <w:r>
                                    <w:rPr>
                                      <w:color w:val="231F20"/>
                                      <w:spacing w:val="-2"/>
                                      <w:sz w:val="15"/>
                                    </w:rPr>
                                    <w:t>II:</w:t>
                                  </w:r>
                                  <w:r>
                                    <w:rPr>
                                      <w:color w:val="231F20"/>
                                      <w:spacing w:val="-8"/>
                                      <w:sz w:val="15"/>
                                    </w:rPr>
                                    <w:t> </w:t>
                                  </w:r>
                                  <w:r>
                                    <w:rPr>
                                      <w:rFonts w:ascii="Cambria" w:hAnsi="Cambria"/>
                                      <w:color w:val="231F20"/>
                                      <w:spacing w:val="-2"/>
                                      <w:sz w:val="15"/>
                                    </w:rPr>
                                    <w:t>α</w:t>
                                  </w:r>
                                  <w:r>
                                    <w:rPr>
                                      <w:color w:val="231F20"/>
                                      <w:spacing w:val="-2"/>
                                      <w:sz w:val="15"/>
                                    </w:rPr>
                                    <w:t>-1,4-Glucosidase</w:t>
                                  </w:r>
                                  <w:r>
                                    <w:rPr>
                                      <w:color w:val="231F20"/>
                                      <w:spacing w:val="-8"/>
                                      <w:sz w:val="15"/>
                                    </w:rPr>
                                    <w:t> </w:t>
                                  </w:r>
                                  <w:r>
                                    <w:rPr>
                                      <w:color w:val="231F20"/>
                                      <w:spacing w:val="-2"/>
                                      <w:sz w:val="15"/>
                                    </w:rPr>
                                    <w:t>(acid</w:t>
                                  </w:r>
                                  <w:r>
                                    <w:rPr>
                                      <w:color w:val="231F20"/>
                                      <w:spacing w:val="-8"/>
                                      <w:sz w:val="15"/>
                                    </w:rPr>
                                    <w:t> </w:t>
                                  </w:r>
                                  <w:r>
                                    <w:rPr>
                                      <w:color w:val="231F20"/>
                                      <w:spacing w:val="-2"/>
                                      <w:sz w:val="15"/>
                                    </w:rPr>
                                    <w:t>maltase) </w:t>
                                  </w:r>
                                  <w:r>
                                    <w:rPr>
                                      <w:color w:val="231F20"/>
                                      <w:sz w:val="15"/>
                                    </w:rPr>
                                    <w:t>Type III: Debranching</w:t>
                                  </w:r>
                                </w:p>
                                <w:p>
                                  <w:pPr>
                                    <w:pStyle w:val="TableParagraph"/>
                                    <w:spacing w:line="167" w:lineRule="exact"/>
                                    <w:ind w:left="74"/>
                                    <w:rPr>
                                      <w:sz w:val="15"/>
                                    </w:rPr>
                                  </w:pPr>
                                  <w:r>
                                    <w:rPr>
                                      <w:color w:val="231F20"/>
                                      <w:sz w:val="15"/>
                                    </w:rPr>
                                    <w:t>Type</w:t>
                                  </w:r>
                                  <w:r>
                                    <w:rPr>
                                      <w:color w:val="231F20"/>
                                      <w:spacing w:val="-10"/>
                                      <w:sz w:val="15"/>
                                    </w:rPr>
                                    <w:t> </w:t>
                                  </w:r>
                                  <w:r>
                                    <w:rPr>
                                      <w:color w:val="231F20"/>
                                      <w:sz w:val="15"/>
                                    </w:rPr>
                                    <w:t>IV:</w:t>
                                  </w:r>
                                  <w:r>
                                    <w:rPr>
                                      <w:color w:val="231F20"/>
                                      <w:spacing w:val="-9"/>
                                      <w:sz w:val="15"/>
                                    </w:rPr>
                                    <w:t> </w:t>
                                  </w:r>
                                  <w:r>
                                    <w:rPr>
                                      <w:color w:val="231F20"/>
                                      <w:spacing w:val="-2"/>
                                      <w:sz w:val="15"/>
                                    </w:rPr>
                                    <w:t>Branching</w:t>
                                  </w:r>
                                </w:p>
                                <w:p>
                                  <w:pPr>
                                    <w:pStyle w:val="TableParagraph"/>
                                    <w:spacing w:line="230" w:lineRule="auto" w:before="3"/>
                                    <w:ind w:left="74" w:right="1536"/>
                                    <w:rPr>
                                      <w:sz w:val="15"/>
                                    </w:rPr>
                                  </w:pPr>
                                  <w:r>
                                    <w:rPr>
                                      <w:color w:val="231F20"/>
                                      <w:sz w:val="15"/>
                                    </w:rPr>
                                    <w:t>Type V: Phosphorylase (McArdle disease)</w:t>
                                  </w:r>
                                  <w:r>
                                    <w:rPr>
                                      <w:color w:val="0080AC"/>
                                      <w:sz w:val="15"/>
                                    </w:rPr>
                                    <w:t>* </w:t>
                                  </w:r>
                                  <w:r>
                                    <w:rPr>
                                      <w:color w:val="231F20"/>
                                      <w:spacing w:val="-2"/>
                                      <w:sz w:val="15"/>
                                    </w:rPr>
                                    <w:t>Type VII: Phosphofructokinase (Tarui </w:t>
                                  </w:r>
                                  <w:r>
                                    <w:rPr>
                                      <w:color w:val="231F20"/>
                                      <w:spacing w:val="-2"/>
                                      <w:sz w:val="15"/>
                                    </w:rPr>
                                    <w:t>disease)</w:t>
                                  </w:r>
                                  <w:r>
                                    <w:rPr>
                                      <w:color w:val="0080AC"/>
                                      <w:spacing w:val="-2"/>
                                      <w:sz w:val="15"/>
                                    </w:rPr>
                                    <w:t>* </w:t>
                                  </w:r>
                                  <w:r>
                                    <w:rPr>
                                      <w:color w:val="231F20"/>
                                      <w:sz w:val="15"/>
                                    </w:rPr>
                                    <w:t>Type VIII: Phosphorylase B kinase</w:t>
                                  </w:r>
                                  <w:r>
                                    <w:rPr>
                                      <w:color w:val="0080AC"/>
                                      <w:sz w:val="15"/>
                                    </w:rPr>
                                    <w:t>*</w:t>
                                  </w:r>
                                </w:p>
                                <w:p>
                                  <w:pPr>
                                    <w:pStyle w:val="TableParagraph"/>
                                    <w:spacing w:line="230" w:lineRule="auto" w:before="2"/>
                                    <w:ind w:left="74" w:right="2282"/>
                                    <w:jc w:val="both"/>
                                    <w:rPr>
                                      <w:sz w:val="15"/>
                                    </w:rPr>
                                  </w:pPr>
                                  <w:r>
                                    <w:rPr>
                                      <w:color w:val="231F20"/>
                                      <w:sz w:val="15"/>
                                    </w:rPr>
                                    <w:t>Type IX: Phosphoglycerate kinase</w:t>
                                  </w:r>
                                  <w:r>
                                    <w:rPr>
                                      <w:color w:val="0080AC"/>
                                      <w:sz w:val="15"/>
                                    </w:rPr>
                                    <w:t>* </w:t>
                                  </w:r>
                                  <w:r>
                                    <w:rPr>
                                      <w:color w:val="231F20"/>
                                      <w:sz w:val="15"/>
                                    </w:rPr>
                                    <w:t>Type</w:t>
                                  </w:r>
                                  <w:r>
                                    <w:rPr>
                                      <w:color w:val="231F20"/>
                                      <w:spacing w:val="-6"/>
                                      <w:sz w:val="15"/>
                                    </w:rPr>
                                    <w:t> </w:t>
                                  </w:r>
                                  <w:r>
                                    <w:rPr>
                                      <w:color w:val="231F20"/>
                                      <w:sz w:val="15"/>
                                    </w:rPr>
                                    <w:t>X:</w:t>
                                  </w:r>
                                  <w:r>
                                    <w:rPr>
                                      <w:color w:val="231F20"/>
                                      <w:spacing w:val="-6"/>
                                      <w:sz w:val="15"/>
                                    </w:rPr>
                                    <w:t> </w:t>
                                  </w:r>
                                  <w:r>
                                    <w:rPr>
                                      <w:color w:val="231F20"/>
                                      <w:sz w:val="15"/>
                                    </w:rPr>
                                    <w:t>Phosphoglycerate</w:t>
                                  </w:r>
                                  <w:r>
                                    <w:rPr>
                                      <w:color w:val="231F20"/>
                                      <w:spacing w:val="-6"/>
                                      <w:sz w:val="15"/>
                                    </w:rPr>
                                    <w:t> </w:t>
                                  </w:r>
                                  <w:r>
                                    <w:rPr>
                                      <w:color w:val="231F20"/>
                                      <w:sz w:val="15"/>
                                    </w:rPr>
                                    <w:t>mutase</w:t>
                                  </w:r>
                                  <w:r>
                                    <w:rPr>
                                      <w:color w:val="0080AC"/>
                                      <w:sz w:val="15"/>
                                    </w:rPr>
                                    <w:t>* </w:t>
                                  </w:r>
                                  <w:r>
                                    <w:rPr>
                                      <w:color w:val="231F20"/>
                                      <w:sz w:val="15"/>
                                    </w:rPr>
                                    <w:t>Type XI: Lactate dehydrogenase</w:t>
                                  </w:r>
                                  <w:r>
                                    <w:rPr>
                                      <w:color w:val="0080AC"/>
                                      <w:sz w:val="15"/>
                                    </w:rPr>
                                    <w:t>*</w:t>
                                  </w:r>
                                </w:p>
                              </w:tc>
                            </w:tr>
                            <w:tr>
                              <w:trPr>
                                <w:trHeight w:val="109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LIPID</w:t>
                                  </w:r>
                                  <w:r>
                                    <w:rPr>
                                      <w:color w:val="231F20"/>
                                      <w:spacing w:val="15"/>
                                      <w:w w:val="110"/>
                                      <w:sz w:val="15"/>
                                    </w:rPr>
                                    <w:t> </w:t>
                                  </w:r>
                                  <w:r>
                                    <w:rPr>
                                      <w:color w:val="231F20"/>
                                      <w:w w:val="110"/>
                                      <w:sz w:val="15"/>
                                    </w:rPr>
                                    <w:t>METABOLISM</w:t>
                                  </w:r>
                                  <w:r>
                                    <w:rPr>
                                      <w:color w:val="231F20"/>
                                      <w:spacing w:val="16"/>
                                      <w:w w:val="110"/>
                                      <w:sz w:val="15"/>
                                    </w:rPr>
                                    <w:t> </w:t>
                                  </w:r>
                                  <w:r>
                                    <w:rPr>
                                      <w:color w:val="231F20"/>
                                      <w:spacing w:val="-2"/>
                                      <w:w w:val="110"/>
                                      <w:sz w:val="15"/>
                                    </w:rPr>
                                    <w:t>DEFICIENCIES</w:t>
                                  </w:r>
                                </w:p>
                                <w:p>
                                  <w:pPr>
                                    <w:pStyle w:val="TableParagraph"/>
                                    <w:spacing w:line="169" w:lineRule="exact"/>
                                    <w:ind w:left="74"/>
                                    <w:rPr>
                                      <w:sz w:val="15"/>
                                    </w:rPr>
                                  </w:pPr>
                                  <w:r>
                                    <w:rPr>
                                      <w:color w:val="231F20"/>
                                      <w:spacing w:val="-2"/>
                                      <w:sz w:val="15"/>
                                    </w:rPr>
                                    <w:t>Carnitine</w:t>
                                  </w:r>
                                  <w:r>
                                    <w:rPr>
                                      <w:color w:val="231F20"/>
                                      <w:sz w:val="15"/>
                                    </w:rPr>
                                    <w:t> </w:t>
                                  </w:r>
                                  <w:r>
                                    <w:rPr>
                                      <w:color w:val="231F20"/>
                                      <w:spacing w:val="-2"/>
                                      <w:sz w:val="15"/>
                                    </w:rPr>
                                    <w:t>palmitoyltransferase</w:t>
                                  </w:r>
                                  <w:r>
                                    <w:rPr>
                                      <w:color w:val="0080AC"/>
                                      <w:spacing w:val="-2"/>
                                      <w:sz w:val="15"/>
                                    </w:rPr>
                                    <w:t>*</w:t>
                                  </w:r>
                                </w:p>
                                <w:p>
                                  <w:pPr>
                                    <w:pStyle w:val="TableParagraph"/>
                                    <w:spacing w:line="230" w:lineRule="auto" w:before="2"/>
                                    <w:ind w:left="74" w:right="1221"/>
                                    <w:rPr>
                                      <w:sz w:val="15"/>
                                    </w:rPr>
                                  </w:pPr>
                                  <w:r>
                                    <w:rPr>
                                      <w:color w:val="231F20"/>
                                      <w:spacing w:val="-4"/>
                                      <w:sz w:val="15"/>
                                    </w:rPr>
                                    <w:t>Primary systemic/muscle carnitine </w:t>
                                  </w:r>
                                  <w:r>
                                    <w:rPr>
                                      <w:color w:val="231F20"/>
                                      <w:spacing w:val="-4"/>
                                      <w:sz w:val="15"/>
                                    </w:rPr>
                                    <w:t>deficiency </w:t>
                                  </w:r>
                                  <w:r>
                                    <w:rPr>
                                      <w:color w:val="231F20"/>
                                      <w:sz w:val="15"/>
                                    </w:rPr>
                                    <w:t>Secondary carnitine deficiency</w:t>
                                  </w:r>
                                </w:p>
                                <w:p>
                                  <w:pPr>
                                    <w:pStyle w:val="TableParagraph"/>
                                    <w:spacing w:line="230" w:lineRule="auto"/>
                                    <w:ind w:left="74" w:right="2667"/>
                                    <w:rPr>
                                      <w:sz w:val="15"/>
                                    </w:rPr>
                                  </w:pPr>
                                  <w:r>
                                    <w:rPr>
                                      <w:rFonts w:ascii="Cambria" w:hAnsi="Cambria"/>
                                      <w:color w:val="231F20"/>
                                      <w:sz w:val="15"/>
                                    </w:rPr>
                                    <w:t>β</w:t>
                                  </w:r>
                                  <w:r>
                                    <w:rPr>
                                      <w:color w:val="231F20"/>
                                      <w:sz w:val="15"/>
                                    </w:rPr>
                                    <w:t>-Oxidation defects </w:t>
                                  </w:r>
                                  <w:r>
                                    <w:rPr>
                                      <w:color w:val="231F20"/>
                                      <w:spacing w:val="-2"/>
                                      <w:sz w:val="15"/>
                                    </w:rPr>
                                    <w:t>Medications</w:t>
                                  </w:r>
                                  <w:r>
                                    <w:rPr>
                                      <w:color w:val="231F20"/>
                                      <w:spacing w:val="-9"/>
                                      <w:sz w:val="15"/>
                                    </w:rPr>
                                    <w:t> </w:t>
                                  </w:r>
                                  <w:r>
                                    <w:rPr>
                                      <w:color w:val="231F20"/>
                                      <w:spacing w:val="-2"/>
                                      <w:sz w:val="15"/>
                                    </w:rPr>
                                    <w:t>(valproic</w:t>
                                  </w:r>
                                  <w:r>
                                    <w:rPr>
                                      <w:color w:val="231F20"/>
                                      <w:spacing w:val="-9"/>
                                      <w:sz w:val="15"/>
                                    </w:rPr>
                                    <w:t> </w:t>
                                  </w:r>
                                  <w:r>
                                    <w:rPr>
                                      <w:color w:val="231F20"/>
                                      <w:spacing w:val="-2"/>
                                      <w:sz w:val="15"/>
                                    </w:rPr>
                                    <w:t>acid)</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PURINE</w:t>
                                  </w:r>
                                  <w:r>
                                    <w:rPr>
                                      <w:color w:val="231F20"/>
                                      <w:spacing w:val="20"/>
                                      <w:w w:val="110"/>
                                      <w:sz w:val="15"/>
                                    </w:rPr>
                                    <w:t> </w:t>
                                  </w:r>
                                  <w:r>
                                    <w:rPr>
                                      <w:color w:val="231F20"/>
                                      <w:w w:val="110"/>
                                      <w:sz w:val="15"/>
                                    </w:rPr>
                                    <w:t>METABOLISM</w:t>
                                  </w:r>
                                  <w:r>
                                    <w:rPr>
                                      <w:color w:val="231F20"/>
                                      <w:spacing w:val="21"/>
                                      <w:w w:val="110"/>
                                      <w:sz w:val="15"/>
                                    </w:rPr>
                                    <w:t> </w:t>
                                  </w:r>
                                  <w:r>
                                    <w:rPr>
                                      <w:color w:val="231F20"/>
                                      <w:spacing w:val="-2"/>
                                      <w:w w:val="110"/>
                                      <w:sz w:val="15"/>
                                    </w:rPr>
                                    <w:t>DEFICIENCIES</w:t>
                                  </w:r>
                                </w:p>
                                <w:p>
                                  <w:pPr>
                                    <w:pStyle w:val="TableParagraph"/>
                                    <w:spacing w:line="172" w:lineRule="exact"/>
                                    <w:ind w:left="74"/>
                                    <w:rPr>
                                      <w:sz w:val="15"/>
                                    </w:rPr>
                                  </w:pPr>
                                  <w:r>
                                    <w:rPr>
                                      <w:color w:val="231F20"/>
                                      <w:sz w:val="15"/>
                                    </w:rPr>
                                    <w:t>Myoadenylate</w:t>
                                  </w:r>
                                  <w:r>
                                    <w:rPr>
                                      <w:color w:val="231F20"/>
                                      <w:spacing w:val="5"/>
                                      <w:sz w:val="15"/>
                                    </w:rPr>
                                    <w:t> </w:t>
                                  </w:r>
                                  <w:r>
                                    <w:rPr>
                                      <w:color w:val="231F20"/>
                                      <w:sz w:val="15"/>
                                    </w:rPr>
                                    <w:t>deaminase</w:t>
                                  </w:r>
                                  <w:r>
                                    <w:rPr>
                                      <w:color w:val="231F20"/>
                                      <w:spacing w:val="6"/>
                                      <w:sz w:val="15"/>
                                    </w:rPr>
                                    <w:t> </w:t>
                                  </w:r>
                                  <w:r>
                                    <w:rPr>
                                      <w:color w:val="231F20"/>
                                      <w:spacing w:val="-2"/>
                                      <w:sz w:val="15"/>
                                    </w:rPr>
                                    <w:t>deficiency</w:t>
                                  </w:r>
                                </w:p>
                              </w:tc>
                            </w:tr>
                            <w:tr>
                              <w:trPr>
                                <w:trHeight w:val="2097"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MITOCHONDRIAL</w:t>
                                  </w:r>
                                  <w:r>
                                    <w:rPr>
                                      <w:color w:val="231F20"/>
                                      <w:spacing w:val="41"/>
                                      <w:w w:val="115"/>
                                      <w:sz w:val="15"/>
                                    </w:rPr>
                                    <w:t> </w:t>
                                  </w:r>
                                  <w:r>
                                    <w:rPr>
                                      <w:color w:val="231F20"/>
                                      <w:spacing w:val="-2"/>
                                      <w:w w:val="115"/>
                                      <w:sz w:val="15"/>
                                    </w:rPr>
                                    <w:t>MYOPATHIES</w:t>
                                  </w:r>
                                </w:p>
                                <w:p>
                                  <w:pPr>
                                    <w:pStyle w:val="TableParagraph"/>
                                    <w:spacing w:line="169" w:lineRule="exact"/>
                                    <w:ind w:left="74"/>
                                    <w:rPr>
                                      <w:sz w:val="15"/>
                                    </w:rPr>
                                  </w:pPr>
                                  <w:r>
                                    <w:rPr>
                                      <w:color w:val="231F20"/>
                                      <w:spacing w:val="-2"/>
                                      <w:sz w:val="15"/>
                                    </w:rPr>
                                    <w:t>Alpers-Huttenlocher</w:t>
                                  </w:r>
                                  <w:r>
                                    <w:rPr>
                                      <w:color w:val="231F20"/>
                                      <w:spacing w:val="25"/>
                                      <w:sz w:val="15"/>
                                    </w:rPr>
                                    <w:t> </w:t>
                                  </w:r>
                                  <w:r>
                                    <w:rPr>
                                      <w:color w:val="231F20"/>
                                      <w:spacing w:val="-2"/>
                                      <w:sz w:val="15"/>
                                    </w:rPr>
                                    <w:t>syndrome</w:t>
                                  </w:r>
                                </w:p>
                                <w:p>
                                  <w:pPr>
                                    <w:pStyle w:val="TableParagraph"/>
                                    <w:spacing w:line="230" w:lineRule="auto" w:before="2"/>
                                    <w:ind w:left="74" w:right="1528"/>
                                    <w:rPr>
                                      <w:sz w:val="15"/>
                                    </w:rPr>
                                  </w:pPr>
                                  <w:r>
                                    <w:rPr>
                                      <w:color w:val="231F20"/>
                                      <w:sz w:val="15"/>
                                    </w:rPr>
                                    <w:t>Chronic</w:t>
                                  </w:r>
                                  <w:r>
                                    <w:rPr>
                                      <w:color w:val="231F20"/>
                                      <w:spacing w:val="-9"/>
                                      <w:sz w:val="15"/>
                                    </w:rPr>
                                    <w:t> </w:t>
                                  </w:r>
                                  <w:r>
                                    <w:rPr>
                                      <w:color w:val="231F20"/>
                                      <w:sz w:val="15"/>
                                    </w:rPr>
                                    <w:t>progressive</w:t>
                                  </w:r>
                                  <w:r>
                                    <w:rPr>
                                      <w:color w:val="231F20"/>
                                      <w:spacing w:val="-9"/>
                                      <w:sz w:val="15"/>
                                    </w:rPr>
                                    <w:t> </w:t>
                                  </w:r>
                                  <w:r>
                                    <w:rPr>
                                      <w:color w:val="231F20"/>
                                      <w:sz w:val="15"/>
                                    </w:rPr>
                                    <w:t>external</w:t>
                                  </w:r>
                                  <w:r>
                                    <w:rPr>
                                      <w:color w:val="231F20"/>
                                      <w:spacing w:val="-9"/>
                                      <w:sz w:val="15"/>
                                    </w:rPr>
                                    <w:t> </w:t>
                                  </w:r>
                                  <w:r>
                                    <w:rPr>
                                      <w:color w:val="231F20"/>
                                      <w:sz w:val="15"/>
                                    </w:rPr>
                                    <w:t>ophthalmoplegia Kearns-Sayre syndrome</w:t>
                                  </w:r>
                                </w:p>
                                <w:p>
                                  <w:pPr>
                                    <w:pStyle w:val="TableParagraph"/>
                                    <w:spacing w:line="167" w:lineRule="exact"/>
                                    <w:ind w:left="74"/>
                                    <w:rPr>
                                      <w:sz w:val="15"/>
                                    </w:rPr>
                                  </w:pPr>
                                  <w:r>
                                    <w:rPr>
                                      <w:color w:val="231F20"/>
                                      <w:sz w:val="15"/>
                                    </w:rPr>
                                    <w:t>Pearson</w:t>
                                  </w:r>
                                  <w:r>
                                    <w:rPr>
                                      <w:color w:val="231F20"/>
                                      <w:spacing w:val="6"/>
                                      <w:sz w:val="15"/>
                                    </w:rPr>
                                    <w:t> </w:t>
                                  </w:r>
                                  <w:r>
                                    <w:rPr>
                                      <w:color w:val="231F20"/>
                                      <w:spacing w:val="-2"/>
                                      <w:sz w:val="15"/>
                                    </w:rPr>
                                    <w:t>syndrome</w:t>
                                  </w:r>
                                </w:p>
                                <w:p>
                                  <w:pPr>
                                    <w:pStyle w:val="TableParagraph"/>
                                    <w:spacing w:line="230" w:lineRule="auto" w:before="3"/>
                                    <w:ind w:left="186" w:right="721" w:hanging="112"/>
                                    <w:rPr>
                                      <w:sz w:val="15"/>
                                    </w:rPr>
                                  </w:pPr>
                                  <w:r>
                                    <w:rPr>
                                      <w:color w:val="231F20"/>
                                      <w:sz w:val="15"/>
                                    </w:rPr>
                                    <w:t>Mitochondrial</w:t>
                                  </w:r>
                                  <w:r>
                                    <w:rPr>
                                      <w:color w:val="231F20"/>
                                      <w:spacing w:val="-12"/>
                                      <w:sz w:val="15"/>
                                    </w:rPr>
                                    <w:t> </w:t>
                                  </w:r>
                                  <w:r>
                                    <w:rPr>
                                      <w:color w:val="231F20"/>
                                      <w:sz w:val="15"/>
                                    </w:rPr>
                                    <w:t>encephalomyopathy</w:t>
                                  </w:r>
                                  <w:r>
                                    <w:rPr>
                                      <w:color w:val="231F20"/>
                                      <w:spacing w:val="-11"/>
                                      <w:sz w:val="15"/>
                                    </w:rPr>
                                    <w:t> </w:t>
                                  </w:r>
                                  <w:r>
                                    <w:rPr>
                                      <w:color w:val="231F20"/>
                                      <w:sz w:val="15"/>
                                    </w:rPr>
                                    <w:t>with</w:t>
                                  </w:r>
                                  <w:r>
                                    <w:rPr>
                                      <w:color w:val="231F20"/>
                                      <w:spacing w:val="-11"/>
                                      <w:sz w:val="15"/>
                                    </w:rPr>
                                    <w:t> </w:t>
                                  </w:r>
                                  <w:r>
                                    <w:rPr>
                                      <w:color w:val="231F20"/>
                                      <w:sz w:val="15"/>
                                    </w:rPr>
                                    <w:t>lactic</w:t>
                                  </w:r>
                                  <w:r>
                                    <w:rPr>
                                      <w:color w:val="231F20"/>
                                      <w:spacing w:val="-12"/>
                                      <w:sz w:val="15"/>
                                    </w:rPr>
                                    <w:t> </w:t>
                                  </w:r>
                                  <w:r>
                                    <w:rPr>
                                      <w:color w:val="231F20"/>
                                      <w:sz w:val="15"/>
                                    </w:rPr>
                                    <w:t>acidosis</w:t>
                                  </w:r>
                                  <w:r>
                                    <w:rPr>
                                      <w:color w:val="231F20"/>
                                      <w:spacing w:val="-11"/>
                                      <w:sz w:val="15"/>
                                    </w:rPr>
                                    <w:t> </w:t>
                                  </w:r>
                                  <w:r>
                                    <w:rPr>
                                      <w:color w:val="231F20"/>
                                      <w:sz w:val="15"/>
                                    </w:rPr>
                                    <w:t>and stroke-like episodes (MELAS)</w:t>
                                  </w:r>
                                </w:p>
                                <w:p>
                                  <w:pPr>
                                    <w:pStyle w:val="TableParagraph"/>
                                    <w:spacing w:line="230" w:lineRule="auto" w:before="1"/>
                                    <w:ind w:left="74"/>
                                    <w:rPr>
                                      <w:sz w:val="15"/>
                                    </w:rPr>
                                  </w:pPr>
                                  <w:r>
                                    <w:rPr>
                                      <w:color w:val="231F20"/>
                                      <w:sz w:val="15"/>
                                    </w:rPr>
                                    <w:t>Mitochondrial</w:t>
                                  </w:r>
                                  <w:r>
                                    <w:rPr>
                                      <w:color w:val="231F20"/>
                                      <w:spacing w:val="-4"/>
                                      <w:sz w:val="15"/>
                                    </w:rPr>
                                    <w:t> </w:t>
                                  </w:r>
                                  <w:r>
                                    <w:rPr>
                                      <w:color w:val="231F20"/>
                                      <w:sz w:val="15"/>
                                    </w:rPr>
                                    <w:t>neurogastrointestinal</w:t>
                                  </w:r>
                                  <w:r>
                                    <w:rPr>
                                      <w:color w:val="231F20"/>
                                      <w:spacing w:val="-4"/>
                                      <w:sz w:val="15"/>
                                    </w:rPr>
                                    <w:t> </w:t>
                                  </w:r>
                                  <w:r>
                                    <w:rPr>
                                      <w:color w:val="231F20"/>
                                      <w:sz w:val="15"/>
                                    </w:rPr>
                                    <w:t>encephalomyopathy</w:t>
                                  </w:r>
                                  <w:r>
                                    <w:rPr>
                                      <w:color w:val="231F20"/>
                                      <w:spacing w:val="-4"/>
                                      <w:sz w:val="15"/>
                                    </w:rPr>
                                    <w:t> </w:t>
                                  </w:r>
                                  <w:r>
                                    <w:rPr>
                                      <w:color w:val="231F20"/>
                                      <w:sz w:val="15"/>
                                    </w:rPr>
                                    <w:t>(MNGIE) Myoclonic epilepsy with ragged red fibers (MERRF)</w:t>
                                  </w:r>
                                </w:p>
                                <w:p>
                                  <w:pPr>
                                    <w:pStyle w:val="TableParagraph"/>
                                    <w:spacing w:line="230" w:lineRule="auto" w:before="2"/>
                                    <w:ind w:left="74" w:right="2339"/>
                                    <w:rPr>
                                      <w:sz w:val="15"/>
                                    </w:rPr>
                                  </w:pPr>
                                  <w:r>
                                    <w:rPr>
                                      <w:color w:val="231F20"/>
                                      <w:spacing w:val="-2"/>
                                      <w:sz w:val="15"/>
                                    </w:rPr>
                                    <w:t>Leber</w:t>
                                  </w:r>
                                  <w:r>
                                    <w:rPr>
                                      <w:color w:val="231F20"/>
                                      <w:spacing w:val="-4"/>
                                      <w:sz w:val="15"/>
                                    </w:rPr>
                                    <w:t> </w:t>
                                  </w:r>
                                  <w:r>
                                    <w:rPr>
                                      <w:color w:val="231F20"/>
                                      <w:spacing w:val="-2"/>
                                      <w:sz w:val="15"/>
                                    </w:rPr>
                                    <w:t>hereditary</w:t>
                                  </w:r>
                                  <w:r>
                                    <w:rPr>
                                      <w:color w:val="231F20"/>
                                      <w:spacing w:val="-4"/>
                                      <w:sz w:val="15"/>
                                    </w:rPr>
                                    <w:t> </w:t>
                                  </w:r>
                                  <w:r>
                                    <w:rPr>
                                      <w:color w:val="231F20"/>
                                      <w:spacing w:val="-2"/>
                                      <w:sz w:val="15"/>
                                    </w:rPr>
                                    <w:t>optic</w:t>
                                  </w:r>
                                  <w:r>
                                    <w:rPr>
                                      <w:color w:val="231F20"/>
                                      <w:spacing w:val="-4"/>
                                      <w:sz w:val="15"/>
                                    </w:rPr>
                                    <w:t> </w:t>
                                  </w:r>
                                  <w:r>
                                    <w:rPr>
                                      <w:color w:val="231F20"/>
                                      <w:spacing w:val="-2"/>
                                      <w:sz w:val="15"/>
                                    </w:rPr>
                                    <w:t>neuropathy </w:t>
                                  </w:r>
                                  <w:r>
                                    <w:rPr>
                                      <w:color w:val="231F20"/>
                                      <w:sz w:val="15"/>
                                    </w:rPr>
                                    <w:t>Leigh syndrome</w:t>
                                  </w:r>
                                </w:p>
                                <w:p>
                                  <w:pPr>
                                    <w:pStyle w:val="TableParagraph"/>
                                    <w:spacing w:line="170" w:lineRule="exact"/>
                                    <w:ind w:left="74"/>
                                    <w:rPr>
                                      <w:sz w:val="15"/>
                                    </w:rPr>
                                  </w:pPr>
                                  <w:r>
                                    <w:rPr>
                                      <w:color w:val="231F20"/>
                                      <w:spacing w:val="-2"/>
                                      <w:sz w:val="15"/>
                                    </w:rPr>
                                    <w:t>Infantile</w:t>
                                  </w:r>
                                  <w:r>
                                    <w:rPr>
                                      <w:color w:val="231F20"/>
                                      <w:spacing w:val="-5"/>
                                      <w:sz w:val="15"/>
                                    </w:rPr>
                                    <w:t> </w:t>
                                  </w:r>
                                  <w:r>
                                    <w:rPr>
                                      <w:color w:val="231F20"/>
                                      <w:spacing w:val="-2"/>
                                      <w:sz w:val="15"/>
                                    </w:rPr>
                                    <w:t>myopathy</w:t>
                                  </w:r>
                                  <w:r>
                                    <w:rPr>
                                      <w:color w:val="231F20"/>
                                      <w:spacing w:val="-4"/>
                                      <w:sz w:val="15"/>
                                    </w:rPr>
                                    <w:t> </w:t>
                                  </w:r>
                                  <w:r>
                                    <w:rPr>
                                      <w:color w:val="231F20"/>
                                      <w:spacing w:val="-2"/>
                                      <w:sz w:val="15"/>
                                    </w:rPr>
                                    <w:t>and</w:t>
                                  </w:r>
                                  <w:r>
                                    <w:rPr>
                                      <w:color w:val="231F20"/>
                                      <w:spacing w:val="-4"/>
                                      <w:sz w:val="15"/>
                                    </w:rPr>
                                    <w:t> </w:t>
                                  </w:r>
                                  <w:r>
                                    <w:rPr>
                                      <w:color w:val="231F20"/>
                                      <w:spacing w:val="-2"/>
                                      <w:sz w:val="15"/>
                                    </w:rPr>
                                    <w:t>lactic</w:t>
                                  </w:r>
                                  <w:r>
                                    <w:rPr>
                                      <w:color w:val="231F20"/>
                                      <w:spacing w:val="-4"/>
                                      <w:sz w:val="15"/>
                                    </w:rPr>
                                    <w:t> </w:t>
                                  </w:r>
                                  <w:r>
                                    <w:rPr>
                                      <w:color w:val="231F20"/>
                                      <w:spacing w:val="-2"/>
                                      <w:sz w:val="15"/>
                                    </w:rPr>
                                    <w:t>acidosis</w:t>
                                  </w:r>
                                </w:p>
                              </w:tc>
                            </w:tr>
                          </w:tbl>
                          <w:p>
                            <w:pPr>
                              <w:pStyle w:val="BodyText"/>
                            </w:pPr>
                          </w:p>
                        </w:txbxContent>
                      </wps:txbx>
                      <wps:bodyPr wrap="square" lIns="0" tIns="0" rIns="0" bIns="0" rtlCol="0">
                        <a:noAutofit/>
                      </wps:bodyPr>
                    </wps:wsp>
                  </a:graphicData>
                </a:graphic>
              </wp:anchor>
            </w:drawing>
          </mc:Choice>
          <mc:Fallback>
            <w:pict>
              <v:shape style="position:absolute;margin-left:317.439789pt;margin-top:16.103657pt;width:235.15pt;height:291.1pt;mso-position-horizontal-relative:page;mso-position-vertical-relative:paragraph;z-index:-15728640;mso-wrap-distance-left:0;mso-wrap-distance-right:0" type="#_x0000_t202" id="docshape82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611-</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sz w:val="16"/>
                              </w:rPr>
                              <w:t>Metabolic</w:t>
                            </w:r>
                            <w:r>
                              <w:rPr>
                                <w:color w:val="FFFFFF"/>
                                <w:spacing w:val="55"/>
                                <w:sz w:val="16"/>
                              </w:rPr>
                              <w:t> </w:t>
                            </w:r>
                            <w:r>
                              <w:rPr>
                                <w:color w:val="FFFFFF"/>
                                <w:sz w:val="16"/>
                              </w:rPr>
                              <w:t>and</w:t>
                            </w:r>
                            <w:r>
                              <w:rPr>
                                <w:color w:val="FFFFFF"/>
                                <w:spacing w:val="55"/>
                                <w:sz w:val="16"/>
                              </w:rPr>
                              <w:t> </w:t>
                            </w:r>
                            <w:r>
                              <w:rPr>
                                <w:color w:val="FFFFFF"/>
                                <w:sz w:val="16"/>
                              </w:rPr>
                              <w:t>Mitochondrial</w:t>
                            </w:r>
                            <w:r>
                              <w:rPr>
                                <w:color w:val="FFFFFF"/>
                                <w:spacing w:val="55"/>
                                <w:sz w:val="16"/>
                              </w:rPr>
                              <w:t> </w:t>
                            </w:r>
                            <w:r>
                              <w:rPr>
                                <w:color w:val="FFFFFF"/>
                                <w:spacing w:val="-2"/>
                                <w:sz w:val="16"/>
                              </w:rPr>
                              <w:t>Myopathies</w:t>
                            </w:r>
                          </w:p>
                        </w:tc>
                      </w:tr>
                      <w:tr>
                        <w:trPr>
                          <w:trHeight w:val="1792" w:hRule="atLeast"/>
                        </w:trPr>
                        <w:tc>
                          <w:tcPr>
                            <w:tcW w:w="4703" w:type="dxa"/>
                            <w:gridSpan w:val="2"/>
                            <w:tcBorders>
                              <w:bottom w:val="single" w:sz="4" w:space="0" w:color="FFFFFF"/>
                            </w:tcBorders>
                            <w:shd w:val="clear" w:color="auto" w:fill="E8F5F1"/>
                          </w:tcPr>
                          <w:p>
                            <w:pPr>
                              <w:pStyle w:val="TableParagraph"/>
                              <w:spacing w:line="172" w:lineRule="exact" w:before="67"/>
                              <w:ind w:left="74"/>
                              <w:rPr>
                                <w:sz w:val="15"/>
                              </w:rPr>
                            </w:pPr>
                            <w:r>
                              <w:rPr>
                                <w:color w:val="231F20"/>
                                <w:w w:val="115"/>
                                <w:sz w:val="15"/>
                              </w:rPr>
                              <w:t>GLYCOGEN</w:t>
                            </w:r>
                            <w:r>
                              <w:rPr>
                                <w:color w:val="231F20"/>
                                <w:spacing w:val="-7"/>
                                <w:w w:val="115"/>
                                <w:sz w:val="15"/>
                              </w:rPr>
                              <w:t> </w:t>
                            </w:r>
                            <w:r>
                              <w:rPr>
                                <w:color w:val="231F20"/>
                                <w:w w:val="115"/>
                                <w:sz w:val="15"/>
                              </w:rPr>
                              <w:t>METABOLISM</w:t>
                            </w:r>
                            <w:r>
                              <w:rPr>
                                <w:color w:val="231F20"/>
                                <w:spacing w:val="-6"/>
                                <w:w w:val="115"/>
                                <w:sz w:val="15"/>
                              </w:rPr>
                              <w:t> </w:t>
                            </w:r>
                            <w:r>
                              <w:rPr>
                                <w:color w:val="231F20"/>
                                <w:spacing w:val="-2"/>
                                <w:w w:val="115"/>
                                <w:sz w:val="15"/>
                              </w:rPr>
                              <w:t>DEFICIENCIES</w:t>
                            </w:r>
                          </w:p>
                          <w:p>
                            <w:pPr>
                              <w:pStyle w:val="TableParagraph"/>
                              <w:spacing w:line="230" w:lineRule="auto" w:before="3"/>
                              <w:ind w:left="74" w:right="1899"/>
                              <w:rPr>
                                <w:sz w:val="15"/>
                              </w:rPr>
                            </w:pPr>
                            <w:r>
                              <w:rPr>
                                <w:color w:val="231F20"/>
                                <w:spacing w:val="-2"/>
                                <w:sz w:val="15"/>
                              </w:rPr>
                              <w:t>Type</w:t>
                            </w:r>
                            <w:r>
                              <w:rPr>
                                <w:color w:val="231F20"/>
                                <w:spacing w:val="-8"/>
                                <w:sz w:val="15"/>
                              </w:rPr>
                              <w:t> </w:t>
                            </w:r>
                            <w:r>
                              <w:rPr>
                                <w:color w:val="231F20"/>
                                <w:spacing w:val="-2"/>
                                <w:sz w:val="15"/>
                              </w:rPr>
                              <w:t>II:</w:t>
                            </w:r>
                            <w:r>
                              <w:rPr>
                                <w:color w:val="231F20"/>
                                <w:spacing w:val="-8"/>
                                <w:sz w:val="15"/>
                              </w:rPr>
                              <w:t> </w:t>
                            </w:r>
                            <w:r>
                              <w:rPr>
                                <w:rFonts w:ascii="Cambria" w:hAnsi="Cambria"/>
                                <w:color w:val="231F20"/>
                                <w:spacing w:val="-2"/>
                                <w:sz w:val="15"/>
                              </w:rPr>
                              <w:t>α</w:t>
                            </w:r>
                            <w:r>
                              <w:rPr>
                                <w:color w:val="231F20"/>
                                <w:spacing w:val="-2"/>
                                <w:sz w:val="15"/>
                              </w:rPr>
                              <w:t>-1,4-Glucosidase</w:t>
                            </w:r>
                            <w:r>
                              <w:rPr>
                                <w:color w:val="231F20"/>
                                <w:spacing w:val="-8"/>
                                <w:sz w:val="15"/>
                              </w:rPr>
                              <w:t> </w:t>
                            </w:r>
                            <w:r>
                              <w:rPr>
                                <w:color w:val="231F20"/>
                                <w:spacing w:val="-2"/>
                                <w:sz w:val="15"/>
                              </w:rPr>
                              <w:t>(acid</w:t>
                            </w:r>
                            <w:r>
                              <w:rPr>
                                <w:color w:val="231F20"/>
                                <w:spacing w:val="-8"/>
                                <w:sz w:val="15"/>
                              </w:rPr>
                              <w:t> </w:t>
                            </w:r>
                            <w:r>
                              <w:rPr>
                                <w:color w:val="231F20"/>
                                <w:spacing w:val="-2"/>
                                <w:sz w:val="15"/>
                              </w:rPr>
                              <w:t>maltase) </w:t>
                            </w:r>
                            <w:r>
                              <w:rPr>
                                <w:color w:val="231F20"/>
                                <w:sz w:val="15"/>
                              </w:rPr>
                              <w:t>Type III: Debranching</w:t>
                            </w:r>
                          </w:p>
                          <w:p>
                            <w:pPr>
                              <w:pStyle w:val="TableParagraph"/>
                              <w:spacing w:line="167" w:lineRule="exact"/>
                              <w:ind w:left="74"/>
                              <w:rPr>
                                <w:sz w:val="15"/>
                              </w:rPr>
                            </w:pPr>
                            <w:r>
                              <w:rPr>
                                <w:color w:val="231F20"/>
                                <w:sz w:val="15"/>
                              </w:rPr>
                              <w:t>Type</w:t>
                            </w:r>
                            <w:r>
                              <w:rPr>
                                <w:color w:val="231F20"/>
                                <w:spacing w:val="-10"/>
                                <w:sz w:val="15"/>
                              </w:rPr>
                              <w:t> </w:t>
                            </w:r>
                            <w:r>
                              <w:rPr>
                                <w:color w:val="231F20"/>
                                <w:sz w:val="15"/>
                              </w:rPr>
                              <w:t>IV:</w:t>
                            </w:r>
                            <w:r>
                              <w:rPr>
                                <w:color w:val="231F20"/>
                                <w:spacing w:val="-9"/>
                                <w:sz w:val="15"/>
                              </w:rPr>
                              <w:t> </w:t>
                            </w:r>
                            <w:r>
                              <w:rPr>
                                <w:color w:val="231F20"/>
                                <w:spacing w:val="-2"/>
                                <w:sz w:val="15"/>
                              </w:rPr>
                              <w:t>Branching</w:t>
                            </w:r>
                          </w:p>
                          <w:p>
                            <w:pPr>
                              <w:pStyle w:val="TableParagraph"/>
                              <w:spacing w:line="230" w:lineRule="auto" w:before="3"/>
                              <w:ind w:left="74" w:right="1536"/>
                              <w:rPr>
                                <w:sz w:val="15"/>
                              </w:rPr>
                            </w:pPr>
                            <w:r>
                              <w:rPr>
                                <w:color w:val="231F20"/>
                                <w:sz w:val="15"/>
                              </w:rPr>
                              <w:t>Type V: Phosphorylase (McArdle disease)</w:t>
                            </w:r>
                            <w:r>
                              <w:rPr>
                                <w:color w:val="0080AC"/>
                                <w:sz w:val="15"/>
                              </w:rPr>
                              <w:t>* </w:t>
                            </w:r>
                            <w:r>
                              <w:rPr>
                                <w:color w:val="231F20"/>
                                <w:spacing w:val="-2"/>
                                <w:sz w:val="15"/>
                              </w:rPr>
                              <w:t>Type VII: Phosphofructokinase (Tarui </w:t>
                            </w:r>
                            <w:r>
                              <w:rPr>
                                <w:color w:val="231F20"/>
                                <w:spacing w:val="-2"/>
                                <w:sz w:val="15"/>
                              </w:rPr>
                              <w:t>disease)</w:t>
                            </w:r>
                            <w:r>
                              <w:rPr>
                                <w:color w:val="0080AC"/>
                                <w:spacing w:val="-2"/>
                                <w:sz w:val="15"/>
                              </w:rPr>
                              <w:t>* </w:t>
                            </w:r>
                            <w:r>
                              <w:rPr>
                                <w:color w:val="231F20"/>
                                <w:sz w:val="15"/>
                              </w:rPr>
                              <w:t>Type VIII: Phosphorylase B kinase</w:t>
                            </w:r>
                            <w:r>
                              <w:rPr>
                                <w:color w:val="0080AC"/>
                                <w:sz w:val="15"/>
                              </w:rPr>
                              <w:t>*</w:t>
                            </w:r>
                          </w:p>
                          <w:p>
                            <w:pPr>
                              <w:pStyle w:val="TableParagraph"/>
                              <w:spacing w:line="230" w:lineRule="auto" w:before="2"/>
                              <w:ind w:left="74" w:right="2282"/>
                              <w:jc w:val="both"/>
                              <w:rPr>
                                <w:sz w:val="15"/>
                              </w:rPr>
                            </w:pPr>
                            <w:r>
                              <w:rPr>
                                <w:color w:val="231F20"/>
                                <w:sz w:val="15"/>
                              </w:rPr>
                              <w:t>Type IX: Phosphoglycerate kinase</w:t>
                            </w:r>
                            <w:r>
                              <w:rPr>
                                <w:color w:val="0080AC"/>
                                <w:sz w:val="15"/>
                              </w:rPr>
                              <w:t>* </w:t>
                            </w:r>
                            <w:r>
                              <w:rPr>
                                <w:color w:val="231F20"/>
                                <w:sz w:val="15"/>
                              </w:rPr>
                              <w:t>Type</w:t>
                            </w:r>
                            <w:r>
                              <w:rPr>
                                <w:color w:val="231F20"/>
                                <w:spacing w:val="-6"/>
                                <w:sz w:val="15"/>
                              </w:rPr>
                              <w:t> </w:t>
                            </w:r>
                            <w:r>
                              <w:rPr>
                                <w:color w:val="231F20"/>
                                <w:sz w:val="15"/>
                              </w:rPr>
                              <w:t>X:</w:t>
                            </w:r>
                            <w:r>
                              <w:rPr>
                                <w:color w:val="231F20"/>
                                <w:spacing w:val="-6"/>
                                <w:sz w:val="15"/>
                              </w:rPr>
                              <w:t> </w:t>
                            </w:r>
                            <w:r>
                              <w:rPr>
                                <w:color w:val="231F20"/>
                                <w:sz w:val="15"/>
                              </w:rPr>
                              <w:t>Phosphoglycerate</w:t>
                            </w:r>
                            <w:r>
                              <w:rPr>
                                <w:color w:val="231F20"/>
                                <w:spacing w:val="-6"/>
                                <w:sz w:val="15"/>
                              </w:rPr>
                              <w:t> </w:t>
                            </w:r>
                            <w:r>
                              <w:rPr>
                                <w:color w:val="231F20"/>
                                <w:sz w:val="15"/>
                              </w:rPr>
                              <w:t>mutase</w:t>
                            </w:r>
                            <w:r>
                              <w:rPr>
                                <w:color w:val="0080AC"/>
                                <w:sz w:val="15"/>
                              </w:rPr>
                              <w:t>* </w:t>
                            </w:r>
                            <w:r>
                              <w:rPr>
                                <w:color w:val="231F20"/>
                                <w:sz w:val="15"/>
                              </w:rPr>
                              <w:t>Type XI: Lactate dehydrogenase</w:t>
                            </w:r>
                            <w:r>
                              <w:rPr>
                                <w:color w:val="0080AC"/>
                                <w:sz w:val="15"/>
                              </w:rPr>
                              <w:t>*</w:t>
                            </w:r>
                          </w:p>
                        </w:tc>
                      </w:tr>
                      <w:tr>
                        <w:trPr>
                          <w:trHeight w:val="109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LIPID</w:t>
                            </w:r>
                            <w:r>
                              <w:rPr>
                                <w:color w:val="231F20"/>
                                <w:spacing w:val="15"/>
                                <w:w w:val="110"/>
                                <w:sz w:val="15"/>
                              </w:rPr>
                              <w:t> </w:t>
                            </w:r>
                            <w:r>
                              <w:rPr>
                                <w:color w:val="231F20"/>
                                <w:w w:val="110"/>
                                <w:sz w:val="15"/>
                              </w:rPr>
                              <w:t>METABOLISM</w:t>
                            </w:r>
                            <w:r>
                              <w:rPr>
                                <w:color w:val="231F20"/>
                                <w:spacing w:val="16"/>
                                <w:w w:val="110"/>
                                <w:sz w:val="15"/>
                              </w:rPr>
                              <w:t> </w:t>
                            </w:r>
                            <w:r>
                              <w:rPr>
                                <w:color w:val="231F20"/>
                                <w:spacing w:val="-2"/>
                                <w:w w:val="110"/>
                                <w:sz w:val="15"/>
                              </w:rPr>
                              <w:t>DEFICIENCIES</w:t>
                            </w:r>
                          </w:p>
                          <w:p>
                            <w:pPr>
                              <w:pStyle w:val="TableParagraph"/>
                              <w:spacing w:line="169" w:lineRule="exact"/>
                              <w:ind w:left="74"/>
                              <w:rPr>
                                <w:sz w:val="15"/>
                              </w:rPr>
                            </w:pPr>
                            <w:r>
                              <w:rPr>
                                <w:color w:val="231F20"/>
                                <w:spacing w:val="-2"/>
                                <w:sz w:val="15"/>
                              </w:rPr>
                              <w:t>Carnitine</w:t>
                            </w:r>
                            <w:r>
                              <w:rPr>
                                <w:color w:val="231F20"/>
                                <w:sz w:val="15"/>
                              </w:rPr>
                              <w:t> </w:t>
                            </w:r>
                            <w:r>
                              <w:rPr>
                                <w:color w:val="231F20"/>
                                <w:spacing w:val="-2"/>
                                <w:sz w:val="15"/>
                              </w:rPr>
                              <w:t>palmitoyltransferase</w:t>
                            </w:r>
                            <w:r>
                              <w:rPr>
                                <w:color w:val="0080AC"/>
                                <w:spacing w:val="-2"/>
                                <w:sz w:val="15"/>
                              </w:rPr>
                              <w:t>*</w:t>
                            </w:r>
                          </w:p>
                          <w:p>
                            <w:pPr>
                              <w:pStyle w:val="TableParagraph"/>
                              <w:spacing w:line="230" w:lineRule="auto" w:before="2"/>
                              <w:ind w:left="74" w:right="1221"/>
                              <w:rPr>
                                <w:sz w:val="15"/>
                              </w:rPr>
                            </w:pPr>
                            <w:r>
                              <w:rPr>
                                <w:color w:val="231F20"/>
                                <w:spacing w:val="-4"/>
                                <w:sz w:val="15"/>
                              </w:rPr>
                              <w:t>Primary systemic/muscle carnitine </w:t>
                            </w:r>
                            <w:r>
                              <w:rPr>
                                <w:color w:val="231F20"/>
                                <w:spacing w:val="-4"/>
                                <w:sz w:val="15"/>
                              </w:rPr>
                              <w:t>deficiency </w:t>
                            </w:r>
                            <w:r>
                              <w:rPr>
                                <w:color w:val="231F20"/>
                                <w:sz w:val="15"/>
                              </w:rPr>
                              <w:t>Secondary carnitine deficiency</w:t>
                            </w:r>
                          </w:p>
                          <w:p>
                            <w:pPr>
                              <w:pStyle w:val="TableParagraph"/>
                              <w:spacing w:line="230" w:lineRule="auto"/>
                              <w:ind w:left="74" w:right="2667"/>
                              <w:rPr>
                                <w:sz w:val="15"/>
                              </w:rPr>
                            </w:pPr>
                            <w:r>
                              <w:rPr>
                                <w:rFonts w:ascii="Cambria" w:hAnsi="Cambria"/>
                                <w:color w:val="231F20"/>
                                <w:sz w:val="15"/>
                              </w:rPr>
                              <w:t>β</w:t>
                            </w:r>
                            <w:r>
                              <w:rPr>
                                <w:color w:val="231F20"/>
                                <w:sz w:val="15"/>
                              </w:rPr>
                              <w:t>-Oxidation defects </w:t>
                            </w:r>
                            <w:r>
                              <w:rPr>
                                <w:color w:val="231F20"/>
                                <w:spacing w:val="-2"/>
                                <w:sz w:val="15"/>
                              </w:rPr>
                              <w:t>Medications</w:t>
                            </w:r>
                            <w:r>
                              <w:rPr>
                                <w:color w:val="231F20"/>
                                <w:spacing w:val="-9"/>
                                <w:sz w:val="15"/>
                              </w:rPr>
                              <w:t> </w:t>
                            </w:r>
                            <w:r>
                              <w:rPr>
                                <w:color w:val="231F20"/>
                                <w:spacing w:val="-2"/>
                                <w:sz w:val="15"/>
                              </w:rPr>
                              <w:t>(valproic</w:t>
                            </w:r>
                            <w:r>
                              <w:rPr>
                                <w:color w:val="231F20"/>
                                <w:spacing w:val="-9"/>
                                <w:sz w:val="15"/>
                              </w:rPr>
                              <w:t> </w:t>
                            </w:r>
                            <w:r>
                              <w:rPr>
                                <w:color w:val="231F20"/>
                                <w:spacing w:val="-2"/>
                                <w:sz w:val="15"/>
                              </w:rPr>
                              <w:t>acid)</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PURINE</w:t>
                            </w:r>
                            <w:r>
                              <w:rPr>
                                <w:color w:val="231F20"/>
                                <w:spacing w:val="20"/>
                                <w:w w:val="110"/>
                                <w:sz w:val="15"/>
                              </w:rPr>
                              <w:t> </w:t>
                            </w:r>
                            <w:r>
                              <w:rPr>
                                <w:color w:val="231F20"/>
                                <w:w w:val="110"/>
                                <w:sz w:val="15"/>
                              </w:rPr>
                              <w:t>METABOLISM</w:t>
                            </w:r>
                            <w:r>
                              <w:rPr>
                                <w:color w:val="231F20"/>
                                <w:spacing w:val="21"/>
                                <w:w w:val="110"/>
                                <w:sz w:val="15"/>
                              </w:rPr>
                              <w:t> </w:t>
                            </w:r>
                            <w:r>
                              <w:rPr>
                                <w:color w:val="231F20"/>
                                <w:spacing w:val="-2"/>
                                <w:w w:val="110"/>
                                <w:sz w:val="15"/>
                              </w:rPr>
                              <w:t>DEFICIENCIES</w:t>
                            </w:r>
                          </w:p>
                          <w:p>
                            <w:pPr>
                              <w:pStyle w:val="TableParagraph"/>
                              <w:spacing w:line="172" w:lineRule="exact"/>
                              <w:ind w:left="74"/>
                              <w:rPr>
                                <w:sz w:val="15"/>
                              </w:rPr>
                            </w:pPr>
                            <w:r>
                              <w:rPr>
                                <w:color w:val="231F20"/>
                                <w:sz w:val="15"/>
                              </w:rPr>
                              <w:t>Myoadenylate</w:t>
                            </w:r>
                            <w:r>
                              <w:rPr>
                                <w:color w:val="231F20"/>
                                <w:spacing w:val="5"/>
                                <w:sz w:val="15"/>
                              </w:rPr>
                              <w:t> </w:t>
                            </w:r>
                            <w:r>
                              <w:rPr>
                                <w:color w:val="231F20"/>
                                <w:sz w:val="15"/>
                              </w:rPr>
                              <w:t>deaminase</w:t>
                            </w:r>
                            <w:r>
                              <w:rPr>
                                <w:color w:val="231F20"/>
                                <w:spacing w:val="6"/>
                                <w:sz w:val="15"/>
                              </w:rPr>
                              <w:t> </w:t>
                            </w:r>
                            <w:r>
                              <w:rPr>
                                <w:color w:val="231F20"/>
                                <w:spacing w:val="-2"/>
                                <w:sz w:val="15"/>
                              </w:rPr>
                              <w:t>deficiency</w:t>
                            </w:r>
                          </w:p>
                        </w:tc>
                      </w:tr>
                      <w:tr>
                        <w:trPr>
                          <w:trHeight w:val="2097"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MITOCHONDRIAL</w:t>
                            </w:r>
                            <w:r>
                              <w:rPr>
                                <w:color w:val="231F20"/>
                                <w:spacing w:val="41"/>
                                <w:w w:val="115"/>
                                <w:sz w:val="15"/>
                              </w:rPr>
                              <w:t> </w:t>
                            </w:r>
                            <w:r>
                              <w:rPr>
                                <w:color w:val="231F20"/>
                                <w:spacing w:val="-2"/>
                                <w:w w:val="115"/>
                                <w:sz w:val="15"/>
                              </w:rPr>
                              <w:t>MYOPATHIES</w:t>
                            </w:r>
                          </w:p>
                          <w:p>
                            <w:pPr>
                              <w:pStyle w:val="TableParagraph"/>
                              <w:spacing w:line="169" w:lineRule="exact"/>
                              <w:ind w:left="74"/>
                              <w:rPr>
                                <w:sz w:val="15"/>
                              </w:rPr>
                            </w:pPr>
                            <w:r>
                              <w:rPr>
                                <w:color w:val="231F20"/>
                                <w:spacing w:val="-2"/>
                                <w:sz w:val="15"/>
                              </w:rPr>
                              <w:t>Alpers-Huttenlocher</w:t>
                            </w:r>
                            <w:r>
                              <w:rPr>
                                <w:color w:val="231F20"/>
                                <w:spacing w:val="25"/>
                                <w:sz w:val="15"/>
                              </w:rPr>
                              <w:t> </w:t>
                            </w:r>
                            <w:r>
                              <w:rPr>
                                <w:color w:val="231F20"/>
                                <w:spacing w:val="-2"/>
                                <w:sz w:val="15"/>
                              </w:rPr>
                              <w:t>syndrome</w:t>
                            </w:r>
                          </w:p>
                          <w:p>
                            <w:pPr>
                              <w:pStyle w:val="TableParagraph"/>
                              <w:spacing w:line="230" w:lineRule="auto" w:before="2"/>
                              <w:ind w:left="74" w:right="1528"/>
                              <w:rPr>
                                <w:sz w:val="15"/>
                              </w:rPr>
                            </w:pPr>
                            <w:r>
                              <w:rPr>
                                <w:color w:val="231F20"/>
                                <w:sz w:val="15"/>
                              </w:rPr>
                              <w:t>Chronic</w:t>
                            </w:r>
                            <w:r>
                              <w:rPr>
                                <w:color w:val="231F20"/>
                                <w:spacing w:val="-9"/>
                                <w:sz w:val="15"/>
                              </w:rPr>
                              <w:t> </w:t>
                            </w:r>
                            <w:r>
                              <w:rPr>
                                <w:color w:val="231F20"/>
                                <w:sz w:val="15"/>
                              </w:rPr>
                              <w:t>progressive</w:t>
                            </w:r>
                            <w:r>
                              <w:rPr>
                                <w:color w:val="231F20"/>
                                <w:spacing w:val="-9"/>
                                <w:sz w:val="15"/>
                              </w:rPr>
                              <w:t> </w:t>
                            </w:r>
                            <w:r>
                              <w:rPr>
                                <w:color w:val="231F20"/>
                                <w:sz w:val="15"/>
                              </w:rPr>
                              <w:t>external</w:t>
                            </w:r>
                            <w:r>
                              <w:rPr>
                                <w:color w:val="231F20"/>
                                <w:spacing w:val="-9"/>
                                <w:sz w:val="15"/>
                              </w:rPr>
                              <w:t> </w:t>
                            </w:r>
                            <w:r>
                              <w:rPr>
                                <w:color w:val="231F20"/>
                                <w:sz w:val="15"/>
                              </w:rPr>
                              <w:t>ophthalmoplegia Kearns-Sayre syndrome</w:t>
                            </w:r>
                          </w:p>
                          <w:p>
                            <w:pPr>
                              <w:pStyle w:val="TableParagraph"/>
                              <w:spacing w:line="167" w:lineRule="exact"/>
                              <w:ind w:left="74"/>
                              <w:rPr>
                                <w:sz w:val="15"/>
                              </w:rPr>
                            </w:pPr>
                            <w:r>
                              <w:rPr>
                                <w:color w:val="231F20"/>
                                <w:sz w:val="15"/>
                              </w:rPr>
                              <w:t>Pearson</w:t>
                            </w:r>
                            <w:r>
                              <w:rPr>
                                <w:color w:val="231F20"/>
                                <w:spacing w:val="6"/>
                                <w:sz w:val="15"/>
                              </w:rPr>
                              <w:t> </w:t>
                            </w:r>
                            <w:r>
                              <w:rPr>
                                <w:color w:val="231F20"/>
                                <w:spacing w:val="-2"/>
                                <w:sz w:val="15"/>
                              </w:rPr>
                              <w:t>syndrome</w:t>
                            </w:r>
                          </w:p>
                          <w:p>
                            <w:pPr>
                              <w:pStyle w:val="TableParagraph"/>
                              <w:spacing w:line="230" w:lineRule="auto" w:before="3"/>
                              <w:ind w:left="186" w:right="721" w:hanging="112"/>
                              <w:rPr>
                                <w:sz w:val="15"/>
                              </w:rPr>
                            </w:pPr>
                            <w:r>
                              <w:rPr>
                                <w:color w:val="231F20"/>
                                <w:sz w:val="15"/>
                              </w:rPr>
                              <w:t>Mitochondrial</w:t>
                            </w:r>
                            <w:r>
                              <w:rPr>
                                <w:color w:val="231F20"/>
                                <w:spacing w:val="-12"/>
                                <w:sz w:val="15"/>
                              </w:rPr>
                              <w:t> </w:t>
                            </w:r>
                            <w:r>
                              <w:rPr>
                                <w:color w:val="231F20"/>
                                <w:sz w:val="15"/>
                              </w:rPr>
                              <w:t>encephalomyopathy</w:t>
                            </w:r>
                            <w:r>
                              <w:rPr>
                                <w:color w:val="231F20"/>
                                <w:spacing w:val="-11"/>
                                <w:sz w:val="15"/>
                              </w:rPr>
                              <w:t> </w:t>
                            </w:r>
                            <w:r>
                              <w:rPr>
                                <w:color w:val="231F20"/>
                                <w:sz w:val="15"/>
                              </w:rPr>
                              <w:t>with</w:t>
                            </w:r>
                            <w:r>
                              <w:rPr>
                                <w:color w:val="231F20"/>
                                <w:spacing w:val="-11"/>
                                <w:sz w:val="15"/>
                              </w:rPr>
                              <w:t> </w:t>
                            </w:r>
                            <w:r>
                              <w:rPr>
                                <w:color w:val="231F20"/>
                                <w:sz w:val="15"/>
                              </w:rPr>
                              <w:t>lactic</w:t>
                            </w:r>
                            <w:r>
                              <w:rPr>
                                <w:color w:val="231F20"/>
                                <w:spacing w:val="-12"/>
                                <w:sz w:val="15"/>
                              </w:rPr>
                              <w:t> </w:t>
                            </w:r>
                            <w:r>
                              <w:rPr>
                                <w:color w:val="231F20"/>
                                <w:sz w:val="15"/>
                              </w:rPr>
                              <w:t>acidosis</w:t>
                            </w:r>
                            <w:r>
                              <w:rPr>
                                <w:color w:val="231F20"/>
                                <w:spacing w:val="-11"/>
                                <w:sz w:val="15"/>
                              </w:rPr>
                              <w:t> </w:t>
                            </w:r>
                            <w:r>
                              <w:rPr>
                                <w:color w:val="231F20"/>
                                <w:sz w:val="15"/>
                              </w:rPr>
                              <w:t>and stroke-like episodes (MELAS)</w:t>
                            </w:r>
                          </w:p>
                          <w:p>
                            <w:pPr>
                              <w:pStyle w:val="TableParagraph"/>
                              <w:spacing w:line="230" w:lineRule="auto" w:before="1"/>
                              <w:ind w:left="74"/>
                              <w:rPr>
                                <w:sz w:val="15"/>
                              </w:rPr>
                            </w:pPr>
                            <w:r>
                              <w:rPr>
                                <w:color w:val="231F20"/>
                                <w:sz w:val="15"/>
                              </w:rPr>
                              <w:t>Mitochondrial</w:t>
                            </w:r>
                            <w:r>
                              <w:rPr>
                                <w:color w:val="231F20"/>
                                <w:spacing w:val="-4"/>
                                <w:sz w:val="15"/>
                              </w:rPr>
                              <w:t> </w:t>
                            </w:r>
                            <w:r>
                              <w:rPr>
                                <w:color w:val="231F20"/>
                                <w:sz w:val="15"/>
                              </w:rPr>
                              <w:t>neurogastrointestinal</w:t>
                            </w:r>
                            <w:r>
                              <w:rPr>
                                <w:color w:val="231F20"/>
                                <w:spacing w:val="-4"/>
                                <w:sz w:val="15"/>
                              </w:rPr>
                              <w:t> </w:t>
                            </w:r>
                            <w:r>
                              <w:rPr>
                                <w:color w:val="231F20"/>
                                <w:sz w:val="15"/>
                              </w:rPr>
                              <w:t>encephalomyopathy</w:t>
                            </w:r>
                            <w:r>
                              <w:rPr>
                                <w:color w:val="231F20"/>
                                <w:spacing w:val="-4"/>
                                <w:sz w:val="15"/>
                              </w:rPr>
                              <w:t> </w:t>
                            </w:r>
                            <w:r>
                              <w:rPr>
                                <w:color w:val="231F20"/>
                                <w:sz w:val="15"/>
                              </w:rPr>
                              <w:t>(MNGIE) Myoclonic epilepsy with ragged red fibers (MERRF)</w:t>
                            </w:r>
                          </w:p>
                          <w:p>
                            <w:pPr>
                              <w:pStyle w:val="TableParagraph"/>
                              <w:spacing w:line="230" w:lineRule="auto" w:before="2"/>
                              <w:ind w:left="74" w:right="2339"/>
                              <w:rPr>
                                <w:sz w:val="15"/>
                              </w:rPr>
                            </w:pPr>
                            <w:r>
                              <w:rPr>
                                <w:color w:val="231F20"/>
                                <w:spacing w:val="-2"/>
                                <w:sz w:val="15"/>
                              </w:rPr>
                              <w:t>Leber</w:t>
                            </w:r>
                            <w:r>
                              <w:rPr>
                                <w:color w:val="231F20"/>
                                <w:spacing w:val="-4"/>
                                <w:sz w:val="15"/>
                              </w:rPr>
                              <w:t> </w:t>
                            </w:r>
                            <w:r>
                              <w:rPr>
                                <w:color w:val="231F20"/>
                                <w:spacing w:val="-2"/>
                                <w:sz w:val="15"/>
                              </w:rPr>
                              <w:t>hereditary</w:t>
                            </w:r>
                            <w:r>
                              <w:rPr>
                                <w:color w:val="231F20"/>
                                <w:spacing w:val="-4"/>
                                <w:sz w:val="15"/>
                              </w:rPr>
                              <w:t> </w:t>
                            </w:r>
                            <w:r>
                              <w:rPr>
                                <w:color w:val="231F20"/>
                                <w:spacing w:val="-2"/>
                                <w:sz w:val="15"/>
                              </w:rPr>
                              <w:t>optic</w:t>
                            </w:r>
                            <w:r>
                              <w:rPr>
                                <w:color w:val="231F20"/>
                                <w:spacing w:val="-4"/>
                                <w:sz w:val="15"/>
                              </w:rPr>
                              <w:t> </w:t>
                            </w:r>
                            <w:r>
                              <w:rPr>
                                <w:color w:val="231F20"/>
                                <w:spacing w:val="-2"/>
                                <w:sz w:val="15"/>
                              </w:rPr>
                              <w:t>neuropathy </w:t>
                            </w:r>
                            <w:r>
                              <w:rPr>
                                <w:color w:val="231F20"/>
                                <w:sz w:val="15"/>
                              </w:rPr>
                              <w:t>Leigh syndrome</w:t>
                            </w:r>
                          </w:p>
                          <w:p>
                            <w:pPr>
                              <w:pStyle w:val="TableParagraph"/>
                              <w:spacing w:line="170" w:lineRule="exact"/>
                              <w:ind w:left="74"/>
                              <w:rPr>
                                <w:sz w:val="15"/>
                              </w:rPr>
                            </w:pPr>
                            <w:r>
                              <w:rPr>
                                <w:color w:val="231F20"/>
                                <w:spacing w:val="-2"/>
                                <w:sz w:val="15"/>
                              </w:rPr>
                              <w:t>Infantile</w:t>
                            </w:r>
                            <w:r>
                              <w:rPr>
                                <w:color w:val="231F20"/>
                                <w:spacing w:val="-5"/>
                                <w:sz w:val="15"/>
                              </w:rPr>
                              <w:t> </w:t>
                            </w:r>
                            <w:r>
                              <w:rPr>
                                <w:color w:val="231F20"/>
                                <w:spacing w:val="-2"/>
                                <w:sz w:val="15"/>
                              </w:rPr>
                              <w:t>myopathy</w:t>
                            </w:r>
                            <w:r>
                              <w:rPr>
                                <w:color w:val="231F20"/>
                                <w:spacing w:val="-4"/>
                                <w:sz w:val="15"/>
                              </w:rPr>
                              <w:t> </w:t>
                            </w:r>
                            <w:r>
                              <w:rPr>
                                <w:color w:val="231F20"/>
                                <w:spacing w:val="-2"/>
                                <w:sz w:val="15"/>
                              </w:rPr>
                              <w:t>and</w:t>
                            </w:r>
                            <w:r>
                              <w:rPr>
                                <w:color w:val="231F20"/>
                                <w:spacing w:val="-4"/>
                                <w:sz w:val="15"/>
                              </w:rPr>
                              <w:t> </w:t>
                            </w:r>
                            <w:r>
                              <w:rPr>
                                <w:color w:val="231F20"/>
                                <w:spacing w:val="-2"/>
                                <w:sz w:val="15"/>
                              </w:rPr>
                              <w:t>lactic</w:t>
                            </w:r>
                            <w:r>
                              <w:rPr>
                                <w:color w:val="231F20"/>
                                <w:spacing w:val="-4"/>
                                <w:sz w:val="15"/>
                              </w:rPr>
                              <w:t> </w:t>
                            </w:r>
                            <w:r>
                              <w:rPr>
                                <w:color w:val="231F20"/>
                                <w:spacing w:val="-2"/>
                                <w:sz w:val="15"/>
                              </w:rPr>
                              <w:t>acidosis</w:t>
                            </w:r>
                          </w:p>
                        </w:tc>
                      </w:tr>
                    </w:tbl>
                    <w:p>
                      <w:pPr>
                        <w:pStyle w:val="BodyText"/>
                      </w:pPr>
                    </w:p>
                  </w:txbxContent>
                </v:textbox>
                <w10:wrap type="topAndBottom"/>
              </v:shape>
            </w:pict>
          </mc:Fallback>
        </mc:AlternateContent>
      </w:r>
    </w:p>
    <w:p>
      <w:pPr>
        <w:pStyle w:val="BodyText"/>
        <w:spacing w:before="64"/>
        <w:ind w:left="5640"/>
      </w:pPr>
      <w:r>
        <w:rPr>
          <w:color w:val="231F20"/>
        </w:rPr>
        <w:t>*Deficiency</w:t>
      </w:r>
      <w:r>
        <w:rPr>
          <w:color w:val="231F20"/>
          <w:spacing w:val="-1"/>
        </w:rPr>
        <w:t> </w:t>
      </w:r>
      <w:r>
        <w:rPr>
          <w:color w:val="231F20"/>
        </w:rPr>
        <w:t>can</w:t>
      </w:r>
      <w:r>
        <w:rPr>
          <w:color w:val="231F20"/>
          <w:spacing w:val="-1"/>
        </w:rPr>
        <w:t> </w:t>
      </w:r>
      <w:r>
        <w:rPr>
          <w:color w:val="231F20"/>
        </w:rPr>
        <w:t>produce</w:t>
      </w:r>
      <w:r>
        <w:rPr>
          <w:color w:val="231F20"/>
          <w:spacing w:val="-1"/>
        </w:rPr>
        <w:t> </w:t>
      </w:r>
      <w:r>
        <w:rPr>
          <w:color w:val="231F20"/>
        </w:rPr>
        <w:t>exercise</w:t>
      </w:r>
      <w:r>
        <w:rPr>
          <w:color w:val="231F20"/>
          <w:spacing w:val="-1"/>
        </w:rPr>
        <w:t> </w:t>
      </w:r>
      <w:r>
        <w:rPr>
          <w:color w:val="231F20"/>
        </w:rPr>
        <w:t>intolerance</w:t>
      </w:r>
      <w:r>
        <w:rPr>
          <w:color w:val="231F20"/>
          <w:spacing w:val="-1"/>
        </w:rPr>
        <w:t> </w:t>
      </w:r>
      <w:r>
        <w:rPr>
          <w:color w:val="231F20"/>
        </w:rPr>
        <w:t>and</w:t>
      </w:r>
      <w:r>
        <w:rPr>
          <w:color w:val="231F20"/>
          <w:spacing w:val="-1"/>
        </w:rPr>
        <w:t> </w:t>
      </w:r>
      <w:r>
        <w:rPr>
          <w:color w:val="231F20"/>
          <w:spacing w:val="-2"/>
        </w:rPr>
        <w:t>myoglobinuria.</w:t>
      </w:r>
    </w:p>
    <w:p>
      <w:pPr>
        <w:pStyle w:val="BodyText"/>
        <w:spacing w:before="8"/>
        <w:rPr>
          <w:sz w:val="9"/>
        </w:rPr>
      </w:pPr>
    </w:p>
    <w:tbl>
      <w:tblPr>
        <w:tblW w:w="0" w:type="auto"/>
        <w:jc w:val="left"/>
        <w:tblInd w:w="5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41"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612-</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ight="613"/>
              <w:rPr>
                <w:sz w:val="16"/>
              </w:rPr>
            </w:pPr>
            <w:r>
              <w:rPr>
                <w:color w:val="FFFFFF"/>
                <w:w w:val="105"/>
                <w:sz w:val="16"/>
              </w:rPr>
              <w:t>Classification</w:t>
            </w:r>
            <w:r>
              <w:rPr>
                <w:color w:val="FFFFFF"/>
                <w:spacing w:val="-7"/>
                <w:w w:val="105"/>
                <w:sz w:val="16"/>
              </w:rPr>
              <w:t> </w:t>
            </w:r>
            <w:r>
              <w:rPr>
                <w:color w:val="FFFFFF"/>
                <w:w w:val="105"/>
                <w:sz w:val="16"/>
              </w:rPr>
              <w:t>of</w:t>
            </w:r>
            <w:r>
              <w:rPr>
                <w:color w:val="FFFFFF"/>
                <w:spacing w:val="-7"/>
                <w:w w:val="105"/>
                <w:sz w:val="16"/>
              </w:rPr>
              <w:t> </w:t>
            </w:r>
            <w:r>
              <w:rPr>
                <w:color w:val="FFFFFF"/>
                <w:w w:val="105"/>
                <w:sz w:val="16"/>
              </w:rPr>
              <w:t>the</w:t>
            </w:r>
            <w:r>
              <w:rPr>
                <w:color w:val="FFFFFF"/>
                <w:spacing w:val="-7"/>
                <w:w w:val="105"/>
                <w:sz w:val="16"/>
              </w:rPr>
              <w:t> </w:t>
            </w:r>
            <w:r>
              <w:rPr>
                <w:color w:val="FFFFFF"/>
                <w:w w:val="105"/>
                <w:sz w:val="16"/>
              </w:rPr>
              <w:t>Congenital Myasthenic Syndromes</w:t>
            </w:r>
          </w:p>
        </w:tc>
      </w:tr>
      <w:tr>
        <w:trPr>
          <w:trHeight w:val="950" w:hRule="atLeast"/>
        </w:trPr>
        <w:tc>
          <w:tcPr>
            <w:tcW w:w="4703" w:type="dxa"/>
            <w:gridSpan w:val="2"/>
            <w:tcBorders>
              <w:bottom w:val="single" w:sz="4" w:space="0" w:color="FFFFFF"/>
            </w:tcBorders>
            <w:shd w:val="clear" w:color="auto" w:fill="E8F5F1"/>
          </w:tcPr>
          <w:p>
            <w:pPr>
              <w:pStyle w:val="TableParagraph"/>
              <w:spacing w:line="172" w:lineRule="exact" w:before="67"/>
              <w:ind w:left="74"/>
              <w:rPr>
                <w:sz w:val="15"/>
              </w:rPr>
            </w:pPr>
            <w:r>
              <w:rPr>
                <w:color w:val="231F20"/>
                <w:w w:val="110"/>
                <w:sz w:val="15"/>
              </w:rPr>
              <w:t>PRESYNAPTIC</w:t>
            </w:r>
            <w:r>
              <w:rPr>
                <w:color w:val="231F20"/>
                <w:spacing w:val="-1"/>
                <w:w w:val="110"/>
                <w:sz w:val="15"/>
              </w:rPr>
              <w:t> </w:t>
            </w:r>
            <w:r>
              <w:rPr>
                <w:color w:val="231F20"/>
                <w:spacing w:val="-2"/>
                <w:w w:val="110"/>
                <w:sz w:val="15"/>
              </w:rPr>
              <w:t>DEFECTS</w:t>
            </w:r>
          </w:p>
          <w:p>
            <w:pPr>
              <w:pStyle w:val="TableParagraph"/>
              <w:numPr>
                <w:ilvl w:val="0"/>
                <w:numId w:val="97"/>
              </w:numPr>
              <w:tabs>
                <w:tab w:pos="223" w:val="left" w:leader="none"/>
              </w:tabs>
              <w:spacing w:line="169" w:lineRule="exact" w:before="0" w:after="0"/>
              <w:ind w:left="223" w:right="0" w:hanging="149"/>
              <w:jc w:val="left"/>
              <w:rPr>
                <w:sz w:val="15"/>
              </w:rPr>
            </w:pPr>
            <w:r>
              <w:rPr>
                <w:color w:val="231F20"/>
                <w:sz w:val="15"/>
              </w:rPr>
              <w:t>Paucity</w:t>
            </w:r>
            <w:r>
              <w:rPr>
                <w:color w:val="231F20"/>
                <w:spacing w:val="-8"/>
                <w:sz w:val="15"/>
              </w:rPr>
              <w:t> </w:t>
            </w:r>
            <w:r>
              <w:rPr>
                <w:color w:val="231F20"/>
                <w:sz w:val="15"/>
              </w:rPr>
              <w:t>of</w:t>
            </w:r>
            <w:r>
              <w:rPr>
                <w:color w:val="231F20"/>
                <w:spacing w:val="-8"/>
                <w:sz w:val="15"/>
              </w:rPr>
              <w:t> </w:t>
            </w:r>
            <w:r>
              <w:rPr>
                <w:color w:val="231F20"/>
                <w:sz w:val="15"/>
              </w:rPr>
              <w:t>synaptic</w:t>
            </w:r>
            <w:r>
              <w:rPr>
                <w:color w:val="231F20"/>
                <w:spacing w:val="-8"/>
                <w:sz w:val="15"/>
              </w:rPr>
              <w:t> </w:t>
            </w:r>
            <w:r>
              <w:rPr>
                <w:color w:val="231F20"/>
                <w:sz w:val="15"/>
              </w:rPr>
              <w:t>vesicles</w:t>
            </w:r>
            <w:r>
              <w:rPr>
                <w:color w:val="231F20"/>
                <w:spacing w:val="-8"/>
                <w:sz w:val="15"/>
              </w:rPr>
              <w:t> </w:t>
            </w:r>
            <w:r>
              <w:rPr>
                <w:color w:val="231F20"/>
                <w:sz w:val="15"/>
              </w:rPr>
              <w:t>and</w:t>
            </w:r>
            <w:r>
              <w:rPr>
                <w:color w:val="231F20"/>
                <w:spacing w:val="-8"/>
                <w:sz w:val="15"/>
              </w:rPr>
              <w:t> </w:t>
            </w:r>
            <w:r>
              <w:rPr>
                <w:color w:val="231F20"/>
                <w:sz w:val="15"/>
              </w:rPr>
              <w:t>decreased</w:t>
            </w:r>
            <w:r>
              <w:rPr>
                <w:color w:val="231F20"/>
                <w:spacing w:val="-8"/>
                <w:sz w:val="15"/>
              </w:rPr>
              <w:t> </w:t>
            </w:r>
            <w:r>
              <w:rPr>
                <w:color w:val="231F20"/>
                <w:sz w:val="15"/>
              </w:rPr>
              <w:t>quantal</w:t>
            </w:r>
            <w:r>
              <w:rPr>
                <w:color w:val="231F20"/>
                <w:spacing w:val="-8"/>
                <w:sz w:val="15"/>
              </w:rPr>
              <w:t> </w:t>
            </w:r>
            <w:r>
              <w:rPr>
                <w:color w:val="231F20"/>
                <w:spacing w:val="-2"/>
                <w:sz w:val="15"/>
              </w:rPr>
              <w:t>release</w:t>
            </w:r>
          </w:p>
          <w:p>
            <w:pPr>
              <w:pStyle w:val="TableParagraph"/>
              <w:numPr>
                <w:ilvl w:val="0"/>
                <w:numId w:val="97"/>
              </w:numPr>
              <w:tabs>
                <w:tab w:pos="223" w:val="left" w:leader="none"/>
              </w:tabs>
              <w:spacing w:line="230" w:lineRule="auto" w:before="2" w:after="0"/>
              <w:ind w:left="223" w:right="235" w:hanging="150"/>
              <w:jc w:val="left"/>
              <w:rPr>
                <w:sz w:val="15"/>
              </w:rPr>
            </w:pPr>
            <w:r>
              <w:rPr>
                <w:color w:val="231F20"/>
                <w:sz w:val="15"/>
              </w:rPr>
              <w:t>Congenital</w:t>
            </w:r>
            <w:r>
              <w:rPr>
                <w:color w:val="231F20"/>
                <w:spacing w:val="-8"/>
                <w:sz w:val="15"/>
              </w:rPr>
              <w:t> </w:t>
            </w:r>
            <w:r>
              <w:rPr>
                <w:color w:val="231F20"/>
                <w:sz w:val="15"/>
              </w:rPr>
              <w:t>myasthenic</w:t>
            </w:r>
            <w:r>
              <w:rPr>
                <w:color w:val="231F20"/>
                <w:spacing w:val="-8"/>
                <w:sz w:val="15"/>
              </w:rPr>
              <w:t> </w:t>
            </w:r>
            <w:r>
              <w:rPr>
                <w:color w:val="231F20"/>
                <w:sz w:val="15"/>
              </w:rPr>
              <w:t>syndromes</w:t>
            </w:r>
            <w:r>
              <w:rPr>
                <w:color w:val="231F20"/>
                <w:spacing w:val="-8"/>
                <w:sz w:val="15"/>
              </w:rPr>
              <w:t> </w:t>
            </w:r>
            <w:r>
              <w:rPr>
                <w:color w:val="231F20"/>
                <w:sz w:val="15"/>
              </w:rPr>
              <w:t>with</w:t>
            </w:r>
            <w:r>
              <w:rPr>
                <w:color w:val="231F20"/>
                <w:spacing w:val="-8"/>
                <w:sz w:val="15"/>
              </w:rPr>
              <w:t> </w:t>
            </w:r>
            <w:r>
              <w:rPr>
                <w:color w:val="231F20"/>
                <w:sz w:val="15"/>
              </w:rPr>
              <w:t>episodic</w:t>
            </w:r>
            <w:r>
              <w:rPr>
                <w:color w:val="231F20"/>
                <w:spacing w:val="-8"/>
                <w:sz w:val="15"/>
              </w:rPr>
              <w:t> </w:t>
            </w:r>
            <w:r>
              <w:rPr>
                <w:color w:val="231F20"/>
                <w:sz w:val="15"/>
              </w:rPr>
              <w:t>apnea</w:t>
            </w:r>
            <w:r>
              <w:rPr>
                <w:color w:val="231F20"/>
                <w:spacing w:val="-8"/>
                <w:sz w:val="15"/>
              </w:rPr>
              <w:t> </w:t>
            </w:r>
            <w:r>
              <w:rPr>
                <w:color w:val="231F20"/>
                <w:sz w:val="15"/>
              </w:rPr>
              <w:t>(choline acetyltransferase deficiency)</w:t>
            </w:r>
          </w:p>
          <w:p>
            <w:pPr>
              <w:pStyle w:val="TableParagraph"/>
              <w:numPr>
                <w:ilvl w:val="0"/>
                <w:numId w:val="97"/>
              </w:numPr>
              <w:tabs>
                <w:tab w:pos="223" w:val="left" w:leader="none"/>
              </w:tabs>
              <w:spacing w:line="170" w:lineRule="exact" w:before="0" w:after="0"/>
              <w:ind w:left="223" w:right="0" w:hanging="149"/>
              <w:jc w:val="left"/>
              <w:rPr>
                <w:sz w:val="15"/>
              </w:rPr>
            </w:pPr>
            <w:r>
              <w:rPr>
                <w:color w:val="231F20"/>
                <w:sz w:val="15"/>
              </w:rPr>
              <w:t>Lambert-Eaton syndrome–like</w:t>
            </w:r>
            <w:r>
              <w:rPr>
                <w:color w:val="231F20"/>
                <w:spacing w:val="1"/>
                <w:sz w:val="15"/>
              </w:rPr>
              <w:t> </w:t>
            </w:r>
            <w:r>
              <w:rPr>
                <w:color w:val="231F20"/>
                <w:spacing w:val="-4"/>
                <w:sz w:val="15"/>
              </w:rPr>
              <w:t>form</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SYNAPTIC</w:t>
            </w:r>
            <w:r>
              <w:rPr>
                <w:color w:val="231F20"/>
                <w:spacing w:val="5"/>
                <w:w w:val="110"/>
                <w:sz w:val="15"/>
              </w:rPr>
              <w:t> </w:t>
            </w:r>
            <w:r>
              <w:rPr>
                <w:color w:val="231F20"/>
                <w:spacing w:val="-2"/>
                <w:w w:val="110"/>
                <w:sz w:val="15"/>
              </w:rPr>
              <w:t>DEFECTS</w:t>
            </w:r>
          </w:p>
          <w:p>
            <w:pPr>
              <w:pStyle w:val="TableParagraph"/>
              <w:numPr>
                <w:ilvl w:val="0"/>
                <w:numId w:val="98"/>
              </w:numPr>
              <w:tabs>
                <w:tab w:pos="223" w:val="left" w:leader="none"/>
              </w:tabs>
              <w:spacing w:line="172" w:lineRule="exact" w:before="0" w:after="0"/>
              <w:ind w:left="223" w:right="0" w:hanging="149"/>
              <w:jc w:val="left"/>
              <w:rPr>
                <w:sz w:val="15"/>
              </w:rPr>
            </w:pPr>
            <w:r>
              <w:rPr>
                <w:color w:val="231F20"/>
                <w:spacing w:val="-2"/>
                <w:sz w:val="15"/>
              </w:rPr>
              <w:t>End</w:t>
            </w:r>
            <w:r>
              <w:rPr>
                <w:color w:val="231F20"/>
                <w:spacing w:val="1"/>
                <w:sz w:val="15"/>
              </w:rPr>
              <w:t> </w:t>
            </w:r>
            <w:r>
              <w:rPr>
                <w:color w:val="231F20"/>
                <w:spacing w:val="-2"/>
                <w:sz w:val="15"/>
              </w:rPr>
              <w:t>plate</w:t>
            </w:r>
            <w:r>
              <w:rPr>
                <w:color w:val="231F20"/>
                <w:spacing w:val="2"/>
                <w:sz w:val="15"/>
              </w:rPr>
              <w:t> </w:t>
            </w:r>
            <w:r>
              <w:rPr>
                <w:color w:val="231F20"/>
                <w:spacing w:val="-2"/>
                <w:sz w:val="15"/>
              </w:rPr>
              <w:t>acetylcholinesterase</w:t>
            </w:r>
            <w:r>
              <w:rPr>
                <w:color w:val="231F20"/>
                <w:spacing w:val="1"/>
                <w:sz w:val="15"/>
              </w:rPr>
              <w:t> </w:t>
            </w:r>
            <w:r>
              <w:rPr>
                <w:color w:val="231F20"/>
                <w:spacing w:val="-2"/>
                <w:sz w:val="15"/>
              </w:rPr>
              <w:t>deficiency</w:t>
            </w:r>
          </w:p>
        </w:tc>
      </w:tr>
      <w:tr>
        <w:trPr>
          <w:trHeight w:val="2097"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POSTSYNAPTIC</w:t>
            </w:r>
            <w:r>
              <w:rPr>
                <w:color w:val="231F20"/>
                <w:spacing w:val="9"/>
                <w:w w:val="110"/>
                <w:sz w:val="15"/>
              </w:rPr>
              <w:t> </w:t>
            </w:r>
            <w:r>
              <w:rPr>
                <w:color w:val="231F20"/>
                <w:spacing w:val="-2"/>
                <w:w w:val="110"/>
                <w:sz w:val="15"/>
              </w:rPr>
              <w:t>DEFECTS</w:t>
            </w:r>
          </w:p>
          <w:p>
            <w:pPr>
              <w:pStyle w:val="TableParagraph"/>
              <w:numPr>
                <w:ilvl w:val="0"/>
                <w:numId w:val="99"/>
              </w:numPr>
              <w:tabs>
                <w:tab w:pos="223" w:val="left" w:leader="none"/>
              </w:tabs>
              <w:spacing w:line="169" w:lineRule="exact" w:before="0" w:after="0"/>
              <w:ind w:left="223" w:right="0" w:hanging="149"/>
              <w:jc w:val="left"/>
              <w:rPr>
                <w:sz w:val="15"/>
              </w:rPr>
            </w:pPr>
            <w:r>
              <w:rPr>
                <w:color w:val="231F20"/>
                <w:spacing w:val="-2"/>
                <w:sz w:val="15"/>
              </w:rPr>
              <w:t>Primary</w:t>
            </w:r>
            <w:r>
              <w:rPr>
                <w:color w:val="231F20"/>
                <w:spacing w:val="-5"/>
                <w:sz w:val="15"/>
              </w:rPr>
              <w:t> </w:t>
            </w:r>
            <w:r>
              <w:rPr>
                <w:color w:val="231F20"/>
                <w:spacing w:val="-2"/>
                <w:sz w:val="15"/>
              </w:rPr>
              <w:t>acetylcholine</w:t>
            </w:r>
            <w:r>
              <w:rPr>
                <w:color w:val="231F20"/>
                <w:spacing w:val="-5"/>
                <w:sz w:val="15"/>
              </w:rPr>
              <w:t> </w:t>
            </w:r>
            <w:r>
              <w:rPr>
                <w:color w:val="231F20"/>
                <w:spacing w:val="-2"/>
                <w:sz w:val="15"/>
              </w:rPr>
              <w:t>receptor</w:t>
            </w:r>
            <w:r>
              <w:rPr>
                <w:color w:val="231F20"/>
                <w:spacing w:val="-5"/>
                <w:sz w:val="15"/>
              </w:rPr>
              <w:t> </w:t>
            </w:r>
            <w:r>
              <w:rPr>
                <w:color w:val="231F20"/>
                <w:spacing w:val="-2"/>
                <w:sz w:val="15"/>
              </w:rPr>
              <w:t>deficiency</w:t>
            </w:r>
          </w:p>
          <w:p>
            <w:pPr>
              <w:pStyle w:val="TableParagraph"/>
              <w:numPr>
                <w:ilvl w:val="0"/>
                <w:numId w:val="99"/>
              </w:numPr>
              <w:tabs>
                <w:tab w:pos="223" w:val="left" w:leader="none"/>
              </w:tabs>
              <w:spacing w:line="230" w:lineRule="auto" w:before="2" w:after="0"/>
              <w:ind w:left="223" w:right="81" w:hanging="150"/>
              <w:jc w:val="left"/>
              <w:rPr>
                <w:sz w:val="15"/>
              </w:rPr>
            </w:pPr>
            <w:r>
              <w:rPr>
                <w:color w:val="231F20"/>
                <w:sz w:val="15"/>
              </w:rPr>
              <w:t>Reduced</w:t>
            </w:r>
            <w:r>
              <w:rPr>
                <w:color w:val="231F20"/>
                <w:spacing w:val="-11"/>
                <w:sz w:val="15"/>
              </w:rPr>
              <w:t> </w:t>
            </w:r>
            <w:r>
              <w:rPr>
                <w:color w:val="231F20"/>
                <w:sz w:val="15"/>
              </w:rPr>
              <w:t>receptor</w:t>
            </w:r>
            <w:r>
              <w:rPr>
                <w:color w:val="231F20"/>
                <w:spacing w:val="-11"/>
                <w:sz w:val="15"/>
              </w:rPr>
              <w:t> </w:t>
            </w:r>
            <w:r>
              <w:rPr>
                <w:color w:val="231F20"/>
                <w:sz w:val="15"/>
              </w:rPr>
              <w:t>expression</w:t>
            </w:r>
            <w:r>
              <w:rPr>
                <w:color w:val="231F20"/>
                <w:spacing w:val="-11"/>
                <w:sz w:val="15"/>
              </w:rPr>
              <w:t> </w:t>
            </w:r>
            <w:r>
              <w:rPr>
                <w:color w:val="231F20"/>
                <w:sz w:val="15"/>
              </w:rPr>
              <w:t>as</w:t>
            </w:r>
            <w:r>
              <w:rPr>
                <w:color w:val="231F20"/>
                <w:spacing w:val="-11"/>
                <w:sz w:val="15"/>
              </w:rPr>
              <w:t> </w:t>
            </w:r>
            <w:r>
              <w:rPr>
                <w:color w:val="231F20"/>
                <w:sz w:val="15"/>
              </w:rPr>
              <w:t>a</w:t>
            </w:r>
            <w:r>
              <w:rPr>
                <w:color w:val="231F20"/>
                <w:spacing w:val="-11"/>
                <w:sz w:val="15"/>
              </w:rPr>
              <w:t> </w:t>
            </w:r>
            <w:r>
              <w:rPr>
                <w:color w:val="231F20"/>
                <w:sz w:val="15"/>
              </w:rPr>
              <w:t>result</w:t>
            </w:r>
            <w:r>
              <w:rPr>
                <w:color w:val="231F20"/>
                <w:spacing w:val="-11"/>
                <w:sz w:val="15"/>
              </w:rPr>
              <w:t> </w:t>
            </w:r>
            <w:r>
              <w:rPr>
                <w:color w:val="231F20"/>
                <w:sz w:val="15"/>
              </w:rPr>
              <w:t>of</w:t>
            </w:r>
            <w:r>
              <w:rPr>
                <w:color w:val="231F20"/>
                <w:spacing w:val="-11"/>
                <w:sz w:val="15"/>
              </w:rPr>
              <w:t> </w:t>
            </w:r>
            <w:r>
              <w:rPr>
                <w:color w:val="231F20"/>
                <w:sz w:val="15"/>
              </w:rPr>
              <w:t>acetylcholine</w:t>
            </w:r>
            <w:r>
              <w:rPr>
                <w:color w:val="231F20"/>
                <w:spacing w:val="-11"/>
                <w:sz w:val="15"/>
              </w:rPr>
              <w:t> </w:t>
            </w:r>
            <w:r>
              <w:rPr>
                <w:color w:val="231F20"/>
                <w:sz w:val="15"/>
              </w:rPr>
              <w:t>receptor </w:t>
            </w:r>
            <w:r>
              <w:rPr>
                <w:color w:val="231F20"/>
                <w:spacing w:val="-2"/>
                <w:sz w:val="15"/>
              </w:rPr>
              <w:t>mutations</w:t>
            </w:r>
          </w:p>
          <w:p>
            <w:pPr>
              <w:pStyle w:val="TableParagraph"/>
              <w:numPr>
                <w:ilvl w:val="0"/>
                <w:numId w:val="99"/>
              </w:numPr>
              <w:tabs>
                <w:tab w:pos="223" w:val="left" w:leader="none"/>
              </w:tabs>
              <w:spacing w:line="167" w:lineRule="exact" w:before="0" w:after="0"/>
              <w:ind w:left="223" w:right="0" w:hanging="149"/>
              <w:jc w:val="left"/>
              <w:rPr>
                <w:sz w:val="15"/>
              </w:rPr>
            </w:pPr>
            <w:r>
              <w:rPr>
                <w:color w:val="231F20"/>
                <w:sz w:val="15"/>
              </w:rPr>
              <w:t>Reduced</w:t>
            </w:r>
            <w:r>
              <w:rPr>
                <w:color w:val="231F20"/>
                <w:spacing w:val="1"/>
                <w:sz w:val="15"/>
              </w:rPr>
              <w:t> </w:t>
            </w:r>
            <w:r>
              <w:rPr>
                <w:color w:val="231F20"/>
                <w:sz w:val="15"/>
              </w:rPr>
              <w:t>receptor</w:t>
            </w:r>
            <w:r>
              <w:rPr>
                <w:color w:val="231F20"/>
                <w:spacing w:val="1"/>
                <w:sz w:val="15"/>
              </w:rPr>
              <w:t> </w:t>
            </w:r>
            <w:r>
              <w:rPr>
                <w:color w:val="231F20"/>
                <w:sz w:val="15"/>
              </w:rPr>
              <w:t>expression</w:t>
            </w:r>
            <w:r>
              <w:rPr>
                <w:color w:val="231F20"/>
                <w:spacing w:val="2"/>
                <w:sz w:val="15"/>
              </w:rPr>
              <w:t> </w:t>
            </w:r>
            <w:r>
              <w:rPr>
                <w:color w:val="231F20"/>
                <w:sz w:val="15"/>
              </w:rPr>
              <w:t>because</w:t>
            </w:r>
            <w:r>
              <w:rPr>
                <w:color w:val="231F20"/>
                <w:spacing w:val="1"/>
                <w:sz w:val="15"/>
              </w:rPr>
              <w:t> </w:t>
            </w:r>
            <w:r>
              <w:rPr>
                <w:color w:val="231F20"/>
                <w:sz w:val="15"/>
              </w:rPr>
              <w:t>of</w:t>
            </w:r>
            <w:r>
              <w:rPr>
                <w:color w:val="231F20"/>
                <w:spacing w:val="2"/>
                <w:sz w:val="15"/>
              </w:rPr>
              <w:t> </w:t>
            </w:r>
            <w:r>
              <w:rPr>
                <w:color w:val="231F20"/>
                <w:sz w:val="15"/>
              </w:rPr>
              <w:t>rapsyn</w:t>
            </w:r>
            <w:r>
              <w:rPr>
                <w:color w:val="231F20"/>
                <w:spacing w:val="1"/>
                <w:sz w:val="15"/>
              </w:rPr>
              <w:t> </w:t>
            </w:r>
            <w:r>
              <w:rPr>
                <w:color w:val="231F20"/>
                <w:spacing w:val="-2"/>
                <w:sz w:val="15"/>
              </w:rPr>
              <w:t>mutations</w:t>
            </w:r>
          </w:p>
          <w:p>
            <w:pPr>
              <w:pStyle w:val="TableParagraph"/>
              <w:numPr>
                <w:ilvl w:val="0"/>
                <w:numId w:val="99"/>
              </w:numPr>
              <w:tabs>
                <w:tab w:pos="223" w:val="left" w:leader="none"/>
              </w:tabs>
              <w:spacing w:line="168" w:lineRule="exact" w:before="0" w:after="0"/>
              <w:ind w:left="223" w:right="0" w:hanging="149"/>
              <w:jc w:val="left"/>
              <w:rPr>
                <w:sz w:val="15"/>
              </w:rPr>
            </w:pPr>
            <w:r>
              <w:rPr>
                <w:color w:val="231F20"/>
                <w:sz w:val="15"/>
              </w:rPr>
              <w:t>Reduced</w:t>
            </w:r>
            <w:r>
              <w:rPr>
                <w:color w:val="231F20"/>
                <w:spacing w:val="-7"/>
                <w:sz w:val="15"/>
              </w:rPr>
              <w:t> </w:t>
            </w:r>
            <w:r>
              <w:rPr>
                <w:color w:val="231F20"/>
                <w:sz w:val="15"/>
              </w:rPr>
              <w:t>receptor</w:t>
            </w:r>
            <w:r>
              <w:rPr>
                <w:color w:val="231F20"/>
                <w:spacing w:val="-6"/>
                <w:sz w:val="15"/>
              </w:rPr>
              <w:t> </w:t>
            </w:r>
            <w:r>
              <w:rPr>
                <w:color w:val="231F20"/>
                <w:sz w:val="15"/>
              </w:rPr>
              <w:t>expression</w:t>
            </w:r>
            <w:r>
              <w:rPr>
                <w:color w:val="231F20"/>
                <w:spacing w:val="-7"/>
                <w:sz w:val="15"/>
              </w:rPr>
              <w:t> </w:t>
            </w:r>
            <w:r>
              <w:rPr>
                <w:color w:val="231F20"/>
                <w:sz w:val="15"/>
              </w:rPr>
              <w:t>with</w:t>
            </w:r>
            <w:r>
              <w:rPr>
                <w:color w:val="231F20"/>
                <w:spacing w:val="-6"/>
                <w:sz w:val="15"/>
              </w:rPr>
              <w:t> </w:t>
            </w:r>
            <w:r>
              <w:rPr>
                <w:color w:val="231F20"/>
                <w:sz w:val="15"/>
              </w:rPr>
              <w:t>plectin</w:t>
            </w:r>
            <w:r>
              <w:rPr>
                <w:color w:val="231F20"/>
                <w:spacing w:val="-6"/>
                <w:sz w:val="15"/>
              </w:rPr>
              <w:t> </w:t>
            </w:r>
            <w:r>
              <w:rPr>
                <w:color w:val="231F20"/>
                <w:spacing w:val="-2"/>
                <w:sz w:val="15"/>
              </w:rPr>
              <w:t>deficiency</w:t>
            </w:r>
          </w:p>
          <w:p>
            <w:pPr>
              <w:pStyle w:val="TableParagraph"/>
              <w:numPr>
                <w:ilvl w:val="0"/>
                <w:numId w:val="99"/>
              </w:numPr>
              <w:tabs>
                <w:tab w:pos="223" w:val="left" w:leader="none"/>
              </w:tabs>
              <w:spacing w:line="230" w:lineRule="auto" w:before="3" w:after="0"/>
              <w:ind w:left="223" w:right="98" w:hanging="150"/>
              <w:jc w:val="left"/>
              <w:rPr>
                <w:sz w:val="15"/>
              </w:rPr>
            </w:pPr>
            <w:r>
              <w:rPr>
                <w:color w:val="231F20"/>
                <w:spacing w:val="-2"/>
                <w:sz w:val="15"/>
              </w:rPr>
              <w:t>Primary</w:t>
            </w:r>
            <w:r>
              <w:rPr>
                <w:color w:val="231F20"/>
                <w:spacing w:val="-10"/>
                <w:sz w:val="15"/>
              </w:rPr>
              <w:t> </w:t>
            </w:r>
            <w:r>
              <w:rPr>
                <w:color w:val="231F20"/>
                <w:spacing w:val="-2"/>
                <w:sz w:val="15"/>
              </w:rPr>
              <w:t>acetylcholine</w:t>
            </w:r>
            <w:r>
              <w:rPr>
                <w:color w:val="231F20"/>
                <w:spacing w:val="-9"/>
                <w:sz w:val="15"/>
              </w:rPr>
              <w:t> </w:t>
            </w:r>
            <w:r>
              <w:rPr>
                <w:color w:val="231F20"/>
                <w:spacing w:val="-2"/>
                <w:sz w:val="15"/>
              </w:rPr>
              <w:t>receptor</w:t>
            </w:r>
            <w:r>
              <w:rPr>
                <w:color w:val="231F20"/>
                <w:spacing w:val="-9"/>
                <w:sz w:val="15"/>
              </w:rPr>
              <w:t> </w:t>
            </w:r>
            <w:r>
              <w:rPr>
                <w:color w:val="231F20"/>
                <w:spacing w:val="-2"/>
                <w:sz w:val="15"/>
              </w:rPr>
              <w:t>kinetic</w:t>
            </w:r>
            <w:r>
              <w:rPr>
                <w:color w:val="231F20"/>
                <w:spacing w:val="-10"/>
                <w:sz w:val="15"/>
              </w:rPr>
              <w:t> </w:t>
            </w:r>
            <w:r>
              <w:rPr>
                <w:color w:val="231F20"/>
                <w:spacing w:val="-2"/>
                <w:sz w:val="15"/>
              </w:rPr>
              <w:t>abnormality</w:t>
            </w:r>
            <w:r>
              <w:rPr>
                <w:color w:val="231F20"/>
                <w:spacing w:val="-9"/>
                <w:sz w:val="15"/>
              </w:rPr>
              <w:t> </w:t>
            </w:r>
            <w:r>
              <w:rPr>
                <w:color w:val="231F20"/>
                <w:spacing w:val="-2"/>
                <w:sz w:val="15"/>
              </w:rPr>
              <w:t>with</w:t>
            </w:r>
            <w:r>
              <w:rPr>
                <w:color w:val="231F20"/>
                <w:spacing w:val="-9"/>
                <w:sz w:val="15"/>
              </w:rPr>
              <w:t> </w:t>
            </w:r>
            <w:r>
              <w:rPr>
                <w:color w:val="231F20"/>
                <w:spacing w:val="-2"/>
                <w:sz w:val="15"/>
              </w:rPr>
              <w:t>or</w:t>
            </w:r>
            <w:r>
              <w:rPr>
                <w:color w:val="231F20"/>
                <w:spacing w:val="-10"/>
                <w:sz w:val="15"/>
              </w:rPr>
              <w:t> </w:t>
            </w:r>
            <w:r>
              <w:rPr>
                <w:color w:val="231F20"/>
                <w:spacing w:val="-2"/>
                <w:sz w:val="15"/>
              </w:rPr>
              <w:t>without </w:t>
            </w:r>
            <w:r>
              <w:rPr>
                <w:color w:val="231F20"/>
                <w:sz w:val="15"/>
              </w:rPr>
              <w:t>acetylcholine receptor deficiency</w:t>
            </w:r>
          </w:p>
          <w:p>
            <w:pPr>
              <w:pStyle w:val="TableParagraph"/>
              <w:numPr>
                <w:ilvl w:val="0"/>
                <w:numId w:val="99"/>
              </w:numPr>
              <w:tabs>
                <w:tab w:pos="223" w:val="left" w:leader="none"/>
              </w:tabs>
              <w:spacing w:line="167" w:lineRule="exact" w:before="0" w:after="0"/>
              <w:ind w:left="223" w:right="0" w:hanging="149"/>
              <w:jc w:val="left"/>
              <w:rPr>
                <w:sz w:val="15"/>
              </w:rPr>
            </w:pPr>
            <w:r>
              <w:rPr>
                <w:color w:val="231F20"/>
                <w:spacing w:val="-2"/>
                <w:sz w:val="15"/>
              </w:rPr>
              <w:t>Slow-channel</w:t>
            </w:r>
            <w:r>
              <w:rPr>
                <w:color w:val="231F20"/>
                <w:spacing w:val="7"/>
                <w:sz w:val="15"/>
              </w:rPr>
              <w:t> </w:t>
            </w:r>
            <w:r>
              <w:rPr>
                <w:color w:val="231F20"/>
                <w:spacing w:val="-2"/>
                <w:sz w:val="15"/>
              </w:rPr>
              <w:t>syndrome</w:t>
            </w:r>
          </w:p>
          <w:p>
            <w:pPr>
              <w:pStyle w:val="TableParagraph"/>
              <w:numPr>
                <w:ilvl w:val="0"/>
                <w:numId w:val="99"/>
              </w:numPr>
              <w:tabs>
                <w:tab w:pos="223" w:val="left" w:leader="none"/>
              </w:tabs>
              <w:spacing w:line="168" w:lineRule="exact" w:before="0" w:after="0"/>
              <w:ind w:left="223" w:right="0" w:hanging="149"/>
              <w:jc w:val="left"/>
              <w:rPr>
                <w:sz w:val="15"/>
              </w:rPr>
            </w:pPr>
            <w:r>
              <w:rPr>
                <w:color w:val="231F20"/>
                <w:spacing w:val="-2"/>
                <w:sz w:val="15"/>
              </w:rPr>
              <w:t>Fast-channel</w:t>
            </w:r>
            <w:r>
              <w:rPr>
                <w:color w:val="231F20"/>
                <w:spacing w:val="-1"/>
                <w:sz w:val="15"/>
              </w:rPr>
              <w:t> </w:t>
            </w:r>
            <w:r>
              <w:rPr>
                <w:color w:val="231F20"/>
                <w:spacing w:val="-2"/>
                <w:sz w:val="15"/>
              </w:rPr>
              <w:t>syndrome</w:t>
            </w:r>
          </w:p>
          <w:p>
            <w:pPr>
              <w:pStyle w:val="TableParagraph"/>
              <w:numPr>
                <w:ilvl w:val="0"/>
                <w:numId w:val="99"/>
              </w:numPr>
              <w:tabs>
                <w:tab w:pos="223" w:val="left" w:leader="none"/>
              </w:tabs>
              <w:spacing w:line="168" w:lineRule="exact" w:before="0" w:after="0"/>
              <w:ind w:left="223" w:right="0" w:hanging="149"/>
              <w:jc w:val="left"/>
              <w:rPr>
                <w:sz w:val="15"/>
              </w:rPr>
            </w:pPr>
            <w:r>
              <w:rPr>
                <w:color w:val="231F20"/>
                <w:sz w:val="15"/>
              </w:rPr>
              <w:t>Sodium-channel</w:t>
            </w:r>
            <w:r>
              <w:rPr>
                <w:color w:val="231F20"/>
                <w:spacing w:val="1"/>
                <w:sz w:val="15"/>
              </w:rPr>
              <w:t> </w:t>
            </w:r>
            <w:r>
              <w:rPr>
                <w:color w:val="231F20"/>
                <w:spacing w:val="-2"/>
                <w:sz w:val="15"/>
              </w:rPr>
              <w:t>mutations</w:t>
            </w:r>
          </w:p>
          <w:p>
            <w:pPr>
              <w:pStyle w:val="TableParagraph"/>
              <w:numPr>
                <w:ilvl w:val="0"/>
                <w:numId w:val="99"/>
              </w:numPr>
              <w:tabs>
                <w:tab w:pos="223" w:val="left" w:leader="none"/>
              </w:tabs>
              <w:spacing w:line="171" w:lineRule="exact" w:before="0" w:after="0"/>
              <w:ind w:left="223" w:right="0" w:hanging="149"/>
              <w:jc w:val="left"/>
              <w:rPr>
                <w:sz w:val="15"/>
              </w:rPr>
            </w:pPr>
            <w:r>
              <w:rPr>
                <w:i/>
                <w:color w:val="231F20"/>
                <w:sz w:val="15"/>
              </w:rPr>
              <w:t>Dok7</w:t>
            </w:r>
            <w:r>
              <w:rPr>
                <w:i/>
                <w:color w:val="231F20"/>
                <w:spacing w:val="20"/>
                <w:sz w:val="15"/>
              </w:rPr>
              <w:t> </w:t>
            </w:r>
            <w:r>
              <w:rPr>
                <w:color w:val="231F20"/>
                <w:spacing w:val="-2"/>
                <w:sz w:val="15"/>
              </w:rPr>
              <w:t>mutations</w:t>
            </w:r>
          </w:p>
        </w:tc>
      </w:tr>
    </w:tbl>
    <w:p>
      <w:pPr>
        <w:pStyle w:val="TableParagraph"/>
        <w:spacing w:after="0" w:line="171" w:lineRule="exact"/>
        <w:jc w:val="left"/>
        <w:rPr>
          <w:sz w:val="15"/>
        </w:rPr>
        <w:sectPr>
          <w:pgSz w:w="11900" w:h="16840"/>
          <w:pgMar w:header="452" w:footer="0" w:top="1180" w:bottom="280" w:left="708" w:right="566"/>
        </w:sectPr>
      </w:pPr>
    </w:p>
    <w:p>
      <w:pPr>
        <w:pStyle w:val="BodyText"/>
        <w:spacing w:before="205"/>
        <w:rPr>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029" name="Group 1029"/>
                <wp:cNvGraphicFramePr>
                  <a:graphicFrameLocks/>
                </wp:cNvGraphicFramePr>
                <a:graphic>
                  <a:graphicData uri="http://schemas.microsoft.com/office/word/2010/wordprocessingGroup">
                    <wpg:wgp>
                      <wpg:cNvPr id="1029" name="Group 1029"/>
                      <wpg:cNvGrpSpPr/>
                      <wpg:grpSpPr>
                        <a:xfrm>
                          <a:off x="0" y="0"/>
                          <a:ext cx="6185535" cy="170815"/>
                          <a:chExt cx="6185535" cy="170815"/>
                        </a:xfrm>
                      </wpg:grpSpPr>
                      <wps:wsp>
                        <wps:cNvPr id="1030" name="Graphic 1030"/>
                        <wps:cNvSpPr/>
                        <wps:spPr>
                          <a:xfrm>
                            <a:off x="6161574"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31" name="Graphic 1031"/>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32" name="Textbox 1032"/>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2992</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28" coordorigin="0,0" coordsize="9741,269">
                <v:line style="position:absolute" from="9703,145" to="9741,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29" filled="false" stroked="false">
                  <v:textbox inset="0,0,0,0">
                    <w:txbxContent>
                      <w:p>
                        <w:pPr>
                          <w:spacing w:before="6"/>
                          <w:ind w:left="-1" w:right="0" w:firstLine="0"/>
                          <w:jc w:val="left"/>
                          <w:rPr>
                            <w:sz w:val="18"/>
                          </w:rPr>
                        </w:pPr>
                        <w:r>
                          <w:rPr>
                            <w:b/>
                            <w:color w:val="231F20"/>
                            <w:w w:val="105"/>
                            <w:sz w:val="18"/>
                          </w:rPr>
                          <w:t>2992</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v:group>
            </w:pict>
          </mc:Fallback>
        </mc:AlternateContent>
      </w:r>
      <w:r>
        <w:rPr>
          <w:sz w:val="20"/>
        </w:rPr>
      </w:r>
    </w:p>
    <w:p>
      <w:pPr>
        <w:pStyle w:val="BodyText"/>
        <w:spacing w:before="10"/>
        <w:rPr>
          <w:sz w:val="18"/>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9"/>
        <w:gridCol w:w="2736"/>
        <w:gridCol w:w="1125"/>
        <w:gridCol w:w="988"/>
        <w:gridCol w:w="967"/>
        <w:gridCol w:w="898"/>
        <w:gridCol w:w="1059"/>
      </w:tblGrid>
      <w:tr>
        <w:trPr>
          <w:trHeight w:val="373" w:hRule="atLeast"/>
        </w:trPr>
        <w:tc>
          <w:tcPr>
            <w:tcW w:w="9742" w:type="dxa"/>
            <w:gridSpan w:val="7"/>
            <w:shd w:val="clear" w:color="auto" w:fill="231F20"/>
          </w:tcPr>
          <w:p>
            <w:pPr>
              <w:pStyle w:val="TableParagraph"/>
              <w:spacing w:before="89"/>
              <w:ind w:left="111"/>
              <w:rPr>
                <w:sz w:val="16"/>
              </w:rPr>
            </w:pPr>
            <w:r>
              <w:rPr>
                <w:b/>
                <w:color w:val="FFFFFF"/>
                <w:w w:val="105"/>
                <w:sz w:val="16"/>
              </w:rPr>
              <w:t>Table</w:t>
            </w:r>
            <w:r>
              <w:rPr>
                <w:b/>
                <w:color w:val="FFFFFF"/>
                <w:spacing w:val="7"/>
                <w:w w:val="105"/>
                <w:sz w:val="16"/>
              </w:rPr>
              <w:t> </w:t>
            </w:r>
            <w:r>
              <w:rPr>
                <w:b/>
                <w:color w:val="FFFFFF"/>
                <w:w w:val="105"/>
                <w:sz w:val="16"/>
              </w:rPr>
              <w:t>612-2</w:t>
            </w:r>
            <w:r>
              <w:rPr>
                <w:b/>
                <w:color w:val="FFFFFF"/>
                <w:spacing w:val="36"/>
                <w:w w:val="105"/>
                <w:sz w:val="16"/>
              </w:rPr>
              <w:t>  </w:t>
            </w:r>
            <w:r>
              <w:rPr>
                <w:color w:val="FFFFFF"/>
                <w:w w:val="105"/>
                <w:sz w:val="16"/>
              </w:rPr>
              <w:t>Distinctive</w:t>
            </w:r>
            <w:r>
              <w:rPr>
                <w:color w:val="FFFFFF"/>
                <w:spacing w:val="5"/>
                <w:w w:val="105"/>
                <w:sz w:val="16"/>
              </w:rPr>
              <w:t> </w:t>
            </w:r>
            <w:r>
              <w:rPr>
                <w:color w:val="FFFFFF"/>
                <w:w w:val="105"/>
                <w:sz w:val="16"/>
              </w:rPr>
              <w:t>Clinical</w:t>
            </w:r>
            <w:r>
              <w:rPr>
                <w:color w:val="FFFFFF"/>
                <w:spacing w:val="4"/>
                <w:w w:val="105"/>
                <w:sz w:val="16"/>
              </w:rPr>
              <w:t> </w:t>
            </w:r>
            <w:r>
              <w:rPr>
                <w:color w:val="FFFFFF"/>
                <w:w w:val="105"/>
                <w:sz w:val="16"/>
              </w:rPr>
              <w:t>and</w:t>
            </w:r>
            <w:r>
              <w:rPr>
                <w:color w:val="FFFFFF"/>
                <w:spacing w:val="4"/>
                <w:w w:val="105"/>
                <w:sz w:val="16"/>
              </w:rPr>
              <w:t> </w:t>
            </w:r>
            <w:r>
              <w:rPr>
                <w:color w:val="FFFFFF"/>
                <w:w w:val="105"/>
                <w:sz w:val="16"/>
              </w:rPr>
              <w:t>Electrodiagnostic</w:t>
            </w:r>
            <w:r>
              <w:rPr>
                <w:color w:val="FFFFFF"/>
                <w:spacing w:val="3"/>
                <w:w w:val="105"/>
                <w:sz w:val="16"/>
              </w:rPr>
              <w:t> </w:t>
            </w:r>
            <w:r>
              <w:rPr>
                <w:color w:val="FFFFFF"/>
                <w:w w:val="105"/>
                <w:sz w:val="16"/>
              </w:rPr>
              <w:t>Features</w:t>
            </w:r>
            <w:r>
              <w:rPr>
                <w:color w:val="FFFFFF"/>
                <w:spacing w:val="4"/>
                <w:w w:val="105"/>
                <w:sz w:val="16"/>
              </w:rPr>
              <w:t> </w:t>
            </w:r>
            <w:r>
              <w:rPr>
                <w:color w:val="FFFFFF"/>
                <w:w w:val="105"/>
                <w:sz w:val="16"/>
              </w:rPr>
              <w:t>of</w:t>
            </w:r>
            <w:r>
              <w:rPr>
                <w:color w:val="FFFFFF"/>
                <w:spacing w:val="4"/>
                <w:w w:val="105"/>
                <w:sz w:val="16"/>
              </w:rPr>
              <w:t> </w:t>
            </w:r>
            <w:r>
              <w:rPr>
                <w:color w:val="FFFFFF"/>
                <w:w w:val="105"/>
                <w:sz w:val="16"/>
              </w:rPr>
              <w:t>Congenital</w:t>
            </w:r>
            <w:r>
              <w:rPr>
                <w:color w:val="FFFFFF"/>
                <w:spacing w:val="4"/>
                <w:w w:val="105"/>
                <w:sz w:val="16"/>
              </w:rPr>
              <w:t> </w:t>
            </w:r>
            <w:r>
              <w:rPr>
                <w:color w:val="FFFFFF"/>
                <w:w w:val="105"/>
                <w:sz w:val="16"/>
              </w:rPr>
              <w:t>Myasthenic</w:t>
            </w:r>
            <w:r>
              <w:rPr>
                <w:color w:val="FFFFFF"/>
                <w:spacing w:val="4"/>
                <w:w w:val="105"/>
                <w:sz w:val="16"/>
              </w:rPr>
              <w:t> </w:t>
            </w:r>
            <w:r>
              <w:rPr>
                <w:color w:val="FFFFFF"/>
                <w:spacing w:val="-2"/>
                <w:w w:val="105"/>
                <w:sz w:val="16"/>
              </w:rPr>
              <w:t>Syndromes</w:t>
            </w:r>
          </w:p>
        </w:tc>
      </w:tr>
      <w:tr>
        <w:trPr>
          <w:trHeight w:val="262" w:hRule="atLeast"/>
        </w:trPr>
        <w:tc>
          <w:tcPr>
            <w:tcW w:w="1969" w:type="dxa"/>
            <w:vMerge w:val="restart"/>
            <w:tcBorders>
              <w:bottom w:val="single" w:sz="4" w:space="0" w:color="231F20"/>
            </w:tcBorders>
            <w:shd w:val="clear" w:color="auto" w:fill="E8F5F1"/>
          </w:tcPr>
          <w:p>
            <w:pPr>
              <w:pStyle w:val="TableParagraph"/>
              <w:rPr>
                <w:rFonts w:ascii="Times New Roman"/>
                <w:sz w:val="14"/>
              </w:rPr>
            </w:pPr>
          </w:p>
        </w:tc>
        <w:tc>
          <w:tcPr>
            <w:tcW w:w="2736" w:type="dxa"/>
            <w:vMerge w:val="restart"/>
            <w:tcBorders>
              <w:bottom w:val="single" w:sz="4" w:space="0" w:color="231F20"/>
            </w:tcBorders>
            <w:shd w:val="clear" w:color="auto" w:fill="E8F5F1"/>
          </w:tcPr>
          <w:p>
            <w:pPr>
              <w:pStyle w:val="TableParagraph"/>
              <w:spacing w:before="47" w:after="46"/>
              <w:ind w:left="27"/>
              <w:jc w:val="center"/>
              <w:rPr>
                <w:b/>
                <w:sz w:val="15"/>
              </w:rPr>
            </w:pPr>
            <w:r>
              <w:rPr>
                <w:b/>
                <w:color w:val="231F20"/>
                <w:spacing w:val="-2"/>
                <w:sz w:val="15"/>
              </w:rPr>
              <w:t>Presynaptic</w:t>
            </w:r>
          </w:p>
          <w:p>
            <w:pPr>
              <w:pStyle w:val="TableParagraph"/>
              <w:spacing w:line="20" w:lineRule="exact"/>
              <w:ind w:left="101" w:right="-58"/>
              <w:rPr>
                <w:sz w:val="2"/>
              </w:rPr>
            </w:pPr>
            <w:r>
              <w:rPr>
                <w:sz w:val="2"/>
              </w:rPr>
              <mc:AlternateContent>
                <mc:Choice Requires="wps">
                  <w:drawing>
                    <wp:inline distT="0" distB="0" distL="0" distR="0">
                      <wp:extent cx="1673225" cy="6350"/>
                      <wp:effectExtent l="9525" t="0" r="0" b="3175"/>
                      <wp:docPr id="1033" name="Group 1033"/>
                      <wp:cNvGraphicFramePr>
                        <a:graphicFrameLocks/>
                      </wp:cNvGraphicFramePr>
                      <a:graphic>
                        <a:graphicData uri="http://schemas.microsoft.com/office/word/2010/wordprocessingGroup">
                          <wpg:wgp>
                            <wpg:cNvPr id="1033" name="Group 1033"/>
                            <wpg:cNvGrpSpPr/>
                            <wpg:grpSpPr>
                              <a:xfrm>
                                <a:off x="0" y="0"/>
                                <a:ext cx="1673225" cy="6350"/>
                                <a:chExt cx="1673225" cy="6350"/>
                              </a:xfrm>
                            </wpg:grpSpPr>
                            <wps:wsp>
                              <wps:cNvPr id="1034" name="Graphic 1034"/>
                              <wps:cNvSpPr/>
                              <wps:spPr>
                                <a:xfrm>
                                  <a:off x="0" y="2962"/>
                                  <a:ext cx="1673225" cy="1270"/>
                                </a:xfrm>
                                <a:custGeom>
                                  <a:avLst/>
                                  <a:gdLst/>
                                  <a:ahLst/>
                                  <a:cxnLst/>
                                  <a:rect l="l" t="t" r="r" b="b"/>
                                  <a:pathLst>
                                    <a:path w="1673225" h="0">
                                      <a:moveTo>
                                        <a:pt x="0" y="0"/>
                                      </a:moveTo>
                                      <a:lnTo>
                                        <a:pt x="1672999" y="0"/>
                                      </a:lnTo>
                                    </a:path>
                                  </a:pathLst>
                                </a:custGeom>
                                <a:ln w="592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31.75pt;height:.5pt;mso-position-horizontal-relative:char;mso-position-vertical-relative:line" id="docshapegroup830" coordorigin="0,0" coordsize="2635,10">
                      <v:line style="position:absolute" from="0,5" to="2635,5" stroked="true" strokeweight=".466507pt" strokecolor="#231f20">
                        <v:stroke dashstyle="solid"/>
                      </v:line>
                    </v:group>
                  </w:pict>
                </mc:Fallback>
              </mc:AlternateContent>
            </w:r>
            <w:r>
              <w:rPr>
                <w:sz w:val="2"/>
              </w:rPr>
            </w:r>
          </w:p>
          <w:p>
            <w:pPr>
              <w:pStyle w:val="TableParagraph"/>
              <w:spacing w:line="230" w:lineRule="auto" w:before="28"/>
              <w:ind w:left="101" w:right="66" w:firstLine="479"/>
              <w:rPr>
                <w:b/>
                <w:sz w:val="15"/>
              </w:rPr>
            </w:pPr>
            <w:r>
              <w:rPr>
                <w:b/>
                <w:color w:val="231F20"/>
                <w:spacing w:val="-2"/>
                <w:w w:val="110"/>
                <w:sz w:val="15"/>
              </w:rPr>
              <w:t>CHOLINE </w:t>
            </w:r>
            <w:r>
              <w:rPr>
                <w:b/>
                <w:color w:val="231F20"/>
                <w:w w:val="110"/>
                <w:sz w:val="15"/>
              </w:rPr>
              <w:t>ACETYLTRANSFERASE</w:t>
            </w:r>
            <w:r>
              <w:rPr>
                <w:b/>
                <w:color w:val="231F20"/>
                <w:spacing w:val="46"/>
                <w:w w:val="110"/>
                <w:sz w:val="15"/>
              </w:rPr>
              <w:t> </w:t>
            </w:r>
            <w:r>
              <w:rPr>
                <w:b/>
                <w:color w:val="231F20"/>
                <w:w w:val="110"/>
                <w:sz w:val="15"/>
              </w:rPr>
              <w:t>LEMS-</w:t>
            </w:r>
            <w:r>
              <w:rPr>
                <w:b/>
                <w:color w:val="231F20"/>
                <w:w w:val="110"/>
                <w:sz w:val="15"/>
              </w:rPr>
              <w:t>LIKE</w:t>
            </w:r>
          </w:p>
          <w:p>
            <w:pPr>
              <w:pStyle w:val="TableParagraph"/>
              <w:tabs>
                <w:tab w:pos="2050" w:val="left" w:leader="none"/>
              </w:tabs>
              <w:spacing w:line="170" w:lineRule="exact"/>
              <w:ind w:left="471"/>
              <w:rPr>
                <w:b/>
                <w:sz w:val="15"/>
              </w:rPr>
            </w:pPr>
            <w:r>
              <w:rPr>
                <w:b/>
                <w:color w:val="231F20"/>
                <w:spacing w:val="-2"/>
                <w:w w:val="110"/>
                <w:sz w:val="15"/>
              </w:rPr>
              <w:t>DEFICIENCY</w:t>
            </w:r>
            <w:r>
              <w:rPr>
                <w:b/>
                <w:color w:val="231F20"/>
                <w:sz w:val="15"/>
              </w:rPr>
              <w:tab/>
            </w:r>
            <w:r>
              <w:rPr>
                <w:b/>
                <w:color w:val="231F20"/>
                <w:spacing w:val="-4"/>
                <w:w w:val="110"/>
                <w:sz w:val="15"/>
              </w:rPr>
              <w:t>FORM</w:t>
            </w:r>
          </w:p>
        </w:tc>
        <w:tc>
          <w:tcPr>
            <w:tcW w:w="1125" w:type="dxa"/>
            <w:vMerge w:val="restart"/>
            <w:tcBorders>
              <w:bottom w:val="single" w:sz="4" w:space="0" w:color="231F20"/>
            </w:tcBorders>
            <w:shd w:val="clear" w:color="auto" w:fill="E8F5F1"/>
          </w:tcPr>
          <w:p>
            <w:pPr>
              <w:pStyle w:val="TableParagraph"/>
              <w:spacing w:before="47" w:after="46"/>
              <w:ind w:left="2" w:right="73"/>
              <w:jc w:val="center"/>
              <w:rPr>
                <w:b/>
                <w:sz w:val="15"/>
              </w:rPr>
            </w:pPr>
            <w:r>
              <w:rPr>
                <w:b/>
                <w:color w:val="231F20"/>
                <w:spacing w:val="-2"/>
                <w:sz w:val="15"/>
              </w:rPr>
              <w:t>Synaptic</w:t>
            </w:r>
          </w:p>
          <w:p>
            <w:pPr>
              <w:pStyle w:val="TableParagraph"/>
              <w:spacing w:line="20" w:lineRule="exact"/>
              <w:ind w:left="75"/>
              <w:rPr>
                <w:sz w:val="2"/>
              </w:rPr>
            </w:pPr>
            <w:r>
              <w:rPr>
                <w:sz w:val="2"/>
              </w:rPr>
              <mc:AlternateContent>
                <mc:Choice Requires="wps">
                  <w:drawing>
                    <wp:inline distT="0" distB="0" distL="0" distR="0">
                      <wp:extent cx="619760" cy="6350"/>
                      <wp:effectExtent l="9525" t="0" r="0" b="3175"/>
                      <wp:docPr id="1035" name="Group 1035"/>
                      <wp:cNvGraphicFramePr>
                        <a:graphicFrameLocks/>
                      </wp:cNvGraphicFramePr>
                      <a:graphic>
                        <a:graphicData uri="http://schemas.microsoft.com/office/word/2010/wordprocessingGroup">
                          <wpg:wgp>
                            <wpg:cNvPr id="1035" name="Group 1035"/>
                            <wpg:cNvGrpSpPr/>
                            <wpg:grpSpPr>
                              <a:xfrm>
                                <a:off x="0" y="0"/>
                                <a:ext cx="619760" cy="6350"/>
                                <a:chExt cx="619760" cy="6350"/>
                              </a:xfrm>
                            </wpg:grpSpPr>
                            <wps:wsp>
                              <wps:cNvPr id="1036" name="Graphic 1036"/>
                              <wps:cNvSpPr/>
                              <wps:spPr>
                                <a:xfrm>
                                  <a:off x="0" y="2962"/>
                                  <a:ext cx="619760" cy="1270"/>
                                </a:xfrm>
                                <a:custGeom>
                                  <a:avLst/>
                                  <a:gdLst/>
                                  <a:ahLst/>
                                  <a:cxnLst/>
                                  <a:rect l="l" t="t" r="r" b="b"/>
                                  <a:pathLst>
                                    <a:path w="619760" h="0">
                                      <a:moveTo>
                                        <a:pt x="0" y="0"/>
                                      </a:moveTo>
                                      <a:lnTo>
                                        <a:pt x="619717" y="0"/>
                                      </a:lnTo>
                                    </a:path>
                                  </a:pathLst>
                                </a:custGeom>
                                <a:ln w="592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8.8pt;height:.5pt;mso-position-horizontal-relative:char;mso-position-vertical-relative:line" id="docshapegroup831" coordorigin="0,0" coordsize="976,10">
                      <v:line style="position:absolute" from="0,5" to="976,5" stroked="true" strokeweight=".466507pt" strokecolor="#231f20">
                        <v:stroke dashstyle="solid"/>
                      </v:line>
                    </v:group>
                  </w:pict>
                </mc:Fallback>
              </mc:AlternateContent>
            </w:r>
            <w:r>
              <w:rPr>
                <w:sz w:val="2"/>
              </w:rPr>
            </w:r>
          </w:p>
          <w:p>
            <w:pPr>
              <w:pStyle w:val="TableParagraph"/>
              <w:spacing w:before="22"/>
              <w:rPr>
                <w:sz w:val="15"/>
              </w:rPr>
            </w:pPr>
          </w:p>
          <w:p>
            <w:pPr>
              <w:pStyle w:val="TableParagraph"/>
              <w:spacing w:line="230" w:lineRule="auto"/>
              <w:ind w:left="75" w:right="146" w:hanging="1"/>
              <w:jc w:val="center"/>
              <w:rPr>
                <w:b/>
                <w:sz w:val="15"/>
              </w:rPr>
            </w:pPr>
            <w:r>
              <w:rPr>
                <w:b/>
                <w:color w:val="231F20"/>
                <w:spacing w:val="-4"/>
                <w:w w:val="110"/>
                <w:sz w:val="15"/>
              </w:rPr>
              <w:t>AChE </w:t>
            </w:r>
            <w:r>
              <w:rPr>
                <w:b/>
                <w:color w:val="231F20"/>
                <w:spacing w:val="-2"/>
                <w:w w:val="110"/>
                <w:sz w:val="15"/>
              </w:rPr>
              <w:t>DEFICIENCY</w:t>
            </w:r>
          </w:p>
        </w:tc>
        <w:tc>
          <w:tcPr>
            <w:tcW w:w="3912" w:type="dxa"/>
            <w:gridSpan w:val="4"/>
            <w:tcBorders>
              <w:bottom w:val="single" w:sz="4" w:space="0" w:color="231F20"/>
            </w:tcBorders>
            <w:shd w:val="clear" w:color="auto" w:fill="E8F5F1"/>
          </w:tcPr>
          <w:p>
            <w:pPr>
              <w:pStyle w:val="TableParagraph"/>
              <w:spacing w:before="47"/>
              <w:ind w:right="72"/>
              <w:jc w:val="center"/>
              <w:rPr>
                <w:b/>
                <w:sz w:val="15"/>
              </w:rPr>
            </w:pPr>
            <w:r>
              <w:rPr>
                <w:b/>
                <w:color w:val="231F20"/>
                <w:spacing w:val="-2"/>
                <w:sz w:val="15"/>
              </w:rPr>
              <w:t>Postsynaptic</w:t>
            </w:r>
          </w:p>
        </w:tc>
      </w:tr>
      <w:tr>
        <w:trPr>
          <w:trHeight w:val="583" w:hRule="atLeast"/>
        </w:trPr>
        <w:tc>
          <w:tcPr>
            <w:tcW w:w="1969" w:type="dxa"/>
            <w:vMerge/>
            <w:tcBorders>
              <w:top w:val="nil"/>
              <w:bottom w:val="single" w:sz="4" w:space="0" w:color="231F20"/>
            </w:tcBorders>
            <w:shd w:val="clear" w:color="auto" w:fill="E8F5F1"/>
          </w:tcPr>
          <w:p>
            <w:pPr>
              <w:rPr>
                <w:sz w:val="2"/>
                <w:szCs w:val="2"/>
              </w:rPr>
            </w:pPr>
          </w:p>
        </w:tc>
        <w:tc>
          <w:tcPr>
            <w:tcW w:w="2736" w:type="dxa"/>
            <w:vMerge/>
            <w:tcBorders>
              <w:top w:val="nil"/>
              <w:bottom w:val="single" w:sz="4" w:space="0" w:color="231F20"/>
            </w:tcBorders>
            <w:shd w:val="clear" w:color="auto" w:fill="E8F5F1"/>
          </w:tcPr>
          <w:p>
            <w:pPr>
              <w:rPr>
                <w:sz w:val="2"/>
                <w:szCs w:val="2"/>
              </w:rPr>
            </w:pPr>
          </w:p>
        </w:tc>
        <w:tc>
          <w:tcPr>
            <w:tcW w:w="1125" w:type="dxa"/>
            <w:vMerge/>
            <w:tcBorders>
              <w:top w:val="nil"/>
              <w:bottom w:val="single" w:sz="4" w:space="0" w:color="231F20"/>
            </w:tcBorders>
            <w:shd w:val="clear" w:color="auto" w:fill="E8F5F1"/>
          </w:tcPr>
          <w:p>
            <w:pPr>
              <w:rPr>
                <w:sz w:val="2"/>
                <w:szCs w:val="2"/>
              </w:rPr>
            </w:pPr>
          </w:p>
        </w:tc>
        <w:tc>
          <w:tcPr>
            <w:tcW w:w="988" w:type="dxa"/>
            <w:tcBorders>
              <w:top w:val="single" w:sz="4" w:space="0" w:color="231F20"/>
              <w:bottom w:val="single" w:sz="4" w:space="0" w:color="231F20"/>
            </w:tcBorders>
            <w:shd w:val="clear" w:color="auto" w:fill="E8F5F1"/>
          </w:tcPr>
          <w:p>
            <w:pPr>
              <w:pStyle w:val="TableParagraph"/>
              <w:spacing w:line="230" w:lineRule="auto" w:before="43"/>
              <w:ind w:right="68"/>
              <w:jc w:val="center"/>
              <w:rPr>
                <w:b/>
                <w:sz w:val="15"/>
              </w:rPr>
            </w:pPr>
            <w:r>
              <w:rPr>
                <w:b/>
                <w:color w:val="231F20"/>
                <w:spacing w:val="-2"/>
                <w:w w:val="110"/>
                <w:sz w:val="15"/>
              </w:rPr>
              <w:t>PRIMARY </w:t>
            </w:r>
            <w:r>
              <w:rPr>
                <w:b/>
                <w:color w:val="231F20"/>
                <w:spacing w:val="-4"/>
                <w:w w:val="110"/>
                <w:sz w:val="15"/>
              </w:rPr>
              <w:t>AChR </w:t>
            </w:r>
            <w:r>
              <w:rPr>
                <w:b/>
                <w:color w:val="231F20"/>
                <w:spacing w:val="-2"/>
                <w:w w:val="110"/>
                <w:sz w:val="15"/>
              </w:rPr>
              <w:t>DEFICIENCY</w:t>
            </w:r>
          </w:p>
        </w:tc>
        <w:tc>
          <w:tcPr>
            <w:tcW w:w="967" w:type="dxa"/>
            <w:tcBorders>
              <w:top w:val="single" w:sz="4" w:space="0" w:color="231F20"/>
              <w:bottom w:val="single" w:sz="4" w:space="0" w:color="231F20"/>
            </w:tcBorders>
            <w:shd w:val="clear" w:color="auto" w:fill="E8F5F1"/>
          </w:tcPr>
          <w:p>
            <w:pPr>
              <w:pStyle w:val="TableParagraph"/>
              <w:spacing w:line="230" w:lineRule="auto" w:before="43"/>
              <w:ind w:left="116" w:right="104" w:hanging="1"/>
              <w:jc w:val="center"/>
              <w:rPr>
                <w:b/>
                <w:sz w:val="15"/>
              </w:rPr>
            </w:pPr>
            <w:r>
              <w:rPr>
                <w:b/>
                <w:color w:val="231F20"/>
                <w:spacing w:val="-2"/>
                <w:w w:val="110"/>
                <w:sz w:val="15"/>
              </w:rPr>
              <w:t>SLOW- CHANNEL </w:t>
            </w:r>
            <w:r>
              <w:rPr>
                <w:b/>
                <w:color w:val="231F20"/>
                <w:spacing w:val="-4"/>
                <w:w w:val="110"/>
                <w:sz w:val="15"/>
              </w:rPr>
              <w:t>CMS</w:t>
            </w:r>
          </w:p>
        </w:tc>
        <w:tc>
          <w:tcPr>
            <w:tcW w:w="898" w:type="dxa"/>
            <w:tcBorders>
              <w:top w:val="single" w:sz="4" w:space="0" w:color="231F20"/>
              <w:bottom w:val="single" w:sz="4" w:space="0" w:color="231F20"/>
            </w:tcBorders>
            <w:shd w:val="clear" w:color="auto" w:fill="E8F5F1"/>
          </w:tcPr>
          <w:p>
            <w:pPr>
              <w:pStyle w:val="TableParagraph"/>
              <w:spacing w:line="230" w:lineRule="auto" w:before="43"/>
              <w:ind w:left="7"/>
              <w:jc w:val="center"/>
              <w:rPr>
                <w:b/>
                <w:sz w:val="15"/>
              </w:rPr>
            </w:pPr>
            <w:r>
              <w:rPr>
                <w:b/>
                <w:color w:val="231F20"/>
                <w:spacing w:val="-2"/>
                <w:w w:val="110"/>
                <w:sz w:val="15"/>
              </w:rPr>
              <w:t>FAST- CHANNEL </w:t>
            </w:r>
            <w:r>
              <w:rPr>
                <w:b/>
                <w:color w:val="231F20"/>
                <w:spacing w:val="-4"/>
                <w:w w:val="110"/>
                <w:sz w:val="15"/>
              </w:rPr>
              <w:t>CMS</w:t>
            </w:r>
          </w:p>
        </w:tc>
        <w:tc>
          <w:tcPr>
            <w:tcW w:w="1059" w:type="dxa"/>
            <w:tcBorders>
              <w:top w:val="single" w:sz="4" w:space="0" w:color="231F20"/>
              <w:bottom w:val="single" w:sz="4" w:space="0" w:color="231F20"/>
            </w:tcBorders>
            <w:shd w:val="clear" w:color="auto" w:fill="E8F5F1"/>
          </w:tcPr>
          <w:p>
            <w:pPr>
              <w:pStyle w:val="TableParagraph"/>
              <w:spacing w:before="31"/>
              <w:rPr>
                <w:sz w:val="15"/>
              </w:rPr>
            </w:pPr>
          </w:p>
          <w:p>
            <w:pPr>
              <w:pStyle w:val="TableParagraph"/>
              <w:spacing w:line="171" w:lineRule="exact"/>
              <w:jc w:val="center"/>
              <w:rPr>
                <w:b/>
                <w:i/>
                <w:sz w:val="15"/>
              </w:rPr>
            </w:pPr>
            <w:r>
              <w:rPr>
                <w:b/>
                <w:i/>
                <w:color w:val="231F20"/>
                <w:spacing w:val="-4"/>
                <w:w w:val="110"/>
                <w:sz w:val="15"/>
              </w:rPr>
              <w:t>DOK7</w:t>
            </w:r>
          </w:p>
          <w:p>
            <w:pPr>
              <w:pStyle w:val="TableParagraph"/>
              <w:spacing w:line="171" w:lineRule="exact"/>
              <w:jc w:val="center"/>
              <w:rPr>
                <w:b/>
                <w:sz w:val="15"/>
              </w:rPr>
            </w:pPr>
            <w:r>
              <w:rPr>
                <w:b/>
                <w:color w:val="231F20"/>
                <w:spacing w:val="-2"/>
                <w:w w:val="110"/>
                <w:sz w:val="15"/>
              </w:rPr>
              <w:t>MUTATIONS</w:t>
            </w:r>
          </w:p>
        </w:tc>
      </w:tr>
      <w:tr>
        <w:trPr>
          <w:trHeight w:val="425" w:hRule="atLeast"/>
        </w:trPr>
        <w:tc>
          <w:tcPr>
            <w:tcW w:w="1969" w:type="dxa"/>
            <w:tcBorders>
              <w:top w:val="single" w:sz="4" w:space="0" w:color="231F20"/>
              <w:bottom w:val="single" w:sz="4" w:space="0" w:color="FFFFFF"/>
            </w:tcBorders>
            <w:shd w:val="clear" w:color="auto" w:fill="E8F5F1"/>
          </w:tcPr>
          <w:p>
            <w:pPr>
              <w:pStyle w:val="TableParagraph"/>
              <w:spacing w:line="230" w:lineRule="auto" w:before="52"/>
              <w:ind w:left="186" w:right="98" w:hanging="112"/>
              <w:rPr>
                <w:sz w:val="15"/>
              </w:rPr>
            </w:pPr>
            <w:r>
              <w:rPr>
                <w:color w:val="231F20"/>
                <w:sz w:val="15"/>
              </w:rPr>
              <w:t>Autosomal</w:t>
            </w:r>
            <w:r>
              <w:rPr>
                <w:color w:val="231F20"/>
                <w:spacing w:val="-12"/>
                <w:sz w:val="15"/>
              </w:rPr>
              <w:t> </w:t>
            </w:r>
            <w:r>
              <w:rPr>
                <w:color w:val="231F20"/>
                <w:sz w:val="15"/>
              </w:rPr>
              <w:t>dominant </w:t>
            </w:r>
            <w:r>
              <w:rPr>
                <w:color w:val="231F20"/>
                <w:spacing w:val="-2"/>
                <w:sz w:val="15"/>
              </w:rPr>
              <w:t>inheritance</w:t>
            </w:r>
          </w:p>
        </w:tc>
        <w:tc>
          <w:tcPr>
            <w:tcW w:w="2736" w:type="dxa"/>
            <w:tcBorders>
              <w:top w:val="single" w:sz="4" w:space="0" w:color="231F20"/>
              <w:bottom w:val="single" w:sz="4" w:space="0" w:color="FFFFFF"/>
            </w:tcBorders>
            <w:shd w:val="clear" w:color="auto" w:fill="E8F5F1"/>
          </w:tcPr>
          <w:p>
            <w:pPr>
              <w:pStyle w:val="TableParagraph"/>
              <w:rPr>
                <w:rFonts w:ascii="Times New Roman"/>
                <w:sz w:val="14"/>
              </w:rPr>
            </w:pPr>
          </w:p>
        </w:tc>
        <w:tc>
          <w:tcPr>
            <w:tcW w:w="1125" w:type="dxa"/>
            <w:tcBorders>
              <w:top w:val="single" w:sz="4" w:space="0" w:color="231F20"/>
              <w:bottom w:val="single" w:sz="4" w:space="0" w:color="FFFFFF"/>
            </w:tcBorders>
            <w:shd w:val="clear" w:color="auto" w:fill="E8F5F1"/>
          </w:tcPr>
          <w:p>
            <w:pPr>
              <w:pStyle w:val="TableParagraph"/>
              <w:rPr>
                <w:rFonts w:ascii="Times New Roman"/>
                <w:sz w:val="14"/>
              </w:rPr>
            </w:pPr>
          </w:p>
        </w:tc>
        <w:tc>
          <w:tcPr>
            <w:tcW w:w="988" w:type="dxa"/>
            <w:tcBorders>
              <w:top w:val="single" w:sz="4" w:space="0" w:color="231F20"/>
              <w:bottom w:val="single" w:sz="4" w:space="0" w:color="FFFFFF"/>
            </w:tcBorders>
            <w:shd w:val="clear" w:color="auto" w:fill="E8F5F1"/>
          </w:tcPr>
          <w:p>
            <w:pPr>
              <w:pStyle w:val="TableParagraph"/>
              <w:rPr>
                <w:rFonts w:ascii="Times New Roman"/>
                <w:sz w:val="14"/>
              </w:rPr>
            </w:pPr>
          </w:p>
        </w:tc>
        <w:tc>
          <w:tcPr>
            <w:tcW w:w="967" w:type="dxa"/>
            <w:tcBorders>
              <w:top w:val="single" w:sz="4" w:space="0" w:color="231F20"/>
              <w:bottom w:val="single" w:sz="4" w:space="0" w:color="FFFFFF"/>
            </w:tcBorders>
            <w:shd w:val="clear" w:color="auto" w:fill="E8F5F1"/>
          </w:tcPr>
          <w:p>
            <w:pPr>
              <w:pStyle w:val="TableParagraph"/>
              <w:spacing w:line="230" w:lineRule="auto" w:before="52"/>
              <w:ind w:left="191" w:right="70" w:hanging="112"/>
              <w:rPr>
                <w:sz w:val="15"/>
              </w:rPr>
            </w:pPr>
            <w:r>
              <w:rPr>
                <w:color w:val="231F20"/>
                <w:sz w:val="15"/>
              </w:rPr>
              <w:t>X (most </w:t>
            </w:r>
            <w:r>
              <w:rPr>
                <w:color w:val="231F20"/>
                <w:spacing w:val="-4"/>
                <w:sz w:val="15"/>
              </w:rPr>
              <w:t>mutations)</w:t>
            </w:r>
          </w:p>
        </w:tc>
        <w:tc>
          <w:tcPr>
            <w:tcW w:w="898" w:type="dxa"/>
            <w:tcBorders>
              <w:top w:val="single" w:sz="4" w:space="0" w:color="231F20"/>
              <w:bottom w:val="single" w:sz="4" w:space="0" w:color="FFFFFF"/>
            </w:tcBorders>
            <w:shd w:val="clear" w:color="auto" w:fill="E8F5F1"/>
          </w:tcPr>
          <w:p>
            <w:pPr>
              <w:pStyle w:val="TableParagraph"/>
              <w:rPr>
                <w:rFonts w:ascii="Times New Roman"/>
                <w:sz w:val="14"/>
              </w:rPr>
            </w:pPr>
          </w:p>
        </w:tc>
        <w:tc>
          <w:tcPr>
            <w:tcW w:w="1059" w:type="dxa"/>
            <w:tcBorders>
              <w:top w:val="single" w:sz="4" w:space="0" w:color="231F20"/>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z w:val="15"/>
              </w:rPr>
              <w:t>Episodic</w:t>
            </w:r>
            <w:r>
              <w:rPr>
                <w:color w:val="231F20"/>
                <w:spacing w:val="-1"/>
                <w:sz w:val="15"/>
              </w:rPr>
              <w:t> </w:t>
            </w:r>
            <w:r>
              <w:rPr>
                <w:color w:val="231F20"/>
                <w:sz w:val="15"/>
              </w:rPr>
              <w:t>apnea</w:t>
            </w:r>
            <w:r>
              <w:rPr>
                <w:color w:val="231F20"/>
                <w:spacing w:val="-1"/>
                <w:sz w:val="15"/>
              </w:rPr>
              <w:t> </w:t>
            </w:r>
            <w:r>
              <w:rPr>
                <w:color w:val="231F20"/>
                <w:sz w:val="15"/>
              </w:rPr>
              <w:t>triggered by stressors</w:t>
            </w:r>
          </w:p>
        </w:tc>
        <w:tc>
          <w:tcPr>
            <w:tcW w:w="2736" w:type="dxa"/>
            <w:tcBorders>
              <w:top w:val="single" w:sz="4" w:space="0" w:color="FFFFFF"/>
              <w:bottom w:val="single" w:sz="4" w:space="0" w:color="FFFFFF"/>
            </w:tcBorders>
            <w:shd w:val="clear" w:color="auto" w:fill="E8F5F1"/>
          </w:tcPr>
          <w:p>
            <w:pPr>
              <w:pStyle w:val="TableParagraph"/>
              <w:spacing w:before="42"/>
              <w:ind w:left="876"/>
              <w:rPr>
                <w:sz w:val="15"/>
              </w:rPr>
            </w:pPr>
            <w:r>
              <w:rPr>
                <w:color w:val="231F20"/>
                <w:spacing w:val="-10"/>
                <w:w w:val="110"/>
                <w:sz w:val="15"/>
              </w:rPr>
              <w:t>X</w:t>
            </w: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988" w:type="dxa"/>
            <w:tcBorders>
              <w:top w:val="single" w:sz="4" w:space="0" w:color="FFFFFF"/>
              <w:bottom w:val="single" w:sz="4" w:space="0" w:color="FFFFFF"/>
            </w:tcBorders>
            <w:shd w:val="clear" w:color="auto" w:fill="E8F5F1"/>
          </w:tcPr>
          <w:p>
            <w:pPr>
              <w:pStyle w:val="TableParagraph"/>
              <w:rPr>
                <w:rFonts w:ascii="Times New Roman"/>
                <w:sz w:val="14"/>
              </w:rPr>
            </w:pP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z w:val="15"/>
              </w:rPr>
              <w:t>Neonatal hypotonia and </w:t>
            </w:r>
            <w:r>
              <w:rPr>
                <w:color w:val="231F20"/>
                <w:spacing w:val="-2"/>
                <w:sz w:val="15"/>
              </w:rPr>
              <w:t>respiratory</w:t>
            </w:r>
            <w:r>
              <w:rPr>
                <w:color w:val="231F20"/>
                <w:spacing w:val="-7"/>
                <w:sz w:val="15"/>
              </w:rPr>
              <w:t> </w:t>
            </w:r>
            <w:r>
              <w:rPr>
                <w:color w:val="231F20"/>
                <w:spacing w:val="-6"/>
                <w:sz w:val="15"/>
              </w:rPr>
              <w:t>insufficiency</w:t>
            </w:r>
          </w:p>
        </w:tc>
        <w:tc>
          <w:tcPr>
            <w:tcW w:w="2736" w:type="dxa"/>
            <w:tcBorders>
              <w:top w:val="single" w:sz="4" w:space="0" w:color="FFFFFF"/>
              <w:bottom w:val="single" w:sz="4" w:space="0" w:color="FFFFFF"/>
            </w:tcBorders>
            <w:shd w:val="clear" w:color="auto" w:fill="E8F5F1"/>
          </w:tcPr>
          <w:p>
            <w:pPr>
              <w:pStyle w:val="TableParagraph"/>
              <w:tabs>
                <w:tab w:pos="1354" w:val="left" w:leader="none"/>
              </w:tabs>
              <w:spacing w:before="42"/>
              <w:ind w:right="412"/>
              <w:jc w:val="right"/>
              <w:rPr>
                <w:sz w:val="15"/>
              </w:rPr>
            </w:pPr>
            <w:r>
              <w:rPr>
                <w:color w:val="231F20"/>
                <w:spacing w:val="-10"/>
                <w:w w:val="110"/>
                <w:sz w:val="15"/>
              </w:rPr>
              <w:t>X</w:t>
            </w:r>
            <w:r>
              <w:rPr>
                <w:color w:val="231F20"/>
                <w:sz w:val="15"/>
              </w:rPr>
              <w:tab/>
            </w:r>
            <w:r>
              <w:rPr>
                <w:color w:val="231F20"/>
                <w:spacing w:val="-10"/>
                <w:w w:val="110"/>
                <w:sz w:val="15"/>
              </w:rPr>
              <w:t>X</w:t>
            </w:r>
          </w:p>
        </w:tc>
        <w:tc>
          <w:tcPr>
            <w:tcW w:w="1125" w:type="dxa"/>
            <w:tcBorders>
              <w:top w:val="single" w:sz="4" w:space="0" w:color="FFFFFF"/>
              <w:bottom w:val="single" w:sz="4" w:space="0" w:color="FFFFFF"/>
            </w:tcBorders>
            <w:shd w:val="clear" w:color="auto" w:fill="E8F5F1"/>
          </w:tcPr>
          <w:p>
            <w:pPr>
              <w:pStyle w:val="TableParagraph"/>
              <w:spacing w:line="230" w:lineRule="auto" w:before="48"/>
              <w:ind w:left="187" w:right="274" w:hanging="112"/>
              <w:rPr>
                <w:sz w:val="15"/>
              </w:rPr>
            </w:pPr>
            <w:r>
              <w:rPr>
                <w:color w:val="231F20"/>
                <w:spacing w:val="-2"/>
                <w:sz w:val="15"/>
              </w:rPr>
              <w:t>X</w:t>
            </w:r>
            <w:r>
              <w:rPr>
                <w:color w:val="231F20"/>
                <w:spacing w:val="-10"/>
                <w:sz w:val="15"/>
              </w:rPr>
              <w:t> </w:t>
            </w:r>
            <w:r>
              <w:rPr>
                <w:color w:val="231F20"/>
                <w:spacing w:val="-2"/>
                <w:sz w:val="15"/>
              </w:rPr>
              <w:t>(in</w:t>
            </w:r>
            <w:r>
              <w:rPr>
                <w:color w:val="231F20"/>
                <w:spacing w:val="-9"/>
                <w:sz w:val="15"/>
              </w:rPr>
              <w:t> </w:t>
            </w:r>
            <w:r>
              <w:rPr>
                <w:color w:val="231F20"/>
                <w:spacing w:val="-2"/>
                <w:sz w:val="15"/>
              </w:rPr>
              <w:t>sever</w:t>
            </w:r>
            <w:r>
              <w:rPr>
                <w:color w:val="231F20"/>
                <w:spacing w:val="-2"/>
                <w:sz w:val="15"/>
              </w:rPr>
              <w:t>e</w:t>
            </w:r>
            <w:r>
              <w:rPr>
                <w:color w:val="231F20"/>
                <w:spacing w:val="-2"/>
                <w:sz w:val="15"/>
              </w:rPr>
              <w:t> cases)</w:t>
            </w:r>
          </w:p>
        </w:tc>
        <w:tc>
          <w:tcPr>
            <w:tcW w:w="988" w:type="dxa"/>
            <w:tcBorders>
              <w:top w:val="single" w:sz="4" w:space="0" w:color="FFFFFF"/>
              <w:bottom w:val="single" w:sz="4" w:space="0" w:color="FFFFFF"/>
            </w:tcBorders>
            <w:shd w:val="clear" w:color="auto" w:fill="E8F5F1"/>
          </w:tcPr>
          <w:p>
            <w:pPr>
              <w:pStyle w:val="TableParagraph"/>
              <w:spacing w:line="230" w:lineRule="auto" w:before="48"/>
              <w:ind w:left="112" w:hanging="112"/>
              <w:rPr>
                <w:sz w:val="15"/>
              </w:rPr>
            </w:pPr>
            <w:r>
              <w:rPr>
                <w:color w:val="231F20"/>
                <w:spacing w:val="-2"/>
                <w:sz w:val="15"/>
              </w:rPr>
              <w:t>X</w:t>
            </w:r>
            <w:r>
              <w:rPr>
                <w:color w:val="231F20"/>
                <w:spacing w:val="-10"/>
                <w:sz w:val="15"/>
              </w:rPr>
              <w:t> </w:t>
            </w:r>
            <w:r>
              <w:rPr>
                <w:color w:val="231F20"/>
                <w:spacing w:val="-2"/>
                <w:sz w:val="15"/>
              </w:rPr>
              <w:t>(in</w:t>
            </w:r>
            <w:r>
              <w:rPr>
                <w:color w:val="231F20"/>
                <w:spacing w:val="-9"/>
                <w:sz w:val="15"/>
              </w:rPr>
              <w:t> </w:t>
            </w:r>
            <w:r>
              <w:rPr>
                <w:color w:val="231F20"/>
                <w:spacing w:val="-2"/>
                <w:sz w:val="15"/>
              </w:rPr>
              <w:t>sever</w:t>
            </w:r>
            <w:r>
              <w:rPr>
                <w:color w:val="231F20"/>
                <w:spacing w:val="-2"/>
                <w:sz w:val="15"/>
              </w:rPr>
              <w:t>e</w:t>
            </w:r>
            <w:r>
              <w:rPr>
                <w:color w:val="231F20"/>
                <w:spacing w:val="-2"/>
                <w:sz w:val="15"/>
              </w:rPr>
              <w:t> cases)</w:t>
            </w: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588" w:hRule="atLeast"/>
        </w:trPr>
        <w:tc>
          <w:tcPr>
            <w:tcW w:w="1969"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Skeletal</w:t>
            </w:r>
            <w:r>
              <w:rPr>
                <w:color w:val="231F20"/>
                <w:spacing w:val="-5"/>
                <w:sz w:val="15"/>
              </w:rPr>
              <w:t> </w:t>
            </w:r>
            <w:r>
              <w:rPr>
                <w:color w:val="231F20"/>
                <w:spacing w:val="-2"/>
                <w:sz w:val="15"/>
              </w:rPr>
              <w:t>deformities</w:t>
            </w:r>
          </w:p>
        </w:tc>
        <w:tc>
          <w:tcPr>
            <w:tcW w:w="27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25" w:type="dxa"/>
            <w:tcBorders>
              <w:top w:val="single" w:sz="4" w:space="0" w:color="FFFFFF"/>
              <w:bottom w:val="single" w:sz="4" w:space="0" w:color="FFFFFF"/>
            </w:tcBorders>
            <w:shd w:val="clear" w:color="auto" w:fill="E8F5F1"/>
          </w:tcPr>
          <w:p>
            <w:pPr>
              <w:pStyle w:val="TableParagraph"/>
              <w:spacing w:before="42"/>
              <w:ind w:left="2" w:right="73"/>
              <w:jc w:val="center"/>
              <w:rPr>
                <w:sz w:val="15"/>
              </w:rPr>
            </w:pPr>
            <w:r>
              <w:rPr>
                <w:color w:val="231F20"/>
                <w:spacing w:val="-10"/>
                <w:w w:val="110"/>
                <w:sz w:val="15"/>
              </w:rPr>
              <w:t>X</w:t>
            </w:r>
          </w:p>
        </w:tc>
        <w:tc>
          <w:tcPr>
            <w:tcW w:w="988" w:type="dxa"/>
            <w:tcBorders>
              <w:top w:val="single" w:sz="4" w:space="0" w:color="FFFFFF"/>
              <w:bottom w:val="single" w:sz="4" w:space="0" w:color="FFFFFF"/>
            </w:tcBorders>
            <w:shd w:val="clear" w:color="auto" w:fill="E8F5F1"/>
          </w:tcPr>
          <w:p>
            <w:pPr>
              <w:pStyle w:val="TableParagraph"/>
              <w:spacing w:before="42"/>
              <w:ind w:left="1" w:right="68"/>
              <w:jc w:val="center"/>
              <w:rPr>
                <w:sz w:val="15"/>
              </w:rPr>
            </w:pPr>
            <w:r>
              <w:rPr>
                <w:color w:val="231F20"/>
                <w:spacing w:val="-10"/>
                <w:w w:val="110"/>
                <w:sz w:val="15"/>
              </w:rPr>
              <w:t>X</w:t>
            </w: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spacing w:line="171" w:lineRule="exact" w:before="42"/>
              <w:ind w:left="79"/>
              <w:rPr>
                <w:sz w:val="15"/>
              </w:rPr>
            </w:pPr>
            <w:r>
              <w:rPr>
                <w:color w:val="231F20"/>
                <w:sz w:val="15"/>
              </w:rPr>
              <w:t>X</w:t>
            </w:r>
            <w:r>
              <w:rPr>
                <w:color w:val="231F20"/>
                <w:spacing w:val="8"/>
                <w:sz w:val="15"/>
              </w:rPr>
              <w:t> </w:t>
            </w:r>
            <w:r>
              <w:rPr>
                <w:color w:val="231F20"/>
                <w:spacing w:val="-5"/>
                <w:sz w:val="15"/>
              </w:rPr>
              <w:t>(in</w:t>
            </w:r>
          </w:p>
          <w:p>
            <w:pPr>
              <w:pStyle w:val="TableParagraph"/>
              <w:spacing w:line="230" w:lineRule="auto" w:before="2"/>
              <w:ind w:left="191"/>
              <w:rPr>
                <w:sz w:val="15"/>
              </w:rPr>
            </w:pPr>
            <w:r>
              <w:rPr>
                <w:color w:val="231F20"/>
                <w:spacing w:val="-4"/>
                <w:sz w:val="15"/>
              </w:rPr>
              <w:t>severe </w:t>
            </w:r>
            <w:r>
              <w:rPr>
                <w:color w:val="231F20"/>
                <w:spacing w:val="-2"/>
                <w:sz w:val="15"/>
              </w:rPr>
              <w:t>cases)</w:t>
            </w: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376" w:hanging="112"/>
              <w:rPr>
                <w:sz w:val="15"/>
              </w:rPr>
            </w:pPr>
            <w:r>
              <w:rPr>
                <w:color w:val="231F20"/>
                <w:sz w:val="15"/>
              </w:rPr>
              <w:t>Delayed</w:t>
            </w:r>
            <w:r>
              <w:rPr>
                <w:color w:val="231F20"/>
                <w:spacing w:val="-12"/>
                <w:sz w:val="15"/>
              </w:rPr>
              <w:t> </w:t>
            </w:r>
            <w:r>
              <w:rPr>
                <w:color w:val="231F20"/>
                <w:sz w:val="15"/>
              </w:rPr>
              <w:t>pupillary</w:t>
            </w:r>
            <w:r>
              <w:rPr>
                <w:color w:val="231F20"/>
                <w:spacing w:val="-11"/>
                <w:sz w:val="15"/>
              </w:rPr>
              <w:t> </w:t>
            </w:r>
            <w:r>
              <w:rPr>
                <w:color w:val="231F20"/>
                <w:sz w:val="15"/>
              </w:rPr>
              <w:t>light </w:t>
            </w:r>
            <w:r>
              <w:rPr>
                <w:color w:val="231F20"/>
                <w:spacing w:val="-2"/>
                <w:sz w:val="15"/>
              </w:rPr>
              <w:t>responses</w:t>
            </w:r>
          </w:p>
        </w:tc>
        <w:tc>
          <w:tcPr>
            <w:tcW w:w="27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25" w:type="dxa"/>
            <w:tcBorders>
              <w:top w:val="single" w:sz="4" w:space="0" w:color="FFFFFF"/>
              <w:bottom w:val="single" w:sz="4" w:space="0" w:color="FFFFFF"/>
            </w:tcBorders>
            <w:shd w:val="clear" w:color="auto" w:fill="E8F5F1"/>
          </w:tcPr>
          <w:p>
            <w:pPr>
              <w:pStyle w:val="TableParagraph"/>
              <w:spacing w:before="42"/>
              <w:ind w:left="2" w:right="73"/>
              <w:jc w:val="center"/>
              <w:rPr>
                <w:sz w:val="15"/>
              </w:rPr>
            </w:pPr>
            <w:r>
              <w:rPr>
                <w:color w:val="231F20"/>
                <w:spacing w:val="-10"/>
                <w:w w:val="110"/>
                <w:sz w:val="15"/>
              </w:rPr>
              <w:t>X</w:t>
            </w:r>
          </w:p>
        </w:tc>
        <w:tc>
          <w:tcPr>
            <w:tcW w:w="988" w:type="dxa"/>
            <w:tcBorders>
              <w:top w:val="single" w:sz="4" w:space="0" w:color="FFFFFF"/>
              <w:bottom w:val="single" w:sz="4" w:space="0" w:color="FFFFFF"/>
            </w:tcBorders>
            <w:shd w:val="clear" w:color="auto" w:fill="E8F5F1"/>
          </w:tcPr>
          <w:p>
            <w:pPr>
              <w:pStyle w:val="TableParagraph"/>
              <w:rPr>
                <w:rFonts w:ascii="Times New Roman"/>
                <w:sz w:val="14"/>
              </w:rPr>
            </w:pP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pacing w:val="-2"/>
                <w:sz w:val="15"/>
              </w:rPr>
              <w:t>Prominent</w:t>
            </w:r>
            <w:r>
              <w:rPr>
                <w:color w:val="231F20"/>
                <w:spacing w:val="-10"/>
                <w:sz w:val="15"/>
              </w:rPr>
              <w:t> </w:t>
            </w:r>
            <w:r>
              <w:rPr>
                <w:color w:val="231F20"/>
                <w:spacing w:val="-2"/>
                <w:sz w:val="15"/>
              </w:rPr>
              <w:t>neck,</w:t>
            </w:r>
            <w:r>
              <w:rPr>
                <w:color w:val="231F20"/>
                <w:spacing w:val="-9"/>
                <w:sz w:val="15"/>
              </w:rPr>
              <w:t> </w:t>
            </w:r>
            <w:r>
              <w:rPr>
                <w:color w:val="231F20"/>
                <w:spacing w:val="-2"/>
                <w:sz w:val="15"/>
              </w:rPr>
              <w:t>wrist,</w:t>
            </w:r>
            <w:r>
              <w:rPr>
                <w:color w:val="231F20"/>
                <w:spacing w:val="-9"/>
                <w:sz w:val="15"/>
              </w:rPr>
              <w:t> </w:t>
            </w:r>
            <w:r>
              <w:rPr>
                <w:color w:val="231F20"/>
                <w:spacing w:val="-2"/>
                <w:sz w:val="15"/>
              </w:rPr>
              <w:t>and </w:t>
            </w:r>
            <w:r>
              <w:rPr>
                <w:color w:val="231F20"/>
                <w:sz w:val="15"/>
              </w:rPr>
              <w:t>finger</w:t>
            </w:r>
            <w:r>
              <w:rPr>
                <w:color w:val="231F20"/>
                <w:spacing w:val="-11"/>
                <w:sz w:val="15"/>
              </w:rPr>
              <w:t> </w:t>
            </w:r>
            <w:r>
              <w:rPr>
                <w:color w:val="231F20"/>
                <w:sz w:val="15"/>
              </w:rPr>
              <w:t>extensor</w:t>
            </w:r>
            <w:r>
              <w:rPr>
                <w:color w:val="231F20"/>
                <w:spacing w:val="-11"/>
                <w:sz w:val="15"/>
              </w:rPr>
              <w:t> </w:t>
            </w:r>
            <w:r>
              <w:rPr>
                <w:color w:val="231F20"/>
                <w:spacing w:val="-2"/>
                <w:sz w:val="15"/>
              </w:rPr>
              <w:t>weakness</w:t>
            </w:r>
          </w:p>
        </w:tc>
        <w:tc>
          <w:tcPr>
            <w:tcW w:w="27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988" w:type="dxa"/>
            <w:tcBorders>
              <w:top w:val="single" w:sz="4" w:space="0" w:color="FFFFFF"/>
              <w:bottom w:val="single" w:sz="4" w:space="0" w:color="FFFFFF"/>
            </w:tcBorders>
            <w:shd w:val="clear" w:color="auto" w:fill="E8F5F1"/>
          </w:tcPr>
          <w:p>
            <w:pPr>
              <w:pStyle w:val="TableParagraph"/>
              <w:rPr>
                <w:rFonts w:ascii="Times New Roman"/>
                <w:sz w:val="14"/>
              </w:rPr>
            </w:pPr>
          </w:p>
        </w:tc>
        <w:tc>
          <w:tcPr>
            <w:tcW w:w="967" w:type="dxa"/>
            <w:tcBorders>
              <w:top w:val="single" w:sz="4" w:space="0" w:color="FFFFFF"/>
              <w:bottom w:val="single" w:sz="4" w:space="0" w:color="FFFFFF"/>
            </w:tcBorders>
            <w:shd w:val="clear" w:color="auto" w:fill="E8F5F1"/>
          </w:tcPr>
          <w:p>
            <w:pPr>
              <w:pStyle w:val="TableParagraph"/>
              <w:spacing w:before="42"/>
              <w:ind w:left="9"/>
              <w:jc w:val="center"/>
              <w:rPr>
                <w:sz w:val="15"/>
              </w:rPr>
            </w:pPr>
            <w:r>
              <w:rPr>
                <w:color w:val="231F20"/>
                <w:spacing w:val="-10"/>
                <w:w w:val="110"/>
                <w:sz w:val="15"/>
              </w:rPr>
              <w:t>X</w:t>
            </w: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z w:val="15"/>
              </w:rPr>
              <w:t>Repetitive</w:t>
            </w:r>
            <w:r>
              <w:rPr>
                <w:color w:val="231F20"/>
                <w:spacing w:val="-12"/>
                <w:sz w:val="15"/>
              </w:rPr>
              <w:t> </w:t>
            </w:r>
            <w:r>
              <w:rPr>
                <w:color w:val="231F20"/>
                <w:sz w:val="15"/>
              </w:rPr>
              <w:t>CMAPs</w:t>
            </w:r>
            <w:r>
              <w:rPr>
                <w:color w:val="231F20"/>
                <w:spacing w:val="-11"/>
                <w:sz w:val="15"/>
              </w:rPr>
              <w:t> </w:t>
            </w:r>
            <w:r>
              <w:rPr>
                <w:color w:val="231F20"/>
                <w:sz w:val="15"/>
              </w:rPr>
              <w:t>after single stimulus</w:t>
            </w:r>
          </w:p>
        </w:tc>
        <w:tc>
          <w:tcPr>
            <w:tcW w:w="27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25" w:type="dxa"/>
            <w:tcBorders>
              <w:top w:val="single" w:sz="4" w:space="0" w:color="FFFFFF"/>
              <w:bottom w:val="single" w:sz="4" w:space="0" w:color="FFFFFF"/>
            </w:tcBorders>
            <w:shd w:val="clear" w:color="auto" w:fill="E8F5F1"/>
          </w:tcPr>
          <w:p>
            <w:pPr>
              <w:pStyle w:val="TableParagraph"/>
              <w:spacing w:before="42"/>
              <w:ind w:left="2" w:right="73"/>
              <w:jc w:val="center"/>
              <w:rPr>
                <w:sz w:val="15"/>
              </w:rPr>
            </w:pPr>
            <w:r>
              <w:rPr>
                <w:color w:val="231F20"/>
                <w:spacing w:val="-10"/>
                <w:w w:val="110"/>
                <w:sz w:val="15"/>
              </w:rPr>
              <w:t>X</w:t>
            </w:r>
          </w:p>
        </w:tc>
        <w:tc>
          <w:tcPr>
            <w:tcW w:w="988" w:type="dxa"/>
            <w:tcBorders>
              <w:top w:val="single" w:sz="4" w:space="0" w:color="FFFFFF"/>
              <w:bottom w:val="single" w:sz="4" w:space="0" w:color="FFFFFF"/>
            </w:tcBorders>
            <w:shd w:val="clear" w:color="auto" w:fill="E8F5F1"/>
          </w:tcPr>
          <w:p>
            <w:pPr>
              <w:pStyle w:val="TableParagraph"/>
              <w:rPr>
                <w:rFonts w:ascii="Times New Roman"/>
                <w:sz w:val="14"/>
              </w:rPr>
            </w:pPr>
          </w:p>
        </w:tc>
        <w:tc>
          <w:tcPr>
            <w:tcW w:w="967" w:type="dxa"/>
            <w:tcBorders>
              <w:top w:val="single" w:sz="4" w:space="0" w:color="FFFFFF"/>
              <w:bottom w:val="single" w:sz="4" w:space="0" w:color="FFFFFF"/>
            </w:tcBorders>
            <w:shd w:val="clear" w:color="auto" w:fill="E8F5F1"/>
          </w:tcPr>
          <w:p>
            <w:pPr>
              <w:pStyle w:val="TableParagraph"/>
              <w:spacing w:before="42"/>
              <w:ind w:left="9"/>
              <w:jc w:val="center"/>
              <w:rPr>
                <w:sz w:val="15"/>
              </w:rPr>
            </w:pPr>
            <w:r>
              <w:rPr>
                <w:color w:val="231F20"/>
                <w:spacing w:val="-10"/>
                <w:w w:val="110"/>
                <w:sz w:val="15"/>
              </w:rPr>
              <w:t>X</w:t>
            </w: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588"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z w:val="15"/>
              </w:rPr>
              <w:t>Progressive decrement with</w:t>
            </w:r>
            <w:r>
              <w:rPr>
                <w:color w:val="231F20"/>
                <w:spacing w:val="-12"/>
                <w:sz w:val="15"/>
              </w:rPr>
              <w:t> </w:t>
            </w:r>
            <w:r>
              <w:rPr>
                <w:color w:val="231F20"/>
                <w:sz w:val="15"/>
              </w:rPr>
              <w:t>prolonged</w:t>
            </w:r>
            <w:r>
              <w:rPr>
                <w:color w:val="231F20"/>
                <w:spacing w:val="-11"/>
                <w:sz w:val="15"/>
              </w:rPr>
              <w:t> </w:t>
            </w:r>
            <w:r>
              <w:rPr>
                <w:color w:val="231F20"/>
                <w:sz w:val="15"/>
              </w:rPr>
              <w:t>exercise </w:t>
            </w:r>
            <w:r>
              <w:rPr>
                <w:color w:val="231F20"/>
                <w:spacing w:val="-2"/>
                <w:sz w:val="15"/>
              </w:rPr>
              <w:t>or</w:t>
            </w:r>
            <w:r>
              <w:rPr>
                <w:color w:val="231F20"/>
                <w:spacing w:val="-8"/>
                <w:sz w:val="15"/>
              </w:rPr>
              <w:t> </w:t>
            </w:r>
            <w:r>
              <w:rPr>
                <w:color w:val="231F20"/>
                <w:spacing w:val="-2"/>
                <w:sz w:val="15"/>
              </w:rPr>
              <w:t>repetitive</w:t>
            </w:r>
            <w:r>
              <w:rPr>
                <w:color w:val="231F20"/>
                <w:spacing w:val="-8"/>
                <w:sz w:val="15"/>
              </w:rPr>
              <w:t> </w:t>
            </w:r>
            <w:r>
              <w:rPr>
                <w:color w:val="231F20"/>
                <w:spacing w:val="-2"/>
                <w:sz w:val="15"/>
              </w:rPr>
              <w:t>stimulation</w:t>
            </w:r>
          </w:p>
        </w:tc>
        <w:tc>
          <w:tcPr>
            <w:tcW w:w="2736" w:type="dxa"/>
            <w:tcBorders>
              <w:top w:val="single" w:sz="4" w:space="0" w:color="FFFFFF"/>
              <w:bottom w:val="single" w:sz="4" w:space="0" w:color="FFFFFF"/>
            </w:tcBorders>
            <w:shd w:val="clear" w:color="auto" w:fill="E8F5F1"/>
          </w:tcPr>
          <w:p>
            <w:pPr>
              <w:pStyle w:val="TableParagraph"/>
              <w:spacing w:before="42"/>
              <w:ind w:left="875"/>
              <w:rPr>
                <w:sz w:val="15"/>
              </w:rPr>
            </w:pPr>
            <w:r>
              <w:rPr>
                <w:color w:val="231F20"/>
                <w:spacing w:val="-10"/>
                <w:w w:val="110"/>
                <w:sz w:val="15"/>
              </w:rPr>
              <w:t>X</w:t>
            </w: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988" w:type="dxa"/>
            <w:tcBorders>
              <w:top w:val="single" w:sz="4" w:space="0" w:color="FFFFFF"/>
              <w:bottom w:val="single" w:sz="4" w:space="0" w:color="FFFFFF"/>
            </w:tcBorders>
            <w:shd w:val="clear" w:color="auto" w:fill="E8F5F1"/>
          </w:tcPr>
          <w:p>
            <w:pPr>
              <w:pStyle w:val="TableParagraph"/>
              <w:spacing w:before="42"/>
              <w:ind w:left="1" w:right="68"/>
              <w:jc w:val="center"/>
              <w:rPr>
                <w:sz w:val="15"/>
              </w:rPr>
            </w:pPr>
            <w:r>
              <w:rPr>
                <w:color w:val="231F20"/>
                <w:spacing w:val="-10"/>
                <w:w w:val="110"/>
                <w:sz w:val="15"/>
              </w:rPr>
              <w:t>X</w:t>
            </w: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59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z w:val="15"/>
              </w:rPr>
              <w:t>Marked</w:t>
            </w:r>
            <w:r>
              <w:rPr>
                <w:color w:val="231F20"/>
                <w:spacing w:val="-12"/>
                <w:sz w:val="15"/>
              </w:rPr>
              <w:t> </w:t>
            </w:r>
            <w:r>
              <w:rPr>
                <w:color w:val="231F20"/>
                <w:sz w:val="15"/>
              </w:rPr>
              <w:t>increment</w:t>
            </w:r>
            <w:r>
              <w:rPr>
                <w:color w:val="231F20"/>
                <w:spacing w:val="-11"/>
                <w:sz w:val="15"/>
              </w:rPr>
              <w:t> </w:t>
            </w:r>
            <w:r>
              <w:rPr>
                <w:color w:val="231F20"/>
                <w:sz w:val="15"/>
              </w:rPr>
              <w:t>(</w:t>
            </w:r>
            <w:r>
              <w:rPr>
                <w:rFonts w:ascii="Cambria"/>
                <w:color w:val="231F20"/>
                <w:sz w:val="15"/>
              </w:rPr>
              <w:t>&gt;</w:t>
            </w:r>
            <w:r>
              <w:rPr>
                <w:color w:val="231F20"/>
                <w:sz w:val="15"/>
              </w:rPr>
              <w:t>200%) with high-frequency repetitive stimulation</w:t>
            </w:r>
          </w:p>
        </w:tc>
        <w:tc>
          <w:tcPr>
            <w:tcW w:w="2736" w:type="dxa"/>
            <w:tcBorders>
              <w:top w:val="single" w:sz="4" w:space="0" w:color="FFFFFF"/>
              <w:bottom w:val="single" w:sz="4" w:space="0" w:color="FFFFFF"/>
            </w:tcBorders>
            <w:shd w:val="clear" w:color="auto" w:fill="E8F5F1"/>
          </w:tcPr>
          <w:p>
            <w:pPr>
              <w:pStyle w:val="TableParagraph"/>
              <w:spacing w:before="42"/>
              <w:ind w:right="412"/>
              <w:jc w:val="right"/>
              <w:rPr>
                <w:sz w:val="15"/>
              </w:rPr>
            </w:pPr>
            <w:r>
              <w:rPr>
                <w:color w:val="231F20"/>
                <w:spacing w:val="-10"/>
                <w:w w:val="110"/>
                <w:sz w:val="15"/>
              </w:rPr>
              <w:t>X</w:t>
            </w: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988" w:type="dxa"/>
            <w:tcBorders>
              <w:top w:val="single" w:sz="4" w:space="0" w:color="FFFFFF"/>
              <w:bottom w:val="single" w:sz="4" w:space="0" w:color="FFFFFF"/>
            </w:tcBorders>
            <w:shd w:val="clear" w:color="auto" w:fill="E8F5F1"/>
          </w:tcPr>
          <w:p>
            <w:pPr>
              <w:pStyle w:val="TableParagraph"/>
              <w:rPr>
                <w:rFonts w:ascii="Times New Roman"/>
                <w:sz w:val="14"/>
              </w:rPr>
            </w:pP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rPr>
                <w:rFonts w:ascii="Times New Roman"/>
                <w:sz w:val="14"/>
              </w:rPr>
            </w:pP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pacing w:val="-2"/>
                <w:sz w:val="15"/>
              </w:rPr>
              <w:t>Decrement</w:t>
            </w:r>
            <w:r>
              <w:rPr>
                <w:color w:val="231F20"/>
                <w:spacing w:val="-10"/>
                <w:sz w:val="15"/>
              </w:rPr>
              <w:t> </w:t>
            </w:r>
            <w:r>
              <w:rPr>
                <w:color w:val="231F20"/>
                <w:spacing w:val="-2"/>
                <w:sz w:val="15"/>
              </w:rPr>
              <w:t>repairs</w:t>
            </w:r>
            <w:r>
              <w:rPr>
                <w:color w:val="231F20"/>
                <w:spacing w:val="-9"/>
                <w:sz w:val="15"/>
              </w:rPr>
              <w:t> </w:t>
            </w:r>
            <w:r>
              <w:rPr>
                <w:color w:val="231F20"/>
                <w:spacing w:val="-2"/>
                <w:sz w:val="15"/>
              </w:rPr>
              <w:t>with </w:t>
            </w:r>
            <w:r>
              <w:rPr>
                <w:color w:val="231F20"/>
                <w:sz w:val="15"/>
              </w:rPr>
              <w:t>AChE inhibitors</w:t>
            </w:r>
          </w:p>
        </w:tc>
        <w:tc>
          <w:tcPr>
            <w:tcW w:w="27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988" w:type="dxa"/>
            <w:tcBorders>
              <w:top w:val="single" w:sz="4" w:space="0" w:color="FFFFFF"/>
              <w:bottom w:val="single" w:sz="4" w:space="0" w:color="FFFFFF"/>
            </w:tcBorders>
            <w:shd w:val="clear" w:color="auto" w:fill="E8F5F1"/>
          </w:tcPr>
          <w:p>
            <w:pPr>
              <w:pStyle w:val="TableParagraph"/>
              <w:spacing w:before="42"/>
              <w:ind w:left="1" w:right="68"/>
              <w:jc w:val="center"/>
              <w:rPr>
                <w:sz w:val="15"/>
              </w:rPr>
            </w:pPr>
            <w:r>
              <w:rPr>
                <w:color w:val="231F20"/>
                <w:spacing w:val="-10"/>
                <w:w w:val="110"/>
                <w:sz w:val="15"/>
              </w:rPr>
              <w:t>X</w:t>
            </w: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spacing w:before="42"/>
              <w:ind w:left="7" w:right="2"/>
              <w:jc w:val="center"/>
              <w:rPr>
                <w:sz w:val="15"/>
              </w:rPr>
            </w:pPr>
            <w:r>
              <w:rPr>
                <w:color w:val="231F20"/>
                <w:spacing w:val="-10"/>
                <w:w w:val="110"/>
                <w:sz w:val="15"/>
              </w:rPr>
              <w:t>X</w:t>
            </w: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20" w:hRule="atLeast"/>
        </w:trPr>
        <w:tc>
          <w:tcPr>
            <w:tcW w:w="1969" w:type="dxa"/>
            <w:tcBorders>
              <w:top w:val="single" w:sz="4" w:space="0" w:color="FFFFFF"/>
              <w:bottom w:val="single" w:sz="4" w:space="0" w:color="FFFFFF"/>
            </w:tcBorders>
            <w:shd w:val="clear" w:color="auto" w:fill="E8F5F1"/>
          </w:tcPr>
          <w:p>
            <w:pPr>
              <w:pStyle w:val="TableParagraph"/>
              <w:spacing w:line="230" w:lineRule="auto" w:before="48"/>
              <w:ind w:left="186" w:right="98" w:hanging="112"/>
              <w:rPr>
                <w:sz w:val="15"/>
              </w:rPr>
            </w:pPr>
            <w:r>
              <w:rPr>
                <w:color w:val="231F20"/>
                <w:spacing w:val="-2"/>
                <w:sz w:val="15"/>
              </w:rPr>
              <w:t>Clinical</w:t>
            </w:r>
            <w:r>
              <w:rPr>
                <w:color w:val="231F20"/>
                <w:spacing w:val="-10"/>
                <w:sz w:val="15"/>
              </w:rPr>
              <w:t> </w:t>
            </w:r>
            <w:r>
              <w:rPr>
                <w:color w:val="231F20"/>
                <w:spacing w:val="-2"/>
                <w:sz w:val="15"/>
              </w:rPr>
              <w:t>improvement</w:t>
            </w:r>
            <w:r>
              <w:rPr>
                <w:color w:val="231F20"/>
                <w:spacing w:val="-9"/>
                <w:sz w:val="15"/>
              </w:rPr>
              <w:t> </w:t>
            </w:r>
            <w:r>
              <w:rPr>
                <w:color w:val="231F20"/>
                <w:spacing w:val="-2"/>
                <w:sz w:val="15"/>
              </w:rPr>
              <w:t>with </w:t>
            </w:r>
            <w:r>
              <w:rPr>
                <w:color w:val="231F20"/>
                <w:sz w:val="15"/>
              </w:rPr>
              <w:t>AChE inhibitors</w:t>
            </w:r>
          </w:p>
        </w:tc>
        <w:tc>
          <w:tcPr>
            <w:tcW w:w="2736" w:type="dxa"/>
            <w:tcBorders>
              <w:top w:val="single" w:sz="4" w:space="0" w:color="FFFFFF"/>
              <w:bottom w:val="single" w:sz="4" w:space="0" w:color="FFFFFF"/>
            </w:tcBorders>
            <w:shd w:val="clear" w:color="auto" w:fill="E8F5F1"/>
          </w:tcPr>
          <w:p>
            <w:pPr>
              <w:pStyle w:val="TableParagraph"/>
              <w:rPr>
                <w:rFonts w:ascii="Times New Roman"/>
                <w:sz w:val="14"/>
              </w:rPr>
            </w:pPr>
          </w:p>
        </w:tc>
        <w:tc>
          <w:tcPr>
            <w:tcW w:w="1125" w:type="dxa"/>
            <w:tcBorders>
              <w:top w:val="single" w:sz="4" w:space="0" w:color="FFFFFF"/>
              <w:bottom w:val="single" w:sz="4" w:space="0" w:color="FFFFFF"/>
            </w:tcBorders>
            <w:shd w:val="clear" w:color="auto" w:fill="E8F5F1"/>
          </w:tcPr>
          <w:p>
            <w:pPr>
              <w:pStyle w:val="TableParagraph"/>
              <w:rPr>
                <w:rFonts w:ascii="Times New Roman"/>
                <w:sz w:val="14"/>
              </w:rPr>
            </w:pPr>
          </w:p>
        </w:tc>
        <w:tc>
          <w:tcPr>
            <w:tcW w:w="988" w:type="dxa"/>
            <w:tcBorders>
              <w:top w:val="single" w:sz="4" w:space="0" w:color="FFFFFF"/>
              <w:bottom w:val="single" w:sz="4" w:space="0" w:color="FFFFFF"/>
            </w:tcBorders>
            <w:shd w:val="clear" w:color="auto" w:fill="E8F5F1"/>
          </w:tcPr>
          <w:p>
            <w:pPr>
              <w:pStyle w:val="TableParagraph"/>
              <w:rPr>
                <w:rFonts w:ascii="Times New Roman"/>
                <w:sz w:val="14"/>
              </w:rPr>
            </w:pPr>
          </w:p>
        </w:tc>
        <w:tc>
          <w:tcPr>
            <w:tcW w:w="967" w:type="dxa"/>
            <w:tcBorders>
              <w:top w:val="single" w:sz="4" w:space="0" w:color="FFFFFF"/>
              <w:bottom w:val="single" w:sz="4" w:space="0" w:color="FFFFFF"/>
            </w:tcBorders>
            <w:shd w:val="clear" w:color="auto" w:fill="E8F5F1"/>
          </w:tcPr>
          <w:p>
            <w:pPr>
              <w:pStyle w:val="TableParagraph"/>
              <w:rPr>
                <w:rFonts w:ascii="Times New Roman"/>
                <w:sz w:val="14"/>
              </w:rPr>
            </w:pPr>
          </w:p>
        </w:tc>
        <w:tc>
          <w:tcPr>
            <w:tcW w:w="898" w:type="dxa"/>
            <w:tcBorders>
              <w:top w:val="single" w:sz="4" w:space="0" w:color="FFFFFF"/>
              <w:bottom w:val="single" w:sz="4" w:space="0" w:color="FFFFFF"/>
            </w:tcBorders>
            <w:shd w:val="clear" w:color="auto" w:fill="E8F5F1"/>
          </w:tcPr>
          <w:p>
            <w:pPr>
              <w:pStyle w:val="TableParagraph"/>
              <w:spacing w:before="42"/>
              <w:ind w:left="7" w:right="2"/>
              <w:jc w:val="center"/>
              <w:rPr>
                <w:sz w:val="15"/>
              </w:rPr>
            </w:pPr>
            <w:r>
              <w:rPr>
                <w:color w:val="231F20"/>
                <w:spacing w:val="-10"/>
                <w:w w:val="110"/>
                <w:sz w:val="15"/>
              </w:rPr>
              <w:t>X</w:t>
            </w:r>
          </w:p>
        </w:tc>
        <w:tc>
          <w:tcPr>
            <w:tcW w:w="1059"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415" w:hRule="atLeast"/>
        </w:trPr>
        <w:tc>
          <w:tcPr>
            <w:tcW w:w="1969" w:type="dxa"/>
            <w:tcBorders>
              <w:top w:val="single" w:sz="4" w:space="0" w:color="FFFFFF"/>
              <w:bottom w:val="single" w:sz="8" w:space="0" w:color="231F20"/>
            </w:tcBorders>
            <w:shd w:val="clear" w:color="auto" w:fill="E8F5F1"/>
          </w:tcPr>
          <w:p>
            <w:pPr>
              <w:pStyle w:val="TableParagraph"/>
              <w:spacing w:line="230" w:lineRule="auto" w:before="48"/>
              <w:ind w:left="186" w:right="98" w:hanging="112"/>
              <w:rPr>
                <w:sz w:val="15"/>
              </w:rPr>
            </w:pPr>
            <w:r>
              <w:rPr>
                <w:color w:val="231F20"/>
                <w:spacing w:val="-2"/>
                <w:sz w:val="15"/>
              </w:rPr>
              <w:t>Clinical</w:t>
            </w:r>
            <w:r>
              <w:rPr>
                <w:color w:val="231F20"/>
                <w:spacing w:val="-10"/>
                <w:sz w:val="15"/>
              </w:rPr>
              <w:t> </w:t>
            </w:r>
            <w:r>
              <w:rPr>
                <w:color w:val="231F20"/>
                <w:spacing w:val="-2"/>
                <w:sz w:val="15"/>
              </w:rPr>
              <w:t>worsening</w:t>
            </w:r>
            <w:r>
              <w:rPr>
                <w:color w:val="231F20"/>
                <w:spacing w:val="-9"/>
                <w:sz w:val="15"/>
              </w:rPr>
              <w:t> </w:t>
            </w:r>
            <w:r>
              <w:rPr>
                <w:color w:val="231F20"/>
                <w:spacing w:val="-2"/>
                <w:sz w:val="15"/>
              </w:rPr>
              <w:t>with </w:t>
            </w:r>
            <w:r>
              <w:rPr>
                <w:color w:val="231F20"/>
                <w:sz w:val="15"/>
              </w:rPr>
              <w:t>AChE inhibitors</w:t>
            </w:r>
          </w:p>
        </w:tc>
        <w:tc>
          <w:tcPr>
            <w:tcW w:w="2736" w:type="dxa"/>
            <w:tcBorders>
              <w:top w:val="single" w:sz="4" w:space="0" w:color="FFFFFF"/>
              <w:bottom w:val="single" w:sz="8" w:space="0" w:color="231F20"/>
            </w:tcBorders>
            <w:shd w:val="clear" w:color="auto" w:fill="E8F5F1"/>
          </w:tcPr>
          <w:p>
            <w:pPr>
              <w:pStyle w:val="TableParagraph"/>
              <w:rPr>
                <w:rFonts w:ascii="Times New Roman"/>
                <w:sz w:val="14"/>
              </w:rPr>
            </w:pPr>
          </w:p>
        </w:tc>
        <w:tc>
          <w:tcPr>
            <w:tcW w:w="1125" w:type="dxa"/>
            <w:tcBorders>
              <w:top w:val="single" w:sz="4" w:space="0" w:color="FFFFFF"/>
              <w:bottom w:val="single" w:sz="8" w:space="0" w:color="231F20"/>
            </w:tcBorders>
            <w:shd w:val="clear" w:color="auto" w:fill="E8F5F1"/>
          </w:tcPr>
          <w:p>
            <w:pPr>
              <w:pStyle w:val="TableParagraph"/>
              <w:spacing w:before="42"/>
              <w:ind w:left="2" w:right="73"/>
              <w:jc w:val="center"/>
              <w:rPr>
                <w:sz w:val="15"/>
              </w:rPr>
            </w:pPr>
            <w:r>
              <w:rPr>
                <w:color w:val="231F20"/>
                <w:spacing w:val="-10"/>
                <w:w w:val="110"/>
                <w:sz w:val="15"/>
              </w:rPr>
              <w:t>X</w:t>
            </w:r>
          </w:p>
        </w:tc>
        <w:tc>
          <w:tcPr>
            <w:tcW w:w="988" w:type="dxa"/>
            <w:tcBorders>
              <w:top w:val="single" w:sz="4" w:space="0" w:color="FFFFFF"/>
              <w:bottom w:val="single" w:sz="8" w:space="0" w:color="231F20"/>
            </w:tcBorders>
            <w:shd w:val="clear" w:color="auto" w:fill="E8F5F1"/>
          </w:tcPr>
          <w:p>
            <w:pPr>
              <w:pStyle w:val="TableParagraph"/>
              <w:rPr>
                <w:rFonts w:ascii="Times New Roman"/>
                <w:sz w:val="14"/>
              </w:rPr>
            </w:pPr>
          </w:p>
        </w:tc>
        <w:tc>
          <w:tcPr>
            <w:tcW w:w="967" w:type="dxa"/>
            <w:tcBorders>
              <w:top w:val="single" w:sz="4" w:space="0" w:color="FFFFFF"/>
              <w:bottom w:val="single" w:sz="8" w:space="0" w:color="231F20"/>
            </w:tcBorders>
            <w:shd w:val="clear" w:color="auto" w:fill="E8F5F1"/>
          </w:tcPr>
          <w:p>
            <w:pPr>
              <w:pStyle w:val="TableParagraph"/>
              <w:spacing w:before="42"/>
              <w:ind w:left="9"/>
              <w:jc w:val="center"/>
              <w:rPr>
                <w:sz w:val="15"/>
              </w:rPr>
            </w:pPr>
            <w:r>
              <w:rPr>
                <w:color w:val="231F20"/>
                <w:spacing w:val="-10"/>
                <w:w w:val="110"/>
                <w:sz w:val="15"/>
              </w:rPr>
              <w:t>X</w:t>
            </w:r>
          </w:p>
        </w:tc>
        <w:tc>
          <w:tcPr>
            <w:tcW w:w="898" w:type="dxa"/>
            <w:tcBorders>
              <w:top w:val="single" w:sz="4" w:space="0" w:color="FFFFFF"/>
              <w:bottom w:val="single" w:sz="8" w:space="0" w:color="231F20"/>
            </w:tcBorders>
            <w:shd w:val="clear" w:color="auto" w:fill="E8F5F1"/>
          </w:tcPr>
          <w:p>
            <w:pPr>
              <w:pStyle w:val="TableParagraph"/>
              <w:rPr>
                <w:rFonts w:ascii="Times New Roman"/>
                <w:sz w:val="14"/>
              </w:rPr>
            </w:pPr>
          </w:p>
        </w:tc>
        <w:tc>
          <w:tcPr>
            <w:tcW w:w="1059" w:type="dxa"/>
            <w:tcBorders>
              <w:top w:val="single" w:sz="4" w:space="0" w:color="FFFFFF"/>
              <w:bottom w:val="single" w:sz="8" w:space="0" w:color="231F20"/>
            </w:tcBorders>
            <w:shd w:val="clear" w:color="auto" w:fill="E8F5F1"/>
          </w:tcPr>
          <w:p>
            <w:pPr>
              <w:pStyle w:val="TableParagraph"/>
              <w:spacing w:before="42"/>
              <w:jc w:val="center"/>
              <w:rPr>
                <w:sz w:val="15"/>
              </w:rPr>
            </w:pPr>
            <w:r>
              <w:rPr>
                <w:color w:val="231F20"/>
                <w:spacing w:val="-10"/>
                <w:w w:val="110"/>
                <w:sz w:val="15"/>
              </w:rPr>
              <w:t>X</w:t>
            </w:r>
          </w:p>
        </w:tc>
      </w:tr>
    </w:tbl>
    <w:p>
      <w:pPr>
        <w:pStyle w:val="BodyText"/>
        <w:spacing w:before="82"/>
        <w:ind w:left="102" w:right="614"/>
      </w:pPr>
      <w:r>
        <w:rPr>
          <w:color w:val="231F20"/>
        </w:rPr>
        <w:t>AChE, acetylcholinesterase; AChR, acetylcholine receptor; CMAPs, compound muscle action potentials; CMS, congenital myasthenic syndrome; LEMS, Lambert-Eaton</w:t>
      </w:r>
      <w:r>
        <w:rPr>
          <w:color w:val="231F20"/>
          <w:spacing w:val="40"/>
        </w:rPr>
        <w:t> </w:t>
      </w:r>
      <w:r>
        <w:rPr>
          <w:color w:val="231F20"/>
        </w:rPr>
        <w:t>myasthenic syndrome.</w:t>
      </w:r>
    </w:p>
    <w:p>
      <w:pPr>
        <w:spacing w:line="237" w:lineRule="auto" w:before="0"/>
        <w:ind w:left="102" w:right="614" w:firstLine="130"/>
        <w:jc w:val="left"/>
        <w:rPr>
          <w:i/>
          <w:sz w:val="13"/>
        </w:rPr>
      </w:pPr>
      <w:r>
        <w:rPr>
          <w:i/>
          <w:color w:val="231F20"/>
          <w:sz w:val="13"/>
        </w:rPr>
        <w:t>From</w:t>
      </w:r>
      <w:r>
        <w:rPr>
          <w:i/>
          <w:color w:val="231F20"/>
          <w:spacing w:val="-3"/>
          <w:sz w:val="13"/>
        </w:rPr>
        <w:t> </w:t>
      </w:r>
      <w:r>
        <w:rPr>
          <w:i/>
          <w:color w:val="231F20"/>
          <w:sz w:val="13"/>
        </w:rPr>
        <w:t>Muppidi</w:t>
      </w:r>
      <w:r>
        <w:rPr>
          <w:i/>
          <w:color w:val="231F20"/>
          <w:spacing w:val="-3"/>
          <w:sz w:val="13"/>
        </w:rPr>
        <w:t> </w:t>
      </w:r>
      <w:r>
        <w:rPr>
          <w:i/>
          <w:color w:val="231F20"/>
          <w:sz w:val="13"/>
        </w:rPr>
        <w:t>S,</w:t>
      </w:r>
      <w:r>
        <w:rPr>
          <w:i/>
          <w:color w:val="231F20"/>
          <w:spacing w:val="-3"/>
          <w:sz w:val="13"/>
        </w:rPr>
        <w:t> </w:t>
      </w:r>
      <w:r>
        <w:rPr>
          <w:i/>
          <w:color w:val="231F20"/>
          <w:sz w:val="13"/>
        </w:rPr>
        <w:t>Wolfe</w:t>
      </w:r>
      <w:r>
        <w:rPr>
          <w:i/>
          <w:color w:val="231F20"/>
          <w:spacing w:val="-3"/>
          <w:sz w:val="13"/>
        </w:rPr>
        <w:t> </w:t>
      </w:r>
      <w:r>
        <w:rPr>
          <w:i/>
          <w:color w:val="231F20"/>
          <w:sz w:val="13"/>
        </w:rPr>
        <w:t>GI,</w:t>
      </w:r>
      <w:r>
        <w:rPr>
          <w:i/>
          <w:color w:val="231F20"/>
          <w:spacing w:val="-3"/>
          <w:sz w:val="13"/>
        </w:rPr>
        <w:t> </w:t>
      </w:r>
      <w:r>
        <w:rPr>
          <w:i/>
          <w:color w:val="231F20"/>
          <w:sz w:val="13"/>
        </w:rPr>
        <w:t>Barhon</w:t>
      </w:r>
      <w:r>
        <w:rPr>
          <w:i/>
          <w:color w:val="231F20"/>
          <w:spacing w:val="-3"/>
          <w:sz w:val="13"/>
        </w:rPr>
        <w:t> </w:t>
      </w:r>
      <w:r>
        <w:rPr>
          <w:i/>
          <w:color w:val="231F20"/>
          <w:sz w:val="13"/>
        </w:rPr>
        <w:t>RJ:</w:t>
      </w:r>
      <w:r>
        <w:rPr>
          <w:i/>
          <w:color w:val="231F20"/>
          <w:spacing w:val="-3"/>
          <w:sz w:val="13"/>
        </w:rPr>
        <w:t> </w:t>
      </w:r>
      <w:r>
        <w:rPr>
          <w:i/>
          <w:color w:val="231F20"/>
          <w:sz w:val="13"/>
        </w:rPr>
        <w:t>Diseases</w:t>
      </w:r>
      <w:r>
        <w:rPr>
          <w:i/>
          <w:color w:val="231F20"/>
          <w:spacing w:val="-3"/>
          <w:sz w:val="13"/>
        </w:rPr>
        <w:t> </w:t>
      </w:r>
      <w:r>
        <w:rPr>
          <w:i/>
          <w:color w:val="231F20"/>
          <w:sz w:val="13"/>
        </w:rPr>
        <w:t>of</w:t>
      </w:r>
      <w:r>
        <w:rPr>
          <w:i/>
          <w:color w:val="231F20"/>
          <w:spacing w:val="-3"/>
          <w:sz w:val="13"/>
        </w:rPr>
        <w:t> </w:t>
      </w:r>
      <w:r>
        <w:rPr>
          <w:i/>
          <w:color w:val="231F20"/>
          <w:sz w:val="13"/>
        </w:rPr>
        <w:t>the</w:t>
      </w:r>
      <w:r>
        <w:rPr>
          <w:i/>
          <w:color w:val="231F20"/>
          <w:spacing w:val="-3"/>
          <w:sz w:val="13"/>
        </w:rPr>
        <w:t> </w:t>
      </w:r>
      <w:r>
        <w:rPr>
          <w:i/>
          <w:color w:val="231F20"/>
          <w:sz w:val="13"/>
        </w:rPr>
        <w:t>neuromuscular</w:t>
      </w:r>
      <w:r>
        <w:rPr>
          <w:i/>
          <w:color w:val="231F20"/>
          <w:spacing w:val="-3"/>
          <w:sz w:val="13"/>
        </w:rPr>
        <w:t> </w:t>
      </w:r>
      <w:r>
        <w:rPr>
          <w:i/>
          <w:color w:val="231F20"/>
          <w:sz w:val="13"/>
        </w:rPr>
        <w:t>junction.</w:t>
      </w:r>
      <w:r>
        <w:rPr>
          <w:i/>
          <w:color w:val="231F20"/>
          <w:spacing w:val="-3"/>
          <w:sz w:val="13"/>
        </w:rPr>
        <w:t> </w:t>
      </w:r>
      <w:r>
        <w:rPr>
          <w:i/>
          <w:color w:val="231F20"/>
          <w:sz w:val="13"/>
        </w:rPr>
        <w:t>In</w:t>
      </w:r>
      <w:r>
        <w:rPr>
          <w:i/>
          <w:color w:val="231F20"/>
          <w:spacing w:val="-3"/>
          <w:sz w:val="13"/>
        </w:rPr>
        <w:t> </w:t>
      </w:r>
      <w:r>
        <w:rPr>
          <w:i/>
          <w:color w:val="231F20"/>
          <w:sz w:val="13"/>
        </w:rPr>
        <w:t>Swaiman</w:t>
      </w:r>
      <w:r>
        <w:rPr>
          <w:i/>
          <w:color w:val="231F20"/>
          <w:spacing w:val="-3"/>
          <w:sz w:val="13"/>
        </w:rPr>
        <w:t> </w:t>
      </w:r>
      <w:r>
        <w:rPr>
          <w:i/>
          <w:color w:val="231F20"/>
          <w:sz w:val="13"/>
        </w:rPr>
        <w:t>KF,</w:t>
      </w:r>
      <w:r>
        <w:rPr>
          <w:i/>
          <w:color w:val="231F20"/>
          <w:spacing w:val="-3"/>
          <w:sz w:val="13"/>
        </w:rPr>
        <w:t> </w:t>
      </w:r>
      <w:r>
        <w:rPr>
          <w:i/>
          <w:color w:val="231F20"/>
          <w:sz w:val="13"/>
        </w:rPr>
        <w:t>Ashwal</w:t>
      </w:r>
      <w:r>
        <w:rPr>
          <w:i/>
          <w:color w:val="231F20"/>
          <w:spacing w:val="-3"/>
          <w:sz w:val="13"/>
        </w:rPr>
        <w:t> </w:t>
      </w:r>
      <w:r>
        <w:rPr>
          <w:i/>
          <w:color w:val="231F20"/>
          <w:sz w:val="13"/>
        </w:rPr>
        <w:t>S,</w:t>
      </w:r>
      <w:r>
        <w:rPr>
          <w:i/>
          <w:color w:val="231F20"/>
          <w:spacing w:val="-3"/>
          <w:sz w:val="13"/>
        </w:rPr>
        <w:t> </w:t>
      </w:r>
      <w:r>
        <w:rPr>
          <w:i/>
          <w:color w:val="231F20"/>
          <w:sz w:val="13"/>
        </w:rPr>
        <w:t>Ferriero</w:t>
      </w:r>
      <w:r>
        <w:rPr>
          <w:i/>
          <w:color w:val="231F20"/>
          <w:spacing w:val="-3"/>
          <w:sz w:val="13"/>
        </w:rPr>
        <w:t> </w:t>
      </w:r>
      <w:r>
        <w:rPr>
          <w:i/>
          <w:color w:val="231F20"/>
          <w:sz w:val="13"/>
        </w:rPr>
        <w:t>DM,</w:t>
      </w:r>
      <w:r>
        <w:rPr>
          <w:i/>
          <w:color w:val="231F20"/>
          <w:spacing w:val="-3"/>
          <w:sz w:val="13"/>
        </w:rPr>
        <w:t> </w:t>
      </w:r>
      <w:r>
        <w:rPr>
          <w:i/>
          <w:color w:val="231F20"/>
          <w:sz w:val="13"/>
        </w:rPr>
        <w:t>Schor</w:t>
      </w:r>
      <w:r>
        <w:rPr>
          <w:i/>
          <w:color w:val="231F20"/>
          <w:spacing w:val="-3"/>
          <w:sz w:val="13"/>
        </w:rPr>
        <w:t> </w:t>
      </w:r>
      <w:r>
        <w:rPr>
          <w:i/>
          <w:color w:val="231F20"/>
          <w:sz w:val="13"/>
        </w:rPr>
        <w:t>NF,</w:t>
      </w:r>
      <w:r>
        <w:rPr>
          <w:i/>
          <w:color w:val="231F20"/>
          <w:spacing w:val="-3"/>
          <w:sz w:val="13"/>
        </w:rPr>
        <w:t> </w:t>
      </w:r>
      <w:r>
        <w:rPr>
          <w:i/>
          <w:color w:val="231F20"/>
          <w:sz w:val="13"/>
        </w:rPr>
        <w:t>editors:</w:t>
      </w:r>
      <w:r>
        <w:rPr>
          <w:i/>
          <w:color w:val="231F20"/>
          <w:spacing w:val="-3"/>
          <w:sz w:val="13"/>
        </w:rPr>
        <w:t> </w:t>
      </w:r>
      <w:r>
        <w:rPr>
          <w:color w:val="231F20"/>
          <w:sz w:val="13"/>
        </w:rPr>
        <w:t>Swaiman’s</w:t>
      </w:r>
      <w:r>
        <w:rPr>
          <w:color w:val="231F20"/>
          <w:spacing w:val="-3"/>
          <w:sz w:val="13"/>
        </w:rPr>
        <w:t> </w:t>
      </w:r>
      <w:r>
        <w:rPr>
          <w:color w:val="231F20"/>
          <w:sz w:val="13"/>
        </w:rPr>
        <w:t>pediatric</w:t>
      </w:r>
      <w:r>
        <w:rPr>
          <w:color w:val="231F20"/>
          <w:spacing w:val="40"/>
          <w:sz w:val="13"/>
        </w:rPr>
        <w:t> </w:t>
      </w:r>
      <w:r>
        <w:rPr>
          <w:color w:val="231F20"/>
          <w:sz w:val="13"/>
        </w:rPr>
        <w:t>neurology</w:t>
      </w:r>
      <w:r>
        <w:rPr>
          <w:i/>
          <w:color w:val="231F20"/>
          <w:sz w:val="13"/>
        </w:rPr>
        <w:t>, ed 5, Philadelphia, 2012, Elsevier, Table 91-3.</w:t>
      </w:r>
    </w:p>
    <w:p>
      <w:pPr>
        <w:spacing w:after="0" w:line="237" w:lineRule="auto"/>
        <w:jc w:val="left"/>
        <w:rPr>
          <w:i/>
          <w:sz w:val="13"/>
        </w:rPr>
        <w:sectPr>
          <w:pgSz w:w="11900" w:h="16840"/>
          <w:pgMar w:header="452" w:footer="0" w:top="118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037" name="Group 1037"/>
                <wp:cNvGraphicFramePr>
                  <a:graphicFrameLocks/>
                </wp:cNvGraphicFramePr>
                <a:graphic>
                  <a:graphicData uri="http://schemas.microsoft.com/office/word/2010/wordprocessingGroup">
                    <wpg:wgp>
                      <wpg:cNvPr id="1037" name="Group 1037"/>
                      <wpg:cNvGrpSpPr/>
                      <wpg:grpSpPr>
                        <a:xfrm>
                          <a:off x="0" y="0"/>
                          <a:ext cx="6185535" cy="170815"/>
                          <a:chExt cx="6185535" cy="170815"/>
                        </a:xfrm>
                      </wpg:grpSpPr>
                      <wps:wsp>
                        <wps:cNvPr id="1038" name="Graphic 1038"/>
                        <wps:cNvSpPr/>
                        <wps:spPr>
                          <a:xfrm>
                            <a:off x="6161574"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39" name="Graphic 1039"/>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40" name="Textbox 1040"/>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2996</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32" coordorigin="0,0" coordsize="9741,269">
                <v:line style="position:absolute" from="9703,145" to="9741,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33" filled="false" stroked="false">
                  <v:textbox inset="0,0,0,0">
                    <w:txbxContent>
                      <w:p>
                        <w:pPr>
                          <w:spacing w:before="6"/>
                          <w:ind w:left="-1" w:right="0" w:firstLine="0"/>
                          <w:jc w:val="left"/>
                          <w:rPr>
                            <w:sz w:val="18"/>
                          </w:rPr>
                        </w:pPr>
                        <w:r>
                          <w:rPr>
                            <w:b/>
                            <w:color w:val="231F20"/>
                            <w:w w:val="105"/>
                            <w:sz w:val="18"/>
                          </w:rPr>
                          <w:t>2996</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v:group>
            </w:pict>
          </mc:Fallback>
        </mc:AlternateContent>
      </w:r>
      <w:r>
        <w:rPr>
          <w:sz w:val="20"/>
        </w:rPr>
      </w:r>
    </w:p>
    <w:p>
      <w:pPr>
        <w:pStyle w:val="BodyText"/>
        <w:spacing w:before="11"/>
        <w:rPr>
          <w:i/>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673"/>
        <w:gridCol w:w="801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612-</w:t>
            </w:r>
            <w:r>
              <w:rPr>
                <w:b/>
                <w:color w:val="FFFFFF"/>
                <w:spacing w:val="-10"/>
                <w:w w:val="105"/>
                <w:sz w:val="16"/>
              </w:rPr>
              <w:t>4</w:t>
            </w:r>
          </w:p>
        </w:tc>
        <w:tc>
          <w:tcPr>
            <w:tcW w:w="8688"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Potential</w:t>
            </w:r>
            <w:r>
              <w:rPr>
                <w:color w:val="FFFFFF"/>
                <w:spacing w:val="7"/>
                <w:w w:val="105"/>
                <w:sz w:val="16"/>
              </w:rPr>
              <w:t> </w:t>
            </w:r>
            <w:r>
              <w:rPr>
                <w:color w:val="FFFFFF"/>
                <w:w w:val="105"/>
                <w:sz w:val="16"/>
              </w:rPr>
              <w:t>Therapies</w:t>
            </w:r>
            <w:r>
              <w:rPr>
                <w:color w:val="FFFFFF"/>
                <w:spacing w:val="7"/>
                <w:w w:val="105"/>
                <w:sz w:val="16"/>
              </w:rPr>
              <w:t> </w:t>
            </w:r>
            <w:r>
              <w:rPr>
                <w:color w:val="FFFFFF"/>
                <w:w w:val="105"/>
                <w:sz w:val="16"/>
              </w:rPr>
              <w:t>in</w:t>
            </w:r>
            <w:r>
              <w:rPr>
                <w:color w:val="FFFFFF"/>
                <w:spacing w:val="7"/>
                <w:w w:val="105"/>
                <w:sz w:val="16"/>
              </w:rPr>
              <w:t> </w:t>
            </w:r>
            <w:r>
              <w:rPr>
                <w:color w:val="FFFFFF"/>
                <w:w w:val="105"/>
                <w:sz w:val="16"/>
              </w:rPr>
              <w:t>Congenital</w:t>
            </w:r>
            <w:r>
              <w:rPr>
                <w:color w:val="FFFFFF"/>
                <w:spacing w:val="7"/>
                <w:w w:val="105"/>
                <w:sz w:val="16"/>
              </w:rPr>
              <w:t> </w:t>
            </w:r>
            <w:r>
              <w:rPr>
                <w:color w:val="FFFFFF"/>
                <w:w w:val="105"/>
                <w:sz w:val="16"/>
              </w:rPr>
              <w:t>Myasthenic</w:t>
            </w:r>
            <w:r>
              <w:rPr>
                <w:color w:val="FFFFFF"/>
                <w:spacing w:val="7"/>
                <w:w w:val="105"/>
                <w:sz w:val="16"/>
              </w:rPr>
              <w:t> </w:t>
            </w:r>
            <w:r>
              <w:rPr>
                <w:color w:val="FFFFFF"/>
                <w:spacing w:val="-2"/>
                <w:w w:val="105"/>
                <w:sz w:val="16"/>
              </w:rPr>
              <w:t>Syndromes</w:t>
            </w:r>
          </w:p>
        </w:tc>
      </w:tr>
      <w:tr>
        <w:trPr>
          <w:trHeight w:val="593" w:hRule="atLeast"/>
        </w:trPr>
        <w:tc>
          <w:tcPr>
            <w:tcW w:w="1821" w:type="dxa"/>
            <w:gridSpan w:val="2"/>
            <w:tcBorders>
              <w:bottom w:val="single" w:sz="4" w:space="0" w:color="FFFFFF"/>
            </w:tcBorders>
            <w:shd w:val="clear" w:color="auto" w:fill="E8F5F1"/>
          </w:tcPr>
          <w:p>
            <w:pPr>
              <w:pStyle w:val="TableParagraph"/>
              <w:spacing w:before="47"/>
              <w:ind w:left="74"/>
              <w:rPr>
                <w:sz w:val="15"/>
              </w:rPr>
            </w:pPr>
            <w:r>
              <w:rPr>
                <w:color w:val="231F20"/>
                <w:spacing w:val="-4"/>
                <w:w w:val="110"/>
                <w:sz w:val="15"/>
              </w:rPr>
              <w:t>AChE</w:t>
            </w:r>
          </w:p>
        </w:tc>
        <w:tc>
          <w:tcPr>
            <w:tcW w:w="8015" w:type="dxa"/>
            <w:tcBorders>
              <w:bottom w:val="single" w:sz="4" w:space="0" w:color="FFFFFF"/>
            </w:tcBorders>
            <w:shd w:val="clear" w:color="auto" w:fill="E8F5F1"/>
          </w:tcPr>
          <w:p>
            <w:pPr>
              <w:pStyle w:val="TableParagraph"/>
              <w:spacing w:line="171" w:lineRule="exact" w:before="47"/>
              <w:ind w:left="463"/>
              <w:rPr>
                <w:sz w:val="15"/>
              </w:rPr>
            </w:pPr>
            <w:r>
              <w:rPr>
                <w:color w:val="231F20"/>
                <w:sz w:val="15"/>
              </w:rPr>
              <w:t>Ephedrine</w:t>
            </w:r>
            <w:r>
              <w:rPr>
                <w:color w:val="231F20"/>
                <w:spacing w:val="-3"/>
                <w:sz w:val="15"/>
              </w:rPr>
              <w:t> </w:t>
            </w:r>
            <w:r>
              <w:rPr>
                <w:color w:val="231F20"/>
                <w:sz w:val="15"/>
              </w:rPr>
              <w:t>3</w:t>
            </w:r>
            <w:r>
              <w:rPr>
                <w:color w:val="231F20"/>
                <w:spacing w:val="-3"/>
                <w:sz w:val="15"/>
              </w:rPr>
              <w:t> </w:t>
            </w:r>
            <w:r>
              <w:rPr>
                <w:color w:val="231F20"/>
                <w:sz w:val="15"/>
              </w:rPr>
              <w:t>mg/kg/day</w:t>
            </w:r>
            <w:r>
              <w:rPr>
                <w:color w:val="231F20"/>
                <w:spacing w:val="-3"/>
                <w:sz w:val="15"/>
              </w:rPr>
              <w:t> </w:t>
            </w:r>
            <w:r>
              <w:rPr>
                <w:color w:val="231F20"/>
                <w:sz w:val="15"/>
              </w:rPr>
              <w:t>in</w:t>
            </w:r>
            <w:r>
              <w:rPr>
                <w:color w:val="231F20"/>
                <w:spacing w:val="-3"/>
                <w:sz w:val="15"/>
              </w:rPr>
              <w:t> </w:t>
            </w:r>
            <w:r>
              <w:rPr>
                <w:color w:val="231F20"/>
                <w:sz w:val="15"/>
              </w:rPr>
              <w:t>3</w:t>
            </w:r>
            <w:r>
              <w:rPr>
                <w:color w:val="231F20"/>
                <w:spacing w:val="-3"/>
                <w:sz w:val="15"/>
              </w:rPr>
              <w:t> </w:t>
            </w:r>
            <w:r>
              <w:rPr>
                <w:color w:val="231F20"/>
                <w:sz w:val="15"/>
              </w:rPr>
              <w:t>divided</w:t>
            </w:r>
            <w:r>
              <w:rPr>
                <w:color w:val="231F20"/>
                <w:spacing w:val="-3"/>
                <w:sz w:val="15"/>
              </w:rPr>
              <w:t> </w:t>
            </w:r>
            <w:r>
              <w:rPr>
                <w:color w:val="231F20"/>
                <w:sz w:val="15"/>
              </w:rPr>
              <w:t>doses;</w:t>
            </w:r>
            <w:r>
              <w:rPr>
                <w:color w:val="231F20"/>
                <w:spacing w:val="-3"/>
                <w:sz w:val="15"/>
              </w:rPr>
              <w:t> </w:t>
            </w:r>
            <w:r>
              <w:rPr>
                <w:color w:val="231F20"/>
                <w:sz w:val="15"/>
              </w:rPr>
              <w:t>begin</w:t>
            </w:r>
            <w:r>
              <w:rPr>
                <w:color w:val="231F20"/>
                <w:spacing w:val="-3"/>
                <w:sz w:val="15"/>
              </w:rPr>
              <w:t> </w:t>
            </w:r>
            <w:r>
              <w:rPr>
                <w:color w:val="231F20"/>
                <w:sz w:val="15"/>
              </w:rPr>
              <w:t>with</w:t>
            </w:r>
            <w:r>
              <w:rPr>
                <w:color w:val="231F20"/>
                <w:spacing w:val="-3"/>
                <w:sz w:val="15"/>
              </w:rPr>
              <w:t> </w:t>
            </w:r>
            <w:r>
              <w:rPr>
                <w:color w:val="231F20"/>
                <w:sz w:val="15"/>
              </w:rPr>
              <w:t>1</w:t>
            </w:r>
            <w:r>
              <w:rPr>
                <w:color w:val="231F20"/>
                <w:spacing w:val="-3"/>
                <w:sz w:val="15"/>
              </w:rPr>
              <w:t> </w:t>
            </w:r>
            <w:r>
              <w:rPr>
                <w:color w:val="231F20"/>
                <w:sz w:val="15"/>
              </w:rPr>
              <w:t>mg/kg;</w:t>
            </w:r>
            <w:r>
              <w:rPr>
                <w:color w:val="231F20"/>
                <w:spacing w:val="-3"/>
                <w:sz w:val="15"/>
              </w:rPr>
              <w:t> </w:t>
            </w:r>
            <w:r>
              <w:rPr>
                <w:color w:val="231F20"/>
                <w:sz w:val="15"/>
              </w:rPr>
              <w:t>not</w:t>
            </w:r>
            <w:r>
              <w:rPr>
                <w:color w:val="231F20"/>
                <w:spacing w:val="-3"/>
                <w:sz w:val="15"/>
              </w:rPr>
              <w:t> </w:t>
            </w:r>
            <w:r>
              <w:rPr>
                <w:color w:val="231F20"/>
                <w:sz w:val="15"/>
              </w:rPr>
              <w:t>obtainable</w:t>
            </w:r>
            <w:r>
              <w:rPr>
                <w:color w:val="231F20"/>
                <w:spacing w:val="-3"/>
                <w:sz w:val="15"/>
              </w:rPr>
              <w:t> </w:t>
            </w:r>
            <w:r>
              <w:rPr>
                <w:color w:val="231F20"/>
                <w:sz w:val="15"/>
              </w:rPr>
              <w:t>in</w:t>
            </w:r>
            <w:r>
              <w:rPr>
                <w:color w:val="231F20"/>
                <w:spacing w:val="-3"/>
                <w:sz w:val="15"/>
              </w:rPr>
              <w:t> </w:t>
            </w:r>
            <w:r>
              <w:rPr>
                <w:color w:val="231F20"/>
                <w:sz w:val="15"/>
              </w:rPr>
              <w:t>several</w:t>
            </w:r>
            <w:r>
              <w:rPr>
                <w:color w:val="231F20"/>
                <w:spacing w:val="-3"/>
                <w:sz w:val="15"/>
              </w:rPr>
              <w:t> </w:t>
            </w:r>
            <w:r>
              <w:rPr>
                <w:color w:val="231F20"/>
                <w:spacing w:val="-2"/>
                <w:sz w:val="15"/>
              </w:rPr>
              <w:t>countries</w:t>
            </w:r>
          </w:p>
          <w:p>
            <w:pPr>
              <w:pStyle w:val="TableParagraph"/>
              <w:spacing w:line="230" w:lineRule="auto" w:before="2"/>
              <w:ind w:left="463"/>
              <w:rPr>
                <w:sz w:val="15"/>
              </w:rPr>
            </w:pPr>
            <w:r>
              <w:rPr>
                <w:color w:val="231F20"/>
                <w:sz w:val="15"/>
              </w:rPr>
              <w:t>If</w:t>
            </w:r>
            <w:r>
              <w:rPr>
                <w:color w:val="231F20"/>
                <w:spacing w:val="-6"/>
                <w:sz w:val="15"/>
              </w:rPr>
              <w:t> </w:t>
            </w:r>
            <w:r>
              <w:rPr>
                <w:color w:val="231F20"/>
                <w:sz w:val="15"/>
              </w:rPr>
              <w:t>ephedrine</w:t>
            </w:r>
            <w:r>
              <w:rPr>
                <w:color w:val="231F20"/>
                <w:spacing w:val="-6"/>
                <w:sz w:val="15"/>
              </w:rPr>
              <w:t> </w:t>
            </w:r>
            <w:r>
              <w:rPr>
                <w:color w:val="231F20"/>
                <w:sz w:val="15"/>
              </w:rPr>
              <w:t>is</w:t>
            </w:r>
            <w:r>
              <w:rPr>
                <w:color w:val="231F20"/>
                <w:spacing w:val="-6"/>
                <w:sz w:val="15"/>
              </w:rPr>
              <w:t> </w:t>
            </w:r>
            <w:r>
              <w:rPr>
                <w:color w:val="231F20"/>
                <w:sz w:val="15"/>
              </w:rPr>
              <w:t>not</w:t>
            </w:r>
            <w:r>
              <w:rPr>
                <w:color w:val="231F20"/>
                <w:spacing w:val="-6"/>
                <w:sz w:val="15"/>
              </w:rPr>
              <w:t> </w:t>
            </w:r>
            <w:r>
              <w:rPr>
                <w:color w:val="231F20"/>
                <w:sz w:val="15"/>
              </w:rPr>
              <w:t>obtainable,</w:t>
            </w:r>
            <w:r>
              <w:rPr>
                <w:color w:val="231F20"/>
                <w:spacing w:val="-6"/>
                <w:sz w:val="15"/>
              </w:rPr>
              <w:t> </w:t>
            </w:r>
            <w:r>
              <w:rPr>
                <w:color w:val="231F20"/>
                <w:sz w:val="15"/>
              </w:rPr>
              <w:t>3,4-diaminopyridine</w:t>
            </w:r>
            <w:r>
              <w:rPr>
                <w:color w:val="231F20"/>
                <w:spacing w:val="-6"/>
                <w:sz w:val="15"/>
              </w:rPr>
              <w:t> </w:t>
            </w:r>
            <w:r>
              <w:rPr>
                <w:color w:val="231F20"/>
                <w:sz w:val="15"/>
              </w:rPr>
              <w:t>1</w:t>
            </w:r>
            <w:r>
              <w:rPr>
                <w:color w:val="231F20"/>
                <w:spacing w:val="-6"/>
                <w:sz w:val="15"/>
              </w:rPr>
              <w:t> </w:t>
            </w:r>
            <w:r>
              <w:rPr>
                <w:color w:val="231F20"/>
                <w:sz w:val="15"/>
              </w:rPr>
              <w:t>mg/kg/day</w:t>
            </w:r>
            <w:r>
              <w:rPr>
                <w:color w:val="231F20"/>
                <w:spacing w:val="-6"/>
                <w:sz w:val="15"/>
              </w:rPr>
              <w:t> </w:t>
            </w:r>
            <w:r>
              <w:rPr>
                <w:color w:val="231F20"/>
                <w:sz w:val="15"/>
              </w:rPr>
              <w:t>in</w:t>
            </w:r>
            <w:r>
              <w:rPr>
                <w:color w:val="231F20"/>
                <w:spacing w:val="-6"/>
                <w:sz w:val="15"/>
              </w:rPr>
              <w:t> </w:t>
            </w:r>
            <w:r>
              <w:rPr>
                <w:color w:val="231F20"/>
                <w:sz w:val="15"/>
              </w:rPr>
              <w:t>4</w:t>
            </w:r>
            <w:r>
              <w:rPr>
                <w:color w:val="231F20"/>
                <w:spacing w:val="-6"/>
                <w:sz w:val="15"/>
              </w:rPr>
              <w:t> </w:t>
            </w:r>
            <w:r>
              <w:rPr>
                <w:color w:val="231F20"/>
                <w:sz w:val="15"/>
              </w:rPr>
              <w:t>divided</w:t>
            </w:r>
            <w:r>
              <w:rPr>
                <w:color w:val="231F20"/>
                <w:spacing w:val="-6"/>
                <w:sz w:val="15"/>
              </w:rPr>
              <w:t> </w:t>
            </w:r>
            <w:r>
              <w:rPr>
                <w:color w:val="231F20"/>
                <w:sz w:val="15"/>
              </w:rPr>
              <w:t>doses,</w:t>
            </w:r>
            <w:r>
              <w:rPr>
                <w:color w:val="231F20"/>
                <w:spacing w:val="-6"/>
                <w:sz w:val="15"/>
              </w:rPr>
              <w:t> </w:t>
            </w:r>
            <w:r>
              <w:rPr>
                <w:color w:val="231F20"/>
                <w:sz w:val="15"/>
              </w:rPr>
              <w:t>up</w:t>
            </w:r>
            <w:r>
              <w:rPr>
                <w:color w:val="231F20"/>
                <w:spacing w:val="-6"/>
                <w:sz w:val="15"/>
              </w:rPr>
              <w:t> </w:t>
            </w:r>
            <w:r>
              <w:rPr>
                <w:color w:val="231F20"/>
                <w:sz w:val="15"/>
              </w:rPr>
              <w:t>to</w:t>
            </w:r>
            <w:r>
              <w:rPr>
                <w:color w:val="231F20"/>
                <w:spacing w:val="-6"/>
                <w:sz w:val="15"/>
              </w:rPr>
              <w:t> </w:t>
            </w:r>
            <w:r>
              <w:rPr>
                <w:color w:val="231F20"/>
                <w:sz w:val="15"/>
              </w:rPr>
              <w:t>60</w:t>
            </w:r>
            <w:r>
              <w:rPr>
                <w:color w:val="231F20"/>
                <w:spacing w:val="-6"/>
                <w:sz w:val="15"/>
              </w:rPr>
              <w:t> </w:t>
            </w:r>
            <w:r>
              <w:rPr>
                <w:color w:val="231F20"/>
                <w:sz w:val="15"/>
              </w:rPr>
              <w:t>mg/day</w:t>
            </w:r>
            <w:r>
              <w:rPr>
                <w:color w:val="231F20"/>
                <w:spacing w:val="-6"/>
                <w:sz w:val="15"/>
              </w:rPr>
              <w:t> </w:t>
            </w:r>
            <w:r>
              <w:rPr>
                <w:color w:val="231F20"/>
                <w:sz w:val="15"/>
              </w:rPr>
              <w:t>in</w:t>
            </w:r>
            <w:r>
              <w:rPr>
                <w:color w:val="231F20"/>
                <w:spacing w:val="-6"/>
                <w:sz w:val="15"/>
              </w:rPr>
              <w:t> </w:t>
            </w:r>
            <w:r>
              <w:rPr>
                <w:color w:val="231F20"/>
                <w:sz w:val="15"/>
              </w:rPr>
              <w:t>adults Avoid AChE inhibitors</w:t>
            </w:r>
          </w:p>
        </w:tc>
      </w:tr>
      <w:tr>
        <w:trPr>
          <w:trHeight w:val="420" w:hRule="atLeast"/>
        </w:trPr>
        <w:tc>
          <w:tcPr>
            <w:tcW w:w="182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AChR</w:t>
            </w:r>
            <w:r>
              <w:rPr>
                <w:color w:val="231F20"/>
                <w:spacing w:val="12"/>
                <w:w w:val="105"/>
                <w:sz w:val="15"/>
              </w:rPr>
              <w:t> </w:t>
            </w:r>
            <w:r>
              <w:rPr>
                <w:color w:val="231F20"/>
                <w:spacing w:val="-2"/>
                <w:w w:val="105"/>
                <w:sz w:val="15"/>
              </w:rPr>
              <w:t>deficiency</w:t>
            </w:r>
          </w:p>
        </w:tc>
        <w:tc>
          <w:tcPr>
            <w:tcW w:w="8015" w:type="dxa"/>
            <w:tcBorders>
              <w:top w:val="single" w:sz="4" w:space="0" w:color="FFFFFF"/>
              <w:bottom w:val="single" w:sz="4" w:space="0" w:color="FFFFFF"/>
            </w:tcBorders>
            <w:shd w:val="clear" w:color="auto" w:fill="E8F5F1"/>
          </w:tcPr>
          <w:p>
            <w:pPr>
              <w:pStyle w:val="TableParagraph"/>
              <w:spacing w:line="171" w:lineRule="exact" w:before="42"/>
              <w:ind w:left="463"/>
              <w:rPr>
                <w:sz w:val="15"/>
              </w:rPr>
            </w:pPr>
            <w:r>
              <w:rPr>
                <w:color w:val="231F20"/>
                <w:sz w:val="15"/>
              </w:rPr>
              <w:t>AChE</w:t>
            </w:r>
            <w:r>
              <w:rPr>
                <w:color w:val="231F20"/>
                <w:spacing w:val="-4"/>
                <w:sz w:val="15"/>
              </w:rPr>
              <w:t> </w:t>
            </w:r>
            <w:r>
              <w:rPr>
                <w:color w:val="231F20"/>
                <w:sz w:val="15"/>
              </w:rPr>
              <w:t>inhibitors:</w:t>
            </w:r>
            <w:r>
              <w:rPr>
                <w:color w:val="231F20"/>
                <w:spacing w:val="-3"/>
                <w:sz w:val="15"/>
              </w:rPr>
              <w:t> </w:t>
            </w:r>
            <w:r>
              <w:rPr>
                <w:color w:val="231F20"/>
                <w:sz w:val="15"/>
              </w:rPr>
              <w:t>pyridostigmine</w:t>
            </w:r>
            <w:r>
              <w:rPr>
                <w:color w:val="231F20"/>
                <w:spacing w:val="-3"/>
                <w:sz w:val="15"/>
              </w:rPr>
              <w:t> </w:t>
            </w:r>
            <w:r>
              <w:rPr>
                <w:color w:val="231F20"/>
                <w:sz w:val="15"/>
              </w:rPr>
              <w:t>bromide</w:t>
            </w:r>
            <w:r>
              <w:rPr>
                <w:color w:val="231F20"/>
                <w:spacing w:val="-3"/>
                <w:sz w:val="15"/>
              </w:rPr>
              <w:t> </w:t>
            </w:r>
            <w:r>
              <w:rPr>
                <w:color w:val="231F20"/>
                <w:sz w:val="15"/>
              </w:rPr>
              <w:t>(Mestinon)</w:t>
            </w:r>
            <w:r>
              <w:rPr>
                <w:color w:val="231F20"/>
                <w:spacing w:val="-3"/>
                <w:sz w:val="15"/>
              </w:rPr>
              <w:t> </w:t>
            </w:r>
            <w:r>
              <w:rPr>
                <w:color w:val="231F20"/>
                <w:sz w:val="15"/>
              </w:rPr>
              <w:t>4-5</w:t>
            </w:r>
            <w:r>
              <w:rPr>
                <w:color w:val="231F20"/>
                <w:spacing w:val="-3"/>
                <w:sz w:val="15"/>
              </w:rPr>
              <w:t> </w:t>
            </w:r>
            <w:r>
              <w:rPr>
                <w:color w:val="231F20"/>
                <w:sz w:val="15"/>
              </w:rPr>
              <w:t>mg/kg/day</w:t>
            </w:r>
            <w:r>
              <w:rPr>
                <w:color w:val="231F20"/>
                <w:spacing w:val="-3"/>
                <w:sz w:val="15"/>
              </w:rPr>
              <w:t> </w:t>
            </w:r>
            <w:r>
              <w:rPr>
                <w:color w:val="231F20"/>
                <w:sz w:val="15"/>
              </w:rPr>
              <w:t>in</w:t>
            </w:r>
            <w:r>
              <w:rPr>
                <w:color w:val="231F20"/>
                <w:spacing w:val="-3"/>
                <w:sz w:val="15"/>
              </w:rPr>
              <w:t> </w:t>
            </w:r>
            <w:r>
              <w:rPr>
                <w:color w:val="231F20"/>
                <w:sz w:val="15"/>
              </w:rPr>
              <w:t>4-6</w:t>
            </w:r>
            <w:r>
              <w:rPr>
                <w:color w:val="231F20"/>
                <w:spacing w:val="-3"/>
                <w:sz w:val="15"/>
              </w:rPr>
              <w:t> </w:t>
            </w:r>
            <w:r>
              <w:rPr>
                <w:color w:val="231F20"/>
                <w:sz w:val="15"/>
              </w:rPr>
              <w:t>divided</w:t>
            </w:r>
            <w:r>
              <w:rPr>
                <w:color w:val="231F20"/>
                <w:spacing w:val="-3"/>
                <w:sz w:val="15"/>
              </w:rPr>
              <w:t> </w:t>
            </w:r>
            <w:r>
              <w:rPr>
                <w:color w:val="231F20"/>
                <w:spacing w:val="-2"/>
                <w:sz w:val="15"/>
              </w:rPr>
              <w:t>doses</w:t>
            </w:r>
          </w:p>
          <w:p>
            <w:pPr>
              <w:pStyle w:val="TableParagraph"/>
              <w:spacing w:line="171" w:lineRule="exact"/>
              <w:ind w:left="463"/>
              <w:rPr>
                <w:sz w:val="15"/>
              </w:rPr>
            </w:pPr>
            <w:r>
              <w:rPr>
                <w:color w:val="231F20"/>
                <w:sz w:val="15"/>
              </w:rPr>
              <w:t>If</w:t>
            </w:r>
            <w:r>
              <w:rPr>
                <w:color w:val="231F20"/>
                <w:spacing w:val="-5"/>
                <w:sz w:val="15"/>
              </w:rPr>
              <w:t> </w:t>
            </w:r>
            <w:r>
              <w:rPr>
                <w:color w:val="231F20"/>
                <w:sz w:val="15"/>
              </w:rPr>
              <w:t>necessary</w:t>
            </w:r>
            <w:r>
              <w:rPr>
                <w:color w:val="231F20"/>
                <w:spacing w:val="-4"/>
                <w:sz w:val="15"/>
              </w:rPr>
              <w:t> </w:t>
            </w:r>
            <w:r>
              <w:rPr>
                <w:color w:val="231F20"/>
                <w:sz w:val="15"/>
              </w:rPr>
              <w:t>add</w:t>
            </w:r>
            <w:r>
              <w:rPr>
                <w:color w:val="231F20"/>
                <w:spacing w:val="-4"/>
                <w:sz w:val="15"/>
              </w:rPr>
              <w:t> </w:t>
            </w:r>
            <w:r>
              <w:rPr>
                <w:color w:val="231F20"/>
                <w:sz w:val="15"/>
              </w:rPr>
              <w:t>3,4-diaminopyridine</w:t>
            </w:r>
            <w:r>
              <w:rPr>
                <w:color w:val="231F20"/>
                <w:spacing w:val="-5"/>
                <w:sz w:val="15"/>
              </w:rPr>
              <w:t> </w:t>
            </w:r>
            <w:r>
              <w:rPr>
                <w:color w:val="231F20"/>
                <w:sz w:val="15"/>
              </w:rPr>
              <w:t>1</w:t>
            </w:r>
            <w:r>
              <w:rPr>
                <w:color w:val="231F20"/>
                <w:spacing w:val="-4"/>
                <w:sz w:val="15"/>
              </w:rPr>
              <w:t> </w:t>
            </w:r>
            <w:r>
              <w:rPr>
                <w:color w:val="231F20"/>
                <w:sz w:val="15"/>
              </w:rPr>
              <w:t>mg/kg/day</w:t>
            </w:r>
            <w:r>
              <w:rPr>
                <w:color w:val="231F20"/>
                <w:spacing w:val="-5"/>
                <w:sz w:val="15"/>
              </w:rPr>
              <w:t> </w:t>
            </w:r>
            <w:r>
              <w:rPr>
                <w:color w:val="231F20"/>
                <w:sz w:val="15"/>
              </w:rPr>
              <w:t>in</w:t>
            </w:r>
            <w:r>
              <w:rPr>
                <w:color w:val="231F20"/>
                <w:spacing w:val="-4"/>
                <w:sz w:val="15"/>
              </w:rPr>
              <w:t> </w:t>
            </w:r>
            <w:r>
              <w:rPr>
                <w:color w:val="231F20"/>
                <w:sz w:val="15"/>
              </w:rPr>
              <w:t>4</w:t>
            </w:r>
            <w:r>
              <w:rPr>
                <w:color w:val="231F20"/>
                <w:spacing w:val="-4"/>
                <w:sz w:val="15"/>
              </w:rPr>
              <w:t> </w:t>
            </w:r>
            <w:r>
              <w:rPr>
                <w:color w:val="231F20"/>
                <w:sz w:val="15"/>
              </w:rPr>
              <w:t>divided</w:t>
            </w:r>
            <w:r>
              <w:rPr>
                <w:color w:val="231F20"/>
                <w:spacing w:val="-5"/>
                <w:sz w:val="15"/>
              </w:rPr>
              <w:t> </w:t>
            </w:r>
            <w:r>
              <w:rPr>
                <w:color w:val="231F20"/>
                <w:sz w:val="15"/>
              </w:rPr>
              <w:t>doses,</w:t>
            </w:r>
            <w:r>
              <w:rPr>
                <w:color w:val="231F20"/>
                <w:spacing w:val="-4"/>
                <w:sz w:val="15"/>
              </w:rPr>
              <w:t> </w:t>
            </w:r>
            <w:r>
              <w:rPr>
                <w:color w:val="231F20"/>
                <w:sz w:val="15"/>
              </w:rPr>
              <w:t>up</w:t>
            </w:r>
            <w:r>
              <w:rPr>
                <w:color w:val="231F20"/>
                <w:spacing w:val="-4"/>
                <w:sz w:val="15"/>
              </w:rPr>
              <w:t> </w:t>
            </w:r>
            <w:r>
              <w:rPr>
                <w:color w:val="231F20"/>
                <w:sz w:val="15"/>
              </w:rPr>
              <w:t>to</w:t>
            </w:r>
            <w:r>
              <w:rPr>
                <w:color w:val="231F20"/>
                <w:spacing w:val="-5"/>
                <w:sz w:val="15"/>
              </w:rPr>
              <w:t> </w:t>
            </w:r>
            <w:r>
              <w:rPr>
                <w:color w:val="231F20"/>
                <w:sz w:val="15"/>
              </w:rPr>
              <w:t>60</w:t>
            </w:r>
            <w:r>
              <w:rPr>
                <w:color w:val="231F20"/>
                <w:spacing w:val="-4"/>
                <w:sz w:val="15"/>
              </w:rPr>
              <w:t> </w:t>
            </w:r>
            <w:r>
              <w:rPr>
                <w:color w:val="231F20"/>
                <w:sz w:val="15"/>
              </w:rPr>
              <w:t>mg/day</w:t>
            </w:r>
            <w:r>
              <w:rPr>
                <w:color w:val="231F20"/>
                <w:spacing w:val="-4"/>
                <w:sz w:val="15"/>
              </w:rPr>
              <w:t> </w:t>
            </w:r>
            <w:r>
              <w:rPr>
                <w:color w:val="231F20"/>
                <w:sz w:val="15"/>
              </w:rPr>
              <w:t>in</w:t>
            </w:r>
            <w:r>
              <w:rPr>
                <w:color w:val="231F20"/>
                <w:spacing w:val="-5"/>
                <w:sz w:val="15"/>
              </w:rPr>
              <w:t> </w:t>
            </w:r>
            <w:r>
              <w:rPr>
                <w:color w:val="231F20"/>
                <w:spacing w:val="-2"/>
                <w:sz w:val="15"/>
              </w:rPr>
              <w:t>adults</w:t>
            </w:r>
          </w:p>
        </w:tc>
      </w:tr>
      <w:tr>
        <w:trPr>
          <w:trHeight w:val="420" w:hRule="atLeast"/>
        </w:trPr>
        <w:tc>
          <w:tcPr>
            <w:tcW w:w="182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AChR</w:t>
            </w:r>
            <w:r>
              <w:rPr>
                <w:color w:val="231F20"/>
                <w:spacing w:val="6"/>
                <w:sz w:val="15"/>
              </w:rPr>
              <w:t> </w:t>
            </w:r>
            <w:r>
              <w:rPr>
                <w:color w:val="231F20"/>
                <w:sz w:val="15"/>
              </w:rPr>
              <w:t>fast</w:t>
            </w:r>
            <w:r>
              <w:rPr>
                <w:color w:val="231F20"/>
                <w:spacing w:val="6"/>
                <w:sz w:val="15"/>
              </w:rPr>
              <w:t> </w:t>
            </w:r>
            <w:r>
              <w:rPr>
                <w:color w:val="231F20"/>
                <w:spacing w:val="-2"/>
                <w:sz w:val="15"/>
              </w:rPr>
              <w:t>channel</w:t>
            </w:r>
          </w:p>
        </w:tc>
        <w:tc>
          <w:tcPr>
            <w:tcW w:w="8015" w:type="dxa"/>
            <w:tcBorders>
              <w:top w:val="single" w:sz="4" w:space="0" w:color="FFFFFF"/>
              <w:bottom w:val="single" w:sz="4" w:space="0" w:color="FFFFFF"/>
            </w:tcBorders>
            <w:shd w:val="clear" w:color="auto" w:fill="E8F5F1"/>
          </w:tcPr>
          <w:p>
            <w:pPr>
              <w:pStyle w:val="TableParagraph"/>
              <w:spacing w:line="171" w:lineRule="exact" w:before="42"/>
              <w:ind w:left="463"/>
              <w:rPr>
                <w:sz w:val="15"/>
              </w:rPr>
            </w:pPr>
            <w:r>
              <w:rPr>
                <w:color w:val="231F20"/>
                <w:sz w:val="15"/>
              </w:rPr>
              <w:t>AChE</w:t>
            </w:r>
            <w:r>
              <w:rPr>
                <w:color w:val="231F20"/>
                <w:spacing w:val="-4"/>
                <w:sz w:val="15"/>
              </w:rPr>
              <w:t> </w:t>
            </w:r>
            <w:r>
              <w:rPr>
                <w:color w:val="231F20"/>
                <w:sz w:val="15"/>
              </w:rPr>
              <w:t>inhibitors:</w:t>
            </w:r>
            <w:r>
              <w:rPr>
                <w:color w:val="231F20"/>
                <w:spacing w:val="-3"/>
                <w:sz w:val="15"/>
              </w:rPr>
              <w:t> </w:t>
            </w:r>
            <w:r>
              <w:rPr>
                <w:color w:val="231F20"/>
                <w:sz w:val="15"/>
              </w:rPr>
              <w:t>pyridostigmine</w:t>
            </w:r>
            <w:r>
              <w:rPr>
                <w:color w:val="231F20"/>
                <w:spacing w:val="-3"/>
                <w:sz w:val="15"/>
              </w:rPr>
              <w:t> </w:t>
            </w:r>
            <w:r>
              <w:rPr>
                <w:color w:val="231F20"/>
                <w:sz w:val="15"/>
              </w:rPr>
              <w:t>bromide</w:t>
            </w:r>
            <w:r>
              <w:rPr>
                <w:color w:val="231F20"/>
                <w:spacing w:val="-3"/>
                <w:sz w:val="15"/>
              </w:rPr>
              <w:t> </w:t>
            </w:r>
            <w:r>
              <w:rPr>
                <w:color w:val="231F20"/>
                <w:sz w:val="15"/>
              </w:rPr>
              <w:t>(Mestinon)</w:t>
            </w:r>
            <w:r>
              <w:rPr>
                <w:color w:val="231F20"/>
                <w:spacing w:val="-3"/>
                <w:sz w:val="15"/>
              </w:rPr>
              <w:t> </w:t>
            </w:r>
            <w:r>
              <w:rPr>
                <w:color w:val="231F20"/>
                <w:sz w:val="15"/>
              </w:rPr>
              <w:t>4-5</w:t>
            </w:r>
            <w:r>
              <w:rPr>
                <w:color w:val="231F20"/>
                <w:spacing w:val="-3"/>
                <w:sz w:val="15"/>
              </w:rPr>
              <w:t> </w:t>
            </w:r>
            <w:r>
              <w:rPr>
                <w:color w:val="231F20"/>
                <w:sz w:val="15"/>
              </w:rPr>
              <w:t>mg/kg/day</w:t>
            </w:r>
            <w:r>
              <w:rPr>
                <w:color w:val="231F20"/>
                <w:spacing w:val="-3"/>
                <w:sz w:val="15"/>
              </w:rPr>
              <w:t> </w:t>
            </w:r>
            <w:r>
              <w:rPr>
                <w:color w:val="231F20"/>
                <w:sz w:val="15"/>
              </w:rPr>
              <w:t>in</w:t>
            </w:r>
            <w:r>
              <w:rPr>
                <w:color w:val="231F20"/>
                <w:spacing w:val="-3"/>
                <w:sz w:val="15"/>
              </w:rPr>
              <w:t> </w:t>
            </w:r>
            <w:r>
              <w:rPr>
                <w:color w:val="231F20"/>
                <w:sz w:val="15"/>
              </w:rPr>
              <w:t>4-6</w:t>
            </w:r>
            <w:r>
              <w:rPr>
                <w:color w:val="231F20"/>
                <w:spacing w:val="-3"/>
                <w:sz w:val="15"/>
              </w:rPr>
              <w:t> </w:t>
            </w:r>
            <w:r>
              <w:rPr>
                <w:color w:val="231F20"/>
                <w:sz w:val="15"/>
              </w:rPr>
              <w:t>divided</w:t>
            </w:r>
            <w:r>
              <w:rPr>
                <w:color w:val="231F20"/>
                <w:spacing w:val="-3"/>
                <w:sz w:val="15"/>
              </w:rPr>
              <w:t> </w:t>
            </w:r>
            <w:r>
              <w:rPr>
                <w:color w:val="231F20"/>
                <w:spacing w:val="-2"/>
                <w:sz w:val="15"/>
              </w:rPr>
              <w:t>doses</w:t>
            </w:r>
          </w:p>
          <w:p>
            <w:pPr>
              <w:pStyle w:val="TableParagraph"/>
              <w:spacing w:line="171" w:lineRule="exact"/>
              <w:ind w:left="463"/>
              <w:rPr>
                <w:sz w:val="15"/>
              </w:rPr>
            </w:pPr>
            <w:r>
              <w:rPr>
                <w:color w:val="231F20"/>
                <w:sz w:val="15"/>
              </w:rPr>
              <w:t>If</w:t>
            </w:r>
            <w:r>
              <w:rPr>
                <w:color w:val="231F20"/>
                <w:spacing w:val="-5"/>
                <w:sz w:val="15"/>
              </w:rPr>
              <w:t> </w:t>
            </w:r>
            <w:r>
              <w:rPr>
                <w:color w:val="231F20"/>
                <w:sz w:val="15"/>
              </w:rPr>
              <w:t>necessary</w:t>
            </w:r>
            <w:r>
              <w:rPr>
                <w:color w:val="231F20"/>
                <w:spacing w:val="-4"/>
                <w:sz w:val="15"/>
              </w:rPr>
              <w:t> </w:t>
            </w:r>
            <w:r>
              <w:rPr>
                <w:color w:val="231F20"/>
                <w:sz w:val="15"/>
              </w:rPr>
              <w:t>add</w:t>
            </w:r>
            <w:r>
              <w:rPr>
                <w:color w:val="231F20"/>
                <w:spacing w:val="-4"/>
                <w:sz w:val="15"/>
              </w:rPr>
              <w:t> </w:t>
            </w:r>
            <w:r>
              <w:rPr>
                <w:color w:val="231F20"/>
                <w:sz w:val="15"/>
              </w:rPr>
              <w:t>3,4-diaminopyridine</w:t>
            </w:r>
            <w:r>
              <w:rPr>
                <w:color w:val="231F20"/>
                <w:spacing w:val="-5"/>
                <w:sz w:val="15"/>
              </w:rPr>
              <w:t> </w:t>
            </w:r>
            <w:r>
              <w:rPr>
                <w:color w:val="231F20"/>
                <w:sz w:val="15"/>
              </w:rPr>
              <w:t>1</w:t>
            </w:r>
            <w:r>
              <w:rPr>
                <w:color w:val="231F20"/>
                <w:spacing w:val="-4"/>
                <w:sz w:val="15"/>
              </w:rPr>
              <w:t> </w:t>
            </w:r>
            <w:r>
              <w:rPr>
                <w:color w:val="231F20"/>
                <w:sz w:val="15"/>
              </w:rPr>
              <w:t>mg/kg/day</w:t>
            </w:r>
            <w:r>
              <w:rPr>
                <w:color w:val="231F20"/>
                <w:spacing w:val="-5"/>
                <w:sz w:val="15"/>
              </w:rPr>
              <w:t> </w:t>
            </w:r>
            <w:r>
              <w:rPr>
                <w:color w:val="231F20"/>
                <w:sz w:val="15"/>
              </w:rPr>
              <w:t>in</w:t>
            </w:r>
            <w:r>
              <w:rPr>
                <w:color w:val="231F20"/>
                <w:spacing w:val="-4"/>
                <w:sz w:val="15"/>
              </w:rPr>
              <w:t> </w:t>
            </w:r>
            <w:r>
              <w:rPr>
                <w:color w:val="231F20"/>
                <w:sz w:val="15"/>
              </w:rPr>
              <w:t>4</w:t>
            </w:r>
            <w:r>
              <w:rPr>
                <w:color w:val="231F20"/>
                <w:spacing w:val="-4"/>
                <w:sz w:val="15"/>
              </w:rPr>
              <w:t> </w:t>
            </w:r>
            <w:r>
              <w:rPr>
                <w:color w:val="231F20"/>
                <w:sz w:val="15"/>
              </w:rPr>
              <w:t>divided</w:t>
            </w:r>
            <w:r>
              <w:rPr>
                <w:color w:val="231F20"/>
                <w:spacing w:val="-5"/>
                <w:sz w:val="15"/>
              </w:rPr>
              <w:t> </w:t>
            </w:r>
            <w:r>
              <w:rPr>
                <w:color w:val="231F20"/>
                <w:sz w:val="15"/>
              </w:rPr>
              <w:t>doses,</w:t>
            </w:r>
            <w:r>
              <w:rPr>
                <w:color w:val="231F20"/>
                <w:spacing w:val="-4"/>
                <w:sz w:val="15"/>
              </w:rPr>
              <w:t> </w:t>
            </w:r>
            <w:r>
              <w:rPr>
                <w:color w:val="231F20"/>
                <w:sz w:val="15"/>
              </w:rPr>
              <w:t>up</w:t>
            </w:r>
            <w:r>
              <w:rPr>
                <w:color w:val="231F20"/>
                <w:spacing w:val="-4"/>
                <w:sz w:val="15"/>
              </w:rPr>
              <w:t> </w:t>
            </w:r>
            <w:r>
              <w:rPr>
                <w:color w:val="231F20"/>
                <w:sz w:val="15"/>
              </w:rPr>
              <w:t>to</w:t>
            </w:r>
            <w:r>
              <w:rPr>
                <w:color w:val="231F20"/>
                <w:spacing w:val="-5"/>
                <w:sz w:val="15"/>
              </w:rPr>
              <w:t> </w:t>
            </w:r>
            <w:r>
              <w:rPr>
                <w:color w:val="231F20"/>
                <w:sz w:val="15"/>
              </w:rPr>
              <w:t>60</w:t>
            </w:r>
            <w:r>
              <w:rPr>
                <w:color w:val="231F20"/>
                <w:spacing w:val="-4"/>
                <w:sz w:val="15"/>
              </w:rPr>
              <w:t> </w:t>
            </w:r>
            <w:r>
              <w:rPr>
                <w:color w:val="231F20"/>
                <w:sz w:val="15"/>
              </w:rPr>
              <w:t>mg/day</w:t>
            </w:r>
            <w:r>
              <w:rPr>
                <w:color w:val="231F20"/>
                <w:spacing w:val="-4"/>
                <w:sz w:val="15"/>
              </w:rPr>
              <w:t> </w:t>
            </w:r>
            <w:r>
              <w:rPr>
                <w:color w:val="231F20"/>
                <w:sz w:val="15"/>
              </w:rPr>
              <w:t>in</w:t>
            </w:r>
            <w:r>
              <w:rPr>
                <w:color w:val="231F20"/>
                <w:spacing w:val="-5"/>
                <w:sz w:val="15"/>
              </w:rPr>
              <w:t> </w:t>
            </w:r>
            <w:r>
              <w:rPr>
                <w:color w:val="231F20"/>
                <w:spacing w:val="-2"/>
                <w:sz w:val="15"/>
              </w:rPr>
              <w:t>adults</w:t>
            </w:r>
          </w:p>
        </w:tc>
      </w:tr>
      <w:tr>
        <w:trPr>
          <w:trHeight w:val="924" w:hRule="atLeast"/>
        </w:trPr>
        <w:tc>
          <w:tcPr>
            <w:tcW w:w="182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AChR</w:t>
            </w:r>
            <w:r>
              <w:rPr>
                <w:color w:val="231F20"/>
                <w:spacing w:val="13"/>
                <w:sz w:val="15"/>
              </w:rPr>
              <w:t> </w:t>
            </w:r>
            <w:r>
              <w:rPr>
                <w:color w:val="231F20"/>
                <w:sz w:val="15"/>
              </w:rPr>
              <w:t>slow</w:t>
            </w:r>
            <w:r>
              <w:rPr>
                <w:color w:val="231F20"/>
                <w:spacing w:val="14"/>
                <w:sz w:val="15"/>
              </w:rPr>
              <w:t> </w:t>
            </w:r>
            <w:r>
              <w:rPr>
                <w:color w:val="231F20"/>
                <w:spacing w:val="-2"/>
                <w:sz w:val="15"/>
              </w:rPr>
              <w:t>channel</w:t>
            </w:r>
          </w:p>
        </w:tc>
        <w:tc>
          <w:tcPr>
            <w:tcW w:w="8015" w:type="dxa"/>
            <w:tcBorders>
              <w:top w:val="single" w:sz="4" w:space="0" w:color="FFFFFF"/>
              <w:bottom w:val="single" w:sz="4" w:space="0" w:color="FFFFFF"/>
            </w:tcBorders>
            <w:shd w:val="clear" w:color="auto" w:fill="E8F5F1"/>
          </w:tcPr>
          <w:p>
            <w:pPr>
              <w:pStyle w:val="TableParagraph"/>
              <w:spacing w:line="170" w:lineRule="exact" w:before="42"/>
              <w:ind w:left="463"/>
              <w:rPr>
                <w:sz w:val="15"/>
              </w:rPr>
            </w:pPr>
            <w:r>
              <w:rPr>
                <w:color w:val="231F20"/>
                <w:sz w:val="15"/>
              </w:rPr>
              <w:t>Quinidine</w:t>
            </w:r>
            <w:r>
              <w:rPr>
                <w:color w:val="231F20"/>
                <w:spacing w:val="13"/>
                <w:sz w:val="15"/>
              </w:rPr>
              <w:t> </w:t>
            </w:r>
            <w:r>
              <w:rPr>
                <w:color w:val="231F20"/>
                <w:spacing w:val="-2"/>
                <w:sz w:val="15"/>
              </w:rPr>
              <w:t>sulfate</w:t>
            </w:r>
          </w:p>
          <w:p>
            <w:pPr>
              <w:pStyle w:val="TableParagraph"/>
              <w:numPr>
                <w:ilvl w:val="0"/>
                <w:numId w:val="100"/>
              </w:numPr>
              <w:tabs>
                <w:tab w:pos="612" w:val="left" w:leader="none"/>
              </w:tabs>
              <w:spacing w:line="169" w:lineRule="exact" w:before="0" w:after="0"/>
              <w:ind w:left="612" w:right="0" w:hanging="149"/>
              <w:jc w:val="left"/>
              <w:rPr>
                <w:sz w:val="15"/>
              </w:rPr>
            </w:pPr>
            <w:r>
              <w:rPr>
                <w:color w:val="231F20"/>
                <w:sz w:val="15"/>
              </w:rPr>
              <w:t>Adults:</w:t>
            </w:r>
            <w:r>
              <w:rPr>
                <w:color w:val="231F20"/>
                <w:spacing w:val="-7"/>
                <w:sz w:val="15"/>
              </w:rPr>
              <w:t> </w:t>
            </w:r>
            <w:r>
              <w:rPr>
                <w:color w:val="231F20"/>
                <w:sz w:val="15"/>
              </w:rPr>
              <w:t>Begin</w:t>
            </w:r>
            <w:r>
              <w:rPr>
                <w:color w:val="231F20"/>
                <w:spacing w:val="-7"/>
                <w:sz w:val="15"/>
              </w:rPr>
              <w:t> </w:t>
            </w:r>
            <w:r>
              <w:rPr>
                <w:color w:val="231F20"/>
                <w:sz w:val="15"/>
              </w:rPr>
              <w:t>for</w:t>
            </w:r>
            <w:r>
              <w:rPr>
                <w:color w:val="231F20"/>
                <w:spacing w:val="-6"/>
                <w:sz w:val="15"/>
              </w:rPr>
              <w:t> </w:t>
            </w:r>
            <w:r>
              <w:rPr>
                <w:color w:val="231F20"/>
                <w:sz w:val="15"/>
              </w:rPr>
              <w:t>1</w:t>
            </w:r>
            <w:r>
              <w:rPr>
                <w:color w:val="231F20"/>
                <w:spacing w:val="-7"/>
                <w:sz w:val="15"/>
              </w:rPr>
              <w:t> </w:t>
            </w:r>
            <w:r>
              <w:rPr>
                <w:color w:val="231F20"/>
                <w:sz w:val="15"/>
              </w:rPr>
              <w:t>wk</w:t>
            </w:r>
            <w:r>
              <w:rPr>
                <w:color w:val="231F20"/>
                <w:spacing w:val="-6"/>
                <w:sz w:val="15"/>
              </w:rPr>
              <w:t> </w:t>
            </w:r>
            <w:r>
              <w:rPr>
                <w:color w:val="231F20"/>
                <w:sz w:val="15"/>
              </w:rPr>
              <w:t>with</w:t>
            </w:r>
            <w:r>
              <w:rPr>
                <w:color w:val="231F20"/>
                <w:spacing w:val="-7"/>
                <w:sz w:val="15"/>
              </w:rPr>
              <w:t> </w:t>
            </w:r>
            <w:r>
              <w:rPr>
                <w:color w:val="231F20"/>
                <w:sz w:val="15"/>
              </w:rPr>
              <w:t>200</w:t>
            </w:r>
            <w:r>
              <w:rPr>
                <w:color w:val="231F20"/>
                <w:spacing w:val="-6"/>
                <w:sz w:val="15"/>
              </w:rPr>
              <w:t> </w:t>
            </w:r>
            <w:r>
              <w:rPr>
                <w:color w:val="231F20"/>
                <w:sz w:val="15"/>
              </w:rPr>
              <w:t>mg</w:t>
            </w:r>
            <w:r>
              <w:rPr>
                <w:color w:val="231F20"/>
                <w:spacing w:val="-7"/>
                <w:sz w:val="15"/>
              </w:rPr>
              <w:t> </w:t>
            </w:r>
            <w:r>
              <w:rPr>
                <w:color w:val="231F20"/>
                <w:sz w:val="15"/>
              </w:rPr>
              <w:t>tid;</w:t>
            </w:r>
            <w:r>
              <w:rPr>
                <w:color w:val="231F20"/>
                <w:spacing w:val="-6"/>
                <w:sz w:val="15"/>
              </w:rPr>
              <w:t> </w:t>
            </w:r>
            <w:r>
              <w:rPr>
                <w:color w:val="231F20"/>
                <w:sz w:val="15"/>
              </w:rPr>
              <w:t>gradual</w:t>
            </w:r>
            <w:r>
              <w:rPr>
                <w:color w:val="231F20"/>
                <w:spacing w:val="-7"/>
                <w:sz w:val="15"/>
              </w:rPr>
              <w:t> </w:t>
            </w:r>
            <w:r>
              <w:rPr>
                <w:color w:val="231F20"/>
                <w:sz w:val="15"/>
              </w:rPr>
              <w:t>increase</w:t>
            </w:r>
            <w:r>
              <w:rPr>
                <w:color w:val="231F20"/>
                <w:spacing w:val="-6"/>
                <w:sz w:val="15"/>
              </w:rPr>
              <w:t> </w:t>
            </w:r>
            <w:r>
              <w:rPr>
                <w:color w:val="231F20"/>
                <w:sz w:val="15"/>
              </w:rPr>
              <w:t>to</w:t>
            </w:r>
            <w:r>
              <w:rPr>
                <w:color w:val="231F20"/>
                <w:spacing w:val="-7"/>
                <w:sz w:val="15"/>
              </w:rPr>
              <w:t> </w:t>
            </w:r>
            <w:r>
              <w:rPr>
                <w:color w:val="231F20"/>
                <w:sz w:val="15"/>
              </w:rPr>
              <w:t>maintain</w:t>
            </w:r>
            <w:r>
              <w:rPr>
                <w:color w:val="231F20"/>
                <w:spacing w:val="-6"/>
                <w:sz w:val="15"/>
              </w:rPr>
              <w:t> </w:t>
            </w:r>
            <w:r>
              <w:rPr>
                <w:color w:val="231F20"/>
                <w:sz w:val="15"/>
              </w:rPr>
              <w:t>a</w:t>
            </w:r>
            <w:r>
              <w:rPr>
                <w:color w:val="231F20"/>
                <w:spacing w:val="-7"/>
                <w:sz w:val="15"/>
              </w:rPr>
              <w:t> </w:t>
            </w:r>
            <w:r>
              <w:rPr>
                <w:color w:val="231F20"/>
                <w:sz w:val="15"/>
              </w:rPr>
              <w:t>serum</w:t>
            </w:r>
            <w:r>
              <w:rPr>
                <w:color w:val="231F20"/>
                <w:spacing w:val="-7"/>
                <w:sz w:val="15"/>
              </w:rPr>
              <w:t> </w:t>
            </w:r>
            <w:r>
              <w:rPr>
                <w:color w:val="231F20"/>
                <w:sz w:val="15"/>
              </w:rPr>
              <w:t>level</w:t>
            </w:r>
            <w:r>
              <w:rPr>
                <w:color w:val="231F20"/>
                <w:spacing w:val="-6"/>
                <w:sz w:val="15"/>
              </w:rPr>
              <w:t> </w:t>
            </w:r>
            <w:r>
              <w:rPr>
                <w:color w:val="231F20"/>
                <w:sz w:val="15"/>
              </w:rPr>
              <w:t>of</w:t>
            </w:r>
            <w:r>
              <w:rPr>
                <w:color w:val="231F20"/>
                <w:spacing w:val="-7"/>
                <w:sz w:val="15"/>
              </w:rPr>
              <w:t> </w:t>
            </w:r>
            <w:r>
              <w:rPr>
                <w:color w:val="231F20"/>
                <w:sz w:val="15"/>
              </w:rPr>
              <w:t>1-25</w:t>
            </w:r>
            <w:r>
              <w:rPr>
                <w:color w:val="231F20"/>
                <w:spacing w:val="-6"/>
                <w:sz w:val="15"/>
              </w:rPr>
              <w:t> </w:t>
            </w:r>
            <w:r>
              <w:rPr>
                <w:rFonts w:ascii="Cambria" w:hAnsi="Cambria"/>
                <w:color w:val="231F20"/>
                <w:spacing w:val="-2"/>
                <w:sz w:val="15"/>
              </w:rPr>
              <w:t>μ</w:t>
            </w:r>
            <w:r>
              <w:rPr>
                <w:color w:val="231F20"/>
                <w:spacing w:val="-2"/>
                <w:sz w:val="15"/>
              </w:rPr>
              <w:t>g/mL</w:t>
            </w:r>
          </w:p>
          <w:p>
            <w:pPr>
              <w:pStyle w:val="TableParagraph"/>
              <w:numPr>
                <w:ilvl w:val="0"/>
                <w:numId w:val="100"/>
              </w:numPr>
              <w:tabs>
                <w:tab w:pos="612" w:val="left" w:leader="none"/>
              </w:tabs>
              <w:spacing w:line="230" w:lineRule="auto" w:before="2" w:after="0"/>
              <w:ind w:left="463" w:right="1948" w:firstLine="0"/>
              <w:jc w:val="left"/>
              <w:rPr>
                <w:sz w:val="15"/>
              </w:rPr>
            </w:pPr>
            <w:r>
              <w:rPr>
                <w:color w:val="231F20"/>
                <w:sz w:val="15"/>
              </w:rPr>
              <w:t>Children:</w:t>
            </w:r>
            <w:r>
              <w:rPr>
                <w:color w:val="231F20"/>
                <w:spacing w:val="-11"/>
                <w:sz w:val="15"/>
              </w:rPr>
              <w:t> </w:t>
            </w:r>
            <w:r>
              <w:rPr>
                <w:color w:val="231F20"/>
                <w:sz w:val="15"/>
              </w:rPr>
              <w:t>15-60</w:t>
            </w:r>
            <w:r>
              <w:rPr>
                <w:color w:val="231F20"/>
                <w:spacing w:val="-11"/>
                <w:sz w:val="15"/>
              </w:rPr>
              <w:t> </w:t>
            </w:r>
            <w:r>
              <w:rPr>
                <w:color w:val="231F20"/>
                <w:sz w:val="15"/>
              </w:rPr>
              <w:t>mg/kg/day</w:t>
            </w:r>
            <w:r>
              <w:rPr>
                <w:color w:val="231F20"/>
                <w:spacing w:val="-11"/>
                <w:sz w:val="15"/>
              </w:rPr>
              <w:t> </w:t>
            </w:r>
            <w:r>
              <w:rPr>
                <w:color w:val="231F20"/>
                <w:sz w:val="15"/>
              </w:rPr>
              <w:t>in</w:t>
            </w:r>
            <w:r>
              <w:rPr>
                <w:color w:val="231F20"/>
                <w:spacing w:val="-11"/>
                <w:sz w:val="15"/>
              </w:rPr>
              <w:t> </w:t>
            </w:r>
            <w:r>
              <w:rPr>
                <w:color w:val="231F20"/>
                <w:sz w:val="15"/>
              </w:rPr>
              <w:t>4-6</w:t>
            </w:r>
            <w:r>
              <w:rPr>
                <w:color w:val="231F20"/>
                <w:spacing w:val="-11"/>
                <w:sz w:val="15"/>
              </w:rPr>
              <w:t> </w:t>
            </w:r>
            <w:r>
              <w:rPr>
                <w:color w:val="231F20"/>
                <w:sz w:val="15"/>
              </w:rPr>
              <w:t>divided</w:t>
            </w:r>
            <w:r>
              <w:rPr>
                <w:color w:val="231F20"/>
                <w:spacing w:val="-11"/>
                <w:sz w:val="15"/>
              </w:rPr>
              <w:t> </w:t>
            </w:r>
            <w:r>
              <w:rPr>
                <w:color w:val="231F20"/>
                <w:sz w:val="15"/>
              </w:rPr>
              <w:t>doses;</w:t>
            </w:r>
            <w:r>
              <w:rPr>
                <w:color w:val="231F20"/>
                <w:spacing w:val="-11"/>
                <w:sz w:val="15"/>
              </w:rPr>
              <w:t> </w:t>
            </w:r>
            <w:r>
              <w:rPr>
                <w:color w:val="231F20"/>
                <w:sz w:val="15"/>
              </w:rPr>
              <w:t>not</w:t>
            </w:r>
            <w:r>
              <w:rPr>
                <w:color w:val="231F20"/>
                <w:spacing w:val="-11"/>
                <w:sz w:val="15"/>
              </w:rPr>
              <w:t> </w:t>
            </w:r>
            <w:r>
              <w:rPr>
                <w:color w:val="231F20"/>
                <w:sz w:val="15"/>
              </w:rPr>
              <w:t>available</w:t>
            </w:r>
            <w:r>
              <w:rPr>
                <w:color w:val="231F20"/>
                <w:spacing w:val="-11"/>
                <w:sz w:val="15"/>
              </w:rPr>
              <w:t> </w:t>
            </w:r>
            <w:r>
              <w:rPr>
                <w:color w:val="231F20"/>
                <w:sz w:val="15"/>
              </w:rPr>
              <w:t>in</w:t>
            </w:r>
            <w:r>
              <w:rPr>
                <w:color w:val="231F20"/>
                <w:spacing w:val="-11"/>
                <w:sz w:val="15"/>
              </w:rPr>
              <w:t> </w:t>
            </w:r>
            <w:r>
              <w:rPr>
                <w:color w:val="231F20"/>
                <w:sz w:val="15"/>
              </w:rPr>
              <w:t>several</w:t>
            </w:r>
            <w:r>
              <w:rPr>
                <w:color w:val="231F20"/>
                <w:spacing w:val="-11"/>
                <w:sz w:val="15"/>
              </w:rPr>
              <w:t> </w:t>
            </w:r>
            <w:r>
              <w:rPr>
                <w:color w:val="231F20"/>
                <w:sz w:val="15"/>
              </w:rPr>
              <w:t>countries If quinidine sulfate is not available, fluoxetine 80-100 mg/day in adults</w:t>
            </w:r>
          </w:p>
          <w:p>
            <w:pPr>
              <w:pStyle w:val="TableParagraph"/>
              <w:spacing w:line="170" w:lineRule="exact"/>
              <w:ind w:left="463"/>
              <w:rPr>
                <w:sz w:val="15"/>
              </w:rPr>
            </w:pPr>
            <w:r>
              <w:rPr>
                <w:color w:val="231F20"/>
                <w:w w:val="105"/>
                <w:sz w:val="15"/>
              </w:rPr>
              <w:t>Avoid</w:t>
            </w:r>
            <w:r>
              <w:rPr>
                <w:color w:val="231F20"/>
                <w:spacing w:val="7"/>
                <w:w w:val="105"/>
                <w:sz w:val="15"/>
              </w:rPr>
              <w:t> </w:t>
            </w:r>
            <w:r>
              <w:rPr>
                <w:color w:val="231F20"/>
                <w:w w:val="105"/>
                <w:sz w:val="15"/>
              </w:rPr>
              <w:t>AChE</w:t>
            </w:r>
            <w:r>
              <w:rPr>
                <w:color w:val="231F20"/>
                <w:spacing w:val="7"/>
                <w:w w:val="105"/>
                <w:sz w:val="15"/>
              </w:rPr>
              <w:t> </w:t>
            </w:r>
            <w:r>
              <w:rPr>
                <w:color w:val="231F20"/>
                <w:spacing w:val="-2"/>
                <w:w w:val="105"/>
                <w:sz w:val="15"/>
              </w:rPr>
              <w:t>inhibitors</w:t>
            </w:r>
          </w:p>
        </w:tc>
      </w:tr>
      <w:tr>
        <w:trPr>
          <w:trHeight w:val="420" w:hRule="atLeast"/>
        </w:trPr>
        <w:tc>
          <w:tcPr>
            <w:tcW w:w="182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w w:val="110"/>
                <w:sz w:val="15"/>
              </w:rPr>
              <w:t>ChAT</w:t>
            </w:r>
          </w:p>
        </w:tc>
        <w:tc>
          <w:tcPr>
            <w:tcW w:w="8015" w:type="dxa"/>
            <w:tcBorders>
              <w:top w:val="single" w:sz="4" w:space="0" w:color="FFFFFF"/>
              <w:bottom w:val="single" w:sz="4" w:space="0" w:color="FFFFFF"/>
            </w:tcBorders>
            <w:shd w:val="clear" w:color="auto" w:fill="E8F5F1"/>
          </w:tcPr>
          <w:p>
            <w:pPr>
              <w:pStyle w:val="TableParagraph"/>
              <w:spacing w:line="171" w:lineRule="exact" w:before="42"/>
              <w:ind w:left="463"/>
              <w:rPr>
                <w:sz w:val="15"/>
              </w:rPr>
            </w:pPr>
            <w:r>
              <w:rPr>
                <w:color w:val="231F20"/>
                <w:sz w:val="15"/>
              </w:rPr>
              <w:t>AChE</w:t>
            </w:r>
            <w:r>
              <w:rPr>
                <w:color w:val="231F20"/>
                <w:spacing w:val="-4"/>
                <w:sz w:val="15"/>
              </w:rPr>
              <w:t> </w:t>
            </w:r>
            <w:r>
              <w:rPr>
                <w:color w:val="231F20"/>
                <w:sz w:val="15"/>
              </w:rPr>
              <w:t>inhibitors:</w:t>
            </w:r>
            <w:r>
              <w:rPr>
                <w:color w:val="231F20"/>
                <w:spacing w:val="-3"/>
                <w:sz w:val="15"/>
              </w:rPr>
              <w:t> </w:t>
            </w:r>
            <w:r>
              <w:rPr>
                <w:color w:val="231F20"/>
                <w:sz w:val="15"/>
              </w:rPr>
              <w:t>pyridostigmine</w:t>
            </w:r>
            <w:r>
              <w:rPr>
                <w:color w:val="231F20"/>
                <w:spacing w:val="-3"/>
                <w:sz w:val="15"/>
              </w:rPr>
              <w:t> </w:t>
            </w:r>
            <w:r>
              <w:rPr>
                <w:color w:val="231F20"/>
                <w:sz w:val="15"/>
              </w:rPr>
              <w:t>bromide</w:t>
            </w:r>
            <w:r>
              <w:rPr>
                <w:color w:val="231F20"/>
                <w:spacing w:val="-3"/>
                <w:sz w:val="15"/>
              </w:rPr>
              <w:t> </w:t>
            </w:r>
            <w:r>
              <w:rPr>
                <w:color w:val="231F20"/>
                <w:sz w:val="15"/>
              </w:rPr>
              <w:t>(Mestinon)</w:t>
            </w:r>
            <w:r>
              <w:rPr>
                <w:color w:val="231F20"/>
                <w:spacing w:val="-3"/>
                <w:sz w:val="15"/>
              </w:rPr>
              <w:t> </w:t>
            </w:r>
            <w:r>
              <w:rPr>
                <w:color w:val="231F20"/>
                <w:sz w:val="15"/>
              </w:rPr>
              <w:t>4-5</w:t>
            </w:r>
            <w:r>
              <w:rPr>
                <w:color w:val="231F20"/>
                <w:spacing w:val="-3"/>
                <w:sz w:val="15"/>
              </w:rPr>
              <w:t> </w:t>
            </w:r>
            <w:r>
              <w:rPr>
                <w:color w:val="231F20"/>
                <w:sz w:val="15"/>
              </w:rPr>
              <w:t>mg/kg/day</w:t>
            </w:r>
            <w:r>
              <w:rPr>
                <w:color w:val="231F20"/>
                <w:spacing w:val="-3"/>
                <w:sz w:val="15"/>
              </w:rPr>
              <w:t> </w:t>
            </w:r>
            <w:r>
              <w:rPr>
                <w:color w:val="231F20"/>
                <w:sz w:val="15"/>
              </w:rPr>
              <w:t>in</w:t>
            </w:r>
            <w:r>
              <w:rPr>
                <w:color w:val="231F20"/>
                <w:spacing w:val="-3"/>
                <w:sz w:val="15"/>
              </w:rPr>
              <w:t> </w:t>
            </w:r>
            <w:r>
              <w:rPr>
                <w:color w:val="231F20"/>
                <w:sz w:val="15"/>
              </w:rPr>
              <w:t>4-6</w:t>
            </w:r>
            <w:r>
              <w:rPr>
                <w:color w:val="231F20"/>
                <w:spacing w:val="-3"/>
                <w:sz w:val="15"/>
              </w:rPr>
              <w:t> </w:t>
            </w:r>
            <w:r>
              <w:rPr>
                <w:color w:val="231F20"/>
                <w:sz w:val="15"/>
              </w:rPr>
              <w:t>divided</w:t>
            </w:r>
            <w:r>
              <w:rPr>
                <w:color w:val="231F20"/>
                <w:spacing w:val="-3"/>
                <w:sz w:val="15"/>
              </w:rPr>
              <w:t> </w:t>
            </w:r>
            <w:r>
              <w:rPr>
                <w:color w:val="231F20"/>
                <w:spacing w:val="-2"/>
                <w:sz w:val="15"/>
              </w:rPr>
              <w:t>doses</w:t>
            </w:r>
          </w:p>
          <w:p>
            <w:pPr>
              <w:pStyle w:val="TableParagraph"/>
              <w:spacing w:line="171" w:lineRule="exact"/>
              <w:ind w:left="463"/>
              <w:rPr>
                <w:sz w:val="15"/>
              </w:rPr>
            </w:pPr>
            <w:r>
              <w:rPr>
                <w:color w:val="231F20"/>
                <w:sz w:val="15"/>
              </w:rPr>
              <w:t>If</w:t>
            </w:r>
            <w:r>
              <w:rPr>
                <w:color w:val="231F20"/>
                <w:spacing w:val="-5"/>
                <w:sz w:val="15"/>
              </w:rPr>
              <w:t> </w:t>
            </w:r>
            <w:r>
              <w:rPr>
                <w:color w:val="231F20"/>
                <w:sz w:val="15"/>
              </w:rPr>
              <w:t>necessary</w:t>
            </w:r>
            <w:r>
              <w:rPr>
                <w:color w:val="231F20"/>
                <w:spacing w:val="-4"/>
                <w:sz w:val="15"/>
              </w:rPr>
              <w:t> </w:t>
            </w:r>
            <w:r>
              <w:rPr>
                <w:color w:val="231F20"/>
                <w:sz w:val="15"/>
              </w:rPr>
              <w:t>add</w:t>
            </w:r>
            <w:r>
              <w:rPr>
                <w:color w:val="231F20"/>
                <w:spacing w:val="-4"/>
                <w:sz w:val="15"/>
              </w:rPr>
              <w:t> </w:t>
            </w:r>
            <w:r>
              <w:rPr>
                <w:color w:val="231F20"/>
                <w:sz w:val="15"/>
              </w:rPr>
              <w:t>3,4-diaminopyridine</w:t>
            </w:r>
            <w:r>
              <w:rPr>
                <w:color w:val="231F20"/>
                <w:spacing w:val="-5"/>
                <w:sz w:val="15"/>
              </w:rPr>
              <w:t> </w:t>
            </w:r>
            <w:r>
              <w:rPr>
                <w:color w:val="231F20"/>
                <w:sz w:val="15"/>
              </w:rPr>
              <w:t>1</w:t>
            </w:r>
            <w:r>
              <w:rPr>
                <w:color w:val="231F20"/>
                <w:spacing w:val="-4"/>
                <w:sz w:val="15"/>
              </w:rPr>
              <w:t> </w:t>
            </w:r>
            <w:r>
              <w:rPr>
                <w:color w:val="231F20"/>
                <w:sz w:val="15"/>
              </w:rPr>
              <w:t>mg/kg/day</w:t>
            </w:r>
            <w:r>
              <w:rPr>
                <w:color w:val="231F20"/>
                <w:spacing w:val="-5"/>
                <w:sz w:val="15"/>
              </w:rPr>
              <w:t> </w:t>
            </w:r>
            <w:r>
              <w:rPr>
                <w:color w:val="231F20"/>
                <w:sz w:val="15"/>
              </w:rPr>
              <w:t>in</w:t>
            </w:r>
            <w:r>
              <w:rPr>
                <w:color w:val="231F20"/>
                <w:spacing w:val="-4"/>
                <w:sz w:val="15"/>
              </w:rPr>
              <w:t> </w:t>
            </w:r>
            <w:r>
              <w:rPr>
                <w:color w:val="231F20"/>
                <w:sz w:val="15"/>
              </w:rPr>
              <w:t>4</w:t>
            </w:r>
            <w:r>
              <w:rPr>
                <w:color w:val="231F20"/>
                <w:spacing w:val="-4"/>
                <w:sz w:val="15"/>
              </w:rPr>
              <w:t> </w:t>
            </w:r>
            <w:r>
              <w:rPr>
                <w:color w:val="231F20"/>
                <w:sz w:val="15"/>
              </w:rPr>
              <w:t>divided</w:t>
            </w:r>
            <w:r>
              <w:rPr>
                <w:color w:val="231F20"/>
                <w:spacing w:val="-5"/>
                <w:sz w:val="15"/>
              </w:rPr>
              <w:t> </w:t>
            </w:r>
            <w:r>
              <w:rPr>
                <w:color w:val="231F20"/>
                <w:sz w:val="15"/>
              </w:rPr>
              <w:t>doses,</w:t>
            </w:r>
            <w:r>
              <w:rPr>
                <w:color w:val="231F20"/>
                <w:spacing w:val="-4"/>
                <w:sz w:val="15"/>
              </w:rPr>
              <w:t> </w:t>
            </w:r>
            <w:r>
              <w:rPr>
                <w:color w:val="231F20"/>
                <w:sz w:val="15"/>
              </w:rPr>
              <w:t>up</w:t>
            </w:r>
            <w:r>
              <w:rPr>
                <w:color w:val="231F20"/>
                <w:spacing w:val="-4"/>
                <w:sz w:val="15"/>
              </w:rPr>
              <w:t> </w:t>
            </w:r>
            <w:r>
              <w:rPr>
                <w:color w:val="231F20"/>
                <w:sz w:val="15"/>
              </w:rPr>
              <w:t>to</w:t>
            </w:r>
            <w:r>
              <w:rPr>
                <w:color w:val="231F20"/>
                <w:spacing w:val="-5"/>
                <w:sz w:val="15"/>
              </w:rPr>
              <w:t> </w:t>
            </w:r>
            <w:r>
              <w:rPr>
                <w:color w:val="231F20"/>
                <w:sz w:val="15"/>
              </w:rPr>
              <w:t>60</w:t>
            </w:r>
            <w:r>
              <w:rPr>
                <w:color w:val="231F20"/>
                <w:spacing w:val="-4"/>
                <w:sz w:val="15"/>
              </w:rPr>
              <w:t> </w:t>
            </w:r>
            <w:r>
              <w:rPr>
                <w:color w:val="231F20"/>
                <w:sz w:val="15"/>
              </w:rPr>
              <w:t>mg/day</w:t>
            </w:r>
            <w:r>
              <w:rPr>
                <w:color w:val="231F20"/>
                <w:spacing w:val="-4"/>
                <w:sz w:val="15"/>
              </w:rPr>
              <w:t> </w:t>
            </w:r>
            <w:r>
              <w:rPr>
                <w:color w:val="231F20"/>
                <w:sz w:val="15"/>
              </w:rPr>
              <w:t>in</w:t>
            </w:r>
            <w:r>
              <w:rPr>
                <w:color w:val="231F20"/>
                <w:spacing w:val="-5"/>
                <w:sz w:val="15"/>
              </w:rPr>
              <w:t> </w:t>
            </w:r>
            <w:r>
              <w:rPr>
                <w:color w:val="231F20"/>
                <w:spacing w:val="-2"/>
                <w:sz w:val="15"/>
              </w:rPr>
              <w:t>adults</w:t>
            </w:r>
          </w:p>
        </w:tc>
      </w:tr>
      <w:tr>
        <w:trPr>
          <w:trHeight w:val="588" w:hRule="atLeast"/>
        </w:trPr>
        <w:tc>
          <w:tcPr>
            <w:tcW w:w="182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w w:val="105"/>
                <w:sz w:val="15"/>
              </w:rPr>
              <w:t>Dok7</w:t>
            </w:r>
          </w:p>
        </w:tc>
        <w:tc>
          <w:tcPr>
            <w:tcW w:w="8015" w:type="dxa"/>
            <w:tcBorders>
              <w:top w:val="single" w:sz="4" w:space="0" w:color="FFFFFF"/>
              <w:bottom w:val="single" w:sz="4" w:space="0" w:color="FFFFFF"/>
            </w:tcBorders>
            <w:shd w:val="clear" w:color="auto" w:fill="E8F5F1"/>
          </w:tcPr>
          <w:p>
            <w:pPr>
              <w:pStyle w:val="TableParagraph"/>
              <w:spacing w:line="171" w:lineRule="exact" w:before="42"/>
              <w:ind w:left="463"/>
              <w:rPr>
                <w:sz w:val="15"/>
              </w:rPr>
            </w:pPr>
            <w:r>
              <w:rPr>
                <w:color w:val="231F20"/>
                <w:sz w:val="15"/>
              </w:rPr>
              <w:t>Ephedrine</w:t>
            </w:r>
            <w:r>
              <w:rPr>
                <w:color w:val="231F20"/>
                <w:spacing w:val="-3"/>
                <w:sz w:val="15"/>
              </w:rPr>
              <w:t> </w:t>
            </w:r>
            <w:r>
              <w:rPr>
                <w:color w:val="231F20"/>
                <w:sz w:val="15"/>
              </w:rPr>
              <w:t>3</w:t>
            </w:r>
            <w:r>
              <w:rPr>
                <w:color w:val="231F20"/>
                <w:spacing w:val="-3"/>
                <w:sz w:val="15"/>
              </w:rPr>
              <w:t> </w:t>
            </w:r>
            <w:r>
              <w:rPr>
                <w:color w:val="231F20"/>
                <w:sz w:val="15"/>
              </w:rPr>
              <w:t>mg/kg/day</w:t>
            </w:r>
            <w:r>
              <w:rPr>
                <w:color w:val="231F20"/>
                <w:spacing w:val="-3"/>
                <w:sz w:val="15"/>
              </w:rPr>
              <w:t> </w:t>
            </w:r>
            <w:r>
              <w:rPr>
                <w:color w:val="231F20"/>
                <w:sz w:val="15"/>
              </w:rPr>
              <w:t>in</w:t>
            </w:r>
            <w:r>
              <w:rPr>
                <w:color w:val="231F20"/>
                <w:spacing w:val="-3"/>
                <w:sz w:val="15"/>
              </w:rPr>
              <w:t> </w:t>
            </w:r>
            <w:r>
              <w:rPr>
                <w:color w:val="231F20"/>
                <w:sz w:val="15"/>
              </w:rPr>
              <w:t>3</w:t>
            </w:r>
            <w:r>
              <w:rPr>
                <w:color w:val="231F20"/>
                <w:spacing w:val="-3"/>
                <w:sz w:val="15"/>
              </w:rPr>
              <w:t> </w:t>
            </w:r>
            <w:r>
              <w:rPr>
                <w:color w:val="231F20"/>
                <w:sz w:val="15"/>
              </w:rPr>
              <w:t>divided</w:t>
            </w:r>
            <w:r>
              <w:rPr>
                <w:color w:val="231F20"/>
                <w:spacing w:val="-3"/>
                <w:sz w:val="15"/>
              </w:rPr>
              <w:t> </w:t>
            </w:r>
            <w:r>
              <w:rPr>
                <w:color w:val="231F20"/>
                <w:sz w:val="15"/>
              </w:rPr>
              <w:t>doses;</w:t>
            </w:r>
            <w:r>
              <w:rPr>
                <w:color w:val="231F20"/>
                <w:spacing w:val="-3"/>
                <w:sz w:val="15"/>
              </w:rPr>
              <w:t> </w:t>
            </w:r>
            <w:r>
              <w:rPr>
                <w:color w:val="231F20"/>
                <w:sz w:val="15"/>
              </w:rPr>
              <w:t>begin</w:t>
            </w:r>
            <w:r>
              <w:rPr>
                <w:color w:val="231F20"/>
                <w:spacing w:val="-3"/>
                <w:sz w:val="15"/>
              </w:rPr>
              <w:t> </w:t>
            </w:r>
            <w:r>
              <w:rPr>
                <w:color w:val="231F20"/>
                <w:sz w:val="15"/>
              </w:rPr>
              <w:t>with</w:t>
            </w:r>
            <w:r>
              <w:rPr>
                <w:color w:val="231F20"/>
                <w:spacing w:val="-3"/>
                <w:sz w:val="15"/>
              </w:rPr>
              <w:t> </w:t>
            </w:r>
            <w:r>
              <w:rPr>
                <w:color w:val="231F20"/>
                <w:sz w:val="15"/>
              </w:rPr>
              <w:t>1</w:t>
            </w:r>
            <w:r>
              <w:rPr>
                <w:color w:val="231F20"/>
                <w:spacing w:val="-3"/>
                <w:sz w:val="15"/>
              </w:rPr>
              <w:t> </w:t>
            </w:r>
            <w:r>
              <w:rPr>
                <w:color w:val="231F20"/>
                <w:sz w:val="15"/>
              </w:rPr>
              <w:t>mg/kg;</w:t>
            </w:r>
            <w:r>
              <w:rPr>
                <w:color w:val="231F20"/>
                <w:spacing w:val="-3"/>
                <w:sz w:val="15"/>
              </w:rPr>
              <w:t> </w:t>
            </w:r>
            <w:r>
              <w:rPr>
                <w:color w:val="231F20"/>
                <w:sz w:val="15"/>
              </w:rPr>
              <w:t>not</w:t>
            </w:r>
            <w:r>
              <w:rPr>
                <w:color w:val="231F20"/>
                <w:spacing w:val="-3"/>
                <w:sz w:val="15"/>
              </w:rPr>
              <w:t> </w:t>
            </w:r>
            <w:r>
              <w:rPr>
                <w:color w:val="231F20"/>
                <w:sz w:val="15"/>
              </w:rPr>
              <w:t>obtainable</w:t>
            </w:r>
            <w:r>
              <w:rPr>
                <w:color w:val="231F20"/>
                <w:spacing w:val="-3"/>
                <w:sz w:val="15"/>
              </w:rPr>
              <w:t> </w:t>
            </w:r>
            <w:r>
              <w:rPr>
                <w:color w:val="231F20"/>
                <w:sz w:val="15"/>
              </w:rPr>
              <w:t>in</w:t>
            </w:r>
            <w:r>
              <w:rPr>
                <w:color w:val="231F20"/>
                <w:spacing w:val="-3"/>
                <w:sz w:val="15"/>
              </w:rPr>
              <w:t> </w:t>
            </w:r>
            <w:r>
              <w:rPr>
                <w:color w:val="231F20"/>
                <w:sz w:val="15"/>
              </w:rPr>
              <w:t>several</w:t>
            </w:r>
            <w:r>
              <w:rPr>
                <w:color w:val="231F20"/>
                <w:spacing w:val="-3"/>
                <w:sz w:val="15"/>
              </w:rPr>
              <w:t> </w:t>
            </w:r>
            <w:r>
              <w:rPr>
                <w:color w:val="231F20"/>
                <w:spacing w:val="-2"/>
                <w:sz w:val="15"/>
              </w:rPr>
              <w:t>countries</w:t>
            </w:r>
          </w:p>
          <w:p>
            <w:pPr>
              <w:pStyle w:val="TableParagraph"/>
              <w:spacing w:line="230" w:lineRule="auto" w:before="2"/>
              <w:ind w:left="463"/>
              <w:rPr>
                <w:sz w:val="15"/>
              </w:rPr>
            </w:pPr>
            <w:r>
              <w:rPr>
                <w:color w:val="231F20"/>
                <w:sz w:val="15"/>
              </w:rPr>
              <w:t>If</w:t>
            </w:r>
            <w:r>
              <w:rPr>
                <w:color w:val="231F20"/>
                <w:spacing w:val="-6"/>
                <w:sz w:val="15"/>
              </w:rPr>
              <w:t> </w:t>
            </w:r>
            <w:r>
              <w:rPr>
                <w:color w:val="231F20"/>
                <w:sz w:val="15"/>
              </w:rPr>
              <w:t>ephedrine</w:t>
            </w:r>
            <w:r>
              <w:rPr>
                <w:color w:val="231F20"/>
                <w:spacing w:val="-6"/>
                <w:sz w:val="15"/>
              </w:rPr>
              <w:t> </w:t>
            </w:r>
            <w:r>
              <w:rPr>
                <w:color w:val="231F20"/>
                <w:sz w:val="15"/>
              </w:rPr>
              <w:t>is</w:t>
            </w:r>
            <w:r>
              <w:rPr>
                <w:color w:val="231F20"/>
                <w:spacing w:val="-6"/>
                <w:sz w:val="15"/>
              </w:rPr>
              <w:t> </w:t>
            </w:r>
            <w:r>
              <w:rPr>
                <w:color w:val="231F20"/>
                <w:sz w:val="15"/>
              </w:rPr>
              <w:t>not</w:t>
            </w:r>
            <w:r>
              <w:rPr>
                <w:color w:val="231F20"/>
                <w:spacing w:val="-6"/>
                <w:sz w:val="15"/>
              </w:rPr>
              <w:t> </w:t>
            </w:r>
            <w:r>
              <w:rPr>
                <w:color w:val="231F20"/>
                <w:sz w:val="15"/>
              </w:rPr>
              <w:t>obtainable,</w:t>
            </w:r>
            <w:r>
              <w:rPr>
                <w:color w:val="231F20"/>
                <w:spacing w:val="-6"/>
                <w:sz w:val="15"/>
              </w:rPr>
              <w:t> </w:t>
            </w:r>
            <w:r>
              <w:rPr>
                <w:color w:val="231F20"/>
                <w:sz w:val="15"/>
              </w:rPr>
              <w:t>3,4-diaminopyridine</w:t>
            </w:r>
            <w:r>
              <w:rPr>
                <w:color w:val="231F20"/>
                <w:spacing w:val="-6"/>
                <w:sz w:val="15"/>
              </w:rPr>
              <w:t> </w:t>
            </w:r>
            <w:r>
              <w:rPr>
                <w:color w:val="231F20"/>
                <w:sz w:val="15"/>
              </w:rPr>
              <w:t>1</w:t>
            </w:r>
            <w:r>
              <w:rPr>
                <w:color w:val="231F20"/>
                <w:spacing w:val="-6"/>
                <w:sz w:val="15"/>
              </w:rPr>
              <w:t> </w:t>
            </w:r>
            <w:r>
              <w:rPr>
                <w:color w:val="231F20"/>
                <w:sz w:val="15"/>
              </w:rPr>
              <w:t>mg/kg/day</w:t>
            </w:r>
            <w:r>
              <w:rPr>
                <w:color w:val="231F20"/>
                <w:spacing w:val="-6"/>
                <w:sz w:val="15"/>
              </w:rPr>
              <w:t> </w:t>
            </w:r>
            <w:r>
              <w:rPr>
                <w:color w:val="231F20"/>
                <w:sz w:val="15"/>
              </w:rPr>
              <w:t>in</w:t>
            </w:r>
            <w:r>
              <w:rPr>
                <w:color w:val="231F20"/>
                <w:spacing w:val="-6"/>
                <w:sz w:val="15"/>
              </w:rPr>
              <w:t> </w:t>
            </w:r>
            <w:r>
              <w:rPr>
                <w:color w:val="231F20"/>
                <w:sz w:val="15"/>
              </w:rPr>
              <w:t>4</w:t>
            </w:r>
            <w:r>
              <w:rPr>
                <w:color w:val="231F20"/>
                <w:spacing w:val="-6"/>
                <w:sz w:val="15"/>
              </w:rPr>
              <w:t> </w:t>
            </w:r>
            <w:r>
              <w:rPr>
                <w:color w:val="231F20"/>
                <w:sz w:val="15"/>
              </w:rPr>
              <w:t>divided</w:t>
            </w:r>
            <w:r>
              <w:rPr>
                <w:color w:val="231F20"/>
                <w:spacing w:val="-6"/>
                <w:sz w:val="15"/>
              </w:rPr>
              <w:t> </w:t>
            </w:r>
            <w:r>
              <w:rPr>
                <w:color w:val="231F20"/>
                <w:sz w:val="15"/>
              </w:rPr>
              <w:t>doses,</w:t>
            </w:r>
            <w:r>
              <w:rPr>
                <w:color w:val="231F20"/>
                <w:spacing w:val="-6"/>
                <w:sz w:val="15"/>
              </w:rPr>
              <w:t> </w:t>
            </w:r>
            <w:r>
              <w:rPr>
                <w:color w:val="231F20"/>
                <w:sz w:val="15"/>
              </w:rPr>
              <w:t>up</w:t>
            </w:r>
            <w:r>
              <w:rPr>
                <w:color w:val="231F20"/>
                <w:spacing w:val="-6"/>
                <w:sz w:val="15"/>
              </w:rPr>
              <w:t> </w:t>
            </w:r>
            <w:r>
              <w:rPr>
                <w:color w:val="231F20"/>
                <w:sz w:val="15"/>
              </w:rPr>
              <w:t>to</w:t>
            </w:r>
            <w:r>
              <w:rPr>
                <w:color w:val="231F20"/>
                <w:spacing w:val="-6"/>
                <w:sz w:val="15"/>
              </w:rPr>
              <w:t> </w:t>
            </w:r>
            <w:r>
              <w:rPr>
                <w:color w:val="231F20"/>
                <w:sz w:val="15"/>
              </w:rPr>
              <w:t>60</w:t>
            </w:r>
            <w:r>
              <w:rPr>
                <w:color w:val="231F20"/>
                <w:spacing w:val="-6"/>
                <w:sz w:val="15"/>
              </w:rPr>
              <w:t> </w:t>
            </w:r>
            <w:r>
              <w:rPr>
                <w:color w:val="231F20"/>
                <w:sz w:val="15"/>
              </w:rPr>
              <w:t>mg/day</w:t>
            </w:r>
            <w:r>
              <w:rPr>
                <w:color w:val="231F20"/>
                <w:spacing w:val="-6"/>
                <w:sz w:val="15"/>
              </w:rPr>
              <w:t> </w:t>
            </w:r>
            <w:r>
              <w:rPr>
                <w:color w:val="231F20"/>
                <w:sz w:val="15"/>
              </w:rPr>
              <w:t>in</w:t>
            </w:r>
            <w:r>
              <w:rPr>
                <w:color w:val="231F20"/>
                <w:spacing w:val="-6"/>
                <w:sz w:val="15"/>
              </w:rPr>
              <w:t> </w:t>
            </w:r>
            <w:r>
              <w:rPr>
                <w:color w:val="231F20"/>
                <w:sz w:val="15"/>
              </w:rPr>
              <w:t>adults Avoid AChE inhibitors</w:t>
            </w:r>
          </w:p>
        </w:tc>
      </w:tr>
      <w:tr>
        <w:trPr>
          <w:trHeight w:val="420" w:hRule="atLeast"/>
        </w:trPr>
        <w:tc>
          <w:tcPr>
            <w:tcW w:w="1821" w:type="dxa"/>
            <w:gridSpan w:val="2"/>
            <w:tcBorders>
              <w:top w:val="single" w:sz="4" w:space="0" w:color="FFFFFF"/>
              <w:bottom w:val="single" w:sz="4" w:space="0" w:color="FFFFFF"/>
            </w:tcBorders>
            <w:shd w:val="clear" w:color="auto" w:fill="E8F5F1"/>
          </w:tcPr>
          <w:p>
            <w:pPr>
              <w:pStyle w:val="TableParagraph"/>
              <w:spacing w:before="43"/>
              <w:ind w:left="74"/>
              <w:rPr>
                <w:sz w:val="15"/>
              </w:rPr>
            </w:pPr>
            <w:r>
              <w:rPr>
                <w:color w:val="231F20"/>
                <w:spacing w:val="-2"/>
                <w:sz w:val="15"/>
              </w:rPr>
              <w:t>Laminin</w:t>
            </w:r>
            <w:r>
              <w:rPr>
                <w:color w:val="231F20"/>
                <w:spacing w:val="-1"/>
                <w:sz w:val="15"/>
              </w:rPr>
              <w:t> </w:t>
            </w:r>
            <w:r>
              <w:rPr>
                <w:rFonts w:ascii="Cambria" w:hAnsi="Cambria"/>
                <w:color w:val="231F20"/>
                <w:spacing w:val="-5"/>
                <w:sz w:val="15"/>
              </w:rPr>
              <w:t>β</w:t>
            </w:r>
            <w:r>
              <w:rPr>
                <w:color w:val="231F20"/>
                <w:spacing w:val="-5"/>
                <w:sz w:val="15"/>
                <w:vertAlign w:val="subscript"/>
              </w:rPr>
              <w:t>2</w:t>
            </w:r>
          </w:p>
        </w:tc>
        <w:tc>
          <w:tcPr>
            <w:tcW w:w="8015" w:type="dxa"/>
            <w:tcBorders>
              <w:top w:val="single" w:sz="4" w:space="0" w:color="FFFFFF"/>
              <w:bottom w:val="single" w:sz="4" w:space="0" w:color="FFFFFF"/>
            </w:tcBorders>
            <w:shd w:val="clear" w:color="auto" w:fill="E8F5F1"/>
          </w:tcPr>
          <w:p>
            <w:pPr>
              <w:pStyle w:val="TableParagraph"/>
              <w:spacing w:line="230" w:lineRule="auto" w:before="48"/>
              <w:ind w:left="463" w:right="596"/>
              <w:rPr>
                <w:sz w:val="15"/>
              </w:rPr>
            </w:pPr>
            <w:r>
              <w:rPr>
                <w:color w:val="231F20"/>
                <w:sz w:val="15"/>
              </w:rPr>
              <w:t>Ephedrine</w:t>
            </w:r>
            <w:r>
              <w:rPr>
                <w:color w:val="231F20"/>
                <w:spacing w:val="-5"/>
                <w:sz w:val="15"/>
              </w:rPr>
              <w:t> </w:t>
            </w:r>
            <w:r>
              <w:rPr>
                <w:color w:val="231F20"/>
                <w:sz w:val="15"/>
              </w:rPr>
              <w:t>3</w:t>
            </w:r>
            <w:r>
              <w:rPr>
                <w:color w:val="231F20"/>
                <w:spacing w:val="-5"/>
                <w:sz w:val="15"/>
              </w:rPr>
              <w:t> </w:t>
            </w:r>
            <w:r>
              <w:rPr>
                <w:color w:val="231F20"/>
                <w:sz w:val="15"/>
              </w:rPr>
              <w:t>mg/kg/day</w:t>
            </w:r>
            <w:r>
              <w:rPr>
                <w:color w:val="231F20"/>
                <w:spacing w:val="-5"/>
                <w:sz w:val="15"/>
              </w:rPr>
              <w:t> </w:t>
            </w:r>
            <w:r>
              <w:rPr>
                <w:color w:val="231F20"/>
                <w:sz w:val="15"/>
              </w:rPr>
              <w:t>in</w:t>
            </w:r>
            <w:r>
              <w:rPr>
                <w:color w:val="231F20"/>
                <w:spacing w:val="-5"/>
                <w:sz w:val="15"/>
              </w:rPr>
              <w:t> </w:t>
            </w:r>
            <w:r>
              <w:rPr>
                <w:color w:val="231F20"/>
                <w:sz w:val="15"/>
              </w:rPr>
              <w:t>3</w:t>
            </w:r>
            <w:r>
              <w:rPr>
                <w:color w:val="231F20"/>
                <w:spacing w:val="-5"/>
                <w:sz w:val="15"/>
              </w:rPr>
              <w:t> </w:t>
            </w:r>
            <w:r>
              <w:rPr>
                <w:color w:val="231F20"/>
                <w:sz w:val="15"/>
              </w:rPr>
              <w:t>divided</w:t>
            </w:r>
            <w:r>
              <w:rPr>
                <w:color w:val="231F20"/>
                <w:spacing w:val="-5"/>
                <w:sz w:val="15"/>
              </w:rPr>
              <w:t> </w:t>
            </w:r>
            <w:r>
              <w:rPr>
                <w:color w:val="231F20"/>
                <w:sz w:val="15"/>
              </w:rPr>
              <w:t>doses;</w:t>
            </w:r>
            <w:r>
              <w:rPr>
                <w:color w:val="231F20"/>
                <w:spacing w:val="-5"/>
                <w:sz w:val="15"/>
              </w:rPr>
              <w:t> </w:t>
            </w:r>
            <w:r>
              <w:rPr>
                <w:color w:val="231F20"/>
                <w:sz w:val="15"/>
              </w:rPr>
              <w:t>begin</w:t>
            </w:r>
            <w:r>
              <w:rPr>
                <w:color w:val="231F20"/>
                <w:spacing w:val="-5"/>
                <w:sz w:val="15"/>
              </w:rPr>
              <w:t> </w:t>
            </w:r>
            <w:r>
              <w:rPr>
                <w:color w:val="231F20"/>
                <w:sz w:val="15"/>
              </w:rPr>
              <w:t>with</w:t>
            </w:r>
            <w:r>
              <w:rPr>
                <w:color w:val="231F20"/>
                <w:spacing w:val="-5"/>
                <w:sz w:val="15"/>
              </w:rPr>
              <w:t> </w:t>
            </w:r>
            <w:r>
              <w:rPr>
                <w:color w:val="231F20"/>
                <w:sz w:val="15"/>
              </w:rPr>
              <w:t>1</w:t>
            </w:r>
            <w:r>
              <w:rPr>
                <w:color w:val="231F20"/>
                <w:spacing w:val="-5"/>
                <w:sz w:val="15"/>
              </w:rPr>
              <w:t> </w:t>
            </w:r>
            <w:r>
              <w:rPr>
                <w:color w:val="231F20"/>
                <w:sz w:val="15"/>
              </w:rPr>
              <w:t>mg/kg;</w:t>
            </w:r>
            <w:r>
              <w:rPr>
                <w:color w:val="231F20"/>
                <w:spacing w:val="-5"/>
                <w:sz w:val="15"/>
              </w:rPr>
              <w:t> </w:t>
            </w:r>
            <w:r>
              <w:rPr>
                <w:color w:val="231F20"/>
                <w:sz w:val="15"/>
              </w:rPr>
              <w:t>not</w:t>
            </w:r>
            <w:r>
              <w:rPr>
                <w:color w:val="231F20"/>
                <w:spacing w:val="-5"/>
                <w:sz w:val="15"/>
              </w:rPr>
              <w:t> </w:t>
            </w:r>
            <w:r>
              <w:rPr>
                <w:color w:val="231F20"/>
                <w:sz w:val="15"/>
              </w:rPr>
              <w:t>obtainable</w:t>
            </w:r>
            <w:r>
              <w:rPr>
                <w:color w:val="231F20"/>
                <w:spacing w:val="-5"/>
                <w:sz w:val="15"/>
              </w:rPr>
              <w:t> </w:t>
            </w:r>
            <w:r>
              <w:rPr>
                <w:color w:val="231F20"/>
                <w:sz w:val="15"/>
              </w:rPr>
              <w:t>in</w:t>
            </w:r>
            <w:r>
              <w:rPr>
                <w:color w:val="231F20"/>
                <w:spacing w:val="-5"/>
                <w:sz w:val="15"/>
              </w:rPr>
              <w:t> </w:t>
            </w:r>
            <w:r>
              <w:rPr>
                <w:color w:val="231F20"/>
                <w:sz w:val="15"/>
              </w:rPr>
              <w:t>several</w:t>
            </w:r>
            <w:r>
              <w:rPr>
                <w:color w:val="231F20"/>
                <w:spacing w:val="-5"/>
                <w:sz w:val="15"/>
              </w:rPr>
              <w:t> </w:t>
            </w:r>
            <w:r>
              <w:rPr>
                <w:color w:val="231F20"/>
                <w:sz w:val="15"/>
              </w:rPr>
              <w:t>countries Avoid AChE inhibitors</w:t>
            </w:r>
          </w:p>
        </w:tc>
      </w:tr>
      <w:tr>
        <w:trPr>
          <w:trHeight w:val="420" w:hRule="atLeast"/>
        </w:trPr>
        <w:tc>
          <w:tcPr>
            <w:tcW w:w="1821"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w w:val="110"/>
                <w:sz w:val="15"/>
              </w:rPr>
              <w:t>MuSK</w:t>
            </w:r>
          </w:p>
        </w:tc>
        <w:tc>
          <w:tcPr>
            <w:tcW w:w="8015" w:type="dxa"/>
            <w:tcBorders>
              <w:top w:val="single" w:sz="4" w:space="0" w:color="FFFFFF"/>
              <w:bottom w:val="single" w:sz="4" w:space="0" w:color="FFFFFF"/>
            </w:tcBorders>
            <w:shd w:val="clear" w:color="auto" w:fill="E8F5F1"/>
          </w:tcPr>
          <w:p>
            <w:pPr>
              <w:pStyle w:val="TableParagraph"/>
              <w:spacing w:line="230" w:lineRule="auto" w:before="48"/>
              <w:ind w:left="463" w:right="1644"/>
              <w:rPr>
                <w:sz w:val="15"/>
              </w:rPr>
            </w:pPr>
            <w:r>
              <w:rPr>
                <w:color w:val="231F20"/>
                <w:sz w:val="15"/>
              </w:rPr>
              <w:t>AChE</w:t>
            </w:r>
            <w:r>
              <w:rPr>
                <w:color w:val="231F20"/>
                <w:spacing w:val="-2"/>
                <w:sz w:val="15"/>
              </w:rPr>
              <w:t> </w:t>
            </w:r>
            <w:r>
              <w:rPr>
                <w:color w:val="231F20"/>
                <w:sz w:val="15"/>
              </w:rPr>
              <w:t>inhibitors:</w:t>
            </w:r>
            <w:r>
              <w:rPr>
                <w:color w:val="231F20"/>
                <w:spacing w:val="-3"/>
                <w:sz w:val="15"/>
              </w:rPr>
              <w:t> </w:t>
            </w:r>
            <w:r>
              <w:rPr>
                <w:color w:val="231F20"/>
                <w:sz w:val="15"/>
              </w:rPr>
              <w:t>pyridostigmine</w:t>
            </w:r>
            <w:r>
              <w:rPr>
                <w:color w:val="231F20"/>
                <w:spacing w:val="-2"/>
                <w:sz w:val="15"/>
              </w:rPr>
              <w:t> </w:t>
            </w:r>
            <w:r>
              <w:rPr>
                <w:color w:val="231F20"/>
                <w:sz w:val="15"/>
              </w:rPr>
              <w:t>bromide</w:t>
            </w:r>
            <w:r>
              <w:rPr>
                <w:color w:val="231F20"/>
                <w:spacing w:val="-3"/>
                <w:sz w:val="15"/>
              </w:rPr>
              <w:t> </w:t>
            </w:r>
            <w:r>
              <w:rPr>
                <w:color w:val="231F20"/>
                <w:sz w:val="15"/>
              </w:rPr>
              <w:t>(Mestinon)</w:t>
            </w:r>
            <w:r>
              <w:rPr>
                <w:color w:val="231F20"/>
                <w:spacing w:val="-2"/>
                <w:sz w:val="15"/>
              </w:rPr>
              <w:t> </w:t>
            </w:r>
            <w:r>
              <w:rPr>
                <w:color w:val="231F20"/>
                <w:sz w:val="15"/>
              </w:rPr>
              <w:t>4-5</w:t>
            </w:r>
            <w:r>
              <w:rPr>
                <w:color w:val="231F20"/>
                <w:spacing w:val="-3"/>
                <w:sz w:val="15"/>
              </w:rPr>
              <w:t> </w:t>
            </w:r>
            <w:r>
              <w:rPr>
                <w:color w:val="231F20"/>
                <w:sz w:val="15"/>
              </w:rPr>
              <w:t>mg/kg/day</w:t>
            </w:r>
            <w:r>
              <w:rPr>
                <w:color w:val="231F20"/>
                <w:spacing w:val="-2"/>
                <w:sz w:val="15"/>
              </w:rPr>
              <w:t> </w:t>
            </w:r>
            <w:r>
              <w:rPr>
                <w:color w:val="231F20"/>
                <w:sz w:val="15"/>
              </w:rPr>
              <w:t>in</w:t>
            </w:r>
            <w:r>
              <w:rPr>
                <w:color w:val="231F20"/>
                <w:spacing w:val="-3"/>
                <w:sz w:val="15"/>
              </w:rPr>
              <w:t> </w:t>
            </w:r>
            <w:r>
              <w:rPr>
                <w:color w:val="231F20"/>
                <w:sz w:val="15"/>
              </w:rPr>
              <w:t>4-6</w:t>
            </w:r>
            <w:r>
              <w:rPr>
                <w:color w:val="231F20"/>
                <w:spacing w:val="-2"/>
                <w:sz w:val="15"/>
              </w:rPr>
              <w:t> </w:t>
            </w:r>
            <w:r>
              <w:rPr>
                <w:color w:val="231F20"/>
                <w:sz w:val="15"/>
              </w:rPr>
              <w:t>divided</w:t>
            </w:r>
            <w:r>
              <w:rPr>
                <w:color w:val="231F20"/>
                <w:spacing w:val="-3"/>
                <w:sz w:val="15"/>
              </w:rPr>
              <w:t> </w:t>
            </w:r>
            <w:r>
              <w:rPr>
                <w:color w:val="231F20"/>
                <w:sz w:val="15"/>
              </w:rPr>
              <w:t>doses 3,4-Diaminopyridine 1 mg/kg/day in 4 divided doses, up to 60 mg/day in adults</w:t>
            </w:r>
          </w:p>
        </w:tc>
      </w:tr>
      <w:tr>
        <w:trPr>
          <w:trHeight w:val="415" w:hRule="atLeast"/>
        </w:trPr>
        <w:tc>
          <w:tcPr>
            <w:tcW w:w="1821"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Rapsyn</w:t>
            </w:r>
          </w:p>
        </w:tc>
        <w:tc>
          <w:tcPr>
            <w:tcW w:w="8015" w:type="dxa"/>
            <w:tcBorders>
              <w:top w:val="single" w:sz="4" w:space="0" w:color="FFFFFF"/>
              <w:bottom w:val="single" w:sz="8" w:space="0" w:color="231F20"/>
            </w:tcBorders>
            <w:shd w:val="clear" w:color="auto" w:fill="E8F5F1"/>
          </w:tcPr>
          <w:p>
            <w:pPr>
              <w:pStyle w:val="TableParagraph"/>
              <w:spacing w:line="171" w:lineRule="exact" w:before="42"/>
              <w:ind w:left="463"/>
              <w:rPr>
                <w:sz w:val="15"/>
              </w:rPr>
            </w:pPr>
            <w:r>
              <w:rPr>
                <w:color w:val="231F20"/>
                <w:sz w:val="15"/>
              </w:rPr>
              <w:t>AChE</w:t>
            </w:r>
            <w:r>
              <w:rPr>
                <w:color w:val="231F20"/>
                <w:spacing w:val="-4"/>
                <w:sz w:val="15"/>
              </w:rPr>
              <w:t> </w:t>
            </w:r>
            <w:r>
              <w:rPr>
                <w:color w:val="231F20"/>
                <w:sz w:val="15"/>
              </w:rPr>
              <w:t>inhibitors:</w:t>
            </w:r>
            <w:r>
              <w:rPr>
                <w:color w:val="231F20"/>
                <w:spacing w:val="-3"/>
                <w:sz w:val="15"/>
              </w:rPr>
              <w:t> </w:t>
            </w:r>
            <w:r>
              <w:rPr>
                <w:color w:val="231F20"/>
                <w:sz w:val="15"/>
              </w:rPr>
              <w:t>pyridostigmine</w:t>
            </w:r>
            <w:r>
              <w:rPr>
                <w:color w:val="231F20"/>
                <w:spacing w:val="-3"/>
                <w:sz w:val="15"/>
              </w:rPr>
              <w:t> </w:t>
            </w:r>
            <w:r>
              <w:rPr>
                <w:color w:val="231F20"/>
                <w:sz w:val="15"/>
              </w:rPr>
              <w:t>bromide</w:t>
            </w:r>
            <w:r>
              <w:rPr>
                <w:color w:val="231F20"/>
                <w:spacing w:val="-3"/>
                <w:sz w:val="15"/>
              </w:rPr>
              <w:t> </w:t>
            </w:r>
            <w:r>
              <w:rPr>
                <w:color w:val="231F20"/>
                <w:sz w:val="15"/>
              </w:rPr>
              <w:t>(Mestinon)</w:t>
            </w:r>
            <w:r>
              <w:rPr>
                <w:color w:val="231F20"/>
                <w:spacing w:val="-3"/>
                <w:sz w:val="15"/>
              </w:rPr>
              <w:t> </w:t>
            </w:r>
            <w:r>
              <w:rPr>
                <w:color w:val="231F20"/>
                <w:sz w:val="15"/>
              </w:rPr>
              <w:t>4-5</w:t>
            </w:r>
            <w:r>
              <w:rPr>
                <w:color w:val="231F20"/>
                <w:spacing w:val="-3"/>
                <w:sz w:val="15"/>
              </w:rPr>
              <w:t> </w:t>
            </w:r>
            <w:r>
              <w:rPr>
                <w:color w:val="231F20"/>
                <w:sz w:val="15"/>
              </w:rPr>
              <w:t>mg/kg/day</w:t>
            </w:r>
            <w:r>
              <w:rPr>
                <w:color w:val="231F20"/>
                <w:spacing w:val="-3"/>
                <w:sz w:val="15"/>
              </w:rPr>
              <w:t> </w:t>
            </w:r>
            <w:r>
              <w:rPr>
                <w:color w:val="231F20"/>
                <w:sz w:val="15"/>
              </w:rPr>
              <w:t>in</w:t>
            </w:r>
            <w:r>
              <w:rPr>
                <w:color w:val="231F20"/>
                <w:spacing w:val="-3"/>
                <w:sz w:val="15"/>
              </w:rPr>
              <w:t> </w:t>
            </w:r>
            <w:r>
              <w:rPr>
                <w:color w:val="231F20"/>
                <w:sz w:val="15"/>
              </w:rPr>
              <w:t>4-6</w:t>
            </w:r>
            <w:r>
              <w:rPr>
                <w:color w:val="231F20"/>
                <w:spacing w:val="-3"/>
                <w:sz w:val="15"/>
              </w:rPr>
              <w:t> </w:t>
            </w:r>
            <w:r>
              <w:rPr>
                <w:color w:val="231F20"/>
                <w:sz w:val="15"/>
              </w:rPr>
              <w:t>divided</w:t>
            </w:r>
            <w:r>
              <w:rPr>
                <w:color w:val="231F20"/>
                <w:spacing w:val="-3"/>
                <w:sz w:val="15"/>
              </w:rPr>
              <w:t> </w:t>
            </w:r>
            <w:r>
              <w:rPr>
                <w:color w:val="231F20"/>
                <w:spacing w:val="-2"/>
                <w:sz w:val="15"/>
              </w:rPr>
              <w:t>doses</w:t>
            </w:r>
          </w:p>
          <w:p>
            <w:pPr>
              <w:pStyle w:val="TableParagraph"/>
              <w:spacing w:line="171" w:lineRule="exact"/>
              <w:ind w:left="463"/>
              <w:rPr>
                <w:sz w:val="15"/>
              </w:rPr>
            </w:pPr>
            <w:r>
              <w:rPr>
                <w:color w:val="231F20"/>
                <w:sz w:val="15"/>
              </w:rPr>
              <w:t>If</w:t>
            </w:r>
            <w:r>
              <w:rPr>
                <w:color w:val="231F20"/>
                <w:spacing w:val="-5"/>
                <w:sz w:val="15"/>
              </w:rPr>
              <w:t> </w:t>
            </w:r>
            <w:r>
              <w:rPr>
                <w:color w:val="231F20"/>
                <w:sz w:val="15"/>
              </w:rPr>
              <w:t>necessary</w:t>
            </w:r>
            <w:r>
              <w:rPr>
                <w:color w:val="231F20"/>
                <w:spacing w:val="-4"/>
                <w:sz w:val="15"/>
              </w:rPr>
              <w:t> </w:t>
            </w:r>
            <w:r>
              <w:rPr>
                <w:color w:val="231F20"/>
                <w:sz w:val="15"/>
              </w:rPr>
              <w:t>add</w:t>
            </w:r>
            <w:r>
              <w:rPr>
                <w:color w:val="231F20"/>
                <w:spacing w:val="-4"/>
                <w:sz w:val="15"/>
              </w:rPr>
              <w:t> </w:t>
            </w:r>
            <w:r>
              <w:rPr>
                <w:color w:val="231F20"/>
                <w:sz w:val="15"/>
              </w:rPr>
              <w:t>3,4-diaminopyridine</w:t>
            </w:r>
            <w:r>
              <w:rPr>
                <w:color w:val="231F20"/>
                <w:spacing w:val="-5"/>
                <w:sz w:val="15"/>
              </w:rPr>
              <w:t> </w:t>
            </w:r>
            <w:r>
              <w:rPr>
                <w:color w:val="231F20"/>
                <w:sz w:val="15"/>
              </w:rPr>
              <w:t>1</w:t>
            </w:r>
            <w:r>
              <w:rPr>
                <w:color w:val="231F20"/>
                <w:spacing w:val="-4"/>
                <w:sz w:val="15"/>
              </w:rPr>
              <w:t> </w:t>
            </w:r>
            <w:r>
              <w:rPr>
                <w:color w:val="231F20"/>
                <w:sz w:val="15"/>
              </w:rPr>
              <w:t>mg/kg/day</w:t>
            </w:r>
            <w:r>
              <w:rPr>
                <w:color w:val="231F20"/>
                <w:spacing w:val="-5"/>
                <w:sz w:val="15"/>
              </w:rPr>
              <w:t> </w:t>
            </w:r>
            <w:r>
              <w:rPr>
                <w:color w:val="231F20"/>
                <w:sz w:val="15"/>
              </w:rPr>
              <w:t>in</w:t>
            </w:r>
            <w:r>
              <w:rPr>
                <w:color w:val="231F20"/>
                <w:spacing w:val="-4"/>
                <w:sz w:val="15"/>
              </w:rPr>
              <w:t> </w:t>
            </w:r>
            <w:r>
              <w:rPr>
                <w:color w:val="231F20"/>
                <w:sz w:val="15"/>
              </w:rPr>
              <w:t>4</w:t>
            </w:r>
            <w:r>
              <w:rPr>
                <w:color w:val="231F20"/>
                <w:spacing w:val="-4"/>
                <w:sz w:val="15"/>
              </w:rPr>
              <w:t> </w:t>
            </w:r>
            <w:r>
              <w:rPr>
                <w:color w:val="231F20"/>
                <w:sz w:val="15"/>
              </w:rPr>
              <w:t>divided</w:t>
            </w:r>
            <w:r>
              <w:rPr>
                <w:color w:val="231F20"/>
                <w:spacing w:val="-5"/>
                <w:sz w:val="15"/>
              </w:rPr>
              <w:t> </w:t>
            </w:r>
            <w:r>
              <w:rPr>
                <w:color w:val="231F20"/>
                <w:sz w:val="15"/>
              </w:rPr>
              <w:t>doses,</w:t>
            </w:r>
            <w:r>
              <w:rPr>
                <w:color w:val="231F20"/>
                <w:spacing w:val="-4"/>
                <w:sz w:val="15"/>
              </w:rPr>
              <w:t> </w:t>
            </w:r>
            <w:r>
              <w:rPr>
                <w:color w:val="231F20"/>
                <w:sz w:val="15"/>
              </w:rPr>
              <w:t>up</w:t>
            </w:r>
            <w:r>
              <w:rPr>
                <w:color w:val="231F20"/>
                <w:spacing w:val="-4"/>
                <w:sz w:val="15"/>
              </w:rPr>
              <w:t> </w:t>
            </w:r>
            <w:r>
              <w:rPr>
                <w:color w:val="231F20"/>
                <w:sz w:val="15"/>
              </w:rPr>
              <w:t>to</w:t>
            </w:r>
            <w:r>
              <w:rPr>
                <w:color w:val="231F20"/>
                <w:spacing w:val="-5"/>
                <w:sz w:val="15"/>
              </w:rPr>
              <w:t> </w:t>
            </w:r>
            <w:r>
              <w:rPr>
                <w:color w:val="231F20"/>
                <w:sz w:val="15"/>
              </w:rPr>
              <w:t>60</w:t>
            </w:r>
            <w:r>
              <w:rPr>
                <w:color w:val="231F20"/>
                <w:spacing w:val="-4"/>
                <w:sz w:val="15"/>
              </w:rPr>
              <w:t> </w:t>
            </w:r>
            <w:r>
              <w:rPr>
                <w:color w:val="231F20"/>
                <w:sz w:val="15"/>
              </w:rPr>
              <w:t>mg/day</w:t>
            </w:r>
            <w:r>
              <w:rPr>
                <w:color w:val="231F20"/>
                <w:spacing w:val="-4"/>
                <w:sz w:val="15"/>
              </w:rPr>
              <w:t> </w:t>
            </w:r>
            <w:r>
              <w:rPr>
                <w:color w:val="231F20"/>
                <w:sz w:val="15"/>
              </w:rPr>
              <w:t>in</w:t>
            </w:r>
            <w:r>
              <w:rPr>
                <w:color w:val="231F20"/>
                <w:spacing w:val="-5"/>
                <w:sz w:val="15"/>
              </w:rPr>
              <w:t> </w:t>
            </w:r>
            <w:r>
              <w:rPr>
                <w:color w:val="231F20"/>
                <w:spacing w:val="-2"/>
                <w:sz w:val="15"/>
              </w:rPr>
              <w:t>adults</w:t>
            </w:r>
          </w:p>
        </w:tc>
      </w:tr>
    </w:tbl>
    <w:p>
      <w:pPr>
        <w:spacing w:before="79"/>
        <w:ind w:left="203" w:right="0" w:firstLine="0"/>
        <w:jc w:val="left"/>
        <w:rPr>
          <w:i/>
          <w:sz w:val="13"/>
        </w:rPr>
      </w:pPr>
      <w:r>
        <w:rPr>
          <w:i/>
          <w:color w:val="231F20"/>
          <w:sz w:val="13"/>
        </w:rPr>
        <w:t>Modified</w:t>
      </w:r>
      <w:r>
        <w:rPr>
          <w:i/>
          <w:color w:val="231F20"/>
          <w:spacing w:val="-1"/>
          <w:sz w:val="13"/>
        </w:rPr>
        <w:t> </w:t>
      </w:r>
      <w:r>
        <w:rPr>
          <w:i/>
          <w:color w:val="231F20"/>
          <w:sz w:val="13"/>
        </w:rPr>
        <w:t>from</w:t>
      </w:r>
      <w:r>
        <w:rPr>
          <w:i/>
          <w:color w:val="231F20"/>
          <w:spacing w:val="-1"/>
          <w:sz w:val="13"/>
        </w:rPr>
        <w:t> </w:t>
      </w:r>
      <w:r>
        <w:rPr>
          <w:i/>
          <w:color w:val="231F20"/>
          <w:sz w:val="13"/>
        </w:rPr>
        <w:t>Eyemard</w:t>
      </w:r>
      <w:r>
        <w:rPr>
          <w:i/>
          <w:color w:val="231F20"/>
          <w:spacing w:val="-1"/>
          <w:sz w:val="13"/>
        </w:rPr>
        <w:t> </w:t>
      </w:r>
      <w:r>
        <w:rPr>
          <w:i/>
          <w:color w:val="231F20"/>
          <w:sz w:val="13"/>
        </w:rPr>
        <w:t>B,</w:t>
      </w:r>
      <w:r>
        <w:rPr>
          <w:i/>
          <w:color w:val="231F20"/>
          <w:spacing w:val="-1"/>
          <w:sz w:val="13"/>
        </w:rPr>
        <w:t> </w:t>
      </w:r>
      <w:r>
        <w:rPr>
          <w:i/>
          <w:color w:val="231F20"/>
          <w:sz w:val="13"/>
        </w:rPr>
        <w:t>Hantaï</w:t>
      </w:r>
      <w:r>
        <w:rPr>
          <w:i/>
          <w:color w:val="231F20"/>
          <w:spacing w:val="-1"/>
          <w:sz w:val="13"/>
        </w:rPr>
        <w:t> </w:t>
      </w:r>
      <w:r>
        <w:rPr>
          <w:i/>
          <w:color w:val="231F20"/>
          <w:sz w:val="13"/>
        </w:rPr>
        <w:t>D,</w:t>
      </w:r>
      <w:r>
        <w:rPr>
          <w:i/>
          <w:color w:val="231F20"/>
          <w:spacing w:val="-1"/>
          <w:sz w:val="13"/>
        </w:rPr>
        <w:t> </w:t>
      </w:r>
      <w:r>
        <w:rPr>
          <w:i/>
          <w:color w:val="231F20"/>
          <w:sz w:val="13"/>
        </w:rPr>
        <w:t>Estounet</w:t>
      </w:r>
      <w:r>
        <w:rPr>
          <w:i/>
          <w:color w:val="231F20"/>
          <w:spacing w:val="-1"/>
          <w:sz w:val="13"/>
        </w:rPr>
        <w:t> </w:t>
      </w:r>
      <w:r>
        <w:rPr>
          <w:i/>
          <w:color w:val="231F20"/>
          <w:sz w:val="13"/>
        </w:rPr>
        <w:t>B: Congenital</w:t>
      </w:r>
      <w:r>
        <w:rPr>
          <w:i/>
          <w:color w:val="231F20"/>
          <w:spacing w:val="-1"/>
          <w:sz w:val="13"/>
        </w:rPr>
        <w:t> </w:t>
      </w:r>
      <w:r>
        <w:rPr>
          <w:i/>
          <w:color w:val="231F20"/>
          <w:sz w:val="13"/>
        </w:rPr>
        <w:t>myasthenic</w:t>
      </w:r>
      <w:r>
        <w:rPr>
          <w:i/>
          <w:color w:val="231F20"/>
          <w:spacing w:val="-1"/>
          <w:sz w:val="13"/>
        </w:rPr>
        <w:t> </w:t>
      </w:r>
      <w:r>
        <w:rPr>
          <w:i/>
          <w:color w:val="231F20"/>
          <w:sz w:val="13"/>
        </w:rPr>
        <w:t>syndromes,</w:t>
      </w:r>
      <w:r>
        <w:rPr>
          <w:i/>
          <w:color w:val="231F20"/>
          <w:spacing w:val="-1"/>
          <w:sz w:val="13"/>
        </w:rPr>
        <w:t> </w:t>
      </w:r>
      <w:r>
        <w:rPr>
          <w:color w:val="231F20"/>
          <w:sz w:val="13"/>
        </w:rPr>
        <w:t>Handb</w:t>
      </w:r>
      <w:r>
        <w:rPr>
          <w:color w:val="231F20"/>
          <w:spacing w:val="-1"/>
          <w:sz w:val="13"/>
        </w:rPr>
        <w:t> </w:t>
      </w:r>
      <w:r>
        <w:rPr>
          <w:color w:val="231F20"/>
          <w:sz w:val="13"/>
        </w:rPr>
        <w:t>Clin</w:t>
      </w:r>
      <w:r>
        <w:rPr>
          <w:color w:val="231F20"/>
          <w:spacing w:val="-1"/>
          <w:sz w:val="13"/>
        </w:rPr>
        <w:t> </w:t>
      </w:r>
      <w:r>
        <w:rPr>
          <w:color w:val="231F20"/>
          <w:sz w:val="13"/>
        </w:rPr>
        <w:t>Neurol</w:t>
      </w:r>
      <w:r>
        <w:rPr>
          <w:color w:val="231F20"/>
          <w:spacing w:val="-1"/>
          <w:sz w:val="13"/>
        </w:rPr>
        <w:t> </w:t>
      </w:r>
      <w:r>
        <w:rPr>
          <w:i/>
          <w:color w:val="231F20"/>
          <w:sz w:val="13"/>
        </w:rPr>
        <w:t>113:1469-1480,</w:t>
      </w:r>
      <w:r>
        <w:rPr>
          <w:i/>
          <w:color w:val="231F20"/>
          <w:spacing w:val="-1"/>
          <w:sz w:val="13"/>
        </w:rPr>
        <w:t> </w:t>
      </w:r>
      <w:r>
        <w:rPr>
          <w:i/>
          <w:color w:val="231F20"/>
          <w:spacing w:val="-2"/>
          <w:sz w:val="13"/>
        </w:rPr>
        <w:t>2013.</w:t>
      </w:r>
    </w:p>
    <w:p>
      <w:pPr>
        <w:pStyle w:val="BodyText"/>
        <w:spacing w:before="175"/>
        <w:rPr>
          <w:i/>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9"/>
        <w:gridCol w:w="939"/>
        <w:gridCol w:w="956"/>
        <w:gridCol w:w="2268"/>
        <w:gridCol w:w="2594"/>
        <w:gridCol w:w="1930"/>
      </w:tblGrid>
      <w:tr>
        <w:trPr>
          <w:trHeight w:val="373" w:hRule="atLeast"/>
        </w:trPr>
        <w:tc>
          <w:tcPr>
            <w:tcW w:w="1149" w:type="dxa"/>
            <w:tcBorders>
              <w:right w:val="single" w:sz="8" w:space="0" w:color="FFFFFF"/>
            </w:tcBorders>
            <w:shd w:val="clear" w:color="auto" w:fill="231F20"/>
          </w:tcPr>
          <w:p>
            <w:pPr>
              <w:pStyle w:val="TableParagraph"/>
              <w:spacing w:before="89"/>
              <w:ind w:left="113"/>
              <w:rPr>
                <w:b/>
                <w:sz w:val="16"/>
              </w:rPr>
            </w:pPr>
            <w:r>
              <w:rPr>
                <w:b/>
                <w:color w:val="FFFFFF"/>
                <w:w w:val="105"/>
                <w:sz w:val="16"/>
              </w:rPr>
              <w:t>Table</w:t>
            </w:r>
            <w:r>
              <w:rPr>
                <w:b/>
                <w:color w:val="FFFFFF"/>
                <w:spacing w:val="-3"/>
                <w:w w:val="105"/>
                <w:sz w:val="16"/>
              </w:rPr>
              <w:t> </w:t>
            </w:r>
            <w:r>
              <w:rPr>
                <w:b/>
                <w:color w:val="FFFFFF"/>
                <w:w w:val="105"/>
                <w:sz w:val="16"/>
              </w:rPr>
              <w:t>612-</w:t>
            </w:r>
            <w:r>
              <w:rPr>
                <w:b/>
                <w:color w:val="FFFFFF"/>
                <w:spacing w:val="-10"/>
                <w:w w:val="105"/>
                <w:sz w:val="16"/>
              </w:rPr>
              <w:t>3</w:t>
            </w:r>
          </w:p>
        </w:tc>
        <w:tc>
          <w:tcPr>
            <w:tcW w:w="8687" w:type="dxa"/>
            <w:gridSpan w:val="5"/>
            <w:tcBorders>
              <w:left w:val="single" w:sz="8" w:space="0" w:color="FFFFFF"/>
            </w:tcBorders>
            <w:shd w:val="clear" w:color="auto" w:fill="231F20"/>
          </w:tcPr>
          <w:p>
            <w:pPr>
              <w:pStyle w:val="TableParagraph"/>
              <w:spacing w:before="89"/>
              <w:ind w:left="73"/>
              <w:rPr>
                <w:sz w:val="16"/>
              </w:rPr>
            </w:pPr>
            <w:r>
              <w:rPr>
                <w:color w:val="FFFFFF"/>
                <w:w w:val="105"/>
                <w:sz w:val="16"/>
              </w:rPr>
              <w:t>Myasthenia</w:t>
            </w:r>
            <w:r>
              <w:rPr>
                <w:color w:val="FFFFFF"/>
                <w:spacing w:val="7"/>
                <w:w w:val="105"/>
                <w:sz w:val="16"/>
              </w:rPr>
              <w:t> </w:t>
            </w:r>
            <w:r>
              <w:rPr>
                <w:color w:val="FFFFFF"/>
                <w:w w:val="105"/>
                <w:sz w:val="16"/>
              </w:rPr>
              <w:t>Gravis</w:t>
            </w:r>
            <w:r>
              <w:rPr>
                <w:color w:val="FFFFFF"/>
                <w:spacing w:val="8"/>
                <w:w w:val="105"/>
                <w:sz w:val="16"/>
              </w:rPr>
              <w:t> </w:t>
            </w:r>
            <w:r>
              <w:rPr>
                <w:color w:val="FFFFFF"/>
                <w:w w:val="105"/>
                <w:sz w:val="16"/>
              </w:rPr>
              <w:t>Activities</w:t>
            </w:r>
            <w:r>
              <w:rPr>
                <w:color w:val="FFFFFF"/>
                <w:spacing w:val="8"/>
                <w:w w:val="105"/>
                <w:sz w:val="16"/>
              </w:rPr>
              <w:t> </w:t>
            </w:r>
            <w:r>
              <w:rPr>
                <w:color w:val="FFFFFF"/>
                <w:w w:val="105"/>
                <w:sz w:val="16"/>
              </w:rPr>
              <w:t>of</w:t>
            </w:r>
            <w:r>
              <w:rPr>
                <w:color w:val="FFFFFF"/>
                <w:spacing w:val="8"/>
                <w:w w:val="105"/>
                <w:sz w:val="16"/>
              </w:rPr>
              <w:t> </w:t>
            </w:r>
            <w:r>
              <w:rPr>
                <w:color w:val="FFFFFF"/>
                <w:w w:val="105"/>
                <w:sz w:val="16"/>
              </w:rPr>
              <w:t>Daily</w:t>
            </w:r>
            <w:r>
              <w:rPr>
                <w:color w:val="FFFFFF"/>
                <w:spacing w:val="8"/>
                <w:w w:val="105"/>
                <w:sz w:val="16"/>
              </w:rPr>
              <w:t> </w:t>
            </w:r>
            <w:r>
              <w:rPr>
                <w:color w:val="FFFFFF"/>
                <w:w w:val="105"/>
                <w:sz w:val="16"/>
              </w:rPr>
              <w:t>Living</w:t>
            </w:r>
            <w:r>
              <w:rPr>
                <w:color w:val="FFFFFF"/>
                <w:spacing w:val="8"/>
                <w:w w:val="105"/>
                <w:sz w:val="16"/>
              </w:rPr>
              <w:t> </w:t>
            </w:r>
            <w:r>
              <w:rPr>
                <w:color w:val="FFFFFF"/>
                <w:w w:val="105"/>
                <w:sz w:val="16"/>
              </w:rPr>
              <w:t>Scale</w:t>
            </w:r>
            <w:r>
              <w:rPr>
                <w:color w:val="FFFFFF"/>
                <w:spacing w:val="8"/>
                <w:w w:val="105"/>
                <w:sz w:val="16"/>
              </w:rPr>
              <w:t> </w:t>
            </w:r>
            <w:r>
              <w:rPr>
                <w:color w:val="FFFFFF"/>
                <w:w w:val="105"/>
                <w:sz w:val="16"/>
              </w:rPr>
              <w:t>(MG-</w:t>
            </w:r>
            <w:r>
              <w:rPr>
                <w:color w:val="FFFFFF"/>
                <w:spacing w:val="-4"/>
                <w:w w:val="105"/>
                <w:sz w:val="16"/>
              </w:rPr>
              <w:t>ADL)</w:t>
            </w:r>
          </w:p>
        </w:tc>
      </w:tr>
      <w:tr>
        <w:trPr>
          <w:trHeight w:val="257" w:hRule="atLeast"/>
        </w:trPr>
        <w:tc>
          <w:tcPr>
            <w:tcW w:w="2088" w:type="dxa"/>
            <w:gridSpan w:val="2"/>
            <w:tcBorders>
              <w:bottom w:val="single" w:sz="4" w:space="0" w:color="231F20"/>
            </w:tcBorders>
            <w:shd w:val="clear" w:color="auto" w:fill="E8F5F1"/>
          </w:tcPr>
          <w:p>
            <w:pPr>
              <w:pStyle w:val="TableParagraph"/>
              <w:spacing w:before="47"/>
              <w:ind w:left="75"/>
              <w:rPr>
                <w:b/>
                <w:sz w:val="15"/>
              </w:rPr>
            </w:pPr>
            <w:r>
              <w:rPr>
                <w:b/>
                <w:color w:val="231F20"/>
                <w:spacing w:val="-2"/>
                <w:w w:val="115"/>
                <w:sz w:val="15"/>
              </w:rPr>
              <w:t>GRADE</w:t>
            </w:r>
          </w:p>
        </w:tc>
        <w:tc>
          <w:tcPr>
            <w:tcW w:w="956" w:type="dxa"/>
            <w:tcBorders>
              <w:bottom w:val="single" w:sz="4" w:space="0" w:color="231F20"/>
            </w:tcBorders>
            <w:shd w:val="clear" w:color="auto" w:fill="E8F5F1"/>
          </w:tcPr>
          <w:p>
            <w:pPr>
              <w:pStyle w:val="TableParagraph"/>
              <w:spacing w:before="47"/>
              <w:ind w:left="122" w:right="122"/>
              <w:jc w:val="center"/>
              <w:rPr>
                <w:b/>
                <w:sz w:val="15"/>
              </w:rPr>
            </w:pPr>
            <w:r>
              <w:rPr>
                <w:b/>
                <w:color w:val="231F20"/>
                <w:spacing w:val="-10"/>
                <w:sz w:val="15"/>
              </w:rPr>
              <w:t>0</w:t>
            </w:r>
          </w:p>
        </w:tc>
        <w:tc>
          <w:tcPr>
            <w:tcW w:w="2268" w:type="dxa"/>
            <w:tcBorders>
              <w:bottom w:val="single" w:sz="4" w:space="0" w:color="231F20"/>
            </w:tcBorders>
            <w:shd w:val="clear" w:color="auto" w:fill="E8F5F1"/>
          </w:tcPr>
          <w:p>
            <w:pPr>
              <w:pStyle w:val="TableParagraph"/>
              <w:spacing w:before="47"/>
              <w:jc w:val="center"/>
              <w:rPr>
                <w:b/>
                <w:sz w:val="15"/>
              </w:rPr>
            </w:pPr>
            <w:r>
              <w:rPr>
                <w:b/>
                <w:color w:val="231F20"/>
                <w:spacing w:val="-10"/>
                <w:sz w:val="15"/>
              </w:rPr>
              <w:t>1</w:t>
            </w:r>
          </w:p>
        </w:tc>
        <w:tc>
          <w:tcPr>
            <w:tcW w:w="2594" w:type="dxa"/>
            <w:tcBorders>
              <w:bottom w:val="single" w:sz="4" w:space="0" w:color="231F20"/>
            </w:tcBorders>
            <w:shd w:val="clear" w:color="auto" w:fill="E8F5F1"/>
          </w:tcPr>
          <w:p>
            <w:pPr>
              <w:pStyle w:val="TableParagraph"/>
              <w:spacing w:before="47"/>
              <w:jc w:val="center"/>
              <w:rPr>
                <w:b/>
                <w:sz w:val="15"/>
              </w:rPr>
            </w:pPr>
            <w:r>
              <w:rPr>
                <w:b/>
                <w:color w:val="231F20"/>
                <w:spacing w:val="-10"/>
                <w:sz w:val="15"/>
              </w:rPr>
              <w:t>2</w:t>
            </w:r>
          </w:p>
        </w:tc>
        <w:tc>
          <w:tcPr>
            <w:tcW w:w="1930" w:type="dxa"/>
            <w:tcBorders>
              <w:bottom w:val="single" w:sz="4" w:space="0" w:color="231F20"/>
            </w:tcBorders>
            <w:shd w:val="clear" w:color="auto" w:fill="E8F5F1"/>
          </w:tcPr>
          <w:p>
            <w:pPr>
              <w:pStyle w:val="TableParagraph"/>
              <w:spacing w:before="47"/>
              <w:ind w:left="60"/>
              <w:jc w:val="center"/>
              <w:rPr>
                <w:b/>
                <w:sz w:val="15"/>
              </w:rPr>
            </w:pPr>
            <w:r>
              <w:rPr>
                <w:b/>
                <w:color w:val="231F20"/>
                <w:spacing w:val="-10"/>
                <w:sz w:val="15"/>
              </w:rPr>
              <w:t>3</w:t>
            </w:r>
          </w:p>
        </w:tc>
      </w:tr>
      <w:tr>
        <w:trPr>
          <w:trHeight w:val="425" w:hRule="atLeast"/>
        </w:trPr>
        <w:tc>
          <w:tcPr>
            <w:tcW w:w="2088" w:type="dxa"/>
            <w:gridSpan w:val="2"/>
            <w:tcBorders>
              <w:top w:val="single" w:sz="4" w:space="0" w:color="231F20"/>
              <w:bottom w:val="single" w:sz="4" w:space="0" w:color="FFFFFF"/>
            </w:tcBorders>
            <w:shd w:val="clear" w:color="auto" w:fill="E8F5F1"/>
          </w:tcPr>
          <w:p>
            <w:pPr>
              <w:pStyle w:val="TableParagraph"/>
              <w:spacing w:before="47"/>
              <w:ind w:left="75"/>
              <w:rPr>
                <w:sz w:val="15"/>
              </w:rPr>
            </w:pPr>
            <w:r>
              <w:rPr>
                <w:color w:val="231F20"/>
                <w:spacing w:val="-2"/>
                <w:sz w:val="15"/>
              </w:rPr>
              <w:t>Talking</w:t>
            </w:r>
          </w:p>
        </w:tc>
        <w:tc>
          <w:tcPr>
            <w:tcW w:w="956" w:type="dxa"/>
            <w:tcBorders>
              <w:top w:val="single" w:sz="4" w:space="0" w:color="231F20"/>
              <w:bottom w:val="single" w:sz="4" w:space="0" w:color="FFFFFF"/>
            </w:tcBorders>
            <w:shd w:val="clear" w:color="auto" w:fill="E8F5F1"/>
          </w:tcPr>
          <w:p>
            <w:pPr>
              <w:pStyle w:val="TableParagraph"/>
              <w:spacing w:before="47"/>
              <w:ind w:left="122" w:right="122"/>
              <w:jc w:val="center"/>
              <w:rPr>
                <w:sz w:val="15"/>
              </w:rPr>
            </w:pPr>
            <w:r>
              <w:rPr>
                <w:color w:val="231F20"/>
                <w:spacing w:val="-2"/>
                <w:sz w:val="15"/>
              </w:rPr>
              <w:t>Normal</w:t>
            </w:r>
          </w:p>
        </w:tc>
        <w:tc>
          <w:tcPr>
            <w:tcW w:w="2268" w:type="dxa"/>
            <w:tcBorders>
              <w:top w:val="single" w:sz="4" w:space="0" w:color="231F20"/>
              <w:bottom w:val="single" w:sz="4" w:space="0" w:color="FFFFFF"/>
            </w:tcBorders>
            <w:shd w:val="clear" w:color="auto" w:fill="E8F5F1"/>
          </w:tcPr>
          <w:p>
            <w:pPr>
              <w:pStyle w:val="TableParagraph"/>
              <w:spacing w:line="230" w:lineRule="auto" w:before="52"/>
              <w:ind w:left="341" w:right="404" w:hanging="112"/>
              <w:rPr>
                <w:sz w:val="15"/>
              </w:rPr>
            </w:pPr>
            <w:r>
              <w:rPr>
                <w:color w:val="231F20"/>
                <w:spacing w:val="-4"/>
                <w:sz w:val="15"/>
              </w:rPr>
              <w:t>Intermittent</w:t>
            </w:r>
            <w:r>
              <w:rPr>
                <w:color w:val="231F20"/>
                <w:spacing w:val="-5"/>
                <w:sz w:val="15"/>
              </w:rPr>
              <w:t> </w:t>
            </w:r>
            <w:r>
              <w:rPr>
                <w:color w:val="231F20"/>
                <w:spacing w:val="-4"/>
                <w:sz w:val="15"/>
              </w:rPr>
              <w:t>slurring</w:t>
            </w:r>
            <w:r>
              <w:rPr>
                <w:color w:val="231F20"/>
                <w:spacing w:val="-5"/>
                <w:sz w:val="15"/>
              </w:rPr>
              <w:t> </w:t>
            </w:r>
            <w:r>
              <w:rPr>
                <w:color w:val="231F20"/>
                <w:spacing w:val="-4"/>
                <w:sz w:val="15"/>
              </w:rPr>
              <w:t>or </w:t>
            </w:r>
            <w:r>
              <w:rPr>
                <w:color w:val="231F20"/>
                <w:sz w:val="15"/>
              </w:rPr>
              <w:t>nasal speech</w:t>
            </w:r>
          </w:p>
        </w:tc>
        <w:tc>
          <w:tcPr>
            <w:tcW w:w="2594" w:type="dxa"/>
            <w:tcBorders>
              <w:top w:val="single" w:sz="4" w:space="0" w:color="231F20"/>
              <w:bottom w:val="single" w:sz="4" w:space="0" w:color="FFFFFF"/>
            </w:tcBorders>
            <w:shd w:val="clear" w:color="auto" w:fill="E8F5F1"/>
          </w:tcPr>
          <w:p>
            <w:pPr>
              <w:pStyle w:val="TableParagraph"/>
              <w:spacing w:line="230" w:lineRule="auto" w:before="52"/>
              <w:ind w:left="341" w:right="220" w:hanging="112"/>
              <w:rPr>
                <w:sz w:val="15"/>
              </w:rPr>
            </w:pPr>
            <w:r>
              <w:rPr>
                <w:color w:val="231F20"/>
                <w:sz w:val="15"/>
              </w:rPr>
              <w:t>Constant</w:t>
            </w:r>
            <w:r>
              <w:rPr>
                <w:color w:val="231F20"/>
                <w:spacing w:val="-12"/>
                <w:sz w:val="15"/>
              </w:rPr>
              <w:t> </w:t>
            </w:r>
            <w:r>
              <w:rPr>
                <w:color w:val="231F20"/>
                <w:sz w:val="15"/>
              </w:rPr>
              <w:t>slurring</w:t>
            </w:r>
            <w:r>
              <w:rPr>
                <w:color w:val="231F20"/>
                <w:spacing w:val="-11"/>
                <w:sz w:val="15"/>
              </w:rPr>
              <w:t> </w:t>
            </w:r>
            <w:r>
              <w:rPr>
                <w:color w:val="231F20"/>
                <w:sz w:val="15"/>
              </w:rPr>
              <w:t>or</w:t>
            </w:r>
            <w:r>
              <w:rPr>
                <w:color w:val="231F20"/>
                <w:spacing w:val="-11"/>
                <w:sz w:val="15"/>
              </w:rPr>
              <w:t> </w:t>
            </w:r>
            <w:r>
              <w:rPr>
                <w:color w:val="231F20"/>
                <w:sz w:val="15"/>
              </w:rPr>
              <w:t>nasal,</w:t>
            </w:r>
            <w:r>
              <w:rPr>
                <w:color w:val="231F20"/>
                <w:spacing w:val="-12"/>
                <w:sz w:val="15"/>
              </w:rPr>
              <w:t> </w:t>
            </w:r>
            <w:r>
              <w:rPr>
                <w:color w:val="231F20"/>
                <w:sz w:val="15"/>
              </w:rPr>
              <w:t>but can be understood</w:t>
            </w:r>
          </w:p>
        </w:tc>
        <w:tc>
          <w:tcPr>
            <w:tcW w:w="1930" w:type="dxa"/>
            <w:tcBorders>
              <w:top w:val="single" w:sz="4" w:space="0" w:color="231F20"/>
              <w:bottom w:val="single" w:sz="4" w:space="0" w:color="FFFFFF"/>
            </w:tcBorders>
            <w:shd w:val="clear" w:color="auto" w:fill="E8F5F1"/>
          </w:tcPr>
          <w:p>
            <w:pPr>
              <w:pStyle w:val="TableParagraph"/>
              <w:spacing w:line="230" w:lineRule="auto" w:before="52"/>
              <w:ind w:left="341" w:hanging="112"/>
              <w:rPr>
                <w:sz w:val="15"/>
              </w:rPr>
            </w:pPr>
            <w:r>
              <w:rPr>
                <w:color w:val="231F20"/>
                <w:spacing w:val="-2"/>
                <w:sz w:val="15"/>
              </w:rPr>
              <w:t>Difficult</w:t>
            </w:r>
            <w:r>
              <w:rPr>
                <w:color w:val="231F20"/>
                <w:spacing w:val="-10"/>
                <w:sz w:val="15"/>
              </w:rPr>
              <w:t> </w:t>
            </w:r>
            <w:r>
              <w:rPr>
                <w:color w:val="231F20"/>
                <w:spacing w:val="-2"/>
                <w:sz w:val="15"/>
              </w:rPr>
              <w:t>to</w:t>
            </w:r>
            <w:r>
              <w:rPr>
                <w:color w:val="231F20"/>
                <w:spacing w:val="-9"/>
                <w:sz w:val="15"/>
              </w:rPr>
              <w:t> </w:t>
            </w:r>
            <w:r>
              <w:rPr>
                <w:color w:val="231F20"/>
                <w:spacing w:val="-2"/>
                <w:sz w:val="15"/>
              </w:rPr>
              <w:t>understand speech</w:t>
            </w:r>
          </w:p>
        </w:tc>
      </w:tr>
      <w:tr>
        <w:trPr>
          <w:trHeight w:val="252" w:hRule="atLeast"/>
        </w:trPr>
        <w:tc>
          <w:tcPr>
            <w:tcW w:w="2088"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w w:val="105"/>
                <w:sz w:val="15"/>
              </w:rPr>
              <w:t>Chewing</w:t>
            </w:r>
          </w:p>
        </w:tc>
        <w:tc>
          <w:tcPr>
            <w:tcW w:w="956" w:type="dxa"/>
            <w:tcBorders>
              <w:top w:val="single" w:sz="4" w:space="0" w:color="FFFFFF"/>
              <w:bottom w:val="single" w:sz="4" w:space="0" w:color="FFFFFF"/>
            </w:tcBorders>
            <w:shd w:val="clear" w:color="auto" w:fill="E8F5F1"/>
          </w:tcPr>
          <w:p>
            <w:pPr>
              <w:pStyle w:val="TableParagraph"/>
              <w:spacing w:before="42"/>
              <w:ind w:left="122" w:right="122"/>
              <w:jc w:val="center"/>
              <w:rPr>
                <w:sz w:val="15"/>
              </w:rPr>
            </w:pPr>
            <w:r>
              <w:rPr>
                <w:color w:val="231F20"/>
                <w:spacing w:val="-2"/>
                <w:sz w:val="15"/>
              </w:rPr>
              <w:t>Normal</w:t>
            </w:r>
          </w:p>
        </w:tc>
        <w:tc>
          <w:tcPr>
            <w:tcW w:w="2268" w:type="dxa"/>
            <w:tcBorders>
              <w:top w:val="single" w:sz="4" w:space="0" w:color="FFFFFF"/>
              <w:bottom w:val="single" w:sz="4" w:space="0" w:color="FFFFFF"/>
            </w:tcBorders>
            <w:shd w:val="clear" w:color="auto" w:fill="E8F5F1"/>
          </w:tcPr>
          <w:p>
            <w:pPr>
              <w:pStyle w:val="TableParagraph"/>
              <w:spacing w:before="42"/>
              <w:ind w:left="229"/>
              <w:rPr>
                <w:sz w:val="15"/>
              </w:rPr>
            </w:pPr>
            <w:r>
              <w:rPr>
                <w:color w:val="231F20"/>
                <w:sz w:val="15"/>
              </w:rPr>
              <w:t>Fatigue</w:t>
            </w:r>
            <w:r>
              <w:rPr>
                <w:color w:val="231F20"/>
                <w:spacing w:val="-6"/>
                <w:sz w:val="15"/>
              </w:rPr>
              <w:t> </w:t>
            </w:r>
            <w:r>
              <w:rPr>
                <w:color w:val="231F20"/>
                <w:sz w:val="15"/>
              </w:rPr>
              <w:t>with</w:t>
            </w:r>
            <w:r>
              <w:rPr>
                <w:color w:val="231F20"/>
                <w:spacing w:val="-6"/>
                <w:sz w:val="15"/>
              </w:rPr>
              <w:t> </w:t>
            </w:r>
            <w:r>
              <w:rPr>
                <w:color w:val="231F20"/>
                <w:sz w:val="15"/>
              </w:rPr>
              <w:t>solid</w:t>
            </w:r>
            <w:r>
              <w:rPr>
                <w:color w:val="231F20"/>
                <w:spacing w:val="-6"/>
                <w:sz w:val="15"/>
              </w:rPr>
              <w:t> </w:t>
            </w:r>
            <w:r>
              <w:rPr>
                <w:color w:val="231F20"/>
                <w:spacing w:val="-4"/>
                <w:sz w:val="15"/>
              </w:rPr>
              <w:t>food</w:t>
            </w:r>
          </w:p>
        </w:tc>
        <w:tc>
          <w:tcPr>
            <w:tcW w:w="2594" w:type="dxa"/>
            <w:tcBorders>
              <w:top w:val="single" w:sz="4" w:space="0" w:color="FFFFFF"/>
              <w:bottom w:val="single" w:sz="4" w:space="0" w:color="FFFFFF"/>
            </w:tcBorders>
            <w:shd w:val="clear" w:color="auto" w:fill="E8F5F1"/>
          </w:tcPr>
          <w:p>
            <w:pPr>
              <w:pStyle w:val="TableParagraph"/>
              <w:spacing w:before="42"/>
              <w:ind w:left="229"/>
              <w:rPr>
                <w:sz w:val="15"/>
              </w:rPr>
            </w:pPr>
            <w:r>
              <w:rPr>
                <w:color w:val="231F20"/>
                <w:sz w:val="15"/>
              </w:rPr>
              <w:t>Fatigue</w:t>
            </w:r>
            <w:r>
              <w:rPr>
                <w:color w:val="231F20"/>
                <w:spacing w:val="-11"/>
                <w:sz w:val="15"/>
              </w:rPr>
              <w:t> </w:t>
            </w:r>
            <w:r>
              <w:rPr>
                <w:color w:val="231F20"/>
                <w:sz w:val="15"/>
              </w:rPr>
              <w:t>with</w:t>
            </w:r>
            <w:r>
              <w:rPr>
                <w:color w:val="231F20"/>
                <w:spacing w:val="-10"/>
                <w:sz w:val="15"/>
              </w:rPr>
              <w:t> </w:t>
            </w:r>
            <w:r>
              <w:rPr>
                <w:color w:val="231F20"/>
                <w:sz w:val="15"/>
              </w:rPr>
              <w:t>soft</w:t>
            </w:r>
            <w:r>
              <w:rPr>
                <w:color w:val="231F20"/>
                <w:spacing w:val="-10"/>
                <w:sz w:val="15"/>
              </w:rPr>
              <w:t> </w:t>
            </w:r>
            <w:r>
              <w:rPr>
                <w:color w:val="231F20"/>
                <w:spacing w:val="-4"/>
                <w:sz w:val="15"/>
              </w:rPr>
              <w:t>food</w:t>
            </w:r>
          </w:p>
        </w:tc>
        <w:tc>
          <w:tcPr>
            <w:tcW w:w="1930"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pacing w:val="-2"/>
                <w:sz w:val="15"/>
              </w:rPr>
              <w:t>Gastric</w:t>
            </w:r>
            <w:r>
              <w:rPr>
                <w:color w:val="231F20"/>
                <w:sz w:val="15"/>
              </w:rPr>
              <w:t> </w:t>
            </w:r>
            <w:r>
              <w:rPr>
                <w:color w:val="231F20"/>
                <w:spacing w:val="-4"/>
                <w:sz w:val="15"/>
              </w:rPr>
              <w:t>tube</w:t>
            </w:r>
          </w:p>
        </w:tc>
      </w:tr>
      <w:tr>
        <w:trPr>
          <w:trHeight w:val="420" w:hRule="atLeast"/>
        </w:trPr>
        <w:tc>
          <w:tcPr>
            <w:tcW w:w="2088" w:type="dxa"/>
            <w:gridSpan w:val="2"/>
            <w:tcBorders>
              <w:top w:val="single" w:sz="4" w:space="0" w:color="FFFFFF"/>
              <w:bottom w:val="single" w:sz="4" w:space="0" w:color="FFFFFF"/>
            </w:tcBorders>
            <w:shd w:val="clear" w:color="auto" w:fill="E8F5F1"/>
          </w:tcPr>
          <w:p>
            <w:pPr>
              <w:pStyle w:val="TableParagraph"/>
              <w:spacing w:before="42"/>
              <w:ind w:left="76"/>
              <w:rPr>
                <w:sz w:val="15"/>
              </w:rPr>
            </w:pPr>
            <w:r>
              <w:rPr>
                <w:color w:val="231F20"/>
                <w:spacing w:val="-2"/>
                <w:sz w:val="15"/>
              </w:rPr>
              <w:t>Swallowing</w:t>
            </w:r>
          </w:p>
        </w:tc>
        <w:tc>
          <w:tcPr>
            <w:tcW w:w="956" w:type="dxa"/>
            <w:tcBorders>
              <w:top w:val="single" w:sz="4" w:space="0" w:color="FFFFFF"/>
              <w:bottom w:val="single" w:sz="4" w:space="0" w:color="FFFFFF"/>
            </w:tcBorders>
            <w:shd w:val="clear" w:color="auto" w:fill="E8F5F1"/>
          </w:tcPr>
          <w:p>
            <w:pPr>
              <w:pStyle w:val="TableParagraph"/>
              <w:spacing w:before="42"/>
              <w:ind w:left="121" w:right="122"/>
              <w:jc w:val="center"/>
              <w:rPr>
                <w:sz w:val="15"/>
              </w:rPr>
            </w:pPr>
            <w:r>
              <w:rPr>
                <w:color w:val="231F20"/>
                <w:spacing w:val="-2"/>
                <w:sz w:val="15"/>
              </w:rPr>
              <w:t>Normal</w:t>
            </w:r>
          </w:p>
        </w:tc>
        <w:tc>
          <w:tcPr>
            <w:tcW w:w="2268" w:type="dxa"/>
            <w:tcBorders>
              <w:top w:val="single" w:sz="4" w:space="0" w:color="FFFFFF"/>
              <w:bottom w:val="single" w:sz="4" w:space="0" w:color="FFFFFF"/>
            </w:tcBorders>
            <w:shd w:val="clear" w:color="auto" w:fill="E8F5F1"/>
          </w:tcPr>
          <w:p>
            <w:pPr>
              <w:pStyle w:val="TableParagraph"/>
              <w:spacing w:before="42"/>
              <w:ind w:left="229"/>
              <w:rPr>
                <w:sz w:val="15"/>
              </w:rPr>
            </w:pPr>
            <w:r>
              <w:rPr>
                <w:color w:val="231F20"/>
                <w:sz w:val="15"/>
              </w:rPr>
              <w:t>Rare</w:t>
            </w:r>
            <w:r>
              <w:rPr>
                <w:color w:val="231F20"/>
                <w:spacing w:val="3"/>
                <w:sz w:val="15"/>
              </w:rPr>
              <w:t> </w:t>
            </w:r>
            <w:r>
              <w:rPr>
                <w:color w:val="231F20"/>
                <w:sz w:val="15"/>
              </w:rPr>
              <w:t>episode</w:t>
            </w:r>
            <w:r>
              <w:rPr>
                <w:color w:val="231F20"/>
                <w:spacing w:val="3"/>
                <w:sz w:val="15"/>
              </w:rPr>
              <w:t> </w:t>
            </w:r>
            <w:r>
              <w:rPr>
                <w:color w:val="231F20"/>
                <w:sz w:val="15"/>
              </w:rPr>
              <w:t>of</w:t>
            </w:r>
            <w:r>
              <w:rPr>
                <w:color w:val="231F20"/>
                <w:spacing w:val="4"/>
                <w:sz w:val="15"/>
              </w:rPr>
              <w:t> </w:t>
            </w:r>
            <w:r>
              <w:rPr>
                <w:color w:val="231F20"/>
                <w:spacing w:val="-2"/>
                <w:sz w:val="15"/>
              </w:rPr>
              <w:t>choking</w:t>
            </w:r>
          </w:p>
        </w:tc>
        <w:tc>
          <w:tcPr>
            <w:tcW w:w="2594" w:type="dxa"/>
            <w:tcBorders>
              <w:top w:val="single" w:sz="4" w:space="0" w:color="FFFFFF"/>
              <w:bottom w:val="single" w:sz="4" w:space="0" w:color="FFFFFF"/>
            </w:tcBorders>
            <w:shd w:val="clear" w:color="auto" w:fill="E8F5F1"/>
          </w:tcPr>
          <w:p>
            <w:pPr>
              <w:pStyle w:val="TableParagraph"/>
              <w:spacing w:line="230" w:lineRule="auto" w:before="48"/>
              <w:ind w:left="341" w:right="220" w:hanging="112"/>
              <w:rPr>
                <w:sz w:val="15"/>
              </w:rPr>
            </w:pPr>
            <w:r>
              <w:rPr>
                <w:color w:val="231F20"/>
                <w:sz w:val="15"/>
              </w:rPr>
              <w:t>Frequent</w:t>
            </w:r>
            <w:r>
              <w:rPr>
                <w:color w:val="231F20"/>
                <w:spacing w:val="-12"/>
                <w:sz w:val="15"/>
              </w:rPr>
              <w:t> </w:t>
            </w:r>
            <w:r>
              <w:rPr>
                <w:color w:val="231F20"/>
                <w:sz w:val="15"/>
              </w:rPr>
              <w:t>choking,</w:t>
            </w:r>
            <w:r>
              <w:rPr>
                <w:color w:val="231F20"/>
                <w:spacing w:val="-11"/>
                <w:sz w:val="15"/>
              </w:rPr>
              <w:t> </w:t>
            </w:r>
            <w:r>
              <w:rPr>
                <w:color w:val="231F20"/>
                <w:sz w:val="15"/>
              </w:rPr>
              <w:t>necessitating changes in diet</w:t>
            </w:r>
          </w:p>
        </w:tc>
        <w:tc>
          <w:tcPr>
            <w:tcW w:w="1930"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pacing w:val="-2"/>
                <w:sz w:val="15"/>
              </w:rPr>
              <w:t>Gastric</w:t>
            </w:r>
            <w:r>
              <w:rPr>
                <w:color w:val="231F20"/>
                <w:sz w:val="15"/>
              </w:rPr>
              <w:t> </w:t>
            </w:r>
            <w:r>
              <w:rPr>
                <w:color w:val="231F20"/>
                <w:spacing w:val="-4"/>
                <w:sz w:val="15"/>
              </w:rPr>
              <w:t>tube</w:t>
            </w:r>
          </w:p>
        </w:tc>
      </w:tr>
      <w:tr>
        <w:trPr>
          <w:trHeight w:val="420" w:hRule="atLeast"/>
        </w:trPr>
        <w:tc>
          <w:tcPr>
            <w:tcW w:w="2088" w:type="dxa"/>
            <w:gridSpan w:val="2"/>
            <w:tcBorders>
              <w:top w:val="single" w:sz="4" w:space="0" w:color="FFFFFF"/>
              <w:bottom w:val="single" w:sz="4" w:space="0" w:color="FFFFFF"/>
            </w:tcBorders>
            <w:shd w:val="clear" w:color="auto" w:fill="E8F5F1"/>
          </w:tcPr>
          <w:p>
            <w:pPr>
              <w:pStyle w:val="TableParagraph"/>
              <w:spacing w:before="42"/>
              <w:ind w:left="76"/>
              <w:rPr>
                <w:sz w:val="15"/>
              </w:rPr>
            </w:pPr>
            <w:r>
              <w:rPr>
                <w:color w:val="231F20"/>
                <w:spacing w:val="-2"/>
                <w:sz w:val="15"/>
              </w:rPr>
              <w:t>Breathing</w:t>
            </w:r>
          </w:p>
        </w:tc>
        <w:tc>
          <w:tcPr>
            <w:tcW w:w="956" w:type="dxa"/>
            <w:tcBorders>
              <w:top w:val="single" w:sz="4" w:space="0" w:color="FFFFFF"/>
              <w:bottom w:val="single" w:sz="4" w:space="0" w:color="FFFFFF"/>
            </w:tcBorders>
            <w:shd w:val="clear" w:color="auto" w:fill="E8F5F1"/>
          </w:tcPr>
          <w:p>
            <w:pPr>
              <w:pStyle w:val="TableParagraph"/>
              <w:spacing w:before="42"/>
              <w:ind w:left="121" w:right="122"/>
              <w:jc w:val="center"/>
              <w:rPr>
                <w:sz w:val="15"/>
              </w:rPr>
            </w:pPr>
            <w:r>
              <w:rPr>
                <w:color w:val="231F20"/>
                <w:spacing w:val="-2"/>
                <w:sz w:val="15"/>
              </w:rPr>
              <w:t>Normal</w:t>
            </w:r>
          </w:p>
        </w:tc>
        <w:tc>
          <w:tcPr>
            <w:tcW w:w="2268" w:type="dxa"/>
            <w:tcBorders>
              <w:top w:val="single" w:sz="4" w:space="0" w:color="FFFFFF"/>
              <w:bottom w:val="single" w:sz="4" w:space="0" w:color="FFFFFF"/>
            </w:tcBorders>
            <w:shd w:val="clear" w:color="auto" w:fill="E8F5F1"/>
          </w:tcPr>
          <w:p>
            <w:pPr>
              <w:pStyle w:val="TableParagraph"/>
              <w:spacing w:line="230" w:lineRule="auto" w:before="48"/>
              <w:ind w:left="341" w:right="404" w:hanging="112"/>
              <w:rPr>
                <w:sz w:val="15"/>
              </w:rPr>
            </w:pPr>
            <w:r>
              <w:rPr>
                <w:color w:val="231F20"/>
                <w:sz w:val="15"/>
              </w:rPr>
              <w:t>Shortness</w:t>
            </w:r>
            <w:r>
              <w:rPr>
                <w:color w:val="231F20"/>
                <w:spacing w:val="-12"/>
                <w:sz w:val="15"/>
              </w:rPr>
              <w:t> </w:t>
            </w:r>
            <w:r>
              <w:rPr>
                <w:color w:val="231F20"/>
                <w:sz w:val="15"/>
              </w:rPr>
              <w:t>of</w:t>
            </w:r>
            <w:r>
              <w:rPr>
                <w:color w:val="231F20"/>
                <w:spacing w:val="-11"/>
                <w:sz w:val="15"/>
              </w:rPr>
              <w:t> </w:t>
            </w:r>
            <w:r>
              <w:rPr>
                <w:color w:val="231F20"/>
                <w:sz w:val="15"/>
              </w:rPr>
              <w:t>breath</w:t>
            </w:r>
            <w:r>
              <w:rPr>
                <w:color w:val="231F20"/>
                <w:spacing w:val="-11"/>
                <w:sz w:val="15"/>
              </w:rPr>
              <w:t> </w:t>
            </w:r>
            <w:r>
              <w:rPr>
                <w:color w:val="231F20"/>
                <w:sz w:val="15"/>
              </w:rPr>
              <w:t>with </w:t>
            </w:r>
            <w:r>
              <w:rPr>
                <w:color w:val="231F20"/>
                <w:spacing w:val="-2"/>
                <w:sz w:val="15"/>
              </w:rPr>
              <w:t>exertion</w:t>
            </w:r>
          </w:p>
        </w:tc>
        <w:tc>
          <w:tcPr>
            <w:tcW w:w="2594"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z w:val="15"/>
              </w:rPr>
              <w:t>Shortness</w:t>
            </w:r>
            <w:r>
              <w:rPr>
                <w:color w:val="231F20"/>
                <w:spacing w:val="-5"/>
                <w:sz w:val="15"/>
              </w:rPr>
              <w:t> </w:t>
            </w:r>
            <w:r>
              <w:rPr>
                <w:color w:val="231F20"/>
                <w:sz w:val="15"/>
              </w:rPr>
              <w:t>of</w:t>
            </w:r>
            <w:r>
              <w:rPr>
                <w:color w:val="231F20"/>
                <w:spacing w:val="-5"/>
                <w:sz w:val="15"/>
              </w:rPr>
              <w:t> </w:t>
            </w:r>
            <w:r>
              <w:rPr>
                <w:color w:val="231F20"/>
                <w:sz w:val="15"/>
              </w:rPr>
              <w:t>breath</w:t>
            </w:r>
            <w:r>
              <w:rPr>
                <w:color w:val="231F20"/>
                <w:spacing w:val="-5"/>
                <w:sz w:val="15"/>
              </w:rPr>
              <w:t> </w:t>
            </w:r>
            <w:r>
              <w:rPr>
                <w:color w:val="231F20"/>
                <w:sz w:val="15"/>
              </w:rPr>
              <w:t>at</w:t>
            </w:r>
            <w:r>
              <w:rPr>
                <w:color w:val="231F20"/>
                <w:spacing w:val="-5"/>
                <w:sz w:val="15"/>
              </w:rPr>
              <w:t> </w:t>
            </w:r>
            <w:r>
              <w:rPr>
                <w:color w:val="231F20"/>
                <w:spacing w:val="-4"/>
                <w:sz w:val="15"/>
              </w:rPr>
              <w:t>rest</w:t>
            </w:r>
          </w:p>
        </w:tc>
        <w:tc>
          <w:tcPr>
            <w:tcW w:w="1930"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pacing w:val="-4"/>
                <w:sz w:val="15"/>
              </w:rPr>
              <w:t>Ventilator</w:t>
            </w:r>
            <w:r>
              <w:rPr>
                <w:color w:val="231F20"/>
                <w:sz w:val="15"/>
              </w:rPr>
              <w:t> </w:t>
            </w:r>
            <w:r>
              <w:rPr>
                <w:color w:val="231F20"/>
                <w:spacing w:val="-2"/>
                <w:sz w:val="15"/>
              </w:rPr>
              <w:t>dependence</w:t>
            </w:r>
          </w:p>
        </w:tc>
      </w:tr>
      <w:tr>
        <w:trPr>
          <w:trHeight w:val="420" w:hRule="atLeast"/>
        </w:trPr>
        <w:tc>
          <w:tcPr>
            <w:tcW w:w="2088" w:type="dxa"/>
            <w:gridSpan w:val="2"/>
            <w:tcBorders>
              <w:top w:val="single" w:sz="4" w:space="0" w:color="FFFFFF"/>
              <w:bottom w:val="single" w:sz="4" w:space="0" w:color="FFFFFF"/>
            </w:tcBorders>
            <w:shd w:val="clear" w:color="auto" w:fill="E8F5F1"/>
          </w:tcPr>
          <w:p>
            <w:pPr>
              <w:pStyle w:val="TableParagraph"/>
              <w:spacing w:line="230" w:lineRule="auto" w:before="48"/>
              <w:ind w:left="188" w:right="164" w:hanging="112"/>
              <w:rPr>
                <w:sz w:val="15"/>
              </w:rPr>
            </w:pPr>
            <w:r>
              <w:rPr>
                <w:color w:val="231F20"/>
                <w:sz w:val="15"/>
              </w:rPr>
              <w:t>Impairment of ability to brush</w:t>
            </w:r>
            <w:r>
              <w:rPr>
                <w:color w:val="231F20"/>
                <w:spacing w:val="-11"/>
                <w:sz w:val="15"/>
              </w:rPr>
              <w:t> </w:t>
            </w:r>
            <w:r>
              <w:rPr>
                <w:color w:val="231F20"/>
                <w:sz w:val="15"/>
              </w:rPr>
              <w:t>teeth</w:t>
            </w:r>
            <w:r>
              <w:rPr>
                <w:color w:val="231F20"/>
                <w:spacing w:val="-11"/>
                <w:sz w:val="15"/>
              </w:rPr>
              <w:t> </w:t>
            </w:r>
            <w:r>
              <w:rPr>
                <w:color w:val="231F20"/>
                <w:sz w:val="15"/>
              </w:rPr>
              <w:t>or</w:t>
            </w:r>
            <w:r>
              <w:rPr>
                <w:color w:val="231F20"/>
                <w:spacing w:val="-11"/>
                <w:sz w:val="15"/>
              </w:rPr>
              <w:t> </w:t>
            </w:r>
            <w:r>
              <w:rPr>
                <w:color w:val="231F20"/>
                <w:sz w:val="15"/>
              </w:rPr>
              <w:t>comb</w:t>
            </w:r>
            <w:r>
              <w:rPr>
                <w:color w:val="231F20"/>
                <w:spacing w:val="-11"/>
                <w:sz w:val="15"/>
              </w:rPr>
              <w:t> </w:t>
            </w:r>
            <w:r>
              <w:rPr>
                <w:color w:val="231F20"/>
                <w:sz w:val="15"/>
              </w:rPr>
              <w:t>hair</w:t>
            </w:r>
          </w:p>
        </w:tc>
        <w:tc>
          <w:tcPr>
            <w:tcW w:w="956" w:type="dxa"/>
            <w:tcBorders>
              <w:top w:val="single" w:sz="4" w:space="0" w:color="FFFFFF"/>
              <w:bottom w:val="single" w:sz="4" w:space="0" w:color="FFFFFF"/>
            </w:tcBorders>
            <w:shd w:val="clear" w:color="auto" w:fill="E8F5F1"/>
          </w:tcPr>
          <w:p>
            <w:pPr>
              <w:pStyle w:val="TableParagraph"/>
              <w:spacing w:before="42"/>
              <w:ind w:right="122"/>
              <w:jc w:val="center"/>
              <w:rPr>
                <w:sz w:val="15"/>
              </w:rPr>
            </w:pPr>
            <w:r>
              <w:rPr>
                <w:color w:val="231F20"/>
                <w:spacing w:val="-4"/>
                <w:w w:val="110"/>
                <w:sz w:val="15"/>
              </w:rPr>
              <w:t>None</w:t>
            </w:r>
          </w:p>
        </w:tc>
        <w:tc>
          <w:tcPr>
            <w:tcW w:w="2268" w:type="dxa"/>
            <w:tcBorders>
              <w:top w:val="single" w:sz="4" w:space="0" w:color="FFFFFF"/>
              <w:bottom w:val="single" w:sz="4" w:space="0" w:color="FFFFFF"/>
            </w:tcBorders>
            <w:shd w:val="clear" w:color="auto" w:fill="E8F5F1"/>
          </w:tcPr>
          <w:p>
            <w:pPr>
              <w:pStyle w:val="TableParagraph"/>
              <w:spacing w:line="230" w:lineRule="auto" w:before="48"/>
              <w:ind w:left="342" w:right="471" w:hanging="112"/>
              <w:rPr>
                <w:sz w:val="15"/>
              </w:rPr>
            </w:pPr>
            <w:r>
              <w:rPr>
                <w:color w:val="231F20"/>
                <w:spacing w:val="-2"/>
                <w:sz w:val="15"/>
              </w:rPr>
              <w:t>Extra</w:t>
            </w:r>
            <w:r>
              <w:rPr>
                <w:color w:val="231F20"/>
                <w:spacing w:val="-10"/>
                <w:sz w:val="15"/>
              </w:rPr>
              <w:t> </w:t>
            </w:r>
            <w:r>
              <w:rPr>
                <w:color w:val="231F20"/>
                <w:spacing w:val="-2"/>
                <w:sz w:val="15"/>
              </w:rPr>
              <w:t>effort,</w:t>
            </w:r>
            <w:r>
              <w:rPr>
                <w:color w:val="231F20"/>
                <w:spacing w:val="-9"/>
                <w:sz w:val="15"/>
              </w:rPr>
              <w:t> </w:t>
            </w:r>
            <w:r>
              <w:rPr>
                <w:color w:val="231F20"/>
                <w:spacing w:val="-2"/>
                <w:sz w:val="15"/>
              </w:rPr>
              <w:t>but</w:t>
            </w:r>
            <w:r>
              <w:rPr>
                <w:color w:val="231F20"/>
                <w:spacing w:val="-9"/>
                <w:sz w:val="15"/>
              </w:rPr>
              <w:t> </w:t>
            </w:r>
            <w:r>
              <w:rPr>
                <w:color w:val="231F20"/>
                <w:spacing w:val="-2"/>
                <w:sz w:val="15"/>
              </w:rPr>
              <w:t>no</w:t>
            </w:r>
            <w:r>
              <w:rPr>
                <w:color w:val="231F20"/>
                <w:spacing w:val="-10"/>
                <w:sz w:val="15"/>
              </w:rPr>
              <w:t> </w:t>
            </w:r>
            <w:r>
              <w:rPr>
                <w:color w:val="231F20"/>
                <w:spacing w:val="-2"/>
                <w:sz w:val="15"/>
              </w:rPr>
              <w:t>rest </w:t>
            </w:r>
            <w:r>
              <w:rPr>
                <w:color w:val="231F20"/>
                <w:sz w:val="15"/>
              </w:rPr>
              <w:t>periods needed</w:t>
            </w:r>
          </w:p>
        </w:tc>
        <w:tc>
          <w:tcPr>
            <w:tcW w:w="2594"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z w:val="15"/>
              </w:rPr>
              <w:t>Rest</w:t>
            </w:r>
            <w:r>
              <w:rPr>
                <w:color w:val="231F20"/>
                <w:spacing w:val="3"/>
                <w:sz w:val="15"/>
              </w:rPr>
              <w:t> </w:t>
            </w:r>
            <w:r>
              <w:rPr>
                <w:color w:val="231F20"/>
                <w:sz w:val="15"/>
              </w:rPr>
              <w:t>periods</w:t>
            </w:r>
            <w:r>
              <w:rPr>
                <w:color w:val="231F20"/>
                <w:spacing w:val="3"/>
                <w:sz w:val="15"/>
              </w:rPr>
              <w:t> </w:t>
            </w:r>
            <w:r>
              <w:rPr>
                <w:color w:val="231F20"/>
                <w:spacing w:val="-2"/>
                <w:sz w:val="15"/>
              </w:rPr>
              <w:t>needed</w:t>
            </w:r>
          </w:p>
        </w:tc>
        <w:tc>
          <w:tcPr>
            <w:tcW w:w="1930" w:type="dxa"/>
            <w:tcBorders>
              <w:top w:val="single" w:sz="4" w:space="0" w:color="FFFFFF"/>
              <w:bottom w:val="single" w:sz="4" w:space="0" w:color="FFFFFF"/>
            </w:tcBorders>
            <w:shd w:val="clear" w:color="auto" w:fill="E8F5F1"/>
          </w:tcPr>
          <w:p>
            <w:pPr>
              <w:pStyle w:val="TableParagraph"/>
              <w:spacing w:line="230" w:lineRule="auto" w:before="48"/>
              <w:ind w:left="342" w:hanging="112"/>
              <w:rPr>
                <w:sz w:val="15"/>
              </w:rPr>
            </w:pPr>
            <w:r>
              <w:rPr>
                <w:color w:val="231F20"/>
                <w:sz w:val="15"/>
              </w:rPr>
              <w:t>Cannot</w:t>
            </w:r>
            <w:r>
              <w:rPr>
                <w:color w:val="231F20"/>
                <w:spacing w:val="-3"/>
                <w:sz w:val="15"/>
              </w:rPr>
              <w:t> </w:t>
            </w:r>
            <w:r>
              <w:rPr>
                <w:color w:val="231F20"/>
                <w:sz w:val="15"/>
              </w:rPr>
              <w:t>do</w:t>
            </w:r>
            <w:r>
              <w:rPr>
                <w:color w:val="231F20"/>
                <w:spacing w:val="-3"/>
                <w:sz w:val="15"/>
              </w:rPr>
              <w:t> </w:t>
            </w:r>
            <w:r>
              <w:rPr>
                <w:color w:val="231F20"/>
                <w:sz w:val="15"/>
              </w:rPr>
              <w:t>1</w:t>
            </w:r>
            <w:r>
              <w:rPr>
                <w:color w:val="231F20"/>
                <w:spacing w:val="-3"/>
                <w:sz w:val="15"/>
              </w:rPr>
              <w:t> </w:t>
            </w:r>
            <w:r>
              <w:rPr>
                <w:color w:val="231F20"/>
                <w:sz w:val="15"/>
              </w:rPr>
              <w:t>of</w:t>
            </w:r>
            <w:r>
              <w:rPr>
                <w:color w:val="231F20"/>
                <w:spacing w:val="-3"/>
                <w:sz w:val="15"/>
              </w:rPr>
              <w:t> </w:t>
            </w:r>
            <w:r>
              <w:rPr>
                <w:color w:val="231F20"/>
                <w:sz w:val="15"/>
              </w:rPr>
              <w:t>these </w:t>
            </w:r>
            <w:r>
              <w:rPr>
                <w:color w:val="231F20"/>
                <w:spacing w:val="-2"/>
                <w:sz w:val="15"/>
              </w:rPr>
              <w:t>functions</w:t>
            </w:r>
          </w:p>
        </w:tc>
      </w:tr>
      <w:tr>
        <w:trPr>
          <w:trHeight w:val="420" w:hRule="atLeast"/>
        </w:trPr>
        <w:tc>
          <w:tcPr>
            <w:tcW w:w="2088" w:type="dxa"/>
            <w:gridSpan w:val="2"/>
            <w:tcBorders>
              <w:top w:val="single" w:sz="4" w:space="0" w:color="FFFFFF"/>
              <w:bottom w:val="single" w:sz="4" w:space="0" w:color="FFFFFF"/>
            </w:tcBorders>
            <w:shd w:val="clear" w:color="auto" w:fill="E8F5F1"/>
          </w:tcPr>
          <w:p>
            <w:pPr>
              <w:pStyle w:val="TableParagraph"/>
              <w:spacing w:line="230" w:lineRule="auto" w:before="48"/>
              <w:ind w:left="189" w:right="164" w:hanging="112"/>
              <w:rPr>
                <w:sz w:val="15"/>
              </w:rPr>
            </w:pPr>
            <w:r>
              <w:rPr>
                <w:color w:val="231F20"/>
                <w:spacing w:val="-2"/>
                <w:sz w:val="15"/>
              </w:rPr>
              <w:t>Impairment</w:t>
            </w:r>
            <w:r>
              <w:rPr>
                <w:color w:val="231F20"/>
                <w:spacing w:val="-10"/>
                <w:sz w:val="15"/>
              </w:rPr>
              <w:t> </w:t>
            </w:r>
            <w:r>
              <w:rPr>
                <w:color w:val="231F20"/>
                <w:spacing w:val="-2"/>
                <w:sz w:val="15"/>
              </w:rPr>
              <w:t>of</w:t>
            </w:r>
            <w:r>
              <w:rPr>
                <w:color w:val="231F20"/>
                <w:spacing w:val="-9"/>
                <w:sz w:val="15"/>
              </w:rPr>
              <w:t> </w:t>
            </w:r>
            <w:r>
              <w:rPr>
                <w:color w:val="231F20"/>
                <w:spacing w:val="-2"/>
                <w:sz w:val="15"/>
              </w:rPr>
              <w:t>ability</w:t>
            </w:r>
            <w:r>
              <w:rPr>
                <w:color w:val="231F20"/>
                <w:spacing w:val="-9"/>
                <w:sz w:val="15"/>
              </w:rPr>
              <w:t> </w:t>
            </w:r>
            <w:r>
              <w:rPr>
                <w:color w:val="231F20"/>
                <w:spacing w:val="-2"/>
                <w:sz w:val="15"/>
              </w:rPr>
              <w:t>to </w:t>
            </w:r>
            <w:r>
              <w:rPr>
                <w:color w:val="231F20"/>
                <w:sz w:val="15"/>
              </w:rPr>
              <w:t>arise from a chair</w:t>
            </w:r>
          </w:p>
        </w:tc>
        <w:tc>
          <w:tcPr>
            <w:tcW w:w="956" w:type="dxa"/>
            <w:tcBorders>
              <w:top w:val="single" w:sz="4" w:space="0" w:color="FFFFFF"/>
              <w:bottom w:val="single" w:sz="4" w:space="0" w:color="FFFFFF"/>
            </w:tcBorders>
            <w:shd w:val="clear" w:color="auto" w:fill="E8F5F1"/>
          </w:tcPr>
          <w:p>
            <w:pPr>
              <w:pStyle w:val="TableParagraph"/>
              <w:spacing w:before="42"/>
              <w:ind w:right="122"/>
              <w:jc w:val="center"/>
              <w:rPr>
                <w:sz w:val="15"/>
              </w:rPr>
            </w:pPr>
            <w:r>
              <w:rPr>
                <w:color w:val="231F20"/>
                <w:spacing w:val="-4"/>
                <w:w w:val="110"/>
                <w:sz w:val="15"/>
              </w:rPr>
              <w:t>None</w:t>
            </w:r>
          </w:p>
        </w:tc>
        <w:tc>
          <w:tcPr>
            <w:tcW w:w="2268"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z w:val="15"/>
              </w:rPr>
              <w:t>Mild,</w:t>
            </w:r>
            <w:r>
              <w:rPr>
                <w:color w:val="231F20"/>
                <w:spacing w:val="2"/>
                <w:sz w:val="15"/>
              </w:rPr>
              <w:t> </w:t>
            </w:r>
            <w:r>
              <w:rPr>
                <w:color w:val="231F20"/>
                <w:sz w:val="15"/>
              </w:rPr>
              <w:t>sometimes</w:t>
            </w:r>
            <w:r>
              <w:rPr>
                <w:color w:val="231F20"/>
                <w:spacing w:val="3"/>
                <w:sz w:val="15"/>
              </w:rPr>
              <w:t> </w:t>
            </w:r>
            <w:r>
              <w:rPr>
                <w:color w:val="231F20"/>
                <w:sz w:val="15"/>
              </w:rPr>
              <w:t>uses</w:t>
            </w:r>
            <w:r>
              <w:rPr>
                <w:color w:val="231F20"/>
                <w:spacing w:val="3"/>
                <w:sz w:val="15"/>
              </w:rPr>
              <w:t> </w:t>
            </w:r>
            <w:r>
              <w:rPr>
                <w:color w:val="231F20"/>
                <w:spacing w:val="-4"/>
                <w:sz w:val="15"/>
              </w:rPr>
              <w:t>arms</w:t>
            </w:r>
          </w:p>
        </w:tc>
        <w:tc>
          <w:tcPr>
            <w:tcW w:w="2594"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z w:val="15"/>
              </w:rPr>
              <w:t>Moderate,</w:t>
            </w:r>
            <w:r>
              <w:rPr>
                <w:color w:val="231F20"/>
                <w:spacing w:val="-3"/>
                <w:sz w:val="15"/>
              </w:rPr>
              <w:t> </w:t>
            </w:r>
            <w:r>
              <w:rPr>
                <w:color w:val="231F20"/>
                <w:sz w:val="15"/>
              </w:rPr>
              <w:t>always</w:t>
            </w:r>
            <w:r>
              <w:rPr>
                <w:color w:val="231F20"/>
                <w:spacing w:val="-2"/>
                <w:sz w:val="15"/>
              </w:rPr>
              <w:t> </w:t>
            </w:r>
            <w:r>
              <w:rPr>
                <w:color w:val="231F20"/>
                <w:sz w:val="15"/>
              </w:rPr>
              <w:t>uses</w:t>
            </w:r>
            <w:r>
              <w:rPr>
                <w:color w:val="231F20"/>
                <w:spacing w:val="-2"/>
                <w:sz w:val="15"/>
              </w:rPr>
              <w:t> </w:t>
            </w:r>
            <w:r>
              <w:rPr>
                <w:color w:val="231F20"/>
                <w:spacing w:val="-4"/>
                <w:sz w:val="15"/>
              </w:rPr>
              <w:t>arms</w:t>
            </w:r>
          </w:p>
        </w:tc>
        <w:tc>
          <w:tcPr>
            <w:tcW w:w="1930" w:type="dxa"/>
            <w:tcBorders>
              <w:top w:val="single" w:sz="4" w:space="0" w:color="FFFFFF"/>
              <w:bottom w:val="single" w:sz="4" w:space="0" w:color="FFFFFF"/>
            </w:tcBorders>
            <w:shd w:val="clear" w:color="auto" w:fill="E8F5F1"/>
          </w:tcPr>
          <w:p>
            <w:pPr>
              <w:pStyle w:val="TableParagraph"/>
              <w:spacing w:line="230" w:lineRule="auto" w:before="48"/>
              <w:ind w:left="343" w:right="620" w:hanging="112"/>
              <w:rPr>
                <w:sz w:val="15"/>
              </w:rPr>
            </w:pPr>
            <w:r>
              <w:rPr>
                <w:color w:val="231F20"/>
                <w:spacing w:val="-2"/>
                <w:sz w:val="15"/>
              </w:rPr>
              <w:t>Severe,</w:t>
            </w:r>
            <w:r>
              <w:rPr>
                <w:color w:val="231F20"/>
                <w:spacing w:val="-10"/>
                <w:sz w:val="15"/>
              </w:rPr>
              <w:t> </w:t>
            </w:r>
            <w:r>
              <w:rPr>
                <w:color w:val="231F20"/>
                <w:spacing w:val="-2"/>
                <w:sz w:val="15"/>
              </w:rPr>
              <w:t>requires assistance</w:t>
            </w:r>
          </w:p>
        </w:tc>
      </w:tr>
      <w:tr>
        <w:trPr>
          <w:trHeight w:val="252" w:hRule="atLeast"/>
        </w:trPr>
        <w:tc>
          <w:tcPr>
            <w:tcW w:w="2088" w:type="dxa"/>
            <w:gridSpan w:val="2"/>
            <w:tcBorders>
              <w:top w:val="single" w:sz="4" w:space="0" w:color="FFFFFF"/>
              <w:bottom w:val="single" w:sz="4" w:space="0" w:color="FFFFFF"/>
            </w:tcBorders>
            <w:shd w:val="clear" w:color="auto" w:fill="E8F5F1"/>
          </w:tcPr>
          <w:p>
            <w:pPr>
              <w:pStyle w:val="TableParagraph"/>
              <w:spacing w:before="42"/>
              <w:ind w:left="77"/>
              <w:rPr>
                <w:sz w:val="15"/>
              </w:rPr>
            </w:pPr>
            <w:r>
              <w:rPr>
                <w:color w:val="231F20"/>
                <w:w w:val="105"/>
                <w:sz w:val="15"/>
              </w:rPr>
              <w:t>Double</w:t>
            </w:r>
            <w:r>
              <w:rPr>
                <w:color w:val="231F20"/>
                <w:spacing w:val="3"/>
                <w:w w:val="105"/>
                <w:sz w:val="15"/>
              </w:rPr>
              <w:t> </w:t>
            </w:r>
            <w:r>
              <w:rPr>
                <w:color w:val="231F20"/>
                <w:spacing w:val="-2"/>
                <w:w w:val="105"/>
                <w:sz w:val="15"/>
              </w:rPr>
              <w:t>vision</w:t>
            </w:r>
          </w:p>
        </w:tc>
        <w:tc>
          <w:tcPr>
            <w:tcW w:w="956" w:type="dxa"/>
            <w:tcBorders>
              <w:top w:val="single" w:sz="4" w:space="0" w:color="FFFFFF"/>
              <w:bottom w:val="single" w:sz="4" w:space="0" w:color="FFFFFF"/>
            </w:tcBorders>
            <w:shd w:val="clear" w:color="auto" w:fill="E8F5F1"/>
          </w:tcPr>
          <w:p>
            <w:pPr>
              <w:pStyle w:val="TableParagraph"/>
              <w:spacing w:before="42"/>
              <w:ind w:left="1" w:right="122"/>
              <w:jc w:val="center"/>
              <w:rPr>
                <w:sz w:val="15"/>
              </w:rPr>
            </w:pPr>
            <w:r>
              <w:rPr>
                <w:color w:val="231F20"/>
                <w:spacing w:val="-4"/>
                <w:w w:val="110"/>
                <w:sz w:val="15"/>
              </w:rPr>
              <w:t>None</w:t>
            </w:r>
          </w:p>
        </w:tc>
        <w:tc>
          <w:tcPr>
            <w:tcW w:w="2268"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z w:val="15"/>
              </w:rPr>
              <w:t>Occurs,</w:t>
            </w:r>
            <w:r>
              <w:rPr>
                <w:color w:val="231F20"/>
                <w:spacing w:val="-3"/>
                <w:sz w:val="15"/>
              </w:rPr>
              <w:t> </w:t>
            </w:r>
            <w:r>
              <w:rPr>
                <w:color w:val="231F20"/>
                <w:sz w:val="15"/>
              </w:rPr>
              <w:t>but</w:t>
            </w:r>
            <w:r>
              <w:rPr>
                <w:color w:val="231F20"/>
                <w:spacing w:val="-2"/>
                <w:sz w:val="15"/>
              </w:rPr>
              <w:t> </w:t>
            </w:r>
            <w:r>
              <w:rPr>
                <w:color w:val="231F20"/>
                <w:sz w:val="15"/>
              </w:rPr>
              <w:t>not</w:t>
            </w:r>
            <w:r>
              <w:rPr>
                <w:color w:val="231F20"/>
                <w:spacing w:val="-2"/>
                <w:sz w:val="15"/>
              </w:rPr>
              <w:t> daily</w:t>
            </w:r>
          </w:p>
        </w:tc>
        <w:tc>
          <w:tcPr>
            <w:tcW w:w="2594" w:type="dxa"/>
            <w:tcBorders>
              <w:top w:val="single" w:sz="4" w:space="0" w:color="FFFFFF"/>
              <w:bottom w:val="single" w:sz="4" w:space="0" w:color="FFFFFF"/>
            </w:tcBorders>
            <w:shd w:val="clear" w:color="auto" w:fill="E8F5F1"/>
          </w:tcPr>
          <w:p>
            <w:pPr>
              <w:pStyle w:val="TableParagraph"/>
              <w:spacing w:before="42"/>
              <w:ind w:left="230"/>
              <w:rPr>
                <w:sz w:val="15"/>
              </w:rPr>
            </w:pPr>
            <w:r>
              <w:rPr>
                <w:color w:val="231F20"/>
                <w:sz w:val="15"/>
              </w:rPr>
              <w:t>Daily,</w:t>
            </w:r>
            <w:r>
              <w:rPr>
                <w:color w:val="231F20"/>
                <w:spacing w:val="-7"/>
                <w:sz w:val="15"/>
              </w:rPr>
              <w:t> </w:t>
            </w:r>
            <w:r>
              <w:rPr>
                <w:color w:val="231F20"/>
                <w:sz w:val="15"/>
              </w:rPr>
              <w:t>but</w:t>
            </w:r>
            <w:r>
              <w:rPr>
                <w:color w:val="231F20"/>
                <w:spacing w:val="-7"/>
                <w:sz w:val="15"/>
              </w:rPr>
              <w:t> </w:t>
            </w:r>
            <w:r>
              <w:rPr>
                <w:color w:val="231F20"/>
                <w:sz w:val="15"/>
              </w:rPr>
              <w:t>not</w:t>
            </w:r>
            <w:r>
              <w:rPr>
                <w:color w:val="231F20"/>
                <w:spacing w:val="-7"/>
                <w:sz w:val="15"/>
              </w:rPr>
              <w:t> </w:t>
            </w:r>
            <w:r>
              <w:rPr>
                <w:color w:val="231F20"/>
                <w:spacing w:val="-2"/>
                <w:sz w:val="15"/>
              </w:rPr>
              <w:t>constant</w:t>
            </w:r>
          </w:p>
        </w:tc>
        <w:tc>
          <w:tcPr>
            <w:tcW w:w="1930" w:type="dxa"/>
            <w:tcBorders>
              <w:top w:val="single" w:sz="4" w:space="0" w:color="FFFFFF"/>
              <w:bottom w:val="single" w:sz="4" w:space="0" w:color="FFFFFF"/>
            </w:tcBorders>
            <w:shd w:val="clear" w:color="auto" w:fill="E8F5F1"/>
          </w:tcPr>
          <w:p>
            <w:pPr>
              <w:pStyle w:val="TableParagraph"/>
              <w:spacing w:before="42"/>
              <w:ind w:left="231"/>
              <w:rPr>
                <w:sz w:val="15"/>
              </w:rPr>
            </w:pPr>
            <w:r>
              <w:rPr>
                <w:color w:val="231F20"/>
                <w:spacing w:val="-2"/>
                <w:sz w:val="15"/>
              </w:rPr>
              <w:t>Constant</w:t>
            </w:r>
          </w:p>
        </w:tc>
      </w:tr>
      <w:tr>
        <w:trPr>
          <w:trHeight w:val="252" w:hRule="atLeast"/>
        </w:trPr>
        <w:tc>
          <w:tcPr>
            <w:tcW w:w="2088" w:type="dxa"/>
            <w:gridSpan w:val="2"/>
            <w:tcBorders>
              <w:top w:val="single" w:sz="4" w:space="0" w:color="FFFFFF"/>
              <w:bottom w:val="single" w:sz="4" w:space="0" w:color="FFFFFF"/>
            </w:tcBorders>
            <w:shd w:val="clear" w:color="auto" w:fill="E8F5F1"/>
          </w:tcPr>
          <w:p>
            <w:pPr>
              <w:pStyle w:val="TableParagraph"/>
              <w:spacing w:before="42"/>
              <w:ind w:left="77"/>
              <w:rPr>
                <w:sz w:val="15"/>
              </w:rPr>
            </w:pPr>
            <w:r>
              <w:rPr>
                <w:color w:val="231F20"/>
                <w:sz w:val="15"/>
              </w:rPr>
              <w:t>Eyelid</w:t>
            </w:r>
            <w:r>
              <w:rPr>
                <w:color w:val="231F20"/>
                <w:spacing w:val="-4"/>
                <w:sz w:val="15"/>
              </w:rPr>
              <w:t> </w:t>
            </w:r>
            <w:r>
              <w:rPr>
                <w:color w:val="231F20"/>
                <w:spacing w:val="-2"/>
                <w:sz w:val="15"/>
              </w:rPr>
              <w:t>droop</w:t>
            </w:r>
          </w:p>
        </w:tc>
        <w:tc>
          <w:tcPr>
            <w:tcW w:w="956" w:type="dxa"/>
            <w:tcBorders>
              <w:top w:val="single" w:sz="4" w:space="0" w:color="FFFFFF"/>
              <w:bottom w:val="single" w:sz="4" w:space="0" w:color="FFFFFF"/>
            </w:tcBorders>
            <w:shd w:val="clear" w:color="auto" w:fill="E8F5F1"/>
          </w:tcPr>
          <w:p>
            <w:pPr>
              <w:pStyle w:val="TableParagraph"/>
              <w:spacing w:before="42"/>
              <w:ind w:left="2" w:right="122"/>
              <w:jc w:val="center"/>
              <w:rPr>
                <w:sz w:val="15"/>
              </w:rPr>
            </w:pPr>
            <w:r>
              <w:rPr>
                <w:color w:val="231F20"/>
                <w:spacing w:val="-4"/>
                <w:w w:val="110"/>
                <w:sz w:val="15"/>
              </w:rPr>
              <w:t>None</w:t>
            </w:r>
          </w:p>
        </w:tc>
        <w:tc>
          <w:tcPr>
            <w:tcW w:w="2268" w:type="dxa"/>
            <w:tcBorders>
              <w:top w:val="single" w:sz="4" w:space="0" w:color="FFFFFF"/>
              <w:bottom w:val="single" w:sz="4" w:space="0" w:color="FFFFFF"/>
            </w:tcBorders>
            <w:shd w:val="clear" w:color="auto" w:fill="E8F5F1"/>
          </w:tcPr>
          <w:p>
            <w:pPr>
              <w:pStyle w:val="TableParagraph"/>
              <w:spacing w:before="42"/>
              <w:ind w:left="231"/>
              <w:rPr>
                <w:sz w:val="15"/>
              </w:rPr>
            </w:pPr>
            <w:r>
              <w:rPr>
                <w:color w:val="231F20"/>
                <w:sz w:val="15"/>
              </w:rPr>
              <w:t>Occurs,</w:t>
            </w:r>
            <w:r>
              <w:rPr>
                <w:color w:val="231F20"/>
                <w:spacing w:val="-3"/>
                <w:sz w:val="15"/>
              </w:rPr>
              <w:t> </w:t>
            </w:r>
            <w:r>
              <w:rPr>
                <w:color w:val="231F20"/>
                <w:sz w:val="15"/>
              </w:rPr>
              <w:t>but</w:t>
            </w:r>
            <w:r>
              <w:rPr>
                <w:color w:val="231F20"/>
                <w:spacing w:val="-2"/>
                <w:sz w:val="15"/>
              </w:rPr>
              <w:t> </w:t>
            </w:r>
            <w:r>
              <w:rPr>
                <w:color w:val="231F20"/>
                <w:sz w:val="15"/>
              </w:rPr>
              <w:t>not</w:t>
            </w:r>
            <w:r>
              <w:rPr>
                <w:color w:val="231F20"/>
                <w:spacing w:val="-2"/>
                <w:sz w:val="15"/>
              </w:rPr>
              <w:t> daily</w:t>
            </w:r>
          </w:p>
        </w:tc>
        <w:tc>
          <w:tcPr>
            <w:tcW w:w="2594" w:type="dxa"/>
            <w:tcBorders>
              <w:top w:val="single" w:sz="4" w:space="0" w:color="FFFFFF"/>
              <w:bottom w:val="single" w:sz="4" w:space="0" w:color="FFFFFF"/>
            </w:tcBorders>
            <w:shd w:val="clear" w:color="auto" w:fill="E8F5F1"/>
          </w:tcPr>
          <w:p>
            <w:pPr>
              <w:pStyle w:val="TableParagraph"/>
              <w:spacing w:before="42"/>
              <w:ind w:left="231"/>
              <w:rPr>
                <w:sz w:val="15"/>
              </w:rPr>
            </w:pPr>
            <w:r>
              <w:rPr>
                <w:color w:val="231F20"/>
                <w:sz w:val="15"/>
              </w:rPr>
              <w:t>Daily,</w:t>
            </w:r>
            <w:r>
              <w:rPr>
                <w:color w:val="231F20"/>
                <w:spacing w:val="-7"/>
                <w:sz w:val="15"/>
              </w:rPr>
              <w:t> </w:t>
            </w:r>
            <w:r>
              <w:rPr>
                <w:color w:val="231F20"/>
                <w:sz w:val="15"/>
              </w:rPr>
              <w:t>but</w:t>
            </w:r>
            <w:r>
              <w:rPr>
                <w:color w:val="231F20"/>
                <w:spacing w:val="-7"/>
                <w:sz w:val="15"/>
              </w:rPr>
              <w:t> </w:t>
            </w:r>
            <w:r>
              <w:rPr>
                <w:color w:val="231F20"/>
                <w:sz w:val="15"/>
              </w:rPr>
              <w:t>not</w:t>
            </w:r>
            <w:r>
              <w:rPr>
                <w:color w:val="231F20"/>
                <w:spacing w:val="-7"/>
                <w:sz w:val="15"/>
              </w:rPr>
              <w:t> </w:t>
            </w:r>
            <w:r>
              <w:rPr>
                <w:color w:val="231F20"/>
                <w:spacing w:val="-2"/>
                <w:sz w:val="15"/>
              </w:rPr>
              <w:t>constant</w:t>
            </w:r>
          </w:p>
        </w:tc>
        <w:tc>
          <w:tcPr>
            <w:tcW w:w="1930" w:type="dxa"/>
            <w:tcBorders>
              <w:top w:val="single" w:sz="4" w:space="0" w:color="FFFFFF"/>
              <w:bottom w:val="single" w:sz="4" w:space="0" w:color="FFFFFF"/>
            </w:tcBorders>
            <w:shd w:val="clear" w:color="auto" w:fill="E8F5F1"/>
          </w:tcPr>
          <w:p>
            <w:pPr>
              <w:pStyle w:val="TableParagraph"/>
              <w:spacing w:before="42"/>
              <w:ind w:left="231"/>
              <w:rPr>
                <w:sz w:val="15"/>
              </w:rPr>
            </w:pPr>
            <w:r>
              <w:rPr>
                <w:color w:val="231F20"/>
                <w:spacing w:val="-2"/>
                <w:sz w:val="15"/>
              </w:rPr>
              <w:t>Constant</w:t>
            </w:r>
          </w:p>
        </w:tc>
      </w:tr>
      <w:tr>
        <w:trPr>
          <w:trHeight w:val="247" w:hRule="atLeast"/>
        </w:trPr>
        <w:tc>
          <w:tcPr>
            <w:tcW w:w="9836" w:type="dxa"/>
            <w:gridSpan w:val="6"/>
            <w:tcBorders>
              <w:top w:val="single" w:sz="4" w:space="0" w:color="FFFFFF"/>
              <w:bottom w:val="single" w:sz="8" w:space="0" w:color="231F20"/>
            </w:tcBorders>
            <w:shd w:val="clear" w:color="auto" w:fill="E8F5F1"/>
          </w:tcPr>
          <w:p>
            <w:pPr>
              <w:pStyle w:val="TableParagraph"/>
              <w:spacing w:before="42"/>
              <w:ind w:left="77"/>
              <w:rPr>
                <w:sz w:val="15"/>
              </w:rPr>
            </w:pPr>
            <w:r>
              <w:rPr>
                <w:color w:val="231F20"/>
                <w:w w:val="110"/>
                <w:sz w:val="15"/>
              </w:rPr>
              <w:t>TOTAL</w:t>
            </w:r>
            <w:r>
              <w:rPr>
                <w:color w:val="231F20"/>
                <w:spacing w:val="-5"/>
                <w:w w:val="110"/>
                <w:sz w:val="15"/>
              </w:rPr>
              <w:t> </w:t>
            </w:r>
            <w:r>
              <w:rPr>
                <w:color w:val="231F20"/>
                <w:w w:val="110"/>
                <w:sz w:val="15"/>
              </w:rPr>
              <w:t>MG-ADL</w:t>
            </w:r>
            <w:r>
              <w:rPr>
                <w:color w:val="231F20"/>
                <w:spacing w:val="-5"/>
                <w:w w:val="110"/>
                <w:sz w:val="15"/>
              </w:rPr>
              <w:t> </w:t>
            </w:r>
            <w:r>
              <w:rPr>
                <w:color w:val="231F20"/>
                <w:spacing w:val="-2"/>
                <w:w w:val="110"/>
                <w:sz w:val="15"/>
              </w:rPr>
              <w:t>SCORE</w:t>
            </w:r>
          </w:p>
        </w:tc>
      </w:tr>
    </w:tbl>
    <w:p>
      <w:pPr>
        <w:pStyle w:val="BodyText"/>
        <w:spacing w:before="169"/>
        <w:rPr>
          <w:i/>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3"/>
        <w:gridCol w:w="1631"/>
        <w:gridCol w:w="6962"/>
      </w:tblGrid>
      <w:tr>
        <w:trPr>
          <w:trHeight w:val="559" w:hRule="atLeast"/>
        </w:trPr>
        <w:tc>
          <w:tcPr>
            <w:tcW w:w="1243" w:type="dxa"/>
            <w:tcBorders>
              <w:right w:val="single" w:sz="8" w:space="0" w:color="FFFFFF"/>
            </w:tcBorders>
            <w:shd w:val="clear" w:color="auto" w:fill="231F20"/>
          </w:tcPr>
          <w:p>
            <w:pPr>
              <w:pStyle w:val="TableParagraph"/>
              <w:spacing w:before="79"/>
              <w:ind w:left="146" w:right="-130"/>
              <w:rPr>
                <w:i/>
                <w:sz w:val="16"/>
              </w:rPr>
            </w:pPr>
            <w:r>
              <w:rPr>
                <w:i/>
                <w:color w:val="FFFFFF"/>
                <w:sz w:val="16"/>
              </w:rPr>
              <w:t>Table</w:t>
            </w:r>
            <w:r>
              <w:rPr>
                <w:i/>
                <w:color w:val="FFFFFF"/>
                <w:spacing w:val="-1"/>
                <w:sz w:val="16"/>
              </w:rPr>
              <w:t> </w:t>
            </w:r>
            <w:r>
              <w:rPr>
                <w:i/>
                <w:color w:val="FFFFFF"/>
                <w:sz w:val="16"/>
              </w:rPr>
              <w:t>612-5 </w:t>
            </w:r>
            <w:r>
              <w:rPr>
                <w:i/>
                <w:color w:val="FFFFFF"/>
                <w:spacing w:val="-4"/>
                <w:sz w:val="16"/>
              </w:rPr>
              <w:t>Spin</w:t>
            </w:r>
          </w:p>
        </w:tc>
        <w:tc>
          <w:tcPr>
            <w:tcW w:w="8593" w:type="dxa"/>
            <w:gridSpan w:val="2"/>
            <w:tcBorders>
              <w:left w:val="single" w:sz="8" w:space="0" w:color="FFFFFF"/>
            </w:tcBorders>
            <w:shd w:val="clear" w:color="auto" w:fill="231F20"/>
          </w:tcPr>
          <w:p>
            <w:pPr>
              <w:pStyle w:val="TableParagraph"/>
              <w:spacing w:before="79"/>
              <w:ind w:left="105"/>
              <w:rPr>
                <w:i/>
                <w:sz w:val="16"/>
              </w:rPr>
            </w:pPr>
            <w:r>
              <w:rPr>
                <w:i/>
                <w:color w:val="FFFFFF"/>
                <w:sz w:val="16"/>
              </w:rPr>
              <w:t>al</w:t>
            </w:r>
            <w:r>
              <w:rPr>
                <w:i/>
                <w:color w:val="FFFFFF"/>
                <w:spacing w:val="-9"/>
                <w:sz w:val="16"/>
              </w:rPr>
              <w:t> </w:t>
            </w:r>
            <w:r>
              <w:rPr>
                <w:i/>
                <w:color w:val="FFFFFF"/>
                <w:sz w:val="16"/>
              </w:rPr>
              <w:t>Muscular</w:t>
            </w:r>
            <w:r>
              <w:rPr>
                <w:i/>
                <w:color w:val="FFFFFF"/>
                <w:spacing w:val="-8"/>
                <w:sz w:val="16"/>
              </w:rPr>
              <w:t> </w:t>
            </w:r>
            <w:r>
              <w:rPr>
                <w:i/>
                <w:color w:val="FFFFFF"/>
                <w:sz w:val="16"/>
              </w:rPr>
              <w:t>Atrophy</w:t>
            </w:r>
            <w:r>
              <w:rPr>
                <w:i/>
                <w:color w:val="FFFFFF"/>
                <w:spacing w:val="-8"/>
                <w:sz w:val="16"/>
              </w:rPr>
              <w:t> </w:t>
            </w:r>
            <w:r>
              <w:rPr>
                <w:i/>
                <w:color w:val="FFFFFF"/>
                <w:sz w:val="16"/>
              </w:rPr>
              <w:t>Variants:</w:t>
            </w:r>
            <w:r>
              <w:rPr>
                <w:i/>
                <w:color w:val="FFFFFF"/>
                <w:spacing w:val="-9"/>
                <w:sz w:val="16"/>
              </w:rPr>
              <w:t> </w:t>
            </w:r>
            <w:r>
              <w:rPr>
                <w:i/>
                <w:color w:val="FFFFFF"/>
                <w:sz w:val="16"/>
              </w:rPr>
              <w:t>Progressive</w:t>
            </w:r>
            <w:r>
              <w:rPr>
                <w:i/>
                <w:color w:val="FFFFFF"/>
                <w:spacing w:val="-8"/>
                <w:sz w:val="16"/>
              </w:rPr>
              <w:t> </w:t>
            </w:r>
            <w:r>
              <w:rPr>
                <w:i/>
                <w:color w:val="FFFFFF"/>
                <w:sz w:val="16"/>
              </w:rPr>
              <w:t>or</w:t>
            </w:r>
            <w:r>
              <w:rPr>
                <w:i/>
                <w:color w:val="FFFFFF"/>
                <w:spacing w:val="-8"/>
                <w:sz w:val="16"/>
              </w:rPr>
              <w:t> </w:t>
            </w:r>
            <w:r>
              <w:rPr>
                <w:i/>
                <w:color w:val="FFFFFF"/>
                <w:sz w:val="16"/>
              </w:rPr>
              <w:t>Severe</w:t>
            </w:r>
            <w:r>
              <w:rPr>
                <w:i/>
                <w:color w:val="FFFFFF"/>
                <w:spacing w:val="-9"/>
                <w:sz w:val="16"/>
              </w:rPr>
              <w:t> </w:t>
            </w:r>
            <w:r>
              <w:rPr>
                <w:i/>
                <w:color w:val="FFFFFF"/>
                <w:sz w:val="16"/>
              </w:rPr>
              <w:t>Neonatal</w:t>
            </w:r>
            <w:r>
              <w:rPr>
                <w:i/>
                <w:color w:val="FFFFFF"/>
                <w:spacing w:val="-8"/>
                <w:sz w:val="16"/>
              </w:rPr>
              <w:t> </w:t>
            </w:r>
            <w:r>
              <w:rPr>
                <w:i/>
                <w:color w:val="FFFFFF"/>
                <w:sz w:val="16"/>
              </w:rPr>
              <w:t>Anterior</w:t>
            </w:r>
            <w:r>
              <w:rPr>
                <w:i/>
                <w:color w:val="FFFFFF"/>
                <w:spacing w:val="-8"/>
                <w:sz w:val="16"/>
              </w:rPr>
              <w:t> </w:t>
            </w:r>
            <w:r>
              <w:rPr>
                <w:i/>
                <w:color w:val="FFFFFF"/>
                <w:sz w:val="16"/>
              </w:rPr>
              <w:t>Horn</w:t>
            </w:r>
            <w:r>
              <w:rPr>
                <w:i/>
                <w:color w:val="FFFFFF"/>
                <w:spacing w:val="-9"/>
                <w:sz w:val="16"/>
              </w:rPr>
              <w:t> </w:t>
            </w:r>
            <w:r>
              <w:rPr>
                <w:i/>
                <w:color w:val="FFFFFF"/>
                <w:sz w:val="16"/>
              </w:rPr>
              <w:t>Cell</w:t>
            </w:r>
            <w:r>
              <w:rPr>
                <w:i/>
                <w:color w:val="FFFFFF"/>
                <w:spacing w:val="-8"/>
                <w:sz w:val="16"/>
              </w:rPr>
              <w:t> </w:t>
            </w:r>
            <w:r>
              <w:rPr>
                <w:i/>
                <w:color w:val="FFFFFF"/>
                <w:sz w:val="16"/>
              </w:rPr>
              <w:t>Disease</w:t>
            </w:r>
            <w:r>
              <w:rPr>
                <w:i/>
                <w:color w:val="FFFFFF"/>
                <w:spacing w:val="-8"/>
                <w:sz w:val="16"/>
              </w:rPr>
              <w:t> </w:t>
            </w:r>
            <w:r>
              <w:rPr>
                <w:i/>
                <w:color w:val="FFFFFF"/>
                <w:sz w:val="16"/>
              </w:rPr>
              <w:t>Not</w:t>
            </w:r>
            <w:r>
              <w:rPr>
                <w:i/>
                <w:color w:val="FFFFFF"/>
                <w:spacing w:val="-9"/>
                <w:sz w:val="16"/>
              </w:rPr>
              <w:t> </w:t>
            </w:r>
            <w:r>
              <w:rPr>
                <w:i/>
                <w:color w:val="FFFFFF"/>
                <w:sz w:val="16"/>
              </w:rPr>
              <w:t>Linked</w:t>
            </w:r>
            <w:r>
              <w:rPr>
                <w:i/>
                <w:color w:val="FFFFFF"/>
                <w:spacing w:val="-8"/>
                <w:sz w:val="16"/>
              </w:rPr>
              <w:t> </w:t>
            </w:r>
            <w:r>
              <w:rPr>
                <w:i/>
                <w:color w:val="FFFFFF"/>
                <w:spacing w:val="-5"/>
                <w:sz w:val="16"/>
              </w:rPr>
              <w:t>to</w:t>
            </w:r>
          </w:p>
          <w:p>
            <w:pPr>
              <w:pStyle w:val="TableParagraph"/>
              <w:spacing w:before="38"/>
              <w:ind w:left="74"/>
              <w:rPr>
                <w:i/>
                <w:sz w:val="16"/>
              </w:rPr>
            </w:pPr>
            <w:r>
              <w:rPr>
                <w:i/>
                <w:color w:val="FFFFFF"/>
                <w:spacing w:val="-5"/>
                <w:w w:val="125"/>
                <w:sz w:val="16"/>
              </w:rPr>
              <w:t>SMN</w:t>
            </w:r>
          </w:p>
        </w:tc>
      </w:tr>
      <w:tr>
        <w:trPr>
          <w:trHeight w:val="257" w:hRule="atLeast"/>
        </w:trPr>
        <w:tc>
          <w:tcPr>
            <w:tcW w:w="2874" w:type="dxa"/>
            <w:gridSpan w:val="2"/>
            <w:tcBorders>
              <w:bottom w:val="single" w:sz="4" w:space="0" w:color="231F20"/>
            </w:tcBorders>
            <w:shd w:val="clear" w:color="auto" w:fill="E8F5F1"/>
          </w:tcPr>
          <w:p>
            <w:pPr>
              <w:pStyle w:val="TableParagraph"/>
              <w:spacing w:before="47"/>
              <w:ind w:left="170"/>
              <w:rPr>
                <w:b/>
                <w:sz w:val="15"/>
              </w:rPr>
            </w:pPr>
            <w:r>
              <w:rPr>
                <w:b/>
                <w:color w:val="231F20"/>
                <w:spacing w:val="-2"/>
                <w:w w:val="110"/>
                <w:sz w:val="15"/>
              </w:rPr>
              <w:t>VARIANT</w:t>
            </w:r>
          </w:p>
        </w:tc>
        <w:tc>
          <w:tcPr>
            <w:tcW w:w="6962" w:type="dxa"/>
            <w:tcBorders>
              <w:bottom w:val="single" w:sz="4" w:space="0" w:color="231F20"/>
            </w:tcBorders>
            <w:shd w:val="clear" w:color="auto" w:fill="E8F5F1"/>
          </w:tcPr>
          <w:p>
            <w:pPr>
              <w:pStyle w:val="TableParagraph"/>
              <w:spacing w:before="47"/>
              <w:ind w:left="225"/>
              <w:jc w:val="center"/>
              <w:rPr>
                <w:b/>
                <w:sz w:val="15"/>
              </w:rPr>
            </w:pPr>
            <w:r>
              <w:rPr>
                <w:b/>
                <w:color w:val="231F20"/>
                <w:w w:val="110"/>
                <w:sz w:val="15"/>
              </w:rPr>
              <w:t>MAJOR</w:t>
            </w:r>
            <w:r>
              <w:rPr>
                <w:b/>
                <w:color w:val="231F20"/>
                <w:spacing w:val="15"/>
                <w:w w:val="110"/>
                <w:sz w:val="15"/>
              </w:rPr>
              <w:t> </w:t>
            </w:r>
            <w:r>
              <w:rPr>
                <w:b/>
                <w:color w:val="231F20"/>
                <w:spacing w:val="-2"/>
                <w:w w:val="110"/>
                <w:sz w:val="15"/>
              </w:rPr>
              <w:t>FEATURES</w:t>
            </w:r>
          </w:p>
        </w:tc>
      </w:tr>
      <w:tr>
        <w:trPr>
          <w:trHeight w:val="593" w:hRule="atLeast"/>
        </w:trPr>
        <w:tc>
          <w:tcPr>
            <w:tcW w:w="2874" w:type="dxa"/>
            <w:gridSpan w:val="2"/>
            <w:tcBorders>
              <w:top w:val="single" w:sz="4" w:space="0" w:color="231F20"/>
              <w:bottom w:val="single" w:sz="4" w:space="0" w:color="FFFFFF"/>
            </w:tcBorders>
            <w:shd w:val="clear" w:color="auto" w:fill="E8F5F1"/>
          </w:tcPr>
          <w:p>
            <w:pPr>
              <w:pStyle w:val="TableParagraph"/>
              <w:spacing w:line="230" w:lineRule="auto" w:before="52"/>
              <w:ind w:left="282" w:hanging="112"/>
              <w:rPr>
                <w:sz w:val="15"/>
              </w:rPr>
            </w:pPr>
            <w:r>
              <w:rPr>
                <w:color w:val="231F20"/>
                <w:sz w:val="15"/>
              </w:rPr>
              <w:t>SMA</w:t>
            </w:r>
            <w:r>
              <w:rPr>
                <w:color w:val="231F20"/>
                <w:spacing w:val="-10"/>
                <w:sz w:val="15"/>
              </w:rPr>
              <w:t> </w:t>
            </w:r>
            <w:r>
              <w:rPr>
                <w:color w:val="231F20"/>
                <w:sz w:val="15"/>
              </w:rPr>
              <w:t>with</w:t>
            </w:r>
            <w:r>
              <w:rPr>
                <w:color w:val="231F20"/>
                <w:spacing w:val="-10"/>
                <w:sz w:val="15"/>
              </w:rPr>
              <w:t> </w:t>
            </w:r>
            <w:r>
              <w:rPr>
                <w:color w:val="231F20"/>
                <w:sz w:val="15"/>
              </w:rPr>
              <w:t>respiratory</w:t>
            </w:r>
            <w:r>
              <w:rPr>
                <w:color w:val="231F20"/>
                <w:spacing w:val="-10"/>
                <w:sz w:val="15"/>
              </w:rPr>
              <w:t> </w:t>
            </w:r>
            <w:r>
              <w:rPr>
                <w:color w:val="231F20"/>
                <w:sz w:val="15"/>
              </w:rPr>
              <w:t>distress</w:t>
            </w:r>
            <w:r>
              <w:rPr>
                <w:color w:val="231F20"/>
                <w:spacing w:val="-10"/>
                <w:sz w:val="15"/>
              </w:rPr>
              <w:t> </w:t>
            </w:r>
            <w:r>
              <w:rPr>
                <w:color w:val="231F20"/>
                <w:sz w:val="15"/>
              </w:rPr>
              <w:t>type</w:t>
            </w:r>
            <w:r>
              <w:rPr>
                <w:color w:val="231F20"/>
                <w:spacing w:val="-10"/>
                <w:sz w:val="15"/>
              </w:rPr>
              <w:t> </w:t>
            </w:r>
            <w:r>
              <w:rPr>
                <w:color w:val="231F20"/>
                <w:sz w:val="15"/>
              </w:rPr>
              <w:t>1 </w:t>
            </w:r>
            <w:r>
              <w:rPr>
                <w:color w:val="231F20"/>
                <w:spacing w:val="-2"/>
                <w:sz w:val="15"/>
              </w:rPr>
              <w:t>(SMARD1)</w:t>
            </w:r>
          </w:p>
        </w:tc>
        <w:tc>
          <w:tcPr>
            <w:tcW w:w="6962" w:type="dxa"/>
            <w:tcBorders>
              <w:top w:val="single" w:sz="4" w:space="0" w:color="231F20"/>
              <w:bottom w:val="single" w:sz="4" w:space="0" w:color="FFFFFF"/>
            </w:tcBorders>
            <w:shd w:val="clear" w:color="auto" w:fill="E8F5F1"/>
          </w:tcPr>
          <w:p>
            <w:pPr>
              <w:pStyle w:val="TableParagraph"/>
              <w:spacing w:line="171" w:lineRule="exact" w:before="47"/>
              <w:ind w:left="300"/>
              <w:rPr>
                <w:sz w:val="15"/>
              </w:rPr>
            </w:pPr>
            <w:r>
              <w:rPr>
                <w:color w:val="231F20"/>
                <w:spacing w:val="-2"/>
                <w:sz w:val="15"/>
              </w:rPr>
              <w:t>Mild</w:t>
            </w:r>
            <w:r>
              <w:rPr>
                <w:color w:val="231F20"/>
                <w:spacing w:val="-3"/>
                <w:sz w:val="15"/>
              </w:rPr>
              <w:t> </w:t>
            </w:r>
            <w:r>
              <w:rPr>
                <w:color w:val="231F20"/>
                <w:spacing w:val="-2"/>
                <w:sz w:val="15"/>
              </w:rPr>
              <w:t>hypotonia, weak cry, distal contractures initially</w:t>
            </w:r>
          </w:p>
          <w:p>
            <w:pPr>
              <w:pStyle w:val="TableParagraph"/>
              <w:spacing w:line="230" w:lineRule="auto" w:before="2"/>
              <w:ind w:left="300" w:right="206"/>
              <w:rPr>
                <w:sz w:val="15"/>
              </w:rPr>
            </w:pPr>
            <w:r>
              <w:rPr>
                <w:color w:val="231F20"/>
                <w:sz w:val="15"/>
              </w:rPr>
              <w:t>Respiratory distress from diaphragmatic paralysis 1-6 mo, progressive distal weakness Autosomal</w:t>
            </w:r>
            <w:r>
              <w:rPr>
                <w:color w:val="231F20"/>
                <w:spacing w:val="-1"/>
                <w:sz w:val="15"/>
              </w:rPr>
              <w:t> </w:t>
            </w:r>
            <w:r>
              <w:rPr>
                <w:color w:val="231F20"/>
                <w:sz w:val="15"/>
              </w:rPr>
              <w:t>recessive,</w:t>
            </w:r>
            <w:r>
              <w:rPr>
                <w:color w:val="231F20"/>
                <w:spacing w:val="-1"/>
                <w:sz w:val="15"/>
              </w:rPr>
              <w:t> </w:t>
            </w:r>
            <w:r>
              <w:rPr>
                <w:color w:val="231F20"/>
                <w:sz w:val="15"/>
              </w:rPr>
              <w:t>locus</w:t>
            </w:r>
            <w:r>
              <w:rPr>
                <w:color w:val="231F20"/>
                <w:spacing w:val="-1"/>
                <w:sz w:val="15"/>
              </w:rPr>
              <w:t> </w:t>
            </w:r>
            <w:r>
              <w:rPr>
                <w:color w:val="231F20"/>
                <w:sz w:val="15"/>
              </w:rPr>
              <w:t>11q13.2,</w:t>
            </w:r>
            <w:r>
              <w:rPr>
                <w:color w:val="231F20"/>
                <w:spacing w:val="-1"/>
                <w:sz w:val="15"/>
              </w:rPr>
              <w:t> </w:t>
            </w:r>
            <w:r>
              <w:rPr>
                <w:color w:val="231F20"/>
                <w:sz w:val="15"/>
              </w:rPr>
              <w:t>gene:</w:t>
            </w:r>
            <w:r>
              <w:rPr>
                <w:color w:val="231F20"/>
                <w:spacing w:val="-1"/>
                <w:sz w:val="15"/>
              </w:rPr>
              <w:t> </w:t>
            </w:r>
            <w:r>
              <w:rPr>
                <w:color w:val="231F20"/>
                <w:sz w:val="15"/>
              </w:rPr>
              <w:t>immunoglobulin</w:t>
            </w:r>
            <w:r>
              <w:rPr>
                <w:color w:val="231F20"/>
                <w:spacing w:val="-1"/>
                <w:sz w:val="15"/>
              </w:rPr>
              <w:t> </w:t>
            </w:r>
            <w:r>
              <w:rPr>
                <w:color w:val="231F20"/>
                <w:sz w:val="15"/>
              </w:rPr>
              <w:t>mu-binding</w:t>
            </w:r>
            <w:r>
              <w:rPr>
                <w:color w:val="231F20"/>
                <w:spacing w:val="-1"/>
                <w:sz w:val="15"/>
              </w:rPr>
              <w:t> </w:t>
            </w:r>
            <w:r>
              <w:rPr>
                <w:color w:val="231F20"/>
                <w:sz w:val="15"/>
              </w:rPr>
              <w:t>protein</w:t>
            </w:r>
            <w:r>
              <w:rPr>
                <w:color w:val="231F20"/>
                <w:spacing w:val="-1"/>
                <w:sz w:val="15"/>
              </w:rPr>
              <w:t> </w:t>
            </w:r>
            <w:r>
              <w:rPr>
                <w:color w:val="231F20"/>
                <w:sz w:val="15"/>
              </w:rPr>
              <w:t>2</w:t>
            </w:r>
            <w:r>
              <w:rPr>
                <w:color w:val="231F20"/>
                <w:spacing w:val="-1"/>
                <w:sz w:val="15"/>
              </w:rPr>
              <w:t> </w:t>
            </w:r>
            <w:r>
              <w:rPr>
                <w:color w:val="231F20"/>
                <w:sz w:val="15"/>
              </w:rPr>
              <w:t>(IGHMBP2)</w:t>
            </w:r>
          </w:p>
        </w:tc>
      </w:tr>
      <w:tr>
        <w:trPr>
          <w:trHeight w:val="756" w:hRule="atLeast"/>
        </w:trPr>
        <w:tc>
          <w:tcPr>
            <w:tcW w:w="2874" w:type="dxa"/>
            <w:gridSpan w:val="2"/>
            <w:tcBorders>
              <w:top w:val="single" w:sz="4" w:space="0" w:color="FFFFFF"/>
              <w:bottom w:val="single" w:sz="4" w:space="0" w:color="FFFFFF"/>
            </w:tcBorders>
            <w:shd w:val="clear" w:color="auto" w:fill="E8F5F1"/>
          </w:tcPr>
          <w:p>
            <w:pPr>
              <w:pStyle w:val="TableParagraph"/>
              <w:spacing w:before="42"/>
              <w:ind w:left="170"/>
              <w:rPr>
                <w:sz w:val="15"/>
              </w:rPr>
            </w:pPr>
            <w:r>
              <w:rPr>
                <w:color w:val="231F20"/>
                <w:sz w:val="15"/>
              </w:rPr>
              <w:t>Pontocerebellar</w:t>
            </w:r>
            <w:r>
              <w:rPr>
                <w:color w:val="231F20"/>
                <w:spacing w:val="-9"/>
                <w:sz w:val="15"/>
              </w:rPr>
              <w:t> </w:t>
            </w:r>
            <w:r>
              <w:rPr>
                <w:color w:val="231F20"/>
                <w:sz w:val="15"/>
              </w:rPr>
              <w:t>hypoplasia</w:t>
            </w:r>
            <w:r>
              <w:rPr>
                <w:color w:val="231F20"/>
                <w:spacing w:val="-8"/>
                <w:sz w:val="15"/>
              </w:rPr>
              <w:t> </w:t>
            </w:r>
            <w:r>
              <w:rPr>
                <w:color w:val="231F20"/>
                <w:sz w:val="15"/>
              </w:rPr>
              <w:t>type</w:t>
            </w:r>
            <w:r>
              <w:rPr>
                <w:color w:val="231F20"/>
                <w:spacing w:val="-8"/>
                <w:sz w:val="15"/>
              </w:rPr>
              <w:t> </w:t>
            </w:r>
            <w:r>
              <w:rPr>
                <w:color w:val="231F20"/>
                <w:spacing w:val="-10"/>
                <w:sz w:val="15"/>
              </w:rPr>
              <w:t>1</w:t>
            </w:r>
          </w:p>
        </w:tc>
        <w:tc>
          <w:tcPr>
            <w:tcW w:w="6962" w:type="dxa"/>
            <w:tcBorders>
              <w:top w:val="single" w:sz="4" w:space="0" w:color="FFFFFF"/>
              <w:bottom w:val="single" w:sz="4" w:space="0" w:color="FFFFFF"/>
            </w:tcBorders>
            <w:shd w:val="clear" w:color="auto" w:fill="E8F5F1"/>
          </w:tcPr>
          <w:p>
            <w:pPr>
              <w:pStyle w:val="TableParagraph"/>
              <w:spacing w:line="230" w:lineRule="auto" w:before="48"/>
              <w:ind w:left="412" w:hanging="112"/>
              <w:rPr>
                <w:sz w:val="15"/>
              </w:rPr>
            </w:pPr>
            <w:r>
              <w:rPr>
                <w:color w:val="231F20"/>
                <w:spacing w:val="-2"/>
                <w:sz w:val="15"/>
              </w:rPr>
              <w:t>Arthrogryposis,</w:t>
            </w:r>
            <w:r>
              <w:rPr>
                <w:color w:val="231F20"/>
                <w:spacing w:val="-9"/>
                <w:sz w:val="15"/>
              </w:rPr>
              <w:t> </w:t>
            </w:r>
            <w:r>
              <w:rPr>
                <w:color w:val="231F20"/>
                <w:spacing w:val="-2"/>
                <w:sz w:val="15"/>
              </w:rPr>
              <w:t>hypotonia,</w:t>
            </w:r>
            <w:r>
              <w:rPr>
                <w:color w:val="231F20"/>
                <w:spacing w:val="-9"/>
                <w:sz w:val="15"/>
              </w:rPr>
              <w:t> </w:t>
            </w:r>
            <w:r>
              <w:rPr>
                <w:color w:val="231F20"/>
                <w:spacing w:val="-2"/>
                <w:sz w:val="15"/>
              </w:rPr>
              <w:t>weakness,</w:t>
            </w:r>
            <w:r>
              <w:rPr>
                <w:color w:val="231F20"/>
                <w:spacing w:val="-9"/>
                <w:sz w:val="15"/>
              </w:rPr>
              <w:t> </w:t>
            </w:r>
            <w:r>
              <w:rPr>
                <w:color w:val="231F20"/>
                <w:spacing w:val="-2"/>
                <w:sz w:val="15"/>
              </w:rPr>
              <w:t>bulbar</w:t>
            </w:r>
            <w:r>
              <w:rPr>
                <w:color w:val="231F20"/>
                <w:spacing w:val="-9"/>
                <w:sz w:val="15"/>
              </w:rPr>
              <w:t> </w:t>
            </w:r>
            <w:r>
              <w:rPr>
                <w:color w:val="231F20"/>
                <w:spacing w:val="-2"/>
                <w:sz w:val="15"/>
              </w:rPr>
              <w:t>deficits</w:t>
            </w:r>
            <w:r>
              <w:rPr>
                <w:color w:val="231F20"/>
                <w:spacing w:val="-9"/>
                <w:sz w:val="15"/>
              </w:rPr>
              <w:t> </w:t>
            </w:r>
            <w:r>
              <w:rPr>
                <w:color w:val="231F20"/>
                <w:spacing w:val="-2"/>
                <w:sz w:val="15"/>
              </w:rPr>
              <w:t>early;</w:t>
            </w:r>
            <w:r>
              <w:rPr>
                <w:color w:val="231F20"/>
                <w:spacing w:val="-9"/>
                <w:sz w:val="15"/>
              </w:rPr>
              <w:t> </w:t>
            </w:r>
            <w:r>
              <w:rPr>
                <w:color w:val="231F20"/>
                <w:spacing w:val="-2"/>
                <w:sz w:val="15"/>
              </w:rPr>
              <w:t>later,</w:t>
            </w:r>
            <w:r>
              <w:rPr>
                <w:color w:val="231F20"/>
                <w:spacing w:val="-9"/>
                <w:sz w:val="15"/>
              </w:rPr>
              <w:t> </w:t>
            </w:r>
            <w:r>
              <w:rPr>
                <w:color w:val="231F20"/>
                <w:spacing w:val="-2"/>
                <w:sz w:val="15"/>
              </w:rPr>
              <w:t>microcephaly,</w:t>
            </w:r>
            <w:r>
              <w:rPr>
                <w:color w:val="231F20"/>
                <w:spacing w:val="-9"/>
                <w:sz w:val="15"/>
              </w:rPr>
              <w:t> </w:t>
            </w:r>
            <w:r>
              <w:rPr>
                <w:color w:val="231F20"/>
                <w:spacing w:val="-2"/>
                <w:sz w:val="15"/>
              </w:rPr>
              <w:t>extraocular</w:t>
            </w:r>
            <w:r>
              <w:rPr>
                <w:color w:val="231F20"/>
                <w:spacing w:val="-9"/>
                <w:sz w:val="15"/>
              </w:rPr>
              <w:t> </w:t>
            </w:r>
            <w:r>
              <w:rPr>
                <w:color w:val="231F20"/>
                <w:spacing w:val="-2"/>
                <w:sz w:val="15"/>
              </w:rPr>
              <w:t>defects, </w:t>
            </w:r>
            <w:r>
              <w:rPr>
                <w:color w:val="231F20"/>
                <w:sz w:val="15"/>
              </w:rPr>
              <w:t>cognitive deficits: pontocerebellar hypoplasia</w:t>
            </w:r>
          </w:p>
          <w:p>
            <w:pPr>
              <w:pStyle w:val="TableParagraph"/>
              <w:spacing w:line="230" w:lineRule="auto" w:before="1"/>
              <w:ind w:left="300" w:right="4549"/>
              <w:rPr>
                <w:sz w:val="15"/>
              </w:rPr>
            </w:pPr>
            <w:r>
              <w:rPr>
                <w:color w:val="231F20"/>
                <w:sz w:val="15"/>
              </w:rPr>
              <w:t>Molecular</w:t>
            </w:r>
            <w:r>
              <w:rPr>
                <w:color w:val="231F20"/>
                <w:spacing w:val="-12"/>
                <w:sz w:val="15"/>
              </w:rPr>
              <w:t> </w:t>
            </w:r>
            <w:r>
              <w:rPr>
                <w:color w:val="231F20"/>
                <w:sz w:val="15"/>
              </w:rPr>
              <w:t>defect</w:t>
            </w:r>
            <w:r>
              <w:rPr>
                <w:color w:val="231F20"/>
                <w:spacing w:val="-11"/>
                <w:sz w:val="15"/>
              </w:rPr>
              <w:t> </w:t>
            </w:r>
            <w:r>
              <w:rPr>
                <w:color w:val="231F20"/>
                <w:sz w:val="15"/>
              </w:rPr>
              <w:t>unknown </w:t>
            </w:r>
            <w:r>
              <w:rPr>
                <w:color w:val="231F20"/>
                <w:spacing w:val="-2"/>
                <w:sz w:val="15"/>
              </w:rPr>
              <w:t>Likely</w:t>
            </w:r>
            <w:r>
              <w:rPr>
                <w:color w:val="231F20"/>
                <w:spacing w:val="2"/>
                <w:sz w:val="15"/>
              </w:rPr>
              <w:t> </w:t>
            </w:r>
            <w:r>
              <w:rPr>
                <w:color w:val="231F20"/>
                <w:spacing w:val="-2"/>
                <w:sz w:val="15"/>
              </w:rPr>
              <w:t>autosomal</w:t>
            </w:r>
            <w:r>
              <w:rPr>
                <w:color w:val="231F20"/>
                <w:spacing w:val="2"/>
                <w:sz w:val="15"/>
              </w:rPr>
              <w:t> </w:t>
            </w:r>
            <w:r>
              <w:rPr>
                <w:color w:val="231F20"/>
                <w:spacing w:val="-2"/>
                <w:sz w:val="15"/>
              </w:rPr>
              <w:t>recessive</w:t>
            </w:r>
          </w:p>
        </w:tc>
      </w:tr>
      <w:tr>
        <w:trPr>
          <w:trHeight w:val="588" w:hRule="atLeast"/>
        </w:trPr>
        <w:tc>
          <w:tcPr>
            <w:tcW w:w="2874" w:type="dxa"/>
            <w:gridSpan w:val="2"/>
            <w:tcBorders>
              <w:top w:val="single" w:sz="4" w:space="0" w:color="FFFFFF"/>
              <w:bottom w:val="single" w:sz="4" w:space="0" w:color="FFFFFF"/>
            </w:tcBorders>
            <w:shd w:val="clear" w:color="auto" w:fill="E8F5F1"/>
          </w:tcPr>
          <w:p>
            <w:pPr>
              <w:pStyle w:val="TableParagraph"/>
              <w:spacing w:line="230" w:lineRule="auto" w:before="48"/>
              <w:ind w:left="282" w:hanging="112"/>
              <w:rPr>
                <w:sz w:val="15"/>
              </w:rPr>
            </w:pPr>
            <w:r>
              <w:rPr>
                <w:color w:val="231F20"/>
                <w:sz w:val="15"/>
              </w:rPr>
              <w:t>X-linked</w:t>
            </w:r>
            <w:r>
              <w:rPr>
                <w:color w:val="231F20"/>
                <w:spacing w:val="-9"/>
                <w:sz w:val="15"/>
              </w:rPr>
              <w:t> </w:t>
            </w:r>
            <w:r>
              <w:rPr>
                <w:color w:val="231F20"/>
                <w:sz w:val="15"/>
              </w:rPr>
              <w:t>infantile</w:t>
            </w:r>
            <w:r>
              <w:rPr>
                <w:color w:val="231F20"/>
                <w:spacing w:val="-9"/>
                <w:sz w:val="15"/>
              </w:rPr>
              <w:t> </w:t>
            </w:r>
            <w:r>
              <w:rPr>
                <w:color w:val="231F20"/>
                <w:sz w:val="15"/>
              </w:rPr>
              <w:t>SMA</w:t>
            </w:r>
            <w:r>
              <w:rPr>
                <w:color w:val="231F20"/>
                <w:spacing w:val="-9"/>
                <w:sz w:val="15"/>
              </w:rPr>
              <w:t> </w:t>
            </w:r>
            <w:r>
              <w:rPr>
                <w:color w:val="231F20"/>
                <w:sz w:val="15"/>
              </w:rPr>
              <w:t>with</w:t>
            </w:r>
            <w:r>
              <w:rPr>
                <w:color w:val="231F20"/>
                <w:spacing w:val="-9"/>
                <w:sz w:val="15"/>
              </w:rPr>
              <w:t> </w:t>
            </w:r>
            <w:r>
              <w:rPr>
                <w:color w:val="231F20"/>
                <w:sz w:val="15"/>
              </w:rPr>
              <w:t>bone</w:t>
            </w:r>
            <w:r>
              <w:rPr>
                <w:color w:val="231F20"/>
                <w:sz w:val="15"/>
              </w:rPr>
              <w:t> </w:t>
            </w:r>
            <w:r>
              <w:rPr>
                <w:color w:val="231F20"/>
                <w:spacing w:val="-2"/>
                <w:sz w:val="15"/>
              </w:rPr>
              <w:t>fractures</w:t>
            </w:r>
          </w:p>
        </w:tc>
        <w:tc>
          <w:tcPr>
            <w:tcW w:w="6962" w:type="dxa"/>
            <w:tcBorders>
              <w:top w:val="single" w:sz="4" w:space="0" w:color="FFFFFF"/>
              <w:bottom w:val="single" w:sz="4" w:space="0" w:color="FFFFFF"/>
            </w:tcBorders>
            <w:shd w:val="clear" w:color="auto" w:fill="E8F5F1"/>
          </w:tcPr>
          <w:p>
            <w:pPr>
              <w:pStyle w:val="TableParagraph"/>
              <w:spacing w:line="230" w:lineRule="auto" w:before="48"/>
              <w:ind w:left="300" w:right="964"/>
              <w:rPr>
                <w:sz w:val="15"/>
              </w:rPr>
            </w:pPr>
            <w:r>
              <w:rPr>
                <w:color w:val="231F20"/>
                <w:spacing w:val="-2"/>
                <w:sz w:val="15"/>
              </w:rPr>
              <w:t>Arthrogryposis, hypotonia, weakness, congenital bone fractures, respiratory </w:t>
            </w:r>
            <w:r>
              <w:rPr>
                <w:color w:val="231F20"/>
                <w:spacing w:val="-2"/>
                <w:sz w:val="15"/>
              </w:rPr>
              <w:t>failure </w:t>
            </w:r>
            <w:r>
              <w:rPr>
                <w:color w:val="231F20"/>
                <w:sz w:val="15"/>
              </w:rPr>
              <w:t>Lethal course as in severe type 1 SMA</w:t>
            </w:r>
          </w:p>
          <w:p>
            <w:pPr>
              <w:pStyle w:val="TableParagraph"/>
              <w:spacing w:line="170" w:lineRule="exact"/>
              <w:ind w:left="300"/>
              <w:rPr>
                <w:sz w:val="15"/>
              </w:rPr>
            </w:pPr>
            <w:r>
              <w:rPr>
                <w:color w:val="231F20"/>
                <w:spacing w:val="-2"/>
                <w:sz w:val="15"/>
              </w:rPr>
              <w:t>Most</w:t>
            </w:r>
            <w:r>
              <w:rPr>
                <w:color w:val="231F20"/>
                <w:spacing w:val="-4"/>
                <w:sz w:val="15"/>
              </w:rPr>
              <w:t> </w:t>
            </w:r>
            <w:r>
              <w:rPr>
                <w:color w:val="231F20"/>
                <w:spacing w:val="-2"/>
                <w:sz w:val="15"/>
              </w:rPr>
              <w:t>cases</w:t>
            </w:r>
            <w:r>
              <w:rPr>
                <w:color w:val="231F20"/>
                <w:spacing w:val="-3"/>
                <w:sz w:val="15"/>
              </w:rPr>
              <w:t> </w:t>
            </w:r>
            <w:r>
              <w:rPr>
                <w:color w:val="231F20"/>
                <w:spacing w:val="-2"/>
                <w:sz w:val="15"/>
              </w:rPr>
              <w:t>X-linked</w:t>
            </w:r>
            <w:r>
              <w:rPr>
                <w:color w:val="231F20"/>
                <w:spacing w:val="-3"/>
                <w:sz w:val="15"/>
              </w:rPr>
              <w:t> </w:t>
            </w:r>
            <w:r>
              <w:rPr>
                <w:color w:val="231F20"/>
                <w:spacing w:val="-2"/>
                <w:sz w:val="15"/>
              </w:rPr>
              <w:t>(X9/11.3-q11.2),</w:t>
            </w:r>
            <w:r>
              <w:rPr>
                <w:color w:val="231F20"/>
                <w:spacing w:val="-3"/>
                <w:sz w:val="15"/>
              </w:rPr>
              <w:t> </w:t>
            </w:r>
            <w:r>
              <w:rPr>
                <w:color w:val="231F20"/>
                <w:spacing w:val="-2"/>
                <w:sz w:val="15"/>
              </w:rPr>
              <w:t>a</w:t>
            </w:r>
            <w:r>
              <w:rPr>
                <w:color w:val="231F20"/>
                <w:spacing w:val="-3"/>
                <w:sz w:val="15"/>
              </w:rPr>
              <w:t> </w:t>
            </w:r>
            <w:r>
              <w:rPr>
                <w:color w:val="231F20"/>
                <w:spacing w:val="-2"/>
                <w:sz w:val="15"/>
              </w:rPr>
              <w:t>few</w:t>
            </w:r>
            <w:r>
              <w:rPr>
                <w:color w:val="231F20"/>
                <w:spacing w:val="-3"/>
                <w:sz w:val="15"/>
              </w:rPr>
              <w:t> </w:t>
            </w:r>
            <w:r>
              <w:rPr>
                <w:color w:val="231F20"/>
                <w:spacing w:val="-2"/>
                <w:sz w:val="15"/>
              </w:rPr>
              <w:t>cases</w:t>
            </w:r>
            <w:r>
              <w:rPr>
                <w:color w:val="231F20"/>
                <w:spacing w:val="-3"/>
                <w:sz w:val="15"/>
              </w:rPr>
              <w:t> </w:t>
            </w:r>
            <w:r>
              <w:rPr>
                <w:color w:val="231F20"/>
                <w:spacing w:val="-2"/>
                <w:sz w:val="15"/>
              </w:rPr>
              <w:t>likely</w:t>
            </w:r>
            <w:r>
              <w:rPr>
                <w:color w:val="231F20"/>
                <w:spacing w:val="-3"/>
                <w:sz w:val="15"/>
              </w:rPr>
              <w:t> </w:t>
            </w:r>
            <w:r>
              <w:rPr>
                <w:color w:val="231F20"/>
                <w:spacing w:val="-2"/>
                <w:sz w:val="15"/>
              </w:rPr>
              <w:t>autosomal</w:t>
            </w:r>
            <w:r>
              <w:rPr>
                <w:color w:val="231F20"/>
                <w:spacing w:val="-3"/>
                <w:sz w:val="15"/>
              </w:rPr>
              <w:t> </w:t>
            </w:r>
            <w:r>
              <w:rPr>
                <w:color w:val="231F20"/>
                <w:spacing w:val="-2"/>
                <w:sz w:val="15"/>
              </w:rPr>
              <w:t>recessive</w:t>
            </w:r>
          </w:p>
        </w:tc>
      </w:tr>
      <w:tr>
        <w:trPr>
          <w:trHeight w:val="583" w:hRule="atLeast"/>
        </w:trPr>
        <w:tc>
          <w:tcPr>
            <w:tcW w:w="2874" w:type="dxa"/>
            <w:gridSpan w:val="2"/>
            <w:tcBorders>
              <w:top w:val="single" w:sz="4" w:space="0" w:color="FFFFFF"/>
              <w:bottom w:val="single" w:sz="8" w:space="0" w:color="231F20"/>
            </w:tcBorders>
            <w:shd w:val="clear" w:color="auto" w:fill="E8F5F1"/>
          </w:tcPr>
          <w:p>
            <w:pPr>
              <w:pStyle w:val="TableParagraph"/>
              <w:spacing w:line="230" w:lineRule="auto" w:before="48"/>
              <w:ind w:left="282" w:right="205" w:hanging="112"/>
              <w:rPr>
                <w:sz w:val="15"/>
              </w:rPr>
            </w:pPr>
            <w:r>
              <w:rPr>
                <w:color w:val="231F20"/>
                <w:sz w:val="15"/>
              </w:rPr>
              <w:t>Congenital SMA with </w:t>
            </w:r>
            <w:r>
              <w:rPr>
                <w:color w:val="231F20"/>
                <w:sz w:val="15"/>
              </w:rPr>
              <w:t>predominant lower limb involvement</w:t>
            </w:r>
          </w:p>
        </w:tc>
        <w:tc>
          <w:tcPr>
            <w:tcW w:w="6962" w:type="dxa"/>
            <w:tcBorders>
              <w:top w:val="single" w:sz="4" w:space="0" w:color="FFFFFF"/>
              <w:bottom w:val="single" w:sz="8" w:space="0" w:color="231F20"/>
            </w:tcBorders>
            <w:shd w:val="clear" w:color="auto" w:fill="E8F5F1"/>
          </w:tcPr>
          <w:p>
            <w:pPr>
              <w:pStyle w:val="TableParagraph"/>
              <w:spacing w:line="230" w:lineRule="auto" w:before="48"/>
              <w:ind w:left="300" w:right="964"/>
              <w:rPr>
                <w:sz w:val="15"/>
              </w:rPr>
            </w:pPr>
            <w:r>
              <w:rPr>
                <w:color w:val="231F20"/>
                <w:spacing w:val="-2"/>
                <w:sz w:val="15"/>
              </w:rPr>
              <w:t>Arthrogryposis, hypotonia, weakness, especially distal lower limbs </w:t>
            </w:r>
            <w:r>
              <w:rPr>
                <w:color w:val="231F20"/>
                <w:spacing w:val="-2"/>
                <w:sz w:val="15"/>
              </w:rPr>
              <w:t>early </w:t>
            </w:r>
            <w:r>
              <w:rPr>
                <w:color w:val="231F20"/>
                <w:sz w:val="15"/>
              </w:rPr>
              <w:t>Nonprogressive but severe disability</w:t>
            </w:r>
          </w:p>
          <w:p>
            <w:pPr>
              <w:pStyle w:val="TableParagraph"/>
              <w:spacing w:line="170" w:lineRule="exact"/>
              <w:ind w:left="300"/>
              <w:rPr>
                <w:sz w:val="15"/>
              </w:rPr>
            </w:pPr>
            <w:r>
              <w:rPr>
                <w:color w:val="231F20"/>
                <w:sz w:val="15"/>
              </w:rPr>
              <w:t>Autosomal dominant or sporadic; locus 12q23-</w:t>
            </w:r>
            <w:r>
              <w:rPr>
                <w:color w:val="231F20"/>
                <w:spacing w:val="-5"/>
                <w:sz w:val="15"/>
              </w:rPr>
              <w:t>24</w:t>
            </w:r>
          </w:p>
        </w:tc>
      </w:tr>
    </w:tbl>
    <w:p>
      <w:pPr>
        <w:pStyle w:val="BodyText"/>
        <w:spacing w:before="76"/>
        <w:ind w:left="299"/>
      </w:pPr>
      <w:r>
        <w:rPr>
          <w:color w:val="231F20"/>
        </w:rPr>
        <w:t>SMA,</w:t>
      </w:r>
      <w:r>
        <w:rPr>
          <w:color w:val="231F20"/>
          <w:spacing w:val="3"/>
        </w:rPr>
        <w:t> </w:t>
      </w:r>
      <w:r>
        <w:rPr>
          <w:color w:val="231F20"/>
        </w:rPr>
        <w:t>spinal</w:t>
      </w:r>
      <w:r>
        <w:rPr>
          <w:color w:val="231F20"/>
          <w:spacing w:val="4"/>
        </w:rPr>
        <w:t> </w:t>
      </w:r>
      <w:r>
        <w:rPr>
          <w:color w:val="231F20"/>
        </w:rPr>
        <w:t>muscular</w:t>
      </w:r>
      <w:r>
        <w:rPr>
          <w:color w:val="231F20"/>
          <w:spacing w:val="4"/>
        </w:rPr>
        <w:t> </w:t>
      </w:r>
      <w:r>
        <w:rPr>
          <w:color w:val="231F20"/>
        </w:rPr>
        <w:t>atrophy;</w:t>
      </w:r>
      <w:r>
        <w:rPr>
          <w:color w:val="231F20"/>
          <w:spacing w:val="4"/>
        </w:rPr>
        <w:t> </w:t>
      </w:r>
      <w:r>
        <w:rPr>
          <w:i/>
          <w:color w:val="231F20"/>
        </w:rPr>
        <w:t>SMN,</w:t>
      </w:r>
      <w:r>
        <w:rPr>
          <w:i/>
          <w:color w:val="231F20"/>
          <w:spacing w:val="4"/>
        </w:rPr>
        <w:t> </w:t>
      </w:r>
      <w:r>
        <w:rPr>
          <w:color w:val="231F20"/>
        </w:rPr>
        <w:t>survivor</w:t>
      </w:r>
      <w:r>
        <w:rPr>
          <w:color w:val="231F20"/>
          <w:spacing w:val="4"/>
        </w:rPr>
        <w:t> </w:t>
      </w:r>
      <w:r>
        <w:rPr>
          <w:color w:val="231F20"/>
        </w:rPr>
        <w:t>motor</w:t>
      </w:r>
      <w:r>
        <w:rPr>
          <w:color w:val="231F20"/>
          <w:spacing w:val="4"/>
        </w:rPr>
        <w:t> </w:t>
      </w:r>
      <w:r>
        <w:rPr>
          <w:color w:val="231F20"/>
        </w:rPr>
        <w:t>neuron</w:t>
      </w:r>
      <w:r>
        <w:rPr>
          <w:color w:val="231F20"/>
          <w:spacing w:val="3"/>
        </w:rPr>
        <w:t> </w:t>
      </w:r>
      <w:r>
        <w:rPr>
          <w:color w:val="231F20"/>
          <w:spacing w:val="-2"/>
        </w:rPr>
        <w:t>gene.</w:t>
      </w:r>
    </w:p>
    <w:p>
      <w:pPr>
        <w:pStyle w:val="BodyText"/>
        <w:spacing w:after="0"/>
        <w:sectPr>
          <w:pgSz w:w="11900" w:h="16840"/>
          <w:pgMar w:header="452" w:footer="0" w:top="1180" w:bottom="280" w:left="708" w:right="566"/>
        </w:sectPr>
      </w:pPr>
    </w:p>
    <w:p>
      <w:pPr>
        <w:pStyle w:val="BodyText"/>
        <w:spacing w:before="205"/>
        <w:rPr>
          <w:sz w:val="20"/>
        </w:rPr>
      </w:pPr>
    </w:p>
    <w:p>
      <w:pPr>
        <w:pStyle w:val="BodyText"/>
        <w:ind w:left="427"/>
        <w:rPr>
          <w:sz w:val="20"/>
        </w:rPr>
      </w:pPr>
      <w:r>
        <w:rPr>
          <w:sz w:val="20"/>
        </w:rPr>
        <mc:AlternateContent>
          <mc:Choice Requires="wps">
            <w:drawing>
              <wp:inline distT="0" distB="0" distL="0" distR="0">
                <wp:extent cx="6185535" cy="170815"/>
                <wp:effectExtent l="76200" t="0" r="5714" b="635"/>
                <wp:docPr id="1041" name="Group 1041"/>
                <wp:cNvGraphicFramePr>
                  <a:graphicFrameLocks/>
                </wp:cNvGraphicFramePr>
                <a:graphic>
                  <a:graphicData uri="http://schemas.microsoft.com/office/word/2010/wordprocessingGroup">
                    <wpg:wgp>
                      <wpg:cNvPr id="1041" name="Group 1041"/>
                      <wpg:cNvGrpSpPr/>
                      <wpg:grpSpPr>
                        <a:xfrm>
                          <a:off x="0" y="0"/>
                          <a:ext cx="6185535" cy="170815"/>
                          <a:chExt cx="6185535" cy="170815"/>
                        </a:xfrm>
                      </wpg:grpSpPr>
                      <wps:wsp>
                        <wps:cNvPr id="1042" name="Graphic 1042"/>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43" name="Graphic 1043"/>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44" name="Textbox 1044"/>
                        <wps:cNvSpPr txBox="1"/>
                        <wps:spPr>
                          <a:xfrm>
                            <a:off x="0" y="0"/>
                            <a:ext cx="6185535" cy="170815"/>
                          </a:xfrm>
                          <a:prstGeom prst="rect">
                            <a:avLst/>
                          </a:prstGeom>
                        </wps:spPr>
                        <wps:txbx>
                          <w:txbxContent>
                            <w:p>
                              <w:pPr>
                                <w:spacing w:before="6"/>
                                <w:ind w:left="4272" w:right="-15" w:firstLine="0"/>
                                <w:jc w:val="left"/>
                                <w:rPr>
                                  <w:b/>
                                  <w:sz w:val="18"/>
                                </w:rPr>
                              </w:pPr>
                              <w:r>
                                <w:rPr>
                                  <w:b/>
                                  <w:color w:val="0073BC"/>
                                  <w:w w:val="105"/>
                                  <w:sz w:val="18"/>
                                </w:rPr>
                                <w:t>Chapter</w:t>
                              </w:r>
                              <w:r>
                                <w:rPr>
                                  <w:b/>
                                  <w:color w:val="0073BC"/>
                                  <w:spacing w:val="17"/>
                                  <w:w w:val="105"/>
                                  <w:sz w:val="18"/>
                                </w:rPr>
                                <w:t> </w:t>
                              </w:r>
                              <w:r>
                                <w:rPr>
                                  <w:b/>
                                  <w:color w:val="0073BC"/>
                                  <w:w w:val="105"/>
                                  <w:sz w:val="18"/>
                                </w:rPr>
                                <w:t>613</w:t>
                              </w:r>
                              <w:r>
                                <w:rPr>
                                  <w:b/>
                                  <w:color w:val="0073BC"/>
                                  <w:spacing w:val="47"/>
                                  <w:w w:val="105"/>
                                  <w:sz w:val="18"/>
                                </w:rPr>
                                <w:t> </w:t>
                              </w:r>
                              <w:r>
                                <w:rPr>
                                  <w:rFonts w:ascii="Lucida Sans Unicode" w:hAnsi="Lucida Sans Unicode"/>
                                  <w:color w:val="6C9BD2"/>
                                  <w:w w:val="105"/>
                                  <w:sz w:val="15"/>
                                </w:rPr>
                                <w:t>◆</w:t>
                              </w:r>
                              <w:r>
                                <w:rPr>
                                  <w:rFonts w:ascii="Lucida Sans Unicode" w:hAnsi="Lucida Sans Unicode"/>
                                  <w:color w:val="6C9BD2"/>
                                  <w:spacing w:val="54"/>
                                  <w:w w:val="105"/>
                                  <w:sz w:val="15"/>
                                </w:rPr>
                                <w:t> </w:t>
                              </w:r>
                              <w:r>
                                <w:rPr>
                                  <w:color w:val="231F20"/>
                                  <w:w w:val="105"/>
                                  <w:sz w:val="18"/>
                                </w:rPr>
                                <w:t>Hereditary</w:t>
                              </w:r>
                              <w:r>
                                <w:rPr>
                                  <w:color w:val="231F20"/>
                                  <w:spacing w:val="12"/>
                                  <w:w w:val="105"/>
                                  <w:sz w:val="18"/>
                                </w:rPr>
                                <w:t> </w:t>
                              </w:r>
                              <w:r>
                                <w:rPr>
                                  <w:color w:val="231F20"/>
                                  <w:w w:val="105"/>
                                  <w:sz w:val="18"/>
                                </w:rPr>
                                <w:t>Motor-Sensory</w:t>
                              </w:r>
                              <w:r>
                                <w:rPr>
                                  <w:color w:val="231F20"/>
                                  <w:spacing w:val="13"/>
                                  <w:w w:val="105"/>
                                  <w:sz w:val="18"/>
                                </w:rPr>
                                <w:t> </w:t>
                              </w:r>
                              <w:r>
                                <w:rPr>
                                  <w:color w:val="231F20"/>
                                  <w:w w:val="105"/>
                                  <w:sz w:val="18"/>
                                </w:rPr>
                                <w:t>Neuropathies</w:t>
                              </w:r>
                              <w:r>
                                <w:rPr>
                                  <w:color w:val="231F20"/>
                                  <w:spacing w:val="47"/>
                                  <w:w w:val="105"/>
                                  <w:sz w:val="18"/>
                                </w:rPr>
                                <w:t>  </w:t>
                              </w:r>
                              <w:r>
                                <w:rPr>
                                  <w:b/>
                                  <w:color w:val="231F20"/>
                                  <w:spacing w:val="-4"/>
                                  <w:w w:val="105"/>
                                  <w:sz w:val="18"/>
                                </w:rPr>
                                <w:t>2999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34"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35" filled="false" stroked="false">
                  <v:textbox inset="0,0,0,0">
                    <w:txbxContent>
                      <w:p>
                        <w:pPr>
                          <w:spacing w:before="6"/>
                          <w:ind w:left="4272" w:right="-15" w:firstLine="0"/>
                          <w:jc w:val="left"/>
                          <w:rPr>
                            <w:b/>
                            <w:sz w:val="18"/>
                          </w:rPr>
                        </w:pPr>
                        <w:r>
                          <w:rPr>
                            <w:b/>
                            <w:color w:val="0073BC"/>
                            <w:w w:val="105"/>
                            <w:sz w:val="18"/>
                          </w:rPr>
                          <w:t>Chapter</w:t>
                        </w:r>
                        <w:r>
                          <w:rPr>
                            <w:b/>
                            <w:color w:val="0073BC"/>
                            <w:spacing w:val="17"/>
                            <w:w w:val="105"/>
                            <w:sz w:val="18"/>
                          </w:rPr>
                          <w:t> </w:t>
                        </w:r>
                        <w:r>
                          <w:rPr>
                            <w:b/>
                            <w:color w:val="0073BC"/>
                            <w:w w:val="105"/>
                            <w:sz w:val="18"/>
                          </w:rPr>
                          <w:t>613</w:t>
                        </w:r>
                        <w:r>
                          <w:rPr>
                            <w:b/>
                            <w:color w:val="0073BC"/>
                            <w:spacing w:val="47"/>
                            <w:w w:val="105"/>
                            <w:sz w:val="18"/>
                          </w:rPr>
                          <w:t> </w:t>
                        </w:r>
                        <w:r>
                          <w:rPr>
                            <w:rFonts w:ascii="Lucida Sans Unicode" w:hAnsi="Lucida Sans Unicode"/>
                            <w:color w:val="6C9BD2"/>
                            <w:w w:val="105"/>
                            <w:sz w:val="15"/>
                          </w:rPr>
                          <w:t>◆</w:t>
                        </w:r>
                        <w:r>
                          <w:rPr>
                            <w:rFonts w:ascii="Lucida Sans Unicode" w:hAnsi="Lucida Sans Unicode"/>
                            <w:color w:val="6C9BD2"/>
                            <w:spacing w:val="54"/>
                            <w:w w:val="105"/>
                            <w:sz w:val="15"/>
                          </w:rPr>
                          <w:t> </w:t>
                        </w:r>
                        <w:r>
                          <w:rPr>
                            <w:color w:val="231F20"/>
                            <w:w w:val="105"/>
                            <w:sz w:val="18"/>
                          </w:rPr>
                          <w:t>Hereditary</w:t>
                        </w:r>
                        <w:r>
                          <w:rPr>
                            <w:color w:val="231F20"/>
                            <w:spacing w:val="12"/>
                            <w:w w:val="105"/>
                            <w:sz w:val="18"/>
                          </w:rPr>
                          <w:t> </w:t>
                        </w:r>
                        <w:r>
                          <w:rPr>
                            <w:color w:val="231F20"/>
                            <w:w w:val="105"/>
                            <w:sz w:val="18"/>
                          </w:rPr>
                          <w:t>Motor-Sensory</w:t>
                        </w:r>
                        <w:r>
                          <w:rPr>
                            <w:color w:val="231F20"/>
                            <w:spacing w:val="13"/>
                            <w:w w:val="105"/>
                            <w:sz w:val="18"/>
                          </w:rPr>
                          <w:t> </w:t>
                        </w:r>
                        <w:r>
                          <w:rPr>
                            <w:color w:val="231F20"/>
                            <w:w w:val="105"/>
                            <w:sz w:val="18"/>
                          </w:rPr>
                          <w:t>Neuropathies</w:t>
                        </w:r>
                        <w:r>
                          <w:rPr>
                            <w:color w:val="231F20"/>
                            <w:spacing w:val="47"/>
                            <w:w w:val="105"/>
                            <w:sz w:val="18"/>
                          </w:rPr>
                          <w:t>  </w:t>
                        </w:r>
                        <w:r>
                          <w:rPr>
                            <w:b/>
                            <w:color w:val="231F20"/>
                            <w:spacing w:val="-4"/>
                            <w:w w:val="105"/>
                            <w:sz w:val="18"/>
                          </w:rPr>
                          <w:t>2999</w:t>
                        </w:r>
                      </w:p>
                    </w:txbxContent>
                  </v:textbox>
                  <w10:wrap type="none"/>
                </v:shape>
              </v:group>
            </w:pict>
          </mc:Fallback>
        </mc:AlternateContent>
      </w:r>
      <w:r>
        <w:rPr>
          <w:sz w:val="20"/>
        </w:rPr>
      </w:r>
    </w:p>
    <w:p>
      <w:pPr>
        <w:pStyle w:val="BodyText"/>
        <w:spacing w:before="3" w:after="1"/>
      </w:pPr>
    </w:p>
    <w:tbl>
      <w:tblPr>
        <w:tblW w:w="0" w:type="auto"/>
        <w:jc w:val="left"/>
        <w:tblInd w:w="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6"/>
        <w:gridCol w:w="3602"/>
        <w:gridCol w:w="2599"/>
        <w:gridCol w:w="1551"/>
      </w:tblGrid>
      <w:tr>
        <w:trPr>
          <w:trHeight w:val="384" w:hRule="atLeast"/>
        </w:trPr>
        <w:tc>
          <w:tcPr>
            <w:tcW w:w="2056"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613-1</w:t>
            </w:r>
            <w:r>
              <w:rPr>
                <w:b/>
                <w:color w:val="FFFFFF"/>
                <w:spacing w:val="32"/>
                <w:w w:val="105"/>
                <w:sz w:val="16"/>
              </w:rPr>
              <w:t>  </w:t>
            </w:r>
            <w:r>
              <w:rPr>
                <w:color w:val="FFFFFF"/>
                <w:spacing w:val="-2"/>
                <w:w w:val="105"/>
                <w:sz w:val="16"/>
              </w:rPr>
              <w:t>Hereditary</w:t>
            </w:r>
          </w:p>
        </w:tc>
        <w:tc>
          <w:tcPr>
            <w:tcW w:w="7752" w:type="dxa"/>
            <w:gridSpan w:val="3"/>
            <w:shd w:val="clear" w:color="auto" w:fill="231F20"/>
          </w:tcPr>
          <w:p>
            <w:pPr>
              <w:pStyle w:val="TableParagraph"/>
              <w:spacing w:before="89"/>
              <w:ind w:left="27"/>
              <w:rPr>
                <w:sz w:val="16"/>
              </w:rPr>
            </w:pPr>
            <w:r>
              <w:rPr>
                <w:color w:val="FFFFFF"/>
                <w:w w:val="105"/>
                <w:sz w:val="16"/>
              </w:rPr>
              <w:t>Peripheral</w:t>
            </w:r>
            <w:r>
              <w:rPr>
                <w:color w:val="FFFFFF"/>
                <w:spacing w:val="-11"/>
                <w:w w:val="105"/>
                <w:sz w:val="16"/>
              </w:rPr>
              <w:t> </w:t>
            </w:r>
            <w:r>
              <w:rPr>
                <w:color w:val="FFFFFF"/>
                <w:spacing w:val="-2"/>
                <w:w w:val="105"/>
                <w:sz w:val="16"/>
              </w:rPr>
              <w:t>Neuropathies</w:t>
            </w:r>
          </w:p>
        </w:tc>
      </w:tr>
      <w:tr>
        <w:trPr>
          <w:trHeight w:val="246" w:hRule="atLeast"/>
        </w:trPr>
        <w:tc>
          <w:tcPr>
            <w:tcW w:w="2056" w:type="dxa"/>
            <w:tcBorders>
              <w:bottom w:val="single" w:sz="4" w:space="0" w:color="231F20"/>
            </w:tcBorders>
            <w:shd w:val="clear" w:color="auto" w:fill="E8F5F1"/>
          </w:tcPr>
          <w:p>
            <w:pPr>
              <w:pStyle w:val="TableParagraph"/>
              <w:spacing w:before="36"/>
              <w:ind w:left="74"/>
              <w:rPr>
                <w:b/>
                <w:sz w:val="15"/>
              </w:rPr>
            </w:pPr>
            <w:r>
              <w:rPr>
                <w:b/>
                <w:color w:val="231F20"/>
                <w:w w:val="110"/>
                <w:sz w:val="15"/>
              </w:rPr>
              <w:t>DISORDER</w:t>
            </w:r>
            <w:r>
              <w:rPr>
                <w:b/>
                <w:color w:val="231F20"/>
                <w:spacing w:val="22"/>
                <w:w w:val="110"/>
                <w:sz w:val="15"/>
              </w:rPr>
              <w:t> </w:t>
            </w:r>
            <w:r>
              <w:rPr>
                <w:b/>
                <w:color w:val="231F20"/>
                <w:w w:val="110"/>
                <w:sz w:val="15"/>
              </w:rPr>
              <w:t>(OMIM</w:t>
            </w:r>
            <w:r>
              <w:rPr>
                <w:b/>
                <w:color w:val="231F20"/>
                <w:spacing w:val="22"/>
                <w:w w:val="110"/>
                <w:sz w:val="15"/>
              </w:rPr>
              <w:t> </w:t>
            </w:r>
            <w:r>
              <w:rPr>
                <w:b/>
                <w:color w:val="231F20"/>
                <w:spacing w:val="-4"/>
                <w:w w:val="110"/>
                <w:sz w:val="15"/>
              </w:rPr>
              <w:t>NO.)</w:t>
            </w:r>
          </w:p>
        </w:tc>
        <w:tc>
          <w:tcPr>
            <w:tcW w:w="3602" w:type="dxa"/>
            <w:tcBorders>
              <w:bottom w:val="single" w:sz="4" w:space="0" w:color="231F20"/>
            </w:tcBorders>
            <w:shd w:val="clear" w:color="auto" w:fill="E8F5F1"/>
          </w:tcPr>
          <w:p>
            <w:pPr>
              <w:pStyle w:val="TableParagraph"/>
              <w:spacing w:before="36"/>
              <w:ind w:left="245"/>
              <w:rPr>
                <w:b/>
                <w:sz w:val="15"/>
              </w:rPr>
            </w:pPr>
            <w:r>
              <w:rPr>
                <w:b/>
                <w:color w:val="231F20"/>
                <w:w w:val="110"/>
                <w:sz w:val="15"/>
              </w:rPr>
              <w:t>CLINICAL</w:t>
            </w:r>
            <w:r>
              <w:rPr>
                <w:b/>
                <w:color w:val="231F20"/>
                <w:spacing w:val="-4"/>
                <w:w w:val="110"/>
                <w:sz w:val="15"/>
              </w:rPr>
              <w:t> </w:t>
            </w:r>
            <w:r>
              <w:rPr>
                <w:b/>
                <w:color w:val="231F20"/>
                <w:spacing w:val="-2"/>
                <w:w w:val="110"/>
                <w:sz w:val="15"/>
              </w:rPr>
              <w:t>FEATURES</w:t>
            </w:r>
          </w:p>
        </w:tc>
        <w:tc>
          <w:tcPr>
            <w:tcW w:w="2599" w:type="dxa"/>
            <w:tcBorders>
              <w:bottom w:val="single" w:sz="4" w:space="0" w:color="231F20"/>
            </w:tcBorders>
            <w:shd w:val="clear" w:color="auto" w:fill="E8F5F1"/>
          </w:tcPr>
          <w:p>
            <w:pPr>
              <w:pStyle w:val="TableParagraph"/>
              <w:spacing w:before="36"/>
              <w:ind w:left="161"/>
              <w:rPr>
                <w:b/>
                <w:sz w:val="15"/>
              </w:rPr>
            </w:pPr>
            <w:r>
              <w:rPr>
                <w:b/>
                <w:color w:val="231F20"/>
                <w:w w:val="110"/>
                <w:sz w:val="15"/>
              </w:rPr>
              <w:t>NERVE</w:t>
            </w:r>
            <w:r>
              <w:rPr>
                <w:b/>
                <w:color w:val="231F20"/>
                <w:spacing w:val="20"/>
                <w:w w:val="110"/>
                <w:sz w:val="15"/>
              </w:rPr>
              <w:t> </w:t>
            </w:r>
            <w:r>
              <w:rPr>
                <w:b/>
                <w:color w:val="231F20"/>
                <w:w w:val="110"/>
                <w:sz w:val="15"/>
              </w:rPr>
              <w:t>CONDUCTION</w:t>
            </w:r>
            <w:r>
              <w:rPr>
                <w:b/>
                <w:color w:val="231F20"/>
                <w:spacing w:val="21"/>
                <w:w w:val="110"/>
                <w:sz w:val="15"/>
              </w:rPr>
              <w:t> </w:t>
            </w:r>
            <w:r>
              <w:rPr>
                <w:b/>
                <w:color w:val="231F20"/>
                <w:spacing w:val="-2"/>
                <w:w w:val="110"/>
                <w:sz w:val="15"/>
              </w:rPr>
              <w:t>STUDIES</w:t>
            </w:r>
          </w:p>
        </w:tc>
        <w:tc>
          <w:tcPr>
            <w:tcW w:w="1551" w:type="dxa"/>
            <w:tcBorders>
              <w:bottom w:val="single" w:sz="4" w:space="0" w:color="231F20"/>
            </w:tcBorders>
            <w:shd w:val="clear" w:color="auto" w:fill="E8F5F1"/>
          </w:tcPr>
          <w:p>
            <w:pPr>
              <w:pStyle w:val="TableParagraph"/>
              <w:spacing w:before="36"/>
              <w:ind w:left="153"/>
              <w:rPr>
                <w:b/>
                <w:sz w:val="15"/>
              </w:rPr>
            </w:pPr>
            <w:r>
              <w:rPr>
                <w:b/>
                <w:color w:val="231F20"/>
                <w:w w:val="110"/>
                <w:sz w:val="15"/>
              </w:rPr>
              <w:t>GENE</w:t>
            </w:r>
            <w:r>
              <w:rPr>
                <w:b/>
                <w:color w:val="231F20"/>
                <w:spacing w:val="11"/>
                <w:w w:val="110"/>
                <w:sz w:val="15"/>
              </w:rPr>
              <w:t> </w:t>
            </w:r>
            <w:r>
              <w:rPr>
                <w:b/>
                <w:color w:val="231F20"/>
                <w:w w:val="110"/>
                <w:sz w:val="15"/>
              </w:rPr>
              <w:t>OR</w:t>
            </w:r>
            <w:r>
              <w:rPr>
                <w:b/>
                <w:color w:val="231F20"/>
                <w:spacing w:val="12"/>
                <w:w w:val="110"/>
                <w:sz w:val="15"/>
              </w:rPr>
              <w:t> </w:t>
            </w:r>
            <w:r>
              <w:rPr>
                <w:b/>
                <w:color w:val="231F20"/>
                <w:spacing w:val="-2"/>
                <w:w w:val="110"/>
                <w:sz w:val="15"/>
              </w:rPr>
              <w:t>LOCUS</w:t>
            </w:r>
          </w:p>
        </w:tc>
      </w:tr>
      <w:tr>
        <w:trPr>
          <w:trHeight w:val="217" w:hRule="atLeast"/>
        </w:trPr>
        <w:tc>
          <w:tcPr>
            <w:tcW w:w="2056" w:type="dxa"/>
            <w:tcBorders>
              <w:top w:val="single" w:sz="4" w:space="0" w:color="231F20"/>
            </w:tcBorders>
            <w:shd w:val="clear" w:color="auto" w:fill="E8F5F1"/>
          </w:tcPr>
          <w:p>
            <w:pPr>
              <w:pStyle w:val="TableParagraph"/>
              <w:spacing w:line="155" w:lineRule="exact" w:before="43"/>
              <w:ind w:left="74"/>
              <w:rPr>
                <w:sz w:val="15"/>
              </w:rPr>
            </w:pPr>
            <w:r>
              <w:rPr>
                <w:color w:val="231F20"/>
                <w:w w:val="110"/>
                <w:sz w:val="15"/>
              </w:rPr>
              <w:t>CMT1</w:t>
            </w:r>
            <w:r>
              <w:rPr>
                <w:color w:val="231F20"/>
                <w:spacing w:val="10"/>
                <w:w w:val="110"/>
                <w:sz w:val="15"/>
              </w:rPr>
              <w:t> </w:t>
            </w:r>
            <w:r>
              <w:rPr>
                <w:color w:val="231F20"/>
                <w:spacing w:val="-2"/>
                <w:w w:val="110"/>
                <w:sz w:val="15"/>
              </w:rPr>
              <w:t>(DEMYELINATING)</w:t>
            </w:r>
          </w:p>
        </w:tc>
        <w:tc>
          <w:tcPr>
            <w:tcW w:w="3602" w:type="dxa"/>
            <w:tcBorders>
              <w:top w:val="single" w:sz="4" w:space="0" w:color="231F20"/>
            </w:tcBorders>
            <w:shd w:val="clear" w:color="auto" w:fill="E8F5F1"/>
          </w:tcPr>
          <w:p>
            <w:pPr>
              <w:pStyle w:val="TableParagraph"/>
              <w:rPr>
                <w:rFonts w:ascii="Times New Roman"/>
                <w:sz w:val="14"/>
              </w:rPr>
            </w:pPr>
          </w:p>
        </w:tc>
        <w:tc>
          <w:tcPr>
            <w:tcW w:w="2599" w:type="dxa"/>
            <w:tcBorders>
              <w:top w:val="single" w:sz="4" w:space="0" w:color="231F20"/>
            </w:tcBorders>
            <w:shd w:val="clear" w:color="auto" w:fill="E8F5F1"/>
          </w:tcPr>
          <w:p>
            <w:pPr>
              <w:pStyle w:val="TableParagraph"/>
              <w:rPr>
                <w:rFonts w:ascii="Times New Roman"/>
                <w:sz w:val="14"/>
              </w:rPr>
            </w:pPr>
          </w:p>
        </w:tc>
        <w:tc>
          <w:tcPr>
            <w:tcW w:w="1551" w:type="dxa"/>
            <w:tcBorders>
              <w:top w:val="single" w:sz="4" w:space="0" w:color="231F20"/>
            </w:tcBorders>
            <w:shd w:val="clear" w:color="auto" w:fill="E8F5F1"/>
          </w:tcPr>
          <w:p>
            <w:pPr>
              <w:pStyle w:val="TableParagraph"/>
              <w:rPr>
                <w:rFonts w:ascii="Times New Roman"/>
                <w:sz w:val="14"/>
              </w:rPr>
            </w:pPr>
          </w:p>
        </w:tc>
      </w:tr>
      <w:tr>
        <w:trPr>
          <w:trHeight w:val="170" w:hRule="atLeast"/>
        </w:trPr>
        <w:tc>
          <w:tcPr>
            <w:tcW w:w="2056" w:type="dxa"/>
            <w:shd w:val="clear" w:color="auto" w:fill="E8F5F1"/>
          </w:tcPr>
          <w:p>
            <w:pPr>
              <w:pStyle w:val="TableParagraph"/>
              <w:spacing w:line="150" w:lineRule="exact"/>
              <w:ind w:left="74"/>
              <w:rPr>
                <w:sz w:val="15"/>
              </w:rPr>
            </w:pPr>
            <w:r>
              <w:rPr>
                <w:color w:val="231F20"/>
                <w:w w:val="105"/>
                <w:sz w:val="15"/>
              </w:rPr>
              <w:t>CMT1</w:t>
            </w:r>
            <w:r>
              <w:rPr>
                <w:color w:val="231F20"/>
                <w:spacing w:val="4"/>
                <w:w w:val="105"/>
                <w:sz w:val="15"/>
              </w:rPr>
              <w:t> </w:t>
            </w:r>
            <w:r>
              <w:rPr>
                <w:color w:val="231F20"/>
                <w:w w:val="105"/>
                <w:sz w:val="15"/>
              </w:rPr>
              <w:t>A-F</w:t>
            </w:r>
            <w:r>
              <w:rPr>
                <w:color w:val="231F20"/>
                <w:spacing w:val="4"/>
                <w:w w:val="105"/>
                <w:sz w:val="15"/>
              </w:rPr>
              <w:t> </w:t>
            </w:r>
            <w:r>
              <w:rPr>
                <w:color w:val="231F20"/>
                <w:w w:val="105"/>
                <w:sz w:val="15"/>
              </w:rPr>
              <w:t>(HMSN</w:t>
            </w:r>
            <w:r>
              <w:rPr>
                <w:color w:val="231F20"/>
                <w:spacing w:val="5"/>
                <w:w w:val="105"/>
                <w:sz w:val="15"/>
              </w:rPr>
              <w:t> </w:t>
            </w:r>
            <w:r>
              <w:rPr>
                <w:color w:val="231F20"/>
                <w:w w:val="105"/>
                <w:sz w:val="15"/>
              </w:rPr>
              <w:t>type</w:t>
            </w:r>
            <w:r>
              <w:rPr>
                <w:color w:val="231F20"/>
                <w:spacing w:val="4"/>
                <w:w w:val="105"/>
                <w:sz w:val="15"/>
              </w:rPr>
              <w:t> </w:t>
            </w:r>
            <w:r>
              <w:rPr>
                <w:color w:val="231F20"/>
                <w:spacing w:val="-5"/>
                <w:w w:val="105"/>
                <w:sz w:val="15"/>
              </w:rPr>
              <w:t>I)</w:t>
            </w:r>
          </w:p>
        </w:tc>
        <w:tc>
          <w:tcPr>
            <w:tcW w:w="3602" w:type="dxa"/>
            <w:shd w:val="clear" w:color="auto" w:fill="E8F5F1"/>
          </w:tcPr>
          <w:p>
            <w:pPr>
              <w:pStyle w:val="TableParagraph"/>
              <w:spacing w:line="151" w:lineRule="exact"/>
              <w:ind w:left="245"/>
              <w:rPr>
                <w:sz w:val="15"/>
              </w:rPr>
            </w:pPr>
            <w:r>
              <w:rPr>
                <w:color w:val="231F20"/>
                <w:sz w:val="15"/>
              </w:rPr>
              <w:t>Autosomal</w:t>
            </w:r>
            <w:r>
              <w:rPr>
                <w:color w:val="231F20"/>
                <w:spacing w:val="-2"/>
                <w:sz w:val="15"/>
              </w:rPr>
              <w:t> </w:t>
            </w:r>
            <w:r>
              <w:rPr>
                <w:color w:val="231F20"/>
                <w:sz w:val="15"/>
              </w:rPr>
              <w:t>dominant.</w:t>
            </w:r>
            <w:r>
              <w:rPr>
                <w:color w:val="231F20"/>
                <w:spacing w:val="-1"/>
                <w:sz w:val="15"/>
              </w:rPr>
              <w:t> </w:t>
            </w:r>
            <w:r>
              <w:rPr>
                <w:color w:val="231F20"/>
                <w:sz w:val="15"/>
              </w:rPr>
              <w:t>Onset</w:t>
            </w:r>
            <w:r>
              <w:rPr>
                <w:color w:val="231F20"/>
                <w:spacing w:val="-1"/>
                <w:sz w:val="15"/>
              </w:rPr>
              <w:t> </w:t>
            </w:r>
            <w:r>
              <w:rPr>
                <w:color w:val="231F20"/>
                <w:sz w:val="15"/>
              </w:rPr>
              <w:t>1st-4th</w:t>
            </w:r>
            <w:r>
              <w:rPr>
                <w:color w:val="231F20"/>
                <w:spacing w:val="-1"/>
                <w:sz w:val="15"/>
              </w:rPr>
              <w:t> </w:t>
            </w:r>
            <w:r>
              <w:rPr>
                <w:color w:val="231F20"/>
                <w:spacing w:val="-2"/>
                <w:sz w:val="15"/>
              </w:rPr>
              <w:t>decade.</w:t>
            </w:r>
          </w:p>
        </w:tc>
        <w:tc>
          <w:tcPr>
            <w:tcW w:w="2599" w:type="dxa"/>
            <w:shd w:val="clear" w:color="auto" w:fill="E8F5F1"/>
          </w:tcPr>
          <w:p>
            <w:pPr>
              <w:pStyle w:val="TableParagraph"/>
              <w:spacing w:line="151" w:lineRule="exact"/>
              <w:ind w:left="161"/>
              <w:rPr>
                <w:sz w:val="15"/>
              </w:rPr>
            </w:pPr>
            <w:r>
              <w:rPr>
                <w:color w:val="231F20"/>
                <w:sz w:val="15"/>
              </w:rPr>
              <w:t>Delayed</w:t>
            </w:r>
            <w:r>
              <w:rPr>
                <w:color w:val="231F20"/>
                <w:spacing w:val="7"/>
                <w:sz w:val="15"/>
              </w:rPr>
              <w:t> </w:t>
            </w:r>
            <w:r>
              <w:rPr>
                <w:color w:val="231F20"/>
                <w:sz w:val="15"/>
              </w:rPr>
              <w:t>motor</w:t>
            </w:r>
            <w:r>
              <w:rPr>
                <w:color w:val="231F20"/>
                <w:spacing w:val="7"/>
                <w:sz w:val="15"/>
              </w:rPr>
              <w:t> </w:t>
            </w:r>
            <w:r>
              <w:rPr>
                <w:color w:val="231F20"/>
                <w:sz w:val="15"/>
              </w:rPr>
              <w:t>and</w:t>
            </w:r>
            <w:r>
              <w:rPr>
                <w:color w:val="231F20"/>
                <w:spacing w:val="7"/>
                <w:sz w:val="15"/>
              </w:rPr>
              <w:t> </w:t>
            </w:r>
            <w:r>
              <w:rPr>
                <w:color w:val="231F20"/>
                <w:spacing w:val="-2"/>
                <w:sz w:val="15"/>
              </w:rPr>
              <w:t>sensory</w:t>
            </w:r>
          </w:p>
        </w:tc>
        <w:tc>
          <w:tcPr>
            <w:tcW w:w="1551" w:type="dxa"/>
            <w:shd w:val="clear" w:color="auto" w:fill="E8F5F1"/>
          </w:tcPr>
          <w:p>
            <w:pPr>
              <w:pStyle w:val="TableParagraph"/>
              <w:rPr>
                <w:rFonts w:ascii="Times New Roman"/>
                <w:sz w:val="10"/>
              </w:rPr>
            </w:pPr>
          </w:p>
        </w:tc>
      </w:tr>
      <w:tr>
        <w:trPr>
          <w:trHeight w:val="162"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3" w:lineRule="exact"/>
              <w:ind w:left="357"/>
              <w:rPr>
                <w:sz w:val="15"/>
              </w:rPr>
            </w:pPr>
            <w:r>
              <w:rPr>
                <w:color w:val="231F20"/>
                <w:spacing w:val="-2"/>
                <w:sz w:val="15"/>
              </w:rPr>
              <w:t>Predominant</w:t>
            </w:r>
            <w:r>
              <w:rPr>
                <w:color w:val="231F20"/>
                <w:spacing w:val="2"/>
                <w:sz w:val="15"/>
              </w:rPr>
              <w:t> </w:t>
            </w:r>
            <w:r>
              <w:rPr>
                <w:color w:val="231F20"/>
                <w:spacing w:val="-2"/>
                <w:sz w:val="15"/>
              </w:rPr>
              <w:t>distal</w:t>
            </w:r>
            <w:r>
              <w:rPr>
                <w:color w:val="231F20"/>
                <w:spacing w:val="2"/>
                <w:sz w:val="15"/>
              </w:rPr>
              <w:t> </w:t>
            </w:r>
            <w:r>
              <w:rPr>
                <w:color w:val="231F20"/>
                <w:spacing w:val="-2"/>
                <w:sz w:val="15"/>
              </w:rPr>
              <w:t>weakness,</w:t>
            </w:r>
            <w:r>
              <w:rPr>
                <w:color w:val="231F20"/>
                <w:spacing w:val="3"/>
                <w:sz w:val="15"/>
              </w:rPr>
              <w:t> </w:t>
            </w:r>
            <w:r>
              <w:rPr>
                <w:color w:val="231F20"/>
                <w:spacing w:val="-2"/>
                <w:sz w:val="15"/>
              </w:rPr>
              <w:t>decreased</w:t>
            </w:r>
          </w:p>
        </w:tc>
        <w:tc>
          <w:tcPr>
            <w:tcW w:w="2599" w:type="dxa"/>
            <w:shd w:val="clear" w:color="auto" w:fill="E8F5F1"/>
          </w:tcPr>
          <w:p>
            <w:pPr>
              <w:pStyle w:val="TableParagraph"/>
              <w:spacing w:line="142" w:lineRule="exact"/>
              <w:ind w:left="272"/>
              <w:rPr>
                <w:sz w:val="15"/>
              </w:rPr>
            </w:pPr>
            <w:r>
              <w:rPr>
                <w:color w:val="231F20"/>
                <w:sz w:val="15"/>
              </w:rPr>
              <w:t>conduction</w:t>
            </w:r>
            <w:r>
              <w:rPr>
                <w:color w:val="231F20"/>
                <w:spacing w:val="-10"/>
                <w:sz w:val="15"/>
              </w:rPr>
              <w:t> </w:t>
            </w:r>
            <w:r>
              <w:rPr>
                <w:color w:val="231F20"/>
                <w:sz w:val="15"/>
              </w:rPr>
              <w:t>studies.</w:t>
            </w:r>
            <w:r>
              <w:rPr>
                <w:color w:val="231F20"/>
                <w:spacing w:val="-10"/>
                <w:sz w:val="15"/>
              </w:rPr>
              <w:t> </w:t>
            </w:r>
            <w:r>
              <w:rPr>
                <w:color w:val="231F20"/>
                <w:spacing w:val="-2"/>
                <w:sz w:val="15"/>
              </w:rPr>
              <w:t>Motor</w:t>
            </w:r>
          </w:p>
        </w:tc>
        <w:tc>
          <w:tcPr>
            <w:tcW w:w="1551" w:type="dxa"/>
            <w:shd w:val="clear" w:color="auto" w:fill="E8F5F1"/>
          </w:tcPr>
          <w:p>
            <w:pPr>
              <w:pStyle w:val="TableParagraph"/>
              <w:rPr>
                <w:rFonts w:ascii="Times New Roman"/>
                <w:sz w:val="10"/>
              </w:rPr>
            </w:pPr>
          </w:p>
        </w:tc>
      </w:tr>
      <w:tr>
        <w:trPr>
          <w:trHeight w:val="17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55" w:lineRule="exact"/>
              <w:ind w:left="357"/>
              <w:rPr>
                <w:sz w:val="15"/>
              </w:rPr>
            </w:pPr>
            <w:r>
              <w:rPr>
                <w:color w:val="231F20"/>
                <w:sz w:val="15"/>
              </w:rPr>
              <w:t>DTRs,</w:t>
            </w:r>
            <w:r>
              <w:rPr>
                <w:color w:val="231F20"/>
                <w:spacing w:val="-8"/>
                <w:sz w:val="15"/>
              </w:rPr>
              <w:t> </w:t>
            </w:r>
            <w:r>
              <w:rPr>
                <w:color w:val="231F20"/>
                <w:sz w:val="15"/>
              </w:rPr>
              <w:t>mild</w:t>
            </w:r>
            <w:r>
              <w:rPr>
                <w:color w:val="231F20"/>
                <w:spacing w:val="-7"/>
                <w:sz w:val="15"/>
              </w:rPr>
              <w:t> </w:t>
            </w:r>
            <w:r>
              <w:rPr>
                <w:color w:val="231F20"/>
                <w:sz w:val="15"/>
              </w:rPr>
              <w:t>distal</w:t>
            </w:r>
            <w:r>
              <w:rPr>
                <w:color w:val="231F20"/>
                <w:spacing w:val="-7"/>
                <w:sz w:val="15"/>
              </w:rPr>
              <w:t> </w:t>
            </w:r>
            <w:r>
              <w:rPr>
                <w:color w:val="231F20"/>
                <w:sz w:val="15"/>
              </w:rPr>
              <w:t>sensory</w:t>
            </w:r>
            <w:r>
              <w:rPr>
                <w:color w:val="231F20"/>
                <w:spacing w:val="-7"/>
                <w:sz w:val="15"/>
              </w:rPr>
              <w:t> </w:t>
            </w:r>
            <w:r>
              <w:rPr>
                <w:color w:val="231F20"/>
                <w:sz w:val="15"/>
              </w:rPr>
              <w:t>loss,</w:t>
            </w:r>
            <w:r>
              <w:rPr>
                <w:color w:val="231F20"/>
                <w:spacing w:val="-7"/>
                <w:sz w:val="15"/>
              </w:rPr>
              <w:t> </w:t>
            </w:r>
            <w:r>
              <w:rPr>
                <w:color w:val="231F20"/>
                <w:sz w:val="15"/>
              </w:rPr>
              <w:t>hypertrophy</w:t>
            </w:r>
            <w:r>
              <w:rPr>
                <w:color w:val="231F20"/>
                <w:spacing w:val="-7"/>
                <w:sz w:val="15"/>
              </w:rPr>
              <w:t> </w:t>
            </w:r>
            <w:r>
              <w:rPr>
                <w:color w:val="231F20"/>
                <w:spacing w:val="-5"/>
                <w:sz w:val="15"/>
              </w:rPr>
              <w:t>of</w:t>
            </w:r>
          </w:p>
        </w:tc>
        <w:tc>
          <w:tcPr>
            <w:tcW w:w="2599" w:type="dxa"/>
            <w:shd w:val="clear" w:color="auto" w:fill="E8F5F1"/>
          </w:tcPr>
          <w:p>
            <w:pPr>
              <w:pStyle w:val="TableParagraph"/>
              <w:spacing w:line="157" w:lineRule="exact"/>
              <w:ind w:left="272"/>
              <w:rPr>
                <w:sz w:val="15"/>
              </w:rPr>
            </w:pPr>
            <w:r>
              <w:rPr>
                <w:color w:val="231F20"/>
                <w:spacing w:val="-2"/>
                <w:sz w:val="15"/>
              </w:rPr>
              <w:t>studies</w:t>
            </w:r>
            <w:r>
              <w:rPr>
                <w:color w:val="231F20"/>
                <w:spacing w:val="-3"/>
                <w:sz w:val="15"/>
              </w:rPr>
              <w:t> </w:t>
            </w:r>
            <w:r>
              <w:rPr>
                <w:color w:val="231F20"/>
                <w:spacing w:val="-2"/>
                <w:sz w:val="15"/>
              </w:rPr>
              <w:t>typically</w:t>
            </w:r>
            <w:r>
              <w:rPr>
                <w:color w:val="231F20"/>
                <w:spacing w:val="-3"/>
                <w:sz w:val="15"/>
              </w:rPr>
              <w:t> </w:t>
            </w:r>
            <w:r>
              <w:rPr>
                <w:rFonts w:ascii="Cambria"/>
                <w:color w:val="231F20"/>
                <w:spacing w:val="-2"/>
                <w:sz w:val="15"/>
              </w:rPr>
              <w:t>&lt;</w:t>
            </w:r>
            <w:r>
              <w:rPr>
                <w:color w:val="231F20"/>
                <w:spacing w:val="-2"/>
                <w:sz w:val="15"/>
              </w:rPr>
              <w:t>38</w:t>
            </w:r>
            <w:r>
              <w:rPr>
                <w:color w:val="231F20"/>
                <w:spacing w:val="-3"/>
                <w:sz w:val="15"/>
              </w:rPr>
              <w:t> </w:t>
            </w:r>
            <w:r>
              <w:rPr>
                <w:color w:val="231F20"/>
                <w:spacing w:val="-5"/>
                <w:sz w:val="15"/>
              </w:rPr>
              <w:t>m/s</w:t>
            </w:r>
          </w:p>
        </w:tc>
        <w:tc>
          <w:tcPr>
            <w:tcW w:w="1551" w:type="dxa"/>
            <w:shd w:val="clear" w:color="auto" w:fill="E8F5F1"/>
          </w:tcPr>
          <w:p>
            <w:pPr>
              <w:pStyle w:val="TableParagraph"/>
              <w:rPr>
                <w:rFonts w:ascii="Times New Roman"/>
                <w:sz w:val="10"/>
              </w:rPr>
            </w:pPr>
          </w:p>
        </w:tc>
      </w:tr>
      <w:tr>
        <w:trPr>
          <w:trHeight w:val="161"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2" w:lineRule="exact"/>
              <w:ind w:left="357"/>
              <w:rPr>
                <w:sz w:val="15"/>
              </w:rPr>
            </w:pPr>
            <w:r>
              <w:rPr>
                <w:color w:val="231F20"/>
                <w:sz w:val="15"/>
              </w:rPr>
              <w:t>nerves</w:t>
            </w:r>
            <w:r>
              <w:rPr>
                <w:color w:val="231F20"/>
                <w:spacing w:val="-8"/>
                <w:sz w:val="15"/>
              </w:rPr>
              <w:t> </w:t>
            </w:r>
            <w:r>
              <w:rPr>
                <w:color w:val="231F20"/>
                <w:spacing w:val="-2"/>
                <w:sz w:val="15"/>
              </w:rPr>
              <w:t>common</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339" w:hRule="atLeast"/>
        </w:trPr>
        <w:tc>
          <w:tcPr>
            <w:tcW w:w="2056" w:type="dxa"/>
            <w:shd w:val="clear" w:color="auto" w:fill="E8F5F1"/>
          </w:tcPr>
          <w:p>
            <w:pPr>
              <w:pStyle w:val="TableParagraph"/>
              <w:spacing w:line="171" w:lineRule="exact"/>
              <w:ind w:left="74"/>
              <w:rPr>
                <w:sz w:val="15"/>
              </w:rPr>
            </w:pPr>
            <w:r>
              <w:rPr>
                <w:color w:val="231F20"/>
                <w:sz w:val="15"/>
              </w:rPr>
              <w:t>1A</w:t>
            </w:r>
            <w:r>
              <w:rPr>
                <w:color w:val="231F20"/>
                <w:spacing w:val="12"/>
                <w:sz w:val="15"/>
              </w:rPr>
              <w:t> </w:t>
            </w:r>
            <w:r>
              <w:rPr>
                <w:color w:val="231F20"/>
                <w:spacing w:val="-2"/>
                <w:sz w:val="15"/>
              </w:rPr>
              <w:t>(118220)</w:t>
            </w:r>
          </w:p>
        </w:tc>
        <w:tc>
          <w:tcPr>
            <w:tcW w:w="3602" w:type="dxa"/>
            <w:shd w:val="clear" w:color="auto" w:fill="E8F5F1"/>
          </w:tcPr>
          <w:p>
            <w:pPr>
              <w:pStyle w:val="TableParagraph"/>
              <w:spacing w:line="168" w:lineRule="exact"/>
              <w:ind w:left="357" w:right="53" w:hanging="112"/>
              <w:rPr>
                <w:sz w:val="15"/>
              </w:rPr>
            </w:pPr>
            <w:r>
              <w:rPr>
                <w:color w:val="231F20"/>
                <w:sz w:val="15"/>
              </w:rPr>
              <w:t>Commonest</w:t>
            </w:r>
            <w:r>
              <w:rPr>
                <w:color w:val="231F20"/>
                <w:spacing w:val="-2"/>
                <w:sz w:val="15"/>
              </w:rPr>
              <w:t> </w:t>
            </w:r>
            <w:r>
              <w:rPr>
                <w:color w:val="231F20"/>
                <w:sz w:val="15"/>
              </w:rPr>
              <w:t>form</w:t>
            </w:r>
            <w:r>
              <w:rPr>
                <w:color w:val="231F20"/>
                <w:spacing w:val="-2"/>
                <w:sz w:val="15"/>
              </w:rPr>
              <w:t> </w:t>
            </w:r>
            <w:r>
              <w:rPr>
                <w:color w:val="231F20"/>
                <w:sz w:val="15"/>
              </w:rPr>
              <w:t>recognized,</w:t>
            </w:r>
            <w:r>
              <w:rPr>
                <w:color w:val="231F20"/>
                <w:spacing w:val="-2"/>
                <w:sz w:val="15"/>
              </w:rPr>
              <w:t> </w:t>
            </w:r>
            <w:r>
              <w:rPr>
                <w:color w:val="231F20"/>
                <w:sz w:val="15"/>
              </w:rPr>
              <w:t>seen</w:t>
            </w:r>
            <w:r>
              <w:rPr>
                <w:color w:val="231F20"/>
                <w:spacing w:val="-2"/>
                <w:sz w:val="15"/>
              </w:rPr>
              <w:t> </w:t>
            </w:r>
            <w:r>
              <w:rPr>
                <w:color w:val="231F20"/>
                <w:sz w:val="15"/>
              </w:rPr>
              <w:t>in</w:t>
            </w:r>
            <w:r>
              <w:rPr>
                <w:color w:val="231F20"/>
                <w:spacing w:val="-2"/>
                <w:sz w:val="15"/>
              </w:rPr>
              <w:t> </w:t>
            </w:r>
            <w:r>
              <w:rPr>
                <w:color w:val="231F20"/>
                <w:sz w:val="15"/>
              </w:rPr>
              <w:t>all</w:t>
            </w:r>
            <w:r>
              <w:rPr>
                <w:color w:val="231F20"/>
                <w:spacing w:val="-2"/>
                <w:sz w:val="15"/>
              </w:rPr>
              <w:t> </w:t>
            </w:r>
            <w:r>
              <w:rPr>
                <w:color w:val="231F20"/>
                <w:sz w:val="15"/>
              </w:rPr>
              <w:t>ages (but more adults)</w:t>
            </w:r>
          </w:p>
        </w:tc>
        <w:tc>
          <w:tcPr>
            <w:tcW w:w="2599" w:type="dxa"/>
            <w:shd w:val="clear" w:color="auto" w:fill="E8F5F1"/>
          </w:tcPr>
          <w:p>
            <w:pPr>
              <w:pStyle w:val="TableParagraph"/>
              <w:rPr>
                <w:rFonts w:ascii="Times New Roman"/>
                <w:sz w:val="14"/>
              </w:rPr>
            </w:pPr>
          </w:p>
        </w:tc>
        <w:tc>
          <w:tcPr>
            <w:tcW w:w="1551" w:type="dxa"/>
            <w:shd w:val="clear" w:color="auto" w:fill="E8F5F1"/>
          </w:tcPr>
          <w:p>
            <w:pPr>
              <w:pStyle w:val="TableParagraph"/>
              <w:spacing w:line="168" w:lineRule="exact"/>
              <w:ind w:left="265" w:right="57" w:hanging="112"/>
              <w:rPr>
                <w:sz w:val="15"/>
              </w:rPr>
            </w:pPr>
            <w:r>
              <w:rPr>
                <w:i/>
                <w:color w:val="231F20"/>
                <w:sz w:val="15"/>
              </w:rPr>
              <w:t>PMP22</w:t>
            </w:r>
            <w:r>
              <w:rPr>
                <w:i/>
                <w:color w:val="231F20"/>
                <w:spacing w:val="-12"/>
                <w:sz w:val="15"/>
              </w:rPr>
              <w:t> </w:t>
            </w:r>
            <w:r>
              <w:rPr>
                <w:color w:val="231F20"/>
                <w:sz w:val="15"/>
              </w:rPr>
              <w:t>duplication or point</w:t>
            </w:r>
          </w:p>
        </w:tc>
      </w:tr>
      <w:tr>
        <w:trPr>
          <w:trHeight w:val="16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rPr>
                <w:rFonts w:ascii="Times New Roman"/>
                <w:sz w:val="10"/>
              </w:rPr>
            </w:pP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7" w:lineRule="exact"/>
              <w:ind w:left="265"/>
              <w:rPr>
                <w:sz w:val="15"/>
              </w:rPr>
            </w:pPr>
            <w:r>
              <w:rPr>
                <w:color w:val="231F20"/>
                <w:spacing w:val="-2"/>
                <w:sz w:val="15"/>
              </w:rPr>
              <w:t>mutation</w:t>
            </w:r>
          </w:p>
        </w:tc>
      </w:tr>
      <w:tr>
        <w:trPr>
          <w:trHeight w:val="169" w:hRule="atLeast"/>
        </w:trPr>
        <w:tc>
          <w:tcPr>
            <w:tcW w:w="2056" w:type="dxa"/>
            <w:shd w:val="clear" w:color="auto" w:fill="E8F5F1"/>
          </w:tcPr>
          <w:p>
            <w:pPr>
              <w:pStyle w:val="TableParagraph"/>
              <w:spacing w:line="149" w:lineRule="exact"/>
              <w:ind w:left="74"/>
              <w:rPr>
                <w:sz w:val="15"/>
              </w:rPr>
            </w:pPr>
            <w:r>
              <w:rPr>
                <w:color w:val="231F20"/>
                <w:sz w:val="15"/>
              </w:rPr>
              <w:t>1B</w:t>
            </w:r>
            <w:r>
              <w:rPr>
                <w:color w:val="231F20"/>
                <w:spacing w:val="7"/>
                <w:sz w:val="15"/>
              </w:rPr>
              <w:t> </w:t>
            </w:r>
            <w:r>
              <w:rPr>
                <w:color w:val="231F20"/>
                <w:spacing w:val="-2"/>
                <w:sz w:val="15"/>
              </w:rPr>
              <w:t>(118200)</w:t>
            </w:r>
          </w:p>
        </w:tc>
        <w:tc>
          <w:tcPr>
            <w:tcW w:w="3602" w:type="dxa"/>
            <w:shd w:val="clear" w:color="auto" w:fill="E8F5F1"/>
          </w:tcPr>
          <w:p>
            <w:pPr>
              <w:pStyle w:val="TableParagraph"/>
              <w:spacing w:line="149" w:lineRule="exact"/>
              <w:ind w:left="245"/>
              <w:rPr>
                <w:sz w:val="15"/>
              </w:rPr>
            </w:pPr>
            <w:r>
              <w:rPr>
                <w:color w:val="231F20"/>
                <w:w w:val="105"/>
                <w:sz w:val="15"/>
              </w:rPr>
              <w:t>Approximately</w:t>
            </w:r>
            <w:r>
              <w:rPr>
                <w:color w:val="231F20"/>
                <w:spacing w:val="-9"/>
                <w:w w:val="105"/>
                <w:sz w:val="15"/>
              </w:rPr>
              <w:t> </w:t>
            </w:r>
            <w:r>
              <w:rPr>
                <w:color w:val="231F20"/>
                <w:w w:val="105"/>
                <w:sz w:val="15"/>
              </w:rPr>
              <w:t>5%</w:t>
            </w:r>
            <w:r>
              <w:rPr>
                <w:color w:val="231F20"/>
                <w:spacing w:val="-9"/>
                <w:w w:val="105"/>
                <w:sz w:val="15"/>
              </w:rPr>
              <w:t> </w:t>
            </w:r>
            <w:r>
              <w:rPr>
                <w:color w:val="231F20"/>
                <w:w w:val="105"/>
                <w:sz w:val="15"/>
              </w:rPr>
              <w:t>of</w:t>
            </w:r>
            <w:r>
              <w:rPr>
                <w:color w:val="231F20"/>
                <w:spacing w:val="-8"/>
                <w:w w:val="105"/>
                <w:sz w:val="15"/>
              </w:rPr>
              <w:t> </w:t>
            </w:r>
            <w:r>
              <w:rPr>
                <w:color w:val="231F20"/>
                <w:w w:val="105"/>
                <w:sz w:val="15"/>
              </w:rPr>
              <w:t>CMT1</w:t>
            </w:r>
            <w:r>
              <w:rPr>
                <w:color w:val="231F20"/>
                <w:spacing w:val="-9"/>
                <w:w w:val="105"/>
                <w:sz w:val="15"/>
              </w:rPr>
              <w:t> </w:t>
            </w:r>
            <w:r>
              <w:rPr>
                <w:color w:val="231F20"/>
                <w:spacing w:val="-2"/>
                <w:w w:val="105"/>
                <w:sz w:val="15"/>
              </w:rPr>
              <w:t>group</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9" w:lineRule="exact"/>
              <w:ind w:left="152"/>
              <w:rPr>
                <w:i/>
                <w:sz w:val="15"/>
              </w:rPr>
            </w:pPr>
            <w:r>
              <w:rPr>
                <w:i/>
                <w:color w:val="231F20"/>
                <w:spacing w:val="-5"/>
                <w:w w:val="110"/>
                <w:sz w:val="15"/>
              </w:rPr>
              <w:t>MPZ</w:t>
            </w: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1C</w:t>
            </w:r>
            <w:r>
              <w:rPr>
                <w:color w:val="231F20"/>
                <w:spacing w:val="14"/>
                <w:sz w:val="15"/>
              </w:rPr>
              <w:t> </w:t>
            </w:r>
            <w:r>
              <w:rPr>
                <w:color w:val="231F20"/>
                <w:spacing w:val="-2"/>
                <w:sz w:val="15"/>
              </w:rPr>
              <w:t>(601098)</w:t>
            </w:r>
          </w:p>
        </w:tc>
        <w:tc>
          <w:tcPr>
            <w:tcW w:w="3602" w:type="dxa"/>
            <w:shd w:val="clear" w:color="auto" w:fill="E8F5F1"/>
          </w:tcPr>
          <w:p>
            <w:pPr>
              <w:pStyle w:val="TableParagraph"/>
              <w:spacing w:line="150" w:lineRule="exact"/>
              <w:ind w:left="245"/>
              <w:rPr>
                <w:sz w:val="15"/>
              </w:rPr>
            </w:pPr>
            <w:r>
              <w:rPr>
                <w:color w:val="231F20"/>
                <w:sz w:val="15"/>
              </w:rPr>
              <w:t>Childhood</w:t>
            </w:r>
            <w:r>
              <w:rPr>
                <w:color w:val="231F20"/>
                <w:spacing w:val="-7"/>
                <w:sz w:val="15"/>
              </w:rPr>
              <w:t> </w:t>
            </w:r>
            <w:r>
              <w:rPr>
                <w:color w:val="231F20"/>
                <w:sz w:val="15"/>
              </w:rPr>
              <w:t>onset,</w:t>
            </w:r>
            <w:r>
              <w:rPr>
                <w:color w:val="231F20"/>
                <w:spacing w:val="-7"/>
                <w:sz w:val="15"/>
              </w:rPr>
              <w:t> </w:t>
            </w:r>
            <w:r>
              <w:rPr>
                <w:color w:val="231F20"/>
                <w:sz w:val="15"/>
              </w:rPr>
              <w:t>starts</w:t>
            </w:r>
            <w:r>
              <w:rPr>
                <w:color w:val="231F20"/>
                <w:spacing w:val="-7"/>
                <w:sz w:val="15"/>
              </w:rPr>
              <w:t> </w:t>
            </w:r>
            <w:r>
              <w:rPr>
                <w:color w:val="231F20"/>
                <w:sz w:val="15"/>
              </w:rPr>
              <w:t>with</w:t>
            </w:r>
            <w:r>
              <w:rPr>
                <w:color w:val="231F20"/>
                <w:spacing w:val="-7"/>
                <w:sz w:val="15"/>
              </w:rPr>
              <w:t> </w:t>
            </w:r>
            <w:r>
              <w:rPr>
                <w:color w:val="231F20"/>
                <w:sz w:val="15"/>
              </w:rPr>
              <w:t>abnormal</w:t>
            </w:r>
            <w:r>
              <w:rPr>
                <w:color w:val="231F20"/>
                <w:spacing w:val="-7"/>
                <w:sz w:val="15"/>
              </w:rPr>
              <w:t> </w:t>
            </w:r>
            <w:r>
              <w:rPr>
                <w:color w:val="231F20"/>
                <w:spacing w:val="-2"/>
                <w:sz w:val="15"/>
              </w:rPr>
              <w:t>gait,</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2"/>
              <w:rPr>
                <w:i/>
                <w:sz w:val="15"/>
              </w:rPr>
            </w:pPr>
            <w:r>
              <w:rPr>
                <w:i/>
                <w:color w:val="231F20"/>
                <w:spacing w:val="-2"/>
                <w:sz w:val="15"/>
              </w:rPr>
              <w:t>LITAF</w:t>
            </w:r>
          </w:p>
        </w:tc>
      </w:tr>
      <w:tr>
        <w:trPr>
          <w:trHeight w:val="16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6" w:lineRule="exact"/>
              <w:ind w:left="357"/>
              <w:rPr>
                <w:sz w:val="15"/>
              </w:rPr>
            </w:pPr>
            <w:r>
              <w:rPr>
                <w:color w:val="231F20"/>
                <w:sz w:val="15"/>
              </w:rPr>
              <w:t>then</w:t>
            </w:r>
            <w:r>
              <w:rPr>
                <w:color w:val="231F20"/>
                <w:spacing w:val="-9"/>
                <w:sz w:val="15"/>
              </w:rPr>
              <w:t> </w:t>
            </w:r>
            <w:r>
              <w:rPr>
                <w:color w:val="231F20"/>
                <w:sz w:val="15"/>
              </w:rPr>
              <w:t>distal</w:t>
            </w:r>
            <w:r>
              <w:rPr>
                <w:color w:val="231F20"/>
                <w:spacing w:val="-9"/>
                <w:sz w:val="15"/>
              </w:rPr>
              <w:t> </w:t>
            </w:r>
            <w:r>
              <w:rPr>
                <w:color w:val="231F20"/>
                <w:sz w:val="15"/>
              </w:rPr>
              <w:t>weakness</w:t>
            </w:r>
            <w:r>
              <w:rPr>
                <w:color w:val="231F20"/>
                <w:spacing w:val="-9"/>
                <w:sz w:val="15"/>
              </w:rPr>
              <w:t> </w:t>
            </w:r>
            <w:r>
              <w:rPr>
                <w:color w:val="231F20"/>
                <w:sz w:val="15"/>
              </w:rPr>
              <w:t>and</w:t>
            </w:r>
            <w:r>
              <w:rPr>
                <w:color w:val="231F20"/>
                <w:spacing w:val="-9"/>
                <w:sz w:val="15"/>
              </w:rPr>
              <w:t> </w:t>
            </w:r>
            <w:r>
              <w:rPr>
                <w:color w:val="231F20"/>
                <w:sz w:val="15"/>
              </w:rPr>
              <w:t>wasting,</w:t>
            </w:r>
            <w:r>
              <w:rPr>
                <w:color w:val="231F20"/>
                <w:spacing w:val="-9"/>
                <w:sz w:val="15"/>
              </w:rPr>
              <w:t> </w:t>
            </w:r>
            <w:r>
              <w:rPr>
                <w:color w:val="231F20"/>
                <w:spacing w:val="-2"/>
                <w:sz w:val="15"/>
              </w:rPr>
              <w:t>occasional</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8" w:lineRule="exact"/>
              <w:ind w:right="163"/>
              <w:jc w:val="right"/>
              <w:rPr>
                <w:sz w:val="15"/>
              </w:rPr>
            </w:pPr>
            <w:r>
              <w:rPr>
                <w:color w:val="231F20"/>
                <w:spacing w:val="-4"/>
                <w:sz w:val="15"/>
              </w:rPr>
              <w:t>nerve</w:t>
            </w:r>
            <w:r>
              <w:rPr>
                <w:color w:val="231F20"/>
                <w:spacing w:val="7"/>
                <w:sz w:val="15"/>
              </w:rPr>
              <w:t> </w:t>
            </w:r>
            <w:r>
              <w:rPr>
                <w:color w:val="231F20"/>
                <w:spacing w:val="-4"/>
                <w:sz w:val="15"/>
              </w:rPr>
              <w:t>hypertrophy.</w:t>
            </w:r>
            <w:r>
              <w:rPr>
                <w:color w:val="231F20"/>
                <w:spacing w:val="7"/>
                <w:sz w:val="15"/>
              </w:rPr>
              <w:t> </w:t>
            </w:r>
            <w:r>
              <w:rPr>
                <w:color w:val="231F20"/>
                <w:spacing w:val="-4"/>
                <w:sz w:val="15"/>
              </w:rPr>
              <w:t>Rarely,</w:t>
            </w:r>
            <w:r>
              <w:rPr>
                <w:color w:val="231F20"/>
                <w:spacing w:val="7"/>
                <w:sz w:val="15"/>
              </w:rPr>
              <w:t> </w:t>
            </w:r>
            <w:r>
              <w:rPr>
                <w:color w:val="231F20"/>
                <w:spacing w:val="-4"/>
                <w:sz w:val="15"/>
              </w:rPr>
              <w:t>early-onset</w:t>
            </w:r>
            <w:r>
              <w:rPr>
                <w:color w:val="231F20"/>
                <w:spacing w:val="8"/>
                <w:sz w:val="15"/>
              </w:rPr>
              <w:t> </w:t>
            </w:r>
            <w:r>
              <w:rPr>
                <w:color w:val="231F20"/>
                <w:spacing w:val="-4"/>
                <w:sz w:val="15"/>
              </w:rPr>
              <w:t>hearing</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68"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9" w:lineRule="exact"/>
              <w:ind w:left="357"/>
              <w:rPr>
                <w:sz w:val="15"/>
              </w:rPr>
            </w:pPr>
            <w:r>
              <w:rPr>
                <w:color w:val="231F20"/>
                <w:spacing w:val="-4"/>
                <w:sz w:val="15"/>
              </w:rPr>
              <w:t>loss</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1D</w:t>
            </w:r>
            <w:r>
              <w:rPr>
                <w:color w:val="231F20"/>
                <w:spacing w:val="18"/>
                <w:sz w:val="15"/>
              </w:rPr>
              <w:t> </w:t>
            </w:r>
            <w:r>
              <w:rPr>
                <w:color w:val="231F20"/>
                <w:spacing w:val="-2"/>
                <w:sz w:val="15"/>
              </w:rPr>
              <w:t>(607678)</w:t>
            </w:r>
          </w:p>
        </w:tc>
        <w:tc>
          <w:tcPr>
            <w:tcW w:w="3602" w:type="dxa"/>
            <w:shd w:val="clear" w:color="auto" w:fill="E8F5F1"/>
          </w:tcPr>
          <w:p>
            <w:pPr>
              <w:pStyle w:val="TableParagraph"/>
              <w:spacing w:line="150" w:lineRule="exact"/>
              <w:ind w:left="245"/>
              <w:rPr>
                <w:sz w:val="15"/>
              </w:rPr>
            </w:pPr>
            <w:r>
              <w:rPr>
                <w:color w:val="231F20"/>
                <w:spacing w:val="-2"/>
                <w:sz w:val="15"/>
              </w:rPr>
              <w:t>Possible cranial nerve</w:t>
            </w:r>
            <w:r>
              <w:rPr>
                <w:color w:val="231F20"/>
                <w:spacing w:val="-1"/>
                <w:sz w:val="15"/>
              </w:rPr>
              <w:t> </w:t>
            </w:r>
            <w:r>
              <w:rPr>
                <w:color w:val="231F20"/>
                <w:spacing w:val="-2"/>
                <w:sz w:val="15"/>
              </w:rPr>
              <w:t>involvement. Late onset</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2"/>
              <w:rPr>
                <w:i/>
                <w:sz w:val="15"/>
              </w:rPr>
            </w:pPr>
            <w:r>
              <w:rPr>
                <w:i/>
                <w:color w:val="231F20"/>
                <w:spacing w:val="-4"/>
                <w:w w:val="105"/>
                <w:sz w:val="15"/>
              </w:rPr>
              <w:t>EGR2</w:t>
            </w:r>
          </w:p>
        </w:tc>
      </w:tr>
      <w:tr>
        <w:trPr>
          <w:trHeight w:val="16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7" w:lineRule="exact"/>
              <w:ind w:left="357"/>
              <w:rPr>
                <w:sz w:val="15"/>
              </w:rPr>
            </w:pPr>
            <w:r>
              <w:rPr>
                <w:color w:val="231F20"/>
                <w:sz w:val="15"/>
              </w:rPr>
              <w:t>in</w:t>
            </w:r>
            <w:r>
              <w:rPr>
                <w:color w:val="231F20"/>
                <w:spacing w:val="-4"/>
                <w:sz w:val="15"/>
              </w:rPr>
              <w:t> </w:t>
            </w:r>
            <w:r>
              <w:rPr>
                <w:color w:val="231F20"/>
                <w:sz w:val="15"/>
              </w:rPr>
              <w:t>childhood</w:t>
            </w:r>
            <w:r>
              <w:rPr>
                <w:color w:val="231F20"/>
                <w:spacing w:val="-4"/>
                <w:sz w:val="15"/>
              </w:rPr>
              <w:t> </w:t>
            </w:r>
            <w:r>
              <w:rPr>
                <w:color w:val="231F20"/>
                <w:sz w:val="15"/>
              </w:rPr>
              <w:t>or</w:t>
            </w:r>
            <w:r>
              <w:rPr>
                <w:color w:val="231F20"/>
                <w:spacing w:val="-3"/>
                <w:sz w:val="15"/>
              </w:rPr>
              <w:t> </w:t>
            </w:r>
            <w:r>
              <w:rPr>
                <w:color w:val="231F20"/>
                <w:sz w:val="15"/>
              </w:rPr>
              <w:t>early</w:t>
            </w:r>
            <w:r>
              <w:rPr>
                <w:color w:val="231F20"/>
                <w:spacing w:val="-4"/>
                <w:sz w:val="15"/>
              </w:rPr>
              <w:t> </w:t>
            </w:r>
            <w:r>
              <w:rPr>
                <w:color w:val="231F20"/>
                <w:spacing w:val="-2"/>
                <w:sz w:val="15"/>
              </w:rPr>
              <w:t>adulthood</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1E</w:t>
            </w:r>
            <w:r>
              <w:rPr>
                <w:color w:val="231F20"/>
                <w:spacing w:val="7"/>
                <w:sz w:val="15"/>
              </w:rPr>
              <w:t> </w:t>
            </w:r>
            <w:r>
              <w:rPr>
                <w:color w:val="231F20"/>
                <w:spacing w:val="-2"/>
                <w:sz w:val="15"/>
              </w:rPr>
              <w:t>(118300)</w:t>
            </w:r>
          </w:p>
        </w:tc>
        <w:tc>
          <w:tcPr>
            <w:tcW w:w="3602" w:type="dxa"/>
            <w:shd w:val="clear" w:color="auto" w:fill="E8F5F1"/>
          </w:tcPr>
          <w:p>
            <w:pPr>
              <w:pStyle w:val="TableParagraph"/>
              <w:spacing w:line="150" w:lineRule="exact"/>
              <w:ind w:left="245"/>
              <w:rPr>
                <w:sz w:val="15"/>
              </w:rPr>
            </w:pPr>
            <w:r>
              <w:rPr>
                <w:color w:val="231F20"/>
                <w:sz w:val="15"/>
              </w:rPr>
              <w:t>Associated</w:t>
            </w:r>
            <w:r>
              <w:rPr>
                <w:color w:val="231F20"/>
                <w:spacing w:val="-4"/>
                <w:sz w:val="15"/>
              </w:rPr>
              <w:t> </w:t>
            </w:r>
            <w:r>
              <w:rPr>
                <w:color w:val="231F20"/>
                <w:sz w:val="15"/>
              </w:rPr>
              <w:t>with</w:t>
            </w:r>
            <w:r>
              <w:rPr>
                <w:color w:val="231F20"/>
                <w:spacing w:val="-4"/>
                <w:sz w:val="15"/>
              </w:rPr>
              <w:t> </w:t>
            </w:r>
            <w:r>
              <w:rPr>
                <w:color w:val="231F20"/>
                <w:sz w:val="15"/>
              </w:rPr>
              <w:t>deafness</w:t>
            </w:r>
            <w:r>
              <w:rPr>
                <w:color w:val="231F20"/>
                <w:spacing w:val="-4"/>
                <w:sz w:val="15"/>
              </w:rPr>
              <w:t> </w:t>
            </w:r>
            <w:r>
              <w:rPr>
                <w:color w:val="231F20"/>
                <w:sz w:val="15"/>
              </w:rPr>
              <w:t>(29-</w:t>
            </w:r>
            <w:r>
              <w:rPr>
                <w:color w:val="231F20"/>
                <w:spacing w:val="-4"/>
                <w:sz w:val="15"/>
              </w:rPr>
              <w:t>45%)</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2"/>
              <w:rPr>
                <w:i/>
                <w:sz w:val="15"/>
              </w:rPr>
            </w:pPr>
            <w:r>
              <w:rPr>
                <w:i/>
                <w:color w:val="231F20"/>
                <w:spacing w:val="-2"/>
                <w:w w:val="105"/>
                <w:sz w:val="15"/>
              </w:rPr>
              <w:t>PMP22</w:t>
            </w:r>
          </w:p>
        </w:tc>
      </w:tr>
      <w:tr>
        <w:trPr>
          <w:trHeight w:val="168" w:hRule="atLeast"/>
        </w:trPr>
        <w:tc>
          <w:tcPr>
            <w:tcW w:w="2056" w:type="dxa"/>
            <w:shd w:val="clear" w:color="auto" w:fill="E8F5F1"/>
          </w:tcPr>
          <w:p>
            <w:pPr>
              <w:pStyle w:val="TableParagraph"/>
              <w:spacing w:line="149" w:lineRule="exact"/>
              <w:ind w:left="73"/>
              <w:rPr>
                <w:sz w:val="15"/>
              </w:rPr>
            </w:pPr>
            <w:r>
              <w:rPr>
                <w:color w:val="231F20"/>
                <w:sz w:val="15"/>
              </w:rPr>
              <w:t>1F</w:t>
            </w:r>
            <w:r>
              <w:rPr>
                <w:color w:val="231F20"/>
                <w:spacing w:val="4"/>
                <w:sz w:val="15"/>
              </w:rPr>
              <w:t> </w:t>
            </w:r>
            <w:r>
              <w:rPr>
                <w:color w:val="231F20"/>
                <w:spacing w:val="-2"/>
                <w:sz w:val="15"/>
              </w:rPr>
              <w:t>(607734)</w:t>
            </w:r>
          </w:p>
        </w:tc>
        <w:tc>
          <w:tcPr>
            <w:tcW w:w="3602" w:type="dxa"/>
            <w:shd w:val="clear" w:color="auto" w:fill="E8F5F1"/>
          </w:tcPr>
          <w:p>
            <w:pPr>
              <w:pStyle w:val="TableParagraph"/>
              <w:rPr>
                <w:rFonts w:ascii="Times New Roman"/>
                <w:sz w:val="10"/>
              </w:rPr>
            </w:pP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9" w:lineRule="exact"/>
              <w:ind w:left="152"/>
              <w:rPr>
                <w:i/>
                <w:sz w:val="15"/>
              </w:rPr>
            </w:pPr>
            <w:r>
              <w:rPr>
                <w:i/>
                <w:color w:val="231F20"/>
                <w:spacing w:val="-4"/>
                <w:w w:val="110"/>
                <w:sz w:val="15"/>
              </w:rPr>
              <w:t>NEFL</w:t>
            </w:r>
          </w:p>
        </w:tc>
      </w:tr>
      <w:tr>
        <w:trPr>
          <w:trHeight w:val="170" w:hRule="atLeast"/>
        </w:trPr>
        <w:tc>
          <w:tcPr>
            <w:tcW w:w="2056" w:type="dxa"/>
            <w:shd w:val="clear" w:color="auto" w:fill="E8F5F1"/>
          </w:tcPr>
          <w:p>
            <w:pPr>
              <w:pStyle w:val="TableParagraph"/>
              <w:spacing w:line="150" w:lineRule="exact"/>
              <w:ind w:left="73"/>
              <w:rPr>
                <w:sz w:val="15"/>
              </w:rPr>
            </w:pPr>
            <w:r>
              <w:rPr>
                <w:color w:val="231F20"/>
                <w:spacing w:val="-2"/>
                <w:sz w:val="15"/>
              </w:rPr>
              <w:t>Hereditary</w:t>
            </w:r>
            <w:r>
              <w:rPr>
                <w:color w:val="231F20"/>
                <w:spacing w:val="6"/>
                <w:sz w:val="15"/>
              </w:rPr>
              <w:t> </w:t>
            </w:r>
            <w:r>
              <w:rPr>
                <w:color w:val="231F20"/>
                <w:spacing w:val="-2"/>
                <w:sz w:val="15"/>
              </w:rPr>
              <w:t>neuropathy</w:t>
            </w:r>
            <w:r>
              <w:rPr>
                <w:color w:val="231F20"/>
                <w:spacing w:val="6"/>
                <w:sz w:val="15"/>
              </w:rPr>
              <w:t> </w:t>
            </w:r>
            <w:r>
              <w:rPr>
                <w:color w:val="231F20"/>
                <w:spacing w:val="-4"/>
                <w:sz w:val="15"/>
              </w:rPr>
              <w:t>with</w:t>
            </w:r>
          </w:p>
        </w:tc>
        <w:tc>
          <w:tcPr>
            <w:tcW w:w="3602" w:type="dxa"/>
            <w:shd w:val="clear" w:color="auto" w:fill="E8F5F1"/>
          </w:tcPr>
          <w:p>
            <w:pPr>
              <w:pStyle w:val="TableParagraph"/>
              <w:spacing w:line="150" w:lineRule="exact"/>
              <w:ind w:left="245"/>
              <w:rPr>
                <w:sz w:val="15"/>
              </w:rPr>
            </w:pPr>
            <w:r>
              <w:rPr>
                <w:color w:val="231F20"/>
                <w:sz w:val="15"/>
              </w:rPr>
              <w:t>Autosomal</w:t>
            </w:r>
            <w:r>
              <w:rPr>
                <w:color w:val="231F20"/>
                <w:spacing w:val="1"/>
                <w:sz w:val="15"/>
              </w:rPr>
              <w:t> </w:t>
            </w:r>
            <w:r>
              <w:rPr>
                <w:color w:val="231F20"/>
                <w:sz w:val="15"/>
              </w:rPr>
              <w:t>dominant.</w:t>
            </w:r>
            <w:r>
              <w:rPr>
                <w:color w:val="231F20"/>
                <w:spacing w:val="1"/>
                <w:sz w:val="15"/>
              </w:rPr>
              <w:t> </w:t>
            </w:r>
            <w:r>
              <w:rPr>
                <w:color w:val="231F20"/>
                <w:spacing w:val="-2"/>
                <w:sz w:val="15"/>
              </w:rPr>
              <w:t>Recurrent</w:t>
            </w:r>
          </w:p>
        </w:tc>
        <w:tc>
          <w:tcPr>
            <w:tcW w:w="2599" w:type="dxa"/>
            <w:shd w:val="clear" w:color="auto" w:fill="E8F5F1"/>
          </w:tcPr>
          <w:p>
            <w:pPr>
              <w:pStyle w:val="TableParagraph"/>
              <w:spacing w:line="150" w:lineRule="exact"/>
              <w:ind w:left="160"/>
              <w:rPr>
                <w:sz w:val="15"/>
              </w:rPr>
            </w:pPr>
            <w:r>
              <w:rPr>
                <w:color w:val="231F20"/>
                <w:sz w:val="15"/>
              </w:rPr>
              <w:t>Significant</w:t>
            </w:r>
            <w:r>
              <w:rPr>
                <w:color w:val="231F20"/>
                <w:spacing w:val="-5"/>
                <w:sz w:val="15"/>
              </w:rPr>
              <w:t> </w:t>
            </w:r>
            <w:r>
              <w:rPr>
                <w:color w:val="231F20"/>
                <w:sz w:val="15"/>
              </w:rPr>
              <w:t>slowing</w:t>
            </w:r>
            <w:r>
              <w:rPr>
                <w:color w:val="231F20"/>
                <w:spacing w:val="-4"/>
                <w:sz w:val="15"/>
              </w:rPr>
              <w:t> </w:t>
            </w:r>
            <w:r>
              <w:rPr>
                <w:color w:val="231F20"/>
                <w:sz w:val="15"/>
              </w:rPr>
              <w:t>of</w:t>
            </w:r>
            <w:r>
              <w:rPr>
                <w:color w:val="231F20"/>
                <w:spacing w:val="-4"/>
                <w:sz w:val="15"/>
              </w:rPr>
              <w:t> </w:t>
            </w:r>
            <w:r>
              <w:rPr>
                <w:color w:val="231F20"/>
                <w:sz w:val="15"/>
              </w:rPr>
              <w:t>motor</w:t>
            </w:r>
            <w:r>
              <w:rPr>
                <w:color w:val="231F20"/>
                <w:spacing w:val="-4"/>
                <w:sz w:val="15"/>
              </w:rPr>
              <w:t> </w:t>
            </w:r>
            <w:r>
              <w:rPr>
                <w:color w:val="231F20"/>
                <w:spacing w:val="-5"/>
                <w:sz w:val="15"/>
              </w:rPr>
              <w:t>and</w:t>
            </w:r>
          </w:p>
        </w:tc>
        <w:tc>
          <w:tcPr>
            <w:tcW w:w="1551" w:type="dxa"/>
            <w:shd w:val="clear" w:color="auto" w:fill="E8F5F1"/>
          </w:tcPr>
          <w:p>
            <w:pPr>
              <w:pStyle w:val="TableParagraph"/>
              <w:spacing w:line="150" w:lineRule="exact"/>
              <w:ind w:left="152"/>
              <w:rPr>
                <w:sz w:val="15"/>
              </w:rPr>
            </w:pPr>
            <w:r>
              <w:rPr>
                <w:i/>
                <w:color w:val="231F20"/>
                <w:sz w:val="15"/>
              </w:rPr>
              <w:t>PMP</w:t>
            </w:r>
            <w:r>
              <w:rPr>
                <w:i/>
                <w:color w:val="231F20"/>
                <w:spacing w:val="11"/>
                <w:sz w:val="15"/>
              </w:rPr>
              <w:t> </w:t>
            </w:r>
            <w:r>
              <w:rPr>
                <w:i/>
                <w:color w:val="231F20"/>
                <w:sz w:val="15"/>
              </w:rPr>
              <w:t>22</w:t>
            </w:r>
            <w:r>
              <w:rPr>
                <w:i/>
                <w:color w:val="231F20"/>
                <w:spacing w:val="12"/>
                <w:sz w:val="15"/>
              </w:rPr>
              <w:t> </w:t>
            </w:r>
            <w:r>
              <w:rPr>
                <w:color w:val="231F20"/>
                <w:spacing w:val="-2"/>
                <w:sz w:val="15"/>
              </w:rPr>
              <w:t>deletion</w:t>
            </w:r>
          </w:p>
        </w:tc>
      </w:tr>
      <w:tr>
        <w:trPr>
          <w:trHeight w:val="166" w:hRule="atLeast"/>
        </w:trPr>
        <w:tc>
          <w:tcPr>
            <w:tcW w:w="2056" w:type="dxa"/>
            <w:shd w:val="clear" w:color="auto" w:fill="E8F5F1"/>
          </w:tcPr>
          <w:p>
            <w:pPr>
              <w:pStyle w:val="TableParagraph"/>
              <w:spacing w:line="146" w:lineRule="exact"/>
              <w:ind w:left="185"/>
              <w:rPr>
                <w:sz w:val="15"/>
              </w:rPr>
            </w:pPr>
            <w:r>
              <w:rPr>
                <w:color w:val="231F20"/>
                <w:spacing w:val="-2"/>
                <w:sz w:val="15"/>
              </w:rPr>
              <w:t>liability</w:t>
            </w:r>
            <w:r>
              <w:rPr>
                <w:color w:val="231F20"/>
                <w:spacing w:val="-5"/>
                <w:sz w:val="15"/>
              </w:rPr>
              <w:t> </w:t>
            </w:r>
            <w:r>
              <w:rPr>
                <w:color w:val="231F20"/>
                <w:spacing w:val="-2"/>
                <w:sz w:val="15"/>
              </w:rPr>
              <w:t>to</w:t>
            </w:r>
            <w:r>
              <w:rPr>
                <w:color w:val="231F20"/>
                <w:spacing w:val="-5"/>
                <w:sz w:val="15"/>
              </w:rPr>
              <w:t> </w:t>
            </w:r>
            <w:r>
              <w:rPr>
                <w:color w:val="231F20"/>
                <w:spacing w:val="-2"/>
                <w:sz w:val="15"/>
              </w:rPr>
              <w:t>pressure</w:t>
            </w:r>
            <w:r>
              <w:rPr>
                <w:color w:val="231F20"/>
                <w:spacing w:val="-4"/>
                <w:sz w:val="15"/>
              </w:rPr>
              <w:t> </w:t>
            </w:r>
            <w:r>
              <w:rPr>
                <w:color w:val="231F20"/>
                <w:spacing w:val="-2"/>
                <w:sz w:val="15"/>
              </w:rPr>
              <w:t>palsies</w:t>
            </w:r>
          </w:p>
        </w:tc>
        <w:tc>
          <w:tcPr>
            <w:tcW w:w="3602" w:type="dxa"/>
            <w:shd w:val="clear" w:color="auto" w:fill="E8F5F1"/>
          </w:tcPr>
          <w:p>
            <w:pPr>
              <w:pStyle w:val="TableParagraph"/>
              <w:spacing w:line="146" w:lineRule="exact"/>
              <w:ind w:left="357"/>
              <w:rPr>
                <w:sz w:val="15"/>
              </w:rPr>
            </w:pPr>
            <w:r>
              <w:rPr>
                <w:color w:val="231F20"/>
                <w:sz w:val="15"/>
              </w:rPr>
              <w:t>mononeuropathy</w:t>
            </w:r>
            <w:r>
              <w:rPr>
                <w:color w:val="231F20"/>
                <w:spacing w:val="2"/>
                <w:sz w:val="15"/>
              </w:rPr>
              <w:t> </w:t>
            </w:r>
            <w:r>
              <w:rPr>
                <w:color w:val="231F20"/>
                <w:sz w:val="15"/>
              </w:rPr>
              <w:t>simplex</w:t>
            </w:r>
            <w:r>
              <w:rPr>
                <w:color w:val="231F20"/>
                <w:spacing w:val="3"/>
                <w:sz w:val="15"/>
              </w:rPr>
              <w:t> </w:t>
            </w:r>
            <w:r>
              <w:rPr>
                <w:color w:val="231F20"/>
                <w:sz w:val="15"/>
              </w:rPr>
              <w:t>or</w:t>
            </w:r>
            <w:r>
              <w:rPr>
                <w:color w:val="231F20"/>
                <w:spacing w:val="2"/>
                <w:sz w:val="15"/>
              </w:rPr>
              <w:t> </w:t>
            </w:r>
            <w:r>
              <w:rPr>
                <w:color w:val="231F20"/>
                <w:spacing w:val="-2"/>
                <w:sz w:val="15"/>
              </w:rPr>
              <w:t>multiplex</w:t>
            </w:r>
          </w:p>
        </w:tc>
        <w:tc>
          <w:tcPr>
            <w:tcW w:w="2599" w:type="dxa"/>
            <w:shd w:val="clear" w:color="auto" w:fill="E8F5F1"/>
          </w:tcPr>
          <w:p>
            <w:pPr>
              <w:pStyle w:val="TableParagraph"/>
              <w:spacing w:line="146" w:lineRule="exact"/>
              <w:ind w:left="272"/>
              <w:rPr>
                <w:sz w:val="15"/>
              </w:rPr>
            </w:pPr>
            <w:r>
              <w:rPr>
                <w:color w:val="231F20"/>
                <w:sz w:val="15"/>
              </w:rPr>
              <w:t>sensory</w:t>
            </w:r>
            <w:r>
              <w:rPr>
                <w:color w:val="231F20"/>
                <w:spacing w:val="-8"/>
                <w:sz w:val="15"/>
              </w:rPr>
              <w:t> </w:t>
            </w:r>
            <w:r>
              <w:rPr>
                <w:color w:val="231F20"/>
                <w:sz w:val="15"/>
              </w:rPr>
              <w:t>conduction</w:t>
            </w:r>
            <w:r>
              <w:rPr>
                <w:color w:val="231F20"/>
                <w:spacing w:val="-8"/>
                <w:sz w:val="15"/>
              </w:rPr>
              <w:t> </w:t>
            </w:r>
            <w:r>
              <w:rPr>
                <w:color w:val="231F20"/>
                <w:sz w:val="15"/>
              </w:rPr>
              <w:t>velocities</w:t>
            </w:r>
            <w:r>
              <w:rPr>
                <w:color w:val="231F20"/>
                <w:spacing w:val="-7"/>
                <w:sz w:val="15"/>
              </w:rPr>
              <w:t> </w:t>
            </w:r>
            <w:r>
              <w:rPr>
                <w:color w:val="231F20"/>
                <w:spacing w:val="-5"/>
                <w:sz w:val="15"/>
              </w:rPr>
              <w:t>in</w:t>
            </w:r>
          </w:p>
        </w:tc>
        <w:tc>
          <w:tcPr>
            <w:tcW w:w="1551" w:type="dxa"/>
            <w:shd w:val="clear" w:color="auto" w:fill="E8F5F1"/>
          </w:tcPr>
          <w:p>
            <w:pPr>
              <w:pStyle w:val="TableParagraph"/>
              <w:rPr>
                <w:rFonts w:ascii="Times New Roman"/>
                <w:sz w:val="10"/>
              </w:rPr>
            </w:pPr>
          </w:p>
        </w:tc>
      </w:tr>
      <w:tr>
        <w:trPr>
          <w:trHeight w:val="168" w:hRule="atLeast"/>
        </w:trPr>
        <w:tc>
          <w:tcPr>
            <w:tcW w:w="2056" w:type="dxa"/>
            <w:shd w:val="clear" w:color="auto" w:fill="E8F5F1"/>
          </w:tcPr>
          <w:p>
            <w:pPr>
              <w:pStyle w:val="TableParagraph"/>
              <w:spacing w:line="149" w:lineRule="exact"/>
              <w:ind w:left="185"/>
              <w:rPr>
                <w:sz w:val="15"/>
              </w:rPr>
            </w:pPr>
            <w:r>
              <w:rPr>
                <w:color w:val="231F20"/>
                <w:spacing w:val="-2"/>
                <w:sz w:val="15"/>
              </w:rPr>
              <w:t>(tomaculous</w:t>
            </w:r>
            <w:r>
              <w:rPr>
                <w:color w:val="231F20"/>
                <w:spacing w:val="6"/>
                <w:sz w:val="15"/>
              </w:rPr>
              <w:t> </w:t>
            </w:r>
            <w:r>
              <w:rPr>
                <w:color w:val="231F20"/>
                <w:spacing w:val="-2"/>
                <w:sz w:val="15"/>
              </w:rPr>
              <w:t>neuropathy)</w:t>
            </w:r>
          </w:p>
        </w:tc>
        <w:tc>
          <w:tcPr>
            <w:tcW w:w="3602" w:type="dxa"/>
            <w:shd w:val="clear" w:color="auto" w:fill="E8F5F1"/>
          </w:tcPr>
          <w:p>
            <w:pPr>
              <w:pStyle w:val="TableParagraph"/>
              <w:spacing w:line="149" w:lineRule="exact"/>
              <w:ind w:left="357"/>
              <w:rPr>
                <w:sz w:val="15"/>
              </w:rPr>
            </w:pPr>
            <w:r>
              <w:rPr>
                <w:color w:val="231F20"/>
                <w:spacing w:val="-2"/>
                <w:sz w:val="15"/>
              </w:rPr>
              <w:t>frequently</w:t>
            </w:r>
            <w:r>
              <w:rPr>
                <w:color w:val="231F20"/>
                <w:spacing w:val="-6"/>
                <w:sz w:val="15"/>
              </w:rPr>
              <w:t> </w:t>
            </w:r>
            <w:r>
              <w:rPr>
                <w:color w:val="231F20"/>
                <w:spacing w:val="-2"/>
                <w:sz w:val="15"/>
              </w:rPr>
              <w:t>related</w:t>
            </w:r>
            <w:r>
              <w:rPr>
                <w:color w:val="231F20"/>
                <w:spacing w:val="-5"/>
                <w:sz w:val="15"/>
              </w:rPr>
              <w:t> </w:t>
            </w:r>
            <w:r>
              <w:rPr>
                <w:color w:val="231F20"/>
                <w:spacing w:val="-2"/>
                <w:sz w:val="15"/>
              </w:rPr>
              <w:t>to</w:t>
            </w:r>
            <w:r>
              <w:rPr>
                <w:color w:val="231F20"/>
                <w:spacing w:val="-6"/>
                <w:sz w:val="15"/>
              </w:rPr>
              <w:t> </w:t>
            </w:r>
            <w:r>
              <w:rPr>
                <w:color w:val="231F20"/>
                <w:spacing w:val="-2"/>
                <w:sz w:val="15"/>
              </w:rPr>
              <w:t>trauma</w:t>
            </w:r>
          </w:p>
        </w:tc>
        <w:tc>
          <w:tcPr>
            <w:tcW w:w="2599" w:type="dxa"/>
            <w:shd w:val="clear" w:color="auto" w:fill="E8F5F1"/>
          </w:tcPr>
          <w:p>
            <w:pPr>
              <w:pStyle w:val="TableParagraph"/>
              <w:spacing w:line="149" w:lineRule="exact"/>
              <w:ind w:left="272"/>
              <w:rPr>
                <w:sz w:val="15"/>
              </w:rPr>
            </w:pPr>
            <w:r>
              <w:rPr>
                <w:color w:val="231F20"/>
                <w:spacing w:val="-4"/>
                <w:sz w:val="15"/>
              </w:rPr>
              <w:t>clinically</w:t>
            </w:r>
            <w:r>
              <w:rPr>
                <w:color w:val="231F20"/>
                <w:spacing w:val="2"/>
                <w:sz w:val="15"/>
              </w:rPr>
              <w:t> </w:t>
            </w:r>
            <w:r>
              <w:rPr>
                <w:color w:val="231F20"/>
                <w:spacing w:val="-4"/>
                <w:sz w:val="15"/>
              </w:rPr>
              <w:t>affected</w:t>
            </w:r>
            <w:r>
              <w:rPr>
                <w:color w:val="231F20"/>
                <w:spacing w:val="3"/>
                <w:sz w:val="15"/>
              </w:rPr>
              <w:t> </w:t>
            </w:r>
            <w:r>
              <w:rPr>
                <w:color w:val="231F20"/>
                <w:spacing w:val="-4"/>
                <w:sz w:val="15"/>
              </w:rPr>
              <w:t>nerves</w:t>
            </w:r>
            <w:r>
              <w:rPr>
                <w:color w:val="231F20"/>
                <w:spacing w:val="2"/>
                <w:sz w:val="15"/>
              </w:rPr>
              <w:t> </w:t>
            </w:r>
            <w:r>
              <w:rPr>
                <w:color w:val="231F20"/>
                <w:spacing w:val="-5"/>
                <w:sz w:val="15"/>
              </w:rPr>
              <w:t>but</w:t>
            </w:r>
          </w:p>
        </w:tc>
        <w:tc>
          <w:tcPr>
            <w:tcW w:w="1551"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spacing w:line="148" w:lineRule="exact"/>
              <w:ind w:left="185"/>
              <w:rPr>
                <w:sz w:val="15"/>
              </w:rPr>
            </w:pPr>
            <w:r>
              <w:rPr>
                <w:color w:val="231F20"/>
                <w:spacing w:val="-2"/>
                <w:sz w:val="15"/>
              </w:rPr>
              <w:t>(162500)</w:t>
            </w:r>
          </w:p>
        </w:tc>
        <w:tc>
          <w:tcPr>
            <w:tcW w:w="3602" w:type="dxa"/>
            <w:shd w:val="clear" w:color="auto" w:fill="E8F5F1"/>
          </w:tcPr>
          <w:p>
            <w:pPr>
              <w:pStyle w:val="TableParagraph"/>
              <w:rPr>
                <w:rFonts w:ascii="Times New Roman"/>
                <w:sz w:val="10"/>
              </w:rPr>
            </w:pPr>
          </w:p>
        </w:tc>
        <w:tc>
          <w:tcPr>
            <w:tcW w:w="2599" w:type="dxa"/>
            <w:shd w:val="clear" w:color="auto" w:fill="E8F5F1"/>
          </w:tcPr>
          <w:p>
            <w:pPr>
              <w:pStyle w:val="TableParagraph"/>
              <w:spacing w:line="148" w:lineRule="exact"/>
              <w:ind w:left="272"/>
              <w:rPr>
                <w:sz w:val="15"/>
              </w:rPr>
            </w:pPr>
            <w:r>
              <w:rPr>
                <w:color w:val="231F20"/>
                <w:sz w:val="15"/>
              </w:rPr>
              <w:t>also</w:t>
            </w:r>
            <w:r>
              <w:rPr>
                <w:color w:val="231F20"/>
                <w:spacing w:val="-11"/>
                <w:sz w:val="15"/>
              </w:rPr>
              <w:t> </w:t>
            </w:r>
            <w:r>
              <w:rPr>
                <w:color w:val="231F20"/>
                <w:sz w:val="15"/>
              </w:rPr>
              <w:t>in</w:t>
            </w:r>
            <w:r>
              <w:rPr>
                <w:color w:val="231F20"/>
                <w:spacing w:val="-11"/>
                <w:sz w:val="15"/>
              </w:rPr>
              <w:t> </w:t>
            </w:r>
            <w:r>
              <w:rPr>
                <w:color w:val="231F20"/>
                <w:sz w:val="15"/>
              </w:rPr>
              <w:t>unaffected</w:t>
            </w:r>
            <w:r>
              <w:rPr>
                <w:color w:val="231F20"/>
                <w:spacing w:val="-11"/>
                <w:sz w:val="15"/>
              </w:rPr>
              <w:t> </w:t>
            </w:r>
            <w:r>
              <w:rPr>
                <w:color w:val="231F20"/>
                <w:spacing w:val="-2"/>
                <w:sz w:val="15"/>
              </w:rPr>
              <w:t>nerves</w:t>
            </w:r>
          </w:p>
        </w:tc>
        <w:tc>
          <w:tcPr>
            <w:tcW w:w="1551" w:type="dxa"/>
            <w:shd w:val="clear" w:color="auto" w:fill="E8F5F1"/>
          </w:tcPr>
          <w:p>
            <w:pPr>
              <w:pStyle w:val="TableParagraph"/>
              <w:rPr>
                <w:rFonts w:ascii="Times New Roman"/>
                <w:sz w:val="10"/>
              </w:rPr>
            </w:pPr>
          </w:p>
        </w:tc>
      </w:tr>
      <w:tr>
        <w:trPr>
          <w:trHeight w:val="541" w:hRule="atLeast"/>
        </w:trPr>
        <w:tc>
          <w:tcPr>
            <w:tcW w:w="2056" w:type="dxa"/>
            <w:tcBorders>
              <w:bottom w:val="single" w:sz="4" w:space="0" w:color="FFFFFF"/>
            </w:tcBorders>
            <w:shd w:val="clear" w:color="auto" w:fill="E8F5F1"/>
          </w:tcPr>
          <w:p>
            <w:pPr>
              <w:pStyle w:val="TableParagraph"/>
              <w:spacing w:line="230" w:lineRule="auto" w:before="1"/>
              <w:ind w:left="73" w:right="222"/>
              <w:rPr>
                <w:sz w:val="15"/>
              </w:rPr>
            </w:pPr>
            <w:r>
              <w:rPr>
                <w:color w:val="231F20"/>
                <w:sz w:val="15"/>
              </w:rPr>
              <w:t>Slowed NCVs </w:t>
            </w:r>
            <w:r>
              <w:rPr>
                <w:color w:val="231F20"/>
                <w:spacing w:val="-2"/>
                <w:sz w:val="15"/>
              </w:rPr>
              <w:t>Asymptomatic</w:t>
            </w:r>
          </w:p>
        </w:tc>
        <w:tc>
          <w:tcPr>
            <w:tcW w:w="3602" w:type="dxa"/>
            <w:tcBorders>
              <w:bottom w:val="single" w:sz="4" w:space="0" w:color="FFFFFF"/>
            </w:tcBorders>
            <w:shd w:val="clear" w:color="auto" w:fill="E8F5F1"/>
          </w:tcPr>
          <w:p>
            <w:pPr>
              <w:pStyle w:val="TableParagraph"/>
              <w:spacing w:line="230" w:lineRule="auto" w:before="1"/>
              <w:ind w:left="356" w:right="53" w:hanging="112"/>
              <w:rPr>
                <w:sz w:val="15"/>
              </w:rPr>
            </w:pPr>
            <w:r>
              <w:rPr>
                <w:color w:val="231F20"/>
                <w:sz w:val="15"/>
              </w:rPr>
              <w:t>Often</w:t>
            </w:r>
            <w:r>
              <w:rPr>
                <w:color w:val="231F20"/>
                <w:spacing w:val="-12"/>
                <w:sz w:val="15"/>
              </w:rPr>
              <w:t> </w:t>
            </w:r>
            <w:r>
              <w:rPr>
                <w:color w:val="231F20"/>
                <w:sz w:val="15"/>
              </w:rPr>
              <w:t>a</w:t>
            </w:r>
            <w:r>
              <w:rPr>
                <w:color w:val="231F20"/>
                <w:spacing w:val="-11"/>
                <w:sz w:val="15"/>
              </w:rPr>
              <w:t> </w:t>
            </w:r>
            <w:r>
              <w:rPr>
                <w:color w:val="231F20"/>
                <w:sz w:val="15"/>
              </w:rPr>
              <w:t>miscellaneous</w:t>
            </w:r>
            <w:r>
              <w:rPr>
                <w:color w:val="231F20"/>
                <w:spacing w:val="-11"/>
                <w:sz w:val="15"/>
              </w:rPr>
              <w:t> </w:t>
            </w:r>
            <w:r>
              <w:rPr>
                <w:color w:val="231F20"/>
                <w:sz w:val="15"/>
              </w:rPr>
              <w:t>group.</w:t>
            </w:r>
            <w:r>
              <w:rPr>
                <w:color w:val="231F20"/>
                <w:spacing w:val="-12"/>
                <w:sz w:val="15"/>
              </w:rPr>
              <w:t> </w:t>
            </w:r>
            <w:r>
              <w:rPr>
                <w:color w:val="231F20"/>
                <w:sz w:val="15"/>
              </w:rPr>
              <w:t>Incidentally detected with no clinical symptoms.</w:t>
            </w:r>
          </w:p>
          <w:p>
            <w:pPr>
              <w:pStyle w:val="TableParagraph"/>
              <w:spacing w:line="170" w:lineRule="exact"/>
              <w:ind w:left="356"/>
              <w:rPr>
                <w:sz w:val="15"/>
              </w:rPr>
            </w:pPr>
            <w:r>
              <w:rPr>
                <w:color w:val="231F20"/>
                <w:sz w:val="15"/>
              </w:rPr>
              <w:t>Autosomal</w:t>
            </w:r>
            <w:r>
              <w:rPr>
                <w:color w:val="231F20"/>
                <w:spacing w:val="14"/>
                <w:sz w:val="15"/>
              </w:rPr>
              <w:t> </w:t>
            </w:r>
            <w:r>
              <w:rPr>
                <w:color w:val="231F20"/>
                <w:spacing w:val="-2"/>
                <w:sz w:val="15"/>
              </w:rPr>
              <w:t>dominant</w:t>
            </w:r>
          </w:p>
        </w:tc>
        <w:tc>
          <w:tcPr>
            <w:tcW w:w="2599" w:type="dxa"/>
            <w:tcBorders>
              <w:bottom w:val="single" w:sz="4" w:space="0" w:color="FFFFFF"/>
            </w:tcBorders>
            <w:shd w:val="clear" w:color="auto" w:fill="E8F5F1"/>
          </w:tcPr>
          <w:p>
            <w:pPr>
              <w:pStyle w:val="TableParagraph"/>
              <w:spacing w:line="230" w:lineRule="auto" w:before="1"/>
              <w:ind w:left="272" w:hanging="112"/>
              <w:rPr>
                <w:sz w:val="15"/>
              </w:rPr>
            </w:pPr>
            <w:r>
              <w:rPr>
                <w:color w:val="231F20"/>
                <w:sz w:val="15"/>
              </w:rPr>
              <w:t>Moderately</w:t>
            </w:r>
            <w:r>
              <w:rPr>
                <w:color w:val="231F20"/>
                <w:spacing w:val="-7"/>
                <w:sz w:val="15"/>
              </w:rPr>
              <w:t> </w:t>
            </w:r>
            <w:r>
              <w:rPr>
                <w:color w:val="231F20"/>
                <w:sz w:val="15"/>
              </w:rPr>
              <w:t>slowed</w:t>
            </w:r>
            <w:r>
              <w:rPr>
                <w:color w:val="231F20"/>
                <w:spacing w:val="-7"/>
                <w:sz w:val="15"/>
              </w:rPr>
              <w:t> </w:t>
            </w:r>
            <w:r>
              <w:rPr>
                <w:color w:val="231F20"/>
                <w:sz w:val="15"/>
              </w:rPr>
              <w:t>conduction </w:t>
            </w:r>
            <w:r>
              <w:rPr>
                <w:color w:val="231F20"/>
                <w:spacing w:val="-2"/>
                <w:sz w:val="15"/>
              </w:rPr>
              <w:t>velocities</w:t>
            </w:r>
          </w:p>
        </w:tc>
        <w:tc>
          <w:tcPr>
            <w:tcW w:w="1551" w:type="dxa"/>
            <w:tcBorders>
              <w:bottom w:val="single" w:sz="4" w:space="0" w:color="FFFFFF"/>
            </w:tcBorders>
            <w:shd w:val="clear" w:color="auto" w:fill="E8F5F1"/>
          </w:tcPr>
          <w:p>
            <w:pPr>
              <w:pStyle w:val="TableParagraph"/>
              <w:spacing w:line="170" w:lineRule="exact"/>
              <w:ind w:left="152"/>
              <w:rPr>
                <w:i/>
                <w:sz w:val="15"/>
              </w:rPr>
            </w:pPr>
            <w:r>
              <w:rPr>
                <w:i/>
                <w:color w:val="231F20"/>
                <w:spacing w:val="-2"/>
                <w:w w:val="105"/>
                <w:sz w:val="15"/>
              </w:rPr>
              <w:t>ARHGEF10</w:t>
            </w:r>
          </w:p>
        </w:tc>
      </w:tr>
      <w:tr>
        <w:trPr>
          <w:trHeight w:val="217" w:hRule="atLeast"/>
        </w:trPr>
        <w:tc>
          <w:tcPr>
            <w:tcW w:w="2056" w:type="dxa"/>
            <w:tcBorders>
              <w:top w:val="single" w:sz="4" w:space="0" w:color="FFFFFF"/>
            </w:tcBorders>
            <w:shd w:val="clear" w:color="auto" w:fill="E8F5F1"/>
          </w:tcPr>
          <w:p>
            <w:pPr>
              <w:pStyle w:val="TableParagraph"/>
              <w:spacing w:line="155" w:lineRule="exact" w:before="43"/>
              <w:ind w:left="74"/>
              <w:rPr>
                <w:sz w:val="15"/>
              </w:rPr>
            </w:pPr>
            <w:r>
              <w:rPr>
                <w:color w:val="231F20"/>
                <w:w w:val="110"/>
                <w:sz w:val="15"/>
              </w:rPr>
              <w:t>CMT2</w:t>
            </w:r>
            <w:r>
              <w:rPr>
                <w:color w:val="231F20"/>
                <w:spacing w:val="10"/>
                <w:w w:val="110"/>
                <w:sz w:val="15"/>
              </w:rPr>
              <w:t> </w:t>
            </w:r>
            <w:r>
              <w:rPr>
                <w:color w:val="231F20"/>
                <w:spacing w:val="-2"/>
                <w:w w:val="110"/>
                <w:sz w:val="15"/>
              </w:rPr>
              <w:t>(AXONAL)</w:t>
            </w:r>
          </w:p>
        </w:tc>
        <w:tc>
          <w:tcPr>
            <w:tcW w:w="3602" w:type="dxa"/>
            <w:tcBorders>
              <w:top w:val="single" w:sz="4" w:space="0" w:color="FFFFFF"/>
            </w:tcBorders>
            <w:shd w:val="clear" w:color="auto" w:fill="E8F5F1"/>
          </w:tcPr>
          <w:p>
            <w:pPr>
              <w:pStyle w:val="TableParagraph"/>
              <w:rPr>
                <w:rFonts w:ascii="Times New Roman"/>
                <w:sz w:val="14"/>
              </w:rPr>
            </w:pPr>
          </w:p>
        </w:tc>
        <w:tc>
          <w:tcPr>
            <w:tcW w:w="2599" w:type="dxa"/>
            <w:tcBorders>
              <w:top w:val="single" w:sz="4" w:space="0" w:color="FFFFFF"/>
            </w:tcBorders>
            <w:shd w:val="clear" w:color="auto" w:fill="E8F5F1"/>
          </w:tcPr>
          <w:p>
            <w:pPr>
              <w:pStyle w:val="TableParagraph"/>
              <w:rPr>
                <w:rFonts w:ascii="Times New Roman"/>
                <w:sz w:val="14"/>
              </w:rPr>
            </w:pPr>
          </w:p>
        </w:tc>
        <w:tc>
          <w:tcPr>
            <w:tcW w:w="1551" w:type="dxa"/>
            <w:tcBorders>
              <w:top w:val="single" w:sz="4" w:space="0" w:color="FFFFFF"/>
            </w:tcBorders>
            <w:shd w:val="clear" w:color="auto" w:fill="E8F5F1"/>
          </w:tcPr>
          <w:p>
            <w:pPr>
              <w:pStyle w:val="TableParagraph"/>
              <w:rPr>
                <w:rFonts w:ascii="Times New Roman"/>
                <w:sz w:val="14"/>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CMT2</w:t>
            </w:r>
            <w:r>
              <w:rPr>
                <w:color w:val="231F20"/>
                <w:spacing w:val="21"/>
                <w:sz w:val="15"/>
              </w:rPr>
              <w:t> </w:t>
            </w:r>
            <w:r>
              <w:rPr>
                <w:color w:val="231F20"/>
                <w:sz w:val="15"/>
              </w:rPr>
              <w:t>A-L</w:t>
            </w:r>
            <w:r>
              <w:rPr>
                <w:color w:val="231F20"/>
                <w:spacing w:val="22"/>
                <w:sz w:val="15"/>
              </w:rPr>
              <w:t> </w:t>
            </w:r>
            <w:r>
              <w:rPr>
                <w:color w:val="231F20"/>
                <w:sz w:val="15"/>
              </w:rPr>
              <w:t>(HMSN</w:t>
            </w:r>
            <w:r>
              <w:rPr>
                <w:color w:val="231F20"/>
                <w:spacing w:val="22"/>
                <w:sz w:val="15"/>
              </w:rPr>
              <w:t> </w:t>
            </w:r>
            <w:r>
              <w:rPr>
                <w:color w:val="231F20"/>
                <w:sz w:val="15"/>
              </w:rPr>
              <w:t>type</w:t>
            </w:r>
            <w:r>
              <w:rPr>
                <w:color w:val="231F20"/>
                <w:spacing w:val="22"/>
                <w:sz w:val="15"/>
              </w:rPr>
              <w:t> </w:t>
            </w:r>
            <w:r>
              <w:rPr>
                <w:color w:val="231F20"/>
                <w:spacing w:val="-5"/>
                <w:sz w:val="15"/>
              </w:rPr>
              <w:t>II)</w:t>
            </w:r>
          </w:p>
        </w:tc>
        <w:tc>
          <w:tcPr>
            <w:tcW w:w="3602" w:type="dxa"/>
            <w:shd w:val="clear" w:color="auto" w:fill="E8F5F1"/>
          </w:tcPr>
          <w:p>
            <w:pPr>
              <w:pStyle w:val="TableParagraph"/>
              <w:spacing w:line="151" w:lineRule="exact"/>
              <w:ind w:left="245"/>
              <w:rPr>
                <w:sz w:val="15"/>
              </w:rPr>
            </w:pPr>
            <w:r>
              <w:rPr>
                <w:color w:val="231F20"/>
                <w:sz w:val="15"/>
              </w:rPr>
              <w:t>Autosomal</w:t>
            </w:r>
            <w:r>
              <w:rPr>
                <w:color w:val="231F20"/>
                <w:spacing w:val="-4"/>
                <w:sz w:val="15"/>
              </w:rPr>
              <w:t> </w:t>
            </w:r>
            <w:r>
              <w:rPr>
                <w:color w:val="231F20"/>
                <w:sz w:val="15"/>
              </w:rPr>
              <w:t>dominant</w:t>
            </w:r>
            <w:r>
              <w:rPr>
                <w:color w:val="231F20"/>
                <w:spacing w:val="-3"/>
                <w:sz w:val="15"/>
              </w:rPr>
              <w:t> </w:t>
            </w:r>
            <w:r>
              <w:rPr>
                <w:color w:val="231F20"/>
                <w:sz w:val="15"/>
              </w:rPr>
              <w:t>(A,</w:t>
            </w:r>
            <w:r>
              <w:rPr>
                <w:color w:val="231F20"/>
                <w:spacing w:val="-3"/>
                <w:sz w:val="15"/>
              </w:rPr>
              <w:t> </w:t>
            </w:r>
            <w:r>
              <w:rPr>
                <w:color w:val="231F20"/>
                <w:sz w:val="15"/>
              </w:rPr>
              <w:t>B,</w:t>
            </w:r>
            <w:r>
              <w:rPr>
                <w:color w:val="231F20"/>
                <w:spacing w:val="-4"/>
                <w:sz w:val="15"/>
              </w:rPr>
              <w:t> </w:t>
            </w:r>
            <w:r>
              <w:rPr>
                <w:color w:val="231F20"/>
                <w:sz w:val="15"/>
              </w:rPr>
              <w:t>D,</w:t>
            </w:r>
            <w:r>
              <w:rPr>
                <w:color w:val="231F20"/>
                <w:spacing w:val="-3"/>
                <w:sz w:val="15"/>
              </w:rPr>
              <w:t> </w:t>
            </w:r>
            <w:r>
              <w:rPr>
                <w:color w:val="231F20"/>
                <w:sz w:val="15"/>
              </w:rPr>
              <w:t>E,</w:t>
            </w:r>
            <w:r>
              <w:rPr>
                <w:color w:val="231F20"/>
                <w:spacing w:val="-3"/>
                <w:sz w:val="15"/>
              </w:rPr>
              <w:t> </w:t>
            </w:r>
            <w:r>
              <w:rPr>
                <w:color w:val="231F20"/>
                <w:sz w:val="15"/>
              </w:rPr>
              <w:t>F,</w:t>
            </w:r>
            <w:r>
              <w:rPr>
                <w:color w:val="231F20"/>
                <w:spacing w:val="-4"/>
                <w:sz w:val="15"/>
              </w:rPr>
              <w:t> </w:t>
            </w:r>
            <w:r>
              <w:rPr>
                <w:color w:val="231F20"/>
                <w:sz w:val="15"/>
              </w:rPr>
              <w:t>G,</w:t>
            </w:r>
            <w:r>
              <w:rPr>
                <w:color w:val="231F20"/>
                <w:spacing w:val="-3"/>
                <w:sz w:val="15"/>
              </w:rPr>
              <w:t> </w:t>
            </w:r>
            <w:r>
              <w:rPr>
                <w:color w:val="231F20"/>
                <w:spacing w:val="-5"/>
                <w:sz w:val="15"/>
              </w:rPr>
              <w:t>I)</w:t>
            </w:r>
          </w:p>
        </w:tc>
        <w:tc>
          <w:tcPr>
            <w:tcW w:w="2599" w:type="dxa"/>
            <w:shd w:val="clear" w:color="auto" w:fill="E8F5F1"/>
          </w:tcPr>
          <w:p>
            <w:pPr>
              <w:pStyle w:val="TableParagraph"/>
              <w:spacing w:line="151" w:lineRule="exact"/>
              <w:ind w:left="161"/>
              <w:rPr>
                <w:sz w:val="15"/>
              </w:rPr>
            </w:pPr>
            <w:r>
              <w:rPr>
                <w:color w:val="231F20"/>
                <w:sz w:val="15"/>
              </w:rPr>
              <w:t>Nerve</w:t>
            </w:r>
            <w:r>
              <w:rPr>
                <w:color w:val="231F20"/>
                <w:spacing w:val="4"/>
                <w:sz w:val="15"/>
              </w:rPr>
              <w:t> </w:t>
            </w:r>
            <w:r>
              <w:rPr>
                <w:color w:val="231F20"/>
                <w:sz w:val="15"/>
              </w:rPr>
              <w:t>conduction</w:t>
            </w:r>
            <w:r>
              <w:rPr>
                <w:color w:val="231F20"/>
                <w:spacing w:val="5"/>
                <w:sz w:val="15"/>
              </w:rPr>
              <w:t> </w:t>
            </w:r>
            <w:r>
              <w:rPr>
                <w:color w:val="231F20"/>
                <w:spacing w:val="-2"/>
                <w:sz w:val="15"/>
              </w:rPr>
              <w:t>velocities</w:t>
            </w:r>
          </w:p>
        </w:tc>
        <w:tc>
          <w:tcPr>
            <w:tcW w:w="1551" w:type="dxa"/>
            <w:shd w:val="clear" w:color="auto" w:fill="E8F5F1"/>
          </w:tcPr>
          <w:p>
            <w:pPr>
              <w:pStyle w:val="TableParagraph"/>
              <w:rPr>
                <w:rFonts w:ascii="Times New Roman"/>
                <w:sz w:val="10"/>
              </w:rPr>
            </w:pPr>
          </w:p>
        </w:tc>
      </w:tr>
      <w:tr>
        <w:trPr>
          <w:trHeight w:val="162"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3" w:lineRule="exact"/>
              <w:ind w:left="245"/>
              <w:rPr>
                <w:sz w:val="15"/>
              </w:rPr>
            </w:pPr>
            <w:r>
              <w:rPr>
                <w:color w:val="231F20"/>
                <w:sz w:val="15"/>
              </w:rPr>
              <w:t>Autosomal</w:t>
            </w:r>
            <w:r>
              <w:rPr>
                <w:color w:val="231F20"/>
                <w:spacing w:val="-9"/>
                <w:sz w:val="15"/>
              </w:rPr>
              <w:t> </w:t>
            </w:r>
            <w:r>
              <w:rPr>
                <w:color w:val="231F20"/>
                <w:sz w:val="15"/>
              </w:rPr>
              <w:t>recessive</w:t>
            </w:r>
            <w:r>
              <w:rPr>
                <w:color w:val="231F20"/>
                <w:spacing w:val="-9"/>
                <w:sz w:val="15"/>
              </w:rPr>
              <w:t> </w:t>
            </w:r>
            <w:r>
              <w:rPr>
                <w:color w:val="231F20"/>
                <w:sz w:val="15"/>
              </w:rPr>
              <w:t>(BI,</w:t>
            </w:r>
            <w:r>
              <w:rPr>
                <w:color w:val="231F20"/>
                <w:spacing w:val="-9"/>
                <w:sz w:val="15"/>
              </w:rPr>
              <w:t> </w:t>
            </w:r>
            <w:r>
              <w:rPr>
                <w:color w:val="231F20"/>
                <w:sz w:val="15"/>
              </w:rPr>
              <w:t>B2,</w:t>
            </w:r>
            <w:r>
              <w:rPr>
                <w:color w:val="231F20"/>
                <w:spacing w:val="-9"/>
                <w:sz w:val="15"/>
              </w:rPr>
              <w:t> </w:t>
            </w:r>
            <w:r>
              <w:rPr>
                <w:color w:val="231F20"/>
                <w:sz w:val="15"/>
              </w:rPr>
              <w:t>H,</w:t>
            </w:r>
            <w:r>
              <w:rPr>
                <w:color w:val="231F20"/>
                <w:spacing w:val="-9"/>
                <w:sz w:val="15"/>
              </w:rPr>
              <w:t> </w:t>
            </w:r>
            <w:r>
              <w:rPr>
                <w:color w:val="231F20"/>
                <w:spacing w:val="-5"/>
                <w:sz w:val="15"/>
              </w:rPr>
              <w:t>K)</w:t>
            </w:r>
          </w:p>
        </w:tc>
        <w:tc>
          <w:tcPr>
            <w:tcW w:w="2599" w:type="dxa"/>
            <w:shd w:val="clear" w:color="auto" w:fill="E8F5F1"/>
          </w:tcPr>
          <w:p>
            <w:pPr>
              <w:pStyle w:val="TableParagraph"/>
              <w:spacing w:line="142" w:lineRule="exact"/>
              <w:ind w:left="272"/>
              <w:rPr>
                <w:sz w:val="15"/>
              </w:rPr>
            </w:pPr>
            <w:r>
              <w:rPr>
                <w:color w:val="231F20"/>
                <w:w w:val="105"/>
                <w:sz w:val="15"/>
              </w:rPr>
              <w:t>greater</w:t>
            </w:r>
            <w:r>
              <w:rPr>
                <w:color w:val="231F20"/>
                <w:spacing w:val="-11"/>
                <w:w w:val="105"/>
                <w:sz w:val="15"/>
              </w:rPr>
              <w:t> </w:t>
            </w:r>
            <w:r>
              <w:rPr>
                <w:color w:val="231F20"/>
                <w:w w:val="105"/>
                <w:sz w:val="15"/>
              </w:rPr>
              <w:t>than</w:t>
            </w:r>
            <w:r>
              <w:rPr>
                <w:color w:val="231F20"/>
                <w:spacing w:val="-10"/>
                <w:w w:val="105"/>
                <w:sz w:val="15"/>
              </w:rPr>
              <w:t> </w:t>
            </w:r>
            <w:r>
              <w:rPr>
                <w:color w:val="231F20"/>
                <w:w w:val="105"/>
                <w:sz w:val="15"/>
              </w:rPr>
              <w:t>HMSN</w:t>
            </w:r>
            <w:r>
              <w:rPr>
                <w:color w:val="231F20"/>
                <w:spacing w:val="-10"/>
                <w:w w:val="105"/>
                <w:sz w:val="15"/>
              </w:rPr>
              <w:t> </w:t>
            </w:r>
            <w:r>
              <w:rPr>
                <w:color w:val="231F20"/>
                <w:w w:val="105"/>
                <w:sz w:val="15"/>
              </w:rPr>
              <w:t>type</w:t>
            </w:r>
            <w:r>
              <w:rPr>
                <w:color w:val="231F20"/>
                <w:spacing w:val="-11"/>
                <w:w w:val="105"/>
                <w:sz w:val="15"/>
              </w:rPr>
              <w:t> </w:t>
            </w:r>
            <w:r>
              <w:rPr>
                <w:color w:val="231F20"/>
                <w:spacing w:val="-10"/>
                <w:w w:val="105"/>
                <w:sz w:val="15"/>
              </w:rPr>
              <w:t>I</w:t>
            </w:r>
          </w:p>
        </w:tc>
        <w:tc>
          <w:tcPr>
            <w:tcW w:w="1551" w:type="dxa"/>
            <w:shd w:val="clear" w:color="auto" w:fill="E8F5F1"/>
          </w:tcPr>
          <w:p>
            <w:pPr>
              <w:pStyle w:val="TableParagraph"/>
              <w:rPr>
                <w:rFonts w:ascii="Times New Roman"/>
                <w:sz w:val="10"/>
              </w:rPr>
            </w:pPr>
          </w:p>
        </w:tc>
      </w:tr>
      <w:tr>
        <w:trPr>
          <w:trHeight w:val="172"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52" w:lineRule="exact"/>
              <w:ind w:right="170"/>
              <w:jc w:val="right"/>
              <w:rPr>
                <w:sz w:val="15"/>
              </w:rPr>
            </w:pPr>
            <w:r>
              <w:rPr>
                <w:color w:val="231F20"/>
                <w:sz w:val="15"/>
              </w:rPr>
              <w:t>Clinically</w:t>
            </w:r>
            <w:r>
              <w:rPr>
                <w:color w:val="231F20"/>
                <w:spacing w:val="-9"/>
                <w:sz w:val="15"/>
              </w:rPr>
              <w:t> </w:t>
            </w:r>
            <w:r>
              <w:rPr>
                <w:color w:val="231F20"/>
                <w:sz w:val="15"/>
              </w:rPr>
              <w:t>similar</w:t>
            </w:r>
            <w:r>
              <w:rPr>
                <w:color w:val="231F20"/>
                <w:spacing w:val="-8"/>
                <w:sz w:val="15"/>
              </w:rPr>
              <w:t> </w:t>
            </w:r>
            <w:r>
              <w:rPr>
                <w:color w:val="231F20"/>
                <w:sz w:val="15"/>
              </w:rPr>
              <w:t>to</w:t>
            </w:r>
            <w:r>
              <w:rPr>
                <w:color w:val="231F20"/>
                <w:spacing w:val="-8"/>
                <w:sz w:val="15"/>
              </w:rPr>
              <w:t> </w:t>
            </w:r>
            <w:r>
              <w:rPr>
                <w:color w:val="231F20"/>
                <w:sz w:val="15"/>
              </w:rPr>
              <w:t>CMT</w:t>
            </w:r>
            <w:r>
              <w:rPr>
                <w:color w:val="231F20"/>
                <w:spacing w:val="-8"/>
                <w:sz w:val="15"/>
              </w:rPr>
              <w:t> </w:t>
            </w:r>
            <w:r>
              <w:rPr>
                <w:color w:val="231F20"/>
                <w:sz w:val="15"/>
              </w:rPr>
              <w:t>type</w:t>
            </w:r>
            <w:r>
              <w:rPr>
                <w:color w:val="231F20"/>
                <w:spacing w:val="-8"/>
                <w:sz w:val="15"/>
              </w:rPr>
              <w:t> </w:t>
            </w:r>
            <w:r>
              <w:rPr>
                <w:color w:val="231F20"/>
                <w:sz w:val="15"/>
              </w:rPr>
              <w:t>1,</w:t>
            </w:r>
            <w:r>
              <w:rPr>
                <w:color w:val="231F20"/>
                <w:spacing w:val="-9"/>
                <w:sz w:val="15"/>
              </w:rPr>
              <w:t> </w:t>
            </w:r>
            <w:r>
              <w:rPr>
                <w:color w:val="231F20"/>
                <w:sz w:val="15"/>
              </w:rPr>
              <w:t>except</w:t>
            </w:r>
            <w:r>
              <w:rPr>
                <w:color w:val="231F20"/>
                <w:spacing w:val="-8"/>
                <w:sz w:val="15"/>
              </w:rPr>
              <w:t> </w:t>
            </w:r>
            <w:r>
              <w:rPr>
                <w:color w:val="231F20"/>
                <w:sz w:val="15"/>
              </w:rPr>
              <w:t>for</w:t>
            </w:r>
            <w:r>
              <w:rPr>
                <w:color w:val="231F20"/>
                <w:spacing w:val="-8"/>
                <w:sz w:val="15"/>
              </w:rPr>
              <w:t> </w:t>
            </w:r>
            <w:r>
              <w:rPr>
                <w:color w:val="231F20"/>
                <w:spacing w:val="-2"/>
                <w:sz w:val="15"/>
              </w:rPr>
              <w:t>later</w:t>
            </w:r>
          </w:p>
        </w:tc>
        <w:tc>
          <w:tcPr>
            <w:tcW w:w="2599" w:type="dxa"/>
            <w:shd w:val="clear" w:color="auto" w:fill="E8F5F1"/>
          </w:tcPr>
          <w:p>
            <w:pPr>
              <w:pStyle w:val="TableParagraph"/>
              <w:spacing w:line="153" w:lineRule="exact"/>
              <w:ind w:left="272"/>
              <w:rPr>
                <w:sz w:val="15"/>
              </w:rPr>
            </w:pPr>
            <w:r>
              <w:rPr>
                <w:color w:val="231F20"/>
                <w:spacing w:val="-2"/>
                <w:sz w:val="15"/>
              </w:rPr>
              <w:t>(</w:t>
            </w:r>
            <w:r>
              <w:rPr>
                <w:rFonts w:ascii="Cambria"/>
                <w:color w:val="231F20"/>
                <w:spacing w:val="-2"/>
                <w:sz w:val="15"/>
              </w:rPr>
              <w:t>&gt;</w:t>
            </w:r>
            <w:r>
              <w:rPr>
                <w:color w:val="231F20"/>
                <w:spacing w:val="-2"/>
                <w:sz w:val="15"/>
              </w:rPr>
              <w:t>38</w:t>
            </w:r>
            <w:r>
              <w:rPr>
                <w:color w:val="231F20"/>
                <w:spacing w:val="-6"/>
                <w:sz w:val="15"/>
              </w:rPr>
              <w:t> </w:t>
            </w:r>
            <w:r>
              <w:rPr>
                <w:color w:val="231F20"/>
                <w:spacing w:val="-2"/>
                <w:sz w:val="15"/>
              </w:rPr>
              <w:t>m/s)</w:t>
            </w:r>
            <w:r>
              <w:rPr>
                <w:color w:val="231F20"/>
                <w:spacing w:val="-6"/>
                <w:sz w:val="15"/>
              </w:rPr>
              <w:t> </w:t>
            </w:r>
            <w:r>
              <w:rPr>
                <w:color w:val="231F20"/>
                <w:spacing w:val="-2"/>
                <w:sz w:val="15"/>
              </w:rPr>
              <w:t>but</w:t>
            </w:r>
            <w:r>
              <w:rPr>
                <w:color w:val="231F20"/>
                <w:spacing w:val="-5"/>
                <w:sz w:val="15"/>
              </w:rPr>
              <w:t> </w:t>
            </w:r>
            <w:r>
              <w:rPr>
                <w:color w:val="231F20"/>
                <w:spacing w:val="-2"/>
                <w:sz w:val="15"/>
              </w:rPr>
              <w:t>below</w:t>
            </w:r>
            <w:r>
              <w:rPr>
                <w:color w:val="231F20"/>
                <w:spacing w:val="-6"/>
                <w:sz w:val="15"/>
              </w:rPr>
              <w:t> </w:t>
            </w:r>
            <w:r>
              <w:rPr>
                <w:color w:val="231F20"/>
                <w:spacing w:val="-2"/>
                <w:sz w:val="15"/>
              </w:rPr>
              <w:t>normal</w:t>
            </w:r>
          </w:p>
        </w:tc>
        <w:tc>
          <w:tcPr>
            <w:tcW w:w="1551"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8" w:lineRule="exact"/>
              <w:ind w:left="357"/>
              <w:rPr>
                <w:sz w:val="15"/>
              </w:rPr>
            </w:pPr>
            <w:r>
              <w:rPr>
                <w:color w:val="231F20"/>
                <w:sz w:val="15"/>
              </w:rPr>
              <w:t>onset,</w:t>
            </w:r>
            <w:r>
              <w:rPr>
                <w:color w:val="231F20"/>
                <w:spacing w:val="-9"/>
                <w:sz w:val="15"/>
              </w:rPr>
              <w:t> </w:t>
            </w:r>
            <w:r>
              <w:rPr>
                <w:color w:val="231F20"/>
                <w:sz w:val="15"/>
              </w:rPr>
              <w:t>absence</w:t>
            </w:r>
            <w:r>
              <w:rPr>
                <w:color w:val="231F20"/>
                <w:spacing w:val="-8"/>
                <w:sz w:val="15"/>
              </w:rPr>
              <w:t> </w:t>
            </w:r>
            <w:r>
              <w:rPr>
                <w:color w:val="231F20"/>
                <w:sz w:val="15"/>
              </w:rPr>
              <w:t>of</w:t>
            </w:r>
            <w:r>
              <w:rPr>
                <w:color w:val="231F20"/>
                <w:spacing w:val="-8"/>
                <w:sz w:val="15"/>
              </w:rPr>
              <w:t> </w:t>
            </w:r>
            <w:r>
              <w:rPr>
                <w:color w:val="231F20"/>
                <w:sz w:val="15"/>
              </w:rPr>
              <w:t>peripheral</w:t>
            </w:r>
            <w:r>
              <w:rPr>
                <w:color w:val="231F20"/>
                <w:spacing w:val="-8"/>
                <w:sz w:val="15"/>
              </w:rPr>
              <w:t> </w:t>
            </w:r>
            <w:r>
              <w:rPr>
                <w:color w:val="231F20"/>
                <w:spacing w:val="-2"/>
                <w:sz w:val="15"/>
              </w:rPr>
              <w:t>nerve</w:t>
            </w:r>
          </w:p>
        </w:tc>
        <w:tc>
          <w:tcPr>
            <w:tcW w:w="2599" w:type="dxa"/>
            <w:shd w:val="clear" w:color="auto" w:fill="E8F5F1"/>
          </w:tcPr>
          <w:p>
            <w:pPr>
              <w:pStyle w:val="TableParagraph"/>
              <w:spacing w:line="148" w:lineRule="exact"/>
              <w:ind w:left="273"/>
              <w:rPr>
                <w:sz w:val="15"/>
              </w:rPr>
            </w:pPr>
            <w:r>
              <w:rPr>
                <w:color w:val="231F20"/>
                <w:sz w:val="15"/>
              </w:rPr>
              <w:t>range</w:t>
            </w:r>
            <w:r>
              <w:rPr>
                <w:color w:val="231F20"/>
                <w:spacing w:val="8"/>
                <w:sz w:val="15"/>
              </w:rPr>
              <w:t> </w:t>
            </w:r>
            <w:r>
              <w:rPr>
                <w:color w:val="231F20"/>
                <w:spacing w:val="-2"/>
                <w:sz w:val="15"/>
              </w:rPr>
              <w:t>occasionally</w:t>
            </w:r>
          </w:p>
        </w:tc>
        <w:tc>
          <w:tcPr>
            <w:tcW w:w="1551" w:type="dxa"/>
            <w:shd w:val="clear" w:color="auto" w:fill="E8F5F1"/>
          </w:tcPr>
          <w:p>
            <w:pPr>
              <w:pStyle w:val="TableParagraph"/>
              <w:rPr>
                <w:rFonts w:ascii="Times New Roman"/>
                <w:sz w:val="10"/>
              </w:rPr>
            </w:pPr>
          </w:p>
        </w:tc>
      </w:tr>
      <w:tr>
        <w:trPr>
          <w:trHeight w:val="165"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6" w:lineRule="exact"/>
              <w:ind w:left="357"/>
              <w:rPr>
                <w:sz w:val="15"/>
              </w:rPr>
            </w:pPr>
            <w:r>
              <w:rPr>
                <w:color w:val="231F20"/>
                <w:sz w:val="15"/>
              </w:rPr>
              <w:t>enlargement,</w:t>
            </w:r>
            <w:r>
              <w:rPr>
                <w:color w:val="231F20"/>
                <w:spacing w:val="-6"/>
                <w:sz w:val="15"/>
              </w:rPr>
              <w:t> </w:t>
            </w:r>
            <w:r>
              <w:rPr>
                <w:color w:val="231F20"/>
                <w:sz w:val="15"/>
              </w:rPr>
              <w:t>and</w:t>
            </w:r>
            <w:r>
              <w:rPr>
                <w:color w:val="231F20"/>
                <w:spacing w:val="-6"/>
                <w:sz w:val="15"/>
              </w:rPr>
              <w:t> </w:t>
            </w:r>
            <w:r>
              <w:rPr>
                <w:color w:val="231F20"/>
                <w:sz w:val="15"/>
              </w:rPr>
              <w:t>less</w:t>
            </w:r>
            <w:r>
              <w:rPr>
                <w:color w:val="231F20"/>
                <w:spacing w:val="-6"/>
                <w:sz w:val="15"/>
              </w:rPr>
              <w:t> </w:t>
            </w:r>
            <w:r>
              <w:rPr>
                <w:color w:val="231F20"/>
                <w:sz w:val="15"/>
              </w:rPr>
              <w:t>marked</w:t>
            </w:r>
            <w:r>
              <w:rPr>
                <w:color w:val="231F20"/>
                <w:spacing w:val="-6"/>
                <w:sz w:val="15"/>
              </w:rPr>
              <w:t> </w:t>
            </w:r>
            <w:r>
              <w:rPr>
                <w:color w:val="231F20"/>
                <w:spacing w:val="-2"/>
                <w:sz w:val="15"/>
              </w:rPr>
              <w:t>weakness</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2A1</w:t>
            </w:r>
            <w:r>
              <w:rPr>
                <w:color w:val="231F20"/>
                <w:spacing w:val="10"/>
                <w:sz w:val="15"/>
              </w:rPr>
              <w:t> </w:t>
            </w:r>
            <w:r>
              <w:rPr>
                <w:color w:val="231F20"/>
                <w:spacing w:val="-2"/>
                <w:sz w:val="15"/>
              </w:rPr>
              <w:t>(118210)</w:t>
            </w:r>
          </w:p>
        </w:tc>
        <w:tc>
          <w:tcPr>
            <w:tcW w:w="3602" w:type="dxa"/>
            <w:shd w:val="clear" w:color="auto" w:fill="E8F5F1"/>
          </w:tcPr>
          <w:p>
            <w:pPr>
              <w:pStyle w:val="TableParagraph"/>
              <w:spacing w:line="150" w:lineRule="exact"/>
              <w:ind w:left="245"/>
              <w:rPr>
                <w:sz w:val="15"/>
              </w:rPr>
            </w:pPr>
            <w:r>
              <w:rPr>
                <w:color w:val="231F20"/>
                <w:sz w:val="15"/>
              </w:rPr>
              <w:t>CMT2A:</w:t>
            </w:r>
            <w:r>
              <w:rPr>
                <w:color w:val="231F20"/>
                <w:spacing w:val="-2"/>
                <w:sz w:val="15"/>
              </w:rPr>
              <w:t> </w:t>
            </w:r>
            <w:r>
              <w:rPr>
                <w:color w:val="231F20"/>
                <w:sz w:val="15"/>
              </w:rPr>
              <w:t>prominent</w:t>
            </w:r>
            <w:r>
              <w:rPr>
                <w:color w:val="231F20"/>
                <w:spacing w:val="-2"/>
                <w:sz w:val="15"/>
              </w:rPr>
              <w:t> </w:t>
            </w:r>
            <w:r>
              <w:rPr>
                <w:color w:val="231F20"/>
                <w:sz w:val="15"/>
              </w:rPr>
              <w:t>distal</w:t>
            </w:r>
            <w:r>
              <w:rPr>
                <w:color w:val="231F20"/>
                <w:spacing w:val="-2"/>
                <w:sz w:val="15"/>
              </w:rPr>
              <w:t> </w:t>
            </w:r>
            <w:r>
              <w:rPr>
                <w:color w:val="231F20"/>
                <w:sz w:val="15"/>
              </w:rPr>
              <w:t>weakness,</w:t>
            </w:r>
            <w:r>
              <w:rPr>
                <w:color w:val="231F20"/>
                <w:spacing w:val="-1"/>
                <w:sz w:val="15"/>
              </w:rPr>
              <w:t> </w:t>
            </w:r>
            <w:r>
              <w:rPr>
                <w:color w:val="231F20"/>
                <w:spacing w:val="-2"/>
                <w:sz w:val="15"/>
              </w:rPr>
              <w:t>proximal</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3"/>
              <w:rPr>
                <w:sz w:val="15"/>
              </w:rPr>
            </w:pPr>
            <w:r>
              <w:rPr>
                <w:color w:val="231F20"/>
                <w:sz w:val="15"/>
              </w:rPr>
              <w:t>2A1:</w:t>
            </w:r>
            <w:r>
              <w:rPr>
                <w:color w:val="231F20"/>
                <w:spacing w:val="3"/>
                <w:sz w:val="15"/>
              </w:rPr>
              <w:t> </w:t>
            </w:r>
            <w:r>
              <w:rPr>
                <w:i/>
                <w:color w:val="231F20"/>
                <w:sz w:val="15"/>
              </w:rPr>
              <w:t>KIF1B</w:t>
            </w:r>
            <w:r>
              <w:rPr>
                <w:i/>
                <w:color w:val="231F20"/>
                <w:spacing w:val="4"/>
                <w:sz w:val="15"/>
              </w:rPr>
              <w:t> </w:t>
            </w:r>
            <w:r>
              <w:rPr>
                <w:color w:val="231F20"/>
                <w:spacing w:val="-4"/>
                <w:sz w:val="15"/>
              </w:rPr>
              <w:t>(one</w:t>
            </w:r>
          </w:p>
        </w:tc>
      </w:tr>
      <w:tr>
        <w:trPr>
          <w:trHeight w:val="170" w:hRule="atLeast"/>
        </w:trPr>
        <w:tc>
          <w:tcPr>
            <w:tcW w:w="2056" w:type="dxa"/>
            <w:shd w:val="clear" w:color="auto" w:fill="E8F5F1"/>
          </w:tcPr>
          <w:p>
            <w:pPr>
              <w:pStyle w:val="TableParagraph"/>
              <w:spacing w:line="151" w:lineRule="exact"/>
              <w:ind w:left="74"/>
              <w:rPr>
                <w:sz w:val="15"/>
              </w:rPr>
            </w:pPr>
            <w:r>
              <w:rPr>
                <w:color w:val="231F20"/>
                <w:sz w:val="15"/>
              </w:rPr>
              <w:t>2A2</w:t>
            </w:r>
            <w:r>
              <w:rPr>
                <w:color w:val="231F20"/>
                <w:spacing w:val="10"/>
                <w:sz w:val="15"/>
              </w:rPr>
              <w:t> </w:t>
            </w:r>
            <w:r>
              <w:rPr>
                <w:color w:val="231F20"/>
                <w:spacing w:val="-2"/>
                <w:sz w:val="15"/>
              </w:rPr>
              <w:t>(609260)</w:t>
            </w:r>
          </w:p>
        </w:tc>
        <w:tc>
          <w:tcPr>
            <w:tcW w:w="3602" w:type="dxa"/>
            <w:shd w:val="clear" w:color="auto" w:fill="E8F5F1"/>
          </w:tcPr>
          <w:p>
            <w:pPr>
              <w:pStyle w:val="TableParagraph"/>
              <w:spacing w:line="151" w:lineRule="exact"/>
              <w:ind w:left="357"/>
              <w:rPr>
                <w:sz w:val="15"/>
              </w:rPr>
            </w:pPr>
            <w:r>
              <w:rPr>
                <w:color w:val="231F20"/>
                <w:sz w:val="15"/>
              </w:rPr>
              <w:t>weakness</w:t>
            </w:r>
            <w:r>
              <w:rPr>
                <w:color w:val="231F20"/>
                <w:spacing w:val="1"/>
                <w:sz w:val="15"/>
              </w:rPr>
              <w:t> </w:t>
            </w:r>
            <w:r>
              <w:rPr>
                <w:color w:val="231F20"/>
                <w:sz w:val="15"/>
              </w:rPr>
              <w:t>also</w:t>
            </w:r>
            <w:r>
              <w:rPr>
                <w:color w:val="231F20"/>
                <w:spacing w:val="2"/>
                <w:sz w:val="15"/>
              </w:rPr>
              <w:t> </w:t>
            </w:r>
            <w:r>
              <w:rPr>
                <w:color w:val="231F20"/>
                <w:sz w:val="15"/>
              </w:rPr>
              <w:t>present</w:t>
            </w:r>
            <w:r>
              <w:rPr>
                <w:color w:val="231F20"/>
                <w:spacing w:val="2"/>
                <w:sz w:val="15"/>
              </w:rPr>
              <w:t> </w:t>
            </w:r>
            <w:r>
              <w:rPr>
                <w:color w:val="231F20"/>
                <w:sz w:val="15"/>
              </w:rPr>
              <w:t>in</w:t>
            </w:r>
            <w:r>
              <w:rPr>
                <w:color w:val="231F20"/>
                <w:spacing w:val="2"/>
                <w:sz w:val="15"/>
              </w:rPr>
              <w:t> </w:t>
            </w:r>
            <w:r>
              <w:rPr>
                <w:color w:val="231F20"/>
                <w:sz w:val="15"/>
              </w:rPr>
              <w:t>60%.</w:t>
            </w:r>
            <w:r>
              <w:rPr>
                <w:color w:val="231F20"/>
                <w:spacing w:val="2"/>
                <w:sz w:val="15"/>
              </w:rPr>
              <w:t> </w:t>
            </w:r>
            <w:r>
              <w:rPr>
                <w:color w:val="231F20"/>
                <w:sz w:val="15"/>
              </w:rPr>
              <w:t>Optic</w:t>
            </w:r>
            <w:r>
              <w:rPr>
                <w:color w:val="231F20"/>
                <w:spacing w:val="2"/>
                <w:sz w:val="15"/>
              </w:rPr>
              <w:t> </w:t>
            </w:r>
            <w:r>
              <w:rPr>
                <w:color w:val="231F20"/>
                <w:spacing w:val="-2"/>
                <w:sz w:val="15"/>
              </w:rPr>
              <w:t>atrophy</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1" w:lineRule="exact"/>
              <w:ind w:left="265"/>
              <w:rPr>
                <w:sz w:val="15"/>
              </w:rPr>
            </w:pPr>
            <w:r>
              <w:rPr>
                <w:color w:val="231F20"/>
                <w:spacing w:val="-2"/>
                <w:sz w:val="15"/>
              </w:rPr>
              <w:t>family)</w:t>
            </w:r>
          </w:p>
        </w:tc>
      </w:tr>
      <w:tr>
        <w:trPr>
          <w:trHeight w:val="167"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7" w:lineRule="exact"/>
              <w:ind w:left="357"/>
              <w:rPr>
                <w:sz w:val="15"/>
              </w:rPr>
            </w:pPr>
            <w:r>
              <w:rPr>
                <w:color w:val="231F20"/>
                <w:sz w:val="15"/>
              </w:rPr>
              <w:t>and</w:t>
            </w:r>
            <w:r>
              <w:rPr>
                <w:color w:val="231F20"/>
                <w:spacing w:val="-9"/>
                <w:sz w:val="15"/>
              </w:rPr>
              <w:t> </w:t>
            </w:r>
            <w:r>
              <w:rPr>
                <w:color w:val="231F20"/>
                <w:sz w:val="15"/>
              </w:rPr>
              <w:t>central</w:t>
            </w:r>
            <w:r>
              <w:rPr>
                <w:color w:val="231F20"/>
                <w:spacing w:val="-8"/>
                <w:sz w:val="15"/>
              </w:rPr>
              <w:t> </w:t>
            </w:r>
            <w:r>
              <w:rPr>
                <w:color w:val="231F20"/>
                <w:sz w:val="15"/>
              </w:rPr>
              <w:t>involvement</w:t>
            </w:r>
            <w:r>
              <w:rPr>
                <w:color w:val="231F20"/>
                <w:spacing w:val="-9"/>
                <w:sz w:val="15"/>
              </w:rPr>
              <w:t> </w:t>
            </w:r>
            <w:r>
              <w:rPr>
                <w:color w:val="231F20"/>
                <w:sz w:val="15"/>
              </w:rPr>
              <w:t>reported.</w:t>
            </w:r>
            <w:r>
              <w:rPr>
                <w:color w:val="231F20"/>
                <w:spacing w:val="-8"/>
                <w:sz w:val="15"/>
              </w:rPr>
              <w:t> </w:t>
            </w:r>
            <w:r>
              <w:rPr>
                <w:color w:val="231F20"/>
                <w:sz w:val="15"/>
              </w:rPr>
              <w:t>Main</w:t>
            </w:r>
            <w:r>
              <w:rPr>
                <w:color w:val="231F20"/>
                <w:spacing w:val="-8"/>
                <w:sz w:val="15"/>
              </w:rPr>
              <w:t> </w:t>
            </w:r>
            <w:r>
              <w:rPr>
                <w:color w:val="231F20"/>
                <w:spacing w:val="-4"/>
                <w:sz w:val="15"/>
              </w:rPr>
              <w:t>form</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7" w:lineRule="exact"/>
              <w:ind w:left="153"/>
              <w:rPr>
                <w:i/>
                <w:sz w:val="15"/>
              </w:rPr>
            </w:pPr>
            <w:r>
              <w:rPr>
                <w:color w:val="231F20"/>
                <w:sz w:val="15"/>
              </w:rPr>
              <w:t>2A2:</w:t>
            </w:r>
            <w:r>
              <w:rPr>
                <w:color w:val="231F20"/>
                <w:spacing w:val="-6"/>
                <w:sz w:val="15"/>
              </w:rPr>
              <w:t> </w:t>
            </w:r>
            <w:r>
              <w:rPr>
                <w:i/>
                <w:color w:val="231F20"/>
                <w:spacing w:val="-4"/>
                <w:sz w:val="15"/>
              </w:rPr>
              <w:t>MFN2</w:t>
            </w:r>
          </w:p>
        </w:tc>
      </w:tr>
      <w:tr>
        <w:trPr>
          <w:trHeight w:val="16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7" w:lineRule="exact"/>
              <w:ind w:left="357"/>
              <w:rPr>
                <w:sz w:val="15"/>
              </w:rPr>
            </w:pPr>
            <w:r>
              <w:rPr>
                <w:color w:val="231F20"/>
                <w:sz w:val="15"/>
              </w:rPr>
              <w:t>related</w:t>
            </w:r>
            <w:r>
              <w:rPr>
                <w:color w:val="231F20"/>
                <w:spacing w:val="7"/>
                <w:sz w:val="15"/>
              </w:rPr>
              <w:t> </w:t>
            </w:r>
            <w:r>
              <w:rPr>
                <w:color w:val="231F20"/>
                <w:sz w:val="15"/>
              </w:rPr>
              <w:t>to</w:t>
            </w:r>
            <w:r>
              <w:rPr>
                <w:color w:val="231F20"/>
                <w:spacing w:val="7"/>
                <w:sz w:val="15"/>
              </w:rPr>
              <w:t> </w:t>
            </w:r>
            <w:r>
              <w:rPr>
                <w:i/>
                <w:color w:val="231F20"/>
                <w:sz w:val="15"/>
              </w:rPr>
              <w:t>MFN2</w:t>
            </w:r>
            <w:r>
              <w:rPr>
                <w:i/>
                <w:color w:val="231F20"/>
                <w:spacing w:val="7"/>
                <w:sz w:val="15"/>
              </w:rPr>
              <w:t> </w:t>
            </w:r>
            <w:r>
              <w:rPr>
                <w:color w:val="231F20"/>
                <w:spacing w:val="-2"/>
                <w:sz w:val="15"/>
              </w:rPr>
              <w:t>mutations</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68" w:hRule="atLeast"/>
        </w:trPr>
        <w:tc>
          <w:tcPr>
            <w:tcW w:w="2056" w:type="dxa"/>
            <w:shd w:val="clear" w:color="auto" w:fill="E8F5F1"/>
          </w:tcPr>
          <w:p>
            <w:pPr>
              <w:pStyle w:val="TableParagraph"/>
              <w:spacing w:line="149" w:lineRule="exact"/>
              <w:ind w:left="74"/>
              <w:rPr>
                <w:sz w:val="15"/>
              </w:rPr>
            </w:pPr>
            <w:r>
              <w:rPr>
                <w:color w:val="231F20"/>
                <w:sz w:val="15"/>
              </w:rPr>
              <w:t>2B</w:t>
            </w:r>
            <w:r>
              <w:rPr>
                <w:color w:val="231F20"/>
                <w:spacing w:val="7"/>
                <w:sz w:val="15"/>
              </w:rPr>
              <w:t> </w:t>
            </w:r>
            <w:r>
              <w:rPr>
                <w:color w:val="231F20"/>
                <w:spacing w:val="-2"/>
                <w:sz w:val="15"/>
              </w:rPr>
              <w:t>(600882)</w:t>
            </w:r>
          </w:p>
        </w:tc>
        <w:tc>
          <w:tcPr>
            <w:tcW w:w="3602" w:type="dxa"/>
            <w:shd w:val="clear" w:color="auto" w:fill="E8F5F1"/>
          </w:tcPr>
          <w:p>
            <w:pPr>
              <w:pStyle w:val="TableParagraph"/>
              <w:spacing w:line="149" w:lineRule="exact"/>
              <w:ind w:left="245"/>
              <w:rPr>
                <w:sz w:val="15"/>
              </w:rPr>
            </w:pPr>
            <w:r>
              <w:rPr>
                <w:color w:val="231F20"/>
                <w:sz w:val="15"/>
              </w:rPr>
              <w:t>CMT2B:</w:t>
            </w:r>
            <w:r>
              <w:rPr>
                <w:color w:val="231F20"/>
                <w:spacing w:val="3"/>
                <w:sz w:val="15"/>
              </w:rPr>
              <w:t> </w:t>
            </w:r>
            <w:r>
              <w:rPr>
                <w:color w:val="231F20"/>
                <w:sz w:val="15"/>
              </w:rPr>
              <w:t>severe</w:t>
            </w:r>
            <w:r>
              <w:rPr>
                <w:color w:val="231F20"/>
                <w:spacing w:val="3"/>
                <w:sz w:val="15"/>
              </w:rPr>
              <w:t> </w:t>
            </w:r>
            <w:r>
              <w:rPr>
                <w:color w:val="231F20"/>
                <w:sz w:val="15"/>
              </w:rPr>
              <w:t>sensory</w:t>
            </w:r>
            <w:r>
              <w:rPr>
                <w:color w:val="231F20"/>
                <w:spacing w:val="3"/>
                <w:sz w:val="15"/>
              </w:rPr>
              <w:t> </w:t>
            </w:r>
            <w:r>
              <w:rPr>
                <w:color w:val="231F20"/>
                <w:sz w:val="15"/>
              </w:rPr>
              <w:t>loss:</w:t>
            </w:r>
            <w:r>
              <w:rPr>
                <w:color w:val="231F20"/>
                <w:spacing w:val="4"/>
                <w:sz w:val="15"/>
              </w:rPr>
              <w:t> </w:t>
            </w:r>
            <w:r>
              <w:rPr>
                <w:color w:val="231F20"/>
                <w:spacing w:val="-2"/>
                <w:sz w:val="15"/>
              </w:rPr>
              <w:t>often</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9" w:lineRule="exact"/>
              <w:ind w:left="153"/>
              <w:rPr>
                <w:i/>
                <w:sz w:val="15"/>
              </w:rPr>
            </w:pPr>
            <w:r>
              <w:rPr>
                <w:color w:val="231F20"/>
                <w:sz w:val="15"/>
              </w:rPr>
              <w:t>2B:</w:t>
            </w:r>
            <w:r>
              <w:rPr>
                <w:color w:val="231F20"/>
                <w:spacing w:val="-8"/>
                <w:sz w:val="15"/>
              </w:rPr>
              <w:t> </w:t>
            </w:r>
            <w:r>
              <w:rPr>
                <w:i/>
                <w:color w:val="231F20"/>
                <w:spacing w:val="-4"/>
                <w:sz w:val="15"/>
              </w:rPr>
              <w:t>RAB7</w:t>
            </w:r>
          </w:p>
        </w:tc>
      </w:tr>
      <w:tr>
        <w:trPr>
          <w:trHeight w:val="169" w:hRule="atLeast"/>
        </w:trPr>
        <w:tc>
          <w:tcPr>
            <w:tcW w:w="2056" w:type="dxa"/>
            <w:shd w:val="clear" w:color="auto" w:fill="E8F5F1"/>
          </w:tcPr>
          <w:p>
            <w:pPr>
              <w:pStyle w:val="TableParagraph"/>
              <w:spacing w:line="150" w:lineRule="exact"/>
              <w:ind w:left="74"/>
              <w:rPr>
                <w:sz w:val="15"/>
              </w:rPr>
            </w:pPr>
            <w:r>
              <w:rPr>
                <w:color w:val="231F20"/>
                <w:sz w:val="15"/>
              </w:rPr>
              <w:t>2B1</w:t>
            </w:r>
            <w:r>
              <w:rPr>
                <w:color w:val="231F20"/>
                <w:spacing w:val="5"/>
                <w:sz w:val="15"/>
              </w:rPr>
              <w:t> </w:t>
            </w:r>
            <w:r>
              <w:rPr>
                <w:color w:val="231F20"/>
                <w:spacing w:val="-2"/>
                <w:sz w:val="15"/>
              </w:rPr>
              <w:t>(605588)</w:t>
            </w:r>
          </w:p>
        </w:tc>
        <w:tc>
          <w:tcPr>
            <w:tcW w:w="3602" w:type="dxa"/>
            <w:shd w:val="clear" w:color="auto" w:fill="E8F5F1"/>
          </w:tcPr>
          <w:p>
            <w:pPr>
              <w:pStyle w:val="TableParagraph"/>
              <w:spacing w:line="150" w:lineRule="exact"/>
              <w:ind w:left="357"/>
              <w:rPr>
                <w:sz w:val="15"/>
              </w:rPr>
            </w:pPr>
            <w:r>
              <w:rPr>
                <w:color w:val="231F20"/>
                <w:spacing w:val="-2"/>
                <w:sz w:val="15"/>
              </w:rPr>
              <w:t>complications</w:t>
            </w:r>
            <w:r>
              <w:rPr>
                <w:color w:val="231F20"/>
                <w:spacing w:val="-6"/>
                <w:sz w:val="15"/>
              </w:rPr>
              <w:t> </w:t>
            </w:r>
            <w:r>
              <w:rPr>
                <w:color w:val="231F20"/>
                <w:spacing w:val="-2"/>
                <w:sz w:val="15"/>
              </w:rPr>
              <w:t>with</w:t>
            </w:r>
            <w:r>
              <w:rPr>
                <w:color w:val="231F20"/>
                <w:spacing w:val="-6"/>
                <w:sz w:val="15"/>
              </w:rPr>
              <w:t> </w:t>
            </w:r>
            <w:r>
              <w:rPr>
                <w:color w:val="231F20"/>
                <w:spacing w:val="-2"/>
                <w:sz w:val="15"/>
              </w:rPr>
              <w:t>infections,</w:t>
            </w:r>
            <w:r>
              <w:rPr>
                <w:color w:val="231F20"/>
                <w:spacing w:val="-5"/>
                <w:sz w:val="15"/>
              </w:rPr>
              <w:t> </w:t>
            </w:r>
            <w:r>
              <w:rPr>
                <w:color w:val="231F20"/>
                <w:spacing w:val="-2"/>
                <w:sz w:val="15"/>
              </w:rPr>
              <w:t>arthropathy,</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3"/>
              <w:rPr>
                <w:i/>
                <w:sz w:val="15"/>
              </w:rPr>
            </w:pPr>
            <w:r>
              <w:rPr>
                <w:color w:val="231F20"/>
                <w:sz w:val="15"/>
              </w:rPr>
              <w:t>2B1:</w:t>
            </w:r>
            <w:r>
              <w:rPr>
                <w:color w:val="231F20"/>
                <w:spacing w:val="-11"/>
                <w:sz w:val="15"/>
              </w:rPr>
              <w:t> </w:t>
            </w:r>
            <w:r>
              <w:rPr>
                <w:i/>
                <w:color w:val="231F20"/>
                <w:spacing w:val="-4"/>
                <w:sz w:val="15"/>
              </w:rPr>
              <w:t>LMNA</w:t>
            </w:r>
          </w:p>
        </w:tc>
      </w:tr>
      <w:tr>
        <w:trPr>
          <w:trHeight w:val="16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7" w:lineRule="exact"/>
              <w:ind w:left="357"/>
              <w:rPr>
                <w:sz w:val="15"/>
              </w:rPr>
            </w:pPr>
            <w:r>
              <w:rPr>
                <w:color w:val="231F20"/>
                <w:spacing w:val="-2"/>
                <w:sz w:val="15"/>
              </w:rPr>
              <w:t>amputations,</w:t>
            </w:r>
            <w:r>
              <w:rPr>
                <w:color w:val="231F20"/>
                <w:spacing w:val="-6"/>
                <w:sz w:val="15"/>
              </w:rPr>
              <w:t> </w:t>
            </w:r>
            <w:r>
              <w:rPr>
                <w:color w:val="231F20"/>
                <w:spacing w:val="-2"/>
                <w:sz w:val="15"/>
              </w:rPr>
              <w:t>foot</w:t>
            </w:r>
            <w:r>
              <w:rPr>
                <w:color w:val="231F20"/>
                <w:spacing w:val="-5"/>
                <w:sz w:val="15"/>
              </w:rPr>
              <w:t> </w:t>
            </w:r>
            <w:r>
              <w:rPr>
                <w:color w:val="231F20"/>
                <w:spacing w:val="-2"/>
                <w:sz w:val="15"/>
              </w:rPr>
              <w:t>ulcers,</w:t>
            </w:r>
            <w:r>
              <w:rPr>
                <w:color w:val="231F20"/>
                <w:spacing w:val="-5"/>
                <w:sz w:val="15"/>
              </w:rPr>
              <w:t> </w:t>
            </w:r>
            <w:r>
              <w:rPr>
                <w:color w:val="231F20"/>
                <w:spacing w:val="-2"/>
                <w:sz w:val="15"/>
              </w:rPr>
              <w:t>distal</w:t>
            </w:r>
            <w:r>
              <w:rPr>
                <w:color w:val="231F20"/>
                <w:spacing w:val="-5"/>
                <w:sz w:val="15"/>
              </w:rPr>
              <w:t> </w:t>
            </w:r>
            <w:r>
              <w:rPr>
                <w:color w:val="231F20"/>
                <w:spacing w:val="-2"/>
                <w:sz w:val="15"/>
              </w:rPr>
              <w:t>weakness</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69" w:hRule="atLeast"/>
        </w:trPr>
        <w:tc>
          <w:tcPr>
            <w:tcW w:w="2056" w:type="dxa"/>
            <w:shd w:val="clear" w:color="auto" w:fill="E8F5F1"/>
          </w:tcPr>
          <w:p>
            <w:pPr>
              <w:pStyle w:val="TableParagraph"/>
              <w:spacing w:line="149" w:lineRule="exact"/>
              <w:ind w:left="74"/>
              <w:rPr>
                <w:sz w:val="15"/>
              </w:rPr>
            </w:pPr>
            <w:r>
              <w:rPr>
                <w:color w:val="231F20"/>
                <w:sz w:val="15"/>
              </w:rPr>
              <w:t>2B2</w:t>
            </w:r>
            <w:r>
              <w:rPr>
                <w:color w:val="231F20"/>
                <w:spacing w:val="5"/>
                <w:sz w:val="15"/>
              </w:rPr>
              <w:t> </w:t>
            </w:r>
            <w:r>
              <w:rPr>
                <w:color w:val="231F20"/>
                <w:spacing w:val="-2"/>
                <w:sz w:val="15"/>
              </w:rPr>
              <w:t>(605589)</w:t>
            </w:r>
          </w:p>
        </w:tc>
        <w:tc>
          <w:tcPr>
            <w:tcW w:w="3602" w:type="dxa"/>
            <w:shd w:val="clear" w:color="auto" w:fill="E8F5F1"/>
          </w:tcPr>
          <w:p>
            <w:pPr>
              <w:pStyle w:val="TableParagraph"/>
              <w:spacing w:line="149" w:lineRule="exact"/>
              <w:ind w:left="245"/>
              <w:rPr>
                <w:sz w:val="15"/>
              </w:rPr>
            </w:pPr>
            <w:r>
              <w:rPr>
                <w:color w:val="231F20"/>
                <w:sz w:val="15"/>
              </w:rPr>
              <w:t>Average</w:t>
            </w:r>
            <w:r>
              <w:rPr>
                <w:color w:val="231F20"/>
                <w:spacing w:val="-2"/>
                <w:sz w:val="15"/>
              </w:rPr>
              <w:t> </w:t>
            </w:r>
            <w:r>
              <w:rPr>
                <w:color w:val="231F20"/>
                <w:sz w:val="15"/>
              </w:rPr>
              <w:t>onset</w:t>
            </w:r>
            <w:r>
              <w:rPr>
                <w:color w:val="231F20"/>
                <w:spacing w:val="-2"/>
                <w:sz w:val="15"/>
              </w:rPr>
              <w:t> </w:t>
            </w:r>
            <w:r>
              <w:rPr>
                <w:color w:val="231F20"/>
                <w:sz w:val="15"/>
              </w:rPr>
              <w:t>34</w:t>
            </w:r>
            <w:r>
              <w:rPr>
                <w:color w:val="231F20"/>
                <w:spacing w:val="-2"/>
                <w:sz w:val="15"/>
              </w:rPr>
              <w:t> </w:t>
            </w:r>
            <w:r>
              <w:rPr>
                <w:color w:val="231F20"/>
                <w:sz w:val="15"/>
              </w:rPr>
              <w:t>yr</w:t>
            </w:r>
            <w:r>
              <w:rPr>
                <w:color w:val="231F20"/>
                <w:spacing w:val="-2"/>
                <w:sz w:val="15"/>
              </w:rPr>
              <w:t> </w:t>
            </w:r>
            <w:r>
              <w:rPr>
                <w:color w:val="231F20"/>
                <w:sz w:val="15"/>
              </w:rPr>
              <w:t>(Costa</w:t>
            </w:r>
            <w:r>
              <w:rPr>
                <w:color w:val="231F20"/>
                <w:spacing w:val="-1"/>
                <w:sz w:val="15"/>
              </w:rPr>
              <w:t> </w:t>
            </w:r>
            <w:r>
              <w:rPr>
                <w:color w:val="231F20"/>
                <w:sz w:val="15"/>
              </w:rPr>
              <w:t>Rican</w:t>
            </w:r>
            <w:r>
              <w:rPr>
                <w:color w:val="231F20"/>
                <w:spacing w:val="-2"/>
                <w:sz w:val="15"/>
              </w:rPr>
              <w:t> family)</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9" w:lineRule="exact"/>
              <w:ind w:left="153"/>
              <w:rPr>
                <w:i/>
                <w:sz w:val="15"/>
              </w:rPr>
            </w:pPr>
            <w:r>
              <w:rPr>
                <w:i/>
                <w:color w:val="231F20"/>
                <w:spacing w:val="-2"/>
                <w:w w:val="110"/>
                <w:sz w:val="15"/>
              </w:rPr>
              <w:t>?MED25</w:t>
            </w:r>
          </w:p>
        </w:tc>
      </w:tr>
      <w:tr>
        <w:trPr>
          <w:trHeight w:val="171" w:hRule="atLeast"/>
        </w:trPr>
        <w:tc>
          <w:tcPr>
            <w:tcW w:w="2056" w:type="dxa"/>
            <w:shd w:val="clear" w:color="auto" w:fill="E8F5F1"/>
          </w:tcPr>
          <w:p>
            <w:pPr>
              <w:pStyle w:val="TableParagraph"/>
              <w:spacing w:line="151" w:lineRule="exact"/>
              <w:ind w:left="74"/>
              <w:rPr>
                <w:sz w:val="15"/>
              </w:rPr>
            </w:pPr>
            <w:r>
              <w:rPr>
                <w:color w:val="231F20"/>
                <w:sz w:val="15"/>
              </w:rPr>
              <w:t>2C</w:t>
            </w:r>
            <w:r>
              <w:rPr>
                <w:color w:val="231F20"/>
                <w:spacing w:val="14"/>
                <w:sz w:val="15"/>
              </w:rPr>
              <w:t> </w:t>
            </w:r>
            <w:r>
              <w:rPr>
                <w:color w:val="231F20"/>
                <w:spacing w:val="-2"/>
                <w:sz w:val="15"/>
              </w:rPr>
              <w:t>(606071)</w:t>
            </w:r>
          </w:p>
        </w:tc>
        <w:tc>
          <w:tcPr>
            <w:tcW w:w="3602" w:type="dxa"/>
            <w:shd w:val="clear" w:color="auto" w:fill="E8F5F1"/>
          </w:tcPr>
          <w:p>
            <w:pPr>
              <w:pStyle w:val="TableParagraph"/>
              <w:spacing w:line="151" w:lineRule="exact"/>
              <w:ind w:left="245"/>
              <w:rPr>
                <w:sz w:val="15"/>
              </w:rPr>
            </w:pPr>
            <w:r>
              <w:rPr>
                <w:color w:val="231F20"/>
                <w:sz w:val="15"/>
              </w:rPr>
              <w:t>Vocal</w:t>
            </w:r>
            <w:r>
              <w:rPr>
                <w:color w:val="231F20"/>
                <w:spacing w:val="-2"/>
                <w:sz w:val="15"/>
              </w:rPr>
              <w:t> </w:t>
            </w:r>
            <w:r>
              <w:rPr>
                <w:color w:val="231F20"/>
                <w:sz w:val="15"/>
              </w:rPr>
              <w:t>cord,</w:t>
            </w:r>
            <w:r>
              <w:rPr>
                <w:color w:val="231F20"/>
                <w:spacing w:val="-2"/>
                <w:sz w:val="15"/>
              </w:rPr>
              <w:t> </w:t>
            </w:r>
            <w:r>
              <w:rPr>
                <w:color w:val="231F20"/>
                <w:sz w:val="15"/>
              </w:rPr>
              <w:t>diaphragm,</w:t>
            </w:r>
            <w:r>
              <w:rPr>
                <w:color w:val="231F20"/>
                <w:spacing w:val="-1"/>
                <w:sz w:val="15"/>
              </w:rPr>
              <w:t> </w:t>
            </w:r>
            <w:r>
              <w:rPr>
                <w:color w:val="231F20"/>
                <w:sz w:val="15"/>
              </w:rPr>
              <w:t>and</w:t>
            </w:r>
            <w:r>
              <w:rPr>
                <w:color w:val="231F20"/>
                <w:spacing w:val="-2"/>
                <w:sz w:val="15"/>
              </w:rPr>
              <w:t> respiratory</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1" w:lineRule="exact"/>
              <w:ind w:left="153"/>
              <w:rPr>
                <w:i/>
                <w:sz w:val="15"/>
              </w:rPr>
            </w:pPr>
            <w:r>
              <w:rPr>
                <w:i/>
                <w:color w:val="231F20"/>
                <w:spacing w:val="-4"/>
                <w:sz w:val="15"/>
              </w:rPr>
              <w:t>TRP4</w:t>
            </w:r>
          </w:p>
        </w:tc>
      </w:tr>
      <w:tr>
        <w:trPr>
          <w:trHeight w:val="165"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5" w:lineRule="exact"/>
              <w:ind w:left="357"/>
              <w:rPr>
                <w:sz w:val="15"/>
              </w:rPr>
            </w:pPr>
            <w:r>
              <w:rPr>
                <w:color w:val="231F20"/>
                <w:spacing w:val="-2"/>
                <w:sz w:val="15"/>
              </w:rPr>
              <w:t>involvement,</w:t>
            </w:r>
            <w:r>
              <w:rPr>
                <w:color w:val="231F20"/>
                <w:sz w:val="15"/>
              </w:rPr>
              <w:t> </w:t>
            </w:r>
            <w:r>
              <w:rPr>
                <w:color w:val="231F20"/>
                <w:spacing w:val="-2"/>
                <w:sz w:val="15"/>
              </w:rPr>
              <w:t>decreased</w:t>
            </w:r>
            <w:r>
              <w:rPr>
                <w:color w:val="231F20"/>
                <w:spacing w:val="1"/>
                <w:sz w:val="15"/>
              </w:rPr>
              <w:t> </w:t>
            </w:r>
            <w:r>
              <w:rPr>
                <w:color w:val="231F20"/>
                <w:spacing w:val="-2"/>
                <w:sz w:val="15"/>
              </w:rPr>
              <w:t>longevity.</w:t>
            </w:r>
            <w:r>
              <w:rPr>
                <w:color w:val="231F20"/>
                <w:spacing w:val="1"/>
                <w:sz w:val="15"/>
              </w:rPr>
              <w:t> </w:t>
            </w:r>
            <w:r>
              <w:rPr>
                <w:color w:val="231F20"/>
                <w:spacing w:val="-2"/>
                <w:sz w:val="15"/>
              </w:rPr>
              <w:t>Allelic</w:t>
            </w:r>
            <w:r>
              <w:rPr>
                <w:color w:val="231F20"/>
                <w:spacing w:val="1"/>
                <w:sz w:val="15"/>
              </w:rPr>
              <w:t> </w:t>
            </w:r>
            <w:r>
              <w:rPr>
                <w:color w:val="231F20"/>
                <w:spacing w:val="-4"/>
                <w:sz w:val="15"/>
              </w:rPr>
              <w:t>with</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45" w:lineRule="exact"/>
              <w:ind w:left="153"/>
              <w:rPr>
                <w:sz w:val="15"/>
              </w:rPr>
            </w:pPr>
            <w:r>
              <w:rPr>
                <w:color w:val="231F20"/>
                <w:spacing w:val="-2"/>
                <w:w w:val="105"/>
                <w:sz w:val="15"/>
              </w:rPr>
              <w:t>12q23–q24</w:t>
            </w:r>
          </w:p>
        </w:tc>
      </w:tr>
      <w:tr>
        <w:trPr>
          <w:trHeight w:val="169"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50" w:lineRule="exact"/>
              <w:ind w:left="357"/>
              <w:rPr>
                <w:sz w:val="15"/>
              </w:rPr>
            </w:pPr>
            <w:r>
              <w:rPr>
                <w:color w:val="231F20"/>
                <w:sz w:val="15"/>
              </w:rPr>
              <w:t>congenital</w:t>
            </w:r>
            <w:r>
              <w:rPr>
                <w:color w:val="231F20"/>
                <w:spacing w:val="3"/>
                <w:sz w:val="15"/>
              </w:rPr>
              <w:t> </w:t>
            </w:r>
            <w:r>
              <w:rPr>
                <w:color w:val="231F20"/>
                <w:sz w:val="15"/>
              </w:rPr>
              <w:t>dSMA</w:t>
            </w:r>
            <w:r>
              <w:rPr>
                <w:color w:val="231F20"/>
                <w:spacing w:val="4"/>
                <w:sz w:val="15"/>
              </w:rPr>
              <w:t> </w:t>
            </w:r>
            <w:r>
              <w:rPr>
                <w:color w:val="231F20"/>
                <w:sz w:val="15"/>
              </w:rPr>
              <w:t>(600175)</w:t>
            </w:r>
            <w:r>
              <w:rPr>
                <w:color w:val="231F20"/>
                <w:spacing w:val="4"/>
                <w:sz w:val="15"/>
              </w:rPr>
              <w:t> </w:t>
            </w:r>
            <w:r>
              <w:rPr>
                <w:color w:val="231F20"/>
                <w:spacing w:val="-5"/>
                <w:sz w:val="15"/>
              </w:rPr>
              <w:t>and</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3"/>
              <w:rPr>
                <w:i/>
                <w:sz w:val="15"/>
              </w:rPr>
            </w:pPr>
            <w:r>
              <w:rPr>
                <w:i/>
                <w:color w:val="231F20"/>
                <w:spacing w:val="-4"/>
                <w:sz w:val="15"/>
              </w:rPr>
              <w:t>TRP4</w:t>
            </w:r>
          </w:p>
        </w:tc>
      </w:tr>
      <w:tr>
        <w:trPr>
          <w:trHeight w:val="166" w:hRule="atLeast"/>
        </w:trPr>
        <w:tc>
          <w:tcPr>
            <w:tcW w:w="2056" w:type="dxa"/>
            <w:shd w:val="clear" w:color="auto" w:fill="E8F5F1"/>
          </w:tcPr>
          <w:p>
            <w:pPr>
              <w:pStyle w:val="TableParagraph"/>
              <w:rPr>
                <w:rFonts w:ascii="Times New Roman"/>
                <w:sz w:val="10"/>
              </w:rPr>
            </w:pPr>
          </w:p>
        </w:tc>
        <w:tc>
          <w:tcPr>
            <w:tcW w:w="3602" w:type="dxa"/>
            <w:shd w:val="clear" w:color="auto" w:fill="E8F5F1"/>
          </w:tcPr>
          <w:p>
            <w:pPr>
              <w:pStyle w:val="TableParagraph"/>
              <w:spacing w:line="147" w:lineRule="exact"/>
              <w:ind w:left="357"/>
              <w:rPr>
                <w:sz w:val="15"/>
              </w:rPr>
            </w:pPr>
            <w:r>
              <w:rPr>
                <w:color w:val="231F20"/>
                <w:sz w:val="15"/>
              </w:rPr>
              <w:t>scapuloperoneal</w:t>
            </w:r>
            <w:r>
              <w:rPr>
                <w:color w:val="231F20"/>
                <w:spacing w:val="-9"/>
                <w:sz w:val="15"/>
              </w:rPr>
              <w:t> </w:t>
            </w:r>
            <w:r>
              <w:rPr>
                <w:color w:val="231F20"/>
                <w:sz w:val="15"/>
              </w:rPr>
              <w:t>muscular</w:t>
            </w:r>
            <w:r>
              <w:rPr>
                <w:color w:val="231F20"/>
                <w:spacing w:val="-8"/>
                <w:sz w:val="15"/>
              </w:rPr>
              <w:t> </w:t>
            </w:r>
            <w:r>
              <w:rPr>
                <w:color w:val="231F20"/>
                <w:sz w:val="15"/>
              </w:rPr>
              <w:t>atrophy</w:t>
            </w:r>
            <w:r>
              <w:rPr>
                <w:color w:val="231F20"/>
                <w:spacing w:val="-9"/>
                <w:sz w:val="15"/>
              </w:rPr>
              <w:t> </w:t>
            </w:r>
            <w:r>
              <w:rPr>
                <w:color w:val="231F20"/>
                <w:spacing w:val="-2"/>
                <w:sz w:val="15"/>
              </w:rPr>
              <w:t>(181405)</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pacing w:val="-4"/>
                <w:sz w:val="15"/>
              </w:rPr>
              <w:t>2D</w:t>
            </w:r>
            <w:r>
              <w:rPr>
                <w:color w:val="231F20"/>
                <w:sz w:val="15"/>
              </w:rPr>
              <w:t> </w:t>
            </w:r>
            <w:r>
              <w:rPr>
                <w:color w:val="231F20"/>
                <w:spacing w:val="-4"/>
                <w:sz w:val="15"/>
              </w:rPr>
              <w:t>(601472)</w:t>
            </w:r>
            <w:r>
              <w:rPr>
                <w:color w:val="231F20"/>
                <w:sz w:val="15"/>
              </w:rPr>
              <w:t> </w:t>
            </w:r>
            <w:r>
              <w:rPr>
                <w:color w:val="231F20"/>
                <w:spacing w:val="-4"/>
                <w:sz w:val="15"/>
              </w:rPr>
              <w:t>(allelic</w:t>
            </w:r>
            <w:r>
              <w:rPr>
                <w:color w:val="231F20"/>
                <w:sz w:val="15"/>
              </w:rPr>
              <w:t> </w:t>
            </w:r>
            <w:r>
              <w:rPr>
                <w:color w:val="231F20"/>
                <w:spacing w:val="-5"/>
                <w:sz w:val="15"/>
              </w:rPr>
              <w:t>to</w:t>
            </w:r>
          </w:p>
        </w:tc>
        <w:tc>
          <w:tcPr>
            <w:tcW w:w="3602" w:type="dxa"/>
            <w:shd w:val="clear" w:color="auto" w:fill="E8F5F1"/>
          </w:tcPr>
          <w:p>
            <w:pPr>
              <w:pStyle w:val="TableParagraph"/>
              <w:spacing w:line="150" w:lineRule="exact"/>
              <w:ind w:left="245"/>
              <w:rPr>
                <w:sz w:val="15"/>
              </w:rPr>
            </w:pPr>
            <w:r>
              <w:rPr>
                <w:color w:val="231F20"/>
                <w:sz w:val="15"/>
              </w:rPr>
              <w:t>Upper</w:t>
            </w:r>
            <w:r>
              <w:rPr>
                <w:color w:val="231F20"/>
                <w:spacing w:val="4"/>
                <w:sz w:val="15"/>
              </w:rPr>
              <w:t> </w:t>
            </w:r>
            <w:r>
              <w:rPr>
                <w:color w:val="231F20"/>
                <w:sz w:val="15"/>
              </w:rPr>
              <w:t>limb</w:t>
            </w:r>
            <w:r>
              <w:rPr>
                <w:color w:val="231F20"/>
                <w:spacing w:val="4"/>
                <w:sz w:val="15"/>
              </w:rPr>
              <w:t> </w:t>
            </w:r>
            <w:r>
              <w:rPr>
                <w:color w:val="231F20"/>
                <w:spacing w:val="-2"/>
                <w:sz w:val="15"/>
              </w:rPr>
              <w:t>predominance</w:t>
            </w: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spacing w:line="150" w:lineRule="exact"/>
              <w:ind w:left="152"/>
              <w:rPr>
                <w:i/>
                <w:sz w:val="15"/>
              </w:rPr>
            </w:pPr>
            <w:r>
              <w:rPr>
                <w:i/>
                <w:color w:val="231F20"/>
                <w:spacing w:val="-4"/>
                <w:w w:val="110"/>
                <w:sz w:val="15"/>
              </w:rPr>
              <w:t>GARS</w:t>
            </w:r>
          </w:p>
        </w:tc>
      </w:tr>
      <w:tr>
        <w:trPr>
          <w:trHeight w:val="166" w:hRule="atLeast"/>
        </w:trPr>
        <w:tc>
          <w:tcPr>
            <w:tcW w:w="2056" w:type="dxa"/>
            <w:shd w:val="clear" w:color="auto" w:fill="E8F5F1"/>
          </w:tcPr>
          <w:p>
            <w:pPr>
              <w:pStyle w:val="TableParagraph"/>
              <w:spacing w:line="147" w:lineRule="exact"/>
              <w:ind w:left="186"/>
              <w:rPr>
                <w:sz w:val="15"/>
              </w:rPr>
            </w:pPr>
            <w:r>
              <w:rPr>
                <w:color w:val="231F20"/>
                <w:spacing w:val="-2"/>
                <w:w w:val="110"/>
                <w:sz w:val="15"/>
              </w:rPr>
              <w:t>dSMA)</w:t>
            </w:r>
          </w:p>
        </w:tc>
        <w:tc>
          <w:tcPr>
            <w:tcW w:w="3602" w:type="dxa"/>
            <w:shd w:val="clear" w:color="auto" w:fill="E8F5F1"/>
          </w:tcPr>
          <w:p>
            <w:pPr>
              <w:pStyle w:val="TableParagraph"/>
              <w:rPr>
                <w:rFonts w:ascii="Times New Roman"/>
                <w:sz w:val="10"/>
              </w:rPr>
            </w:pPr>
          </w:p>
        </w:tc>
        <w:tc>
          <w:tcPr>
            <w:tcW w:w="2599" w:type="dxa"/>
            <w:shd w:val="clear" w:color="auto" w:fill="E8F5F1"/>
          </w:tcPr>
          <w:p>
            <w:pPr>
              <w:pStyle w:val="TableParagraph"/>
              <w:rPr>
                <w:rFonts w:ascii="Times New Roman"/>
                <w:sz w:val="10"/>
              </w:rPr>
            </w:pPr>
          </w:p>
        </w:tc>
        <w:tc>
          <w:tcPr>
            <w:tcW w:w="1551" w:type="dxa"/>
            <w:shd w:val="clear" w:color="auto" w:fill="E8F5F1"/>
          </w:tcPr>
          <w:p>
            <w:pPr>
              <w:pStyle w:val="TableParagraph"/>
              <w:rPr>
                <w:rFonts w:ascii="Times New Roman"/>
                <w:sz w:val="10"/>
              </w:rPr>
            </w:pPr>
          </w:p>
        </w:tc>
      </w:tr>
      <w:tr>
        <w:trPr>
          <w:trHeight w:val="541" w:hRule="atLeast"/>
        </w:trPr>
        <w:tc>
          <w:tcPr>
            <w:tcW w:w="2056" w:type="dxa"/>
            <w:tcBorders>
              <w:bottom w:val="single" w:sz="8" w:space="0" w:color="231F20"/>
            </w:tcBorders>
            <w:shd w:val="clear" w:color="auto" w:fill="E8F5F1"/>
          </w:tcPr>
          <w:p>
            <w:pPr>
              <w:pStyle w:val="TableParagraph"/>
              <w:spacing w:line="230" w:lineRule="auto" w:before="1"/>
              <w:ind w:left="186" w:hanging="112"/>
              <w:rPr>
                <w:sz w:val="15"/>
              </w:rPr>
            </w:pPr>
            <w:r>
              <w:rPr>
                <w:color w:val="231F20"/>
                <w:spacing w:val="-2"/>
                <w:sz w:val="15"/>
              </w:rPr>
              <w:t>2E</w:t>
            </w:r>
            <w:r>
              <w:rPr>
                <w:color w:val="231F20"/>
                <w:spacing w:val="-8"/>
                <w:sz w:val="15"/>
              </w:rPr>
              <w:t> </w:t>
            </w:r>
            <w:r>
              <w:rPr>
                <w:color w:val="231F20"/>
                <w:spacing w:val="-2"/>
                <w:sz w:val="15"/>
              </w:rPr>
              <w:t>(607684)</w:t>
            </w:r>
            <w:r>
              <w:rPr>
                <w:color w:val="231F20"/>
                <w:spacing w:val="-8"/>
                <w:sz w:val="15"/>
              </w:rPr>
              <w:t> </w:t>
            </w:r>
            <w:r>
              <w:rPr>
                <w:color w:val="231F20"/>
                <w:spacing w:val="-2"/>
                <w:sz w:val="15"/>
              </w:rPr>
              <w:t>(1F</w:t>
            </w:r>
            <w:r>
              <w:rPr>
                <w:color w:val="231F20"/>
                <w:spacing w:val="-8"/>
                <w:sz w:val="15"/>
              </w:rPr>
              <w:t> </w:t>
            </w:r>
            <w:r>
              <w:rPr>
                <w:color w:val="231F20"/>
                <w:spacing w:val="-2"/>
                <w:sz w:val="15"/>
              </w:rPr>
              <w:t>dominant</w:t>
            </w:r>
            <w:r>
              <w:rPr>
                <w:color w:val="231F20"/>
                <w:spacing w:val="-8"/>
                <w:sz w:val="15"/>
              </w:rPr>
              <w:t> </w:t>
            </w:r>
            <w:r>
              <w:rPr>
                <w:color w:val="231F20"/>
                <w:spacing w:val="-2"/>
                <w:sz w:val="15"/>
              </w:rPr>
              <w:t>is </w:t>
            </w:r>
            <w:r>
              <w:rPr>
                <w:color w:val="231F20"/>
                <w:sz w:val="15"/>
              </w:rPr>
              <w:t>allelic to CMT2E)</w:t>
            </w:r>
          </w:p>
        </w:tc>
        <w:tc>
          <w:tcPr>
            <w:tcW w:w="3602" w:type="dxa"/>
            <w:tcBorders>
              <w:bottom w:val="single" w:sz="8" w:space="0" w:color="231F20"/>
            </w:tcBorders>
            <w:shd w:val="clear" w:color="auto" w:fill="E8F5F1"/>
          </w:tcPr>
          <w:p>
            <w:pPr>
              <w:pStyle w:val="TableParagraph"/>
              <w:spacing w:line="230" w:lineRule="auto" w:before="1"/>
              <w:ind w:left="357" w:hanging="112"/>
              <w:rPr>
                <w:sz w:val="15"/>
              </w:rPr>
            </w:pPr>
            <w:r>
              <w:rPr>
                <w:color w:val="231F20"/>
                <w:sz w:val="15"/>
              </w:rPr>
              <w:t>30% associated with deafness, early childhood onset with gait abnormalities, occasional </w:t>
            </w:r>
            <w:r>
              <w:rPr>
                <w:color w:val="231F20"/>
                <w:spacing w:val="-2"/>
                <w:sz w:val="15"/>
              </w:rPr>
              <w:t>hyperkeratosis, increased sensory </w:t>
            </w:r>
            <w:r>
              <w:rPr>
                <w:color w:val="231F20"/>
                <w:spacing w:val="-2"/>
                <w:sz w:val="15"/>
              </w:rPr>
              <w:t>involvement</w:t>
            </w:r>
          </w:p>
        </w:tc>
        <w:tc>
          <w:tcPr>
            <w:tcW w:w="2599" w:type="dxa"/>
            <w:tcBorders>
              <w:bottom w:val="single" w:sz="8" w:space="0" w:color="231F20"/>
            </w:tcBorders>
            <w:shd w:val="clear" w:color="auto" w:fill="E8F5F1"/>
          </w:tcPr>
          <w:p>
            <w:pPr>
              <w:pStyle w:val="TableParagraph"/>
              <w:spacing w:line="230" w:lineRule="auto" w:before="1"/>
              <w:ind w:left="272" w:right="213" w:hanging="112"/>
              <w:rPr>
                <w:sz w:val="15"/>
              </w:rPr>
            </w:pPr>
            <w:r>
              <w:rPr>
                <w:color w:val="231F20"/>
                <w:spacing w:val="-4"/>
                <w:sz w:val="15"/>
              </w:rPr>
              <w:t>Intermediate/slow</w:t>
            </w:r>
            <w:r>
              <w:rPr>
                <w:color w:val="231F20"/>
                <w:spacing w:val="-8"/>
                <w:sz w:val="15"/>
              </w:rPr>
              <w:t> </w:t>
            </w:r>
            <w:r>
              <w:rPr>
                <w:color w:val="231F20"/>
                <w:spacing w:val="-4"/>
                <w:sz w:val="15"/>
              </w:rPr>
              <w:t>nerve </w:t>
            </w:r>
            <w:r>
              <w:rPr>
                <w:color w:val="231F20"/>
                <w:sz w:val="15"/>
              </w:rPr>
              <w:t>conduction studies</w:t>
            </w:r>
          </w:p>
        </w:tc>
        <w:tc>
          <w:tcPr>
            <w:tcW w:w="1551" w:type="dxa"/>
            <w:tcBorders>
              <w:bottom w:val="single" w:sz="8" w:space="0" w:color="231F20"/>
            </w:tcBorders>
            <w:shd w:val="clear" w:color="auto" w:fill="E8F5F1"/>
          </w:tcPr>
          <w:p>
            <w:pPr>
              <w:pStyle w:val="TableParagraph"/>
              <w:spacing w:line="170" w:lineRule="exact"/>
              <w:ind w:left="152"/>
              <w:rPr>
                <w:i/>
                <w:sz w:val="15"/>
              </w:rPr>
            </w:pPr>
            <w:r>
              <w:rPr>
                <w:i/>
                <w:color w:val="231F20"/>
                <w:spacing w:val="-4"/>
                <w:w w:val="110"/>
                <w:sz w:val="15"/>
              </w:rPr>
              <w:t>NEFL</w:t>
            </w:r>
          </w:p>
        </w:tc>
      </w:tr>
    </w:tbl>
    <w:p>
      <w:pPr>
        <w:pStyle w:val="Heading7"/>
        <w:spacing w:before="79"/>
        <w:ind w:right="411"/>
        <w:rPr>
          <w:rFonts w:ascii="Trebuchet MS"/>
        </w:rPr>
      </w:pPr>
      <w:r>
        <w:rPr>
          <w:rFonts w:ascii="Trebuchet MS"/>
          <w:color w:val="231F20"/>
          <w:spacing w:val="-2"/>
        </w:rPr>
        <w:t>Continued</w:t>
      </w:r>
    </w:p>
    <w:p>
      <w:pPr>
        <w:pStyle w:val="Heading7"/>
        <w:spacing w:after="0"/>
        <w:rPr>
          <w:rFonts w:ascii="Trebuchet MS"/>
        </w:rPr>
        <w:sectPr>
          <w:pgSz w:w="11900" w:h="16840"/>
          <w:pgMar w:header="452" w:footer="0" w:top="118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045" name="Group 1045"/>
                <wp:cNvGraphicFramePr>
                  <a:graphicFrameLocks/>
                </wp:cNvGraphicFramePr>
                <a:graphic>
                  <a:graphicData uri="http://schemas.microsoft.com/office/word/2010/wordprocessingGroup">
                    <wpg:wgp>
                      <wpg:cNvPr id="1045" name="Group 1045"/>
                      <wpg:cNvGrpSpPr/>
                      <wpg:grpSpPr>
                        <a:xfrm>
                          <a:off x="0" y="0"/>
                          <a:ext cx="6185535" cy="170815"/>
                          <a:chExt cx="6185535" cy="170815"/>
                        </a:xfrm>
                      </wpg:grpSpPr>
                      <wps:wsp>
                        <wps:cNvPr id="1046" name="Graphic 1046"/>
                        <wps:cNvSpPr/>
                        <wps:spPr>
                          <a:xfrm>
                            <a:off x="6161574"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47" name="Graphic 1047"/>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48" name="Textbox 104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3000</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36" coordorigin="0,0" coordsize="9741,269">
                <v:line style="position:absolute" from="9703,145" to="9741,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37" filled="false" stroked="false">
                  <v:textbox inset="0,0,0,0">
                    <w:txbxContent>
                      <w:p>
                        <w:pPr>
                          <w:spacing w:before="6"/>
                          <w:ind w:left="-1" w:right="0" w:firstLine="0"/>
                          <w:jc w:val="left"/>
                          <w:rPr>
                            <w:sz w:val="18"/>
                          </w:rPr>
                        </w:pPr>
                        <w:r>
                          <w:rPr>
                            <w:b/>
                            <w:color w:val="231F20"/>
                            <w:w w:val="105"/>
                            <w:sz w:val="18"/>
                          </w:rPr>
                          <w:t>3000</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v:group>
            </w:pict>
          </mc:Fallback>
        </mc:AlternateContent>
      </w:r>
      <w:r>
        <w:rPr>
          <w:sz w:val="20"/>
        </w:rPr>
      </w:r>
    </w:p>
    <w:p>
      <w:pPr>
        <w:pStyle w:val="BodyText"/>
        <w:spacing w:before="11"/>
        <w:rPr>
          <w:i/>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6"/>
        <w:gridCol w:w="3608"/>
        <w:gridCol w:w="2593"/>
        <w:gridCol w:w="1484"/>
      </w:tblGrid>
      <w:tr>
        <w:trPr>
          <w:trHeight w:val="373" w:hRule="atLeast"/>
        </w:trPr>
        <w:tc>
          <w:tcPr>
            <w:tcW w:w="2056"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613-1</w:t>
            </w:r>
            <w:r>
              <w:rPr>
                <w:b/>
                <w:color w:val="FFFFFF"/>
                <w:spacing w:val="32"/>
                <w:w w:val="105"/>
                <w:sz w:val="16"/>
              </w:rPr>
              <w:t>  </w:t>
            </w:r>
            <w:r>
              <w:rPr>
                <w:color w:val="FFFFFF"/>
                <w:spacing w:val="-2"/>
                <w:w w:val="105"/>
                <w:sz w:val="16"/>
              </w:rPr>
              <w:t>Hereditary</w:t>
            </w:r>
          </w:p>
        </w:tc>
        <w:tc>
          <w:tcPr>
            <w:tcW w:w="7685" w:type="dxa"/>
            <w:gridSpan w:val="3"/>
            <w:shd w:val="clear" w:color="auto" w:fill="231F20"/>
          </w:tcPr>
          <w:p>
            <w:pPr>
              <w:pStyle w:val="TableParagraph"/>
              <w:spacing w:before="89"/>
              <w:ind w:left="27"/>
              <w:rPr>
                <w:sz w:val="16"/>
              </w:rPr>
            </w:pPr>
            <w:r>
              <w:rPr>
                <w:color w:val="FFFFFF"/>
                <w:w w:val="105"/>
                <w:sz w:val="16"/>
              </w:rPr>
              <w:t>Peripheral</w:t>
            </w:r>
            <w:r>
              <w:rPr>
                <w:color w:val="FFFFFF"/>
                <w:spacing w:val="32"/>
                <w:w w:val="105"/>
                <w:sz w:val="16"/>
              </w:rPr>
              <w:t> </w:t>
            </w:r>
            <w:r>
              <w:rPr>
                <w:color w:val="FFFFFF"/>
                <w:w w:val="105"/>
                <w:sz w:val="16"/>
              </w:rPr>
              <w:t>Neuropathies—</w:t>
            </w:r>
            <w:r>
              <w:rPr>
                <w:color w:val="FFFFFF"/>
                <w:spacing w:val="-2"/>
                <w:w w:val="105"/>
                <w:sz w:val="16"/>
              </w:rPr>
              <w:t>cont’d</w:t>
            </w:r>
          </w:p>
        </w:tc>
      </w:tr>
      <w:tr>
        <w:trPr>
          <w:trHeight w:val="257" w:hRule="atLeast"/>
        </w:trPr>
        <w:tc>
          <w:tcPr>
            <w:tcW w:w="2056" w:type="dxa"/>
            <w:tcBorders>
              <w:bottom w:val="single" w:sz="4" w:space="0" w:color="231F20"/>
            </w:tcBorders>
            <w:shd w:val="clear" w:color="auto" w:fill="E8F5F1"/>
          </w:tcPr>
          <w:p>
            <w:pPr>
              <w:pStyle w:val="TableParagraph"/>
              <w:spacing w:before="47"/>
              <w:ind w:left="74"/>
              <w:rPr>
                <w:b/>
                <w:sz w:val="15"/>
              </w:rPr>
            </w:pPr>
            <w:r>
              <w:rPr>
                <w:b/>
                <w:color w:val="231F20"/>
                <w:w w:val="110"/>
                <w:sz w:val="15"/>
              </w:rPr>
              <w:t>DISORDER</w:t>
            </w:r>
            <w:r>
              <w:rPr>
                <w:b/>
                <w:color w:val="231F20"/>
                <w:spacing w:val="22"/>
                <w:w w:val="110"/>
                <w:sz w:val="15"/>
              </w:rPr>
              <w:t> </w:t>
            </w:r>
            <w:r>
              <w:rPr>
                <w:b/>
                <w:color w:val="231F20"/>
                <w:w w:val="110"/>
                <w:sz w:val="15"/>
              </w:rPr>
              <w:t>(OMIM</w:t>
            </w:r>
            <w:r>
              <w:rPr>
                <w:b/>
                <w:color w:val="231F20"/>
                <w:spacing w:val="22"/>
                <w:w w:val="110"/>
                <w:sz w:val="15"/>
              </w:rPr>
              <w:t> </w:t>
            </w:r>
            <w:r>
              <w:rPr>
                <w:b/>
                <w:color w:val="231F20"/>
                <w:spacing w:val="-4"/>
                <w:w w:val="110"/>
                <w:sz w:val="15"/>
              </w:rPr>
              <w:t>NO.)</w:t>
            </w:r>
          </w:p>
        </w:tc>
        <w:tc>
          <w:tcPr>
            <w:tcW w:w="3608" w:type="dxa"/>
            <w:tcBorders>
              <w:bottom w:val="single" w:sz="4" w:space="0" w:color="231F20"/>
            </w:tcBorders>
            <w:shd w:val="clear" w:color="auto" w:fill="E8F5F1"/>
          </w:tcPr>
          <w:p>
            <w:pPr>
              <w:pStyle w:val="TableParagraph"/>
              <w:spacing w:before="47"/>
              <w:ind w:left="245"/>
              <w:rPr>
                <w:b/>
                <w:sz w:val="15"/>
              </w:rPr>
            </w:pPr>
            <w:r>
              <w:rPr>
                <w:b/>
                <w:color w:val="231F20"/>
                <w:w w:val="110"/>
                <w:sz w:val="15"/>
              </w:rPr>
              <w:t>CLINICAL</w:t>
            </w:r>
            <w:r>
              <w:rPr>
                <w:b/>
                <w:color w:val="231F20"/>
                <w:spacing w:val="-4"/>
                <w:w w:val="110"/>
                <w:sz w:val="15"/>
              </w:rPr>
              <w:t> </w:t>
            </w:r>
            <w:r>
              <w:rPr>
                <w:b/>
                <w:color w:val="231F20"/>
                <w:spacing w:val="-2"/>
                <w:w w:val="110"/>
                <w:sz w:val="15"/>
              </w:rPr>
              <w:t>FEATURES</w:t>
            </w:r>
          </w:p>
        </w:tc>
        <w:tc>
          <w:tcPr>
            <w:tcW w:w="2593" w:type="dxa"/>
            <w:tcBorders>
              <w:bottom w:val="single" w:sz="4" w:space="0" w:color="231F20"/>
            </w:tcBorders>
            <w:shd w:val="clear" w:color="auto" w:fill="E8F5F1"/>
          </w:tcPr>
          <w:p>
            <w:pPr>
              <w:pStyle w:val="TableParagraph"/>
              <w:spacing w:before="47"/>
              <w:ind w:left="155"/>
              <w:rPr>
                <w:b/>
                <w:sz w:val="15"/>
              </w:rPr>
            </w:pPr>
            <w:r>
              <w:rPr>
                <w:b/>
                <w:color w:val="231F20"/>
                <w:w w:val="110"/>
                <w:sz w:val="15"/>
              </w:rPr>
              <w:t>NERVE</w:t>
            </w:r>
            <w:r>
              <w:rPr>
                <w:b/>
                <w:color w:val="231F20"/>
                <w:spacing w:val="20"/>
                <w:w w:val="110"/>
                <w:sz w:val="15"/>
              </w:rPr>
              <w:t> </w:t>
            </w:r>
            <w:r>
              <w:rPr>
                <w:b/>
                <w:color w:val="231F20"/>
                <w:w w:val="110"/>
                <w:sz w:val="15"/>
              </w:rPr>
              <w:t>CONDUCTION</w:t>
            </w:r>
            <w:r>
              <w:rPr>
                <w:b/>
                <w:color w:val="231F20"/>
                <w:spacing w:val="21"/>
                <w:w w:val="110"/>
                <w:sz w:val="15"/>
              </w:rPr>
              <w:t> </w:t>
            </w:r>
            <w:r>
              <w:rPr>
                <w:b/>
                <w:color w:val="231F20"/>
                <w:spacing w:val="-2"/>
                <w:w w:val="110"/>
                <w:sz w:val="15"/>
              </w:rPr>
              <w:t>STUDIES</w:t>
            </w:r>
          </w:p>
        </w:tc>
        <w:tc>
          <w:tcPr>
            <w:tcW w:w="1484" w:type="dxa"/>
            <w:tcBorders>
              <w:bottom w:val="single" w:sz="4" w:space="0" w:color="231F20"/>
            </w:tcBorders>
            <w:shd w:val="clear" w:color="auto" w:fill="E8F5F1"/>
          </w:tcPr>
          <w:p>
            <w:pPr>
              <w:pStyle w:val="TableParagraph"/>
              <w:spacing w:before="47"/>
              <w:ind w:left="153"/>
              <w:rPr>
                <w:b/>
                <w:sz w:val="15"/>
              </w:rPr>
            </w:pPr>
            <w:r>
              <w:rPr>
                <w:b/>
                <w:color w:val="231F20"/>
                <w:w w:val="110"/>
                <w:sz w:val="15"/>
              </w:rPr>
              <w:t>GENE</w:t>
            </w:r>
            <w:r>
              <w:rPr>
                <w:b/>
                <w:color w:val="231F20"/>
                <w:spacing w:val="11"/>
                <w:w w:val="110"/>
                <w:sz w:val="15"/>
              </w:rPr>
              <w:t> </w:t>
            </w:r>
            <w:r>
              <w:rPr>
                <w:b/>
                <w:color w:val="231F20"/>
                <w:w w:val="110"/>
                <w:sz w:val="15"/>
              </w:rPr>
              <w:t>OR</w:t>
            </w:r>
            <w:r>
              <w:rPr>
                <w:b/>
                <w:color w:val="231F20"/>
                <w:spacing w:val="12"/>
                <w:w w:val="110"/>
                <w:sz w:val="15"/>
              </w:rPr>
              <w:t> </w:t>
            </w:r>
            <w:r>
              <w:rPr>
                <w:b/>
                <w:color w:val="231F20"/>
                <w:spacing w:val="-2"/>
                <w:w w:val="110"/>
                <w:sz w:val="15"/>
              </w:rPr>
              <w:t>LOCUS</w:t>
            </w:r>
          </w:p>
        </w:tc>
      </w:tr>
      <w:tr>
        <w:trPr>
          <w:trHeight w:val="202" w:hRule="atLeast"/>
        </w:trPr>
        <w:tc>
          <w:tcPr>
            <w:tcW w:w="2056" w:type="dxa"/>
            <w:tcBorders>
              <w:top w:val="single" w:sz="4" w:space="0" w:color="231F20"/>
            </w:tcBorders>
            <w:shd w:val="clear" w:color="auto" w:fill="E8F5F1"/>
          </w:tcPr>
          <w:p>
            <w:pPr>
              <w:pStyle w:val="TableParagraph"/>
              <w:spacing w:line="154" w:lineRule="exact" w:before="28"/>
              <w:ind w:left="74"/>
              <w:rPr>
                <w:sz w:val="15"/>
              </w:rPr>
            </w:pPr>
            <w:r>
              <w:rPr>
                <w:color w:val="231F20"/>
                <w:sz w:val="15"/>
              </w:rPr>
              <w:t>2F</w:t>
            </w:r>
            <w:r>
              <w:rPr>
                <w:color w:val="231F20"/>
                <w:spacing w:val="4"/>
                <w:sz w:val="15"/>
              </w:rPr>
              <w:t> </w:t>
            </w:r>
            <w:r>
              <w:rPr>
                <w:color w:val="231F20"/>
                <w:spacing w:val="-2"/>
                <w:sz w:val="15"/>
              </w:rPr>
              <w:t>(606595)</w:t>
            </w:r>
          </w:p>
        </w:tc>
        <w:tc>
          <w:tcPr>
            <w:tcW w:w="3608" w:type="dxa"/>
            <w:tcBorders>
              <w:top w:val="single" w:sz="4" w:space="0" w:color="231F20"/>
            </w:tcBorders>
            <w:shd w:val="clear" w:color="auto" w:fill="E8F5F1"/>
          </w:tcPr>
          <w:p>
            <w:pPr>
              <w:pStyle w:val="TableParagraph"/>
              <w:spacing w:line="154" w:lineRule="exact" w:before="28"/>
              <w:ind w:left="245"/>
              <w:rPr>
                <w:sz w:val="15"/>
              </w:rPr>
            </w:pPr>
            <w:r>
              <w:rPr>
                <w:color w:val="231F20"/>
                <w:sz w:val="15"/>
              </w:rPr>
              <w:t>Trophic changes</w:t>
            </w:r>
            <w:r>
              <w:rPr>
                <w:color w:val="231F20"/>
                <w:spacing w:val="1"/>
                <w:sz w:val="15"/>
              </w:rPr>
              <w:t> </w:t>
            </w:r>
            <w:r>
              <w:rPr>
                <w:color w:val="231F20"/>
                <w:sz w:val="15"/>
              </w:rPr>
              <w:t>feet</w:t>
            </w:r>
            <w:r>
              <w:rPr>
                <w:color w:val="231F20"/>
                <w:spacing w:val="1"/>
                <w:sz w:val="15"/>
              </w:rPr>
              <w:t> </w:t>
            </w:r>
            <w:r>
              <w:rPr>
                <w:color w:val="231F20"/>
                <w:sz w:val="15"/>
              </w:rPr>
              <w:t>and </w:t>
            </w:r>
            <w:r>
              <w:rPr>
                <w:color w:val="231F20"/>
                <w:spacing w:val="-2"/>
                <w:sz w:val="15"/>
              </w:rPr>
              <w:t>knees</w:t>
            </w:r>
          </w:p>
        </w:tc>
        <w:tc>
          <w:tcPr>
            <w:tcW w:w="2593" w:type="dxa"/>
            <w:tcBorders>
              <w:top w:val="single" w:sz="4" w:space="0" w:color="231F20"/>
            </w:tcBorders>
            <w:shd w:val="clear" w:color="auto" w:fill="E8F5F1"/>
          </w:tcPr>
          <w:p>
            <w:pPr>
              <w:pStyle w:val="TableParagraph"/>
              <w:rPr>
                <w:rFonts w:ascii="Times New Roman"/>
                <w:sz w:val="14"/>
              </w:rPr>
            </w:pPr>
          </w:p>
        </w:tc>
        <w:tc>
          <w:tcPr>
            <w:tcW w:w="1484" w:type="dxa"/>
            <w:tcBorders>
              <w:top w:val="single" w:sz="4" w:space="0" w:color="231F20"/>
            </w:tcBorders>
            <w:shd w:val="clear" w:color="auto" w:fill="E8F5F1"/>
          </w:tcPr>
          <w:p>
            <w:pPr>
              <w:pStyle w:val="TableParagraph"/>
              <w:spacing w:line="154" w:lineRule="exact" w:before="28"/>
              <w:ind w:left="152"/>
              <w:rPr>
                <w:sz w:val="15"/>
              </w:rPr>
            </w:pPr>
            <w:r>
              <w:rPr>
                <w:i/>
                <w:color w:val="231F20"/>
                <w:sz w:val="15"/>
              </w:rPr>
              <w:t>HSPB1</w:t>
            </w:r>
            <w:r>
              <w:rPr>
                <w:i/>
                <w:color w:val="231F20"/>
                <w:spacing w:val="30"/>
                <w:sz w:val="15"/>
              </w:rPr>
              <w:t> </w:t>
            </w:r>
            <w:r>
              <w:rPr>
                <w:color w:val="231F20"/>
                <w:spacing w:val="-2"/>
                <w:sz w:val="15"/>
              </w:rPr>
              <w:t>(</w:t>
            </w:r>
            <w:r>
              <w:rPr>
                <w:i/>
                <w:color w:val="231F20"/>
                <w:spacing w:val="-2"/>
                <w:sz w:val="15"/>
              </w:rPr>
              <w:t>HSP27</w:t>
            </w:r>
            <w:r>
              <w:rPr>
                <w:color w:val="231F20"/>
                <w:spacing w:val="-2"/>
                <w:sz w:val="15"/>
              </w:rPr>
              <w:t>)</w:t>
            </w: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2G</w:t>
            </w:r>
            <w:r>
              <w:rPr>
                <w:color w:val="231F20"/>
                <w:spacing w:val="13"/>
                <w:sz w:val="15"/>
              </w:rPr>
              <w:t> </w:t>
            </w:r>
            <w:r>
              <w:rPr>
                <w:color w:val="231F20"/>
                <w:spacing w:val="-2"/>
                <w:sz w:val="15"/>
              </w:rPr>
              <w:t>(608591)</w:t>
            </w:r>
          </w:p>
        </w:tc>
        <w:tc>
          <w:tcPr>
            <w:tcW w:w="3608" w:type="dxa"/>
            <w:shd w:val="clear" w:color="auto" w:fill="E8F5F1"/>
          </w:tcPr>
          <w:p>
            <w:pPr>
              <w:pStyle w:val="TableParagraph"/>
              <w:spacing w:line="150" w:lineRule="exact"/>
              <w:ind w:left="245"/>
              <w:rPr>
                <w:sz w:val="15"/>
              </w:rPr>
            </w:pPr>
            <w:r>
              <w:rPr>
                <w:color w:val="231F20"/>
                <w:sz w:val="15"/>
              </w:rPr>
              <w:t>Onset</w:t>
            </w:r>
            <w:r>
              <w:rPr>
                <w:color w:val="231F20"/>
                <w:spacing w:val="-3"/>
                <w:sz w:val="15"/>
              </w:rPr>
              <w:t> </w:t>
            </w:r>
            <w:r>
              <w:rPr>
                <w:color w:val="231F20"/>
                <w:sz w:val="15"/>
              </w:rPr>
              <w:t>age</w:t>
            </w:r>
            <w:r>
              <w:rPr>
                <w:color w:val="231F20"/>
                <w:spacing w:val="-3"/>
                <w:sz w:val="15"/>
              </w:rPr>
              <w:t> </w:t>
            </w:r>
            <w:r>
              <w:rPr>
                <w:color w:val="231F20"/>
                <w:sz w:val="15"/>
              </w:rPr>
              <w:t>9-76</w:t>
            </w:r>
            <w:r>
              <w:rPr>
                <w:color w:val="231F20"/>
                <w:spacing w:val="-2"/>
                <w:sz w:val="15"/>
              </w:rPr>
              <w:t> </w:t>
            </w:r>
            <w:r>
              <w:rPr>
                <w:color w:val="231F20"/>
                <w:sz w:val="15"/>
              </w:rPr>
              <w:t>yr,</w:t>
            </w:r>
            <w:r>
              <w:rPr>
                <w:color w:val="231F20"/>
                <w:spacing w:val="-3"/>
                <w:sz w:val="15"/>
              </w:rPr>
              <w:t> </w:t>
            </w:r>
            <w:r>
              <w:rPr>
                <w:color w:val="231F20"/>
                <w:sz w:val="15"/>
              </w:rPr>
              <w:t>average</w:t>
            </w:r>
            <w:r>
              <w:rPr>
                <w:color w:val="231F20"/>
                <w:spacing w:val="-2"/>
                <w:sz w:val="15"/>
              </w:rPr>
              <w:t> </w:t>
            </w:r>
            <w:r>
              <w:rPr>
                <w:color w:val="231F20"/>
                <w:sz w:val="15"/>
              </w:rPr>
              <w:t>age</w:t>
            </w:r>
            <w:r>
              <w:rPr>
                <w:color w:val="231F20"/>
                <w:spacing w:val="-3"/>
                <w:sz w:val="15"/>
              </w:rPr>
              <w:t> </w:t>
            </w:r>
            <w:r>
              <w:rPr>
                <w:color w:val="231F20"/>
                <w:sz w:val="15"/>
              </w:rPr>
              <w:t>20</w:t>
            </w:r>
            <w:r>
              <w:rPr>
                <w:color w:val="231F20"/>
                <w:spacing w:val="-2"/>
                <w:sz w:val="15"/>
              </w:rPr>
              <w:t> </w:t>
            </w:r>
            <w:r>
              <w:rPr>
                <w:color w:val="231F20"/>
                <w:sz w:val="15"/>
              </w:rPr>
              <w:t>yr,</w:t>
            </w:r>
            <w:r>
              <w:rPr>
                <w:color w:val="231F20"/>
                <w:spacing w:val="-3"/>
                <w:sz w:val="15"/>
              </w:rPr>
              <w:t> </w:t>
            </w:r>
            <w:r>
              <w:rPr>
                <w:color w:val="231F20"/>
                <w:spacing w:val="-2"/>
                <w:sz w:val="15"/>
              </w:rPr>
              <w:t>large</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spacing w:line="150" w:lineRule="exact"/>
              <w:ind w:left="152"/>
              <w:rPr>
                <w:sz w:val="15"/>
              </w:rPr>
            </w:pPr>
            <w:r>
              <w:rPr>
                <w:color w:val="231F20"/>
                <w:spacing w:val="-2"/>
                <w:w w:val="105"/>
                <w:sz w:val="15"/>
              </w:rPr>
              <w:t>12q12–q13</w:t>
            </w:r>
          </w:p>
        </w:tc>
      </w:tr>
      <w:tr>
        <w:trPr>
          <w:trHeight w:val="166"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6" w:lineRule="exact"/>
              <w:ind w:left="357"/>
              <w:rPr>
                <w:sz w:val="15"/>
              </w:rPr>
            </w:pPr>
            <w:r>
              <w:rPr>
                <w:color w:val="231F20"/>
                <w:sz w:val="15"/>
              </w:rPr>
              <w:t>Spanish</w:t>
            </w:r>
            <w:r>
              <w:rPr>
                <w:color w:val="231F20"/>
                <w:spacing w:val="-10"/>
                <w:sz w:val="15"/>
              </w:rPr>
              <w:t> </w:t>
            </w:r>
            <w:r>
              <w:rPr>
                <w:color w:val="231F20"/>
                <w:sz w:val="15"/>
              </w:rPr>
              <w:t>family.</w:t>
            </w:r>
            <w:r>
              <w:rPr>
                <w:color w:val="231F20"/>
                <w:spacing w:val="-9"/>
                <w:sz w:val="15"/>
              </w:rPr>
              <w:t> </w:t>
            </w:r>
            <w:r>
              <w:rPr>
                <w:color w:val="231F20"/>
                <w:sz w:val="15"/>
              </w:rPr>
              <w:t>Also</w:t>
            </w:r>
            <w:r>
              <w:rPr>
                <w:color w:val="231F20"/>
                <w:spacing w:val="-9"/>
                <w:sz w:val="15"/>
              </w:rPr>
              <w:t> </w:t>
            </w:r>
            <w:r>
              <w:rPr>
                <w:color w:val="231F20"/>
                <w:sz w:val="15"/>
              </w:rPr>
              <w:t>severe</w:t>
            </w:r>
            <w:r>
              <w:rPr>
                <w:color w:val="231F20"/>
                <w:spacing w:val="-9"/>
                <w:sz w:val="15"/>
              </w:rPr>
              <w:t> </w:t>
            </w:r>
            <w:r>
              <w:rPr>
                <w:color w:val="231F20"/>
                <w:sz w:val="15"/>
              </w:rPr>
              <w:t>form</w:t>
            </w:r>
            <w:r>
              <w:rPr>
                <w:color w:val="231F20"/>
                <w:spacing w:val="-9"/>
                <w:sz w:val="15"/>
              </w:rPr>
              <w:t> </w:t>
            </w:r>
            <w:r>
              <w:rPr>
                <w:color w:val="231F20"/>
                <w:sz w:val="15"/>
              </w:rPr>
              <w:t>with</w:t>
            </w:r>
            <w:r>
              <w:rPr>
                <w:color w:val="231F20"/>
                <w:spacing w:val="-9"/>
                <w:sz w:val="15"/>
              </w:rPr>
              <w:t> </w:t>
            </w:r>
            <w:r>
              <w:rPr>
                <w:color w:val="231F20"/>
                <w:spacing w:val="-2"/>
                <w:sz w:val="15"/>
              </w:rPr>
              <w:t>early</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7" w:lineRule="exact"/>
              <w:ind w:left="357"/>
              <w:rPr>
                <w:sz w:val="15"/>
              </w:rPr>
            </w:pPr>
            <w:r>
              <w:rPr>
                <w:color w:val="231F20"/>
                <w:spacing w:val="-2"/>
                <w:sz w:val="15"/>
              </w:rPr>
              <w:t>onset</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71" w:hRule="atLeast"/>
        </w:trPr>
        <w:tc>
          <w:tcPr>
            <w:tcW w:w="2056" w:type="dxa"/>
            <w:shd w:val="clear" w:color="auto" w:fill="E8F5F1"/>
          </w:tcPr>
          <w:p>
            <w:pPr>
              <w:pStyle w:val="TableParagraph"/>
              <w:spacing w:line="152" w:lineRule="exact"/>
              <w:ind w:left="74"/>
              <w:rPr>
                <w:sz w:val="15"/>
              </w:rPr>
            </w:pPr>
            <w:r>
              <w:rPr>
                <w:color w:val="231F20"/>
                <w:sz w:val="15"/>
              </w:rPr>
              <w:t>2H</w:t>
            </w:r>
            <w:r>
              <w:rPr>
                <w:color w:val="231F20"/>
                <w:spacing w:val="8"/>
                <w:sz w:val="15"/>
              </w:rPr>
              <w:t> </w:t>
            </w:r>
            <w:r>
              <w:rPr>
                <w:color w:val="231F20"/>
                <w:spacing w:val="-2"/>
                <w:sz w:val="15"/>
              </w:rPr>
              <w:t>(607731)</w:t>
            </w:r>
          </w:p>
        </w:tc>
        <w:tc>
          <w:tcPr>
            <w:tcW w:w="3608" w:type="dxa"/>
            <w:shd w:val="clear" w:color="auto" w:fill="E8F5F1"/>
          </w:tcPr>
          <w:p>
            <w:pPr>
              <w:pStyle w:val="TableParagraph"/>
              <w:spacing w:line="152" w:lineRule="exact"/>
              <w:ind w:left="245"/>
              <w:rPr>
                <w:sz w:val="15"/>
              </w:rPr>
            </w:pPr>
            <w:r>
              <w:rPr>
                <w:color w:val="231F20"/>
                <w:spacing w:val="-2"/>
                <w:sz w:val="15"/>
              </w:rPr>
              <w:t>Pyramidal</w:t>
            </w:r>
            <w:r>
              <w:rPr>
                <w:color w:val="231F20"/>
                <w:sz w:val="15"/>
              </w:rPr>
              <w:t> </w:t>
            </w:r>
            <w:r>
              <w:rPr>
                <w:color w:val="231F20"/>
                <w:spacing w:val="-2"/>
                <w:sz w:val="15"/>
              </w:rPr>
              <w:t>involvement,</w:t>
            </w:r>
            <w:r>
              <w:rPr>
                <w:color w:val="231F20"/>
                <w:sz w:val="15"/>
              </w:rPr>
              <w:t> </w:t>
            </w:r>
            <w:r>
              <w:rPr>
                <w:color w:val="231F20"/>
                <w:spacing w:val="-2"/>
                <w:sz w:val="15"/>
              </w:rPr>
              <w:t>vocal</w:t>
            </w:r>
            <w:r>
              <w:rPr>
                <w:color w:val="231F20"/>
                <w:sz w:val="15"/>
              </w:rPr>
              <w:t> </w:t>
            </w:r>
            <w:r>
              <w:rPr>
                <w:color w:val="231F20"/>
                <w:spacing w:val="-2"/>
                <w:sz w:val="15"/>
              </w:rPr>
              <w:t>cord</w:t>
            </w:r>
            <w:r>
              <w:rPr>
                <w:color w:val="231F20"/>
                <w:spacing w:val="1"/>
                <w:sz w:val="15"/>
              </w:rPr>
              <w:t> </w:t>
            </w:r>
            <w:r>
              <w:rPr>
                <w:color w:val="231F20"/>
                <w:spacing w:val="-2"/>
                <w:sz w:val="15"/>
              </w:rPr>
              <w:t>involvement</w:t>
            </w:r>
          </w:p>
        </w:tc>
        <w:tc>
          <w:tcPr>
            <w:tcW w:w="2593" w:type="dxa"/>
            <w:shd w:val="clear" w:color="auto" w:fill="E8F5F1"/>
          </w:tcPr>
          <w:p>
            <w:pPr>
              <w:pStyle w:val="TableParagraph"/>
              <w:spacing w:line="152" w:lineRule="exact"/>
              <w:ind w:left="154"/>
              <w:rPr>
                <w:sz w:val="15"/>
              </w:rPr>
            </w:pPr>
            <w:r>
              <w:rPr>
                <w:color w:val="231F20"/>
                <w:spacing w:val="-4"/>
                <w:sz w:val="15"/>
              </w:rPr>
              <w:t>Intermediate/slow</w:t>
            </w:r>
            <w:r>
              <w:rPr>
                <w:color w:val="231F20"/>
                <w:spacing w:val="6"/>
                <w:sz w:val="15"/>
              </w:rPr>
              <w:t> </w:t>
            </w:r>
            <w:r>
              <w:rPr>
                <w:color w:val="231F20"/>
                <w:spacing w:val="-2"/>
                <w:sz w:val="15"/>
              </w:rPr>
              <w:t>nerve</w:t>
            </w:r>
          </w:p>
        </w:tc>
        <w:tc>
          <w:tcPr>
            <w:tcW w:w="1484" w:type="dxa"/>
            <w:shd w:val="clear" w:color="auto" w:fill="E8F5F1"/>
          </w:tcPr>
          <w:p>
            <w:pPr>
              <w:pStyle w:val="TableParagraph"/>
              <w:spacing w:line="152" w:lineRule="exact"/>
              <w:ind w:left="152"/>
              <w:rPr>
                <w:i/>
                <w:sz w:val="15"/>
              </w:rPr>
            </w:pPr>
            <w:r>
              <w:rPr>
                <w:i/>
                <w:color w:val="231F20"/>
                <w:spacing w:val="-2"/>
                <w:w w:val="110"/>
                <w:sz w:val="15"/>
              </w:rPr>
              <w:t>GDAP1</w:t>
            </w:r>
          </w:p>
        </w:tc>
      </w:tr>
      <w:tr>
        <w:trPr>
          <w:trHeight w:val="167" w:hRule="atLeast"/>
        </w:trPr>
        <w:tc>
          <w:tcPr>
            <w:tcW w:w="2056" w:type="dxa"/>
            <w:shd w:val="clear" w:color="auto" w:fill="E8F5F1"/>
          </w:tcPr>
          <w:p>
            <w:pPr>
              <w:pStyle w:val="TableParagraph"/>
              <w:spacing w:line="148" w:lineRule="exact"/>
              <w:ind w:left="74"/>
              <w:rPr>
                <w:sz w:val="15"/>
              </w:rPr>
            </w:pPr>
            <w:r>
              <w:rPr>
                <w:color w:val="231F20"/>
                <w:spacing w:val="-2"/>
                <w:sz w:val="15"/>
              </w:rPr>
              <w:t>2H</w:t>
            </w:r>
            <w:r>
              <w:rPr>
                <w:color w:val="231F20"/>
                <w:spacing w:val="-7"/>
                <w:sz w:val="15"/>
              </w:rPr>
              <w:t> </w:t>
            </w:r>
            <w:r>
              <w:rPr>
                <w:color w:val="231F20"/>
                <w:spacing w:val="-2"/>
                <w:sz w:val="15"/>
              </w:rPr>
              <w:t>(allelic</w:t>
            </w:r>
            <w:r>
              <w:rPr>
                <w:color w:val="231F20"/>
                <w:spacing w:val="-7"/>
                <w:sz w:val="15"/>
              </w:rPr>
              <w:t> </w:t>
            </w:r>
            <w:r>
              <w:rPr>
                <w:color w:val="231F20"/>
                <w:spacing w:val="-2"/>
                <w:sz w:val="15"/>
              </w:rPr>
              <w:t>to</w:t>
            </w:r>
            <w:r>
              <w:rPr>
                <w:color w:val="231F20"/>
                <w:spacing w:val="-6"/>
                <w:sz w:val="15"/>
              </w:rPr>
              <w:t> </w:t>
            </w:r>
            <w:r>
              <w:rPr>
                <w:color w:val="231F20"/>
                <w:spacing w:val="-2"/>
                <w:sz w:val="15"/>
              </w:rPr>
              <w:t>CMT4A–</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spacing w:line="148" w:lineRule="exact"/>
              <w:ind w:left="266"/>
              <w:rPr>
                <w:sz w:val="15"/>
              </w:rPr>
            </w:pPr>
            <w:r>
              <w:rPr>
                <w:color w:val="231F20"/>
                <w:sz w:val="15"/>
              </w:rPr>
              <w:t>conduction</w:t>
            </w:r>
            <w:r>
              <w:rPr>
                <w:color w:val="231F20"/>
                <w:spacing w:val="1"/>
                <w:sz w:val="15"/>
              </w:rPr>
              <w:t> </w:t>
            </w:r>
            <w:r>
              <w:rPr>
                <w:color w:val="231F20"/>
                <w:spacing w:val="-2"/>
                <w:sz w:val="15"/>
              </w:rPr>
              <w:t>studies</w:t>
            </w:r>
          </w:p>
        </w:tc>
        <w:tc>
          <w:tcPr>
            <w:tcW w:w="1484" w:type="dxa"/>
            <w:shd w:val="clear" w:color="auto" w:fill="E8F5F1"/>
          </w:tcPr>
          <w:p>
            <w:pPr>
              <w:pStyle w:val="TableParagraph"/>
              <w:rPr>
                <w:rFonts w:ascii="Times New Roman"/>
                <w:sz w:val="10"/>
              </w:rPr>
            </w:pPr>
          </w:p>
        </w:tc>
      </w:tr>
      <w:tr>
        <w:trPr>
          <w:trHeight w:val="166" w:hRule="atLeast"/>
        </w:trPr>
        <w:tc>
          <w:tcPr>
            <w:tcW w:w="2056" w:type="dxa"/>
            <w:shd w:val="clear" w:color="auto" w:fill="E8F5F1"/>
          </w:tcPr>
          <w:p>
            <w:pPr>
              <w:pStyle w:val="TableParagraph"/>
              <w:spacing w:line="146" w:lineRule="exact"/>
              <w:ind w:left="186"/>
              <w:rPr>
                <w:sz w:val="15"/>
              </w:rPr>
            </w:pPr>
            <w:r>
              <w:rPr>
                <w:color w:val="231F20"/>
                <w:sz w:val="15"/>
              </w:rPr>
              <w:t>CMT4C2</w:t>
            </w:r>
            <w:r>
              <w:rPr>
                <w:color w:val="231F20"/>
                <w:spacing w:val="24"/>
                <w:sz w:val="15"/>
              </w:rPr>
              <w:t> </w:t>
            </w:r>
            <w:r>
              <w:rPr>
                <w:color w:val="231F20"/>
                <w:sz w:val="15"/>
              </w:rPr>
              <w:t>in</w:t>
            </w:r>
            <w:r>
              <w:rPr>
                <w:color w:val="231F20"/>
                <w:spacing w:val="24"/>
                <w:sz w:val="15"/>
              </w:rPr>
              <w:t> </w:t>
            </w:r>
            <w:r>
              <w:rPr>
                <w:color w:val="231F20"/>
                <w:spacing w:val="-2"/>
                <w:sz w:val="15"/>
              </w:rPr>
              <w:t>original</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8" w:hRule="atLeast"/>
        </w:trPr>
        <w:tc>
          <w:tcPr>
            <w:tcW w:w="2056" w:type="dxa"/>
            <w:shd w:val="clear" w:color="auto" w:fill="E8F5F1"/>
          </w:tcPr>
          <w:p>
            <w:pPr>
              <w:pStyle w:val="TableParagraph"/>
              <w:spacing w:line="149" w:lineRule="exact"/>
              <w:ind w:left="186"/>
              <w:rPr>
                <w:sz w:val="15"/>
              </w:rPr>
            </w:pPr>
            <w:r>
              <w:rPr>
                <w:color w:val="231F20"/>
                <w:spacing w:val="-2"/>
                <w:sz w:val="15"/>
              </w:rPr>
              <w:t>publication)</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2I</w:t>
            </w:r>
            <w:r>
              <w:rPr>
                <w:color w:val="231F20"/>
                <w:spacing w:val="-4"/>
                <w:sz w:val="15"/>
              </w:rPr>
              <w:t> </w:t>
            </w:r>
            <w:r>
              <w:rPr>
                <w:color w:val="231F20"/>
                <w:spacing w:val="-2"/>
                <w:sz w:val="15"/>
              </w:rPr>
              <w:t>(607677)</w:t>
            </w:r>
          </w:p>
        </w:tc>
        <w:tc>
          <w:tcPr>
            <w:tcW w:w="3608" w:type="dxa"/>
            <w:shd w:val="clear" w:color="auto" w:fill="E8F5F1"/>
          </w:tcPr>
          <w:p>
            <w:pPr>
              <w:pStyle w:val="TableParagraph"/>
              <w:spacing w:line="150" w:lineRule="exact"/>
              <w:ind w:left="245"/>
              <w:rPr>
                <w:sz w:val="15"/>
              </w:rPr>
            </w:pPr>
            <w:r>
              <w:rPr>
                <w:color w:val="231F20"/>
                <w:sz w:val="15"/>
              </w:rPr>
              <w:t>CMT</w:t>
            </w:r>
            <w:r>
              <w:rPr>
                <w:color w:val="231F20"/>
                <w:spacing w:val="1"/>
                <w:sz w:val="15"/>
              </w:rPr>
              <w:t> </w:t>
            </w:r>
            <w:r>
              <w:rPr>
                <w:color w:val="231F20"/>
                <w:sz w:val="15"/>
              </w:rPr>
              <w:t>I</w:t>
            </w:r>
            <w:r>
              <w:rPr>
                <w:color w:val="231F20"/>
                <w:spacing w:val="1"/>
                <w:sz w:val="15"/>
              </w:rPr>
              <w:t> </w:t>
            </w:r>
            <w:r>
              <w:rPr>
                <w:color w:val="231F20"/>
                <w:sz w:val="15"/>
              </w:rPr>
              <w:t>and</w:t>
            </w:r>
            <w:r>
              <w:rPr>
                <w:color w:val="231F20"/>
                <w:spacing w:val="2"/>
                <w:sz w:val="15"/>
              </w:rPr>
              <w:t> </w:t>
            </w:r>
            <w:r>
              <w:rPr>
                <w:color w:val="231F20"/>
                <w:sz w:val="15"/>
              </w:rPr>
              <w:t>J:</w:t>
            </w:r>
            <w:r>
              <w:rPr>
                <w:color w:val="231F20"/>
                <w:spacing w:val="1"/>
                <w:sz w:val="15"/>
              </w:rPr>
              <w:t> </w:t>
            </w:r>
            <w:r>
              <w:rPr>
                <w:color w:val="231F20"/>
                <w:sz w:val="15"/>
              </w:rPr>
              <w:t>possible</w:t>
            </w:r>
            <w:r>
              <w:rPr>
                <w:color w:val="231F20"/>
                <w:spacing w:val="1"/>
                <w:sz w:val="15"/>
              </w:rPr>
              <w:t> </w:t>
            </w:r>
            <w:r>
              <w:rPr>
                <w:color w:val="231F20"/>
                <w:sz w:val="15"/>
              </w:rPr>
              <w:t>late</w:t>
            </w:r>
            <w:r>
              <w:rPr>
                <w:color w:val="231F20"/>
                <w:spacing w:val="2"/>
                <w:sz w:val="15"/>
              </w:rPr>
              <w:t> </w:t>
            </w:r>
            <w:r>
              <w:rPr>
                <w:color w:val="231F20"/>
                <w:sz w:val="15"/>
              </w:rPr>
              <w:t>onset,</w:t>
            </w:r>
            <w:r>
              <w:rPr>
                <w:color w:val="231F20"/>
                <w:spacing w:val="1"/>
                <w:sz w:val="15"/>
              </w:rPr>
              <w:t> </w:t>
            </w:r>
            <w:r>
              <w:rPr>
                <w:color w:val="231F20"/>
                <w:spacing w:val="-2"/>
                <w:sz w:val="15"/>
              </w:rPr>
              <w:t>pupillary</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spacing w:line="150" w:lineRule="exact"/>
              <w:ind w:left="152"/>
              <w:rPr>
                <w:i/>
                <w:sz w:val="15"/>
              </w:rPr>
            </w:pPr>
            <w:r>
              <w:rPr>
                <w:i/>
                <w:color w:val="231F20"/>
                <w:spacing w:val="-5"/>
                <w:w w:val="110"/>
                <w:sz w:val="15"/>
              </w:rPr>
              <w:t>MPZ</w:t>
            </w:r>
          </w:p>
        </w:tc>
      </w:tr>
      <w:tr>
        <w:trPr>
          <w:trHeight w:val="166"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7" w:lineRule="exact"/>
              <w:ind w:left="357"/>
              <w:rPr>
                <w:sz w:val="15"/>
              </w:rPr>
            </w:pPr>
            <w:r>
              <w:rPr>
                <w:color w:val="231F20"/>
                <w:spacing w:val="-2"/>
                <w:sz w:val="15"/>
              </w:rPr>
              <w:t>anomalies,</w:t>
            </w:r>
            <w:r>
              <w:rPr>
                <w:color w:val="231F20"/>
                <w:spacing w:val="1"/>
                <w:sz w:val="15"/>
              </w:rPr>
              <w:t> </w:t>
            </w:r>
            <w:r>
              <w:rPr>
                <w:color w:val="231F20"/>
                <w:spacing w:val="-2"/>
                <w:sz w:val="15"/>
              </w:rPr>
              <w:t>pain,</w:t>
            </w:r>
            <w:r>
              <w:rPr>
                <w:color w:val="231F20"/>
                <w:spacing w:val="2"/>
                <w:sz w:val="15"/>
              </w:rPr>
              <w:t> </w:t>
            </w:r>
            <w:r>
              <w:rPr>
                <w:color w:val="231F20"/>
                <w:spacing w:val="-2"/>
                <w:sz w:val="15"/>
              </w:rPr>
              <w:t>hearing</w:t>
            </w:r>
            <w:r>
              <w:rPr>
                <w:color w:val="231F20"/>
                <w:spacing w:val="2"/>
                <w:sz w:val="15"/>
              </w:rPr>
              <w:t> </w:t>
            </w:r>
            <w:r>
              <w:rPr>
                <w:color w:val="231F20"/>
                <w:spacing w:val="-2"/>
                <w:sz w:val="15"/>
              </w:rPr>
              <w:t>loss,</w:t>
            </w:r>
            <w:r>
              <w:rPr>
                <w:color w:val="231F20"/>
                <w:spacing w:val="1"/>
                <w:sz w:val="15"/>
              </w:rPr>
              <w:t> </w:t>
            </w:r>
            <w:r>
              <w:rPr>
                <w:color w:val="231F20"/>
                <w:spacing w:val="-2"/>
                <w:sz w:val="15"/>
              </w:rPr>
              <w:t>dysphagia</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4"/>
              <w:rPr>
                <w:sz w:val="15"/>
              </w:rPr>
            </w:pPr>
            <w:r>
              <w:rPr>
                <w:color w:val="231F20"/>
                <w:sz w:val="15"/>
              </w:rPr>
              <w:t>2J</w:t>
            </w:r>
            <w:r>
              <w:rPr>
                <w:color w:val="231F20"/>
                <w:spacing w:val="-1"/>
                <w:sz w:val="15"/>
              </w:rPr>
              <w:t> </w:t>
            </w:r>
            <w:r>
              <w:rPr>
                <w:color w:val="231F20"/>
                <w:spacing w:val="-2"/>
                <w:sz w:val="15"/>
              </w:rPr>
              <w:t>(607736)</w:t>
            </w:r>
          </w:p>
        </w:tc>
        <w:tc>
          <w:tcPr>
            <w:tcW w:w="3608" w:type="dxa"/>
            <w:shd w:val="clear" w:color="auto" w:fill="E8F5F1"/>
          </w:tcPr>
          <w:p>
            <w:pPr>
              <w:pStyle w:val="TableParagraph"/>
              <w:spacing w:line="150" w:lineRule="exact"/>
              <w:ind w:left="245"/>
              <w:rPr>
                <w:sz w:val="15"/>
              </w:rPr>
            </w:pPr>
            <w:r>
              <w:rPr>
                <w:color w:val="231F20"/>
                <w:sz w:val="15"/>
              </w:rPr>
              <w:t>Vocal</w:t>
            </w:r>
            <w:r>
              <w:rPr>
                <w:color w:val="231F20"/>
                <w:spacing w:val="-11"/>
                <w:sz w:val="15"/>
              </w:rPr>
              <w:t> </w:t>
            </w:r>
            <w:r>
              <w:rPr>
                <w:color w:val="231F20"/>
                <w:sz w:val="15"/>
              </w:rPr>
              <w:t>cord</w:t>
            </w:r>
            <w:r>
              <w:rPr>
                <w:color w:val="231F20"/>
                <w:spacing w:val="-11"/>
                <w:sz w:val="15"/>
              </w:rPr>
              <w:t> </w:t>
            </w:r>
            <w:r>
              <w:rPr>
                <w:color w:val="231F20"/>
                <w:sz w:val="15"/>
              </w:rPr>
              <w:t>paralysis,</w:t>
            </w:r>
            <w:r>
              <w:rPr>
                <w:color w:val="231F20"/>
                <w:spacing w:val="-11"/>
                <w:sz w:val="15"/>
              </w:rPr>
              <w:t> </w:t>
            </w:r>
            <w:r>
              <w:rPr>
                <w:color w:val="231F20"/>
                <w:sz w:val="15"/>
              </w:rPr>
              <w:t>more</w:t>
            </w:r>
            <w:r>
              <w:rPr>
                <w:color w:val="231F20"/>
                <w:spacing w:val="-11"/>
                <w:sz w:val="15"/>
              </w:rPr>
              <w:t> </w:t>
            </w:r>
            <w:r>
              <w:rPr>
                <w:color w:val="231F20"/>
                <w:sz w:val="15"/>
              </w:rPr>
              <w:t>severe</w:t>
            </w:r>
            <w:r>
              <w:rPr>
                <w:color w:val="231F20"/>
                <w:spacing w:val="-11"/>
                <w:sz w:val="15"/>
              </w:rPr>
              <w:t> </w:t>
            </w:r>
            <w:r>
              <w:rPr>
                <w:color w:val="231F20"/>
                <w:sz w:val="15"/>
              </w:rPr>
              <w:t>early-</w:t>
            </w:r>
            <w:r>
              <w:rPr>
                <w:color w:val="231F20"/>
                <w:spacing w:val="-2"/>
                <w:sz w:val="15"/>
              </w:rPr>
              <w:t>onset</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spacing w:line="150" w:lineRule="exact"/>
              <w:ind w:left="152"/>
              <w:rPr>
                <w:i/>
                <w:sz w:val="15"/>
              </w:rPr>
            </w:pPr>
            <w:r>
              <w:rPr>
                <w:i/>
                <w:color w:val="231F20"/>
                <w:spacing w:val="-5"/>
                <w:w w:val="110"/>
                <w:sz w:val="15"/>
              </w:rPr>
              <w:t>MPZ</w:t>
            </w:r>
          </w:p>
        </w:tc>
      </w:tr>
      <w:tr>
        <w:trPr>
          <w:trHeight w:val="166"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7" w:lineRule="exact"/>
              <w:ind w:left="357"/>
              <w:rPr>
                <w:sz w:val="15"/>
              </w:rPr>
            </w:pPr>
            <w:r>
              <w:rPr>
                <w:color w:val="231F20"/>
                <w:spacing w:val="-4"/>
                <w:sz w:val="15"/>
              </w:rPr>
              <w:t>form</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3"/>
              <w:rPr>
                <w:sz w:val="15"/>
              </w:rPr>
            </w:pPr>
            <w:r>
              <w:rPr>
                <w:color w:val="231F20"/>
                <w:sz w:val="15"/>
              </w:rPr>
              <w:t>2K</w:t>
            </w:r>
            <w:r>
              <w:rPr>
                <w:color w:val="231F20"/>
                <w:spacing w:val="4"/>
                <w:sz w:val="15"/>
              </w:rPr>
              <w:t> </w:t>
            </w:r>
            <w:r>
              <w:rPr>
                <w:color w:val="231F20"/>
                <w:spacing w:val="-2"/>
                <w:sz w:val="15"/>
              </w:rPr>
              <w:t>(607831)</w:t>
            </w:r>
          </w:p>
        </w:tc>
        <w:tc>
          <w:tcPr>
            <w:tcW w:w="3608" w:type="dxa"/>
            <w:shd w:val="clear" w:color="auto" w:fill="E8F5F1"/>
          </w:tcPr>
          <w:p>
            <w:pPr>
              <w:pStyle w:val="TableParagraph"/>
              <w:spacing w:line="150" w:lineRule="exact"/>
              <w:ind w:left="245"/>
              <w:rPr>
                <w:sz w:val="15"/>
              </w:rPr>
            </w:pPr>
            <w:r>
              <w:rPr>
                <w:color w:val="231F20"/>
                <w:sz w:val="15"/>
              </w:rPr>
              <w:t>Occasional</w:t>
            </w:r>
            <w:r>
              <w:rPr>
                <w:color w:val="231F20"/>
                <w:spacing w:val="-7"/>
                <w:sz w:val="15"/>
              </w:rPr>
              <w:t> </w:t>
            </w:r>
            <w:r>
              <w:rPr>
                <w:color w:val="231F20"/>
                <w:sz w:val="15"/>
              </w:rPr>
              <w:t>proximal</w:t>
            </w:r>
            <w:r>
              <w:rPr>
                <w:color w:val="231F20"/>
                <w:spacing w:val="-7"/>
                <w:sz w:val="15"/>
              </w:rPr>
              <w:t> </w:t>
            </w:r>
            <w:r>
              <w:rPr>
                <w:color w:val="231F20"/>
                <w:sz w:val="15"/>
              </w:rPr>
              <w:t>leg</w:t>
            </w:r>
            <w:r>
              <w:rPr>
                <w:color w:val="231F20"/>
                <w:spacing w:val="-7"/>
                <w:sz w:val="15"/>
              </w:rPr>
              <w:t> </w:t>
            </w:r>
            <w:r>
              <w:rPr>
                <w:color w:val="231F20"/>
                <w:sz w:val="15"/>
              </w:rPr>
              <w:t>weakness</w:t>
            </w:r>
            <w:r>
              <w:rPr>
                <w:color w:val="231F20"/>
                <w:spacing w:val="-7"/>
                <w:sz w:val="15"/>
              </w:rPr>
              <w:t> </w:t>
            </w:r>
            <w:r>
              <w:rPr>
                <w:color w:val="231F20"/>
                <w:sz w:val="15"/>
              </w:rPr>
              <w:t>(like</w:t>
            </w:r>
            <w:r>
              <w:rPr>
                <w:color w:val="231F20"/>
                <w:spacing w:val="-6"/>
                <w:sz w:val="15"/>
              </w:rPr>
              <w:t> </w:t>
            </w:r>
            <w:r>
              <w:rPr>
                <w:color w:val="231F20"/>
                <w:spacing w:val="-4"/>
                <w:sz w:val="15"/>
              </w:rPr>
              <w:t>dHMN</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spacing w:line="150" w:lineRule="exact"/>
              <w:ind w:left="152"/>
              <w:rPr>
                <w:i/>
                <w:sz w:val="15"/>
              </w:rPr>
            </w:pPr>
            <w:r>
              <w:rPr>
                <w:i/>
                <w:color w:val="231F20"/>
                <w:spacing w:val="-2"/>
                <w:w w:val="110"/>
                <w:sz w:val="15"/>
              </w:rPr>
              <w:t>GDAP1</w:t>
            </w:r>
          </w:p>
        </w:tc>
      </w:tr>
      <w:tr>
        <w:trPr>
          <w:trHeight w:val="166"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6" w:lineRule="exact"/>
              <w:ind w:left="356"/>
              <w:rPr>
                <w:sz w:val="15"/>
              </w:rPr>
            </w:pPr>
            <w:r>
              <w:rPr>
                <w:color w:val="231F20"/>
                <w:spacing w:val="-2"/>
                <w:sz w:val="15"/>
              </w:rPr>
              <w:t>II),</w:t>
            </w:r>
            <w:r>
              <w:rPr>
                <w:color w:val="231F20"/>
                <w:spacing w:val="-5"/>
                <w:sz w:val="15"/>
              </w:rPr>
              <w:t> </w:t>
            </w:r>
            <w:r>
              <w:rPr>
                <w:color w:val="231F20"/>
                <w:spacing w:val="-2"/>
                <w:sz w:val="15"/>
              </w:rPr>
              <w:t>large</w:t>
            </w:r>
            <w:r>
              <w:rPr>
                <w:color w:val="231F20"/>
                <w:spacing w:val="-6"/>
                <w:sz w:val="15"/>
              </w:rPr>
              <w:t> </w:t>
            </w:r>
            <w:r>
              <w:rPr>
                <w:color w:val="231F20"/>
                <w:spacing w:val="-2"/>
                <w:sz w:val="15"/>
              </w:rPr>
              <w:t>Chinese</w:t>
            </w:r>
            <w:r>
              <w:rPr>
                <w:color w:val="231F20"/>
                <w:spacing w:val="-5"/>
                <w:sz w:val="15"/>
              </w:rPr>
              <w:t> </w:t>
            </w:r>
            <w:r>
              <w:rPr>
                <w:color w:val="231F20"/>
                <w:spacing w:val="-2"/>
                <w:sz w:val="15"/>
              </w:rPr>
              <w:t>family,</w:t>
            </w:r>
            <w:r>
              <w:rPr>
                <w:color w:val="231F20"/>
                <w:spacing w:val="-5"/>
                <w:sz w:val="15"/>
              </w:rPr>
              <w:t> </w:t>
            </w:r>
            <w:r>
              <w:rPr>
                <w:color w:val="231F20"/>
                <w:spacing w:val="-2"/>
                <w:sz w:val="15"/>
              </w:rPr>
              <w:t>with</w:t>
            </w:r>
            <w:r>
              <w:rPr>
                <w:color w:val="231F20"/>
                <w:spacing w:val="-5"/>
                <w:sz w:val="15"/>
              </w:rPr>
              <w:t> </w:t>
            </w:r>
            <w:r>
              <w:rPr>
                <w:color w:val="231F20"/>
                <w:spacing w:val="-2"/>
                <w:sz w:val="15"/>
              </w:rPr>
              <w:t>onset</w:t>
            </w:r>
            <w:r>
              <w:rPr>
                <w:color w:val="231F20"/>
                <w:spacing w:val="-5"/>
                <w:sz w:val="15"/>
              </w:rPr>
              <w:t> </w:t>
            </w:r>
            <w:r>
              <w:rPr>
                <w:color w:val="231F20"/>
                <w:spacing w:val="-2"/>
                <w:sz w:val="15"/>
              </w:rPr>
              <w:t>at</w:t>
            </w:r>
            <w:r>
              <w:rPr>
                <w:color w:val="231F20"/>
                <w:spacing w:val="-5"/>
                <w:sz w:val="15"/>
              </w:rPr>
              <w:t> age</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339" w:hRule="atLeast"/>
        </w:trPr>
        <w:tc>
          <w:tcPr>
            <w:tcW w:w="2056" w:type="dxa"/>
            <w:shd w:val="clear" w:color="auto" w:fill="E8F5F1"/>
          </w:tcPr>
          <w:p>
            <w:pPr>
              <w:pStyle w:val="TableParagraph"/>
              <w:spacing w:line="155" w:lineRule="exact" w:before="164"/>
              <w:ind w:left="73"/>
              <w:rPr>
                <w:sz w:val="15"/>
              </w:rPr>
            </w:pPr>
            <w:r>
              <w:rPr>
                <w:color w:val="231F20"/>
                <w:sz w:val="15"/>
              </w:rPr>
              <w:t>2L</w:t>
            </w:r>
            <w:r>
              <w:rPr>
                <w:color w:val="231F20"/>
                <w:spacing w:val="-3"/>
                <w:sz w:val="15"/>
              </w:rPr>
              <w:t> </w:t>
            </w:r>
            <w:r>
              <w:rPr>
                <w:color w:val="231F20"/>
                <w:spacing w:val="-2"/>
                <w:sz w:val="15"/>
              </w:rPr>
              <w:t>(608673)</w:t>
            </w:r>
          </w:p>
        </w:tc>
        <w:tc>
          <w:tcPr>
            <w:tcW w:w="3608" w:type="dxa"/>
            <w:shd w:val="clear" w:color="auto" w:fill="E8F5F1"/>
          </w:tcPr>
          <w:p>
            <w:pPr>
              <w:pStyle w:val="TableParagraph"/>
              <w:spacing w:line="169" w:lineRule="exact"/>
              <w:ind w:left="356"/>
              <w:rPr>
                <w:sz w:val="15"/>
              </w:rPr>
            </w:pPr>
            <w:r>
              <w:rPr>
                <w:color w:val="231F20"/>
                <w:spacing w:val="-4"/>
                <w:sz w:val="15"/>
              </w:rPr>
              <w:t>15-33 yr. Scoliosis</w:t>
            </w:r>
          </w:p>
        </w:tc>
        <w:tc>
          <w:tcPr>
            <w:tcW w:w="2593" w:type="dxa"/>
            <w:shd w:val="clear" w:color="auto" w:fill="E8F5F1"/>
          </w:tcPr>
          <w:p>
            <w:pPr>
              <w:pStyle w:val="TableParagraph"/>
              <w:rPr>
                <w:rFonts w:ascii="Times New Roman"/>
                <w:sz w:val="14"/>
              </w:rPr>
            </w:pPr>
          </w:p>
        </w:tc>
        <w:tc>
          <w:tcPr>
            <w:tcW w:w="1484" w:type="dxa"/>
            <w:shd w:val="clear" w:color="auto" w:fill="E8F5F1"/>
          </w:tcPr>
          <w:p>
            <w:pPr>
              <w:pStyle w:val="TableParagraph"/>
              <w:spacing w:line="155" w:lineRule="exact" w:before="164"/>
              <w:ind w:left="152"/>
              <w:rPr>
                <w:i/>
                <w:sz w:val="15"/>
              </w:rPr>
            </w:pPr>
            <w:r>
              <w:rPr>
                <w:i/>
                <w:color w:val="231F20"/>
                <w:spacing w:val="-2"/>
                <w:w w:val="105"/>
                <w:sz w:val="15"/>
              </w:rPr>
              <w:t>HSPB8</w:t>
            </w:r>
          </w:p>
        </w:tc>
      </w:tr>
      <w:tr>
        <w:trPr>
          <w:trHeight w:val="166"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spacing w:line="147" w:lineRule="exact"/>
              <w:ind w:left="152"/>
              <w:rPr>
                <w:sz w:val="15"/>
              </w:rPr>
            </w:pPr>
            <w:r>
              <w:rPr>
                <w:color w:val="231F20"/>
                <w:spacing w:val="-2"/>
                <w:sz w:val="15"/>
              </w:rPr>
              <w:t>12q24</w:t>
            </w:r>
          </w:p>
        </w:tc>
      </w:tr>
      <w:tr>
        <w:trPr>
          <w:trHeight w:val="168" w:hRule="atLeast"/>
        </w:trPr>
        <w:tc>
          <w:tcPr>
            <w:tcW w:w="2056" w:type="dxa"/>
            <w:shd w:val="clear" w:color="auto" w:fill="E8F5F1"/>
          </w:tcPr>
          <w:p>
            <w:pPr>
              <w:pStyle w:val="TableParagraph"/>
              <w:spacing w:line="149" w:lineRule="exact"/>
              <w:ind w:left="73"/>
              <w:rPr>
                <w:sz w:val="15"/>
              </w:rPr>
            </w:pPr>
            <w:r>
              <w:rPr>
                <w:color w:val="231F20"/>
                <w:sz w:val="15"/>
              </w:rPr>
              <w:t>HMSN</w:t>
            </w:r>
            <w:r>
              <w:rPr>
                <w:color w:val="231F20"/>
                <w:spacing w:val="7"/>
                <w:sz w:val="15"/>
              </w:rPr>
              <w:t> </w:t>
            </w:r>
            <w:r>
              <w:rPr>
                <w:color w:val="231F20"/>
                <w:sz w:val="15"/>
              </w:rPr>
              <w:t>II</w:t>
            </w:r>
            <w:r>
              <w:rPr>
                <w:color w:val="231F20"/>
                <w:spacing w:val="7"/>
                <w:sz w:val="15"/>
              </w:rPr>
              <w:t> </w:t>
            </w:r>
            <w:r>
              <w:rPr>
                <w:color w:val="231F20"/>
                <w:sz w:val="15"/>
              </w:rPr>
              <w:t>with</w:t>
            </w:r>
            <w:r>
              <w:rPr>
                <w:color w:val="231F20"/>
                <w:spacing w:val="7"/>
                <w:sz w:val="15"/>
              </w:rPr>
              <w:t> </w:t>
            </w:r>
            <w:r>
              <w:rPr>
                <w:color w:val="231F20"/>
                <w:sz w:val="15"/>
              </w:rPr>
              <w:t>onset</w:t>
            </w:r>
            <w:r>
              <w:rPr>
                <w:color w:val="231F20"/>
                <w:spacing w:val="7"/>
                <w:sz w:val="15"/>
              </w:rPr>
              <w:t> </w:t>
            </w:r>
            <w:r>
              <w:rPr>
                <w:color w:val="231F20"/>
                <w:sz w:val="15"/>
              </w:rPr>
              <w:t>in</w:t>
            </w:r>
            <w:r>
              <w:rPr>
                <w:color w:val="231F20"/>
                <w:spacing w:val="7"/>
                <w:sz w:val="15"/>
              </w:rPr>
              <w:t> </w:t>
            </w:r>
            <w:r>
              <w:rPr>
                <w:color w:val="231F20"/>
                <w:spacing w:val="-2"/>
                <w:sz w:val="15"/>
              </w:rPr>
              <w:t>early</w:t>
            </w:r>
          </w:p>
        </w:tc>
        <w:tc>
          <w:tcPr>
            <w:tcW w:w="3608" w:type="dxa"/>
            <w:shd w:val="clear" w:color="auto" w:fill="E8F5F1"/>
          </w:tcPr>
          <w:p>
            <w:pPr>
              <w:pStyle w:val="TableParagraph"/>
              <w:spacing w:line="149" w:lineRule="exact"/>
              <w:ind w:left="244"/>
              <w:rPr>
                <w:sz w:val="15"/>
              </w:rPr>
            </w:pPr>
            <w:r>
              <w:rPr>
                <w:color w:val="231F20"/>
                <w:sz w:val="15"/>
              </w:rPr>
              <w:t>Autosomal</w:t>
            </w:r>
            <w:r>
              <w:rPr>
                <w:color w:val="231F20"/>
                <w:spacing w:val="-5"/>
                <w:sz w:val="15"/>
              </w:rPr>
              <w:t> </w:t>
            </w:r>
            <w:r>
              <w:rPr>
                <w:color w:val="231F20"/>
                <w:sz w:val="15"/>
              </w:rPr>
              <w:t>dominant</w:t>
            </w:r>
            <w:r>
              <w:rPr>
                <w:color w:val="231F20"/>
                <w:spacing w:val="-4"/>
                <w:sz w:val="15"/>
              </w:rPr>
              <w:t> </w:t>
            </w:r>
            <w:r>
              <w:rPr>
                <w:color w:val="231F20"/>
                <w:sz w:val="15"/>
              </w:rPr>
              <w:t>or</w:t>
            </w:r>
            <w:r>
              <w:rPr>
                <w:color w:val="231F20"/>
                <w:spacing w:val="-4"/>
                <w:sz w:val="15"/>
              </w:rPr>
              <w:t> </w:t>
            </w:r>
            <w:r>
              <w:rPr>
                <w:color w:val="231F20"/>
                <w:sz w:val="15"/>
              </w:rPr>
              <w:t>recessive.</w:t>
            </w:r>
            <w:r>
              <w:rPr>
                <w:color w:val="231F20"/>
                <w:spacing w:val="-4"/>
                <w:sz w:val="15"/>
              </w:rPr>
              <w:t> </w:t>
            </w:r>
            <w:r>
              <w:rPr>
                <w:color w:val="231F20"/>
                <w:spacing w:val="-2"/>
                <w:sz w:val="15"/>
              </w:rPr>
              <w:t>Weakness</w:t>
            </w:r>
          </w:p>
        </w:tc>
        <w:tc>
          <w:tcPr>
            <w:tcW w:w="2593" w:type="dxa"/>
            <w:shd w:val="clear" w:color="auto" w:fill="E8F5F1"/>
          </w:tcPr>
          <w:p>
            <w:pPr>
              <w:pStyle w:val="TableParagraph"/>
              <w:spacing w:line="149" w:lineRule="exact"/>
              <w:ind w:left="154"/>
              <w:rPr>
                <w:sz w:val="15"/>
              </w:rPr>
            </w:pPr>
            <w:r>
              <w:rPr>
                <w:color w:val="231F20"/>
                <w:sz w:val="15"/>
              </w:rPr>
              <w:t>Axonal</w:t>
            </w:r>
            <w:r>
              <w:rPr>
                <w:color w:val="231F20"/>
                <w:spacing w:val="-11"/>
                <w:sz w:val="15"/>
              </w:rPr>
              <w:t> </w:t>
            </w:r>
            <w:r>
              <w:rPr>
                <w:color w:val="231F20"/>
                <w:sz w:val="15"/>
              </w:rPr>
              <w:t>pattern</w:t>
            </w:r>
            <w:r>
              <w:rPr>
                <w:color w:val="231F20"/>
                <w:spacing w:val="-11"/>
                <w:sz w:val="15"/>
              </w:rPr>
              <w:t> </w:t>
            </w:r>
            <w:r>
              <w:rPr>
                <w:color w:val="231F20"/>
                <w:sz w:val="15"/>
              </w:rPr>
              <w:t>with</w:t>
            </w:r>
            <w:r>
              <w:rPr>
                <w:color w:val="231F20"/>
                <w:spacing w:val="-10"/>
                <w:sz w:val="15"/>
              </w:rPr>
              <w:t> </w:t>
            </w:r>
            <w:r>
              <w:rPr>
                <w:color w:val="231F20"/>
                <w:spacing w:val="-2"/>
                <w:sz w:val="15"/>
              </w:rPr>
              <w:t>axonal-</w:t>
            </w:r>
          </w:p>
        </w:tc>
        <w:tc>
          <w:tcPr>
            <w:tcW w:w="1484" w:type="dxa"/>
            <w:shd w:val="clear" w:color="auto" w:fill="E8F5F1"/>
          </w:tcPr>
          <w:p>
            <w:pPr>
              <w:pStyle w:val="TableParagraph"/>
              <w:spacing w:line="149" w:lineRule="exact"/>
              <w:ind w:left="152"/>
              <w:rPr>
                <w:i/>
                <w:sz w:val="15"/>
              </w:rPr>
            </w:pPr>
            <w:r>
              <w:rPr>
                <w:i/>
                <w:color w:val="231F20"/>
                <w:w w:val="105"/>
                <w:sz w:val="15"/>
              </w:rPr>
              <w:t>MFN2</w:t>
            </w:r>
            <w:r>
              <w:rPr>
                <w:color w:val="231F20"/>
                <w:w w:val="105"/>
                <w:sz w:val="15"/>
              </w:rPr>
              <w:t>;</w:t>
            </w:r>
            <w:r>
              <w:rPr>
                <w:color w:val="231F20"/>
                <w:spacing w:val="1"/>
                <w:w w:val="105"/>
                <w:sz w:val="15"/>
              </w:rPr>
              <w:t> </w:t>
            </w:r>
            <w:r>
              <w:rPr>
                <w:i/>
                <w:color w:val="231F20"/>
                <w:spacing w:val="-2"/>
                <w:w w:val="105"/>
                <w:sz w:val="15"/>
              </w:rPr>
              <w:t>GDAP1</w:t>
            </w:r>
          </w:p>
        </w:tc>
      </w:tr>
      <w:tr>
        <w:trPr>
          <w:trHeight w:val="169" w:hRule="atLeast"/>
        </w:trPr>
        <w:tc>
          <w:tcPr>
            <w:tcW w:w="2056" w:type="dxa"/>
            <w:shd w:val="clear" w:color="auto" w:fill="E8F5F1"/>
          </w:tcPr>
          <w:p>
            <w:pPr>
              <w:pStyle w:val="TableParagraph"/>
              <w:spacing w:line="150" w:lineRule="exact"/>
              <w:ind w:left="185"/>
              <w:rPr>
                <w:sz w:val="15"/>
              </w:rPr>
            </w:pPr>
            <w:r>
              <w:rPr>
                <w:color w:val="231F20"/>
                <w:sz w:val="15"/>
              </w:rPr>
              <w:t>childhood</w:t>
            </w:r>
            <w:r>
              <w:rPr>
                <w:color w:val="231F20"/>
                <w:spacing w:val="14"/>
                <w:sz w:val="15"/>
              </w:rPr>
              <w:t> </w:t>
            </w:r>
            <w:r>
              <w:rPr>
                <w:color w:val="231F20"/>
                <w:spacing w:val="-2"/>
                <w:sz w:val="15"/>
              </w:rPr>
              <w:t>(EOHMSN)</w:t>
            </w:r>
          </w:p>
        </w:tc>
        <w:tc>
          <w:tcPr>
            <w:tcW w:w="3608" w:type="dxa"/>
            <w:shd w:val="clear" w:color="auto" w:fill="E8F5F1"/>
          </w:tcPr>
          <w:p>
            <w:pPr>
              <w:pStyle w:val="TableParagraph"/>
              <w:spacing w:line="150" w:lineRule="exact"/>
              <w:ind w:right="168"/>
              <w:jc w:val="right"/>
              <w:rPr>
                <w:sz w:val="15"/>
              </w:rPr>
            </w:pPr>
            <w:r>
              <w:rPr>
                <w:color w:val="231F20"/>
                <w:sz w:val="15"/>
              </w:rPr>
              <w:t>within</w:t>
            </w:r>
            <w:r>
              <w:rPr>
                <w:color w:val="231F20"/>
                <w:spacing w:val="-7"/>
                <w:sz w:val="15"/>
              </w:rPr>
              <w:t> </w:t>
            </w:r>
            <w:r>
              <w:rPr>
                <w:color w:val="231F20"/>
                <w:sz w:val="15"/>
              </w:rPr>
              <w:t>1st</w:t>
            </w:r>
            <w:r>
              <w:rPr>
                <w:color w:val="231F20"/>
                <w:spacing w:val="-7"/>
                <w:sz w:val="15"/>
              </w:rPr>
              <w:t> </w:t>
            </w:r>
            <w:r>
              <w:rPr>
                <w:color w:val="231F20"/>
                <w:sz w:val="15"/>
              </w:rPr>
              <w:t>5</w:t>
            </w:r>
            <w:r>
              <w:rPr>
                <w:color w:val="231F20"/>
                <w:spacing w:val="-6"/>
                <w:sz w:val="15"/>
              </w:rPr>
              <w:t> </w:t>
            </w:r>
            <w:r>
              <w:rPr>
                <w:color w:val="231F20"/>
                <w:sz w:val="15"/>
              </w:rPr>
              <w:t>yr,</w:t>
            </w:r>
            <w:r>
              <w:rPr>
                <w:color w:val="231F20"/>
                <w:spacing w:val="-7"/>
                <w:sz w:val="15"/>
              </w:rPr>
              <w:t> </w:t>
            </w:r>
            <w:r>
              <w:rPr>
                <w:color w:val="231F20"/>
                <w:sz w:val="15"/>
              </w:rPr>
              <w:t>rapid</w:t>
            </w:r>
            <w:r>
              <w:rPr>
                <w:color w:val="231F20"/>
                <w:spacing w:val="-7"/>
                <w:sz w:val="15"/>
              </w:rPr>
              <w:t> </w:t>
            </w:r>
            <w:r>
              <w:rPr>
                <w:color w:val="231F20"/>
                <w:sz w:val="15"/>
              </w:rPr>
              <w:t>progression</w:t>
            </w:r>
            <w:r>
              <w:rPr>
                <w:color w:val="231F20"/>
                <w:spacing w:val="-6"/>
                <w:sz w:val="15"/>
              </w:rPr>
              <w:t> </w:t>
            </w:r>
            <w:r>
              <w:rPr>
                <w:color w:val="231F20"/>
                <w:sz w:val="15"/>
              </w:rPr>
              <w:t>of</w:t>
            </w:r>
            <w:r>
              <w:rPr>
                <w:color w:val="231F20"/>
                <w:spacing w:val="-7"/>
                <w:sz w:val="15"/>
              </w:rPr>
              <w:t> </w:t>
            </w:r>
            <w:r>
              <w:rPr>
                <w:color w:val="231F20"/>
                <w:spacing w:val="-2"/>
                <w:sz w:val="15"/>
              </w:rPr>
              <w:t>weakness,</w:t>
            </w:r>
          </w:p>
        </w:tc>
        <w:tc>
          <w:tcPr>
            <w:tcW w:w="2593" w:type="dxa"/>
            <w:shd w:val="clear" w:color="auto" w:fill="E8F5F1"/>
          </w:tcPr>
          <w:p>
            <w:pPr>
              <w:pStyle w:val="TableParagraph"/>
              <w:spacing w:line="150" w:lineRule="exact"/>
              <w:ind w:left="266"/>
              <w:rPr>
                <w:sz w:val="15"/>
              </w:rPr>
            </w:pPr>
            <w:r>
              <w:rPr>
                <w:color w:val="231F20"/>
                <w:sz w:val="15"/>
              </w:rPr>
              <w:t>degenerative</w:t>
            </w:r>
            <w:r>
              <w:rPr>
                <w:color w:val="231F20"/>
                <w:spacing w:val="-8"/>
                <w:sz w:val="15"/>
              </w:rPr>
              <w:t> </w:t>
            </w:r>
            <w:r>
              <w:rPr>
                <w:color w:val="231F20"/>
                <w:spacing w:val="-2"/>
                <w:sz w:val="15"/>
              </w:rPr>
              <w:t>polyneuropathy.</w:t>
            </w:r>
          </w:p>
        </w:tc>
        <w:tc>
          <w:tcPr>
            <w:tcW w:w="1484" w:type="dxa"/>
            <w:shd w:val="clear" w:color="auto" w:fill="E8F5F1"/>
          </w:tcPr>
          <w:p>
            <w:pPr>
              <w:pStyle w:val="TableParagraph"/>
              <w:spacing w:line="150" w:lineRule="exact"/>
              <w:ind w:left="264"/>
              <w:rPr>
                <w:sz w:val="15"/>
              </w:rPr>
            </w:pPr>
            <w:r>
              <w:rPr>
                <w:color w:val="231F20"/>
                <w:spacing w:val="-2"/>
                <w:w w:val="105"/>
                <w:sz w:val="15"/>
              </w:rPr>
              <w:t>Heterogeneous</w:t>
            </w:r>
          </w:p>
        </w:tc>
      </w:tr>
      <w:tr>
        <w:trPr>
          <w:trHeight w:val="166" w:hRule="atLeast"/>
        </w:trPr>
        <w:tc>
          <w:tcPr>
            <w:tcW w:w="2056" w:type="dxa"/>
            <w:shd w:val="clear" w:color="auto" w:fill="E8F5F1"/>
          </w:tcPr>
          <w:p>
            <w:pPr>
              <w:pStyle w:val="TableParagraph"/>
              <w:spacing w:line="146" w:lineRule="exact"/>
              <w:ind w:left="73"/>
              <w:rPr>
                <w:sz w:val="15"/>
              </w:rPr>
            </w:pPr>
            <w:r>
              <w:rPr>
                <w:color w:val="231F20"/>
                <w:spacing w:val="-2"/>
                <w:sz w:val="15"/>
              </w:rPr>
              <w:t>Severe</w:t>
            </w:r>
            <w:r>
              <w:rPr>
                <w:color w:val="231F20"/>
                <w:spacing w:val="2"/>
                <w:sz w:val="15"/>
              </w:rPr>
              <w:t> </w:t>
            </w:r>
            <w:r>
              <w:rPr>
                <w:color w:val="231F20"/>
                <w:spacing w:val="-2"/>
                <w:sz w:val="15"/>
              </w:rPr>
              <w:t>early-onset</w:t>
            </w:r>
            <w:r>
              <w:rPr>
                <w:color w:val="231F20"/>
                <w:spacing w:val="3"/>
                <w:sz w:val="15"/>
              </w:rPr>
              <w:t> </w:t>
            </w:r>
            <w:r>
              <w:rPr>
                <w:color w:val="231F20"/>
                <w:spacing w:val="-2"/>
                <w:sz w:val="15"/>
              </w:rPr>
              <w:t>axonal</w:t>
            </w:r>
          </w:p>
        </w:tc>
        <w:tc>
          <w:tcPr>
            <w:tcW w:w="3608" w:type="dxa"/>
            <w:shd w:val="clear" w:color="auto" w:fill="E8F5F1"/>
          </w:tcPr>
          <w:p>
            <w:pPr>
              <w:pStyle w:val="TableParagraph"/>
              <w:spacing w:line="146" w:lineRule="exact"/>
              <w:ind w:left="356"/>
              <w:rPr>
                <w:sz w:val="15"/>
              </w:rPr>
            </w:pPr>
            <w:r>
              <w:rPr>
                <w:color w:val="231F20"/>
                <w:sz w:val="15"/>
              </w:rPr>
              <w:t>usually</w:t>
            </w:r>
            <w:r>
              <w:rPr>
                <w:color w:val="231F20"/>
                <w:spacing w:val="-7"/>
                <w:sz w:val="15"/>
              </w:rPr>
              <w:t> </w:t>
            </w:r>
            <w:r>
              <w:rPr>
                <w:color w:val="231F20"/>
                <w:sz w:val="15"/>
              </w:rPr>
              <w:t>complete</w:t>
            </w:r>
            <w:r>
              <w:rPr>
                <w:color w:val="231F20"/>
                <w:spacing w:val="-6"/>
                <w:sz w:val="15"/>
              </w:rPr>
              <w:t> </w:t>
            </w:r>
            <w:r>
              <w:rPr>
                <w:color w:val="231F20"/>
                <w:sz w:val="15"/>
              </w:rPr>
              <w:t>paralysis</w:t>
            </w:r>
            <w:r>
              <w:rPr>
                <w:color w:val="231F20"/>
                <w:spacing w:val="-7"/>
                <w:sz w:val="15"/>
              </w:rPr>
              <w:t> </w:t>
            </w:r>
            <w:r>
              <w:rPr>
                <w:color w:val="231F20"/>
                <w:sz w:val="15"/>
              </w:rPr>
              <w:t>below</w:t>
            </w:r>
            <w:r>
              <w:rPr>
                <w:color w:val="231F20"/>
                <w:spacing w:val="-6"/>
                <w:sz w:val="15"/>
              </w:rPr>
              <w:t> </w:t>
            </w:r>
            <w:r>
              <w:rPr>
                <w:color w:val="231F20"/>
                <w:sz w:val="15"/>
              </w:rPr>
              <w:t>elbows</w:t>
            </w:r>
            <w:r>
              <w:rPr>
                <w:color w:val="231F20"/>
                <w:spacing w:val="-7"/>
                <w:sz w:val="15"/>
              </w:rPr>
              <w:t> </w:t>
            </w:r>
            <w:r>
              <w:rPr>
                <w:color w:val="231F20"/>
                <w:spacing w:val="-5"/>
                <w:sz w:val="15"/>
              </w:rPr>
              <w:t>and</w:t>
            </w:r>
          </w:p>
        </w:tc>
        <w:tc>
          <w:tcPr>
            <w:tcW w:w="2593" w:type="dxa"/>
            <w:shd w:val="clear" w:color="auto" w:fill="E8F5F1"/>
          </w:tcPr>
          <w:p>
            <w:pPr>
              <w:pStyle w:val="TableParagraph"/>
              <w:spacing w:line="146" w:lineRule="exact"/>
              <w:ind w:left="266"/>
              <w:rPr>
                <w:sz w:val="15"/>
              </w:rPr>
            </w:pPr>
            <w:r>
              <w:rPr>
                <w:color w:val="231F20"/>
                <w:w w:val="105"/>
                <w:sz w:val="15"/>
              </w:rPr>
              <w:t>Absent</w:t>
            </w:r>
            <w:r>
              <w:rPr>
                <w:color w:val="231F20"/>
                <w:spacing w:val="-6"/>
                <w:w w:val="105"/>
                <w:sz w:val="15"/>
              </w:rPr>
              <w:t> </w:t>
            </w:r>
            <w:r>
              <w:rPr>
                <w:color w:val="231F20"/>
                <w:w w:val="105"/>
                <w:sz w:val="15"/>
              </w:rPr>
              <w:t>SNAPs,</w:t>
            </w:r>
            <w:r>
              <w:rPr>
                <w:color w:val="231F20"/>
                <w:spacing w:val="-6"/>
                <w:w w:val="105"/>
                <w:sz w:val="15"/>
              </w:rPr>
              <w:t> </w:t>
            </w:r>
            <w:r>
              <w:rPr>
                <w:color w:val="231F20"/>
                <w:w w:val="105"/>
                <w:sz w:val="15"/>
              </w:rPr>
              <w:t>no</w:t>
            </w:r>
            <w:r>
              <w:rPr>
                <w:color w:val="231F20"/>
                <w:spacing w:val="-6"/>
                <w:w w:val="105"/>
                <w:sz w:val="15"/>
              </w:rPr>
              <w:t> </w:t>
            </w:r>
            <w:r>
              <w:rPr>
                <w:color w:val="231F20"/>
                <w:w w:val="105"/>
                <w:sz w:val="15"/>
              </w:rPr>
              <w:t>response</w:t>
            </w:r>
            <w:r>
              <w:rPr>
                <w:color w:val="231F20"/>
                <w:spacing w:val="-5"/>
                <w:w w:val="105"/>
                <w:sz w:val="15"/>
              </w:rPr>
              <w:t> to</w:t>
            </w: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1" w:lineRule="exact"/>
              <w:ind w:left="185"/>
              <w:rPr>
                <w:sz w:val="15"/>
              </w:rPr>
            </w:pPr>
            <w:r>
              <w:rPr>
                <w:color w:val="231F20"/>
                <w:sz w:val="15"/>
              </w:rPr>
              <w:t>neuropathy</w:t>
            </w:r>
            <w:r>
              <w:rPr>
                <w:color w:val="231F20"/>
                <w:spacing w:val="-7"/>
                <w:sz w:val="15"/>
              </w:rPr>
              <w:t> </w:t>
            </w:r>
            <w:r>
              <w:rPr>
                <w:color w:val="231F20"/>
                <w:spacing w:val="-2"/>
                <w:sz w:val="15"/>
              </w:rPr>
              <w:t>(SEOAN)</w:t>
            </w:r>
          </w:p>
        </w:tc>
        <w:tc>
          <w:tcPr>
            <w:tcW w:w="3608" w:type="dxa"/>
            <w:shd w:val="clear" w:color="auto" w:fill="E8F5F1"/>
          </w:tcPr>
          <w:p>
            <w:pPr>
              <w:pStyle w:val="TableParagraph"/>
              <w:spacing w:line="151" w:lineRule="exact"/>
              <w:ind w:left="356"/>
              <w:rPr>
                <w:sz w:val="15"/>
              </w:rPr>
            </w:pPr>
            <w:r>
              <w:rPr>
                <w:color w:val="231F20"/>
                <w:sz w:val="15"/>
              </w:rPr>
              <w:t>knees</w:t>
            </w:r>
            <w:r>
              <w:rPr>
                <w:color w:val="231F20"/>
                <w:spacing w:val="-3"/>
                <w:sz w:val="15"/>
              </w:rPr>
              <w:t> </w:t>
            </w:r>
            <w:r>
              <w:rPr>
                <w:color w:val="231F20"/>
                <w:sz w:val="15"/>
              </w:rPr>
              <w:t>by</w:t>
            </w:r>
            <w:r>
              <w:rPr>
                <w:color w:val="231F20"/>
                <w:spacing w:val="-2"/>
                <w:sz w:val="15"/>
              </w:rPr>
              <w:t> </w:t>
            </w:r>
            <w:r>
              <w:rPr>
                <w:color w:val="231F20"/>
                <w:sz w:val="15"/>
              </w:rPr>
              <w:t>teens,</w:t>
            </w:r>
            <w:r>
              <w:rPr>
                <w:color w:val="231F20"/>
                <w:spacing w:val="-2"/>
                <w:sz w:val="15"/>
              </w:rPr>
              <w:t> </w:t>
            </w:r>
            <w:r>
              <w:rPr>
                <w:color w:val="231F20"/>
                <w:sz w:val="15"/>
              </w:rPr>
              <w:t>absent</w:t>
            </w:r>
            <w:r>
              <w:rPr>
                <w:color w:val="231F20"/>
                <w:spacing w:val="-2"/>
                <w:sz w:val="15"/>
              </w:rPr>
              <w:t> </w:t>
            </w:r>
            <w:r>
              <w:rPr>
                <w:color w:val="231F20"/>
                <w:sz w:val="15"/>
              </w:rPr>
              <w:t>DTRs,</w:t>
            </w:r>
            <w:r>
              <w:rPr>
                <w:color w:val="231F20"/>
                <w:spacing w:val="-2"/>
                <w:sz w:val="15"/>
              </w:rPr>
              <w:t> moderate</w:t>
            </w:r>
          </w:p>
        </w:tc>
        <w:tc>
          <w:tcPr>
            <w:tcW w:w="2593" w:type="dxa"/>
            <w:shd w:val="clear" w:color="auto" w:fill="E8F5F1"/>
          </w:tcPr>
          <w:p>
            <w:pPr>
              <w:pStyle w:val="TableParagraph"/>
              <w:spacing w:line="151" w:lineRule="exact"/>
              <w:ind w:left="266"/>
              <w:rPr>
                <w:sz w:val="15"/>
              </w:rPr>
            </w:pPr>
            <w:r>
              <w:rPr>
                <w:color w:val="231F20"/>
                <w:spacing w:val="-2"/>
                <w:sz w:val="15"/>
              </w:rPr>
              <w:t>stimulation</w:t>
            </w:r>
            <w:r>
              <w:rPr>
                <w:color w:val="231F20"/>
                <w:spacing w:val="-5"/>
                <w:sz w:val="15"/>
              </w:rPr>
              <w:t> </w:t>
            </w:r>
            <w:r>
              <w:rPr>
                <w:color w:val="231F20"/>
                <w:spacing w:val="-2"/>
                <w:sz w:val="15"/>
              </w:rPr>
              <w:t>in</w:t>
            </w:r>
            <w:r>
              <w:rPr>
                <w:color w:val="231F20"/>
                <w:spacing w:val="-5"/>
                <w:sz w:val="15"/>
              </w:rPr>
              <w:t> </w:t>
            </w:r>
            <w:r>
              <w:rPr>
                <w:color w:val="231F20"/>
                <w:spacing w:val="-2"/>
                <w:sz w:val="15"/>
              </w:rPr>
              <w:t>cerebral</w:t>
            </w:r>
            <w:r>
              <w:rPr>
                <w:color w:val="231F20"/>
                <w:spacing w:val="-4"/>
                <w:sz w:val="15"/>
              </w:rPr>
              <w:t> </w:t>
            </w:r>
            <w:r>
              <w:rPr>
                <w:color w:val="231F20"/>
                <w:spacing w:val="-2"/>
                <w:sz w:val="15"/>
              </w:rPr>
              <w:t>palsy</w:t>
            </w:r>
          </w:p>
        </w:tc>
        <w:tc>
          <w:tcPr>
            <w:tcW w:w="1484" w:type="dxa"/>
            <w:shd w:val="clear" w:color="auto" w:fill="E8F5F1"/>
          </w:tcPr>
          <w:p>
            <w:pPr>
              <w:pStyle w:val="TableParagraph"/>
              <w:rPr>
                <w:rFonts w:ascii="Times New Roman"/>
                <w:sz w:val="10"/>
              </w:rPr>
            </w:pPr>
          </w:p>
        </w:tc>
      </w:tr>
      <w:tr>
        <w:trPr>
          <w:trHeight w:val="165"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5" w:lineRule="exact"/>
              <w:ind w:left="356"/>
              <w:rPr>
                <w:sz w:val="15"/>
              </w:rPr>
            </w:pPr>
            <w:r>
              <w:rPr>
                <w:color w:val="231F20"/>
                <w:sz w:val="15"/>
              </w:rPr>
              <w:t>sensory</w:t>
            </w:r>
            <w:r>
              <w:rPr>
                <w:color w:val="231F20"/>
                <w:spacing w:val="2"/>
                <w:sz w:val="15"/>
              </w:rPr>
              <w:t> </w:t>
            </w:r>
            <w:r>
              <w:rPr>
                <w:color w:val="231F20"/>
                <w:sz w:val="15"/>
              </w:rPr>
              <w:t>changes</w:t>
            </w:r>
            <w:r>
              <w:rPr>
                <w:color w:val="231F20"/>
                <w:spacing w:val="2"/>
                <w:sz w:val="15"/>
              </w:rPr>
              <w:t> </w:t>
            </w:r>
            <w:r>
              <w:rPr>
                <w:color w:val="231F20"/>
                <w:sz w:val="15"/>
              </w:rPr>
              <w:t>in</w:t>
            </w:r>
            <w:r>
              <w:rPr>
                <w:color w:val="231F20"/>
                <w:spacing w:val="2"/>
                <w:sz w:val="15"/>
              </w:rPr>
              <w:t> </w:t>
            </w:r>
            <w:r>
              <w:rPr>
                <w:color w:val="231F20"/>
                <w:sz w:val="15"/>
              </w:rPr>
              <w:t>most</w:t>
            </w:r>
            <w:r>
              <w:rPr>
                <w:color w:val="231F20"/>
                <w:spacing w:val="2"/>
                <w:sz w:val="15"/>
              </w:rPr>
              <w:t> </w:t>
            </w:r>
            <w:r>
              <w:rPr>
                <w:color w:val="231F20"/>
                <w:sz w:val="15"/>
              </w:rPr>
              <w:t>cases.</w:t>
            </w:r>
            <w:r>
              <w:rPr>
                <w:color w:val="231F20"/>
                <w:spacing w:val="2"/>
                <w:sz w:val="15"/>
              </w:rPr>
              <w:t> </w:t>
            </w:r>
            <w:r>
              <w:rPr>
                <w:color w:val="231F20"/>
                <w:sz w:val="15"/>
              </w:rPr>
              <w:t>Normal</w:t>
            </w:r>
            <w:r>
              <w:rPr>
                <w:color w:val="231F20"/>
                <w:spacing w:val="2"/>
                <w:sz w:val="15"/>
              </w:rPr>
              <w:t> </w:t>
            </w:r>
            <w:r>
              <w:rPr>
                <w:color w:val="231F20"/>
                <w:spacing w:val="-5"/>
                <w:sz w:val="15"/>
              </w:rPr>
              <w:t>CSF</w:t>
            </w:r>
          </w:p>
        </w:tc>
        <w:tc>
          <w:tcPr>
            <w:tcW w:w="2593" w:type="dxa"/>
            <w:shd w:val="clear" w:color="auto" w:fill="E8F5F1"/>
          </w:tcPr>
          <w:p>
            <w:pPr>
              <w:pStyle w:val="TableParagraph"/>
              <w:spacing w:line="145" w:lineRule="exact"/>
              <w:ind w:right="151"/>
              <w:jc w:val="right"/>
              <w:rPr>
                <w:sz w:val="15"/>
              </w:rPr>
            </w:pPr>
            <w:r>
              <w:rPr>
                <w:color w:val="231F20"/>
                <w:sz w:val="15"/>
              </w:rPr>
              <w:t>nerve,</w:t>
            </w:r>
            <w:r>
              <w:rPr>
                <w:color w:val="231F20"/>
                <w:spacing w:val="-8"/>
                <w:sz w:val="15"/>
              </w:rPr>
              <w:t> </w:t>
            </w:r>
            <w:r>
              <w:rPr>
                <w:color w:val="231F20"/>
                <w:sz w:val="15"/>
              </w:rPr>
              <w:t>upper</w:t>
            </w:r>
            <w:r>
              <w:rPr>
                <w:color w:val="231F20"/>
                <w:spacing w:val="-7"/>
                <w:sz w:val="15"/>
              </w:rPr>
              <w:t> </w:t>
            </w:r>
            <w:r>
              <w:rPr>
                <w:color w:val="231F20"/>
                <w:sz w:val="15"/>
              </w:rPr>
              <w:t>limb</w:t>
            </w:r>
            <w:r>
              <w:rPr>
                <w:color w:val="231F20"/>
                <w:spacing w:val="-7"/>
                <w:sz w:val="15"/>
              </w:rPr>
              <w:t> </w:t>
            </w:r>
            <w:r>
              <w:rPr>
                <w:color w:val="231F20"/>
                <w:sz w:val="15"/>
              </w:rPr>
              <w:t>nerves</w:t>
            </w:r>
            <w:r>
              <w:rPr>
                <w:color w:val="231F20"/>
                <w:spacing w:val="-7"/>
                <w:sz w:val="15"/>
              </w:rPr>
              <w:t> </w:t>
            </w:r>
            <w:r>
              <w:rPr>
                <w:color w:val="231F20"/>
                <w:spacing w:val="-2"/>
                <w:sz w:val="15"/>
              </w:rPr>
              <w:t>normal</w:t>
            </w:r>
          </w:p>
        </w:tc>
        <w:tc>
          <w:tcPr>
            <w:tcW w:w="1484" w:type="dxa"/>
            <w:shd w:val="clear" w:color="auto" w:fill="E8F5F1"/>
          </w:tcPr>
          <w:p>
            <w:pPr>
              <w:pStyle w:val="TableParagraph"/>
              <w:rPr>
                <w:rFonts w:ascii="Times New Roman"/>
                <w:sz w:val="10"/>
              </w:rPr>
            </w:pPr>
          </w:p>
        </w:tc>
      </w:tr>
      <w:tr>
        <w:trPr>
          <w:trHeight w:val="169"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50" w:lineRule="exact"/>
              <w:ind w:left="356"/>
              <w:rPr>
                <w:sz w:val="15"/>
              </w:rPr>
            </w:pPr>
            <w:r>
              <w:rPr>
                <w:color w:val="231F20"/>
                <w:sz w:val="15"/>
              </w:rPr>
              <w:t>protein.</w:t>
            </w:r>
            <w:r>
              <w:rPr>
                <w:color w:val="231F20"/>
                <w:spacing w:val="-7"/>
                <w:sz w:val="15"/>
              </w:rPr>
              <w:t> </w:t>
            </w:r>
            <w:r>
              <w:rPr>
                <w:color w:val="231F20"/>
                <w:sz w:val="15"/>
              </w:rPr>
              <w:t>Occasional</w:t>
            </w:r>
            <w:r>
              <w:rPr>
                <w:color w:val="231F20"/>
                <w:spacing w:val="-6"/>
                <w:sz w:val="15"/>
              </w:rPr>
              <w:t> </w:t>
            </w:r>
            <w:r>
              <w:rPr>
                <w:color w:val="231F20"/>
                <w:sz w:val="15"/>
              </w:rPr>
              <w:t>optic</w:t>
            </w:r>
            <w:r>
              <w:rPr>
                <w:color w:val="231F20"/>
                <w:spacing w:val="-6"/>
                <w:sz w:val="15"/>
              </w:rPr>
              <w:t> </w:t>
            </w:r>
            <w:r>
              <w:rPr>
                <w:color w:val="231F20"/>
                <w:sz w:val="15"/>
              </w:rPr>
              <w:t>atrophy</w:t>
            </w:r>
            <w:r>
              <w:rPr>
                <w:color w:val="231F20"/>
                <w:spacing w:val="-6"/>
                <w:sz w:val="15"/>
              </w:rPr>
              <w:t> </w:t>
            </w:r>
            <w:r>
              <w:rPr>
                <w:color w:val="231F20"/>
                <w:sz w:val="15"/>
              </w:rPr>
              <w:t>or</w:t>
            </w:r>
            <w:r>
              <w:rPr>
                <w:color w:val="231F20"/>
                <w:spacing w:val="-6"/>
                <w:sz w:val="15"/>
              </w:rPr>
              <w:t> </w:t>
            </w:r>
            <w:r>
              <w:rPr>
                <w:color w:val="231F20"/>
                <w:spacing w:val="-2"/>
                <w:sz w:val="15"/>
              </w:rPr>
              <w:t>spasticity</w:t>
            </w:r>
          </w:p>
        </w:tc>
        <w:tc>
          <w:tcPr>
            <w:tcW w:w="2593" w:type="dxa"/>
            <w:shd w:val="clear" w:color="auto" w:fill="E8F5F1"/>
          </w:tcPr>
          <w:p>
            <w:pPr>
              <w:pStyle w:val="TableParagraph"/>
              <w:spacing w:line="150" w:lineRule="exact"/>
              <w:ind w:left="266"/>
              <w:rPr>
                <w:sz w:val="15"/>
              </w:rPr>
            </w:pPr>
            <w:r>
              <w:rPr>
                <w:color w:val="231F20"/>
                <w:spacing w:val="-2"/>
                <w:sz w:val="15"/>
              </w:rPr>
              <w:t>or mildly slowed.</w:t>
            </w:r>
            <w:r>
              <w:rPr>
                <w:color w:val="231F20"/>
                <w:spacing w:val="-1"/>
                <w:sz w:val="15"/>
              </w:rPr>
              <w:t> </w:t>
            </w:r>
            <w:r>
              <w:rPr>
                <w:color w:val="231F20"/>
                <w:spacing w:val="-4"/>
                <w:sz w:val="15"/>
              </w:rPr>
              <w:t>EMG:</w:t>
            </w:r>
          </w:p>
        </w:tc>
        <w:tc>
          <w:tcPr>
            <w:tcW w:w="1484" w:type="dxa"/>
            <w:shd w:val="clear" w:color="auto" w:fill="E8F5F1"/>
          </w:tcPr>
          <w:p>
            <w:pPr>
              <w:pStyle w:val="TableParagraph"/>
              <w:rPr>
                <w:rFonts w:ascii="Times New Roman"/>
                <w:sz w:val="10"/>
              </w:rPr>
            </w:pPr>
          </w:p>
        </w:tc>
      </w:tr>
      <w:tr>
        <w:trPr>
          <w:trHeight w:val="166"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spacing w:line="147" w:lineRule="exact"/>
              <w:ind w:left="266"/>
              <w:rPr>
                <w:sz w:val="15"/>
              </w:rPr>
            </w:pPr>
            <w:r>
              <w:rPr>
                <w:color w:val="231F20"/>
                <w:spacing w:val="-2"/>
                <w:sz w:val="15"/>
              </w:rPr>
              <w:t>denervation</w:t>
            </w: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3"/>
              <w:rPr>
                <w:sz w:val="15"/>
              </w:rPr>
            </w:pPr>
            <w:r>
              <w:rPr>
                <w:color w:val="231F20"/>
                <w:sz w:val="15"/>
              </w:rPr>
              <w:t>Spinal</w:t>
            </w:r>
            <w:r>
              <w:rPr>
                <w:color w:val="231F20"/>
                <w:spacing w:val="-9"/>
                <w:sz w:val="15"/>
              </w:rPr>
              <w:t> </w:t>
            </w:r>
            <w:r>
              <w:rPr>
                <w:color w:val="231F20"/>
                <w:sz w:val="15"/>
              </w:rPr>
              <w:t>muscular</w:t>
            </w:r>
            <w:r>
              <w:rPr>
                <w:color w:val="231F20"/>
                <w:spacing w:val="-8"/>
                <w:sz w:val="15"/>
              </w:rPr>
              <w:t> </w:t>
            </w:r>
            <w:r>
              <w:rPr>
                <w:color w:val="231F20"/>
                <w:sz w:val="15"/>
              </w:rPr>
              <w:t>atrophy</w:t>
            </w:r>
            <w:r>
              <w:rPr>
                <w:color w:val="231F20"/>
                <w:spacing w:val="-9"/>
                <w:sz w:val="15"/>
              </w:rPr>
              <w:t> </w:t>
            </w:r>
            <w:r>
              <w:rPr>
                <w:color w:val="231F20"/>
                <w:spacing w:val="-4"/>
                <w:sz w:val="15"/>
              </w:rPr>
              <w:t>with</w:t>
            </w:r>
          </w:p>
        </w:tc>
        <w:tc>
          <w:tcPr>
            <w:tcW w:w="3608" w:type="dxa"/>
            <w:shd w:val="clear" w:color="auto" w:fill="E8F5F1"/>
          </w:tcPr>
          <w:p>
            <w:pPr>
              <w:pStyle w:val="TableParagraph"/>
              <w:spacing w:line="150" w:lineRule="exact"/>
              <w:ind w:left="244"/>
              <w:rPr>
                <w:sz w:val="15"/>
              </w:rPr>
            </w:pPr>
            <w:r>
              <w:rPr>
                <w:color w:val="231F20"/>
                <w:sz w:val="15"/>
              </w:rPr>
              <w:t>Autosomal</w:t>
            </w:r>
            <w:r>
              <w:rPr>
                <w:color w:val="231F20"/>
                <w:spacing w:val="-10"/>
                <w:sz w:val="15"/>
              </w:rPr>
              <w:t> </w:t>
            </w:r>
            <w:r>
              <w:rPr>
                <w:color w:val="231F20"/>
                <w:sz w:val="15"/>
              </w:rPr>
              <w:t>recessive.</w:t>
            </w:r>
            <w:r>
              <w:rPr>
                <w:color w:val="231F20"/>
                <w:spacing w:val="-10"/>
                <w:sz w:val="15"/>
              </w:rPr>
              <w:t> </w:t>
            </w:r>
            <w:r>
              <w:rPr>
                <w:color w:val="231F20"/>
                <w:sz w:val="15"/>
              </w:rPr>
              <w:t>Onset</w:t>
            </w:r>
            <w:r>
              <w:rPr>
                <w:color w:val="231F20"/>
                <w:spacing w:val="-9"/>
                <w:sz w:val="15"/>
              </w:rPr>
              <w:t> </w:t>
            </w:r>
            <w:r>
              <w:rPr>
                <w:color w:val="231F20"/>
                <w:sz w:val="15"/>
              </w:rPr>
              <w:t>in</w:t>
            </w:r>
            <w:r>
              <w:rPr>
                <w:color w:val="231F20"/>
                <w:spacing w:val="-10"/>
                <w:sz w:val="15"/>
              </w:rPr>
              <w:t> </w:t>
            </w:r>
            <w:r>
              <w:rPr>
                <w:color w:val="231F20"/>
                <w:sz w:val="15"/>
              </w:rPr>
              <w:t>infancy</w:t>
            </w:r>
            <w:r>
              <w:rPr>
                <w:color w:val="231F20"/>
                <w:spacing w:val="-10"/>
                <w:sz w:val="15"/>
              </w:rPr>
              <w:t> </w:t>
            </w:r>
            <w:r>
              <w:rPr>
                <w:color w:val="231F20"/>
                <w:sz w:val="15"/>
              </w:rPr>
              <w:t>(3-6</w:t>
            </w:r>
            <w:r>
              <w:rPr>
                <w:color w:val="231F20"/>
                <w:spacing w:val="-9"/>
                <w:sz w:val="15"/>
              </w:rPr>
              <w:t> </w:t>
            </w:r>
            <w:r>
              <w:rPr>
                <w:color w:val="231F20"/>
                <w:spacing w:val="-4"/>
                <w:sz w:val="15"/>
              </w:rPr>
              <w:t>mo),</w:t>
            </w:r>
          </w:p>
        </w:tc>
        <w:tc>
          <w:tcPr>
            <w:tcW w:w="2593" w:type="dxa"/>
            <w:shd w:val="clear" w:color="auto" w:fill="E8F5F1"/>
          </w:tcPr>
          <w:p>
            <w:pPr>
              <w:pStyle w:val="TableParagraph"/>
              <w:spacing w:line="150" w:lineRule="exact"/>
              <w:ind w:left="153"/>
              <w:rPr>
                <w:sz w:val="15"/>
              </w:rPr>
            </w:pPr>
            <w:r>
              <w:rPr>
                <w:color w:val="231F20"/>
                <w:sz w:val="15"/>
              </w:rPr>
              <w:t>Absent</w:t>
            </w:r>
            <w:r>
              <w:rPr>
                <w:color w:val="231F20"/>
                <w:spacing w:val="3"/>
                <w:sz w:val="15"/>
              </w:rPr>
              <w:t> </w:t>
            </w:r>
            <w:r>
              <w:rPr>
                <w:color w:val="231F20"/>
                <w:sz w:val="15"/>
              </w:rPr>
              <w:t>conduction</w:t>
            </w:r>
            <w:r>
              <w:rPr>
                <w:color w:val="231F20"/>
                <w:spacing w:val="4"/>
                <w:sz w:val="15"/>
              </w:rPr>
              <w:t> </w:t>
            </w:r>
            <w:r>
              <w:rPr>
                <w:color w:val="231F20"/>
                <w:sz w:val="15"/>
              </w:rPr>
              <w:t>in</w:t>
            </w:r>
            <w:r>
              <w:rPr>
                <w:color w:val="231F20"/>
                <w:spacing w:val="4"/>
                <w:sz w:val="15"/>
              </w:rPr>
              <w:t> </w:t>
            </w:r>
            <w:r>
              <w:rPr>
                <w:color w:val="231F20"/>
                <w:sz w:val="15"/>
              </w:rPr>
              <w:t>most</w:t>
            </w:r>
            <w:r>
              <w:rPr>
                <w:color w:val="231F20"/>
                <w:spacing w:val="3"/>
                <w:sz w:val="15"/>
              </w:rPr>
              <w:t> </w:t>
            </w:r>
            <w:r>
              <w:rPr>
                <w:color w:val="231F20"/>
                <w:spacing w:val="-2"/>
                <w:sz w:val="15"/>
              </w:rPr>
              <w:t>cases</w:t>
            </w:r>
          </w:p>
        </w:tc>
        <w:tc>
          <w:tcPr>
            <w:tcW w:w="1484" w:type="dxa"/>
            <w:shd w:val="clear" w:color="auto" w:fill="E8F5F1"/>
          </w:tcPr>
          <w:p>
            <w:pPr>
              <w:pStyle w:val="TableParagraph"/>
              <w:spacing w:line="150" w:lineRule="exact"/>
              <w:ind w:left="152"/>
              <w:rPr>
                <w:i/>
                <w:sz w:val="15"/>
              </w:rPr>
            </w:pPr>
            <w:r>
              <w:rPr>
                <w:i/>
                <w:color w:val="231F20"/>
                <w:spacing w:val="-2"/>
                <w:w w:val="110"/>
                <w:sz w:val="15"/>
              </w:rPr>
              <w:t>IGHMBP2</w:t>
            </w:r>
          </w:p>
        </w:tc>
      </w:tr>
      <w:tr>
        <w:trPr>
          <w:trHeight w:val="166" w:hRule="atLeast"/>
        </w:trPr>
        <w:tc>
          <w:tcPr>
            <w:tcW w:w="2056" w:type="dxa"/>
            <w:shd w:val="clear" w:color="auto" w:fill="E8F5F1"/>
          </w:tcPr>
          <w:p>
            <w:pPr>
              <w:pStyle w:val="TableParagraph"/>
              <w:spacing w:line="146" w:lineRule="exact"/>
              <w:ind w:left="185"/>
              <w:rPr>
                <w:sz w:val="15"/>
              </w:rPr>
            </w:pPr>
            <w:r>
              <w:rPr>
                <w:color w:val="231F20"/>
                <w:spacing w:val="-2"/>
                <w:sz w:val="15"/>
              </w:rPr>
              <w:t>respiratory</w:t>
            </w:r>
            <w:r>
              <w:rPr>
                <w:color w:val="231F20"/>
                <w:spacing w:val="1"/>
                <w:sz w:val="15"/>
              </w:rPr>
              <w:t> </w:t>
            </w:r>
            <w:r>
              <w:rPr>
                <w:color w:val="231F20"/>
                <w:spacing w:val="-2"/>
                <w:sz w:val="15"/>
              </w:rPr>
              <w:t>distress</w:t>
            </w:r>
            <w:r>
              <w:rPr>
                <w:color w:val="231F20"/>
                <w:spacing w:val="1"/>
                <w:sz w:val="15"/>
              </w:rPr>
              <w:t> </w:t>
            </w:r>
            <w:r>
              <w:rPr>
                <w:color w:val="231F20"/>
                <w:spacing w:val="-2"/>
                <w:sz w:val="15"/>
              </w:rPr>
              <w:t>type</w:t>
            </w:r>
            <w:r>
              <w:rPr>
                <w:color w:val="231F20"/>
                <w:spacing w:val="1"/>
                <w:sz w:val="15"/>
              </w:rPr>
              <w:t> </w:t>
            </w:r>
            <w:r>
              <w:rPr>
                <w:color w:val="231F20"/>
                <w:spacing w:val="-10"/>
                <w:sz w:val="15"/>
              </w:rPr>
              <w:t>1</w:t>
            </w:r>
          </w:p>
        </w:tc>
        <w:tc>
          <w:tcPr>
            <w:tcW w:w="3608" w:type="dxa"/>
            <w:shd w:val="clear" w:color="auto" w:fill="E8F5F1"/>
          </w:tcPr>
          <w:p>
            <w:pPr>
              <w:pStyle w:val="TableParagraph"/>
              <w:spacing w:line="146" w:lineRule="exact"/>
              <w:ind w:left="356"/>
              <w:rPr>
                <w:sz w:val="15"/>
              </w:rPr>
            </w:pPr>
            <w:r>
              <w:rPr>
                <w:color w:val="231F20"/>
                <w:spacing w:val="-2"/>
                <w:sz w:val="15"/>
              </w:rPr>
              <w:t>respiratory</w:t>
            </w:r>
            <w:r>
              <w:rPr>
                <w:color w:val="231F20"/>
                <w:spacing w:val="-5"/>
                <w:sz w:val="15"/>
              </w:rPr>
              <w:t> </w:t>
            </w:r>
            <w:r>
              <w:rPr>
                <w:color w:val="231F20"/>
                <w:spacing w:val="-2"/>
                <w:sz w:val="15"/>
              </w:rPr>
              <w:t>failure,</w:t>
            </w:r>
            <w:r>
              <w:rPr>
                <w:color w:val="231F20"/>
                <w:spacing w:val="-5"/>
                <w:sz w:val="15"/>
              </w:rPr>
              <w:t> </w:t>
            </w:r>
            <w:r>
              <w:rPr>
                <w:color w:val="231F20"/>
                <w:spacing w:val="-2"/>
                <w:sz w:val="15"/>
              </w:rPr>
              <w:t>progressive</w:t>
            </w:r>
            <w:r>
              <w:rPr>
                <w:color w:val="231F20"/>
                <w:spacing w:val="-4"/>
                <w:sz w:val="15"/>
              </w:rPr>
              <w:t> </w:t>
            </w:r>
            <w:r>
              <w:rPr>
                <w:color w:val="231F20"/>
                <w:spacing w:val="-2"/>
                <w:sz w:val="15"/>
              </w:rPr>
              <w:t>distal</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9" w:hRule="atLeast"/>
        </w:trPr>
        <w:tc>
          <w:tcPr>
            <w:tcW w:w="2056" w:type="dxa"/>
            <w:shd w:val="clear" w:color="auto" w:fill="E8F5F1"/>
          </w:tcPr>
          <w:p>
            <w:pPr>
              <w:pStyle w:val="TableParagraph"/>
              <w:spacing w:line="150" w:lineRule="exact"/>
              <w:ind w:left="185"/>
              <w:rPr>
                <w:sz w:val="15"/>
              </w:rPr>
            </w:pPr>
            <w:r>
              <w:rPr>
                <w:color w:val="231F20"/>
                <w:sz w:val="15"/>
              </w:rPr>
              <w:t>(SMARD1)/severe</w:t>
            </w:r>
            <w:r>
              <w:rPr>
                <w:color w:val="231F20"/>
                <w:spacing w:val="1"/>
                <w:sz w:val="15"/>
              </w:rPr>
              <w:t> </w:t>
            </w:r>
            <w:r>
              <w:rPr>
                <w:color w:val="231F20"/>
                <w:spacing w:val="-2"/>
                <w:sz w:val="15"/>
              </w:rPr>
              <w:t>infantile</w:t>
            </w:r>
          </w:p>
        </w:tc>
        <w:tc>
          <w:tcPr>
            <w:tcW w:w="3608" w:type="dxa"/>
            <w:shd w:val="clear" w:color="auto" w:fill="E8F5F1"/>
          </w:tcPr>
          <w:p>
            <w:pPr>
              <w:pStyle w:val="TableParagraph"/>
              <w:spacing w:line="150" w:lineRule="exact"/>
              <w:ind w:left="356"/>
              <w:rPr>
                <w:sz w:val="15"/>
              </w:rPr>
            </w:pPr>
            <w:r>
              <w:rPr>
                <w:color w:val="231F20"/>
                <w:sz w:val="15"/>
              </w:rPr>
              <w:t>weakness,</w:t>
            </w:r>
            <w:r>
              <w:rPr>
                <w:color w:val="231F20"/>
                <w:spacing w:val="-10"/>
                <w:sz w:val="15"/>
              </w:rPr>
              <w:t> </w:t>
            </w:r>
            <w:r>
              <w:rPr>
                <w:color w:val="231F20"/>
                <w:sz w:val="15"/>
              </w:rPr>
              <w:t>eventual</w:t>
            </w:r>
            <w:r>
              <w:rPr>
                <w:color w:val="231F20"/>
                <w:spacing w:val="-10"/>
                <w:sz w:val="15"/>
              </w:rPr>
              <w:t> </w:t>
            </w:r>
            <w:r>
              <w:rPr>
                <w:color w:val="231F20"/>
                <w:sz w:val="15"/>
              </w:rPr>
              <w:t>plateau.</w:t>
            </w:r>
            <w:r>
              <w:rPr>
                <w:color w:val="231F20"/>
                <w:spacing w:val="-10"/>
                <w:sz w:val="15"/>
              </w:rPr>
              <w:t> </w:t>
            </w:r>
            <w:r>
              <w:rPr>
                <w:color w:val="231F20"/>
                <w:sz w:val="15"/>
              </w:rPr>
              <w:t>No</w:t>
            </w:r>
            <w:r>
              <w:rPr>
                <w:color w:val="231F20"/>
                <w:spacing w:val="-10"/>
                <w:sz w:val="15"/>
              </w:rPr>
              <w:t> </w:t>
            </w:r>
            <w:r>
              <w:rPr>
                <w:color w:val="231F20"/>
                <w:spacing w:val="-2"/>
                <w:sz w:val="15"/>
              </w:rPr>
              <w:t>recovery</w:t>
            </w: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6" w:hRule="atLeast"/>
        </w:trPr>
        <w:tc>
          <w:tcPr>
            <w:tcW w:w="2056" w:type="dxa"/>
            <w:shd w:val="clear" w:color="auto" w:fill="E8F5F1"/>
          </w:tcPr>
          <w:p>
            <w:pPr>
              <w:pStyle w:val="TableParagraph"/>
              <w:spacing w:line="146" w:lineRule="exact"/>
              <w:ind w:left="185"/>
              <w:rPr>
                <w:sz w:val="15"/>
              </w:rPr>
            </w:pPr>
            <w:r>
              <w:rPr>
                <w:color w:val="231F20"/>
                <w:sz w:val="15"/>
              </w:rPr>
              <w:t>axonal</w:t>
            </w:r>
            <w:r>
              <w:rPr>
                <w:color w:val="231F20"/>
                <w:spacing w:val="-8"/>
                <w:sz w:val="15"/>
              </w:rPr>
              <w:t> </w:t>
            </w:r>
            <w:r>
              <w:rPr>
                <w:color w:val="231F20"/>
                <w:sz w:val="15"/>
              </w:rPr>
              <w:t>neuropathy</w:t>
            </w:r>
            <w:r>
              <w:rPr>
                <w:color w:val="231F20"/>
                <w:spacing w:val="-7"/>
                <w:sz w:val="15"/>
              </w:rPr>
              <w:t> </w:t>
            </w:r>
            <w:r>
              <w:rPr>
                <w:color w:val="231F20"/>
                <w:spacing w:val="-4"/>
                <w:sz w:val="15"/>
              </w:rPr>
              <w:t>with</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spacing w:line="148" w:lineRule="exact"/>
              <w:ind w:left="185"/>
              <w:rPr>
                <w:sz w:val="15"/>
              </w:rPr>
            </w:pPr>
            <w:r>
              <w:rPr>
                <w:color w:val="231F20"/>
                <w:spacing w:val="-4"/>
                <w:sz w:val="15"/>
              </w:rPr>
              <w:t>respiratory</w:t>
            </w:r>
            <w:r>
              <w:rPr>
                <w:color w:val="231F20"/>
                <w:spacing w:val="4"/>
                <w:sz w:val="15"/>
              </w:rPr>
              <w:t> </w:t>
            </w:r>
            <w:r>
              <w:rPr>
                <w:color w:val="231F20"/>
                <w:spacing w:val="-4"/>
                <w:sz w:val="15"/>
              </w:rPr>
              <w:t>failure</w:t>
            </w:r>
            <w:r>
              <w:rPr>
                <w:color w:val="231F20"/>
                <w:spacing w:val="5"/>
                <w:sz w:val="15"/>
              </w:rPr>
              <w:t> </w:t>
            </w:r>
            <w:r>
              <w:rPr>
                <w:color w:val="231F20"/>
                <w:spacing w:val="-4"/>
                <w:sz w:val="15"/>
              </w:rPr>
              <w:t>(SIANR)</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spacing w:line="148" w:lineRule="exact"/>
              <w:ind w:left="73"/>
              <w:rPr>
                <w:sz w:val="15"/>
              </w:rPr>
            </w:pPr>
            <w:r>
              <w:rPr>
                <w:color w:val="231F20"/>
                <w:w w:val="105"/>
                <w:sz w:val="15"/>
              </w:rPr>
              <w:t>Allelic</w:t>
            </w:r>
            <w:r>
              <w:rPr>
                <w:color w:val="231F20"/>
                <w:spacing w:val="-7"/>
                <w:w w:val="105"/>
                <w:sz w:val="15"/>
              </w:rPr>
              <w:t> </w:t>
            </w:r>
            <w:r>
              <w:rPr>
                <w:color w:val="231F20"/>
                <w:w w:val="105"/>
                <w:sz w:val="15"/>
              </w:rPr>
              <w:t>to</w:t>
            </w:r>
            <w:r>
              <w:rPr>
                <w:color w:val="231F20"/>
                <w:spacing w:val="-6"/>
                <w:w w:val="105"/>
                <w:sz w:val="15"/>
              </w:rPr>
              <w:t> </w:t>
            </w:r>
            <w:r>
              <w:rPr>
                <w:color w:val="231F20"/>
                <w:w w:val="105"/>
                <w:sz w:val="15"/>
              </w:rPr>
              <w:t>dHMN6</w:t>
            </w:r>
            <w:r>
              <w:rPr>
                <w:color w:val="231F20"/>
                <w:spacing w:val="-6"/>
                <w:w w:val="105"/>
                <w:sz w:val="15"/>
              </w:rPr>
              <w:t> </w:t>
            </w:r>
            <w:r>
              <w:rPr>
                <w:color w:val="231F20"/>
                <w:spacing w:val="-2"/>
                <w:w w:val="105"/>
                <w:sz w:val="15"/>
              </w:rPr>
              <w:t>dSMA1</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68" w:hRule="atLeast"/>
        </w:trPr>
        <w:tc>
          <w:tcPr>
            <w:tcW w:w="2056" w:type="dxa"/>
            <w:shd w:val="clear" w:color="auto" w:fill="E8F5F1"/>
          </w:tcPr>
          <w:p>
            <w:pPr>
              <w:pStyle w:val="TableParagraph"/>
              <w:spacing w:line="149" w:lineRule="exact"/>
              <w:ind w:left="185"/>
              <w:rPr>
                <w:sz w:val="15"/>
              </w:rPr>
            </w:pPr>
            <w:r>
              <w:rPr>
                <w:color w:val="231F20"/>
                <w:spacing w:val="-2"/>
                <w:sz w:val="15"/>
              </w:rPr>
              <w:t>(604320)</w:t>
            </w:r>
          </w:p>
        </w:tc>
        <w:tc>
          <w:tcPr>
            <w:tcW w:w="3608" w:type="dxa"/>
            <w:shd w:val="clear" w:color="auto" w:fill="E8F5F1"/>
          </w:tcPr>
          <w:p>
            <w:pPr>
              <w:pStyle w:val="TableParagraph"/>
              <w:rPr>
                <w:rFonts w:ascii="Times New Roman"/>
                <w:sz w:val="10"/>
              </w:rPr>
            </w:pPr>
          </w:p>
        </w:tc>
        <w:tc>
          <w:tcPr>
            <w:tcW w:w="2593" w:type="dxa"/>
            <w:shd w:val="clear" w:color="auto" w:fill="E8F5F1"/>
          </w:tcPr>
          <w:p>
            <w:pPr>
              <w:pStyle w:val="TableParagraph"/>
              <w:rPr>
                <w:rFonts w:ascii="Times New Roman"/>
                <w:sz w:val="10"/>
              </w:rPr>
            </w:pP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0" w:lineRule="exact"/>
              <w:ind w:left="73"/>
              <w:rPr>
                <w:sz w:val="15"/>
              </w:rPr>
            </w:pPr>
            <w:r>
              <w:rPr>
                <w:color w:val="231F20"/>
                <w:sz w:val="15"/>
              </w:rPr>
              <w:t>Hereditary</w:t>
            </w:r>
            <w:r>
              <w:rPr>
                <w:color w:val="231F20"/>
                <w:spacing w:val="-10"/>
                <w:sz w:val="15"/>
              </w:rPr>
              <w:t> </w:t>
            </w:r>
            <w:r>
              <w:rPr>
                <w:color w:val="231F20"/>
                <w:sz w:val="15"/>
              </w:rPr>
              <w:t>motor</w:t>
            </w:r>
            <w:r>
              <w:rPr>
                <w:color w:val="231F20"/>
                <w:spacing w:val="-10"/>
                <w:sz w:val="15"/>
              </w:rPr>
              <w:t> </w:t>
            </w:r>
            <w:r>
              <w:rPr>
                <w:color w:val="231F20"/>
                <w:spacing w:val="-5"/>
                <w:sz w:val="15"/>
              </w:rPr>
              <w:t>and</w:t>
            </w:r>
          </w:p>
        </w:tc>
        <w:tc>
          <w:tcPr>
            <w:tcW w:w="3608" w:type="dxa"/>
            <w:shd w:val="clear" w:color="auto" w:fill="E8F5F1"/>
          </w:tcPr>
          <w:p>
            <w:pPr>
              <w:pStyle w:val="TableParagraph"/>
              <w:spacing w:line="150" w:lineRule="exact"/>
              <w:ind w:left="244"/>
              <w:rPr>
                <w:sz w:val="15"/>
              </w:rPr>
            </w:pPr>
            <w:r>
              <w:rPr>
                <w:color w:val="231F20"/>
                <w:spacing w:val="-2"/>
                <w:sz w:val="15"/>
              </w:rPr>
              <w:t>Adult onset (after 30</w:t>
            </w:r>
            <w:r>
              <w:rPr>
                <w:color w:val="231F20"/>
                <w:spacing w:val="-1"/>
                <w:sz w:val="15"/>
              </w:rPr>
              <w:t> </w:t>
            </w:r>
            <w:r>
              <w:rPr>
                <w:color w:val="231F20"/>
                <w:spacing w:val="-2"/>
                <w:sz w:val="15"/>
              </w:rPr>
              <w:t>yr). Autosomal dominant.</w:t>
            </w:r>
          </w:p>
        </w:tc>
        <w:tc>
          <w:tcPr>
            <w:tcW w:w="2593" w:type="dxa"/>
            <w:shd w:val="clear" w:color="auto" w:fill="E8F5F1"/>
          </w:tcPr>
          <w:p>
            <w:pPr>
              <w:pStyle w:val="TableParagraph"/>
              <w:spacing w:line="150" w:lineRule="exact"/>
              <w:ind w:left="153"/>
              <w:rPr>
                <w:sz w:val="15"/>
              </w:rPr>
            </w:pPr>
            <w:r>
              <w:rPr>
                <w:color w:val="231F20"/>
                <w:sz w:val="15"/>
              </w:rPr>
              <w:t>Motor</w:t>
            </w:r>
            <w:r>
              <w:rPr>
                <w:color w:val="231F20"/>
                <w:spacing w:val="11"/>
                <w:sz w:val="15"/>
              </w:rPr>
              <w:t> </w:t>
            </w:r>
            <w:r>
              <w:rPr>
                <w:color w:val="231F20"/>
                <w:sz w:val="15"/>
              </w:rPr>
              <w:t>and</w:t>
            </w:r>
            <w:r>
              <w:rPr>
                <w:color w:val="231F20"/>
                <w:spacing w:val="11"/>
                <w:sz w:val="15"/>
              </w:rPr>
              <w:t> </w:t>
            </w:r>
            <w:r>
              <w:rPr>
                <w:color w:val="231F20"/>
                <w:sz w:val="15"/>
              </w:rPr>
              <w:t>sensory</w:t>
            </w:r>
            <w:r>
              <w:rPr>
                <w:color w:val="231F20"/>
                <w:spacing w:val="11"/>
                <w:sz w:val="15"/>
              </w:rPr>
              <w:t> </w:t>
            </w:r>
            <w:r>
              <w:rPr>
                <w:color w:val="231F20"/>
                <w:spacing w:val="-2"/>
                <w:sz w:val="15"/>
              </w:rPr>
              <w:t>axonal</w:t>
            </w:r>
          </w:p>
        </w:tc>
        <w:tc>
          <w:tcPr>
            <w:tcW w:w="1484" w:type="dxa"/>
            <w:shd w:val="clear" w:color="auto" w:fill="E8F5F1"/>
          </w:tcPr>
          <w:p>
            <w:pPr>
              <w:pStyle w:val="TableParagraph"/>
              <w:spacing w:line="150" w:lineRule="exact"/>
              <w:ind w:left="151"/>
              <w:rPr>
                <w:sz w:val="15"/>
              </w:rPr>
            </w:pPr>
            <w:r>
              <w:rPr>
                <w:color w:val="231F20"/>
                <w:spacing w:val="-4"/>
                <w:sz w:val="15"/>
              </w:rPr>
              <w:t>3q13</w:t>
            </w:r>
          </w:p>
        </w:tc>
      </w:tr>
      <w:tr>
        <w:trPr>
          <w:trHeight w:val="166" w:hRule="atLeast"/>
        </w:trPr>
        <w:tc>
          <w:tcPr>
            <w:tcW w:w="2056" w:type="dxa"/>
            <w:shd w:val="clear" w:color="auto" w:fill="E8F5F1"/>
          </w:tcPr>
          <w:p>
            <w:pPr>
              <w:pStyle w:val="TableParagraph"/>
              <w:spacing w:line="146" w:lineRule="exact"/>
              <w:ind w:left="185"/>
              <w:rPr>
                <w:sz w:val="15"/>
              </w:rPr>
            </w:pPr>
            <w:r>
              <w:rPr>
                <w:color w:val="231F20"/>
                <w:sz w:val="15"/>
              </w:rPr>
              <w:t>sensory</w:t>
            </w:r>
            <w:r>
              <w:rPr>
                <w:color w:val="231F20"/>
                <w:spacing w:val="1"/>
                <w:sz w:val="15"/>
              </w:rPr>
              <w:t> </w:t>
            </w:r>
            <w:r>
              <w:rPr>
                <w:color w:val="231F20"/>
                <w:spacing w:val="-2"/>
                <w:sz w:val="15"/>
              </w:rPr>
              <w:t>neuropathy</w:t>
            </w:r>
          </w:p>
        </w:tc>
        <w:tc>
          <w:tcPr>
            <w:tcW w:w="3608" w:type="dxa"/>
            <w:shd w:val="clear" w:color="auto" w:fill="E8F5F1"/>
          </w:tcPr>
          <w:p>
            <w:pPr>
              <w:pStyle w:val="TableParagraph"/>
              <w:spacing w:line="146" w:lineRule="exact"/>
              <w:ind w:left="356"/>
              <w:rPr>
                <w:sz w:val="15"/>
              </w:rPr>
            </w:pPr>
            <w:r>
              <w:rPr>
                <w:color w:val="231F20"/>
                <w:sz w:val="15"/>
              </w:rPr>
              <w:t>Slowly</w:t>
            </w:r>
            <w:r>
              <w:rPr>
                <w:color w:val="231F20"/>
                <w:spacing w:val="-5"/>
                <w:sz w:val="15"/>
              </w:rPr>
              <w:t> </w:t>
            </w:r>
            <w:r>
              <w:rPr>
                <w:color w:val="231F20"/>
                <w:sz w:val="15"/>
              </w:rPr>
              <w:t>progressive</w:t>
            </w:r>
            <w:r>
              <w:rPr>
                <w:color w:val="231F20"/>
                <w:spacing w:val="-5"/>
                <w:sz w:val="15"/>
              </w:rPr>
              <w:t> </w:t>
            </w:r>
            <w:r>
              <w:rPr>
                <w:color w:val="231F20"/>
                <w:sz w:val="15"/>
              </w:rPr>
              <w:t>proximal</w:t>
            </w:r>
            <w:r>
              <w:rPr>
                <w:color w:val="231F20"/>
                <w:spacing w:val="-5"/>
                <w:sz w:val="15"/>
              </w:rPr>
              <w:t> </w:t>
            </w:r>
            <w:r>
              <w:rPr>
                <w:color w:val="231F20"/>
                <w:sz w:val="15"/>
              </w:rPr>
              <w:t>dominant</w:t>
            </w:r>
            <w:r>
              <w:rPr>
                <w:color w:val="231F20"/>
                <w:spacing w:val="-5"/>
                <w:sz w:val="15"/>
              </w:rPr>
              <w:t> </w:t>
            </w:r>
            <w:r>
              <w:rPr>
                <w:color w:val="231F20"/>
                <w:sz w:val="15"/>
              </w:rPr>
              <w:t>area</w:t>
            </w:r>
            <w:r>
              <w:rPr>
                <w:color w:val="231F20"/>
                <w:spacing w:val="-4"/>
                <w:sz w:val="15"/>
              </w:rPr>
              <w:t> </w:t>
            </w:r>
            <w:r>
              <w:rPr>
                <w:color w:val="231F20"/>
                <w:spacing w:val="-5"/>
                <w:sz w:val="15"/>
              </w:rPr>
              <w:t>of</w:t>
            </w:r>
          </w:p>
        </w:tc>
        <w:tc>
          <w:tcPr>
            <w:tcW w:w="2593" w:type="dxa"/>
            <w:shd w:val="clear" w:color="auto" w:fill="E8F5F1"/>
          </w:tcPr>
          <w:p>
            <w:pPr>
              <w:pStyle w:val="TableParagraph"/>
              <w:spacing w:line="146" w:lineRule="exact"/>
              <w:ind w:left="265"/>
              <w:rPr>
                <w:sz w:val="15"/>
              </w:rPr>
            </w:pPr>
            <w:r>
              <w:rPr>
                <w:color w:val="231F20"/>
                <w:sz w:val="15"/>
              </w:rPr>
              <w:t>neuropathy.</w:t>
            </w:r>
            <w:r>
              <w:rPr>
                <w:color w:val="231F20"/>
                <w:spacing w:val="4"/>
                <w:sz w:val="15"/>
              </w:rPr>
              <w:t> </w:t>
            </w:r>
            <w:r>
              <w:rPr>
                <w:color w:val="231F20"/>
                <w:sz w:val="15"/>
              </w:rPr>
              <w:t>SNAPs,</w:t>
            </w:r>
            <w:r>
              <w:rPr>
                <w:color w:val="231F20"/>
                <w:spacing w:val="5"/>
                <w:sz w:val="15"/>
              </w:rPr>
              <w:t> </w:t>
            </w:r>
            <w:r>
              <w:rPr>
                <w:color w:val="231F20"/>
                <w:spacing w:val="-2"/>
                <w:sz w:val="15"/>
              </w:rPr>
              <w:t>CMAPs,</w:t>
            </w:r>
          </w:p>
        </w:tc>
        <w:tc>
          <w:tcPr>
            <w:tcW w:w="1484" w:type="dxa"/>
            <w:shd w:val="clear" w:color="auto" w:fill="E8F5F1"/>
          </w:tcPr>
          <w:p>
            <w:pPr>
              <w:pStyle w:val="TableParagraph"/>
              <w:rPr>
                <w:rFonts w:ascii="Times New Roman"/>
                <w:sz w:val="10"/>
              </w:rPr>
            </w:pPr>
          </w:p>
        </w:tc>
      </w:tr>
      <w:tr>
        <w:trPr>
          <w:trHeight w:val="170" w:hRule="atLeast"/>
        </w:trPr>
        <w:tc>
          <w:tcPr>
            <w:tcW w:w="2056" w:type="dxa"/>
            <w:shd w:val="clear" w:color="auto" w:fill="E8F5F1"/>
          </w:tcPr>
          <w:p>
            <w:pPr>
              <w:pStyle w:val="TableParagraph"/>
              <w:spacing w:line="151" w:lineRule="exact"/>
              <w:ind w:left="185"/>
              <w:rPr>
                <w:sz w:val="15"/>
              </w:rPr>
            </w:pPr>
            <w:r>
              <w:rPr>
                <w:color w:val="231F20"/>
                <w:sz w:val="15"/>
              </w:rPr>
              <w:t>(HMSN-P)</w:t>
            </w:r>
            <w:r>
              <w:rPr>
                <w:color w:val="231F20"/>
                <w:spacing w:val="10"/>
                <w:sz w:val="15"/>
              </w:rPr>
              <w:t> </w:t>
            </w:r>
            <w:r>
              <w:rPr>
                <w:color w:val="231F20"/>
                <w:sz w:val="15"/>
              </w:rPr>
              <w:t>(Okinawa</w:t>
            </w:r>
            <w:r>
              <w:rPr>
                <w:color w:val="231F20"/>
                <w:spacing w:val="10"/>
                <w:sz w:val="15"/>
              </w:rPr>
              <w:t> </w:t>
            </w:r>
            <w:r>
              <w:rPr>
                <w:color w:val="231F20"/>
                <w:spacing w:val="-2"/>
                <w:sz w:val="15"/>
              </w:rPr>
              <w:t>type)</w:t>
            </w:r>
          </w:p>
        </w:tc>
        <w:tc>
          <w:tcPr>
            <w:tcW w:w="3608" w:type="dxa"/>
            <w:shd w:val="clear" w:color="auto" w:fill="E8F5F1"/>
          </w:tcPr>
          <w:p>
            <w:pPr>
              <w:pStyle w:val="TableParagraph"/>
              <w:spacing w:line="151" w:lineRule="exact"/>
              <w:ind w:left="356"/>
              <w:rPr>
                <w:sz w:val="15"/>
              </w:rPr>
            </w:pPr>
            <w:r>
              <w:rPr>
                <w:color w:val="231F20"/>
                <w:spacing w:val="-2"/>
                <w:sz w:val="15"/>
              </w:rPr>
              <w:t>weakness.</w:t>
            </w:r>
            <w:r>
              <w:rPr>
                <w:color w:val="231F20"/>
                <w:spacing w:val="-4"/>
                <w:sz w:val="15"/>
              </w:rPr>
              <w:t> </w:t>
            </w:r>
            <w:r>
              <w:rPr>
                <w:color w:val="231F20"/>
                <w:spacing w:val="-2"/>
                <w:sz w:val="15"/>
              </w:rPr>
              <w:t>Fasciculations</w:t>
            </w:r>
            <w:r>
              <w:rPr>
                <w:color w:val="231F20"/>
                <w:spacing w:val="-4"/>
                <w:sz w:val="15"/>
              </w:rPr>
              <w:t> </w:t>
            </w:r>
            <w:r>
              <w:rPr>
                <w:color w:val="231F20"/>
                <w:spacing w:val="-2"/>
                <w:sz w:val="15"/>
              </w:rPr>
              <w:t>of</w:t>
            </w:r>
            <w:r>
              <w:rPr>
                <w:color w:val="231F20"/>
                <w:spacing w:val="-4"/>
                <w:sz w:val="15"/>
              </w:rPr>
              <w:t> </w:t>
            </w:r>
            <w:r>
              <w:rPr>
                <w:color w:val="231F20"/>
                <w:spacing w:val="-2"/>
                <w:sz w:val="15"/>
              </w:rPr>
              <w:t>extremities</w:t>
            </w:r>
            <w:r>
              <w:rPr>
                <w:color w:val="231F20"/>
                <w:spacing w:val="-4"/>
                <w:sz w:val="15"/>
              </w:rPr>
              <w:t> </w:t>
            </w:r>
            <w:r>
              <w:rPr>
                <w:color w:val="231F20"/>
                <w:spacing w:val="-5"/>
                <w:sz w:val="15"/>
              </w:rPr>
              <w:t>and</w:t>
            </w:r>
          </w:p>
        </w:tc>
        <w:tc>
          <w:tcPr>
            <w:tcW w:w="2593" w:type="dxa"/>
            <w:shd w:val="clear" w:color="auto" w:fill="E8F5F1"/>
          </w:tcPr>
          <w:p>
            <w:pPr>
              <w:pStyle w:val="TableParagraph"/>
              <w:spacing w:line="151" w:lineRule="exact"/>
              <w:ind w:right="194"/>
              <w:jc w:val="right"/>
              <w:rPr>
                <w:sz w:val="15"/>
              </w:rPr>
            </w:pPr>
            <w:r>
              <w:rPr>
                <w:color w:val="231F20"/>
                <w:w w:val="105"/>
                <w:sz w:val="15"/>
              </w:rPr>
              <w:t>MNCVs,</w:t>
            </w:r>
            <w:r>
              <w:rPr>
                <w:color w:val="231F20"/>
                <w:spacing w:val="4"/>
                <w:w w:val="105"/>
                <w:sz w:val="15"/>
              </w:rPr>
              <w:t> </w:t>
            </w:r>
            <w:r>
              <w:rPr>
                <w:color w:val="231F20"/>
                <w:w w:val="105"/>
                <w:sz w:val="15"/>
              </w:rPr>
              <w:t>and</w:t>
            </w:r>
            <w:r>
              <w:rPr>
                <w:color w:val="231F20"/>
                <w:spacing w:val="4"/>
                <w:w w:val="105"/>
                <w:sz w:val="15"/>
              </w:rPr>
              <w:t> </w:t>
            </w:r>
            <w:r>
              <w:rPr>
                <w:color w:val="231F20"/>
                <w:w w:val="105"/>
                <w:sz w:val="15"/>
              </w:rPr>
              <w:t>SNCVs</w:t>
            </w:r>
            <w:r>
              <w:rPr>
                <w:color w:val="231F20"/>
                <w:spacing w:val="4"/>
                <w:w w:val="105"/>
                <w:sz w:val="15"/>
              </w:rPr>
              <w:t> </w:t>
            </w:r>
            <w:r>
              <w:rPr>
                <w:color w:val="231F20"/>
                <w:w w:val="105"/>
                <w:sz w:val="15"/>
              </w:rPr>
              <w:t>reduced</w:t>
            </w:r>
            <w:r>
              <w:rPr>
                <w:color w:val="231F20"/>
                <w:spacing w:val="4"/>
                <w:w w:val="105"/>
                <w:sz w:val="15"/>
              </w:rPr>
              <w:t> </w:t>
            </w:r>
            <w:r>
              <w:rPr>
                <w:color w:val="231F20"/>
                <w:spacing w:val="-5"/>
                <w:w w:val="105"/>
                <w:sz w:val="15"/>
              </w:rPr>
              <w:t>or</w:t>
            </w:r>
          </w:p>
        </w:tc>
        <w:tc>
          <w:tcPr>
            <w:tcW w:w="1484" w:type="dxa"/>
            <w:shd w:val="clear" w:color="auto" w:fill="E8F5F1"/>
          </w:tcPr>
          <w:p>
            <w:pPr>
              <w:pStyle w:val="TableParagraph"/>
              <w:rPr>
                <w:rFonts w:ascii="Times New Roman"/>
                <w:sz w:val="10"/>
              </w:rPr>
            </w:pPr>
          </w:p>
        </w:tc>
      </w:tr>
      <w:tr>
        <w:trPr>
          <w:trHeight w:val="165"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5" w:lineRule="exact"/>
              <w:ind w:left="356"/>
              <w:rPr>
                <w:sz w:val="15"/>
              </w:rPr>
            </w:pPr>
            <w:r>
              <w:rPr>
                <w:color w:val="231F20"/>
                <w:spacing w:val="-2"/>
                <w:sz w:val="15"/>
              </w:rPr>
              <w:t>trunk.</w:t>
            </w:r>
            <w:r>
              <w:rPr>
                <w:color w:val="231F20"/>
                <w:spacing w:val="-7"/>
                <w:sz w:val="15"/>
              </w:rPr>
              <w:t> </w:t>
            </w:r>
            <w:r>
              <w:rPr>
                <w:color w:val="231F20"/>
                <w:spacing w:val="-2"/>
                <w:sz w:val="15"/>
              </w:rPr>
              <w:t>Raised</w:t>
            </w:r>
            <w:r>
              <w:rPr>
                <w:color w:val="231F20"/>
                <w:spacing w:val="-7"/>
                <w:sz w:val="15"/>
              </w:rPr>
              <w:t> </w:t>
            </w:r>
            <w:r>
              <w:rPr>
                <w:color w:val="231F20"/>
                <w:spacing w:val="-2"/>
                <w:sz w:val="15"/>
              </w:rPr>
              <w:t>creatine</w:t>
            </w:r>
            <w:r>
              <w:rPr>
                <w:color w:val="231F20"/>
                <w:spacing w:val="-6"/>
                <w:sz w:val="15"/>
              </w:rPr>
              <w:t> </w:t>
            </w:r>
            <w:r>
              <w:rPr>
                <w:color w:val="231F20"/>
                <w:spacing w:val="-2"/>
                <w:sz w:val="15"/>
              </w:rPr>
              <w:t>kinase,</w:t>
            </w:r>
            <w:r>
              <w:rPr>
                <w:color w:val="231F20"/>
                <w:spacing w:val="-7"/>
                <w:sz w:val="15"/>
              </w:rPr>
              <w:t> </w:t>
            </w:r>
            <w:r>
              <w:rPr>
                <w:color w:val="231F20"/>
                <w:spacing w:val="-2"/>
                <w:sz w:val="15"/>
              </w:rPr>
              <w:t>hyperlipidemia,</w:t>
            </w:r>
          </w:p>
        </w:tc>
        <w:tc>
          <w:tcPr>
            <w:tcW w:w="2593" w:type="dxa"/>
            <w:shd w:val="clear" w:color="auto" w:fill="E8F5F1"/>
          </w:tcPr>
          <w:p>
            <w:pPr>
              <w:pStyle w:val="TableParagraph"/>
              <w:spacing w:line="145" w:lineRule="exact"/>
              <w:ind w:left="265"/>
              <w:rPr>
                <w:sz w:val="15"/>
              </w:rPr>
            </w:pPr>
            <w:r>
              <w:rPr>
                <w:color w:val="231F20"/>
                <w:spacing w:val="-2"/>
                <w:sz w:val="15"/>
              </w:rPr>
              <w:t>absent</w:t>
            </w:r>
          </w:p>
        </w:tc>
        <w:tc>
          <w:tcPr>
            <w:tcW w:w="1484"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8" w:lineRule="exact"/>
              <w:ind w:right="151"/>
              <w:jc w:val="right"/>
              <w:rPr>
                <w:sz w:val="15"/>
              </w:rPr>
            </w:pPr>
            <w:r>
              <w:rPr>
                <w:color w:val="231F20"/>
                <w:spacing w:val="-2"/>
                <w:sz w:val="15"/>
              </w:rPr>
              <w:t>diabetes</w:t>
            </w:r>
            <w:r>
              <w:rPr>
                <w:color w:val="231F20"/>
                <w:spacing w:val="-1"/>
                <w:sz w:val="15"/>
              </w:rPr>
              <w:t> </w:t>
            </w:r>
            <w:r>
              <w:rPr>
                <w:color w:val="231F20"/>
                <w:spacing w:val="-2"/>
                <w:sz w:val="15"/>
              </w:rPr>
              <w:t>mellitus,</w:t>
            </w:r>
            <w:r>
              <w:rPr>
                <w:color w:val="231F20"/>
                <w:spacing w:val="-1"/>
                <w:sz w:val="15"/>
              </w:rPr>
              <w:t> </w:t>
            </w:r>
            <w:r>
              <w:rPr>
                <w:color w:val="231F20"/>
                <w:spacing w:val="-2"/>
                <w:sz w:val="15"/>
              </w:rPr>
              <w:t>eventual</w:t>
            </w:r>
            <w:r>
              <w:rPr>
                <w:color w:val="231F20"/>
                <w:sz w:val="15"/>
              </w:rPr>
              <w:t> </w:t>
            </w:r>
            <w:r>
              <w:rPr>
                <w:color w:val="231F20"/>
                <w:spacing w:val="-2"/>
                <w:sz w:val="15"/>
              </w:rPr>
              <w:t>loss</w:t>
            </w:r>
            <w:r>
              <w:rPr>
                <w:color w:val="231F20"/>
                <w:spacing w:val="-1"/>
                <w:sz w:val="15"/>
              </w:rPr>
              <w:t> </w:t>
            </w:r>
            <w:r>
              <w:rPr>
                <w:color w:val="231F20"/>
                <w:spacing w:val="-2"/>
                <w:sz w:val="15"/>
              </w:rPr>
              <w:t>of</w:t>
            </w:r>
            <w:r>
              <w:rPr>
                <w:color w:val="231F20"/>
                <w:spacing w:val="-1"/>
                <w:sz w:val="15"/>
              </w:rPr>
              <w:t> </w:t>
            </w:r>
            <w:r>
              <w:rPr>
                <w:color w:val="231F20"/>
                <w:spacing w:val="-2"/>
                <w:sz w:val="15"/>
              </w:rPr>
              <w:t>ambulation,</w:t>
            </w:r>
          </w:p>
        </w:tc>
        <w:tc>
          <w:tcPr>
            <w:tcW w:w="2593" w:type="dxa"/>
            <w:shd w:val="clear" w:color="auto" w:fill="E8F5F1"/>
          </w:tcPr>
          <w:p>
            <w:pPr>
              <w:pStyle w:val="TableParagraph"/>
              <w:spacing w:line="148" w:lineRule="exact"/>
              <w:ind w:left="153"/>
              <w:rPr>
                <w:sz w:val="15"/>
              </w:rPr>
            </w:pPr>
            <w:r>
              <w:rPr>
                <w:color w:val="231F20"/>
                <w:spacing w:val="-2"/>
                <w:sz w:val="15"/>
              </w:rPr>
              <w:t>EMG:</w:t>
            </w:r>
            <w:r>
              <w:rPr>
                <w:color w:val="231F20"/>
                <w:spacing w:val="6"/>
                <w:sz w:val="15"/>
              </w:rPr>
              <w:t> </w:t>
            </w:r>
            <w:r>
              <w:rPr>
                <w:color w:val="231F20"/>
                <w:spacing w:val="-2"/>
                <w:sz w:val="15"/>
              </w:rPr>
              <w:t>fasciculations,</w:t>
            </w:r>
            <w:r>
              <w:rPr>
                <w:color w:val="231F20"/>
                <w:spacing w:val="6"/>
                <w:sz w:val="15"/>
              </w:rPr>
              <w:t> </w:t>
            </w:r>
            <w:r>
              <w:rPr>
                <w:color w:val="231F20"/>
                <w:spacing w:val="-2"/>
                <w:sz w:val="15"/>
              </w:rPr>
              <w:t>fibrillations,</w:t>
            </w:r>
          </w:p>
        </w:tc>
        <w:tc>
          <w:tcPr>
            <w:tcW w:w="1484" w:type="dxa"/>
            <w:shd w:val="clear" w:color="auto" w:fill="E8F5F1"/>
          </w:tcPr>
          <w:p>
            <w:pPr>
              <w:pStyle w:val="TableParagraph"/>
              <w:rPr>
                <w:rFonts w:ascii="Times New Roman"/>
                <w:sz w:val="10"/>
              </w:rPr>
            </w:pPr>
          </w:p>
        </w:tc>
      </w:tr>
      <w:tr>
        <w:trPr>
          <w:trHeight w:val="167" w:hRule="atLeast"/>
        </w:trPr>
        <w:tc>
          <w:tcPr>
            <w:tcW w:w="2056" w:type="dxa"/>
            <w:shd w:val="clear" w:color="auto" w:fill="E8F5F1"/>
          </w:tcPr>
          <w:p>
            <w:pPr>
              <w:pStyle w:val="TableParagraph"/>
              <w:rPr>
                <w:rFonts w:ascii="Times New Roman"/>
                <w:sz w:val="10"/>
              </w:rPr>
            </w:pPr>
          </w:p>
        </w:tc>
        <w:tc>
          <w:tcPr>
            <w:tcW w:w="3608" w:type="dxa"/>
            <w:shd w:val="clear" w:color="auto" w:fill="E8F5F1"/>
          </w:tcPr>
          <w:p>
            <w:pPr>
              <w:pStyle w:val="TableParagraph"/>
              <w:spacing w:line="148" w:lineRule="exact"/>
              <w:ind w:left="356"/>
              <w:rPr>
                <w:sz w:val="15"/>
              </w:rPr>
            </w:pPr>
            <w:r>
              <w:rPr>
                <w:color w:val="231F20"/>
                <w:sz w:val="15"/>
              </w:rPr>
              <w:t>absent</w:t>
            </w:r>
            <w:r>
              <w:rPr>
                <w:color w:val="231F20"/>
                <w:spacing w:val="-5"/>
                <w:sz w:val="15"/>
              </w:rPr>
              <w:t> </w:t>
            </w:r>
            <w:r>
              <w:rPr>
                <w:color w:val="231F20"/>
                <w:sz w:val="15"/>
              </w:rPr>
              <w:t>DTRs,</w:t>
            </w:r>
            <w:r>
              <w:rPr>
                <w:color w:val="231F20"/>
                <w:spacing w:val="-5"/>
                <w:sz w:val="15"/>
              </w:rPr>
              <w:t> </w:t>
            </w:r>
            <w:r>
              <w:rPr>
                <w:color w:val="231F20"/>
                <w:sz w:val="15"/>
              </w:rPr>
              <w:t>sensory</w:t>
            </w:r>
            <w:r>
              <w:rPr>
                <w:color w:val="231F20"/>
                <w:spacing w:val="-5"/>
                <w:sz w:val="15"/>
              </w:rPr>
              <w:t> </w:t>
            </w:r>
            <w:r>
              <w:rPr>
                <w:color w:val="231F20"/>
                <w:sz w:val="15"/>
              </w:rPr>
              <w:t>disturbances.</w:t>
            </w:r>
            <w:r>
              <w:rPr>
                <w:color w:val="231F20"/>
                <w:spacing w:val="-5"/>
                <w:sz w:val="15"/>
              </w:rPr>
              <w:t> </w:t>
            </w:r>
            <w:r>
              <w:rPr>
                <w:color w:val="231F20"/>
                <w:spacing w:val="-4"/>
                <w:sz w:val="15"/>
              </w:rPr>
              <w:t>Most</w:t>
            </w:r>
          </w:p>
        </w:tc>
        <w:tc>
          <w:tcPr>
            <w:tcW w:w="2593" w:type="dxa"/>
            <w:shd w:val="clear" w:color="auto" w:fill="E8F5F1"/>
          </w:tcPr>
          <w:p>
            <w:pPr>
              <w:pStyle w:val="TableParagraph"/>
              <w:spacing w:line="148" w:lineRule="exact"/>
              <w:ind w:right="153"/>
              <w:jc w:val="right"/>
              <w:rPr>
                <w:sz w:val="15"/>
              </w:rPr>
            </w:pPr>
            <w:r>
              <w:rPr>
                <w:color w:val="231F20"/>
                <w:sz w:val="15"/>
              </w:rPr>
              <w:t>and</w:t>
            </w:r>
            <w:r>
              <w:rPr>
                <w:color w:val="231F20"/>
                <w:spacing w:val="-7"/>
                <w:sz w:val="15"/>
              </w:rPr>
              <w:t> </w:t>
            </w:r>
            <w:r>
              <w:rPr>
                <w:color w:val="231F20"/>
                <w:sz w:val="15"/>
              </w:rPr>
              <w:t>neuromyotonic</w:t>
            </w:r>
            <w:r>
              <w:rPr>
                <w:color w:val="231F20"/>
                <w:spacing w:val="-6"/>
                <w:sz w:val="15"/>
              </w:rPr>
              <w:t> </w:t>
            </w:r>
            <w:r>
              <w:rPr>
                <w:color w:val="231F20"/>
                <w:sz w:val="15"/>
              </w:rPr>
              <w:t>picture</w:t>
            </w:r>
            <w:r>
              <w:rPr>
                <w:color w:val="231F20"/>
                <w:spacing w:val="-6"/>
                <w:sz w:val="15"/>
              </w:rPr>
              <w:t> </w:t>
            </w:r>
            <w:r>
              <w:rPr>
                <w:color w:val="231F20"/>
                <w:spacing w:val="-2"/>
                <w:sz w:val="15"/>
              </w:rPr>
              <w:t>early</w:t>
            </w:r>
          </w:p>
        </w:tc>
        <w:tc>
          <w:tcPr>
            <w:tcW w:w="1484" w:type="dxa"/>
            <w:shd w:val="clear" w:color="auto" w:fill="E8F5F1"/>
          </w:tcPr>
          <w:p>
            <w:pPr>
              <w:pStyle w:val="TableParagraph"/>
              <w:rPr>
                <w:rFonts w:ascii="Times New Roman"/>
                <w:sz w:val="10"/>
              </w:rPr>
            </w:pPr>
          </w:p>
        </w:tc>
      </w:tr>
      <w:tr>
        <w:trPr>
          <w:trHeight w:val="205" w:hRule="atLeast"/>
        </w:trPr>
        <w:tc>
          <w:tcPr>
            <w:tcW w:w="2056" w:type="dxa"/>
            <w:tcBorders>
              <w:bottom w:val="single" w:sz="4" w:space="0" w:color="FFFFFF"/>
            </w:tcBorders>
            <w:shd w:val="clear" w:color="auto" w:fill="E8F5F1"/>
          </w:tcPr>
          <w:p>
            <w:pPr>
              <w:pStyle w:val="TableParagraph"/>
              <w:rPr>
                <w:rFonts w:ascii="Times New Roman"/>
                <w:sz w:val="14"/>
              </w:rPr>
            </w:pPr>
          </w:p>
        </w:tc>
        <w:tc>
          <w:tcPr>
            <w:tcW w:w="3608" w:type="dxa"/>
            <w:tcBorders>
              <w:bottom w:val="single" w:sz="4" w:space="0" w:color="FFFFFF"/>
            </w:tcBorders>
            <w:shd w:val="clear" w:color="auto" w:fill="E8F5F1"/>
          </w:tcPr>
          <w:p>
            <w:pPr>
              <w:pStyle w:val="TableParagraph"/>
              <w:spacing w:line="169" w:lineRule="exact"/>
              <w:ind w:left="356"/>
              <w:rPr>
                <w:sz w:val="15"/>
              </w:rPr>
            </w:pPr>
            <w:r>
              <w:rPr>
                <w:color w:val="231F20"/>
                <w:sz w:val="15"/>
              </w:rPr>
              <w:t>patients</w:t>
            </w:r>
            <w:r>
              <w:rPr>
                <w:color w:val="231F20"/>
                <w:spacing w:val="-6"/>
                <w:sz w:val="15"/>
              </w:rPr>
              <w:t> </w:t>
            </w:r>
            <w:r>
              <w:rPr>
                <w:color w:val="231F20"/>
                <w:sz w:val="15"/>
              </w:rPr>
              <w:t>described</w:t>
            </w:r>
            <w:r>
              <w:rPr>
                <w:color w:val="231F20"/>
                <w:spacing w:val="-6"/>
                <w:sz w:val="15"/>
              </w:rPr>
              <w:t> </w:t>
            </w:r>
            <w:r>
              <w:rPr>
                <w:color w:val="231F20"/>
                <w:sz w:val="15"/>
              </w:rPr>
              <w:t>from</w:t>
            </w:r>
            <w:r>
              <w:rPr>
                <w:color w:val="231F20"/>
                <w:spacing w:val="-5"/>
                <w:sz w:val="15"/>
              </w:rPr>
              <w:t> </w:t>
            </w:r>
            <w:r>
              <w:rPr>
                <w:color w:val="231F20"/>
                <w:spacing w:val="-2"/>
                <w:sz w:val="15"/>
              </w:rPr>
              <w:t>Japan</w:t>
            </w:r>
          </w:p>
        </w:tc>
        <w:tc>
          <w:tcPr>
            <w:tcW w:w="2593" w:type="dxa"/>
            <w:tcBorders>
              <w:bottom w:val="single" w:sz="4" w:space="0" w:color="FFFFFF"/>
            </w:tcBorders>
            <w:shd w:val="clear" w:color="auto" w:fill="E8F5F1"/>
          </w:tcPr>
          <w:p>
            <w:pPr>
              <w:pStyle w:val="TableParagraph"/>
              <w:spacing w:line="169" w:lineRule="exact"/>
              <w:ind w:left="265"/>
              <w:rPr>
                <w:sz w:val="15"/>
              </w:rPr>
            </w:pPr>
            <w:r>
              <w:rPr>
                <w:color w:val="231F20"/>
                <w:spacing w:val="-5"/>
                <w:w w:val="105"/>
                <w:sz w:val="15"/>
              </w:rPr>
              <w:t>on</w:t>
            </w:r>
          </w:p>
        </w:tc>
        <w:tc>
          <w:tcPr>
            <w:tcW w:w="1484" w:type="dxa"/>
            <w:tcBorders>
              <w:bottom w:val="single" w:sz="4" w:space="0" w:color="FFFFFF"/>
            </w:tcBorders>
            <w:shd w:val="clear" w:color="auto" w:fill="E8F5F1"/>
          </w:tcPr>
          <w:p>
            <w:pPr>
              <w:pStyle w:val="TableParagraph"/>
              <w:rPr>
                <w:rFonts w:ascii="Times New Roman"/>
                <w:sz w:val="14"/>
              </w:rPr>
            </w:pPr>
          </w:p>
        </w:tc>
      </w:tr>
      <w:tr>
        <w:trPr>
          <w:trHeight w:val="208" w:hRule="atLeast"/>
        </w:trPr>
        <w:tc>
          <w:tcPr>
            <w:tcW w:w="2056" w:type="dxa"/>
            <w:tcBorders>
              <w:top w:val="single" w:sz="4" w:space="0" w:color="FFFFFF"/>
            </w:tcBorders>
            <w:shd w:val="clear" w:color="auto" w:fill="E8F5F1"/>
          </w:tcPr>
          <w:p>
            <w:pPr>
              <w:pStyle w:val="TableParagraph"/>
              <w:spacing w:line="146" w:lineRule="exact" w:before="43"/>
              <w:ind w:left="73"/>
              <w:rPr>
                <w:sz w:val="15"/>
              </w:rPr>
            </w:pPr>
            <w:r>
              <w:rPr>
                <w:color w:val="231F20"/>
                <w:w w:val="115"/>
                <w:sz w:val="15"/>
              </w:rPr>
              <w:t>CMT3*</w:t>
            </w:r>
            <w:r>
              <w:rPr>
                <w:color w:val="231F20"/>
                <w:spacing w:val="3"/>
                <w:w w:val="115"/>
                <w:sz w:val="15"/>
              </w:rPr>
              <w:t> </w:t>
            </w:r>
            <w:r>
              <w:rPr>
                <w:color w:val="231F20"/>
                <w:w w:val="115"/>
                <w:sz w:val="15"/>
              </w:rPr>
              <w:t>AND</w:t>
            </w:r>
            <w:r>
              <w:rPr>
                <w:color w:val="231F20"/>
                <w:spacing w:val="3"/>
                <w:w w:val="115"/>
                <w:sz w:val="15"/>
              </w:rPr>
              <w:t> </w:t>
            </w:r>
            <w:r>
              <w:rPr>
                <w:color w:val="231F20"/>
                <w:spacing w:val="-10"/>
                <w:w w:val="115"/>
                <w:sz w:val="15"/>
              </w:rPr>
              <w:t>4</w:t>
            </w:r>
          </w:p>
        </w:tc>
        <w:tc>
          <w:tcPr>
            <w:tcW w:w="3608"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356" w:right="190" w:hanging="112"/>
              <w:rPr>
                <w:sz w:val="15"/>
              </w:rPr>
            </w:pPr>
            <w:r>
              <w:rPr>
                <w:color w:val="231F20"/>
                <w:sz w:val="15"/>
              </w:rPr>
              <w:t>Onset 1st 2 yr, overall disability ?less severe than</w:t>
            </w:r>
            <w:r>
              <w:rPr>
                <w:color w:val="231F20"/>
                <w:spacing w:val="-9"/>
                <w:sz w:val="15"/>
              </w:rPr>
              <w:t> </w:t>
            </w:r>
            <w:r>
              <w:rPr>
                <w:color w:val="231F20"/>
                <w:sz w:val="15"/>
              </w:rPr>
              <w:t>CMT4.</w:t>
            </w:r>
            <w:r>
              <w:rPr>
                <w:color w:val="231F20"/>
                <w:spacing w:val="-9"/>
                <w:sz w:val="15"/>
              </w:rPr>
              <w:t> </w:t>
            </w:r>
            <w:r>
              <w:rPr>
                <w:color w:val="231F20"/>
                <w:sz w:val="15"/>
              </w:rPr>
              <w:t>Hypotonia,</w:t>
            </w:r>
            <w:r>
              <w:rPr>
                <w:color w:val="231F20"/>
                <w:spacing w:val="-9"/>
                <w:sz w:val="15"/>
              </w:rPr>
              <w:t> </w:t>
            </w:r>
            <w:r>
              <w:rPr>
                <w:color w:val="231F20"/>
                <w:sz w:val="15"/>
              </w:rPr>
              <w:t>motor</w:t>
            </w:r>
            <w:r>
              <w:rPr>
                <w:color w:val="231F20"/>
                <w:spacing w:val="-9"/>
                <w:sz w:val="15"/>
              </w:rPr>
              <w:t> </w:t>
            </w:r>
            <w:r>
              <w:rPr>
                <w:color w:val="231F20"/>
                <w:sz w:val="15"/>
              </w:rPr>
              <w:t>delay</w:t>
            </w:r>
            <w:r>
              <w:rPr>
                <w:color w:val="231F20"/>
                <w:spacing w:val="-9"/>
                <w:sz w:val="15"/>
              </w:rPr>
              <w:t> </w:t>
            </w:r>
            <w:r>
              <w:rPr>
                <w:color w:val="231F20"/>
                <w:sz w:val="15"/>
              </w:rPr>
              <w:t>by</w:t>
            </w:r>
            <w:r>
              <w:rPr>
                <w:color w:val="231F20"/>
                <w:spacing w:val="-9"/>
                <w:sz w:val="15"/>
              </w:rPr>
              <w:t> </w:t>
            </w:r>
            <w:r>
              <w:rPr>
                <w:color w:val="231F20"/>
                <w:sz w:val="15"/>
              </w:rPr>
              <w:t>1st</w:t>
            </w:r>
            <w:r>
              <w:rPr>
                <w:color w:val="231F20"/>
                <w:spacing w:val="-9"/>
                <w:sz w:val="15"/>
              </w:rPr>
              <w:t> </w:t>
            </w:r>
            <w:r>
              <w:rPr>
                <w:color w:val="231F20"/>
                <w:sz w:val="15"/>
              </w:rPr>
              <w:t>yr, poor coordination, ataxia, distal weakness (max. lower limbs), short stature. By 2nd decade, proximal weakness, hand and foot deformities.</w:t>
            </w:r>
            <w:r>
              <w:rPr>
                <w:color w:val="231F20"/>
                <w:spacing w:val="-5"/>
                <w:sz w:val="15"/>
              </w:rPr>
              <w:t> </w:t>
            </w:r>
            <w:r>
              <w:rPr>
                <w:color w:val="231F20"/>
                <w:sz w:val="15"/>
              </w:rPr>
              <w:t>Nerve</w:t>
            </w:r>
            <w:r>
              <w:rPr>
                <w:color w:val="231F20"/>
                <w:spacing w:val="-5"/>
                <w:sz w:val="15"/>
              </w:rPr>
              <w:t> </w:t>
            </w:r>
            <w:r>
              <w:rPr>
                <w:color w:val="231F20"/>
                <w:sz w:val="15"/>
              </w:rPr>
              <w:t>hypertrophy.</w:t>
            </w:r>
            <w:r>
              <w:rPr>
                <w:color w:val="231F20"/>
                <w:spacing w:val="-5"/>
                <w:sz w:val="15"/>
              </w:rPr>
              <w:t> </w:t>
            </w:r>
            <w:r>
              <w:rPr>
                <w:color w:val="231F20"/>
                <w:sz w:val="15"/>
              </w:rPr>
              <w:t>Moderate</w:t>
            </w:r>
            <w:r>
              <w:rPr>
                <w:color w:val="231F20"/>
                <w:spacing w:val="-5"/>
                <w:sz w:val="15"/>
              </w:rPr>
              <w:t> </w:t>
            </w:r>
            <w:r>
              <w:rPr>
                <w:color w:val="231F20"/>
                <w:sz w:val="15"/>
              </w:rPr>
              <w:t>to severe sensory loss. Scoliosis. Common cranial nerve involvement, nystagmus, deafness,</w:t>
            </w:r>
            <w:r>
              <w:rPr>
                <w:color w:val="231F20"/>
                <w:spacing w:val="-2"/>
                <w:sz w:val="15"/>
              </w:rPr>
              <w:t> </w:t>
            </w:r>
            <w:r>
              <w:rPr>
                <w:color w:val="231F20"/>
                <w:sz w:val="15"/>
              </w:rPr>
              <w:t>and</w:t>
            </w:r>
            <w:r>
              <w:rPr>
                <w:color w:val="231F20"/>
                <w:spacing w:val="-2"/>
                <w:sz w:val="15"/>
              </w:rPr>
              <w:t> </w:t>
            </w:r>
            <w:r>
              <w:rPr>
                <w:color w:val="231F20"/>
                <w:sz w:val="15"/>
              </w:rPr>
              <w:t>mild</w:t>
            </w:r>
            <w:r>
              <w:rPr>
                <w:color w:val="231F20"/>
                <w:spacing w:val="-2"/>
                <w:sz w:val="15"/>
              </w:rPr>
              <w:t> </w:t>
            </w:r>
            <w:r>
              <w:rPr>
                <w:color w:val="231F20"/>
                <w:sz w:val="15"/>
              </w:rPr>
              <w:t>bifacial</w:t>
            </w:r>
            <w:r>
              <w:rPr>
                <w:color w:val="231F20"/>
                <w:spacing w:val="-2"/>
                <w:sz w:val="15"/>
              </w:rPr>
              <w:t> </w:t>
            </w:r>
            <w:r>
              <w:rPr>
                <w:color w:val="231F20"/>
                <w:sz w:val="15"/>
              </w:rPr>
              <w:t>weakness.</w:t>
            </w:r>
            <w:r>
              <w:rPr>
                <w:color w:val="231F20"/>
                <w:spacing w:val="-2"/>
                <w:sz w:val="15"/>
              </w:rPr>
              <w:t> </w:t>
            </w:r>
            <w:r>
              <w:rPr>
                <w:color w:val="231F20"/>
                <w:sz w:val="15"/>
              </w:rPr>
              <w:t>Raised CSF protein</w:t>
            </w:r>
          </w:p>
          <w:p>
            <w:pPr>
              <w:pStyle w:val="TableParagraph"/>
              <w:spacing w:line="230" w:lineRule="auto" w:before="9"/>
              <w:ind w:left="356" w:right="190" w:hanging="112"/>
              <w:rPr>
                <w:sz w:val="15"/>
              </w:rPr>
            </w:pPr>
            <w:r>
              <w:rPr>
                <w:color w:val="231F20"/>
                <w:sz w:val="15"/>
              </w:rPr>
              <w:t>Clinical picture similar to or slightly more severe</w:t>
            </w:r>
            <w:r>
              <w:rPr>
                <w:color w:val="231F20"/>
                <w:spacing w:val="-12"/>
                <w:sz w:val="15"/>
              </w:rPr>
              <w:t> </w:t>
            </w:r>
            <w:r>
              <w:rPr>
                <w:color w:val="231F20"/>
                <w:sz w:val="15"/>
              </w:rPr>
              <w:t>than</w:t>
            </w:r>
            <w:r>
              <w:rPr>
                <w:color w:val="231F20"/>
                <w:spacing w:val="-11"/>
                <w:sz w:val="15"/>
              </w:rPr>
              <w:t> </w:t>
            </w:r>
            <w:r>
              <w:rPr>
                <w:color w:val="231F20"/>
                <w:sz w:val="15"/>
              </w:rPr>
              <w:t>in</w:t>
            </w:r>
            <w:r>
              <w:rPr>
                <w:color w:val="231F20"/>
                <w:spacing w:val="-11"/>
                <w:sz w:val="15"/>
              </w:rPr>
              <w:t> </w:t>
            </w:r>
            <w:r>
              <w:rPr>
                <w:color w:val="231F20"/>
                <w:sz w:val="15"/>
              </w:rPr>
              <w:t>CMT1</w:t>
            </w:r>
            <w:r>
              <w:rPr>
                <w:color w:val="231F20"/>
                <w:spacing w:val="-12"/>
                <w:sz w:val="15"/>
              </w:rPr>
              <w:t> </w:t>
            </w:r>
            <w:r>
              <w:rPr>
                <w:color w:val="231F20"/>
                <w:sz w:val="15"/>
              </w:rPr>
              <w:t>form,</w:t>
            </w:r>
            <w:r>
              <w:rPr>
                <w:color w:val="231F20"/>
                <w:spacing w:val="-11"/>
                <w:sz w:val="15"/>
              </w:rPr>
              <w:t> </w:t>
            </w:r>
            <w:r>
              <w:rPr>
                <w:color w:val="231F20"/>
                <w:sz w:val="15"/>
              </w:rPr>
              <w:t>increased</w:t>
            </w:r>
            <w:r>
              <w:rPr>
                <w:color w:val="231F20"/>
                <w:spacing w:val="-11"/>
                <w:sz w:val="15"/>
              </w:rPr>
              <w:t> </w:t>
            </w:r>
            <w:r>
              <w:rPr>
                <w:color w:val="231F20"/>
                <w:sz w:val="15"/>
              </w:rPr>
              <w:t>ataxia, areflexia,</w:t>
            </w:r>
            <w:r>
              <w:rPr>
                <w:color w:val="231F20"/>
                <w:spacing w:val="-5"/>
                <w:sz w:val="15"/>
              </w:rPr>
              <w:t> </w:t>
            </w:r>
            <w:r>
              <w:rPr>
                <w:color w:val="231F20"/>
                <w:sz w:val="15"/>
              </w:rPr>
              <w:t>scoliosis.</w:t>
            </w:r>
            <w:r>
              <w:rPr>
                <w:color w:val="231F20"/>
                <w:spacing w:val="-5"/>
                <w:sz w:val="15"/>
              </w:rPr>
              <w:t> </w:t>
            </w:r>
            <w:r>
              <w:rPr>
                <w:color w:val="231F20"/>
                <w:sz w:val="15"/>
              </w:rPr>
              <w:t>Nerve</w:t>
            </w:r>
            <w:r>
              <w:rPr>
                <w:color w:val="231F20"/>
                <w:spacing w:val="-5"/>
                <w:sz w:val="15"/>
              </w:rPr>
              <w:t> </w:t>
            </w:r>
            <w:r>
              <w:rPr>
                <w:color w:val="231F20"/>
                <w:sz w:val="15"/>
              </w:rPr>
              <w:t>hypertrophy</w:t>
            </w:r>
            <w:r>
              <w:rPr>
                <w:color w:val="231F20"/>
                <w:spacing w:val="-5"/>
                <w:sz w:val="15"/>
              </w:rPr>
              <w:t> </w:t>
            </w:r>
            <w:r>
              <w:rPr>
                <w:color w:val="231F20"/>
                <w:sz w:val="15"/>
              </w:rPr>
              <w:t>rare</w:t>
            </w:r>
          </w:p>
          <w:p>
            <w:pPr>
              <w:pStyle w:val="TableParagraph"/>
              <w:spacing w:line="230" w:lineRule="auto" w:before="4"/>
              <w:ind w:left="356" w:hanging="112"/>
              <w:rPr>
                <w:sz w:val="15"/>
              </w:rPr>
            </w:pPr>
            <w:r>
              <w:rPr>
                <w:color w:val="231F20"/>
                <w:sz w:val="15"/>
              </w:rPr>
              <w:t>Onset</w:t>
            </w:r>
            <w:r>
              <w:rPr>
                <w:color w:val="231F20"/>
                <w:spacing w:val="-11"/>
                <w:sz w:val="15"/>
              </w:rPr>
              <w:t> </w:t>
            </w:r>
            <w:r>
              <w:rPr>
                <w:rFonts w:ascii="Cambria"/>
                <w:color w:val="231F20"/>
                <w:sz w:val="15"/>
              </w:rPr>
              <w:t>&lt;</w:t>
            </w:r>
            <w:r>
              <w:rPr>
                <w:color w:val="231F20"/>
                <w:sz w:val="15"/>
              </w:rPr>
              <w:t>2</w:t>
            </w:r>
            <w:r>
              <w:rPr>
                <w:color w:val="231F20"/>
                <w:spacing w:val="-11"/>
                <w:sz w:val="15"/>
              </w:rPr>
              <w:t> </w:t>
            </w:r>
            <w:r>
              <w:rPr>
                <w:color w:val="231F20"/>
                <w:sz w:val="15"/>
              </w:rPr>
              <w:t>yr,</w:t>
            </w:r>
            <w:r>
              <w:rPr>
                <w:color w:val="231F20"/>
                <w:spacing w:val="-11"/>
                <w:sz w:val="15"/>
              </w:rPr>
              <w:t> </w:t>
            </w:r>
            <w:r>
              <w:rPr>
                <w:color w:val="231F20"/>
                <w:sz w:val="15"/>
              </w:rPr>
              <w:t>Tunisian</w:t>
            </w:r>
            <w:r>
              <w:rPr>
                <w:color w:val="231F20"/>
                <w:spacing w:val="-11"/>
                <w:sz w:val="15"/>
              </w:rPr>
              <w:t> </w:t>
            </w:r>
            <w:r>
              <w:rPr>
                <w:color w:val="231F20"/>
                <w:sz w:val="15"/>
              </w:rPr>
              <w:t>and</w:t>
            </w:r>
            <w:r>
              <w:rPr>
                <w:color w:val="231F20"/>
                <w:spacing w:val="-11"/>
                <w:sz w:val="15"/>
              </w:rPr>
              <w:t> </w:t>
            </w:r>
            <w:r>
              <w:rPr>
                <w:color w:val="231F20"/>
                <w:sz w:val="15"/>
              </w:rPr>
              <w:t>Moroccan</w:t>
            </w:r>
            <w:r>
              <w:rPr>
                <w:color w:val="231F20"/>
                <w:spacing w:val="-11"/>
                <w:sz w:val="15"/>
              </w:rPr>
              <w:t> </w:t>
            </w:r>
            <w:r>
              <w:rPr>
                <w:color w:val="231F20"/>
                <w:sz w:val="15"/>
              </w:rPr>
              <w:t>families. Severe progressive. Less-severe European </w:t>
            </w:r>
            <w:r>
              <w:rPr>
                <w:color w:val="231F20"/>
                <w:spacing w:val="-2"/>
                <w:sz w:val="15"/>
              </w:rPr>
              <w:t>phenotypes</w:t>
            </w:r>
          </w:p>
          <w:p>
            <w:pPr>
              <w:pStyle w:val="TableParagraph"/>
              <w:spacing w:line="230" w:lineRule="auto" w:before="4"/>
              <w:ind w:left="356" w:hanging="112"/>
              <w:rPr>
                <w:sz w:val="15"/>
              </w:rPr>
            </w:pPr>
            <w:r>
              <w:rPr>
                <w:color w:val="231F20"/>
                <w:spacing w:val="-2"/>
                <w:sz w:val="15"/>
              </w:rPr>
              <w:t>Ophthalmoplegia,</w:t>
            </w:r>
            <w:r>
              <w:rPr>
                <w:color w:val="231F20"/>
                <w:spacing w:val="-5"/>
                <w:sz w:val="15"/>
              </w:rPr>
              <w:t> </w:t>
            </w:r>
            <w:r>
              <w:rPr>
                <w:color w:val="231F20"/>
                <w:spacing w:val="-2"/>
                <w:sz w:val="15"/>
              </w:rPr>
              <w:t>vocal</w:t>
            </w:r>
            <w:r>
              <w:rPr>
                <w:color w:val="231F20"/>
                <w:spacing w:val="-5"/>
                <w:sz w:val="15"/>
              </w:rPr>
              <w:t> </w:t>
            </w:r>
            <w:r>
              <w:rPr>
                <w:color w:val="231F20"/>
                <w:spacing w:val="-2"/>
                <w:sz w:val="15"/>
              </w:rPr>
              <w:t>cord</w:t>
            </w:r>
            <w:r>
              <w:rPr>
                <w:color w:val="231F20"/>
                <w:spacing w:val="-5"/>
                <w:sz w:val="15"/>
              </w:rPr>
              <w:t> </w:t>
            </w:r>
            <w:r>
              <w:rPr>
                <w:color w:val="231F20"/>
                <w:spacing w:val="-2"/>
                <w:sz w:val="15"/>
              </w:rPr>
              <w:t>paralysis,</w:t>
            </w:r>
            <w:r>
              <w:rPr>
                <w:color w:val="231F20"/>
                <w:spacing w:val="-5"/>
                <w:sz w:val="15"/>
              </w:rPr>
              <w:t> </w:t>
            </w:r>
            <w:r>
              <w:rPr>
                <w:color w:val="231F20"/>
                <w:spacing w:val="-2"/>
                <w:sz w:val="15"/>
              </w:rPr>
              <w:t>facial, </w:t>
            </w:r>
            <w:r>
              <w:rPr>
                <w:color w:val="231F20"/>
                <w:sz w:val="15"/>
              </w:rPr>
              <w:t>bulbar</w:t>
            </w:r>
            <w:r>
              <w:rPr>
                <w:color w:val="231F20"/>
                <w:spacing w:val="-12"/>
                <w:sz w:val="15"/>
              </w:rPr>
              <w:t> </w:t>
            </w:r>
            <w:r>
              <w:rPr>
                <w:color w:val="231F20"/>
                <w:sz w:val="15"/>
              </w:rPr>
              <w:t>weakness</w:t>
            </w:r>
            <w:r>
              <w:rPr>
                <w:color w:val="231F20"/>
                <w:spacing w:val="-11"/>
                <w:sz w:val="15"/>
              </w:rPr>
              <w:t> </w:t>
            </w:r>
            <w:r>
              <w:rPr>
                <w:color w:val="231F20"/>
                <w:sz w:val="15"/>
              </w:rPr>
              <w:t>(all</w:t>
            </w:r>
            <w:r>
              <w:rPr>
                <w:color w:val="231F20"/>
                <w:spacing w:val="-11"/>
                <w:sz w:val="15"/>
              </w:rPr>
              <w:t> </w:t>
            </w:r>
            <w:r>
              <w:rPr>
                <w:color w:val="231F20"/>
                <w:sz w:val="15"/>
              </w:rPr>
              <w:t>infrequent).</w:t>
            </w:r>
            <w:r>
              <w:rPr>
                <w:color w:val="231F20"/>
                <w:spacing w:val="-12"/>
                <w:sz w:val="15"/>
              </w:rPr>
              <w:t> </w:t>
            </w:r>
            <w:r>
              <w:rPr>
                <w:color w:val="231F20"/>
                <w:sz w:val="15"/>
              </w:rPr>
              <w:t>Weakness below 5 yr, proximal and distal weakness, absent DTRs</w:t>
            </w:r>
          </w:p>
          <w:p>
            <w:pPr>
              <w:pStyle w:val="TableParagraph"/>
              <w:spacing w:line="230" w:lineRule="auto" w:before="4"/>
              <w:ind w:left="356" w:right="197" w:hanging="112"/>
              <w:rPr>
                <w:sz w:val="15"/>
              </w:rPr>
            </w:pPr>
            <w:r>
              <w:rPr>
                <w:color w:val="231F20"/>
                <w:sz w:val="15"/>
              </w:rPr>
              <w:t>Early onset: 1st decade; glaucoma and deafness</w:t>
            </w:r>
            <w:r>
              <w:rPr>
                <w:color w:val="231F20"/>
                <w:spacing w:val="-12"/>
                <w:sz w:val="15"/>
              </w:rPr>
              <w:t> </w:t>
            </w:r>
            <w:r>
              <w:rPr>
                <w:color w:val="231F20"/>
                <w:sz w:val="15"/>
              </w:rPr>
              <w:t>sometimes.</w:t>
            </w:r>
            <w:r>
              <w:rPr>
                <w:color w:val="231F20"/>
                <w:spacing w:val="-11"/>
                <w:sz w:val="15"/>
              </w:rPr>
              <w:t> </w:t>
            </w:r>
            <w:r>
              <w:rPr>
                <w:color w:val="231F20"/>
                <w:sz w:val="15"/>
              </w:rPr>
              <w:t>Recorded</w:t>
            </w:r>
            <w:r>
              <w:rPr>
                <w:color w:val="231F20"/>
                <w:spacing w:val="-11"/>
                <w:sz w:val="15"/>
              </w:rPr>
              <w:t> </w:t>
            </w:r>
            <w:r>
              <w:rPr>
                <w:color w:val="231F20"/>
                <w:sz w:val="15"/>
              </w:rPr>
              <w:t>in</w:t>
            </w:r>
            <w:r>
              <w:rPr>
                <w:color w:val="231F20"/>
                <w:spacing w:val="-12"/>
                <w:sz w:val="15"/>
              </w:rPr>
              <w:t> </w:t>
            </w:r>
            <w:r>
              <w:rPr>
                <w:color w:val="231F20"/>
                <w:sz w:val="15"/>
              </w:rPr>
              <w:t>Tunisia, Japan, and Turkey</w:t>
            </w:r>
          </w:p>
          <w:p>
            <w:pPr>
              <w:pStyle w:val="TableParagraph"/>
              <w:spacing w:line="230" w:lineRule="auto" w:before="4"/>
              <w:ind w:left="356" w:right="190" w:hanging="112"/>
              <w:rPr>
                <w:sz w:val="15"/>
              </w:rPr>
            </w:pPr>
            <w:r>
              <w:rPr>
                <w:color w:val="231F20"/>
                <w:sz w:val="15"/>
              </w:rPr>
              <w:t>Early-onset</w:t>
            </w:r>
            <w:r>
              <w:rPr>
                <w:color w:val="231F20"/>
                <w:spacing w:val="-12"/>
                <w:sz w:val="15"/>
              </w:rPr>
              <w:t> </w:t>
            </w:r>
            <w:r>
              <w:rPr>
                <w:color w:val="231F20"/>
                <w:sz w:val="15"/>
              </w:rPr>
              <w:t>scoliosis,</w:t>
            </w:r>
            <w:r>
              <w:rPr>
                <w:color w:val="231F20"/>
                <w:spacing w:val="-11"/>
                <w:sz w:val="15"/>
              </w:rPr>
              <w:t> </w:t>
            </w:r>
            <w:r>
              <w:rPr>
                <w:color w:val="231F20"/>
                <w:sz w:val="15"/>
              </w:rPr>
              <w:t>commoner</w:t>
            </w:r>
            <w:r>
              <w:rPr>
                <w:color w:val="231F20"/>
                <w:spacing w:val="-11"/>
                <w:sz w:val="15"/>
              </w:rPr>
              <w:t> </w:t>
            </w:r>
            <w:r>
              <w:rPr>
                <w:color w:val="231F20"/>
                <w:sz w:val="15"/>
              </w:rPr>
              <w:t>in</w:t>
            </w:r>
            <w:r>
              <w:rPr>
                <w:color w:val="231F20"/>
                <w:spacing w:val="-12"/>
                <w:sz w:val="15"/>
              </w:rPr>
              <w:t> </w:t>
            </w:r>
            <w:r>
              <w:rPr>
                <w:color w:val="231F20"/>
                <w:sz w:val="15"/>
              </w:rPr>
              <w:t>Algerians, glaucoma and neutropenia. 1st and 2nd </w:t>
            </w:r>
            <w:r>
              <w:rPr>
                <w:color w:val="231F20"/>
                <w:spacing w:val="-2"/>
                <w:sz w:val="15"/>
              </w:rPr>
              <w:t>decades</w:t>
            </w:r>
          </w:p>
          <w:p>
            <w:pPr>
              <w:pStyle w:val="TableParagraph"/>
              <w:spacing w:line="230" w:lineRule="auto" w:before="4"/>
              <w:ind w:left="356" w:right="190" w:hanging="112"/>
              <w:rPr>
                <w:sz w:val="15"/>
              </w:rPr>
            </w:pPr>
            <w:r>
              <w:rPr>
                <w:color w:val="231F20"/>
                <w:sz w:val="15"/>
              </w:rPr>
              <w:t>Closed gypsy pedigree; onset </w:t>
            </w:r>
            <w:r>
              <w:rPr>
                <w:rFonts w:ascii="Cambria"/>
                <w:color w:val="231F20"/>
                <w:sz w:val="15"/>
              </w:rPr>
              <w:t>&lt;</w:t>
            </w:r>
            <w:r>
              <w:rPr>
                <w:color w:val="231F20"/>
                <w:sz w:val="15"/>
              </w:rPr>
              <w:t>10 yr. </w:t>
            </w:r>
            <w:r>
              <w:rPr>
                <w:color w:val="231F20"/>
                <w:sz w:val="15"/>
              </w:rPr>
              <w:t>Deafness (by 2nd-3rd decade). Tongue atrophy</w:t>
            </w:r>
          </w:p>
          <w:p>
            <w:pPr>
              <w:pStyle w:val="TableParagraph"/>
              <w:spacing w:line="172" w:lineRule="exact"/>
              <w:ind w:left="244"/>
              <w:rPr>
                <w:sz w:val="15"/>
              </w:rPr>
            </w:pPr>
            <w:r>
              <w:rPr>
                <w:color w:val="231F20"/>
                <w:sz w:val="15"/>
              </w:rPr>
              <w:t>Congenital</w:t>
            </w:r>
            <w:r>
              <w:rPr>
                <w:color w:val="231F20"/>
                <w:spacing w:val="2"/>
                <w:sz w:val="15"/>
              </w:rPr>
              <w:t> </w:t>
            </w:r>
            <w:r>
              <w:rPr>
                <w:color w:val="231F20"/>
                <w:sz w:val="15"/>
              </w:rPr>
              <w:t>hypomyelinating</w:t>
            </w:r>
            <w:r>
              <w:rPr>
                <w:color w:val="231F20"/>
                <w:spacing w:val="3"/>
                <w:sz w:val="15"/>
              </w:rPr>
              <w:t> </w:t>
            </w:r>
            <w:r>
              <w:rPr>
                <w:color w:val="231F20"/>
                <w:spacing w:val="-2"/>
                <w:sz w:val="15"/>
              </w:rPr>
              <w:t>neuropathy</w:t>
            </w:r>
          </w:p>
        </w:tc>
        <w:tc>
          <w:tcPr>
            <w:tcW w:w="2593"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65" w:right="341" w:hanging="112"/>
              <w:rPr>
                <w:sz w:val="15"/>
              </w:rPr>
            </w:pPr>
            <w:r>
              <w:rPr>
                <w:color w:val="231F20"/>
                <w:sz w:val="15"/>
              </w:rPr>
              <w:t>Motor conduction velocities usually</w:t>
            </w:r>
            <w:r>
              <w:rPr>
                <w:color w:val="231F20"/>
                <w:spacing w:val="-12"/>
                <w:sz w:val="15"/>
              </w:rPr>
              <w:t> </w:t>
            </w:r>
            <w:r>
              <w:rPr>
                <w:rFonts w:ascii="Cambria"/>
                <w:color w:val="231F20"/>
                <w:sz w:val="15"/>
              </w:rPr>
              <w:t>&lt;</w:t>
            </w:r>
            <w:r>
              <w:rPr>
                <w:color w:val="231F20"/>
                <w:sz w:val="15"/>
              </w:rPr>
              <w:t>10</w:t>
            </w:r>
            <w:r>
              <w:rPr>
                <w:color w:val="231F20"/>
                <w:spacing w:val="-11"/>
                <w:sz w:val="15"/>
              </w:rPr>
              <w:t> </w:t>
            </w:r>
            <w:r>
              <w:rPr>
                <w:color w:val="231F20"/>
                <w:sz w:val="15"/>
              </w:rPr>
              <w:t>m/s.</w:t>
            </w:r>
            <w:r>
              <w:rPr>
                <w:color w:val="231F20"/>
                <w:spacing w:val="-11"/>
                <w:sz w:val="15"/>
              </w:rPr>
              <w:t> </w:t>
            </w:r>
            <w:r>
              <w:rPr>
                <w:color w:val="231F20"/>
                <w:sz w:val="15"/>
              </w:rPr>
              <w:t>SAPs</w:t>
            </w:r>
            <w:r>
              <w:rPr>
                <w:color w:val="231F20"/>
                <w:spacing w:val="-12"/>
                <w:sz w:val="15"/>
              </w:rPr>
              <w:t> </w:t>
            </w:r>
            <w:r>
              <w:rPr>
                <w:color w:val="231F20"/>
                <w:sz w:val="15"/>
              </w:rPr>
              <w:t>absent. EMG: chronic denervation</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2"/>
              <w:rPr>
                <w:i/>
                <w:sz w:val="15"/>
              </w:rPr>
            </w:pPr>
          </w:p>
          <w:p>
            <w:pPr>
              <w:pStyle w:val="TableParagraph"/>
              <w:spacing w:line="230" w:lineRule="auto"/>
              <w:ind w:left="265" w:hanging="112"/>
              <w:rPr>
                <w:sz w:val="15"/>
              </w:rPr>
            </w:pPr>
            <w:r>
              <w:rPr>
                <w:color w:val="231F20"/>
                <w:sz w:val="15"/>
              </w:rPr>
              <w:t>Moderate</w:t>
            </w:r>
            <w:r>
              <w:rPr>
                <w:color w:val="231F20"/>
                <w:spacing w:val="-5"/>
                <w:sz w:val="15"/>
              </w:rPr>
              <w:t> </w:t>
            </w:r>
            <w:r>
              <w:rPr>
                <w:color w:val="231F20"/>
                <w:sz w:val="15"/>
              </w:rPr>
              <w:t>slowing</w:t>
            </w:r>
            <w:r>
              <w:rPr>
                <w:color w:val="231F20"/>
                <w:spacing w:val="-5"/>
                <w:sz w:val="15"/>
              </w:rPr>
              <w:t> </w:t>
            </w:r>
            <w:r>
              <w:rPr>
                <w:color w:val="231F20"/>
                <w:sz w:val="15"/>
              </w:rPr>
              <w:t>of</w:t>
            </w:r>
            <w:r>
              <w:rPr>
                <w:color w:val="231F20"/>
                <w:spacing w:val="-5"/>
                <w:sz w:val="15"/>
              </w:rPr>
              <w:t> </w:t>
            </w:r>
            <w:r>
              <w:rPr>
                <w:color w:val="231F20"/>
                <w:sz w:val="15"/>
              </w:rPr>
              <w:t>nerve conduction studies</w:t>
            </w:r>
          </w:p>
          <w:p>
            <w:pPr>
              <w:pStyle w:val="TableParagraph"/>
              <w:spacing w:before="166"/>
              <w:ind w:left="153"/>
              <w:rPr>
                <w:sz w:val="15"/>
              </w:rPr>
            </w:pPr>
            <w:r>
              <w:rPr>
                <w:color w:val="231F20"/>
                <w:sz w:val="15"/>
              </w:rPr>
              <w:t>25-35</w:t>
            </w:r>
            <w:r>
              <w:rPr>
                <w:color w:val="231F20"/>
                <w:spacing w:val="-11"/>
                <w:sz w:val="15"/>
              </w:rPr>
              <w:t> </w:t>
            </w:r>
            <w:r>
              <w:rPr>
                <w:color w:val="231F20"/>
                <w:spacing w:val="-5"/>
                <w:sz w:val="15"/>
              </w:rPr>
              <w:t>m/s</w:t>
            </w:r>
          </w:p>
          <w:p>
            <w:pPr>
              <w:pStyle w:val="TableParagraph"/>
              <w:spacing w:before="159"/>
              <w:rPr>
                <w:i/>
                <w:sz w:val="15"/>
              </w:rPr>
            </w:pPr>
          </w:p>
          <w:p>
            <w:pPr>
              <w:pStyle w:val="TableParagraph"/>
              <w:ind w:left="153"/>
              <w:rPr>
                <w:sz w:val="15"/>
              </w:rPr>
            </w:pPr>
            <w:r>
              <w:rPr>
                <w:color w:val="231F20"/>
                <w:sz w:val="15"/>
              </w:rPr>
              <w:t>9-20</w:t>
            </w:r>
            <w:r>
              <w:rPr>
                <w:color w:val="231F20"/>
                <w:spacing w:val="-8"/>
                <w:sz w:val="15"/>
              </w:rPr>
              <w:t> </w:t>
            </w:r>
            <w:r>
              <w:rPr>
                <w:color w:val="231F20"/>
                <w:spacing w:val="-5"/>
                <w:sz w:val="15"/>
              </w:rPr>
              <w:t>m/s</w:t>
            </w:r>
          </w:p>
          <w:p>
            <w:pPr>
              <w:pStyle w:val="TableParagraph"/>
              <w:rPr>
                <w:i/>
                <w:sz w:val="15"/>
              </w:rPr>
            </w:pPr>
          </w:p>
          <w:p>
            <w:pPr>
              <w:pStyle w:val="TableParagraph"/>
              <w:spacing w:before="150"/>
              <w:rPr>
                <w:i/>
                <w:sz w:val="15"/>
              </w:rPr>
            </w:pPr>
          </w:p>
          <w:p>
            <w:pPr>
              <w:pStyle w:val="TableParagraph"/>
              <w:spacing w:before="1"/>
              <w:ind w:left="153"/>
              <w:rPr>
                <w:sz w:val="15"/>
              </w:rPr>
            </w:pPr>
            <w:r>
              <w:rPr>
                <w:color w:val="231F20"/>
                <w:sz w:val="15"/>
              </w:rPr>
              <w:t>15-30</w:t>
            </w:r>
            <w:r>
              <w:rPr>
                <w:color w:val="231F20"/>
                <w:spacing w:val="-11"/>
                <w:sz w:val="15"/>
              </w:rPr>
              <w:t> </w:t>
            </w:r>
            <w:r>
              <w:rPr>
                <w:color w:val="231F20"/>
                <w:spacing w:val="-5"/>
                <w:sz w:val="15"/>
              </w:rPr>
              <w:t>m/s</w:t>
            </w:r>
          </w:p>
          <w:p>
            <w:pPr>
              <w:pStyle w:val="TableParagraph"/>
              <w:spacing w:before="156"/>
              <w:rPr>
                <w:i/>
                <w:sz w:val="15"/>
              </w:rPr>
            </w:pPr>
          </w:p>
          <w:p>
            <w:pPr>
              <w:pStyle w:val="TableParagraph"/>
              <w:spacing w:before="1"/>
              <w:ind w:left="153"/>
              <w:rPr>
                <w:sz w:val="15"/>
              </w:rPr>
            </w:pPr>
            <w:r>
              <w:rPr>
                <w:color w:val="231F20"/>
                <w:sz w:val="15"/>
              </w:rPr>
              <w:t>4-37</w:t>
            </w:r>
            <w:r>
              <w:rPr>
                <w:color w:val="231F20"/>
                <w:spacing w:val="-8"/>
                <w:sz w:val="15"/>
              </w:rPr>
              <w:t> </w:t>
            </w:r>
            <w:r>
              <w:rPr>
                <w:color w:val="231F20"/>
                <w:spacing w:val="-5"/>
                <w:sz w:val="15"/>
              </w:rPr>
              <w:t>m/s</w:t>
            </w:r>
          </w:p>
          <w:p>
            <w:pPr>
              <w:pStyle w:val="TableParagraph"/>
              <w:spacing w:before="156"/>
              <w:rPr>
                <w:i/>
                <w:sz w:val="15"/>
              </w:rPr>
            </w:pPr>
          </w:p>
          <w:p>
            <w:pPr>
              <w:pStyle w:val="TableParagraph"/>
              <w:spacing w:before="1"/>
              <w:ind w:left="153"/>
              <w:rPr>
                <w:sz w:val="15"/>
              </w:rPr>
            </w:pPr>
            <w:r>
              <w:rPr>
                <w:color w:val="231F20"/>
                <w:sz w:val="15"/>
              </w:rPr>
              <w:t>10-20</w:t>
            </w:r>
            <w:r>
              <w:rPr>
                <w:color w:val="231F20"/>
                <w:spacing w:val="-11"/>
                <w:sz w:val="15"/>
              </w:rPr>
              <w:t> </w:t>
            </w:r>
            <w:r>
              <w:rPr>
                <w:color w:val="231F20"/>
                <w:spacing w:val="-5"/>
                <w:sz w:val="15"/>
              </w:rPr>
              <w:t>m/s</w:t>
            </w:r>
          </w:p>
          <w:p>
            <w:pPr>
              <w:pStyle w:val="TableParagraph"/>
              <w:spacing w:before="165"/>
              <w:ind w:left="153"/>
              <w:rPr>
                <w:sz w:val="15"/>
              </w:rPr>
            </w:pPr>
            <w:r>
              <w:rPr>
                <w:color w:val="231F20"/>
                <w:sz w:val="15"/>
              </w:rPr>
              <w:t>5-20</w:t>
            </w:r>
            <w:r>
              <w:rPr>
                <w:color w:val="231F20"/>
                <w:spacing w:val="-8"/>
                <w:sz w:val="15"/>
              </w:rPr>
              <w:t> </w:t>
            </w:r>
            <w:r>
              <w:rPr>
                <w:color w:val="231F20"/>
                <w:spacing w:val="-5"/>
                <w:sz w:val="15"/>
              </w:rPr>
              <w:t>m/s</w:t>
            </w:r>
          </w:p>
        </w:tc>
        <w:tc>
          <w:tcPr>
            <w:tcW w:w="1484" w:type="dxa"/>
            <w:tcBorders>
              <w:top w:val="single" w:sz="4" w:space="0" w:color="FFFFFF"/>
            </w:tcBorders>
            <w:shd w:val="clear" w:color="auto" w:fill="E8F5F1"/>
          </w:tcPr>
          <w:p>
            <w:pPr>
              <w:pStyle w:val="TableParagraph"/>
              <w:rPr>
                <w:rFonts w:ascii="Times New Roman"/>
                <w:sz w:val="14"/>
              </w:rPr>
            </w:pPr>
          </w:p>
        </w:tc>
      </w:tr>
      <w:tr>
        <w:trPr>
          <w:trHeight w:val="147" w:hRule="atLeast"/>
        </w:trPr>
        <w:tc>
          <w:tcPr>
            <w:tcW w:w="2056" w:type="dxa"/>
            <w:shd w:val="clear" w:color="auto" w:fill="E8F5F1"/>
          </w:tcPr>
          <w:p>
            <w:pPr>
              <w:pStyle w:val="TableParagraph"/>
              <w:spacing w:line="127" w:lineRule="exact"/>
              <w:ind w:left="73"/>
              <w:rPr>
                <w:sz w:val="15"/>
              </w:rPr>
            </w:pPr>
            <w:r>
              <w:rPr>
                <w:color w:val="231F20"/>
                <w:sz w:val="15"/>
              </w:rPr>
              <w:t>CMT3</w:t>
            </w:r>
            <w:r>
              <w:rPr>
                <w:color w:val="231F20"/>
                <w:spacing w:val="16"/>
                <w:sz w:val="15"/>
              </w:rPr>
              <w:t> </w:t>
            </w:r>
            <w:r>
              <w:rPr>
                <w:color w:val="231F20"/>
                <w:sz w:val="15"/>
              </w:rPr>
              <w:t>(Dejerine-</w:t>
            </w:r>
            <w:r>
              <w:rPr>
                <w:color w:val="231F20"/>
                <w:spacing w:val="-2"/>
                <w:sz w:val="15"/>
              </w:rPr>
              <w:t>Sottas</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line="127" w:lineRule="exact"/>
              <w:ind w:left="151"/>
              <w:rPr>
                <w:sz w:val="15"/>
              </w:rPr>
            </w:pPr>
            <w:r>
              <w:rPr>
                <w:i/>
                <w:color w:val="231F20"/>
                <w:sz w:val="15"/>
              </w:rPr>
              <w:t>PMP22</w:t>
            </w:r>
            <w:r>
              <w:rPr>
                <w:color w:val="231F20"/>
                <w:sz w:val="15"/>
              </w:rPr>
              <w:t>,</w:t>
            </w:r>
            <w:r>
              <w:rPr>
                <w:color w:val="231F20"/>
                <w:spacing w:val="6"/>
                <w:sz w:val="15"/>
              </w:rPr>
              <w:t> </w:t>
            </w:r>
            <w:r>
              <w:rPr>
                <w:i/>
                <w:color w:val="231F20"/>
                <w:sz w:val="15"/>
              </w:rPr>
              <w:t>MPZ</w:t>
            </w:r>
            <w:r>
              <w:rPr>
                <w:color w:val="231F20"/>
                <w:sz w:val="15"/>
              </w:rPr>
              <w:t>,</w:t>
            </w:r>
            <w:r>
              <w:rPr>
                <w:color w:val="231F20"/>
                <w:spacing w:val="6"/>
                <w:sz w:val="15"/>
              </w:rPr>
              <w:t> </w:t>
            </w:r>
            <w:r>
              <w:rPr>
                <w:i/>
                <w:color w:val="231F20"/>
                <w:spacing w:val="-4"/>
                <w:sz w:val="15"/>
              </w:rPr>
              <w:t>PRX</w:t>
            </w:r>
            <w:r>
              <w:rPr>
                <w:color w:val="231F20"/>
                <w:spacing w:val="-4"/>
                <w:sz w:val="15"/>
              </w:rPr>
              <w:t>,</w:t>
            </w:r>
          </w:p>
        </w:tc>
      </w:tr>
      <w:tr>
        <w:trPr>
          <w:trHeight w:val="820" w:hRule="atLeast"/>
        </w:trPr>
        <w:tc>
          <w:tcPr>
            <w:tcW w:w="2056" w:type="dxa"/>
            <w:shd w:val="clear" w:color="auto" w:fill="E8F5F1"/>
          </w:tcPr>
          <w:p>
            <w:pPr>
              <w:pStyle w:val="TableParagraph"/>
              <w:spacing w:line="159" w:lineRule="exact"/>
              <w:ind w:left="185"/>
              <w:rPr>
                <w:sz w:val="15"/>
              </w:rPr>
            </w:pPr>
            <w:r>
              <w:rPr>
                <w:color w:val="231F20"/>
                <w:sz w:val="15"/>
              </w:rPr>
              <w:t>syndrome)</w:t>
            </w:r>
            <w:r>
              <w:rPr>
                <w:color w:val="231F20"/>
                <w:spacing w:val="-8"/>
                <w:sz w:val="15"/>
              </w:rPr>
              <w:t> </w:t>
            </w:r>
            <w:r>
              <w:rPr>
                <w:color w:val="231F20"/>
                <w:spacing w:val="-2"/>
                <w:sz w:val="15"/>
              </w:rPr>
              <w:t>(145900)</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line="159" w:lineRule="exact"/>
              <w:ind w:left="263"/>
              <w:rPr>
                <w:i/>
                <w:sz w:val="15"/>
              </w:rPr>
            </w:pPr>
            <w:r>
              <w:rPr>
                <w:i/>
                <w:color w:val="231F20"/>
                <w:sz w:val="15"/>
              </w:rPr>
              <w:t>EGR2</w:t>
            </w:r>
            <w:r>
              <w:rPr>
                <w:color w:val="231F20"/>
                <w:sz w:val="15"/>
              </w:rPr>
              <w:t>,</w:t>
            </w:r>
            <w:r>
              <w:rPr>
                <w:color w:val="231F20"/>
                <w:spacing w:val="5"/>
                <w:sz w:val="15"/>
              </w:rPr>
              <w:t> </w:t>
            </w:r>
            <w:r>
              <w:rPr>
                <w:i/>
                <w:color w:val="231F20"/>
                <w:spacing w:val="-4"/>
                <w:sz w:val="15"/>
              </w:rPr>
              <w:t>FIG4</w:t>
            </w:r>
          </w:p>
        </w:tc>
      </w:tr>
      <w:tr>
        <w:trPr>
          <w:trHeight w:val="820" w:hRule="atLeast"/>
        </w:trPr>
        <w:tc>
          <w:tcPr>
            <w:tcW w:w="2056" w:type="dxa"/>
            <w:shd w:val="clear" w:color="auto" w:fill="E8F5F1"/>
          </w:tcPr>
          <w:p>
            <w:pPr>
              <w:pStyle w:val="TableParagraph"/>
              <w:rPr>
                <w:i/>
                <w:sz w:val="15"/>
              </w:rPr>
            </w:pPr>
          </w:p>
          <w:p>
            <w:pPr>
              <w:pStyle w:val="TableParagraph"/>
              <w:rPr>
                <w:i/>
                <w:sz w:val="15"/>
              </w:rPr>
            </w:pPr>
          </w:p>
          <w:p>
            <w:pPr>
              <w:pStyle w:val="TableParagraph"/>
              <w:spacing w:before="134"/>
              <w:rPr>
                <w:i/>
                <w:sz w:val="15"/>
              </w:rPr>
            </w:pPr>
          </w:p>
          <w:p>
            <w:pPr>
              <w:pStyle w:val="TableParagraph"/>
              <w:spacing w:line="143" w:lineRule="exact"/>
              <w:ind w:left="73"/>
              <w:rPr>
                <w:sz w:val="15"/>
              </w:rPr>
            </w:pPr>
            <w:r>
              <w:rPr>
                <w:color w:val="231F20"/>
                <w:sz w:val="15"/>
              </w:rPr>
              <w:t>CMT4</w:t>
            </w:r>
            <w:r>
              <w:rPr>
                <w:color w:val="231F20"/>
                <w:spacing w:val="21"/>
                <w:sz w:val="15"/>
              </w:rPr>
              <w:t> </w:t>
            </w:r>
            <w:r>
              <w:rPr>
                <w:color w:val="231F20"/>
                <w:sz w:val="15"/>
              </w:rPr>
              <w:t>(A-</w:t>
            </w:r>
            <w:r>
              <w:rPr>
                <w:color w:val="231F20"/>
                <w:spacing w:val="-5"/>
                <w:sz w:val="15"/>
              </w:rPr>
              <w:t>J)</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rPr>
                <w:rFonts w:ascii="Times New Roman"/>
                <w:sz w:val="14"/>
              </w:rPr>
            </w:pPr>
          </w:p>
        </w:tc>
      </w:tr>
      <w:tr>
        <w:trPr>
          <w:trHeight w:val="232" w:hRule="atLeast"/>
        </w:trPr>
        <w:tc>
          <w:tcPr>
            <w:tcW w:w="2056" w:type="dxa"/>
            <w:shd w:val="clear" w:color="auto" w:fill="E8F5F1"/>
          </w:tcPr>
          <w:p>
            <w:pPr>
              <w:pStyle w:val="TableParagraph"/>
              <w:spacing w:line="159" w:lineRule="exact"/>
              <w:ind w:left="73"/>
              <w:rPr>
                <w:sz w:val="15"/>
              </w:rPr>
            </w:pPr>
            <w:r>
              <w:rPr>
                <w:color w:val="231F20"/>
                <w:sz w:val="15"/>
              </w:rPr>
              <w:t>Autosomal</w:t>
            </w:r>
            <w:r>
              <w:rPr>
                <w:color w:val="231F20"/>
                <w:spacing w:val="14"/>
                <w:sz w:val="15"/>
              </w:rPr>
              <w:t> </w:t>
            </w:r>
            <w:r>
              <w:rPr>
                <w:color w:val="231F20"/>
                <w:spacing w:val="-2"/>
                <w:sz w:val="15"/>
              </w:rPr>
              <w:t>recessive</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rPr>
                <w:rFonts w:ascii="Times New Roman"/>
                <w:sz w:val="14"/>
              </w:rPr>
            </w:pPr>
          </w:p>
        </w:tc>
      </w:tr>
      <w:tr>
        <w:trPr>
          <w:trHeight w:val="402" w:hRule="atLeast"/>
        </w:trPr>
        <w:tc>
          <w:tcPr>
            <w:tcW w:w="2056" w:type="dxa"/>
            <w:shd w:val="clear" w:color="auto" w:fill="E8F5F1"/>
          </w:tcPr>
          <w:p>
            <w:pPr>
              <w:pStyle w:val="TableParagraph"/>
              <w:spacing w:before="69"/>
              <w:ind w:left="73"/>
              <w:rPr>
                <w:sz w:val="15"/>
              </w:rPr>
            </w:pPr>
            <w:r>
              <w:rPr>
                <w:color w:val="231F20"/>
                <w:sz w:val="15"/>
              </w:rPr>
              <w:t>4A</w:t>
            </w:r>
            <w:r>
              <w:rPr>
                <w:color w:val="231F20"/>
                <w:spacing w:val="12"/>
                <w:sz w:val="15"/>
              </w:rPr>
              <w:t> </w:t>
            </w:r>
            <w:r>
              <w:rPr>
                <w:color w:val="231F20"/>
                <w:spacing w:val="-2"/>
                <w:sz w:val="15"/>
              </w:rPr>
              <w:t>(214400)</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before="69"/>
              <w:ind w:left="151"/>
              <w:rPr>
                <w:i/>
                <w:sz w:val="15"/>
              </w:rPr>
            </w:pPr>
            <w:r>
              <w:rPr>
                <w:i/>
                <w:color w:val="231F20"/>
                <w:spacing w:val="-2"/>
                <w:w w:val="110"/>
                <w:sz w:val="15"/>
              </w:rPr>
              <w:t>GDAP1</w:t>
            </w:r>
          </w:p>
        </w:tc>
      </w:tr>
      <w:tr>
        <w:trPr>
          <w:trHeight w:val="570" w:hRule="atLeast"/>
        </w:trPr>
        <w:tc>
          <w:tcPr>
            <w:tcW w:w="2056" w:type="dxa"/>
            <w:shd w:val="clear" w:color="auto" w:fill="E8F5F1"/>
          </w:tcPr>
          <w:p>
            <w:pPr>
              <w:pStyle w:val="TableParagraph"/>
              <w:spacing w:before="154"/>
              <w:ind w:left="73"/>
              <w:rPr>
                <w:sz w:val="15"/>
              </w:rPr>
            </w:pPr>
            <w:r>
              <w:rPr>
                <w:color w:val="231F20"/>
                <w:sz w:val="15"/>
              </w:rPr>
              <w:t>4B1</w:t>
            </w:r>
            <w:r>
              <w:rPr>
                <w:color w:val="231F20"/>
                <w:spacing w:val="5"/>
                <w:sz w:val="15"/>
              </w:rPr>
              <w:t> </w:t>
            </w:r>
            <w:r>
              <w:rPr>
                <w:color w:val="231F20"/>
                <w:spacing w:val="-2"/>
                <w:sz w:val="15"/>
              </w:rPr>
              <w:t>(601382)</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before="154"/>
              <w:ind w:left="151"/>
              <w:rPr>
                <w:i/>
                <w:sz w:val="15"/>
              </w:rPr>
            </w:pPr>
            <w:r>
              <w:rPr>
                <w:i/>
                <w:color w:val="231F20"/>
                <w:sz w:val="15"/>
              </w:rPr>
              <w:t>MTMR2</w:t>
            </w:r>
            <w:r>
              <w:rPr>
                <w:color w:val="231F20"/>
                <w:sz w:val="15"/>
              </w:rPr>
              <w:t>,</w:t>
            </w:r>
            <w:r>
              <w:rPr>
                <w:color w:val="231F20"/>
                <w:spacing w:val="18"/>
                <w:sz w:val="15"/>
              </w:rPr>
              <w:t> </w:t>
            </w:r>
            <w:r>
              <w:rPr>
                <w:i/>
                <w:color w:val="231F20"/>
                <w:spacing w:val="-2"/>
                <w:sz w:val="15"/>
              </w:rPr>
              <w:t>(MPZ)</w:t>
            </w:r>
          </w:p>
        </w:tc>
      </w:tr>
      <w:tr>
        <w:trPr>
          <w:trHeight w:val="569" w:hRule="atLeast"/>
        </w:trPr>
        <w:tc>
          <w:tcPr>
            <w:tcW w:w="2056" w:type="dxa"/>
            <w:shd w:val="clear" w:color="auto" w:fill="E8F5F1"/>
          </w:tcPr>
          <w:p>
            <w:pPr>
              <w:pStyle w:val="TableParagraph"/>
              <w:spacing w:before="63"/>
              <w:rPr>
                <w:i/>
                <w:sz w:val="15"/>
              </w:rPr>
            </w:pPr>
          </w:p>
          <w:p>
            <w:pPr>
              <w:pStyle w:val="TableParagraph"/>
              <w:ind w:left="73"/>
              <w:rPr>
                <w:sz w:val="15"/>
              </w:rPr>
            </w:pPr>
            <w:r>
              <w:rPr>
                <w:color w:val="231F20"/>
                <w:sz w:val="15"/>
              </w:rPr>
              <w:t>4B2</w:t>
            </w:r>
            <w:r>
              <w:rPr>
                <w:color w:val="231F20"/>
                <w:spacing w:val="5"/>
                <w:sz w:val="15"/>
              </w:rPr>
              <w:t> </w:t>
            </w:r>
            <w:r>
              <w:rPr>
                <w:color w:val="231F20"/>
                <w:spacing w:val="-2"/>
                <w:sz w:val="15"/>
              </w:rPr>
              <w:t>(604563)</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before="63"/>
              <w:rPr>
                <w:i/>
                <w:sz w:val="15"/>
              </w:rPr>
            </w:pPr>
          </w:p>
          <w:p>
            <w:pPr>
              <w:pStyle w:val="TableParagraph"/>
              <w:ind w:left="151"/>
              <w:rPr>
                <w:i/>
                <w:sz w:val="15"/>
              </w:rPr>
            </w:pPr>
            <w:r>
              <w:rPr>
                <w:i/>
                <w:color w:val="231F20"/>
                <w:sz w:val="15"/>
              </w:rPr>
              <w:t>SBF2</w:t>
            </w:r>
            <w:r>
              <w:rPr>
                <w:color w:val="231F20"/>
                <w:sz w:val="15"/>
              </w:rPr>
              <w:t>,</w:t>
            </w:r>
            <w:r>
              <w:rPr>
                <w:color w:val="231F20"/>
                <w:spacing w:val="6"/>
                <w:sz w:val="15"/>
              </w:rPr>
              <w:t> </w:t>
            </w:r>
            <w:r>
              <w:rPr>
                <w:i/>
                <w:color w:val="231F20"/>
                <w:spacing w:val="-2"/>
                <w:sz w:val="15"/>
              </w:rPr>
              <w:t>MTMR13</w:t>
            </w:r>
          </w:p>
        </w:tc>
      </w:tr>
      <w:tr>
        <w:trPr>
          <w:trHeight w:val="569" w:hRule="atLeast"/>
        </w:trPr>
        <w:tc>
          <w:tcPr>
            <w:tcW w:w="2056" w:type="dxa"/>
            <w:shd w:val="clear" w:color="auto" w:fill="E8F5F1"/>
          </w:tcPr>
          <w:p>
            <w:pPr>
              <w:pStyle w:val="TableParagraph"/>
              <w:spacing w:before="153"/>
              <w:ind w:left="73"/>
              <w:rPr>
                <w:sz w:val="15"/>
              </w:rPr>
            </w:pPr>
            <w:r>
              <w:rPr>
                <w:color w:val="231F20"/>
                <w:sz w:val="15"/>
              </w:rPr>
              <w:t>4C</w:t>
            </w:r>
            <w:r>
              <w:rPr>
                <w:color w:val="231F20"/>
                <w:spacing w:val="14"/>
                <w:sz w:val="15"/>
              </w:rPr>
              <w:t> </w:t>
            </w:r>
            <w:r>
              <w:rPr>
                <w:color w:val="231F20"/>
                <w:spacing w:val="-2"/>
                <w:sz w:val="15"/>
              </w:rPr>
              <w:t>(601596)</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line="171" w:lineRule="exact" w:before="153"/>
              <w:ind w:left="151"/>
              <w:rPr>
                <w:i/>
                <w:sz w:val="15"/>
              </w:rPr>
            </w:pPr>
            <w:r>
              <w:rPr>
                <w:i/>
                <w:color w:val="231F20"/>
                <w:spacing w:val="-2"/>
                <w:w w:val="105"/>
                <w:sz w:val="15"/>
              </w:rPr>
              <w:t>SH3TC2</w:t>
            </w:r>
          </w:p>
          <w:p>
            <w:pPr>
              <w:pStyle w:val="TableParagraph"/>
              <w:spacing w:line="171" w:lineRule="exact"/>
              <w:ind w:left="263"/>
              <w:rPr>
                <w:sz w:val="15"/>
              </w:rPr>
            </w:pPr>
            <w:r>
              <w:rPr>
                <w:color w:val="231F20"/>
                <w:spacing w:val="-2"/>
                <w:sz w:val="15"/>
              </w:rPr>
              <w:t>(</w:t>
            </w:r>
            <w:r>
              <w:rPr>
                <w:i/>
                <w:color w:val="231F20"/>
                <w:spacing w:val="-2"/>
                <w:sz w:val="15"/>
              </w:rPr>
              <w:t>KIAA1985</w:t>
            </w:r>
            <w:r>
              <w:rPr>
                <w:color w:val="231F20"/>
                <w:spacing w:val="-2"/>
                <w:sz w:val="15"/>
              </w:rPr>
              <w:t>)</w:t>
            </w:r>
          </w:p>
        </w:tc>
      </w:tr>
      <w:tr>
        <w:trPr>
          <w:trHeight w:val="318" w:hRule="atLeast"/>
        </w:trPr>
        <w:tc>
          <w:tcPr>
            <w:tcW w:w="2056" w:type="dxa"/>
            <w:shd w:val="clear" w:color="auto" w:fill="E8F5F1"/>
          </w:tcPr>
          <w:p>
            <w:pPr>
              <w:pStyle w:val="TableParagraph"/>
              <w:spacing w:before="69"/>
              <w:ind w:left="73"/>
              <w:rPr>
                <w:sz w:val="15"/>
              </w:rPr>
            </w:pPr>
            <w:r>
              <w:rPr>
                <w:color w:val="231F20"/>
                <w:sz w:val="15"/>
              </w:rPr>
              <w:t>4D</w:t>
            </w:r>
            <w:r>
              <w:rPr>
                <w:color w:val="231F20"/>
                <w:spacing w:val="-2"/>
                <w:sz w:val="15"/>
              </w:rPr>
              <w:t> </w:t>
            </w:r>
            <w:r>
              <w:rPr>
                <w:color w:val="231F20"/>
                <w:sz w:val="15"/>
              </w:rPr>
              <w:t>(601455)</w:t>
            </w:r>
            <w:r>
              <w:rPr>
                <w:color w:val="231F20"/>
                <w:spacing w:val="-1"/>
                <w:sz w:val="15"/>
              </w:rPr>
              <w:t> </w:t>
            </w:r>
            <w:r>
              <w:rPr>
                <w:color w:val="231F20"/>
                <w:sz w:val="15"/>
              </w:rPr>
              <w:t>(HMSN-</w:t>
            </w:r>
            <w:r>
              <w:rPr>
                <w:color w:val="231F20"/>
                <w:spacing w:val="-4"/>
                <w:sz w:val="15"/>
              </w:rPr>
              <w:t>Lom)</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shd w:val="clear" w:color="auto" w:fill="E8F5F1"/>
          </w:tcPr>
          <w:p>
            <w:pPr>
              <w:pStyle w:val="TableParagraph"/>
              <w:spacing w:before="69"/>
              <w:ind w:left="151"/>
              <w:rPr>
                <w:i/>
                <w:sz w:val="15"/>
              </w:rPr>
            </w:pPr>
            <w:r>
              <w:rPr>
                <w:i/>
                <w:color w:val="231F20"/>
                <w:spacing w:val="-2"/>
                <w:w w:val="110"/>
                <w:sz w:val="15"/>
              </w:rPr>
              <w:t>NDRG1</w:t>
            </w:r>
          </w:p>
        </w:tc>
      </w:tr>
      <w:tr>
        <w:trPr>
          <w:trHeight w:val="444" w:hRule="atLeast"/>
        </w:trPr>
        <w:tc>
          <w:tcPr>
            <w:tcW w:w="2056" w:type="dxa"/>
            <w:tcBorders>
              <w:bottom w:val="single" w:sz="8" w:space="0" w:color="231F20"/>
            </w:tcBorders>
            <w:shd w:val="clear" w:color="auto" w:fill="E8F5F1"/>
          </w:tcPr>
          <w:p>
            <w:pPr>
              <w:pStyle w:val="TableParagraph"/>
              <w:spacing w:before="70"/>
              <w:ind w:left="73"/>
              <w:rPr>
                <w:sz w:val="15"/>
              </w:rPr>
            </w:pPr>
            <w:r>
              <w:rPr>
                <w:color w:val="231F20"/>
                <w:sz w:val="15"/>
              </w:rPr>
              <w:t>4E</w:t>
            </w:r>
            <w:r>
              <w:rPr>
                <w:color w:val="231F20"/>
                <w:spacing w:val="7"/>
                <w:sz w:val="15"/>
              </w:rPr>
              <w:t> </w:t>
            </w:r>
            <w:r>
              <w:rPr>
                <w:color w:val="231F20"/>
                <w:spacing w:val="-2"/>
                <w:sz w:val="15"/>
              </w:rPr>
              <w:t>(605253)</w:t>
            </w:r>
          </w:p>
        </w:tc>
        <w:tc>
          <w:tcPr>
            <w:tcW w:w="3608" w:type="dxa"/>
            <w:vMerge/>
            <w:tcBorders>
              <w:top w:val="nil"/>
              <w:bottom w:val="single" w:sz="8" w:space="0" w:color="231F20"/>
            </w:tcBorders>
            <w:shd w:val="clear" w:color="auto" w:fill="E8F5F1"/>
          </w:tcPr>
          <w:p>
            <w:pPr>
              <w:rPr>
                <w:sz w:val="2"/>
                <w:szCs w:val="2"/>
              </w:rPr>
            </w:pPr>
          </w:p>
        </w:tc>
        <w:tc>
          <w:tcPr>
            <w:tcW w:w="2593" w:type="dxa"/>
            <w:vMerge/>
            <w:tcBorders>
              <w:top w:val="nil"/>
              <w:bottom w:val="single" w:sz="8" w:space="0" w:color="231F20"/>
            </w:tcBorders>
            <w:shd w:val="clear" w:color="auto" w:fill="E8F5F1"/>
          </w:tcPr>
          <w:p>
            <w:pPr>
              <w:rPr>
                <w:sz w:val="2"/>
                <w:szCs w:val="2"/>
              </w:rPr>
            </w:pPr>
          </w:p>
        </w:tc>
        <w:tc>
          <w:tcPr>
            <w:tcW w:w="1484" w:type="dxa"/>
            <w:tcBorders>
              <w:bottom w:val="single" w:sz="8" w:space="0" w:color="231F20"/>
            </w:tcBorders>
            <w:shd w:val="clear" w:color="auto" w:fill="E8F5F1"/>
          </w:tcPr>
          <w:p>
            <w:pPr>
              <w:pStyle w:val="TableParagraph"/>
              <w:spacing w:line="230" w:lineRule="auto" w:before="76"/>
              <w:ind w:left="263" w:right="34" w:hanging="112"/>
              <w:rPr>
                <w:i/>
                <w:sz w:val="15"/>
              </w:rPr>
            </w:pPr>
            <w:r>
              <w:rPr>
                <w:i/>
                <w:color w:val="231F20"/>
                <w:spacing w:val="-4"/>
                <w:w w:val="105"/>
                <w:sz w:val="15"/>
              </w:rPr>
              <w:t>ERG2/KROX</w:t>
            </w:r>
            <w:r>
              <w:rPr>
                <w:i/>
                <w:color w:val="231F20"/>
                <w:spacing w:val="-8"/>
                <w:w w:val="105"/>
                <w:sz w:val="15"/>
              </w:rPr>
              <w:t> </w:t>
            </w:r>
            <w:r>
              <w:rPr>
                <w:i/>
                <w:color w:val="231F20"/>
                <w:spacing w:val="-4"/>
                <w:w w:val="105"/>
                <w:sz w:val="15"/>
              </w:rPr>
              <w:t>20, MPZ</w:t>
            </w:r>
          </w:p>
        </w:tc>
      </w:tr>
    </w:tbl>
    <w:p>
      <w:pPr>
        <w:pStyle w:val="TableParagraph"/>
        <w:spacing w:after="0" w:line="230" w:lineRule="auto"/>
        <w:rPr>
          <w:i/>
          <w:sz w:val="15"/>
        </w:rPr>
        <w:sectPr>
          <w:pgSz w:w="11900" w:h="16840"/>
          <w:pgMar w:header="452"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049" name="Group 1049"/>
                <wp:cNvGraphicFramePr>
                  <a:graphicFrameLocks/>
                </wp:cNvGraphicFramePr>
                <a:graphic>
                  <a:graphicData uri="http://schemas.microsoft.com/office/word/2010/wordprocessingGroup">
                    <wpg:wgp>
                      <wpg:cNvPr id="1049" name="Group 1049"/>
                      <wpg:cNvGrpSpPr/>
                      <wpg:grpSpPr>
                        <a:xfrm>
                          <a:off x="0" y="0"/>
                          <a:ext cx="6185535" cy="170815"/>
                          <a:chExt cx="6185535" cy="170815"/>
                        </a:xfrm>
                      </wpg:grpSpPr>
                      <wps:wsp>
                        <wps:cNvPr id="1050" name="Graphic 1050"/>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51" name="Graphic 1051"/>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52" name="Textbox 1052"/>
                        <wps:cNvSpPr txBox="1"/>
                        <wps:spPr>
                          <a:xfrm>
                            <a:off x="0" y="0"/>
                            <a:ext cx="6185535" cy="170815"/>
                          </a:xfrm>
                          <a:prstGeom prst="rect">
                            <a:avLst/>
                          </a:prstGeom>
                        </wps:spPr>
                        <wps:txbx>
                          <w:txbxContent>
                            <w:p>
                              <w:pPr>
                                <w:spacing w:before="6"/>
                                <w:ind w:left="4272" w:right="-15" w:firstLine="0"/>
                                <w:jc w:val="left"/>
                                <w:rPr>
                                  <w:b/>
                                  <w:sz w:val="18"/>
                                </w:rPr>
                              </w:pPr>
                              <w:r>
                                <w:rPr>
                                  <w:b/>
                                  <w:color w:val="0073BC"/>
                                  <w:w w:val="105"/>
                                  <w:sz w:val="18"/>
                                </w:rPr>
                                <w:t>Chapter</w:t>
                              </w:r>
                              <w:r>
                                <w:rPr>
                                  <w:b/>
                                  <w:color w:val="0073BC"/>
                                  <w:spacing w:val="17"/>
                                  <w:w w:val="105"/>
                                  <w:sz w:val="18"/>
                                </w:rPr>
                                <w:t> </w:t>
                              </w:r>
                              <w:r>
                                <w:rPr>
                                  <w:b/>
                                  <w:color w:val="0073BC"/>
                                  <w:w w:val="105"/>
                                  <w:sz w:val="18"/>
                                </w:rPr>
                                <w:t>613</w:t>
                              </w:r>
                              <w:r>
                                <w:rPr>
                                  <w:b/>
                                  <w:color w:val="0073BC"/>
                                  <w:spacing w:val="47"/>
                                  <w:w w:val="105"/>
                                  <w:sz w:val="18"/>
                                </w:rPr>
                                <w:t> </w:t>
                              </w:r>
                              <w:r>
                                <w:rPr>
                                  <w:rFonts w:ascii="Lucida Sans Unicode" w:hAnsi="Lucida Sans Unicode"/>
                                  <w:color w:val="6C9BD2"/>
                                  <w:w w:val="105"/>
                                  <w:sz w:val="15"/>
                                </w:rPr>
                                <w:t>◆</w:t>
                              </w:r>
                              <w:r>
                                <w:rPr>
                                  <w:rFonts w:ascii="Lucida Sans Unicode" w:hAnsi="Lucida Sans Unicode"/>
                                  <w:color w:val="6C9BD2"/>
                                  <w:spacing w:val="54"/>
                                  <w:w w:val="105"/>
                                  <w:sz w:val="15"/>
                                </w:rPr>
                                <w:t> </w:t>
                              </w:r>
                              <w:r>
                                <w:rPr>
                                  <w:color w:val="231F20"/>
                                  <w:w w:val="105"/>
                                  <w:sz w:val="18"/>
                                </w:rPr>
                                <w:t>Hereditary</w:t>
                              </w:r>
                              <w:r>
                                <w:rPr>
                                  <w:color w:val="231F20"/>
                                  <w:spacing w:val="12"/>
                                  <w:w w:val="105"/>
                                  <w:sz w:val="18"/>
                                </w:rPr>
                                <w:t> </w:t>
                              </w:r>
                              <w:r>
                                <w:rPr>
                                  <w:color w:val="231F20"/>
                                  <w:w w:val="105"/>
                                  <w:sz w:val="18"/>
                                </w:rPr>
                                <w:t>Motor-Sensory</w:t>
                              </w:r>
                              <w:r>
                                <w:rPr>
                                  <w:color w:val="231F20"/>
                                  <w:spacing w:val="13"/>
                                  <w:w w:val="105"/>
                                  <w:sz w:val="18"/>
                                </w:rPr>
                                <w:t> </w:t>
                              </w:r>
                              <w:r>
                                <w:rPr>
                                  <w:color w:val="231F20"/>
                                  <w:w w:val="105"/>
                                  <w:sz w:val="18"/>
                                </w:rPr>
                                <w:t>Neuropathies</w:t>
                              </w:r>
                              <w:r>
                                <w:rPr>
                                  <w:color w:val="231F20"/>
                                  <w:spacing w:val="47"/>
                                  <w:w w:val="105"/>
                                  <w:sz w:val="18"/>
                                </w:rPr>
                                <w:t>  </w:t>
                              </w:r>
                              <w:r>
                                <w:rPr>
                                  <w:b/>
                                  <w:color w:val="231F20"/>
                                  <w:spacing w:val="-4"/>
                                  <w:w w:val="105"/>
                                  <w:sz w:val="18"/>
                                </w:rPr>
                                <w:t>3001</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38"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39" filled="false" stroked="false">
                  <v:textbox inset="0,0,0,0">
                    <w:txbxContent>
                      <w:p>
                        <w:pPr>
                          <w:spacing w:before="6"/>
                          <w:ind w:left="4272" w:right="-15" w:firstLine="0"/>
                          <w:jc w:val="left"/>
                          <w:rPr>
                            <w:b/>
                            <w:sz w:val="18"/>
                          </w:rPr>
                        </w:pPr>
                        <w:r>
                          <w:rPr>
                            <w:b/>
                            <w:color w:val="0073BC"/>
                            <w:w w:val="105"/>
                            <w:sz w:val="18"/>
                          </w:rPr>
                          <w:t>Chapter</w:t>
                        </w:r>
                        <w:r>
                          <w:rPr>
                            <w:b/>
                            <w:color w:val="0073BC"/>
                            <w:spacing w:val="17"/>
                            <w:w w:val="105"/>
                            <w:sz w:val="18"/>
                          </w:rPr>
                          <w:t> </w:t>
                        </w:r>
                        <w:r>
                          <w:rPr>
                            <w:b/>
                            <w:color w:val="0073BC"/>
                            <w:w w:val="105"/>
                            <w:sz w:val="18"/>
                          </w:rPr>
                          <w:t>613</w:t>
                        </w:r>
                        <w:r>
                          <w:rPr>
                            <w:b/>
                            <w:color w:val="0073BC"/>
                            <w:spacing w:val="47"/>
                            <w:w w:val="105"/>
                            <w:sz w:val="18"/>
                          </w:rPr>
                          <w:t> </w:t>
                        </w:r>
                        <w:r>
                          <w:rPr>
                            <w:rFonts w:ascii="Lucida Sans Unicode" w:hAnsi="Lucida Sans Unicode"/>
                            <w:color w:val="6C9BD2"/>
                            <w:w w:val="105"/>
                            <w:sz w:val="15"/>
                          </w:rPr>
                          <w:t>◆</w:t>
                        </w:r>
                        <w:r>
                          <w:rPr>
                            <w:rFonts w:ascii="Lucida Sans Unicode" w:hAnsi="Lucida Sans Unicode"/>
                            <w:color w:val="6C9BD2"/>
                            <w:spacing w:val="54"/>
                            <w:w w:val="105"/>
                            <w:sz w:val="15"/>
                          </w:rPr>
                          <w:t> </w:t>
                        </w:r>
                        <w:r>
                          <w:rPr>
                            <w:color w:val="231F20"/>
                            <w:w w:val="105"/>
                            <w:sz w:val="18"/>
                          </w:rPr>
                          <w:t>Hereditary</w:t>
                        </w:r>
                        <w:r>
                          <w:rPr>
                            <w:color w:val="231F20"/>
                            <w:spacing w:val="12"/>
                            <w:w w:val="105"/>
                            <w:sz w:val="18"/>
                          </w:rPr>
                          <w:t> </w:t>
                        </w:r>
                        <w:r>
                          <w:rPr>
                            <w:color w:val="231F20"/>
                            <w:w w:val="105"/>
                            <w:sz w:val="18"/>
                          </w:rPr>
                          <w:t>Motor-Sensory</w:t>
                        </w:r>
                        <w:r>
                          <w:rPr>
                            <w:color w:val="231F20"/>
                            <w:spacing w:val="13"/>
                            <w:w w:val="105"/>
                            <w:sz w:val="18"/>
                          </w:rPr>
                          <w:t> </w:t>
                        </w:r>
                        <w:r>
                          <w:rPr>
                            <w:color w:val="231F20"/>
                            <w:w w:val="105"/>
                            <w:sz w:val="18"/>
                          </w:rPr>
                          <w:t>Neuropathies</w:t>
                        </w:r>
                        <w:r>
                          <w:rPr>
                            <w:color w:val="231F20"/>
                            <w:spacing w:val="47"/>
                            <w:w w:val="105"/>
                            <w:sz w:val="18"/>
                          </w:rPr>
                          <w:t>  </w:t>
                        </w:r>
                        <w:r>
                          <w:rPr>
                            <w:b/>
                            <w:color w:val="231F20"/>
                            <w:spacing w:val="-4"/>
                            <w:w w:val="105"/>
                            <w:sz w:val="18"/>
                          </w:rPr>
                          <w:t>3001</w:t>
                        </w:r>
                      </w:p>
                    </w:txbxContent>
                  </v:textbox>
                  <w10:wrap type="none"/>
                </v:shape>
              </v:group>
            </w:pict>
          </mc:Fallback>
        </mc:AlternateContent>
      </w:r>
      <w:r>
        <w:rPr>
          <w:sz w:val="20"/>
        </w:rPr>
      </w:r>
    </w:p>
    <w:p>
      <w:pPr>
        <w:pStyle w:val="BodyText"/>
        <w:spacing w:before="11"/>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6"/>
        <w:gridCol w:w="3609"/>
        <w:gridCol w:w="2592"/>
        <w:gridCol w:w="1485"/>
      </w:tblGrid>
      <w:tr>
        <w:trPr>
          <w:trHeight w:val="373" w:hRule="atLeast"/>
        </w:trPr>
        <w:tc>
          <w:tcPr>
            <w:tcW w:w="2056"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613-1</w:t>
            </w:r>
            <w:r>
              <w:rPr>
                <w:b/>
                <w:color w:val="FFFFFF"/>
                <w:spacing w:val="32"/>
                <w:w w:val="105"/>
                <w:sz w:val="16"/>
              </w:rPr>
              <w:t>  </w:t>
            </w:r>
            <w:r>
              <w:rPr>
                <w:color w:val="FFFFFF"/>
                <w:spacing w:val="-2"/>
                <w:w w:val="105"/>
                <w:sz w:val="16"/>
              </w:rPr>
              <w:t>Hereditary</w:t>
            </w:r>
          </w:p>
        </w:tc>
        <w:tc>
          <w:tcPr>
            <w:tcW w:w="7686" w:type="dxa"/>
            <w:gridSpan w:val="3"/>
            <w:shd w:val="clear" w:color="auto" w:fill="231F20"/>
          </w:tcPr>
          <w:p>
            <w:pPr>
              <w:pStyle w:val="TableParagraph"/>
              <w:spacing w:before="89"/>
              <w:ind w:left="27"/>
              <w:rPr>
                <w:sz w:val="16"/>
              </w:rPr>
            </w:pPr>
            <w:r>
              <w:rPr>
                <w:color w:val="FFFFFF"/>
                <w:w w:val="105"/>
                <w:sz w:val="16"/>
              </w:rPr>
              <w:t>Peripheral</w:t>
            </w:r>
            <w:r>
              <w:rPr>
                <w:color w:val="FFFFFF"/>
                <w:spacing w:val="32"/>
                <w:w w:val="105"/>
                <w:sz w:val="16"/>
              </w:rPr>
              <w:t> </w:t>
            </w:r>
            <w:r>
              <w:rPr>
                <w:color w:val="FFFFFF"/>
                <w:w w:val="105"/>
                <w:sz w:val="16"/>
              </w:rPr>
              <w:t>Neuropathies—</w:t>
            </w:r>
            <w:r>
              <w:rPr>
                <w:color w:val="FFFFFF"/>
                <w:spacing w:val="-2"/>
                <w:w w:val="105"/>
                <w:sz w:val="16"/>
              </w:rPr>
              <w:t>cont’d</w:t>
            </w:r>
          </w:p>
        </w:tc>
      </w:tr>
      <w:tr>
        <w:trPr>
          <w:trHeight w:val="257" w:hRule="atLeast"/>
        </w:trPr>
        <w:tc>
          <w:tcPr>
            <w:tcW w:w="2056" w:type="dxa"/>
            <w:tcBorders>
              <w:bottom w:val="single" w:sz="4" w:space="0" w:color="231F20"/>
            </w:tcBorders>
            <w:shd w:val="clear" w:color="auto" w:fill="E8F5F1"/>
          </w:tcPr>
          <w:p>
            <w:pPr>
              <w:pStyle w:val="TableParagraph"/>
              <w:spacing w:before="47"/>
              <w:ind w:left="74"/>
              <w:rPr>
                <w:b/>
                <w:sz w:val="15"/>
              </w:rPr>
            </w:pPr>
            <w:r>
              <w:rPr>
                <w:b/>
                <w:color w:val="231F20"/>
                <w:w w:val="110"/>
                <w:sz w:val="15"/>
              </w:rPr>
              <w:t>DISORDER</w:t>
            </w:r>
            <w:r>
              <w:rPr>
                <w:b/>
                <w:color w:val="231F20"/>
                <w:spacing w:val="22"/>
                <w:w w:val="110"/>
                <w:sz w:val="15"/>
              </w:rPr>
              <w:t> </w:t>
            </w:r>
            <w:r>
              <w:rPr>
                <w:b/>
                <w:color w:val="231F20"/>
                <w:w w:val="110"/>
                <w:sz w:val="15"/>
              </w:rPr>
              <w:t>(OMIM</w:t>
            </w:r>
            <w:r>
              <w:rPr>
                <w:b/>
                <w:color w:val="231F20"/>
                <w:spacing w:val="22"/>
                <w:w w:val="110"/>
                <w:sz w:val="15"/>
              </w:rPr>
              <w:t> </w:t>
            </w:r>
            <w:r>
              <w:rPr>
                <w:b/>
                <w:color w:val="231F20"/>
                <w:spacing w:val="-4"/>
                <w:w w:val="110"/>
                <w:sz w:val="15"/>
              </w:rPr>
              <w:t>NO.)</w:t>
            </w:r>
          </w:p>
        </w:tc>
        <w:tc>
          <w:tcPr>
            <w:tcW w:w="3609" w:type="dxa"/>
            <w:tcBorders>
              <w:bottom w:val="single" w:sz="4" w:space="0" w:color="231F20"/>
            </w:tcBorders>
            <w:shd w:val="clear" w:color="auto" w:fill="E8F5F1"/>
          </w:tcPr>
          <w:p>
            <w:pPr>
              <w:pStyle w:val="TableParagraph"/>
              <w:spacing w:before="47"/>
              <w:ind w:left="245"/>
              <w:rPr>
                <w:b/>
                <w:sz w:val="15"/>
              </w:rPr>
            </w:pPr>
            <w:r>
              <w:rPr>
                <w:b/>
                <w:color w:val="231F20"/>
                <w:w w:val="110"/>
                <w:sz w:val="15"/>
              </w:rPr>
              <w:t>CLINICAL</w:t>
            </w:r>
            <w:r>
              <w:rPr>
                <w:b/>
                <w:color w:val="231F20"/>
                <w:spacing w:val="-4"/>
                <w:w w:val="110"/>
                <w:sz w:val="15"/>
              </w:rPr>
              <w:t> </w:t>
            </w:r>
            <w:r>
              <w:rPr>
                <w:b/>
                <w:color w:val="231F20"/>
                <w:spacing w:val="-2"/>
                <w:w w:val="110"/>
                <w:sz w:val="15"/>
              </w:rPr>
              <w:t>FEATURES</w:t>
            </w:r>
          </w:p>
        </w:tc>
        <w:tc>
          <w:tcPr>
            <w:tcW w:w="2592" w:type="dxa"/>
            <w:tcBorders>
              <w:bottom w:val="single" w:sz="4" w:space="0" w:color="231F20"/>
            </w:tcBorders>
            <w:shd w:val="clear" w:color="auto" w:fill="E8F5F1"/>
          </w:tcPr>
          <w:p>
            <w:pPr>
              <w:pStyle w:val="TableParagraph"/>
              <w:spacing w:before="47"/>
              <w:ind w:left="154"/>
              <w:rPr>
                <w:b/>
                <w:sz w:val="15"/>
              </w:rPr>
            </w:pPr>
            <w:r>
              <w:rPr>
                <w:b/>
                <w:color w:val="231F20"/>
                <w:w w:val="110"/>
                <w:sz w:val="15"/>
              </w:rPr>
              <w:t>NERVE</w:t>
            </w:r>
            <w:r>
              <w:rPr>
                <w:b/>
                <w:color w:val="231F20"/>
                <w:spacing w:val="20"/>
                <w:w w:val="110"/>
                <w:sz w:val="15"/>
              </w:rPr>
              <w:t> </w:t>
            </w:r>
            <w:r>
              <w:rPr>
                <w:b/>
                <w:color w:val="231F20"/>
                <w:w w:val="110"/>
                <w:sz w:val="15"/>
              </w:rPr>
              <w:t>CONDUCTION</w:t>
            </w:r>
            <w:r>
              <w:rPr>
                <w:b/>
                <w:color w:val="231F20"/>
                <w:spacing w:val="21"/>
                <w:w w:val="110"/>
                <w:sz w:val="15"/>
              </w:rPr>
              <w:t> </w:t>
            </w:r>
            <w:r>
              <w:rPr>
                <w:b/>
                <w:color w:val="231F20"/>
                <w:spacing w:val="-2"/>
                <w:w w:val="110"/>
                <w:sz w:val="15"/>
              </w:rPr>
              <w:t>STUDIES</w:t>
            </w:r>
          </w:p>
        </w:tc>
        <w:tc>
          <w:tcPr>
            <w:tcW w:w="1485" w:type="dxa"/>
            <w:tcBorders>
              <w:bottom w:val="single" w:sz="4" w:space="0" w:color="231F20"/>
            </w:tcBorders>
            <w:shd w:val="clear" w:color="auto" w:fill="E8F5F1"/>
          </w:tcPr>
          <w:p>
            <w:pPr>
              <w:pStyle w:val="TableParagraph"/>
              <w:spacing w:before="47"/>
              <w:ind w:left="153"/>
              <w:rPr>
                <w:b/>
                <w:sz w:val="15"/>
              </w:rPr>
            </w:pPr>
            <w:r>
              <w:rPr>
                <w:b/>
                <w:color w:val="231F20"/>
                <w:w w:val="110"/>
                <w:sz w:val="15"/>
              </w:rPr>
              <w:t>GENE</w:t>
            </w:r>
            <w:r>
              <w:rPr>
                <w:b/>
                <w:color w:val="231F20"/>
                <w:spacing w:val="11"/>
                <w:w w:val="110"/>
                <w:sz w:val="15"/>
              </w:rPr>
              <w:t> </w:t>
            </w:r>
            <w:r>
              <w:rPr>
                <w:b/>
                <w:color w:val="231F20"/>
                <w:w w:val="110"/>
                <w:sz w:val="15"/>
              </w:rPr>
              <w:t>OR</w:t>
            </w:r>
            <w:r>
              <w:rPr>
                <w:b/>
                <w:color w:val="231F20"/>
                <w:spacing w:val="12"/>
                <w:w w:val="110"/>
                <w:sz w:val="15"/>
              </w:rPr>
              <w:t> </w:t>
            </w:r>
            <w:r>
              <w:rPr>
                <w:b/>
                <w:color w:val="231F20"/>
                <w:spacing w:val="-2"/>
                <w:w w:val="110"/>
                <w:sz w:val="15"/>
              </w:rPr>
              <w:t>LOCUS</w:t>
            </w:r>
          </w:p>
        </w:tc>
      </w:tr>
      <w:tr>
        <w:trPr>
          <w:trHeight w:val="454" w:hRule="atLeast"/>
        </w:trPr>
        <w:tc>
          <w:tcPr>
            <w:tcW w:w="2056" w:type="dxa"/>
            <w:tcBorders>
              <w:top w:val="single" w:sz="4" w:space="0" w:color="231F20"/>
            </w:tcBorders>
            <w:shd w:val="clear" w:color="auto" w:fill="E8F5F1"/>
          </w:tcPr>
          <w:p>
            <w:pPr>
              <w:pStyle w:val="TableParagraph"/>
              <w:spacing w:before="28"/>
              <w:ind w:left="74"/>
              <w:rPr>
                <w:sz w:val="15"/>
              </w:rPr>
            </w:pPr>
            <w:r>
              <w:rPr>
                <w:color w:val="231F20"/>
                <w:sz w:val="15"/>
              </w:rPr>
              <w:t>4F</w:t>
            </w:r>
            <w:r>
              <w:rPr>
                <w:color w:val="231F20"/>
                <w:spacing w:val="4"/>
                <w:sz w:val="15"/>
              </w:rPr>
              <w:t> </w:t>
            </w:r>
            <w:r>
              <w:rPr>
                <w:color w:val="231F20"/>
                <w:spacing w:val="-2"/>
                <w:sz w:val="15"/>
              </w:rPr>
              <w:t>(145900)</w:t>
            </w:r>
          </w:p>
        </w:tc>
        <w:tc>
          <w:tcPr>
            <w:tcW w:w="3609" w:type="dxa"/>
            <w:vMerge w:val="restart"/>
            <w:tcBorders>
              <w:top w:val="single" w:sz="4" w:space="0" w:color="231F20"/>
              <w:bottom w:val="single" w:sz="4" w:space="0" w:color="FFFFFF"/>
            </w:tcBorders>
            <w:shd w:val="clear" w:color="auto" w:fill="E8F5F1"/>
          </w:tcPr>
          <w:p>
            <w:pPr>
              <w:pStyle w:val="TableParagraph"/>
              <w:spacing w:line="230" w:lineRule="auto" w:before="34"/>
              <w:ind w:left="357" w:hanging="112"/>
              <w:rPr>
                <w:sz w:val="15"/>
              </w:rPr>
            </w:pPr>
            <w:r>
              <w:rPr>
                <w:color w:val="231F20"/>
                <w:sz w:val="15"/>
              </w:rPr>
              <w:t>Severely affected at birth or by 7 yr; arthrogryposis</w:t>
            </w:r>
            <w:r>
              <w:rPr>
                <w:color w:val="231F20"/>
                <w:spacing w:val="-12"/>
                <w:sz w:val="15"/>
              </w:rPr>
              <w:t> </w:t>
            </w:r>
            <w:r>
              <w:rPr>
                <w:color w:val="231F20"/>
                <w:sz w:val="15"/>
              </w:rPr>
              <w:t>multiplex</w:t>
            </w:r>
            <w:r>
              <w:rPr>
                <w:color w:val="231F20"/>
                <w:spacing w:val="-11"/>
                <w:sz w:val="15"/>
              </w:rPr>
              <w:t> </w:t>
            </w:r>
            <w:r>
              <w:rPr>
                <w:color w:val="231F20"/>
                <w:sz w:val="15"/>
              </w:rPr>
              <w:t>congenita</w:t>
            </w:r>
            <w:r>
              <w:rPr>
                <w:color w:val="231F20"/>
                <w:spacing w:val="-11"/>
                <w:sz w:val="15"/>
              </w:rPr>
              <w:t> </w:t>
            </w:r>
            <w:r>
              <w:rPr>
                <w:color w:val="231F20"/>
                <w:sz w:val="15"/>
              </w:rPr>
              <w:t>common; </w:t>
            </w:r>
            <w:r>
              <w:rPr>
                <w:color w:val="231F20"/>
                <w:spacing w:val="-2"/>
                <w:sz w:val="15"/>
              </w:rPr>
              <w:t>respiratory</w:t>
            </w:r>
            <w:r>
              <w:rPr>
                <w:color w:val="231F20"/>
                <w:spacing w:val="-4"/>
                <w:sz w:val="15"/>
              </w:rPr>
              <w:t> </w:t>
            </w:r>
            <w:r>
              <w:rPr>
                <w:color w:val="231F20"/>
                <w:spacing w:val="-2"/>
                <w:sz w:val="15"/>
              </w:rPr>
              <w:t>and</w:t>
            </w:r>
            <w:r>
              <w:rPr>
                <w:color w:val="231F20"/>
                <w:spacing w:val="-4"/>
                <w:sz w:val="15"/>
              </w:rPr>
              <w:t> </w:t>
            </w:r>
            <w:r>
              <w:rPr>
                <w:color w:val="231F20"/>
                <w:spacing w:val="-2"/>
                <w:sz w:val="15"/>
              </w:rPr>
              <w:t>feeding</w:t>
            </w:r>
            <w:r>
              <w:rPr>
                <w:color w:val="231F20"/>
                <w:spacing w:val="-4"/>
                <w:sz w:val="15"/>
              </w:rPr>
              <w:t> </w:t>
            </w:r>
            <w:r>
              <w:rPr>
                <w:color w:val="231F20"/>
                <w:spacing w:val="-2"/>
                <w:sz w:val="15"/>
              </w:rPr>
              <w:t>difficulties;</w:t>
            </w:r>
            <w:r>
              <w:rPr>
                <w:color w:val="231F20"/>
                <w:spacing w:val="-4"/>
                <w:sz w:val="15"/>
              </w:rPr>
              <w:t> </w:t>
            </w:r>
            <w:r>
              <w:rPr>
                <w:color w:val="231F20"/>
                <w:spacing w:val="-2"/>
                <w:sz w:val="15"/>
              </w:rPr>
              <w:t>often</w:t>
            </w:r>
            <w:r>
              <w:rPr>
                <w:color w:val="231F20"/>
                <w:spacing w:val="-4"/>
                <w:sz w:val="15"/>
              </w:rPr>
              <w:t> </w:t>
            </w:r>
            <w:r>
              <w:rPr>
                <w:color w:val="231F20"/>
                <w:spacing w:val="-2"/>
                <w:sz w:val="15"/>
              </w:rPr>
              <w:t>die young</w:t>
            </w:r>
          </w:p>
          <w:p>
            <w:pPr>
              <w:pStyle w:val="TableParagraph"/>
              <w:spacing w:line="232" w:lineRule="auto" w:before="3"/>
              <w:ind w:left="245"/>
              <w:rPr>
                <w:sz w:val="15"/>
              </w:rPr>
            </w:pPr>
            <w:r>
              <w:rPr>
                <w:color w:val="231F20"/>
                <w:sz w:val="15"/>
              </w:rPr>
              <w:t>Type Russe. Onset 8-16 yr. Origin Bulgaria </w:t>
            </w:r>
            <w:r>
              <w:rPr>
                <w:color w:val="231F20"/>
                <w:spacing w:val="-2"/>
                <w:sz w:val="15"/>
              </w:rPr>
              <w:t>Increased</w:t>
            </w:r>
            <w:r>
              <w:rPr>
                <w:color w:val="231F20"/>
                <w:spacing w:val="1"/>
                <w:sz w:val="15"/>
              </w:rPr>
              <w:t> </w:t>
            </w:r>
            <w:r>
              <w:rPr>
                <w:color w:val="231F20"/>
                <w:spacing w:val="-2"/>
                <w:sz w:val="15"/>
              </w:rPr>
              <w:t>in</w:t>
            </w:r>
            <w:r>
              <w:rPr>
                <w:color w:val="231F20"/>
                <w:spacing w:val="2"/>
                <w:sz w:val="15"/>
              </w:rPr>
              <w:t> </w:t>
            </w:r>
            <w:r>
              <w:rPr>
                <w:color w:val="231F20"/>
                <w:spacing w:val="-2"/>
                <w:sz w:val="15"/>
              </w:rPr>
              <w:t>Lebanese/Turkish.</w:t>
            </w:r>
            <w:r>
              <w:rPr>
                <w:color w:val="231F20"/>
                <w:spacing w:val="2"/>
                <w:sz w:val="15"/>
              </w:rPr>
              <w:t> </w:t>
            </w:r>
            <w:r>
              <w:rPr>
                <w:color w:val="231F20"/>
                <w:spacing w:val="-2"/>
                <w:sz w:val="15"/>
              </w:rPr>
              <w:t>Onset</w:t>
            </w:r>
            <w:r>
              <w:rPr>
                <w:color w:val="231F20"/>
                <w:spacing w:val="1"/>
                <w:sz w:val="15"/>
              </w:rPr>
              <w:t> </w:t>
            </w:r>
            <w:r>
              <w:rPr>
                <w:color w:val="231F20"/>
                <w:spacing w:val="-2"/>
                <w:sz w:val="15"/>
              </w:rPr>
              <w:t>infancy</w:t>
            </w:r>
            <w:r>
              <w:rPr>
                <w:color w:val="231F20"/>
                <w:spacing w:val="2"/>
                <w:sz w:val="15"/>
              </w:rPr>
              <w:t> </w:t>
            </w:r>
            <w:r>
              <w:rPr>
                <w:color w:val="231F20"/>
                <w:spacing w:val="-5"/>
                <w:sz w:val="15"/>
              </w:rPr>
              <w:t>to</w:t>
            </w:r>
          </w:p>
          <w:p>
            <w:pPr>
              <w:pStyle w:val="TableParagraph"/>
              <w:spacing w:line="230" w:lineRule="auto"/>
              <w:ind w:left="357" w:right="126"/>
              <w:rPr>
                <w:sz w:val="15"/>
              </w:rPr>
            </w:pPr>
            <w:r>
              <w:rPr>
                <w:color w:val="231F20"/>
                <w:spacing w:val="-2"/>
                <w:sz w:val="15"/>
              </w:rPr>
              <w:t>childhood</w:t>
            </w:r>
            <w:r>
              <w:rPr>
                <w:color w:val="231F20"/>
                <w:spacing w:val="-3"/>
                <w:sz w:val="15"/>
              </w:rPr>
              <w:t> </w:t>
            </w:r>
            <w:r>
              <w:rPr>
                <w:color w:val="231F20"/>
                <w:spacing w:val="-2"/>
                <w:sz w:val="15"/>
              </w:rPr>
              <w:t>(1-2</w:t>
            </w:r>
            <w:r>
              <w:rPr>
                <w:color w:val="231F20"/>
                <w:spacing w:val="-3"/>
                <w:sz w:val="15"/>
              </w:rPr>
              <w:t> </w:t>
            </w:r>
            <w:r>
              <w:rPr>
                <w:color w:val="231F20"/>
                <w:spacing w:val="-2"/>
                <w:sz w:val="15"/>
              </w:rPr>
              <w:t>yr).</w:t>
            </w:r>
            <w:r>
              <w:rPr>
                <w:color w:val="231F20"/>
                <w:spacing w:val="-3"/>
                <w:sz w:val="15"/>
              </w:rPr>
              <w:t> </w:t>
            </w:r>
            <w:r>
              <w:rPr>
                <w:color w:val="231F20"/>
                <w:spacing w:val="-2"/>
                <w:sz w:val="15"/>
              </w:rPr>
              <w:t>Delayed</w:t>
            </w:r>
            <w:r>
              <w:rPr>
                <w:color w:val="231F20"/>
                <w:spacing w:val="-3"/>
                <w:sz w:val="15"/>
              </w:rPr>
              <w:t> </w:t>
            </w:r>
            <w:r>
              <w:rPr>
                <w:color w:val="231F20"/>
                <w:spacing w:val="-2"/>
                <w:sz w:val="15"/>
              </w:rPr>
              <w:t>motor</w:t>
            </w:r>
            <w:r>
              <w:rPr>
                <w:color w:val="231F20"/>
                <w:spacing w:val="-3"/>
                <w:sz w:val="15"/>
              </w:rPr>
              <w:t> </w:t>
            </w:r>
            <w:r>
              <w:rPr>
                <w:color w:val="231F20"/>
                <w:spacing w:val="-2"/>
                <w:sz w:val="15"/>
              </w:rPr>
              <w:t>milestones. </w:t>
            </w:r>
            <w:r>
              <w:rPr>
                <w:color w:val="231F20"/>
                <w:sz w:val="15"/>
              </w:rPr>
              <w:t>Occasional scoliosis, increased distal weakness, usually absent DTRs</w:t>
            </w:r>
          </w:p>
          <w:p>
            <w:pPr>
              <w:pStyle w:val="TableParagraph"/>
              <w:spacing w:line="230" w:lineRule="auto" w:before="4"/>
              <w:ind w:left="357" w:hanging="112"/>
              <w:rPr>
                <w:sz w:val="15"/>
              </w:rPr>
            </w:pPr>
            <w:r>
              <w:rPr>
                <w:color w:val="231F20"/>
                <w:sz w:val="15"/>
              </w:rPr>
              <w:t>Onset</w:t>
            </w:r>
            <w:r>
              <w:rPr>
                <w:color w:val="231F20"/>
                <w:spacing w:val="-12"/>
                <w:sz w:val="15"/>
              </w:rPr>
              <w:t> </w:t>
            </w:r>
            <w:r>
              <w:rPr>
                <w:color w:val="231F20"/>
                <w:sz w:val="15"/>
              </w:rPr>
              <w:t>by</w:t>
            </w:r>
            <w:r>
              <w:rPr>
                <w:color w:val="231F20"/>
                <w:spacing w:val="-11"/>
                <w:sz w:val="15"/>
              </w:rPr>
              <w:t> </w:t>
            </w:r>
            <w:r>
              <w:rPr>
                <w:color w:val="231F20"/>
                <w:sz w:val="15"/>
              </w:rPr>
              <w:t>5</w:t>
            </w:r>
            <w:r>
              <w:rPr>
                <w:color w:val="231F20"/>
                <w:spacing w:val="-11"/>
                <w:sz w:val="15"/>
              </w:rPr>
              <w:t> </w:t>
            </w:r>
            <w:r>
              <w:rPr>
                <w:color w:val="231F20"/>
                <w:sz w:val="15"/>
              </w:rPr>
              <w:t>yr.</w:t>
            </w:r>
            <w:r>
              <w:rPr>
                <w:color w:val="231F20"/>
                <w:spacing w:val="-12"/>
                <w:sz w:val="15"/>
              </w:rPr>
              <w:t> </w:t>
            </w:r>
            <w:r>
              <w:rPr>
                <w:color w:val="231F20"/>
                <w:sz w:val="15"/>
              </w:rPr>
              <w:t>Severe</w:t>
            </w:r>
            <w:r>
              <w:rPr>
                <w:color w:val="231F20"/>
                <w:spacing w:val="-11"/>
                <w:sz w:val="15"/>
              </w:rPr>
              <w:t> </w:t>
            </w:r>
            <w:r>
              <w:rPr>
                <w:color w:val="231F20"/>
                <w:sz w:val="15"/>
              </w:rPr>
              <w:t>disorder.</w:t>
            </w:r>
            <w:r>
              <w:rPr>
                <w:color w:val="231F20"/>
                <w:spacing w:val="-11"/>
                <w:sz w:val="15"/>
              </w:rPr>
              <w:t> </w:t>
            </w:r>
            <w:r>
              <w:rPr>
                <w:color w:val="231F20"/>
                <w:sz w:val="15"/>
              </w:rPr>
              <w:t>Similarities</w:t>
            </w:r>
            <w:r>
              <w:rPr>
                <w:color w:val="231F20"/>
                <w:spacing w:val="-12"/>
                <w:sz w:val="15"/>
              </w:rPr>
              <w:t> </w:t>
            </w:r>
            <w:r>
              <w:rPr>
                <w:color w:val="231F20"/>
                <w:sz w:val="15"/>
              </w:rPr>
              <w:t>to motor neuron disease</w:t>
            </w:r>
          </w:p>
          <w:p>
            <w:pPr>
              <w:pStyle w:val="TableParagraph"/>
              <w:spacing w:line="230" w:lineRule="auto" w:before="3"/>
              <w:ind w:left="357" w:hanging="112"/>
              <w:rPr>
                <w:sz w:val="15"/>
              </w:rPr>
            </w:pPr>
            <w:r>
              <w:rPr>
                <w:color w:val="231F20"/>
                <w:sz w:val="15"/>
              </w:rPr>
              <w:t>Congenital cataract, microcornea, facial </w:t>
            </w:r>
            <w:r>
              <w:rPr>
                <w:color w:val="231F20"/>
                <w:spacing w:val="-2"/>
                <w:sz w:val="15"/>
              </w:rPr>
              <w:t>dysmorphism,</w:t>
            </w:r>
            <w:r>
              <w:rPr>
                <w:color w:val="231F20"/>
                <w:spacing w:val="-8"/>
                <w:sz w:val="15"/>
              </w:rPr>
              <w:t> </w:t>
            </w:r>
            <w:r>
              <w:rPr>
                <w:color w:val="231F20"/>
                <w:spacing w:val="-2"/>
                <w:sz w:val="15"/>
              </w:rPr>
              <w:t>mental</w:t>
            </w:r>
            <w:r>
              <w:rPr>
                <w:color w:val="231F20"/>
                <w:spacing w:val="-8"/>
                <w:sz w:val="15"/>
              </w:rPr>
              <w:t> </w:t>
            </w:r>
            <w:r>
              <w:rPr>
                <w:color w:val="231F20"/>
                <w:spacing w:val="-2"/>
                <w:sz w:val="15"/>
              </w:rPr>
              <w:t>retardation,</w:t>
            </w:r>
            <w:r>
              <w:rPr>
                <w:color w:val="231F20"/>
                <w:spacing w:val="-8"/>
                <w:sz w:val="15"/>
              </w:rPr>
              <w:t> </w:t>
            </w:r>
            <w:r>
              <w:rPr>
                <w:color w:val="231F20"/>
                <w:spacing w:val="-2"/>
                <w:sz w:val="15"/>
              </w:rPr>
              <w:t>distal</w:t>
            </w:r>
            <w:r>
              <w:rPr>
                <w:color w:val="231F20"/>
                <w:spacing w:val="-8"/>
                <w:sz w:val="15"/>
              </w:rPr>
              <w:t> </w:t>
            </w:r>
            <w:r>
              <w:rPr>
                <w:color w:val="231F20"/>
                <w:spacing w:val="-2"/>
                <w:sz w:val="15"/>
              </w:rPr>
              <w:t>motor </w:t>
            </w:r>
            <w:r>
              <w:rPr>
                <w:color w:val="231F20"/>
                <w:sz w:val="15"/>
              </w:rPr>
              <w:t>peripheral neuropathy</w:t>
            </w:r>
          </w:p>
        </w:tc>
        <w:tc>
          <w:tcPr>
            <w:tcW w:w="2592" w:type="dxa"/>
            <w:tcBorders>
              <w:top w:val="single" w:sz="4" w:space="0" w:color="231F20"/>
            </w:tcBorders>
            <w:shd w:val="clear" w:color="auto" w:fill="E8F5F1"/>
          </w:tcPr>
          <w:p>
            <w:pPr>
              <w:pStyle w:val="TableParagraph"/>
              <w:spacing w:before="28"/>
              <w:ind w:left="153"/>
              <w:rPr>
                <w:sz w:val="15"/>
              </w:rPr>
            </w:pPr>
            <w:r>
              <w:rPr>
                <w:rFonts w:ascii="Cambria"/>
                <w:color w:val="231F20"/>
                <w:sz w:val="15"/>
              </w:rPr>
              <w:t>&lt;</w:t>
            </w:r>
            <w:r>
              <w:rPr>
                <w:color w:val="231F20"/>
                <w:sz w:val="15"/>
              </w:rPr>
              <w:t>5</w:t>
            </w:r>
            <w:r>
              <w:rPr>
                <w:color w:val="231F20"/>
                <w:spacing w:val="-3"/>
                <w:sz w:val="15"/>
              </w:rPr>
              <w:t> </w:t>
            </w:r>
            <w:r>
              <w:rPr>
                <w:color w:val="231F20"/>
                <w:spacing w:val="-5"/>
                <w:sz w:val="15"/>
              </w:rPr>
              <w:t>m/s</w:t>
            </w:r>
          </w:p>
        </w:tc>
        <w:tc>
          <w:tcPr>
            <w:tcW w:w="1485" w:type="dxa"/>
            <w:tcBorders>
              <w:top w:val="single" w:sz="4" w:space="0" w:color="231F20"/>
            </w:tcBorders>
            <w:shd w:val="clear" w:color="auto" w:fill="E8F5F1"/>
          </w:tcPr>
          <w:p>
            <w:pPr>
              <w:pStyle w:val="TableParagraph"/>
              <w:spacing w:before="28"/>
              <w:ind w:left="152"/>
              <w:rPr>
                <w:i/>
                <w:sz w:val="15"/>
              </w:rPr>
            </w:pPr>
            <w:r>
              <w:rPr>
                <w:i/>
                <w:color w:val="231F20"/>
                <w:spacing w:val="-5"/>
                <w:w w:val="105"/>
                <w:sz w:val="15"/>
              </w:rPr>
              <w:t>PRX</w:t>
            </w:r>
          </w:p>
        </w:tc>
      </w:tr>
      <w:tr>
        <w:trPr>
          <w:trHeight w:val="405" w:hRule="atLeast"/>
        </w:trPr>
        <w:tc>
          <w:tcPr>
            <w:tcW w:w="2056" w:type="dxa"/>
            <w:shd w:val="clear" w:color="auto" w:fill="E8F5F1"/>
          </w:tcPr>
          <w:p>
            <w:pPr>
              <w:pStyle w:val="TableParagraph"/>
              <w:spacing w:before="63"/>
              <w:rPr>
                <w:i/>
                <w:sz w:val="15"/>
              </w:rPr>
            </w:pPr>
          </w:p>
          <w:p>
            <w:pPr>
              <w:pStyle w:val="TableParagraph"/>
              <w:spacing w:line="148" w:lineRule="exact"/>
              <w:ind w:left="74"/>
              <w:rPr>
                <w:sz w:val="15"/>
              </w:rPr>
            </w:pPr>
            <w:r>
              <w:rPr>
                <w:color w:val="231F20"/>
                <w:sz w:val="15"/>
              </w:rPr>
              <w:t>4G</w:t>
            </w:r>
            <w:r>
              <w:rPr>
                <w:color w:val="231F20"/>
                <w:spacing w:val="13"/>
                <w:sz w:val="15"/>
              </w:rPr>
              <w:t> </w:t>
            </w:r>
            <w:r>
              <w:rPr>
                <w:color w:val="231F20"/>
                <w:spacing w:val="-2"/>
                <w:sz w:val="15"/>
              </w:rPr>
              <w:t>(605285)</w:t>
            </w:r>
          </w:p>
        </w:tc>
        <w:tc>
          <w:tcPr>
            <w:tcW w:w="3609" w:type="dxa"/>
            <w:vMerge/>
            <w:tcBorders>
              <w:top w:val="nil"/>
              <w:bottom w:val="single" w:sz="4" w:space="0" w:color="FFFFFF"/>
            </w:tcBorders>
            <w:shd w:val="clear" w:color="auto" w:fill="E8F5F1"/>
          </w:tcPr>
          <w:p>
            <w:pPr>
              <w:rPr>
                <w:sz w:val="2"/>
                <w:szCs w:val="2"/>
              </w:rPr>
            </w:pPr>
          </w:p>
        </w:tc>
        <w:tc>
          <w:tcPr>
            <w:tcW w:w="2592" w:type="dxa"/>
            <w:shd w:val="clear" w:color="auto" w:fill="E8F5F1"/>
          </w:tcPr>
          <w:p>
            <w:pPr>
              <w:pStyle w:val="TableParagraph"/>
              <w:spacing w:before="63"/>
              <w:rPr>
                <w:i/>
                <w:sz w:val="15"/>
              </w:rPr>
            </w:pPr>
          </w:p>
          <w:p>
            <w:pPr>
              <w:pStyle w:val="TableParagraph"/>
              <w:spacing w:line="148" w:lineRule="exact"/>
              <w:ind w:left="153"/>
              <w:rPr>
                <w:sz w:val="15"/>
              </w:rPr>
            </w:pPr>
            <w:r>
              <w:rPr>
                <w:color w:val="231F20"/>
                <w:sz w:val="15"/>
              </w:rPr>
              <w:t>30-35</w:t>
            </w:r>
            <w:r>
              <w:rPr>
                <w:color w:val="231F20"/>
                <w:spacing w:val="-11"/>
                <w:sz w:val="15"/>
              </w:rPr>
              <w:t> </w:t>
            </w:r>
            <w:r>
              <w:rPr>
                <w:color w:val="231F20"/>
                <w:spacing w:val="-5"/>
                <w:sz w:val="15"/>
              </w:rPr>
              <w:t>m/s</w:t>
            </w:r>
          </w:p>
        </w:tc>
        <w:tc>
          <w:tcPr>
            <w:tcW w:w="1485" w:type="dxa"/>
            <w:shd w:val="clear" w:color="auto" w:fill="E8F5F1"/>
          </w:tcPr>
          <w:p>
            <w:pPr>
              <w:pStyle w:val="TableParagraph"/>
              <w:spacing w:before="63"/>
              <w:rPr>
                <w:i/>
                <w:sz w:val="15"/>
              </w:rPr>
            </w:pPr>
          </w:p>
          <w:p>
            <w:pPr>
              <w:pStyle w:val="TableParagraph"/>
              <w:spacing w:line="148" w:lineRule="exact"/>
              <w:ind w:left="152"/>
              <w:rPr>
                <w:sz w:val="15"/>
              </w:rPr>
            </w:pPr>
            <w:r>
              <w:rPr>
                <w:color w:val="231F20"/>
                <w:spacing w:val="-2"/>
                <w:sz w:val="15"/>
              </w:rPr>
              <w:t>10q22</w:t>
            </w:r>
          </w:p>
        </w:tc>
      </w:tr>
      <w:tr>
        <w:trPr>
          <w:trHeight w:val="417" w:hRule="atLeast"/>
        </w:trPr>
        <w:tc>
          <w:tcPr>
            <w:tcW w:w="2056" w:type="dxa"/>
            <w:shd w:val="clear" w:color="auto" w:fill="E8F5F1"/>
          </w:tcPr>
          <w:p>
            <w:pPr>
              <w:pStyle w:val="TableParagraph"/>
              <w:spacing w:line="165" w:lineRule="exact"/>
              <w:ind w:left="74"/>
              <w:rPr>
                <w:sz w:val="15"/>
              </w:rPr>
            </w:pPr>
            <w:r>
              <w:rPr>
                <w:color w:val="231F20"/>
                <w:sz w:val="15"/>
              </w:rPr>
              <w:t>4H</w:t>
            </w:r>
            <w:r>
              <w:rPr>
                <w:color w:val="231F20"/>
                <w:spacing w:val="8"/>
                <w:sz w:val="15"/>
              </w:rPr>
              <w:t> </w:t>
            </w:r>
            <w:r>
              <w:rPr>
                <w:color w:val="231F20"/>
                <w:spacing w:val="-2"/>
                <w:sz w:val="15"/>
              </w:rPr>
              <w:t>(609311)</w:t>
            </w:r>
          </w:p>
        </w:tc>
        <w:tc>
          <w:tcPr>
            <w:tcW w:w="3609" w:type="dxa"/>
            <w:vMerge/>
            <w:tcBorders>
              <w:top w:val="nil"/>
              <w:bottom w:val="single" w:sz="4" w:space="0" w:color="FFFFFF"/>
            </w:tcBorders>
            <w:shd w:val="clear" w:color="auto" w:fill="E8F5F1"/>
          </w:tcPr>
          <w:p>
            <w:pPr>
              <w:rPr>
                <w:sz w:val="2"/>
                <w:szCs w:val="2"/>
              </w:rPr>
            </w:pPr>
          </w:p>
        </w:tc>
        <w:tc>
          <w:tcPr>
            <w:tcW w:w="2592" w:type="dxa"/>
            <w:shd w:val="clear" w:color="auto" w:fill="E8F5F1"/>
          </w:tcPr>
          <w:p>
            <w:pPr>
              <w:pStyle w:val="TableParagraph"/>
              <w:spacing w:line="168" w:lineRule="exact"/>
              <w:ind w:left="153"/>
              <w:rPr>
                <w:sz w:val="15"/>
              </w:rPr>
            </w:pPr>
            <w:r>
              <w:rPr>
                <w:rFonts w:ascii="Cambria"/>
                <w:color w:val="231F20"/>
                <w:sz w:val="15"/>
              </w:rPr>
              <w:t>&lt;</w:t>
            </w:r>
            <w:r>
              <w:rPr>
                <w:color w:val="231F20"/>
                <w:sz w:val="15"/>
              </w:rPr>
              <w:t>10</w:t>
            </w:r>
            <w:r>
              <w:rPr>
                <w:color w:val="231F20"/>
                <w:spacing w:val="-8"/>
                <w:sz w:val="15"/>
              </w:rPr>
              <w:t> </w:t>
            </w:r>
            <w:r>
              <w:rPr>
                <w:color w:val="231F20"/>
                <w:sz w:val="15"/>
              </w:rPr>
              <w:t>m/s</w:t>
            </w:r>
            <w:r>
              <w:rPr>
                <w:color w:val="231F20"/>
                <w:spacing w:val="-7"/>
                <w:sz w:val="15"/>
              </w:rPr>
              <w:t> </w:t>
            </w:r>
            <w:r>
              <w:rPr>
                <w:color w:val="231F20"/>
                <w:sz w:val="15"/>
              </w:rPr>
              <w:t>or</w:t>
            </w:r>
            <w:r>
              <w:rPr>
                <w:color w:val="231F20"/>
                <w:spacing w:val="-7"/>
                <w:sz w:val="15"/>
              </w:rPr>
              <w:t> </w:t>
            </w:r>
            <w:r>
              <w:rPr>
                <w:color w:val="231F20"/>
                <w:spacing w:val="-2"/>
                <w:sz w:val="15"/>
              </w:rPr>
              <w:t>absent</w:t>
            </w:r>
          </w:p>
        </w:tc>
        <w:tc>
          <w:tcPr>
            <w:tcW w:w="1485" w:type="dxa"/>
            <w:shd w:val="clear" w:color="auto" w:fill="E8F5F1"/>
          </w:tcPr>
          <w:p>
            <w:pPr>
              <w:pStyle w:val="TableParagraph"/>
              <w:spacing w:line="165" w:lineRule="exact"/>
              <w:ind w:left="152"/>
              <w:rPr>
                <w:i/>
                <w:sz w:val="15"/>
              </w:rPr>
            </w:pPr>
            <w:r>
              <w:rPr>
                <w:i/>
                <w:color w:val="231F20"/>
                <w:spacing w:val="-4"/>
                <w:w w:val="110"/>
                <w:sz w:val="15"/>
              </w:rPr>
              <w:t>FDG4</w:t>
            </w:r>
          </w:p>
        </w:tc>
      </w:tr>
      <w:tr>
        <w:trPr>
          <w:trHeight w:val="490" w:hRule="atLeast"/>
        </w:trPr>
        <w:tc>
          <w:tcPr>
            <w:tcW w:w="2056" w:type="dxa"/>
            <w:shd w:val="clear" w:color="auto" w:fill="E8F5F1"/>
          </w:tcPr>
          <w:p>
            <w:pPr>
              <w:pStyle w:val="TableParagraph"/>
              <w:spacing w:before="63"/>
              <w:rPr>
                <w:i/>
                <w:sz w:val="15"/>
              </w:rPr>
            </w:pPr>
          </w:p>
          <w:p>
            <w:pPr>
              <w:pStyle w:val="TableParagraph"/>
              <w:ind w:left="74"/>
              <w:rPr>
                <w:sz w:val="15"/>
              </w:rPr>
            </w:pPr>
            <w:r>
              <w:rPr>
                <w:color w:val="231F20"/>
                <w:sz w:val="15"/>
              </w:rPr>
              <w:t>4J</w:t>
            </w:r>
            <w:r>
              <w:rPr>
                <w:color w:val="231F20"/>
                <w:spacing w:val="-1"/>
                <w:sz w:val="15"/>
              </w:rPr>
              <w:t> </w:t>
            </w:r>
            <w:r>
              <w:rPr>
                <w:color w:val="231F20"/>
                <w:spacing w:val="-2"/>
                <w:sz w:val="15"/>
              </w:rPr>
              <w:t>(611228)</w:t>
            </w:r>
          </w:p>
        </w:tc>
        <w:tc>
          <w:tcPr>
            <w:tcW w:w="3609" w:type="dxa"/>
            <w:vMerge/>
            <w:tcBorders>
              <w:top w:val="nil"/>
              <w:bottom w:val="single" w:sz="4" w:space="0" w:color="FFFFFF"/>
            </w:tcBorders>
            <w:shd w:val="clear" w:color="auto" w:fill="E8F5F1"/>
          </w:tcPr>
          <w:p>
            <w:pPr>
              <w:rPr>
                <w:sz w:val="2"/>
                <w:szCs w:val="2"/>
              </w:rPr>
            </w:pPr>
          </w:p>
        </w:tc>
        <w:tc>
          <w:tcPr>
            <w:tcW w:w="2592" w:type="dxa"/>
            <w:shd w:val="clear" w:color="auto" w:fill="E8F5F1"/>
          </w:tcPr>
          <w:p>
            <w:pPr>
              <w:pStyle w:val="TableParagraph"/>
              <w:spacing w:before="63"/>
              <w:rPr>
                <w:i/>
                <w:sz w:val="15"/>
              </w:rPr>
            </w:pPr>
          </w:p>
          <w:p>
            <w:pPr>
              <w:pStyle w:val="TableParagraph"/>
              <w:ind w:left="153"/>
              <w:rPr>
                <w:sz w:val="15"/>
              </w:rPr>
            </w:pPr>
            <w:r>
              <w:rPr>
                <w:color w:val="231F20"/>
                <w:sz w:val="15"/>
              </w:rPr>
              <w:t>2-7</w:t>
            </w:r>
            <w:r>
              <w:rPr>
                <w:color w:val="231F20"/>
                <w:spacing w:val="-7"/>
                <w:sz w:val="15"/>
              </w:rPr>
              <w:t> </w:t>
            </w:r>
            <w:r>
              <w:rPr>
                <w:color w:val="231F20"/>
                <w:sz w:val="15"/>
              </w:rPr>
              <w:t>m/s;</w:t>
            </w:r>
            <w:r>
              <w:rPr>
                <w:color w:val="231F20"/>
                <w:spacing w:val="-6"/>
                <w:sz w:val="15"/>
              </w:rPr>
              <w:t> </w:t>
            </w:r>
            <w:r>
              <w:rPr>
                <w:color w:val="231F20"/>
                <w:sz w:val="15"/>
              </w:rPr>
              <w:t>some</w:t>
            </w:r>
            <w:r>
              <w:rPr>
                <w:color w:val="231F20"/>
                <w:spacing w:val="-7"/>
                <w:sz w:val="15"/>
              </w:rPr>
              <w:t> </w:t>
            </w:r>
            <w:r>
              <w:rPr>
                <w:color w:val="231F20"/>
                <w:sz w:val="15"/>
              </w:rPr>
              <w:t>cases</w:t>
            </w:r>
            <w:r>
              <w:rPr>
                <w:color w:val="231F20"/>
                <w:spacing w:val="-6"/>
                <w:sz w:val="15"/>
              </w:rPr>
              <w:t> </w:t>
            </w:r>
            <w:r>
              <w:rPr>
                <w:color w:val="231F20"/>
                <w:spacing w:val="-2"/>
                <w:sz w:val="15"/>
              </w:rPr>
              <w:t>higher</w:t>
            </w:r>
          </w:p>
        </w:tc>
        <w:tc>
          <w:tcPr>
            <w:tcW w:w="1485" w:type="dxa"/>
            <w:shd w:val="clear" w:color="auto" w:fill="E8F5F1"/>
          </w:tcPr>
          <w:p>
            <w:pPr>
              <w:pStyle w:val="TableParagraph"/>
              <w:spacing w:before="63"/>
              <w:rPr>
                <w:i/>
                <w:sz w:val="15"/>
              </w:rPr>
            </w:pPr>
          </w:p>
          <w:p>
            <w:pPr>
              <w:pStyle w:val="TableParagraph"/>
              <w:ind w:left="152"/>
              <w:rPr>
                <w:i/>
                <w:sz w:val="15"/>
              </w:rPr>
            </w:pPr>
            <w:r>
              <w:rPr>
                <w:i/>
                <w:color w:val="231F20"/>
                <w:spacing w:val="-4"/>
                <w:w w:val="105"/>
                <w:sz w:val="15"/>
              </w:rPr>
              <w:t>FIG4</w:t>
            </w:r>
          </w:p>
        </w:tc>
      </w:tr>
      <w:tr>
        <w:trPr>
          <w:trHeight w:val="620" w:hRule="atLeast"/>
        </w:trPr>
        <w:tc>
          <w:tcPr>
            <w:tcW w:w="2056" w:type="dxa"/>
            <w:tcBorders>
              <w:bottom w:val="single" w:sz="4" w:space="0" w:color="FFFFFF"/>
            </w:tcBorders>
            <w:shd w:val="clear" w:color="auto" w:fill="E8F5F1"/>
          </w:tcPr>
          <w:p>
            <w:pPr>
              <w:pStyle w:val="TableParagraph"/>
              <w:spacing w:before="74"/>
              <w:ind w:left="73"/>
              <w:rPr>
                <w:sz w:val="15"/>
              </w:rPr>
            </w:pPr>
            <w:r>
              <w:rPr>
                <w:color w:val="231F20"/>
                <w:spacing w:val="2"/>
                <w:w w:val="105"/>
                <w:sz w:val="15"/>
              </w:rPr>
              <w:t>CCFDN</w:t>
            </w:r>
            <w:r>
              <w:rPr>
                <w:color w:val="231F20"/>
                <w:spacing w:val="37"/>
                <w:w w:val="105"/>
                <w:sz w:val="15"/>
              </w:rPr>
              <w:t> </w:t>
            </w:r>
            <w:r>
              <w:rPr>
                <w:color w:val="231F20"/>
                <w:spacing w:val="-2"/>
                <w:w w:val="105"/>
                <w:sz w:val="15"/>
              </w:rPr>
              <w:t>(604168)</w:t>
            </w:r>
          </w:p>
        </w:tc>
        <w:tc>
          <w:tcPr>
            <w:tcW w:w="3609" w:type="dxa"/>
            <w:vMerge/>
            <w:tcBorders>
              <w:top w:val="nil"/>
              <w:bottom w:val="single" w:sz="4" w:space="0" w:color="FFFFFF"/>
            </w:tcBorders>
            <w:shd w:val="clear" w:color="auto" w:fill="E8F5F1"/>
          </w:tcPr>
          <w:p>
            <w:pPr>
              <w:rPr>
                <w:sz w:val="2"/>
                <w:szCs w:val="2"/>
              </w:rPr>
            </w:pPr>
          </w:p>
        </w:tc>
        <w:tc>
          <w:tcPr>
            <w:tcW w:w="2592" w:type="dxa"/>
            <w:tcBorders>
              <w:bottom w:val="single" w:sz="4" w:space="0" w:color="FFFFFF"/>
            </w:tcBorders>
            <w:shd w:val="clear" w:color="auto" w:fill="E8F5F1"/>
          </w:tcPr>
          <w:p>
            <w:pPr>
              <w:pStyle w:val="TableParagraph"/>
              <w:spacing w:before="74"/>
              <w:ind w:left="153"/>
              <w:rPr>
                <w:sz w:val="15"/>
              </w:rPr>
            </w:pPr>
            <w:r>
              <w:rPr>
                <w:color w:val="231F20"/>
                <w:sz w:val="15"/>
              </w:rPr>
              <w:t>19-33</w:t>
            </w:r>
            <w:r>
              <w:rPr>
                <w:color w:val="231F20"/>
                <w:spacing w:val="-11"/>
                <w:sz w:val="15"/>
              </w:rPr>
              <w:t> </w:t>
            </w:r>
            <w:r>
              <w:rPr>
                <w:color w:val="231F20"/>
                <w:spacing w:val="-5"/>
                <w:sz w:val="15"/>
              </w:rPr>
              <w:t>m/s</w:t>
            </w:r>
          </w:p>
        </w:tc>
        <w:tc>
          <w:tcPr>
            <w:tcW w:w="1485" w:type="dxa"/>
            <w:tcBorders>
              <w:bottom w:val="single" w:sz="4" w:space="0" w:color="FFFFFF"/>
            </w:tcBorders>
            <w:shd w:val="clear" w:color="auto" w:fill="E8F5F1"/>
          </w:tcPr>
          <w:p>
            <w:pPr>
              <w:pStyle w:val="TableParagraph"/>
              <w:spacing w:before="74"/>
              <w:ind w:left="152"/>
              <w:rPr>
                <w:i/>
                <w:sz w:val="15"/>
              </w:rPr>
            </w:pPr>
            <w:r>
              <w:rPr>
                <w:i/>
                <w:color w:val="231F20"/>
                <w:spacing w:val="-2"/>
                <w:w w:val="110"/>
                <w:sz w:val="15"/>
              </w:rPr>
              <w:t>CTDP1</w:t>
            </w:r>
          </w:p>
        </w:tc>
      </w:tr>
      <w:tr>
        <w:trPr>
          <w:trHeight w:val="4426" w:hRule="atLeast"/>
        </w:trPr>
        <w:tc>
          <w:tcPr>
            <w:tcW w:w="5665" w:type="dxa"/>
            <w:gridSpan w:val="2"/>
            <w:tcBorders>
              <w:top w:val="single" w:sz="4" w:space="0" w:color="FFFFFF"/>
            </w:tcBorders>
            <w:shd w:val="clear" w:color="auto" w:fill="E8F5F1"/>
          </w:tcPr>
          <w:p>
            <w:pPr>
              <w:pStyle w:val="TableParagraph"/>
              <w:spacing w:line="172" w:lineRule="exact" w:before="43"/>
              <w:ind w:left="73"/>
              <w:rPr>
                <w:sz w:val="15"/>
              </w:rPr>
            </w:pPr>
            <w:r>
              <w:rPr>
                <w:color w:val="231F20"/>
                <w:w w:val="115"/>
                <w:sz w:val="15"/>
              </w:rPr>
              <w:t>MIXED</w:t>
            </w:r>
            <w:r>
              <w:rPr>
                <w:color w:val="231F20"/>
                <w:spacing w:val="-6"/>
                <w:w w:val="115"/>
                <w:sz w:val="15"/>
              </w:rPr>
              <w:t> </w:t>
            </w:r>
            <w:r>
              <w:rPr>
                <w:color w:val="231F20"/>
                <w:w w:val="115"/>
                <w:sz w:val="15"/>
              </w:rPr>
              <w:t>PATHOLOGY</w:t>
            </w:r>
            <w:r>
              <w:rPr>
                <w:color w:val="231F20"/>
                <w:spacing w:val="-6"/>
                <w:w w:val="115"/>
                <w:sz w:val="15"/>
              </w:rPr>
              <w:t> </w:t>
            </w:r>
            <w:r>
              <w:rPr>
                <w:color w:val="231F20"/>
                <w:w w:val="115"/>
                <w:sz w:val="15"/>
              </w:rPr>
              <w:t>(AXONAL</w:t>
            </w:r>
            <w:r>
              <w:rPr>
                <w:color w:val="231F20"/>
                <w:spacing w:val="-6"/>
                <w:w w:val="115"/>
                <w:sz w:val="15"/>
              </w:rPr>
              <w:t> </w:t>
            </w:r>
            <w:r>
              <w:rPr>
                <w:color w:val="231F20"/>
                <w:w w:val="115"/>
                <w:sz w:val="15"/>
              </w:rPr>
              <w:t>AND</w:t>
            </w:r>
            <w:r>
              <w:rPr>
                <w:color w:val="231F20"/>
                <w:spacing w:val="-5"/>
                <w:w w:val="115"/>
                <w:sz w:val="15"/>
              </w:rPr>
              <w:t> </w:t>
            </w:r>
            <w:r>
              <w:rPr>
                <w:color w:val="231F20"/>
                <w:spacing w:val="-2"/>
                <w:w w:val="115"/>
                <w:sz w:val="15"/>
              </w:rPr>
              <w:t>DEMYELINATING)</w:t>
            </w:r>
          </w:p>
          <w:p>
            <w:pPr>
              <w:pStyle w:val="TableParagraph"/>
              <w:tabs>
                <w:tab w:pos="2300" w:val="left" w:leader="none"/>
              </w:tabs>
              <w:spacing w:line="169" w:lineRule="exact"/>
              <w:ind w:left="73"/>
              <w:rPr>
                <w:sz w:val="15"/>
              </w:rPr>
            </w:pPr>
            <w:r>
              <w:rPr>
                <w:color w:val="231F20"/>
                <w:sz w:val="15"/>
              </w:rPr>
              <w:t>CMT</w:t>
            </w:r>
            <w:r>
              <w:rPr>
                <w:color w:val="231F20"/>
                <w:spacing w:val="40"/>
                <w:sz w:val="15"/>
              </w:rPr>
              <w:t> </w:t>
            </w:r>
            <w:r>
              <w:rPr>
                <w:color w:val="231F20"/>
                <w:spacing w:val="-10"/>
                <w:sz w:val="15"/>
              </w:rPr>
              <w:t>X</w:t>
            </w:r>
            <w:r>
              <w:rPr>
                <w:color w:val="231F20"/>
                <w:sz w:val="15"/>
              </w:rPr>
              <w:tab/>
              <w:t>X-linked</w:t>
            </w:r>
            <w:r>
              <w:rPr>
                <w:color w:val="231F20"/>
                <w:spacing w:val="-4"/>
                <w:sz w:val="15"/>
              </w:rPr>
              <w:t> </w:t>
            </w:r>
            <w:r>
              <w:rPr>
                <w:color w:val="231F20"/>
                <w:sz w:val="15"/>
              </w:rPr>
              <w:t>dominant.</w:t>
            </w:r>
            <w:r>
              <w:rPr>
                <w:color w:val="231F20"/>
                <w:spacing w:val="-4"/>
                <w:sz w:val="15"/>
              </w:rPr>
              <w:t> </w:t>
            </w:r>
            <w:r>
              <w:rPr>
                <w:color w:val="231F20"/>
                <w:sz w:val="15"/>
              </w:rPr>
              <w:t>Onset</w:t>
            </w:r>
            <w:r>
              <w:rPr>
                <w:color w:val="231F20"/>
                <w:spacing w:val="-4"/>
                <w:sz w:val="15"/>
              </w:rPr>
              <w:t> </w:t>
            </w:r>
            <w:r>
              <w:rPr>
                <w:color w:val="231F20"/>
                <w:sz w:val="15"/>
              </w:rPr>
              <w:t>1st-2nd</w:t>
            </w:r>
            <w:r>
              <w:rPr>
                <w:color w:val="231F20"/>
                <w:spacing w:val="-4"/>
                <w:sz w:val="15"/>
              </w:rPr>
              <w:t> </w:t>
            </w:r>
            <w:r>
              <w:rPr>
                <w:color w:val="231F20"/>
                <w:spacing w:val="-2"/>
                <w:sz w:val="15"/>
              </w:rPr>
              <w:t>decade.</w:t>
            </w:r>
          </w:p>
          <w:p>
            <w:pPr>
              <w:pStyle w:val="TableParagraph"/>
              <w:tabs>
                <w:tab w:pos="2412" w:val="left" w:leader="none"/>
              </w:tabs>
              <w:spacing w:line="168" w:lineRule="exact"/>
              <w:ind w:left="73"/>
              <w:rPr>
                <w:sz w:val="15"/>
              </w:rPr>
            </w:pPr>
            <w:r>
              <w:rPr>
                <w:color w:val="231F20"/>
                <w:sz w:val="15"/>
              </w:rPr>
              <w:t>X-linked</w:t>
            </w:r>
            <w:r>
              <w:rPr>
                <w:color w:val="231F20"/>
                <w:spacing w:val="-10"/>
                <w:sz w:val="15"/>
              </w:rPr>
              <w:t> </w:t>
            </w:r>
            <w:r>
              <w:rPr>
                <w:color w:val="231F20"/>
                <w:spacing w:val="-5"/>
                <w:sz w:val="15"/>
              </w:rPr>
              <w:t>CMT</w:t>
            </w:r>
            <w:r>
              <w:rPr>
                <w:color w:val="231F20"/>
                <w:sz w:val="15"/>
              </w:rPr>
              <w:tab/>
              <w:t>Progressive</w:t>
            </w:r>
            <w:r>
              <w:rPr>
                <w:color w:val="231F20"/>
                <w:spacing w:val="-1"/>
                <w:sz w:val="15"/>
              </w:rPr>
              <w:t> </w:t>
            </w:r>
            <w:r>
              <w:rPr>
                <w:color w:val="231F20"/>
                <w:sz w:val="15"/>
              </w:rPr>
              <w:t>wasting</w:t>
            </w:r>
            <w:r>
              <w:rPr>
                <w:color w:val="231F20"/>
                <w:spacing w:val="-1"/>
                <w:sz w:val="15"/>
              </w:rPr>
              <w:t> </w:t>
            </w:r>
            <w:r>
              <w:rPr>
                <w:color w:val="231F20"/>
                <w:sz w:val="15"/>
              </w:rPr>
              <w:t>and weakness</w:t>
            </w:r>
            <w:r>
              <w:rPr>
                <w:color w:val="231F20"/>
                <w:spacing w:val="-1"/>
                <w:sz w:val="15"/>
              </w:rPr>
              <w:t> </w:t>
            </w:r>
            <w:r>
              <w:rPr>
                <w:color w:val="231F20"/>
                <w:sz w:val="15"/>
              </w:rPr>
              <w:t>of</w:t>
            </w:r>
            <w:r>
              <w:rPr>
                <w:color w:val="231F20"/>
                <w:spacing w:val="-1"/>
                <w:sz w:val="15"/>
              </w:rPr>
              <w:t> </w:t>
            </w:r>
            <w:r>
              <w:rPr>
                <w:color w:val="231F20"/>
                <w:spacing w:val="-2"/>
                <w:sz w:val="15"/>
              </w:rPr>
              <w:t>distal</w:t>
            </w:r>
          </w:p>
          <w:p>
            <w:pPr>
              <w:pStyle w:val="TableParagraph"/>
              <w:tabs>
                <w:tab w:pos="2412" w:val="left" w:leader="none"/>
              </w:tabs>
              <w:spacing w:line="230" w:lineRule="auto" w:before="2"/>
              <w:ind w:left="2412" w:right="195" w:hanging="2340"/>
              <w:rPr>
                <w:sz w:val="15"/>
              </w:rPr>
            </w:pPr>
            <w:r>
              <w:rPr>
                <w:color w:val="231F20"/>
                <w:sz w:val="15"/>
              </w:rPr>
              <w:t>X1 (302800)</w:t>
              <w:tab/>
              <w:t>limb musculature, especially hands, more </w:t>
            </w:r>
            <w:r>
              <w:rPr>
                <w:color w:val="231F20"/>
                <w:spacing w:val="-2"/>
                <w:sz w:val="15"/>
              </w:rPr>
              <w:t>marked</w:t>
            </w:r>
            <w:r>
              <w:rPr>
                <w:color w:val="231F20"/>
                <w:spacing w:val="-8"/>
                <w:sz w:val="15"/>
              </w:rPr>
              <w:t> </w:t>
            </w:r>
            <w:r>
              <w:rPr>
                <w:color w:val="231F20"/>
                <w:spacing w:val="-2"/>
                <w:sz w:val="15"/>
              </w:rPr>
              <w:t>in</w:t>
            </w:r>
            <w:r>
              <w:rPr>
                <w:color w:val="231F20"/>
                <w:spacing w:val="-8"/>
                <w:sz w:val="15"/>
              </w:rPr>
              <w:t> </w:t>
            </w:r>
            <w:r>
              <w:rPr>
                <w:color w:val="231F20"/>
                <w:spacing w:val="-2"/>
                <w:sz w:val="15"/>
              </w:rPr>
              <w:t>affected</w:t>
            </w:r>
            <w:r>
              <w:rPr>
                <w:color w:val="231F20"/>
                <w:spacing w:val="-8"/>
                <w:sz w:val="15"/>
              </w:rPr>
              <w:t> </w:t>
            </w:r>
            <w:r>
              <w:rPr>
                <w:color w:val="231F20"/>
                <w:spacing w:val="-2"/>
                <w:sz w:val="15"/>
              </w:rPr>
              <w:t>males</w:t>
            </w:r>
            <w:r>
              <w:rPr>
                <w:color w:val="231F20"/>
                <w:spacing w:val="-8"/>
                <w:sz w:val="15"/>
              </w:rPr>
              <w:t> </w:t>
            </w:r>
            <w:r>
              <w:rPr>
                <w:color w:val="231F20"/>
                <w:spacing w:val="-2"/>
                <w:sz w:val="15"/>
              </w:rPr>
              <w:t>than</w:t>
            </w:r>
            <w:r>
              <w:rPr>
                <w:color w:val="231F20"/>
                <w:spacing w:val="-8"/>
                <w:sz w:val="15"/>
              </w:rPr>
              <w:t> </w:t>
            </w:r>
            <w:r>
              <w:rPr>
                <w:color w:val="231F20"/>
                <w:spacing w:val="-2"/>
                <w:sz w:val="15"/>
              </w:rPr>
              <w:t>carrier</w:t>
            </w:r>
            <w:r>
              <w:rPr>
                <w:color w:val="231F20"/>
                <w:spacing w:val="-8"/>
                <w:sz w:val="15"/>
              </w:rPr>
              <w:t> </w:t>
            </w:r>
            <w:r>
              <w:rPr>
                <w:color w:val="231F20"/>
                <w:spacing w:val="-2"/>
                <w:sz w:val="15"/>
              </w:rPr>
              <w:t>females</w:t>
            </w:r>
          </w:p>
          <w:p>
            <w:pPr>
              <w:pStyle w:val="TableParagraph"/>
              <w:tabs>
                <w:tab w:pos="2300" w:val="left" w:leader="none"/>
              </w:tabs>
              <w:spacing w:line="230" w:lineRule="auto" w:before="171"/>
              <w:ind w:left="2412" w:right="535" w:hanging="2340"/>
              <w:rPr>
                <w:sz w:val="15"/>
              </w:rPr>
            </w:pPr>
            <w:r>
              <w:rPr>
                <w:color w:val="231F20"/>
                <w:sz w:val="15"/>
              </w:rPr>
              <w:t>X2 (302801)</w:t>
              <w:tab/>
              <w:t>X-linked recessive. Rare infantile onset, </w:t>
            </w:r>
            <w:r>
              <w:rPr>
                <w:color w:val="231F20"/>
                <w:spacing w:val="-4"/>
                <w:sz w:val="15"/>
              </w:rPr>
              <w:t>intellectual disability, females very </w:t>
            </w:r>
            <w:r>
              <w:rPr>
                <w:color w:val="231F20"/>
                <w:spacing w:val="-4"/>
                <w:sz w:val="15"/>
              </w:rPr>
              <w:t>mildly </w:t>
            </w:r>
            <w:r>
              <w:rPr>
                <w:color w:val="231F20"/>
                <w:spacing w:val="-2"/>
                <w:sz w:val="15"/>
              </w:rPr>
              <w:t>affected</w:t>
            </w:r>
          </w:p>
          <w:p>
            <w:pPr>
              <w:pStyle w:val="TableParagraph"/>
              <w:tabs>
                <w:tab w:pos="2300" w:val="left" w:leader="none"/>
              </w:tabs>
              <w:spacing w:line="230" w:lineRule="auto" w:before="5"/>
              <w:ind w:left="2412" w:right="691" w:hanging="2340"/>
              <w:rPr>
                <w:sz w:val="15"/>
              </w:rPr>
            </w:pPr>
            <w:r>
              <w:rPr>
                <w:color w:val="231F20"/>
                <w:sz w:val="15"/>
              </w:rPr>
              <w:t>X3 (302802)</w:t>
              <w:tab/>
            </w:r>
            <w:r>
              <w:rPr>
                <w:color w:val="231F20"/>
                <w:spacing w:val="-2"/>
                <w:sz w:val="15"/>
              </w:rPr>
              <w:t>X-linked</w:t>
            </w:r>
            <w:r>
              <w:rPr>
                <w:color w:val="231F20"/>
                <w:spacing w:val="-8"/>
                <w:sz w:val="15"/>
              </w:rPr>
              <w:t> </w:t>
            </w:r>
            <w:r>
              <w:rPr>
                <w:color w:val="231F20"/>
                <w:spacing w:val="-2"/>
                <w:sz w:val="15"/>
              </w:rPr>
              <w:t>recessive.</w:t>
            </w:r>
            <w:r>
              <w:rPr>
                <w:color w:val="231F20"/>
                <w:spacing w:val="-8"/>
                <w:sz w:val="15"/>
              </w:rPr>
              <w:t> </w:t>
            </w:r>
            <w:r>
              <w:rPr>
                <w:rFonts w:ascii="Cambria" w:hAnsi="Cambria"/>
                <w:color w:val="231F20"/>
                <w:spacing w:val="-2"/>
                <w:sz w:val="15"/>
              </w:rPr>
              <w:t>±</w:t>
            </w:r>
            <w:r>
              <w:rPr>
                <w:rFonts w:ascii="Cambria" w:hAnsi="Cambria"/>
                <w:color w:val="231F20"/>
                <w:spacing w:val="4"/>
                <w:sz w:val="15"/>
              </w:rPr>
              <w:t> </w:t>
            </w:r>
            <w:r>
              <w:rPr>
                <w:color w:val="231F20"/>
                <w:spacing w:val="-2"/>
                <w:sz w:val="15"/>
              </w:rPr>
              <w:t>Spasticity.</w:t>
            </w:r>
            <w:r>
              <w:rPr>
                <w:color w:val="231F20"/>
                <w:spacing w:val="-8"/>
                <w:sz w:val="15"/>
              </w:rPr>
              <w:t> </w:t>
            </w:r>
            <w:r>
              <w:rPr>
                <w:color w:val="231F20"/>
                <w:spacing w:val="-2"/>
                <w:sz w:val="15"/>
              </w:rPr>
              <w:t>Females unaffected</w:t>
            </w:r>
          </w:p>
          <w:p>
            <w:pPr>
              <w:pStyle w:val="TableParagraph"/>
              <w:tabs>
                <w:tab w:pos="2300" w:val="left" w:leader="none"/>
              </w:tabs>
              <w:spacing w:line="230" w:lineRule="auto" w:before="3"/>
              <w:ind w:left="2412" w:right="226" w:hanging="2340"/>
              <w:rPr>
                <w:sz w:val="15"/>
              </w:rPr>
            </w:pPr>
            <w:r>
              <w:rPr>
                <w:color w:val="231F20"/>
                <w:sz w:val="15"/>
              </w:rPr>
              <w:t>X4 (310490)</w:t>
              <w:tab/>
              <w:t>X-linked (Cowchock syndrome). Severe neuropathy, females very mildly affected. Isolated case reports. Onset birth to early childhood.</w:t>
            </w:r>
            <w:r>
              <w:rPr>
                <w:color w:val="231F20"/>
                <w:spacing w:val="-3"/>
                <w:sz w:val="15"/>
              </w:rPr>
              <w:t> </w:t>
            </w:r>
            <w:r>
              <w:rPr>
                <w:color w:val="231F20"/>
                <w:sz w:val="15"/>
              </w:rPr>
              <w:t>Slowly</w:t>
            </w:r>
            <w:r>
              <w:rPr>
                <w:color w:val="231F20"/>
                <w:spacing w:val="-3"/>
                <w:sz w:val="15"/>
              </w:rPr>
              <w:t> </w:t>
            </w:r>
            <w:r>
              <w:rPr>
                <w:color w:val="231F20"/>
                <w:sz w:val="15"/>
              </w:rPr>
              <w:t>progressive.</w:t>
            </w:r>
            <w:r>
              <w:rPr>
                <w:color w:val="231F20"/>
                <w:spacing w:val="-3"/>
                <w:sz w:val="15"/>
              </w:rPr>
              <w:t> </w:t>
            </w:r>
            <w:r>
              <w:rPr>
                <w:color w:val="231F20"/>
                <w:sz w:val="15"/>
              </w:rPr>
              <w:t>Many</w:t>
            </w:r>
            <w:r>
              <w:rPr>
                <w:color w:val="231F20"/>
                <w:spacing w:val="-3"/>
                <w:sz w:val="15"/>
              </w:rPr>
              <w:t> </w:t>
            </w:r>
            <w:r>
              <w:rPr>
                <w:color w:val="231F20"/>
                <w:sz w:val="15"/>
              </w:rPr>
              <w:t>develop deafness by 5 yr. Mental retardation commonly seen. Occasional optic atrophy</w:t>
            </w:r>
          </w:p>
          <w:p>
            <w:pPr>
              <w:pStyle w:val="TableParagraph"/>
              <w:tabs>
                <w:tab w:pos="2300" w:val="left" w:leader="none"/>
              </w:tabs>
              <w:spacing w:line="230" w:lineRule="auto" w:before="6"/>
              <w:ind w:left="2412" w:right="715" w:hanging="2340"/>
              <w:rPr>
                <w:sz w:val="15"/>
              </w:rPr>
            </w:pPr>
            <w:r>
              <w:rPr>
                <w:color w:val="231F20"/>
                <w:sz w:val="15"/>
              </w:rPr>
              <w:t>X5 (311070)</w:t>
              <w:tab/>
              <w:t>X-linked.</w:t>
            </w:r>
            <w:r>
              <w:rPr>
                <w:color w:val="231F20"/>
                <w:spacing w:val="-12"/>
                <w:sz w:val="15"/>
              </w:rPr>
              <w:t> </w:t>
            </w:r>
            <w:r>
              <w:rPr>
                <w:color w:val="231F20"/>
                <w:sz w:val="15"/>
              </w:rPr>
              <w:t>Mild</w:t>
            </w:r>
            <w:r>
              <w:rPr>
                <w:color w:val="231F20"/>
                <w:spacing w:val="-11"/>
                <w:sz w:val="15"/>
              </w:rPr>
              <w:t> </w:t>
            </w:r>
            <w:r>
              <w:rPr>
                <w:color w:val="231F20"/>
                <w:sz w:val="15"/>
              </w:rPr>
              <w:t>to</w:t>
            </w:r>
            <w:r>
              <w:rPr>
                <w:color w:val="231F20"/>
                <w:spacing w:val="-11"/>
                <w:sz w:val="15"/>
              </w:rPr>
              <w:t> </w:t>
            </w:r>
            <w:r>
              <w:rPr>
                <w:color w:val="231F20"/>
                <w:sz w:val="15"/>
              </w:rPr>
              <w:t>moderate</w:t>
            </w:r>
            <w:r>
              <w:rPr>
                <w:color w:val="231F20"/>
                <w:spacing w:val="-12"/>
                <w:sz w:val="15"/>
              </w:rPr>
              <w:t> </w:t>
            </w:r>
            <w:r>
              <w:rPr>
                <w:color w:val="231F20"/>
                <w:sz w:val="15"/>
              </w:rPr>
              <w:t>neuropathy, deafness, optic atrophy. Allelic with Rosenberg-Chutorian (opticoacoustic neuropathy) and Arts syndromes</w:t>
            </w:r>
          </w:p>
          <w:p>
            <w:pPr>
              <w:pStyle w:val="TableParagraph"/>
              <w:tabs>
                <w:tab w:pos="2300" w:val="left" w:leader="none"/>
              </w:tabs>
              <w:spacing w:line="170" w:lineRule="exact"/>
              <w:ind w:left="73"/>
              <w:rPr>
                <w:sz w:val="15"/>
              </w:rPr>
            </w:pPr>
            <w:r>
              <w:rPr>
                <w:color w:val="231F20"/>
                <w:spacing w:val="-2"/>
                <w:sz w:val="15"/>
              </w:rPr>
              <w:t>Intermediate</w:t>
            </w:r>
            <w:r>
              <w:rPr>
                <w:color w:val="231F20"/>
                <w:spacing w:val="1"/>
                <w:sz w:val="15"/>
              </w:rPr>
              <w:t> </w:t>
            </w:r>
            <w:r>
              <w:rPr>
                <w:color w:val="231F20"/>
                <w:spacing w:val="-2"/>
                <w:sz w:val="15"/>
              </w:rPr>
              <w:t>forms</w:t>
            </w:r>
            <w:r>
              <w:rPr>
                <w:color w:val="231F20"/>
                <w:spacing w:val="1"/>
                <w:sz w:val="15"/>
              </w:rPr>
              <w:t> </w:t>
            </w:r>
            <w:r>
              <w:rPr>
                <w:color w:val="231F20"/>
                <w:spacing w:val="-2"/>
                <w:sz w:val="15"/>
              </w:rPr>
              <w:t>of</w:t>
            </w:r>
            <w:r>
              <w:rPr>
                <w:color w:val="231F20"/>
                <w:spacing w:val="1"/>
                <w:sz w:val="15"/>
              </w:rPr>
              <w:t> </w:t>
            </w:r>
            <w:r>
              <w:rPr>
                <w:color w:val="231F20"/>
                <w:spacing w:val="-5"/>
                <w:sz w:val="15"/>
              </w:rPr>
              <w:t>CMT</w:t>
            </w:r>
            <w:r>
              <w:rPr>
                <w:color w:val="231F20"/>
                <w:sz w:val="15"/>
              </w:rPr>
              <w:tab/>
            </w:r>
            <w:r>
              <w:rPr>
                <w:color w:val="231F20"/>
                <w:spacing w:val="-2"/>
                <w:sz w:val="15"/>
              </w:rPr>
              <w:t>Patients</w:t>
            </w:r>
            <w:r>
              <w:rPr>
                <w:color w:val="231F20"/>
                <w:spacing w:val="4"/>
                <w:sz w:val="15"/>
              </w:rPr>
              <w:t> </w:t>
            </w:r>
            <w:r>
              <w:rPr>
                <w:color w:val="231F20"/>
                <w:spacing w:val="-2"/>
                <w:sz w:val="15"/>
              </w:rPr>
              <w:t>have</w:t>
            </w:r>
            <w:r>
              <w:rPr>
                <w:color w:val="231F20"/>
                <w:spacing w:val="4"/>
                <w:sz w:val="15"/>
              </w:rPr>
              <w:t> </w:t>
            </w:r>
            <w:r>
              <w:rPr>
                <w:color w:val="231F20"/>
                <w:spacing w:val="-2"/>
                <w:sz w:val="15"/>
              </w:rPr>
              <w:t>neurophysiologic</w:t>
            </w:r>
            <w:r>
              <w:rPr>
                <w:color w:val="231F20"/>
                <w:spacing w:val="4"/>
                <w:sz w:val="15"/>
              </w:rPr>
              <w:t> </w:t>
            </w:r>
            <w:r>
              <w:rPr>
                <w:color w:val="231F20"/>
                <w:spacing w:val="-2"/>
                <w:sz w:val="15"/>
              </w:rPr>
              <w:t>results</w:t>
            </w:r>
            <w:r>
              <w:rPr>
                <w:color w:val="231F20"/>
                <w:spacing w:val="5"/>
                <w:sz w:val="15"/>
              </w:rPr>
              <w:t> </w:t>
            </w:r>
            <w:r>
              <w:rPr>
                <w:color w:val="231F20"/>
                <w:spacing w:val="-2"/>
                <w:sz w:val="15"/>
              </w:rPr>
              <w:t>that</w:t>
            </w:r>
            <w:r>
              <w:rPr>
                <w:color w:val="231F20"/>
                <w:spacing w:val="4"/>
                <w:sz w:val="15"/>
              </w:rPr>
              <w:t> </w:t>
            </w:r>
            <w:r>
              <w:rPr>
                <w:color w:val="231F20"/>
                <w:spacing w:val="-4"/>
                <w:sz w:val="15"/>
              </w:rPr>
              <w:t>fall</w:t>
            </w:r>
          </w:p>
          <w:p>
            <w:pPr>
              <w:pStyle w:val="TableParagraph"/>
              <w:spacing w:line="171" w:lineRule="exact"/>
              <w:ind w:left="2412"/>
              <w:rPr>
                <w:sz w:val="15"/>
              </w:rPr>
            </w:pPr>
            <w:r>
              <w:rPr>
                <w:color w:val="231F20"/>
                <w:sz w:val="15"/>
              </w:rPr>
              <w:t>between</w:t>
            </w:r>
            <w:r>
              <w:rPr>
                <w:color w:val="231F20"/>
                <w:spacing w:val="-4"/>
                <w:sz w:val="15"/>
              </w:rPr>
              <w:t> </w:t>
            </w:r>
            <w:r>
              <w:rPr>
                <w:color w:val="231F20"/>
                <w:sz w:val="15"/>
              </w:rPr>
              <w:t>axonal</w:t>
            </w:r>
            <w:r>
              <w:rPr>
                <w:color w:val="231F20"/>
                <w:spacing w:val="-3"/>
                <w:sz w:val="15"/>
              </w:rPr>
              <w:t> </w:t>
            </w:r>
            <w:r>
              <w:rPr>
                <w:color w:val="231F20"/>
                <w:sz w:val="15"/>
              </w:rPr>
              <w:t>and</w:t>
            </w:r>
            <w:r>
              <w:rPr>
                <w:color w:val="231F20"/>
                <w:spacing w:val="-3"/>
                <w:sz w:val="15"/>
              </w:rPr>
              <w:t> </w:t>
            </w:r>
            <w:r>
              <w:rPr>
                <w:color w:val="231F20"/>
                <w:sz w:val="15"/>
              </w:rPr>
              <w:t>demyelinating</w:t>
            </w:r>
            <w:r>
              <w:rPr>
                <w:color w:val="231F20"/>
                <w:spacing w:val="-3"/>
                <w:sz w:val="15"/>
              </w:rPr>
              <w:t> </w:t>
            </w:r>
            <w:r>
              <w:rPr>
                <w:color w:val="231F20"/>
                <w:spacing w:val="-2"/>
                <w:sz w:val="15"/>
              </w:rPr>
              <w:t>ranges</w:t>
            </w:r>
          </w:p>
        </w:tc>
        <w:tc>
          <w:tcPr>
            <w:tcW w:w="2592"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65" w:right="197" w:hanging="112"/>
              <w:rPr>
                <w:sz w:val="15"/>
              </w:rPr>
            </w:pPr>
            <w:r>
              <w:rPr>
                <w:color w:val="231F20"/>
                <w:sz w:val="15"/>
              </w:rPr>
              <w:t>Median nerve motor conduction </w:t>
            </w:r>
            <w:r>
              <w:rPr>
                <w:color w:val="231F20"/>
                <w:spacing w:val="-2"/>
                <w:sz w:val="15"/>
              </w:rPr>
              <w:t>studies</w:t>
            </w:r>
            <w:r>
              <w:rPr>
                <w:color w:val="231F20"/>
                <w:spacing w:val="-10"/>
                <w:sz w:val="15"/>
              </w:rPr>
              <w:t> </w:t>
            </w:r>
            <w:r>
              <w:rPr>
                <w:rFonts w:ascii="Cambria"/>
                <w:color w:val="231F20"/>
                <w:spacing w:val="-2"/>
                <w:sz w:val="15"/>
              </w:rPr>
              <w:t>&lt;</w:t>
            </w:r>
            <w:r>
              <w:rPr>
                <w:color w:val="231F20"/>
                <w:spacing w:val="-2"/>
                <w:sz w:val="15"/>
              </w:rPr>
              <w:t>40</w:t>
            </w:r>
            <w:r>
              <w:rPr>
                <w:color w:val="231F20"/>
                <w:spacing w:val="-9"/>
                <w:sz w:val="15"/>
              </w:rPr>
              <w:t> </w:t>
            </w:r>
            <w:r>
              <w:rPr>
                <w:color w:val="231F20"/>
                <w:spacing w:val="-2"/>
                <w:sz w:val="15"/>
              </w:rPr>
              <w:t>m/s</w:t>
            </w:r>
            <w:r>
              <w:rPr>
                <w:color w:val="231F20"/>
                <w:spacing w:val="-9"/>
                <w:sz w:val="15"/>
              </w:rPr>
              <w:t> </w:t>
            </w:r>
            <w:r>
              <w:rPr>
                <w:color w:val="231F20"/>
                <w:spacing w:val="-2"/>
                <w:sz w:val="15"/>
              </w:rPr>
              <w:t>(but</w:t>
            </w:r>
            <w:r>
              <w:rPr>
                <w:color w:val="231F20"/>
                <w:spacing w:val="-10"/>
                <w:sz w:val="15"/>
              </w:rPr>
              <w:t> </w:t>
            </w:r>
            <w:r>
              <w:rPr>
                <w:color w:val="231F20"/>
                <w:spacing w:val="-2"/>
                <w:sz w:val="15"/>
              </w:rPr>
              <w:t>faster</w:t>
            </w:r>
            <w:r>
              <w:rPr>
                <w:color w:val="231F20"/>
                <w:spacing w:val="-9"/>
                <w:sz w:val="15"/>
              </w:rPr>
              <w:t> </w:t>
            </w:r>
            <w:r>
              <w:rPr>
                <w:color w:val="231F20"/>
                <w:spacing w:val="-2"/>
                <w:sz w:val="15"/>
              </w:rPr>
              <w:t>than </w:t>
            </w:r>
            <w:r>
              <w:rPr>
                <w:color w:val="231F20"/>
                <w:sz w:val="15"/>
              </w:rPr>
              <w:t>CMT1A). Intermediate slowing less uniform along nerves with dispersion more pronounced</w:t>
            </w:r>
          </w:p>
          <w:p>
            <w:pPr>
              <w:pStyle w:val="TableParagraph"/>
              <w:spacing w:line="172" w:lineRule="exact"/>
              <w:ind w:left="152"/>
              <w:rPr>
                <w:sz w:val="15"/>
              </w:rPr>
            </w:pPr>
            <w:r>
              <w:rPr>
                <w:color w:val="231F20"/>
                <w:sz w:val="15"/>
              </w:rPr>
              <w:t>Mixed</w:t>
            </w:r>
            <w:r>
              <w:rPr>
                <w:color w:val="231F20"/>
                <w:spacing w:val="24"/>
                <w:sz w:val="15"/>
              </w:rPr>
              <w:t> </w:t>
            </w:r>
            <w:r>
              <w:rPr>
                <w:color w:val="231F20"/>
                <w:spacing w:val="-2"/>
                <w:sz w:val="15"/>
              </w:rPr>
              <w:t>demyelinating/axonal</w:t>
            </w:r>
          </w:p>
          <w:p>
            <w:pPr>
              <w:pStyle w:val="TableParagraph"/>
              <w:spacing w:before="157"/>
              <w:rPr>
                <w:i/>
                <w:sz w:val="15"/>
              </w:rPr>
            </w:pPr>
          </w:p>
          <w:p>
            <w:pPr>
              <w:pStyle w:val="TableParagraph"/>
              <w:ind w:left="152"/>
              <w:rPr>
                <w:sz w:val="15"/>
              </w:rPr>
            </w:pPr>
            <w:r>
              <w:rPr>
                <w:color w:val="231F20"/>
                <w:sz w:val="15"/>
              </w:rPr>
              <w:t>Mixed</w:t>
            </w:r>
            <w:r>
              <w:rPr>
                <w:color w:val="231F20"/>
                <w:spacing w:val="24"/>
                <w:sz w:val="15"/>
              </w:rPr>
              <w:t> </w:t>
            </w:r>
            <w:r>
              <w:rPr>
                <w:color w:val="231F20"/>
                <w:spacing w:val="-2"/>
                <w:sz w:val="15"/>
              </w:rPr>
              <w:t>demyelinating/axonal</w:t>
            </w:r>
          </w:p>
          <w:p>
            <w:pPr>
              <w:pStyle w:val="TableParagraph"/>
              <w:spacing w:line="230" w:lineRule="auto" w:before="171"/>
              <w:ind w:left="264" w:right="253" w:hanging="112"/>
              <w:rPr>
                <w:sz w:val="15"/>
              </w:rPr>
            </w:pPr>
            <w:r>
              <w:rPr>
                <w:color w:val="231F20"/>
                <w:sz w:val="15"/>
              </w:rPr>
              <w:t>Axonal neuropathy. Motor conduction velocities: mild </w:t>
            </w:r>
            <w:r>
              <w:rPr>
                <w:color w:val="231F20"/>
                <w:spacing w:val="-2"/>
                <w:sz w:val="15"/>
              </w:rPr>
              <w:t>delay</w:t>
            </w:r>
            <w:r>
              <w:rPr>
                <w:color w:val="231F20"/>
                <w:spacing w:val="-10"/>
                <w:sz w:val="15"/>
              </w:rPr>
              <w:t> </w:t>
            </w:r>
            <w:r>
              <w:rPr>
                <w:color w:val="231F20"/>
                <w:spacing w:val="-2"/>
                <w:sz w:val="15"/>
              </w:rPr>
              <w:t>(33-56</w:t>
            </w:r>
            <w:r>
              <w:rPr>
                <w:color w:val="231F20"/>
                <w:spacing w:val="-9"/>
                <w:sz w:val="15"/>
              </w:rPr>
              <w:t> </w:t>
            </w:r>
            <w:r>
              <w:rPr>
                <w:color w:val="231F20"/>
                <w:spacing w:val="-2"/>
                <w:sz w:val="15"/>
              </w:rPr>
              <w:t>m/s).</w:t>
            </w:r>
            <w:r>
              <w:rPr>
                <w:color w:val="231F20"/>
                <w:spacing w:val="-9"/>
                <w:sz w:val="15"/>
              </w:rPr>
              <w:t> </w:t>
            </w:r>
            <w:r>
              <w:rPr>
                <w:color w:val="231F20"/>
                <w:spacing w:val="-2"/>
                <w:sz w:val="15"/>
              </w:rPr>
              <w:t>Sensory</w:t>
            </w:r>
            <w:r>
              <w:rPr>
                <w:color w:val="231F20"/>
                <w:spacing w:val="-10"/>
                <w:sz w:val="15"/>
              </w:rPr>
              <w:t> </w:t>
            </w:r>
            <w:r>
              <w:rPr>
                <w:color w:val="231F20"/>
                <w:spacing w:val="-2"/>
                <w:sz w:val="15"/>
              </w:rPr>
              <w:t>very </w:t>
            </w:r>
            <w:r>
              <w:rPr>
                <w:color w:val="231F20"/>
                <w:sz w:val="15"/>
              </w:rPr>
              <w:t>abnormal. EMG: denervation, large</w:t>
            </w:r>
            <w:r>
              <w:rPr>
                <w:color w:val="231F20"/>
                <w:spacing w:val="-12"/>
                <w:sz w:val="15"/>
              </w:rPr>
              <w:t> </w:t>
            </w:r>
            <w:r>
              <w:rPr>
                <w:color w:val="231F20"/>
                <w:sz w:val="15"/>
              </w:rPr>
              <w:t>motor</w:t>
            </w:r>
            <w:r>
              <w:rPr>
                <w:color w:val="231F20"/>
                <w:spacing w:val="-11"/>
                <w:sz w:val="15"/>
              </w:rPr>
              <w:t> </w:t>
            </w:r>
            <w:r>
              <w:rPr>
                <w:color w:val="231F20"/>
                <w:sz w:val="15"/>
              </w:rPr>
              <w:t>unit</w:t>
            </w:r>
            <w:r>
              <w:rPr>
                <w:color w:val="231F20"/>
                <w:spacing w:val="-11"/>
                <w:sz w:val="15"/>
              </w:rPr>
              <w:t> </w:t>
            </w:r>
            <w:r>
              <w:rPr>
                <w:color w:val="231F20"/>
                <w:sz w:val="15"/>
              </w:rPr>
              <w:t>potential,</w:t>
            </w:r>
            <w:r>
              <w:rPr>
                <w:color w:val="231F20"/>
                <w:spacing w:val="-12"/>
                <w:sz w:val="15"/>
              </w:rPr>
              <w:t> </w:t>
            </w:r>
            <w:r>
              <w:rPr>
                <w:color w:val="231F20"/>
                <w:sz w:val="15"/>
              </w:rPr>
              <w:t>and </w:t>
            </w:r>
            <w:r>
              <w:rPr>
                <w:color w:val="231F20"/>
                <w:spacing w:val="-2"/>
                <w:sz w:val="15"/>
              </w:rPr>
              <w:t>fasciculation</w:t>
            </w:r>
          </w:p>
          <w:p>
            <w:pPr>
              <w:pStyle w:val="TableParagraph"/>
              <w:spacing w:line="230" w:lineRule="auto" w:before="6"/>
              <w:ind w:left="264" w:hanging="112"/>
              <w:rPr>
                <w:sz w:val="15"/>
              </w:rPr>
            </w:pPr>
            <w:r>
              <w:rPr>
                <w:color w:val="231F20"/>
                <w:sz w:val="15"/>
              </w:rPr>
              <w:t>Axonal neuropathy–mild demyelinating</w:t>
            </w:r>
            <w:r>
              <w:rPr>
                <w:color w:val="231F20"/>
                <w:spacing w:val="-9"/>
                <w:sz w:val="15"/>
              </w:rPr>
              <w:t> </w:t>
            </w:r>
            <w:r>
              <w:rPr>
                <w:color w:val="231F20"/>
                <w:spacing w:val="-2"/>
                <w:sz w:val="15"/>
              </w:rPr>
              <w:t>changes</w:t>
            </w:r>
          </w:p>
          <w:p>
            <w:pPr>
              <w:pStyle w:val="TableParagraph"/>
              <w:spacing w:before="144"/>
              <w:rPr>
                <w:i/>
                <w:sz w:val="15"/>
              </w:rPr>
            </w:pPr>
          </w:p>
          <w:p>
            <w:pPr>
              <w:pStyle w:val="TableParagraph"/>
              <w:spacing w:line="168" w:lineRule="exact"/>
              <w:ind w:left="264" w:right="197" w:hanging="112"/>
              <w:rPr>
                <w:sz w:val="15"/>
              </w:rPr>
            </w:pPr>
            <w:r>
              <w:rPr>
                <w:color w:val="231F20"/>
                <w:spacing w:val="-2"/>
                <w:sz w:val="15"/>
              </w:rPr>
              <w:t>“Intermediate</w:t>
            </w:r>
            <w:r>
              <w:rPr>
                <w:color w:val="231F20"/>
                <w:spacing w:val="-6"/>
                <w:sz w:val="15"/>
              </w:rPr>
              <w:t> </w:t>
            </w:r>
            <w:r>
              <w:rPr>
                <w:color w:val="231F20"/>
                <w:spacing w:val="-2"/>
                <w:sz w:val="15"/>
              </w:rPr>
              <w:t>values”</w:t>
            </w:r>
            <w:r>
              <w:rPr>
                <w:color w:val="231F20"/>
                <w:spacing w:val="-6"/>
                <w:sz w:val="15"/>
              </w:rPr>
              <w:t> </w:t>
            </w:r>
            <w:r>
              <w:rPr>
                <w:color w:val="231F20"/>
                <w:spacing w:val="-2"/>
                <w:sz w:val="15"/>
              </w:rPr>
              <w:t>30-40</w:t>
            </w:r>
            <w:r>
              <w:rPr>
                <w:color w:val="231F20"/>
                <w:spacing w:val="-6"/>
                <w:sz w:val="15"/>
              </w:rPr>
              <w:t> </w:t>
            </w:r>
            <w:r>
              <w:rPr>
                <w:color w:val="231F20"/>
                <w:spacing w:val="-2"/>
                <w:sz w:val="15"/>
              </w:rPr>
              <w:t>m/s– </w:t>
            </w:r>
            <w:r>
              <w:rPr>
                <w:color w:val="231F20"/>
                <w:sz w:val="15"/>
              </w:rPr>
              <w:t>most accurate from median motor</w:t>
            </w:r>
            <w:r>
              <w:rPr>
                <w:color w:val="231F20"/>
                <w:spacing w:val="-11"/>
                <w:sz w:val="15"/>
              </w:rPr>
              <w:t> </w:t>
            </w:r>
            <w:r>
              <w:rPr>
                <w:color w:val="231F20"/>
                <w:sz w:val="15"/>
              </w:rPr>
              <w:t>nerves.</w:t>
            </w:r>
            <w:r>
              <w:rPr>
                <w:color w:val="231F20"/>
                <w:spacing w:val="-11"/>
                <w:sz w:val="15"/>
              </w:rPr>
              <w:t> </w:t>
            </w:r>
            <w:r>
              <w:rPr>
                <w:color w:val="231F20"/>
                <w:sz w:val="15"/>
              </w:rPr>
              <w:t>Some</w:t>
            </w:r>
            <w:r>
              <w:rPr>
                <w:color w:val="231F20"/>
                <w:spacing w:val="-11"/>
                <w:sz w:val="15"/>
              </w:rPr>
              <w:t> </w:t>
            </w:r>
            <w:r>
              <w:rPr>
                <w:color w:val="231F20"/>
                <w:sz w:val="15"/>
              </w:rPr>
              <w:t>forms</w:t>
            </w:r>
            <w:r>
              <w:rPr>
                <w:color w:val="231F20"/>
                <w:spacing w:val="-11"/>
                <w:sz w:val="15"/>
              </w:rPr>
              <w:t> </w:t>
            </w:r>
            <w:r>
              <w:rPr>
                <w:color w:val="231F20"/>
                <w:sz w:val="15"/>
              </w:rPr>
              <w:t>have normal nerve conduction studies (DI-CMTB)</w:t>
            </w:r>
          </w:p>
        </w:tc>
        <w:tc>
          <w:tcPr>
            <w:tcW w:w="1485" w:type="dxa"/>
            <w:tcBorders>
              <w:top w:val="single" w:sz="4" w:space="0" w:color="FFFFFF"/>
            </w:tcBorders>
            <w:shd w:val="clear" w:color="auto" w:fill="E8F5F1"/>
          </w:tcPr>
          <w:p>
            <w:pPr>
              <w:pStyle w:val="TableParagraph"/>
              <w:spacing w:before="38"/>
              <w:rPr>
                <w:i/>
                <w:sz w:val="15"/>
              </w:rPr>
            </w:pPr>
          </w:p>
          <w:p>
            <w:pPr>
              <w:pStyle w:val="TableParagraph"/>
              <w:ind w:left="152"/>
              <w:rPr>
                <w:i/>
                <w:sz w:val="15"/>
              </w:rPr>
            </w:pPr>
            <w:r>
              <w:rPr>
                <w:i/>
                <w:color w:val="231F20"/>
                <w:spacing w:val="-4"/>
                <w:w w:val="105"/>
                <w:sz w:val="15"/>
              </w:rPr>
              <w:t>GJB1</w:t>
            </w:r>
          </w:p>
          <w:p>
            <w:pPr>
              <w:pStyle w:val="TableParagraph"/>
              <w:rPr>
                <w:i/>
                <w:sz w:val="15"/>
              </w:rPr>
            </w:pPr>
          </w:p>
          <w:p>
            <w:pPr>
              <w:pStyle w:val="TableParagraph"/>
              <w:rPr>
                <w:i/>
                <w:sz w:val="15"/>
              </w:rPr>
            </w:pPr>
          </w:p>
          <w:p>
            <w:pPr>
              <w:pStyle w:val="TableParagraph"/>
              <w:spacing w:before="144"/>
              <w:rPr>
                <w:i/>
                <w:sz w:val="15"/>
              </w:rPr>
            </w:pPr>
          </w:p>
          <w:p>
            <w:pPr>
              <w:pStyle w:val="TableParagraph"/>
              <w:spacing w:before="1"/>
              <w:ind w:left="152"/>
              <w:rPr>
                <w:sz w:val="15"/>
              </w:rPr>
            </w:pPr>
            <w:r>
              <w:rPr>
                <w:color w:val="231F20"/>
                <w:spacing w:val="-2"/>
                <w:sz w:val="15"/>
              </w:rPr>
              <w:t>Xp22.2</w:t>
            </w:r>
          </w:p>
          <w:p>
            <w:pPr>
              <w:pStyle w:val="TableParagraph"/>
              <w:spacing w:before="156"/>
              <w:rPr>
                <w:i/>
                <w:sz w:val="15"/>
              </w:rPr>
            </w:pPr>
          </w:p>
          <w:p>
            <w:pPr>
              <w:pStyle w:val="TableParagraph"/>
              <w:spacing w:line="468" w:lineRule="auto" w:before="1"/>
              <w:ind w:left="151" w:right="376"/>
              <w:rPr>
                <w:sz w:val="15"/>
              </w:rPr>
            </w:pPr>
            <w:r>
              <w:rPr>
                <w:color w:val="231F20"/>
                <w:spacing w:val="-4"/>
                <w:w w:val="105"/>
                <w:sz w:val="15"/>
              </w:rPr>
              <w:t>Xq26 </w:t>
            </w:r>
            <w:r>
              <w:rPr>
                <w:color w:val="231F20"/>
                <w:spacing w:val="-2"/>
                <w:sz w:val="15"/>
              </w:rPr>
              <w:t>Xq24–26.1</w:t>
            </w:r>
          </w:p>
          <w:p>
            <w:pPr>
              <w:pStyle w:val="TableParagraph"/>
              <w:rPr>
                <w:i/>
                <w:sz w:val="15"/>
              </w:rPr>
            </w:pPr>
          </w:p>
          <w:p>
            <w:pPr>
              <w:pStyle w:val="TableParagraph"/>
              <w:rPr>
                <w:i/>
                <w:sz w:val="15"/>
              </w:rPr>
            </w:pPr>
          </w:p>
          <w:p>
            <w:pPr>
              <w:pStyle w:val="TableParagraph"/>
              <w:spacing w:before="146"/>
              <w:rPr>
                <w:i/>
                <w:sz w:val="15"/>
              </w:rPr>
            </w:pPr>
          </w:p>
          <w:p>
            <w:pPr>
              <w:pStyle w:val="TableParagraph"/>
              <w:spacing w:line="171" w:lineRule="exact" w:before="1"/>
              <w:ind w:left="151"/>
              <w:rPr>
                <w:sz w:val="15"/>
              </w:rPr>
            </w:pPr>
            <w:r>
              <w:rPr>
                <w:color w:val="231F20"/>
                <w:spacing w:val="-2"/>
                <w:sz w:val="15"/>
              </w:rPr>
              <w:t>Xq21.32–q24</w:t>
            </w:r>
          </w:p>
          <w:p>
            <w:pPr>
              <w:pStyle w:val="TableParagraph"/>
              <w:spacing w:line="171" w:lineRule="exact"/>
              <w:ind w:left="151"/>
              <w:rPr>
                <w:i/>
                <w:sz w:val="15"/>
              </w:rPr>
            </w:pPr>
            <w:r>
              <w:rPr>
                <w:i/>
                <w:color w:val="231F20"/>
                <w:spacing w:val="-2"/>
                <w:w w:val="105"/>
                <w:sz w:val="15"/>
              </w:rPr>
              <w:t>PRPS1</w:t>
            </w:r>
          </w:p>
        </w:tc>
      </w:tr>
      <w:tr>
        <w:trPr>
          <w:trHeight w:val="164" w:hRule="atLeast"/>
        </w:trPr>
        <w:tc>
          <w:tcPr>
            <w:tcW w:w="2056" w:type="dxa"/>
            <w:vMerge w:val="restart"/>
            <w:tcBorders>
              <w:bottom w:val="single" w:sz="4" w:space="0" w:color="FFFFFF"/>
            </w:tcBorders>
            <w:shd w:val="clear" w:color="auto" w:fill="E8F5F1"/>
          </w:tcPr>
          <w:p>
            <w:pPr>
              <w:pStyle w:val="TableParagraph"/>
              <w:spacing w:line="167" w:lineRule="exact"/>
              <w:ind w:left="72"/>
              <w:rPr>
                <w:sz w:val="15"/>
              </w:rPr>
            </w:pPr>
            <w:r>
              <w:rPr>
                <w:color w:val="231F20"/>
                <w:w w:val="110"/>
                <w:sz w:val="15"/>
              </w:rPr>
              <w:t>DI-</w:t>
            </w:r>
            <w:r>
              <w:rPr>
                <w:color w:val="231F20"/>
                <w:spacing w:val="-4"/>
                <w:w w:val="110"/>
                <w:sz w:val="15"/>
              </w:rPr>
              <w:t>CMTA</w:t>
            </w:r>
          </w:p>
          <w:p>
            <w:pPr>
              <w:pStyle w:val="TableParagraph"/>
              <w:spacing w:line="169" w:lineRule="exact"/>
              <w:ind w:left="72"/>
              <w:rPr>
                <w:sz w:val="15"/>
              </w:rPr>
            </w:pPr>
            <w:r>
              <w:rPr>
                <w:color w:val="231F20"/>
                <w:spacing w:val="2"/>
                <w:sz w:val="15"/>
              </w:rPr>
              <w:t>DI-CMTB</w:t>
            </w:r>
            <w:r>
              <w:rPr>
                <w:color w:val="231F20"/>
                <w:spacing w:val="42"/>
                <w:sz w:val="15"/>
              </w:rPr>
              <w:t> </w:t>
            </w:r>
            <w:r>
              <w:rPr>
                <w:color w:val="231F20"/>
                <w:spacing w:val="-2"/>
                <w:sz w:val="15"/>
              </w:rPr>
              <w:t>(606482)</w:t>
            </w:r>
          </w:p>
          <w:p>
            <w:pPr>
              <w:pStyle w:val="TableParagraph"/>
              <w:spacing w:line="169" w:lineRule="exact"/>
              <w:ind w:left="72"/>
              <w:rPr>
                <w:sz w:val="15"/>
              </w:rPr>
            </w:pPr>
            <w:r>
              <w:rPr>
                <w:color w:val="231F20"/>
                <w:spacing w:val="4"/>
                <w:sz w:val="15"/>
              </w:rPr>
              <w:t>DI-CMTC</w:t>
            </w:r>
            <w:r>
              <w:rPr>
                <w:color w:val="231F20"/>
                <w:spacing w:val="34"/>
                <w:sz w:val="15"/>
              </w:rPr>
              <w:t> </w:t>
            </w:r>
            <w:r>
              <w:rPr>
                <w:color w:val="231F20"/>
                <w:spacing w:val="-2"/>
                <w:sz w:val="15"/>
              </w:rPr>
              <w:t>(608323)</w:t>
            </w:r>
          </w:p>
          <w:p>
            <w:pPr>
              <w:pStyle w:val="TableParagraph"/>
              <w:spacing w:line="169" w:lineRule="exact"/>
              <w:ind w:left="72"/>
              <w:rPr>
                <w:sz w:val="15"/>
              </w:rPr>
            </w:pPr>
            <w:r>
              <w:rPr>
                <w:color w:val="231F20"/>
                <w:w w:val="105"/>
                <w:sz w:val="15"/>
              </w:rPr>
              <w:t>DI-CMTD</w:t>
            </w:r>
            <w:r>
              <w:rPr>
                <w:color w:val="231F20"/>
                <w:spacing w:val="38"/>
                <w:w w:val="105"/>
                <w:sz w:val="15"/>
              </w:rPr>
              <w:t> </w:t>
            </w:r>
            <w:r>
              <w:rPr>
                <w:color w:val="231F20"/>
                <w:spacing w:val="-2"/>
                <w:w w:val="105"/>
                <w:sz w:val="15"/>
              </w:rPr>
              <w:t>(607791)</w:t>
            </w:r>
          </w:p>
          <w:p>
            <w:pPr>
              <w:pStyle w:val="TableParagraph"/>
              <w:spacing w:line="230" w:lineRule="auto" w:before="3"/>
              <w:ind w:left="184" w:hanging="112"/>
              <w:rPr>
                <w:sz w:val="15"/>
              </w:rPr>
            </w:pPr>
            <w:r>
              <w:rPr>
                <w:color w:val="231F20"/>
                <w:sz w:val="15"/>
              </w:rPr>
              <w:t>A–autosomal</w:t>
            </w:r>
            <w:r>
              <w:rPr>
                <w:color w:val="231F20"/>
                <w:spacing w:val="-11"/>
                <w:sz w:val="15"/>
              </w:rPr>
              <w:t> </w:t>
            </w:r>
            <w:r>
              <w:rPr>
                <w:color w:val="231F20"/>
                <w:sz w:val="15"/>
              </w:rPr>
              <w:t>recessive</w:t>
            </w:r>
            <w:r>
              <w:rPr>
                <w:color w:val="231F20"/>
                <w:spacing w:val="-11"/>
                <w:sz w:val="15"/>
              </w:rPr>
              <w:t> </w:t>
            </w:r>
            <w:r>
              <w:rPr>
                <w:color w:val="231F20"/>
                <w:sz w:val="15"/>
              </w:rPr>
              <w:t>form </w:t>
            </w:r>
            <w:r>
              <w:rPr>
                <w:color w:val="231F20"/>
                <w:spacing w:val="-2"/>
                <w:sz w:val="15"/>
              </w:rPr>
              <w:t>(608340)</w:t>
            </w:r>
          </w:p>
        </w:tc>
        <w:tc>
          <w:tcPr>
            <w:tcW w:w="3609" w:type="dxa"/>
            <w:vMerge w:val="restart"/>
            <w:tcBorders>
              <w:bottom w:val="single" w:sz="4" w:space="0" w:color="FFFFFF"/>
            </w:tcBorders>
            <w:shd w:val="clear" w:color="auto" w:fill="E8F5F1"/>
          </w:tcPr>
          <w:p>
            <w:pPr>
              <w:pStyle w:val="TableParagraph"/>
              <w:spacing w:line="232" w:lineRule="auto"/>
              <w:ind w:left="243" w:right="2288"/>
              <w:rPr>
                <w:sz w:val="15"/>
              </w:rPr>
            </w:pPr>
            <w:r>
              <w:rPr>
                <w:color w:val="231F20"/>
                <w:sz w:val="15"/>
              </w:rPr>
              <w:t>Italian family </w:t>
            </w:r>
            <w:r>
              <w:rPr>
                <w:color w:val="231F20"/>
                <w:spacing w:val="-2"/>
                <w:sz w:val="15"/>
              </w:rPr>
              <w:t>American</w:t>
            </w:r>
            <w:r>
              <w:rPr>
                <w:color w:val="231F20"/>
                <w:spacing w:val="-10"/>
                <w:sz w:val="15"/>
              </w:rPr>
              <w:t> </w:t>
            </w:r>
            <w:r>
              <w:rPr>
                <w:color w:val="231F20"/>
                <w:spacing w:val="-2"/>
                <w:sz w:val="15"/>
              </w:rPr>
              <w:t>family</w:t>
            </w:r>
          </w:p>
          <w:p>
            <w:pPr>
              <w:pStyle w:val="TableParagraph"/>
              <w:spacing w:line="232" w:lineRule="auto" w:before="170"/>
              <w:ind w:left="243" w:right="2052"/>
              <w:rPr>
                <w:sz w:val="15"/>
              </w:rPr>
            </w:pPr>
            <w:r>
              <w:rPr>
                <w:color w:val="231F20"/>
                <w:sz w:val="15"/>
              </w:rPr>
              <w:t>Myelin</w:t>
            </w:r>
            <w:r>
              <w:rPr>
                <w:color w:val="231F20"/>
                <w:spacing w:val="-12"/>
                <w:sz w:val="15"/>
              </w:rPr>
              <w:t> </w:t>
            </w:r>
            <w:r>
              <w:rPr>
                <w:color w:val="231F20"/>
                <w:sz w:val="15"/>
              </w:rPr>
              <w:t>protein</w:t>
            </w:r>
            <w:r>
              <w:rPr>
                <w:color w:val="231F20"/>
                <w:spacing w:val="-11"/>
                <w:sz w:val="15"/>
              </w:rPr>
              <w:t> </w:t>
            </w:r>
            <w:r>
              <w:rPr>
                <w:color w:val="231F20"/>
                <w:sz w:val="15"/>
              </w:rPr>
              <w:t>zero Overlap</w:t>
            </w:r>
            <w:r>
              <w:rPr>
                <w:color w:val="231F20"/>
                <w:spacing w:val="6"/>
                <w:sz w:val="15"/>
              </w:rPr>
              <w:t> </w:t>
            </w:r>
            <w:r>
              <w:rPr>
                <w:color w:val="231F20"/>
                <w:spacing w:val="-2"/>
                <w:sz w:val="15"/>
              </w:rPr>
              <w:t>conditions:</w:t>
            </w:r>
          </w:p>
          <w:p>
            <w:pPr>
              <w:pStyle w:val="TableParagraph"/>
              <w:spacing w:line="230" w:lineRule="auto" w:before="1"/>
              <w:ind w:left="355" w:right="126" w:hanging="112"/>
              <w:rPr>
                <w:sz w:val="15"/>
              </w:rPr>
            </w:pPr>
            <w:r>
              <w:rPr>
                <w:color w:val="231F20"/>
                <w:sz w:val="15"/>
              </w:rPr>
              <w:t>Recessive CMT with </w:t>
            </w:r>
            <w:r>
              <w:rPr>
                <w:i/>
                <w:color w:val="231F20"/>
                <w:sz w:val="15"/>
              </w:rPr>
              <w:t>GADP1 </w:t>
            </w:r>
            <w:r>
              <w:rPr>
                <w:color w:val="231F20"/>
                <w:sz w:val="15"/>
              </w:rPr>
              <w:t>mutations: </w:t>
            </w:r>
            <w:r>
              <w:rPr>
                <w:color w:val="231F20"/>
                <w:sz w:val="15"/>
              </w:rPr>
              <w:t>(CMT2K and 4A) Spanish and Tunisian family–severe childhood forms reported. Also called</w:t>
            </w:r>
          </w:p>
          <w:p>
            <w:pPr>
              <w:pStyle w:val="TableParagraph"/>
              <w:spacing w:line="230" w:lineRule="auto" w:before="2"/>
              <w:ind w:left="243" w:right="671" w:firstLine="111"/>
              <w:rPr>
                <w:sz w:val="15"/>
              </w:rPr>
            </w:pPr>
            <w:r>
              <w:rPr>
                <w:color w:val="231F20"/>
                <w:sz w:val="15"/>
              </w:rPr>
              <w:t>DI-CMTA autosomal recessive </w:t>
            </w:r>
            <w:r>
              <w:rPr>
                <w:color w:val="231F20"/>
                <w:sz w:val="15"/>
              </w:rPr>
              <w:t>form CMT with NF-L: (CMT1F and 2E)</w:t>
            </w:r>
          </w:p>
        </w:tc>
        <w:tc>
          <w:tcPr>
            <w:tcW w:w="2592" w:type="dxa"/>
            <w:vMerge w:val="restart"/>
            <w:tcBorders>
              <w:bottom w:val="single" w:sz="4" w:space="0" w:color="FFFFFF"/>
            </w:tcBorders>
            <w:shd w:val="clear" w:color="auto" w:fill="E8F5F1"/>
          </w:tcPr>
          <w:p>
            <w:pPr>
              <w:pStyle w:val="TableParagraph"/>
              <w:rPr>
                <w:rFonts w:ascii="Times New Roman"/>
                <w:sz w:val="14"/>
              </w:rPr>
            </w:pPr>
          </w:p>
        </w:tc>
        <w:tc>
          <w:tcPr>
            <w:tcW w:w="1485" w:type="dxa"/>
            <w:shd w:val="clear" w:color="auto" w:fill="E8F5F1"/>
          </w:tcPr>
          <w:p>
            <w:pPr>
              <w:pStyle w:val="TableParagraph"/>
              <w:spacing w:line="144" w:lineRule="exact"/>
              <w:ind w:left="151"/>
              <w:rPr>
                <w:sz w:val="15"/>
              </w:rPr>
            </w:pPr>
            <w:r>
              <w:rPr>
                <w:color w:val="231F20"/>
                <w:spacing w:val="-2"/>
                <w:sz w:val="15"/>
              </w:rPr>
              <w:t>10q24.1–q25.1</w:t>
            </w:r>
          </w:p>
        </w:tc>
      </w:tr>
      <w:tr>
        <w:trPr>
          <w:trHeight w:val="159"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shd w:val="clear" w:color="auto" w:fill="E8F5F1"/>
          </w:tcPr>
          <w:p>
            <w:pPr>
              <w:pStyle w:val="TableParagraph"/>
              <w:spacing w:line="139" w:lineRule="exact"/>
              <w:ind w:left="151"/>
              <w:rPr>
                <w:i/>
                <w:sz w:val="15"/>
              </w:rPr>
            </w:pPr>
            <w:r>
              <w:rPr>
                <w:i/>
                <w:color w:val="231F20"/>
                <w:spacing w:val="-4"/>
                <w:w w:val="115"/>
                <w:sz w:val="15"/>
              </w:rPr>
              <w:t>DNM2</w:t>
            </w:r>
          </w:p>
        </w:tc>
      </w:tr>
      <w:tr>
        <w:trPr>
          <w:trHeight w:val="159"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shd w:val="clear" w:color="auto" w:fill="E8F5F1"/>
          </w:tcPr>
          <w:p>
            <w:pPr>
              <w:pStyle w:val="TableParagraph"/>
              <w:spacing w:line="139" w:lineRule="exact"/>
              <w:ind w:left="151"/>
              <w:rPr>
                <w:i/>
                <w:sz w:val="15"/>
              </w:rPr>
            </w:pPr>
            <w:r>
              <w:rPr>
                <w:i/>
                <w:color w:val="231F20"/>
                <w:spacing w:val="-4"/>
                <w:w w:val="105"/>
                <w:sz w:val="15"/>
              </w:rPr>
              <w:t>YARS</w:t>
            </w:r>
          </w:p>
        </w:tc>
      </w:tr>
      <w:tr>
        <w:trPr>
          <w:trHeight w:val="159"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shd w:val="clear" w:color="auto" w:fill="E8F5F1"/>
          </w:tcPr>
          <w:p>
            <w:pPr>
              <w:pStyle w:val="TableParagraph"/>
              <w:spacing w:line="139" w:lineRule="exact"/>
              <w:ind w:left="151"/>
              <w:rPr>
                <w:i/>
                <w:sz w:val="15"/>
              </w:rPr>
            </w:pPr>
            <w:r>
              <w:rPr>
                <w:i/>
                <w:color w:val="231F20"/>
                <w:spacing w:val="-5"/>
                <w:w w:val="110"/>
                <w:sz w:val="15"/>
              </w:rPr>
              <w:t>MPZ</w:t>
            </w:r>
          </w:p>
        </w:tc>
      </w:tr>
      <w:tr>
        <w:trPr>
          <w:trHeight w:val="158"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shd w:val="clear" w:color="auto" w:fill="E8F5F1"/>
          </w:tcPr>
          <w:p>
            <w:pPr>
              <w:pStyle w:val="TableParagraph"/>
              <w:spacing w:line="139" w:lineRule="exact"/>
              <w:ind w:left="150"/>
              <w:rPr>
                <w:sz w:val="15"/>
              </w:rPr>
            </w:pPr>
            <w:r>
              <w:rPr>
                <w:color w:val="231F20"/>
                <w:spacing w:val="-2"/>
                <w:sz w:val="15"/>
              </w:rPr>
              <w:t>Overlap:</w:t>
            </w:r>
          </w:p>
        </w:tc>
      </w:tr>
      <w:tr>
        <w:trPr>
          <w:trHeight w:val="157"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shd w:val="clear" w:color="auto" w:fill="E8F5F1"/>
          </w:tcPr>
          <w:p>
            <w:pPr>
              <w:pStyle w:val="TableParagraph"/>
              <w:spacing w:line="138" w:lineRule="exact"/>
              <w:ind w:left="150"/>
              <w:rPr>
                <w:i/>
                <w:sz w:val="15"/>
              </w:rPr>
            </w:pPr>
            <w:r>
              <w:rPr>
                <w:i/>
                <w:color w:val="231F20"/>
                <w:spacing w:val="-4"/>
                <w:w w:val="105"/>
                <w:sz w:val="15"/>
              </w:rPr>
              <w:t>GJB1</w:t>
            </w:r>
          </w:p>
        </w:tc>
      </w:tr>
      <w:tr>
        <w:trPr>
          <w:trHeight w:val="157"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shd w:val="clear" w:color="auto" w:fill="E8F5F1"/>
          </w:tcPr>
          <w:p>
            <w:pPr>
              <w:pStyle w:val="TableParagraph"/>
              <w:spacing w:line="138" w:lineRule="exact"/>
              <w:ind w:left="150"/>
              <w:rPr>
                <w:i/>
                <w:sz w:val="15"/>
              </w:rPr>
            </w:pPr>
            <w:r>
              <w:rPr>
                <w:i/>
                <w:color w:val="231F20"/>
                <w:w w:val="105"/>
                <w:sz w:val="15"/>
              </w:rPr>
              <w:t>NF-</w:t>
            </w:r>
            <w:r>
              <w:rPr>
                <w:i/>
                <w:color w:val="231F20"/>
                <w:spacing w:val="-10"/>
                <w:w w:val="105"/>
                <w:sz w:val="15"/>
              </w:rPr>
              <w:t>L</w:t>
            </w:r>
          </w:p>
        </w:tc>
      </w:tr>
      <w:tr>
        <w:trPr>
          <w:trHeight w:val="536" w:hRule="atLeast"/>
        </w:trPr>
        <w:tc>
          <w:tcPr>
            <w:tcW w:w="2056" w:type="dxa"/>
            <w:vMerge/>
            <w:tcBorders>
              <w:top w:val="nil"/>
              <w:bottom w:val="single" w:sz="4" w:space="0" w:color="FFFFFF"/>
            </w:tcBorders>
            <w:shd w:val="clear" w:color="auto" w:fill="E8F5F1"/>
          </w:tcPr>
          <w:p>
            <w:pPr>
              <w:rPr>
                <w:sz w:val="2"/>
                <w:szCs w:val="2"/>
              </w:rPr>
            </w:pPr>
          </w:p>
        </w:tc>
        <w:tc>
          <w:tcPr>
            <w:tcW w:w="3609" w:type="dxa"/>
            <w:vMerge/>
            <w:tcBorders>
              <w:top w:val="nil"/>
              <w:bottom w:val="single" w:sz="4" w:space="0" w:color="FFFFFF"/>
            </w:tcBorders>
            <w:shd w:val="clear" w:color="auto" w:fill="E8F5F1"/>
          </w:tcPr>
          <w:p>
            <w:pPr>
              <w:rPr>
                <w:sz w:val="2"/>
                <w:szCs w:val="2"/>
              </w:rPr>
            </w:pPr>
          </w:p>
        </w:tc>
        <w:tc>
          <w:tcPr>
            <w:tcW w:w="2592" w:type="dxa"/>
            <w:vMerge/>
            <w:tcBorders>
              <w:top w:val="nil"/>
              <w:bottom w:val="single" w:sz="4" w:space="0" w:color="FFFFFF"/>
            </w:tcBorders>
            <w:shd w:val="clear" w:color="auto" w:fill="E8F5F1"/>
          </w:tcPr>
          <w:p>
            <w:pPr>
              <w:rPr>
                <w:sz w:val="2"/>
                <w:szCs w:val="2"/>
              </w:rPr>
            </w:pPr>
          </w:p>
        </w:tc>
        <w:tc>
          <w:tcPr>
            <w:tcW w:w="1485" w:type="dxa"/>
            <w:tcBorders>
              <w:bottom w:val="single" w:sz="4" w:space="0" w:color="FFFFFF"/>
            </w:tcBorders>
            <w:shd w:val="clear" w:color="auto" w:fill="E8F5F1"/>
          </w:tcPr>
          <w:p>
            <w:pPr>
              <w:pStyle w:val="TableParagraph"/>
              <w:spacing w:line="164" w:lineRule="exact"/>
              <w:ind w:left="150"/>
              <w:rPr>
                <w:i/>
                <w:sz w:val="15"/>
              </w:rPr>
            </w:pPr>
            <w:r>
              <w:rPr>
                <w:i/>
                <w:color w:val="231F20"/>
                <w:spacing w:val="-2"/>
                <w:w w:val="110"/>
                <w:sz w:val="15"/>
              </w:rPr>
              <w:t>GDAP1</w:t>
            </w:r>
          </w:p>
        </w:tc>
      </w:tr>
      <w:tr>
        <w:trPr>
          <w:trHeight w:val="1804" w:hRule="atLeast"/>
        </w:trPr>
        <w:tc>
          <w:tcPr>
            <w:tcW w:w="5665" w:type="dxa"/>
            <w:gridSpan w:val="2"/>
            <w:vMerge w:val="restart"/>
            <w:tcBorders>
              <w:top w:val="single" w:sz="4" w:space="0" w:color="FFFFFF"/>
              <w:bottom w:val="single" w:sz="8" w:space="0" w:color="231F20"/>
            </w:tcBorders>
            <w:shd w:val="clear" w:color="auto" w:fill="E8F5F1"/>
          </w:tcPr>
          <w:p>
            <w:pPr>
              <w:pStyle w:val="TableParagraph"/>
              <w:spacing w:line="172" w:lineRule="exact" w:before="43"/>
              <w:ind w:left="72"/>
              <w:rPr>
                <w:sz w:val="15"/>
              </w:rPr>
            </w:pPr>
            <w:r>
              <w:rPr>
                <w:color w:val="231F20"/>
                <w:w w:val="115"/>
                <w:sz w:val="15"/>
              </w:rPr>
              <w:t>OTHER</w:t>
            </w:r>
            <w:r>
              <w:rPr>
                <w:color w:val="231F20"/>
                <w:spacing w:val="4"/>
                <w:w w:val="115"/>
                <w:sz w:val="15"/>
              </w:rPr>
              <w:t> </w:t>
            </w:r>
            <w:r>
              <w:rPr>
                <w:color w:val="231F20"/>
                <w:w w:val="115"/>
                <w:sz w:val="15"/>
              </w:rPr>
              <w:t>HMSN</w:t>
            </w:r>
            <w:r>
              <w:rPr>
                <w:color w:val="231F20"/>
                <w:spacing w:val="5"/>
                <w:w w:val="115"/>
                <w:sz w:val="15"/>
              </w:rPr>
              <w:t> </w:t>
            </w:r>
            <w:r>
              <w:rPr>
                <w:color w:val="231F20"/>
                <w:w w:val="115"/>
                <w:sz w:val="15"/>
              </w:rPr>
              <w:t>AND</w:t>
            </w:r>
            <w:r>
              <w:rPr>
                <w:color w:val="231F20"/>
                <w:spacing w:val="5"/>
                <w:w w:val="115"/>
                <w:sz w:val="15"/>
              </w:rPr>
              <w:t> </w:t>
            </w:r>
            <w:r>
              <w:rPr>
                <w:color w:val="231F20"/>
                <w:w w:val="115"/>
                <w:sz w:val="15"/>
              </w:rPr>
              <w:t>HMN</w:t>
            </w:r>
            <w:r>
              <w:rPr>
                <w:color w:val="231F20"/>
                <w:spacing w:val="5"/>
                <w:w w:val="115"/>
                <w:sz w:val="15"/>
              </w:rPr>
              <w:t> </w:t>
            </w:r>
            <w:r>
              <w:rPr>
                <w:color w:val="231F20"/>
                <w:spacing w:val="-2"/>
                <w:w w:val="115"/>
                <w:sz w:val="15"/>
              </w:rPr>
              <w:t>SYNDROMES</w:t>
            </w:r>
          </w:p>
          <w:p>
            <w:pPr>
              <w:pStyle w:val="TableParagraph"/>
              <w:tabs>
                <w:tab w:pos="2299" w:val="left" w:leader="none"/>
                <w:tab w:pos="2411" w:val="left" w:leader="none"/>
              </w:tabs>
              <w:spacing w:line="230" w:lineRule="auto" w:before="3"/>
              <w:ind w:left="184" w:right="355" w:hanging="112"/>
              <w:rPr>
                <w:sz w:val="15"/>
              </w:rPr>
            </w:pPr>
            <w:r>
              <w:rPr>
                <w:color w:val="231F20"/>
                <w:sz w:val="15"/>
              </w:rPr>
              <w:t>HMSN V/spastic paraplegia</w:t>
              <w:tab/>
            </w:r>
            <w:r>
              <w:rPr>
                <w:color w:val="231F20"/>
                <w:spacing w:val="-2"/>
                <w:sz w:val="15"/>
              </w:rPr>
              <w:t>Variable</w:t>
            </w:r>
            <w:r>
              <w:rPr>
                <w:color w:val="231F20"/>
                <w:spacing w:val="-10"/>
                <w:sz w:val="15"/>
              </w:rPr>
              <w:t> </w:t>
            </w:r>
            <w:r>
              <w:rPr>
                <w:color w:val="231F20"/>
                <w:spacing w:val="-2"/>
                <w:sz w:val="15"/>
              </w:rPr>
              <w:t>inheritance.</w:t>
            </w:r>
            <w:r>
              <w:rPr>
                <w:color w:val="231F20"/>
                <w:spacing w:val="-9"/>
                <w:sz w:val="15"/>
              </w:rPr>
              <w:t> </w:t>
            </w:r>
            <w:r>
              <w:rPr>
                <w:color w:val="231F20"/>
                <w:spacing w:val="-2"/>
                <w:sz w:val="15"/>
              </w:rPr>
              <w:t>Spasticity</w:t>
            </w:r>
            <w:r>
              <w:rPr>
                <w:color w:val="231F20"/>
                <w:spacing w:val="-9"/>
                <w:sz w:val="15"/>
              </w:rPr>
              <w:t> </w:t>
            </w:r>
            <w:r>
              <w:rPr>
                <w:color w:val="231F20"/>
                <w:spacing w:val="-2"/>
                <w:sz w:val="15"/>
              </w:rPr>
              <w:t>in</w:t>
            </w:r>
            <w:r>
              <w:rPr>
                <w:color w:val="231F20"/>
                <w:spacing w:val="-10"/>
                <w:sz w:val="15"/>
              </w:rPr>
              <w:t> </w:t>
            </w:r>
            <w:r>
              <w:rPr>
                <w:color w:val="231F20"/>
                <w:spacing w:val="-2"/>
                <w:sz w:val="15"/>
              </w:rPr>
              <w:t>lower</w:t>
            </w:r>
            <w:r>
              <w:rPr>
                <w:color w:val="231F20"/>
                <w:spacing w:val="-9"/>
                <w:sz w:val="15"/>
              </w:rPr>
              <w:t> </w:t>
            </w:r>
            <w:r>
              <w:rPr>
                <w:color w:val="231F20"/>
                <w:spacing w:val="-2"/>
                <w:sz w:val="15"/>
              </w:rPr>
              <w:t>limbs </w:t>
            </w:r>
            <w:r>
              <w:rPr>
                <w:color w:val="231F20"/>
                <w:sz w:val="15"/>
              </w:rPr>
              <w:t>with HMSN type V/CMT5</w:t>
              <w:tab/>
              <w:tab/>
              <w:t>causing</w:t>
            </w:r>
            <w:r>
              <w:rPr>
                <w:color w:val="231F20"/>
                <w:spacing w:val="-4"/>
                <w:sz w:val="15"/>
              </w:rPr>
              <w:t> </w:t>
            </w:r>
            <w:r>
              <w:rPr>
                <w:color w:val="231F20"/>
                <w:sz w:val="15"/>
              </w:rPr>
              <w:t>difficulty</w:t>
            </w:r>
            <w:r>
              <w:rPr>
                <w:color w:val="231F20"/>
                <w:spacing w:val="-4"/>
                <w:sz w:val="15"/>
              </w:rPr>
              <w:t> </w:t>
            </w:r>
            <w:r>
              <w:rPr>
                <w:color w:val="231F20"/>
                <w:sz w:val="15"/>
              </w:rPr>
              <w:t>walking</w:t>
            </w:r>
            <w:r>
              <w:rPr>
                <w:color w:val="231F20"/>
                <w:spacing w:val="-4"/>
                <w:sz w:val="15"/>
              </w:rPr>
              <w:t> </w:t>
            </w:r>
            <w:r>
              <w:rPr>
                <w:color w:val="231F20"/>
                <w:sz w:val="15"/>
              </w:rPr>
              <w:t>and</w:t>
            </w:r>
            <w:r>
              <w:rPr>
                <w:color w:val="231F20"/>
                <w:spacing w:val="-4"/>
                <w:sz w:val="15"/>
              </w:rPr>
              <w:t> </w:t>
            </w:r>
            <w:r>
              <w:rPr>
                <w:color w:val="231F20"/>
                <w:sz w:val="15"/>
              </w:rPr>
              <w:t>toe</w:t>
            </w:r>
            <w:r>
              <w:rPr>
                <w:color w:val="231F20"/>
                <w:spacing w:val="-4"/>
                <w:sz w:val="15"/>
              </w:rPr>
              <w:t> </w:t>
            </w:r>
            <w:r>
              <w:rPr>
                <w:color w:val="231F20"/>
                <w:sz w:val="15"/>
              </w:rPr>
              <w:t>walking. (CMT with pyramidal signs)</w:t>
              <w:tab/>
              <w:tab/>
              <w:t>Autosomal recessive form associated with </w:t>
            </w:r>
            <w:r>
              <w:rPr>
                <w:color w:val="231F20"/>
                <w:spacing w:val="-2"/>
                <w:sz w:val="15"/>
              </w:rPr>
              <w:t>(600631)</w:t>
            </w:r>
            <w:r>
              <w:rPr>
                <w:color w:val="231F20"/>
                <w:sz w:val="15"/>
              </w:rPr>
              <w:tab/>
              <w:tab/>
              <w:t>mental retardation. Lower limb marked</w:t>
            </w:r>
          </w:p>
          <w:p>
            <w:pPr>
              <w:pStyle w:val="TableParagraph"/>
              <w:spacing w:line="230" w:lineRule="auto" w:before="3"/>
              <w:ind w:left="2411"/>
              <w:rPr>
                <w:sz w:val="15"/>
              </w:rPr>
            </w:pPr>
            <w:r>
              <w:rPr>
                <w:color w:val="231F20"/>
                <w:spacing w:val="-2"/>
                <w:sz w:val="15"/>
              </w:rPr>
              <w:t>spasticity</w:t>
            </w:r>
            <w:r>
              <w:rPr>
                <w:color w:val="231F20"/>
                <w:spacing w:val="-10"/>
                <w:sz w:val="15"/>
              </w:rPr>
              <w:t> </w:t>
            </w:r>
            <w:r>
              <w:rPr>
                <w:color w:val="231F20"/>
                <w:spacing w:val="-2"/>
                <w:sz w:val="15"/>
              </w:rPr>
              <w:t>with</w:t>
            </w:r>
            <w:r>
              <w:rPr>
                <w:color w:val="231F20"/>
                <w:spacing w:val="-9"/>
                <w:sz w:val="15"/>
              </w:rPr>
              <w:t> </w:t>
            </w:r>
            <w:r>
              <w:rPr>
                <w:color w:val="231F20"/>
                <w:spacing w:val="-2"/>
                <w:sz w:val="15"/>
              </w:rPr>
              <w:t>little</w:t>
            </w:r>
            <w:r>
              <w:rPr>
                <w:color w:val="231F20"/>
                <w:spacing w:val="-9"/>
                <w:sz w:val="15"/>
              </w:rPr>
              <w:t> </w:t>
            </w:r>
            <w:r>
              <w:rPr>
                <w:color w:val="231F20"/>
                <w:spacing w:val="-2"/>
                <w:sz w:val="15"/>
              </w:rPr>
              <w:t>weakness,</w:t>
            </w:r>
            <w:r>
              <w:rPr>
                <w:color w:val="231F20"/>
                <w:spacing w:val="-10"/>
                <w:sz w:val="15"/>
              </w:rPr>
              <w:t> </w:t>
            </w:r>
            <w:r>
              <w:rPr>
                <w:color w:val="231F20"/>
                <w:spacing w:val="-2"/>
                <w:sz w:val="15"/>
              </w:rPr>
              <w:t>increased</w:t>
            </w:r>
            <w:r>
              <w:rPr>
                <w:color w:val="231F20"/>
                <w:spacing w:val="-9"/>
                <w:sz w:val="15"/>
              </w:rPr>
              <w:t> </w:t>
            </w:r>
            <w:r>
              <w:rPr>
                <w:color w:val="231F20"/>
                <w:spacing w:val="-2"/>
                <w:sz w:val="15"/>
              </w:rPr>
              <w:t>DTRs, </w:t>
            </w:r>
            <w:r>
              <w:rPr>
                <w:color w:val="231F20"/>
                <w:sz w:val="15"/>
              </w:rPr>
              <w:t>extensor plantars, pes cavus, often distal amyotrophy. Expanding field with multiple subforms, n </w:t>
            </w:r>
            <w:r>
              <w:rPr>
                <w:rFonts w:ascii="Cambria"/>
                <w:color w:val="231F20"/>
                <w:sz w:val="15"/>
              </w:rPr>
              <w:t>=</w:t>
            </w:r>
            <w:r>
              <w:rPr>
                <w:rFonts w:ascii="Cambria"/>
                <w:color w:val="231F20"/>
                <w:spacing w:val="28"/>
                <w:sz w:val="15"/>
              </w:rPr>
              <w:t> </w:t>
            </w:r>
            <w:r>
              <w:rPr>
                <w:color w:val="231F20"/>
                <w:sz w:val="15"/>
              </w:rPr>
              <w:t>37. Not all associated with peripheral neuropathy</w:t>
            </w:r>
          </w:p>
          <w:p>
            <w:pPr>
              <w:pStyle w:val="TableParagraph"/>
              <w:spacing w:line="230" w:lineRule="auto" w:before="2"/>
              <w:ind w:left="2411" w:hanging="112"/>
              <w:rPr>
                <w:sz w:val="15"/>
              </w:rPr>
            </w:pPr>
            <w:r>
              <w:rPr>
                <w:color w:val="231F20"/>
                <w:sz w:val="15"/>
              </w:rPr>
              <w:t>CMT with pyramidal signs: part of HMSN V </w:t>
            </w:r>
            <w:r>
              <w:rPr>
                <w:color w:val="231F20"/>
                <w:sz w:val="15"/>
              </w:rPr>
              <w:t>but described without spasticity</w:t>
            </w:r>
          </w:p>
          <w:p>
            <w:pPr>
              <w:pStyle w:val="TableParagraph"/>
              <w:tabs>
                <w:tab w:pos="2299" w:val="left" w:leader="none"/>
              </w:tabs>
              <w:spacing w:line="168" w:lineRule="exact"/>
              <w:ind w:left="72"/>
              <w:rPr>
                <w:sz w:val="15"/>
              </w:rPr>
            </w:pPr>
            <w:r>
              <w:rPr>
                <w:color w:val="231F20"/>
                <w:sz w:val="15"/>
              </w:rPr>
              <w:t>HMSN</w:t>
            </w:r>
            <w:r>
              <w:rPr>
                <w:color w:val="231F20"/>
                <w:spacing w:val="5"/>
                <w:sz w:val="15"/>
              </w:rPr>
              <w:t> </w:t>
            </w:r>
            <w:r>
              <w:rPr>
                <w:color w:val="231F20"/>
                <w:sz w:val="15"/>
              </w:rPr>
              <w:t>VI</w:t>
            </w:r>
            <w:r>
              <w:rPr>
                <w:color w:val="231F20"/>
                <w:spacing w:val="5"/>
                <w:sz w:val="15"/>
              </w:rPr>
              <w:t> </w:t>
            </w:r>
            <w:r>
              <w:rPr>
                <w:color w:val="231F20"/>
                <w:sz w:val="15"/>
              </w:rPr>
              <w:t>(allelic</w:t>
            </w:r>
            <w:r>
              <w:rPr>
                <w:color w:val="231F20"/>
                <w:spacing w:val="6"/>
                <w:sz w:val="15"/>
              </w:rPr>
              <w:t> </w:t>
            </w:r>
            <w:r>
              <w:rPr>
                <w:color w:val="231F20"/>
                <w:spacing w:val="-2"/>
                <w:sz w:val="15"/>
              </w:rPr>
              <w:t>CMT2A)</w:t>
            </w:r>
            <w:r>
              <w:rPr>
                <w:color w:val="231F20"/>
                <w:sz w:val="15"/>
              </w:rPr>
              <w:tab/>
              <w:t>Visual</w:t>
            </w:r>
            <w:r>
              <w:rPr>
                <w:color w:val="231F20"/>
                <w:spacing w:val="-9"/>
                <w:sz w:val="15"/>
              </w:rPr>
              <w:t> </w:t>
            </w:r>
            <w:r>
              <w:rPr>
                <w:color w:val="231F20"/>
                <w:sz w:val="15"/>
              </w:rPr>
              <w:t>impairment</w:t>
            </w:r>
            <w:r>
              <w:rPr>
                <w:color w:val="231F20"/>
                <w:spacing w:val="-7"/>
                <w:sz w:val="15"/>
              </w:rPr>
              <w:t> </w:t>
            </w:r>
            <w:r>
              <w:rPr>
                <w:color w:val="231F20"/>
                <w:sz w:val="15"/>
              </w:rPr>
              <w:t>due</w:t>
            </w:r>
            <w:r>
              <w:rPr>
                <w:color w:val="231F20"/>
                <w:spacing w:val="-6"/>
                <w:sz w:val="15"/>
              </w:rPr>
              <w:t> </w:t>
            </w:r>
            <w:r>
              <w:rPr>
                <w:color w:val="231F20"/>
                <w:sz w:val="15"/>
              </w:rPr>
              <w:t>to</w:t>
            </w:r>
            <w:r>
              <w:rPr>
                <w:color w:val="231F20"/>
                <w:spacing w:val="-7"/>
                <w:sz w:val="15"/>
              </w:rPr>
              <w:t> </w:t>
            </w:r>
            <w:r>
              <w:rPr>
                <w:color w:val="231F20"/>
                <w:sz w:val="15"/>
              </w:rPr>
              <w:t>optic</w:t>
            </w:r>
            <w:r>
              <w:rPr>
                <w:color w:val="231F20"/>
                <w:spacing w:val="-6"/>
                <w:sz w:val="15"/>
              </w:rPr>
              <w:t> </w:t>
            </w:r>
            <w:r>
              <w:rPr>
                <w:color w:val="231F20"/>
                <w:spacing w:val="-2"/>
                <w:sz w:val="15"/>
              </w:rPr>
              <w:t>atrophy.</w:t>
            </w:r>
          </w:p>
          <w:p>
            <w:pPr>
              <w:pStyle w:val="TableParagraph"/>
              <w:spacing w:line="230" w:lineRule="auto" w:before="3"/>
              <w:ind w:left="2411"/>
              <w:rPr>
                <w:sz w:val="15"/>
              </w:rPr>
            </w:pPr>
            <w:r>
              <w:rPr>
                <w:color w:val="231F20"/>
                <w:sz w:val="15"/>
              </w:rPr>
              <w:t>Dominant</w:t>
            </w:r>
            <w:r>
              <w:rPr>
                <w:color w:val="231F20"/>
                <w:spacing w:val="-7"/>
                <w:sz w:val="15"/>
              </w:rPr>
              <w:t> </w:t>
            </w:r>
            <w:r>
              <w:rPr>
                <w:color w:val="231F20"/>
                <w:sz w:val="15"/>
              </w:rPr>
              <w:t>and</w:t>
            </w:r>
            <w:r>
              <w:rPr>
                <w:color w:val="231F20"/>
                <w:spacing w:val="-7"/>
                <w:sz w:val="15"/>
              </w:rPr>
              <w:t> </w:t>
            </w:r>
            <w:r>
              <w:rPr>
                <w:color w:val="231F20"/>
                <w:sz w:val="15"/>
              </w:rPr>
              <w:t>recessive</w:t>
            </w:r>
            <w:r>
              <w:rPr>
                <w:color w:val="231F20"/>
                <w:spacing w:val="-7"/>
                <w:sz w:val="15"/>
              </w:rPr>
              <w:t> </w:t>
            </w:r>
            <w:r>
              <w:rPr>
                <w:color w:val="231F20"/>
                <w:sz w:val="15"/>
              </w:rPr>
              <w:t>forms.</w:t>
            </w:r>
            <w:r>
              <w:rPr>
                <w:color w:val="231F20"/>
                <w:spacing w:val="-7"/>
                <w:sz w:val="15"/>
              </w:rPr>
              <w:t> </w:t>
            </w:r>
            <w:r>
              <w:rPr>
                <w:color w:val="231F20"/>
                <w:sz w:val="15"/>
              </w:rPr>
              <w:t>Onset</w:t>
            </w:r>
            <w:r>
              <w:rPr>
                <w:color w:val="231F20"/>
                <w:spacing w:val="-7"/>
                <w:sz w:val="15"/>
              </w:rPr>
              <w:t> </w:t>
            </w:r>
            <w:r>
              <w:rPr>
                <w:color w:val="231F20"/>
                <w:sz w:val="15"/>
              </w:rPr>
              <w:t>in</w:t>
            </w:r>
            <w:r>
              <w:rPr>
                <w:color w:val="231F20"/>
                <w:spacing w:val="-7"/>
                <w:sz w:val="15"/>
              </w:rPr>
              <w:t> </w:t>
            </w:r>
            <w:r>
              <w:rPr>
                <w:color w:val="231F20"/>
                <w:sz w:val="15"/>
              </w:rPr>
              <w:t>1st decade. Distal weakness, often proximal involvement</w:t>
            </w:r>
            <w:r>
              <w:rPr>
                <w:color w:val="231F20"/>
                <w:spacing w:val="-12"/>
                <w:sz w:val="15"/>
              </w:rPr>
              <w:t> </w:t>
            </w:r>
            <w:r>
              <w:rPr>
                <w:color w:val="231F20"/>
                <w:sz w:val="15"/>
              </w:rPr>
              <w:t>too.</w:t>
            </w:r>
            <w:r>
              <w:rPr>
                <w:color w:val="231F20"/>
                <w:spacing w:val="-11"/>
                <w:sz w:val="15"/>
              </w:rPr>
              <w:t> </w:t>
            </w:r>
            <w:r>
              <w:rPr>
                <w:color w:val="231F20"/>
                <w:sz w:val="15"/>
              </w:rPr>
              <w:t>Less</w:t>
            </w:r>
            <w:r>
              <w:rPr>
                <w:color w:val="231F20"/>
                <w:spacing w:val="-11"/>
                <w:sz w:val="15"/>
              </w:rPr>
              <w:t> </w:t>
            </w:r>
            <w:r>
              <w:rPr>
                <w:color w:val="231F20"/>
                <w:sz w:val="15"/>
              </w:rPr>
              <w:t>sensory</w:t>
            </w:r>
            <w:r>
              <w:rPr>
                <w:color w:val="231F20"/>
                <w:spacing w:val="-12"/>
                <w:sz w:val="15"/>
              </w:rPr>
              <w:t> </w:t>
            </w:r>
            <w:r>
              <w:rPr>
                <w:color w:val="231F20"/>
                <w:sz w:val="15"/>
              </w:rPr>
              <w:t>involvement. </w:t>
            </w:r>
            <w:r>
              <w:rPr>
                <w:color w:val="231F20"/>
                <w:spacing w:val="-2"/>
                <w:sz w:val="15"/>
              </w:rPr>
              <w:t>Scoliosis</w:t>
            </w:r>
          </w:p>
          <w:p>
            <w:pPr>
              <w:pStyle w:val="TableParagraph"/>
              <w:tabs>
                <w:tab w:pos="2299" w:val="left" w:leader="none"/>
              </w:tabs>
              <w:spacing w:line="230" w:lineRule="auto" w:before="4"/>
              <w:ind w:left="2411" w:right="349" w:hanging="2340"/>
              <w:rPr>
                <w:sz w:val="15"/>
              </w:rPr>
            </w:pPr>
            <w:r>
              <w:rPr>
                <w:color w:val="231F20"/>
                <w:sz w:val="15"/>
              </w:rPr>
              <w:t>HMSN VII</w:t>
              <w:tab/>
              <w:t>HMSN</w:t>
            </w:r>
            <w:r>
              <w:rPr>
                <w:color w:val="231F20"/>
                <w:spacing w:val="-1"/>
                <w:sz w:val="15"/>
              </w:rPr>
              <w:t> </w:t>
            </w:r>
            <w:r>
              <w:rPr>
                <w:color w:val="231F20"/>
                <w:sz w:val="15"/>
              </w:rPr>
              <w:t>with</w:t>
            </w:r>
            <w:r>
              <w:rPr>
                <w:color w:val="231F20"/>
                <w:spacing w:val="-1"/>
                <w:sz w:val="15"/>
              </w:rPr>
              <w:t> </w:t>
            </w:r>
            <w:r>
              <w:rPr>
                <w:color w:val="231F20"/>
                <w:sz w:val="15"/>
              </w:rPr>
              <w:t>retinitis</w:t>
            </w:r>
            <w:r>
              <w:rPr>
                <w:color w:val="231F20"/>
                <w:spacing w:val="-1"/>
                <w:sz w:val="15"/>
              </w:rPr>
              <w:t> </w:t>
            </w:r>
            <w:r>
              <w:rPr>
                <w:color w:val="231F20"/>
                <w:sz w:val="15"/>
              </w:rPr>
              <w:t>pigmentosa.</w:t>
            </w:r>
            <w:r>
              <w:rPr>
                <w:color w:val="231F20"/>
                <w:spacing w:val="-1"/>
                <w:sz w:val="15"/>
              </w:rPr>
              <w:t> </w:t>
            </w:r>
            <w:r>
              <w:rPr>
                <w:color w:val="231F20"/>
                <w:sz w:val="15"/>
              </w:rPr>
              <w:t>CSF</w:t>
            </w:r>
            <w:r>
              <w:rPr>
                <w:color w:val="231F20"/>
                <w:spacing w:val="-1"/>
                <w:sz w:val="15"/>
              </w:rPr>
              <w:t> </w:t>
            </w:r>
            <w:r>
              <w:rPr>
                <w:color w:val="231F20"/>
                <w:sz w:val="15"/>
              </w:rPr>
              <w:t>protein raised. Usually adult onset. Rare entity described</w:t>
            </w:r>
            <w:r>
              <w:rPr>
                <w:color w:val="231F20"/>
                <w:spacing w:val="-11"/>
                <w:sz w:val="15"/>
              </w:rPr>
              <w:t> </w:t>
            </w:r>
            <w:r>
              <w:rPr>
                <w:color w:val="231F20"/>
                <w:sz w:val="15"/>
              </w:rPr>
              <w:t>in</w:t>
            </w:r>
            <w:r>
              <w:rPr>
                <w:color w:val="231F20"/>
                <w:spacing w:val="-11"/>
                <w:sz w:val="15"/>
              </w:rPr>
              <w:t> </w:t>
            </w:r>
            <w:r>
              <w:rPr>
                <w:color w:val="231F20"/>
                <w:sz w:val="15"/>
              </w:rPr>
              <w:t>a</w:t>
            </w:r>
            <w:r>
              <w:rPr>
                <w:color w:val="231F20"/>
                <w:spacing w:val="-11"/>
                <w:sz w:val="15"/>
              </w:rPr>
              <w:t> </w:t>
            </w:r>
            <w:r>
              <w:rPr>
                <w:color w:val="231F20"/>
                <w:sz w:val="15"/>
              </w:rPr>
              <w:t>few</w:t>
            </w:r>
            <w:r>
              <w:rPr>
                <w:color w:val="231F20"/>
                <w:spacing w:val="-11"/>
                <w:sz w:val="15"/>
              </w:rPr>
              <w:t> </w:t>
            </w:r>
            <w:r>
              <w:rPr>
                <w:color w:val="231F20"/>
                <w:sz w:val="15"/>
              </w:rPr>
              <w:t>families,</w:t>
            </w:r>
            <w:r>
              <w:rPr>
                <w:color w:val="231F20"/>
                <w:spacing w:val="-11"/>
                <w:sz w:val="15"/>
              </w:rPr>
              <w:t> </w:t>
            </w:r>
            <w:r>
              <w:rPr>
                <w:color w:val="231F20"/>
                <w:sz w:val="15"/>
              </w:rPr>
              <w:t>mainly</w:t>
            </w:r>
            <w:r>
              <w:rPr>
                <w:color w:val="231F20"/>
                <w:spacing w:val="-11"/>
                <w:sz w:val="15"/>
              </w:rPr>
              <w:t> </w:t>
            </w:r>
            <w:r>
              <w:rPr>
                <w:color w:val="231F20"/>
                <w:sz w:val="15"/>
              </w:rPr>
              <w:t>of</w:t>
            </w:r>
            <w:r>
              <w:rPr>
                <w:color w:val="231F20"/>
                <w:spacing w:val="-11"/>
                <w:sz w:val="15"/>
              </w:rPr>
              <w:t> </w:t>
            </w:r>
            <w:r>
              <w:rPr>
                <w:color w:val="231F20"/>
                <w:sz w:val="15"/>
              </w:rPr>
              <w:t>adult </w:t>
            </w:r>
            <w:r>
              <w:rPr>
                <w:color w:val="231F20"/>
                <w:spacing w:val="-2"/>
                <w:sz w:val="15"/>
              </w:rPr>
              <w:t>onset</w:t>
            </w:r>
          </w:p>
        </w:tc>
        <w:tc>
          <w:tcPr>
            <w:tcW w:w="2592"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63" w:right="197" w:hanging="112"/>
              <w:rPr>
                <w:sz w:val="15"/>
              </w:rPr>
            </w:pPr>
            <w:r>
              <w:rPr>
                <w:color w:val="231F20"/>
                <w:sz w:val="15"/>
              </w:rPr>
              <w:t>Small/absent</w:t>
            </w:r>
            <w:r>
              <w:rPr>
                <w:color w:val="231F20"/>
                <w:spacing w:val="-2"/>
                <w:sz w:val="15"/>
              </w:rPr>
              <w:t> </w:t>
            </w:r>
            <w:r>
              <w:rPr>
                <w:color w:val="231F20"/>
                <w:sz w:val="15"/>
              </w:rPr>
              <w:t>SNAPs.</w:t>
            </w:r>
            <w:r>
              <w:rPr>
                <w:color w:val="231F20"/>
                <w:spacing w:val="-2"/>
                <w:sz w:val="15"/>
              </w:rPr>
              <w:t> </w:t>
            </w:r>
            <w:r>
              <w:rPr>
                <w:color w:val="231F20"/>
                <w:sz w:val="15"/>
              </w:rPr>
              <w:t>Motor studies axonal in type</w:t>
            </w:r>
          </w:p>
        </w:tc>
        <w:tc>
          <w:tcPr>
            <w:tcW w:w="1485"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262" w:right="207" w:hanging="112"/>
              <w:rPr>
                <w:i/>
                <w:sz w:val="15"/>
              </w:rPr>
            </w:pPr>
            <w:r>
              <w:rPr>
                <w:i/>
                <w:color w:val="231F20"/>
                <w:w w:val="105"/>
                <w:sz w:val="15"/>
              </w:rPr>
              <w:t>SPG3A, SPAST, NIPA1,</w:t>
            </w:r>
            <w:r>
              <w:rPr>
                <w:i/>
                <w:color w:val="231F20"/>
                <w:spacing w:val="-12"/>
                <w:w w:val="105"/>
                <w:sz w:val="15"/>
              </w:rPr>
              <w:t> </w:t>
            </w:r>
            <w:r>
              <w:rPr>
                <w:i/>
                <w:color w:val="231F20"/>
                <w:w w:val="105"/>
                <w:sz w:val="15"/>
              </w:rPr>
              <w:t>BSCL2, SPG4, SPG7, </w:t>
            </w:r>
            <w:r>
              <w:rPr>
                <w:i/>
                <w:color w:val="231F20"/>
                <w:spacing w:val="-2"/>
                <w:w w:val="105"/>
                <w:sz w:val="15"/>
              </w:rPr>
              <w:t>SPG20,</w:t>
            </w:r>
            <w:r>
              <w:rPr>
                <w:i/>
                <w:color w:val="231F20"/>
                <w:spacing w:val="-10"/>
                <w:w w:val="105"/>
                <w:sz w:val="15"/>
              </w:rPr>
              <w:t> </w:t>
            </w:r>
            <w:r>
              <w:rPr>
                <w:i/>
                <w:color w:val="231F20"/>
                <w:spacing w:val="-2"/>
                <w:w w:val="105"/>
                <w:sz w:val="15"/>
              </w:rPr>
              <w:t>SPG21, </w:t>
            </w:r>
            <w:r>
              <w:rPr>
                <w:i/>
                <w:color w:val="231F20"/>
                <w:w w:val="105"/>
                <w:sz w:val="15"/>
              </w:rPr>
              <w:t>SPG30, PLP1</w:t>
            </w:r>
          </w:p>
          <w:p>
            <w:pPr>
              <w:pStyle w:val="TableParagraph"/>
              <w:spacing w:line="230" w:lineRule="auto" w:before="3"/>
              <w:ind w:left="262" w:right="80" w:hanging="112"/>
              <w:rPr>
                <w:i/>
                <w:sz w:val="15"/>
              </w:rPr>
            </w:pPr>
            <w:r>
              <w:rPr>
                <w:color w:val="231F20"/>
                <w:sz w:val="15"/>
              </w:rPr>
              <w:t>CMT with </w:t>
            </w:r>
            <w:r>
              <w:rPr>
                <w:color w:val="231F20"/>
                <w:spacing w:val="-2"/>
                <w:sz w:val="15"/>
              </w:rPr>
              <w:t>pyramidal</w:t>
            </w:r>
            <w:r>
              <w:rPr>
                <w:color w:val="231F20"/>
                <w:spacing w:val="-10"/>
                <w:sz w:val="15"/>
              </w:rPr>
              <w:t> </w:t>
            </w:r>
            <w:r>
              <w:rPr>
                <w:color w:val="231F20"/>
                <w:spacing w:val="-2"/>
                <w:sz w:val="15"/>
              </w:rPr>
              <w:t>signs: </w:t>
            </w:r>
            <w:r>
              <w:rPr>
                <w:i/>
                <w:color w:val="231F20"/>
                <w:spacing w:val="-4"/>
                <w:sz w:val="15"/>
              </w:rPr>
              <w:t>MFN2</w:t>
            </w:r>
          </w:p>
        </w:tc>
      </w:tr>
      <w:tr>
        <w:trPr>
          <w:trHeight w:val="1789" w:hRule="atLeast"/>
        </w:trPr>
        <w:tc>
          <w:tcPr>
            <w:tcW w:w="5665" w:type="dxa"/>
            <w:gridSpan w:val="2"/>
            <w:vMerge/>
            <w:tcBorders>
              <w:top w:val="nil"/>
              <w:bottom w:val="single" w:sz="8" w:space="0" w:color="231F20"/>
            </w:tcBorders>
            <w:shd w:val="clear" w:color="auto" w:fill="E8F5F1"/>
          </w:tcPr>
          <w:p>
            <w:pPr>
              <w:rPr>
                <w:sz w:val="2"/>
                <w:szCs w:val="2"/>
              </w:rPr>
            </w:pPr>
          </w:p>
        </w:tc>
        <w:tc>
          <w:tcPr>
            <w:tcW w:w="2592" w:type="dxa"/>
            <w:tcBorders>
              <w:bottom w:val="single" w:sz="8" w:space="0" w:color="231F20"/>
            </w:tcBorders>
            <w:shd w:val="clear" w:color="auto" w:fill="E8F5F1"/>
          </w:tcPr>
          <w:p>
            <w:pPr>
              <w:pStyle w:val="TableParagraph"/>
              <w:spacing w:before="68"/>
              <w:rPr>
                <w:i/>
                <w:sz w:val="15"/>
              </w:rPr>
            </w:pPr>
          </w:p>
          <w:p>
            <w:pPr>
              <w:pStyle w:val="TableParagraph"/>
              <w:spacing w:line="230" w:lineRule="auto" w:before="1"/>
              <w:ind w:left="263" w:hanging="112"/>
              <w:rPr>
                <w:sz w:val="15"/>
              </w:rPr>
            </w:pPr>
            <w:r>
              <w:rPr>
                <w:color w:val="231F20"/>
                <w:sz w:val="15"/>
              </w:rPr>
              <w:t>No response or motor </w:t>
            </w:r>
            <w:r>
              <w:rPr>
                <w:color w:val="231F20"/>
                <w:sz w:val="15"/>
              </w:rPr>
              <w:t>conduction around 45 m/s. Sensory nerves often cannot be stimulated</w:t>
            </w:r>
          </w:p>
        </w:tc>
        <w:tc>
          <w:tcPr>
            <w:tcW w:w="1485" w:type="dxa"/>
            <w:tcBorders>
              <w:bottom w:val="single" w:sz="8" w:space="0" w:color="231F20"/>
            </w:tcBorders>
            <w:shd w:val="clear" w:color="auto" w:fill="E8F5F1"/>
          </w:tcPr>
          <w:p>
            <w:pPr>
              <w:pStyle w:val="TableParagraph"/>
              <w:spacing w:before="63"/>
              <w:rPr>
                <w:i/>
                <w:sz w:val="15"/>
              </w:rPr>
            </w:pPr>
          </w:p>
          <w:p>
            <w:pPr>
              <w:pStyle w:val="TableParagraph"/>
              <w:ind w:left="150"/>
              <w:rPr>
                <w:i/>
                <w:sz w:val="15"/>
              </w:rPr>
            </w:pPr>
            <w:r>
              <w:rPr>
                <w:i/>
                <w:color w:val="231F20"/>
                <w:spacing w:val="-4"/>
                <w:w w:val="110"/>
                <w:sz w:val="15"/>
              </w:rPr>
              <w:t>MFN2</w:t>
            </w:r>
          </w:p>
        </w:tc>
      </w:tr>
    </w:tbl>
    <w:p>
      <w:pPr>
        <w:spacing w:before="63"/>
        <w:ind w:left="0" w:right="343" w:firstLine="0"/>
        <w:jc w:val="right"/>
        <w:rPr>
          <w:i/>
          <w:sz w:val="15"/>
        </w:rPr>
      </w:pPr>
      <w:r>
        <w:rPr>
          <w:i/>
          <w:color w:val="231F20"/>
          <w:spacing w:val="-2"/>
          <w:sz w:val="15"/>
        </w:rPr>
        <w:t>Continued</w:t>
      </w:r>
    </w:p>
    <w:p>
      <w:pPr>
        <w:spacing w:after="0"/>
        <w:jc w:val="right"/>
        <w:rPr>
          <w:i/>
          <w:sz w:val="15"/>
        </w:rPr>
        <w:sectPr>
          <w:pgSz w:w="11900" w:h="16840"/>
          <w:pgMar w:header="452" w:footer="0" w:top="118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053" name="Group 1053"/>
                <wp:cNvGraphicFramePr>
                  <a:graphicFrameLocks/>
                </wp:cNvGraphicFramePr>
                <a:graphic>
                  <a:graphicData uri="http://schemas.microsoft.com/office/word/2010/wordprocessingGroup">
                    <wpg:wgp>
                      <wpg:cNvPr id="1053" name="Group 1053"/>
                      <wpg:cNvGrpSpPr/>
                      <wpg:grpSpPr>
                        <a:xfrm>
                          <a:off x="0" y="0"/>
                          <a:ext cx="6185535" cy="170815"/>
                          <a:chExt cx="6185535" cy="170815"/>
                        </a:xfrm>
                      </wpg:grpSpPr>
                      <wps:wsp>
                        <wps:cNvPr id="1054" name="Graphic 1054"/>
                        <wps:cNvSpPr/>
                        <wps:spPr>
                          <a:xfrm>
                            <a:off x="6161574"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55" name="Graphic 1055"/>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56" name="Textbox 1056"/>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3002</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40" coordorigin="0,0" coordsize="9741,269">
                <v:line style="position:absolute" from="9703,145" to="9741,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41" filled="false" stroked="false">
                  <v:textbox inset="0,0,0,0">
                    <w:txbxContent>
                      <w:p>
                        <w:pPr>
                          <w:spacing w:before="6"/>
                          <w:ind w:left="-1" w:right="0" w:firstLine="0"/>
                          <w:jc w:val="left"/>
                          <w:rPr>
                            <w:sz w:val="18"/>
                          </w:rPr>
                        </w:pPr>
                        <w:r>
                          <w:rPr>
                            <w:b/>
                            <w:color w:val="231F20"/>
                            <w:w w:val="105"/>
                            <w:sz w:val="18"/>
                          </w:rPr>
                          <w:t>3002</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v:group>
            </w:pict>
          </mc:Fallback>
        </mc:AlternateContent>
      </w:r>
      <w:r>
        <w:rPr>
          <w:sz w:val="20"/>
        </w:rPr>
      </w:r>
    </w:p>
    <w:p>
      <w:pPr>
        <w:pStyle w:val="BodyText"/>
        <w:spacing w:before="11"/>
        <w:rPr>
          <w:i/>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64"/>
        <w:gridCol w:w="2592"/>
        <w:gridCol w:w="1484"/>
      </w:tblGrid>
      <w:tr>
        <w:trPr>
          <w:trHeight w:val="391" w:hRule="atLeast"/>
        </w:trPr>
        <w:tc>
          <w:tcPr>
            <w:tcW w:w="9740" w:type="dxa"/>
            <w:gridSpan w:val="3"/>
            <w:shd w:val="clear" w:color="auto" w:fill="231F20"/>
          </w:tcPr>
          <w:p>
            <w:pPr>
              <w:pStyle w:val="TableParagraph"/>
              <w:spacing w:before="89"/>
              <w:ind w:left="111"/>
              <w:rPr>
                <w:sz w:val="16"/>
              </w:rPr>
            </w:pPr>
            <w:r>
              <w:rPr>
                <w:b/>
                <w:color w:val="FFFFFF"/>
                <w:w w:val="105"/>
                <w:sz w:val="16"/>
              </w:rPr>
              <w:t>Table</w:t>
            </w:r>
            <w:r>
              <w:rPr>
                <w:b/>
                <w:color w:val="FFFFFF"/>
                <w:spacing w:val="9"/>
                <w:w w:val="105"/>
                <w:sz w:val="16"/>
              </w:rPr>
              <w:t> </w:t>
            </w:r>
            <w:r>
              <w:rPr>
                <w:b/>
                <w:color w:val="FFFFFF"/>
                <w:w w:val="105"/>
                <w:sz w:val="16"/>
              </w:rPr>
              <w:t>613-1</w:t>
            </w:r>
            <w:r>
              <w:rPr>
                <w:b/>
                <w:color w:val="FFFFFF"/>
                <w:spacing w:val="39"/>
                <w:w w:val="105"/>
                <w:sz w:val="16"/>
              </w:rPr>
              <w:t>  </w:t>
            </w:r>
            <w:r>
              <w:rPr>
                <w:color w:val="FFFFFF"/>
                <w:w w:val="105"/>
                <w:sz w:val="16"/>
              </w:rPr>
              <w:t>Hereditary</w:t>
            </w:r>
            <w:r>
              <w:rPr>
                <w:color w:val="FFFFFF"/>
                <w:spacing w:val="7"/>
                <w:w w:val="105"/>
                <w:sz w:val="16"/>
              </w:rPr>
              <w:t> </w:t>
            </w:r>
            <w:r>
              <w:rPr>
                <w:color w:val="FFFFFF"/>
                <w:w w:val="105"/>
                <w:sz w:val="16"/>
              </w:rPr>
              <w:t>Peripheral</w:t>
            </w:r>
            <w:r>
              <w:rPr>
                <w:color w:val="FFFFFF"/>
                <w:spacing w:val="6"/>
                <w:w w:val="105"/>
                <w:sz w:val="16"/>
              </w:rPr>
              <w:t> </w:t>
            </w:r>
            <w:r>
              <w:rPr>
                <w:color w:val="FFFFFF"/>
                <w:w w:val="105"/>
                <w:sz w:val="16"/>
              </w:rPr>
              <w:t>Neuropathies—</w:t>
            </w:r>
            <w:r>
              <w:rPr>
                <w:color w:val="FFFFFF"/>
                <w:spacing w:val="-2"/>
                <w:w w:val="105"/>
                <w:sz w:val="16"/>
              </w:rPr>
              <w:t>cont’d</w:t>
            </w:r>
          </w:p>
        </w:tc>
      </w:tr>
      <w:tr>
        <w:trPr>
          <w:trHeight w:val="239" w:hRule="atLeast"/>
        </w:trPr>
        <w:tc>
          <w:tcPr>
            <w:tcW w:w="5664" w:type="dxa"/>
            <w:tcBorders>
              <w:bottom w:val="single" w:sz="4" w:space="0" w:color="231F20"/>
            </w:tcBorders>
            <w:shd w:val="clear" w:color="auto" w:fill="E8F5F1"/>
          </w:tcPr>
          <w:p>
            <w:pPr>
              <w:pStyle w:val="TableParagraph"/>
              <w:tabs>
                <w:tab w:pos="2301" w:val="left" w:leader="none"/>
              </w:tabs>
              <w:spacing w:before="29"/>
              <w:ind w:left="74"/>
              <w:rPr>
                <w:b/>
                <w:sz w:val="15"/>
              </w:rPr>
            </w:pPr>
            <w:r>
              <w:rPr>
                <w:b/>
                <w:color w:val="231F20"/>
                <w:w w:val="110"/>
                <w:sz w:val="15"/>
              </w:rPr>
              <w:t>DISORDER</w:t>
            </w:r>
            <w:r>
              <w:rPr>
                <w:b/>
                <w:color w:val="231F20"/>
                <w:spacing w:val="22"/>
                <w:w w:val="110"/>
                <w:sz w:val="15"/>
              </w:rPr>
              <w:t> </w:t>
            </w:r>
            <w:r>
              <w:rPr>
                <w:b/>
                <w:color w:val="231F20"/>
                <w:w w:val="110"/>
                <w:sz w:val="15"/>
              </w:rPr>
              <w:t>(OMIM</w:t>
            </w:r>
            <w:r>
              <w:rPr>
                <w:b/>
                <w:color w:val="231F20"/>
                <w:spacing w:val="22"/>
                <w:w w:val="110"/>
                <w:sz w:val="15"/>
              </w:rPr>
              <w:t> </w:t>
            </w:r>
            <w:r>
              <w:rPr>
                <w:b/>
                <w:color w:val="231F20"/>
                <w:spacing w:val="-4"/>
                <w:w w:val="110"/>
                <w:sz w:val="15"/>
              </w:rPr>
              <w:t>NO.)</w:t>
            </w:r>
            <w:r>
              <w:rPr>
                <w:b/>
                <w:color w:val="231F20"/>
                <w:sz w:val="15"/>
              </w:rPr>
              <w:tab/>
            </w:r>
            <w:r>
              <w:rPr>
                <w:b/>
                <w:color w:val="231F20"/>
                <w:w w:val="110"/>
                <w:sz w:val="15"/>
              </w:rPr>
              <w:t>CLINICAL</w:t>
            </w:r>
            <w:r>
              <w:rPr>
                <w:b/>
                <w:color w:val="231F20"/>
                <w:spacing w:val="-4"/>
                <w:w w:val="110"/>
                <w:sz w:val="15"/>
              </w:rPr>
              <w:t> </w:t>
            </w:r>
            <w:r>
              <w:rPr>
                <w:b/>
                <w:color w:val="231F20"/>
                <w:spacing w:val="-2"/>
                <w:w w:val="110"/>
                <w:sz w:val="15"/>
              </w:rPr>
              <w:t>FEATURES</w:t>
            </w:r>
          </w:p>
        </w:tc>
        <w:tc>
          <w:tcPr>
            <w:tcW w:w="2592" w:type="dxa"/>
            <w:tcBorders>
              <w:bottom w:val="single" w:sz="4" w:space="0" w:color="231F20"/>
            </w:tcBorders>
            <w:shd w:val="clear" w:color="auto" w:fill="E8F5F1"/>
          </w:tcPr>
          <w:p>
            <w:pPr>
              <w:pStyle w:val="TableParagraph"/>
              <w:spacing w:before="29"/>
              <w:ind w:left="155"/>
              <w:rPr>
                <w:b/>
                <w:sz w:val="15"/>
              </w:rPr>
            </w:pPr>
            <w:r>
              <w:rPr>
                <w:b/>
                <w:color w:val="231F20"/>
                <w:w w:val="110"/>
                <w:sz w:val="15"/>
              </w:rPr>
              <w:t>NERVE</w:t>
            </w:r>
            <w:r>
              <w:rPr>
                <w:b/>
                <w:color w:val="231F20"/>
                <w:spacing w:val="20"/>
                <w:w w:val="110"/>
                <w:sz w:val="15"/>
              </w:rPr>
              <w:t> </w:t>
            </w:r>
            <w:r>
              <w:rPr>
                <w:b/>
                <w:color w:val="231F20"/>
                <w:w w:val="110"/>
                <w:sz w:val="15"/>
              </w:rPr>
              <w:t>CONDUCTION</w:t>
            </w:r>
            <w:r>
              <w:rPr>
                <w:b/>
                <w:color w:val="231F20"/>
                <w:spacing w:val="21"/>
                <w:w w:val="110"/>
                <w:sz w:val="15"/>
              </w:rPr>
              <w:t> </w:t>
            </w:r>
            <w:r>
              <w:rPr>
                <w:b/>
                <w:color w:val="231F20"/>
                <w:spacing w:val="-2"/>
                <w:w w:val="110"/>
                <w:sz w:val="15"/>
              </w:rPr>
              <w:t>STUDIES</w:t>
            </w:r>
          </w:p>
        </w:tc>
        <w:tc>
          <w:tcPr>
            <w:tcW w:w="1484" w:type="dxa"/>
            <w:tcBorders>
              <w:bottom w:val="single" w:sz="4" w:space="0" w:color="231F20"/>
            </w:tcBorders>
            <w:shd w:val="clear" w:color="auto" w:fill="E8F5F1"/>
          </w:tcPr>
          <w:p>
            <w:pPr>
              <w:pStyle w:val="TableParagraph"/>
              <w:spacing w:before="29"/>
              <w:ind w:left="154"/>
              <w:rPr>
                <w:b/>
                <w:sz w:val="15"/>
              </w:rPr>
            </w:pPr>
            <w:r>
              <w:rPr>
                <w:b/>
                <w:color w:val="231F20"/>
                <w:w w:val="110"/>
                <w:sz w:val="15"/>
              </w:rPr>
              <w:t>GENE</w:t>
            </w:r>
            <w:r>
              <w:rPr>
                <w:b/>
                <w:color w:val="231F20"/>
                <w:spacing w:val="11"/>
                <w:w w:val="110"/>
                <w:sz w:val="15"/>
              </w:rPr>
              <w:t> </w:t>
            </w:r>
            <w:r>
              <w:rPr>
                <w:b/>
                <w:color w:val="231F20"/>
                <w:w w:val="110"/>
                <w:sz w:val="15"/>
              </w:rPr>
              <w:t>OR</w:t>
            </w:r>
            <w:r>
              <w:rPr>
                <w:b/>
                <w:color w:val="231F20"/>
                <w:spacing w:val="12"/>
                <w:w w:val="110"/>
                <w:sz w:val="15"/>
              </w:rPr>
              <w:t> </w:t>
            </w:r>
            <w:r>
              <w:rPr>
                <w:b/>
                <w:color w:val="231F20"/>
                <w:spacing w:val="-2"/>
                <w:w w:val="110"/>
                <w:sz w:val="15"/>
              </w:rPr>
              <w:t>LOCUS</w:t>
            </w:r>
          </w:p>
        </w:tc>
      </w:tr>
      <w:tr>
        <w:trPr>
          <w:trHeight w:val="722" w:hRule="atLeast"/>
        </w:trPr>
        <w:tc>
          <w:tcPr>
            <w:tcW w:w="5664" w:type="dxa"/>
            <w:tcBorders>
              <w:top w:val="single" w:sz="4" w:space="0" w:color="231F20"/>
            </w:tcBorders>
            <w:shd w:val="clear" w:color="auto" w:fill="E8F5F1"/>
          </w:tcPr>
          <w:p>
            <w:pPr>
              <w:pStyle w:val="TableParagraph"/>
              <w:spacing w:line="172" w:lineRule="exact" w:before="43"/>
              <w:ind w:left="74"/>
              <w:rPr>
                <w:sz w:val="15"/>
              </w:rPr>
            </w:pPr>
            <w:r>
              <w:rPr>
                <w:color w:val="231F20"/>
                <w:w w:val="110"/>
                <w:sz w:val="15"/>
              </w:rPr>
              <w:t>DISTAL</w:t>
            </w:r>
            <w:r>
              <w:rPr>
                <w:color w:val="231F20"/>
                <w:spacing w:val="13"/>
                <w:w w:val="110"/>
                <w:sz w:val="15"/>
              </w:rPr>
              <w:t> </w:t>
            </w:r>
            <w:r>
              <w:rPr>
                <w:color w:val="231F20"/>
                <w:w w:val="110"/>
                <w:sz w:val="15"/>
              </w:rPr>
              <w:t>HEREDITARY</w:t>
            </w:r>
            <w:r>
              <w:rPr>
                <w:color w:val="231F20"/>
                <w:spacing w:val="14"/>
                <w:w w:val="110"/>
                <w:sz w:val="15"/>
              </w:rPr>
              <w:t> </w:t>
            </w:r>
            <w:r>
              <w:rPr>
                <w:color w:val="231F20"/>
                <w:w w:val="110"/>
                <w:sz w:val="15"/>
              </w:rPr>
              <w:t>MOTOR</w:t>
            </w:r>
            <w:r>
              <w:rPr>
                <w:color w:val="231F20"/>
                <w:spacing w:val="14"/>
                <w:w w:val="110"/>
                <w:sz w:val="15"/>
              </w:rPr>
              <w:t> </w:t>
            </w:r>
            <w:r>
              <w:rPr>
                <w:color w:val="231F20"/>
                <w:w w:val="110"/>
                <w:sz w:val="15"/>
              </w:rPr>
              <w:t>NEURONOPATHIES</w:t>
            </w:r>
            <w:r>
              <w:rPr>
                <w:color w:val="231F20"/>
                <w:spacing w:val="13"/>
                <w:w w:val="110"/>
                <w:sz w:val="15"/>
              </w:rPr>
              <w:t> </w:t>
            </w:r>
            <w:r>
              <w:rPr>
                <w:color w:val="231F20"/>
                <w:spacing w:val="-2"/>
                <w:w w:val="110"/>
                <w:sz w:val="15"/>
              </w:rPr>
              <w:t>(DHMN)</w:t>
            </w:r>
          </w:p>
          <w:p>
            <w:pPr>
              <w:pStyle w:val="TableParagraph"/>
              <w:tabs>
                <w:tab w:pos="2301" w:val="left" w:leader="none"/>
              </w:tabs>
              <w:spacing w:line="230" w:lineRule="auto" w:before="3"/>
              <w:ind w:left="2413" w:right="458" w:hanging="2340"/>
              <w:rPr>
                <w:sz w:val="15"/>
              </w:rPr>
            </w:pPr>
            <w:r>
              <w:rPr>
                <w:color w:val="231F20"/>
                <w:sz w:val="15"/>
              </w:rPr>
              <w:t>dHMNI (182960)</w:t>
              <w:tab/>
              <w:t>Autosomal</w:t>
            </w:r>
            <w:r>
              <w:rPr>
                <w:color w:val="231F20"/>
                <w:spacing w:val="-12"/>
                <w:sz w:val="15"/>
              </w:rPr>
              <w:t> </w:t>
            </w:r>
            <w:r>
              <w:rPr>
                <w:color w:val="231F20"/>
                <w:sz w:val="15"/>
              </w:rPr>
              <w:t>dominant.</w:t>
            </w:r>
            <w:r>
              <w:rPr>
                <w:color w:val="231F20"/>
                <w:spacing w:val="-11"/>
                <w:sz w:val="15"/>
              </w:rPr>
              <w:t> </w:t>
            </w:r>
            <w:r>
              <w:rPr>
                <w:color w:val="231F20"/>
                <w:sz w:val="15"/>
              </w:rPr>
              <w:t>Juvenile</w:t>
            </w:r>
            <w:r>
              <w:rPr>
                <w:color w:val="231F20"/>
                <w:spacing w:val="-11"/>
                <w:sz w:val="15"/>
              </w:rPr>
              <w:t> </w:t>
            </w:r>
            <w:r>
              <w:rPr>
                <w:color w:val="231F20"/>
                <w:sz w:val="15"/>
              </w:rPr>
              <w:t>onset.</w:t>
            </w:r>
            <w:r>
              <w:rPr>
                <w:color w:val="231F20"/>
                <w:spacing w:val="-12"/>
                <w:sz w:val="15"/>
              </w:rPr>
              <w:t> </w:t>
            </w:r>
            <w:r>
              <w:rPr>
                <w:color w:val="231F20"/>
                <w:sz w:val="15"/>
              </w:rPr>
              <w:t>Distal weakness and wasting</w:t>
            </w:r>
          </w:p>
        </w:tc>
        <w:tc>
          <w:tcPr>
            <w:tcW w:w="2592" w:type="dxa"/>
            <w:tcBorders>
              <w:top w:val="single" w:sz="4" w:space="0" w:color="231F20"/>
            </w:tcBorders>
            <w:shd w:val="clear" w:color="auto" w:fill="E8F5F1"/>
          </w:tcPr>
          <w:p>
            <w:pPr>
              <w:pStyle w:val="TableParagraph"/>
              <w:spacing w:before="24"/>
              <w:rPr>
                <w:i/>
                <w:sz w:val="15"/>
              </w:rPr>
            </w:pPr>
          </w:p>
          <w:p>
            <w:pPr>
              <w:pStyle w:val="TableParagraph"/>
              <w:spacing w:line="168" w:lineRule="exact"/>
              <w:ind w:left="266" w:hanging="112"/>
              <w:rPr>
                <w:sz w:val="15"/>
              </w:rPr>
            </w:pPr>
            <w:r>
              <w:rPr>
                <w:color w:val="231F20"/>
                <w:sz w:val="15"/>
              </w:rPr>
              <w:t>Normal</w:t>
            </w:r>
            <w:r>
              <w:rPr>
                <w:color w:val="231F20"/>
                <w:spacing w:val="-12"/>
                <w:sz w:val="15"/>
              </w:rPr>
              <w:t> </w:t>
            </w:r>
            <w:r>
              <w:rPr>
                <w:color w:val="231F20"/>
                <w:sz w:val="15"/>
              </w:rPr>
              <w:t>nerve</w:t>
            </w:r>
            <w:r>
              <w:rPr>
                <w:color w:val="231F20"/>
                <w:spacing w:val="-11"/>
                <w:sz w:val="15"/>
              </w:rPr>
              <w:t> </w:t>
            </w:r>
            <w:r>
              <w:rPr>
                <w:color w:val="231F20"/>
                <w:sz w:val="15"/>
              </w:rPr>
              <w:t>conduction</w:t>
            </w:r>
            <w:r>
              <w:rPr>
                <w:color w:val="231F20"/>
                <w:spacing w:val="-11"/>
                <w:sz w:val="15"/>
              </w:rPr>
              <w:t> </w:t>
            </w:r>
            <w:r>
              <w:rPr>
                <w:color w:val="231F20"/>
                <w:sz w:val="15"/>
              </w:rPr>
              <w:t>studies, occasional mild slowing. EMG </w:t>
            </w:r>
            <w:r>
              <w:rPr>
                <w:color w:val="231F20"/>
                <w:spacing w:val="-2"/>
                <w:sz w:val="15"/>
              </w:rPr>
              <w:t>neurogenic</w:t>
            </w:r>
          </w:p>
        </w:tc>
        <w:tc>
          <w:tcPr>
            <w:tcW w:w="1484" w:type="dxa"/>
            <w:tcBorders>
              <w:top w:val="single" w:sz="4" w:space="0" w:color="231F20"/>
            </w:tcBorders>
            <w:shd w:val="clear" w:color="auto" w:fill="E8F5F1"/>
          </w:tcPr>
          <w:p>
            <w:pPr>
              <w:pStyle w:val="TableParagraph"/>
              <w:spacing w:before="38"/>
              <w:rPr>
                <w:i/>
                <w:sz w:val="15"/>
              </w:rPr>
            </w:pPr>
          </w:p>
          <w:p>
            <w:pPr>
              <w:pStyle w:val="TableParagraph"/>
              <w:spacing w:line="171" w:lineRule="exact"/>
              <w:ind w:left="153"/>
              <w:rPr>
                <w:i/>
                <w:sz w:val="15"/>
              </w:rPr>
            </w:pPr>
            <w:r>
              <w:rPr>
                <w:i/>
                <w:color w:val="231F20"/>
                <w:spacing w:val="-2"/>
                <w:w w:val="105"/>
                <w:sz w:val="15"/>
              </w:rPr>
              <w:t>HSPB1</w:t>
            </w:r>
          </w:p>
          <w:p>
            <w:pPr>
              <w:pStyle w:val="TableParagraph"/>
              <w:spacing w:line="171" w:lineRule="exact"/>
              <w:ind w:left="153"/>
              <w:rPr>
                <w:sz w:val="15"/>
              </w:rPr>
            </w:pPr>
            <w:r>
              <w:rPr>
                <w:color w:val="231F20"/>
                <w:spacing w:val="-2"/>
                <w:w w:val="105"/>
                <w:sz w:val="15"/>
              </w:rPr>
              <w:t>7q34–q36</w:t>
            </w:r>
          </w:p>
        </w:tc>
      </w:tr>
      <w:tr>
        <w:trPr>
          <w:trHeight w:val="7953" w:hRule="atLeast"/>
        </w:trPr>
        <w:tc>
          <w:tcPr>
            <w:tcW w:w="5664" w:type="dxa"/>
            <w:tcBorders>
              <w:bottom w:val="single" w:sz="4" w:space="0" w:color="FFFFFF"/>
            </w:tcBorders>
            <w:shd w:val="clear" w:color="auto" w:fill="E8F5F1"/>
          </w:tcPr>
          <w:p>
            <w:pPr>
              <w:pStyle w:val="TableParagraph"/>
              <w:tabs>
                <w:tab w:pos="2301" w:val="left" w:leader="none"/>
              </w:tabs>
              <w:spacing w:line="230" w:lineRule="auto" w:before="1"/>
              <w:ind w:left="2413" w:right="660" w:hanging="2340"/>
              <w:rPr>
                <w:sz w:val="15"/>
              </w:rPr>
            </w:pPr>
            <w:r>
              <w:rPr>
                <w:color w:val="231F20"/>
                <w:sz w:val="15"/>
              </w:rPr>
              <w:t>dHMNII (608634)</w:t>
              <w:tab/>
              <w:t>Autosomal</w:t>
            </w:r>
            <w:r>
              <w:rPr>
                <w:color w:val="231F20"/>
                <w:spacing w:val="-12"/>
                <w:sz w:val="15"/>
              </w:rPr>
              <w:t> </w:t>
            </w:r>
            <w:r>
              <w:rPr>
                <w:color w:val="231F20"/>
                <w:sz w:val="15"/>
              </w:rPr>
              <w:t>dominant.</w:t>
            </w:r>
            <w:r>
              <w:rPr>
                <w:color w:val="231F20"/>
                <w:spacing w:val="-11"/>
                <w:sz w:val="15"/>
              </w:rPr>
              <w:t> </w:t>
            </w:r>
            <w:r>
              <w:rPr>
                <w:color w:val="231F20"/>
                <w:sz w:val="15"/>
              </w:rPr>
              <w:t>Adult</w:t>
            </w:r>
            <w:r>
              <w:rPr>
                <w:color w:val="231F20"/>
                <w:spacing w:val="-11"/>
                <w:sz w:val="15"/>
              </w:rPr>
              <w:t> </w:t>
            </w:r>
            <w:r>
              <w:rPr>
                <w:color w:val="231F20"/>
                <w:sz w:val="15"/>
              </w:rPr>
              <w:t>onset,</w:t>
            </w:r>
            <w:r>
              <w:rPr>
                <w:color w:val="231F20"/>
                <w:spacing w:val="-12"/>
                <w:sz w:val="15"/>
              </w:rPr>
              <w:t> </w:t>
            </w:r>
            <w:r>
              <w:rPr>
                <w:color w:val="231F20"/>
                <w:sz w:val="15"/>
              </w:rPr>
              <w:t>distal weakness and wasting</w:t>
            </w:r>
          </w:p>
          <w:p>
            <w:pPr>
              <w:pStyle w:val="TableParagraph"/>
              <w:tabs>
                <w:tab w:pos="2301" w:val="left" w:leader="none"/>
              </w:tabs>
              <w:spacing w:line="169" w:lineRule="exact"/>
              <w:ind w:left="74"/>
              <w:rPr>
                <w:sz w:val="15"/>
              </w:rPr>
            </w:pPr>
            <w:r>
              <w:rPr>
                <w:color w:val="231F20"/>
                <w:sz w:val="15"/>
              </w:rPr>
              <w:t>dHMNIIjuv</w:t>
            </w:r>
            <w:r>
              <w:rPr>
                <w:color w:val="231F20"/>
                <w:spacing w:val="34"/>
                <w:sz w:val="15"/>
              </w:rPr>
              <w:t> </w:t>
            </w:r>
            <w:r>
              <w:rPr>
                <w:color w:val="231F20"/>
                <w:spacing w:val="-2"/>
                <w:sz w:val="15"/>
              </w:rPr>
              <w:t>(158590)</w:t>
            </w:r>
            <w:r>
              <w:rPr>
                <w:color w:val="231F20"/>
                <w:sz w:val="15"/>
              </w:rPr>
              <w:tab/>
              <w:t>(Allelic</w:t>
            </w:r>
            <w:r>
              <w:rPr>
                <w:color w:val="231F20"/>
                <w:spacing w:val="-6"/>
                <w:sz w:val="15"/>
              </w:rPr>
              <w:t> </w:t>
            </w:r>
            <w:r>
              <w:rPr>
                <w:color w:val="231F20"/>
                <w:sz w:val="15"/>
              </w:rPr>
              <w:t>CMT2F,</w:t>
            </w:r>
            <w:r>
              <w:rPr>
                <w:color w:val="231F20"/>
                <w:spacing w:val="-6"/>
                <w:sz w:val="15"/>
              </w:rPr>
              <w:t> </w:t>
            </w:r>
            <w:r>
              <w:rPr>
                <w:color w:val="231F20"/>
                <w:spacing w:val="-2"/>
                <w:sz w:val="15"/>
              </w:rPr>
              <w:t>CMT2L)</w:t>
            </w:r>
          </w:p>
          <w:p>
            <w:pPr>
              <w:pStyle w:val="TableParagraph"/>
              <w:tabs>
                <w:tab w:pos="2301" w:val="left" w:leader="none"/>
              </w:tabs>
              <w:spacing w:line="169" w:lineRule="exact"/>
              <w:ind w:left="74"/>
              <w:rPr>
                <w:sz w:val="15"/>
              </w:rPr>
            </w:pPr>
            <w:r>
              <w:rPr>
                <w:color w:val="231F20"/>
                <w:spacing w:val="-2"/>
                <w:sz w:val="15"/>
              </w:rPr>
              <w:t>dHMNIII</w:t>
            </w:r>
            <w:r>
              <w:rPr>
                <w:color w:val="231F20"/>
                <w:sz w:val="15"/>
              </w:rPr>
              <w:tab/>
            </w:r>
            <w:r>
              <w:rPr>
                <w:color w:val="231F20"/>
                <w:spacing w:val="-2"/>
                <w:sz w:val="15"/>
              </w:rPr>
              <w:t>Autosomal</w:t>
            </w:r>
            <w:r>
              <w:rPr>
                <w:color w:val="231F20"/>
                <w:spacing w:val="-1"/>
                <w:sz w:val="15"/>
              </w:rPr>
              <w:t> </w:t>
            </w:r>
            <w:r>
              <w:rPr>
                <w:color w:val="231F20"/>
                <w:spacing w:val="-2"/>
                <w:sz w:val="15"/>
              </w:rPr>
              <w:t>recessive.</w:t>
            </w:r>
            <w:r>
              <w:rPr>
                <w:color w:val="231F20"/>
                <w:sz w:val="15"/>
              </w:rPr>
              <w:t> </w:t>
            </w:r>
            <w:r>
              <w:rPr>
                <w:color w:val="231F20"/>
                <w:spacing w:val="-2"/>
                <w:sz w:val="15"/>
              </w:rPr>
              <w:t>Infantile</w:t>
            </w:r>
            <w:r>
              <w:rPr>
                <w:color w:val="231F20"/>
                <w:sz w:val="15"/>
              </w:rPr>
              <w:t> </w:t>
            </w:r>
            <w:r>
              <w:rPr>
                <w:color w:val="231F20"/>
                <w:spacing w:val="-2"/>
                <w:sz w:val="15"/>
              </w:rPr>
              <w:t>to</w:t>
            </w:r>
            <w:r>
              <w:rPr>
                <w:color w:val="231F20"/>
                <w:sz w:val="15"/>
              </w:rPr>
              <w:t> </w:t>
            </w:r>
            <w:r>
              <w:rPr>
                <w:color w:val="231F20"/>
                <w:spacing w:val="-2"/>
                <w:sz w:val="15"/>
              </w:rPr>
              <w:t>adult</w:t>
            </w:r>
            <w:r>
              <w:rPr>
                <w:color w:val="231F20"/>
                <w:spacing w:val="-1"/>
                <w:sz w:val="15"/>
              </w:rPr>
              <w:t> </w:t>
            </w:r>
            <w:r>
              <w:rPr>
                <w:color w:val="231F20"/>
                <w:spacing w:val="-2"/>
                <w:sz w:val="15"/>
              </w:rPr>
              <w:t>onset.</w:t>
            </w:r>
          </w:p>
          <w:p>
            <w:pPr>
              <w:pStyle w:val="TableParagraph"/>
              <w:spacing w:line="230" w:lineRule="auto" w:before="2"/>
              <w:ind w:left="2413" w:right="393"/>
              <w:rPr>
                <w:sz w:val="15"/>
              </w:rPr>
            </w:pPr>
            <w:r>
              <w:rPr>
                <w:color w:val="231F20"/>
                <w:sz w:val="15"/>
              </w:rPr>
              <w:t>Slow, progressive muscle wasting and </w:t>
            </w:r>
            <w:r>
              <w:rPr>
                <w:color w:val="231F20"/>
                <w:spacing w:val="-2"/>
                <w:sz w:val="15"/>
              </w:rPr>
              <w:t>weakness,</w:t>
            </w:r>
            <w:r>
              <w:rPr>
                <w:color w:val="231F20"/>
                <w:spacing w:val="1"/>
                <w:sz w:val="15"/>
              </w:rPr>
              <w:t> </w:t>
            </w:r>
            <w:r>
              <w:rPr>
                <w:color w:val="231F20"/>
                <w:spacing w:val="-2"/>
                <w:sz w:val="15"/>
              </w:rPr>
              <w:t>variable</w:t>
            </w:r>
            <w:r>
              <w:rPr>
                <w:color w:val="231F20"/>
                <w:spacing w:val="2"/>
                <w:sz w:val="15"/>
              </w:rPr>
              <w:t> </w:t>
            </w:r>
            <w:r>
              <w:rPr>
                <w:color w:val="231F20"/>
                <w:spacing w:val="-2"/>
                <w:sz w:val="15"/>
              </w:rPr>
              <w:t>diaphragmatic</w:t>
            </w:r>
            <w:r>
              <w:rPr>
                <w:color w:val="231F20"/>
                <w:spacing w:val="2"/>
                <w:sz w:val="15"/>
              </w:rPr>
              <w:t> </w:t>
            </w:r>
            <w:r>
              <w:rPr>
                <w:color w:val="231F20"/>
                <w:spacing w:val="-2"/>
                <w:sz w:val="15"/>
              </w:rPr>
              <w:t>paralysis</w:t>
            </w:r>
          </w:p>
          <w:p>
            <w:pPr>
              <w:pStyle w:val="TableParagraph"/>
              <w:tabs>
                <w:tab w:pos="2300" w:val="left" w:leader="none"/>
              </w:tabs>
              <w:spacing w:line="168" w:lineRule="exact"/>
              <w:ind w:left="73"/>
              <w:rPr>
                <w:sz w:val="15"/>
              </w:rPr>
            </w:pPr>
            <w:r>
              <w:rPr>
                <w:color w:val="231F20"/>
                <w:spacing w:val="2"/>
                <w:sz w:val="15"/>
              </w:rPr>
              <w:t>dHMNIV</w:t>
            </w:r>
            <w:r>
              <w:rPr>
                <w:color w:val="231F20"/>
                <w:spacing w:val="45"/>
                <w:sz w:val="15"/>
              </w:rPr>
              <w:t> </w:t>
            </w:r>
            <w:r>
              <w:rPr>
                <w:color w:val="231F20"/>
                <w:spacing w:val="-2"/>
                <w:sz w:val="15"/>
              </w:rPr>
              <w:t>(607088)</w:t>
            </w:r>
            <w:r>
              <w:rPr>
                <w:color w:val="231F20"/>
                <w:sz w:val="15"/>
              </w:rPr>
              <w:tab/>
            </w:r>
            <w:r>
              <w:rPr>
                <w:color w:val="231F20"/>
                <w:spacing w:val="-2"/>
                <w:sz w:val="15"/>
              </w:rPr>
              <w:t>Autosomal</w:t>
            </w:r>
            <w:r>
              <w:rPr>
                <w:color w:val="231F20"/>
                <w:spacing w:val="4"/>
                <w:sz w:val="15"/>
              </w:rPr>
              <w:t> </w:t>
            </w:r>
            <w:r>
              <w:rPr>
                <w:color w:val="231F20"/>
                <w:spacing w:val="-2"/>
                <w:sz w:val="15"/>
              </w:rPr>
              <w:t>recessive.</w:t>
            </w:r>
            <w:r>
              <w:rPr>
                <w:color w:val="231F20"/>
                <w:spacing w:val="4"/>
                <w:sz w:val="15"/>
              </w:rPr>
              <w:t> </w:t>
            </w:r>
            <w:r>
              <w:rPr>
                <w:color w:val="231F20"/>
                <w:spacing w:val="-2"/>
                <w:sz w:val="15"/>
              </w:rPr>
              <w:t>Juvenile</w:t>
            </w:r>
            <w:r>
              <w:rPr>
                <w:color w:val="231F20"/>
                <w:spacing w:val="4"/>
                <w:sz w:val="15"/>
              </w:rPr>
              <w:t> </w:t>
            </w:r>
            <w:r>
              <w:rPr>
                <w:color w:val="231F20"/>
                <w:spacing w:val="-2"/>
                <w:sz w:val="15"/>
              </w:rPr>
              <w:t>onset.</w:t>
            </w:r>
            <w:r>
              <w:rPr>
                <w:color w:val="231F20"/>
                <w:spacing w:val="4"/>
                <w:sz w:val="15"/>
              </w:rPr>
              <w:t> </w:t>
            </w:r>
            <w:r>
              <w:rPr>
                <w:color w:val="231F20"/>
                <w:spacing w:val="-2"/>
                <w:sz w:val="15"/>
              </w:rPr>
              <w:t>Severe</w:t>
            </w:r>
          </w:p>
          <w:p>
            <w:pPr>
              <w:pStyle w:val="TableParagraph"/>
              <w:tabs>
                <w:tab w:pos="2412" w:val="left" w:leader="none"/>
              </w:tabs>
              <w:spacing w:line="230" w:lineRule="auto" w:before="3"/>
              <w:ind w:left="2413" w:right="958" w:hanging="2340"/>
              <w:rPr>
                <w:sz w:val="15"/>
              </w:rPr>
            </w:pPr>
            <w:r>
              <w:rPr>
                <w:color w:val="231F20"/>
                <w:sz w:val="15"/>
              </w:rPr>
              <w:t>Distal SMA type 3</w:t>
              <w:tab/>
              <w:t>muscle</w:t>
            </w:r>
            <w:r>
              <w:rPr>
                <w:color w:val="231F20"/>
                <w:spacing w:val="-7"/>
                <w:sz w:val="15"/>
              </w:rPr>
              <w:t> </w:t>
            </w:r>
            <w:r>
              <w:rPr>
                <w:color w:val="231F20"/>
                <w:sz w:val="15"/>
              </w:rPr>
              <w:t>wasting</w:t>
            </w:r>
            <w:r>
              <w:rPr>
                <w:color w:val="231F20"/>
                <w:spacing w:val="-7"/>
                <w:sz w:val="15"/>
              </w:rPr>
              <w:t> </w:t>
            </w:r>
            <w:r>
              <w:rPr>
                <w:color w:val="231F20"/>
                <w:sz w:val="15"/>
              </w:rPr>
              <w:t>and</w:t>
            </w:r>
            <w:r>
              <w:rPr>
                <w:color w:val="231F20"/>
                <w:spacing w:val="-7"/>
                <w:sz w:val="15"/>
              </w:rPr>
              <w:t> </w:t>
            </w:r>
            <w:r>
              <w:rPr>
                <w:color w:val="231F20"/>
                <w:sz w:val="15"/>
              </w:rPr>
              <w:t>weakness</w:t>
            </w:r>
            <w:r>
              <w:rPr>
                <w:color w:val="231F20"/>
                <w:spacing w:val="-7"/>
                <w:sz w:val="15"/>
              </w:rPr>
              <w:t> </w:t>
            </w:r>
            <w:r>
              <w:rPr>
                <w:color w:val="231F20"/>
                <w:sz w:val="15"/>
              </w:rPr>
              <w:t>and diaphragmatic paralysis</w:t>
            </w:r>
          </w:p>
          <w:p>
            <w:pPr>
              <w:pStyle w:val="TableParagraph"/>
              <w:tabs>
                <w:tab w:pos="2300" w:val="left" w:leader="none"/>
              </w:tabs>
              <w:spacing w:line="168" w:lineRule="exact"/>
              <w:ind w:left="73"/>
              <w:rPr>
                <w:sz w:val="15"/>
              </w:rPr>
            </w:pPr>
            <w:r>
              <w:rPr>
                <w:color w:val="231F20"/>
                <w:w w:val="105"/>
                <w:sz w:val="15"/>
              </w:rPr>
              <w:t>dHMNV</w:t>
            </w:r>
            <w:r>
              <w:rPr>
                <w:color w:val="231F20"/>
                <w:spacing w:val="36"/>
                <w:w w:val="105"/>
                <w:sz w:val="15"/>
              </w:rPr>
              <w:t> </w:t>
            </w:r>
            <w:r>
              <w:rPr>
                <w:color w:val="231F20"/>
                <w:spacing w:val="-2"/>
                <w:w w:val="105"/>
                <w:sz w:val="15"/>
              </w:rPr>
              <w:t>(600794)</w:t>
            </w:r>
            <w:r>
              <w:rPr>
                <w:color w:val="231F20"/>
                <w:sz w:val="15"/>
              </w:rPr>
              <w:tab/>
            </w:r>
            <w:r>
              <w:rPr>
                <w:color w:val="231F20"/>
                <w:w w:val="90"/>
                <w:sz w:val="15"/>
              </w:rPr>
              <w:t>(Allelic</w:t>
            </w:r>
            <w:r>
              <w:rPr>
                <w:color w:val="231F20"/>
                <w:spacing w:val="8"/>
                <w:w w:val="105"/>
                <w:sz w:val="15"/>
              </w:rPr>
              <w:t> </w:t>
            </w:r>
            <w:r>
              <w:rPr>
                <w:color w:val="231F20"/>
                <w:spacing w:val="-2"/>
                <w:w w:val="105"/>
                <w:sz w:val="15"/>
              </w:rPr>
              <w:t>CMT2D)</w:t>
            </w:r>
          </w:p>
          <w:p>
            <w:pPr>
              <w:pStyle w:val="TableParagraph"/>
              <w:spacing w:line="230" w:lineRule="auto" w:before="2"/>
              <w:ind w:left="2412" w:right="184" w:hanging="112"/>
              <w:rPr>
                <w:sz w:val="15"/>
              </w:rPr>
            </w:pPr>
            <w:r>
              <w:rPr>
                <w:color w:val="231F20"/>
                <w:sz w:val="15"/>
              </w:rPr>
              <w:t>Autosomal dominant. Upper limb </w:t>
            </w:r>
            <w:r>
              <w:rPr>
                <w:color w:val="231F20"/>
                <w:spacing w:val="-2"/>
                <w:sz w:val="15"/>
              </w:rPr>
              <w:t>predominance, occasional pyramidal </w:t>
            </w:r>
            <w:r>
              <w:rPr>
                <w:color w:val="231F20"/>
                <w:spacing w:val="-2"/>
                <w:sz w:val="15"/>
              </w:rPr>
              <w:t>features</w:t>
            </w:r>
          </w:p>
          <w:p>
            <w:pPr>
              <w:pStyle w:val="TableParagraph"/>
              <w:tabs>
                <w:tab w:pos="2300" w:val="left" w:leader="none"/>
                <w:tab w:pos="2412" w:val="left" w:leader="none"/>
              </w:tabs>
              <w:spacing w:line="230" w:lineRule="auto" w:before="3"/>
              <w:ind w:left="185" w:right="298" w:hanging="112"/>
              <w:rPr>
                <w:sz w:val="15"/>
              </w:rPr>
            </w:pPr>
            <w:r>
              <w:rPr>
                <w:color w:val="231F20"/>
                <w:sz w:val="15"/>
              </w:rPr>
              <w:t>dHMN type V (Silver</w:t>
              <w:tab/>
              <w:t>Autosomal</w:t>
            </w:r>
            <w:r>
              <w:rPr>
                <w:color w:val="231F20"/>
                <w:spacing w:val="-8"/>
                <w:sz w:val="15"/>
              </w:rPr>
              <w:t> </w:t>
            </w:r>
            <w:r>
              <w:rPr>
                <w:color w:val="231F20"/>
                <w:sz w:val="15"/>
              </w:rPr>
              <w:t>dominant.</w:t>
            </w:r>
            <w:r>
              <w:rPr>
                <w:color w:val="231F20"/>
                <w:spacing w:val="-8"/>
                <w:sz w:val="15"/>
              </w:rPr>
              <w:t> </w:t>
            </w:r>
            <w:r>
              <w:rPr>
                <w:color w:val="231F20"/>
                <w:sz w:val="15"/>
              </w:rPr>
              <w:t>Prominent</w:t>
            </w:r>
            <w:r>
              <w:rPr>
                <w:color w:val="231F20"/>
                <w:spacing w:val="-8"/>
                <w:sz w:val="15"/>
              </w:rPr>
              <w:t> </w:t>
            </w:r>
            <w:r>
              <w:rPr>
                <w:color w:val="231F20"/>
                <w:sz w:val="15"/>
              </w:rPr>
              <w:t>hand</w:t>
            </w:r>
            <w:r>
              <w:rPr>
                <w:color w:val="231F20"/>
                <w:spacing w:val="-8"/>
                <w:sz w:val="15"/>
              </w:rPr>
              <w:t> </w:t>
            </w:r>
            <w:r>
              <w:rPr>
                <w:color w:val="231F20"/>
                <w:sz w:val="15"/>
              </w:rPr>
              <w:t>muscle syndrome) (270685)</w:t>
              <w:tab/>
              <w:tab/>
              <w:t>weakness and wasting, mild to severe</w:t>
            </w:r>
          </w:p>
          <w:p>
            <w:pPr>
              <w:pStyle w:val="TableParagraph"/>
              <w:spacing w:line="168" w:lineRule="exact"/>
              <w:ind w:left="2412"/>
              <w:rPr>
                <w:sz w:val="15"/>
              </w:rPr>
            </w:pPr>
            <w:r>
              <w:rPr>
                <w:color w:val="231F20"/>
                <w:spacing w:val="-2"/>
                <w:sz w:val="15"/>
              </w:rPr>
              <w:t>spasticity</w:t>
            </w:r>
            <w:r>
              <w:rPr>
                <w:color w:val="231F20"/>
                <w:spacing w:val="-5"/>
                <w:sz w:val="15"/>
              </w:rPr>
              <w:t> </w:t>
            </w:r>
            <w:r>
              <w:rPr>
                <w:color w:val="231F20"/>
                <w:spacing w:val="-2"/>
                <w:sz w:val="15"/>
              </w:rPr>
              <w:t>of</w:t>
            </w:r>
            <w:r>
              <w:rPr>
                <w:color w:val="231F20"/>
                <w:spacing w:val="-5"/>
                <w:sz w:val="15"/>
              </w:rPr>
              <w:t> </w:t>
            </w:r>
            <w:r>
              <w:rPr>
                <w:color w:val="231F20"/>
                <w:spacing w:val="-2"/>
                <w:sz w:val="15"/>
              </w:rPr>
              <w:t>lower</w:t>
            </w:r>
            <w:r>
              <w:rPr>
                <w:color w:val="231F20"/>
                <w:spacing w:val="-4"/>
                <w:sz w:val="15"/>
              </w:rPr>
              <w:t> </w:t>
            </w:r>
            <w:r>
              <w:rPr>
                <w:color w:val="231F20"/>
                <w:spacing w:val="-2"/>
                <w:sz w:val="15"/>
              </w:rPr>
              <w:t>limbs</w:t>
            </w:r>
          </w:p>
          <w:p>
            <w:pPr>
              <w:pStyle w:val="TableParagraph"/>
              <w:tabs>
                <w:tab w:pos="2300" w:val="left" w:leader="none"/>
              </w:tabs>
              <w:spacing w:line="169" w:lineRule="exact"/>
              <w:ind w:left="73"/>
              <w:rPr>
                <w:sz w:val="15"/>
              </w:rPr>
            </w:pPr>
            <w:r>
              <w:rPr>
                <w:color w:val="231F20"/>
                <w:spacing w:val="2"/>
                <w:sz w:val="15"/>
              </w:rPr>
              <w:t>dHMNVI</w:t>
            </w:r>
            <w:r>
              <w:rPr>
                <w:color w:val="231F20"/>
                <w:spacing w:val="45"/>
                <w:sz w:val="15"/>
              </w:rPr>
              <w:t> </w:t>
            </w:r>
            <w:r>
              <w:rPr>
                <w:color w:val="231F20"/>
                <w:spacing w:val="-2"/>
                <w:sz w:val="15"/>
              </w:rPr>
              <w:t>(604320)</w:t>
            </w:r>
            <w:r>
              <w:rPr>
                <w:color w:val="231F20"/>
                <w:sz w:val="15"/>
              </w:rPr>
              <w:tab/>
            </w:r>
            <w:r>
              <w:rPr>
                <w:color w:val="231F20"/>
                <w:w w:val="90"/>
                <w:sz w:val="15"/>
              </w:rPr>
              <w:t>(Allelic</w:t>
            </w:r>
            <w:r>
              <w:rPr>
                <w:color w:val="231F20"/>
                <w:spacing w:val="10"/>
                <w:sz w:val="15"/>
              </w:rPr>
              <w:t> </w:t>
            </w:r>
            <w:r>
              <w:rPr>
                <w:color w:val="231F20"/>
                <w:spacing w:val="-2"/>
                <w:sz w:val="15"/>
              </w:rPr>
              <w:t>SMARD1)</w:t>
            </w:r>
          </w:p>
          <w:p>
            <w:pPr>
              <w:pStyle w:val="TableParagraph"/>
              <w:spacing w:line="230" w:lineRule="auto" w:before="3"/>
              <w:ind w:left="2412" w:right="184" w:hanging="112"/>
              <w:rPr>
                <w:sz w:val="15"/>
              </w:rPr>
            </w:pPr>
            <w:r>
              <w:rPr>
                <w:color w:val="231F20"/>
                <w:spacing w:val="-2"/>
                <w:sz w:val="15"/>
              </w:rPr>
              <w:t>Autosomal</w:t>
            </w:r>
            <w:r>
              <w:rPr>
                <w:color w:val="231F20"/>
                <w:spacing w:val="-6"/>
                <w:sz w:val="15"/>
              </w:rPr>
              <w:t> </w:t>
            </w:r>
            <w:r>
              <w:rPr>
                <w:color w:val="231F20"/>
                <w:spacing w:val="-2"/>
                <w:sz w:val="15"/>
              </w:rPr>
              <w:t>recessive.</w:t>
            </w:r>
            <w:r>
              <w:rPr>
                <w:color w:val="231F20"/>
                <w:spacing w:val="-6"/>
                <w:sz w:val="15"/>
              </w:rPr>
              <w:t> </w:t>
            </w:r>
            <w:r>
              <w:rPr>
                <w:color w:val="231F20"/>
                <w:spacing w:val="-2"/>
                <w:sz w:val="15"/>
              </w:rPr>
              <w:t>Severe</w:t>
            </w:r>
            <w:r>
              <w:rPr>
                <w:color w:val="231F20"/>
                <w:spacing w:val="-6"/>
                <w:sz w:val="15"/>
              </w:rPr>
              <w:t> </w:t>
            </w:r>
            <w:r>
              <w:rPr>
                <w:color w:val="231F20"/>
                <w:spacing w:val="-2"/>
                <w:sz w:val="15"/>
              </w:rPr>
              <w:t>infantile</w:t>
            </w:r>
            <w:r>
              <w:rPr>
                <w:color w:val="231F20"/>
                <w:spacing w:val="-6"/>
                <w:sz w:val="15"/>
              </w:rPr>
              <w:t> </w:t>
            </w:r>
            <w:r>
              <w:rPr>
                <w:color w:val="231F20"/>
                <w:spacing w:val="-2"/>
                <w:sz w:val="15"/>
              </w:rPr>
              <w:t>form</w:t>
            </w:r>
            <w:r>
              <w:rPr>
                <w:color w:val="231F20"/>
                <w:spacing w:val="-6"/>
                <w:sz w:val="15"/>
              </w:rPr>
              <w:t> </w:t>
            </w:r>
            <w:r>
              <w:rPr>
                <w:color w:val="231F20"/>
                <w:spacing w:val="-2"/>
                <w:sz w:val="15"/>
              </w:rPr>
              <w:t>with </w:t>
            </w:r>
            <w:r>
              <w:rPr>
                <w:color w:val="231F20"/>
                <w:sz w:val="15"/>
              </w:rPr>
              <w:t>respiratory distress</w:t>
            </w:r>
          </w:p>
          <w:p>
            <w:pPr>
              <w:pStyle w:val="TableParagraph"/>
              <w:tabs>
                <w:tab w:pos="2300" w:val="left" w:leader="none"/>
              </w:tabs>
              <w:spacing w:line="230" w:lineRule="auto" w:before="3"/>
              <w:ind w:left="2412" w:right="415" w:hanging="2340"/>
              <w:rPr>
                <w:sz w:val="15"/>
              </w:rPr>
            </w:pPr>
            <w:r>
              <w:rPr>
                <w:color w:val="231F20"/>
                <w:sz w:val="15"/>
              </w:rPr>
              <w:t>dHMNVIIA (158580)</w:t>
              <w:tab/>
              <w:t>Autosomal</w:t>
            </w:r>
            <w:r>
              <w:rPr>
                <w:color w:val="231F20"/>
                <w:spacing w:val="-7"/>
                <w:sz w:val="15"/>
              </w:rPr>
              <w:t> </w:t>
            </w:r>
            <w:r>
              <w:rPr>
                <w:color w:val="231F20"/>
                <w:sz w:val="15"/>
              </w:rPr>
              <w:t>dominant.</w:t>
            </w:r>
            <w:r>
              <w:rPr>
                <w:color w:val="231F20"/>
                <w:spacing w:val="-7"/>
                <w:sz w:val="15"/>
              </w:rPr>
              <w:t> </w:t>
            </w:r>
            <w:r>
              <w:rPr>
                <w:color w:val="231F20"/>
                <w:sz w:val="15"/>
              </w:rPr>
              <w:t>Onset</w:t>
            </w:r>
            <w:r>
              <w:rPr>
                <w:color w:val="231F20"/>
                <w:spacing w:val="-7"/>
                <w:sz w:val="15"/>
              </w:rPr>
              <w:t> </w:t>
            </w:r>
            <w:r>
              <w:rPr>
                <w:color w:val="231F20"/>
                <w:sz w:val="15"/>
              </w:rPr>
              <w:t>with</w:t>
            </w:r>
            <w:r>
              <w:rPr>
                <w:color w:val="231F20"/>
                <w:spacing w:val="-7"/>
                <w:sz w:val="15"/>
              </w:rPr>
              <w:t> </w:t>
            </w:r>
            <w:r>
              <w:rPr>
                <w:color w:val="231F20"/>
                <w:sz w:val="15"/>
              </w:rPr>
              <w:t>vocal</w:t>
            </w:r>
            <w:r>
              <w:rPr>
                <w:color w:val="231F20"/>
                <w:spacing w:val="-7"/>
                <w:sz w:val="15"/>
              </w:rPr>
              <w:t> </w:t>
            </w:r>
            <w:r>
              <w:rPr>
                <w:color w:val="231F20"/>
                <w:sz w:val="15"/>
              </w:rPr>
              <w:t>cord </w:t>
            </w:r>
            <w:r>
              <w:rPr>
                <w:color w:val="231F20"/>
                <w:spacing w:val="-2"/>
                <w:sz w:val="15"/>
              </w:rPr>
              <w:t>paralysis</w:t>
            </w:r>
          </w:p>
          <w:p>
            <w:pPr>
              <w:pStyle w:val="TableParagraph"/>
              <w:tabs>
                <w:tab w:pos="2300" w:val="left" w:leader="none"/>
              </w:tabs>
              <w:spacing w:line="168" w:lineRule="exact"/>
              <w:ind w:left="73"/>
              <w:rPr>
                <w:sz w:val="15"/>
              </w:rPr>
            </w:pPr>
            <w:r>
              <w:rPr>
                <w:color w:val="231F20"/>
                <w:spacing w:val="4"/>
                <w:sz w:val="15"/>
              </w:rPr>
              <w:t>dHMNVIIB</w:t>
            </w:r>
            <w:r>
              <w:rPr>
                <w:color w:val="231F20"/>
                <w:spacing w:val="33"/>
                <w:sz w:val="15"/>
              </w:rPr>
              <w:t> </w:t>
            </w:r>
            <w:r>
              <w:rPr>
                <w:color w:val="231F20"/>
                <w:spacing w:val="-2"/>
                <w:sz w:val="15"/>
              </w:rPr>
              <w:t>(607641)</w:t>
            </w:r>
            <w:r>
              <w:rPr>
                <w:color w:val="231F20"/>
                <w:sz w:val="15"/>
              </w:rPr>
              <w:tab/>
              <w:t>Autosomal</w:t>
            </w:r>
            <w:r>
              <w:rPr>
                <w:color w:val="231F20"/>
                <w:spacing w:val="-3"/>
                <w:sz w:val="15"/>
              </w:rPr>
              <w:t> </w:t>
            </w:r>
            <w:r>
              <w:rPr>
                <w:color w:val="231F20"/>
                <w:sz w:val="15"/>
              </w:rPr>
              <w:t>dominant.</w:t>
            </w:r>
            <w:r>
              <w:rPr>
                <w:color w:val="231F20"/>
                <w:spacing w:val="-3"/>
                <w:sz w:val="15"/>
              </w:rPr>
              <w:t> </w:t>
            </w:r>
            <w:r>
              <w:rPr>
                <w:color w:val="231F20"/>
                <w:sz w:val="15"/>
              </w:rPr>
              <w:t>Onset</w:t>
            </w:r>
            <w:r>
              <w:rPr>
                <w:color w:val="231F20"/>
                <w:spacing w:val="-3"/>
                <w:sz w:val="15"/>
              </w:rPr>
              <w:t> </w:t>
            </w:r>
            <w:r>
              <w:rPr>
                <w:color w:val="231F20"/>
                <w:sz w:val="15"/>
              </w:rPr>
              <w:t>with</w:t>
            </w:r>
            <w:r>
              <w:rPr>
                <w:color w:val="231F20"/>
                <w:spacing w:val="-2"/>
                <w:sz w:val="15"/>
              </w:rPr>
              <w:t> </w:t>
            </w:r>
            <w:r>
              <w:rPr>
                <w:color w:val="231F20"/>
                <w:sz w:val="15"/>
              </w:rPr>
              <w:t>vocal</w:t>
            </w:r>
            <w:r>
              <w:rPr>
                <w:color w:val="231F20"/>
                <w:spacing w:val="-3"/>
                <w:sz w:val="15"/>
              </w:rPr>
              <w:t> </w:t>
            </w:r>
            <w:r>
              <w:rPr>
                <w:color w:val="231F20"/>
                <w:spacing w:val="-4"/>
                <w:sz w:val="15"/>
              </w:rPr>
              <w:t>cord</w:t>
            </w:r>
          </w:p>
          <w:p>
            <w:pPr>
              <w:pStyle w:val="TableParagraph"/>
              <w:spacing w:line="169" w:lineRule="exact"/>
              <w:ind w:left="2412"/>
              <w:rPr>
                <w:sz w:val="15"/>
              </w:rPr>
            </w:pPr>
            <w:r>
              <w:rPr>
                <w:color w:val="231F20"/>
                <w:spacing w:val="-2"/>
                <w:sz w:val="15"/>
              </w:rPr>
              <w:t>paralysis</w:t>
            </w:r>
            <w:r>
              <w:rPr>
                <w:color w:val="231F20"/>
                <w:spacing w:val="-4"/>
                <w:sz w:val="15"/>
              </w:rPr>
              <w:t> </w:t>
            </w:r>
            <w:r>
              <w:rPr>
                <w:color w:val="231F20"/>
                <w:spacing w:val="-2"/>
                <w:sz w:val="15"/>
              </w:rPr>
              <w:t>and</w:t>
            </w:r>
            <w:r>
              <w:rPr>
                <w:color w:val="231F20"/>
                <w:spacing w:val="-4"/>
                <w:sz w:val="15"/>
              </w:rPr>
              <w:t> </w:t>
            </w:r>
            <w:r>
              <w:rPr>
                <w:color w:val="231F20"/>
                <w:spacing w:val="-2"/>
                <w:sz w:val="15"/>
              </w:rPr>
              <w:t>facial</w:t>
            </w:r>
            <w:r>
              <w:rPr>
                <w:color w:val="231F20"/>
                <w:spacing w:val="-3"/>
                <w:sz w:val="15"/>
              </w:rPr>
              <w:t> </w:t>
            </w:r>
            <w:r>
              <w:rPr>
                <w:color w:val="231F20"/>
                <w:spacing w:val="-2"/>
                <w:sz w:val="15"/>
              </w:rPr>
              <w:t>weakness</w:t>
            </w:r>
          </w:p>
          <w:p>
            <w:pPr>
              <w:pStyle w:val="TableParagraph"/>
              <w:spacing w:line="169" w:lineRule="exact"/>
              <w:ind w:left="73"/>
              <w:rPr>
                <w:sz w:val="15"/>
              </w:rPr>
            </w:pPr>
            <w:r>
              <w:rPr>
                <w:color w:val="231F20"/>
                <w:sz w:val="15"/>
              </w:rPr>
              <w:t>X-linked</w:t>
            </w:r>
            <w:r>
              <w:rPr>
                <w:color w:val="231F20"/>
                <w:spacing w:val="-10"/>
                <w:sz w:val="15"/>
              </w:rPr>
              <w:t> </w:t>
            </w:r>
            <w:r>
              <w:rPr>
                <w:color w:val="231F20"/>
                <w:spacing w:val="-4"/>
                <w:sz w:val="15"/>
              </w:rPr>
              <w:t>dHMN</w:t>
            </w:r>
          </w:p>
          <w:p>
            <w:pPr>
              <w:pStyle w:val="TableParagraph"/>
              <w:tabs>
                <w:tab w:pos="2300" w:val="left" w:leader="none"/>
              </w:tabs>
              <w:spacing w:line="169" w:lineRule="exact"/>
              <w:ind w:left="73"/>
              <w:rPr>
                <w:sz w:val="15"/>
              </w:rPr>
            </w:pPr>
            <w:r>
              <w:rPr>
                <w:color w:val="231F20"/>
                <w:spacing w:val="2"/>
                <w:sz w:val="15"/>
              </w:rPr>
              <w:t>dHMN/ALS4</w:t>
            </w:r>
            <w:r>
              <w:rPr>
                <w:color w:val="231F20"/>
                <w:spacing w:val="45"/>
                <w:sz w:val="15"/>
              </w:rPr>
              <w:t> </w:t>
            </w:r>
            <w:r>
              <w:rPr>
                <w:color w:val="231F20"/>
                <w:spacing w:val="-2"/>
                <w:sz w:val="15"/>
              </w:rPr>
              <w:t>(602433)</w:t>
            </w:r>
            <w:r>
              <w:rPr>
                <w:color w:val="231F20"/>
                <w:sz w:val="15"/>
              </w:rPr>
              <w:tab/>
            </w:r>
            <w:r>
              <w:rPr>
                <w:color w:val="231F20"/>
                <w:spacing w:val="-2"/>
                <w:sz w:val="15"/>
              </w:rPr>
              <w:t>X-linked recessive. Juvenile onset with distal</w:t>
            </w:r>
          </w:p>
          <w:p>
            <w:pPr>
              <w:pStyle w:val="TableParagraph"/>
              <w:spacing w:line="169" w:lineRule="exact"/>
              <w:ind w:left="2412"/>
              <w:rPr>
                <w:sz w:val="15"/>
              </w:rPr>
            </w:pPr>
            <w:r>
              <w:rPr>
                <w:color w:val="231F20"/>
                <w:sz w:val="15"/>
              </w:rPr>
              <w:t>wasting</w:t>
            </w:r>
            <w:r>
              <w:rPr>
                <w:color w:val="231F20"/>
                <w:spacing w:val="2"/>
                <w:sz w:val="15"/>
              </w:rPr>
              <w:t> </w:t>
            </w:r>
            <w:r>
              <w:rPr>
                <w:color w:val="231F20"/>
                <w:sz w:val="15"/>
              </w:rPr>
              <w:t>and</w:t>
            </w:r>
            <w:r>
              <w:rPr>
                <w:color w:val="231F20"/>
                <w:spacing w:val="2"/>
                <w:sz w:val="15"/>
              </w:rPr>
              <w:t> </w:t>
            </w:r>
            <w:r>
              <w:rPr>
                <w:color w:val="231F20"/>
                <w:spacing w:val="-2"/>
                <w:sz w:val="15"/>
              </w:rPr>
              <w:t>weakness</w:t>
            </w:r>
          </w:p>
          <w:p>
            <w:pPr>
              <w:pStyle w:val="TableParagraph"/>
              <w:tabs>
                <w:tab w:pos="2299" w:val="left" w:leader="none"/>
              </w:tabs>
              <w:spacing w:line="230" w:lineRule="auto" w:before="3"/>
              <w:ind w:left="2411" w:right="244" w:hanging="2340"/>
              <w:rPr>
                <w:sz w:val="15"/>
              </w:rPr>
            </w:pPr>
            <w:r>
              <w:rPr>
                <w:color w:val="231F20"/>
                <w:sz w:val="15"/>
              </w:rPr>
              <w:t>dHMN-J (Jerash)</w:t>
              <w:tab/>
              <w:t>Autosomal</w:t>
            </w:r>
            <w:r>
              <w:rPr>
                <w:color w:val="231F20"/>
                <w:spacing w:val="-12"/>
                <w:sz w:val="15"/>
              </w:rPr>
              <w:t> </w:t>
            </w:r>
            <w:r>
              <w:rPr>
                <w:color w:val="231F20"/>
                <w:sz w:val="15"/>
              </w:rPr>
              <w:t>dominant.</w:t>
            </w:r>
            <w:r>
              <w:rPr>
                <w:color w:val="231F20"/>
                <w:spacing w:val="-11"/>
                <w:sz w:val="15"/>
              </w:rPr>
              <w:t> </w:t>
            </w:r>
            <w:r>
              <w:rPr>
                <w:color w:val="231F20"/>
                <w:sz w:val="15"/>
              </w:rPr>
              <w:t>Early</w:t>
            </w:r>
            <w:r>
              <w:rPr>
                <w:color w:val="231F20"/>
                <w:spacing w:val="-11"/>
                <w:sz w:val="15"/>
              </w:rPr>
              <w:t> </w:t>
            </w:r>
            <w:r>
              <w:rPr>
                <w:color w:val="231F20"/>
                <w:sz w:val="15"/>
              </w:rPr>
              <w:t>onset</w:t>
            </w:r>
            <w:r>
              <w:rPr>
                <w:color w:val="231F20"/>
                <w:spacing w:val="-12"/>
                <w:sz w:val="15"/>
              </w:rPr>
              <w:t> </w:t>
            </w:r>
            <w:r>
              <w:rPr>
                <w:color w:val="231F20"/>
                <w:sz w:val="15"/>
              </w:rPr>
              <w:t>symptomatic in 2nd decade with pyramidal tract signs</w:t>
            </w:r>
          </w:p>
          <w:p>
            <w:pPr>
              <w:pStyle w:val="TableParagraph"/>
              <w:tabs>
                <w:tab w:pos="2299" w:val="left" w:leader="none"/>
                <w:tab w:pos="2411" w:val="left" w:leader="none"/>
              </w:tabs>
              <w:spacing w:line="230" w:lineRule="auto" w:before="3"/>
              <w:ind w:left="184" w:right="336" w:hanging="112"/>
              <w:rPr>
                <w:sz w:val="15"/>
              </w:rPr>
            </w:pPr>
            <w:r>
              <w:rPr>
                <w:color w:val="231F20"/>
                <w:sz w:val="15"/>
              </w:rPr>
              <w:t>Congenital distal SMA</w:t>
              <w:tab/>
              <w:t>Autosomal</w:t>
            </w:r>
            <w:r>
              <w:rPr>
                <w:color w:val="231F20"/>
                <w:spacing w:val="-12"/>
                <w:sz w:val="15"/>
              </w:rPr>
              <w:t> </w:t>
            </w:r>
            <w:r>
              <w:rPr>
                <w:color w:val="231F20"/>
                <w:sz w:val="15"/>
              </w:rPr>
              <w:t>recessive.</w:t>
            </w:r>
            <w:r>
              <w:rPr>
                <w:color w:val="231F20"/>
                <w:spacing w:val="-11"/>
                <w:sz w:val="15"/>
              </w:rPr>
              <w:t> </w:t>
            </w:r>
            <w:r>
              <w:rPr>
                <w:color w:val="231F20"/>
                <w:sz w:val="15"/>
              </w:rPr>
              <w:t>Onset</w:t>
            </w:r>
            <w:r>
              <w:rPr>
                <w:color w:val="231F20"/>
                <w:spacing w:val="-11"/>
                <w:sz w:val="15"/>
              </w:rPr>
              <w:t> </w:t>
            </w:r>
            <w:r>
              <w:rPr>
                <w:color w:val="231F20"/>
                <w:sz w:val="15"/>
              </w:rPr>
              <w:t>from</w:t>
            </w:r>
            <w:r>
              <w:rPr>
                <w:color w:val="231F20"/>
                <w:spacing w:val="-12"/>
                <w:sz w:val="15"/>
              </w:rPr>
              <w:t> </w:t>
            </w:r>
            <w:r>
              <w:rPr>
                <w:color w:val="231F20"/>
                <w:sz w:val="15"/>
              </w:rPr>
              <w:t>6-10</w:t>
            </w:r>
            <w:r>
              <w:rPr>
                <w:color w:val="231F20"/>
                <w:spacing w:val="-11"/>
                <w:sz w:val="15"/>
              </w:rPr>
              <w:t> </w:t>
            </w:r>
            <w:r>
              <w:rPr>
                <w:color w:val="231F20"/>
                <w:sz w:val="15"/>
              </w:rPr>
              <w:t>yr</w:t>
            </w:r>
            <w:r>
              <w:rPr>
                <w:color w:val="231F20"/>
                <w:spacing w:val="-11"/>
                <w:sz w:val="15"/>
              </w:rPr>
              <w:t> </w:t>
            </w:r>
            <w:r>
              <w:rPr>
                <w:color w:val="231F20"/>
                <w:sz w:val="15"/>
              </w:rPr>
              <w:t>with </w:t>
            </w:r>
            <w:r>
              <w:rPr>
                <w:color w:val="231F20"/>
                <w:spacing w:val="-2"/>
                <w:sz w:val="15"/>
              </w:rPr>
              <w:t>(600175)</w:t>
            </w:r>
            <w:r>
              <w:rPr>
                <w:color w:val="231F20"/>
                <w:sz w:val="15"/>
              </w:rPr>
              <w:tab/>
              <w:tab/>
              <w:t>pyramidal features in 1 Jordanian family</w:t>
            </w:r>
          </w:p>
          <w:p>
            <w:pPr>
              <w:pStyle w:val="TableParagraph"/>
              <w:spacing w:line="230" w:lineRule="auto" w:before="3"/>
              <w:ind w:left="2411" w:hanging="112"/>
              <w:rPr>
                <w:sz w:val="15"/>
              </w:rPr>
            </w:pPr>
            <w:r>
              <w:rPr>
                <w:color w:val="231F20"/>
                <w:sz w:val="15"/>
              </w:rPr>
              <w:t>Autosomal dominant congenital </w:t>
            </w:r>
            <w:r>
              <w:rPr>
                <w:color w:val="231F20"/>
                <w:sz w:val="15"/>
              </w:rPr>
              <w:t>nonprogressive distal HMN with contractures</w:t>
            </w:r>
          </w:p>
          <w:p>
            <w:pPr>
              <w:pStyle w:val="TableParagraph"/>
              <w:tabs>
                <w:tab w:pos="2299" w:val="left" w:leader="none"/>
                <w:tab w:pos="2411" w:val="left" w:leader="none"/>
              </w:tabs>
              <w:spacing w:line="230" w:lineRule="auto" w:before="3"/>
              <w:ind w:left="184" w:right="291" w:hanging="112"/>
              <w:rPr>
                <w:sz w:val="15"/>
              </w:rPr>
            </w:pPr>
            <w:r>
              <w:rPr>
                <w:color w:val="231F20"/>
                <w:sz w:val="15"/>
              </w:rPr>
              <w:t>Peripheral neuropathy with</w:t>
              <w:tab/>
              <w:t>Autosomal recessive. Increased in French agenesis of corpus</w:t>
              <w:tab/>
              <w:tab/>
              <w:t>Canadian populations. Progressive axonal callosum (Charlevoix</w:t>
              <w:tab/>
              <w:tab/>
              <w:t>neuropathy. CNS malformations—absence/ disease or Andermann</w:t>
              <w:tab/>
              <w:tab/>
              <w:t>hypoplasia</w:t>
            </w:r>
            <w:r>
              <w:rPr>
                <w:color w:val="231F20"/>
                <w:spacing w:val="-11"/>
                <w:sz w:val="15"/>
              </w:rPr>
              <w:t> </w:t>
            </w:r>
            <w:r>
              <w:rPr>
                <w:color w:val="231F20"/>
                <w:sz w:val="15"/>
              </w:rPr>
              <w:t>of</w:t>
            </w:r>
            <w:r>
              <w:rPr>
                <w:color w:val="231F20"/>
                <w:spacing w:val="-11"/>
                <w:sz w:val="15"/>
              </w:rPr>
              <w:t> </w:t>
            </w:r>
            <w:r>
              <w:rPr>
                <w:color w:val="231F20"/>
                <w:sz w:val="15"/>
              </w:rPr>
              <w:t>corpus</w:t>
            </w:r>
            <w:r>
              <w:rPr>
                <w:color w:val="231F20"/>
                <w:spacing w:val="-11"/>
                <w:sz w:val="15"/>
              </w:rPr>
              <w:t> </w:t>
            </w:r>
            <w:r>
              <w:rPr>
                <w:color w:val="231F20"/>
                <w:sz w:val="15"/>
              </w:rPr>
              <w:t>callosum</w:t>
            </w:r>
            <w:r>
              <w:rPr>
                <w:color w:val="231F20"/>
                <w:spacing w:val="-11"/>
                <w:sz w:val="15"/>
              </w:rPr>
              <w:t> </w:t>
            </w:r>
            <w:r>
              <w:rPr>
                <w:color w:val="231F20"/>
                <w:sz w:val="15"/>
              </w:rPr>
              <w:t>in</w:t>
            </w:r>
            <w:r>
              <w:rPr>
                <w:color w:val="231F20"/>
                <w:spacing w:val="-11"/>
                <w:sz w:val="15"/>
              </w:rPr>
              <w:t> </w:t>
            </w:r>
            <w:r>
              <w:rPr>
                <w:color w:val="231F20"/>
                <w:sz w:val="15"/>
              </w:rPr>
              <w:t>most,</w:t>
            </w:r>
            <w:r>
              <w:rPr>
                <w:color w:val="231F20"/>
                <w:spacing w:val="-11"/>
                <w:sz w:val="15"/>
              </w:rPr>
              <w:t> </w:t>
            </w:r>
            <w:r>
              <w:rPr>
                <w:color w:val="231F20"/>
                <w:sz w:val="15"/>
              </w:rPr>
              <w:t>early syndrome) (218000)</w:t>
              <w:tab/>
              <w:tab/>
              <w:t>onset, developmental delay, areflexia,</w:t>
            </w:r>
          </w:p>
          <w:p>
            <w:pPr>
              <w:pStyle w:val="TableParagraph"/>
              <w:spacing w:line="230" w:lineRule="auto" w:before="4"/>
              <w:ind w:left="2411" w:right="298"/>
              <w:rPr>
                <w:sz w:val="15"/>
              </w:rPr>
            </w:pPr>
            <w:r>
              <w:rPr>
                <w:color w:val="231F20"/>
                <w:sz w:val="15"/>
              </w:rPr>
              <w:t>dysmorphology. Later, increased motor </w:t>
            </w:r>
            <w:r>
              <w:rPr>
                <w:color w:val="231F20"/>
                <w:spacing w:val="-2"/>
                <w:sz w:val="15"/>
              </w:rPr>
              <w:t>disability,</w:t>
            </w:r>
            <w:r>
              <w:rPr>
                <w:color w:val="231F20"/>
                <w:spacing w:val="-7"/>
                <w:sz w:val="15"/>
              </w:rPr>
              <w:t> </w:t>
            </w:r>
            <w:r>
              <w:rPr>
                <w:color w:val="231F20"/>
                <w:spacing w:val="-2"/>
                <w:sz w:val="15"/>
              </w:rPr>
              <w:t>hallucinatory</w:t>
            </w:r>
            <w:r>
              <w:rPr>
                <w:color w:val="231F20"/>
                <w:spacing w:val="-7"/>
                <w:sz w:val="15"/>
              </w:rPr>
              <w:t> </w:t>
            </w:r>
            <w:r>
              <w:rPr>
                <w:color w:val="231F20"/>
                <w:spacing w:val="-2"/>
                <w:sz w:val="15"/>
              </w:rPr>
              <w:t>psychosis.</w:t>
            </w:r>
            <w:r>
              <w:rPr>
                <w:color w:val="231F20"/>
                <w:spacing w:val="-7"/>
                <w:sz w:val="15"/>
              </w:rPr>
              <w:t> </w:t>
            </w:r>
            <w:r>
              <w:rPr>
                <w:color w:val="231F20"/>
                <w:spacing w:val="-2"/>
                <w:sz w:val="15"/>
              </w:rPr>
              <w:t>Death</w:t>
            </w:r>
            <w:r>
              <w:rPr>
                <w:color w:val="231F20"/>
                <w:spacing w:val="-7"/>
                <w:sz w:val="15"/>
              </w:rPr>
              <w:t> </w:t>
            </w:r>
            <w:r>
              <w:rPr>
                <w:color w:val="231F20"/>
                <w:spacing w:val="-2"/>
                <w:sz w:val="15"/>
              </w:rPr>
              <w:t>by </w:t>
            </w:r>
            <w:r>
              <w:rPr>
                <w:color w:val="231F20"/>
                <w:sz w:val="15"/>
              </w:rPr>
              <w:t>3rd decade</w:t>
            </w:r>
          </w:p>
          <w:p>
            <w:pPr>
              <w:pStyle w:val="TableParagraph"/>
              <w:tabs>
                <w:tab w:pos="2299" w:val="left" w:leader="none"/>
                <w:tab w:pos="2411" w:val="left" w:leader="none"/>
              </w:tabs>
              <w:spacing w:line="230" w:lineRule="auto" w:before="3"/>
              <w:ind w:left="184" w:right="184" w:hanging="112"/>
              <w:rPr>
                <w:sz w:val="15"/>
              </w:rPr>
            </w:pPr>
            <w:r>
              <w:rPr>
                <w:color w:val="231F20"/>
                <w:sz w:val="15"/>
              </w:rPr>
              <w:t>Hereditary neuralgic</w:t>
              <w:tab/>
              <w:t>Autosomal</w:t>
            </w:r>
            <w:r>
              <w:rPr>
                <w:color w:val="231F20"/>
                <w:spacing w:val="-2"/>
                <w:sz w:val="15"/>
              </w:rPr>
              <w:t> </w:t>
            </w:r>
            <w:r>
              <w:rPr>
                <w:color w:val="231F20"/>
                <w:sz w:val="15"/>
              </w:rPr>
              <w:t>dominant.</w:t>
            </w:r>
            <w:r>
              <w:rPr>
                <w:color w:val="231F20"/>
                <w:spacing w:val="-2"/>
                <w:sz w:val="15"/>
              </w:rPr>
              <w:t> </w:t>
            </w:r>
            <w:r>
              <w:rPr>
                <w:color w:val="231F20"/>
                <w:sz w:val="15"/>
              </w:rPr>
              <w:t>Episodes</w:t>
            </w:r>
            <w:r>
              <w:rPr>
                <w:color w:val="231F20"/>
                <w:spacing w:val="-2"/>
                <w:sz w:val="15"/>
              </w:rPr>
              <w:t> </w:t>
            </w:r>
            <w:r>
              <w:rPr>
                <w:color w:val="231F20"/>
                <w:sz w:val="15"/>
              </w:rPr>
              <w:t>of</w:t>
            </w:r>
            <w:r>
              <w:rPr>
                <w:color w:val="231F20"/>
                <w:spacing w:val="-2"/>
                <w:sz w:val="15"/>
              </w:rPr>
              <w:t> </w:t>
            </w:r>
            <w:r>
              <w:rPr>
                <w:color w:val="231F20"/>
                <w:sz w:val="15"/>
              </w:rPr>
              <w:t>paralysis</w:t>
            </w:r>
            <w:r>
              <w:rPr>
                <w:color w:val="231F20"/>
                <w:spacing w:val="-2"/>
                <w:sz w:val="15"/>
              </w:rPr>
              <w:t> </w:t>
            </w:r>
            <w:r>
              <w:rPr>
                <w:color w:val="231F20"/>
                <w:sz w:val="15"/>
              </w:rPr>
              <w:t>and amyotrophy (brachial</w:t>
              <w:tab/>
              <w:tab/>
              <w:t>muscle weakness initiated by severe pain. plexus neuropathy)</w:t>
              <w:tab/>
              <w:tab/>
              <w:t>Onset can be from birth or later childhood </w:t>
            </w:r>
            <w:r>
              <w:rPr>
                <w:color w:val="231F20"/>
                <w:spacing w:val="-2"/>
                <w:sz w:val="15"/>
              </w:rPr>
              <w:t>(162100)</w:t>
            </w:r>
            <w:r>
              <w:rPr>
                <w:color w:val="231F20"/>
                <w:sz w:val="15"/>
              </w:rPr>
              <w:tab/>
              <w:tab/>
              <w:t>but usually adult onset. Outcome usually</w:t>
            </w:r>
          </w:p>
          <w:p>
            <w:pPr>
              <w:pStyle w:val="TableParagraph"/>
              <w:spacing w:line="230" w:lineRule="auto" w:before="3"/>
              <w:ind w:left="2411"/>
              <w:rPr>
                <w:sz w:val="15"/>
              </w:rPr>
            </w:pPr>
            <w:r>
              <w:rPr>
                <w:color w:val="231F20"/>
                <w:sz w:val="15"/>
              </w:rPr>
              <w:t>good</w:t>
            </w:r>
            <w:r>
              <w:rPr>
                <w:color w:val="231F20"/>
                <w:spacing w:val="-12"/>
                <w:sz w:val="15"/>
              </w:rPr>
              <w:t> </w:t>
            </w:r>
            <w:r>
              <w:rPr>
                <w:color w:val="231F20"/>
                <w:sz w:val="15"/>
              </w:rPr>
              <w:t>but</w:t>
            </w:r>
            <w:r>
              <w:rPr>
                <w:color w:val="231F20"/>
                <w:spacing w:val="-11"/>
                <w:sz w:val="15"/>
              </w:rPr>
              <w:t> </w:t>
            </w:r>
            <w:r>
              <w:rPr>
                <w:color w:val="231F20"/>
                <w:sz w:val="15"/>
              </w:rPr>
              <w:t>some</w:t>
            </w:r>
            <w:r>
              <w:rPr>
                <w:color w:val="231F20"/>
                <w:spacing w:val="-11"/>
                <w:sz w:val="15"/>
              </w:rPr>
              <w:t> </w:t>
            </w:r>
            <w:r>
              <w:rPr>
                <w:color w:val="231F20"/>
                <w:sz w:val="15"/>
              </w:rPr>
              <w:t>left</w:t>
            </w:r>
            <w:r>
              <w:rPr>
                <w:color w:val="231F20"/>
                <w:spacing w:val="-12"/>
                <w:sz w:val="15"/>
              </w:rPr>
              <w:t> </w:t>
            </w:r>
            <w:r>
              <w:rPr>
                <w:color w:val="231F20"/>
                <w:sz w:val="15"/>
              </w:rPr>
              <w:t>with</w:t>
            </w:r>
            <w:r>
              <w:rPr>
                <w:color w:val="231F20"/>
                <w:spacing w:val="-11"/>
                <w:sz w:val="15"/>
              </w:rPr>
              <w:t> </w:t>
            </w:r>
            <w:r>
              <w:rPr>
                <w:color w:val="231F20"/>
                <w:sz w:val="15"/>
              </w:rPr>
              <w:t>residual</w:t>
            </w:r>
            <w:r>
              <w:rPr>
                <w:color w:val="231F20"/>
                <w:spacing w:val="-11"/>
                <w:sz w:val="15"/>
              </w:rPr>
              <w:t> </w:t>
            </w:r>
            <w:r>
              <w:rPr>
                <w:color w:val="231F20"/>
                <w:sz w:val="15"/>
              </w:rPr>
              <w:t>dysfunction. Episodes often triggered by infections, immunizations, and stress. Some pedigrees dysmorphic with hypotelorism</w:t>
            </w:r>
          </w:p>
        </w:tc>
        <w:tc>
          <w:tcPr>
            <w:tcW w:w="2592" w:type="dxa"/>
            <w:tcBorders>
              <w:bottom w:val="single" w:sz="4" w:space="0" w:color="FFFFFF"/>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3"/>
              <w:rPr>
                <w:i/>
                <w:sz w:val="15"/>
              </w:rPr>
            </w:pPr>
          </w:p>
          <w:p>
            <w:pPr>
              <w:pStyle w:val="TableParagraph"/>
              <w:spacing w:line="230" w:lineRule="auto"/>
              <w:ind w:left="265" w:hanging="112"/>
              <w:rPr>
                <w:sz w:val="15"/>
              </w:rPr>
            </w:pPr>
            <w:r>
              <w:rPr>
                <w:color w:val="231F20"/>
                <w:sz w:val="15"/>
              </w:rPr>
              <w:t>EMG:</w:t>
            </w:r>
            <w:r>
              <w:rPr>
                <w:color w:val="231F20"/>
                <w:spacing w:val="-11"/>
                <w:sz w:val="15"/>
              </w:rPr>
              <w:t> </w:t>
            </w:r>
            <w:r>
              <w:rPr>
                <w:color w:val="231F20"/>
                <w:sz w:val="15"/>
              </w:rPr>
              <w:t>denervation.</w:t>
            </w:r>
            <w:r>
              <w:rPr>
                <w:color w:val="231F20"/>
                <w:spacing w:val="-11"/>
                <w:sz w:val="15"/>
              </w:rPr>
              <w:t> </w:t>
            </w:r>
            <w:r>
              <w:rPr>
                <w:color w:val="231F20"/>
                <w:sz w:val="15"/>
              </w:rPr>
              <w:t>Axonal </w:t>
            </w:r>
            <w:r>
              <w:rPr>
                <w:color w:val="231F20"/>
                <w:spacing w:val="-2"/>
                <w:sz w:val="15"/>
              </w:rPr>
              <w:t>neuropathy</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9"/>
              <w:rPr>
                <w:i/>
                <w:sz w:val="15"/>
              </w:rPr>
            </w:pPr>
          </w:p>
          <w:p>
            <w:pPr>
              <w:pStyle w:val="TableParagraph"/>
              <w:spacing w:line="230" w:lineRule="auto" w:before="1"/>
              <w:ind w:left="264" w:right="197" w:hanging="112"/>
              <w:rPr>
                <w:sz w:val="15"/>
              </w:rPr>
            </w:pPr>
            <w:r>
              <w:rPr>
                <w:color w:val="231F20"/>
                <w:sz w:val="15"/>
              </w:rPr>
              <w:t>Normal</w:t>
            </w:r>
            <w:r>
              <w:rPr>
                <w:color w:val="231F20"/>
                <w:spacing w:val="-2"/>
                <w:sz w:val="15"/>
              </w:rPr>
              <w:t> </w:t>
            </w:r>
            <w:r>
              <w:rPr>
                <w:color w:val="231F20"/>
                <w:sz w:val="15"/>
              </w:rPr>
              <w:t>or</w:t>
            </w:r>
            <w:r>
              <w:rPr>
                <w:color w:val="231F20"/>
                <w:spacing w:val="-2"/>
                <w:sz w:val="15"/>
              </w:rPr>
              <w:t> </w:t>
            </w:r>
            <w:r>
              <w:rPr>
                <w:color w:val="231F20"/>
                <w:sz w:val="15"/>
              </w:rPr>
              <w:t>mildly</w:t>
            </w:r>
            <w:r>
              <w:rPr>
                <w:color w:val="231F20"/>
                <w:spacing w:val="-2"/>
                <w:sz w:val="15"/>
              </w:rPr>
              <w:t> </w:t>
            </w:r>
            <w:r>
              <w:rPr>
                <w:color w:val="231F20"/>
                <w:sz w:val="15"/>
              </w:rPr>
              <w:t>prolonged MNCVs distal to affected brachial plexus</w:t>
            </w:r>
          </w:p>
        </w:tc>
        <w:tc>
          <w:tcPr>
            <w:tcW w:w="1484" w:type="dxa"/>
            <w:tcBorders>
              <w:bottom w:val="single" w:sz="4" w:space="0" w:color="FFFFFF"/>
            </w:tcBorders>
            <w:shd w:val="clear" w:color="auto" w:fill="E8F5F1"/>
          </w:tcPr>
          <w:p>
            <w:pPr>
              <w:pStyle w:val="TableParagraph"/>
              <w:spacing w:line="170" w:lineRule="exact"/>
              <w:ind w:left="153"/>
              <w:rPr>
                <w:i/>
                <w:sz w:val="15"/>
              </w:rPr>
            </w:pPr>
            <w:r>
              <w:rPr>
                <w:i/>
                <w:color w:val="231F20"/>
                <w:w w:val="105"/>
                <w:sz w:val="15"/>
              </w:rPr>
              <w:t>HSPB8,</w:t>
            </w:r>
            <w:r>
              <w:rPr>
                <w:i/>
                <w:color w:val="231F20"/>
                <w:spacing w:val="-11"/>
                <w:w w:val="105"/>
                <w:sz w:val="15"/>
              </w:rPr>
              <w:t> </w:t>
            </w:r>
            <w:r>
              <w:rPr>
                <w:i/>
                <w:color w:val="231F20"/>
                <w:spacing w:val="-2"/>
                <w:w w:val="105"/>
                <w:sz w:val="15"/>
              </w:rPr>
              <w:t>HSPB3</w:t>
            </w:r>
          </w:p>
          <w:p>
            <w:pPr>
              <w:pStyle w:val="TableParagraph"/>
              <w:spacing w:line="172" w:lineRule="exact" w:before="163"/>
              <w:ind w:left="153"/>
              <w:rPr>
                <w:i/>
                <w:sz w:val="15"/>
              </w:rPr>
            </w:pPr>
            <w:r>
              <w:rPr>
                <w:i/>
                <w:color w:val="231F20"/>
                <w:spacing w:val="-2"/>
                <w:w w:val="105"/>
                <w:sz w:val="15"/>
              </w:rPr>
              <w:t>HSPB1</w:t>
            </w:r>
          </w:p>
          <w:p>
            <w:pPr>
              <w:pStyle w:val="TableParagraph"/>
              <w:spacing w:line="172" w:lineRule="exact"/>
              <w:ind w:left="153"/>
              <w:rPr>
                <w:sz w:val="15"/>
              </w:rPr>
            </w:pPr>
            <w:r>
              <w:rPr>
                <w:color w:val="231F20"/>
                <w:spacing w:val="-2"/>
                <w:sz w:val="15"/>
              </w:rPr>
              <w:t>11q13.3</w:t>
            </w:r>
          </w:p>
          <w:p>
            <w:pPr>
              <w:pStyle w:val="TableParagraph"/>
              <w:spacing w:line="500" w:lineRule="atLeast" w:before="5"/>
              <w:ind w:left="152" w:right="552"/>
              <w:rPr>
                <w:i/>
                <w:sz w:val="15"/>
              </w:rPr>
            </w:pPr>
            <w:r>
              <w:rPr>
                <w:color w:val="231F20"/>
                <w:spacing w:val="-2"/>
                <w:w w:val="110"/>
                <w:sz w:val="15"/>
              </w:rPr>
              <w:t>11q13 </w:t>
            </w:r>
            <w:r>
              <w:rPr>
                <w:i/>
                <w:color w:val="231F20"/>
                <w:spacing w:val="-4"/>
                <w:w w:val="110"/>
                <w:sz w:val="15"/>
              </w:rPr>
              <w:t>GARS </w:t>
            </w:r>
            <w:r>
              <w:rPr>
                <w:i/>
                <w:color w:val="231F20"/>
                <w:spacing w:val="-2"/>
                <w:w w:val="110"/>
                <w:sz w:val="15"/>
              </w:rPr>
              <w:t>BSCL2 </w:t>
            </w:r>
            <w:r>
              <w:rPr>
                <w:i/>
                <w:color w:val="231F20"/>
                <w:spacing w:val="-2"/>
                <w:sz w:val="15"/>
              </w:rPr>
              <w:t>IGHMBP2 </w:t>
            </w:r>
            <w:r>
              <w:rPr>
                <w:i/>
                <w:color w:val="231F20"/>
                <w:spacing w:val="-2"/>
                <w:w w:val="110"/>
                <w:sz w:val="15"/>
              </w:rPr>
              <w:t>DCTN1</w:t>
            </w:r>
          </w:p>
          <w:p>
            <w:pPr>
              <w:pStyle w:val="TableParagraph"/>
              <w:spacing w:before="16"/>
              <w:rPr>
                <w:i/>
                <w:sz w:val="15"/>
              </w:rPr>
            </w:pPr>
          </w:p>
          <w:p>
            <w:pPr>
              <w:pStyle w:val="TableParagraph"/>
              <w:spacing w:line="230" w:lineRule="auto"/>
              <w:ind w:left="152" w:right="552"/>
              <w:rPr>
                <w:sz w:val="15"/>
              </w:rPr>
            </w:pPr>
            <w:r>
              <w:rPr>
                <w:color w:val="231F20"/>
                <w:spacing w:val="-4"/>
                <w:w w:val="105"/>
                <w:sz w:val="15"/>
              </w:rPr>
              <w:t>2q14 </w:t>
            </w:r>
            <w:r>
              <w:rPr>
                <w:color w:val="231F20"/>
                <w:spacing w:val="-2"/>
                <w:w w:val="105"/>
                <w:sz w:val="15"/>
              </w:rPr>
              <w:t>Xq13–q21</w:t>
            </w:r>
          </w:p>
          <w:p>
            <w:pPr>
              <w:pStyle w:val="TableParagraph"/>
              <w:spacing w:before="167"/>
              <w:ind w:left="152"/>
              <w:rPr>
                <w:i/>
                <w:sz w:val="15"/>
              </w:rPr>
            </w:pPr>
            <w:r>
              <w:rPr>
                <w:i/>
                <w:color w:val="231F20"/>
                <w:spacing w:val="-4"/>
                <w:w w:val="105"/>
                <w:sz w:val="15"/>
              </w:rPr>
              <w:t>SETX</w:t>
            </w:r>
          </w:p>
          <w:p>
            <w:pPr>
              <w:pStyle w:val="TableParagraph"/>
              <w:spacing w:before="163"/>
              <w:ind w:left="152"/>
              <w:rPr>
                <w:sz w:val="15"/>
              </w:rPr>
            </w:pPr>
            <w:r>
              <w:rPr>
                <w:color w:val="231F20"/>
                <w:spacing w:val="-2"/>
                <w:sz w:val="15"/>
              </w:rPr>
              <w:t>9p21.1–p12</w:t>
            </w:r>
          </w:p>
          <w:p>
            <w:pPr>
              <w:pStyle w:val="TableParagraph"/>
              <w:spacing w:before="163"/>
              <w:ind w:left="152"/>
              <w:rPr>
                <w:sz w:val="15"/>
              </w:rPr>
            </w:pPr>
            <w:r>
              <w:rPr>
                <w:color w:val="231F20"/>
                <w:spacing w:val="-2"/>
                <w:w w:val="105"/>
                <w:sz w:val="15"/>
              </w:rPr>
              <w:t>12q23–q24</w:t>
            </w:r>
          </w:p>
          <w:p>
            <w:pPr>
              <w:pStyle w:val="TableParagraph"/>
              <w:rPr>
                <w:i/>
                <w:sz w:val="15"/>
              </w:rPr>
            </w:pPr>
          </w:p>
          <w:p>
            <w:pPr>
              <w:pStyle w:val="TableParagraph"/>
              <w:spacing w:before="152"/>
              <w:rPr>
                <w:i/>
                <w:sz w:val="15"/>
              </w:rPr>
            </w:pPr>
          </w:p>
          <w:p>
            <w:pPr>
              <w:pStyle w:val="TableParagraph"/>
              <w:spacing w:before="1"/>
              <w:ind w:left="152"/>
              <w:rPr>
                <w:i/>
                <w:sz w:val="15"/>
              </w:rPr>
            </w:pPr>
            <w:r>
              <w:rPr>
                <w:i/>
                <w:color w:val="231F20"/>
                <w:w w:val="105"/>
                <w:sz w:val="15"/>
              </w:rPr>
              <w:t>SLC12A6</w:t>
            </w:r>
            <w:r>
              <w:rPr>
                <w:i/>
                <w:color w:val="231F20"/>
                <w:spacing w:val="-2"/>
                <w:w w:val="105"/>
                <w:sz w:val="15"/>
              </w:rPr>
              <w:t> (KCC3)</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25"/>
              <w:rPr>
                <w:i/>
                <w:sz w:val="15"/>
              </w:rPr>
            </w:pPr>
          </w:p>
          <w:p>
            <w:pPr>
              <w:pStyle w:val="TableParagraph"/>
              <w:ind w:left="152"/>
              <w:rPr>
                <w:i/>
                <w:sz w:val="15"/>
              </w:rPr>
            </w:pPr>
            <w:r>
              <w:rPr>
                <w:i/>
                <w:color w:val="231F20"/>
                <w:spacing w:val="-2"/>
                <w:w w:val="105"/>
                <w:sz w:val="15"/>
              </w:rPr>
              <w:t>SEPT9</w:t>
            </w:r>
          </w:p>
        </w:tc>
      </w:tr>
      <w:tr>
        <w:trPr>
          <w:trHeight w:val="1384" w:hRule="atLeast"/>
        </w:trPr>
        <w:tc>
          <w:tcPr>
            <w:tcW w:w="5664" w:type="dxa"/>
            <w:tcBorders>
              <w:top w:val="single" w:sz="4" w:space="0" w:color="FFFFFF"/>
            </w:tcBorders>
            <w:shd w:val="clear" w:color="auto" w:fill="E8F5F1"/>
          </w:tcPr>
          <w:p>
            <w:pPr>
              <w:pStyle w:val="TableParagraph"/>
              <w:spacing w:line="172" w:lineRule="exact" w:before="43"/>
              <w:ind w:left="72"/>
              <w:rPr>
                <w:sz w:val="15"/>
              </w:rPr>
            </w:pPr>
            <w:r>
              <w:rPr>
                <w:color w:val="231F20"/>
                <w:w w:val="115"/>
                <w:sz w:val="15"/>
              </w:rPr>
              <w:t>HEREDITARY</w:t>
            </w:r>
            <w:r>
              <w:rPr>
                <w:color w:val="231F20"/>
                <w:spacing w:val="-11"/>
                <w:w w:val="115"/>
                <w:sz w:val="15"/>
              </w:rPr>
              <w:t> </w:t>
            </w:r>
            <w:r>
              <w:rPr>
                <w:color w:val="231F20"/>
                <w:w w:val="115"/>
                <w:sz w:val="15"/>
              </w:rPr>
              <w:t>SENSORY</w:t>
            </w:r>
            <w:r>
              <w:rPr>
                <w:color w:val="231F20"/>
                <w:spacing w:val="-11"/>
                <w:w w:val="115"/>
                <w:sz w:val="15"/>
              </w:rPr>
              <w:t> </w:t>
            </w:r>
            <w:r>
              <w:rPr>
                <w:color w:val="231F20"/>
                <w:w w:val="115"/>
                <w:sz w:val="15"/>
              </w:rPr>
              <w:t>AND</w:t>
            </w:r>
            <w:r>
              <w:rPr>
                <w:color w:val="231F20"/>
                <w:spacing w:val="-10"/>
                <w:w w:val="115"/>
                <w:sz w:val="15"/>
              </w:rPr>
              <w:t> </w:t>
            </w:r>
            <w:r>
              <w:rPr>
                <w:color w:val="231F20"/>
                <w:w w:val="115"/>
                <w:sz w:val="15"/>
              </w:rPr>
              <w:t>AUTONOMIC</w:t>
            </w:r>
            <w:r>
              <w:rPr>
                <w:color w:val="231F20"/>
                <w:spacing w:val="-11"/>
                <w:w w:val="115"/>
                <w:sz w:val="15"/>
              </w:rPr>
              <w:t> </w:t>
            </w:r>
            <w:r>
              <w:rPr>
                <w:color w:val="231F20"/>
                <w:spacing w:val="-2"/>
                <w:w w:val="115"/>
                <w:sz w:val="15"/>
              </w:rPr>
              <w:t>NEUROPATHIES</w:t>
            </w:r>
          </w:p>
          <w:p>
            <w:pPr>
              <w:pStyle w:val="TableParagraph"/>
              <w:tabs>
                <w:tab w:pos="2299" w:val="left" w:leader="none"/>
              </w:tabs>
              <w:spacing w:line="169" w:lineRule="exact"/>
              <w:ind w:left="72"/>
              <w:rPr>
                <w:sz w:val="15"/>
              </w:rPr>
            </w:pPr>
            <w:r>
              <w:rPr>
                <w:color w:val="231F20"/>
                <w:sz w:val="15"/>
              </w:rPr>
              <w:t>HSN</w:t>
            </w:r>
            <w:r>
              <w:rPr>
                <w:color w:val="231F20"/>
                <w:spacing w:val="19"/>
                <w:sz w:val="15"/>
              </w:rPr>
              <w:t> </w:t>
            </w:r>
            <w:r>
              <w:rPr>
                <w:color w:val="231F20"/>
                <w:sz w:val="15"/>
              </w:rPr>
              <w:t>(HSAN)</w:t>
            </w:r>
            <w:r>
              <w:rPr>
                <w:color w:val="231F20"/>
                <w:spacing w:val="20"/>
                <w:sz w:val="15"/>
              </w:rPr>
              <w:t> </w:t>
            </w:r>
            <w:r>
              <w:rPr>
                <w:color w:val="231F20"/>
                <w:sz w:val="15"/>
              </w:rPr>
              <w:t>1</w:t>
            </w:r>
            <w:r>
              <w:rPr>
                <w:color w:val="231F20"/>
                <w:spacing w:val="20"/>
                <w:sz w:val="15"/>
              </w:rPr>
              <w:t> </w:t>
            </w:r>
            <w:r>
              <w:rPr>
                <w:color w:val="231F20"/>
                <w:spacing w:val="-2"/>
                <w:sz w:val="15"/>
              </w:rPr>
              <w:t>(162400)</w:t>
            </w:r>
            <w:r>
              <w:rPr>
                <w:color w:val="231F20"/>
                <w:sz w:val="15"/>
              </w:rPr>
              <w:tab/>
              <w:t>Type 1:</w:t>
            </w:r>
            <w:r>
              <w:rPr>
                <w:color w:val="231F20"/>
                <w:spacing w:val="1"/>
                <w:sz w:val="15"/>
              </w:rPr>
              <w:t> </w:t>
            </w:r>
            <w:r>
              <w:rPr>
                <w:color w:val="231F20"/>
                <w:sz w:val="15"/>
              </w:rPr>
              <w:t>Autosomal dominant.</w:t>
            </w:r>
            <w:r>
              <w:rPr>
                <w:color w:val="231F20"/>
                <w:spacing w:val="1"/>
                <w:sz w:val="15"/>
              </w:rPr>
              <w:t> </w:t>
            </w:r>
            <w:r>
              <w:rPr>
                <w:color w:val="231F20"/>
                <w:sz w:val="15"/>
              </w:rPr>
              <w:t>Onset</w:t>
            </w:r>
            <w:r>
              <w:rPr>
                <w:color w:val="231F20"/>
                <w:spacing w:val="1"/>
                <w:sz w:val="15"/>
              </w:rPr>
              <w:t> </w:t>
            </w:r>
            <w:r>
              <w:rPr>
                <w:color w:val="231F20"/>
                <w:spacing w:val="-2"/>
                <w:sz w:val="15"/>
              </w:rPr>
              <w:t>2nd–5th</w:t>
            </w:r>
          </w:p>
          <w:p>
            <w:pPr>
              <w:pStyle w:val="TableParagraph"/>
              <w:spacing w:line="230" w:lineRule="auto" w:before="2"/>
              <w:ind w:left="2411" w:right="393"/>
              <w:rPr>
                <w:sz w:val="15"/>
              </w:rPr>
            </w:pPr>
            <w:r>
              <w:rPr>
                <w:color w:val="231F20"/>
                <w:sz w:val="15"/>
              </w:rPr>
              <w:t>decade. Predominant loss of pain and temperature sensation, preservation of </w:t>
            </w:r>
            <w:r>
              <w:rPr>
                <w:color w:val="231F20"/>
                <w:spacing w:val="-2"/>
                <w:sz w:val="15"/>
              </w:rPr>
              <w:t>vibration</w:t>
            </w:r>
            <w:r>
              <w:rPr>
                <w:color w:val="231F20"/>
                <w:spacing w:val="-10"/>
                <w:sz w:val="15"/>
              </w:rPr>
              <w:t> </w:t>
            </w:r>
            <w:r>
              <w:rPr>
                <w:color w:val="231F20"/>
                <w:spacing w:val="-2"/>
                <w:sz w:val="15"/>
              </w:rPr>
              <w:t>sense,</w:t>
            </w:r>
            <w:r>
              <w:rPr>
                <w:color w:val="231F20"/>
                <w:spacing w:val="-9"/>
                <w:sz w:val="15"/>
              </w:rPr>
              <w:t> </w:t>
            </w:r>
            <w:r>
              <w:rPr>
                <w:color w:val="231F20"/>
                <w:spacing w:val="-2"/>
                <w:sz w:val="15"/>
              </w:rPr>
              <w:t>lancinating</w:t>
            </w:r>
            <w:r>
              <w:rPr>
                <w:color w:val="231F20"/>
                <w:spacing w:val="-9"/>
                <w:sz w:val="15"/>
              </w:rPr>
              <w:t> </w:t>
            </w:r>
            <w:r>
              <w:rPr>
                <w:color w:val="231F20"/>
                <w:spacing w:val="-2"/>
                <w:sz w:val="15"/>
              </w:rPr>
              <w:t>pain,</w:t>
            </w:r>
            <w:r>
              <w:rPr>
                <w:color w:val="231F20"/>
                <w:spacing w:val="-10"/>
                <w:sz w:val="15"/>
              </w:rPr>
              <w:t> </w:t>
            </w:r>
            <w:r>
              <w:rPr>
                <w:color w:val="231F20"/>
                <w:spacing w:val="-2"/>
                <w:sz w:val="15"/>
              </w:rPr>
              <w:t>variable </w:t>
            </w:r>
            <w:r>
              <w:rPr>
                <w:color w:val="231F20"/>
                <w:sz w:val="15"/>
              </w:rPr>
              <w:t>distal motor involvement</w:t>
            </w:r>
          </w:p>
        </w:tc>
        <w:tc>
          <w:tcPr>
            <w:tcW w:w="2592"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64" w:right="282" w:hanging="112"/>
              <w:rPr>
                <w:sz w:val="15"/>
              </w:rPr>
            </w:pPr>
            <w:r>
              <w:rPr>
                <w:color w:val="231F20"/>
                <w:sz w:val="15"/>
              </w:rPr>
              <w:t>Normal to low-normal MNCVs, disturbance of sensory conduction</w:t>
            </w:r>
            <w:r>
              <w:rPr>
                <w:color w:val="231F20"/>
                <w:spacing w:val="-10"/>
                <w:sz w:val="15"/>
              </w:rPr>
              <w:t> </w:t>
            </w:r>
            <w:r>
              <w:rPr>
                <w:color w:val="231F20"/>
                <w:sz w:val="15"/>
              </w:rPr>
              <w:t>of</w:t>
            </w:r>
            <w:r>
              <w:rPr>
                <w:color w:val="231F20"/>
                <w:spacing w:val="-9"/>
                <w:sz w:val="15"/>
              </w:rPr>
              <w:t> </w:t>
            </w:r>
            <w:r>
              <w:rPr>
                <w:color w:val="231F20"/>
                <w:sz w:val="15"/>
              </w:rPr>
              <w:t>variable</w:t>
            </w:r>
            <w:r>
              <w:rPr>
                <w:color w:val="231F20"/>
                <w:spacing w:val="-10"/>
                <w:sz w:val="15"/>
              </w:rPr>
              <w:t> </w:t>
            </w:r>
            <w:r>
              <w:rPr>
                <w:color w:val="231F20"/>
                <w:spacing w:val="-4"/>
                <w:sz w:val="15"/>
              </w:rPr>
              <w:t>severity</w:t>
            </w:r>
          </w:p>
          <w:p>
            <w:pPr>
              <w:pStyle w:val="TableParagraph"/>
              <w:spacing w:line="230" w:lineRule="auto" w:before="2"/>
              <w:ind w:left="264" w:right="67" w:hanging="112"/>
              <w:rPr>
                <w:sz w:val="15"/>
              </w:rPr>
            </w:pPr>
            <w:r>
              <w:rPr>
                <w:color w:val="231F20"/>
                <w:sz w:val="15"/>
              </w:rPr>
              <w:t>Type 1B: Autosomal dominant. Predominantly sensory neuropathy with cough and </w:t>
            </w:r>
            <w:r>
              <w:rPr>
                <w:color w:val="231F20"/>
                <w:spacing w:val="-2"/>
                <w:sz w:val="15"/>
              </w:rPr>
              <w:t>gastroesophageal</w:t>
            </w:r>
            <w:r>
              <w:rPr>
                <w:color w:val="231F20"/>
                <w:spacing w:val="-10"/>
                <w:sz w:val="15"/>
              </w:rPr>
              <w:t> </w:t>
            </w:r>
            <w:r>
              <w:rPr>
                <w:color w:val="231F20"/>
                <w:spacing w:val="-2"/>
                <w:sz w:val="15"/>
              </w:rPr>
              <w:t>reflux,</w:t>
            </w:r>
            <w:r>
              <w:rPr>
                <w:color w:val="231F20"/>
                <w:spacing w:val="-9"/>
                <w:sz w:val="15"/>
              </w:rPr>
              <w:t> </w:t>
            </w:r>
            <w:r>
              <w:rPr>
                <w:color w:val="231F20"/>
                <w:spacing w:val="-2"/>
                <w:sz w:val="15"/>
              </w:rPr>
              <w:t>rarely </w:t>
            </w:r>
            <w:r>
              <w:rPr>
                <w:color w:val="231F20"/>
                <w:sz w:val="15"/>
              </w:rPr>
              <w:t>foot ulcers. More often adult onset.</w:t>
            </w:r>
            <w:r>
              <w:rPr>
                <w:color w:val="231F20"/>
                <w:spacing w:val="-12"/>
                <w:sz w:val="15"/>
              </w:rPr>
              <w:t> </w:t>
            </w:r>
            <w:r>
              <w:rPr>
                <w:color w:val="231F20"/>
                <w:sz w:val="15"/>
              </w:rPr>
              <w:t>Hearing</w:t>
            </w:r>
            <w:r>
              <w:rPr>
                <w:color w:val="231F20"/>
                <w:spacing w:val="-11"/>
                <w:sz w:val="15"/>
              </w:rPr>
              <w:t> </w:t>
            </w:r>
            <w:r>
              <w:rPr>
                <w:color w:val="231F20"/>
                <w:sz w:val="15"/>
              </w:rPr>
              <w:t>often</w:t>
            </w:r>
            <w:r>
              <w:rPr>
                <w:color w:val="231F20"/>
                <w:spacing w:val="-11"/>
                <w:sz w:val="15"/>
              </w:rPr>
              <w:t> </w:t>
            </w:r>
            <w:r>
              <w:rPr>
                <w:color w:val="231F20"/>
                <w:sz w:val="15"/>
              </w:rPr>
              <w:t>abnormal</w:t>
            </w:r>
          </w:p>
          <w:p>
            <w:pPr>
              <w:pStyle w:val="TableParagraph"/>
              <w:spacing w:line="230" w:lineRule="auto" w:before="6"/>
              <w:ind w:left="264" w:right="253" w:hanging="112"/>
              <w:rPr>
                <w:sz w:val="15"/>
              </w:rPr>
            </w:pPr>
            <w:r>
              <w:rPr>
                <w:color w:val="231F20"/>
                <w:w w:val="105"/>
                <w:sz w:val="15"/>
              </w:rPr>
              <w:t>Normal</w:t>
            </w:r>
            <w:r>
              <w:rPr>
                <w:color w:val="231F20"/>
                <w:spacing w:val="-6"/>
                <w:w w:val="105"/>
                <w:sz w:val="15"/>
              </w:rPr>
              <w:t> </w:t>
            </w:r>
            <w:r>
              <w:rPr>
                <w:color w:val="231F20"/>
                <w:w w:val="105"/>
                <w:sz w:val="15"/>
              </w:rPr>
              <w:t>MNCVs;</w:t>
            </w:r>
            <w:r>
              <w:rPr>
                <w:color w:val="231F20"/>
                <w:spacing w:val="-6"/>
                <w:w w:val="105"/>
                <w:sz w:val="15"/>
              </w:rPr>
              <w:t> </w:t>
            </w:r>
            <w:r>
              <w:rPr>
                <w:color w:val="231F20"/>
                <w:w w:val="105"/>
                <w:sz w:val="15"/>
              </w:rPr>
              <w:t>SNAPs</w:t>
            </w:r>
            <w:r>
              <w:rPr>
                <w:color w:val="231F20"/>
                <w:spacing w:val="-6"/>
                <w:w w:val="105"/>
                <w:sz w:val="15"/>
              </w:rPr>
              <w:t> </w:t>
            </w:r>
            <w:r>
              <w:rPr>
                <w:color w:val="231F20"/>
                <w:w w:val="105"/>
                <w:sz w:val="15"/>
              </w:rPr>
              <w:t>are </w:t>
            </w:r>
            <w:r>
              <w:rPr>
                <w:color w:val="231F20"/>
                <w:spacing w:val="-2"/>
                <w:w w:val="105"/>
                <w:sz w:val="15"/>
              </w:rPr>
              <w:t>absent</w:t>
            </w:r>
          </w:p>
        </w:tc>
        <w:tc>
          <w:tcPr>
            <w:tcW w:w="1484" w:type="dxa"/>
            <w:tcBorders>
              <w:top w:val="single" w:sz="4" w:space="0" w:color="FFFFFF"/>
            </w:tcBorders>
            <w:shd w:val="clear" w:color="auto" w:fill="E8F5F1"/>
          </w:tcPr>
          <w:p>
            <w:pPr>
              <w:pStyle w:val="TableParagraph"/>
              <w:spacing w:before="44"/>
              <w:rPr>
                <w:i/>
                <w:sz w:val="15"/>
              </w:rPr>
            </w:pPr>
          </w:p>
          <w:p>
            <w:pPr>
              <w:pStyle w:val="TableParagraph"/>
              <w:spacing w:line="230" w:lineRule="auto"/>
              <w:ind w:left="151" w:right="682"/>
              <w:rPr>
                <w:sz w:val="15"/>
              </w:rPr>
            </w:pPr>
            <w:r>
              <w:rPr>
                <w:i/>
                <w:color w:val="231F20"/>
                <w:spacing w:val="-2"/>
                <w:w w:val="105"/>
                <w:sz w:val="15"/>
              </w:rPr>
              <w:t>SPTLC1 </w:t>
            </w:r>
            <w:r>
              <w:rPr>
                <w:i/>
                <w:color w:val="231F20"/>
                <w:spacing w:val="-4"/>
                <w:w w:val="105"/>
                <w:sz w:val="15"/>
              </w:rPr>
              <w:t>RAB7 </w:t>
            </w:r>
            <w:r>
              <w:rPr>
                <w:color w:val="231F20"/>
                <w:spacing w:val="-2"/>
                <w:w w:val="105"/>
                <w:sz w:val="15"/>
              </w:rPr>
              <w:t>3p24–p22</w:t>
            </w:r>
          </w:p>
        </w:tc>
      </w:tr>
      <w:tr>
        <w:trPr>
          <w:trHeight w:val="1871" w:hRule="atLeast"/>
        </w:trPr>
        <w:tc>
          <w:tcPr>
            <w:tcW w:w="5664" w:type="dxa"/>
            <w:tcBorders>
              <w:bottom w:val="single" w:sz="8" w:space="0" w:color="231F20"/>
            </w:tcBorders>
            <w:shd w:val="clear" w:color="auto" w:fill="E8F5F1"/>
          </w:tcPr>
          <w:p>
            <w:pPr>
              <w:pStyle w:val="TableParagraph"/>
              <w:spacing w:before="147"/>
              <w:rPr>
                <w:i/>
                <w:sz w:val="15"/>
              </w:rPr>
            </w:pPr>
          </w:p>
          <w:p>
            <w:pPr>
              <w:pStyle w:val="TableParagraph"/>
              <w:tabs>
                <w:tab w:pos="2299" w:val="left" w:leader="none"/>
              </w:tabs>
              <w:spacing w:line="171" w:lineRule="exact"/>
              <w:ind w:left="72"/>
              <w:rPr>
                <w:sz w:val="15"/>
              </w:rPr>
            </w:pPr>
            <w:r>
              <w:rPr>
                <w:color w:val="231F20"/>
                <w:sz w:val="15"/>
              </w:rPr>
              <w:t>HSN</w:t>
            </w:r>
            <w:r>
              <w:rPr>
                <w:color w:val="231F20"/>
                <w:spacing w:val="13"/>
                <w:sz w:val="15"/>
              </w:rPr>
              <w:t> </w:t>
            </w:r>
            <w:r>
              <w:rPr>
                <w:color w:val="231F20"/>
                <w:sz w:val="15"/>
              </w:rPr>
              <w:t>(HSAN)</w:t>
            </w:r>
            <w:r>
              <w:rPr>
                <w:color w:val="231F20"/>
                <w:spacing w:val="13"/>
                <w:sz w:val="15"/>
              </w:rPr>
              <w:t> </w:t>
            </w:r>
            <w:r>
              <w:rPr>
                <w:color w:val="231F20"/>
                <w:sz w:val="15"/>
              </w:rPr>
              <w:t>2(A)</w:t>
            </w:r>
            <w:r>
              <w:rPr>
                <w:color w:val="231F20"/>
                <w:spacing w:val="13"/>
                <w:sz w:val="15"/>
              </w:rPr>
              <w:t> </w:t>
            </w:r>
            <w:r>
              <w:rPr>
                <w:color w:val="231F20"/>
                <w:spacing w:val="-2"/>
                <w:sz w:val="15"/>
              </w:rPr>
              <w:t>(201300)</w:t>
            </w:r>
            <w:r>
              <w:rPr>
                <w:color w:val="231F20"/>
                <w:sz w:val="15"/>
              </w:rPr>
              <w:tab/>
              <w:t>Autosomal</w:t>
            </w:r>
            <w:r>
              <w:rPr>
                <w:color w:val="231F20"/>
                <w:spacing w:val="-2"/>
                <w:sz w:val="15"/>
              </w:rPr>
              <w:t> </w:t>
            </w:r>
            <w:r>
              <w:rPr>
                <w:color w:val="231F20"/>
                <w:sz w:val="15"/>
              </w:rPr>
              <w:t>recessive.</w:t>
            </w:r>
            <w:r>
              <w:rPr>
                <w:color w:val="231F20"/>
                <w:spacing w:val="-2"/>
                <w:sz w:val="15"/>
              </w:rPr>
              <w:t> </w:t>
            </w:r>
            <w:r>
              <w:rPr>
                <w:color w:val="231F20"/>
                <w:sz w:val="15"/>
              </w:rPr>
              <w:t>Onset</w:t>
            </w:r>
            <w:r>
              <w:rPr>
                <w:color w:val="231F20"/>
                <w:spacing w:val="-1"/>
                <w:sz w:val="15"/>
              </w:rPr>
              <w:t> </w:t>
            </w:r>
            <w:r>
              <w:rPr>
                <w:color w:val="231F20"/>
                <w:sz w:val="15"/>
              </w:rPr>
              <w:t>in</w:t>
            </w:r>
            <w:r>
              <w:rPr>
                <w:color w:val="231F20"/>
                <w:spacing w:val="-2"/>
                <w:sz w:val="15"/>
              </w:rPr>
              <w:t> infancy/early</w:t>
            </w:r>
          </w:p>
          <w:p>
            <w:pPr>
              <w:pStyle w:val="TableParagraph"/>
              <w:spacing w:line="230" w:lineRule="auto" w:before="2"/>
              <w:ind w:left="2411" w:right="244"/>
              <w:rPr>
                <w:sz w:val="15"/>
              </w:rPr>
            </w:pPr>
            <w:r>
              <w:rPr>
                <w:color w:val="231F20"/>
                <w:sz w:val="15"/>
              </w:rPr>
              <w:t>childhood–1st 2 decades. Mutilating acropathy. Often unrecognized fractures. Marked sensory loss affecting all cutaneous </w:t>
            </w:r>
            <w:r>
              <w:rPr>
                <w:color w:val="231F20"/>
                <w:spacing w:val="-2"/>
                <w:sz w:val="15"/>
              </w:rPr>
              <w:t>modalities,</w:t>
            </w:r>
            <w:r>
              <w:rPr>
                <w:color w:val="231F20"/>
                <w:spacing w:val="-8"/>
                <w:sz w:val="15"/>
              </w:rPr>
              <w:t> </w:t>
            </w:r>
            <w:r>
              <w:rPr>
                <w:color w:val="231F20"/>
                <w:spacing w:val="-2"/>
                <w:sz w:val="15"/>
              </w:rPr>
              <w:t>most</w:t>
            </w:r>
            <w:r>
              <w:rPr>
                <w:color w:val="231F20"/>
                <w:spacing w:val="-8"/>
                <w:sz w:val="15"/>
              </w:rPr>
              <w:t> </w:t>
            </w:r>
            <w:r>
              <w:rPr>
                <w:color w:val="231F20"/>
                <w:spacing w:val="-2"/>
                <w:sz w:val="15"/>
              </w:rPr>
              <w:t>marked</w:t>
            </w:r>
            <w:r>
              <w:rPr>
                <w:color w:val="231F20"/>
                <w:spacing w:val="-8"/>
                <w:sz w:val="15"/>
              </w:rPr>
              <w:t> </w:t>
            </w:r>
            <w:r>
              <w:rPr>
                <w:color w:val="231F20"/>
                <w:spacing w:val="-2"/>
                <w:sz w:val="15"/>
              </w:rPr>
              <w:t>distally</w:t>
            </w:r>
            <w:r>
              <w:rPr>
                <w:color w:val="231F20"/>
                <w:spacing w:val="-8"/>
                <w:sz w:val="15"/>
              </w:rPr>
              <w:t> </w:t>
            </w:r>
            <w:r>
              <w:rPr>
                <w:color w:val="231F20"/>
                <w:spacing w:val="-2"/>
                <w:sz w:val="15"/>
              </w:rPr>
              <w:t>in</w:t>
            </w:r>
            <w:r>
              <w:rPr>
                <w:color w:val="231F20"/>
                <w:spacing w:val="-8"/>
                <w:sz w:val="15"/>
              </w:rPr>
              <w:t> </w:t>
            </w:r>
            <w:r>
              <w:rPr>
                <w:color w:val="231F20"/>
                <w:spacing w:val="-2"/>
                <w:sz w:val="15"/>
              </w:rPr>
              <w:t>all</w:t>
            </w:r>
            <w:r>
              <w:rPr>
                <w:color w:val="231F20"/>
                <w:spacing w:val="-8"/>
                <w:sz w:val="15"/>
              </w:rPr>
              <w:t> </w:t>
            </w:r>
            <w:r>
              <w:rPr>
                <w:color w:val="231F20"/>
                <w:spacing w:val="-2"/>
                <w:sz w:val="15"/>
              </w:rPr>
              <w:t>limbs. </w:t>
            </w:r>
            <w:r>
              <w:rPr>
                <w:color w:val="231F20"/>
                <w:sz w:val="15"/>
              </w:rPr>
              <w:t>Autonomic</w:t>
            </w:r>
            <w:r>
              <w:rPr>
                <w:color w:val="231F20"/>
                <w:spacing w:val="-4"/>
                <w:sz w:val="15"/>
              </w:rPr>
              <w:t> </w:t>
            </w:r>
            <w:r>
              <w:rPr>
                <w:color w:val="231F20"/>
                <w:sz w:val="15"/>
              </w:rPr>
              <w:t>dysfunction</w:t>
            </w:r>
            <w:r>
              <w:rPr>
                <w:color w:val="231F20"/>
                <w:spacing w:val="-4"/>
                <w:sz w:val="15"/>
              </w:rPr>
              <w:t> </w:t>
            </w:r>
            <w:r>
              <w:rPr>
                <w:color w:val="231F20"/>
                <w:sz w:val="15"/>
              </w:rPr>
              <w:t>less</w:t>
            </w:r>
            <w:r>
              <w:rPr>
                <w:color w:val="231F20"/>
                <w:spacing w:val="-4"/>
                <w:sz w:val="15"/>
              </w:rPr>
              <w:t> </w:t>
            </w:r>
            <w:r>
              <w:rPr>
                <w:color w:val="231F20"/>
                <w:sz w:val="15"/>
              </w:rPr>
              <w:t>marked.</w:t>
            </w:r>
            <w:r>
              <w:rPr>
                <w:color w:val="231F20"/>
                <w:spacing w:val="-4"/>
                <w:sz w:val="15"/>
              </w:rPr>
              <w:t> </w:t>
            </w:r>
            <w:r>
              <w:rPr>
                <w:color w:val="231F20"/>
                <w:sz w:val="15"/>
              </w:rPr>
              <w:t>Absent or decreased DTRs</w:t>
            </w:r>
          </w:p>
          <w:p>
            <w:pPr>
              <w:pStyle w:val="TableParagraph"/>
              <w:tabs>
                <w:tab w:pos="2299" w:val="left" w:leader="none"/>
              </w:tabs>
              <w:spacing w:line="171" w:lineRule="exact" w:before="1"/>
              <w:ind w:left="72"/>
              <w:rPr>
                <w:sz w:val="15"/>
              </w:rPr>
            </w:pPr>
            <w:r>
              <w:rPr>
                <w:color w:val="231F20"/>
                <w:sz w:val="15"/>
              </w:rPr>
              <w:t>HSN</w:t>
            </w:r>
            <w:r>
              <w:rPr>
                <w:color w:val="231F20"/>
                <w:spacing w:val="22"/>
                <w:sz w:val="15"/>
              </w:rPr>
              <w:t> </w:t>
            </w:r>
            <w:r>
              <w:rPr>
                <w:color w:val="231F20"/>
                <w:sz w:val="15"/>
              </w:rPr>
              <w:t>(HSAN)</w:t>
            </w:r>
            <w:r>
              <w:rPr>
                <w:color w:val="231F20"/>
                <w:spacing w:val="23"/>
                <w:sz w:val="15"/>
              </w:rPr>
              <w:t> </w:t>
            </w:r>
            <w:r>
              <w:rPr>
                <w:color w:val="231F20"/>
                <w:sz w:val="15"/>
              </w:rPr>
              <w:t>2B</w:t>
            </w:r>
            <w:r>
              <w:rPr>
                <w:color w:val="231F20"/>
                <w:spacing w:val="23"/>
                <w:sz w:val="15"/>
              </w:rPr>
              <w:t> </w:t>
            </w:r>
            <w:r>
              <w:rPr>
                <w:color w:val="231F20"/>
                <w:spacing w:val="-2"/>
                <w:sz w:val="15"/>
              </w:rPr>
              <w:t>(223900)</w:t>
            </w:r>
            <w:r>
              <w:rPr>
                <w:color w:val="231F20"/>
                <w:sz w:val="15"/>
              </w:rPr>
              <w:tab/>
              <w:t>Autosomal</w:t>
            </w:r>
            <w:r>
              <w:rPr>
                <w:color w:val="231F20"/>
                <w:spacing w:val="-8"/>
                <w:sz w:val="15"/>
              </w:rPr>
              <w:t> </w:t>
            </w:r>
            <w:r>
              <w:rPr>
                <w:color w:val="231F20"/>
                <w:sz w:val="15"/>
              </w:rPr>
              <w:t>recessive.</w:t>
            </w:r>
            <w:r>
              <w:rPr>
                <w:color w:val="231F20"/>
                <w:spacing w:val="-7"/>
                <w:sz w:val="15"/>
              </w:rPr>
              <w:t> </w:t>
            </w:r>
            <w:r>
              <w:rPr>
                <w:color w:val="231F20"/>
                <w:sz w:val="15"/>
              </w:rPr>
              <w:t>Impaired</w:t>
            </w:r>
            <w:r>
              <w:rPr>
                <w:color w:val="231F20"/>
                <w:spacing w:val="-8"/>
                <w:sz w:val="15"/>
              </w:rPr>
              <w:t> </w:t>
            </w:r>
            <w:r>
              <w:rPr>
                <w:color w:val="231F20"/>
                <w:spacing w:val="-2"/>
                <w:sz w:val="15"/>
              </w:rPr>
              <w:t>sensation,</w:t>
            </w:r>
          </w:p>
          <w:p>
            <w:pPr>
              <w:pStyle w:val="TableParagraph"/>
              <w:spacing w:line="171" w:lineRule="exact"/>
              <w:ind w:left="2411"/>
              <w:rPr>
                <w:sz w:val="15"/>
              </w:rPr>
            </w:pPr>
            <w:r>
              <w:rPr>
                <w:color w:val="231F20"/>
                <w:sz w:val="15"/>
              </w:rPr>
              <w:t>ulcers,</w:t>
            </w:r>
            <w:r>
              <w:rPr>
                <w:color w:val="231F20"/>
                <w:spacing w:val="-10"/>
                <w:sz w:val="15"/>
              </w:rPr>
              <w:t> </w:t>
            </w:r>
            <w:r>
              <w:rPr>
                <w:color w:val="231F20"/>
                <w:sz w:val="15"/>
              </w:rPr>
              <w:t>and</w:t>
            </w:r>
            <w:r>
              <w:rPr>
                <w:color w:val="231F20"/>
                <w:spacing w:val="-9"/>
                <w:sz w:val="15"/>
              </w:rPr>
              <w:t> </w:t>
            </w:r>
            <w:r>
              <w:rPr>
                <w:color w:val="231F20"/>
                <w:sz w:val="15"/>
              </w:rPr>
              <w:t>arthropathy</w:t>
            </w:r>
            <w:r>
              <w:rPr>
                <w:color w:val="231F20"/>
                <w:spacing w:val="-10"/>
                <w:sz w:val="15"/>
              </w:rPr>
              <w:t> </w:t>
            </w:r>
            <w:r>
              <w:rPr>
                <w:color w:val="231F20"/>
                <w:sz w:val="15"/>
              </w:rPr>
              <w:t>develop</w:t>
            </w:r>
            <w:r>
              <w:rPr>
                <w:color w:val="231F20"/>
                <w:spacing w:val="-9"/>
                <w:sz w:val="15"/>
              </w:rPr>
              <w:t> </w:t>
            </w:r>
            <w:r>
              <w:rPr>
                <w:color w:val="231F20"/>
                <w:sz w:val="15"/>
              </w:rPr>
              <w:t>in</w:t>
            </w:r>
            <w:r>
              <w:rPr>
                <w:color w:val="231F20"/>
                <w:spacing w:val="-10"/>
                <w:sz w:val="15"/>
              </w:rPr>
              <w:t> </w:t>
            </w:r>
            <w:r>
              <w:rPr>
                <w:color w:val="231F20"/>
                <w:spacing w:val="-2"/>
                <w:sz w:val="15"/>
              </w:rPr>
              <w:t>childhood</w:t>
            </w:r>
          </w:p>
        </w:tc>
        <w:tc>
          <w:tcPr>
            <w:tcW w:w="2592" w:type="dxa"/>
            <w:vMerge/>
            <w:tcBorders>
              <w:top w:val="nil"/>
              <w:bottom w:val="single" w:sz="8" w:space="0" w:color="231F20"/>
            </w:tcBorders>
            <w:shd w:val="clear" w:color="auto" w:fill="E8F5F1"/>
          </w:tcPr>
          <w:p>
            <w:pPr>
              <w:rPr>
                <w:sz w:val="2"/>
                <w:szCs w:val="2"/>
              </w:rPr>
            </w:pPr>
          </w:p>
        </w:tc>
        <w:tc>
          <w:tcPr>
            <w:tcW w:w="1484" w:type="dxa"/>
            <w:tcBorders>
              <w:bottom w:val="single" w:sz="8" w:space="0" w:color="231F20"/>
            </w:tcBorders>
            <w:shd w:val="clear" w:color="auto" w:fill="E8F5F1"/>
          </w:tcPr>
          <w:p>
            <w:pPr>
              <w:pStyle w:val="TableParagraph"/>
              <w:spacing w:before="147"/>
              <w:rPr>
                <w:i/>
                <w:sz w:val="15"/>
              </w:rPr>
            </w:pPr>
          </w:p>
          <w:p>
            <w:pPr>
              <w:pStyle w:val="TableParagraph"/>
              <w:ind w:left="151"/>
              <w:rPr>
                <w:i/>
                <w:sz w:val="15"/>
              </w:rPr>
            </w:pPr>
            <w:r>
              <w:rPr>
                <w:i/>
                <w:color w:val="231F20"/>
                <w:spacing w:val="-4"/>
                <w:w w:val="110"/>
                <w:sz w:val="15"/>
              </w:rPr>
              <w:t>WNK1</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32"/>
              <w:rPr>
                <w:i/>
                <w:sz w:val="15"/>
              </w:rPr>
            </w:pPr>
          </w:p>
          <w:p>
            <w:pPr>
              <w:pStyle w:val="TableParagraph"/>
              <w:ind w:left="151"/>
              <w:rPr>
                <w:i/>
                <w:sz w:val="15"/>
              </w:rPr>
            </w:pPr>
            <w:r>
              <w:rPr>
                <w:i/>
                <w:color w:val="231F20"/>
                <w:spacing w:val="-2"/>
                <w:w w:val="105"/>
                <w:sz w:val="15"/>
              </w:rPr>
              <w:t>FAM134B</w:t>
            </w:r>
          </w:p>
        </w:tc>
      </w:tr>
    </w:tbl>
    <w:p>
      <w:pPr>
        <w:pStyle w:val="TableParagraph"/>
        <w:spacing w:after="0"/>
        <w:rPr>
          <w:i/>
          <w:sz w:val="15"/>
        </w:rPr>
        <w:sectPr>
          <w:pgSz w:w="11900" w:h="16840"/>
          <w:pgMar w:header="452"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057" name="Group 1057"/>
                <wp:cNvGraphicFramePr>
                  <a:graphicFrameLocks/>
                </wp:cNvGraphicFramePr>
                <a:graphic>
                  <a:graphicData uri="http://schemas.microsoft.com/office/word/2010/wordprocessingGroup">
                    <wpg:wgp>
                      <wpg:cNvPr id="1057" name="Group 1057"/>
                      <wpg:cNvGrpSpPr/>
                      <wpg:grpSpPr>
                        <a:xfrm>
                          <a:off x="0" y="0"/>
                          <a:ext cx="6185535" cy="170815"/>
                          <a:chExt cx="6185535" cy="170815"/>
                        </a:xfrm>
                      </wpg:grpSpPr>
                      <wps:wsp>
                        <wps:cNvPr id="1058" name="Graphic 1058"/>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59" name="Graphic 1059"/>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60" name="Textbox 1060"/>
                        <wps:cNvSpPr txBox="1"/>
                        <wps:spPr>
                          <a:xfrm>
                            <a:off x="0" y="0"/>
                            <a:ext cx="6185535" cy="170815"/>
                          </a:xfrm>
                          <a:prstGeom prst="rect">
                            <a:avLst/>
                          </a:prstGeom>
                        </wps:spPr>
                        <wps:txbx>
                          <w:txbxContent>
                            <w:p>
                              <w:pPr>
                                <w:spacing w:before="6"/>
                                <w:ind w:left="4272" w:right="-15" w:firstLine="0"/>
                                <w:jc w:val="left"/>
                                <w:rPr>
                                  <w:b/>
                                  <w:sz w:val="18"/>
                                </w:rPr>
                              </w:pPr>
                              <w:r>
                                <w:rPr>
                                  <w:b/>
                                  <w:color w:val="0073BC"/>
                                  <w:w w:val="105"/>
                                  <w:sz w:val="18"/>
                                </w:rPr>
                                <w:t>Chapter</w:t>
                              </w:r>
                              <w:r>
                                <w:rPr>
                                  <w:b/>
                                  <w:color w:val="0073BC"/>
                                  <w:spacing w:val="17"/>
                                  <w:w w:val="105"/>
                                  <w:sz w:val="18"/>
                                </w:rPr>
                                <w:t> </w:t>
                              </w:r>
                              <w:r>
                                <w:rPr>
                                  <w:b/>
                                  <w:color w:val="0073BC"/>
                                  <w:w w:val="105"/>
                                  <w:sz w:val="18"/>
                                </w:rPr>
                                <w:t>613</w:t>
                              </w:r>
                              <w:r>
                                <w:rPr>
                                  <w:b/>
                                  <w:color w:val="0073BC"/>
                                  <w:spacing w:val="47"/>
                                  <w:w w:val="105"/>
                                  <w:sz w:val="18"/>
                                </w:rPr>
                                <w:t> </w:t>
                              </w:r>
                              <w:r>
                                <w:rPr>
                                  <w:rFonts w:ascii="Lucida Sans Unicode" w:hAnsi="Lucida Sans Unicode"/>
                                  <w:color w:val="6C9BD2"/>
                                  <w:w w:val="105"/>
                                  <w:sz w:val="15"/>
                                </w:rPr>
                                <w:t>◆</w:t>
                              </w:r>
                              <w:r>
                                <w:rPr>
                                  <w:rFonts w:ascii="Lucida Sans Unicode" w:hAnsi="Lucida Sans Unicode"/>
                                  <w:color w:val="6C9BD2"/>
                                  <w:spacing w:val="54"/>
                                  <w:w w:val="105"/>
                                  <w:sz w:val="15"/>
                                </w:rPr>
                                <w:t> </w:t>
                              </w:r>
                              <w:r>
                                <w:rPr>
                                  <w:color w:val="231F20"/>
                                  <w:w w:val="105"/>
                                  <w:sz w:val="18"/>
                                </w:rPr>
                                <w:t>Hereditary</w:t>
                              </w:r>
                              <w:r>
                                <w:rPr>
                                  <w:color w:val="231F20"/>
                                  <w:spacing w:val="12"/>
                                  <w:w w:val="105"/>
                                  <w:sz w:val="18"/>
                                </w:rPr>
                                <w:t> </w:t>
                              </w:r>
                              <w:r>
                                <w:rPr>
                                  <w:color w:val="231F20"/>
                                  <w:w w:val="105"/>
                                  <w:sz w:val="18"/>
                                </w:rPr>
                                <w:t>Motor-Sensory</w:t>
                              </w:r>
                              <w:r>
                                <w:rPr>
                                  <w:color w:val="231F20"/>
                                  <w:spacing w:val="13"/>
                                  <w:w w:val="105"/>
                                  <w:sz w:val="18"/>
                                </w:rPr>
                                <w:t> </w:t>
                              </w:r>
                              <w:r>
                                <w:rPr>
                                  <w:color w:val="231F20"/>
                                  <w:w w:val="105"/>
                                  <w:sz w:val="18"/>
                                </w:rPr>
                                <w:t>Neuropathies</w:t>
                              </w:r>
                              <w:r>
                                <w:rPr>
                                  <w:color w:val="231F20"/>
                                  <w:spacing w:val="47"/>
                                  <w:w w:val="105"/>
                                  <w:sz w:val="18"/>
                                </w:rPr>
                                <w:t>  </w:t>
                              </w:r>
                              <w:r>
                                <w:rPr>
                                  <w:b/>
                                  <w:color w:val="231F20"/>
                                  <w:spacing w:val="-4"/>
                                  <w:w w:val="105"/>
                                  <w:sz w:val="18"/>
                                </w:rPr>
                                <w:t>3003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42"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43" filled="false" stroked="false">
                  <v:textbox inset="0,0,0,0">
                    <w:txbxContent>
                      <w:p>
                        <w:pPr>
                          <w:spacing w:before="6"/>
                          <w:ind w:left="4272" w:right="-15" w:firstLine="0"/>
                          <w:jc w:val="left"/>
                          <w:rPr>
                            <w:b/>
                            <w:sz w:val="18"/>
                          </w:rPr>
                        </w:pPr>
                        <w:r>
                          <w:rPr>
                            <w:b/>
                            <w:color w:val="0073BC"/>
                            <w:w w:val="105"/>
                            <w:sz w:val="18"/>
                          </w:rPr>
                          <w:t>Chapter</w:t>
                        </w:r>
                        <w:r>
                          <w:rPr>
                            <w:b/>
                            <w:color w:val="0073BC"/>
                            <w:spacing w:val="17"/>
                            <w:w w:val="105"/>
                            <w:sz w:val="18"/>
                          </w:rPr>
                          <w:t> </w:t>
                        </w:r>
                        <w:r>
                          <w:rPr>
                            <w:b/>
                            <w:color w:val="0073BC"/>
                            <w:w w:val="105"/>
                            <w:sz w:val="18"/>
                          </w:rPr>
                          <w:t>613</w:t>
                        </w:r>
                        <w:r>
                          <w:rPr>
                            <w:b/>
                            <w:color w:val="0073BC"/>
                            <w:spacing w:val="47"/>
                            <w:w w:val="105"/>
                            <w:sz w:val="18"/>
                          </w:rPr>
                          <w:t> </w:t>
                        </w:r>
                        <w:r>
                          <w:rPr>
                            <w:rFonts w:ascii="Lucida Sans Unicode" w:hAnsi="Lucida Sans Unicode"/>
                            <w:color w:val="6C9BD2"/>
                            <w:w w:val="105"/>
                            <w:sz w:val="15"/>
                          </w:rPr>
                          <w:t>◆</w:t>
                        </w:r>
                        <w:r>
                          <w:rPr>
                            <w:rFonts w:ascii="Lucida Sans Unicode" w:hAnsi="Lucida Sans Unicode"/>
                            <w:color w:val="6C9BD2"/>
                            <w:spacing w:val="54"/>
                            <w:w w:val="105"/>
                            <w:sz w:val="15"/>
                          </w:rPr>
                          <w:t> </w:t>
                        </w:r>
                        <w:r>
                          <w:rPr>
                            <w:color w:val="231F20"/>
                            <w:w w:val="105"/>
                            <w:sz w:val="18"/>
                          </w:rPr>
                          <w:t>Hereditary</w:t>
                        </w:r>
                        <w:r>
                          <w:rPr>
                            <w:color w:val="231F20"/>
                            <w:spacing w:val="12"/>
                            <w:w w:val="105"/>
                            <w:sz w:val="18"/>
                          </w:rPr>
                          <w:t> </w:t>
                        </w:r>
                        <w:r>
                          <w:rPr>
                            <w:color w:val="231F20"/>
                            <w:w w:val="105"/>
                            <w:sz w:val="18"/>
                          </w:rPr>
                          <w:t>Motor-Sensory</w:t>
                        </w:r>
                        <w:r>
                          <w:rPr>
                            <w:color w:val="231F20"/>
                            <w:spacing w:val="13"/>
                            <w:w w:val="105"/>
                            <w:sz w:val="18"/>
                          </w:rPr>
                          <w:t> </w:t>
                        </w:r>
                        <w:r>
                          <w:rPr>
                            <w:color w:val="231F20"/>
                            <w:w w:val="105"/>
                            <w:sz w:val="18"/>
                          </w:rPr>
                          <w:t>Neuropathies</w:t>
                        </w:r>
                        <w:r>
                          <w:rPr>
                            <w:color w:val="231F20"/>
                            <w:spacing w:val="47"/>
                            <w:w w:val="105"/>
                            <w:sz w:val="18"/>
                          </w:rPr>
                          <w:t>  </w:t>
                        </w:r>
                        <w:r>
                          <w:rPr>
                            <w:b/>
                            <w:color w:val="231F20"/>
                            <w:spacing w:val="-4"/>
                            <w:w w:val="105"/>
                            <w:sz w:val="18"/>
                          </w:rPr>
                          <w:t>3003</w:t>
                        </w:r>
                      </w:p>
                    </w:txbxContent>
                  </v:textbox>
                  <w10:wrap type="none"/>
                </v:shape>
              </v:group>
            </w:pict>
          </mc:Fallback>
        </mc:AlternateContent>
      </w:r>
      <w:r>
        <w:rPr>
          <w:sz w:val="20"/>
        </w:rPr>
      </w:r>
    </w:p>
    <w:p>
      <w:pPr>
        <w:pStyle w:val="BodyText"/>
        <w:spacing w:before="11"/>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6"/>
        <w:gridCol w:w="3609"/>
        <w:gridCol w:w="2593"/>
        <w:gridCol w:w="1484"/>
      </w:tblGrid>
      <w:tr>
        <w:trPr>
          <w:trHeight w:val="373" w:hRule="atLeast"/>
        </w:trPr>
        <w:tc>
          <w:tcPr>
            <w:tcW w:w="2056"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613-1</w:t>
            </w:r>
            <w:r>
              <w:rPr>
                <w:b/>
                <w:color w:val="FFFFFF"/>
                <w:spacing w:val="32"/>
                <w:w w:val="105"/>
                <w:sz w:val="16"/>
              </w:rPr>
              <w:t>  </w:t>
            </w:r>
            <w:r>
              <w:rPr>
                <w:color w:val="FFFFFF"/>
                <w:spacing w:val="-2"/>
                <w:w w:val="105"/>
                <w:sz w:val="16"/>
              </w:rPr>
              <w:t>Hereditary</w:t>
            </w:r>
          </w:p>
        </w:tc>
        <w:tc>
          <w:tcPr>
            <w:tcW w:w="7686" w:type="dxa"/>
            <w:gridSpan w:val="3"/>
            <w:shd w:val="clear" w:color="auto" w:fill="231F20"/>
          </w:tcPr>
          <w:p>
            <w:pPr>
              <w:pStyle w:val="TableParagraph"/>
              <w:spacing w:before="89"/>
              <w:ind w:left="27"/>
              <w:rPr>
                <w:sz w:val="16"/>
              </w:rPr>
            </w:pPr>
            <w:r>
              <w:rPr>
                <w:color w:val="FFFFFF"/>
                <w:w w:val="105"/>
                <w:sz w:val="16"/>
              </w:rPr>
              <w:t>Peripheral</w:t>
            </w:r>
            <w:r>
              <w:rPr>
                <w:color w:val="FFFFFF"/>
                <w:spacing w:val="32"/>
                <w:w w:val="105"/>
                <w:sz w:val="16"/>
              </w:rPr>
              <w:t> </w:t>
            </w:r>
            <w:r>
              <w:rPr>
                <w:color w:val="FFFFFF"/>
                <w:w w:val="105"/>
                <w:sz w:val="16"/>
              </w:rPr>
              <w:t>Neuropathies—</w:t>
            </w:r>
            <w:r>
              <w:rPr>
                <w:color w:val="FFFFFF"/>
                <w:spacing w:val="-2"/>
                <w:w w:val="105"/>
                <w:sz w:val="16"/>
              </w:rPr>
              <w:t>cont’d</w:t>
            </w:r>
          </w:p>
        </w:tc>
      </w:tr>
      <w:tr>
        <w:trPr>
          <w:trHeight w:val="257" w:hRule="atLeast"/>
        </w:trPr>
        <w:tc>
          <w:tcPr>
            <w:tcW w:w="2056" w:type="dxa"/>
            <w:tcBorders>
              <w:bottom w:val="single" w:sz="4" w:space="0" w:color="231F20"/>
            </w:tcBorders>
            <w:shd w:val="clear" w:color="auto" w:fill="E8F5F1"/>
          </w:tcPr>
          <w:p>
            <w:pPr>
              <w:pStyle w:val="TableParagraph"/>
              <w:spacing w:before="47"/>
              <w:ind w:left="74"/>
              <w:rPr>
                <w:b/>
                <w:sz w:val="15"/>
              </w:rPr>
            </w:pPr>
            <w:r>
              <w:rPr>
                <w:b/>
                <w:color w:val="231F20"/>
                <w:w w:val="110"/>
                <w:sz w:val="15"/>
              </w:rPr>
              <w:t>DISORDER</w:t>
            </w:r>
            <w:r>
              <w:rPr>
                <w:b/>
                <w:color w:val="231F20"/>
                <w:spacing w:val="22"/>
                <w:w w:val="110"/>
                <w:sz w:val="15"/>
              </w:rPr>
              <w:t> </w:t>
            </w:r>
            <w:r>
              <w:rPr>
                <w:b/>
                <w:color w:val="231F20"/>
                <w:w w:val="110"/>
                <w:sz w:val="15"/>
              </w:rPr>
              <w:t>(OMIM</w:t>
            </w:r>
            <w:r>
              <w:rPr>
                <w:b/>
                <w:color w:val="231F20"/>
                <w:spacing w:val="22"/>
                <w:w w:val="110"/>
                <w:sz w:val="15"/>
              </w:rPr>
              <w:t> </w:t>
            </w:r>
            <w:r>
              <w:rPr>
                <w:b/>
                <w:color w:val="231F20"/>
                <w:spacing w:val="-4"/>
                <w:w w:val="110"/>
                <w:sz w:val="15"/>
              </w:rPr>
              <w:t>NO.)</w:t>
            </w:r>
          </w:p>
        </w:tc>
        <w:tc>
          <w:tcPr>
            <w:tcW w:w="3609" w:type="dxa"/>
            <w:tcBorders>
              <w:bottom w:val="single" w:sz="4" w:space="0" w:color="231F20"/>
            </w:tcBorders>
            <w:shd w:val="clear" w:color="auto" w:fill="E8F5F1"/>
          </w:tcPr>
          <w:p>
            <w:pPr>
              <w:pStyle w:val="TableParagraph"/>
              <w:spacing w:before="47"/>
              <w:ind w:left="245"/>
              <w:rPr>
                <w:b/>
                <w:sz w:val="15"/>
              </w:rPr>
            </w:pPr>
            <w:r>
              <w:rPr>
                <w:b/>
                <w:color w:val="231F20"/>
                <w:w w:val="110"/>
                <w:sz w:val="15"/>
              </w:rPr>
              <w:t>CLINICAL</w:t>
            </w:r>
            <w:r>
              <w:rPr>
                <w:b/>
                <w:color w:val="231F20"/>
                <w:spacing w:val="-4"/>
                <w:w w:val="110"/>
                <w:sz w:val="15"/>
              </w:rPr>
              <w:t> </w:t>
            </w:r>
            <w:r>
              <w:rPr>
                <w:b/>
                <w:color w:val="231F20"/>
                <w:spacing w:val="-2"/>
                <w:w w:val="110"/>
                <w:sz w:val="15"/>
              </w:rPr>
              <w:t>FEATURES</w:t>
            </w:r>
          </w:p>
        </w:tc>
        <w:tc>
          <w:tcPr>
            <w:tcW w:w="2593" w:type="dxa"/>
            <w:tcBorders>
              <w:bottom w:val="single" w:sz="4" w:space="0" w:color="231F20"/>
            </w:tcBorders>
            <w:shd w:val="clear" w:color="auto" w:fill="E8F5F1"/>
          </w:tcPr>
          <w:p>
            <w:pPr>
              <w:pStyle w:val="TableParagraph"/>
              <w:spacing w:before="47"/>
              <w:ind w:left="154"/>
              <w:rPr>
                <w:b/>
                <w:sz w:val="15"/>
              </w:rPr>
            </w:pPr>
            <w:r>
              <w:rPr>
                <w:b/>
                <w:color w:val="231F20"/>
                <w:w w:val="110"/>
                <w:sz w:val="15"/>
              </w:rPr>
              <w:t>NERVE</w:t>
            </w:r>
            <w:r>
              <w:rPr>
                <w:b/>
                <w:color w:val="231F20"/>
                <w:spacing w:val="20"/>
                <w:w w:val="110"/>
                <w:sz w:val="15"/>
              </w:rPr>
              <w:t> </w:t>
            </w:r>
            <w:r>
              <w:rPr>
                <w:b/>
                <w:color w:val="231F20"/>
                <w:w w:val="110"/>
                <w:sz w:val="15"/>
              </w:rPr>
              <w:t>CONDUCTION</w:t>
            </w:r>
            <w:r>
              <w:rPr>
                <w:b/>
                <w:color w:val="231F20"/>
                <w:spacing w:val="21"/>
                <w:w w:val="110"/>
                <w:sz w:val="15"/>
              </w:rPr>
              <w:t> </w:t>
            </w:r>
            <w:r>
              <w:rPr>
                <w:b/>
                <w:color w:val="231F20"/>
                <w:spacing w:val="-2"/>
                <w:w w:val="110"/>
                <w:sz w:val="15"/>
              </w:rPr>
              <w:t>STUDIES</w:t>
            </w:r>
          </w:p>
        </w:tc>
        <w:tc>
          <w:tcPr>
            <w:tcW w:w="1484" w:type="dxa"/>
            <w:tcBorders>
              <w:bottom w:val="single" w:sz="4" w:space="0" w:color="231F20"/>
            </w:tcBorders>
            <w:shd w:val="clear" w:color="auto" w:fill="E8F5F1"/>
          </w:tcPr>
          <w:p>
            <w:pPr>
              <w:pStyle w:val="TableParagraph"/>
              <w:spacing w:before="47"/>
              <w:ind w:left="152"/>
              <w:rPr>
                <w:b/>
                <w:sz w:val="15"/>
              </w:rPr>
            </w:pPr>
            <w:r>
              <w:rPr>
                <w:b/>
                <w:color w:val="231F20"/>
                <w:w w:val="110"/>
                <w:sz w:val="15"/>
              </w:rPr>
              <w:t>GENE</w:t>
            </w:r>
            <w:r>
              <w:rPr>
                <w:b/>
                <w:color w:val="231F20"/>
                <w:spacing w:val="11"/>
                <w:w w:val="110"/>
                <w:sz w:val="15"/>
              </w:rPr>
              <w:t> </w:t>
            </w:r>
            <w:r>
              <w:rPr>
                <w:b/>
                <w:color w:val="231F20"/>
                <w:w w:val="110"/>
                <w:sz w:val="15"/>
              </w:rPr>
              <w:t>OR</w:t>
            </w:r>
            <w:r>
              <w:rPr>
                <w:b/>
                <w:color w:val="231F20"/>
                <w:spacing w:val="12"/>
                <w:w w:val="110"/>
                <w:sz w:val="15"/>
              </w:rPr>
              <w:t> </w:t>
            </w:r>
            <w:r>
              <w:rPr>
                <w:b/>
                <w:color w:val="231F20"/>
                <w:spacing w:val="-2"/>
                <w:w w:val="110"/>
                <w:sz w:val="15"/>
              </w:rPr>
              <w:t>LOCUS</w:t>
            </w:r>
          </w:p>
        </w:tc>
      </w:tr>
      <w:tr>
        <w:trPr>
          <w:trHeight w:val="4267" w:hRule="atLeast"/>
        </w:trPr>
        <w:tc>
          <w:tcPr>
            <w:tcW w:w="2056" w:type="dxa"/>
            <w:tcBorders>
              <w:top w:val="single" w:sz="4" w:space="0" w:color="231F20"/>
              <w:bottom w:val="single" w:sz="8" w:space="0" w:color="231F20"/>
            </w:tcBorders>
            <w:shd w:val="clear" w:color="auto" w:fill="E8F5F1"/>
          </w:tcPr>
          <w:p>
            <w:pPr>
              <w:pStyle w:val="TableParagraph"/>
              <w:spacing w:line="230" w:lineRule="auto" w:before="34"/>
              <w:ind w:left="186" w:hanging="112"/>
              <w:rPr>
                <w:sz w:val="15"/>
              </w:rPr>
            </w:pPr>
            <w:r>
              <w:rPr>
                <w:color w:val="231F20"/>
                <w:sz w:val="15"/>
              </w:rPr>
              <w:t>HSN (HSAN) 3 (Riley-Day syndrome, familial </w:t>
            </w:r>
            <w:r>
              <w:rPr>
                <w:color w:val="231F20"/>
                <w:spacing w:val="-4"/>
                <w:sz w:val="15"/>
              </w:rPr>
              <w:t>dysautonomia) </w:t>
            </w:r>
            <w:r>
              <w:rPr>
                <w:color w:val="231F20"/>
                <w:spacing w:val="-4"/>
                <w:sz w:val="15"/>
              </w:rPr>
              <w:t>(223900)</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40"/>
              <w:rPr>
                <w:i/>
                <w:sz w:val="15"/>
              </w:rPr>
            </w:pPr>
          </w:p>
          <w:p>
            <w:pPr>
              <w:pStyle w:val="TableParagraph"/>
              <w:spacing w:line="230" w:lineRule="auto"/>
              <w:ind w:left="186" w:hanging="112"/>
              <w:rPr>
                <w:sz w:val="15"/>
              </w:rPr>
            </w:pPr>
            <w:r>
              <w:rPr>
                <w:color w:val="231F20"/>
                <w:sz w:val="15"/>
              </w:rPr>
              <w:t>HSN (HSAN) 4 (congenital insensitivity to pain with </w:t>
            </w:r>
            <w:r>
              <w:rPr>
                <w:color w:val="231F20"/>
                <w:spacing w:val="-2"/>
                <w:sz w:val="15"/>
              </w:rPr>
              <w:t>anhidrosis,</w:t>
            </w:r>
            <w:r>
              <w:rPr>
                <w:color w:val="231F20"/>
                <w:spacing w:val="-10"/>
                <w:sz w:val="15"/>
              </w:rPr>
              <w:t> </w:t>
            </w:r>
            <w:r>
              <w:rPr>
                <w:color w:val="231F20"/>
                <w:spacing w:val="-2"/>
                <w:sz w:val="15"/>
              </w:rPr>
              <w:t>CIPA)</w:t>
            </w:r>
            <w:r>
              <w:rPr>
                <w:color w:val="231F20"/>
                <w:spacing w:val="-9"/>
                <w:sz w:val="15"/>
              </w:rPr>
              <w:t> </w:t>
            </w:r>
            <w:r>
              <w:rPr>
                <w:color w:val="231F20"/>
                <w:spacing w:val="-2"/>
                <w:sz w:val="15"/>
              </w:rPr>
              <w:t>(256800)</w:t>
            </w:r>
          </w:p>
          <w:p>
            <w:pPr>
              <w:pStyle w:val="TableParagraph"/>
              <w:rPr>
                <w:i/>
                <w:sz w:val="15"/>
              </w:rPr>
            </w:pPr>
          </w:p>
          <w:p>
            <w:pPr>
              <w:pStyle w:val="TableParagraph"/>
              <w:rPr>
                <w:i/>
                <w:sz w:val="15"/>
              </w:rPr>
            </w:pPr>
          </w:p>
          <w:p>
            <w:pPr>
              <w:pStyle w:val="TableParagraph"/>
              <w:rPr>
                <w:i/>
                <w:sz w:val="15"/>
              </w:rPr>
            </w:pPr>
          </w:p>
          <w:p>
            <w:pPr>
              <w:pStyle w:val="TableParagraph"/>
              <w:spacing w:before="141"/>
              <w:rPr>
                <w:i/>
                <w:sz w:val="15"/>
              </w:rPr>
            </w:pPr>
          </w:p>
          <w:p>
            <w:pPr>
              <w:pStyle w:val="TableParagraph"/>
              <w:ind w:left="74"/>
              <w:rPr>
                <w:sz w:val="15"/>
              </w:rPr>
            </w:pPr>
            <w:r>
              <w:rPr>
                <w:color w:val="231F20"/>
                <w:w w:val="105"/>
                <w:sz w:val="15"/>
              </w:rPr>
              <w:t>HSN</w:t>
            </w:r>
            <w:r>
              <w:rPr>
                <w:color w:val="231F20"/>
                <w:spacing w:val="4"/>
                <w:w w:val="105"/>
                <w:sz w:val="15"/>
              </w:rPr>
              <w:t> </w:t>
            </w:r>
            <w:r>
              <w:rPr>
                <w:color w:val="231F20"/>
                <w:w w:val="105"/>
                <w:sz w:val="15"/>
              </w:rPr>
              <w:t>(HSAN)</w:t>
            </w:r>
            <w:r>
              <w:rPr>
                <w:color w:val="231F20"/>
                <w:spacing w:val="4"/>
                <w:w w:val="105"/>
                <w:sz w:val="15"/>
              </w:rPr>
              <w:t> </w:t>
            </w:r>
            <w:r>
              <w:rPr>
                <w:color w:val="231F20"/>
                <w:w w:val="105"/>
                <w:sz w:val="15"/>
              </w:rPr>
              <w:t>5</w:t>
            </w:r>
            <w:r>
              <w:rPr>
                <w:color w:val="231F20"/>
                <w:spacing w:val="4"/>
                <w:w w:val="105"/>
                <w:sz w:val="15"/>
              </w:rPr>
              <w:t> </w:t>
            </w:r>
            <w:r>
              <w:rPr>
                <w:color w:val="231F20"/>
                <w:spacing w:val="-2"/>
                <w:w w:val="105"/>
                <w:sz w:val="15"/>
              </w:rPr>
              <w:t>(608654)</w:t>
            </w:r>
          </w:p>
        </w:tc>
        <w:tc>
          <w:tcPr>
            <w:tcW w:w="3609" w:type="dxa"/>
            <w:tcBorders>
              <w:top w:val="single" w:sz="4" w:space="0" w:color="231F20"/>
              <w:bottom w:val="single" w:sz="8" w:space="0" w:color="231F20"/>
            </w:tcBorders>
            <w:shd w:val="clear" w:color="auto" w:fill="E8F5F1"/>
          </w:tcPr>
          <w:p>
            <w:pPr>
              <w:pStyle w:val="TableParagraph"/>
              <w:spacing w:line="230" w:lineRule="auto" w:before="34"/>
              <w:ind w:left="357" w:right="217" w:hanging="112"/>
              <w:rPr>
                <w:sz w:val="15"/>
              </w:rPr>
            </w:pPr>
            <w:r>
              <w:rPr>
                <w:color w:val="231F20"/>
                <w:sz w:val="15"/>
              </w:rPr>
              <w:t>Autosomal recessive. History of neurologic abnormality and of difficult feeding from birth. Failure to produce tears regularly. Absent or reduced DTRs. Absent corneal reflexes, postural hypotension, emotional </w:t>
            </w:r>
            <w:r>
              <w:rPr>
                <w:color w:val="231F20"/>
                <w:spacing w:val="-2"/>
                <w:sz w:val="15"/>
              </w:rPr>
              <w:t>lability.</w:t>
            </w:r>
            <w:r>
              <w:rPr>
                <w:color w:val="231F20"/>
                <w:spacing w:val="-10"/>
                <w:sz w:val="15"/>
              </w:rPr>
              <w:t> </w:t>
            </w:r>
            <w:r>
              <w:rPr>
                <w:color w:val="231F20"/>
                <w:spacing w:val="-2"/>
                <w:sz w:val="15"/>
              </w:rPr>
              <w:t>Relative</w:t>
            </w:r>
            <w:r>
              <w:rPr>
                <w:color w:val="231F20"/>
                <w:spacing w:val="-9"/>
                <w:sz w:val="15"/>
              </w:rPr>
              <w:t> </w:t>
            </w:r>
            <w:r>
              <w:rPr>
                <w:color w:val="231F20"/>
                <w:spacing w:val="-2"/>
                <w:sz w:val="15"/>
              </w:rPr>
              <w:t>indifference</w:t>
            </w:r>
            <w:r>
              <w:rPr>
                <w:color w:val="231F20"/>
                <w:spacing w:val="-9"/>
                <w:sz w:val="15"/>
              </w:rPr>
              <w:t> </w:t>
            </w:r>
            <w:r>
              <w:rPr>
                <w:color w:val="231F20"/>
                <w:spacing w:val="-2"/>
                <w:sz w:val="15"/>
              </w:rPr>
              <w:t>to</w:t>
            </w:r>
            <w:r>
              <w:rPr>
                <w:color w:val="231F20"/>
                <w:spacing w:val="-10"/>
                <w:sz w:val="15"/>
              </w:rPr>
              <w:t> </w:t>
            </w:r>
            <w:r>
              <w:rPr>
                <w:color w:val="231F20"/>
                <w:spacing w:val="-2"/>
                <w:sz w:val="15"/>
              </w:rPr>
              <w:t>pain,</w:t>
            </w:r>
            <w:r>
              <w:rPr>
                <w:color w:val="231F20"/>
                <w:spacing w:val="-9"/>
                <w:sz w:val="15"/>
              </w:rPr>
              <w:t> </w:t>
            </w:r>
            <w:r>
              <w:rPr>
                <w:color w:val="231F20"/>
                <w:spacing w:val="-2"/>
                <w:sz w:val="15"/>
              </w:rPr>
              <w:t>absence </w:t>
            </w:r>
            <w:r>
              <w:rPr>
                <w:color w:val="231F20"/>
                <w:sz w:val="15"/>
              </w:rPr>
              <w:t>of fungiform papillae on tongue, absence of flare with intradermal histamine. Normal </w:t>
            </w:r>
            <w:r>
              <w:rPr>
                <w:color w:val="231F20"/>
                <w:spacing w:val="-2"/>
                <w:sz w:val="15"/>
              </w:rPr>
              <w:t>intelligence</w:t>
            </w:r>
          </w:p>
          <w:p>
            <w:pPr>
              <w:pStyle w:val="TableParagraph"/>
              <w:spacing w:line="230" w:lineRule="auto" w:before="8"/>
              <w:ind w:left="357" w:right="126" w:hanging="112"/>
              <w:rPr>
                <w:sz w:val="15"/>
              </w:rPr>
            </w:pPr>
            <w:r>
              <w:rPr>
                <w:color w:val="231F20"/>
                <w:sz w:val="15"/>
              </w:rPr>
              <w:t>Autosomal</w:t>
            </w:r>
            <w:r>
              <w:rPr>
                <w:color w:val="231F20"/>
                <w:spacing w:val="-7"/>
                <w:sz w:val="15"/>
              </w:rPr>
              <w:t> </w:t>
            </w:r>
            <w:r>
              <w:rPr>
                <w:color w:val="231F20"/>
                <w:sz w:val="15"/>
              </w:rPr>
              <w:t>recessive.</w:t>
            </w:r>
            <w:r>
              <w:rPr>
                <w:color w:val="231F20"/>
                <w:spacing w:val="-7"/>
                <w:sz w:val="15"/>
              </w:rPr>
              <w:t> </w:t>
            </w:r>
            <w:r>
              <w:rPr>
                <w:color w:val="231F20"/>
                <w:sz w:val="15"/>
              </w:rPr>
              <w:t>Onset</w:t>
            </w:r>
            <w:r>
              <w:rPr>
                <w:color w:val="231F20"/>
                <w:spacing w:val="-7"/>
                <w:sz w:val="15"/>
              </w:rPr>
              <w:t> </w:t>
            </w:r>
            <w:r>
              <w:rPr>
                <w:color w:val="231F20"/>
                <w:sz w:val="15"/>
              </w:rPr>
              <w:t>from</w:t>
            </w:r>
            <w:r>
              <w:rPr>
                <w:color w:val="231F20"/>
                <w:spacing w:val="-7"/>
                <w:sz w:val="15"/>
              </w:rPr>
              <w:t> </w:t>
            </w:r>
            <w:r>
              <w:rPr>
                <w:color w:val="231F20"/>
                <w:sz w:val="15"/>
              </w:rPr>
              <w:t>infancy,</w:t>
            </w:r>
            <w:r>
              <w:rPr>
                <w:color w:val="231F20"/>
                <w:spacing w:val="-7"/>
                <w:sz w:val="15"/>
              </w:rPr>
              <w:t> </w:t>
            </w:r>
            <w:r>
              <w:rPr>
                <w:color w:val="231F20"/>
                <w:sz w:val="15"/>
              </w:rPr>
              <w:t>often high fevers due to truncal anhidrosis during hot weather. Painless injuries of extremities </w:t>
            </w:r>
            <w:r>
              <w:rPr>
                <w:color w:val="231F20"/>
                <w:spacing w:val="-2"/>
                <w:sz w:val="15"/>
              </w:rPr>
              <w:t>and</w:t>
            </w:r>
            <w:r>
              <w:rPr>
                <w:color w:val="231F20"/>
                <w:spacing w:val="-7"/>
                <w:sz w:val="15"/>
              </w:rPr>
              <w:t> </w:t>
            </w:r>
            <w:r>
              <w:rPr>
                <w:color w:val="231F20"/>
                <w:spacing w:val="-2"/>
                <w:sz w:val="15"/>
              </w:rPr>
              <w:t>oral</w:t>
            </w:r>
            <w:r>
              <w:rPr>
                <w:color w:val="231F20"/>
                <w:spacing w:val="-7"/>
                <w:sz w:val="15"/>
              </w:rPr>
              <w:t> </w:t>
            </w:r>
            <w:r>
              <w:rPr>
                <w:color w:val="231F20"/>
                <w:spacing w:val="-2"/>
                <w:sz w:val="15"/>
              </w:rPr>
              <w:t>structures,</w:t>
            </w:r>
            <w:r>
              <w:rPr>
                <w:color w:val="231F20"/>
                <w:spacing w:val="-7"/>
                <w:sz w:val="15"/>
              </w:rPr>
              <w:t> </w:t>
            </w:r>
            <w:r>
              <w:rPr>
                <w:color w:val="231F20"/>
                <w:spacing w:val="-2"/>
                <w:sz w:val="15"/>
              </w:rPr>
              <w:t>often</w:t>
            </w:r>
            <w:r>
              <w:rPr>
                <w:color w:val="231F20"/>
                <w:spacing w:val="-7"/>
                <w:sz w:val="15"/>
              </w:rPr>
              <w:t> </w:t>
            </w:r>
            <w:r>
              <w:rPr>
                <w:color w:val="231F20"/>
                <w:spacing w:val="-2"/>
                <w:sz w:val="15"/>
              </w:rPr>
              <w:t>self-mutilation.</w:t>
            </w:r>
            <w:r>
              <w:rPr>
                <w:color w:val="231F20"/>
                <w:spacing w:val="-7"/>
                <w:sz w:val="15"/>
              </w:rPr>
              <w:t> </w:t>
            </w:r>
            <w:r>
              <w:rPr>
                <w:color w:val="231F20"/>
                <w:spacing w:val="-2"/>
                <w:sz w:val="15"/>
              </w:rPr>
              <w:t>Lack </w:t>
            </w:r>
            <w:r>
              <w:rPr>
                <w:color w:val="231F20"/>
                <w:sz w:val="15"/>
              </w:rPr>
              <w:t>of pain sensation, both peripheral and visceral, inability to distinguish hot and cold. </w:t>
            </w:r>
            <w:r>
              <w:rPr>
                <w:color w:val="231F20"/>
                <w:spacing w:val="-2"/>
                <w:sz w:val="15"/>
              </w:rPr>
              <w:t>Preservation of DTRs. Mild mental </w:t>
            </w:r>
            <w:r>
              <w:rPr>
                <w:color w:val="231F20"/>
                <w:spacing w:val="-2"/>
                <w:sz w:val="15"/>
              </w:rPr>
              <w:t>retardation. </w:t>
            </w:r>
            <w:r>
              <w:rPr>
                <w:color w:val="231F20"/>
                <w:sz w:val="15"/>
              </w:rPr>
              <w:t>Hyperactivity and emotional lability common</w:t>
            </w:r>
          </w:p>
          <w:p>
            <w:pPr>
              <w:pStyle w:val="TableParagraph"/>
              <w:spacing w:line="230" w:lineRule="auto" w:before="7"/>
              <w:ind w:left="357" w:right="126" w:hanging="112"/>
              <w:rPr>
                <w:sz w:val="15"/>
              </w:rPr>
            </w:pPr>
            <w:r>
              <w:rPr>
                <w:color w:val="231F20"/>
                <w:sz w:val="15"/>
              </w:rPr>
              <w:t>Autosomal recessive. Onset in early life. Rare disorder.</w:t>
            </w:r>
            <w:r>
              <w:rPr>
                <w:color w:val="231F20"/>
                <w:spacing w:val="-11"/>
                <w:sz w:val="15"/>
              </w:rPr>
              <w:t> </w:t>
            </w:r>
            <w:r>
              <w:rPr>
                <w:color w:val="231F20"/>
                <w:sz w:val="15"/>
              </w:rPr>
              <w:t>Painless</w:t>
            </w:r>
            <w:r>
              <w:rPr>
                <w:color w:val="231F20"/>
                <w:spacing w:val="-11"/>
                <w:sz w:val="15"/>
              </w:rPr>
              <w:t> </w:t>
            </w:r>
            <w:r>
              <w:rPr>
                <w:color w:val="231F20"/>
                <w:sz w:val="15"/>
              </w:rPr>
              <w:t>injuries</w:t>
            </w:r>
            <w:r>
              <w:rPr>
                <w:color w:val="231F20"/>
                <w:spacing w:val="-11"/>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extremities. Lack of pain and thermal sensitivity in the limbs but preservation of response to tactile and mechanical stimuli. Preservation of muscle strength and DTRs. Distal anhidrosis. </w:t>
            </w:r>
            <w:r>
              <w:rPr>
                <w:color w:val="231F20"/>
                <w:spacing w:val="-2"/>
                <w:sz w:val="15"/>
              </w:rPr>
              <w:t>Bone</w:t>
            </w:r>
            <w:r>
              <w:rPr>
                <w:color w:val="231F20"/>
                <w:spacing w:val="-7"/>
                <w:sz w:val="15"/>
              </w:rPr>
              <w:t> </w:t>
            </w:r>
            <w:r>
              <w:rPr>
                <w:color w:val="231F20"/>
                <w:spacing w:val="-2"/>
                <w:sz w:val="15"/>
              </w:rPr>
              <w:t>and</w:t>
            </w:r>
            <w:r>
              <w:rPr>
                <w:color w:val="231F20"/>
                <w:spacing w:val="-7"/>
                <w:sz w:val="15"/>
              </w:rPr>
              <w:t> </w:t>
            </w:r>
            <w:r>
              <w:rPr>
                <w:color w:val="231F20"/>
                <w:spacing w:val="-2"/>
                <w:sz w:val="15"/>
              </w:rPr>
              <w:t>joint</w:t>
            </w:r>
            <w:r>
              <w:rPr>
                <w:color w:val="231F20"/>
                <w:spacing w:val="-7"/>
                <w:sz w:val="15"/>
              </w:rPr>
              <w:t> </w:t>
            </w:r>
            <w:r>
              <w:rPr>
                <w:color w:val="231F20"/>
                <w:spacing w:val="-2"/>
                <w:sz w:val="15"/>
              </w:rPr>
              <w:t>fractures;</w:t>
            </w:r>
            <w:r>
              <w:rPr>
                <w:color w:val="231F20"/>
                <w:spacing w:val="-7"/>
                <w:sz w:val="15"/>
              </w:rPr>
              <w:t> </w:t>
            </w:r>
            <w:r>
              <w:rPr>
                <w:color w:val="231F20"/>
                <w:spacing w:val="-2"/>
                <w:sz w:val="15"/>
              </w:rPr>
              <w:t>arthropathy.</w:t>
            </w:r>
            <w:r>
              <w:rPr>
                <w:color w:val="231F20"/>
                <w:spacing w:val="-7"/>
                <w:sz w:val="15"/>
              </w:rPr>
              <w:t> </w:t>
            </w:r>
            <w:r>
              <w:rPr>
                <w:color w:val="231F20"/>
                <w:spacing w:val="-2"/>
                <w:sz w:val="15"/>
              </w:rPr>
              <w:t>Normal intelligence</w:t>
            </w:r>
          </w:p>
        </w:tc>
        <w:tc>
          <w:tcPr>
            <w:tcW w:w="2593" w:type="dxa"/>
            <w:tcBorders>
              <w:top w:val="single" w:sz="4" w:space="0" w:color="231F20"/>
              <w:bottom w:val="single" w:sz="8" w:space="0" w:color="231F20"/>
            </w:tcBorders>
            <w:shd w:val="clear" w:color="auto" w:fill="E8F5F1"/>
          </w:tcPr>
          <w:p>
            <w:pPr>
              <w:pStyle w:val="TableParagraph"/>
              <w:spacing w:line="230" w:lineRule="auto" w:before="34"/>
              <w:ind w:left="265" w:right="341" w:hanging="112"/>
              <w:rPr>
                <w:sz w:val="15"/>
              </w:rPr>
            </w:pPr>
            <w:r>
              <w:rPr>
                <w:color w:val="231F20"/>
                <w:sz w:val="15"/>
              </w:rPr>
              <w:t>Motor conduction velocities </w:t>
            </w:r>
            <w:r>
              <w:rPr>
                <w:color w:val="231F20"/>
                <w:spacing w:val="-2"/>
                <w:sz w:val="15"/>
              </w:rPr>
              <w:t>usually</w:t>
            </w:r>
            <w:r>
              <w:rPr>
                <w:color w:val="231F20"/>
                <w:spacing w:val="-9"/>
                <w:sz w:val="15"/>
              </w:rPr>
              <w:t> </w:t>
            </w:r>
            <w:r>
              <w:rPr>
                <w:color w:val="231F20"/>
                <w:spacing w:val="-2"/>
                <w:sz w:val="15"/>
              </w:rPr>
              <w:t>slightly</w:t>
            </w:r>
            <w:r>
              <w:rPr>
                <w:color w:val="231F20"/>
                <w:spacing w:val="-9"/>
                <w:sz w:val="15"/>
              </w:rPr>
              <w:t> </w:t>
            </w:r>
            <w:r>
              <w:rPr>
                <w:color w:val="231F20"/>
                <w:spacing w:val="-2"/>
                <w:sz w:val="15"/>
              </w:rPr>
              <w:t>below</w:t>
            </w:r>
            <w:r>
              <w:rPr>
                <w:color w:val="231F20"/>
                <w:spacing w:val="-9"/>
                <w:sz w:val="15"/>
              </w:rPr>
              <w:t> </w:t>
            </w:r>
            <w:r>
              <w:rPr>
                <w:color w:val="231F20"/>
                <w:spacing w:val="-2"/>
                <w:sz w:val="15"/>
              </w:rPr>
              <w:t>control </w:t>
            </w:r>
            <w:r>
              <w:rPr>
                <w:color w:val="231F20"/>
                <w:sz w:val="15"/>
              </w:rPr>
              <w:t>values. Sensory conduction normal or decreased</w:t>
            </w:r>
          </w:p>
          <w:p>
            <w:pPr>
              <w:pStyle w:val="TableParagraph"/>
              <w:rPr>
                <w:i/>
                <w:sz w:val="15"/>
              </w:rPr>
            </w:pPr>
          </w:p>
          <w:p>
            <w:pPr>
              <w:pStyle w:val="TableParagraph"/>
              <w:rPr>
                <w:i/>
                <w:sz w:val="15"/>
              </w:rPr>
            </w:pPr>
          </w:p>
          <w:p>
            <w:pPr>
              <w:pStyle w:val="TableParagraph"/>
              <w:rPr>
                <w:i/>
                <w:sz w:val="15"/>
              </w:rPr>
            </w:pPr>
          </w:p>
          <w:p>
            <w:pPr>
              <w:pStyle w:val="TableParagraph"/>
              <w:spacing w:before="147"/>
              <w:rPr>
                <w:i/>
                <w:sz w:val="15"/>
              </w:rPr>
            </w:pPr>
          </w:p>
          <w:p>
            <w:pPr>
              <w:pStyle w:val="TableParagraph"/>
              <w:spacing w:line="230" w:lineRule="auto"/>
              <w:ind w:left="265" w:hanging="112"/>
              <w:rPr>
                <w:sz w:val="15"/>
              </w:rPr>
            </w:pPr>
            <w:r>
              <w:rPr>
                <w:color w:val="231F20"/>
                <w:sz w:val="15"/>
              </w:rPr>
              <w:t>Nerve</w:t>
            </w:r>
            <w:r>
              <w:rPr>
                <w:color w:val="231F20"/>
                <w:spacing w:val="-12"/>
                <w:sz w:val="15"/>
              </w:rPr>
              <w:t> </w:t>
            </w:r>
            <w:r>
              <w:rPr>
                <w:color w:val="231F20"/>
                <w:sz w:val="15"/>
              </w:rPr>
              <w:t>conduction</w:t>
            </w:r>
            <w:r>
              <w:rPr>
                <w:color w:val="231F20"/>
                <w:spacing w:val="-11"/>
                <w:sz w:val="15"/>
              </w:rPr>
              <w:t> </w:t>
            </w:r>
            <w:r>
              <w:rPr>
                <w:color w:val="231F20"/>
                <w:sz w:val="15"/>
              </w:rPr>
              <w:t>studies</w:t>
            </w:r>
            <w:r>
              <w:rPr>
                <w:color w:val="231F20"/>
                <w:spacing w:val="-11"/>
                <w:sz w:val="15"/>
              </w:rPr>
              <w:t> </w:t>
            </w:r>
            <w:r>
              <w:rPr>
                <w:color w:val="231F20"/>
                <w:sz w:val="15"/>
              </w:rPr>
              <w:t>normal. Sympathetic skin responses are absent (histamine test)</w:t>
            </w:r>
          </w:p>
          <w:p>
            <w:pPr>
              <w:pStyle w:val="TableParagraph"/>
              <w:rPr>
                <w:i/>
                <w:sz w:val="15"/>
              </w:rPr>
            </w:pPr>
          </w:p>
          <w:p>
            <w:pPr>
              <w:pStyle w:val="TableParagraph"/>
              <w:rPr>
                <w:i/>
                <w:sz w:val="15"/>
              </w:rPr>
            </w:pPr>
          </w:p>
          <w:p>
            <w:pPr>
              <w:pStyle w:val="TableParagraph"/>
              <w:rPr>
                <w:i/>
                <w:sz w:val="15"/>
              </w:rPr>
            </w:pPr>
          </w:p>
          <w:p>
            <w:pPr>
              <w:pStyle w:val="TableParagraph"/>
              <w:spacing w:before="147"/>
              <w:rPr>
                <w:i/>
                <w:sz w:val="15"/>
              </w:rPr>
            </w:pPr>
          </w:p>
          <w:p>
            <w:pPr>
              <w:pStyle w:val="TableParagraph"/>
              <w:spacing w:line="230" w:lineRule="auto"/>
              <w:ind w:left="265" w:hanging="112"/>
              <w:rPr>
                <w:sz w:val="15"/>
              </w:rPr>
            </w:pPr>
            <w:r>
              <w:rPr>
                <w:color w:val="231F20"/>
                <w:sz w:val="15"/>
              </w:rPr>
              <w:t>Normal</w:t>
            </w:r>
            <w:r>
              <w:rPr>
                <w:color w:val="231F20"/>
                <w:spacing w:val="-5"/>
                <w:sz w:val="15"/>
              </w:rPr>
              <w:t> </w:t>
            </w:r>
            <w:r>
              <w:rPr>
                <w:color w:val="231F20"/>
                <w:sz w:val="15"/>
              </w:rPr>
              <w:t>motor</w:t>
            </w:r>
            <w:r>
              <w:rPr>
                <w:color w:val="231F20"/>
                <w:spacing w:val="-5"/>
                <w:sz w:val="15"/>
              </w:rPr>
              <w:t> </w:t>
            </w:r>
            <w:r>
              <w:rPr>
                <w:color w:val="231F20"/>
                <w:sz w:val="15"/>
              </w:rPr>
              <w:t>and</w:t>
            </w:r>
            <w:r>
              <w:rPr>
                <w:color w:val="231F20"/>
                <w:spacing w:val="-5"/>
                <w:sz w:val="15"/>
              </w:rPr>
              <w:t> </w:t>
            </w:r>
            <w:r>
              <w:rPr>
                <w:color w:val="231F20"/>
                <w:sz w:val="15"/>
              </w:rPr>
              <w:t>sensory</w:t>
            </w:r>
            <w:r>
              <w:rPr>
                <w:color w:val="231F20"/>
                <w:spacing w:val="-5"/>
                <w:sz w:val="15"/>
              </w:rPr>
              <w:t> </w:t>
            </w:r>
            <w:r>
              <w:rPr>
                <w:color w:val="231F20"/>
                <w:sz w:val="15"/>
              </w:rPr>
              <w:t>nerve conduction studies</w:t>
            </w:r>
          </w:p>
        </w:tc>
        <w:tc>
          <w:tcPr>
            <w:tcW w:w="1484" w:type="dxa"/>
            <w:tcBorders>
              <w:top w:val="single" w:sz="4" w:space="0" w:color="231F20"/>
              <w:bottom w:val="single" w:sz="8" w:space="0" w:color="231F20"/>
            </w:tcBorders>
            <w:shd w:val="clear" w:color="auto" w:fill="E8F5F1"/>
          </w:tcPr>
          <w:p>
            <w:pPr>
              <w:pStyle w:val="TableParagraph"/>
              <w:spacing w:before="28"/>
              <w:ind w:left="151"/>
              <w:rPr>
                <w:i/>
                <w:sz w:val="15"/>
              </w:rPr>
            </w:pPr>
            <w:r>
              <w:rPr>
                <w:i/>
                <w:color w:val="231F20"/>
                <w:spacing w:val="-2"/>
                <w:w w:val="105"/>
                <w:sz w:val="15"/>
              </w:rPr>
              <w:t>IKBAP</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19"/>
              <w:rPr>
                <w:i/>
                <w:sz w:val="15"/>
              </w:rPr>
            </w:pPr>
          </w:p>
          <w:p>
            <w:pPr>
              <w:pStyle w:val="TableParagraph"/>
              <w:spacing w:before="1"/>
              <w:ind w:left="151"/>
              <w:rPr>
                <w:i/>
                <w:sz w:val="15"/>
              </w:rPr>
            </w:pPr>
            <w:r>
              <w:rPr>
                <w:i/>
                <w:color w:val="231F20"/>
                <w:spacing w:val="-2"/>
                <w:w w:val="105"/>
                <w:sz w:val="15"/>
              </w:rPr>
              <w:t>NTRK1</w:t>
            </w: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rPr>
                <w:i/>
                <w:sz w:val="15"/>
              </w:rPr>
            </w:pPr>
          </w:p>
          <w:p>
            <w:pPr>
              <w:pStyle w:val="TableParagraph"/>
              <w:spacing w:before="104"/>
              <w:rPr>
                <w:i/>
                <w:sz w:val="15"/>
              </w:rPr>
            </w:pPr>
          </w:p>
          <w:p>
            <w:pPr>
              <w:pStyle w:val="TableParagraph"/>
              <w:ind w:left="151"/>
              <w:rPr>
                <w:rFonts w:ascii="Lucida Sans Unicode" w:hAnsi="Lucida Sans Unicode"/>
                <w:sz w:val="15"/>
              </w:rPr>
            </w:pPr>
            <w:r>
              <w:rPr>
                <w:i/>
                <w:color w:val="231F20"/>
                <w:spacing w:val="-4"/>
                <w:w w:val="110"/>
                <w:sz w:val="15"/>
              </w:rPr>
              <w:t>NGF</w:t>
            </w:r>
            <w:r>
              <w:rPr>
                <w:rFonts w:ascii="Lucida Sans Unicode" w:hAnsi="Lucida Sans Unicode"/>
                <w:color w:val="231F20"/>
                <w:spacing w:val="-4"/>
                <w:w w:val="110"/>
                <w:sz w:val="15"/>
              </w:rPr>
              <w:t>β</w:t>
            </w:r>
          </w:p>
        </w:tc>
      </w:tr>
    </w:tbl>
    <w:p>
      <w:pPr>
        <w:pStyle w:val="BodyText"/>
        <w:spacing w:before="74"/>
        <w:ind w:left="539"/>
      </w:pPr>
      <w:r>
        <w:rPr>
          <w:color w:val="231F20"/>
        </w:rPr>
        <w:t>*The</w:t>
      </w:r>
      <w:r>
        <w:rPr>
          <w:color w:val="231F20"/>
          <w:spacing w:val="-1"/>
        </w:rPr>
        <w:t> </w:t>
      </w:r>
      <w:r>
        <w:rPr>
          <w:color w:val="231F20"/>
        </w:rPr>
        <w:t>term</w:t>
      </w:r>
      <w:r>
        <w:rPr>
          <w:color w:val="231F20"/>
          <w:spacing w:val="-1"/>
        </w:rPr>
        <w:t> </w:t>
      </w:r>
      <w:r>
        <w:rPr>
          <w:color w:val="231F20"/>
        </w:rPr>
        <w:t>CMT3</w:t>
      </w:r>
      <w:r>
        <w:rPr>
          <w:color w:val="231F20"/>
          <w:spacing w:val="-1"/>
        </w:rPr>
        <w:t> </w:t>
      </w:r>
      <w:r>
        <w:rPr>
          <w:color w:val="231F20"/>
        </w:rPr>
        <w:t>should</w:t>
      </w:r>
      <w:r>
        <w:rPr>
          <w:color w:val="231F20"/>
          <w:spacing w:val="-1"/>
        </w:rPr>
        <w:t> </w:t>
      </w:r>
      <w:r>
        <w:rPr>
          <w:color w:val="231F20"/>
        </w:rPr>
        <w:t>be</w:t>
      </w:r>
      <w:r>
        <w:rPr>
          <w:color w:val="231F20"/>
          <w:spacing w:val="-1"/>
        </w:rPr>
        <w:t> </w:t>
      </w:r>
      <w:r>
        <w:rPr>
          <w:color w:val="231F20"/>
        </w:rPr>
        <w:t>reserved</w:t>
      </w:r>
      <w:r>
        <w:rPr>
          <w:color w:val="231F20"/>
          <w:spacing w:val="-1"/>
        </w:rPr>
        <w:t> </w:t>
      </w:r>
      <w:r>
        <w:rPr>
          <w:color w:val="231F20"/>
        </w:rPr>
        <w:t>for</w:t>
      </w:r>
      <w:r>
        <w:rPr>
          <w:color w:val="231F20"/>
          <w:spacing w:val="-1"/>
        </w:rPr>
        <w:t> </w:t>
      </w:r>
      <w:r>
        <w:rPr>
          <w:color w:val="231F20"/>
        </w:rPr>
        <w:t>hereditary</w:t>
      </w:r>
      <w:r>
        <w:rPr>
          <w:color w:val="231F20"/>
          <w:spacing w:val="-1"/>
        </w:rPr>
        <w:t> </w:t>
      </w:r>
      <w:r>
        <w:rPr>
          <w:color w:val="231F20"/>
        </w:rPr>
        <w:t>neuropathies</w:t>
      </w:r>
      <w:r>
        <w:rPr>
          <w:color w:val="231F20"/>
          <w:spacing w:val="-1"/>
        </w:rPr>
        <w:t> </w:t>
      </w:r>
      <w:r>
        <w:rPr>
          <w:color w:val="231F20"/>
        </w:rPr>
        <w:t>in</w:t>
      </w:r>
      <w:r>
        <w:rPr>
          <w:color w:val="231F20"/>
          <w:spacing w:val="-1"/>
        </w:rPr>
        <w:t> </w:t>
      </w:r>
      <w:r>
        <w:rPr>
          <w:color w:val="231F20"/>
        </w:rPr>
        <w:t>which</w:t>
      </w:r>
      <w:r>
        <w:rPr>
          <w:color w:val="231F20"/>
          <w:spacing w:val="-1"/>
        </w:rPr>
        <w:t> </w:t>
      </w:r>
      <w:r>
        <w:rPr>
          <w:color w:val="231F20"/>
        </w:rPr>
        <w:t>hypomyelination</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dominant</w:t>
      </w:r>
      <w:r>
        <w:rPr>
          <w:color w:val="231F20"/>
          <w:spacing w:val="-1"/>
        </w:rPr>
        <w:t> </w:t>
      </w:r>
      <w:r>
        <w:rPr>
          <w:color w:val="231F20"/>
        </w:rPr>
        <w:t>feature.</w:t>
      </w:r>
      <w:r>
        <w:rPr>
          <w:color w:val="231F20"/>
          <w:spacing w:val="-1"/>
        </w:rPr>
        <w:t> </w:t>
      </w:r>
      <w:r>
        <w:rPr>
          <w:color w:val="231F20"/>
        </w:rPr>
        <w:t>This</w:t>
      </w:r>
      <w:r>
        <w:rPr>
          <w:color w:val="231F20"/>
          <w:spacing w:val="-1"/>
        </w:rPr>
        <w:t> </w:t>
      </w:r>
      <w:r>
        <w:rPr>
          <w:color w:val="231F20"/>
        </w:rPr>
        <w:t>would</w:t>
      </w:r>
      <w:r>
        <w:rPr>
          <w:color w:val="231F20"/>
          <w:spacing w:val="-1"/>
        </w:rPr>
        <w:t> </w:t>
      </w:r>
      <w:r>
        <w:rPr>
          <w:color w:val="231F20"/>
        </w:rPr>
        <w:t>include</w:t>
      </w:r>
      <w:r>
        <w:rPr>
          <w:color w:val="231F20"/>
          <w:spacing w:val="-1"/>
        </w:rPr>
        <w:t> </w:t>
      </w:r>
      <w:r>
        <w:rPr>
          <w:color w:val="231F20"/>
        </w:rPr>
        <w:t>congenital</w:t>
      </w:r>
      <w:r>
        <w:rPr>
          <w:color w:val="231F20"/>
          <w:spacing w:val="-1"/>
        </w:rPr>
        <w:t> </w:t>
      </w:r>
      <w:r>
        <w:rPr>
          <w:color w:val="231F20"/>
        </w:rPr>
        <w:t>hypomyelinating</w:t>
      </w:r>
      <w:r>
        <w:rPr>
          <w:color w:val="231F20"/>
          <w:spacing w:val="40"/>
        </w:rPr>
        <w:t> </w:t>
      </w:r>
      <w:r>
        <w:rPr>
          <w:color w:val="231F20"/>
        </w:rPr>
        <w:t>neuropathy, Dejerine-Sottas disease, and congenital amyelinating neuropathy.</w:t>
      </w:r>
    </w:p>
    <w:p>
      <w:pPr>
        <w:pStyle w:val="BodyText"/>
        <w:spacing w:line="237" w:lineRule="auto"/>
        <w:ind w:left="539" w:right="436" w:firstLine="130"/>
      </w:pPr>
      <w:r>
        <w:rPr>
          <w:color w:val="231F20"/>
        </w:rPr>
        <w:t>CCFDN,</w:t>
      </w:r>
      <w:r>
        <w:rPr>
          <w:color w:val="231F20"/>
          <w:spacing w:val="-8"/>
        </w:rPr>
        <w:t> </w:t>
      </w:r>
      <w:r>
        <w:rPr>
          <w:color w:val="231F20"/>
        </w:rPr>
        <w:t>congenital</w:t>
      </w:r>
      <w:r>
        <w:rPr>
          <w:color w:val="231F20"/>
          <w:spacing w:val="-8"/>
        </w:rPr>
        <w:t> </w:t>
      </w:r>
      <w:r>
        <w:rPr>
          <w:color w:val="231F20"/>
        </w:rPr>
        <w:t>cataract,</w:t>
      </w:r>
      <w:r>
        <w:rPr>
          <w:color w:val="231F20"/>
          <w:spacing w:val="-8"/>
        </w:rPr>
        <w:t> </w:t>
      </w:r>
      <w:r>
        <w:rPr>
          <w:color w:val="231F20"/>
        </w:rPr>
        <w:t>microcornea,</w:t>
      </w:r>
      <w:r>
        <w:rPr>
          <w:color w:val="231F20"/>
          <w:spacing w:val="-8"/>
        </w:rPr>
        <w:t> </w:t>
      </w:r>
      <w:r>
        <w:rPr>
          <w:color w:val="231F20"/>
        </w:rPr>
        <w:t>facial</w:t>
      </w:r>
      <w:r>
        <w:rPr>
          <w:color w:val="231F20"/>
          <w:spacing w:val="-8"/>
        </w:rPr>
        <w:t> </w:t>
      </w:r>
      <w:r>
        <w:rPr>
          <w:color w:val="231F20"/>
        </w:rPr>
        <w:t>dysmorphism,</w:t>
      </w:r>
      <w:r>
        <w:rPr>
          <w:color w:val="231F20"/>
          <w:spacing w:val="-8"/>
        </w:rPr>
        <w:t> </w:t>
      </w:r>
      <w:r>
        <w:rPr>
          <w:color w:val="231F20"/>
        </w:rPr>
        <w:t>mental</w:t>
      </w:r>
      <w:r>
        <w:rPr>
          <w:color w:val="231F20"/>
          <w:spacing w:val="-8"/>
        </w:rPr>
        <w:t> </w:t>
      </w:r>
      <w:r>
        <w:rPr>
          <w:color w:val="231F20"/>
        </w:rPr>
        <w:t>retardation,</w:t>
      </w:r>
      <w:r>
        <w:rPr>
          <w:color w:val="231F20"/>
          <w:spacing w:val="-8"/>
        </w:rPr>
        <w:t> </w:t>
      </w:r>
      <w:r>
        <w:rPr>
          <w:color w:val="231F20"/>
        </w:rPr>
        <w:t>distal</w:t>
      </w:r>
      <w:r>
        <w:rPr>
          <w:color w:val="231F20"/>
          <w:spacing w:val="-8"/>
        </w:rPr>
        <w:t> </w:t>
      </w:r>
      <w:r>
        <w:rPr>
          <w:color w:val="231F20"/>
        </w:rPr>
        <w:t>motor</w:t>
      </w:r>
      <w:r>
        <w:rPr>
          <w:color w:val="231F20"/>
          <w:spacing w:val="-8"/>
        </w:rPr>
        <w:t> </w:t>
      </w:r>
      <w:r>
        <w:rPr>
          <w:color w:val="231F20"/>
        </w:rPr>
        <w:t>peripheral</w:t>
      </w:r>
      <w:r>
        <w:rPr>
          <w:color w:val="231F20"/>
          <w:spacing w:val="-8"/>
        </w:rPr>
        <w:t> </w:t>
      </w:r>
      <w:r>
        <w:rPr>
          <w:color w:val="231F20"/>
        </w:rPr>
        <w:t>neuropathy;</w:t>
      </w:r>
      <w:r>
        <w:rPr>
          <w:color w:val="231F20"/>
          <w:spacing w:val="-8"/>
        </w:rPr>
        <w:t> </w:t>
      </w:r>
      <w:r>
        <w:rPr>
          <w:color w:val="231F20"/>
        </w:rPr>
        <w:t>CIPA,</w:t>
      </w:r>
      <w:r>
        <w:rPr>
          <w:color w:val="231F20"/>
          <w:spacing w:val="-8"/>
        </w:rPr>
        <w:t> </w:t>
      </w:r>
      <w:r>
        <w:rPr>
          <w:color w:val="231F20"/>
        </w:rPr>
        <w:t>congenital</w:t>
      </w:r>
      <w:r>
        <w:rPr>
          <w:color w:val="231F20"/>
          <w:spacing w:val="-8"/>
        </w:rPr>
        <w:t> </w:t>
      </w:r>
      <w:r>
        <w:rPr>
          <w:color w:val="231F20"/>
        </w:rPr>
        <w:t>insensitivity</w:t>
      </w:r>
      <w:r>
        <w:rPr>
          <w:color w:val="231F20"/>
          <w:spacing w:val="-8"/>
        </w:rPr>
        <w:t> </w:t>
      </w:r>
      <w:r>
        <w:rPr>
          <w:color w:val="231F20"/>
        </w:rPr>
        <w:t>to</w:t>
      </w:r>
      <w:r>
        <w:rPr>
          <w:color w:val="231F20"/>
          <w:spacing w:val="-8"/>
        </w:rPr>
        <w:t> </w:t>
      </w:r>
      <w:r>
        <w:rPr>
          <w:color w:val="231F20"/>
        </w:rPr>
        <w:t>pain</w:t>
      </w:r>
      <w:r>
        <w:rPr>
          <w:color w:val="231F20"/>
          <w:spacing w:val="-8"/>
        </w:rPr>
        <w:t> </w:t>
      </w:r>
      <w:r>
        <w:rPr>
          <w:color w:val="231F20"/>
        </w:rPr>
        <w:t>with</w:t>
      </w:r>
      <w:r>
        <w:rPr>
          <w:color w:val="231F20"/>
          <w:spacing w:val="40"/>
        </w:rPr>
        <w:t> </w:t>
      </w:r>
      <w:r>
        <w:rPr>
          <w:color w:val="231F20"/>
        </w:rPr>
        <w:t>anhidrosis; CMAP, compound motor unit action potential; CMT, Charcot-Marie-Tooth disease; CP, common peroneal; CSF, cerebrospinal fluid; dHMN, distal</w:t>
      </w:r>
      <w:r>
        <w:rPr>
          <w:color w:val="231F20"/>
          <w:spacing w:val="40"/>
        </w:rPr>
        <w:t> </w:t>
      </w:r>
      <w:r>
        <w:rPr>
          <w:color w:val="231F20"/>
        </w:rPr>
        <w:t>hereditary motor neuronopathy; DI, dominant intermediate; dSMA, distal spinal muscular atrophy; DTR, deep tendon reflex; EMG, electromyography;</w:t>
      </w:r>
    </w:p>
    <w:p>
      <w:pPr>
        <w:pStyle w:val="BodyText"/>
        <w:ind w:left="539" w:right="614"/>
      </w:pPr>
      <w:r>
        <w:rPr>
          <w:color w:val="231F20"/>
        </w:rPr>
        <w:t>EOHMSN, early-onset HMSN; HMN, hereditary motor neuropathy; HMSN, hereditary motor and sensory neuropathy; HSAN, hereditary sensory and autonomic</w:t>
      </w:r>
      <w:r>
        <w:rPr>
          <w:color w:val="231F20"/>
          <w:spacing w:val="80"/>
        </w:rPr>
        <w:t> </w:t>
      </w:r>
      <w:r>
        <w:rPr>
          <w:color w:val="231F20"/>
        </w:rPr>
        <w:t>neuropathy; HSN, hereditary sensory neuropathy; MNCV, motor nerve conduction velocity; OMIM, Online Mendelian Inheritance in Man; SAP, sensory action</w:t>
      </w:r>
      <w:r>
        <w:rPr>
          <w:color w:val="231F20"/>
          <w:spacing w:val="40"/>
        </w:rPr>
        <w:t> </w:t>
      </w:r>
      <w:r>
        <w:rPr>
          <w:color w:val="231F20"/>
        </w:rPr>
        <w:t>potential; SEOAN, severe early-onset axonal neuropathy; SMA, spinal muscular atrophy; SNAP, sensory nerve action potential.</w:t>
      </w:r>
    </w:p>
    <w:p>
      <w:pPr>
        <w:spacing w:line="146" w:lineRule="exact" w:before="0"/>
        <w:ind w:left="670" w:right="0" w:firstLine="0"/>
        <w:jc w:val="left"/>
        <w:rPr>
          <w:i/>
          <w:sz w:val="13"/>
        </w:rPr>
      </w:pPr>
      <w:r>
        <w:rPr>
          <w:i/>
          <w:color w:val="231F20"/>
          <w:sz w:val="13"/>
        </w:rPr>
        <w:t>From</w:t>
      </w:r>
      <w:r>
        <w:rPr>
          <w:i/>
          <w:color w:val="231F20"/>
          <w:spacing w:val="-10"/>
          <w:sz w:val="13"/>
        </w:rPr>
        <w:t> </w:t>
      </w:r>
      <w:r>
        <w:rPr>
          <w:i/>
          <w:color w:val="231F20"/>
          <w:sz w:val="13"/>
        </w:rPr>
        <w:t>Wilmshurst</w:t>
      </w:r>
      <w:r>
        <w:rPr>
          <w:i/>
          <w:color w:val="231F20"/>
          <w:spacing w:val="-10"/>
          <w:sz w:val="13"/>
        </w:rPr>
        <w:t> </w:t>
      </w:r>
      <w:r>
        <w:rPr>
          <w:i/>
          <w:color w:val="231F20"/>
          <w:sz w:val="13"/>
        </w:rPr>
        <w:t>JM,</w:t>
      </w:r>
      <w:r>
        <w:rPr>
          <w:i/>
          <w:color w:val="231F20"/>
          <w:spacing w:val="-9"/>
          <w:sz w:val="13"/>
        </w:rPr>
        <w:t> </w:t>
      </w:r>
      <w:r>
        <w:rPr>
          <w:i/>
          <w:color w:val="231F20"/>
          <w:sz w:val="13"/>
        </w:rPr>
        <w:t>Ouvrier</w:t>
      </w:r>
      <w:r>
        <w:rPr>
          <w:i/>
          <w:color w:val="231F20"/>
          <w:spacing w:val="-10"/>
          <w:sz w:val="13"/>
        </w:rPr>
        <w:t> </w:t>
      </w:r>
      <w:r>
        <w:rPr>
          <w:i/>
          <w:color w:val="231F20"/>
          <w:sz w:val="13"/>
        </w:rPr>
        <w:t>R:</w:t>
      </w:r>
      <w:r>
        <w:rPr>
          <w:i/>
          <w:color w:val="231F20"/>
          <w:spacing w:val="-9"/>
          <w:sz w:val="13"/>
        </w:rPr>
        <w:t> </w:t>
      </w:r>
      <w:r>
        <w:rPr>
          <w:i/>
          <w:color w:val="231F20"/>
          <w:sz w:val="13"/>
        </w:rPr>
        <w:t>Hereditary</w:t>
      </w:r>
      <w:r>
        <w:rPr>
          <w:i/>
          <w:color w:val="231F20"/>
          <w:spacing w:val="-10"/>
          <w:sz w:val="13"/>
        </w:rPr>
        <w:t> </w:t>
      </w:r>
      <w:r>
        <w:rPr>
          <w:i/>
          <w:color w:val="231F20"/>
          <w:sz w:val="13"/>
        </w:rPr>
        <w:t>peripheral</w:t>
      </w:r>
      <w:r>
        <w:rPr>
          <w:i/>
          <w:color w:val="231F20"/>
          <w:spacing w:val="-9"/>
          <w:sz w:val="13"/>
        </w:rPr>
        <w:t> </w:t>
      </w:r>
      <w:r>
        <w:rPr>
          <w:i/>
          <w:color w:val="231F20"/>
          <w:sz w:val="13"/>
        </w:rPr>
        <w:t>neuropathies</w:t>
      </w:r>
      <w:r>
        <w:rPr>
          <w:i/>
          <w:color w:val="231F20"/>
          <w:spacing w:val="-10"/>
          <w:sz w:val="13"/>
        </w:rPr>
        <w:t> </w:t>
      </w:r>
      <w:r>
        <w:rPr>
          <w:i/>
          <w:color w:val="231F20"/>
          <w:sz w:val="13"/>
        </w:rPr>
        <w:t>of</w:t>
      </w:r>
      <w:r>
        <w:rPr>
          <w:i/>
          <w:color w:val="231F20"/>
          <w:spacing w:val="-9"/>
          <w:sz w:val="13"/>
        </w:rPr>
        <w:t> </w:t>
      </w:r>
      <w:r>
        <w:rPr>
          <w:i/>
          <w:color w:val="231F20"/>
          <w:sz w:val="13"/>
        </w:rPr>
        <w:t>childhood:</w:t>
      </w:r>
      <w:r>
        <w:rPr>
          <w:i/>
          <w:color w:val="231F20"/>
          <w:spacing w:val="-10"/>
          <w:sz w:val="13"/>
        </w:rPr>
        <w:t> </w:t>
      </w:r>
      <w:r>
        <w:rPr>
          <w:i/>
          <w:color w:val="231F20"/>
          <w:sz w:val="13"/>
        </w:rPr>
        <w:t>an</w:t>
      </w:r>
      <w:r>
        <w:rPr>
          <w:i/>
          <w:color w:val="231F20"/>
          <w:spacing w:val="-10"/>
          <w:sz w:val="13"/>
        </w:rPr>
        <w:t> </w:t>
      </w:r>
      <w:r>
        <w:rPr>
          <w:i/>
          <w:color w:val="231F20"/>
          <w:sz w:val="13"/>
        </w:rPr>
        <w:t>overview</w:t>
      </w:r>
      <w:r>
        <w:rPr>
          <w:i/>
          <w:color w:val="231F20"/>
          <w:spacing w:val="-9"/>
          <w:sz w:val="13"/>
        </w:rPr>
        <w:t> </w:t>
      </w:r>
      <w:r>
        <w:rPr>
          <w:i/>
          <w:color w:val="231F20"/>
          <w:sz w:val="13"/>
        </w:rPr>
        <w:t>for</w:t>
      </w:r>
      <w:r>
        <w:rPr>
          <w:i/>
          <w:color w:val="231F20"/>
          <w:spacing w:val="-10"/>
          <w:sz w:val="13"/>
        </w:rPr>
        <w:t> </w:t>
      </w:r>
      <w:r>
        <w:rPr>
          <w:i/>
          <w:color w:val="231F20"/>
          <w:sz w:val="13"/>
        </w:rPr>
        <w:t>clinicians,</w:t>
      </w:r>
      <w:r>
        <w:rPr>
          <w:i/>
          <w:color w:val="231F20"/>
          <w:spacing w:val="-9"/>
          <w:sz w:val="13"/>
        </w:rPr>
        <w:t> </w:t>
      </w:r>
      <w:r>
        <w:rPr>
          <w:color w:val="231F20"/>
          <w:sz w:val="13"/>
        </w:rPr>
        <w:t>Neuromuscul</w:t>
      </w:r>
      <w:r>
        <w:rPr>
          <w:color w:val="231F20"/>
          <w:spacing w:val="-10"/>
          <w:sz w:val="13"/>
        </w:rPr>
        <w:t> </w:t>
      </w:r>
      <w:r>
        <w:rPr>
          <w:color w:val="231F20"/>
          <w:sz w:val="13"/>
        </w:rPr>
        <w:t>Disord</w:t>
      </w:r>
      <w:r>
        <w:rPr>
          <w:color w:val="231F20"/>
          <w:spacing w:val="-9"/>
          <w:sz w:val="13"/>
        </w:rPr>
        <w:t> </w:t>
      </w:r>
      <w:r>
        <w:rPr>
          <w:i/>
          <w:color w:val="231F20"/>
          <w:sz w:val="13"/>
        </w:rPr>
        <w:t>21(11):763–775,</w:t>
      </w:r>
      <w:r>
        <w:rPr>
          <w:i/>
          <w:color w:val="231F20"/>
          <w:spacing w:val="-10"/>
          <w:sz w:val="13"/>
        </w:rPr>
        <w:t> </w:t>
      </w:r>
      <w:r>
        <w:rPr>
          <w:i/>
          <w:color w:val="231F20"/>
          <w:spacing w:val="-2"/>
          <w:sz w:val="13"/>
        </w:rPr>
        <w:t>2011.</w:t>
      </w:r>
    </w:p>
    <w:p>
      <w:pPr>
        <w:spacing w:after="0" w:line="146" w:lineRule="exact"/>
        <w:jc w:val="left"/>
        <w:rPr>
          <w:i/>
          <w:sz w:val="13"/>
        </w:rPr>
        <w:sectPr>
          <w:pgSz w:w="11900" w:h="16840"/>
          <w:pgMar w:header="452" w:footer="0" w:top="1180" w:bottom="280" w:left="708" w:right="566"/>
        </w:sectPr>
      </w:pPr>
    </w:p>
    <w:p>
      <w:pPr>
        <w:tabs>
          <w:tab w:pos="5174" w:val="left" w:leader="none"/>
        </w:tabs>
        <w:spacing w:line="240" w:lineRule="auto"/>
        <w:ind w:left="61" w:right="0" w:firstLine="0"/>
        <w:rPr>
          <w:position w:val="151"/>
          <w:sz w:val="20"/>
        </w:rPr>
      </w:pPr>
      <w:r>
        <w:rPr>
          <w:sz w:val="20"/>
        </w:rPr>
        <mc:AlternateContent>
          <mc:Choice Requires="wps">
            <w:drawing>
              <wp:inline distT="0" distB="0" distL="0" distR="0">
                <wp:extent cx="2986405" cy="5138420"/>
                <wp:effectExtent l="0" t="0" r="0" b="0"/>
                <wp:docPr id="1061" name="Textbox 1061"/>
                <wp:cNvGraphicFramePr>
                  <a:graphicFrameLocks/>
                </wp:cNvGraphicFramePr>
                <a:graphic>
                  <a:graphicData uri="http://schemas.microsoft.com/office/word/2010/wordprocessingShape">
                    <wps:wsp>
                      <wps:cNvPr id="1061" name="Textbox 1061"/>
                      <wps:cNvSpPr txBox="1"/>
                      <wps:spPr>
                        <a:xfrm>
                          <a:off x="0" y="0"/>
                          <a:ext cx="2986405" cy="513842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616-</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ight="790"/>
                                    <w:rPr>
                                      <w:sz w:val="16"/>
                                    </w:rPr>
                                  </w:pPr>
                                  <w:r>
                                    <w:rPr>
                                      <w:color w:val="FFFFFF"/>
                                      <w:w w:val="105"/>
                                      <w:sz w:val="16"/>
                                    </w:rPr>
                                    <w:t>Differential Diagnosis of </w:t>
                                  </w:r>
                                  <w:r>
                                    <w:rPr>
                                      <w:color w:val="FFFFFF"/>
                                      <w:w w:val="105"/>
                                      <w:sz w:val="16"/>
                                    </w:rPr>
                                    <w:t>Childhood Guillain-Barré Syndrome</w:t>
                                  </w:r>
                                </w:p>
                              </w:tc>
                            </w:tr>
                            <w:tr>
                              <w:trPr>
                                <w:trHeight w:val="244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5"/>
                                      <w:sz w:val="15"/>
                                    </w:rPr>
                                    <w:t>SPINAL</w:t>
                                  </w:r>
                                  <w:r>
                                    <w:rPr>
                                      <w:color w:val="231F20"/>
                                      <w:spacing w:val="-8"/>
                                      <w:w w:val="115"/>
                                      <w:sz w:val="15"/>
                                    </w:rPr>
                                    <w:t> </w:t>
                                  </w:r>
                                  <w:r>
                                    <w:rPr>
                                      <w:color w:val="231F20"/>
                                      <w:w w:val="115"/>
                                      <w:sz w:val="15"/>
                                    </w:rPr>
                                    <w:t>CORD</w:t>
                                  </w:r>
                                  <w:r>
                                    <w:rPr>
                                      <w:color w:val="231F20"/>
                                      <w:spacing w:val="-8"/>
                                      <w:w w:val="115"/>
                                      <w:sz w:val="15"/>
                                    </w:rPr>
                                    <w:t> </w:t>
                                  </w:r>
                                  <w:r>
                                    <w:rPr>
                                      <w:color w:val="231F20"/>
                                      <w:spacing w:val="-2"/>
                                      <w:w w:val="115"/>
                                      <w:sz w:val="15"/>
                                    </w:rPr>
                                    <w:t>LESIONS</w:t>
                                  </w:r>
                                </w:p>
                                <w:p>
                                  <w:pPr>
                                    <w:pStyle w:val="TableParagraph"/>
                                    <w:spacing w:line="230" w:lineRule="auto" w:before="3"/>
                                    <w:ind w:left="74" w:right="2667"/>
                                    <w:rPr>
                                      <w:sz w:val="15"/>
                                    </w:rPr>
                                  </w:pPr>
                                  <w:r>
                                    <w:rPr>
                                      <w:color w:val="231F20"/>
                                      <w:spacing w:val="-2"/>
                                      <w:sz w:val="15"/>
                                    </w:rPr>
                                    <w:t>Acute</w:t>
                                  </w:r>
                                  <w:r>
                                    <w:rPr>
                                      <w:color w:val="231F20"/>
                                      <w:spacing w:val="-10"/>
                                      <w:sz w:val="15"/>
                                    </w:rPr>
                                    <w:t> </w:t>
                                  </w:r>
                                  <w:r>
                                    <w:rPr>
                                      <w:color w:val="231F20"/>
                                      <w:spacing w:val="-2"/>
                                      <w:sz w:val="15"/>
                                    </w:rPr>
                                    <w:t>transverse</w:t>
                                  </w:r>
                                  <w:r>
                                    <w:rPr>
                                      <w:color w:val="231F20"/>
                                      <w:spacing w:val="-10"/>
                                      <w:sz w:val="15"/>
                                    </w:rPr>
                                    <w:t> </w:t>
                                  </w:r>
                                  <w:r>
                                    <w:rPr>
                                      <w:color w:val="231F20"/>
                                      <w:spacing w:val="-2"/>
                                      <w:sz w:val="15"/>
                                    </w:rPr>
                                    <w:t>myelitis </w:t>
                                  </w:r>
                                  <w:r>
                                    <w:rPr>
                                      <w:color w:val="231F20"/>
                                      <w:sz w:val="15"/>
                                    </w:rPr>
                                    <w:t>Epidural abscess</w:t>
                                  </w:r>
                                </w:p>
                                <w:p>
                                  <w:pPr>
                                    <w:pStyle w:val="TableParagraph"/>
                                    <w:spacing w:line="167" w:lineRule="exact"/>
                                    <w:ind w:left="74"/>
                                    <w:rPr>
                                      <w:sz w:val="15"/>
                                    </w:rPr>
                                  </w:pPr>
                                  <w:r>
                                    <w:rPr>
                                      <w:color w:val="231F20"/>
                                      <w:spacing w:val="-2"/>
                                      <w:sz w:val="15"/>
                                    </w:rPr>
                                    <w:t>Tumors</w:t>
                                  </w:r>
                                </w:p>
                                <w:p>
                                  <w:pPr>
                                    <w:pStyle w:val="TableParagraph"/>
                                    <w:spacing w:line="230" w:lineRule="auto" w:before="3"/>
                                    <w:ind w:left="74" w:right="2339"/>
                                    <w:rPr>
                                      <w:sz w:val="15"/>
                                    </w:rPr>
                                  </w:pPr>
                                  <w:r>
                                    <w:rPr>
                                      <w:color w:val="231F20"/>
                                      <w:spacing w:val="-4"/>
                                      <w:sz w:val="15"/>
                                    </w:rPr>
                                    <w:t>Poliomyelitis</w:t>
                                  </w:r>
                                  <w:r>
                                    <w:rPr>
                                      <w:color w:val="231F20"/>
                                      <w:spacing w:val="-6"/>
                                      <w:sz w:val="15"/>
                                    </w:rPr>
                                    <w:t> </w:t>
                                  </w:r>
                                  <w:r>
                                    <w:rPr>
                                      <w:color w:val="231F20"/>
                                      <w:spacing w:val="-4"/>
                                      <w:sz w:val="15"/>
                                    </w:rPr>
                                    <w:t>(natural</w:t>
                                  </w:r>
                                  <w:r>
                                    <w:rPr>
                                      <w:color w:val="231F20"/>
                                      <w:spacing w:val="-6"/>
                                      <w:sz w:val="15"/>
                                    </w:rPr>
                                    <w:t> </w:t>
                                  </w:r>
                                  <w:r>
                                    <w:rPr>
                                      <w:color w:val="231F20"/>
                                      <w:spacing w:val="-4"/>
                                      <w:sz w:val="15"/>
                                    </w:rPr>
                                    <w:t>or</w:t>
                                  </w:r>
                                  <w:r>
                                    <w:rPr>
                                      <w:color w:val="231F20"/>
                                      <w:spacing w:val="-6"/>
                                      <w:sz w:val="15"/>
                                    </w:rPr>
                                    <w:t> </w:t>
                                  </w:r>
                                  <w:r>
                                    <w:rPr>
                                      <w:color w:val="231F20"/>
                                      <w:spacing w:val="-4"/>
                                      <w:sz w:val="15"/>
                                    </w:rPr>
                                    <w:t>live</w:t>
                                  </w:r>
                                  <w:r>
                                    <w:rPr>
                                      <w:color w:val="231F20"/>
                                      <w:spacing w:val="-6"/>
                                      <w:sz w:val="15"/>
                                    </w:rPr>
                                    <w:t> </w:t>
                                  </w:r>
                                  <w:r>
                                    <w:rPr>
                                      <w:color w:val="231F20"/>
                                      <w:spacing w:val="-4"/>
                                      <w:sz w:val="15"/>
                                    </w:rPr>
                                    <w:t>virus) </w:t>
                                  </w:r>
                                  <w:r>
                                    <w:rPr>
                                      <w:color w:val="231F20"/>
                                      <w:spacing w:val="-2"/>
                                      <w:sz w:val="15"/>
                                    </w:rPr>
                                    <w:t>Enteroviruses</w:t>
                                  </w:r>
                                </w:p>
                                <w:p>
                                  <w:pPr>
                                    <w:pStyle w:val="TableParagraph"/>
                                    <w:spacing w:line="230" w:lineRule="auto" w:before="1"/>
                                    <w:ind w:left="74" w:right="3080"/>
                                    <w:rPr>
                                      <w:sz w:val="15"/>
                                    </w:rPr>
                                  </w:pPr>
                                  <w:r>
                                    <w:rPr>
                                      <w:color w:val="231F20"/>
                                      <w:sz w:val="15"/>
                                    </w:rPr>
                                    <w:t>Hopkins syndrome </w:t>
                                  </w:r>
                                  <w:r>
                                    <w:rPr>
                                      <w:color w:val="231F20"/>
                                      <w:spacing w:val="-2"/>
                                      <w:sz w:val="15"/>
                                    </w:rPr>
                                    <w:t>Vascular</w:t>
                                  </w:r>
                                  <w:r>
                                    <w:rPr>
                                      <w:color w:val="231F20"/>
                                      <w:spacing w:val="-10"/>
                                      <w:sz w:val="15"/>
                                    </w:rPr>
                                    <w:t> </w:t>
                                  </w:r>
                                  <w:r>
                                    <w:rPr>
                                      <w:color w:val="231F20"/>
                                      <w:spacing w:val="-2"/>
                                      <w:sz w:val="15"/>
                                    </w:rPr>
                                    <w:t>malformations </w:t>
                                  </w:r>
                                  <w:r>
                                    <w:rPr>
                                      <w:color w:val="231F20"/>
                                      <w:sz w:val="15"/>
                                    </w:rPr>
                                    <w:t>Cord infarction</w:t>
                                  </w:r>
                                </w:p>
                                <w:p>
                                  <w:pPr>
                                    <w:pStyle w:val="TableParagraph"/>
                                    <w:spacing w:line="168" w:lineRule="exact"/>
                                    <w:ind w:left="74"/>
                                    <w:rPr>
                                      <w:sz w:val="15"/>
                                    </w:rPr>
                                  </w:pPr>
                                  <w:r>
                                    <w:rPr>
                                      <w:color w:val="231F20"/>
                                      <w:spacing w:val="-2"/>
                                      <w:sz w:val="15"/>
                                    </w:rPr>
                                    <w:t>Fibrocartilaginous</w:t>
                                  </w:r>
                                  <w:r>
                                    <w:rPr>
                                      <w:color w:val="231F20"/>
                                      <w:spacing w:val="12"/>
                                      <w:sz w:val="15"/>
                                    </w:rPr>
                                    <w:t> </w:t>
                                  </w:r>
                                  <w:r>
                                    <w:rPr>
                                      <w:color w:val="231F20"/>
                                      <w:spacing w:val="-2"/>
                                      <w:sz w:val="15"/>
                                    </w:rPr>
                                    <w:t>embolism</w:t>
                                  </w:r>
                                </w:p>
                                <w:p>
                                  <w:pPr>
                                    <w:pStyle w:val="TableParagraph"/>
                                    <w:spacing w:line="230" w:lineRule="auto" w:before="3"/>
                                    <w:ind w:left="186" w:hanging="112"/>
                                    <w:rPr>
                                      <w:sz w:val="15"/>
                                    </w:rPr>
                                  </w:pPr>
                                  <w:r>
                                    <w:rPr>
                                      <w:color w:val="231F20"/>
                                      <w:sz w:val="15"/>
                                    </w:rPr>
                                    <w:t>Cord</w:t>
                                  </w:r>
                                  <w:r>
                                    <w:rPr>
                                      <w:color w:val="231F20"/>
                                      <w:spacing w:val="-9"/>
                                      <w:sz w:val="15"/>
                                    </w:rPr>
                                    <w:t> </w:t>
                                  </w:r>
                                  <w:r>
                                    <w:rPr>
                                      <w:color w:val="231F20"/>
                                      <w:sz w:val="15"/>
                                    </w:rPr>
                                    <w:t>compression</w:t>
                                  </w:r>
                                  <w:r>
                                    <w:rPr>
                                      <w:color w:val="231F20"/>
                                      <w:spacing w:val="-9"/>
                                      <w:sz w:val="15"/>
                                    </w:rPr>
                                    <w:t> </w:t>
                                  </w:r>
                                  <w:r>
                                    <w:rPr>
                                      <w:color w:val="231F20"/>
                                      <w:sz w:val="15"/>
                                    </w:rPr>
                                    <w:t>from</w:t>
                                  </w:r>
                                  <w:r>
                                    <w:rPr>
                                      <w:color w:val="231F20"/>
                                      <w:spacing w:val="-9"/>
                                      <w:sz w:val="15"/>
                                    </w:rPr>
                                    <w:t> </w:t>
                                  </w:r>
                                  <w:r>
                                    <w:rPr>
                                      <w:color w:val="231F20"/>
                                      <w:sz w:val="15"/>
                                    </w:rPr>
                                    <w:t>vertebral</w:t>
                                  </w:r>
                                  <w:r>
                                    <w:rPr>
                                      <w:color w:val="231F20"/>
                                      <w:spacing w:val="-9"/>
                                      <w:sz w:val="15"/>
                                    </w:rPr>
                                    <w:t> </w:t>
                                  </w:r>
                                  <w:r>
                                    <w:rPr>
                                      <w:color w:val="231F20"/>
                                      <w:sz w:val="15"/>
                                    </w:rPr>
                                    <w:t>subluxation</w:t>
                                  </w:r>
                                  <w:r>
                                    <w:rPr>
                                      <w:color w:val="231F20"/>
                                      <w:spacing w:val="-9"/>
                                      <w:sz w:val="15"/>
                                    </w:rPr>
                                    <w:t> </w:t>
                                  </w:r>
                                  <w:r>
                                    <w:rPr>
                                      <w:color w:val="231F20"/>
                                      <w:sz w:val="15"/>
                                    </w:rPr>
                                    <w:t>related</w:t>
                                  </w:r>
                                  <w:r>
                                    <w:rPr>
                                      <w:color w:val="231F20"/>
                                      <w:spacing w:val="-9"/>
                                      <w:sz w:val="15"/>
                                    </w:rPr>
                                    <w:t> </w:t>
                                  </w:r>
                                  <w:r>
                                    <w:rPr>
                                      <w:color w:val="231F20"/>
                                      <w:sz w:val="15"/>
                                    </w:rPr>
                                    <w:t>to</w:t>
                                  </w:r>
                                  <w:r>
                                    <w:rPr>
                                      <w:color w:val="231F20"/>
                                      <w:spacing w:val="-9"/>
                                      <w:sz w:val="15"/>
                                    </w:rPr>
                                    <w:t> </w:t>
                                  </w:r>
                                  <w:r>
                                    <w:rPr>
                                      <w:color w:val="231F20"/>
                                      <w:sz w:val="15"/>
                                    </w:rPr>
                                    <w:t>congenital abnormalities or trauma</w:t>
                                  </w:r>
                                </w:p>
                                <w:p>
                                  <w:pPr>
                                    <w:pStyle w:val="TableParagraph"/>
                                    <w:spacing w:line="167" w:lineRule="exact"/>
                                    <w:ind w:left="74"/>
                                    <w:rPr>
                                      <w:sz w:val="15"/>
                                    </w:rPr>
                                  </w:pPr>
                                  <w:r>
                                    <w:rPr>
                                      <w:color w:val="231F20"/>
                                      <w:sz w:val="15"/>
                                    </w:rPr>
                                    <w:t>Acute</w:t>
                                  </w:r>
                                  <w:r>
                                    <w:rPr>
                                      <w:color w:val="231F20"/>
                                      <w:spacing w:val="1"/>
                                      <w:sz w:val="15"/>
                                    </w:rPr>
                                    <w:t> </w:t>
                                  </w:r>
                                  <w:r>
                                    <w:rPr>
                                      <w:color w:val="231F20"/>
                                      <w:sz w:val="15"/>
                                    </w:rPr>
                                    <w:t>disseminated</w:t>
                                  </w:r>
                                  <w:r>
                                    <w:rPr>
                                      <w:color w:val="231F20"/>
                                      <w:spacing w:val="1"/>
                                      <w:sz w:val="15"/>
                                    </w:rPr>
                                    <w:t> </w:t>
                                  </w:r>
                                  <w:r>
                                    <w:rPr>
                                      <w:color w:val="231F20"/>
                                      <w:spacing w:val="-2"/>
                                      <w:sz w:val="15"/>
                                    </w:rPr>
                                    <w:t>encephalomyelitis</w:t>
                                  </w:r>
                                </w:p>
                                <w:p>
                                  <w:pPr>
                                    <w:pStyle w:val="TableParagraph"/>
                                    <w:spacing w:line="171" w:lineRule="exact"/>
                                    <w:ind w:left="74"/>
                                    <w:rPr>
                                      <w:sz w:val="15"/>
                                    </w:rPr>
                                  </w:pPr>
                                  <w:r>
                                    <w:rPr>
                                      <w:color w:val="231F20"/>
                                      <w:spacing w:val="-2"/>
                                      <w:sz w:val="15"/>
                                    </w:rPr>
                                    <w:t>Bickerstaff</w:t>
                                  </w:r>
                                  <w:r>
                                    <w:rPr>
                                      <w:color w:val="231F20"/>
                                      <w:spacing w:val="-3"/>
                                      <w:sz w:val="15"/>
                                    </w:rPr>
                                    <w:t> </w:t>
                                  </w:r>
                                  <w:r>
                                    <w:rPr>
                                      <w:color w:val="231F20"/>
                                      <w:spacing w:val="-2"/>
                                      <w:sz w:val="15"/>
                                    </w:rPr>
                                    <w:t>brainstem encephalitis for Miller-Fisher syndrome</w:t>
                                  </w:r>
                                </w:p>
                              </w:tc>
                            </w:tr>
                            <w:tr>
                              <w:trPr>
                                <w:trHeight w:val="3446"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05"/>
                                      <w:sz w:val="15"/>
                                    </w:rPr>
                                    <w:t>PERIPHERAL</w:t>
                                  </w:r>
                                  <w:r>
                                    <w:rPr>
                                      <w:color w:val="231F20"/>
                                      <w:spacing w:val="23"/>
                                      <w:w w:val="110"/>
                                      <w:sz w:val="15"/>
                                    </w:rPr>
                                    <w:t> </w:t>
                                  </w:r>
                                  <w:r>
                                    <w:rPr>
                                      <w:color w:val="231F20"/>
                                      <w:spacing w:val="-2"/>
                                      <w:w w:val="110"/>
                                      <w:sz w:val="15"/>
                                    </w:rPr>
                                    <w:t>NEUROPATHIES</w:t>
                                  </w:r>
                                </w:p>
                                <w:p>
                                  <w:pPr>
                                    <w:pStyle w:val="TableParagraph"/>
                                    <w:spacing w:line="169" w:lineRule="exact"/>
                                    <w:ind w:left="74"/>
                                    <w:rPr>
                                      <w:sz w:val="15"/>
                                    </w:rPr>
                                  </w:pPr>
                                  <w:r>
                                    <w:rPr>
                                      <w:color w:val="231F20"/>
                                      <w:spacing w:val="-2"/>
                                      <w:sz w:val="15"/>
                                    </w:rPr>
                                    <w:t>Toxic</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Vincristine</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Glue</w:t>
                                  </w:r>
                                  <w:r>
                                    <w:rPr>
                                      <w:color w:val="231F20"/>
                                      <w:spacing w:val="7"/>
                                      <w:sz w:val="15"/>
                                    </w:rPr>
                                    <w:t> </w:t>
                                  </w:r>
                                  <w:r>
                                    <w:rPr>
                                      <w:color w:val="231F20"/>
                                      <w:spacing w:val="-2"/>
                                      <w:sz w:val="15"/>
                                    </w:rPr>
                                    <w:t>sniffing</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Heavy</w:t>
                                  </w:r>
                                  <w:r>
                                    <w:rPr>
                                      <w:color w:val="231F20"/>
                                      <w:spacing w:val="-3"/>
                                      <w:sz w:val="15"/>
                                    </w:rPr>
                                    <w:t> </w:t>
                                  </w:r>
                                  <w:r>
                                    <w:rPr>
                                      <w:color w:val="231F20"/>
                                      <w:spacing w:val="-2"/>
                                      <w:sz w:val="15"/>
                                    </w:rPr>
                                    <w:t>metal:</w:t>
                                  </w:r>
                                  <w:r>
                                    <w:rPr>
                                      <w:color w:val="231F20"/>
                                      <w:spacing w:val="-3"/>
                                      <w:sz w:val="15"/>
                                    </w:rPr>
                                    <w:t> </w:t>
                                  </w:r>
                                  <w:r>
                                    <w:rPr>
                                      <w:color w:val="231F20"/>
                                      <w:spacing w:val="-2"/>
                                      <w:sz w:val="15"/>
                                    </w:rPr>
                                    <w:t>gold,</w:t>
                                  </w:r>
                                  <w:r>
                                    <w:rPr>
                                      <w:color w:val="231F20"/>
                                      <w:spacing w:val="-3"/>
                                      <w:sz w:val="15"/>
                                    </w:rPr>
                                    <w:t> </w:t>
                                  </w:r>
                                  <w:r>
                                    <w:rPr>
                                      <w:color w:val="231F20"/>
                                      <w:spacing w:val="-2"/>
                                      <w:sz w:val="15"/>
                                    </w:rPr>
                                    <w:t>arsenic,</w:t>
                                  </w:r>
                                  <w:r>
                                    <w:rPr>
                                      <w:color w:val="231F20"/>
                                      <w:spacing w:val="-3"/>
                                      <w:sz w:val="15"/>
                                    </w:rPr>
                                    <w:t> </w:t>
                                  </w:r>
                                  <w:r>
                                    <w:rPr>
                                      <w:color w:val="231F20"/>
                                      <w:spacing w:val="-2"/>
                                      <w:sz w:val="15"/>
                                    </w:rPr>
                                    <w:t>lead,</w:t>
                                  </w:r>
                                  <w:r>
                                    <w:rPr>
                                      <w:color w:val="231F20"/>
                                      <w:spacing w:val="-3"/>
                                      <w:sz w:val="15"/>
                                    </w:rPr>
                                    <w:t> </w:t>
                                  </w:r>
                                  <w:r>
                                    <w:rPr>
                                      <w:color w:val="231F20"/>
                                      <w:spacing w:val="-2"/>
                                      <w:sz w:val="15"/>
                                    </w:rPr>
                                    <w:t>thallium</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Organophosphate</w:t>
                                  </w:r>
                                  <w:r>
                                    <w:rPr>
                                      <w:color w:val="231F20"/>
                                      <w:spacing w:val="47"/>
                                      <w:sz w:val="15"/>
                                    </w:rPr>
                                    <w:t> </w:t>
                                  </w:r>
                                  <w:r>
                                    <w:rPr>
                                      <w:color w:val="231F20"/>
                                      <w:spacing w:val="-2"/>
                                      <w:sz w:val="15"/>
                                    </w:rPr>
                                    <w:t>pesticides</w:t>
                                  </w:r>
                                </w:p>
                                <w:p>
                                  <w:pPr>
                                    <w:pStyle w:val="TableParagraph"/>
                                    <w:numPr>
                                      <w:ilvl w:val="0"/>
                                      <w:numId w:val="101"/>
                                    </w:numPr>
                                    <w:tabs>
                                      <w:tab w:pos="223" w:val="left" w:leader="none"/>
                                    </w:tabs>
                                    <w:spacing w:line="230" w:lineRule="auto" w:before="2" w:after="0"/>
                                    <w:ind w:left="74" w:right="3312" w:firstLine="0"/>
                                    <w:jc w:val="left"/>
                                    <w:rPr>
                                      <w:sz w:val="15"/>
                                    </w:rPr>
                                  </w:pPr>
                                  <w:r>
                                    <w:rPr>
                                      <w:color w:val="231F20"/>
                                      <w:spacing w:val="-2"/>
                                      <w:sz w:val="15"/>
                                    </w:rPr>
                                    <w:t>Fluoroquinolones Infections</w:t>
                                  </w:r>
                                </w:p>
                                <w:p>
                                  <w:pPr>
                                    <w:pStyle w:val="TableParagraph"/>
                                    <w:numPr>
                                      <w:ilvl w:val="0"/>
                                      <w:numId w:val="101"/>
                                    </w:numPr>
                                    <w:tabs>
                                      <w:tab w:pos="223" w:val="left" w:leader="none"/>
                                    </w:tabs>
                                    <w:spacing w:line="167" w:lineRule="exact" w:before="0" w:after="0"/>
                                    <w:ind w:left="223" w:right="0" w:hanging="149"/>
                                    <w:jc w:val="left"/>
                                    <w:rPr>
                                      <w:sz w:val="15"/>
                                    </w:rPr>
                                  </w:pPr>
                                  <w:r>
                                    <w:rPr>
                                      <w:color w:val="231F20"/>
                                      <w:spacing w:val="-5"/>
                                      <w:w w:val="105"/>
                                      <w:sz w:val="15"/>
                                    </w:rPr>
                                    <w:t>HIV</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Diphtheria</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Lyme</w:t>
                                  </w:r>
                                  <w:r>
                                    <w:rPr>
                                      <w:color w:val="231F20"/>
                                      <w:spacing w:val="-3"/>
                                      <w:sz w:val="15"/>
                                    </w:rPr>
                                    <w:t> </w:t>
                                  </w:r>
                                  <w:r>
                                    <w:rPr>
                                      <w:color w:val="231F20"/>
                                      <w:spacing w:val="-2"/>
                                      <w:sz w:val="15"/>
                                    </w:rPr>
                                    <w:t>disease</w:t>
                                  </w:r>
                                </w:p>
                                <w:p>
                                  <w:pPr>
                                    <w:pStyle w:val="TableParagraph"/>
                                    <w:spacing w:line="168" w:lineRule="exact"/>
                                    <w:ind w:left="74"/>
                                    <w:rPr>
                                      <w:sz w:val="15"/>
                                    </w:rPr>
                                  </w:pPr>
                                  <w:r>
                                    <w:rPr>
                                      <w:color w:val="231F20"/>
                                      <w:sz w:val="15"/>
                                    </w:rPr>
                                    <w:t>Inborn</w:t>
                                  </w:r>
                                  <w:r>
                                    <w:rPr>
                                      <w:color w:val="231F20"/>
                                      <w:spacing w:val="-5"/>
                                      <w:sz w:val="15"/>
                                    </w:rPr>
                                    <w:t> </w:t>
                                  </w:r>
                                  <w:r>
                                    <w:rPr>
                                      <w:color w:val="231F20"/>
                                      <w:sz w:val="15"/>
                                    </w:rPr>
                                    <w:t>errors</w:t>
                                  </w:r>
                                  <w:r>
                                    <w:rPr>
                                      <w:color w:val="231F20"/>
                                      <w:spacing w:val="-4"/>
                                      <w:sz w:val="15"/>
                                    </w:rPr>
                                    <w:t> </w:t>
                                  </w:r>
                                  <w:r>
                                    <w:rPr>
                                      <w:color w:val="231F20"/>
                                      <w:sz w:val="15"/>
                                    </w:rPr>
                                    <w:t>of</w:t>
                                  </w:r>
                                  <w:r>
                                    <w:rPr>
                                      <w:color w:val="231F20"/>
                                      <w:spacing w:val="-4"/>
                                      <w:sz w:val="15"/>
                                    </w:rPr>
                                    <w:t> </w:t>
                                  </w:r>
                                  <w:r>
                                    <w:rPr>
                                      <w:color w:val="231F20"/>
                                      <w:spacing w:val="-2"/>
                                      <w:sz w:val="15"/>
                                    </w:rPr>
                                    <w:t>metabolism</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Leigh</w:t>
                                  </w:r>
                                  <w:r>
                                    <w:rPr>
                                      <w:color w:val="231F20"/>
                                      <w:spacing w:val="8"/>
                                      <w:sz w:val="15"/>
                                    </w:rPr>
                                    <w:t> </w:t>
                                  </w:r>
                                  <w:r>
                                    <w:rPr>
                                      <w:color w:val="231F20"/>
                                      <w:spacing w:val="-2"/>
                                      <w:sz w:val="15"/>
                                    </w:rPr>
                                    <w:t>disease</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Tangier</w:t>
                                  </w:r>
                                  <w:r>
                                    <w:rPr>
                                      <w:color w:val="231F20"/>
                                      <w:spacing w:val="-5"/>
                                      <w:sz w:val="15"/>
                                    </w:rPr>
                                    <w:t> </w:t>
                                  </w:r>
                                  <w:r>
                                    <w:rPr>
                                      <w:color w:val="231F20"/>
                                      <w:spacing w:val="-2"/>
                                      <w:sz w:val="15"/>
                                    </w:rPr>
                                    <w:t>disease</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Porphyria</w:t>
                                  </w:r>
                                </w:p>
                                <w:p>
                                  <w:pPr>
                                    <w:pStyle w:val="TableParagraph"/>
                                    <w:spacing w:line="230" w:lineRule="auto" w:before="3"/>
                                    <w:ind w:left="74" w:right="1874"/>
                                    <w:rPr>
                                      <w:sz w:val="15"/>
                                    </w:rPr>
                                  </w:pPr>
                                  <w:r>
                                    <w:rPr>
                                      <w:color w:val="231F20"/>
                                      <w:spacing w:val="-2"/>
                                      <w:sz w:val="15"/>
                                    </w:rPr>
                                    <w:t>Critical</w:t>
                                  </w:r>
                                  <w:r>
                                    <w:rPr>
                                      <w:color w:val="231F20"/>
                                      <w:spacing w:val="-10"/>
                                      <w:sz w:val="15"/>
                                    </w:rPr>
                                    <w:t> </w:t>
                                  </w:r>
                                  <w:r>
                                    <w:rPr>
                                      <w:color w:val="231F20"/>
                                      <w:spacing w:val="-2"/>
                                      <w:sz w:val="15"/>
                                    </w:rPr>
                                    <w:t>illness:</w:t>
                                  </w:r>
                                  <w:r>
                                    <w:rPr>
                                      <w:color w:val="231F20"/>
                                      <w:spacing w:val="-10"/>
                                      <w:sz w:val="15"/>
                                    </w:rPr>
                                    <w:t> </w:t>
                                  </w:r>
                                  <w:r>
                                    <w:rPr>
                                      <w:color w:val="231F20"/>
                                      <w:spacing w:val="-2"/>
                                      <w:sz w:val="15"/>
                                    </w:rPr>
                                    <w:t>polyneuropathy/myopathy </w:t>
                                  </w:r>
                                  <w:r>
                                    <w:rPr>
                                      <w:color w:val="231F20"/>
                                      <w:sz w:val="15"/>
                                    </w:rPr>
                                    <w:t>Vasculitis syndromes</w:t>
                                  </w:r>
                                </w:p>
                                <w:p>
                                  <w:pPr>
                                    <w:pStyle w:val="TableParagraph"/>
                                    <w:spacing w:line="167" w:lineRule="exact"/>
                                    <w:ind w:left="74"/>
                                    <w:rPr>
                                      <w:sz w:val="15"/>
                                    </w:rPr>
                                  </w:pPr>
                                  <w:r>
                                    <w:rPr>
                                      <w:color w:val="231F20"/>
                                      <w:spacing w:val="-2"/>
                                      <w:sz w:val="15"/>
                                    </w:rPr>
                                    <w:t>Porphyria</w:t>
                                  </w:r>
                                </w:p>
                                <w:p>
                                  <w:pPr>
                                    <w:pStyle w:val="TableParagraph"/>
                                    <w:spacing w:line="230" w:lineRule="auto" w:before="2"/>
                                    <w:ind w:left="74" w:right="849"/>
                                    <w:rPr>
                                      <w:sz w:val="15"/>
                                    </w:rPr>
                                  </w:pPr>
                                  <w:r>
                                    <w:rPr>
                                      <w:color w:val="231F20"/>
                                      <w:sz w:val="15"/>
                                    </w:rPr>
                                    <w:t>Mitochondrial</w:t>
                                  </w:r>
                                  <w:r>
                                    <w:rPr>
                                      <w:color w:val="231F20"/>
                                      <w:spacing w:val="-12"/>
                                      <w:sz w:val="15"/>
                                    </w:rPr>
                                    <w:t> </w:t>
                                  </w:r>
                                  <w:r>
                                    <w:rPr>
                                      <w:color w:val="231F20"/>
                                      <w:sz w:val="15"/>
                                    </w:rPr>
                                    <w:t>neurogastrointestinal</w:t>
                                  </w:r>
                                  <w:r>
                                    <w:rPr>
                                      <w:color w:val="231F20"/>
                                      <w:spacing w:val="-12"/>
                                      <w:sz w:val="15"/>
                                    </w:rPr>
                                    <w:t> </w:t>
                                  </w:r>
                                  <w:r>
                                    <w:rPr>
                                      <w:color w:val="231F20"/>
                                      <w:sz w:val="15"/>
                                    </w:rPr>
                                    <w:t>encephalomyopathy CD59 deficiency</w:t>
                                  </w:r>
                                </w:p>
                              </w:tc>
                            </w:tr>
                            <w:tr>
                              <w:trPr>
                                <w:trHeight w:val="1593"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NEUROMUSCULAR</w:t>
                                  </w:r>
                                  <w:r>
                                    <w:rPr>
                                      <w:color w:val="231F20"/>
                                      <w:spacing w:val="27"/>
                                      <w:w w:val="110"/>
                                      <w:sz w:val="15"/>
                                    </w:rPr>
                                    <w:t> </w:t>
                                  </w:r>
                                  <w:r>
                                    <w:rPr>
                                      <w:color w:val="231F20"/>
                                      <w:w w:val="110"/>
                                      <w:sz w:val="15"/>
                                    </w:rPr>
                                    <w:t>JUNCTION</w:t>
                                  </w:r>
                                  <w:r>
                                    <w:rPr>
                                      <w:color w:val="231F20"/>
                                      <w:spacing w:val="27"/>
                                      <w:w w:val="110"/>
                                      <w:sz w:val="15"/>
                                    </w:rPr>
                                    <w:t> </w:t>
                                  </w:r>
                                  <w:r>
                                    <w:rPr>
                                      <w:color w:val="231F20"/>
                                      <w:spacing w:val="-2"/>
                                      <w:w w:val="110"/>
                                      <w:sz w:val="15"/>
                                    </w:rPr>
                                    <w:t>DISORDERS</w:t>
                                  </w:r>
                                </w:p>
                                <w:p>
                                  <w:pPr>
                                    <w:pStyle w:val="TableParagraph"/>
                                    <w:spacing w:line="230" w:lineRule="auto" w:before="3"/>
                                    <w:ind w:left="74" w:right="3387"/>
                                    <w:rPr>
                                      <w:sz w:val="15"/>
                                    </w:rPr>
                                  </w:pPr>
                                  <w:r>
                                    <w:rPr>
                                      <w:color w:val="231F20"/>
                                      <w:sz w:val="15"/>
                                    </w:rPr>
                                    <w:t>Tick paralysis Myasthenia</w:t>
                                  </w:r>
                                  <w:r>
                                    <w:rPr>
                                      <w:color w:val="231F20"/>
                                      <w:spacing w:val="-12"/>
                                      <w:sz w:val="15"/>
                                    </w:rPr>
                                    <w:t> </w:t>
                                  </w:r>
                                  <w:r>
                                    <w:rPr>
                                      <w:color w:val="231F20"/>
                                      <w:sz w:val="15"/>
                                    </w:rPr>
                                    <w:t>gravis </w:t>
                                  </w:r>
                                  <w:r>
                                    <w:rPr>
                                      <w:color w:val="231F20"/>
                                      <w:spacing w:val="-2"/>
                                      <w:sz w:val="15"/>
                                    </w:rPr>
                                    <w:t>Botulism Hypercalcemia Myopathies Periodic</w:t>
                                  </w:r>
                                  <w:r>
                                    <w:rPr>
                                      <w:color w:val="231F20"/>
                                      <w:spacing w:val="-10"/>
                                      <w:sz w:val="15"/>
                                    </w:rPr>
                                    <w:t> </w:t>
                                  </w:r>
                                  <w:r>
                                    <w:rPr>
                                      <w:color w:val="231F20"/>
                                      <w:spacing w:val="-2"/>
                                      <w:sz w:val="15"/>
                                    </w:rPr>
                                    <w:t>paralyses Dermatomyositis</w:t>
                                  </w:r>
                                </w:p>
                                <w:p>
                                  <w:pPr>
                                    <w:pStyle w:val="TableParagraph"/>
                                    <w:spacing w:line="174" w:lineRule="exact"/>
                                    <w:ind w:left="74"/>
                                    <w:rPr>
                                      <w:sz w:val="15"/>
                                    </w:rPr>
                                  </w:pPr>
                                  <w:r>
                                    <w:rPr>
                                      <w:color w:val="231F20"/>
                                      <w:spacing w:val="-2"/>
                                      <w:sz w:val="15"/>
                                    </w:rPr>
                                    <w:t>Critical</w:t>
                                  </w:r>
                                  <w:r>
                                    <w:rPr>
                                      <w:color w:val="231F20"/>
                                      <w:spacing w:val="-10"/>
                                      <w:sz w:val="15"/>
                                    </w:rPr>
                                    <w:t> </w:t>
                                  </w:r>
                                  <w:r>
                                    <w:rPr>
                                      <w:color w:val="231F20"/>
                                      <w:spacing w:val="-2"/>
                                      <w:sz w:val="15"/>
                                    </w:rPr>
                                    <w:t>illness</w:t>
                                  </w:r>
                                  <w:r>
                                    <w:rPr>
                                      <w:color w:val="231F20"/>
                                      <w:spacing w:val="-7"/>
                                      <w:sz w:val="15"/>
                                    </w:rPr>
                                    <w:t> </w:t>
                                  </w:r>
                                  <w:r>
                                    <w:rPr>
                                      <w:color w:val="231F20"/>
                                      <w:spacing w:val="-2"/>
                                      <w:sz w:val="15"/>
                                    </w:rPr>
                                    <w:t>myopathy/polyneuropathy</w:t>
                                  </w:r>
                                </w:p>
                              </w:tc>
                            </w:tr>
                          </w:tbl>
                          <w:p>
                            <w:pPr>
                              <w:pStyle w:val="BodyText"/>
                            </w:pPr>
                          </w:p>
                        </w:txbxContent>
                      </wps:txbx>
                      <wps:bodyPr wrap="square" lIns="0" tIns="0" rIns="0" bIns="0" rtlCol="0">
                        <a:noAutofit/>
                      </wps:bodyPr>
                    </wps:wsp>
                  </a:graphicData>
                </a:graphic>
              </wp:inline>
            </w:drawing>
          </mc:Choice>
          <mc:Fallback>
            <w:pict>
              <v:shape style="width:235.15pt;height:404.6pt;mso-position-horizontal-relative:char;mso-position-vertical-relative:line" type="#_x0000_t202" id="docshape844" filled="false" stroked="false">
                <w10:anchorlock/>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616-</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ight="790"/>
                              <w:rPr>
                                <w:sz w:val="16"/>
                              </w:rPr>
                            </w:pPr>
                            <w:r>
                              <w:rPr>
                                <w:color w:val="FFFFFF"/>
                                <w:w w:val="105"/>
                                <w:sz w:val="16"/>
                              </w:rPr>
                              <w:t>Differential Diagnosis of </w:t>
                            </w:r>
                            <w:r>
                              <w:rPr>
                                <w:color w:val="FFFFFF"/>
                                <w:w w:val="105"/>
                                <w:sz w:val="16"/>
                              </w:rPr>
                              <w:t>Childhood Guillain-Barré Syndrome</w:t>
                            </w:r>
                          </w:p>
                        </w:tc>
                      </w:tr>
                      <w:tr>
                        <w:trPr>
                          <w:trHeight w:val="244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5"/>
                                <w:sz w:val="15"/>
                              </w:rPr>
                              <w:t>SPINAL</w:t>
                            </w:r>
                            <w:r>
                              <w:rPr>
                                <w:color w:val="231F20"/>
                                <w:spacing w:val="-8"/>
                                <w:w w:val="115"/>
                                <w:sz w:val="15"/>
                              </w:rPr>
                              <w:t> </w:t>
                            </w:r>
                            <w:r>
                              <w:rPr>
                                <w:color w:val="231F20"/>
                                <w:w w:val="115"/>
                                <w:sz w:val="15"/>
                              </w:rPr>
                              <w:t>CORD</w:t>
                            </w:r>
                            <w:r>
                              <w:rPr>
                                <w:color w:val="231F20"/>
                                <w:spacing w:val="-8"/>
                                <w:w w:val="115"/>
                                <w:sz w:val="15"/>
                              </w:rPr>
                              <w:t> </w:t>
                            </w:r>
                            <w:r>
                              <w:rPr>
                                <w:color w:val="231F20"/>
                                <w:spacing w:val="-2"/>
                                <w:w w:val="115"/>
                                <w:sz w:val="15"/>
                              </w:rPr>
                              <w:t>LESIONS</w:t>
                            </w:r>
                          </w:p>
                          <w:p>
                            <w:pPr>
                              <w:pStyle w:val="TableParagraph"/>
                              <w:spacing w:line="230" w:lineRule="auto" w:before="3"/>
                              <w:ind w:left="74" w:right="2667"/>
                              <w:rPr>
                                <w:sz w:val="15"/>
                              </w:rPr>
                            </w:pPr>
                            <w:r>
                              <w:rPr>
                                <w:color w:val="231F20"/>
                                <w:spacing w:val="-2"/>
                                <w:sz w:val="15"/>
                              </w:rPr>
                              <w:t>Acute</w:t>
                            </w:r>
                            <w:r>
                              <w:rPr>
                                <w:color w:val="231F20"/>
                                <w:spacing w:val="-10"/>
                                <w:sz w:val="15"/>
                              </w:rPr>
                              <w:t> </w:t>
                            </w:r>
                            <w:r>
                              <w:rPr>
                                <w:color w:val="231F20"/>
                                <w:spacing w:val="-2"/>
                                <w:sz w:val="15"/>
                              </w:rPr>
                              <w:t>transverse</w:t>
                            </w:r>
                            <w:r>
                              <w:rPr>
                                <w:color w:val="231F20"/>
                                <w:spacing w:val="-10"/>
                                <w:sz w:val="15"/>
                              </w:rPr>
                              <w:t> </w:t>
                            </w:r>
                            <w:r>
                              <w:rPr>
                                <w:color w:val="231F20"/>
                                <w:spacing w:val="-2"/>
                                <w:sz w:val="15"/>
                              </w:rPr>
                              <w:t>myelitis </w:t>
                            </w:r>
                            <w:r>
                              <w:rPr>
                                <w:color w:val="231F20"/>
                                <w:sz w:val="15"/>
                              </w:rPr>
                              <w:t>Epidural abscess</w:t>
                            </w:r>
                          </w:p>
                          <w:p>
                            <w:pPr>
                              <w:pStyle w:val="TableParagraph"/>
                              <w:spacing w:line="167" w:lineRule="exact"/>
                              <w:ind w:left="74"/>
                              <w:rPr>
                                <w:sz w:val="15"/>
                              </w:rPr>
                            </w:pPr>
                            <w:r>
                              <w:rPr>
                                <w:color w:val="231F20"/>
                                <w:spacing w:val="-2"/>
                                <w:sz w:val="15"/>
                              </w:rPr>
                              <w:t>Tumors</w:t>
                            </w:r>
                          </w:p>
                          <w:p>
                            <w:pPr>
                              <w:pStyle w:val="TableParagraph"/>
                              <w:spacing w:line="230" w:lineRule="auto" w:before="3"/>
                              <w:ind w:left="74" w:right="2339"/>
                              <w:rPr>
                                <w:sz w:val="15"/>
                              </w:rPr>
                            </w:pPr>
                            <w:r>
                              <w:rPr>
                                <w:color w:val="231F20"/>
                                <w:spacing w:val="-4"/>
                                <w:sz w:val="15"/>
                              </w:rPr>
                              <w:t>Poliomyelitis</w:t>
                            </w:r>
                            <w:r>
                              <w:rPr>
                                <w:color w:val="231F20"/>
                                <w:spacing w:val="-6"/>
                                <w:sz w:val="15"/>
                              </w:rPr>
                              <w:t> </w:t>
                            </w:r>
                            <w:r>
                              <w:rPr>
                                <w:color w:val="231F20"/>
                                <w:spacing w:val="-4"/>
                                <w:sz w:val="15"/>
                              </w:rPr>
                              <w:t>(natural</w:t>
                            </w:r>
                            <w:r>
                              <w:rPr>
                                <w:color w:val="231F20"/>
                                <w:spacing w:val="-6"/>
                                <w:sz w:val="15"/>
                              </w:rPr>
                              <w:t> </w:t>
                            </w:r>
                            <w:r>
                              <w:rPr>
                                <w:color w:val="231F20"/>
                                <w:spacing w:val="-4"/>
                                <w:sz w:val="15"/>
                              </w:rPr>
                              <w:t>or</w:t>
                            </w:r>
                            <w:r>
                              <w:rPr>
                                <w:color w:val="231F20"/>
                                <w:spacing w:val="-6"/>
                                <w:sz w:val="15"/>
                              </w:rPr>
                              <w:t> </w:t>
                            </w:r>
                            <w:r>
                              <w:rPr>
                                <w:color w:val="231F20"/>
                                <w:spacing w:val="-4"/>
                                <w:sz w:val="15"/>
                              </w:rPr>
                              <w:t>live</w:t>
                            </w:r>
                            <w:r>
                              <w:rPr>
                                <w:color w:val="231F20"/>
                                <w:spacing w:val="-6"/>
                                <w:sz w:val="15"/>
                              </w:rPr>
                              <w:t> </w:t>
                            </w:r>
                            <w:r>
                              <w:rPr>
                                <w:color w:val="231F20"/>
                                <w:spacing w:val="-4"/>
                                <w:sz w:val="15"/>
                              </w:rPr>
                              <w:t>virus) </w:t>
                            </w:r>
                            <w:r>
                              <w:rPr>
                                <w:color w:val="231F20"/>
                                <w:spacing w:val="-2"/>
                                <w:sz w:val="15"/>
                              </w:rPr>
                              <w:t>Enteroviruses</w:t>
                            </w:r>
                          </w:p>
                          <w:p>
                            <w:pPr>
                              <w:pStyle w:val="TableParagraph"/>
                              <w:spacing w:line="230" w:lineRule="auto" w:before="1"/>
                              <w:ind w:left="74" w:right="3080"/>
                              <w:rPr>
                                <w:sz w:val="15"/>
                              </w:rPr>
                            </w:pPr>
                            <w:r>
                              <w:rPr>
                                <w:color w:val="231F20"/>
                                <w:sz w:val="15"/>
                              </w:rPr>
                              <w:t>Hopkins syndrome </w:t>
                            </w:r>
                            <w:r>
                              <w:rPr>
                                <w:color w:val="231F20"/>
                                <w:spacing w:val="-2"/>
                                <w:sz w:val="15"/>
                              </w:rPr>
                              <w:t>Vascular</w:t>
                            </w:r>
                            <w:r>
                              <w:rPr>
                                <w:color w:val="231F20"/>
                                <w:spacing w:val="-10"/>
                                <w:sz w:val="15"/>
                              </w:rPr>
                              <w:t> </w:t>
                            </w:r>
                            <w:r>
                              <w:rPr>
                                <w:color w:val="231F20"/>
                                <w:spacing w:val="-2"/>
                                <w:sz w:val="15"/>
                              </w:rPr>
                              <w:t>malformations </w:t>
                            </w:r>
                            <w:r>
                              <w:rPr>
                                <w:color w:val="231F20"/>
                                <w:sz w:val="15"/>
                              </w:rPr>
                              <w:t>Cord infarction</w:t>
                            </w:r>
                          </w:p>
                          <w:p>
                            <w:pPr>
                              <w:pStyle w:val="TableParagraph"/>
                              <w:spacing w:line="168" w:lineRule="exact"/>
                              <w:ind w:left="74"/>
                              <w:rPr>
                                <w:sz w:val="15"/>
                              </w:rPr>
                            </w:pPr>
                            <w:r>
                              <w:rPr>
                                <w:color w:val="231F20"/>
                                <w:spacing w:val="-2"/>
                                <w:sz w:val="15"/>
                              </w:rPr>
                              <w:t>Fibrocartilaginous</w:t>
                            </w:r>
                            <w:r>
                              <w:rPr>
                                <w:color w:val="231F20"/>
                                <w:spacing w:val="12"/>
                                <w:sz w:val="15"/>
                              </w:rPr>
                              <w:t> </w:t>
                            </w:r>
                            <w:r>
                              <w:rPr>
                                <w:color w:val="231F20"/>
                                <w:spacing w:val="-2"/>
                                <w:sz w:val="15"/>
                              </w:rPr>
                              <w:t>embolism</w:t>
                            </w:r>
                          </w:p>
                          <w:p>
                            <w:pPr>
                              <w:pStyle w:val="TableParagraph"/>
                              <w:spacing w:line="230" w:lineRule="auto" w:before="3"/>
                              <w:ind w:left="186" w:hanging="112"/>
                              <w:rPr>
                                <w:sz w:val="15"/>
                              </w:rPr>
                            </w:pPr>
                            <w:r>
                              <w:rPr>
                                <w:color w:val="231F20"/>
                                <w:sz w:val="15"/>
                              </w:rPr>
                              <w:t>Cord</w:t>
                            </w:r>
                            <w:r>
                              <w:rPr>
                                <w:color w:val="231F20"/>
                                <w:spacing w:val="-9"/>
                                <w:sz w:val="15"/>
                              </w:rPr>
                              <w:t> </w:t>
                            </w:r>
                            <w:r>
                              <w:rPr>
                                <w:color w:val="231F20"/>
                                <w:sz w:val="15"/>
                              </w:rPr>
                              <w:t>compression</w:t>
                            </w:r>
                            <w:r>
                              <w:rPr>
                                <w:color w:val="231F20"/>
                                <w:spacing w:val="-9"/>
                                <w:sz w:val="15"/>
                              </w:rPr>
                              <w:t> </w:t>
                            </w:r>
                            <w:r>
                              <w:rPr>
                                <w:color w:val="231F20"/>
                                <w:sz w:val="15"/>
                              </w:rPr>
                              <w:t>from</w:t>
                            </w:r>
                            <w:r>
                              <w:rPr>
                                <w:color w:val="231F20"/>
                                <w:spacing w:val="-9"/>
                                <w:sz w:val="15"/>
                              </w:rPr>
                              <w:t> </w:t>
                            </w:r>
                            <w:r>
                              <w:rPr>
                                <w:color w:val="231F20"/>
                                <w:sz w:val="15"/>
                              </w:rPr>
                              <w:t>vertebral</w:t>
                            </w:r>
                            <w:r>
                              <w:rPr>
                                <w:color w:val="231F20"/>
                                <w:spacing w:val="-9"/>
                                <w:sz w:val="15"/>
                              </w:rPr>
                              <w:t> </w:t>
                            </w:r>
                            <w:r>
                              <w:rPr>
                                <w:color w:val="231F20"/>
                                <w:sz w:val="15"/>
                              </w:rPr>
                              <w:t>subluxation</w:t>
                            </w:r>
                            <w:r>
                              <w:rPr>
                                <w:color w:val="231F20"/>
                                <w:spacing w:val="-9"/>
                                <w:sz w:val="15"/>
                              </w:rPr>
                              <w:t> </w:t>
                            </w:r>
                            <w:r>
                              <w:rPr>
                                <w:color w:val="231F20"/>
                                <w:sz w:val="15"/>
                              </w:rPr>
                              <w:t>related</w:t>
                            </w:r>
                            <w:r>
                              <w:rPr>
                                <w:color w:val="231F20"/>
                                <w:spacing w:val="-9"/>
                                <w:sz w:val="15"/>
                              </w:rPr>
                              <w:t> </w:t>
                            </w:r>
                            <w:r>
                              <w:rPr>
                                <w:color w:val="231F20"/>
                                <w:sz w:val="15"/>
                              </w:rPr>
                              <w:t>to</w:t>
                            </w:r>
                            <w:r>
                              <w:rPr>
                                <w:color w:val="231F20"/>
                                <w:spacing w:val="-9"/>
                                <w:sz w:val="15"/>
                              </w:rPr>
                              <w:t> </w:t>
                            </w:r>
                            <w:r>
                              <w:rPr>
                                <w:color w:val="231F20"/>
                                <w:sz w:val="15"/>
                              </w:rPr>
                              <w:t>congenital abnormalities or trauma</w:t>
                            </w:r>
                          </w:p>
                          <w:p>
                            <w:pPr>
                              <w:pStyle w:val="TableParagraph"/>
                              <w:spacing w:line="167" w:lineRule="exact"/>
                              <w:ind w:left="74"/>
                              <w:rPr>
                                <w:sz w:val="15"/>
                              </w:rPr>
                            </w:pPr>
                            <w:r>
                              <w:rPr>
                                <w:color w:val="231F20"/>
                                <w:sz w:val="15"/>
                              </w:rPr>
                              <w:t>Acute</w:t>
                            </w:r>
                            <w:r>
                              <w:rPr>
                                <w:color w:val="231F20"/>
                                <w:spacing w:val="1"/>
                                <w:sz w:val="15"/>
                              </w:rPr>
                              <w:t> </w:t>
                            </w:r>
                            <w:r>
                              <w:rPr>
                                <w:color w:val="231F20"/>
                                <w:sz w:val="15"/>
                              </w:rPr>
                              <w:t>disseminated</w:t>
                            </w:r>
                            <w:r>
                              <w:rPr>
                                <w:color w:val="231F20"/>
                                <w:spacing w:val="1"/>
                                <w:sz w:val="15"/>
                              </w:rPr>
                              <w:t> </w:t>
                            </w:r>
                            <w:r>
                              <w:rPr>
                                <w:color w:val="231F20"/>
                                <w:spacing w:val="-2"/>
                                <w:sz w:val="15"/>
                              </w:rPr>
                              <w:t>encephalomyelitis</w:t>
                            </w:r>
                          </w:p>
                          <w:p>
                            <w:pPr>
                              <w:pStyle w:val="TableParagraph"/>
                              <w:spacing w:line="171" w:lineRule="exact"/>
                              <w:ind w:left="74"/>
                              <w:rPr>
                                <w:sz w:val="15"/>
                              </w:rPr>
                            </w:pPr>
                            <w:r>
                              <w:rPr>
                                <w:color w:val="231F20"/>
                                <w:spacing w:val="-2"/>
                                <w:sz w:val="15"/>
                              </w:rPr>
                              <w:t>Bickerstaff</w:t>
                            </w:r>
                            <w:r>
                              <w:rPr>
                                <w:color w:val="231F20"/>
                                <w:spacing w:val="-3"/>
                                <w:sz w:val="15"/>
                              </w:rPr>
                              <w:t> </w:t>
                            </w:r>
                            <w:r>
                              <w:rPr>
                                <w:color w:val="231F20"/>
                                <w:spacing w:val="-2"/>
                                <w:sz w:val="15"/>
                              </w:rPr>
                              <w:t>brainstem encephalitis for Miller-Fisher syndrome</w:t>
                            </w:r>
                          </w:p>
                        </w:tc>
                      </w:tr>
                      <w:tr>
                        <w:trPr>
                          <w:trHeight w:val="3446"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05"/>
                                <w:sz w:val="15"/>
                              </w:rPr>
                              <w:t>PERIPHERAL</w:t>
                            </w:r>
                            <w:r>
                              <w:rPr>
                                <w:color w:val="231F20"/>
                                <w:spacing w:val="23"/>
                                <w:w w:val="110"/>
                                <w:sz w:val="15"/>
                              </w:rPr>
                              <w:t> </w:t>
                            </w:r>
                            <w:r>
                              <w:rPr>
                                <w:color w:val="231F20"/>
                                <w:spacing w:val="-2"/>
                                <w:w w:val="110"/>
                                <w:sz w:val="15"/>
                              </w:rPr>
                              <w:t>NEUROPATHIES</w:t>
                            </w:r>
                          </w:p>
                          <w:p>
                            <w:pPr>
                              <w:pStyle w:val="TableParagraph"/>
                              <w:spacing w:line="169" w:lineRule="exact"/>
                              <w:ind w:left="74"/>
                              <w:rPr>
                                <w:sz w:val="15"/>
                              </w:rPr>
                            </w:pPr>
                            <w:r>
                              <w:rPr>
                                <w:color w:val="231F20"/>
                                <w:spacing w:val="-2"/>
                                <w:sz w:val="15"/>
                              </w:rPr>
                              <w:t>Toxic</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Vincristine</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Glue</w:t>
                            </w:r>
                            <w:r>
                              <w:rPr>
                                <w:color w:val="231F20"/>
                                <w:spacing w:val="7"/>
                                <w:sz w:val="15"/>
                              </w:rPr>
                              <w:t> </w:t>
                            </w:r>
                            <w:r>
                              <w:rPr>
                                <w:color w:val="231F20"/>
                                <w:spacing w:val="-2"/>
                                <w:sz w:val="15"/>
                              </w:rPr>
                              <w:t>sniffing</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Heavy</w:t>
                            </w:r>
                            <w:r>
                              <w:rPr>
                                <w:color w:val="231F20"/>
                                <w:spacing w:val="-3"/>
                                <w:sz w:val="15"/>
                              </w:rPr>
                              <w:t> </w:t>
                            </w:r>
                            <w:r>
                              <w:rPr>
                                <w:color w:val="231F20"/>
                                <w:spacing w:val="-2"/>
                                <w:sz w:val="15"/>
                              </w:rPr>
                              <w:t>metal:</w:t>
                            </w:r>
                            <w:r>
                              <w:rPr>
                                <w:color w:val="231F20"/>
                                <w:spacing w:val="-3"/>
                                <w:sz w:val="15"/>
                              </w:rPr>
                              <w:t> </w:t>
                            </w:r>
                            <w:r>
                              <w:rPr>
                                <w:color w:val="231F20"/>
                                <w:spacing w:val="-2"/>
                                <w:sz w:val="15"/>
                              </w:rPr>
                              <w:t>gold,</w:t>
                            </w:r>
                            <w:r>
                              <w:rPr>
                                <w:color w:val="231F20"/>
                                <w:spacing w:val="-3"/>
                                <w:sz w:val="15"/>
                              </w:rPr>
                              <w:t> </w:t>
                            </w:r>
                            <w:r>
                              <w:rPr>
                                <w:color w:val="231F20"/>
                                <w:spacing w:val="-2"/>
                                <w:sz w:val="15"/>
                              </w:rPr>
                              <w:t>arsenic,</w:t>
                            </w:r>
                            <w:r>
                              <w:rPr>
                                <w:color w:val="231F20"/>
                                <w:spacing w:val="-3"/>
                                <w:sz w:val="15"/>
                              </w:rPr>
                              <w:t> </w:t>
                            </w:r>
                            <w:r>
                              <w:rPr>
                                <w:color w:val="231F20"/>
                                <w:spacing w:val="-2"/>
                                <w:sz w:val="15"/>
                              </w:rPr>
                              <w:t>lead,</w:t>
                            </w:r>
                            <w:r>
                              <w:rPr>
                                <w:color w:val="231F20"/>
                                <w:spacing w:val="-3"/>
                                <w:sz w:val="15"/>
                              </w:rPr>
                              <w:t> </w:t>
                            </w:r>
                            <w:r>
                              <w:rPr>
                                <w:color w:val="231F20"/>
                                <w:spacing w:val="-2"/>
                                <w:sz w:val="15"/>
                              </w:rPr>
                              <w:t>thallium</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Organophosphate</w:t>
                            </w:r>
                            <w:r>
                              <w:rPr>
                                <w:color w:val="231F20"/>
                                <w:spacing w:val="47"/>
                                <w:sz w:val="15"/>
                              </w:rPr>
                              <w:t> </w:t>
                            </w:r>
                            <w:r>
                              <w:rPr>
                                <w:color w:val="231F20"/>
                                <w:spacing w:val="-2"/>
                                <w:sz w:val="15"/>
                              </w:rPr>
                              <w:t>pesticides</w:t>
                            </w:r>
                          </w:p>
                          <w:p>
                            <w:pPr>
                              <w:pStyle w:val="TableParagraph"/>
                              <w:numPr>
                                <w:ilvl w:val="0"/>
                                <w:numId w:val="101"/>
                              </w:numPr>
                              <w:tabs>
                                <w:tab w:pos="223" w:val="left" w:leader="none"/>
                              </w:tabs>
                              <w:spacing w:line="230" w:lineRule="auto" w:before="2" w:after="0"/>
                              <w:ind w:left="74" w:right="3312" w:firstLine="0"/>
                              <w:jc w:val="left"/>
                              <w:rPr>
                                <w:sz w:val="15"/>
                              </w:rPr>
                            </w:pPr>
                            <w:r>
                              <w:rPr>
                                <w:color w:val="231F20"/>
                                <w:spacing w:val="-2"/>
                                <w:sz w:val="15"/>
                              </w:rPr>
                              <w:t>Fluoroquinolones Infections</w:t>
                            </w:r>
                          </w:p>
                          <w:p>
                            <w:pPr>
                              <w:pStyle w:val="TableParagraph"/>
                              <w:numPr>
                                <w:ilvl w:val="0"/>
                                <w:numId w:val="101"/>
                              </w:numPr>
                              <w:tabs>
                                <w:tab w:pos="223" w:val="left" w:leader="none"/>
                              </w:tabs>
                              <w:spacing w:line="167" w:lineRule="exact" w:before="0" w:after="0"/>
                              <w:ind w:left="223" w:right="0" w:hanging="149"/>
                              <w:jc w:val="left"/>
                              <w:rPr>
                                <w:sz w:val="15"/>
                              </w:rPr>
                            </w:pPr>
                            <w:r>
                              <w:rPr>
                                <w:color w:val="231F20"/>
                                <w:spacing w:val="-5"/>
                                <w:w w:val="105"/>
                                <w:sz w:val="15"/>
                              </w:rPr>
                              <w:t>HIV</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Diphtheria</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Lyme</w:t>
                            </w:r>
                            <w:r>
                              <w:rPr>
                                <w:color w:val="231F20"/>
                                <w:spacing w:val="-3"/>
                                <w:sz w:val="15"/>
                              </w:rPr>
                              <w:t> </w:t>
                            </w:r>
                            <w:r>
                              <w:rPr>
                                <w:color w:val="231F20"/>
                                <w:spacing w:val="-2"/>
                                <w:sz w:val="15"/>
                              </w:rPr>
                              <w:t>disease</w:t>
                            </w:r>
                          </w:p>
                          <w:p>
                            <w:pPr>
                              <w:pStyle w:val="TableParagraph"/>
                              <w:spacing w:line="168" w:lineRule="exact"/>
                              <w:ind w:left="74"/>
                              <w:rPr>
                                <w:sz w:val="15"/>
                              </w:rPr>
                            </w:pPr>
                            <w:r>
                              <w:rPr>
                                <w:color w:val="231F20"/>
                                <w:sz w:val="15"/>
                              </w:rPr>
                              <w:t>Inborn</w:t>
                            </w:r>
                            <w:r>
                              <w:rPr>
                                <w:color w:val="231F20"/>
                                <w:spacing w:val="-5"/>
                                <w:sz w:val="15"/>
                              </w:rPr>
                              <w:t> </w:t>
                            </w:r>
                            <w:r>
                              <w:rPr>
                                <w:color w:val="231F20"/>
                                <w:sz w:val="15"/>
                              </w:rPr>
                              <w:t>errors</w:t>
                            </w:r>
                            <w:r>
                              <w:rPr>
                                <w:color w:val="231F20"/>
                                <w:spacing w:val="-4"/>
                                <w:sz w:val="15"/>
                              </w:rPr>
                              <w:t> </w:t>
                            </w:r>
                            <w:r>
                              <w:rPr>
                                <w:color w:val="231F20"/>
                                <w:sz w:val="15"/>
                              </w:rPr>
                              <w:t>of</w:t>
                            </w:r>
                            <w:r>
                              <w:rPr>
                                <w:color w:val="231F20"/>
                                <w:spacing w:val="-4"/>
                                <w:sz w:val="15"/>
                              </w:rPr>
                              <w:t> </w:t>
                            </w:r>
                            <w:r>
                              <w:rPr>
                                <w:color w:val="231F20"/>
                                <w:spacing w:val="-2"/>
                                <w:sz w:val="15"/>
                              </w:rPr>
                              <w:t>metabolism</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Leigh</w:t>
                            </w:r>
                            <w:r>
                              <w:rPr>
                                <w:color w:val="231F20"/>
                                <w:spacing w:val="8"/>
                                <w:sz w:val="15"/>
                              </w:rPr>
                              <w:t> </w:t>
                            </w:r>
                            <w:r>
                              <w:rPr>
                                <w:color w:val="231F20"/>
                                <w:spacing w:val="-2"/>
                                <w:sz w:val="15"/>
                              </w:rPr>
                              <w:t>disease</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z w:val="15"/>
                              </w:rPr>
                              <w:t>Tangier</w:t>
                            </w:r>
                            <w:r>
                              <w:rPr>
                                <w:color w:val="231F20"/>
                                <w:spacing w:val="-5"/>
                                <w:sz w:val="15"/>
                              </w:rPr>
                              <w:t> </w:t>
                            </w:r>
                            <w:r>
                              <w:rPr>
                                <w:color w:val="231F20"/>
                                <w:spacing w:val="-2"/>
                                <w:sz w:val="15"/>
                              </w:rPr>
                              <w:t>disease</w:t>
                            </w:r>
                          </w:p>
                          <w:p>
                            <w:pPr>
                              <w:pStyle w:val="TableParagraph"/>
                              <w:numPr>
                                <w:ilvl w:val="0"/>
                                <w:numId w:val="101"/>
                              </w:numPr>
                              <w:tabs>
                                <w:tab w:pos="223" w:val="left" w:leader="none"/>
                              </w:tabs>
                              <w:spacing w:line="168" w:lineRule="exact" w:before="0" w:after="0"/>
                              <w:ind w:left="223" w:right="0" w:hanging="149"/>
                              <w:jc w:val="left"/>
                              <w:rPr>
                                <w:sz w:val="15"/>
                              </w:rPr>
                            </w:pPr>
                            <w:r>
                              <w:rPr>
                                <w:color w:val="231F20"/>
                                <w:spacing w:val="-2"/>
                                <w:sz w:val="15"/>
                              </w:rPr>
                              <w:t>Porphyria</w:t>
                            </w:r>
                          </w:p>
                          <w:p>
                            <w:pPr>
                              <w:pStyle w:val="TableParagraph"/>
                              <w:spacing w:line="230" w:lineRule="auto" w:before="3"/>
                              <w:ind w:left="74" w:right="1874"/>
                              <w:rPr>
                                <w:sz w:val="15"/>
                              </w:rPr>
                            </w:pPr>
                            <w:r>
                              <w:rPr>
                                <w:color w:val="231F20"/>
                                <w:spacing w:val="-2"/>
                                <w:sz w:val="15"/>
                              </w:rPr>
                              <w:t>Critical</w:t>
                            </w:r>
                            <w:r>
                              <w:rPr>
                                <w:color w:val="231F20"/>
                                <w:spacing w:val="-10"/>
                                <w:sz w:val="15"/>
                              </w:rPr>
                              <w:t> </w:t>
                            </w:r>
                            <w:r>
                              <w:rPr>
                                <w:color w:val="231F20"/>
                                <w:spacing w:val="-2"/>
                                <w:sz w:val="15"/>
                              </w:rPr>
                              <w:t>illness:</w:t>
                            </w:r>
                            <w:r>
                              <w:rPr>
                                <w:color w:val="231F20"/>
                                <w:spacing w:val="-10"/>
                                <w:sz w:val="15"/>
                              </w:rPr>
                              <w:t> </w:t>
                            </w:r>
                            <w:r>
                              <w:rPr>
                                <w:color w:val="231F20"/>
                                <w:spacing w:val="-2"/>
                                <w:sz w:val="15"/>
                              </w:rPr>
                              <w:t>polyneuropathy/myopathy </w:t>
                            </w:r>
                            <w:r>
                              <w:rPr>
                                <w:color w:val="231F20"/>
                                <w:sz w:val="15"/>
                              </w:rPr>
                              <w:t>Vasculitis syndromes</w:t>
                            </w:r>
                          </w:p>
                          <w:p>
                            <w:pPr>
                              <w:pStyle w:val="TableParagraph"/>
                              <w:spacing w:line="167" w:lineRule="exact"/>
                              <w:ind w:left="74"/>
                              <w:rPr>
                                <w:sz w:val="15"/>
                              </w:rPr>
                            </w:pPr>
                            <w:r>
                              <w:rPr>
                                <w:color w:val="231F20"/>
                                <w:spacing w:val="-2"/>
                                <w:sz w:val="15"/>
                              </w:rPr>
                              <w:t>Porphyria</w:t>
                            </w:r>
                          </w:p>
                          <w:p>
                            <w:pPr>
                              <w:pStyle w:val="TableParagraph"/>
                              <w:spacing w:line="230" w:lineRule="auto" w:before="2"/>
                              <w:ind w:left="74" w:right="849"/>
                              <w:rPr>
                                <w:sz w:val="15"/>
                              </w:rPr>
                            </w:pPr>
                            <w:r>
                              <w:rPr>
                                <w:color w:val="231F20"/>
                                <w:sz w:val="15"/>
                              </w:rPr>
                              <w:t>Mitochondrial</w:t>
                            </w:r>
                            <w:r>
                              <w:rPr>
                                <w:color w:val="231F20"/>
                                <w:spacing w:val="-12"/>
                                <w:sz w:val="15"/>
                              </w:rPr>
                              <w:t> </w:t>
                            </w:r>
                            <w:r>
                              <w:rPr>
                                <w:color w:val="231F20"/>
                                <w:sz w:val="15"/>
                              </w:rPr>
                              <w:t>neurogastrointestinal</w:t>
                            </w:r>
                            <w:r>
                              <w:rPr>
                                <w:color w:val="231F20"/>
                                <w:spacing w:val="-12"/>
                                <w:sz w:val="15"/>
                              </w:rPr>
                              <w:t> </w:t>
                            </w:r>
                            <w:r>
                              <w:rPr>
                                <w:color w:val="231F20"/>
                                <w:sz w:val="15"/>
                              </w:rPr>
                              <w:t>encephalomyopathy CD59 deficiency</w:t>
                            </w:r>
                          </w:p>
                        </w:tc>
                      </w:tr>
                      <w:tr>
                        <w:trPr>
                          <w:trHeight w:val="1593"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NEUROMUSCULAR</w:t>
                            </w:r>
                            <w:r>
                              <w:rPr>
                                <w:color w:val="231F20"/>
                                <w:spacing w:val="27"/>
                                <w:w w:val="110"/>
                                <w:sz w:val="15"/>
                              </w:rPr>
                              <w:t> </w:t>
                            </w:r>
                            <w:r>
                              <w:rPr>
                                <w:color w:val="231F20"/>
                                <w:w w:val="110"/>
                                <w:sz w:val="15"/>
                              </w:rPr>
                              <w:t>JUNCTION</w:t>
                            </w:r>
                            <w:r>
                              <w:rPr>
                                <w:color w:val="231F20"/>
                                <w:spacing w:val="27"/>
                                <w:w w:val="110"/>
                                <w:sz w:val="15"/>
                              </w:rPr>
                              <w:t> </w:t>
                            </w:r>
                            <w:r>
                              <w:rPr>
                                <w:color w:val="231F20"/>
                                <w:spacing w:val="-2"/>
                                <w:w w:val="110"/>
                                <w:sz w:val="15"/>
                              </w:rPr>
                              <w:t>DISORDERS</w:t>
                            </w:r>
                          </w:p>
                          <w:p>
                            <w:pPr>
                              <w:pStyle w:val="TableParagraph"/>
                              <w:spacing w:line="230" w:lineRule="auto" w:before="3"/>
                              <w:ind w:left="74" w:right="3387"/>
                              <w:rPr>
                                <w:sz w:val="15"/>
                              </w:rPr>
                            </w:pPr>
                            <w:r>
                              <w:rPr>
                                <w:color w:val="231F20"/>
                                <w:sz w:val="15"/>
                              </w:rPr>
                              <w:t>Tick paralysis Myasthenia</w:t>
                            </w:r>
                            <w:r>
                              <w:rPr>
                                <w:color w:val="231F20"/>
                                <w:spacing w:val="-12"/>
                                <w:sz w:val="15"/>
                              </w:rPr>
                              <w:t> </w:t>
                            </w:r>
                            <w:r>
                              <w:rPr>
                                <w:color w:val="231F20"/>
                                <w:sz w:val="15"/>
                              </w:rPr>
                              <w:t>gravis </w:t>
                            </w:r>
                            <w:r>
                              <w:rPr>
                                <w:color w:val="231F20"/>
                                <w:spacing w:val="-2"/>
                                <w:sz w:val="15"/>
                              </w:rPr>
                              <w:t>Botulism Hypercalcemia Myopathies Periodic</w:t>
                            </w:r>
                            <w:r>
                              <w:rPr>
                                <w:color w:val="231F20"/>
                                <w:spacing w:val="-10"/>
                                <w:sz w:val="15"/>
                              </w:rPr>
                              <w:t> </w:t>
                            </w:r>
                            <w:r>
                              <w:rPr>
                                <w:color w:val="231F20"/>
                                <w:spacing w:val="-2"/>
                                <w:sz w:val="15"/>
                              </w:rPr>
                              <w:t>paralyses Dermatomyositis</w:t>
                            </w:r>
                          </w:p>
                          <w:p>
                            <w:pPr>
                              <w:pStyle w:val="TableParagraph"/>
                              <w:spacing w:line="174" w:lineRule="exact"/>
                              <w:ind w:left="74"/>
                              <w:rPr>
                                <w:sz w:val="15"/>
                              </w:rPr>
                            </w:pPr>
                            <w:r>
                              <w:rPr>
                                <w:color w:val="231F20"/>
                                <w:spacing w:val="-2"/>
                                <w:sz w:val="15"/>
                              </w:rPr>
                              <w:t>Critical</w:t>
                            </w:r>
                            <w:r>
                              <w:rPr>
                                <w:color w:val="231F20"/>
                                <w:spacing w:val="-10"/>
                                <w:sz w:val="15"/>
                              </w:rPr>
                              <w:t> </w:t>
                            </w:r>
                            <w:r>
                              <w:rPr>
                                <w:color w:val="231F20"/>
                                <w:spacing w:val="-2"/>
                                <w:sz w:val="15"/>
                              </w:rPr>
                              <w:t>illness</w:t>
                            </w:r>
                            <w:r>
                              <w:rPr>
                                <w:color w:val="231F20"/>
                                <w:spacing w:val="-7"/>
                                <w:sz w:val="15"/>
                              </w:rPr>
                              <w:t> </w:t>
                            </w:r>
                            <w:r>
                              <w:rPr>
                                <w:color w:val="231F20"/>
                                <w:spacing w:val="-2"/>
                                <w:sz w:val="15"/>
                              </w:rPr>
                              <w:t>myopathy/polyneuropathy</w:t>
                            </w:r>
                          </w:p>
                        </w:tc>
                      </w:tr>
                    </w:tbl>
                    <w:p>
                      <w:pPr>
                        <w:pStyle w:val="BodyText"/>
                      </w:pPr>
                    </w:p>
                  </w:txbxContent>
                </v:textbox>
              </v:shape>
            </w:pict>
          </mc:Fallback>
        </mc:AlternateContent>
      </w:r>
      <w:r>
        <w:rPr>
          <w:sz w:val="20"/>
        </w:rPr>
      </w:r>
      <w:r>
        <w:rPr>
          <w:sz w:val="20"/>
        </w:rPr>
        <w:tab/>
      </w:r>
      <w:r>
        <w:rPr>
          <w:position w:val="151"/>
          <w:sz w:val="20"/>
        </w:rPr>
        <mc:AlternateContent>
          <mc:Choice Requires="wps">
            <w:drawing>
              <wp:inline distT="0" distB="0" distL="0" distR="0">
                <wp:extent cx="2986405" cy="4166870"/>
                <wp:effectExtent l="0" t="0" r="0" b="0"/>
                <wp:docPr id="1062" name="Textbox 1062"/>
                <wp:cNvGraphicFramePr>
                  <a:graphicFrameLocks/>
                </wp:cNvGraphicFramePr>
                <a:graphic>
                  <a:graphicData uri="http://schemas.microsoft.com/office/word/2010/wordprocessingShape">
                    <wps:wsp>
                      <wps:cNvPr id="1062" name="Textbox 1062"/>
                      <wps:cNvSpPr txBox="1"/>
                      <wps:spPr>
                        <a:xfrm>
                          <a:off x="0" y="0"/>
                          <a:ext cx="2986405" cy="4166870"/>
                        </a:xfrm>
                        <a:prstGeom prst="rect">
                          <a:avLst/>
                        </a:prstGeom>
                      </wps:spPr>
                      <wps:txbx>
                        <w:txbxContent>
                          <w:tbl>
                            <w:tblPr>
                              <w:tblW w:w="0" w:type="auto"/>
                              <w:jc w:val="left"/>
                              <w:tblInd w:w="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1204"/>
                              <w:gridCol w:w="2352"/>
                            </w:tblGrid>
                            <w:tr>
                              <w:trPr>
                                <w:trHeight w:val="387"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614-</w:t>
                                  </w:r>
                                  <w:r>
                                    <w:rPr>
                                      <w:b/>
                                      <w:color w:val="FFFFFF"/>
                                      <w:spacing w:val="-10"/>
                                      <w:w w:val="105"/>
                                      <w:sz w:val="16"/>
                                    </w:rPr>
                                    <w:t>1</w:t>
                                  </w:r>
                                </w:p>
                              </w:tc>
                              <w:tc>
                                <w:tcPr>
                                  <w:tcW w:w="3556" w:type="dxa"/>
                                  <w:gridSpan w:val="2"/>
                                  <w:tcBorders>
                                    <w:top w:val="nil"/>
                                    <w:bottom w:val="nil"/>
                                    <w:right w:val="nil"/>
                                  </w:tcBorders>
                                  <w:shd w:val="clear" w:color="auto" w:fill="231F20"/>
                                </w:tcPr>
                                <w:p>
                                  <w:pPr>
                                    <w:pStyle w:val="TableParagraph"/>
                                    <w:spacing w:before="89"/>
                                    <w:ind w:left="73"/>
                                    <w:rPr>
                                      <w:sz w:val="16"/>
                                    </w:rPr>
                                  </w:pPr>
                                  <w:r>
                                    <w:rPr>
                                      <w:color w:val="FFFFFF"/>
                                      <w:w w:val="105"/>
                                      <w:sz w:val="16"/>
                                    </w:rPr>
                                    <w:t>Toxic</w:t>
                                  </w:r>
                                  <w:r>
                                    <w:rPr>
                                      <w:color w:val="FFFFFF"/>
                                      <w:spacing w:val="12"/>
                                      <w:w w:val="105"/>
                                      <w:sz w:val="16"/>
                                    </w:rPr>
                                    <w:t> </w:t>
                                  </w:r>
                                  <w:r>
                                    <w:rPr>
                                      <w:color w:val="FFFFFF"/>
                                      <w:w w:val="105"/>
                                      <w:sz w:val="16"/>
                                    </w:rPr>
                                    <w:t>and</w:t>
                                  </w:r>
                                  <w:r>
                                    <w:rPr>
                                      <w:color w:val="FFFFFF"/>
                                      <w:spacing w:val="13"/>
                                      <w:w w:val="105"/>
                                      <w:sz w:val="16"/>
                                    </w:rPr>
                                    <w:t> </w:t>
                                  </w:r>
                                  <w:r>
                                    <w:rPr>
                                      <w:color w:val="FFFFFF"/>
                                      <w:w w:val="105"/>
                                      <w:sz w:val="16"/>
                                    </w:rPr>
                                    <w:t>Metabolic</w:t>
                                  </w:r>
                                  <w:r>
                                    <w:rPr>
                                      <w:color w:val="FFFFFF"/>
                                      <w:spacing w:val="13"/>
                                      <w:w w:val="105"/>
                                      <w:sz w:val="16"/>
                                    </w:rPr>
                                    <w:t> </w:t>
                                  </w:r>
                                  <w:r>
                                    <w:rPr>
                                      <w:color w:val="FFFFFF"/>
                                      <w:spacing w:val="-2"/>
                                      <w:w w:val="105"/>
                                      <w:sz w:val="16"/>
                                    </w:rPr>
                                    <w:t>Neuropathies</w:t>
                                  </w:r>
                                </w:p>
                              </w:tc>
                            </w:tr>
                            <w:tr>
                              <w:trPr>
                                <w:trHeight w:val="1090" w:hRule="exact"/>
                              </w:trPr>
                              <w:tc>
                                <w:tcPr>
                                  <w:tcW w:w="2352" w:type="dxa"/>
                                  <w:gridSpan w:val="2"/>
                                  <w:tcBorders>
                                    <w:top w:val="nil"/>
                                    <w:left w:val="nil"/>
                                    <w:bottom w:val="single" w:sz="4" w:space="0" w:color="FFFFFF"/>
                                    <w:right w:val="single" w:sz="4" w:space="0" w:color="231F20"/>
                                  </w:tcBorders>
                                  <w:shd w:val="clear" w:color="auto" w:fill="E8F5F1"/>
                                </w:tcPr>
                                <w:p>
                                  <w:pPr>
                                    <w:pStyle w:val="TableParagraph"/>
                                    <w:spacing w:line="172" w:lineRule="exact" w:before="34"/>
                                    <w:ind w:left="74"/>
                                    <w:rPr>
                                      <w:sz w:val="15"/>
                                    </w:rPr>
                                  </w:pPr>
                                  <w:r>
                                    <w:rPr>
                                      <w:color w:val="231F20"/>
                                      <w:spacing w:val="-2"/>
                                      <w:w w:val="115"/>
                                      <w:sz w:val="15"/>
                                    </w:rPr>
                                    <w:t>METALS</w:t>
                                  </w:r>
                                </w:p>
                                <w:p>
                                  <w:pPr>
                                    <w:pStyle w:val="TableParagraph"/>
                                    <w:spacing w:line="230" w:lineRule="auto" w:before="3"/>
                                    <w:ind w:left="74" w:right="132"/>
                                    <w:rPr>
                                      <w:sz w:val="15"/>
                                    </w:rPr>
                                  </w:pPr>
                                  <w:r>
                                    <w:rPr>
                                      <w:color w:val="231F20"/>
                                      <w:spacing w:val="-4"/>
                                      <w:sz w:val="15"/>
                                    </w:rPr>
                                    <w:t>Arsenic (insecticide, </w:t>
                                  </w:r>
                                  <w:r>
                                    <w:rPr>
                                      <w:color w:val="231F20"/>
                                      <w:spacing w:val="-4"/>
                                      <w:sz w:val="15"/>
                                    </w:rPr>
                                    <w:t>herbicide) Lead</w:t>
                                  </w:r>
                                  <w:r>
                                    <w:rPr>
                                      <w:color w:val="231F20"/>
                                      <w:spacing w:val="-7"/>
                                      <w:sz w:val="15"/>
                                    </w:rPr>
                                    <w:t> </w:t>
                                  </w:r>
                                  <w:r>
                                    <w:rPr>
                                      <w:color w:val="231F20"/>
                                      <w:spacing w:val="-4"/>
                                      <w:sz w:val="15"/>
                                    </w:rPr>
                                    <w:t>(paint,</w:t>
                                  </w:r>
                                  <w:r>
                                    <w:rPr>
                                      <w:color w:val="231F20"/>
                                      <w:spacing w:val="-7"/>
                                      <w:sz w:val="15"/>
                                    </w:rPr>
                                    <w:t> </w:t>
                                  </w:r>
                                  <w:r>
                                    <w:rPr>
                                      <w:color w:val="231F20"/>
                                      <w:spacing w:val="-4"/>
                                      <w:sz w:val="15"/>
                                    </w:rPr>
                                    <w:t>batteries,</w:t>
                                  </w:r>
                                  <w:r>
                                    <w:rPr>
                                      <w:color w:val="231F20"/>
                                      <w:spacing w:val="-7"/>
                                      <w:sz w:val="15"/>
                                    </w:rPr>
                                    <w:t> </w:t>
                                  </w:r>
                                  <w:r>
                                    <w:rPr>
                                      <w:color w:val="231F20"/>
                                      <w:spacing w:val="-4"/>
                                      <w:sz w:val="15"/>
                                    </w:rPr>
                                    <w:t>pottery) </w:t>
                                  </w:r>
                                  <w:r>
                                    <w:rPr>
                                      <w:color w:val="231F20"/>
                                      <w:sz w:val="15"/>
                                    </w:rPr>
                                    <w:t>Mercury (metallic, vapor) Thallium (rodenticides)</w:t>
                                  </w:r>
                                </w:p>
                                <w:p>
                                  <w:pPr>
                                    <w:pStyle w:val="TableParagraph"/>
                                    <w:spacing w:line="171" w:lineRule="exact"/>
                                    <w:ind w:left="74"/>
                                    <w:rPr>
                                      <w:sz w:val="15"/>
                                    </w:rPr>
                                  </w:pPr>
                                  <w:r>
                                    <w:rPr>
                                      <w:color w:val="231F20"/>
                                      <w:spacing w:val="-4"/>
                                      <w:w w:val="105"/>
                                      <w:sz w:val="15"/>
                                    </w:rPr>
                                    <w:t>Gold</w:t>
                                  </w: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230" w:lineRule="auto" w:before="29"/>
                                    <w:ind w:left="69" w:right="1292"/>
                                    <w:rPr>
                                      <w:sz w:val="15"/>
                                    </w:rPr>
                                  </w:pPr>
                                  <w:r>
                                    <w:rPr>
                                      <w:color w:val="231F20"/>
                                      <w:spacing w:val="-4"/>
                                      <w:sz w:val="15"/>
                                    </w:rPr>
                                    <w:t>Nitrofurantoin </w:t>
                                  </w:r>
                                  <w:r>
                                    <w:rPr>
                                      <w:color w:val="231F20"/>
                                      <w:sz w:val="15"/>
                                    </w:rPr>
                                    <w:t>Nitrous</w:t>
                                  </w:r>
                                  <w:r>
                                    <w:rPr>
                                      <w:color w:val="231F20"/>
                                      <w:spacing w:val="5"/>
                                      <w:sz w:val="15"/>
                                    </w:rPr>
                                    <w:t> </w:t>
                                  </w:r>
                                  <w:r>
                                    <w:rPr>
                                      <w:color w:val="231F20"/>
                                      <w:spacing w:val="-2"/>
                                      <w:sz w:val="15"/>
                                    </w:rPr>
                                    <w:t>oxide</w:t>
                                  </w:r>
                                </w:p>
                                <w:p>
                                  <w:pPr>
                                    <w:pStyle w:val="TableParagraph"/>
                                    <w:spacing w:line="230" w:lineRule="auto" w:before="1"/>
                                    <w:ind w:left="181" w:right="132" w:hanging="112"/>
                                    <w:rPr>
                                      <w:sz w:val="15"/>
                                    </w:rPr>
                                  </w:pPr>
                                  <w:r>
                                    <w:rPr>
                                      <w:color w:val="231F20"/>
                                      <w:sz w:val="15"/>
                                    </w:rPr>
                                    <w:t>Nucleosides (antiretroviral </w:t>
                                  </w:r>
                                  <w:r>
                                    <w:rPr>
                                      <w:color w:val="231F20"/>
                                      <w:spacing w:val="-2"/>
                                      <w:sz w:val="15"/>
                                    </w:rPr>
                                    <w:t>agents dideoxycytidine </w:t>
                                  </w:r>
                                  <w:r>
                                    <w:rPr>
                                      <w:color w:val="231F20"/>
                                      <w:spacing w:val="-2"/>
                                      <w:sz w:val="15"/>
                                    </w:rPr>
                                    <w:t>[ddC], </w:t>
                                  </w:r>
                                  <w:r>
                                    <w:rPr>
                                      <w:color w:val="231F20"/>
                                      <w:sz w:val="15"/>
                                    </w:rPr>
                                    <w:t>didanosine</w:t>
                                  </w:r>
                                  <w:r>
                                    <w:rPr>
                                      <w:color w:val="231F20"/>
                                      <w:spacing w:val="-11"/>
                                      <w:sz w:val="15"/>
                                    </w:rPr>
                                    <w:t> </w:t>
                                  </w:r>
                                  <w:r>
                                    <w:rPr>
                                      <w:color w:val="231F20"/>
                                      <w:sz w:val="15"/>
                                    </w:rPr>
                                    <w:t>[ddI],</w:t>
                                  </w:r>
                                  <w:r>
                                    <w:rPr>
                                      <w:color w:val="231F20"/>
                                      <w:spacing w:val="-11"/>
                                      <w:sz w:val="15"/>
                                    </w:rPr>
                                    <w:t> </w:t>
                                  </w:r>
                                  <w:r>
                                    <w:rPr>
                                      <w:color w:val="231F20"/>
                                      <w:sz w:val="15"/>
                                    </w:rPr>
                                    <w:t>d4T,</w:t>
                                  </w:r>
                                  <w:r>
                                    <w:rPr>
                                      <w:color w:val="231F20"/>
                                      <w:spacing w:val="-11"/>
                                      <w:sz w:val="15"/>
                                    </w:rPr>
                                    <w:t> </w:t>
                                  </w:r>
                                  <w:r>
                                    <w:rPr>
                                      <w:color w:val="231F20"/>
                                      <w:spacing w:val="-2"/>
                                      <w:sz w:val="15"/>
                                    </w:rPr>
                                    <w:t>others)</w:t>
                                  </w:r>
                                </w:p>
                                <w:p>
                                  <w:pPr>
                                    <w:pStyle w:val="TableParagraph"/>
                                    <w:spacing w:line="230" w:lineRule="auto" w:before="3"/>
                                    <w:ind w:left="69" w:right="1401"/>
                                    <w:jc w:val="both"/>
                                    <w:rPr>
                                      <w:sz w:val="15"/>
                                    </w:rPr>
                                  </w:pPr>
                                  <w:r>
                                    <w:rPr>
                                      <w:color w:val="231F20"/>
                                      <w:spacing w:val="-4"/>
                                      <w:sz w:val="15"/>
                                    </w:rPr>
                                    <w:t>Penicillamine </w:t>
                                  </w:r>
                                  <w:r>
                                    <w:rPr>
                                      <w:color w:val="231F20"/>
                                      <w:spacing w:val="-2"/>
                                      <w:sz w:val="15"/>
                                    </w:rPr>
                                    <w:t>Pentamidine Phenytoin</w:t>
                                  </w:r>
                                </w:p>
                                <w:p>
                                  <w:pPr>
                                    <w:pStyle w:val="TableParagraph"/>
                                    <w:spacing w:line="230" w:lineRule="auto" w:before="2"/>
                                    <w:ind w:left="69" w:right="547"/>
                                    <w:rPr>
                                      <w:sz w:val="15"/>
                                    </w:rPr>
                                  </w:pPr>
                                  <w:r>
                                    <w:rPr>
                                      <w:color w:val="231F20"/>
                                      <w:spacing w:val="-4"/>
                                      <w:sz w:val="15"/>
                                    </w:rPr>
                                    <w:t>Pyridoxine </w:t>
                                  </w:r>
                                  <w:r>
                                    <w:rPr>
                                      <w:color w:val="231F20"/>
                                      <w:spacing w:val="-4"/>
                                      <w:sz w:val="15"/>
                                    </w:rPr>
                                    <w:t>(excessive) </w:t>
                                  </w:r>
                                  <w:r>
                                    <w:rPr>
                                      <w:color w:val="231F20"/>
                                      <w:spacing w:val="-2"/>
                                      <w:sz w:val="15"/>
                                    </w:rPr>
                                    <w:t>Statins</w:t>
                                  </w:r>
                                </w:p>
                                <w:p>
                                  <w:pPr>
                                    <w:pStyle w:val="TableParagraph"/>
                                    <w:spacing w:line="230" w:lineRule="auto" w:before="1"/>
                                    <w:ind w:left="69" w:right="1443"/>
                                    <w:rPr>
                                      <w:sz w:val="15"/>
                                    </w:rPr>
                                  </w:pPr>
                                  <w:r>
                                    <w:rPr>
                                      <w:color w:val="231F20"/>
                                      <w:spacing w:val="-2"/>
                                      <w:sz w:val="15"/>
                                    </w:rPr>
                                    <w:t>Stilbamidine Suramin Tacrolimus</w:t>
                                  </w:r>
                                </w:p>
                                <w:p>
                                  <w:pPr>
                                    <w:pStyle w:val="TableParagraph"/>
                                    <w:spacing w:line="230" w:lineRule="auto" w:before="3"/>
                                    <w:ind w:left="69"/>
                                    <w:rPr>
                                      <w:sz w:val="15"/>
                                    </w:rPr>
                                  </w:pPr>
                                  <w:r>
                                    <w:rPr>
                                      <w:color w:val="231F20"/>
                                      <w:spacing w:val="-4"/>
                                      <w:sz w:val="15"/>
                                    </w:rPr>
                                    <w:t>Taxanes</w:t>
                                  </w:r>
                                  <w:r>
                                    <w:rPr>
                                      <w:color w:val="231F20"/>
                                      <w:spacing w:val="-5"/>
                                      <w:sz w:val="15"/>
                                    </w:rPr>
                                    <w:t> </w:t>
                                  </w:r>
                                  <w:r>
                                    <w:rPr>
                                      <w:color w:val="231F20"/>
                                      <w:spacing w:val="-4"/>
                                      <w:sz w:val="15"/>
                                    </w:rPr>
                                    <w:t>(paclitaxel,</w:t>
                                  </w:r>
                                  <w:r>
                                    <w:rPr>
                                      <w:color w:val="231F20"/>
                                      <w:spacing w:val="-5"/>
                                      <w:sz w:val="15"/>
                                    </w:rPr>
                                    <w:t> </w:t>
                                  </w:r>
                                  <w:r>
                                    <w:rPr>
                                      <w:color w:val="231F20"/>
                                      <w:spacing w:val="-4"/>
                                      <w:sz w:val="15"/>
                                    </w:rPr>
                                    <w:t>docetaxel) </w:t>
                                  </w:r>
                                  <w:r>
                                    <w:rPr>
                                      <w:color w:val="231F20"/>
                                      <w:spacing w:val="-2"/>
                                      <w:sz w:val="15"/>
                                    </w:rPr>
                                    <w:t>Thalidomide</w:t>
                                  </w:r>
                                </w:p>
                                <w:p>
                                  <w:pPr>
                                    <w:pStyle w:val="TableParagraph"/>
                                    <w:spacing w:line="230" w:lineRule="auto" w:before="1"/>
                                    <w:ind w:left="181" w:right="405" w:hanging="112"/>
                                    <w:rPr>
                                      <w:sz w:val="15"/>
                                    </w:rPr>
                                  </w:pPr>
                                  <w:r>
                                    <w:rPr>
                                      <w:color w:val="231F20"/>
                                      <w:spacing w:val="-2"/>
                                      <w:sz w:val="15"/>
                                    </w:rPr>
                                    <w:t>Tryptophan</w:t>
                                  </w:r>
                                  <w:r>
                                    <w:rPr>
                                      <w:color w:val="231F20"/>
                                      <w:spacing w:val="-10"/>
                                      <w:sz w:val="15"/>
                                    </w:rPr>
                                    <w:t> </w:t>
                                  </w:r>
                                  <w:r>
                                    <w:rPr>
                                      <w:color w:val="231F20"/>
                                      <w:spacing w:val="-2"/>
                                      <w:sz w:val="15"/>
                                    </w:rPr>
                                    <w:t>(eosinophilia- </w:t>
                                  </w:r>
                                  <w:r>
                                    <w:rPr>
                                      <w:color w:val="231F20"/>
                                      <w:sz w:val="15"/>
                                    </w:rPr>
                                    <w:t>myalgia syndrome)</w:t>
                                  </w:r>
                                </w:p>
                                <w:p>
                                  <w:pPr>
                                    <w:pStyle w:val="TableParagraph"/>
                                    <w:spacing w:line="170" w:lineRule="exact"/>
                                    <w:ind w:left="69"/>
                                    <w:rPr>
                                      <w:sz w:val="15"/>
                                    </w:rPr>
                                  </w:pPr>
                                  <w:r>
                                    <w:rPr>
                                      <w:color w:val="231F20"/>
                                      <w:spacing w:val="-2"/>
                                      <w:sz w:val="15"/>
                                    </w:rPr>
                                    <w:t>Vincristine</w:t>
                                  </w:r>
                                </w:p>
                              </w:tc>
                            </w:tr>
                            <w:tr>
                              <w:trPr>
                                <w:trHeight w:val="2008" w:hRule="exact"/>
                              </w:trPr>
                              <w:tc>
                                <w:tcPr>
                                  <w:tcW w:w="2352"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230" w:lineRule="auto" w:before="48"/>
                                    <w:ind w:left="74"/>
                                    <w:rPr>
                                      <w:sz w:val="15"/>
                                    </w:rPr>
                                  </w:pPr>
                                  <w:r>
                                    <w:rPr>
                                      <w:color w:val="231F20"/>
                                      <w:w w:val="115"/>
                                      <w:sz w:val="15"/>
                                    </w:rPr>
                                    <w:t>OCCUPATIONAL OR </w:t>
                                  </w:r>
                                  <w:r>
                                    <w:rPr>
                                      <w:color w:val="231F20"/>
                                      <w:w w:val="110"/>
                                      <w:sz w:val="15"/>
                                    </w:rPr>
                                    <w:t>INDUSTRIAL </w:t>
                                  </w:r>
                                  <w:r>
                                    <w:rPr>
                                      <w:color w:val="231F20"/>
                                      <w:w w:val="110"/>
                                      <w:sz w:val="15"/>
                                    </w:rPr>
                                    <w:t>CHEMICALS</w:t>
                                  </w:r>
                                </w:p>
                                <w:p>
                                  <w:pPr>
                                    <w:pStyle w:val="TableParagraph"/>
                                    <w:spacing w:line="230" w:lineRule="auto" w:before="3"/>
                                    <w:ind w:left="186" w:right="405" w:hanging="112"/>
                                    <w:rPr>
                                      <w:sz w:val="15"/>
                                    </w:rPr>
                                  </w:pPr>
                                  <w:r>
                                    <w:rPr>
                                      <w:color w:val="231F20"/>
                                      <w:spacing w:val="-2"/>
                                      <w:sz w:val="15"/>
                                    </w:rPr>
                                    <w:t>Acrylamide</w:t>
                                  </w:r>
                                  <w:r>
                                    <w:rPr>
                                      <w:color w:val="231F20"/>
                                      <w:spacing w:val="-10"/>
                                      <w:sz w:val="15"/>
                                    </w:rPr>
                                    <w:t> </w:t>
                                  </w:r>
                                  <w:r>
                                    <w:rPr>
                                      <w:color w:val="231F20"/>
                                      <w:spacing w:val="-2"/>
                                      <w:sz w:val="15"/>
                                    </w:rPr>
                                    <w:t>(grouting, flocculation)</w:t>
                                  </w:r>
                                </w:p>
                                <w:p>
                                  <w:pPr>
                                    <w:pStyle w:val="TableParagraph"/>
                                    <w:spacing w:line="230" w:lineRule="auto" w:before="2"/>
                                    <w:ind w:left="74" w:right="88"/>
                                    <w:rPr>
                                      <w:sz w:val="15"/>
                                    </w:rPr>
                                  </w:pPr>
                                  <w:r>
                                    <w:rPr>
                                      <w:color w:val="231F20"/>
                                      <w:sz w:val="15"/>
                                    </w:rPr>
                                    <w:t>Carbon disulfide (solvent) </w:t>
                                  </w:r>
                                  <w:r>
                                    <w:rPr>
                                      <w:color w:val="231F20"/>
                                      <w:spacing w:val="-2"/>
                                      <w:sz w:val="15"/>
                                    </w:rPr>
                                    <w:t>Cyanide</w:t>
                                  </w:r>
                                  <w:r>
                                    <w:rPr>
                                      <w:color w:val="231F20"/>
                                      <w:spacing w:val="80"/>
                                      <w:sz w:val="15"/>
                                    </w:rPr>
                                    <w:t> </w:t>
                                  </w:r>
                                  <w:r>
                                    <w:rPr>
                                      <w:color w:val="231F20"/>
                                      <w:spacing w:val="-2"/>
                                      <w:sz w:val="15"/>
                                    </w:rPr>
                                    <w:t>Dichlorophenoxyacetate Dimethylaminopropionitrite Ethylene</w:t>
                                  </w:r>
                                  <w:r>
                                    <w:rPr>
                                      <w:color w:val="231F20"/>
                                      <w:spacing w:val="-3"/>
                                      <w:sz w:val="15"/>
                                    </w:rPr>
                                    <w:t> </w:t>
                                  </w:r>
                                  <w:r>
                                    <w:rPr>
                                      <w:color w:val="231F20"/>
                                      <w:spacing w:val="-2"/>
                                      <w:sz w:val="15"/>
                                    </w:rPr>
                                    <w:t>oxide</w:t>
                                  </w:r>
                                  <w:r>
                                    <w:rPr>
                                      <w:color w:val="231F20"/>
                                      <w:spacing w:val="-3"/>
                                      <w:sz w:val="15"/>
                                    </w:rPr>
                                    <w:t> </w:t>
                                  </w:r>
                                  <w:r>
                                    <w:rPr>
                                      <w:color w:val="231F20"/>
                                      <w:spacing w:val="-2"/>
                                      <w:sz w:val="15"/>
                                    </w:rPr>
                                    <w:t>(gas</w:t>
                                  </w:r>
                                  <w:r>
                                    <w:rPr>
                                      <w:color w:val="231F20"/>
                                      <w:spacing w:val="-3"/>
                                      <w:sz w:val="15"/>
                                    </w:rPr>
                                    <w:t> </w:t>
                                  </w:r>
                                  <w:r>
                                    <w:rPr>
                                      <w:color w:val="231F20"/>
                                      <w:spacing w:val="-2"/>
                                      <w:sz w:val="15"/>
                                    </w:rPr>
                                    <w:t>sterilization) </w:t>
                                  </w:r>
                                  <w:r>
                                    <w:rPr>
                                      <w:color w:val="231F20"/>
                                      <w:sz w:val="15"/>
                                    </w:rPr>
                                    <w:t>Hexacarbons (glue, solvents) Organophosphates</w:t>
                                  </w:r>
                                  <w:r>
                                    <w:rPr>
                                      <w:color w:val="231F20"/>
                                      <w:spacing w:val="-12"/>
                                      <w:sz w:val="15"/>
                                    </w:rPr>
                                    <w:t> </w:t>
                                  </w:r>
                                  <w:r>
                                    <w:rPr>
                                      <w:color w:val="231F20"/>
                                      <w:sz w:val="15"/>
                                    </w:rPr>
                                    <w:t>(insecticides,</w:t>
                                  </w:r>
                                </w:p>
                                <w:p>
                                  <w:pPr>
                                    <w:pStyle w:val="TableParagraph"/>
                                    <w:spacing w:line="230" w:lineRule="auto" w:before="5"/>
                                    <w:ind w:left="74" w:firstLine="111"/>
                                    <w:rPr>
                                      <w:sz w:val="15"/>
                                    </w:rPr>
                                  </w:pPr>
                                  <w:r>
                                    <w:rPr>
                                      <w:color w:val="231F20"/>
                                      <w:sz w:val="15"/>
                                    </w:rPr>
                                    <w:t>petroleum additive) </w:t>
                                  </w:r>
                                  <w:r>
                                    <w:rPr>
                                      <w:color w:val="231F20"/>
                                      <w:spacing w:val="-2"/>
                                      <w:sz w:val="15"/>
                                    </w:rPr>
                                    <w:t>Polychlorinated</w:t>
                                  </w:r>
                                  <w:r>
                                    <w:rPr>
                                      <w:color w:val="231F20"/>
                                      <w:spacing w:val="-11"/>
                                      <w:sz w:val="15"/>
                                    </w:rPr>
                                    <w:t> </w:t>
                                  </w:r>
                                  <w:r>
                                    <w:rPr>
                                      <w:color w:val="231F20"/>
                                      <w:spacing w:val="-2"/>
                                      <w:sz w:val="15"/>
                                    </w:rPr>
                                    <w:t>biphenyls Tetrachlorbiphenyl Trichloroethylene</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608"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0"/>
                                      <w:sz w:val="15"/>
                                    </w:rPr>
                                    <w:t>METABOLIC</w:t>
                                  </w:r>
                                  <w:r>
                                    <w:rPr>
                                      <w:color w:val="231F20"/>
                                      <w:spacing w:val="17"/>
                                      <w:w w:val="115"/>
                                      <w:sz w:val="15"/>
                                    </w:rPr>
                                    <w:t> </w:t>
                                  </w:r>
                                  <w:r>
                                    <w:rPr>
                                      <w:color w:val="231F20"/>
                                      <w:spacing w:val="-2"/>
                                      <w:w w:val="115"/>
                                      <w:sz w:val="15"/>
                                    </w:rPr>
                                    <w:t>DISORDERS</w:t>
                                  </w:r>
                                </w:p>
                                <w:p>
                                  <w:pPr>
                                    <w:pStyle w:val="TableParagraph"/>
                                    <w:spacing w:line="230" w:lineRule="auto" w:before="3"/>
                                    <w:ind w:left="69" w:right="1126"/>
                                    <w:rPr>
                                      <w:sz w:val="15"/>
                                    </w:rPr>
                                  </w:pPr>
                                  <w:r>
                                    <w:rPr>
                                      <w:color w:val="231F20"/>
                                      <w:sz w:val="15"/>
                                    </w:rPr>
                                    <w:t>Fabry disease Krabbe disease </w:t>
                                  </w:r>
                                  <w:r>
                                    <w:rPr>
                                      <w:color w:val="231F20"/>
                                      <w:spacing w:val="-2"/>
                                      <w:sz w:val="15"/>
                                    </w:rPr>
                                    <w:t>Leukodystrophies Porphyria</w:t>
                                  </w:r>
                                  <w:r>
                                    <w:rPr>
                                      <w:color w:val="231F20"/>
                                      <w:spacing w:val="40"/>
                                      <w:sz w:val="15"/>
                                    </w:rPr>
                                    <w:t> </w:t>
                                  </w:r>
                                  <w:r>
                                    <w:rPr>
                                      <w:color w:val="231F20"/>
                                      <w:sz w:val="15"/>
                                    </w:rPr>
                                    <w:t>Tangier disease </w:t>
                                  </w:r>
                                  <w:r>
                                    <w:rPr>
                                      <w:color w:val="231F20"/>
                                      <w:spacing w:val="-2"/>
                                      <w:sz w:val="15"/>
                                    </w:rPr>
                                    <w:t>Tyrosinemia Uremia</w:t>
                                  </w:r>
                                </w:p>
                              </w:tc>
                            </w:tr>
                            <w:tr>
                              <w:trPr>
                                <w:trHeight w:val="832" w:hRule="exact"/>
                              </w:trPr>
                              <w:tc>
                                <w:tcPr>
                                  <w:tcW w:w="2352" w:type="dxa"/>
                                  <w:gridSpan w:val="2"/>
                                  <w:vMerge w:val="restart"/>
                                  <w:tcBorders>
                                    <w:top w:val="single" w:sz="4" w:space="0" w:color="FFFFFF"/>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DRUGS</w:t>
                                  </w:r>
                                </w:p>
                                <w:p>
                                  <w:pPr>
                                    <w:pStyle w:val="TableParagraph"/>
                                    <w:spacing w:line="230" w:lineRule="auto" w:before="3"/>
                                    <w:ind w:left="74" w:right="1073"/>
                                    <w:rPr>
                                      <w:sz w:val="15"/>
                                    </w:rPr>
                                  </w:pPr>
                                  <w:r>
                                    <w:rPr>
                                      <w:color w:val="231F20"/>
                                      <w:spacing w:val="-2"/>
                                      <w:sz w:val="15"/>
                                    </w:rPr>
                                    <w:t>Amiodarone Chloramphenicol Chloroquine Cisplatin Colchicine Dapsone Ethambutol Ethanol Fluoroquinolones </w:t>
                                  </w:r>
                                  <w:r>
                                    <w:rPr>
                                      <w:color w:val="231F20"/>
                                      <w:spacing w:val="-4"/>
                                      <w:sz w:val="15"/>
                                    </w:rPr>
                                    <w:t>Gold</w:t>
                                  </w:r>
                                </w:p>
                                <w:p>
                                  <w:pPr>
                                    <w:pStyle w:val="TableParagraph"/>
                                    <w:spacing w:line="230" w:lineRule="auto" w:before="8"/>
                                    <w:ind w:left="74" w:right="1292"/>
                                    <w:rPr>
                                      <w:sz w:val="15"/>
                                    </w:rPr>
                                  </w:pPr>
                                  <w:r>
                                    <w:rPr>
                                      <w:color w:val="231F20"/>
                                      <w:spacing w:val="-2"/>
                                      <w:sz w:val="15"/>
                                    </w:rPr>
                                    <w:t>Hydralazine Isoniazid Metronidazole</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1615" w:hRule="exact"/>
                              </w:trPr>
                              <w:tc>
                                <w:tcPr>
                                  <w:tcW w:w="2352" w:type="dxa"/>
                                  <w:gridSpan w:val="2"/>
                                  <w:vMerge/>
                                  <w:tcBorders>
                                    <w:top w:val="nil"/>
                                    <w:left w:val="nil"/>
                                    <w:bottom w:val="single" w:sz="8" w:space="0" w:color="231F20"/>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8" w:space="0" w:color="231F20"/>
                                    <w:right w:val="nil"/>
                                  </w:tcBorders>
                                  <w:shd w:val="clear" w:color="auto" w:fill="E8F5F1"/>
                                </w:tcPr>
                                <w:p>
                                  <w:pPr>
                                    <w:pStyle w:val="TableParagraph"/>
                                    <w:spacing w:line="230" w:lineRule="auto" w:before="48"/>
                                    <w:ind w:left="69" w:right="225"/>
                                    <w:rPr>
                                      <w:sz w:val="15"/>
                                    </w:rPr>
                                  </w:pPr>
                                  <w:r>
                                    <w:rPr>
                                      <w:color w:val="231F20"/>
                                      <w:w w:val="115"/>
                                      <w:sz w:val="15"/>
                                    </w:rPr>
                                    <w:t>BIOLOGIC</w:t>
                                  </w:r>
                                  <w:r>
                                    <w:rPr>
                                      <w:color w:val="231F20"/>
                                      <w:spacing w:val="-13"/>
                                      <w:w w:val="115"/>
                                      <w:sz w:val="15"/>
                                    </w:rPr>
                                    <w:t> </w:t>
                                  </w:r>
                                  <w:r>
                                    <w:rPr>
                                      <w:color w:val="231F20"/>
                                      <w:w w:val="115"/>
                                      <w:sz w:val="15"/>
                                    </w:rPr>
                                    <w:t>AND</w:t>
                                  </w:r>
                                  <w:r>
                                    <w:rPr>
                                      <w:color w:val="231F20"/>
                                      <w:spacing w:val="-13"/>
                                      <w:w w:val="115"/>
                                      <w:sz w:val="15"/>
                                    </w:rPr>
                                    <w:t> </w:t>
                                  </w:r>
                                  <w:r>
                                    <w:rPr>
                                      <w:color w:val="231F20"/>
                                      <w:w w:val="115"/>
                                      <w:sz w:val="15"/>
                                    </w:rPr>
                                    <w:t>INFECTIOUS </w:t>
                                  </w:r>
                                  <w:r>
                                    <w:rPr>
                                      <w:color w:val="231F20"/>
                                      <w:spacing w:val="-2"/>
                                      <w:w w:val="115"/>
                                      <w:sz w:val="15"/>
                                    </w:rPr>
                                    <w:t>NEUROPATHIES</w:t>
                                  </w:r>
                                </w:p>
                                <w:p>
                                  <w:pPr>
                                    <w:pStyle w:val="TableParagraph"/>
                                    <w:spacing w:line="230" w:lineRule="auto" w:before="3"/>
                                    <w:ind w:left="69" w:right="1292"/>
                                    <w:rPr>
                                      <w:sz w:val="15"/>
                                    </w:rPr>
                                  </w:pPr>
                                  <w:r>
                                    <w:rPr>
                                      <w:color w:val="231F20"/>
                                      <w:spacing w:val="-2"/>
                                      <w:sz w:val="15"/>
                                    </w:rPr>
                                    <w:t>Diphtheria Herpesviruses </w:t>
                                  </w:r>
                                  <w:r>
                                    <w:rPr>
                                      <w:color w:val="231F20"/>
                                      <w:spacing w:val="-4"/>
                                      <w:sz w:val="15"/>
                                    </w:rPr>
                                    <w:t>HIV</w:t>
                                  </w:r>
                                </w:p>
                                <w:p>
                                  <w:pPr>
                                    <w:pStyle w:val="TableParagraph"/>
                                    <w:spacing w:line="230" w:lineRule="auto" w:before="3"/>
                                    <w:ind w:left="69" w:right="1376"/>
                                    <w:rPr>
                                      <w:sz w:val="15"/>
                                    </w:rPr>
                                  </w:pPr>
                                  <w:r>
                                    <w:rPr>
                                      <w:color w:val="231F20"/>
                                      <w:spacing w:val="-2"/>
                                      <w:sz w:val="15"/>
                                    </w:rPr>
                                    <w:t>Leprosy</w:t>
                                  </w:r>
                                  <w:r>
                                    <w:rPr>
                                      <w:color w:val="231F20"/>
                                      <w:spacing w:val="40"/>
                                      <w:sz w:val="15"/>
                                    </w:rPr>
                                    <w:t> </w:t>
                                  </w:r>
                                  <w:r>
                                    <w:rPr>
                                      <w:color w:val="231F20"/>
                                      <w:sz w:val="15"/>
                                    </w:rPr>
                                    <w:t>Lyme</w:t>
                                  </w:r>
                                  <w:r>
                                    <w:rPr>
                                      <w:color w:val="231F20"/>
                                      <w:spacing w:val="-12"/>
                                      <w:sz w:val="15"/>
                                    </w:rPr>
                                    <w:t> </w:t>
                                  </w:r>
                                  <w:r>
                                    <w:rPr>
                                      <w:color w:val="231F20"/>
                                      <w:sz w:val="15"/>
                                    </w:rPr>
                                    <w:t>disease </w:t>
                                  </w:r>
                                  <w:r>
                                    <w:rPr>
                                      <w:color w:val="231F20"/>
                                      <w:spacing w:val="-2"/>
                                      <w:sz w:val="15"/>
                                    </w:rPr>
                                    <w:t>Rabies</w:t>
                                  </w:r>
                                </w:p>
                                <w:p>
                                  <w:pPr>
                                    <w:pStyle w:val="TableParagraph"/>
                                    <w:spacing w:line="171" w:lineRule="exact"/>
                                    <w:ind w:left="69"/>
                                    <w:rPr>
                                      <w:sz w:val="15"/>
                                    </w:rPr>
                                  </w:pPr>
                                  <w:r>
                                    <w:rPr>
                                      <w:color w:val="231F20"/>
                                      <w:sz w:val="15"/>
                                    </w:rPr>
                                    <w:t>West</w:t>
                                  </w:r>
                                  <w:r>
                                    <w:rPr>
                                      <w:color w:val="231F20"/>
                                      <w:spacing w:val="6"/>
                                      <w:sz w:val="15"/>
                                    </w:rPr>
                                    <w:t> </w:t>
                                  </w:r>
                                  <w:r>
                                    <w:rPr>
                                      <w:color w:val="231F20"/>
                                      <w:sz w:val="15"/>
                                    </w:rPr>
                                    <w:t>Nile</w:t>
                                  </w:r>
                                  <w:r>
                                    <w:rPr>
                                      <w:color w:val="231F20"/>
                                      <w:spacing w:val="7"/>
                                      <w:sz w:val="15"/>
                                    </w:rPr>
                                    <w:t> </w:t>
                                  </w:r>
                                  <w:r>
                                    <w:rPr>
                                      <w:color w:val="231F20"/>
                                      <w:spacing w:val="-2"/>
                                      <w:sz w:val="15"/>
                                    </w:rPr>
                                    <w:t>virus</w:t>
                                  </w:r>
                                </w:p>
                              </w:tc>
                            </w:tr>
                          </w:tbl>
                          <w:p>
                            <w:pPr>
                              <w:pStyle w:val="BodyText"/>
                            </w:pPr>
                          </w:p>
                        </w:txbxContent>
                      </wps:txbx>
                      <wps:bodyPr wrap="square" lIns="0" tIns="0" rIns="0" bIns="0" rtlCol="0">
                        <a:noAutofit/>
                      </wps:bodyPr>
                    </wps:wsp>
                  </a:graphicData>
                </a:graphic>
              </wp:inline>
            </w:drawing>
          </mc:Choice>
          <mc:Fallback>
            <w:pict>
              <v:shape style="width:235.15pt;height:328.1pt;mso-position-horizontal-relative:char;mso-position-vertical-relative:line" type="#_x0000_t202" id="docshape845" filled="false" stroked="false">
                <w10:anchorlock/>
                <v:textbox inset="0,0,0,0">
                  <w:txbxContent>
                    <w:tbl>
                      <w:tblPr>
                        <w:tblW w:w="0" w:type="auto"/>
                        <w:jc w:val="left"/>
                        <w:tblInd w:w="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1204"/>
                        <w:gridCol w:w="2352"/>
                      </w:tblGrid>
                      <w:tr>
                        <w:trPr>
                          <w:trHeight w:val="387"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614-</w:t>
                            </w:r>
                            <w:r>
                              <w:rPr>
                                <w:b/>
                                <w:color w:val="FFFFFF"/>
                                <w:spacing w:val="-10"/>
                                <w:w w:val="105"/>
                                <w:sz w:val="16"/>
                              </w:rPr>
                              <w:t>1</w:t>
                            </w:r>
                          </w:p>
                        </w:tc>
                        <w:tc>
                          <w:tcPr>
                            <w:tcW w:w="3556" w:type="dxa"/>
                            <w:gridSpan w:val="2"/>
                            <w:tcBorders>
                              <w:top w:val="nil"/>
                              <w:bottom w:val="nil"/>
                              <w:right w:val="nil"/>
                            </w:tcBorders>
                            <w:shd w:val="clear" w:color="auto" w:fill="231F20"/>
                          </w:tcPr>
                          <w:p>
                            <w:pPr>
                              <w:pStyle w:val="TableParagraph"/>
                              <w:spacing w:before="89"/>
                              <w:ind w:left="73"/>
                              <w:rPr>
                                <w:sz w:val="16"/>
                              </w:rPr>
                            </w:pPr>
                            <w:r>
                              <w:rPr>
                                <w:color w:val="FFFFFF"/>
                                <w:w w:val="105"/>
                                <w:sz w:val="16"/>
                              </w:rPr>
                              <w:t>Toxic</w:t>
                            </w:r>
                            <w:r>
                              <w:rPr>
                                <w:color w:val="FFFFFF"/>
                                <w:spacing w:val="12"/>
                                <w:w w:val="105"/>
                                <w:sz w:val="16"/>
                              </w:rPr>
                              <w:t> </w:t>
                            </w:r>
                            <w:r>
                              <w:rPr>
                                <w:color w:val="FFFFFF"/>
                                <w:w w:val="105"/>
                                <w:sz w:val="16"/>
                              </w:rPr>
                              <w:t>and</w:t>
                            </w:r>
                            <w:r>
                              <w:rPr>
                                <w:color w:val="FFFFFF"/>
                                <w:spacing w:val="13"/>
                                <w:w w:val="105"/>
                                <w:sz w:val="16"/>
                              </w:rPr>
                              <w:t> </w:t>
                            </w:r>
                            <w:r>
                              <w:rPr>
                                <w:color w:val="FFFFFF"/>
                                <w:w w:val="105"/>
                                <w:sz w:val="16"/>
                              </w:rPr>
                              <w:t>Metabolic</w:t>
                            </w:r>
                            <w:r>
                              <w:rPr>
                                <w:color w:val="FFFFFF"/>
                                <w:spacing w:val="13"/>
                                <w:w w:val="105"/>
                                <w:sz w:val="16"/>
                              </w:rPr>
                              <w:t> </w:t>
                            </w:r>
                            <w:r>
                              <w:rPr>
                                <w:color w:val="FFFFFF"/>
                                <w:spacing w:val="-2"/>
                                <w:w w:val="105"/>
                                <w:sz w:val="16"/>
                              </w:rPr>
                              <w:t>Neuropathies</w:t>
                            </w:r>
                          </w:p>
                        </w:tc>
                      </w:tr>
                      <w:tr>
                        <w:trPr>
                          <w:trHeight w:val="1090" w:hRule="exact"/>
                        </w:trPr>
                        <w:tc>
                          <w:tcPr>
                            <w:tcW w:w="2352" w:type="dxa"/>
                            <w:gridSpan w:val="2"/>
                            <w:tcBorders>
                              <w:top w:val="nil"/>
                              <w:left w:val="nil"/>
                              <w:bottom w:val="single" w:sz="4" w:space="0" w:color="FFFFFF"/>
                              <w:right w:val="single" w:sz="4" w:space="0" w:color="231F20"/>
                            </w:tcBorders>
                            <w:shd w:val="clear" w:color="auto" w:fill="E8F5F1"/>
                          </w:tcPr>
                          <w:p>
                            <w:pPr>
                              <w:pStyle w:val="TableParagraph"/>
                              <w:spacing w:line="172" w:lineRule="exact" w:before="34"/>
                              <w:ind w:left="74"/>
                              <w:rPr>
                                <w:sz w:val="15"/>
                              </w:rPr>
                            </w:pPr>
                            <w:r>
                              <w:rPr>
                                <w:color w:val="231F20"/>
                                <w:spacing w:val="-2"/>
                                <w:w w:val="115"/>
                                <w:sz w:val="15"/>
                              </w:rPr>
                              <w:t>METALS</w:t>
                            </w:r>
                          </w:p>
                          <w:p>
                            <w:pPr>
                              <w:pStyle w:val="TableParagraph"/>
                              <w:spacing w:line="230" w:lineRule="auto" w:before="3"/>
                              <w:ind w:left="74" w:right="132"/>
                              <w:rPr>
                                <w:sz w:val="15"/>
                              </w:rPr>
                            </w:pPr>
                            <w:r>
                              <w:rPr>
                                <w:color w:val="231F20"/>
                                <w:spacing w:val="-4"/>
                                <w:sz w:val="15"/>
                              </w:rPr>
                              <w:t>Arsenic (insecticide, </w:t>
                            </w:r>
                            <w:r>
                              <w:rPr>
                                <w:color w:val="231F20"/>
                                <w:spacing w:val="-4"/>
                                <w:sz w:val="15"/>
                              </w:rPr>
                              <w:t>herbicide) Lead</w:t>
                            </w:r>
                            <w:r>
                              <w:rPr>
                                <w:color w:val="231F20"/>
                                <w:spacing w:val="-7"/>
                                <w:sz w:val="15"/>
                              </w:rPr>
                              <w:t> </w:t>
                            </w:r>
                            <w:r>
                              <w:rPr>
                                <w:color w:val="231F20"/>
                                <w:spacing w:val="-4"/>
                                <w:sz w:val="15"/>
                              </w:rPr>
                              <w:t>(paint,</w:t>
                            </w:r>
                            <w:r>
                              <w:rPr>
                                <w:color w:val="231F20"/>
                                <w:spacing w:val="-7"/>
                                <w:sz w:val="15"/>
                              </w:rPr>
                              <w:t> </w:t>
                            </w:r>
                            <w:r>
                              <w:rPr>
                                <w:color w:val="231F20"/>
                                <w:spacing w:val="-4"/>
                                <w:sz w:val="15"/>
                              </w:rPr>
                              <w:t>batteries,</w:t>
                            </w:r>
                            <w:r>
                              <w:rPr>
                                <w:color w:val="231F20"/>
                                <w:spacing w:val="-7"/>
                                <w:sz w:val="15"/>
                              </w:rPr>
                              <w:t> </w:t>
                            </w:r>
                            <w:r>
                              <w:rPr>
                                <w:color w:val="231F20"/>
                                <w:spacing w:val="-4"/>
                                <w:sz w:val="15"/>
                              </w:rPr>
                              <w:t>pottery) </w:t>
                            </w:r>
                            <w:r>
                              <w:rPr>
                                <w:color w:val="231F20"/>
                                <w:sz w:val="15"/>
                              </w:rPr>
                              <w:t>Mercury (metallic, vapor) Thallium (rodenticides)</w:t>
                            </w:r>
                          </w:p>
                          <w:p>
                            <w:pPr>
                              <w:pStyle w:val="TableParagraph"/>
                              <w:spacing w:line="171" w:lineRule="exact"/>
                              <w:ind w:left="74"/>
                              <w:rPr>
                                <w:sz w:val="15"/>
                              </w:rPr>
                            </w:pPr>
                            <w:r>
                              <w:rPr>
                                <w:color w:val="231F20"/>
                                <w:spacing w:val="-4"/>
                                <w:w w:val="105"/>
                                <w:sz w:val="15"/>
                              </w:rPr>
                              <w:t>Gold</w:t>
                            </w: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230" w:lineRule="auto" w:before="29"/>
                              <w:ind w:left="69" w:right="1292"/>
                              <w:rPr>
                                <w:sz w:val="15"/>
                              </w:rPr>
                            </w:pPr>
                            <w:r>
                              <w:rPr>
                                <w:color w:val="231F20"/>
                                <w:spacing w:val="-4"/>
                                <w:sz w:val="15"/>
                              </w:rPr>
                              <w:t>Nitrofurantoin </w:t>
                            </w:r>
                            <w:r>
                              <w:rPr>
                                <w:color w:val="231F20"/>
                                <w:sz w:val="15"/>
                              </w:rPr>
                              <w:t>Nitrous</w:t>
                            </w:r>
                            <w:r>
                              <w:rPr>
                                <w:color w:val="231F20"/>
                                <w:spacing w:val="5"/>
                                <w:sz w:val="15"/>
                              </w:rPr>
                              <w:t> </w:t>
                            </w:r>
                            <w:r>
                              <w:rPr>
                                <w:color w:val="231F20"/>
                                <w:spacing w:val="-2"/>
                                <w:sz w:val="15"/>
                              </w:rPr>
                              <w:t>oxide</w:t>
                            </w:r>
                          </w:p>
                          <w:p>
                            <w:pPr>
                              <w:pStyle w:val="TableParagraph"/>
                              <w:spacing w:line="230" w:lineRule="auto" w:before="1"/>
                              <w:ind w:left="181" w:right="132" w:hanging="112"/>
                              <w:rPr>
                                <w:sz w:val="15"/>
                              </w:rPr>
                            </w:pPr>
                            <w:r>
                              <w:rPr>
                                <w:color w:val="231F20"/>
                                <w:sz w:val="15"/>
                              </w:rPr>
                              <w:t>Nucleosides (antiretroviral </w:t>
                            </w:r>
                            <w:r>
                              <w:rPr>
                                <w:color w:val="231F20"/>
                                <w:spacing w:val="-2"/>
                                <w:sz w:val="15"/>
                              </w:rPr>
                              <w:t>agents dideoxycytidine </w:t>
                            </w:r>
                            <w:r>
                              <w:rPr>
                                <w:color w:val="231F20"/>
                                <w:spacing w:val="-2"/>
                                <w:sz w:val="15"/>
                              </w:rPr>
                              <w:t>[ddC], </w:t>
                            </w:r>
                            <w:r>
                              <w:rPr>
                                <w:color w:val="231F20"/>
                                <w:sz w:val="15"/>
                              </w:rPr>
                              <w:t>didanosine</w:t>
                            </w:r>
                            <w:r>
                              <w:rPr>
                                <w:color w:val="231F20"/>
                                <w:spacing w:val="-11"/>
                                <w:sz w:val="15"/>
                              </w:rPr>
                              <w:t> </w:t>
                            </w:r>
                            <w:r>
                              <w:rPr>
                                <w:color w:val="231F20"/>
                                <w:sz w:val="15"/>
                              </w:rPr>
                              <w:t>[ddI],</w:t>
                            </w:r>
                            <w:r>
                              <w:rPr>
                                <w:color w:val="231F20"/>
                                <w:spacing w:val="-11"/>
                                <w:sz w:val="15"/>
                              </w:rPr>
                              <w:t> </w:t>
                            </w:r>
                            <w:r>
                              <w:rPr>
                                <w:color w:val="231F20"/>
                                <w:sz w:val="15"/>
                              </w:rPr>
                              <w:t>d4T,</w:t>
                            </w:r>
                            <w:r>
                              <w:rPr>
                                <w:color w:val="231F20"/>
                                <w:spacing w:val="-11"/>
                                <w:sz w:val="15"/>
                              </w:rPr>
                              <w:t> </w:t>
                            </w:r>
                            <w:r>
                              <w:rPr>
                                <w:color w:val="231F20"/>
                                <w:spacing w:val="-2"/>
                                <w:sz w:val="15"/>
                              </w:rPr>
                              <w:t>others)</w:t>
                            </w:r>
                          </w:p>
                          <w:p>
                            <w:pPr>
                              <w:pStyle w:val="TableParagraph"/>
                              <w:spacing w:line="230" w:lineRule="auto" w:before="3"/>
                              <w:ind w:left="69" w:right="1401"/>
                              <w:jc w:val="both"/>
                              <w:rPr>
                                <w:sz w:val="15"/>
                              </w:rPr>
                            </w:pPr>
                            <w:r>
                              <w:rPr>
                                <w:color w:val="231F20"/>
                                <w:spacing w:val="-4"/>
                                <w:sz w:val="15"/>
                              </w:rPr>
                              <w:t>Penicillamine </w:t>
                            </w:r>
                            <w:r>
                              <w:rPr>
                                <w:color w:val="231F20"/>
                                <w:spacing w:val="-2"/>
                                <w:sz w:val="15"/>
                              </w:rPr>
                              <w:t>Pentamidine Phenytoin</w:t>
                            </w:r>
                          </w:p>
                          <w:p>
                            <w:pPr>
                              <w:pStyle w:val="TableParagraph"/>
                              <w:spacing w:line="230" w:lineRule="auto" w:before="2"/>
                              <w:ind w:left="69" w:right="547"/>
                              <w:rPr>
                                <w:sz w:val="15"/>
                              </w:rPr>
                            </w:pPr>
                            <w:r>
                              <w:rPr>
                                <w:color w:val="231F20"/>
                                <w:spacing w:val="-4"/>
                                <w:sz w:val="15"/>
                              </w:rPr>
                              <w:t>Pyridoxine </w:t>
                            </w:r>
                            <w:r>
                              <w:rPr>
                                <w:color w:val="231F20"/>
                                <w:spacing w:val="-4"/>
                                <w:sz w:val="15"/>
                              </w:rPr>
                              <w:t>(excessive) </w:t>
                            </w:r>
                            <w:r>
                              <w:rPr>
                                <w:color w:val="231F20"/>
                                <w:spacing w:val="-2"/>
                                <w:sz w:val="15"/>
                              </w:rPr>
                              <w:t>Statins</w:t>
                            </w:r>
                          </w:p>
                          <w:p>
                            <w:pPr>
                              <w:pStyle w:val="TableParagraph"/>
                              <w:spacing w:line="230" w:lineRule="auto" w:before="1"/>
                              <w:ind w:left="69" w:right="1443"/>
                              <w:rPr>
                                <w:sz w:val="15"/>
                              </w:rPr>
                            </w:pPr>
                            <w:r>
                              <w:rPr>
                                <w:color w:val="231F20"/>
                                <w:spacing w:val="-2"/>
                                <w:sz w:val="15"/>
                              </w:rPr>
                              <w:t>Stilbamidine Suramin Tacrolimus</w:t>
                            </w:r>
                          </w:p>
                          <w:p>
                            <w:pPr>
                              <w:pStyle w:val="TableParagraph"/>
                              <w:spacing w:line="230" w:lineRule="auto" w:before="3"/>
                              <w:ind w:left="69"/>
                              <w:rPr>
                                <w:sz w:val="15"/>
                              </w:rPr>
                            </w:pPr>
                            <w:r>
                              <w:rPr>
                                <w:color w:val="231F20"/>
                                <w:spacing w:val="-4"/>
                                <w:sz w:val="15"/>
                              </w:rPr>
                              <w:t>Taxanes</w:t>
                            </w:r>
                            <w:r>
                              <w:rPr>
                                <w:color w:val="231F20"/>
                                <w:spacing w:val="-5"/>
                                <w:sz w:val="15"/>
                              </w:rPr>
                              <w:t> </w:t>
                            </w:r>
                            <w:r>
                              <w:rPr>
                                <w:color w:val="231F20"/>
                                <w:spacing w:val="-4"/>
                                <w:sz w:val="15"/>
                              </w:rPr>
                              <w:t>(paclitaxel,</w:t>
                            </w:r>
                            <w:r>
                              <w:rPr>
                                <w:color w:val="231F20"/>
                                <w:spacing w:val="-5"/>
                                <w:sz w:val="15"/>
                              </w:rPr>
                              <w:t> </w:t>
                            </w:r>
                            <w:r>
                              <w:rPr>
                                <w:color w:val="231F20"/>
                                <w:spacing w:val="-4"/>
                                <w:sz w:val="15"/>
                              </w:rPr>
                              <w:t>docetaxel) </w:t>
                            </w:r>
                            <w:r>
                              <w:rPr>
                                <w:color w:val="231F20"/>
                                <w:spacing w:val="-2"/>
                                <w:sz w:val="15"/>
                              </w:rPr>
                              <w:t>Thalidomide</w:t>
                            </w:r>
                          </w:p>
                          <w:p>
                            <w:pPr>
                              <w:pStyle w:val="TableParagraph"/>
                              <w:spacing w:line="230" w:lineRule="auto" w:before="1"/>
                              <w:ind w:left="181" w:right="405" w:hanging="112"/>
                              <w:rPr>
                                <w:sz w:val="15"/>
                              </w:rPr>
                            </w:pPr>
                            <w:r>
                              <w:rPr>
                                <w:color w:val="231F20"/>
                                <w:spacing w:val="-2"/>
                                <w:sz w:val="15"/>
                              </w:rPr>
                              <w:t>Tryptophan</w:t>
                            </w:r>
                            <w:r>
                              <w:rPr>
                                <w:color w:val="231F20"/>
                                <w:spacing w:val="-10"/>
                                <w:sz w:val="15"/>
                              </w:rPr>
                              <w:t> </w:t>
                            </w:r>
                            <w:r>
                              <w:rPr>
                                <w:color w:val="231F20"/>
                                <w:spacing w:val="-2"/>
                                <w:sz w:val="15"/>
                              </w:rPr>
                              <w:t>(eosinophilia- </w:t>
                            </w:r>
                            <w:r>
                              <w:rPr>
                                <w:color w:val="231F20"/>
                                <w:sz w:val="15"/>
                              </w:rPr>
                              <w:t>myalgia syndrome)</w:t>
                            </w:r>
                          </w:p>
                          <w:p>
                            <w:pPr>
                              <w:pStyle w:val="TableParagraph"/>
                              <w:spacing w:line="170" w:lineRule="exact"/>
                              <w:ind w:left="69"/>
                              <w:rPr>
                                <w:sz w:val="15"/>
                              </w:rPr>
                            </w:pPr>
                            <w:r>
                              <w:rPr>
                                <w:color w:val="231F20"/>
                                <w:spacing w:val="-2"/>
                                <w:sz w:val="15"/>
                              </w:rPr>
                              <w:t>Vincristine</w:t>
                            </w:r>
                          </w:p>
                        </w:tc>
                      </w:tr>
                      <w:tr>
                        <w:trPr>
                          <w:trHeight w:val="2008" w:hRule="exact"/>
                        </w:trPr>
                        <w:tc>
                          <w:tcPr>
                            <w:tcW w:w="2352"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230" w:lineRule="auto" w:before="48"/>
                              <w:ind w:left="74"/>
                              <w:rPr>
                                <w:sz w:val="15"/>
                              </w:rPr>
                            </w:pPr>
                            <w:r>
                              <w:rPr>
                                <w:color w:val="231F20"/>
                                <w:w w:val="115"/>
                                <w:sz w:val="15"/>
                              </w:rPr>
                              <w:t>OCCUPATIONAL OR </w:t>
                            </w:r>
                            <w:r>
                              <w:rPr>
                                <w:color w:val="231F20"/>
                                <w:w w:val="110"/>
                                <w:sz w:val="15"/>
                              </w:rPr>
                              <w:t>INDUSTRIAL </w:t>
                            </w:r>
                            <w:r>
                              <w:rPr>
                                <w:color w:val="231F20"/>
                                <w:w w:val="110"/>
                                <w:sz w:val="15"/>
                              </w:rPr>
                              <w:t>CHEMICALS</w:t>
                            </w:r>
                          </w:p>
                          <w:p>
                            <w:pPr>
                              <w:pStyle w:val="TableParagraph"/>
                              <w:spacing w:line="230" w:lineRule="auto" w:before="3"/>
                              <w:ind w:left="186" w:right="405" w:hanging="112"/>
                              <w:rPr>
                                <w:sz w:val="15"/>
                              </w:rPr>
                            </w:pPr>
                            <w:r>
                              <w:rPr>
                                <w:color w:val="231F20"/>
                                <w:spacing w:val="-2"/>
                                <w:sz w:val="15"/>
                              </w:rPr>
                              <w:t>Acrylamide</w:t>
                            </w:r>
                            <w:r>
                              <w:rPr>
                                <w:color w:val="231F20"/>
                                <w:spacing w:val="-10"/>
                                <w:sz w:val="15"/>
                              </w:rPr>
                              <w:t> </w:t>
                            </w:r>
                            <w:r>
                              <w:rPr>
                                <w:color w:val="231F20"/>
                                <w:spacing w:val="-2"/>
                                <w:sz w:val="15"/>
                              </w:rPr>
                              <w:t>(grouting, flocculation)</w:t>
                            </w:r>
                          </w:p>
                          <w:p>
                            <w:pPr>
                              <w:pStyle w:val="TableParagraph"/>
                              <w:spacing w:line="230" w:lineRule="auto" w:before="2"/>
                              <w:ind w:left="74" w:right="88"/>
                              <w:rPr>
                                <w:sz w:val="15"/>
                              </w:rPr>
                            </w:pPr>
                            <w:r>
                              <w:rPr>
                                <w:color w:val="231F20"/>
                                <w:sz w:val="15"/>
                              </w:rPr>
                              <w:t>Carbon disulfide (solvent) </w:t>
                            </w:r>
                            <w:r>
                              <w:rPr>
                                <w:color w:val="231F20"/>
                                <w:spacing w:val="-2"/>
                                <w:sz w:val="15"/>
                              </w:rPr>
                              <w:t>Cyanide</w:t>
                            </w:r>
                            <w:r>
                              <w:rPr>
                                <w:color w:val="231F20"/>
                                <w:spacing w:val="80"/>
                                <w:sz w:val="15"/>
                              </w:rPr>
                              <w:t> </w:t>
                            </w:r>
                            <w:r>
                              <w:rPr>
                                <w:color w:val="231F20"/>
                                <w:spacing w:val="-2"/>
                                <w:sz w:val="15"/>
                              </w:rPr>
                              <w:t>Dichlorophenoxyacetate Dimethylaminopropionitrite Ethylene</w:t>
                            </w:r>
                            <w:r>
                              <w:rPr>
                                <w:color w:val="231F20"/>
                                <w:spacing w:val="-3"/>
                                <w:sz w:val="15"/>
                              </w:rPr>
                              <w:t> </w:t>
                            </w:r>
                            <w:r>
                              <w:rPr>
                                <w:color w:val="231F20"/>
                                <w:spacing w:val="-2"/>
                                <w:sz w:val="15"/>
                              </w:rPr>
                              <w:t>oxide</w:t>
                            </w:r>
                            <w:r>
                              <w:rPr>
                                <w:color w:val="231F20"/>
                                <w:spacing w:val="-3"/>
                                <w:sz w:val="15"/>
                              </w:rPr>
                              <w:t> </w:t>
                            </w:r>
                            <w:r>
                              <w:rPr>
                                <w:color w:val="231F20"/>
                                <w:spacing w:val="-2"/>
                                <w:sz w:val="15"/>
                              </w:rPr>
                              <w:t>(gas</w:t>
                            </w:r>
                            <w:r>
                              <w:rPr>
                                <w:color w:val="231F20"/>
                                <w:spacing w:val="-3"/>
                                <w:sz w:val="15"/>
                              </w:rPr>
                              <w:t> </w:t>
                            </w:r>
                            <w:r>
                              <w:rPr>
                                <w:color w:val="231F20"/>
                                <w:spacing w:val="-2"/>
                                <w:sz w:val="15"/>
                              </w:rPr>
                              <w:t>sterilization) </w:t>
                            </w:r>
                            <w:r>
                              <w:rPr>
                                <w:color w:val="231F20"/>
                                <w:sz w:val="15"/>
                              </w:rPr>
                              <w:t>Hexacarbons (glue, solvents) Organophosphates</w:t>
                            </w:r>
                            <w:r>
                              <w:rPr>
                                <w:color w:val="231F20"/>
                                <w:spacing w:val="-12"/>
                                <w:sz w:val="15"/>
                              </w:rPr>
                              <w:t> </w:t>
                            </w:r>
                            <w:r>
                              <w:rPr>
                                <w:color w:val="231F20"/>
                                <w:sz w:val="15"/>
                              </w:rPr>
                              <w:t>(insecticides,</w:t>
                            </w:r>
                          </w:p>
                          <w:p>
                            <w:pPr>
                              <w:pStyle w:val="TableParagraph"/>
                              <w:spacing w:line="230" w:lineRule="auto" w:before="5"/>
                              <w:ind w:left="74" w:firstLine="111"/>
                              <w:rPr>
                                <w:sz w:val="15"/>
                              </w:rPr>
                            </w:pPr>
                            <w:r>
                              <w:rPr>
                                <w:color w:val="231F20"/>
                                <w:sz w:val="15"/>
                              </w:rPr>
                              <w:t>petroleum additive) </w:t>
                            </w:r>
                            <w:r>
                              <w:rPr>
                                <w:color w:val="231F20"/>
                                <w:spacing w:val="-2"/>
                                <w:sz w:val="15"/>
                              </w:rPr>
                              <w:t>Polychlorinated</w:t>
                            </w:r>
                            <w:r>
                              <w:rPr>
                                <w:color w:val="231F20"/>
                                <w:spacing w:val="-11"/>
                                <w:sz w:val="15"/>
                              </w:rPr>
                              <w:t> </w:t>
                            </w:r>
                            <w:r>
                              <w:rPr>
                                <w:color w:val="231F20"/>
                                <w:spacing w:val="-2"/>
                                <w:sz w:val="15"/>
                              </w:rPr>
                              <w:t>biphenyls Tetrachlorbiphenyl Trichloroethylene</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608" w:hRule="exact"/>
                        </w:trPr>
                        <w:tc>
                          <w:tcPr>
                            <w:tcW w:w="2352"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2352"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0"/>
                                <w:sz w:val="15"/>
                              </w:rPr>
                              <w:t>METABOLIC</w:t>
                            </w:r>
                            <w:r>
                              <w:rPr>
                                <w:color w:val="231F20"/>
                                <w:spacing w:val="17"/>
                                <w:w w:val="115"/>
                                <w:sz w:val="15"/>
                              </w:rPr>
                              <w:t> </w:t>
                            </w:r>
                            <w:r>
                              <w:rPr>
                                <w:color w:val="231F20"/>
                                <w:spacing w:val="-2"/>
                                <w:w w:val="115"/>
                                <w:sz w:val="15"/>
                              </w:rPr>
                              <w:t>DISORDERS</w:t>
                            </w:r>
                          </w:p>
                          <w:p>
                            <w:pPr>
                              <w:pStyle w:val="TableParagraph"/>
                              <w:spacing w:line="230" w:lineRule="auto" w:before="3"/>
                              <w:ind w:left="69" w:right="1126"/>
                              <w:rPr>
                                <w:sz w:val="15"/>
                              </w:rPr>
                            </w:pPr>
                            <w:r>
                              <w:rPr>
                                <w:color w:val="231F20"/>
                                <w:sz w:val="15"/>
                              </w:rPr>
                              <w:t>Fabry disease Krabbe disease </w:t>
                            </w:r>
                            <w:r>
                              <w:rPr>
                                <w:color w:val="231F20"/>
                                <w:spacing w:val="-2"/>
                                <w:sz w:val="15"/>
                              </w:rPr>
                              <w:t>Leukodystrophies Porphyria</w:t>
                            </w:r>
                            <w:r>
                              <w:rPr>
                                <w:color w:val="231F20"/>
                                <w:spacing w:val="40"/>
                                <w:sz w:val="15"/>
                              </w:rPr>
                              <w:t> </w:t>
                            </w:r>
                            <w:r>
                              <w:rPr>
                                <w:color w:val="231F20"/>
                                <w:sz w:val="15"/>
                              </w:rPr>
                              <w:t>Tangier disease </w:t>
                            </w:r>
                            <w:r>
                              <w:rPr>
                                <w:color w:val="231F20"/>
                                <w:spacing w:val="-2"/>
                                <w:sz w:val="15"/>
                              </w:rPr>
                              <w:t>Tyrosinemia Uremia</w:t>
                            </w:r>
                          </w:p>
                        </w:tc>
                      </w:tr>
                      <w:tr>
                        <w:trPr>
                          <w:trHeight w:val="832" w:hRule="exact"/>
                        </w:trPr>
                        <w:tc>
                          <w:tcPr>
                            <w:tcW w:w="2352" w:type="dxa"/>
                            <w:gridSpan w:val="2"/>
                            <w:vMerge w:val="restart"/>
                            <w:tcBorders>
                              <w:top w:val="single" w:sz="4" w:space="0" w:color="FFFFFF"/>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spacing w:val="-2"/>
                                <w:w w:val="110"/>
                                <w:sz w:val="15"/>
                              </w:rPr>
                              <w:t>DRUGS</w:t>
                            </w:r>
                          </w:p>
                          <w:p>
                            <w:pPr>
                              <w:pStyle w:val="TableParagraph"/>
                              <w:spacing w:line="230" w:lineRule="auto" w:before="3"/>
                              <w:ind w:left="74" w:right="1073"/>
                              <w:rPr>
                                <w:sz w:val="15"/>
                              </w:rPr>
                            </w:pPr>
                            <w:r>
                              <w:rPr>
                                <w:color w:val="231F20"/>
                                <w:spacing w:val="-2"/>
                                <w:sz w:val="15"/>
                              </w:rPr>
                              <w:t>Amiodarone Chloramphenicol Chloroquine Cisplatin Colchicine Dapsone Ethambutol Ethanol Fluoroquinolones </w:t>
                            </w:r>
                            <w:r>
                              <w:rPr>
                                <w:color w:val="231F20"/>
                                <w:spacing w:val="-4"/>
                                <w:sz w:val="15"/>
                              </w:rPr>
                              <w:t>Gold</w:t>
                            </w:r>
                          </w:p>
                          <w:p>
                            <w:pPr>
                              <w:pStyle w:val="TableParagraph"/>
                              <w:spacing w:line="230" w:lineRule="auto" w:before="8"/>
                              <w:ind w:left="74" w:right="1292"/>
                              <w:rPr>
                                <w:sz w:val="15"/>
                              </w:rPr>
                            </w:pPr>
                            <w:r>
                              <w:rPr>
                                <w:color w:val="231F20"/>
                                <w:spacing w:val="-2"/>
                                <w:sz w:val="15"/>
                              </w:rPr>
                              <w:t>Hydralazine Isoniazid Metronidazole</w:t>
                            </w:r>
                          </w:p>
                        </w:tc>
                        <w:tc>
                          <w:tcPr>
                            <w:tcW w:w="2352"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1615" w:hRule="exact"/>
                        </w:trPr>
                        <w:tc>
                          <w:tcPr>
                            <w:tcW w:w="2352" w:type="dxa"/>
                            <w:gridSpan w:val="2"/>
                            <w:vMerge/>
                            <w:tcBorders>
                              <w:top w:val="nil"/>
                              <w:left w:val="nil"/>
                              <w:bottom w:val="single" w:sz="8" w:space="0" w:color="231F20"/>
                              <w:right w:val="single" w:sz="4" w:space="0" w:color="231F20"/>
                            </w:tcBorders>
                            <w:shd w:val="clear" w:color="auto" w:fill="E8F5F1"/>
                          </w:tcPr>
                          <w:p>
                            <w:pPr>
                              <w:rPr>
                                <w:sz w:val="2"/>
                                <w:szCs w:val="2"/>
                              </w:rPr>
                            </w:pPr>
                          </w:p>
                        </w:tc>
                        <w:tc>
                          <w:tcPr>
                            <w:tcW w:w="2352" w:type="dxa"/>
                            <w:tcBorders>
                              <w:top w:val="single" w:sz="4" w:space="0" w:color="FFFFFF"/>
                              <w:left w:val="single" w:sz="4" w:space="0" w:color="231F20"/>
                              <w:bottom w:val="single" w:sz="8" w:space="0" w:color="231F20"/>
                              <w:right w:val="nil"/>
                            </w:tcBorders>
                            <w:shd w:val="clear" w:color="auto" w:fill="E8F5F1"/>
                          </w:tcPr>
                          <w:p>
                            <w:pPr>
                              <w:pStyle w:val="TableParagraph"/>
                              <w:spacing w:line="230" w:lineRule="auto" w:before="48"/>
                              <w:ind w:left="69" w:right="225"/>
                              <w:rPr>
                                <w:sz w:val="15"/>
                              </w:rPr>
                            </w:pPr>
                            <w:r>
                              <w:rPr>
                                <w:color w:val="231F20"/>
                                <w:w w:val="115"/>
                                <w:sz w:val="15"/>
                              </w:rPr>
                              <w:t>BIOLOGIC</w:t>
                            </w:r>
                            <w:r>
                              <w:rPr>
                                <w:color w:val="231F20"/>
                                <w:spacing w:val="-13"/>
                                <w:w w:val="115"/>
                                <w:sz w:val="15"/>
                              </w:rPr>
                              <w:t> </w:t>
                            </w:r>
                            <w:r>
                              <w:rPr>
                                <w:color w:val="231F20"/>
                                <w:w w:val="115"/>
                                <w:sz w:val="15"/>
                              </w:rPr>
                              <w:t>AND</w:t>
                            </w:r>
                            <w:r>
                              <w:rPr>
                                <w:color w:val="231F20"/>
                                <w:spacing w:val="-13"/>
                                <w:w w:val="115"/>
                                <w:sz w:val="15"/>
                              </w:rPr>
                              <w:t> </w:t>
                            </w:r>
                            <w:r>
                              <w:rPr>
                                <w:color w:val="231F20"/>
                                <w:w w:val="115"/>
                                <w:sz w:val="15"/>
                              </w:rPr>
                              <w:t>INFECTIOUS </w:t>
                            </w:r>
                            <w:r>
                              <w:rPr>
                                <w:color w:val="231F20"/>
                                <w:spacing w:val="-2"/>
                                <w:w w:val="115"/>
                                <w:sz w:val="15"/>
                              </w:rPr>
                              <w:t>NEUROPATHIES</w:t>
                            </w:r>
                          </w:p>
                          <w:p>
                            <w:pPr>
                              <w:pStyle w:val="TableParagraph"/>
                              <w:spacing w:line="230" w:lineRule="auto" w:before="3"/>
                              <w:ind w:left="69" w:right="1292"/>
                              <w:rPr>
                                <w:sz w:val="15"/>
                              </w:rPr>
                            </w:pPr>
                            <w:r>
                              <w:rPr>
                                <w:color w:val="231F20"/>
                                <w:spacing w:val="-2"/>
                                <w:sz w:val="15"/>
                              </w:rPr>
                              <w:t>Diphtheria Herpesviruses </w:t>
                            </w:r>
                            <w:r>
                              <w:rPr>
                                <w:color w:val="231F20"/>
                                <w:spacing w:val="-4"/>
                                <w:sz w:val="15"/>
                              </w:rPr>
                              <w:t>HIV</w:t>
                            </w:r>
                          </w:p>
                          <w:p>
                            <w:pPr>
                              <w:pStyle w:val="TableParagraph"/>
                              <w:spacing w:line="230" w:lineRule="auto" w:before="3"/>
                              <w:ind w:left="69" w:right="1376"/>
                              <w:rPr>
                                <w:sz w:val="15"/>
                              </w:rPr>
                            </w:pPr>
                            <w:r>
                              <w:rPr>
                                <w:color w:val="231F20"/>
                                <w:spacing w:val="-2"/>
                                <w:sz w:val="15"/>
                              </w:rPr>
                              <w:t>Leprosy</w:t>
                            </w:r>
                            <w:r>
                              <w:rPr>
                                <w:color w:val="231F20"/>
                                <w:spacing w:val="40"/>
                                <w:sz w:val="15"/>
                              </w:rPr>
                              <w:t> </w:t>
                            </w:r>
                            <w:r>
                              <w:rPr>
                                <w:color w:val="231F20"/>
                                <w:sz w:val="15"/>
                              </w:rPr>
                              <w:t>Lyme</w:t>
                            </w:r>
                            <w:r>
                              <w:rPr>
                                <w:color w:val="231F20"/>
                                <w:spacing w:val="-12"/>
                                <w:sz w:val="15"/>
                              </w:rPr>
                              <w:t> </w:t>
                            </w:r>
                            <w:r>
                              <w:rPr>
                                <w:color w:val="231F20"/>
                                <w:sz w:val="15"/>
                              </w:rPr>
                              <w:t>disease </w:t>
                            </w:r>
                            <w:r>
                              <w:rPr>
                                <w:color w:val="231F20"/>
                                <w:spacing w:val="-2"/>
                                <w:sz w:val="15"/>
                              </w:rPr>
                              <w:t>Rabies</w:t>
                            </w:r>
                          </w:p>
                          <w:p>
                            <w:pPr>
                              <w:pStyle w:val="TableParagraph"/>
                              <w:spacing w:line="171" w:lineRule="exact"/>
                              <w:ind w:left="69"/>
                              <w:rPr>
                                <w:sz w:val="15"/>
                              </w:rPr>
                            </w:pPr>
                            <w:r>
                              <w:rPr>
                                <w:color w:val="231F20"/>
                                <w:sz w:val="15"/>
                              </w:rPr>
                              <w:t>West</w:t>
                            </w:r>
                            <w:r>
                              <w:rPr>
                                <w:color w:val="231F20"/>
                                <w:spacing w:val="6"/>
                                <w:sz w:val="15"/>
                              </w:rPr>
                              <w:t> </w:t>
                            </w:r>
                            <w:r>
                              <w:rPr>
                                <w:color w:val="231F20"/>
                                <w:sz w:val="15"/>
                              </w:rPr>
                              <w:t>Nile</w:t>
                            </w:r>
                            <w:r>
                              <w:rPr>
                                <w:color w:val="231F20"/>
                                <w:spacing w:val="7"/>
                                <w:sz w:val="15"/>
                              </w:rPr>
                              <w:t> </w:t>
                            </w:r>
                            <w:r>
                              <w:rPr>
                                <w:color w:val="231F20"/>
                                <w:spacing w:val="-2"/>
                                <w:sz w:val="15"/>
                              </w:rPr>
                              <w:t>virus</w:t>
                            </w:r>
                          </w:p>
                        </w:tc>
                      </w:tr>
                    </w:tbl>
                    <w:p>
                      <w:pPr>
                        <w:pStyle w:val="BodyText"/>
                      </w:pPr>
                    </w:p>
                  </w:txbxContent>
                </v:textbox>
              </v:shape>
            </w:pict>
          </mc:Fallback>
        </mc:AlternateContent>
      </w:r>
      <w:r>
        <w:rPr>
          <w:position w:val="151"/>
          <w:sz w:val="20"/>
        </w:rPr>
      </w:r>
    </w:p>
    <w:p>
      <w:pPr>
        <w:spacing w:after="0" w:line="240" w:lineRule="auto"/>
        <w:rPr>
          <w:position w:val="151"/>
          <w:sz w:val="20"/>
        </w:rPr>
        <w:sectPr>
          <w:pgSz w:w="11900" w:h="16840"/>
          <w:pgMar w:header="452" w:footer="0" w:top="1180" w:bottom="280" w:left="708" w:right="566"/>
        </w:sectPr>
      </w:pPr>
    </w:p>
    <w:p>
      <w:pPr>
        <w:spacing w:before="74"/>
        <w:ind w:left="61" w:right="0" w:firstLine="0"/>
        <w:jc w:val="left"/>
        <w:rPr>
          <w:i/>
          <w:sz w:val="13"/>
        </w:rPr>
      </w:pPr>
      <w:r>
        <w:rPr>
          <w:i/>
          <w:color w:val="231F20"/>
          <w:sz w:val="13"/>
        </w:rPr>
        <w:t>From</w:t>
      </w:r>
      <w:r>
        <w:rPr>
          <w:i/>
          <w:color w:val="231F20"/>
          <w:spacing w:val="-2"/>
          <w:sz w:val="13"/>
        </w:rPr>
        <w:t> </w:t>
      </w:r>
      <w:r>
        <w:rPr>
          <w:i/>
          <w:color w:val="231F20"/>
          <w:sz w:val="13"/>
        </w:rPr>
        <w:t>Agrawal</w:t>
      </w:r>
      <w:r>
        <w:rPr>
          <w:i/>
          <w:color w:val="231F20"/>
          <w:spacing w:val="-2"/>
          <w:sz w:val="13"/>
        </w:rPr>
        <w:t> </w:t>
      </w:r>
      <w:r>
        <w:rPr>
          <w:i/>
          <w:color w:val="231F20"/>
          <w:sz w:val="13"/>
        </w:rPr>
        <w:t>S,</w:t>
      </w:r>
      <w:r>
        <w:rPr>
          <w:i/>
          <w:color w:val="231F20"/>
          <w:spacing w:val="-2"/>
          <w:sz w:val="13"/>
        </w:rPr>
        <w:t> </w:t>
      </w:r>
      <w:r>
        <w:rPr>
          <w:i/>
          <w:color w:val="231F20"/>
          <w:sz w:val="13"/>
        </w:rPr>
        <w:t>Peake</w:t>
      </w:r>
      <w:r>
        <w:rPr>
          <w:i/>
          <w:color w:val="231F20"/>
          <w:spacing w:val="-2"/>
          <w:sz w:val="13"/>
        </w:rPr>
        <w:t> </w:t>
      </w:r>
      <w:r>
        <w:rPr>
          <w:i/>
          <w:color w:val="231F20"/>
          <w:sz w:val="13"/>
        </w:rPr>
        <w:t>D,</w:t>
      </w:r>
      <w:r>
        <w:rPr>
          <w:i/>
          <w:color w:val="231F20"/>
          <w:spacing w:val="-2"/>
          <w:sz w:val="13"/>
        </w:rPr>
        <w:t> </w:t>
      </w:r>
      <w:r>
        <w:rPr>
          <w:i/>
          <w:color w:val="231F20"/>
          <w:sz w:val="13"/>
        </w:rPr>
        <w:t>Whitehouse</w:t>
      </w:r>
      <w:r>
        <w:rPr>
          <w:i/>
          <w:color w:val="231F20"/>
          <w:spacing w:val="-2"/>
          <w:sz w:val="13"/>
        </w:rPr>
        <w:t> </w:t>
      </w:r>
      <w:r>
        <w:rPr>
          <w:i/>
          <w:color w:val="231F20"/>
          <w:sz w:val="13"/>
        </w:rPr>
        <w:t>WP:</w:t>
      </w:r>
      <w:r>
        <w:rPr>
          <w:i/>
          <w:color w:val="231F20"/>
          <w:spacing w:val="-2"/>
          <w:sz w:val="13"/>
        </w:rPr>
        <w:t> </w:t>
      </w:r>
      <w:r>
        <w:rPr>
          <w:i/>
          <w:color w:val="231F20"/>
          <w:sz w:val="13"/>
        </w:rPr>
        <w:t>Management</w:t>
      </w:r>
      <w:r>
        <w:rPr>
          <w:i/>
          <w:color w:val="231F20"/>
          <w:spacing w:val="-2"/>
          <w:sz w:val="13"/>
        </w:rPr>
        <w:t> </w:t>
      </w:r>
      <w:r>
        <w:rPr>
          <w:i/>
          <w:color w:val="231F20"/>
          <w:sz w:val="13"/>
        </w:rPr>
        <w:t>of</w:t>
      </w:r>
      <w:r>
        <w:rPr>
          <w:i/>
          <w:color w:val="231F20"/>
          <w:spacing w:val="-2"/>
          <w:sz w:val="13"/>
        </w:rPr>
        <w:t> </w:t>
      </w:r>
      <w:r>
        <w:rPr>
          <w:i/>
          <w:color w:val="231F20"/>
          <w:sz w:val="13"/>
        </w:rPr>
        <w:t>children</w:t>
      </w:r>
      <w:r>
        <w:rPr>
          <w:i/>
          <w:color w:val="231F20"/>
          <w:spacing w:val="-2"/>
          <w:sz w:val="13"/>
        </w:rPr>
        <w:t> </w:t>
      </w:r>
      <w:r>
        <w:rPr>
          <w:i/>
          <w:color w:val="231F20"/>
          <w:sz w:val="13"/>
        </w:rPr>
        <w:t>with</w:t>
      </w:r>
      <w:r>
        <w:rPr>
          <w:i/>
          <w:color w:val="231F20"/>
          <w:spacing w:val="40"/>
          <w:sz w:val="13"/>
        </w:rPr>
        <w:t> </w:t>
      </w:r>
      <w:r>
        <w:rPr>
          <w:i/>
          <w:color w:val="231F20"/>
          <w:sz w:val="13"/>
        </w:rPr>
        <w:t>Guillain</w:t>
      </w:r>
      <w:r>
        <w:rPr>
          <w:i/>
          <w:color w:val="231F20"/>
          <w:spacing w:val="-1"/>
          <w:sz w:val="13"/>
        </w:rPr>
        <w:t> </w:t>
      </w:r>
      <w:r>
        <w:rPr>
          <w:i/>
          <w:color w:val="231F20"/>
          <w:sz w:val="13"/>
        </w:rPr>
        <w:t>Barré</w:t>
      </w:r>
      <w:r>
        <w:rPr>
          <w:i/>
          <w:color w:val="231F20"/>
          <w:spacing w:val="-1"/>
          <w:sz w:val="13"/>
        </w:rPr>
        <w:t> </w:t>
      </w:r>
      <w:r>
        <w:rPr>
          <w:i/>
          <w:color w:val="231F20"/>
          <w:sz w:val="13"/>
        </w:rPr>
        <w:t>syndrome, </w:t>
      </w:r>
      <w:r>
        <w:rPr>
          <w:color w:val="231F20"/>
          <w:sz w:val="13"/>
        </w:rPr>
        <w:t>Arch</w:t>
      </w:r>
      <w:r>
        <w:rPr>
          <w:color w:val="231F20"/>
          <w:spacing w:val="-1"/>
          <w:sz w:val="13"/>
        </w:rPr>
        <w:t> </w:t>
      </w:r>
      <w:r>
        <w:rPr>
          <w:color w:val="231F20"/>
          <w:sz w:val="13"/>
        </w:rPr>
        <w:t>Dis Child</w:t>
      </w:r>
      <w:r>
        <w:rPr>
          <w:color w:val="231F20"/>
          <w:spacing w:val="-1"/>
          <w:sz w:val="13"/>
        </w:rPr>
        <w:t> </w:t>
      </w:r>
      <w:r>
        <w:rPr>
          <w:color w:val="231F20"/>
          <w:sz w:val="13"/>
        </w:rPr>
        <w:t>Educ Pract</w:t>
      </w:r>
      <w:r>
        <w:rPr>
          <w:color w:val="231F20"/>
          <w:spacing w:val="-1"/>
          <w:sz w:val="13"/>
        </w:rPr>
        <w:t> </w:t>
      </w:r>
      <w:r>
        <w:rPr>
          <w:color w:val="231F20"/>
          <w:sz w:val="13"/>
        </w:rPr>
        <w:t>Ed </w:t>
      </w:r>
      <w:r>
        <w:rPr>
          <w:i/>
          <w:color w:val="231F20"/>
          <w:sz w:val="13"/>
        </w:rPr>
        <w:t>92:161–168,</w:t>
      </w:r>
      <w:r>
        <w:rPr>
          <w:i/>
          <w:color w:val="231F20"/>
          <w:spacing w:val="-1"/>
          <w:sz w:val="13"/>
        </w:rPr>
        <w:t> </w:t>
      </w:r>
      <w:r>
        <w:rPr>
          <w:i/>
          <w:color w:val="231F20"/>
          <w:spacing w:val="-2"/>
          <w:sz w:val="13"/>
        </w:rPr>
        <w:t>2007.</w:t>
      </w:r>
    </w:p>
    <w:p>
      <w:pPr>
        <w:pStyle w:val="BodyText"/>
        <w:spacing w:before="96"/>
        <w:rPr>
          <w:i/>
          <w:sz w:val="20"/>
        </w:rPr>
      </w:pPr>
    </w:p>
    <w:tbl>
      <w:tblPr>
        <w:tblW w:w="0" w:type="auto"/>
        <w:jc w:val="left"/>
        <w:tblInd w:w="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204"/>
        <w:gridCol w:w="2352"/>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617-</w:t>
            </w:r>
            <w:r>
              <w:rPr>
                <w:b/>
                <w:color w:val="FFFFFF"/>
                <w:spacing w:val="-10"/>
                <w:w w:val="105"/>
                <w:sz w:val="16"/>
              </w:rPr>
              <w:t>1</w:t>
            </w:r>
          </w:p>
        </w:tc>
        <w:tc>
          <w:tcPr>
            <w:tcW w:w="3556"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Etiologies</w:t>
            </w:r>
            <w:r>
              <w:rPr>
                <w:color w:val="FFFFFF"/>
                <w:spacing w:val="3"/>
                <w:w w:val="105"/>
                <w:sz w:val="16"/>
              </w:rPr>
              <w:t> </w:t>
            </w:r>
            <w:r>
              <w:rPr>
                <w:color w:val="FFFFFF"/>
                <w:w w:val="105"/>
                <w:sz w:val="16"/>
              </w:rPr>
              <w:t>of</w:t>
            </w:r>
            <w:r>
              <w:rPr>
                <w:color w:val="FFFFFF"/>
                <w:spacing w:val="3"/>
                <w:w w:val="105"/>
                <w:sz w:val="16"/>
              </w:rPr>
              <w:t> </w:t>
            </w:r>
            <w:r>
              <w:rPr>
                <w:color w:val="FFFFFF"/>
                <w:w w:val="105"/>
                <w:sz w:val="16"/>
              </w:rPr>
              <w:t>Acute</w:t>
            </w:r>
            <w:r>
              <w:rPr>
                <w:color w:val="FFFFFF"/>
                <w:spacing w:val="4"/>
                <w:w w:val="105"/>
                <w:sz w:val="16"/>
              </w:rPr>
              <w:t> </w:t>
            </w:r>
            <w:r>
              <w:rPr>
                <w:color w:val="FFFFFF"/>
                <w:w w:val="105"/>
                <w:sz w:val="16"/>
              </w:rPr>
              <w:t>Peripheral</w:t>
            </w:r>
            <w:r>
              <w:rPr>
                <w:color w:val="FFFFFF"/>
                <w:spacing w:val="3"/>
                <w:w w:val="105"/>
                <w:sz w:val="16"/>
              </w:rPr>
              <w:t> </w:t>
            </w:r>
            <w:r>
              <w:rPr>
                <w:color w:val="FFFFFF"/>
                <w:w w:val="105"/>
                <w:sz w:val="16"/>
              </w:rPr>
              <w:t>Facial</w:t>
            </w:r>
            <w:r>
              <w:rPr>
                <w:color w:val="FFFFFF"/>
                <w:spacing w:val="4"/>
                <w:w w:val="105"/>
                <w:sz w:val="16"/>
              </w:rPr>
              <w:t> </w:t>
            </w:r>
            <w:r>
              <w:rPr>
                <w:color w:val="FFFFFF"/>
                <w:spacing w:val="-2"/>
                <w:w w:val="105"/>
                <w:sz w:val="16"/>
              </w:rPr>
              <w:t>Palsy</w:t>
            </w:r>
          </w:p>
        </w:tc>
      </w:tr>
      <w:tr>
        <w:trPr>
          <w:trHeight w:val="777" w:hRule="atLeast"/>
        </w:trPr>
        <w:tc>
          <w:tcPr>
            <w:tcW w:w="2352" w:type="dxa"/>
            <w:gridSpan w:val="2"/>
            <w:tcBorders>
              <w:bottom w:val="single" w:sz="4" w:space="0" w:color="FFFFFF"/>
              <w:right w:val="single" w:sz="4" w:space="0" w:color="231F20"/>
            </w:tcBorders>
            <w:shd w:val="clear" w:color="auto" w:fill="E8F5F1"/>
          </w:tcPr>
          <w:p>
            <w:pPr>
              <w:pStyle w:val="TableParagraph"/>
              <w:spacing w:line="172" w:lineRule="exact" w:before="67"/>
              <w:ind w:left="74"/>
              <w:rPr>
                <w:sz w:val="15"/>
              </w:rPr>
            </w:pPr>
            <w:r>
              <w:rPr>
                <w:color w:val="231F20"/>
                <w:spacing w:val="-2"/>
                <w:w w:val="125"/>
                <w:sz w:val="15"/>
              </w:rPr>
              <w:t>COMMON</w:t>
            </w:r>
          </w:p>
          <w:p>
            <w:pPr>
              <w:pStyle w:val="TableParagraph"/>
              <w:spacing w:line="169" w:lineRule="exact"/>
              <w:ind w:left="74"/>
              <w:rPr>
                <w:sz w:val="15"/>
              </w:rPr>
            </w:pPr>
            <w:r>
              <w:rPr>
                <w:color w:val="231F20"/>
                <w:spacing w:val="-2"/>
                <w:sz w:val="15"/>
              </w:rPr>
              <w:t>Idiopathic</w:t>
            </w:r>
          </w:p>
          <w:p>
            <w:pPr>
              <w:pStyle w:val="TableParagraph"/>
              <w:spacing w:line="230" w:lineRule="auto" w:before="2"/>
              <w:ind w:left="74" w:right="359"/>
              <w:rPr>
                <w:sz w:val="15"/>
              </w:rPr>
            </w:pPr>
            <w:r>
              <w:rPr>
                <w:color w:val="231F20"/>
                <w:sz w:val="15"/>
              </w:rPr>
              <w:t>Herpes</w:t>
            </w:r>
            <w:r>
              <w:rPr>
                <w:color w:val="231F20"/>
                <w:spacing w:val="-9"/>
                <w:sz w:val="15"/>
              </w:rPr>
              <w:t> </w:t>
            </w:r>
            <w:r>
              <w:rPr>
                <w:color w:val="231F20"/>
                <w:sz w:val="15"/>
              </w:rPr>
              <w:t>simplex</w:t>
            </w:r>
            <w:r>
              <w:rPr>
                <w:color w:val="231F20"/>
                <w:spacing w:val="-9"/>
                <w:sz w:val="15"/>
              </w:rPr>
              <w:t> </w:t>
            </w:r>
            <w:r>
              <w:rPr>
                <w:color w:val="231F20"/>
                <w:sz w:val="15"/>
              </w:rPr>
              <w:t>virus</w:t>
            </w:r>
            <w:r>
              <w:rPr>
                <w:color w:val="231F20"/>
                <w:spacing w:val="-9"/>
                <w:sz w:val="15"/>
              </w:rPr>
              <w:t> </w:t>
            </w:r>
            <w:r>
              <w:rPr>
                <w:color w:val="231F20"/>
                <w:sz w:val="15"/>
              </w:rPr>
              <w:t>type</w:t>
            </w:r>
            <w:r>
              <w:rPr>
                <w:color w:val="231F20"/>
                <w:spacing w:val="-9"/>
                <w:sz w:val="15"/>
              </w:rPr>
              <w:t> </w:t>
            </w:r>
            <w:r>
              <w:rPr>
                <w:color w:val="231F20"/>
                <w:sz w:val="15"/>
              </w:rPr>
              <w:t>1</w:t>
            </w:r>
            <w:r>
              <w:rPr>
                <w:color w:val="0080AC"/>
                <w:sz w:val="15"/>
              </w:rPr>
              <w:t>* </w:t>
            </w:r>
            <w:r>
              <w:rPr>
                <w:color w:val="231F20"/>
                <w:sz w:val="15"/>
              </w:rPr>
              <w:t>Varicella-zoster virus</w:t>
            </w:r>
            <w:r>
              <w:rPr>
                <w:color w:val="0080AC"/>
                <w:sz w:val="15"/>
              </w:rPr>
              <w:t>*</w:t>
            </w:r>
          </w:p>
        </w:tc>
        <w:tc>
          <w:tcPr>
            <w:tcW w:w="2352" w:type="dxa"/>
            <w:vMerge w:val="restart"/>
            <w:tcBorders>
              <w:left w:val="single" w:sz="4" w:space="0" w:color="231F20"/>
              <w:bottom w:val="single" w:sz="8" w:space="0" w:color="231F20"/>
            </w:tcBorders>
            <w:shd w:val="clear" w:color="auto" w:fill="E8F5F1"/>
          </w:tcPr>
          <w:p>
            <w:pPr>
              <w:pStyle w:val="TableParagraph"/>
              <w:spacing w:line="230" w:lineRule="auto" w:before="72"/>
              <w:ind w:left="68"/>
              <w:rPr>
                <w:sz w:val="15"/>
              </w:rPr>
            </w:pPr>
            <w:r>
              <w:rPr>
                <w:color w:val="231F20"/>
                <w:w w:val="115"/>
                <w:sz w:val="15"/>
              </w:rPr>
              <w:t>OTHER</w:t>
            </w:r>
            <w:r>
              <w:rPr>
                <w:color w:val="231F20"/>
                <w:spacing w:val="-13"/>
                <w:w w:val="115"/>
                <w:sz w:val="15"/>
              </w:rPr>
              <w:t> </w:t>
            </w:r>
            <w:r>
              <w:rPr>
                <w:color w:val="231F20"/>
                <w:w w:val="115"/>
                <w:sz w:val="15"/>
              </w:rPr>
              <w:t>LESS-</w:t>
            </w:r>
            <w:r>
              <w:rPr>
                <w:color w:val="231F20"/>
                <w:w w:val="115"/>
                <w:sz w:val="15"/>
              </w:rPr>
              <w:t>COMMON </w:t>
            </w:r>
            <w:r>
              <w:rPr>
                <w:color w:val="231F20"/>
                <w:spacing w:val="-2"/>
                <w:w w:val="115"/>
                <w:sz w:val="15"/>
              </w:rPr>
              <w:t>CONDITIONS</w:t>
            </w:r>
          </w:p>
          <w:p>
            <w:pPr>
              <w:pStyle w:val="TableParagraph"/>
              <w:spacing w:line="168" w:lineRule="exact"/>
              <w:ind w:left="68"/>
              <w:rPr>
                <w:sz w:val="15"/>
              </w:rPr>
            </w:pPr>
            <w:r>
              <w:rPr>
                <w:color w:val="231F20"/>
                <w:spacing w:val="-2"/>
                <w:sz w:val="15"/>
              </w:rPr>
              <w:t>Trauma</w:t>
            </w:r>
          </w:p>
          <w:p>
            <w:pPr>
              <w:pStyle w:val="TableParagraph"/>
              <w:spacing w:line="230" w:lineRule="auto" w:before="3"/>
              <w:ind w:left="68" w:right="403"/>
              <w:rPr>
                <w:sz w:val="15"/>
              </w:rPr>
            </w:pPr>
            <w:r>
              <w:rPr>
                <w:color w:val="231F20"/>
                <w:sz w:val="15"/>
              </w:rPr>
              <w:t>Schwannoma</w:t>
            </w:r>
            <w:r>
              <w:rPr>
                <w:color w:val="231F20"/>
                <w:spacing w:val="-12"/>
                <w:sz w:val="15"/>
              </w:rPr>
              <w:t> </w:t>
            </w:r>
            <w:r>
              <w:rPr>
                <w:color w:val="231F20"/>
                <w:sz w:val="15"/>
              </w:rPr>
              <w:t>of</w:t>
            </w:r>
            <w:r>
              <w:rPr>
                <w:color w:val="231F20"/>
                <w:spacing w:val="-11"/>
                <w:sz w:val="15"/>
              </w:rPr>
              <w:t> </w:t>
            </w:r>
            <w:r>
              <w:rPr>
                <w:color w:val="231F20"/>
                <w:sz w:val="15"/>
              </w:rPr>
              <w:t>facial</w:t>
            </w:r>
            <w:r>
              <w:rPr>
                <w:color w:val="231F20"/>
                <w:spacing w:val="-11"/>
                <w:sz w:val="15"/>
              </w:rPr>
              <w:t> </w:t>
            </w:r>
            <w:r>
              <w:rPr>
                <w:color w:val="231F20"/>
                <w:sz w:val="15"/>
              </w:rPr>
              <w:t>nerve Infiltrative tumor</w:t>
            </w:r>
          </w:p>
          <w:p>
            <w:pPr>
              <w:pStyle w:val="TableParagraph"/>
              <w:spacing w:line="230" w:lineRule="auto" w:before="1"/>
              <w:ind w:left="180" w:right="850" w:hanging="112"/>
              <w:rPr>
                <w:sz w:val="15"/>
              </w:rPr>
            </w:pPr>
            <w:r>
              <w:rPr>
                <w:color w:val="231F20"/>
                <w:sz w:val="15"/>
              </w:rPr>
              <w:t>Aneurysm</w:t>
            </w:r>
            <w:r>
              <w:rPr>
                <w:color w:val="231F20"/>
                <w:spacing w:val="-12"/>
                <w:sz w:val="15"/>
              </w:rPr>
              <w:t> </w:t>
            </w:r>
            <w:r>
              <w:rPr>
                <w:color w:val="231F20"/>
                <w:sz w:val="15"/>
              </w:rPr>
              <w:t>or</w:t>
            </w:r>
            <w:r>
              <w:rPr>
                <w:color w:val="231F20"/>
                <w:spacing w:val="-11"/>
                <w:sz w:val="15"/>
              </w:rPr>
              <w:t> </w:t>
            </w:r>
            <w:r>
              <w:rPr>
                <w:color w:val="231F20"/>
                <w:sz w:val="15"/>
              </w:rPr>
              <w:t>vascular </w:t>
            </w:r>
            <w:r>
              <w:rPr>
                <w:color w:val="231F20"/>
                <w:spacing w:val="-2"/>
                <w:sz w:val="15"/>
              </w:rPr>
              <w:t>malformation</w:t>
            </w:r>
          </w:p>
          <w:p>
            <w:pPr>
              <w:pStyle w:val="TableParagraph"/>
              <w:spacing w:line="230" w:lineRule="auto" w:before="2"/>
              <w:ind w:left="180" w:hanging="112"/>
              <w:rPr>
                <w:sz w:val="15"/>
              </w:rPr>
            </w:pPr>
            <w:r>
              <w:rPr>
                <w:color w:val="231F20"/>
                <w:sz w:val="15"/>
              </w:rPr>
              <w:t>Anomalous</w:t>
            </w:r>
            <w:r>
              <w:rPr>
                <w:color w:val="231F20"/>
                <w:spacing w:val="-12"/>
                <w:sz w:val="15"/>
              </w:rPr>
              <w:t> </w:t>
            </w:r>
            <w:r>
              <w:rPr>
                <w:color w:val="231F20"/>
                <w:sz w:val="15"/>
              </w:rPr>
              <w:t>narrowing</w:t>
            </w:r>
            <w:r>
              <w:rPr>
                <w:color w:val="231F20"/>
                <w:spacing w:val="-11"/>
                <w:sz w:val="15"/>
              </w:rPr>
              <w:t> </w:t>
            </w:r>
            <w:r>
              <w:rPr>
                <w:color w:val="231F20"/>
                <w:sz w:val="15"/>
              </w:rPr>
              <w:t>of</w:t>
            </w:r>
            <w:r>
              <w:rPr>
                <w:color w:val="231F20"/>
                <w:spacing w:val="-11"/>
                <w:sz w:val="15"/>
              </w:rPr>
              <w:t> </w:t>
            </w:r>
            <w:r>
              <w:rPr>
                <w:color w:val="231F20"/>
                <w:sz w:val="15"/>
              </w:rPr>
              <w:t>facial </w:t>
            </w:r>
            <w:r>
              <w:rPr>
                <w:color w:val="231F20"/>
                <w:spacing w:val="-2"/>
                <w:sz w:val="15"/>
              </w:rPr>
              <w:t>canal</w:t>
            </w:r>
          </w:p>
          <w:p>
            <w:pPr>
              <w:pStyle w:val="TableParagraph"/>
              <w:spacing w:line="230" w:lineRule="auto" w:before="1"/>
              <w:ind w:left="68" w:right="933"/>
              <w:rPr>
                <w:sz w:val="15"/>
              </w:rPr>
            </w:pPr>
            <w:r>
              <w:rPr>
                <w:color w:val="231F20"/>
                <w:spacing w:val="-2"/>
                <w:sz w:val="15"/>
              </w:rPr>
              <w:t>Hypertension </w:t>
            </w:r>
            <w:r>
              <w:rPr>
                <w:color w:val="231F20"/>
                <w:sz w:val="15"/>
              </w:rPr>
              <w:t>Sjögren</w:t>
            </w:r>
            <w:r>
              <w:rPr>
                <w:color w:val="231F20"/>
                <w:spacing w:val="-12"/>
                <w:sz w:val="15"/>
              </w:rPr>
              <w:t> </w:t>
            </w:r>
            <w:r>
              <w:rPr>
                <w:color w:val="231F20"/>
                <w:sz w:val="15"/>
              </w:rPr>
              <w:t>syndrome</w:t>
            </w:r>
          </w:p>
          <w:p>
            <w:pPr>
              <w:pStyle w:val="TableParagraph"/>
              <w:spacing w:line="230" w:lineRule="auto" w:before="2"/>
              <w:ind w:left="68" w:right="618"/>
              <w:rPr>
                <w:sz w:val="15"/>
              </w:rPr>
            </w:pPr>
            <w:r>
              <w:rPr>
                <w:color w:val="231F20"/>
                <w:spacing w:val="-2"/>
                <w:sz w:val="15"/>
              </w:rPr>
              <w:t>Diabetes</w:t>
            </w:r>
            <w:r>
              <w:rPr>
                <w:color w:val="231F20"/>
                <w:spacing w:val="-8"/>
                <w:sz w:val="15"/>
              </w:rPr>
              <w:t> </w:t>
            </w:r>
            <w:r>
              <w:rPr>
                <w:color w:val="231F20"/>
                <w:spacing w:val="-2"/>
                <w:sz w:val="15"/>
              </w:rPr>
              <w:t>mellitus,</w:t>
            </w:r>
            <w:r>
              <w:rPr>
                <w:color w:val="231F20"/>
                <w:spacing w:val="-9"/>
                <w:sz w:val="15"/>
              </w:rPr>
              <w:t> </w:t>
            </w:r>
            <w:r>
              <w:rPr>
                <w:color w:val="231F20"/>
                <w:spacing w:val="-2"/>
                <w:sz w:val="15"/>
              </w:rPr>
              <w:t>type</w:t>
            </w:r>
            <w:r>
              <w:rPr>
                <w:color w:val="231F20"/>
                <w:spacing w:val="-8"/>
                <w:sz w:val="15"/>
              </w:rPr>
              <w:t> </w:t>
            </w:r>
            <w:r>
              <w:rPr>
                <w:color w:val="231F20"/>
                <w:spacing w:val="-2"/>
                <w:sz w:val="15"/>
              </w:rPr>
              <w:t>1 </w:t>
            </w:r>
            <w:r>
              <w:rPr>
                <w:color w:val="231F20"/>
                <w:sz w:val="15"/>
              </w:rPr>
              <w:t>Guillain-Barré</w:t>
            </w:r>
            <w:r>
              <w:rPr>
                <w:color w:val="231F20"/>
                <w:spacing w:val="-6"/>
                <w:sz w:val="15"/>
              </w:rPr>
              <w:t> </w:t>
            </w:r>
            <w:r>
              <w:rPr>
                <w:color w:val="231F20"/>
                <w:sz w:val="15"/>
              </w:rPr>
              <w:t>syndrome </w:t>
            </w:r>
            <w:r>
              <w:rPr>
                <w:color w:val="231F20"/>
                <w:spacing w:val="-2"/>
                <w:sz w:val="15"/>
              </w:rPr>
              <w:t>Sarcoidosis</w:t>
            </w:r>
          </w:p>
          <w:p>
            <w:pPr>
              <w:pStyle w:val="TableParagraph"/>
              <w:spacing w:line="230" w:lineRule="auto" w:before="2"/>
              <w:ind w:left="68"/>
              <w:rPr>
                <w:sz w:val="15"/>
              </w:rPr>
            </w:pPr>
            <w:r>
              <w:rPr>
                <w:color w:val="231F20"/>
                <w:sz w:val="15"/>
              </w:rPr>
              <w:t>Melkersson-Rosenthal</w:t>
            </w:r>
            <w:r>
              <w:rPr>
                <w:color w:val="231F20"/>
                <w:spacing w:val="-12"/>
                <w:sz w:val="15"/>
              </w:rPr>
              <w:t> </w:t>
            </w:r>
            <w:r>
              <w:rPr>
                <w:color w:val="231F20"/>
                <w:sz w:val="15"/>
              </w:rPr>
              <w:t>syndrome</w:t>
            </w:r>
            <w:r>
              <w:rPr>
                <w:color w:val="0080AC"/>
                <w:sz w:val="15"/>
                <w:vertAlign w:val="superscript"/>
              </w:rPr>
              <w:t>†</w:t>
            </w:r>
            <w:r>
              <w:rPr>
                <w:color w:val="0080AC"/>
                <w:sz w:val="15"/>
                <w:vertAlign w:val="baseline"/>
              </w:rPr>
              <w:t> </w:t>
            </w:r>
            <w:r>
              <w:rPr>
                <w:color w:val="231F20"/>
                <w:spacing w:val="-2"/>
                <w:sz w:val="15"/>
                <w:vertAlign w:val="baseline"/>
              </w:rPr>
              <w:t>Ribavirin</w:t>
            </w:r>
          </w:p>
          <w:p>
            <w:pPr>
              <w:pStyle w:val="TableParagraph"/>
              <w:spacing w:line="170" w:lineRule="exact"/>
              <w:ind w:left="68"/>
              <w:rPr>
                <w:sz w:val="15"/>
              </w:rPr>
            </w:pPr>
            <w:r>
              <w:rPr>
                <w:color w:val="231F20"/>
                <w:spacing w:val="-2"/>
                <w:sz w:val="15"/>
              </w:rPr>
              <w:t>Interferon</w:t>
            </w:r>
          </w:p>
        </w:tc>
      </w:tr>
      <w:tr>
        <w:trPr>
          <w:trHeight w:val="2168" w:hRule="atLeast"/>
        </w:trPr>
        <w:tc>
          <w:tcPr>
            <w:tcW w:w="2352" w:type="dxa"/>
            <w:gridSpan w:val="2"/>
            <w:tcBorders>
              <w:top w:val="single" w:sz="4" w:space="0" w:color="FFFFFF"/>
              <w:bottom w:val="single" w:sz="8" w:space="0" w:color="231F20"/>
              <w:right w:val="single" w:sz="4" w:space="0" w:color="231F20"/>
            </w:tcBorders>
            <w:shd w:val="clear" w:color="auto" w:fill="E8F5F1"/>
          </w:tcPr>
          <w:p>
            <w:pPr>
              <w:pStyle w:val="TableParagraph"/>
              <w:spacing w:line="172" w:lineRule="exact" w:before="38"/>
              <w:ind w:left="74"/>
              <w:rPr>
                <w:sz w:val="15"/>
              </w:rPr>
            </w:pPr>
            <w:r>
              <w:rPr>
                <w:color w:val="231F20"/>
                <w:w w:val="115"/>
                <w:sz w:val="15"/>
              </w:rPr>
              <w:t>LESS-COMMON</w:t>
            </w:r>
            <w:r>
              <w:rPr>
                <w:color w:val="231F20"/>
                <w:spacing w:val="16"/>
                <w:w w:val="115"/>
                <w:sz w:val="15"/>
              </w:rPr>
              <w:t> </w:t>
            </w:r>
            <w:r>
              <w:rPr>
                <w:color w:val="231F20"/>
                <w:spacing w:val="-2"/>
                <w:w w:val="115"/>
                <w:sz w:val="15"/>
              </w:rPr>
              <w:t>INFECTIONS</w:t>
            </w:r>
          </w:p>
          <w:p>
            <w:pPr>
              <w:pStyle w:val="TableParagraph"/>
              <w:spacing w:line="230" w:lineRule="auto" w:before="3"/>
              <w:ind w:left="74"/>
              <w:rPr>
                <w:sz w:val="15"/>
              </w:rPr>
            </w:pPr>
            <w:r>
              <w:rPr>
                <w:color w:val="231F20"/>
                <w:sz w:val="15"/>
              </w:rPr>
              <w:t>Otitis</w:t>
            </w:r>
            <w:r>
              <w:rPr>
                <w:color w:val="231F20"/>
                <w:spacing w:val="-12"/>
                <w:sz w:val="15"/>
              </w:rPr>
              <w:t> </w:t>
            </w:r>
            <w:r>
              <w:rPr>
                <w:color w:val="231F20"/>
                <w:sz w:val="15"/>
              </w:rPr>
              <w:t>media</w:t>
            </w:r>
            <w:r>
              <w:rPr>
                <w:color w:val="231F20"/>
                <w:spacing w:val="-11"/>
                <w:sz w:val="15"/>
              </w:rPr>
              <w:t> </w:t>
            </w:r>
            <w:r>
              <w:rPr>
                <w:rFonts w:ascii="Cambria" w:hAnsi="Cambria"/>
                <w:color w:val="231F20"/>
                <w:sz w:val="15"/>
              </w:rPr>
              <w:t>±</w:t>
            </w:r>
            <w:r>
              <w:rPr>
                <w:rFonts w:ascii="Cambria" w:hAnsi="Cambria"/>
                <w:color w:val="231F20"/>
                <w:spacing w:val="-3"/>
                <w:sz w:val="15"/>
              </w:rPr>
              <w:t> </w:t>
            </w:r>
            <w:r>
              <w:rPr>
                <w:color w:val="231F20"/>
                <w:sz w:val="15"/>
              </w:rPr>
              <w:t>cholesteatoma Lyme disease</w:t>
            </w:r>
          </w:p>
          <w:p>
            <w:pPr>
              <w:pStyle w:val="TableParagraph"/>
              <w:spacing w:line="230" w:lineRule="auto" w:before="2"/>
              <w:ind w:left="74" w:right="1073"/>
              <w:rPr>
                <w:sz w:val="15"/>
              </w:rPr>
            </w:pPr>
            <w:r>
              <w:rPr>
                <w:color w:val="231F20"/>
                <w:spacing w:val="-2"/>
                <w:sz w:val="15"/>
              </w:rPr>
              <w:t>Epstein-Barr</w:t>
            </w:r>
            <w:r>
              <w:rPr>
                <w:color w:val="231F20"/>
                <w:spacing w:val="-10"/>
                <w:sz w:val="15"/>
              </w:rPr>
              <w:t> </w:t>
            </w:r>
            <w:r>
              <w:rPr>
                <w:color w:val="231F20"/>
                <w:spacing w:val="-2"/>
                <w:sz w:val="15"/>
              </w:rPr>
              <w:t>virus Cytomegalovirus Mumps</w:t>
            </w:r>
          </w:p>
          <w:p>
            <w:pPr>
              <w:pStyle w:val="TableParagraph"/>
              <w:spacing w:line="230" w:lineRule="auto" w:before="2"/>
              <w:ind w:left="74" w:right="405"/>
              <w:rPr>
                <w:i/>
                <w:sz w:val="15"/>
              </w:rPr>
            </w:pPr>
            <w:r>
              <w:rPr>
                <w:color w:val="231F20"/>
                <w:sz w:val="15"/>
              </w:rPr>
              <w:t>Human herpesvirus 6 </w:t>
            </w:r>
            <w:r>
              <w:rPr>
                <w:color w:val="231F20"/>
                <w:spacing w:val="-4"/>
                <w:sz w:val="15"/>
              </w:rPr>
              <w:t>Intranasal influenza </w:t>
            </w:r>
            <w:r>
              <w:rPr>
                <w:color w:val="231F20"/>
                <w:spacing w:val="-4"/>
                <w:sz w:val="15"/>
              </w:rPr>
              <w:t>vaccine </w:t>
            </w:r>
            <w:r>
              <w:rPr>
                <w:i/>
                <w:color w:val="231F20"/>
                <w:spacing w:val="-2"/>
                <w:sz w:val="15"/>
              </w:rPr>
              <w:t>Mycoplasma</w:t>
            </w:r>
          </w:p>
          <w:p>
            <w:pPr>
              <w:pStyle w:val="TableParagraph"/>
              <w:spacing w:line="230" w:lineRule="auto" w:before="2"/>
              <w:ind w:left="74" w:right="1643"/>
              <w:jc w:val="both"/>
              <w:rPr>
                <w:sz w:val="15"/>
              </w:rPr>
            </w:pPr>
            <w:r>
              <w:rPr>
                <w:i/>
                <w:color w:val="231F20"/>
                <w:spacing w:val="-2"/>
                <w:sz w:val="15"/>
              </w:rPr>
              <w:t>Toxocara </w:t>
            </w:r>
            <w:r>
              <w:rPr>
                <w:i/>
                <w:color w:val="231F20"/>
                <w:spacing w:val="-2"/>
                <w:w w:val="90"/>
                <w:sz w:val="15"/>
              </w:rPr>
              <w:t>Rickettsia</w:t>
            </w:r>
            <w:r>
              <w:rPr>
                <w:i/>
                <w:color w:val="231F20"/>
                <w:spacing w:val="-2"/>
                <w:sz w:val="15"/>
              </w:rPr>
              <w:t> </w:t>
            </w:r>
            <w:r>
              <w:rPr>
                <w:color w:val="231F20"/>
                <w:spacing w:val="-2"/>
                <w:sz w:val="15"/>
              </w:rPr>
              <w:t>AIDS/HIV</w:t>
            </w:r>
          </w:p>
        </w:tc>
        <w:tc>
          <w:tcPr>
            <w:tcW w:w="2352" w:type="dxa"/>
            <w:vMerge/>
            <w:tcBorders>
              <w:top w:val="nil"/>
              <w:left w:val="single" w:sz="4" w:space="0" w:color="231F20"/>
              <w:bottom w:val="single" w:sz="8" w:space="0" w:color="231F20"/>
            </w:tcBorders>
            <w:shd w:val="clear" w:color="auto" w:fill="E8F5F1"/>
          </w:tcPr>
          <w:p>
            <w:pPr>
              <w:rPr>
                <w:sz w:val="2"/>
                <w:szCs w:val="2"/>
              </w:rPr>
            </w:pPr>
          </w:p>
        </w:tc>
      </w:tr>
    </w:tbl>
    <w:p>
      <w:pPr>
        <w:pStyle w:val="BodyText"/>
        <w:spacing w:line="150" w:lineRule="exact" w:before="75"/>
        <w:ind w:left="36"/>
      </w:pPr>
      <w:r>
        <w:rPr>
          <w:color w:val="231F20"/>
        </w:rPr>
        <w:t>*Implicated</w:t>
      </w:r>
      <w:r>
        <w:rPr>
          <w:color w:val="231F20"/>
          <w:spacing w:val="-3"/>
        </w:rPr>
        <w:t> </w:t>
      </w:r>
      <w:r>
        <w:rPr>
          <w:color w:val="231F20"/>
        </w:rPr>
        <w:t>in</w:t>
      </w:r>
      <w:r>
        <w:rPr>
          <w:color w:val="231F20"/>
          <w:spacing w:val="-3"/>
        </w:rPr>
        <w:t> </w:t>
      </w:r>
      <w:r>
        <w:rPr>
          <w:color w:val="231F20"/>
        </w:rPr>
        <w:t>idiopathic</w:t>
      </w:r>
      <w:r>
        <w:rPr>
          <w:color w:val="231F20"/>
          <w:spacing w:val="-2"/>
        </w:rPr>
        <w:t> </w:t>
      </w:r>
      <w:r>
        <w:rPr>
          <w:color w:val="231F20"/>
        </w:rPr>
        <w:t>Bell</w:t>
      </w:r>
      <w:r>
        <w:rPr>
          <w:color w:val="231F20"/>
          <w:spacing w:val="-3"/>
        </w:rPr>
        <w:t> </w:t>
      </w:r>
      <w:r>
        <w:rPr>
          <w:color w:val="231F20"/>
          <w:spacing w:val="-2"/>
        </w:rPr>
        <w:t>palsy.</w:t>
      </w:r>
    </w:p>
    <w:p>
      <w:pPr>
        <w:pStyle w:val="BodyText"/>
        <w:ind w:left="36" w:firstLine="130"/>
      </w:pPr>
      <w:r>
        <w:rPr>
          <w:color w:val="231F20"/>
          <w:vertAlign w:val="superscript"/>
        </w:rPr>
        <w:t>†</w:t>
      </w:r>
      <w:r>
        <w:rPr>
          <w:color w:val="231F20"/>
          <w:vertAlign w:val="baseline"/>
        </w:rPr>
        <w:t>Noncaseating</w:t>
      </w:r>
      <w:r>
        <w:rPr>
          <w:color w:val="231F20"/>
          <w:spacing w:val="-10"/>
          <w:vertAlign w:val="baseline"/>
        </w:rPr>
        <w:t> </w:t>
      </w:r>
      <w:r>
        <w:rPr>
          <w:color w:val="231F20"/>
          <w:vertAlign w:val="baseline"/>
        </w:rPr>
        <w:t>granulomas</w:t>
      </w:r>
      <w:r>
        <w:rPr>
          <w:color w:val="231F20"/>
          <w:spacing w:val="-10"/>
          <w:vertAlign w:val="baseline"/>
        </w:rPr>
        <w:t> </w:t>
      </w:r>
      <w:r>
        <w:rPr>
          <w:color w:val="231F20"/>
          <w:vertAlign w:val="baseline"/>
        </w:rPr>
        <w:t>with</w:t>
      </w:r>
      <w:r>
        <w:rPr>
          <w:color w:val="231F20"/>
          <w:spacing w:val="-10"/>
          <w:vertAlign w:val="baseline"/>
        </w:rPr>
        <w:t> </w:t>
      </w:r>
      <w:r>
        <w:rPr>
          <w:color w:val="231F20"/>
          <w:vertAlign w:val="baseline"/>
        </w:rPr>
        <w:t>facial</w:t>
      </w:r>
      <w:r>
        <w:rPr>
          <w:color w:val="231F20"/>
          <w:spacing w:val="-10"/>
          <w:vertAlign w:val="baseline"/>
        </w:rPr>
        <w:t> </w:t>
      </w:r>
      <w:r>
        <w:rPr>
          <w:color w:val="231F20"/>
          <w:vertAlign w:val="baseline"/>
        </w:rPr>
        <w:t>(lips,</w:t>
      </w:r>
      <w:r>
        <w:rPr>
          <w:color w:val="231F20"/>
          <w:spacing w:val="-9"/>
          <w:vertAlign w:val="baseline"/>
        </w:rPr>
        <w:t> </w:t>
      </w:r>
      <w:r>
        <w:rPr>
          <w:color w:val="231F20"/>
          <w:vertAlign w:val="baseline"/>
        </w:rPr>
        <w:t>eyelids)</w:t>
      </w:r>
      <w:r>
        <w:rPr>
          <w:color w:val="231F20"/>
          <w:spacing w:val="-10"/>
          <w:vertAlign w:val="baseline"/>
        </w:rPr>
        <w:t> </w:t>
      </w:r>
      <w:r>
        <w:rPr>
          <w:color w:val="231F20"/>
          <w:vertAlign w:val="baseline"/>
        </w:rPr>
        <w:t>edema,</w:t>
      </w:r>
      <w:r>
        <w:rPr>
          <w:color w:val="231F20"/>
          <w:spacing w:val="-10"/>
          <w:vertAlign w:val="baseline"/>
        </w:rPr>
        <w:t> </w:t>
      </w:r>
      <w:r>
        <w:rPr>
          <w:color w:val="231F20"/>
          <w:vertAlign w:val="baseline"/>
        </w:rPr>
        <w:t>recurrent</w:t>
      </w:r>
      <w:r>
        <w:rPr>
          <w:color w:val="231F20"/>
          <w:spacing w:val="40"/>
          <w:vertAlign w:val="baseline"/>
        </w:rPr>
        <w:t> </w:t>
      </w:r>
      <w:r>
        <w:rPr>
          <w:color w:val="231F20"/>
          <w:vertAlign w:val="baseline"/>
        </w:rPr>
        <w:t>alternating</w:t>
      </w:r>
      <w:r>
        <w:rPr>
          <w:color w:val="231F20"/>
          <w:spacing w:val="-1"/>
          <w:vertAlign w:val="baseline"/>
        </w:rPr>
        <w:t> </w:t>
      </w:r>
      <w:r>
        <w:rPr>
          <w:color w:val="231F20"/>
          <w:vertAlign w:val="baseline"/>
        </w:rPr>
        <w:t>facial</w:t>
      </w:r>
      <w:r>
        <w:rPr>
          <w:color w:val="231F20"/>
          <w:spacing w:val="-1"/>
          <w:vertAlign w:val="baseline"/>
        </w:rPr>
        <w:t> </w:t>
      </w:r>
      <w:r>
        <w:rPr>
          <w:color w:val="231F20"/>
          <w:vertAlign w:val="baseline"/>
        </w:rPr>
        <w:t>paralysis,</w:t>
      </w:r>
      <w:r>
        <w:rPr>
          <w:color w:val="231F20"/>
          <w:spacing w:val="-1"/>
          <w:vertAlign w:val="baseline"/>
        </w:rPr>
        <w:t> </w:t>
      </w:r>
      <w:r>
        <w:rPr>
          <w:color w:val="231F20"/>
          <w:vertAlign w:val="baseline"/>
        </w:rPr>
        <w:t>family</w:t>
      </w:r>
      <w:r>
        <w:rPr>
          <w:color w:val="231F20"/>
          <w:spacing w:val="-1"/>
          <w:vertAlign w:val="baseline"/>
        </w:rPr>
        <w:t> </w:t>
      </w:r>
      <w:r>
        <w:rPr>
          <w:color w:val="231F20"/>
          <w:vertAlign w:val="baseline"/>
        </w:rPr>
        <w:t>history,</w:t>
      </w:r>
      <w:r>
        <w:rPr>
          <w:color w:val="231F20"/>
          <w:spacing w:val="-1"/>
          <w:vertAlign w:val="baseline"/>
        </w:rPr>
        <w:t> </w:t>
      </w:r>
      <w:r>
        <w:rPr>
          <w:color w:val="231F20"/>
          <w:vertAlign w:val="baseline"/>
        </w:rPr>
        <w:t>migraines,</w:t>
      </w:r>
      <w:r>
        <w:rPr>
          <w:color w:val="231F20"/>
          <w:spacing w:val="-1"/>
          <w:vertAlign w:val="baseline"/>
        </w:rPr>
        <w:t> </w:t>
      </w:r>
      <w:r>
        <w:rPr>
          <w:color w:val="231F20"/>
          <w:vertAlign w:val="baseline"/>
        </w:rPr>
        <w:t>or</w:t>
      </w:r>
      <w:r>
        <w:rPr>
          <w:color w:val="231F20"/>
          <w:spacing w:val="-1"/>
          <w:vertAlign w:val="baseline"/>
        </w:rPr>
        <w:t> </w:t>
      </w:r>
      <w:r>
        <w:rPr>
          <w:color w:val="231F20"/>
          <w:vertAlign w:val="baseline"/>
        </w:rPr>
        <w:t>headaches.</w:t>
      </w:r>
    </w:p>
    <w:p>
      <w:pPr>
        <w:spacing w:line="240" w:lineRule="auto" w:before="0"/>
        <w:rPr>
          <w:sz w:val="13"/>
        </w:rPr>
      </w:pPr>
      <w:r>
        <w:rPr/>
        <w:br w:type="column"/>
      </w:r>
      <w:r>
        <w:rPr>
          <w:sz w:val="13"/>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
      </w:pPr>
    </w:p>
    <w:p>
      <w:pPr>
        <w:spacing w:before="0"/>
        <w:ind w:left="36" w:right="779" w:firstLine="0"/>
        <w:jc w:val="left"/>
        <w:rPr>
          <w:i/>
          <w:sz w:val="13"/>
        </w:rPr>
      </w:pPr>
      <w:r>
        <w:rPr>
          <w:i/>
          <w:sz w:val="13"/>
        </w:rPr>
        <mc:AlternateContent>
          <mc:Choice Requires="wps">
            <w:drawing>
              <wp:anchor distT="0" distB="0" distL="0" distR="0" allowOverlap="1" layoutInCell="1" locked="0" behindDoc="0" simplePos="0" relativeHeight="15805952">
                <wp:simplePos x="0" y="0"/>
                <wp:positionH relativeFrom="page">
                  <wp:posOffset>3748399</wp:posOffset>
                </wp:positionH>
                <wp:positionV relativeFrom="paragraph">
                  <wp:posOffset>-2319046</wp:posOffset>
                </wp:positionV>
                <wp:extent cx="3062605" cy="2271395"/>
                <wp:effectExtent l="0" t="0" r="0" b="0"/>
                <wp:wrapNone/>
                <wp:docPr id="1063" name="Textbox 1063"/>
                <wp:cNvGraphicFramePr>
                  <a:graphicFrameLocks/>
                </wp:cNvGraphicFramePr>
                <a:graphic>
                  <a:graphicData uri="http://schemas.microsoft.com/office/word/2010/wordprocessingShape">
                    <wps:wsp>
                      <wps:cNvPr id="1063" name="Textbox 1063"/>
                      <wps:cNvSpPr txBox="1"/>
                      <wps:spPr>
                        <a:xfrm>
                          <a:off x="0" y="0"/>
                          <a:ext cx="3062605" cy="22713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548"/>
                              <w:gridCol w:w="2007"/>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616-</w:t>
                                  </w:r>
                                  <w:r>
                                    <w:rPr>
                                      <w:b/>
                                      <w:color w:val="FFFFFF"/>
                                      <w:spacing w:val="-10"/>
                                      <w:w w:val="105"/>
                                      <w:sz w:val="16"/>
                                    </w:rPr>
                                    <w:t>2</w:t>
                                  </w:r>
                                </w:p>
                              </w:tc>
                              <w:tc>
                                <w:tcPr>
                                  <w:tcW w:w="3555" w:type="dxa"/>
                                  <w:gridSpan w:val="2"/>
                                  <w:tcBorders>
                                    <w:left w:val="single" w:sz="8" w:space="0" w:color="FFFFFF"/>
                                  </w:tcBorders>
                                  <w:shd w:val="clear" w:color="auto" w:fill="231F20"/>
                                </w:tcPr>
                                <w:p>
                                  <w:pPr>
                                    <w:pStyle w:val="TableParagraph"/>
                                    <w:spacing w:before="89"/>
                                    <w:ind w:left="73" w:right="197"/>
                                    <w:rPr>
                                      <w:sz w:val="16"/>
                                    </w:rPr>
                                  </w:pPr>
                                  <w:r>
                                    <w:rPr>
                                      <w:color w:val="FFFFFF"/>
                                      <w:w w:val="105"/>
                                      <w:sz w:val="16"/>
                                    </w:rPr>
                                    <w:t>Classification</w:t>
                                  </w:r>
                                  <w:r>
                                    <w:rPr>
                                      <w:color w:val="FFFFFF"/>
                                      <w:spacing w:val="-1"/>
                                      <w:w w:val="105"/>
                                      <w:sz w:val="16"/>
                                    </w:rPr>
                                    <w:t> </w:t>
                                  </w:r>
                                  <w:r>
                                    <w:rPr>
                                      <w:color w:val="FFFFFF"/>
                                      <w:w w:val="105"/>
                                      <w:sz w:val="16"/>
                                    </w:rPr>
                                    <w:t>of</w:t>
                                  </w:r>
                                  <w:r>
                                    <w:rPr>
                                      <w:color w:val="FFFFFF"/>
                                      <w:spacing w:val="-1"/>
                                      <w:w w:val="105"/>
                                      <w:sz w:val="16"/>
                                    </w:rPr>
                                    <w:t> </w:t>
                                  </w:r>
                                  <w:r>
                                    <w:rPr>
                                      <w:color w:val="FFFFFF"/>
                                      <w:w w:val="105"/>
                                      <w:sz w:val="16"/>
                                    </w:rPr>
                                    <w:t>Guillain-Barré</w:t>
                                  </w:r>
                                  <w:r>
                                    <w:rPr>
                                      <w:color w:val="FFFFFF"/>
                                      <w:spacing w:val="-1"/>
                                      <w:w w:val="105"/>
                                      <w:sz w:val="16"/>
                                    </w:rPr>
                                    <w:t> </w:t>
                                  </w:r>
                                  <w:r>
                                    <w:rPr>
                                      <w:color w:val="FFFFFF"/>
                                      <w:w w:val="105"/>
                                      <w:sz w:val="16"/>
                                    </w:rPr>
                                    <w:t>Syndrome and Related Disorders and Typical Antiganglioside Antibodies By </w:t>
                                  </w:r>
                                  <w:r>
                                    <w:rPr>
                                      <w:color w:val="FFFFFF"/>
                                      <w:w w:val="105"/>
                                      <w:sz w:val="16"/>
                                    </w:rPr>
                                    <w:t>Pathology</w:t>
                                  </w:r>
                                </w:p>
                              </w:tc>
                            </w:tr>
                            <w:tr>
                              <w:trPr>
                                <w:trHeight w:val="257" w:hRule="atLeast"/>
                              </w:trPr>
                              <w:tc>
                                <w:tcPr>
                                  <w:tcW w:w="2696" w:type="dxa"/>
                                  <w:gridSpan w:val="2"/>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DISORDER</w:t>
                                  </w:r>
                                </w:p>
                              </w:tc>
                              <w:tc>
                                <w:tcPr>
                                  <w:tcW w:w="2007" w:type="dxa"/>
                                  <w:tcBorders>
                                    <w:bottom w:val="single" w:sz="4" w:space="0" w:color="231F20"/>
                                  </w:tcBorders>
                                  <w:shd w:val="clear" w:color="auto" w:fill="E8F5F1"/>
                                </w:tcPr>
                                <w:p>
                                  <w:pPr>
                                    <w:pStyle w:val="TableParagraph"/>
                                    <w:spacing w:before="47"/>
                                    <w:ind w:left="670"/>
                                    <w:rPr>
                                      <w:b/>
                                      <w:sz w:val="15"/>
                                    </w:rPr>
                                  </w:pPr>
                                  <w:r>
                                    <w:rPr>
                                      <w:b/>
                                      <w:color w:val="231F20"/>
                                      <w:spacing w:val="-2"/>
                                      <w:w w:val="110"/>
                                      <w:sz w:val="15"/>
                                    </w:rPr>
                                    <w:t>ANTIBODIES</w:t>
                                  </w:r>
                                </w:p>
                              </w:tc>
                            </w:tr>
                            <w:tr>
                              <w:trPr>
                                <w:trHeight w:val="1269" w:hRule="atLeast"/>
                              </w:trPr>
                              <w:tc>
                                <w:tcPr>
                                  <w:tcW w:w="2696" w:type="dxa"/>
                                  <w:gridSpan w:val="2"/>
                                  <w:tcBorders>
                                    <w:top w:val="single" w:sz="4" w:space="0" w:color="231F20"/>
                                    <w:bottom w:val="single" w:sz="4" w:space="0" w:color="FFFFFF"/>
                                  </w:tcBorders>
                                  <w:shd w:val="clear" w:color="auto" w:fill="E8F5F1"/>
                                </w:tcPr>
                                <w:p>
                                  <w:pPr>
                                    <w:pStyle w:val="TableParagraph"/>
                                    <w:spacing w:line="230" w:lineRule="auto" w:before="52"/>
                                    <w:ind w:left="186" w:hanging="112"/>
                                    <w:rPr>
                                      <w:sz w:val="15"/>
                                    </w:rPr>
                                  </w:pPr>
                                  <w:r>
                                    <w:rPr>
                                      <w:color w:val="231F20"/>
                                      <w:spacing w:val="-2"/>
                                      <w:sz w:val="15"/>
                                    </w:rPr>
                                    <w:t>Acute</w:t>
                                  </w:r>
                                  <w:r>
                                    <w:rPr>
                                      <w:color w:val="231F20"/>
                                      <w:spacing w:val="-10"/>
                                      <w:sz w:val="15"/>
                                    </w:rPr>
                                    <w:t> </w:t>
                                  </w:r>
                                  <w:r>
                                    <w:rPr>
                                      <w:color w:val="231F20"/>
                                      <w:spacing w:val="-2"/>
                                      <w:sz w:val="15"/>
                                    </w:rPr>
                                    <w:t>inflammatory</w:t>
                                  </w:r>
                                  <w:r>
                                    <w:rPr>
                                      <w:color w:val="231F20"/>
                                      <w:spacing w:val="-9"/>
                                      <w:sz w:val="15"/>
                                    </w:rPr>
                                    <w:t> </w:t>
                                  </w:r>
                                  <w:r>
                                    <w:rPr>
                                      <w:color w:val="231F20"/>
                                      <w:spacing w:val="-2"/>
                                      <w:sz w:val="15"/>
                                    </w:rPr>
                                    <w:t>demyelinating polyradiculoneuropathy</w:t>
                                  </w:r>
                                </w:p>
                                <w:p>
                                  <w:pPr>
                                    <w:pStyle w:val="TableParagraph"/>
                                    <w:spacing w:line="230" w:lineRule="auto" w:before="3"/>
                                    <w:ind w:left="186" w:hanging="112"/>
                                    <w:rPr>
                                      <w:sz w:val="15"/>
                                    </w:rPr>
                                  </w:pPr>
                                  <w:r>
                                    <w:rPr>
                                      <w:color w:val="231F20"/>
                                      <w:sz w:val="15"/>
                                    </w:rPr>
                                    <w:t>Acute</w:t>
                                  </w:r>
                                  <w:r>
                                    <w:rPr>
                                      <w:color w:val="231F20"/>
                                      <w:spacing w:val="-6"/>
                                      <w:sz w:val="15"/>
                                    </w:rPr>
                                    <w:t> </w:t>
                                  </w:r>
                                  <w:r>
                                    <w:rPr>
                                      <w:color w:val="231F20"/>
                                      <w:sz w:val="15"/>
                                    </w:rPr>
                                    <w:t>motor</w:t>
                                  </w:r>
                                  <w:r>
                                    <w:rPr>
                                      <w:color w:val="231F20"/>
                                      <w:spacing w:val="-6"/>
                                      <w:sz w:val="15"/>
                                    </w:rPr>
                                    <w:t> </w:t>
                                  </w:r>
                                  <w:r>
                                    <w:rPr>
                                      <w:color w:val="231F20"/>
                                      <w:sz w:val="15"/>
                                    </w:rPr>
                                    <w:t>and</w:t>
                                  </w:r>
                                  <w:r>
                                    <w:rPr>
                                      <w:color w:val="231F20"/>
                                      <w:spacing w:val="-6"/>
                                      <w:sz w:val="15"/>
                                    </w:rPr>
                                    <w:t> </w:t>
                                  </w:r>
                                  <w:r>
                                    <w:rPr>
                                      <w:color w:val="231F20"/>
                                      <w:sz w:val="15"/>
                                    </w:rPr>
                                    <w:t>sensory</w:t>
                                  </w:r>
                                  <w:r>
                                    <w:rPr>
                                      <w:color w:val="231F20"/>
                                      <w:spacing w:val="-6"/>
                                      <w:sz w:val="15"/>
                                    </w:rPr>
                                    <w:t> </w:t>
                                  </w:r>
                                  <w:r>
                                    <w:rPr>
                                      <w:color w:val="231F20"/>
                                      <w:sz w:val="15"/>
                                    </w:rPr>
                                    <w:t>axonal </w:t>
                                  </w:r>
                                  <w:r>
                                    <w:rPr>
                                      <w:color w:val="231F20"/>
                                      <w:spacing w:val="-2"/>
                                      <w:sz w:val="15"/>
                                    </w:rPr>
                                    <w:t>neuropathy</w:t>
                                  </w:r>
                                </w:p>
                                <w:p>
                                  <w:pPr>
                                    <w:pStyle w:val="TableParagraph"/>
                                    <w:spacing w:line="172" w:lineRule="exact"/>
                                    <w:ind w:left="74"/>
                                    <w:rPr>
                                      <w:sz w:val="15"/>
                                    </w:rPr>
                                  </w:pPr>
                                  <w:r>
                                    <w:rPr>
                                      <w:color w:val="231F20"/>
                                      <w:sz w:val="15"/>
                                    </w:rPr>
                                    <w:t>Acute</w:t>
                                  </w:r>
                                  <w:r>
                                    <w:rPr>
                                      <w:color w:val="231F20"/>
                                      <w:spacing w:val="-2"/>
                                      <w:sz w:val="15"/>
                                    </w:rPr>
                                    <w:t> </w:t>
                                  </w:r>
                                  <w:r>
                                    <w:rPr>
                                      <w:color w:val="231F20"/>
                                      <w:sz w:val="15"/>
                                    </w:rPr>
                                    <w:t>motor</w:t>
                                  </w:r>
                                  <w:r>
                                    <w:rPr>
                                      <w:color w:val="231F20"/>
                                      <w:spacing w:val="-2"/>
                                      <w:sz w:val="15"/>
                                    </w:rPr>
                                    <w:t> </w:t>
                                  </w:r>
                                  <w:r>
                                    <w:rPr>
                                      <w:color w:val="231F20"/>
                                      <w:sz w:val="15"/>
                                    </w:rPr>
                                    <w:t>axonal</w:t>
                                  </w:r>
                                  <w:r>
                                    <w:rPr>
                                      <w:color w:val="231F20"/>
                                      <w:spacing w:val="-2"/>
                                      <w:sz w:val="15"/>
                                    </w:rPr>
                                    <w:t> neuropathy</w:t>
                                  </w:r>
                                </w:p>
                                <w:p>
                                  <w:pPr>
                                    <w:pStyle w:val="TableParagraph"/>
                                    <w:spacing w:before="163"/>
                                    <w:ind w:left="74"/>
                                    <w:rPr>
                                      <w:sz w:val="15"/>
                                    </w:rPr>
                                  </w:pPr>
                                  <w:r>
                                    <w:rPr>
                                      <w:color w:val="231F20"/>
                                      <w:sz w:val="15"/>
                                    </w:rPr>
                                    <w:t>Acute</w:t>
                                  </w:r>
                                  <w:r>
                                    <w:rPr>
                                      <w:color w:val="231F20"/>
                                      <w:spacing w:val="1"/>
                                      <w:sz w:val="15"/>
                                    </w:rPr>
                                    <w:t> </w:t>
                                  </w:r>
                                  <w:r>
                                    <w:rPr>
                                      <w:color w:val="231F20"/>
                                      <w:sz w:val="15"/>
                                    </w:rPr>
                                    <w:t>sensory</w:t>
                                  </w:r>
                                  <w:r>
                                    <w:rPr>
                                      <w:color w:val="231F20"/>
                                      <w:spacing w:val="1"/>
                                      <w:sz w:val="15"/>
                                    </w:rPr>
                                    <w:t> </w:t>
                                  </w:r>
                                  <w:r>
                                    <w:rPr>
                                      <w:color w:val="231F20"/>
                                      <w:spacing w:val="-2"/>
                                      <w:sz w:val="15"/>
                                    </w:rPr>
                                    <w:t>neuronopathy</w:t>
                                  </w:r>
                                </w:p>
                              </w:tc>
                              <w:tc>
                                <w:tcPr>
                                  <w:tcW w:w="2007" w:type="dxa"/>
                                  <w:tcBorders>
                                    <w:top w:val="single" w:sz="4" w:space="0" w:color="231F20"/>
                                    <w:bottom w:val="single" w:sz="4" w:space="0" w:color="FFFFFF"/>
                                  </w:tcBorders>
                                  <w:shd w:val="clear" w:color="auto" w:fill="E8F5F1"/>
                                </w:tcPr>
                                <w:p>
                                  <w:pPr>
                                    <w:pStyle w:val="TableParagraph"/>
                                    <w:spacing w:before="47"/>
                                    <w:ind w:left="329"/>
                                    <w:rPr>
                                      <w:sz w:val="15"/>
                                    </w:rPr>
                                  </w:pPr>
                                  <w:r>
                                    <w:rPr>
                                      <w:color w:val="231F20"/>
                                      <w:spacing w:val="-2"/>
                                      <w:sz w:val="15"/>
                                    </w:rPr>
                                    <w:t>Unknown</w:t>
                                  </w:r>
                                </w:p>
                                <w:p>
                                  <w:pPr>
                                    <w:pStyle w:val="TableParagraph"/>
                                    <w:spacing w:line="330" w:lineRule="atLeast" w:before="7"/>
                                    <w:ind w:left="329" w:right="440"/>
                                    <w:rPr>
                                      <w:sz w:val="15"/>
                                    </w:rPr>
                                  </w:pPr>
                                  <w:r>
                                    <w:rPr>
                                      <w:color w:val="231F20"/>
                                      <w:sz w:val="15"/>
                                    </w:rPr>
                                    <w:t>GM</w:t>
                                  </w:r>
                                  <w:r>
                                    <w:rPr>
                                      <w:color w:val="231F20"/>
                                      <w:sz w:val="15"/>
                                      <w:vertAlign w:val="subscript"/>
                                    </w:rPr>
                                    <w:t>1</w:t>
                                  </w:r>
                                  <w:r>
                                    <w:rPr>
                                      <w:color w:val="231F20"/>
                                      <w:sz w:val="15"/>
                                      <w:vertAlign w:val="baseline"/>
                                    </w:rPr>
                                    <w:t>, GM</w:t>
                                  </w:r>
                                  <w:r>
                                    <w:rPr>
                                      <w:color w:val="231F20"/>
                                      <w:sz w:val="15"/>
                                      <w:vertAlign w:val="subscript"/>
                                    </w:rPr>
                                    <w:t>1b</w:t>
                                  </w:r>
                                  <w:r>
                                    <w:rPr>
                                      <w:color w:val="231F20"/>
                                      <w:sz w:val="15"/>
                                      <w:vertAlign w:val="baseline"/>
                                    </w:rPr>
                                    <w:t>, GD</w:t>
                                  </w:r>
                                  <w:r>
                                    <w:rPr>
                                      <w:color w:val="231F20"/>
                                      <w:sz w:val="15"/>
                                      <w:vertAlign w:val="subscript"/>
                                    </w:rPr>
                                    <w:t>1a</w:t>
                                  </w:r>
                                  <w:r>
                                    <w:rPr>
                                      <w:color w:val="231F20"/>
                                      <w:sz w:val="15"/>
                                      <w:vertAlign w:val="baseline"/>
                                    </w:rPr>
                                    <w:t> GM</w:t>
                                  </w:r>
                                  <w:r>
                                    <w:rPr>
                                      <w:color w:val="231F20"/>
                                      <w:sz w:val="15"/>
                                      <w:vertAlign w:val="subscript"/>
                                    </w:rPr>
                                    <w:t>1</w:t>
                                  </w:r>
                                  <w:r>
                                    <w:rPr>
                                      <w:color w:val="231F20"/>
                                      <w:sz w:val="15"/>
                                      <w:vertAlign w:val="baseline"/>
                                    </w:rPr>
                                    <w:t>,</w:t>
                                  </w:r>
                                  <w:r>
                                    <w:rPr>
                                      <w:color w:val="231F20"/>
                                      <w:spacing w:val="16"/>
                                      <w:sz w:val="15"/>
                                      <w:vertAlign w:val="baseline"/>
                                    </w:rPr>
                                    <w:t> </w:t>
                                  </w:r>
                                  <w:r>
                                    <w:rPr>
                                      <w:color w:val="231F20"/>
                                      <w:sz w:val="15"/>
                                      <w:vertAlign w:val="baseline"/>
                                    </w:rPr>
                                    <w:t>GM</w:t>
                                  </w:r>
                                  <w:r>
                                    <w:rPr>
                                      <w:color w:val="231F20"/>
                                      <w:sz w:val="15"/>
                                      <w:vertAlign w:val="subscript"/>
                                    </w:rPr>
                                    <w:t>1b</w:t>
                                  </w:r>
                                  <w:r>
                                    <w:rPr>
                                      <w:color w:val="231F20"/>
                                      <w:sz w:val="15"/>
                                      <w:vertAlign w:val="baseline"/>
                                    </w:rPr>
                                    <w:t>,</w:t>
                                  </w:r>
                                  <w:r>
                                    <w:rPr>
                                      <w:color w:val="231F20"/>
                                      <w:spacing w:val="17"/>
                                      <w:sz w:val="15"/>
                                      <w:vertAlign w:val="baseline"/>
                                    </w:rPr>
                                    <w:t> </w:t>
                                  </w:r>
                                  <w:r>
                                    <w:rPr>
                                      <w:color w:val="231F20"/>
                                      <w:spacing w:val="-2"/>
                                      <w:sz w:val="15"/>
                                      <w:vertAlign w:val="baseline"/>
                                    </w:rPr>
                                    <w:t>GD</w:t>
                                  </w:r>
                                  <w:r>
                                    <w:rPr>
                                      <w:color w:val="231F20"/>
                                      <w:spacing w:val="-2"/>
                                      <w:sz w:val="15"/>
                                      <w:vertAlign w:val="subscript"/>
                                    </w:rPr>
                                    <w:t>1a</w:t>
                                  </w:r>
                                  <w:r>
                                    <w:rPr>
                                      <w:color w:val="231F20"/>
                                      <w:spacing w:val="-2"/>
                                      <w:sz w:val="15"/>
                                      <w:vertAlign w:val="baseline"/>
                                    </w:rPr>
                                    <w:t>,</w:t>
                                  </w:r>
                                </w:p>
                                <w:p>
                                  <w:pPr>
                                    <w:pStyle w:val="TableParagraph"/>
                                    <w:spacing w:line="232" w:lineRule="auto" w:before="5"/>
                                    <w:ind w:left="329" w:right="440" w:firstLine="111"/>
                                    <w:rPr>
                                      <w:sz w:val="15"/>
                                    </w:rPr>
                                  </w:pPr>
                                  <w:r>
                                    <w:rPr>
                                      <w:color w:val="231F20"/>
                                      <w:spacing w:val="-2"/>
                                      <w:w w:val="105"/>
                                      <w:sz w:val="15"/>
                                    </w:rPr>
                                    <w:t>GalNac-</w:t>
                                  </w:r>
                                  <w:r>
                                    <w:rPr>
                                      <w:color w:val="231F20"/>
                                      <w:spacing w:val="-2"/>
                                      <w:w w:val="105"/>
                                      <w:sz w:val="15"/>
                                    </w:rPr>
                                    <w:t>GD</w:t>
                                  </w:r>
                                  <w:r>
                                    <w:rPr>
                                      <w:color w:val="231F20"/>
                                      <w:spacing w:val="-2"/>
                                      <w:w w:val="105"/>
                                      <w:sz w:val="15"/>
                                      <w:vertAlign w:val="subscript"/>
                                    </w:rPr>
                                    <w:t>1a</w:t>
                                  </w:r>
                                  <w:r>
                                    <w:rPr>
                                      <w:color w:val="231F20"/>
                                      <w:spacing w:val="-2"/>
                                      <w:w w:val="105"/>
                                      <w:sz w:val="15"/>
                                      <w:vertAlign w:val="baseline"/>
                                    </w:rPr>
                                    <w:t> </w:t>
                                  </w:r>
                                  <w:r>
                                    <w:rPr>
                                      <w:color w:val="231F20"/>
                                      <w:spacing w:val="-4"/>
                                      <w:w w:val="105"/>
                                      <w:sz w:val="15"/>
                                      <w:vertAlign w:val="baseline"/>
                                    </w:rPr>
                                    <w:t>GD</w:t>
                                  </w:r>
                                  <w:r>
                                    <w:rPr>
                                      <w:color w:val="231F20"/>
                                      <w:spacing w:val="-4"/>
                                      <w:w w:val="105"/>
                                      <w:sz w:val="15"/>
                                      <w:vertAlign w:val="subscript"/>
                                    </w:rPr>
                                    <w:t>1b</w:t>
                                  </w:r>
                                </w:p>
                              </w:tc>
                            </w:tr>
                            <w:tr>
                              <w:trPr>
                                <w:trHeight w:val="1265" w:hRule="atLeast"/>
                              </w:trPr>
                              <w:tc>
                                <w:tcPr>
                                  <w:tcW w:w="2696"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ACUTE</w:t>
                                  </w:r>
                                  <w:r>
                                    <w:rPr>
                                      <w:color w:val="231F20"/>
                                      <w:spacing w:val="1"/>
                                      <w:w w:val="115"/>
                                      <w:sz w:val="15"/>
                                    </w:rPr>
                                    <w:t> </w:t>
                                  </w:r>
                                  <w:r>
                                    <w:rPr>
                                      <w:color w:val="231F20"/>
                                      <w:spacing w:val="-2"/>
                                      <w:w w:val="115"/>
                                      <w:sz w:val="15"/>
                                    </w:rPr>
                                    <w:t>PANDYSAUTONOMIA</w:t>
                                  </w:r>
                                </w:p>
                                <w:p>
                                  <w:pPr>
                                    <w:pStyle w:val="TableParagraph"/>
                                    <w:spacing w:line="232" w:lineRule="auto" w:before="2"/>
                                    <w:ind w:left="74" w:right="1430"/>
                                    <w:rPr>
                                      <w:i/>
                                      <w:sz w:val="15"/>
                                    </w:rPr>
                                  </w:pPr>
                                  <w:r>
                                    <w:rPr>
                                      <w:i/>
                                      <w:color w:val="231F20"/>
                                      <w:sz w:val="15"/>
                                    </w:rPr>
                                    <w:t>Regional</w:t>
                                  </w:r>
                                  <w:r>
                                    <w:rPr>
                                      <w:i/>
                                      <w:color w:val="231F20"/>
                                      <w:spacing w:val="-12"/>
                                      <w:sz w:val="15"/>
                                    </w:rPr>
                                    <w:t> </w:t>
                                  </w:r>
                                  <w:r>
                                    <w:rPr>
                                      <w:i/>
                                      <w:color w:val="231F20"/>
                                      <w:sz w:val="15"/>
                                    </w:rPr>
                                    <w:t>Variants </w:t>
                                  </w:r>
                                  <w:r>
                                    <w:rPr>
                                      <w:color w:val="231F20"/>
                                      <w:sz w:val="15"/>
                                    </w:rPr>
                                    <w:t>Fisher syndrome </w:t>
                                  </w:r>
                                  <w:r>
                                    <w:rPr>
                                      <w:color w:val="231F20"/>
                                      <w:spacing w:val="-2"/>
                                      <w:sz w:val="15"/>
                                    </w:rPr>
                                    <w:t>Oropharyngeal </w:t>
                                  </w:r>
                                  <w:r>
                                    <w:rPr>
                                      <w:i/>
                                      <w:color w:val="231F20"/>
                                      <w:spacing w:val="-2"/>
                                      <w:sz w:val="15"/>
                                    </w:rPr>
                                    <w:t>Overlap</w:t>
                                  </w:r>
                                </w:p>
                                <w:p>
                                  <w:pPr>
                                    <w:pStyle w:val="TableParagraph"/>
                                    <w:spacing w:line="230" w:lineRule="auto" w:before="4"/>
                                    <w:ind w:left="186" w:right="164" w:hanging="112"/>
                                    <w:rPr>
                                      <w:sz w:val="15"/>
                                    </w:rPr>
                                  </w:pPr>
                                  <w:r>
                                    <w:rPr>
                                      <w:color w:val="231F20"/>
                                      <w:spacing w:val="-4"/>
                                      <w:sz w:val="15"/>
                                    </w:rPr>
                                    <w:t>Fisher/Guillain-Barré </w:t>
                                  </w:r>
                                  <w:r>
                                    <w:rPr>
                                      <w:color w:val="231F20"/>
                                      <w:spacing w:val="-4"/>
                                      <w:sz w:val="15"/>
                                    </w:rPr>
                                    <w:t>overlap </w:t>
                                  </w:r>
                                  <w:r>
                                    <w:rPr>
                                      <w:color w:val="231F20"/>
                                      <w:spacing w:val="-2"/>
                                      <w:sz w:val="15"/>
                                    </w:rPr>
                                    <w:t>syndrome</w:t>
                                  </w:r>
                                </w:p>
                              </w:tc>
                              <w:tc>
                                <w:tcPr>
                                  <w:tcW w:w="2007" w:type="dxa"/>
                                  <w:tcBorders>
                                    <w:top w:val="single" w:sz="4" w:space="0" w:color="FFFFFF"/>
                                    <w:bottom w:val="single" w:sz="8" w:space="0" w:color="231F20"/>
                                  </w:tcBorders>
                                  <w:shd w:val="clear" w:color="auto" w:fill="E8F5F1"/>
                                </w:tcPr>
                                <w:p>
                                  <w:pPr>
                                    <w:pStyle w:val="TableParagraph"/>
                                    <w:rPr>
                                      <w:i/>
                                      <w:sz w:val="15"/>
                                    </w:rPr>
                                  </w:pPr>
                                </w:p>
                                <w:p>
                                  <w:pPr>
                                    <w:pStyle w:val="TableParagraph"/>
                                    <w:spacing w:before="38"/>
                                    <w:rPr>
                                      <w:i/>
                                      <w:sz w:val="15"/>
                                    </w:rPr>
                                  </w:pPr>
                                </w:p>
                                <w:p>
                                  <w:pPr>
                                    <w:pStyle w:val="TableParagraph"/>
                                    <w:spacing w:line="232" w:lineRule="auto" w:before="1"/>
                                    <w:ind w:left="329" w:right="727"/>
                                    <w:rPr>
                                      <w:sz w:val="15"/>
                                    </w:rPr>
                                  </w:pPr>
                                  <w:r>
                                    <w:rPr>
                                      <w:color w:val="231F20"/>
                                      <w:sz w:val="15"/>
                                    </w:rPr>
                                    <w:t>GQ</w:t>
                                  </w:r>
                                  <w:r>
                                    <w:rPr>
                                      <w:color w:val="231F20"/>
                                      <w:sz w:val="15"/>
                                      <w:vertAlign w:val="subscript"/>
                                    </w:rPr>
                                    <w:t>1b</w:t>
                                  </w:r>
                                  <w:r>
                                    <w:rPr>
                                      <w:color w:val="231F20"/>
                                      <w:sz w:val="15"/>
                                      <w:vertAlign w:val="baseline"/>
                                    </w:rPr>
                                    <w:t>,</w:t>
                                  </w:r>
                                  <w:r>
                                    <w:rPr>
                                      <w:color w:val="231F20"/>
                                      <w:spacing w:val="-12"/>
                                      <w:sz w:val="15"/>
                                      <w:vertAlign w:val="baseline"/>
                                    </w:rPr>
                                    <w:t> </w:t>
                                  </w:r>
                                  <w:r>
                                    <w:rPr>
                                      <w:color w:val="231F20"/>
                                      <w:sz w:val="15"/>
                                      <w:vertAlign w:val="baseline"/>
                                    </w:rPr>
                                    <w:t>GT</w:t>
                                  </w:r>
                                  <w:r>
                                    <w:rPr>
                                      <w:color w:val="231F20"/>
                                      <w:sz w:val="15"/>
                                      <w:vertAlign w:val="subscript"/>
                                    </w:rPr>
                                    <w:t>1a</w:t>
                                  </w:r>
                                  <w:r>
                                    <w:rPr>
                                      <w:color w:val="231F20"/>
                                      <w:sz w:val="15"/>
                                      <w:vertAlign w:val="baseline"/>
                                    </w:rPr>
                                    <w:t> </w:t>
                                  </w:r>
                                  <w:r>
                                    <w:rPr>
                                      <w:color w:val="231F20"/>
                                      <w:spacing w:val="-4"/>
                                      <w:sz w:val="15"/>
                                      <w:vertAlign w:val="baseline"/>
                                    </w:rPr>
                                    <w:t>GT</w:t>
                                  </w:r>
                                  <w:r>
                                    <w:rPr>
                                      <w:color w:val="231F20"/>
                                      <w:spacing w:val="-4"/>
                                      <w:sz w:val="15"/>
                                      <w:vertAlign w:val="subscript"/>
                                    </w:rPr>
                                    <w:t>1a</w:t>
                                  </w:r>
                                </w:p>
                                <w:p>
                                  <w:pPr>
                                    <w:pStyle w:val="TableParagraph"/>
                                    <w:spacing w:line="171" w:lineRule="exact" w:before="167"/>
                                    <w:ind w:left="329"/>
                                    <w:rPr>
                                      <w:sz w:val="15"/>
                                    </w:rPr>
                                  </w:pPr>
                                  <w:r>
                                    <w:rPr>
                                      <w:color w:val="231F20"/>
                                      <w:sz w:val="15"/>
                                    </w:rPr>
                                    <w:t>GQ</w:t>
                                  </w:r>
                                  <w:r>
                                    <w:rPr>
                                      <w:color w:val="231F20"/>
                                      <w:sz w:val="15"/>
                                      <w:vertAlign w:val="subscript"/>
                                    </w:rPr>
                                    <w:t>1b</w:t>
                                  </w:r>
                                  <w:r>
                                    <w:rPr>
                                      <w:color w:val="231F20"/>
                                      <w:sz w:val="15"/>
                                      <w:vertAlign w:val="baseline"/>
                                    </w:rPr>
                                    <w:t>,</w:t>
                                  </w:r>
                                  <w:r>
                                    <w:rPr>
                                      <w:color w:val="231F20"/>
                                      <w:spacing w:val="15"/>
                                      <w:sz w:val="15"/>
                                      <w:vertAlign w:val="baseline"/>
                                    </w:rPr>
                                    <w:t> </w:t>
                                  </w:r>
                                  <w:r>
                                    <w:rPr>
                                      <w:color w:val="231F20"/>
                                      <w:sz w:val="15"/>
                                      <w:vertAlign w:val="baseline"/>
                                    </w:rPr>
                                    <w:t>GM</w:t>
                                  </w:r>
                                  <w:r>
                                    <w:rPr>
                                      <w:color w:val="231F20"/>
                                      <w:sz w:val="15"/>
                                      <w:vertAlign w:val="subscript"/>
                                    </w:rPr>
                                    <w:t>1</w:t>
                                  </w:r>
                                  <w:r>
                                    <w:rPr>
                                      <w:color w:val="231F20"/>
                                      <w:sz w:val="15"/>
                                      <w:vertAlign w:val="baseline"/>
                                    </w:rPr>
                                    <w:t>,</w:t>
                                  </w:r>
                                  <w:r>
                                    <w:rPr>
                                      <w:color w:val="231F20"/>
                                      <w:spacing w:val="15"/>
                                      <w:sz w:val="15"/>
                                      <w:vertAlign w:val="baseline"/>
                                    </w:rPr>
                                    <w:t> </w:t>
                                  </w:r>
                                  <w:r>
                                    <w:rPr>
                                      <w:color w:val="231F20"/>
                                      <w:sz w:val="15"/>
                                      <w:vertAlign w:val="baseline"/>
                                    </w:rPr>
                                    <w:t>GM</w:t>
                                  </w:r>
                                  <w:r>
                                    <w:rPr>
                                      <w:color w:val="231F20"/>
                                      <w:sz w:val="15"/>
                                      <w:vertAlign w:val="subscript"/>
                                    </w:rPr>
                                    <w:t>1b</w:t>
                                  </w:r>
                                  <w:r>
                                    <w:rPr>
                                      <w:color w:val="231F20"/>
                                      <w:sz w:val="15"/>
                                      <w:vertAlign w:val="baseline"/>
                                    </w:rPr>
                                    <w:t>,</w:t>
                                  </w:r>
                                  <w:r>
                                    <w:rPr>
                                      <w:color w:val="231F20"/>
                                      <w:spacing w:val="15"/>
                                      <w:sz w:val="15"/>
                                      <w:vertAlign w:val="baseline"/>
                                    </w:rPr>
                                    <w:t> </w:t>
                                  </w:r>
                                  <w:r>
                                    <w:rPr>
                                      <w:color w:val="231F20"/>
                                      <w:spacing w:val="-2"/>
                                      <w:sz w:val="15"/>
                                      <w:vertAlign w:val="baseline"/>
                                    </w:rPr>
                                    <w:t>GD</w:t>
                                  </w:r>
                                  <w:r>
                                    <w:rPr>
                                      <w:color w:val="231F20"/>
                                      <w:spacing w:val="-2"/>
                                      <w:sz w:val="15"/>
                                      <w:vertAlign w:val="subscript"/>
                                    </w:rPr>
                                    <w:t>1a</w:t>
                                  </w:r>
                                  <w:r>
                                    <w:rPr>
                                      <w:color w:val="231F20"/>
                                      <w:spacing w:val="-2"/>
                                      <w:sz w:val="15"/>
                                      <w:vertAlign w:val="baseline"/>
                                    </w:rPr>
                                    <w:t>,</w:t>
                                  </w:r>
                                </w:p>
                                <w:p>
                                  <w:pPr>
                                    <w:pStyle w:val="TableParagraph"/>
                                    <w:spacing w:line="171" w:lineRule="exact"/>
                                    <w:ind w:left="441"/>
                                    <w:rPr>
                                      <w:sz w:val="15"/>
                                    </w:rPr>
                                  </w:pPr>
                                  <w:r>
                                    <w:rPr>
                                      <w:color w:val="231F20"/>
                                      <w:w w:val="105"/>
                                      <w:sz w:val="15"/>
                                    </w:rPr>
                                    <w:t>GalNac-</w:t>
                                  </w:r>
                                  <w:r>
                                    <w:rPr>
                                      <w:color w:val="231F20"/>
                                      <w:spacing w:val="-4"/>
                                      <w:w w:val="105"/>
                                      <w:sz w:val="15"/>
                                    </w:rPr>
                                    <w:t>GD</w:t>
                                  </w:r>
                                  <w:r>
                                    <w:rPr>
                                      <w:color w:val="231F20"/>
                                      <w:spacing w:val="-4"/>
                                      <w:w w:val="105"/>
                                      <w:sz w:val="15"/>
                                      <w:vertAlign w:val="subscript"/>
                                    </w:rPr>
                                    <w:t>1a</w:t>
                                  </w:r>
                                </w:p>
                              </w:tc>
                            </w:tr>
                          </w:tbl>
                          <w:p>
                            <w:pPr>
                              <w:pStyle w:val="BodyText"/>
                            </w:pPr>
                          </w:p>
                        </w:txbxContent>
                      </wps:txbx>
                      <wps:bodyPr wrap="square" lIns="0" tIns="0" rIns="0" bIns="0" rtlCol="0">
                        <a:noAutofit/>
                      </wps:bodyPr>
                    </wps:wsp>
                  </a:graphicData>
                </a:graphic>
              </wp:anchor>
            </w:drawing>
          </mc:Choice>
          <mc:Fallback>
            <w:pict>
              <v:shape style="position:absolute;margin-left:295.149597pt;margin-top:-182.602051pt;width:241.15pt;height:178.85pt;mso-position-horizontal-relative:page;mso-position-vertical-relative:paragraph;z-index:15805952" type="#_x0000_t202" id="docshape8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548"/>
                        <w:gridCol w:w="2007"/>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616-</w:t>
                            </w:r>
                            <w:r>
                              <w:rPr>
                                <w:b/>
                                <w:color w:val="FFFFFF"/>
                                <w:spacing w:val="-10"/>
                                <w:w w:val="105"/>
                                <w:sz w:val="16"/>
                              </w:rPr>
                              <w:t>2</w:t>
                            </w:r>
                          </w:p>
                        </w:tc>
                        <w:tc>
                          <w:tcPr>
                            <w:tcW w:w="3555" w:type="dxa"/>
                            <w:gridSpan w:val="2"/>
                            <w:tcBorders>
                              <w:left w:val="single" w:sz="8" w:space="0" w:color="FFFFFF"/>
                            </w:tcBorders>
                            <w:shd w:val="clear" w:color="auto" w:fill="231F20"/>
                          </w:tcPr>
                          <w:p>
                            <w:pPr>
                              <w:pStyle w:val="TableParagraph"/>
                              <w:spacing w:before="89"/>
                              <w:ind w:left="73" w:right="197"/>
                              <w:rPr>
                                <w:sz w:val="16"/>
                              </w:rPr>
                            </w:pPr>
                            <w:r>
                              <w:rPr>
                                <w:color w:val="FFFFFF"/>
                                <w:w w:val="105"/>
                                <w:sz w:val="16"/>
                              </w:rPr>
                              <w:t>Classification</w:t>
                            </w:r>
                            <w:r>
                              <w:rPr>
                                <w:color w:val="FFFFFF"/>
                                <w:spacing w:val="-1"/>
                                <w:w w:val="105"/>
                                <w:sz w:val="16"/>
                              </w:rPr>
                              <w:t> </w:t>
                            </w:r>
                            <w:r>
                              <w:rPr>
                                <w:color w:val="FFFFFF"/>
                                <w:w w:val="105"/>
                                <w:sz w:val="16"/>
                              </w:rPr>
                              <w:t>of</w:t>
                            </w:r>
                            <w:r>
                              <w:rPr>
                                <w:color w:val="FFFFFF"/>
                                <w:spacing w:val="-1"/>
                                <w:w w:val="105"/>
                                <w:sz w:val="16"/>
                              </w:rPr>
                              <w:t> </w:t>
                            </w:r>
                            <w:r>
                              <w:rPr>
                                <w:color w:val="FFFFFF"/>
                                <w:w w:val="105"/>
                                <w:sz w:val="16"/>
                              </w:rPr>
                              <w:t>Guillain-Barré</w:t>
                            </w:r>
                            <w:r>
                              <w:rPr>
                                <w:color w:val="FFFFFF"/>
                                <w:spacing w:val="-1"/>
                                <w:w w:val="105"/>
                                <w:sz w:val="16"/>
                              </w:rPr>
                              <w:t> </w:t>
                            </w:r>
                            <w:r>
                              <w:rPr>
                                <w:color w:val="FFFFFF"/>
                                <w:w w:val="105"/>
                                <w:sz w:val="16"/>
                              </w:rPr>
                              <w:t>Syndrome and Related Disorders and Typical Antiganglioside Antibodies By </w:t>
                            </w:r>
                            <w:r>
                              <w:rPr>
                                <w:color w:val="FFFFFF"/>
                                <w:w w:val="105"/>
                                <w:sz w:val="16"/>
                              </w:rPr>
                              <w:t>Pathology</w:t>
                            </w:r>
                          </w:p>
                        </w:tc>
                      </w:tr>
                      <w:tr>
                        <w:trPr>
                          <w:trHeight w:val="257" w:hRule="atLeast"/>
                        </w:trPr>
                        <w:tc>
                          <w:tcPr>
                            <w:tcW w:w="2696" w:type="dxa"/>
                            <w:gridSpan w:val="2"/>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DISORDER</w:t>
                            </w:r>
                          </w:p>
                        </w:tc>
                        <w:tc>
                          <w:tcPr>
                            <w:tcW w:w="2007" w:type="dxa"/>
                            <w:tcBorders>
                              <w:bottom w:val="single" w:sz="4" w:space="0" w:color="231F20"/>
                            </w:tcBorders>
                            <w:shd w:val="clear" w:color="auto" w:fill="E8F5F1"/>
                          </w:tcPr>
                          <w:p>
                            <w:pPr>
                              <w:pStyle w:val="TableParagraph"/>
                              <w:spacing w:before="47"/>
                              <w:ind w:left="670"/>
                              <w:rPr>
                                <w:b/>
                                <w:sz w:val="15"/>
                              </w:rPr>
                            </w:pPr>
                            <w:r>
                              <w:rPr>
                                <w:b/>
                                <w:color w:val="231F20"/>
                                <w:spacing w:val="-2"/>
                                <w:w w:val="110"/>
                                <w:sz w:val="15"/>
                              </w:rPr>
                              <w:t>ANTIBODIES</w:t>
                            </w:r>
                          </w:p>
                        </w:tc>
                      </w:tr>
                      <w:tr>
                        <w:trPr>
                          <w:trHeight w:val="1269" w:hRule="atLeast"/>
                        </w:trPr>
                        <w:tc>
                          <w:tcPr>
                            <w:tcW w:w="2696" w:type="dxa"/>
                            <w:gridSpan w:val="2"/>
                            <w:tcBorders>
                              <w:top w:val="single" w:sz="4" w:space="0" w:color="231F20"/>
                              <w:bottom w:val="single" w:sz="4" w:space="0" w:color="FFFFFF"/>
                            </w:tcBorders>
                            <w:shd w:val="clear" w:color="auto" w:fill="E8F5F1"/>
                          </w:tcPr>
                          <w:p>
                            <w:pPr>
                              <w:pStyle w:val="TableParagraph"/>
                              <w:spacing w:line="230" w:lineRule="auto" w:before="52"/>
                              <w:ind w:left="186" w:hanging="112"/>
                              <w:rPr>
                                <w:sz w:val="15"/>
                              </w:rPr>
                            </w:pPr>
                            <w:r>
                              <w:rPr>
                                <w:color w:val="231F20"/>
                                <w:spacing w:val="-2"/>
                                <w:sz w:val="15"/>
                              </w:rPr>
                              <w:t>Acute</w:t>
                            </w:r>
                            <w:r>
                              <w:rPr>
                                <w:color w:val="231F20"/>
                                <w:spacing w:val="-10"/>
                                <w:sz w:val="15"/>
                              </w:rPr>
                              <w:t> </w:t>
                            </w:r>
                            <w:r>
                              <w:rPr>
                                <w:color w:val="231F20"/>
                                <w:spacing w:val="-2"/>
                                <w:sz w:val="15"/>
                              </w:rPr>
                              <w:t>inflammatory</w:t>
                            </w:r>
                            <w:r>
                              <w:rPr>
                                <w:color w:val="231F20"/>
                                <w:spacing w:val="-9"/>
                                <w:sz w:val="15"/>
                              </w:rPr>
                              <w:t> </w:t>
                            </w:r>
                            <w:r>
                              <w:rPr>
                                <w:color w:val="231F20"/>
                                <w:spacing w:val="-2"/>
                                <w:sz w:val="15"/>
                              </w:rPr>
                              <w:t>demyelinating polyradiculoneuropathy</w:t>
                            </w:r>
                          </w:p>
                          <w:p>
                            <w:pPr>
                              <w:pStyle w:val="TableParagraph"/>
                              <w:spacing w:line="230" w:lineRule="auto" w:before="3"/>
                              <w:ind w:left="186" w:hanging="112"/>
                              <w:rPr>
                                <w:sz w:val="15"/>
                              </w:rPr>
                            </w:pPr>
                            <w:r>
                              <w:rPr>
                                <w:color w:val="231F20"/>
                                <w:sz w:val="15"/>
                              </w:rPr>
                              <w:t>Acute</w:t>
                            </w:r>
                            <w:r>
                              <w:rPr>
                                <w:color w:val="231F20"/>
                                <w:spacing w:val="-6"/>
                                <w:sz w:val="15"/>
                              </w:rPr>
                              <w:t> </w:t>
                            </w:r>
                            <w:r>
                              <w:rPr>
                                <w:color w:val="231F20"/>
                                <w:sz w:val="15"/>
                              </w:rPr>
                              <w:t>motor</w:t>
                            </w:r>
                            <w:r>
                              <w:rPr>
                                <w:color w:val="231F20"/>
                                <w:spacing w:val="-6"/>
                                <w:sz w:val="15"/>
                              </w:rPr>
                              <w:t> </w:t>
                            </w:r>
                            <w:r>
                              <w:rPr>
                                <w:color w:val="231F20"/>
                                <w:sz w:val="15"/>
                              </w:rPr>
                              <w:t>and</w:t>
                            </w:r>
                            <w:r>
                              <w:rPr>
                                <w:color w:val="231F20"/>
                                <w:spacing w:val="-6"/>
                                <w:sz w:val="15"/>
                              </w:rPr>
                              <w:t> </w:t>
                            </w:r>
                            <w:r>
                              <w:rPr>
                                <w:color w:val="231F20"/>
                                <w:sz w:val="15"/>
                              </w:rPr>
                              <w:t>sensory</w:t>
                            </w:r>
                            <w:r>
                              <w:rPr>
                                <w:color w:val="231F20"/>
                                <w:spacing w:val="-6"/>
                                <w:sz w:val="15"/>
                              </w:rPr>
                              <w:t> </w:t>
                            </w:r>
                            <w:r>
                              <w:rPr>
                                <w:color w:val="231F20"/>
                                <w:sz w:val="15"/>
                              </w:rPr>
                              <w:t>axonal </w:t>
                            </w:r>
                            <w:r>
                              <w:rPr>
                                <w:color w:val="231F20"/>
                                <w:spacing w:val="-2"/>
                                <w:sz w:val="15"/>
                              </w:rPr>
                              <w:t>neuropathy</w:t>
                            </w:r>
                          </w:p>
                          <w:p>
                            <w:pPr>
                              <w:pStyle w:val="TableParagraph"/>
                              <w:spacing w:line="172" w:lineRule="exact"/>
                              <w:ind w:left="74"/>
                              <w:rPr>
                                <w:sz w:val="15"/>
                              </w:rPr>
                            </w:pPr>
                            <w:r>
                              <w:rPr>
                                <w:color w:val="231F20"/>
                                <w:sz w:val="15"/>
                              </w:rPr>
                              <w:t>Acute</w:t>
                            </w:r>
                            <w:r>
                              <w:rPr>
                                <w:color w:val="231F20"/>
                                <w:spacing w:val="-2"/>
                                <w:sz w:val="15"/>
                              </w:rPr>
                              <w:t> </w:t>
                            </w:r>
                            <w:r>
                              <w:rPr>
                                <w:color w:val="231F20"/>
                                <w:sz w:val="15"/>
                              </w:rPr>
                              <w:t>motor</w:t>
                            </w:r>
                            <w:r>
                              <w:rPr>
                                <w:color w:val="231F20"/>
                                <w:spacing w:val="-2"/>
                                <w:sz w:val="15"/>
                              </w:rPr>
                              <w:t> </w:t>
                            </w:r>
                            <w:r>
                              <w:rPr>
                                <w:color w:val="231F20"/>
                                <w:sz w:val="15"/>
                              </w:rPr>
                              <w:t>axonal</w:t>
                            </w:r>
                            <w:r>
                              <w:rPr>
                                <w:color w:val="231F20"/>
                                <w:spacing w:val="-2"/>
                                <w:sz w:val="15"/>
                              </w:rPr>
                              <w:t> neuropathy</w:t>
                            </w:r>
                          </w:p>
                          <w:p>
                            <w:pPr>
                              <w:pStyle w:val="TableParagraph"/>
                              <w:spacing w:before="163"/>
                              <w:ind w:left="74"/>
                              <w:rPr>
                                <w:sz w:val="15"/>
                              </w:rPr>
                            </w:pPr>
                            <w:r>
                              <w:rPr>
                                <w:color w:val="231F20"/>
                                <w:sz w:val="15"/>
                              </w:rPr>
                              <w:t>Acute</w:t>
                            </w:r>
                            <w:r>
                              <w:rPr>
                                <w:color w:val="231F20"/>
                                <w:spacing w:val="1"/>
                                <w:sz w:val="15"/>
                              </w:rPr>
                              <w:t> </w:t>
                            </w:r>
                            <w:r>
                              <w:rPr>
                                <w:color w:val="231F20"/>
                                <w:sz w:val="15"/>
                              </w:rPr>
                              <w:t>sensory</w:t>
                            </w:r>
                            <w:r>
                              <w:rPr>
                                <w:color w:val="231F20"/>
                                <w:spacing w:val="1"/>
                                <w:sz w:val="15"/>
                              </w:rPr>
                              <w:t> </w:t>
                            </w:r>
                            <w:r>
                              <w:rPr>
                                <w:color w:val="231F20"/>
                                <w:spacing w:val="-2"/>
                                <w:sz w:val="15"/>
                              </w:rPr>
                              <w:t>neuronopathy</w:t>
                            </w:r>
                          </w:p>
                        </w:tc>
                        <w:tc>
                          <w:tcPr>
                            <w:tcW w:w="2007" w:type="dxa"/>
                            <w:tcBorders>
                              <w:top w:val="single" w:sz="4" w:space="0" w:color="231F20"/>
                              <w:bottom w:val="single" w:sz="4" w:space="0" w:color="FFFFFF"/>
                            </w:tcBorders>
                            <w:shd w:val="clear" w:color="auto" w:fill="E8F5F1"/>
                          </w:tcPr>
                          <w:p>
                            <w:pPr>
                              <w:pStyle w:val="TableParagraph"/>
                              <w:spacing w:before="47"/>
                              <w:ind w:left="329"/>
                              <w:rPr>
                                <w:sz w:val="15"/>
                              </w:rPr>
                            </w:pPr>
                            <w:r>
                              <w:rPr>
                                <w:color w:val="231F20"/>
                                <w:spacing w:val="-2"/>
                                <w:sz w:val="15"/>
                              </w:rPr>
                              <w:t>Unknown</w:t>
                            </w:r>
                          </w:p>
                          <w:p>
                            <w:pPr>
                              <w:pStyle w:val="TableParagraph"/>
                              <w:spacing w:line="330" w:lineRule="atLeast" w:before="7"/>
                              <w:ind w:left="329" w:right="440"/>
                              <w:rPr>
                                <w:sz w:val="15"/>
                              </w:rPr>
                            </w:pPr>
                            <w:r>
                              <w:rPr>
                                <w:color w:val="231F20"/>
                                <w:sz w:val="15"/>
                              </w:rPr>
                              <w:t>GM</w:t>
                            </w:r>
                            <w:r>
                              <w:rPr>
                                <w:color w:val="231F20"/>
                                <w:sz w:val="15"/>
                                <w:vertAlign w:val="subscript"/>
                              </w:rPr>
                              <w:t>1</w:t>
                            </w:r>
                            <w:r>
                              <w:rPr>
                                <w:color w:val="231F20"/>
                                <w:sz w:val="15"/>
                                <w:vertAlign w:val="baseline"/>
                              </w:rPr>
                              <w:t>, GM</w:t>
                            </w:r>
                            <w:r>
                              <w:rPr>
                                <w:color w:val="231F20"/>
                                <w:sz w:val="15"/>
                                <w:vertAlign w:val="subscript"/>
                              </w:rPr>
                              <w:t>1b</w:t>
                            </w:r>
                            <w:r>
                              <w:rPr>
                                <w:color w:val="231F20"/>
                                <w:sz w:val="15"/>
                                <w:vertAlign w:val="baseline"/>
                              </w:rPr>
                              <w:t>, GD</w:t>
                            </w:r>
                            <w:r>
                              <w:rPr>
                                <w:color w:val="231F20"/>
                                <w:sz w:val="15"/>
                                <w:vertAlign w:val="subscript"/>
                              </w:rPr>
                              <w:t>1a</w:t>
                            </w:r>
                            <w:r>
                              <w:rPr>
                                <w:color w:val="231F20"/>
                                <w:sz w:val="15"/>
                                <w:vertAlign w:val="baseline"/>
                              </w:rPr>
                              <w:t> GM</w:t>
                            </w:r>
                            <w:r>
                              <w:rPr>
                                <w:color w:val="231F20"/>
                                <w:sz w:val="15"/>
                                <w:vertAlign w:val="subscript"/>
                              </w:rPr>
                              <w:t>1</w:t>
                            </w:r>
                            <w:r>
                              <w:rPr>
                                <w:color w:val="231F20"/>
                                <w:sz w:val="15"/>
                                <w:vertAlign w:val="baseline"/>
                              </w:rPr>
                              <w:t>,</w:t>
                            </w:r>
                            <w:r>
                              <w:rPr>
                                <w:color w:val="231F20"/>
                                <w:spacing w:val="16"/>
                                <w:sz w:val="15"/>
                                <w:vertAlign w:val="baseline"/>
                              </w:rPr>
                              <w:t> </w:t>
                            </w:r>
                            <w:r>
                              <w:rPr>
                                <w:color w:val="231F20"/>
                                <w:sz w:val="15"/>
                                <w:vertAlign w:val="baseline"/>
                              </w:rPr>
                              <w:t>GM</w:t>
                            </w:r>
                            <w:r>
                              <w:rPr>
                                <w:color w:val="231F20"/>
                                <w:sz w:val="15"/>
                                <w:vertAlign w:val="subscript"/>
                              </w:rPr>
                              <w:t>1b</w:t>
                            </w:r>
                            <w:r>
                              <w:rPr>
                                <w:color w:val="231F20"/>
                                <w:sz w:val="15"/>
                                <w:vertAlign w:val="baseline"/>
                              </w:rPr>
                              <w:t>,</w:t>
                            </w:r>
                            <w:r>
                              <w:rPr>
                                <w:color w:val="231F20"/>
                                <w:spacing w:val="17"/>
                                <w:sz w:val="15"/>
                                <w:vertAlign w:val="baseline"/>
                              </w:rPr>
                              <w:t> </w:t>
                            </w:r>
                            <w:r>
                              <w:rPr>
                                <w:color w:val="231F20"/>
                                <w:spacing w:val="-2"/>
                                <w:sz w:val="15"/>
                                <w:vertAlign w:val="baseline"/>
                              </w:rPr>
                              <w:t>GD</w:t>
                            </w:r>
                            <w:r>
                              <w:rPr>
                                <w:color w:val="231F20"/>
                                <w:spacing w:val="-2"/>
                                <w:sz w:val="15"/>
                                <w:vertAlign w:val="subscript"/>
                              </w:rPr>
                              <w:t>1a</w:t>
                            </w:r>
                            <w:r>
                              <w:rPr>
                                <w:color w:val="231F20"/>
                                <w:spacing w:val="-2"/>
                                <w:sz w:val="15"/>
                                <w:vertAlign w:val="baseline"/>
                              </w:rPr>
                              <w:t>,</w:t>
                            </w:r>
                          </w:p>
                          <w:p>
                            <w:pPr>
                              <w:pStyle w:val="TableParagraph"/>
                              <w:spacing w:line="232" w:lineRule="auto" w:before="5"/>
                              <w:ind w:left="329" w:right="440" w:firstLine="111"/>
                              <w:rPr>
                                <w:sz w:val="15"/>
                              </w:rPr>
                            </w:pPr>
                            <w:r>
                              <w:rPr>
                                <w:color w:val="231F20"/>
                                <w:spacing w:val="-2"/>
                                <w:w w:val="105"/>
                                <w:sz w:val="15"/>
                              </w:rPr>
                              <w:t>GalNac-</w:t>
                            </w:r>
                            <w:r>
                              <w:rPr>
                                <w:color w:val="231F20"/>
                                <w:spacing w:val="-2"/>
                                <w:w w:val="105"/>
                                <w:sz w:val="15"/>
                              </w:rPr>
                              <w:t>GD</w:t>
                            </w:r>
                            <w:r>
                              <w:rPr>
                                <w:color w:val="231F20"/>
                                <w:spacing w:val="-2"/>
                                <w:w w:val="105"/>
                                <w:sz w:val="15"/>
                                <w:vertAlign w:val="subscript"/>
                              </w:rPr>
                              <w:t>1a</w:t>
                            </w:r>
                            <w:r>
                              <w:rPr>
                                <w:color w:val="231F20"/>
                                <w:spacing w:val="-2"/>
                                <w:w w:val="105"/>
                                <w:sz w:val="15"/>
                                <w:vertAlign w:val="baseline"/>
                              </w:rPr>
                              <w:t> </w:t>
                            </w:r>
                            <w:r>
                              <w:rPr>
                                <w:color w:val="231F20"/>
                                <w:spacing w:val="-4"/>
                                <w:w w:val="105"/>
                                <w:sz w:val="15"/>
                                <w:vertAlign w:val="baseline"/>
                              </w:rPr>
                              <w:t>GD</w:t>
                            </w:r>
                            <w:r>
                              <w:rPr>
                                <w:color w:val="231F20"/>
                                <w:spacing w:val="-4"/>
                                <w:w w:val="105"/>
                                <w:sz w:val="15"/>
                                <w:vertAlign w:val="subscript"/>
                              </w:rPr>
                              <w:t>1b</w:t>
                            </w:r>
                          </w:p>
                        </w:tc>
                      </w:tr>
                      <w:tr>
                        <w:trPr>
                          <w:trHeight w:val="1265" w:hRule="atLeast"/>
                        </w:trPr>
                        <w:tc>
                          <w:tcPr>
                            <w:tcW w:w="2696"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ACUTE</w:t>
                            </w:r>
                            <w:r>
                              <w:rPr>
                                <w:color w:val="231F20"/>
                                <w:spacing w:val="1"/>
                                <w:w w:val="115"/>
                                <w:sz w:val="15"/>
                              </w:rPr>
                              <w:t> </w:t>
                            </w:r>
                            <w:r>
                              <w:rPr>
                                <w:color w:val="231F20"/>
                                <w:spacing w:val="-2"/>
                                <w:w w:val="115"/>
                                <w:sz w:val="15"/>
                              </w:rPr>
                              <w:t>PANDYSAUTONOMIA</w:t>
                            </w:r>
                          </w:p>
                          <w:p>
                            <w:pPr>
                              <w:pStyle w:val="TableParagraph"/>
                              <w:spacing w:line="232" w:lineRule="auto" w:before="2"/>
                              <w:ind w:left="74" w:right="1430"/>
                              <w:rPr>
                                <w:i/>
                                <w:sz w:val="15"/>
                              </w:rPr>
                            </w:pPr>
                            <w:r>
                              <w:rPr>
                                <w:i/>
                                <w:color w:val="231F20"/>
                                <w:sz w:val="15"/>
                              </w:rPr>
                              <w:t>Regional</w:t>
                            </w:r>
                            <w:r>
                              <w:rPr>
                                <w:i/>
                                <w:color w:val="231F20"/>
                                <w:spacing w:val="-12"/>
                                <w:sz w:val="15"/>
                              </w:rPr>
                              <w:t> </w:t>
                            </w:r>
                            <w:r>
                              <w:rPr>
                                <w:i/>
                                <w:color w:val="231F20"/>
                                <w:sz w:val="15"/>
                              </w:rPr>
                              <w:t>Variants </w:t>
                            </w:r>
                            <w:r>
                              <w:rPr>
                                <w:color w:val="231F20"/>
                                <w:sz w:val="15"/>
                              </w:rPr>
                              <w:t>Fisher syndrome </w:t>
                            </w:r>
                            <w:r>
                              <w:rPr>
                                <w:color w:val="231F20"/>
                                <w:spacing w:val="-2"/>
                                <w:sz w:val="15"/>
                              </w:rPr>
                              <w:t>Oropharyngeal </w:t>
                            </w:r>
                            <w:r>
                              <w:rPr>
                                <w:i/>
                                <w:color w:val="231F20"/>
                                <w:spacing w:val="-2"/>
                                <w:sz w:val="15"/>
                              </w:rPr>
                              <w:t>Overlap</w:t>
                            </w:r>
                          </w:p>
                          <w:p>
                            <w:pPr>
                              <w:pStyle w:val="TableParagraph"/>
                              <w:spacing w:line="230" w:lineRule="auto" w:before="4"/>
                              <w:ind w:left="186" w:right="164" w:hanging="112"/>
                              <w:rPr>
                                <w:sz w:val="15"/>
                              </w:rPr>
                            </w:pPr>
                            <w:r>
                              <w:rPr>
                                <w:color w:val="231F20"/>
                                <w:spacing w:val="-4"/>
                                <w:sz w:val="15"/>
                              </w:rPr>
                              <w:t>Fisher/Guillain-Barré </w:t>
                            </w:r>
                            <w:r>
                              <w:rPr>
                                <w:color w:val="231F20"/>
                                <w:spacing w:val="-4"/>
                                <w:sz w:val="15"/>
                              </w:rPr>
                              <w:t>overlap </w:t>
                            </w:r>
                            <w:r>
                              <w:rPr>
                                <w:color w:val="231F20"/>
                                <w:spacing w:val="-2"/>
                                <w:sz w:val="15"/>
                              </w:rPr>
                              <w:t>syndrome</w:t>
                            </w:r>
                          </w:p>
                        </w:tc>
                        <w:tc>
                          <w:tcPr>
                            <w:tcW w:w="2007" w:type="dxa"/>
                            <w:tcBorders>
                              <w:top w:val="single" w:sz="4" w:space="0" w:color="FFFFFF"/>
                              <w:bottom w:val="single" w:sz="8" w:space="0" w:color="231F20"/>
                            </w:tcBorders>
                            <w:shd w:val="clear" w:color="auto" w:fill="E8F5F1"/>
                          </w:tcPr>
                          <w:p>
                            <w:pPr>
                              <w:pStyle w:val="TableParagraph"/>
                              <w:rPr>
                                <w:i/>
                                <w:sz w:val="15"/>
                              </w:rPr>
                            </w:pPr>
                          </w:p>
                          <w:p>
                            <w:pPr>
                              <w:pStyle w:val="TableParagraph"/>
                              <w:spacing w:before="38"/>
                              <w:rPr>
                                <w:i/>
                                <w:sz w:val="15"/>
                              </w:rPr>
                            </w:pPr>
                          </w:p>
                          <w:p>
                            <w:pPr>
                              <w:pStyle w:val="TableParagraph"/>
                              <w:spacing w:line="232" w:lineRule="auto" w:before="1"/>
                              <w:ind w:left="329" w:right="727"/>
                              <w:rPr>
                                <w:sz w:val="15"/>
                              </w:rPr>
                            </w:pPr>
                            <w:r>
                              <w:rPr>
                                <w:color w:val="231F20"/>
                                <w:sz w:val="15"/>
                              </w:rPr>
                              <w:t>GQ</w:t>
                            </w:r>
                            <w:r>
                              <w:rPr>
                                <w:color w:val="231F20"/>
                                <w:sz w:val="15"/>
                                <w:vertAlign w:val="subscript"/>
                              </w:rPr>
                              <w:t>1b</w:t>
                            </w:r>
                            <w:r>
                              <w:rPr>
                                <w:color w:val="231F20"/>
                                <w:sz w:val="15"/>
                                <w:vertAlign w:val="baseline"/>
                              </w:rPr>
                              <w:t>,</w:t>
                            </w:r>
                            <w:r>
                              <w:rPr>
                                <w:color w:val="231F20"/>
                                <w:spacing w:val="-12"/>
                                <w:sz w:val="15"/>
                                <w:vertAlign w:val="baseline"/>
                              </w:rPr>
                              <w:t> </w:t>
                            </w:r>
                            <w:r>
                              <w:rPr>
                                <w:color w:val="231F20"/>
                                <w:sz w:val="15"/>
                                <w:vertAlign w:val="baseline"/>
                              </w:rPr>
                              <w:t>GT</w:t>
                            </w:r>
                            <w:r>
                              <w:rPr>
                                <w:color w:val="231F20"/>
                                <w:sz w:val="15"/>
                                <w:vertAlign w:val="subscript"/>
                              </w:rPr>
                              <w:t>1a</w:t>
                            </w:r>
                            <w:r>
                              <w:rPr>
                                <w:color w:val="231F20"/>
                                <w:sz w:val="15"/>
                                <w:vertAlign w:val="baseline"/>
                              </w:rPr>
                              <w:t> </w:t>
                            </w:r>
                            <w:r>
                              <w:rPr>
                                <w:color w:val="231F20"/>
                                <w:spacing w:val="-4"/>
                                <w:sz w:val="15"/>
                                <w:vertAlign w:val="baseline"/>
                              </w:rPr>
                              <w:t>GT</w:t>
                            </w:r>
                            <w:r>
                              <w:rPr>
                                <w:color w:val="231F20"/>
                                <w:spacing w:val="-4"/>
                                <w:sz w:val="15"/>
                                <w:vertAlign w:val="subscript"/>
                              </w:rPr>
                              <w:t>1a</w:t>
                            </w:r>
                          </w:p>
                          <w:p>
                            <w:pPr>
                              <w:pStyle w:val="TableParagraph"/>
                              <w:spacing w:line="171" w:lineRule="exact" w:before="167"/>
                              <w:ind w:left="329"/>
                              <w:rPr>
                                <w:sz w:val="15"/>
                              </w:rPr>
                            </w:pPr>
                            <w:r>
                              <w:rPr>
                                <w:color w:val="231F20"/>
                                <w:sz w:val="15"/>
                              </w:rPr>
                              <w:t>GQ</w:t>
                            </w:r>
                            <w:r>
                              <w:rPr>
                                <w:color w:val="231F20"/>
                                <w:sz w:val="15"/>
                                <w:vertAlign w:val="subscript"/>
                              </w:rPr>
                              <w:t>1b</w:t>
                            </w:r>
                            <w:r>
                              <w:rPr>
                                <w:color w:val="231F20"/>
                                <w:sz w:val="15"/>
                                <w:vertAlign w:val="baseline"/>
                              </w:rPr>
                              <w:t>,</w:t>
                            </w:r>
                            <w:r>
                              <w:rPr>
                                <w:color w:val="231F20"/>
                                <w:spacing w:val="15"/>
                                <w:sz w:val="15"/>
                                <w:vertAlign w:val="baseline"/>
                              </w:rPr>
                              <w:t> </w:t>
                            </w:r>
                            <w:r>
                              <w:rPr>
                                <w:color w:val="231F20"/>
                                <w:sz w:val="15"/>
                                <w:vertAlign w:val="baseline"/>
                              </w:rPr>
                              <w:t>GM</w:t>
                            </w:r>
                            <w:r>
                              <w:rPr>
                                <w:color w:val="231F20"/>
                                <w:sz w:val="15"/>
                                <w:vertAlign w:val="subscript"/>
                              </w:rPr>
                              <w:t>1</w:t>
                            </w:r>
                            <w:r>
                              <w:rPr>
                                <w:color w:val="231F20"/>
                                <w:sz w:val="15"/>
                                <w:vertAlign w:val="baseline"/>
                              </w:rPr>
                              <w:t>,</w:t>
                            </w:r>
                            <w:r>
                              <w:rPr>
                                <w:color w:val="231F20"/>
                                <w:spacing w:val="15"/>
                                <w:sz w:val="15"/>
                                <w:vertAlign w:val="baseline"/>
                              </w:rPr>
                              <w:t> </w:t>
                            </w:r>
                            <w:r>
                              <w:rPr>
                                <w:color w:val="231F20"/>
                                <w:sz w:val="15"/>
                                <w:vertAlign w:val="baseline"/>
                              </w:rPr>
                              <w:t>GM</w:t>
                            </w:r>
                            <w:r>
                              <w:rPr>
                                <w:color w:val="231F20"/>
                                <w:sz w:val="15"/>
                                <w:vertAlign w:val="subscript"/>
                              </w:rPr>
                              <w:t>1b</w:t>
                            </w:r>
                            <w:r>
                              <w:rPr>
                                <w:color w:val="231F20"/>
                                <w:sz w:val="15"/>
                                <w:vertAlign w:val="baseline"/>
                              </w:rPr>
                              <w:t>,</w:t>
                            </w:r>
                            <w:r>
                              <w:rPr>
                                <w:color w:val="231F20"/>
                                <w:spacing w:val="15"/>
                                <w:sz w:val="15"/>
                                <w:vertAlign w:val="baseline"/>
                              </w:rPr>
                              <w:t> </w:t>
                            </w:r>
                            <w:r>
                              <w:rPr>
                                <w:color w:val="231F20"/>
                                <w:spacing w:val="-2"/>
                                <w:sz w:val="15"/>
                                <w:vertAlign w:val="baseline"/>
                              </w:rPr>
                              <w:t>GD</w:t>
                            </w:r>
                            <w:r>
                              <w:rPr>
                                <w:color w:val="231F20"/>
                                <w:spacing w:val="-2"/>
                                <w:sz w:val="15"/>
                                <w:vertAlign w:val="subscript"/>
                              </w:rPr>
                              <w:t>1a</w:t>
                            </w:r>
                            <w:r>
                              <w:rPr>
                                <w:color w:val="231F20"/>
                                <w:spacing w:val="-2"/>
                                <w:sz w:val="15"/>
                                <w:vertAlign w:val="baseline"/>
                              </w:rPr>
                              <w:t>,</w:t>
                            </w:r>
                          </w:p>
                          <w:p>
                            <w:pPr>
                              <w:pStyle w:val="TableParagraph"/>
                              <w:spacing w:line="171" w:lineRule="exact"/>
                              <w:ind w:left="441"/>
                              <w:rPr>
                                <w:sz w:val="15"/>
                              </w:rPr>
                            </w:pPr>
                            <w:r>
                              <w:rPr>
                                <w:color w:val="231F20"/>
                                <w:w w:val="105"/>
                                <w:sz w:val="15"/>
                              </w:rPr>
                              <w:t>GalNac-</w:t>
                            </w:r>
                            <w:r>
                              <w:rPr>
                                <w:color w:val="231F20"/>
                                <w:spacing w:val="-4"/>
                                <w:w w:val="105"/>
                                <w:sz w:val="15"/>
                              </w:rPr>
                              <w:t>GD</w:t>
                            </w:r>
                            <w:r>
                              <w:rPr>
                                <w:color w:val="231F20"/>
                                <w:spacing w:val="-4"/>
                                <w:w w:val="105"/>
                                <w:sz w:val="15"/>
                                <w:vertAlign w:val="subscript"/>
                              </w:rPr>
                              <w:t>1a</w:t>
                            </w:r>
                          </w:p>
                        </w:tc>
                      </w:tr>
                    </w:tbl>
                    <w:p>
                      <w:pPr>
                        <w:pStyle w:val="BodyText"/>
                      </w:pPr>
                    </w:p>
                  </w:txbxContent>
                </v:textbox>
                <w10:wrap type="none"/>
              </v:shape>
            </w:pict>
          </mc:Fallback>
        </mc:AlternateContent>
      </w:r>
      <w:r>
        <w:rPr>
          <w:i/>
          <w:color w:val="231F20"/>
          <w:sz w:val="13"/>
        </w:rPr>
        <w:t>From</w:t>
      </w:r>
      <w:r>
        <w:rPr>
          <w:i/>
          <w:color w:val="231F20"/>
          <w:spacing w:val="-10"/>
          <w:sz w:val="13"/>
        </w:rPr>
        <w:t> </w:t>
      </w:r>
      <w:r>
        <w:rPr>
          <w:i/>
          <w:color w:val="231F20"/>
          <w:sz w:val="13"/>
        </w:rPr>
        <w:t>Hughes</w:t>
      </w:r>
      <w:r>
        <w:rPr>
          <w:i/>
          <w:color w:val="231F20"/>
          <w:spacing w:val="-10"/>
          <w:sz w:val="13"/>
        </w:rPr>
        <w:t> </w:t>
      </w:r>
      <w:r>
        <w:rPr>
          <w:i/>
          <w:color w:val="231F20"/>
          <w:sz w:val="13"/>
        </w:rPr>
        <w:t>RAC:</w:t>
      </w:r>
      <w:r>
        <w:rPr>
          <w:i/>
          <w:color w:val="231F20"/>
          <w:spacing w:val="-10"/>
          <w:sz w:val="13"/>
        </w:rPr>
        <w:t> </w:t>
      </w:r>
      <w:r>
        <w:rPr>
          <w:i/>
          <w:color w:val="231F20"/>
          <w:sz w:val="13"/>
        </w:rPr>
        <w:t>Treatment</w:t>
      </w:r>
      <w:r>
        <w:rPr>
          <w:i/>
          <w:color w:val="231F20"/>
          <w:spacing w:val="-10"/>
          <w:sz w:val="13"/>
        </w:rPr>
        <w:t> </w:t>
      </w:r>
      <w:r>
        <w:rPr>
          <w:i/>
          <w:color w:val="231F20"/>
          <w:sz w:val="13"/>
        </w:rPr>
        <w:t>of</w:t>
      </w:r>
      <w:r>
        <w:rPr>
          <w:i/>
          <w:color w:val="231F20"/>
          <w:spacing w:val="-9"/>
          <w:sz w:val="13"/>
        </w:rPr>
        <w:t> </w:t>
      </w:r>
      <w:r>
        <w:rPr>
          <w:i/>
          <w:color w:val="231F20"/>
          <w:sz w:val="13"/>
        </w:rPr>
        <w:t>Guillain-Barré</w:t>
      </w:r>
      <w:r>
        <w:rPr>
          <w:i/>
          <w:color w:val="231F20"/>
          <w:spacing w:val="-10"/>
          <w:sz w:val="13"/>
        </w:rPr>
        <w:t> </w:t>
      </w:r>
      <w:r>
        <w:rPr>
          <w:i/>
          <w:color w:val="231F20"/>
          <w:sz w:val="13"/>
        </w:rPr>
        <w:t>syndrome</w:t>
      </w:r>
      <w:r>
        <w:rPr>
          <w:i/>
          <w:color w:val="231F20"/>
          <w:spacing w:val="-10"/>
          <w:sz w:val="13"/>
        </w:rPr>
        <w:t> </w:t>
      </w:r>
      <w:r>
        <w:rPr>
          <w:i/>
          <w:color w:val="231F20"/>
          <w:sz w:val="13"/>
        </w:rPr>
        <w:t>with</w:t>
      </w:r>
      <w:r>
        <w:rPr>
          <w:i/>
          <w:color w:val="231F20"/>
          <w:spacing w:val="-10"/>
          <w:sz w:val="13"/>
        </w:rPr>
        <w:t> </w:t>
      </w:r>
      <w:r>
        <w:rPr>
          <w:i/>
          <w:color w:val="231F20"/>
          <w:sz w:val="13"/>
        </w:rPr>
        <w:t>corticosteroids:</w:t>
      </w:r>
      <w:r>
        <w:rPr>
          <w:i/>
          <w:color w:val="231F20"/>
          <w:spacing w:val="40"/>
          <w:sz w:val="13"/>
        </w:rPr>
        <w:t> </w:t>
      </w:r>
      <w:r>
        <w:rPr>
          <w:i/>
          <w:color w:val="231F20"/>
          <w:sz w:val="13"/>
        </w:rPr>
        <w:t>lack of benefit? </w:t>
      </w:r>
      <w:r>
        <w:rPr>
          <w:color w:val="231F20"/>
          <w:sz w:val="13"/>
        </w:rPr>
        <w:t>Lancet </w:t>
      </w:r>
      <w:r>
        <w:rPr>
          <w:i/>
          <w:color w:val="231F20"/>
          <w:sz w:val="13"/>
        </w:rPr>
        <w:t>363:181–182, 2004.</w:t>
      </w:r>
    </w:p>
    <w:p>
      <w:pPr>
        <w:spacing w:after="0"/>
        <w:jc w:val="left"/>
        <w:rPr>
          <w:i/>
          <w:sz w:val="13"/>
        </w:rPr>
        <w:sectPr>
          <w:type w:val="continuous"/>
          <w:pgSz w:w="11900" w:h="16840"/>
          <w:pgMar w:header="452" w:footer="0" w:top="620" w:bottom="280" w:left="708" w:right="566"/>
          <w:cols w:num="2" w:equalWidth="0">
            <w:col w:w="4740" w:space="478"/>
            <w:col w:w="5408"/>
          </w:cols>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064" name="Group 1064"/>
                <wp:cNvGraphicFramePr>
                  <a:graphicFrameLocks/>
                </wp:cNvGraphicFramePr>
                <a:graphic>
                  <a:graphicData uri="http://schemas.microsoft.com/office/word/2010/wordprocessingGroup">
                    <wpg:wgp>
                      <wpg:cNvPr id="1064" name="Group 1064"/>
                      <wpg:cNvGrpSpPr/>
                      <wpg:grpSpPr>
                        <a:xfrm>
                          <a:off x="0" y="0"/>
                          <a:ext cx="6185535" cy="170815"/>
                          <a:chExt cx="6185535" cy="170815"/>
                        </a:xfrm>
                      </wpg:grpSpPr>
                      <wps:wsp>
                        <wps:cNvPr id="1065" name="Graphic 1065"/>
                        <wps:cNvSpPr/>
                        <wps:spPr>
                          <a:xfrm>
                            <a:off x="0"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066" name="Graphic 1066"/>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067" name="Textbox 1067"/>
                        <wps:cNvSpPr txBox="1"/>
                        <wps:spPr>
                          <a:xfrm>
                            <a:off x="0" y="0"/>
                            <a:ext cx="6185535" cy="170815"/>
                          </a:xfrm>
                          <a:prstGeom prst="rect">
                            <a:avLst/>
                          </a:prstGeom>
                        </wps:spPr>
                        <wps:txbx>
                          <w:txbxContent>
                            <w:p>
                              <w:pPr>
                                <w:spacing w:before="6"/>
                                <w:ind w:left="5568" w:right="-15" w:firstLine="0"/>
                                <w:jc w:val="left"/>
                                <w:rPr>
                                  <w:b/>
                                  <w:sz w:val="18"/>
                                </w:rPr>
                              </w:pPr>
                              <w:r>
                                <w:rPr>
                                  <w:b/>
                                  <w:color w:val="0073BC"/>
                                  <w:w w:val="105"/>
                                  <w:sz w:val="18"/>
                                </w:rPr>
                                <w:t>Chapter</w:t>
                              </w:r>
                              <w:r>
                                <w:rPr>
                                  <w:b/>
                                  <w:color w:val="0073BC"/>
                                  <w:spacing w:val="14"/>
                                  <w:w w:val="105"/>
                                  <w:sz w:val="18"/>
                                </w:rPr>
                                <w:t> </w:t>
                              </w:r>
                              <w:r>
                                <w:rPr>
                                  <w:b/>
                                  <w:color w:val="0073BC"/>
                                  <w:w w:val="105"/>
                                  <w:sz w:val="18"/>
                                </w:rPr>
                                <w:t>615</w:t>
                              </w:r>
                              <w:r>
                                <w:rPr>
                                  <w:b/>
                                  <w:color w:val="0073BC"/>
                                  <w:spacing w:val="42"/>
                                  <w:w w:val="105"/>
                                  <w:sz w:val="18"/>
                                </w:rPr>
                                <w:t> </w:t>
                              </w:r>
                              <w:r>
                                <w:rPr>
                                  <w:rFonts w:ascii="Lucida Sans Unicode" w:hAnsi="Lucida Sans Unicode"/>
                                  <w:color w:val="6C9BD2"/>
                                  <w:w w:val="105"/>
                                  <w:sz w:val="15"/>
                                </w:rPr>
                                <w:t>◆</w:t>
                              </w:r>
                              <w:r>
                                <w:rPr>
                                  <w:rFonts w:ascii="Lucida Sans Unicode" w:hAnsi="Lucida Sans Unicode"/>
                                  <w:color w:val="6C9BD2"/>
                                  <w:spacing w:val="50"/>
                                  <w:w w:val="105"/>
                                  <w:sz w:val="15"/>
                                </w:rPr>
                                <w:t> </w:t>
                              </w:r>
                              <w:r>
                                <w:rPr>
                                  <w:color w:val="231F20"/>
                                  <w:w w:val="105"/>
                                  <w:sz w:val="18"/>
                                </w:rPr>
                                <w:t>Autonomic</w:t>
                              </w:r>
                              <w:r>
                                <w:rPr>
                                  <w:color w:val="231F20"/>
                                  <w:spacing w:val="10"/>
                                  <w:w w:val="105"/>
                                  <w:sz w:val="18"/>
                                </w:rPr>
                                <w:t> </w:t>
                              </w:r>
                              <w:r>
                                <w:rPr>
                                  <w:color w:val="231F20"/>
                                  <w:w w:val="105"/>
                                  <w:sz w:val="18"/>
                                </w:rPr>
                                <w:t>Neuropathies</w:t>
                              </w:r>
                              <w:r>
                                <w:rPr>
                                  <w:color w:val="231F20"/>
                                  <w:spacing w:val="42"/>
                                  <w:w w:val="105"/>
                                  <w:sz w:val="18"/>
                                </w:rPr>
                                <w:t>  </w:t>
                              </w:r>
                              <w:r>
                                <w:rPr>
                                  <w:b/>
                                  <w:color w:val="231F20"/>
                                  <w:spacing w:val="-4"/>
                                  <w:w w:val="105"/>
                                  <w:sz w:val="18"/>
                                </w:rPr>
                                <w:t>3007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847" coordorigin="0,0" coordsize="9741,269">
                <v:line style="position:absolute" from="0,145" to="37,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848" filled="false" stroked="false">
                  <v:textbox inset="0,0,0,0">
                    <w:txbxContent>
                      <w:p>
                        <w:pPr>
                          <w:spacing w:before="6"/>
                          <w:ind w:left="5568" w:right="-15" w:firstLine="0"/>
                          <w:jc w:val="left"/>
                          <w:rPr>
                            <w:b/>
                            <w:sz w:val="18"/>
                          </w:rPr>
                        </w:pPr>
                        <w:r>
                          <w:rPr>
                            <w:b/>
                            <w:color w:val="0073BC"/>
                            <w:w w:val="105"/>
                            <w:sz w:val="18"/>
                          </w:rPr>
                          <w:t>Chapter</w:t>
                        </w:r>
                        <w:r>
                          <w:rPr>
                            <w:b/>
                            <w:color w:val="0073BC"/>
                            <w:spacing w:val="14"/>
                            <w:w w:val="105"/>
                            <w:sz w:val="18"/>
                          </w:rPr>
                          <w:t> </w:t>
                        </w:r>
                        <w:r>
                          <w:rPr>
                            <w:b/>
                            <w:color w:val="0073BC"/>
                            <w:w w:val="105"/>
                            <w:sz w:val="18"/>
                          </w:rPr>
                          <w:t>615</w:t>
                        </w:r>
                        <w:r>
                          <w:rPr>
                            <w:b/>
                            <w:color w:val="0073BC"/>
                            <w:spacing w:val="42"/>
                            <w:w w:val="105"/>
                            <w:sz w:val="18"/>
                          </w:rPr>
                          <w:t> </w:t>
                        </w:r>
                        <w:r>
                          <w:rPr>
                            <w:rFonts w:ascii="Lucida Sans Unicode" w:hAnsi="Lucida Sans Unicode"/>
                            <w:color w:val="6C9BD2"/>
                            <w:w w:val="105"/>
                            <w:sz w:val="15"/>
                          </w:rPr>
                          <w:t>◆</w:t>
                        </w:r>
                        <w:r>
                          <w:rPr>
                            <w:rFonts w:ascii="Lucida Sans Unicode" w:hAnsi="Lucida Sans Unicode"/>
                            <w:color w:val="6C9BD2"/>
                            <w:spacing w:val="50"/>
                            <w:w w:val="105"/>
                            <w:sz w:val="15"/>
                          </w:rPr>
                          <w:t> </w:t>
                        </w:r>
                        <w:r>
                          <w:rPr>
                            <w:color w:val="231F20"/>
                            <w:w w:val="105"/>
                            <w:sz w:val="18"/>
                          </w:rPr>
                          <w:t>Autonomic</w:t>
                        </w:r>
                        <w:r>
                          <w:rPr>
                            <w:color w:val="231F20"/>
                            <w:spacing w:val="10"/>
                            <w:w w:val="105"/>
                            <w:sz w:val="18"/>
                          </w:rPr>
                          <w:t> </w:t>
                        </w:r>
                        <w:r>
                          <w:rPr>
                            <w:color w:val="231F20"/>
                            <w:w w:val="105"/>
                            <w:sz w:val="18"/>
                          </w:rPr>
                          <w:t>Neuropathies</w:t>
                        </w:r>
                        <w:r>
                          <w:rPr>
                            <w:color w:val="231F20"/>
                            <w:spacing w:val="42"/>
                            <w:w w:val="105"/>
                            <w:sz w:val="18"/>
                          </w:rPr>
                          <w:t>  </w:t>
                        </w:r>
                        <w:r>
                          <w:rPr>
                            <w:b/>
                            <w:color w:val="231F20"/>
                            <w:spacing w:val="-4"/>
                            <w:w w:val="105"/>
                            <w:sz w:val="18"/>
                          </w:rPr>
                          <w:t>3007</w:t>
                        </w:r>
                      </w:p>
                    </w:txbxContent>
                  </v:textbox>
                  <w10:wrap type="none"/>
                </v:shape>
              </v:group>
            </w:pict>
          </mc:Fallback>
        </mc:AlternateContent>
      </w:r>
      <w:r>
        <w:rPr>
          <w:sz w:val="20"/>
        </w:rPr>
      </w:r>
    </w:p>
    <w:p>
      <w:pPr>
        <w:pStyle w:val="BodyText"/>
        <w:spacing w:before="7"/>
        <w:rPr>
          <w:i/>
          <w:sz w:val="14"/>
        </w:rPr>
      </w:pPr>
      <w:r>
        <w:rPr>
          <w:i/>
          <w:sz w:val="14"/>
        </w:rPr>
        <mc:AlternateContent>
          <mc:Choice Requires="wps">
            <w:drawing>
              <wp:anchor distT="0" distB="0" distL="0" distR="0" allowOverlap="1" layoutInCell="1" locked="0" behindDoc="1" simplePos="0" relativeHeight="487666176">
                <wp:simplePos x="0" y="0"/>
                <wp:positionH relativeFrom="page">
                  <wp:posOffset>1011074</wp:posOffset>
                </wp:positionH>
                <wp:positionV relativeFrom="paragraph">
                  <wp:posOffset>123880</wp:posOffset>
                </wp:positionV>
                <wp:extent cx="5748020" cy="4106545"/>
                <wp:effectExtent l="0" t="0" r="0" b="0"/>
                <wp:wrapTopAndBottom/>
                <wp:docPr id="1068" name="Group 1068"/>
                <wp:cNvGraphicFramePr>
                  <a:graphicFrameLocks/>
                </wp:cNvGraphicFramePr>
                <a:graphic>
                  <a:graphicData uri="http://schemas.microsoft.com/office/word/2010/wordprocessingGroup">
                    <wpg:wgp>
                      <wpg:cNvPr id="1068" name="Group 1068"/>
                      <wpg:cNvGrpSpPr/>
                      <wpg:grpSpPr>
                        <a:xfrm>
                          <a:off x="0" y="0"/>
                          <a:ext cx="5748020" cy="4106545"/>
                          <a:chExt cx="5748020" cy="4106545"/>
                        </a:xfrm>
                      </wpg:grpSpPr>
                      <wps:wsp>
                        <wps:cNvPr id="1069" name="Graphic 1069"/>
                        <wps:cNvSpPr/>
                        <wps:spPr>
                          <a:xfrm>
                            <a:off x="1995852" y="1488838"/>
                            <a:ext cx="750570" cy="812800"/>
                          </a:xfrm>
                          <a:custGeom>
                            <a:avLst/>
                            <a:gdLst/>
                            <a:ahLst/>
                            <a:cxnLst/>
                            <a:rect l="l" t="t" r="r" b="b"/>
                            <a:pathLst>
                              <a:path w="750570" h="812800">
                                <a:moveTo>
                                  <a:pt x="0" y="0"/>
                                </a:moveTo>
                                <a:lnTo>
                                  <a:pt x="582185" y="0"/>
                                </a:lnTo>
                                <a:lnTo>
                                  <a:pt x="599165" y="2369"/>
                                </a:lnTo>
                                <a:lnTo>
                                  <a:pt x="599272" y="801135"/>
                                </a:lnTo>
                                <a:lnTo>
                                  <a:pt x="599272" y="812498"/>
                                </a:lnTo>
                                <a:lnTo>
                                  <a:pt x="750159" y="812498"/>
                                </a:lnTo>
                              </a:path>
                            </a:pathLst>
                          </a:custGeom>
                          <a:ln w="11849">
                            <a:solidFill>
                              <a:srgbClr val="231F20"/>
                            </a:solidFill>
                            <a:prstDash val="dash"/>
                          </a:ln>
                        </wps:spPr>
                        <wps:bodyPr wrap="square" lIns="0" tIns="0" rIns="0" bIns="0" rtlCol="0">
                          <a:prstTxWarp prst="textNoShape">
                            <a:avLst/>
                          </a:prstTxWarp>
                          <a:noAutofit/>
                        </wps:bodyPr>
                      </wps:wsp>
                      <wps:wsp>
                        <wps:cNvPr id="1070" name="Graphic 1070"/>
                        <wps:cNvSpPr/>
                        <wps:spPr>
                          <a:xfrm>
                            <a:off x="1751111" y="479485"/>
                            <a:ext cx="617855" cy="247015"/>
                          </a:xfrm>
                          <a:custGeom>
                            <a:avLst/>
                            <a:gdLst/>
                            <a:ahLst/>
                            <a:cxnLst/>
                            <a:rect l="l" t="t" r="r" b="b"/>
                            <a:pathLst>
                              <a:path w="617855" h="247015">
                                <a:moveTo>
                                  <a:pt x="617639" y="0"/>
                                </a:moveTo>
                                <a:lnTo>
                                  <a:pt x="0" y="0"/>
                                </a:lnTo>
                                <a:lnTo>
                                  <a:pt x="0" y="246875"/>
                                </a:lnTo>
                                <a:lnTo>
                                  <a:pt x="617639" y="246875"/>
                                </a:lnTo>
                                <a:lnTo>
                                  <a:pt x="617639" y="0"/>
                                </a:lnTo>
                                <a:close/>
                              </a:path>
                            </a:pathLst>
                          </a:custGeom>
                          <a:solidFill>
                            <a:srgbClr val="D7EDDD"/>
                          </a:solidFill>
                        </wps:spPr>
                        <wps:bodyPr wrap="square" lIns="0" tIns="0" rIns="0" bIns="0" rtlCol="0">
                          <a:prstTxWarp prst="textNoShape">
                            <a:avLst/>
                          </a:prstTxWarp>
                          <a:noAutofit/>
                        </wps:bodyPr>
                      </wps:wsp>
                      <wps:wsp>
                        <wps:cNvPr id="1071" name="Graphic 1071"/>
                        <wps:cNvSpPr/>
                        <wps:spPr>
                          <a:xfrm>
                            <a:off x="1751107" y="479489"/>
                            <a:ext cx="617855" cy="247015"/>
                          </a:xfrm>
                          <a:custGeom>
                            <a:avLst/>
                            <a:gdLst/>
                            <a:ahLst/>
                            <a:cxnLst/>
                            <a:rect l="l" t="t" r="r" b="b"/>
                            <a:pathLst>
                              <a:path w="617855" h="247015">
                                <a:moveTo>
                                  <a:pt x="0" y="246877"/>
                                </a:moveTo>
                                <a:lnTo>
                                  <a:pt x="617638" y="246877"/>
                                </a:lnTo>
                                <a:lnTo>
                                  <a:pt x="617638" y="0"/>
                                </a:lnTo>
                                <a:lnTo>
                                  <a:pt x="0" y="0"/>
                                </a:lnTo>
                                <a:lnTo>
                                  <a:pt x="0" y="246877"/>
                                </a:lnTo>
                                <a:close/>
                              </a:path>
                            </a:pathLst>
                          </a:custGeom>
                          <a:ln w="11849">
                            <a:solidFill>
                              <a:srgbClr val="231F20"/>
                            </a:solidFill>
                            <a:prstDash val="solid"/>
                          </a:ln>
                        </wps:spPr>
                        <wps:bodyPr wrap="square" lIns="0" tIns="0" rIns="0" bIns="0" rtlCol="0">
                          <a:prstTxWarp prst="textNoShape">
                            <a:avLst/>
                          </a:prstTxWarp>
                          <a:noAutofit/>
                        </wps:bodyPr>
                      </wps:wsp>
                      <wps:wsp>
                        <wps:cNvPr id="1072" name="Graphic 1072"/>
                        <wps:cNvSpPr/>
                        <wps:spPr>
                          <a:xfrm>
                            <a:off x="931796" y="951861"/>
                            <a:ext cx="638175" cy="248285"/>
                          </a:xfrm>
                          <a:custGeom>
                            <a:avLst/>
                            <a:gdLst/>
                            <a:ahLst/>
                            <a:cxnLst/>
                            <a:rect l="l" t="t" r="r" b="b"/>
                            <a:pathLst>
                              <a:path w="638175" h="248285">
                                <a:moveTo>
                                  <a:pt x="637819" y="0"/>
                                </a:moveTo>
                                <a:lnTo>
                                  <a:pt x="0" y="0"/>
                                </a:lnTo>
                                <a:lnTo>
                                  <a:pt x="0" y="248157"/>
                                </a:lnTo>
                                <a:lnTo>
                                  <a:pt x="637819" y="248157"/>
                                </a:lnTo>
                                <a:lnTo>
                                  <a:pt x="637819" y="0"/>
                                </a:lnTo>
                                <a:close/>
                              </a:path>
                            </a:pathLst>
                          </a:custGeom>
                          <a:solidFill>
                            <a:srgbClr val="D7EDDD"/>
                          </a:solidFill>
                        </wps:spPr>
                        <wps:bodyPr wrap="square" lIns="0" tIns="0" rIns="0" bIns="0" rtlCol="0">
                          <a:prstTxWarp prst="textNoShape">
                            <a:avLst/>
                          </a:prstTxWarp>
                          <a:noAutofit/>
                        </wps:bodyPr>
                      </wps:wsp>
                      <wps:wsp>
                        <wps:cNvPr id="1073" name="Graphic 1073"/>
                        <wps:cNvSpPr/>
                        <wps:spPr>
                          <a:xfrm>
                            <a:off x="931796" y="951856"/>
                            <a:ext cx="638175" cy="248285"/>
                          </a:xfrm>
                          <a:custGeom>
                            <a:avLst/>
                            <a:gdLst/>
                            <a:ahLst/>
                            <a:cxnLst/>
                            <a:rect l="l" t="t" r="r" b="b"/>
                            <a:pathLst>
                              <a:path w="638175" h="248285">
                                <a:moveTo>
                                  <a:pt x="0" y="248157"/>
                                </a:moveTo>
                                <a:lnTo>
                                  <a:pt x="637817" y="248157"/>
                                </a:lnTo>
                                <a:lnTo>
                                  <a:pt x="637817" y="0"/>
                                </a:lnTo>
                                <a:lnTo>
                                  <a:pt x="0" y="0"/>
                                </a:lnTo>
                                <a:lnTo>
                                  <a:pt x="0" y="248157"/>
                                </a:lnTo>
                                <a:close/>
                              </a:path>
                            </a:pathLst>
                          </a:custGeom>
                          <a:ln w="11849">
                            <a:solidFill>
                              <a:srgbClr val="231F20"/>
                            </a:solidFill>
                            <a:prstDash val="solid"/>
                          </a:ln>
                        </wps:spPr>
                        <wps:bodyPr wrap="square" lIns="0" tIns="0" rIns="0" bIns="0" rtlCol="0">
                          <a:prstTxWarp prst="textNoShape">
                            <a:avLst/>
                          </a:prstTxWarp>
                          <a:noAutofit/>
                        </wps:bodyPr>
                      </wps:wsp>
                      <wps:wsp>
                        <wps:cNvPr id="1074" name="Graphic 1074"/>
                        <wps:cNvSpPr/>
                        <wps:spPr>
                          <a:xfrm>
                            <a:off x="538287" y="1368231"/>
                            <a:ext cx="537845" cy="246379"/>
                          </a:xfrm>
                          <a:custGeom>
                            <a:avLst/>
                            <a:gdLst/>
                            <a:ahLst/>
                            <a:cxnLst/>
                            <a:rect l="l" t="t" r="r" b="b"/>
                            <a:pathLst>
                              <a:path w="537845" h="246379">
                                <a:moveTo>
                                  <a:pt x="537527" y="0"/>
                                </a:moveTo>
                                <a:lnTo>
                                  <a:pt x="0" y="0"/>
                                </a:lnTo>
                                <a:lnTo>
                                  <a:pt x="0" y="245948"/>
                                </a:lnTo>
                                <a:lnTo>
                                  <a:pt x="537527" y="245948"/>
                                </a:lnTo>
                                <a:lnTo>
                                  <a:pt x="537527" y="0"/>
                                </a:lnTo>
                                <a:close/>
                              </a:path>
                            </a:pathLst>
                          </a:custGeom>
                          <a:solidFill>
                            <a:srgbClr val="D7EDDD"/>
                          </a:solidFill>
                        </wps:spPr>
                        <wps:bodyPr wrap="square" lIns="0" tIns="0" rIns="0" bIns="0" rtlCol="0">
                          <a:prstTxWarp prst="textNoShape">
                            <a:avLst/>
                          </a:prstTxWarp>
                          <a:noAutofit/>
                        </wps:bodyPr>
                      </wps:wsp>
                      <wps:wsp>
                        <wps:cNvPr id="1075" name="Graphic 1075"/>
                        <wps:cNvSpPr/>
                        <wps:spPr>
                          <a:xfrm>
                            <a:off x="538284" y="1368225"/>
                            <a:ext cx="537845" cy="246379"/>
                          </a:xfrm>
                          <a:custGeom>
                            <a:avLst/>
                            <a:gdLst/>
                            <a:ahLst/>
                            <a:cxnLst/>
                            <a:rect l="l" t="t" r="r" b="b"/>
                            <a:pathLst>
                              <a:path w="537845" h="246379">
                                <a:moveTo>
                                  <a:pt x="0" y="245953"/>
                                </a:moveTo>
                                <a:lnTo>
                                  <a:pt x="537526" y="245953"/>
                                </a:lnTo>
                                <a:lnTo>
                                  <a:pt x="537526" y="0"/>
                                </a:lnTo>
                                <a:lnTo>
                                  <a:pt x="0" y="0"/>
                                </a:lnTo>
                                <a:lnTo>
                                  <a:pt x="0" y="245953"/>
                                </a:lnTo>
                                <a:close/>
                              </a:path>
                            </a:pathLst>
                          </a:custGeom>
                          <a:ln w="11849">
                            <a:solidFill>
                              <a:srgbClr val="231F20"/>
                            </a:solidFill>
                            <a:prstDash val="solid"/>
                          </a:ln>
                        </wps:spPr>
                        <wps:bodyPr wrap="square" lIns="0" tIns="0" rIns="0" bIns="0" rtlCol="0">
                          <a:prstTxWarp prst="textNoShape">
                            <a:avLst/>
                          </a:prstTxWarp>
                          <a:noAutofit/>
                        </wps:bodyPr>
                      </wps:wsp>
                      <wps:wsp>
                        <wps:cNvPr id="1076" name="Graphic 1076"/>
                        <wps:cNvSpPr/>
                        <wps:spPr>
                          <a:xfrm>
                            <a:off x="5928" y="1812096"/>
                            <a:ext cx="645795" cy="368935"/>
                          </a:xfrm>
                          <a:custGeom>
                            <a:avLst/>
                            <a:gdLst/>
                            <a:ahLst/>
                            <a:cxnLst/>
                            <a:rect l="l" t="t" r="r" b="b"/>
                            <a:pathLst>
                              <a:path w="645795" h="368935">
                                <a:moveTo>
                                  <a:pt x="645452" y="0"/>
                                </a:moveTo>
                                <a:lnTo>
                                  <a:pt x="0" y="0"/>
                                </a:lnTo>
                                <a:lnTo>
                                  <a:pt x="0" y="368439"/>
                                </a:lnTo>
                                <a:lnTo>
                                  <a:pt x="645452" y="368439"/>
                                </a:lnTo>
                                <a:lnTo>
                                  <a:pt x="645452" y="0"/>
                                </a:lnTo>
                                <a:close/>
                              </a:path>
                            </a:pathLst>
                          </a:custGeom>
                          <a:solidFill>
                            <a:srgbClr val="D7EDDD"/>
                          </a:solidFill>
                        </wps:spPr>
                        <wps:bodyPr wrap="square" lIns="0" tIns="0" rIns="0" bIns="0" rtlCol="0">
                          <a:prstTxWarp prst="textNoShape">
                            <a:avLst/>
                          </a:prstTxWarp>
                          <a:noAutofit/>
                        </wps:bodyPr>
                      </wps:wsp>
                      <wps:wsp>
                        <wps:cNvPr id="1077" name="Graphic 1077"/>
                        <wps:cNvSpPr/>
                        <wps:spPr>
                          <a:xfrm>
                            <a:off x="5924" y="1812095"/>
                            <a:ext cx="645795" cy="368935"/>
                          </a:xfrm>
                          <a:custGeom>
                            <a:avLst/>
                            <a:gdLst/>
                            <a:ahLst/>
                            <a:cxnLst/>
                            <a:rect l="l" t="t" r="r" b="b"/>
                            <a:pathLst>
                              <a:path w="645795" h="368935">
                                <a:moveTo>
                                  <a:pt x="0" y="368438"/>
                                </a:moveTo>
                                <a:lnTo>
                                  <a:pt x="645448" y="368438"/>
                                </a:lnTo>
                                <a:lnTo>
                                  <a:pt x="645448" y="0"/>
                                </a:lnTo>
                                <a:lnTo>
                                  <a:pt x="0" y="0"/>
                                </a:lnTo>
                                <a:lnTo>
                                  <a:pt x="0" y="368438"/>
                                </a:lnTo>
                                <a:close/>
                              </a:path>
                            </a:pathLst>
                          </a:custGeom>
                          <a:ln w="11849">
                            <a:solidFill>
                              <a:srgbClr val="231F20"/>
                            </a:solidFill>
                            <a:prstDash val="solid"/>
                          </a:ln>
                        </wps:spPr>
                        <wps:bodyPr wrap="square" lIns="0" tIns="0" rIns="0" bIns="0" rtlCol="0">
                          <a:prstTxWarp prst="textNoShape">
                            <a:avLst/>
                          </a:prstTxWarp>
                          <a:noAutofit/>
                        </wps:bodyPr>
                      </wps:wsp>
                      <wps:wsp>
                        <wps:cNvPr id="1078" name="Graphic 1078"/>
                        <wps:cNvSpPr/>
                        <wps:spPr>
                          <a:xfrm>
                            <a:off x="376755" y="2430484"/>
                            <a:ext cx="867410" cy="496570"/>
                          </a:xfrm>
                          <a:custGeom>
                            <a:avLst/>
                            <a:gdLst/>
                            <a:ahLst/>
                            <a:cxnLst/>
                            <a:rect l="l" t="t" r="r" b="b"/>
                            <a:pathLst>
                              <a:path w="867410" h="496570">
                                <a:moveTo>
                                  <a:pt x="867117" y="0"/>
                                </a:moveTo>
                                <a:lnTo>
                                  <a:pt x="0" y="0"/>
                                </a:lnTo>
                                <a:lnTo>
                                  <a:pt x="0" y="496290"/>
                                </a:lnTo>
                                <a:lnTo>
                                  <a:pt x="867117" y="496290"/>
                                </a:lnTo>
                                <a:lnTo>
                                  <a:pt x="867117" y="0"/>
                                </a:lnTo>
                                <a:close/>
                              </a:path>
                            </a:pathLst>
                          </a:custGeom>
                          <a:solidFill>
                            <a:srgbClr val="D7EDDD"/>
                          </a:solidFill>
                        </wps:spPr>
                        <wps:bodyPr wrap="square" lIns="0" tIns="0" rIns="0" bIns="0" rtlCol="0">
                          <a:prstTxWarp prst="textNoShape">
                            <a:avLst/>
                          </a:prstTxWarp>
                          <a:noAutofit/>
                        </wps:bodyPr>
                      </wps:wsp>
                      <wps:wsp>
                        <wps:cNvPr id="1079" name="Graphic 1079"/>
                        <wps:cNvSpPr/>
                        <wps:spPr>
                          <a:xfrm>
                            <a:off x="376756" y="2430480"/>
                            <a:ext cx="867410" cy="496570"/>
                          </a:xfrm>
                          <a:custGeom>
                            <a:avLst/>
                            <a:gdLst/>
                            <a:ahLst/>
                            <a:cxnLst/>
                            <a:rect l="l" t="t" r="r" b="b"/>
                            <a:pathLst>
                              <a:path w="867410" h="496570">
                                <a:moveTo>
                                  <a:pt x="0" y="496291"/>
                                </a:moveTo>
                                <a:lnTo>
                                  <a:pt x="867123" y="496291"/>
                                </a:lnTo>
                                <a:lnTo>
                                  <a:pt x="867123" y="0"/>
                                </a:lnTo>
                                <a:lnTo>
                                  <a:pt x="0" y="0"/>
                                </a:lnTo>
                                <a:lnTo>
                                  <a:pt x="0" y="496291"/>
                                </a:lnTo>
                                <a:close/>
                              </a:path>
                            </a:pathLst>
                          </a:custGeom>
                          <a:ln w="11849">
                            <a:solidFill>
                              <a:srgbClr val="231F20"/>
                            </a:solidFill>
                            <a:prstDash val="solid"/>
                          </a:ln>
                        </wps:spPr>
                        <wps:bodyPr wrap="square" lIns="0" tIns="0" rIns="0" bIns="0" rtlCol="0">
                          <a:prstTxWarp prst="textNoShape">
                            <a:avLst/>
                          </a:prstTxWarp>
                          <a:noAutofit/>
                        </wps:bodyPr>
                      </wps:wsp>
                      <wps:wsp>
                        <wps:cNvPr id="1080" name="Graphic 1080"/>
                        <wps:cNvSpPr/>
                        <wps:spPr>
                          <a:xfrm>
                            <a:off x="4425122" y="479485"/>
                            <a:ext cx="648970" cy="245745"/>
                          </a:xfrm>
                          <a:custGeom>
                            <a:avLst/>
                            <a:gdLst/>
                            <a:ahLst/>
                            <a:cxnLst/>
                            <a:rect l="l" t="t" r="r" b="b"/>
                            <a:pathLst>
                              <a:path w="648970" h="245745">
                                <a:moveTo>
                                  <a:pt x="648906" y="0"/>
                                </a:moveTo>
                                <a:lnTo>
                                  <a:pt x="0" y="0"/>
                                </a:lnTo>
                                <a:lnTo>
                                  <a:pt x="0" y="245567"/>
                                </a:lnTo>
                                <a:lnTo>
                                  <a:pt x="648906" y="245567"/>
                                </a:lnTo>
                                <a:lnTo>
                                  <a:pt x="648906" y="0"/>
                                </a:lnTo>
                                <a:close/>
                              </a:path>
                            </a:pathLst>
                          </a:custGeom>
                          <a:solidFill>
                            <a:srgbClr val="D7EDDD"/>
                          </a:solidFill>
                        </wps:spPr>
                        <wps:bodyPr wrap="square" lIns="0" tIns="0" rIns="0" bIns="0" rtlCol="0">
                          <a:prstTxWarp prst="textNoShape">
                            <a:avLst/>
                          </a:prstTxWarp>
                          <a:noAutofit/>
                        </wps:bodyPr>
                      </wps:wsp>
                      <wps:wsp>
                        <wps:cNvPr id="1081" name="Graphic 1081"/>
                        <wps:cNvSpPr/>
                        <wps:spPr>
                          <a:xfrm>
                            <a:off x="4425124" y="479489"/>
                            <a:ext cx="648970" cy="245745"/>
                          </a:xfrm>
                          <a:custGeom>
                            <a:avLst/>
                            <a:gdLst/>
                            <a:ahLst/>
                            <a:cxnLst/>
                            <a:rect l="l" t="t" r="r" b="b"/>
                            <a:pathLst>
                              <a:path w="648970" h="245745">
                                <a:moveTo>
                                  <a:pt x="0" y="245562"/>
                                </a:moveTo>
                                <a:lnTo>
                                  <a:pt x="648908" y="245562"/>
                                </a:lnTo>
                                <a:lnTo>
                                  <a:pt x="648908" y="0"/>
                                </a:lnTo>
                                <a:lnTo>
                                  <a:pt x="0" y="0"/>
                                </a:lnTo>
                                <a:lnTo>
                                  <a:pt x="0" y="245562"/>
                                </a:lnTo>
                                <a:close/>
                              </a:path>
                            </a:pathLst>
                          </a:custGeom>
                          <a:ln w="11849">
                            <a:solidFill>
                              <a:srgbClr val="231F20"/>
                            </a:solidFill>
                            <a:prstDash val="solid"/>
                          </a:ln>
                        </wps:spPr>
                        <wps:bodyPr wrap="square" lIns="0" tIns="0" rIns="0" bIns="0" rtlCol="0">
                          <a:prstTxWarp prst="textNoShape">
                            <a:avLst/>
                          </a:prstTxWarp>
                          <a:noAutofit/>
                        </wps:bodyPr>
                      </wps:wsp>
                      <wps:wsp>
                        <wps:cNvPr id="1082" name="Graphic 1082"/>
                        <wps:cNvSpPr/>
                        <wps:spPr>
                          <a:xfrm>
                            <a:off x="2491509" y="951861"/>
                            <a:ext cx="501015" cy="247015"/>
                          </a:xfrm>
                          <a:custGeom>
                            <a:avLst/>
                            <a:gdLst/>
                            <a:ahLst/>
                            <a:cxnLst/>
                            <a:rect l="l" t="t" r="r" b="b"/>
                            <a:pathLst>
                              <a:path w="501015" h="247015">
                                <a:moveTo>
                                  <a:pt x="500900" y="0"/>
                                </a:moveTo>
                                <a:lnTo>
                                  <a:pt x="0" y="0"/>
                                </a:lnTo>
                                <a:lnTo>
                                  <a:pt x="0" y="246862"/>
                                </a:lnTo>
                                <a:lnTo>
                                  <a:pt x="500900" y="246862"/>
                                </a:lnTo>
                                <a:lnTo>
                                  <a:pt x="500900" y="0"/>
                                </a:lnTo>
                                <a:close/>
                              </a:path>
                            </a:pathLst>
                          </a:custGeom>
                          <a:solidFill>
                            <a:srgbClr val="D7EDDD"/>
                          </a:solidFill>
                        </wps:spPr>
                        <wps:bodyPr wrap="square" lIns="0" tIns="0" rIns="0" bIns="0" rtlCol="0">
                          <a:prstTxWarp prst="textNoShape">
                            <a:avLst/>
                          </a:prstTxWarp>
                          <a:noAutofit/>
                        </wps:bodyPr>
                      </wps:wsp>
                      <wps:wsp>
                        <wps:cNvPr id="1083" name="Graphic 1083"/>
                        <wps:cNvSpPr/>
                        <wps:spPr>
                          <a:xfrm>
                            <a:off x="2491515" y="951856"/>
                            <a:ext cx="501015" cy="247015"/>
                          </a:xfrm>
                          <a:custGeom>
                            <a:avLst/>
                            <a:gdLst/>
                            <a:ahLst/>
                            <a:cxnLst/>
                            <a:rect l="l" t="t" r="r" b="b"/>
                            <a:pathLst>
                              <a:path w="501015" h="247015">
                                <a:moveTo>
                                  <a:pt x="0" y="246865"/>
                                </a:moveTo>
                                <a:lnTo>
                                  <a:pt x="500900" y="246865"/>
                                </a:lnTo>
                                <a:lnTo>
                                  <a:pt x="500900" y="0"/>
                                </a:lnTo>
                                <a:lnTo>
                                  <a:pt x="0" y="0"/>
                                </a:lnTo>
                                <a:lnTo>
                                  <a:pt x="0" y="246865"/>
                                </a:lnTo>
                                <a:close/>
                              </a:path>
                            </a:pathLst>
                          </a:custGeom>
                          <a:ln w="11849">
                            <a:solidFill>
                              <a:srgbClr val="231F20"/>
                            </a:solidFill>
                            <a:prstDash val="solid"/>
                          </a:ln>
                        </wps:spPr>
                        <wps:bodyPr wrap="square" lIns="0" tIns="0" rIns="0" bIns="0" rtlCol="0">
                          <a:prstTxWarp prst="textNoShape">
                            <a:avLst/>
                          </a:prstTxWarp>
                          <a:noAutofit/>
                        </wps:bodyPr>
                      </wps:wsp>
                      <wps:wsp>
                        <wps:cNvPr id="1084" name="Graphic 1084"/>
                        <wps:cNvSpPr/>
                        <wps:spPr>
                          <a:xfrm>
                            <a:off x="1366822" y="2430472"/>
                            <a:ext cx="695960" cy="372110"/>
                          </a:xfrm>
                          <a:custGeom>
                            <a:avLst/>
                            <a:gdLst/>
                            <a:ahLst/>
                            <a:cxnLst/>
                            <a:rect l="l" t="t" r="r" b="b"/>
                            <a:pathLst>
                              <a:path w="695960" h="372110">
                                <a:moveTo>
                                  <a:pt x="695579" y="0"/>
                                </a:moveTo>
                                <a:lnTo>
                                  <a:pt x="0" y="0"/>
                                </a:lnTo>
                                <a:lnTo>
                                  <a:pt x="0" y="371995"/>
                                </a:lnTo>
                                <a:lnTo>
                                  <a:pt x="695579" y="371995"/>
                                </a:lnTo>
                                <a:lnTo>
                                  <a:pt x="695579" y="0"/>
                                </a:lnTo>
                                <a:close/>
                              </a:path>
                            </a:pathLst>
                          </a:custGeom>
                          <a:solidFill>
                            <a:srgbClr val="D7EDDD"/>
                          </a:solidFill>
                        </wps:spPr>
                        <wps:bodyPr wrap="square" lIns="0" tIns="0" rIns="0" bIns="0" rtlCol="0">
                          <a:prstTxWarp prst="textNoShape">
                            <a:avLst/>
                          </a:prstTxWarp>
                          <a:noAutofit/>
                        </wps:bodyPr>
                      </wps:wsp>
                      <wps:wsp>
                        <wps:cNvPr id="1085" name="Graphic 1085"/>
                        <wps:cNvSpPr/>
                        <wps:spPr>
                          <a:xfrm>
                            <a:off x="1366826" y="2430480"/>
                            <a:ext cx="695960" cy="372110"/>
                          </a:xfrm>
                          <a:custGeom>
                            <a:avLst/>
                            <a:gdLst/>
                            <a:ahLst/>
                            <a:cxnLst/>
                            <a:rect l="l" t="t" r="r" b="b"/>
                            <a:pathLst>
                              <a:path w="695960" h="372110">
                                <a:moveTo>
                                  <a:pt x="0" y="371993"/>
                                </a:moveTo>
                                <a:lnTo>
                                  <a:pt x="695582" y="371993"/>
                                </a:lnTo>
                                <a:lnTo>
                                  <a:pt x="695582" y="0"/>
                                </a:lnTo>
                                <a:lnTo>
                                  <a:pt x="0" y="0"/>
                                </a:lnTo>
                                <a:lnTo>
                                  <a:pt x="0" y="371993"/>
                                </a:lnTo>
                                <a:close/>
                              </a:path>
                            </a:pathLst>
                          </a:custGeom>
                          <a:ln w="11849">
                            <a:solidFill>
                              <a:srgbClr val="231F20"/>
                            </a:solidFill>
                            <a:prstDash val="solid"/>
                          </a:ln>
                        </wps:spPr>
                        <wps:bodyPr wrap="square" lIns="0" tIns="0" rIns="0" bIns="0" rtlCol="0">
                          <a:prstTxWarp prst="textNoShape">
                            <a:avLst/>
                          </a:prstTxWarp>
                          <a:noAutofit/>
                        </wps:bodyPr>
                      </wps:wsp>
                      <wps:wsp>
                        <wps:cNvPr id="1086" name="Graphic 1086"/>
                        <wps:cNvSpPr/>
                        <wps:spPr>
                          <a:xfrm>
                            <a:off x="2059908" y="335533"/>
                            <a:ext cx="2688590" cy="79375"/>
                          </a:xfrm>
                          <a:custGeom>
                            <a:avLst/>
                            <a:gdLst/>
                            <a:ahLst/>
                            <a:cxnLst/>
                            <a:rect l="l" t="t" r="r" b="b"/>
                            <a:pathLst>
                              <a:path w="2688590" h="79375">
                                <a:moveTo>
                                  <a:pt x="0" y="79353"/>
                                </a:moveTo>
                                <a:lnTo>
                                  <a:pt x="0" y="0"/>
                                </a:lnTo>
                                <a:lnTo>
                                  <a:pt x="2688579" y="0"/>
                                </a:lnTo>
                                <a:lnTo>
                                  <a:pt x="2688579" y="77031"/>
                                </a:lnTo>
                              </a:path>
                            </a:pathLst>
                          </a:custGeom>
                          <a:ln w="11849">
                            <a:solidFill>
                              <a:srgbClr val="231F20"/>
                            </a:solidFill>
                            <a:prstDash val="solid"/>
                          </a:ln>
                        </wps:spPr>
                        <wps:bodyPr wrap="square" lIns="0" tIns="0" rIns="0" bIns="0" rtlCol="0">
                          <a:prstTxWarp prst="textNoShape">
                            <a:avLst/>
                          </a:prstTxWarp>
                          <a:noAutofit/>
                        </wps:bodyPr>
                      </wps:wsp>
                      <wps:wsp>
                        <wps:cNvPr id="1087" name="Graphic 1087"/>
                        <wps:cNvSpPr/>
                        <wps:spPr>
                          <a:xfrm>
                            <a:off x="2021380" y="385187"/>
                            <a:ext cx="2766060" cy="97155"/>
                          </a:xfrm>
                          <a:custGeom>
                            <a:avLst/>
                            <a:gdLst/>
                            <a:ahLst/>
                            <a:cxnLst/>
                            <a:rect l="l" t="t" r="r" b="b"/>
                            <a:pathLst>
                              <a:path w="2766060" h="97155">
                                <a:moveTo>
                                  <a:pt x="77063" y="2324"/>
                                </a:moveTo>
                                <a:lnTo>
                                  <a:pt x="38519" y="24701"/>
                                </a:lnTo>
                                <a:lnTo>
                                  <a:pt x="0" y="2324"/>
                                </a:lnTo>
                                <a:lnTo>
                                  <a:pt x="38519" y="96634"/>
                                </a:lnTo>
                                <a:lnTo>
                                  <a:pt x="77063" y="2324"/>
                                </a:lnTo>
                                <a:close/>
                              </a:path>
                              <a:path w="2766060" h="97155">
                                <a:moveTo>
                                  <a:pt x="2765641" y="0"/>
                                </a:moveTo>
                                <a:lnTo>
                                  <a:pt x="2727109" y="22377"/>
                                </a:lnTo>
                                <a:lnTo>
                                  <a:pt x="2688577" y="0"/>
                                </a:lnTo>
                                <a:lnTo>
                                  <a:pt x="2727109" y="94310"/>
                                </a:lnTo>
                                <a:lnTo>
                                  <a:pt x="2765641" y="0"/>
                                </a:lnTo>
                                <a:close/>
                              </a:path>
                            </a:pathLst>
                          </a:custGeom>
                          <a:solidFill>
                            <a:srgbClr val="231F20"/>
                          </a:solidFill>
                        </wps:spPr>
                        <wps:bodyPr wrap="square" lIns="0" tIns="0" rIns="0" bIns="0" rtlCol="0">
                          <a:prstTxWarp prst="textNoShape">
                            <a:avLst/>
                          </a:prstTxWarp>
                          <a:noAutofit/>
                        </wps:bodyPr>
                      </wps:wsp>
                      <wps:wsp>
                        <wps:cNvPr id="1088" name="Graphic 1088"/>
                        <wps:cNvSpPr/>
                        <wps:spPr>
                          <a:xfrm>
                            <a:off x="1248631" y="253999"/>
                            <a:ext cx="2096770" cy="633730"/>
                          </a:xfrm>
                          <a:custGeom>
                            <a:avLst/>
                            <a:gdLst/>
                            <a:ahLst/>
                            <a:cxnLst/>
                            <a:rect l="l" t="t" r="r" b="b"/>
                            <a:pathLst>
                              <a:path w="2096770" h="633730">
                                <a:moveTo>
                                  <a:pt x="2096310" y="0"/>
                                </a:moveTo>
                                <a:lnTo>
                                  <a:pt x="2096310" y="77766"/>
                                </a:lnTo>
                              </a:path>
                              <a:path w="2096770" h="633730">
                                <a:moveTo>
                                  <a:pt x="0" y="633244"/>
                                </a:moveTo>
                                <a:lnTo>
                                  <a:pt x="0" y="553901"/>
                                </a:lnTo>
                                <a:lnTo>
                                  <a:pt x="1506457" y="553901"/>
                                </a:lnTo>
                                <a:lnTo>
                                  <a:pt x="1506457" y="630921"/>
                                </a:lnTo>
                              </a:path>
                            </a:pathLst>
                          </a:custGeom>
                          <a:ln w="11849">
                            <a:solidFill>
                              <a:srgbClr val="231F20"/>
                            </a:solidFill>
                            <a:prstDash val="solid"/>
                          </a:ln>
                        </wps:spPr>
                        <wps:bodyPr wrap="square" lIns="0" tIns="0" rIns="0" bIns="0" rtlCol="0">
                          <a:prstTxWarp prst="textNoShape">
                            <a:avLst/>
                          </a:prstTxWarp>
                          <a:noAutofit/>
                        </wps:bodyPr>
                      </wps:wsp>
                      <wps:wsp>
                        <wps:cNvPr id="1089" name="Graphic 1089"/>
                        <wps:cNvSpPr/>
                        <wps:spPr>
                          <a:xfrm>
                            <a:off x="1210104" y="857538"/>
                            <a:ext cx="1583690" cy="97155"/>
                          </a:xfrm>
                          <a:custGeom>
                            <a:avLst/>
                            <a:gdLst/>
                            <a:ahLst/>
                            <a:cxnLst/>
                            <a:rect l="l" t="t" r="r" b="b"/>
                            <a:pathLst>
                              <a:path w="1583690" h="97155">
                                <a:moveTo>
                                  <a:pt x="77063" y="2324"/>
                                </a:moveTo>
                                <a:lnTo>
                                  <a:pt x="38519" y="24714"/>
                                </a:lnTo>
                                <a:lnTo>
                                  <a:pt x="0" y="2324"/>
                                </a:lnTo>
                                <a:lnTo>
                                  <a:pt x="38519" y="96647"/>
                                </a:lnTo>
                                <a:lnTo>
                                  <a:pt x="77063" y="2324"/>
                                </a:lnTo>
                                <a:close/>
                              </a:path>
                              <a:path w="1583690" h="97155">
                                <a:moveTo>
                                  <a:pt x="1583512" y="0"/>
                                </a:moveTo>
                                <a:lnTo>
                                  <a:pt x="1544980" y="22390"/>
                                </a:lnTo>
                                <a:lnTo>
                                  <a:pt x="1506448" y="0"/>
                                </a:lnTo>
                                <a:lnTo>
                                  <a:pt x="1544980" y="94322"/>
                                </a:lnTo>
                                <a:lnTo>
                                  <a:pt x="1583512" y="0"/>
                                </a:lnTo>
                                <a:close/>
                              </a:path>
                            </a:pathLst>
                          </a:custGeom>
                          <a:solidFill>
                            <a:srgbClr val="231F20"/>
                          </a:solidFill>
                        </wps:spPr>
                        <wps:bodyPr wrap="square" lIns="0" tIns="0" rIns="0" bIns="0" rtlCol="0">
                          <a:prstTxWarp prst="textNoShape">
                            <a:avLst/>
                          </a:prstTxWarp>
                          <a:noAutofit/>
                        </wps:bodyPr>
                      </wps:wsp>
                      <wps:wsp>
                        <wps:cNvPr id="1090" name="Graphic 1090"/>
                        <wps:cNvSpPr/>
                        <wps:spPr>
                          <a:xfrm>
                            <a:off x="723700" y="726367"/>
                            <a:ext cx="1337945" cy="1271270"/>
                          </a:xfrm>
                          <a:custGeom>
                            <a:avLst/>
                            <a:gdLst/>
                            <a:ahLst/>
                            <a:cxnLst/>
                            <a:rect l="l" t="t" r="r" b="b"/>
                            <a:pathLst>
                              <a:path w="1337945" h="1271270">
                                <a:moveTo>
                                  <a:pt x="1337405" y="0"/>
                                </a:moveTo>
                                <a:lnTo>
                                  <a:pt x="1337405" y="77766"/>
                                </a:lnTo>
                              </a:path>
                              <a:path w="1337945" h="1271270">
                                <a:moveTo>
                                  <a:pt x="83335" y="1270706"/>
                                </a:moveTo>
                                <a:lnTo>
                                  <a:pt x="0" y="1270706"/>
                                </a:lnTo>
                              </a:path>
                            </a:pathLst>
                          </a:custGeom>
                          <a:ln w="11849">
                            <a:solidFill>
                              <a:srgbClr val="231F20"/>
                            </a:solidFill>
                            <a:prstDash val="solid"/>
                          </a:ln>
                        </wps:spPr>
                        <wps:bodyPr wrap="square" lIns="0" tIns="0" rIns="0" bIns="0" rtlCol="0">
                          <a:prstTxWarp prst="textNoShape">
                            <a:avLst/>
                          </a:prstTxWarp>
                          <a:noAutofit/>
                        </wps:bodyPr>
                      </wps:wsp>
                      <wps:wsp>
                        <wps:cNvPr id="1091" name="Graphic 1091"/>
                        <wps:cNvSpPr/>
                        <wps:spPr>
                          <a:xfrm>
                            <a:off x="656776" y="1958541"/>
                            <a:ext cx="94615" cy="77470"/>
                          </a:xfrm>
                          <a:custGeom>
                            <a:avLst/>
                            <a:gdLst/>
                            <a:ahLst/>
                            <a:cxnLst/>
                            <a:rect l="l" t="t" r="r" b="b"/>
                            <a:pathLst>
                              <a:path w="94615" h="77470">
                                <a:moveTo>
                                  <a:pt x="94310" y="0"/>
                                </a:moveTo>
                                <a:lnTo>
                                  <a:pt x="0" y="38531"/>
                                </a:lnTo>
                                <a:lnTo>
                                  <a:pt x="94310" y="77063"/>
                                </a:lnTo>
                                <a:lnTo>
                                  <a:pt x="71932" y="38531"/>
                                </a:lnTo>
                                <a:lnTo>
                                  <a:pt x="94310" y="0"/>
                                </a:lnTo>
                                <a:close/>
                              </a:path>
                            </a:pathLst>
                          </a:custGeom>
                          <a:solidFill>
                            <a:srgbClr val="231F20"/>
                          </a:solidFill>
                        </wps:spPr>
                        <wps:bodyPr wrap="square" lIns="0" tIns="0" rIns="0" bIns="0" rtlCol="0">
                          <a:prstTxWarp prst="textNoShape">
                            <a:avLst/>
                          </a:prstTxWarp>
                          <a:noAutofit/>
                        </wps:bodyPr>
                      </wps:wsp>
                      <wps:wsp>
                        <wps:cNvPr id="1092" name="Graphic 1092"/>
                        <wps:cNvSpPr/>
                        <wps:spPr>
                          <a:xfrm>
                            <a:off x="807048" y="1614189"/>
                            <a:ext cx="1270" cy="749935"/>
                          </a:xfrm>
                          <a:custGeom>
                            <a:avLst/>
                            <a:gdLst/>
                            <a:ahLst/>
                            <a:cxnLst/>
                            <a:rect l="l" t="t" r="r" b="b"/>
                            <a:pathLst>
                              <a:path w="0" h="749935">
                                <a:moveTo>
                                  <a:pt x="0" y="0"/>
                                </a:moveTo>
                                <a:lnTo>
                                  <a:pt x="0" y="749366"/>
                                </a:lnTo>
                              </a:path>
                            </a:pathLst>
                          </a:custGeom>
                          <a:ln w="11849">
                            <a:solidFill>
                              <a:srgbClr val="231F20"/>
                            </a:solidFill>
                            <a:prstDash val="solid"/>
                          </a:ln>
                        </wps:spPr>
                        <wps:bodyPr wrap="square" lIns="0" tIns="0" rIns="0" bIns="0" rtlCol="0">
                          <a:prstTxWarp prst="textNoShape">
                            <a:avLst/>
                          </a:prstTxWarp>
                          <a:noAutofit/>
                        </wps:bodyPr>
                      </wps:wsp>
                      <wps:wsp>
                        <wps:cNvPr id="1093" name="Graphic 1093"/>
                        <wps:cNvSpPr/>
                        <wps:spPr>
                          <a:xfrm>
                            <a:off x="768503" y="2336170"/>
                            <a:ext cx="77470" cy="94615"/>
                          </a:xfrm>
                          <a:custGeom>
                            <a:avLst/>
                            <a:gdLst/>
                            <a:ahLst/>
                            <a:cxnLst/>
                            <a:rect l="l" t="t" r="r" b="b"/>
                            <a:pathLst>
                              <a:path w="77470" h="94615">
                                <a:moveTo>
                                  <a:pt x="77063" y="0"/>
                                </a:moveTo>
                                <a:lnTo>
                                  <a:pt x="38544" y="22390"/>
                                </a:lnTo>
                                <a:lnTo>
                                  <a:pt x="0" y="0"/>
                                </a:lnTo>
                                <a:lnTo>
                                  <a:pt x="38544" y="94310"/>
                                </a:lnTo>
                                <a:lnTo>
                                  <a:pt x="77063" y="0"/>
                                </a:lnTo>
                                <a:close/>
                              </a:path>
                            </a:pathLst>
                          </a:custGeom>
                          <a:solidFill>
                            <a:srgbClr val="231F20"/>
                          </a:solidFill>
                        </wps:spPr>
                        <wps:bodyPr wrap="square" lIns="0" tIns="0" rIns="0" bIns="0" rtlCol="0">
                          <a:prstTxWarp prst="textNoShape">
                            <a:avLst/>
                          </a:prstTxWarp>
                          <a:noAutofit/>
                        </wps:bodyPr>
                      </wps:wsp>
                      <wps:wsp>
                        <wps:cNvPr id="1094" name="Graphic 1094"/>
                        <wps:cNvSpPr/>
                        <wps:spPr>
                          <a:xfrm>
                            <a:off x="1706306" y="1997073"/>
                            <a:ext cx="57150" cy="1270"/>
                          </a:xfrm>
                          <a:custGeom>
                            <a:avLst/>
                            <a:gdLst/>
                            <a:ahLst/>
                            <a:cxnLst/>
                            <a:rect l="l" t="t" r="r" b="b"/>
                            <a:pathLst>
                              <a:path w="57150" h="0">
                                <a:moveTo>
                                  <a:pt x="0" y="0"/>
                                </a:moveTo>
                                <a:lnTo>
                                  <a:pt x="56911" y="0"/>
                                </a:lnTo>
                              </a:path>
                            </a:pathLst>
                          </a:custGeom>
                          <a:ln w="11849">
                            <a:solidFill>
                              <a:srgbClr val="231F20"/>
                            </a:solidFill>
                            <a:prstDash val="solid"/>
                          </a:ln>
                        </wps:spPr>
                        <wps:bodyPr wrap="square" lIns="0" tIns="0" rIns="0" bIns="0" rtlCol="0">
                          <a:prstTxWarp prst="textNoShape">
                            <a:avLst/>
                          </a:prstTxWarp>
                          <a:noAutofit/>
                        </wps:bodyPr>
                      </wps:wsp>
                      <wps:wsp>
                        <wps:cNvPr id="1095" name="Graphic 1095"/>
                        <wps:cNvSpPr/>
                        <wps:spPr>
                          <a:xfrm>
                            <a:off x="1735831" y="1958541"/>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096" name="Graphic 1096"/>
                        <wps:cNvSpPr/>
                        <wps:spPr>
                          <a:xfrm>
                            <a:off x="2748038" y="3321895"/>
                            <a:ext cx="57150" cy="1270"/>
                          </a:xfrm>
                          <a:custGeom>
                            <a:avLst/>
                            <a:gdLst/>
                            <a:ahLst/>
                            <a:cxnLst/>
                            <a:rect l="l" t="t" r="r" b="b"/>
                            <a:pathLst>
                              <a:path w="57150" h="0">
                                <a:moveTo>
                                  <a:pt x="0" y="0"/>
                                </a:moveTo>
                                <a:lnTo>
                                  <a:pt x="56911" y="0"/>
                                </a:lnTo>
                              </a:path>
                            </a:pathLst>
                          </a:custGeom>
                          <a:ln w="11849">
                            <a:solidFill>
                              <a:srgbClr val="231F20"/>
                            </a:solidFill>
                            <a:prstDash val="solid"/>
                          </a:ln>
                        </wps:spPr>
                        <wps:bodyPr wrap="square" lIns="0" tIns="0" rIns="0" bIns="0" rtlCol="0">
                          <a:prstTxWarp prst="textNoShape">
                            <a:avLst/>
                          </a:prstTxWarp>
                          <a:noAutofit/>
                        </wps:bodyPr>
                      </wps:wsp>
                      <wps:wsp>
                        <wps:cNvPr id="1097" name="Graphic 1097"/>
                        <wps:cNvSpPr/>
                        <wps:spPr>
                          <a:xfrm>
                            <a:off x="2777563" y="3283363"/>
                            <a:ext cx="94615" cy="77470"/>
                          </a:xfrm>
                          <a:custGeom>
                            <a:avLst/>
                            <a:gdLst/>
                            <a:ahLst/>
                            <a:cxnLst/>
                            <a:rect l="l" t="t" r="r" b="b"/>
                            <a:pathLst>
                              <a:path w="94615" h="77470">
                                <a:moveTo>
                                  <a:pt x="0" y="0"/>
                                </a:moveTo>
                                <a:lnTo>
                                  <a:pt x="22377" y="38531"/>
                                </a:lnTo>
                                <a:lnTo>
                                  <a:pt x="0" y="77063"/>
                                </a:lnTo>
                                <a:lnTo>
                                  <a:pt x="94310" y="38531"/>
                                </a:lnTo>
                                <a:lnTo>
                                  <a:pt x="0" y="0"/>
                                </a:lnTo>
                                <a:close/>
                              </a:path>
                            </a:pathLst>
                          </a:custGeom>
                          <a:solidFill>
                            <a:srgbClr val="231F20"/>
                          </a:solidFill>
                        </wps:spPr>
                        <wps:bodyPr wrap="square" lIns="0" tIns="0" rIns="0" bIns="0" rtlCol="0">
                          <a:prstTxWarp prst="textNoShape">
                            <a:avLst/>
                          </a:prstTxWarp>
                          <a:noAutofit/>
                        </wps:bodyPr>
                      </wps:wsp>
                      <wps:wsp>
                        <wps:cNvPr id="1098" name="Graphic 1098"/>
                        <wps:cNvSpPr/>
                        <wps:spPr>
                          <a:xfrm>
                            <a:off x="2748038" y="2804156"/>
                            <a:ext cx="57150" cy="1270"/>
                          </a:xfrm>
                          <a:custGeom>
                            <a:avLst/>
                            <a:gdLst/>
                            <a:ahLst/>
                            <a:cxnLst/>
                            <a:rect l="l" t="t" r="r" b="b"/>
                            <a:pathLst>
                              <a:path w="57150" h="0">
                                <a:moveTo>
                                  <a:pt x="0" y="0"/>
                                </a:moveTo>
                                <a:lnTo>
                                  <a:pt x="56911" y="0"/>
                                </a:lnTo>
                              </a:path>
                            </a:pathLst>
                          </a:custGeom>
                          <a:ln w="11849">
                            <a:solidFill>
                              <a:srgbClr val="231F20"/>
                            </a:solidFill>
                            <a:prstDash val="solid"/>
                          </a:ln>
                        </wps:spPr>
                        <wps:bodyPr wrap="square" lIns="0" tIns="0" rIns="0" bIns="0" rtlCol="0">
                          <a:prstTxWarp prst="textNoShape">
                            <a:avLst/>
                          </a:prstTxWarp>
                          <a:noAutofit/>
                        </wps:bodyPr>
                      </wps:wsp>
                      <wps:wsp>
                        <wps:cNvPr id="1099" name="Graphic 1099"/>
                        <wps:cNvSpPr/>
                        <wps:spPr>
                          <a:xfrm>
                            <a:off x="2777563" y="2765625"/>
                            <a:ext cx="94615" cy="77470"/>
                          </a:xfrm>
                          <a:custGeom>
                            <a:avLst/>
                            <a:gdLst/>
                            <a:ahLst/>
                            <a:cxnLst/>
                            <a:rect l="l" t="t" r="r" b="b"/>
                            <a:pathLst>
                              <a:path w="94615" h="77470">
                                <a:moveTo>
                                  <a:pt x="0" y="0"/>
                                </a:moveTo>
                                <a:lnTo>
                                  <a:pt x="22377" y="38531"/>
                                </a:lnTo>
                                <a:lnTo>
                                  <a:pt x="0" y="77063"/>
                                </a:lnTo>
                                <a:lnTo>
                                  <a:pt x="94310" y="38531"/>
                                </a:lnTo>
                                <a:lnTo>
                                  <a:pt x="0" y="0"/>
                                </a:lnTo>
                                <a:close/>
                              </a:path>
                            </a:pathLst>
                          </a:custGeom>
                          <a:solidFill>
                            <a:srgbClr val="231F20"/>
                          </a:solidFill>
                        </wps:spPr>
                        <wps:bodyPr wrap="square" lIns="0" tIns="0" rIns="0" bIns="0" rtlCol="0">
                          <a:prstTxWarp prst="textNoShape">
                            <a:avLst/>
                          </a:prstTxWarp>
                          <a:noAutofit/>
                        </wps:bodyPr>
                      </wps:wsp>
                      <wps:wsp>
                        <wps:cNvPr id="1100" name="Graphic 1100"/>
                        <wps:cNvSpPr/>
                        <wps:spPr>
                          <a:xfrm>
                            <a:off x="2748038" y="2301335"/>
                            <a:ext cx="57150" cy="1270"/>
                          </a:xfrm>
                          <a:custGeom>
                            <a:avLst/>
                            <a:gdLst/>
                            <a:ahLst/>
                            <a:cxnLst/>
                            <a:rect l="l" t="t" r="r" b="b"/>
                            <a:pathLst>
                              <a:path w="57150" h="0">
                                <a:moveTo>
                                  <a:pt x="0" y="0"/>
                                </a:moveTo>
                                <a:lnTo>
                                  <a:pt x="56911" y="0"/>
                                </a:lnTo>
                              </a:path>
                            </a:pathLst>
                          </a:custGeom>
                          <a:ln w="11849">
                            <a:solidFill>
                              <a:srgbClr val="231F20"/>
                            </a:solidFill>
                            <a:prstDash val="solid"/>
                          </a:ln>
                        </wps:spPr>
                        <wps:bodyPr wrap="square" lIns="0" tIns="0" rIns="0" bIns="0" rtlCol="0">
                          <a:prstTxWarp prst="textNoShape">
                            <a:avLst/>
                          </a:prstTxWarp>
                          <a:noAutofit/>
                        </wps:bodyPr>
                      </wps:wsp>
                      <wps:wsp>
                        <wps:cNvPr id="1101" name="Graphic 1101"/>
                        <wps:cNvSpPr/>
                        <wps:spPr>
                          <a:xfrm>
                            <a:off x="2777563" y="2262804"/>
                            <a:ext cx="94615" cy="77470"/>
                          </a:xfrm>
                          <a:custGeom>
                            <a:avLst/>
                            <a:gdLst/>
                            <a:ahLst/>
                            <a:cxnLst/>
                            <a:rect l="l" t="t" r="r" b="b"/>
                            <a:pathLst>
                              <a:path w="94615" h="77470">
                                <a:moveTo>
                                  <a:pt x="0" y="0"/>
                                </a:moveTo>
                                <a:lnTo>
                                  <a:pt x="22377" y="38531"/>
                                </a:lnTo>
                                <a:lnTo>
                                  <a:pt x="0" y="77063"/>
                                </a:lnTo>
                                <a:lnTo>
                                  <a:pt x="94310" y="38531"/>
                                </a:lnTo>
                                <a:lnTo>
                                  <a:pt x="0" y="0"/>
                                </a:lnTo>
                                <a:close/>
                              </a:path>
                            </a:pathLst>
                          </a:custGeom>
                          <a:solidFill>
                            <a:srgbClr val="231F20"/>
                          </a:solidFill>
                        </wps:spPr>
                        <wps:bodyPr wrap="square" lIns="0" tIns="0" rIns="0" bIns="0" rtlCol="0">
                          <a:prstTxWarp prst="textNoShape">
                            <a:avLst/>
                          </a:prstTxWarp>
                          <a:noAutofit/>
                        </wps:bodyPr>
                      </wps:wsp>
                      <wps:wsp>
                        <wps:cNvPr id="1102" name="Graphic 1102"/>
                        <wps:cNvSpPr/>
                        <wps:spPr>
                          <a:xfrm>
                            <a:off x="2748038" y="1689385"/>
                            <a:ext cx="57150" cy="1270"/>
                          </a:xfrm>
                          <a:custGeom>
                            <a:avLst/>
                            <a:gdLst/>
                            <a:ahLst/>
                            <a:cxnLst/>
                            <a:rect l="l" t="t" r="r" b="b"/>
                            <a:pathLst>
                              <a:path w="57150" h="0">
                                <a:moveTo>
                                  <a:pt x="0" y="0"/>
                                </a:moveTo>
                                <a:lnTo>
                                  <a:pt x="56911" y="0"/>
                                </a:lnTo>
                              </a:path>
                            </a:pathLst>
                          </a:custGeom>
                          <a:ln w="11849">
                            <a:solidFill>
                              <a:srgbClr val="231F20"/>
                            </a:solidFill>
                            <a:prstDash val="solid"/>
                          </a:ln>
                        </wps:spPr>
                        <wps:bodyPr wrap="square" lIns="0" tIns="0" rIns="0" bIns="0" rtlCol="0">
                          <a:prstTxWarp prst="textNoShape">
                            <a:avLst/>
                          </a:prstTxWarp>
                          <a:noAutofit/>
                        </wps:bodyPr>
                      </wps:wsp>
                      <wps:wsp>
                        <wps:cNvPr id="1103" name="Graphic 1103"/>
                        <wps:cNvSpPr/>
                        <wps:spPr>
                          <a:xfrm>
                            <a:off x="2777563" y="1650866"/>
                            <a:ext cx="94615" cy="77470"/>
                          </a:xfrm>
                          <a:custGeom>
                            <a:avLst/>
                            <a:gdLst/>
                            <a:ahLst/>
                            <a:cxnLst/>
                            <a:rect l="l" t="t" r="r" b="b"/>
                            <a:pathLst>
                              <a:path w="94615" h="77470">
                                <a:moveTo>
                                  <a:pt x="0" y="0"/>
                                </a:moveTo>
                                <a:lnTo>
                                  <a:pt x="22377" y="38519"/>
                                </a:lnTo>
                                <a:lnTo>
                                  <a:pt x="0" y="77063"/>
                                </a:lnTo>
                                <a:lnTo>
                                  <a:pt x="94310" y="38519"/>
                                </a:lnTo>
                                <a:lnTo>
                                  <a:pt x="0" y="0"/>
                                </a:lnTo>
                                <a:close/>
                              </a:path>
                            </a:pathLst>
                          </a:custGeom>
                          <a:solidFill>
                            <a:srgbClr val="231F20"/>
                          </a:solidFill>
                        </wps:spPr>
                        <wps:bodyPr wrap="square" lIns="0" tIns="0" rIns="0" bIns="0" rtlCol="0">
                          <a:prstTxWarp prst="textNoShape">
                            <a:avLst/>
                          </a:prstTxWarp>
                          <a:noAutofit/>
                        </wps:bodyPr>
                      </wps:wsp>
                      <wps:wsp>
                        <wps:cNvPr id="1104" name="Graphic 1104"/>
                        <wps:cNvSpPr/>
                        <wps:spPr>
                          <a:xfrm>
                            <a:off x="1706306" y="1614189"/>
                            <a:ext cx="1270" cy="749935"/>
                          </a:xfrm>
                          <a:custGeom>
                            <a:avLst/>
                            <a:gdLst/>
                            <a:ahLst/>
                            <a:cxnLst/>
                            <a:rect l="l" t="t" r="r" b="b"/>
                            <a:pathLst>
                              <a:path w="0" h="749935">
                                <a:moveTo>
                                  <a:pt x="0" y="0"/>
                                </a:moveTo>
                                <a:lnTo>
                                  <a:pt x="0" y="749366"/>
                                </a:lnTo>
                              </a:path>
                            </a:pathLst>
                          </a:custGeom>
                          <a:ln w="11849">
                            <a:solidFill>
                              <a:srgbClr val="231F20"/>
                            </a:solidFill>
                            <a:prstDash val="solid"/>
                          </a:ln>
                        </wps:spPr>
                        <wps:bodyPr wrap="square" lIns="0" tIns="0" rIns="0" bIns="0" rtlCol="0">
                          <a:prstTxWarp prst="textNoShape">
                            <a:avLst/>
                          </a:prstTxWarp>
                          <a:noAutofit/>
                        </wps:bodyPr>
                      </wps:wsp>
                      <wps:wsp>
                        <wps:cNvPr id="1105" name="Graphic 1105"/>
                        <wps:cNvSpPr/>
                        <wps:spPr>
                          <a:xfrm>
                            <a:off x="1667774" y="2336170"/>
                            <a:ext cx="77470" cy="94615"/>
                          </a:xfrm>
                          <a:custGeom>
                            <a:avLst/>
                            <a:gdLst/>
                            <a:ahLst/>
                            <a:cxnLst/>
                            <a:rect l="l" t="t" r="r" b="b"/>
                            <a:pathLst>
                              <a:path w="77470" h="94615">
                                <a:moveTo>
                                  <a:pt x="77063" y="0"/>
                                </a:moveTo>
                                <a:lnTo>
                                  <a:pt x="38531" y="22390"/>
                                </a:lnTo>
                                <a:lnTo>
                                  <a:pt x="0" y="0"/>
                                </a:lnTo>
                                <a:lnTo>
                                  <a:pt x="38531" y="94310"/>
                                </a:lnTo>
                                <a:lnTo>
                                  <a:pt x="77063" y="0"/>
                                </a:lnTo>
                                <a:close/>
                              </a:path>
                            </a:pathLst>
                          </a:custGeom>
                          <a:solidFill>
                            <a:srgbClr val="231F20"/>
                          </a:solidFill>
                        </wps:spPr>
                        <wps:bodyPr wrap="square" lIns="0" tIns="0" rIns="0" bIns="0" rtlCol="0">
                          <a:prstTxWarp prst="textNoShape">
                            <a:avLst/>
                          </a:prstTxWarp>
                          <a:noAutofit/>
                        </wps:bodyPr>
                      </wps:wsp>
                      <wps:wsp>
                        <wps:cNvPr id="1106" name="Graphic 1106"/>
                        <wps:cNvSpPr/>
                        <wps:spPr>
                          <a:xfrm>
                            <a:off x="2746013" y="1198721"/>
                            <a:ext cx="60960" cy="2684780"/>
                          </a:xfrm>
                          <a:custGeom>
                            <a:avLst/>
                            <a:gdLst/>
                            <a:ahLst/>
                            <a:cxnLst/>
                            <a:rect l="l" t="t" r="r" b="b"/>
                            <a:pathLst>
                              <a:path w="60960" h="2684780">
                                <a:moveTo>
                                  <a:pt x="0" y="0"/>
                                </a:moveTo>
                                <a:lnTo>
                                  <a:pt x="0" y="2684527"/>
                                </a:lnTo>
                                <a:lnTo>
                                  <a:pt x="60964" y="2684527"/>
                                </a:lnTo>
                              </a:path>
                            </a:pathLst>
                          </a:custGeom>
                          <a:ln w="11849">
                            <a:solidFill>
                              <a:srgbClr val="231F20"/>
                            </a:solidFill>
                            <a:prstDash val="solid"/>
                          </a:ln>
                        </wps:spPr>
                        <wps:bodyPr wrap="square" lIns="0" tIns="0" rIns="0" bIns="0" rtlCol="0">
                          <a:prstTxWarp prst="textNoShape">
                            <a:avLst/>
                          </a:prstTxWarp>
                          <a:noAutofit/>
                        </wps:bodyPr>
                      </wps:wsp>
                      <wps:wsp>
                        <wps:cNvPr id="1107" name="Graphic 1107"/>
                        <wps:cNvSpPr/>
                        <wps:spPr>
                          <a:xfrm>
                            <a:off x="2779590" y="3844717"/>
                            <a:ext cx="94615" cy="77470"/>
                          </a:xfrm>
                          <a:custGeom>
                            <a:avLst/>
                            <a:gdLst/>
                            <a:ahLst/>
                            <a:cxnLst/>
                            <a:rect l="l" t="t" r="r" b="b"/>
                            <a:pathLst>
                              <a:path w="94615" h="77470">
                                <a:moveTo>
                                  <a:pt x="0" y="0"/>
                                </a:moveTo>
                                <a:lnTo>
                                  <a:pt x="22377" y="38531"/>
                                </a:lnTo>
                                <a:lnTo>
                                  <a:pt x="0" y="77063"/>
                                </a:lnTo>
                                <a:lnTo>
                                  <a:pt x="94310" y="38531"/>
                                </a:lnTo>
                                <a:lnTo>
                                  <a:pt x="0" y="0"/>
                                </a:lnTo>
                                <a:close/>
                              </a:path>
                            </a:pathLst>
                          </a:custGeom>
                          <a:solidFill>
                            <a:srgbClr val="231F20"/>
                          </a:solidFill>
                        </wps:spPr>
                        <wps:bodyPr wrap="square" lIns="0" tIns="0" rIns="0" bIns="0" rtlCol="0">
                          <a:prstTxWarp prst="textNoShape">
                            <a:avLst/>
                          </a:prstTxWarp>
                          <a:noAutofit/>
                        </wps:bodyPr>
                      </wps:wsp>
                      <pic:pic>
                        <pic:nvPicPr>
                          <pic:cNvPr id="1108" name="Image 1108"/>
                          <pic:cNvPicPr/>
                        </pic:nvPicPr>
                        <pic:blipFill>
                          <a:blip r:embed="rId312" cstate="print"/>
                          <a:stretch>
                            <a:fillRect/>
                          </a:stretch>
                        </pic:blipFill>
                        <pic:spPr>
                          <a:xfrm>
                            <a:off x="1075799" y="1450319"/>
                            <a:ext cx="369338" cy="77063"/>
                          </a:xfrm>
                          <a:prstGeom prst="rect">
                            <a:avLst/>
                          </a:prstGeom>
                        </pic:spPr>
                      </pic:pic>
                      <wps:wsp>
                        <wps:cNvPr id="1109" name="Graphic 1109"/>
                        <wps:cNvSpPr/>
                        <wps:spPr>
                          <a:xfrm>
                            <a:off x="1248619" y="1203604"/>
                            <a:ext cx="1270" cy="285750"/>
                          </a:xfrm>
                          <a:custGeom>
                            <a:avLst/>
                            <a:gdLst/>
                            <a:ahLst/>
                            <a:cxnLst/>
                            <a:rect l="l" t="t" r="r" b="b"/>
                            <a:pathLst>
                              <a:path w="0" h="285750">
                                <a:moveTo>
                                  <a:pt x="0" y="285233"/>
                                </a:moveTo>
                                <a:lnTo>
                                  <a:pt x="0" y="0"/>
                                </a:lnTo>
                              </a:path>
                            </a:pathLst>
                          </a:custGeom>
                          <a:ln w="11849">
                            <a:solidFill>
                              <a:srgbClr val="231F20"/>
                            </a:solidFill>
                            <a:prstDash val="solid"/>
                          </a:ln>
                        </wps:spPr>
                        <wps:bodyPr wrap="square" lIns="0" tIns="0" rIns="0" bIns="0" rtlCol="0">
                          <a:prstTxWarp prst="textNoShape">
                            <a:avLst/>
                          </a:prstTxWarp>
                          <a:noAutofit/>
                        </wps:bodyPr>
                      </wps:wsp>
                      <pic:pic>
                        <pic:nvPicPr>
                          <pic:cNvPr id="1110" name="Image 1110"/>
                          <pic:cNvPicPr/>
                        </pic:nvPicPr>
                        <pic:blipFill>
                          <a:blip r:embed="rId313" cstate="print"/>
                          <a:stretch>
                            <a:fillRect/>
                          </a:stretch>
                        </pic:blipFill>
                        <pic:spPr>
                          <a:xfrm>
                            <a:off x="4624155" y="3868902"/>
                            <a:ext cx="250847" cy="77063"/>
                          </a:xfrm>
                          <a:prstGeom prst="rect">
                            <a:avLst/>
                          </a:prstGeom>
                        </pic:spPr>
                      </pic:pic>
                      <pic:pic>
                        <pic:nvPicPr>
                          <pic:cNvPr id="1111" name="Image 1111"/>
                          <pic:cNvPicPr/>
                        </pic:nvPicPr>
                        <pic:blipFill>
                          <a:blip r:embed="rId314" cstate="print"/>
                          <a:stretch>
                            <a:fillRect/>
                          </a:stretch>
                        </pic:blipFill>
                        <pic:spPr>
                          <a:xfrm>
                            <a:off x="4624155" y="3379329"/>
                            <a:ext cx="250847" cy="77063"/>
                          </a:xfrm>
                          <a:prstGeom prst="rect">
                            <a:avLst/>
                          </a:prstGeom>
                        </pic:spPr>
                      </pic:pic>
                      <pic:pic>
                        <pic:nvPicPr>
                          <pic:cNvPr id="1112" name="Image 1112"/>
                          <pic:cNvPicPr/>
                        </pic:nvPicPr>
                        <pic:blipFill>
                          <a:blip r:embed="rId313" cstate="print"/>
                          <a:stretch>
                            <a:fillRect/>
                          </a:stretch>
                        </pic:blipFill>
                        <pic:spPr>
                          <a:xfrm>
                            <a:off x="4624155" y="2879602"/>
                            <a:ext cx="250847" cy="77063"/>
                          </a:xfrm>
                          <a:prstGeom prst="rect">
                            <a:avLst/>
                          </a:prstGeom>
                        </pic:spPr>
                      </pic:pic>
                      <pic:pic>
                        <pic:nvPicPr>
                          <pic:cNvPr id="1113" name="Image 1113"/>
                          <pic:cNvPicPr/>
                        </pic:nvPicPr>
                        <pic:blipFill>
                          <a:blip r:embed="rId313" cstate="print"/>
                          <a:stretch>
                            <a:fillRect/>
                          </a:stretch>
                        </pic:blipFill>
                        <pic:spPr>
                          <a:xfrm>
                            <a:off x="4624155" y="2386996"/>
                            <a:ext cx="250847" cy="77063"/>
                          </a:xfrm>
                          <a:prstGeom prst="rect">
                            <a:avLst/>
                          </a:prstGeom>
                        </pic:spPr>
                      </pic:pic>
                      <pic:pic>
                        <pic:nvPicPr>
                          <pic:cNvPr id="1114" name="Image 1114"/>
                          <pic:cNvPicPr/>
                        </pic:nvPicPr>
                        <pic:blipFill>
                          <a:blip r:embed="rId313" cstate="print"/>
                          <a:stretch>
                            <a:fillRect/>
                          </a:stretch>
                        </pic:blipFill>
                        <pic:spPr>
                          <a:xfrm>
                            <a:off x="4624155" y="1908490"/>
                            <a:ext cx="250847" cy="77063"/>
                          </a:xfrm>
                          <a:prstGeom prst="rect">
                            <a:avLst/>
                          </a:prstGeom>
                        </pic:spPr>
                      </pic:pic>
                      <pic:pic>
                        <pic:nvPicPr>
                          <pic:cNvPr id="1115" name="Image 1115"/>
                          <pic:cNvPicPr/>
                        </pic:nvPicPr>
                        <pic:blipFill>
                          <a:blip r:embed="rId313" cstate="print"/>
                          <a:stretch>
                            <a:fillRect/>
                          </a:stretch>
                        </pic:blipFill>
                        <pic:spPr>
                          <a:xfrm>
                            <a:off x="4624155" y="1350890"/>
                            <a:ext cx="250847" cy="77063"/>
                          </a:xfrm>
                          <a:prstGeom prst="rect">
                            <a:avLst/>
                          </a:prstGeom>
                        </pic:spPr>
                      </pic:pic>
                      <wps:wsp>
                        <wps:cNvPr id="1116" name="Graphic 1116"/>
                        <wps:cNvSpPr/>
                        <wps:spPr>
                          <a:xfrm>
                            <a:off x="4749579" y="725051"/>
                            <a:ext cx="1270" cy="3182620"/>
                          </a:xfrm>
                          <a:custGeom>
                            <a:avLst/>
                            <a:gdLst/>
                            <a:ahLst/>
                            <a:cxnLst/>
                            <a:rect l="l" t="t" r="r" b="b"/>
                            <a:pathLst>
                              <a:path w="0" h="3182620">
                                <a:moveTo>
                                  <a:pt x="0" y="3182382"/>
                                </a:moveTo>
                                <a:lnTo>
                                  <a:pt x="0" y="0"/>
                                </a:lnTo>
                              </a:path>
                            </a:pathLst>
                          </a:custGeom>
                          <a:ln w="11849">
                            <a:solidFill>
                              <a:srgbClr val="231F20"/>
                            </a:solidFill>
                            <a:prstDash val="solid"/>
                          </a:ln>
                        </wps:spPr>
                        <wps:bodyPr wrap="square" lIns="0" tIns="0" rIns="0" bIns="0" rtlCol="0">
                          <a:prstTxWarp prst="textNoShape">
                            <a:avLst/>
                          </a:prstTxWarp>
                          <a:noAutofit/>
                        </wps:bodyPr>
                      </wps:wsp>
                      <pic:pic>
                        <pic:nvPicPr>
                          <pic:cNvPr id="1117" name="Image 1117"/>
                          <pic:cNvPicPr/>
                        </pic:nvPicPr>
                        <pic:blipFill>
                          <a:blip r:embed="rId315" cstate="print"/>
                          <a:stretch>
                            <a:fillRect/>
                          </a:stretch>
                        </pic:blipFill>
                        <pic:spPr>
                          <a:xfrm>
                            <a:off x="1586486" y="3897257"/>
                            <a:ext cx="239661" cy="77063"/>
                          </a:xfrm>
                          <a:prstGeom prst="rect">
                            <a:avLst/>
                          </a:prstGeom>
                        </pic:spPr>
                      </pic:pic>
                      <pic:pic>
                        <pic:nvPicPr>
                          <pic:cNvPr id="1118" name="Image 1118"/>
                          <pic:cNvPicPr/>
                        </pic:nvPicPr>
                        <pic:blipFill>
                          <a:blip r:embed="rId316" cstate="print"/>
                          <a:stretch>
                            <a:fillRect/>
                          </a:stretch>
                        </pic:blipFill>
                        <pic:spPr>
                          <a:xfrm>
                            <a:off x="1586486" y="3573963"/>
                            <a:ext cx="239661" cy="77063"/>
                          </a:xfrm>
                          <a:prstGeom prst="rect">
                            <a:avLst/>
                          </a:prstGeom>
                        </pic:spPr>
                      </pic:pic>
                      <pic:pic>
                        <pic:nvPicPr>
                          <pic:cNvPr id="1119" name="Image 1119"/>
                          <pic:cNvPicPr/>
                        </pic:nvPicPr>
                        <pic:blipFill>
                          <a:blip r:embed="rId315" cstate="print"/>
                          <a:stretch>
                            <a:fillRect/>
                          </a:stretch>
                        </pic:blipFill>
                        <pic:spPr>
                          <a:xfrm>
                            <a:off x="1586486" y="3243075"/>
                            <a:ext cx="239661" cy="77063"/>
                          </a:xfrm>
                          <a:prstGeom prst="rect">
                            <a:avLst/>
                          </a:prstGeom>
                        </pic:spPr>
                      </pic:pic>
                      <wps:wsp>
                        <wps:cNvPr id="1120" name="Graphic 1120"/>
                        <wps:cNvSpPr/>
                        <wps:spPr>
                          <a:xfrm>
                            <a:off x="1706306" y="2802474"/>
                            <a:ext cx="1270" cy="1133475"/>
                          </a:xfrm>
                          <a:custGeom>
                            <a:avLst/>
                            <a:gdLst/>
                            <a:ahLst/>
                            <a:cxnLst/>
                            <a:rect l="l" t="t" r="r" b="b"/>
                            <a:pathLst>
                              <a:path w="0" h="1133475">
                                <a:moveTo>
                                  <a:pt x="0" y="1133315"/>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1121" name="Textbox 1121"/>
                        <wps:cNvSpPr txBox="1"/>
                        <wps:spPr>
                          <a:xfrm>
                            <a:off x="1858067" y="569021"/>
                            <a:ext cx="41846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Structural</w:t>
                              </w:r>
                            </w:p>
                          </w:txbxContent>
                        </wps:txbx>
                        <wps:bodyPr wrap="square" lIns="0" tIns="0" rIns="0" bIns="0" rtlCol="0">
                          <a:noAutofit/>
                        </wps:bodyPr>
                      </wps:wsp>
                      <wps:wsp>
                        <wps:cNvPr id="1122" name="Textbox 1122"/>
                        <wps:cNvSpPr txBox="1"/>
                        <wps:spPr>
                          <a:xfrm>
                            <a:off x="4529864" y="567694"/>
                            <a:ext cx="45021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Functional</w:t>
                              </w:r>
                            </w:p>
                          </w:txbxContent>
                        </wps:txbx>
                        <wps:bodyPr wrap="square" lIns="0" tIns="0" rIns="0" bIns="0" rtlCol="0">
                          <a:noAutofit/>
                        </wps:bodyPr>
                      </wps:wsp>
                      <wps:wsp>
                        <wps:cNvPr id="1123" name="Textbox 1123"/>
                        <wps:cNvSpPr txBox="1"/>
                        <wps:spPr>
                          <a:xfrm>
                            <a:off x="1035668" y="1040148"/>
                            <a:ext cx="445134"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Peripheral</w:t>
                              </w:r>
                            </w:p>
                          </w:txbxContent>
                        </wps:txbx>
                        <wps:bodyPr wrap="square" lIns="0" tIns="0" rIns="0" bIns="0" rtlCol="0">
                          <a:noAutofit/>
                        </wps:bodyPr>
                      </wps:wsp>
                      <wps:wsp>
                        <wps:cNvPr id="1124" name="Textbox 1124"/>
                        <wps:cNvSpPr txBox="1"/>
                        <wps:spPr>
                          <a:xfrm>
                            <a:off x="2590867" y="1041286"/>
                            <a:ext cx="31877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Central</w:t>
                              </w:r>
                            </w:p>
                          </w:txbxContent>
                        </wps:txbx>
                        <wps:bodyPr wrap="square" lIns="0" tIns="0" rIns="0" bIns="0" rtlCol="0">
                          <a:noAutofit/>
                        </wps:bodyPr>
                      </wps:wsp>
                      <wps:wsp>
                        <wps:cNvPr id="1125" name="Textbox 1125"/>
                        <wps:cNvSpPr txBox="1"/>
                        <wps:spPr>
                          <a:xfrm>
                            <a:off x="642862" y="1456768"/>
                            <a:ext cx="34353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Afferent</w:t>
                              </w:r>
                            </w:p>
                          </w:txbxContent>
                        </wps:txbx>
                        <wps:bodyPr wrap="square" lIns="0" tIns="0" rIns="0" bIns="0" rtlCol="0">
                          <a:noAutofit/>
                        </wps:bodyPr>
                      </wps:wsp>
                      <wps:wsp>
                        <wps:cNvPr id="1126" name="Textbox 1126"/>
                        <wps:cNvSpPr txBox="1"/>
                        <wps:spPr>
                          <a:xfrm>
                            <a:off x="111253" y="1900595"/>
                            <a:ext cx="445134" cy="217804"/>
                          </a:xfrm>
                          <a:prstGeom prst="rect">
                            <a:avLst/>
                          </a:prstGeom>
                        </wps:spPr>
                        <wps:txbx>
                          <w:txbxContent>
                            <w:p>
                              <w:pPr>
                                <w:spacing w:line="147" w:lineRule="exact" w:before="0"/>
                                <w:ind w:left="-1" w:right="18" w:firstLine="0"/>
                                <w:jc w:val="center"/>
                                <w:rPr>
                                  <w:rFonts w:ascii="Arial MT"/>
                                  <w:sz w:val="15"/>
                                </w:rPr>
                              </w:pPr>
                              <w:r>
                                <w:rPr>
                                  <w:rFonts w:ascii="Arial MT"/>
                                  <w:color w:val="231F20"/>
                                  <w:spacing w:val="-2"/>
                                  <w:sz w:val="15"/>
                                </w:rPr>
                                <w:t>Baroreflex</w:t>
                              </w:r>
                            </w:p>
                            <w:p>
                              <w:pPr>
                                <w:spacing w:before="20"/>
                                <w:ind w:left="0" w:right="18" w:firstLine="0"/>
                                <w:jc w:val="center"/>
                                <w:rPr>
                                  <w:rFonts w:ascii="Arial MT"/>
                                  <w:sz w:val="15"/>
                                </w:rPr>
                              </w:pPr>
                              <w:r>
                                <w:rPr>
                                  <w:rFonts w:ascii="Arial MT"/>
                                  <w:color w:val="231F20"/>
                                  <w:spacing w:val="-2"/>
                                  <w:sz w:val="15"/>
                                </w:rPr>
                                <w:t>failure</w:t>
                              </w:r>
                            </w:p>
                          </w:txbxContent>
                        </wps:txbx>
                        <wps:bodyPr wrap="square" lIns="0" tIns="0" rIns="0" bIns="0" rtlCol="0">
                          <a:noAutofit/>
                        </wps:bodyPr>
                      </wps:wsp>
                      <wps:wsp>
                        <wps:cNvPr id="1127" name="Textbox 1127"/>
                        <wps:cNvSpPr txBox="1"/>
                        <wps:spPr>
                          <a:xfrm>
                            <a:off x="502257" y="2519979"/>
                            <a:ext cx="635000" cy="340360"/>
                          </a:xfrm>
                          <a:prstGeom prst="rect">
                            <a:avLst/>
                          </a:prstGeom>
                        </wps:spPr>
                        <wps:txbx>
                          <w:txbxContent>
                            <w:p>
                              <w:pPr>
                                <w:spacing w:line="147" w:lineRule="exact" w:before="0"/>
                                <w:ind w:left="0" w:right="18" w:firstLine="0"/>
                                <w:jc w:val="center"/>
                                <w:rPr>
                                  <w:rFonts w:ascii="Arial MT"/>
                                  <w:sz w:val="15"/>
                                </w:rPr>
                              </w:pPr>
                              <w:r>
                                <w:rPr>
                                  <w:rFonts w:ascii="Arial MT"/>
                                  <w:color w:val="231F20"/>
                                  <w:sz w:val="15"/>
                                </w:rPr>
                                <w:t>HSAN</w:t>
                              </w:r>
                              <w:r>
                                <w:rPr>
                                  <w:rFonts w:ascii="Arial MT"/>
                                  <w:color w:val="231F20"/>
                                  <w:spacing w:val="-9"/>
                                  <w:sz w:val="15"/>
                                </w:rPr>
                                <w:t> </w:t>
                              </w:r>
                              <w:r>
                                <w:rPr>
                                  <w:rFonts w:ascii="Arial MT"/>
                                  <w:color w:val="231F20"/>
                                  <w:spacing w:val="-5"/>
                                  <w:sz w:val="15"/>
                                </w:rPr>
                                <w:t>III</w:t>
                              </w:r>
                            </w:p>
                            <w:p>
                              <w:pPr>
                                <w:spacing w:line="268" w:lineRule="auto" w:before="2"/>
                                <w:ind w:left="-1" w:right="18" w:firstLine="4"/>
                                <w:jc w:val="center"/>
                                <w:rPr>
                                  <w:rFonts w:ascii="Arial MT"/>
                                  <w:sz w:val="15"/>
                                </w:rPr>
                              </w:pPr>
                              <w:r>
                                <w:rPr>
                                  <w:rFonts w:ascii="Arial MT"/>
                                  <w:color w:val="231F20"/>
                                  <w:spacing w:val="-2"/>
                                  <w:sz w:val="15"/>
                                </w:rPr>
                                <w:t>(familial</w:t>
                              </w:r>
                              <w:r>
                                <w:rPr>
                                  <w:rFonts w:ascii="Arial MT"/>
                                  <w:color w:val="231F20"/>
                                  <w:sz w:val="15"/>
                                </w:rPr>
                                <w:t> </w:t>
                              </w:r>
                              <w:r>
                                <w:rPr>
                                  <w:rFonts w:ascii="Arial MT"/>
                                  <w:color w:val="231F20"/>
                                  <w:spacing w:val="-2"/>
                                  <w:sz w:val="15"/>
                                </w:rPr>
                                <w:t>dysautonomia)</w:t>
                              </w:r>
                            </w:p>
                          </w:txbxContent>
                        </wps:txbx>
                        <wps:bodyPr wrap="square" lIns="0" tIns="0" rIns="0" bIns="0" rtlCol="0">
                          <a:noAutofit/>
                        </wps:bodyPr>
                      </wps:wsp>
                      <wps:wsp>
                        <wps:cNvPr id="1128" name="Textbox 1128"/>
                        <wps:cNvSpPr txBox="1"/>
                        <wps:spPr>
                          <a:xfrm>
                            <a:off x="1476164" y="2519883"/>
                            <a:ext cx="487680" cy="217804"/>
                          </a:xfrm>
                          <a:prstGeom prst="rect">
                            <a:avLst/>
                          </a:prstGeom>
                        </wps:spPr>
                        <wps:txbx>
                          <w:txbxContent>
                            <w:p>
                              <w:pPr>
                                <w:spacing w:line="147" w:lineRule="exact" w:before="0"/>
                                <w:ind w:left="18" w:right="0" w:firstLine="0"/>
                                <w:jc w:val="left"/>
                                <w:rPr>
                                  <w:rFonts w:ascii="Arial MT"/>
                                  <w:sz w:val="15"/>
                                </w:rPr>
                              </w:pPr>
                              <w:r>
                                <w:rPr>
                                  <w:rFonts w:ascii="Arial MT"/>
                                  <w:color w:val="231F20"/>
                                  <w:sz w:val="15"/>
                                </w:rPr>
                                <w:t>Small</w:t>
                              </w:r>
                              <w:r>
                                <w:rPr>
                                  <w:rFonts w:ascii="Arial MT"/>
                                  <w:color w:val="231F20"/>
                                  <w:spacing w:val="-9"/>
                                  <w:sz w:val="15"/>
                                </w:rPr>
                                <w:t> </w:t>
                              </w:r>
                              <w:r>
                                <w:rPr>
                                  <w:rFonts w:ascii="Arial MT"/>
                                  <w:color w:val="231F20"/>
                                  <w:spacing w:val="-2"/>
                                  <w:sz w:val="15"/>
                                </w:rPr>
                                <w:t>fiber</w:t>
                              </w:r>
                            </w:p>
                            <w:p>
                              <w:pPr>
                                <w:spacing w:before="20"/>
                                <w:ind w:left="0" w:right="0" w:firstLine="0"/>
                                <w:jc w:val="left"/>
                                <w:rPr>
                                  <w:rFonts w:ascii="Arial MT"/>
                                  <w:sz w:val="15"/>
                                </w:rPr>
                              </w:pPr>
                              <w:r>
                                <w:rPr>
                                  <w:rFonts w:ascii="Arial MT"/>
                                  <w:color w:val="231F20"/>
                                  <w:spacing w:val="-2"/>
                                  <w:sz w:val="15"/>
                                </w:rPr>
                                <w:t>neuropathy</w:t>
                              </w:r>
                            </w:p>
                          </w:txbxContent>
                        </wps:txbx>
                        <wps:bodyPr wrap="square" lIns="0" tIns="0" rIns="0" bIns="0" rtlCol="0">
                          <a:noAutofit/>
                        </wps:bodyPr>
                      </wps:wsp>
                      <wps:wsp>
                        <wps:cNvPr id="1129" name="Textbox 1129"/>
                        <wps:cNvSpPr txBox="1"/>
                        <wps:spPr>
                          <a:xfrm>
                            <a:off x="1445138" y="1368225"/>
                            <a:ext cx="529590" cy="246379"/>
                          </a:xfrm>
                          <a:prstGeom prst="rect">
                            <a:avLst/>
                          </a:prstGeom>
                          <a:solidFill>
                            <a:srgbClr val="D7EDDD"/>
                          </a:solidFill>
                          <a:ln w="11849">
                            <a:solidFill>
                              <a:srgbClr val="231F20"/>
                            </a:solidFill>
                            <a:prstDash val="solid"/>
                          </a:ln>
                        </wps:spPr>
                        <wps:txbx>
                          <w:txbxContent>
                            <w:p>
                              <w:pPr>
                                <w:spacing w:before="104"/>
                                <w:ind w:left="142" w:right="0" w:firstLine="0"/>
                                <w:jc w:val="left"/>
                                <w:rPr>
                                  <w:rFonts w:ascii="Arial MT"/>
                                  <w:color w:val="000000"/>
                                  <w:sz w:val="15"/>
                                </w:rPr>
                              </w:pPr>
                              <w:r>
                                <w:rPr>
                                  <w:rFonts w:ascii="Arial MT"/>
                                  <w:color w:val="231F20"/>
                                  <w:spacing w:val="-2"/>
                                  <w:sz w:val="15"/>
                                </w:rPr>
                                <w:t>Efferent</w:t>
                              </w:r>
                            </w:p>
                          </w:txbxContent>
                        </wps:txbx>
                        <wps:bodyPr wrap="square" lIns="0" tIns="0" rIns="0" bIns="0" rtlCol="0">
                          <a:noAutofit/>
                        </wps:bodyPr>
                      </wps:wsp>
                      <wps:wsp>
                        <wps:cNvPr id="1130" name="Textbox 1130"/>
                        <wps:cNvSpPr txBox="1"/>
                        <wps:spPr>
                          <a:xfrm>
                            <a:off x="2920870" y="5924"/>
                            <a:ext cx="848360" cy="248285"/>
                          </a:xfrm>
                          <a:prstGeom prst="rect">
                            <a:avLst/>
                          </a:prstGeom>
                          <a:solidFill>
                            <a:srgbClr val="D7EDDD"/>
                          </a:solidFill>
                          <a:ln w="11849">
                            <a:solidFill>
                              <a:srgbClr val="231F20"/>
                            </a:solidFill>
                            <a:prstDash val="solid"/>
                          </a:ln>
                        </wps:spPr>
                        <wps:txbx>
                          <w:txbxContent>
                            <w:p>
                              <w:pPr>
                                <w:spacing w:before="103"/>
                                <w:ind w:left="175" w:right="0" w:firstLine="0"/>
                                <w:jc w:val="left"/>
                                <w:rPr>
                                  <w:rFonts w:ascii="Arial MT"/>
                                  <w:color w:val="000000"/>
                                  <w:sz w:val="15"/>
                                </w:rPr>
                              </w:pPr>
                              <w:r>
                                <w:rPr>
                                  <w:rFonts w:ascii="Arial MT"/>
                                  <w:color w:val="231F20"/>
                                  <w:spacing w:val="-2"/>
                                  <w:sz w:val="15"/>
                                </w:rPr>
                                <w:t>Dysautonomia</w:t>
                              </w:r>
                            </w:p>
                          </w:txbxContent>
                        </wps:txbx>
                        <wps:bodyPr wrap="square" lIns="0" tIns="0" rIns="0" bIns="0" rtlCol="0">
                          <a:noAutofit/>
                        </wps:bodyPr>
                      </wps:wsp>
                      <wps:wsp>
                        <wps:cNvPr id="1131" name="Textbox 1131"/>
                        <wps:cNvSpPr txBox="1"/>
                        <wps:spPr>
                          <a:xfrm>
                            <a:off x="1824560" y="3812794"/>
                            <a:ext cx="797560" cy="245745"/>
                          </a:xfrm>
                          <a:prstGeom prst="rect">
                            <a:avLst/>
                          </a:prstGeom>
                          <a:solidFill>
                            <a:srgbClr val="D7EDDD"/>
                          </a:solidFill>
                          <a:ln w="11849">
                            <a:solidFill>
                              <a:srgbClr val="231F20"/>
                            </a:solidFill>
                            <a:prstDash val="solid"/>
                          </a:ln>
                        </wps:spPr>
                        <wps:txbx>
                          <w:txbxContent>
                            <w:p>
                              <w:pPr>
                                <w:spacing w:before="103"/>
                                <w:ind w:left="173" w:right="0" w:firstLine="0"/>
                                <w:jc w:val="left"/>
                                <w:rPr>
                                  <w:rFonts w:ascii="Arial MT"/>
                                  <w:color w:val="000000"/>
                                  <w:sz w:val="15"/>
                                </w:rPr>
                              </w:pPr>
                              <w:r>
                                <w:rPr>
                                  <w:rFonts w:ascii="Arial MT"/>
                                  <w:color w:val="231F20"/>
                                  <w:spacing w:val="-2"/>
                                  <w:sz w:val="15"/>
                                </w:rPr>
                                <w:t>Mitochondrial</w:t>
                              </w:r>
                            </w:p>
                          </w:txbxContent>
                        </wps:txbx>
                        <wps:bodyPr wrap="square" lIns="0" tIns="0" rIns="0" bIns="0" rtlCol="0">
                          <a:noAutofit/>
                        </wps:bodyPr>
                      </wps:wsp>
                      <wps:wsp>
                        <wps:cNvPr id="1132" name="Textbox 1132"/>
                        <wps:cNvSpPr txBox="1"/>
                        <wps:spPr>
                          <a:xfrm>
                            <a:off x="803090" y="3811265"/>
                            <a:ext cx="783590" cy="249554"/>
                          </a:xfrm>
                          <a:prstGeom prst="rect">
                            <a:avLst/>
                          </a:prstGeom>
                          <a:solidFill>
                            <a:srgbClr val="D7EDDD"/>
                          </a:solidFill>
                          <a:ln w="11849">
                            <a:solidFill>
                              <a:srgbClr val="231F20"/>
                            </a:solidFill>
                            <a:prstDash val="solid"/>
                          </a:ln>
                        </wps:spPr>
                        <wps:txbx>
                          <w:txbxContent>
                            <w:p>
                              <w:pPr>
                                <w:spacing w:before="104"/>
                                <w:ind w:left="167" w:right="0" w:firstLine="0"/>
                                <w:jc w:val="left"/>
                                <w:rPr>
                                  <w:rFonts w:ascii="Arial MT"/>
                                  <w:color w:val="000000"/>
                                  <w:sz w:val="15"/>
                                </w:rPr>
                              </w:pPr>
                              <w:r>
                                <w:rPr>
                                  <w:rFonts w:ascii="Arial MT"/>
                                  <w:color w:val="231F20"/>
                                  <w:spacing w:val="-2"/>
                                  <w:sz w:val="15"/>
                                </w:rPr>
                                <w:t>Inflammatory</w:t>
                              </w:r>
                            </w:p>
                          </w:txbxContent>
                        </wps:txbx>
                        <wps:bodyPr wrap="square" lIns="0" tIns="0" rIns="0" bIns="0" rtlCol="0">
                          <a:noAutofit/>
                        </wps:bodyPr>
                      </wps:wsp>
                      <wps:wsp>
                        <wps:cNvPr id="1133" name="Textbox 1133"/>
                        <wps:cNvSpPr txBox="1"/>
                        <wps:spPr>
                          <a:xfrm>
                            <a:off x="4866707" y="3727492"/>
                            <a:ext cx="599440" cy="372745"/>
                          </a:xfrm>
                          <a:prstGeom prst="rect">
                            <a:avLst/>
                          </a:prstGeom>
                          <a:solidFill>
                            <a:srgbClr val="D7EDDD"/>
                          </a:solidFill>
                          <a:ln w="11849">
                            <a:solidFill>
                              <a:srgbClr val="231F20"/>
                            </a:solidFill>
                            <a:prstDash val="solid"/>
                          </a:ln>
                        </wps:spPr>
                        <wps:txbx>
                          <w:txbxContent>
                            <w:p>
                              <w:pPr>
                                <w:spacing w:line="268" w:lineRule="auto" w:before="105"/>
                                <w:ind w:left="178" w:right="152" w:hanging="23"/>
                                <w:jc w:val="left"/>
                                <w:rPr>
                                  <w:rFonts w:ascii="Arial MT"/>
                                  <w:color w:val="000000"/>
                                  <w:sz w:val="15"/>
                                </w:rPr>
                              </w:pPr>
                              <w:r>
                                <w:rPr>
                                  <w:rFonts w:ascii="Arial MT"/>
                                  <w:color w:val="231F20"/>
                                  <w:spacing w:val="-2"/>
                                  <w:sz w:val="15"/>
                                </w:rPr>
                                <w:t>Syncopal</w:t>
                              </w:r>
                              <w:r>
                                <w:rPr>
                                  <w:rFonts w:ascii="Arial MT"/>
                                  <w:color w:val="231F20"/>
                                  <w:sz w:val="15"/>
                                </w:rPr>
                                <w:t> </w:t>
                              </w:r>
                              <w:r>
                                <w:rPr>
                                  <w:rFonts w:ascii="Arial MT"/>
                                  <w:color w:val="231F20"/>
                                  <w:spacing w:val="-2"/>
                                  <w:sz w:val="15"/>
                                </w:rPr>
                                <w:t>migraine</w:t>
                              </w:r>
                            </w:p>
                          </w:txbxContent>
                        </wps:txbx>
                        <wps:bodyPr wrap="square" lIns="0" tIns="0" rIns="0" bIns="0" rtlCol="0">
                          <a:noAutofit/>
                        </wps:bodyPr>
                      </wps:wsp>
                      <wps:wsp>
                        <wps:cNvPr id="1134" name="Textbox 1134"/>
                        <wps:cNvSpPr txBox="1"/>
                        <wps:spPr>
                          <a:xfrm>
                            <a:off x="3746557" y="3727492"/>
                            <a:ext cx="883919" cy="372745"/>
                          </a:xfrm>
                          <a:prstGeom prst="rect">
                            <a:avLst/>
                          </a:prstGeom>
                          <a:solidFill>
                            <a:srgbClr val="D7EDDD"/>
                          </a:solidFill>
                          <a:ln w="11849">
                            <a:solidFill>
                              <a:srgbClr val="231F20"/>
                            </a:solidFill>
                            <a:prstDash val="solid"/>
                          </a:ln>
                        </wps:spPr>
                        <wps:txbx>
                          <w:txbxContent>
                            <w:p>
                              <w:pPr>
                                <w:spacing w:line="268" w:lineRule="auto" w:before="105"/>
                                <w:ind w:left="357" w:right="180" w:hanging="173"/>
                                <w:jc w:val="left"/>
                                <w:rPr>
                                  <w:rFonts w:ascii="Arial MT"/>
                                  <w:color w:val="000000"/>
                                  <w:sz w:val="15"/>
                                </w:rPr>
                              </w:pPr>
                              <w:r>
                                <w:rPr>
                                  <w:rFonts w:ascii="Arial MT"/>
                                  <w:color w:val="231F20"/>
                                  <w:sz w:val="15"/>
                                </w:rPr>
                                <w:t>Chronic</w:t>
                              </w:r>
                              <w:r>
                                <w:rPr>
                                  <w:rFonts w:ascii="Arial MT"/>
                                  <w:color w:val="231F20"/>
                                  <w:spacing w:val="-11"/>
                                  <w:sz w:val="15"/>
                                </w:rPr>
                                <w:t> </w:t>
                              </w:r>
                              <w:r>
                                <w:rPr>
                                  <w:rFonts w:ascii="Arial MT"/>
                                  <w:color w:val="231F20"/>
                                  <w:sz w:val="15"/>
                                </w:rPr>
                                <w:t>fatigue </w:t>
                              </w:r>
                              <w:r>
                                <w:rPr>
                                  <w:rFonts w:ascii="Arial MT"/>
                                  <w:color w:val="231F20"/>
                                  <w:spacing w:val="-2"/>
                                  <w:sz w:val="15"/>
                                </w:rPr>
                                <w:t>syndrome</w:t>
                              </w:r>
                            </w:p>
                          </w:txbxContent>
                        </wps:txbx>
                        <wps:bodyPr wrap="square" lIns="0" tIns="0" rIns="0" bIns="0" rtlCol="0">
                          <a:noAutofit/>
                        </wps:bodyPr>
                      </wps:wsp>
                      <wps:wsp>
                        <wps:cNvPr id="1135" name="Textbox 1135"/>
                        <wps:cNvSpPr txBox="1"/>
                        <wps:spPr>
                          <a:xfrm>
                            <a:off x="2873912" y="3698485"/>
                            <a:ext cx="760730" cy="369570"/>
                          </a:xfrm>
                          <a:prstGeom prst="rect">
                            <a:avLst/>
                          </a:prstGeom>
                          <a:solidFill>
                            <a:srgbClr val="D7EDDD"/>
                          </a:solidFill>
                          <a:ln w="11849">
                            <a:solidFill>
                              <a:srgbClr val="231F20"/>
                            </a:solidFill>
                            <a:prstDash val="solid"/>
                          </a:ln>
                        </wps:spPr>
                        <wps:txbx>
                          <w:txbxContent>
                            <w:p>
                              <w:pPr>
                                <w:spacing w:line="268" w:lineRule="auto" w:before="105"/>
                                <w:ind w:left="216" w:right="222" w:firstLine="91"/>
                                <w:jc w:val="left"/>
                                <w:rPr>
                                  <w:rFonts w:ascii="Arial MT"/>
                                  <w:color w:val="000000"/>
                                  <w:sz w:val="15"/>
                                </w:rPr>
                              </w:pPr>
                              <w:r>
                                <w:rPr>
                                  <w:rFonts w:ascii="Arial MT"/>
                                  <w:color w:val="231F20"/>
                                  <w:spacing w:val="-2"/>
                                  <w:sz w:val="15"/>
                                </w:rPr>
                                <w:t>Genetic:</w:t>
                              </w:r>
                              <w:r>
                                <w:rPr>
                                  <w:rFonts w:ascii="Arial MT"/>
                                  <w:color w:val="231F20"/>
                                  <w:sz w:val="15"/>
                                </w:rPr>
                                <w:t> Rett</w:t>
                              </w:r>
                              <w:r>
                                <w:rPr>
                                  <w:rFonts w:ascii="Arial MT"/>
                                  <w:color w:val="231F20"/>
                                  <w:spacing w:val="-4"/>
                                  <w:sz w:val="15"/>
                                </w:rPr>
                                <w:t> </w:t>
                              </w:r>
                              <w:r>
                                <w:rPr>
                                  <w:rFonts w:ascii="Arial MT"/>
                                  <w:color w:val="231F20"/>
                                  <w:spacing w:val="-4"/>
                                  <w:sz w:val="15"/>
                                </w:rPr>
                                <w:t>CCHS</w:t>
                              </w:r>
                            </w:p>
                          </w:txbxContent>
                        </wps:txbx>
                        <wps:bodyPr wrap="square" lIns="0" tIns="0" rIns="0" bIns="0" rtlCol="0">
                          <a:noAutofit/>
                        </wps:bodyPr>
                      </wps:wsp>
                      <wps:wsp>
                        <wps:cNvPr id="1136" name="Textbox 1136"/>
                        <wps:cNvSpPr txBox="1"/>
                        <wps:spPr>
                          <a:xfrm>
                            <a:off x="1054648" y="3489039"/>
                            <a:ext cx="532130" cy="247015"/>
                          </a:xfrm>
                          <a:prstGeom prst="rect">
                            <a:avLst/>
                          </a:prstGeom>
                          <a:solidFill>
                            <a:srgbClr val="D7EDDD"/>
                          </a:solidFill>
                          <a:ln w="11849">
                            <a:solidFill>
                              <a:srgbClr val="231F20"/>
                            </a:solidFill>
                            <a:prstDash val="solid"/>
                          </a:ln>
                        </wps:spPr>
                        <wps:txbx>
                          <w:txbxContent>
                            <w:p>
                              <w:pPr>
                                <w:spacing w:before="105"/>
                                <w:ind w:left="150" w:right="0" w:firstLine="0"/>
                                <w:jc w:val="left"/>
                                <w:rPr>
                                  <w:rFonts w:ascii="Arial MT"/>
                                  <w:color w:val="000000"/>
                                  <w:sz w:val="15"/>
                                </w:rPr>
                              </w:pPr>
                              <w:r>
                                <w:rPr>
                                  <w:rFonts w:ascii="Arial MT"/>
                                  <w:color w:val="231F20"/>
                                  <w:spacing w:val="-2"/>
                                  <w:sz w:val="15"/>
                                </w:rPr>
                                <w:t>Genetic</w:t>
                              </w:r>
                            </w:p>
                          </w:txbxContent>
                        </wps:txbx>
                        <wps:bodyPr wrap="square" lIns="0" tIns="0" rIns="0" bIns="0" rtlCol="0">
                          <a:noAutofit/>
                        </wps:bodyPr>
                      </wps:wsp>
                      <wps:wsp>
                        <wps:cNvPr id="1137" name="Textbox 1137"/>
                        <wps:cNvSpPr txBox="1"/>
                        <wps:spPr>
                          <a:xfrm>
                            <a:off x="3974760" y="3284842"/>
                            <a:ext cx="655320" cy="267335"/>
                          </a:xfrm>
                          <a:prstGeom prst="rect">
                            <a:avLst/>
                          </a:prstGeom>
                          <a:solidFill>
                            <a:srgbClr val="D7EDDD"/>
                          </a:solidFill>
                          <a:ln w="11849">
                            <a:solidFill>
                              <a:srgbClr val="231F20"/>
                            </a:solidFill>
                            <a:prstDash val="solid"/>
                          </a:ln>
                        </wps:spPr>
                        <wps:txbx>
                          <w:txbxContent>
                            <w:p>
                              <w:pPr>
                                <w:spacing w:before="103"/>
                                <w:ind w:left="202" w:right="0" w:firstLine="0"/>
                                <w:jc w:val="left"/>
                                <w:rPr>
                                  <w:rFonts w:ascii="Arial MT"/>
                                  <w:color w:val="000000"/>
                                  <w:sz w:val="15"/>
                                </w:rPr>
                              </w:pPr>
                              <w:r>
                                <w:rPr>
                                  <w:rFonts w:ascii="Arial MT"/>
                                  <w:color w:val="231F20"/>
                                  <w:spacing w:val="-2"/>
                                  <w:sz w:val="15"/>
                                </w:rPr>
                                <w:t>Raynaud</w:t>
                              </w:r>
                            </w:p>
                          </w:txbxContent>
                        </wps:txbx>
                        <wps:bodyPr wrap="square" lIns="0" tIns="0" rIns="0" bIns="0" rtlCol="0">
                          <a:noAutofit/>
                        </wps:bodyPr>
                      </wps:wsp>
                      <wps:wsp>
                        <wps:cNvPr id="1138" name="Textbox 1138"/>
                        <wps:cNvSpPr txBox="1"/>
                        <wps:spPr>
                          <a:xfrm>
                            <a:off x="4866708" y="3233843"/>
                            <a:ext cx="630555" cy="368300"/>
                          </a:xfrm>
                          <a:prstGeom prst="rect">
                            <a:avLst/>
                          </a:prstGeom>
                          <a:solidFill>
                            <a:srgbClr val="D7EDDD"/>
                          </a:solidFill>
                          <a:ln w="11849">
                            <a:solidFill>
                              <a:srgbClr val="231F20"/>
                            </a:solidFill>
                            <a:prstDash val="solid"/>
                          </a:ln>
                        </wps:spPr>
                        <wps:txbx>
                          <w:txbxContent>
                            <w:p>
                              <w:pPr>
                                <w:spacing w:line="268" w:lineRule="auto" w:before="103"/>
                                <w:ind w:left="155" w:right="159" w:firstLine="43"/>
                                <w:jc w:val="left"/>
                                <w:rPr>
                                  <w:rFonts w:ascii="Arial MT"/>
                                  <w:color w:val="000000"/>
                                  <w:sz w:val="15"/>
                                </w:rPr>
                              </w:pPr>
                              <w:r>
                                <w:rPr>
                                  <w:rFonts w:ascii="Arial MT"/>
                                  <w:color w:val="231F20"/>
                                  <w:spacing w:val="-2"/>
                                  <w:sz w:val="15"/>
                                </w:rPr>
                                <w:t>Migraine</w:t>
                              </w:r>
                              <w:r>
                                <w:rPr>
                                  <w:rFonts w:ascii="Arial MT"/>
                                  <w:color w:val="231F20"/>
                                  <w:sz w:val="15"/>
                                </w:rPr>
                                <w:t> </w:t>
                              </w:r>
                              <w:r>
                                <w:rPr>
                                  <w:rFonts w:ascii="Arial MT"/>
                                  <w:color w:val="231F20"/>
                                  <w:spacing w:val="-2"/>
                                  <w:sz w:val="15"/>
                                </w:rPr>
                                <w:t>headache</w:t>
                              </w:r>
                            </w:p>
                          </w:txbxContent>
                        </wps:txbx>
                        <wps:bodyPr wrap="square" lIns="0" tIns="0" rIns="0" bIns="0" rtlCol="0">
                          <a:noAutofit/>
                        </wps:bodyPr>
                      </wps:wsp>
                      <wps:wsp>
                        <wps:cNvPr id="1139" name="Textbox 1139"/>
                        <wps:cNvSpPr txBox="1"/>
                        <wps:spPr>
                          <a:xfrm>
                            <a:off x="1006955" y="3156646"/>
                            <a:ext cx="579755" cy="245745"/>
                          </a:xfrm>
                          <a:prstGeom prst="rect">
                            <a:avLst/>
                          </a:prstGeom>
                          <a:solidFill>
                            <a:srgbClr val="D7EDDD"/>
                          </a:solidFill>
                          <a:ln w="11849">
                            <a:solidFill>
                              <a:srgbClr val="231F20"/>
                            </a:solidFill>
                            <a:prstDash val="solid"/>
                          </a:ln>
                        </wps:spPr>
                        <wps:txbx>
                          <w:txbxContent>
                            <w:p>
                              <w:pPr>
                                <w:spacing w:before="103"/>
                                <w:ind w:left="148" w:right="0" w:firstLine="0"/>
                                <w:jc w:val="left"/>
                                <w:rPr>
                                  <w:rFonts w:ascii="Arial MT"/>
                                  <w:color w:val="000000"/>
                                  <w:sz w:val="15"/>
                                </w:rPr>
                              </w:pPr>
                              <w:r>
                                <w:rPr>
                                  <w:rFonts w:ascii="Arial MT"/>
                                  <w:color w:val="231F20"/>
                                  <w:spacing w:val="-2"/>
                                  <w:sz w:val="15"/>
                                </w:rPr>
                                <w:t>Diabetes</w:t>
                              </w:r>
                            </w:p>
                          </w:txbxContent>
                        </wps:txbx>
                        <wps:bodyPr wrap="square" lIns="0" tIns="0" rIns="0" bIns="0" rtlCol="0">
                          <a:noAutofit/>
                        </wps:bodyPr>
                      </wps:wsp>
                      <wps:wsp>
                        <wps:cNvPr id="1140" name="Textbox 1140"/>
                        <wps:cNvSpPr txBox="1"/>
                        <wps:spPr>
                          <a:xfrm>
                            <a:off x="2873900" y="3075858"/>
                            <a:ext cx="858519" cy="492125"/>
                          </a:xfrm>
                          <a:prstGeom prst="rect">
                            <a:avLst/>
                          </a:prstGeom>
                          <a:solidFill>
                            <a:srgbClr val="D7EDDD"/>
                          </a:solidFill>
                          <a:ln w="11849">
                            <a:solidFill>
                              <a:srgbClr val="231F20"/>
                            </a:solidFill>
                            <a:prstDash val="solid"/>
                          </a:ln>
                        </wps:spPr>
                        <wps:txbx>
                          <w:txbxContent>
                            <w:p>
                              <w:pPr>
                                <w:spacing w:line="268" w:lineRule="auto" w:before="105"/>
                                <w:ind w:left="179" w:right="180" w:hanging="1"/>
                                <w:jc w:val="center"/>
                                <w:rPr>
                                  <w:rFonts w:ascii="Arial MT"/>
                                  <w:color w:val="000000"/>
                                  <w:sz w:val="15"/>
                                </w:rPr>
                              </w:pPr>
                              <w:r>
                                <w:rPr>
                                  <w:rFonts w:ascii="Arial MT"/>
                                  <w:color w:val="231F20"/>
                                  <w:spacing w:val="-2"/>
                                  <w:sz w:val="15"/>
                                </w:rPr>
                                <w:t>Central</w:t>
                              </w:r>
                              <w:r>
                                <w:rPr>
                                  <w:rFonts w:ascii="Arial MT"/>
                                  <w:color w:val="231F20"/>
                                  <w:sz w:val="15"/>
                                </w:rPr>
                                <w:t> </w:t>
                              </w:r>
                              <w:r>
                                <w:rPr>
                                  <w:rFonts w:ascii="Arial MT"/>
                                  <w:color w:val="231F20"/>
                                  <w:spacing w:val="-2"/>
                                  <w:sz w:val="15"/>
                                </w:rPr>
                                <w:t>autonomic</w:t>
                              </w:r>
                              <w:r>
                                <w:rPr>
                                  <w:rFonts w:ascii="Arial MT"/>
                                  <w:color w:val="231F20"/>
                                  <w:sz w:val="15"/>
                                </w:rPr>
                                <w:t> </w:t>
                              </w:r>
                              <w:r>
                                <w:rPr>
                                  <w:rFonts w:ascii="Arial MT"/>
                                  <w:color w:val="231F20"/>
                                  <w:spacing w:val="-2"/>
                                  <w:sz w:val="15"/>
                                </w:rPr>
                                <w:t>network</w:t>
                              </w:r>
                              <w:r>
                                <w:rPr>
                                  <w:rFonts w:ascii="Arial MT"/>
                                  <w:color w:val="231F20"/>
                                  <w:spacing w:val="-9"/>
                                  <w:sz w:val="15"/>
                                </w:rPr>
                                <w:t> </w:t>
                              </w:r>
                              <w:r>
                                <w:rPr>
                                  <w:rFonts w:ascii="Arial MT"/>
                                  <w:color w:val="231F20"/>
                                  <w:spacing w:val="-2"/>
                                  <w:sz w:val="15"/>
                                </w:rPr>
                                <w:t>stroke</w:t>
                              </w:r>
                            </w:p>
                          </w:txbxContent>
                        </wps:txbx>
                        <wps:bodyPr wrap="square" lIns="0" tIns="0" rIns="0" bIns="0" rtlCol="0">
                          <a:noAutofit/>
                        </wps:bodyPr>
                      </wps:wsp>
                      <wps:wsp>
                        <wps:cNvPr id="1141" name="Textbox 1141"/>
                        <wps:cNvSpPr txBox="1"/>
                        <wps:spPr>
                          <a:xfrm>
                            <a:off x="4866708" y="2731876"/>
                            <a:ext cx="875030" cy="372745"/>
                          </a:xfrm>
                          <a:prstGeom prst="rect">
                            <a:avLst/>
                          </a:prstGeom>
                          <a:solidFill>
                            <a:srgbClr val="D7EDDD"/>
                          </a:solidFill>
                          <a:ln w="11849">
                            <a:solidFill>
                              <a:srgbClr val="231F20"/>
                            </a:solidFill>
                            <a:prstDash val="solid"/>
                          </a:ln>
                        </wps:spPr>
                        <wps:txbx>
                          <w:txbxContent>
                            <w:p>
                              <w:pPr>
                                <w:spacing w:line="268" w:lineRule="auto" w:before="105"/>
                                <w:ind w:left="352" w:right="177" w:hanging="169"/>
                                <w:jc w:val="left"/>
                                <w:rPr>
                                  <w:rFonts w:ascii="Arial MT"/>
                                  <w:color w:val="000000"/>
                                  <w:sz w:val="15"/>
                                </w:rPr>
                              </w:pPr>
                              <w:r>
                                <w:rPr>
                                  <w:rFonts w:ascii="Arial MT"/>
                                  <w:color w:val="231F20"/>
                                  <w:spacing w:val="-2"/>
                                  <w:sz w:val="15"/>
                                </w:rPr>
                                <w:t>Cyclic</w:t>
                              </w:r>
                              <w:r>
                                <w:rPr>
                                  <w:rFonts w:ascii="Arial MT"/>
                                  <w:color w:val="231F20"/>
                                  <w:spacing w:val="-9"/>
                                  <w:sz w:val="15"/>
                                </w:rPr>
                                <w:t> </w:t>
                              </w:r>
                              <w:r>
                                <w:rPr>
                                  <w:rFonts w:ascii="Arial MT"/>
                                  <w:color w:val="231F20"/>
                                  <w:spacing w:val="-2"/>
                                  <w:sz w:val="15"/>
                                </w:rPr>
                                <w:t>vomiting</w:t>
                              </w:r>
                              <w:r>
                                <w:rPr>
                                  <w:rFonts w:ascii="Arial MT"/>
                                  <w:color w:val="231F20"/>
                                  <w:sz w:val="15"/>
                                </w:rPr>
                                <w:t> </w:t>
                              </w:r>
                              <w:r>
                                <w:rPr>
                                  <w:rFonts w:ascii="Arial MT"/>
                                  <w:color w:val="231F20"/>
                                  <w:spacing w:val="-2"/>
                                  <w:sz w:val="15"/>
                                </w:rPr>
                                <w:t>syndrome</w:t>
                              </w:r>
                            </w:p>
                          </w:txbxContent>
                        </wps:txbx>
                        <wps:bodyPr wrap="square" lIns="0" tIns="0" rIns="0" bIns="0" rtlCol="0">
                          <a:noAutofit/>
                        </wps:bodyPr>
                      </wps:wsp>
                      <wps:wsp>
                        <wps:cNvPr id="1142" name="Textbox 1142"/>
                        <wps:cNvSpPr txBox="1"/>
                        <wps:spPr>
                          <a:xfrm>
                            <a:off x="3882017" y="2732042"/>
                            <a:ext cx="748030" cy="368300"/>
                          </a:xfrm>
                          <a:prstGeom prst="rect">
                            <a:avLst/>
                          </a:prstGeom>
                          <a:solidFill>
                            <a:srgbClr val="D7EDDD"/>
                          </a:solidFill>
                          <a:ln w="11849">
                            <a:solidFill>
                              <a:srgbClr val="231F20"/>
                            </a:solidFill>
                            <a:prstDash val="solid"/>
                          </a:ln>
                        </wps:spPr>
                        <wps:txbx>
                          <w:txbxContent>
                            <w:p>
                              <w:pPr>
                                <w:spacing w:line="268" w:lineRule="auto" w:before="103"/>
                                <w:ind w:left="172" w:right="171" w:firstLine="62"/>
                                <w:jc w:val="left"/>
                                <w:rPr>
                                  <w:rFonts w:ascii="Arial MT"/>
                                  <w:color w:val="000000"/>
                                  <w:sz w:val="15"/>
                                </w:rPr>
                              </w:pPr>
                              <w:r>
                                <w:rPr>
                                  <w:rFonts w:ascii="Arial MT"/>
                                  <w:color w:val="231F20"/>
                                  <w:spacing w:val="-2"/>
                                  <w:sz w:val="15"/>
                                </w:rPr>
                                <w:t>Functional</w:t>
                              </w:r>
                              <w:r>
                                <w:rPr>
                                  <w:rFonts w:ascii="Arial MT"/>
                                  <w:color w:val="231F20"/>
                                  <w:sz w:val="15"/>
                                </w:rPr>
                                <w:t> GI</w:t>
                              </w:r>
                              <w:r>
                                <w:rPr>
                                  <w:rFonts w:ascii="Arial MT"/>
                                  <w:color w:val="231F20"/>
                                  <w:spacing w:val="-3"/>
                                  <w:sz w:val="15"/>
                                </w:rPr>
                                <w:t> </w:t>
                              </w:r>
                              <w:r>
                                <w:rPr>
                                  <w:rFonts w:ascii="Arial MT"/>
                                  <w:color w:val="231F20"/>
                                  <w:spacing w:val="-2"/>
                                  <w:sz w:val="15"/>
                                </w:rPr>
                                <w:t>disorders</w:t>
                              </w:r>
                            </w:p>
                          </w:txbxContent>
                        </wps:txbx>
                        <wps:bodyPr wrap="square" lIns="0" tIns="0" rIns="0" bIns="0" rtlCol="0">
                          <a:noAutofit/>
                        </wps:bodyPr>
                      </wps:wsp>
                      <wps:wsp>
                        <wps:cNvPr id="1143" name="Textbox 1143"/>
                        <wps:cNvSpPr txBox="1"/>
                        <wps:spPr>
                          <a:xfrm>
                            <a:off x="2873912" y="2670758"/>
                            <a:ext cx="705485" cy="267335"/>
                          </a:xfrm>
                          <a:prstGeom prst="rect">
                            <a:avLst/>
                          </a:prstGeom>
                          <a:solidFill>
                            <a:srgbClr val="D7EDDD"/>
                          </a:solidFill>
                          <a:ln w="11849">
                            <a:solidFill>
                              <a:srgbClr val="231F20"/>
                            </a:solidFill>
                            <a:prstDash val="solid"/>
                          </a:ln>
                        </wps:spPr>
                        <wps:txbx>
                          <w:txbxContent>
                            <w:p>
                              <w:pPr>
                                <w:spacing w:before="103"/>
                                <w:ind w:left="162" w:right="0" w:firstLine="0"/>
                                <w:jc w:val="left"/>
                                <w:rPr>
                                  <w:rFonts w:ascii="Arial MT"/>
                                  <w:color w:val="000000"/>
                                  <w:sz w:val="15"/>
                                </w:rPr>
                              </w:pPr>
                              <w:r>
                                <w:rPr>
                                  <w:rFonts w:ascii="Arial MT"/>
                                  <w:color w:val="231F20"/>
                                  <w:spacing w:val="-2"/>
                                  <w:sz w:val="15"/>
                                </w:rPr>
                                <w:t>Myelopathy</w:t>
                              </w:r>
                            </w:p>
                          </w:txbxContent>
                        </wps:txbx>
                        <wps:bodyPr wrap="square" lIns="0" tIns="0" rIns="0" bIns="0" rtlCol="0">
                          <a:noAutofit/>
                        </wps:bodyPr>
                      </wps:wsp>
                      <wps:wsp>
                        <wps:cNvPr id="1144" name="Textbox 1144"/>
                        <wps:cNvSpPr txBox="1"/>
                        <wps:spPr>
                          <a:xfrm>
                            <a:off x="4866708" y="2293764"/>
                            <a:ext cx="771525" cy="251460"/>
                          </a:xfrm>
                          <a:prstGeom prst="rect">
                            <a:avLst/>
                          </a:prstGeom>
                          <a:solidFill>
                            <a:srgbClr val="D7EDDD"/>
                          </a:solidFill>
                          <a:ln w="11849">
                            <a:solidFill>
                              <a:srgbClr val="231F20"/>
                            </a:solidFill>
                            <a:prstDash val="solid"/>
                          </a:ln>
                        </wps:spPr>
                        <wps:txbx>
                          <w:txbxContent>
                            <w:p>
                              <w:pPr>
                                <w:spacing w:before="103"/>
                                <w:ind w:left="166" w:right="0" w:firstLine="0"/>
                                <w:jc w:val="left"/>
                                <w:rPr>
                                  <w:rFonts w:ascii="Arial MT"/>
                                  <w:color w:val="000000"/>
                                  <w:sz w:val="15"/>
                                </w:rPr>
                              </w:pPr>
                              <w:r>
                                <w:rPr>
                                  <w:rFonts w:ascii="Arial MT"/>
                                  <w:color w:val="231F20"/>
                                  <w:spacing w:val="-2"/>
                                  <w:sz w:val="15"/>
                                </w:rPr>
                                <w:t>Fibromyalgia</w:t>
                              </w:r>
                            </w:p>
                          </w:txbxContent>
                        </wps:txbx>
                        <wps:bodyPr wrap="square" lIns="0" tIns="0" rIns="0" bIns="0" rtlCol="0">
                          <a:noAutofit/>
                        </wps:bodyPr>
                      </wps:wsp>
                      <wps:wsp>
                        <wps:cNvPr id="1145" name="Textbox 1145"/>
                        <wps:cNvSpPr txBox="1"/>
                        <wps:spPr>
                          <a:xfrm>
                            <a:off x="3857442" y="2238061"/>
                            <a:ext cx="772795" cy="375285"/>
                          </a:xfrm>
                          <a:prstGeom prst="rect">
                            <a:avLst/>
                          </a:prstGeom>
                          <a:solidFill>
                            <a:srgbClr val="D7EDDD"/>
                          </a:solidFill>
                          <a:ln w="11849">
                            <a:solidFill>
                              <a:srgbClr val="231F20"/>
                            </a:solidFill>
                            <a:prstDash val="solid"/>
                          </a:ln>
                        </wps:spPr>
                        <wps:txbx>
                          <w:txbxContent>
                            <w:p>
                              <w:pPr>
                                <w:spacing w:line="268" w:lineRule="auto" w:before="105"/>
                                <w:ind w:left="171" w:right="169" w:firstLine="135"/>
                                <w:jc w:val="left"/>
                                <w:rPr>
                                  <w:rFonts w:ascii="Arial MT"/>
                                  <w:color w:val="000000"/>
                                  <w:sz w:val="15"/>
                                </w:rPr>
                              </w:pPr>
                              <w:r>
                                <w:rPr>
                                  <w:rFonts w:ascii="Arial MT"/>
                                  <w:color w:val="231F20"/>
                                  <w:spacing w:val="-2"/>
                                  <w:sz w:val="15"/>
                                </w:rPr>
                                <w:t>Complex</w:t>
                              </w:r>
                              <w:r>
                                <w:rPr>
                                  <w:rFonts w:ascii="Arial MT"/>
                                  <w:color w:val="231F20"/>
                                  <w:sz w:val="15"/>
                                </w:rPr>
                                <w:t> </w:t>
                              </w:r>
                              <w:r>
                                <w:rPr>
                                  <w:rFonts w:ascii="Arial MT"/>
                                  <w:color w:val="231F20"/>
                                  <w:spacing w:val="-2"/>
                                  <w:sz w:val="15"/>
                                </w:rPr>
                                <w:t>regional</w:t>
                              </w:r>
                              <w:r>
                                <w:rPr>
                                  <w:rFonts w:ascii="Arial MT"/>
                                  <w:color w:val="231F20"/>
                                  <w:spacing w:val="-9"/>
                                  <w:sz w:val="15"/>
                                </w:rPr>
                                <w:t> </w:t>
                              </w:r>
                              <w:r>
                                <w:rPr>
                                  <w:rFonts w:ascii="Arial MT"/>
                                  <w:color w:val="231F20"/>
                                  <w:spacing w:val="-2"/>
                                  <w:sz w:val="15"/>
                                </w:rPr>
                                <w:t>pain</w:t>
                              </w:r>
                            </w:p>
                          </w:txbxContent>
                        </wps:txbx>
                        <wps:bodyPr wrap="square" lIns="0" tIns="0" rIns="0" bIns="0" rtlCol="0">
                          <a:noAutofit/>
                        </wps:bodyPr>
                      </wps:wsp>
                      <wps:wsp>
                        <wps:cNvPr id="1146" name="Textbox 1146"/>
                        <wps:cNvSpPr txBox="1"/>
                        <wps:spPr>
                          <a:xfrm>
                            <a:off x="2873900" y="2055323"/>
                            <a:ext cx="835025" cy="490855"/>
                          </a:xfrm>
                          <a:prstGeom prst="rect">
                            <a:avLst/>
                          </a:prstGeom>
                          <a:solidFill>
                            <a:srgbClr val="D7EDDD"/>
                          </a:solidFill>
                          <a:ln w="11849">
                            <a:solidFill>
                              <a:srgbClr val="231F20"/>
                            </a:solidFill>
                            <a:prstDash val="solid"/>
                          </a:ln>
                        </wps:spPr>
                        <wps:txbx>
                          <w:txbxContent>
                            <w:p>
                              <w:pPr>
                                <w:spacing w:line="268" w:lineRule="auto" w:before="103"/>
                                <w:ind w:left="221" w:right="233" w:firstLine="0"/>
                                <w:jc w:val="center"/>
                                <w:rPr>
                                  <w:rFonts w:ascii="Arial MT"/>
                                  <w:color w:val="000000"/>
                                  <w:sz w:val="15"/>
                                </w:rPr>
                              </w:pPr>
                              <w:r>
                                <w:rPr>
                                  <w:rFonts w:ascii="Arial MT"/>
                                  <w:color w:val="231F20"/>
                                  <w:sz w:val="15"/>
                                </w:rPr>
                                <w:t>Parkinson</w:t>
                              </w:r>
                              <w:r>
                                <w:rPr>
                                  <w:rFonts w:ascii="Arial MT"/>
                                  <w:color w:val="231F20"/>
                                  <w:spacing w:val="-11"/>
                                  <w:sz w:val="15"/>
                                </w:rPr>
                                <w:t> </w:t>
                              </w:r>
                              <w:r>
                                <w:rPr>
                                  <w:rFonts w:ascii="Arial MT"/>
                                  <w:color w:val="231F20"/>
                                  <w:sz w:val="15"/>
                                </w:rPr>
                                <w:t>or Lewy</w:t>
                              </w:r>
                              <w:r>
                                <w:rPr>
                                  <w:rFonts w:ascii="Arial MT"/>
                                  <w:color w:val="231F20"/>
                                  <w:spacing w:val="-1"/>
                                  <w:sz w:val="15"/>
                                </w:rPr>
                                <w:t> </w:t>
                              </w:r>
                              <w:r>
                                <w:rPr>
                                  <w:rFonts w:ascii="Arial MT"/>
                                  <w:color w:val="231F20"/>
                                  <w:sz w:val="15"/>
                                </w:rPr>
                                <w:t>body </w:t>
                              </w:r>
                              <w:r>
                                <w:rPr>
                                  <w:rFonts w:ascii="Arial MT"/>
                                  <w:color w:val="231F20"/>
                                  <w:spacing w:val="-2"/>
                                  <w:sz w:val="15"/>
                                </w:rPr>
                                <w:t>disease</w:t>
                              </w:r>
                            </w:p>
                          </w:txbxContent>
                        </wps:txbx>
                        <wps:bodyPr wrap="square" lIns="0" tIns="0" rIns="0" bIns="0" rtlCol="0">
                          <a:noAutofit/>
                        </wps:bodyPr>
                      </wps:wsp>
                      <wps:wsp>
                        <wps:cNvPr id="1147" name="Textbox 1147"/>
                        <wps:cNvSpPr txBox="1"/>
                        <wps:spPr>
                          <a:xfrm>
                            <a:off x="4866708" y="1760267"/>
                            <a:ext cx="820419" cy="374015"/>
                          </a:xfrm>
                          <a:prstGeom prst="rect">
                            <a:avLst/>
                          </a:prstGeom>
                          <a:solidFill>
                            <a:srgbClr val="D7EDDD"/>
                          </a:solidFill>
                          <a:ln w="11849">
                            <a:solidFill>
                              <a:srgbClr val="231F20"/>
                            </a:solidFill>
                            <a:prstDash val="solid"/>
                          </a:ln>
                        </wps:spPr>
                        <wps:txbx>
                          <w:txbxContent>
                            <w:p>
                              <w:pPr>
                                <w:spacing w:line="268" w:lineRule="auto" w:before="103"/>
                                <w:ind w:left="305" w:right="170" w:hanging="135"/>
                                <w:jc w:val="left"/>
                                <w:rPr>
                                  <w:rFonts w:ascii="Arial MT"/>
                                  <w:color w:val="000000"/>
                                  <w:sz w:val="15"/>
                                </w:rPr>
                              </w:pPr>
                              <w:r>
                                <w:rPr>
                                  <w:rFonts w:ascii="Arial MT"/>
                                  <w:color w:val="231F20"/>
                                  <w:spacing w:val="-2"/>
                                  <w:sz w:val="15"/>
                                </w:rPr>
                                <w:t>Irritable</w:t>
                              </w:r>
                              <w:r>
                                <w:rPr>
                                  <w:rFonts w:ascii="Arial MT"/>
                                  <w:color w:val="231F20"/>
                                  <w:spacing w:val="-9"/>
                                  <w:sz w:val="15"/>
                                </w:rPr>
                                <w:t> </w:t>
                              </w:r>
                              <w:r>
                                <w:rPr>
                                  <w:rFonts w:ascii="Arial MT"/>
                                  <w:color w:val="231F20"/>
                                  <w:spacing w:val="-2"/>
                                  <w:sz w:val="15"/>
                                </w:rPr>
                                <w:t>bowel</w:t>
                              </w:r>
                              <w:r>
                                <w:rPr>
                                  <w:rFonts w:ascii="Arial MT"/>
                                  <w:color w:val="231F20"/>
                                  <w:sz w:val="15"/>
                                </w:rPr>
                                <w:t> </w:t>
                              </w:r>
                              <w:r>
                                <w:rPr>
                                  <w:rFonts w:ascii="Arial MT"/>
                                  <w:color w:val="231F20"/>
                                  <w:spacing w:val="-2"/>
                                  <w:sz w:val="15"/>
                                </w:rPr>
                                <w:t>syndrome</w:t>
                              </w:r>
                            </w:p>
                          </w:txbxContent>
                        </wps:txbx>
                        <wps:bodyPr wrap="square" lIns="0" tIns="0" rIns="0" bIns="0" rtlCol="0">
                          <a:noAutofit/>
                        </wps:bodyPr>
                      </wps:wsp>
                      <wps:wsp>
                        <wps:cNvPr id="1148" name="Textbox 1148"/>
                        <wps:cNvSpPr txBox="1"/>
                        <wps:spPr>
                          <a:xfrm>
                            <a:off x="4018555" y="1760267"/>
                            <a:ext cx="611505" cy="374015"/>
                          </a:xfrm>
                          <a:prstGeom prst="rect">
                            <a:avLst/>
                          </a:prstGeom>
                          <a:solidFill>
                            <a:srgbClr val="D7EDDD"/>
                          </a:solidFill>
                          <a:ln w="11849">
                            <a:solidFill>
                              <a:srgbClr val="231F20"/>
                            </a:solidFill>
                            <a:prstDash val="solid"/>
                          </a:ln>
                        </wps:spPr>
                        <wps:txbx>
                          <w:txbxContent>
                            <w:p>
                              <w:pPr>
                                <w:spacing w:line="268" w:lineRule="auto" w:before="103"/>
                                <w:ind w:left="245" w:right="153" w:hanging="96"/>
                                <w:jc w:val="left"/>
                                <w:rPr>
                                  <w:rFonts w:ascii="Arial MT"/>
                                  <w:color w:val="000000"/>
                                  <w:sz w:val="15"/>
                                </w:rPr>
                              </w:pPr>
                              <w:r>
                                <w:rPr>
                                  <w:rFonts w:ascii="Arial MT"/>
                                  <w:color w:val="231F20"/>
                                  <w:spacing w:val="-2"/>
                                  <w:sz w:val="15"/>
                                </w:rPr>
                                <w:t>Interstitial</w:t>
                              </w:r>
                              <w:r>
                                <w:rPr>
                                  <w:rFonts w:ascii="Arial MT"/>
                                  <w:color w:val="231F20"/>
                                  <w:sz w:val="15"/>
                                </w:rPr>
                                <w:t> </w:t>
                              </w:r>
                              <w:r>
                                <w:rPr>
                                  <w:rFonts w:ascii="Arial MT"/>
                                  <w:color w:val="231F20"/>
                                  <w:spacing w:val="-2"/>
                                  <w:sz w:val="15"/>
                                </w:rPr>
                                <w:t>cystitis</w:t>
                              </w:r>
                            </w:p>
                          </w:txbxContent>
                        </wps:txbx>
                        <wps:bodyPr wrap="square" lIns="0" tIns="0" rIns="0" bIns="0" rtlCol="0">
                          <a:noAutofit/>
                        </wps:bodyPr>
                      </wps:wsp>
                      <wps:wsp>
                        <wps:cNvPr id="1149" name="Textbox 1149"/>
                        <wps:cNvSpPr txBox="1"/>
                        <wps:spPr>
                          <a:xfrm>
                            <a:off x="2873912" y="1441275"/>
                            <a:ext cx="899160" cy="496570"/>
                          </a:xfrm>
                          <a:prstGeom prst="rect">
                            <a:avLst/>
                          </a:prstGeom>
                          <a:solidFill>
                            <a:srgbClr val="D7EDDD"/>
                          </a:solidFill>
                          <a:ln w="11849">
                            <a:solidFill>
                              <a:srgbClr val="231F20"/>
                            </a:solidFill>
                            <a:prstDash val="solid"/>
                          </a:ln>
                        </wps:spPr>
                        <wps:txbx>
                          <w:txbxContent>
                            <w:p>
                              <w:pPr>
                                <w:spacing w:line="268" w:lineRule="auto" w:before="103"/>
                                <w:ind w:left="4" w:right="3" w:firstLine="0"/>
                                <w:jc w:val="center"/>
                                <w:rPr>
                                  <w:rFonts w:ascii="Arial MT"/>
                                  <w:color w:val="000000"/>
                                  <w:sz w:val="15"/>
                                </w:rPr>
                              </w:pPr>
                              <w:r>
                                <w:rPr>
                                  <w:rFonts w:ascii="Arial MT"/>
                                  <w:color w:val="231F20"/>
                                  <w:spacing w:val="-2"/>
                                  <w:sz w:val="15"/>
                                </w:rPr>
                                <w:t>Multiple</w:t>
                              </w:r>
                              <w:r>
                                <w:rPr>
                                  <w:rFonts w:ascii="Arial MT"/>
                                  <w:color w:val="231F20"/>
                                  <w:spacing w:val="-9"/>
                                  <w:sz w:val="15"/>
                                </w:rPr>
                                <w:t> </w:t>
                              </w:r>
                              <w:r>
                                <w:rPr>
                                  <w:rFonts w:ascii="Arial MT"/>
                                  <w:color w:val="231F20"/>
                                  <w:spacing w:val="-2"/>
                                  <w:sz w:val="15"/>
                                </w:rPr>
                                <w:t>system</w:t>
                              </w:r>
                              <w:r>
                                <w:rPr>
                                  <w:rFonts w:ascii="Arial MT"/>
                                  <w:color w:val="231F20"/>
                                  <w:sz w:val="15"/>
                                </w:rPr>
                                <w:t> </w:t>
                              </w:r>
                              <w:r>
                                <w:rPr>
                                  <w:rFonts w:ascii="Arial MT"/>
                                  <w:color w:val="231F20"/>
                                  <w:spacing w:val="-2"/>
                                  <w:sz w:val="15"/>
                                </w:rPr>
                                <w:t>atrophy</w:t>
                              </w:r>
                            </w:p>
                            <w:p>
                              <w:pPr>
                                <w:spacing w:line="172" w:lineRule="exact" w:before="0"/>
                                <w:ind w:left="4" w:right="0" w:firstLine="0"/>
                                <w:jc w:val="center"/>
                                <w:rPr>
                                  <w:rFonts w:ascii="Arial MT"/>
                                  <w:color w:val="000000"/>
                                  <w:sz w:val="15"/>
                                </w:rPr>
                              </w:pPr>
                              <w:r>
                                <w:rPr>
                                  <w:rFonts w:ascii="Arial MT"/>
                                  <w:color w:val="231F20"/>
                                  <w:spacing w:val="-2"/>
                                  <w:sz w:val="15"/>
                                </w:rPr>
                                <w:t>Shy-Drager</w:t>
                              </w:r>
                            </w:p>
                          </w:txbxContent>
                        </wps:txbx>
                        <wps:bodyPr wrap="square" lIns="0" tIns="0" rIns="0" bIns="0" rtlCol="0">
                          <a:noAutofit/>
                        </wps:bodyPr>
                      </wps:wsp>
                      <wps:wsp>
                        <wps:cNvPr id="1150" name="Textbox 1150"/>
                        <wps:cNvSpPr txBox="1"/>
                        <wps:spPr>
                          <a:xfrm>
                            <a:off x="4866708" y="1203604"/>
                            <a:ext cx="561340" cy="372110"/>
                          </a:xfrm>
                          <a:prstGeom prst="rect">
                            <a:avLst/>
                          </a:prstGeom>
                          <a:solidFill>
                            <a:srgbClr val="D7EDDD"/>
                          </a:solidFill>
                          <a:ln w="11849">
                            <a:solidFill>
                              <a:srgbClr val="231F20"/>
                            </a:solidFill>
                            <a:prstDash val="solid"/>
                          </a:ln>
                        </wps:spPr>
                        <wps:txbx>
                          <w:txbxContent>
                            <w:p>
                              <w:pPr>
                                <w:spacing w:line="268" w:lineRule="auto" w:before="104"/>
                                <w:ind w:left="154" w:right="152" w:firstLine="68"/>
                                <w:jc w:val="left"/>
                                <w:rPr>
                                  <w:rFonts w:ascii="Arial MT"/>
                                  <w:color w:val="000000"/>
                                  <w:sz w:val="15"/>
                                </w:rPr>
                              </w:pPr>
                              <w:r>
                                <w:rPr>
                                  <w:rFonts w:ascii="Arial MT"/>
                                  <w:color w:val="231F20"/>
                                  <w:spacing w:val="-2"/>
                                  <w:sz w:val="15"/>
                                </w:rPr>
                                <w:t>Reflex</w:t>
                              </w:r>
                              <w:r>
                                <w:rPr>
                                  <w:rFonts w:ascii="Arial MT"/>
                                  <w:color w:val="231F20"/>
                                  <w:sz w:val="15"/>
                                </w:rPr>
                                <w:t> </w:t>
                              </w:r>
                              <w:r>
                                <w:rPr>
                                  <w:rFonts w:ascii="Arial MT"/>
                                  <w:color w:val="231F20"/>
                                  <w:spacing w:val="-2"/>
                                  <w:sz w:val="15"/>
                                </w:rPr>
                                <w:t>syncope</w:t>
                              </w:r>
                            </w:p>
                          </w:txbxContent>
                        </wps:txbx>
                        <wps:bodyPr wrap="square" lIns="0" tIns="0" rIns="0" bIns="0" rtlCol="0">
                          <a:noAutofit/>
                        </wps:bodyPr>
                      </wps:wsp>
                      <wps:wsp>
                        <wps:cNvPr id="1151" name="Textbox 1151"/>
                        <wps:cNvSpPr txBox="1"/>
                        <wps:spPr>
                          <a:xfrm>
                            <a:off x="3916178" y="1206152"/>
                            <a:ext cx="714375" cy="374015"/>
                          </a:xfrm>
                          <a:prstGeom prst="rect">
                            <a:avLst/>
                          </a:prstGeom>
                          <a:solidFill>
                            <a:srgbClr val="D7EDDD"/>
                          </a:solidFill>
                          <a:ln w="11849">
                            <a:solidFill>
                              <a:srgbClr val="231F20"/>
                            </a:solidFill>
                            <a:prstDash val="solid"/>
                          </a:ln>
                        </wps:spPr>
                        <wps:txbx>
                          <w:txbxContent>
                            <w:p>
                              <w:pPr>
                                <w:spacing w:line="268" w:lineRule="auto" w:before="103"/>
                                <w:ind w:left="173" w:right="166" w:firstLine="110"/>
                                <w:jc w:val="left"/>
                                <w:rPr>
                                  <w:rFonts w:ascii="Arial MT"/>
                                  <w:color w:val="000000"/>
                                  <w:sz w:val="15"/>
                                </w:rPr>
                              </w:pPr>
                              <w:r>
                                <w:rPr>
                                  <w:rFonts w:ascii="Arial MT"/>
                                  <w:color w:val="231F20"/>
                                  <w:spacing w:val="-2"/>
                                  <w:sz w:val="15"/>
                                </w:rPr>
                                <w:t>Postural</w:t>
                              </w:r>
                              <w:r>
                                <w:rPr>
                                  <w:rFonts w:ascii="Arial MT"/>
                                  <w:color w:val="231F20"/>
                                  <w:sz w:val="15"/>
                                </w:rPr>
                                <w:t> </w:t>
                              </w:r>
                              <w:r>
                                <w:rPr>
                                  <w:rFonts w:ascii="Arial MT"/>
                                  <w:color w:val="231F20"/>
                                  <w:spacing w:val="-2"/>
                                  <w:sz w:val="15"/>
                                </w:rPr>
                                <w:t>tachycardia</w:t>
                              </w:r>
                            </w:p>
                          </w:txbxContent>
                        </wps:txbx>
                        <wps:bodyPr wrap="square" lIns="0" tIns="0" rIns="0" bIns="0" rtlCol="0">
                          <a:noAutofit/>
                        </wps:bodyPr>
                      </wps:wsp>
                      <wps:wsp>
                        <wps:cNvPr id="1152" name="Textbox 1152"/>
                        <wps:cNvSpPr txBox="1"/>
                        <wps:spPr>
                          <a:xfrm>
                            <a:off x="1824560" y="3483600"/>
                            <a:ext cx="619760" cy="245745"/>
                          </a:xfrm>
                          <a:prstGeom prst="rect">
                            <a:avLst/>
                          </a:prstGeom>
                          <a:solidFill>
                            <a:srgbClr val="D7EDDD"/>
                          </a:solidFill>
                          <a:ln w="11849">
                            <a:solidFill>
                              <a:srgbClr val="231F20"/>
                            </a:solidFill>
                            <a:prstDash val="solid"/>
                          </a:ln>
                        </wps:spPr>
                        <wps:txbx>
                          <w:txbxContent>
                            <w:p>
                              <w:pPr>
                                <w:spacing w:before="103"/>
                                <w:ind w:left="154" w:right="0" w:firstLine="0"/>
                                <w:jc w:val="left"/>
                                <w:rPr>
                                  <w:rFonts w:ascii="Arial MT"/>
                                  <w:color w:val="000000"/>
                                  <w:sz w:val="15"/>
                                </w:rPr>
                              </w:pPr>
                              <w:r>
                                <w:rPr>
                                  <w:rFonts w:ascii="Arial MT"/>
                                  <w:color w:val="231F20"/>
                                  <w:spacing w:val="-2"/>
                                  <w:sz w:val="15"/>
                                </w:rPr>
                                <w:t>Metabolic</w:t>
                              </w:r>
                            </w:p>
                          </w:txbxContent>
                        </wps:txbx>
                        <wps:bodyPr wrap="square" lIns="0" tIns="0" rIns="0" bIns="0" rtlCol="0">
                          <a:noAutofit/>
                        </wps:bodyPr>
                      </wps:wsp>
                      <wps:wsp>
                        <wps:cNvPr id="1153" name="Textbox 1153"/>
                        <wps:cNvSpPr txBox="1"/>
                        <wps:spPr>
                          <a:xfrm>
                            <a:off x="1824560" y="3158897"/>
                            <a:ext cx="541020" cy="245745"/>
                          </a:xfrm>
                          <a:prstGeom prst="rect">
                            <a:avLst/>
                          </a:prstGeom>
                          <a:solidFill>
                            <a:srgbClr val="D7EDDD"/>
                          </a:solidFill>
                          <a:ln w="11849">
                            <a:solidFill>
                              <a:srgbClr val="231F20"/>
                            </a:solidFill>
                            <a:prstDash val="solid"/>
                          </a:ln>
                        </wps:spPr>
                        <wps:txbx>
                          <w:txbxContent>
                            <w:p>
                              <w:pPr>
                                <w:spacing w:before="103"/>
                                <w:ind w:left="142" w:right="0" w:firstLine="0"/>
                                <w:jc w:val="left"/>
                                <w:rPr>
                                  <w:rFonts w:ascii="Arial MT"/>
                                  <w:color w:val="000000"/>
                                  <w:sz w:val="15"/>
                                </w:rPr>
                              </w:pPr>
                              <w:r>
                                <w:rPr>
                                  <w:rFonts w:ascii="Arial MT"/>
                                  <w:color w:val="231F20"/>
                                  <w:spacing w:val="-2"/>
                                  <w:sz w:val="15"/>
                                </w:rPr>
                                <w:t>Immune</w:t>
                              </w:r>
                            </w:p>
                          </w:txbxContent>
                        </wps:txbx>
                        <wps:bodyPr wrap="square" lIns="0" tIns="0" rIns="0" bIns="0" rtlCol="0">
                          <a:noAutofit/>
                        </wps:bodyPr>
                      </wps:wsp>
                      <wps:wsp>
                        <wps:cNvPr id="1154" name="Textbox 1154"/>
                        <wps:cNvSpPr txBox="1"/>
                        <wps:spPr>
                          <a:xfrm>
                            <a:off x="1830153" y="1745408"/>
                            <a:ext cx="659765" cy="490855"/>
                          </a:xfrm>
                          <a:prstGeom prst="rect">
                            <a:avLst/>
                          </a:prstGeom>
                          <a:solidFill>
                            <a:srgbClr val="D7EDDD"/>
                          </a:solidFill>
                          <a:ln w="11849">
                            <a:solidFill>
                              <a:srgbClr val="231F20"/>
                            </a:solidFill>
                            <a:prstDash val="solid"/>
                          </a:ln>
                        </wps:spPr>
                        <wps:txbx>
                          <w:txbxContent>
                            <w:p>
                              <w:pPr>
                                <w:spacing w:line="268" w:lineRule="auto" w:before="104"/>
                                <w:ind w:left="163" w:right="164" w:firstLine="0"/>
                                <w:jc w:val="center"/>
                                <w:rPr>
                                  <w:rFonts w:ascii="Arial MT"/>
                                  <w:color w:val="000000"/>
                                  <w:sz w:val="15"/>
                                </w:rPr>
                              </w:pPr>
                              <w:r>
                                <w:rPr>
                                  <w:rFonts w:ascii="Arial MT"/>
                                  <w:color w:val="231F20"/>
                                  <w:spacing w:val="-4"/>
                                  <w:sz w:val="15"/>
                                </w:rPr>
                                <w:t>Pure</w:t>
                              </w:r>
                              <w:r>
                                <w:rPr>
                                  <w:rFonts w:ascii="Arial MT"/>
                                  <w:color w:val="231F20"/>
                                  <w:sz w:val="15"/>
                                </w:rPr>
                                <w:t> </w:t>
                              </w:r>
                              <w:r>
                                <w:rPr>
                                  <w:rFonts w:ascii="Arial MT"/>
                                  <w:color w:val="231F20"/>
                                  <w:spacing w:val="-2"/>
                                  <w:sz w:val="15"/>
                                </w:rPr>
                                <w:t>autonomic</w:t>
                              </w:r>
                              <w:r>
                                <w:rPr>
                                  <w:rFonts w:ascii="Arial MT"/>
                                  <w:color w:val="231F20"/>
                                  <w:sz w:val="15"/>
                                </w:rPr>
                                <w:t> </w:t>
                              </w:r>
                              <w:r>
                                <w:rPr>
                                  <w:rFonts w:ascii="Arial MT"/>
                                  <w:color w:val="231F20"/>
                                  <w:spacing w:val="-2"/>
                                  <w:sz w:val="15"/>
                                </w:rPr>
                                <w:t>failure</w:t>
                              </w:r>
                            </w:p>
                          </w:txbxContent>
                        </wps:txbx>
                        <wps:bodyPr wrap="square" lIns="0" tIns="0" rIns="0" bIns="0" rtlCol="0">
                          <a:noAutofit/>
                        </wps:bodyPr>
                      </wps:wsp>
                    </wpg:wgp>
                  </a:graphicData>
                </a:graphic>
              </wp:anchor>
            </w:drawing>
          </mc:Choice>
          <mc:Fallback>
            <w:pict>
              <v:group style="position:absolute;margin-left:79.612183pt;margin-top:9.754407pt;width:452.6pt;height:323.350pt;mso-position-horizontal-relative:page;mso-position-vertical-relative:paragraph;z-index:-15650304;mso-wrap-distance-left:0;mso-wrap-distance-right:0" id="docshapegroup849" coordorigin="1592,195" coordsize="9052,6467">
                <v:shape style="position:absolute;left:4735;top:2539;width:1182;height:1280" id="docshape850" coordorigin="4735,2540" coordsize="1182,1280" path="m4735,2540l5652,2540,5679,2543,5679,3801,5679,3819,5917,3819e" filled="false" stroked="true" strokeweight=".933007pt" strokecolor="#231f20">
                  <v:path arrowok="t"/>
                  <v:stroke dashstyle="dash"/>
                </v:shape>
                <v:rect style="position:absolute;left:4349;top:950;width:973;height:389" id="docshape851" filled="true" fillcolor="#d7eddd" stroked="false">
                  <v:fill type="solid"/>
                </v:rect>
                <v:rect style="position:absolute;left:4349;top:950;width:973;height:389" id="docshape852" filled="false" stroked="true" strokeweight=".933007pt" strokecolor="#231f20">
                  <v:stroke dashstyle="solid"/>
                </v:rect>
                <v:rect style="position:absolute;left:3059;top:1694;width:1005;height:391" id="docshape853" filled="true" fillcolor="#d7eddd" stroked="false">
                  <v:fill type="solid"/>
                </v:rect>
                <v:rect style="position:absolute;left:3059;top:1694;width:1005;height:391" id="docshape854" filled="false" stroked="true" strokeweight=".933007pt" strokecolor="#231f20">
                  <v:stroke dashstyle="solid"/>
                </v:rect>
                <v:rect style="position:absolute;left:2439;top:2349;width:847;height:388" id="docshape855" filled="true" fillcolor="#d7eddd" stroked="false">
                  <v:fill type="solid"/>
                </v:rect>
                <v:rect style="position:absolute;left:2439;top:2349;width:847;height:388" id="docshape856" filled="false" stroked="true" strokeweight=".933007pt" strokecolor="#231f20">
                  <v:stroke dashstyle="solid"/>
                </v:rect>
                <v:rect style="position:absolute;left:1601;top:3048;width:1017;height:581" id="docshape857" filled="true" fillcolor="#d7eddd" stroked="false">
                  <v:fill type="solid"/>
                </v:rect>
                <v:rect style="position:absolute;left:1601;top:3048;width:1017;height:581" id="docshape858" filled="false" stroked="true" strokeweight=".933007pt" strokecolor="#231f20">
                  <v:stroke dashstyle="solid"/>
                </v:rect>
                <v:rect style="position:absolute;left:2185;top:4022;width:1366;height:782" id="docshape859" filled="true" fillcolor="#d7eddd" stroked="false">
                  <v:fill type="solid"/>
                </v:rect>
                <v:rect style="position:absolute;left:2185;top:4022;width:1366;height:782" id="docshape860" filled="false" stroked="true" strokeweight=".933007pt" strokecolor="#231f20">
                  <v:stroke dashstyle="solid"/>
                </v:rect>
                <v:rect style="position:absolute;left:8560;top:950;width:1022;height:387" id="docshape861" filled="true" fillcolor="#d7eddd" stroked="false">
                  <v:fill type="solid"/>
                </v:rect>
                <v:rect style="position:absolute;left:8560;top:950;width:1022;height:387" id="docshape862" filled="false" stroked="true" strokeweight=".933007pt" strokecolor="#231f20">
                  <v:stroke dashstyle="solid"/>
                </v:rect>
                <v:rect style="position:absolute;left:5515;top:1694;width:789;height:389" id="docshape863" filled="true" fillcolor="#d7eddd" stroked="false">
                  <v:fill type="solid"/>
                </v:rect>
                <v:rect style="position:absolute;left:5515;top:1694;width:789;height:389" id="docshape864" filled="false" stroked="true" strokeweight=".933007pt" strokecolor="#231f20">
                  <v:stroke dashstyle="solid"/>
                </v:rect>
                <v:rect style="position:absolute;left:3744;top:4022;width:1096;height:586" id="docshape865" filled="true" fillcolor="#d7eddd" stroked="false">
                  <v:fill type="solid"/>
                </v:rect>
                <v:rect style="position:absolute;left:3744;top:4022;width:1096;height:586" id="docshape866" filled="false" stroked="true" strokeweight=".933007pt" strokecolor="#231f20">
                  <v:stroke dashstyle="solid"/>
                </v:rect>
                <v:shape style="position:absolute;left:4836;top:723;width:4234;height:125" id="docshape867" coordorigin="4836,723" coordsize="4234,125" path="m4836,848l4836,723,9070,723,9070,845e" filled="false" stroked="true" strokeweight=".933007pt" strokecolor="#231f20">
                  <v:path arrowok="t"/>
                  <v:stroke dashstyle="solid"/>
                </v:shape>
                <v:shape style="position:absolute;left:4775;top:801;width:4356;height:153" id="docshape868" coordorigin="4776,802" coordsize="4356,153" path="m4897,805l4836,841,4776,805,4836,954,4897,805xm9131,802l9070,837,9010,802,9070,950,9131,802xe" filled="true" fillcolor="#231f20" stroked="false">
                  <v:path arrowok="t"/>
                  <v:fill type="solid"/>
                </v:shape>
                <v:shape style="position:absolute;left:3558;top:595;width:3302;height:998" id="docshape869" coordorigin="3559,595" coordsize="3302,998" path="m6860,595l6860,718m3559,1592l3559,1467,5931,1467,5931,1589e" filled="false" stroked="true" strokeweight=".933007pt" strokecolor="#231f20">
                  <v:path arrowok="t"/>
                  <v:stroke dashstyle="solid"/>
                </v:shape>
                <v:shape style="position:absolute;left:3497;top:1545;width:2494;height:153" id="docshape870" coordorigin="3498,1546" coordsize="2494,153" path="m3619,1549l3559,1584,3498,1549,3559,1698,3619,1549xm5992,1546l5931,1581,5870,1546,5931,1694,5992,1546xe" filled="true" fillcolor="#231f20" stroked="false">
                  <v:path arrowok="t"/>
                  <v:fill type="solid"/>
                </v:shape>
                <v:shape style="position:absolute;left:2731;top:1338;width:2107;height:2002" id="docshape871" coordorigin="2732,1339" coordsize="2107,2002" path="m4838,1339l4838,1461m2863,3340l2732,3340e" filled="false" stroked="true" strokeweight=".933007pt" strokecolor="#231f20">
                  <v:path arrowok="t"/>
                  <v:stroke dashstyle="solid"/>
                </v:shape>
                <v:shape style="position:absolute;left:2626;top:3279;width:149;height:122" id="docshape872" coordorigin="2627,3279" coordsize="149,122" path="m2775,3279l2627,3340,2775,3401,2740,3340,2775,3279xe" filled="true" fillcolor="#231f20" stroked="false">
                  <v:path arrowok="t"/>
                  <v:fill type="solid"/>
                </v:shape>
                <v:line style="position:absolute" from="2863,2737" to="2863,3917" stroked="true" strokeweight=".933007pt" strokecolor="#231f20">
                  <v:stroke dashstyle="solid"/>
                </v:line>
                <v:shape style="position:absolute;left:2802;top:3874;width:122;height:149" id="docshape873" coordorigin="2802,3874" coordsize="122,149" path="m2924,3874l2863,3909,2802,3874,2863,4023,2924,3874xe" filled="true" fillcolor="#231f20" stroked="false">
                  <v:path arrowok="t"/>
                  <v:fill type="solid"/>
                </v:shape>
                <v:line style="position:absolute" from="4279,3340" to="4369,3340" stroked="true" strokeweight=".933007pt" strokecolor="#231f20">
                  <v:stroke dashstyle="solid"/>
                </v:line>
                <v:shape style="position:absolute;left:4325;top:3279;width:149;height:122" id="docshape874" coordorigin="4326,3279" coordsize="149,122" path="m4326,3279l4361,3340,4326,3401,4474,3340,4326,3279xe" filled="true" fillcolor="#231f20" stroked="false">
                  <v:path arrowok="t"/>
                  <v:fill type="solid"/>
                </v:shape>
                <v:line style="position:absolute" from="5920,5426" to="6009,5426" stroked="true" strokeweight=".933007pt" strokecolor="#231f20">
                  <v:stroke dashstyle="solid"/>
                </v:line>
                <v:shape style="position:absolute;left:5966;top:5365;width:149;height:122" id="docshape875" coordorigin="5966,5366" coordsize="149,122" path="m5966,5366l6002,5426,5966,5487,6115,5426,5966,5366xe" filled="true" fillcolor="#231f20" stroked="false">
                  <v:path arrowok="t"/>
                  <v:fill type="solid"/>
                </v:shape>
                <v:line style="position:absolute" from="5920,4611" to="6009,4611" stroked="true" strokeweight=".933007pt" strokecolor="#231f20">
                  <v:stroke dashstyle="solid"/>
                </v:line>
                <v:shape style="position:absolute;left:5966;top:4550;width:149;height:122" id="docshape876" coordorigin="5966,4550" coordsize="149,122" path="m5966,4550l6002,4611,5966,4672,6115,4611,5966,4550xe" filled="true" fillcolor="#231f20" stroked="false">
                  <v:path arrowok="t"/>
                  <v:fill type="solid"/>
                </v:shape>
                <v:line style="position:absolute" from="5920,3819" to="6009,3819" stroked="true" strokeweight=".933007pt" strokecolor="#231f20">
                  <v:stroke dashstyle="solid"/>
                </v:line>
                <v:shape style="position:absolute;left:5966;top:3758;width:149;height:122" id="docshape877" coordorigin="5966,3759" coordsize="149,122" path="m5966,3759l6002,3819,5966,3880,6115,3819,5966,3759xe" filled="true" fillcolor="#231f20" stroked="false">
                  <v:path arrowok="t"/>
                  <v:fill type="solid"/>
                </v:shape>
                <v:line style="position:absolute" from="5920,2856" to="6009,2856" stroked="true" strokeweight=".933007pt" strokecolor="#231f20">
                  <v:stroke dashstyle="solid"/>
                </v:line>
                <v:shape style="position:absolute;left:5966;top:2794;width:149;height:122" id="docshape878" coordorigin="5966,2795" coordsize="149,122" path="m5966,2795l6002,2856,5966,2916,6115,2856,5966,2795xe" filled="true" fillcolor="#231f20" stroked="false">
                  <v:path arrowok="t"/>
                  <v:fill type="solid"/>
                </v:shape>
                <v:line style="position:absolute" from="4279,2737" to="4279,3917" stroked="true" strokeweight=".933007pt" strokecolor="#231f20">
                  <v:stroke dashstyle="solid"/>
                </v:line>
                <v:shape style="position:absolute;left:4218;top:3874;width:122;height:149" id="docshape879" coordorigin="4219,3874" coordsize="122,149" path="m4340,3874l4279,3909,4219,3874,4279,4023,4340,3874xe" filled="true" fillcolor="#231f20" stroked="false">
                  <v:path arrowok="t"/>
                  <v:fill type="solid"/>
                </v:shape>
                <v:shape style="position:absolute;left:5916;top:2082;width:96;height:4228" id="docshape880" coordorigin="5917,2083" coordsize="96,4228" path="m5917,2083l5917,6310,6013,6310e" filled="false" stroked="true" strokeweight=".933007pt" strokecolor="#231f20">
                  <v:path arrowok="t"/>
                  <v:stroke dashstyle="solid"/>
                </v:shape>
                <v:shape style="position:absolute;left:5969;top:6249;width:149;height:122" id="docshape881" coordorigin="5970,6250" coordsize="149,122" path="m5970,6250l6005,6310,5970,6371,6118,6310,5970,6250xe" filled="true" fillcolor="#231f20" stroked="false">
                  <v:path arrowok="t"/>
                  <v:fill type="solid"/>
                </v:shape>
                <v:shape style="position:absolute;left:3286;top:2479;width:582;height:122" type="#_x0000_t75" id="docshape882" stroked="false">
                  <v:imagedata r:id="rId312" o:title=""/>
                </v:shape>
                <v:line style="position:absolute" from="3559,2540" to="3559,2091" stroked="true" strokeweight=".933007pt" strokecolor="#231f20">
                  <v:stroke dashstyle="solid"/>
                </v:line>
                <v:shape style="position:absolute;left:8874;top:6287;width:396;height:122" type="#_x0000_t75" id="docshape883" stroked="false">
                  <v:imagedata r:id="rId313" o:title=""/>
                </v:shape>
                <v:shape style="position:absolute;left:8874;top:5516;width:396;height:122" type="#_x0000_t75" id="docshape884" stroked="false">
                  <v:imagedata r:id="rId314" o:title=""/>
                </v:shape>
                <v:shape style="position:absolute;left:8874;top:4729;width:396;height:122" type="#_x0000_t75" id="docshape885" stroked="false">
                  <v:imagedata r:id="rId313" o:title=""/>
                </v:shape>
                <v:shape style="position:absolute;left:8874;top:3954;width:396;height:122" type="#_x0000_t75" id="docshape886" stroked="false">
                  <v:imagedata r:id="rId313" o:title=""/>
                </v:shape>
                <v:shape style="position:absolute;left:8874;top:3200;width:396;height:122" type="#_x0000_t75" id="docshape887" stroked="false">
                  <v:imagedata r:id="rId313" o:title=""/>
                </v:shape>
                <v:shape style="position:absolute;left:8874;top:2322;width:396;height:122" type="#_x0000_t75" id="docshape888" stroked="false">
                  <v:imagedata r:id="rId313" o:title=""/>
                </v:shape>
                <v:line style="position:absolute" from="9072,6349" to="9072,1337" stroked="true" strokeweight=".933007pt" strokecolor="#231f20">
                  <v:stroke dashstyle="solid"/>
                </v:line>
                <v:shape style="position:absolute;left:4090;top:6332;width:378;height:122" type="#_x0000_t75" id="docshape889" stroked="false">
                  <v:imagedata r:id="rId315" o:title=""/>
                </v:shape>
                <v:shape style="position:absolute;left:4090;top:5823;width:378;height:122" type="#_x0000_t75" id="docshape890" stroked="false">
                  <v:imagedata r:id="rId316" o:title=""/>
                </v:shape>
                <v:shape style="position:absolute;left:4090;top:5302;width:378;height:122" type="#_x0000_t75" id="docshape891" stroked="false">
                  <v:imagedata r:id="rId315" o:title=""/>
                </v:shape>
                <v:line style="position:absolute" from="4279,6393" to="4279,4608" stroked="true" strokeweight=".933007pt" strokecolor="#231f20">
                  <v:stroke dashstyle="solid"/>
                </v:line>
                <v:shape style="position:absolute;left:4518;top:1091;width:659;height:150" type="#_x0000_t202" id="docshape892"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Structural</w:t>
                        </w:r>
                      </w:p>
                    </w:txbxContent>
                  </v:textbox>
                  <w10:wrap type="none"/>
                </v:shape>
                <v:shape style="position:absolute;left:8725;top:1089;width:709;height:150" type="#_x0000_t202" id="docshape893"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Functional</w:t>
                        </w:r>
                      </w:p>
                    </w:txbxContent>
                  </v:textbox>
                  <w10:wrap type="none"/>
                </v:shape>
                <v:shape style="position:absolute;left:3223;top:1833;width:701;height:150" type="#_x0000_t202" id="docshape894"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Peripheral</w:t>
                        </w:r>
                      </w:p>
                    </w:txbxContent>
                  </v:textbox>
                  <w10:wrap type="none"/>
                </v:shape>
                <v:shape style="position:absolute;left:5672;top:1834;width:502;height:150" type="#_x0000_t202" id="docshape895"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Central</w:t>
                        </w:r>
                      </w:p>
                    </w:txbxContent>
                  </v:textbox>
                  <w10:wrap type="none"/>
                </v:shape>
                <v:shape style="position:absolute;left:2604;top:2489;width:541;height:150" type="#_x0000_t202" id="docshape896"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Afferent</w:t>
                        </w:r>
                      </w:p>
                    </w:txbxContent>
                  </v:textbox>
                  <w10:wrap type="none"/>
                </v:shape>
                <v:shape style="position:absolute;left:1767;top:3188;width:701;height:343" type="#_x0000_t202" id="docshape897" filled="false" stroked="false">
                  <v:textbox inset="0,0,0,0">
                    <w:txbxContent>
                      <w:p>
                        <w:pPr>
                          <w:spacing w:line="147" w:lineRule="exact" w:before="0"/>
                          <w:ind w:left="-1" w:right="18" w:firstLine="0"/>
                          <w:jc w:val="center"/>
                          <w:rPr>
                            <w:rFonts w:ascii="Arial MT"/>
                            <w:sz w:val="15"/>
                          </w:rPr>
                        </w:pPr>
                        <w:r>
                          <w:rPr>
                            <w:rFonts w:ascii="Arial MT"/>
                            <w:color w:val="231F20"/>
                            <w:spacing w:val="-2"/>
                            <w:sz w:val="15"/>
                          </w:rPr>
                          <w:t>Baroreflex</w:t>
                        </w:r>
                      </w:p>
                      <w:p>
                        <w:pPr>
                          <w:spacing w:before="20"/>
                          <w:ind w:left="0" w:right="18" w:firstLine="0"/>
                          <w:jc w:val="center"/>
                          <w:rPr>
                            <w:rFonts w:ascii="Arial MT"/>
                            <w:sz w:val="15"/>
                          </w:rPr>
                        </w:pPr>
                        <w:r>
                          <w:rPr>
                            <w:rFonts w:ascii="Arial MT"/>
                            <w:color w:val="231F20"/>
                            <w:spacing w:val="-2"/>
                            <w:sz w:val="15"/>
                          </w:rPr>
                          <w:t>failure</w:t>
                        </w:r>
                      </w:p>
                    </w:txbxContent>
                  </v:textbox>
                  <w10:wrap type="none"/>
                </v:shape>
                <v:shape style="position:absolute;left:2383;top:4163;width:1000;height:536" type="#_x0000_t202" id="docshape898" filled="false" stroked="false">
                  <v:textbox inset="0,0,0,0">
                    <w:txbxContent>
                      <w:p>
                        <w:pPr>
                          <w:spacing w:line="147" w:lineRule="exact" w:before="0"/>
                          <w:ind w:left="0" w:right="18" w:firstLine="0"/>
                          <w:jc w:val="center"/>
                          <w:rPr>
                            <w:rFonts w:ascii="Arial MT"/>
                            <w:sz w:val="15"/>
                          </w:rPr>
                        </w:pPr>
                        <w:r>
                          <w:rPr>
                            <w:rFonts w:ascii="Arial MT"/>
                            <w:color w:val="231F20"/>
                            <w:sz w:val="15"/>
                          </w:rPr>
                          <w:t>HSAN</w:t>
                        </w:r>
                        <w:r>
                          <w:rPr>
                            <w:rFonts w:ascii="Arial MT"/>
                            <w:color w:val="231F20"/>
                            <w:spacing w:val="-9"/>
                            <w:sz w:val="15"/>
                          </w:rPr>
                          <w:t> </w:t>
                        </w:r>
                        <w:r>
                          <w:rPr>
                            <w:rFonts w:ascii="Arial MT"/>
                            <w:color w:val="231F20"/>
                            <w:spacing w:val="-5"/>
                            <w:sz w:val="15"/>
                          </w:rPr>
                          <w:t>III</w:t>
                        </w:r>
                      </w:p>
                      <w:p>
                        <w:pPr>
                          <w:spacing w:line="268" w:lineRule="auto" w:before="2"/>
                          <w:ind w:left="-1" w:right="18" w:firstLine="4"/>
                          <w:jc w:val="center"/>
                          <w:rPr>
                            <w:rFonts w:ascii="Arial MT"/>
                            <w:sz w:val="15"/>
                          </w:rPr>
                        </w:pPr>
                        <w:r>
                          <w:rPr>
                            <w:rFonts w:ascii="Arial MT"/>
                            <w:color w:val="231F20"/>
                            <w:spacing w:val="-2"/>
                            <w:sz w:val="15"/>
                          </w:rPr>
                          <w:t>(familial</w:t>
                        </w:r>
                        <w:r>
                          <w:rPr>
                            <w:rFonts w:ascii="Arial MT"/>
                            <w:color w:val="231F20"/>
                            <w:sz w:val="15"/>
                          </w:rPr>
                          <w:t> </w:t>
                        </w:r>
                        <w:r>
                          <w:rPr>
                            <w:rFonts w:ascii="Arial MT"/>
                            <w:color w:val="231F20"/>
                            <w:spacing w:val="-2"/>
                            <w:sz w:val="15"/>
                          </w:rPr>
                          <w:t>dysautonomia)</w:t>
                        </w:r>
                      </w:p>
                    </w:txbxContent>
                  </v:textbox>
                  <w10:wrap type="none"/>
                </v:shape>
                <v:shape style="position:absolute;left:3916;top:4163;width:768;height:343" type="#_x0000_t202" id="docshape899" filled="false" stroked="false">
                  <v:textbox inset="0,0,0,0">
                    <w:txbxContent>
                      <w:p>
                        <w:pPr>
                          <w:spacing w:line="147" w:lineRule="exact" w:before="0"/>
                          <w:ind w:left="18" w:right="0" w:firstLine="0"/>
                          <w:jc w:val="left"/>
                          <w:rPr>
                            <w:rFonts w:ascii="Arial MT"/>
                            <w:sz w:val="15"/>
                          </w:rPr>
                        </w:pPr>
                        <w:r>
                          <w:rPr>
                            <w:rFonts w:ascii="Arial MT"/>
                            <w:color w:val="231F20"/>
                            <w:sz w:val="15"/>
                          </w:rPr>
                          <w:t>Small</w:t>
                        </w:r>
                        <w:r>
                          <w:rPr>
                            <w:rFonts w:ascii="Arial MT"/>
                            <w:color w:val="231F20"/>
                            <w:spacing w:val="-9"/>
                            <w:sz w:val="15"/>
                          </w:rPr>
                          <w:t> </w:t>
                        </w:r>
                        <w:r>
                          <w:rPr>
                            <w:rFonts w:ascii="Arial MT"/>
                            <w:color w:val="231F20"/>
                            <w:spacing w:val="-2"/>
                            <w:sz w:val="15"/>
                          </w:rPr>
                          <w:t>fiber</w:t>
                        </w:r>
                      </w:p>
                      <w:p>
                        <w:pPr>
                          <w:spacing w:before="20"/>
                          <w:ind w:left="0" w:right="0" w:firstLine="0"/>
                          <w:jc w:val="left"/>
                          <w:rPr>
                            <w:rFonts w:ascii="Arial MT"/>
                            <w:sz w:val="15"/>
                          </w:rPr>
                        </w:pPr>
                        <w:r>
                          <w:rPr>
                            <w:rFonts w:ascii="Arial MT"/>
                            <w:color w:val="231F20"/>
                            <w:spacing w:val="-2"/>
                            <w:sz w:val="15"/>
                          </w:rPr>
                          <w:t>neuropathy</w:t>
                        </w:r>
                      </w:p>
                    </w:txbxContent>
                  </v:textbox>
                  <w10:wrap type="none"/>
                </v:shape>
                <v:shape style="position:absolute;left:3868;top:2349;width:834;height:388" type="#_x0000_t202" id="docshape900" filled="true" fillcolor="#d7eddd" stroked="true" strokeweight=".933007pt" strokecolor="#231f20">
                  <v:textbox inset="0,0,0,0">
                    <w:txbxContent>
                      <w:p>
                        <w:pPr>
                          <w:spacing w:before="104"/>
                          <w:ind w:left="142" w:right="0" w:firstLine="0"/>
                          <w:jc w:val="left"/>
                          <w:rPr>
                            <w:rFonts w:ascii="Arial MT"/>
                            <w:color w:val="000000"/>
                            <w:sz w:val="15"/>
                          </w:rPr>
                        </w:pPr>
                        <w:r>
                          <w:rPr>
                            <w:rFonts w:ascii="Arial MT"/>
                            <w:color w:val="231F20"/>
                            <w:spacing w:val="-2"/>
                            <w:sz w:val="15"/>
                          </w:rPr>
                          <w:t>Efferent</w:t>
                        </w:r>
                      </w:p>
                    </w:txbxContent>
                  </v:textbox>
                  <v:fill type="solid"/>
                  <v:stroke dashstyle="solid"/>
                  <w10:wrap type="none"/>
                </v:shape>
                <v:shape style="position:absolute;left:6192;top:204;width:1336;height:391" type="#_x0000_t202" id="docshape901" filled="true" fillcolor="#d7eddd" stroked="true" strokeweight=".933007pt" strokecolor="#231f20">
                  <v:textbox inset="0,0,0,0">
                    <w:txbxContent>
                      <w:p>
                        <w:pPr>
                          <w:spacing w:before="103"/>
                          <w:ind w:left="175" w:right="0" w:firstLine="0"/>
                          <w:jc w:val="left"/>
                          <w:rPr>
                            <w:rFonts w:ascii="Arial MT"/>
                            <w:color w:val="000000"/>
                            <w:sz w:val="15"/>
                          </w:rPr>
                        </w:pPr>
                        <w:r>
                          <w:rPr>
                            <w:rFonts w:ascii="Arial MT"/>
                            <w:color w:val="231F20"/>
                            <w:spacing w:val="-2"/>
                            <w:sz w:val="15"/>
                          </w:rPr>
                          <w:t>Dysautonomia</w:t>
                        </w:r>
                      </w:p>
                    </w:txbxContent>
                  </v:textbox>
                  <v:fill type="solid"/>
                  <v:stroke dashstyle="solid"/>
                  <w10:wrap type="none"/>
                </v:shape>
                <v:shape style="position:absolute;left:4465;top:6199;width:1256;height:387" type="#_x0000_t202" id="docshape902" filled="true" fillcolor="#d7eddd" stroked="true" strokeweight=".933007pt" strokecolor="#231f20">
                  <v:textbox inset="0,0,0,0">
                    <w:txbxContent>
                      <w:p>
                        <w:pPr>
                          <w:spacing w:before="103"/>
                          <w:ind w:left="173" w:right="0" w:firstLine="0"/>
                          <w:jc w:val="left"/>
                          <w:rPr>
                            <w:rFonts w:ascii="Arial MT"/>
                            <w:color w:val="000000"/>
                            <w:sz w:val="15"/>
                          </w:rPr>
                        </w:pPr>
                        <w:r>
                          <w:rPr>
                            <w:rFonts w:ascii="Arial MT"/>
                            <w:color w:val="231F20"/>
                            <w:spacing w:val="-2"/>
                            <w:sz w:val="15"/>
                          </w:rPr>
                          <w:t>Mitochondrial</w:t>
                        </w:r>
                      </w:p>
                    </w:txbxContent>
                  </v:textbox>
                  <v:fill type="solid"/>
                  <v:stroke dashstyle="solid"/>
                  <w10:wrap type="none"/>
                </v:shape>
                <v:shape style="position:absolute;left:2856;top:6197;width:1234;height:393" type="#_x0000_t202" id="docshape903" filled="true" fillcolor="#d7eddd" stroked="true" strokeweight=".933007pt" strokecolor="#231f20">
                  <v:textbox inset="0,0,0,0">
                    <w:txbxContent>
                      <w:p>
                        <w:pPr>
                          <w:spacing w:before="104"/>
                          <w:ind w:left="167" w:right="0" w:firstLine="0"/>
                          <w:jc w:val="left"/>
                          <w:rPr>
                            <w:rFonts w:ascii="Arial MT"/>
                            <w:color w:val="000000"/>
                            <w:sz w:val="15"/>
                          </w:rPr>
                        </w:pPr>
                        <w:r>
                          <w:rPr>
                            <w:rFonts w:ascii="Arial MT"/>
                            <w:color w:val="231F20"/>
                            <w:spacing w:val="-2"/>
                            <w:sz w:val="15"/>
                          </w:rPr>
                          <w:t>Inflammatory</w:t>
                        </w:r>
                      </w:p>
                    </w:txbxContent>
                  </v:textbox>
                  <v:fill type="solid"/>
                  <v:stroke dashstyle="solid"/>
                  <w10:wrap type="none"/>
                </v:shape>
                <v:shape style="position:absolute;left:9256;top:6065;width:944;height:587" type="#_x0000_t202" id="docshape904" filled="true" fillcolor="#d7eddd" stroked="true" strokeweight=".933007pt" strokecolor="#231f20">
                  <v:textbox inset="0,0,0,0">
                    <w:txbxContent>
                      <w:p>
                        <w:pPr>
                          <w:spacing w:line="268" w:lineRule="auto" w:before="105"/>
                          <w:ind w:left="178" w:right="152" w:hanging="23"/>
                          <w:jc w:val="left"/>
                          <w:rPr>
                            <w:rFonts w:ascii="Arial MT"/>
                            <w:color w:val="000000"/>
                            <w:sz w:val="15"/>
                          </w:rPr>
                        </w:pPr>
                        <w:r>
                          <w:rPr>
                            <w:rFonts w:ascii="Arial MT"/>
                            <w:color w:val="231F20"/>
                            <w:spacing w:val="-2"/>
                            <w:sz w:val="15"/>
                          </w:rPr>
                          <w:t>Syncopal</w:t>
                        </w:r>
                        <w:r>
                          <w:rPr>
                            <w:rFonts w:ascii="Arial MT"/>
                            <w:color w:val="231F20"/>
                            <w:sz w:val="15"/>
                          </w:rPr>
                          <w:t> </w:t>
                        </w:r>
                        <w:r>
                          <w:rPr>
                            <w:rFonts w:ascii="Arial MT"/>
                            <w:color w:val="231F20"/>
                            <w:spacing w:val="-2"/>
                            <w:sz w:val="15"/>
                          </w:rPr>
                          <w:t>migraine</w:t>
                        </w:r>
                      </w:p>
                    </w:txbxContent>
                  </v:textbox>
                  <v:fill type="solid"/>
                  <v:stroke dashstyle="solid"/>
                  <w10:wrap type="none"/>
                </v:shape>
                <v:shape style="position:absolute;left:7492;top:6065;width:1392;height:587" type="#_x0000_t202" id="docshape905" filled="true" fillcolor="#d7eddd" stroked="true" strokeweight=".933007pt" strokecolor="#231f20">
                  <v:textbox inset="0,0,0,0">
                    <w:txbxContent>
                      <w:p>
                        <w:pPr>
                          <w:spacing w:line="268" w:lineRule="auto" w:before="105"/>
                          <w:ind w:left="357" w:right="180" w:hanging="173"/>
                          <w:jc w:val="left"/>
                          <w:rPr>
                            <w:rFonts w:ascii="Arial MT"/>
                            <w:color w:val="000000"/>
                            <w:sz w:val="15"/>
                          </w:rPr>
                        </w:pPr>
                        <w:r>
                          <w:rPr>
                            <w:rFonts w:ascii="Arial MT"/>
                            <w:color w:val="231F20"/>
                            <w:sz w:val="15"/>
                          </w:rPr>
                          <w:t>Chronic</w:t>
                        </w:r>
                        <w:r>
                          <w:rPr>
                            <w:rFonts w:ascii="Arial MT"/>
                            <w:color w:val="231F20"/>
                            <w:spacing w:val="-11"/>
                            <w:sz w:val="15"/>
                          </w:rPr>
                          <w:t> </w:t>
                        </w:r>
                        <w:r>
                          <w:rPr>
                            <w:rFonts w:ascii="Arial MT"/>
                            <w:color w:val="231F20"/>
                            <w:sz w:val="15"/>
                          </w:rPr>
                          <w:t>fatigue </w:t>
                        </w:r>
                        <w:r>
                          <w:rPr>
                            <w:rFonts w:ascii="Arial MT"/>
                            <w:color w:val="231F20"/>
                            <w:spacing w:val="-2"/>
                            <w:sz w:val="15"/>
                          </w:rPr>
                          <w:t>syndrome</w:t>
                        </w:r>
                      </w:p>
                    </w:txbxContent>
                  </v:textbox>
                  <v:fill type="solid"/>
                  <v:stroke dashstyle="solid"/>
                  <w10:wrap type="none"/>
                </v:shape>
                <v:shape style="position:absolute;left:6118;top:6019;width:1198;height:582" type="#_x0000_t202" id="docshape906" filled="true" fillcolor="#d7eddd" stroked="true" strokeweight=".933007pt" strokecolor="#231f20">
                  <v:textbox inset="0,0,0,0">
                    <w:txbxContent>
                      <w:p>
                        <w:pPr>
                          <w:spacing w:line="268" w:lineRule="auto" w:before="105"/>
                          <w:ind w:left="216" w:right="222" w:firstLine="91"/>
                          <w:jc w:val="left"/>
                          <w:rPr>
                            <w:rFonts w:ascii="Arial MT"/>
                            <w:color w:val="000000"/>
                            <w:sz w:val="15"/>
                          </w:rPr>
                        </w:pPr>
                        <w:r>
                          <w:rPr>
                            <w:rFonts w:ascii="Arial MT"/>
                            <w:color w:val="231F20"/>
                            <w:spacing w:val="-2"/>
                            <w:sz w:val="15"/>
                          </w:rPr>
                          <w:t>Genetic:</w:t>
                        </w:r>
                        <w:r>
                          <w:rPr>
                            <w:rFonts w:ascii="Arial MT"/>
                            <w:color w:val="231F20"/>
                            <w:sz w:val="15"/>
                          </w:rPr>
                          <w:t> Rett</w:t>
                        </w:r>
                        <w:r>
                          <w:rPr>
                            <w:rFonts w:ascii="Arial MT"/>
                            <w:color w:val="231F20"/>
                            <w:spacing w:val="-4"/>
                            <w:sz w:val="15"/>
                          </w:rPr>
                          <w:t> </w:t>
                        </w:r>
                        <w:r>
                          <w:rPr>
                            <w:rFonts w:ascii="Arial MT"/>
                            <w:color w:val="231F20"/>
                            <w:spacing w:val="-4"/>
                            <w:sz w:val="15"/>
                          </w:rPr>
                          <w:t>CCHS</w:t>
                        </w:r>
                      </w:p>
                    </w:txbxContent>
                  </v:textbox>
                  <v:fill type="solid"/>
                  <v:stroke dashstyle="solid"/>
                  <w10:wrap type="none"/>
                </v:shape>
                <v:shape style="position:absolute;left:3253;top:5689;width:838;height:389" type="#_x0000_t202" id="docshape907" filled="true" fillcolor="#d7eddd" stroked="true" strokeweight=".933007pt" strokecolor="#231f20">
                  <v:textbox inset="0,0,0,0">
                    <w:txbxContent>
                      <w:p>
                        <w:pPr>
                          <w:spacing w:before="105"/>
                          <w:ind w:left="150" w:right="0" w:firstLine="0"/>
                          <w:jc w:val="left"/>
                          <w:rPr>
                            <w:rFonts w:ascii="Arial MT"/>
                            <w:color w:val="000000"/>
                            <w:sz w:val="15"/>
                          </w:rPr>
                        </w:pPr>
                        <w:r>
                          <w:rPr>
                            <w:rFonts w:ascii="Arial MT"/>
                            <w:color w:val="231F20"/>
                            <w:spacing w:val="-2"/>
                            <w:sz w:val="15"/>
                          </w:rPr>
                          <w:t>Genetic</w:t>
                        </w:r>
                      </w:p>
                    </w:txbxContent>
                  </v:textbox>
                  <v:fill type="solid"/>
                  <v:stroke dashstyle="solid"/>
                  <w10:wrap type="none"/>
                </v:shape>
                <v:shape style="position:absolute;left:7851;top:5368;width:1032;height:421" type="#_x0000_t202" id="docshape908" filled="true" fillcolor="#d7eddd" stroked="true" strokeweight=".933007pt" strokecolor="#231f20">
                  <v:textbox inset="0,0,0,0">
                    <w:txbxContent>
                      <w:p>
                        <w:pPr>
                          <w:spacing w:before="103"/>
                          <w:ind w:left="202" w:right="0" w:firstLine="0"/>
                          <w:jc w:val="left"/>
                          <w:rPr>
                            <w:rFonts w:ascii="Arial MT"/>
                            <w:color w:val="000000"/>
                            <w:sz w:val="15"/>
                          </w:rPr>
                        </w:pPr>
                        <w:r>
                          <w:rPr>
                            <w:rFonts w:ascii="Arial MT"/>
                            <w:color w:val="231F20"/>
                            <w:spacing w:val="-2"/>
                            <w:sz w:val="15"/>
                          </w:rPr>
                          <w:t>Raynaud</w:t>
                        </w:r>
                      </w:p>
                    </w:txbxContent>
                  </v:textbox>
                  <v:fill type="solid"/>
                  <v:stroke dashstyle="solid"/>
                  <w10:wrap type="none"/>
                </v:shape>
                <v:shape style="position:absolute;left:9256;top:5287;width:993;height:580" type="#_x0000_t202" id="docshape909" filled="true" fillcolor="#d7eddd" stroked="true" strokeweight=".933007pt" strokecolor="#231f20">
                  <v:textbox inset="0,0,0,0">
                    <w:txbxContent>
                      <w:p>
                        <w:pPr>
                          <w:spacing w:line="268" w:lineRule="auto" w:before="103"/>
                          <w:ind w:left="155" w:right="159" w:firstLine="43"/>
                          <w:jc w:val="left"/>
                          <w:rPr>
                            <w:rFonts w:ascii="Arial MT"/>
                            <w:color w:val="000000"/>
                            <w:sz w:val="15"/>
                          </w:rPr>
                        </w:pPr>
                        <w:r>
                          <w:rPr>
                            <w:rFonts w:ascii="Arial MT"/>
                            <w:color w:val="231F20"/>
                            <w:spacing w:val="-2"/>
                            <w:sz w:val="15"/>
                          </w:rPr>
                          <w:t>Migraine</w:t>
                        </w:r>
                        <w:r>
                          <w:rPr>
                            <w:rFonts w:ascii="Arial MT"/>
                            <w:color w:val="231F20"/>
                            <w:sz w:val="15"/>
                          </w:rPr>
                          <w:t> </w:t>
                        </w:r>
                        <w:r>
                          <w:rPr>
                            <w:rFonts w:ascii="Arial MT"/>
                            <w:color w:val="231F20"/>
                            <w:spacing w:val="-2"/>
                            <w:sz w:val="15"/>
                          </w:rPr>
                          <w:t>headache</w:t>
                        </w:r>
                      </w:p>
                    </w:txbxContent>
                  </v:textbox>
                  <v:fill type="solid"/>
                  <v:stroke dashstyle="solid"/>
                  <w10:wrap type="none"/>
                </v:shape>
                <v:shape style="position:absolute;left:3178;top:5166;width:913;height:387" type="#_x0000_t202" id="docshape910" filled="true" fillcolor="#d7eddd" stroked="true" strokeweight=".933007pt" strokecolor="#231f20">
                  <v:textbox inset="0,0,0,0">
                    <w:txbxContent>
                      <w:p>
                        <w:pPr>
                          <w:spacing w:before="103"/>
                          <w:ind w:left="148" w:right="0" w:firstLine="0"/>
                          <w:jc w:val="left"/>
                          <w:rPr>
                            <w:rFonts w:ascii="Arial MT"/>
                            <w:color w:val="000000"/>
                            <w:sz w:val="15"/>
                          </w:rPr>
                        </w:pPr>
                        <w:r>
                          <w:rPr>
                            <w:rFonts w:ascii="Arial MT"/>
                            <w:color w:val="231F20"/>
                            <w:spacing w:val="-2"/>
                            <w:sz w:val="15"/>
                          </w:rPr>
                          <w:t>Diabetes</w:t>
                        </w:r>
                      </w:p>
                    </w:txbxContent>
                  </v:textbox>
                  <v:fill type="solid"/>
                  <v:stroke dashstyle="solid"/>
                  <w10:wrap type="none"/>
                </v:shape>
                <v:shape style="position:absolute;left:6118;top:5038;width:1352;height:775" type="#_x0000_t202" id="docshape911" filled="true" fillcolor="#d7eddd" stroked="true" strokeweight=".933007pt" strokecolor="#231f20">
                  <v:textbox inset="0,0,0,0">
                    <w:txbxContent>
                      <w:p>
                        <w:pPr>
                          <w:spacing w:line="268" w:lineRule="auto" w:before="105"/>
                          <w:ind w:left="179" w:right="180" w:hanging="1"/>
                          <w:jc w:val="center"/>
                          <w:rPr>
                            <w:rFonts w:ascii="Arial MT"/>
                            <w:color w:val="000000"/>
                            <w:sz w:val="15"/>
                          </w:rPr>
                        </w:pPr>
                        <w:r>
                          <w:rPr>
                            <w:rFonts w:ascii="Arial MT"/>
                            <w:color w:val="231F20"/>
                            <w:spacing w:val="-2"/>
                            <w:sz w:val="15"/>
                          </w:rPr>
                          <w:t>Central</w:t>
                        </w:r>
                        <w:r>
                          <w:rPr>
                            <w:rFonts w:ascii="Arial MT"/>
                            <w:color w:val="231F20"/>
                            <w:sz w:val="15"/>
                          </w:rPr>
                          <w:t> </w:t>
                        </w:r>
                        <w:r>
                          <w:rPr>
                            <w:rFonts w:ascii="Arial MT"/>
                            <w:color w:val="231F20"/>
                            <w:spacing w:val="-2"/>
                            <w:sz w:val="15"/>
                          </w:rPr>
                          <w:t>autonomic</w:t>
                        </w:r>
                        <w:r>
                          <w:rPr>
                            <w:rFonts w:ascii="Arial MT"/>
                            <w:color w:val="231F20"/>
                            <w:sz w:val="15"/>
                          </w:rPr>
                          <w:t> </w:t>
                        </w:r>
                        <w:r>
                          <w:rPr>
                            <w:rFonts w:ascii="Arial MT"/>
                            <w:color w:val="231F20"/>
                            <w:spacing w:val="-2"/>
                            <w:sz w:val="15"/>
                          </w:rPr>
                          <w:t>network</w:t>
                        </w:r>
                        <w:r>
                          <w:rPr>
                            <w:rFonts w:ascii="Arial MT"/>
                            <w:color w:val="231F20"/>
                            <w:spacing w:val="-9"/>
                            <w:sz w:val="15"/>
                          </w:rPr>
                          <w:t> </w:t>
                        </w:r>
                        <w:r>
                          <w:rPr>
                            <w:rFonts w:ascii="Arial MT"/>
                            <w:color w:val="231F20"/>
                            <w:spacing w:val="-2"/>
                            <w:sz w:val="15"/>
                          </w:rPr>
                          <w:t>stroke</w:t>
                        </w:r>
                      </w:p>
                    </w:txbxContent>
                  </v:textbox>
                  <v:fill type="solid"/>
                  <v:stroke dashstyle="solid"/>
                  <w10:wrap type="none"/>
                </v:shape>
                <v:shape style="position:absolute;left:9256;top:4497;width:1378;height:587" type="#_x0000_t202" id="docshape912" filled="true" fillcolor="#d7eddd" stroked="true" strokeweight=".933007pt" strokecolor="#231f20">
                  <v:textbox inset="0,0,0,0">
                    <w:txbxContent>
                      <w:p>
                        <w:pPr>
                          <w:spacing w:line="268" w:lineRule="auto" w:before="105"/>
                          <w:ind w:left="352" w:right="177" w:hanging="169"/>
                          <w:jc w:val="left"/>
                          <w:rPr>
                            <w:rFonts w:ascii="Arial MT"/>
                            <w:color w:val="000000"/>
                            <w:sz w:val="15"/>
                          </w:rPr>
                        </w:pPr>
                        <w:r>
                          <w:rPr>
                            <w:rFonts w:ascii="Arial MT"/>
                            <w:color w:val="231F20"/>
                            <w:spacing w:val="-2"/>
                            <w:sz w:val="15"/>
                          </w:rPr>
                          <w:t>Cyclic</w:t>
                        </w:r>
                        <w:r>
                          <w:rPr>
                            <w:rFonts w:ascii="Arial MT"/>
                            <w:color w:val="231F20"/>
                            <w:spacing w:val="-9"/>
                            <w:sz w:val="15"/>
                          </w:rPr>
                          <w:t> </w:t>
                        </w:r>
                        <w:r>
                          <w:rPr>
                            <w:rFonts w:ascii="Arial MT"/>
                            <w:color w:val="231F20"/>
                            <w:spacing w:val="-2"/>
                            <w:sz w:val="15"/>
                          </w:rPr>
                          <w:t>vomiting</w:t>
                        </w:r>
                        <w:r>
                          <w:rPr>
                            <w:rFonts w:ascii="Arial MT"/>
                            <w:color w:val="231F20"/>
                            <w:sz w:val="15"/>
                          </w:rPr>
                          <w:t> </w:t>
                        </w:r>
                        <w:r>
                          <w:rPr>
                            <w:rFonts w:ascii="Arial MT"/>
                            <w:color w:val="231F20"/>
                            <w:spacing w:val="-2"/>
                            <w:sz w:val="15"/>
                          </w:rPr>
                          <w:t>syndrome</w:t>
                        </w:r>
                      </w:p>
                    </w:txbxContent>
                  </v:textbox>
                  <v:fill type="solid"/>
                  <v:stroke dashstyle="solid"/>
                  <w10:wrap type="none"/>
                </v:shape>
                <v:shape style="position:absolute;left:7705;top:4497;width:1178;height:580" type="#_x0000_t202" id="docshape913" filled="true" fillcolor="#d7eddd" stroked="true" strokeweight=".933007pt" strokecolor="#231f20">
                  <v:textbox inset="0,0,0,0">
                    <w:txbxContent>
                      <w:p>
                        <w:pPr>
                          <w:spacing w:line="268" w:lineRule="auto" w:before="103"/>
                          <w:ind w:left="172" w:right="171" w:firstLine="62"/>
                          <w:jc w:val="left"/>
                          <w:rPr>
                            <w:rFonts w:ascii="Arial MT"/>
                            <w:color w:val="000000"/>
                            <w:sz w:val="15"/>
                          </w:rPr>
                        </w:pPr>
                        <w:r>
                          <w:rPr>
                            <w:rFonts w:ascii="Arial MT"/>
                            <w:color w:val="231F20"/>
                            <w:spacing w:val="-2"/>
                            <w:sz w:val="15"/>
                          </w:rPr>
                          <w:t>Functional</w:t>
                        </w:r>
                        <w:r>
                          <w:rPr>
                            <w:rFonts w:ascii="Arial MT"/>
                            <w:color w:val="231F20"/>
                            <w:sz w:val="15"/>
                          </w:rPr>
                          <w:t> GI</w:t>
                        </w:r>
                        <w:r>
                          <w:rPr>
                            <w:rFonts w:ascii="Arial MT"/>
                            <w:color w:val="231F20"/>
                            <w:spacing w:val="-3"/>
                            <w:sz w:val="15"/>
                          </w:rPr>
                          <w:t> </w:t>
                        </w:r>
                        <w:r>
                          <w:rPr>
                            <w:rFonts w:ascii="Arial MT"/>
                            <w:color w:val="231F20"/>
                            <w:spacing w:val="-2"/>
                            <w:sz w:val="15"/>
                          </w:rPr>
                          <w:t>disorders</w:t>
                        </w:r>
                      </w:p>
                    </w:txbxContent>
                  </v:textbox>
                  <v:fill type="solid"/>
                  <v:stroke dashstyle="solid"/>
                  <w10:wrap type="none"/>
                </v:shape>
                <v:shape style="position:absolute;left:6118;top:4401;width:1111;height:421" type="#_x0000_t202" id="docshape914" filled="true" fillcolor="#d7eddd" stroked="true" strokeweight=".933007pt" strokecolor="#231f20">
                  <v:textbox inset="0,0,0,0">
                    <w:txbxContent>
                      <w:p>
                        <w:pPr>
                          <w:spacing w:before="103"/>
                          <w:ind w:left="162" w:right="0" w:firstLine="0"/>
                          <w:jc w:val="left"/>
                          <w:rPr>
                            <w:rFonts w:ascii="Arial MT"/>
                            <w:color w:val="000000"/>
                            <w:sz w:val="15"/>
                          </w:rPr>
                        </w:pPr>
                        <w:r>
                          <w:rPr>
                            <w:rFonts w:ascii="Arial MT"/>
                            <w:color w:val="231F20"/>
                            <w:spacing w:val="-2"/>
                            <w:sz w:val="15"/>
                          </w:rPr>
                          <w:t>Myelopathy</w:t>
                        </w:r>
                      </w:p>
                    </w:txbxContent>
                  </v:textbox>
                  <v:fill type="solid"/>
                  <v:stroke dashstyle="solid"/>
                  <w10:wrap type="none"/>
                </v:shape>
                <v:shape style="position:absolute;left:9256;top:3807;width:1215;height:396" type="#_x0000_t202" id="docshape915" filled="true" fillcolor="#d7eddd" stroked="true" strokeweight=".933007pt" strokecolor="#231f20">
                  <v:textbox inset="0,0,0,0">
                    <w:txbxContent>
                      <w:p>
                        <w:pPr>
                          <w:spacing w:before="103"/>
                          <w:ind w:left="166" w:right="0" w:firstLine="0"/>
                          <w:jc w:val="left"/>
                          <w:rPr>
                            <w:rFonts w:ascii="Arial MT"/>
                            <w:color w:val="000000"/>
                            <w:sz w:val="15"/>
                          </w:rPr>
                        </w:pPr>
                        <w:r>
                          <w:rPr>
                            <w:rFonts w:ascii="Arial MT"/>
                            <w:color w:val="231F20"/>
                            <w:spacing w:val="-2"/>
                            <w:sz w:val="15"/>
                          </w:rPr>
                          <w:t>Fibromyalgia</w:t>
                        </w:r>
                      </w:p>
                    </w:txbxContent>
                  </v:textbox>
                  <v:fill type="solid"/>
                  <v:stroke dashstyle="solid"/>
                  <w10:wrap type="none"/>
                </v:shape>
                <v:shape style="position:absolute;left:7666;top:3719;width:1217;height:591" type="#_x0000_t202" id="docshape916" filled="true" fillcolor="#d7eddd" stroked="true" strokeweight=".933007pt" strokecolor="#231f20">
                  <v:textbox inset="0,0,0,0">
                    <w:txbxContent>
                      <w:p>
                        <w:pPr>
                          <w:spacing w:line="268" w:lineRule="auto" w:before="105"/>
                          <w:ind w:left="171" w:right="169" w:firstLine="135"/>
                          <w:jc w:val="left"/>
                          <w:rPr>
                            <w:rFonts w:ascii="Arial MT"/>
                            <w:color w:val="000000"/>
                            <w:sz w:val="15"/>
                          </w:rPr>
                        </w:pPr>
                        <w:r>
                          <w:rPr>
                            <w:rFonts w:ascii="Arial MT"/>
                            <w:color w:val="231F20"/>
                            <w:spacing w:val="-2"/>
                            <w:sz w:val="15"/>
                          </w:rPr>
                          <w:t>Complex</w:t>
                        </w:r>
                        <w:r>
                          <w:rPr>
                            <w:rFonts w:ascii="Arial MT"/>
                            <w:color w:val="231F20"/>
                            <w:sz w:val="15"/>
                          </w:rPr>
                          <w:t> </w:t>
                        </w:r>
                        <w:r>
                          <w:rPr>
                            <w:rFonts w:ascii="Arial MT"/>
                            <w:color w:val="231F20"/>
                            <w:spacing w:val="-2"/>
                            <w:sz w:val="15"/>
                          </w:rPr>
                          <w:t>regional</w:t>
                        </w:r>
                        <w:r>
                          <w:rPr>
                            <w:rFonts w:ascii="Arial MT"/>
                            <w:color w:val="231F20"/>
                            <w:spacing w:val="-9"/>
                            <w:sz w:val="15"/>
                          </w:rPr>
                          <w:t> </w:t>
                        </w:r>
                        <w:r>
                          <w:rPr>
                            <w:rFonts w:ascii="Arial MT"/>
                            <w:color w:val="231F20"/>
                            <w:spacing w:val="-2"/>
                            <w:sz w:val="15"/>
                          </w:rPr>
                          <w:t>pain</w:t>
                        </w:r>
                      </w:p>
                    </w:txbxContent>
                  </v:textbox>
                  <v:fill type="solid"/>
                  <v:stroke dashstyle="solid"/>
                  <w10:wrap type="none"/>
                </v:shape>
                <v:shape style="position:absolute;left:6118;top:3431;width:1315;height:773" type="#_x0000_t202" id="docshape917" filled="true" fillcolor="#d7eddd" stroked="true" strokeweight=".933007pt" strokecolor="#231f20">
                  <v:textbox inset="0,0,0,0">
                    <w:txbxContent>
                      <w:p>
                        <w:pPr>
                          <w:spacing w:line="268" w:lineRule="auto" w:before="103"/>
                          <w:ind w:left="221" w:right="233" w:firstLine="0"/>
                          <w:jc w:val="center"/>
                          <w:rPr>
                            <w:rFonts w:ascii="Arial MT"/>
                            <w:color w:val="000000"/>
                            <w:sz w:val="15"/>
                          </w:rPr>
                        </w:pPr>
                        <w:r>
                          <w:rPr>
                            <w:rFonts w:ascii="Arial MT"/>
                            <w:color w:val="231F20"/>
                            <w:sz w:val="15"/>
                          </w:rPr>
                          <w:t>Parkinson</w:t>
                        </w:r>
                        <w:r>
                          <w:rPr>
                            <w:rFonts w:ascii="Arial MT"/>
                            <w:color w:val="231F20"/>
                            <w:spacing w:val="-11"/>
                            <w:sz w:val="15"/>
                          </w:rPr>
                          <w:t> </w:t>
                        </w:r>
                        <w:r>
                          <w:rPr>
                            <w:rFonts w:ascii="Arial MT"/>
                            <w:color w:val="231F20"/>
                            <w:sz w:val="15"/>
                          </w:rPr>
                          <w:t>or Lewy</w:t>
                        </w:r>
                        <w:r>
                          <w:rPr>
                            <w:rFonts w:ascii="Arial MT"/>
                            <w:color w:val="231F20"/>
                            <w:spacing w:val="-1"/>
                            <w:sz w:val="15"/>
                          </w:rPr>
                          <w:t> </w:t>
                        </w:r>
                        <w:r>
                          <w:rPr>
                            <w:rFonts w:ascii="Arial MT"/>
                            <w:color w:val="231F20"/>
                            <w:sz w:val="15"/>
                          </w:rPr>
                          <w:t>body </w:t>
                        </w:r>
                        <w:r>
                          <w:rPr>
                            <w:rFonts w:ascii="Arial MT"/>
                            <w:color w:val="231F20"/>
                            <w:spacing w:val="-2"/>
                            <w:sz w:val="15"/>
                          </w:rPr>
                          <w:t>disease</w:t>
                        </w:r>
                      </w:p>
                    </w:txbxContent>
                  </v:textbox>
                  <v:fill type="solid"/>
                  <v:stroke dashstyle="solid"/>
                  <w10:wrap type="none"/>
                </v:shape>
                <v:shape style="position:absolute;left:9256;top:2967;width:1292;height:589" type="#_x0000_t202" id="docshape918" filled="true" fillcolor="#d7eddd" stroked="true" strokeweight=".933007pt" strokecolor="#231f20">
                  <v:textbox inset="0,0,0,0">
                    <w:txbxContent>
                      <w:p>
                        <w:pPr>
                          <w:spacing w:line="268" w:lineRule="auto" w:before="103"/>
                          <w:ind w:left="305" w:right="170" w:hanging="135"/>
                          <w:jc w:val="left"/>
                          <w:rPr>
                            <w:rFonts w:ascii="Arial MT"/>
                            <w:color w:val="000000"/>
                            <w:sz w:val="15"/>
                          </w:rPr>
                        </w:pPr>
                        <w:r>
                          <w:rPr>
                            <w:rFonts w:ascii="Arial MT"/>
                            <w:color w:val="231F20"/>
                            <w:spacing w:val="-2"/>
                            <w:sz w:val="15"/>
                          </w:rPr>
                          <w:t>Irritable</w:t>
                        </w:r>
                        <w:r>
                          <w:rPr>
                            <w:rFonts w:ascii="Arial MT"/>
                            <w:color w:val="231F20"/>
                            <w:spacing w:val="-9"/>
                            <w:sz w:val="15"/>
                          </w:rPr>
                          <w:t> </w:t>
                        </w:r>
                        <w:r>
                          <w:rPr>
                            <w:rFonts w:ascii="Arial MT"/>
                            <w:color w:val="231F20"/>
                            <w:spacing w:val="-2"/>
                            <w:sz w:val="15"/>
                          </w:rPr>
                          <w:t>bowel</w:t>
                        </w:r>
                        <w:r>
                          <w:rPr>
                            <w:rFonts w:ascii="Arial MT"/>
                            <w:color w:val="231F20"/>
                            <w:sz w:val="15"/>
                          </w:rPr>
                          <w:t> </w:t>
                        </w:r>
                        <w:r>
                          <w:rPr>
                            <w:rFonts w:ascii="Arial MT"/>
                            <w:color w:val="231F20"/>
                            <w:spacing w:val="-2"/>
                            <w:sz w:val="15"/>
                          </w:rPr>
                          <w:t>syndrome</w:t>
                        </w:r>
                      </w:p>
                    </w:txbxContent>
                  </v:textbox>
                  <v:fill type="solid"/>
                  <v:stroke dashstyle="solid"/>
                  <w10:wrap type="none"/>
                </v:shape>
                <v:shape style="position:absolute;left:7920;top:2967;width:963;height:589" type="#_x0000_t202" id="docshape919" filled="true" fillcolor="#d7eddd" stroked="true" strokeweight=".933007pt" strokecolor="#231f20">
                  <v:textbox inset="0,0,0,0">
                    <w:txbxContent>
                      <w:p>
                        <w:pPr>
                          <w:spacing w:line="268" w:lineRule="auto" w:before="103"/>
                          <w:ind w:left="245" w:right="153" w:hanging="96"/>
                          <w:jc w:val="left"/>
                          <w:rPr>
                            <w:rFonts w:ascii="Arial MT"/>
                            <w:color w:val="000000"/>
                            <w:sz w:val="15"/>
                          </w:rPr>
                        </w:pPr>
                        <w:r>
                          <w:rPr>
                            <w:rFonts w:ascii="Arial MT"/>
                            <w:color w:val="231F20"/>
                            <w:spacing w:val="-2"/>
                            <w:sz w:val="15"/>
                          </w:rPr>
                          <w:t>Interstitial</w:t>
                        </w:r>
                        <w:r>
                          <w:rPr>
                            <w:rFonts w:ascii="Arial MT"/>
                            <w:color w:val="231F20"/>
                            <w:sz w:val="15"/>
                          </w:rPr>
                          <w:t> </w:t>
                        </w:r>
                        <w:r>
                          <w:rPr>
                            <w:rFonts w:ascii="Arial MT"/>
                            <w:color w:val="231F20"/>
                            <w:spacing w:val="-2"/>
                            <w:sz w:val="15"/>
                          </w:rPr>
                          <w:t>cystitis</w:t>
                        </w:r>
                      </w:p>
                    </w:txbxContent>
                  </v:textbox>
                  <v:fill type="solid"/>
                  <v:stroke dashstyle="solid"/>
                  <w10:wrap type="none"/>
                </v:shape>
                <v:shape style="position:absolute;left:6118;top:2464;width:1416;height:782" type="#_x0000_t202" id="docshape920" filled="true" fillcolor="#d7eddd" stroked="true" strokeweight=".933007pt" strokecolor="#231f20">
                  <v:textbox inset="0,0,0,0">
                    <w:txbxContent>
                      <w:p>
                        <w:pPr>
                          <w:spacing w:line="268" w:lineRule="auto" w:before="103"/>
                          <w:ind w:left="4" w:right="3" w:firstLine="0"/>
                          <w:jc w:val="center"/>
                          <w:rPr>
                            <w:rFonts w:ascii="Arial MT"/>
                            <w:color w:val="000000"/>
                            <w:sz w:val="15"/>
                          </w:rPr>
                        </w:pPr>
                        <w:r>
                          <w:rPr>
                            <w:rFonts w:ascii="Arial MT"/>
                            <w:color w:val="231F20"/>
                            <w:spacing w:val="-2"/>
                            <w:sz w:val="15"/>
                          </w:rPr>
                          <w:t>Multiple</w:t>
                        </w:r>
                        <w:r>
                          <w:rPr>
                            <w:rFonts w:ascii="Arial MT"/>
                            <w:color w:val="231F20"/>
                            <w:spacing w:val="-9"/>
                            <w:sz w:val="15"/>
                          </w:rPr>
                          <w:t> </w:t>
                        </w:r>
                        <w:r>
                          <w:rPr>
                            <w:rFonts w:ascii="Arial MT"/>
                            <w:color w:val="231F20"/>
                            <w:spacing w:val="-2"/>
                            <w:sz w:val="15"/>
                          </w:rPr>
                          <w:t>system</w:t>
                        </w:r>
                        <w:r>
                          <w:rPr>
                            <w:rFonts w:ascii="Arial MT"/>
                            <w:color w:val="231F20"/>
                            <w:sz w:val="15"/>
                          </w:rPr>
                          <w:t> </w:t>
                        </w:r>
                        <w:r>
                          <w:rPr>
                            <w:rFonts w:ascii="Arial MT"/>
                            <w:color w:val="231F20"/>
                            <w:spacing w:val="-2"/>
                            <w:sz w:val="15"/>
                          </w:rPr>
                          <w:t>atrophy</w:t>
                        </w:r>
                      </w:p>
                      <w:p>
                        <w:pPr>
                          <w:spacing w:line="172" w:lineRule="exact" w:before="0"/>
                          <w:ind w:left="4" w:right="0" w:firstLine="0"/>
                          <w:jc w:val="center"/>
                          <w:rPr>
                            <w:rFonts w:ascii="Arial MT"/>
                            <w:color w:val="000000"/>
                            <w:sz w:val="15"/>
                          </w:rPr>
                        </w:pPr>
                        <w:r>
                          <w:rPr>
                            <w:rFonts w:ascii="Arial MT"/>
                            <w:color w:val="231F20"/>
                            <w:spacing w:val="-2"/>
                            <w:sz w:val="15"/>
                          </w:rPr>
                          <w:t>Shy-Drager</w:t>
                        </w:r>
                      </w:p>
                    </w:txbxContent>
                  </v:textbox>
                  <v:fill type="solid"/>
                  <v:stroke dashstyle="solid"/>
                  <w10:wrap type="none"/>
                </v:shape>
                <v:shape style="position:absolute;left:9256;top:2090;width:884;height:586" type="#_x0000_t202" id="docshape921" filled="true" fillcolor="#d7eddd" stroked="true" strokeweight=".933007pt" strokecolor="#231f20">
                  <v:textbox inset="0,0,0,0">
                    <w:txbxContent>
                      <w:p>
                        <w:pPr>
                          <w:spacing w:line="268" w:lineRule="auto" w:before="104"/>
                          <w:ind w:left="154" w:right="152" w:firstLine="68"/>
                          <w:jc w:val="left"/>
                          <w:rPr>
                            <w:rFonts w:ascii="Arial MT"/>
                            <w:color w:val="000000"/>
                            <w:sz w:val="15"/>
                          </w:rPr>
                        </w:pPr>
                        <w:r>
                          <w:rPr>
                            <w:rFonts w:ascii="Arial MT"/>
                            <w:color w:val="231F20"/>
                            <w:spacing w:val="-2"/>
                            <w:sz w:val="15"/>
                          </w:rPr>
                          <w:t>Reflex</w:t>
                        </w:r>
                        <w:r>
                          <w:rPr>
                            <w:rFonts w:ascii="Arial MT"/>
                            <w:color w:val="231F20"/>
                            <w:sz w:val="15"/>
                          </w:rPr>
                          <w:t> </w:t>
                        </w:r>
                        <w:r>
                          <w:rPr>
                            <w:rFonts w:ascii="Arial MT"/>
                            <w:color w:val="231F20"/>
                            <w:spacing w:val="-2"/>
                            <w:sz w:val="15"/>
                          </w:rPr>
                          <w:t>syncope</w:t>
                        </w:r>
                      </w:p>
                    </w:txbxContent>
                  </v:textbox>
                  <v:fill type="solid"/>
                  <v:stroke dashstyle="solid"/>
                  <w10:wrap type="none"/>
                </v:shape>
                <v:shape style="position:absolute;left:7759;top:2094;width:1125;height:589" type="#_x0000_t202" id="docshape922" filled="true" fillcolor="#d7eddd" stroked="true" strokeweight=".933007pt" strokecolor="#231f20">
                  <v:textbox inset="0,0,0,0">
                    <w:txbxContent>
                      <w:p>
                        <w:pPr>
                          <w:spacing w:line="268" w:lineRule="auto" w:before="103"/>
                          <w:ind w:left="173" w:right="166" w:firstLine="110"/>
                          <w:jc w:val="left"/>
                          <w:rPr>
                            <w:rFonts w:ascii="Arial MT"/>
                            <w:color w:val="000000"/>
                            <w:sz w:val="15"/>
                          </w:rPr>
                        </w:pPr>
                        <w:r>
                          <w:rPr>
                            <w:rFonts w:ascii="Arial MT"/>
                            <w:color w:val="231F20"/>
                            <w:spacing w:val="-2"/>
                            <w:sz w:val="15"/>
                          </w:rPr>
                          <w:t>Postural</w:t>
                        </w:r>
                        <w:r>
                          <w:rPr>
                            <w:rFonts w:ascii="Arial MT"/>
                            <w:color w:val="231F20"/>
                            <w:sz w:val="15"/>
                          </w:rPr>
                          <w:t> </w:t>
                        </w:r>
                        <w:r>
                          <w:rPr>
                            <w:rFonts w:ascii="Arial MT"/>
                            <w:color w:val="231F20"/>
                            <w:spacing w:val="-2"/>
                            <w:sz w:val="15"/>
                          </w:rPr>
                          <w:t>tachycardia</w:t>
                        </w:r>
                      </w:p>
                    </w:txbxContent>
                  </v:textbox>
                  <v:fill type="solid"/>
                  <v:stroke dashstyle="solid"/>
                  <w10:wrap type="none"/>
                </v:shape>
                <v:shape style="position:absolute;left:4465;top:5681;width:976;height:387" type="#_x0000_t202" id="docshape923" filled="true" fillcolor="#d7eddd" stroked="true" strokeweight=".933007pt" strokecolor="#231f20">
                  <v:textbox inset="0,0,0,0">
                    <w:txbxContent>
                      <w:p>
                        <w:pPr>
                          <w:spacing w:before="103"/>
                          <w:ind w:left="154" w:right="0" w:firstLine="0"/>
                          <w:jc w:val="left"/>
                          <w:rPr>
                            <w:rFonts w:ascii="Arial MT"/>
                            <w:color w:val="000000"/>
                            <w:sz w:val="15"/>
                          </w:rPr>
                        </w:pPr>
                        <w:r>
                          <w:rPr>
                            <w:rFonts w:ascii="Arial MT"/>
                            <w:color w:val="231F20"/>
                            <w:spacing w:val="-2"/>
                            <w:sz w:val="15"/>
                          </w:rPr>
                          <w:t>Metabolic</w:t>
                        </w:r>
                      </w:p>
                    </w:txbxContent>
                  </v:textbox>
                  <v:fill type="solid"/>
                  <v:stroke dashstyle="solid"/>
                  <w10:wrap type="none"/>
                </v:shape>
                <v:shape style="position:absolute;left:4465;top:5169;width:852;height:387" type="#_x0000_t202" id="docshape924" filled="true" fillcolor="#d7eddd" stroked="true" strokeweight=".933007pt" strokecolor="#231f20">
                  <v:textbox inset="0,0,0,0">
                    <w:txbxContent>
                      <w:p>
                        <w:pPr>
                          <w:spacing w:before="103"/>
                          <w:ind w:left="142" w:right="0" w:firstLine="0"/>
                          <w:jc w:val="left"/>
                          <w:rPr>
                            <w:rFonts w:ascii="Arial MT"/>
                            <w:color w:val="000000"/>
                            <w:sz w:val="15"/>
                          </w:rPr>
                        </w:pPr>
                        <w:r>
                          <w:rPr>
                            <w:rFonts w:ascii="Arial MT"/>
                            <w:color w:val="231F20"/>
                            <w:spacing w:val="-2"/>
                            <w:sz w:val="15"/>
                          </w:rPr>
                          <w:t>Immune</w:t>
                        </w:r>
                      </w:p>
                    </w:txbxContent>
                  </v:textbox>
                  <v:fill type="solid"/>
                  <v:stroke dashstyle="solid"/>
                  <w10:wrap type="none"/>
                </v:shape>
                <v:shape style="position:absolute;left:4474;top:2943;width:1039;height:773" type="#_x0000_t202" id="docshape925" filled="true" fillcolor="#d7eddd" stroked="true" strokeweight=".933007pt" strokecolor="#231f20">
                  <v:textbox inset="0,0,0,0">
                    <w:txbxContent>
                      <w:p>
                        <w:pPr>
                          <w:spacing w:line="268" w:lineRule="auto" w:before="104"/>
                          <w:ind w:left="163" w:right="164" w:firstLine="0"/>
                          <w:jc w:val="center"/>
                          <w:rPr>
                            <w:rFonts w:ascii="Arial MT"/>
                            <w:color w:val="000000"/>
                            <w:sz w:val="15"/>
                          </w:rPr>
                        </w:pPr>
                        <w:r>
                          <w:rPr>
                            <w:rFonts w:ascii="Arial MT"/>
                            <w:color w:val="231F20"/>
                            <w:spacing w:val="-4"/>
                            <w:sz w:val="15"/>
                          </w:rPr>
                          <w:t>Pure</w:t>
                        </w:r>
                        <w:r>
                          <w:rPr>
                            <w:rFonts w:ascii="Arial MT"/>
                            <w:color w:val="231F20"/>
                            <w:sz w:val="15"/>
                          </w:rPr>
                          <w:t> </w:t>
                        </w:r>
                        <w:r>
                          <w:rPr>
                            <w:rFonts w:ascii="Arial MT"/>
                            <w:color w:val="231F20"/>
                            <w:spacing w:val="-2"/>
                            <w:sz w:val="15"/>
                          </w:rPr>
                          <w:t>autonomic</w:t>
                        </w:r>
                        <w:r>
                          <w:rPr>
                            <w:rFonts w:ascii="Arial MT"/>
                            <w:color w:val="231F20"/>
                            <w:sz w:val="15"/>
                          </w:rPr>
                          <w:t> </w:t>
                        </w:r>
                        <w:r>
                          <w:rPr>
                            <w:rFonts w:ascii="Arial MT"/>
                            <w:color w:val="231F20"/>
                            <w:spacing w:val="-2"/>
                            <w:sz w:val="15"/>
                          </w:rPr>
                          <w:t>failure</w:t>
                        </w:r>
                      </w:p>
                    </w:txbxContent>
                  </v:textbox>
                  <v:fill type="solid"/>
                  <v:stroke dashstyle="solid"/>
                  <w10:wrap type="none"/>
                </v:shape>
                <w10:wrap type="topAndBottom"/>
              </v:group>
            </w:pict>
          </mc:Fallback>
        </mc:AlternateContent>
      </w:r>
    </w:p>
    <w:p>
      <w:pPr>
        <w:pStyle w:val="Heading6"/>
        <w:spacing w:line="230" w:lineRule="auto" w:before="80"/>
        <w:ind w:left="539" w:right="343"/>
        <w:jc w:val="both"/>
        <w:rPr>
          <w:i/>
        </w:rPr>
      </w:pPr>
      <w:r>
        <w:rPr>
          <w:b/>
          <w:color w:val="4A0C62"/>
          <w:spacing w:val="-2"/>
          <w:sz w:val="16"/>
        </w:rPr>
        <w:t>Figure 615-1</w:t>
      </w:r>
      <w:r>
        <w:rPr>
          <w:b/>
          <w:color w:val="4A0C62"/>
          <w:spacing w:val="-5"/>
          <w:sz w:val="16"/>
        </w:rPr>
        <w:t> </w:t>
      </w:r>
      <w:r>
        <w:rPr>
          <w:color w:val="231F20"/>
          <w:spacing w:val="-2"/>
        </w:rPr>
        <w:t>Classification of autonomic disorders or dysautonomias. The first conceptual division is between a structural and functional disorder. </w:t>
      </w:r>
      <w:r>
        <w:rPr>
          <w:color w:val="231F20"/>
        </w:rPr>
        <w:t>The word “functional” is being used in its true meaning of a disturbance in autonomic function, without clear evidence of structural damage to the</w:t>
      </w:r>
      <w:r>
        <w:rPr>
          <w:color w:val="231F20"/>
          <w:spacing w:val="-7"/>
        </w:rPr>
        <w:t> </w:t>
      </w:r>
      <w:r>
        <w:rPr>
          <w:color w:val="231F20"/>
        </w:rPr>
        <w:t>autonomic</w:t>
      </w:r>
      <w:r>
        <w:rPr>
          <w:color w:val="231F20"/>
          <w:spacing w:val="-7"/>
        </w:rPr>
        <w:t> </w:t>
      </w:r>
      <w:r>
        <w:rPr>
          <w:color w:val="231F20"/>
        </w:rPr>
        <w:t>nervous</w:t>
      </w:r>
      <w:r>
        <w:rPr>
          <w:color w:val="231F20"/>
          <w:spacing w:val="-7"/>
        </w:rPr>
        <w:t> </w:t>
      </w:r>
      <w:r>
        <w:rPr>
          <w:color w:val="231F20"/>
        </w:rPr>
        <w:t>system,</w:t>
      </w:r>
      <w:r>
        <w:rPr>
          <w:color w:val="231F20"/>
          <w:spacing w:val="-7"/>
        </w:rPr>
        <w:t> </w:t>
      </w:r>
      <w:r>
        <w:rPr>
          <w:color w:val="231F20"/>
        </w:rPr>
        <w:t>akin</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use</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word</w:t>
      </w:r>
      <w:r>
        <w:rPr>
          <w:color w:val="231F20"/>
          <w:spacing w:val="-7"/>
        </w:rPr>
        <w:t> </w:t>
      </w:r>
      <w:r>
        <w:rPr>
          <w:color w:val="231F20"/>
        </w:rPr>
        <w:t>“functional”</w:t>
      </w:r>
      <w:r>
        <w:rPr>
          <w:color w:val="231F20"/>
          <w:spacing w:val="-7"/>
        </w:rPr>
        <w:t> </w:t>
      </w:r>
      <w:r>
        <w:rPr>
          <w:color w:val="231F20"/>
        </w:rPr>
        <w:t>in</w:t>
      </w:r>
      <w:r>
        <w:rPr>
          <w:color w:val="231F20"/>
          <w:spacing w:val="-7"/>
        </w:rPr>
        <w:t> </w:t>
      </w:r>
      <w:r>
        <w:rPr>
          <w:color w:val="231F20"/>
        </w:rPr>
        <w:t>functional</w:t>
      </w:r>
      <w:r>
        <w:rPr>
          <w:color w:val="231F20"/>
          <w:spacing w:val="-7"/>
        </w:rPr>
        <w:t> </w:t>
      </w:r>
      <w:r>
        <w:rPr>
          <w:color w:val="231F20"/>
        </w:rPr>
        <w:t>gastrointestinal</w:t>
      </w:r>
      <w:r>
        <w:rPr>
          <w:color w:val="231F20"/>
          <w:spacing w:val="-7"/>
        </w:rPr>
        <w:t> </w:t>
      </w:r>
      <w:r>
        <w:rPr>
          <w:color w:val="231F20"/>
        </w:rPr>
        <w:t>disorders,</w:t>
      </w:r>
      <w:r>
        <w:rPr>
          <w:color w:val="231F20"/>
          <w:spacing w:val="-7"/>
        </w:rPr>
        <w:t> </w:t>
      </w:r>
      <w:r>
        <w:rPr>
          <w:color w:val="231F20"/>
        </w:rPr>
        <w:t>and</w:t>
      </w:r>
      <w:r>
        <w:rPr>
          <w:color w:val="231F20"/>
          <w:spacing w:val="-7"/>
        </w:rPr>
        <w:t> </w:t>
      </w:r>
      <w:r>
        <w:rPr>
          <w:color w:val="231F20"/>
        </w:rPr>
        <w:t>without</w:t>
      </w:r>
      <w:r>
        <w:rPr>
          <w:color w:val="231F20"/>
          <w:spacing w:val="-7"/>
        </w:rPr>
        <w:t> </w:t>
      </w:r>
      <w:r>
        <w:rPr>
          <w:color w:val="231F20"/>
        </w:rPr>
        <w:t>implication</w:t>
      </w:r>
      <w:r>
        <w:rPr>
          <w:color w:val="231F20"/>
          <w:spacing w:val="-7"/>
        </w:rPr>
        <w:t> </w:t>
      </w:r>
      <w:r>
        <w:rPr>
          <w:color w:val="231F20"/>
        </w:rPr>
        <w:t>of</w:t>
      </w:r>
      <w:r>
        <w:rPr>
          <w:color w:val="231F20"/>
          <w:spacing w:val="-7"/>
        </w:rPr>
        <w:t> </w:t>
      </w:r>
      <w:r>
        <w:rPr>
          <w:color w:val="231F20"/>
        </w:rPr>
        <w:t>a</w:t>
      </w:r>
      <w:r>
        <w:rPr>
          <w:color w:val="231F20"/>
          <w:spacing w:val="-7"/>
        </w:rPr>
        <w:t> </w:t>
      </w:r>
      <w:r>
        <w:rPr>
          <w:color w:val="231F20"/>
        </w:rPr>
        <w:t>psy- </w:t>
      </w:r>
      <w:r>
        <w:rPr>
          <w:color w:val="231F20"/>
          <w:spacing w:val="-2"/>
        </w:rPr>
        <w:t>chiatric</w:t>
      </w:r>
      <w:r>
        <w:rPr>
          <w:color w:val="231F20"/>
          <w:spacing w:val="-7"/>
        </w:rPr>
        <w:t> </w:t>
      </w:r>
      <w:r>
        <w:rPr>
          <w:color w:val="231F20"/>
          <w:spacing w:val="-2"/>
        </w:rPr>
        <w:t>etiology.</w:t>
      </w:r>
      <w:r>
        <w:rPr>
          <w:color w:val="231F20"/>
          <w:spacing w:val="-7"/>
        </w:rPr>
        <w:t> </w:t>
      </w:r>
      <w:r>
        <w:rPr>
          <w:color w:val="231F20"/>
          <w:spacing w:val="-2"/>
        </w:rPr>
        <w:t>In</w:t>
      </w:r>
      <w:r>
        <w:rPr>
          <w:color w:val="231F20"/>
          <w:spacing w:val="-7"/>
        </w:rPr>
        <w:t> </w:t>
      </w:r>
      <w:r>
        <w:rPr>
          <w:color w:val="231F20"/>
          <w:spacing w:val="-2"/>
        </w:rPr>
        <w:t>the</w:t>
      </w:r>
      <w:r>
        <w:rPr>
          <w:color w:val="231F20"/>
          <w:spacing w:val="-7"/>
        </w:rPr>
        <w:t> </w:t>
      </w:r>
      <w:r>
        <w:rPr>
          <w:color w:val="231F20"/>
          <w:spacing w:val="-2"/>
        </w:rPr>
        <w:t>absence</w:t>
      </w:r>
      <w:r>
        <w:rPr>
          <w:color w:val="231F20"/>
          <w:spacing w:val="-7"/>
        </w:rPr>
        <w:t> </w:t>
      </w:r>
      <w:r>
        <w:rPr>
          <w:color w:val="231F20"/>
          <w:spacing w:val="-2"/>
        </w:rPr>
        <w:t>of</w:t>
      </w:r>
      <w:r>
        <w:rPr>
          <w:color w:val="231F20"/>
          <w:spacing w:val="-7"/>
        </w:rPr>
        <w:t> </w:t>
      </w:r>
      <w:r>
        <w:rPr>
          <w:color w:val="231F20"/>
          <w:spacing w:val="-2"/>
        </w:rPr>
        <w:t>any</w:t>
      </w:r>
      <w:r>
        <w:rPr>
          <w:color w:val="231F20"/>
          <w:spacing w:val="-7"/>
        </w:rPr>
        <w:t> </w:t>
      </w:r>
      <w:r>
        <w:rPr>
          <w:color w:val="231F20"/>
          <w:spacing w:val="-2"/>
        </w:rPr>
        <w:t>evidence</w:t>
      </w:r>
      <w:r>
        <w:rPr>
          <w:color w:val="231F20"/>
          <w:spacing w:val="-7"/>
        </w:rPr>
        <w:t> </w:t>
      </w:r>
      <w:r>
        <w:rPr>
          <w:color w:val="231F20"/>
          <w:spacing w:val="-2"/>
        </w:rPr>
        <w:t>of</w:t>
      </w:r>
      <w:r>
        <w:rPr>
          <w:color w:val="231F20"/>
          <w:spacing w:val="-7"/>
        </w:rPr>
        <w:t> </w:t>
      </w:r>
      <w:r>
        <w:rPr>
          <w:color w:val="231F20"/>
          <w:spacing w:val="-2"/>
        </w:rPr>
        <w:t>consistent</w:t>
      </w:r>
      <w:r>
        <w:rPr>
          <w:color w:val="231F20"/>
          <w:spacing w:val="-7"/>
        </w:rPr>
        <w:t> </w:t>
      </w:r>
      <w:r>
        <w:rPr>
          <w:color w:val="231F20"/>
          <w:spacing w:val="-2"/>
        </w:rPr>
        <w:t>structural</w:t>
      </w:r>
      <w:r>
        <w:rPr>
          <w:color w:val="231F20"/>
          <w:spacing w:val="-7"/>
        </w:rPr>
        <w:t> </w:t>
      </w:r>
      <w:r>
        <w:rPr>
          <w:color w:val="231F20"/>
          <w:spacing w:val="-2"/>
        </w:rPr>
        <w:t>abnormalities</w:t>
      </w:r>
      <w:r>
        <w:rPr>
          <w:color w:val="231F20"/>
          <w:spacing w:val="-7"/>
        </w:rPr>
        <w:t> </w:t>
      </w:r>
      <w:r>
        <w:rPr>
          <w:color w:val="231F20"/>
          <w:spacing w:val="-2"/>
        </w:rPr>
        <w:t>functional</w:t>
      </w:r>
      <w:r>
        <w:rPr>
          <w:color w:val="231F20"/>
          <w:spacing w:val="-7"/>
        </w:rPr>
        <w:t> </w:t>
      </w:r>
      <w:r>
        <w:rPr>
          <w:color w:val="231F20"/>
          <w:spacing w:val="-2"/>
        </w:rPr>
        <w:t>disorders</w:t>
      </w:r>
      <w:r>
        <w:rPr>
          <w:color w:val="231F20"/>
          <w:spacing w:val="-7"/>
        </w:rPr>
        <w:t> </w:t>
      </w:r>
      <w:r>
        <w:rPr>
          <w:color w:val="231F20"/>
          <w:spacing w:val="-2"/>
        </w:rPr>
        <w:t>clearly</w:t>
      </w:r>
      <w:r>
        <w:rPr>
          <w:color w:val="231F20"/>
          <w:spacing w:val="-7"/>
        </w:rPr>
        <w:t> </w:t>
      </w:r>
      <w:r>
        <w:rPr>
          <w:color w:val="231F20"/>
          <w:spacing w:val="-2"/>
        </w:rPr>
        <w:t>cannot</w:t>
      </w:r>
      <w:r>
        <w:rPr>
          <w:color w:val="231F20"/>
          <w:spacing w:val="-7"/>
        </w:rPr>
        <w:t> </w:t>
      </w:r>
      <w:r>
        <w:rPr>
          <w:color w:val="231F20"/>
          <w:spacing w:val="-2"/>
        </w:rPr>
        <w:t>be</w:t>
      </w:r>
      <w:r>
        <w:rPr>
          <w:color w:val="231F20"/>
          <w:spacing w:val="-7"/>
        </w:rPr>
        <w:t> </w:t>
      </w:r>
      <w:r>
        <w:rPr>
          <w:color w:val="231F20"/>
          <w:spacing w:val="-2"/>
        </w:rPr>
        <w:t>localized</w:t>
      </w:r>
      <w:r>
        <w:rPr>
          <w:color w:val="231F20"/>
          <w:spacing w:val="-7"/>
        </w:rPr>
        <w:t> </w:t>
      </w:r>
      <w:r>
        <w:rPr>
          <w:color w:val="231F20"/>
          <w:spacing w:val="-2"/>
        </w:rPr>
        <w:t>in</w:t>
      </w:r>
      <w:r>
        <w:rPr>
          <w:color w:val="231F20"/>
          <w:spacing w:val="-7"/>
        </w:rPr>
        <w:t> </w:t>
      </w:r>
      <w:r>
        <w:rPr>
          <w:color w:val="231F20"/>
          <w:spacing w:val="-2"/>
        </w:rPr>
        <w:t>the</w:t>
      </w:r>
      <w:r>
        <w:rPr>
          <w:color w:val="231F20"/>
          <w:spacing w:val="-7"/>
        </w:rPr>
        <w:t> </w:t>
      </w:r>
      <w:r>
        <w:rPr>
          <w:color w:val="231F20"/>
          <w:spacing w:val="-2"/>
        </w:rPr>
        <w:t>nervous </w:t>
      </w:r>
      <w:r>
        <w:rPr>
          <w:color w:val="231F20"/>
        </w:rPr>
        <w:t>system.</w:t>
      </w:r>
      <w:r>
        <w:rPr>
          <w:color w:val="231F20"/>
          <w:spacing w:val="-12"/>
        </w:rPr>
        <w:t> </w:t>
      </w:r>
      <w:r>
        <w:rPr>
          <w:color w:val="231F20"/>
        </w:rPr>
        <w:t>In</w:t>
      </w:r>
      <w:r>
        <w:rPr>
          <w:color w:val="231F20"/>
          <w:spacing w:val="-11"/>
        </w:rPr>
        <w:t> </w:t>
      </w:r>
      <w:r>
        <w:rPr>
          <w:color w:val="231F20"/>
        </w:rPr>
        <w:t>contrast,</w:t>
      </w:r>
      <w:r>
        <w:rPr>
          <w:color w:val="231F20"/>
          <w:spacing w:val="-11"/>
        </w:rPr>
        <w:t> </w:t>
      </w:r>
      <w:r>
        <w:rPr>
          <w:color w:val="231F20"/>
        </w:rPr>
        <w:t>structural</w:t>
      </w:r>
      <w:r>
        <w:rPr>
          <w:color w:val="231F20"/>
          <w:spacing w:val="-12"/>
        </w:rPr>
        <w:t> </w:t>
      </w:r>
      <w:r>
        <w:rPr>
          <w:color w:val="231F20"/>
        </w:rPr>
        <w:t>disorders</w:t>
      </w:r>
      <w:r>
        <w:rPr>
          <w:color w:val="231F20"/>
          <w:spacing w:val="-11"/>
        </w:rPr>
        <w:t> </w:t>
      </w:r>
      <w:r>
        <w:rPr>
          <w:color w:val="231F20"/>
        </w:rPr>
        <w:t>can</w:t>
      </w:r>
      <w:r>
        <w:rPr>
          <w:color w:val="231F20"/>
          <w:spacing w:val="-11"/>
        </w:rPr>
        <w:t> </w:t>
      </w:r>
      <w:r>
        <w:rPr>
          <w:color w:val="231F20"/>
        </w:rPr>
        <w:t>be</w:t>
      </w:r>
      <w:r>
        <w:rPr>
          <w:color w:val="231F20"/>
          <w:spacing w:val="-12"/>
        </w:rPr>
        <w:t> </w:t>
      </w:r>
      <w:r>
        <w:rPr>
          <w:color w:val="231F20"/>
        </w:rPr>
        <w:t>further</w:t>
      </w:r>
      <w:r>
        <w:rPr>
          <w:color w:val="231F20"/>
          <w:spacing w:val="-11"/>
        </w:rPr>
        <w:t> </w:t>
      </w:r>
      <w:r>
        <w:rPr>
          <w:color w:val="231F20"/>
        </w:rPr>
        <w:t>divided</w:t>
      </w:r>
      <w:r>
        <w:rPr>
          <w:color w:val="231F20"/>
          <w:spacing w:val="-11"/>
        </w:rPr>
        <w:t> </w:t>
      </w:r>
      <w:r>
        <w:rPr>
          <w:color w:val="231F20"/>
        </w:rPr>
        <w:t>into</w:t>
      </w:r>
      <w:r>
        <w:rPr>
          <w:color w:val="231F20"/>
          <w:spacing w:val="-11"/>
        </w:rPr>
        <w:t> </w:t>
      </w:r>
      <w:r>
        <w:rPr>
          <w:color w:val="231F20"/>
        </w:rPr>
        <w:t>those</w:t>
      </w:r>
      <w:r>
        <w:rPr>
          <w:color w:val="231F20"/>
          <w:spacing w:val="-12"/>
        </w:rPr>
        <w:t> </w:t>
      </w:r>
      <w:r>
        <w:rPr>
          <w:color w:val="231F20"/>
        </w:rPr>
        <w:t>localized</w:t>
      </w:r>
      <w:r>
        <w:rPr>
          <w:color w:val="231F20"/>
          <w:spacing w:val="-11"/>
        </w:rPr>
        <w:t> </w:t>
      </w:r>
      <w:r>
        <w:rPr>
          <w:color w:val="231F20"/>
        </w:rPr>
        <w:t>in</w:t>
      </w:r>
      <w:r>
        <w:rPr>
          <w:color w:val="231F20"/>
          <w:spacing w:val="-11"/>
        </w:rPr>
        <w:t> </w:t>
      </w:r>
      <w:r>
        <w:rPr>
          <w:color w:val="231F20"/>
        </w:rPr>
        <w:t>the</w:t>
      </w:r>
      <w:r>
        <w:rPr>
          <w:color w:val="231F20"/>
          <w:spacing w:val="-12"/>
        </w:rPr>
        <w:t> </w:t>
      </w:r>
      <w:r>
        <w:rPr>
          <w:color w:val="231F20"/>
        </w:rPr>
        <w:t>central</w:t>
      </w:r>
      <w:r>
        <w:rPr>
          <w:color w:val="231F20"/>
          <w:spacing w:val="-11"/>
        </w:rPr>
        <w:t> </w:t>
      </w:r>
      <w:r>
        <w:rPr>
          <w:color w:val="231F20"/>
        </w:rPr>
        <w:t>and</w:t>
      </w:r>
      <w:r>
        <w:rPr>
          <w:color w:val="231F20"/>
          <w:spacing w:val="-11"/>
        </w:rPr>
        <w:t> </w:t>
      </w:r>
      <w:r>
        <w:rPr>
          <w:color w:val="231F20"/>
        </w:rPr>
        <w:t>peripheral</w:t>
      </w:r>
      <w:r>
        <w:rPr>
          <w:color w:val="231F20"/>
          <w:spacing w:val="-12"/>
        </w:rPr>
        <w:t> </w:t>
      </w:r>
      <w:r>
        <w:rPr>
          <w:color w:val="231F20"/>
        </w:rPr>
        <w:t>nervous</w:t>
      </w:r>
      <w:r>
        <w:rPr>
          <w:color w:val="231F20"/>
          <w:spacing w:val="-11"/>
        </w:rPr>
        <w:t> </w:t>
      </w:r>
      <w:r>
        <w:rPr>
          <w:color w:val="231F20"/>
        </w:rPr>
        <w:t>systems,</w:t>
      </w:r>
      <w:r>
        <w:rPr>
          <w:color w:val="231F20"/>
          <w:spacing w:val="-11"/>
        </w:rPr>
        <w:t> </w:t>
      </w:r>
      <w:r>
        <w:rPr>
          <w:color w:val="231F20"/>
        </w:rPr>
        <w:t>with</w:t>
      </w:r>
      <w:r>
        <w:rPr>
          <w:color w:val="231F20"/>
          <w:spacing w:val="-11"/>
        </w:rPr>
        <w:t> </w:t>
      </w:r>
      <w:r>
        <w:rPr>
          <w:color w:val="231F20"/>
        </w:rPr>
        <w:t>the</w:t>
      </w:r>
      <w:r>
        <w:rPr>
          <w:color w:val="231F20"/>
          <w:spacing w:val="-12"/>
        </w:rPr>
        <w:t> </w:t>
      </w:r>
      <w:r>
        <w:rPr>
          <w:color w:val="231F20"/>
        </w:rPr>
        <w:t>division point usually taken at the sympathetic ganglion. Finally, peripheral nervous system disorders can be further classified based on whether </w:t>
      </w:r>
      <w:r>
        <w:rPr>
          <w:color w:val="231F20"/>
        </w:rPr>
        <w:t>they primarily</w:t>
      </w:r>
      <w:r>
        <w:rPr>
          <w:color w:val="231F20"/>
          <w:spacing w:val="-12"/>
        </w:rPr>
        <w:t> </w:t>
      </w:r>
      <w:r>
        <w:rPr>
          <w:color w:val="231F20"/>
        </w:rPr>
        <w:t>involve</w:t>
      </w:r>
      <w:r>
        <w:rPr>
          <w:color w:val="231F20"/>
          <w:spacing w:val="-11"/>
        </w:rPr>
        <w:t> </w:t>
      </w:r>
      <w:r>
        <w:rPr>
          <w:color w:val="231F20"/>
        </w:rPr>
        <w:t>afferent</w:t>
      </w:r>
      <w:r>
        <w:rPr>
          <w:color w:val="231F20"/>
          <w:spacing w:val="-11"/>
        </w:rPr>
        <w:t> </w:t>
      </w:r>
      <w:r>
        <w:rPr>
          <w:color w:val="231F20"/>
        </w:rPr>
        <w:t>or</w:t>
      </w:r>
      <w:r>
        <w:rPr>
          <w:color w:val="231F20"/>
          <w:spacing w:val="-12"/>
        </w:rPr>
        <w:t> </w:t>
      </w:r>
      <w:r>
        <w:rPr>
          <w:color w:val="231F20"/>
        </w:rPr>
        <w:t>efferent</w:t>
      </w:r>
      <w:r>
        <w:rPr>
          <w:color w:val="231F20"/>
          <w:spacing w:val="-11"/>
        </w:rPr>
        <w:t> </w:t>
      </w:r>
      <w:r>
        <w:rPr>
          <w:color w:val="231F20"/>
        </w:rPr>
        <w:t>nerves.</w:t>
      </w:r>
      <w:r>
        <w:rPr>
          <w:color w:val="231F20"/>
          <w:spacing w:val="-11"/>
        </w:rPr>
        <w:t> </w:t>
      </w:r>
      <w:r>
        <w:rPr>
          <w:color w:val="231F20"/>
        </w:rPr>
        <w:t>It</w:t>
      </w:r>
      <w:r>
        <w:rPr>
          <w:color w:val="231F20"/>
          <w:spacing w:val="-12"/>
        </w:rPr>
        <w:t> </w:t>
      </w:r>
      <w:r>
        <w:rPr>
          <w:color w:val="231F20"/>
        </w:rPr>
        <w:t>should</w:t>
      </w:r>
      <w:r>
        <w:rPr>
          <w:color w:val="231F20"/>
          <w:spacing w:val="-11"/>
        </w:rPr>
        <w:t> </w:t>
      </w:r>
      <w:r>
        <w:rPr>
          <w:color w:val="231F20"/>
        </w:rPr>
        <w:t>be</w:t>
      </w:r>
      <w:r>
        <w:rPr>
          <w:color w:val="231F20"/>
          <w:spacing w:val="-11"/>
        </w:rPr>
        <w:t> </w:t>
      </w:r>
      <w:r>
        <w:rPr>
          <w:color w:val="231F20"/>
        </w:rPr>
        <w:t>emphasized</w:t>
      </w:r>
      <w:r>
        <w:rPr>
          <w:color w:val="231F20"/>
          <w:spacing w:val="-11"/>
        </w:rPr>
        <w:t> </w:t>
      </w:r>
      <w:r>
        <w:rPr>
          <w:color w:val="231F20"/>
        </w:rPr>
        <w:t>that</w:t>
      </w:r>
      <w:r>
        <w:rPr>
          <w:color w:val="231F20"/>
          <w:spacing w:val="-12"/>
        </w:rPr>
        <w:t> </w:t>
      </w:r>
      <w:r>
        <w:rPr>
          <w:color w:val="231F20"/>
        </w:rPr>
        <w:t>there</w:t>
      </w:r>
      <w:r>
        <w:rPr>
          <w:color w:val="231F20"/>
          <w:spacing w:val="-11"/>
        </w:rPr>
        <w:t> </w:t>
      </w:r>
      <w:r>
        <w:rPr>
          <w:color w:val="231F20"/>
        </w:rPr>
        <w:t>is</w:t>
      </w:r>
      <w:r>
        <w:rPr>
          <w:color w:val="231F20"/>
          <w:spacing w:val="-11"/>
        </w:rPr>
        <w:t> </w:t>
      </w:r>
      <w:r>
        <w:rPr>
          <w:color w:val="231F20"/>
        </w:rPr>
        <w:t>overlap</w:t>
      </w:r>
      <w:r>
        <w:rPr>
          <w:color w:val="231F20"/>
          <w:spacing w:val="-12"/>
        </w:rPr>
        <w:t> </w:t>
      </w:r>
      <w:r>
        <w:rPr>
          <w:color w:val="231F20"/>
        </w:rPr>
        <w:t>between</w:t>
      </w:r>
      <w:r>
        <w:rPr>
          <w:color w:val="231F20"/>
          <w:spacing w:val="-11"/>
        </w:rPr>
        <w:t> </w:t>
      </w:r>
      <w:r>
        <w:rPr>
          <w:color w:val="231F20"/>
        </w:rPr>
        <w:t>these</w:t>
      </w:r>
      <w:r>
        <w:rPr>
          <w:color w:val="231F20"/>
          <w:spacing w:val="-11"/>
        </w:rPr>
        <w:t> </w:t>
      </w:r>
      <w:r>
        <w:rPr>
          <w:color w:val="231F20"/>
        </w:rPr>
        <w:t>groups,</w:t>
      </w:r>
      <w:r>
        <w:rPr>
          <w:color w:val="231F20"/>
          <w:spacing w:val="-12"/>
        </w:rPr>
        <w:t> </w:t>
      </w:r>
      <w:r>
        <w:rPr>
          <w:color w:val="231F20"/>
        </w:rPr>
        <w:t>for</w:t>
      </w:r>
      <w:r>
        <w:rPr>
          <w:color w:val="231F20"/>
          <w:spacing w:val="-11"/>
        </w:rPr>
        <w:t> </w:t>
      </w:r>
      <w:r>
        <w:rPr>
          <w:color w:val="231F20"/>
        </w:rPr>
        <w:t>example,</w:t>
      </w:r>
      <w:r>
        <w:rPr>
          <w:color w:val="231F20"/>
          <w:spacing w:val="-11"/>
        </w:rPr>
        <w:t> </w:t>
      </w:r>
      <w:r>
        <w:rPr>
          <w:color w:val="231F20"/>
        </w:rPr>
        <w:t>diabetes</w:t>
      </w:r>
      <w:r>
        <w:rPr>
          <w:color w:val="231F20"/>
          <w:spacing w:val="-11"/>
        </w:rPr>
        <w:t> </w:t>
      </w:r>
      <w:r>
        <w:rPr>
          <w:color w:val="231F20"/>
        </w:rPr>
        <w:t>will</w:t>
      </w:r>
      <w:r>
        <w:rPr>
          <w:color w:val="231F20"/>
          <w:spacing w:val="-12"/>
        </w:rPr>
        <w:t> </w:t>
      </w:r>
      <w:r>
        <w:rPr>
          <w:color w:val="231F20"/>
        </w:rPr>
        <w:t>often involve afferent nerve fibers, but this classification emphasizes the predominant fiber involvement. A </w:t>
      </w:r>
      <w:r>
        <w:rPr>
          <w:i/>
          <w:color w:val="231F20"/>
        </w:rPr>
        <w:t>dotted line </w:t>
      </w:r>
      <w:r>
        <w:rPr>
          <w:color w:val="231F20"/>
        </w:rPr>
        <w:t>links Parkinson disease to a peripheral</w:t>
      </w:r>
      <w:r>
        <w:rPr>
          <w:color w:val="231F20"/>
          <w:spacing w:val="-8"/>
        </w:rPr>
        <w:t> </w:t>
      </w:r>
      <w:r>
        <w:rPr>
          <w:color w:val="231F20"/>
        </w:rPr>
        <w:t>efferent</w:t>
      </w:r>
      <w:r>
        <w:rPr>
          <w:color w:val="231F20"/>
          <w:spacing w:val="-8"/>
        </w:rPr>
        <w:t> </w:t>
      </w:r>
      <w:r>
        <w:rPr>
          <w:color w:val="231F20"/>
        </w:rPr>
        <w:t>group</w:t>
      </w:r>
      <w:r>
        <w:rPr>
          <w:color w:val="231F20"/>
          <w:spacing w:val="-8"/>
        </w:rPr>
        <w:t> </w:t>
      </w:r>
      <w:r>
        <w:rPr>
          <w:color w:val="231F20"/>
        </w:rPr>
        <w:t>as</w:t>
      </w:r>
      <w:r>
        <w:rPr>
          <w:color w:val="231F20"/>
          <w:spacing w:val="-8"/>
        </w:rPr>
        <w:t> </w:t>
      </w:r>
      <w:r>
        <w:rPr>
          <w:color w:val="231F20"/>
        </w:rPr>
        <w:t>Lewy</w:t>
      </w:r>
      <w:r>
        <w:rPr>
          <w:color w:val="231F20"/>
          <w:spacing w:val="-8"/>
        </w:rPr>
        <w:t> </w:t>
      </w:r>
      <w:r>
        <w:rPr>
          <w:color w:val="231F20"/>
        </w:rPr>
        <w:t>bodies</w:t>
      </w:r>
      <w:r>
        <w:rPr>
          <w:color w:val="231F20"/>
          <w:spacing w:val="-8"/>
        </w:rPr>
        <w:t> </w:t>
      </w:r>
      <w:r>
        <w:rPr>
          <w:color w:val="231F20"/>
        </w:rPr>
        <w:t>are</w:t>
      </w:r>
      <w:r>
        <w:rPr>
          <w:color w:val="231F20"/>
          <w:spacing w:val="-8"/>
        </w:rPr>
        <w:t> </w:t>
      </w:r>
      <w:r>
        <w:rPr>
          <w:color w:val="231F20"/>
        </w:rPr>
        <w:t>present</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both</w:t>
      </w:r>
      <w:r>
        <w:rPr>
          <w:color w:val="231F20"/>
          <w:spacing w:val="-8"/>
        </w:rPr>
        <w:t> </w:t>
      </w:r>
      <w:r>
        <w:rPr>
          <w:color w:val="231F20"/>
        </w:rPr>
        <w:t>parasympathetic</w:t>
      </w:r>
      <w:r>
        <w:rPr>
          <w:color w:val="231F20"/>
          <w:spacing w:val="-8"/>
        </w:rPr>
        <w:t> </w:t>
      </w:r>
      <w:r>
        <w:rPr>
          <w:color w:val="231F20"/>
        </w:rPr>
        <w:t>and</w:t>
      </w:r>
      <w:r>
        <w:rPr>
          <w:color w:val="231F20"/>
          <w:spacing w:val="-8"/>
        </w:rPr>
        <w:t> </w:t>
      </w:r>
      <w:r>
        <w:rPr>
          <w:color w:val="231F20"/>
        </w:rPr>
        <w:t>sympathetic</w:t>
      </w:r>
      <w:r>
        <w:rPr>
          <w:color w:val="231F20"/>
          <w:spacing w:val="-9"/>
        </w:rPr>
        <w:t> </w:t>
      </w:r>
      <w:r>
        <w:rPr>
          <w:color w:val="231F20"/>
        </w:rPr>
        <w:t>ganglia,</w:t>
      </w:r>
      <w:r>
        <w:rPr>
          <w:color w:val="231F20"/>
          <w:spacing w:val="-8"/>
        </w:rPr>
        <w:t> </w:t>
      </w:r>
      <w:r>
        <w:rPr>
          <w:color w:val="231F20"/>
        </w:rPr>
        <w:t>impairing</w:t>
      </w:r>
      <w:r>
        <w:rPr>
          <w:color w:val="231F20"/>
          <w:spacing w:val="-9"/>
        </w:rPr>
        <w:t> </w:t>
      </w:r>
      <w:r>
        <w:rPr>
          <w:color w:val="231F20"/>
        </w:rPr>
        <w:t>peripheral</w:t>
      </w:r>
      <w:r>
        <w:rPr>
          <w:color w:val="231F20"/>
          <w:spacing w:val="-8"/>
        </w:rPr>
        <w:t> </w:t>
      </w:r>
      <w:r>
        <w:rPr>
          <w:color w:val="231F20"/>
        </w:rPr>
        <w:t>autonomic</w:t>
      </w:r>
      <w:r>
        <w:rPr>
          <w:color w:val="231F20"/>
          <w:spacing w:val="-8"/>
        </w:rPr>
        <w:t> </w:t>
      </w:r>
      <w:r>
        <w:rPr>
          <w:color w:val="231F20"/>
        </w:rPr>
        <w:t>func- tion. See below for discussion of specific disorders. </w:t>
      </w:r>
      <w:r>
        <w:rPr>
          <w:i/>
          <w:color w:val="231F20"/>
        </w:rPr>
        <w:t>CCHS</w:t>
      </w:r>
      <w:r>
        <w:rPr>
          <w:color w:val="231F20"/>
        </w:rPr>
        <w:t>, Congenital central hypoventilation syndrome; </w:t>
      </w:r>
      <w:r>
        <w:rPr>
          <w:i/>
          <w:color w:val="231F20"/>
        </w:rPr>
        <w:t>HSAN</w:t>
      </w:r>
      <w:r>
        <w:rPr>
          <w:color w:val="231F20"/>
        </w:rPr>
        <w:t>, hereditary sensory autonomic neuropathy. </w:t>
      </w:r>
      <w:r>
        <w:rPr>
          <w:i/>
          <w:color w:val="231F20"/>
        </w:rPr>
        <w:t>(From Chelimsky T, Robertson D, Chelimsky G: Disorders of the autonomic nervous system. In Daroff RB, Fenichel GM, Jankovic J, Mazziotta JC, editors</w:t>
      </w:r>
      <w:r>
        <w:rPr>
          <w:color w:val="231F20"/>
        </w:rPr>
        <w:t>: Bradley’s neurology in clinical practice</w:t>
      </w:r>
      <w:r>
        <w:rPr>
          <w:i/>
          <w:color w:val="231F20"/>
        </w:rPr>
        <w:t>, ed 6, Philadelphia, 2012, WB Saunders, Fig. 77-1, p. 2018.)</w:t>
      </w:r>
    </w:p>
    <w:p>
      <w:pPr>
        <w:pStyle w:val="BodyText"/>
        <w:rPr>
          <w:i/>
          <w:sz w:val="20"/>
        </w:rPr>
      </w:pPr>
    </w:p>
    <w:p>
      <w:pPr>
        <w:pStyle w:val="BodyText"/>
        <w:spacing w:before="35" w:after="1"/>
        <w:rPr>
          <w:i/>
          <w:sz w:val="20"/>
        </w:rPr>
      </w:pPr>
    </w:p>
    <w:tbl>
      <w:tblPr>
        <w:tblW w:w="0" w:type="auto"/>
        <w:jc w:val="left"/>
        <w:tblInd w:w="54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3723"/>
        <w:gridCol w:w="4871"/>
      </w:tblGrid>
      <w:tr>
        <w:trPr>
          <w:trHeight w:val="353" w:hRule="atLeast"/>
        </w:trPr>
        <w:tc>
          <w:tcPr>
            <w:tcW w:w="1148" w:type="dxa"/>
            <w:tcBorders>
              <w:top w:val="nil"/>
              <w:left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615-</w:t>
            </w:r>
            <w:r>
              <w:rPr>
                <w:b/>
                <w:color w:val="FFFFFF"/>
                <w:spacing w:val="-10"/>
                <w:w w:val="105"/>
                <w:sz w:val="16"/>
              </w:rPr>
              <w:t>1</w:t>
            </w:r>
          </w:p>
        </w:tc>
        <w:tc>
          <w:tcPr>
            <w:tcW w:w="8594" w:type="dxa"/>
            <w:gridSpan w:val="2"/>
            <w:tcBorders>
              <w:top w:val="nil"/>
              <w:right w:val="nil"/>
            </w:tcBorders>
            <w:shd w:val="clear" w:color="auto" w:fill="231F20"/>
          </w:tcPr>
          <w:p>
            <w:pPr>
              <w:pStyle w:val="TableParagraph"/>
              <w:spacing w:before="89"/>
              <w:ind w:left="73"/>
              <w:rPr>
                <w:sz w:val="16"/>
              </w:rPr>
            </w:pPr>
            <w:r>
              <w:rPr>
                <w:color w:val="FFFFFF"/>
                <w:w w:val="110"/>
                <w:sz w:val="16"/>
              </w:rPr>
              <w:t>Autonomic</w:t>
            </w:r>
            <w:r>
              <w:rPr>
                <w:color w:val="FFFFFF"/>
                <w:spacing w:val="-14"/>
                <w:w w:val="110"/>
                <w:sz w:val="16"/>
              </w:rPr>
              <w:t> </w:t>
            </w:r>
            <w:r>
              <w:rPr>
                <w:color w:val="FFFFFF"/>
                <w:spacing w:val="-2"/>
                <w:w w:val="110"/>
                <w:sz w:val="16"/>
              </w:rPr>
              <w:t>Neuropathies</w:t>
            </w:r>
          </w:p>
        </w:tc>
      </w:tr>
      <w:tr>
        <w:trPr>
          <w:trHeight w:val="2590" w:hRule="atLeast"/>
        </w:trPr>
        <w:tc>
          <w:tcPr>
            <w:tcW w:w="4871" w:type="dxa"/>
            <w:gridSpan w:val="2"/>
            <w:tcBorders>
              <w:left w:val="nil"/>
              <w:right w:val="single" w:sz="4" w:space="0" w:color="231F20"/>
            </w:tcBorders>
            <w:shd w:val="clear" w:color="auto" w:fill="E8F5F1"/>
          </w:tcPr>
          <w:p>
            <w:pPr>
              <w:pStyle w:val="TableParagraph"/>
              <w:spacing w:line="230" w:lineRule="auto" w:before="52"/>
              <w:ind w:left="74" w:right="1861"/>
              <w:rPr>
                <w:sz w:val="15"/>
              </w:rPr>
            </w:pPr>
            <w:r>
              <w:rPr>
                <w:color w:val="231F20"/>
                <w:sz w:val="15"/>
              </w:rPr>
              <w:t>Guillain-Barré syndrome (see Chapter 608) Non–Guillain-Barré</w:t>
            </w:r>
            <w:r>
              <w:rPr>
                <w:color w:val="231F20"/>
                <w:spacing w:val="-12"/>
                <w:sz w:val="15"/>
              </w:rPr>
              <w:t> </w:t>
            </w:r>
            <w:r>
              <w:rPr>
                <w:color w:val="231F20"/>
                <w:sz w:val="15"/>
              </w:rPr>
              <w:t>syndrome</w:t>
            </w:r>
            <w:r>
              <w:rPr>
                <w:color w:val="231F20"/>
                <w:spacing w:val="-11"/>
                <w:sz w:val="15"/>
              </w:rPr>
              <w:t> </w:t>
            </w:r>
            <w:r>
              <w:rPr>
                <w:color w:val="231F20"/>
                <w:sz w:val="15"/>
              </w:rPr>
              <w:t>autoimmunity</w:t>
            </w:r>
          </w:p>
          <w:p>
            <w:pPr>
              <w:pStyle w:val="TableParagraph"/>
              <w:numPr>
                <w:ilvl w:val="0"/>
                <w:numId w:val="102"/>
              </w:numPr>
              <w:tabs>
                <w:tab w:pos="223" w:val="left" w:leader="none"/>
              </w:tabs>
              <w:spacing w:line="167" w:lineRule="exact" w:before="0" w:after="0"/>
              <w:ind w:left="223" w:right="0" w:hanging="149"/>
              <w:jc w:val="left"/>
              <w:rPr>
                <w:sz w:val="15"/>
              </w:rPr>
            </w:pPr>
            <w:r>
              <w:rPr>
                <w:color w:val="231F20"/>
                <w:spacing w:val="-2"/>
                <w:sz w:val="15"/>
              </w:rPr>
              <w:t>Paraneoplastic</w:t>
            </w:r>
            <w:r>
              <w:rPr>
                <w:color w:val="231F20"/>
                <w:spacing w:val="-3"/>
                <w:sz w:val="15"/>
              </w:rPr>
              <w:t> </w:t>
            </w:r>
            <w:r>
              <w:rPr>
                <w:color w:val="231F20"/>
                <w:spacing w:val="-2"/>
                <w:sz w:val="15"/>
              </w:rPr>
              <w:t>(type I antineuronal nuclear antibody)</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Lambert-Eaton</w:t>
            </w:r>
            <w:r>
              <w:rPr>
                <w:color w:val="231F20"/>
                <w:spacing w:val="-9"/>
                <w:sz w:val="15"/>
              </w:rPr>
              <w:t> </w:t>
            </w:r>
            <w:r>
              <w:rPr>
                <w:color w:val="231F20"/>
                <w:spacing w:val="-2"/>
                <w:sz w:val="15"/>
              </w:rPr>
              <w:t>syndrome</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Antibodies</w:t>
            </w:r>
            <w:r>
              <w:rPr>
                <w:color w:val="231F20"/>
                <w:spacing w:val="-11"/>
                <w:sz w:val="15"/>
              </w:rPr>
              <w:t> </w:t>
            </w:r>
            <w:r>
              <w:rPr>
                <w:color w:val="231F20"/>
                <w:sz w:val="15"/>
              </w:rPr>
              <w:t>to</w:t>
            </w:r>
            <w:r>
              <w:rPr>
                <w:color w:val="231F20"/>
                <w:spacing w:val="-11"/>
                <w:sz w:val="15"/>
              </w:rPr>
              <w:t> </w:t>
            </w:r>
            <w:r>
              <w:rPr>
                <w:color w:val="231F20"/>
                <w:sz w:val="15"/>
              </w:rPr>
              <w:t>neuronal</w:t>
            </w:r>
            <w:r>
              <w:rPr>
                <w:color w:val="231F20"/>
                <w:spacing w:val="-11"/>
                <w:sz w:val="15"/>
              </w:rPr>
              <w:t> </w:t>
            </w:r>
            <w:r>
              <w:rPr>
                <w:color w:val="231F20"/>
                <w:sz w:val="15"/>
              </w:rPr>
              <w:t>nicotinic</w:t>
            </w:r>
            <w:r>
              <w:rPr>
                <w:color w:val="231F20"/>
                <w:spacing w:val="-11"/>
                <w:sz w:val="15"/>
              </w:rPr>
              <w:t> </w:t>
            </w:r>
            <w:r>
              <w:rPr>
                <w:color w:val="231F20"/>
                <w:sz w:val="15"/>
              </w:rPr>
              <w:t>acetylcholine</w:t>
            </w:r>
            <w:r>
              <w:rPr>
                <w:color w:val="231F20"/>
                <w:spacing w:val="-11"/>
                <w:sz w:val="15"/>
              </w:rPr>
              <w:t> </w:t>
            </w:r>
            <w:r>
              <w:rPr>
                <w:color w:val="231F20"/>
                <w:spacing w:val="-2"/>
                <w:sz w:val="15"/>
              </w:rPr>
              <w:t>receptors</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Antibodies</w:t>
            </w:r>
            <w:r>
              <w:rPr>
                <w:color w:val="231F20"/>
                <w:spacing w:val="-5"/>
                <w:sz w:val="15"/>
              </w:rPr>
              <w:t> </w:t>
            </w:r>
            <w:r>
              <w:rPr>
                <w:color w:val="231F20"/>
                <w:sz w:val="15"/>
              </w:rPr>
              <w:t>to</w:t>
            </w:r>
            <w:r>
              <w:rPr>
                <w:color w:val="231F20"/>
                <w:spacing w:val="-4"/>
                <w:sz w:val="15"/>
              </w:rPr>
              <w:t> </w:t>
            </w:r>
            <w:r>
              <w:rPr>
                <w:color w:val="231F20"/>
                <w:sz w:val="15"/>
              </w:rPr>
              <w:t>P/Q-type</w:t>
            </w:r>
            <w:r>
              <w:rPr>
                <w:color w:val="231F20"/>
                <w:spacing w:val="-5"/>
                <w:sz w:val="15"/>
              </w:rPr>
              <w:t> </w:t>
            </w:r>
            <w:r>
              <w:rPr>
                <w:color w:val="231F20"/>
                <w:sz w:val="15"/>
              </w:rPr>
              <w:t>calcium</w:t>
            </w:r>
            <w:r>
              <w:rPr>
                <w:color w:val="231F20"/>
                <w:spacing w:val="-4"/>
                <w:sz w:val="15"/>
              </w:rPr>
              <w:t> </w:t>
            </w:r>
            <w:r>
              <w:rPr>
                <w:color w:val="231F20"/>
                <w:spacing w:val="-2"/>
                <w:sz w:val="15"/>
              </w:rPr>
              <w:t>channels</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Other</w:t>
            </w:r>
            <w:r>
              <w:rPr>
                <w:color w:val="231F20"/>
                <w:spacing w:val="4"/>
                <w:sz w:val="15"/>
              </w:rPr>
              <w:t> </w:t>
            </w:r>
            <w:r>
              <w:rPr>
                <w:color w:val="231F20"/>
                <w:spacing w:val="-2"/>
                <w:sz w:val="15"/>
              </w:rPr>
              <w:t>autoantibodies</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Systemic</w:t>
            </w:r>
            <w:r>
              <w:rPr>
                <w:color w:val="231F20"/>
                <w:spacing w:val="-4"/>
                <w:sz w:val="15"/>
              </w:rPr>
              <w:t> </w:t>
            </w:r>
            <w:r>
              <w:rPr>
                <w:color w:val="231F20"/>
                <w:sz w:val="15"/>
              </w:rPr>
              <w:t>lupus</w:t>
            </w:r>
            <w:r>
              <w:rPr>
                <w:color w:val="231F20"/>
                <w:spacing w:val="-3"/>
                <w:sz w:val="15"/>
              </w:rPr>
              <w:t> </w:t>
            </w:r>
            <w:r>
              <w:rPr>
                <w:color w:val="231F20"/>
                <w:spacing w:val="-2"/>
                <w:sz w:val="15"/>
              </w:rPr>
              <w:t>erythematosus</w:t>
            </w:r>
          </w:p>
          <w:p>
            <w:pPr>
              <w:pStyle w:val="TableParagraph"/>
              <w:spacing w:line="168" w:lineRule="exact"/>
              <w:ind w:left="74"/>
              <w:rPr>
                <w:sz w:val="15"/>
              </w:rPr>
            </w:pPr>
            <w:r>
              <w:rPr>
                <w:color w:val="231F20"/>
                <w:sz w:val="15"/>
              </w:rPr>
              <w:t>Hereditary</w:t>
            </w:r>
            <w:r>
              <w:rPr>
                <w:color w:val="231F20"/>
                <w:spacing w:val="-3"/>
                <w:sz w:val="15"/>
              </w:rPr>
              <w:t> </w:t>
            </w:r>
            <w:r>
              <w:rPr>
                <w:color w:val="231F20"/>
                <w:sz w:val="15"/>
              </w:rPr>
              <w:t>sensory</w:t>
            </w:r>
            <w:r>
              <w:rPr>
                <w:color w:val="231F20"/>
                <w:spacing w:val="-3"/>
                <w:sz w:val="15"/>
              </w:rPr>
              <w:t> </w:t>
            </w:r>
            <w:r>
              <w:rPr>
                <w:color w:val="231F20"/>
                <w:sz w:val="15"/>
              </w:rPr>
              <w:t>and</w:t>
            </w:r>
            <w:r>
              <w:rPr>
                <w:color w:val="231F20"/>
                <w:spacing w:val="-2"/>
                <w:sz w:val="15"/>
              </w:rPr>
              <w:t> </w:t>
            </w:r>
            <w:r>
              <w:rPr>
                <w:color w:val="231F20"/>
                <w:sz w:val="15"/>
              </w:rPr>
              <w:t>autonomic</w:t>
            </w:r>
            <w:r>
              <w:rPr>
                <w:color w:val="231F20"/>
                <w:spacing w:val="-3"/>
                <w:sz w:val="15"/>
              </w:rPr>
              <w:t> </w:t>
            </w:r>
            <w:r>
              <w:rPr>
                <w:color w:val="231F20"/>
                <w:spacing w:val="-2"/>
                <w:sz w:val="15"/>
              </w:rPr>
              <w:t>neuropathies</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Type</w:t>
            </w:r>
            <w:r>
              <w:rPr>
                <w:color w:val="231F20"/>
                <w:spacing w:val="-1"/>
                <w:sz w:val="15"/>
              </w:rPr>
              <w:t> </w:t>
            </w:r>
            <w:r>
              <w:rPr>
                <w:color w:val="231F20"/>
                <w:sz w:val="15"/>
              </w:rPr>
              <w:t>I autosomal </w:t>
            </w:r>
            <w:r>
              <w:rPr>
                <w:color w:val="231F20"/>
                <w:spacing w:val="-2"/>
                <w:sz w:val="15"/>
              </w:rPr>
              <w:t>dominant</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z w:val="15"/>
              </w:rPr>
              <w:t>Type</w:t>
            </w:r>
            <w:r>
              <w:rPr>
                <w:color w:val="231F20"/>
                <w:spacing w:val="-5"/>
                <w:sz w:val="15"/>
              </w:rPr>
              <w:t> </w:t>
            </w:r>
            <w:r>
              <w:rPr>
                <w:color w:val="231F20"/>
                <w:sz w:val="15"/>
              </w:rPr>
              <w:t>II</w:t>
            </w:r>
            <w:r>
              <w:rPr>
                <w:color w:val="231F20"/>
                <w:spacing w:val="-4"/>
                <w:sz w:val="15"/>
              </w:rPr>
              <w:t> </w:t>
            </w:r>
            <w:r>
              <w:rPr>
                <w:color w:val="231F20"/>
                <w:sz w:val="15"/>
              </w:rPr>
              <w:t>autosomal</w:t>
            </w:r>
            <w:r>
              <w:rPr>
                <w:color w:val="231F20"/>
                <w:spacing w:val="-4"/>
                <w:sz w:val="15"/>
              </w:rPr>
              <w:t> </w:t>
            </w:r>
            <w:r>
              <w:rPr>
                <w:color w:val="231F20"/>
                <w:sz w:val="15"/>
              </w:rPr>
              <w:t>recessive</w:t>
            </w:r>
            <w:r>
              <w:rPr>
                <w:color w:val="231F20"/>
                <w:spacing w:val="-4"/>
                <w:sz w:val="15"/>
              </w:rPr>
              <w:t> </w:t>
            </w:r>
            <w:r>
              <w:rPr>
                <w:color w:val="231F20"/>
                <w:sz w:val="15"/>
              </w:rPr>
              <w:t>(Morvan</w:t>
            </w:r>
            <w:r>
              <w:rPr>
                <w:color w:val="231F20"/>
                <w:spacing w:val="-4"/>
                <w:sz w:val="15"/>
              </w:rPr>
              <w:t> </w:t>
            </w:r>
            <w:r>
              <w:rPr>
                <w:color w:val="231F20"/>
                <w:spacing w:val="-2"/>
                <w:sz w:val="15"/>
              </w:rPr>
              <w:t>disease)</w:t>
            </w:r>
          </w:p>
          <w:p>
            <w:pPr>
              <w:pStyle w:val="TableParagraph"/>
              <w:numPr>
                <w:ilvl w:val="0"/>
                <w:numId w:val="102"/>
              </w:numPr>
              <w:tabs>
                <w:tab w:pos="223" w:val="left" w:leader="none"/>
              </w:tabs>
              <w:spacing w:line="168" w:lineRule="exact" w:before="0" w:after="0"/>
              <w:ind w:left="223" w:right="0" w:hanging="149"/>
              <w:jc w:val="left"/>
              <w:rPr>
                <w:sz w:val="15"/>
              </w:rPr>
            </w:pPr>
            <w:r>
              <w:rPr>
                <w:color w:val="231F20"/>
                <w:spacing w:val="-2"/>
                <w:sz w:val="15"/>
              </w:rPr>
              <w:t>Type</w:t>
            </w:r>
            <w:r>
              <w:rPr>
                <w:color w:val="231F20"/>
                <w:spacing w:val="3"/>
                <w:sz w:val="15"/>
              </w:rPr>
              <w:t> </w:t>
            </w:r>
            <w:r>
              <w:rPr>
                <w:color w:val="231F20"/>
                <w:spacing w:val="-2"/>
                <w:sz w:val="15"/>
              </w:rPr>
              <w:t>III</w:t>
            </w:r>
            <w:r>
              <w:rPr>
                <w:color w:val="231F20"/>
                <w:spacing w:val="3"/>
                <w:sz w:val="15"/>
              </w:rPr>
              <w:t> </w:t>
            </w:r>
            <w:r>
              <w:rPr>
                <w:color w:val="231F20"/>
                <w:spacing w:val="-2"/>
                <w:sz w:val="15"/>
              </w:rPr>
              <w:t>autosomal</w:t>
            </w:r>
            <w:r>
              <w:rPr>
                <w:color w:val="231F20"/>
                <w:spacing w:val="3"/>
                <w:sz w:val="15"/>
              </w:rPr>
              <w:t> </w:t>
            </w:r>
            <w:r>
              <w:rPr>
                <w:color w:val="231F20"/>
                <w:spacing w:val="-2"/>
                <w:sz w:val="15"/>
              </w:rPr>
              <w:t>recessive</w:t>
            </w:r>
            <w:r>
              <w:rPr>
                <w:color w:val="231F20"/>
                <w:spacing w:val="4"/>
                <w:sz w:val="15"/>
              </w:rPr>
              <w:t> </w:t>
            </w:r>
            <w:r>
              <w:rPr>
                <w:color w:val="231F20"/>
                <w:spacing w:val="-2"/>
                <w:sz w:val="15"/>
              </w:rPr>
              <w:t>(Riley-</w:t>
            </w:r>
            <w:r>
              <w:rPr>
                <w:color w:val="231F20"/>
                <w:spacing w:val="-4"/>
                <w:sz w:val="15"/>
              </w:rPr>
              <w:t>Day)</w:t>
            </w:r>
          </w:p>
          <w:p>
            <w:pPr>
              <w:pStyle w:val="TableParagraph"/>
              <w:numPr>
                <w:ilvl w:val="0"/>
                <w:numId w:val="102"/>
              </w:numPr>
              <w:tabs>
                <w:tab w:pos="223" w:val="left" w:leader="none"/>
              </w:tabs>
              <w:spacing w:line="230" w:lineRule="auto" w:before="2" w:after="0"/>
              <w:ind w:left="223" w:right="321" w:hanging="150"/>
              <w:jc w:val="left"/>
              <w:rPr>
                <w:sz w:val="15"/>
              </w:rPr>
            </w:pPr>
            <w:r>
              <w:rPr>
                <w:color w:val="231F20"/>
                <w:spacing w:val="-2"/>
                <w:sz w:val="15"/>
              </w:rPr>
              <w:t>Type IV autosomal recessive (congenital insensitivity to pain </w:t>
            </w:r>
            <w:r>
              <w:rPr>
                <w:color w:val="231F20"/>
                <w:spacing w:val="-2"/>
                <w:sz w:val="15"/>
              </w:rPr>
              <w:t>with anhidrosis)</w:t>
            </w:r>
          </w:p>
          <w:p>
            <w:pPr>
              <w:pStyle w:val="TableParagraph"/>
              <w:numPr>
                <w:ilvl w:val="0"/>
                <w:numId w:val="102"/>
              </w:numPr>
              <w:tabs>
                <w:tab w:pos="223" w:val="left" w:leader="none"/>
              </w:tabs>
              <w:spacing w:line="169" w:lineRule="exact" w:before="0" w:after="0"/>
              <w:ind w:left="223" w:right="0" w:hanging="149"/>
              <w:jc w:val="left"/>
              <w:rPr>
                <w:sz w:val="15"/>
              </w:rPr>
            </w:pPr>
            <w:r>
              <w:rPr>
                <w:color w:val="231F20"/>
                <w:sz w:val="15"/>
              </w:rPr>
              <w:t>Type</w:t>
            </w:r>
            <w:r>
              <w:rPr>
                <w:color w:val="231F20"/>
                <w:spacing w:val="1"/>
                <w:sz w:val="15"/>
              </w:rPr>
              <w:t> </w:t>
            </w:r>
            <w:r>
              <w:rPr>
                <w:color w:val="231F20"/>
                <w:sz w:val="15"/>
              </w:rPr>
              <w:t>V</w:t>
            </w:r>
            <w:r>
              <w:rPr>
                <w:color w:val="231F20"/>
                <w:spacing w:val="1"/>
                <w:sz w:val="15"/>
              </w:rPr>
              <w:t> </w:t>
            </w:r>
            <w:r>
              <w:rPr>
                <w:color w:val="231F20"/>
                <w:sz w:val="15"/>
              </w:rPr>
              <w:t>absence</w:t>
            </w:r>
            <w:r>
              <w:rPr>
                <w:color w:val="231F20"/>
                <w:spacing w:val="2"/>
                <w:sz w:val="15"/>
              </w:rPr>
              <w:t> </w:t>
            </w:r>
            <w:r>
              <w:rPr>
                <w:color w:val="231F20"/>
                <w:sz w:val="15"/>
              </w:rPr>
              <w:t>of</w:t>
            </w:r>
            <w:r>
              <w:rPr>
                <w:color w:val="231F20"/>
                <w:spacing w:val="1"/>
                <w:sz w:val="15"/>
              </w:rPr>
              <w:t> </w:t>
            </w:r>
            <w:r>
              <w:rPr>
                <w:color w:val="231F20"/>
                <w:spacing w:val="-4"/>
                <w:sz w:val="15"/>
              </w:rPr>
              <w:t>pain</w:t>
            </w:r>
          </w:p>
        </w:tc>
        <w:tc>
          <w:tcPr>
            <w:tcW w:w="4871" w:type="dxa"/>
            <w:vMerge w:val="restart"/>
            <w:tcBorders>
              <w:left w:val="single" w:sz="4" w:space="0" w:color="231F20"/>
              <w:bottom w:val="single" w:sz="18" w:space="0" w:color="231F20"/>
              <w:right w:val="nil"/>
            </w:tcBorders>
            <w:shd w:val="clear" w:color="auto" w:fill="E8F5F1"/>
          </w:tcPr>
          <w:p>
            <w:pPr>
              <w:pStyle w:val="TableParagraph"/>
              <w:spacing w:line="171" w:lineRule="exact" w:before="56"/>
              <w:ind w:left="68"/>
              <w:rPr>
                <w:sz w:val="15"/>
              </w:rPr>
            </w:pPr>
            <w:r>
              <w:rPr>
                <w:color w:val="231F20"/>
                <w:spacing w:val="-2"/>
                <w:sz w:val="15"/>
              </w:rPr>
              <w:t>Metabolic</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sz w:val="15"/>
              </w:rPr>
              <w:t>Fabry</w:t>
            </w:r>
            <w:r>
              <w:rPr>
                <w:color w:val="231F20"/>
                <w:spacing w:val="-3"/>
                <w:sz w:val="15"/>
              </w:rPr>
              <w:t> </w:t>
            </w:r>
            <w:r>
              <w:rPr>
                <w:color w:val="231F20"/>
                <w:spacing w:val="-2"/>
                <w:sz w:val="15"/>
              </w:rPr>
              <w:t>disease</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sz w:val="15"/>
              </w:rPr>
              <w:t>Diabetes</w:t>
            </w:r>
            <w:r>
              <w:rPr>
                <w:color w:val="231F20"/>
                <w:spacing w:val="12"/>
                <w:sz w:val="15"/>
              </w:rPr>
              <w:t> </w:t>
            </w:r>
            <w:r>
              <w:rPr>
                <w:color w:val="231F20"/>
                <w:spacing w:val="-2"/>
                <w:sz w:val="15"/>
              </w:rPr>
              <w:t>mellitus</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sz w:val="15"/>
              </w:rPr>
              <w:t>Tangier</w:t>
            </w:r>
            <w:r>
              <w:rPr>
                <w:color w:val="231F20"/>
                <w:spacing w:val="-5"/>
                <w:sz w:val="15"/>
              </w:rPr>
              <w:t> </w:t>
            </w:r>
            <w:r>
              <w:rPr>
                <w:color w:val="231F20"/>
                <w:spacing w:val="-2"/>
                <w:sz w:val="15"/>
              </w:rPr>
              <w:t>disease</w:t>
            </w:r>
          </w:p>
          <w:p>
            <w:pPr>
              <w:pStyle w:val="TableParagraph"/>
              <w:numPr>
                <w:ilvl w:val="0"/>
                <w:numId w:val="103"/>
              </w:numPr>
              <w:tabs>
                <w:tab w:pos="217" w:val="left" w:leader="none"/>
              </w:tabs>
              <w:spacing w:line="230" w:lineRule="auto" w:before="2" w:after="0"/>
              <w:ind w:left="68" w:right="4015" w:firstLine="0"/>
              <w:jc w:val="left"/>
              <w:rPr>
                <w:sz w:val="15"/>
              </w:rPr>
            </w:pPr>
            <w:r>
              <w:rPr>
                <w:color w:val="231F20"/>
                <w:spacing w:val="-2"/>
                <w:sz w:val="15"/>
              </w:rPr>
              <w:t>Porphyria Infectious</w:t>
            </w:r>
          </w:p>
          <w:p>
            <w:pPr>
              <w:pStyle w:val="TableParagraph"/>
              <w:numPr>
                <w:ilvl w:val="0"/>
                <w:numId w:val="103"/>
              </w:numPr>
              <w:tabs>
                <w:tab w:pos="217" w:val="left" w:leader="none"/>
              </w:tabs>
              <w:spacing w:line="167" w:lineRule="exact" w:before="0" w:after="0"/>
              <w:ind w:left="217" w:right="0" w:hanging="149"/>
              <w:jc w:val="left"/>
              <w:rPr>
                <w:sz w:val="15"/>
              </w:rPr>
            </w:pPr>
            <w:r>
              <w:rPr>
                <w:color w:val="231F20"/>
                <w:spacing w:val="-5"/>
                <w:w w:val="105"/>
                <w:sz w:val="15"/>
              </w:rPr>
              <w:t>HIV</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w w:val="105"/>
                <w:sz w:val="15"/>
              </w:rPr>
              <w:t>Chagas</w:t>
            </w:r>
            <w:r>
              <w:rPr>
                <w:color w:val="231F20"/>
                <w:spacing w:val="3"/>
                <w:w w:val="105"/>
                <w:sz w:val="15"/>
              </w:rPr>
              <w:t> </w:t>
            </w:r>
            <w:r>
              <w:rPr>
                <w:color w:val="231F20"/>
                <w:spacing w:val="-2"/>
                <w:w w:val="105"/>
                <w:sz w:val="15"/>
              </w:rPr>
              <w:t>disease</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spacing w:val="-2"/>
                <w:sz w:val="15"/>
              </w:rPr>
              <w:t>Botulism</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spacing w:val="-2"/>
                <w:sz w:val="15"/>
              </w:rPr>
              <w:t>Leprosy</w:t>
            </w:r>
          </w:p>
          <w:p>
            <w:pPr>
              <w:pStyle w:val="TableParagraph"/>
              <w:numPr>
                <w:ilvl w:val="0"/>
                <w:numId w:val="103"/>
              </w:numPr>
              <w:tabs>
                <w:tab w:pos="217" w:val="left" w:leader="none"/>
              </w:tabs>
              <w:spacing w:line="230" w:lineRule="auto" w:before="3" w:after="0"/>
              <w:ind w:left="68" w:right="3946" w:firstLine="0"/>
              <w:jc w:val="left"/>
              <w:rPr>
                <w:sz w:val="15"/>
              </w:rPr>
            </w:pPr>
            <w:r>
              <w:rPr>
                <w:color w:val="231F20"/>
                <w:spacing w:val="-2"/>
                <w:sz w:val="15"/>
              </w:rPr>
              <w:t>Diphtheria Other</w:t>
            </w:r>
          </w:p>
          <w:p>
            <w:pPr>
              <w:pStyle w:val="TableParagraph"/>
              <w:numPr>
                <w:ilvl w:val="0"/>
                <w:numId w:val="103"/>
              </w:numPr>
              <w:tabs>
                <w:tab w:pos="217" w:val="left" w:leader="none"/>
              </w:tabs>
              <w:spacing w:line="167" w:lineRule="exact" w:before="0" w:after="0"/>
              <w:ind w:left="217" w:right="0" w:hanging="149"/>
              <w:jc w:val="left"/>
              <w:rPr>
                <w:sz w:val="15"/>
              </w:rPr>
            </w:pPr>
            <w:r>
              <w:rPr>
                <w:color w:val="231F20"/>
                <w:sz w:val="15"/>
              </w:rPr>
              <w:t>Triple</w:t>
            </w:r>
            <w:r>
              <w:rPr>
                <w:color w:val="231F20"/>
                <w:spacing w:val="-10"/>
                <w:sz w:val="15"/>
              </w:rPr>
              <w:t> </w:t>
            </w:r>
            <w:r>
              <w:rPr>
                <w:color w:val="231F20"/>
                <w:sz w:val="15"/>
              </w:rPr>
              <w:t>A</w:t>
            </w:r>
            <w:r>
              <w:rPr>
                <w:color w:val="231F20"/>
                <w:spacing w:val="-10"/>
                <w:sz w:val="15"/>
              </w:rPr>
              <w:t> </w:t>
            </w:r>
            <w:r>
              <w:rPr>
                <w:color w:val="231F20"/>
                <w:sz w:val="15"/>
              </w:rPr>
              <w:t>(Allgrove)</w:t>
            </w:r>
            <w:r>
              <w:rPr>
                <w:color w:val="231F20"/>
                <w:spacing w:val="-10"/>
                <w:sz w:val="15"/>
              </w:rPr>
              <w:t> </w:t>
            </w:r>
            <w:r>
              <w:rPr>
                <w:color w:val="231F20"/>
                <w:spacing w:val="-2"/>
                <w:sz w:val="15"/>
              </w:rPr>
              <w:t>syndrome</w:t>
            </w:r>
          </w:p>
          <w:p>
            <w:pPr>
              <w:pStyle w:val="TableParagraph"/>
              <w:numPr>
                <w:ilvl w:val="0"/>
                <w:numId w:val="103"/>
              </w:numPr>
              <w:tabs>
                <w:tab w:pos="217" w:val="left" w:leader="none"/>
              </w:tabs>
              <w:spacing w:line="168" w:lineRule="exact" w:before="0" w:after="0"/>
              <w:ind w:left="217" w:right="0" w:hanging="149"/>
              <w:jc w:val="left"/>
              <w:rPr>
                <w:sz w:val="15"/>
              </w:rPr>
            </w:pPr>
            <w:r>
              <w:rPr>
                <w:color w:val="231F20"/>
                <w:sz w:val="15"/>
              </w:rPr>
              <w:t>Navajo</w:t>
            </w:r>
            <w:r>
              <w:rPr>
                <w:color w:val="231F20"/>
                <w:spacing w:val="-2"/>
                <w:sz w:val="15"/>
              </w:rPr>
              <w:t> </w:t>
            </w:r>
            <w:r>
              <w:rPr>
                <w:color w:val="231F20"/>
                <w:sz w:val="15"/>
              </w:rPr>
              <w:t>Indian</w:t>
            </w:r>
            <w:r>
              <w:rPr>
                <w:color w:val="231F20"/>
                <w:spacing w:val="-1"/>
                <w:sz w:val="15"/>
              </w:rPr>
              <w:t> </w:t>
            </w:r>
            <w:r>
              <w:rPr>
                <w:color w:val="231F20"/>
                <w:spacing w:val="-2"/>
                <w:sz w:val="15"/>
              </w:rPr>
              <w:t>neuropathy</w:t>
            </w:r>
          </w:p>
          <w:p>
            <w:pPr>
              <w:pStyle w:val="TableParagraph"/>
              <w:numPr>
                <w:ilvl w:val="0"/>
                <w:numId w:val="103"/>
              </w:numPr>
              <w:tabs>
                <w:tab w:pos="217" w:val="left" w:leader="none"/>
              </w:tabs>
              <w:spacing w:line="230" w:lineRule="auto" w:before="2" w:after="0"/>
              <w:ind w:left="68" w:right="2145" w:firstLine="0"/>
              <w:jc w:val="left"/>
              <w:rPr>
                <w:sz w:val="15"/>
              </w:rPr>
            </w:pPr>
            <w:r>
              <w:rPr>
                <w:color w:val="231F20"/>
                <w:sz w:val="15"/>
              </w:rPr>
              <w:t>Multiple</w:t>
            </w:r>
            <w:r>
              <w:rPr>
                <w:color w:val="231F20"/>
                <w:spacing w:val="-6"/>
                <w:sz w:val="15"/>
              </w:rPr>
              <w:t> </w:t>
            </w:r>
            <w:r>
              <w:rPr>
                <w:color w:val="231F20"/>
                <w:sz w:val="15"/>
              </w:rPr>
              <w:t>endocrine</w:t>
            </w:r>
            <w:r>
              <w:rPr>
                <w:color w:val="231F20"/>
                <w:spacing w:val="-6"/>
                <w:sz w:val="15"/>
              </w:rPr>
              <w:t> </w:t>
            </w:r>
            <w:r>
              <w:rPr>
                <w:color w:val="231F20"/>
                <w:sz w:val="15"/>
              </w:rPr>
              <w:t>neoplasia</w:t>
            </w:r>
            <w:r>
              <w:rPr>
                <w:color w:val="231F20"/>
                <w:spacing w:val="-6"/>
                <w:sz w:val="15"/>
              </w:rPr>
              <w:t> </w:t>
            </w:r>
            <w:r>
              <w:rPr>
                <w:color w:val="231F20"/>
                <w:sz w:val="15"/>
              </w:rPr>
              <w:t>type</w:t>
            </w:r>
            <w:r>
              <w:rPr>
                <w:color w:val="231F20"/>
                <w:spacing w:val="-6"/>
                <w:sz w:val="15"/>
              </w:rPr>
              <w:t> </w:t>
            </w:r>
            <w:r>
              <w:rPr>
                <w:color w:val="231F20"/>
                <w:sz w:val="15"/>
              </w:rPr>
              <w:t>2b Toxins</w:t>
            </w:r>
            <w:r>
              <w:rPr>
                <w:color w:val="231F20"/>
                <w:spacing w:val="-11"/>
                <w:sz w:val="15"/>
              </w:rPr>
              <w:t> </w:t>
            </w:r>
            <w:r>
              <w:rPr>
                <w:color w:val="231F20"/>
                <w:sz w:val="15"/>
              </w:rPr>
              <w:t>(see</w:t>
            </w:r>
            <w:r>
              <w:rPr>
                <w:color w:val="231F20"/>
                <w:spacing w:val="-11"/>
                <w:sz w:val="15"/>
              </w:rPr>
              <w:t> </w:t>
            </w:r>
            <w:r>
              <w:rPr>
                <w:color w:val="231F20"/>
                <w:sz w:val="15"/>
              </w:rPr>
              <w:t>Table</w:t>
            </w:r>
            <w:r>
              <w:rPr>
                <w:color w:val="231F20"/>
                <w:spacing w:val="-11"/>
                <w:sz w:val="15"/>
              </w:rPr>
              <w:t> </w:t>
            </w:r>
            <w:r>
              <w:rPr>
                <w:color w:val="231F20"/>
                <w:sz w:val="15"/>
              </w:rPr>
              <w:t>614-1</w:t>
            </w:r>
            <w:r>
              <w:rPr>
                <w:color w:val="231F20"/>
                <w:spacing w:val="-11"/>
                <w:sz w:val="15"/>
              </w:rPr>
              <w:t> </w:t>
            </w:r>
            <w:r>
              <w:rPr>
                <w:color w:val="231F20"/>
                <w:sz w:val="15"/>
              </w:rPr>
              <w:t>in</w:t>
            </w:r>
            <w:r>
              <w:rPr>
                <w:color w:val="231F20"/>
                <w:spacing w:val="-11"/>
                <w:sz w:val="15"/>
              </w:rPr>
              <w:t> </w:t>
            </w:r>
            <w:r>
              <w:rPr>
                <w:color w:val="231F20"/>
                <w:sz w:val="15"/>
              </w:rPr>
              <w:t>Chapter</w:t>
            </w:r>
            <w:r>
              <w:rPr>
                <w:color w:val="231F20"/>
                <w:spacing w:val="-11"/>
                <w:sz w:val="15"/>
              </w:rPr>
              <w:t> </w:t>
            </w:r>
            <w:r>
              <w:rPr>
                <w:color w:val="231F20"/>
                <w:sz w:val="15"/>
              </w:rPr>
              <w:t>614)</w:t>
            </w:r>
          </w:p>
        </w:tc>
      </w:tr>
      <w:tr>
        <w:trPr>
          <w:trHeight w:val="143" w:hRule="atLeast"/>
        </w:trPr>
        <w:tc>
          <w:tcPr>
            <w:tcW w:w="4871" w:type="dxa"/>
            <w:gridSpan w:val="2"/>
            <w:tcBorders>
              <w:left w:val="nil"/>
              <w:bottom w:val="single" w:sz="8" w:space="0" w:color="231F20"/>
              <w:right w:val="single" w:sz="4" w:space="0" w:color="231F20"/>
            </w:tcBorders>
            <w:shd w:val="clear" w:color="auto" w:fill="E8F5F1"/>
          </w:tcPr>
          <w:p>
            <w:pPr>
              <w:pStyle w:val="TableParagraph"/>
              <w:rPr>
                <w:rFonts w:ascii="Times New Roman"/>
                <w:sz w:val="8"/>
              </w:rPr>
            </w:pPr>
          </w:p>
        </w:tc>
        <w:tc>
          <w:tcPr>
            <w:tcW w:w="4871" w:type="dxa"/>
            <w:vMerge/>
            <w:tcBorders>
              <w:top w:val="nil"/>
              <w:left w:val="single" w:sz="4" w:space="0" w:color="231F20"/>
              <w:bottom w:val="single" w:sz="18" w:space="0" w:color="231F20"/>
              <w:right w:val="nil"/>
            </w:tcBorders>
            <w:shd w:val="clear" w:color="auto" w:fill="E8F5F1"/>
          </w:tcPr>
          <w:p>
            <w:pPr>
              <w:rPr>
                <w:sz w:val="2"/>
                <w:szCs w:val="2"/>
              </w:rPr>
            </w:pPr>
          </w:p>
        </w:tc>
      </w:tr>
    </w:tbl>
    <w:p>
      <w:pPr>
        <w:spacing w:after="0"/>
        <w:rPr>
          <w:sz w:val="2"/>
          <w:szCs w:val="2"/>
        </w:rPr>
        <w:sectPr>
          <w:pgSz w:w="11900" w:h="16840"/>
          <w:pgMar w:header="452" w:footer="0" w:top="118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155" name="Group 1155"/>
                <wp:cNvGraphicFramePr>
                  <a:graphicFrameLocks/>
                </wp:cNvGraphicFramePr>
                <a:graphic>
                  <a:graphicData uri="http://schemas.microsoft.com/office/word/2010/wordprocessingGroup">
                    <wpg:wgp>
                      <wpg:cNvPr id="1155" name="Group 1155"/>
                      <wpg:cNvGrpSpPr/>
                      <wpg:grpSpPr>
                        <a:xfrm>
                          <a:off x="0" y="0"/>
                          <a:ext cx="6185535" cy="170815"/>
                          <a:chExt cx="6185535" cy="170815"/>
                        </a:xfrm>
                      </wpg:grpSpPr>
                      <wps:wsp>
                        <wps:cNvPr id="1156" name="Graphic 1156"/>
                        <wps:cNvSpPr/>
                        <wps:spPr>
                          <a:xfrm>
                            <a:off x="6161574" y="92305"/>
                            <a:ext cx="24130" cy="1270"/>
                          </a:xfrm>
                          <a:custGeom>
                            <a:avLst/>
                            <a:gdLst/>
                            <a:ahLst/>
                            <a:cxnLst/>
                            <a:rect l="l" t="t" r="r" b="b"/>
                            <a:pathLst>
                              <a:path w="24130" h="0">
                                <a:moveTo>
                                  <a:pt x="0" y="0"/>
                                </a:moveTo>
                                <a:lnTo>
                                  <a:pt x="23698" y="0"/>
                                </a:lnTo>
                              </a:path>
                            </a:pathLst>
                          </a:custGeom>
                          <a:ln w="142190">
                            <a:solidFill>
                              <a:srgbClr val="0073BC"/>
                            </a:solidFill>
                            <a:prstDash val="solid"/>
                          </a:ln>
                        </wps:spPr>
                        <wps:bodyPr wrap="square" lIns="0" tIns="0" rIns="0" bIns="0" rtlCol="0">
                          <a:prstTxWarp prst="textNoShape">
                            <a:avLst/>
                          </a:prstTxWarp>
                          <a:noAutofit/>
                        </wps:bodyPr>
                      </wps:wsp>
                      <wps:wsp>
                        <wps:cNvPr id="1157" name="Graphic 1157"/>
                        <wps:cNvSpPr/>
                        <wps:spPr>
                          <a:xfrm>
                            <a:off x="0" y="158660"/>
                            <a:ext cx="6185535" cy="1270"/>
                          </a:xfrm>
                          <a:custGeom>
                            <a:avLst/>
                            <a:gdLst/>
                            <a:ahLst/>
                            <a:cxnLst/>
                            <a:rect l="l" t="t" r="r" b="b"/>
                            <a:pathLst>
                              <a:path w="6185535" h="0">
                                <a:moveTo>
                                  <a:pt x="0" y="0"/>
                                </a:moveTo>
                                <a:lnTo>
                                  <a:pt x="6185273" y="0"/>
                                </a:lnTo>
                              </a:path>
                            </a:pathLst>
                          </a:custGeom>
                          <a:ln w="23698">
                            <a:solidFill>
                              <a:srgbClr val="0073BC"/>
                            </a:solidFill>
                            <a:prstDash val="solid"/>
                          </a:ln>
                        </wps:spPr>
                        <wps:bodyPr wrap="square" lIns="0" tIns="0" rIns="0" bIns="0" rtlCol="0">
                          <a:prstTxWarp prst="textNoShape">
                            <a:avLst/>
                          </a:prstTxWarp>
                          <a:noAutofit/>
                        </wps:bodyPr>
                      </wps:wsp>
                      <wps:wsp>
                        <wps:cNvPr id="1158" name="Textbox 115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3008</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926" coordorigin="0,0" coordsize="9741,269">
                <v:line style="position:absolute" from="9703,145" to="9741,145" stroked="true" strokeweight="11.196078pt" strokecolor="#0073bc">
                  <v:stroke dashstyle="solid"/>
                </v:line>
                <v:line style="position:absolute" from="0,250" to="9741,250" stroked="true" strokeweight="1.866013pt" strokecolor="#0073bc">
                  <v:stroke dashstyle="solid"/>
                </v:line>
                <v:shape style="position:absolute;left:0;top:0;width:9741;height:269" type="#_x0000_t202" id="docshape927" filled="false" stroked="false">
                  <v:textbox inset="0,0,0,0">
                    <w:txbxContent>
                      <w:p>
                        <w:pPr>
                          <w:spacing w:before="6"/>
                          <w:ind w:left="-1" w:right="0" w:firstLine="0"/>
                          <w:jc w:val="left"/>
                          <w:rPr>
                            <w:sz w:val="18"/>
                          </w:rPr>
                        </w:pPr>
                        <w:r>
                          <w:rPr>
                            <w:b/>
                            <w:color w:val="231F20"/>
                            <w:w w:val="105"/>
                            <w:sz w:val="18"/>
                          </w:rPr>
                          <w:t>3008</w:t>
                        </w:r>
                        <w:r>
                          <w:rPr>
                            <w:b/>
                            <w:color w:val="231F20"/>
                            <w:spacing w:val="38"/>
                            <w:w w:val="105"/>
                            <w:sz w:val="18"/>
                          </w:rPr>
                          <w:t>  </w:t>
                        </w:r>
                        <w:r>
                          <w:rPr>
                            <w:b/>
                            <w:color w:val="0073BC"/>
                            <w:w w:val="105"/>
                            <w:sz w:val="18"/>
                          </w:rPr>
                          <w:t>Part</w:t>
                        </w:r>
                        <w:r>
                          <w:rPr>
                            <w:b/>
                            <w:color w:val="0073BC"/>
                            <w:spacing w:val="13"/>
                            <w:w w:val="105"/>
                            <w:sz w:val="18"/>
                          </w:rPr>
                          <w:t> </w:t>
                        </w:r>
                        <w:r>
                          <w:rPr>
                            <w:b/>
                            <w:color w:val="0073BC"/>
                            <w:w w:val="105"/>
                            <w:sz w:val="18"/>
                          </w:rPr>
                          <w:t>XXVIII</w:t>
                        </w:r>
                        <w:r>
                          <w:rPr>
                            <w:b/>
                            <w:color w:val="0073BC"/>
                            <w:spacing w:val="39"/>
                            <w:w w:val="105"/>
                            <w:sz w:val="18"/>
                          </w:rPr>
                          <w:t> </w:t>
                        </w:r>
                        <w:r>
                          <w:rPr>
                            <w:rFonts w:ascii="Lucida Sans Unicode" w:hAnsi="Lucida Sans Unicode"/>
                            <w:color w:val="6C9BD2"/>
                            <w:w w:val="105"/>
                            <w:sz w:val="15"/>
                          </w:rPr>
                          <w:t>◆</w:t>
                        </w:r>
                        <w:r>
                          <w:rPr>
                            <w:rFonts w:ascii="Lucida Sans Unicode" w:hAnsi="Lucida Sans Unicode"/>
                            <w:color w:val="6C9BD2"/>
                            <w:spacing w:val="46"/>
                            <w:w w:val="105"/>
                            <w:sz w:val="15"/>
                          </w:rPr>
                          <w:t> </w:t>
                        </w:r>
                        <w:r>
                          <w:rPr>
                            <w:color w:val="231F20"/>
                            <w:w w:val="105"/>
                            <w:sz w:val="18"/>
                          </w:rPr>
                          <w:t>Neuromuscular</w:t>
                        </w:r>
                        <w:r>
                          <w:rPr>
                            <w:color w:val="231F20"/>
                            <w:spacing w:val="7"/>
                            <w:w w:val="105"/>
                            <w:sz w:val="18"/>
                          </w:rPr>
                          <w:t> </w:t>
                        </w:r>
                        <w:r>
                          <w:rPr>
                            <w:color w:val="231F20"/>
                            <w:spacing w:val="-2"/>
                            <w:w w:val="105"/>
                            <w:sz w:val="18"/>
                          </w:rPr>
                          <w:t>Disorders</w:t>
                        </w:r>
                      </w:p>
                    </w:txbxContent>
                  </v:textbox>
                  <w10:wrap type="none"/>
                </v:shape>
              </v:group>
            </w:pict>
          </mc:Fallback>
        </mc:AlternateContent>
      </w:r>
      <w:r>
        <w:rPr>
          <w:sz w:val="20"/>
        </w:rPr>
      </w:r>
    </w:p>
    <w:p>
      <w:pPr>
        <w:pStyle w:val="BodyText"/>
        <w:spacing w:before="11"/>
        <w:rPr>
          <w:i/>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563"/>
        <w:gridCol w:w="2239"/>
        <w:gridCol w:w="2405"/>
        <w:gridCol w:w="2390"/>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615-</w:t>
            </w:r>
            <w:r>
              <w:rPr>
                <w:b/>
                <w:color w:val="FFFFFF"/>
                <w:spacing w:val="-10"/>
                <w:w w:val="105"/>
                <w:sz w:val="16"/>
              </w:rPr>
              <w:t>2</w:t>
            </w:r>
          </w:p>
        </w:tc>
        <w:tc>
          <w:tcPr>
            <w:tcW w:w="8597" w:type="dxa"/>
            <w:gridSpan w:val="4"/>
            <w:tcBorders>
              <w:left w:val="single" w:sz="8" w:space="0" w:color="FFFFFF"/>
            </w:tcBorders>
            <w:shd w:val="clear" w:color="auto" w:fill="231F20"/>
          </w:tcPr>
          <w:p>
            <w:pPr>
              <w:pStyle w:val="TableParagraph"/>
              <w:spacing w:before="89"/>
              <w:ind w:left="73"/>
              <w:rPr>
                <w:sz w:val="16"/>
              </w:rPr>
            </w:pPr>
            <w:r>
              <w:rPr>
                <w:color w:val="FFFFFF"/>
                <w:w w:val="105"/>
                <w:sz w:val="16"/>
              </w:rPr>
              <w:t>Major</w:t>
            </w:r>
            <w:r>
              <w:rPr>
                <w:color w:val="FFFFFF"/>
                <w:spacing w:val="5"/>
                <w:w w:val="105"/>
                <w:sz w:val="16"/>
              </w:rPr>
              <w:t> </w:t>
            </w:r>
            <w:r>
              <w:rPr>
                <w:color w:val="FFFFFF"/>
                <w:w w:val="105"/>
                <w:sz w:val="16"/>
              </w:rPr>
              <w:t>Clinical</w:t>
            </w:r>
            <w:r>
              <w:rPr>
                <w:color w:val="FFFFFF"/>
                <w:spacing w:val="6"/>
                <w:w w:val="105"/>
                <w:sz w:val="16"/>
              </w:rPr>
              <w:t> </w:t>
            </w:r>
            <w:r>
              <w:rPr>
                <w:color w:val="FFFFFF"/>
                <w:w w:val="105"/>
                <w:sz w:val="16"/>
              </w:rPr>
              <w:t>Features</w:t>
            </w:r>
            <w:r>
              <w:rPr>
                <w:color w:val="FFFFFF"/>
                <w:spacing w:val="5"/>
                <w:w w:val="105"/>
                <w:sz w:val="16"/>
              </w:rPr>
              <w:t> </w:t>
            </w:r>
            <w:r>
              <w:rPr>
                <w:color w:val="FFFFFF"/>
                <w:w w:val="105"/>
                <w:sz w:val="16"/>
              </w:rPr>
              <w:t>of</w:t>
            </w:r>
            <w:r>
              <w:rPr>
                <w:color w:val="FFFFFF"/>
                <w:spacing w:val="6"/>
                <w:w w:val="105"/>
                <w:sz w:val="16"/>
              </w:rPr>
              <w:t> </w:t>
            </w:r>
            <w:r>
              <w:rPr>
                <w:color w:val="FFFFFF"/>
                <w:w w:val="105"/>
                <w:sz w:val="16"/>
              </w:rPr>
              <w:t>Hereditary</w:t>
            </w:r>
            <w:r>
              <w:rPr>
                <w:color w:val="FFFFFF"/>
                <w:spacing w:val="6"/>
                <w:w w:val="105"/>
                <w:sz w:val="16"/>
              </w:rPr>
              <w:t> </w:t>
            </w:r>
            <w:r>
              <w:rPr>
                <w:color w:val="FFFFFF"/>
                <w:w w:val="105"/>
                <w:sz w:val="16"/>
              </w:rPr>
              <w:t>Sensory-Autonomic</w:t>
            </w:r>
            <w:r>
              <w:rPr>
                <w:color w:val="FFFFFF"/>
                <w:spacing w:val="5"/>
                <w:w w:val="105"/>
                <w:sz w:val="16"/>
              </w:rPr>
              <w:t> </w:t>
            </w:r>
            <w:r>
              <w:rPr>
                <w:color w:val="FFFFFF"/>
                <w:w w:val="105"/>
                <w:sz w:val="16"/>
              </w:rPr>
              <w:t>Neuropathy</w:t>
            </w:r>
            <w:r>
              <w:rPr>
                <w:color w:val="FFFFFF"/>
                <w:spacing w:val="6"/>
                <w:w w:val="105"/>
                <w:sz w:val="16"/>
              </w:rPr>
              <w:t> </w:t>
            </w:r>
            <w:r>
              <w:rPr>
                <w:color w:val="FFFFFF"/>
                <w:w w:val="105"/>
                <w:sz w:val="16"/>
              </w:rPr>
              <w:t>Types</w:t>
            </w:r>
            <w:r>
              <w:rPr>
                <w:color w:val="FFFFFF"/>
                <w:spacing w:val="6"/>
                <w:w w:val="105"/>
                <w:sz w:val="16"/>
              </w:rPr>
              <w:t> </w:t>
            </w:r>
            <w:r>
              <w:rPr>
                <w:color w:val="FFFFFF"/>
                <w:w w:val="105"/>
                <w:sz w:val="16"/>
              </w:rPr>
              <w:t>II,</w:t>
            </w:r>
            <w:r>
              <w:rPr>
                <w:color w:val="FFFFFF"/>
                <w:spacing w:val="5"/>
                <w:w w:val="105"/>
                <w:sz w:val="16"/>
              </w:rPr>
              <w:t> </w:t>
            </w:r>
            <w:r>
              <w:rPr>
                <w:color w:val="FFFFFF"/>
                <w:w w:val="105"/>
                <w:sz w:val="16"/>
              </w:rPr>
              <w:t>III,</w:t>
            </w:r>
            <w:r>
              <w:rPr>
                <w:color w:val="FFFFFF"/>
                <w:spacing w:val="6"/>
                <w:w w:val="105"/>
                <w:sz w:val="16"/>
              </w:rPr>
              <w:t> </w:t>
            </w:r>
            <w:r>
              <w:rPr>
                <w:color w:val="FFFFFF"/>
                <w:w w:val="105"/>
                <w:sz w:val="16"/>
              </w:rPr>
              <w:t>and</w:t>
            </w:r>
            <w:r>
              <w:rPr>
                <w:color w:val="FFFFFF"/>
                <w:spacing w:val="6"/>
                <w:w w:val="105"/>
                <w:sz w:val="16"/>
              </w:rPr>
              <w:t> </w:t>
            </w:r>
            <w:r>
              <w:rPr>
                <w:color w:val="FFFFFF"/>
                <w:spacing w:val="-5"/>
                <w:w w:val="105"/>
                <w:sz w:val="16"/>
              </w:rPr>
              <w:t>IV</w:t>
            </w:r>
          </w:p>
        </w:tc>
      </w:tr>
      <w:tr>
        <w:trPr>
          <w:trHeight w:val="276" w:hRule="atLeast"/>
        </w:trPr>
        <w:tc>
          <w:tcPr>
            <w:tcW w:w="2711" w:type="dxa"/>
            <w:gridSpan w:val="2"/>
            <w:tcBorders>
              <w:bottom w:val="single" w:sz="4" w:space="0" w:color="231F20"/>
            </w:tcBorders>
            <w:shd w:val="clear" w:color="auto" w:fill="E8F5F1"/>
          </w:tcPr>
          <w:p>
            <w:pPr>
              <w:pStyle w:val="TableParagraph"/>
              <w:spacing w:before="66"/>
              <w:ind w:left="74"/>
              <w:rPr>
                <w:b/>
                <w:sz w:val="15"/>
              </w:rPr>
            </w:pPr>
            <w:r>
              <w:rPr>
                <w:b/>
                <w:color w:val="231F20"/>
                <w:w w:val="110"/>
                <w:sz w:val="15"/>
              </w:rPr>
              <w:t>CLINICAL</w:t>
            </w:r>
            <w:r>
              <w:rPr>
                <w:b/>
                <w:color w:val="231F20"/>
                <w:spacing w:val="-4"/>
                <w:w w:val="110"/>
                <w:sz w:val="15"/>
              </w:rPr>
              <w:t> </w:t>
            </w:r>
            <w:r>
              <w:rPr>
                <w:b/>
                <w:color w:val="231F20"/>
                <w:spacing w:val="-2"/>
                <w:w w:val="110"/>
                <w:sz w:val="15"/>
              </w:rPr>
              <w:t>FEATURES</w:t>
            </w:r>
          </w:p>
        </w:tc>
        <w:tc>
          <w:tcPr>
            <w:tcW w:w="2239" w:type="dxa"/>
            <w:tcBorders>
              <w:bottom w:val="single" w:sz="4" w:space="0" w:color="231F20"/>
            </w:tcBorders>
            <w:shd w:val="clear" w:color="auto" w:fill="E8F5F1"/>
          </w:tcPr>
          <w:p>
            <w:pPr>
              <w:pStyle w:val="TableParagraph"/>
              <w:spacing w:before="66"/>
              <w:ind w:left="619"/>
              <w:rPr>
                <w:b/>
                <w:sz w:val="15"/>
              </w:rPr>
            </w:pPr>
            <w:r>
              <w:rPr>
                <w:b/>
                <w:color w:val="231F20"/>
                <w:w w:val="105"/>
                <w:sz w:val="15"/>
              </w:rPr>
              <w:t>HSAN</w:t>
            </w:r>
            <w:r>
              <w:rPr>
                <w:b/>
                <w:color w:val="231F20"/>
                <w:spacing w:val="19"/>
                <w:w w:val="105"/>
                <w:sz w:val="15"/>
              </w:rPr>
              <w:t> </w:t>
            </w:r>
            <w:r>
              <w:rPr>
                <w:b/>
                <w:color w:val="231F20"/>
                <w:w w:val="105"/>
                <w:sz w:val="15"/>
              </w:rPr>
              <w:t>TYPE</w:t>
            </w:r>
            <w:r>
              <w:rPr>
                <w:b/>
                <w:color w:val="231F20"/>
                <w:spacing w:val="20"/>
                <w:w w:val="105"/>
                <w:sz w:val="15"/>
              </w:rPr>
              <w:t> </w:t>
            </w:r>
            <w:r>
              <w:rPr>
                <w:b/>
                <w:color w:val="231F20"/>
                <w:spacing w:val="-5"/>
                <w:w w:val="105"/>
                <w:sz w:val="15"/>
              </w:rPr>
              <w:t>II</w:t>
            </w:r>
          </w:p>
        </w:tc>
        <w:tc>
          <w:tcPr>
            <w:tcW w:w="2405" w:type="dxa"/>
            <w:tcBorders>
              <w:bottom w:val="single" w:sz="4" w:space="0" w:color="231F20"/>
            </w:tcBorders>
            <w:shd w:val="clear" w:color="auto" w:fill="E8F5F1"/>
          </w:tcPr>
          <w:p>
            <w:pPr>
              <w:pStyle w:val="TableParagraph"/>
              <w:spacing w:before="66"/>
              <w:ind w:left="679"/>
              <w:rPr>
                <w:b/>
                <w:sz w:val="15"/>
              </w:rPr>
            </w:pPr>
            <w:r>
              <w:rPr>
                <w:b/>
                <w:color w:val="231F20"/>
                <w:w w:val="105"/>
                <w:sz w:val="15"/>
              </w:rPr>
              <w:t>HSAN</w:t>
            </w:r>
            <w:r>
              <w:rPr>
                <w:b/>
                <w:color w:val="231F20"/>
                <w:spacing w:val="19"/>
                <w:w w:val="105"/>
                <w:sz w:val="15"/>
              </w:rPr>
              <w:t> </w:t>
            </w:r>
            <w:r>
              <w:rPr>
                <w:b/>
                <w:color w:val="231F20"/>
                <w:w w:val="105"/>
                <w:sz w:val="15"/>
              </w:rPr>
              <w:t>TYPE</w:t>
            </w:r>
            <w:r>
              <w:rPr>
                <w:b/>
                <w:color w:val="231F20"/>
                <w:spacing w:val="20"/>
                <w:w w:val="105"/>
                <w:sz w:val="15"/>
              </w:rPr>
              <w:t> </w:t>
            </w:r>
            <w:r>
              <w:rPr>
                <w:b/>
                <w:color w:val="231F20"/>
                <w:spacing w:val="-5"/>
                <w:w w:val="105"/>
                <w:sz w:val="15"/>
              </w:rPr>
              <w:t>III</w:t>
            </w:r>
          </w:p>
        </w:tc>
        <w:tc>
          <w:tcPr>
            <w:tcW w:w="2390" w:type="dxa"/>
            <w:tcBorders>
              <w:bottom w:val="single" w:sz="4" w:space="0" w:color="231F20"/>
            </w:tcBorders>
            <w:shd w:val="clear" w:color="auto" w:fill="E8F5F1"/>
          </w:tcPr>
          <w:p>
            <w:pPr>
              <w:pStyle w:val="TableParagraph"/>
              <w:spacing w:before="66"/>
              <w:ind w:left="769"/>
              <w:rPr>
                <w:b/>
                <w:sz w:val="15"/>
              </w:rPr>
            </w:pPr>
            <w:r>
              <w:rPr>
                <w:b/>
                <w:color w:val="231F20"/>
                <w:w w:val="110"/>
                <w:sz w:val="15"/>
              </w:rPr>
              <w:t>HSAN</w:t>
            </w:r>
            <w:r>
              <w:rPr>
                <w:b/>
                <w:color w:val="231F20"/>
                <w:spacing w:val="-1"/>
                <w:w w:val="110"/>
                <w:sz w:val="15"/>
              </w:rPr>
              <w:t> </w:t>
            </w:r>
            <w:r>
              <w:rPr>
                <w:b/>
                <w:color w:val="231F20"/>
                <w:w w:val="110"/>
                <w:sz w:val="15"/>
              </w:rPr>
              <w:t>TYPE</w:t>
            </w:r>
            <w:r>
              <w:rPr>
                <w:b/>
                <w:color w:val="231F20"/>
                <w:spacing w:val="-1"/>
                <w:w w:val="110"/>
                <w:sz w:val="15"/>
              </w:rPr>
              <w:t> </w:t>
            </w:r>
            <w:r>
              <w:rPr>
                <w:b/>
                <w:color w:val="231F20"/>
                <w:spacing w:val="-5"/>
                <w:w w:val="110"/>
                <w:sz w:val="15"/>
              </w:rPr>
              <w:t>IV</w:t>
            </w:r>
          </w:p>
        </w:tc>
      </w:tr>
      <w:tr>
        <w:trPr>
          <w:trHeight w:val="257" w:hRule="atLeast"/>
        </w:trPr>
        <w:tc>
          <w:tcPr>
            <w:tcW w:w="2711"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w w:val="105"/>
                <w:sz w:val="15"/>
              </w:rPr>
              <w:t>Onset</w:t>
            </w:r>
          </w:p>
        </w:tc>
        <w:tc>
          <w:tcPr>
            <w:tcW w:w="2239" w:type="dxa"/>
            <w:tcBorders>
              <w:top w:val="single" w:sz="4" w:space="0" w:color="231F20"/>
              <w:bottom w:val="single" w:sz="4" w:space="0" w:color="FFFFFF"/>
            </w:tcBorders>
            <w:shd w:val="clear" w:color="auto" w:fill="E8F5F1"/>
          </w:tcPr>
          <w:p>
            <w:pPr>
              <w:pStyle w:val="TableParagraph"/>
              <w:spacing w:before="47"/>
              <w:ind w:left="287"/>
              <w:rPr>
                <w:sz w:val="15"/>
              </w:rPr>
            </w:pPr>
            <w:r>
              <w:rPr>
                <w:color w:val="231F20"/>
                <w:spacing w:val="-4"/>
                <w:sz w:val="15"/>
              </w:rPr>
              <w:t>Birth</w:t>
            </w:r>
          </w:p>
        </w:tc>
        <w:tc>
          <w:tcPr>
            <w:tcW w:w="2405" w:type="dxa"/>
            <w:tcBorders>
              <w:top w:val="single" w:sz="4" w:space="0" w:color="231F20"/>
              <w:bottom w:val="single" w:sz="4" w:space="0" w:color="FFFFFF"/>
            </w:tcBorders>
            <w:shd w:val="clear" w:color="auto" w:fill="E8F5F1"/>
          </w:tcPr>
          <w:p>
            <w:pPr>
              <w:pStyle w:val="TableParagraph"/>
              <w:spacing w:before="47"/>
              <w:ind w:left="286"/>
              <w:rPr>
                <w:sz w:val="15"/>
              </w:rPr>
            </w:pPr>
            <w:r>
              <w:rPr>
                <w:color w:val="231F20"/>
                <w:spacing w:val="-4"/>
                <w:sz w:val="15"/>
              </w:rPr>
              <w:t>Birth</w:t>
            </w:r>
          </w:p>
        </w:tc>
        <w:tc>
          <w:tcPr>
            <w:tcW w:w="2390" w:type="dxa"/>
            <w:tcBorders>
              <w:top w:val="single" w:sz="4" w:space="0" w:color="231F20"/>
              <w:bottom w:val="single" w:sz="4" w:space="0" w:color="FFFFFF"/>
            </w:tcBorders>
            <w:shd w:val="clear" w:color="auto" w:fill="E8F5F1"/>
          </w:tcPr>
          <w:p>
            <w:pPr>
              <w:pStyle w:val="TableParagraph"/>
              <w:spacing w:before="47"/>
              <w:ind w:left="285"/>
              <w:rPr>
                <w:sz w:val="15"/>
              </w:rPr>
            </w:pPr>
            <w:r>
              <w:rPr>
                <w:color w:val="231F20"/>
                <w:spacing w:val="-4"/>
                <w:sz w:val="15"/>
              </w:rPr>
              <w:t>Birth</w:t>
            </w:r>
          </w:p>
        </w:tc>
      </w:tr>
      <w:tr>
        <w:trPr>
          <w:trHeight w:val="1098" w:hRule="atLeast"/>
        </w:trPr>
        <w:tc>
          <w:tcPr>
            <w:tcW w:w="2711" w:type="dxa"/>
            <w:gridSpan w:val="2"/>
            <w:tcBorders>
              <w:top w:val="single" w:sz="4" w:space="0" w:color="FFFFFF"/>
              <w:bottom w:val="single" w:sz="4" w:space="0" w:color="FFFFFF"/>
            </w:tcBorders>
            <w:shd w:val="clear" w:color="auto" w:fill="E8F5F1"/>
          </w:tcPr>
          <w:p>
            <w:pPr>
              <w:pStyle w:val="TableParagraph"/>
              <w:spacing w:line="230" w:lineRule="auto" w:before="48"/>
              <w:ind w:left="186" w:right="312" w:hanging="112"/>
              <w:rPr>
                <w:sz w:val="15"/>
              </w:rPr>
            </w:pPr>
            <w:r>
              <w:rPr>
                <w:color w:val="231F20"/>
                <w:sz w:val="15"/>
              </w:rPr>
              <w:t>Initial</w:t>
            </w:r>
            <w:r>
              <w:rPr>
                <w:color w:val="231F20"/>
                <w:spacing w:val="-12"/>
                <w:sz w:val="15"/>
              </w:rPr>
              <w:t> </w:t>
            </w:r>
            <w:r>
              <w:rPr>
                <w:color w:val="231F20"/>
                <w:sz w:val="15"/>
              </w:rPr>
              <w:t>symptoms</w:t>
            </w:r>
            <w:r>
              <w:rPr>
                <w:color w:val="231F20"/>
                <w:spacing w:val="-11"/>
                <w:sz w:val="15"/>
              </w:rPr>
              <w:t> </w:t>
            </w:r>
            <w:r>
              <w:rPr>
                <w:color w:val="231F20"/>
                <w:sz w:val="15"/>
              </w:rPr>
              <w:t>(from</w:t>
            </w:r>
            <w:r>
              <w:rPr>
                <w:color w:val="231F20"/>
                <w:spacing w:val="-11"/>
                <w:sz w:val="15"/>
              </w:rPr>
              <w:t> </w:t>
            </w:r>
            <w:r>
              <w:rPr>
                <w:color w:val="231F20"/>
                <w:sz w:val="15"/>
              </w:rPr>
              <w:t>birth</w:t>
            </w:r>
            <w:r>
              <w:rPr>
                <w:color w:val="231F20"/>
                <w:spacing w:val="-12"/>
                <w:sz w:val="15"/>
              </w:rPr>
              <w:t> </w:t>
            </w:r>
            <w:r>
              <w:rPr>
                <w:color w:val="231F20"/>
                <w:sz w:val="15"/>
              </w:rPr>
              <w:t>to</w:t>
            </w:r>
            <w:r>
              <w:rPr>
                <w:color w:val="231F20"/>
                <w:spacing w:val="-11"/>
                <w:sz w:val="15"/>
              </w:rPr>
              <w:t> </w:t>
            </w:r>
            <w:r>
              <w:rPr>
                <w:color w:val="231F20"/>
                <w:sz w:val="15"/>
              </w:rPr>
              <w:t>age 3 yr)</w:t>
            </w:r>
          </w:p>
        </w:tc>
        <w:tc>
          <w:tcPr>
            <w:tcW w:w="2239" w:type="dxa"/>
            <w:tcBorders>
              <w:top w:val="single" w:sz="4" w:space="0" w:color="FFFFFF"/>
              <w:bottom w:val="single" w:sz="4" w:space="0" w:color="FFFFFF"/>
            </w:tcBorders>
            <w:shd w:val="clear" w:color="auto" w:fill="E8F5F1"/>
          </w:tcPr>
          <w:p>
            <w:pPr>
              <w:pStyle w:val="TableParagraph"/>
              <w:spacing w:before="42"/>
              <w:ind w:left="287"/>
              <w:rPr>
                <w:sz w:val="15"/>
              </w:rPr>
            </w:pPr>
            <w:r>
              <w:rPr>
                <w:color w:val="231F20"/>
                <w:sz w:val="15"/>
              </w:rPr>
              <w:t>Swallowing</w:t>
            </w:r>
            <w:r>
              <w:rPr>
                <w:color w:val="231F20"/>
                <w:spacing w:val="-7"/>
                <w:sz w:val="15"/>
              </w:rPr>
              <w:t> </w:t>
            </w:r>
            <w:r>
              <w:rPr>
                <w:color w:val="231F20"/>
                <w:spacing w:val="-2"/>
                <w:sz w:val="15"/>
              </w:rPr>
              <w:t>problems</w:t>
            </w:r>
          </w:p>
          <w:p>
            <w:pPr>
              <w:pStyle w:val="TableParagraph"/>
              <w:spacing w:line="232" w:lineRule="auto" w:before="167"/>
              <w:ind w:left="287" w:right="28" w:hanging="1"/>
              <w:rPr>
                <w:sz w:val="15"/>
              </w:rPr>
            </w:pPr>
            <w:r>
              <w:rPr>
                <w:color w:val="231F20"/>
                <w:sz w:val="15"/>
              </w:rPr>
              <w:t>Self-mutilation (65%) Delayed</w:t>
            </w:r>
            <w:r>
              <w:rPr>
                <w:color w:val="231F20"/>
                <w:spacing w:val="-12"/>
                <w:sz w:val="15"/>
              </w:rPr>
              <w:t> </w:t>
            </w:r>
            <w:r>
              <w:rPr>
                <w:color w:val="231F20"/>
                <w:sz w:val="15"/>
              </w:rPr>
              <w:t>development</w:t>
            </w:r>
          </w:p>
        </w:tc>
        <w:tc>
          <w:tcPr>
            <w:tcW w:w="2405" w:type="dxa"/>
            <w:tcBorders>
              <w:top w:val="single" w:sz="4" w:space="0" w:color="FFFFFF"/>
              <w:bottom w:val="single" w:sz="4" w:space="0" w:color="FFFFFF"/>
            </w:tcBorders>
            <w:shd w:val="clear" w:color="auto" w:fill="E8F5F1"/>
          </w:tcPr>
          <w:p>
            <w:pPr>
              <w:pStyle w:val="TableParagraph"/>
              <w:spacing w:before="42"/>
              <w:ind w:left="286"/>
              <w:rPr>
                <w:sz w:val="15"/>
              </w:rPr>
            </w:pPr>
            <w:r>
              <w:rPr>
                <w:color w:val="231F20"/>
                <w:sz w:val="15"/>
              </w:rPr>
              <w:t>Swallowing</w:t>
            </w:r>
            <w:r>
              <w:rPr>
                <w:color w:val="231F20"/>
                <w:spacing w:val="-7"/>
                <w:sz w:val="15"/>
              </w:rPr>
              <w:t> </w:t>
            </w:r>
            <w:r>
              <w:rPr>
                <w:color w:val="231F20"/>
                <w:spacing w:val="-2"/>
                <w:sz w:val="15"/>
              </w:rPr>
              <w:t>problems</w:t>
            </w:r>
          </w:p>
          <w:p>
            <w:pPr>
              <w:pStyle w:val="TableParagraph"/>
              <w:spacing w:line="232" w:lineRule="auto" w:before="167"/>
              <w:ind w:left="286" w:right="359" w:hanging="1"/>
              <w:rPr>
                <w:sz w:val="15"/>
              </w:rPr>
            </w:pPr>
            <w:r>
              <w:rPr>
                <w:color w:val="231F20"/>
                <w:sz w:val="15"/>
              </w:rPr>
              <w:t>Aspiration pneumonia Breech</w:t>
            </w:r>
            <w:r>
              <w:rPr>
                <w:color w:val="231F20"/>
                <w:spacing w:val="-12"/>
                <w:sz w:val="15"/>
              </w:rPr>
              <w:t> </w:t>
            </w:r>
            <w:r>
              <w:rPr>
                <w:color w:val="231F20"/>
                <w:sz w:val="15"/>
              </w:rPr>
              <w:t>presentation</w:t>
            </w:r>
            <w:r>
              <w:rPr>
                <w:color w:val="231F20"/>
                <w:spacing w:val="-11"/>
                <w:sz w:val="15"/>
              </w:rPr>
              <w:t> </w:t>
            </w:r>
            <w:r>
              <w:rPr>
                <w:color w:val="231F20"/>
                <w:sz w:val="15"/>
              </w:rPr>
              <w:t>(37%) </w:t>
            </w:r>
            <w:r>
              <w:rPr>
                <w:color w:val="231F20"/>
                <w:spacing w:val="-2"/>
                <w:sz w:val="15"/>
              </w:rPr>
              <w:t>Hypothermia</w:t>
            </w:r>
          </w:p>
          <w:p>
            <w:pPr>
              <w:pStyle w:val="TableParagraph"/>
              <w:spacing w:line="171" w:lineRule="exact"/>
              <w:ind w:left="286"/>
              <w:rPr>
                <w:sz w:val="15"/>
              </w:rPr>
            </w:pPr>
            <w:r>
              <w:rPr>
                <w:color w:val="231F20"/>
                <w:sz w:val="15"/>
              </w:rPr>
              <w:t>Delayed</w:t>
            </w:r>
            <w:r>
              <w:rPr>
                <w:color w:val="231F20"/>
                <w:spacing w:val="11"/>
                <w:sz w:val="15"/>
              </w:rPr>
              <w:t> </w:t>
            </w:r>
            <w:r>
              <w:rPr>
                <w:color w:val="231F20"/>
                <w:spacing w:val="-2"/>
                <w:sz w:val="15"/>
              </w:rPr>
              <w:t>development</w:t>
            </w:r>
          </w:p>
        </w:tc>
        <w:tc>
          <w:tcPr>
            <w:tcW w:w="2390" w:type="dxa"/>
            <w:tcBorders>
              <w:top w:val="single" w:sz="4" w:space="0" w:color="FFFFFF"/>
              <w:bottom w:val="single" w:sz="4" w:space="0" w:color="FFFFFF"/>
            </w:tcBorders>
            <w:shd w:val="clear" w:color="auto" w:fill="E8F5F1"/>
          </w:tcPr>
          <w:p>
            <w:pPr>
              <w:pStyle w:val="TableParagraph"/>
              <w:spacing w:before="42"/>
              <w:ind w:left="285"/>
              <w:rPr>
                <w:sz w:val="15"/>
              </w:rPr>
            </w:pPr>
            <w:r>
              <w:rPr>
                <w:color w:val="231F20"/>
                <w:spacing w:val="-2"/>
                <w:sz w:val="15"/>
              </w:rPr>
              <w:t>Fevers</w:t>
            </w:r>
          </w:p>
          <w:p>
            <w:pPr>
              <w:pStyle w:val="TableParagraph"/>
              <w:spacing w:before="163"/>
              <w:ind w:left="285"/>
              <w:rPr>
                <w:sz w:val="15"/>
              </w:rPr>
            </w:pPr>
            <w:r>
              <w:rPr>
                <w:color w:val="231F20"/>
                <w:spacing w:val="-4"/>
                <w:sz w:val="15"/>
              </w:rPr>
              <w:t>Self-mutilation</w:t>
            </w:r>
            <w:r>
              <w:rPr>
                <w:color w:val="231F20"/>
                <w:spacing w:val="10"/>
                <w:sz w:val="15"/>
              </w:rPr>
              <w:t> </w:t>
            </w:r>
            <w:r>
              <w:rPr>
                <w:color w:val="231F20"/>
                <w:spacing w:val="-4"/>
                <w:sz w:val="15"/>
              </w:rPr>
              <w:t>(88%)</w:t>
            </w:r>
          </w:p>
        </w:tc>
      </w:tr>
      <w:tr>
        <w:trPr>
          <w:trHeight w:val="591" w:hRule="atLeast"/>
        </w:trPr>
        <w:tc>
          <w:tcPr>
            <w:tcW w:w="2711"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z w:val="15"/>
              </w:rPr>
              <w:t>Unique</w:t>
            </w:r>
            <w:r>
              <w:rPr>
                <w:color w:val="231F20"/>
                <w:spacing w:val="5"/>
                <w:sz w:val="15"/>
              </w:rPr>
              <w:t> </w:t>
            </w:r>
            <w:r>
              <w:rPr>
                <w:color w:val="231F20"/>
                <w:spacing w:val="-2"/>
                <w:sz w:val="15"/>
              </w:rPr>
              <w:t>features</w:t>
            </w:r>
          </w:p>
        </w:tc>
        <w:tc>
          <w:tcPr>
            <w:tcW w:w="2239" w:type="dxa"/>
            <w:tcBorders>
              <w:top w:val="single" w:sz="4" w:space="0" w:color="FFFFFF"/>
              <w:bottom w:val="single" w:sz="4" w:space="0" w:color="FFFFFF"/>
            </w:tcBorders>
            <w:shd w:val="clear" w:color="auto" w:fill="E8F5F1"/>
          </w:tcPr>
          <w:p>
            <w:pPr>
              <w:pStyle w:val="TableParagraph"/>
              <w:spacing w:line="172" w:lineRule="exact" w:before="42"/>
              <w:ind w:left="287"/>
              <w:rPr>
                <w:sz w:val="15"/>
              </w:rPr>
            </w:pPr>
            <w:r>
              <w:rPr>
                <w:color w:val="231F20"/>
                <w:sz w:val="15"/>
              </w:rPr>
              <w:t>No</w:t>
            </w:r>
            <w:r>
              <w:rPr>
                <w:color w:val="231F20"/>
                <w:spacing w:val="16"/>
                <w:sz w:val="15"/>
              </w:rPr>
              <w:t> </w:t>
            </w:r>
            <w:r>
              <w:rPr>
                <w:color w:val="231F20"/>
                <w:sz w:val="15"/>
              </w:rPr>
              <w:t>axon</w:t>
            </w:r>
            <w:r>
              <w:rPr>
                <w:color w:val="231F20"/>
                <w:spacing w:val="17"/>
                <w:sz w:val="15"/>
              </w:rPr>
              <w:t> </w:t>
            </w:r>
            <w:r>
              <w:rPr>
                <w:color w:val="231F20"/>
                <w:spacing w:val="-2"/>
                <w:sz w:val="15"/>
              </w:rPr>
              <w:t>flare</w:t>
            </w:r>
          </w:p>
          <w:p>
            <w:pPr>
              <w:pStyle w:val="TableParagraph"/>
              <w:spacing w:line="232" w:lineRule="auto" w:before="2"/>
              <w:ind w:left="288" w:hanging="1"/>
              <w:rPr>
                <w:sz w:val="15"/>
              </w:rPr>
            </w:pPr>
            <w:r>
              <w:rPr>
                <w:color w:val="231F20"/>
                <w:spacing w:val="-2"/>
                <w:sz w:val="15"/>
              </w:rPr>
              <w:t>Lack</w:t>
            </w:r>
            <w:r>
              <w:rPr>
                <w:color w:val="231F20"/>
                <w:spacing w:val="-7"/>
                <w:sz w:val="15"/>
              </w:rPr>
              <w:t> </w:t>
            </w:r>
            <w:r>
              <w:rPr>
                <w:color w:val="231F20"/>
                <w:spacing w:val="-2"/>
                <w:sz w:val="15"/>
              </w:rPr>
              <w:t>of</w:t>
            </w:r>
            <w:r>
              <w:rPr>
                <w:color w:val="231F20"/>
                <w:spacing w:val="-7"/>
                <w:sz w:val="15"/>
              </w:rPr>
              <w:t> </w:t>
            </w:r>
            <w:r>
              <w:rPr>
                <w:color w:val="231F20"/>
                <w:spacing w:val="-2"/>
                <w:sz w:val="15"/>
              </w:rPr>
              <w:t>fungiform</w:t>
            </w:r>
            <w:r>
              <w:rPr>
                <w:color w:val="231F20"/>
                <w:spacing w:val="-7"/>
                <w:sz w:val="15"/>
              </w:rPr>
              <w:t> </w:t>
            </w:r>
            <w:r>
              <w:rPr>
                <w:color w:val="231F20"/>
                <w:spacing w:val="-2"/>
                <w:sz w:val="15"/>
              </w:rPr>
              <w:t>papilla </w:t>
            </w:r>
            <w:r>
              <w:rPr>
                <w:color w:val="231F20"/>
                <w:sz w:val="15"/>
              </w:rPr>
              <w:t>Hearing loss (30%)</w:t>
            </w:r>
          </w:p>
        </w:tc>
        <w:tc>
          <w:tcPr>
            <w:tcW w:w="2405" w:type="dxa"/>
            <w:tcBorders>
              <w:top w:val="single" w:sz="4" w:space="0" w:color="FFFFFF"/>
              <w:bottom w:val="single" w:sz="4" w:space="0" w:color="FFFFFF"/>
            </w:tcBorders>
            <w:shd w:val="clear" w:color="auto" w:fill="E8F5F1"/>
          </w:tcPr>
          <w:p>
            <w:pPr>
              <w:pStyle w:val="TableParagraph"/>
              <w:spacing w:line="172" w:lineRule="exact" w:before="42"/>
              <w:ind w:left="286"/>
              <w:rPr>
                <w:sz w:val="15"/>
              </w:rPr>
            </w:pPr>
            <w:r>
              <w:rPr>
                <w:color w:val="231F20"/>
                <w:sz w:val="15"/>
              </w:rPr>
              <w:t>No</w:t>
            </w:r>
            <w:r>
              <w:rPr>
                <w:color w:val="231F20"/>
                <w:spacing w:val="16"/>
                <w:sz w:val="15"/>
              </w:rPr>
              <w:t> </w:t>
            </w:r>
            <w:r>
              <w:rPr>
                <w:color w:val="231F20"/>
                <w:sz w:val="15"/>
              </w:rPr>
              <w:t>axon</w:t>
            </w:r>
            <w:r>
              <w:rPr>
                <w:color w:val="231F20"/>
                <w:spacing w:val="17"/>
                <w:sz w:val="15"/>
              </w:rPr>
              <w:t> </w:t>
            </w:r>
            <w:r>
              <w:rPr>
                <w:color w:val="231F20"/>
                <w:spacing w:val="-2"/>
                <w:sz w:val="15"/>
              </w:rPr>
              <w:t>flare</w:t>
            </w:r>
          </w:p>
          <w:p>
            <w:pPr>
              <w:pStyle w:val="TableParagraph"/>
              <w:spacing w:line="232" w:lineRule="auto" w:before="2"/>
              <w:ind w:left="287" w:hanging="1"/>
              <w:rPr>
                <w:sz w:val="15"/>
              </w:rPr>
            </w:pPr>
            <w:r>
              <w:rPr>
                <w:color w:val="231F20"/>
                <w:spacing w:val="-2"/>
                <w:sz w:val="15"/>
              </w:rPr>
              <w:t>Lack</w:t>
            </w:r>
            <w:r>
              <w:rPr>
                <w:color w:val="231F20"/>
                <w:spacing w:val="-7"/>
                <w:sz w:val="15"/>
              </w:rPr>
              <w:t> </w:t>
            </w:r>
            <w:r>
              <w:rPr>
                <w:color w:val="231F20"/>
                <w:spacing w:val="-2"/>
                <w:sz w:val="15"/>
              </w:rPr>
              <w:t>of</w:t>
            </w:r>
            <w:r>
              <w:rPr>
                <w:color w:val="231F20"/>
                <w:spacing w:val="-7"/>
                <w:sz w:val="15"/>
              </w:rPr>
              <w:t> </w:t>
            </w:r>
            <w:r>
              <w:rPr>
                <w:color w:val="231F20"/>
                <w:spacing w:val="-2"/>
                <w:sz w:val="15"/>
              </w:rPr>
              <w:t>fungiform</w:t>
            </w:r>
            <w:r>
              <w:rPr>
                <w:color w:val="231F20"/>
                <w:spacing w:val="-7"/>
                <w:sz w:val="15"/>
              </w:rPr>
              <w:t> </w:t>
            </w:r>
            <w:r>
              <w:rPr>
                <w:color w:val="231F20"/>
                <w:spacing w:val="-2"/>
                <w:sz w:val="15"/>
              </w:rPr>
              <w:t>papilla Alacrima</w:t>
            </w:r>
          </w:p>
        </w:tc>
        <w:tc>
          <w:tcPr>
            <w:tcW w:w="2390" w:type="dxa"/>
            <w:tcBorders>
              <w:top w:val="single" w:sz="4" w:space="0" w:color="FFFFFF"/>
              <w:bottom w:val="single" w:sz="4" w:space="0" w:color="FFFFFF"/>
            </w:tcBorders>
            <w:shd w:val="clear" w:color="auto" w:fill="E8F5F1"/>
          </w:tcPr>
          <w:p>
            <w:pPr>
              <w:pStyle w:val="TableParagraph"/>
              <w:spacing w:line="232" w:lineRule="auto" w:before="46"/>
              <w:ind w:left="285" w:right="698" w:hanging="1"/>
              <w:rPr>
                <w:sz w:val="15"/>
              </w:rPr>
            </w:pPr>
            <w:r>
              <w:rPr>
                <w:color w:val="231F20"/>
                <w:sz w:val="15"/>
              </w:rPr>
              <w:t>No axon flare </w:t>
            </w:r>
            <w:r>
              <w:rPr>
                <w:color w:val="231F20"/>
                <w:spacing w:val="-2"/>
                <w:sz w:val="15"/>
              </w:rPr>
              <w:t>Anhidrosis </w:t>
            </w:r>
            <w:r>
              <w:rPr>
                <w:color w:val="231F20"/>
                <w:sz w:val="15"/>
              </w:rPr>
              <w:t>Consanguinity </w:t>
            </w:r>
            <w:r>
              <w:rPr>
                <w:color w:val="231F20"/>
                <w:sz w:val="15"/>
              </w:rPr>
              <w:t>50%</w:t>
            </w:r>
          </w:p>
        </w:tc>
      </w:tr>
      <w:tr>
        <w:trPr>
          <w:trHeight w:val="930" w:hRule="atLeast"/>
        </w:trPr>
        <w:tc>
          <w:tcPr>
            <w:tcW w:w="2711" w:type="dxa"/>
            <w:gridSpan w:val="2"/>
            <w:tcBorders>
              <w:top w:val="single" w:sz="4" w:space="0" w:color="FFFFFF"/>
              <w:bottom w:val="single" w:sz="4" w:space="0" w:color="FFFFFF"/>
            </w:tcBorders>
            <w:shd w:val="clear" w:color="auto" w:fill="E8F5F1"/>
          </w:tcPr>
          <w:p>
            <w:pPr>
              <w:pStyle w:val="TableParagraph"/>
              <w:spacing w:line="172" w:lineRule="exact" w:before="42"/>
              <w:ind w:left="75"/>
              <w:rPr>
                <w:sz w:val="15"/>
              </w:rPr>
            </w:pPr>
            <w:r>
              <w:rPr>
                <w:color w:val="231F20"/>
                <w:sz w:val="15"/>
              </w:rPr>
              <w:t>Sensory</w:t>
            </w:r>
            <w:r>
              <w:rPr>
                <w:color w:val="231F20"/>
                <w:spacing w:val="11"/>
                <w:sz w:val="15"/>
              </w:rPr>
              <w:t> </w:t>
            </w:r>
            <w:r>
              <w:rPr>
                <w:color w:val="231F20"/>
                <w:spacing w:val="-2"/>
                <w:sz w:val="15"/>
              </w:rPr>
              <w:t>dysfunction</w:t>
            </w:r>
          </w:p>
          <w:p>
            <w:pPr>
              <w:pStyle w:val="TableParagraph"/>
              <w:spacing w:line="232" w:lineRule="auto" w:before="2"/>
              <w:ind w:left="223" w:right="61"/>
              <w:rPr>
                <w:sz w:val="15"/>
              </w:rPr>
            </w:pPr>
            <w:r>
              <w:rPr>
                <w:color w:val="231F20"/>
                <w:sz w:val="15"/>
              </w:rPr>
              <w:t>Depressed deep tendon </w:t>
            </w:r>
            <w:r>
              <w:rPr>
                <w:color w:val="231F20"/>
                <w:sz w:val="15"/>
              </w:rPr>
              <w:t>reflexes Pain perception</w:t>
            </w:r>
          </w:p>
          <w:p>
            <w:pPr>
              <w:pStyle w:val="TableParagraph"/>
              <w:spacing w:line="232" w:lineRule="auto" w:before="1"/>
              <w:ind w:left="223" w:right="312"/>
              <w:rPr>
                <w:sz w:val="15"/>
              </w:rPr>
            </w:pPr>
            <w:r>
              <w:rPr>
                <w:color w:val="231F20"/>
                <w:spacing w:val="-2"/>
                <w:sz w:val="15"/>
              </w:rPr>
              <w:t>Temperature</w:t>
            </w:r>
            <w:r>
              <w:rPr>
                <w:color w:val="231F20"/>
                <w:spacing w:val="-9"/>
                <w:sz w:val="15"/>
              </w:rPr>
              <w:t> </w:t>
            </w:r>
            <w:r>
              <w:rPr>
                <w:color w:val="231F20"/>
                <w:spacing w:val="-2"/>
                <w:sz w:val="15"/>
              </w:rPr>
              <w:t>perception </w:t>
            </w:r>
            <w:r>
              <w:rPr>
                <w:color w:val="231F20"/>
                <w:sz w:val="15"/>
              </w:rPr>
              <w:t>Vibration sense</w:t>
            </w:r>
          </w:p>
        </w:tc>
        <w:tc>
          <w:tcPr>
            <w:tcW w:w="2239" w:type="dxa"/>
            <w:tcBorders>
              <w:top w:val="single" w:sz="4" w:space="0" w:color="FFFFFF"/>
              <w:bottom w:val="single" w:sz="4" w:space="0" w:color="FFFFFF"/>
            </w:tcBorders>
            <w:shd w:val="clear" w:color="auto" w:fill="E8F5F1"/>
          </w:tcPr>
          <w:p>
            <w:pPr>
              <w:pStyle w:val="TableParagraph"/>
              <w:spacing w:before="41"/>
              <w:rPr>
                <w:i/>
                <w:sz w:val="15"/>
              </w:rPr>
            </w:pPr>
          </w:p>
          <w:p>
            <w:pPr>
              <w:pStyle w:val="TableParagraph"/>
              <w:spacing w:line="232" w:lineRule="auto"/>
              <w:ind w:left="287" w:right="942"/>
              <w:rPr>
                <w:sz w:val="15"/>
              </w:rPr>
            </w:pPr>
            <w:r>
              <w:rPr>
                <w:color w:val="231F20"/>
                <w:sz w:val="15"/>
              </w:rPr>
              <w:t>Frequent</w:t>
            </w:r>
            <w:r>
              <w:rPr>
                <w:color w:val="231F20"/>
                <w:spacing w:val="-12"/>
                <w:sz w:val="15"/>
              </w:rPr>
              <w:t> </w:t>
            </w:r>
            <w:r>
              <w:rPr>
                <w:color w:val="231F20"/>
                <w:sz w:val="15"/>
              </w:rPr>
              <w:t>(71%) </w:t>
            </w:r>
            <w:r>
              <w:rPr>
                <w:color w:val="231F20"/>
                <w:spacing w:val="-2"/>
                <w:sz w:val="15"/>
              </w:rPr>
              <w:t>Absent</w:t>
            </w:r>
          </w:p>
          <w:p>
            <w:pPr>
              <w:pStyle w:val="TableParagraph"/>
              <w:spacing w:line="232" w:lineRule="auto" w:before="1"/>
              <w:ind w:left="287" w:right="848"/>
              <w:rPr>
                <w:sz w:val="15"/>
              </w:rPr>
            </w:pPr>
            <w:r>
              <w:rPr>
                <w:color w:val="231F20"/>
                <w:sz w:val="15"/>
              </w:rPr>
              <w:t>Severe</w:t>
            </w:r>
            <w:r>
              <w:rPr>
                <w:color w:val="231F20"/>
                <w:spacing w:val="-12"/>
                <w:sz w:val="15"/>
              </w:rPr>
              <w:t> </w:t>
            </w:r>
            <w:r>
              <w:rPr>
                <w:color w:val="231F20"/>
                <w:sz w:val="15"/>
              </w:rPr>
              <w:t>decrease </w:t>
            </w:r>
            <w:r>
              <w:rPr>
                <w:color w:val="231F20"/>
                <w:spacing w:val="-2"/>
                <w:sz w:val="15"/>
              </w:rPr>
              <w:t>Normal</w:t>
            </w:r>
          </w:p>
        </w:tc>
        <w:tc>
          <w:tcPr>
            <w:tcW w:w="2405" w:type="dxa"/>
            <w:tcBorders>
              <w:top w:val="single" w:sz="4" w:space="0" w:color="FFFFFF"/>
              <w:bottom w:val="single" w:sz="4" w:space="0" w:color="FFFFFF"/>
            </w:tcBorders>
            <w:shd w:val="clear" w:color="auto" w:fill="E8F5F1"/>
          </w:tcPr>
          <w:p>
            <w:pPr>
              <w:pStyle w:val="TableParagraph"/>
              <w:spacing w:before="41"/>
              <w:rPr>
                <w:i/>
                <w:sz w:val="15"/>
              </w:rPr>
            </w:pPr>
          </w:p>
          <w:p>
            <w:pPr>
              <w:pStyle w:val="TableParagraph"/>
              <w:spacing w:line="232" w:lineRule="auto"/>
              <w:ind w:left="286" w:right="272"/>
              <w:rPr>
                <w:sz w:val="15"/>
              </w:rPr>
            </w:pPr>
            <w:r>
              <w:rPr>
                <w:color w:val="231F20"/>
                <w:sz w:val="15"/>
              </w:rPr>
              <w:t>Almost consistent (99%) Mild</w:t>
            </w:r>
            <w:r>
              <w:rPr>
                <w:color w:val="231F20"/>
                <w:spacing w:val="-5"/>
                <w:sz w:val="15"/>
              </w:rPr>
              <w:t> </w:t>
            </w:r>
            <w:r>
              <w:rPr>
                <w:color w:val="231F20"/>
                <w:sz w:val="15"/>
              </w:rPr>
              <w:t>to</w:t>
            </w:r>
            <w:r>
              <w:rPr>
                <w:color w:val="231F20"/>
                <w:spacing w:val="-5"/>
                <w:sz w:val="15"/>
              </w:rPr>
              <w:t> </w:t>
            </w:r>
            <w:r>
              <w:rPr>
                <w:color w:val="231F20"/>
                <w:sz w:val="15"/>
              </w:rPr>
              <w:t>moderate</w:t>
            </w:r>
            <w:r>
              <w:rPr>
                <w:color w:val="231F20"/>
                <w:spacing w:val="-5"/>
                <w:sz w:val="15"/>
              </w:rPr>
              <w:t> </w:t>
            </w:r>
            <w:r>
              <w:rPr>
                <w:color w:val="231F20"/>
                <w:sz w:val="15"/>
              </w:rPr>
              <w:t>decrease Mild</w:t>
            </w:r>
            <w:r>
              <w:rPr>
                <w:color w:val="231F20"/>
                <w:spacing w:val="-5"/>
                <w:sz w:val="15"/>
              </w:rPr>
              <w:t> </w:t>
            </w:r>
            <w:r>
              <w:rPr>
                <w:color w:val="231F20"/>
                <w:sz w:val="15"/>
              </w:rPr>
              <w:t>to</w:t>
            </w:r>
            <w:r>
              <w:rPr>
                <w:color w:val="231F20"/>
                <w:spacing w:val="-5"/>
                <w:sz w:val="15"/>
              </w:rPr>
              <w:t> </w:t>
            </w:r>
            <w:r>
              <w:rPr>
                <w:color w:val="231F20"/>
                <w:sz w:val="15"/>
              </w:rPr>
              <w:t>moderate</w:t>
            </w:r>
            <w:r>
              <w:rPr>
                <w:color w:val="231F20"/>
                <w:spacing w:val="-5"/>
                <w:sz w:val="15"/>
              </w:rPr>
              <w:t> </w:t>
            </w:r>
            <w:r>
              <w:rPr>
                <w:color w:val="231F20"/>
                <w:sz w:val="15"/>
              </w:rPr>
              <w:t>decrease </w:t>
            </w:r>
            <w:r>
              <w:rPr>
                <w:color w:val="231F20"/>
                <w:spacing w:val="-2"/>
                <w:sz w:val="15"/>
              </w:rPr>
              <w:t>Normal</w:t>
            </w:r>
          </w:p>
        </w:tc>
        <w:tc>
          <w:tcPr>
            <w:tcW w:w="2390" w:type="dxa"/>
            <w:tcBorders>
              <w:top w:val="single" w:sz="4" w:space="0" w:color="FFFFFF"/>
              <w:bottom w:val="single" w:sz="4" w:space="0" w:color="FFFFFF"/>
            </w:tcBorders>
            <w:shd w:val="clear" w:color="auto" w:fill="E8F5F1"/>
          </w:tcPr>
          <w:p>
            <w:pPr>
              <w:pStyle w:val="TableParagraph"/>
              <w:spacing w:before="41"/>
              <w:rPr>
                <w:i/>
                <w:sz w:val="15"/>
              </w:rPr>
            </w:pPr>
          </w:p>
          <w:p>
            <w:pPr>
              <w:pStyle w:val="TableParagraph"/>
              <w:spacing w:line="232" w:lineRule="auto"/>
              <w:ind w:left="285" w:right="698"/>
              <w:rPr>
                <w:sz w:val="15"/>
              </w:rPr>
            </w:pPr>
            <w:r>
              <w:rPr>
                <w:color w:val="231F20"/>
                <w:spacing w:val="-2"/>
                <w:sz w:val="15"/>
              </w:rPr>
              <w:t>Infrequent</w:t>
            </w:r>
            <w:r>
              <w:rPr>
                <w:color w:val="231F20"/>
                <w:spacing w:val="-10"/>
                <w:sz w:val="15"/>
              </w:rPr>
              <w:t> </w:t>
            </w:r>
            <w:r>
              <w:rPr>
                <w:color w:val="231F20"/>
                <w:spacing w:val="-2"/>
                <w:sz w:val="15"/>
              </w:rPr>
              <w:t>(9%) Absent</w:t>
            </w:r>
          </w:p>
          <w:p>
            <w:pPr>
              <w:pStyle w:val="TableParagraph"/>
              <w:spacing w:line="169" w:lineRule="exact"/>
              <w:ind w:left="285"/>
              <w:rPr>
                <w:sz w:val="15"/>
              </w:rPr>
            </w:pPr>
            <w:r>
              <w:rPr>
                <w:color w:val="231F20"/>
                <w:spacing w:val="-2"/>
                <w:w w:val="105"/>
                <w:sz w:val="15"/>
              </w:rPr>
              <w:t>Absent</w:t>
            </w:r>
          </w:p>
          <w:p>
            <w:pPr>
              <w:pStyle w:val="TableParagraph"/>
              <w:spacing w:line="172" w:lineRule="exact"/>
              <w:ind w:left="285"/>
              <w:rPr>
                <w:sz w:val="15"/>
              </w:rPr>
            </w:pPr>
            <w:r>
              <w:rPr>
                <w:color w:val="231F20"/>
                <w:sz w:val="15"/>
              </w:rPr>
              <w:t>Normal</w:t>
            </w:r>
            <w:r>
              <w:rPr>
                <w:color w:val="231F20"/>
                <w:spacing w:val="3"/>
                <w:sz w:val="15"/>
              </w:rPr>
              <w:t> </w:t>
            </w:r>
            <w:r>
              <w:rPr>
                <w:color w:val="231F20"/>
                <w:sz w:val="15"/>
              </w:rPr>
              <w:t>to</w:t>
            </w:r>
            <w:r>
              <w:rPr>
                <w:color w:val="231F20"/>
                <w:spacing w:val="3"/>
                <w:sz w:val="15"/>
              </w:rPr>
              <w:t> </w:t>
            </w:r>
            <w:r>
              <w:rPr>
                <w:color w:val="231F20"/>
                <w:sz w:val="15"/>
              </w:rPr>
              <w:t>moderate</w:t>
            </w:r>
            <w:r>
              <w:rPr>
                <w:color w:val="231F20"/>
                <w:spacing w:val="3"/>
                <w:sz w:val="15"/>
              </w:rPr>
              <w:t> </w:t>
            </w:r>
            <w:r>
              <w:rPr>
                <w:color w:val="231F20"/>
                <w:spacing w:val="-2"/>
                <w:sz w:val="15"/>
              </w:rPr>
              <w:t>decrease</w:t>
            </w:r>
          </w:p>
        </w:tc>
      </w:tr>
      <w:tr>
        <w:trPr>
          <w:trHeight w:val="761" w:hRule="atLeast"/>
        </w:trPr>
        <w:tc>
          <w:tcPr>
            <w:tcW w:w="2711" w:type="dxa"/>
            <w:gridSpan w:val="2"/>
            <w:tcBorders>
              <w:top w:val="single" w:sz="4" w:space="0" w:color="FFFFFF"/>
              <w:bottom w:val="single" w:sz="4" w:space="0" w:color="FFFFFF"/>
            </w:tcBorders>
            <w:shd w:val="clear" w:color="auto" w:fill="E8F5F1"/>
          </w:tcPr>
          <w:p>
            <w:pPr>
              <w:pStyle w:val="TableParagraph"/>
              <w:spacing w:line="232" w:lineRule="auto" w:before="46"/>
              <w:ind w:left="223" w:right="851" w:hanging="150"/>
              <w:rPr>
                <w:sz w:val="15"/>
              </w:rPr>
            </w:pPr>
            <w:r>
              <w:rPr>
                <w:color w:val="231F20"/>
                <w:spacing w:val="-2"/>
                <w:sz w:val="15"/>
              </w:rPr>
              <w:t>Autonomic </w:t>
            </w:r>
            <w:r>
              <w:rPr>
                <w:color w:val="231F20"/>
                <w:sz w:val="15"/>
              </w:rPr>
              <w:t>Gastroesophageal</w:t>
            </w:r>
            <w:r>
              <w:rPr>
                <w:color w:val="231F20"/>
                <w:spacing w:val="-12"/>
                <w:sz w:val="15"/>
              </w:rPr>
              <w:t> </w:t>
            </w:r>
            <w:r>
              <w:rPr>
                <w:color w:val="231F20"/>
                <w:sz w:val="15"/>
              </w:rPr>
              <w:t>reflux Postural hypotension Episodic hypertension</w:t>
            </w:r>
          </w:p>
        </w:tc>
        <w:tc>
          <w:tcPr>
            <w:tcW w:w="2239" w:type="dxa"/>
            <w:tcBorders>
              <w:top w:val="single" w:sz="4" w:space="0" w:color="FFFFFF"/>
              <w:bottom w:val="single" w:sz="4" w:space="0" w:color="FFFFFF"/>
            </w:tcBorders>
            <w:shd w:val="clear" w:color="auto" w:fill="E8F5F1"/>
          </w:tcPr>
          <w:p>
            <w:pPr>
              <w:pStyle w:val="TableParagraph"/>
              <w:spacing w:before="37"/>
              <w:rPr>
                <w:i/>
                <w:sz w:val="15"/>
              </w:rPr>
            </w:pPr>
          </w:p>
          <w:p>
            <w:pPr>
              <w:pStyle w:val="TableParagraph"/>
              <w:spacing w:line="172" w:lineRule="exact"/>
              <w:ind w:left="287"/>
              <w:rPr>
                <w:sz w:val="15"/>
              </w:rPr>
            </w:pPr>
            <w:r>
              <w:rPr>
                <w:color w:val="231F20"/>
                <w:sz w:val="15"/>
              </w:rPr>
              <w:t>Frequent</w:t>
            </w:r>
            <w:r>
              <w:rPr>
                <w:color w:val="231F20"/>
                <w:spacing w:val="-6"/>
                <w:sz w:val="15"/>
              </w:rPr>
              <w:t> </w:t>
            </w:r>
            <w:r>
              <w:rPr>
                <w:color w:val="231F20"/>
                <w:spacing w:val="-2"/>
                <w:sz w:val="15"/>
              </w:rPr>
              <w:t>(71%)</w:t>
            </w:r>
          </w:p>
          <w:p>
            <w:pPr>
              <w:pStyle w:val="TableParagraph"/>
              <w:spacing w:line="232" w:lineRule="auto" w:before="2"/>
              <w:ind w:left="287" w:right="545"/>
              <w:rPr>
                <w:sz w:val="15"/>
              </w:rPr>
            </w:pPr>
            <w:r>
              <w:rPr>
                <w:color w:val="231F20"/>
                <w:sz w:val="15"/>
              </w:rPr>
              <w:t>Uncommon</w:t>
            </w:r>
            <w:r>
              <w:rPr>
                <w:color w:val="231F20"/>
                <w:spacing w:val="-12"/>
                <w:sz w:val="15"/>
              </w:rPr>
              <w:t> </w:t>
            </w:r>
            <w:r>
              <w:rPr>
                <w:color w:val="231F20"/>
                <w:sz w:val="15"/>
              </w:rPr>
              <w:t>(25%) </w:t>
            </w:r>
            <w:r>
              <w:rPr>
                <w:color w:val="231F20"/>
                <w:spacing w:val="-4"/>
                <w:sz w:val="15"/>
              </w:rPr>
              <w:t>Rare</w:t>
            </w:r>
          </w:p>
        </w:tc>
        <w:tc>
          <w:tcPr>
            <w:tcW w:w="2405" w:type="dxa"/>
            <w:tcBorders>
              <w:top w:val="single" w:sz="4" w:space="0" w:color="FFFFFF"/>
              <w:bottom w:val="single" w:sz="4" w:space="0" w:color="FFFFFF"/>
            </w:tcBorders>
            <w:shd w:val="clear" w:color="auto" w:fill="E8F5F1"/>
          </w:tcPr>
          <w:p>
            <w:pPr>
              <w:pStyle w:val="TableParagraph"/>
              <w:spacing w:before="37"/>
              <w:rPr>
                <w:i/>
                <w:sz w:val="15"/>
              </w:rPr>
            </w:pPr>
          </w:p>
          <w:p>
            <w:pPr>
              <w:pStyle w:val="TableParagraph"/>
              <w:spacing w:line="172" w:lineRule="exact"/>
              <w:ind w:left="286"/>
              <w:rPr>
                <w:sz w:val="15"/>
              </w:rPr>
            </w:pPr>
            <w:r>
              <w:rPr>
                <w:color w:val="231F20"/>
                <w:sz w:val="15"/>
              </w:rPr>
              <w:t>Frequent</w:t>
            </w:r>
            <w:r>
              <w:rPr>
                <w:color w:val="231F20"/>
                <w:spacing w:val="-6"/>
                <w:sz w:val="15"/>
              </w:rPr>
              <w:t> </w:t>
            </w:r>
            <w:r>
              <w:rPr>
                <w:color w:val="231F20"/>
                <w:spacing w:val="-2"/>
                <w:sz w:val="15"/>
              </w:rPr>
              <w:t>(67%)</w:t>
            </w:r>
          </w:p>
          <w:p>
            <w:pPr>
              <w:pStyle w:val="TableParagraph"/>
              <w:spacing w:line="232" w:lineRule="auto" w:before="2"/>
              <w:ind w:left="286"/>
              <w:rPr>
                <w:sz w:val="15"/>
              </w:rPr>
            </w:pPr>
            <w:r>
              <w:rPr>
                <w:color w:val="231F20"/>
                <w:sz w:val="15"/>
              </w:rPr>
              <w:t>Almost</w:t>
            </w:r>
            <w:r>
              <w:rPr>
                <w:color w:val="231F20"/>
                <w:spacing w:val="-12"/>
                <w:sz w:val="15"/>
              </w:rPr>
              <w:t> </w:t>
            </w:r>
            <w:r>
              <w:rPr>
                <w:color w:val="231F20"/>
                <w:sz w:val="15"/>
              </w:rPr>
              <w:t>consistent</w:t>
            </w:r>
            <w:r>
              <w:rPr>
                <w:color w:val="231F20"/>
                <w:spacing w:val="-11"/>
                <w:sz w:val="15"/>
              </w:rPr>
              <w:t> </w:t>
            </w:r>
            <w:r>
              <w:rPr>
                <w:color w:val="231F20"/>
                <w:sz w:val="15"/>
              </w:rPr>
              <w:t>(99%) </w:t>
            </w:r>
            <w:r>
              <w:rPr>
                <w:color w:val="231F20"/>
                <w:spacing w:val="-2"/>
                <w:sz w:val="15"/>
              </w:rPr>
              <w:t>Frequent</w:t>
            </w:r>
          </w:p>
        </w:tc>
        <w:tc>
          <w:tcPr>
            <w:tcW w:w="2390" w:type="dxa"/>
            <w:tcBorders>
              <w:top w:val="single" w:sz="4" w:space="0" w:color="FFFFFF"/>
              <w:bottom w:val="single" w:sz="4" w:space="0" w:color="FFFFFF"/>
            </w:tcBorders>
            <w:shd w:val="clear" w:color="auto" w:fill="E8F5F1"/>
          </w:tcPr>
          <w:p>
            <w:pPr>
              <w:pStyle w:val="TableParagraph"/>
              <w:spacing w:before="37"/>
              <w:rPr>
                <w:i/>
                <w:sz w:val="15"/>
              </w:rPr>
            </w:pPr>
          </w:p>
          <w:p>
            <w:pPr>
              <w:pStyle w:val="TableParagraph"/>
              <w:spacing w:line="172" w:lineRule="exact"/>
              <w:ind w:left="285"/>
              <w:rPr>
                <w:sz w:val="15"/>
              </w:rPr>
            </w:pPr>
            <w:r>
              <w:rPr>
                <w:color w:val="231F20"/>
                <w:sz w:val="15"/>
              </w:rPr>
              <w:t>Uncommon</w:t>
            </w:r>
            <w:r>
              <w:rPr>
                <w:color w:val="231F20"/>
                <w:spacing w:val="23"/>
                <w:sz w:val="15"/>
              </w:rPr>
              <w:t> </w:t>
            </w:r>
            <w:r>
              <w:rPr>
                <w:color w:val="231F20"/>
                <w:spacing w:val="-2"/>
                <w:sz w:val="15"/>
              </w:rPr>
              <w:t>(24%)</w:t>
            </w:r>
          </w:p>
          <w:p>
            <w:pPr>
              <w:pStyle w:val="TableParagraph"/>
              <w:spacing w:line="232" w:lineRule="auto" w:before="2"/>
              <w:ind w:left="285" w:right="698"/>
              <w:rPr>
                <w:sz w:val="15"/>
              </w:rPr>
            </w:pPr>
            <w:r>
              <w:rPr>
                <w:color w:val="231F20"/>
                <w:sz w:val="15"/>
              </w:rPr>
              <w:t>Uncommon</w:t>
            </w:r>
            <w:r>
              <w:rPr>
                <w:color w:val="231F20"/>
                <w:spacing w:val="-12"/>
                <w:sz w:val="15"/>
              </w:rPr>
              <w:t> </w:t>
            </w:r>
            <w:r>
              <w:rPr>
                <w:color w:val="231F20"/>
                <w:sz w:val="15"/>
              </w:rPr>
              <w:t>(29%) </w:t>
            </w:r>
            <w:r>
              <w:rPr>
                <w:color w:val="231F20"/>
                <w:spacing w:val="-4"/>
                <w:sz w:val="15"/>
              </w:rPr>
              <w:t>Rare</w:t>
            </w:r>
          </w:p>
        </w:tc>
      </w:tr>
      <w:tr>
        <w:trPr>
          <w:trHeight w:val="761" w:hRule="atLeast"/>
        </w:trPr>
        <w:tc>
          <w:tcPr>
            <w:tcW w:w="2711" w:type="dxa"/>
            <w:gridSpan w:val="2"/>
            <w:tcBorders>
              <w:top w:val="single" w:sz="4" w:space="0" w:color="FFFFFF"/>
              <w:bottom w:val="single" w:sz="4" w:space="0" w:color="FFFFFF"/>
            </w:tcBorders>
            <w:shd w:val="clear" w:color="auto" w:fill="E8F5F1"/>
          </w:tcPr>
          <w:p>
            <w:pPr>
              <w:pStyle w:val="TableParagraph"/>
              <w:spacing w:line="232" w:lineRule="auto" w:before="46"/>
              <w:ind w:left="223" w:right="1110" w:hanging="150"/>
              <w:rPr>
                <w:sz w:val="15"/>
              </w:rPr>
            </w:pPr>
            <w:r>
              <w:rPr>
                <w:color w:val="231F20"/>
                <w:spacing w:val="-2"/>
                <w:sz w:val="15"/>
              </w:rPr>
              <w:t>Ectodermal</w:t>
            </w:r>
            <w:r>
              <w:rPr>
                <w:color w:val="231F20"/>
                <w:spacing w:val="-10"/>
                <w:sz w:val="15"/>
              </w:rPr>
              <w:t> </w:t>
            </w:r>
            <w:r>
              <w:rPr>
                <w:color w:val="231F20"/>
                <w:spacing w:val="-2"/>
                <w:sz w:val="15"/>
              </w:rPr>
              <w:t>features </w:t>
            </w:r>
            <w:r>
              <w:rPr>
                <w:color w:val="231F20"/>
                <w:sz w:val="15"/>
              </w:rPr>
              <w:t>Dry skin</w:t>
            </w:r>
          </w:p>
          <w:p>
            <w:pPr>
              <w:pStyle w:val="TableParagraph"/>
              <w:spacing w:line="232" w:lineRule="auto" w:before="1"/>
              <w:ind w:left="223" w:right="1871"/>
              <w:rPr>
                <w:sz w:val="15"/>
              </w:rPr>
            </w:pPr>
            <w:r>
              <w:rPr>
                <w:color w:val="231F20"/>
                <w:spacing w:val="-4"/>
                <w:sz w:val="15"/>
              </w:rPr>
              <w:t>Fractures </w:t>
            </w:r>
            <w:r>
              <w:rPr>
                <w:color w:val="231F20"/>
                <w:spacing w:val="-2"/>
                <w:sz w:val="15"/>
              </w:rPr>
              <w:t>Scoliosis</w:t>
            </w:r>
          </w:p>
        </w:tc>
        <w:tc>
          <w:tcPr>
            <w:tcW w:w="2239" w:type="dxa"/>
            <w:tcBorders>
              <w:top w:val="single" w:sz="4" w:space="0" w:color="FFFFFF"/>
              <w:bottom w:val="single" w:sz="4" w:space="0" w:color="FFFFFF"/>
            </w:tcBorders>
            <w:shd w:val="clear" w:color="auto" w:fill="E8F5F1"/>
          </w:tcPr>
          <w:p>
            <w:pPr>
              <w:pStyle w:val="TableParagraph"/>
              <w:spacing w:before="41"/>
              <w:rPr>
                <w:i/>
                <w:sz w:val="15"/>
              </w:rPr>
            </w:pPr>
          </w:p>
          <w:p>
            <w:pPr>
              <w:pStyle w:val="TableParagraph"/>
              <w:spacing w:line="232" w:lineRule="auto"/>
              <w:ind w:left="287" w:right="1524"/>
              <w:rPr>
                <w:sz w:val="15"/>
              </w:rPr>
            </w:pPr>
            <w:r>
              <w:rPr>
                <w:color w:val="231F20"/>
                <w:spacing w:val="-6"/>
                <w:w w:val="115"/>
                <w:sz w:val="15"/>
              </w:rPr>
              <w:t>No </w:t>
            </w:r>
            <w:r>
              <w:rPr>
                <w:color w:val="231F20"/>
                <w:spacing w:val="-5"/>
                <w:w w:val="110"/>
                <w:sz w:val="15"/>
              </w:rPr>
              <w:t>29%</w:t>
            </w:r>
          </w:p>
          <w:p>
            <w:pPr>
              <w:pStyle w:val="TableParagraph"/>
              <w:spacing w:line="171" w:lineRule="exact"/>
              <w:ind w:left="287"/>
              <w:rPr>
                <w:sz w:val="15"/>
              </w:rPr>
            </w:pPr>
            <w:r>
              <w:rPr>
                <w:color w:val="231F20"/>
                <w:spacing w:val="-5"/>
                <w:w w:val="110"/>
                <w:sz w:val="15"/>
              </w:rPr>
              <w:t>59%</w:t>
            </w:r>
          </w:p>
        </w:tc>
        <w:tc>
          <w:tcPr>
            <w:tcW w:w="2405" w:type="dxa"/>
            <w:tcBorders>
              <w:top w:val="single" w:sz="4" w:space="0" w:color="FFFFFF"/>
              <w:bottom w:val="single" w:sz="4" w:space="0" w:color="FFFFFF"/>
            </w:tcBorders>
            <w:shd w:val="clear" w:color="auto" w:fill="E8F5F1"/>
          </w:tcPr>
          <w:p>
            <w:pPr>
              <w:pStyle w:val="TableParagraph"/>
              <w:spacing w:before="41"/>
              <w:rPr>
                <w:i/>
                <w:sz w:val="15"/>
              </w:rPr>
            </w:pPr>
          </w:p>
          <w:p>
            <w:pPr>
              <w:pStyle w:val="TableParagraph"/>
              <w:spacing w:line="232" w:lineRule="auto"/>
              <w:ind w:left="286" w:right="1691"/>
              <w:rPr>
                <w:sz w:val="15"/>
              </w:rPr>
            </w:pPr>
            <w:r>
              <w:rPr>
                <w:color w:val="231F20"/>
                <w:spacing w:val="-6"/>
                <w:w w:val="115"/>
                <w:sz w:val="15"/>
              </w:rPr>
              <w:t>No </w:t>
            </w:r>
            <w:r>
              <w:rPr>
                <w:color w:val="231F20"/>
                <w:spacing w:val="-5"/>
                <w:w w:val="110"/>
                <w:sz w:val="15"/>
              </w:rPr>
              <w:t>40%</w:t>
            </w:r>
          </w:p>
          <w:p>
            <w:pPr>
              <w:pStyle w:val="TableParagraph"/>
              <w:spacing w:line="171" w:lineRule="exact"/>
              <w:ind w:left="286"/>
              <w:rPr>
                <w:sz w:val="15"/>
              </w:rPr>
            </w:pPr>
            <w:r>
              <w:rPr>
                <w:color w:val="231F20"/>
                <w:spacing w:val="-5"/>
                <w:w w:val="110"/>
                <w:sz w:val="15"/>
              </w:rPr>
              <w:t>85%</w:t>
            </w:r>
          </w:p>
        </w:tc>
        <w:tc>
          <w:tcPr>
            <w:tcW w:w="2390" w:type="dxa"/>
            <w:tcBorders>
              <w:top w:val="single" w:sz="4" w:space="0" w:color="FFFFFF"/>
              <w:bottom w:val="single" w:sz="4" w:space="0" w:color="FFFFFF"/>
            </w:tcBorders>
            <w:shd w:val="clear" w:color="auto" w:fill="E8F5F1"/>
          </w:tcPr>
          <w:p>
            <w:pPr>
              <w:pStyle w:val="TableParagraph"/>
              <w:spacing w:before="41"/>
              <w:rPr>
                <w:i/>
                <w:sz w:val="15"/>
              </w:rPr>
            </w:pPr>
          </w:p>
          <w:p>
            <w:pPr>
              <w:pStyle w:val="TableParagraph"/>
              <w:spacing w:line="232" w:lineRule="auto"/>
              <w:ind w:left="285" w:right="1198"/>
              <w:rPr>
                <w:sz w:val="15"/>
              </w:rPr>
            </w:pPr>
            <w:r>
              <w:rPr>
                <w:color w:val="231F20"/>
                <w:spacing w:val="-2"/>
                <w:sz w:val="15"/>
              </w:rPr>
              <w:t>Consistent </w:t>
            </w:r>
            <w:r>
              <w:rPr>
                <w:color w:val="231F20"/>
                <w:spacing w:val="-4"/>
                <w:w w:val="105"/>
                <w:sz w:val="15"/>
              </w:rPr>
              <w:t>71%</w:t>
            </w:r>
          </w:p>
          <w:p>
            <w:pPr>
              <w:pStyle w:val="TableParagraph"/>
              <w:spacing w:line="171" w:lineRule="exact"/>
              <w:ind w:left="285"/>
              <w:rPr>
                <w:sz w:val="15"/>
              </w:rPr>
            </w:pPr>
            <w:r>
              <w:rPr>
                <w:color w:val="231F20"/>
                <w:spacing w:val="-5"/>
                <w:w w:val="110"/>
                <w:sz w:val="15"/>
              </w:rPr>
              <w:t>23%</w:t>
            </w:r>
          </w:p>
        </w:tc>
      </w:tr>
      <w:tr>
        <w:trPr>
          <w:trHeight w:val="588" w:hRule="atLeast"/>
        </w:trPr>
        <w:tc>
          <w:tcPr>
            <w:tcW w:w="2711" w:type="dxa"/>
            <w:gridSpan w:val="2"/>
            <w:tcBorders>
              <w:top w:val="single" w:sz="4" w:space="0" w:color="FFFFFF"/>
              <w:bottom w:val="single" w:sz="8" w:space="0" w:color="231F20"/>
            </w:tcBorders>
            <w:shd w:val="clear" w:color="auto" w:fill="E8F5F1"/>
          </w:tcPr>
          <w:p>
            <w:pPr>
              <w:pStyle w:val="TableParagraph"/>
              <w:spacing w:line="235" w:lineRule="auto" w:before="45"/>
              <w:ind w:left="223" w:right="1850" w:hanging="150"/>
              <w:rPr>
                <w:sz w:val="15"/>
              </w:rPr>
            </w:pPr>
            <w:r>
              <w:rPr>
                <w:color w:val="231F20"/>
                <w:spacing w:val="-2"/>
                <w:sz w:val="15"/>
              </w:rPr>
              <w:t>Intelligence </w:t>
            </w:r>
            <w:r>
              <w:rPr>
                <w:color w:val="231F20"/>
                <w:sz w:val="15"/>
              </w:rPr>
              <w:t>IQ </w:t>
            </w:r>
            <w:r>
              <w:rPr>
                <w:rFonts w:ascii="Cambria"/>
                <w:color w:val="231F20"/>
                <w:sz w:val="15"/>
              </w:rPr>
              <w:t>&lt;</w:t>
            </w:r>
            <w:r>
              <w:rPr>
                <w:color w:val="231F20"/>
                <w:sz w:val="15"/>
              </w:rPr>
              <w:t>65</w:t>
            </w:r>
          </w:p>
          <w:p>
            <w:pPr>
              <w:pStyle w:val="TableParagraph"/>
              <w:spacing w:line="169" w:lineRule="exact"/>
              <w:ind w:left="223"/>
              <w:rPr>
                <w:sz w:val="15"/>
              </w:rPr>
            </w:pPr>
            <w:r>
              <w:rPr>
                <w:color w:val="231F20"/>
                <w:spacing w:val="-2"/>
                <w:sz w:val="15"/>
              </w:rPr>
              <w:t>Hyperactivity</w:t>
            </w:r>
          </w:p>
        </w:tc>
        <w:tc>
          <w:tcPr>
            <w:tcW w:w="2239" w:type="dxa"/>
            <w:tcBorders>
              <w:top w:val="single" w:sz="4" w:space="0" w:color="FFFFFF"/>
              <w:bottom w:val="single" w:sz="8" w:space="0" w:color="231F20"/>
            </w:tcBorders>
            <w:shd w:val="clear" w:color="auto" w:fill="E8F5F1"/>
          </w:tcPr>
          <w:p>
            <w:pPr>
              <w:pStyle w:val="TableParagraph"/>
              <w:spacing w:before="37"/>
              <w:rPr>
                <w:i/>
                <w:sz w:val="15"/>
              </w:rPr>
            </w:pPr>
          </w:p>
          <w:p>
            <w:pPr>
              <w:pStyle w:val="TableParagraph"/>
              <w:spacing w:line="173" w:lineRule="exact"/>
              <w:ind w:left="287"/>
              <w:rPr>
                <w:sz w:val="15"/>
              </w:rPr>
            </w:pPr>
            <w:r>
              <w:rPr>
                <w:color w:val="231F20"/>
                <w:w w:val="105"/>
                <w:sz w:val="15"/>
              </w:rPr>
              <w:t>Common</w:t>
            </w:r>
            <w:r>
              <w:rPr>
                <w:color w:val="231F20"/>
                <w:spacing w:val="4"/>
                <w:w w:val="105"/>
                <w:sz w:val="15"/>
              </w:rPr>
              <w:t> </w:t>
            </w:r>
            <w:r>
              <w:rPr>
                <w:color w:val="231F20"/>
                <w:spacing w:val="-2"/>
                <w:w w:val="105"/>
                <w:sz w:val="15"/>
              </w:rPr>
              <w:t>(38%)</w:t>
            </w:r>
          </w:p>
          <w:p>
            <w:pPr>
              <w:pStyle w:val="TableParagraph"/>
              <w:spacing w:line="173" w:lineRule="exact"/>
              <w:ind w:left="287"/>
              <w:rPr>
                <w:sz w:val="15"/>
              </w:rPr>
            </w:pPr>
            <w:r>
              <w:rPr>
                <w:color w:val="231F20"/>
                <w:w w:val="105"/>
                <w:sz w:val="15"/>
              </w:rPr>
              <w:t>Common</w:t>
            </w:r>
            <w:r>
              <w:rPr>
                <w:color w:val="231F20"/>
                <w:spacing w:val="4"/>
                <w:w w:val="105"/>
                <w:sz w:val="15"/>
              </w:rPr>
              <w:t> </w:t>
            </w:r>
            <w:r>
              <w:rPr>
                <w:color w:val="231F20"/>
                <w:spacing w:val="-2"/>
                <w:w w:val="105"/>
                <w:sz w:val="15"/>
              </w:rPr>
              <w:t>(41%)</w:t>
            </w:r>
          </w:p>
        </w:tc>
        <w:tc>
          <w:tcPr>
            <w:tcW w:w="2405" w:type="dxa"/>
            <w:tcBorders>
              <w:top w:val="single" w:sz="4" w:space="0" w:color="FFFFFF"/>
              <w:bottom w:val="single" w:sz="8" w:space="0" w:color="231F20"/>
            </w:tcBorders>
            <w:shd w:val="clear" w:color="auto" w:fill="E8F5F1"/>
          </w:tcPr>
          <w:p>
            <w:pPr>
              <w:pStyle w:val="TableParagraph"/>
              <w:spacing w:before="38"/>
              <w:rPr>
                <w:i/>
                <w:sz w:val="15"/>
              </w:rPr>
            </w:pPr>
          </w:p>
          <w:p>
            <w:pPr>
              <w:pStyle w:val="TableParagraph"/>
              <w:spacing w:line="237" w:lineRule="auto" w:before="1"/>
              <w:ind w:left="286" w:right="359"/>
              <w:rPr>
                <w:sz w:val="15"/>
              </w:rPr>
            </w:pPr>
            <w:r>
              <w:rPr>
                <w:color w:val="231F20"/>
                <w:sz w:val="15"/>
              </w:rPr>
              <w:t>Uncommon</w:t>
            </w:r>
            <w:r>
              <w:rPr>
                <w:color w:val="231F20"/>
                <w:spacing w:val="-12"/>
                <w:sz w:val="15"/>
              </w:rPr>
              <w:t> </w:t>
            </w:r>
            <w:r>
              <w:rPr>
                <w:color w:val="231F20"/>
                <w:sz w:val="15"/>
              </w:rPr>
              <w:t>(10%) </w:t>
            </w:r>
            <w:r>
              <w:rPr>
                <w:color w:val="231F20"/>
                <w:spacing w:val="-2"/>
                <w:sz w:val="15"/>
              </w:rPr>
              <w:t>Uncommon</w:t>
            </w:r>
          </w:p>
        </w:tc>
        <w:tc>
          <w:tcPr>
            <w:tcW w:w="2390" w:type="dxa"/>
            <w:tcBorders>
              <w:top w:val="single" w:sz="4" w:space="0" w:color="FFFFFF"/>
              <w:bottom w:val="single" w:sz="8" w:space="0" w:color="231F20"/>
            </w:tcBorders>
            <w:shd w:val="clear" w:color="auto" w:fill="E8F5F1"/>
          </w:tcPr>
          <w:p>
            <w:pPr>
              <w:pStyle w:val="TableParagraph"/>
              <w:spacing w:before="37"/>
              <w:rPr>
                <w:i/>
                <w:sz w:val="15"/>
              </w:rPr>
            </w:pPr>
          </w:p>
          <w:p>
            <w:pPr>
              <w:pStyle w:val="TableParagraph"/>
              <w:spacing w:line="173" w:lineRule="exact"/>
              <w:ind w:left="285"/>
              <w:rPr>
                <w:sz w:val="15"/>
              </w:rPr>
            </w:pPr>
            <w:r>
              <w:rPr>
                <w:color w:val="231F20"/>
                <w:w w:val="105"/>
                <w:sz w:val="15"/>
              </w:rPr>
              <w:t>Common</w:t>
            </w:r>
            <w:r>
              <w:rPr>
                <w:color w:val="231F20"/>
                <w:spacing w:val="4"/>
                <w:w w:val="105"/>
                <w:sz w:val="15"/>
              </w:rPr>
              <w:t> </w:t>
            </w:r>
            <w:r>
              <w:rPr>
                <w:color w:val="231F20"/>
                <w:spacing w:val="-2"/>
                <w:w w:val="105"/>
                <w:sz w:val="15"/>
              </w:rPr>
              <w:t>(33%)</w:t>
            </w:r>
          </w:p>
          <w:p>
            <w:pPr>
              <w:pStyle w:val="TableParagraph"/>
              <w:spacing w:line="173" w:lineRule="exact"/>
              <w:ind w:left="285"/>
              <w:rPr>
                <w:sz w:val="15"/>
              </w:rPr>
            </w:pPr>
            <w:r>
              <w:rPr>
                <w:color w:val="231F20"/>
                <w:w w:val="105"/>
                <w:sz w:val="15"/>
              </w:rPr>
              <w:t>Common</w:t>
            </w:r>
            <w:r>
              <w:rPr>
                <w:color w:val="231F20"/>
                <w:spacing w:val="4"/>
                <w:w w:val="105"/>
                <w:sz w:val="15"/>
              </w:rPr>
              <w:t> </w:t>
            </w:r>
            <w:r>
              <w:rPr>
                <w:color w:val="231F20"/>
                <w:spacing w:val="-2"/>
                <w:w w:val="105"/>
                <w:sz w:val="15"/>
              </w:rPr>
              <w:t>(54%)</w:t>
            </w:r>
          </w:p>
        </w:tc>
      </w:tr>
    </w:tbl>
    <w:p>
      <w:pPr>
        <w:pStyle w:val="BodyText"/>
        <w:spacing w:line="152" w:lineRule="exact" w:before="75"/>
        <w:ind w:left="203"/>
      </w:pPr>
      <w:r>
        <w:rPr>
          <w:color w:val="231F20"/>
        </w:rPr>
        <w:t>Frequency</w:t>
      </w:r>
      <w:r>
        <w:rPr>
          <w:color w:val="231F20"/>
          <w:spacing w:val="1"/>
        </w:rPr>
        <w:t> </w:t>
      </w:r>
      <w:r>
        <w:rPr>
          <w:color w:val="231F20"/>
        </w:rPr>
        <w:t>definitions:</w:t>
      </w:r>
      <w:r>
        <w:rPr>
          <w:color w:val="231F20"/>
          <w:spacing w:val="2"/>
        </w:rPr>
        <w:t> </w:t>
      </w:r>
      <w:r>
        <w:rPr>
          <w:color w:val="231F20"/>
        </w:rPr>
        <w:t>rare</w:t>
      </w:r>
      <w:r>
        <w:rPr>
          <w:color w:val="231F20"/>
          <w:spacing w:val="2"/>
        </w:rPr>
        <w:t> </w:t>
      </w:r>
      <w:r>
        <w:rPr>
          <w:rFonts w:ascii="Cambria"/>
          <w:color w:val="231F20"/>
        </w:rPr>
        <w:t>=</w:t>
      </w:r>
      <w:r>
        <w:rPr>
          <w:rFonts w:ascii="Cambria"/>
          <w:color w:val="231F20"/>
          <w:spacing w:val="13"/>
        </w:rPr>
        <w:t> </w:t>
      </w:r>
      <w:r>
        <w:rPr>
          <w:rFonts w:ascii="Cambria"/>
          <w:color w:val="231F20"/>
        </w:rPr>
        <w:t>&lt;</w:t>
      </w:r>
      <w:r>
        <w:rPr>
          <w:color w:val="231F20"/>
        </w:rPr>
        <w:t>1%;</w:t>
      </w:r>
      <w:r>
        <w:rPr>
          <w:color w:val="231F20"/>
          <w:spacing w:val="1"/>
        </w:rPr>
        <w:t> </w:t>
      </w:r>
      <w:r>
        <w:rPr>
          <w:color w:val="231F20"/>
        </w:rPr>
        <w:t>infrequent</w:t>
      </w:r>
      <w:r>
        <w:rPr>
          <w:color w:val="231F20"/>
          <w:spacing w:val="2"/>
        </w:rPr>
        <w:t> </w:t>
      </w:r>
      <w:r>
        <w:rPr>
          <w:rFonts w:ascii="Cambria"/>
          <w:color w:val="231F20"/>
        </w:rPr>
        <w:t>=</w:t>
      </w:r>
      <w:r>
        <w:rPr>
          <w:rFonts w:ascii="Cambria"/>
          <w:color w:val="231F20"/>
          <w:spacing w:val="13"/>
        </w:rPr>
        <w:t> </w:t>
      </w:r>
      <w:r>
        <w:rPr>
          <w:rFonts w:ascii="Cambria"/>
          <w:color w:val="231F20"/>
        </w:rPr>
        <w:t>&lt;</w:t>
      </w:r>
      <w:r>
        <w:rPr>
          <w:color w:val="231F20"/>
        </w:rPr>
        <w:t>10%;</w:t>
      </w:r>
      <w:r>
        <w:rPr>
          <w:color w:val="231F20"/>
          <w:spacing w:val="2"/>
        </w:rPr>
        <w:t> </w:t>
      </w:r>
      <w:r>
        <w:rPr>
          <w:color w:val="231F20"/>
        </w:rPr>
        <w:t>uncommon</w:t>
      </w:r>
      <w:r>
        <w:rPr>
          <w:color w:val="231F20"/>
          <w:spacing w:val="2"/>
        </w:rPr>
        <w:t> </w:t>
      </w:r>
      <w:r>
        <w:rPr>
          <w:rFonts w:ascii="Cambria"/>
          <w:color w:val="231F20"/>
        </w:rPr>
        <w:t>=</w:t>
      </w:r>
      <w:r>
        <w:rPr>
          <w:rFonts w:ascii="Cambria"/>
          <w:color w:val="231F20"/>
          <w:spacing w:val="12"/>
        </w:rPr>
        <w:t> </w:t>
      </w:r>
      <w:r>
        <w:rPr>
          <w:rFonts w:ascii="Cambria"/>
          <w:color w:val="231F20"/>
        </w:rPr>
        <w:t>&lt;</w:t>
      </w:r>
      <w:r>
        <w:rPr>
          <w:color w:val="231F20"/>
        </w:rPr>
        <w:t>30%;</w:t>
      </w:r>
      <w:r>
        <w:rPr>
          <w:color w:val="231F20"/>
          <w:spacing w:val="2"/>
        </w:rPr>
        <w:t> </w:t>
      </w:r>
      <w:r>
        <w:rPr>
          <w:color w:val="231F20"/>
        </w:rPr>
        <w:t>common</w:t>
      </w:r>
      <w:r>
        <w:rPr>
          <w:color w:val="231F20"/>
          <w:spacing w:val="2"/>
        </w:rPr>
        <w:t> </w:t>
      </w:r>
      <w:r>
        <w:rPr>
          <w:rFonts w:ascii="Cambria"/>
          <w:color w:val="231F20"/>
        </w:rPr>
        <w:t>=</w:t>
      </w:r>
      <w:r>
        <w:rPr>
          <w:rFonts w:ascii="Cambria"/>
          <w:color w:val="231F20"/>
          <w:spacing w:val="13"/>
        </w:rPr>
        <w:t> </w:t>
      </w:r>
      <w:r>
        <w:rPr>
          <w:color w:val="231F20"/>
        </w:rPr>
        <w:t>30-65%;</w:t>
      </w:r>
      <w:r>
        <w:rPr>
          <w:color w:val="231F20"/>
          <w:spacing w:val="2"/>
        </w:rPr>
        <w:t> </w:t>
      </w:r>
      <w:r>
        <w:rPr>
          <w:color w:val="231F20"/>
        </w:rPr>
        <w:t>frequent</w:t>
      </w:r>
      <w:r>
        <w:rPr>
          <w:color w:val="231F20"/>
          <w:spacing w:val="1"/>
        </w:rPr>
        <w:t> </w:t>
      </w:r>
      <w:r>
        <w:rPr>
          <w:rFonts w:ascii="Cambria"/>
          <w:color w:val="231F20"/>
        </w:rPr>
        <w:t>=</w:t>
      </w:r>
      <w:r>
        <w:rPr>
          <w:rFonts w:ascii="Cambria"/>
          <w:color w:val="231F20"/>
          <w:spacing w:val="13"/>
        </w:rPr>
        <w:t> </w:t>
      </w:r>
      <w:r>
        <w:rPr>
          <w:rFonts w:ascii="Cambria"/>
          <w:color w:val="231F20"/>
          <w:spacing w:val="-2"/>
        </w:rPr>
        <w:t>&gt;</w:t>
      </w:r>
      <w:r>
        <w:rPr>
          <w:color w:val="231F20"/>
          <w:spacing w:val="-2"/>
        </w:rPr>
        <w:t>65%.</w:t>
      </w:r>
    </w:p>
    <w:p>
      <w:pPr>
        <w:spacing w:line="150" w:lineRule="exact" w:before="0"/>
        <w:ind w:left="334" w:right="0" w:firstLine="0"/>
        <w:jc w:val="left"/>
        <w:rPr>
          <w:i/>
          <w:sz w:val="13"/>
        </w:rPr>
      </w:pPr>
      <w:r>
        <w:rPr>
          <w:i/>
          <w:color w:val="231F20"/>
          <w:sz w:val="13"/>
        </w:rPr>
        <w:t>From</w:t>
      </w:r>
      <w:r>
        <w:rPr>
          <w:i/>
          <w:color w:val="231F20"/>
          <w:spacing w:val="-3"/>
          <w:sz w:val="13"/>
        </w:rPr>
        <w:t> </w:t>
      </w:r>
      <w:r>
        <w:rPr>
          <w:i/>
          <w:color w:val="231F20"/>
          <w:sz w:val="13"/>
        </w:rPr>
        <w:t>Axelrod</w:t>
      </w:r>
      <w:r>
        <w:rPr>
          <w:i/>
          <w:color w:val="231F20"/>
          <w:spacing w:val="-3"/>
          <w:sz w:val="13"/>
        </w:rPr>
        <w:t> </w:t>
      </w:r>
      <w:r>
        <w:rPr>
          <w:i/>
          <w:color w:val="231F20"/>
          <w:sz w:val="13"/>
        </w:rPr>
        <w:t>FB,</w:t>
      </w:r>
      <w:r>
        <w:rPr>
          <w:i/>
          <w:color w:val="231F20"/>
          <w:spacing w:val="-3"/>
          <w:sz w:val="13"/>
        </w:rPr>
        <w:t> </w:t>
      </w:r>
      <w:r>
        <w:rPr>
          <w:i/>
          <w:color w:val="231F20"/>
          <w:sz w:val="13"/>
        </w:rPr>
        <w:t>Gold-von</w:t>
      </w:r>
      <w:r>
        <w:rPr>
          <w:i/>
          <w:color w:val="231F20"/>
          <w:spacing w:val="-2"/>
          <w:sz w:val="13"/>
        </w:rPr>
        <w:t> </w:t>
      </w:r>
      <w:r>
        <w:rPr>
          <w:i/>
          <w:color w:val="231F20"/>
          <w:sz w:val="13"/>
        </w:rPr>
        <w:t>Simson</w:t>
      </w:r>
      <w:r>
        <w:rPr>
          <w:i/>
          <w:color w:val="231F20"/>
          <w:spacing w:val="-3"/>
          <w:sz w:val="13"/>
        </w:rPr>
        <w:t> </w:t>
      </w:r>
      <w:r>
        <w:rPr>
          <w:i/>
          <w:color w:val="231F20"/>
          <w:sz w:val="13"/>
        </w:rPr>
        <w:t>G:</w:t>
      </w:r>
      <w:r>
        <w:rPr>
          <w:i/>
          <w:color w:val="231F20"/>
          <w:spacing w:val="-3"/>
          <w:sz w:val="13"/>
        </w:rPr>
        <w:t> </w:t>
      </w:r>
      <w:r>
        <w:rPr>
          <w:i/>
          <w:color w:val="231F20"/>
          <w:sz w:val="13"/>
        </w:rPr>
        <w:t>Hereditary</w:t>
      </w:r>
      <w:r>
        <w:rPr>
          <w:i/>
          <w:color w:val="231F20"/>
          <w:spacing w:val="-2"/>
          <w:sz w:val="13"/>
        </w:rPr>
        <w:t> </w:t>
      </w:r>
      <w:r>
        <w:rPr>
          <w:i/>
          <w:color w:val="231F20"/>
          <w:sz w:val="13"/>
        </w:rPr>
        <w:t>sensory</w:t>
      </w:r>
      <w:r>
        <w:rPr>
          <w:i/>
          <w:color w:val="231F20"/>
          <w:spacing w:val="-3"/>
          <w:sz w:val="13"/>
        </w:rPr>
        <w:t> </w:t>
      </w:r>
      <w:r>
        <w:rPr>
          <w:i/>
          <w:color w:val="231F20"/>
          <w:sz w:val="13"/>
        </w:rPr>
        <w:t>and</w:t>
      </w:r>
      <w:r>
        <w:rPr>
          <w:i/>
          <w:color w:val="231F20"/>
          <w:spacing w:val="-3"/>
          <w:sz w:val="13"/>
        </w:rPr>
        <w:t> </w:t>
      </w:r>
      <w:r>
        <w:rPr>
          <w:i/>
          <w:color w:val="231F20"/>
          <w:sz w:val="13"/>
        </w:rPr>
        <w:t>autonomic</w:t>
      </w:r>
      <w:r>
        <w:rPr>
          <w:i/>
          <w:color w:val="231F20"/>
          <w:spacing w:val="-3"/>
          <w:sz w:val="13"/>
        </w:rPr>
        <w:t> </w:t>
      </w:r>
      <w:r>
        <w:rPr>
          <w:i/>
          <w:color w:val="231F20"/>
          <w:sz w:val="13"/>
        </w:rPr>
        <w:t>neuropathies:</w:t>
      </w:r>
      <w:r>
        <w:rPr>
          <w:i/>
          <w:color w:val="231F20"/>
          <w:spacing w:val="-2"/>
          <w:sz w:val="13"/>
        </w:rPr>
        <w:t> </w:t>
      </w:r>
      <w:r>
        <w:rPr>
          <w:i/>
          <w:color w:val="231F20"/>
          <w:sz w:val="13"/>
        </w:rPr>
        <w:t>types</w:t>
      </w:r>
      <w:r>
        <w:rPr>
          <w:i/>
          <w:color w:val="231F20"/>
          <w:spacing w:val="-3"/>
          <w:sz w:val="13"/>
        </w:rPr>
        <w:t> </w:t>
      </w:r>
      <w:r>
        <w:rPr>
          <w:i/>
          <w:color w:val="231F20"/>
          <w:sz w:val="13"/>
        </w:rPr>
        <w:t>II,</w:t>
      </w:r>
      <w:r>
        <w:rPr>
          <w:i/>
          <w:color w:val="231F20"/>
          <w:spacing w:val="-3"/>
          <w:sz w:val="13"/>
        </w:rPr>
        <w:t> </w:t>
      </w:r>
      <w:r>
        <w:rPr>
          <w:i/>
          <w:color w:val="231F20"/>
          <w:sz w:val="13"/>
        </w:rPr>
        <w:t>III,</w:t>
      </w:r>
      <w:r>
        <w:rPr>
          <w:i/>
          <w:color w:val="231F20"/>
          <w:spacing w:val="-2"/>
          <w:sz w:val="13"/>
        </w:rPr>
        <w:t> </w:t>
      </w:r>
      <w:r>
        <w:rPr>
          <w:i/>
          <w:color w:val="231F20"/>
          <w:sz w:val="13"/>
        </w:rPr>
        <w:t>and</w:t>
      </w:r>
      <w:r>
        <w:rPr>
          <w:i/>
          <w:color w:val="231F20"/>
          <w:spacing w:val="-3"/>
          <w:sz w:val="13"/>
        </w:rPr>
        <w:t> </w:t>
      </w:r>
      <w:r>
        <w:rPr>
          <w:i/>
          <w:color w:val="231F20"/>
          <w:sz w:val="13"/>
        </w:rPr>
        <w:t>IV,</w:t>
      </w:r>
      <w:r>
        <w:rPr>
          <w:i/>
          <w:color w:val="231F20"/>
          <w:spacing w:val="-3"/>
          <w:sz w:val="13"/>
        </w:rPr>
        <w:t> </w:t>
      </w:r>
      <w:r>
        <w:rPr>
          <w:color w:val="231F20"/>
          <w:sz w:val="13"/>
        </w:rPr>
        <w:t>Orphanet</w:t>
      </w:r>
      <w:r>
        <w:rPr>
          <w:color w:val="231F20"/>
          <w:spacing w:val="-3"/>
          <w:sz w:val="13"/>
        </w:rPr>
        <w:t> </w:t>
      </w:r>
      <w:r>
        <w:rPr>
          <w:color w:val="231F20"/>
          <w:sz w:val="13"/>
        </w:rPr>
        <w:t>J</w:t>
      </w:r>
      <w:r>
        <w:rPr>
          <w:color w:val="231F20"/>
          <w:spacing w:val="-2"/>
          <w:sz w:val="13"/>
        </w:rPr>
        <w:t> </w:t>
      </w:r>
      <w:r>
        <w:rPr>
          <w:color w:val="231F20"/>
          <w:sz w:val="13"/>
        </w:rPr>
        <w:t>Rare</w:t>
      </w:r>
      <w:r>
        <w:rPr>
          <w:color w:val="231F20"/>
          <w:spacing w:val="-3"/>
          <w:sz w:val="13"/>
        </w:rPr>
        <w:t> </w:t>
      </w:r>
      <w:r>
        <w:rPr>
          <w:color w:val="231F20"/>
          <w:sz w:val="13"/>
        </w:rPr>
        <w:t>Dis</w:t>
      </w:r>
      <w:r>
        <w:rPr>
          <w:color w:val="231F20"/>
          <w:spacing w:val="-3"/>
          <w:sz w:val="13"/>
        </w:rPr>
        <w:t> </w:t>
      </w:r>
      <w:r>
        <w:rPr>
          <w:i/>
          <w:color w:val="231F20"/>
          <w:sz w:val="13"/>
        </w:rPr>
        <w:t>2:39,</w:t>
      </w:r>
      <w:r>
        <w:rPr>
          <w:i/>
          <w:color w:val="231F20"/>
          <w:spacing w:val="-2"/>
          <w:sz w:val="13"/>
        </w:rPr>
        <w:t> </w:t>
      </w:r>
      <w:r>
        <w:rPr>
          <w:i/>
          <w:color w:val="231F20"/>
          <w:sz w:val="13"/>
        </w:rPr>
        <w:t>2007,</w:t>
      </w:r>
      <w:r>
        <w:rPr>
          <w:i/>
          <w:color w:val="231F20"/>
          <w:spacing w:val="-3"/>
          <w:sz w:val="13"/>
        </w:rPr>
        <w:t> </w:t>
      </w:r>
      <w:r>
        <w:rPr>
          <w:i/>
          <w:color w:val="231F20"/>
          <w:sz w:val="13"/>
        </w:rPr>
        <w:t>Table</w:t>
      </w:r>
      <w:r>
        <w:rPr>
          <w:i/>
          <w:color w:val="231F20"/>
          <w:spacing w:val="-3"/>
          <w:sz w:val="13"/>
        </w:rPr>
        <w:t> </w:t>
      </w:r>
      <w:r>
        <w:rPr>
          <w:i/>
          <w:color w:val="231F20"/>
          <w:spacing w:val="-5"/>
          <w:sz w:val="13"/>
        </w:rPr>
        <w:t>2.</w:t>
      </w:r>
    </w:p>
    <w:p>
      <w:pPr>
        <w:pStyle w:val="BodyText"/>
        <w:rPr>
          <w:i/>
          <w:sz w:val="20"/>
        </w:rPr>
      </w:pPr>
    </w:p>
    <w:p>
      <w:pPr>
        <w:pStyle w:val="BodyText"/>
        <w:spacing w:before="149"/>
        <w:rPr>
          <w:i/>
          <w:sz w:val="20"/>
        </w:rPr>
      </w:pPr>
      <w:r>
        <w:rPr>
          <w:i/>
          <w:sz w:val="20"/>
        </w:rPr>
        <mc:AlternateContent>
          <mc:Choice Requires="wps">
            <w:drawing>
              <wp:anchor distT="0" distB="0" distL="0" distR="0" allowOverlap="1" layoutInCell="1" locked="0" behindDoc="1" simplePos="0" relativeHeight="487587840">
                <wp:simplePos x="0" y="0"/>
                <wp:positionH relativeFrom="page">
                  <wp:posOffset>578970</wp:posOffset>
                </wp:positionH>
                <wp:positionV relativeFrom="paragraph">
                  <wp:posOffset>257318</wp:posOffset>
                </wp:positionV>
                <wp:extent cx="2986405" cy="2200910"/>
                <wp:effectExtent l="0" t="0" r="0" b="0"/>
                <wp:wrapTopAndBottom/>
                <wp:docPr id="1159" name="Textbox 1159"/>
                <wp:cNvGraphicFramePr>
                  <a:graphicFrameLocks/>
                </wp:cNvGraphicFramePr>
                <a:graphic>
                  <a:graphicData uri="http://schemas.microsoft.com/office/word/2010/wordprocessingShape">
                    <wps:wsp>
                      <wps:cNvPr id="1159" name="Textbox 1159"/>
                      <wps:cNvSpPr txBox="1"/>
                      <wps:spPr>
                        <a:xfrm>
                          <a:off x="0" y="0"/>
                          <a:ext cx="2986405" cy="2200910"/>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615-</w:t>
                                  </w:r>
                                  <w:r>
                                    <w:rPr>
                                      <w:b/>
                                      <w:color w:val="FFFFFF"/>
                                      <w:spacing w:val="-10"/>
                                      <w:w w:val="105"/>
                                      <w:sz w:val="16"/>
                                    </w:rPr>
                                    <w:t>3</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Autonomic</w:t>
                                  </w:r>
                                  <w:r>
                                    <w:rPr>
                                      <w:color w:val="FFFFFF"/>
                                      <w:spacing w:val="16"/>
                                      <w:w w:val="105"/>
                                      <w:sz w:val="16"/>
                                    </w:rPr>
                                    <w:t> </w:t>
                                  </w:r>
                                  <w:r>
                                    <w:rPr>
                                      <w:color w:val="FFFFFF"/>
                                      <w:w w:val="105"/>
                                      <w:sz w:val="16"/>
                                    </w:rPr>
                                    <w:t>Function</w:t>
                                  </w:r>
                                  <w:r>
                                    <w:rPr>
                                      <w:color w:val="FFFFFF"/>
                                      <w:spacing w:val="16"/>
                                      <w:w w:val="105"/>
                                      <w:sz w:val="16"/>
                                    </w:rPr>
                                    <w:t> </w:t>
                                  </w:r>
                                  <w:r>
                                    <w:rPr>
                                      <w:color w:val="FFFFFF"/>
                                      <w:spacing w:val="-2"/>
                                      <w:w w:val="105"/>
                                      <w:sz w:val="16"/>
                                    </w:rPr>
                                    <w:t>Testing</w:t>
                                  </w:r>
                                </w:p>
                              </w:tc>
                            </w:tr>
                            <w:tr>
                              <w:trPr>
                                <w:trHeight w:val="425" w:hRule="atLeast"/>
                              </w:trPr>
                              <w:tc>
                                <w:tcPr>
                                  <w:tcW w:w="4703" w:type="dxa"/>
                                  <w:gridSpan w:val="2"/>
                                  <w:tcBorders>
                                    <w:bottom w:val="single" w:sz="4" w:space="0" w:color="FFFFFF"/>
                                  </w:tcBorders>
                                  <w:shd w:val="clear" w:color="auto" w:fill="E8F5F1"/>
                                </w:tcPr>
                                <w:p>
                                  <w:pPr>
                                    <w:pStyle w:val="TableParagraph"/>
                                    <w:spacing w:line="230" w:lineRule="auto" w:before="53"/>
                                    <w:ind w:left="186" w:right="108" w:hanging="112"/>
                                    <w:rPr>
                                      <w:sz w:val="15"/>
                                    </w:rPr>
                                  </w:pPr>
                                  <w:r>
                                    <w:rPr>
                                      <w:color w:val="231F20"/>
                                      <w:sz w:val="15"/>
                                    </w:rPr>
                                    <w:t>Sympathetic and parasympathetic divisions of the autonomic nervous</w:t>
                                  </w:r>
                                  <w:r>
                                    <w:rPr>
                                      <w:color w:val="231F20"/>
                                      <w:spacing w:val="-12"/>
                                      <w:sz w:val="15"/>
                                    </w:rPr>
                                    <w:t> </w:t>
                                  </w:r>
                                  <w:r>
                                    <w:rPr>
                                      <w:color w:val="231F20"/>
                                      <w:sz w:val="15"/>
                                    </w:rPr>
                                    <w:t>system</w:t>
                                  </w:r>
                                  <w:r>
                                    <w:rPr>
                                      <w:color w:val="231F20"/>
                                      <w:spacing w:val="-11"/>
                                      <w:sz w:val="15"/>
                                    </w:rPr>
                                    <w:t> </w:t>
                                  </w:r>
                                  <w:r>
                                    <w:rPr>
                                      <w:color w:val="231F20"/>
                                      <w:sz w:val="15"/>
                                    </w:rPr>
                                    <w:t>are</w:t>
                                  </w:r>
                                  <w:r>
                                    <w:rPr>
                                      <w:color w:val="231F20"/>
                                      <w:spacing w:val="-11"/>
                                      <w:sz w:val="15"/>
                                    </w:rPr>
                                    <w:t> </w:t>
                                  </w:r>
                                  <w:r>
                                    <w:rPr>
                                      <w:color w:val="231F20"/>
                                      <w:sz w:val="15"/>
                                    </w:rPr>
                                    <w:t>involved</w:t>
                                  </w:r>
                                  <w:r>
                                    <w:rPr>
                                      <w:color w:val="231F20"/>
                                      <w:spacing w:val="-12"/>
                                      <w:sz w:val="15"/>
                                    </w:rPr>
                                    <w:t> </w:t>
                                  </w:r>
                                  <w:r>
                                    <w:rPr>
                                      <w:color w:val="231F20"/>
                                      <w:sz w:val="15"/>
                                    </w:rPr>
                                    <w:t>in</w:t>
                                  </w:r>
                                  <w:r>
                                    <w:rPr>
                                      <w:color w:val="231F20"/>
                                      <w:spacing w:val="-11"/>
                                      <w:sz w:val="15"/>
                                    </w:rPr>
                                    <w:t> </w:t>
                                  </w:r>
                                  <w:r>
                                    <w:rPr>
                                      <w:color w:val="231F20"/>
                                      <w:sz w:val="15"/>
                                    </w:rPr>
                                    <w:t>all</w:t>
                                  </w:r>
                                  <w:r>
                                    <w:rPr>
                                      <w:color w:val="231F20"/>
                                      <w:spacing w:val="-11"/>
                                      <w:sz w:val="15"/>
                                    </w:rPr>
                                    <w:t> </w:t>
                                  </w:r>
                                  <w:r>
                                    <w:rPr>
                                      <w:color w:val="231F20"/>
                                      <w:sz w:val="15"/>
                                    </w:rPr>
                                    <w:t>tests</w:t>
                                  </w:r>
                                  <w:r>
                                    <w:rPr>
                                      <w:color w:val="231F20"/>
                                      <w:spacing w:val="-11"/>
                                      <w:sz w:val="15"/>
                                    </w:rPr>
                                    <w:t> </w:t>
                                  </w:r>
                                  <w:r>
                                    <w:rPr>
                                      <w:color w:val="231F20"/>
                                      <w:sz w:val="15"/>
                                    </w:rPr>
                                    <w:t>of</w:t>
                                  </w:r>
                                  <w:r>
                                    <w:rPr>
                                      <w:color w:val="231F20"/>
                                      <w:spacing w:val="-12"/>
                                      <w:sz w:val="15"/>
                                    </w:rPr>
                                    <w:t> </w:t>
                                  </w:r>
                                  <w:r>
                                    <w:rPr>
                                      <w:color w:val="231F20"/>
                                      <w:sz w:val="15"/>
                                    </w:rPr>
                                    <w:t>autonomic</w:t>
                                  </w:r>
                                  <w:r>
                                    <w:rPr>
                                      <w:color w:val="231F20"/>
                                      <w:spacing w:val="-11"/>
                                      <w:sz w:val="15"/>
                                    </w:rPr>
                                    <w:t> </w:t>
                                  </w:r>
                                  <w:r>
                                    <w:rPr>
                                      <w:color w:val="231F20"/>
                                      <w:sz w:val="15"/>
                                    </w:rPr>
                                    <w:t>function</w:t>
                                  </w:r>
                                </w:p>
                              </w:tc>
                            </w:tr>
                            <w:tr>
                              <w:trPr>
                                <w:trHeight w:val="926"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CARDIAC</w:t>
                                  </w:r>
                                  <w:r>
                                    <w:rPr>
                                      <w:color w:val="231F20"/>
                                      <w:spacing w:val="16"/>
                                      <w:w w:val="110"/>
                                      <w:sz w:val="15"/>
                                    </w:rPr>
                                    <w:t> </w:t>
                                  </w:r>
                                  <w:r>
                                    <w:rPr>
                                      <w:color w:val="231F20"/>
                                      <w:w w:val="110"/>
                                      <w:sz w:val="15"/>
                                    </w:rPr>
                                    <w:t>PARASYMPATHETIC</w:t>
                                  </w:r>
                                  <w:r>
                                    <w:rPr>
                                      <w:color w:val="231F20"/>
                                      <w:spacing w:val="17"/>
                                      <w:w w:val="110"/>
                                      <w:sz w:val="15"/>
                                    </w:rPr>
                                    <w:t> </w:t>
                                  </w:r>
                                  <w:r>
                                    <w:rPr>
                                      <w:color w:val="231F20"/>
                                      <w:w w:val="110"/>
                                      <w:sz w:val="15"/>
                                    </w:rPr>
                                    <w:t>NERVOUS</w:t>
                                  </w:r>
                                  <w:r>
                                    <w:rPr>
                                      <w:color w:val="231F20"/>
                                      <w:spacing w:val="17"/>
                                      <w:w w:val="110"/>
                                      <w:sz w:val="15"/>
                                    </w:rPr>
                                    <w:t> </w:t>
                                  </w:r>
                                  <w:r>
                                    <w:rPr>
                                      <w:color w:val="231F20"/>
                                      <w:w w:val="110"/>
                                      <w:sz w:val="15"/>
                                    </w:rPr>
                                    <w:t>SYSTEM</w:t>
                                  </w:r>
                                  <w:r>
                                    <w:rPr>
                                      <w:color w:val="231F20"/>
                                      <w:spacing w:val="17"/>
                                      <w:w w:val="110"/>
                                      <w:sz w:val="15"/>
                                    </w:rPr>
                                    <w:t> </w:t>
                                  </w:r>
                                  <w:r>
                                    <w:rPr>
                                      <w:color w:val="231F20"/>
                                      <w:spacing w:val="-2"/>
                                      <w:w w:val="110"/>
                                      <w:sz w:val="15"/>
                                    </w:rPr>
                                    <w:t>FUNCTION</w:t>
                                  </w:r>
                                </w:p>
                                <w:p>
                                  <w:pPr>
                                    <w:pStyle w:val="TableParagraph"/>
                                    <w:spacing w:line="230" w:lineRule="auto" w:before="3"/>
                                    <w:ind w:left="186" w:hanging="112"/>
                                    <w:rPr>
                                      <w:sz w:val="15"/>
                                    </w:rPr>
                                  </w:pPr>
                                  <w:r>
                                    <w:rPr>
                                      <w:color w:val="231F20"/>
                                      <w:sz w:val="15"/>
                                    </w:rPr>
                                    <w:t>Heart</w:t>
                                  </w:r>
                                  <w:r>
                                    <w:rPr>
                                      <w:color w:val="231F20"/>
                                      <w:spacing w:val="-2"/>
                                      <w:sz w:val="15"/>
                                    </w:rPr>
                                    <w:t> </w:t>
                                  </w:r>
                                  <w:r>
                                    <w:rPr>
                                      <w:color w:val="231F20"/>
                                      <w:sz w:val="15"/>
                                    </w:rPr>
                                    <w:t>rate</w:t>
                                  </w:r>
                                  <w:r>
                                    <w:rPr>
                                      <w:color w:val="231F20"/>
                                      <w:spacing w:val="-2"/>
                                      <w:sz w:val="15"/>
                                    </w:rPr>
                                    <w:t> </w:t>
                                  </w:r>
                                  <w:r>
                                    <w:rPr>
                                      <w:color w:val="231F20"/>
                                      <w:sz w:val="15"/>
                                    </w:rPr>
                                    <w:t>variability</w:t>
                                  </w:r>
                                  <w:r>
                                    <w:rPr>
                                      <w:color w:val="231F20"/>
                                      <w:spacing w:val="-2"/>
                                      <w:sz w:val="15"/>
                                    </w:rPr>
                                    <w:t> </w:t>
                                  </w:r>
                                  <w:r>
                                    <w:rPr>
                                      <w:color w:val="231F20"/>
                                      <w:sz w:val="15"/>
                                    </w:rPr>
                                    <w:t>with</w:t>
                                  </w:r>
                                  <w:r>
                                    <w:rPr>
                                      <w:color w:val="231F20"/>
                                      <w:spacing w:val="-2"/>
                                      <w:sz w:val="15"/>
                                    </w:rPr>
                                    <w:t> </w:t>
                                  </w:r>
                                  <w:r>
                                    <w:rPr>
                                      <w:color w:val="231F20"/>
                                      <w:sz w:val="15"/>
                                    </w:rPr>
                                    <w:t>deep</w:t>
                                  </w:r>
                                  <w:r>
                                    <w:rPr>
                                      <w:color w:val="231F20"/>
                                      <w:spacing w:val="-2"/>
                                      <w:sz w:val="15"/>
                                    </w:rPr>
                                    <w:t> </w:t>
                                  </w:r>
                                  <w:r>
                                    <w:rPr>
                                      <w:color w:val="231F20"/>
                                      <w:sz w:val="15"/>
                                    </w:rPr>
                                    <w:t>respiration</w:t>
                                  </w:r>
                                  <w:r>
                                    <w:rPr>
                                      <w:color w:val="231F20"/>
                                      <w:spacing w:val="-2"/>
                                      <w:sz w:val="15"/>
                                    </w:rPr>
                                    <w:t> </w:t>
                                  </w:r>
                                  <w:r>
                                    <w:rPr>
                                      <w:color w:val="231F20"/>
                                      <w:sz w:val="15"/>
                                    </w:rPr>
                                    <w:t>(respiratory</w:t>
                                  </w:r>
                                  <w:r>
                                    <w:rPr>
                                      <w:color w:val="231F20"/>
                                      <w:spacing w:val="-2"/>
                                      <w:sz w:val="15"/>
                                    </w:rPr>
                                    <w:t> </w:t>
                                  </w:r>
                                  <w:r>
                                    <w:rPr>
                                      <w:color w:val="231F20"/>
                                      <w:sz w:val="15"/>
                                    </w:rPr>
                                    <w:t>sinus </w:t>
                                  </w:r>
                                  <w:r>
                                    <w:rPr>
                                      <w:color w:val="231F20"/>
                                      <w:spacing w:val="-2"/>
                                      <w:sz w:val="15"/>
                                    </w:rPr>
                                    <w:t>arrhythmia); time-domain and frequency-domain </w:t>
                                  </w:r>
                                  <w:r>
                                    <w:rPr>
                                      <w:color w:val="231F20"/>
                                      <w:spacing w:val="-2"/>
                                      <w:sz w:val="15"/>
                                    </w:rPr>
                                    <w:t>assessments</w:t>
                                  </w:r>
                                </w:p>
                                <w:p>
                                  <w:pPr>
                                    <w:pStyle w:val="TableParagraph"/>
                                    <w:spacing w:line="230" w:lineRule="auto" w:before="2"/>
                                    <w:ind w:left="74" w:right="1536"/>
                                    <w:rPr>
                                      <w:sz w:val="15"/>
                                    </w:rPr>
                                  </w:pPr>
                                  <w:r>
                                    <w:rPr>
                                      <w:color w:val="231F20"/>
                                      <w:sz w:val="15"/>
                                    </w:rPr>
                                    <w:t>Heart</w:t>
                                  </w:r>
                                  <w:r>
                                    <w:rPr>
                                      <w:color w:val="231F20"/>
                                      <w:spacing w:val="-12"/>
                                      <w:sz w:val="15"/>
                                    </w:rPr>
                                    <w:t> </w:t>
                                  </w:r>
                                  <w:r>
                                    <w:rPr>
                                      <w:color w:val="231F20"/>
                                      <w:sz w:val="15"/>
                                    </w:rPr>
                                    <w:t>rate</w:t>
                                  </w:r>
                                  <w:r>
                                    <w:rPr>
                                      <w:color w:val="231F20"/>
                                      <w:spacing w:val="-11"/>
                                      <w:sz w:val="15"/>
                                    </w:rPr>
                                    <w:t> </w:t>
                                  </w:r>
                                  <w:r>
                                    <w:rPr>
                                      <w:color w:val="231F20"/>
                                      <w:sz w:val="15"/>
                                    </w:rPr>
                                    <w:t>response</w:t>
                                  </w:r>
                                  <w:r>
                                    <w:rPr>
                                      <w:color w:val="231F20"/>
                                      <w:spacing w:val="-11"/>
                                      <w:sz w:val="15"/>
                                    </w:rPr>
                                    <w:t> </w:t>
                                  </w:r>
                                  <w:r>
                                    <w:rPr>
                                      <w:color w:val="231F20"/>
                                      <w:sz w:val="15"/>
                                    </w:rPr>
                                    <w:t>to</w:t>
                                  </w:r>
                                  <w:r>
                                    <w:rPr>
                                      <w:color w:val="231F20"/>
                                      <w:spacing w:val="-12"/>
                                      <w:sz w:val="15"/>
                                    </w:rPr>
                                    <w:t> </w:t>
                                  </w:r>
                                  <w:r>
                                    <w:rPr>
                                      <w:color w:val="231F20"/>
                                      <w:sz w:val="15"/>
                                    </w:rPr>
                                    <w:t>Valsalva</w:t>
                                  </w:r>
                                  <w:r>
                                    <w:rPr>
                                      <w:color w:val="231F20"/>
                                      <w:spacing w:val="-11"/>
                                      <w:sz w:val="15"/>
                                    </w:rPr>
                                    <w:t> </w:t>
                                  </w:r>
                                  <w:r>
                                    <w:rPr>
                                      <w:color w:val="231F20"/>
                                      <w:sz w:val="15"/>
                                    </w:rPr>
                                    <w:t>maneuver Heart rate response to standing</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SYMPATHETIC</w:t>
                                  </w:r>
                                  <w:r>
                                    <w:rPr>
                                      <w:color w:val="231F20"/>
                                      <w:spacing w:val="16"/>
                                      <w:w w:val="110"/>
                                      <w:sz w:val="15"/>
                                    </w:rPr>
                                    <w:t> </w:t>
                                  </w:r>
                                  <w:r>
                                    <w:rPr>
                                      <w:color w:val="231F20"/>
                                      <w:w w:val="110"/>
                                      <w:sz w:val="15"/>
                                    </w:rPr>
                                    <w:t>ADRENERGIC</w:t>
                                  </w:r>
                                  <w:r>
                                    <w:rPr>
                                      <w:color w:val="231F20"/>
                                      <w:spacing w:val="17"/>
                                      <w:w w:val="110"/>
                                      <w:sz w:val="15"/>
                                    </w:rPr>
                                    <w:t> </w:t>
                                  </w:r>
                                  <w:r>
                                    <w:rPr>
                                      <w:color w:val="231F20"/>
                                      <w:spacing w:val="-2"/>
                                      <w:w w:val="110"/>
                                      <w:sz w:val="15"/>
                                    </w:rPr>
                                    <w:t>FUNCTION</w:t>
                                  </w:r>
                                </w:p>
                                <w:p>
                                  <w:pPr>
                                    <w:pStyle w:val="TableParagraph"/>
                                    <w:spacing w:line="230" w:lineRule="auto" w:before="3"/>
                                    <w:ind w:left="74"/>
                                    <w:rPr>
                                      <w:sz w:val="15"/>
                                    </w:rPr>
                                  </w:pPr>
                                  <w:r>
                                    <w:rPr>
                                      <w:color w:val="231F20"/>
                                      <w:sz w:val="15"/>
                                    </w:rPr>
                                    <w:t>Blood</w:t>
                                  </w:r>
                                  <w:r>
                                    <w:rPr>
                                      <w:color w:val="231F20"/>
                                      <w:spacing w:val="-6"/>
                                      <w:sz w:val="15"/>
                                    </w:rPr>
                                    <w:t> </w:t>
                                  </w:r>
                                  <w:r>
                                    <w:rPr>
                                      <w:color w:val="231F20"/>
                                      <w:sz w:val="15"/>
                                    </w:rPr>
                                    <w:t>pressure</w:t>
                                  </w:r>
                                  <w:r>
                                    <w:rPr>
                                      <w:color w:val="231F20"/>
                                      <w:spacing w:val="-6"/>
                                      <w:sz w:val="15"/>
                                    </w:rPr>
                                    <w:t> </w:t>
                                  </w:r>
                                  <w:r>
                                    <w:rPr>
                                      <w:color w:val="231F20"/>
                                      <w:sz w:val="15"/>
                                    </w:rPr>
                                    <w:t>response</w:t>
                                  </w:r>
                                  <w:r>
                                    <w:rPr>
                                      <w:color w:val="231F20"/>
                                      <w:spacing w:val="-6"/>
                                      <w:sz w:val="15"/>
                                    </w:rPr>
                                    <w:t> </w:t>
                                  </w:r>
                                  <w:r>
                                    <w:rPr>
                                      <w:color w:val="231F20"/>
                                      <w:sz w:val="15"/>
                                    </w:rPr>
                                    <w:t>to</w:t>
                                  </w:r>
                                  <w:r>
                                    <w:rPr>
                                      <w:color w:val="231F20"/>
                                      <w:spacing w:val="-6"/>
                                      <w:sz w:val="15"/>
                                    </w:rPr>
                                    <w:t> </w:t>
                                  </w:r>
                                  <w:r>
                                    <w:rPr>
                                      <w:color w:val="231F20"/>
                                      <w:sz w:val="15"/>
                                    </w:rPr>
                                    <w:t>upright</w:t>
                                  </w:r>
                                  <w:r>
                                    <w:rPr>
                                      <w:color w:val="231F20"/>
                                      <w:spacing w:val="-6"/>
                                      <w:sz w:val="15"/>
                                    </w:rPr>
                                    <w:t> </w:t>
                                  </w:r>
                                  <w:r>
                                    <w:rPr>
                                      <w:color w:val="231F20"/>
                                      <w:sz w:val="15"/>
                                    </w:rPr>
                                    <w:t>posture</w:t>
                                  </w:r>
                                  <w:r>
                                    <w:rPr>
                                      <w:color w:val="231F20"/>
                                      <w:spacing w:val="-6"/>
                                      <w:sz w:val="15"/>
                                    </w:rPr>
                                    <w:t> </w:t>
                                  </w:r>
                                  <w:r>
                                    <w:rPr>
                                      <w:color w:val="231F20"/>
                                      <w:sz w:val="15"/>
                                    </w:rPr>
                                    <w:t>(standing</w:t>
                                  </w:r>
                                  <w:r>
                                    <w:rPr>
                                      <w:color w:val="231F20"/>
                                      <w:spacing w:val="-6"/>
                                      <w:sz w:val="15"/>
                                    </w:rPr>
                                    <w:t> </w:t>
                                  </w:r>
                                  <w:r>
                                    <w:rPr>
                                      <w:color w:val="231F20"/>
                                      <w:sz w:val="15"/>
                                    </w:rPr>
                                    <w:t>or</w:t>
                                  </w:r>
                                  <w:r>
                                    <w:rPr>
                                      <w:color w:val="231F20"/>
                                      <w:spacing w:val="-6"/>
                                      <w:sz w:val="15"/>
                                    </w:rPr>
                                    <w:t> </w:t>
                                  </w:r>
                                  <w:r>
                                    <w:rPr>
                                      <w:color w:val="231F20"/>
                                      <w:sz w:val="15"/>
                                    </w:rPr>
                                    <w:t>tilt</w:t>
                                  </w:r>
                                  <w:r>
                                    <w:rPr>
                                      <w:color w:val="231F20"/>
                                      <w:spacing w:val="-6"/>
                                      <w:sz w:val="15"/>
                                    </w:rPr>
                                    <w:t> </w:t>
                                  </w:r>
                                  <w:r>
                                    <w:rPr>
                                      <w:color w:val="231F20"/>
                                      <w:sz w:val="15"/>
                                    </w:rPr>
                                    <w:t>table) Blood pressure response to Valsalva maneuver</w:t>
                                  </w:r>
                                </w:p>
                                <w:p>
                                  <w:pPr>
                                    <w:pStyle w:val="TableParagraph"/>
                                    <w:spacing w:line="170" w:lineRule="exact"/>
                                    <w:ind w:left="74"/>
                                    <w:rPr>
                                      <w:sz w:val="15"/>
                                    </w:rPr>
                                  </w:pPr>
                                  <w:r>
                                    <w:rPr>
                                      <w:color w:val="231F20"/>
                                      <w:spacing w:val="-2"/>
                                      <w:sz w:val="15"/>
                                    </w:rPr>
                                    <w:t>Microneurography</w:t>
                                  </w:r>
                                </w:p>
                              </w:tc>
                            </w:tr>
                            <w:tr>
                              <w:trPr>
                                <w:trHeight w:val="921"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SYMPATHETIC</w:t>
                                  </w:r>
                                  <w:r>
                                    <w:rPr>
                                      <w:color w:val="231F20"/>
                                      <w:spacing w:val="17"/>
                                      <w:w w:val="110"/>
                                      <w:sz w:val="15"/>
                                    </w:rPr>
                                    <w:t> </w:t>
                                  </w:r>
                                  <w:r>
                                    <w:rPr>
                                      <w:color w:val="231F20"/>
                                      <w:w w:val="110"/>
                                      <w:sz w:val="15"/>
                                    </w:rPr>
                                    <w:t>CHOLINERGIC</w:t>
                                  </w:r>
                                  <w:r>
                                    <w:rPr>
                                      <w:color w:val="231F20"/>
                                      <w:spacing w:val="18"/>
                                      <w:w w:val="110"/>
                                      <w:sz w:val="15"/>
                                    </w:rPr>
                                    <w:t> </w:t>
                                  </w:r>
                                  <w:r>
                                    <w:rPr>
                                      <w:color w:val="231F20"/>
                                      <w:spacing w:val="-2"/>
                                      <w:w w:val="110"/>
                                      <w:sz w:val="15"/>
                                    </w:rPr>
                                    <w:t>FUNCTION</w:t>
                                  </w:r>
                                </w:p>
                                <w:p>
                                  <w:pPr>
                                    <w:pStyle w:val="TableParagraph"/>
                                    <w:spacing w:line="230" w:lineRule="auto" w:before="3"/>
                                    <w:ind w:left="74" w:right="1899"/>
                                    <w:rPr>
                                      <w:sz w:val="15"/>
                                    </w:rPr>
                                  </w:pPr>
                                  <w:r>
                                    <w:rPr>
                                      <w:color w:val="231F20"/>
                                      <w:sz w:val="15"/>
                                    </w:rPr>
                                    <w:t>Thermoregulatory sweat testing </w:t>
                                  </w:r>
                                  <w:r>
                                    <w:rPr>
                                      <w:color w:val="231F20"/>
                                      <w:spacing w:val="-2"/>
                                      <w:sz w:val="15"/>
                                    </w:rPr>
                                    <w:t>Quantitative</w:t>
                                  </w:r>
                                  <w:r>
                                    <w:rPr>
                                      <w:color w:val="231F20"/>
                                      <w:spacing w:val="-5"/>
                                      <w:sz w:val="15"/>
                                    </w:rPr>
                                    <w:t> </w:t>
                                  </w:r>
                                  <w:r>
                                    <w:rPr>
                                      <w:color w:val="231F20"/>
                                      <w:spacing w:val="-2"/>
                                      <w:sz w:val="15"/>
                                    </w:rPr>
                                    <w:t>sudomotor-axon</w:t>
                                  </w:r>
                                  <w:r>
                                    <w:rPr>
                                      <w:color w:val="231F20"/>
                                      <w:spacing w:val="-5"/>
                                      <w:sz w:val="15"/>
                                    </w:rPr>
                                    <w:t> </w:t>
                                  </w:r>
                                  <w:r>
                                    <w:rPr>
                                      <w:color w:val="231F20"/>
                                      <w:spacing w:val="-2"/>
                                      <w:sz w:val="15"/>
                                    </w:rPr>
                                    <w:t>reflex</w:t>
                                  </w:r>
                                  <w:r>
                                    <w:rPr>
                                      <w:color w:val="231F20"/>
                                      <w:spacing w:val="-5"/>
                                      <w:sz w:val="15"/>
                                    </w:rPr>
                                    <w:t> </w:t>
                                  </w:r>
                                  <w:r>
                                    <w:rPr>
                                      <w:color w:val="231F20"/>
                                      <w:spacing w:val="-2"/>
                                      <w:sz w:val="15"/>
                                    </w:rPr>
                                    <w:t>test </w:t>
                                  </w:r>
                                  <w:r>
                                    <w:rPr>
                                      <w:color w:val="231F20"/>
                                      <w:sz w:val="15"/>
                                    </w:rPr>
                                    <w:t>Sweat imprint methods</w:t>
                                  </w:r>
                                </w:p>
                                <w:p>
                                  <w:pPr>
                                    <w:pStyle w:val="TableParagraph"/>
                                    <w:spacing w:line="171" w:lineRule="exact"/>
                                    <w:ind w:left="74"/>
                                    <w:rPr>
                                      <w:sz w:val="15"/>
                                    </w:rPr>
                                  </w:pPr>
                                  <w:r>
                                    <w:rPr>
                                      <w:color w:val="231F20"/>
                                      <w:sz w:val="15"/>
                                    </w:rPr>
                                    <w:t>Sympathetic</w:t>
                                  </w:r>
                                  <w:r>
                                    <w:rPr>
                                      <w:color w:val="231F20"/>
                                      <w:spacing w:val="-12"/>
                                      <w:sz w:val="15"/>
                                    </w:rPr>
                                    <w:t> </w:t>
                                  </w:r>
                                  <w:r>
                                    <w:rPr>
                                      <w:color w:val="231F20"/>
                                      <w:sz w:val="15"/>
                                    </w:rPr>
                                    <w:t>skin</w:t>
                                  </w:r>
                                  <w:r>
                                    <w:rPr>
                                      <w:color w:val="231F20"/>
                                      <w:spacing w:val="-11"/>
                                      <w:sz w:val="15"/>
                                    </w:rPr>
                                    <w:t> </w:t>
                                  </w:r>
                                  <w:r>
                                    <w:rPr>
                                      <w:color w:val="231F20"/>
                                      <w:spacing w:val="-2"/>
                                      <w:sz w:val="15"/>
                                    </w:rPr>
                                    <w:t>response</w:t>
                                  </w:r>
                                </w:p>
                              </w:tc>
                            </w:tr>
                          </w:tbl>
                          <w:p>
                            <w:pPr>
                              <w:pStyle w:val="BodyText"/>
                            </w:pPr>
                          </w:p>
                        </w:txbxContent>
                      </wps:txbx>
                      <wps:bodyPr wrap="square" lIns="0" tIns="0" rIns="0" bIns="0" rtlCol="0">
                        <a:noAutofit/>
                      </wps:bodyPr>
                    </wps:wsp>
                  </a:graphicData>
                </a:graphic>
              </wp:anchor>
            </w:drawing>
          </mc:Choice>
          <mc:Fallback>
            <w:pict>
              <v:shape style="position:absolute;margin-left:45.5882pt;margin-top:20.261328pt;width:235.15pt;height:173.3pt;mso-position-horizontal-relative:page;mso-position-vertical-relative:paragraph;z-index:-15728640;mso-wrap-distance-left:0;mso-wrap-distance-right:0" type="#_x0000_t202" id="docshape928"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615-</w:t>
                            </w:r>
                            <w:r>
                              <w:rPr>
                                <w:b/>
                                <w:color w:val="FFFFFF"/>
                                <w:spacing w:val="-10"/>
                                <w:w w:val="105"/>
                                <w:sz w:val="16"/>
                              </w:rPr>
                              <w:t>3</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Autonomic</w:t>
                            </w:r>
                            <w:r>
                              <w:rPr>
                                <w:color w:val="FFFFFF"/>
                                <w:spacing w:val="16"/>
                                <w:w w:val="105"/>
                                <w:sz w:val="16"/>
                              </w:rPr>
                              <w:t> </w:t>
                            </w:r>
                            <w:r>
                              <w:rPr>
                                <w:color w:val="FFFFFF"/>
                                <w:w w:val="105"/>
                                <w:sz w:val="16"/>
                              </w:rPr>
                              <w:t>Function</w:t>
                            </w:r>
                            <w:r>
                              <w:rPr>
                                <w:color w:val="FFFFFF"/>
                                <w:spacing w:val="16"/>
                                <w:w w:val="105"/>
                                <w:sz w:val="16"/>
                              </w:rPr>
                              <w:t> </w:t>
                            </w:r>
                            <w:r>
                              <w:rPr>
                                <w:color w:val="FFFFFF"/>
                                <w:spacing w:val="-2"/>
                                <w:w w:val="105"/>
                                <w:sz w:val="16"/>
                              </w:rPr>
                              <w:t>Testing</w:t>
                            </w:r>
                          </w:p>
                        </w:tc>
                      </w:tr>
                      <w:tr>
                        <w:trPr>
                          <w:trHeight w:val="425" w:hRule="atLeast"/>
                        </w:trPr>
                        <w:tc>
                          <w:tcPr>
                            <w:tcW w:w="4703" w:type="dxa"/>
                            <w:gridSpan w:val="2"/>
                            <w:tcBorders>
                              <w:bottom w:val="single" w:sz="4" w:space="0" w:color="FFFFFF"/>
                            </w:tcBorders>
                            <w:shd w:val="clear" w:color="auto" w:fill="E8F5F1"/>
                          </w:tcPr>
                          <w:p>
                            <w:pPr>
                              <w:pStyle w:val="TableParagraph"/>
                              <w:spacing w:line="230" w:lineRule="auto" w:before="53"/>
                              <w:ind w:left="186" w:right="108" w:hanging="112"/>
                              <w:rPr>
                                <w:sz w:val="15"/>
                              </w:rPr>
                            </w:pPr>
                            <w:r>
                              <w:rPr>
                                <w:color w:val="231F20"/>
                                <w:sz w:val="15"/>
                              </w:rPr>
                              <w:t>Sympathetic and parasympathetic divisions of the autonomic nervous</w:t>
                            </w:r>
                            <w:r>
                              <w:rPr>
                                <w:color w:val="231F20"/>
                                <w:spacing w:val="-12"/>
                                <w:sz w:val="15"/>
                              </w:rPr>
                              <w:t> </w:t>
                            </w:r>
                            <w:r>
                              <w:rPr>
                                <w:color w:val="231F20"/>
                                <w:sz w:val="15"/>
                              </w:rPr>
                              <w:t>system</w:t>
                            </w:r>
                            <w:r>
                              <w:rPr>
                                <w:color w:val="231F20"/>
                                <w:spacing w:val="-11"/>
                                <w:sz w:val="15"/>
                              </w:rPr>
                              <w:t> </w:t>
                            </w:r>
                            <w:r>
                              <w:rPr>
                                <w:color w:val="231F20"/>
                                <w:sz w:val="15"/>
                              </w:rPr>
                              <w:t>are</w:t>
                            </w:r>
                            <w:r>
                              <w:rPr>
                                <w:color w:val="231F20"/>
                                <w:spacing w:val="-11"/>
                                <w:sz w:val="15"/>
                              </w:rPr>
                              <w:t> </w:t>
                            </w:r>
                            <w:r>
                              <w:rPr>
                                <w:color w:val="231F20"/>
                                <w:sz w:val="15"/>
                              </w:rPr>
                              <w:t>involved</w:t>
                            </w:r>
                            <w:r>
                              <w:rPr>
                                <w:color w:val="231F20"/>
                                <w:spacing w:val="-12"/>
                                <w:sz w:val="15"/>
                              </w:rPr>
                              <w:t> </w:t>
                            </w:r>
                            <w:r>
                              <w:rPr>
                                <w:color w:val="231F20"/>
                                <w:sz w:val="15"/>
                              </w:rPr>
                              <w:t>in</w:t>
                            </w:r>
                            <w:r>
                              <w:rPr>
                                <w:color w:val="231F20"/>
                                <w:spacing w:val="-11"/>
                                <w:sz w:val="15"/>
                              </w:rPr>
                              <w:t> </w:t>
                            </w:r>
                            <w:r>
                              <w:rPr>
                                <w:color w:val="231F20"/>
                                <w:sz w:val="15"/>
                              </w:rPr>
                              <w:t>all</w:t>
                            </w:r>
                            <w:r>
                              <w:rPr>
                                <w:color w:val="231F20"/>
                                <w:spacing w:val="-11"/>
                                <w:sz w:val="15"/>
                              </w:rPr>
                              <w:t> </w:t>
                            </w:r>
                            <w:r>
                              <w:rPr>
                                <w:color w:val="231F20"/>
                                <w:sz w:val="15"/>
                              </w:rPr>
                              <w:t>tests</w:t>
                            </w:r>
                            <w:r>
                              <w:rPr>
                                <w:color w:val="231F20"/>
                                <w:spacing w:val="-11"/>
                                <w:sz w:val="15"/>
                              </w:rPr>
                              <w:t> </w:t>
                            </w:r>
                            <w:r>
                              <w:rPr>
                                <w:color w:val="231F20"/>
                                <w:sz w:val="15"/>
                              </w:rPr>
                              <w:t>of</w:t>
                            </w:r>
                            <w:r>
                              <w:rPr>
                                <w:color w:val="231F20"/>
                                <w:spacing w:val="-12"/>
                                <w:sz w:val="15"/>
                              </w:rPr>
                              <w:t> </w:t>
                            </w:r>
                            <w:r>
                              <w:rPr>
                                <w:color w:val="231F20"/>
                                <w:sz w:val="15"/>
                              </w:rPr>
                              <w:t>autonomic</w:t>
                            </w:r>
                            <w:r>
                              <w:rPr>
                                <w:color w:val="231F20"/>
                                <w:spacing w:val="-11"/>
                                <w:sz w:val="15"/>
                              </w:rPr>
                              <w:t> </w:t>
                            </w:r>
                            <w:r>
                              <w:rPr>
                                <w:color w:val="231F20"/>
                                <w:sz w:val="15"/>
                              </w:rPr>
                              <w:t>function</w:t>
                            </w:r>
                          </w:p>
                        </w:tc>
                      </w:tr>
                      <w:tr>
                        <w:trPr>
                          <w:trHeight w:val="926"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CARDIAC</w:t>
                            </w:r>
                            <w:r>
                              <w:rPr>
                                <w:color w:val="231F20"/>
                                <w:spacing w:val="16"/>
                                <w:w w:val="110"/>
                                <w:sz w:val="15"/>
                              </w:rPr>
                              <w:t> </w:t>
                            </w:r>
                            <w:r>
                              <w:rPr>
                                <w:color w:val="231F20"/>
                                <w:w w:val="110"/>
                                <w:sz w:val="15"/>
                              </w:rPr>
                              <w:t>PARASYMPATHETIC</w:t>
                            </w:r>
                            <w:r>
                              <w:rPr>
                                <w:color w:val="231F20"/>
                                <w:spacing w:val="17"/>
                                <w:w w:val="110"/>
                                <w:sz w:val="15"/>
                              </w:rPr>
                              <w:t> </w:t>
                            </w:r>
                            <w:r>
                              <w:rPr>
                                <w:color w:val="231F20"/>
                                <w:w w:val="110"/>
                                <w:sz w:val="15"/>
                              </w:rPr>
                              <w:t>NERVOUS</w:t>
                            </w:r>
                            <w:r>
                              <w:rPr>
                                <w:color w:val="231F20"/>
                                <w:spacing w:val="17"/>
                                <w:w w:val="110"/>
                                <w:sz w:val="15"/>
                              </w:rPr>
                              <w:t> </w:t>
                            </w:r>
                            <w:r>
                              <w:rPr>
                                <w:color w:val="231F20"/>
                                <w:w w:val="110"/>
                                <w:sz w:val="15"/>
                              </w:rPr>
                              <w:t>SYSTEM</w:t>
                            </w:r>
                            <w:r>
                              <w:rPr>
                                <w:color w:val="231F20"/>
                                <w:spacing w:val="17"/>
                                <w:w w:val="110"/>
                                <w:sz w:val="15"/>
                              </w:rPr>
                              <w:t> </w:t>
                            </w:r>
                            <w:r>
                              <w:rPr>
                                <w:color w:val="231F20"/>
                                <w:spacing w:val="-2"/>
                                <w:w w:val="110"/>
                                <w:sz w:val="15"/>
                              </w:rPr>
                              <w:t>FUNCTION</w:t>
                            </w:r>
                          </w:p>
                          <w:p>
                            <w:pPr>
                              <w:pStyle w:val="TableParagraph"/>
                              <w:spacing w:line="230" w:lineRule="auto" w:before="3"/>
                              <w:ind w:left="186" w:hanging="112"/>
                              <w:rPr>
                                <w:sz w:val="15"/>
                              </w:rPr>
                            </w:pPr>
                            <w:r>
                              <w:rPr>
                                <w:color w:val="231F20"/>
                                <w:sz w:val="15"/>
                              </w:rPr>
                              <w:t>Heart</w:t>
                            </w:r>
                            <w:r>
                              <w:rPr>
                                <w:color w:val="231F20"/>
                                <w:spacing w:val="-2"/>
                                <w:sz w:val="15"/>
                              </w:rPr>
                              <w:t> </w:t>
                            </w:r>
                            <w:r>
                              <w:rPr>
                                <w:color w:val="231F20"/>
                                <w:sz w:val="15"/>
                              </w:rPr>
                              <w:t>rate</w:t>
                            </w:r>
                            <w:r>
                              <w:rPr>
                                <w:color w:val="231F20"/>
                                <w:spacing w:val="-2"/>
                                <w:sz w:val="15"/>
                              </w:rPr>
                              <w:t> </w:t>
                            </w:r>
                            <w:r>
                              <w:rPr>
                                <w:color w:val="231F20"/>
                                <w:sz w:val="15"/>
                              </w:rPr>
                              <w:t>variability</w:t>
                            </w:r>
                            <w:r>
                              <w:rPr>
                                <w:color w:val="231F20"/>
                                <w:spacing w:val="-2"/>
                                <w:sz w:val="15"/>
                              </w:rPr>
                              <w:t> </w:t>
                            </w:r>
                            <w:r>
                              <w:rPr>
                                <w:color w:val="231F20"/>
                                <w:sz w:val="15"/>
                              </w:rPr>
                              <w:t>with</w:t>
                            </w:r>
                            <w:r>
                              <w:rPr>
                                <w:color w:val="231F20"/>
                                <w:spacing w:val="-2"/>
                                <w:sz w:val="15"/>
                              </w:rPr>
                              <w:t> </w:t>
                            </w:r>
                            <w:r>
                              <w:rPr>
                                <w:color w:val="231F20"/>
                                <w:sz w:val="15"/>
                              </w:rPr>
                              <w:t>deep</w:t>
                            </w:r>
                            <w:r>
                              <w:rPr>
                                <w:color w:val="231F20"/>
                                <w:spacing w:val="-2"/>
                                <w:sz w:val="15"/>
                              </w:rPr>
                              <w:t> </w:t>
                            </w:r>
                            <w:r>
                              <w:rPr>
                                <w:color w:val="231F20"/>
                                <w:sz w:val="15"/>
                              </w:rPr>
                              <w:t>respiration</w:t>
                            </w:r>
                            <w:r>
                              <w:rPr>
                                <w:color w:val="231F20"/>
                                <w:spacing w:val="-2"/>
                                <w:sz w:val="15"/>
                              </w:rPr>
                              <w:t> </w:t>
                            </w:r>
                            <w:r>
                              <w:rPr>
                                <w:color w:val="231F20"/>
                                <w:sz w:val="15"/>
                              </w:rPr>
                              <w:t>(respiratory</w:t>
                            </w:r>
                            <w:r>
                              <w:rPr>
                                <w:color w:val="231F20"/>
                                <w:spacing w:val="-2"/>
                                <w:sz w:val="15"/>
                              </w:rPr>
                              <w:t> </w:t>
                            </w:r>
                            <w:r>
                              <w:rPr>
                                <w:color w:val="231F20"/>
                                <w:sz w:val="15"/>
                              </w:rPr>
                              <w:t>sinus </w:t>
                            </w:r>
                            <w:r>
                              <w:rPr>
                                <w:color w:val="231F20"/>
                                <w:spacing w:val="-2"/>
                                <w:sz w:val="15"/>
                              </w:rPr>
                              <w:t>arrhythmia); time-domain and frequency-domain </w:t>
                            </w:r>
                            <w:r>
                              <w:rPr>
                                <w:color w:val="231F20"/>
                                <w:spacing w:val="-2"/>
                                <w:sz w:val="15"/>
                              </w:rPr>
                              <w:t>assessments</w:t>
                            </w:r>
                          </w:p>
                          <w:p>
                            <w:pPr>
                              <w:pStyle w:val="TableParagraph"/>
                              <w:spacing w:line="230" w:lineRule="auto" w:before="2"/>
                              <w:ind w:left="74" w:right="1536"/>
                              <w:rPr>
                                <w:sz w:val="15"/>
                              </w:rPr>
                            </w:pPr>
                            <w:r>
                              <w:rPr>
                                <w:color w:val="231F20"/>
                                <w:sz w:val="15"/>
                              </w:rPr>
                              <w:t>Heart</w:t>
                            </w:r>
                            <w:r>
                              <w:rPr>
                                <w:color w:val="231F20"/>
                                <w:spacing w:val="-12"/>
                                <w:sz w:val="15"/>
                              </w:rPr>
                              <w:t> </w:t>
                            </w:r>
                            <w:r>
                              <w:rPr>
                                <w:color w:val="231F20"/>
                                <w:sz w:val="15"/>
                              </w:rPr>
                              <w:t>rate</w:t>
                            </w:r>
                            <w:r>
                              <w:rPr>
                                <w:color w:val="231F20"/>
                                <w:spacing w:val="-11"/>
                                <w:sz w:val="15"/>
                              </w:rPr>
                              <w:t> </w:t>
                            </w:r>
                            <w:r>
                              <w:rPr>
                                <w:color w:val="231F20"/>
                                <w:sz w:val="15"/>
                              </w:rPr>
                              <w:t>response</w:t>
                            </w:r>
                            <w:r>
                              <w:rPr>
                                <w:color w:val="231F20"/>
                                <w:spacing w:val="-11"/>
                                <w:sz w:val="15"/>
                              </w:rPr>
                              <w:t> </w:t>
                            </w:r>
                            <w:r>
                              <w:rPr>
                                <w:color w:val="231F20"/>
                                <w:sz w:val="15"/>
                              </w:rPr>
                              <w:t>to</w:t>
                            </w:r>
                            <w:r>
                              <w:rPr>
                                <w:color w:val="231F20"/>
                                <w:spacing w:val="-12"/>
                                <w:sz w:val="15"/>
                              </w:rPr>
                              <w:t> </w:t>
                            </w:r>
                            <w:r>
                              <w:rPr>
                                <w:color w:val="231F20"/>
                                <w:sz w:val="15"/>
                              </w:rPr>
                              <w:t>Valsalva</w:t>
                            </w:r>
                            <w:r>
                              <w:rPr>
                                <w:color w:val="231F20"/>
                                <w:spacing w:val="-11"/>
                                <w:sz w:val="15"/>
                              </w:rPr>
                              <w:t> </w:t>
                            </w:r>
                            <w:r>
                              <w:rPr>
                                <w:color w:val="231F20"/>
                                <w:sz w:val="15"/>
                              </w:rPr>
                              <w:t>maneuver Heart rate response to standing</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SYMPATHETIC</w:t>
                            </w:r>
                            <w:r>
                              <w:rPr>
                                <w:color w:val="231F20"/>
                                <w:spacing w:val="16"/>
                                <w:w w:val="110"/>
                                <w:sz w:val="15"/>
                              </w:rPr>
                              <w:t> </w:t>
                            </w:r>
                            <w:r>
                              <w:rPr>
                                <w:color w:val="231F20"/>
                                <w:w w:val="110"/>
                                <w:sz w:val="15"/>
                              </w:rPr>
                              <w:t>ADRENERGIC</w:t>
                            </w:r>
                            <w:r>
                              <w:rPr>
                                <w:color w:val="231F20"/>
                                <w:spacing w:val="17"/>
                                <w:w w:val="110"/>
                                <w:sz w:val="15"/>
                              </w:rPr>
                              <w:t> </w:t>
                            </w:r>
                            <w:r>
                              <w:rPr>
                                <w:color w:val="231F20"/>
                                <w:spacing w:val="-2"/>
                                <w:w w:val="110"/>
                                <w:sz w:val="15"/>
                              </w:rPr>
                              <w:t>FUNCTION</w:t>
                            </w:r>
                          </w:p>
                          <w:p>
                            <w:pPr>
                              <w:pStyle w:val="TableParagraph"/>
                              <w:spacing w:line="230" w:lineRule="auto" w:before="3"/>
                              <w:ind w:left="74"/>
                              <w:rPr>
                                <w:sz w:val="15"/>
                              </w:rPr>
                            </w:pPr>
                            <w:r>
                              <w:rPr>
                                <w:color w:val="231F20"/>
                                <w:sz w:val="15"/>
                              </w:rPr>
                              <w:t>Blood</w:t>
                            </w:r>
                            <w:r>
                              <w:rPr>
                                <w:color w:val="231F20"/>
                                <w:spacing w:val="-6"/>
                                <w:sz w:val="15"/>
                              </w:rPr>
                              <w:t> </w:t>
                            </w:r>
                            <w:r>
                              <w:rPr>
                                <w:color w:val="231F20"/>
                                <w:sz w:val="15"/>
                              </w:rPr>
                              <w:t>pressure</w:t>
                            </w:r>
                            <w:r>
                              <w:rPr>
                                <w:color w:val="231F20"/>
                                <w:spacing w:val="-6"/>
                                <w:sz w:val="15"/>
                              </w:rPr>
                              <w:t> </w:t>
                            </w:r>
                            <w:r>
                              <w:rPr>
                                <w:color w:val="231F20"/>
                                <w:sz w:val="15"/>
                              </w:rPr>
                              <w:t>response</w:t>
                            </w:r>
                            <w:r>
                              <w:rPr>
                                <w:color w:val="231F20"/>
                                <w:spacing w:val="-6"/>
                                <w:sz w:val="15"/>
                              </w:rPr>
                              <w:t> </w:t>
                            </w:r>
                            <w:r>
                              <w:rPr>
                                <w:color w:val="231F20"/>
                                <w:sz w:val="15"/>
                              </w:rPr>
                              <w:t>to</w:t>
                            </w:r>
                            <w:r>
                              <w:rPr>
                                <w:color w:val="231F20"/>
                                <w:spacing w:val="-6"/>
                                <w:sz w:val="15"/>
                              </w:rPr>
                              <w:t> </w:t>
                            </w:r>
                            <w:r>
                              <w:rPr>
                                <w:color w:val="231F20"/>
                                <w:sz w:val="15"/>
                              </w:rPr>
                              <w:t>upright</w:t>
                            </w:r>
                            <w:r>
                              <w:rPr>
                                <w:color w:val="231F20"/>
                                <w:spacing w:val="-6"/>
                                <w:sz w:val="15"/>
                              </w:rPr>
                              <w:t> </w:t>
                            </w:r>
                            <w:r>
                              <w:rPr>
                                <w:color w:val="231F20"/>
                                <w:sz w:val="15"/>
                              </w:rPr>
                              <w:t>posture</w:t>
                            </w:r>
                            <w:r>
                              <w:rPr>
                                <w:color w:val="231F20"/>
                                <w:spacing w:val="-6"/>
                                <w:sz w:val="15"/>
                              </w:rPr>
                              <w:t> </w:t>
                            </w:r>
                            <w:r>
                              <w:rPr>
                                <w:color w:val="231F20"/>
                                <w:sz w:val="15"/>
                              </w:rPr>
                              <w:t>(standing</w:t>
                            </w:r>
                            <w:r>
                              <w:rPr>
                                <w:color w:val="231F20"/>
                                <w:spacing w:val="-6"/>
                                <w:sz w:val="15"/>
                              </w:rPr>
                              <w:t> </w:t>
                            </w:r>
                            <w:r>
                              <w:rPr>
                                <w:color w:val="231F20"/>
                                <w:sz w:val="15"/>
                              </w:rPr>
                              <w:t>or</w:t>
                            </w:r>
                            <w:r>
                              <w:rPr>
                                <w:color w:val="231F20"/>
                                <w:spacing w:val="-6"/>
                                <w:sz w:val="15"/>
                              </w:rPr>
                              <w:t> </w:t>
                            </w:r>
                            <w:r>
                              <w:rPr>
                                <w:color w:val="231F20"/>
                                <w:sz w:val="15"/>
                              </w:rPr>
                              <w:t>tilt</w:t>
                            </w:r>
                            <w:r>
                              <w:rPr>
                                <w:color w:val="231F20"/>
                                <w:spacing w:val="-6"/>
                                <w:sz w:val="15"/>
                              </w:rPr>
                              <w:t> </w:t>
                            </w:r>
                            <w:r>
                              <w:rPr>
                                <w:color w:val="231F20"/>
                                <w:sz w:val="15"/>
                              </w:rPr>
                              <w:t>table) Blood pressure response to Valsalva maneuver</w:t>
                            </w:r>
                          </w:p>
                          <w:p>
                            <w:pPr>
                              <w:pStyle w:val="TableParagraph"/>
                              <w:spacing w:line="170" w:lineRule="exact"/>
                              <w:ind w:left="74"/>
                              <w:rPr>
                                <w:sz w:val="15"/>
                              </w:rPr>
                            </w:pPr>
                            <w:r>
                              <w:rPr>
                                <w:color w:val="231F20"/>
                                <w:spacing w:val="-2"/>
                                <w:sz w:val="15"/>
                              </w:rPr>
                              <w:t>Microneurography</w:t>
                            </w:r>
                          </w:p>
                        </w:tc>
                      </w:tr>
                      <w:tr>
                        <w:trPr>
                          <w:trHeight w:val="921"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SYMPATHETIC</w:t>
                            </w:r>
                            <w:r>
                              <w:rPr>
                                <w:color w:val="231F20"/>
                                <w:spacing w:val="17"/>
                                <w:w w:val="110"/>
                                <w:sz w:val="15"/>
                              </w:rPr>
                              <w:t> </w:t>
                            </w:r>
                            <w:r>
                              <w:rPr>
                                <w:color w:val="231F20"/>
                                <w:w w:val="110"/>
                                <w:sz w:val="15"/>
                              </w:rPr>
                              <w:t>CHOLINERGIC</w:t>
                            </w:r>
                            <w:r>
                              <w:rPr>
                                <w:color w:val="231F20"/>
                                <w:spacing w:val="18"/>
                                <w:w w:val="110"/>
                                <w:sz w:val="15"/>
                              </w:rPr>
                              <w:t> </w:t>
                            </w:r>
                            <w:r>
                              <w:rPr>
                                <w:color w:val="231F20"/>
                                <w:spacing w:val="-2"/>
                                <w:w w:val="110"/>
                                <w:sz w:val="15"/>
                              </w:rPr>
                              <w:t>FUNCTION</w:t>
                            </w:r>
                          </w:p>
                          <w:p>
                            <w:pPr>
                              <w:pStyle w:val="TableParagraph"/>
                              <w:spacing w:line="230" w:lineRule="auto" w:before="3"/>
                              <w:ind w:left="74" w:right="1899"/>
                              <w:rPr>
                                <w:sz w:val="15"/>
                              </w:rPr>
                            </w:pPr>
                            <w:r>
                              <w:rPr>
                                <w:color w:val="231F20"/>
                                <w:sz w:val="15"/>
                              </w:rPr>
                              <w:t>Thermoregulatory sweat testing </w:t>
                            </w:r>
                            <w:r>
                              <w:rPr>
                                <w:color w:val="231F20"/>
                                <w:spacing w:val="-2"/>
                                <w:sz w:val="15"/>
                              </w:rPr>
                              <w:t>Quantitative</w:t>
                            </w:r>
                            <w:r>
                              <w:rPr>
                                <w:color w:val="231F20"/>
                                <w:spacing w:val="-5"/>
                                <w:sz w:val="15"/>
                              </w:rPr>
                              <w:t> </w:t>
                            </w:r>
                            <w:r>
                              <w:rPr>
                                <w:color w:val="231F20"/>
                                <w:spacing w:val="-2"/>
                                <w:sz w:val="15"/>
                              </w:rPr>
                              <w:t>sudomotor-axon</w:t>
                            </w:r>
                            <w:r>
                              <w:rPr>
                                <w:color w:val="231F20"/>
                                <w:spacing w:val="-5"/>
                                <w:sz w:val="15"/>
                              </w:rPr>
                              <w:t> </w:t>
                            </w:r>
                            <w:r>
                              <w:rPr>
                                <w:color w:val="231F20"/>
                                <w:spacing w:val="-2"/>
                                <w:sz w:val="15"/>
                              </w:rPr>
                              <w:t>reflex</w:t>
                            </w:r>
                            <w:r>
                              <w:rPr>
                                <w:color w:val="231F20"/>
                                <w:spacing w:val="-5"/>
                                <w:sz w:val="15"/>
                              </w:rPr>
                              <w:t> </w:t>
                            </w:r>
                            <w:r>
                              <w:rPr>
                                <w:color w:val="231F20"/>
                                <w:spacing w:val="-2"/>
                                <w:sz w:val="15"/>
                              </w:rPr>
                              <w:t>test </w:t>
                            </w:r>
                            <w:r>
                              <w:rPr>
                                <w:color w:val="231F20"/>
                                <w:sz w:val="15"/>
                              </w:rPr>
                              <w:t>Sweat imprint methods</w:t>
                            </w:r>
                          </w:p>
                          <w:p>
                            <w:pPr>
                              <w:pStyle w:val="TableParagraph"/>
                              <w:spacing w:line="171" w:lineRule="exact"/>
                              <w:ind w:left="74"/>
                              <w:rPr>
                                <w:sz w:val="15"/>
                              </w:rPr>
                            </w:pPr>
                            <w:r>
                              <w:rPr>
                                <w:color w:val="231F20"/>
                                <w:sz w:val="15"/>
                              </w:rPr>
                              <w:t>Sympathetic</w:t>
                            </w:r>
                            <w:r>
                              <w:rPr>
                                <w:color w:val="231F20"/>
                                <w:spacing w:val="-12"/>
                                <w:sz w:val="15"/>
                              </w:rPr>
                              <w:t> </w:t>
                            </w:r>
                            <w:r>
                              <w:rPr>
                                <w:color w:val="231F20"/>
                                <w:sz w:val="15"/>
                              </w:rPr>
                              <w:t>skin</w:t>
                            </w:r>
                            <w:r>
                              <w:rPr>
                                <w:color w:val="231F20"/>
                                <w:spacing w:val="-11"/>
                                <w:sz w:val="15"/>
                              </w:rPr>
                              <w:t> </w:t>
                            </w:r>
                            <w:r>
                              <w:rPr>
                                <w:color w:val="231F20"/>
                                <w:spacing w:val="-2"/>
                                <w:sz w:val="15"/>
                              </w:rPr>
                              <w:t>response</w:t>
                            </w:r>
                          </w:p>
                        </w:tc>
                      </w:tr>
                    </w:tbl>
                    <w:p>
                      <w:pPr>
                        <w:pStyle w:val="BodyText"/>
                      </w:pPr>
                    </w:p>
                  </w:txbxContent>
                </v:textbox>
                <w10:wrap type="topAndBottom"/>
              </v:shape>
            </w:pict>
          </mc:Fallback>
        </mc:AlternateContent>
      </w:r>
      <w:r>
        <w:rPr>
          <w:i/>
          <w:sz w:val="20"/>
        </w:rPr>
        <mc:AlternateContent>
          <mc:Choice Requires="wps">
            <w:drawing>
              <wp:anchor distT="0" distB="0" distL="0" distR="0" allowOverlap="1" layoutInCell="1" locked="0" behindDoc="1" simplePos="0" relativeHeight="487587840">
                <wp:simplePos x="0" y="0"/>
                <wp:positionH relativeFrom="page">
                  <wp:posOffset>3778250</wp:posOffset>
                </wp:positionH>
                <wp:positionV relativeFrom="paragraph">
                  <wp:posOffset>257318</wp:posOffset>
                </wp:positionV>
                <wp:extent cx="2986405" cy="1786255"/>
                <wp:effectExtent l="0" t="0" r="0" b="0"/>
                <wp:wrapTopAndBottom/>
                <wp:docPr id="1160" name="Textbox 1160"/>
                <wp:cNvGraphicFramePr>
                  <a:graphicFrameLocks/>
                </wp:cNvGraphicFramePr>
                <a:graphic>
                  <a:graphicData uri="http://schemas.microsoft.com/office/word/2010/wordprocessingShape">
                    <wps:wsp>
                      <wps:cNvPr id="1160" name="Textbox 1160"/>
                      <wps:cNvSpPr txBox="1"/>
                      <wps:spPr>
                        <a:xfrm>
                          <a:off x="0" y="0"/>
                          <a:ext cx="2986405" cy="178625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86"/>
                              <w:gridCol w:w="307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615-</w:t>
                                  </w:r>
                                  <w:r>
                                    <w:rPr>
                                      <w:b/>
                                      <w:color w:val="FFFFFF"/>
                                      <w:spacing w:val="-10"/>
                                      <w:w w:val="105"/>
                                      <w:sz w:val="16"/>
                                    </w:rPr>
                                    <w:t>4</w:t>
                                  </w:r>
                                </w:p>
                              </w:tc>
                              <w:tc>
                                <w:tcPr>
                                  <w:tcW w:w="3556" w:type="dxa"/>
                                  <w:gridSpan w:val="2"/>
                                  <w:tcBorders>
                                    <w:left w:val="single" w:sz="8" w:space="0" w:color="FFFFFF"/>
                                  </w:tcBorders>
                                  <w:shd w:val="clear" w:color="auto" w:fill="231F20"/>
                                </w:tcPr>
                                <w:p>
                                  <w:pPr>
                                    <w:pStyle w:val="TableParagraph"/>
                                    <w:spacing w:before="89"/>
                                    <w:ind w:left="73"/>
                                    <w:rPr>
                                      <w:sz w:val="16"/>
                                    </w:rPr>
                                  </w:pPr>
                                  <w:r>
                                    <w:rPr>
                                      <w:color w:val="FFFFFF"/>
                                      <w:w w:val="110"/>
                                      <w:sz w:val="16"/>
                                    </w:rPr>
                                    <w:t>Management</w:t>
                                  </w:r>
                                  <w:r>
                                    <w:rPr>
                                      <w:color w:val="FFFFFF"/>
                                      <w:spacing w:val="-6"/>
                                      <w:w w:val="110"/>
                                      <w:sz w:val="16"/>
                                    </w:rPr>
                                    <w:t> </w:t>
                                  </w:r>
                                  <w:r>
                                    <w:rPr>
                                      <w:color w:val="FFFFFF"/>
                                      <w:w w:val="110"/>
                                      <w:sz w:val="16"/>
                                    </w:rPr>
                                    <w:t>of</w:t>
                                  </w:r>
                                  <w:r>
                                    <w:rPr>
                                      <w:color w:val="FFFFFF"/>
                                      <w:spacing w:val="-5"/>
                                      <w:w w:val="110"/>
                                      <w:sz w:val="16"/>
                                    </w:rPr>
                                    <w:t> </w:t>
                                  </w:r>
                                  <w:r>
                                    <w:rPr>
                                      <w:color w:val="FFFFFF"/>
                                      <w:w w:val="110"/>
                                      <w:sz w:val="16"/>
                                    </w:rPr>
                                    <w:t>Autonomic</w:t>
                                  </w:r>
                                  <w:r>
                                    <w:rPr>
                                      <w:color w:val="FFFFFF"/>
                                      <w:spacing w:val="-5"/>
                                      <w:w w:val="110"/>
                                      <w:sz w:val="16"/>
                                    </w:rPr>
                                    <w:t> </w:t>
                                  </w:r>
                                  <w:r>
                                    <w:rPr>
                                      <w:color w:val="FFFFFF"/>
                                      <w:spacing w:val="-2"/>
                                      <w:w w:val="110"/>
                                      <w:sz w:val="16"/>
                                    </w:rPr>
                                    <w:t>Neuropathies</w:t>
                                  </w:r>
                                </w:p>
                              </w:tc>
                            </w:tr>
                            <w:tr>
                              <w:trPr>
                                <w:trHeight w:val="257" w:hRule="atLeast"/>
                              </w:trPr>
                              <w:tc>
                                <w:tcPr>
                                  <w:tcW w:w="1634" w:type="dxa"/>
                                  <w:gridSpan w:val="2"/>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PROBLEM</w:t>
                                  </w:r>
                                </w:p>
                              </w:tc>
                              <w:tc>
                                <w:tcPr>
                                  <w:tcW w:w="3070" w:type="dxa"/>
                                  <w:tcBorders>
                                    <w:bottom w:val="single" w:sz="4" w:space="0" w:color="231F20"/>
                                  </w:tcBorders>
                                  <w:shd w:val="clear" w:color="auto" w:fill="E8F5F1"/>
                                </w:tcPr>
                                <w:p>
                                  <w:pPr>
                                    <w:pStyle w:val="TableParagraph"/>
                                    <w:spacing w:before="47"/>
                                    <w:ind w:left="1179"/>
                                    <w:rPr>
                                      <w:b/>
                                      <w:sz w:val="15"/>
                                    </w:rPr>
                                  </w:pPr>
                                  <w:r>
                                    <w:rPr>
                                      <w:b/>
                                      <w:color w:val="231F20"/>
                                      <w:spacing w:val="-2"/>
                                      <w:w w:val="110"/>
                                      <w:sz w:val="15"/>
                                    </w:rPr>
                                    <w:t>TREATMENT</w:t>
                                  </w:r>
                                </w:p>
                              </w:tc>
                            </w:tr>
                            <w:tr>
                              <w:trPr>
                                <w:trHeight w:val="593" w:hRule="atLeast"/>
                              </w:trPr>
                              <w:tc>
                                <w:tcPr>
                                  <w:tcW w:w="1634" w:type="dxa"/>
                                  <w:gridSpan w:val="2"/>
                                  <w:tcBorders>
                                    <w:top w:val="single" w:sz="4" w:space="0" w:color="231F20"/>
                                    <w:bottom w:val="single" w:sz="4" w:space="0" w:color="FFFFFF"/>
                                  </w:tcBorders>
                                  <w:shd w:val="clear" w:color="auto" w:fill="E8F5F1"/>
                                </w:tcPr>
                                <w:p>
                                  <w:pPr>
                                    <w:pStyle w:val="TableParagraph"/>
                                    <w:spacing w:line="230" w:lineRule="auto" w:before="52"/>
                                    <w:ind w:left="186" w:right="58" w:hanging="112"/>
                                    <w:rPr>
                                      <w:sz w:val="15"/>
                                    </w:rPr>
                                  </w:pPr>
                                  <w:r>
                                    <w:rPr>
                                      <w:color w:val="231F20"/>
                                      <w:spacing w:val="-2"/>
                                      <w:sz w:val="15"/>
                                    </w:rPr>
                                    <w:t>Orthostatic hypotension</w:t>
                                  </w:r>
                                </w:p>
                              </w:tc>
                              <w:tc>
                                <w:tcPr>
                                  <w:tcW w:w="3070" w:type="dxa"/>
                                  <w:tcBorders>
                                    <w:top w:val="single" w:sz="4" w:space="0" w:color="231F20"/>
                                    <w:bottom w:val="single" w:sz="4" w:space="0" w:color="FFFFFF"/>
                                  </w:tcBorders>
                                  <w:shd w:val="clear" w:color="auto" w:fill="E8F5F1"/>
                                </w:tcPr>
                                <w:p>
                                  <w:pPr>
                                    <w:pStyle w:val="TableParagraph"/>
                                    <w:spacing w:line="230" w:lineRule="auto" w:before="52"/>
                                    <w:ind w:left="280"/>
                                    <w:rPr>
                                      <w:sz w:val="15"/>
                                    </w:rPr>
                                  </w:pPr>
                                  <w:r>
                                    <w:rPr>
                                      <w:color w:val="231F20"/>
                                      <w:sz w:val="15"/>
                                    </w:rPr>
                                    <w:t>Volume and salt supplements </w:t>
                                  </w:r>
                                  <w:r>
                                    <w:rPr>
                                      <w:color w:val="231F20"/>
                                      <w:spacing w:val="-2"/>
                                      <w:sz w:val="15"/>
                                    </w:rPr>
                                    <w:t>Fluorohydrocortisone</w:t>
                                  </w:r>
                                  <w:r>
                                    <w:rPr>
                                      <w:color w:val="231F20"/>
                                      <w:spacing w:val="-10"/>
                                      <w:sz w:val="15"/>
                                    </w:rPr>
                                    <w:t> </w:t>
                                  </w:r>
                                  <w:r>
                                    <w:rPr>
                                      <w:color w:val="231F20"/>
                                      <w:spacing w:val="-2"/>
                                      <w:sz w:val="15"/>
                                    </w:rPr>
                                    <w:t>(mineralocorticoid) </w:t>
                                  </w:r>
                                  <w:r>
                                    <w:rPr>
                                      <w:color w:val="231F20"/>
                                      <w:sz w:val="15"/>
                                    </w:rPr>
                                    <w:t>Midodrine (</w:t>
                                  </w:r>
                                  <w:r>
                                    <w:rPr>
                                      <w:rFonts w:ascii="Cambria" w:hAnsi="Cambria"/>
                                      <w:color w:val="231F20"/>
                                      <w:sz w:val="15"/>
                                    </w:rPr>
                                    <w:t>α </w:t>
                                  </w:r>
                                  <w:r>
                                    <w:rPr>
                                      <w:color w:val="231F20"/>
                                      <w:sz w:val="15"/>
                                    </w:rPr>
                                    <w:t>agonist)</w:t>
                                  </w:r>
                                </w:p>
                              </w:tc>
                            </w:tr>
                            <w:tr>
                              <w:trPr>
                                <w:trHeight w:val="420" w:hRule="atLeast"/>
                              </w:trPr>
                              <w:tc>
                                <w:tcPr>
                                  <w:tcW w:w="163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Gastroparesis</w:t>
                                  </w:r>
                                </w:p>
                              </w:tc>
                              <w:tc>
                                <w:tcPr>
                                  <w:tcW w:w="3070" w:type="dxa"/>
                                  <w:tcBorders>
                                    <w:top w:val="single" w:sz="4" w:space="0" w:color="FFFFFF"/>
                                    <w:bottom w:val="single" w:sz="4" w:space="0" w:color="FFFFFF"/>
                                  </w:tcBorders>
                                  <w:shd w:val="clear" w:color="auto" w:fill="E8F5F1"/>
                                </w:tcPr>
                                <w:p>
                                  <w:pPr>
                                    <w:pStyle w:val="TableParagraph"/>
                                    <w:spacing w:line="230" w:lineRule="auto" w:before="48"/>
                                    <w:ind w:left="392" w:hanging="112"/>
                                    <w:rPr>
                                      <w:sz w:val="15"/>
                                    </w:rPr>
                                  </w:pPr>
                                  <w:r>
                                    <w:rPr>
                                      <w:color w:val="231F20"/>
                                      <w:spacing w:val="-2"/>
                                      <w:sz w:val="15"/>
                                    </w:rPr>
                                    <w:t>Prokinetic</w:t>
                                  </w:r>
                                  <w:r>
                                    <w:rPr>
                                      <w:color w:val="231F20"/>
                                      <w:spacing w:val="-9"/>
                                      <w:sz w:val="15"/>
                                    </w:rPr>
                                    <w:t> </w:t>
                                  </w:r>
                                  <w:r>
                                    <w:rPr>
                                      <w:color w:val="231F20"/>
                                      <w:spacing w:val="-2"/>
                                      <w:sz w:val="15"/>
                                    </w:rPr>
                                    <w:t>agents</w:t>
                                  </w:r>
                                  <w:r>
                                    <w:rPr>
                                      <w:color w:val="231F20"/>
                                      <w:spacing w:val="-9"/>
                                      <w:sz w:val="15"/>
                                    </w:rPr>
                                    <w:t> </w:t>
                                  </w:r>
                                  <w:r>
                                    <w:rPr>
                                      <w:color w:val="231F20"/>
                                      <w:spacing w:val="-2"/>
                                      <w:sz w:val="15"/>
                                    </w:rPr>
                                    <w:t>(metoclopramide, </w:t>
                                  </w:r>
                                  <w:r>
                                    <w:rPr>
                                      <w:color w:val="231F20"/>
                                      <w:sz w:val="15"/>
                                    </w:rPr>
                                    <w:t>domperidone, erythromycin)</w:t>
                                  </w:r>
                                </w:p>
                              </w:tc>
                            </w:tr>
                            <w:tr>
                              <w:trPr>
                                <w:trHeight w:val="252" w:hRule="atLeast"/>
                              </w:trPr>
                              <w:tc>
                                <w:tcPr>
                                  <w:tcW w:w="163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Hypomotility</w:t>
                                  </w:r>
                                </w:p>
                              </w:tc>
                              <w:tc>
                                <w:tcPr>
                                  <w:tcW w:w="3070" w:type="dxa"/>
                                  <w:tcBorders>
                                    <w:top w:val="single" w:sz="4" w:space="0" w:color="FFFFFF"/>
                                    <w:bottom w:val="single" w:sz="4" w:space="0" w:color="FFFFFF"/>
                                  </w:tcBorders>
                                  <w:shd w:val="clear" w:color="auto" w:fill="E8F5F1"/>
                                </w:tcPr>
                                <w:p>
                                  <w:pPr>
                                    <w:pStyle w:val="TableParagraph"/>
                                    <w:spacing w:before="42"/>
                                    <w:ind w:left="280"/>
                                    <w:rPr>
                                      <w:sz w:val="15"/>
                                    </w:rPr>
                                  </w:pPr>
                                  <w:r>
                                    <w:rPr>
                                      <w:color w:val="231F20"/>
                                      <w:spacing w:val="-2"/>
                                      <w:sz w:val="15"/>
                                    </w:rPr>
                                    <w:t>Fiber,</w:t>
                                  </w:r>
                                  <w:r>
                                    <w:rPr>
                                      <w:color w:val="231F20"/>
                                      <w:spacing w:val="-8"/>
                                      <w:sz w:val="15"/>
                                    </w:rPr>
                                    <w:t> </w:t>
                                  </w:r>
                                  <w:r>
                                    <w:rPr>
                                      <w:color w:val="231F20"/>
                                      <w:spacing w:val="-2"/>
                                      <w:sz w:val="15"/>
                                    </w:rPr>
                                    <w:t>laxatives</w:t>
                                  </w:r>
                                </w:p>
                              </w:tc>
                            </w:tr>
                            <w:tr>
                              <w:trPr>
                                <w:trHeight w:val="252" w:hRule="atLeast"/>
                              </w:trPr>
                              <w:tc>
                                <w:tcPr>
                                  <w:tcW w:w="163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Urinary</w:t>
                                  </w:r>
                                  <w:r>
                                    <w:rPr>
                                      <w:color w:val="231F20"/>
                                      <w:spacing w:val="4"/>
                                      <w:sz w:val="15"/>
                                    </w:rPr>
                                    <w:t> </w:t>
                                  </w:r>
                                  <w:r>
                                    <w:rPr>
                                      <w:color w:val="231F20"/>
                                      <w:spacing w:val="-2"/>
                                      <w:sz w:val="15"/>
                                    </w:rPr>
                                    <w:t>dysfunction</w:t>
                                  </w:r>
                                </w:p>
                              </w:tc>
                              <w:tc>
                                <w:tcPr>
                                  <w:tcW w:w="3070" w:type="dxa"/>
                                  <w:tcBorders>
                                    <w:top w:val="single" w:sz="4" w:space="0" w:color="FFFFFF"/>
                                    <w:bottom w:val="single" w:sz="4" w:space="0" w:color="FFFFFF"/>
                                  </w:tcBorders>
                                  <w:shd w:val="clear" w:color="auto" w:fill="E8F5F1"/>
                                </w:tcPr>
                                <w:p>
                                  <w:pPr>
                                    <w:pStyle w:val="TableParagraph"/>
                                    <w:spacing w:before="42"/>
                                    <w:ind w:left="280"/>
                                    <w:rPr>
                                      <w:sz w:val="15"/>
                                    </w:rPr>
                                  </w:pPr>
                                  <w:r>
                                    <w:rPr>
                                      <w:color w:val="231F20"/>
                                      <w:sz w:val="15"/>
                                    </w:rPr>
                                    <w:t>Timed voiding;</w:t>
                                  </w:r>
                                  <w:r>
                                    <w:rPr>
                                      <w:color w:val="231F20"/>
                                      <w:spacing w:val="1"/>
                                      <w:sz w:val="15"/>
                                    </w:rPr>
                                    <w:t> </w:t>
                                  </w:r>
                                  <w:r>
                                    <w:rPr>
                                      <w:color w:val="231F20"/>
                                      <w:sz w:val="15"/>
                                    </w:rPr>
                                    <w:t>bladder</w:t>
                                  </w:r>
                                  <w:r>
                                    <w:rPr>
                                      <w:color w:val="231F20"/>
                                      <w:spacing w:val="1"/>
                                      <w:sz w:val="15"/>
                                    </w:rPr>
                                    <w:t> </w:t>
                                  </w:r>
                                  <w:r>
                                    <w:rPr>
                                      <w:color w:val="231F20"/>
                                      <w:spacing w:val="-2"/>
                                      <w:sz w:val="15"/>
                                    </w:rPr>
                                    <w:t>catheterization</w:t>
                                  </w:r>
                                </w:p>
                              </w:tc>
                            </w:tr>
                            <w:tr>
                              <w:trPr>
                                <w:trHeight w:val="583" w:hRule="atLeast"/>
                              </w:trPr>
                              <w:tc>
                                <w:tcPr>
                                  <w:tcW w:w="1634"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Hyperhidrosis</w:t>
                                  </w:r>
                                </w:p>
                              </w:tc>
                              <w:tc>
                                <w:tcPr>
                                  <w:tcW w:w="3070" w:type="dxa"/>
                                  <w:tcBorders>
                                    <w:top w:val="single" w:sz="4" w:space="0" w:color="FFFFFF"/>
                                    <w:bottom w:val="single" w:sz="8" w:space="0" w:color="231F20"/>
                                  </w:tcBorders>
                                  <w:shd w:val="clear" w:color="auto" w:fill="E8F5F1"/>
                                </w:tcPr>
                                <w:p>
                                  <w:pPr>
                                    <w:pStyle w:val="TableParagraph"/>
                                    <w:spacing w:line="230" w:lineRule="auto" w:before="48"/>
                                    <w:ind w:left="392" w:hanging="112"/>
                                    <w:rPr>
                                      <w:sz w:val="15"/>
                                    </w:rPr>
                                  </w:pPr>
                                  <w:r>
                                    <w:rPr>
                                      <w:color w:val="231F20"/>
                                      <w:spacing w:val="-2"/>
                                      <w:sz w:val="15"/>
                                    </w:rPr>
                                    <w:t>Anticholinergic</w:t>
                                  </w:r>
                                  <w:r>
                                    <w:rPr>
                                      <w:color w:val="231F20"/>
                                      <w:spacing w:val="-5"/>
                                      <w:sz w:val="15"/>
                                    </w:rPr>
                                    <w:t> </w:t>
                                  </w:r>
                                  <w:r>
                                    <w:rPr>
                                      <w:color w:val="231F20"/>
                                      <w:spacing w:val="-2"/>
                                      <w:sz w:val="15"/>
                                    </w:rPr>
                                    <w:t>agents</w:t>
                                  </w:r>
                                  <w:r>
                                    <w:rPr>
                                      <w:color w:val="231F20"/>
                                      <w:spacing w:val="-5"/>
                                      <w:sz w:val="15"/>
                                    </w:rPr>
                                    <w:t> </w:t>
                                  </w:r>
                                  <w:r>
                                    <w:rPr>
                                      <w:color w:val="231F20"/>
                                      <w:spacing w:val="-2"/>
                                      <w:sz w:val="15"/>
                                    </w:rPr>
                                    <w:t>(glycopyrrolate, propantheline)</w:t>
                                  </w:r>
                                </w:p>
                                <w:p>
                                  <w:pPr>
                                    <w:pStyle w:val="TableParagraph"/>
                                    <w:spacing w:line="170" w:lineRule="exact"/>
                                    <w:ind w:left="280"/>
                                    <w:rPr>
                                      <w:sz w:val="15"/>
                                    </w:rPr>
                                  </w:pPr>
                                  <w:r>
                                    <w:rPr>
                                      <w:color w:val="231F20"/>
                                      <w:spacing w:val="-2"/>
                                      <w:sz w:val="15"/>
                                    </w:rPr>
                                    <w:t>Intracutaneous</w:t>
                                  </w:r>
                                  <w:r>
                                    <w:rPr>
                                      <w:color w:val="231F20"/>
                                      <w:spacing w:val="10"/>
                                      <w:sz w:val="15"/>
                                    </w:rPr>
                                    <w:t> </w:t>
                                  </w:r>
                                  <w:r>
                                    <w:rPr>
                                      <w:color w:val="231F20"/>
                                      <w:spacing w:val="-2"/>
                                      <w:sz w:val="15"/>
                                    </w:rPr>
                                    <w:t>botulism</w:t>
                                  </w:r>
                                  <w:r>
                                    <w:rPr>
                                      <w:color w:val="231F20"/>
                                      <w:spacing w:val="10"/>
                                      <w:sz w:val="15"/>
                                    </w:rPr>
                                    <w:t> </w:t>
                                  </w:r>
                                  <w:r>
                                    <w:rPr>
                                      <w:color w:val="231F20"/>
                                      <w:spacing w:val="-2"/>
                                      <w:sz w:val="15"/>
                                    </w:rPr>
                                    <w:t>toxin</w:t>
                                  </w:r>
                                </w:p>
                              </w:tc>
                            </w:tr>
                          </w:tbl>
                          <w:p>
                            <w:pPr>
                              <w:pStyle w:val="BodyText"/>
                            </w:pPr>
                          </w:p>
                        </w:txbxContent>
                      </wps:txbx>
                      <wps:bodyPr wrap="square" lIns="0" tIns="0" rIns="0" bIns="0" rtlCol="0">
                        <a:noAutofit/>
                      </wps:bodyPr>
                    </wps:wsp>
                  </a:graphicData>
                </a:graphic>
              </wp:anchor>
            </w:drawing>
          </mc:Choice>
          <mc:Fallback>
            <w:pict>
              <v:shape style="position:absolute;margin-left:297.5pt;margin-top:20.261328pt;width:235.15pt;height:140.65pt;mso-position-horizontal-relative:page;mso-position-vertical-relative:paragraph;z-index:-15728640;mso-wrap-distance-left:0;mso-wrap-distance-right:0" type="#_x0000_t202" id="docshape929"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86"/>
                        <w:gridCol w:w="3070"/>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615-</w:t>
                            </w:r>
                            <w:r>
                              <w:rPr>
                                <w:b/>
                                <w:color w:val="FFFFFF"/>
                                <w:spacing w:val="-10"/>
                                <w:w w:val="105"/>
                                <w:sz w:val="16"/>
                              </w:rPr>
                              <w:t>4</w:t>
                            </w:r>
                          </w:p>
                        </w:tc>
                        <w:tc>
                          <w:tcPr>
                            <w:tcW w:w="3556" w:type="dxa"/>
                            <w:gridSpan w:val="2"/>
                            <w:tcBorders>
                              <w:left w:val="single" w:sz="8" w:space="0" w:color="FFFFFF"/>
                            </w:tcBorders>
                            <w:shd w:val="clear" w:color="auto" w:fill="231F20"/>
                          </w:tcPr>
                          <w:p>
                            <w:pPr>
                              <w:pStyle w:val="TableParagraph"/>
                              <w:spacing w:before="89"/>
                              <w:ind w:left="73"/>
                              <w:rPr>
                                <w:sz w:val="16"/>
                              </w:rPr>
                            </w:pPr>
                            <w:r>
                              <w:rPr>
                                <w:color w:val="FFFFFF"/>
                                <w:w w:val="110"/>
                                <w:sz w:val="16"/>
                              </w:rPr>
                              <w:t>Management</w:t>
                            </w:r>
                            <w:r>
                              <w:rPr>
                                <w:color w:val="FFFFFF"/>
                                <w:spacing w:val="-6"/>
                                <w:w w:val="110"/>
                                <w:sz w:val="16"/>
                              </w:rPr>
                              <w:t> </w:t>
                            </w:r>
                            <w:r>
                              <w:rPr>
                                <w:color w:val="FFFFFF"/>
                                <w:w w:val="110"/>
                                <w:sz w:val="16"/>
                              </w:rPr>
                              <w:t>of</w:t>
                            </w:r>
                            <w:r>
                              <w:rPr>
                                <w:color w:val="FFFFFF"/>
                                <w:spacing w:val="-5"/>
                                <w:w w:val="110"/>
                                <w:sz w:val="16"/>
                              </w:rPr>
                              <w:t> </w:t>
                            </w:r>
                            <w:r>
                              <w:rPr>
                                <w:color w:val="FFFFFF"/>
                                <w:w w:val="110"/>
                                <w:sz w:val="16"/>
                              </w:rPr>
                              <w:t>Autonomic</w:t>
                            </w:r>
                            <w:r>
                              <w:rPr>
                                <w:color w:val="FFFFFF"/>
                                <w:spacing w:val="-5"/>
                                <w:w w:val="110"/>
                                <w:sz w:val="16"/>
                              </w:rPr>
                              <w:t> </w:t>
                            </w:r>
                            <w:r>
                              <w:rPr>
                                <w:color w:val="FFFFFF"/>
                                <w:spacing w:val="-2"/>
                                <w:w w:val="110"/>
                                <w:sz w:val="16"/>
                              </w:rPr>
                              <w:t>Neuropathies</w:t>
                            </w:r>
                          </w:p>
                        </w:tc>
                      </w:tr>
                      <w:tr>
                        <w:trPr>
                          <w:trHeight w:val="257" w:hRule="atLeast"/>
                        </w:trPr>
                        <w:tc>
                          <w:tcPr>
                            <w:tcW w:w="1634" w:type="dxa"/>
                            <w:gridSpan w:val="2"/>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PROBLEM</w:t>
                            </w:r>
                          </w:p>
                        </w:tc>
                        <w:tc>
                          <w:tcPr>
                            <w:tcW w:w="3070" w:type="dxa"/>
                            <w:tcBorders>
                              <w:bottom w:val="single" w:sz="4" w:space="0" w:color="231F20"/>
                            </w:tcBorders>
                            <w:shd w:val="clear" w:color="auto" w:fill="E8F5F1"/>
                          </w:tcPr>
                          <w:p>
                            <w:pPr>
                              <w:pStyle w:val="TableParagraph"/>
                              <w:spacing w:before="47"/>
                              <w:ind w:left="1179"/>
                              <w:rPr>
                                <w:b/>
                                <w:sz w:val="15"/>
                              </w:rPr>
                            </w:pPr>
                            <w:r>
                              <w:rPr>
                                <w:b/>
                                <w:color w:val="231F20"/>
                                <w:spacing w:val="-2"/>
                                <w:w w:val="110"/>
                                <w:sz w:val="15"/>
                              </w:rPr>
                              <w:t>TREATMENT</w:t>
                            </w:r>
                          </w:p>
                        </w:tc>
                      </w:tr>
                      <w:tr>
                        <w:trPr>
                          <w:trHeight w:val="593" w:hRule="atLeast"/>
                        </w:trPr>
                        <w:tc>
                          <w:tcPr>
                            <w:tcW w:w="1634" w:type="dxa"/>
                            <w:gridSpan w:val="2"/>
                            <w:tcBorders>
                              <w:top w:val="single" w:sz="4" w:space="0" w:color="231F20"/>
                              <w:bottom w:val="single" w:sz="4" w:space="0" w:color="FFFFFF"/>
                            </w:tcBorders>
                            <w:shd w:val="clear" w:color="auto" w:fill="E8F5F1"/>
                          </w:tcPr>
                          <w:p>
                            <w:pPr>
                              <w:pStyle w:val="TableParagraph"/>
                              <w:spacing w:line="230" w:lineRule="auto" w:before="52"/>
                              <w:ind w:left="186" w:right="58" w:hanging="112"/>
                              <w:rPr>
                                <w:sz w:val="15"/>
                              </w:rPr>
                            </w:pPr>
                            <w:r>
                              <w:rPr>
                                <w:color w:val="231F20"/>
                                <w:spacing w:val="-2"/>
                                <w:sz w:val="15"/>
                              </w:rPr>
                              <w:t>Orthostatic hypotension</w:t>
                            </w:r>
                          </w:p>
                        </w:tc>
                        <w:tc>
                          <w:tcPr>
                            <w:tcW w:w="3070" w:type="dxa"/>
                            <w:tcBorders>
                              <w:top w:val="single" w:sz="4" w:space="0" w:color="231F20"/>
                              <w:bottom w:val="single" w:sz="4" w:space="0" w:color="FFFFFF"/>
                            </w:tcBorders>
                            <w:shd w:val="clear" w:color="auto" w:fill="E8F5F1"/>
                          </w:tcPr>
                          <w:p>
                            <w:pPr>
                              <w:pStyle w:val="TableParagraph"/>
                              <w:spacing w:line="230" w:lineRule="auto" w:before="52"/>
                              <w:ind w:left="280"/>
                              <w:rPr>
                                <w:sz w:val="15"/>
                              </w:rPr>
                            </w:pPr>
                            <w:r>
                              <w:rPr>
                                <w:color w:val="231F20"/>
                                <w:sz w:val="15"/>
                              </w:rPr>
                              <w:t>Volume and salt supplements </w:t>
                            </w:r>
                            <w:r>
                              <w:rPr>
                                <w:color w:val="231F20"/>
                                <w:spacing w:val="-2"/>
                                <w:sz w:val="15"/>
                              </w:rPr>
                              <w:t>Fluorohydrocortisone</w:t>
                            </w:r>
                            <w:r>
                              <w:rPr>
                                <w:color w:val="231F20"/>
                                <w:spacing w:val="-10"/>
                                <w:sz w:val="15"/>
                              </w:rPr>
                              <w:t> </w:t>
                            </w:r>
                            <w:r>
                              <w:rPr>
                                <w:color w:val="231F20"/>
                                <w:spacing w:val="-2"/>
                                <w:sz w:val="15"/>
                              </w:rPr>
                              <w:t>(mineralocorticoid) </w:t>
                            </w:r>
                            <w:r>
                              <w:rPr>
                                <w:color w:val="231F20"/>
                                <w:sz w:val="15"/>
                              </w:rPr>
                              <w:t>Midodrine (</w:t>
                            </w:r>
                            <w:r>
                              <w:rPr>
                                <w:rFonts w:ascii="Cambria" w:hAnsi="Cambria"/>
                                <w:color w:val="231F20"/>
                                <w:sz w:val="15"/>
                              </w:rPr>
                              <w:t>α </w:t>
                            </w:r>
                            <w:r>
                              <w:rPr>
                                <w:color w:val="231F20"/>
                                <w:sz w:val="15"/>
                              </w:rPr>
                              <w:t>agonist)</w:t>
                            </w:r>
                          </w:p>
                        </w:tc>
                      </w:tr>
                      <w:tr>
                        <w:trPr>
                          <w:trHeight w:val="420" w:hRule="atLeast"/>
                        </w:trPr>
                        <w:tc>
                          <w:tcPr>
                            <w:tcW w:w="163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Gastroparesis</w:t>
                            </w:r>
                          </w:p>
                        </w:tc>
                        <w:tc>
                          <w:tcPr>
                            <w:tcW w:w="3070" w:type="dxa"/>
                            <w:tcBorders>
                              <w:top w:val="single" w:sz="4" w:space="0" w:color="FFFFFF"/>
                              <w:bottom w:val="single" w:sz="4" w:space="0" w:color="FFFFFF"/>
                            </w:tcBorders>
                            <w:shd w:val="clear" w:color="auto" w:fill="E8F5F1"/>
                          </w:tcPr>
                          <w:p>
                            <w:pPr>
                              <w:pStyle w:val="TableParagraph"/>
                              <w:spacing w:line="230" w:lineRule="auto" w:before="48"/>
                              <w:ind w:left="392" w:hanging="112"/>
                              <w:rPr>
                                <w:sz w:val="15"/>
                              </w:rPr>
                            </w:pPr>
                            <w:r>
                              <w:rPr>
                                <w:color w:val="231F20"/>
                                <w:spacing w:val="-2"/>
                                <w:sz w:val="15"/>
                              </w:rPr>
                              <w:t>Prokinetic</w:t>
                            </w:r>
                            <w:r>
                              <w:rPr>
                                <w:color w:val="231F20"/>
                                <w:spacing w:val="-9"/>
                                <w:sz w:val="15"/>
                              </w:rPr>
                              <w:t> </w:t>
                            </w:r>
                            <w:r>
                              <w:rPr>
                                <w:color w:val="231F20"/>
                                <w:spacing w:val="-2"/>
                                <w:sz w:val="15"/>
                              </w:rPr>
                              <w:t>agents</w:t>
                            </w:r>
                            <w:r>
                              <w:rPr>
                                <w:color w:val="231F20"/>
                                <w:spacing w:val="-9"/>
                                <w:sz w:val="15"/>
                              </w:rPr>
                              <w:t> </w:t>
                            </w:r>
                            <w:r>
                              <w:rPr>
                                <w:color w:val="231F20"/>
                                <w:spacing w:val="-2"/>
                                <w:sz w:val="15"/>
                              </w:rPr>
                              <w:t>(metoclopramide, </w:t>
                            </w:r>
                            <w:r>
                              <w:rPr>
                                <w:color w:val="231F20"/>
                                <w:sz w:val="15"/>
                              </w:rPr>
                              <w:t>domperidone, erythromycin)</w:t>
                            </w:r>
                          </w:p>
                        </w:tc>
                      </w:tr>
                      <w:tr>
                        <w:trPr>
                          <w:trHeight w:val="252" w:hRule="atLeast"/>
                        </w:trPr>
                        <w:tc>
                          <w:tcPr>
                            <w:tcW w:w="163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Hypomotility</w:t>
                            </w:r>
                          </w:p>
                        </w:tc>
                        <w:tc>
                          <w:tcPr>
                            <w:tcW w:w="3070" w:type="dxa"/>
                            <w:tcBorders>
                              <w:top w:val="single" w:sz="4" w:space="0" w:color="FFFFFF"/>
                              <w:bottom w:val="single" w:sz="4" w:space="0" w:color="FFFFFF"/>
                            </w:tcBorders>
                            <w:shd w:val="clear" w:color="auto" w:fill="E8F5F1"/>
                          </w:tcPr>
                          <w:p>
                            <w:pPr>
                              <w:pStyle w:val="TableParagraph"/>
                              <w:spacing w:before="42"/>
                              <w:ind w:left="280"/>
                              <w:rPr>
                                <w:sz w:val="15"/>
                              </w:rPr>
                            </w:pPr>
                            <w:r>
                              <w:rPr>
                                <w:color w:val="231F20"/>
                                <w:spacing w:val="-2"/>
                                <w:sz w:val="15"/>
                              </w:rPr>
                              <w:t>Fiber,</w:t>
                            </w:r>
                            <w:r>
                              <w:rPr>
                                <w:color w:val="231F20"/>
                                <w:spacing w:val="-8"/>
                                <w:sz w:val="15"/>
                              </w:rPr>
                              <w:t> </w:t>
                            </w:r>
                            <w:r>
                              <w:rPr>
                                <w:color w:val="231F20"/>
                                <w:spacing w:val="-2"/>
                                <w:sz w:val="15"/>
                              </w:rPr>
                              <w:t>laxatives</w:t>
                            </w:r>
                          </w:p>
                        </w:tc>
                      </w:tr>
                      <w:tr>
                        <w:trPr>
                          <w:trHeight w:val="252" w:hRule="atLeast"/>
                        </w:trPr>
                        <w:tc>
                          <w:tcPr>
                            <w:tcW w:w="163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Urinary</w:t>
                            </w:r>
                            <w:r>
                              <w:rPr>
                                <w:color w:val="231F20"/>
                                <w:spacing w:val="4"/>
                                <w:sz w:val="15"/>
                              </w:rPr>
                              <w:t> </w:t>
                            </w:r>
                            <w:r>
                              <w:rPr>
                                <w:color w:val="231F20"/>
                                <w:spacing w:val="-2"/>
                                <w:sz w:val="15"/>
                              </w:rPr>
                              <w:t>dysfunction</w:t>
                            </w:r>
                          </w:p>
                        </w:tc>
                        <w:tc>
                          <w:tcPr>
                            <w:tcW w:w="3070" w:type="dxa"/>
                            <w:tcBorders>
                              <w:top w:val="single" w:sz="4" w:space="0" w:color="FFFFFF"/>
                              <w:bottom w:val="single" w:sz="4" w:space="0" w:color="FFFFFF"/>
                            </w:tcBorders>
                            <w:shd w:val="clear" w:color="auto" w:fill="E8F5F1"/>
                          </w:tcPr>
                          <w:p>
                            <w:pPr>
                              <w:pStyle w:val="TableParagraph"/>
                              <w:spacing w:before="42"/>
                              <w:ind w:left="280"/>
                              <w:rPr>
                                <w:sz w:val="15"/>
                              </w:rPr>
                            </w:pPr>
                            <w:r>
                              <w:rPr>
                                <w:color w:val="231F20"/>
                                <w:sz w:val="15"/>
                              </w:rPr>
                              <w:t>Timed voiding;</w:t>
                            </w:r>
                            <w:r>
                              <w:rPr>
                                <w:color w:val="231F20"/>
                                <w:spacing w:val="1"/>
                                <w:sz w:val="15"/>
                              </w:rPr>
                              <w:t> </w:t>
                            </w:r>
                            <w:r>
                              <w:rPr>
                                <w:color w:val="231F20"/>
                                <w:sz w:val="15"/>
                              </w:rPr>
                              <w:t>bladder</w:t>
                            </w:r>
                            <w:r>
                              <w:rPr>
                                <w:color w:val="231F20"/>
                                <w:spacing w:val="1"/>
                                <w:sz w:val="15"/>
                              </w:rPr>
                              <w:t> </w:t>
                            </w:r>
                            <w:r>
                              <w:rPr>
                                <w:color w:val="231F20"/>
                                <w:spacing w:val="-2"/>
                                <w:sz w:val="15"/>
                              </w:rPr>
                              <w:t>catheterization</w:t>
                            </w:r>
                          </w:p>
                        </w:tc>
                      </w:tr>
                      <w:tr>
                        <w:trPr>
                          <w:trHeight w:val="583" w:hRule="atLeast"/>
                        </w:trPr>
                        <w:tc>
                          <w:tcPr>
                            <w:tcW w:w="1634"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Hyperhidrosis</w:t>
                            </w:r>
                          </w:p>
                        </w:tc>
                        <w:tc>
                          <w:tcPr>
                            <w:tcW w:w="3070" w:type="dxa"/>
                            <w:tcBorders>
                              <w:top w:val="single" w:sz="4" w:space="0" w:color="FFFFFF"/>
                              <w:bottom w:val="single" w:sz="8" w:space="0" w:color="231F20"/>
                            </w:tcBorders>
                            <w:shd w:val="clear" w:color="auto" w:fill="E8F5F1"/>
                          </w:tcPr>
                          <w:p>
                            <w:pPr>
                              <w:pStyle w:val="TableParagraph"/>
                              <w:spacing w:line="230" w:lineRule="auto" w:before="48"/>
                              <w:ind w:left="392" w:hanging="112"/>
                              <w:rPr>
                                <w:sz w:val="15"/>
                              </w:rPr>
                            </w:pPr>
                            <w:r>
                              <w:rPr>
                                <w:color w:val="231F20"/>
                                <w:spacing w:val="-2"/>
                                <w:sz w:val="15"/>
                              </w:rPr>
                              <w:t>Anticholinergic</w:t>
                            </w:r>
                            <w:r>
                              <w:rPr>
                                <w:color w:val="231F20"/>
                                <w:spacing w:val="-5"/>
                                <w:sz w:val="15"/>
                              </w:rPr>
                              <w:t> </w:t>
                            </w:r>
                            <w:r>
                              <w:rPr>
                                <w:color w:val="231F20"/>
                                <w:spacing w:val="-2"/>
                                <w:sz w:val="15"/>
                              </w:rPr>
                              <w:t>agents</w:t>
                            </w:r>
                            <w:r>
                              <w:rPr>
                                <w:color w:val="231F20"/>
                                <w:spacing w:val="-5"/>
                                <w:sz w:val="15"/>
                              </w:rPr>
                              <w:t> </w:t>
                            </w:r>
                            <w:r>
                              <w:rPr>
                                <w:color w:val="231F20"/>
                                <w:spacing w:val="-2"/>
                                <w:sz w:val="15"/>
                              </w:rPr>
                              <w:t>(glycopyrrolate, propantheline)</w:t>
                            </w:r>
                          </w:p>
                          <w:p>
                            <w:pPr>
                              <w:pStyle w:val="TableParagraph"/>
                              <w:spacing w:line="170" w:lineRule="exact"/>
                              <w:ind w:left="280"/>
                              <w:rPr>
                                <w:sz w:val="15"/>
                              </w:rPr>
                            </w:pPr>
                            <w:r>
                              <w:rPr>
                                <w:color w:val="231F20"/>
                                <w:spacing w:val="-2"/>
                                <w:sz w:val="15"/>
                              </w:rPr>
                              <w:t>Intracutaneous</w:t>
                            </w:r>
                            <w:r>
                              <w:rPr>
                                <w:color w:val="231F20"/>
                                <w:spacing w:val="10"/>
                                <w:sz w:val="15"/>
                              </w:rPr>
                              <w:t> </w:t>
                            </w:r>
                            <w:r>
                              <w:rPr>
                                <w:color w:val="231F20"/>
                                <w:spacing w:val="-2"/>
                                <w:sz w:val="15"/>
                              </w:rPr>
                              <w:t>botulism</w:t>
                            </w:r>
                            <w:r>
                              <w:rPr>
                                <w:color w:val="231F20"/>
                                <w:spacing w:val="10"/>
                                <w:sz w:val="15"/>
                              </w:rPr>
                              <w:t> </w:t>
                            </w:r>
                            <w:r>
                              <w:rPr>
                                <w:color w:val="231F20"/>
                                <w:spacing w:val="-2"/>
                                <w:sz w:val="15"/>
                              </w:rPr>
                              <w:t>toxin</w:t>
                            </w:r>
                          </w:p>
                        </w:tc>
                      </w:tr>
                    </w:tbl>
                    <w:p>
                      <w:pPr>
                        <w:pStyle w:val="BodyText"/>
                      </w:pPr>
                    </w:p>
                  </w:txbxContent>
                </v:textbox>
                <w10:wrap type="topAndBottom"/>
              </v:shape>
            </w:pict>
          </mc:Fallback>
        </mc:AlternateContent>
      </w:r>
    </w:p>
    <w:p>
      <w:pPr>
        <w:pStyle w:val="BodyText"/>
        <w:spacing w:after="0"/>
        <w:rPr>
          <w:i/>
          <w:sz w:val="20"/>
        </w:rPr>
        <w:sectPr>
          <w:pgSz w:w="11900" w:h="16840"/>
          <w:pgMar w:header="452" w:footer="0" w:top="1180" w:bottom="280" w:left="708" w:right="566"/>
        </w:sectPr>
      </w:pPr>
    </w:p>
    <w:p>
      <w:pPr>
        <w:pStyle w:val="BodyText"/>
        <w:rPr>
          <w:i/>
          <w:sz w:val="92"/>
        </w:rPr>
      </w:pPr>
    </w:p>
    <w:p>
      <w:pPr>
        <w:pStyle w:val="BodyText"/>
        <w:rPr>
          <w:i/>
          <w:sz w:val="92"/>
        </w:rPr>
      </w:pPr>
    </w:p>
    <w:p>
      <w:pPr>
        <w:pStyle w:val="BodyText"/>
        <w:rPr>
          <w:i/>
          <w:sz w:val="92"/>
        </w:rPr>
      </w:pPr>
    </w:p>
    <w:p>
      <w:pPr>
        <w:pStyle w:val="BodyText"/>
        <w:spacing w:before="287"/>
        <w:rPr>
          <w:i/>
          <w:sz w:val="92"/>
        </w:rPr>
      </w:pPr>
    </w:p>
    <w:p>
      <w:pPr>
        <w:pStyle w:val="Heading1"/>
        <w:ind w:right="1964"/>
      </w:pPr>
      <w:r>
        <w:rPr>
          <w:w w:val="120"/>
        </w:rPr>
        <w:t>Disorders</w:t>
      </w:r>
      <w:r>
        <w:rPr>
          <w:spacing w:val="-1"/>
          <w:w w:val="120"/>
        </w:rPr>
        <w:t> </w:t>
      </w:r>
      <w:r>
        <w:rPr>
          <w:w w:val="120"/>
        </w:rPr>
        <w:t>of</w:t>
      </w:r>
      <w:r>
        <w:rPr>
          <w:spacing w:val="-1"/>
          <w:w w:val="120"/>
        </w:rPr>
        <w:t> </w:t>
      </w:r>
      <w:r>
        <w:rPr>
          <w:w w:val="120"/>
        </w:rPr>
        <w:t>the</w:t>
      </w:r>
      <w:r>
        <w:rPr>
          <w:spacing w:val="-1"/>
          <w:w w:val="120"/>
        </w:rPr>
        <w:t> </w:t>
      </w:r>
      <w:r>
        <w:rPr>
          <w:spacing w:val="-5"/>
          <w:w w:val="120"/>
        </w:rPr>
        <w:t>Eye</w:t>
      </w:r>
    </w:p>
    <w:p>
      <w:pPr>
        <w:pStyle w:val="Heading1"/>
        <w:spacing w:after="0"/>
        <w:sectPr>
          <w:headerReference w:type="default" r:id="rId317"/>
          <w:pgSz w:w="11900" w:h="16840"/>
          <w:pgMar w:header="0" w:footer="0" w:top="1940" w:bottom="280" w:left="708" w:right="566"/>
        </w:sectPr>
      </w:pPr>
    </w:p>
    <w:p>
      <w:pPr>
        <w:pStyle w:val="BodyText"/>
        <w:spacing w:before="97"/>
        <w:rPr>
          <w:rFonts w:ascii="Gabriola"/>
          <w:sz w:val="20"/>
        </w:rPr>
      </w:pPr>
    </w:p>
    <w:p>
      <w:pPr>
        <w:pStyle w:val="BodyText"/>
        <w:spacing w:line="268" w:lineRule="exact"/>
        <w:ind w:left="427"/>
        <w:rPr>
          <w:rFonts w:ascii="Gabriola"/>
          <w:position w:val="-4"/>
          <w:sz w:val="20"/>
        </w:rPr>
      </w:pPr>
      <w:r>
        <w:rPr>
          <w:rFonts w:ascii="Gabriola"/>
          <w:position w:val="-4"/>
          <w:sz w:val="20"/>
        </w:rPr>
        <mc:AlternateContent>
          <mc:Choice Requires="wps">
            <w:drawing>
              <wp:inline distT="0" distB="0" distL="0" distR="0">
                <wp:extent cx="6185535" cy="170815"/>
                <wp:effectExtent l="76200" t="0" r="5714" b="635"/>
                <wp:docPr id="1161" name="Group 1161"/>
                <wp:cNvGraphicFramePr>
                  <a:graphicFrameLocks/>
                </wp:cNvGraphicFramePr>
                <a:graphic>
                  <a:graphicData uri="http://schemas.microsoft.com/office/word/2010/wordprocessingGroup">
                    <wpg:wgp>
                      <wpg:cNvPr id="1161" name="Group 1161"/>
                      <wpg:cNvGrpSpPr/>
                      <wpg:grpSpPr>
                        <a:xfrm>
                          <a:off x="0" y="0"/>
                          <a:ext cx="6185535" cy="170815"/>
                          <a:chExt cx="6185535" cy="170815"/>
                        </a:xfrm>
                      </wpg:grpSpPr>
                      <wps:wsp>
                        <wps:cNvPr id="1162" name="Graphic 1162"/>
                        <wps:cNvSpPr/>
                        <wps:spPr>
                          <a:xfrm>
                            <a:off x="0"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163" name="Graphic 1163"/>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164" name="Textbox 1164"/>
                        <wps:cNvSpPr txBox="1"/>
                        <wps:spPr>
                          <a:xfrm>
                            <a:off x="0" y="0"/>
                            <a:ext cx="6185535" cy="170815"/>
                          </a:xfrm>
                          <a:prstGeom prst="rect">
                            <a:avLst/>
                          </a:prstGeom>
                        </wps:spPr>
                        <wps:txbx>
                          <w:txbxContent>
                            <w:p>
                              <w:pPr>
                                <w:spacing w:before="6"/>
                                <w:ind w:left="5717" w:right="-15" w:firstLine="0"/>
                                <w:jc w:val="left"/>
                                <w:rPr>
                                  <w:b/>
                                  <w:sz w:val="18"/>
                                </w:rPr>
                              </w:pPr>
                              <w:r>
                                <w:rPr>
                                  <w:b/>
                                  <w:color w:val="2E3092"/>
                                  <w:w w:val="105"/>
                                  <w:sz w:val="18"/>
                                </w:rPr>
                                <w:t>Chapter</w:t>
                              </w:r>
                              <w:r>
                                <w:rPr>
                                  <w:b/>
                                  <w:color w:val="2E3092"/>
                                  <w:spacing w:val="7"/>
                                  <w:w w:val="105"/>
                                  <w:sz w:val="18"/>
                                </w:rPr>
                                <w:t> </w:t>
                              </w:r>
                              <w:r>
                                <w:rPr>
                                  <w:b/>
                                  <w:color w:val="2E3092"/>
                                  <w:w w:val="105"/>
                                  <w:sz w:val="18"/>
                                </w:rPr>
                                <w:t>619</w:t>
                              </w:r>
                              <w:r>
                                <w:rPr>
                                  <w:b/>
                                  <w:color w:val="2E3092"/>
                                  <w:spacing w:val="34"/>
                                  <w:w w:val="105"/>
                                  <w:sz w:val="18"/>
                                </w:rPr>
                                <w:t> </w:t>
                              </w:r>
                              <w:r>
                                <w:rPr>
                                  <w:rFonts w:ascii="Lucida Sans Unicode" w:hAnsi="Lucida Sans Unicode"/>
                                  <w:color w:val="7670B3"/>
                                  <w:w w:val="105"/>
                                  <w:sz w:val="15"/>
                                </w:rPr>
                                <w:t>◆</w:t>
                              </w:r>
                              <w:r>
                                <w:rPr>
                                  <w:rFonts w:ascii="Lucida Sans Unicode" w:hAnsi="Lucida Sans Unicode"/>
                                  <w:color w:val="7670B3"/>
                                  <w:spacing w:val="40"/>
                                  <w:w w:val="105"/>
                                  <w:sz w:val="15"/>
                                </w:rPr>
                                <w:t> </w:t>
                              </w:r>
                              <w:r>
                                <w:rPr>
                                  <w:color w:val="231F20"/>
                                  <w:w w:val="105"/>
                                  <w:sz w:val="18"/>
                                </w:rPr>
                                <w:t>Examination</w:t>
                              </w:r>
                              <w:r>
                                <w:rPr>
                                  <w:color w:val="231F20"/>
                                  <w:spacing w:val="4"/>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4"/>
                                  <w:w w:val="105"/>
                                  <w:sz w:val="18"/>
                                </w:rPr>
                                <w:t> </w:t>
                              </w:r>
                              <w:r>
                                <w:rPr>
                                  <w:color w:val="231F20"/>
                                  <w:w w:val="105"/>
                                  <w:sz w:val="18"/>
                                </w:rPr>
                                <w:t>Eye</w:t>
                              </w:r>
                              <w:r>
                                <w:rPr>
                                  <w:color w:val="231F20"/>
                                  <w:spacing w:val="33"/>
                                  <w:w w:val="105"/>
                                  <w:sz w:val="18"/>
                                </w:rPr>
                                <w:t>  </w:t>
                              </w:r>
                              <w:r>
                                <w:rPr>
                                  <w:b/>
                                  <w:color w:val="231F20"/>
                                  <w:spacing w:val="-4"/>
                                  <w:w w:val="105"/>
                                  <w:sz w:val="18"/>
                                </w:rPr>
                                <w:t>3017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930" coordorigin="0,0" coordsize="9741,269">
                <v:line style="position:absolute" from="0,145" to="37,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931" filled="false" stroked="false">
                  <v:textbox inset="0,0,0,0">
                    <w:txbxContent>
                      <w:p>
                        <w:pPr>
                          <w:spacing w:before="6"/>
                          <w:ind w:left="5717" w:right="-15" w:firstLine="0"/>
                          <w:jc w:val="left"/>
                          <w:rPr>
                            <w:b/>
                            <w:sz w:val="18"/>
                          </w:rPr>
                        </w:pPr>
                        <w:r>
                          <w:rPr>
                            <w:b/>
                            <w:color w:val="2E3092"/>
                            <w:w w:val="105"/>
                            <w:sz w:val="18"/>
                          </w:rPr>
                          <w:t>Chapter</w:t>
                        </w:r>
                        <w:r>
                          <w:rPr>
                            <w:b/>
                            <w:color w:val="2E3092"/>
                            <w:spacing w:val="7"/>
                            <w:w w:val="105"/>
                            <w:sz w:val="18"/>
                          </w:rPr>
                          <w:t> </w:t>
                        </w:r>
                        <w:r>
                          <w:rPr>
                            <w:b/>
                            <w:color w:val="2E3092"/>
                            <w:w w:val="105"/>
                            <w:sz w:val="18"/>
                          </w:rPr>
                          <w:t>619</w:t>
                        </w:r>
                        <w:r>
                          <w:rPr>
                            <w:b/>
                            <w:color w:val="2E3092"/>
                            <w:spacing w:val="34"/>
                            <w:w w:val="105"/>
                            <w:sz w:val="18"/>
                          </w:rPr>
                          <w:t> </w:t>
                        </w:r>
                        <w:r>
                          <w:rPr>
                            <w:rFonts w:ascii="Lucida Sans Unicode" w:hAnsi="Lucida Sans Unicode"/>
                            <w:color w:val="7670B3"/>
                            <w:w w:val="105"/>
                            <w:sz w:val="15"/>
                          </w:rPr>
                          <w:t>◆</w:t>
                        </w:r>
                        <w:r>
                          <w:rPr>
                            <w:rFonts w:ascii="Lucida Sans Unicode" w:hAnsi="Lucida Sans Unicode"/>
                            <w:color w:val="7670B3"/>
                            <w:spacing w:val="40"/>
                            <w:w w:val="105"/>
                            <w:sz w:val="15"/>
                          </w:rPr>
                          <w:t> </w:t>
                        </w:r>
                        <w:r>
                          <w:rPr>
                            <w:color w:val="231F20"/>
                            <w:w w:val="105"/>
                            <w:sz w:val="18"/>
                          </w:rPr>
                          <w:t>Examination</w:t>
                        </w:r>
                        <w:r>
                          <w:rPr>
                            <w:color w:val="231F20"/>
                            <w:spacing w:val="4"/>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4"/>
                            <w:w w:val="105"/>
                            <w:sz w:val="18"/>
                          </w:rPr>
                          <w:t> </w:t>
                        </w:r>
                        <w:r>
                          <w:rPr>
                            <w:color w:val="231F20"/>
                            <w:w w:val="105"/>
                            <w:sz w:val="18"/>
                          </w:rPr>
                          <w:t>Eye</w:t>
                        </w:r>
                        <w:r>
                          <w:rPr>
                            <w:color w:val="231F20"/>
                            <w:spacing w:val="33"/>
                            <w:w w:val="105"/>
                            <w:sz w:val="18"/>
                          </w:rPr>
                          <w:t>  </w:t>
                        </w:r>
                        <w:r>
                          <w:rPr>
                            <w:b/>
                            <w:color w:val="231F20"/>
                            <w:spacing w:val="-4"/>
                            <w:w w:val="105"/>
                            <w:sz w:val="18"/>
                          </w:rPr>
                          <w:t>3017</w:t>
                        </w:r>
                      </w:p>
                    </w:txbxContent>
                  </v:textbox>
                  <w10:wrap type="none"/>
                </v:shape>
              </v:group>
            </w:pict>
          </mc:Fallback>
        </mc:AlternateContent>
      </w:r>
      <w:r>
        <w:rPr>
          <w:rFonts w:ascii="Gabriola"/>
          <w:position w:val="-4"/>
          <w:sz w:val="20"/>
        </w:rPr>
      </w:r>
    </w:p>
    <w:p>
      <w:pPr>
        <w:pStyle w:val="BodyText"/>
        <w:spacing w:before="15"/>
        <w:rPr>
          <w:rFonts w:ascii="Gabriola"/>
          <w:sz w:val="11"/>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0"/>
        <w:gridCol w:w="2233"/>
        <w:gridCol w:w="2377"/>
        <w:gridCol w:w="3240"/>
      </w:tblGrid>
      <w:tr>
        <w:trPr>
          <w:trHeight w:val="387" w:hRule="atLeast"/>
        </w:trPr>
        <w:tc>
          <w:tcPr>
            <w:tcW w:w="9740" w:type="dxa"/>
            <w:gridSpan w:val="4"/>
            <w:shd w:val="clear" w:color="auto" w:fill="231F20"/>
          </w:tcPr>
          <w:p>
            <w:pPr>
              <w:pStyle w:val="TableParagraph"/>
              <w:spacing w:before="89"/>
              <w:ind w:left="111"/>
              <w:rPr>
                <w:sz w:val="16"/>
              </w:rPr>
            </w:pPr>
            <w:r>
              <w:rPr>
                <w:b/>
                <w:color w:val="FFFFFF"/>
                <w:w w:val="105"/>
                <w:sz w:val="16"/>
              </w:rPr>
              <w:t>Table</w:t>
            </w:r>
            <w:r>
              <w:rPr>
                <w:b/>
                <w:color w:val="FFFFFF"/>
                <w:spacing w:val="9"/>
                <w:w w:val="105"/>
                <w:sz w:val="16"/>
              </w:rPr>
              <w:t> </w:t>
            </w:r>
            <w:r>
              <w:rPr>
                <w:b/>
                <w:color w:val="FFFFFF"/>
                <w:w w:val="105"/>
                <w:sz w:val="16"/>
              </w:rPr>
              <w:t>619-1</w:t>
            </w:r>
            <w:r>
              <w:rPr>
                <w:b/>
                <w:color w:val="FFFFFF"/>
                <w:spacing w:val="40"/>
                <w:w w:val="105"/>
                <w:sz w:val="16"/>
              </w:rPr>
              <w:t>  </w:t>
            </w:r>
            <w:r>
              <w:rPr>
                <w:color w:val="FFFFFF"/>
                <w:w w:val="105"/>
                <w:sz w:val="16"/>
              </w:rPr>
              <w:t>Vision</w:t>
            </w:r>
            <w:r>
              <w:rPr>
                <w:color w:val="FFFFFF"/>
                <w:spacing w:val="5"/>
                <w:w w:val="105"/>
                <w:sz w:val="16"/>
              </w:rPr>
              <w:t> </w:t>
            </w:r>
            <w:r>
              <w:rPr>
                <w:color w:val="FFFFFF"/>
                <w:w w:val="105"/>
                <w:sz w:val="16"/>
              </w:rPr>
              <w:t>Screening</w:t>
            </w:r>
            <w:r>
              <w:rPr>
                <w:color w:val="FFFFFF"/>
                <w:spacing w:val="6"/>
                <w:w w:val="105"/>
                <w:sz w:val="16"/>
              </w:rPr>
              <w:t> </w:t>
            </w:r>
            <w:r>
              <w:rPr>
                <w:color w:val="FFFFFF"/>
                <w:spacing w:val="-2"/>
                <w:w w:val="105"/>
                <w:sz w:val="16"/>
              </w:rPr>
              <w:t>Guidelines</w:t>
            </w:r>
          </w:p>
        </w:tc>
      </w:tr>
      <w:tr>
        <w:trPr>
          <w:trHeight w:val="243" w:hRule="atLeast"/>
        </w:trPr>
        <w:tc>
          <w:tcPr>
            <w:tcW w:w="1890" w:type="dxa"/>
            <w:tcBorders>
              <w:bottom w:val="single" w:sz="4" w:space="0" w:color="231F20"/>
            </w:tcBorders>
            <w:shd w:val="clear" w:color="auto" w:fill="E8F5F1"/>
          </w:tcPr>
          <w:p>
            <w:pPr>
              <w:pStyle w:val="TableParagraph"/>
              <w:spacing w:before="33"/>
              <w:ind w:left="74"/>
              <w:rPr>
                <w:b/>
                <w:sz w:val="15"/>
              </w:rPr>
            </w:pPr>
            <w:r>
              <w:rPr>
                <w:b/>
                <w:color w:val="231F20"/>
                <w:spacing w:val="-2"/>
                <w:w w:val="110"/>
                <w:sz w:val="15"/>
              </w:rPr>
              <w:t>FUNCTION</w:t>
            </w:r>
          </w:p>
        </w:tc>
        <w:tc>
          <w:tcPr>
            <w:tcW w:w="2233" w:type="dxa"/>
            <w:tcBorders>
              <w:bottom w:val="single" w:sz="4" w:space="0" w:color="231F20"/>
            </w:tcBorders>
            <w:shd w:val="clear" w:color="auto" w:fill="E8F5F1"/>
          </w:tcPr>
          <w:p>
            <w:pPr>
              <w:pStyle w:val="TableParagraph"/>
              <w:spacing w:before="33"/>
              <w:ind w:left="245"/>
              <w:rPr>
                <w:b/>
                <w:sz w:val="15"/>
              </w:rPr>
            </w:pPr>
            <w:r>
              <w:rPr>
                <w:b/>
                <w:color w:val="231F20"/>
                <w:w w:val="115"/>
                <w:sz w:val="15"/>
              </w:rPr>
              <w:t>RECOMMENDED</w:t>
            </w:r>
            <w:r>
              <w:rPr>
                <w:b/>
                <w:color w:val="231F20"/>
                <w:spacing w:val="10"/>
                <w:w w:val="115"/>
                <w:sz w:val="15"/>
              </w:rPr>
              <w:t> </w:t>
            </w:r>
            <w:r>
              <w:rPr>
                <w:b/>
                <w:color w:val="231F20"/>
                <w:spacing w:val="-2"/>
                <w:w w:val="115"/>
                <w:sz w:val="15"/>
              </w:rPr>
              <w:t>TESTS</w:t>
            </w:r>
          </w:p>
        </w:tc>
        <w:tc>
          <w:tcPr>
            <w:tcW w:w="2377" w:type="dxa"/>
            <w:tcBorders>
              <w:bottom w:val="single" w:sz="4" w:space="0" w:color="231F20"/>
            </w:tcBorders>
            <w:shd w:val="clear" w:color="auto" w:fill="E8F5F1"/>
          </w:tcPr>
          <w:p>
            <w:pPr>
              <w:pStyle w:val="TableParagraph"/>
              <w:spacing w:before="33"/>
              <w:ind w:left="447"/>
              <w:rPr>
                <w:b/>
                <w:sz w:val="15"/>
              </w:rPr>
            </w:pPr>
            <w:r>
              <w:rPr>
                <w:b/>
                <w:color w:val="231F20"/>
                <w:w w:val="105"/>
                <w:sz w:val="15"/>
              </w:rPr>
              <w:t>REFERRAL</w:t>
            </w:r>
            <w:r>
              <w:rPr>
                <w:b/>
                <w:color w:val="231F20"/>
                <w:spacing w:val="11"/>
                <w:w w:val="105"/>
                <w:sz w:val="15"/>
              </w:rPr>
              <w:t> </w:t>
            </w:r>
            <w:r>
              <w:rPr>
                <w:b/>
                <w:color w:val="231F20"/>
                <w:spacing w:val="-2"/>
                <w:w w:val="105"/>
                <w:sz w:val="15"/>
              </w:rPr>
              <w:t>CRITERIA</w:t>
            </w:r>
          </w:p>
        </w:tc>
        <w:tc>
          <w:tcPr>
            <w:tcW w:w="3240" w:type="dxa"/>
            <w:tcBorders>
              <w:bottom w:val="single" w:sz="4" w:space="0" w:color="231F20"/>
            </w:tcBorders>
            <w:shd w:val="clear" w:color="auto" w:fill="E8F5F1"/>
          </w:tcPr>
          <w:p>
            <w:pPr>
              <w:pStyle w:val="TableParagraph"/>
              <w:spacing w:before="33"/>
              <w:ind w:left="71"/>
              <w:jc w:val="center"/>
              <w:rPr>
                <w:b/>
                <w:sz w:val="15"/>
              </w:rPr>
            </w:pPr>
            <w:r>
              <w:rPr>
                <w:b/>
                <w:color w:val="231F20"/>
                <w:spacing w:val="-2"/>
                <w:w w:val="115"/>
                <w:sz w:val="15"/>
              </w:rPr>
              <w:t>COMMENTS</w:t>
            </w:r>
          </w:p>
        </w:tc>
      </w:tr>
      <w:tr>
        <w:trPr>
          <w:trHeight w:val="1474" w:hRule="atLeast"/>
        </w:trPr>
        <w:tc>
          <w:tcPr>
            <w:tcW w:w="1890" w:type="dxa"/>
            <w:tcBorders>
              <w:top w:val="single" w:sz="4" w:space="0" w:color="231F20"/>
            </w:tcBorders>
            <w:shd w:val="clear" w:color="auto" w:fill="E8F5F1"/>
          </w:tcPr>
          <w:p>
            <w:pPr>
              <w:pStyle w:val="TableParagraph"/>
              <w:spacing w:line="172" w:lineRule="exact" w:before="43"/>
              <w:ind w:left="74"/>
              <w:rPr>
                <w:sz w:val="15"/>
              </w:rPr>
            </w:pPr>
            <w:r>
              <w:rPr>
                <w:color w:val="231F20"/>
                <w:w w:val="105"/>
                <w:sz w:val="15"/>
              </w:rPr>
              <w:t>AGES</w:t>
            </w:r>
            <w:r>
              <w:rPr>
                <w:color w:val="231F20"/>
                <w:spacing w:val="13"/>
                <w:w w:val="105"/>
                <w:sz w:val="15"/>
              </w:rPr>
              <w:t> </w:t>
            </w:r>
            <w:r>
              <w:rPr>
                <w:color w:val="231F20"/>
                <w:w w:val="105"/>
                <w:sz w:val="15"/>
              </w:rPr>
              <w:t>3-5</w:t>
            </w:r>
            <w:r>
              <w:rPr>
                <w:color w:val="231F20"/>
                <w:spacing w:val="14"/>
                <w:w w:val="105"/>
                <w:sz w:val="15"/>
              </w:rPr>
              <w:t> </w:t>
            </w:r>
            <w:r>
              <w:rPr>
                <w:color w:val="231F20"/>
                <w:spacing w:val="-5"/>
                <w:w w:val="105"/>
                <w:sz w:val="15"/>
              </w:rPr>
              <w:t>YR</w:t>
            </w:r>
          </w:p>
          <w:p>
            <w:pPr>
              <w:pStyle w:val="TableParagraph"/>
              <w:spacing w:line="172" w:lineRule="exact"/>
              <w:ind w:left="74"/>
              <w:rPr>
                <w:sz w:val="15"/>
              </w:rPr>
            </w:pPr>
            <w:r>
              <w:rPr>
                <w:color w:val="231F20"/>
                <w:sz w:val="15"/>
              </w:rPr>
              <w:t>Distance</w:t>
            </w:r>
            <w:r>
              <w:rPr>
                <w:color w:val="231F20"/>
                <w:spacing w:val="-9"/>
                <w:sz w:val="15"/>
              </w:rPr>
              <w:t> </w:t>
            </w:r>
            <w:r>
              <w:rPr>
                <w:color w:val="231F20"/>
                <w:sz w:val="15"/>
              </w:rPr>
              <w:t>visual</w:t>
            </w:r>
            <w:r>
              <w:rPr>
                <w:color w:val="231F20"/>
                <w:spacing w:val="-9"/>
                <w:sz w:val="15"/>
              </w:rPr>
              <w:t> </w:t>
            </w:r>
            <w:r>
              <w:rPr>
                <w:color w:val="231F20"/>
                <w:spacing w:val="-2"/>
                <w:sz w:val="15"/>
              </w:rPr>
              <w:t>acuity</w:t>
            </w:r>
          </w:p>
        </w:tc>
        <w:tc>
          <w:tcPr>
            <w:tcW w:w="2233" w:type="dxa"/>
            <w:tcBorders>
              <w:top w:val="single" w:sz="4" w:space="0" w:color="231F20"/>
            </w:tcBorders>
            <w:shd w:val="clear" w:color="auto" w:fill="E8F5F1"/>
          </w:tcPr>
          <w:p>
            <w:pPr>
              <w:pStyle w:val="TableParagraph"/>
              <w:spacing w:line="230" w:lineRule="auto" w:before="218"/>
              <w:ind w:left="126" w:right="699"/>
              <w:rPr>
                <w:sz w:val="15"/>
              </w:rPr>
            </w:pPr>
            <w:r>
              <w:rPr>
                <w:color w:val="231F20"/>
                <w:sz w:val="15"/>
              </w:rPr>
              <w:t>Snellen letters Snellen</w:t>
            </w:r>
            <w:r>
              <w:rPr>
                <w:color w:val="231F20"/>
                <w:spacing w:val="-12"/>
                <w:sz w:val="15"/>
              </w:rPr>
              <w:t> </w:t>
            </w:r>
            <w:r>
              <w:rPr>
                <w:color w:val="231F20"/>
                <w:sz w:val="15"/>
              </w:rPr>
              <w:t>numbers Tumbling E test HOTV test</w:t>
            </w:r>
          </w:p>
        </w:tc>
        <w:tc>
          <w:tcPr>
            <w:tcW w:w="2377" w:type="dxa"/>
            <w:vMerge w:val="restart"/>
            <w:tcBorders>
              <w:top w:val="single" w:sz="4" w:space="0" w:color="231F20"/>
              <w:bottom w:val="single" w:sz="4" w:space="0" w:color="FFFFFF"/>
            </w:tcBorders>
            <w:shd w:val="clear" w:color="auto" w:fill="E8F5F1"/>
          </w:tcPr>
          <w:p>
            <w:pPr>
              <w:pStyle w:val="TableParagraph"/>
              <w:spacing w:line="230" w:lineRule="auto" w:before="219"/>
              <w:ind w:left="255" w:right="91" w:hanging="112"/>
              <w:rPr>
                <w:sz w:val="15"/>
              </w:rPr>
            </w:pPr>
            <w:r>
              <w:rPr>
                <w:rFonts w:ascii="Cambria"/>
                <w:color w:val="231F20"/>
                <w:sz w:val="15"/>
              </w:rPr>
              <w:t>&lt;</w:t>
            </w:r>
            <w:r>
              <w:rPr>
                <w:color w:val="231F20"/>
                <w:sz w:val="15"/>
              </w:rPr>
              <w:t>4 of 6 correct on 20-ft line </w:t>
            </w:r>
            <w:r>
              <w:rPr>
                <w:color w:val="231F20"/>
                <w:spacing w:val="-2"/>
                <w:sz w:val="15"/>
              </w:rPr>
              <w:t>with</w:t>
            </w:r>
            <w:r>
              <w:rPr>
                <w:color w:val="231F20"/>
                <w:spacing w:val="-10"/>
                <w:sz w:val="15"/>
              </w:rPr>
              <w:t> </w:t>
            </w:r>
            <w:r>
              <w:rPr>
                <w:color w:val="231F20"/>
                <w:spacing w:val="-2"/>
                <w:sz w:val="15"/>
              </w:rPr>
              <w:t>either</w:t>
            </w:r>
            <w:r>
              <w:rPr>
                <w:color w:val="231F20"/>
                <w:spacing w:val="-9"/>
                <w:sz w:val="15"/>
              </w:rPr>
              <w:t> </w:t>
            </w:r>
            <w:r>
              <w:rPr>
                <w:color w:val="231F20"/>
                <w:spacing w:val="-2"/>
                <w:sz w:val="15"/>
              </w:rPr>
              <w:t>eye</w:t>
            </w:r>
            <w:r>
              <w:rPr>
                <w:color w:val="231F20"/>
                <w:spacing w:val="-9"/>
                <w:sz w:val="15"/>
              </w:rPr>
              <w:t> </w:t>
            </w:r>
            <w:r>
              <w:rPr>
                <w:color w:val="231F20"/>
                <w:spacing w:val="-2"/>
                <w:sz w:val="15"/>
              </w:rPr>
              <w:t>tested</w:t>
            </w:r>
            <w:r>
              <w:rPr>
                <w:color w:val="231F20"/>
                <w:spacing w:val="-10"/>
                <w:sz w:val="15"/>
              </w:rPr>
              <w:t> </w:t>
            </w:r>
            <w:r>
              <w:rPr>
                <w:color w:val="231F20"/>
                <w:spacing w:val="-2"/>
                <w:sz w:val="15"/>
              </w:rPr>
              <w:t>at</w:t>
            </w:r>
            <w:r>
              <w:rPr>
                <w:color w:val="231F20"/>
                <w:spacing w:val="-9"/>
                <w:sz w:val="15"/>
              </w:rPr>
              <w:t> </w:t>
            </w:r>
            <w:r>
              <w:rPr>
                <w:color w:val="231F20"/>
                <w:spacing w:val="-2"/>
                <w:sz w:val="15"/>
              </w:rPr>
              <w:t>10</w:t>
            </w:r>
            <w:r>
              <w:rPr>
                <w:color w:val="231F20"/>
                <w:spacing w:val="-9"/>
                <w:sz w:val="15"/>
              </w:rPr>
              <w:t> </w:t>
            </w:r>
            <w:r>
              <w:rPr>
                <w:color w:val="231F20"/>
                <w:spacing w:val="-2"/>
                <w:sz w:val="15"/>
              </w:rPr>
              <w:t>ft </w:t>
            </w:r>
            <w:r>
              <w:rPr>
                <w:color w:val="231F20"/>
                <w:sz w:val="15"/>
              </w:rPr>
              <w:t>monocularly (i.e., </w:t>
            </w:r>
            <w:r>
              <w:rPr>
                <w:rFonts w:ascii="Cambria"/>
                <w:color w:val="231F20"/>
                <w:sz w:val="15"/>
              </w:rPr>
              <w:t>&lt;</w:t>
            </w:r>
            <w:r>
              <w:rPr>
                <w:color w:val="231F20"/>
                <w:sz w:val="15"/>
              </w:rPr>
              <w:t>10/20 or 20/40), or</w:t>
            </w:r>
          </w:p>
          <w:p>
            <w:pPr>
              <w:pStyle w:val="TableParagraph"/>
              <w:spacing w:line="230" w:lineRule="auto" w:before="1"/>
              <w:ind w:left="255" w:right="91" w:hanging="112"/>
              <w:rPr>
                <w:sz w:val="15"/>
              </w:rPr>
            </w:pPr>
            <w:r>
              <w:rPr>
                <w:color w:val="231F20"/>
                <w:sz w:val="15"/>
              </w:rPr>
              <w:t>Two-line difference between eyes,</w:t>
            </w:r>
            <w:r>
              <w:rPr>
                <w:color w:val="231F20"/>
                <w:spacing w:val="-12"/>
                <w:sz w:val="15"/>
              </w:rPr>
              <w:t> </w:t>
            </w:r>
            <w:r>
              <w:rPr>
                <w:color w:val="231F20"/>
                <w:sz w:val="15"/>
              </w:rPr>
              <w:t>even</w:t>
            </w:r>
            <w:r>
              <w:rPr>
                <w:color w:val="231F20"/>
                <w:spacing w:val="-11"/>
                <w:sz w:val="15"/>
              </w:rPr>
              <w:t> </w:t>
            </w:r>
            <w:r>
              <w:rPr>
                <w:color w:val="231F20"/>
                <w:sz w:val="15"/>
              </w:rPr>
              <w:t>within</w:t>
            </w:r>
            <w:r>
              <w:rPr>
                <w:color w:val="231F20"/>
                <w:spacing w:val="-11"/>
                <w:sz w:val="15"/>
              </w:rPr>
              <w:t> </w:t>
            </w:r>
            <w:r>
              <w:rPr>
                <w:color w:val="231F20"/>
                <w:sz w:val="15"/>
              </w:rPr>
              <w:t>the</w:t>
            </w:r>
            <w:r>
              <w:rPr>
                <w:color w:val="231F20"/>
                <w:spacing w:val="-12"/>
                <w:sz w:val="15"/>
              </w:rPr>
              <w:t> </w:t>
            </w:r>
            <w:r>
              <w:rPr>
                <w:color w:val="231F20"/>
                <w:sz w:val="15"/>
              </w:rPr>
              <w:t>passing </w:t>
            </w:r>
            <w:r>
              <w:rPr>
                <w:color w:val="231F20"/>
                <w:spacing w:val="-4"/>
                <w:sz w:val="15"/>
              </w:rPr>
              <w:t>range</w:t>
            </w:r>
            <w:r>
              <w:rPr>
                <w:color w:val="231F20"/>
                <w:spacing w:val="-8"/>
                <w:sz w:val="15"/>
              </w:rPr>
              <w:t> </w:t>
            </w:r>
            <w:r>
              <w:rPr>
                <w:color w:val="231F20"/>
                <w:spacing w:val="-4"/>
                <w:sz w:val="15"/>
              </w:rPr>
              <w:t>(i.e.,</w:t>
            </w:r>
            <w:r>
              <w:rPr>
                <w:color w:val="231F20"/>
                <w:spacing w:val="-7"/>
                <w:sz w:val="15"/>
              </w:rPr>
              <w:t> </w:t>
            </w:r>
            <w:r>
              <w:rPr>
                <w:color w:val="231F20"/>
                <w:spacing w:val="-4"/>
                <w:sz w:val="15"/>
              </w:rPr>
              <w:t>10/12.5</w:t>
            </w:r>
            <w:r>
              <w:rPr>
                <w:color w:val="231F20"/>
                <w:spacing w:val="-7"/>
                <w:sz w:val="15"/>
              </w:rPr>
              <w:t> </w:t>
            </w:r>
            <w:r>
              <w:rPr>
                <w:color w:val="231F20"/>
                <w:spacing w:val="-4"/>
                <w:sz w:val="15"/>
              </w:rPr>
              <w:t>and</w:t>
            </w:r>
            <w:r>
              <w:rPr>
                <w:color w:val="231F20"/>
                <w:spacing w:val="-8"/>
                <w:sz w:val="15"/>
              </w:rPr>
              <w:t> </w:t>
            </w:r>
            <w:r>
              <w:rPr>
                <w:color w:val="231F20"/>
                <w:spacing w:val="-4"/>
                <w:sz w:val="15"/>
              </w:rPr>
              <w:t>10/20 </w:t>
            </w:r>
            <w:r>
              <w:rPr>
                <w:color w:val="231F20"/>
                <w:sz w:val="15"/>
              </w:rPr>
              <w:t>or 20/25 and 20/40)</w:t>
            </w:r>
          </w:p>
        </w:tc>
        <w:tc>
          <w:tcPr>
            <w:tcW w:w="3240" w:type="dxa"/>
            <w:tcBorders>
              <w:top w:val="single" w:sz="4" w:space="0" w:color="231F20"/>
            </w:tcBorders>
            <w:shd w:val="clear" w:color="auto" w:fill="E8F5F1"/>
          </w:tcPr>
          <w:p>
            <w:pPr>
              <w:pStyle w:val="TableParagraph"/>
              <w:spacing w:line="230" w:lineRule="auto" w:before="218"/>
              <w:ind w:left="257" w:right="96" w:hanging="112"/>
              <w:rPr>
                <w:sz w:val="15"/>
              </w:rPr>
            </w:pPr>
            <w:r>
              <w:rPr>
                <w:color w:val="231F20"/>
                <w:sz w:val="15"/>
              </w:rPr>
              <w:t>Tests are listed in decreasing order of cognitive difficulty; the highest test that the child is capable of performing should be</w:t>
            </w:r>
            <w:r>
              <w:rPr>
                <w:color w:val="231F20"/>
                <w:spacing w:val="-6"/>
                <w:sz w:val="15"/>
              </w:rPr>
              <w:t> </w:t>
            </w:r>
            <w:r>
              <w:rPr>
                <w:color w:val="231F20"/>
                <w:sz w:val="15"/>
              </w:rPr>
              <w:t>used;</w:t>
            </w:r>
            <w:r>
              <w:rPr>
                <w:color w:val="231F20"/>
                <w:spacing w:val="-6"/>
                <w:sz w:val="15"/>
              </w:rPr>
              <w:t> </w:t>
            </w:r>
            <w:r>
              <w:rPr>
                <w:color w:val="231F20"/>
                <w:sz w:val="15"/>
              </w:rPr>
              <w:t>in</w:t>
            </w:r>
            <w:r>
              <w:rPr>
                <w:color w:val="231F20"/>
                <w:spacing w:val="-6"/>
                <w:sz w:val="15"/>
              </w:rPr>
              <w:t> </w:t>
            </w:r>
            <w:r>
              <w:rPr>
                <w:color w:val="231F20"/>
                <w:sz w:val="15"/>
              </w:rPr>
              <w:t>general,</w:t>
            </w:r>
            <w:r>
              <w:rPr>
                <w:color w:val="231F20"/>
                <w:spacing w:val="-6"/>
                <w:sz w:val="15"/>
              </w:rPr>
              <w:t> </w:t>
            </w:r>
            <w:r>
              <w:rPr>
                <w:color w:val="231F20"/>
                <w:sz w:val="15"/>
              </w:rPr>
              <w:t>the</w:t>
            </w:r>
            <w:r>
              <w:rPr>
                <w:color w:val="231F20"/>
                <w:spacing w:val="-6"/>
                <w:sz w:val="15"/>
              </w:rPr>
              <w:t> </w:t>
            </w:r>
            <w:r>
              <w:rPr>
                <w:color w:val="231F20"/>
                <w:sz w:val="15"/>
              </w:rPr>
              <w:t>tumbling</w:t>
            </w:r>
            <w:r>
              <w:rPr>
                <w:color w:val="231F20"/>
                <w:spacing w:val="-6"/>
                <w:sz w:val="15"/>
              </w:rPr>
              <w:t> </w:t>
            </w:r>
            <w:r>
              <w:rPr>
                <w:color w:val="231F20"/>
                <w:sz w:val="15"/>
              </w:rPr>
              <w:t>E</w:t>
            </w:r>
            <w:r>
              <w:rPr>
                <w:color w:val="231F20"/>
                <w:spacing w:val="-6"/>
                <w:sz w:val="15"/>
              </w:rPr>
              <w:t> </w:t>
            </w:r>
            <w:r>
              <w:rPr>
                <w:color w:val="231F20"/>
                <w:sz w:val="15"/>
              </w:rPr>
              <w:t>or</w:t>
            </w:r>
            <w:r>
              <w:rPr>
                <w:color w:val="231F20"/>
                <w:spacing w:val="-6"/>
                <w:sz w:val="15"/>
              </w:rPr>
              <w:t> </w:t>
            </w:r>
            <w:r>
              <w:rPr>
                <w:color w:val="231F20"/>
                <w:sz w:val="15"/>
              </w:rPr>
              <w:t>the HOTV test should be used for ages 3-5 yr and Snellen letters or numbers for ages</w:t>
            </w:r>
          </w:p>
          <w:p>
            <w:pPr>
              <w:pStyle w:val="TableParagraph"/>
              <w:spacing w:line="173" w:lineRule="exact"/>
              <w:ind w:left="257"/>
              <w:rPr>
                <w:sz w:val="15"/>
              </w:rPr>
            </w:pPr>
            <w:r>
              <w:rPr>
                <w:color w:val="231F20"/>
                <w:sz w:val="15"/>
              </w:rPr>
              <w:t>6</w:t>
            </w:r>
            <w:r>
              <w:rPr>
                <w:color w:val="231F20"/>
                <w:spacing w:val="-2"/>
                <w:sz w:val="15"/>
              </w:rPr>
              <w:t> </w:t>
            </w:r>
            <w:r>
              <w:rPr>
                <w:color w:val="231F20"/>
                <w:sz w:val="15"/>
              </w:rPr>
              <w:t>yr</w:t>
            </w:r>
            <w:r>
              <w:rPr>
                <w:color w:val="231F20"/>
                <w:spacing w:val="-2"/>
                <w:sz w:val="15"/>
              </w:rPr>
              <w:t> </w:t>
            </w:r>
            <w:r>
              <w:rPr>
                <w:color w:val="231F20"/>
                <w:sz w:val="15"/>
              </w:rPr>
              <w:t>and</w:t>
            </w:r>
            <w:r>
              <w:rPr>
                <w:color w:val="231F20"/>
                <w:spacing w:val="-2"/>
                <w:sz w:val="15"/>
              </w:rPr>
              <w:t> older.</w:t>
            </w:r>
          </w:p>
        </w:tc>
      </w:tr>
      <w:tr>
        <w:trPr>
          <w:trHeight w:val="412" w:hRule="atLeast"/>
        </w:trPr>
        <w:tc>
          <w:tcPr>
            <w:tcW w:w="1890" w:type="dxa"/>
            <w:shd w:val="clear" w:color="auto" w:fill="E8F5F1"/>
          </w:tcPr>
          <w:p>
            <w:pPr>
              <w:pStyle w:val="TableParagraph"/>
              <w:rPr>
                <w:rFonts w:ascii="Times New Roman"/>
                <w:sz w:val="14"/>
              </w:rPr>
            </w:pPr>
          </w:p>
        </w:tc>
        <w:tc>
          <w:tcPr>
            <w:tcW w:w="2233" w:type="dxa"/>
            <w:shd w:val="clear" w:color="auto" w:fill="E8F5F1"/>
          </w:tcPr>
          <w:p>
            <w:pPr>
              <w:pStyle w:val="TableParagraph"/>
              <w:spacing w:before="75"/>
              <w:ind w:left="126"/>
              <w:rPr>
                <w:sz w:val="15"/>
              </w:rPr>
            </w:pPr>
            <w:r>
              <w:rPr>
                <w:color w:val="231F20"/>
                <w:spacing w:val="-2"/>
                <w:sz w:val="15"/>
              </w:rPr>
              <w:t>Picture</w:t>
            </w:r>
            <w:r>
              <w:rPr>
                <w:color w:val="231F20"/>
                <w:spacing w:val="-10"/>
                <w:sz w:val="15"/>
              </w:rPr>
              <w:t> </w:t>
            </w:r>
            <w:r>
              <w:rPr>
                <w:color w:val="231F20"/>
                <w:spacing w:val="-2"/>
                <w:sz w:val="15"/>
              </w:rPr>
              <w:t>tests</w:t>
            </w:r>
          </w:p>
        </w:tc>
        <w:tc>
          <w:tcPr>
            <w:tcW w:w="2377" w:type="dxa"/>
            <w:vMerge/>
            <w:tcBorders>
              <w:top w:val="nil"/>
              <w:bottom w:val="single" w:sz="4" w:space="0" w:color="FFFFFF"/>
            </w:tcBorders>
            <w:shd w:val="clear" w:color="auto" w:fill="E8F5F1"/>
          </w:tcPr>
          <w:p>
            <w:pPr>
              <w:rPr>
                <w:sz w:val="2"/>
                <w:szCs w:val="2"/>
              </w:rPr>
            </w:pPr>
          </w:p>
        </w:tc>
        <w:tc>
          <w:tcPr>
            <w:tcW w:w="3240" w:type="dxa"/>
            <w:shd w:val="clear" w:color="auto" w:fill="E8F5F1"/>
          </w:tcPr>
          <w:p>
            <w:pPr>
              <w:pStyle w:val="TableParagraph"/>
              <w:spacing w:line="168" w:lineRule="exact" w:before="56"/>
              <w:ind w:left="257" w:right="96" w:hanging="112"/>
              <w:rPr>
                <w:sz w:val="15"/>
              </w:rPr>
            </w:pPr>
            <w:r>
              <w:rPr>
                <w:color w:val="231F20"/>
                <w:sz w:val="15"/>
              </w:rPr>
              <w:t>Testing distance of 3 m (10 ft) is </w:t>
            </w:r>
            <w:r>
              <w:rPr>
                <w:color w:val="231F20"/>
                <w:spacing w:val="-2"/>
                <w:sz w:val="15"/>
              </w:rPr>
              <w:t>recommended</w:t>
            </w:r>
            <w:r>
              <w:rPr>
                <w:color w:val="231F20"/>
                <w:spacing w:val="-8"/>
                <w:sz w:val="15"/>
              </w:rPr>
              <w:t> </w:t>
            </w:r>
            <w:r>
              <w:rPr>
                <w:color w:val="231F20"/>
                <w:spacing w:val="-2"/>
                <w:sz w:val="15"/>
              </w:rPr>
              <w:t>for</w:t>
            </w:r>
            <w:r>
              <w:rPr>
                <w:color w:val="231F20"/>
                <w:spacing w:val="-8"/>
                <w:sz w:val="15"/>
              </w:rPr>
              <w:t> </w:t>
            </w:r>
            <w:r>
              <w:rPr>
                <w:color w:val="231F20"/>
                <w:spacing w:val="-2"/>
                <w:sz w:val="15"/>
              </w:rPr>
              <w:t>all</w:t>
            </w:r>
            <w:r>
              <w:rPr>
                <w:color w:val="231F20"/>
                <w:spacing w:val="-8"/>
                <w:sz w:val="15"/>
              </w:rPr>
              <w:t> </w:t>
            </w:r>
            <w:r>
              <w:rPr>
                <w:color w:val="231F20"/>
                <w:spacing w:val="-2"/>
                <w:sz w:val="15"/>
              </w:rPr>
              <w:t>visual</w:t>
            </w:r>
            <w:r>
              <w:rPr>
                <w:color w:val="231F20"/>
                <w:spacing w:val="-8"/>
                <w:sz w:val="15"/>
              </w:rPr>
              <w:t> </w:t>
            </w:r>
            <w:r>
              <w:rPr>
                <w:color w:val="231F20"/>
                <w:spacing w:val="-2"/>
                <w:sz w:val="15"/>
              </w:rPr>
              <w:t>acuity</w:t>
            </w:r>
            <w:r>
              <w:rPr>
                <w:color w:val="231F20"/>
                <w:spacing w:val="-8"/>
                <w:sz w:val="15"/>
              </w:rPr>
              <w:t> </w:t>
            </w:r>
            <w:r>
              <w:rPr>
                <w:color w:val="231F20"/>
                <w:spacing w:val="-2"/>
                <w:sz w:val="15"/>
              </w:rPr>
              <w:t>tests.</w:t>
            </w:r>
          </w:p>
        </w:tc>
      </w:tr>
      <w:tr>
        <w:trPr>
          <w:trHeight w:val="1379" w:hRule="atLeast"/>
        </w:trPr>
        <w:tc>
          <w:tcPr>
            <w:tcW w:w="1890" w:type="dxa"/>
            <w:tcBorders>
              <w:bottom w:val="single" w:sz="4" w:space="0" w:color="FFFFFF"/>
            </w:tcBorders>
            <w:shd w:val="clear" w:color="auto" w:fill="E8F5F1"/>
          </w:tcPr>
          <w:p>
            <w:pPr>
              <w:pStyle w:val="TableParagraph"/>
              <w:rPr>
                <w:rFonts w:ascii="Times New Roman"/>
                <w:sz w:val="14"/>
              </w:rPr>
            </w:pPr>
          </w:p>
        </w:tc>
        <w:tc>
          <w:tcPr>
            <w:tcW w:w="2233" w:type="dxa"/>
            <w:tcBorders>
              <w:bottom w:val="single" w:sz="4" w:space="0" w:color="FFFFFF"/>
            </w:tcBorders>
            <w:shd w:val="clear" w:color="auto" w:fill="E8F5F1"/>
          </w:tcPr>
          <w:p>
            <w:pPr>
              <w:pStyle w:val="TableParagraph"/>
              <w:spacing w:line="162" w:lineRule="exact"/>
              <w:ind w:left="126"/>
              <w:rPr>
                <w:sz w:val="15"/>
              </w:rPr>
            </w:pPr>
            <w:r>
              <w:rPr>
                <w:color w:val="231F20"/>
                <w:sz w:val="15"/>
              </w:rPr>
              <w:t>-Allen</w:t>
            </w:r>
            <w:r>
              <w:rPr>
                <w:color w:val="231F20"/>
                <w:spacing w:val="-7"/>
                <w:sz w:val="15"/>
              </w:rPr>
              <w:t> </w:t>
            </w:r>
            <w:r>
              <w:rPr>
                <w:color w:val="231F20"/>
                <w:spacing w:val="-2"/>
                <w:sz w:val="15"/>
              </w:rPr>
              <w:t>figures</w:t>
            </w:r>
          </w:p>
          <w:p>
            <w:pPr>
              <w:pStyle w:val="TableParagraph"/>
              <w:spacing w:line="172" w:lineRule="exact"/>
              <w:ind w:left="126"/>
              <w:rPr>
                <w:sz w:val="15"/>
              </w:rPr>
            </w:pPr>
            <w:r>
              <w:rPr>
                <w:color w:val="231F20"/>
                <w:sz w:val="15"/>
              </w:rPr>
              <w:t>-Lea</w:t>
            </w:r>
            <w:r>
              <w:rPr>
                <w:color w:val="231F20"/>
                <w:spacing w:val="-8"/>
                <w:sz w:val="15"/>
              </w:rPr>
              <w:t> </w:t>
            </w:r>
            <w:r>
              <w:rPr>
                <w:color w:val="231F20"/>
                <w:spacing w:val="-2"/>
                <w:sz w:val="15"/>
              </w:rPr>
              <w:t>symbols</w:t>
            </w:r>
          </w:p>
        </w:tc>
        <w:tc>
          <w:tcPr>
            <w:tcW w:w="2377" w:type="dxa"/>
            <w:vMerge/>
            <w:tcBorders>
              <w:top w:val="nil"/>
              <w:bottom w:val="single" w:sz="4" w:space="0" w:color="FFFFFF"/>
            </w:tcBorders>
            <w:shd w:val="clear" w:color="auto" w:fill="E8F5F1"/>
          </w:tcPr>
          <w:p>
            <w:pPr>
              <w:rPr>
                <w:sz w:val="2"/>
                <w:szCs w:val="2"/>
              </w:rPr>
            </w:pPr>
          </w:p>
        </w:tc>
        <w:tc>
          <w:tcPr>
            <w:tcW w:w="3240" w:type="dxa"/>
            <w:tcBorders>
              <w:bottom w:val="single" w:sz="4" w:space="0" w:color="FFFFFF"/>
            </w:tcBorders>
            <w:shd w:val="clear" w:color="auto" w:fill="E8F5F1"/>
          </w:tcPr>
          <w:p>
            <w:pPr>
              <w:pStyle w:val="TableParagraph"/>
              <w:spacing w:line="230" w:lineRule="auto" w:before="165"/>
              <w:ind w:left="257" w:right="96" w:hanging="112"/>
              <w:rPr>
                <w:sz w:val="15"/>
              </w:rPr>
            </w:pPr>
            <w:r>
              <w:rPr>
                <w:color w:val="231F20"/>
                <w:sz w:val="15"/>
              </w:rPr>
              <w:t>A</w:t>
            </w:r>
            <w:r>
              <w:rPr>
                <w:color w:val="231F20"/>
                <w:spacing w:val="-8"/>
                <w:sz w:val="15"/>
              </w:rPr>
              <w:t> </w:t>
            </w:r>
            <w:r>
              <w:rPr>
                <w:color w:val="231F20"/>
                <w:sz w:val="15"/>
              </w:rPr>
              <w:t>line</w:t>
            </w:r>
            <w:r>
              <w:rPr>
                <w:color w:val="231F20"/>
                <w:spacing w:val="-8"/>
                <w:sz w:val="15"/>
              </w:rPr>
              <w:t> </w:t>
            </w:r>
            <w:r>
              <w:rPr>
                <w:color w:val="231F20"/>
                <w:sz w:val="15"/>
              </w:rPr>
              <w:t>of</w:t>
            </w:r>
            <w:r>
              <w:rPr>
                <w:color w:val="231F20"/>
                <w:spacing w:val="-8"/>
                <w:sz w:val="15"/>
              </w:rPr>
              <w:t> </w:t>
            </w:r>
            <w:r>
              <w:rPr>
                <w:color w:val="231F20"/>
                <w:sz w:val="15"/>
              </w:rPr>
              <w:t>figures</w:t>
            </w:r>
            <w:r>
              <w:rPr>
                <w:color w:val="231F20"/>
                <w:spacing w:val="-8"/>
                <w:sz w:val="15"/>
              </w:rPr>
              <w:t> </w:t>
            </w:r>
            <w:r>
              <w:rPr>
                <w:color w:val="231F20"/>
                <w:sz w:val="15"/>
              </w:rPr>
              <w:t>is</w:t>
            </w:r>
            <w:r>
              <w:rPr>
                <w:color w:val="231F20"/>
                <w:spacing w:val="-8"/>
                <w:sz w:val="15"/>
              </w:rPr>
              <w:t> </w:t>
            </w:r>
            <w:r>
              <w:rPr>
                <w:color w:val="231F20"/>
                <w:sz w:val="15"/>
              </w:rPr>
              <w:t>preferred</w:t>
            </w:r>
            <w:r>
              <w:rPr>
                <w:color w:val="231F20"/>
                <w:spacing w:val="-8"/>
                <w:sz w:val="15"/>
              </w:rPr>
              <w:t> </w:t>
            </w:r>
            <w:r>
              <w:rPr>
                <w:color w:val="231F20"/>
                <w:sz w:val="15"/>
              </w:rPr>
              <w:t>over</w:t>
            </w:r>
            <w:r>
              <w:rPr>
                <w:color w:val="231F20"/>
                <w:spacing w:val="-8"/>
                <w:sz w:val="15"/>
              </w:rPr>
              <w:t> </w:t>
            </w:r>
            <w:r>
              <w:rPr>
                <w:color w:val="231F20"/>
                <w:sz w:val="15"/>
              </w:rPr>
              <w:t>a</w:t>
            </w:r>
            <w:r>
              <w:rPr>
                <w:color w:val="231F20"/>
                <w:spacing w:val="-8"/>
                <w:sz w:val="15"/>
              </w:rPr>
              <w:t> </w:t>
            </w:r>
            <w:r>
              <w:rPr>
                <w:color w:val="231F20"/>
                <w:sz w:val="15"/>
              </w:rPr>
              <w:t>single </w:t>
            </w:r>
            <w:r>
              <w:rPr>
                <w:color w:val="231F20"/>
                <w:spacing w:val="-2"/>
                <w:sz w:val="15"/>
              </w:rPr>
              <w:t>figure.</w:t>
            </w:r>
          </w:p>
          <w:p>
            <w:pPr>
              <w:pStyle w:val="TableParagraph"/>
              <w:spacing w:line="230" w:lineRule="auto" w:before="3"/>
              <w:ind w:left="257" w:right="96" w:hanging="112"/>
              <w:rPr>
                <w:sz w:val="15"/>
              </w:rPr>
            </w:pPr>
            <w:r>
              <w:rPr>
                <w:color w:val="231F20"/>
                <w:sz w:val="15"/>
              </w:rPr>
              <w:t>The nontested eye should be covered by </w:t>
            </w:r>
            <w:r>
              <w:rPr>
                <w:color w:val="231F20"/>
                <w:sz w:val="15"/>
              </w:rPr>
              <w:t>an occluder held by the examiner or by an adhesive occluder patch applied to eye; the examiner must ensure that it is not possible to peek with the nontested eye.</w:t>
            </w:r>
          </w:p>
        </w:tc>
      </w:tr>
      <w:tr>
        <w:trPr>
          <w:trHeight w:val="1414" w:hRule="atLeast"/>
        </w:trPr>
        <w:tc>
          <w:tcPr>
            <w:tcW w:w="1890" w:type="dxa"/>
            <w:tcBorders>
              <w:top w:val="single" w:sz="4" w:space="0" w:color="FFFFFF"/>
              <w:bottom w:val="single" w:sz="4" w:space="0" w:color="FFFFFF"/>
            </w:tcBorders>
            <w:shd w:val="clear" w:color="auto" w:fill="E8F5F1"/>
          </w:tcPr>
          <w:p>
            <w:pPr>
              <w:pStyle w:val="TableParagraph"/>
              <w:spacing w:before="23"/>
              <w:ind w:left="74"/>
              <w:rPr>
                <w:sz w:val="15"/>
              </w:rPr>
            </w:pPr>
            <w:r>
              <w:rPr>
                <w:color w:val="231F20"/>
                <w:sz w:val="15"/>
              </w:rPr>
              <w:t>Ocular</w:t>
            </w:r>
            <w:r>
              <w:rPr>
                <w:color w:val="231F20"/>
                <w:spacing w:val="1"/>
                <w:sz w:val="15"/>
              </w:rPr>
              <w:t> </w:t>
            </w:r>
            <w:r>
              <w:rPr>
                <w:color w:val="231F20"/>
                <w:spacing w:val="-2"/>
                <w:sz w:val="15"/>
              </w:rPr>
              <w:t>alignment</w:t>
            </w:r>
          </w:p>
        </w:tc>
        <w:tc>
          <w:tcPr>
            <w:tcW w:w="2233" w:type="dxa"/>
            <w:tcBorders>
              <w:top w:val="single" w:sz="4" w:space="0" w:color="FFFFFF"/>
              <w:bottom w:val="single" w:sz="4" w:space="0" w:color="FFFFFF"/>
            </w:tcBorders>
            <w:shd w:val="clear" w:color="auto" w:fill="E8F5F1"/>
          </w:tcPr>
          <w:p>
            <w:pPr>
              <w:pStyle w:val="TableParagraph"/>
              <w:spacing w:line="232" w:lineRule="auto" w:before="28"/>
              <w:ind w:left="126" w:right="110"/>
              <w:rPr>
                <w:sz w:val="15"/>
              </w:rPr>
            </w:pPr>
            <w:r>
              <w:rPr>
                <w:color w:val="231F20"/>
                <w:sz w:val="15"/>
              </w:rPr>
              <w:t>Cross</w:t>
            </w:r>
            <w:r>
              <w:rPr>
                <w:color w:val="231F20"/>
                <w:spacing w:val="-12"/>
                <w:sz w:val="15"/>
              </w:rPr>
              <w:t> </w:t>
            </w:r>
            <w:r>
              <w:rPr>
                <w:color w:val="231F20"/>
                <w:sz w:val="15"/>
              </w:rPr>
              <w:t>cover</w:t>
            </w:r>
            <w:r>
              <w:rPr>
                <w:color w:val="231F20"/>
                <w:spacing w:val="-11"/>
                <w:sz w:val="15"/>
              </w:rPr>
              <w:t> </w:t>
            </w:r>
            <w:r>
              <w:rPr>
                <w:color w:val="231F20"/>
                <w:sz w:val="15"/>
              </w:rPr>
              <w:t>test</w:t>
            </w:r>
            <w:r>
              <w:rPr>
                <w:color w:val="231F20"/>
                <w:spacing w:val="-11"/>
                <w:sz w:val="15"/>
              </w:rPr>
              <w:t> </w:t>
            </w:r>
            <w:r>
              <w:rPr>
                <w:color w:val="231F20"/>
                <w:sz w:val="15"/>
              </w:rPr>
              <w:t>at</w:t>
            </w:r>
            <w:r>
              <w:rPr>
                <w:color w:val="231F20"/>
                <w:spacing w:val="-12"/>
                <w:sz w:val="15"/>
              </w:rPr>
              <w:t> </w:t>
            </w:r>
            <w:r>
              <w:rPr>
                <w:color w:val="231F20"/>
                <w:sz w:val="15"/>
              </w:rPr>
              <w:t>3</w:t>
            </w:r>
            <w:r>
              <w:rPr>
                <w:color w:val="231F20"/>
                <w:spacing w:val="-11"/>
                <w:sz w:val="15"/>
              </w:rPr>
              <w:t> </w:t>
            </w:r>
            <w:r>
              <w:rPr>
                <w:color w:val="231F20"/>
                <w:sz w:val="15"/>
              </w:rPr>
              <w:t>m</w:t>
            </w:r>
            <w:r>
              <w:rPr>
                <w:color w:val="231F20"/>
                <w:spacing w:val="-11"/>
                <w:sz w:val="15"/>
              </w:rPr>
              <w:t> </w:t>
            </w:r>
            <w:r>
              <w:rPr>
                <w:color w:val="231F20"/>
                <w:sz w:val="15"/>
              </w:rPr>
              <w:t>(10</w:t>
            </w:r>
            <w:r>
              <w:rPr>
                <w:color w:val="231F20"/>
                <w:spacing w:val="-12"/>
                <w:sz w:val="15"/>
              </w:rPr>
              <w:t> </w:t>
            </w:r>
            <w:r>
              <w:rPr>
                <w:color w:val="231F20"/>
                <w:sz w:val="15"/>
              </w:rPr>
              <w:t>ft) </w:t>
            </w:r>
            <w:r>
              <w:rPr>
                <w:color w:val="231F20"/>
                <w:spacing w:val="-6"/>
                <w:sz w:val="15"/>
              </w:rPr>
              <w:t>or</w:t>
            </w:r>
          </w:p>
          <w:p>
            <w:pPr>
              <w:pStyle w:val="TableParagraph"/>
              <w:spacing w:line="230" w:lineRule="auto" w:before="2"/>
              <w:ind w:left="238" w:right="110" w:hanging="112"/>
              <w:rPr>
                <w:sz w:val="15"/>
              </w:rPr>
            </w:pPr>
            <w:r>
              <w:rPr>
                <w:color w:val="231F20"/>
                <w:sz w:val="15"/>
              </w:rPr>
              <w:t>Random</w:t>
            </w:r>
            <w:r>
              <w:rPr>
                <w:color w:val="231F20"/>
                <w:spacing w:val="-6"/>
                <w:sz w:val="15"/>
              </w:rPr>
              <w:t> </w:t>
            </w:r>
            <w:r>
              <w:rPr>
                <w:color w:val="231F20"/>
                <w:sz w:val="15"/>
              </w:rPr>
              <w:t>dot</w:t>
            </w:r>
            <w:r>
              <w:rPr>
                <w:color w:val="231F20"/>
                <w:spacing w:val="-6"/>
                <w:sz w:val="15"/>
              </w:rPr>
              <w:t> </w:t>
            </w:r>
            <w:r>
              <w:rPr>
                <w:color w:val="231F20"/>
                <w:sz w:val="15"/>
              </w:rPr>
              <w:t>E</w:t>
            </w:r>
            <w:r>
              <w:rPr>
                <w:color w:val="231F20"/>
                <w:spacing w:val="-6"/>
                <w:sz w:val="15"/>
              </w:rPr>
              <w:t> </w:t>
            </w:r>
            <w:r>
              <w:rPr>
                <w:color w:val="231F20"/>
                <w:sz w:val="15"/>
              </w:rPr>
              <w:t>stereo</w:t>
            </w:r>
            <w:r>
              <w:rPr>
                <w:color w:val="231F20"/>
                <w:spacing w:val="-6"/>
                <w:sz w:val="15"/>
              </w:rPr>
              <w:t> </w:t>
            </w:r>
            <w:r>
              <w:rPr>
                <w:color w:val="231F20"/>
                <w:sz w:val="15"/>
              </w:rPr>
              <w:t>test</w:t>
            </w:r>
            <w:r>
              <w:rPr>
                <w:color w:val="231F20"/>
                <w:spacing w:val="-6"/>
                <w:sz w:val="15"/>
              </w:rPr>
              <w:t> </w:t>
            </w:r>
            <w:r>
              <w:rPr>
                <w:color w:val="231F20"/>
                <w:sz w:val="15"/>
              </w:rPr>
              <w:t>at 40 cm (630 sec of arc)</w:t>
            </w:r>
          </w:p>
          <w:p>
            <w:pPr>
              <w:pStyle w:val="TableParagraph"/>
              <w:spacing w:line="230" w:lineRule="auto" w:before="3"/>
              <w:ind w:left="238" w:hanging="112"/>
              <w:rPr>
                <w:sz w:val="15"/>
              </w:rPr>
            </w:pPr>
            <w:r>
              <w:rPr>
                <w:color w:val="231F20"/>
                <w:spacing w:val="-2"/>
                <w:sz w:val="15"/>
              </w:rPr>
              <w:t>Simultaneous</w:t>
            </w:r>
            <w:r>
              <w:rPr>
                <w:color w:val="231F20"/>
                <w:spacing w:val="-10"/>
                <w:sz w:val="15"/>
              </w:rPr>
              <w:t> </w:t>
            </w:r>
            <w:r>
              <w:rPr>
                <w:color w:val="231F20"/>
                <w:spacing w:val="-2"/>
                <w:sz w:val="15"/>
              </w:rPr>
              <w:t>red</w:t>
            </w:r>
            <w:r>
              <w:rPr>
                <w:color w:val="231F20"/>
                <w:spacing w:val="-9"/>
                <w:sz w:val="15"/>
              </w:rPr>
              <w:t> </w:t>
            </w:r>
            <w:r>
              <w:rPr>
                <w:color w:val="231F20"/>
                <w:spacing w:val="-2"/>
                <w:sz w:val="15"/>
              </w:rPr>
              <w:t>reflex</w:t>
            </w:r>
            <w:r>
              <w:rPr>
                <w:color w:val="231F20"/>
                <w:spacing w:val="-9"/>
                <w:sz w:val="15"/>
              </w:rPr>
              <w:t> </w:t>
            </w:r>
            <w:r>
              <w:rPr>
                <w:color w:val="231F20"/>
                <w:spacing w:val="-2"/>
                <w:sz w:val="15"/>
              </w:rPr>
              <w:t>test </w:t>
            </w:r>
            <w:r>
              <w:rPr>
                <w:color w:val="231F20"/>
                <w:sz w:val="15"/>
              </w:rPr>
              <w:t>(Bruckner test)</w:t>
            </w:r>
          </w:p>
        </w:tc>
        <w:tc>
          <w:tcPr>
            <w:tcW w:w="2377" w:type="dxa"/>
            <w:tcBorders>
              <w:top w:val="single" w:sz="4" w:space="0" w:color="FFFFFF"/>
              <w:bottom w:val="single" w:sz="4" w:space="0" w:color="FFFFFF"/>
            </w:tcBorders>
            <w:shd w:val="clear" w:color="auto" w:fill="E8F5F1"/>
          </w:tcPr>
          <w:p>
            <w:pPr>
              <w:pStyle w:val="TableParagraph"/>
              <w:spacing w:before="23"/>
              <w:ind w:left="144"/>
              <w:rPr>
                <w:sz w:val="15"/>
              </w:rPr>
            </w:pPr>
            <w:r>
              <w:rPr>
                <w:color w:val="231F20"/>
                <w:sz w:val="15"/>
              </w:rPr>
              <w:t>Any</w:t>
            </w:r>
            <w:r>
              <w:rPr>
                <w:color w:val="231F20"/>
                <w:spacing w:val="3"/>
                <w:sz w:val="15"/>
              </w:rPr>
              <w:t> </w:t>
            </w:r>
            <w:r>
              <w:rPr>
                <w:color w:val="231F20"/>
                <w:sz w:val="15"/>
              </w:rPr>
              <w:t>eye</w:t>
            </w:r>
            <w:r>
              <w:rPr>
                <w:color w:val="231F20"/>
                <w:spacing w:val="4"/>
                <w:sz w:val="15"/>
              </w:rPr>
              <w:t> </w:t>
            </w:r>
            <w:r>
              <w:rPr>
                <w:color w:val="231F20"/>
                <w:spacing w:val="-2"/>
                <w:sz w:val="15"/>
              </w:rPr>
              <w:t>movement</w:t>
            </w:r>
          </w:p>
          <w:p>
            <w:pPr>
              <w:pStyle w:val="TableParagraph"/>
              <w:spacing w:before="166"/>
              <w:ind w:left="144"/>
              <w:rPr>
                <w:sz w:val="15"/>
              </w:rPr>
            </w:pPr>
            <w:r>
              <w:rPr>
                <w:rFonts w:ascii="Cambria"/>
                <w:color w:val="231F20"/>
                <w:sz w:val="15"/>
              </w:rPr>
              <w:t>&lt;</w:t>
            </w:r>
            <w:r>
              <w:rPr>
                <w:color w:val="231F20"/>
                <w:sz w:val="15"/>
              </w:rPr>
              <w:t>4</w:t>
            </w:r>
            <w:r>
              <w:rPr>
                <w:color w:val="231F20"/>
                <w:spacing w:val="-2"/>
                <w:sz w:val="15"/>
              </w:rPr>
              <w:t> </w:t>
            </w:r>
            <w:r>
              <w:rPr>
                <w:color w:val="231F20"/>
                <w:sz w:val="15"/>
              </w:rPr>
              <w:t>of</w:t>
            </w:r>
            <w:r>
              <w:rPr>
                <w:color w:val="231F20"/>
                <w:spacing w:val="-2"/>
                <w:sz w:val="15"/>
              </w:rPr>
              <w:t> </w:t>
            </w:r>
            <w:r>
              <w:rPr>
                <w:color w:val="231F20"/>
                <w:sz w:val="15"/>
              </w:rPr>
              <w:t>6</w:t>
            </w:r>
            <w:r>
              <w:rPr>
                <w:color w:val="231F20"/>
                <w:spacing w:val="-2"/>
                <w:sz w:val="15"/>
              </w:rPr>
              <w:t> correct</w:t>
            </w:r>
          </w:p>
          <w:p>
            <w:pPr>
              <w:pStyle w:val="TableParagraph"/>
              <w:spacing w:line="230" w:lineRule="auto" w:before="166"/>
              <w:ind w:left="256" w:hanging="112"/>
              <w:rPr>
                <w:sz w:val="15"/>
              </w:rPr>
            </w:pPr>
            <w:r>
              <w:rPr>
                <w:color w:val="231F20"/>
                <w:sz w:val="15"/>
              </w:rPr>
              <w:t>Any</w:t>
            </w:r>
            <w:r>
              <w:rPr>
                <w:color w:val="231F20"/>
                <w:spacing w:val="-12"/>
                <w:sz w:val="15"/>
              </w:rPr>
              <w:t> </w:t>
            </w:r>
            <w:r>
              <w:rPr>
                <w:color w:val="231F20"/>
                <w:sz w:val="15"/>
              </w:rPr>
              <w:t>asymmetry</w:t>
            </w:r>
            <w:r>
              <w:rPr>
                <w:color w:val="231F20"/>
                <w:spacing w:val="-11"/>
                <w:sz w:val="15"/>
              </w:rPr>
              <w:t> </w:t>
            </w:r>
            <w:r>
              <w:rPr>
                <w:color w:val="231F20"/>
                <w:sz w:val="15"/>
              </w:rPr>
              <w:t>of</w:t>
            </w:r>
            <w:r>
              <w:rPr>
                <w:color w:val="231F20"/>
                <w:spacing w:val="-11"/>
                <w:sz w:val="15"/>
              </w:rPr>
              <w:t> </w:t>
            </w:r>
            <w:r>
              <w:rPr>
                <w:color w:val="231F20"/>
                <w:sz w:val="15"/>
              </w:rPr>
              <w:t>pupil</w:t>
            </w:r>
            <w:r>
              <w:rPr>
                <w:color w:val="231F20"/>
                <w:spacing w:val="-12"/>
                <w:sz w:val="15"/>
              </w:rPr>
              <w:t> </w:t>
            </w:r>
            <w:r>
              <w:rPr>
                <w:color w:val="231F20"/>
                <w:sz w:val="15"/>
              </w:rPr>
              <w:t>color, size, brightness</w:t>
            </w:r>
          </w:p>
        </w:tc>
        <w:tc>
          <w:tcPr>
            <w:tcW w:w="3240" w:type="dxa"/>
            <w:tcBorders>
              <w:top w:val="single" w:sz="4" w:space="0" w:color="FFFFFF"/>
              <w:bottom w:val="single" w:sz="4" w:space="0" w:color="FFFFFF"/>
            </w:tcBorders>
            <w:shd w:val="clear" w:color="auto" w:fill="E8F5F1"/>
          </w:tcPr>
          <w:p>
            <w:pPr>
              <w:pStyle w:val="TableParagraph"/>
              <w:rPr>
                <w:rFonts w:ascii="Gabriola"/>
                <w:sz w:val="15"/>
              </w:rPr>
            </w:pPr>
          </w:p>
          <w:p>
            <w:pPr>
              <w:pStyle w:val="TableParagraph"/>
              <w:spacing w:before="195"/>
              <w:rPr>
                <w:rFonts w:ascii="Gabriola"/>
                <w:sz w:val="15"/>
              </w:rPr>
            </w:pPr>
          </w:p>
          <w:p>
            <w:pPr>
              <w:pStyle w:val="TableParagraph"/>
              <w:spacing w:line="230" w:lineRule="auto"/>
              <w:ind w:left="258" w:right="96" w:hanging="112"/>
              <w:rPr>
                <w:sz w:val="15"/>
              </w:rPr>
            </w:pPr>
            <w:r>
              <w:rPr>
                <w:color w:val="231F20"/>
                <w:sz w:val="15"/>
              </w:rPr>
              <w:t>Direct ophthalmoscope used to view both red reflexes simultaneously in a darkened </w:t>
            </w:r>
            <w:r>
              <w:rPr>
                <w:color w:val="231F20"/>
                <w:spacing w:val="-2"/>
                <w:sz w:val="15"/>
              </w:rPr>
              <w:t>room</w:t>
            </w:r>
            <w:r>
              <w:rPr>
                <w:color w:val="231F20"/>
                <w:spacing w:val="-9"/>
                <w:sz w:val="15"/>
              </w:rPr>
              <w:t> </w:t>
            </w:r>
            <w:r>
              <w:rPr>
                <w:color w:val="231F20"/>
                <w:spacing w:val="-2"/>
                <w:sz w:val="15"/>
              </w:rPr>
              <w:t>from</w:t>
            </w:r>
            <w:r>
              <w:rPr>
                <w:color w:val="231F20"/>
                <w:spacing w:val="-9"/>
                <w:sz w:val="15"/>
              </w:rPr>
              <w:t> </w:t>
            </w:r>
            <w:r>
              <w:rPr>
                <w:color w:val="231F20"/>
                <w:spacing w:val="-2"/>
                <w:sz w:val="15"/>
              </w:rPr>
              <w:t>2-3</w:t>
            </w:r>
            <w:r>
              <w:rPr>
                <w:color w:val="231F20"/>
                <w:spacing w:val="-9"/>
                <w:sz w:val="15"/>
              </w:rPr>
              <w:t> </w:t>
            </w:r>
            <w:r>
              <w:rPr>
                <w:color w:val="231F20"/>
                <w:spacing w:val="-2"/>
                <w:sz w:val="15"/>
              </w:rPr>
              <w:t>ft</w:t>
            </w:r>
            <w:r>
              <w:rPr>
                <w:color w:val="231F20"/>
                <w:spacing w:val="-9"/>
                <w:sz w:val="15"/>
              </w:rPr>
              <w:t> </w:t>
            </w:r>
            <w:r>
              <w:rPr>
                <w:color w:val="231F20"/>
                <w:spacing w:val="-2"/>
                <w:sz w:val="15"/>
              </w:rPr>
              <w:t>away;</w:t>
            </w:r>
            <w:r>
              <w:rPr>
                <w:color w:val="231F20"/>
                <w:spacing w:val="-9"/>
                <w:sz w:val="15"/>
              </w:rPr>
              <w:t> </w:t>
            </w:r>
            <w:r>
              <w:rPr>
                <w:color w:val="231F20"/>
                <w:spacing w:val="-2"/>
                <w:sz w:val="15"/>
              </w:rPr>
              <w:t>detects</w:t>
            </w:r>
            <w:r>
              <w:rPr>
                <w:color w:val="231F20"/>
                <w:spacing w:val="-9"/>
                <w:sz w:val="15"/>
              </w:rPr>
              <w:t> </w:t>
            </w:r>
            <w:r>
              <w:rPr>
                <w:color w:val="231F20"/>
                <w:spacing w:val="-2"/>
                <w:sz w:val="15"/>
              </w:rPr>
              <w:t>asymmetric </w:t>
            </w:r>
            <w:r>
              <w:rPr>
                <w:color w:val="231F20"/>
                <w:sz w:val="15"/>
              </w:rPr>
              <w:t>refractive errors as well.</w:t>
            </w:r>
          </w:p>
        </w:tc>
      </w:tr>
      <w:tr>
        <w:trPr>
          <w:trHeight w:val="588" w:hRule="atLeast"/>
        </w:trPr>
        <w:tc>
          <w:tcPr>
            <w:tcW w:w="1890"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Ocular media clarity </w:t>
            </w:r>
            <w:r>
              <w:rPr>
                <w:color w:val="231F20"/>
                <w:w w:val="90"/>
                <w:sz w:val="15"/>
              </w:rPr>
              <w:t>(cataracts, tumors, </w:t>
            </w:r>
            <w:r>
              <w:rPr>
                <w:color w:val="231F20"/>
                <w:w w:val="90"/>
                <w:sz w:val="15"/>
              </w:rPr>
              <w:t>etc.)</w:t>
            </w:r>
          </w:p>
        </w:tc>
        <w:tc>
          <w:tcPr>
            <w:tcW w:w="2233" w:type="dxa"/>
            <w:tcBorders>
              <w:top w:val="single" w:sz="4" w:space="0" w:color="FFFFFF"/>
              <w:bottom w:val="single" w:sz="4" w:space="0" w:color="FFFFFF"/>
            </w:tcBorders>
            <w:shd w:val="clear" w:color="auto" w:fill="E8F5F1"/>
          </w:tcPr>
          <w:p>
            <w:pPr>
              <w:pStyle w:val="TableParagraph"/>
              <w:spacing w:before="42"/>
              <w:ind w:left="126"/>
              <w:rPr>
                <w:sz w:val="15"/>
              </w:rPr>
            </w:pPr>
            <w:r>
              <w:rPr>
                <w:color w:val="231F20"/>
                <w:sz w:val="15"/>
              </w:rPr>
              <w:t>Red</w:t>
            </w:r>
            <w:r>
              <w:rPr>
                <w:color w:val="231F20"/>
                <w:spacing w:val="8"/>
                <w:sz w:val="15"/>
              </w:rPr>
              <w:t> </w:t>
            </w:r>
            <w:r>
              <w:rPr>
                <w:color w:val="231F20"/>
                <w:spacing w:val="-2"/>
                <w:sz w:val="15"/>
              </w:rPr>
              <w:t>reflex</w:t>
            </w:r>
          </w:p>
        </w:tc>
        <w:tc>
          <w:tcPr>
            <w:tcW w:w="2377" w:type="dxa"/>
            <w:tcBorders>
              <w:top w:val="single" w:sz="4" w:space="0" w:color="FFFFFF"/>
              <w:bottom w:val="single" w:sz="4" w:space="0" w:color="FFFFFF"/>
            </w:tcBorders>
            <w:shd w:val="clear" w:color="auto" w:fill="E8F5F1"/>
          </w:tcPr>
          <w:p>
            <w:pPr>
              <w:pStyle w:val="TableParagraph"/>
              <w:spacing w:line="230" w:lineRule="auto" w:before="48"/>
              <w:ind w:left="256" w:hanging="112"/>
              <w:rPr>
                <w:sz w:val="15"/>
              </w:rPr>
            </w:pPr>
            <w:r>
              <w:rPr>
                <w:color w:val="231F20"/>
                <w:sz w:val="15"/>
              </w:rPr>
              <w:t>White</w:t>
            </w:r>
            <w:r>
              <w:rPr>
                <w:color w:val="231F20"/>
                <w:spacing w:val="-12"/>
                <w:sz w:val="15"/>
              </w:rPr>
              <w:t> </w:t>
            </w:r>
            <w:r>
              <w:rPr>
                <w:color w:val="231F20"/>
                <w:sz w:val="15"/>
              </w:rPr>
              <w:t>pupil,</w:t>
            </w:r>
            <w:r>
              <w:rPr>
                <w:color w:val="231F20"/>
                <w:spacing w:val="-11"/>
                <w:sz w:val="15"/>
              </w:rPr>
              <w:t> </w:t>
            </w:r>
            <w:r>
              <w:rPr>
                <w:color w:val="231F20"/>
                <w:sz w:val="15"/>
              </w:rPr>
              <w:t>dark</w:t>
            </w:r>
            <w:r>
              <w:rPr>
                <w:color w:val="231F20"/>
                <w:spacing w:val="-11"/>
                <w:sz w:val="15"/>
              </w:rPr>
              <w:t> </w:t>
            </w:r>
            <w:r>
              <w:rPr>
                <w:color w:val="231F20"/>
                <w:sz w:val="15"/>
              </w:rPr>
              <w:t>spots,</w:t>
            </w:r>
            <w:r>
              <w:rPr>
                <w:color w:val="231F20"/>
                <w:spacing w:val="-12"/>
                <w:sz w:val="15"/>
              </w:rPr>
              <w:t> </w:t>
            </w:r>
            <w:r>
              <w:rPr>
                <w:color w:val="231F20"/>
                <w:sz w:val="15"/>
              </w:rPr>
              <w:t>absent </w:t>
            </w:r>
            <w:r>
              <w:rPr>
                <w:color w:val="231F20"/>
                <w:spacing w:val="-2"/>
                <w:sz w:val="15"/>
              </w:rPr>
              <w:t>reflex</w:t>
            </w:r>
          </w:p>
        </w:tc>
        <w:tc>
          <w:tcPr>
            <w:tcW w:w="3240" w:type="dxa"/>
            <w:tcBorders>
              <w:top w:val="single" w:sz="4" w:space="0" w:color="FFFFFF"/>
              <w:bottom w:val="single" w:sz="4" w:space="0" w:color="FFFFFF"/>
            </w:tcBorders>
            <w:shd w:val="clear" w:color="auto" w:fill="E8F5F1"/>
          </w:tcPr>
          <w:p>
            <w:pPr>
              <w:pStyle w:val="TableParagraph"/>
              <w:spacing w:line="230" w:lineRule="auto" w:before="48"/>
              <w:ind w:left="258" w:right="96" w:hanging="112"/>
              <w:rPr>
                <w:sz w:val="15"/>
              </w:rPr>
            </w:pPr>
            <w:r>
              <w:rPr>
                <w:color w:val="231F20"/>
                <w:sz w:val="15"/>
              </w:rPr>
              <w:t>Direct ophthalmoscope, darkened room. </w:t>
            </w:r>
            <w:r>
              <w:rPr>
                <w:color w:val="231F20"/>
                <w:spacing w:val="-2"/>
                <w:sz w:val="15"/>
              </w:rPr>
              <w:t>View</w:t>
            </w:r>
            <w:r>
              <w:rPr>
                <w:color w:val="231F20"/>
                <w:spacing w:val="-9"/>
                <w:sz w:val="15"/>
              </w:rPr>
              <w:t> </w:t>
            </w:r>
            <w:r>
              <w:rPr>
                <w:color w:val="231F20"/>
                <w:spacing w:val="-2"/>
                <w:sz w:val="15"/>
              </w:rPr>
              <w:t>eyes</w:t>
            </w:r>
            <w:r>
              <w:rPr>
                <w:color w:val="231F20"/>
                <w:spacing w:val="-9"/>
                <w:sz w:val="15"/>
              </w:rPr>
              <w:t> </w:t>
            </w:r>
            <w:r>
              <w:rPr>
                <w:color w:val="231F20"/>
                <w:spacing w:val="-2"/>
                <w:sz w:val="15"/>
              </w:rPr>
              <w:t>separately</w:t>
            </w:r>
            <w:r>
              <w:rPr>
                <w:color w:val="231F20"/>
                <w:spacing w:val="-9"/>
                <w:sz w:val="15"/>
              </w:rPr>
              <w:t> </w:t>
            </w:r>
            <w:r>
              <w:rPr>
                <w:color w:val="231F20"/>
                <w:spacing w:val="-2"/>
                <w:sz w:val="15"/>
              </w:rPr>
              <w:t>at</w:t>
            </w:r>
            <w:r>
              <w:rPr>
                <w:color w:val="231F20"/>
                <w:spacing w:val="-9"/>
                <w:sz w:val="15"/>
              </w:rPr>
              <w:t> </w:t>
            </w:r>
            <w:r>
              <w:rPr>
                <w:color w:val="231F20"/>
                <w:spacing w:val="-2"/>
                <w:sz w:val="15"/>
              </w:rPr>
              <w:t>12-18</w:t>
            </w:r>
            <w:r>
              <w:rPr>
                <w:color w:val="231F20"/>
                <w:spacing w:val="-9"/>
                <w:sz w:val="15"/>
              </w:rPr>
              <w:t> </w:t>
            </w:r>
            <w:r>
              <w:rPr>
                <w:color w:val="231F20"/>
                <w:spacing w:val="-2"/>
                <w:sz w:val="15"/>
              </w:rPr>
              <w:t>inches;</w:t>
            </w:r>
            <w:r>
              <w:rPr>
                <w:color w:val="231F20"/>
                <w:spacing w:val="-9"/>
                <w:sz w:val="15"/>
              </w:rPr>
              <w:t> </w:t>
            </w:r>
            <w:r>
              <w:rPr>
                <w:color w:val="231F20"/>
                <w:spacing w:val="-2"/>
                <w:sz w:val="15"/>
              </w:rPr>
              <w:t>white </w:t>
            </w:r>
            <w:r>
              <w:rPr>
                <w:color w:val="231F20"/>
                <w:sz w:val="15"/>
              </w:rPr>
              <w:t>reflex indicates possible retinoblastoma.</w:t>
            </w:r>
          </w:p>
        </w:tc>
      </w:tr>
      <w:tr>
        <w:trPr>
          <w:trHeight w:val="3451" w:hRule="atLeast"/>
        </w:trPr>
        <w:tc>
          <w:tcPr>
            <w:tcW w:w="1890" w:type="dxa"/>
            <w:tcBorders>
              <w:top w:val="single" w:sz="4" w:space="0" w:color="FFFFFF"/>
              <w:bottom w:val="single" w:sz="4" w:space="0" w:color="FFFFFF"/>
            </w:tcBorders>
            <w:shd w:val="clear" w:color="auto" w:fill="E8F5F1"/>
          </w:tcPr>
          <w:p>
            <w:pPr>
              <w:pStyle w:val="TableParagraph"/>
              <w:spacing w:line="172" w:lineRule="exact" w:before="43"/>
              <w:ind w:left="75"/>
              <w:rPr>
                <w:sz w:val="15"/>
              </w:rPr>
            </w:pPr>
            <w:r>
              <w:rPr>
                <w:color w:val="231F20"/>
                <w:w w:val="115"/>
                <w:sz w:val="15"/>
              </w:rPr>
              <w:t>AGES</w:t>
            </w:r>
            <w:r>
              <w:rPr>
                <w:color w:val="231F20"/>
                <w:spacing w:val="-5"/>
                <w:w w:val="115"/>
                <w:sz w:val="15"/>
              </w:rPr>
              <w:t> </w:t>
            </w:r>
            <w:r>
              <w:rPr>
                <w:color w:val="231F20"/>
                <w:w w:val="115"/>
                <w:sz w:val="15"/>
              </w:rPr>
              <w:t>6</w:t>
            </w:r>
            <w:r>
              <w:rPr>
                <w:color w:val="231F20"/>
                <w:spacing w:val="-5"/>
                <w:w w:val="115"/>
                <w:sz w:val="15"/>
              </w:rPr>
              <w:t> </w:t>
            </w:r>
            <w:r>
              <w:rPr>
                <w:color w:val="231F20"/>
                <w:w w:val="115"/>
                <w:sz w:val="15"/>
              </w:rPr>
              <w:t>YR</w:t>
            </w:r>
            <w:r>
              <w:rPr>
                <w:color w:val="231F20"/>
                <w:spacing w:val="-5"/>
                <w:w w:val="115"/>
                <w:sz w:val="15"/>
              </w:rPr>
              <w:t> </w:t>
            </w:r>
            <w:r>
              <w:rPr>
                <w:color w:val="231F20"/>
                <w:w w:val="115"/>
                <w:sz w:val="15"/>
              </w:rPr>
              <w:t>AND</w:t>
            </w:r>
            <w:r>
              <w:rPr>
                <w:color w:val="231F20"/>
                <w:spacing w:val="-5"/>
                <w:w w:val="115"/>
                <w:sz w:val="15"/>
              </w:rPr>
              <w:t> </w:t>
            </w:r>
            <w:r>
              <w:rPr>
                <w:color w:val="231F20"/>
                <w:spacing w:val="-2"/>
                <w:w w:val="115"/>
                <w:sz w:val="15"/>
              </w:rPr>
              <w:t>OLDER</w:t>
            </w:r>
          </w:p>
          <w:p>
            <w:pPr>
              <w:pStyle w:val="TableParagraph"/>
              <w:spacing w:line="172" w:lineRule="exact"/>
              <w:ind w:left="75"/>
              <w:rPr>
                <w:sz w:val="15"/>
              </w:rPr>
            </w:pPr>
            <w:r>
              <w:rPr>
                <w:color w:val="231F20"/>
                <w:sz w:val="15"/>
              </w:rPr>
              <w:t>Distance</w:t>
            </w:r>
            <w:r>
              <w:rPr>
                <w:color w:val="231F20"/>
                <w:spacing w:val="-9"/>
                <w:sz w:val="15"/>
              </w:rPr>
              <w:t> </w:t>
            </w:r>
            <w:r>
              <w:rPr>
                <w:color w:val="231F20"/>
                <w:sz w:val="15"/>
              </w:rPr>
              <w:t>visual</w:t>
            </w:r>
            <w:r>
              <w:rPr>
                <w:color w:val="231F20"/>
                <w:spacing w:val="-9"/>
                <w:sz w:val="15"/>
              </w:rPr>
              <w:t> </w:t>
            </w:r>
            <w:r>
              <w:rPr>
                <w:color w:val="231F20"/>
                <w:spacing w:val="-2"/>
                <w:sz w:val="15"/>
              </w:rPr>
              <w:t>acuity</w:t>
            </w:r>
          </w:p>
        </w:tc>
        <w:tc>
          <w:tcPr>
            <w:tcW w:w="2233" w:type="dxa"/>
            <w:tcBorders>
              <w:top w:val="single" w:sz="4" w:space="0" w:color="FFFFFF"/>
              <w:bottom w:val="single" w:sz="4" w:space="0" w:color="FFFFFF"/>
            </w:tcBorders>
            <w:shd w:val="clear" w:color="auto" w:fill="E8F5F1"/>
          </w:tcPr>
          <w:p>
            <w:pPr>
              <w:pStyle w:val="TableParagraph"/>
              <w:spacing w:line="230" w:lineRule="auto" w:before="218"/>
              <w:ind w:left="126" w:right="699"/>
              <w:rPr>
                <w:sz w:val="15"/>
              </w:rPr>
            </w:pPr>
            <w:r>
              <w:rPr>
                <w:color w:val="231F20"/>
                <w:sz w:val="15"/>
              </w:rPr>
              <w:t>Snellen letters Snellen</w:t>
            </w:r>
            <w:r>
              <w:rPr>
                <w:color w:val="231F20"/>
                <w:spacing w:val="-12"/>
                <w:sz w:val="15"/>
              </w:rPr>
              <w:t> </w:t>
            </w:r>
            <w:r>
              <w:rPr>
                <w:color w:val="231F20"/>
                <w:sz w:val="15"/>
              </w:rPr>
              <w:t>numbers Tumbling E test HOTV test</w:t>
            </w:r>
          </w:p>
          <w:p>
            <w:pPr>
              <w:pStyle w:val="TableParagraph"/>
              <w:spacing w:before="247"/>
              <w:rPr>
                <w:rFonts w:ascii="Gabriola"/>
                <w:sz w:val="15"/>
              </w:rPr>
            </w:pPr>
          </w:p>
          <w:p>
            <w:pPr>
              <w:pStyle w:val="TableParagraph"/>
              <w:spacing w:before="1"/>
              <w:ind w:left="126"/>
              <w:rPr>
                <w:sz w:val="15"/>
              </w:rPr>
            </w:pPr>
            <w:r>
              <w:rPr>
                <w:color w:val="231F20"/>
                <w:spacing w:val="-2"/>
                <w:sz w:val="15"/>
              </w:rPr>
              <w:t>Picture</w:t>
            </w:r>
            <w:r>
              <w:rPr>
                <w:color w:val="231F20"/>
                <w:spacing w:val="-10"/>
                <w:sz w:val="15"/>
              </w:rPr>
              <w:t> </w:t>
            </w:r>
            <w:r>
              <w:rPr>
                <w:color w:val="231F20"/>
                <w:spacing w:val="-2"/>
                <w:sz w:val="15"/>
              </w:rPr>
              <w:t>tests</w:t>
            </w:r>
          </w:p>
          <w:p>
            <w:pPr>
              <w:pStyle w:val="TableParagraph"/>
              <w:spacing w:before="243"/>
              <w:rPr>
                <w:rFonts w:ascii="Gabriola"/>
                <w:sz w:val="15"/>
              </w:rPr>
            </w:pPr>
          </w:p>
          <w:p>
            <w:pPr>
              <w:pStyle w:val="TableParagraph"/>
              <w:spacing w:line="172" w:lineRule="exact" w:before="1"/>
              <w:ind w:left="126"/>
              <w:rPr>
                <w:sz w:val="15"/>
              </w:rPr>
            </w:pPr>
            <w:r>
              <w:rPr>
                <w:color w:val="231F20"/>
                <w:sz w:val="15"/>
              </w:rPr>
              <w:t>-Allen</w:t>
            </w:r>
            <w:r>
              <w:rPr>
                <w:color w:val="231F20"/>
                <w:spacing w:val="-7"/>
                <w:sz w:val="15"/>
              </w:rPr>
              <w:t> </w:t>
            </w:r>
            <w:r>
              <w:rPr>
                <w:color w:val="231F20"/>
                <w:spacing w:val="-2"/>
                <w:sz w:val="15"/>
              </w:rPr>
              <w:t>figures</w:t>
            </w:r>
          </w:p>
          <w:p>
            <w:pPr>
              <w:pStyle w:val="TableParagraph"/>
              <w:spacing w:line="172" w:lineRule="exact"/>
              <w:ind w:left="126"/>
              <w:rPr>
                <w:sz w:val="15"/>
              </w:rPr>
            </w:pPr>
            <w:r>
              <w:rPr>
                <w:color w:val="231F20"/>
                <w:sz w:val="15"/>
              </w:rPr>
              <w:t>-Lea</w:t>
            </w:r>
            <w:r>
              <w:rPr>
                <w:color w:val="231F20"/>
                <w:spacing w:val="-8"/>
                <w:sz w:val="15"/>
              </w:rPr>
              <w:t> </w:t>
            </w:r>
            <w:r>
              <w:rPr>
                <w:color w:val="231F20"/>
                <w:spacing w:val="-2"/>
                <w:sz w:val="15"/>
              </w:rPr>
              <w:t>symbols</w:t>
            </w:r>
          </w:p>
        </w:tc>
        <w:tc>
          <w:tcPr>
            <w:tcW w:w="2377" w:type="dxa"/>
            <w:tcBorders>
              <w:top w:val="single" w:sz="4" w:space="0" w:color="FFFFFF"/>
              <w:bottom w:val="single" w:sz="4" w:space="0" w:color="FFFFFF"/>
            </w:tcBorders>
            <w:shd w:val="clear" w:color="auto" w:fill="E8F5F1"/>
          </w:tcPr>
          <w:p>
            <w:pPr>
              <w:pStyle w:val="TableParagraph"/>
              <w:spacing w:line="230" w:lineRule="auto" w:before="219"/>
              <w:ind w:left="256" w:right="203" w:hanging="112"/>
              <w:jc w:val="both"/>
              <w:rPr>
                <w:sz w:val="15"/>
              </w:rPr>
            </w:pPr>
            <w:r>
              <w:rPr>
                <w:rFonts w:ascii="Cambria"/>
                <w:color w:val="231F20"/>
                <w:sz w:val="15"/>
              </w:rPr>
              <w:t>&lt;</w:t>
            </w:r>
            <w:r>
              <w:rPr>
                <w:color w:val="231F20"/>
                <w:sz w:val="15"/>
              </w:rPr>
              <w:t>4</w:t>
            </w:r>
            <w:r>
              <w:rPr>
                <w:color w:val="231F20"/>
                <w:spacing w:val="-12"/>
                <w:sz w:val="15"/>
              </w:rPr>
              <w:t> </w:t>
            </w:r>
            <w:r>
              <w:rPr>
                <w:color w:val="231F20"/>
                <w:sz w:val="15"/>
              </w:rPr>
              <w:t>of</w:t>
            </w:r>
            <w:r>
              <w:rPr>
                <w:color w:val="231F20"/>
                <w:spacing w:val="-11"/>
                <w:sz w:val="15"/>
              </w:rPr>
              <w:t> </w:t>
            </w:r>
            <w:r>
              <w:rPr>
                <w:color w:val="231F20"/>
                <w:sz w:val="15"/>
              </w:rPr>
              <w:t>6</w:t>
            </w:r>
            <w:r>
              <w:rPr>
                <w:color w:val="231F20"/>
                <w:spacing w:val="-11"/>
                <w:sz w:val="15"/>
              </w:rPr>
              <w:t> </w:t>
            </w:r>
            <w:r>
              <w:rPr>
                <w:color w:val="231F20"/>
                <w:sz w:val="15"/>
              </w:rPr>
              <w:t>correct</w:t>
            </w:r>
            <w:r>
              <w:rPr>
                <w:color w:val="231F20"/>
                <w:spacing w:val="-12"/>
                <w:sz w:val="15"/>
              </w:rPr>
              <w:t> </w:t>
            </w:r>
            <w:r>
              <w:rPr>
                <w:color w:val="231F20"/>
                <w:sz w:val="15"/>
              </w:rPr>
              <w:t>on</w:t>
            </w:r>
            <w:r>
              <w:rPr>
                <w:color w:val="231F20"/>
                <w:spacing w:val="-11"/>
                <w:sz w:val="15"/>
              </w:rPr>
              <w:t> </w:t>
            </w:r>
            <w:r>
              <w:rPr>
                <w:color w:val="231F20"/>
                <w:sz w:val="15"/>
              </w:rPr>
              <w:t>4.5</w:t>
            </w:r>
            <w:r>
              <w:rPr>
                <w:color w:val="231F20"/>
                <w:spacing w:val="-11"/>
                <w:sz w:val="15"/>
              </w:rPr>
              <w:t> </w:t>
            </w:r>
            <w:r>
              <w:rPr>
                <w:color w:val="231F20"/>
                <w:sz w:val="15"/>
              </w:rPr>
              <w:t>m</w:t>
            </w:r>
            <w:r>
              <w:rPr>
                <w:color w:val="231F20"/>
                <w:spacing w:val="-12"/>
                <w:sz w:val="15"/>
              </w:rPr>
              <w:t> </w:t>
            </w:r>
            <w:r>
              <w:rPr>
                <w:color w:val="231F20"/>
                <w:sz w:val="15"/>
              </w:rPr>
              <w:t>(15</w:t>
            </w:r>
            <w:r>
              <w:rPr>
                <w:color w:val="231F20"/>
                <w:spacing w:val="-11"/>
                <w:sz w:val="15"/>
              </w:rPr>
              <w:t> </w:t>
            </w:r>
            <w:r>
              <w:rPr>
                <w:color w:val="231F20"/>
                <w:sz w:val="15"/>
              </w:rPr>
              <w:t>ft) </w:t>
            </w:r>
            <w:r>
              <w:rPr>
                <w:color w:val="231F20"/>
                <w:spacing w:val="-2"/>
                <w:sz w:val="15"/>
              </w:rPr>
              <w:t>line</w:t>
            </w:r>
            <w:r>
              <w:rPr>
                <w:color w:val="231F20"/>
                <w:spacing w:val="-10"/>
                <w:sz w:val="15"/>
              </w:rPr>
              <w:t> </w:t>
            </w:r>
            <w:r>
              <w:rPr>
                <w:color w:val="231F20"/>
                <w:spacing w:val="-2"/>
                <w:sz w:val="15"/>
              </w:rPr>
              <w:t>with</w:t>
            </w:r>
            <w:r>
              <w:rPr>
                <w:color w:val="231F20"/>
                <w:spacing w:val="-9"/>
                <w:sz w:val="15"/>
              </w:rPr>
              <w:t> </w:t>
            </w:r>
            <w:r>
              <w:rPr>
                <w:color w:val="231F20"/>
                <w:spacing w:val="-2"/>
                <w:sz w:val="15"/>
              </w:rPr>
              <w:t>either</w:t>
            </w:r>
            <w:r>
              <w:rPr>
                <w:color w:val="231F20"/>
                <w:spacing w:val="-9"/>
                <w:sz w:val="15"/>
              </w:rPr>
              <w:t> </w:t>
            </w:r>
            <w:r>
              <w:rPr>
                <w:color w:val="231F20"/>
                <w:spacing w:val="-2"/>
                <w:sz w:val="15"/>
              </w:rPr>
              <w:t>eye</w:t>
            </w:r>
            <w:r>
              <w:rPr>
                <w:color w:val="231F20"/>
                <w:spacing w:val="-10"/>
                <w:sz w:val="15"/>
              </w:rPr>
              <w:t> </w:t>
            </w:r>
            <w:r>
              <w:rPr>
                <w:color w:val="231F20"/>
                <w:spacing w:val="-2"/>
                <w:sz w:val="15"/>
              </w:rPr>
              <w:t>tested</w:t>
            </w:r>
            <w:r>
              <w:rPr>
                <w:color w:val="231F20"/>
                <w:spacing w:val="-9"/>
                <w:sz w:val="15"/>
              </w:rPr>
              <w:t> </w:t>
            </w:r>
            <w:r>
              <w:rPr>
                <w:color w:val="231F20"/>
                <w:spacing w:val="-2"/>
                <w:sz w:val="15"/>
              </w:rPr>
              <w:t>at 3</w:t>
            </w:r>
            <w:r>
              <w:rPr>
                <w:color w:val="231F20"/>
                <w:spacing w:val="-10"/>
                <w:sz w:val="15"/>
              </w:rPr>
              <w:t> </w:t>
            </w:r>
            <w:r>
              <w:rPr>
                <w:color w:val="231F20"/>
                <w:spacing w:val="-2"/>
                <w:sz w:val="15"/>
              </w:rPr>
              <w:t>m</w:t>
            </w:r>
            <w:r>
              <w:rPr>
                <w:color w:val="231F20"/>
                <w:spacing w:val="-9"/>
                <w:sz w:val="15"/>
              </w:rPr>
              <w:t> </w:t>
            </w:r>
            <w:r>
              <w:rPr>
                <w:color w:val="231F20"/>
                <w:spacing w:val="-2"/>
                <w:sz w:val="15"/>
              </w:rPr>
              <w:t>(10</w:t>
            </w:r>
            <w:r>
              <w:rPr>
                <w:color w:val="231F20"/>
                <w:spacing w:val="-9"/>
                <w:sz w:val="15"/>
              </w:rPr>
              <w:t> </w:t>
            </w:r>
            <w:r>
              <w:rPr>
                <w:color w:val="231F20"/>
                <w:spacing w:val="-2"/>
                <w:sz w:val="15"/>
              </w:rPr>
              <w:t>ft)</w:t>
            </w:r>
            <w:r>
              <w:rPr>
                <w:color w:val="231F20"/>
                <w:spacing w:val="-10"/>
                <w:sz w:val="15"/>
              </w:rPr>
              <w:t> </w:t>
            </w:r>
            <w:r>
              <w:rPr>
                <w:color w:val="231F20"/>
                <w:spacing w:val="-2"/>
                <w:sz w:val="15"/>
              </w:rPr>
              <w:t>monocularly</w:t>
            </w:r>
            <w:r>
              <w:rPr>
                <w:color w:val="231F20"/>
                <w:spacing w:val="-9"/>
                <w:sz w:val="15"/>
              </w:rPr>
              <w:t> </w:t>
            </w:r>
            <w:r>
              <w:rPr>
                <w:color w:val="231F20"/>
                <w:spacing w:val="-2"/>
                <w:sz w:val="15"/>
              </w:rPr>
              <w:t>(i.e.,</w:t>
            </w:r>
          </w:p>
          <w:p>
            <w:pPr>
              <w:pStyle w:val="TableParagraph"/>
              <w:spacing w:line="171" w:lineRule="exact"/>
              <w:ind w:left="256"/>
              <w:jc w:val="both"/>
              <w:rPr>
                <w:sz w:val="15"/>
              </w:rPr>
            </w:pPr>
            <w:r>
              <w:rPr>
                <w:rFonts w:ascii="Cambria"/>
                <w:color w:val="231F20"/>
                <w:spacing w:val="-2"/>
                <w:sz w:val="15"/>
              </w:rPr>
              <w:t>&lt;</w:t>
            </w:r>
            <w:r>
              <w:rPr>
                <w:color w:val="231F20"/>
                <w:spacing w:val="-2"/>
                <w:sz w:val="15"/>
              </w:rPr>
              <w:t>10/15</w:t>
            </w:r>
            <w:r>
              <w:rPr>
                <w:color w:val="231F20"/>
                <w:spacing w:val="-9"/>
                <w:sz w:val="15"/>
              </w:rPr>
              <w:t> </w:t>
            </w:r>
            <w:r>
              <w:rPr>
                <w:color w:val="231F20"/>
                <w:spacing w:val="-2"/>
                <w:sz w:val="15"/>
              </w:rPr>
              <w:t>or</w:t>
            </w:r>
            <w:r>
              <w:rPr>
                <w:color w:val="231F20"/>
                <w:spacing w:val="-8"/>
                <w:sz w:val="15"/>
              </w:rPr>
              <w:t> </w:t>
            </w:r>
            <w:r>
              <w:rPr>
                <w:color w:val="231F20"/>
                <w:spacing w:val="-2"/>
                <w:sz w:val="15"/>
              </w:rPr>
              <w:t>20/30)</w:t>
            </w:r>
          </w:p>
          <w:p>
            <w:pPr>
              <w:pStyle w:val="TableParagraph"/>
              <w:spacing w:before="247"/>
              <w:rPr>
                <w:rFonts w:ascii="Gabriola"/>
                <w:sz w:val="15"/>
              </w:rPr>
            </w:pPr>
          </w:p>
          <w:p>
            <w:pPr>
              <w:pStyle w:val="TableParagraph"/>
              <w:spacing w:line="230" w:lineRule="auto"/>
              <w:ind w:left="256" w:right="91" w:hanging="112"/>
              <w:rPr>
                <w:sz w:val="15"/>
              </w:rPr>
            </w:pPr>
            <w:r>
              <w:rPr>
                <w:color w:val="231F20"/>
                <w:sz w:val="15"/>
              </w:rPr>
              <w:t>Two-line difference between eyes,</w:t>
            </w:r>
            <w:r>
              <w:rPr>
                <w:color w:val="231F20"/>
                <w:spacing w:val="-12"/>
                <w:sz w:val="15"/>
              </w:rPr>
              <w:t> </w:t>
            </w:r>
            <w:r>
              <w:rPr>
                <w:color w:val="231F20"/>
                <w:sz w:val="15"/>
              </w:rPr>
              <w:t>even</w:t>
            </w:r>
            <w:r>
              <w:rPr>
                <w:color w:val="231F20"/>
                <w:spacing w:val="-11"/>
                <w:sz w:val="15"/>
              </w:rPr>
              <w:t> </w:t>
            </w:r>
            <w:r>
              <w:rPr>
                <w:color w:val="231F20"/>
                <w:sz w:val="15"/>
              </w:rPr>
              <w:t>within</w:t>
            </w:r>
            <w:r>
              <w:rPr>
                <w:color w:val="231F20"/>
                <w:spacing w:val="-11"/>
                <w:sz w:val="15"/>
              </w:rPr>
              <w:t> </w:t>
            </w:r>
            <w:r>
              <w:rPr>
                <w:color w:val="231F20"/>
                <w:sz w:val="15"/>
              </w:rPr>
              <w:t>the</w:t>
            </w:r>
            <w:r>
              <w:rPr>
                <w:color w:val="231F20"/>
                <w:spacing w:val="-12"/>
                <w:sz w:val="15"/>
              </w:rPr>
              <w:t> </w:t>
            </w:r>
            <w:r>
              <w:rPr>
                <w:color w:val="231F20"/>
                <w:sz w:val="15"/>
              </w:rPr>
              <w:t>passing range</w:t>
            </w:r>
            <w:r>
              <w:rPr>
                <w:color w:val="231F20"/>
                <w:spacing w:val="-4"/>
                <w:sz w:val="15"/>
              </w:rPr>
              <w:t> </w:t>
            </w:r>
            <w:r>
              <w:rPr>
                <w:color w:val="231F20"/>
                <w:sz w:val="15"/>
              </w:rPr>
              <w:t>(i.e.,</w:t>
            </w:r>
            <w:r>
              <w:rPr>
                <w:color w:val="231F20"/>
                <w:spacing w:val="-4"/>
                <w:sz w:val="15"/>
              </w:rPr>
              <w:t> </w:t>
            </w:r>
            <w:r>
              <w:rPr>
                <w:color w:val="231F20"/>
                <w:sz w:val="15"/>
              </w:rPr>
              <w:t>10/10</w:t>
            </w:r>
            <w:r>
              <w:rPr>
                <w:color w:val="231F20"/>
                <w:spacing w:val="-4"/>
                <w:sz w:val="15"/>
              </w:rPr>
              <w:t> </w:t>
            </w:r>
            <w:r>
              <w:rPr>
                <w:color w:val="231F20"/>
                <w:sz w:val="15"/>
              </w:rPr>
              <w:t>and</w:t>
            </w:r>
            <w:r>
              <w:rPr>
                <w:color w:val="231F20"/>
                <w:spacing w:val="-4"/>
                <w:sz w:val="15"/>
              </w:rPr>
              <w:t> </w:t>
            </w:r>
            <w:r>
              <w:rPr>
                <w:color w:val="231F20"/>
                <w:sz w:val="15"/>
              </w:rPr>
              <w:t>10/15 or 20/20 and 20/30)</w:t>
            </w:r>
          </w:p>
        </w:tc>
        <w:tc>
          <w:tcPr>
            <w:tcW w:w="3240" w:type="dxa"/>
            <w:tcBorders>
              <w:top w:val="single" w:sz="4" w:space="0" w:color="FFFFFF"/>
              <w:bottom w:val="single" w:sz="4" w:space="0" w:color="FFFFFF"/>
            </w:tcBorders>
            <w:shd w:val="clear" w:color="auto" w:fill="E8F5F1"/>
          </w:tcPr>
          <w:p>
            <w:pPr>
              <w:pStyle w:val="TableParagraph"/>
              <w:spacing w:line="230" w:lineRule="auto" w:before="218"/>
              <w:ind w:left="258" w:right="96" w:hanging="112"/>
              <w:rPr>
                <w:sz w:val="15"/>
              </w:rPr>
            </w:pPr>
            <w:r>
              <w:rPr>
                <w:color w:val="231F20"/>
                <w:sz w:val="15"/>
              </w:rPr>
              <w:t>Tests are listed in decreasing order of cognitive difficulty; the highest test that the child is capable of performing should be</w:t>
            </w:r>
            <w:r>
              <w:rPr>
                <w:color w:val="231F20"/>
                <w:spacing w:val="-6"/>
                <w:sz w:val="15"/>
              </w:rPr>
              <w:t> </w:t>
            </w:r>
            <w:r>
              <w:rPr>
                <w:color w:val="231F20"/>
                <w:sz w:val="15"/>
              </w:rPr>
              <w:t>used;</w:t>
            </w:r>
            <w:r>
              <w:rPr>
                <w:color w:val="231F20"/>
                <w:spacing w:val="-6"/>
                <w:sz w:val="15"/>
              </w:rPr>
              <w:t> </w:t>
            </w:r>
            <w:r>
              <w:rPr>
                <w:color w:val="231F20"/>
                <w:sz w:val="15"/>
              </w:rPr>
              <w:t>in</w:t>
            </w:r>
            <w:r>
              <w:rPr>
                <w:color w:val="231F20"/>
                <w:spacing w:val="-6"/>
                <w:sz w:val="15"/>
              </w:rPr>
              <w:t> </w:t>
            </w:r>
            <w:r>
              <w:rPr>
                <w:color w:val="231F20"/>
                <w:sz w:val="15"/>
              </w:rPr>
              <w:t>general,</w:t>
            </w:r>
            <w:r>
              <w:rPr>
                <w:color w:val="231F20"/>
                <w:spacing w:val="-6"/>
                <w:sz w:val="15"/>
              </w:rPr>
              <w:t> </w:t>
            </w:r>
            <w:r>
              <w:rPr>
                <w:color w:val="231F20"/>
                <w:sz w:val="15"/>
              </w:rPr>
              <w:t>the</w:t>
            </w:r>
            <w:r>
              <w:rPr>
                <w:color w:val="231F20"/>
                <w:spacing w:val="-6"/>
                <w:sz w:val="15"/>
              </w:rPr>
              <w:t> </w:t>
            </w:r>
            <w:r>
              <w:rPr>
                <w:color w:val="231F20"/>
                <w:sz w:val="15"/>
              </w:rPr>
              <w:t>tumbling</w:t>
            </w:r>
            <w:r>
              <w:rPr>
                <w:color w:val="231F20"/>
                <w:spacing w:val="-6"/>
                <w:sz w:val="15"/>
              </w:rPr>
              <w:t> </w:t>
            </w:r>
            <w:r>
              <w:rPr>
                <w:color w:val="231F20"/>
                <w:sz w:val="15"/>
              </w:rPr>
              <w:t>E</w:t>
            </w:r>
            <w:r>
              <w:rPr>
                <w:color w:val="231F20"/>
                <w:spacing w:val="-6"/>
                <w:sz w:val="15"/>
              </w:rPr>
              <w:t> </w:t>
            </w:r>
            <w:r>
              <w:rPr>
                <w:color w:val="231F20"/>
                <w:sz w:val="15"/>
              </w:rPr>
              <w:t>or</w:t>
            </w:r>
            <w:r>
              <w:rPr>
                <w:color w:val="231F20"/>
                <w:spacing w:val="-6"/>
                <w:sz w:val="15"/>
              </w:rPr>
              <w:t> </w:t>
            </w:r>
            <w:r>
              <w:rPr>
                <w:color w:val="231F20"/>
                <w:sz w:val="15"/>
              </w:rPr>
              <w:t>the HOTV test should be used for ages 3-5 yr and Snellen letters or numbers for ages</w:t>
            </w:r>
          </w:p>
          <w:p>
            <w:pPr>
              <w:pStyle w:val="TableParagraph"/>
              <w:spacing w:line="171" w:lineRule="exact"/>
              <w:ind w:left="258"/>
              <w:rPr>
                <w:sz w:val="15"/>
              </w:rPr>
            </w:pPr>
            <w:r>
              <w:rPr>
                <w:color w:val="231F20"/>
                <w:sz w:val="15"/>
              </w:rPr>
              <w:t>6</w:t>
            </w:r>
            <w:r>
              <w:rPr>
                <w:color w:val="231F20"/>
                <w:spacing w:val="-2"/>
                <w:sz w:val="15"/>
              </w:rPr>
              <w:t> </w:t>
            </w:r>
            <w:r>
              <w:rPr>
                <w:color w:val="231F20"/>
                <w:sz w:val="15"/>
              </w:rPr>
              <w:t>yr</w:t>
            </w:r>
            <w:r>
              <w:rPr>
                <w:color w:val="231F20"/>
                <w:spacing w:val="-2"/>
                <w:sz w:val="15"/>
              </w:rPr>
              <w:t> </w:t>
            </w:r>
            <w:r>
              <w:rPr>
                <w:color w:val="231F20"/>
                <w:sz w:val="15"/>
              </w:rPr>
              <w:t>and</w:t>
            </w:r>
            <w:r>
              <w:rPr>
                <w:color w:val="231F20"/>
                <w:spacing w:val="-2"/>
                <w:sz w:val="15"/>
              </w:rPr>
              <w:t> older.</w:t>
            </w:r>
          </w:p>
          <w:p>
            <w:pPr>
              <w:pStyle w:val="TableParagraph"/>
              <w:spacing w:line="230" w:lineRule="auto" w:before="3"/>
              <w:ind w:left="258" w:right="96" w:hanging="112"/>
              <w:rPr>
                <w:sz w:val="15"/>
              </w:rPr>
            </w:pPr>
            <w:r>
              <w:rPr>
                <w:color w:val="231F20"/>
                <w:sz w:val="15"/>
              </w:rPr>
              <w:t>Testing distance of 3 m (10 ft) is recommended</w:t>
            </w:r>
            <w:r>
              <w:rPr>
                <w:color w:val="231F20"/>
                <w:spacing w:val="-11"/>
                <w:sz w:val="15"/>
              </w:rPr>
              <w:t> </w:t>
            </w:r>
            <w:r>
              <w:rPr>
                <w:color w:val="231F20"/>
                <w:sz w:val="15"/>
              </w:rPr>
              <w:t>for</w:t>
            </w:r>
            <w:r>
              <w:rPr>
                <w:color w:val="231F20"/>
                <w:spacing w:val="-10"/>
                <w:sz w:val="15"/>
              </w:rPr>
              <w:t> </w:t>
            </w:r>
            <w:r>
              <w:rPr>
                <w:color w:val="231F20"/>
                <w:sz w:val="15"/>
              </w:rPr>
              <w:t>all</w:t>
            </w:r>
            <w:r>
              <w:rPr>
                <w:color w:val="231F20"/>
                <w:spacing w:val="-10"/>
                <w:sz w:val="15"/>
              </w:rPr>
              <w:t> </w:t>
            </w:r>
            <w:r>
              <w:rPr>
                <w:color w:val="231F20"/>
                <w:sz w:val="15"/>
              </w:rPr>
              <w:t>visual</w:t>
            </w:r>
            <w:r>
              <w:rPr>
                <w:color w:val="231F20"/>
                <w:spacing w:val="-11"/>
                <w:sz w:val="15"/>
              </w:rPr>
              <w:t> </w:t>
            </w:r>
            <w:r>
              <w:rPr>
                <w:color w:val="231F20"/>
                <w:sz w:val="15"/>
              </w:rPr>
              <w:t>acuity</w:t>
            </w:r>
            <w:r>
              <w:rPr>
                <w:color w:val="231F20"/>
                <w:spacing w:val="-10"/>
                <w:sz w:val="15"/>
              </w:rPr>
              <w:t> </w:t>
            </w:r>
            <w:r>
              <w:rPr>
                <w:color w:val="231F20"/>
                <w:spacing w:val="-6"/>
                <w:sz w:val="15"/>
              </w:rPr>
              <w:t>tests.</w:t>
            </w:r>
          </w:p>
          <w:p>
            <w:pPr>
              <w:pStyle w:val="TableParagraph"/>
              <w:spacing w:before="253"/>
              <w:rPr>
                <w:rFonts w:ascii="Gabriola"/>
                <w:sz w:val="15"/>
              </w:rPr>
            </w:pPr>
          </w:p>
          <w:p>
            <w:pPr>
              <w:pStyle w:val="TableParagraph"/>
              <w:spacing w:line="230" w:lineRule="auto"/>
              <w:ind w:left="258" w:right="96" w:hanging="112"/>
              <w:rPr>
                <w:sz w:val="15"/>
              </w:rPr>
            </w:pPr>
            <w:r>
              <w:rPr>
                <w:color w:val="231F20"/>
                <w:sz w:val="15"/>
              </w:rPr>
              <w:t>A</w:t>
            </w:r>
            <w:r>
              <w:rPr>
                <w:color w:val="231F20"/>
                <w:spacing w:val="-8"/>
                <w:sz w:val="15"/>
              </w:rPr>
              <w:t> </w:t>
            </w:r>
            <w:r>
              <w:rPr>
                <w:color w:val="231F20"/>
                <w:sz w:val="15"/>
              </w:rPr>
              <w:t>line</w:t>
            </w:r>
            <w:r>
              <w:rPr>
                <w:color w:val="231F20"/>
                <w:spacing w:val="-8"/>
                <w:sz w:val="15"/>
              </w:rPr>
              <w:t> </w:t>
            </w:r>
            <w:r>
              <w:rPr>
                <w:color w:val="231F20"/>
                <w:sz w:val="15"/>
              </w:rPr>
              <w:t>of</w:t>
            </w:r>
            <w:r>
              <w:rPr>
                <w:color w:val="231F20"/>
                <w:spacing w:val="-8"/>
                <w:sz w:val="15"/>
              </w:rPr>
              <w:t> </w:t>
            </w:r>
            <w:r>
              <w:rPr>
                <w:color w:val="231F20"/>
                <w:sz w:val="15"/>
              </w:rPr>
              <w:t>figures</w:t>
            </w:r>
            <w:r>
              <w:rPr>
                <w:color w:val="231F20"/>
                <w:spacing w:val="-8"/>
                <w:sz w:val="15"/>
              </w:rPr>
              <w:t> </w:t>
            </w:r>
            <w:r>
              <w:rPr>
                <w:color w:val="231F20"/>
                <w:sz w:val="15"/>
              </w:rPr>
              <w:t>is</w:t>
            </w:r>
            <w:r>
              <w:rPr>
                <w:color w:val="231F20"/>
                <w:spacing w:val="-8"/>
                <w:sz w:val="15"/>
              </w:rPr>
              <w:t> </w:t>
            </w:r>
            <w:r>
              <w:rPr>
                <w:color w:val="231F20"/>
                <w:sz w:val="15"/>
              </w:rPr>
              <w:t>preferred</w:t>
            </w:r>
            <w:r>
              <w:rPr>
                <w:color w:val="231F20"/>
                <w:spacing w:val="-8"/>
                <w:sz w:val="15"/>
              </w:rPr>
              <w:t> </w:t>
            </w:r>
            <w:r>
              <w:rPr>
                <w:color w:val="231F20"/>
                <w:sz w:val="15"/>
              </w:rPr>
              <w:t>over</w:t>
            </w:r>
            <w:r>
              <w:rPr>
                <w:color w:val="231F20"/>
                <w:spacing w:val="-8"/>
                <w:sz w:val="15"/>
              </w:rPr>
              <w:t> </w:t>
            </w:r>
            <w:r>
              <w:rPr>
                <w:color w:val="231F20"/>
                <w:sz w:val="15"/>
              </w:rPr>
              <w:t>a</w:t>
            </w:r>
            <w:r>
              <w:rPr>
                <w:color w:val="231F20"/>
                <w:spacing w:val="-8"/>
                <w:sz w:val="15"/>
              </w:rPr>
              <w:t> </w:t>
            </w:r>
            <w:r>
              <w:rPr>
                <w:color w:val="231F20"/>
                <w:sz w:val="15"/>
              </w:rPr>
              <w:t>single </w:t>
            </w:r>
            <w:r>
              <w:rPr>
                <w:color w:val="231F20"/>
                <w:spacing w:val="-2"/>
                <w:sz w:val="15"/>
              </w:rPr>
              <w:t>figure.</w:t>
            </w:r>
          </w:p>
          <w:p>
            <w:pPr>
              <w:pStyle w:val="TableParagraph"/>
              <w:spacing w:line="230" w:lineRule="auto" w:before="3"/>
              <w:ind w:left="258" w:right="69" w:hanging="112"/>
              <w:rPr>
                <w:sz w:val="15"/>
              </w:rPr>
            </w:pPr>
            <w:r>
              <w:rPr>
                <w:color w:val="231F20"/>
                <w:sz w:val="15"/>
              </w:rPr>
              <w:t>The nontested eye should be covered by an occluder held by the examiner or by an adhesive occluder patch applied to the eye;</w:t>
            </w:r>
            <w:r>
              <w:rPr>
                <w:color w:val="231F20"/>
                <w:spacing w:val="-12"/>
                <w:sz w:val="15"/>
              </w:rPr>
              <w:t> </w:t>
            </w:r>
            <w:r>
              <w:rPr>
                <w:color w:val="231F20"/>
                <w:sz w:val="15"/>
              </w:rPr>
              <w:t>the</w:t>
            </w:r>
            <w:r>
              <w:rPr>
                <w:color w:val="231F20"/>
                <w:spacing w:val="-11"/>
                <w:sz w:val="15"/>
              </w:rPr>
              <w:t> </w:t>
            </w:r>
            <w:r>
              <w:rPr>
                <w:color w:val="231F20"/>
                <w:sz w:val="15"/>
              </w:rPr>
              <w:t>examiner</w:t>
            </w:r>
            <w:r>
              <w:rPr>
                <w:color w:val="231F20"/>
                <w:spacing w:val="-11"/>
                <w:sz w:val="15"/>
              </w:rPr>
              <w:t> </w:t>
            </w:r>
            <w:r>
              <w:rPr>
                <w:color w:val="231F20"/>
                <w:sz w:val="15"/>
              </w:rPr>
              <w:t>must</w:t>
            </w:r>
            <w:r>
              <w:rPr>
                <w:color w:val="231F20"/>
                <w:spacing w:val="-12"/>
                <w:sz w:val="15"/>
              </w:rPr>
              <w:t> </w:t>
            </w:r>
            <w:r>
              <w:rPr>
                <w:color w:val="231F20"/>
                <w:sz w:val="15"/>
              </w:rPr>
              <w:t>ensure</w:t>
            </w:r>
            <w:r>
              <w:rPr>
                <w:color w:val="231F20"/>
                <w:spacing w:val="-11"/>
                <w:sz w:val="15"/>
              </w:rPr>
              <w:t> </w:t>
            </w:r>
            <w:r>
              <w:rPr>
                <w:color w:val="231F20"/>
                <w:sz w:val="15"/>
              </w:rPr>
              <w:t>that</w:t>
            </w:r>
            <w:r>
              <w:rPr>
                <w:color w:val="231F20"/>
                <w:spacing w:val="-11"/>
                <w:sz w:val="15"/>
              </w:rPr>
              <w:t> </w:t>
            </w:r>
            <w:r>
              <w:rPr>
                <w:color w:val="231F20"/>
                <w:sz w:val="15"/>
              </w:rPr>
              <w:t>it</w:t>
            </w:r>
            <w:r>
              <w:rPr>
                <w:color w:val="231F20"/>
                <w:spacing w:val="-12"/>
                <w:sz w:val="15"/>
              </w:rPr>
              <w:t> </w:t>
            </w:r>
            <w:r>
              <w:rPr>
                <w:color w:val="231F20"/>
                <w:sz w:val="15"/>
              </w:rPr>
              <w:t>is</w:t>
            </w:r>
            <w:r>
              <w:rPr>
                <w:color w:val="231F20"/>
                <w:spacing w:val="-11"/>
                <w:sz w:val="15"/>
              </w:rPr>
              <w:t> </w:t>
            </w:r>
            <w:r>
              <w:rPr>
                <w:color w:val="231F20"/>
                <w:sz w:val="15"/>
              </w:rPr>
              <w:t>not possible to peek with the nontested eye.</w:t>
            </w:r>
          </w:p>
        </w:tc>
      </w:tr>
      <w:tr>
        <w:trPr>
          <w:trHeight w:val="735" w:hRule="atLeast"/>
        </w:trPr>
        <w:tc>
          <w:tcPr>
            <w:tcW w:w="1890" w:type="dxa"/>
            <w:tcBorders>
              <w:top w:val="single" w:sz="4" w:space="0" w:color="FFFFFF"/>
              <w:bottom w:val="single" w:sz="8" w:space="0" w:color="231F20"/>
            </w:tcBorders>
            <w:shd w:val="clear" w:color="auto" w:fill="E8F5F1"/>
          </w:tcPr>
          <w:p>
            <w:pPr>
              <w:pStyle w:val="TableParagraph"/>
              <w:spacing w:before="23"/>
              <w:ind w:left="75"/>
              <w:rPr>
                <w:sz w:val="15"/>
              </w:rPr>
            </w:pPr>
            <w:r>
              <w:rPr>
                <w:color w:val="231F20"/>
                <w:sz w:val="15"/>
              </w:rPr>
              <w:t>Ocular</w:t>
            </w:r>
            <w:r>
              <w:rPr>
                <w:color w:val="231F20"/>
                <w:spacing w:val="1"/>
                <w:sz w:val="15"/>
              </w:rPr>
              <w:t> </w:t>
            </w:r>
            <w:r>
              <w:rPr>
                <w:color w:val="231F20"/>
                <w:spacing w:val="-2"/>
                <w:sz w:val="15"/>
              </w:rPr>
              <w:t>alignment</w:t>
            </w:r>
          </w:p>
        </w:tc>
        <w:tc>
          <w:tcPr>
            <w:tcW w:w="2233" w:type="dxa"/>
            <w:tcBorders>
              <w:top w:val="single" w:sz="4" w:space="0" w:color="FFFFFF"/>
              <w:bottom w:val="single" w:sz="8" w:space="0" w:color="231F20"/>
            </w:tcBorders>
            <w:shd w:val="clear" w:color="auto" w:fill="E8F5F1"/>
          </w:tcPr>
          <w:p>
            <w:pPr>
              <w:pStyle w:val="TableParagraph"/>
              <w:spacing w:line="232" w:lineRule="auto" w:before="28"/>
              <w:ind w:left="126" w:right="110"/>
              <w:rPr>
                <w:sz w:val="15"/>
              </w:rPr>
            </w:pPr>
            <w:r>
              <w:rPr>
                <w:color w:val="231F20"/>
                <w:sz w:val="15"/>
              </w:rPr>
              <w:t>Cross</w:t>
            </w:r>
            <w:r>
              <w:rPr>
                <w:color w:val="231F20"/>
                <w:spacing w:val="-12"/>
                <w:sz w:val="15"/>
              </w:rPr>
              <w:t> </w:t>
            </w:r>
            <w:r>
              <w:rPr>
                <w:color w:val="231F20"/>
                <w:sz w:val="15"/>
              </w:rPr>
              <w:t>cover</w:t>
            </w:r>
            <w:r>
              <w:rPr>
                <w:color w:val="231F20"/>
                <w:spacing w:val="-11"/>
                <w:sz w:val="15"/>
              </w:rPr>
              <w:t> </w:t>
            </w:r>
            <w:r>
              <w:rPr>
                <w:color w:val="231F20"/>
                <w:sz w:val="15"/>
              </w:rPr>
              <w:t>test</w:t>
            </w:r>
            <w:r>
              <w:rPr>
                <w:color w:val="231F20"/>
                <w:spacing w:val="-11"/>
                <w:sz w:val="15"/>
              </w:rPr>
              <w:t> </w:t>
            </w:r>
            <w:r>
              <w:rPr>
                <w:color w:val="231F20"/>
                <w:sz w:val="15"/>
              </w:rPr>
              <w:t>at</w:t>
            </w:r>
            <w:r>
              <w:rPr>
                <w:color w:val="231F20"/>
                <w:spacing w:val="-12"/>
                <w:sz w:val="15"/>
              </w:rPr>
              <w:t> </w:t>
            </w:r>
            <w:r>
              <w:rPr>
                <w:color w:val="231F20"/>
                <w:sz w:val="15"/>
              </w:rPr>
              <w:t>3</w:t>
            </w:r>
            <w:r>
              <w:rPr>
                <w:color w:val="231F20"/>
                <w:spacing w:val="-11"/>
                <w:sz w:val="15"/>
              </w:rPr>
              <w:t> </w:t>
            </w:r>
            <w:r>
              <w:rPr>
                <w:color w:val="231F20"/>
                <w:sz w:val="15"/>
              </w:rPr>
              <w:t>m</w:t>
            </w:r>
            <w:r>
              <w:rPr>
                <w:color w:val="231F20"/>
                <w:spacing w:val="-11"/>
                <w:sz w:val="15"/>
              </w:rPr>
              <w:t> </w:t>
            </w:r>
            <w:r>
              <w:rPr>
                <w:color w:val="231F20"/>
                <w:sz w:val="15"/>
              </w:rPr>
              <w:t>(10</w:t>
            </w:r>
            <w:r>
              <w:rPr>
                <w:color w:val="231F20"/>
                <w:spacing w:val="-12"/>
                <w:sz w:val="15"/>
              </w:rPr>
              <w:t> </w:t>
            </w:r>
            <w:r>
              <w:rPr>
                <w:color w:val="231F20"/>
                <w:sz w:val="15"/>
              </w:rPr>
              <w:t>ft) </w:t>
            </w:r>
            <w:r>
              <w:rPr>
                <w:color w:val="231F20"/>
                <w:spacing w:val="-6"/>
                <w:sz w:val="15"/>
              </w:rPr>
              <w:t>or</w:t>
            </w:r>
          </w:p>
          <w:p>
            <w:pPr>
              <w:pStyle w:val="TableParagraph"/>
              <w:spacing w:line="230" w:lineRule="auto" w:before="2"/>
              <w:ind w:left="238" w:right="110" w:hanging="112"/>
              <w:rPr>
                <w:sz w:val="15"/>
              </w:rPr>
            </w:pPr>
            <w:r>
              <w:rPr>
                <w:color w:val="231F20"/>
                <w:sz w:val="15"/>
              </w:rPr>
              <w:t>Random</w:t>
            </w:r>
            <w:r>
              <w:rPr>
                <w:color w:val="231F20"/>
                <w:spacing w:val="-6"/>
                <w:sz w:val="15"/>
              </w:rPr>
              <w:t> </w:t>
            </w:r>
            <w:r>
              <w:rPr>
                <w:color w:val="231F20"/>
                <w:sz w:val="15"/>
              </w:rPr>
              <w:t>dot</w:t>
            </w:r>
            <w:r>
              <w:rPr>
                <w:color w:val="231F20"/>
                <w:spacing w:val="-6"/>
                <w:sz w:val="15"/>
              </w:rPr>
              <w:t> </w:t>
            </w:r>
            <w:r>
              <w:rPr>
                <w:color w:val="231F20"/>
                <w:sz w:val="15"/>
              </w:rPr>
              <w:t>E</w:t>
            </w:r>
            <w:r>
              <w:rPr>
                <w:color w:val="231F20"/>
                <w:spacing w:val="-6"/>
                <w:sz w:val="15"/>
              </w:rPr>
              <w:t> </w:t>
            </w:r>
            <w:r>
              <w:rPr>
                <w:color w:val="231F20"/>
                <w:sz w:val="15"/>
              </w:rPr>
              <w:t>stereo</w:t>
            </w:r>
            <w:r>
              <w:rPr>
                <w:color w:val="231F20"/>
                <w:spacing w:val="-6"/>
                <w:sz w:val="15"/>
              </w:rPr>
              <w:t> </w:t>
            </w:r>
            <w:r>
              <w:rPr>
                <w:color w:val="231F20"/>
                <w:sz w:val="15"/>
              </w:rPr>
              <w:t>test</w:t>
            </w:r>
            <w:r>
              <w:rPr>
                <w:color w:val="231F20"/>
                <w:spacing w:val="-6"/>
                <w:sz w:val="15"/>
              </w:rPr>
              <w:t> </w:t>
            </w:r>
            <w:r>
              <w:rPr>
                <w:color w:val="231F20"/>
                <w:sz w:val="15"/>
              </w:rPr>
              <w:t>at 40 cm (630 sec of arc)</w:t>
            </w:r>
          </w:p>
        </w:tc>
        <w:tc>
          <w:tcPr>
            <w:tcW w:w="2377" w:type="dxa"/>
            <w:tcBorders>
              <w:top w:val="single" w:sz="4" w:space="0" w:color="FFFFFF"/>
              <w:bottom w:val="single" w:sz="8" w:space="0" w:color="231F20"/>
            </w:tcBorders>
            <w:shd w:val="clear" w:color="auto" w:fill="E8F5F1"/>
          </w:tcPr>
          <w:p>
            <w:pPr>
              <w:pStyle w:val="TableParagraph"/>
              <w:spacing w:before="23"/>
              <w:ind w:left="144"/>
              <w:rPr>
                <w:sz w:val="15"/>
              </w:rPr>
            </w:pPr>
            <w:r>
              <w:rPr>
                <w:color w:val="231F20"/>
                <w:sz w:val="15"/>
              </w:rPr>
              <w:t>Any</w:t>
            </w:r>
            <w:r>
              <w:rPr>
                <w:color w:val="231F20"/>
                <w:spacing w:val="3"/>
                <w:sz w:val="15"/>
              </w:rPr>
              <w:t> </w:t>
            </w:r>
            <w:r>
              <w:rPr>
                <w:color w:val="231F20"/>
                <w:sz w:val="15"/>
              </w:rPr>
              <w:t>eye</w:t>
            </w:r>
            <w:r>
              <w:rPr>
                <w:color w:val="231F20"/>
                <w:spacing w:val="4"/>
                <w:sz w:val="15"/>
              </w:rPr>
              <w:t> </w:t>
            </w:r>
            <w:r>
              <w:rPr>
                <w:color w:val="231F20"/>
                <w:spacing w:val="-2"/>
                <w:sz w:val="15"/>
              </w:rPr>
              <w:t>movement</w:t>
            </w:r>
          </w:p>
          <w:p>
            <w:pPr>
              <w:pStyle w:val="TableParagraph"/>
              <w:spacing w:before="166"/>
              <w:ind w:left="144"/>
              <w:rPr>
                <w:sz w:val="15"/>
              </w:rPr>
            </w:pPr>
            <w:r>
              <w:rPr>
                <w:rFonts w:ascii="Cambria"/>
                <w:color w:val="231F20"/>
                <w:sz w:val="15"/>
              </w:rPr>
              <w:t>&lt;</w:t>
            </w:r>
            <w:r>
              <w:rPr>
                <w:color w:val="231F20"/>
                <w:sz w:val="15"/>
              </w:rPr>
              <w:t>4</w:t>
            </w:r>
            <w:r>
              <w:rPr>
                <w:color w:val="231F20"/>
                <w:spacing w:val="-2"/>
                <w:sz w:val="15"/>
              </w:rPr>
              <w:t> </w:t>
            </w:r>
            <w:r>
              <w:rPr>
                <w:color w:val="231F20"/>
                <w:sz w:val="15"/>
              </w:rPr>
              <w:t>of</w:t>
            </w:r>
            <w:r>
              <w:rPr>
                <w:color w:val="231F20"/>
                <w:spacing w:val="-2"/>
                <w:sz w:val="15"/>
              </w:rPr>
              <w:t> </w:t>
            </w:r>
            <w:r>
              <w:rPr>
                <w:color w:val="231F20"/>
                <w:sz w:val="15"/>
              </w:rPr>
              <w:t>6</w:t>
            </w:r>
            <w:r>
              <w:rPr>
                <w:color w:val="231F20"/>
                <w:spacing w:val="-2"/>
                <w:sz w:val="15"/>
              </w:rPr>
              <w:t> correct</w:t>
            </w:r>
          </w:p>
        </w:tc>
        <w:tc>
          <w:tcPr>
            <w:tcW w:w="3240" w:type="dxa"/>
            <w:tcBorders>
              <w:top w:val="single" w:sz="4" w:space="0" w:color="FFFFFF"/>
              <w:bottom w:val="single" w:sz="8" w:space="0" w:color="231F20"/>
            </w:tcBorders>
            <w:shd w:val="clear" w:color="auto" w:fill="E8F5F1"/>
          </w:tcPr>
          <w:p>
            <w:pPr>
              <w:pStyle w:val="TableParagraph"/>
              <w:rPr>
                <w:rFonts w:ascii="Times New Roman"/>
                <w:sz w:val="14"/>
              </w:rPr>
            </w:pPr>
          </w:p>
        </w:tc>
      </w:tr>
    </w:tbl>
    <w:p>
      <w:pPr>
        <w:pStyle w:val="TableParagraph"/>
        <w:spacing w:after="0"/>
        <w:rPr>
          <w:rFonts w:ascii="Times New Roman"/>
          <w:sz w:val="14"/>
        </w:rPr>
        <w:sectPr>
          <w:pgSz w:w="11900" w:h="16840"/>
          <w:pgMar w:header="0" w:footer="0" w:top="1180" w:bottom="280" w:left="708" w:right="566"/>
        </w:sectPr>
      </w:pPr>
    </w:p>
    <w:p>
      <w:pPr>
        <w:pStyle w:val="BodyText"/>
        <w:spacing w:before="97"/>
        <w:rPr>
          <w:rFonts w:ascii="Gabriola"/>
          <w:sz w:val="20"/>
        </w:rPr>
      </w:pPr>
    </w:p>
    <w:p>
      <w:pPr>
        <w:pStyle w:val="BodyText"/>
        <w:spacing w:line="268" w:lineRule="exact"/>
        <w:ind w:left="184"/>
        <w:rPr>
          <w:rFonts w:ascii="Gabriola"/>
          <w:position w:val="-4"/>
          <w:sz w:val="20"/>
        </w:rPr>
      </w:pPr>
      <w:r>
        <w:rPr>
          <w:rFonts w:ascii="Gabriola"/>
          <w:position w:val="-4"/>
          <w:sz w:val="20"/>
        </w:rPr>
        <mc:AlternateContent>
          <mc:Choice Requires="wps">
            <w:drawing>
              <wp:inline distT="0" distB="0" distL="0" distR="0">
                <wp:extent cx="6185535" cy="170815"/>
                <wp:effectExtent l="19050" t="0" r="62864" b="635"/>
                <wp:docPr id="1165" name="Group 1165"/>
                <wp:cNvGraphicFramePr>
                  <a:graphicFrameLocks/>
                </wp:cNvGraphicFramePr>
                <a:graphic>
                  <a:graphicData uri="http://schemas.microsoft.com/office/word/2010/wordprocessingGroup">
                    <wpg:wgp>
                      <wpg:cNvPr id="1165" name="Group 1165"/>
                      <wpg:cNvGrpSpPr/>
                      <wpg:grpSpPr>
                        <a:xfrm>
                          <a:off x="0" y="0"/>
                          <a:ext cx="6185535" cy="170815"/>
                          <a:chExt cx="6185535" cy="170815"/>
                        </a:xfrm>
                      </wpg:grpSpPr>
                      <wps:wsp>
                        <wps:cNvPr id="1166" name="Graphic 1166"/>
                        <wps:cNvSpPr/>
                        <wps:spPr>
                          <a:xfrm>
                            <a:off x="6161574"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167" name="Graphic 1167"/>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168" name="Textbox 1168"/>
                        <wps:cNvSpPr txBox="1"/>
                        <wps:spPr>
                          <a:xfrm>
                            <a:off x="0" y="0"/>
                            <a:ext cx="6185535" cy="170815"/>
                          </a:xfrm>
                          <a:prstGeom prst="rect">
                            <a:avLst/>
                          </a:prstGeom>
                        </wps:spPr>
                        <wps:txbx>
                          <w:txbxContent>
                            <w:p>
                              <w:pPr>
                                <w:spacing w:before="6"/>
                                <w:ind w:left="-1" w:right="0" w:firstLine="0"/>
                                <w:jc w:val="left"/>
                                <w:rPr>
                                  <w:sz w:val="18"/>
                                </w:rPr>
                              </w:pPr>
                              <w:r>
                                <w:rPr>
                                  <w:b/>
                                  <w:color w:val="231F20"/>
                                  <w:w w:val="110"/>
                                  <w:sz w:val="18"/>
                                </w:rPr>
                                <w:t>3022</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932" coordorigin="0,0" coordsize="9741,269">
                <v:line style="position:absolute" from="9703,145" to="9741,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933" filled="false" stroked="false">
                  <v:textbox inset="0,0,0,0">
                    <w:txbxContent>
                      <w:p>
                        <w:pPr>
                          <w:spacing w:before="6"/>
                          <w:ind w:left="-1" w:right="0" w:firstLine="0"/>
                          <w:jc w:val="left"/>
                          <w:rPr>
                            <w:sz w:val="18"/>
                          </w:rPr>
                        </w:pPr>
                        <w:r>
                          <w:rPr>
                            <w:b/>
                            <w:color w:val="231F20"/>
                            <w:w w:val="110"/>
                            <w:sz w:val="18"/>
                          </w:rPr>
                          <w:t>3022</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v:textbox>
                  <w10:wrap type="none"/>
                </v:shape>
              </v:group>
            </w:pict>
          </mc:Fallback>
        </mc:AlternateContent>
      </w:r>
      <w:r>
        <w:rPr>
          <w:rFonts w:ascii="Gabriola"/>
          <w:position w:val="-4"/>
          <w:sz w:val="20"/>
        </w:rPr>
      </w:r>
    </w:p>
    <w:p>
      <w:pPr>
        <w:pStyle w:val="BodyText"/>
        <w:spacing w:before="15"/>
        <w:rPr>
          <w:rFonts w:ascii="Gabriola"/>
          <w:sz w:val="11"/>
        </w:rPr>
      </w:pPr>
    </w:p>
    <w:tbl>
      <w:tblPr>
        <w:tblW w:w="0" w:type="auto"/>
        <w:jc w:val="left"/>
        <w:tblInd w:w="2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148"/>
        <w:gridCol w:w="3723"/>
        <w:gridCol w:w="4936"/>
      </w:tblGrid>
      <w:tr>
        <w:trPr>
          <w:trHeight w:val="354" w:hRule="exact"/>
        </w:trPr>
        <w:tc>
          <w:tcPr>
            <w:tcW w:w="1148" w:type="dxa"/>
            <w:tcBorders>
              <w:top w:val="nil"/>
              <w:left w:val="nil"/>
              <w:bottom w:val="nil"/>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621-</w:t>
            </w:r>
            <w:r>
              <w:rPr>
                <w:b/>
                <w:color w:val="FFFFFF"/>
                <w:spacing w:val="-10"/>
                <w:w w:val="105"/>
                <w:sz w:val="16"/>
              </w:rPr>
              <w:t>1</w:t>
            </w:r>
          </w:p>
        </w:tc>
        <w:tc>
          <w:tcPr>
            <w:tcW w:w="8659" w:type="dxa"/>
            <w:gridSpan w:val="2"/>
            <w:tcBorders>
              <w:top w:val="nil"/>
              <w:bottom w:val="nil"/>
              <w:right w:val="nil"/>
            </w:tcBorders>
            <w:shd w:val="clear" w:color="auto" w:fill="231F20"/>
          </w:tcPr>
          <w:p>
            <w:pPr>
              <w:pStyle w:val="TableParagraph"/>
              <w:spacing w:before="89"/>
              <w:ind w:left="73"/>
              <w:rPr>
                <w:sz w:val="16"/>
              </w:rPr>
            </w:pPr>
            <w:r>
              <w:rPr>
                <w:color w:val="FFFFFF"/>
                <w:w w:val="105"/>
                <w:sz w:val="16"/>
              </w:rPr>
              <w:t>Causes</w:t>
            </w:r>
            <w:r>
              <w:rPr>
                <w:color w:val="FFFFFF"/>
                <w:spacing w:val="11"/>
                <w:w w:val="105"/>
                <w:sz w:val="16"/>
              </w:rPr>
              <w:t> </w:t>
            </w:r>
            <w:r>
              <w:rPr>
                <w:color w:val="FFFFFF"/>
                <w:w w:val="105"/>
                <w:sz w:val="16"/>
              </w:rPr>
              <w:t>of</w:t>
            </w:r>
            <w:r>
              <w:rPr>
                <w:color w:val="FFFFFF"/>
                <w:spacing w:val="12"/>
                <w:w w:val="105"/>
                <w:sz w:val="16"/>
              </w:rPr>
              <w:t> </w:t>
            </w:r>
            <w:r>
              <w:rPr>
                <w:color w:val="FFFFFF"/>
                <w:w w:val="105"/>
                <w:sz w:val="16"/>
              </w:rPr>
              <w:t>Childhood</w:t>
            </w:r>
            <w:r>
              <w:rPr>
                <w:color w:val="FFFFFF"/>
                <w:spacing w:val="12"/>
                <w:w w:val="105"/>
                <w:sz w:val="16"/>
              </w:rPr>
              <w:t> </w:t>
            </w:r>
            <w:r>
              <w:rPr>
                <w:color w:val="FFFFFF"/>
                <w:w w:val="105"/>
                <w:sz w:val="16"/>
              </w:rPr>
              <w:t>Severe</w:t>
            </w:r>
            <w:r>
              <w:rPr>
                <w:color w:val="FFFFFF"/>
                <w:spacing w:val="12"/>
                <w:w w:val="105"/>
                <w:sz w:val="16"/>
              </w:rPr>
              <w:t> </w:t>
            </w:r>
            <w:r>
              <w:rPr>
                <w:color w:val="FFFFFF"/>
                <w:w w:val="105"/>
                <w:sz w:val="16"/>
              </w:rPr>
              <w:t>Visual</w:t>
            </w:r>
            <w:r>
              <w:rPr>
                <w:color w:val="FFFFFF"/>
                <w:spacing w:val="12"/>
                <w:w w:val="105"/>
                <w:sz w:val="16"/>
              </w:rPr>
              <w:t> </w:t>
            </w:r>
            <w:r>
              <w:rPr>
                <w:color w:val="FFFFFF"/>
                <w:w w:val="105"/>
                <w:sz w:val="16"/>
              </w:rPr>
              <w:t>Impairment</w:t>
            </w:r>
            <w:r>
              <w:rPr>
                <w:color w:val="FFFFFF"/>
                <w:spacing w:val="12"/>
                <w:w w:val="105"/>
                <w:sz w:val="16"/>
              </w:rPr>
              <w:t> </w:t>
            </w:r>
            <w:r>
              <w:rPr>
                <w:color w:val="FFFFFF"/>
                <w:w w:val="105"/>
                <w:sz w:val="16"/>
              </w:rPr>
              <w:t>or</w:t>
            </w:r>
            <w:r>
              <w:rPr>
                <w:color w:val="FFFFFF"/>
                <w:spacing w:val="12"/>
                <w:w w:val="105"/>
                <w:sz w:val="16"/>
              </w:rPr>
              <w:t> </w:t>
            </w:r>
            <w:r>
              <w:rPr>
                <w:color w:val="FFFFFF"/>
                <w:spacing w:val="-2"/>
                <w:w w:val="105"/>
                <w:sz w:val="16"/>
              </w:rPr>
              <w:t>Blindness</w:t>
            </w:r>
          </w:p>
        </w:tc>
      </w:tr>
      <w:tr>
        <w:trPr>
          <w:trHeight w:val="1441" w:hRule="exact"/>
        </w:trPr>
        <w:tc>
          <w:tcPr>
            <w:tcW w:w="4871" w:type="dxa"/>
            <w:gridSpan w:val="2"/>
            <w:vMerge w:val="restart"/>
            <w:tcBorders>
              <w:top w:val="nil"/>
              <w:left w:val="nil"/>
              <w:bottom w:val="single" w:sz="4" w:space="0" w:color="FFFFFF"/>
              <w:right w:val="single" w:sz="4" w:space="0" w:color="231F20"/>
            </w:tcBorders>
            <w:shd w:val="clear" w:color="auto" w:fill="E8F5F1"/>
          </w:tcPr>
          <w:p>
            <w:pPr>
              <w:pStyle w:val="TableParagraph"/>
              <w:spacing w:line="172" w:lineRule="exact" w:before="67"/>
              <w:ind w:left="74"/>
              <w:rPr>
                <w:sz w:val="15"/>
              </w:rPr>
            </w:pPr>
            <w:r>
              <w:rPr>
                <w:color w:val="231F20"/>
                <w:spacing w:val="-2"/>
                <w:w w:val="115"/>
                <w:sz w:val="15"/>
              </w:rPr>
              <w:t>CONGENITAL</w:t>
            </w:r>
          </w:p>
          <w:p>
            <w:pPr>
              <w:pStyle w:val="TableParagraph"/>
              <w:spacing w:line="232" w:lineRule="auto" w:before="1"/>
              <w:ind w:left="74" w:right="2518"/>
              <w:rPr>
                <w:sz w:val="15"/>
              </w:rPr>
            </w:pPr>
            <w:r>
              <w:rPr>
                <w:color w:val="231F20"/>
                <w:sz w:val="15"/>
              </w:rPr>
              <w:t>Optic</w:t>
            </w:r>
            <w:r>
              <w:rPr>
                <w:color w:val="231F20"/>
                <w:spacing w:val="-9"/>
                <w:sz w:val="15"/>
              </w:rPr>
              <w:t> </w:t>
            </w:r>
            <w:r>
              <w:rPr>
                <w:color w:val="231F20"/>
                <w:sz w:val="15"/>
              </w:rPr>
              <w:t>nerve</w:t>
            </w:r>
            <w:r>
              <w:rPr>
                <w:color w:val="231F20"/>
                <w:spacing w:val="-9"/>
                <w:sz w:val="15"/>
              </w:rPr>
              <w:t> </w:t>
            </w:r>
            <w:r>
              <w:rPr>
                <w:color w:val="231F20"/>
                <w:sz w:val="15"/>
              </w:rPr>
              <w:t>hypoplasia</w:t>
            </w:r>
            <w:r>
              <w:rPr>
                <w:color w:val="231F20"/>
                <w:spacing w:val="-9"/>
                <w:sz w:val="15"/>
              </w:rPr>
              <w:t> </w:t>
            </w:r>
            <w:r>
              <w:rPr>
                <w:color w:val="231F20"/>
                <w:sz w:val="15"/>
              </w:rPr>
              <w:t>or</w:t>
            </w:r>
            <w:r>
              <w:rPr>
                <w:color w:val="231F20"/>
                <w:spacing w:val="-9"/>
                <w:sz w:val="15"/>
              </w:rPr>
              <w:t> </w:t>
            </w:r>
            <w:r>
              <w:rPr>
                <w:color w:val="231F20"/>
                <w:sz w:val="15"/>
              </w:rPr>
              <w:t>aplasia Septooptic dysplasia</w:t>
            </w:r>
          </w:p>
          <w:p>
            <w:pPr>
              <w:pStyle w:val="TableParagraph"/>
              <w:spacing w:line="232" w:lineRule="auto" w:before="1"/>
              <w:ind w:left="74" w:right="3038"/>
              <w:rPr>
                <w:sz w:val="15"/>
              </w:rPr>
            </w:pPr>
            <w:r>
              <w:rPr>
                <w:color w:val="231F20"/>
                <w:sz w:val="15"/>
              </w:rPr>
              <w:t>Optic coloboma Congenital</w:t>
            </w:r>
            <w:r>
              <w:rPr>
                <w:color w:val="231F20"/>
                <w:spacing w:val="-12"/>
                <w:sz w:val="15"/>
              </w:rPr>
              <w:t> </w:t>
            </w:r>
            <w:r>
              <w:rPr>
                <w:color w:val="231F20"/>
                <w:sz w:val="15"/>
              </w:rPr>
              <w:t>hydrocephalus </w:t>
            </w:r>
            <w:r>
              <w:rPr>
                <w:color w:val="231F20"/>
                <w:spacing w:val="-2"/>
                <w:sz w:val="15"/>
              </w:rPr>
              <w:t>Hydranencephaly Porencephaly Micrencephaly</w:t>
            </w:r>
          </w:p>
          <w:p>
            <w:pPr>
              <w:pStyle w:val="TableParagraph"/>
              <w:spacing w:line="232" w:lineRule="auto" w:before="3"/>
              <w:ind w:left="74" w:right="2386"/>
              <w:rPr>
                <w:sz w:val="15"/>
              </w:rPr>
            </w:pPr>
            <w:r>
              <w:rPr>
                <w:color w:val="231F20"/>
                <w:spacing w:val="-2"/>
                <w:sz w:val="15"/>
              </w:rPr>
              <w:t>Encephalocele,</w:t>
            </w:r>
            <w:r>
              <w:rPr>
                <w:color w:val="231F20"/>
                <w:spacing w:val="-10"/>
                <w:sz w:val="15"/>
              </w:rPr>
              <w:t> </w:t>
            </w:r>
            <w:r>
              <w:rPr>
                <w:color w:val="231F20"/>
                <w:spacing w:val="-2"/>
                <w:sz w:val="15"/>
              </w:rPr>
              <w:t>particularly</w:t>
            </w:r>
            <w:r>
              <w:rPr>
                <w:color w:val="231F20"/>
                <w:spacing w:val="-9"/>
                <w:sz w:val="15"/>
              </w:rPr>
              <w:t> </w:t>
            </w:r>
            <w:r>
              <w:rPr>
                <w:color w:val="231F20"/>
                <w:spacing w:val="-2"/>
                <w:sz w:val="15"/>
              </w:rPr>
              <w:t>occipital </w:t>
            </w:r>
            <w:r>
              <w:rPr>
                <w:color w:val="231F20"/>
                <w:sz w:val="15"/>
              </w:rPr>
              <w:t>Morning glory disc</w:t>
            </w:r>
          </w:p>
          <w:p>
            <w:pPr>
              <w:pStyle w:val="TableParagraph"/>
              <w:spacing w:line="232" w:lineRule="auto" w:before="1"/>
              <w:ind w:left="74" w:right="2518"/>
              <w:rPr>
                <w:sz w:val="15"/>
              </w:rPr>
            </w:pPr>
            <w:r>
              <w:rPr>
                <w:color w:val="231F20"/>
                <w:spacing w:val="-2"/>
                <w:sz w:val="15"/>
              </w:rPr>
              <w:t>Aniridia Microphthalmia/anophthalmia </w:t>
            </w:r>
            <w:r>
              <w:rPr>
                <w:color w:val="231F20"/>
                <w:sz w:val="15"/>
              </w:rPr>
              <w:t>Peters anomaly</w:t>
            </w:r>
          </w:p>
          <w:p>
            <w:pPr>
              <w:pStyle w:val="TableParagraph"/>
              <w:spacing w:line="169" w:lineRule="exact"/>
              <w:ind w:left="74"/>
              <w:rPr>
                <w:sz w:val="15"/>
              </w:rPr>
            </w:pPr>
            <w:r>
              <w:rPr>
                <w:color w:val="231F20"/>
                <w:sz w:val="15"/>
              </w:rPr>
              <w:t>Rieger</w:t>
            </w:r>
            <w:r>
              <w:rPr>
                <w:color w:val="231F20"/>
                <w:spacing w:val="1"/>
                <w:sz w:val="15"/>
              </w:rPr>
              <w:t> </w:t>
            </w:r>
            <w:r>
              <w:rPr>
                <w:color w:val="231F20"/>
                <w:spacing w:val="-2"/>
                <w:sz w:val="15"/>
              </w:rPr>
              <w:t>anomaly</w:t>
            </w:r>
          </w:p>
          <w:p>
            <w:pPr>
              <w:pStyle w:val="TableParagraph"/>
              <w:spacing w:line="232" w:lineRule="auto" w:before="2"/>
              <w:ind w:left="74" w:right="2518"/>
              <w:rPr>
                <w:sz w:val="15"/>
              </w:rPr>
            </w:pPr>
            <w:r>
              <w:rPr>
                <w:color w:val="231F20"/>
                <w:spacing w:val="-2"/>
                <w:sz w:val="15"/>
              </w:rPr>
              <w:t>Persistent</w:t>
            </w:r>
            <w:r>
              <w:rPr>
                <w:color w:val="231F20"/>
                <w:spacing w:val="-10"/>
                <w:sz w:val="15"/>
              </w:rPr>
              <w:t> </w:t>
            </w:r>
            <w:r>
              <w:rPr>
                <w:color w:val="231F20"/>
                <w:spacing w:val="-2"/>
                <w:sz w:val="15"/>
              </w:rPr>
              <w:t>pupillary</w:t>
            </w:r>
            <w:r>
              <w:rPr>
                <w:color w:val="231F20"/>
                <w:spacing w:val="-9"/>
                <w:sz w:val="15"/>
              </w:rPr>
              <w:t> </w:t>
            </w:r>
            <w:r>
              <w:rPr>
                <w:color w:val="231F20"/>
                <w:spacing w:val="-2"/>
                <w:sz w:val="15"/>
              </w:rPr>
              <w:t>membrane Glaucoma</w:t>
            </w:r>
          </w:p>
          <w:p>
            <w:pPr>
              <w:pStyle w:val="TableParagraph"/>
              <w:spacing w:line="169" w:lineRule="exact"/>
              <w:ind w:left="74"/>
              <w:rPr>
                <w:sz w:val="15"/>
              </w:rPr>
            </w:pPr>
            <w:r>
              <w:rPr>
                <w:color w:val="231F20"/>
                <w:spacing w:val="-2"/>
                <w:sz w:val="15"/>
              </w:rPr>
              <w:t>Cataracts</w:t>
            </w:r>
          </w:p>
          <w:p>
            <w:pPr>
              <w:pStyle w:val="TableParagraph"/>
              <w:spacing w:line="172" w:lineRule="exact"/>
              <w:ind w:left="74"/>
              <w:rPr>
                <w:sz w:val="15"/>
              </w:rPr>
            </w:pPr>
            <w:r>
              <w:rPr>
                <w:color w:val="231F20"/>
                <w:spacing w:val="-2"/>
                <w:sz w:val="15"/>
              </w:rPr>
              <w:t>Persistent</w:t>
            </w:r>
            <w:r>
              <w:rPr>
                <w:color w:val="231F20"/>
                <w:spacing w:val="-4"/>
                <w:sz w:val="15"/>
              </w:rPr>
              <w:t> </w:t>
            </w:r>
            <w:r>
              <w:rPr>
                <w:color w:val="231F20"/>
                <w:spacing w:val="-2"/>
                <w:sz w:val="15"/>
              </w:rPr>
              <w:t>hyperplastic</w:t>
            </w:r>
            <w:r>
              <w:rPr>
                <w:color w:val="231F20"/>
                <w:spacing w:val="-4"/>
                <w:sz w:val="15"/>
              </w:rPr>
              <w:t> </w:t>
            </w:r>
            <w:r>
              <w:rPr>
                <w:color w:val="231F20"/>
                <w:spacing w:val="-2"/>
                <w:sz w:val="15"/>
              </w:rPr>
              <w:t>primary</w:t>
            </w:r>
            <w:r>
              <w:rPr>
                <w:color w:val="231F20"/>
                <w:spacing w:val="-4"/>
                <w:sz w:val="15"/>
              </w:rPr>
              <w:t> </w:t>
            </w:r>
            <w:r>
              <w:rPr>
                <w:color w:val="231F20"/>
                <w:spacing w:val="-2"/>
                <w:sz w:val="15"/>
              </w:rPr>
              <w:t>vitreous</w:t>
            </w:r>
          </w:p>
        </w:tc>
        <w:tc>
          <w:tcPr>
            <w:tcW w:w="4936" w:type="dxa"/>
            <w:tcBorders>
              <w:top w:val="nil"/>
              <w:left w:val="single" w:sz="4" w:space="0" w:color="231F20"/>
              <w:bottom w:val="single" w:sz="4" w:space="0" w:color="FFFFFF"/>
              <w:right w:val="nil"/>
            </w:tcBorders>
            <w:shd w:val="clear" w:color="auto" w:fill="E8F5F1"/>
          </w:tcPr>
          <w:p>
            <w:pPr>
              <w:pStyle w:val="TableParagraph"/>
              <w:spacing w:line="230" w:lineRule="auto" w:before="53"/>
              <w:ind w:left="181" w:right="132" w:hanging="112"/>
              <w:rPr>
                <w:sz w:val="15"/>
              </w:rPr>
            </w:pPr>
            <w:r>
              <w:rPr>
                <w:color w:val="231F20"/>
                <w:sz w:val="15"/>
              </w:rPr>
              <w:t>Special</w:t>
            </w:r>
            <w:r>
              <w:rPr>
                <w:color w:val="231F20"/>
                <w:spacing w:val="-4"/>
                <w:sz w:val="15"/>
              </w:rPr>
              <w:t> </w:t>
            </w:r>
            <w:r>
              <w:rPr>
                <w:color w:val="231F20"/>
                <w:sz w:val="15"/>
              </w:rPr>
              <w:t>types:</w:t>
            </w:r>
            <w:r>
              <w:rPr>
                <w:color w:val="231F20"/>
                <w:spacing w:val="-4"/>
                <w:sz w:val="15"/>
              </w:rPr>
              <w:t> </w:t>
            </w:r>
            <w:r>
              <w:rPr>
                <w:color w:val="231F20"/>
                <w:sz w:val="15"/>
              </w:rPr>
              <w:t>Dawson</w:t>
            </w:r>
            <w:r>
              <w:rPr>
                <w:color w:val="231F20"/>
                <w:spacing w:val="-4"/>
                <w:sz w:val="15"/>
              </w:rPr>
              <w:t> </w:t>
            </w:r>
            <w:r>
              <w:rPr>
                <w:color w:val="231F20"/>
                <w:sz w:val="15"/>
              </w:rPr>
              <w:t>disease,</w:t>
            </w:r>
            <w:r>
              <w:rPr>
                <w:color w:val="231F20"/>
                <w:spacing w:val="-4"/>
                <w:sz w:val="15"/>
              </w:rPr>
              <w:t> </w:t>
            </w:r>
            <w:r>
              <w:rPr>
                <w:color w:val="231F20"/>
                <w:sz w:val="15"/>
              </w:rPr>
              <w:t>Leigh</w:t>
            </w:r>
            <w:r>
              <w:rPr>
                <w:color w:val="231F20"/>
                <w:spacing w:val="-4"/>
                <w:sz w:val="15"/>
              </w:rPr>
              <w:t> </w:t>
            </w:r>
            <w:r>
              <w:rPr>
                <w:color w:val="231F20"/>
                <w:sz w:val="15"/>
              </w:rPr>
              <w:t>disease,</w:t>
            </w:r>
            <w:r>
              <w:rPr>
                <w:color w:val="231F20"/>
                <w:spacing w:val="-4"/>
                <w:sz w:val="15"/>
              </w:rPr>
              <w:t> </w:t>
            </w:r>
            <w:r>
              <w:rPr>
                <w:color w:val="231F20"/>
                <w:sz w:val="15"/>
              </w:rPr>
              <w:t>the</w:t>
            </w:r>
            <w:r>
              <w:rPr>
                <w:color w:val="231F20"/>
                <w:spacing w:val="-4"/>
                <w:sz w:val="15"/>
              </w:rPr>
              <w:t> </w:t>
            </w:r>
            <w:r>
              <w:rPr>
                <w:color w:val="231F20"/>
                <w:sz w:val="15"/>
              </w:rPr>
              <w:t>Bassen-</w:t>
            </w:r>
            <w:r>
              <w:rPr>
                <w:color w:val="231F20"/>
                <w:sz w:val="15"/>
              </w:rPr>
              <w:t>Kornzweig syndrome, Refsum disease</w:t>
            </w:r>
          </w:p>
          <w:p>
            <w:pPr>
              <w:pStyle w:val="TableParagraph"/>
              <w:spacing w:line="230" w:lineRule="auto" w:before="3"/>
              <w:ind w:left="181" w:right="132" w:hanging="112"/>
              <w:rPr>
                <w:sz w:val="15"/>
              </w:rPr>
            </w:pPr>
            <w:r>
              <w:rPr>
                <w:color w:val="231F20"/>
                <w:sz w:val="15"/>
              </w:rPr>
              <w:t>Retinal</w:t>
            </w:r>
            <w:r>
              <w:rPr>
                <w:color w:val="231F20"/>
                <w:spacing w:val="-12"/>
                <w:sz w:val="15"/>
              </w:rPr>
              <w:t> </w:t>
            </w:r>
            <w:r>
              <w:rPr>
                <w:color w:val="231F20"/>
                <w:sz w:val="15"/>
              </w:rPr>
              <w:t>degenerations:</w:t>
            </w:r>
            <w:r>
              <w:rPr>
                <w:color w:val="231F20"/>
                <w:spacing w:val="-11"/>
                <w:sz w:val="15"/>
              </w:rPr>
              <w:t> </w:t>
            </w:r>
            <w:r>
              <w:rPr>
                <w:color w:val="231F20"/>
                <w:sz w:val="15"/>
              </w:rPr>
              <w:t>retinitis</w:t>
            </w:r>
            <w:r>
              <w:rPr>
                <w:color w:val="231F20"/>
                <w:spacing w:val="-11"/>
                <w:sz w:val="15"/>
              </w:rPr>
              <w:t> </w:t>
            </w:r>
            <w:r>
              <w:rPr>
                <w:color w:val="231F20"/>
                <w:sz w:val="15"/>
              </w:rPr>
              <w:t>pigmentosa</w:t>
            </w:r>
            <w:r>
              <w:rPr>
                <w:color w:val="231F20"/>
                <w:spacing w:val="-12"/>
                <w:sz w:val="15"/>
              </w:rPr>
              <w:t> </w:t>
            </w:r>
            <w:r>
              <w:rPr>
                <w:color w:val="231F20"/>
                <w:sz w:val="15"/>
              </w:rPr>
              <w:t>and</w:t>
            </w:r>
            <w:r>
              <w:rPr>
                <w:color w:val="231F20"/>
                <w:spacing w:val="-11"/>
                <w:sz w:val="15"/>
              </w:rPr>
              <w:t> </w:t>
            </w:r>
            <w:r>
              <w:rPr>
                <w:color w:val="231F20"/>
                <w:sz w:val="15"/>
              </w:rPr>
              <w:t>its</w:t>
            </w:r>
            <w:r>
              <w:rPr>
                <w:color w:val="231F20"/>
                <w:spacing w:val="-11"/>
                <w:sz w:val="15"/>
              </w:rPr>
              <w:t> </w:t>
            </w:r>
            <w:r>
              <w:rPr>
                <w:color w:val="231F20"/>
                <w:sz w:val="15"/>
              </w:rPr>
              <w:t>variants</w:t>
            </w:r>
            <w:r>
              <w:rPr>
                <w:color w:val="231F20"/>
                <w:spacing w:val="-12"/>
                <w:sz w:val="15"/>
              </w:rPr>
              <w:t> </w:t>
            </w:r>
            <w:r>
              <w:rPr>
                <w:color w:val="231F20"/>
                <w:sz w:val="15"/>
              </w:rPr>
              <w:t>and</w:t>
            </w:r>
            <w:r>
              <w:rPr>
                <w:color w:val="231F20"/>
                <w:spacing w:val="-11"/>
                <w:sz w:val="15"/>
              </w:rPr>
              <w:t> </w:t>
            </w:r>
            <w:r>
              <w:rPr>
                <w:color w:val="231F20"/>
                <w:sz w:val="15"/>
              </w:rPr>
              <w:t>Leber congenital type</w:t>
            </w:r>
          </w:p>
          <w:p>
            <w:pPr>
              <w:pStyle w:val="TableParagraph"/>
              <w:spacing w:line="230" w:lineRule="auto" w:before="3"/>
              <w:ind w:left="181" w:right="132" w:hanging="112"/>
              <w:rPr>
                <w:sz w:val="15"/>
              </w:rPr>
            </w:pPr>
            <w:r>
              <w:rPr>
                <w:color w:val="231F20"/>
                <w:sz w:val="15"/>
              </w:rPr>
              <w:t>Optic atrophies: congenital autosomal recessive type, infantile and congenital</w:t>
            </w:r>
            <w:r>
              <w:rPr>
                <w:color w:val="231F20"/>
                <w:spacing w:val="-8"/>
                <w:sz w:val="15"/>
              </w:rPr>
              <w:t> </w:t>
            </w:r>
            <w:r>
              <w:rPr>
                <w:color w:val="231F20"/>
                <w:sz w:val="15"/>
              </w:rPr>
              <w:t>autosomal</w:t>
            </w:r>
            <w:r>
              <w:rPr>
                <w:color w:val="231F20"/>
                <w:spacing w:val="-8"/>
                <w:sz w:val="15"/>
              </w:rPr>
              <w:t> </w:t>
            </w:r>
            <w:r>
              <w:rPr>
                <w:color w:val="231F20"/>
                <w:sz w:val="15"/>
              </w:rPr>
              <w:t>dominant</w:t>
            </w:r>
            <w:r>
              <w:rPr>
                <w:color w:val="231F20"/>
                <w:spacing w:val="-8"/>
                <w:sz w:val="15"/>
              </w:rPr>
              <w:t> </w:t>
            </w:r>
            <w:r>
              <w:rPr>
                <w:color w:val="231F20"/>
                <w:sz w:val="15"/>
              </w:rPr>
              <w:t>types,</w:t>
            </w:r>
            <w:r>
              <w:rPr>
                <w:color w:val="231F20"/>
                <w:spacing w:val="-8"/>
                <w:sz w:val="15"/>
              </w:rPr>
              <w:t> </w:t>
            </w:r>
            <w:r>
              <w:rPr>
                <w:color w:val="231F20"/>
                <w:sz w:val="15"/>
              </w:rPr>
              <w:t>Leber</w:t>
            </w:r>
            <w:r>
              <w:rPr>
                <w:color w:val="231F20"/>
                <w:spacing w:val="-8"/>
                <w:sz w:val="15"/>
              </w:rPr>
              <w:t> </w:t>
            </w:r>
            <w:r>
              <w:rPr>
                <w:color w:val="231F20"/>
                <w:sz w:val="15"/>
              </w:rPr>
              <w:t>disease,</w:t>
            </w:r>
            <w:r>
              <w:rPr>
                <w:color w:val="231F20"/>
                <w:spacing w:val="-8"/>
                <w:sz w:val="15"/>
              </w:rPr>
              <w:t> </w:t>
            </w:r>
            <w:r>
              <w:rPr>
                <w:color w:val="231F20"/>
                <w:sz w:val="15"/>
              </w:rPr>
              <w:t>and</w:t>
            </w:r>
            <w:r>
              <w:rPr>
                <w:color w:val="231F20"/>
                <w:spacing w:val="-8"/>
                <w:sz w:val="15"/>
              </w:rPr>
              <w:t> </w:t>
            </w:r>
            <w:r>
              <w:rPr>
                <w:color w:val="231F20"/>
                <w:sz w:val="15"/>
              </w:rPr>
              <w:t>atrophies associated</w:t>
            </w:r>
            <w:r>
              <w:rPr>
                <w:color w:val="231F20"/>
                <w:spacing w:val="-8"/>
                <w:sz w:val="15"/>
              </w:rPr>
              <w:t> </w:t>
            </w:r>
            <w:r>
              <w:rPr>
                <w:color w:val="231F20"/>
                <w:sz w:val="15"/>
              </w:rPr>
              <w:t>with</w:t>
            </w:r>
            <w:r>
              <w:rPr>
                <w:color w:val="231F20"/>
                <w:spacing w:val="-8"/>
                <w:sz w:val="15"/>
              </w:rPr>
              <w:t> </w:t>
            </w:r>
            <w:r>
              <w:rPr>
                <w:color w:val="231F20"/>
                <w:sz w:val="15"/>
              </w:rPr>
              <w:t>hereditary</w:t>
            </w:r>
            <w:r>
              <w:rPr>
                <w:color w:val="231F20"/>
                <w:spacing w:val="-8"/>
                <w:sz w:val="15"/>
              </w:rPr>
              <w:t> </w:t>
            </w:r>
            <w:r>
              <w:rPr>
                <w:color w:val="231F20"/>
                <w:sz w:val="15"/>
              </w:rPr>
              <w:t>ataxias—the</w:t>
            </w:r>
            <w:r>
              <w:rPr>
                <w:color w:val="231F20"/>
                <w:spacing w:val="-8"/>
                <w:sz w:val="15"/>
              </w:rPr>
              <w:t> </w:t>
            </w:r>
            <w:r>
              <w:rPr>
                <w:color w:val="231F20"/>
                <w:sz w:val="15"/>
              </w:rPr>
              <w:t>types</w:t>
            </w:r>
            <w:r>
              <w:rPr>
                <w:color w:val="231F20"/>
                <w:spacing w:val="-8"/>
                <w:sz w:val="15"/>
              </w:rPr>
              <w:t> </w:t>
            </w:r>
            <w:r>
              <w:rPr>
                <w:color w:val="231F20"/>
                <w:sz w:val="15"/>
              </w:rPr>
              <w:t>of</w:t>
            </w:r>
            <w:r>
              <w:rPr>
                <w:color w:val="231F20"/>
                <w:spacing w:val="-8"/>
                <w:sz w:val="15"/>
              </w:rPr>
              <w:t> </w:t>
            </w:r>
            <w:r>
              <w:rPr>
                <w:color w:val="231F20"/>
                <w:sz w:val="15"/>
              </w:rPr>
              <w:t>Behr,</w:t>
            </w:r>
            <w:r>
              <w:rPr>
                <w:color w:val="231F20"/>
                <w:spacing w:val="-8"/>
                <w:sz w:val="15"/>
              </w:rPr>
              <w:t> </w:t>
            </w:r>
            <w:r>
              <w:rPr>
                <w:color w:val="231F20"/>
                <w:sz w:val="15"/>
              </w:rPr>
              <w:t>of</w:t>
            </w:r>
            <w:r>
              <w:rPr>
                <w:color w:val="231F20"/>
                <w:spacing w:val="-8"/>
                <w:sz w:val="15"/>
              </w:rPr>
              <w:t> </w:t>
            </w:r>
            <w:r>
              <w:rPr>
                <w:color w:val="231F20"/>
                <w:sz w:val="15"/>
              </w:rPr>
              <w:t>Marie,</w:t>
            </w:r>
            <w:r>
              <w:rPr>
                <w:color w:val="231F20"/>
                <w:spacing w:val="-8"/>
                <w:sz w:val="15"/>
              </w:rPr>
              <w:t> </w:t>
            </w:r>
            <w:r>
              <w:rPr>
                <w:color w:val="231F20"/>
                <w:sz w:val="15"/>
              </w:rPr>
              <w:t>and of Sanger-Brown</w:t>
            </w:r>
          </w:p>
        </w:tc>
      </w:tr>
      <w:tr>
        <w:trPr>
          <w:trHeight w:val="1753"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936"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0"/>
                <w:sz w:val="15"/>
              </w:rPr>
              <w:t>INFECTIOUS/INFLAMMATORY</w:t>
            </w:r>
            <w:r>
              <w:rPr>
                <w:color w:val="231F20"/>
                <w:spacing w:val="35"/>
                <w:w w:val="115"/>
                <w:sz w:val="15"/>
              </w:rPr>
              <w:t> </w:t>
            </w:r>
            <w:r>
              <w:rPr>
                <w:color w:val="231F20"/>
                <w:spacing w:val="-2"/>
                <w:w w:val="115"/>
                <w:sz w:val="15"/>
              </w:rPr>
              <w:t>PROCESSES</w:t>
            </w:r>
          </w:p>
          <w:p>
            <w:pPr>
              <w:pStyle w:val="TableParagraph"/>
              <w:spacing w:line="230" w:lineRule="auto" w:before="3"/>
              <w:ind w:left="181" w:right="132" w:hanging="112"/>
              <w:rPr>
                <w:sz w:val="15"/>
              </w:rPr>
            </w:pPr>
            <w:r>
              <w:rPr>
                <w:color w:val="231F20"/>
                <w:sz w:val="15"/>
              </w:rPr>
              <w:t>Encephalitis,</w:t>
            </w:r>
            <w:r>
              <w:rPr>
                <w:color w:val="231F20"/>
                <w:spacing w:val="-12"/>
                <w:sz w:val="15"/>
              </w:rPr>
              <w:t> </w:t>
            </w:r>
            <w:r>
              <w:rPr>
                <w:color w:val="231F20"/>
                <w:sz w:val="15"/>
              </w:rPr>
              <w:t>especially</w:t>
            </w:r>
            <w:r>
              <w:rPr>
                <w:color w:val="231F20"/>
                <w:spacing w:val="-11"/>
                <w:sz w:val="15"/>
              </w:rPr>
              <w:t> </w:t>
            </w:r>
            <w:r>
              <w:rPr>
                <w:color w:val="231F20"/>
                <w:sz w:val="15"/>
              </w:rPr>
              <w:t>in</w:t>
            </w:r>
            <w:r>
              <w:rPr>
                <w:color w:val="231F20"/>
                <w:spacing w:val="-11"/>
                <w:sz w:val="15"/>
              </w:rPr>
              <w:t> </w:t>
            </w:r>
            <w:r>
              <w:rPr>
                <w:color w:val="231F20"/>
                <w:sz w:val="15"/>
              </w:rPr>
              <w:t>the</w:t>
            </w:r>
            <w:r>
              <w:rPr>
                <w:color w:val="231F20"/>
                <w:spacing w:val="-12"/>
                <w:sz w:val="15"/>
              </w:rPr>
              <w:t> </w:t>
            </w:r>
            <w:r>
              <w:rPr>
                <w:color w:val="231F20"/>
                <w:sz w:val="15"/>
              </w:rPr>
              <w:t>prenatal</w:t>
            </w:r>
            <w:r>
              <w:rPr>
                <w:color w:val="231F20"/>
                <w:spacing w:val="-11"/>
                <w:sz w:val="15"/>
              </w:rPr>
              <w:t> </w:t>
            </w:r>
            <w:r>
              <w:rPr>
                <w:color w:val="231F20"/>
                <w:sz w:val="15"/>
              </w:rPr>
              <w:t>infection</w:t>
            </w:r>
            <w:r>
              <w:rPr>
                <w:color w:val="231F20"/>
                <w:spacing w:val="-11"/>
                <w:sz w:val="15"/>
              </w:rPr>
              <w:t> </w:t>
            </w:r>
            <w:r>
              <w:rPr>
                <w:color w:val="231F20"/>
                <w:sz w:val="15"/>
              </w:rPr>
              <w:t>syndromes</w:t>
            </w:r>
            <w:r>
              <w:rPr>
                <w:color w:val="231F20"/>
                <w:spacing w:val="-12"/>
                <w:sz w:val="15"/>
              </w:rPr>
              <w:t> </w:t>
            </w:r>
            <w:r>
              <w:rPr>
                <w:color w:val="231F20"/>
                <w:sz w:val="15"/>
              </w:rPr>
              <w:t>caused</w:t>
            </w:r>
            <w:r>
              <w:rPr>
                <w:color w:val="231F20"/>
                <w:spacing w:val="-11"/>
                <w:sz w:val="15"/>
              </w:rPr>
              <w:t> </w:t>
            </w:r>
            <w:r>
              <w:rPr>
                <w:color w:val="231F20"/>
                <w:sz w:val="15"/>
              </w:rPr>
              <w:t>by </w:t>
            </w:r>
            <w:r>
              <w:rPr>
                <w:i/>
                <w:color w:val="231F20"/>
                <w:sz w:val="15"/>
              </w:rPr>
              <w:t>Toxoplasma gondii</w:t>
            </w:r>
            <w:r>
              <w:rPr>
                <w:color w:val="231F20"/>
                <w:sz w:val="15"/>
              </w:rPr>
              <w:t>, cytomegalovirus, rubella virus, </w:t>
            </w:r>
            <w:r>
              <w:rPr>
                <w:i/>
                <w:color w:val="231F20"/>
                <w:sz w:val="15"/>
              </w:rPr>
              <w:t>Treponema pallidum</w:t>
            </w:r>
            <w:r>
              <w:rPr>
                <w:color w:val="231F20"/>
                <w:sz w:val="15"/>
              </w:rPr>
              <w:t>, herpes simplex virus</w:t>
            </w:r>
          </w:p>
          <w:p>
            <w:pPr>
              <w:pStyle w:val="TableParagraph"/>
              <w:spacing w:line="232" w:lineRule="auto" w:before="2"/>
              <w:ind w:left="69" w:right="3177"/>
              <w:rPr>
                <w:sz w:val="15"/>
              </w:rPr>
            </w:pPr>
            <w:r>
              <w:rPr>
                <w:color w:val="231F20"/>
                <w:spacing w:val="-2"/>
                <w:sz w:val="15"/>
              </w:rPr>
              <w:t>Meningitis;</w:t>
            </w:r>
            <w:r>
              <w:rPr>
                <w:color w:val="231F20"/>
                <w:spacing w:val="-10"/>
                <w:sz w:val="15"/>
              </w:rPr>
              <w:t> </w:t>
            </w:r>
            <w:r>
              <w:rPr>
                <w:color w:val="231F20"/>
                <w:spacing w:val="-2"/>
                <w:sz w:val="15"/>
              </w:rPr>
              <w:t>arachnoiditis Chorioretinitis Endophthalmitis Trachoma</w:t>
            </w:r>
          </w:p>
          <w:p>
            <w:pPr>
              <w:pStyle w:val="TableParagraph"/>
              <w:spacing w:line="170" w:lineRule="exact"/>
              <w:ind w:left="69" w:right="3942"/>
              <w:rPr>
                <w:sz w:val="15"/>
              </w:rPr>
            </w:pPr>
            <w:r>
              <w:rPr>
                <w:color w:val="231F20"/>
                <w:spacing w:val="-2"/>
                <w:w w:val="90"/>
                <w:sz w:val="15"/>
              </w:rPr>
              <w:t>Keratitis</w:t>
            </w:r>
            <w:r>
              <w:rPr>
                <w:color w:val="231F20"/>
                <w:spacing w:val="-2"/>
                <w:sz w:val="15"/>
              </w:rPr>
              <w:t> Uveitis</w:t>
            </w:r>
          </w:p>
        </w:tc>
      </w:tr>
      <w:tr>
        <w:trPr>
          <w:trHeight w:val="465" w:hRule="exact"/>
        </w:trPr>
        <w:tc>
          <w:tcPr>
            <w:tcW w:w="4871"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11"/>
              <w:ind w:left="74"/>
              <w:rPr>
                <w:sz w:val="15"/>
              </w:rPr>
            </w:pPr>
            <w:r>
              <w:rPr>
                <w:color w:val="231F20"/>
                <w:spacing w:val="-2"/>
                <w:w w:val="115"/>
                <w:sz w:val="15"/>
              </w:rPr>
              <w:t>PHAKOMATOSES</w:t>
            </w:r>
          </w:p>
          <w:p>
            <w:pPr>
              <w:pStyle w:val="TableParagraph"/>
              <w:spacing w:line="169" w:lineRule="exact"/>
              <w:ind w:left="74"/>
              <w:rPr>
                <w:sz w:val="15"/>
              </w:rPr>
            </w:pPr>
            <w:r>
              <w:rPr>
                <w:color w:val="231F20"/>
                <w:sz w:val="15"/>
              </w:rPr>
              <w:t>Tuberous</w:t>
            </w:r>
            <w:r>
              <w:rPr>
                <w:color w:val="231F20"/>
                <w:spacing w:val="7"/>
                <w:sz w:val="15"/>
              </w:rPr>
              <w:t> </w:t>
            </w:r>
            <w:r>
              <w:rPr>
                <w:color w:val="231F20"/>
                <w:spacing w:val="-2"/>
                <w:sz w:val="15"/>
              </w:rPr>
              <w:t>sclerosis</w:t>
            </w:r>
          </w:p>
          <w:p>
            <w:pPr>
              <w:pStyle w:val="TableParagraph"/>
              <w:spacing w:line="169" w:lineRule="exact"/>
              <w:ind w:left="74"/>
              <w:rPr>
                <w:sz w:val="15"/>
              </w:rPr>
            </w:pPr>
            <w:r>
              <w:rPr>
                <w:color w:val="231F20"/>
                <w:sz w:val="15"/>
              </w:rPr>
              <w:t>Neurofibromatosis</w:t>
            </w:r>
            <w:r>
              <w:rPr>
                <w:color w:val="231F20"/>
                <w:spacing w:val="-12"/>
                <w:sz w:val="15"/>
              </w:rPr>
              <w:t> </w:t>
            </w:r>
            <w:r>
              <w:rPr>
                <w:color w:val="231F20"/>
                <w:sz w:val="15"/>
              </w:rPr>
              <w:t>(special</w:t>
            </w:r>
            <w:r>
              <w:rPr>
                <w:color w:val="231F20"/>
                <w:spacing w:val="-11"/>
                <w:sz w:val="15"/>
              </w:rPr>
              <w:t> </w:t>
            </w:r>
            <w:r>
              <w:rPr>
                <w:color w:val="231F20"/>
                <w:sz w:val="15"/>
              </w:rPr>
              <w:t>association</w:t>
            </w:r>
            <w:r>
              <w:rPr>
                <w:color w:val="231F20"/>
                <w:spacing w:val="-11"/>
                <w:sz w:val="15"/>
              </w:rPr>
              <w:t> </w:t>
            </w:r>
            <w:r>
              <w:rPr>
                <w:color w:val="231F20"/>
                <w:sz w:val="15"/>
              </w:rPr>
              <w:t>with</w:t>
            </w:r>
            <w:r>
              <w:rPr>
                <w:color w:val="231F20"/>
                <w:spacing w:val="-11"/>
                <w:sz w:val="15"/>
              </w:rPr>
              <w:t> </w:t>
            </w:r>
            <w:r>
              <w:rPr>
                <w:color w:val="231F20"/>
                <w:sz w:val="15"/>
              </w:rPr>
              <w:t>optic</w:t>
            </w:r>
            <w:r>
              <w:rPr>
                <w:color w:val="231F20"/>
                <w:spacing w:val="-11"/>
                <w:sz w:val="15"/>
              </w:rPr>
              <w:t> </w:t>
            </w:r>
            <w:r>
              <w:rPr>
                <w:color w:val="231F20"/>
                <w:spacing w:val="-2"/>
                <w:sz w:val="15"/>
              </w:rPr>
              <w:t>glioma)</w:t>
            </w:r>
          </w:p>
          <w:p>
            <w:pPr>
              <w:pStyle w:val="TableParagraph"/>
              <w:spacing w:line="232" w:lineRule="auto" w:before="2"/>
              <w:ind w:left="74" w:right="2968"/>
              <w:rPr>
                <w:sz w:val="15"/>
              </w:rPr>
            </w:pPr>
            <w:r>
              <w:rPr>
                <w:color w:val="231F20"/>
                <w:sz w:val="15"/>
              </w:rPr>
              <w:t>Sturge-Weber syndrome von</w:t>
            </w:r>
            <w:r>
              <w:rPr>
                <w:color w:val="231F20"/>
                <w:spacing w:val="-8"/>
                <w:sz w:val="15"/>
              </w:rPr>
              <w:t> </w:t>
            </w:r>
            <w:r>
              <w:rPr>
                <w:color w:val="231F20"/>
                <w:sz w:val="15"/>
              </w:rPr>
              <w:t>Hippel-Lindau</w:t>
            </w:r>
            <w:r>
              <w:rPr>
                <w:color w:val="231F20"/>
                <w:spacing w:val="-8"/>
                <w:sz w:val="15"/>
              </w:rPr>
              <w:t> </w:t>
            </w:r>
            <w:r>
              <w:rPr>
                <w:color w:val="231F20"/>
                <w:sz w:val="15"/>
              </w:rPr>
              <w:t>disease</w:t>
            </w:r>
          </w:p>
        </w:tc>
        <w:tc>
          <w:tcPr>
            <w:tcW w:w="4936"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75"/>
              <w:ind w:left="69"/>
              <w:rPr>
                <w:sz w:val="15"/>
              </w:rPr>
            </w:pPr>
            <w:r>
              <w:rPr>
                <w:color w:val="231F20"/>
                <w:w w:val="115"/>
                <w:sz w:val="15"/>
              </w:rPr>
              <w:t>HEMATOLOGIC</w:t>
            </w:r>
            <w:r>
              <w:rPr>
                <w:color w:val="231F20"/>
                <w:spacing w:val="-13"/>
                <w:w w:val="115"/>
                <w:sz w:val="15"/>
              </w:rPr>
              <w:t> </w:t>
            </w:r>
            <w:r>
              <w:rPr>
                <w:color w:val="231F20"/>
                <w:spacing w:val="-2"/>
                <w:w w:val="115"/>
                <w:sz w:val="15"/>
              </w:rPr>
              <w:t>DISORDERS</w:t>
            </w:r>
          </w:p>
          <w:p>
            <w:pPr>
              <w:pStyle w:val="TableParagraph"/>
              <w:spacing w:line="172" w:lineRule="exact"/>
              <w:ind w:left="69"/>
              <w:rPr>
                <w:sz w:val="15"/>
              </w:rPr>
            </w:pPr>
            <w:r>
              <w:rPr>
                <w:color w:val="231F20"/>
                <w:spacing w:val="-2"/>
                <w:sz w:val="15"/>
              </w:rPr>
              <w:t>Leukemia with</w:t>
            </w:r>
            <w:r>
              <w:rPr>
                <w:color w:val="231F20"/>
                <w:spacing w:val="-1"/>
                <w:sz w:val="15"/>
              </w:rPr>
              <w:t> </w:t>
            </w:r>
            <w:r>
              <w:rPr>
                <w:color w:val="231F20"/>
                <w:spacing w:val="-2"/>
                <w:sz w:val="15"/>
              </w:rPr>
              <w:t>central</w:t>
            </w:r>
            <w:r>
              <w:rPr>
                <w:color w:val="231F20"/>
                <w:spacing w:val="-1"/>
                <w:sz w:val="15"/>
              </w:rPr>
              <w:t> </w:t>
            </w:r>
            <w:r>
              <w:rPr>
                <w:color w:val="231F20"/>
                <w:spacing w:val="-2"/>
                <w:sz w:val="15"/>
              </w:rPr>
              <w:t>nervous</w:t>
            </w:r>
            <w:r>
              <w:rPr>
                <w:color w:val="231F20"/>
                <w:spacing w:val="-1"/>
                <w:sz w:val="15"/>
              </w:rPr>
              <w:t> </w:t>
            </w:r>
            <w:r>
              <w:rPr>
                <w:color w:val="231F20"/>
                <w:spacing w:val="-2"/>
                <w:sz w:val="15"/>
              </w:rPr>
              <w:t>system</w:t>
            </w:r>
            <w:r>
              <w:rPr>
                <w:color w:val="231F20"/>
                <w:spacing w:val="-1"/>
                <w:sz w:val="15"/>
              </w:rPr>
              <w:t> </w:t>
            </w:r>
            <w:r>
              <w:rPr>
                <w:color w:val="231F20"/>
                <w:spacing w:val="-2"/>
                <w:sz w:val="15"/>
              </w:rPr>
              <w:t>involvement</w:t>
            </w:r>
          </w:p>
        </w:tc>
      </w:tr>
      <w:tr>
        <w:trPr>
          <w:trHeight w:val="444"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936"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0"/>
                <w:sz w:val="15"/>
              </w:rPr>
              <w:t>VASCULAR</w:t>
            </w:r>
            <w:r>
              <w:rPr>
                <w:color w:val="231F20"/>
                <w:spacing w:val="8"/>
                <w:w w:val="110"/>
                <w:sz w:val="15"/>
              </w:rPr>
              <w:t> </w:t>
            </w:r>
            <w:r>
              <w:rPr>
                <w:color w:val="231F20"/>
                <w:w w:val="110"/>
                <w:sz w:val="15"/>
              </w:rPr>
              <w:t>AND</w:t>
            </w:r>
            <w:r>
              <w:rPr>
                <w:color w:val="231F20"/>
                <w:spacing w:val="9"/>
                <w:w w:val="110"/>
                <w:sz w:val="15"/>
              </w:rPr>
              <w:t> </w:t>
            </w:r>
            <w:r>
              <w:rPr>
                <w:color w:val="231F20"/>
                <w:w w:val="110"/>
                <w:sz w:val="15"/>
              </w:rPr>
              <w:t>CIRCULATORY</w:t>
            </w:r>
            <w:r>
              <w:rPr>
                <w:color w:val="231F20"/>
                <w:spacing w:val="9"/>
                <w:w w:val="110"/>
                <w:sz w:val="15"/>
              </w:rPr>
              <w:t> </w:t>
            </w:r>
            <w:r>
              <w:rPr>
                <w:color w:val="231F20"/>
                <w:spacing w:val="-2"/>
                <w:w w:val="110"/>
                <w:sz w:val="15"/>
              </w:rPr>
              <w:t>DISORDERS</w:t>
            </w:r>
          </w:p>
          <w:p>
            <w:pPr>
              <w:pStyle w:val="TableParagraph"/>
              <w:spacing w:line="169" w:lineRule="exact"/>
              <w:ind w:left="69"/>
              <w:rPr>
                <w:sz w:val="15"/>
              </w:rPr>
            </w:pPr>
            <w:r>
              <w:rPr>
                <w:color w:val="231F20"/>
                <w:sz w:val="15"/>
              </w:rPr>
              <w:t>Collagen</w:t>
            </w:r>
            <w:r>
              <w:rPr>
                <w:color w:val="231F20"/>
                <w:spacing w:val="-2"/>
                <w:sz w:val="15"/>
              </w:rPr>
              <w:t> </w:t>
            </w:r>
            <w:r>
              <w:rPr>
                <w:color w:val="231F20"/>
                <w:sz w:val="15"/>
              </w:rPr>
              <w:t>vascular</w:t>
            </w:r>
            <w:r>
              <w:rPr>
                <w:color w:val="231F20"/>
                <w:spacing w:val="-1"/>
                <w:sz w:val="15"/>
              </w:rPr>
              <w:t> </w:t>
            </w:r>
            <w:r>
              <w:rPr>
                <w:color w:val="231F20"/>
                <w:spacing w:val="-2"/>
                <w:sz w:val="15"/>
              </w:rPr>
              <w:t>diseases</w:t>
            </w:r>
          </w:p>
          <w:p>
            <w:pPr>
              <w:pStyle w:val="TableParagraph"/>
              <w:spacing w:line="230" w:lineRule="auto" w:before="3"/>
              <w:ind w:left="181" w:right="301" w:hanging="112"/>
              <w:rPr>
                <w:sz w:val="15"/>
              </w:rPr>
            </w:pPr>
            <w:r>
              <w:rPr>
                <w:color w:val="231F20"/>
                <w:spacing w:val="-2"/>
                <w:sz w:val="15"/>
              </w:rPr>
              <w:t>Arteriovenous malformations—intracerebral </w:t>
            </w:r>
            <w:r>
              <w:rPr>
                <w:color w:val="231F20"/>
                <w:spacing w:val="-2"/>
                <w:sz w:val="15"/>
              </w:rPr>
              <w:t>hemorrhage, </w:t>
            </w:r>
            <w:r>
              <w:rPr>
                <w:color w:val="231F20"/>
                <w:sz w:val="15"/>
              </w:rPr>
              <w:t>subarachnoid hemorrhage</w:t>
            </w:r>
          </w:p>
          <w:p>
            <w:pPr>
              <w:pStyle w:val="TableParagraph"/>
              <w:spacing w:line="172" w:lineRule="exact"/>
              <w:ind w:left="69"/>
              <w:rPr>
                <w:sz w:val="15"/>
              </w:rPr>
            </w:pPr>
            <w:r>
              <w:rPr>
                <w:color w:val="231F20"/>
                <w:spacing w:val="-4"/>
                <w:sz w:val="15"/>
              </w:rPr>
              <w:t>Central</w:t>
            </w:r>
            <w:r>
              <w:rPr>
                <w:color w:val="231F20"/>
                <w:spacing w:val="3"/>
                <w:sz w:val="15"/>
              </w:rPr>
              <w:t> </w:t>
            </w:r>
            <w:r>
              <w:rPr>
                <w:color w:val="231F20"/>
                <w:spacing w:val="-4"/>
                <w:sz w:val="15"/>
              </w:rPr>
              <w:t>retinal</w:t>
            </w:r>
            <w:r>
              <w:rPr>
                <w:color w:val="231F20"/>
                <w:spacing w:val="4"/>
                <w:sz w:val="15"/>
              </w:rPr>
              <w:t> </w:t>
            </w:r>
            <w:r>
              <w:rPr>
                <w:color w:val="231F20"/>
                <w:spacing w:val="-4"/>
                <w:sz w:val="15"/>
              </w:rPr>
              <w:t>occlusion</w:t>
            </w:r>
          </w:p>
        </w:tc>
      </w:tr>
      <w:tr>
        <w:trPr>
          <w:trHeight w:val="495" w:hRule="exact"/>
        </w:trPr>
        <w:tc>
          <w:tcPr>
            <w:tcW w:w="4871" w:type="dxa"/>
            <w:gridSpan w:val="2"/>
            <w:vMerge w:val="restart"/>
            <w:tcBorders>
              <w:top w:val="single" w:sz="4" w:space="0" w:color="FFFFFF"/>
              <w:left w:val="nil"/>
              <w:bottom w:val="single" w:sz="4" w:space="0" w:color="FFFFFF"/>
              <w:right w:val="single" w:sz="4" w:space="0" w:color="231F20"/>
            </w:tcBorders>
            <w:shd w:val="clear" w:color="auto" w:fill="E8F5F1"/>
          </w:tcPr>
          <w:p>
            <w:pPr>
              <w:pStyle w:val="TableParagraph"/>
              <w:spacing w:line="172" w:lineRule="exact" w:before="43"/>
              <w:ind w:left="74"/>
              <w:rPr>
                <w:sz w:val="15"/>
              </w:rPr>
            </w:pPr>
            <w:r>
              <w:rPr>
                <w:color w:val="231F20"/>
                <w:spacing w:val="-2"/>
                <w:w w:val="115"/>
                <w:sz w:val="15"/>
              </w:rPr>
              <w:t>TUMORS</w:t>
            </w:r>
          </w:p>
          <w:p>
            <w:pPr>
              <w:pStyle w:val="TableParagraph"/>
              <w:spacing w:line="232" w:lineRule="auto" w:before="2"/>
              <w:ind w:left="74" w:right="3434"/>
              <w:rPr>
                <w:sz w:val="15"/>
              </w:rPr>
            </w:pPr>
            <w:r>
              <w:rPr>
                <w:color w:val="231F20"/>
                <w:spacing w:val="-2"/>
                <w:sz w:val="15"/>
              </w:rPr>
              <w:t>Retinoblastoma </w:t>
            </w:r>
            <w:r>
              <w:rPr>
                <w:color w:val="231F20"/>
                <w:sz w:val="15"/>
              </w:rPr>
              <w:t>Optic glioma</w:t>
            </w:r>
          </w:p>
          <w:p>
            <w:pPr>
              <w:pStyle w:val="TableParagraph"/>
              <w:spacing w:line="232" w:lineRule="auto" w:before="1"/>
              <w:ind w:left="74" w:right="3316"/>
              <w:rPr>
                <w:sz w:val="15"/>
              </w:rPr>
            </w:pPr>
            <w:r>
              <w:rPr>
                <w:color w:val="231F20"/>
                <w:sz w:val="15"/>
              </w:rPr>
              <w:t>Perioptic</w:t>
            </w:r>
            <w:r>
              <w:rPr>
                <w:color w:val="231F20"/>
                <w:spacing w:val="-12"/>
                <w:sz w:val="15"/>
              </w:rPr>
              <w:t> </w:t>
            </w:r>
            <w:r>
              <w:rPr>
                <w:color w:val="231F20"/>
                <w:sz w:val="15"/>
              </w:rPr>
              <w:t>meningioma </w:t>
            </w:r>
            <w:r>
              <w:rPr>
                <w:color w:val="231F20"/>
                <w:spacing w:val="-2"/>
                <w:sz w:val="15"/>
              </w:rPr>
              <w:t>Craniopharyngioma </w:t>
            </w:r>
            <w:r>
              <w:rPr>
                <w:color w:val="231F20"/>
                <w:sz w:val="15"/>
              </w:rPr>
              <w:t>Cerebral glioma </w:t>
            </w:r>
            <w:r>
              <w:rPr>
                <w:color w:val="231F20"/>
                <w:spacing w:val="-2"/>
                <w:sz w:val="15"/>
              </w:rPr>
              <w:t>Astrocytoma</w:t>
            </w:r>
          </w:p>
          <w:p>
            <w:pPr>
              <w:pStyle w:val="TableParagraph"/>
              <w:spacing w:line="230" w:lineRule="auto" w:before="3"/>
              <w:ind w:left="186" w:right="199" w:hanging="112"/>
              <w:rPr>
                <w:sz w:val="15"/>
              </w:rPr>
            </w:pPr>
            <w:r>
              <w:rPr>
                <w:color w:val="231F20"/>
                <w:spacing w:val="-2"/>
                <w:sz w:val="15"/>
              </w:rPr>
              <w:t>Posterior and intraventricular tumors when complicated </w:t>
            </w:r>
            <w:r>
              <w:rPr>
                <w:color w:val="231F20"/>
                <w:spacing w:val="-2"/>
                <w:sz w:val="15"/>
              </w:rPr>
              <w:t>by hydrocephalus</w:t>
            </w:r>
          </w:p>
          <w:p>
            <w:pPr>
              <w:pStyle w:val="TableParagraph"/>
              <w:spacing w:line="172" w:lineRule="exact"/>
              <w:ind w:left="74"/>
              <w:rPr>
                <w:sz w:val="15"/>
              </w:rPr>
            </w:pPr>
            <w:r>
              <w:rPr>
                <w:color w:val="231F20"/>
                <w:sz w:val="15"/>
              </w:rPr>
              <w:t>Pseudotumor</w:t>
            </w:r>
            <w:r>
              <w:rPr>
                <w:color w:val="231F20"/>
                <w:spacing w:val="9"/>
                <w:sz w:val="15"/>
              </w:rPr>
              <w:t> </w:t>
            </w:r>
            <w:r>
              <w:rPr>
                <w:color w:val="231F20"/>
                <w:spacing w:val="-2"/>
                <w:sz w:val="15"/>
              </w:rPr>
              <w:t>cerebri</w:t>
            </w:r>
          </w:p>
        </w:tc>
        <w:tc>
          <w:tcPr>
            <w:tcW w:w="4936"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1110"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936" w:type="dxa"/>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spacing w:val="-2"/>
                <w:w w:val="115"/>
                <w:sz w:val="15"/>
              </w:rPr>
              <w:t>TRAUMA</w:t>
            </w:r>
          </w:p>
          <w:p>
            <w:pPr>
              <w:pStyle w:val="TableParagraph"/>
              <w:spacing w:line="232" w:lineRule="auto" w:before="2"/>
              <w:ind w:left="69" w:right="301"/>
              <w:rPr>
                <w:sz w:val="15"/>
              </w:rPr>
            </w:pPr>
            <w:r>
              <w:rPr>
                <w:color w:val="231F20"/>
                <w:sz w:val="15"/>
              </w:rPr>
              <w:t>Contusion</w:t>
            </w:r>
            <w:r>
              <w:rPr>
                <w:color w:val="231F20"/>
                <w:spacing w:val="-8"/>
                <w:sz w:val="15"/>
              </w:rPr>
              <w:t> </w:t>
            </w:r>
            <w:r>
              <w:rPr>
                <w:color w:val="231F20"/>
                <w:sz w:val="15"/>
              </w:rPr>
              <w:t>or</w:t>
            </w:r>
            <w:r>
              <w:rPr>
                <w:color w:val="231F20"/>
                <w:spacing w:val="-8"/>
                <w:sz w:val="15"/>
              </w:rPr>
              <w:t> </w:t>
            </w:r>
            <w:r>
              <w:rPr>
                <w:color w:val="231F20"/>
                <w:sz w:val="15"/>
              </w:rPr>
              <w:t>avulsion</w:t>
            </w:r>
            <w:r>
              <w:rPr>
                <w:color w:val="231F20"/>
                <w:spacing w:val="-8"/>
                <w:sz w:val="15"/>
              </w:rPr>
              <w:t> </w:t>
            </w:r>
            <w:r>
              <w:rPr>
                <w:color w:val="231F20"/>
                <w:sz w:val="15"/>
              </w:rPr>
              <w:t>of</w:t>
            </w:r>
            <w:r>
              <w:rPr>
                <w:color w:val="231F20"/>
                <w:spacing w:val="-8"/>
                <w:sz w:val="15"/>
              </w:rPr>
              <w:t> </w:t>
            </w:r>
            <w:r>
              <w:rPr>
                <w:color w:val="231F20"/>
                <w:sz w:val="15"/>
              </w:rPr>
              <w:t>optic</w:t>
            </w:r>
            <w:r>
              <w:rPr>
                <w:color w:val="231F20"/>
                <w:spacing w:val="-8"/>
                <w:sz w:val="15"/>
              </w:rPr>
              <w:t> </w:t>
            </w:r>
            <w:r>
              <w:rPr>
                <w:color w:val="231F20"/>
                <w:sz w:val="15"/>
              </w:rPr>
              <w:t>nerves,</w:t>
            </w:r>
            <w:r>
              <w:rPr>
                <w:color w:val="231F20"/>
                <w:spacing w:val="-8"/>
                <w:sz w:val="15"/>
              </w:rPr>
              <w:t> </w:t>
            </w:r>
            <w:r>
              <w:rPr>
                <w:color w:val="231F20"/>
                <w:sz w:val="15"/>
              </w:rPr>
              <w:t>chiasm,</w:t>
            </w:r>
            <w:r>
              <w:rPr>
                <w:color w:val="231F20"/>
                <w:spacing w:val="-8"/>
                <w:sz w:val="15"/>
              </w:rPr>
              <w:t> </w:t>
            </w:r>
            <w:r>
              <w:rPr>
                <w:color w:val="231F20"/>
                <w:sz w:val="15"/>
              </w:rPr>
              <w:t>globe,</w:t>
            </w:r>
            <w:r>
              <w:rPr>
                <w:color w:val="231F20"/>
                <w:spacing w:val="-8"/>
                <w:sz w:val="15"/>
              </w:rPr>
              <w:t> </w:t>
            </w:r>
            <w:r>
              <w:rPr>
                <w:color w:val="231F20"/>
                <w:sz w:val="15"/>
              </w:rPr>
              <w:t>cornea Cerebral contusion or laceration</w:t>
            </w:r>
          </w:p>
          <w:p>
            <w:pPr>
              <w:pStyle w:val="TableParagraph"/>
              <w:spacing w:line="232" w:lineRule="auto" w:before="1"/>
              <w:ind w:left="69" w:right="932"/>
              <w:rPr>
                <w:sz w:val="15"/>
              </w:rPr>
            </w:pPr>
            <w:r>
              <w:rPr>
                <w:color w:val="231F20"/>
                <w:spacing w:val="-2"/>
                <w:sz w:val="15"/>
              </w:rPr>
              <w:t>Intracerebral, subarachnoid, or subdural </w:t>
            </w:r>
            <w:r>
              <w:rPr>
                <w:color w:val="231F20"/>
                <w:spacing w:val="-2"/>
                <w:sz w:val="15"/>
              </w:rPr>
              <w:t>hemorrhage </w:t>
            </w:r>
            <w:r>
              <w:rPr>
                <w:color w:val="231F20"/>
                <w:sz w:val="15"/>
              </w:rPr>
              <w:t>Retinal detachment</w:t>
            </w:r>
          </w:p>
          <w:p>
            <w:pPr>
              <w:pStyle w:val="TableParagraph"/>
              <w:spacing w:line="171" w:lineRule="exact"/>
              <w:ind w:left="69"/>
              <w:rPr>
                <w:sz w:val="15"/>
              </w:rPr>
            </w:pPr>
            <w:r>
              <w:rPr>
                <w:color w:val="231F20"/>
                <w:sz w:val="15"/>
              </w:rPr>
              <w:t>Laser</w:t>
            </w:r>
            <w:r>
              <w:rPr>
                <w:color w:val="231F20"/>
                <w:spacing w:val="-10"/>
                <w:sz w:val="15"/>
              </w:rPr>
              <w:t> </w:t>
            </w:r>
            <w:r>
              <w:rPr>
                <w:color w:val="231F20"/>
                <w:spacing w:val="-2"/>
                <w:sz w:val="15"/>
              </w:rPr>
              <w:t>injury</w:t>
            </w:r>
          </w:p>
        </w:tc>
      </w:tr>
      <w:tr>
        <w:trPr>
          <w:trHeight w:val="180" w:hRule="exact"/>
        </w:trPr>
        <w:tc>
          <w:tcPr>
            <w:tcW w:w="4871" w:type="dxa"/>
            <w:gridSpan w:val="2"/>
            <w:vMerge/>
            <w:tcBorders>
              <w:top w:val="nil"/>
              <w:left w:val="nil"/>
              <w:bottom w:val="single" w:sz="4" w:space="0" w:color="FFFFFF"/>
              <w:right w:val="single" w:sz="4" w:space="0" w:color="231F20"/>
            </w:tcBorders>
            <w:shd w:val="clear" w:color="auto" w:fill="E8F5F1"/>
          </w:tcPr>
          <w:p>
            <w:pPr>
              <w:rPr>
                <w:sz w:val="2"/>
                <w:szCs w:val="2"/>
              </w:rPr>
            </w:pPr>
          </w:p>
        </w:tc>
        <w:tc>
          <w:tcPr>
            <w:tcW w:w="4936" w:type="dxa"/>
            <w:vMerge w:val="restart"/>
            <w:tcBorders>
              <w:top w:val="single" w:sz="4" w:space="0" w:color="FFFFFF"/>
              <w:left w:val="single" w:sz="4" w:space="0" w:color="231F20"/>
              <w:bottom w:val="single" w:sz="4" w:space="0" w:color="FFFFFF"/>
              <w:right w:val="nil"/>
            </w:tcBorders>
            <w:shd w:val="clear" w:color="auto" w:fill="E8F5F1"/>
          </w:tcPr>
          <w:p>
            <w:pPr>
              <w:pStyle w:val="TableParagraph"/>
              <w:spacing w:line="172" w:lineRule="exact" w:before="43"/>
              <w:ind w:left="69"/>
              <w:rPr>
                <w:sz w:val="15"/>
              </w:rPr>
            </w:pPr>
            <w:r>
              <w:rPr>
                <w:color w:val="231F20"/>
                <w:w w:val="115"/>
                <w:sz w:val="15"/>
              </w:rPr>
              <w:t>DRUGS</w:t>
            </w:r>
            <w:r>
              <w:rPr>
                <w:color w:val="231F20"/>
                <w:spacing w:val="-2"/>
                <w:w w:val="115"/>
                <w:sz w:val="15"/>
              </w:rPr>
              <w:t> </w:t>
            </w:r>
            <w:r>
              <w:rPr>
                <w:color w:val="231F20"/>
                <w:w w:val="115"/>
                <w:sz w:val="15"/>
              </w:rPr>
              <w:t>AND</w:t>
            </w:r>
            <w:r>
              <w:rPr>
                <w:color w:val="231F20"/>
                <w:spacing w:val="-1"/>
                <w:w w:val="115"/>
                <w:sz w:val="15"/>
              </w:rPr>
              <w:t> </w:t>
            </w:r>
            <w:r>
              <w:rPr>
                <w:color w:val="231F20"/>
                <w:spacing w:val="-2"/>
                <w:w w:val="115"/>
                <w:sz w:val="15"/>
              </w:rPr>
              <w:t>TOXINS</w:t>
            </w:r>
          </w:p>
          <w:p>
            <w:pPr>
              <w:pStyle w:val="TableParagraph"/>
              <w:spacing w:line="232" w:lineRule="auto" w:before="2"/>
              <w:ind w:left="69" w:right="3942"/>
              <w:rPr>
                <w:sz w:val="15"/>
              </w:rPr>
            </w:pPr>
            <w:r>
              <w:rPr>
                <w:color w:val="231F20"/>
                <w:spacing w:val="-2"/>
                <w:sz w:val="15"/>
              </w:rPr>
              <w:t>Quinine Ethambutol Methanol </w:t>
            </w:r>
            <w:r>
              <w:rPr>
                <w:color w:val="231F20"/>
                <w:sz w:val="15"/>
              </w:rPr>
              <w:t>Many</w:t>
            </w:r>
            <w:r>
              <w:rPr>
                <w:color w:val="231F20"/>
                <w:spacing w:val="-12"/>
                <w:sz w:val="15"/>
              </w:rPr>
              <w:t> </w:t>
            </w:r>
            <w:r>
              <w:rPr>
                <w:color w:val="231F20"/>
                <w:sz w:val="15"/>
              </w:rPr>
              <w:t>others</w:t>
            </w:r>
          </w:p>
        </w:tc>
      </w:tr>
      <w:tr>
        <w:trPr>
          <w:trHeight w:val="760" w:hRule="exact"/>
        </w:trPr>
        <w:tc>
          <w:tcPr>
            <w:tcW w:w="4871" w:type="dxa"/>
            <w:gridSpan w:val="2"/>
            <w:vMerge w:val="restart"/>
            <w:tcBorders>
              <w:top w:val="single" w:sz="4" w:space="0" w:color="FFFFFF"/>
              <w:left w:val="nil"/>
              <w:bottom w:val="single" w:sz="8" w:space="0" w:color="231F20"/>
              <w:right w:val="single" w:sz="4" w:space="0" w:color="231F20"/>
            </w:tcBorders>
            <w:shd w:val="clear" w:color="auto" w:fill="E8F5F1"/>
          </w:tcPr>
          <w:p>
            <w:pPr>
              <w:pStyle w:val="TableParagraph"/>
              <w:spacing w:line="172" w:lineRule="exact" w:before="43"/>
              <w:ind w:left="74"/>
              <w:rPr>
                <w:sz w:val="15"/>
              </w:rPr>
            </w:pPr>
            <w:r>
              <w:rPr>
                <w:color w:val="231F20"/>
                <w:w w:val="110"/>
                <w:sz w:val="15"/>
              </w:rPr>
              <w:t>NEURODEGENERATIVE</w:t>
            </w:r>
            <w:r>
              <w:rPr>
                <w:color w:val="231F20"/>
                <w:spacing w:val="41"/>
                <w:w w:val="115"/>
                <w:sz w:val="15"/>
              </w:rPr>
              <w:t> </w:t>
            </w:r>
            <w:r>
              <w:rPr>
                <w:color w:val="231F20"/>
                <w:spacing w:val="-2"/>
                <w:w w:val="115"/>
                <w:sz w:val="15"/>
              </w:rPr>
              <w:t>DISEASES</w:t>
            </w:r>
          </w:p>
          <w:p>
            <w:pPr>
              <w:pStyle w:val="TableParagraph"/>
              <w:spacing w:line="169" w:lineRule="exact"/>
              <w:ind w:left="74"/>
              <w:rPr>
                <w:sz w:val="15"/>
              </w:rPr>
            </w:pPr>
            <w:r>
              <w:rPr>
                <w:color w:val="231F20"/>
                <w:sz w:val="15"/>
              </w:rPr>
              <w:t>Cerebral storage</w:t>
            </w:r>
            <w:r>
              <w:rPr>
                <w:color w:val="231F20"/>
                <w:spacing w:val="1"/>
                <w:sz w:val="15"/>
              </w:rPr>
              <w:t> </w:t>
            </w:r>
            <w:r>
              <w:rPr>
                <w:color w:val="231F20"/>
                <w:spacing w:val="-2"/>
                <w:sz w:val="15"/>
              </w:rPr>
              <w:t>disease</w:t>
            </w:r>
          </w:p>
          <w:p>
            <w:pPr>
              <w:pStyle w:val="TableParagraph"/>
              <w:spacing w:line="230" w:lineRule="auto" w:before="3"/>
              <w:ind w:left="186" w:hanging="112"/>
              <w:rPr>
                <w:sz w:val="15"/>
              </w:rPr>
            </w:pPr>
            <w:r>
              <w:rPr>
                <w:color w:val="231F20"/>
                <w:spacing w:val="-2"/>
                <w:sz w:val="15"/>
              </w:rPr>
              <w:t>Gangliosidoses, particularly Tay-Sachs disease, Sandhoff </w:t>
            </w:r>
            <w:r>
              <w:rPr>
                <w:color w:val="231F20"/>
                <w:spacing w:val="-2"/>
                <w:sz w:val="15"/>
              </w:rPr>
              <w:t>variant, </w:t>
            </w:r>
            <w:r>
              <w:rPr>
                <w:color w:val="231F20"/>
                <w:sz w:val="15"/>
              </w:rPr>
              <w:t>generalized gangliosidosis</w:t>
            </w:r>
          </w:p>
          <w:p>
            <w:pPr>
              <w:pStyle w:val="TableParagraph"/>
              <w:spacing w:line="230" w:lineRule="auto" w:before="3"/>
              <w:ind w:left="186" w:right="235" w:hanging="112"/>
              <w:rPr>
                <w:sz w:val="15"/>
              </w:rPr>
            </w:pPr>
            <w:r>
              <w:rPr>
                <w:color w:val="231F20"/>
                <w:sz w:val="15"/>
              </w:rPr>
              <w:t>Other</w:t>
            </w:r>
            <w:r>
              <w:rPr>
                <w:color w:val="231F20"/>
                <w:spacing w:val="-12"/>
                <w:sz w:val="15"/>
              </w:rPr>
              <w:t> </w:t>
            </w:r>
            <w:r>
              <w:rPr>
                <w:color w:val="231F20"/>
                <w:sz w:val="15"/>
              </w:rPr>
              <w:t>lipidoses</w:t>
            </w:r>
            <w:r>
              <w:rPr>
                <w:color w:val="231F20"/>
                <w:spacing w:val="-11"/>
                <w:sz w:val="15"/>
              </w:rPr>
              <w:t> </w:t>
            </w:r>
            <w:r>
              <w:rPr>
                <w:color w:val="231F20"/>
                <w:sz w:val="15"/>
              </w:rPr>
              <w:t>and</w:t>
            </w:r>
            <w:r>
              <w:rPr>
                <w:color w:val="231F20"/>
                <w:spacing w:val="-11"/>
                <w:sz w:val="15"/>
              </w:rPr>
              <w:t> </w:t>
            </w:r>
            <w:r>
              <w:rPr>
                <w:color w:val="231F20"/>
                <w:sz w:val="15"/>
              </w:rPr>
              <w:t>ceroid</w:t>
            </w:r>
            <w:r>
              <w:rPr>
                <w:color w:val="231F20"/>
                <w:spacing w:val="-12"/>
                <w:sz w:val="15"/>
              </w:rPr>
              <w:t> </w:t>
            </w:r>
            <w:r>
              <w:rPr>
                <w:color w:val="231F20"/>
                <w:sz w:val="15"/>
              </w:rPr>
              <w:t>lipofuscinoses,</w:t>
            </w:r>
            <w:r>
              <w:rPr>
                <w:color w:val="231F20"/>
                <w:spacing w:val="-11"/>
                <w:sz w:val="15"/>
              </w:rPr>
              <w:t> </w:t>
            </w:r>
            <w:r>
              <w:rPr>
                <w:color w:val="231F20"/>
                <w:sz w:val="15"/>
              </w:rPr>
              <w:t>particularly</w:t>
            </w:r>
            <w:r>
              <w:rPr>
                <w:color w:val="231F20"/>
                <w:spacing w:val="-11"/>
                <w:sz w:val="15"/>
              </w:rPr>
              <w:t> </w:t>
            </w:r>
            <w:r>
              <w:rPr>
                <w:color w:val="231F20"/>
                <w:sz w:val="15"/>
              </w:rPr>
              <w:t>the</w:t>
            </w:r>
            <w:r>
              <w:rPr>
                <w:color w:val="231F20"/>
                <w:spacing w:val="-12"/>
                <w:sz w:val="15"/>
              </w:rPr>
              <w:t> </w:t>
            </w:r>
            <w:r>
              <w:rPr>
                <w:color w:val="231F20"/>
                <w:sz w:val="15"/>
              </w:rPr>
              <w:t>late-</w:t>
            </w:r>
            <w:r>
              <w:rPr>
                <w:color w:val="231F20"/>
                <w:sz w:val="15"/>
              </w:rPr>
              <w:t>onset disorders such as those of Jansky-Bielschowsky and of Batten- </w:t>
            </w:r>
            <w:r>
              <w:rPr>
                <w:color w:val="231F20"/>
                <w:spacing w:val="-2"/>
                <w:sz w:val="15"/>
              </w:rPr>
              <w:t>Mayou-Spielmeyer-Vogt</w:t>
            </w:r>
          </w:p>
          <w:p>
            <w:pPr>
              <w:pStyle w:val="TableParagraph"/>
              <w:spacing w:line="230" w:lineRule="auto" w:before="4"/>
              <w:ind w:left="186" w:hanging="112"/>
              <w:rPr>
                <w:sz w:val="15"/>
              </w:rPr>
            </w:pPr>
            <w:r>
              <w:rPr>
                <w:color w:val="231F20"/>
                <w:sz w:val="15"/>
              </w:rPr>
              <w:t>Mucopolysaccharidoses,</w:t>
            </w:r>
            <w:r>
              <w:rPr>
                <w:color w:val="231F20"/>
                <w:spacing w:val="-12"/>
                <w:sz w:val="15"/>
              </w:rPr>
              <w:t> </w:t>
            </w:r>
            <w:r>
              <w:rPr>
                <w:color w:val="231F20"/>
                <w:sz w:val="15"/>
              </w:rPr>
              <w:t>particularly</w:t>
            </w:r>
            <w:r>
              <w:rPr>
                <w:color w:val="231F20"/>
                <w:spacing w:val="-11"/>
                <w:sz w:val="15"/>
              </w:rPr>
              <w:t> </w:t>
            </w:r>
            <w:r>
              <w:rPr>
                <w:color w:val="231F20"/>
                <w:sz w:val="15"/>
              </w:rPr>
              <w:t>Hurler</w:t>
            </w:r>
            <w:r>
              <w:rPr>
                <w:color w:val="231F20"/>
                <w:spacing w:val="-11"/>
                <w:sz w:val="15"/>
              </w:rPr>
              <w:t> </w:t>
            </w:r>
            <w:r>
              <w:rPr>
                <w:color w:val="231F20"/>
                <w:sz w:val="15"/>
              </w:rPr>
              <w:t>syndrome</w:t>
            </w:r>
            <w:r>
              <w:rPr>
                <w:color w:val="231F20"/>
                <w:spacing w:val="-12"/>
                <w:sz w:val="15"/>
              </w:rPr>
              <w:t> </w:t>
            </w:r>
            <w:r>
              <w:rPr>
                <w:color w:val="231F20"/>
                <w:sz w:val="15"/>
              </w:rPr>
              <w:t>and</w:t>
            </w:r>
            <w:r>
              <w:rPr>
                <w:color w:val="231F20"/>
                <w:spacing w:val="-11"/>
                <w:sz w:val="15"/>
              </w:rPr>
              <w:t> </w:t>
            </w:r>
            <w:r>
              <w:rPr>
                <w:color w:val="231F20"/>
                <w:sz w:val="15"/>
              </w:rPr>
              <w:t>Hunter </w:t>
            </w:r>
            <w:r>
              <w:rPr>
                <w:color w:val="231F20"/>
                <w:spacing w:val="-2"/>
                <w:sz w:val="15"/>
              </w:rPr>
              <w:t>syndrome</w:t>
            </w:r>
          </w:p>
          <w:p>
            <w:pPr>
              <w:pStyle w:val="TableParagraph"/>
              <w:spacing w:line="230" w:lineRule="auto" w:before="3"/>
              <w:ind w:left="186" w:right="199" w:hanging="112"/>
              <w:rPr>
                <w:sz w:val="15"/>
              </w:rPr>
            </w:pPr>
            <w:r>
              <w:rPr>
                <w:color w:val="231F20"/>
                <w:spacing w:val="-2"/>
                <w:sz w:val="15"/>
              </w:rPr>
              <w:t>Leukodystrophies</w:t>
            </w:r>
            <w:r>
              <w:rPr>
                <w:color w:val="231F20"/>
                <w:spacing w:val="-10"/>
                <w:sz w:val="15"/>
              </w:rPr>
              <w:t> </w:t>
            </w:r>
            <w:r>
              <w:rPr>
                <w:color w:val="231F20"/>
                <w:spacing w:val="-2"/>
                <w:sz w:val="15"/>
              </w:rPr>
              <w:t>(dysmyelination</w:t>
            </w:r>
            <w:r>
              <w:rPr>
                <w:color w:val="231F20"/>
                <w:spacing w:val="-9"/>
                <w:sz w:val="15"/>
              </w:rPr>
              <w:t> </w:t>
            </w:r>
            <w:r>
              <w:rPr>
                <w:color w:val="231F20"/>
                <w:spacing w:val="-2"/>
                <w:sz w:val="15"/>
              </w:rPr>
              <w:t>disorders),</w:t>
            </w:r>
            <w:r>
              <w:rPr>
                <w:color w:val="231F20"/>
                <w:spacing w:val="-9"/>
                <w:sz w:val="15"/>
              </w:rPr>
              <w:t> </w:t>
            </w:r>
            <w:r>
              <w:rPr>
                <w:color w:val="231F20"/>
                <w:spacing w:val="-2"/>
                <w:sz w:val="15"/>
              </w:rPr>
              <w:t>particularly </w:t>
            </w:r>
            <w:r>
              <w:rPr>
                <w:color w:val="231F20"/>
                <w:sz w:val="15"/>
              </w:rPr>
              <w:t>metachromatic leukodystrophy and Canavan disease</w:t>
            </w:r>
          </w:p>
          <w:p>
            <w:pPr>
              <w:pStyle w:val="TableParagraph"/>
              <w:spacing w:line="230" w:lineRule="auto" w:before="3"/>
              <w:ind w:left="186" w:hanging="112"/>
              <w:rPr>
                <w:sz w:val="15"/>
              </w:rPr>
            </w:pPr>
            <w:r>
              <w:rPr>
                <w:color w:val="231F20"/>
                <w:spacing w:val="-2"/>
                <w:sz w:val="15"/>
              </w:rPr>
              <w:t>Demyelinating sclerosis (myelinoclastic diseases), especially </w:t>
            </w:r>
            <w:r>
              <w:rPr>
                <w:color w:val="231F20"/>
                <w:spacing w:val="-2"/>
                <w:sz w:val="15"/>
              </w:rPr>
              <w:t>Schilder </w:t>
            </w:r>
            <w:r>
              <w:rPr>
                <w:color w:val="231F20"/>
                <w:sz w:val="15"/>
              </w:rPr>
              <w:t>disease and Devic neuromyelitis optica</w:t>
            </w:r>
          </w:p>
        </w:tc>
        <w:tc>
          <w:tcPr>
            <w:tcW w:w="4936" w:type="dxa"/>
            <w:vMerge/>
            <w:tcBorders>
              <w:top w:val="nil"/>
              <w:left w:val="single" w:sz="4" w:space="0" w:color="231F20"/>
              <w:bottom w:val="single" w:sz="4" w:space="0" w:color="FFFFFF"/>
              <w:right w:val="nil"/>
            </w:tcBorders>
            <w:shd w:val="clear" w:color="auto" w:fill="E8F5F1"/>
          </w:tcPr>
          <w:p>
            <w:pPr>
              <w:rPr>
                <w:sz w:val="2"/>
                <w:szCs w:val="2"/>
              </w:rPr>
            </w:pPr>
          </w:p>
        </w:tc>
      </w:tr>
      <w:tr>
        <w:trPr>
          <w:trHeight w:val="1535" w:hRule="exact"/>
        </w:trPr>
        <w:tc>
          <w:tcPr>
            <w:tcW w:w="4871" w:type="dxa"/>
            <w:gridSpan w:val="2"/>
            <w:vMerge/>
            <w:tcBorders>
              <w:top w:val="nil"/>
              <w:left w:val="nil"/>
              <w:bottom w:val="single" w:sz="8" w:space="0" w:color="231F20"/>
              <w:right w:val="single" w:sz="4" w:space="0" w:color="231F20"/>
            </w:tcBorders>
            <w:shd w:val="clear" w:color="auto" w:fill="E8F5F1"/>
          </w:tcPr>
          <w:p>
            <w:pPr>
              <w:rPr>
                <w:sz w:val="2"/>
                <w:szCs w:val="2"/>
              </w:rPr>
            </w:pPr>
          </w:p>
        </w:tc>
        <w:tc>
          <w:tcPr>
            <w:tcW w:w="4936" w:type="dxa"/>
            <w:tcBorders>
              <w:top w:val="single" w:sz="4" w:space="0" w:color="FFFFFF"/>
              <w:left w:val="single" w:sz="4" w:space="0" w:color="231F20"/>
              <w:bottom w:val="single" w:sz="8" w:space="0" w:color="231F20"/>
              <w:right w:val="nil"/>
            </w:tcBorders>
            <w:shd w:val="clear" w:color="auto" w:fill="E8F5F1"/>
          </w:tcPr>
          <w:p>
            <w:pPr>
              <w:pStyle w:val="TableParagraph"/>
              <w:spacing w:line="172" w:lineRule="exact" w:before="43"/>
              <w:ind w:left="69"/>
              <w:rPr>
                <w:sz w:val="15"/>
              </w:rPr>
            </w:pPr>
            <w:r>
              <w:rPr>
                <w:color w:val="231F20"/>
                <w:spacing w:val="-2"/>
                <w:w w:val="110"/>
                <w:sz w:val="15"/>
              </w:rPr>
              <w:t>OTHER</w:t>
            </w:r>
          </w:p>
          <w:p>
            <w:pPr>
              <w:pStyle w:val="TableParagraph"/>
              <w:spacing w:line="232" w:lineRule="auto" w:before="2"/>
              <w:ind w:left="69" w:right="2265"/>
              <w:rPr>
                <w:sz w:val="15"/>
              </w:rPr>
            </w:pPr>
            <w:r>
              <w:rPr>
                <w:color w:val="231F20"/>
                <w:spacing w:val="-2"/>
                <w:sz w:val="15"/>
              </w:rPr>
              <w:t>Retinopathy</w:t>
            </w:r>
            <w:r>
              <w:rPr>
                <w:color w:val="231F20"/>
                <w:spacing w:val="-10"/>
                <w:sz w:val="15"/>
              </w:rPr>
              <w:t> </w:t>
            </w:r>
            <w:r>
              <w:rPr>
                <w:color w:val="231F20"/>
                <w:spacing w:val="-2"/>
                <w:sz w:val="15"/>
              </w:rPr>
              <w:t>of</w:t>
            </w:r>
            <w:r>
              <w:rPr>
                <w:color w:val="231F20"/>
                <w:spacing w:val="-9"/>
                <w:sz w:val="15"/>
              </w:rPr>
              <w:t> </w:t>
            </w:r>
            <w:r>
              <w:rPr>
                <w:color w:val="231F20"/>
                <w:spacing w:val="-2"/>
                <w:sz w:val="15"/>
              </w:rPr>
              <w:t>prematurity Sclerocornea</w:t>
            </w:r>
          </w:p>
          <w:p>
            <w:pPr>
              <w:pStyle w:val="TableParagraph"/>
              <w:spacing w:line="232" w:lineRule="auto" w:before="1"/>
              <w:ind w:left="69" w:right="3519"/>
              <w:rPr>
                <w:sz w:val="15"/>
              </w:rPr>
            </w:pPr>
            <w:r>
              <w:rPr>
                <w:color w:val="231F20"/>
                <w:sz w:val="15"/>
              </w:rPr>
              <w:t>Conversion</w:t>
            </w:r>
            <w:r>
              <w:rPr>
                <w:color w:val="231F20"/>
                <w:spacing w:val="-12"/>
                <w:sz w:val="15"/>
              </w:rPr>
              <w:t> </w:t>
            </w:r>
            <w:r>
              <w:rPr>
                <w:color w:val="231F20"/>
                <w:sz w:val="15"/>
              </w:rPr>
              <w:t>reaction Optic neuritis </w:t>
            </w:r>
            <w:r>
              <w:rPr>
                <w:color w:val="231F20"/>
                <w:spacing w:val="-2"/>
                <w:sz w:val="15"/>
              </w:rPr>
              <w:t>Osteopetrosis</w:t>
            </w:r>
          </w:p>
        </w:tc>
      </w:tr>
    </w:tbl>
    <w:p>
      <w:pPr>
        <w:pStyle w:val="BodyText"/>
        <w:spacing w:before="4" w:after="1"/>
        <w:rPr>
          <w:rFonts w:ascii="Gabriola"/>
          <w:sz w:val="18"/>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3"/>
        <w:gridCol w:w="1399"/>
        <w:gridCol w:w="183"/>
        <w:gridCol w:w="3319"/>
        <w:gridCol w:w="3694"/>
      </w:tblGrid>
      <w:tr>
        <w:trPr>
          <w:trHeight w:val="373" w:hRule="atLeast"/>
        </w:trPr>
        <w:tc>
          <w:tcPr>
            <w:tcW w:w="1213" w:type="dxa"/>
            <w:tcBorders>
              <w:right w:val="single" w:sz="8" w:space="0" w:color="FFFFFF"/>
            </w:tcBorders>
            <w:shd w:val="clear" w:color="auto" w:fill="231F20"/>
          </w:tcPr>
          <w:p>
            <w:pPr>
              <w:pStyle w:val="TableParagraph"/>
              <w:spacing w:before="89"/>
              <w:ind w:left="176"/>
              <w:rPr>
                <w:b/>
                <w:sz w:val="16"/>
              </w:rPr>
            </w:pPr>
            <w:r>
              <w:rPr>
                <w:b/>
                <w:color w:val="FFFFFF"/>
                <w:w w:val="105"/>
                <w:sz w:val="16"/>
              </w:rPr>
              <w:t>Table</w:t>
            </w:r>
            <w:r>
              <w:rPr>
                <w:b/>
                <w:color w:val="FFFFFF"/>
                <w:spacing w:val="-3"/>
                <w:w w:val="105"/>
                <w:sz w:val="16"/>
              </w:rPr>
              <w:t> </w:t>
            </w:r>
            <w:r>
              <w:rPr>
                <w:b/>
                <w:color w:val="FFFFFF"/>
                <w:w w:val="105"/>
                <w:sz w:val="16"/>
              </w:rPr>
              <w:t>623-</w:t>
            </w:r>
            <w:r>
              <w:rPr>
                <w:b/>
                <w:color w:val="FFFFFF"/>
                <w:spacing w:val="-10"/>
                <w:w w:val="105"/>
                <w:sz w:val="16"/>
              </w:rPr>
              <w:t>1</w:t>
            </w:r>
          </w:p>
        </w:tc>
        <w:tc>
          <w:tcPr>
            <w:tcW w:w="1399" w:type="dxa"/>
            <w:tcBorders>
              <w:left w:val="single" w:sz="8" w:space="0" w:color="FFFFFF"/>
            </w:tcBorders>
            <w:shd w:val="clear" w:color="auto" w:fill="231F20"/>
          </w:tcPr>
          <w:p>
            <w:pPr>
              <w:pStyle w:val="TableParagraph"/>
              <w:spacing w:before="89"/>
              <w:ind w:left="73"/>
              <w:rPr>
                <w:sz w:val="16"/>
              </w:rPr>
            </w:pPr>
            <w:r>
              <w:rPr>
                <w:color w:val="FFFFFF"/>
                <w:w w:val="105"/>
                <w:sz w:val="16"/>
              </w:rPr>
              <w:t>Specific</w:t>
            </w:r>
            <w:r>
              <w:rPr>
                <w:color w:val="FFFFFF"/>
                <w:spacing w:val="-7"/>
                <w:w w:val="105"/>
                <w:sz w:val="16"/>
              </w:rPr>
              <w:t> </w:t>
            </w:r>
            <w:r>
              <w:rPr>
                <w:color w:val="FFFFFF"/>
                <w:spacing w:val="-2"/>
                <w:w w:val="105"/>
                <w:sz w:val="16"/>
              </w:rPr>
              <w:t>Patterns</w:t>
            </w:r>
          </w:p>
        </w:tc>
        <w:tc>
          <w:tcPr>
            <w:tcW w:w="183" w:type="dxa"/>
            <w:shd w:val="clear" w:color="auto" w:fill="231F20"/>
          </w:tcPr>
          <w:p>
            <w:pPr>
              <w:pStyle w:val="TableParagraph"/>
              <w:spacing w:before="89"/>
              <w:rPr>
                <w:sz w:val="16"/>
              </w:rPr>
            </w:pPr>
            <w:r>
              <w:rPr>
                <w:color w:val="FFFFFF"/>
                <w:spacing w:val="-5"/>
                <w:w w:val="105"/>
                <w:sz w:val="16"/>
              </w:rPr>
              <w:t>of</w:t>
            </w:r>
          </w:p>
        </w:tc>
        <w:tc>
          <w:tcPr>
            <w:tcW w:w="7013" w:type="dxa"/>
            <w:gridSpan w:val="2"/>
            <w:shd w:val="clear" w:color="auto" w:fill="231F20"/>
          </w:tcPr>
          <w:p>
            <w:pPr>
              <w:pStyle w:val="TableParagraph"/>
              <w:spacing w:before="89"/>
              <w:ind w:left="26"/>
              <w:rPr>
                <w:sz w:val="16"/>
              </w:rPr>
            </w:pPr>
            <w:r>
              <w:rPr>
                <w:color w:val="FFFFFF"/>
                <w:spacing w:val="-2"/>
                <w:w w:val="110"/>
                <w:sz w:val="16"/>
              </w:rPr>
              <w:t>Nystagmus</w:t>
            </w:r>
          </w:p>
        </w:tc>
      </w:tr>
      <w:tr>
        <w:trPr>
          <w:trHeight w:val="257" w:hRule="atLeast"/>
        </w:trPr>
        <w:tc>
          <w:tcPr>
            <w:tcW w:w="2612" w:type="dxa"/>
            <w:gridSpan w:val="2"/>
            <w:tcBorders>
              <w:bottom w:val="single" w:sz="4" w:space="0" w:color="231F20"/>
            </w:tcBorders>
            <w:shd w:val="clear" w:color="auto" w:fill="E8F5F1"/>
          </w:tcPr>
          <w:p>
            <w:pPr>
              <w:pStyle w:val="TableParagraph"/>
              <w:spacing w:before="47"/>
              <w:ind w:left="139"/>
              <w:rPr>
                <w:b/>
                <w:sz w:val="15"/>
              </w:rPr>
            </w:pPr>
            <w:r>
              <w:rPr>
                <w:b/>
                <w:color w:val="231F20"/>
                <w:spacing w:val="-2"/>
                <w:w w:val="105"/>
                <w:sz w:val="15"/>
              </w:rPr>
              <w:t>PATTERN</w:t>
            </w:r>
          </w:p>
        </w:tc>
        <w:tc>
          <w:tcPr>
            <w:tcW w:w="3502" w:type="dxa"/>
            <w:gridSpan w:val="2"/>
            <w:tcBorders>
              <w:bottom w:val="single" w:sz="4" w:space="0" w:color="231F20"/>
            </w:tcBorders>
            <w:shd w:val="clear" w:color="auto" w:fill="E8F5F1"/>
          </w:tcPr>
          <w:p>
            <w:pPr>
              <w:pStyle w:val="TableParagraph"/>
              <w:spacing w:before="47"/>
              <w:ind w:left="1353"/>
              <w:rPr>
                <w:b/>
                <w:sz w:val="15"/>
              </w:rPr>
            </w:pPr>
            <w:r>
              <w:rPr>
                <w:b/>
                <w:color w:val="231F20"/>
                <w:spacing w:val="-2"/>
                <w:w w:val="110"/>
                <w:sz w:val="15"/>
              </w:rPr>
              <w:t>DESCRIPTION</w:t>
            </w:r>
          </w:p>
        </w:tc>
        <w:tc>
          <w:tcPr>
            <w:tcW w:w="3694" w:type="dxa"/>
            <w:tcBorders>
              <w:bottom w:val="single" w:sz="4" w:space="0" w:color="231F20"/>
            </w:tcBorders>
            <w:shd w:val="clear" w:color="auto" w:fill="E8F5F1"/>
          </w:tcPr>
          <w:p>
            <w:pPr>
              <w:pStyle w:val="TableParagraph"/>
              <w:spacing w:before="47"/>
              <w:ind w:left="927"/>
              <w:rPr>
                <w:b/>
                <w:sz w:val="15"/>
              </w:rPr>
            </w:pPr>
            <w:r>
              <w:rPr>
                <w:b/>
                <w:color w:val="231F20"/>
                <w:w w:val="110"/>
                <w:sz w:val="15"/>
              </w:rPr>
              <w:t>ASSOCIATED</w:t>
            </w:r>
            <w:r>
              <w:rPr>
                <w:b/>
                <w:color w:val="231F20"/>
                <w:spacing w:val="11"/>
                <w:w w:val="110"/>
                <w:sz w:val="15"/>
              </w:rPr>
              <w:t> </w:t>
            </w:r>
            <w:r>
              <w:rPr>
                <w:b/>
                <w:color w:val="231F20"/>
                <w:spacing w:val="-2"/>
                <w:w w:val="110"/>
                <w:sz w:val="15"/>
              </w:rPr>
              <w:t>CONDITIONS</w:t>
            </w:r>
          </w:p>
        </w:tc>
      </w:tr>
      <w:tr>
        <w:trPr>
          <w:trHeight w:val="425" w:hRule="atLeast"/>
        </w:trPr>
        <w:tc>
          <w:tcPr>
            <w:tcW w:w="2612" w:type="dxa"/>
            <w:gridSpan w:val="2"/>
            <w:tcBorders>
              <w:top w:val="single" w:sz="4" w:space="0" w:color="231F20"/>
              <w:bottom w:val="single" w:sz="4" w:space="0" w:color="FFFFFF"/>
            </w:tcBorders>
            <w:shd w:val="clear" w:color="auto" w:fill="E8F5F1"/>
          </w:tcPr>
          <w:p>
            <w:pPr>
              <w:pStyle w:val="TableParagraph"/>
              <w:spacing w:before="47"/>
              <w:ind w:left="139"/>
              <w:rPr>
                <w:sz w:val="15"/>
              </w:rPr>
            </w:pPr>
            <w:r>
              <w:rPr>
                <w:color w:val="231F20"/>
                <w:spacing w:val="-2"/>
                <w:sz w:val="15"/>
              </w:rPr>
              <w:t>Latent</w:t>
            </w:r>
            <w:r>
              <w:rPr>
                <w:color w:val="231F20"/>
                <w:spacing w:val="-9"/>
                <w:sz w:val="15"/>
              </w:rPr>
              <w:t> </w:t>
            </w:r>
            <w:r>
              <w:rPr>
                <w:color w:val="231F20"/>
                <w:spacing w:val="-2"/>
                <w:sz w:val="15"/>
              </w:rPr>
              <w:t>nystagmus</w:t>
            </w:r>
          </w:p>
        </w:tc>
        <w:tc>
          <w:tcPr>
            <w:tcW w:w="3502" w:type="dxa"/>
            <w:gridSpan w:val="2"/>
            <w:tcBorders>
              <w:top w:val="single" w:sz="4" w:space="0" w:color="231F20"/>
              <w:bottom w:val="single" w:sz="4" w:space="0" w:color="FFFFFF"/>
            </w:tcBorders>
            <w:shd w:val="clear" w:color="auto" w:fill="E8F5F1"/>
          </w:tcPr>
          <w:p>
            <w:pPr>
              <w:pStyle w:val="TableParagraph"/>
              <w:spacing w:line="230" w:lineRule="auto" w:before="52"/>
              <w:ind w:left="542" w:right="219" w:hanging="112"/>
              <w:rPr>
                <w:sz w:val="15"/>
              </w:rPr>
            </w:pPr>
            <w:r>
              <w:rPr>
                <w:color w:val="231F20"/>
                <w:sz w:val="15"/>
              </w:rPr>
              <w:t>Conjugate</w:t>
            </w:r>
            <w:r>
              <w:rPr>
                <w:color w:val="231F20"/>
                <w:spacing w:val="-12"/>
                <w:sz w:val="15"/>
              </w:rPr>
              <w:t> </w:t>
            </w:r>
            <w:r>
              <w:rPr>
                <w:color w:val="231F20"/>
                <w:sz w:val="15"/>
              </w:rPr>
              <w:t>jerk</w:t>
            </w:r>
            <w:r>
              <w:rPr>
                <w:color w:val="231F20"/>
                <w:spacing w:val="-11"/>
                <w:sz w:val="15"/>
              </w:rPr>
              <w:t> </w:t>
            </w:r>
            <w:r>
              <w:rPr>
                <w:color w:val="231F20"/>
                <w:sz w:val="15"/>
              </w:rPr>
              <w:t>nystagmus</w:t>
            </w:r>
            <w:r>
              <w:rPr>
                <w:color w:val="231F20"/>
                <w:spacing w:val="-11"/>
                <w:sz w:val="15"/>
              </w:rPr>
              <w:t> </w:t>
            </w:r>
            <w:r>
              <w:rPr>
                <w:color w:val="231F20"/>
                <w:sz w:val="15"/>
              </w:rPr>
              <w:t>toward</w:t>
            </w:r>
            <w:r>
              <w:rPr>
                <w:color w:val="231F20"/>
                <w:spacing w:val="-12"/>
                <w:sz w:val="15"/>
              </w:rPr>
              <w:t> </w:t>
            </w:r>
            <w:r>
              <w:rPr>
                <w:color w:val="231F20"/>
                <w:sz w:val="15"/>
              </w:rPr>
              <w:t>viewing </w:t>
            </w:r>
            <w:r>
              <w:rPr>
                <w:color w:val="231F20"/>
                <w:spacing w:val="-4"/>
                <w:sz w:val="15"/>
              </w:rPr>
              <w:t>eye</w:t>
            </w:r>
          </w:p>
        </w:tc>
        <w:tc>
          <w:tcPr>
            <w:tcW w:w="3694" w:type="dxa"/>
            <w:tcBorders>
              <w:top w:val="single" w:sz="4" w:space="0" w:color="231F20"/>
              <w:bottom w:val="single" w:sz="4" w:space="0" w:color="FFFFFF"/>
            </w:tcBorders>
            <w:shd w:val="clear" w:color="auto" w:fill="E8F5F1"/>
          </w:tcPr>
          <w:p>
            <w:pPr>
              <w:pStyle w:val="TableParagraph"/>
              <w:spacing w:line="230" w:lineRule="auto" w:before="52"/>
              <w:ind w:left="326" w:hanging="112"/>
              <w:rPr>
                <w:sz w:val="15"/>
              </w:rPr>
            </w:pPr>
            <w:r>
              <w:rPr>
                <w:color w:val="231F20"/>
                <w:sz w:val="15"/>
              </w:rPr>
              <w:t>Congenital</w:t>
            </w:r>
            <w:r>
              <w:rPr>
                <w:color w:val="231F20"/>
                <w:spacing w:val="-12"/>
                <w:sz w:val="15"/>
              </w:rPr>
              <w:t> </w:t>
            </w:r>
            <w:r>
              <w:rPr>
                <w:color w:val="231F20"/>
                <w:sz w:val="15"/>
              </w:rPr>
              <w:t>vision</w:t>
            </w:r>
            <w:r>
              <w:rPr>
                <w:color w:val="231F20"/>
                <w:spacing w:val="-11"/>
                <w:sz w:val="15"/>
              </w:rPr>
              <w:t> </w:t>
            </w:r>
            <w:r>
              <w:rPr>
                <w:color w:val="231F20"/>
                <w:sz w:val="15"/>
              </w:rPr>
              <w:t>defects,</w:t>
            </w:r>
            <w:r>
              <w:rPr>
                <w:color w:val="231F20"/>
                <w:spacing w:val="-11"/>
                <w:sz w:val="15"/>
              </w:rPr>
              <w:t> </w:t>
            </w:r>
            <w:r>
              <w:rPr>
                <w:color w:val="231F20"/>
                <w:sz w:val="15"/>
              </w:rPr>
              <w:t>occurs</w:t>
            </w:r>
            <w:r>
              <w:rPr>
                <w:color w:val="231F20"/>
                <w:spacing w:val="-12"/>
                <w:sz w:val="15"/>
              </w:rPr>
              <w:t> </w:t>
            </w:r>
            <w:r>
              <w:rPr>
                <w:color w:val="231F20"/>
                <w:sz w:val="15"/>
              </w:rPr>
              <w:t>with</w:t>
            </w:r>
            <w:r>
              <w:rPr>
                <w:color w:val="231F20"/>
                <w:spacing w:val="-11"/>
                <w:sz w:val="15"/>
              </w:rPr>
              <w:t> </w:t>
            </w:r>
            <w:r>
              <w:rPr>
                <w:color w:val="231F20"/>
                <w:sz w:val="15"/>
              </w:rPr>
              <w:t>occlusion</w:t>
            </w:r>
            <w:r>
              <w:rPr>
                <w:color w:val="231F20"/>
                <w:spacing w:val="-11"/>
                <w:sz w:val="15"/>
              </w:rPr>
              <w:t> </w:t>
            </w:r>
            <w:r>
              <w:rPr>
                <w:color w:val="231F20"/>
                <w:sz w:val="15"/>
              </w:rPr>
              <w:t>of </w:t>
            </w:r>
            <w:r>
              <w:rPr>
                <w:color w:val="231F20"/>
                <w:spacing w:val="-4"/>
                <w:sz w:val="15"/>
              </w:rPr>
              <w:t>eye</w:t>
            </w:r>
          </w:p>
        </w:tc>
      </w:tr>
      <w:tr>
        <w:trPr>
          <w:trHeight w:val="252"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pacing w:val="-2"/>
                <w:sz w:val="15"/>
              </w:rPr>
              <w:t>Manifest</w:t>
            </w:r>
            <w:r>
              <w:rPr>
                <w:color w:val="231F20"/>
                <w:sz w:val="15"/>
              </w:rPr>
              <w:t> </w:t>
            </w:r>
            <w:r>
              <w:rPr>
                <w:color w:val="231F20"/>
                <w:spacing w:val="-2"/>
                <w:sz w:val="15"/>
              </w:rPr>
              <w:t>latent</w:t>
            </w:r>
            <w:r>
              <w:rPr>
                <w:color w:val="231F20"/>
                <w:spacing w:val="1"/>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pacing w:val="-2"/>
                <w:sz w:val="15"/>
              </w:rPr>
              <w:t>Fast</w:t>
            </w:r>
            <w:r>
              <w:rPr>
                <w:color w:val="231F20"/>
                <w:spacing w:val="-4"/>
                <w:sz w:val="15"/>
              </w:rPr>
              <w:t> </w:t>
            </w:r>
            <w:r>
              <w:rPr>
                <w:color w:val="231F20"/>
                <w:spacing w:val="-2"/>
                <w:sz w:val="15"/>
              </w:rPr>
              <w:t>jerk</w:t>
            </w:r>
            <w:r>
              <w:rPr>
                <w:color w:val="231F20"/>
                <w:spacing w:val="-3"/>
                <w:sz w:val="15"/>
              </w:rPr>
              <w:t> </w:t>
            </w:r>
            <w:r>
              <w:rPr>
                <w:color w:val="231F20"/>
                <w:spacing w:val="-2"/>
                <w:sz w:val="15"/>
              </w:rPr>
              <w:t>to</w:t>
            </w:r>
            <w:r>
              <w:rPr>
                <w:color w:val="231F20"/>
                <w:spacing w:val="-3"/>
                <w:sz w:val="15"/>
              </w:rPr>
              <w:t> </w:t>
            </w:r>
            <w:r>
              <w:rPr>
                <w:color w:val="231F20"/>
                <w:spacing w:val="-2"/>
                <w:sz w:val="15"/>
              </w:rPr>
              <w:t>viewing</w:t>
            </w:r>
            <w:r>
              <w:rPr>
                <w:color w:val="231F20"/>
                <w:spacing w:val="-4"/>
                <w:sz w:val="15"/>
              </w:rPr>
              <w:t> </w:t>
            </w:r>
            <w:r>
              <w:rPr>
                <w:color w:val="231F20"/>
                <w:spacing w:val="-5"/>
                <w:sz w:val="15"/>
              </w:rPr>
              <w:t>eye</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z w:val="15"/>
              </w:rPr>
              <w:t>Strabismus,</w:t>
            </w:r>
            <w:r>
              <w:rPr>
                <w:color w:val="231F20"/>
                <w:spacing w:val="-11"/>
                <w:sz w:val="15"/>
              </w:rPr>
              <w:t> </w:t>
            </w:r>
            <w:r>
              <w:rPr>
                <w:color w:val="231F20"/>
                <w:sz w:val="15"/>
              </w:rPr>
              <w:t>congenital</w:t>
            </w:r>
            <w:r>
              <w:rPr>
                <w:color w:val="231F20"/>
                <w:spacing w:val="-11"/>
                <w:sz w:val="15"/>
              </w:rPr>
              <w:t> </w:t>
            </w:r>
            <w:r>
              <w:rPr>
                <w:color w:val="231F20"/>
                <w:sz w:val="15"/>
              </w:rPr>
              <w:t>idiopathic</w:t>
            </w:r>
            <w:r>
              <w:rPr>
                <w:color w:val="231F20"/>
                <w:spacing w:val="-11"/>
                <w:sz w:val="15"/>
              </w:rPr>
              <w:t> </w:t>
            </w:r>
            <w:r>
              <w:rPr>
                <w:color w:val="231F20"/>
                <w:spacing w:val="-2"/>
                <w:sz w:val="15"/>
              </w:rPr>
              <w:t>nystagmus</w:t>
            </w:r>
          </w:p>
        </w:tc>
      </w:tr>
      <w:tr>
        <w:trPr>
          <w:trHeight w:val="420"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Periodic</w:t>
            </w:r>
            <w:r>
              <w:rPr>
                <w:color w:val="231F20"/>
                <w:spacing w:val="-10"/>
                <w:sz w:val="15"/>
              </w:rPr>
              <w:t> </w:t>
            </w:r>
            <w:r>
              <w:rPr>
                <w:color w:val="231F20"/>
                <w:spacing w:val="-2"/>
                <w:sz w:val="15"/>
              </w:rPr>
              <w:t>alternating</w:t>
            </w:r>
          </w:p>
        </w:tc>
        <w:tc>
          <w:tcPr>
            <w:tcW w:w="3502" w:type="dxa"/>
            <w:gridSpan w:val="2"/>
            <w:tcBorders>
              <w:top w:val="single" w:sz="4" w:space="0" w:color="FFFFFF"/>
              <w:bottom w:val="single" w:sz="4" w:space="0" w:color="FFFFFF"/>
            </w:tcBorders>
            <w:shd w:val="clear" w:color="auto" w:fill="E8F5F1"/>
          </w:tcPr>
          <w:p>
            <w:pPr>
              <w:pStyle w:val="TableParagraph"/>
              <w:spacing w:line="230" w:lineRule="auto" w:before="48"/>
              <w:ind w:left="542" w:right="219" w:hanging="112"/>
              <w:rPr>
                <w:sz w:val="15"/>
              </w:rPr>
            </w:pPr>
            <w:r>
              <w:rPr>
                <w:color w:val="231F20"/>
                <w:spacing w:val="-2"/>
                <w:sz w:val="15"/>
              </w:rPr>
              <w:t>Cycles</w:t>
            </w:r>
            <w:r>
              <w:rPr>
                <w:color w:val="231F20"/>
                <w:spacing w:val="-10"/>
                <w:sz w:val="15"/>
              </w:rPr>
              <w:t> </w:t>
            </w:r>
            <w:r>
              <w:rPr>
                <w:color w:val="231F20"/>
                <w:spacing w:val="-2"/>
                <w:sz w:val="15"/>
              </w:rPr>
              <w:t>of</w:t>
            </w:r>
            <w:r>
              <w:rPr>
                <w:color w:val="231F20"/>
                <w:spacing w:val="-9"/>
                <w:sz w:val="15"/>
              </w:rPr>
              <w:t> </w:t>
            </w:r>
            <w:r>
              <w:rPr>
                <w:color w:val="231F20"/>
                <w:spacing w:val="-2"/>
                <w:sz w:val="15"/>
              </w:rPr>
              <w:t>horizontal</w:t>
            </w:r>
            <w:r>
              <w:rPr>
                <w:color w:val="231F20"/>
                <w:spacing w:val="-9"/>
                <w:sz w:val="15"/>
              </w:rPr>
              <w:t> </w:t>
            </w:r>
            <w:r>
              <w:rPr>
                <w:color w:val="231F20"/>
                <w:spacing w:val="-2"/>
                <w:sz w:val="15"/>
              </w:rPr>
              <w:t>or</w:t>
            </w:r>
            <w:r>
              <w:rPr>
                <w:color w:val="231F20"/>
                <w:spacing w:val="-9"/>
                <w:sz w:val="15"/>
              </w:rPr>
              <w:t> </w:t>
            </w:r>
            <w:r>
              <w:rPr>
                <w:color w:val="231F20"/>
                <w:spacing w:val="-2"/>
                <w:sz w:val="15"/>
              </w:rPr>
              <w:t>horizontal-</w:t>
            </w:r>
            <w:r>
              <w:rPr>
                <w:color w:val="231F20"/>
                <w:spacing w:val="-2"/>
                <w:sz w:val="15"/>
              </w:rPr>
              <w:t>rotary </w:t>
            </w:r>
            <w:r>
              <w:rPr>
                <w:color w:val="231F20"/>
                <w:sz w:val="15"/>
              </w:rPr>
              <w:t>that change direction</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z w:val="15"/>
              </w:rPr>
              <w:t>Caused</w:t>
            </w:r>
            <w:r>
              <w:rPr>
                <w:color w:val="231F20"/>
                <w:spacing w:val="5"/>
                <w:sz w:val="15"/>
              </w:rPr>
              <w:t> </w:t>
            </w:r>
            <w:r>
              <w:rPr>
                <w:color w:val="231F20"/>
                <w:sz w:val="15"/>
              </w:rPr>
              <w:t>by</w:t>
            </w:r>
            <w:r>
              <w:rPr>
                <w:color w:val="231F20"/>
                <w:spacing w:val="5"/>
                <w:sz w:val="15"/>
              </w:rPr>
              <w:t> </w:t>
            </w:r>
            <w:r>
              <w:rPr>
                <w:color w:val="231F20"/>
                <w:sz w:val="15"/>
              </w:rPr>
              <w:t>both</w:t>
            </w:r>
            <w:r>
              <w:rPr>
                <w:color w:val="231F20"/>
                <w:spacing w:val="6"/>
                <w:sz w:val="15"/>
              </w:rPr>
              <w:t> </w:t>
            </w:r>
            <w:r>
              <w:rPr>
                <w:color w:val="231F20"/>
                <w:sz w:val="15"/>
              </w:rPr>
              <w:t>visual</w:t>
            </w:r>
            <w:r>
              <w:rPr>
                <w:color w:val="231F20"/>
                <w:spacing w:val="5"/>
                <w:sz w:val="15"/>
              </w:rPr>
              <w:t> </w:t>
            </w:r>
            <w:r>
              <w:rPr>
                <w:color w:val="231F20"/>
                <w:sz w:val="15"/>
              </w:rPr>
              <w:t>and</w:t>
            </w:r>
            <w:r>
              <w:rPr>
                <w:color w:val="231F20"/>
                <w:spacing w:val="6"/>
                <w:sz w:val="15"/>
              </w:rPr>
              <w:t> </w:t>
            </w:r>
            <w:r>
              <w:rPr>
                <w:color w:val="231F20"/>
                <w:sz w:val="15"/>
              </w:rPr>
              <w:t>neurologic</w:t>
            </w:r>
            <w:r>
              <w:rPr>
                <w:color w:val="231F20"/>
                <w:spacing w:val="5"/>
                <w:sz w:val="15"/>
              </w:rPr>
              <w:t> </w:t>
            </w:r>
            <w:r>
              <w:rPr>
                <w:color w:val="231F20"/>
                <w:spacing w:val="-2"/>
                <w:sz w:val="15"/>
              </w:rPr>
              <w:t>conditions</w:t>
            </w:r>
          </w:p>
        </w:tc>
      </w:tr>
      <w:tr>
        <w:trPr>
          <w:trHeight w:val="420"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Seesaw</w:t>
            </w:r>
            <w:r>
              <w:rPr>
                <w:color w:val="231F20"/>
                <w:spacing w:val="5"/>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line="230" w:lineRule="auto" w:before="48"/>
              <w:ind w:left="542" w:right="33" w:hanging="112"/>
              <w:rPr>
                <w:sz w:val="15"/>
              </w:rPr>
            </w:pPr>
            <w:r>
              <w:rPr>
                <w:color w:val="231F20"/>
                <w:sz w:val="15"/>
              </w:rPr>
              <w:t>One</w:t>
            </w:r>
            <w:r>
              <w:rPr>
                <w:color w:val="231F20"/>
                <w:spacing w:val="-8"/>
                <w:sz w:val="15"/>
              </w:rPr>
              <w:t> </w:t>
            </w:r>
            <w:r>
              <w:rPr>
                <w:color w:val="231F20"/>
                <w:sz w:val="15"/>
              </w:rPr>
              <w:t>eye</w:t>
            </w:r>
            <w:r>
              <w:rPr>
                <w:color w:val="231F20"/>
                <w:spacing w:val="-8"/>
                <w:sz w:val="15"/>
              </w:rPr>
              <w:t> </w:t>
            </w:r>
            <w:r>
              <w:rPr>
                <w:color w:val="231F20"/>
                <w:sz w:val="15"/>
              </w:rPr>
              <w:t>rises</w:t>
            </w:r>
            <w:r>
              <w:rPr>
                <w:color w:val="231F20"/>
                <w:spacing w:val="-8"/>
                <w:sz w:val="15"/>
              </w:rPr>
              <w:t> </w:t>
            </w:r>
            <w:r>
              <w:rPr>
                <w:color w:val="231F20"/>
                <w:sz w:val="15"/>
              </w:rPr>
              <w:t>and</w:t>
            </w:r>
            <w:r>
              <w:rPr>
                <w:color w:val="231F20"/>
                <w:spacing w:val="-8"/>
                <w:sz w:val="15"/>
              </w:rPr>
              <w:t> </w:t>
            </w:r>
            <w:r>
              <w:rPr>
                <w:color w:val="231F20"/>
                <w:sz w:val="15"/>
              </w:rPr>
              <w:t>intorts</w:t>
            </w:r>
            <w:r>
              <w:rPr>
                <w:color w:val="231F20"/>
                <w:spacing w:val="-8"/>
                <w:sz w:val="15"/>
              </w:rPr>
              <w:t> </w:t>
            </w:r>
            <w:r>
              <w:rPr>
                <w:color w:val="231F20"/>
                <w:sz w:val="15"/>
              </w:rPr>
              <w:t>as</w:t>
            </w:r>
            <w:r>
              <w:rPr>
                <w:color w:val="231F20"/>
                <w:spacing w:val="-8"/>
                <w:sz w:val="15"/>
              </w:rPr>
              <w:t> </w:t>
            </w:r>
            <w:r>
              <w:rPr>
                <w:color w:val="231F20"/>
                <w:sz w:val="15"/>
              </w:rPr>
              <w:t>other</w:t>
            </w:r>
            <w:r>
              <w:rPr>
                <w:color w:val="231F20"/>
                <w:spacing w:val="-8"/>
                <w:sz w:val="15"/>
              </w:rPr>
              <w:t> </w:t>
            </w:r>
            <w:r>
              <w:rPr>
                <w:color w:val="231F20"/>
                <w:sz w:val="15"/>
              </w:rPr>
              <w:t>eye</w:t>
            </w:r>
            <w:r>
              <w:rPr>
                <w:color w:val="231F20"/>
                <w:spacing w:val="-8"/>
                <w:sz w:val="15"/>
              </w:rPr>
              <w:t> </w:t>
            </w:r>
            <w:r>
              <w:rPr>
                <w:color w:val="231F20"/>
                <w:sz w:val="15"/>
              </w:rPr>
              <w:t>falls and extorts</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z w:val="15"/>
              </w:rPr>
              <w:t>Usually</w:t>
            </w:r>
            <w:r>
              <w:rPr>
                <w:color w:val="231F20"/>
                <w:spacing w:val="-9"/>
                <w:sz w:val="15"/>
              </w:rPr>
              <w:t> </w:t>
            </w:r>
            <w:r>
              <w:rPr>
                <w:color w:val="231F20"/>
                <w:sz w:val="15"/>
              </w:rPr>
              <w:t>associated</w:t>
            </w:r>
            <w:r>
              <w:rPr>
                <w:color w:val="231F20"/>
                <w:spacing w:val="-8"/>
                <w:sz w:val="15"/>
              </w:rPr>
              <w:t> </w:t>
            </w:r>
            <w:r>
              <w:rPr>
                <w:color w:val="231F20"/>
                <w:sz w:val="15"/>
              </w:rPr>
              <w:t>with</w:t>
            </w:r>
            <w:r>
              <w:rPr>
                <w:color w:val="231F20"/>
                <w:spacing w:val="-8"/>
                <w:sz w:val="15"/>
              </w:rPr>
              <w:t> </w:t>
            </w:r>
            <w:r>
              <w:rPr>
                <w:color w:val="231F20"/>
                <w:sz w:val="15"/>
              </w:rPr>
              <w:t>optic</w:t>
            </w:r>
            <w:r>
              <w:rPr>
                <w:color w:val="231F20"/>
                <w:spacing w:val="-8"/>
                <w:sz w:val="15"/>
              </w:rPr>
              <w:t> </w:t>
            </w:r>
            <w:r>
              <w:rPr>
                <w:color w:val="231F20"/>
                <w:sz w:val="15"/>
              </w:rPr>
              <w:t>chiasm</w:t>
            </w:r>
            <w:r>
              <w:rPr>
                <w:color w:val="231F20"/>
                <w:spacing w:val="-9"/>
                <w:sz w:val="15"/>
              </w:rPr>
              <w:t> </w:t>
            </w:r>
            <w:r>
              <w:rPr>
                <w:color w:val="231F20"/>
                <w:spacing w:val="-2"/>
                <w:sz w:val="15"/>
              </w:rPr>
              <w:t>defects</w:t>
            </w:r>
          </w:p>
        </w:tc>
      </w:tr>
      <w:tr>
        <w:trPr>
          <w:trHeight w:val="420"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Nystagmus</w:t>
            </w:r>
            <w:r>
              <w:rPr>
                <w:color w:val="231F20"/>
                <w:spacing w:val="29"/>
                <w:sz w:val="15"/>
              </w:rPr>
              <w:t> </w:t>
            </w:r>
            <w:r>
              <w:rPr>
                <w:color w:val="231F20"/>
                <w:spacing w:val="-2"/>
                <w:sz w:val="15"/>
              </w:rPr>
              <w:t>retractorius</w:t>
            </w:r>
          </w:p>
        </w:tc>
        <w:tc>
          <w:tcPr>
            <w:tcW w:w="3502" w:type="dxa"/>
            <w:gridSpan w:val="2"/>
            <w:tcBorders>
              <w:top w:val="single" w:sz="4" w:space="0" w:color="FFFFFF"/>
              <w:bottom w:val="single" w:sz="4" w:space="0" w:color="FFFFFF"/>
            </w:tcBorders>
            <w:shd w:val="clear" w:color="auto" w:fill="E8F5F1"/>
          </w:tcPr>
          <w:p>
            <w:pPr>
              <w:pStyle w:val="TableParagraph"/>
              <w:spacing w:line="230" w:lineRule="auto" w:before="48"/>
              <w:ind w:left="542" w:right="219" w:hanging="112"/>
              <w:rPr>
                <w:sz w:val="15"/>
              </w:rPr>
            </w:pPr>
            <w:r>
              <w:rPr>
                <w:color w:val="231F20"/>
                <w:sz w:val="15"/>
              </w:rPr>
              <w:t>Eyes</w:t>
            </w:r>
            <w:r>
              <w:rPr>
                <w:color w:val="231F20"/>
                <w:spacing w:val="-12"/>
                <w:sz w:val="15"/>
              </w:rPr>
              <w:t> </w:t>
            </w:r>
            <w:r>
              <w:rPr>
                <w:color w:val="231F20"/>
                <w:sz w:val="15"/>
              </w:rPr>
              <w:t>jerk</w:t>
            </w:r>
            <w:r>
              <w:rPr>
                <w:color w:val="231F20"/>
                <w:spacing w:val="-11"/>
                <w:sz w:val="15"/>
              </w:rPr>
              <w:t> </w:t>
            </w:r>
            <w:r>
              <w:rPr>
                <w:color w:val="231F20"/>
                <w:sz w:val="15"/>
              </w:rPr>
              <w:t>back</w:t>
            </w:r>
            <w:r>
              <w:rPr>
                <w:color w:val="231F20"/>
                <w:spacing w:val="-11"/>
                <w:sz w:val="15"/>
              </w:rPr>
              <w:t> </w:t>
            </w:r>
            <w:r>
              <w:rPr>
                <w:color w:val="231F20"/>
                <w:sz w:val="15"/>
              </w:rPr>
              <w:t>into</w:t>
            </w:r>
            <w:r>
              <w:rPr>
                <w:color w:val="231F20"/>
                <w:spacing w:val="-12"/>
                <w:sz w:val="15"/>
              </w:rPr>
              <w:t> </w:t>
            </w:r>
            <w:r>
              <w:rPr>
                <w:color w:val="231F20"/>
                <w:sz w:val="15"/>
              </w:rPr>
              <w:t>orbit</w:t>
            </w:r>
            <w:r>
              <w:rPr>
                <w:color w:val="231F20"/>
                <w:spacing w:val="-11"/>
                <w:sz w:val="15"/>
              </w:rPr>
              <w:t> </w:t>
            </w:r>
            <w:r>
              <w:rPr>
                <w:color w:val="231F20"/>
                <w:sz w:val="15"/>
              </w:rPr>
              <w:t>or</w:t>
            </w:r>
            <w:r>
              <w:rPr>
                <w:color w:val="231F20"/>
                <w:spacing w:val="-11"/>
                <w:sz w:val="15"/>
              </w:rPr>
              <w:t> </w:t>
            </w:r>
            <w:r>
              <w:rPr>
                <w:color w:val="231F20"/>
                <w:sz w:val="15"/>
              </w:rPr>
              <w:t>toward</w:t>
            </w:r>
            <w:r>
              <w:rPr>
                <w:color w:val="231F20"/>
                <w:spacing w:val="-12"/>
                <w:sz w:val="15"/>
              </w:rPr>
              <w:t> </w:t>
            </w:r>
            <w:r>
              <w:rPr>
                <w:color w:val="231F20"/>
                <w:sz w:val="15"/>
              </w:rPr>
              <w:t>each </w:t>
            </w:r>
            <w:r>
              <w:rPr>
                <w:color w:val="231F20"/>
                <w:spacing w:val="-2"/>
                <w:sz w:val="15"/>
              </w:rPr>
              <w:t>other</w:t>
            </w:r>
          </w:p>
        </w:tc>
        <w:tc>
          <w:tcPr>
            <w:tcW w:w="3694" w:type="dxa"/>
            <w:tcBorders>
              <w:top w:val="single" w:sz="4" w:space="0" w:color="FFFFFF"/>
              <w:bottom w:val="single" w:sz="4" w:space="0" w:color="FFFFFF"/>
            </w:tcBorders>
            <w:shd w:val="clear" w:color="auto" w:fill="E8F5F1"/>
          </w:tcPr>
          <w:p>
            <w:pPr>
              <w:pStyle w:val="TableParagraph"/>
              <w:spacing w:line="230" w:lineRule="auto" w:before="48"/>
              <w:ind w:left="326" w:hanging="112"/>
              <w:rPr>
                <w:sz w:val="15"/>
              </w:rPr>
            </w:pPr>
            <w:r>
              <w:rPr>
                <w:color w:val="231F20"/>
                <w:sz w:val="15"/>
              </w:rPr>
              <w:t>Caused by pressure on mesencephalic </w:t>
            </w:r>
            <w:r>
              <w:rPr>
                <w:color w:val="231F20"/>
                <w:sz w:val="15"/>
              </w:rPr>
              <w:t>tegmentum (Parinaud syndrome)</w:t>
            </w:r>
          </w:p>
        </w:tc>
      </w:tr>
      <w:tr>
        <w:trPr>
          <w:trHeight w:val="420"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Gaze-evoked</w:t>
            </w:r>
            <w:r>
              <w:rPr>
                <w:color w:val="231F20"/>
                <w:spacing w:val="9"/>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z w:val="15"/>
              </w:rPr>
              <w:t>Jerk</w:t>
            </w:r>
            <w:r>
              <w:rPr>
                <w:color w:val="231F20"/>
                <w:spacing w:val="-6"/>
                <w:sz w:val="15"/>
              </w:rPr>
              <w:t> </w:t>
            </w:r>
            <w:r>
              <w:rPr>
                <w:color w:val="231F20"/>
                <w:sz w:val="15"/>
              </w:rPr>
              <w:t>nystagmus</w:t>
            </w:r>
            <w:r>
              <w:rPr>
                <w:color w:val="231F20"/>
                <w:spacing w:val="-6"/>
                <w:sz w:val="15"/>
              </w:rPr>
              <w:t> </w:t>
            </w:r>
            <w:r>
              <w:rPr>
                <w:color w:val="231F20"/>
                <w:sz w:val="15"/>
              </w:rPr>
              <w:t>in</w:t>
            </w:r>
            <w:r>
              <w:rPr>
                <w:color w:val="231F20"/>
                <w:spacing w:val="-5"/>
                <w:sz w:val="15"/>
              </w:rPr>
              <w:t> </w:t>
            </w:r>
            <w:r>
              <w:rPr>
                <w:color w:val="231F20"/>
                <w:sz w:val="15"/>
              </w:rPr>
              <w:t>direction</w:t>
            </w:r>
            <w:r>
              <w:rPr>
                <w:color w:val="231F20"/>
                <w:spacing w:val="-6"/>
                <w:sz w:val="15"/>
              </w:rPr>
              <w:t> </w:t>
            </w:r>
            <w:r>
              <w:rPr>
                <w:color w:val="231F20"/>
                <w:sz w:val="15"/>
              </w:rPr>
              <w:t>of</w:t>
            </w:r>
            <w:r>
              <w:rPr>
                <w:color w:val="231F20"/>
                <w:spacing w:val="-5"/>
                <w:sz w:val="15"/>
              </w:rPr>
              <w:t> </w:t>
            </w:r>
            <w:r>
              <w:rPr>
                <w:color w:val="231F20"/>
                <w:spacing w:val="-4"/>
                <w:sz w:val="15"/>
              </w:rPr>
              <w:t>gaze</w:t>
            </w:r>
          </w:p>
        </w:tc>
        <w:tc>
          <w:tcPr>
            <w:tcW w:w="3694" w:type="dxa"/>
            <w:tcBorders>
              <w:top w:val="single" w:sz="4" w:space="0" w:color="FFFFFF"/>
              <w:bottom w:val="single" w:sz="4" w:space="0" w:color="FFFFFF"/>
            </w:tcBorders>
            <w:shd w:val="clear" w:color="auto" w:fill="E8F5F1"/>
          </w:tcPr>
          <w:p>
            <w:pPr>
              <w:pStyle w:val="TableParagraph"/>
              <w:spacing w:line="230" w:lineRule="auto" w:before="48"/>
              <w:ind w:left="326" w:hanging="112"/>
              <w:rPr>
                <w:sz w:val="15"/>
              </w:rPr>
            </w:pPr>
            <w:r>
              <w:rPr>
                <w:color w:val="231F20"/>
                <w:sz w:val="15"/>
              </w:rPr>
              <w:t>Caused</w:t>
            </w:r>
            <w:r>
              <w:rPr>
                <w:color w:val="231F20"/>
                <w:spacing w:val="-11"/>
                <w:sz w:val="15"/>
              </w:rPr>
              <w:t> </w:t>
            </w:r>
            <w:r>
              <w:rPr>
                <w:color w:val="231F20"/>
                <w:sz w:val="15"/>
              </w:rPr>
              <w:t>by</w:t>
            </w:r>
            <w:r>
              <w:rPr>
                <w:color w:val="231F20"/>
                <w:spacing w:val="-11"/>
                <w:sz w:val="15"/>
              </w:rPr>
              <w:t> </w:t>
            </w:r>
            <w:r>
              <w:rPr>
                <w:color w:val="231F20"/>
                <w:sz w:val="15"/>
              </w:rPr>
              <w:t>medications,</w:t>
            </w:r>
            <w:r>
              <w:rPr>
                <w:color w:val="231F20"/>
                <w:spacing w:val="-11"/>
                <w:sz w:val="15"/>
              </w:rPr>
              <w:t> </w:t>
            </w:r>
            <w:r>
              <w:rPr>
                <w:color w:val="231F20"/>
                <w:sz w:val="15"/>
              </w:rPr>
              <w:t>brainstem</w:t>
            </w:r>
            <w:r>
              <w:rPr>
                <w:color w:val="231F20"/>
                <w:spacing w:val="-11"/>
                <w:sz w:val="15"/>
              </w:rPr>
              <w:t> </w:t>
            </w:r>
            <w:r>
              <w:rPr>
                <w:color w:val="231F20"/>
                <w:sz w:val="15"/>
              </w:rPr>
              <w:t>lesion,</w:t>
            </w:r>
            <w:r>
              <w:rPr>
                <w:color w:val="231F20"/>
                <w:spacing w:val="-11"/>
                <w:sz w:val="15"/>
              </w:rPr>
              <w:t> </w:t>
            </w:r>
            <w:r>
              <w:rPr>
                <w:color w:val="231F20"/>
                <w:sz w:val="15"/>
              </w:rPr>
              <w:t>or labyrinthine dysfunction</w:t>
            </w:r>
          </w:p>
        </w:tc>
      </w:tr>
      <w:tr>
        <w:trPr>
          <w:trHeight w:val="252"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pacing w:val="-2"/>
                <w:sz w:val="15"/>
              </w:rPr>
              <w:t>Gaze-paretic 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pacing w:val="-2"/>
                <w:sz w:val="15"/>
              </w:rPr>
              <w:t>Eyes</w:t>
            </w:r>
            <w:r>
              <w:rPr>
                <w:color w:val="231F20"/>
                <w:spacing w:val="-3"/>
                <w:sz w:val="15"/>
              </w:rPr>
              <w:t> </w:t>
            </w:r>
            <w:r>
              <w:rPr>
                <w:color w:val="231F20"/>
                <w:spacing w:val="-2"/>
                <w:sz w:val="15"/>
              </w:rPr>
              <w:t>jerk</w:t>
            </w:r>
            <w:r>
              <w:rPr>
                <w:color w:val="231F20"/>
                <w:spacing w:val="-3"/>
                <w:sz w:val="15"/>
              </w:rPr>
              <w:t> </w:t>
            </w:r>
            <w:r>
              <w:rPr>
                <w:color w:val="231F20"/>
                <w:spacing w:val="-2"/>
                <w:sz w:val="15"/>
              </w:rPr>
              <w:t>back</w:t>
            </w:r>
            <w:r>
              <w:rPr>
                <w:color w:val="231F20"/>
                <w:spacing w:val="-3"/>
                <w:sz w:val="15"/>
              </w:rPr>
              <w:t> </w:t>
            </w:r>
            <w:r>
              <w:rPr>
                <w:color w:val="231F20"/>
                <w:spacing w:val="-2"/>
                <w:sz w:val="15"/>
              </w:rPr>
              <w:t>to maintain</w:t>
            </w:r>
            <w:r>
              <w:rPr>
                <w:color w:val="231F20"/>
                <w:spacing w:val="-3"/>
                <w:sz w:val="15"/>
              </w:rPr>
              <w:t> </w:t>
            </w:r>
            <w:r>
              <w:rPr>
                <w:color w:val="231F20"/>
                <w:spacing w:val="-2"/>
                <w:sz w:val="15"/>
              </w:rPr>
              <w:t>eccentric</w:t>
            </w:r>
            <w:r>
              <w:rPr>
                <w:color w:val="231F20"/>
                <w:spacing w:val="-3"/>
                <w:sz w:val="15"/>
              </w:rPr>
              <w:t> </w:t>
            </w:r>
            <w:r>
              <w:rPr>
                <w:color w:val="231F20"/>
                <w:spacing w:val="-4"/>
                <w:sz w:val="15"/>
              </w:rPr>
              <w:t>gaze</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pacing w:val="-2"/>
                <w:sz w:val="15"/>
              </w:rPr>
              <w:t>Cerebellar</w:t>
            </w:r>
            <w:r>
              <w:rPr>
                <w:color w:val="231F20"/>
                <w:spacing w:val="6"/>
                <w:sz w:val="15"/>
              </w:rPr>
              <w:t> </w:t>
            </w:r>
            <w:r>
              <w:rPr>
                <w:color w:val="231F20"/>
                <w:spacing w:val="-2"/>
                <w:sz w:val="15"/>
              </w:rPr>
              <w:t>disease</w:t>
            </w:r>
          </w:p>
        </w:tc>
      </w:tr>
      <w:tr>
        <w:trPr>
          <w:trHeight w:val="252"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Downbeat</w:t>
            </w:r>
            <w:r>
              <w:rPr>
                <w:color w:val="231F20"/>
                <w:spacing w:val="14"/>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z w:val="15"/>
              </w:rPr>
              <w:t>Fast</w:t>
            </w:r>
            <w:r>
              <w:rPr>
                <w:color w:val="231F20"/>
                <w:spacing w:val="3"/>
                <w:sz w:val="15"/>
              </w:rPr>
              <w:t> </w:t>
            </w:r>
            <w:r>
              <w:rPr>
                <w:color w:val="231F20"/>
                <w:sz w:val="15"/>
              </w:rPr>
              <w:t>phase</w:t>
            </w:r>
            <w:r>
              <w:rPr>
                <w:color w:val="231F20"/>
                <w:spacing w:val="3"/>
                <w:sz w:val="15"/>
              </w:rPr>
              <w:t> </w:t>
            </w:r>
            <w:r>
              <w:rPr>
                <w:color w:val="231F20"/>
                <w:sz w:val="15"/>
              </w:rPr>
              <w:t>beating</w:t>
            </w:r>
            <w:r>
              <w:rPr>
                <w:color w:val="231F20"/>
                <w:spacing w:val="4"/>
                <w:sz w:val="15"/>
              </w:rPr>
              <w:t> </w:t>
            </w:r>
            <w:r>
              <w:rPr>
                <w:color w:val="231F20"/>
                <w:spacing w:val="-2"/>
                <w:sz w:val="15"/>
              </w:rPr>
              <w:t>downward</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z w:val="15"/>
              </w:rPr>
              <w:t>Posterior</w:t>
            </w:r>
            <w:r>
              <w:rPr>
                <w:color w:val="231F20"/>
                <w:spacing w:val="-7"/>
                <w:sz w:val="15"/>
              </w:rPr>
              <w:t> </w:t>
            </w:r>
            <w:r>
              <w:rPr>
                <w:color w:val="231F20"/>
                <w:sz w:val="15"/>
              </w:rPr>
              <w:t>fossa</w:t>
            </w:r>
            <w:r>
              <w:rPr>
                <w:color w:val="231F20"/>
                <w:spacing w:val="-7"/>
                <w:sz w:val="15"/>
              </w:rPr>
              <w:t> </w:t>
            </w:r>
            <w:r>
              <w:rPr>
                <w:color w:val="231F20"/>
                <w:sz w:val="15"/>
              </w:rPr>
              <w:t>disease,</w:t>
            </w:r>
            <w:r>
              <w:rPr>
                <w:color w:val="231F20"/>
                <w:spacing w:val="-7"/>
                <w:sz w:val="15"/>
              </w:rPr>
              <w:t> </w:t>
            </w:r>
            <w:r>
              <w:rPr>
                <w:color w:val="231F20"/>
                <w:spacing w:val="-2"/>
                <w:sz w:val="15"/>
              </w:rPr>
              <w:t>drugs</w:t>
            </w:r>
          </w:p>
        </w:tc>
      </w:tr>
      <w:tr>
        <w:trPr>
          <w:trHeight w:val="420"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Upbeat</w:t>
            </w:r>
            <w:r>
              <w:rPr>
                <w:color w:val="231F20"/>
                <w:spacing w:val="10"/>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z w:val="15"/>
              </w:rPr>
              <w:t>Fast</w:t>
            </w:r>
            <w:r>
              <w:rPr>
                <w:color w:val="231F20"/>
                <w:spacing w:val="3"/>
                <w:sz w:val="15"/>
              </w:rPr>
              <w:t> </w:t>
            </w:r>
            <w:r>
              <w:rPr>
                <w:color w:val="231F20"/>
                <w:sz w:val="15"/>
              </w:rPr>
              <w:t>phase</w:t>
            </w:r>
            <w:r>
              <w:rPr>
                <w:color w:val="231F20"/>
                <w:spacing w:val="3"/>
                <w:sz w:val="15"/>
              </w:rPr>
              <w:t> </w:t>
            </w:r>
            <w:r>
              <w:rPr>
                <w:color w:val="231F20"/>
                <w:sz w:val="15"/>
              </w:rPr>
              <w:t>beating</w:t>
            </w:r>
            <w:r>
              <w:rPr>
                <w:color w:val="231F20"/>
                <w:spacing w:val="4"/>
                <w:sz w:val="15"/>
              </w:rPr>
              <w:t> </w:t>
            </w:r>
            <w:r>
              <w:rPr>
                <w:color w:val="231F20"/>
                <w:spacing w:val="-2"/>
                <w:sz w:val="15"/>
              </w:rPr>
              <w:t>upward</w:t>
            </w:r>
          </w:p>
        </w:tc>
        <w:tc>
          <w:tcPr>
            <w:tcW w:w="3694" w:type="dxa"/>
            <w:tcBorders>
              <w:top w:val="single" w:sz="4" w:space="0" w:color="FFFFFF"/>
              <w:bottom w:val="single" w:sz="4" w:space="0" w:color="FFFFFF"/>
            </w:tcBorders>
            <w:shd w:val="clear" w:color="auto" w:fill="E8F5F1"/>
          </w:tcPr>
          <w:p>
            <w:pPr>
              <w:pStyle w:val="TableParagraph"/>
              <w:spacing w:line="230" w:lineRule="auto" w:before="48"/>
              <w:ind w:left="326" w:hanging="112"/>
              <w:rPr>
                <w:sz w:val="15"/>
              </w:rPr>
            </w:pPr>
            <w:r>
              <w:rPr>
                <w:color w:val="231F20"/>
                <w:sz w:val="15"/>
              </w:rPr>
              <w:t>Brainstem</w:t>
            </w:r>
            <w:r>
              <w:rPr>
                <w:color w:val="231F20"/>
                <w:spacing w:val="-12"/>
                <w:sz w:val="15"/>
              </w:rPr>
              <w:t> </w:t>
            </w:r>
            <w:r>
              <w:rPr>
                <w:color w:val="231F20"/>
                <w:sz w:val="15"/>
              </w:rPr>
              <w:t>and</w:t>
            </w:r>
            <w:r>
              <w:rPr>
                <w:color w:val="231F20"/>
                <w:spacing w:val="-11"/>
                <w:sz w:val="15"/>
              </w:rPr>
              <w:t> </w:t>
            </w:r>
            <w:r>
              <w:rPr>
                <w:color w:val="231F20"/>
                <w:sz w:val="15"/>
              </w:rPr>
              <w:t>cerebellar</w:t>
            </w:r>
            <w:r>
              <w:rPr>
                <w:color w:val="231F20"/>
                <w:spacing w:val="-11"/>
                <w:sz w:val="15"/>
              </w:rPr>
              <w:t> </w:t>
            </w:r>
            <w:r>
              <w:rPr>
                <w:color w:val="231F20"/>
                <w:sz w:val="15"/>
              </w:rPr>
              <w:t>disease;</w:t>
            </w:r>
            <w:r>
              <w:rPr>
                <w:color w:val="231F20"/>
                <w:spacing w:val="-12"/>
                <w:sz w:val="15"/>
              </w:rPr>
              <w:t> </w:t>
            </w:r>
            <w:r>
              <w:rPr>
                <w:color w:val="231F20"/>
                <w:sz w:val="15"/>
              </w:rPr>
              <w:t>some</w:t>
            </w:r>
            <w:r>
              <w:rPr>
                <w:color w:val="231F20"/>
                <w:spacing w:val="-11"/>
                <w:sz w:val="15"/>
              </w:rPr>
              <w:t> </w:t>
            </w:r>
            <w:r>
              <w:rPr>
                <w:color w:val="231F20"/>
                <w:sz w:val="15"/>
              </w:rPr>
              <w:t>visual </w:t>
            </w:r>
            <w:r>
              <w:rPr>
                <w:color w:val="231F20"/>
                <w:spacing w:val="-2"/>
                <w:sz w:val="15"/>
              </w:rPr>
              <w:t>conditions</w:t>
            </w:r>
          </w:p>
        </w:tc>
      </w:tr>
      <w:tr>
        <w:trPr>
          <w:trHeight w:val="252"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pacing w:val="-2"/>
                <w:sz w:val="15"/>
              </w:rPr>
              <w:t>Vestibular</w:t>
            </w:r>
            <w:r>
              <w:rPr>
                <w:color w:val="231F20"/>
                <w:spacing w:val="-7"/>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pacing w:val="-2"/>
                <w:sz w:val="15"/>
              </w:rPr>
              <w:t>Horizontal-torsional</w:t>
            </w:r>
            <w:r>
              <w:rPr>
                <w:color w:val="231F20"/>
                <w:spacing w:val="-1"/>
                <w:sz w:val="15"/>
              </w:rPr>
              <w:t> </w:t>
            </w:r>
            <w:r>
              <w:rPr>
                <w:color w:val="231F20"/>
                <w:spacing w:val="-2"/>
                <w:sz w:val="15"/>
              </w:rPr>
              <w:t>or</w:t>
            </w:r>
            <w:r>
              <w:rPr>
                <w:color w:val="231F20"/>
                <w:spacing w:val="-1"/>
                <w:sz w:val="15"/>
              </w:rPr>
              <w:t> </w:t>
            </w:r>
            <w:r>
              <w:rPr>
                <w:color w:val="231F20"/>
                <w:spacing w:val="-2"/>
                <w:sz w:val="15"/>
              </w:rPr>
              <w:t>horizontal</w:t>
            </w:r>
            <w:r>
              <w:rPr>
                <w:color w:val="231F20"/>
                <w:sz w:val="15"/>
              </w:rPr>
              <w:t> </w:t>
            </w:r>
            <w:r>
              <w:rPr>
                <w:color w:val="231F20"/>
                <w:spacing w:val="-2"/>
                <w:sz w:val="15"/>
              </w:rPr>
              <w:t>jerks</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pacing w:val="-2"/>
                <w:sz w:val="15"/>
              </w:rPr>
              <w:t>Vestibular system</w:t>
            </w:r>
            <w:r>
              <w:rPr>
                <w:color w:val="231F20"/>
                <w:spacing w:val="-1"/>
                <w:sz w:val="15"/>
              </w:rPr>
              <w:t> </w:t>
            </w:r>
            <w:r>
              <w:rPr>
                <w:color w:val="231F20"/>
                <w:spacing w:val="-2"/>
                <w:sz w:val="15"/>
              </w:rPr>
              <w:t>dysfunction</w:t>
            </w:r>
          </w:p>
        </w:tc>
      </w:tr>
      <w:tr>
        <w:trPr>
          <w:trHeight w:val="252" w:hRule="atLeast"/>
        </w:trPr>
        <w:tc>
          <w:tcPr>
            <w:tcW w:w="2612" w:type="dxa"/>
            <w:gridSpan w:val="2"/>
            <w:tcBorders>
              <w:top w:val="single" w:sz="4" w:space="0" w:color="FFFFFF"/>
              <w:bottom w:val="single" w:sz="4" w:space="0" w:color="FFFFFF"/>
            </w:tcBorders>
            <w:shd w:val="clear" w:color="auto" w:fill="E8F5F1"/>
          </w:tcPr>
          <w:p>
            <w:pPr>
              <w:pStyle w:val="TableParagraph"/>
              <w:spacing w:before="42"/>
              <w:ind w:left="139"/>
              <w:rPr>
                <w:sz w:val="15"/>
              </w:rPr>
            </w:pPr>
            <w:r>
              <w:rPr>
                <w:color w:val="231F20"/>
                <w:sz w:val="15"/>
              </w:rPr>
              <w:t>Asymmetric</w:t>
            </w:r>
            <w:r>
              <w:rPr>
                <w:color w:val="231F20"/>
                <w:spacing w:val="-6"/>
                <w:sz w:val="15"/>
              </w:rPr>
              <w:t> </w:t>
            </w:r>
            <w:r>
              <w:rPr>
                <w:color w:val="231F20"/>
                <w:sz w:val="15"/>
              </w:rPr>
              <w:t>or</w:t>
            </w:r>
            <w:r>
              <w:rPr>
                <w:color w:val="231F20"/>
                <w:spacing w:val="-6"/>
                <w:sz w:val="15"/>
              </w:rPr>
              <w:t> </w:t>
            </w:r>
            <w:r>
              <w:rPr>
                <w:color w:val="231F20"/>
                <w:sz w:val="15"/>
              </w:rPr>
              <w:t>monocular</w:t>
            </w:r>
            <w:r>
              <w:rPr>
                <w:color w:val="231F20"/>
                <w:spacing w:val="-6"/>
                <w:sz w:val="15"/>
              </w:rPr>
              <w:t> </w:t>
            </w:r>
            <w:r>
              <w:rPr>
                <w:color w:val="231F20"/>
                <w:spacing w:val="-2"/>
                <w:sz w:val="15"/>
              </w:rPr>
              <w:t>nystagmus</w:t>
            </w:r>
          </w:p>
        </w:tc>
        <w:tc>
          <w:tcPr>
            <w:tcW w:w="3502" w:type="dxa"/>
            <w:gridSpan w:val="2"/>
            <w:tcBorders>
              <w:top w:val="single" w:sz="4" w:space="0" w:color="FFFFFF"/>
              <w:bottom w:val="single" w:sz="4" w:space="0" w:color="FFFFFF"/>
            </w:tcBorders>
            <w:shd w:val="clear" w:color="auto" w:fill="E8F5F1"/>
          </w:tcPr>
          <w:p>
            <w:pPr>
              <w:pStyle w:val="TableParagraph"/>
              <w:spacing w:before="42"/>
              <w:ind w:left="430"/>
              <w:rPr>
                <w:sz w:val="15"/>
              </w:rPr>
            </w:pPr>
            <w:r>
              <w:rPr>
                <w:color w:val="231F20"/>
                <w:spacing w:val="-2"/>
                <w:sz w:val="15"/>
              </w:rPr>
              <w:t>Pendular</w:t>
            </w:r>
            <w:r>
              <w:rPr>
                <w:color w:val="231F20"/>
                <w:spacing w:val="-7"/>
                <w:sz w:val="15"/>
              </w:rPr>
              <w:t> </w:t>
            </w:r>
            <w:r>
              <w:rPr>
                <w:color w:val="231F20"/>
                <w:spacing w:val="-2"/>
                <w:sz w:val="15"/>
              </w:rPr>
              <w:t>vertical</w:t>
            </w:r>
            <w:r>
              <w:rPr>
                <w:color w:val="231F20"/>
                <w:spacing w:val="-6"/>
                <w:sz w:val="15"/>
              </w:rPr>
              <w:t> </w:t>
            </w:r>
            <w:r>
              <w:rPr>
                <w:color w:val="231F20"/>
                <w:spacing w:val="-2"/>
                <w:sz w:val="15"/>
              </w:rPr>
              <w:t>nystagmus</w:t>
            </w:r>
          </w:p>
        </w:tc>
        <w:tc>
          <w:tcPr>
            <w:tcW w:w="3694" w:type="dxa"/>
            <w:tcBorders>
              <w:top w:val="single" w:sz="4" w:space="0" w:color="FFFFFF"/>
              <w:bottom w:val="single" w:sz="4" w:space="0" w:color="FFFFFF"/>
            </w:tcBorders>
            <w:shd w:val="clear" w:color="auto" w:fill="E8F5F1"/>
          </w:tcPr>
          <w:p>
            <w:pPr>
              <w:pStyle w:val="TableParagraph"/>
              <w:spacing w:before="42"/>
              <w:ind w:left="214"/>
              <w:rPr>
                <w:sz w:val="15"/>
              </w:rPr>
            </w:pPr>
            <w:r>
              <w:rPr>
                <w:color w:val="231F20"/>
                <w:sz w:val="15"/>
              </w:rPr>
              <w:t>Disease</w:t>
            </w:r>
            <w:r>
              <w:rPr>
                <w:color w:val="231F20"/>
                <w:spacing w:val="-5"/>
                <w:sz w:val="15"/>
              </w:rPr>
              <w:t> </w:t>
            </w:r>
            <w:r>
              <w:rPr>
                <w:color w:val="231F20"/>
                <w:sz w:val="15"/>
              </w:rPr>
              <w:t>of</w:t>
            </w:r>
            <w:r>
              <w:rPr>
                <w:color w:val="231F20"/>
                <w:spacing w:val="-5"/>
                <w:sz w:val="15"/>
              </w:rPr>
              <w:t> </w:t>
            </w:r>
            <w:r>
              <w:rPr>
                <w:color w:val="231F20"/>
                <w:sz w:val="15"/>
              </w:rPr>
              <w:t>retina</w:t>
            </w:r>
            <w:r>
              <w:rPr>
                <w:color w:val="231F20"/>
                <w:spacing w:val="-5"/>
                <w:sz w:val="15"/>
              </w:rPr>
              <w:t> </w:t>
            </w:r>
            <w:r>
              <w:rPr>
                <w:color w:val="231F20"/>
                <w:sz w:val="15"/>
              </w:rPr>
              <w:t>and</w:t>
            </w:r>
            <w:r>
              <w:rPr>
                <w:color w:val="231F20"/>
                <w:spacing w:val="-5"/>
                <w:sz w:val="15"/>
              </w:rPr>
              <w:t> </w:t>
            </w:r>
            <w:r>
              <w:rPr>
                <w:color w:val="231F20"/>
                <w:sz w:val="15"/>
              </w:rPr>
              <w:t>visual</w:t>
            </w:r>
            <w:r>
              <w:rPr>
                <w:color w:val="231F20"/>
                <w:spacing w:val="-5"/>
                <w:sz w:val="15"/>
              </w:rPr>
              <w:t> </w:t>
            </w:r>
            <w:r>
              <w:rPr>
                <w:color w:val="231F20"/>
                <w:spacing w:val="-2"/>
                <w:sz w:val="15"/>
              </w:rPr>
              <w:t>pathways</w:t>
            </w:r>
          </w:p>
        </w:tc>
      </w:tr>
      <w:tr>
        <w:trPr>
          <w:trHeight w:val="415" w:hRule="atLeast"/>
        </w:trPr>
        <w:tc>
          <w:tcPr>
            <w:tcW w:w="2612" w:type="dxa"/>
            <w:gridSpan w:val="2"/>
            <w:tcBorders>
              <w:top w:val="single" w:sz="4" w:space="0" w:color="FFFFFF"/>
              <w:bottom w:val="single" w:sz="8" w:space="0" w:color="231F20"/>
            </w:tcBorders>
            <w:shd w:val="clear" w:color="auto" w:fill="E8F5F1"/>
          </w:tcPr>
          <w:p>
            <w:pPr>
              <w:pStyle w:val="TableParagraph"/>
              <w:spacing w:before="42"/>
              <w:ind w:left="139"/>
              <w:rPr>
                <w:sz w:val="15"/>
              </w:rPr>
            </w:pPr>
            <w:r>
              <w:rPr>
                <w:color w:val="231F20"/>
                <w:sz w:val="15"/>
              </w:rPr>
              <w:t>Spasmus</w:t>
            </w:r>
            <w:r>
              <w:rPr>
                <w:color w:val="231F20"/>
                <w:spacing w:val="23"/>
                <w:sz w:val="15"/>
              </w:rPr>
              <w:t> </w:t>
            </w:r>
            <w:r>
              <w:rPr>
                <w:color w:val="231F20"/>
                <w:spacing w:val="-2"/>
                <w:sz w:val="15"/>
              </w:rPr>
              <w:t>nutans</w:t>
            </w:r>
          </w:p>
        </w:tc>
        <w:tc>
          <w:tcPr>
            <w:tcW w:w="3502" w:type="dxa"/>
            <w:gridSpan w:val="2"/>
            <w:tcBorders>
              <w:top w:val="single" w:sz="4" w:space="0" w:color="FFFFFF"/>
              <w:bottom w:val="single" w:sz="8" w:space="0" w:color="231F20"/>
            </w:tcBorders>
            <w:shd w:val="clear" w:color="auto" w:fill="E8F5F1"/>
          </w:tcPr>
          <w:p>
            <w:pPr>
              <w:pStyle w:val="TableParagraph"/>
              <w:spacing w:before="42"/>
              <w:ind w:left="430"/>
              <w:rPr>
                <w:sz w:val="15"/>
              </w:rPr>
            </w:pPr>
            <w:r>
              <w:rPr>
                <w:color w:val="231F20"/>
                <w:spacing w:val="-2"/>
                <w:sz w:val="15"/>
              </w:rPr>
              <w:t>Fine,</w:t>
            </w:r>
            <w:r>
              <w:rPr>
                <w:color w:val="231F20"/>
                <w:spacing w:val="1"/>
                <w:sz w:val="15"/>
              </w:rPr>
              <w:t> </w:t>
            </w:r>
            <w:r>
              <w:rPr>
                <w:color w:val="231F20"/>
                <w:spacing w:val="-2"/>
                <w:sz w:val="15"/>
              </w:rPr>
              <w:t>rapid,</w:t>
            </w:r>
            <w:r>
              <w:rPr>
                <w:color w:val="231F20"/>
                <w:spacing w:val="1"/>
                <w:sz w:val="15"/>
              </w:rPr>
              <w:t> </w:t>
            </w:r>
            <w:r>
              <w:rPr>
                <w:color w:val="231F20"/>
                <w:spacing w:val="-2"/>
                <w:sz w:val="15"/>
              </w:rPr>
              <w:t>pendular</w:t>
            </w:r>
            <w:r>
              <w:rPr>
                <w:color w:val="231F20"/>
                <w:spacing w:val="1"/>
                <w:sz w:val="15"/>
              </w:rPr>
              <w:t> </w:t>
            </w:r>
            <w:r>
              <w:rPr>
                <w:color w:val="231F20"/>
                <w:spacing w:val="-2"/>
                <w:sz w:val="15"/>
              </w:rPr>
              <w:t>nystagmus</w:t>
            </w:r>
          </w:p>
        </w:tc>
        <w:tc>
          <w:tcPr>
            <w:tcW w:w="3694" w:type="dxa"/>
            <w:tcBorders>
              <w:top w:val="single" w:sz="4" w:space="0" w:color="FFFFFF"/>
              <w:bottom w:val="single" w:sz="8" w:space="0" w:color="231F20"/>
            </w:tcBorders>
            <w:shd w:val="clear" w:color="auto" w:fill="E8F5F1"/>
          </w:tcPr>
          <w:p>
            <w:pPr>
              <w:pStyle w:val="TableParagraph"/>
              <w:spacing w:line="230" w:lineRule="auto" w:before="48"/>
              <w:ind w:left="326" w:hanging="112"/>
              <w:rPr>
                <w:sz w:val="15"/>
              </w:rPr>
            </w:pPr>
            <w:r>
              <w:rPr>
                <w:color w:val="231F20"/>
                <w:sz w:val="15"/>
              </w:rPr>
              <w:t>Torticollis,</w:t>
            </w:r>
            <w:r>
              <w:rPr>
                <w:color w:val="231F20"/>
                <w:spacing w:val="-9"/>
                <w:sz w:val="15"/>
              </w:rPr>
              <w:t> </w:t>
            </w:r>
            <w:r>
              <w:rPr>
                <w:color w:val="231F20"/>
                <w:sz w:val="15"/>
              </w:rPr>
              <w:t>head</w:t>
            </w:r>
            <w:r>
              <w:rPr>
                <w:color w:val="231F20"/>
                <w:spacing w:val="-9"/>
                <w:sz w:val="15"/>
              </w:rPr>
              <w:t> </w:t>
            </w:r>
            <w:r>
              <w:rPr>
                <w:color w:val="231F20"/>
                <w:sz w:val="15"/>
              </w:rPr>
              <w:t>nodding;</w:t>
            </w:r>
            <w:r>
              <w:rPr>
                <w:color w:val="231F20"/>
                <w:spacing w:val="-9"/>
                <w:sz w:val="15"/>
              </w:rPr>
              <w:t> </w:t>
            </w:r>
            <w:r>
              <w:rPr>
                <w:color w:val="231F20"/>
                <w:sz w:val="15"/>
              </w:rPr>
              <w:t>idiopathic</w:t>
            </w:r>
            <w:r>
              <w:rPr>
                <w:color w:val="231F20"/>
                <w:spacing w:val="-9"/>
                <w:sz w:val="15"/>
              </w:rPr>
              <w:t> </w:t>
            </w:r>
            <w:r>
              <w:rPr>
                <w:color w:val="231F20"/>
                <w:sz w:val="15"/>
              </w:rPr>
              <w:t>or</w:t>
            </w:r>
            <w:r>
              <w:rPr>
                <w:color w:val="231F20"/>
                <w:spacing w:val="-9"/>
                <w:sz w:val="15"/>
              </w:rPr>
              <w:t> </w:t>
            </w:r>
            <w:r>
              <w:rPr>
                <w:color w:val="231F20"/>
                <w:sz w:val="15"/>
              </w:rPr>
              <w:t>gliomas</w:t>
            </w:r>
            <w:r>
              <w:rPr>
                <w:color w:val="231F20"/>
                <w:spacing w:val="-9"/>
                <w:sz w:val="15"/>
              </w:rPr>
              <w:t> </w:t>
            </w:r>
            <w:r>
              <w:rPr>
                <w:color w:val="231F20"/>
                <w:sz w:val="15"/>
              </w:rPr>
              <w:t>of visual pathways</w:t>
            </w:r>
          </w:p>
        </w:tc>
      </w:tr>
    </w:tbl>
    <w:p>
      <w:pPr>
        <w:pStyle w:val="TableParagraph"/>
        <w:spacing w:after="0" w:line="230" w:lineRule="auto"/>
        <w:rPr>
          <w:sz w:val="15"/>
        </w:rPr>
        <w:sectPr>
          <w:pgSz w:w="11900" w:h="16840"/>
          <w:pgMar w:header="0" w:footer="0" w:top="1180" w:bottom="280" w:left="708" w:right="566"/>
        </w:sectPr>
      </w:pPr>
    </w:p>
    <w:p>
      <w:pPr>
        <w:pStyle w:val="BodyText"/>
        <w:spacing w:before="97"/>
        <w:rPr>
          <w:rFonts w:ascii="Gabriola"/>
          <w:sz w:val="20"/>
        </w:rPr>
      </w:pPr>
    </w:p>
    <w:p>
      <w:pPr>
        <w:pStyle w:val="BodyText"/>
        <w:spacing w:line="268" w:lineRule="exact"/>
        <w:ind w:left="184"/>
        <w:rPr>
          <w:rFonts w:ascii="Gabriola"/>
          <w:position w:val="-4"/>
          <w:sz w:val="20"/>
        </w:rPr>
      </w:pPr>
      <w:r>
        <w:rPr>
          <w:rFonts w:ascii="Gabriola"/>
          <w:position w:val="-4"/>
          <w:sz w:val="20"/>
        </w:rPr>
        <mc:AlternateContent>
          <mc:Choice Requires="wps">
            <w:drawing>
              <wp:inline distT="0" distB="0" distL="0" distR="0">
                <wp:extent cx="6185535" cy="170815"/>
                <wp:effectExtent l="19050" t="0" r="62864" b="635"/>
                <wp:docPr id="1169" name="Group 1169"/>
                <wp:cNvGraphicFramePr>
                  <a:graphicFrameLocks/>
                </wp:cNvGraphicFramePr>
                <a:graphic>
                  <a:graphicData uri="http://schemas.microsoft.com/office/word/2010/wordprocessingGroup">
                    <wpg:wgp>
                      <wpg:cNvPr id="1169" name="Group 1169"/>
                      <wpg:cNvGrpSpPr/>
                      <wpg:grpSpPr>
                        <a:xfrm>
                          <a:off x="0" y="0"/>
                          <a:ext cx="6185535" cy="170815"/>
                          <a:chExt cx="6185535" cy="170815"/>
                        </a:xfrm>
                      </wpg:grpSpPr>
                      <wps:wsp>
                        <wps:cNvPr id="1170" name="Graphic 1170"/>
                        <wps:cNvSpPr/>
                        <wps:spPr>
                          <a:xfrm>
                            <a:off x="6161574"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171" name="Graphic 1171"/>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172" name="Textbox 1172"/>
                        <wps:cNvSpPr txBox="1"/>
                        <wps:spPr>
                          <a:xfrm>
                            <a:off x="0" y="0"/>
                            <a:ext cx="6185535" cy="170815"/>
                          </a:xfrm>
                          <a:prstGeom prst="rect">
                            <a:avLst/>
                          </a:prstGeom>
                        </wps:spPr>
                        <wps:txbx>
                          <w:txbxContent>
                            <w:p>
                              <w:pPr>
                                <w:spacing w:before="6"/>
                                <w:ind w:left="-1" w:right="0" w:firstLine="0"/>
                                <w:jc w:val="left"/>
                                <w:rPr>
                                  <w:sz w:val="18"/>
                                </w:rPr>
                              </w:pPr>
                              <w:r>
                                <w:rPr>
                                  <w:b/>
                                  <w:color w:val="231F20"/>
                                  <w:w w:val="110"/>
                                  <w:sz w:val="18"/>
                                </w:rPr>
                                <w:t>3032</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934" coordorigin="0,0" coordsize="9741,269">
                <v:line style="position:absolute" from="9703,145" to="9741,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935" filled="false" stroked="false">
                  <v:textbox inset="0,0,0,0">
                    <w:txbxContent>
                      <w:p>
                        <w:pPr>
                          <w:spacing w:before="6"/>
                          <w:ind w:left="-1" w:right="0" w:firstLine="0"/>
                          <w:jc w:val="left"/>
                          <w:rPr>
                            <w:sz w:val="18"/>
                          </w:rPr>
                        </w:pPr>
                        <w:r>
                          <w:rPr>
                            <w:b/>
                            <w:color w:val="231F20"/>
                            <w:w w:val="110"/>
                            <w:sz w:val="18"/>
                          </w:rPr>
                          <w:t>3032</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v:textbox>
                  <w10:wrap type="none"/>
                </v:shape>
              </v:group>
            </w:pict>
          </mc:Fallback>
        </mc:AlternateContent>
      </w:r>
      <w:r>
        <w:rPr>
          <w:rFonts w:ascii="Gabriola"/>
          <w:position w:val="-4"/>
          <w:sz w:val="20"/>
        </w:rPr>
      </w:r>
    </w:p>
    <w:p>
      <w:pPr>
        <w:pStyle w:val="BodyText"/>
        <w:spacing w:before="4"/>
        <w:rPr>
          <w:rFonts w:ascii="Gabriola"/>
          <w:sz w:val="7"/>
        </w:rPr>
      </w:pPr>
    </w:p>
    <w:p>
      <w:pPr>
        <w:pStyle w:val="BodyText"/>
        <w:spacing w:after="0"/>
        <w:rPr>
          <w:rFonts w:ascii="Gabriola"/>
          <w:sz w:val="7"/>
        </w:rPr>
        <w:sectPr>
          <w:pgSz w:w="11900" w:h="16840"/>
          <w:pgMar w:header="0" w:footer="0" w:top="1180" w:bottom="280" w:left="708" w:right="566"/>
        </w:sectPr>
      </w:pPr>
    </w:p>
    <w:p>
      <w:pPr>
        <w:pStyle w:val="BodyText"/>
        <w:spacing w:line="235" w:lineRule="auto" w:before="114"/>
        <w:ind w:left="1229"/>
        <w:rPr>
          <w:rFonts w:ascii="Arial MT"/>
        </w:rPr>
      </w:pPr>
      <w:r>
        <w:rPr>
          <w:rFonts w:ascii="Arial MT"/>
        </w:rPr>
        <mc:AlternateContent>
          <mc:Choice Requires="wps">
            <w:drawing>
              <wp:anchor distT="0" distB="0" distL="0" distR="0" allowOverlap="1" layoutInCell="1" locked="0" behindDoc="0" simplePos="0" relativeHeight="15810048">
                <wp:simplePos x="0" y="0"/>
                <wp:positionH relativeFrom="page">
                  <wp:posOffset>2584006</wp:posOffset>
                </wp:positionH>
                <wp:positionV relativeFrom="paragraph">
                  <wp:posOffset>136757</wp:posOffset>
                </wp:positionV>
                <wp:extent cx="579755" cy="77470"/>
                <wp:effectExtent l="0" t="0" r="0" b="0"/>
                <wp:wrapNone/>
                <wp:docPr id="1173" name="Group 1173"/>
                <wp:cNvGraphicFramePr>
                  <a:graphicFrameLocks/>
                </wp:cNvGraphicFramePr>
                <a:graphic>
                  <a:graphicData uri="http://schemas.microsoft.com/office/word/2010/wordprocessingGroup">
                    <wpg:wgp>
                      <wpg:cNvPr id="1173" name="Group 1173"/>
                      <wpg:cNvGrpSpPr/>
                      <wpg:grpSpPr>
                        <a:xfrm>
                          <a:off x="0" y="0"/>
                          <a:ext cx="579755" cy="77470"/>
                          <a:chExt cx="579755" cy="77470"/>
                        </a:xfrm>
                      </wpg:grpSpPr>
                      <wps:wsp>
                        <wps:cNvPr id="1174" name="Graphic 1174"/>
                        <wps:cNvSpPr/>
                        <wps:spPr>
                          <a:xfrm>
                            <a:off x="66923" y="38531"/>
                            <a:ext cx="513080" cy="1270"/>
                          </a:xfrm>
                          <a:custGeom>
                            <a:avLst/>
                            <a:gdLst/>
                            <a:ahLst/>
                            <a:cxnLst/>
                            <a:rect l="l" t="t" r="r" b="b"/>
                            <a:pathLst>
                              <a:path w="513080" h="0">
                                <a:moveTo>
                                  <a:pt x="512571"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175" name="Graphic 1175"/>
                        <wps:cNvSpPr/>
                        <wps:spPr>
                          <a:xfrm>
                            <a:off x="0" y="0"/>
                            <a:ext cx="94615" cy="77470"/>
                          </a:xfrm>
                          <a:custGeom>
                            <a:avLst/>
                            <a:gdLst/>
                            <a:ahLst/>
                            <a:cxnLst/>
                            <a:rect l="l" t="t" r="r" b="b"/>
                            <a:pathLst>
                              <a:path w="94615" h="77470">
                                <a:moveTo>
                                  <a:pt x="94322" y="0"/>
                                </a:moveTo>
                                <a:lnTo>
                                  <a:pt x="0" y="38531"/>
                                </a:lnTo>
                                <a:lnTo>
                                  <a:pt x="94322" y="77050"/>
                                </a:lnTo>
                                <a:lnTo>
                                  <a:pt x="71932" y="38531"/>
                                </a:lnTo>
                                <a:lnTo>
                                  <a:pt x="94322"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203.465103pt;margin-top:10.768334pt;width:45.65pt;height:6.1pt;mso-position-horizontal-relative:page;mso-position-vertical-relative:paragraph;z-index:15810048" id="docshapegroup936" coordorigin="4069,215" coordsize="913,122">
                <v:line style="position:absolute" from="4982,276" to="4175,276" stroked="true" strokeweight=".933007pt" strokecolor="#2e3092">
                  <v:stroke dashstyle="solid"/>
                </v:line>
                <v:shape style="position:absolute;left:4069;top:215;width:149;height:122" id="docshape937" coordorigin="4069,215" coordsize="149,122" path="m4218,215l4069,276,4218,337,4183,276,4218,215xe" filled="true" fillcolor="#2e3092" stroked="false">
                  <v:path arrowok="t"/>
                  <v:fill type="solid"/>
                </v:shape>
                <w10:wrap type="none"/>
              </v:group>
            </w:pict>
          </mc:Fallback>
        </mc:AlternateContent>
      </w:r>
      <w:r>
        <w:rPr>
          <w:rFonts w:ascii="Arial MT"/>
        </w:rPr>
        <mc:AlternateContent>
          <mc:Choice Requires="wps">
            <w:drawing>
              <wp:anchor distT="0" distB="0" distL="0" distR="0" allowOverlap="1" layoutInCell="1" locked="0" behindDoc="0" simplePos="0" relativeHeight="15813632">
                <wp:simplePos x="0" y="0"/>
                <wp:positionH relativeFrom="page">
                  <wp:posOffset>4881326</wp:posOffset>
                </wp:positionH>
                <wp:positionV relativeFrom="paragraph">
                  <wp:posOffset>550532</wp:posOffset>
                </wp:positionV>
                <wp:extent cx="329565" cy="77470"/>
                <wp:effectExtent l="0" t="0" r="0" b="0"/>
                <wp:wrapNone/>
                <wp:docPr id="1176" name="Group 1176"/>
                <wp:cNvGraphicFramePr>
                  <a:graphicFrameLocks/>
                </wp:cNvGraphicFramePr>
                <a:graphic>
                  <a:graphicData uri="http://schemas.microsoft.com/office/word/2010/wordprocessingGroup">
                    <wpg:wgp>
                      <wpg:cNvPr id="1176" name="Group 1176"/>
                      <wpg:cNvGrpSpPr/>
                      <wpg:grpSpPr>
                        <a:xfrm>
                          <a:off x="0" y="0"/>
                          <a:ext cx="329565" cy="77470"/>
                          <a:chExt cx="329565" cy="77470"/>
                        </a:xfrm>
                      </wpg:grpSpPr>
                      <wps:wsp>
                        <wps:cNvPr id="1177" name="Graphic 1177"/>
                        <wps:cNvSpPr/>
                        <wps:spPr>
                          <a:xfrm>
                            <a:off x="0" y="38519"/>
                            <a:ext cx="262255" cy="1270"/>
                          </a:xfrm>
                          <a:custGeom>
                            <a:avLst/>
                            <a:gdLst/>
                            <a:ahLst/>
                            <a:cxnLst/>
                            <a:rect l="l" t="t" r="r" b="b"/>
                            <a:pathLst>
                              <a:path w="262255" h="0">
                                <a:moveTo>
                                  <a:pt x="0" y="0"/>
                                </a:moveTo>
                                <a:lnTo>
                                  <a:pt x="262020" y="0"/>
                                </a:lnTo>
                              </a:path>
                            </a:pathLst>
                          </a:custGeom>
                          <a:ln w="11849">
                            <a:solidFill>
                              <a:srgbClr val="2E3092"/>
                            </a:solidFill>
                            <a:prstDash val="solid"/>
                          </a:ln>
                        </wps:spPr>
                        <wps:bodyPr wrap="square" lIns="0" tIns="0" rIns="0" bIns="0" rtlCol="0">
                          <a:prstTxWarp prst="textNoShape">
                            <a:avLst/>
                          </a:prstTxWarp>
                          <a:noAutofit/>
                        </wps:bodyPr>
                      </wps:wsp>
                      <wps:wsp>
                        <wps:cNvPr id="1178" name="Graphic 1178"/>
                        <wps:cNvSpPr/>
                        <wps:spPr>
                          <a:xfrm>
                            <a:off x="234622" y="0"/>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84.356415pt;margin-top:43.349033pt;width:25.95pt;height:6.1pt;mso-position-horizontal-relative:page;mso-position-vertical-relative:paragraph;z-index:15813632" id="docshapegroup938" coordorigin="7687,867" coordsize="519,122">
                <v:line style="position:absolute" from="7687,928" to="8100,928" stroked="true" strokeweight=".933007pt" strokecolor="#2e3092">
                  <v:stroke dashstyle="solid"/>
                </v:line>
                <v:shape style="position:absolute;left:8056;top:866;width:149;height:122" id="docshape939" coordorigin="8057,867" coordsize="149,122" path="m8057,867l8092,928,8057,988,8205,928,8057,867xe" filled="true" fillcolor="#2e3092" stroked="false">
                  <v:path arrowok="t"/>
                  <v:fill type="solid"/>
                </v:shape>
                <w10:wrap type="none"/>
              </v:group>
            </w:pict>
          </mc:Fallback>
        </mc:AlternateContent>
      </w:r>
      <w:r>
        <w:rPr>
          <w:rFonts w:ascii="Arial MT"/>
          <w:color w:val="231F20"/>
        </w:rPr>
        <w:t>Work-up</w:t>
      </w:r>
      <w:r>
        <w:rPr>
          <w:rFonts w:ascii="Arial MT"/>
          <w:color w:val="231F20"/>
          <w:spacing w:val="-7"/>
        </w:rPr>
        <w:t> </w:t>
      </w:r>
      <w:r>
        <w:rPr>
          <w:rFonts w:ascii="Arial MT"/>
          <w:color w:val="231F20"/>
        </w:rPr>
        <w:t>and</w:t>
      </w:r>
      <w:r>
        <w:rPr>
          <w:rFonts w:ascii="Arial MT"/>
          <w:color w:val="231F20"/>
          <w:spacing w:val="-7"/>
        </w:rPr>
        <w:t> </w:t>
      </w:r>
      <w:r>
        <w:rPr>
          <w:rFonts w:ascii="Arial MT"/>
          <w:color w:val="231F20"/>
        </w:rPr>
        <w:t>treatment</w:t>
      </w:r>
      <w:r>
        <w:rPr>
          <w:rFonts w:ascii="Arial MT"/>
          <w:color w:val="231F20"/>
          <w:spacing w:val="-7"/>
        </w:rPr>
        <w:t> </w:t>
      </w:r>
      <w:r>
        <w:rPr>
          <w:rFonts w:ascii="Arial MT"/>
          <w:color w:val="231F20"/>
        </w:rPr>
        <w:t>as</w:t>
      </w:r>
      <w:r>
        <w:rPr>
          <w:rFonts w:ascii="Arial MT"/>
          <w:color w:val="231F20"/>
          <w:spacing w:val="-7"/>
        </w:rPr>
        <w:t> </w:t>
      </w:r>
      <w:r>
        <w:rPr>
          <w:rFonts w:ascii="Arial MT"/>
          <w:color w:val="231F20"/>
        </w:rPr>
        <w:t>per</w:t>
      </w:r>
      <w:r>
        <w:rPr>
          <w:rFonts w:ascii="Arial MT"/>
          <w:color w:val="231F20"/>
          <w:spacing w:val="-7"/>
        </w:rPr>
        <w:t> </w:t>
      </w:r>
      <w:r>
        <w:rPr>
          <w:rFonts w:ascii="Arial MT"/>
          <w:color w:val="231F20"/>
        </w:rPr>
        <w:t>ocular</w:t>
      </w:r>
      <w:r>
        <w:rPr>
          <w:rFonts w:ascii="Arial MT"/>
          <w:color w:val="231F20"/>
          <w:spacing w:val="40"/>
        </w:rPr>
        <w:t> </w:t>
      </w:r>
      <w:r>
        <w:rPr>
          <w:rFonts w:ascii="Arial MT"/>
          <w:color w:val="231F20"/>
        </w:rPr>
        <w:t>malformation, tumor, dysgenesis</w:t>
      </w:r>
    </w:p>
    <w:p>
      <w:pPr>
        <w:spacing w:before="79"/>
        <w:ind w:left="379" w:right="0" w:firstLine="0"/>
        <w:jc w:val="left"/>
        <w:rPr>
          <w:rFonts w:ascii="Arial MT"/>
          <w:sz w:val="13"/>
        </w:rPr>
      </w:pPr>
      <w:r>
        <w:rPr/>
        <w:br w:type="column"/>
      </w:r>
      <w:r>
        <w:rPr>
          <w:rFonts w:ascii="Arial MT"/>
          <w:color w:val="231F20"/>
          <w:spacing w:val="-8"/>
          <w:sz w:val="13"/>
        </w:rPr>
        <w:t>Yes</w:t>
      </w:r>
    </w:p>
    <w:p>
      <w:pPr>
        <w:pStyle w:val="BodyText"/>
        <w:spacing w:line="235" w:lineRule="auto" w:before="114"/>
        <w:ind w:left="420" w:right="5013" w:hanging="109"/>
        <w:rPr>
          <w:rFonts w:ascii="Arial MT"/>
        </w:rPr>
      </w:pPr>
      <w:r>
        <w:rPr/>
        <w:br w:type="column"/>
      </w:r>
      <w:r>
        <w:rPr>
          <w:rFonts w:ascii="Arial MT"/>
          <w:color w:val="231F20"/>
        </w:rPr>
        <w:t>? Obvious ocular</w:t>
      </w:r>
      <w:r>
        <w:rPr>
          <w:rFonts w:ascii="Arial MT"/>
          <w:color w:val="231F20"/>
          <w:spacing w:val="40"/>
        </w:rPr>
        <w:t> </w:t>
      </w:r>
      <w:r>
        <w:rPr>
          <w:rFonts w:ascii="Arial MT"/>
          <w:color w:val="231F20"/>
        </w:rPr>
        <w:t>malformation,</w:t>
      </w:r>
      <w:r>
        <w:rPr>
          <w:rFonts w:ascii="Arial MT"/>
          <w:color w:val="231F20"/>
          <w:spacing w:val="-10"/>
        </w:rPr>
        <w:t> </w:t>
      </w:r>
      <w:r>
        <w:rPr>
          <w:rFonts w:ascii="Arial MT"/>
          <w:color w:val="231F20"/>
        </w:rPr>
        <w:t>tumor</w:t>
      </w:r>
    </w:p>
    <w:p>
      <w:pPr>
        <w:pStyle w:val="BodyText"/>
        <w:spacing w:after="0" w:line="235" w:lineRule="auto"/>
        <w:rPr>
          <w:rFonts w:ascii="Arial MT"/>
        </w:rPr>
        <w:sectPr>
          <w:type w:val="continuous"/>
          <w:pgSz w:w="11900" w:h="16840"/>
          <w:pgMar w:header="0" w:footer="0" w:top="620" w:bottom="280" w:left="708" w:right="566"/>
          <w:cols w:num="3" w:equalWidth="0">
            <w:col w:w="3355" w:space="40"/>
            <w:col w:w="593" w:space="39"/>
            <w:col w:w="6599"/>
          </w:cols>
        </w:sectPr>
      </w:pPr>
    </w:p>
    <w:p>
      <w:pPr>
        <w:pStyle w:val="BodyText"/>
        <w:spacing w:line="148" w:lineRule="exact" w:before="110"/>
        <w:ind w:left="1055"/>
        <w:rPr>
          <w:rFonts w:ascii="Arial MT"/>
        </w:rPr>
      </w:pPr>
      <w:r>
        <w:rPr>
          <w:rFonts w:ascii="Arial MT"/>
          <w:color w:val="231F20"/>
          <w:spacing w:val="-2"/>
        </w:rPr>
        <w:t>Aniridia</w:t>
      </w:r>
    </w:p>
    <w:p>
      <w:pPr>
        <w:pStyle w:val="BodyText"/>
        <w:spacing w:line="235" w:lineRule="auto" w:before="1"/>
        <w:ind w:left="1055" w:right="-3"/>
        <w:rPr>
          <w:rFonts w:ascii="Arial MT"/>
        </w:rPr>
      </w:pPr>
      <w:r>
        <w:rPr>
          <w:rFonts w:ascii="Arial MT"/>
          <w:color w:val="231F20"/>
        </w:rPr>
        <w:t>Iridocorneal</w:t>
      </w:r>
      <w:r>
        <w:rPr>
          <w:rFonts w:ascii="Arial MT"/>
          <w:color w:val="231F20"/>
          <w:spacing w:val="-10"/>
        </w:rPr>
        <w:t> </w:t>
      </w:r>
      <w:r>
        <w:rPr>
          <w:rFonts w:ascii="Arial MT"/>
          <w:color w:val="231F20"/>
        </w:rPr>
        <w:t>dysgenesis</w:t>
      </w:r>
      <w:r>
        <w:rPr>
          <w:rFonts w:ascii="Arial MT"/>
          <w:color w:val="231F20"/>
          <w:spacing w:val="40"/>
        </w:rPr>
        <w:t> </w:t>
      </w:r>
      <w:r>
        <w:rPr>
          <w:rFonts w:ascii="Arial MT"/>
          <w:color w:val="231F20"/>
        </w:rPr>
        <w:t>Congenital</w:t>
      </w:r>
      <w:r>
        <w:rPr>
          <w:rFonts w:ascii="Arial MT"/>
          <w:color w:val="231F20"/>
          <w:spacing w:val="-5"/>
        </w:rPr>
        <w:t> </w:t>
      </w:r>
      <w:r>
        <w:rPr>
          <w:rFonts w:ascii="Arial MT"/>
          <w:color w:val="231F20"/>
        </w:rPr>
        <w:t>cataracts</w:t>
      </w:r>
    </w:p>
    <w:p>
      <w:pPr>
        <w:pStyle w:val="BodyText"/>
        <w:spacing w:line="235" w:lineRule="auto" w:before="113"/>
        <w:ind w:left="197"/>
        <w:rPr>
          <w:rFonts w:ascii="Arial MT"/>
        </w:rPr>
      </w:pPr>
      <w:r>
        <w:rPr/>
        <w:br w:type="column"/>
      </w:r>
      <w:r>
        <w:rPr>
          <w:rFonts w:ascii="Arial MT"/>
          <w:color w:val="231F20"/>
        </w:rPr>
        <w:t>Ocular</w:t>
      </w:r>
      <w:r>
        <w:rPr>
          <w:rFonts w:ascii="Arial MT"/>
          <w:color w:val="231F20"/>
          <w:spacing w:val="-10"/>
        </w:rPr>
        <w:t> </w:t>
      </w:r>
      <w:r>
        <w:rPr>
          <w:rFonts w:ascii="Arial MT"/>
          <w:color w:val="231F20"/>
        </w:rPr>
        <w:t>coloboma</w:t>
      </w:r>
      <w:r>
        <w:rPr>
          <w:rFonts w:ascii="Arial MT"/>
          <w:color w:val="231F20"/>
          <w:spacing w:val="40"/>
        </w:rPr>
        <w:t> </w:t>
      </w:r>
      <w:r>
        <w:rPr>
          <w:rFonts w:ascii="Arial MT"/>
          <w:color w:val="231F20"/>
        </w:rPr>
        <w:t>Cicatricial</w:t>
      </w:r>
      <w:r>
        <w:rPr>
          <w:rFonts w:ascii="Arial MT"/>
          <w:color w:val="231F20"/>
          <w:spacing w:val="-5"/>
        </w:rPr>
        <w:t> </w:t>
      </w:r>
      <w:r>
        <w:rPr>
          <w:rFonts w:ascii="Arial MT"/>
          <w:color w:val="231F20"/>
        </w:rPr>
        <w:t>ROP</w:t>
      </w:r>
      <w:r>
        <w:rPr>
          <w:rFonts w:ascii="Arial MT"/>
          <w:color w:val="231F20"/>
          <w:spacing w:val="40"/>
        </w:rPr>
        <w:t> </w:t>
      </w:r>
      <w:r>
        <w:rPr>
          <w:rFonts w:ascii="Arial MT"/>
          <w:color w:val="231F20"/>
        </w:rPr>
        <w:t>Bilateral</w:t>
      </w:r>
      <w:r>
        <w:rPr>
          <w:rFonts w:ascii="Arial MT"/>
          <w:color w:val="231F20"/>
          <w:spacing w:val="-5"/>
        </w:rPr>
        <w:t> </w:t>
      </w:r>
      <w:r>
        <w:rPr>
          <w:rFonts w:ascii="Arial MT"/>
          <w:color w:val="231F20"/>
        </w:rPr>
        <w:t>PHPV</w:t>
      </w:r>
    </w:p>
    <w:p>
      <w:pPr>
        <w:spacing w:before="48"/>
        <w:ind w:left="983" w:right="0" w:firstLine="0"/>
        <w:jc w:val="left"/>
        <w:rPr>
          <w:rFonts w:ascii="Arial MT"/>
          <w:sz w:val="13"/>
        </w:rPr>
      </w:pPr>
      <w:r>
        <w:rPr/>
        <w:br w:type="column"/>
      </w:r>
      <w:r>
        <w:rPr>
          <w:position w:val="-14"/>
        </w:rPr>
        <w:drawing>
          <wp:inline distT="0" distB="0" distL="0" distR="0">
            <wp:extent cx="77063" cy="171955"/>
            <wp:effectExtent l="0" t="0" r="0" b="0"/>
            <wp:docPr id="1179" name="Image 1179"/>
            <wp:cNvGraphicFramePr>
              <a:graphicFrameLocks/>
            </wp:cNvGraphicFramePr>
            <a:graphic>
              <a:graphicData uri="http://schemas.openxmlformats.org/drawingml/2006/picture">
                <pic:pic>
                  <pic:nvPicPr>
                    <pic:cNvPr id="1179" name="Image 1179"/>
                    <pic:cNvPicPr/>
                  </pic:nvPicPr>
                  <pic:blipFill>
                    <a:blip r:embed="rId318" cstate="print"/>
                    <a:stretch>
                      <a:fillRect/>
                    </a:stretch>
                  </pic:blipFill>
                  <pic:spPr>
                    <a:xfrm>
                      <a:off x="0" y="0"/>
                      <a:ext cx="77063" cy="171955"/>
                    </a:xfrm>
                    <a:prstGeom prst="rect">
                      <a:avLst/>
                    </a:prstGeom>
                  </pic:spPr>
                </pic:pic>
              </a:graphicData>
            </a:graphic>
          </wp:inline>
        </w:drawing>
      </w:r>
      <w:r>
        <w:rPr>
          <w:position w:val="-14"/>
        </w:rPr>
      </w:r>
      <w:r>
        <w:rPr>
          <w:rFonts w:ascii="Arial MT"/>
          <w:color w:val="231F20"/>
          <w:spacing w:val="-5"/>
          <w:sz w:val="13"/>
        </w:rPr>
        <w:t>No</w:t>
      </w:r>
    </w:p>
    <w:p>
      <w:pPr>
        <w:pStyle w:val="BodyText"/>
        <w:spacing w:line="138" w:lineRule="exact" w:before="8"/>
        <w:ind w:left="648"/>
        <w:rPr>
          <w:rFonts w:ascii="Arial MT"/>
          <w:position w:val="2"/>
        </w:rPr>
      </w:pPr>
      <w:r>
        <w:rPr>
          <w:rFonts w:ascii="Arial MT"/>
          <w:position w:val="2"/>
        </w:rPr>
        <mc:AlternateContent>
          <mc:Choice Requires="wps">
            <w:drawing>
              <wp:anchor distT="0" distB="0" distL="0" distR="0" allowOverlap="1" layoutInCell="1" locked="0" behindDoc="1" simplePos="0" relativeHeight="475238400">
                <wp:simplePos x="0" y="0"/>
                <wp:positionH relativeFrom="page">
                  <wp:posOffset>3997614</wp:posOffset>
                </wp:positionH>
                <wp:positionV relativeFrom="paragraph">
                  <wp:posOffset>76405</wp:posOffset>
                </wp:positionV>
                <wp:extent cx="447040" cy="95885"/>
                <wp:effectExtent l="0" t="0" r="0" b="0"/>
                <wp:wrapNone/>
                <wp:docPr id="1180" name="Group 1180"/>
                <wp:cNvGraphicFramePr>
                  <a:graphicFrameLocks/>
                </wp:cNvGraphicFramePr>
                <a:graphic>
                  <a:graphicData uri="http://schemas.microsoft.com/office/word/2010/wordprocessingGroup">
                    <wpg:wgp>
                      <wpg:cNvPr id="1180" name="Group 1180"/>
                      <wpg:cNvGrpSpPr/>
                      <wpg:grpSpPr>
                        <a:xfrm>
                          <a:off x="0" y="0"/>
                          <a:ext cx="447040" cy="95885"/>
                          <a:chExt cx="447040" cy="95885"/>
                        </a:xfrm>
                      </wpg:grpSpPr>
                      <wps:wsp>
                        <wps:cNvPr id="1181" name="Graphic 1181"/>
                        <wps:cNvSpPr/>
                        <wps:spPr>
                          <a:xfrm>
                            <a:off x="0" y="50133"/>
                            <a:ext cx="262255" cy="1270"/>
                          </a:xfrm>
                          <a:custGeom>
                            <a:avLst/>
                            <a:gdLst/>
                            <a:ahLst/>
                            <a:cxnLst/>
                            <a:rect l="l" t="t" r="r" b="b"/>
                            <a:pathLst>
                              <a:path w="262255" h="0">
                                <a:moveTo>
                                  <a:pt x="0" y="0"/>
                                </a:moveTo>
                                <a:lnTo>
                                  <a:pt x="262009" y="0"/>
                                </a:lnTo>
                              </a:path>
                            </a:pathLst>
                          </a:custGeom>
                          <a:ln w="11849">
                            <a:solidFill>
                              <a:srgbClr val="2E3092"/>
                            </a:solidFill>
                            <a:prstDash val="solid"/>
                          </a:ln>
                        </wps:spPr>
                        <wps:bodyPr wrap="square" lIns="0" tIns="0" rIns="0" bIns="0" rtlCol="0">
                          <a:prstTxWarp prst="textNoShape">
                            <a:avLst/>
                          </a:prstTxWarp>
                          <a:noAutofit/>
                        </wps:bodyPr>
                      </wps:wsp>
                      <wps:wsp>
                        <wps:cNvPr id="1182" name="Graphic 1182"/>
                        <wps:cNvSpPr/>
                        <wps:spPr>
                          <a:xfrm>
                            <a:off x="234621" y="11614"/>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E3092"/>
                          </a:solidFill>
                        </wps:spPr>
                        <wps:bodyPr wrap="square" lIns="0" tIns="0" rIns="0" bIns="0" rtlCol="0">
                          <a:prstTxWarp prst="textNoShape">
                            <a:avLst/>
                          </a:prstTxWarp>
                          <a:noAutofit/>
                        </wps:bodyPr>
                      </wps:wsp>
                      <pic:pic>
                        <pic:nvPicPr>
                          <pic:cNvPr id="1183" name="Image 1183"/>
                          <pic:cNvPicPr/>
                        </pic:nvPicPr>
                        <pic:blipFill>
                          <a:blip r:embed="rId319" cstate="print"/>
                          <a:stretch>
                            <a:fillRect/>
                          </a:stretch>
                        </pic:blipFill>
                        <pic:spPr>
                          <a:xfrm>
                            <a:off x="350912" y="0"/>
                            <a:ext cx="95741" cy="95741"/>
                          </a:xfrm>
                          <a:prstGeom prst="rect">
                            <a:avLst/>
                          </a:prstGeom>
                        </pic:spPr>
                      </pic:pic>
                      <wps:wsp>
                        <wps:cNvPr id="1184" name="Textbox 1184"/>
                        <wps:cNvSpPr txBox="1"/>
                        <wps:spPr>
                          <a:xfrm>
                            <a:off x="0" y="0"/>
                            <a:ext cx="447040" cy="95885"/>
                          </a:xfrm>
                          <a:prstGeom prst="rect">
                            <a:avLst/>
                          </a:prstGeom>
                        </wps:spPr>
                        <wps:txbx>
                          <w:txbxContent>
                            <w:p>
                              <w:pPr>
                                <w:spacing w:line="137" w:lineRule="exact" w:before="0"/>
                                <w:ind w:left="0" w:right="34" w:firstLine="0"/>
                                <w:jc w:val="right"/>
                                <w:rPr>
                                  <w:rFonts w:ascii="Arial MT"/>
                                  <w:sz w:val="13"/>
                                </w:rPr>
                              </w:pPr>
                              <w:r>
                                <w:rPr>
                                  <w:rFonts w:ascii="Arial MT"/>
                                  <w:color w:val="231F20"/>
                                  <w:spacing w:val="-10"/>
                                  <w:sz w:val="13"/>
                                </w:rPr>
                                <w:t>+</w:t>
                              </w:r>
                            </w:p>
                          </w:txbxContent>
                        </wps:txbx>
                        <wps:bodyPr wrap="square" lIns="0" tIns="0" rIns="0" bIns="0" rtlCol="0">
                          <a:noAutofit/>
                        </wps:bodyPr>
                      </wps:wsp>
                    </wpg:wgp>
                  </a:graphicData>
                </a:graphic>
              </wp:anchor>
            </w:drawing>
          </mc:Choice>
          <mc:Fallback>
            <w:pict>
              <v:group style="position:absolute;margin-left:314.772797pt;margin-top:6.016206pt;width:35.2pt;height:7.55pt;mso-position-horizontal-relative:page;mso-position-vertical-relative:paragraph;z-index:-28078080" id="docshapegroup940" coordorigin="6295,120" coordsize="704,151">
                <v:line style="position:absolute" from="6295,199" to="6708,199" stroked="true" strokeweight=".933007pt" strokecolor="#2e3092">
                  <v:stroke dashstyle="solid"/>
                </v:line>
                <v:shape style="position:absolute;left:6664;top:138;width:149;height:122" id="docshape941" coordorigin="6665,139" coordsize="149,122" path="m6665,139l6700,199,6665,260,6813,199,6665,139xe" filled="true" fillcolor="#2e3092" stroked="false">
                  <v:path arrowok="t"/>
                  <v:fill type="solid"/>
                </v:shape>
                <v:shape style="position:absolute;left:6848;top:120;width:151;height:151" type="#_x0000_t75" id="docshape942" stroked="false">
                  <v:imagedata r:id="rId319" o:title=""/>
                </v:shape>
                <v:shape style="position:absolute;left:6295;top:120;width:704;height:151" type="#_x0000_t202" id="docshape943" filled="false" stroked="false">
                  <v:textbox inset="0,0,0,0">
                    <w:txbxContent>
                      <w:p>
                        <w:pPr>
                          <w:spacing w:line="137" w:lineRule="exact" w:before="0"/>
                          <w:ind w:left="0" w:right="34" w:firstLine="0"/>
                          <w:jc w:val="right"/>
                          <w:rPr>
                            <w:rFonts w:ascii="Arial MT"/>
                            <w:sz w:val="13"/>
                          </w:rPr>
                        </w:pPr>
                        <w:r>
                          <w:rPr>
                            <w:rFonts w:ascii="Arial MT"/>
                            <w:color w:val="231F20"/>
                            <w:spacing w:val="-10"/>
                            <w:sz w:val="13"/>
                          </w:rPr>
                          <w:t>+</w:t>
                        </w:r>
                      </w:p>
                    </w:txbxContent>
                  </v:textbox>
                  <w10:wrap type="none"/>
                </v:shape>
                <w10:wrap type="none"/>
              </v:group>
            </w:pict>
          </mc:Fallback>
        </mc:AlternateContent>
      </w:r>
      <w:r>
        <w:rPr>
          <w:rFonts w:ascii="Arial MT"/>
          <w:color w:val="231F20"/>
        </w:rPr>
        <w:t>?</w:t>
      </w:r>
      <w:r>
        <w:rPr>
          <w:rFonts w:ascii="Arial MT"/>
          <w:color w:val="231F20"/>
          <w:spacing w:val="-7"/>
        </w:rPr>
        <w:t> </w:t>
      </w:r>
      <w:r>
        <w:rPr>
          <w:rFonts w:ascii="Arial MT"/>
          <w:color w:val="231F20"/>
        </w:rPr>
        <w:t>Asymmetric, rapid,</w:t>
      </w:r>
      <w:r>
        <w:rPr>
          <w:rFonts w:ascii="Arial MT"/>
          <w:color w:val="231F20"/>
          <w:spacing w:val="43"/>
        </w:rPr>
        <w:t>  </w:t>
      </w:r>
      <w:r>
        <w:rPr>
          <w:rFonts w:ascii="Arial MT"/>
          <w:color w:val="231F20"/>
          <w:spacing w:val="-5"/>
          <w:position w:val="2"/>
        </w:rPr>
        <w:t>Yes</w:t>
      </w:r>
    </w:p>
    <w:p>
      <w:pPr>
        <w:pStyle w:val="BodyText"/>
        <w:tabs>
          <w:tab w:pos="2650" w:val="left" w:leader="none"/>
        </w:tabs>
        <w:spacing w:line="105" w:lineRule="exact"/>
        <w:ind w:left="756"/>
        <w:rPr>
          <w:rFonts w:ascii="Arial MT"/>
          <w:position w:val="6"/>
        </w:rPr>
      </w:pPr>
      <w:r>
        <w:rPr>
          <w:rFonts w:ascii="Arial MT"/>
          <w:position w:val="6"/>
        </w:rPr>
        <mc:AlternateContent>
          <mc:Choice Requires="wps">
            <w:drawing>
              <wp:anchor distT="0" distB="0" distL="0" distR="0" allowOverlap="1" layoutInCell="1" locked="0" behindDoc="0" simplePos="0" relativeHeight="15811584">
                <wp:simplePos x="0" y="0"/>
                <wp:positionH relativeFrom="page">
                  <wp:posOffset>4597670</wp:posOffset>
                </wp:positionH>
                <wp:positionV relativeFrom="paragraph">
                  <wp:posOffset>102416</wp:posOffset>
                </wp:positionV>
                <wp:extent cx="77470" cy="172085"/>
                <wp:effectExtent l="0" t="0" r="0" b="0"/>
                <wp:wrapNone/>
                <wp:docPr id="1185" name="Group 1185"/>
                <wp:cNvGraphicFramePr>
                  <a:graphicFrameLocks/>
                </wp:cNvGraphicFramePr>
                <a:graphic>
                  <a:graphicData uri="http://schemas.microsoft.com/office/word/2010/wordprocessingGroup">
                    <wpg:wgp>
                      <wpg:cNvPr id="1185" name="Group 1185"/>
                      <wpg:cNvGrpSpPr/>
                      <wpg:grpSpPr>
                        <a:xfrm>
                          <a:off x="0" y="0"/>
                          <a:ext cx="77470" cy="172085"/>
                          <a:chExt cx="77470" cy="172085"/>
                        </a:xfrm>
                      </wpg:grpSpPr>
                      <wps:wsp>
                        <wps:cNvPr id="1186" name="Graphic 1186"/>
                        <wps:cNvSpPr/>
                        <wps:spPr>
                          <a:xfrm>
                            <a:off x="38531" y="0"/>
                            <a:ext cx="1270" cy="105410"/>
                          </a:xfrm>
                          <a:custGeom>
                            <a:avLst/>
                            <a:gdLst/>
                            <a:ahLst/>
                            <a:cxnLst/>
                            <a:rect l="l" t="t" r="r" b="b"/>
                            <a:pathLst>
                              <a:path w="0" h="105410">
                                <a:moveTo>
                                  <a:pt x="0" y="0"/>
                                </a:moveTo>
                                <a:lnTo>
                                  <a:pt x="0" y="105007"/>
                                </a:lnTo>
                              </a:path>
                            </a:pathLst>
                          </a:custGeom>
                          <a:ln w="11849">
                            <a:solidFill>
                              <a:srgbClr val="2E3092"/>
                            </a:solidFill>
                            <a:prstDash val="solid"/>
                          </a:ln>
                        </wps:spPr>
                        <wps:bodyPr wrap="square" lIns="0" tIns="0" rIns="0" bIns="0" rtlCol="0">
                          <a:prstTxWarp prst="textNoShape">
                            <a:avLst/>
                          </a:prstTxWarp>
                          <a:noAutofit/>
                        </wps:bodyPr>
                      </wps:wsp>
                      <wps:wsp>
                        <wps:cNvPr id="1187" name="Graphic 1187"/>
                        <wps:cNvSpPr/>
                        <wps:spPr>
                          <a:xfrm>
                            <a:off x="0" y="77621"/>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62.021301pt;margin-top:8.064259pt;width:6.1pt;height:13.55pt;mso-position-horizontal-relative:page;mso-position-vertical-relative:paragraph;z-index:15811584" id="docshapegroup944" coordorigin="7240,161" coordsize="122,271">
                <v:line style="position:absolute" from="7301,161" to="7301,327" stroked="true" strokeweight=".933007pt" strokecolor="#2e3092">
                  <v:stroke dashstyle="solid"/>
                </v:line>
                <v:shape style="position:absolute;left:7240;top:283;width:122;height:149" id="docshape945" coordorigin="7240,284" coordsize="122,149" path="m7362,284l7301,319,7240,284,7301,432,7362,284xe" filled="true" fillcolor="#2e3092" stroked="false">
                  <v:path arrowok="t"/>
                  <v:fill type="solid"/>
                </v:shape>
                <w10:wrap type="none"/>
              </v:group>
            </w:pict>
          </mc:Fallback>
        </mc:AlternateContent>
      </w:r>
      <w:r>
        <w:rPr>
          <w:rFonts w:ascii="Arial MT"/>
          <w:color w:val="231F20"/>
          <w:spacing w:val="-2"/>
        </w:rPr>
        <w:t>pendular</w:t>
      </w:r>
      <w:r>
        <w:rPr>
          <w:rFonts w:ascii="Arial MT"/>
          <w:color w:val="231F20"/>
        </w:rPr>
        <w:tab/>
      </w:r>
      <w:r>
        <w:rPr>
          <w:rFonts w:ascii="Arial MT"/>
          <w:color w:val="231F20"/>
          <w:position w:val="6"/>
        </w:rPr>
        <w:t>MRI</w:t>
      </w:r>
      <w:r>
        <w:rPr>
          <w:rFonts w:ascii="Arial MT"/>
          <w:color w:val="231F20"/>
          <w:spacing w:val="-2"/>
          <w:position w:val="6"/>
        </w:rPr>
        <w:t> </w:t>
      </w:r>
      <w:r>
        <w:rPr>
          <w:rFonts w:ascii="Arial MT"/>
          <w:color w:val="231F20"/>
          <w:spacing w:val="-4"/>
          <w:position w:val="6"/>
        </w:rPr>
        <w:t>scan</w:t>
      </w:r>
    </w:p>
    <w:p>
      <w:pPr>
        <w:spacing w:line="240" w:lineRule="auto" w:before="0"/>
        <w:rPr>
          <w:rFonts w:ascii="Arial MT"/>
          <w:sz w:val="13"/>
        </w:rPr>
      </w:pPr>
      <w:r>
        <w:rPr/>
        <w:br w:type="column"/>
      </w:r>
      <w:r>
        <w:rPr>
          <w:rFonts w:ascii="Arial MT"/>
          <w:sz w:val="13"/>
        </w:rPr>
      </w:r>
    </w:p>
    <w:p>
      <w:pPr>
        <w:pStyle w:val="BodyText"/>
        <w:spacing w:before="30"/>
        <w:rPr>
          <w:rFonts w:ascii="Arial MT"/>
        </w:rPr>
      </w:pPr>
    </w:p>
    <w:p>
      <w:pPr>
        <w:pStyle w:val="BodyText"/>
        <w:ind w:left="142"/>
        <w:rPr>
          <w:rFonts w:ascii="Arial MT"/>
        </w:rPr>
      </w:pPr>
      <w:r>
        <w:rPr>
          <w:rFonts w:ascii="Arial MT"/>
          <w:color w:val="231F20"/>
          <w:spacing w:val="-8"/>
        </w:rPr>
        <w:t>Yes</w:t>
      </w:r>
    </w:p>
    <w:p>
      <w:pPr>
        <w:spacing w:line="240" w:lineRule="auto" w:before="0"/>
        <w:rPr>
          <w:rFonts w:ascii="Arial MT"/>
          <w:sz w:val="13"/>
        </w:rPr>
      </w:pPr>
      <w:r>
        <w:rPr/>
        <w:br w:type="column"/>
      </w:r>
      <w:r>
        <w:rPr>
          <w:rFonts w:ascii="Arial MT"/>
          <w:sz w:val="13"/>
        </w:rPr>
      </w:r>
    </w:p>
    <w:p>
      <w:pPr>
        <w:pStyle w:val="BodyText"/>
        <w:spacing w:before="139"/>
        <w:rPr>
          <w:rFonts w:ascii="Arial MT"/>
        </w:rPr>
      </w:pPr>
    </w:p>
    <w:p>
      <w:pPr>
        <w:pStyle w:val="BodyText"/>
        <w:spacing w:line="134" w:lineRule="exact"/>
        <w:ind w:left="200"/>
        <w:rPr>
          <w:rFonts w:ascii="Arial MT"/>
        </w:rPr>
      </w:pPr>
      <w:r>
        <w:rPr>
          <w:rFonts w:ascii="Arial MT"/>
          <w:color w:val="231F20"/>
        </w:rPr>
        <w:t>Neurologic </w:t>
      </w:r>
      <w:r>
        <w:rPr>
          <w:rFonts w:ascii="Arial MT"/>
          <w:color w:val="231F20"/>
          <w:spacing w:val="-2"/>
        </w:rPr>
        <w:t>disorder</w:t>
      </w:r>
    </w:p>
    <w:p>
      <w:pPr>
        <w:pStyle w:val="BodyText"/>
        <w:spacing w:after="0" w:line="134" w:lineRule="exact"/>
        <w:rPr>
          <w:rFonts w:ascii="Arial MT"/>
        </w:rPr>
        <w:sectPr>
          <w:type w:val="continuous"/>
          <w:pgSz w:w="11900" w:h="16840"/>
          <w:pgMar w:header="0" w:footer="0" w:top="620" w:bottom="280" w:left="708" w:right="566"/>
          <w:cols w:num="5" w:equalWidth="0">
            <w:col w:w="2428" w:space="40"/>
            <w:col w:w="1185" w:space="39"/>
            <w:col w:w="3203" w:space="39"/>
            <w:col w:w="356" w:space="39"/>
            <w:col w:w="3297"/>
          </w:cols>
        </w:sectPr>
      </w:pPr>
    </w:p>
    <w:p>
      <w:pPr>
        <w:pStyle w:val="BodyText"/>
        <w:spacing w:line="127" w:lineRule="exact"/>
        <w:ind w:left="1055"/>
        <w:rPr>
          <w:rFonts w:ascii="Arial MT"/>
        </w:rPr>
      </w:pPr>
      <w:r>
        <w:rPr>
          <w:rFonts w:ascii="Arial MT"/>
          <w:color w:val="231F20"/>
        </w:rPr>
        <w:t>Congenital</w:t>
      </w:r>
      <w:r>
        <w:rPr>
          <w:rFonts w:ascii="Arial MT"/>
          <w:color w:val="231F20"/>
          <w:spacing w:val="-9"/>
        </w:rPr>
        <w:t> </w:t>
      </w:r>
      <w:r>
        <w:rPr>
          <w:rFonts w:ascii="Arial MT"/>
          <w:color w:val="231F20"/>
          <w:spacing w:val="-2"/>
        </w:rPr>
        <w:t>glaucoma</w:t>
      </w:r>
    </w:p>
    <w:p>
      <w:pPr>
        <w:pStyle w:val="BodyText"/>
        <w:spacing w:line="235" w:lineRule="auto" w:before="1"/>
        <w:ind w:left="1055"/>
        <w:rPr>
          <w:rFonts w:ascii="Arial MT"/>
        </w:rPr>
      </w:pPr>
      <w:r>
        <w:rPr>
          <w:rFonts w:ascii="Arial MT"/>
          <w:color w:val="231F20"/>
          <w:spacing w:val="-2"/>
        </w:rPr>
        <w:t>Retinoblastoma</w:t>
      </w:r>
      <w:r>
        <w:rPr>
          <w:rFonts w:ascii="Arial MT"/>
          <w:color w:val="231F20"/>
          <w:spacing w:val="40"/>
        </w:rPr>
        <w:t> </w:t>
      </w:r>
      <w:r>
        <w:rPr>
          <w:rFonts w:ascii="Arial MT"/>
          <w:color w:val="231F20"/>
          <w:spacing w:val="-2"/>
        </w:rPr>
        <w:t>Toxoplasmosis</w:t>
      </w:r>
    </w:p>
    <w:p>
      <w:pPr>
        <w:pStyle w:val="BodyText"/>
        <w:spacing w:line="117" w:lineRule="exact"/>
        <w:ind w:left="342"/>
        <w:rPr>
          <w:rFonts w:ascii="Arial MT"/>
        </w:rPr>
      </w:pPr>
      <w:r>
        <w:rPr/>
        <w:br w:type="column"/>
      </w:r>
      <w:r>
        <w:rPr>
          <w:rFonts w:ascii="Arial MT"/>
          <w:color w:val="231F20"/>
        </w:rPr>
        <w:t>Bilateral</w:t>
      </w:r>
      <w:r>
        <w:rPr>
          <w:rFonts w:ascii="Arial MT"/>
          <w:color w:val="231F20"/>
          <w:spacing w:val="-7"/>
        </w:rPr>
        <w:t> </w:t>
      </w:r>
      <w:r>
        <w:rPr>
          <w:rFonts w:ascii="Arial MT"/>
          <w:color w:val="231F20"/>
        </w:rPr>
        <w:t>retinal</w:t>
      </w:r>
      <w:r>
        <w:rPr>
          <w:rFonts w:ascii="Arial MT"/>
          <w:color w:val="231F20"/>
          <w:spacing w:val="-7"/>
        </w:rPr>
        <w:t> </w:t>
      </w:r>
      <w:r>
        <w:rPr>
          <w:rFonts w:ascii="Arial MT"/>
          <w:color w:val="231F20"/>
          <w:spacing w:val="-2"/>
        </w:rPr>
        <w:t>dysplasia</w:t>
      </w:r>
    </w:p>
    <w:p>
      <w:pPr>
        <w:pStyle w:val="BodyText"/>
        <w:tabs>
          <w:tab w:pos="2475" w:val="left" w:leader="none"/>
        </w:tabs>
        <w:spacing w:line="146" w:lineRule="exact" w:before="14"/>
        <w:ind w:left="342" w:right="38"/>
        <w:rPr>
          <w:rFonts w:ascii="Arial MT"/>
        </w:rPr>
      </w:pPr>
      <w:r>
        <w:rPr>
          <w:rFonts w:ascii="Arial MT"/>
        </w:rPr>
        <mc:AlternateContent>
          <mc:Choice Requires="wps">
            <w:drawing>
              <wp:anchor distT="0" distB="0" distL="0" distR="0" allowOverlap="1" layoutInCell="1" locked="0" behindDoc="1" simplePos="0" relativeHeight="475237888">
                <wp:simplePos x="0" y="0"/>
                <wp:positionH relativeFrom="page">
                  <wp:posOffset>3418439</wp:posOffset>
                </wp:positionH>
                <wp:positionV relativeFrom="paragraph">
                  <wp:posOffset>-3801</wp:posOffset>
                </wp:positionV>
                <wp:extent cx="77470" cy="327660"/>
                <wp:effectExtent l="0" t="0" r="0" b="0"/>
                <wp:wrapNone/>
                <wp:docPr id="1188" name="Group 1188"/>
                <wp:cNvGraphicFramePr>
                  <a:graphicFrameLocks/>
                </wp:cNvGraphicFramePr>
                <a:graphic>
                  <a:graphicData uri="http://schemas.microsoft.com/office/word/2010/wordprocessingGroup">
                    <wpg:wgp>
                      <wpg:cNvPr id="1188" name="Group 1188"/>
                      <wpg:cNvGrpSpPr/>
                      <wpg:grpSpPr>
                        <a:xfrm>
                          <a:off x="0" y="0"/>
                          <a:ext cx="77470" cy="327660"/>
                          <a:chExt cx="77470" cy="327660"/>
                        </a:xfrm>
                      </wpg:grpSpPr>
                      <wps:wsp>
                        <wps:cNvPr id="1189" name="Graphic 1189"/>
                        <wps:cNvSpPr/>
                        <wps:spPr>
                          <a:xfrm>
                            <a:off x="38531" y="0"/>
                            <a:ext cx="1270" cy="260985"/>
                          </a:xfrm>
                          <a:custGeom>
                            <a:avLst/>
                            <a:gdLst/>
                            <a:ahLst/>
                            <a:cxnLst/>
                            <a:rect l="l" t="t" r="r" b="b"/>
                            <a:pathLst>
                              <a:path w="0" h="260985">
                                <a:moveTo>
                                  <a:pt x="0" y="0"/>
                                </a:moveTo>
                                <a:lnTo>
                                  <a:pt x="0" y="260527"/>
                                </a:lnTo>
                              </a:path>
                            </a:pathLst>
                          </a:custGeom>
                          <a:ln w="11849">
                            <a:solidFill>
                              <a:srgbClr val="2E3092"/>
                            </a:solidFill>
                            <a:prstDash val="solid"/>
                          </a:ln>
                        </wps:spPr>
                        <wps:bodyPr wrap="square" lIns="0" tIns="0" rIns="0" bIns="0" rtlCol="0">
                          <a:prstTxWarp prst="textNoShape">
                            <a:avLst/>
                          </a:prstTxWarp>
                          <a:noAutofit/>
                        </wps:bodyPr>
                      </wps:wsp>
                      <wps:wsp>
                        <wps:cNvPr id="1190" name="Graphic 1190"/>
                        <wps:cNvSpPr/>
                        <wps:spPr>
                          <a:xfrm>
                            <a:off x="0" y="233128"/>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269.168488pt;margin-top:-.299336pt;width:6.1pt;height:25.8pt;mso-position-horizontal-relative:page;mso-position-vertical-relative:paragraph;z-index:-28078592" id="docshapegroup946" coordorigin="5383,-6" coordsize="122,516">
                <v:line style="position:absolute" from="5444,-6" to="5444,404" stroked="true" strokeweight=".933007pt" strokecolor="#2e3092">
                  <v:stroke dashstyle="solid"/>
                </v:line>
                <v:shape style="position:absolute;left:5383;top:361;width:122;height:149" id="docshape947" coordorigin="5383,361" coordsize="122,149" path="m5505,361l5444,396,5383,361,5444,510,5505,361xe" filled="true" fillcolor="#2e3092" stroked="false">
                  <v:path arrowok="t"/>
                  <v:fill type="solid"/>
                </v:shape>
                <w10:wrap type="none"/>
              </v:group>
            </w:pict>
          </mc:Fallback>
        </mc:AlternateContent>
      </w:r>
      <w:r>
        <w:rPr>
          <w:rFonts w:ascii="Arial MT"/>
          <w:color w:val="231F20"/>
        </w:rPr>
        <w:t>Macular</w:t>
      </w:r>
      <w:r>
        <w:rPr>
          <w:rFonts w:ascii="Arial MT"/>
          <w:color w:val="231F20"/>
          <w:spacing w:val="-5"/>
        </w:rPr>
        <w:t> </w:t>
      </w:r>
      <w:r>
        <w:rPr>
          <w:rFonts w:ascii="Arial MT"/>
          <w:color w:val="231F20"/>
        </w:rPr>
        <w:t>coloboma</w:t>
        <w:tab/>
      </w:r>
      <w:r>
        <w:rPr>
          <w:rFonts w:ascii="Arial MT"/>
          <w:color w:val="231F20"/>
          <w:spacing w:val="-6"/>
          <w:position w:val="2"/>
        </w:rPr>
        <w:t>No</w:t>
      </w:r>
      <w:r>
        <w:rPr>
          <w:rFonts w:ascii="Arial MT"/>
          <w:color w:val="231F20"/>
          <w:spacing w:val="40"/>
          <w:position w:val="2"/>
        </w:rPr>
        <w:t> </w:t>
      </w:r>
      <w:r>
        <w:rPr>
          <w:rFonts w:ascii="Arial MT"/>
          <w:color w:val="231F20"/>
        </w:rPr>
        <w:t>Juvenile</w:t>
      </w:r>
      <w:r>
        <w:rPr>
          <w:rFonts w:ascii="Arial MT"/>
          <w:color w:val="231F20"/>
          <w:spacing w:val="-5"/>
        </w:rPr>
        <w:t> </w:t>
      </w:r>
      <w:r>
        <w:rPr>
          <w:rFonts w:ascii="Arial MT"/>
          <w:color w:val="231F20"/>
        </w:rPr>
        <w:t>retinoschisis</w:t>
      </w:r>
    </w:p>
    <w:p>
      <w:pPr>
        <w:pStyle w:val="BodyText"/>
        <w:spacing w:line="434" w:lineRule="auto" w:before="53"/>
        <w:ind w:left="1055" w:right="3297" w:firstLine="301"/>
        <w:rPr>
          <w:rFonts w:ascii="Arial MT"/>
        </w:rPr>
      </w:pPr>
      <w:r>
        <w:rPr/>
        <w:br w:type="column"/>
      </w:r>
      <w:r>
        <w:rPr>
          <w:rFonts w:ascii="Arial MT"/>
          <w:color w:val="231F20"/>
          <w:spacing w:val="-6"/>
        </w:rPr>
        <w:t>No</w:t>
      </w:r>
      <w:r>
        <w:rPr>
          <w:rFonts w:ascii="Arial MT"/>
          <w:color w:val="231F20"/>
          <w:spacing w:val="40"/>
        </w:rPr>
        <w:t> </w:t>
      </w:r>
      <w:r>
        <w:rPr>
          <w:rFonts w:ascii="Arial MT"/>
          <w:color w:val="231F20"/>
        </w:rPr>
        <w:t>Spasmus</w:t>
      </w:r>
      <w:r>
        <w:rPr>
          <w:rFonts w:ascii="Arial MT"/>
          <w:color w:val="231F20"/>
          <w:spacing w:val="-10"/>
        </w:rPr>
        <w:t> </w:t>
      </w:r>
      <w:r>
        <w:rPr>
          <w:rFonts w:ascii="Arial MT"/>
          <w:color w:val="231F20"/>
        </w:rPr>
        <w:t>nutans</w:t>
      </w:r>
    </w:p>
    <w:p>
      <w:pPr>
        <w:pStyle w:val="BodyText"/>
        <w:spacing w:after="0" w:line="434" w:lineRule="auto"/>
        <w:rPr>
          <w:rFonts w:ascii="Arial MT"/>
        </w:rPr>
        <w:sectPr>
          <w:type w:val="continuous"/>
          <w:pgSz w:w="11900" w:h="16840"/>
          <w:pgMar w:header="0" w:footer="0" w:top="620" w:bottom="280" w:left="708" w:right="566"/>
          <w:cols w:num="3" w:equalWidth="0">
            <w:col w:w="2282" w:space="40"/>
            <w:col w:w="2683" w:space="293"/>
            <w:col w:w="5328"/>
          </w:cols>
        </w:sectPr>
      </w:pPr>
    </w:p>
    <w:p>
      <w:pPr>
        <w:pStyle w:val="BodyText"/>
        <w:rPr>
          <w:rFonts w:ascii="Arial MT"/>
        </w:rPr>
      </w:pPr>
    </w:p>
    <w:p>
      <w:pPr>
        <w:pStyle w:val="BodyText"/>
        <w:rPr>
          <w:rFonts w:ascii="Arial MT"/>
        </w:rPr>
      </w:pPr>
    </w:p>
    <w:p>
      <w:pPr>
        <w:pStyle w:val="BodyText"/>
        <w:spacing w:before="138"/>
        <w:rPr>
          <w:rFonts w:ascii="Arial MT"/>
        </w:rPr>
      </w:pPr>
    </w:p>
    <w:p>
      <w:pPr>
        <w:pStyle w:val="BodyText"/>
        <w:ind w:left="1055"/>
        <w:rPr>
          <w:rFonts w:ascii="Arial MT"/>
        </w:rPr>
      </w:pPr>
      <w:r>
        <w:rPr>
          <w:rFonts w:ascii="Arial MT"/>
          <w:color w:val="231F20"/>
        </w:rPr>
        <w:t>Congenital</w:t>
      </w:r>
      <w:r>
        <w:rPr>
          <w:rFonts w:ascii="Arial MT"/>
          <w:color w:val="231F20"/>
          <w:spacing w:val="-9"/>
        </w:rPr>
        <w:t> </w:t>
      </w:r>
      <w:r>
        <w:rPr>
          <w:rFonts w:ascii="Arial MT"/>
          <w:color w:val="231F20"/>
          <w:spacing w:val="-2"/>
        </w:rPr>
        <w:t>motor</w:t>
      </w:r>
    </w:p>
    <w:p>
      <w:pPr>
        <w:spacing w:line="240" w:lineRule="auto" w:before="0"/>
        <w:rPr>
          <w:rFonts w:ascii="Arial MT"/>
          <w:sz w:val="13"/>
        </w:rPr>
      </w:pPr>
      <w:r>
        <w:rPr/>
        <w:br w:type="column"/>
      </w:r>
      <w:r>
        <w:rPr>
          <w:rFonts w:ascii="Arial MT"/>
          <w:sz w:val="13"/>
        </w:rPr>
      </w:r>
    </w:p>
    <w:p>
      <w:pPr>
        <w:pStyle w:val="BodyText"/>
        <w:rPr>
          <w:rFonts w:ascii="Arial MT"/>
        </w:rPr>
      </w:pPr>
    </w:p>
    <w:p>
      <w:pPr>
        <w:pStyle w:val="BodyText"/>
        <w:rPr>
          <w:rFonts w:ascii="Arial MT"/>
        </w:rPr>
      </w:pPr>
    </w:p>
    <w:p>
      <w:pPr>
        <w:pStyle w:val="BodyText"/>
        <w:spacing w:before="21"/>
        <w:rPr>
          <w:rFonts w:ascii="Arial MT"/>
        </w:rPr>
      </w:pPr>
    </w:p>
    <w:p>
      <w:pPr>
        <w:pStyle w:val="BodyText"/>
        <w:spacing w:line="136" w:lineRule="exact"/>
        <w:ind w:left="122"/>
        <w:rPr>
          <w:rFonts w:ascii="Arial MT"/>
        </w:rPr>
      </w:pPr>
      <w:r>
        <w:rPr>
          <w:rFonts w:ascii="Arial MT"/>
        </w:rPr>
        <mc:AlternateContent>
          <mc:Choice Requires="wps">
            <w:drawing>
              <wp:anchor distT="0" distB="0" distL="0" distR="0" allowOverlap="1" layoutInCell="1" locked="0" behindDoc="0" simplePos="0" relativeHeight="15811072">
                <wp:simplePos x="0" y="0"/>
                <wp:positionH relativeFrom="page">
                  <wp:posOffset>1729953</wp:posOffset>
                </wp:positionH>
                <wp:positionV relativeFrom="paragraph">
                  <wp:posOffset>86694</wp:posOffset>
                </wp:positionV>
                <wp:extent cx="353695" cy="77470"/>
                <wp:effectExtent l="0" t="0" r="0" b="0"/>
                <wp:wrapNone/>
                <wp:docPr id="1191" name="Group 1191"/>
                <wp:cNvGraphicFramePr>
                  <a:graphicFrameLocks/>
                </wp:cNvGraphicFramePr>
                <a:graphic>
                  <a:graphicData uri="http://schemas.microsoft.com/office/word/2010/wordprocessingGroup">
                    <wpg:wgp>
                      <wpg:cNvPr id="1191" name="Group 1191"/>
                      <wpg:cNvGrpSpPr/>
                      <wpg:grpSpPr>
                        <a:xfrm>
                          <a:off x="0" y="0"/>
                          <a:ext cx="353695" cy="77470"/>
                          <a:chExt cx="353695" cy="77470"/>
                        </a:xfrm>
                      </wpg:grpSpPr>
                      <wps:wsp>
                        <wps:cNvPr id="1192" name="Graphic 1192"/>
                        <wps:cNvSpPr/>
                        <wps:spPr>
                          <a:xfrm>
                            <a:off x="66935" y="38531"/>
                            <a:ext cx="287020" cy="1270"/>
                          </a:xfrm>
                          <a:custGeom>
                            <a:avLst/>
                            <a:gdLst/>
                            <a:ahLst/>
                            <a:cxnLst/>
                            <a:rect l="l" t="t" r="r" b="b"/>
                            <a:pathLst>
                              <a:path w="287020" h="0">
                                <a:moveTo>
                                  <a:pt x="286477"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193" name="Graphic 1193"/>
                        <wps:cNvSpPr/>
                        <wps:spPr>
                          <a:xfrm>
                            <a:off x="0" y="0"/>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36.216797pt;margin-top:6.82635pt;width:27.85pt;height:6.1pt;mso-position-horizontal-relative:page;mso-position-vertical-relative:paragraph;z-index:15811072" id="docshapegroup948" coordorigin="2724,137" coordsize="557,122">
                <v:line style="position:absolute" from="3281,197" to="2830,197" stroked="true" strokeweight=".933007pt" strokecolor="#2e3092">
                  <v:stroke dashstyle="solid"/>
                </v:line>
                <v:shape style="position:absolute;left:2724;top:136;width:149;height:122" id="docshape949" coordorigin="2724,137" coordsize="149,122" path="m2873,137l2724,197,2873,258,2838,197,2873,137xe" filled="true" fillcolor="#2e3092" stroked="false">
                  <v:path arrowok="t"/>
                  <v:fill type="solid"/>
                </v:shape>
                <w10:wrap type="none"/>
              </v:group>
            </w:pict>
          </mc:Fallback>
        </mc:AlternateContent>
      </w:r>
      <w:r>
        <w:rPr>
          <w:rFonts w:ascii="Arial MT"/>
          <w:color w:val="231F20"/>
          <w:spacing w:val="-5"/>
        </w:rPr>
        <w:t>Yes</w:t>
      </w:r>
    </w:p>
    <w:p>
      <w:pPr>
        <w:spacing w:line="240" w:lineRule="auto" w:before="0"/>
        <w:rPr>
          <w:rFonts w:ascii="Arial MT"/>
          <w:sz w:val="13"/>
        </w:rPr>
      </w:pPr>
      <w:r>
        <w:rPr/>
        <w:br w:type="column"/>
      </w:r>
      <w:r>
        <w:rPr>
          <w:rFonts w:ascii="Arial MT"/>
          <w:sz w:val="13"/>
        </w:rPr>
      </w:r>
    </w:p>
    <w:p>
      <w:pPr>
        <w:pStyle w:val="BodyText"/>
        <w:rPr>
          <w:rFonts w:ascii="Arial MT"/>
        </w:rPr>
      </w:pPr>
    </w:p>
    <w:p>
      <w:pPr>
        <w:pStyle w:val="BodyText"/>
        <w:rPr>
          <w:rFonts w:ascii="Arial MT"/>
        </w:rPr>
      </w:pPr>
    </w:p>
    <w:p>
      <w:pPr>
        <w:pStyle w:val="BodyText"/>
        <w:spacing w:before="21"/>
        <w:rPr>
          <w:rFonts w:ascii="Arial MT"/>
        </w:rPr>
      </w:pPr>
    </w:p>
    <w:p>
      <w:pPr>
        <w:pStyle w:val="BodyText"/>
        <w:spacing w:line="136" w:lineRule="exact"/>
        <w:jc w:val="right"/>
        <w:rPr>
          <w:rFonts w:ascii="Arial MT"/>
        </w:rPr>
      </w:pPr>
      <w:r>
        <w:rPr>
          <w:rFonts w:ascii="Arial MT"/>
          <w:color w:val="231F20"/>
          <w:spacing w:val="-5"/>
        </w:rPr>
        <w:t>Yes</w:t>
      </w:r>
    </w:p>
    <w:p>
      <w:pPr>
        <w:pStyle w:val="BodyText"/>
        <w:spacing w:line="235" w:lineRule="auto" w:before="43"/>
        <w:ind w:left="370" w:hanging="109"/>
        <w:rPr>
          <w:rFonts w:ascii="Arial MT"/>
        </w:rPr>
      </w:pPr>
      <w:r>
        <w:rPr/>
        <w:br w:type="column"/>
      </w:r>
      <w:r>
        <w:rPr>
          <w:rFonts w:ascii="Arial MT"/>
          <w:color w:val="231F20"/>
        </w:rPr>
        <w:t>?</w:t>
      </w:r>
      <w:r>
        <w:rPr>
          <w:rFonts w:ascii="Arial MT"/>
          <w:color w:val="231F20"/>
          <w:spacing w:val="-5"/>
        </w:rPr>
        <w:t> </w:t>
      </w:r>
      <w:r>
        <w:rPr>
          <w:rFonts w:ascii="Arial MT"/>
          <w:color w:val="231F20"/>
        </w:rPr>
        <w:t>Searching</w:t>
      </w:r>
      <w:r>
        <w:rPr>
          <w:rFonts w:ascii="Arial MT"/>
          <w:color w:val="231F20"/>
          <w:spacing w:val="40"/>
        </w:rPr>
        <w:t> </w:t>
      </w:r>
      <w:r>
        <w:rPr>
          <w:rFonts w:ascii="Arial MT"/>
          <w:color w:val="231F20"/>
          <w:spacing w:val="-2"/>
        </w:rPr>
        <w:t>nystagmus</w:t>
      </w:r>
    </w:p>
    <w:p>
      <w:pPr>
        <w:pStyle w:val="BodyText"/>
        <w:spacing w:before="36"/>
        <w:ind w:left="598"/>
        <w:rPr>
          <w:rFonts w:ascii="Arial MT"/>
        </w:rPr>
      </w:pPr>
      <w:r>
        <w:rPr>
          <w:rFonts w:ascii="Arial MT"/>
        </w:rPr>
        <mc:AlternateContent>
          <mc:Choice Requires="wps">
            <w:drawing>
              <wp:anchor distT="0" distB="0" distL="0" distR="0" allowOverlap="1" layoutInCell="1" locked="0" behindDoc="0" simplePos="0" relativeHeight="15823360">
                <wp:simplePos x="0" y="0"/>
                <wp:positionH relativeFrom="page">
                  <wp:posOffset>3727559</wp:posOffset>
                </wp:positionH>
                <wp:positionV relativeFrom="paragraph">
                  <wp:posOffset>-117375</wp:posOffset>
                </wp:positionV>
                <wp:extent cx="329565" cy="77470"/>
                <wp:effectExtent l="0" t="0" r="0" b="0"/>
                <wp:wrapNone/>
                <wp:docPr id="1194" name="Group 1194"/>
                <wp:cNvGraphicFramePr>
                  <a:graphicFrameLocks/>
                </wp:cNvGraphicFramePr>
                <a:graphic>
                  <a:graphicData uri="http://schemas.microsoft.com/office/word/2010/wordprocessingGroup">
                    <wpg:wgp>
                      <wpg:cNvPr id="1194" name="Group 1194"/>
                      <wpg:cNvGrpSpPr/>
                      <wpg:grpSpPr>
                        <a:xfrm>
                          <a:off x="0" y="0"/>
                          <a:ext cx="329565" cy="77470"/>
                          <a:chExt cx="329565" cy="77470"/>
                        </a:xfrm>
                      </wpg:grpSpPr>
                      <wps:wsp>
                        <wps:cNvPr id="1195" name="Graphic 1195"/>
                        <wps:cNvSpPr/>
                        <wps:spPr>
                          <a:xfrm>
                            <a:off x="0" y="38519"/>
                            <a:ext cx="262255" cy="1270"/>
                          </a:xfrm>
                          <a:custGeom>
                            <a:avLst/>
                            <a:gdLst/>
                            <a:ahLst/>
                            <a:cxnLst/>
                            <a:rect l="l" t="t" r="r" b="b"/>
                            <a:pathLst>
                              <a:path w="262255" h="0">
                                <a:moveTo>
                                  <a:pt x="0" y="0"/>
                                </a:moveTo>
                                <a:lnTo>
                                  <a:pt x="262020" y="0"/>
                                </a:lnTo>
                              </a:path>
                            </a:pathLst>
                          </a:custGeom>
                          <a:ln w="11849">
                            <a:solidFill>
                              <a:srgbClr val="2E3092"/>
                            </a:solidFill>
                            <a:prstDash val="solid"/>
                          </a:ln>
                        </wps:spPr>
                        <wps:bodyPr wrap="square" lIns="0" tIns="0" rIns="0" bIns="0" rtlCol="0">
                          <a:prstTxWarp prst="textNoShape">
                            <a:avLst/>
                          </a:prstTxWarp>
                          <a:noAutofit/>
                        </wps:bodyPr>
                      </wps:wsp>
                      <wps:wsp>
                        <wps:cNvPr id="1196" name="Graphic 1196"/>
                        <wps:cNvSpPr/>
                        <wps:spPr>
                          <a:xfrm>
                            <a:off x="234633" y="0"/>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293.508606pt;margin-top:-9.242146pt;width:25.95pt;height:6.1pt;mso-position-horizontal-relative:page;mso-position-vertical-relative:paragraph;z-index:15823360" id="docshapegroup950" coordorigin="5870,-185" coordsize="519,122">
                <v:line style="position:absolute" from="5870,-124" to="6283,-124" stroked="true" strokeweight=".933007pt" strokecolor="#2e3092">
                  <v:stroke dashstyle="solid"/>
                </v:line>
                <v:shape style="position:absolute;left:6239;top:-185;width:149;height:122" id="docshape951" coordorigin="6240,-185" coordsize="149,122" path="m6240,-185l6275,-124,6240,-64,6388,-124,6240,-185xe" filled="true" fillcolor="#2e3092" stroked="false">
                  <v:path arrowok="t"/>
                  <v:fill type="solid"/>
                </v:shape>
                <w10:wrap type="none"/>
              </v:group>
            </w:pict>
          </mc:Fallback>
        </mc:AlternateContent>
      </w:r>
      <w:r>
        <w:rPr>
          <w:position w:val="-14"/>
        </w:rPr>
        <w:drawing>
          <wp:inline distT="0" distB="0" distL="0" distR="0">
            <wp:extent cx="77063" cy="171944"/>
            <wp:effectExtent l="0" t="0" r="0" b="0"/>
            <wp:docPr id="1197" name="Image 1197"/>
            <wp:cNvGraphicFramePr>
              <a:graphicFrameLocks/>
            </wp:cNvGraphicFramePr>
            <a:graphic>
              <a:graphicData uri="http://schemas.openxmlformats.org/drawingml/2006/picture">
                <pic:pic>
                  <pic:nvPicPr>
                    <pic:cNvPr id="1197" name="Image 1197"/>
                    <pic:cNvPicPr/>
                  </pic:nvPicPr>
                  <pic:blipFill>
                    <a:blip r:embed="rId320" cstate="print"/>
                    <a:stretch>
                      <a:fillRect/>
                    </a:stretch>
                  </pic:blipFill>
                  <pic:spPr>
                    <a:xfrm>
                      <a:off x="0" y="0"/>
                      <a:ext cx="77063" cy="171944"/>
                    </a:xfrm>
                    <a:prstGeom prst="rect">
                      <a:avLst/>
                    </a:prstGeom>
                  </pic:spPr>
                </pic:pic>
              </a:graphicData>
            </a:graphic>
          </wp:inline>
        </w:drawing>
      </w:r>
      <w:r>
        <w:rPr>
          <w:position w:val="-14"/>
        </w:rPr>
      </w:r>
      <w:r>
        <w:rPr>
          <w:rFonts w:ascii="Arial MT"/>
          <w:color w:val="231F20"/>
          <w:spacing w:val="-5"/>
        </w:rPr>
        <w:t>No</w:t>
      </w:r>
    </w:p>
    <w:p>
      <w:pPr>
        <w:pStyle w:val="BodyText"/>
        <w:spacing w:line="102" w:lineRule="exact" w:before="8"/>
        <w:ind w:left="262"/>
        <w:rPr>
          <w:rFonts w:ascii="Arial MT"/>
        </w:rPr>
      </w:pPr>
      <w:r>
        <w:rPr>
          <w:rFonts w:ascii="Arial MT"/>
        </w:rPr>
        <mc:AlternateContent>
          <mc:Choice Requires="wps">
            <w:drawing>
              <wp:anchor distT="0" distB="0" distL="0" distR="0" allowOverlap="1" layoutInCell="1" locked="0" behindDoc="0" simplePos="0" relativeHeight="15810560">
                <wp:simplePos x="0" y="0"/>
                <wp:positionH relativeFrom="page">
                  <wp:posOffset>2684487</wp:posOffset>
                </wp:positionH>
                <wp:positionV relativeFrom="paragraph">
                  <wp:posOffset>70042</wp:posOffset>
                </wp:positionV>
                <wp:extent cx="479425" cy="77470"/>
                <wp:effectExtent l="0" t="0" r="0" b="0"/>
                <wp:wrapNone/>
                <wp:docPr id="1198" name="Group 1198"/>
                <wp:cNvGraphicFramePr>
                  <a:graphicFrameLocks/>
                </wp:cNvGraphicFramePr>
                <a:graphic>
                  <a:graphicData uri="http://schemas.microsoft.com/office/word/2010/wordprocessingGroup">
                    <wpg:wgp>
                      <wpg:cNvPr id="1198" name="Group 1198"/>
                      <wpg:cNvGrpSpPr/>
                      <wpg:grpSpPr>
                        <a:xfrm>
                          <a:off x="0" y="0"/>
                          <a:ext cx="479425" cy="77470"/>
                          <a:chExt cx="479425" cy="77470"/>
                        </a:xfrm>
                      </wpg:grpSpPr>
                      <wps:wsp>
                        <wps:cNvPr id="1199" name="Graphic 1199"/>
                        <wps:cNvSpPr/>
                        <wps:spPr>
                          <a:xfrm>
                            <a:off x="66923" y="38531"/>
                            <a:ext cx="412115" cy="1270"/>
                          </a:xfrm>
                          <a:custGeom>
                            <a:avLst/>
                            <a:gdLst/>
                            <a:ahLst/>
                            <a:cxnLst/>
                            <a:rect l="l" t="t" r="r" b="b"/>
                            <a:pathLst>
                              <a:path w="412115" h="0">
                                <a:moveTo>
                                  <a:pt x="412090"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200" name="Graphic 1200"/>
                        <wps:cNvSpPr/>
                        <wps:spPr>
                          <a:xfrm>
                            <a:off x="0" y="0"/>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211.376999pt;margin-top:5.515123pt;width:37.75pt;height:6.1pt;mso-position-horizontal-relative:page;mso-position-vertical-relative:paragraph;z-index:15810560" id="docshapegroup952" coordorigin="4228,110" coordsize="755,122">
                <v:line style="position:absolute" from="4982,171" to="4333,171" stroked="true" strokeweight=".933007pt" strokecolor="#2e3092">
                  <v:stroke dashstyle="solid"/>
                </v:line>
                <v:shape style="position:absolute;left:4227;top:110;width:149;height:122" id="docshape953" coordorigin="4228,110" coordsize="149,122" path="m4376,110l4228,171,4376,232,4341,171,4376,110xe" filled="true" fillcolor="#2e3092" stroked="false">
                  <v:path arrowok="t"/>
                  <v:fill type="solid"/>
                </v:shape>
                <w10:wrap type="none"/>
              </v:group>
            </w:pict>
          </mc:Fallback>
        </mc:AlternateContent>
      </w:r>
      <w:r>
        <w:rPr>
          <w:rFonts w:ascii="Arial MT"/>
          <w:color w:val="231F20"/>
        </w:rPr>
        <w:t>? </w:t>
      </w:r>
      <w:r>
        <w:rPr>
          <w:rFonts w:ascii="Arial MT"/>
          <w:color w:val="231F20"/>
          <w:spacing w:val="-2"/>
        </w:rPr>
        <w:t>Pendular</w:t>
      </w:r>
    </w:p>
    <w:p>
      <w:pPr>
        <w:spacing w:before="21"/>
        <w:ind w:left="139" w:right="0" w:firstLine="0"/>
        <w:jc w:val="left"/>
        <w:rPr>
          <w:rFonts w:ascii="Arial MT"/>
          <w:sz w:val="13"/>
        </w:rPr>
      </w:pPr>
      <w:r>
        <w:rPr/>
        <w:br w:type="column"/>
      </w:r>
      <w:r>
        <w:rPr>
          <w:rFonts w:ascii="Arial MT"/>
          <w:color w:val="231F20"/>
          <w:spacing w:val="-8"/>
          <w:sz w:val="13"/>
        </w:rPr>
        <w:t>Yes</w:t>
      </w:r>
    </w:p>
    <w:p>
      <w:pPr>
        <w:pStyle w:val="BodyText"/>
        <w:spacing w:before="129"/>
        <w:ind w:right="82"/>
        <w:jc w:val="right"/>
        <w:rPr>
          <w:rFonts w:ascii="Arial MT"/>
        </w:rPr>
      </w:pPr>
      <w:r>
        <w:rPr/>
        <w:br w:type="column"/>
      </w:r>
      <w:r>
        <w:rPr>
          <w:rFonts w:ascii="Arial MT"/>
          <w:color w:val="231F20"/>
        </w:rPr>
        <w:t>? ERG </w:t>
      </w:r>
      <w:r>
        <w:rPr>
          <w:rFonts w:ascii="Arial MT"/>
          <w:color w:val="231F20"/>
          <w:spacing w:val="-4"/>
        </w:rPr>
        <w:t>flat</w:t>
      </w:r>
    </w:p>
    <w:p>
      <w:pPr>
        <w:pStyle w:val="BodyText"/>
        <w:spacing w:before="93"/>
        <w:ind w:right="160"/>
        <w:jc w:val="right"/>
        <w:rPr>
          <w:rFonts w:ascii="Arial MT"/>
        </w:rPr>
      </w:pPr>
      <w:r>
        <w:rPr>
          <w:rFonts w:ascii="Arial MT"/>
        </w:rPr>
        <mc:AlternateContent>
          <mc:Choice Requires="wps">
            <w:drawing>
              <wp:anchor distT="0" distB="0" distL="0" distR="0" allowOverlap="1" layoutInCell="1" locked="0" behindDoc="0" simplePos="0" relativeHeight="15821824">
                <wp:simplePos x="0" y="0"/>
                <wp:positionH relativeFrom="page">
                  <wp:posOffset>4259944</wp:posOffset>
                </wp:positionH>
                <wp:positionV relativeFrom="paragraph">
                  <wp:posOffset>25746</wp:posOffset>
                </wp:positionV>
                <wp:extent cx="77470" cy="207645"/>
                <wp:effectExtent l="0" t="0" r="0" b="0"/>
                <wp:wrapNone/>
                <wp:docPr id="1201" name="Group 1201"/>
                <wp:cNvGraphicFramePr>
                  <a:graphicFrameLocks/>
                </wp:cNvGraphicFramePr>
                <a:graphic>
                  <a:graphicData uri="http://schemas.microsoft.com/office/word/2010/wordprocessingGroup">
                    <wpg:wgp>
                      <wpg:cNvPr id="1201" name="Group 1201"/>
                      <wpg:cNvGrpSpPr/>
                      <wpg:grpSpPr>
                        <a:xfrm>
                          <a:off x="0" y="0"/>
                          <a:ext cx="77470" cy="207645"/>
                          <a:chExt cx="77470" cy="207645"/>
                        </a:xfrm>
                      </wpg:grpSpPr>
                      <wps:wsp>
                        <wps:cNvPr id="1202" name="Graphic 1202"/>
                        <wps:cNvSpPr/>
                        <wps:spPr>
                          <a:xfrm>
                            <a:off x="38531" y="0"/>
                            <a:ext cx="1270" cy="140970"/>
                          </a:xfrm>
                          <a:custGeom>
                            <a:avLst/>
                            <a:gdLst/>
                            <a:ahLst/>
                            <a:cxnLst/>
                            <a:rect l="l" t="t" r="r" b="b"/>
                            <a:pathLst>
                              <a:path w="0" h="140970">
                                <a:moveTo>
                                  <a:pt x="0" y="0"/>
                                </a:moveTo>
                                <a:lnTo>
                                  <a:pt x="0" y="140389"/>
                                </a:lnTo>
                              </a:path>
                            </a:pathLst>
                          </a:custGeom>
                          <a:ln w="11849">
                            <a:solidFill>
                              <a:srgbClr val="2E3092"/>
                            </a:solidFill>
                            <a:prstDash val="solid"/>
                          </a:ln>
                        </wps:spPr>
                        <wps:bodyPr wrap="square" lIns="0" tIns="0" rIns="0" bIns="0" rtlCol="0">
                          <a:prstTxWarp prst="textNoShape">
                            <a:avLst/>
                          </a:prstTxWarp>
                          <a:noAutofit/>
                        </wps:bodyPr>
                      </wps:wsp>
                      <wps:wsp>
                        <wps:cNvPr id="1203" name="Graphic 1203"/>
                        <wps:cNvSpPr/>
                        <wps:spPr>
                          <a:xfrm>
                            <a:off x="0" y="112990"/>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35.428711pt;margin-top:2.027246pt;width:6.1pt;height:16.3500pt;mso-position-horizontal-relative:page;mso-position-vertical-relative:paragraph;z-index:15821824" id="docshapegroup954" coordorigin="6709,41" coordsize="122,327">
                <v:line style="position:absolute" from="6769,41" to="6769,262" stroked="true" strokeweight=".933007pt" strokecolor="#2e3092">
                  <v:stroke dashstyle="solid"/>
                </v:line>
                <v:shape style="position:absolute;left:6708;top:218;width:122;height:149" id="docshape955" coordorigin="6709,218" coordsize="122,149" path="m6830,218l6769,254,6709,218,6769,367,6830,218xe" filled="true" fillcolor="#2e3092" stroked="false">
                  <v:path arrowok="t"/>
                  <v:fill type="solid"/>
                </v:shape>
                <w10:wrap type="none"/>
              </v:group>
            </w:pict>
          </mc:Fallback>
        </mc:AlternateContent>
      </w:r>
      <w:r>
        <w:rPr>
          <w:rFonts w:ascii="Arial MT"/>
          <w:color w:val="231F20"/>
          <w:spacing w:val="-5"/>
        </w:rPr>
        <w:t>No</w:t>
      </w:r>
    </w:p>
    <w:p>
      <w:pPr>
        <w:pStyle w:val="BodyText"/>
        <w:spacing w:line="102" w:lineRule="exact" w:before="133"/>
        <w:ind w:left="162"/>
        <w:rPr>
          <w:rFonts w:ascii="Arial MT"/>
        </w:rPr>
      </w:pPr>
      <w:r>
        <w:rPr>
          <w:rFonts w:ascii="Arial MT"/>
          <w:color w:val="231F20"/>
        </w:rPr>
        <w:t>? Optic </w:t>
      </w:r>
      <w:r>
        <w:rPr>
          <w:rFonts w:ascii="Arial MT"/>
          <w:color w:val="231F20"/>
          <w:spacing w:val="-2"/>
        </w:rPr>
        <w:t>nerve</w:t>
      </w:r>
    </w:p>
    <w:p>
      <w:pPr>
        <w:spacing w:before="21"/>
        <w:ind w:left="30" w:right="0" w:firstLine="0"/>
        <w:jc w:val="left"/>
        <w:rPr>
          <w:rFonts w:ascii="Arial MT"/>
          <w:sz w:val="13"/>
        </w:rPr>
      </w:pPr>
      <w:r>
        <w:rPr/>
        <w:br w:type="column"/>
      </w:r>
      <w:r>
        <w:rPr>
          <w:rFonts w:ascii="Arial MT"/>
          <w:color w:val="231F20"/>
          <w:spacing w:val="-5"/>
          <w:sz w:val="13"/>
        </w:rPr>
        <w:t>Yes</w:t>
      </w:r>
    </w:p>
    <w:p>
      <w:pPr>
        <w:pStyle w:val="BodyText"/>
        <w:rPr>
          <w:rFonts w:ascii="Arial MT"/>
        </w:rPr>
      </w:pPr>
    </w:p>
    <w:p>
      <w:pPr>
        <w:pStyle w:val="BodyText"/>
        <w:rPr>
          <w:rFonts w:ascii="Arial MT"/>
        </w:rPr>
      </w:pPr>
    </w:p>
    <w:p>
      <w:pPr>
        <w:pStyle w:val="BodyText"/>
        <w:spacing w:before="15"/>
        <w:rPr>
          <w:rFonts w:ascii="Arial MT"/>
        </w:rPr>
      </w:pPr>
    </w:p>
    <w:p>
      <w:pPr>
        <w:pStyle w:val="BodyText"/>
        <w:spacing w:line="121" w:lineRule="exact"/>
        <w:ind w:left="118"/>
        <w:rPr>
          <w:rFonts w:ascii="Arial MT"/>
        </w:rPr>
      </w:pPr>
      <w:r>
        <w:rPr>
          <w:rFonts w:ascii="Arial MT"/>
        </w:rPr>
        <mc:AlternateContent>
          <mc:Choice Requires="wps">
            <w:drawing>
              <wp:anchor distT="0" distB="0" distL="0" distR="0" allowOverlap="1" layoutInCell="1" locked="0" behindDoc="1" simplePos="0" relativeHeight="475239936">
                <wp:simplePos x="0" y="0"/>
                <wp:positionH relativeFrom="page">
                  <wp:posOffset>4585724</wp:posOffset>
                </wp:positionH>
                <wp:positionV relativeFrom="paragraph">
                  <wp:posOffset>71148</wp:posOffset>
                </wp:positionV>
                <wp:extent cx="455295" cy="95885"/>
                <wp:effectExtent l="0" t="0" r="0" b="0"/>
                <wp:wrapNone/>
                <wp:docPr id="1204" name="Group 1204"/>
                <wp:cNvGraphicFramePr>
                  <a:graphicFrameLocks/>
                </wp:cNvGraphicFramePr>
                <a:graphic>
                  <a:graphicData uri="http://schemas.microsoft.com/office/word/2010/wordprocessingGroup">
                    <wpg:wgp>
                      <wpg:cNvPr id="1204" name="Group 1204"/>
                      <wpg:cNvGrpSpPr/>
                      <wpg:grpSpPr>
                        <a:xfrm>
                          <a:off x="0" y="0"/>
                          <a:ext cx="455295" cy="95885"/>
                          <a:chExt cx="455295" cy="95885"/>
                        </a:xfrm>
                      </wpg:grpSpPr>
                      <pic:pic>
                        <pic:nvPicPr>
                          <pic:cNvPr id="1205" name="Image 1205"/>
                          <pic:cNvPicPr/>
                        </pic:nvPicPr>
                        <pic:blipFill>
                          <a:blip r:embed="rId321" cstate="print"/>
                          <a:stretch>
                            <a:fillRect/>
                          </a:stretch>
                        </pic:blipFill>
                        <pic:spPr>
                          <a:xfrm>
                            <a:off x="359409" y="0"/>
                            <a:ext cx="95717" cy="95729"/>
                          </a:xfrm>
                          <a:prstGeom prst="rect">
                            <a:avLst/>
                          </a:prstGeom>
                        </pic:spPr>
                      </pic:pic>
                      <wps:wsp>
                        <wps:cNvPr id="1206" name="Graphic 1206"/>
                        <wps:cNvSpPr/>
                        <wps:spPr>
                          <a:xfrm>
                            <a:off x="0" y="50134"/>
                            <a:ext cx="262255" cy="1270"/>
                          </a:xfrm>
                          <a:custGeom>
                            <a:avLst/>
                            <a:gdLst/>
                            <a:ahLst/>
                            <a:cxnLst/>
                            <a:rect l="l" t="t" r="r" b="b"/>
                            <a:pathLst>
                              <a:path w="262255" h="0">
                                <a:moveTo>
                                  <a:pt x="0" y="0"/>
                                </a:moveTo>
                                <a:lnTo>
                                  <a:pt x="262009" y="0"/>
                                </a:lnTo>
                              </a:path>
                            </a:pathLst>
                          </a:custGeom>
                          <a:ln w="11849">
                            <a:solidFill>
                              <a:srgbClr val="2E3092"/>
                            </a:solidFill>
                            <a:prstDash val="solid"/>
                          </a:ln>
                        </wps:spPr>
                        <wps:bodyPr wrap="square" lIns="0" tIns="0" rIns="0" bIns="0" rtlCol="0">
                          <a:prstTxWarp prst="textNoShape">
                            <a:avLst/>
                          </a:prstTxWarp>
                          <a:noAutofit/>
                        </wps:bodyPr>
                      </wps:wsp>
                      <wps:wsp>
                        <wps:cNvPr id="1207" name="Graphic 1207"/>
                        <wps:cNvSpPr/>
                        <wps:spPr>
                          <a:xfrm>
                            <a:off x="234622" y="11602"/>
                            <a:ext cx="94615" cy="77470"/>
                          </a:xfrm>
                          <a:custGeom>
                            <a:avLst/>
                            <a:gdLst/>
                            <a:ahLst/>
                            <a:cxnLst/>
                            <a:rect l="l" t="t" r="r" b="b"/>
                            <a:pathLst>
                              <a:path w="94615" h="77470">
                                <a:moveTo>
                                  <a:pt x="0" y="0"/>
                                </a:moveTo>
                                <a:lnTo>
                                  <a:pt x="22377" y="38531"/>
                                </a:lnTo>
                                <a:lnTo>
                                  <a:pt x="0" y="77063"/>
                                </a:lnTo>
                                <a:lnTo>
                                  <a:pt x="94322" y="38531"/>
                                </a:lnTo>
                                <a:lnTo>
                                  <a:pt x="0" y="0"/>
                                </a:lnTo>
                                <a:close/>
                              </a:path>
                            </a:pathLst>
                          </a:custGeom>
                          <a:solidFill>
                            <a:srgbClr val="2E3092"/>
                          </a:solidFill>
                        </wps:spPr>
                        <wps:bodyPr wrap="square" lIns="0" tIns="0" rIns="0" bIns="0" rtlCol="0">
                          <a:prstTxWarp prst="textNoShape">
                            <a:avLst/>
                          </a:prstTxWarp>
                          <a:noAutofit/>
                        </wps:bodyPr>
                      </wps:wsp>
                      <wps:wsp>
                        <wps:cNvPr id="1208" name="Textbox 1208"/>
                        <wps:cNvSpPr txBox="1"/>
                        <wps:spPr>
                          <a:xfrm>
                            <a:off x="0" y="0"/>
                            <a:ext cx="455295" cy="95885"/>
                          </a:xfrm>
                          <a:prstGeom prst="rect">
                            <a:avLst/>
                          </a:prstGeom>
                        </wps:spPr>
                        <wps:txbx>
                          <w:txbxContent>
                            <w:p>
                              <w:pPr>
                                <w:spacing w:line="137" w:lineRule="exact" w:before="0"/>
                                <w:ind w:left="0" w:right="34" w:firstLine="0"/>
                                <w:jc w:val="right"/>
                                <w:rPr>
                                  <w:rFonts w:ascii="Arial MT"/>
                                  <w:sz w:val="13"/>
                                </w:rPr>
                              </w:pPr>
                              <w:r>
                                <w:rPr>
                                  <w:rFonts w:ascii="Arial MT"/>
                                  <w:color w:val="231F20"/>
                                  <w:spacing w:val="-10"/>
                                  <w:sz w:val="13"/>
                                </w:rPr>
                                <w:t>+</w:t>
                              </w:r>
                            </w:p>
                          </w:txbxContent>
                        </wps:txbx>
                        <wps:bodyPr wrap="square" lIns="0" tIns="0" rIns="0" bIns="0" rtlCol="0">
                          <a:noAutofit/>
                        </wps:bodyPr>
                      </wps:wsp>
                    </wpg:wgp>
                  </a:graphicData>
                </a:graphic>
              </wp:anchor>
            </w:drawing>
          </mc:Choice>
          <mc:Fallback>
            <w:pict>
              <v:group style="position:absolute;margin-left:361.080688pt;margin-top:5.602242pt;width:35.85pt;height:7.55pt;mso-position-horizontal-relative:page;mso-position-vertical-relative:paragraph;z-index:-28076544" id="docshapegroup956" coordorigin="7222,112" coordsize="717,151">
                <v:shape style="position:absolute;left:7787;top:112;width:151;height:151" type="#_x0000_t75" id="docshape957" stroked="false">
                  <v:imagedata r:id="rId321" o:title=""/>
                </v:shape>
                <v:line style="position:absolute" from="7222,191" to="7634,191" stroked="true" strokeweight=".933007pt" strokecolor="#2e3092">
                  <v:stroke dashstyle="solid"/>
                </v:line>
                <v:shape style="position:absolute;left:7591;top:130;width:149;height:122" id="docshape958" coordorigin="7591,130" coordsize="149,122" path="m7591,130l7626,191,7591,252,7740,191,7591,130xe" filled="true" fillcolor="#2e3092" stroked="false">
                  <v:path arrowok="t"/>
                  <v:fill type="solid"/>
                </v:shape>
                <v:shape style="position:absolute;left:7221;top:112;width:717;height:151" type="#_x0000_t202" id="docshape959" filled="false" stroked="false">
                  <v:textbox inset="0,0,0,0">
                    <w:txbxContent>
                      <w:p>
                        <w:pPr>
                          <w:spacing w:line="137" w:lineRule="exact" w:before="0"/>
                          <w:ind w:left="0" w:right="34" w:firstLine="0"/>
                          <w:jc w:val="right"/>
                          <w:rPr>
                            <w:rFonts w:ascii="Arial MT"/>
                            <w:sz w:val="13"/>
                          </w:rPr>
                        </w:pPr>
                        <w:r>
                          <w:rPr>
                            <w:rFonts w:ascii="Arial MT"/>
                            <w:color w:val="231F20"/>
                            <w:spacing w:val="-10"/>
                            <w:sz w:val="13"/>
                          </w:rPr>
                          <w:t>+</w:t>
                        </w:r>
                      </w:p>
                    </w:txbxContent>
                  </v:textbox>
                  <w10:wrap type="none"/>
                </v:shape>
                <w10:wrap type="none"/>
              </v:group>
            </w:pict>
          </mc:Fallback>
        </mc:AlternateContent>
      </w:r>
      <w:r>
        <w:rPr>
          <w:rFonts w:ascii="Arial MT"/>
        </w:rPr>
        <mc:AlternateContent>
          <mc:Choice Requires="wps">
            <w:drawing>
              <wp:anchor distT="0" distB="0" distL="0" distR="0" allowOverlap="1" layoutInCell="1" locked="0" behindDoc="0" simplePos="0" relativeHeight="15823872">
                <wp:simplePos x="0" y="0"/>
                <wp:positionH relativeFrom="page">
                  <wp:posOffset>4529665</wp:posOffset>
                </wp:positionH>
                <wp:positionV relativeFrom="paragraph">
                  <wp:posOffset>-306576</wp:posOffset>
                </wp:positionV>
                <wp:extent cx="328930" cy="77470"/>
                <wp:effectExtent l="0" t="0" r="0" b="0"/>
                <wp:wrapNone/>
                <wp:docPr id="1209" name="Group 1209"/>
                <wp:cNvGraphicFramePr>
                  <a:graphicFrameLocks/>
                </wp:cNvGraphicFramePr>
                <a:graphic>
                  <a:graphicData uri="http://schemas.microsoft.com/office/word/2010/wordprocessingGroup">
                    <wpg:wgp>
                      <wpg:cNvPr id="1209" name="Group 1209"/>
                      <wpg:cNvGrpSpPr/>
                      <wpg:grpSpPr>
                        <a:xfrm>
                          <a:off x="0" y="0"/>
                          <a:ext cx="328930" cy="77470"/>
                          <a:chExt cx="328930" cy="77470"/>
                        </a:xfrm>
                      </wpg:grpSpPr>
                      <wps:wsp>
                        <wps:cNvPr id="1210" name="Graphic 1210"/>
                        <wps:cNvSpPr/>
                        <wps:spPr>
                          <a:xfrm>
                            <a:off x="0" y="38519"/>
                            <a:ext cx="262255" cy="1270"/>
                          </a:xfrm>
                          <a:custGeom>
                            <a:avLst/>
                            <a:gdLst/>
                            <a:ahLst/>
                            <a:cxnLst/>
                            <a:rect l="l" t="t" r="r" b="b"/>
                            <a:pathLst>
                              <a:path w="262255" h="0">
                                <a:moveTo>
                                  <a:pt x="0" y="0"/>
                                </a:moveTo>
                                <a:lnTo>
                                  <a:pt x="262009" y="0"/>
                                </a:lnTo>
                              </a:path>
                            </a:pathLst>
                          </a:custGeom>
                          <a:ln w="11849">
                            <a:solidFill>
                              <a:srgbClr val="2E3092"/>
                            </a:solidFill>
                            <a:prstDash val="solid"/>
                          </a:ln>
                        </wps:spPr>
                        <wps:bodyPr wrap="square" lIns="0" tIns="0" rIns="0" bIns="0" rtlCol="0">
                          <a:prstTxWarp prst="textNoShape">
                            <a:avLst/>
                          </a:prstTxWarp>
                          <a:noAutofit/>
                        </wps:bodyPr>
                      </wps:wsp>
                      <wps:wsp>
                        <wps:cNvPr id="1211" name="Graphic 1211"/>
                        <wps:cNvSpPr/>
                        <wps:spPr>
                          <a:xfrm>
                            <a:off x="234610" y="0"/>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56.666595pt;margin-top:-24.139851pt;width:25.9pt;height:6.1pt;mso-position-horizontal-relative:page;mso-position-vertical-relative:paragraph;z-index:15823872" id="docshapegroup960" coordorigin="7133,-483" coordsize="518,122">
                <v:line style="position:absolute" from="7133,-422" to="7546,-422" stroked="true" strokeweight=".933007pt" strokecolor="#2e3092">
                  <v:stroke dashstyle="solid"/>
                </v:line>
                <v:shape style="position:absolute;left:7502;top:-483;width:149;height:122" id="docshape961" coordorigin="7503,-483" coordsize="149,122" path="m7503,-483l7538,-422,7503,-361,7651,-422,7503,-483xe" filled="true" fillcolor="#2e3092" stroked="false">
                  <v:path arrowok="t"/>
                  <v:fill type="solid"/>
                </v:shape>
                <w10:wrap type="none"/>
              </v:group>
            </w:pict>
          </mc:Fallback>
        </mc:AlternateContent>
      </w:r>
      <w:r>
        <w:rPr>
          <w:rFonts w:ascii="Arial MT"/>
          <w:color w:val="231F20"/>
          <w:spacing w:val="-8"/>
        </w:rPr>
        <w:t>Yes</w:t>
      </w:r>
    </w:p>
    <w:p>
      <w:pPr>
        <w:pStyle w:val="BodyText"/>
        <w:spacing w:before="129"/>
        <w:ind w:left="111"/>
        <w:rPr>
          <w:rFonts w:ascii="Arial MT"/>
        </w:rPr>
      </w:pPr>
      <w:r>
        <w:rPr/>
        <w:br w:type="column"/>
      </w:r>
      <w:r>
        <w:rPr>
          <w:rFonts w:ascii="Arial MT"/>
          <w:color w:val="231F20"/>
          <w:spacing w:val="-2"/>
        </w:rPr>
        <w:t>Leber</w:t>
      </w:r>
    </w:p>
    <w:p>
      <w:pPr>
        <w:spacing w:line="240" w:lineRule="auto" w:before="0"/>
        <w:rPr>
          <w:rFonts w:ascii="Arial MT"/>
          <w:sz w:val="13"/>
        </w:rPr>
      </w:pPr>
      <w:r>
        <w:rPr/>
        <w:br w:type="column"/>
      </w:r>
      <w:r>
        <w:rPr>
          <w:rFonts w:ascii="Arial MT"/>
          <w:sz w:val="13"/>
        </w:rPr>
      </w:r>
    </w:p>
    <w:p>
      <w:pPr>
        <w:pStyle w:val="BodyText"/>
        <w:rPr>
          <w:rFonts w:ascii="Arial MT"/>
        </w:rPr>
      </w:pPr>
    </w:p>
    <w:p>
      <w:pPr>
        <w:pStyle w:val="BodyText"/>
        <w:rPr>
          <w:rFonts w:ascii="Arial MT"/>
        </w:rPr>
      </w:pPr>
    </w:p>
    <w:p>
      <w:pPr>
        <w:pStyle w:val="BodyText"/>
        <w:spacing w:before="36"/>
        <w:rPr>
          <w:rFonts w:ascii="Arial MT"/>
        </w:rPr>
      </w:pPr>
    </w:p>
    <w:p>
      <w:pPr>
        <w:pStyle w:val="BodyText"/>
        <w:spacing w:line="121" w:lineRule="exact"/>
        <w:jc w:val="right"/>
        <w:rPr>
          <w:rFonts w:ascii="Arial MT"/>
        </w:rPr>
      </w:pPr>
      <w:r>
        <w:rPr>
          <w:rFonts w:ascii="Arial MT"/>
        </w:rPr>
        <mc:AlternateContent>
          <mc:Choice Requires="wps">
            <w:drawing>
              <wp:anchor distT="0" distB="0" distL="0" distR="0" allowOverlap="1" layoutInCell="1" locked="0" behindDoc="1" simplePos="0" relativeHeight="475237376">
                <wp:simplePos x="0" y="0"/>
                <wp:positionH relativeFrom="page">
                  <wp:posOffset>5193352</wp:posOffset>
                </wp:positionH>
                <wp:positionV relativeFrom="paragraph">
                  <wp:posOffset>178218</wp:posOffset>
                </wp:positionV>
                <wp:extent cx="77470" cy="172085"/>
                <wp:effectExtent l="0" t="0" r="0" b="0"/>
                <wp:wrapNone/>
                <wp:docPr id="1212" name="Group 1212"/>
                <wp:cNvGraphicFramePr>
                  <a:graphicFrameLocks/>
                </wp:cNvGraphicFramePr>
                <a:graphic>
                  <a:graphicData uri="http://schemas.microsoft.com/office/word/2010/wordprocessingGroup">
                    <wpg:wgp>
                      <wpg:cNvPr id="1212" name="Group 1212"/>
                      <wpg:cNvGrpSpPr/>
                      <wpg:grpSpPr>
                        <a:xfrm>
                          <a:off x="0" y="0"/>
                          <a:ext cx="77470" cy="172085"/>
                          <a:chExt cx="77470" cy="172085"/>
                        </a:xfrm>
                      </wpg:grpSpPr>
                      <wps:wsp>
                        <wps:cNvPr id="1213" name="Graphic 1213"/>
                        <wps:cNvSpPr/>
                        <wps:spPr>
                          <a:xfrm>
                            <a:off x="38531" y="0"/>
                            <a:ext cx="1270" cy="105410"/>
                          </a:xfrm>
                          <a:custGeom>
                            <a:avLst/>
                            <a:gdLst/>
                            <a:ahLst/>
                            <a:cxnLst/>
                            <a:rect l="l" t="t" r="r" b="b"/>
                            <a:pathLst>
                              <a:path w="0" h="105410">
                                <a:moveTo>
                                  <a:pt x="0" y="0"/>
                                </a:moveTo>
                                <a:lnTo>
                                  <a:pt x="0" y="105019"/>
                                </a:lnTo>
                              </a:path>
                            </a:pathLst>
                          </a:custGeom>
                          <a:ln w="11849">
                            <a:solidFill>
                              <a:srgbClr val="2E3092"/>
                            </a:solidFill>
                            <a:prstDash val="solid"/>
                          </a:ln>
                        </wps:spPr>
                        <wps:bodyPr wrap="square" lIns="0" tIns="0" rIns="0" bIns="0" rtlCol="0">
                          <a:prstTxWarp prst="textNoShape">
                            <a:avLst/>
                          </a:prstTxWarp>
                          <a:noAutofit/>
                        </wps:bodyPr>
                      </wps:wsp>
                      <wps:wsp>
                        <wps:cNvPr id="1214" name="Graphic 1214"/>
                        <wps:cNvSpPr/>
                        <wps:spPr>
                          <a:xfrm>
                            <a:off x="0" y="77619"/>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408.925415pt;margin-top:14.032949pt;width:6.1pt;height:13.55pt;mso-position-horizontal-relative:page;mso-position-vertical-relative:paragraph;z-index:-28079104" id="docshapegroup962" coordorigin="8179,281" coordsize="122,271">
                <v:line style="position:absolute" from="8239,281" to="8239,446" stroked="true" strokeweight=".933007pt" strokecolor="#2e3092">
                  <v:stroke dashstyle="solid"/>
                </v:line>
                <v:shape style="position:absolute;left:8178;top:402;width:122;height:149" id="docshape963" coordorigin="8179,403" coordsize="122,149" path="m8300,403l8239,438,8179,403,8239,551,8300,403xe" filled="true" fillcolor="#2e3092" stroked="false">
                  <v:path arrowok="t"/>
                  <v:fill type="solid"/>
                </v:shape>
                <w10:wrap type="none"/>
              </v:group>
            </w:pict>
          </mc:Fallback>
        </mc:AlternateContent>
      </w:r>
      <w:r>
        <w:rPr>
          <w:rFonts w:ascii="Arial MT"/>
        </w:rPr>
        <mc:AlternateContent>
          <mc:Choice Requires="wps">
            <w:drawing>
              <wp:anchor distT="0" distB="0" distL="0" distR="0" allowOverlap="1" layoutInCell="1" locked="0" behindDoc="0" simplePos="0" relativeHeight="15815680">
                <wp:simplePos x="0" y="0"/>
                <wp:positionH relativeFrom="page">
                  <wp:posOffset>5477908</wp:posOffset>
                </wp:positionH>
                <wp:positionV relativeFrom="paragraph">
                  <wp:posOffset>82751</wp:posOffset>
                </wp:positionV>
                <wp:extent cx="329565" cy="77470"/>
                <wp:effectExtent l="0" t="0" r="0" b="0"/>
                <wp:wrapNone/>
                <wp:docPr id="1215" name="Group 1215"/>
                <wp:cNvGraphicFramePr>
                  <a:graphicFrameLocks/>
                </wp:cNvGraphicFramePr>
                <a:graphic>
                  <a:graphicData uri="http://schemas.microsoft.com/office/word/2010/wordprocessingGroup">
                    <wpg:wgp>
                      <wpg:cNvPr id="1215" name="Group 1215"/>
                      <wpg:cNvGrpSpPr/>
                      <wpg:grpSpPr>
                        <a:xfrm>
                          <a:off x="0" y="0"/>
                          <a:ext cx="329565" cy="77470"/>
                          <a:chExt cx="329565" cy="77470"/>
                        </a:xfrm>
                      </wpg:grpSpPr>
                      <wps:wsp>
                        <wps:cNvPr id="1216" name="Graphic 1216"/>
                        <wps:cNvSpPr/>
                        <wps:spPr>
                          <a:xfrm>
                            <a:off x="0" y="38531"/>
                            <a:ext cx="262255" cy="1270"/>
                          </a:xfrm>
                          <a:custGeom>
                            <a:avLst/>
                            <a:gdLst/>
                            <a:ahLst/>
                            <a:cxnLst/>
                            <a:rect l="l" t="t" r="r" b="b"/>
                            <a:pathLst>
                              <a:path w="262255" h="0">
                                <a:moveTo>
                                  <a:pt x="0" y="0"/>
                                </a:moveTo>
                                <a:lnTo>
                                  <a:pt x="262020" y="0"/>
                                </a:lnTo>
                              </a:path>
                            </a:pathLst>
                          </a:custGeom>
                          <a:ln w="11849">
                            <a:solidFill>
                              <a:srgbClr val="2E3092"/>
                            </a:solidFill>
                            <a:prstDash val="solid"/>
                          </a:ln>
                        </wps:spPr>
                        <wps:bodyPr wrap="square" lIns="0" tIns="0" rIns="0" bIns="0" rtlCol="0">
                          <a:prstTxWarp prst="textNoShape">
                            <a:avLst/>
                          </a:prstTxWarp>
                          <a:noAutofit/>
                        </wps:bodyPr>
                      </wps:wsp>
                      <wps:wsp>
                        <wps:cNvPr id="1217" name="Graphic 1217"/>
                        <wps:cNvSpPr/>
                        <wps:spPr>
                          <a:xfrm>
                            <a:off x="234633" y="0"/>
                            <a:ext cx="94615" cy="77470"/>
                          </a:xfrm>
                          <a:custGeom>
                            <a:avLst/>
                            <a:gdLst/>
                            <a:ahLst/>
                            <a:cxnLst/>
                            <a:rect l="l" t="t" r="r" b="b"/>
                            <a:pathLst>
                              <a:path w="94615" h="77470">
                                <a:moveTo>
                                  <a:pt x="0" y="0"/>
                                </a:moveTo>
                                <a:lnTo>
                                  <a:pt x="22377" y="38531"/>
                                </a:lnTo>
                                <a:lnTo>
                                  <a:pt x="0" y="77063"/>
                                </a:lnTo>
                                <a:lnTo>
                                  <a:pt x="94322" y="38531"/>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431.33139pt;margin-top:6.51585pt;width:25.95pt;height:6.1pt;mso-position-horizontal-relative:page;mso-position-vertical-relative:paragraph;z-index:15815680" id="docshapegroup964" coordorigin="8627,130" coordsize="519,122">
                <v:line style="position:absolute" from="8627,191" to="9039,191" stroked="true" strokeweight=".933007pt" strokecolor="#2e3092">
                  <v:stroke dashstyle="solid"/>
                </v:line>
                <v:shape style="position:absolute;left:8996;top:130;width:149;height:122" id="docshape965" coordorigin="8996,130" coordsize="149,122" path="m8996,130l9031,191,8996,252,9145,191,8996,130xe" filled="true" fillcolor="#2e3092" stroked="false">
                  <v:path arrowok="t"/>
                  <v:fill type="solid"/>
                </v:shape>
                <w10:wrap type="none"/>
              </v:group>
            </w:pict>
          </mc:Fallback>
        </mc:AlternateContent>
      </w:r>
      <w:r>
        <w:rPr>
          <w:rFonts w:ascii="Arial MT"/>
          <w:color w:val="231F20"/>
          <w:spacing w:val="-5"/>
        </w:rPr>
        <w:t>Yes</w:t>
      </w:r>
    </w:p>
    <w:p>
      <w:pPr>
        <w:spacing w:line="240" w:lineRule="auto" w:before="0"/>
        <w:rPr>
          <w:rFonts w:ascii="Arial MT"/>
          <w:sz w:val="13"/>
        </w:rPr>
      </w:pPr>
      <w:r>
        <w:rPr/>
        <w:br w:type="column"/>
      </w:r>
      <w:r>
        <w:rPr>
          <w:rFonts w:ascii="Arial MT"/>
          <w:sz w:val="13"/>
        </w:rPr>
      </w:r>
    </w:p>
    <w:p>
      <w:pPr>
        <w:pStyle w:val="BodyText"/>
        <w:rPr>
          <w:rFonts w:ascii="Arial MT"/>
        </w:rPr>
      </w:pPr>
    </w:p>
    <w:p>
      <w:pPr>
        <w:pStyle w:val="BodyText"/>
        <w:rPr>
          <w:rFonts w:ascii="Arial MT"/>
        </w:rPr>
      </w:pPr>
    </w:p>
    <w:p>
      <w:pPr>
        <w:pStyle w:val="BodyText"/>
        <w:spacing w:before="92"/>
        <w:rPr>
          <w:rFonts w:ascii="Arial MT"/>
        </w:rPr>
      </w:pPr>
    </w:p>
    <w:p>
      <w:pPr>
        <w:pStyle w:val="BodyText"/>
        <w:spacing w:line="65" w:lineRule="exact"/>
        <w:ind w:left="200"/>
        <w:rPr>
          <w:rFonts w:ascii="Arial MT"/>
        </w:rPr>
      </w:pPr>
      <w:r>
        <w:rPr>
          <w:rFonts w:ascii="Arial MT"/>
          <w:color w:val="231F20"/>
          <w:spacing w:val="-2"/>
        </w:rPr>
        <w:t>Neurologic</w:t>
      </w:r>
    </w:p>
    <w:p>
      <w:pPr>
        <w:pStyle w:val="BodyText"/>
        <w:spacing w:after="0" w:line="65" w:lineRule="exact"/>
        <w:rPr>
          <w:rFonts w:ascii="Arial MT"/>
        </w:rPr>
        <w:sectPr>
          <w:type w:val="continuous"/>
          <w:pgSz w:w="11900" w:h="16840"/>
          <w:pgMar w:header="0" w:footer="0" w:top="620" w:bottom="280" w:left="708" w:right="566"/>
          <w:cols w:num="10" w:equalWidth="0">
            <w:col w:w="2050" w:space="40"/>
            <w:col w:w="376" w:space="303"/>
            <w:col w:w="1269" w:space="40"/>
            <w:col w:w="1003" w:space="39"/>
            <w:col w:w="353" w:space="39"/>
            <w:col w:w="940" w:space="39"/>
            <w:col w:w="332" w:space="40"/>
            <w:col w:w="446" w:space="40"/>
            <w:col w:w="880" w:space="40"/>
            <w:col w:w="2357"/>
          </w:cols>
        </w:sectPr>
      </w:pPr>
    </w:p>
    <w:p>
      <w:pPr>
        <w:pStyle w:val="BodyText"/>
        <w:spacing w:line="127" w:lineRule="exact"/>
        <w:ind w:left="1055"/>
        <w:rPr>
          <w:rFonts w:ascii="Arial MT"/>
        </w:rPr>
      </w:pPr>
      <w:r>
        <w:rPr>
          <w:rFonts w:ascii="Arial MT"/>
          <w:color w:val="231F20"/>
        </w:rPr>
        <w:t>efferent</w:t>
      </w:r>
      <w:r>
        <w:rPr>
          <w:rFonts w:ascii="Arial MT"/>
          <w:color w:val="231F20"/>
          <w:spacing w:val="-3"/>
        </w:rPr>
        <w:t> </w:t>
      </w:r>
      <w:r>
        <w:rPr>
          <w:rFonts w:ascii="Arial MT"/>
          <w:color w:val="231F20"/>
          <w:spacing w:val="-5"/>
        </w:rPr>
        <w:t>or</w:t>
      </w:r>
    </w:p>
    <w:p>
      <w:pPr>
        <w:pStyle w:val="BodyText"/>
        <w:spacing w:line="148" w:lineRule="exact"/>
        <w:ind w:left="1055"/>
        <w:rPr>
          <w:rFonts w:ascii="Arial MT"/>
        </w:rPr>
      </w:pPr>
      <w:r>
        <w:rPr>
          <w:rFonts w:ascii="Arial MT"/>
          <w:color w:val="231F20"/>
        </w:rPr>
        <w:t>idiopathic </w:t>
      </w:r>
      <w:r>
        <w:rPr>
          <w:rFonts w:ascii="Arial MT"/>
          <w:color w:val="231F20"/>
          <w:spacing w:val="-2"/>
        </w:rPr>
        <w:t>nystagmus</w:t>
      </w:r>
    </w:p>
    <w:p>
      <w:pPr>
        <w:pStyle w:val="BodyText"/>
        <w:spacing w:line="137" w:lineRule="exact"/>
        <w:ind w:left="283"/>
        <w:rPr>
          <w:rFonts w:ascii="Arial MT"/>
        </w:rPr>
      </w:pPr>
      <w:r>
        <w:rPr/>
        <w:br w:type="column"/>
      </w:r>
      <w:r>
        <w:rPr>
          <w:rFonts w:ascii="Arial MT"/>
          <w:color w:val="231F20"/>
        </w:rPr>
        <w:t>?</w:t>
      </w:r>
      <w:r>
        <w:rPr>
          <w:rFonts w:ascii="Arial MT"/>
          <w:color w:val="231F20"/>
          <w:spacing w:val="-4"/>
        </w:rPr>
        <w:t> </w:t>
      </w:r>
      <w:r>
        <w:rPr>
          <w:rFonts w:ascii="Arial MT"/>
          <w:color w:val="231F20"/>
        </w:rPr>
        <w:t>Vision</w:t>
      </w:r>
      <w:r>
        <w:rPr>
          <w:rFonts w:ascii="Arial MT"/>
          <w:color w:val="231F20"/>
          <w:spacing w:val="-3"/>
        </w:rPr>
        <w:t> </w:t>
      </w:r>
      <w:r>
        <w:rPr>
          <w:rFonts w:ascii="Arial MT"/>
          <w:color w:val="231F20"/>
          <w:spacing w:val="-2"/>
        </w:rPr>
        <w:t>normal</w:t>
      </w:r>
    </w:p>
    <w:p>
      <w:pPr>
        <w:pStyle w:val="BodyText"/>
        <w:spacing w:before="52"/>
        <w:ind w:right="142"/>
        <w:jc w:val="right"/>
        <w:rPr>
          <w:rFonts w:ascii="Arial MT"/>
        </w:rPr>
      </w:pPr>
      <w:r>
        <w:rPr>
          <w:rFonts w:ascii="Arial MT"/>
        </w:rPr>
        <mc:AlternateContent>
          <mc:Choice Requires="wps">
            <w:drawing>
              <wp:anchor distT="0" distB="0" distL="0" distR="0" allowOverlap="1" layoutInCell="1" locked="0" behindDoc="0" simplePos="0" relativeHeight="15816704">
                <wp:simplePos x="0" y="0"/>
                <wp:positionH relativeFrom="page">
                  <wp:posOffset>2394836</wp:posOffset>
                </wp:positionH>
                <wp:positionV relativeFrom="paragraph">
                  <wp:posOffset>35010</wp:posOffset>
                </wp:positionV>
                <wp:extent cx="77470" cy="172085"/>
                <wp:effectExtent l="0" t="0" r="0" b="0"/>
                <wp:wrapNone/>
                <wp:docPr id="1218" name="Group 1218"/>
                <wp:cNvGraphicFramePr>
                  <a:graphicFrameLocks/>
                </wp:cNvGraphicFramePr>
                <a:graphic>
                  <a:graphicData uri="http://schemas.microsoft.com/office/word/2010/wordprocessingGroup">
                    <wpg:wgp>
                      <wpg:cNvPr id="1218" name="Group 1218"/>
                      <wpg:cNvGrpSpPr/>
                      <wpg:grpSpPr>
                        <a:xfrm>
                          <a:off x="0" y="0"/>
                          <a:ext cx="77470" cy="172085"/>
                          <a:chExt cx="77470" cy="172085"/>
                        </a:xfrm>
                      </wpg:grpSpPr>
                      <wps:wsp>
                        <wps:cNvPr id="1219" name="Graphic 1219"/>
                        <wps:cNvSpPr/>
                        <wps:spPr>
                          <a:xfrm>
                            <a:off x="38519" y="0"/>
                            <a:ext cx="1270" cy="105410"/>
                          </a:xfrm>
                          <a:custGeom>
                            <a:avLst/>
                            <a:gdLst/>
                            <a:ahLst/>
                            <a:cxnLst/>
                            <a:rect l="l" t="t" r="r" b="b"/>
                            <a:pathLst>
                              <a:path w="0" h="105410">
                                <a:moveTo>
                                  <a:pt x="0" y="0"/>
                                </a:moveTo>
                                <a:lnTo>
                                  <a:pt x="0" y="105019"/>
                                </a:lnTo>
                              </a:path>
                            </a:pathLst>
                          </a:custGeom>
                          <a:ln w="11849">
                            <a:solidFill>
                              <a:srgbClr val="2E3092"/>
                            </a:solidFill>
                            <a:prstDash val="solid"/>
                          </a:ln>
                        </wps:spPr>
                        <wps:bodyPr wrap="square" lIns="0" tIns="0" rIns="0" bIns="0" rtlCol="0">
                          <a:prstTxWarp prst="textNoShape">
                            <a:avLst/>
                          </a:prstTxWarp>
                          <a:noAutofit/>
                        </wps:bodyPr>
                      </wps:wsp>
                      <wps:wsp>
                        <wps:cNvPr id="1220" name="Graphic 1220"/>
                        <wps:cNvSpPr/>
                        <wps:spPr>
                          <a:xfrm>
                            <a:off x="0" y="77619"/>
                            <a:ext cx="77470" cy="94615"/>
                          </a:xfrm>
                          <a:custGeom>
                            <a:avLst/>
                            <a:gdLst/>
                            <a:ahLst/>
                            <a:cxnLst/>
                            <a:rect l="l" t="t" r="r" b="b"/>
                            <a:pathLst>
                              <a:path w="77470" h="94615">
                                <a:moveTo>
                                  <a:pt x="77050" y="0"/>
                                </a:moveTo>
                                <a:lnTo>
                                  <a:pt x="38519" y="22390"/>
                                </a:lnTo>
                                <a:lnTo>
                                  <a:pt x="0" y="0"/>
                                </a:lnTo>
                                <a:lnTo>
                                  <a:pt x="38519" y="94322"/>
                                </a:lnTo>
                                <a:lnTo>
                                  <a:pt x="7705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88.569794pt;margin-top:2.756733pt;width:6.1pt;height:13.55pt;mso-position-horizontal-relative:page;mso-position-vertical-relative:paragraph;z-index:15816704" id="docshapegroup966" coordorigin="3771,55" coordsize="122,271">
                <v:line style="position:absolute" from="3832,55" to="3832,221" stroked="true" strokeweight=".933007pt" strokecolor="#2e3092">
                  <v:stroke dashstyle="solid"/>
                </v:line>
                <v:shape style="position:absolute;left:3771;top:177;width:122;height:149" id="docshape967" coordorigin="3771,177" coordsize="122,149" path="m3893,177l3832,213,3771,177,3832,326,3893,177xe" filled="true" fillcolor="#2e3092" stroked="false">
                  <v:path arrowok="t"/>
                  <v:fill type="solid"/>
                </v:shape>
                <w10:wrap type="none"/>
              </v:group>
            </w:pict>
          </mc:Fallback>
        </mc:AlternateContent>
      </w:r>
      <w:r>
        <w:rPr>
          <w:rFonts w:ascii="Arial MT"/>
          <w:color w:val="231F20"/>
          <w:spacing w:val="-5"/>
        </w:rPr>
        <w:t>No</w:t>
      </w:r>
    </w:p>
    <w:p>
      <w:pPr>
        <w:pStyle w:val="BodyText"/>
        <w:spacing w:before="45"/>
        <w:ind w:left="911"/>
        <w:rPr>
          <w:rFonts w:ascii="Arial MT"/>
        </w:rPr>
      </w:pPr>
      <w:r>
        <w:rPr/>
        <w:br w:type="column"/>
      </w:r>
      <w:r>
        <w:rPr>
          <w:rFonts w:ascii="Arial MT"/>
          <w:color w:val="231F20"/>
          <w:spacing w:val="-2"/>
        </w:rPr>
        <w:t>nystagmus</w:t>
      </w:r>
    </w:p>
    <w:p>
      <w:pPr>
        <w:pStyle w:val="BodyText"/>
        <w:tabs>
          <w:tab w:pos="2161" w:val="left" w:leader="none"/>
        </w:tabs>
        <w:spacing w:line="177" w:lineRule="auto" w:before="17"/>
        <w:ind w:left="2472" w:hanging="1809"/>
        <w:rPr>
          <w:rFonts w:ascii="Arial MT"/>
        </w:rPr>
      </w:pPr>
      <w:r>
        <w:rPr/>
        <w:br w:type="column"/>
      </w:r>
      <w:r>
        <w:rPr>
          <w:rFonts w:ascii="Arial MT"/>
          <w:color w:val="231F20"/>
          <w:spacing w:val="-2"/>
        </w:rPr>
        <w:t>pale/small</w:t>
      </w:r>
      <w:r>
        <w:rPr>
          <w:rFonts w:ascii="Arial MT"/>
          <w:color w:val="231F20"/>
        </w:rPr>
        <w:tab/>
      </w:r>
      <w:r>
        <w:rPr>
          <w:rFonts w:ascii="Arial MT"/>
          <w:color w:val="231F20"/>
          <w:position w:val="6"/>
        </w:rPr>
        <w:t>MRI</w:t>
      </w:r>
      <w:r>
        <w:rPr>
          <w:rFonts w:ascii="Arial MT"/>
          <w:color w:val="231F20"/>
          <w:spacing w:val="-10"/>
          <w:position w:val="6"/>
        </w:rPr>
        <w:t> </w:t>
      </w:r>
      <w:r>
        <w:rPr>
          <w:rFonts w:ascii="Arial MT"/>
          <w:color w:val="231F20"/>
          <w:position w:val="6"/>
        </w:rPr>
        <w:t>scan</w:t>
      </w:r>
      <w:r>
        <w:rPr>
          <w:rFonts w:ascii="Arial MT"/>
          <w:color w:val="231F20"/>
          <w:spacing w:val="40"/>
          <w:position w:val="6"/>
        </w:rPr>
        <w:t> </w:t>
      </w:r>
      <w:r>
        <w:rPr>
          <w:rFonts w:ascii="Arial MT"/>
          <w:color w:val="231F20"/>
          <w:spacing w:val="-6"/>
        </w:rPr>
        <w:t>No</w:t>
      </w:r>
    </w:p>
    <w:p>
      <w:pPr>
        <w:pStyle w:val="BodyText"/>
        <w:spacing w:before="81"/>
        <w:ind w:left="595"/>
        <w:rPr>
          <w:rFonts w:ascii="Arial MT"/>
        </w:rPr>
      </w:pPr>
      <w:r>
        <w:rPr/>
        <w:br w:type="column"/>
      </w:r>
      <w:r>
        <w:rPr>
          <w:rFonts w:ascii="Arial MT"/>
          <w:color w:val="231F20"/>
          <w:spacing w:val="-2"/>
        </w:rPr>
        <w:t>disorder</w:t>
      </w:r>
    </w:p>
    <w:p>
      <w:pPr>
        <w:pStyle w:val="BodyText"/>
        <w:spacing w:after="0"/>
        <w:rPr>
          <w:rFonts w:ascii="Arial MT"/>
        </w:rPr>
        <w:sectPr>
          <w:type w:val="continuous"/>
          <w:pgSz w:w="11900" w:h="16840"/>
          <w:pgMar w:header="0" w:footer="0" w:top="620" w:bottom="280" w:left="708" w:right="566"/>
          <w:cols w:num="5" w:equalWidth="0">
            <w:col w:w="2275" w:space="40"/>
            <w:col w:w="1182" w:space="39"/>
            <w:col w:w="1544" w:space="40"/>
            <w:col w:w="2714" w:space="39"/>
            <w:col w:w="2753"/>
          </w:cols>
        </w:sectPr>
      </w:pPr>
    </w:p>
    <w:p>
      <w:pPr>
        <w:pStyle w:val="BodyText"/>
        <w:spacing w:before="83"/>
        <w:rPr>
          <w:rFonts w:ascii="Arial MT"/>
        </w:rPr>
      </w:pPr>
    </w:p>
    <w:p>
      <w:pPr>
        <w:pStyle w:val="BodyText"/>
        <w:ind w:left="1055"/>
        <w:rPr>
          <w:rFonts w:ascii="Arial MT"/>
        </w:rPr>
      </w:pPr>
      <w:r>
        <w:rPr>
          <w:rFonts w:ascii="Arial MT"/>
          <w:color w:val="231F20"/>
          <w:spacing w:val="-2"/>
        </w:rPr>
        <w:t>Albinism</w:t>
      </w:r>
    </w:p>
    <w:p>
      <w:pPr>
        <w:pStyle w:val="BodyText"/>
        <w:rPr>
          <w:rFonts w:ascii="Arial MT"/>
        </w:rPr>
      </w:pPr>
    </w:p>
    <w:p>
      <w:pPr>
        <w:pStyle w:val="BodyText"/>
        <w:spacing w:before="103"/>
        <w:rPr>
          <w:rFonts w:ascii="Arial MT"/>
        </w:rPr>
      </w:pPr>
    </w:p>
    <w:p>
      <w:pPr>
        <w:pStyle w:val="BodyText"/>
        <w:spacing w:line="235" w:lineRule="auto"/>
        <w:ind w:left="1054"/>
        <w:rPr>
          <w:rFonts w:ascii="Arial MT"/>
        </w:rPr>
      </w:pPr>
      <w:r>
        <w:rPr>
          <w:rFonts w:ascii="Arial MT"/>
          <w:color w:val="231F20"/>
          <w:spacing w:val="-2"/>
        </w:rPr>
        <w:t>X-linked</w:t>
      </w:r>
      <w:r>
        <w:rPr>
          <w:rFonts w:ascii="Arial MT"/>
          <w:color w:val="231F20"/>
          <w:spacing w:val="40"/>
        </w:rPr>
        <w:t> </w:t>
      </w:r>
      <w:r>
        <w:rPr>
          <w:rFonts w:ascii="Arial MT"/>
          <w:color w:val="231F20"/>
          <w:spacing w:val="-2"/>
        </w:rPr>
        <w:t>retinoschisis</w:t>
      </w:r>
    </w:p>
    <w:p>
      <w:pPr>
        <w:pStyle w:val="BodyText"/>
        <w:rPr>
          <w:rFonts w:ascii="Arial MT"/>
        </w:rPr>
      </w:pPr>
    </w:p>
    <w:p>
      <w:pPr>
        <w:pStyle w:val="BodyText"/>
        <w:spacing w:before="93"/>
        <w:rPr>
          <w:rFonts w:ascii="Arial MT"/>
        </w:rPr>
      </w:pPr>
    </w:p>
    <w:p>
      <w:pPr>
        <w:pStyle w:val="BodyText"/>
        <w:ind w:left="1054"/>
        <w:rPr>
          <w:rFonts w:ascii="Arial MT"/>
        </w:rPr>
      </w:pPr>
      <w:r>
        <w:rPr>
          <w:rFonts w:ascii="Arial MT"/>
          <w:color w:val="231F20"/>
          <w:spacing w:val="-2"/>
        </w:rPr>
        <w:t>Achromatopsia</w:t>
      </w:r>
    </w:p>
    <w:p>
      <w:pPr>
        <w:pStyle w:val="BodyText"/>
        <w:spacing w:line="168" w:lineRule="exact" w:before="112"/>
        <w:ind w:left="246"/>
        <w:rPr>
          <w:rFonts w:ascii="Arial MT"/>
        </w:rPr>
      </w:pPr>
      <w:r>
        <w:rPr/>
        <w:br w:type="column"/>
      </w:r>
      <w:r>
        <w:rPr>
          <w:rFonts w:ascii="Arial MT"/>
          <w:color w:val="231F20"/>
          <w:position w:val="3"/>
        </w:rPr>
        <w:t>Yes</w:t>
      </w:r>
      <w:r>
        <w:rPr>
          <w:rFonts w:ascii="Arial MT"/>
          <w:color w:val="231F20"/>
          <w:spacing w:val="44"/>
          <w:position w:val="3"/>
        </w:rPr>
        <w:t>  </w:t>
      </w:r>
      <w:r>
        <w:rPr>
          <w:rFonts w:ascii="Arial MT"/>
          <w:color w:val="231F20"/>
        </w:rPr>
        <w:t>?</w:t>
      </w:r>
      <w:r>
        <w:rPr>
          <w:rFonts w:ascii="Arial MT"/>
          <w:color w:val="231F20"/>
          <w:spacing w:val="-3"/>
        </w:rPr>
        <w:t> </w:t>
      </w:r>
      <w:r>
        <w:rPr>
          <w:rFonts w:ascii="Arial MT"/>
          <w:color w:val="231F20"/>
        </w:rPr>
        <w:t>Foveal</w:t>
      </w:r>
      <w:r>
        <w:rPr>
          <w:rFonts w:ascii="Arial MT"/>
          <w:color w:val="231F20"/>
          <w:spacing w:val="-3"/>
        </w:rPr>
        <w:t> </w:t>
      </w:r>
      <w:r>
        <w:rPr>
          <w:rFonts w:ascii="Arial MT"/>
          <w:color w:val="231F20"/>
          <w:spacing w:val="-2"/>
        </w:rPr>
        <w:t>hypoplasia</w:t>
      </w:r>
    </w:p>
    <w:p>
      <w:pPr>
        <w:pStyle w:val="BodyText"/>
        <w:spacing w:line="188" w:lineRule="exact"/>
        <w:ind w:left="741"/>
        <w:rPr>
          <w:rFonts w:ascii="Arial MT" w:hAnsi="Arial MT"/>
        </w:rPr>
      </w:pPr>
      <w:r>
        <w:rPr>
          <w:rFonts w:ascii="Arial MT" w:hAnsi="Arial MT"/>
        </w:rPr>
        <mc:AlternateContent>
          <mc:Choice Requires="wps">
            <w:drawing>
              <wp:anchor distT="0" distB="0" distL="0" distR="0" allowOverlap="1" layoutInCell="1" locked="0" behindDoc="0" simplePos="0" relativeHeight="15817216">
                <wp:simplePos x="0" y="0"/>
                <wp:positionH relativeFrom="page">
                  <wp:posOffset>1437811</wp:posOffset>
                </wp:positionH>
                <wp:positionV relativeFrom="paragraph">
                  <wp:posOffset>-21114</wp:posOffset>
                </wp:positionV>
                <wp:extent cx="645795" cy="77470"/>
                <wp:effectExtent l="0" t="0" r="0" b="0"/>
                <wp:wrapNone/>
                <wp:docPr id="1221" name="Group 1221"/>
                <wp:cNvGraphicFramePr>
                  <a:graphicFrameLocks/>
                </wp:cNvGraphicFramePr>
                <a:graphic>
                  <a:graphicData uri="http://schemas.microsoft.com/office/word/2010/wordprocessingGroup">
                    <wpg:wgp>
                      <wpg:cNvPr id="1221" name="Group 1221"/>
                      <wpg:cNvGrpSpPr/>
                      <wpg:grpSpPr>
                        <a:xfrm>
                          <a:off x="0" y="0"/>
                          <a:ext cx="645795" cy="77470"/>
                          <a:chExt cx="645795" cy="77470"/>
                        </a:xfrm>
                      </wpg:grpSpPr>
                      <wps:wsp>
                        <wps:cNvPr id="1222" name="Graphic 1222"/>
                        <wps:cNvSpPr/>
                        <wps:spPr>
                          <a:xfrm>
                            <a:off x="66923" y="38531"/>
                            <a:ext cx="579120" cy="1270"/>
                          </a:xfrm>
                          <a:custGeom>
                            <a:avLst/>
                            <a:gdLst/>
                            <a:ahLst/>
                            <a:cxnLst/>
                            <a:rect l="l" t="t" r="r" b="b"/>
                            <a:pathLst>
                              <a:path w="579120" h="0">
                                <a:moveTo>
                                  <a:pt x="578631"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223" name="Graphic 1223"/>
                        <wps:cNvSpPr/>
                        <wps:spPr>
                          <a:xfrm>
                            <a:off x="0" y="0"/>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13.213501pt;margin-top:-1.662544pt;width:50.85pt;height:6.1pt;mso-position-horizontal-relative:page;mso-position-vertical-relative:paragraph;z-index:15817216" id="docshapegroup968" coordorigin="2264,-33" coordsize="1017,122">
                <v:line style="position:absolute" from="3281,27" to="2370,27" stroked="true" strokeweight=".933007pt" strokecolor="#2e3092">
                  <v:stroke dashstyle="solid"/>
                </v:line>
                <v:shape style="position:absolute;left:2264;top:-34;width:149;height:122" id="docshape969" coordorigin="2264,-33" coordsize="149,122" path="m2413,-33l2264,27,2413,88,2378,27,2413,-33xe" filled="true" fillcolor="#2e3092" stroked="false">
                  <v:path arrowok="t"/>
                  <v:fill type="solid"/>
                </v:shape>
                <w10:wrap type="none"/>
              </v:group>
            </w:pict>
          </mc:Fallback>
        </mc:AlternateContent>
      </w:r>
      <w:r>
        <w:rPr>
          <w:rFonts w:ascii="Arial MT" w:hAnsi="Arial MT"/>
        </w:rPr>
        <mc:AlternateContent>
          <mc:Choice Requires="wps">
            <w:drawing>
              <wp:anchor distT="0" distB="0" distL="0" distR="0" allowOverlap="1" layoutInCell="1" locked="0" behindDoc="1" simplePos="0" relativeHeight="475247616">
                <wp:simplePos x="0" y="0"/>
                <wp:positionH relativeFrom="page">
                  <wp:posOffset>3418439</wp:posOffset>
                </wp:positionH>
                <wp:positionV relativeFrom="paragraph">
                  <wp:posOffset>-234401</wp:posOffset>
                </wp:positionV>
                <wp:extent cx="77470" cy="1410335"/>
                <wp:effectExtent l="0" t="0" r="0" b="0"/>
                <wp:wrapNone/>
                <wp:docPr id="1224" name="Group 1224"/>
                <wp:cNvGraphicFramePr>
                  <a:graphicFrameLocks/>
                </wp:cNvGraphicFramePr>
                <a:graphic>
                  <a:graphicData uri="http://schemas.microsoft.com/office/word/2010/wordprocessingGroup">
                    <wpg:wgp>
                      <wpg:cNvPr id="1224" name="Group 1224"/>
                      <wpg:cNvGrpSpPr/>
                      <wpg:grpSpPr>
                        <a:xfrm>
                          <a:off x="0" y="0"/>
                          <a:ext cx="77470" cy="1410335"/>
                          <a:chExt cx="77470" cy="1410335"/>
                        </a:xfrm>
                      </wpg:grpSpPr>
                      <wps:wsp>
                        <wps:cNvPr id="1225" name="Graphic 1225"/>
                        <wps:cNvSpPr/>
                        <wps:spPr>
                          <a:xfrm>
                            <a:off x="38531" y="0"/>
                            <a:ext cx="1270" cy="1343660"/>
                          </a:xfrm>
                          <a:custGeom>
                            <a:avLst/>
                            <a:gdLst/>
                            <a:ahLst/>
                            <a:cxnLst/>
                            <a:rect l="l" t="t" r="r" b="b"/>
                            <a:pathLst>
                              <a:path w="0" h="1343660">
                                <a:moveTo>
                                  <a:pt x="0" y="0"/>
                                </a:moveTo>
                                <a:lnTo>
                                  <a:pt x="0" y="1343330"/>
                                </a:lnTo>
                              </a:path>
                            </a:pathLst>
                          </a:custGeom>
                          <a:ln w="11849">
                            <a:solidFill>
                              <a:srgbClr val="2E3092"/>
                            </a:solidFill>
                            <a:prstDash val="solid"/>
                          </a:ln>
                        </wps:spPr>
                        <wps:bodyPr wrap="square" lIns="0" tIns="0" rIns="0" bIns="0" rtlCol="0">
                          <a:prstTxWarp prst="textNoShape">
                            <a:avLst/>
                          </a:prstTxWarp>
                          <a:noAutofit/>
                        </wps:bodyPr>
                      </wps:wsp>
                      <wps:wsp>
                        <wps:cNvPr id="1226" name="Graphic 1226"/>
                        <wps:cNvSpPr/>
                        <wps:spPr>
                          <a:xfrm>
                            <a:off x="0" y="1315930"/>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269.168488pt;margin-top:-18.456844pt;width:6.1pt;height:111.05pt;mso-position-horizontal-relative:page;mso-position-vertical-relative:paragraph;z-index:-28068864" id="docshapegroup970" coordorigin="5383,-369" coordsize="122,2221">
                <v:line style="position:absolute" from="5444,-369" to="5444,1746" stroked="true" strokeweight=".933007pt" strokecolor="#2e3092">
                  <v:stroke dashstyle="solid"/>
                </v:line>
                <v:shape style="position:absolute;left:5383;top:1703;width:122;height:149" id="docshape971" coordorigin="5383,1703" coordsize="122,149" path="m5505,1703l5444,1738,5383,1703,5444,1852,5505,1703xe" filled="true" fillcolor="#2e3092" stroked="false">
                  <v:path arrowok="t"/>
                  <v:fill type="solid"/>
                </v:shape>
                <w10:wrap type="none"/>
              </v:group>
            </w:pict>
          </mc:Fallback>
        </mc:AlternateContent>
      </w:r>
      <w:r>
        <w:rPr>
          <w:rFonts w:ascii="Lucida Sans Unicode" w:hAnsi="Lucida Sans Unicode"/>
          <w:color w:val="231F20"/>
        </w:rPr>
        <w:t>±</w:t>
      </w:r>
      <w:r>
        <w:rPr>
          <w:rFonts w:ascii="Lucida Sans Unicode" w:hAnsi="Lucida Sans Unicode"/>
          <w:color w:val="231F20"/>
          <w:spacing w:val="-7"/>
        </w:rPr>
        <w:t> </w:t>
      </w:r>
      <w:r>
        <w:rPr>
          <w:rFonts w:ascii="Arial MT" w:hAnsi="Arial MT"/>
          <w:color w:val="231F20"/>
        </w:rPr>
        <w:t>iris</w:t>
      </w:r>
      <w:r>
        <w:rPr>
          <w:rFonts w:ascii="Arial MT" w:hAnsi="Arial MT"/>
          <w:color w:val="231F20"/>
          <w:spacing w:val="3"/>
        </w:rPr>
        <w:t> </w:t>
      </w:r>
      <w:r>
        <w:rPr>
          <w:rFonts w:ascii="Arial MT" w:hAnsi="Arial MT"/>
          <w:color w:val="231F20"/>
          <w:spacing w:val="-2"/>
        </w:rPr>
        <w:t>transillumination</w:t>
      </w:r>
    </w:p>
    <w:p>
      <w:pPr>
        <w:pStyle w:val="BodyText"/>
        <w:spacing w:line="255" w:lineRule="exact" w:before="5"/>
        <w:ind w:right="552"/>
        <w:jc w:val="center"/>
        <w:rPr>
          <w:rFonts w:ascii="Arial MT"/>
        </w:rPr>
      </w:pPr>
      <w:r>
        <w:rPr>
          <w:position w:val="-14"/>
        </w:rPr>
        <w:drawing>
          <wp:inline distT="0" distB="0" distL="0" distR="0">
            <wp:extent cx="77050" cy="171955"/>
            <wp:effectExtent l="0" t="0" r="0" b="0"/>
            <wp:docPr id="1227" name="Image 1227"/>
            <wp:cNvGraphicFramePr>
              <a:graphicFrameLocks/>
            </wp:cNvGraphicFramePr>
            <a:graphic>
              <a:graphicData uri="http://schemas.openxmlformats.org/drawingml/2006/picture">
                <pic:pic>
                  <pic:nvPicPr>
                    <pic:cNvPr id="1227" name="Image 1227"/>
                    <pic:cNvPicPr/>
                  </pic:nvPicPr>
                  <pic:blipFill>
                    <a:blip r:embed="rId322" cstate="print"/>
                    <a:stretch>
                      <a:fillRect/>
                    </a:stretch>
                  </pic:blipFill>
                  <pic:spPr>
                    <a:xfrm>
                      <a:off x="0" y="0"/>
                      <a:ext cx="77050" cy="171955"/>
                    </a:xfrm>
                    <a:prstGeom prst="rect">
                      <a:avLst/>
                    </a:prstGeom>
                  </pic:spPr>
                </pic:pic>
              </a:graphicData>
            </a:graphic>
          </wp:inline>
        </w:drawing>
      </w:r>
      <w:r>
        <w:rPr>
          <w:position w:val="-14"/>
        </w:rPr>
      </w:r>
      <w:r>
        <w:rPr>
          <w:rFonts w:ascii="Arial MT"/>
          <w:color w:val="231F20"/>
          <w:spacing w:val="-5"/>
        </w:rPr>
        <w:t>No</w:t>
      </w:r>
    </w:p>
    <w:p>
      <w:pPr>
        <w:pStyle w:val="BodyText"/>
        <w:tabs>
          <w:tab w:pos="2830" w:val="left" w:leader="none"/>
        </w:tabs>
        <w:spacing w:line="192" w:lineRule="exact"/>
        <w:ind w:left="246"/>
        <w:rPr>
          <w:rFonts w:ascii="Arial MT"/>
        </w:rPr>
      </w:pPr>
      <w:r>
        <w:rPr>
          <w:rFonts w:ascii="Arial MT"/>
        </w:rPr>
        <mc:AlternateContent>
          <mc:Choice Requires="wps">
            <w:drawing>
              <wp:anchor distT="0" distB="0" distL="0" distR="0" allowOverlap="1" layoutInCell="1" locked="0" behindDoc="1" simplePos="0" relativeHeight="475243008">
                <wp:simplePos x="0" y="0"/>
                <wp:positionH relativeFrom="page">
                  <wp:posOffset>1566078</wp:posOffset>
                </wp:positionH>
                <wp:positionV relativeFrom="paragraph">
                  <wp:posOffset>77699</wp:posOffset>
                </wp:positionV>
                <wp:extent cx="517525" cy="77470"/>
                <wp:effectExtent l="0" t="0" r="0" b="0"/>
                <wp:wrapNone/>
                <wp:docPr id="1228" name="Group 1228"/>
                <wp:cNvGraphicFramePr>
                  <a:graphicFrameLocks/>
                </wp:cNvGraphicFramePr>
                <a:graphic>
                  <a:graphicData uri="http://schemas.microsoft.com/office/word/2010/wordprocessingGroup">
                    <wpg:wgp>
                      <wpg:cNvPr id="1228" name="Group 1228"/>
                      <wpg:cNvGrpSpPr/>
                      <wpg:grpSpPr>
                        <a:xfrm>
                          <a:off x="0" y="0"/>
                          <a:ext cx="517525" cy="77470"/>
                          <a:chExt cx="517525" cy="77470"/>
                        </a:xfrm>
                      </wpg:grpSpPr>
                      <wps:wsp>
                        <wps:cNvPr id="1229" name="Graphic 1229"/>
                        <wps:cNvSpPr/>
                        <wps:spPr>
                          <a:xfrm>
                            <a:off x="66923" y="38531"/>
                            <a:ext cx="450850" cy="1270"/>
                          </a:xfrm>
                          <a:custGeom>
                            <a:avLst/>
                            <a:gdLst/>
                            <a:ahLst/>
                            <a:cxnLst/>
                            <a:rect l="l" t="t" r="r" b="b"/>
                            <a:pathLst>
                              <a:path w="450850" h="0">
                                <a:moveTo>
                                  <a:pt x="450363"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230" name="Graphic 1230"/>
                        <wps:cNvSpPr/>
                        <wps:spPr>
                          <a:xfrm>
                            <a:off x="0" y="0"/>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23.313301pt;margin-top:6.118079pt;width:40.75pt;height:6.1pt;mso-position-horizontal-relative:page;mso-position-vertical-relative:paragraph;z-index:-28073472" id="docshapegroup972" coordorigin="2466,122" coordsize="815,122">
                <v:line style="position:absolute" from="3281,183" to="2572,183" stroked="true" strokeweight=".933007pt" strokecolor="#2e3092">
                  <v:stroke dashstyle="solid"/>
                </v:line>
                <v:shape style="position:absolute;left:2466;top:122;width:149;height:122" id="docshape973" coordorigin="2466,122" coordsize="149,122" path="m2615,122l2466,183,2615,244,2580,183,2615,122xe" filled="true" fillcolor="#2e3092" stroked="false">
                  <v:path arrowok="t"/>
                  <v:fill type="solid"/>
                </v:shape>
                <w10:wrap type="none"/>
              </v:group>
            </w:pict>
          </mc:Fallback>
        </mc:AlternateContent>
      </w:r>
      <w:r>
        <w:rPr>
          <w:rFonts w:ascii="Arial MT"/>
          <w:color w:val="231F20"/>
          <w:position w:val="7"/>
        </w:rPr>
        <w:t>Yes</w:t>
      </w:r>
      <w:r>
        <w:rPr>
          <w:rFonts w:ascii="Arial MT"/>
          <w:color w:val="231F20"/>
          <w:spacing w:val="45"/>
          <w:position w:val="7"/>
        </w:rPr>
        <w:t>  </w:t>
      </w:r>
      <w:r>
        <w:rPr>
          <w:rFonts w:ascii="Arial MT"/>
          <w:color w:val="231F20"/>
          <w:position w:val="1"/>
        </w:rPr>
        <w:t>?</w:t>
      </w:r>
      <w:r>
        <w:rPr>
          <w:rFonts w:ascii="Arial MT"/>
          <w:color w:val="231F20"/>
          <w:spacing w:val="-1"/>
          <w:position w:val="1"/>
        </w:rPr>
        <w:t> </w:t>
      </w:r>
      <w:r>
        <w:rPr>
          <w:rFonts w:ascii="Arial MT"/>
          <w:color w:val="231F20"/>
          <w:position w:val="1"/>
        </w:rPr>
        <w:t>Macular</w:t>
      </w:r>
      <w:r>
        <w:rPr>
          <w:rFonts w:ascii="Arial MT"/>
          <w:color w:val="231F20"/>
          <w:spacing w:val="-2"/>
          <w:position w:val="1"/>
        </w:rPr>
        <w:t> </w:t>
      </w:r>
      <w:r>
        <w:rPr>
          <w:rFonts w:ascii="Arial MT"/>
          <w:color w:val="231F20"/>
          <w:position w:val="1"/>
        </w:rPr>
        <w:t>NFL</w:t>
      </w:r>
      <w:r>
        <w:rPr>
          <w:rFonts w:ascii="Arial MT"/>
          <w:color w:val="231F20"/>
          <w:spacing w:val="-7"/>
          <w:position w:val="1"/>
        </w:rPr>
        <w:t> </w:t>
      </w:r>
      <w:r>
        <w:rPr>
          <w:rFonts w:ascii="Arial MT"/>
          <w:color w:val="231F20"/>
          <w:spacing w:val="-2"/>
          <w:position w:val="1"/>
        </w:rPr>
        <w:t>schisis</w:t>
      </w:r>
      <w:r>
        <w:rPr>
          <w:rFonts w:ascii="Arial MT"/>
          <w:color w:val="231F20"/>
          <w:position w:val="1"/>
        </w:rPr>
        <w:tab/>
      </w:r>
      <w:r>
        <w:rPr>
          <w:rFonts w:ascii="Arial MT"/>
          <w:color w:val="231F20"/>
          <w:spacing w:val="-5"/>
        </w:rPr>
        <w:t>No</w:t>
      </w:r>
    </w:p>
    <w:p>
      <w:pPr>
        <w:pStyle w:val="BodyText"/>
        <w:spacing w:line="150" w:lineRule="exact"/>
        <w:ind w:left="786"/>
        <w:rPr>
          <w:rFonts w:ascii="Arial MT"/>
        </w:rPr>
      </w:pPr>
      <w:r>
        <w:rPr>
          <w:rFonts w:ascii="Arial MT"/>
        </w:rPr>
        <w:drawing>
          <wp:anchor distT="0" distB="0" distL="0" distR="0" allowOverlap="1" layoutInCell="1" locked="0" behindDoc="1" simplePos="0" relativeHeight="475240448">
            <wp:simplePos x="0" y="0"/>
            <wp:positionH relativeFrom="page">
              <wp:posOffset>2173680</wp:posOffset>
            </wp:positionH>
            <wp:positionV relativeFrom="paragraph">
              <wp:posOffset>1370</wp:posOffset>
            </wp:positionV>
            <wp:extent cx="95729" cy="95729"/>
            <wp:effectExtent l="0" t="0" r="0" b="0"/>
            <wp:wrapNone/>
            <wp:docPr id="1231" name="Image 1231"/>
            <wp:cNvGraphicFramePr>
              <a:graphicFrameLocks/>
            </wp:cNvGraphicFramePr>
            <a:graphic>
              <a:graphicData uri="http://schemas.openxmlformats.org/drawingml/2006/picture">
                <pic:pic>
                  <pic:nvPicPr>
                    <pic:cNvPr id="1231" name="Image 1231"/>
                    <pic:cNvPicPr/>
                  </pic:nvPicPr>
                  <pic:blipFill>
                    <a:blip r:embed="rId323" cstate="print"/>
                    <a:stretch>
                      <a:fillRect/>
                    </a:stretch>
                  </pic:blipFill>
                  <pic:spPr>
                    <a:xfrm>
                      <a:off x="0" y="0"/>
                      <a:ext cx="95729" cy="95729"/>
                    </a:xfrm>
                    <a:prstGeom prst="rect">
                      <a:avLst/>
                    </a:prstGeom>
                  </pic:spPr>
                </pic:pic>
              </a:graphicData>
            </a:graphic>
          </wp:anchor>
        </w:drawing>
      </w:r>
      <w:r>
        <w:rPr>
          <w:rFonts w:ascii="Arial MT"/>
          <w:color w:val="231F20"/>
          <w:position w:val="1"/>
        </w:rPr>
        <w:t>+</w:t>
      </w:r>
      <w:r>
        <w:rPr>
          <w:rFonts w:ascii="Arial MT"/>
          <w:color w:val="231F20"/>
          <w:spacing w:val="23"/>
          <w:position w:val="1"/>
        </w:rPr>
        <w:t> </w:t>
      </w:r>
      <w:r>
        <w:rPr>
          <w:rFonts w:ascii="Arial MT"/>
          <w:color w:val="231F20"/>
        </w:rPr>
        <w:t>ERG </w:t>
      </w:r>
      <w:r>
        <w:rPr>
          <w:rFonts w:ascii="Arial MT"/>
          <w:color w:val="231F20"/>
          <w:spacing w:val="-2"/>
        </w:rPr>
        <w:t>abnormality</w:t>
      </w:r>
    </w:p>
    <w:p>
      <w:pPr>
        <w:pStyle w:val="BodyText"/>
        <w:spacing w:before="34"/>
        <w:ind w:right="552"/>
        <w:jc w:val="center"/>
        <w:rPr>
          <w:rFonts w:ascii="Arial MT"/>
        </w:rPr>
      </w:pPr>
      <w:r>
        <w:rPr>
          <w:rFonts w:ascii="Arial MT"/>
        </w:rPr>
        <mc:AlternateContent>
          <mc:Choice Requires="wps">
            <w:drawing>
              <wp:anchor distT="0" distB="0" distL="0" distR="0" allowOverlap="1" layoutInCell="1" locked="0" behindDoc="0" simplePos="0" relativeHeight="15819264">
                <wp:simplePos x="0" y="0"/>
                <wp:positionH relativeFrom="page">
                  <wp:posOffset>1671026</wp:posOffset>
                </wp:positionH>
                <wp:positionV relativeFrom="paragraph">
                  <wp:posOffset>196600</wp:posOffset>
                </wp:positionV>
                <wp:extent cx="412750" cy="153035"/>
                <wp:effectExtent l="0" t="0" r="0" b="0"/>
                <wp:wrapNone/>
                <wp:docPr id="1232" name="Group 1232"/>
                <wp:cNvGraphicFramePr>
                  <a:graphicFrameLocks/>
                </wp:cNvGraphicFramePr>
                <a:graphic>
                  <a:graphicData uri="http://schemas.microsoft.com/office/word/2010/wordprocessingGroup">
                    <wpg:wgp>
                      <wpg:cNvPr id="1232" name="Group 1232"/>
                      <wpg:cNvGrpSpPr/>
                      <wpg:grpSpPr>
                        <a:xfrm>
                          <a:off x="0" y="0"/>
                          <a:ext cx="412750" cy="153035"/>
                          <a:chExt cx="412750" cy="153035"/>
                        </a:xfrm>
                      </wpg:grpSpPr>
                      <wps:wsp>
                        <wps:cNvPr id="1233" name="Graphic 1233"/>
                        <wps:cNvSpPr/>
                        <wps:spPr>
                          <a:xfrm>
                            <a:off x="66924" y="111155"/>
                            <a:ext cx="345440" cy="1270"/>
                          </a:xfrm>
                          <a:custGeom>
                            <a:avLst/>
                            <a:gdLst/>
                            <a:ahLst/>
                            <a:cxnLst/>
                            <a:rect l="l" t="t" r="r" b="b"/>
                            <a:pathLst>
                              <a:path w="345440" h="0">
                                <a:moveTo>
                                  <a:pt x="345415"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234" name="Graphic 1234"/>
                        <wps:cNvSpPr/>
                        <wps:spPr>
                          <a:xfrm>
                            <a:off x="0" y="72623"/>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E3092"/>
                          </a:solidFill>
                        </wps:spPr>
                        <wps:bodyPr wrap="square" lIns="0" tIns="0" rIns="0" bIns="0" rtlCol="0">
                          <a:prstTxWarp prst="textNoShape">
                            <a:avLst/>
                          </a:prstTxWarp>
                          <a:noAutofit/>
                        </wps:bodyPr>
                      </wps:wsp>
                      <wps:wsp>
                        <wps:cNvPr id="1235" name="Textbox 1235"/>
                        <wps:cNvSpPr txBox="1"/>
                        <wps:spPr>
                          <a:xfrm>
                            <a:off x="0" y="0"/>
                            <a:ext cx="412750" cy="153035"/>
                          </a:xfrm>
                          <a:prstGeom prst="rect">
                            <a:avLst/>
                          </a:prstGeom>
                        </wps:spPr>
                        <wps:txbx>
                          <w:txbxContent>
                            <w:p>
                              <w:pPr>
                                <w:spacing w:line="128" w:lineRule="exact" w:before="0"/>
                                <w:ind w:left="288" w:right="0" w:firstLine="0"/>
                                <w:jc w:val="left"/>
                                <w:rPr>
                                  <w:rFonts w:ascii="Arial MT"/>
                                  <w:sz w:val="13"/>
                                </w:rPr>
                              </w:pPr>
                              <w:r>
                                <w:rPr>
                                  <w:rFonts w:ascii="Arial MT"/>
                                  <w:color w:val="231F20"/>
                                  <w:spacing w:val="-5"/>
                                  <w:sz w:val="13"/>
                                </w:rPr>
                                <w:t>Yes</w:t>
                              </w:r>
                            </w:p>
                          </w:txbxContent>
                        </wps:txbx>
                        <wps:bodyPr wrap="square" lIns="0" tIns="0" rIns="0" bIns="0" rtlCol="0">
                          <a:noAutofit/>
                        </wps:bodyPr>
                      </wps:wsp>
                    </wpg:wgp>
                  </a:graphicData>
                </a:graphic>
              </wp:anchor>
            </w:drawing>
          </mc:Choice>
          <mc:Fallback>
            <w:pict>
              <v:group style="position:absolute;margin-left:131.576904pt;margin-top:15.480343pt;width:32.5pt;height:12.05pt;mso-position-horizontal-relative:page;mso-position-vertical-relative:paragraph;z-index:15819264" id="docshapegroup974" coordorigin="2632,310" coordsize="650,241">
                <v:line style="position:absolute" from="3281,485" to="2737,485" stroked="true" strokeweight=".933007pt" strokecolor="#2e3092">
                  <v:stroke dashstyle="solid"/>
                </v:line>
                <v:shape style="position:absolute;left:2631;top:423;width:149;height:122" id="docshape975" coordorigin="2632,424" coordsize="149,122" path="m2780,424l2632,485,2780,545,2745,485,2780,424xe" filled="true" fillcolor="#2e3092" stroked="false">
                  <v:path arrowok="t"/>
                  <v:fill type="solid"/>
                </v:shape>
                <v:shape style="position:absolute;left:2631;top:309;width:650;height:241" type="#_x0000_t202" id="docshape976" filled="false" stroked="false">
                  <v:textbox inset="0,0,0,0">
                    <w:txbxContent>
                      <w:p>
                        <w:pPr>
                          <w:spacing w:line="128" w:lineRule="exact" w:before="0"/>
                          <w:ind w:left="288" w:right="0" w:firstLine="0"/>
                          <w:jc w:val="left"/>
                          <w:rPr>
                            <w:rFonts w:ascii="Arial MT"/>
                            <w:sz w:val="13"/>
                          </w:rPr>
                        </w:pPr>
                        <w:r>
                          <w:rPr>
                            <w:rFonts w:ascii="Arial MT"/>
                            <w:color w:val="231F20"/>
                            <w:spacing w:val="-5"/>
                            <w:sz w:val="13"/>
                          </w:rPr>
                          <w:t>Yes</w:t>
                        </w:r>
                      </w:p>
                    </w:txbxContent>
                  </v:textbox>
                  <w10:wrap type="none"/>
                </v:shape>
                <w10:wrap type="none"/>
              </v:group>
            </w:pict>
          </mc:Fallback>
        </mc:AlternateContent>
      </w:r>
      <w:r>
        <w:rPr>
          <w:position w:val="-14"/>
        </w:rPr>
        <w:drawing>
          <wp:inline distT="0" distB="0" distL="0" distR="0">
            <wp:extent cx="77050" cy="171944"/>
            <wp:effectExtent l="0" t="0" r="0" b="0"/>
            <wp:docPr id="1236" name="Image 1236"/>
            <wp:cNvGraphicFramePr>
              <a:graphicFrameLocks/>
            </wp:cNvGraphicFramePr>
            <a:graphic>
              <a:graphicData uri="http://schemas.openxmlformats.org/drawingml/2006/picture">
                <pic:pic>
                  <pic:nvPicPr>
                    <pic:cNvPr id="1236" name="Image 1236"/>
                    <pic:cNvPicPr/>
                  </pic:nvPicPr>
                  <pic:blipFill>
                    <a:blip r:embed="rId324" cstate="print"/>
                    <a:stretch>
                      <a:fillRect/>
                    </a:stretch>
                  </pic:blipFill>
                  <pic:spPr>
                    <a:xfrm>
                      <a:off x="0" y="0"/>
                      <a:ext cx="77050" cy="171944"/>
                    </a:xfrm>
                    <a:prstGeom prst="rect">
                      <a:avLst/>
                    </a:prstGeom>
                  </pic:spPr>
                </pic:pic>
              </a:graphicData>
            </a:graphic>
          </wp:inline>
        </w:drawing>
      </w:r>
      <w:r>
        <w:rPr>
          <w:position w:val="-14"/>
        </w:rPr>
      </w:r>
      <w:r>
        <w:rPr>
          <w:rFonts w:ascii="Arial MT"/>
          <w:color w:val="231F20"/>
          <w:spacing w:val="-5"/>
        </w:rPr>
        <w:t>No</w:t>
      </w:r>
    </w:p>
    <w:p>
      <w:pPr>
        <w:pStyle w:val="BodyText"/>
        <w:tabs>
          <w:tab w:pos="923" w:val="left" w:leader="none"/>
        </w:tabs>
        <w:spacing w:line="143" w:lineRule="exact" w:before="24"/>
        <w:ind w:left="632"/>
        <w:rPr>
          <w:rFonts w:ascii="Arial MT"/>
        </w:rPr>
      </w:pPr>
      <w:r>
        <w:rPr>
          <w:rFonts w:ascii="Arial MT"/>
        </w:rPr>
        <mc:AlternateContent>
          <mc:Choice Requires="wps">
            <w:drawing>
              <wp:anchor distT="0" distB="0" distL="0" distR="0" allowOverlap="1" layoutInCell="1" locked="0" behindDoc="1" simplePos="0" relativeHeight="475243520">
                <wp:simplePos x="0" y="0"/>
                <wp:positionH relativeFrom="page">
                  <wp:posOffset>2173680</wp:posOffset>
                </wp:positionH>
                <wp:positionV relativeFrom="paragraph">
                  <wp:posOffset>12978</wp:posOffset>
                </wp:positionV>
                <wp:extent cx="95885" cy="193040"/>
                <wp:effectExtent l="0" t="0" r="0" b="0"/>
                <wp:wrapNone/>
                <wp:docPr id="1237" name="Group 1237"/>
                <wp:cNvGraphicFramePr>
                  <a:graphicFrameLocks/>
                </wp:cNvGraphicFramePr>
                <a:graphic>
                  <a:graphicData uri="http://schemas.microsoft.com/office/word/2010/wordprocessingGroup">
                    <wpg:wgp>
                      <wpg:cNvPr id="1237" name="Group 1237"/>
                      <wpg:cNvGrpSpPr/>
                      <wpg:grpSpPr>
                        <a:xfrm>
                          <a:off x="0" y="0"/>
                          <a:ext cx="95885" cy="193040"/>
                          <a:chExt cx="95885" cy="193040"/>
                        </a:xfrm>
                      </wpg:grpSpPr>
                      <wps:wsp>
                        <wps:cNvPr id="1238" name="Graphic 1238"/>
                        <wps:cNvSpPr/>
                        <wps:spPr>
                          <a:xfrm>
                            <a:off x="2962" y="99900"/>
                            <a:ext cx="90170" cy="90170"/>
                          </a:xfrm>
                          <a:custGeom>
                            <a:avLst/>
                            <a:gdLst/>
                            <a:ahLst/>
                            <a:cxnLst/>
                            <a:rect l="l" t="t" r="r" b="b"/>
                            <a:pathLst>
                              <a:path w="90170" h="90170">
                                <a:moveTo>
                                  <a:pt x="44908" y="89816"/>
                                </a:moveTo>
                                <a:lnTo>
                                  <a:pt x="62381" y="86287"/>
                                </a:lnTo>
                                <a:lnTo>
                                  <a:pt x="76652" y="76661"/>
                                </a:lnTo>
                                <a:lnTo>
                                  <a:pt x="86275" y="62382"/>
                                </a:lnTo>
                                <a:lnTo>
                                  <a:pt x="89804" y="44896"/>
                                </a:lnTo>
                                <a:lnTo>
                                  <a:pt x="86275" y="27423"/>
                                </a:lnTo>
                                <a:lnTo>
                                  <a:pt x="76652" y="13152"/>
                                </a:lnTo>
                                <a:lnTo>
                                  <a:pt x="62381" y="3529"/>
                                </a:lnTo>
                                <a:lnTo>
                                  <a:pt x="44908" y="0"/>
                                </a:lnTo>
                                <a:lnTo>
                                  <a:pt x="27428" y="3529"/>
                                </a:lnTo>
                                <a:lnTo>
                                  <a:pt x="13154" y="13152"/>
                                </a:lnTo>
                                <a:lnTo>
                                  <a:pt x="3529" y="27423"/>
                                </a:lnTo>
                                <a:lnTo>
                                  <a:pt x="0" y="44896"/>
                                </a:lnTo>
                                <a:lnTo>
                                  <a:pt x="3529" y="62382"/>
                                </a:lnTo>
                                <a:lnTo>
                                  <a:pt x="13154" y="76661"/>
                                </a:lnTo>
                                <a:lnTo>
                                  <a:pt x="27428" y="86287"/>
                                </a:lnTo>
                                <a:lnTo>
                                  <a:pt x="44908" y="89816"/>
                                </a:lnTo>
                                <a:close/>
                              </a:path>
                            </a:pathLst>
                          </a:custGeom>
                          <a:ln w="5924">
                            <a:solidFill>
                              <a:srgbClr val="231F20"/>
                            </a:solidFill>
                            <a:prstDash val="solid"/>
                          </a:ln>
                        </wps:spPr>
                        <wps:bodyPr wrap="square" lIns="0" tIns="0" rIns="0" bIns="0" rtlCol="0">
                          <a:prstTxWarp prst="textNoShape">
                            <a:avLst/>
                          </a:prstTxWarp>
                          <a:noAutofit/>
                        </wps:bodyPr>
                      </wps:wsp>
                      <wps:wsp>
                        <wps:cNvPr id="1239" name="Graphic 1239"/>
                        <wps:cNvSpPr/>
                        <wps:spPr>
                          <a:xfrm>
                            <a:off x="2962" y="2962"/>
                            <a:ext cx="90170" cy="90170"/>
                          </a:xfrm>
                          <a:custGeom>
                            <a:avLst/>
                            <a:gdLst/>
                            <a:ahLst/>
                            <a:cxnLst/>
                            <a:rect l="l" t="t" r="r" b="b"/>
                            <a:pathLst>
                              <a:path w="90170" h="90170">
                                <a:moveTo>
                                  <a:pt x="44908" y="89816"/>
                                </a:moveTo>
                                <a:lnTo>
                                  <a:pt x="62381" y="86285"/>
                                </a:lnTo>
                                <a:lnTo>
                                  <a:pt x="76652" y="76656"/>
                                </a:lnTo>
                                <a:lnTo>
                                  <a:pt x="86275" y="62377"/>
                                </a:lnTo>
                                <a:lnTo>
                                  <a:pt x="89804" y="44896"/>
                                </a:lnTo>
                                <a:lnTo>
                                  <a:pt x="86275" y="27423"/>
                                </a:lnTo>
                                <a:lnTo>
                                  <a:pt x="76652" y="13152"/>
                                </a:lnTo>
                                <a:lnTo>
                                  <a:pt x="62381" y="3529"/>
                                </a:lnTo>
                                <a:lnTo>
                                  <a:pt x="44908" y="0"/>
                                </a:lnTo>
                                <a:lnTo>
                                  <a:pt x="27428" y="3529"/>
                                </a:lnTo>
                                <a:lnTo>
                                  <a:pt x="13154" y="13152"/>
                                </a:lnTo>
                                <a:lnTo>
                                  <a:pt x="3529" y="27423"/>
                                </a:lnTo>
                                <a:lnTo>
                                  <a:pt x="0" y="44896"/>
                                </a:lnTo>
                                <a:lnTo>
                                  <a:pt x="3529" y="62377"/>
                                </a:lnTo>
                                <a:lnTo>
                                  <a:pt x="13154" y="76656"/>
                                </a:lnTo>
                                <a:lnTo>
                                  <a:pt x="27428" y="86285"/>
                                </a:lnTo>
                                <a:lnTo>
                                  <a:pt x="44908" y="89816"/>
                                </a:lnTo>
                                <a:close/>
                              </a:path>
                            </a:pathLst>
                          </a:custGeom>
                          <a:ln w="5924">
                            <a:solidFill>
                              <a:srgbClr val="231F20"/>
                            </a:solidFill>
                            <a:prstDash val="solid"/>
                          </a:ln>
                        </wps:spPr>
                        <wps:bodyPr wrap="square" lIns="0" tIns="0" rIns="0" bIns="0" rtlCol="0">
                          <a:prstTxWarp prst="textNoShape">
                            <a:avLst/>
                          </a:prstTxWarp>
                          <a:noAutofit/>
                        </wps:bodyPr>
                      </wps:wsp>
                      <wps:wsp>
                        <wps:cNvPr id="1240" name="Textbox 1240"/>
                        <wps:cNvSpPr txBox="1"/>
                        <wps:spPr>
                          <a:xfrm>
                            <a:off x="0" y="0"/>
                            <a:ext cx="95885" cy="193040"/>
                          </a:xfrm>
                          <a:prstGeom prst="rect">
                            <a:avLst/>
                          </a:prstGeom>
                        </wps:spPr>
                        <wps:txbx>
                          <w:txbxContent>
                            <w:p>
                              <w:pPr>
                                <w:spacing w:line="137" w:lineRule="exact" w:before="0"/>
                                <w:ind w:left="36" w:right="0" w:firstLine="0"/>
                                <w:jc w:val="left"/>
                                <w:rPr>
                                  <w:rFonts w:ascii="Arial MT"/>
                                  <w:sz w:val="13"/>
                                </w:rPr>
                              </w:pPr>
                              <w:r>
                                <w:rPr>
                                  <w:rFonts w:ascii="Arial MT"/>
                                  <w:color w:val="231F20"/>
                                  <w:spacing w:val="-10"/>
                                  <w:sz w:val="13"/>
                                </w:rPr>
                                <w:t>+</w:t>
                              </w:r>
                            </w:p>
                            <w:p>
                              <w:pPr>
                                <w:spacing w:before="3"/>
                                <w:ind w:left="36" w:right="0" w:firstLine="0"/>
                                <w:jc w:val="left"/>
                                <w:rPr>
                                  <w:rFonts w:ascii="Arial MT"/>
                                  <w:sz w:val="13"/>
                                </w:rPr>
                              </w:pPr>
                              <w:r>
                                <w:rPr>
                                  <w:rFonts w:ascii="Arial MT"/>
                                  <w:color w:val="231F20"/>
                                  <w:spacing w:val="-10"/>
                                  <w:sz w:val="13"/>
                                </w:rPr>
                                <w:t>+</w:t>
                              </w:r>
                            </w:p>
                          </w:txbxContent>
                        </wps:txbx>
                        <wps:bodyPr wrap="square" lIns="0" tIns="0" rIns="0" bIns="0" rtlCol="0">
                          <a:noAutofit/>
                        </wps:bodyPr>
                      </wps:wsp>
                    </wpg:wgp>
                  </a:graphicData>
                </a:graphic>
              </wp:anchor>
            </w:drawing>
          </mc:Choice>
          <mc:Fallback>
            <w:pict>
              <v:group style="position:absolute;margin-left:171.15596pt;margin-top:1.021958pt;width:7.55pt;height:15.2pt;mso-position-horizontal-relative:page;mso-position-vertical-relative:paragraph;z-index:-28072960" id="docshapegroup977" coordorigin="3423,20" coordsize="151,304">
                <v:shape style="position:absolute;left:3427;top:177;width:142;height:142" id="docshape978" coordorigin="3428,178" coordsize="142,142" path="m3499,319l3526,314,3548,298,3564,276,3569,248,3564,221,3548,198,3526,183,3499,178,3471,183,3448,198,3433,221,3428,248,3433,276,3448,298,3471,314,3499,319xe" filled="false" stroked="true" strokeweight=".466503pt" strokecolor="#231f20">
                  <v:path arrowok="t"/>
                  <v:stroke dashstyle="solid"/>
                </v:shape>
                <v:shape style="position:absolute;left:3427;top:25;width:142;height:142" id="docshape979" coordorigin="3428,25" coordsize="142,142" path="m3499,167l3526,161,3548,146,3564,123,3569,96,3564,68,3548,46,3526,31,3499,25,3471,31,3448,46,3433,68,3428,96,3433,123,3448,146,3471,161,3499,167xe" filled="false" stroked="true" strokeweight=".466503pt" strokecolor="#231f20">
                  <v:path arrowok="t"/>
                  <v:stroke dashstyle="solid"/>
                </v:shape>
                <v:shape style="position:absolute;left:3423;top:20;width:151;height:304" type="#_x0000_t202" id="docshape980" filled="false" stroked="false">
                  <v:textbox inset="0,0,0,0">
                    <w:txbxContent>
                      <w:p>
                        <w:pPr>
                          <w:spacing w:line="137" w:lineRule="exact" w:before="0"/>
                          <w:ind w:left="36" w:right="0" w:firstLine="0"/>
                          <w:jc w:val="left"/>
                          <w:rPr>
                            <w:rFonts w:ascii="Arial MT"/>
                            <w:sz w:val="13"/>
                          </w:rPr>
                        </w:pPr>
                        <w:r>
                          <w:rPr>
                            <w:rFonts w:ascii="Arial MT"/>
                            <w:color w:val="231F20"/>
                            <w:spacing w:val="-10"/>
                            <w:sz w:val="13"/>
                          </w:rPr>
                          <w:t>+</w:t>
                        </w:r>
                      </w:p>
                      <w:p>
                        <w:pPr>
                          <w:spacing w:before="3"/>
                          <w:ind w:left="36" w:right="0" w:firstLine="0"/>
                          <w:jc w:val="left"/>
                          <w:rPr>
                            <w:rFonts w:ascii="Arial MT"/>
                            <w:sz w:val="13"/>
                          </w:rPr>
                        </w:pPr>
                        <w:r>
                          <w:rPr>
                            <w:rFonts w:ascii="Arial MT"/>
                            <w:color w:val="231F20"/>
                            <w:spacing w:val="-10"/>
                            <w:sz w:val="13"/>
                          </w:rPr>
                          <w:t>+</w:t>
                        </w:r>
                      </w:p>
                    </w:txbxContent>
                  </v:textbox>
                  <w10:wrap type="none"/>
                </v:shape>
                <w10:wrap type="none"/>
              </v:group>
            </w:pict>
          </mc:Fallback>
        </mc:AlternateContent>
      </w:r>
      <w:r>
        <w:rPr>
          <w:rFonts w:ascii="Arial MT"/>
          <w:color w:val="231F20"/>
          <w:spacing w:val="-10"/>
        </w:rPr>
        <w:t>?</w:t>
      </w:r>
      <w:r>
        <w:rPr>
          <w:rFonts w:ascii="Arial MT"/>
          <w:color w:val="231F20"/>
        </w:rPr>
        <w:tab/>
      </w:r>
      <w:r>
        <w:rPr>
          <w:rFonts w:ascii="Arial MT"/>
          <w:color w:val="231F20"/>
          <w:spacing w:val="-2"/>
        </w:rPr>
        <w:t>Photophobia</w:t>
      </w:r>
    </w:p>
    <w:p>
      <w:pPr>
        <w:pStyle w:val="BodyText"/>
        <w:tabs>
          <w:tab w:pos="923" w:val="left" w:leader="none"/>
        </w:tabs>
        <w:spacing w:line="153" w:lineRule="exact"/>
        <w:ind w:left="632"/>
        <w:rPr>
          <w:rFonts w:ascii="Arial MT" w:hAnsi="Arial MT"/>
        </w:rPr>
      </w:pPr>
      <w:r>
        <w:rPr>
          <w:rFonts w:ascii="Arial MT" w:hAnsi="Arial MT"/>
        </w:rPr>
        <w:drawing>
          <wp:anchor distT="0" distB="0" distL="0" distR="0" allowOverlap="1" layoutInCell="1" locked="0" behindDoc="1" simplePos="0" relativeHeight="475244032">
            <wp:simplePos x="0" y="0"/>
            <wp:positionH relativeFrom="page">
              <wp:posOffset>2681217</wp:posOffset>
            </wp:positionH>
            <wp:positionV relativeFrom="paragraph">
              <wp:posOffset>3734</wp:posOffset>
            </wp:positionV>
            <wp:extent cx="95741" cy="95741"/>
            <wp:effectExtent l="0" t="0" r="0" b="0"/>
            <wp:wrapNone/>
            <wp:docPr id="1241" name="Image 1241"/>
            <wp:cNvGraphicFramePr>
              <a:graphicFrameLocks/>
            </wp:cNvGraphicFramePr>
            <a:graphic>
              <a:graphicData uri="http://schemas.openxmlformats.org/drawingml/2006/picture">
                <pic:pic>
                  <pic:nvPicPr>
                    <pic:cNvPr id="1241" name="Image 1241"/>
                    <pic:cNvPicPr/>
                  </pic:nvPicPr>
                  <pic:blipFill>
                    <a:blip r:embed="rId325" cstate="print"/>
                    <a:stretch>
                      <a:fillRect/>
                    </a:stretch>
                  </pic:blipFill>
                  <pic:spPr>
                    <a:xfrm>
                      <a:off x="0" y="0"/>
                      <a:ext cx="95741" cy="95741"/>
                    </a:xfrm>
                    <a:prstGeom prst="rect">
                      <a:avLst/>
                    </a:prstGeom>
                  </pic:spPr>
                </pic:pic>
              </a:graphicData>
            </a:graphic>
          </wp:anchor>
        </w:drawing>
      </w:r>
      <w:r>
        <w:rPr>
          <w:rFonts w:ascii="Arial MT" w:hAnsi="Arial MT"/>
          <w:color w:val="231F20"/>
          <w:spacing w:val="-10"/>
        </w:rPr>
        <w:t>?</w:t>
      </w:r>
      <w:r>
        <w:rPr>
          <w:rFonts w:ascii="Arial MT" w:hAnsi="Arial MT"/>
          <w:color w:val="231F20"/>
        </w:rPr>
        <w:tab/>
        <w:t>Sloan</w:t>
      </w:r>
      <w:r>
        <w:rPr>
          <w:rFonts w:ascii="Arial MT" w:hAnsi="Arial MT"/>
          <w:color w:val="231F20"/>
          <w:spacing w:val="-1"/>
        </w:rPr>
        <w:t> </w:t>
      </w:r>
      <w:r>
        <w:rPr>
          <w:rFonts w:ascii="Arial MT" w:hAnsi="Arial MT"/>
          <w:color w:val="231F20"/>
        </w:rPr>
        <w:t>test/</w:t>
      </w:r>
      <w:r>
        <w:rPr>
          <w:rFonts w:ascii="Arial MT" w:hAnsi="Arial MT"/>
          <w:color w:val="231F20"/>
          <w:spacing w:val="9"/>
        </w:rPr>
        <w:t> </w:t>
      </w:r>
      <w:r>
        <w:rPr>
          <w:rFonts w:ascii="Arial MT" w:hAnsi="Arial MT"/>
          <w:color w:val="231F20"/>
          <w:position w:val="1"/>
        </w:rPr>
        <w:t>–</w:t>
      </w:r>
      <w:r>
        <w:rPr>
          <w:rFonts w:ascii="Arial MT" w:hAnsi="Arial MT"/>
          <w:color w:val="231F20"/>
          <w:spacing w:val="24"/>
          <w:position w:val="1"/>
        </w:rPr>
        <w:t> </w:t>
      </w:r>
      <w:r>
        <w:rPr>
          <w:rFonts w:ascii="Arial MT" w:hAnsi="Arial MT"/>
          <w:color w:val="231F20"/>
        </w:rPr>
        <w:t>Flicker </w:t>
      </w:r>
      <w:r>
        <w:rPr>
          <w:rFonts w:ascii="Arial MT" w:hAnsi="Arial MT"/>
          <w:color w:val="231F20"/>
          <w:spacing w:val="-5"/>
        </w:rPr>
        <w:t>ERG</w:t>
      </w:r>
    </w:p>
    <w:p>
      <w:pPr>
        <w:pStyle w:val="BodyText"/>
        <w:spacing w:before="35"/>
        <w:ind w:left="122" w:right="552"/>
        <w:jc w:val="center"/>
        <w:rPr>
          <w:rFonts w:ascii="Arial MT"/>
        </w:rPr>
      </w:pPr>
      <w:r>
        <w:rPr>
          <w:rFonts w:ascii="Arial MT"/>
        </w:rPr>
        <mc:AlternateContent>
          <mc:Choice Requires="wps">
            <w:drawing>
              <wp:anchor distT="0" distB="0" distL="0" distR="0" allowOverlap="1" layoutInCell="1" locked="0" behindDoc="0" simplePos="0" relativeHeight="15816192">
                <wp:simplePos x="0" y="0"/>
                <wp:positionH relativeFrom="page">
                  <wp:posOffset>4479188</wp:posOffset>
                </wp:positionH>
                <wp:positionV relativeFrom="paragraph">
                  <wp:posOffset>310618</wp:posOffset>
                </wp:positionV>
                <wp:extent cx="329565" cy="77470"/>
                <wp:effectExtent l="0" t="0" r="0" b="0"/>
                <wp:wrapNone/>
                <wp:docPr id="1242" name="Group 1242"/>
                <wp:cNvGraphicFramePr>
                  <a:graphicFrameLocks/>
                </wp:cNvGraphicFramePr>
                <a:graphic>
                  <a:graphicData uri="http://schemas.microsoft.com/office/word/2010/wordprocessingGroup">
                    <wpg:wgp>
                      <wpg:cNvPr id="1242" name="Group 1242"/>
                      <wpg:cNvGrpSpPr/>
                      <wpg:grpSpPr>
                        <a:xfrm>
                          <a:off x="0" y="0"/>
                          <a:ext cx="329565" cy="77470"/>
                          <a:chExt cx="329565" cy="77470"/>
                        </a:xfrm>
                      </wpg:grpSpPr>
                      <wps:wsp>
                        <wps:cNvPr id="1243" name="Graphic 1243"/>
                        <wps:cNvSpPr/>
                        <wps:spPr>
                          <a:xfrm>
                            <a:off x="0" y="38531"/>
                            <a:ext cx="262255" cy="1270"/>
                          </a:xfrm>
                          <a:custGeom>
                            <a:avLst/>
                            <a:gdLst/>
                            <a:ahLst/>
                            <a:cxnLst/>
                            <a:rect l="l" t="t" r="r" b="b"/>
                            <a:pathLst>
                              <a:path w="262255" h="0">
                                <a:moveTo>
                                  <a:pt x="0" y="0"/>
                                </a:moveTo>
                                <a:lnTo>
                                  <a:pt x="262009" y="0"/>
                                </a:lnTo>
                              </a:path>
                            </a:pathLst>
                          </a:custGeom>
                          <a:ln w="11849">
                            <a:solidFill>
                              <a:srgbClr val="2E3092"/>
                            </a:solidFill>
                            <a:prstDash val="solid"/>
                          </a:ln>
                        </wps:spPr>
                        <wps:bodyPr wrap="square" lIns="0" tIns="0" rIns="0" bIns="0" rtlCol="0">
                          <a:prstTxWarp prst="textNoShape">
                            <a:avLst/>
                          </a:prstTxWarp>
                          <a:noAutofit/>
                        </wps:bodyPr>
                      </wps:wsp>
                      <wps:wsp>
                        <wps:cNvPr id="1244" name="Graphic 1244"/>
                        <wps:cNvSpPr/>
                        <wps:spPr>
                          <a:xfrm>
                            <a:off x="234622" y="0"/>
                            <a:ext cx="94615" cy="77470"/>
                          </a:xfrm>
                          <a:custGeom>
                            <a:avLst/>
                            <a:gdLst/>
                            <a:ahLst/>
                            <a:cxnLst/>
                            <a:rect l="l" t="t" r="r" b="b"/>
                            <a:pathLst>
                              <a:path w="94615" h="77470">
                                <a:moveTo>
                                  <a:pt x="0" y="0"/>
                                </a:moveTo>
                                <a:lnTo>
                                  <a:pt x="22377" y="38531"/>
                                </a:lnTo>
                                <a:lnTo>
                                  <a:pt x="0" y="77050"/>
                                </a:lnTo>
                                <a:lnTo>
                                  <a:pt x="94322" y="38531"/>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52.691986pt;margin-top:24.458143pt;width:25.95pt;height:6.1pt;mso-position-horizontal-relative:page;mso-position-vertical-relative:paragraph;z-index:15816192" id="docshapegroup981" coordorigin="7054,489" coordsize="519,122">
                <v:line style="position:absolute" from="7054,550" to="7466,550" stroked="true" strokeweight=".933007pt" strokecolor="#2e3092">
                  <v:stroke dashstyle="solid"/>
                </v:line>
                <v:shape style="position:absolute;left:7423;top:489;width:149;height:122" id="docshape982" coordorigin="7423,489" coordsize="149,122" path="m7423,489l7459,550,7423,611,7572,550,7423,489xe" filled="true" fillcolor="#2e3092" stroked="false">
                  <v:path arrowok="t"/>
                  <v:fill type="solid"/>
                </v:shape>
                <w10:wrap type="none"/>
              </v:group>
            </w:pict>
          </mc:Fallback>
        </mc:AlternateContent>
      </w:r>
      <w:r>
        <w:rPr>
          <w:rFonts w:ascii="Arial MT"/>
        </w:rPr>
        <mc:AlternateContent>
          <mc:Choice Requires="wps">
            <w:drawing>
              <wp:anchor distT="0" distB="0" distL="0" distR="0" allowOverlap="1" layoutInCell="1" locked="0" behindDoc="0" simplePos="0" relativeHeight="15820800">
                <wp:simplePos x="0" y="0"/>
                <wp:positionH relativeFrom="page">
                  <wp:posOffset>2394836</wp:posOffset>
                </wp:positionH>
                <wp:positionV relativeFrom="paragraph">
                  <wp:posOffset>23795</wp:posOffset>
                </wp:positionV>
                <wp:extent cx="77470" cy="172085"/>
                <wp:effectExtent l="0" t="0" r="0" b="0"/>
                <wp:wrapNone/>
                <wp:docPr id="1245" name="Group 1245"/>
                <wp:cNvGraphicFramePr>
                  <a:graphicFrameLocks/>
                </wp:cNvGraphicFramePr>
                <a:graphic>
                  <a:graphicData uri="http://schemas.microsoft.com/office/word/2010/wordprocessingGroup">
                    <wpg:wgp>
                      <wpg:cNvPr id="1245" name="Group 1245"/>
                      <wpg:cNvGrpSpPr/>
                      <wpg:grpSpPr>
                        <a:xfrm>
                          <a:off x="0" y="0"/>
                          <a:ext cx="77470" cy="172085"/>
                          <a:chExt cx="77470" cy="172085"/>
                        </a:xfrm>
                      </wpg:grpSpPr>
                      <wps:wsp>
                        <wps:cNvPr id="1246" name="Graphic 1246"/>
                        <wps:cNvSpPr/>
                        <wps:spPr>
                          <a:xfrm>
                            <a:off x="38519" y="0"/>
                            <a:ext cx="1270" cy="105410"/>
                          </a:xfrm>
                          <a:custGeom>
                            <a:avLst/>
                            <a:gdLst/>
                            <a:ahLst/>
                            <a:cxnLst/>
                            <a:rect l="l" t="t" r="r" b="b"/>
                            <a:pathLst>
                              <a:path w="0" h="105410">
                                <a:moveTo>
                                  <a:pt x="0" y="0"/>
                                </a:moveTo>
                                <a:lnTo>
                                  <a:pt x="0" y="105031"/>
                                </a:lnTo>
                              </a:path>
                            </a:pathLst>
                          </a:custGeom>
                          <a:ln w="11849">
                            <a:solidFill>
                              <a:srgbClr val="2E3092"/>
                            </a:solidFill>
                            <a:prstDash val="solid"/>
                          </a:ln>
                        </wps:spPr>
                        <wps:bodyPr wrap="square" lIns="0" tIns="0" rIns="0" bIns="0" rtlCol="0">
                          <a:prstTxWarp prst="textNoShape">
                            <a:avLst/>
                          </a:prstTxWarp>
                          <a:noAutofit/>
                        </wps:bodyPr>
                      </wps:wsp>
                      <wps:wsp>
                        <wps:cNvPr id="1247" name="Graphic 1247"/>
                        <wps:cNvSpPr/>
                        <wps:spPr>
                          <a:xfrm>
                            <a:off x="0" y="77632"/>
                            <a:ext cx="77470" cy="94615"/>
                          </a:xfrm>
                          <a:custGeom>
                            <a:avLst/>
                            <a:gdLst/>
                            <a:ahLst/>
                            <a:cxnLst/>
                            <a:rect l="l" t="t" r="r" b="b"/>
                            <a:pathLst>
                              <a:path w="77470" h="94615">
                                <a:moveTo>
                                  <a:pt x="77050" y="0"/>
                                </a:moveTo>
                                <a:lnTo>
                                  <a:pt x="38519" y="22390"/>
                                </a:lnTo>
                                <a:lnTo>
                                  <a:pt x="0" y="0"/>
                                </a:lnTo>
                                <a:lnTo>
                                  <a:pt x="38519" y="94322"/>
                                </a:lnTo>
                                <a:lnTo>
                                  <a:pt x="7705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88.569794pt;margin-top:1.873644pt;width:6.1pt;height:13.55pt;mso-position-horizontal-relative:page;mso-position-vertical-relative:paragraph;z-index:15820800" id="docshapegroup983" coordorigin="3771,37" coordsize="122,271">
                <v:line style="position:absolute" from="3832,37" to="3832,203" stroked="true" strokeweight=".933007pt" strokecolor="#2e3092">
                  <v:stroke dashstyle="solid"/>
                </v:line>
                <v:shape style="position:absolute;left:3771;top:159;width:122;height:149" id="docshape984" coordorigin="3771,160" coordsize="122,149" path="m3893,160l3832,195,3771,160,3832,308,3893,160xe" filled="true" fillcolor="#2e3092" stroked="false">
                  <v:path arrowok="t"/>
                  <v:fill type="solid"/>
                </v:shape>
                <w10:wrap type="none"/>
              </v:group>
            </w:pict>
          </mc:Fallback>
        </mc:AlternateContent>
      </w:r>
      <w:r>
        <w:rPr>
          <w:rFonts w:ascii="Arial MT"/>
          <w:color w:val="231F20"/>
          <w:spacing w:val="-5"/>
        </w:rPr>
        <w:t>No</w:t>
      </w:r>
    </w:p>
    <w:p>
      <w:pPr>
        <w:pStyle w:val="BodyText"/>
        <w:spacing w:line="235" w:lineRule="auto" w:before="100"/>
        <w:ind w:left="2079" w:right="2336"/>
        <w:jc w:val="center"/>
        <w:rPr>
          <w:rFonts w:ascii="Arial MT"/>
        </w:rPr>
      </w:pPr>
      <w:r>
        <w:rPr/>
        <w:br w:type="column"/>
      </w:r>
      <w:r>
        <w:rPr>
          <w:rFonts w:ascii="Arial MT"/>
          <w:color w:val="231F20"/>
        </w:rPr>
        <w:t>Idiopathic</w:t>
      </w:r>
      <w:r>
        <w:rPr>
          <w:rFonts w:ascii="Arial MT"/>
          <w:color w:val="231F20"/>
          <w:spacing w:val="-10"/>
        </w:rPr>
        <w:t> </w:t>
      </w:r>
      <w:r>
        <w:rPr>
          <w:rFonts w:ascii="Arial MT"/>
          <w:color w:val="231F20"/>
        </w:rPr>
        <w:t>optic</w:t>
      </w:r>
      <w:r>
        <w:rPr>
          <w:rFonts w:ascii="Arial MT"/>
          <w:color w:val="231F20"/>
          <w:spacing w:val="40"/>
        </w:rPr>
        <w:t> </w:t>
      </w:r>
      <w:r>
        <w:rPr>
          <w:rFonts w:ascii="Arial MT"/>
          <w:color w:val="231F20"/>
        </w:rPr>
        <w:t>nerve</w:t>
      </w:r>
      <w:r>
        <w:rPr>
          <w:rFonts w:ascii="Arial MT"/>
          <w:color w:val="231F20"/>
          <w:spacing w:val="-4"/>
        </w:rPr>
        <w:t> </w:t>
      </w:r>
      <w:r>
        <w:rPr>
          <w:rFonts w:ascii="Arial MT"/>
          <w:color w:val="231F20"/>
          <w:spacing w:val="-2"/>
        </w:rPr>
        <w:t>disorder</w:t>
      </w:r>
    </w:p>
    <w:p>
      <w:pPr>
        <w:pStyle w:val="BodyText"/>
        <w:rPr>
          <w:rFonts w:ascii="Arial MT"/>
        </w:rPr>
      </w:pPr>
    </w:p>
    <w:p>
      <w:pPr>
        <w:pStyle w:val="BodyText"/>
        <w:spacing w:before="89"/>
        <w:rPr>
          <w:rFonts w:ascii="Arial MT"/>
        </w:rPr>
      </w:pPr>
    </w:p>
    <w:p>
      <w:pPr>
        <w:pStyle w:val="BodyText"/>
        <w:ind w:left="1054"/>
        <w:rPr>
          <w:rFonts w:ascii="Arial MT"/>
        </w:rPr>
      </w:pPr>
      <w:r>
        <w:rPr>
          <w:rFonts w:ascii="Arial MT"/>
          <w:color w:val="231F20"/>
          <w:spacing w:val="-5"/>
        </w:rPr>
        <w:t>No</w:t>
      </w:r>
    </w:p>
    <w:p>
      <w:pPr>
        <w:pStyle w:val="BodyText"/>
        <w:spacing w:after="0"/>
        <w:rPr>
          <w:rFonts w:ascii="Arial MT"/>
        </w:rPr>
        <w:sectPr>
          <w:type w:val="continuous"/>
          <w:pgSz w:w="11900" w:h="16840"/>
          <w:pgMar w:header="0" w:footer="0" w:top="620" w:bottom="280" w:left="708" w:right="566"/>
          <w:cols w:num="3" w:equalWidth="0">
            <w:col w:w="1926" w:space="40"/>
            <w:col w:w="3038" w:space="63"/>
            <w:col w:w="5559"/>
          </w:cols>
        </w:sectPr>
      </w:pPr>
    </w:p>
    <w:p>
      <w:pPr>
        <w:pStyle w:val="BodyText"/>
        <w:spacing w:before="129"/>
        <w:rPr>
          <w:rFonts w:ascii="Arial MT"/>
        </w:rPr>
      </w:pPr>
    </w:p>
    <w:p>
      <w:pPr>
        <w:pStyle w:val="BodyText"/>
        <w:jc w:val="right"/>
        <w:rPr>
          <w:rFonts w:ascii="Arial MT"/>
        </w:rPr>
      </w:pPr>
      <w:r>
        <w:rPr>
          <w:rFonts w:ascii="Arial MT"/>
          <w:color w:val="231F20"/>
          <w:spacing w:val="-4"/>
        </w:rPr>
        <w:t>CSNB</w:t>
      </w:r>
    </w:p>
    <w:p>
      <w:pPr>
        <w:pStyle w:val="BodyText"/>
        <w:tabs>
          <w:tab w:pos="2753" w:val="left" w:leader="none"/>
        </w:tabs>
        <w:spacing w:line="163" w:lineRule="exact" w:before="133"/>
        <w:ind w:left="754"/>
        <w:jc w:val="center"/>
        <w:rPr>
          <w:rFonts w:ascii="Arial MT"/>
          <w:position w:val="-2"/>
        </w:rPr>
      </w:pPr>
      <w:r>
        <w:rPr/>
        <w:br w:type="column"/>
      </w:r>
      <w:r>
        <w:rPr>
          <w:rFonts w:ascii="Arial MT"/>
          <w:color w:val="231F20"/>
          <w:position w:val="-1"/>
        </w:rPr>
        <w:t>Yes</w:t>
      </w:r>
      <w:r>
        <w:rPr>
          <w:rFonts w:ascii="Arial MT"/>
          <w:color w:val="231F20"/>
          <w:spacing w:val="45"/>
          <w:position w:val="-1"/>
        </w:rPr>
        <w:t>  </w:t>
      </w:r>
      <w:r>
        <w:rPr>
          <w:rFonts w:ascii="Arial MT"/>
          <w:color w:val="231F20"/>
        </w:rPr>
        <w:t>?</w:t>
      </w:r>
      <w:r>
        <w:rPr>
          <w:rFonts w:ascii="Arial MT"/>
          <w:color w:val="231F20"/>
          <w:spacing w:val="-3"/>
        </w:rPr>
        <w:t> </w:t>
      </w:r>
      <w:r>
        <w:rPr>
          <w:rFonts w:ascii="Arial MT"/>
          <w:color w:val="231F20"/>
          <w:spacing w:val="-2"/>
        </w:rPr>
        <w:t>Myopia</w:t>
      </w:r>
      <w:r>
        <w:rPr>
          <w:rFonts w:ascii="Arial MT"/>
          <w:color w:val="231F20"/>
        </w:rPr>
        <w:tab/>
      </w:r>
      <w:r>
        <w:rPr>
          <w:rFonts w:ascii="Arial MT"/>
          <w:color w:val="231F20"/>
          <w:spacing w:val="-5"/>
          <w:position w:val="-2"/>
        </w:rPr>
        <w:t>No</w:t>
      </w:r>
    </w:p>
    <w:p>
      <w:pPr>
        <w:pStyle w:val="BodyText"/>
        <w:tabs>
          <w:tab w:pos="1118" w:val="left" w:leader="none"/>
        </w:tabs>
        <w:spacing w:line="132" w:lineRule="exact"/>
        <w:ind w:left="828"/>
        <w:jc w:val="center"/>
        <w:rPr>
          <w:rFonts w:ascii="Arial MT"/>
        </w:rPr>
      </w:pPr>
      <w:r>
        <w:rPr>
          <w:rFonts w:ascii="Arial MT"/>
        </w:rPr>
        <mc:AlternateContent>
          <mc:Choice Requires="wps">
            <w:drawing>
              <wp:anchor distT="0" distB="0" distL="0" distR="0" allowOverlap="1" layoutInCell="1" locked="0" behindDoc="0" simplePos="0" relativeHeight="15814144">
                <wp:simplePos x="0" y="0"/>
                <wp:positionH relativeFrom="page">
                  <wp:posOffset>3089469</wp:posOffset>
                </wp:positionH>
                <wp:positionV relativeFrom="paragraph">
                  <wp:posOffset>-1287</wp:posOffset>
                </wp:positionV>
                <wp:extent cx="236220" cy="77470"/>
                <wp:effectExtent l="0" t="0" r="0" b="0"/>
                <wp:wrapNone/>
                <wp:docPr id="1248" name="Group 1248"/>
                <wp:cNvGraphicFramePr>
                  <a:graphicFrameLocks/>
                </wp:cNvGraphicFramePr>
                <a:graphic>
                  <a:graphicData uri="http://schemas.microsoft.com/office/word/2010/wordprocessingGroup">
                    <wpg:wgp>
                      <wpg:cNvPr id="1248" name="Group 1248"/>
                      <wpg:cNvGrpSpPr/>
                      <wpg:grpSpPr>
                        <a:xfrm>
                          <a:off x="0" y="0"/>
                          <a:ext cx="236220" cy="77470"/>
                          <a:chExt cx="236220" cy="77470"/>
                        </a:xfrm>
                      </wpg:grpSpPr>
                      <wps:wsp>
                        <wps:cNvPr id="1249" name="Graphic 1249"/>
                        <wps:cNvSpPr/>
                        <wps:spPr>
                          <a:xfrm>
                            <a:off x="0" y="38531"/>
                            <a:ext cx="168910" cy="1270"/>
                          </a:xfrm>
                          <a:custGeom>
                            <a:avLst/>
                            <a:gdLst/>
                            <a:ahLst/>
                            <a:cxnLst/>
                            <a:rect l="l" t="t" r="r" b="b"/>
                            <a:pathLst>
                              <a:path w="168910" h="0">
                                <a:moveTo>
                                  <a:pt x="0" y="0"/>
                                </a:moveTo>
                                <a:lnTo>
                                  <a:pt x="168803" y="0"/>
                                </a:lnTo>
                              </a:path>
                            </a:pathLst>
                          </a:custGeom>
                          <a:ln w="11849">
                            <a:solidFill>
                              <a:srgbClr val="2E3092"/>
                            </a:solidFill>
                            <a:prstDash val="solid"/>
                          </a:ln>
                        </wps:spPr>
                        <wps:bodyPr wrap="square" lIns="0" tIns="0" rIns="0" bIns="0" rtlCol="0">
                          <a:prstTxWarp prst="textNoShape">
                            <a:avLst/>
                          </a:prstTxWarp>
                          <a:noAutofit/>
                        </wps:bodyPr>
                      </wps:wsp>
                      <wps:wsp>
                        <wps:cNvPr id="1250" name="Graphic 1250"/>
                        <wps:cNvSpPr/>
                        <wps:spPr>
                          <a:xfrm>
                            <a:off x="141404" y="0"/>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243.265305pt;margin-top:-.10141pt;width:18.6pt;height:6.1pt;mso-position-horizontal-relative:page;mso-position-vertical-relative:paragraph;z-index:15814144" id="docshapegroup985" coordorigin="4865,-2" coordsize="372,122">
                <v:line style="position:absolute" from="4865,59" to="5131,59" stroked="true" strokeweight=".933007pt" strokecolor="#2e3092">
                  <v:stroke dashstyle="solid"/>
                </v:line>
                <v:shape style="position:absolute;left:5088;top:-3;width:149;height:122" id="docshape986" coordorigin="5088,-2" coordsize="149,122" path="m5088,-2l5123,59,5088,119,5237,59,5088,-2xe" filled="true" fillcolor="#2e3092" stroked="false">
                  <v:path arrowok="t"/>
                  <v:fill type="solid"/>
                </v:shape>
                <w10:wrap type="none"/>
              </v:group>
            </w:pict>
          </mc:Fallback>
        </mc:AlternateContent>
      </w:r>
      <w:r>
        <w:rPr>
          <w:rFonts w:ascii="Arial MT"/>
        </w:rPr>
        <mc:AlternateContent>
          <mc:Choice Requires="wps">
            <w:drawing>
              <wp:anchor distT="0" distB="0" distL="0" distR="0" allowOverlap="1" layoutInCell="1" locked="0" behindDoc="1" simplePos="0" relativeHeight="475245056">
                <wp:simplePos x="0" y="0"/>
                <wp:positionH relativeFrom="page">
                  <wp:posOffset>2173680</wp:posOffset>
                </wp:positionH>
                <wp:positionV relativeFrom="paragraph">
                  <wp:posOffset>-13009</wp:posOffset>
                </wp:positionV>
                <wp:extent cx="95885" cy="193040"/>
                <wp:effectExtent l="0" t="0" r="0" b="0"/>
                <wp:wrapNone/>
                <wp:docPr id="1251" name="Group 1251"/>
                <wp:cNvGraphicFramePr>
                  <a:graphicFrameLocks/>
                </wp:cNvGraphicFramePr>
                <a:graphic>
                  <a:graphicData uri="http://schemas.microsoft.com/office/word/2010/wordprocessingGroup">
                    <wpg:wgp>
                      <wpg:cNvPr id="1251" name="Group 1251"/>
                      <wpg:cNvGrpSpPr/>
                      <wpg:grpSpPr>
                        <a:xfrm>
                          <a:off x="0" y="0"/>
                          <a:ext cx="95885" cy="193040"/>
                          <a:chExt cx="95885" cy="193040"/>
                        </a:xfrm>
                      </wpg:grpSpPr>
                      <pic:pic>
                        <pic:nvPicPr>
                          <pic:cNvPr id="1252" name="Image 1252"/>
                          <pic:cNvPicPr/>
                        </pic:nvPicPr>
                        <pic:blipFill>
                          <a:blip r:embed="rId326" cstate="print"/>
                          <a:stretch>
                            <a:fillRect/>
                          </a:stretch>
                        </pic:blipFill>
                        <pic:spPr>
                          <a:xfrm>
                            <a:off x="0" y="0"/>
                            <a:ext cx="95729" cy="192680"/>
                          </a:xfrm>
                          <a:prstGeom prst="rect">
                            <a:avLst/>
                          </a:prstGeom>
                        </pic:spPr>
                      </pic:pic>
                      <wps:wsp>
                        <wps:cNvPr id="1253" name="Textbox 1253"/>
                        <wps:cNvSpPr txBox="1"/>
                        <wps:spPr>
                          <a:xfrm>
                            <a:off x="0" y="0"/>
                            <a:ext cx="95885" cy="193040"/>
                          </a:xfrm>
                          <a:prstGeom prst="rect">
                            <a:avLst/>
                          </a:prstGeom>
                        </wps:spPr>
                        <wps:txbx>
                          <w:txbxContent>
                            <w:p>
                              <w:pPr>
                                <w:spacing w:line="137" w:lineRule="exact" w:before="0"/>
                                <w:ind w:left="38" w:right="0" w:firstLine="0"/>
                                <w:jc w:val="left"/>
                                <w:rPr>
                                  <w:rFonts w:ascii="Arial MT" w:hAnsi="Arial MT"/>
                                  <w:sz w:val="13"/>
                                </w:rPr>
                              </w:pPr>
                              <w:r>
                                <w:rPr>
                                  <w:rFonts w:ascii="Arial MT" w:hAnsi="Arial MT"/>
                                  <w:color w:val="231F20"/>
                                  <w:spacing w:val="-10"/>
                                  <w:sz w:val="13"/>
                                </w:rPr>
                                <w:t>–</w:t>
                              </w:r>
                            </w:p>
                            <w:p>
                              <w:pPr>
                                <w:spacing w:before="3"/>
                                <w:ind w:left="36" w:right="0" w:firstLine="0"/>
                                <w:jc w:val="left"/>
                                <w:rPr>
                                  <w:rFonts w:ascii="Arial MT"/>
                                  <w:sz w:val="13"/>
                                </w:rPr>
                              </w:pPr>
                              <w:r>
                                <w:rPr>
                                  <w:rFonts w:ascii="Arial MT"/>
                                  <w:color w:val="231F20"/>
                                  <w:spacing w:val="-10"/>
                                  <w:sz w:val="13"/>
                                </w:rPr>
                                <w:t>+</w:t>
                              </w:r>
                            </w:p>
                          </w:txbxContent>
                        </wps:txbx>
                        <wps:bodyPr wrap="square" lIns="0" tIns="0" rIns="0" bIns="0" rtlCol="0">
                          <a:noAutofit/>
                        </wps:bodyPr>
                      </wps:wsp>
                    </wpg:wgp>
                  </a:graphicData>
                </a:graphic>
              </wp:anchor>
            </w:drawing>
          </mc:Choice>
          <mc:Fallback>
            <w:pict>
              <v:group style="position:absolute;margin-left:171.15596pt;margin-top:-1.024351pt;width:7.55pt;height:15.2pt;mso-position-horizontal-relative:page;mso-position-vertical-relative:paragraph;z-index:-28071424" id="docshapegroup987" coordorigin="3423,-20" coordsize="151,304">
                <v:shape style="position:absolute;left:3423;top:-21;width:151;height:304" type="#_x0000_t75" id="docshape988" stroked="false">
                  <v:imagedata r:id="rId326" o:title=""/>
                </v:shape>
                <v:shape style="position:absolute;left:3423;top:-21;width:151;height:304" type="#_x0000_t202" id="docshape989" filled="false" stroked="false">
                  <v:textbox inset="0,0,0,0">
                    <w:txbxContent>
                      <w:p>
                        <w:pPr>
                          <w:spacing w:line="137" w:lineRule="exact" w:before="0"/>
                          <w:ind w:left="38" w:right="0" w:firstLine="0"/>
                          <w:jc w:val="left"/>
                          <w:rPr>
                            <w:rFonts w:ascii="Arial MT" w:hAnsi="Arial MT"/>
                            <w:sz w:val="13"/>
                          </w:rPr>
                        </w:pPr>
                        <w:r>
                          <w:rPr>
                            <w:rFonts w:ascii="Arial MT" w:hAnsi="Arial MT"/>
                            <w:color w:val="231F20"/>
                            <w:spacing w:val="-10"/>
                            <w:sz w:val="13"/>
                          </w:rPr>
                          <w:t>–</w:t>
                        </w:r>
                      </w:p>
                      <w:p>
                        <w:pPr>
                          <w:spacing w:before="3"/>
                          <w:ind w:left="36" w:right="0" w:firstLine="0"/>
                          <w:jc w:val="left"/>
                          <w:rPr>
                            <w:rFonts w:ascii="Arial MT"/>
                            <w:sz w:val="13"/>
                          </w:rPr>
                        </w:pPr>
                        <w:r>
                          <w:rPr>
                            <w:rFonts w:ascii="Arial MT"/>
                            <w:color w:val="231F20"/>
                            <w:spacing w:val="-10"/>
                            <w:sz w:val="13"/>
                          </w:rPr>
                          <w:t>+</w:t>
                        </w:r>
                      </w:p>
                    </w:txbxContent>
                  </v:textbox>
                  <w10:wrap type="none"/>
                </v:shape>
                <w10:wrap type="none"/>
              </v:group>
            </w:pict>
          </mc:Fallback>
        </mc:AlternateContent>
      </w:r>
      <w:r>
        <w:rPr>
          <w:rFonts w:ascii="Arial MT"/>
        </w:rPr>
        <mc:AlternateContent>
          <mc:Choice Requires="wps">
            <w:drawing>
              <wp:anchor distT="0" distB="0" distL="0" distR="0" allowOverlap="1" layoutInCell="1" locked="0" behindDoc="0" simplePos="0" relativeHeight="15820288">
                <wp:simplePos x="0" y="0"/>
                <wp:positionH relativeFrom="page">
                  <wp:posOffset>1363220</wp:posOffset>
                </wp:positionH>
                <wp:positionV relativeFrom="paragraph">
                  <wp:posOffset>-2212</wp:posOffset>
                </wp:positionV>
                <wp:extent cx="720725" cy="77470"/>
                <wp:effectExtent l="0" t="0" r="0" b="0"/>
                <wp:wrapNone/>
                <wp:docPr id="1254" name="Group 1254"/>
                <wp:cNvGraphicFramePr>
                  <a:graphicFrameLocks/>
                </wp:cNvGraphicFramePr>
                <a:graphic>
                  <a:graphicData uri="http://schemas.microsoft.com/office/word/2010/wordprocessingGroup">
                    <wpg:wgp>
                      <wpg:cNvPr id="1254" name="Group 1254"/>
                      <wpg:cNvGrpSpPr/>
                      <wpg:grpSpPr>
                        <a:xfrm>
                          <a:off x="0" y="0"/>
                          <a:ext cx="720725" cy="77470"/>
                          <a:chExt cx="720725" cy="77470"/>
                        </a:xfrm>
                      </wpg:grpSpPr>
                      <wps:wsp>
                        <wps:cNvPr id="1255" name="Graphic 1255"/>
                        <wps:cNvSpPr/>
                        <wps:spPr>
                          <a:xfrm>
                            <a:off x="66924" y="38531"/>
                            <a:ext cx="653415" cy="1270"/>
                          </a:xfrm>
                          <a:custGeom>
                            <a:avLst/>
                            <a:gdLst/>
                            <a:ahLst/>
                            <a:cxnLst/>
                            <a:rect l="l" t="t" r="r" b="b"/>
                            <a:pathLst>
                              <a:path w="653415" h="0">
                                <a:moveTo>
                                  <a:pt x="653221" y="0"/>
                                </a:moveTo>
                                <a:lnTo>
                                  <a:pt x="0" y="0"/>
                                </a:lnTo>
                              </a:path>
                            </a:pathLst>
                          </a:custGeom>
                          <a:ln w="11849">
                            <a:solidFill>
                              <a:srgbClr val="2E3092"/>
                            </a:solidFill>
                            <a:prstDash val="solid"/>
                          </a:ln>
                        </wps:spPr>
                        <wps:bodyPr wrap="square" lIns="0" tIns="0" rIns="0" bIns="0" rtlCol="0">
                          <a:prstTxWarp prst="textNoShape">
                            <a:avLst/>
                          </a:prstTxWarp>
                          <a:noAutofit/>
                        </wps:bodyPr>
                      </wps:wsp>
                      <wps:wsp>
                        <wps:cNvPr id="1256" name="Graphic 1256"/>
                        <wps:cNvSpPr/>
                        <wps:spPr>
                          <a:xfrm>
                            <a:off x="0" y="0"/>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107.340202pt;margin-top:-.17421pt;width:56.75pt;height:6.1pt;mso-position-horizontal-relative:page;mso-position-vertical-relative:paragraph;z-index:15820288" id="docshapegroup990" coordorigin="2147,-3" coordsize="1135,122">
                <v:line style="position:absolute" from="3281,57" to="2252,57" stroked="true" strokeweight=".933007pt" strokecolor="#2e3092">
                  <v:stroke dashstyle="solid"/>
                </v:line>
                <v:shape style="position:absolute;left:2146;top:-4;width:149;height:122" id="docshape991" coordorigin="2147,-3" coordsize="149,122" path="m2295,-3l2147,57,2295,118,2260,57,2295,-3xe" filled="true" fillcolor="#2e3092" stroked="false">
                  <v:path arrowok="t"/>
                  <v:fill type="solid"/>
                </v:shape>
                <w10:wrap type="none"/>
              </v:group>
            </w:pict>
          </mc:Fallback>
        </mc:AlternateContent>
      </w:r>
      <w:r>
        <w:rPr>
          <w:rFonts w:ascii="Arial MT"/>
          <w:color w:val="231F20"/>
          <w:spacing w:val="-10"/>
        </w:rPr>
        <w:t>?</w:t>
      </w:r>
      <w:r>
        <w:rPr>
          <w:rFonts w:ascii="Arial MT"/>
          <w:color w:val="231F20"/>
        </w:rPr>
        <w:tab/>
        <w:t>Rod</w:t>
      </w:r>
      <w:r>
        <w:rPr>
          <w:rFonts w:ascii="Arial MT"/>
          <w:color w:val="231F20"/>
          <w:spacing w:val="-1"/>
        </w:rPr>
        <w:t> </w:t>
      </w:r>
      <w:r>
        <w:rPr>
          <w:rFonts w:ascii="Arial MT"/>
          <w:color w:val="231F20"/>
        </w:rPr>
        <w:t>dark</w:t>
      </w:r>
      <w:r>
        <w:rPr>
          <w:rFonts w:ascii="Arial MT"/>
          <w:color w:val="231F20"/>
          <w:spacing w:val="-1"/>
        </w:rPr>
        <w:t> </w:t>
      </w:r>
      <w:r>
        <w:rPr>
          <w:rFonts w:ascii="Arial MT"/>
          <w:color w:val="231F20"/>
          <w:spacing w:val="-2"/>
        </w:rPr>
        <w:t>adaptation</w:t>
      </w:r>
    </w:p>
    <w:p>
      <w:pPr>
        <w:pStyle w:val="BodyText"/>
        <w:spacing w:line="148" w:lineRule="exact"/>
        <w:ind w:left="1431"/>
        <w:rPr>
          <w:rFonts w:ascii="Arial MT"/>
        </w:rPr>
      </w:pPr>
      <w:r>
        <w:rPr>
          <w:rFonts w:ascii="Arial MT"/>
          <w:color w:val="231F20"/>
        </w:rPr>
        <w:t>ERG </w:t>
      </w:r>
      <w:r>
        <w:rPr>
          <w:rFonts w:ascii="Arial MT"/>
          <w:color w:val="231F20"/>
          <w:spacing w:val="-2"/>
        </w:rPr>
        <w:t>abnormality</w:t>
      </w:r>
    </w:p>
    <w:p>
      <w:pPr>
        <w:spacing w:line="240" w:lineRule="auto" w:before="128"/>
        <w:rPr>
          <w:rFonts w:ascii="Arial MT"/>
          <w:sz w:val="13"/>
        </w:rPr>
      </w:pPr>
      <w:r>
        <w:rPr/>
        <w:br w:type="column"/>
      </w:r>
      <w:r>
        <w:rPr>
          <w:rFonts w:ascii="Arial MT"/>
          <w:sz w:val="13"/>
        </w:rPr>
      </w:r>
    </w:p>
    <w:p>
      <w:pPr>
        <w:pStyle w:val="BodyText"/>
        <w:ind w:left="152"/>
        <w:rPr>
          <w:rFonts w:ascii="Arial MT"/>
        </w:rPr>
      </w:pPr>
      <w:r>
        <w:rPr>
          <w:rFonts w:ascii="Arial MT"/>
        </w:rPr>
        <mc:AlternateContent>
          <mc:Choice Requires="wps">
            <w:drawing>
              <wp:anchor distT="0" distB="0" distL="0" distR="0" allowOverlap="1" layoutInCell="1" locked="0" behindDoc="0" simplePos="0" relativeHeight="15822848">
                <wp:simplePos x="0" y="0"/>
                <wp:positionH relativeFrom="page">
                  <wp:posOffset>4270679</wp:posOffset>
                </wp:positionH>
                <wp:positionV relativeFrom="paragraph">
                  <wp:posOffset>-1428479</wp:posOffset>
                </wp:positionV>
                <wp:extent cx="77470" cy="1410335"/>
                <wp:effectExtent l="0" t="0" r="0" b="0"/>
                <wp:wrapNone/>
                <wp:docPr id="1257" name="Group 1257"/>
                <wp:cNvGraphicFramePr>
                  <a:graphicFrameLocks/>
                </wp:cNvGraphicFramePr>
                <a:graphic>
                  <a:graphicData uri="http://schemas.microsoft.com/office/word/2010/wordprocessingGroup">
                    <wpg:wgp>
                      <wpg:cNvPr id="1257" name="Group 1257"/>
                      <wpg:cNvGrpSpPr/>
                      <wpg:grpSpPr>
                        <a:xfrm>
                          <a:off x="0" y="0"/>
                          <a:ext cx="77470" cy="1410335"/>
                          <a:chExt cx="77470" cy="1410335"/>
                        </a:xfrm>
                      </wpg:grpSpPr>
                      <wps:wsp>
                        <wps:cNvPr id="1258" name="Graphic 1258"/>
                        <wps:cNvSpPr/>
                        <wps:spPr>
                          <a:xfrm>
                            <a:off x="38531" y="0"/>
                            <a:ext cx="1270" cy="1343660"/>
                          </a:xfrm>
                          <a:custGeom>
                            <a:avLst/>
                            <a:gdLst/>
                            <a:ahLst/>
                            <a:cxnLst/>
                            <a:rect l="l" t="t" r="r" b="b"/>
                            <a:pathLst>
                              <a:path w="0" h="1343660">
                                <a:moveTo>
                                  <a:pt x="0" y="0"/>
                                </a:moveTo>
                                <a:lnTo>
                                  <a:pt x="0" y="1343330"/>
                                </a:lnTo>
                              </a:path>
                            </a:pathLst>
                          </a:custGeom>
                          <a:ln w="11849">
                            <a:solidFill>
                              <a:srgbClr val="2E3092"/>
                            </a:solidFill>
                            <a:prstDash val="solid"/>
                          </a:ln>
                        </wps:spPr>
                        <wps:bodyPr wrap="square" lIns="0" tIns="0" rIns="0" bIns="0" rtlCol="0">
                          <a:prstTxWarp prst="textNoShape">
                            <a:avLst/>
                          </a:prstTxWarp>
                          <a:noAutofit/>
                        </wps:bodyPr>
                      </wps:wsp>
                      <wps:wsp>
                        <wps:cNvPr id="1259" name="Graphic 1259"/>
                        <wps:cNvSpPr/>
                        <wps:spPr>
                          <a:xfrm>
                            <a:off x="0" y="1315930"/>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36.273987pt;margin-top:-112.478683pt;width:6.1pt;height:111.05pt;mso-position-horizontal-relative:page;mso-position-vertical-relative:paragraph;z-index:15822848" id="docshapegroup992" coordorigin="6725,-2250" coordsize="122,2221">
                <v:line style="position:absolute" from="6786,-2250" to="6786,-134" stroked="true" strokeweight=".933007pt" strokecolor="#2e3092">
                  <v:stroke dashstyle="solid"/>
                </v:line>
                <v:shape style="position:absolute;left:6725;top:-178;width:122;height:149" id="docshape993" coordorigin="6725,-177" coordsize="122,149" path="m6847,-177l6786,-142,6725,-177,6786,-29,6847,-177xe" filled="true" fillcolor="#2e3092" stroked="false">
                  <v:path arrowok="t"/>
                  <v:fill type="solid"/>
                </v:shape>
                <w10:wrap type="none"/>
              </v:group>
            </w:pict>
          </mc:Fallback>
        </mc:AlternateContent>
      </w:r>
      <w:r>
        <w:rPr>
          <w:rFonts w:ascii="Arial MT"/>
          <w:color w:val="231F20"/>
        </w:rPr>
        <w:t>?</w:t>
      </w:r>
      <w:r>
        <w:rPr>
          <w:rFonts w:ascii="Arial MT"/>
          <w:color w:val="231F20"/>
          <w:spacing w:val="-10"/>
        </w:rPr>
        <w:t> </w:t>
      </w:r>
      <w:r>
        <w:rPr>
          <w:rFonts w:ascii="Arial MT"/>
          <w:color w:val="231F20"/>
        </w:rPr>
        <w:t>Associated</w:t>
      </w:r>
      <w:r>
        <w:rPr>
          <w:rFonts w:ascii="Arial MT"/>
          <w:color w:val="231F20"/>
          <w:spacing w:val="-5"/>
        </w:rPr>
        <w:t> </w:t>
      </w:r>
      <w:r>
        <w:rPr>
          <w:rFonts w:ascii="Arial MT"/>
          <w:color w:val="231F20"/>
        </w:rPr>
        <w:t>with</w:t>
      </w:r>
      <w:r>
        <w:rPr>
          <w:rFonts w:ascii="Arial MT"/>
          <w:color w:val="231F20"/>
          <w:spacing w:val="-4"/>
        </w:rPr>
        <w:t> </w:t>
      </w:r>
      <w:r>
        <w:rPr>
          <w:rFonts w:ascii="Arial MT"/>
          <w:color w:val="231F20"/>
          <w:spacing w:val="-2"/>
        </w:rPr>
        <w:t>strabismus</w:t>
      </w:r>
    </w:p>
    <w:p>
      <w:pPr>
        <w:pStyle w:val="BodyText"/>
        <w:spacing w:before="92"/>
        <w:ind w:left="1084"/>
        <w:rPr>
          <w:rFonts w:ascii="Arial MT"/>
        </w:rPr>
      </w:pPr>
      <w:r>
        <w:rPr>
          <w:rFonts w:ascii="Arial MT"/>
        </w:rPr>
        <mc:AlternateContent>
          <mc:Choice Requires="wps">
            <w:drawing>
              <wp:anchor distT="0" distB="0" distL="0" distR="0" allowOverlap="1" layoutInCell="1" locked="0" behindDoc="0" simplePos="0" relativeHeight="15821312">
                <wp:simplePos x="0" y="0"/>
                <wp:positionH relativeFrom="page">
                  <wp:posOffset>3866278</wp:posOffset>
                </wp:positionH>
                <wp:positionV relativeFrom="paragraph">
                  <wp:posOffset>60074</wp:posOffset>
                </wp:positionV>
                <wp:extent cx="77470" cy="172085"/>
                <wp:effectExtent l="0" t="0" r="0" b="0"/>
                <wp:wrapNone/>
                <wp:docPr id="1260" name="Group 1260"/>
                <wp:cNvGraphicFramePr>
                  <a:graphicFrameLocks/>
                </wp:cNvGraphicFramePr>
                <a:graphic>
                  <a:graphicData uri="http://schemas.microsoft.com/office/word/2010/wordprocessingGroup">
                    <wpg:wgp>
                      <wpg:cNvPr id="1260" name="Group 1260"/>
                      <wpg:cNvGrpSpPr/>
                      <wpg:grpSpPr>
                        <a:xfrm>
                          <a:off x="0" y="0"/>
                          <a:ext cx="77470" cy="172085"/>
                          <a:chExt cx="77470" cy="172085"/>
                        </a:xfrm>
                      </wpg:grpSpPr>
                      <wps:wsp>
                        <wps:cNvPr id="1261" name="Graphic 1261"/>
                        <wps:cNvSpPr/>
                        <wps:spPr>
                          <a:xfrm>
                            <a:off x="38531" y="0"/>
                            <a:ext cx="1270" cy="105410"/>
                          </a:xfrm>
                          <a:custGeom>
                            <a:avLst/>
                            <a:gdLst/>
                            <a:ahLst/>
                            <a:cxnLst/>
                            <a:rect l="l" t="t" r="r" b="b"/>
                            <a:pathLst>
                              <a:path w="0" h="105410">
                                <a:moveTo>
                                  <a:pt x="0" y="0"/>
                                </a:moveTo>
                                <a:lnTo>
                                  <a:pt x="0" y="105007"/>
                                </a:lnTo>
                              </a:path>
                            </a:pathLst>
                          </a:custGeom>
                          <a:ln w="11849">
                            <a:solidFill>
                              <a:srgbClr val="2E3092"/>
                            </a:solidFill>
                            <a:prstDash val="solid"/>
                          </a:ln>
                        </wps:spPr>
                        <wps:bodyPr wrap="square" lIns="0" tIns="0" rIns="0" bIns="0" rtlCol="0">
                          <a:prstTxWarp prst="textNoShape">
                            <a:avLst/>
                          </a:prstTxWarp>
                          <a:noAutofit/>
                        </wps:bodyPr>
                      </wps:wsp>
                      <wps:wsp>
                        <wps:cNvPr id="1262" name="Graphic 1262"/>
                        <wps:cNvSpPr/>
                        <wps:spPr>
                          <a:xfrm>
                            <a:off x="0" y="77608"/>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E3092"/>
                          </a:solidFill>
                        </wps:spPr>
                        <wps:bodyPr wrap="square" lIns="0" tIns="0" rIns="0" bIns="0" rtlCol="0">
                          <a:prstTxWarp prst="textNoShape">
                            <a:avLst/>
                          </a:prstTxWarp>
                          <a:noAutofit/>
                        </wps:bodyPr>
                      </wps:wsp>
                    </wpg:wgp>
                  </a:graphicData>
                </a:graphic>
              </wp:anchor>
            </w:drawing>
          </mc:Choice>
          <mc:Fallback>
            <w:pict>
              <v:group style="position:absolute;margin-left:304.431396pt;margin-top:4.730248pt;width:6.1pt;height:13.55pt;mso-position-horizontal-relative:page;mso-position-vertical-relative:paragraph;z-index:15821312" id="docshapegroup994" coordorigin="6089,95" coordsize="122,271">
                <v:line style="position:absolute" from="6149,95" to="6149,260" stroked="true" strokeweight=".933007pt" strokecolor="#2e3092">
                  <v:stroke dashstyle="solid"/>
                </v:line>
                <v:shape style="position:absolute;left:6088;top:216;width:122;height:149" id="docshape995" coordorigin="6089,217" coordsize="122,149" path="m6210,217l6149,252,6089,217,6149,365,6210,217xe" filled="true" fillcolor="#2e3092" stroked="false">
                  <v:path arrowok="t"/>
                  <v:fill type="solid"/>
                </v:shape>
                <w10:wrap type="none"/>
              </v:group>
            </w:pict>
          </mc:Fallback>
        </mc:AlternateContent>
      </w:r>
      <w:r>
        <w:rPr>
          <w:rFonts w:ascii="Arial MT"/>
          <w:color w:val="231F20"/>
          <w:spacing w:val="-5"/>
        </w:rPr>
        <w:t>No</w:t>
      </w:r>
    </w:p>
    <w:p>
      <w:pPr>
        <w:spacing w:line="240" w:lineRule="auto" w:before="24"/>
        <w:rPr>
          <w:rFonts w:ascii="Arial MT"/>
          <w:sz w:val="13"/>
        </w:rPr>
      </w:pPr>
      <w:r>
        <w:rPr/>
        <w:br w:type="column"/>
      </w:r>
      <w:r>
        <w:rPr>
          <w:rFonts w:ascii="Arial MT"/>
          <w:sz w:val="13"/>
        </w:rPr>
      </w:r>
    </w:p>
    <w:p>
      <w:pPr>
        <w:pStyle w:val="BodyText"/>
        <w:ind w:left="155"/>
        <w:rPr>
          <w:rFonts w:ascii="Arial MT"/>
        </w:rPr>
      </w:pPr>
      <w:r>
        <w:rPr>
          <w:rFonts w:ascii="Arial MT"/>
          <w:color w:val="231F20"/>
          <w:spacing w:val="-8"/>
        </w:rPr>
        <w:t>Yes</w:t>
      </w:r>
    </w:p>
    <w:p>
      <w:pPr>
        <w:spacing w:line="240" w:lineRule="auto" w:before="73"/>
        <w:rPr>
          <w:rFonts w:ascii="Arial MT"/>
          <w:sz w:val="13"/>
        </w:rPr>
      </w:pPr>
      <w:r>
        <w:rPr/>
        <w:br w:type="column"/>
      </w:r>
      <w:r>
        <w:rPr>
          <w:rFonts w:ascii="Arial MT"/>
          <w:sz w:val="13"/>
        </w:rPr>
      </w:r>
    </w:p>
    <w:p>
      <w:pPr>
        <w:pStyle w:val="BodyText"/>
        <w:spacing w:line="235" w:lineRule="auto"/>
        <w:ind w:left="200" w:right="1906"/>
        <w:rPr>
          <w:rFonts w:ascii="Arial MT"/>
        </w:rPr>
      </w:pPr>
      <w:r>
        <w:rPr>
          <w:rFonts w:ascii="Arial MT"/>
          <w:color w:val="231F20"/>
        </w:rPr>
        <w:t>Nystagmus</w:t>
      </w:r>
      <w:r>
        <w:rPr>
          <w:rFonts w:ascii="Arial MT"/>
          <w:color w:val="231F20"/>
          <w:spacing w:val="-10"/>
        </w:rPr>
        <w:t> </w:t>
      </w:r>
      <w:r>
        <w:rPr>
          <w:rFonts w:ascii="Arial MT"/>
          <w:color w:val="231F20"/>
        </w:rPr>
        <w:t>blockage</w:t>
      </w:r>
      <w:r>
        <w:rPr>
          <w:rFonts w:ascii="Arial MT"/>
          <w:color w:val="231F20"/>
          <w:spacing w:val="-9"/>
        </w:rPr>
        <w:t> </w:t>
      </w:r>
      <w:r>
        <w:rPr>
          <w:rFonts w:ascii="Arial MT"/>
          <w:color w:val="231F20"/>
        </w:rPr>
        <w:t>syndrome</w:t>
      </w:r>
      <w:r>
        <w:rPr>
          <w:rFonts w:ascii="Arial MT"/>
          <w:color w:val="231F20"/>
          <w:spacing w:val="40"/>
        </w:rPr>
        <w:t> </w:t>
      </w:r>
      <w:r>
        <w:rPr>
          <w:rFonts w:ascii="Arial MT"/>
          <w:color w:val="231F20"/>
        </w:rPr>
        <w:t>Manifest latent nystagmus</w:t>
      </w:r>
    </w:p>
    <w:p>
      <w:pPr>
        <w:pStyle w:val="BodyText"/>
        <w:spacing w:after="0" w:line="235" w:lineRule="auto"/>
        <w:rPr>
          <w:rFonts w:ascii="Arial MT"/>
        </w:rPr>
        <w:sectPr>
          <w:type w:val="continuous"/>
          <w:pgSz w:w="11900" w:h="16840"/>
          <w:pgMar w:header="0" w:footer="0" w:top="620" w:bottom="280" w:left="708" w:right="566"/>
          <w:cols w:num="5" w:equalWidth="0">
            <w:col w:w="1418" w:space="40"/>
            <w:col w:w="2921" w:space="39"/>
            <w:col w:w="1829" w:space="39"/>
            <w:col w:w="369" w:space="40"/>
            <w:col w:w="3931"/>
          </w:cols>
        </w:sectPr>
      </w:pPr>
    </w:p>
    <w:p>
      <w:pPr>
        <w:pStyle w:val="BodyText"/>
        <w:spacing w:line="235" w:lineRule="auto" w:before="136"/>
        <w:ind w:left="4678" w:right="4404"/>
        <w:rPr>
          <w:rFonts w:ascii="Arial MT"/>
        </w:rPr>
      </w:pPr>
      <w:r>
        <w:rPr>
          <w:rFonts w:ascii="Arial MT"/>
          <w:color w:val="231F20"/>
        </w:rPr>
        <w:t>Congenital</w:t>
      </w:r>
      <w:r>
        <w:rPr>
          <w:rFonts w:ascii="Arial MT"/>
          <w:color w:val="231F20"/>
          <w:spacing w:val="-10"/>
        </w:rPr>
        <w:t> </w:t>
      </w:r>
      <w:r>
        <w:rPr>
          <w:rFonts w:ascii="Arial MT"/>
          <w:color w:val="231F20"/>
        </w:rPr>
        <w:t>motor</w:t>
      </w:r>
      <w:r>
        <w:rPr>
          <w:rFonts w:ascii="Arial MT"/>
          <w:color w:val="231F20"/>
          <w:spacing w:val="-9"/>
        </w:rPr>
        <w:t> </w:t>
      </w:r>
      <w:r>
        <w:rPr>
          <w:rFonts w:ascii="Arial MT"/>
          <w:color w:val="231F20"/>
        </w:rPr>
        <w:t>efferent</w:t>
      </w:r>
      <w:r>
        <w:rPr>
          <w:rFonts w:ascii="Arial MT"/>
          <w:color w:val="231F20"/>
          <w:spacing w:val="40"/>
        </w:rPr>
        <w:t> </w:t>
      </w:r>
      <w:r>
        <w:rPr>
          <w:rFonts w:ascii="Arial MT"/>
          <w:color w:val="231F20"/>
        </w:rPr>
        <w:t>or idiopathic nystagmus</w:t>
      </w:r>
    </w:p>
    <w:p>
      <w:pPr>
        <w:spacing w:line="211" w:lineRule="auto" w:before="82"/>
        <w:ind w:left="203" w:right="679" w:firstLine="0"/>
        <w:jc w:val="both"/>
        <w:rPr>
          <w:i/>
          <w:sz w:val="15"/>
        </w:rPr>
      </w:pPr>
      <w:r>
        <w:rPr>
          <w:b/>
          <w:color w:val="4A0C62"/>
          <w:sz w:val="16"/>
        </w:rPr>
        <w:t>Figure 623-7 </w:t>
      </w:r>
      <w:r>
        <w:rPr>
          <w:color w:val="231F20"/>
          <w:sz w:val="15"/>
        </w:rPr>
        <w:t>Algorithm for the work-up of an infant with nystagmus. </w:t>
      </w:r>
      <w:r>
        <w:rPr>
          <w:rFonts w:ascii="Lucida Sans Unicode" w:hAnsi="Lucida Sans Unicode"/>
          <w:color w:val="231F20"/>
          <w:sz w:val="15"/>
        </w:rPr>
        <w:t>8</w:t>
      </w:r>
      <w:r>
        <w:rPr>
          <w:color w:val="231F20"/>
          <w:sz w:val="15"/>
        </w:rPr>
        <w:t>, positive; </w:t>
      </w:r>
      <w:r>
        <w:rPr>
          <w:rFonts w:ascii="Lucida Sans Unicode" w:hAnsi="Lucida Sans Unicode"/>
          <w:color w:val="231F20"/>
          <w:sz w:val="15"/>
        </w:rPr>
        <w:t>Θ</w:t>
      </w:r>
      <w:r>
        <w:rPr>
          <w:color w:val="231F20"/>
          <w:sz w:val="15"/>
        </w:rPr>
        <w:t>, negative; CSNB, congenital stationary night </w:t>
      </w:r>
      <w:r>
        <w:rPr>
          <w:color w:val="231F20"/>
          <w:sz w:val="15"/>
        </w:rPr>
        <w:t>blindness; </w:t>
      </w:r>
      <w:r>
        <w:rPr>
          <w:color w:val="231F20"/>
          <w:spacing w:val="-2"/>
          <w:sz w:val="15"/>
        </w:rPr>
        <w:t>ERG, electroretinogram; NFL, nerve fiber layer; PHPV, persistent hyperplastic primary vitreous; ROP, retinopathy of prematurity. </w:t>
      </w:r>
      <w:r>
        <w:rPr>
          <w:i/>
          <w:color w:val="231F20"/>
          <w:spacing w:val="-2"/>
          <w:sz w:val="15"/>
        </w:rPr>
        <w:t>(From Nelson LB: </w:t>
      </w:r>
      <w:r>
        <w:rPr>
          <w:color w:val="231F20"/>
          <w:sz w:val="15"/>
        </w:rPr>
        <w:t>Harley’s pediatric ophthalmology, </w:t>
      </w:r>
      <w:r>
        <w:rPr>
          <w:i/>
          <w:color w:val="231F20"/>
          <w:sz w:val="15"/>
        </w:rPr>
        <w:t>ed 4, Philadelphia, 1998, WB Saunders, p. 470.)</w:t>
      </w:r>
    </w:p>
    <w:p>
      <w:pPr>
        <w:pStyle w:val="BodyText"/>
        <w:spacing w:before="73"/>
        <w:rPr>
          <w:i/>
          <w:sz w:val="20"/>
        </w:rPr>
      </w:pPr>
      <w:r>
        <w:rPr>
          <w:i/>
          <w:sz w:val="20"/>
        </w:rPr>
        <mc:AlternateContent>
          <mc:Choice Requires="wps">
            <w:drawing>
              <wp:anchor distT="0" distB="0" distL="0" distR="0" allowOverlap="1" layoutInCell="1" locked="0" behindDoc="1" simplePos="0" relativeHeight="487668736">
                <wp:simplePos x="0" y="0"/>
                <wp:positionH relativeFrom="page">
                  <wp:posOffset>643442</wp:posOffset>
                </wp:positionH>
                <wp:positionV relativeFrom="paragraph">
                  <wp:posOffset>210107</wp:posOffset>
                </wp:positionV>
                <wp:extent cx="6056630" cy="4054475"/>
                <wp:effectExtent l="0" t="0" r="0" b="0"/>
                <wp:wrapTopAndBottom/>
                <wp:docPr id="1263" name="Group 1263"/>
                <wp:cNvGraphicFramePr>
                  <a:graphicFrameLocks/>
                </wp:cNvGraphicFramePr>
                <a:graphic>
                  <a:graphicData uri="http://schemas.microsoft.com/office/word/2010/wordprocessingGroup">
                    <wpg:wgp>
                      <wpg:cNvPr id="1263" name="Group 1263"/>
                      <wpg:cNvGrpSpPr/>
                      <wpg:grpSpPr>
                        <a:xfrm>
                          <a:off x="0" y="0"/>
                          <a:ext cx="6056630" cy="4054475"/>
                          <a:chExt cx="6056630" cy="4054475"/>
                        </a:xfrm>
                      </wpg:grpSpPr>
                      <wps:wsp>
                        <wps:cNvPr id="1264" name="Graphic 1264"/>
                        <wps:cNvSpPr/>
                        <wps:spPr>
                          <a:xfrm>
                            <a:off x="29632" y="29643"/>
                            <a:ext cx="6026785" cy="4024629"/>
                          </a:xfrm>
                          <a:custGeom>
                            <a:avLst/>
                            <a:gdLst/>
                            <a:ahLst/>
                            <a:cxnLst/>
                            <a:rect l="l" t="t" r="r" b="b"/>
                            <a:pathLst>
                              <a:path w="6026785" h="4024629">
                                <a:moveTo>
                                  <a:pt x="704253" y="602526"/>
                                </a:moveTo>
                                <a:lnTo>
                                  <a:pt x="113068" y="602526"/>
                                </a:lnTo>
                                <a:lnTo>
                                  <a:pt x="113068" y="807427"/>
                                </a:lnTo>
                                <a:lnTo>
                                  <a:pt x="390880" y="807427"/>
                                </a:lnTo>
                                <a:lnTo>
                                  <a:pt x="390880" y="1105636"/>
                                </a:lnTo>
                                <a:lnTo>
                                  <a:pt x="355777" y="1105636"/>
                                </a:lnTo>
                                <a:lnTo>
                                  <a:pt x="408940" y="1197737"/>
                                </a:lnTo>
                                <a:lnTo>
                                  <a:pt x="462114" y="1105636"/>
                                </a:lnTo>
                                <a:lnTo>
                                  <a:pt x="426427" y="1105636"/>
                                </a:lnTo>
                                <a:lnTo>
                                  <a:pt x="426427" y="807427"/>
                                </a:lnTo>
                                <a:lnTo>
                                  <a:pt x="704253" y="807427"/>
                                </a:lnTo>
                                <a:lnTo>
                                  <a:pt x="704253" y="602526"/>
                                </a:lnTo>
                                <a:close/>
                              </a:path>
                              <a:path w="6026785" h="4024629">
                                <a:moveTo>
                                  <a:pt x="817308" y="1211757"/>
                                </a:moveTo>
                                <a:lnTo>
                                  <a:pt x="0" y="1211757"/>
                                </a:lnTo>
                                <a:lnTo>
                                  <a:pt x="0" y="1678851"/>
                                </a:lnTo>
                                <a:lnTo>
                                  <a:pt x="817308" y="1678851"/>
                                </a:lnTo>
                                <a:lnTo>
                                  <a:pt x="817308" y="1211757"/>
                                </a:lnTo>
                                <a:close/>
                              </a:path>
                              <a:path w="6026785" h="4024629">
                                <a:moveTo>
                                  <a:pt x="1736725" y="614387"/>
                                </a:moveTo>
                                <a:lnTo>
                                  <a:pt x="919429" y="614387"/>
                                </a:lnTo>
                                <a:lnTo>
                                  <a:pt x="919429" y="962990"/>
                                </a:lnTo>
                                <a:lnTo>
                                  <a:pt x="1310297" y="962990"/>
                                </a:lnTo>
                                <a:lnTo>
                                  <a:pt x="1310297" y="1105636"/>
                                </a:lnTo>
                                <a:lnTo>
                                  <a:pt x="1275194" y="1105636"/>
                                </a:lnTo>
                                <a:lnTo>
                                  <a:pt x="1328369" y="1197724"/>
                                </a:lnTo>
                                <a:lnTo>
                                  <a:pt x="1381544" y="1105636"/>
                                </a:lnTo>
                                <a:lnTo>
                                  <a:pt x="1345844" y="1105636"/>
                                </a:lnTo>
                                <a:lnTo>
                                  <a:pt x="1345844" y="962990"/>
                                </a:lnTo>
                                <a:lnTo>
                                  <a:pt x="1736725" y="962990"/>
                                </a:lnTo>
                                <a:lnTo>
                                  <a:pt x="1736725" y="614387"/>
                                </a:lnTo>
                                <a:close/>
                              </a:path>
                              <a:path w="6026785" h="4024629">
                                <a:moveTo>
                                  <a:pt x="1736737" y="1211745"/>
                                </a:moveTo>
                                <a:lnTo>
                                  <a:pt x="919441" y="1211745"/>
                                </a:lnTo>
                                <a:lnTo>
                                  <a:pt x="919441" y="1560347"/>
                                </a:lnTo>
                                <a:lnTo>
                                  <a:pt x="1736737" y="1560347"/>
                                </a:lnTo>
                                <a:lnTo>
                                  <a:pt x="1736737" y="1211745"/>
                                </a:lnTo>
                                <a:close/>
                              </a:path>
                              <a:path w="6026785" h="4024629">
                                <a:moveTo>
                                  <a:pt x="2774721" y="614387"/>
                                </a:moveTo>
                                <a:lnTo>
                                  <a:pt x="1957425" y="614387"/>
                                </a:lnTo>
                                <a:lnTo>
                                  <a:pt x="1957425" y="962990"/>
                                </a:lnTo>
                                <a:lnTo>
                                  <a:pt x="2348306" y="962990"/>
                                </a:lnTo>
                                <a:lnTo>
                                  <a:pt x="2348306" y="1702130"/>
                                </a:lnTo>
                                <a:lnTo>
                                  <a:pt x="2348306" y="1828850"/>
                                </a:lnTo>
                                <a:lnTo>
                                  <a:pt x="2313190" y="1828850"/>
                                </a:lnTo>
                                <a:lnTo>
                                  <a:pt x="2366365" y="1920938"/>
                                </a:lnTo>
                                <a:lnTo>
                                  <a:pt x="2419540" y="1828850"/>
                                </a:lnTo>
                                <a:lnTo>
                                  <a:pt x="2383853" y="1828850"/>
                                </a:lnTo>
                                <a:lnTo>
                                  <a:pt x="2383853" y="962990"/>
                                </a:lnTo>
                                <a:lnTo>
                                  <a:pt x="2774721" y="962990"/>
                                </a:lnTo>
                                <a:lnTo>
                                  <a:pt x="2774721" y="614387"/>
                                </a:lnTo>
                                <a:close/>
                              </a:path>
                              <a:path w="6026785" h="4024629">
                                <a:moveTo>
                                  <a:pt x="2994075" y="1936089"/>
                                </a:moveTo>
                                <a:lnTo>
                                  <a:pt x="1718322" y="1936089"/>
                                </a:lnTo>
                                <a:lnTo>
                                  <a:pt x="1718322" y="4024566"/>
                                </a:lnTo>
                                <a:lnTo>
                                  <a:pt x="2994075" y="4024566"/>
                                </a:lnTo>
                                <a:lnTo>
                                  <a:pt x="2994075" y="1936089"/>
                                </a:lnTo>
                                <a:close/>
                              </a:path>
                              <a:path w="6026785" h="4024629">
                                <a:moveTo>
                                  <a:pt x="3812679" y="614387"/>
                                </a:moveTo>
                                <a:lnTo>
                                  <a:pt x="2995384" y="614387"/>
                                </a:lnTo>
                                <a:lnTo>
                                  <a:pt x="2995384" y="962990"/>
                                </a:lnTo>
                                <a:lnTo>
                                  <a:pt x="3386264" y="962990"/>
                                </a:lnTo>
                                <a:lnTo>
                                  <a:pt x="3386264" y="1828850"/>
                                </a:lnTo>
                                <a:lnTo>
                                  <a:pt x="3351161" y="1828850"/>
                                </a:lnTo>
                                <a:lnTo>
                                  <a:pt x="3404324" y="1920938"/>
                                </a:lnTo>
                                <a:lnTo>
                                  <a:pt x="3457498" y="1828850"/>
                                </a:lnTo>
                                <a:lnTo>
                                  <a:pt x="3421811" y="1828850"/>
                                </a:lnTo>
                                <a:lnTo>
                                  <a:pt x="3421811" y="962990"/>
                                </a:lnTo>
                                <a:lnTo>
                                  <a:pt x="3812679" y="962990"/>
                                </a:lnTo>
                                <a:lnTo>
                                  <a:pt x="3812679" y="614387"/>
                                </a:lnTo>
                                <a:close/>
                              </a:path>
                              <a:path w="6026785" h="4024629">
                                <a:moveTo>
                                  <a:pt x="4361751" y="1936089"/>
                                </a:moveTo>
                                <a:lnTo>
                                  <a:pt x="3085998" y="1936089"/>
                                </a:lnTo>
                                <a:lnTo>
                                  <a:pt x="3085998" y="3544684"/>
                                </a:lnTo>
                                <a:lnTo>
                                  <a:pt x="4361751" y="3544684"/>
                                </a:lnTo>
                                <a:lnTo>
                                  <a:pt x="4361751" y="1936089"/>
                                </a:lnTo>
                                <a:close/>
                              </a:path>
                              <a:path w="6026785" h="4024629">
                                <a:moveTo>
                                  <a:pt x="4850676" y="614387"/>
                                </a:moveTo>
                                <a:lnTo>
                                  <a:pt x="4033380" y="614387"/>
                                </a:lnTo>
                                <a:lnTo>
                                  <a:pt x="4033380" y="962990"/>
                                </a:lnTo>
                                <a:lnTo>
                                  <a:pt x="4850676" y="962990"/>
                                </a:lnTo>
                                <a:lnTo>
                                  <a:pt x="4850676" y="614387"/>
                                </a:lnTo>
                                <a:close/>
                              </a:path>
                              <a:path w="6026785" h="4024629">
                                <a:moveTo>
                                  <a:pt x="5533491" y="509435"/>
                                </a:moveTo>
                                <a:lnTo>
                                  <a:pt x="5497779" y="509435"/>
                                </a:lnTo>
                                <a:lnTo>
                                  <a:pt x="5497779" y="347167"/>
                                </a:lnTo>
                                <a:lnTo>
                                  <a:pt x="2902826" y="347167"/>
                                </a:lnTo>
                                <a:lnTo>
                                  <a:pt x="2902826" y="204901"/>
                                </a:lnTo>
                                <a:lnTo>
                                  <a:pt x="3510623" y="204901"/>
                                </a:lnTo>
                                <a:lnTo>
                                  <a:pt x="3510623" y="0"/>
                                </a:lnTo>
                                <a:lnTo>
                                  <a:pt x="2259533" y="0"/>
                                </a:lnTo>
                                <a:lnTo>
                                  <a:pt x="2259533" y="204901"/>
                                </a:lnTo>
                                <a:lnTo>
                                  <a:pt x="2867304" y="204901"/>
                                </a:lnTo>
                                <a:lnTo>
                                  <a:pt x="2867304" y="347167"/>
                                </a:lnTo>
                                <a:lnTo>
                                  <a:pt x="390880" y="347167"/>
                                </a:lnTo>
                                <a:lnTo>
                                  <a:pt x="390880" y="509435"/>
                                </a:lnTo>
                                <a:lnTo>
                                  <a:pt x="355777" y="509435"/>
                                </a:lnTo>
                                <a:lnTo>
                                  <a:pt x="408940" y="601522"/>
                                </a:lnTo>
                                <a:lnTo>
                                  <a:pt x="462114" y="509435"/>
                                </a:lnTo>
                                <a:lnTo>
                                  <a:pt x="426427" y="509435"/>
                                </a:lnTo>
                                <a:lnTo>
                                  <a:pt x="426427" y="382714"/>
                                </a:lnTo>
                                <a:lnTo>
                                  <a:pt x="1310309" y="382714"/>
                                </a:lnTo>
                                <a:lnTo>
                                  <a:pt x="1310309" y="509435"/>
                                </a:lnTo>
                                <a:lnTo>
                                  <a:pt x="1275207" y="509435"/>
                                </a:lnTo>
                                <a:lnTo>
                                  <a:pt x="1328381" y="601522"/>
                                </a:lnTo>
                                <a:lnTo>
                                  <a:pt x="1381556" y="509435"/>
                                </a:lnTo>
                                <a:lnTo>
                                  <a:pt x="1345857" y="509435"/>
                                </a:lnTo>
                                <a:lnTo>
                                  <a:pt x="1345857" y="382714"/>
                                </a:lnTo>
                                <a:lnTo>
                                  <a:pt x="2348306" y="382714"/>
                                </a:lnTo>
                                <a:lnTo>
                                  <a:pt x="2348306" y="509435"/>
                                </a:lnTo>
                                <a:lnTo>
                                  <a:pt x="2313203" y="509435"/>
                                </a:lnTo>
                                <a:lnTo>
                                  <a:pt x="2366365" y="601522"/>
                                </a:lnTo>
                                <a:lnTo>
                                  <a:pt x="2419540" y="509435"/>
                                </a:lnTo>
                                <a:lnTo>
                                  <a:pt x="2383853" y="509435"/>
                                </a:lnTo>
                                <a:lnTo>
                                  <a:pt x="2383853" y="382714"/>
                                </a:lnTo>
                                <a:lnTo>
                                  <a:pt x="3386277" y="382714"/>
                                </a:lnTo>
                                <a:lnTo>
                                  <a:pt x="3386277" y="509435"/>
                                </a:lnTo>
                                <a:lnTo>
                                  <a:pt x="3351174" y="509435"/>
                                </a:lnTo>
                                <a:lnTo>
                                  <a:pt x="3404336" y="601522"/>
                                </a:lnTo>
                                <a:lnTo>
                                  <a:pt x="3457511" y="509435"/>
                                </a:lnTo>
                                <a:lnTo>
                                  <a:pt x="3421824" y="509435"/>
                                </a:lnTo>
                                <a:lnTo>
                                  <a:pt x="3421824" y="382714"/>
                                </a:lnTo>
                                <a:lnTo>
                                  <a:pt x="4424248" y="382714"/>
                                </a:lnTo>
                                <a:lnTo>
                                  <a:pt x="4424248" y="509435"/>
                                </a:lnTo>
                                <a:lnTo>
                                  <a:pt x="4389158" y="509435"/>
                                </a:lnTo>
                                <a:lnTo>
                                  <a:pt x="4442320" y="601522"/>
                                </a:lnTo>
                                <a:lnTo>
                                  <a:pt x="4495495" y="509435"/>
                                </a:lnTo>
                                <a:lnTo>
                                  <a:pt x="4459795" y="509435"/>
                                </a:lnTo>
                                <a:lnTo>
                                  <a:pt x="4459795" y="382714"/>
                                </a:lnTo>
                                <a:lnTo>
                                  <a:pt x="5462232" y="382714"/>
                                </a:lnTo>
                                <a:lnTo>
                                  <a:pt x="5462232" y="509435"/>
                                </a:lnTo>
                                <a:lnTo>
                                  <a:pt x="5427142" y="509435"/>
                                </a:lnTo>
                                <a:lnTo>
                                  <a:pt x="5480291" y="601522"/>
                                </a:lnTo>
                                <a:lnTo>
                                  <a:pt x="5533491" y="509435"/>
                                </a:lnTo>
                                <a:close/>
                              </a:path>
                              <a:path w="6026785" h="4024629">
                                <a:moveTo>
                                  <a:pt x="5888634" y="1560347"/>
                                </a:moveTo>
                                <a:lnTo>
                                  <a:pt x="5071364" y="1560347"/>
                                </a:lnTo>
                                <a:lnTo>
                                  <a:pt x="5071364" y="1908949"/>
                                </a:lnTo>
                                <a:lnTo>
                                  <a:pt x="5888634" y="1908949"/>
                                </a:lnTo>
                                <a:lnTo>
                                  <a:pt x="5888634" y="1560347"/>
                                </a:lnTo>
                                <a:close/>
                              </a:path>
                              <a:path w="6026785" h="4024629">
                                <a:moveTo>
                                  <a:pt x="6026683" y="614387"/>
                                </a:moveTo>
                                <a:lnTo>
                                  <a:pt x="4933315" y="614387"/>
                                </a:lnTo>
                                <a:lnTo>
                                  <a:pt x="4933315" y="1307896"/>
                                </a:lnTo>
                                <a:lnTo>
                                  <a:pt x="5462232" y="1307896"/>
                                </a:lnTo>
                                <a:lnTo>
                                  <a:pt x="5462232" y="1452397"/>
                                </a:lnTo>
                                <a:lnTo>
                                  <a:pt x="5427129" y="1452397"/>
                                </a:lnTo>
                                <a:lnTo>
                                  <a:pt x="5480278" y="1544472"/>
                                </a:lnTo>
                                <a:lnTo>
                                  <a:pt x="5533479" y="1452397"/>
                                </a:lnTo>
                                <a:lnTo>
                                  <a:pt x="5497779" y="1452397"/>
                                </a:lnTo>
                                <a:lnTo>
                                  <a:pt x="5497779" y="1307896"/>
                                </a:lnTo>
                                <a:lnTo>
                                  <a:pt x="6026683" y="1307896"/>
                                </a:lnTo>
                                <a:lnTo>
                                  <a:pt x="6026683" y="614387"/>
                                </a:lnTo>
                                <a:close/>
                              </a:path>
                            </a:pathLst>
                          </a:custGeom>
                          <a:solidFill>
                            <a:srgbClr val="BCBEC0"/>
                          </a:solidFill>
                        </wps:spPr>
                        <wps:bodyPr wrap="square" lIns="0" tIns="0" rIns="0" bIns="0" rtlCol="0">
                          <a:prstTxWarp prst="textNoShape">
                            <a:avLst/>
                          </a:prstTxWarp>
                          <a:noAutofit/>
                        </wps:bodyPr>
                      </wps:wsp>
                      <wps:wsp>
                        <wps:cNvPr id="1265" name="Graphic 1265"/>
                        <wps:cNvSpPr/>
                        <wps:spPr>
                          <a:xfrm>
                            <a:off x="361704" y="5925"/>
                            <a:ext cx="5177790" cy="601980"/>
                          </a:xfrm>
                          <a:custGeom>
                            <a:avLst/>
                            <a:gdLst/>
                            <a:ahLst/>
                            <a:cxnLst/>
                            <a:rect l="l" t="t" r="r" b="b"/>
                            <a:pathLst>
                              <a:path w="5177790" h="601980">
                                <a:moveTo>
                                  <a:pt x="3154832" y="0"/>
                                </a:moveTo>
                                <a:lnTo>
                                  <a:pt x="1903755" y="0"/>
                                </a:lnTo>
                                <a:lnTo>
                                  <a:pt x="1903755" y="204889"/>
                                </a:lnTo>
                                <a:lnTo>
                                  <a:pt x="2511526" y="204889"/>
                                </a:lnTo>
                                <a:lnTo>
                                  <a:pt x="2511526" y="347167"/>
                                </a:lnTo>
                                <a:lnTo>
                                  <a:pt x="35102" y="347167"/>
                                </a:lnTo>
                                <a:lnTo>
                                  <a:pt x="35102" y="509447"/>
                                </a:lnTo>
                                <a:lnTo>
                                  <a:pt x="0" y="509447"/>
                                </a:lnTo>
                                <a:lnTo>
                                  <a:pt x="53162" y="601522"/>
                                </a:lnTo>
                                <a:lnTo>
                                  <a:pt x="106337" y="509447"/>
                                </a:lnTo>
                                <a:lnTo>
                                  <a:pt x="70650" y="509447"/>
                                </a:lnTo>
                                <a:lnTo>
                                  <a:pt x="70650" y="382714"/>
                                </a:lnTo>
                                <a:lnTo>
                                  <a:pt x="954544" y="382714"/>
                                </a:lnTo>
                                <a:lnTo>
                                  <a:pt x="954544" y="509447"/>
                                </a:lnTo>
                                <a:lnTo>
                                  <a:pt x="919429" y="509447"/>
                                </a:lnTo>
                                <a:lnTo>
                                  <a:pt x="972604" y="601522"/>
                                </a:lnTo>
                                <a:lnTo>
                                  <a:pt x="1025779" y="509447"/>
                                </a:lnTo>
                                <a:lnTo>
                                  <a:pt x="990092" y="509447"/>
                                </a:lnTo>
                                <a:lnTo>
                                  <a:pt x="990092" y="382714"/>
                                </a:lnTo>
                                <a:lnTo>
                                  <a:pt x="1992528" y="382714"/>
                                </a:lnTo>
                                <a:lnTo>
                                  <a:pt x="1992528" y="509447"/>
                                </a:lnTo>
                                <a:lnTo>
                                  <a:pt x="1957425" y="509447"/>
                                </a:lnTo>
                                <a:lnTo>
                                  <a:pt x="2010587" y="601522"/>
                                </a:lnTo>
                                <a:lnTo>
                                  <a:pt x="2063762" y="509447"/>
                                </a:lnTo>
                                <a:lnTo>
                                  <a:pt x="2028075" y="509447"/>
                                </a:lnTo>
                                <a:lnTo>
                                  <a:pt x="2028075" y="382714"/>
                                </a:lnTo>
                                <a:lnTo>
                                  <a:pt x="3030486" y="382714"/>
                                </a:lnTo>
                                <a:lnTo>
                                  <a:pt x="3030486" y="509447"/>
                                </a:lnTo>
                                <a:lnTo>
                                  <a:pt x="2995383" y="509447"/>
                                </a:lnTo>
                                <a:lnTo>
                                  <a:pt x="3048546" y="601522"/>
                                </a:lnTo>
                                <a:lnTo>
                                  <a:pt x="3101721" y="509447"/>
                                </a:lnTo>
                                <a:lnTo>
                                  <a:pt x="3066034" y="509447"/>
                                </a:lnTo>
                                <a:lnTo>
                                  <a:pt x="3066034" y="382714"/>
                                </a:lnTo>
                                <a:lnTo>
                                  <a:pt x="4068457" y="382714"/>
                                </a:lnTo>
                                <a:lnTo>
                                  <a:pt x="4068457" y="509447"/>
                                </a:lnTo>
                                <a:lnTo>
                                  <a:pt x="4033367" y="509447"/>
                                </a:lnTo>
                                <a:lnTo>
                                  <a:pt x="4086529" y="601522"/>
                                </a:lnTo>
                                <a:lnTo>
                                  <a:pt x="4139704" y="509447"/>
                                </a:lnTo>
                                <a:lnTo>
                                  <a:pt x="4104004" y="509447"/>
                                </a:lnTo>
                                <a:lnTo>
                                  <a:pt x="4104004" y="382714"/>
                                </a:lnTo>
                                <a:lnTo>
                                  <a:pt x="5106441" y="382714"/>
                                </a:lnTo>
                                <a:lnTo>
                                  <a:pt x="5106441" y="509447"/>
                                </a:lnTo>
                                <a:lnTo>
                                  <a:pt x="5071351" y="509447"/>
                                </a:lnTo>
                                <a:lnTo>
                                  <a:pt x="5124500" y="601522"/>
                                </a:lnTo>
                                <a:lnTo>
                                  <a:pt x="5177701" y="509447"/>
                                </a:lnTo>
                                <a:lnTo>
                                  <a:pt x="5141988" y="509447"/>
                                </a:lnTo>
                                <a:lnTo>
                                  <a:pt x="5141988" y="347167"/>
                                </a:lnTo>
                                <a:lnTo>
                                  <a:pt x="2547048" y="347167"/>
                                </a:lnTo>
                                <a:lnTo>
                                  <a:pt x="2547048" y="204889"/>
                                </a:lnTo>
                                <a:lnTo>
                                  <a:pt x="3154832" y="204889"/>
                                </a:lnTo>
                                <a:lnTo>
                                  <a:pt x="3154832" y="0"/>
                                </a:lnTo>
                                <a:close/>
                              </a:path>
                            </a:pathLst>
                          </a:custGeom>
                          <a:solidFill>
                            <a:srgbClr val="D7EDDD"/>
                          </a:solidFill>
                        </wps:spPr>
                        <wps:bodyPr wrap="square" lIns="0" tIns="0" rIns="0" bIns="0" rtlCol="0">
                          <a:prstTxWarp prst="textNoShape">
                            <a:avLst/>
                          </a:prstTxWarp>
                          <a:noAutofit/>
                        </wps:bodyPr>
                      </wps:wsp>
                      <wps:wsp>
                        <wps:cNvPr id="1266" name="Graphic 1266"/>
                        <wps:cNvSpPr/>
                        <wps:spPr>
                          <a:xfrm>
                            <a:off x="361699" y="5924"/>
                            <a:ext cx="5177790" cy="601980"/>
                          </a:xfrm>
                          <a:custGeom>
                            <a:avLst/>
                            <a:gdLst/>
                            <a:ahLst/>
                            <a:cxnLst/>
                            <a:rect l="l" t="t" r="r" b="b"/>
                            <a:pathLst>
                              <a:path w="5177790" h="601980">
                                <a:moveTo>
                                  <a:pt x="53167" y="601523"/>
                                </a:moveTo>
                                <a:lnTo>
                                  <a:pt x="106346" y="509443"/>
                                </a:lnTo>
                                <a:lnTo>
                                  <a:pt x="70656" y="509443"/>
                                </a:lnTo>
                                <a:lnTo>
                                  <a:pt x="70656" y="382716"/>
                                </a:lnTo>
                                <a:lnTo>
                                  <a:pt x="954546" y="382716"/>
                                </a:lnTo>
                                <a:lnTo>
                                  <a:pt x="954546" y="509443"/>
                                </a:lnTo>
                                <a:lnTo>
                                  <a:pt x="919437" y="509443"/>
                                </a:lnTo>
                                <a:lnTo>
                                  <a:pt x="972604" y="601523"/>
                                </a:lnTo>
                                <a:lnTo>
                                  <a:pt x="1025783" y="509443"/>
                                </a:lnTo>
                                <a:lnTo>
                                  <a:pt x="990094" y="509443"/>
                                </a:lnTo>
                                <a:lnTo>
                                  <a:pt x="990094" y="382716"/>
                                </a:lnTo>
                                <a:lnTo>
                                  <a:pt x="1992534" y="382716"/>
                                </a:lnTo>
                                <a:lnTo>
                                  <a:pt x="1992534" y="509443"/>
                                </a:lnTo>
                                <a:lnTo>
                                  <a:pt x="1957425" y="509443"/>
                                </a:lnTo>
                                <a:lnTo>
                                  <a:pt x="2010593" y="601523"/>
                                </a:lnTo>
                                <a:lnTo>
                                  <a:pt x="2063772" y="509443"/>
                                </a:lnTo>
                                <a:lnTo>
                                  <a:pt x="2028082" y="509443"/>
                                </a:lnTo>
                                <a:lnTo>
                                  <a:pt x="2028082" y="382716"/>
                                </a:lnTo>
                                <a:lnTo>
                                  <a:pt x="2529291" y="382716"/>
                                </a:lnTo>
                                <a:lnTo>
                                  <a:pt x="2547052" y="382716"/>
                                </a:lnTo>
                                <a:lnTo>
                                  <a:pt x="3030487" y="382716"/>
                                </a:lnTo>
                                <a:lnTo>
                                  <a:pt x="3030487" y="509443"/>
                                </a:lnTo>
                                <a:lnTo>
                                  <a:pt x="2995390" y="509443"/>
                                </a:lnTo>
                                <a:lnTo>
                                  <a:pt x="3048545" y="601523"/>
                                </a:lnTo>
                                <a:lnTo>
                                  <a:pt x="3101725" y="509443"/>
                                </a:lnTo>
                                <a:lnTo>
                                  <a:pt x="3066035" y="509443"/>
                                </a:lnTo>
                                <a:lnTo>
                                  <a:pt x="3066035" y="382716"/>
                                </a:lnTo>
                                <a:lnTo>
                                  <a:pt x="4068464" y="382716"/>
                                </a:lnTo>
                                <a:lnTo>
                                  <a:pt x="4068464" y="509443"/>
                                </a:lnTo>
                                <a:lnTo>
                                  <a:pt x="4033367" y="509443"/>
                                </a:lnTo>
                                <a:lnTo>
                                  <a:pt x="4086534" y="601523"/>
                                </a:lnTo>
                                <a:lnTo>
                                  <a:pt x="4139713" y="509443"/>
                                </a:lnTo>
                                <a:lnTo>
                                  <a:pt x="4104011" y="509443"/>
                                </a:lnTo>
                                <a:lnTo>
                                  <a:pt x="4104011" y="382716"/>
                                </a:lnTo>
                                <a:lnTo>
                                  <a:pt x="5106452" y="382716"/>
                                </a:lnTo>
                                <a:lnTo>
                                  <a:pt x="5106452" y="509443"/>
                                </a:lnTo>
                                <a:lnTo>
                                  <a:pt x="5071355" y="509443"/>
                                </a:lnTo>
                                <a:lnTo>
                                  <a:pt x="5124510" y="601523"/>
                                </a:lnTo>
                                <a:lnTo>
                                  <a:pt x="5177701" y="509443"/>
                                </a:lnTo>
                                <a:lnTo>
                                  <a:pt x="5142000" y="509443"/>
                                </a:lnTo>
                                <a:lnTo>
                                  <a:pt x="5142000" y="347169"/>
                                </a:lnTo>
                                <a:lnTo>
                                  <a:pt x="2547052" y="347169"/>
                                </a:lnTo>
                                <a:lnTo>
                                  <a:pt x="2547052" y="204896"/>
                                </a:lnTo>
                                <a:lnTo>
                                  <a:pt x="3154833" y="204896"/>
                                </a:lnTo>
                                <a:lnTo>
                                  <a:pt x="3154833" y="0"/>
                                </a:lnTo>
                                <a:lnTo>
                                  <a:pt x="1903760" y="0"/>
                                </a:lnTo>
                                <a:lnTo>
                                  <a:pt x="1903760" y="204896"/>
                                </a:lnTo>
                                <a:lnTo>
                                  <a:pt x="2511529" y="204896"/>
                                </a:lnTo>
                                <a:lnTo>
                                  <a:pt x="2511529" y="347169"/>
                                </a:lnTo>
                                <a:lnTo>
                                  <a:pt x="35109" y="347169"/>
                                </a:lnTo>
                                <a:lnTo>
                                  <a:pt x="35109" y="509443"/>
                                </a:lnTo>
                                <a:lnTo>
                                  <a:pt x="0" y="509443"/>
                                </a:lnTo>
                                <a:lnTo>
                                  <a:pt x="53167" y="601523"/>
                                </a:lnTo>
                                <a:close/>
                              </a:path>
                            </a:pathLst>
                          </a:custGeom>
                          <a:ln w="11849">
                            <a:solidFill>
                              <a:srgbClr val="231F20"/>
                            </a:solidFill>
                            <a:prstDash val="solid"/>
                          </a:ln>
                        </wps:spPr>
                        <wps:bodyPr wrap="square" lIns="0" tIns="0" rIns="0" bIns="0" rtlCol="0">
                          <a:prstTxWarp prst="textNoShape">
                            <a:avLst/>
                          </a:prstTxWarp>
                          <a:noAutofit/>
                        </wps:bodyPr>
                      </wps:wsp>
                      <wps:wsp>
                        <wps:cNvPr id="1267" name="Graphic 1267"/>
                        <wps:cNvSpPr/>
                        <wps:spPr>
                          <a:xfrm>
                            <a:off x="925363" y="620317"/>
                            <a:ext cx="817880" cy="583565"/>
                          </a:xfrm>
                          <a:custGeom>
                            <a:avLst/>
                            <a:gdLst/>
                            <a:ahLst/>
                            <a:cxnLst/>
                            <a:rect l="l" t="t" r="r" b="b"/>
                            <a:pathLst>
                              <a:path w="817880" h="583565">
                                <a:moveTo>
                                  <a:pt x="817295" y="0"/>
                                </a:moveTo>
                                <a:lnTo>
                                  <a:pt x="0" y="0"/>
                                </a:lnTo>
                                <a:lnTo>
                                  <a:pt x="0" y="348602"/>
                                </a:lnTo>
                                <a:lnTo>
                                  <a:pt x="390880" y="348602"/>
                                </a:lnTo>
                                <a:lnTo>
                                  <a:pt x="390880" y="491248"/>
                                </a:lnTo>
                                <a:lnTo>
                                  <a:pt x="355765" y="491248"/>
                                </a:lnTo>
                                <a:lnTo>
                                  <a:pt x="408940" y="583336"/>
                                </a:lnTo>
                                <a:lnTo>
                                  <a:pt x="462114" y="491248"/>
                                </a:lnTo>
                                <a:lnTo>
                                  <a:pt x="426427" y="491248"/>
                                </a:lnTo>
                                <a:lnTo>
                                  <a:pt x="426427" y="348602"/>
                                </a:lnTo>
                                <a:lnTo>
                                  <a:pt x="817295" y="348602"/>
                                </a:lnTo>
                                <a:lnTo>
                                  <a:pt x="817295" y="0"/>
                                </a:lnTo>
                                <a:close/>
                              </a:path>
                            </a:pathLst>
                          </a:custGeom>
                          <a:solidFill>
                            <a:srgbClr val="D7EDDD"/>
                          </a:solidFill>
                        </wps:spPr>
                        <wps:bodyPr wrap="square" lIns="0" tIns="0" rIns="0" bIns="0" rtlCol="0">
                          <a:prstTxWarp prst="textNoShape">
                            <a:avLst/>
                          </a:prstTxWarp>
                          <a:noAutofit/>
                        </wps:bodyPr>
                      </wps:wsp>
                      <wps:wsp>
                        <wps:cNvPr id="1268" name="Graphic 1268"/>
                        <wps:cNvSpPr/>
                        <wps:spPr>
                          <a:xfrm>
                            <a:off x="925361" y="620316"/>
                            <a:ext cx="817880" cy="583565"/>
                          </a:xfrm>
                          <a:custGeom>
                            <a:avLst/>
                            <a:gdLst/>
                            <a:ahLst/>
                            <a:cxnLst/>
                            <a:rect l="l" t="t" r="r" b="b"/>
                            <a:pathLst>
                              <a:path w="817880" h="583565">
                                <a:moveTo>
                                  <a:pt x="817297" y="348602"/>
                                </a:moveTo>
                                <a:lnTo>
                                  <a:pt x="817297" y="0"/>
                                </a:lnTo>
                                <a:lnTo>
                                  <a:pt x="0" y="0"/>
                                </a:lnTo>
                                <a:lnTo>
                                  <a:pt x="0" y="348602"/>
                                </a:lnTo>
                                <a:lnTo>
                                  <a:pt x="390880" y="348602"/>
                                </a:lnTo>
                                <a:lnTo>
                                  <a:pt x="390880" y="491243"/>
                                </a:lnTo>
                                <a:lnTo>
                                  <a:pt x="355771" y="491243"/>
                                </a:lnTo>
                                <a:lnTo>
                                  <a:pt x="408938" y="583335"/>
                                </a:lnTo>
                                <a:lnTo>
                                  <a:pt x="462118" y="491243"/>
                                </a:lnTo>
                                <a:lnTo>
                                  <a:pt x="426428" y="491243"/>
                                </a:lnTo>
                                <a:lnTo>
                                  <a:pt x="426428" y="348602"/>
                                </a:lnTo>
                                <a:lnTo>
                                  <a:pt x="817297" y="348602"/>
                                </a:lnTo>
                                <a:close/>
                              </a:path>
                            </a:pathLst>
                          </a:custGeom>
                          <a:ln w="11849">
                            <a:solidFill>
                              <a:srgbClr val="231F20"/>
                            </a:solidFill>
                            <a:prstDash val="solid"/>
                          </a:ln>
                        </wps:spPr>
                        <wps:bodyPr wrap="square" lIns="0" tIns="0" rIns="0" bIns="0" rtlCol="0">
                          <a:prstTxWarp prst="textNoShape">
                            <a:avLst/>
                          </a:prstTxWarp>
                          <a:noAutofit/>
                        </wps:bodyPr>
                      </wps:wsp>
                      <wps:wsp>
                        <wps:cNvPr id="1269" name="Graphic 1269"/>
                        <wps:cNvSpPr/>
                        <wps:spPr>
                          <a:xfrm>
                            <a:off x="925363" y="1217678"/>
                            <a:ext cx="4969510" cy="2813050"/>
                          </a:xfrm>
                          <a:custGeom>
                            <a:avLst/>
                            <a:gdLst/>
                            <a:ahLst/>
                            <a:cxnLst/>
                            <a:rect l="l" t="t" r="r" b="b"/>
                            <a:pathLst>
                              <a:path w="4969510" h="2813050">
                                <a:moveTo>
                                  <a:pt x="817295" y="0"/>
                                </a:moveTo>
                                <a:lnTo>
                                  <a:pt x="0" y="0"/>
                                </a:lnTo>
                                <a:lnTo>
                                  <a:pt x="0" y="348602"/>
                                </a:lnTo>
                                <a:lnTo>
                                  <a:pt x="817295" y="348602"/>
                                </a:lnTo>
                                <a:lnTo>
                                  <a:pt x="817295" y="0"/>
                                </a:lnTo>
                                <a:close/>
                              </a:path>
                              <a:path w="4969510" h="2813050">
                                <a:moveTo>
                                  <a:pt x="2074633" y="724344"/>
                                </a:moveTo>
                                <a:lnTo>
                                  <a:pt x="798880" y="724344"/>
                                </a:lnTo>
                                <a:lnTo>
                                  <a:pt x="798880" y="2812821"/>
                                </a:lnTo>
                                <a:lnTo>
                                  <a:pt x="2074633" y="2812821"/>
                                </a:lnTo>
                                <a:lnTo>
                                  <a:pt x="2074633" y="724344"/>
                                </a:lnTo>
                                <a:close/>
                              </a:path>
                              <a:path w="4969510" h="2813050">
                                <a:moveTo>
                                  <a:pt x="4969205" y="348602"/>
                                </a:moveTo>
                                <a:lnTo>
                                  <a:pt x="4151922" y="348602"/>
                                </a:lnTo>
                                <a:lnTo>
                                  <a:pt x="4151922" y="697217"/>
                                </a:lnTo>
                                <a:lnTo>
                                  <a:pt x="4969205" y="697217"/>
                                </a:lnTo>
                                <a:lnTo>
                                  <a:pt x="4969205" y="348602"/>
                                </a:lnTo>
                                <a:close/>
                              </a:path>
                            </a:pathLst>
                          </a:custGeom>
                          <a:solidFill>
                            <a:srgbClr val="F1D499"/>
                          </a:solidFill>
                        </wps:spPr>
                        <wps:bodyPr wrap="square" lIns="0" tIns="0" rIns="0" bIns="0" rtlCol="0">
                          <a:prstTxWarp prst="textNoShape">
                            <a:avLst/>
                          </a:prstTxWarp>
                          <a:noAutofit/>
                        </wps:bodyPr>
                      </wps:wsp>
                      <wps:wsp>
                        <wps:cNvPr id="1270" name="Graphic 1270"/>
                        <wps:cNvSpPr/>
                        <wps:spPr>
                          <a:xfrm>
                            <a:off x="1724245" y="1942021"/>
                            <a:ext cx="1276350" cy="2088514"/>
                          </a:xfrm>
                          <a:custGeom>
                            <a:avLst/>
                            <a:gdLst/>
                            <a:ahLst/>
                            <a:cxnLst/>
                            <a:rect l="l" t="t" r="r" b="b"/>
                            <a:pathLst>
                              <a:path w="1276350" h="2088514">
                                <a:moveTo>
                                  <a:pt x="0" y="2088477"/>
                                </a:moveTo>
                                <a:lnTo>
                                  <a:pt x="1275754" y="2088477"/>
                                </a:lnTo>
                                <a:lnTo>
                                  <a:pt x="1275754" y="0"/>
                                </a:lnTo>
                                <a:lnTo>
                                  <a:pt x="0" y="0"/>
                                </a:lnTo>
                                <a:lnTo>
                                  <a:pt x="0" y="2088477"/>
                                </a:lnTo>
                                <a:close/>
                              </a:path>
                            </a:pathLst>
                          </a:custGeom>
                          <a:ln w="11849">
                            <a:solidFill>
                              <a:srgbClr val="231F20"/>
                            </a:solidFill>
                            <a:prstDash val="solid"/>
                          </a:ln>
                        </wps:spPr>
                        <wps:bodyPr wrap="square" lIns="0" tIns="0" rIns="0" bIns="0" rtlCol="0">
                          <a:prstTxWarp prst="textNoShape">
                            <a:avLst/>
                          </a:prstTxWarp>
                          <a:noAutofit/>
                        </wps:bodyPr>
                      </wps:wsp>
                      <wps:wsp>
                        <wps:cNvPr id="1271" name="Graphic 1271"/>
                        <wps:cNvSpPr/>
                        <wps:spPr>
                          <a:xfrm>
                            <a:off x="5921" y="1217690"/>
                            <a:ext cx="4361815" cy="2332990"/>
                          </a:xfrm>
                          <a:custGeom>
                            <a:avLst/>
                            <a:gdLst/>
                            <a:ahLst/>
                            <a:cxnLst/>
                            <a:rect l="l" t="t" r="r" b="b"/>
                            <a:pathLst>
                              <a:path w="4361815" h="2332990">
                                <a:moveTo>
                                  <a:pt x="817308" y="0"/>
                                </a:moveTo>
                                <a:lnTo>
                                  <a:pt x="0" y="0"/>
                                </a:lnTo>
                                <a:lnTo>
                                  <a:pt x="0" y="467093"/>
                                </a:lnTo>
                                <a:lnTo>
                                  <a:pt x="817308" y="467093"/>
                                </a:lnTo>
                                <a:lnTo>
                                  <a:pt x="817308" y="0"/>
                                </a:lnTo>
                                <a:close/>
                              </a:path>
                              <a:path w="4361815" h="2332990">
                                <a:moveTo>
                                  <a:pt x="4361739" y="724331"/>
                                </a:moveTo>
                                <a:lnTo>
                                  <a:pt x="3085985" y="724331"/>
                                </a:lnTo>
                                <a:lnTo>
                                  <a:pt x="3085985" y="2332913"/>
                                </a:lnTo>
                                <a:lnTo>
                                  <a:pt x="4361739" y="2332913"/>
                                </a:lnTo>
                                <a:lnTo>
                                  <a:pt x="4361739" y="724331"/>
                                </a:lnTo>
                                <a:close/>
                              </a:path>
                            </a:pathLst>
                          </a:custGeom>
                          <a:solidFill>
                            <a:srgbClr val="F1D499"/>
                          </a:solidFill>
                        </wps:spPr>
                        <wps:bodyPr wrap="square" lIns="0" tIns="0" rIns="0" bIns="0" rtlCol="0">
                          <a:prstTxWarp prst="textNoShape">
                            <a:avLst/>
                          </a:prstTxWarp>
                          <a:noAutofit/>
                        </wps:bodyPr>
                      </wps:wsp>
                      <wps:wsp>
                        <wps:cNvPr id="1272" name="Graphic 1272"/>
                        <wps:cNvSpPr/>
                        <wps:spPr>
                          <a:xfrm>
                            <a:off x="3001304" y="620317"/>
                            <a:ext cx="817880" cy="1306830"/>
                          </a:xfrm>
                          <a:custGeom>
                            <a:avLst/>
                            <a:gdLst/>
                            <a:ahLst/>
                            <a:cxnLst/>
                            <a:rect l="l" t="t" r="r" b="b"/>
                            <a:pathLst>
                              <a:path w="817880" h="1306830">
                                <a:moveTo>
                                  <a:pt x="817295" y="0"/>
                                </a:moveTo>
                                <a:lnTo>
                                  <a:pt x="0" y="0"/>
                                </a:lnTo>
                                <a:lnTo>
                                  <a:pt x="0" y="348602"/>
                                </a:lnTo>
                                <a:lnTo>
                                  <a:pt x="390880" y="348602"/>
                                </a:lnTo>
                                <a:lnTo>
                                  <a:pt x="390880" y="1214462"/>
                                </a:lnTo>
                                <a:lnTo>
                                  <a:pt x="355777" y="1214462"/>
                                </a:lnTo>
                                <a:lnTo>
                                  <a:pt x="408939" y="1306550"/>
                                </a:lnTo>
                                <a:lnTo>
                                  <a:pt x="462114" y="1214462"/>
                                </a:lnTo>
                                <a:lnTo>
                                  <a:pt x="426427" y="1214462"/>
                                </a:lnTo>
                                <a:lnTo>
                                  <a:pt x="426427" y="348602"/>
                                </a:lnTo>
                                <a:lnTo>
                                  <a:pt x="817295" y="348602"/>
                                </a:lnTo>
                                <a:lnTo>
                                  <a:pt x="817295" y="0"/>
                                </a:lnTo>
                                <a:close/>
                              </a:path>
                            </a:pathLst>
                          </a:custGeom>
                          <a:solidFill>
                            <a:srgbClr val="D7EDDD"/>
                          </a:solidFill>
                        </wps:spPr>
                        <wps:bodyPr wrap="square" lIns="0" tIns="0" rIns="0" bIns="0" rtlCol="0">
                          <a:prstTxWarp prst="textNoShape">
                            <a:avLst/>
                          </a:prstTxWarp>
                          <a:noAutofit/>
                        </wps:bodyPr>
                      </wps:wsp>
                      <wps:wsp>
                        <wps:cNvPr id="1273" name="Graphic 1273"/>
                        <wps:cNvSpPr/>
                        <wps:spPr>
                          <a:xfrm>
                            <a:off x="3001302" y="620316"/>
                            <a:ext cx="817880" cy="1306830"/>
                          </a:xfrm>
                          <a:custGeom>
                            <a:avLst/>
                            <a:gdLst/>
                            <a:ahLst/>
                            <a:cxnLst/>
                            <a:rect l="l" t="t" r="r" b="b"/>
                            <a:pathLst>
                              <a:path w="817880" h="1306830">
                                <a:moveTo>
                                  <a:pt x="817297" y="348602"/>
                                </a:moveTo>
                                <a:lnTo>
                                  <a:pt x="817297" y="0"/>
                                </a:lnTo>
                                <a:lnTo>
                                  <a:pt x="0" y="0"/>
                                </a:lnTo>
                                <a:lnTo>
                                  <a:pt x="0" y="348602"/>
                                </a:lnTo>
                                <a:lnTo>
                                  <a:pt x="390880" y="348602"/>
                                </a:lnTo>
                                <a:lnTo>
                                  <a:pt x="390880" y="1214458"/>
                                </a:lnTo>
                                <a:lnTo>
                                  <a:pt x="355783" y="1214458"/>
                                </a:lnTo>
                                <a:lnTo>
                                  <a:pt x="408938" y="1306550"/>
                                </a:lnTo>
                                <a:lnTo>
                                  <a:pt x="462118" y="1214458"/>
                                </a:lnTo>
                                <a:lnTo>
                                  <a:pt x="426428" y="1214458"/>
                                </a:lnTo>
                                <a:lnTo>
                                  <a:pt x="426428" y="348602"/>
                                </a:lnTo>
                                <a:lnTo>
                                  <a:pt x="817297" y="348602"/>
                                </a:lnTo>
                                <a:close/>
                              </a:path>
                            </a:pathLst>
                          </a:custGeom>
                          <a:ln w="11849">
                            <a:solidFill>
                              <a:srgbClr val="231F20"/>
                            </a:solidFill>
                            <a:prstDash val="solid"/>
                          </a:ln>
                        </wps:spPr>
                        <wps:bodyPr wrap="square" lIns="0" tIns="0" rIns="0" bIns="0" rtlCol="0">
                          <a:prstTxWarp prst="textNoShape">
                            <a:avLst/>
                          </a:prstTxWarp>
                          <a:noAutofit/>
                        </wps:bodyPr>
                      </wps:wsp>
                      <wps:wsp>
                        <wps:cNvPr id="1274" name="Graphic 1274"/>
                        <wps:cNvSpPr/>
                        <wps:spPr>
                          <a:xfrm>
                            <a:off x="4039289" y="620320"/>
                            <a:ext cx="1993900" cy="930275"/>
                          </a:xfrm>
                          <a:custGeom>
                            <a:avLst/>
                            <a:gdLst/>
                            <a:ahLst/>
                            <a:cxnLst/>
                            <a:rect l="l" t="t" r="r" b="b"/>
                            <a:pathLst>
                              <a:path w="1993900" h="930275">
                                <a:moveTo>
                                  <a:pt x="817295" y="0"/>
                                </a:moveTo>
                                <a:lnTo>
                                  <a:pt x="0" y="0"/>
                                </a:lnTo>
                                <a:lnTo>
                                  <a:pt x="0" y="348602"/>
                                </a:lnTo>
                                <a:lnTo>
                                  <a:pt x="817295" y="348602"/>
                                </a:lnTo>
                                <a:lnTo>
                                  <a:pt x="817295" y="0"/>
                                </a:lnTo>
                                <a:close/>
                              </a:path>
                              <a:path w="1993900" h="930275">
                                <a:moveTo>
                                  <a:pt x="1993315" y="0"/>
                                </a:moveTo>
                                <a:lnTo>
                                  <a:pt x="899947" y="0"/>
                                </a:lnTo>
                                <a:lnTo>
                                  <a:pt x="899947" y="693508"/>
                                </a:lnTo>
                                <a:lnTo>
                                  <a:pt x="1428864" y="693508"/>
                                </a:lnTo>
                                <a:lnTo>
                                  <a:pt x="1428864" y="838009"/>
                                </a:lnTo>
                                <a:lnTo>
                                  <a:pt x="1393761" y="838009"/>
                                </a:lnTo>
                                <a:lnTo>
                                  <a:pt x="1446923" y="930084"/>
                                </a:lnTo>
                                <a:lnTo>
                                  <a:pt x="1500111" y="838009"/>
                                </a:lnTo>
                                <a:lnTo>
                                  <a:pt x="1464411" y="838009"/>
                                </a:lnTo>
                                <a:lnTo>
                                  <a:pt x="1464411" y="693508"/>
                                </a:lnTo>
                                <a:lnTo>
                                  <a:pt x="1993315" y="693508"/>
                                </a:lnTo>
                                <a:lnTo>
                                  <a:pt x="1993315" y="0"/>
                                </a:lnTo>
                                <a:close/>
                              </a:path>
                            </a:pathLst>
                          </a:custGeom>
                          <a:solidFill>
                            <a:srgbClr val="D7EDDD"/>
                          </a:solidFill>
                        </wps:spPr>
                        <wps:bodyPr wrap="square" lIns="0" tIns="0" rIns="0" bIns="0" rtlCol="0">
                          <a:prstTxWarp prst="textNoShape">
                            <a:avLst/>
                          </a:prstTxWarp>
                          <a:noAutofit/>
                        </wps:bodyPr>
                      </wps:wsp>
                      <wps:wsp>
                        <wps:cNvPr id="1275" name="Graphic 1275"/>
                        <wps:cNvSpPr/>
                        <wps:spPr>
                          <a:xfrm>
                            <a:off x="4939236" y="620316"/>
                            <a:ext cx="1093470" cy="930275"/>
                          </a:xfrm>
                          <a:custGeom>
                            <a:avLst/>
                            <a:gdLst/>
                            <a:ahLst/>
                            <a:cxnLst/>
                            <a:rect l="l" t="t" r="r" b="b"/>
                            <a:pathLst>
                              <a:path w="1093470" h="930275">
                                <a:moveTo>
                                  <a:pt x="0" y="0"/>
                                </a:moveTo>
                                <a:lnTo>
                                  <a:pt x="0" y="693508"/>
                                </a:lnTo>
                                <a:lnTo>
                                  <a:pt x="528911" y="693508"/>
                                </a:lnTo>
                                <a:lnTo>
                                  <a:pt x="528911" y="838009"/>
                                </a:lnTo>
                                <a:lnTo>
                                  <a:pt x="493814" y="838009"/>
                                </a:lnTo>
                                <a:lnTo>
                                  <a:pt x="546970" y="930089"/>
                                </a:lnTo>
                                <a:lnTo>
                                  <a:pt x="600161" y="838009"/>
                                </a:lnTo>
                                <a:lnTo>
                                  <a:pt x="564459" y="838009"/>
                                </a:lnTo>
                                <a:lnTo>
                                  <a:pt x="564459" y="693508"/>
                                </a:lnTo>
                                <a:lnTo>
                                  <a:pt x="1093371" y="693508"/>
                                </a:lnTo>
                                <a:lnTo>
                                  <a:pt x="1093371" y="0"/>
                                </a:lnTo>
                                <a:lnTo>
                                  <a:pt x="0" y="0"/>
                                </a:lnTo>
                                <a:close/>
                              </a:path>
                            </a:pathLst>
                          </a:custGeom>
                          <a:ln w="11849">
                            <a:solidFill>
                              <a:srgbClr val="231F20"/>
                            </a:solidFill>
                            <a:prstDash val="solid"/>
                          </a:ln>
                        </wps:spPr>
                        <wps:bodyPr wrap="square" lIns="0" tIns="0" rIns="0" bIns="0" rtlCol="0">
                          <a:prstTxWarp prst="textNoShape">
                            <a:avLst/>
                          </a:prstTxWarp>
                          <a:noAutofit/>
                        </wps:bodyPr>
                      </wps:wsp>
                      <wps:wsp>
                        <wps:cNvPr id="1276" name="Graphic 1276"/>
                        <wps:cNvSpPr/>
                        <wps:spPr>
                          <a:xfrm>
                            <a:off x="118983" y="608461"/>
                            <a:ext cx="591820" cy="595630"/>
                          </a:xfrm>
                          <a:custGeom>
                            <a:avLst/>
                            <a:gdLst/>
                            <a:ahLst/>
                            <a:cxnLst/>
                            <a:rect l="l" t="t" r="r" b="b"/>
                            <a:pathLst>
                              <a:path w="591820" h="595630">
                                <a:moveTo>
                                  <a:pt x="591197" y="0"/>
                                </a:moveTo>
                                <a:lnTo>
                                  <a:pt x="0" y="0"/>
                                </a:lnTo>
                                <a:lnTo>
                                  <a:pt x="0" y="204889"/>
                                </a:lnTo>
                                <a:lnTo>
                                  <a:pt x="277825" y="204889"/>
                                </a:lnTo>
                                <a:lnTo>
                                  <a:pt x="277825" y="503097"/>
                                </a:lnTo>
                                <a:lnTo>
                                  <a:pt x="242722" y="503097"/>
                                </a:lnTo>
                                <a:lnTo>
                                  <a:pt x="295897" y="595185"/>
                                </a:lnTo>
                                <a:lnTo>
                                  <a:pt x="349059" y="503097"/>
                                </a:lnTo>
                                <a:lnTo>
                                  <a:pt x="313372" y="503097"/>
                                </a:lnTo>
                                <a:lnTo>
                                  <a:pt x="313372" y="204889"/>
                                </a:lnTo>
                                <a:lnTo>
                                  <a:pt x="591197" y="204889"/>
                                </a:lnTo>
                                <a:lnTo>
                                  <a:pt x="591197" y="0"/>
                                </a:lnTo>
                                <a:close/>
                              </a:path>
                            </a:pathLst>
                          </a:custGeom>
                          <a:solidFill>
                            <a:srgbClr val="D7EDDD"/>
                          </a:solidFill>
                        </wps:spPr>
                        <wps:bodyPr wrap="square" lIns="0" tIns="0" rIns="0" bIns="0" rtlCol="0">
                          <a:prstTxWarp prst="textNoShape">
                            <a:avLst/>
                          </a:prstTxWarp>
                          <a:noAutofit/>
                        </wps:bodyPr>
                      </wps:wsp>
                      <wps:wsp>
                        <wps:cNvPr id="1277" name="Graphic 1277"/>
                        <wps:cNvSpPr/>
                        <wps:spPr>
                          <a:xfrm>
                            <a:off x="118989" y="608454"/>
                            <a:ext cx="591185" cy="595630"/>
                          </a:xfrm>
                          <a:custGeom>
                            <a:avLst/>
                            <a:gdLst/>
                            <a:ahLst/>
                            <a:cxnLst/>
                            <a:rect l="l" t="t" r="r" b="b"/>
                            <a:pathLst>
                              <a:path w="591185" h="595630">
                                <a:moveTo>
                                  <a:pt x="591191" y="204896"/>
                                </a:moveTo>
                                <a:lnTo>
                                  <a:pt x="591191" y="0"/>
                                </a:lnTo>
                                <a:lnTo>
                                  <a:pt x="0" y="0"/>
                                </a:lnTo>
                                <a:lnTo>
                                  <a:pt x="0" y="204896"/>
                                </a:lnTo>
                                <a:lnTo>
                                  <a:pt x="277815" y="204896"/>
                                </a:lnTo>
                                <a:lnTo>
                                  <a:pt x="277815" y="503104"/>
                                </a:lnTo>
                                <a:lnTo>
                                  <a:pt x="242718" y="503104"/>
                                </a:lnTo>
                                <a:lnTo>
                                  <a:pt x="295885" y="595196"/>
                                </a:lnTo>
                                <a:lnTo>
                                  <a:pt x="349053" y="503104"/>
                                </a:lnTo>
                                <a:lnTo>
                                  <a:pt x="313363" y="503104"/>
                                </a:lnTo>
                                <a:lnTo>
                                  <a:pt x="313363" y="204896"/>
                                </a:lnTo>
                                <a:lnTo>
                                  <a:pt x="591191" y="204896"/>
                                </a:lnTo>
                                <a:close/>
                              </a:path>
                            </a:pathLst>
                          </a:custGeom>
                          <a:ln w="11849">
                            <a:solidFill>
                              <a:srgbClr val="231F20"/>
                            </a:solidFill>
                            <a:prstDash val="solid"/>
                          </a:ln>
                        </wps:spPr>
                        <wps:bodyPr wrap="square" lIns="0" tIns="0" rIns="0" bIns="0" rtlCol="0">
                          <a:prstTxWarp prst="textNoShape">
                            <a:avLst/>
                          </a:prstTxWarp>
                          <a:noAutofit/>
                        </wps:bodyPr>
                      </wps:wsp>
                      <wps:wsp>
                        <wps:cNvPr id="1278" name="Graphic 1278"/>
                        <wps:cNvSpPr/>
                        <wps:spPr>
                          <a:xfrm>
                            <a:off x="1963350" y="620317"/>
                            <a:ext cx="817880" cy="1306830"/>
                          </a:xfrm>
                          <a:custGeom>
                            <a:avLst/>
                            <a:gdLst/>
                            <a:ahLst/>
                            <a:cxnLst/>
                            <a:rect l="l" t="t" r="r" b="b"/>
                            <a:pathLst>
                              <a:path w="817880" h="1306830">
                                <a:moveTo>
                                  <a:pt x="817295" y="0"/>
                                </a:moveTo>
                                <a:lnTo>
                                  <a:pt x="0" y="0"/>
                                </a:lnTo>
                                <a:lnTo>
                                  <a:pt x="0" y="348602"/>
                                </a:lnTo>
                                <a:lnTo>
                                  <a:pt x="390880" y="348602"/>
                                </a:lnTo>
                                <a:lnTo>
                                  <a:pt x="390880" y="1087742"/>
                                </a:lnTo>
                                <a:lnTo>
                                  <a:pt x="390880" y="1214462"/>
                                </a:lnTo>
                                <a:lnTo>
                                  <a:pt x="355777" y="1214462"/>
                                </a:lnTo>
                                <a:lnTo>
                                  <a:pt x="408940" y="1306550"/>
                                </a:lnTo>
                                <a:lnTo>
                                  <a:pt x="462114" y="1214462"/>
                                </a:lnTo>
                                <a:lnTo>
                                  <a:pt x="426427" y="1214462"/>
                                </a:lnTo>
                                <a:lnTo>
                                  <a:pt x="426427" y="348602"/>
                                </a:lnTo>
                                <a:lnTo>
                                  <a:pt x="817295" y="348602"/>
                                </a:lnTo>
                                <a:lnTo>
                                  <a:pt x="817295" y="0"/>
                                </a:lnTo>
                                <a:close/>
                              </a:path>
                            </a:pathLst>
                          </a:custGeom>
                          <a:solidFill>
                            <a:srgbClr val="D7EDDD"/>
                          </a:solidFill>
                        </wps:spPr>
                        <wps:bodyPr wrap="square" lIns="0" tIns="0" rIns="0" bIns="0" rtlCol="0">
                          <a:prstTxWarp prst="textNoShape">
                            <a:avLst/>
                          </a:prstTxWarp>
                          <a:noAutofit/>
                        </wps:bodyPr>
                      </wps:wsp>
                      <wps:wsp>
                        <wps:cNvPr id="1279" name="Graphic 1279"/>
                        <wps:cNvSpPr/>
                        <wps:spPr>
                          <a:xfrm>
                            <a:off x="1963350" y="620316"/>
                            <a:ext cx="817880" cy="1306830"/>
                          </a:xfrm>
                          <a:custGeom>
                            <a:avLst/>
                            <a:gdLst/>
                            <a:ahLst/>
                            <a:cxnLst/>
                            <a:rect l="l" t="t" r="r" b="b"/>
                            <a:pathLst>
                              <a:path w="817880" h="1306830">
                                <a:moveTo>
                                  <a:pt x="390880" y="1087743"/>
                                </a:moveTo>
                                <a:lnTo>
                                  <a:pt x="390880" y="1214458"/>
                                </a:lnTo>
                                <a:lnTo>
                                  <a:pt x="355771" y="1214458"/>
                                </a:lnTo>
                                <a:lnTo>
                                  <a:pt x="408938" y="1306550"/>
                                </a:lnTo>
                                <a:lnTo>
                                  <a:pt x="462118" y="1214458"/>
                                </a:lnTo>
                                <a:lnTo>
                                  <a:pt x="426428" y="1214458"/>
                                </a:lnTo>
                                <a:lnTo>
                                  <a:pt x="426428" y="1087743"/>
                                </a:lnTo>
                                <a:lnTo>
                                  <a:pt x="426428" y="1069969"/>
                                </a:lnTo>
                                <a:lnTo>
                                  <a:pt x="426428" y="348602"/>
                                </a:lnTo>
                                <a:lnTo>
                                  <a:pt x="817297" y="348602"/>
                                </a:lnTo>
                                <a:lnTo>
                                  <a:pt x="817297" y="0"/>
                                </a:lnTo>
                                <a:lnTo>
                                  <a:pt x="0" y="0"/>
                                </a:lnTo>
                                <a:lnTo>
                                  <a:pt x="0" y="348602"/>
                                </a:lnTo>
                                <a:lnTo>
                                  <a:pt x="390880" y="348602"/>
                                </a:lnTo>
                                <a:lnTo>
                                  <a:pt x="390880" y="1052195"/>
                                </a:lnTo>
                                <a:lnTo>
                                  <a:pt x="390880" y="1087743"/>
                                </a:lnTo>
                                <a:close/>
                              </a:path>
                            </a:pathLst>
                          </a:custGeom>
                          <a:ln w="11849">
                            <a:solidFill>
                              <a:srgbClr val="231F20"/>
                            </a:solidFill>
                            <a:prstDash val="solid"/>
                          </a:ln>
                        </wps:spPr>
                        <wps:bodyPr wrap="square" lIns="0" tIns="0" rIns="0" bIns="0" rtlCol="0">
                          <a:prstTxWarp prst="textNoShape">
                            <a:avLst/>
                          </a:prstTxWarp>
                          <a:noAutofit/>
                        </wps:bodyPr>
                      </wps:wsp>
                      <wps:wsp>
                        <wps:cNvPr id="1280" name="Textbox 1280"/>
                        <wps:cNvSpPr txBox="1"/>
                        <wps:spPr>
                          <a:xfrm>
                            <a:off x="2377360" y="65831"/>
                            <a:ext cx="1040130" cy="95250"/>
                          </a:xfrm>
                          <a:prstGeom prst="rect">
                            <a:avLst/>
                          </a:prstGeom>
                        </wps:spPr>
                        <wps:txbx>
                          <w:txbxContent>
                            <w:p>
                              <w:pPr>
                                <w:spacing w:line="147" w:lineRule="exact" w:before="0"/>
                                <w:ind w:left="0" w:right="0" w:firstLine="0"/>
                                <w:jc w:val="left"/>
                                <w:rPr>
                                  <w:rFonts w:ascii="Arial MT"/>
                                  <w:sz w:val="15"/>
                                </w:rPr>
                              </w:pPr>
                              <w:r>
                                <w:rPr>
                                  <w:rFonts w:ascii="Arial MT"/>
                                  <w:color w:val="231F20"/>
                                  <w:sz w:val="15"/>
                                </w:rPr>
                                <w:t>Nystagmus</w:t>
                              </w:r>
                              <w:r>
                                <w:rPr>
                                  <w:rFonts w:ascii="Arial MT"/>
                                  <w:color w:val="231F20"/>
                                  <w:spacing w:val="-6"/>
                                  <w:sz w:val="15"/>
                                </w:rPr>
                                <w:t> </w:t>
                              </w:r>
                              <w:r>
                                <w:rPr>
                                  <w:rFonts w:ascii="Arial MT"/>
                                  <w:color w:val="231F20"/>
                                  <w:sz w:val="15"/>
                                </w:rPr>
                                <w:t>in</w:t>
                              </w:r>
                              <w:r>
                                <w:rPr>
                                  <w:rFonts w:ascii="Arial MT"/>
                                  <w:color w:val="231F20"/>
                                  <w:spacing w:val="-6"/>
                                  <w:sz w:val="15"/>
                                </w:rPr>
                                <w:t> </w:t>
                              </w:r>
                              <w:r>
                                <w:rPr>
                                  <w:rFonts w:ascii="Arial MT"/>
                                  <w:color w:val="231F20"/>
                                  <w:spacing w:val="-2"/>
                                  <w:sz w:val="15"/>
                                </w:rPr>
                                <w:t>Childhood</w:t>
                              </w:r>
                            </w:p>
                          </w:txbxContent>
                        </wps:txbx>
                        <wps:bodyPr wrap="square" lIns="0" tIns="0" rIns="0" bIns="0" rtlCol="0">
                          <a:noAutofit/>
                        </wps:bodyPr>
                      </wps:wsp>
                      <wps:wsp>
                        <wps:cNvPr id="1281" name="Textbox 1281"/>
                        <wps:cNvSpPr txBox="1"/>
                        <wps:spPr>
                          <a:xfrm>
                            <a:off x="211695" y="668248"/>
                            <a:ext cx="41910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Idiopathic</w:t>
                              </w:r>
                            </w:p>
                          </w:txbxContent>
                        </wps:txbx>
                        <wps:bodyPr wrap="square" lIns="0" tIns="0" rIns="0" bIns="0" rtlCol="0">
                          <a:noAutofit/>
                        </wps:bodyPr>
                      </wps:wsp>
                      <wps:wsp>
                        <wps:cNvPr id="1282" name="Textbox 1282"/>
                        <wps:cNvSpPr txBox="1"/>
                        <wps:spPr>
                          <a:xfrm>
                            <a:off x="1115462" y="695169"/>
                            <a:ext cx="450215" cy="208915"/>
                          </a:xfrm>
                          <a:prstGeom prst="rect">
                            <a:avLst/>
                          </a:prstGeom>
                        </wps:spPr>
                        <wps:txbx>
                          <w:txbxContent>
                            <w:p>
                              <w:pPr>
                                <w:spacing w:line="147" w:lineRule="exact" w:before="0"/>
                                <w:ind w:left="33" w:right="0" w:firstLine="0"/>
                                <w:jc w:val="left"/>
                                <w:rPr>
                                  <w:rFonts w:ascii="Arial MT"/>
                                  <w:sz w:val="15"/>
                                </w:rPr>
                              </w:pPr>
                              <w:r>
                                <w:rPr>
                                  <w:rFonts w:ascii="Arial MT"/>
                                  <w:color w:val="231F20"/>
                                  <w:spacing w:val="-2"/>
                                  <w:sz w:val="15"/>
                                </w:rPr>
                                <w:t>Chiasmal</w:t>
                              </w:r>
                            </w:p>
                            <w:p>
                              <w:pPr>
                                <w:spacing w:before="6"/>
                                <w:ind w:left="0" w:right="0" w:firstLine="0"/>
                                <w:jc w:val="left"/>
                                <w:rPr>
                                  <w:rFonts w:ascii="Arial MT"/>
                                  <w:sz w:val="15"/>
                                </w:rPr>
                              </w:pPr>
                              <w:r>
                                <w:rPr>
                                  <w:rFonts w:ascii="Arial MT"/>
                                  <w:color w:val="231F20"/>
                                  <w:spacing w:val="-2"/>
                                  <w:sz w:val="15"/>
                                </w:rPr>
                                <w:t>Misrouting</w:t>
                              </w:r>
                            </w:p>
                          </w:txbxContent>
                        </wps:txbx>
                        <wps:bodyPr wrap="square" lIns="0" tIns="0" rIns="0" bIns="0" rtlCol="0">
                          <a:noAutofit/>
                        </wps:bodyPr>
                      </wps:wsp>
                      <wps:wsp>
                        <wps:cNvPr id="1283" name="Textbox 1283"/>
                        <wps:cNvSpPr txBox="1"/>
                        <wps:spPr>
                          <a:xfrm>
                            <a:off x="2024347" y="695169"/>
                            <a:ext cx="708660" cy="208915"/>
                          </a:xfrm>
                          <a:prstGeom prst="rect">
                            <a:avLst/>
                          </a:prstGeom>
                        </wps:spPr>
                        <wps:txbx>
                          <w:txbxContent>
                            <w:p>
                              <w:pPr>
                                <w:spacing w:line="147" w:lineRule="exact" w:before="0"/>
                                <w:ind w:left="28" w:right="0" w:firstLine="0"/>
                                <w:jc w:val="left"/>
                                <w:rPr>
                                  <w:rFonts w:ascii="Arial MT"/>
                                  <w:sz w:val="15"/>
                                </w:rPr>
                              </w:pPr>
                              <w:r>
                                <w:rPr>
                                  <w:rFonts w:ascii="Arial MT"/>
                                  <w:color w:val="231F20"/>
                                  <w:spacing w:val="-2"/>
                                  <w:sz w:val="15"/>
                                </w:rPr>
                                <w:t>Associated</w:t>
                              </w:r>
                              <w:r>
                                <w:rPr>
                                  <w:rFonts w:ascii="Arial MT"/>
                                  <w:color w:val="231F20"/>
                                  <w:spacing w:val="2"/>
                                  <w:sz w:val="15"/>
                                </w:rPr>
                                <w:t> </w:t>
                              </w:r>
                              <w:r>
                                <w:rPr>
                                  <w:rFonts w:ascii="Arial MT"/>
                                  <w:color w:val="231F20"/>
                                  <w:spacing w:val="-4"/>
                                  <w:sz w:val="15"/>
                                </w:rPr>
                                <w:t>with</w:t>
                              </w:r>
                            </w:p>
                            <w:p>
                              <w:pPr>
                                <w:spacing w:before="6"/>
                                <w:ind w:left="0" w:right="0" w:firstLine="0"/>
                                <w:jc w:val="left"/>
                                <w:rPr>
                                  <w:rFonts w:ascii="Arial MT"/>
                                  <w:sz w:val="15"/>
                                </w:rPr>
                              </w:pPr>
                              <w:r>
                                <w:rPr>
                                  <w:rFonts w:ascii="Arial MT"/>
                                  <w:color w:val="231F20"/>
                                  <w:sz w:val="15"/>
                                </w:rPr>
                                <w:t>Ocular</w:t>
                              </w:r>
                              <w:r>
                                <w:rPr>
                                  <w:rFonts w:ascii="Arial MT"/>
                                  <w:color w:val="231F20"/>
                                  <w:spacing w:val="-6"/>
                                  <w:sz w:val="15"/>
                                </w:rPr>
                                <w:t> </w:t>
                              </w:r>
                              <w:r>
                                <w:rPr>
                                  <w:rFonts w:ascii="Arial MT"/>
                                  <w:color w:val="231F20"/>
                                  <w:spacing w:val="-2"/>
                                  <w:sz w:val="15"/>
                                </w:rPr>
                                <w:t>Diseases</w:t>
                              </w:r>
                            </w:p>
                          </w:txbxContent>
                        </wps:txbx>
                        <wps:bodyPr wrap="square" lIns="0" tIns="0" rIns="0" bIns="0" rtlCol="0">
                          <a:noAutofit/>
                        </wps:bodyPr>
                      </wps:wsp>
                      <wps:wsp>
                        <wps:cNvPr id="1284" name="Textbox 1284"/>
                        <wps:cNvSpPr txBox="1"/>
                        <wps:spPr>
                          <a:xfrm>
                            <a:off x="3170217" y="695074"/>
                            <a:ext cx="492759" cy="208915"/>
                          </a:xfrm>
                          <a:prstGeom prst="rect">
                            <a:avLst/>
                          </a:prstGeom>
                        </wps:spPr>
                        <wps:txbx>
                          <w:txbxContent>
                            <w:p>
                              <w:pPr>
                                <w:spacing w:line="147" w:lineRule="exact" w:before="0"/>
                                <w:ind w:left="20" w:right="0" w:firstLine="0"/>
                                <w:jc w:val="left"/>
                                <w:rPr>
                                  <w:rFonts w:ascii="Arial MT"/>
                                  <w:sz w:val="15"/>
                                </w:rPr>
                              </w:pPr>
                              <w:r>
                                <w:rPr>
                                  <w:rFonts w:ascii="Arial MT"/>
                                  <w:color w:val="231F20"/>
                                  <w:spacing w:val="-2"/>
                                  <w:sz w:val="15"/>
                                </w:rPr>
                                <w:t>Neurologic</w:t>
                              </w:r>
                            </w:p>
                            <w:p>
                              <w:pPr>
                                <w:spacing w:before="6"/>
                                <w:ind w:left="0" w:right="0" w:firstLine="0"/>
                                <w:jc w:val="left"/>
                                <w:rPr>
                                  <w:rFonts w:ascii="Arial MT"/>
                                  <w:sz w:val="15"/>
                                </w:rPr>
                              </w:pPr>
                              <w:r>
                                <w:rPr>
                                  <w:rFonts w:ascii="Arial MT"/>
                                  <w:color w:val="231F20"/>
                                  <w:spacing w:val="-2"/>
                                  <w:sz w:val="15"/>
                                </w:rPr>
                                <w:t>Syndromes</w:t>
                              </w:r>
                            </w:p>
                          </w:txbxContent>
                        </wps:txbx>
                        <wps:bodyPr wrap="square" lIns="0" tIns="0" rIns="0" bIns="0" rtlCol="0">
                          <a:noAutofit/>
                        </wps:bodyPr>
                      </wps:wsp>
                      <wps:wsp>
                        <wps:cNvPr id="1285" name="Textbox 1285"/>
                        <wps:cNvSpPr txBox="1"/>
                        <wps:spPr>
                          <a:xfrm>
                            <a:off x="5003915" y="683225"/>
                            <a:ext cx="977265" cy="549910"/>
                          </a:xfrm>
                          <a:prstGeom prst="rect">
                            <a:avLst/>
                          </a:prstGeom>
                        </wps:spPr>
                        <wps:txbx>
                          <w:txbxContent>
                            <w:p>
                              <w:pPr>
                                <w:spacing w:line="147" w:lineRule="exact" w:before="0"/>
                                <w:ind w:left="0" w:right="17" w:firstLine="0"/>
                                <w:jc w:val="center"/>
                                <w:rPr>
                                  <w:rFonts w:ascii="Arial MT"/>
                                  <w:sz w:val="15"/>
                                </w:rPr>
                              </w:pPr>
                              <w:r>
                                <w:rPr>
                                  <w:rFonts w:ascii="Arial MT"/>
                                  <w:color w:val="231F20"/>
                                  <w:sz w:val="15"/>
                                </w:rPr>
                                <w:t>Manifest</w:t>
                              </w:r>
                              <w:r>
                                <w:rPr>
                                  <w:rFonts w:ascii="Arial MT"/>
                                  <w:color w:val="231F20"/>
                                  <w:spacing w:val="-7"/>
                                  <w:sz w:val="15"/>
                                </w:rPr>
                                <w:t> </w:t>
                              </w:r>
                              <w:r>
                                <w:rPr>
                                  <w:rFonts w:ascii="Arial MT"/>
                                  <w:color w:val="231F20"/>
                                  <w:spacing w:val="-2"/>
                                  <w:sz w:val="15"/>
                                </w:rPr>
                                <w:t>Latent</w:t>
                              </w:r>
                            </w:p>
                            <w:p>
                              <w:pPr>
                                <w:spacing w:line="249" w:lineRule="auto" w:before="6"/>
                                <w:ind w:left="211" w:right="228" w:hanging="1"/>
                                <w:jc w:val="center"/>
                                <w:rPr>
                                  <w:rFonts w:ascii="Arial MT"/>
                                  <w:sz w:val="15"/>
                                </w:rPr>
                              </w:pPr>
                              <w:r>
                                <w:rPr>
                                  <w:rFonts w:ascii="Arial MT"/>
                                  <w:color w:val="231F20"/>
                                  <w:spacing w:val="-2"/>
                                  <w:sz w:val="15"/>
                                </w:rPr>
                                <w:t>Nystagmus</w:t>
                              </w:r>
                              <w:r>
                                <w:rPr>
                                  <w:rFonts w:ascii="Arial MT"/>
                                  <w:color w:val="231F20"/>
                                  <w:sz w:val="15"/>
                                </w:rPr>
                                <w:t> </w:t>
                              </w:r>
                              <w:r>
                                <w:rPr>
                                  <w:rFonts w:ascii="Arial MT"/>
                                  <w:color w:val="231F20"/>
                                  <w:spacing w:val="-2"/>
                                  <w:sz w:val="15"/>
                                </w:rPr>
                                <w:t>(Fusional</w:t>
                              </w:r>
                              <w:r>
                                <w:rPr>
                                  <w:rFonts w:ascii="Arial MT"/>
                                  <w:color w:val="231F20"/>
                                  <w:sz w:val="15"/>
                                </w:rPr>
                                <w:t> </w:t>
                              </w:r>
                              <w:r>
                                <w:rPr>
                                  <w:rFonts w:ascii="Arial MT"/>
                                  <w:color w:val="231F20"/>
                                  <w:spacing w:val="-2"/>
                                  <w:sz w:val="15"/>
                                </w:rPr>
                                <w:t>Maldevelopment</w:t>
                              </w:r>
                            </w:p>
                            <w:p>
                              <w:pPr>
                                <w:spacing w:line="172" w:lineRule="exact" w:before="0"/>
                                <w:ind w:left="0" w:right="18" w:firstLine="0"/>
                                <w:jc w:val="center"/>
                                <w:rPr>
                                  <w:rFonts w:ascii="Arial MT"/>
                                  <w:sz w:val="15"/>
                                </w:rPr>
                              </w:pPr>
                              <w:r>
                                <w:rPr>
                                  <w:rFonts w:ascii="Arial MT"/>
                                  <w:color w:val="231F20"/>
                                  <w:sz w:val="15"/>
                                </w:rPr>
                                <w:t>Nystagmus</w:t>
                              </w:r>
                              <w:r>
                                <w:rPr>
                                  <w:rFonts w:ascii="Arial MT"/>
                                  <w:color w:val="231F20"/>
                                  <w:spacing w:val="-9"/>
                                  <w:sz w:val="15"/>
                                </w:rPr>
                                <w:t> </w:t>
                              </w:r>
                              <w:r>
                                <w:rPr>
                                  <w:rFonts w:ascii="Arial MT"/>
                                  <w:color w:val="231F20"/>
                                  <w:spacing w:val="-2"/>
                                  <w:sz w:val="15"/>
                                </w:rPr>
                                <w:t>Syndrome)</w:t>
                              </w:r>
                            </w:p>
                          </w:txbxContent>
                        </wps:txbx>
                        <wps:bodyPr wrap="square" lIns="0" tIns="0" rIns="0" bIns="0" rtlCol="0">
                          <a:noAutofit/>
                        </wps:bodyPr>
                      </wps:wsp>
                      <wps:wsp>
                        <wps:cNvPr id="1286" name="Textbox 1286"/>
                        <wps:cNvSpPr txBox="1"/>
                        <wps:spPr>
                          <a:xfrm>
                            <a:off x="1819402" y="2015935"/>
                            <a:ext cx="1124585" cy="1955164"/>
                          </a:xfrm>
                          <a:prstGeom prst="rect">
                            <a:avLst/>
                          </a:prstGeom>
                        </wps:spPr>
                        <wps:txbx>
                          <w:txbxContent>
                            <w:p>
                              <w:pPr>
                                <w:spacing w:line="147" w:lineRule="exact" w:before="0"/>
                                <w:ind w:left="0" w:right="0" w:firstLine="0"/>
                                <w:jc w:val="left"/>
                                <w:rPr>
                                  <w:rFonts w:ascii="Arial MT"/>
                                  <w:sz w:val="15"/>
                                </w:rPr>
                              </w:pPr>
                              <w:r>
                                <w:rPr>
                                  <w:rFonts w:ascii="Arial MT"/>
                                  <w:color w:val="231F20"/>
                                  <w:spacing w:val="-2"/>
                                  <w:sz w:val="15"/>
                                </w:rPr>
                                <w:t>Achromatopsia</w:t>
                              </w:r>
                            </w:p>
                            <w:p>
                              <w:pPr>
                                <w:spacing w:line="249" w:lineRule="auto" w:before="6"/>
                                <w:ind w:left="0" w:right="184" w:firstLine="0"/>
                                <w:jc w:val="left"/>
                                <w:rPr>
                                  <w:rFonts w:ascii="Arial MT"/>
                                  <w:sz w:val="15"/>
                                </w:rPr>
                              </w:pPr>
                              <w:r>
                                <w:rPr>
                                  <w:rFonts w:ascii="Arial MT"/>
                                  <w:color w:val="231F20"/>
                                  <w:spacing w:val="-2"/>
                                  <w:sz w:val="15"/>
                                </w:rPr>
                                <w:t>Congenital</w:t>
                              </w:r>
                              <w:r>
                                <w:rPr>
                                  <w:rFonts w:ascii="Arial MT"/>
                                  <w:color w:val="231F20"/>
                                  <w:spacing w:val="-5"/>
                                  <w:sz w:val="15"/>
                                </w:rPr>
                                <w:t> </w:t>
                              </w:r>
                              <w:r>
                                <w:rPr>
                                  <w:rFonts w:ascii="Arial MT"/>
                                  <w:color w:val="231F20"/>
                                  <w:spacing w:val="-2"/>
                                  <w:sz w:val="15"/>
                                </w:rPr>
                                <w:t>stationary</w:t>
                              </w:r>
                              <w:r>
                                <w:rPr>
                                  <w:rFonts w:ascii="Arial MT"/>
                                  <w:color w:val="231F20"/>
                                  <w:sz w:val="15"/>
                                </w:rPr>
                                <w:t> night</w:t>
                              </w:r>
                              <w:r>
                                <w:rPr>
                                  <w:rFonts w:ascii="Arial MT"/>
                                  <w:color w:val="231F20"/>
                                  <w:spacing w:val="-1"/>
                                  <w:sz w:val="15"/>
                                </w:rPr>
                                <w:t> </w:t>
                              </w:r>
                              <w:r>
                                <w:rPr>
                                  <w:rFonts w:ascii="Arial MT"/>
                                  <w:color w:val="231F20"/>
                                  <w:sz w:val="15"/>
                                </w:rPr>
                                <w:t>blindness</w:t>
                              </w:r>
                            </w:p>
                            <w:p>
                              <w:pPr>
                                <w:spacing w:line="249" w:lineRule="auto" w:before="63"/>
                                <w:ind w:left="0" w:right="665" w:firstLine="0"/>
                                <w:jc w:val="left"/>
                                <w:rPr>
                                  <w:rFonts w:ascii="Arial MT"/>
                                  <w:sz w:val="15"/>
                                </w:rPr>
                              </w:pPr>
                              <w:r>
                                <w:rPr>
                                  <w:rFonts w:ascii="Arial"/>
                                  <w:i/>
                                  <w:color w:val="231F20"/>
                                  <w:spacing w:val="-2"/>
                                  <w:sz w:val="15"/>
                                </w:rPr>
                                <w:t>Ciliopathies</w:t>
                              </w:r>
                              <w:r>
                                <w:rPr>
                                  <w:rFonts w:ascii="Arial"/>
                                  <w:i/>
                                  <w:color w:val="231F20"/>
                                  <w:sz w:val="15"/>
                                </w:rPr>
                                <w:t> </w:t>
                              </w:r>
                              <w:r>
                                <w:rPr>
                                  <w:rFonts w:ascii="Arial MT"/>
                                  <w:color w:val="231F20"/>
                                  <w:spacing w:val="-2"/>
                                  <w:sz w:val="15"/>
                                </w:rPr>
                                <w:t>Leber</w:t>
                              </w:r>
                              <w:r>
                                <w:rPr>
                                  <w:rFonts w:ascii="Arial MT"/>
                                  <w:color w:val="231F20"/>
                                  <w:spacing w:val="-9"/>
                                  <w:sz w:val="15"/>
                                </w:rPr>
                                <w:t> </w:t>
                              </w:r>
                              <w:r>
                                <w:rPr>
                                  <w:rFonts w:ascii="Arial MT"/>
                                  <w:color w:val="231F20"/>
                                  <w:spacing w:val="-2"/>
                                  <w:sz w:val="15"/>
                                </w:rPr>
                                <w:t>congenital</w:t>
                              </w:r>
                              <w:r>
                                <w:rPr>
                                  <w:rFonts w:ascii="Arial MT"/>
                                  <w:color w:val="231F20"/>
                                  <w:sz w:val="15"/>
                                </w:rPr>
                                <w:t> </w:t>
                              </w:r>
                              <w:r>
                                <w:rPr>
                                  <w:rFonts w:ascii="Arial MT"/>
                                  <w:color w:val="231F20"/>
                                  <w:spacing w:val="-2"/>
                                  <w:sz w:val="15"/>
                                </w:rPr>
                                <w:t>amaurosis</w:t>
                              </w:r>
                            </w:p>
                            <w:p>
                              <w:pPr>
                                <w:spacing w:line="249" w:lineRule="auto" w:before="0"/>
                                <w:ind w:left="0" w:right="184" w:firstLine="0"/>
                                <w:jc w:val="left"/>
                                <w:rPr>
                                  <w:rFonts w:ascii="Arial MT" w:hAnsi="Arial MT"/>
                                  <w:sz w:val="15"/>
                                </w:rPr>
                              </w:pPr>
                              <w:r>
                                <w:rPr>
                                  <w:rFonts w:ascii="Arial MT" w:hAnsi="Arial MT"/>
                                  <w:color w:val="231F20"/>
                                  <w:sz w:val="15"/>
                                </w:rPr>
                                <w:t>Aiström</w:t>
                              </w:r>
                              <w:r>
                                <w:rPr>
                                  <w:rFonts w:ascii="Arial MT" w:hAnsi="Arial MT"/>
                                  <w:color w:val="231F20"/>
                                  <w:spacing w:val="-1"/>
                                  <w:sz w:val="15"/>
                                </w:rPr>
                                <w:t> </w:t>
                              </w:r>
                              <w:r>
                                <w:rPr>
                                  <w:rFonts w:ascii="Arial MT" w:hAnsi="Arial MT"/>
                                  <w:color w:val="231F20"/>
                                  <w:sz w:val="15"/>
                                </w:rPr>
                                <w:t>syndrome Bardet-Biedl</w:t>
                              </w:r>
                              <w:r>
                                <w:rPr>
                                  <w:rFonts w:ascii="Arial MT" w:hAnsi="Arial MT"/>
                                  <w:color w:val="231F20"/>
                                  <w:spacing w:val="-1"/>
                                  <w:sz w:val="15"/>
                                </w:rPr>
                                <w:t> </w:t>
                              </w:r>
                              <w:r>
                                <w:rPr>
                                  <w:rFonts w:ascii="Arial MT" w:hAnsi="Arial MT"/>
                                  <w:color w:val="231F20"/>
                                  <w:sz w:val="15"/>
                                </w:rPr>
                                <w:t>syndrome Joubert</w:t>
                              </w:r>
                              <w:r>
                                <w:rPr>
                                  <w:rFonts w:ascii="Arial MT" w:hAnsi="Arial MT"/>
                                  <w:color w:val="231F20"/>
                                  <w:spacing w:val="-1"/>
                                  <w:sz w:val="15"/>
                                </w:rPr>
                                <w:t> </w:t>
                              </w:r>
                              <w:r>
                                <w:rPr>
                                  <w:rFonts w:ascii="Arial MT" w:hAnsi="Arial MT"/>
                                  <w:color w:val="231F20"/>
                                  <w:sz w:val="15"/>
                                </w:rPr>
                                <w:t>syndrome Senior</w:t>
                              </w:r>
                              <w:r>
                                <w:rPr>
                                  <w:rFonts w:ascii="Arial MT" w:hAnsi="Arial MT"/>
                                  <w:color w:val="231F20"/>
                                  <w:spacing w:val="-11"/>
                                  <w:sz w:val="15"/>
                                </w:rPr>
                                <w:t> </w:t>
                              </w:r>
                              <w:r>
                                <w:rPr>
                                  <w:rFonts w:ascii="Arial MT" w:hAnsi="Arial MT"/>
                                  <w:color w:val="231F20"/>
                                  <w:sz w:val="15"/>
                                </w:rPr>
                                <w:t>Løken</w:t>
                              </w:r>
                              <w:r>
                                <w:rPr>
                                  <w:rFonts w:ascii="Arial MT" w:hAnsi="Arial MT"/>
                                  <w:color w:val="231F20"/>
                                  <w:spacing w:val="-10"/>
                                  <w:sz w:val="15"/>
                                </w:rPr>
                                <w:t> </w:t>
                              </w:r>
                              <w:r>
                                <w:rPr>
                                  <w:rFonts w:ascii="Arial MT" w:hAnsi="Arial MT"/>
                                  <w:color w:val="231F20"/>
                                  <w:sz w:val="15"/>
                                </w:rPr>
                                <w:t>syndrome</w:t>
                              </w:r>
                            </w:p>
                            <w:p>
                              <w:pPr>
                                <w:spacing w:line="249" w:lineRule="auto" w:before="0"/>
                                <w:ind w:left="0" w:right="12" w:firstLine="0"/>
                                <w:jc w:val="left"/>
                                <w:rPr>
                                  <w:rFonts w:ascii="Arial MT"/>
                                  <w:sz w:val="15"/>
                                </w:rPr>
                              </w:pPr>
                              <w:r>
                                <w:rPr>
                                  <w:rFonts w:ascii="Arial MT"/>
                                  <w:color w:val="231F20"/>
                                  <w:sz w:val="15"/>
                                </w:rPr>
                                <w:t>Retinopathy</w:t>
                              </w:r>
                              <w:r>
                                <w:rPr>
                                  <w:rFonts w:ascii="Arial MT"/>
                                  <w:color w:val="231F20"/>
                                  <w:spacing w:val="-11"/>
                                  <w:sz w:val="15"/>
                                </w:rPr>
                                <w:t> </w:t>
                              </w:r>
                              <w:r>
                                <w:rPr>
                                  <w:rFonts w:ascii="Arial MT"/>
                                  <w:color w:val="231F20"/>
                                  <w:sz w:val="15"/>
                                </w:rPr>
                                <w:t>of</w:t>
                              </w:r>
                              <w:r>
                                <w:rPr>
                                  <w:rFonts w:ascii="Arial MT"/>
                                  <w:color w:val="231F20"/>
                                  <w:spacing w:val="-10"/>
                                  <w:sz w:val="15"/>
                                </w:rPr>
                                <w:t> </w:t>
                              </w:r>
                              <w:r>
                                <w:rPr>
                                  <w:rFonts w:ascii="Arial MT"/>
                                  <w:color w:val="231F20"/>
                                  <w:sz w:val="15"/>
                                </w:rPr>
                                <w:t>prematurity Aniridia</w:t>
                              </w:r>
                              <w:r>
                                <w:rPr>
                                  <w:rFonts w:ascii="Arial MT"/>
                                  <w:color w:val="231F20"/>
                                  <w:spacing w:val="-3"/>
                                  <w:sz w:val="15"/>
                                </w:rPr>
                                <w:t> </w:t>
                              </w:r>
                              <w:r>
                                <w:rPr>
                                  <w:rFonts w:ascii="Arial MT"/>
                                  <w:color w:val="231F20"/>
                                  <w:sz w:val="15"/>
                                </w:rPr>
                                <w:t>(</w:t>
                              </w:r>
                              <w:r>
                                <w:rPr>
                                  <w:rFonts w:ascii="Arial"/>
                                  <w:i/>
                                  <w:color w:val="231F20"/>
                                  <w:sz w:val="15"/>
                                </w:rPr>
                                <w:t>PAX6</w:t>
                              </w:r>
                              <w:r>
                                <w:rPr>
                                  <w:rFonts w:ascii="Arial"/>
                                  <w:i/>
                                  <w:color w:val="231F20"/>
                                  <w:spacing w:val="-3"/>
                                  <w:sz w:val="15"/>
                                </w:rPr>
                                <w:t> </w:t>
                              </w:r>
                              <w:r>
                                <w:rPr>
                                  <w:rFonts w:ascii="Arial MT"/>
                                  <w:color w:val="231F20"/>
                                  <w:sz w:val="15"/>
                                </w:rPr>
                                <w:t>mutations) Isolated</w:t>
                              </w:r>
                              <w:r>
                                <w:rPr>
                                  <w:rFonts w:ascii="Arial MT"/>
                                  <w:color w:val="231F20"/>
                                  <w:spacing w:val="-7"/>
                                  <w:sz w:val="15"/>
                                </w:rPr>
                                <w:t> </w:t>
                              </w:r>
                              <w:r>
                                <w:rPr>
                                  <w:rFonts w:ascii="Arial MT"/>
                                  <w:color w:val="231F20"/>
                                  <w:sz w:val="15"/>
                                </w:rPr>
                                <w:t>foveal</w:t>
                              </w:r>
                              <w:r>
                                <w:rPr>
                                  <w:rFonts w:ascii="Arial MT"/>
                                  <w:color w:val="231F20"/>
                                  <w:spacing w:val="-7"/>
                                  <w:sz w:val="15"/>
                                </w:rPr>
                                <w:t> </w:t>
                              </w:r>
                              <w:r>
                                <w:rPr>
                                  <w:rFonts w:ascii="Arial MT"/>
                                  <w:color w:val="231F20"/>
                                  <w:sz w:val="15"/>
                                </w:rPr>
                                <w:t>hypoplasia Optic nerve hypoplasia Optic nerve atrophy Congenital</w:t>
                              </w:r>
                              <w:r>
                                <w:rPr>
                                  <w:rFonts w:ascii="Arial MT"/>
                                  <w:color w:val="231F20"/>
                                  <w:spacing w:val="-1"/>
                                  <w:sz w:val="15"/>
                                </w:rPr>
                                <w:t> </w:t>
                              </w:r>
                              <w:r>
                                <w:rPr>
                                  <w:rFonts w:ascii="Arial MT"/>
                                  <w:color w:val="231F20"/>
                                  <w:sz w:val="15"/>
                                </w:rPr>
                                <w:t>cataracts Media</w:t>
                              </w:r>
                              <w:r>
                                <w:rPr>
                                  <w:rFonts w:ascii="Arial MT"/>
                                  <w:color w:val="231F20"/>
                                  <w:spacing w:val="-1"/>
                                  <w:sz w:val="15"/>
                                </w:rPr>
                                <w:t> </w:t>
                              </w:r>
                              <w:r>
                                <w:rPr>
                                  <w:rFonts w:ascii="Arial MT"/>
                                  <w:color w:val="231F20"/>
                                  <w:sz w:val="15"/>
                                </w:rPr>
                                <w:t>opacity</w:t>
                              </w:r>
                            </w:p>
                          </w:txbxContent>
                        </wps:txbx>
                        <wps:bodyPr wrap="square" lIns="0" tIns="0" rIns="0" bIns="0" rtlCol="0">
                          <a:noAutofit/>
                        </wps:bodyPr>
                      </wps:wsp>
                      <wps:wsp>
                        <wps:cNvPr id="1287" name="Textbox 1287"/>
                        <wps:cNvSpPr txBox="1"/>
                        <wps:spPr>
                          <a:xfrm>
                            <a:off x="3091913" y="1942021"/>
                            <a:ext cx="1276350" cy="1609090"/>
                          </a:xfrm>
                          <a:prstGeom prst="rect">
                            <a:avLst/>
                          </a:prstGeom>
                          <a:ln w="11849">
                            <a:solidFill>
                              <a:srgbClr val="231F20"/>
                            </a:solidFill>
                            <a:prstDash val="solid"/>
                          </a:ln>
                        </wps:spPr>
                        <wps:txbx>
                          <w:txbxContent>
                            <w:p>
                              <w:pPr>
                                <w:spacing w:line="249" w:lineRule="auto" w:before="81"/>
                                <w:ind w:left="70" w:right="300" w:firstLine="0"/>
                                <w:jc w:val="left"/>
                                <w:rPr>
                                  <w:rFonts w:ascii="Arial MT"/>
                                  <w:sz w:val="15"/>
                                </w:rPr>
                              </w:pPr>
                              <w:r>
                                <w:rPr>
                                  <w:rFonts w:ascii="Arial MT"/>
                                  <w:color w:val="231F20"/>
                                  <w:sz w:val="15"/>
                                </w:rPr>
                                <w:t>Down</w:t>
                              </w:r>
                              <w:r>
                                <w:rPr>
                                  <w:rFonts w:ascii="Arial MT"/>
                                  <w:color w:val="231F20"/>
                                  <w:spacing w:val="-1"/>
                                  <w:sz w:val="15"/>
                                </w:rPr>
                                <w:t> </w:t>
                              </w:r>
                              <w:r>
                                <w:rPr>
                                  <w:rFonts w:ascii="Arial MT"/>
                                  <w:color w:val="231F20"/>
                                  <w:sz w:val="15"/>
                                </w:rPr>
                                <w:t>syndrome</w:t>
                              </w:r>
                              <w:r>
                                <w:rPr>
                                  <w:rFonts w:ascii="Arial MT"/>
                                  <w:color w:val="231F20"/>
                                  <w:spacing w:val="40"/>
                                  <w:sz w:val="15"/>
                                </w:rPr>
                                <w:t> </w:t>
                              </w:r>
                              <w:r>
                                <w:rPr>
                                  <w:rFonts w:ascii="Arial MT"/>
                                  <w:color w:val="231F20"/>
                                  <w:sz w:val="15"/>
                                </w:rPr>
                                <w:t>Noonan</w:t>
                              </w:r>
                              <w:r>
                                <w:rPr>
                                  <w:rFonts w:ascii="Arial MT"/>
                                  <w:color w:val="231F20"/>
                                  <w:spacing w:val="-1"/>
                                  <w:sz w:val="15"/>
                                </w:rPr>
                                <w:t> </w:t>
                              </w:r>
                              <w:r>
                                <w:rPr>
                                  <w:rFonts w:ascii="Arial MT"/>
                                  <w:color w:val="231F20"/>
                                  <w:sz w:val="15"/>
                                </w:rPr>
                                <w:t>syndrome </w:t>
                              </w:r>
                              <w:r>
                                <w:rPr>
                                  <w:rFonts w:ascii="Arial MT"/>
                                  <w:color w:val="231F20"/>
                                  <w:spacing w:val="-2"/>
                                  <w:sz w:val="15"/>
                                </w:rPr>
                                <w:t>Structural</w:t>
                              </w:r>
                              <w:r>
                                <w:rPr>
                                  <w:rFonts w:ascii="Arial MT"/>
                                  <w:color w:val="231F20"/>
                                  <w:spacing w:val="3"/>
                                  <w:sz w:val="15"/>
                                </w:rPr>
                                <w:t> </w:t>
                              </w:r>
                              <w:r>
                                <w:rPr>
                                  <w:rFonts w:ascii="Arial MT"/>
                                  <w:color w:val="231F20"/>
                                  <w:spacing w:val="-2"/>
                                  <w:sz w:val="15"/>
                                </w:rPr>
                                <w:t>malformations</w:t>
                              </w:r>
                            </w:p>
                            <w:p>
                              <w:pPr>
                                <w:spacing w:line="249" w:lineRule="auto" w:before="0"/>
                                <w:ind w:left="70" w:right="0" w:firstLine="0"/>
                                <w:jc w:val="left"/>
                                <w:rPr>
                                  <w:rFonts w:ascii="Arial MT"/>
                                  <w:sz w:val="15"/>
                                </w:rPr>
                              </w:pPr>
                              <w:r>
                                <w:rPr>
                                  <w:rFonts w:ascii="Arial MT"/>
                                  <w:color w:val="231F20"/>
                                  <w:sz w:val="15"/>
                                </w:rPr>
                                <w:t>Space-occupying</w:t>
                              </w:r>
                              <w:r>
                                <w:rPr>
                                  <w:rFonts w:ascii="Arial MT"/>
                                  <w:color w:val="231F20"/>
                                  <w:spacing w:val="-1"/>
                                  <w:sz w:val="15"/>
                                </w:rPr>
                                <w:t> </w:t>
                              </w:r>
                              <w:r>
                                <w:rPr>
                                  <w:rFonts w:ascii="Arial MT"/>
                                  <w:color w:val="231F20"/>
                                  <w:sz w:val="15"/>
                                </w:rPr>
                                <w:t>lesions </w:t>
                              </w:r>
                              <w:r>
                                <w:rPr>
                                  <w:rFonts w:ascii="Arial MT"/>
                                  <w:color w:val="231F20"/>
                                  <w:spacing w:val="-2"/>
                                  <w:sz w:val="15"/>
                                </w:rPr>
                                <w:t>Periventricular leukomalacia</w:t>
                              </w:r>
                              <w:r>
                                <w:rPr>
                                  <w:rFonts w:ascii="Arial MT"/>
                                  <w:color w:val="231F20"/>
                                  <w:sz w:val="15"/>
                                </w:rPr>
                                <w:t> Developmental</w:t>
                              </w:r>
                              <w:r>
                                <w:rPr>
                                  <w:rFonts w:ascii="Arial MT"/>
                                  <w:color w:val="231F20"/>
                                  <w:spacing w:val="-1"/>
                                  <w:sz w:val="15"/>
                                </w:rPr>
                                <w:t> </w:t>
                              </w:r>
                              <w:r>
                                <w:rPr>
                                  <w:rFonts w:ascii="Arial MT"/>
                                  <w:color w:val="231F20"/>
                                  <w:sz w:val="15"/>
                                </w:rPr>
                                <w:t>diseases </w:t>
                              </w:r>
                              <w:r>
                                <w:rPr>
                                  <w:rFonts w:ascii="Arial MT"/>
                                  <w:color w:val="231F20"/>
                                  <w:spacing w:val="-2"/>
                                  <w:sz w:val="15"/>
                                </w:rPr>
                                <w:t>Leukodystrophies</w:t>
                              </w:r>
                            </w:p>
                            <w:p>
                              <w:pPr>
                                <w:spacing w:line="249" w:lineRule="auto" w:before="0"/>
                                <w:ind w:left="70" w:right="288" w:firstLine="0"/>
                                <w:jc w:val="left"/>
                                <w:rPr>
                                  <w:rFonts w:ascii="Arial MT"/>
                                  <w:sz w:val="15"/>
                                </w:rPr>
                              </w:pPr>
                              <w:r>
                                <w:rPr>
                                  <w:rFonts w:ascii="Arial MT"/>
                                  <w:color w:val="231F20"/>
                                  <w:sz w:val="15"/>
                                </w:rPr>
                                <w:t>Chiari</w:t>
                              </w:r>
                              <w:r>
                                <w:rPr>
                                  <w:rFonts w:ascii="Arial MT"/>
                                  <w:color w:val="231F20"/>
                                  <w:spacing w:val="-1"/>
                                  <w:sz w:val="15"/>
                                </w:rPr>
                                <w:t> </w:t>
                              </w:r>
                              <w:r>
                                <w:rPr>
                                  <w:rFonts w:ascii="Arial MT"/>
                                  <w:color w:val="231F20"/>
                                  <w:sz w:val="15"/>
                                </w:rPr>
                                <w:t>malformations Metabolic diseases or mitochondrial</w:t>
                              </w:r>
                              <w:r>
                                <w:rPr>
                                  <w:rFonts w:ascii="Arial MT"/>
                                  <w:color w:val="231F20"/>
                                  <w:spacing w:val="-1"/>
                                  <w:sz w:val="15"/>
                                </w:rPr>
                                <w:t> </w:t>
                              </w:r>
                              <w:r>
                                <w:rPr>
                                  <w:rFonts w:ascii="Arial MT"/>
                                  <w:color w:val="231F20"/>
                                  <w:sz w:val="15"/>
                                </w:rPr>
                                <w:t>diseases Spinal</w:t>
                              </w:r>
                              <w:r>
                                <w:rPr>
                                  <w:rFonts w:ascii="Arial MT"/>
                                  <w:color w:val="231F20"/>
                                  <w:spacing w:val="-11"/>
                                  <w:sz w:val="15"/>
                                </w:rPr>
                                <w:t> </w:t>
                              </w:r>
                              <w:r>
                                <w:rPr>
                                  <w:rFonts w:ascii="Arial MT"/>
                                  <w:color w:val="231F20"/>
                                  <w:sz w:val="15"/>
                                </w:rPr>
                                <w:t>cerebellar</w:t>
                              </w:r>
                              <w:r>
                                <w:rPr>
                                  <w:rFonts w:ascii="Arial MT"/>
                                  <w:color w:val="231F20"/>
                                  <w:spacing w:val="-10"/>
                                  <w:sz w:val="15"/>
                                </w:rPr>
                                <w:t> </w:t>
                              </w:r>
                              <w:r>
                                <w:rPr>
                                  <w:rFonts w:ascii="Arial MT"/>
                                  <w:color w:val="231F20"/>
                                  <w:sz w:val="15"/>
                                </w:rPr>
                                <w:t>ataxias Episodic</w:t>
                              </w:r>
                              <w:r>
                                <w:rPr>
                                  <w:rFonts w:ascii="Arial MT"/>
                                  <w:color w:val="231F20"/>
                                  <w:spacing w:val="-1"/>
                                  <w:sz w:val="15"/>
                                </w:rPr>
                                <w:t> </w:t>
                              </w:r>
                              <w:r>
                                <w:rPr>
                                  <w:rFonts w:ascii="Arial MT"/>
                                  <w:color w:val="231F20"/>
                                  <w:sz w:val="15"/>
                                </w:rPr>
                                <w:t>ataxias Vestibular</w:t>
                              </w:r>
                              <w:r>
                                <w:rPr>
                                  <w:rFonts w:ascii="Arial MT"/>
                                  <w:color w:val="231F20"/>
                                  <w:spacing w:val="-1"/>
                                  <w:sz w:val="15"/>
                                </w:rPr>
                                <w:t> </w:t>
                              </w:r>
                              <w:r>
                                <w:rPr>
                                  <w:rFonts w:ascii="Arial MT"/>
                                  <w:color w:val="231F20"/>
                                  <w:sz w:val="15"/>
                                </w:rPr>
                                <w:t>diseases</w:t>
                              </w:r>
                            </w:p>
                          </w:txbxContent>
                        </wps:txbx>
                        <wps:bodyPr wrap="square" lIns="0" tIns="0" rIns="0" bIns="0" rtlCol="0">
                          <a:noAutofit/>
                        </wps:bodyPr>
                      </wps:wsp>
                      <wps:wsp>
                        <wps:cNvPr id="1288" name="Textbox 1288"/>
                        <wps:cNvSpPr txBox="1"/>
                        <wps:spPr>
                          <a:xfrm>
                            <a:off x="5077280" y="1566283"/>
                            <a:ext cx="817880" cy="348615"/>
                          </a:xfrm>
                          <a:prstGeom prst="rect">
                            <a:avLst/>
                          </a:prstGeom>
                          <a:ln w="11849">
                            <a:solidFill>
                              <a:srgbClr val="231F20"/>
                            </a:solidFill>
                            <a:prstDash val="solid"/>
                          </a:ln>
                        </wps:spPr>
                        <wps:txbx>
                          <w:txbxContent>
                            <w:p>
                              <w:pPr>
                                <w:spacing w:line="249" w:lineRule="auto" w:before="82"/>
                                <w:ind w:left="306" w:right="139" w:hanging="152"/>
                                <w:jc w:val="left"/>
                                <w:rPr>
                                  <w:rFonts w:ascii="Arial MT"/>
                                  <w:sz w:val="15"/>
                                </w:rPr>
                              </w:pPr>
                              <w:r>
                                <w:rPr>
                                  <w:rFonts w:ascii="Arial MT"/>
                                  <w:color w:val="231F20"/>
                                  <w:sz w:val="15"/>
                                </w:rPr>
                                <w:t>Infantile</w:t>
                              </w:r>
                              <w:r>
                                <w:rPr>
                                  <w:rFonts w:ascii="Arial MT"/>
                                  <w:color w:val="231F20"/>
                                  <w:spacing w:val="-11"/>
                                  <w:sz w:val="15"/>
                                </w:rPr>
                                <w:t> </w:t>
                              </w:r>
                              <w:r>
                                <w:rPr>
                                  <w:rFonts w:ascii="Arial MT"/>
                                  <w:color w:val="231F20"/>
                                  <w:sz w:val="15"/>
                                </w:rPr>
                                <w:t>squint </w:t>
                              </w:r>
                              <w:r>
                                <w:rPr>
                                  <w:rFonts w:ascii="Arial MT"/>
                                  <w:color w:val="231F20"/>
                                  <w:spacing w:val="-2"/>
                                  <w:sz w:val="15"/>
                                </w:rPr>
                                <w:t>syndrome</w:t>
                              </w:r>
                            </w:p>
                          </w:txbxContent>
                        </wps:txbx>
                        <wps:bodyPr wrap="square" lIns="0" tIns="0" rIns="0" bIns="0" rtlCol="0">
                          <a:noAutofit/>
                        </wps:bodyPr>
                      </wps:wsp>
                      <wps:wsp>
                        <wps:cNvPr id="1289" name="Textbox 1289"/>
                        <wps:cNvSpPr txBox="1"/>
                        <wps:spPr>
                          <a:xfrm>
                            <a:off x="925361" y="1217681"/>
                            <a:ext cx="817880" cy="348615"/>
                          </a:xfrm>
                          <a:prstGeom prst="rect">
                            <a:avLst/>
                          </a:prstGeom>
                          <a:ln w="11849">
                            <a:solidFill>
                              <a:srgbClr val="231F20"/>
                            </a:solidFill>
                            <a:prstDash val="solid"/>
                          </a:ln>
                        </wps:spPr>
                        <wps:txbx>
                          <w:txbxContent>
                            <w:p>
                              <w:pPr>
                                <w:spacing w:line="249" w:lineRule="auto" w:before="83"/>
                                <w:ind w:left="306" w:right="300" w:firstLine="45"/>
                                <w:jc w:val="left"/>
                                <w:rPr>
                                  <w:rFonts w:ascii="Arial MT"/>
                                  <w:sz w:val="15"/>
                                </w:rPr>
                              </w:pPr>
                              <w:r>
                                <w:rPr>
                                  <w:rFonts w:ascii="Arial MT"/>
                                  <w:color w:val="231F20"/>
                                  <w:spacing w:val="-2"/>
                                  <w:sz w:val="15"/>
                                </w:rPr>
                                <w:t>Albinism</w:t>
                              </w:r>
                              <w:r>
                                <w:rPr>
                                  <w:rFonts w:ascii="Arial MT"/>
                                  <w:color w:val="231F20"/>
                                  <w:sz w:val="15"/>
                                </w:rPr>
                                <w:t> </w:t>
                              </w:r>
                              <w:r>
                                <w:rPr>
                                  <w:rFonts w:ascii="Arial MT"/>
                                  <w:color w:val="231F20"/>
                                  <w:spacing w:val="-2"/>
                                  <w:sz w:val="15"/>
                                </w:rPr>
                                <w:t>Achiasma</w:t>
                              </w:r>
                            </w:p>
                          </w:txbxContent>
                        </wps:txbx>
                        <wps:bodyPr wrap="square" lIns="0" tIns="0" rIns="0" bIns="0" rtlCol="0">
                          <a:noAutofit/>
                        </wps:bodyPr>
                      </wps:wsp>
                      <wps:wsp>
                        <wps:cNvPr id="1290" name="Textbox 1290"/>
                        <wps:cNvSpPr txBox="1"/>
                        <wps:spPr>
                          <a:xfrm>
                            <a:off x="5924" y="1217680"/>
                            <a:ext cx="817880" cy="467359"/>
                          </a:xfrm>
                          <a:prstGeom prst="rect">
                            <a:avLst/>
                          </a:prstGeom>
                          <a:ln w="11849">
                            <a:solidFill>
                              <a:srgbClr val="231F20"/>
                            </a:solidFill>
                            <a:prstDash val="solid"/>
                          </a:ln>
                        </wps:spPr>
                        <wps:txbx>
                          <w:txbxContent>
                            <w:p>
                              <w:pPr>
                                <w:spacing w:line="249" w:lineRule="auto" w:before="86"/>
                                <w:ind w:left="190" w:right="28" w:hanging="67"/>
                                <w:jc w:val="left"/>
                                <w:rPr>
                                  <w:rFonts w:ascii="Arial MT"/>
                                  <w:sz w:val="15"/>
                                </w:rPr>
                              </w:pPr>
                              <w:r>
                                <w:rPr>
                                  <w:rFonts w:ascii="Arial MT"/>
                                  <w:color w:val="231F20"/>
                                  <w:sz w:val="15"/>
                                </w:rPr>
                                <w:t>No</w:t>
                              </w:r>
                              <w:r>
                                <w:rPr>
                                  <w:rFonts w:ascii="Arial MT"/>
                                  <w:color w:val="231F20"/>
                                  <w:spacing w:val="-11"/>
                                  <w:sz w:val="15"/>
                                </w:rPr>
                                <w:t> </w:t>
                              </w:r>
                              <w:r>
                                <w:rPr>
                                  <w:rFonts w:ascii="Arial MT"/>
                                  <w:color w:val="231F20"/>
                                  <w:sz w:val="15"/>
                                </w:rPr>
                                <w:t>other</w:t>
                              </w:r>
                              <w:r>
                                <w:rPr>
                                  <w:rFonts w:ascii="Arial MT"/>
                                  <w:color w:val="231F20"/>
                                  <w:spacing w:val="-10"/>
                                  <w:sz w:val="15"/>
                                </w:rPr>
                                <w:t> </w:t>
                              </w:r>
                              <w:r>
                                <w:rPr>
                                  <w:rFonts w:ascii="Arial MT"/>
                                  <w:color w:val="231F20"/>
                                  <w:sz w:val="15"/>
                                </w:rPr>
                                <w:t>ocular or</w:t>
                              </w:r>
                              <w:r>
                                <w:rPr>
                                  <w:rFonts w:ascii="Arial MT"/>
                                  <w:color w:val="231F20"/>
                                  <w:spacing w:val="-1"/>
                                  <w:sz w:val="15"/>
                                </w:rPr>
                                <w:t> </w:t>
                              </w:r>
                              <w:r>
                                <w:rPr>
                                  <w:rFonts w:ascii="Arial MT"/>
                                  <w:color w:val="231F20"/>
                                  <w:sz w:val="15"/>
                                </w:rPr>
                                <w:t>neurologic </w:t>
                              </w:r>
                              <w:r>
                                <w:rPr>
                                  <w:rFonts w:ascii="Arial MT"/>
                                  <w:color w:val="231F20"/>
                                  <w:spacing w:val="-2"/>
                                  <w:sz w:val="15"/>
                                </w:rPr>
                                <w:t>abnormalities</w:t>
                              </w:r>
                            </w:p>
                          </w:txbxContent>
                        </wps:txbx>
                        <wps:bodyPr wrap="square" lIns="0" tIns="0" rIns="0" bIns="0" rtlCol="0">
                          <a:noAutofit/>
                        </wps:bodyPr>
                      </wps:wsp>
                      <wps:wsp>
                        <wps:cNvPr id="1291" name="Textbox 1291"/>
                        <wps:cNvSpPr txBox="1"/>
                        <wps:spPr>
                          <a:xfrm>
                            <a:off x="4039291" y="620316"/>
                            <a:ext cx="817880" cy="348615"/>
                          </a:xfrm>
                          <a:prstGeom prst="rect">
                            <a:avLst/>
                          </a:prstGeom>
                          <a:ln w="11849">
                            <a:solidFill>
                              <a:srgbClr val="231F20"/>
                            </a:solidFill>
                            <a:prstDash val="solid"/>
                          </a:ln>
                        </wps:spPr>
                        <wps:txbx>
                          <w:txbxContent>
                            <w:p>
                              <w:pPr>
                                <w:spacing w:line="249" w:lineRule="auto" w:before="82"/>
                                <w:ind w:left="397" w:right="316" w:hanging="75"/>
                                <w:jc w:val="left"/>
                                <w:rPr>
                                  <w:rFonts w:ascii="Arial MT"/>
                                  <w:sz w:val="15"/>
                                </w:rPr>
                              </w:pPr>
                              <w:r>
                                <w:rPr>
                                  <w:rFonts w:ascii="Arial MT"/>
                                  <w:color w:val="231F20"/>
                                  <w:spacing w:val="-2"/>
                                  <w:sz w:val="15"/>
                                </w:rPr>
                                <w:t>Spasmus</w:t>
                              </w:r>
                              <w:r>
                                <w:rPr>
                                  <w:rFonts w:ascii="Arial MT"/>
                                  <w:color w:val="231F20"/>
                                  <w:sz w:val="15"/>
                                </w:rPr>
                                <w:t> </w:t>
                              </w:r>
                              <w:r>
                                <w:rPr>
                                  <w:rFonts w:ascii="Arial MT"/>
                                  <w:color w:val="231F20"/>
                                  <w:spacing w:val="-2"/>
                                  <w:sz w:val="15"/>
                                </w:rPr>
                                <w:t>Nutans</w:t>
                              </w:r>
                            </w:p>
                          </w:txbxContent>
                        </wps:txbx>
                        <wps:bodyPr wrap="square" lIns="0" tIns="0" rIns="0" bIns="0" rtlCol="0">
                          <a:noAutofit/>
                        </wps:bodyPr>
                      </wps:wsp>
                    </wpg:wgp>
                  </a:graphicData>
                </a:graphic>
              </wp:anchor>
            </w:drawing>
          </mc:Choice>
          <mc:Fallback>
            <w:pict>
              <v:group style="position:absolute;margin-left:50.664738pt;margin-top:16.543896pt;width:476.9pt;height:319.25pt;mso-position-horizontal-relative:page;mso-position-vertical-relative:paragraph;z-index:-15647744;mso-wrap-distance-left:0;mso-wrap-distance-right:0" id="docshapegroup996" coordorigin="1013,331" coordsize="9538,6385">
                <v:shape style="position:absolute;left:1059;top:377;width:9491;height:6338" id="docshape997" coordorigin="1060,378" coordsize="9491,6338" path="m2169,1326l1238,1326,1238,1649,1676,1649,1676,2119,1620,2119,1704,2264,1788,2119,1732,2119,1732,1649,2169,1649,2169,1326xm2347,2286l1060,2286,1060,3021,2347,3021,2347,2286xm3795,1345l2508,1345,2508,1894,3123,1894,3123,2119,3068,2119,3152,2264,3236,2119,3179,2119,3179,1894,3795,1894,3795,1345xm3795,2286l2508,2286,2508,2835,3795,2835,3795,2286xm5430,1345l4143,1345,4143,1894,4758,1894,4758,3058,4758,3258,4703,3258,4787,3403,4870,3258,4814,3258,4814,1894,5430,1894,5430,1345xm5775,3427l3766,3427,3766,6715,5775,6715,5775,3427xm7064,1345l5777,1345,5777,1894,6393,1894,6393,3258,6337,3258,6421,3403,6505,3258,6449,3258,6449,1894,7064,1894,7064,1345xm7929,3427l5920,3427,5920,5960,7929,5960,7929,3427xm8699,1345l7412,1345,7412,1894,8699,1894,8699,1345xm9774,1180l9718,1180,9718,924,5631,924,5631,700,6589,700,6589,378,4618,378,4618,700,5575,700,5575,924,1676,924,1676,1180,1620,1180,1704,1325,1788,1180,1732,1180,1732,980,3123,980,3123,1180,3068,1180,3152,1325,3236,1180,3179,1180,3179,980,4758,980,4758,1180,4703,1180,4787,1325,4870,1180,4814,1180,4814,980,6393,980,6393,1180,6337,1180,6421,1325,6505,1180,6449,1180,6449,980,8027,980,8027,1180,7972,1180,8056,1325,8139,1180,8083,1180,8083,980,9662,980,9662,1180,9607,1180,9690,1325,9774,1180xm10333,2835l9046,2835,9046,3384,10333,3384,10333,2835xm10551,1345l8829,1345,8829,2437,9662,2437,9662,2665,9607,2665,9690,2810,9774,2665,9718,2665,9718,2437,10551,2437,10551,1345xe" filled="true" fillcolor="#bcbec0" stroked="false">
                  <v:path arrowok="t"/>
                  <v:fill type="solid"/>
                </v:shape>
                <v:shape style="position:absolute;left:1582;top:340;width:8154;height:948" id="docshape998" coordorigin="1583,340" coordsize="8154,948" path="m6551,340l4581,340,4581,663,5538,663,5538,887,1638,887,1638,1142,1583,1142,1667,1287,1750,1142,1694,1142,1694,943,3086,943,3086,1142,3031,1142,3115,1287,3198,1142,3142,1142,3142,943,4721,943,4721,1142,4665,1142,4749,1287,4833,1142,4777,1142,4777,943,6355,943,6355,1142,6300,1142,6384,1287,6468,1142,6411,1142,6411,943,7990,943,7990,1142,7935,1142,8018,1287,8102,1142,8046,1142,8046,943,9625,943,9625,1142,9569,1142,9653,1287,9737,1142,9681,1142,9681,887,5594,887,5594,663,6551,663,6551,340xe" filled="true" fillcolor="#d7eddd" stroked="false">
                  <v:path arrowok="t"/>
                  <v:fill type="solid"/>
                </v:shape>
                <v:shape style="position:absolute;left:1582;top:340;width:8154;height:948" id="docshape999" coordorigin="1583,340" coordsize="8154,948" path="m1667,1287l1750,1142,1694,1142,1694,943,3086,943,3086,1142,3031,1142,3115,1287,3198,1142,3142,1142,3142,943,4721,943,4721,1142,4665,1142,4749,1287,4833,1142,4777,1142,4777,943,5566,943,5594,943,6355,943,6355,1142,6300,1142,6384,1287,6468,1142,6411,1142,6411,943,7990,943,7990,1142,7935,1142,8018,1287,8102,1142,8046,1142,8046,943,9625,943,9625,1142,9569,1142,9653,1287,9737,1142,9681,1142,9681,887,5594,887,5594,663,6551,663,6551,340,4581,340,4581,663,5538,663,5538,887,1638,887,1638,1142,1583,1142,1667,1287xe" filled="false" stroked="true" strokeweight=".933007pt" strokecolor="#231f20">
                  <v:path arrowok="t"/>
                  <v:stroke dashstyle="solid"/>
                </v:shape>
                <v:shape style="position:absolute;left:2470;top:1307;width:1288;height:919" id="docshape1000" coordorigin="2471,1308" coordsize="1288,919" path="m3758,1308l2471,1308,2471,1857,3086,1857,3086,2081,3031,2081,3115,2226,3198,2081,3142,2081,3142,1857,3758,1857,3758,1308xe" filled="true" fillcolor="#d7eddd" stroked="false">
                  <v:path arrowok="t"/>
                  <v:fill type="solid"/>
                </v:shape>
                <v:shape style="position:absolute;left:2470;top:1307;width:1288;height:919" id="docshape1001" coordorigin="2471,1308" coordsize="1288,919" path="m3758,1857l3758,1308,2471,1308,2471,1857,3086,1857,3086,2081,3031,2081,3115,2226,3198,2081,3142,2081,3142,1857,3758,1857xe" filled="false" stroked="true" strokeweight=".933007pt" strokecolor="#231f20">
                  <v:path arrowok="t"/>
                  <v:stroke dashstyle="solid"/>
                </v:shape>
                <v:shape style="position:absolute;left:2470;top:2248;width:7826;height:4430" id="docshape1002" coordorigin="2471,2248" coordsize="7826,4430" path="m3758,2248l2471,2248,2471,2797,3758,2797,3758,2248xm5738,3389l3729,3389,3729,6678,5738,6678,5738,3389xm10296,2797l9009,2797,9009,3346,10296,3346,10296,2797xe" filled="true" fillcolor="#f1d499" stroked="false">
                  <v:path arrowok="t"/>
                  <v:fill type="solid"/>
                </v:shape>
                <v:rect style="position:absolute;left:3728;top:3389;width:2010;height:3289" id="docshape1003" filled="false" stroked="true" strokeweight=".933007pt" strokecolor="#231f20">
                  <v:stroke dashstyle="solid"/>
                </v:rect>
                <v:shape style="position:absolute;left:1022;top:2248;width:6869;height:3674" id="docshape1004" coordorigin="1023,2249" coordsize="6869,3674" path="m2310,2249l1023,2249,1023,2984,2310,2984,2310,2249xm7892,3389l5882,3389,5882,5922,7892,5922,7892,3389xe" filled="true" fillcolor="#f1d499" stroked="false">
                  <v:path arrowok="t"/>
                  <v:fill type="solid"/>
                </v:shape>
                <v:shape style="position:absolute;left:5739;top:1307;width:1288;height:2058" id="docshape1005" coordorigin="5740,1308" coordsize="1288,2058" path="m7027,1308l5740,1308,5740,1857,6355,1857,6355,3220,6300,3220,6384,3365,6467,3220,6411,3220,6411,1857,7027,1857,7027,1308xe" filled="true" fillcolor="#d7eddd" stroked="false">
                  <v:path arrowok="t"/>
                  <v:fill type="solid"/>
                </v:shape>
                <v:shape style="position:absolute;left:5739;top:1307;width:1288;height:2058" id="docshape1006" coordorigin="5740,1308" coordsize="1288,2058" path="m7027,1857l7027,1308,5740,1308,5740,1857,6355,1857,6355,3220,6300,3220,6384,3365,6468,3220,6411,3220,6411,1857,7027,1857xe" filled="false" stroked="true" strokeweight=".933007pt" strokecolor="#231f20">
                  <v:path arrowok="t"/>
                  <v:stroke dashstyle="solid"/>
                </v:shape>
                <v:shape style="position:absolute;left:7374;top:1307;width:3140;height:1465" id="docshape1007" coordorigin="7374,1308" coordsize="3140,1465" path="m8661,1308l7374,1308,7374,1857,8661,1857,8661,1308xm10513,1308l8792,1308,8792,2400,9625,2400,9625,2627,9569,2627,9653,2772,9737,2627,9681,2627,9681,2400,10513,2400,10513,1308xe" filled="true" fillcolor="#d7eddd" stroked="false">
                  <v:path arrowok="t"/>
                  <v:fill type="solid"/>
                </v:shape>
                <v:shape style="position:absolute;left:8791;top:1307;width:1722;height:1465" id="docshape1008" coordorigin="8792,1308" coordsize="1722,1465" path="m8792,1308l8792,2400,9625,2400,9625,2627,9569,2627,9653,2772,9737,2627,9681,2627,9681,2400,10513,2400,10513,1308,8792,1308xe" filled="false" stroked="true" strokeweight=".933007pt" strokecolor="#231f20">
                  <v:path arrowok="t"/>
                  <v:stroke dashstyle="solid"/>
                </v:shape>
                <v:shape style="position:absolute;left:1200;top:1289;width:932;height:938" id="docshape1009" coordorigin="1201,1289" coordsize="932,938" path="m2132,1289l1201,1289,1201,1612,1638,1612,1638,2081,1583,2081,1667,2226,1750,2081,1694,2081,1694,1612,2132,1612,2132,1289xe" filled="true" fillcolor="#d7eddd" stroked="false">
                  <v:path arrowok="t"/>
                  <v:fill type="solid"/>
                </v:shape>
                <v:shape style="position:absolute;left:1200;top:1289;width:931;height:938" id="docshape1010" coordorigin="1201,1289" coordsize="931,938" path="m2132,1612l2132,1289,1201,1289,1201,1612,1638,1612,1638,2081,1583,2081,1667,2226,1750,2081,1694,2081,1694,1612,2132,1612xe" filled="false" stroked="true" strokeweight=".933007pt" strokecolor="#231f20">
                  <v:path arrowok="t"/>
                  <v:stroke dashstyle="solid"/>
                </v:shape>
                <v:shape style="position:absolute;left:4105;top:1307;width:1288;height:2058" id="docshape1011" coordorigin="4105,1308" coordsize="1288,2058" path="m5392,1308l4105,1308,4105,1857,4721,1857,4721,3021,4721,3220,4665,3220,4749,3365,4833,3220,4777,3220,4777,1857,5392,1857,5392,1308xe" filled="true" fillcolor="#d7eddd" stroked="false">
                  <v:path arrowok="t"/>
                  <v:fill type="solid"/>
                </v:shape>
                <v:shape style="position:absolute;left:4105;top:1307;width:1288;height:2058" id="docshape1012" coordorigin="4105,1308" coordsize="1288,2058" path="m4721,3021l4721,3220,4665,3220,4749,3365,4833,3220,4777,3220,4777,3021,4777,2993,4777,1857,5392,1857,5392,1308,4105,1308,4105,1857,4721,1857,4721,2965,4721,3021xe" filled="false" stroked="true" strokeweight=".933007pt" strokecolor="#231f20">
                  <v:path arrowok="t"/>
                  <v:stroke dashstyle="solid"/>
                </v:shape>
                <v:shape style="position:absolute;left:4757;top:434;width:1638;height:150" type="#_x0000_t202" id="docshape1013" filled="false" stroked="false">
                  <v:textbox inset="0,0,0,0">
                    <w:txbxContent>
                      <w:p>
                        <w:pPr>
                          <w:spacing w:line="147" w:lineRule="exact" w:before="0"/>
                          <w:ind w:left="0" w:right="0" w:firstLine="0"/>
                          <w:jc w:val="left"/>
                          <w:rPr>
                            <w:rFonts w:ascii="Arial MT"/>
                            <w:sz w:val="15"/>
                          </w:rPr>
                        </w:pPr>
                        <w:r>
                          <w:rPr>
                            <w:rFonts w:ascii="Arial MT"/>
                            <w:color w:val="231F20"/>
                            <w:sz w:val="15"/>
                          </w:rPr>
                          <w:t>Nystagmus</w:t>
                        </w:r>
                        <w:r>
                          <w:rPr>
                            <w:rFonts w:ascii="Arial MT"/>
                            <w:color w:val="231F20"/>
                            <w:spacing w:val="-6"/>
                            <w:sz w:val="15"/>
                          </w:rPr>
                          <w:t> </w:t>
                        </w:r>
                        <w:r>
                          <w:rPr>
                            <w:rFonts w:ascii="Arial MT"/>
                            <w:color w:val="231F20"/>
                            <w:sz w:val="15"/>
                          </w:rPr>
                          <w:t>in</w:t>
                        </w:r>
                        <w:r>
                          <w:rPr>
                            <w:rFonts w:ascii="Arial MT"/>
                            <w:color w:val="231F20"/>
                            <w:spacing w:val="-6"/>
                            <w:sz w:val="15"/>
                          </w:rPr>
                          <w:t> </w:t>
                        </w:r>
                        <w:r>
                          <w:rPr>
                            <w:rFonts w:ascii="Arial MT"/>
                            <w:color w:val="231F20"/>
                            <w:spacing w:val="-2"/>
                            <w:sz w:val="15"/>
                          </w:rPr>
                          <w:t>Childhood</w:t>
                        </w:r>
                      </w:p>
                    </w:txbxContent>
                  </v:textbox>
                  <w10:wrap type="none"/>
                </v:shape>
                <v:shape style="position:absolute;left:1346;top:1383;width:660;height:150" type="#_x0000_t202" id="docshape1014"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Idiopathic</w:t>
                        </w:r>
                      </w:p>
                    </w:txbxContent>
                  </v:textbox>
                  <w10:wrap type="none"/>
                </v:shape>
                <v:shape style="position:absolute;left:2769;top:1425;width:709;height:329" type="#_x0000_t202" id="docshape1015" filled="false" stroked="false">
                  <v:textbox inset="0,0,0,0">
                    <w:txbxContent>
                      <w:p>
                        <w:pPr>
                          <w:spacing w:line="147" w:lineRule="exact" w:before="0"/>
                          <w:ind w:left="33" w:right="0" w:firstLine="0"/>
                          <w:jc w:val="left"/>
                          <w:rPr>
                            <w:rFonts w:ascii="Arial MT"/>
                            <w:sz w:val="15"/>
                          </w:rPr>
                        </w:pPr>
                        <w:r>
                          <w:rPr>
                            <w:rFonts w:ascii="Arial MT"/>
                            <w:color w:val="231F20"/>
                            <w:spacing w:val="-2"/>
                            <w:sz w:val="15"/>
                          </w:rPr>
                          <w:t>Chiasmal</w:t>
                        </w:r>
                      </w:p>
                      <w:p>
                        <w:pPr>
                          <w:spacing w:before="6"/>
                          <w:ind w:left="0" w:right="0" w:firstLine="0"/>
                          <w:jc w:val="left"/>
                          <w:rPr>
                            <w:rFonts w:ascii="Arial MT"/>
                            <w:sz w:val="15"/>
                          </w:rPr>
                        </w:pPr>
                        <w:r>
                          <w:rPr>
                            <w:rFonts w:ascii="Arial MT"/>
                            <w:color w:val="231F20"/>
                            <w:spacing w:val="-2"/>
                            <w:sz w:val="15"/>
                          </w:rPr>
                          <w:t>Misrouting</w:t>
                        </w:r>
                      </w:p>
                    </w:txbxContent>
                  </v:textbox>
                  <w10:wrap type="none"/>
                </v:shape>
                <v:shape style="position:absolute;left:4201;top:1425;width:1116;height:329" type="#_x0000_t202" id="docshape1016" filled="false" stroked="false">
                  <v:textbox inset="0,0,0,0">
                    <w:txbxContent>
                      <w:p>
                        <w:pPr>
                          <w:spacing w:line="147" w:lineRule="exact" w:before="0"/>
                          <w:ind w:left="28" w:right="0" w:firstLine="0"/>
                          <w:jc w:val="left"/>
                          <w:rPr>
                            <w:rFonts w:ascii="Arial MT"/>
                            <w:sz w:val="15"/>
                          </w:rPr>
                        </w:pPr>
                        <w:r>
                          <w:rPr>
                            <w:rFonts w:ascii="Arial MT"/>
                            <w:color w:val="231F20"/>
                            <w:spacing w:val="-2"/>
                            <w:sz w:val="15"/>
                          </w:rPr>
                          <w:t>Associated</w:t>
                        </w:r>
                        <w:r>
                          <w:rPr>
                            <w:rFonts w:ascii="Arial MT"/>
                            <w:color w:val="231F20"/>
                            <w:spacing w:val="2"/>
                            <w:sz w:val="15"/>
                          </w:rPr>
                          <w:t> </w:t>
                        </w:r>
                        <w:r>
                          <w:rPr>
                            <w:rFonts w:ascii="Arial MT"/>
                            <w:color w:val="231F20"/>
                            <w:spacing w:val="-4"/>
                            <w:sz w:val="15"/>
                          </w:rPr>
                          <w:t>with</w:t>
                        </w:r>
                      </w:p>
                      <w:p>
                        <w:pPr>
                          <w:spacing w:before="6"/>
                          <w:ind w:left="0" w:right="0" w:firstLine="0"/>
                          <w:jc w:val="left"/>
                          <w:rPr>
                            <w:rFonts w:ascii="Arial MT"/>
                            <w:sz w:val="15"/>
                          </w:rPr>
                        </w:pPr>
                        <w:r>
                          <w:rPr>
                            <w:rFonts w:ascii="Arial MT"/>
                            <w:color w:val="231F20"/>
                            <w:sz w:val="15"/>
                          </w:rPr>
                          <w:t>Ocular</w:t>
                        </w:r>
                        <w:r>
                          <w:rPr>
                            <w:rFonts w:ascii="Arial MT"/>
                            <w:color w:val="231F20"/>
                            <w:spacing w:val="-6"/>
                            <w:sz w:val="15"/>
                          </w:rPr>
                          <w:t> </w:t>
                        </w:r>
                        <w:r>
                          <w:rPr>
                            <w:rFonts w:ascii="Arial MT"/>
                            <w:color w:val="231F20"/>
                            <w:spacing w:val="-2"/>
                            <w:sz w:val="15"/>
                          </w:rPr>
                          <w:t>Diseases</w:t>
                        </w:r>
                      </w:p>
                    </w:txbxContent>
                  </v:textbox>
                  <w10:wrap type="none"/>
                </v:shape>
                <v:shape style="position:absolute;left:6005;top:1425;width:776;height:329" type="#_x0000_t202" id="docshape1017" filled="false" stroked="false">
                  <v:textbox inset="0,0,0,0">
                    <w:txbxContent>
                      <w:p>
                        <w:pPr>
                          <w:spacing w:line="147" w:lineRule="exact" w:before="0"/>
                          <w:ind w:left="20" w:right="0" w:firstLine="0"/>
                          <w:jc w:val="left"/>
                          <w:rPr>
                            <w:rFonts w:ascii="Arial MT"/>
                            <w:sz w:val="15"/>
                          </w:rPr>
                        </w:pPr>
                        <w:r>
                          <w:rPr>
                            <w:rFonts w:ascii="Arial MT"/>
                            <w:color w:val="231F20"/>
                            <w:spacing w:val="-2"/>
                            <w:sz w:val="15"/>
                          </w:rPr>
                          <w:t>Neurologic</w:t>
                        </w:r>
                      </w:p>
                      <w:p>
                        <w:pPr>
                          <w:spacing w:before="6"/>
                          <w:ind w:left="0" w:right="0" w:firstLine="0"/>
                          <w:jc w:val="left"/>
                          <w:rPr>
                            <w:rFonts w:ascii="Arial MT"/>
                            <w:sz w:val="15"/>
                          </w:rPr>
                        </w:pPr>
                        <w:r>
                          <w:rPr>
                            <w:rFonts w:ascii="Arial MT"/>
                            <w:color w:val="231F20"/>
                            <w:spacing w:val="-2"/>
                            <w:sz w:val="15"/>
                          </w:rPr>
                          <w:t>Syndromes</w:t>
                        </w:r>
                      </w:p>
                    </w:txbxContent>
                  </v:textbox>
                  <w10:wrap type="none"/>
                </v:shape>
                <v:shape style="position:absolute;left:8893;top:1406;width:1539;height:866" type="#_x0000_t202" id="docshape1018" filled="false" stroked="false">
                  <v:textbox inset="0,0,0,0">
                    <w:txbxContent>
                      <w:p>
                        <w:pPr>
                          <w:spacing w:line="147" w:lineRule="exact" w:before="0"/>
                          <w:ind w:left="0" w:right="17" w:firstLine="0"/>
                          <w:jc w:val="center"/>
                          <w:rPr>
                            <w:rFonts w:ascii="Arial MT"/>
                            <w:sz w:val="15"/>
                          </w:rPr>
                        </w:pPr>
                        <w:r>
                          <w:rPr>
                            <w:rFonts w:ascii="Arial MT"/>
                            <w:color w:val="231F20"/>
                            <w:sz w:val="15"/>
                          </w:rPr>
                          <w:t>Manifest</w:t>
                        </w:r>
                        <w:r>
                          <w:rPr>
                            <w:rFonts w:ascii="Arial MT"/>
                            <w:color w:val="231F20"/>
                            <w:spacing w:val="-7"/>
                            <w:sz w:val="15"/>
                          </w:rPr>
                          <w:t> </w:t>
                        </w:r>
                        <w:r>
                          <w:rPr>
                            <w:rFonts w:ascii="Arial MT"/>
                            <w:color w:val="231F20"/>
                            <w:spacing w:val="-2"/>
                            <w:sz w:val="15"/>
                          </w:rPr>
                          <w:t>Latent</w:t>
                        </w:r>
                      </w:p>
                      <w:p>
                        <w:pPr>
                          <w:spacing w:line="249" w:lineRule="auto" w:before="6"/>
                          <w:ind w:left="211" w:right="228" w:hanging="1"/>
                          <w:jc w:val="center"/>
                          <w:rPr>
                            <w:rFonts w:ascii="Arial MT"/>
                            <w:sz w:val="15"/>
                          </w:rPr>
                        </w:pPr>
                        <w:r>
                          <w:rPr>
                            <w:rFonts w:ascii="Arial MT"/>
                            <w:color w:val="231F20"/>
                            <w:spacing w:val="-2"/>
                            <w:sz w:val="15"/>
                          </w:rPr>
                          <w:t>Nystagmus</w:t>
                        </w:r>
                        <w:r>
                          <w:rPr>
                            <w:rFonts w:ascii="Arial MT"/>
                            <w:color w:val="231F20"/>
                            <w:sz w:val="15"/>
                          </w:rPr>
                          <w:t> </w:t>
                        </w:r>
                        <w:r>
                          <w:rPr>
                            <w:rFonts w:ascii="Arial MT"/>
                            <w:color w:val="231F20"/>
                            <w:spacing w:val="-2"/>
                            <w:sz w:val="15"/>
                          </w:rPr>
                          <w:t>(Fusional</w:t>
                        </w:r>
                        <w:r>
                          <w:rPr>
                            <w:rFonts w:ascii="Arial MT"/>
                            <w:color w:val="231F20"/>
                            <w:sz w:val="15"/>
                          </w:rPr>
                          <w:t> </w:t>
                        </w:r>
                        <w:r>
                          <w:rPr>
                            <w:rFonts w:ascii="Arial MT"/>
                            <w:color w:val="231F20"/>
                            <w:spacing w:val="-2"/>
                            <w:sz w:val="15"/>
                          </w:rPr>
                          <w:t>Maldevelopment</w:t>
                        </w:r>
                      </w:p>
                      <w:p>
                        <w:pPr>
                          <w:spacing w:line="172" w:lineRule="exact" w:before="0"/>
                          <w:ind w:left="0" w:right="18" w:firstLine="0"/>
                          <w:jc w:val="center"/>
                          <w:rPr>
                            <w:rFonts w:ascii="Arial MT"/>
                            <w:sz w:val="15"/>
                          </w:rPr>
                        </w:pPr>
                        <w:r>
                          <w:rPr>
                            <w:rFonts w:ascii="Arial MT"/>
                            <w:color w:val="231F20"/>
                            <w:sz w:val="15"/>
                          </w:rPr>
                          <w:t>Nystagmus</w:t>
                        </w:r>
                        <w:r>
                          <w:rPr>
                            <w:rFonts w:ascii="Arial MT"/>
                            <w:color w:val="231F20"/>
                            <w:spacing w:val="-9"/>
                            <w:sz w:val="15"/>
                          </w:rPr>
                          <w:t> </w:t>
                        </w:r>
                        <w:r>
                          <w:rPr>
                            <w:rFonts w:ascii="Arial MT"/>
                            <w:color w:val="231F20"/>
                            <w:spacing w:val="-2"/>
                            <w:sz w:val="15"/>
                          </w:rPr>
                          <w:t>Syndrome)</w:t>
                        </w:r>
                      </w:p>
                    </w:txbxContent>
                  </v:textbox>
                  <w10:wrap type="none"/>
                </v:shape>
                <v:shape style="position:absolute;left:3878;top:3505;width:1771;height:3079" type="#_x0000_t202" id="docshape1019" filled="false" stroked="false">
                  <v:textbox inset="0,0,0,0">
                    <w:txbxContent>
                      <w:p>
                        <w:pPr>
                          <w:spacing w:line="147" w:lineRule="exact" w:before="0"/>
                          <w:ind w:left="0" w:right="0" w:firstLine="0"/>
                          <w:jc w:val="left"/>
                          <w:rPr>
                            <w:rFonts w:ascii="Arial MT"/>
                            <w:sz w:val="15"/>
                          </w:rPr>
                        </w:pPr>
                        <w:r>
                          <w:rPr>
                            <w:rFonts w:ascii="Arial MT"/>
                            <w:color w:val="231F20"/>
                            <w:spacing w:val="-2"/>
                            <w:sz w:val="15"/>
                          </w:rPr>
                          <w:t>Achromatopsia</w:t>
                        </w:r>
                      </w:p>
                      <w:p>
                        <w:pPr>
                          <w:spacing w:line="249" w:lineRule="auto" w:before="6"/>
                          <w:ind w:left="0" w:right="184" w:firstLine="0"/>
                          <w:jc w:val="left"/>
                          <w:rPr>
                            <w:rFonts w:ascii="Arial MT"/>
                            <w:sz w:val="15"/>
                          </w:rPr>
                        </w:pPr>
                        <w:r>
                          <w:rPr>
                            <w:rFonts w:ascii="Arial MT"/>
                            <w:color w:val="231F20"/>
                            <w:spacing w:val="-2"/>
                            <w:sz w:val="15"/>
                          </w:rPr>
                          <w:t>Congenital</w:t>
                        </w:r>
                        <w:r>
                          <w:rPr>
                            <w:rFonts w:ascii="Arial MT"/>
                            <w:color w:val="231F20"/>
                            <w:spacing w:val="-5"/>
                            <w:sz w:val="15"/>
                          </w:rPr>
                          <w:t> </w:t>
                        </w:r>
                        <w:r>
                          <w:rPr>
                            <w:rFonts w:ascii="Arial MT"/>
                            <w:color w:val="231F20"/>
                            <w:spacing w:val="-2"/>
                            <w:sz w:val="15"/>
                          </w:rPr>
                          <w:t>stationary</w:t>
                        </w:r>
                        <w:r>
                          <w:rPr>
                            <w:rFonts w:ascii="Arial MT"/>
                            <w:color w:val="231F20"/>
                            <w:sz w:val="15"/>
                          </w:rPr>
                          <w:t> night</w:t>
                        </w:r>
                        <w:r>
                          <w:rPr>
                            <w:rFonts w:ascii="Arial MT"/>
                            <w:color w:val="231F20"/>
                            <w:spacing w:val="-1"/>
                            <w:sz w:val="15"/>
                          </w:rPr>
                          <w:t> </w:t>
                        </w:r>
                        <w:r>
                          <w:rPr>
                            <w:rFonts w:ascii="Arial MT"/>
                            <w:color w:val="231F20"/>
                            <w:sz w:val="15"/>
                          </w:rPr>
                          <w:t>blindness</w:t>
                        </w:r>
                      </w:p>
                      <w:p>
                        <w:pPr>
                          <w:spacing w:line="249" w:lineRule="auto" w:before="63"/>
                          <w:ind w:left="0" w:right="665" w:firstLine="0"/>
                          <w:jc w:val="left"/>
                          <w:rPr>
                            <w:rFonts w:ascii="Arial MT"/>
                            <w:sz w:val="15"/>
                          </w:rPr>
                        </w:pPr>
                        <w:r>
                          <w:rPr>
                            <w:rFonts w:ascii="Arial"/>
                            <w:i/>
                            <w:color w:val="231F20"/>
                            <w:spacing w:val="-2"/>
                            <w:sz w:val="15"/>
                          </w:rPr>
                          <w:t>Ciliopathies</w:t>
                        </w:r>
                        <w:r>
                          <w:rPr>
                            <w:rFonts w:ascii="Arial"/>
                            <w:i/>
                            <w:color w:val="231F20"/>
                            <w:sz w:val="15"/>
                          </w:rPr>
                          <w:t> </w:t>
                        </w:r>
                        <w:r>
                          <w:rPr>
                            <w:rFonts w:ascii="Arial MT"/>
                            <w:color w:val="231F20"/>
                            <w:spacing w:val="-2"/>
                            <w:sz w:val="15"/>
                          </w:rPr>
                          <w:t>Leber</w:t>
                        </w:r>
                        <w:r>
                          <w:rPr>
                            <w:rFonts w:ascii="Arial MT"/>
                            <w:color w:val="231F20"/>
                            <w:spacing w:val="-9"/>
                            <w:sz w:val="15"/>
                          </w:rPr>
                          <w:t> </w:t>
                        </w:r>
                        <w:r>
                          <w:rPr>
                            <w:rFonts w:ascii="Arial MT"/>
                            <w:color w:val="231F20"/>
                            <w:spacing w:val="-2"/>
                            <w:sz w:val="15"/>
                          </w:rPr>
                          <w:t>congenital</w:t>
                        </w:r>
                        <w:r>
                          <w:rPr>
                            <w:rFonts w:ascii="Arial MT"/>
                            <w:color w:val="231F20"/>
                            <w:sz w:val="15"/>
                          </w:rPr>
                          <w:t> </w:t>
                        </w:r>
                        <w:r>
                          <w:rPr>
                            <w:rFonts w:ascii="Arial MT"/>
                            <w:color w:val="231F20"/>
                            <w:spacing w:val="-2"/>
                            <w:sz w:val="15"/>
                          </w:rPr>
                          <w:t>amaurosis</w:t>
                        </w:r>
                      </w:p>
                      <w:p>
                        <w:pPr>
                          <w:spacing w:line="249" w:lineRule="auto" w:before="0"/>
                          <w:ind w:left="0" w:right="184" w:firstLine="0"/>
                          <w:jc w:val="left"/>
                          <w:rPr>
                            <w:rFonts w:ascii="Arial MT" w:hAnsi="Arial MT"/>
                            <w:sz w:val="15"/>
                          </w:rPr>
                        </w:pPr>
                        <w:r>
                          <w:rPr>
                            <w:rFonts w:ascii="Arial MT" w:hAnsi="Arial MT"/>
                            <w:color w:val="231F20"/>
                            <w:sz w:val="15"/>
                          </w:rPr>
                          <w:t>Aiström</w:t>
                        </w:r>
                        <w:r>
                          <w:rPr>
                            <w:rFonts w:ascii="Arial MT" w:hAnsi="Arial MT"/>
                            <w:color w:val="231F20"/>
                            <w:spacing w:val="-1"/>
                            <w:sz w:val="15"/>
                          </w:rPr>
                          <w:t> </w:t>
                        </w:r>
                        <w:r>
                          <w:rPr>
                            <w:rFonts w:ascii="Arial MT" w:hAnsi="Arial MT"/>
                            <w:color w:val="231F20"/>
                            <w:sz w:val="15"/>
                          </w:rPr>
                          <w:t>syndrome Bardet-Biedl</w:t>
                        </w:r>
                        <w:r>
                          <w:rPr>
                            <w:rFonts w:ascii="Arial MT" w:hAnsi="Arial MT"/>
                            <w:color w:val="231F20"/>
                            <w:spacing w:val="-1"/>
                            <w:sz w:val="15"/>
                          </w:rPr>
                          <w:t> </w:t>
                        </w:r>
                        <w:r>
                          <w:rPr>
                            <w:rFonts w:ascii="Arial MT" w:hAnsi="Arial MT"/>
                            <w:color w:val="231F20"/>
                            <w:sz w:val="15"/>
                          </w:rPr>
                          <w:t>syndrome Joubert</w:t>
                        </w:r>
                        <w:r>
                          <w:rPr>
                            <w:rFonts w:ascii="Arial MT" w:hAnsi="Arial MT"/>
                            <w:color w:val="231F20"/>
                            <w:spacing w:val="-1"/>
                            <w:sz w:val="15"/>
                          </w:rPr>
                          <w:t> </w:t>
                        </w:r>
                        <w:r>
                          <w:rPr>
                            <w:rFonts w:ascii="Arial MT" w:hAnsi="Arial MT"/>
                            <w:color w:val="231F20"/>
                            <w:sz w:val="15"/>
                          </w:rPr>
                          <w:t>syndrome Senior</w:t>
                        </w:r>
                        <w:r>
                          <w:rPr>
                            <w:rFonts w:ascii="Arial MT" w:hAnsi="Arial MT"/>
                            <w:color w:val="231F20"/>
                            <w:spacing w:val="-11"/>
                            <w:sz w:val="15"/>
                          </w:rPr>
                          <w:t> </w:t>
                        </w:r>
                        <w:r>
                          <w:rPr>
                            <w:rFonts w:ascii="Arial MT" w:hAnsi="Arial MT"/>
                            <w:color w:val="231F20"/>
                            <w:sz w:val="15"/>
                          </w:rPr>
                          <w:t>Løken</w:t>
                        </w:r>
                        <w:r>
                          <w:rPr>
                            <w:rFonts w:ascii="Arial MT" w:hAnsi="Arial MT"/>
                            <w:color w:val="231F20"/>
                            <w:spacing w:val="-10"/>
                            <w:sz w:val="15"/>
                          </w:rPr>
                          <w:t> </w:t>
                        </w:r>
                        <w:r>
                          <w:rPr>
                            <w:rFonts w:ascii="Arial MT" w:hAnsi="Arial MT"/>
                            <w:color w:val="231F20"/>
                            <w:sz w:val="15"/>
                          </w:rPr>
                          <w:t>syndrome</w:t>
                        </w:r>
                      </w:p>
                      <w:p>
                        <w:pPr>
                          <w:spacing w:line="249" w:lineRule="auto" w:before="0"/>
                          <w:ind w:left="0" w:right="12" w:firstLine="0"/>
                          <w:jc w:val="left"/>
                          <w:rPr>
                            <w:rFonts w:ascii="Arial MT"/>
                            <w:sz w:val="15"/>
                          </w:rPr>
                        </w:pPr>
                        <w:r>
                          <w:rPr>
                            <w:rFonts w:ascii="Arial MT"/>
                            <w:color w:val="231F20"/>
                            <w:sz w:val="15"/>
                          </w:rPr>
                          <w:t>Retinopathy</w:t>
                        </w:r>
                        <w:r>
                          <w:rPr>
                            <w:rFonts w:ascii="Arial MT"/>
                            <w:color w:val="231F20"/>
                            <w:spacing w:val="-11"/>
                            <w:sz w:val="15"/>
                          </w:rPr>
                          <w:t> </w:t>
                        </w:r>
                        <w:r>
                          <w:rPr>
                            <w:rFonts w:ascii="Arial MT"/>
                            <w:color w:val="231F20"/>
                            <w:sz w:val="15"/>
                          </w:rPr>
                          <w:t>of</w:t>
                        </w:r>
                        <w:r>
                          <w:rPr>
                            <w:rFonts w:ascii="Arial MT"/>
                            <w:color w:val="231F20"/>
                            <w:spacing w:val="-10"/>
                            <w:sz w:val="15"/>
                          </w:rPr>
                          <w:t> </w:t>
                        </w:r>
                        <w:r>
                          <w:rPr>
                            <w:rFonts w:ascii="Arial MT"/>
                            <w:color w:val="231F20"/>
                            <w:sz w:val="15"/>
                          </w:rPr>
                          <w:t>prematurity Aniridia</w:t>
                        </w:r>
                        <w:r>
                          <w:rPr>
                            <w:rFonts w:ascii="Arial MT"/>
                            <w:color w:val="231F20"/>
                            <w:spacing w:val="-3"/>
                            <w:sz w:val="15"/>
                          </w:rPr>
                          <w:t> </w:t>
                        </w:r>
                        <w:r>
                          <w:rPr>
                            <w:rFonts w:ascii="Arial MT"/>
                            <w:color w:val="231F20"/>
                            <w:sz w:val="15"/>
                          </w:rPr>
                          <w:t>(</w:t>
                        </w:r>
                        <w:r>
                          <w:rPr>
                            <w:rFonts w:ascii="Arial"/>
                            <w:i/>
                            <w:color w:val="231F20"/>
                            <w:sz w:val="15"/>
                          </w:rPr>
                          <w:t>PAX6</w:t>
                        </w:r>
                        <w:r>
                          <w:rPr>
                            <w:rFonts w:ascii="Arial"/>
                            <w:i/>
                            <w:color w:val="231F20"/>
                            <w:spacing w:val="-3"/>
                            <w:sz w:val="15"/>
                          </w:rPr>
                          <w:t> </w:t>
                        </w:r>
                        <w:r>
                          <w:rPr>
                            <w:rFonts w:ascii="Arial MT"/>
                            <w:color w:val="231F20"/>
                            <w:sz w:val="15"/>
                          </w:rPr>
                          <w:t>mutations) Isolated</w:t>
                        </w:r>
                        <w:r>
                          <w:rPr>
                            <w:rFonts w:ascii="Arial MT"/>
                            <w:color w:val="231F20"/>
                            <w:spacing w:val="-7"/>
                            <w:sz w:val="15"/>
                          </w:rPr>
                          <w:t> </w:t>
                        </w:r>
                        <w:r>
                          <w:rPr>
                            <w:rFonts w:ascii="Arial MT"/>
                            <w:color w:val="231F20"/>
                            <w:sz w:val="15"/>
                          </w:rPr>
                          <w:t>foveal</w:t>
                        </w:r>
                        <w:r>
                          <w:rPr>
                            <w:rFonts w:ascii="Arial MT"/>
                            <w:color w:val="231F20"/>
                            <w:spacing w:val="-7"/>
                            <w:sz w:val="15"/>
                          </w:rPr>
                          <w:t> </w:t>
                        </w:r>
                        <w:r>
                          <w:rPr>
                            <w:rFonts w:ascii="Arial MT"/>
                            <w:color w:val="231F20"/>
                            <w:sz w:val="15"/>
                          </w:rPr>
                          <w:t>hypoplasia Optic nerve hypoplasia Optic nerve atrophy Congenital</w:t>
                        </w:r>
                        <w:r>
                          <w:rPr>
                            <w:rFonts w:ascii="Arial MT"/>
                            <w:color w:val="231F20"/>
                            <w:spacing w:val="-1"/>
                            <w:sz w:val="15"/>
                          </w:rPr>
                          <w:t> </w:t>
                        </w:r>
                        <w:r>
                          <w:rPr>
                            <w:rFonts w:ascii="Arial MT"/>
                            <w:color w:val="231F20"/>
                            <w:sz w:val="15"/>
                          </w:rPr>
                          <w:t>cataracts Media</w:t>
                        </w:r>
                        <w:r>
                          <w:rPr>
                            <w:rFonts w:ascii="Arial MT"/>
                            <w:color w:val="231F20"/>
                            <w:spacing w:val="-1"/>
                            <w:sz w:val="15"/>
                          </w:rPr>
                          <w:t> </w:t>
                        </w:r>
                        <w:r>
                          <w:rPr>
                            <w:rFonts w:ascii="Arial MT"/>
                            <w:color w:val="231F20"/>
                            <w:sz w:val="15"/>
                          </w:rPr>
                          <w:t>opacity</w:t>
                        </w:r>
                      </w:p>
                    </w:txbxContent>
                  </v:textbox>
                  <w10:wrap type="none"/>
                </v:shape>
                <v:shape style="position:absolute;left:5882;top:3389;width:2010;height:2534" type="#_x0000_t202" id="docshape1020" filled="false" stroked="true" strokeweight=".933007pt" strokecolor="#231f20">
                  <v:textbox inset="0,0,0,0">
                    <w:txbxContent>
                      <w:p>
                        <w:pPr>
                          <w:spacing w:line="249" w:lineRule="auto" w:before="81"/>
                          <w:ind w:left="70" w:right="300" w:firstLine="0"/>
                          <w:jc w:val="left"/>
                          <w:rPr>
                            <w:rFonts w:ascii="Arial MT"/>
                            <w:sz w:val="15"/>
                          </w:rPr>
                        </w:pPr>
                        <w:r>
                          <w:rPr>
                            <w:rFonts w:ascii="Arial MT"/>
                            <w:color w:val="231F20"/>
                            <w:sz w:val="15"/>
                          </w:rPr>
                          <w:t>Down</w:t>
                        </w:r>
                        <w:r>
                          <w:rPr>
                            <w:rFonts w:ascii="Arial MT"/>
                            <w:color w:val="231F20"/>
                            <w:spacing w:val="-1"/>
                            <w:sz w:val="15"/>
                          </w:rPr>
                          <w:t> </w:t>
                        </w:r>
                        <w:r>
                          <w:rPr>
                            <w:rFonts w:ascii="Arial MT"/>
                            <w:color w:val="231F20"/>
                            <w:sz w:val="15"/>
                          </w:rPr>
                          <w:t>syndrome</w:t>
                        </w:r>
                        <w:r>
                          <w:rPr>
                            <w:rFonts w:ascii="Arial MT"/>
                            <w:color w:val="231F20"/>
                            <w:spacing w:val="40"/>
                            <w:sz w:val="15"/>
                          </w:rPr>
                          <w:t> </w:t>
                        </w:r>
                        <w:r>
                          <w:rPr>
                            <w:rFonts w:ascii="Arial MT"/>
                            <w:color w:val="231F20"/>
                            <w:sz w:val="15"/>
                          </w:rPr>
                          <w:t>Noonan</w:t>
                        </w:r>
                        <w:r>
                          <w:rPr>
                            <w:rFonts w:ascii="Arial MT"/>
                            <w:color w:val="231F20"/>
                            <w:spacing w:val="-1"/>
                            <w:sz w:val="15"/>
                          </w:rPr>
                          <w:t> </w:t>
                        </w:r>
                        <w:r>
                          <w:rPr>
                            <w:rFonts w:ascii="Arial MT"/>
                            <w:color w:val="231F20"/>
                            <w:sz w:val="15"/>
                          </w:rPr>
                          <w:t>syndrome </w:t>
                        </w:r>
                        <w:r>
                          <w:rPr>
                            <w:rFonts w:ascii="Arial MT"/>
                            <w:color w:val="231F20"/>
                            <w:spacing w:val="-2"/>
                            <w:sz w:val="15"/>
                          </w:rPr>
                          <w:t>Structural</w:t>
                        </w:r>
                        <w:r>
                          <w:rPr>
                            <w:rFonts w:ascii="Arial MT"/>
                            <w:color w:val="231F20"/>
                            <w:spacing w:val="3"/>
                            <w:sz w:val="15"/>
                          </w:rPr>
                          <w:t> </w:t>
                        </w:r>
                        <w:r>
                          <w:rPr>
                            <w:rFonts w:ascii="Arial MT"/>
                            <w:color w:val="231F20"/>
                            <w:spacing w:val="-2"/>
                            <w:sz w:val="15"/>
                          </w:rPr>
                          <w:t>malformations</w:t>
                        </w:r>
                      </w:p>
                      <w:p>
                        <w:pPr>
                          <w:spacing w:line="249" w:lineRule="auto" w:before="0"/>
                          <w:ind w:left="70" w:right="0" w:firstLine="0"/>
                          <w:jc w:val="left"/>
                          <w:rPr>
                            <w:rFonts w:ascii="Arial MT"/>
                            <w:sz w:val="15"/>
                          </w:rPr>
                        </w:pPr>
                        <w:r>
                          <w:rPr>
                            <w:rFonts w:ascii="Arial MT"/>
                            <w:color w:val="231F20"/>
                            <w:sz w:val="15"/>
                          </w:rPr>
                          <w:t>Space-occupying</w:t>
                        </w:r>
                        <w:r>
                          <w:rPr>
                            <w:rFonts w:ascii="Arial MT"/>
                            <w:color w:val="231F20"/>
                            <w:spacing w:val="-1"/>
                            <w:sz w:val="15"/>
                          </w:rPr>
                          <w:t> </w:t>
                        </w:r>
                        <w:r>
                          <w:rPr>
                            <w:rFonts w:ascii="Arial MT"/>
                            <w:color w:val="231F20"/>
                            <w:sz w:val="15"/>
                          </w:rPr>
                          <w:t>lesions </w:t>
                        </w:r>
                        <w:r>
                          <w:rPr>
                            <w:rFonts w:ascii="Arial MT"/>
                            <w:color w:val="231F20"/>
                            <w:spacing w:val="-2"/>
                            <w:sz w:val="15"/>
                          </w:rPr>
                          <w:t>Periventricular leukomalacia</w:t>
                        </w:r>
                        <w:r>
                          <w:rPr>
                            <w:rFonts w:ascii="Arial MT"/>
                            <w:color w:val="231F20"/>
                            <w:sz w:val="15"/>
                          </w:rPr>
                          <w:t> Developmental</w:t>
                        </w:r>
                        <w:r>
                          <w:rPr>
                            <w:rFonts w:ascii="Arial MT"/>
                            <w:color w:val="231F20"/>
                            <w:spacing w:val="-1"/>
                            <w:sz w:val="15"/>
                          </w:rPr>
                          <w:t> </w:t>
                        </w:r>
                        <w:r>
                          <w:rPr>
                            <w:rFonts w:ascii="Arial MT"/>
                            <w:color w:val="231F20"/>
                            <w:sz w:val="15"/>
                          </w:rPr>
                          <w:t>diseases </w:t>
                        </w:r>
                        <w:r>
                          <w:rPr>
                            <w:rFonts w:ascii="Arial MT"/>
                            <w:color w:val="231F20"/>
                            <w:spacing w:val="-2"/>
                            <w:sz w:val="15"/>
                          </w:rPr>
                          <w:t>Leukodystrophies</w:t>
                        </w:r>
                      </w:p>
                      <w:p>
                        <w:pPr>
                          <w:spacing w:line="249" w:lineRule="auto" w:before="0"/>
                          <w:ind w:left="70" w:right="288" w:firstLine="0"/>
                          <w:jc w:val="left"/>
                          <w:rPr>
                            <w:rFonts w:ascii="Arial MT"/>
                            <w:sz w:val="15"/>
                          </w:rPr>
                        </w:pPr>
                        <w:r>
                          <w:rPr>
                            <w:rFonts w:ascii="Arial MT"/>
                            <w:color w:val="231F20"/>
                            <w:sz w:val="15"/>
                          </w:rPr>
                          <w:t>Chiari</w:t>
                        </w:r>
                        <w:r>
                          <w:rPr>
                            <w:rFonts w:ascii="Arial MT"/>
                            <w:color w:val="231F20"/>
                            <w:spacing w:val="-1"/>
                            <w:sz w:val="15"/>
                          </w:rPr>
                          <w:t> </w:t>
                        </w:r>
                        <w:r>
                          <w:rPr>
                            <w:rFonts w:ascii="Arial MT"/>
                            <w:color w:val="231F20"/>
                            <w:sz w:val="15"/>
                          </w:rPr>
                          <w:t>malformations Metabolic diseases or mitochondrial</w:t>
                        </w:r>
                        <w:r>
                          <w:rPr>
                            <w:rFonts w:ascii="Arial MT"/>
                            <w:color w:val="231F20"/>
                            <w:spacing w:val="-1"/>
                            <w:sz w:val="15"/>
                          </w:rPr>
                          <w:t> </w:t>
                        </w:r>
                        <w:r>
                          <w:rPr>
                            <w:rFonts w:ascii="Arial MT"/>
                            <w:color w:val="231F20"/>
                            <w:sz w:val="15"/>
                          </w:rPr>
                          <w:t>diseases Spinal</w:t>
                        </w:r>
                        <w:r>
                          <w:rPr>
                            <w:rFonts w:ascii="Arial MT"/>
                            <w:color w:val="231F20"/>
                            <w:spacing w:val="-11"/>
                            <w:sz w:val="15"/>
                          </w:rPr>
                          <w:t> </w:t>
                        </w:r>
                        <w:r>
                          <w:rPr>
                            <w:rFonts w:ascii="Arial MT"/>
                            <w:color w:val="231F20"/>
                            <w:sz w:val="15"/>
                          </w:rPr>
                          <w:t>cerebellar</w:t>
                        </w:r>
                        <w:r>
                          <w:rPr>
                            <w:rFonts w:ascii="Arial MT"/>
                            <w:color w:val="231F20"/>
                            <w:spacing w:val="-10"/>
                            <w:sz w:val="15"/>
                          </w:rPr>
                          <w:t> </w:t>
                        </w:r>
                        <w:r>
                          <w:rPr>
                            <w:rFonts w:ascii="Arial MT"/>
                            <w:color w:val="231F20"/>
                            <w:sz w:val="15"/>
                          </w:rPr>
                          <w:t>ataxias Episodic</w:t>
                        </w:r>
                        <w:r>
                          <w:rPr>
                            <w:rFonts w:ascii="Arial MT"/>
                            <w:color w:val="231F20"/>
                            <w:spacing w:val="-1"/>
                            <w:sz w:val="15"/>
                          </w:rPr>
                          <w:t> </w:t>
                        </w:r>
                        <w:r>
                          <w:rPr>
                            <w:rFonts w:ascii="Arial MT"/>
                            <w:color w:val="231F20"/>
                            <w:sz w:val="15"/>
                          </w:rPr>
                          <w:t>ataxias Vestibular</w:t>
                        </w:r>
                        <w:r>
                          <w:rPr>
                            <w:rFonts w:ascii="Arial MT"/>
                            <w:color w:val="231F20"/>
                            <w:spacing w:val="-1"/>
                            <w:sz w:val="15"/>
                          </w:rPr>
                          <w:t> </w:t>
                        </w:r>
                        <w:r>
                          <w:rPr>
                            <w:rFonts w:ascii="Arial MT"/>
                            <w:color w:val="231F20"/>
                            <w:sz w:val="15"/>
                          </w:rPr>
                          <w:t>diseases</w:t>
                        </w:r>
                      </w:p>
                    </w:txbxContent>
                  </v:textbox>
                  <v:stroke dashstyle="solid"/>
                  <w10:wrap type="none"/>
                </v:shape>
                <v:shape style="position:absolute;left:9009;top:2797;width:1288;height:549" type="#_x0000_t202" id="docshape1021" filled="false" stroked="true" strokeweight=".933007pt" strokecolor="#231f20">
                  <v:textbox inset="0,0,0,0">
                    <w:txbxContent>
                      <w:p>
                        <w:pPr>
                          <w:spacing w:line="249" w:lineRule="auto" w:before="82"/>
                          <w:ind w:left="306" w:right="139" w:hanging="152"/>
                          <w:jc w:val="left"/>
                          <w:rPr>
                            <w:rFonts w:ascii="Arial MT"/>
                            <w:sz w:val="15"/>
                          </w:rPr>
                        </w:pPr>
                        <w:r>
                          <w:rPr>
                            <w:rFonts w:ascii="Arial MT"/>
                            <w:color w:val="231F20"/>
                            <w:sz w:val="15"/>
                          </w:rPr>
                          <w:t>Infantile</w:t>
                        </w:r>
                        <w:r>
                          <w:rPr>
                            <w:rFonts w:ascii="Arial MT"/>
                            <w:color w:val="231F20"/>
                            <w:spacing w:val="-11"/>
                            <w:sz w:val="15"/>
                          </w:rPr>
                          <w:t> </w:t>
                        </w:r>
                        <w:r>
                          <w:rPr>
                            <w:rFonts w:ascii="Arial MT"/>
                            <w:color w:val="231F20"/>
                            <w:sz w:val="15"/>
                          </w:rPr>
                          <w:t>squint </w:t>
                        </w:r>
                        <w:r>
                          <w:rPr>
                            <w:rFonts w:ascii="Arial MT"/>
                            <w:color w:val="231F20"/>
                            <w:spacing w:val="-2"/>
                            <w:sz w:val="15"/>
                          </w:rPr>
                          <w:t>syndrome</w:t>
                        </w:r>
                      </w:p>
                    </w:txbxContent>
                  </v:textbox>
                  <v:stroke dashstyle="solid"/>
                  <w10:wrap type="none"/>
                </v:shape>
                <v:shape style="position:absolute;left:2470;top:2248;width:1288;height:549" type="#_x0000_t202" id="docshape1022" filled="false" stroked="true" strokeweight=".933007pt" strokecolor="#231f20">
                  <v:textbox inset="0,0,0,0">
                    <w:txbxContent>
                      <w:p>
                        <w:pPr>
                          <w:spacing w:line="249" w:lineRule="auto" w:before="83"/>
                          <w:ind w:left="306" w:right="300" w:firstLine="45"/>
                          <w:jc w:val="left"/>
                          <w:rPr>
                            <w:rFonts w:ascii="Arial MT"/>
                            <w:sz w:val="15"/>
                          </w:rPr>
                        </w:pPr>
                        <w:r>
                          <w:rPr>
                            <w:rFonts w:ascii="Arial MT"/>
                            <w:color w:val="231F20"/>
                            <w:spacing w:val="-2"/>
                            <w:sz w:val="15"/>
                          </w:rPr>
                          <w:t>Albinism</w:t>
                        </w:r>
                        <w:r>
                          <w:rPr>
                            <w:rFonts w:ascii="Arial MT"/>
                            <w:color w:val="231F20"/>
                            <w:sz w:val="15"/>
                          </w:rPr>
                          <w:t> </w:t>
                        </w:r>
                        <w:r>
                          <w:rPr>
                            <w:rFonts w:ascii="Arial MT"/>
                            <w:color w:val="231F20"/>
                            <w:spacing w:val="-2"/>
                            <w:sz w:val="15"/>
                          </w:rPr>
                          <w:t>Achiasma</w:t>
                        </w:r>
                      </w:p>
                    </w:txbxContent>
                  </v:textbox>
                  <v:stroke dashstyle="solid"/>
                  <w10:wrap type="none"/>
                </v:shape>
                <v:shape style="position:absolute;left:1022;top:2248;width:1288;height:736" type="#_x0000_t202" id="docshape1023" filled="false" stroked="true" strokeweight=".933007pt" strokecolor="#231f20">
                  <v:textbox inset="0,0,0,0">
                    <w:txbxContent>
                      <w:p>
                        <w:pPr>
                          <w:spacing w:line="249" w:lineRule="auto" w:before="86"/>
                          <w:ind w:left="190" w:right="28" w:hanging="67"/>
                          <w:jc w:val="left"/>
                          <w:rPr>
                            <w:rFonts w:ascii="Arial MT"/>
                            <w:sz w:val="15"/>
                          </w:rPr>
                        </w:pPr>
                        <w:r>
                          <w:rPr>
                            <w:rFonts w:ascii="Arial MT"/>
                            <w:color w:val="231F20"/>
                            <w:sz w:val="15"/>
                          </w:rPr>
                          <w:t>No</w:t>
                        </w:r>
                        <w:r>
                          <w:rPr>
                            <w:rFonts w:ascii="Arial MT"/>
                            <w:color w:val="231F20"/>
                            <w:spacing w:val="-11"/>
                            <w:sz w:val="15"/>
                          </w:rPr>
                          <w:t> </w:t>
                        </w:r>
                        <w:r>
                          <w:rPr>
                            <w:rFonts w:ascii="Arial MT"/>
                            <w:color w:val="231F20"/>
                            <w:sz w:val="15"/>
                          </w:rPr>
                          <w:t>other</w:t>
                        </w:r>
                        <w:r>
                          <w:rPr>
                            <w:rFonts w:ascii="Arial MT"/>
                            <w:color w:val="231F20"/>
                            <w:spacing w:val="-10"/>
                            <w:sz w:val="15"/>
                          </w:rPr>
                          <w:t> </w:t>
                        </w:r>
                        <w:r>
                          <w:rPr>
                            <w:rFonts w:ascii="Arial MT"/>
                            <w:color w:val="231F20"/>
                            <w:sz w:val="15"/>
                          </w:rPr>
                          <w:t>ocular or</w:t>
                        </w:r>
                        <w:r>
                          <w:rPr>
                            <w:rFonts w:ascii="Arial MT"/>
                            <w:color w:val="231F20"/>
                            <w:spacing w:val="-1"/>
                            <w:sz w:val="15"/>
                          </w:rPr>
                          <w:t> </w:t>
                        </w:r>
                        <w:r>
                          <w:rPr>
                            <w:rFonts w:ascii="Arial MT"/>
                            <w:color w:val="231F20"/>
                            <w:sz w:val="15"/>
                          </w:rPr>
                          <w:t>neurologic </w:t>
                        </w:r>
                        <w:r>
                          <w:rPr>
                            <w:rFonts w:ascii="Arial MT"/>
                            <w:color w:val="231F20"/>
                            <w:spacing w:val="-2"/>
                            <w:sz w:val="15"/>
                          </w:rPr>
                          <w:t>abnormalities</w:t>
                        </w:r>
                      </w:p>
                    </w:txbxContent>
                  </v:textbox>
                  <v:stroke dashstyle="solid"/>
                  <w10:wrap type="none"/>
                </v:shape>
                <v:shape style="position:absolute;left:7374;top:1307;width:1288;height:549" type="#_x0000_t202" id="docshape1024" filled="false" stroked="true" strokeweight=".933007pt" strokecolor="#231f20">
                  <v:textbox inset="0,0,0,0">
                    <w:txbxContent>
                      <w:p>
                        <w:pPr>
                          <w:spacing w:line="249" w:lineRule="auto" w:before="82"/>
                          <w:ind w:left="397" w:right="316" w:hanging="75"/>
                          <w:jc w:val="left"/>
                          <w:rPr>
                            <w:rFonts w:ascii="Arial MT"/>
                            <w:sz w:val="15"/>
                          </w:rPr>
                        </w:pPr>
                        <w:r>
                          <w:rPr>
                            <w:rFonts w:ascii="Arial MT"/>
                            <w:color w:val="231F20"/>
                            <w:spacing w:val="-2"/>
                            <w:sz w:val="15"/>
                          </w:rPr>
                          <w:t>Spasmus</w:t>
                        </w:r>
                        <w:r>
                          <w:rPr>
                            <w:rFonts w:ascii="Arial MT"/>
                            <w:color w:val="231F20"/>
                            <w:sz w:val="15"/>
                          </w:rPr>
                          <w:t> </w:t>
                        </w:r>
                        <w:r>
                          <w:rPr>
                            <w:rFonts w:ascii="Arial MT"/>
                            <w:color w:val="231F20"/>
                            <w:spacing w:val="-2"/>
                            <w:sz w:val="15"/>
                          </w:rPr>
                          <w:t>Nutans</w:t>
                        </w:r>
                      </w:p>
                    </w:txbxContent>
                  </v:textbox>
                  <v:stroke dashstyle="solid"/>
                  <w10:wrap type="none"/>
                </v:shape>
                <w10:wrap type="topAndBottom"/>
              </v:group>
            </w:pict>
          </mc:Fallback>
        </mc:AlternateContent>
      </w:r>
    </w:p>
    <w:p>
      <w:pPr>
        <w:spacing w:line="228" w:lineRule="auto" w:before="82"/>
        <w:ind w:left="203" w:right="614" w:hanging="1"/>
        <w:jc w:val="left"/>
        <w:rPr>
          <w:i/>
          <w:sz w:val="15"/>
        </w:rPr>
      </w:pPr>
      <w:r>
        <w:rPr>
          <w:b/>
          <w:color w:val="4A0C62"/>
          <w:sz w:val="16"/>
        </w:rPr>
        <w:t>Figure 623-8</w:t>
      </w:r>
      <w:r>
        <w:rPr>
          <w:b/>
          <w:color w:val="4A0C62"/>
          <w:spacing w:val="-3"/>
          <w:sz w:val="16"/>
        </w:rPr>
        <w:t> </w:t>
      </w:r>
      <w:r>
        <w:rPr>
          <w:color w:val="231F20"/>
          <w:sz w:val="15"/>
        </w:rPr>
        <w:t>Classification of nystagmus based on associated diseases. </w:t>
      </w:r>
      <w:r>
        <w:rPr>
          <w:i/>
          <w:color w:val="231F20"/>
          <w:sz w:val="15"/>
        </w:rPr>
        <w:t>(From Hoyt CS, Taylor D, editors: </w:t>
      </w:r>
      <w:r>
        <w:rPr>
          <w:color w:val="231F20"/>
          <w:sz w:val="15"/>
        </w:rPr>
        <w:t>Pediatric ophthalmology and strabis- mus, </w:t>
      </w:r>
      <w:r>
        <w:rPr>
          <w:i/>
          <w:color w:val="231F20"/>
          <w:sz w:val="15"/>
        </w:rPr>
        <w:t>ed 4, Philadelphia, 2013, Elsevier Saunders, Fig. 89.2, p. 910.)</w:t>
      </w:r>
    </w:p>
    <w:p>
      <w:pPr>
        <w:spacing w:after="0" w:line="228" w:lineRule="auto"/>
        <w:jc w:val="left"/>
        <w:rPr>
          <w:i/>
          <w:sz w:val="15"/>
        </w:rPr>
        <w:sectPr>
          <w:type w:val="continuous"/>
          <w:pgSz w:w="11900" w:h="16840"/>
          <w:pgMar w:header="0" w:footer="0" w:top="62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292" name="Group 1292"/>
                <wp:cNvGraphicFramePr>
                  <a:graphicFrameLocks/>
                </wp:cNvGraphicFramePr>
                <a:graphic>
                  <a:graphicData uri="http://schemas.microsoft.com/office/word/2010/wordprocessingGroup">
                    <wpg:wgp>
                      <wpg:cNvPr id="1292" name="Group 1292"/>
                      <wpg:cNvGrpSpPr/>
                      <wpg:grpSpPr>
                        <a:xfrm>
                          <a:off x="0" y="0"/>
                          <a:ext cx="6185535" cy="170815"/>
                          <a:chExt cx="6185535" cy="170815"/>
                        </a:xfrm>
                      </wpg:grpSpPr>
                      <wps:wsp>
                        <wps:cNvPr id="1293" name="Graphic 1293"/>
                        <wps:cNvSpPr/>
                        <wps:spPr>
                          <a:xfrm>
                            <a:off x="0"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294" name="Graphic 1294"/>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295" name="Textbox 1295"/>
                        <wps:cNvSpPr txBox="1"/>
                        <wps:spPr>
                          <a:xfrm>
                            <a:off x="0" y="0"/>
                            <a:ext cx="6185535" cy="170815"/>
                          </a:xfrm>
                          <a:prstGeom prst="rect">
                            <a:avLst/>
                          </a:prstGeom>
                        </wps:spPr>
                        <wps:txbx>
                          <w:txbxContent>
                            <w:p>
                              <w:pPr>
                                <w:spacing w:before="6"/>
                                <w:ind w:left="5261" w:right="-15" w:firstLine="0"/>
                                <w:jc w:val="left"/>
                                <w:rPr>
                                  <w:b/>
                                  <w:sz w:val="18"/>
                                </w:rPr>
                              </w:pPr>
                              <w:r>
                                <w:rPr>
                                  <w:b/>
                                  <w:color w:val="2E3092"/>
                                  <w:w w:val="105"/>
                                  <w:sz w:val="18"/>
                                </w:rPr>
                                <w:t>Chapter</w:t>
                              </w:r>
                              <w:r>
                                <w:rPr>
                                  <w:b/>
                                  <w:color w:val="2E3092"/>
                                  <w:spacing w:val="8"/>
                                  <w:w w:val="105"/>
                                  <w:sz w:val="18"/>
                                </w:rPr>
                                <w:t> </w:t>
                              </w:r>
                              <w:r>
                                <w:rPr>
                                  <w:b/>
                                  <w:color w:val="2E3092"/>
                                  <w:w w:val="105"/>
                                  <w:sz w:val="18"/>
                                </w:rPr>
                                <w:t>626</w:t>
                              </w:r>
                              <w:r>
                                <w:rPr>
                                  <w:b/>
                                  <w:color w:val="2E3092"/>
                                  <w:spacing w:val="35"/>
                                  <w:w w:val="105"/>
                                  <w:sz w:val="18"/>
                                </w:rPr>
                                <w:t> </w:t>
                              </w:r>
                              <w:r>
                                <w:rPr>
                                  <w:rFonts w:ascii="Lucida Sans Unicode" w:hAnsi="Lucida Sans Unicode"/>
                                  <w:color w:val="7670B3"/>
                                  <w:w w:val="105"/>
                                  <w:sz w:val="15"/>
                                </w:rPr>
                                <w:t>◆</w:t>
                              </w:r>
                              <w:r>
                                <w:rPr>
                                  <w:rFonts w:ascii="Lucida Sans Unicode" w:hAnsi="Lucida Sans Unicode"/>
                                  <w:color w:val="7670B3"/>
                                  <w:spacing w:val="42"/>
                                  <w:w w:val="105"/>
                                  <w:sz w:val="15"/>
                                </w:rPr>
                                <w:t> </w:t>
                              </w:r>
                              <w:r>
                                <w:rPr>
                                  <w:color w:val="231F20"/>
                                  <w:w w:val="105"/>
                                  <w:sz w:val="18"/>
                                </w:rPr>
                                <w:t>Disorders</w:t>
                              </w:r>
                              <w:r>
                                <w:rPr>
                                  <w:color w:val="231F20"/>
                                  <w:spacing w:val="5"/>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5"/>
                                  <w:w w:val="105"/>
                                  <w:sz w:val="18"/>
                                </w:rPr>
                                <w:t> </w:t>
                              </w:r>
                              <w:r>
                                <w:rPr>
                                  <w:color w:val="231F20"/>
                                  <w:w w:val="105"/>
                                  <w:sz w:val="18"/>
                                </w:rPr>
                                <w:t>Conjunctiva</w:t>
                              </w:r>
                              <w:r>
                                <w:rPr>
                                  <w:color w:val="231F20"/>
                                  <w:spacing w:val="35"/>
                                  <w:w w:val="105"/>
                                  <w:sz w:val="18"/>
                                </w:rPr>
                                <w:t>  </w:t>
                              </w:r>
                              <w:r>
                                <w:rPr>
                                  <w:b/>
                                  <w:color w:val="231F20"/>
                                  <w:spacing w:val="-4"/>
                                  <w:w w:val="105"/>
                                  <w:sz w:val="18"/>
                                </w:rPr>
                                <w:t>3037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25" coordorigin="0,0" coordsize="9741,269">
                <v:line style="position:absolute" from="0,145" to="37,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1026" filled="false" stroked="false">
                  <v:textbox inset="0,0,0,0">
                    <w:txbxContent>
                      <w:p>
                        <w:pPr>
                          <w:spacing w:before="6"/>
                          <w:ind w:left="5261" w:right="-15" w:firstLine="0"/>
                          <w:jc w:val="left"/>
                          <w:rPr>
                            <w:b/>
                            <w:sz w:val="18"/>
                          </w:rPr>
                        </w:pPr>
                        <w:r>
                          <w:rPr>
                            <w:b/>
                            <w:color w:val="2E3092"/>
                            <w:w w:val="105"/>
                            <w:sz w:val="18"/>
                          </w:rPr>
                          <w:t>Chapter</w:t>
                        </w:r>
                        <w:r>
                          <w:rPr>
                            <w:b/>
                            <w:color w:val="2E3092"/>
                            <w:spacing w:val="8"/>
                            <w:w w:val="105"/>
                            <w:sz w:val="18"/>
                          </w:rPr>
                          <w:t> </w:t>
                        </w:r>
                        <w:r>
                          <w:rPr>
                            <w:b/>
                            <w:color w:val="2E3092"/>
                            <w:w w:val="105"/>
                            <w:sz w:val="18"/>
                          </w:rPr>
                          <w:t>626</w:t>
                        </w:r>
                        <w:r>
                          <w:rPr>
                            <w:b/>
                            <w:color w:val="2E3092"/>
                            <w:spacing w:val="35"/>
                            <w:w w:val="105"/>
                            <w:sz w:val="18"/>
                          </w:rPr>
                          <w:t> </w:t>
                        </w:r>
                        <w:r>
                          <w:rPr>
                            <w:rFonts w:ascii="Lucida Sans Unicode" w:hAnsi="Lucida Sans Unicode"/>
                            <w:color w:val="7670B3"/>
                            <w:w w:val="105"/>
                            <w:sz w:val="15"/>
                          </w:rPr>
                          <w:t>◆</w:t>
                        </w:r>
                        <w:r>
                          <w:rPr>
                            <w:rFonts w:ascii="Lucida Sans Unicode" w:hAnsi="Lucida Sans Unicode"/>
                            <w:color w:val="7670B3"/>
                            <w:spacing w:val="42"/>
                            <w:w w:val="105"/>
                            <w:sz w:val="15"/>
                          </w:rPr>
                          <w:t> </w:t>
                        </w:r>
                        <w:r>
                          <w:rPr>
                            <w:color w:val="231F20"/>
                            <w:w w:val="105"/>
                            <w:sz w:val="18"/>
                          </w:rPr>
                          <w:t>Disorders</w:t>
                        </w:r>
                        <w:r>
                          <w:rPr>
                            <w:color w:val="231F20"/>
                            <w:spacing w:val="5"/>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5"/>
                            <w:w w:val="105"/>
                            <w:sz w:val="18"/>
                          </w:rPr>
                          <w:t> </w:t>
                        </w:r>
                        <w:r>
                          <w:rPr>
                            <w:color w:val="231F20"/>
                            <w:w w:val="105"/>
                            <w:sz w:val="18"/>
                          </w:rPr>
                          <w:t>Conjunctiva</w:t>
                        </w:r>
                        <w:r>
                          <w:rPr>
                            <w:color w:val="231F20"/>
                            <w:spacing w:val="35"/>
                            <w:w w:val="105"/>
                            <w:sz w:val="18"/>
                          </w:rPr>
                          <w:t>  </w:t>
                        </w:r>
                        <w:r>
                          <w:rPr>
                            <w:b/>
                            <w:color w:val="231F20"/>
                            <w:spacing w:val="-4"/>
                            <w:w w:val="105"/>
                            <w:sz w:val="18"/>
                          </w:rPr>
                          <w:t>3037</w:t>
                        </w:r>
                      </w:p>
                    </w:txbxContent>
                  </v:textbox>
                  <w10:wrap type="none"/>
                </v:shape>
              </v:group>
            </w:pict>
          </mc:Fallback>
        </mc:AlternateContent>
      </w:r>
      <w:r>
        <w:rPr>
          <w:sz w:val="20"/>
        </w:rPr>
      </w:r>
    </w:p>
    <w:p>
      <w:pPr>
        <w:pStyle w:val="BodyText"/>
        <w:spacing w:before="11"/>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3"/>
        <w:gridCol w:w="2874"/>
        <w:gridCol w:w="2878"/>
        <w:gridCol w:w="2435"/>
      </w:tblGrid>
      <w:tr>
        <w:trPr>
          <w:trHeight w:val="354" w:hRule="atLeast"/>
        </w:trPr>
        <w:tc>
          <w:tcPr>
            <w:tcW w:w="1553" w:type="dxa"/>
            <w:shd w:val="clear" w:color="auto" w:fill="231F20"/>
          </w:tcPr>
          <w:p>
            <w:pPr>
              <w:pStyle w:val="TableParagraph"/>
              <w:spacing w:before="89"/>
              <w:ind w:left="111"/>
              <w:rPr>
                <w:sz w:val="16"/>
              </w:rPr>
            </w:pPr>
            <w:r>
              <w:rPr>
                <w:b/>
                <w:color w:val="FFFFFF"/>
                <w:w w:val="105"/>
                <w:sz w:val="16"/>
              </w:rPr>
              <w:t>Table</w:t>
            </w:r>
            <w:r>
              <w:rPr>
                <w:b/>
                <w:color w:val="FFFFFF"/>
                <w:spacing w:val="5"/>
                <w:w w:val="105"/>
                <w:sz w:val="16"/>
              </w:rPr>
              <w:t> </w:t>
            </w:r>
            <w:r>
              <w:rPr>
                <w:b/>
                <w:color w:val="FFFFFF"/>
                <w:w w:val="105"/>
                <w:sz w:val="16"/>
              </w:rPr>
              <w:t>626-1</w:t>
            </w:r>
            <w:r>
              <w:rPr>
                <w:b/>
                <w:color w:val="FFFFFF"/>
                <w:spacing w:val="32"/>
                <w:w w:val="105"/>
                <w:sz w:val="16"/>
              </w:rPr>
              <w:t>  </w:t>
            </w:r>
            <w:r>
              <w:rPr>
                <w:color w:val="FFFFFF"/>
                <w:spacing w:val="-5"/>
                <w:w w:val="105"/>
                <w:sz w:val="16"/>
              </w:rPr>
              <w:t>The</w:t>
            </w:r>
          </w:p>
        </w:tc>
        <w:tc>
          <w:tcPr>
            <w:tcW w:w="8187" w:type="dxa"/>
            <w:gridSpan w:val="3"/>
            <w:shd w:val="clear" w:color="auto" w:fill="231F20"/>
          </w:tcPr>
          <w:p>
            <w:pPr>
              <w:pStyle w:val="TableParagraph"/>
              <w:spacing w:before="89"/>
              <w:ind w:left="17"/>
              <w:rPr>
                <w:sz w:val="16"/>
              </w:rPr>
            </w:pPr>
            <w:r>
              <w:rPr>
                <w:color w:val="FFFFFF"/>
                <w:w w:val="110"/>
                <w:sz w:val="16"/>
              </w:rPr>
              <w:t>Red</w:t>
            </w:r>
            <w:r>
              <w:rPr>
                <w:color w:val="FFFFFF"/>
                <w:spacing w:val="2"/>
                <w:w w:val="110"/>
                <w:sz w:val="16"/>
              </w:rPr>
              <w:t> </w:t>
            </w:r>
            <w:r>
              <w:rPr>
                <w:color w:val="FFFFFF"/>
                <w:spacing w:val="-5"/>
                <w:w w:val="110"/>
                <w:sz w:val="16"/>
              </w:rPr>
              <w:t>Eye</w:t>
            </w:r>
          </w:p>
        </w:tc>
      </w:tr>
      <w:tr>
        <w:trPr>
          <w:trHeight w:val="276" w:hRule="atLeast"/>
        </w:trPr>
        <w:tc>
          <w:tcPr>
            <w:tcW w:w="1553" w:type="dxa"/>
            <w:tcBorders>
              <w:bottom w:val="single" w:sz="4" w:space="0" w:color="231F20"/>
            </w:tcBorders>
            <w:shd w:val="clear" w:color="auto" w:fill="E8F5F1"/>
          </w:tcPr>
          <w:p>
            <w:pPr>
              <w:pStyle w:val="TableParagraph"/>
              <w:spacing w:before="66"/>
              <w:ind w:left="74"/>
              <w:rPr>
                <w:b/>
                <w:sz w:val="15"/>
              </w:rPr>
            </w:pPr>
            <w:r>
              <w:rPr>
                <w:b/>
                <w:color w:val="231F20"/>
                <w:spacing w:val="-2"/>
                <w:w w:val="115"/>
                <w:sz w:val="15"/>
              </w:rPr>
              <w:t>CONDITION</w:t>
            </w:r>
          </w:p>
        </w:tc>
        <w:tc>
          <w:tcPr>
            <w:tcW w:w="2874" w:type="dxa"/>
            <w:tcBorders>
              <w:bottom w:val="single" w:sz="4" w:space="0" w:color="231F20"/>
            </w:tcBorders>
            <w:shd w:val="clear" w:color="auto" w:fill="E8F5F1"/>
          </w:tcPr>
          <w:p>
            <w:pPr>
              <w:pStyle w:val="TableParagraph"/>
              <w:spacing w:before="66"/>
              <w:ind w:left="129"/>
              <w:jc w:val="center"/>
              <w:rPr>
                <w:b/>
                <w:sz w:val="15"/>
              </w:rPr>
            </w:pPr>
            <w:r>
              <w:rPr>
                <w:b/>
                <w:color w:val="231F20"/>
                <w:spacing w:val="-2"/>
                <w:w w:val="110"/>
                <w:sz w:val="15"/>
              </w:rPr>
              <w:t>ETIOLOGY</w:t>
            </w:r>
          </w:p>
        </w:tc>
        <w:tc>
          <w:tcPr>
            <w:tcW w:w="2878" w:type="dxa"/>
            <w:tcBorders>
              <w:bottom w:val="single" w:sz="4" w:space="0" w:color="231F20"/>
            </w:tcBorders>
            <w:shd w:val="clear" w:color="auto" w:fill="E8F5F1"/>
          </w:tcPr>
          <w:p>
            <w:pPr>
              <w:pStyle w:val="TableParagraph"/>
              <w:spacing w:before="66"/>
              <w:ind w:left="560"/>
              <w:rPr>
                <w:b/>
                <w:sz w:val="15"/>
              </w:rPr>
            </w:pPr>
            <w:r>
              <w:rPr>
                <w:b/>
                <w:color w:val="231F20"/>
                <w:w w:val="115"/>
                <w:sz w:val="15"/>
              </w:rPr>
              <w:t>SIGNS</w:t>
            </w:r>
            <w:r>
              <w:rPr>
                <w:b/>
                <w:color w:val="231F20"/>
                <w:spacing w:val="2"/>
                <w:w w:val="115"/>
                <w:sz w:val="15"/>
              </w:rPr>
              <w:t> </w:t>
            </w:r>
            <w:r>
              <w:rPr>
                <w:b/>
                <w:color w:val="231F20"/>
                <w:w w:val="115"/>
                <w:sz w:val="15"/>
              </w:rPr>
              <w:t>AND</w:t>
            </w:r>
            <w:r>
              <w:rPr>
                <w:b/>
                <w:color w:val="231F20"/>
                <w:spacing w:val="3"/>
                <w:w w:val="115"/>
                <w:sz w:val="15"/>
              </w:rPr>
              <w:t> </w:t>
            </w:r>
            <w:r>
              <w:rPr>
                <w:b/>
                <w:color w:val="231F20"/>
                <w:spacing w:val="-2"/>
                <w:w w:val="115"/>
                <w:sz w:val="15"/>
              </w:rPr>
              <w:t>SYMPTOMS</w:t>
            </w:r>
          </w:p>
        </w:tc>
        <w:tc>
          <w:tcPr>
            <w:tcW w:w="2435" w:type="dxa"/>
            <w:tcBorders>
              <w:bottom w:val="single" w:sz="4" w:space="0" w:color="231F20"/>
            </w:tcBorders>
            <w:shd w:val="clear" w:color="auto" w:fill="E8F5F1"/>
          </w:tcPr>
          <w:p>
            <w:pPr>
              <w:pStyle w:val="TableParagraph"/>
              <w:spacing w:before="66"/>
              <w:ind w:left="797"/>
              <w:rPr>
                <w:b/>
                <w:sz w:val="15"/>
              </w:rPr>
            </w:pPr>
            <w:r>
              <w:rPr>
                <w:b/>
                <w:color w:val="231F20"/>
                <w:spacing w:val="-2"/>
                <w:w w:val="110"/>
                <w:sz w:val="15"/>
              </w:rPr>
              <w:t>TREATMENT</w:t>
            </w:r>
          </w:p>
        </w:tc>
      </w:tr>
      <w:tr>
        <w:trPr>
          <w:trHeight w:val="929" w:hRule="atLeast"/>
        </w:trPr>
        <w:tc>
          <w:tcPr>
            <w:tcW w:w="1553" w:type="dxa"/>
            <w:tcBorders>
              <w:top w:val="single" w:sz="4" w:space="0" w:color="231F20"/>
              <w:bottom w:val="single" w:sz="4" w:space="0" w:color="FFFFFF"/>
            </w:tcBorders>
            <w:shd w:val="clear" w:color="auto" w:fill="E8F5F1"/>
          </w:tcPr>
          <w:p>
            <w:pPr>
              <w:pStyle w:val="TableParagraph"/>
              <w:spacing w:line="230" w:lineRule="auto" w:before="52"/>
              <w:ind w:left="186" w:right="459" w:hanging="112"/>
              <w:rPr>
                <w:sz w:val="15"/>
              </w:rPr>
            </w:pPr>
            <w:r>
              <w:rPr>
                <w:color w:val="231F20"/>
                <w:spacing w:val="-2"/>
                <w:sz w:val="15"/>
              </w:rPr>
              <w:t>Bacterial </w:t>
            </w:r>
            <w:r>
              <w:rPr>
                <w:color w:val="231F20"/>
                <w:spacing w:val="-2"/>
                <w:w w:val="90"/>
                <w:sz w:val="15"/>
              </w:rPr>
              <w:t>conjunctivitis</w:t>
            </w:r>
          </w:p>
        </w:tc>
        <w:tc>
          <w:tcPr>
            <w:tcW w:w="2874" w:type="dxa"/>
            <w:tcBorders>
              <w:top w:val="single" w:sz="4" w:space="0" w:color="231F20"/>
              <w:bottom w:val="single" w:sz="4" w:space="0" w:color="FFFFFF"/>
            </w:tcBorders>
            <w:shd w:val="clear" w:color="auto" w:fill="E8F5F1"/>
          </w:tcPr>
          <w:p>
            <w:pPr>
              <w:pStyle w:val="TableParagraph"/>
              <w:spacing w:line="230" w:lineRule="auto" w:before="52"/>
              <w:ind w:left="389" w:right="205" w:hanging="112"/>
              <w:rPr>
                <w:i/>
                <w:sz w:val="15"/>
              </w:rPr>
            </w:pPr>
            <w:r>
              <w:rPr>
                <w:i/>
                <w:color w:val="231F20"/>
                <w:sz w:val="15"/>
              </w:rPr>
              <w:t>Haemophilus influenzae, Haemophilus aegyptius, Streptococcus pneumoniae, </w:t>
            </w:r>
            <w:r>
              <w:rPr>
                <w:i/>
                <w:color w:val="231F20"/>
                <w:spacing w:val="-2"/>
                <w:sz w:val="15"/>
              </w:rPr>
              <w:t>Staphylococcus aureus, </w:t>
            </w:r>
            <w:r>
              <w:rPr>
                <w:i/>
                <w:color w:val="231F20"/>
                <w:spacing w:val="-2"/>
                <w:sz w:val="15"/>
              </w:rPr>
              <w:t>Moraxella catarrhalis</w:t>
            </w:r>
          </w:p>
        </w:tc>
        <w:tc>
          <w:tcPr>
            <w:tcW w:w="2878" w:type="dxa"/>
            <w:tcBorders>
              <w:top w:val="single" w:sz="4" w:space="0" w:color="231F20"/>
              <w:bottom w:val="single" w:sz="4" w:space="0" w:color="FFFFFF"/>
            </w:tcBorders>
            <w:shd w:val="clear" w:color="auto" w:fill="E8F5F1"/>
          </w:tcPr>
          <w:p>
            <w:pPr>
              <w:pStyle w:val="TableParagraph"/>
              <w:spacing w:line="230" w:lineRule="auto" w:before="52"/>
              <w:ind w:left="259" w:right="205" w:hanging="112"/>
              <w:rPr>
                <w:sz w:val="15"/>
              </w:rPr>
            </w:pPr>
            <w:r>
              <w:rPr>
                <w:color w:val="231F20"/>
                <w:spacing w:val="-2"/>
                <w:sz w:val="15"/>
              </w:rPr>
              <w:t>Mucopurulent</w:t>
            </w:r>
            <w:r>
              <w:rPr>
                <w:color w:val="231F20"/>
                <w:spacing w:val="-9"/>
                <w:sz w:val="15"/>
              </w:rPr>
              <w:t> </w:t>
            </w:r>
            <w:r>
              <w:rPr>
                <w:color w:val="231F20"/>
                <w:spacing w:val="-2"/>
                <w:sz w:val="15"/>
              </w:rPr>
              <w:t>unilateral</w:t>
            </w:r>
            <w:r>
              <w:rPr>
                <w:color w:val="231F20"/>
                <w:spacing w:val="-9"/>
                <w:sz w:val="15"/>
              </w:rPr>
              <w:t> </w:t>
            </w:r>
            <w:r>
              <w:rPr>
                <w:color w:val="231F20"/>
                <w:spacing w:val="-2"/>
                <w:sz w:val="15"/>
              </w:rPr>
              <w:t>or</w:t>
            </w:r>
            <w:r>
              <w:rPr>
                <w:color w:val="231F20"/>
                <w:spacing w:val="-9"/>
                <w:sz w:val="15"/>
              </w:rPr>
              <w:t> </w:t>
            </w:r>
            <w:r>
              <w:rPr>
                <w:color w:val="231F20"/>
                <w:spacing w:val="-2"/>
                <w:sz w:val="15"/>
              </w:rPr>
              <w:t>bilateral </w:t>
            </w:r>
            <w:r>
              <w:rPr>
                <w:color w:val="231F20"/>
                <w:sz w:val="15"/>
              </w:rPr>
              <w:t>discharge, normal vision, </w:t>
            </w:r>
            <w:r>
              <w:rPr>
                <w:color w:val="231F20"/>
                <w:spacing w:val="-2"/>
                <w:sz w:val="15"/>
              </w:rPr>
              <w:t>photophobia</w:t>
            </w:r>
          </w:p>
        </w:tc>
        <w:tc>
          <w:tcPr>
            <w:tcW w:w="2435" w:type="dxa"/>
            <w:tcBorders>
              <w:top w:val="single" w:sz="4" w:space="0" w:color="231F20"/>
              <w:bottom w:val="single" w:sz="4" w:space="0" w:color="FFFFFF"/>
            </w:tcBorders>
            <w:shd w:val="clear" w:color="auto" w:fill="E8F5F1"/>
          </w:tcPr>
          <w:p>
            <w:pPr>
              <w:pStyle w:val="TableParagraph"/>
              <w:spacing w:line="230" w:lineRule="auto" w:before="52"/>
              <w:ind w:left="260" w:hanging="112"/>
              <w:rPr>
                <w:sz w:val="15"/>
              </w:rPr>
            </w:pPr>
            <w:r>
              <w:rPr>
                <w:color w:val="231F20"/>
                <w:spacing w:val="-4"/>
                <w:sz w:val="15"/>
              </w:rPr>
              <w:t>Topical antibiotics, </w:t>
            </w:r>
            <w:r>
              <w:rPr>
                <w:color w:val="231F20"/>
                <w:spacing w:val="-4"/>
                <w:sz w:val="15"/>
              </w:rPr>
              <w:t>parenteral ceftriaxone</w:t>
            </w:r>
            <w:r>
              <w:rPr>
                <w:color w:val="231F20"/>
                <w:spacing w:val="2"/>
                <w:sz w:val="15"/>
              </w:rPr>
              <w:t> </w:t>
            </w:r>
            <w:r>
              <w:rPr>
                <w:color w:val="231F20"/>
                <w:spacing w:val="-4"/>
                <w:sz w:val="15"/>
              </w:rPr>
              <w:t>for</w:t>
            </w:r>
            <w:r>
              <w:rPr>
                <w:color w:val="231F20"/>
                <w:spacing w:val="3"/>
                <w:sz w:val="15"/>
              </w:rPr>
              <w:t> </w:t>
            </w:r>
            <w:r>
              <w:rPr>
                <w:color w:val="231F20"/>
                <w:spacing w:val="-4"/>
                <w:sz w:val="15"/>
              </w:rPr>
              <w:t>gonococcus,</w:t>
            </w:r>
          </w:p>
          <w:p>
            <w:pPr>
              <w:pStyle w:val="TableParagraph"/>
              <w:spacing w:line="170" w:lineRule="exact"/>
              <w:ind w:left="260"/>
              <w:rPr>
                <w:i/>
                <w:sz w:val="15"/>
              </w:rPr>
            </w:pPr>
            <w:r>
              <w:rPr>
                <w:i/>
                <w:color w:val="231F20"/>
                <w:sz w:val="15"/>
              </w:rPr>
              <w:t>H.</w:t>
            </w:r>
            <w:r>
              <w:rPr>
                <w:i/>
                <w:color w:val="231F20"/>
                <w:spacing w:val="-7"/>
                <w:sz w:val="15"/>
              </w:rPr>
              <w:t> </w:t>
            </w:r>
            <w:r>
              <w:rPr>
                <w:i/>
                <w:color w:val="231F20"/>
                <w:spacing w:val="-2"/>
                <w:sz w:val="15"/>
              </w:rPr>
              <w:t>influenzae</w:t>
            </w:r>
          </w:p>
        </w:tc>
      </w:tr>
      <w:tr>
        <w:trPr>
          <w:trHeight w:val="420" w:hRule="atLeast"/>
        </w:trPr>
        <w:tc>
          <w:tcPr>
            <w:tcW w:w="1553" w:type="dxa"/>
            <w:tcBorders>
              <w:top w:val="single" w:sz="4" w:space="0" w:color="FFFFFF"/>
              <w:bottom w:val="single" w:sz="4" w:space="0" w:color="FFFFFF"/>
            </w:tcBorders>
            <w:shd w:val="clear" w:color="auto" w:fill="E8F5F1"/>
          </w:tcPr>
          <w:p>
            <w:pPr>
              <w:pStyle w:val="TableParagraph"/>
              <w:spacing w:line="230" w:lineRule="auto" w:before="48"/>
              <w:ind w:left="186" w:right="87" w:hanging="112"/>
              <w:rPr>
                <w:sz w:val="15"/>
              </w:rPr>
            </w:pPr>
            <w:r>
              <w:rPr>
                <w:color w:val="231F20"/>
                <w:spacing w:val="-2"/>
                <w:sz w:val="15"/>
              </w:rPr>
              <w:t>Hyperacute</w:t>
            </w:r>
            <w:r>
              <w:rPr>
                <w:color w:val="231F20"/>
                <w:spacing w:val="-10"/>
                <w:sz w:val="15"/>
              </w:rPr>
              <w:t> </w:t>
            </w:r>
            <w:r>
              <w:rPr>
                <w:color w:val="231F20"/>
                <w:spacing w:val="-2"/>
                <w:sz w:val="15"/>
              </w:rPr>
              <w:t>bacterial conjunctivitis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277" w:right="1029"/>
              <w:rPr>
                <w:i/>
                <w:sz w:val="15"/>
              </w:rPr>
            </w:pPr>
            <w:r>
              <w:rPr>
                <w:i/>
                <w:color w:val="231F20"/>
                <w:sz w:val="15"/>
              </w:rPr>
              <w:t>Neisseria</w:t>
            </w:r>
            <w:r>
              <w:rPr>
                <w:i/>
                <w:color w:val="231F20"/>
                <w:spacing w:val="-12"/>
                <w:sz w:val="15"/>
              </w:rPr>
              <w:t> </w:t>
            </w:r>
            <w:r>
              <w:rPr>
                <w:i/>
                <w:color w:val="231F20"/>
                <w:sz w:val="15"/>
              </w:rPr>
              <w:t>gonorrhoeae, Neisseria</w:t>
            </w:r>
            <w:r>
              <w:rPr>
                <w:i/>
                <w:color w:val="231F20"/>
                <w:spacing w:val="-6"/>
                <w:sz w:val="15"/>
              </w:rPr>
              <w:t> </w:t>
            </w:r>
            <w:r>
              <w:rPr>
                <w:i/>
                <w:color w:val="231F20"/>
                <w:spacing w:val="-2"/>
                <w:sz w:val="15"/>
              </w:rPr>
              <w:t>meningitides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hanging="112"/>
              <w:rPr>
                <w:sz w:val="15"/>
              </w:rPr>
            </w:pPr>
            <w:r>
              <w:rPr>
                <w:color w:val="231F20"/>
                <w:spacing w:val="-2"/>
                <w:sz w:val="15"/>
              </w:rPr>
              <w:t>Conjunctival</w:t>
            </w:r>
            <w:r>
              <w:rPr>
                <w:color w:val="231F20"/>
                <w:spacing w:val="-6"/>
                <w:sz w:val="15"/>
              </w:rPr>
              <w:t> </w:t>
            </w:r>
            <w:r>
              <w:rPr>
                <w:color w:val="231F20"/>
                <w:spacing w:val="-2"/>
                <w:sz w:val="15"/>
              </w:rPr>
              <w:t>injection</w:t>
            </w:r>
            <w:r>
              <w:rPr>
                <w:color w:val="231F20"/>
                <w:spacing w:val="-6"/>
                <w:sz w:val="15"/>
              </w:rPr>
              <w:t> </w:t>
            </w:r>
            <w:r>
              <w:rPr>
                <w:color w:val="231F20"/>
                <w:spacing w:val="-2"/>
                <w:sz w:val="15"/>
              </w:rPr>
              <w:t>and</w:t>
            </w:r>
            <w:r>
              <w:rPr>
                <w:color w:val="231F20"/>
                <w:spacing w:val="-6"/>
                <w:sz w:val="15"/>
              </w:rPr>
              <w:t> </w:t>
            </w:r>
            <w:r>
              <w:rPr>
                <w:color w:val="231F20"/>
                <w:spacing w:val="-2"/>
                <w:sz w:val="15"/>
              </w:rPr>
              <w:t>edema </w:t>
            </w:r>
            <w:r>
              <w:rPr>
                <w:color w:val="231F20"/>
                <w:sz w:val="15"/>
              </w:rPr>
              <w:t>(chemosis); gritty sensation</w:t>
            </w:r>
          </w:p>
        </w:tc>
        <w:tc>
          <w:tcPr>
            <w:tcW w:w="2435" w:type="dxa"/>
            <w:tcBorders>
              <w:top w:val="single" w:sz="4" w:space="0" w:color="FFFFFF"/>
              <w:bottom w:val="single" w:sz="4" w:space="0" w:color="FFFFFF"/>
            </w:tcBorders>
            <w:shd w:val="clear" w:color="auto" w:fill="E8F5F1"/>
          </w:tcPr>
          <w:p>
            <w:pPr>
              <w:pStyle w:val="TableParagraph"/>
              <w:rPr>
                <w:rFonts w:ascii="Times New Roman"/>
                <w:sz w:val="14"/>
              </w:rPr>
            </w:pPr>
          </w:p>
        </w:tc>
      </w:tr>
      <w:tr>
        <w:trPr>
          <w:trHeight w:val="588"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Viral </w:t>
            </w:r>
            <w:r>
              <w:rPr>
                <w:color w:val="231F20"/>
                <w:spacing w:val="-2"/>
                <w:sz w:val="15"/>
              </w:rPr>
              <w:t>conjunctivitis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right="205" w:hanging="112"/>
              <w:rPr>
                <w:sz w:val="15"/>
              </w:rPr>
            </w:pPr>
            <w:r>
              <w:rPr>
                <w:color w:val="231F20"/>
                <w:sz w:val="15"/>
              </w:rPr>
              <w:t>Adenovirus, ECHO virus, </w:t>
            </w:r>
            <w:r>
              <w:rPr>
                <w:color w:val="231F20"/>
                <w:spacing w:val="-2"/>
                <w:sz w:val="15"/>
              </w:rPr>
              <w:t>coxsackievirus,</w:t>
            </w:r>
            <w:r>
              <w:rPr>
                <w:color w:val="231F20"/>
                <w:spacing w:val="-10"/>
                <w:sz w:val="15"/>
              </w:rPr>
              <w:t> </w:t>
            </w:r>
            <w:r>
              <w:rPr>
                <w:color w:val="231F20"/>
                <w:spacing w:val="-2"/>
                <w:sz w:val="15"/>
              </w:rPr>
              <w:t>herpes</w:t>
            </w:r>
            <w:r>
              <w:rPr>
                <w:color w:val="231F20"/>
                <w:spacing w:val="-9"/>
                <w:sz w:val="15"/>
              </w:rPr>
              <w:t> </w:t>
            </w:r>
            <w:r>
              <w:rPr>
                <w:color w:val="231F20"/>
                <w:spacing w:val="-2"/>
                <w:sz w:val="15"/>
              </w:rPr>
              <w:t>simplex virus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As</w:t>
            </w:r>
            <w:r>
              <w:rPr>
                <w:color w:val="231F20"/>
                <w:spacing w:val="-8"/>
                <w:sz w:val="15"/>
              </w:rPr>
              <w:t> </w:t>
            </w:r>
            <w:r>
              <w:rPr>
                <w:color w:val="231F20"/>
                <w:sz w:val="15"/>
              </w:rPr>
              <w:t>above;</w:t>
            </w:r>
            <w:r>
              <w:rPr>
                <w:color w:val="231F20"/>
                <w:spacing w:val="-8"/>
                <w:sz w:val="15"/>
              </w:rPr>
              <w:t> </w:t>
            </w:r>
            <w:r>
              <w:rPr>
                <w:color w:val="231F20"/>
                <w:sz w:val="15"/>
              </w:rPr>
              <w:t>may</w:t>
            </w:r>
            <w:r>
              <w:rPr>
                <w:color w:val="231F20"/>
                <w:spacing w:val="-8"/>
                <w:sz w:val="15"/>
              </w:rPr>
              <w:t> </w:t>
            </w:r>
            <w:r>
              <w:rPr>
                <w:color w:val="231F20"/>
                <w:sz w:val="15"/>
              </w:rPr>
              <w:t>be</w:t>
            </w:r>
            <w:r>
              <w:rPr>
                <w:color w:val="231F20"/>
                <w:spacing w:val="-8"/>
                <w:sz w:val="15"/>
              </w:rPr>
              <w:t> </w:t>
            </w:r>
            <w:r>
              <w:rPr>
                <w:color w:val="231F20"/>
                <w:sz w:val="15"/>
              </w:rPr>
              <w:t>hemorrhagic, </w:t>
            </w:r>
            <w:r>
              <w:rPr>
                <w:color w:val="231F20"/>
                <w:spacing w:val="-2"/>
                <w:sz w:val="15"/>
              </w:rPr>
              <w:t>unilateral</w:t>
            </w:r>
          </w:p>
        </w:tc>
        <w:tc>
          <w:tcPr>
            <w:tcW w:w="2435" w:type="dxa"/>
            <w:tcBorders>
              <w:top w:val="single" w:sz="4" w:space="0" w:color="FFFFFF"/>
              <w:bottom w:val="single" w:sz="4" w:space="0" w:color="FFFFFF"/>
            </w:tcBorders>
            <w:shd w:val="clear" w:color="auto" w:fill="E8F5F1"/>
          </w:tcPr>
          <w:p>
            <w:pPr>
              <w:pStyle w:val="TableParagraph"/>
              <w:spacing w:before="42"/>
              <w:ind w:left="148"/>
              <w:rPr>
                <w:sz w:val="15"/>
              </w:rPr>
            </w:pPr>
            <w:r>
              <w:rPr>
                <w:color w:val="231F20"/>
                <w:spacing w:val="-5"/>
                <w:sz w:val="15"/>
              </w:rPr>
              <w:t>Self-</w:t>
            </w:r>
            <w:r>
              <w:rPr>
                <w:color w:val="231F20"/>
                <w:spacing w:val="-2"/>
                <w:sz w:val="15"/>
              </w:rPr>
              <w:t>limited</w:t>
            </w:r>
          </w:p>
        </w:tc>
      </w:tr>
      <w:tr>
        <w:trPr>
          <w:trHeight w:val="420" w:hRule="atLeast"/>
        </w:trPr>
        <w:tc>
          <w:tcPr>
            <w:tcW w:w="1553" w:type="dxa"/>
            <w:tcBorders>
              <w:top w:val="single" w:sz="4" w:space="0" w:color="FFFFFF"/>
              <w:bottom w:val="single" w:sz="4" w:space="0" w:color="FFFFFF"/>
            </w:tcBorders>
            <w:shd w:val="clear" w:color="auto" w:fill="E8F5F1"/>
          </w:tcPr>
          <w:p>
            <w:pPr>
              <w:pStyle w:val="TableParagraph"/>
              <w:spacing w:line="230" w:lineRule="auto" w:before="48"/>
              <w:ind w:left="186" w:right="459" w:hanging="112"/>
              <w:rPr>
                <w:sz w:val="15"/>
              </w:rPr>
            </w:pPr>
            <w:r>
              <w:rPr>
                <w:color w:val="231F20"/>
                <w:spacing w:val="-2"/>
                <w:sz w:val="15"/>
              </w:rPr>
              <w:t>Neonatal </w:t>
            </w:r>
            <w:r>
              <w:rPr>
                <w:color w:val="231F20"/>
                <w:spacing w:val="-2"/>
                <w:w w:val="90"/>
                <w:sz w:val="15"/>
              </w:rPr>
              <w:t>conjunctivitis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hanging="112"/>
              <w:rPr>
                <w:i/>
                <w:sz w:val="15"/>
              </w:rPr>
            </w:pPr>
            <w:r>
              <w:rPr>
                <w:i/>
                <w:color w:val="231F20"/>
                <w:spacing w:val="-2"/>
                <w:sz w:val="15"/>
              </w:rPr>
              <w:t>Chlamydia</w:t>
            </w:r>
            <w:r>
              <w:rPr>
                <w:i/>
                <w:color w:val="231F20"/>
                <w:spacing w:val="-4"/>
                <w:sz w:val="15"/>
              </w:rPr>
              <w:t> </w:t>
            </w:r>
            <w:r>
              <w:rPr>
                <w:i/>
                <w:color w:val="231F20"/>
                <w:spacing w:val="-2"/>
                <w:sz w:val="15"/>
              </w:rPr>
              <w:t>trachomatis</w:t>
            </w:r>
            <w:r>
              <w:rPr>
                <w:color w:val="231F20"/>
                <w:spacing w:val="-2"/>
                <w:sz w:val="15"/>
              </w:rPr>
              <w:t>,</w:t>
            </w:r>
            <w:r>
              <w:rPr>
                <w:color w:val="231F20"/>
                <w:spacing w:val="-4"/>
                <w:sz w:val="15"/>
              </w:rPr>
              <w:t> </w:t>
            </w:r>
            <w:r>
              <w:rPr>
                <w:color w:val="231F20"/>
                <w:spacing w:val="-2"/>
                <w:sz w:val="15"/>
              </w:rPr>
              <w:t>gonococcus, </w:t>
            </w:r>
            <w:r>
              <w:rPr>
                <w:color w:val="231F20"/>
                <w:sz w:val="15"/>
              </w:rPr>
              <w:t>chemical</w:t>
            </w:r>
            <w:r>
              <w:rPr>
                <w:color w:val="231F20"/>
                <w:spacing w:val="-12"/>
                <w:sz w:val="15"/>
              </w:rPr>
              <w:t> </w:t>
            </w:r>
            <w:r>
              <w:rPr>
                <w:color w:val="231F20"/>
                <w:sz w:val="15"/>
              </w:rPr>
              <w:t>(silver</w:t>
            </w:r>
            <w:r>
              <w:rPr>
                <w:color w:val="231F20"/>
                <w:spacing w:val="-11"/>
                <w:sz w:val="15"/>
              </w:rPr>
              <w:t> </w:t>
            </w:r>
            <w:r>
              <w:rPr>
                <w:color w:val="231F20"/>
                <w:sz w:val="15"/>
              </w:rPr>
              <w:t>nitrate),</w:t>
            </w:r>
            <w:r>
              <w:rPr>
                <w:color w:val="231F20"/>
                <w:spacing w:val="-11"/>
                <w:sz w:val="15"/>
              </w:rPr>
              <w:t> </w:t>
            </w:r>
            <w:r>
              <w:rPr>
                <w:i/>
                <w:color w:val="231F20"/>
                <w:sz w:val="15"/>
              </w:rPr>
              <w:t>S.</w:t>
            </w:r>
            <w:r>
              <w:rPr>
                <w:i/>
                <w:color w:val="231F20"/>
                <w:spacing w:val="-12"/>
                <w:sz w:val="15"/>
              </w:rPr>
              <w:t> </w:t>
            </w:r>
            <w:r>
              <w:rPr>
                <w:i/>
                <w:color w:val="231F20"/>
                <w:sz w:val="15"/>
              </w:rPr>
              <w:t>aureus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pacing w:val="-4"/>
                <w:sz w:val="15"/>
              </w:rPr>
              <w:t>Palpebral conjunctival follicle </w:t>
            </w:r>
            <w:r>
              <w:rPr>
                <w:color w:val="231F20"/>
                <w:spacing w:val="-4"/>
                <w:sz w:val="15"/>
              </w:rPr>
              <w:t>or </w:t>
            </w:r>
            <w:r>
              <w:rPr>
                <w:color w:val="231F20"/>
                <w:sz w:val="15"/>
              </w:rPr>
              <w:t>papillae; as above</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i/>
                <w:sz w:val="15"/>
              </w:rPr>
            </w:pPr>
            <w:r>
              <w:rPr>
                <w:color w:val="231F20"/>
                <w:sz w:val="15"/>
              </w:rPr>
              <w:t>Ceftriaxone for gonococcus and </w:t>
            </w:r>
            <w:r>
              <w:rPr>
                <w:color w:val="231F20"/>
                <w:spacing w:val="-2"/>
                <w:sz w:val="15"/>
              </w:rPr>
              <w:t>erythromycin</w:t>
            </w:r>
            <w:r>
              <w:rPr>
                <w:color w:val="231F20"/>
                <w:spacing w:val="-5"/>
                <w:sz w:val="15"/>
              </w:rPr>
              <w:t> </w:t>
            </w:r>
            <w:r>
              <w:rPr>
                <w:color w:val="231F20"/>
                <w:spacing w:val="-2"/>
                <w:sz w:val="15"/>
              </w:rPr>
              <w:t>for</w:t>
            </w:r>
            <w:r>
              <w:rPr>
                <w:color w:val="231F20"/>
                <w:spacing w:val="-5"/>
                <w:sz w:val="15"/>
              </w:rPr>
              <w:t> </w:t>
            </w:r>
            <w:r>
              <w:rPr>
                <w:i/>
                <w:color w:val="231F20"/>
                <w:spacing w:val="-2"/>
                <w:sz w:val="15"/>
              </w:rPr>
              <w:t>C.</w:t>
            </w:r>
            <w:r>
              <w:rPr>
                <w:i/>
                <w:color w:val="231F20"/>
                <w:spacing w:val="-4"/>
                <w:sz w:val="15"/>
              </w:rPr>
              <w:t> </w:t>
            </w:r>
            <w:r>
              <w:rPr>
                <w:i/>
                <w:color w:val="231F20"/>
                <w:spacing w:val="-5"/>
                <w:sz w:val="15"/>
              </w:rPr>
              <w:t>trachomatis</w:t>
            </w:r>
          </w:p>
        </w:tc>
      </w:tr>
      <w:tr>
        <w:trPr>
          <w:trHeight w:val="588"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Allergic</w:t>
            </w:r>
            <w:r>
              <w:rPr>
                <w:color w:val="231F20"/>
                <w:spacing w:val="-5"/>
                <w:sz w:val="15"/>
              </w:rPr>
              <w:t> </w:t>
            </w:r>
            <w:r>
              <w:rPr>
                <w:color w:val="231F20"/>
                <w:spacing w:val="-2"/>
                <w:sz w:val="15"/>
              </w:rPr>
              <w:t>conjunctivitis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right="205" w:hanging="112"/>
              <w:rPr>
                <w:sz w:val="15"/>
              </w:rPr>
            </w:pPr>
            <w:r>
              <w:rPr>
                <w:color w:val="231F20"/>
                <w:sz w:val="15"/>
              </w:rPr>
              <w:t>Seasonal</w:t>
            </w:r>
            <w:r>
              <w:rPr>
                <w:color w:val="231F20"/>
                <w:spacing w:val="-9"/>
                <w:sz w:val="15"/>
              </w:rPr>
              <w:t> </w:t>
            </w:r>
            <w:r>
              <w:rPr>
                <w:color w:val="231F20"/>
                <w:sz w:val="15"/>
              </w:rPr>
              <w:t>pollens</w:t>
            </w:r>
            <w:r>
              <w:rPr>
                <w:color w:val="231F20"/>
                <w:spacing w:val="-9"/>
                <w:sz w:val="15"/>
              </w:rPr>
              <w:t> </w:t>
            </w:r>
            <w:r>
              <w:rPr>
                <w:color w:val="231F20"/>
                <w:sz w:val="15"/>
              </w:rPr>
              <w:t>or</w:t>
            </w:r>
            <w:r>
              <w:rPr>
                <w:color w:val="231F20"/>
                <w:spacing w:val="-9"/>
                <w:sz w:val="15"/>
              </w:rPr>
              <w:t> </w:t>
            </w:r>
            <w:r>
              <w:rPr>
                <w:color w:val="231F20"/>
                <w:sz w:val="15"/>
              </w:rPr>
              <w:t>allergen </w:t>
            </w:r>
            <w:r>
              <w:rPr>
                <w:color w:val="231F20"/>
                <w:spacing w:val="-2"/>
                <w:sz w:val="15"/>
              </w:rPr>
              <w:t>exposure</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Itching, incidence of bilateral </w:t>
            </w:r>
            <w:r>
              <w:rPr>
                <w:color w:val="231F20"/>
                <w:spacing w:val="-2"/>
                <w:sz w:val="15"/>
              </w:rPr>
              <w:t>chemosis</w:t>
            </w:r>
            <w:r>
              <w:rPr>
                <w:color w:val="231F20"/>
                <w:spacing w:val="-6"/>
                <w:sz w:val="15"/>
              </w:rPr>
              <w:t> </w:t>
            </w:r>
            <w:r>
              <w:rPr>
                <w:color w:val="231F20"/>
                <w:spacing w:val="-2"/>
                <w:sz w:val="15"/>
              </w:rPr>
              <w:t>(edema)</w:t>
            </w:r>
            <w:r>
              <w:rPr>
                <w:color w:val="231F20"/>
                <w:spacing w:val="-6"/>
                <w:sz w:val="15"/>
              </w:rPr>
              <w:t> </w:t>
            </w:r>
            <w:r>
              <w:rPr>
                <w:color w:val="231F20"/>
                <w:spacing w:val="-2"/>
                <w:sz w:val="15"/>
              </w:rPr>
              <w:t>greater</w:t>
            </w:r>
            <w:r>
              <w:rPr>
                <w:color w:val="231F20"/>
                <w:spacing w:val="-6"/>
                <w:sz w:val="15"/>
              </w:rPr>
              <w:t> </w:t>
            </w:r>
            <w:r>
              <w:rPr>
                <w:color w:val="231F20"/>
                <w:spacing w:val="-2"/>
                <w:sz w:val="15"/>
              </w:rPr>
              <w:t>than</w:t>
            </w:r>
            <w:r>
              <w:rPr>
                <w:color w:val="231F20"/>
                <w:spacing w:val="-6"/>
                <w:sz w:val="15"/>
              </w:rPr>
              <w:t> </w:t>
            </w:r>
            <w:r>
              <w:rPr>
                <w:color w:val="231F20"/>
                <w:spacing w:val="-2"/>
                <w:sz w:val="15"/>
              </w:rPr>
              <w:t>that </w:t>
            </w:r>
            <w:r>
              <w:rPr>
                <w:color w:val="231F20"/>
                <w:sz w:val="15"/>
              </w:rPr>
              <w:t>of erythema, tarsal papillae</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2"/>
                <w:sz w:val="15"/>
              </w:rPr>
              <w:t>Antihistamines,</w:t>
            </w:r>
            <w:r>
              <w:rPr>
                <w:color w:val="231F20"/>
                <w:spacing w:val="-10"/>
                <w:sz w:val="15"/>
              </w:rPr>
              <w:t> </w:t>
            </w:r>
            <w:r>
              <w:rPr>
                <w:color w:val="231F20"/>
                <w:spacing w:val="-2"/>
                <w:sz w:val="15"/>
              </w:rPr>
              <w:t>topical</w:t>
            </w:r>
            <w:r>
              <w:rPr>
                <w:color w:val="231F20"/>
                <w:spacing w:val="-9"/>
                <w:sz w:val="15"/>
              </w:rPr>
              <w:t> </w:t>
            </w:r>
            <w:r>
              <w:rPr>
                <w:color w:val="231F20"/>
                <w:spacing w:val="-2"/>
                <w:sz w:val="15"/>
              </w:rPr>
              <w:t>mast</w:t>
            </w:r>
            <w:r>
              <w:rPr>
                <w:color w:val="231F20"/>
                <w:spacing w:val="-9"/>
                <w:sz w:val="15"/>
              </w:rPr>
              <w:t> </w:t>
            </w:r>
            <w:r>
              <w:rPr>
                <w:color w:val="231F20"/>
                <w:spacing w:val="-2"/>
                <w:sz w:val="15"/>
              </w:rPr>
              <w:t>cell </w:t>
            </w:r>
            <w:r>
              <w:rPr>
                <w:color w:val="231F20"/>
                <w:sz w:val="15"/>
              </w:rPr>
              <w:t>stabilizers or prostaglandin inhibitors, steroids</w:t>
            </w:r>
          </w:p>
        </w:tc>
      </w:tr>
      <w:tr>
        <w:trPr>
          <w:trHeight w:val="756"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Keratitis</w:t>
            </w:r>
          </w:p>
        </w:tc>
        <w:tc>
          <w:tcPr>
            <w:tcW w:w="2874" w:type="dxa"/>
            <w:tcBorders>
              <w:top w:val="single" w:sz="4" w:space="0" w:color="FFFFFF"/>
              <w:bottom w:val="single" w:sz="4" w:space="0" w:color="FFFFFF"/>
            </w:tcBorders>
            <w:shd w:val="clear" w:color="auto" w:fill="E8F5F1"/>
          </w:tcPr>
          <w:p>
            <w:pPr>
              <w:pStyle w:val="TableParagraph"/>
              <w:spacing w:line="171" w:lineRule="exact" w:before="42"/>
              <w:ind w:left="277"/>
              <w:rPr>
                <w:sz w:val="15"/>
              </w:rPr>
            </w:pPr>
            <w:r>
              <w:rPr>
                <w:color w:val="231F20"/>
                <w:sz w:val="15"/>
              </w:rPr>
              <w:t>Herpes</w:t>
            </w:r>
            <w:r>
              <w:rPr>
                <w:color w:val="231F20"/>
                <w:spacing w:val="-8"/>
                <w:sz w:val="15"/>
              </w:rPr>
              <w:t> </w:t>
            </w:r>
            <w:r>
              <w:rPr>
                <w:color w:val="231F20"/>
                <w:sz w:val="15"/>
              </w:rPr>
              <w:t>simplex</w:t>
            </w:r>
            <w:r>
              <w:rPr>
                <w:color w:val="231F20"/>
                <w:spacing w:val="-7"/>
                <w:sz w:val="15"/>
              </w:rPr>
              <w:t> </w:t>
            </w:r>
            <w:r>
              <w:rPr>
                <w:color w:val="231F20"/>
                <w:sz w:val="15"/>
              </w:rPr>
              <w:t>virus,</w:t>
            </w:r>
            <w:r>
              <w:rPr>
                <w:color w:val="231F20"/>
                <w:spacing w:val="-7"/>
                <w:sz w:val="15"/>
              </w:rPr>
              <w:t> </w:t>
            </w:r>
            <w:r>
              <w:rPr>
                <w:color w:val="231F20"/>
                <w:spacing w:val="-2"/>
                <w:sz w:val="15"/>
              </w:rPr>
              <w:t>adenovirus,</w:t>
            </w:r>
          </w:p>
          <w:p>
            <w:pPr>
              <w:pStyle w:val="TableParagraph"/>
              <w:spacing w:line="230" w:lineRule="auto" w:before="2"/>
              <w:ind w:left="389"/>
              <w:rPr>
                <w:sz w:val="15"/>
              </w:rPr>
            </w:pPr>
            <w:r>
              <w:rPr>
                <w:i/>
                <w:color w:val="231F20"/>
                <w:sz w:val="15"/>
              </w:rPr>
              <w:t>S. pneumoniae, S. aureus, Pseudomonas,</w:t>
            </w:r>
            <w:r>
              <w:rPr>
                <w:i/>
                <w:color w:val="231F20"/>
                <w:spacing w:val="-12"/>
                <w:sz w:val="15"/>
              </w:rPr>
              <w:t> </w:t>
            </w:r>
            <w:r>
              <w:rPr>
                <w:i/>
                <w:color w:val="231F20"/>
                <w:sz w:val="15"/>
              </w:rPr>
              <w:t>Acanthamoeba</w:t>
            </w:r>
            <w:r>
              <w:rPr>
                <w:color w:val="231F20"/>
                <w:sz w:val="15"/>
              </w:rPr>
              <w:t>,</w:t>
            </w:r>
            <w:r>
              <w:rPr>
                <w:color w:val="231F20"/>
                <w:sz w:val="15"/>
              </w:rPr>
              <w:t> </w:t>
            </w:r>
            <w:r>
              <w:rPr>
                <w:color w:val="231F20"/>
                <w:spacing w:val="-2"/>
                <w:sz w:val="15"/>
              </w:rPr>
              <w:t>chemicals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Severe pain, corneal swelling, clouding, limbus erythema, </w:t>
            </w:r>
            <w:r>
              <w:rPr>
                <w:color w:val="231F20"/>
                <w:spacing w:val="-2"/>
                <w:sz w:val="15"/>
              </w:rPr>
              <w:t>hypopyon,</w:t>
            </w:r>
            <w:r>
              <w:rPr>
                <w:color w:val="231F20"/>
                <w:spacing w:val="-10"/>
                <w:sz w:val="15"/>
              </w:rPr>
              <w:t> </w:t>
            </w:r>
            <w:r>
              <w:rPr>
                <w:color w:val="231F20"/>
                <w:spacing w:val="-2"/>
                <w:sz w:val="15"/>
              </w:rPr>
              <w:t>cataracts;</w:t>
            </w:r>
            <w:r>
              <w:rPr>
                <w:color w:val="231F20"/>
                <w:spacing w:val="-9"/>
                <w:sz w:val="15"/>
              </w:rPr>
              <w:t> </w:t>
            </w:r>
            <w:r>
              <w:rPr>
                <w:color w:val="231F20"/>
                <w:spacing w:val="-2"/>
                <w:sz w:val="15"/>
              </w:rPr>
              <w:t>contact</w:t>
            </w:r>
            <w:r>
              <w:rPr>
                <w:color w:val="231F20"/>
                <w:spacing w:val="-9"/>
                <w:sz w:val="15"/>
              </w:rPr>
              <w:t> </w:t>
            </w:r>
            <w:r>
              <w:rPr>
                <w:color w:val="231F20"/>
                <w:spacing w:val="-2"/>
                <w:sz w:val="15"/>
              </w:rPr>
              <w:t>lens </w:t>
            </w:r>
            <w:r>
              <w:rPr>
                <w:color w:val="231F20"/>
                <w:sz w:val="15"/>
              </w:rPr>
              <w:t>history with amebic infection</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right="137" w:hanging="112"/>
              <w:jc w:val="both"/>
              <w:rPr>
                <w:sz w:val="15"/>
              </w:rPr>
            </w:pPr>
            <w:r>
              <w:rPr>
                <w:color w:val="231F20"/>
                <w:spacing w:val="-4"/>
                <w:sz w:val="15"/>
              </w:rPr>
              <w:t>Specific antibiotics for </w:t>
            </w:r>
            <w:r>
              <w:rPr>
                <w:color w:val="231F20"/>
                <w:spacing w:val="-4"/>
                <w:sz w:val="15"/>
              </w:rPr>
              <w:t>bacterial/ fungal infections; keratoplasty, </w:t>
            </w:r>
            <w:r>
              <w:rPr>
                <w:color w:val="231F20"/>
                <w:sz w:val="15"/>
              </w:rPr>
              <w:t>acyclovir for herpes</w:t>
            </w:r>
          </w:p>
        </w:tc>
      </w:tr>
      <w:tr>
        <w:trPr>
          <w:trHeight w:val="588"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Endophthalmitis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hanging="112"/>
              <w:rPr>
                <w:sz w:val="15"/>
              </w:rPr>
            </w:pPr>
            <w:r>
              <w:rPr>
                <w:i/>
                <w:color w:val="231F20"/>
                <w:sz w:val="15"/>
              </w:rPr>
              <w:t>S.</w:t>
            </w:r>
            <w:r>
              <w:rPr>
                <w:i/>
                <w:color w:val="231F20"/>
                <w:spacing w:val="-12"/>
                <w:sz w:val="15"/>
              </w:rPr>
              <w:t> </w:t>
            </w:r>
            <w:r>
              <w:rPr>
                <w:i/>
                <w:color w:val="231F20"/>
                <w:sz w:val="15"/>
              </w:rPr>
              <w:t>aureus,</w:t>
            </w:r>
            <w:r>
              <w:rPr>
                <w:i/>
                <w:color w:val="231F20"/>
                <w:spacing w:val="-11"/>
                <w:sz w:val="15"/>
              </w:rPr>
              <w:t> </w:t>
            </w:r>
            <w:r>
              <w:rPr>
                <w:i/>
                <w:color w:val="231F20"/>
                <w:sz w:val="15"/>
              </w:rPr>
              <w:t>S.</w:t>
            </w:r>
            <w:r>
              <w:rPr>
                <w:i/>
                <w:color w:val="231F20"/>
                <w:spacing w:val="-11"/>
                <w:sz w:val="15"/>
              </w:rPr>
              <w:t> </w:t>
            </w:r>
            <w:r>
              <w:rPr>
                <w:i/>
                <w:color w:val="231F20"/>
                <w:sz w:val="15"/>
              </w:rPr>
              <w:t>pneumoniae,</w:t>
            </w:r>
            <w:r>
              <w:rPr>
                <w:i/>
                <w:color w:val="231F20"/>
                <w:spacing w:val="-12"/>
                <w:sz w:val="15"/>
              </w:rPr>
              <w:t> </w:t>
            </w:r>
            <w:r>
              <w:rPr>
                <w:i/>
                <w:color w:val="231F20"/>
                <w:sz w:val="15"/>
              </w:rPr>
              <w:t>Candida</w:t>
            </w:r>
            <w:r>
              <w:rPr>
                <w:i/>
                <w:color w:val="231F20"/>
                <w:sz w:val="15"/>
              </w:rPr>
              <w:t> albicans</w:t>
            </w:r>
            <w:r>
              <w:rPr>
                <w:color w:val="231F20"/>
                <w:sz w:val="15"/>
              </w:rPr>
              <w:t>, associated surgery or </w:t>
            </w:r>
            <w:r>
              <w:rPr>
                <w:color w:val="231F20"/>
                <w:spacing w:val="-2"/>
                <w:sz w:val="15"/>
              </w:rPr>
              <w:t>trauma</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Acute</w:t>
            </w:r>
            <w:r>
              <w:rPr>
                <w:color w:val="231F20"/>
                <w:spacing w:val="-12"/>
                <w:sz w:val="15"/>
              </w:rPr>
              <w:t> </w:t>
            </w:r>
            <w:r>
              <w:rPr>
                <w:color w:val="231F20"/>
                <w:sz w:val="15"/>
              </w:rPr>
              <w:t>onset,</w:t>
            </w:r>
            <w:r>
              <w:rPr>
                <w:color w:val="231F20"/>
                <w:spacing w:val="-11"/>
                <w:sz w:val="15"/>
              </w:rPr>
              <w:t> </w:t>
            </w:r>
            <w:r>
              <w:rPr>
                <w:color w:val="231F20"/>
                <w:sz w:val="15"/>
              </w:rPr>
              <w:t>pain,</w:t>
            </w:r>
            <w:r>
              <w:rPr>
                <w:color w:val="231F20"/>
                <w:spacing w:val="-11"/>
                <w:sz w:val="15"/>
              </w:rPr>
              <w:t> </w:t>
            </w:r>
            <w:r>
              <w:rPr>
                <w:color w:val="231F20"/>
                <w:sz w:val="15"/>
              </w:rPr>
              <w:t>loss</w:t>
            </w:r>
            <w:r>
              <w:rPr>
                <w:color w:val="231F20"/>
                <w:spacing w:val="-12"/>
                <w:sz w:val="15"/>
              </w:rPr>
              <w:t> </w:t>
            </w:r>
            <w:r>
              <w:rPr>
                <w:color w:val="231F20"/>
                <w:sz w:val="15"/>
              </w:rPr>
              <w:t>of</w:t>
            </w:r>
            <w:r>
              <w:rPr>
                <w:color w:val="231F20"/>
                <w:spacing w:val="-11"/>
                <w:sz w:val="15"/>
              </w:rPr>
              <w:t> </w:t>
            </w:r>
            <w:r>
              <w:rPr>
                <w:color w:val="231F20"/>
                <w:sz w:val="15"/>
              </w:rPr>
              <w:t>vision, swelling, chemosis, redness; hypopyon and vitreous haze</w:t>
            </w:r>
          </w:p>
        </w:tc>
        <w:tc>
          <w:tcPr>
            <w:tcW w:w="2435" w:type="dxa"/>
            <w:tcBorders>
              <w:top w:val="single" w:sz="4" w:space="0" w:color="FFFFFF"/>
              <w:bottom w:val="single" w:sz="4" w:space="0" w:color="FFFFFF"/>
            </w:tcBorders>
            <w:shd w:val="clear" w:color="auto" w:fill="E8F5F1"/>
          </w:tcPr>
          <w:p>
            <w:pPr>
              <w:pStyle w:val="TableParagraph"/>
              <w:spacing w:before="42"/>
              <w:ind w:left="148"/>
              <w:rPr>
                <w:sz w:val="15"/>
              </w:rPr>
            </w:pPr>
            <w:r>
              <w:rPr>
                <w:color w:val="231F20"/>
                <w:spacing w:val="-2"/>
                <w:sz w:val="15"/>
              </w:rPr>
              <w:t>Antibiotics</w:t>
            </w:r>
          </w:p>
        </w:tc>
      </w:tr>
      <w:tr>
        <w:trPr>
          <w:trHeight w:val="756" w:hRule="atLeast"/>
        </w:trPr>
        <w:tc>
          <w:tcPr>
            <w:tcW w:w="1553" w:type="dxa"/>
            <w:tcBorders>
              <w:top w:val="single" w:sz="4" w:space="0" w:color="FFFFFF"/>
              <w:bottom w:val="single" w:sz="4" w:space="0" w:color="FFFFFF"/>
            </w:tcBorders>
            <w:shd w:val="clear" w:color="auto" w:fill="E8F5F1"/>
          </w:tcPr>
          <w:p>
            <w:pPr>
              <w:pStyle w:val="TableParagraph"/>
              <w:spacing w:line="230" w:lineRule="auto" w:before="48"/>
              <w:ind w:left="186" w:right="459" w:hanging="112"/>
              <w:rPr>
                <w:sz w:val="15"/>
              </w:rPr>
            </w:pPr>
            <w:r>
              <w:rPr>
                <w:color w:val="231F20"/>
                <w:spacing w:val="-2"/>
                <w:sz w:val="15"/>
              </w:rPr>
              <w:t>Anterior</w:t>
            </w:r>
            <w:r>
              <w:rPr>
                <w:color w:val="231F20"/>
                <w:spacing w:val="-10"/>
                <w:sz w:val="15"/>
              </w:rPr>
              <w:t> </w:t>
            </w:r>
            <w:r>
              <w:rPr>
                <w:color w:val="231F20"/>
                <w:spacing w:val="-2"/>
                <w:sz w:val="15"/>
              </w:rPr>
              <w:t>uveitis (iridocyclitis)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hanging="112"/>
              <w:rPr>
                <w:sz w:val="15"/>
              </w:rPr>
            </w:pPr>
            <w:r>
              <w:rPr>
                <w:color w:val="231F20"/>
                <w:spacing w:val="-2"/>
                <w:sz w:val="15"/>
              </w:rPr>
              <w:t>JIA,</w:t>
            </w:r>
            <w:r>
              <w:rPr>
                <w:color w:val="231F20"/>
                <w:spacing w:val="-10"/>
                <w:sz w:val="15"/>
              </w:rPr>
              <w:t> </w:t>
            </w:r>
            <w:r>
              <w:rPr>
                <w:color w:val="231F20"/>
                <w:spacing w:val="-2"/>
                <w:sz w:val="15"/>
              </w:rPr>
              <w:t>postinfectious</w:t>
            </w:r>
            <w:r>
              <w:rPr>
                <w:color w:val="231F20"/>
                <w:spacing w:val="-9"/>
                <w:sz w:val="15"/>
              </w:rPr>
              <w:t> </w:t>
            </w:r>
            <w:r>
              <w:rPr>
                <w:color w:val="231F20"/>
                <w:spacing w:val="-2"/>
                <w:sz w:val="15"/>
              </w:rPr>
              <w:t>with</w:t>
            </w:r>
            <w:r>
              <w:rPr>
                <w:color w:val="231F20"/>
                <w:spacing w:val="-9"/>
                <w:sz w:val="15"/>
              </w:rPr>
              <w:t> </w:t>
            </w:r>
            <w:r>
              <w:rPr>
                <w:color w:val="231F20"/>
                <w:spacing w:val="-2"/>
                <w:sz w:val="15"/>
              </w:rPr>
              <w:t>arthritis</w:t>
            </w:r>
            <w:r>
              <w:rPr>
                <w:color w:val="231F20"/>
                <w:spacing w:val="-10"/>
                <w:sz w:val="15"/>
              </w:rPr>
              <w:t> </w:t>
            </w:r>
            <w:r>
              <w:rPr>
                <w:color w:val="231F20"/>
                <w:spacing w:val="-2"/>
                <w:sz w:val="15"/>
              </w:rPr>
              <w:t>and </w:t>
            </w:r>
            <w:r>
              <w:rPr>
                <w:color w:val="231F20"/>
                <w:sz w:val="15"/>
              </w:rPr>
              <w:t>rash,</w:t>
            </w:r>
            <w:r>
              <w:rPr>
                <w:color w:val="231F20"/>
                <w:spacing w:val="-7"/>
                <w:sz w:val="15"/>
              </w:rPr>
              <w:t> </w:t>
            </w:r>
            <w:r>
              <w:rPr>
                <w:color w:val="231F20"/>
                <w:sz w:val="15"/>
              </w:rPr>
              <w:t>sarcoidosis,</w:t>
            </w:r>
            <w:r>
              <w:rPr>
                <w:color w:val="231F20"/>
                <w:spacing w:val="-7"/>
                <w:sz w:val="15"/>
              </w:rPr>
              <w:t> </w:t>
            </w:r>
            <w:r>
              <w:rPr>
                <w:color w:val="231F20"/>
                <w:sz w:val="15"/>
              </w:rPr>
              <w:t>Behçet</w:t>
            </w:r>
            <w:r>
              <w:rPr>
                <w:color w:val="231F20"/>
                <w:spacing w:val="-7"/>
                <w:sz w:val="15"/>
              </w:rPr>
              <w:t> </w:t>
            </w:r>
            <w:r>
              <w:rPr>
                <w:color w:val="231F20"/>
                <w:sz w:val="15"/>
              </w:rPr>
              <w:t>disease, Kawasaki disease, inflammatory bowel disease</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159" w:hanging="112"/>
              <w:rPr>
                <w:sz w:val="15"/>
              </w:rPr>
            </w:pPr>
            <w:r>
              <w:rPr>
                <w:color w:val="231F20"/>
                <w:sz w:val="15"/>
              </w:rPr>
              <w:t>Unilateral/bilateral;</w:t>
            </w:r>
            <w:r>
              <w:rPr>
                <w:color w:val="231F20"/>
                <w:spacing w:val="-12"/>
                <w:sz w:val="15"/>
              </w:rPr>
              <w:t> </w:t>
            </w:r>
            <w:r>
              <w:rPr>
                <w:color w:val="231F20"/>
                <w:sz w:val="15"/>
              </w:rPr>
              <w:t>erythema,</w:t>
            </w:r>
            <w:r>
              <w:rPr>
                <w:color w:val="231F20"/>
                <w:spacing w:val="-11"/>
                <w:sz w:val="15"/>
              </w:rPr>
              <w:t> </w:t>
            </w:r>
            <w:r>
              <w:rPr>
                <w:color w:val="231F20"/>
                <w:sz w:val="15"/>
              </w:rPr>
              <w:t>ciliary flush,</w:t>
            </w:r>
            <w:r>
              <w:rPr>
                <w:color w:val="231F20"/>
                <w:spacing w:val="-7"/>
                <w:sz w:val="15"/>
              </w:rPr>
              <w:t> </w:t>
            </w:r>
            <w:r>
              <w:rPr>
                <w:color w:val="231F20"/>
                <w:sz w:val="15"/>
              </w:rPr>
              <w:t>irregular</w:t>
            </w:r>
            <w:r>
              <w:rPr>
                <w:color w:val="231F20"/>
                <w:spacing w:val="-7"/>
                <w:sz w:val="15"/>
              </w:rPr>
              <w:t> </w:t>
            </w:r>
            <w:r>
              <w:rPr>
                <w:color w:val="231F20"/>
                <w:sz w:val="15"/>
              </w:rPr>
              <w:t>pupil,</w:t>
            </w:r>
            <w:r>
              <w:rPr>
                <w:color w:val="231F20"/>
                <w:spacing w:val="-7"/>
                <w:sz w:val="15"/>
              </w:rPr>
              <w:t> </w:t>
            </w:r>
            <w:r>
              <w:rPr>
                <w:color w:val="231F20"/>
                <w:sz w:val="15"/>
              </w:rPr>
              <w:t>iris</w:t>
            </w:r>
            <w:r>
              <w:rPr>
                <w:color w:val="231F20"/>
                <w:spacing w:val="-7"/>
                <w:sz w:val="15"/>
              </w:rPr>
              <w:t> </w:t>
            </w:r>
            <w:r>
              <w:rPr>
                <w:color w:val="231F20"/>
                <w:sz w:val="15"/>
              </w:rPr>
              <w:t>adhesions; pain,</w:t>
            </w:r>
            <w:r>
              <w:rPr>
                <w:color w:val="231F20"/>
                <w:spacing w:val="-12"/>
                <w:sz w:val="15"/>
              </w:rPr>
              <w:t> </w:t>
            </w:r>
            <w:r>
              <w:rPr>
                <w:color w:val="231F20"/>
                <w:sz w:val="15"/>
              </w:rPr>
              <w:t>photophobia,</w:t>
            </w:r>
            <w:r>
              <w:rPr>
                <w:color w:val="231F20"/>
                <w:spacing w:val="-11"/>
                <w:sz w:val="15"/>
              </w:rPr>
              <w:t> </w:t>
            </w:r>
            <w:r>
              <w:rPr>
                <w:color w:val="231F20"/>
                <w:sz w:val="15"/>
              </w:rPr>
              <w:t>small</w:t>
            </w:r>
            <w:r>
              <w:rPr>
                <w:color w:val="231F20"/>
                <w:spacing w:val="-11"/>
                <w:sz w:val="15"/>
              </w:rPr>
              <w:t> </w:t>
            </w:r>
            <w:r>
              <w:rPr>
                <w:color w:val="231F20"/>
                <w:sz w:val="15"/>
              </w:rPr>
              <w:t>pupil,</w:t>
            </w:r>
            <w:r>
              <w:rPr>
                <w:color w:val="231F20"/>
                <w:spacing w:val="-12"/>
                <w:sz w:val="15"/>
              </w:rPr>
              <w:t> </w:t>
            </w:r>
            <w:r>
              <w:rPr>
                <w:color w:val="231F20"/>
                <w:sz w:val="15"/>
              </w:rPr>
              <w:t>poor </w:t>
            </w:r>
            <w:r>
              <w:rPr>
                <w:color w:val="231F20"/>
                <w:spacing w:val="-2"/>
                <w:sz w:val="15"/>
              </w:rPr>
              <w:t>vision</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2"/>
                <w:sz w:val="15"/>
              </w:rPr>
              <w:t>Topical</w:t>
            </w:r>
            <w:r>
              <w:rPr>
                <w:color w:val="231F20"/>
                <w:spacing w:val="-5"/>
                <w:sz w:val="15"/>
              </w:rPr>
              <w:t> </w:t>
            </w:r>
            <w:r>
              <w:rPr>
                <w:color w:val="231F20"/>
                <w:spacing w:val="-2"/>
                <w:sz w:val="15"/>
              </w:rPr>
              <w:t>steroids,</w:t>
            </w:r>
            <w:r>
              <w:rPr>
                <w:color w:val="231F20"/>
                <w:spacing w:val="-5"/>
                <w:sz w:val="15"/>
              </w:rPr>
              <w:t> </w:t>
            </w:r>
            <w:r>
              <w:rPr>
                <w:color w:val="231F20"/>
                <w:spacing w:val="-2"/>
                <w:sz w:val="15"/>
              </w:rPr>
              <w:t>plus</w:t>
            </w:r>
            <w:r>
              <w:rPr>
                <w:color w:val="231F20"/>
                <w:spacing w:val="-5"/>
                <w:sz w:val="15"/>
              </w:rPr>
              <w:t> </w:t>
            </w:r>
            <w:r>
              <w:rPr>
                <w:color w:val="231F20"/>
                <w:spacing w:val="-2"/>
                <w:sz w:val="15"/>
              </w:rPr>
              <w:t>therapy</w:t>
            </w:r>
            <w:r>
              <w:rPr>
                <w:color w:val="231F20"/>
                <w:spacing w:val="-5"/>
                <w:sz w:val="15"/>
              </w:rPr>
              <w:t> </w:t>
            </w:r>
            <w:r>
              <w:rPr>
                <w:color w:val="231F20"/>
                <w:spacing w:val="-2"/>
                <w:sz w:val="15"/>
              </w:rPr>
              <w:t>for </w:t>
            </w:r>
            <w:r>
              <w:rPr>
                <w:color w:val="231F20"/>
                <w:sz w:val="15"/>
              </w:rPr>
              <w:t>primary disease</w:t>
            </w:r>
          </w:p>
        </w:tc>
      </w:tr>
      <w:tr>
        <w:trPr>
          <w:trHeight w:val="420" w:hRule="atLeast"/>
        </w:trPr>
        <w:tc>
          <w:tcPr>
            <w:tcW w:w="1553" w:type="dxa"/>
            <w:tcBorders>
              <w:top w:val="single" w:sz="4" w:space="0" w:color="FFFFFF"/>
              <w:bottom w:val="single" w:sz="4" w:space="0" w:color="FFFFFF"/>
            </w:tcBorders>
            <w:shd w:val="clear" w:color="auto" w:fill="E8F5F1"/>
          </w:tcPr>
          <w:p>
            <w:pPr>
              <w:pStyle w:val="TableParagraph"/>
              <w:spacing w:line="230" w:lineRule="auto" w:before="48"/>
              <w:ind w:left="186" w:right="406" w:hanging="112"/>
              <w:rPr>
                <w:sz w:val="15"/>
              </w:rPr>
            </w:pPr>
            <w:r>
              <w:rPr>
                <w:color w:val="231F20"/>
                <w:spacing w:val="-2"/>
                <w:sz w:val="15"/>
              </w:rPr>
              <w:t>Posterior</w:t>
            </w:r>
            <w:r>
              <w:rPr>
                <w:color w:val="231F20"/>
                <w:spacing w:val="-10"/>
                <w:sz w:val="15"/>
              </w:rPr>
              <w:t> </w:t>
            </w:r>
            <w:r>
              <w:rPr>
                <w:color w:val="231F20"/>
                <w:spacing w:val="-2"/>
                <w:sz w:val="15"/>
              </w:rPr>
              <w:t>uveitis (choroiditis)</w:t>
            </w:r>
          </w:p>
        </w:tc>
        <w:tc>
          <w:tcPr>
            <w:tcW w:w="2874" w:type="dxa"/>
            <w:tcBorders>
              <w:top w:val="single" w:sz="4" w:space="0" w:color="FFFFFF"/>
              <w:bottom w:val="single" w:sz="4" w:space="0" w:color="FFFFFF"/>
            </w:tcBorders>
            <w:shd w:val="clear" w:color="auto" w:fill="E8F5F1"/>
          </w:tcPr>
          <w:p>
            <w:pPr>
              <w:pStyle w:val="TableParagraph"/>
              <w:spacing w:line="171" w:lineRule="exact" w:before="42"/>
              <w:ind w:left="277"/>
              <w:rPr>
                <w:sz w:val="15"/>
              </w:rPr>
            </w:pPr>
            <w:r>
              <w:rPr>
                <w:color w:val="231F20"/>
                <w:sz w:val="15"/>
              </w:rPr>
              <w:t>Toxoplasmosis,</w:t>
            </w:r>
            <w:r>
              <w:rPr>
                <w:color w:val="231F20"/>
                <w:spacing w:val="1"/>
                <w:sz w:val="15"/>
              </w:rPr>
              <w:t> </w:t>
            </w:r>
            <w:r>
              <w:rPr>
                <w:color w:val="231F20"/>
                <w:spacing w:val="-2"/>
                <w:sz w:val="15"/>
              </w:rPr>
              <w:t>histoplasmosis,</w:t>
            </w:r>
          </w:p>
          <w:p>
            <w:pPr>
              <w:pStyle w:val="TableParagraph"/>
              <w:spacing w:line="171" w:lineRule="exact"/>
              <w:ind w:left="389"/>
              <w:rPr>
                <w:i/>
                <w:sz w:val="15"/>
              </w:rPr>
            </w:pPr>
            <w:r>
              <w:rPr>
                <w:i/>
                <w:color w:val="231F20"/>
                <w:sz w:val="15"/>
              </w:rPr>
              <w:t>Toxocara</w:t>
            </w:r>
            <w:r>
              <w:rPr>
                <w:i/>
                <w:color w:val="231F20"/>
                <w:spacing w:val="-6"/>
                <w:sz w:val="15"/>
              </w:rPr>
              <w:t> </w:t>
            </w:r>
            <w:r>
              <w:rPr>
                <w:i/>
                <w:color w:val="231F20"/>
                <w:spacing w:val="-2"/>
                <w:sz w:val="15"/>
              </w:rPr>
              <w:t>canis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No</w:t>
            </w:r>
            <w:r>
              <w:rPr>
                <w:color w:val="231F20"/>
                <w:spacing w:val="-4"/>
                <w:sz w:val="15"/>
              </w:rPr>
              <w:t> </w:t>
            </w:r>
            <w:r>
              <w:rPr>
                <w:color w:val="231F20"/>
                <w:sz w:val="15"/>
              </w:rPr>
              <w:t>signs</w:t>
            </w:r>
            <w:r>
              <w:rPr>
                <w:color w:val="231F20"/>
                <w:spacing w:val="-4"/>
                <w:sz w:val="15"/>
              </w:rPr>
              <w:t> </w:t>
            </w:r>
            <w:r>
              <w:rPr>
                <w:color w:val="231F20"/>
                <w:sz w:val="15"/>
              </w:rPr>
              <w:t>of</w:t>
            </w:r>
            <w:r>
              <w:rPr>
                <w:color w:val="231F20"/>
                <w:spacing w:val="-4"/>
                <w:sz w:val="15"/>
              </w:rPr>
              <w:t> </w:t>
            </w:r>
            <w:r>
              <w:rPr>
                <w:color w:val="231F20"/>
                <w:sz w:val="15"/>
              </w:rPr>
              <w:t>erythema,</w:t>
            </w:r>
            <w:r>
              <w:rPr>
                <w:color w:val="231F20"/>
                <w:spacing w:val="-4"/>
                <w:sz w:val="15"/>
              </w:rPr>
              <w:t> </w:t>
            </w:r>
            <w:r>
              <w:rPr>
                <w:color w:val="231F20"/>
                <w:sz w:val="15"/>
              </w:rPr>
              <w:t>decreased </w:t>
            </w:r>
            <w:r>
              <w:rPr>
                <w:color w:val="231F20"/>
                <w:spacing w:val="-2"/>
                <w:sz w:val="15"/>
              </w:rPr>
              <w:t>vision</w:t>
            </w:r>
          </w:p>
        </w:tc>
        <w:tc>
          <w:tcPr>
            <w:tcW w:w="2435" w:type="dxa"/>
            <w:tcBorders>
              <w:top w:val="single" w:sz="4" w:space="0" w:color="FFFFFF"/>
              <w:bottom w:val="single" w:sz="4" w:space="0" w:color="FFFFFF"/>
            </w:tcBorders>
            <w:shd w:val="clear" w:color="auto" w:fill="E8F5F1"/>
          </w:tcPr>
          <w:p>
            <w:pPr>
              <w:pStyle w:val="TableParagraph"/>
              <w:spacing w:before="42"/>
              <w:ind w:left="148"/>
              <w:rPr>
                <w:sz w:val="15"/>
              </w:rPr>
            </w:pPr>
            <w:r>
              <w:rPr>
                <w:color w:val="231F20"/>
                <w:spacing w:val="-2"/>
                <w:sz w:val="15"/>
              </w:rPr>
              <w:t>Specific therapy for pathogen</w:t>
            </w:r>
          </w:p>
        </w:tc>
      </w:tr>
      <w:tr>
        <w:trPr>
          <w:trHeight w:val="756"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Episcleritis/scleritis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right="205" w:hanging="112"/>
              <w:rPr>
                <w:sz w:val="15"/>
              </w:rPr>
            </w:pPr>
            <w:r>
              <w:rPr>
                <w:color w:val="231F20"/>
                <w:sz w:val="15"/>
              </w:rPr>
              <w:t>Idiopathic</w:t>
            </w:r>
            <w:r>
              <w:rPr>
                <w:color w:val="231F20"/>
                <w:spacing w:val="-12"/>
                <w:sz w:val="15"/>
              </w:rPr>
              <w:t> </w:t>
            </w:r>
            <w:r>
              <w:rPr>
                <w:color w:val="231F20"/>
                <w:sz w:val="15"/>
              </w:rPr>
              <w:t>autoimmune</w:t>
            </w:r>
            <w:r>
              <w:rPr>
                <w:color w:val="231F20"/>
                <w:spacing w:val="-11"/>
                <w:sz w:val="15"/>
              </w:rPr>
              <w:t> </w:t>
            </w:r>
            <w:r>
              <w:rPr>
                <w:color w:val="231F20"/>
                <w:sz w:val="15"/>
              </w:rPr>
              <w:t>disease (e.g.,</w:t>
            </w:r>
            <w:r>
              <w:rPr>
                <w:color w:val="231F20"/>
                <w:spacing w:val="-2"/>
                <w:sz w:val="15"/>
              </w:rPr>
              <w:t> </w:t>
            </w:r>
            <w:r>
              <w:rPr>
                <w:color w:val="231F20"/>
                <w:sz w:val="15"/>
              </w:rPr>
              <w:t>SLE,</w:t>
            </w:r>
            <w:r>
              <w:rPr>
                <w:color w:val="231F20"/>
                <w:spacing w:val="-2"/>
                <w:sz w:val="15"/>
              </w:rPr>
              <w:t> </w:t>
            </w:r>
            <w:r>
              <w:rPr>
                <w:color w:val="231F20"/>
                <w:sz w:val="15"/>
              </w:rPr>
              <w:t>Henoch-Schönlein </w:t>
            </w:r>
            <w:r>
              <w:rPr>
                <w:color w:val="231F20"/>
                <w:spacing w:val="-2"/>
                <w:sz w:val="15"/>
              </w:rPr>
              <w:t>purpura)</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159" w:hanging="112"/>
              <w:rPr>
                <w:sz w:val="15"/>
              </w:rPr>
            </w:pPr>
            <w:r>
              <w:rPr>
                <w:color w:val="231F20"/>
                <w:sz w:val="15"/>
              </w:rPr>
              <w:t>Localized pain, intense erythema, unilateral;</w:t>
            </w:r>
            <w:r>
              <w:rPr>
                <w:color w:val="231F20"/>
                <w:spacing w:val="-12"/>
                <w:sz w:val="15"/>
              </w:rPr>
              <w:t> </w:t>
            </w:r>
            <w:r>
              <w:rPr>
                <w:color w:val="231F20"/>
                <w:sz w:val="15"/>
              </w:rPr>
              <w:t>blood</w:t>
            </w:r>
            <w:r>
              <w:rPr>
                <w:color w:val="231F20"/>
                <w:spacing w:val="-11"/>
                <w:sz w:val="15"/>
              </w:rPr>
              <w:t> </w:t>
            </w:r>
            <w:r>
              <w:rPr>
                <w:color w:val="231F20"/>
                <w:sz w:val="15"/>
              </w:rPr>
              <w:t>vessels</w:t>
            </w:r>
            <w:r>
              <w:rPr>
                <w:color w:val="231F20"/>
                <w:spacing w:val="-11"/>
                <w:sz w:val="15"/>
              </w:rPr>
              <w:t> </w:t>
            </w:r>
            <w:r>
              <w:rPr>
                <w:color w:val="231F20"/>
                <w:sz w:val="15"/>
              </w:rPr>
              <w:t>bigger</w:t>
            </w:r>
            <w:r>
              <w:rPr>
                <w:color w:val="231F20"/>
                <w:spacing w:val="-12"/>
                <w:sz w:val="15"/>
              </w:rPr>
              <w:t> </w:t>
            </w:r>
            <w:r>
              <w:rPr>
                <w:color w:val="231F20"/>
                <w:sz w:val="15"/>
              </w:rPr>
              <w:t>than in</w:t>
            </w:r>
            <w:r>
              <w:rPr>
                <w:color w:val="231F20"/>
                <w:spacing w:val="-12"/>
                <w:sz w:val="15"/>
              </w:rPr>
              <w:t> </w:t>
            </w:r>
            <w:r>
              <w:rPr>
                <w:color w:val="231F20"/>
                <w:sz w:val="15"/>
              </w:rPr>
              <w:t>conjunctivitis;</w:t>
            </w:r>
            <w:r>
              <w:rPr>
                <w:color w:val="231F20"/>
                <w:spacing w:val="-11"/>
                <w:sz w:val="15"/>
              </w:rPr>
              <w:t> </w:t>
            </w:r>
            <w:r>
              <w:rPr>
                <w:color w:val="231F20"/>
                <w:sz w:val="15"/>
              </w:rPr>
              <w:t>scleritis</w:t>
            </w:r>
            <w:r>
              <w:rPr>
                <w:color w:val="231F20"/>
                <w:spacing w:val="-11"/>
                <w:sz w:val="15"/>
              </w:rPr>
              <w:t> </w:t>
            </w:r>
            <w:r>
              <w:rPr>
                <w:color w:val="231F20"/>
                <w:sz w:val="15"/>
              </w:rPr>
              <w:t>may</w:t>
            </w:r>
            <w:r>
              <w:rPr>
                <w:color w:val="231F20"/>
                <w:spacing w:val="-12"/>
                <w:sz w:val="15"/>
              </w:rPr>
              <w:t> </w:t>
            </w:r>
            <w:r>
              <w:rPr>
                <w:color w:val="231F20"/>
                <w:sz w:val="15"/>
              </w:rPr>
              <w:t>cause globe perforation</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4"/>
                <w:sz w:val="15"/>
              </w:rPr>
              <w:t>Episcleritis is self-limiting; </w:t>
            </w:r>
            <w:r>
              <w:rPr>
                <w:color w:val="231F20"/>
                <w:spacing w:val="-4"/>
                <w:sz w:val="15"/>
              </w:rPr>
              <w:t>topical </w:t>
            </w:r>
            <w:r>
              <w:rPr>
                <w:color w:val="231F20"/>
                <w:sz w:val="15"/>
              </w:rPr>
              <w:t>steroids for fast relief</w:t>
            </w:r>
          </w:p>
        </w:tc>
      </w:tr>
      <w:tr>
        <w:trPr>
          <w:trHeight w:val="420"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Foreign</w:t>
            </w:r>
            <w:r>
              <w:rPr>
                <w:color w:val="231F20"/>
                <w:spacing w:val="-12"/>
                <w:w w:val="105"/>
                <w:sz w:val="15"/>
              </w:rPr>
              <w:t> </w:t>
            </w:r>
            <w:r>
              <w:rPr>
                <w:color w:val="231F20"/>
                <w:spacing w:val="-4"/>
                <w:w w:val="105"/>
                <w:sz w:val="15"/>
              </w:rPr>
              <w:t>body</w:t>
            </w:r>
          </w:p>
        </w:tc>
        <w:tc>
          <w:tcPr>
            <w:tcW w:w="2874" w:type="dxa"/>
            <w:tcBorders>
              <w:top w:val="single" w:sz="4" w:space="0" w:color="FFFFFF"/>
              <w:bottom w:val="single" w:sz="4" w:space="0" w:color="FFFFFF"/>
            </w:tcBorders>
            <w:shd w:val="clear" w:color="auto" w:fill="E8F5F1"/>
          </w:tcPr>
          <w:p>
            <w:pPr>
              <w:pStyle w:val="TableParagraph"/>
              <w:spacing w:before="42"/>
              <w:ind w:left="277"/>
              <w:rPr>
                <w:sz w:val="15"/>
              </w:rPr>
            </w:pPr>
            <w:r>
              <w:rPr>
                <w:color w:val="231F20"/>
                <w:sz w:val="15"/>
              </w:rPr>
              <w:t>Occupational</w:t>
            </w:r>
            <w:r>
              <w:rPr>
                <w:color w:val="231F20"/>
                <w:spacing w:val="-1"/>
                <w:sz w:val="15"/>
              </w:rPr>
              <w:t> </w:t>
            </w:r>
            <w:r>
              <w:rPr>
                <w:color w:val="231F20"/>
                <w:spacing w:val="-2"/>
                <w:sz w:val="15"/>
              </w:rPr>
              <w:t>exposure</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hanging="112"/>
              <w:rPr>
                <w:sz w:val="15"/>
              </w:rPr>
            </w:pPr>
            <w:r>
              <w:rPr>
                <w:color w:val="231F20"/>
                <w:spacing w:val="-4"/>
                <w:sz w:val="15"/>
              </w:rPr>
              <w:t>Unilateral, red, gritty feeling; visible </w:t>
            </w:r>
            <w:r>
              <w:rPr>
                <w:color w:val="231F20"/>
                <w:spacing w:val="-4"/>
                <w:sz w:val="15"/>
              </w:rPr>
              <w:t>or </w:t>
            </w:r>
            <w:r>
              <w:rPr>
                <w:color w:val="231F20"/>
                <w:sz w:val="15"/>
              </w:rPr>
              <w:t>microscopic size</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4"/>
                <w:sz w:val="15"/>
              </w:rPr>
              <w:t>Irrigation, removal; check </w:t>
            </w:r>
            <w:r>
              <w:rPr>
                <w:color w:val="231F20"/>
                <w:spacing w:val="-4"/>
                <w:sz w:val="15"/>
              </w:rPr>
              <w:t>for </w:t>
            </w:r>
            <w:r>
              <w:rPr>
                <w:color w:val="231F20"/>
                <w:spacing w:val="-2"/>
                <w:sz w:val="15"/>
              </w:rPr>
              <w:t>ulceration</w:t>
            </w:r>
          </w:p>
        </w:tc>
      </w:tr>
      <w:tr>
        <w:trPr>
          <w:trHeight w:val="924"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Blepharitis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right="205" w:hanging="112"/>
              <w:rPr>
                <w:i/>
                <w:sz w:val="15"/>
              </w:rPr>
            </w:pPr>
            <w:r>
              <w:rPr>
                <w:i/>
                <w:color w:val="231F20"/>
                <w:sz w:val="15"/>
              </w:rPr>
              <w:t>S. aureus, Staphylococcus </w:t>
            </w:r>
            <w:r>
              <w:rPr>
                <w:i/>
                <w:color w:val="231F20"/>
                <w:spacing w:val="-2"/>
                <w:sz w:val="15"/>
              </w:rPr>
              <w:t>epidermidis</w:t>
            </w:r>
            <w:r>
              <w:rPr>
                <w:color w:val="231F20"/>
                <w:spacing w:val="-2"/>
                <w:sz w:val="15"/>
              </w:rPr>
              <w:t>,</w:t>
            </w:r>
            <w:r>
              <w:rPr>
                <w:color w:val="231F20"/>
                <w:spacing w:val="-6"/>
                <w:sz w:val="15"/>
              </w:rPr>
              <w:t> </w:t>
            </w:r>
            <w:r>
              <w:rPr>
                <w:color w:val="231F20"/>
                <w:spacing w:val="-2"/>
                <w:sz w:val="15"/>
              </w:rPr>
              <w:t>seborrheic,</w:t>
            </w:r>
            <w:r>
              <w:rPr>
                <w:color w:val="231F20"/>
                <w:spacing w:val="-6"/>
                <w:sz w:val="15"/>
              </w:rPr>
              <w:t> </w:t>
            </w:r>
            <w:r>
              <w:rPr>
                <w:color w:val="231F20"/>
                <w:spacing w:val="-2"/>
                <w:sz w:val="15"/>
              </w:rPr>
              <w:t>blocke</w:t>
            </w:r>
            <w:r>
              <w:rPr>
                <w:color w:val="231F20"/>
                <w:spacing w:val="-2"/>
                <w:sz w:val="15"/>
              </w:rPr>
              <w:t>d</w:t>
            </w:r>
            <w:r>
              <w:rPr>
                <w:color w:val="231F20"/>
                <w:spacing w:val="-2"/>
                <w:sz w:val="15"/>
              </w:rPr>
              <w:t> </w:t>
            </w:r>
            <w:r>
              <w:rPr>
                <w:color w:val="231F20"/>
                <w:sz w:val="15"/>
              </w:rPr>
              <w:t>lacrimal duct; rarely molluscum contagiosum, </w:t>
            </w:r>
            <w:r>
              <w:rPr>
                <w:i/>
                <w:color w:val="231F20"/>
                <w:sz w:val="15"/>
              </w:rPr>
              <w:t>Phthirus pubis, Pediculus capitis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188" w:hanging="112"/>
              <w:rPr>
                <w:sz w:val="15"/>
              </w:rPr>
            </w:pPr>
            <w:r>
              <w:rPr>
                <w:color w:val="231F20"/>
                <w:spacing w:val="-4"/>
                <w:sz w:val="15"/>
              </w:rPr>
              <w:t>Bilateral,</w:t>
            </w:r>
            <w:r>
              <w:rPr>
                <w:color w:val="231F20"/>
                <w:spacing w:val="-8"/>
                <w:sz w:val="15"/>
              </w:rPr>
              <w:t> </w:t>
            </w:r>
            <w:r>
              <w:rPr>
                <w:color w:val="231F20"/>
                <w:spacing w:val="-4"/>
                <w:sz w:val="15"/>
              </w:rPr>
              <w:t>irritation,</w:t>
            </w:r>
            <w:r>
              <w:rPr>
                <w:color w:val="231F20"/>
                <w:spacing w:val="-7"/>
                <w:sz w:val="15"/>
              </w:rPr>
              <w:t> </w:t>
            </w:r>
            <w:r>
              <w:rPr>
                <w:color w:val="231F20"/>
                <w:spacing w:val="-4"/>
                <w:sz w:val="15"/>
              </w:rPr>
              <w:t>itching,</w:t>
            </w:r>
            <w:r>
              <w:rPr>
                <w:color w:val="231F20"/>
                <w:spacing w:val="-7"/>
                <w:sz w:val="15"/>
              </w:rPr>
              <w:t> </w:t>
            </w:r>
            <w:r>
              <w:rPr>
                <w:color w:val="231F20"/>
                <w:spacing w:val="-4"/>
                <w:sz w:val="15"/>
              </w:rPr>
              <w:t>hyperemia, </w:t>
            </w:r>
            <w:r>
              <w:rPr>
                <w:color w:val="231F20"/>
                <w:sz w:val="15"/>
              </w:rPr>
              <w:t>crusting, affecting lid margins</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z w:val="15"/>
              </w:rPr>
              <w:t>Topical</w:t>
            </w:r>
            <w:r>
              <w:rPr>
                <w:color w:val="231F20"/>
                <w:spacing w:val="-12"/>
                <w:sz w:val="15"/>
              </w:rPr>
              <w:t> </w:t>
            </w:r>
            <w:r>
              <w:rPr>
                <w:color w:val="231F20"/>
                <w:sz w:val="15"/>
              </w:rPr>
              <w:t>antibiotics,</w:t>
            </w:r>
            <w:r>
              <w:rPr>
                <w:color w:val="231F20"/>
                <w:spacing w:val="-11"/>
                <w:sz w:val="15"/>
              </w:rPr>
              <w:t> </w:t>
            </w:r>
            <w:r>
              <w:rPr>
                <w:color w:val="231F20"/>
                <w:sz w:val="15"/>
              </w:rPr>
              <w:t>warm compresses,</w:t>
            </w:r>
            <w:r>
              <w:rPr>
                <w:color w:val="231F20"/>
                <w:spacing w:val="-4"/>
                <w:sz w:val="15"/>
              </w:rPr>
              <w:t> </w:t>
            </w:r>
            <w:r>
              <w:rPr>
                <w:color w:val="231F20"/>
                <w:sz w:val="15"/>
              </w:rPr>
              <w:t>lid</w:t>
            </w:r>
            <w:r>
              <w:rPr>
                <w:color w:val="231F20"/>
                <w:spacing w:val="-3"/>
                <w:sz w:val="15"/>
              </w:rPr>
              <w:t> </w:t>
            </w:r>
            <w:r>
              <w:rPr>
                <w:color w:val="231F20"/>
                <w:spacing w:val="-2"/>
                <w:sz w:val="15"/>
              </w:rPr>
              <w:t>hygiene</w:t>
            </w:r>
          </w:p>
        </w:tc>
      </w:tr>
      <w:tr>
        <w:trPr>
          <w:trHeight w:val="924"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Dacryocystitis</w:t>
            </w:r>
          </w:p>
        </w:tc>
        <w:tc>
          <w:tcPr>
            <w:tcW w:w="2874" w:type="dxa"/>
            <w:tcBorders>
              <w:top w:val="single" w:sz="4" w:space="0" w:color="FFFFFF"/>
              <w:bottom w:val="single" w:sz="4" w:space="0" w:color="FFFFFF"/>
            </w:tcBorders>
            <w:shd w:val="clear" w:color="auto" w:fill="E8F5F1"/>
          </w:tcPr>
          <w:p>
            <w:pPr>
              <w:pStyle w:val="TableParagraph"/>
              <w:spacing w:line="171" w:lineRule="exact" w:before="42"/>
              <w:ind w:left="277"/>
              <w:rPr>
                <w:i/>
                <w:sz w:val="15"/>
              </w:rPr>
            </w:pPr>
            <w:r>
              <w:rPr>
                <w:color w:val="231F20"/>
                <w:spacing w:val="-2"/>
                <w:sz w:val="15"/>
              </w:rPr>
              <w:t>Obstructed</w:t>
            </w:r>
            <w:r>
              <w:rPr>
                <w:color w:val="231F20"/>
                <w:spacing w:val="-1"/>
                <w:sz w:val="15"/>
              </w:rPr>
              <w:t> </w:t>
            </w:r>
            <w:r>
              <w:rPr>
                <w:color w:val="231F20"/>
                <w:spacing w:val="-2"/>
                <w:sz w:val="15"/>
              </w:rPr>
              <w:t>lacrimal</w:t>
            </w:r>
            <w:r>
              <w:rPr>
                <w:color w:val="231F20"/>
                <w:spacing w:val="-1"/>
                <w:sz w:val="15"/>
              </w:rPr>
              <w:t> </w:t>
            </w:r>
            <w:r>
              <w:rPr>
                <w:color w:val="231F20"/>
                <w:spacing w:val="-2"/>
                <w:sz w:val="15"/>
              </w:rPr>
              <w:t>sac:</w:t>
            </w:r>
            <w:r>
              <w:rPr>
                <w:color w:val="231F20"/>
                <w:spacing w:val="-1"/>
                <w:sz w:val="15"/>
              </w:rPr>
              <w:t> </w:t>
            </w:r>
            <w:r>
              <w:rPr>
                <w:i/>
                <w:color w:val="231F20"/>
                <w:spacing w:val="-2"/>
                <w:sz w:val="15"/>
              </w:rPr>
              <w:t>S.</w:t>
            </w:r>
            <w:r>
              <w:rPr>
                <w:i/>
                <w:color w:val="231F20"/>
                <w:spacing w:val="-1"/>
                <w:sz w:val="15"/>
              </w:rPr>
              <w:t> </w:t>
            </w:r>
            <w:r>
              <w:rPr>
                <w:i/>
                <w:color w:val="231F20"/>
                <w:spacing w:val="-2"/>
                <w:sz w:val="15"/>
              </w:rPr>
              <w:t>aureus,</w:t>
            </w:r>
          </w:p>
          <w:p>
            <w:pPr>
              <w:pStyle w:val="TableParagraph"/>
              <w:spacing w:line="171" w:lineRule="exact"/>
              <w:ind w:left="389"/>
              <w:rPr>
                <w:sz w:val="15"/>
              </w:rPr>
            </w:pPr>
            <w:r>
              <w:rPr>
                <w:i/>
                <w:color w:val="231F20"/>
                <w:spacing w:val="-6"/>
                <w:sz w:val="15"/>
              </w:rPr>
              <w:t>H.</w:t>
            </w:r>
            <w:r>
              <w:rPr>
                <w:i/>
                <w:color w:val="231F20"/>
                <w:spacing w:val="5"/>
                <w:sz w:val="15"/>
              </w:rPr>
              <w:t> </w:t>
            </w:r>
            <w:r>
              <w:rPr>
                <w:i/>
                <w:color w:val="231F20"/>
                <w:spacing w:val="-6"/>
                <w:sz w:val="15"/>
              </w:rPr>
              <w:t>influenzae,</w:t>
            </w:r>
            <w:r>
              <w:rPr>
                <w:i/>
                <w:color w:val="231F20"/>
                <w:spacing w:val="5"/>
                <w:sz w:val="15"/>
              </w:rPr>
              <w:t> </w:t>
            </w:r>
            <w:r>
              <w:rPr>
                <w:color w:val="231F20"/>
                <w:spacing w:val="-6"/>
                <w:sz w:val="15"/>
              </w:rPr>
              <w:t>pneumococcus</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Pain, tenderness, erythema, and exudates in area of lacrimal sac (inferomedial to inner canthus); </w:t>
            </w:r>
            <w:r>
              <w:rPr>
                <w:color w:val="231F20"/>
                <w:spacing w:val="-2"/>
                <w:sz w:val="15"/>
              </w:rPr>
              <w:t>tearing</w:t>
            </w:r>
            <w:r>
              <w:rPr>
                <w:color w:val="231F20"/>
                <w:spacing w:val="-7"/>
                <w:sz w:val="15"/>
              </w:rPr>
              <w:t> </w:t>
            </w:r>
            <w:r>
              <w:rPr>
                <w:color w:val="231F20"/>
                <w:spacing w:val="-2"/>
                <w:sz w:val="15"/>
              </w:rPr>
              <w:t>(epiphora);</w:t>
            </w:r>
            <w:r>
              <w:rPr>
                <w:color w:val="231F20"/>
                <w:spacing w:val="-7"/>
                <w:sz w:val="15"/>
              </w:rPr>
              <w:t> </w:t>
            </w:r>
            <w:r>
              <w:rPr>
                <w:color w:val="231F20"/>
                <w:spacing w:val="-2"/>
                <w:sz w:val="15"/>
              </w:rPr>
              <w:t>possible</w:t>
            </w:r>
            <w:r>
              <w:rPr>
                <w:color w:val="231F20"/>
                <w:spacing w:val="-7"/>
                <w:sz w:val="15"/>
              </w:rPr>
              <w:t> </w:t>
            </w:r>
            <w:r>
              <w:rPr>
                <w:color w:val="231F20"/>
                <w:spacing w:val="-2"/>
                <w:sz w:val="15"/>
              </w:rPr>
              <w:t>orbital cellulitis</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4"/>
                <w:sz w:val="15"/>
              </w:rPr>
              <w:t>Systemic, topical </w:t>
            </w:r>
            <w:r>
              <w:rPr>
                <w:color w:val="231F20"/>
                <w:spacing w:val="-4"/>
                <w:sz w:val="15"/>
              </w:rPr>
              <w:t>antibiotics; </w:t>
            </w:r>
            <w:r>
              <w:rPr>
                <w:color w:val="231F20"/>
                <w:sz w:val="15"/>
              </w:rPr>
              <w:t>surgical drainage</w:t>
            </w:r>
          </w:p>
        </w:tc>
      </w:tr>
      <w:tr>
        <w:trPr>
          <w:trHeight w:val="588" w:hRule="atLeast"/>
        </w:trPr>
        <w:tc>
          <w:tcPr>
            <w:tcW w:w="15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Dacryoadenitis</w:t>
            </w:r>
          </w:p>
        </w:tc>
        <w:tc>
          <w:tcPr>
            <w:tcW w:w="2874" w:type="dxa"/>
            <w:tcBorders>
              <w:top w:val="single" w:sz="4" w:space="0" w:color="FFFFFF"/>
              <w:bottom w:val="single" w:sz="4" w:space="0" w:color="FFFFFF"/>
            </w:tcBorders>
            <w:shd w:val="clear" w:color="auto" w:fill="E8F5F1"/>
          </w:tcPr>
          <w:p>
            <w:pPr>
              <w:pStyle w:val="TableParagraph"/>
              <w:spacing w:line="230" w:lineRule="auto" w:before="48"/>
              <w:ind w:left="389" w:right="205" w:hanging="112"/>
              <w:rPr>
                <w:sz w:val="15"/>
              </w:rPr>
            </w:pPr>
            <w:r>
              <w:rPr>
                <w:i/>
                <w:color w:val="231F20"/>
                <w:sz w:val="15"/>
              </w:rPr>
              <w:t>S.</w:t>
            </w:r>
            <w:r>
              <w:rPr>
                <w:i/>
                <w:color w:val="231F20"/>
                <w:spacing w:val="-12"/>
                <w:sz w:val="15"/>
              </w:rPr>
              <w:t> </w:t>
            </w:r>
            <w:r>
              <w:rPr>
                <w:i/>
                <w:color w:val="231F20"/>
                <w:sz w:val="15"/>
              </w:rPr>
              <w:t>aureus,</w:t>
            </w:r>
            <w:r>
              <w:rPr>
                <w:i/>
                <w:color w:val="231F20"/>
                <w:spacing w:val="-11"/>
                <w:sz w:val="15"/>
              </w:rPr>
              <w:t> </w:t>
            </w:r>
            <w:r>
              <w:rPr>
                <w:i/>
                <w:color w:val="231F20"/>
                <w:sz w:val="15"/>
              </w:rPr>
              <w:t>Streptococcus</w:t>
            </w:r>
            <w:r>
              <w:rPr>
                <w:color w:val="231F20"/>
                <w:sz w:val="15"/>
              </w:rPr>
              <w:t>,</w:t>
            </w:r>
            <w:r>
              <w:rPr>
                <w:color w:val="231F20"/>
                <w:spacing w:val="-11"/>
                <w:sz w:val="15"/>
              </w:rPr>
              <w:t> </w:t>
            </w:r>
            <w:r>
              <w:rPr>
                <w:color w:val="231F20"/>
                <w:sz w:val="15"/>
              </w:rPr>
              <w:t>CMV,</w:t>
            </w:r>
            <w:r>
              <w:rPr>
                <w:color w:val="231F20"/>
                <w:sz w:val="15"/>
              </w:rPr>
              <w:t> measles,</w:t>
            </w:r>
            <w:r>
              <w:rPr>
                <w:color w:val="231F20"/>
                <w:spacing w:val="-3"/>
                <w:sz w:val="15"/>
              </w:rPr>
              <w:t> </w:t>
            </w:r>
            <w:r>
              <w:rPr>
                <w:color w:val="231F20"/>
                <w:sz w:val="15"/>
              </w:rPr>
              <w:t>EBV,</w:t>
            </w:r>
            <w:r>
              <w:rPr>
                <w:color w:val="231F20"/>
                <w:spacing w:val="-3"/>
                <w:sz w:val="15"/>
              </w:rPr>
              <w:t> </w:t>
            </w:r>
            <w:r>
              <w:rPr>
                <w:color w:val="231F20"/>
                <w:sz w:val="15"/>
              </w:rPr>
              <w:t>enteroviruses; </w:t>
            </w:r>
            <w:r>
              <w:rPr>
                <w:color w:val="231F20"/>
                <w:spacing w:val="-2"/>
                <w:sz w:val="15"/>
              </w:rPr>
              <w:t>trauma,</w:t>
            </w:r>
            <w:r>
              <w:rPr>
                <w:color w:val="231F20"/>
                <w:spacing w:val="-10"/>
                <w:sz w:val="15"/>
              </w:rPr>
              <w:t> </w:t>
            </w:r>
            <w:r>
              <w:rPr>
                <w:color w:val="231F20"/>
                <w:spacing w:val="-2"/>
                <w:sz w:val="15"/>
              </w:rPr>
              <w:t>sarcoidosis,</w:t>
            </w:r>
            <w:r>
              <w:rPr>
                <w:color w:val="231F20"/>
                <w:spacing w:val="-9"/>
                <w:sz w:val="15"/>
              </w:rPr>
              <w:t> </w:t>
            </w:r>
            <w:r>
              <w:rPr>
                <w:color w:val="231F20"/>
                <w:spacing w:val="-2"/>
                <w:sz w:val="15"/>
              </w:rPr>
              <w:t>leukemia</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138" w:hanging="112"/>
              <w:rPr>
                <w:sz w:val="15"/>
              </w:rPr>
            </w:pPr>
            <w:r>
              <w:rPr>
                <w:color w:val="231F20"/>
                <w:sz w:val="15"/>
              </w:rPr>
              <w:t>Pain, tenderness, edema, erythema over</w:t>
            </w:r>
            <w:r>
              <w:rPr>
                <w:color w:val="231F20"/>
                <w:spacing w:val="-12"/>
                <w:sz w:val="15"/>
              </w:rPr>
              <w:t> </w:t>
            </w:r>
            <w:r>
              <w:rPr>
                <w:color w:val="231F20"/>
                <w:sz w:val="15"/>
              </w:rPr>
              <w:t>gland</w:t>
            </w:r>
            <w:r>
              <w:rPr>
                <w:color w:val="231F20"/>
                <w:spacing w:val="-11"/>
                <w:sz w:val="15"/>
              </w:rPr>
              <w:t> </w:t>
            </w:r>
            <w:r>
              <w:rPr>
                <w:color w:val="231F20"/>
                <w:sz w:val="15"/>
              </w:rPr>
              <w:t>area</w:t>
            </w:r>
            <w:r>
              <w:rPr>
                <w:color w:val="231F20"/>
                <w:spacing w:val="-11"/>
                <w:sz w:val="15"/>
              </w:rPr>
              <w:t> </w:t>
            </w:r>
            <w:r>
              <w:rPr>
                <w:color w:val="231F20"/>
                <w:sz w:val="15"/>
              </w:rPr>
              <w:t>(upper</w:t>
            </w:r>
            <w:r>
              <w:rPr>
                <w:color w:val="231F20"/>
                <w:spacing w:val="-12"/>
                <w:sz w:val="15"/>
              </w:rPr>
              <w:t> </w:t>
            </w:r>
            <w:r>
              <w:rPr>
                <w:color w:val="231F20"/>
                <w:sz w:val="15"/>
              </w:rPr>
              <w:t>temporal</w:t>
            </w:r>
            <w:r>
              <w:rPr>
                <w:color w:val="231F20"/>
                <w:spacing w:val="-11"/>
                <w:sz w:val="15"/>
              </w:rPr>
              <w:t> </w:t>
            </w:r>
            <w:r>
              <w:rPr>
                <w:color w:val="231F20"/>
                <w:sz w:val="15"/>
              </w:rPr>
              <w:t>lid); fever, leukocytosis</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2"/>
                <w:sz w:val="15"/>
              </w:rPr>
              <w:t>Systemic</w:t>
            </w:r>
            <w:r>
              <w:rPr>
                <w:color w:val="231F20"/>
                <w:spacing w:val="-6"/>
                <w:sz w:val="15"/>
              </w:rPr>
              <w:t> </w:t>
            </w:r>
            <w:r>
              <w:rPr>
                <w:color w:val="231F20"/>
                <w:spacing w:val="-2"/>
                <w:sz w:val="15"/>
              </w:rPr>
              <w:t>antibiotics;</w:t>
            </w:r>
            <w:r>
              <w:rPr>
                <w:color w:val="231F20"/>
                <w:spacing w:val="-6"/>
                <w:sz w:val="15"/>
              </w:rPr>
              <w:t> </w:t>
            </w:r>
            <w:r>
              <w:rPr>
                <w:color w:val="231F20"/>
                <w:spacing w:val="-2"/>
                <w:sz w:val="15"/>
              </w:rPr>
              <w:t>drainage</w:t>
            </w:r>
            <w:r>
              <w:rPr>
                <w:color w:val="231F20"/>
                <w:spacing w:val="-6"/>
                <w:sz w:val="15"/>
              </w:rPr>
              <w:t> </w:t>
            </w:r>
            <w:r>
              <w:rPr>
                <w:color w:val="231F20"/>
                <w:spacing w:val="-2"/>
                <w:sz w:val="15"/>
              </w:rPr>
              <w:t>of </w:t>
            </w:r>
            <w:r>
              <w:rPr>
                <w:color w:val="231F20"/>
                <w:sz w:val="15"/>
              </w:rPr>
              <w:t>orbital abscesses</w:t>
            </w:r>
          </w:p>
        </w:tc>
      </w:tr>
      <w:tr>
        <w:trPr>
          <w:trHeight w:val="1092" w:hRule="atLeast"/>
        </w:trPr>
        <w:tc>
          <w:tcPr>
            <w:tcW w:w="1553"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Orbital cellulitis </w:t>
            </w:r>
            <w:r>
              <w:rPr>
                <w:color w:val="231F20"/>
                <w:spacing w:val="-4"/>
                <w:sz w:val="15"/>
              </w:rPr>
              <w:t>(postseptal</w:t>
            </w:r>
            <w:r>
              <w:rPr>
                <w:color w:val="231F20"/>
                <w:spacing w:val="-8"/>
                <w:sz w:val="15"/>
              </w:rPr>
              <w:t> </w:t>
            </w:r>
            <w:r>
              <w:rPr>
                <w:color w:val="231F20"/>
                <w:spacing w:val="-4"/>
                <w:sz w:val="15"/>
              </w:rPr>
              <w:t>cellulitis)</w:t>
            </w:r>
          </w:p>
        </w:tc>
        <w:tc>
          <w:tcPr>
            <w:tcW w:w="2874" w:type="dxa"/>
            <w:tcBorders>
              <w:top w:val="single" w:sz="4" w:space="0" w:color="FFFFFF"/>
              <w:bottom w:val="single" w:sz="4" w:space="0" w:color="FFFFFF"/>
            </w:tcBorders>
            <w:shd w:val="clear" w:color="auto" w:fill="E8F5F1"/>
          </w:tcPr>
          <w:p>
            <w:pPr>
              <w:pStyle w:val="TableParagraph"/>
              <w:spacing w:line="171" w:lineRule="exact" w:before="42"/>
              <w:ind w:left="277"/>
              <w:rPr>
                <w:i/>
                <w:sz w:val="15"/>
              </w:rPr>
            </w:pPr>
            <w:r>
              <w:rPr>
                <w:color w:val="231F20"/>
                <w:spacing w:val="-2"/>
                <w:sz w:val="15"/>
              </w:rPr>
              <w:t>Paranasal</w:t>
            </w:r>
            <w:r>
              <w:rPr>
                <w:color w:val="231F20"/>
                <w:spacing w:val="-8"/>
                <w:sz w:val="15"/>
              </w:rPr>
              <w:t> </w:t>
            </w:r>
            <w:r>
              <w:rPr>
                <w:color w:val="231F20"/>
                <w:spacing w:val="-2"/>
                <w:sz w:val="15"/>
              </w:rPr>
              <w:t>sinusitis:</w:t>
            </w:r>
            <w:r>
              <w:rPr>
                <w:color w:val="231F20"/>
                <w:spacing w:val="-8"/>
                <w:sz w:val="15"/>
              </w:rPr>
              <w:t> </w:t>
            </w:r>
            <w:r>
              <w:rPr>
                <w:i/>
                <w:color w:val="231F20"/>
                <w:spacing w:val="-2"/>
                <w:sz w:val="15"/>
              </w:rPr>
              <w:t>H.</w:t>
            </w:r>
            <w:r>
              <w:rPr>
                <w:i/>
                <w:color w:val="231F20"/>
                <w:spacing w:val="-8"/>
                <w:sz w:val="15"/>
              </w:rPr>
              <w:t> </w:t>
            </w:r>
            <w:r>
              <w:rPr>
                <w:i/>
                <w:color w:val="231F20"/>
                <w:spacing w:val="-2"/>
                <w:sz w:val="15"/>
              </w:rPr>
              <w:t>influenzae,</w:t>
            </w:r>
          </w:p>
          <w:p>
            <w:pPr>
              <w:pStyle w:val="TableParagraph"/>
              <w:spacing w:line="230" w:lineRule="auto" w:before="3"/>
              <w:ind w:left="389"/>
              <w:rPr>
                <w:sz w:val="15"/>
              </w:rPr>
            </w:pPr>
            <w:r>
              <w:rPr>
                <w:i/>
                <w:color w:val="231F20"/>
                <w:spacing w:val="-2"/>
                <w:sz w:val="15"/>
              </w:rPr>
              <w:t>S.</w:t>
            </w:r>
            <w:r>
              <w:rPr>
                <w:i/>
                <w:color w:val="231F20"/>
                <w:spacing w:val="-10"/>
                <w:sz w:val="15"/>
              </w:rPr>
              <w:t> </w:t>
            </w:r>
            <w:r>
              <w:rPr>
                <w:i/>
                <w:color w:val="231F20"/>
                <w:spacing w:val="-2"/>
                <w:sz w:val="15"/>
              </w:rPr>
              <w:t>aureus,</w:t>
            </w:r>
            <w:r>
              <w:rPr>
                <w:i/>
                <w:color w:val="231F20"/>
                <w:spacing w:val="-9"/>
                <w:sz w:val="15"/>
              </w:rPr>
              <w:t> </w:t>
            </w:r>
            <w:r>
              <w:rPr>
                <w:i/>
                <w:color w:val="231F20"/>
                <w:spacing w:val="-2"/>
                <w:sz w:val="15"/>
              </w:rPr>
              <w:t>S.</w:t>
            </w:r>
            <w:r>
              <w:rPr>
                <w:i/>
                <w:color w:val="231F20"/>
                <w:spacing w:val="-9"/>
                <w:sz w:val="15"/>
              </w:rPr>
              <w:t> </w:t>
            </w:r>
            <w:r>
              <w:rPr>
                <w:i/>
                <w:color w:val="231F20"/>
                <w:spacing w:val="-2"/>
                <w:sz w:val="15"/>
              </w:rPr>
              <w:t>pneumoniae</w:t>
            </w:r>
            <w:r>
              <w:rPr>
                <w:color w:val="231F20"/>
                <w:spacing w:val="-2"/>
                <w:sz w:val="15"/>
              </w:rPr>
              <w:t>,</w:t>
            </w:r>
            <w:r>
              <w:rPr>
                <w:color w:val="231F20"/>
                <w:spacing w:val="-2"/>
                <w:sz w:val="15"/>
              </w:rPr>
              <w:t> streptococci</w:t>
            </w:r>
          </w:p>
          <w:p>
            <w:pPr>
              <w:pStyle w:val="TableParagraph"/>
              <w:spacing w:line="167" w:lineRule="exact"/>
              <w:ind w:left="277"/>
              <w:rPr>
                <w:i/>
                <w:sz w:val="15"/>
              </w:rPr>
            </w:pPr>
            <w:r>
              <w:rPr>
                <w:color w:val="231F20"/>
                <w:spacing w:val="-2"/>
                <w:sz w:val="15"/>
              </w:rPr>
              <w:t>Trauma:</w:t>
            </w:r>
            <w:r>
              <w:rPr>
                <w:color w:val="231F20"/>
                <w:spacing w:val="-8"/>
                <w:sz w:val="15"/>
              </w:rPr>
              <w:t> </w:t>
            </w:r>
            <w:r>
              <w:rPr>
                <w:i/>
                <w:color w:val="231F20"/>
                <w:spacing w:val="-2"/>
                <w:sz w:val="15"/>
              </w:rPr>
              <w:t>S.</w:t>
            </w:r>
            <w:r>
              <w:rPr>
                <w:i/>
                <w:color w:val="231F20"/>
                <w:spacing w:val="-7"/>
                <w:sz w:val="15"/>
              </w:rPr>
              <w:t> </w:t>
            </w:r>
            <w:r>
              <w:rPr>
                <w:i/>
                <w:color w:val="231F20"/>
                <w:spacing w:val="-2"/>
                <w:sz w:val="15"/>
              </w:rPr>
              <w:t>aureus</w:t>
            </w:r>
          </w:p>
          <w:p>
            <w:pPr>
              <w:pStyle w:val="TableParagraph"/>
              <w:spacing w:line="230" w:lineRule="auto" w:before="2"/>
              <w:ind w:left="389" w:right="513" w:hanging="112"/>
              <w:rPr>
                <w:sz w:val="15"/>
              </w:rPr>
            </w:pPr>
            <w:r>
              <w:rPr>
                <w:color w:val="231F20"/>
                <w:sz w:val="15"/>
              </w:rPr>
              <w:t>Fungi:</w:t>
            </w:r>
            <w:r>
              <w:rPr>
                <w:color w:val="231F20"/>
                <w:spacing w:val="-12"/>
                <w:sz w:val="15"/>
              </w:rPr>
              <w:t> </w:t>
            </w:r>
            <w:r>
              <w:rPr>
                <w:i/>
                <w:color w:val="231F20"/>
                <w:sz w:val="15"/>
              </w:rPr>
              <w:t>Aspergillus,</w:t>
            </w:r>
            <w:r>
              <w:rPr>
                <w:i/>
                <w:color w:val="231F20"/>
                <w:spacing w:val="-11"/>
                <w:sz w:val="15"/>
              </w:rPr>
              <w:t> </w:t>
            </w:r>
            <w:r>
              <w:rPr>
                <w:i/>
                <w:color w:val="231F20"/>
                <w:sz w:val="15"/>
              </w:rPr>
              <w:t>Mucor</w:t>
            </w:r>
            <w:r>
              <w:rPr>
                <w:i/>
                <w:color w:val="231F20"/>
                <w:spacing w:val="-11"/>
                <w:sz w:val="15"/>
              </w:rPr>
              <w:t> </w:t>
            </w:r>
            <w:r>
              <w:rPr>
                <w:color w:val="231F20"/>
                <w:sz w:val="15"/>
              </w:rPr>
              <w:t>spp. if immunodeficient</w:t>
            </w:r>
          </w:p>
        </w:tc>
        <w:tc>
          <w:tcPr>
            <w:tcW w:w="2878" w:type="dxa"/>
            <w:tcBorders>
              <w:top w:val="single" w:sz="4" w:space="0" w:color="FFFFFF"/>
              <w:bottom w:val="single" w:sz="4" w:space="0" w:color="FFFFFF"/>
            </w:tcBorders>
            <w:shd w:val="clear" w:color="auto" w:fill="E8F5F1"/>
          </w:tcPr>
          <w:p>
            <w:pPr>
              <w:pStyle w:val="TableParagraph"/>
              <w:spacing w:line="230" w:lineRule="auto" w:before="48"/>
              <w:ind w:left="259" w:right="205" w:hanging="112"/>
              <w:rPr>
                <w:sz w:val="15"/>
              </w:rPr>
            </w:pPr>
            <w:r>
              <w:rPr>
                <w:color w:val="231F20"/>
                <w:sz w:val="15"/>
              </w:rPr>
              <w:t>Rhinorrhea, chemosis, vision loss, painful extraocular motion, </w:t>
            </w:r>
            <w:r>
              <w:rPr>
                <w:color w:val="231F20"/>
                <w:spacing w:val="-2"/>
                <w:sz w:val="15"/>
              </w:rPr>
              <w:t>proptosis,</w:t>
            </w:r>
            <w:r>
              <w:rPr>
                <w:color w:val="231F20"/>
                <w:spacing w:val="-6"/>
                <w:sz w:val="15"/>
              </w:rPr>
              <w:t> </w:t>
            </w:r>
            <w:r>
              <w:rPr>
                <w:color w:val="231F20"/>
                <w:spacing w:val="-2"/>
                <w:sz w:val="15"/>
              </w:rPr>
              <w:t>ophthalmoplegia,</w:t>
            </w:r>
            <w:r>
              <w:rPr>
                <w:color w:val="231F20"/>
                <w:spacing w:val="-6"/>
                <w:sz w:val="15"/>
              </w:rPr>
              <w:t> </w:t>
            </w:r>
            <w:r>
              <w:rPr>
                <w:color w:val="231F20"/>
                <w:spacing w:val="-2"/>
                <w:sz w:val="15"/>
              </w:rPr>
              <w:t>fever, </w:t>
            </w:r>
            <w:r>
              <w:rPr>
                <w:color w:val="231F20"/>
                <w:sz w:val="15"/>
              </w:rPr>
              <w:t>lid edema, leukocytosis</w:t>
            </w:r>
          </w:p>
        </w:tc>
        <w:tc>
          <w:tcPr>
            <w:tcW w:w="2435" w:type="dxa"/>
            <w:tcBorders>
              <w:top w:val="single" w:sz="4" w:space="0" w:color="FFFFFF"/>
              <w:bottom w:val="single" w:sz="4" w:space="0" w:color="FFFFFF"/>
            </w:tcBorders>
            <w:shd w:val="clear" w:color="auto" w:fill="E8F5F1"/>
          </w:tcPr>
          <w:p>
            <w:pPr>
              <w:pStyle w:val="TableParagraph"/>
              <w:spacing w:line="230" w:lineRule="auto" w:before="48"/>
              <w:ind w:left="260" w:hanging="112"/>
              <w:rPr>
                <w:sz w:val="15"/>
              </w:rPr>
            </w:pPr>
            <w:r>
              <w:rPr>
                <w:color w:val="231F20"/>
                <w:spacing w:val="-2"/>
                <w:sz w:val="15"/>
              </w:rPr>
              <w:t>Systemic</w:t>
            </w:r>
            <w:r>
              <w:rPr>
                <w:color w:val="231F20"/>
                <w:spacing w:val="-6"/>
                <w:sz w:val="15"/>
              </w:rPr>
              <w:t> </w:t>
            </w:r>
            <w:r>
              <w:rPr>
                <w:color w:val="231F20"/>
                <w:spacing w:val="-2"/>
                <w:sz w:val="15"/>
              </w:rPr>
              <w:t>antibiotics,</w:t>
            </w:r>
            <w:r>
              <w:rPr>
                <w:color w:val="231F20"/>
                <w:spacing w:val="-6"/>
                <w:sz w:val="15"/>
              </w:rPr>
              <w:t> </w:t>
            </w:r>
            <w:r>
              <w:rPr>
                <w:color w:val="231F20"/>
                <w:spacing w:val="-2"/>
                <w:sz w:val="15"/>
              </w:rPr>
              <w:t>drainage</w:t>
            </w:r>
            <w:r>
              <w:rPr>
                <w:color w:val="231F20"/>
                <w:spacing w:val="-6"/>
                <w:sz w:val="15"/>
              </w:rPr>
              <w:t> </w:t>
            </w:r>
            <w:r>
              <w:rPr>
                <w:color w:val="231F20"/>
                <w:spacing w:val="-2"/>
                <w:sz w:val="15"/>
              </w:rPr>
              <w:t>of </w:t>
            </w:r>
            <w:r>
              <w:rPr>
                <w:color w:val="231F20"/>
                <w:sz w:val="15"/>
              </w:rPr>
              <w:t>orbital abscesses</w:t>
            </w:r>
          </w:p>
        </w:tc>
      </w:tr>
      <w:tr>
        <w:trPr>
          <w:trHeight w:val="751" w:hRule="atLeast"/>
        </w:trPr>
        <w:tc>
          <w:tcPr>
            <w:tcW w:w="1553" w:type="dxa"/>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z w:val="15"/>
              </w:rPr>
              <w:t>Periorbital cellulitis </w:t>
            </w:r>
            <w:r>
              <w:rPr>
                <w:color w:val="231F20"/>
                <w:spacing w:val="-6"/>
                <w:sz w:val="15"/>
              </w:rPr>
              <w:t>(preseptal</w:t>
            </w:r>
            <w:r>
              <w:rPr>
                <w:color w:val="231F20"/>
                <w:sz w:val="15"/>
              </w:rPr>
              <w:t> </w:t>
            </w:r>
            <w:r>
              <w:rPr>
                <w:color w:val="231F20"/>
                <w:spacing w:val="-6"/>
                <w:sz w:val="15"/>
              </w:rPr>
              <w:t>cellulitis)</w:t>
            </w:r>
          </w:p>
        </w:tc>
        <w:tc>
          <w:tcPr>
            <w:tcW w:w="2874" w:type="dxa"/>
            <w:tcBorders>
              <w:top w:val="single" w:sz="4" w:space="0" w:color="FFFFFF"/>
              <w:bottom w:val="single" w:sz="8" w:space="0" w:color="231F20"/>
            </w:tcBorders>
            <w:shd w:val="clear" w:color="auto" w:fill="E8F5F1"/>
          </w:tcPr>
          <w:p>
            <w:pPr>
              <w:pStyle w:val="TableParagraph"/>
              <w:spacing w:line="230" w:lineRule="auto" w:before="48"/>
              <w:ind w:left="277"/>
              <w:rPr>
                <w:sz w:val="15"/>
              </w:rPr>
            </w:pPr>
            <w:r>
              <w:rPr>
                <w:color w:val="231F20"/>
                <w:spacing w:val="-2"/>
                <w:sz w:val="15"/>
              </w:rPr>
              <w:t>Trauma:</w:t>
            </w:r>
            <w:r>
              <w:rPr>
                <w:color w:val="231F20"/>
                <w:spacing w:val="-10"/>
                <w:sz w:val="15"/>
              </w:rPr>
              <w:t> </w:t>
            </w:r>
            <w:r>
              <w:rPr>
                <w:i/>
                <w:color w:val="231F20"/>
                <w:spacing w:val="-2"/>
                <w:sz w:val="15"/>
              </w:rPr>
              <w:t>S.</w:t>
            </w:r>
            <w:r>
              <w:rPr>
                <w:i/>
                <w:color w:val="231F20"/>
                <w:spacing w:val="-9"/>
                <w:sz w:val="15"/>
              </w:rPr>
              <w:t> </w:t>
            </w:r>
            <w:r>
              <w:rPr>
                <w:i/>
                <w:color w:val="231F20"/>
                <w:spacing w:val="-2"/>
                <w:sz w:val="15"/>
              </w:rPr>
              <w:t>aureus,</w:t>
            </w:r>
            <w:r>
              <w:rPr>
                <w:i/>
                <w:color w:val="231F20"/>
                <w:spacing w:val="-9"/>
                <w:sz w:val="15"/>
              </w:rPr>
              <w:t> </w:t>
            </w:r>
            <w:r>
              <w:rPr>
                <w:color w:val="231F20"/>
                <w:spacing w:val="-2"/>
                <w:sz w:val="15"/>
              </w:rPr>
              <w:t>streptococci </w:t>
            </w:r>
            <w:r>
              <w:rPr>
                <w:color w:val="231F20"/>
                <w:sz w:val="15"/>
              </w:rPr>
              <w:t>Bacteremia: pneumococcus,</w:t>
            </w:r>
          </w:p>
          <w:p>
            <w:pPr>
              <w:pStyle w:val="TableParagraph"/>
              <w:spacing w:line="167" w:lineRule="exact"/>
              <w:ind w:left="389"/>
              <w:rPr>
                <w:i/>
                <w:sz w:val="15"/>
              </w:rPr>
            </w:pPr>
            <w:r>
              <w:rPr>
                <w:color w:val="231F20"/>
                <w:spacing w:val="-2"/>
                <w:sz w:val="15"/>
              </w:rPr>
              <w:t>streptococci,</w:t>
            </w:r>
            <w:r>
              <w:rPr>
                <w:color w:val="231F20"/>
                <w:spacing w:val="-6"/>
                <w:sz w:val="15"/>
              </w:rPr>
              <w:t> </w:t>
            </w:r>
            <w:r>
              <w:rPr>
                <w:i/>
                <w:color w:val="231F20"/>
                <w:spacing w:val="-2"/>
                <w:sz w:val="15"/>
              </w:rPr>
              <w:t>H.</w:t>
            </w:r>
            <w:r>
              <w:rPr>
                <w:i/>
                <w:color w:val="231F20"/>
                <w:spacing w:val="-6"/>
                <w:sz w:val="15"/>
              </w:rPr>
              <w:t> </w:t>
            </w:r>
            <w:r>
              <w:rPr>
                <w:i/>
                <w:color w:val="231F20"/>
                <w:spacing w:val="-2"/>
                <w:sz w:val="15"/>
              </w:rPr>
              <w:t>influenzae,</w:t>
            </w:r>
          </w:p>
          <w:p>
            <w:pPr>
              <w:pStyle w:val="TableParagraph"/>
              <w:spacing w:line="171" w:lineRule="exact"/>
              <w:ind w:left="389"/>
              <w:rPr>
                <w:i/>
                <w:sz w:val="15"/>
              </w:rPr>
            </w:pPr>
            <w:r>
              <w:rPr>
                <w:i/>
                <w:color w:val="231F20"/>
                <w:sz w:val="15"/>
              </w:rPr>
              <w:t>S.</w:t>
            </w:r>
            <w:r>
              <w:rPr>
                <w:i/>
                <w:color w:val="231F20"/>
                <w:spacing w:val="-6"/>
                <w:sz w:val="15"/>
              </w:rPr>
              <w:t> </w:t>
            </w:r>
            <w:r>
              <w:rPr>
                <w:i/>
                <w:color w:val="231F20"/>
                <w:spacing w:val="-2"/>
                <w:sz w:val="15"/>
              </w:rPr>
              <w:t>aureus</w:t>
            </w:r>
          </w:p>
        </w:tc>
        <w:tc>
          <w:tcPr>
            <w:tcW w:w="2878" w:type="dxa"/>
            <w:tcBorders>
              <w:top w:val="single" w:sz="4" w:space="0" w:color="FFFFFF"/>
              <w:bottom w:val="single" w:sz="8" w:space="0" w:color="231F20"/>
            </w:tcBorders>
            <w:shd w:val="clear" w:color="auto" w:fill="E8F5F1"/>
          </w:tcPr>
          <w:p>
            <w:pPr>
              <w:pStyle w:val="TableParagraph"/>
              <w:spacing w:line="230" w:lineRule="auto" w:before="48"/>
              <w:ind w:left="259" w:right="162" w:hanging="112"/>
              <w:jc w:val="both"/>
              <w:rPr>
                <w:sz w:val="15"/>
              </w:rPr>
            </w:pPr>
            <w:r>
              <w:rPr>
                <w:color w:val="231F20"/>
                <w:sz w:val="15"/>
              </w:rPr>
              <w:t>Cutaneous</w:t>
            </w:r>
            <w:r>
              <w:rPr>
                <w:color w:val="231F20"/>
                <w:spacing w:val="-12"/>
                <w:sz w:val="15"/>
              </w:rPr>
              <w:t> </w:t>
            </w:r>
            <w:r>
              <w:rPr>
                <w:color w:val="231F20"/>
                <w:sz w:val="15"/>
              </w:rPr>
              <w:t>erythema,</w:t>
            </w:r>
            <w:r>
              <w:rPr>
                <w:color w:val="231F20"/>
                <w:spacing w:val="-11"/>
                <w:sz w:val="15"/>
              </w:rPr>
              <w:t> </w:t>
            </w:r>
            <w:r>
              <w:rPr>
                <w:color w:val="231F20"/>
                <w:sz w:val="15"/>
              </w:rPr>
              <w:t>warmth,</w:t>
            </w:r>
            <w:r>
              <w:rPr>
                <w:color w:val="231F20"/>
                <w:spacing w:val="-11"/>
                <w:sz w:val="15"/>
              </w:rPr>
              <w:t> </w:t>
            </w:r>
            <w:r>
              <w:rPr>
                <w:color w:val="231F20"/>
                <w:sz w:val="15"/>
              </w:rPr>
              <w:t>normal </w:t>
            </w:r>
            <w:r>
              <w:rPr>
                <w:color w:val="231F20"/>
                <w:spacing w:val="-2"/>
                <w:sz w:val="15"/>
              </w:rPr>
              <w:t>vision,</w:t>
            </w:r>
            <w:r>
              <w:rPr>
                <w:color w:val="231F20"/>
                <w:spacing w:val="-5"/>
                <w:sz w:val="15"/>
              </w:rPr>
              <w:t> </w:t>
            </w:r>
            <w:r>
              <w:rPr>
                <w:color w:val="231F20"/>
                <w:spacing w:val="-2"/>
                <w:sz w:val="15"/>
              </w:rPr>
              <w:t>minimal</w:t>
            </w:r>
            <w:r>
              <w:rPr>
                <w:color w:val="231F20"/>
                <w:spacing w:val="-5"/>
                <w:sz w:val="15"/>
              </w:rPr>
              <w:t> </w:t>
            </w:r>
            <w:r>
              <w:rPr>
                <w:color w:val="231F20"/>
                <w:spacing w:val="-2"/>
                <w:sz w:val="15"/>
              </w:rPr>
              <w:t>involvement</w:t>
            </w:r>
            <w:r>
              <w:rPr>
                <w:color w:val="231F20"/>
                <w:spacing w:val="-5"/>
                <w:sz w:val="15"/>
              </w:rPr>
              <w:t> </w:t>
            </w:r>
            <w:r>
              <w:rPr>
                <w:color w:val="231F20"/>
                <w:spacing w:val="-2"/>
                <w:sz w:val="15"/>
              </w:rPr>
              <w:t>of</w:t>
            </w:r>
            <w:r>
              <w:rPr>
                <w:color w:val="231F20"/>
                <w:spacing w:val="-5"/>
                <w:sz w:val="15"/>
              </w:rPr>
              <w:t> </w:t>
            </w:r>
            <w:r>
              <w:rPr>
                <w:color w:val="231F20"/>
                <w:spacing w:val="-2"/>
                <w:sz w:val="15"/>
              </w:rPr>
              <w:t>orbit; </w:t>
            </w:r>
            <w:r>
              <w:rPr>
                <w:color w:val="231F20"/>
                <w:spacing w:val="-4"/>
                <w:sz w:val="15"/>
              </w:rPr>
              <w:t>fever,</w:t>
            </w:r>
            <w:r>
              <w:rPr>
                <w:color w:val="231F20"/>
                <w:spacing w:val="2"/>
                <w:sz w:val="15"/>
              </w:rPr>
              <w:t> </w:t>
            </w:r>
            <w:r>
              <w:rPr>
                <w:color w:val="231F20"/>
                <w:spacing w:val="-4"/>
                <w:sz w:val="15"/>
              </w:rPr>
              <w:t>leukocytosis,</w:t>
            </w:r>
            <w:r>
              <w:rPr>
                <w:color w:val="231F20"/>
                <w:spacing w:val="2"/>
                <w:sz w:val="15"/>
              </w:rPr>
              <w:t> </w:t>
            </w:r>
            <w:r>
              <w:rPr>
                <w:color w:val="231F20"/>
                <w:spacing w:val="-4"/>
                <w:sz w:val="15"/>
              </w:rPr>
              <w:t>toxic</w:t>
            </w:r>
            <w:r>
              <w:rPr>
                <w:color w:val="231F20"/>
                <w:spacing w:val="2"/>
                <w:sz w:val="15"/>
              </w:rPr>
              <w:t> </w:t>
            </w:r>
            <w:r>
              <w:rPr>
                <w:color w:val="231F20"/>
                <w:spacing w:val="-4"/>
                <w:sz w:val="15"/>
              </w:rPr>
              <w:t>appearance</w:t>
            </w:r>
          </w:p>
        </w:tc>
        <w:tc>
          <w:tcPr>
            <w:tcW w:w="2435" w:type="dxa"/>
            <w:tcBorders>
              <w:top w:val="single" w:sz="4" w:space="0" w:color="FFFFFF"/>
              <w:bottom w:val="single" w:sz="8" w:space="0" w:color="231F20"/>
            </w:tcBorders>
            <w:shd w:val="clear" w:color="auto" w:fill="E8F5F1"/>
          </w:tcPr>
          <w:p>
            <w:pPr>
              <w:pStyle w:val="TableParagraph"/>
              <w:spacing w:before="42"/>
              <w:ind w:left="148"/>
              <w:rPr>
                <w:sz w:val="15"/>
              </w:rPr>
            </w:pPr>
            <w:r>
              <w:rPr>
                <w:color w:val="231F20"/>
                <w:sz w:val="15"/>
              </w:rPr>
              <w:t>Systemic</w:t>
            </w:r>
            <w:r>
              <w:rPr>
                <w:color w:val="231F20"/>
                <w:spacing w:val="-11"/>
                <w:sz w:val="15"/>
              </w:rPr>
              <w:t> </w:t>
            </w:r>
            <w:r>
              <w:rPr>
                <w:color w:val="231F20"/>
                <w:spacing w:val="-2"/>
                <w:sz w:val="15"/>
              </w:rPr>
              <w:t>antibiotics</w:t>
            </w:r>
          </w:p>
        </w:tc>
      </w:tr>
    </w:tbl>
    <w:p>
      <w:pPr>
        <w:pStyle w:val="BodyText"/>
        <w:spacing w:line="150" w:lineRule="exact" w:before="83"/>
        <w:ind w:left="539"/>
      </w:pPr>
      <w:r>
        <w:rPr>
          <w:color w:val="231F20"/>
        </w:rPr>
        <w:t>CMV,</w:t>
      </w:r>
      <w:r>
        <w:rPr>
          <w:color w:val="231F20"/>
          <w:spacing w:val="-9"/>
        </w:rPr>
        <w:t> </w:t>
      </w:r>
      <w:r>
        <w:rPr>
          <w:color w:val="231F20"/>
        </w:rPr>
        <w:t>cytomegalovirus;</w:t>
      </w:r>
      <w:r>
        <w:rPr>
          <w:color w:val="231F20"/>
          <w:spacing w:val="-9"/>
        </w:rPr>
        <w:t> </w:t>
      </w:r>
      <w:r>
        <w:rPr>
          <w:color w:val="231F20"/>
        </w:rPr>
        <w:t>EBV,</w:t>
      </w:r>
      <w:r>
        <w:rPr>
          <w:color w:val="231F20"/>
          <w:spacing w:val="-9"/>
        </w:rPr>
        <w:t> </w:t>
      </w:r>
      <w:r>
        <w:rPr>
          <w:color w:val="231F20"/>
        </w:rPr>
        <w:t>Epstein-Barr</w:t>
      </w:r>
      <w:r>
        <w:rPr>
          <w:color w:val="231F20"/>
          <w:spacing w:val="-8"/>
        </w:rPr>
        <w:t> </w:t>
      </w:r>
      <w:r>
        <w:rPr>
          <w:color w:val="231F20"/>
        </w:rPr>
        <w:t>virus;</w:t>
      </w:r>
      <w:r>
        <w:rPr>
          <w:color w:val="231F20"/>
          <w:spacing w:val="-9"/>
        </w:rPr>
        <w:t> </w:t>
      </w:r>
      <w:r>
        <w:rPr>
          <w:color w:val="231F20"/>
        </w:rPr>
        <w:t>JIA,</w:t>
      </w:r>
      <w:r>
        <w:rPr>
          <w:color w:val="231F20"/>
          <w:spacing w:val="-9"/>
        </w:rPr>
        <w:t> </w:t>
      </w:r>
      <w:r>
        <w:rPr>
          <w:color w:val="231F20"/>
        </w:rPr>
        <w:t>juvenile</w:t>
      </w:r>
      <w:r>
        <w:rPr>
          <w:color w:val="231F20"/>
          <w:spacing w:val="-8"/>
        </w:rPr>
        <w:t> </w:t>
      </w:r>
      <w:r>
        <w:rPr>
          <w:color w:val="231F20"/>
        </w:rPr>
        <w:t>idiopathic</w:t>
      </w:r>
      <w:r>
        <w:rPr>
          <w:color w:val="231F20"/>
          <w:spacing w:val="-9"/>
        </w:rPr>
        <w:t> </w:t>
      </w:r>
      <w:r>
        <w:rPr>
          <w:color w:val="231F20"/>
        </w:rPr>
        <w:t>arthritis;</w:t>
      </w:r>
      <w:r>
        <w:rPr>
          <w:color w:val="231F20"/>
          <w:spacing w:val="-9"/>
        </w:rPr>
        <w:t> </w:t>
      </w:r>
      <w:r>
        <w:rPr>
          <w:color w:val="231F20"/>
        </w:rPr>
        <w:t>SLE,</w:t>
      </w:r>
      <w:r>
        <w:rPr>
          <w:color w:val="231F20"/>
          <w:spacing w:val="-8"/>
        </w:rPr>
        <w:t> </w:t>
      </w:r>
      <w:r>
        <w:rPr>
          <w:color w:val="231F20"/>
        </w:rPr>
        <w:t>systemic</w:t>
      </w:r>
      <w:r>
        <w:rPr>
          <w:color w:val="231F20"/>
          <w:spacing w:val="-9"/>
        </w:rPr>
        <w:t> </w:t>
      </w:r>
      <w:r>
        <w:rPr>
          <w:color w:val="231F20"/>
        </w:rPr>
        <w:t>lupus</w:t>
      </w:r>
      <w:r>
        <w:rPr>
          <w:color w:val="231F20"/>
          <w:spacing w:val="-9"/>
        </w:rPr>
        <w:t> </w:t>
      </w:r>
      <w:r>
        <w:rPr>
          <w:color w:val="231F20"/>
          <w:spacing w:val="-2"/>
        </w:rPr>
        <w:t>erythematosus.</w:t>
      </w:r>
    </w:p>
    <w:p>
      <w:pPr>
        <w:spacing w:line="150" w:lineRule="exact" w:before="0"/>
        <w:ind w:left="670" w:right="0" w:firstLine="0"/>
        <w:jc w:val="left"/>
        <w:rPr>
          <w:i/>
          <w:sz w:val="13"/>
        </w:rPr>
      </w:pPr>
      <w:r>
        <w:rPr>
          <w:i/>
          <w:color w:val="231F20"/>
          <w:sz w:val="13"/>
        </w:rPr>
        <w:t>From</w:t>
      </w:r>
      <w:r>
        <w:rPr>
          <w:i/>
          <w:color w:val="231F20"/>
          <w:spacing w:val="-4"/>
          <w:sz w:val="13"/>
        </w:rPr>
        <w:t> </w:t>
      </w:r>
      <w:r>
        <w:rPr>
          <w:i/>
          <w:color w:val="231F20"/>
          <w:sz w:val="13"/>
        </w:rPr>
        <w:t>Behrman</w:t>
      </w:r>
      <w:r>
        <w:rPr>
          <w:i/>
          <w:color w:val="231F20"/>
          <w:spacing w:val="-4"/>
          <w:sz w:val="13"/>
        </w:rPr>
        <w:t> </w:t>
      </w:r>
      <w:r>
        <w:rPr>
          <w:i/>
          <w:color w:val="231F20"/>
          <w:sz w:val="13"/>
        </w:rPr>
        <w:t>R,</w:t>
      </w:r>
      <w:r>
        <w:rPr>
          <w:i/>
          <w:color w:val="231F20"/>
          <w:spacing w:val="-4"/>
          <w:sz w:val="13"/>
        </w:rPr>
        <w:t> </w:t>
      </w:r>
      <w:r>
        <w:rPr>
          <w:i/>
          <w:color w:val="231F20"/>
          <w:sz w:val="13"/>
        </w:rPr>
        <w:t>Kliegman</w:t>
      </w:r>
      <w:r>
        <w:rPr>
          <w:i/>
          <w:color w:val="231F20"/>
          <w:spacing w:val="-4"/>
          <w:sz w:val="13"/>
        </w:rPr>
        <w:t> </w:t>
      </w:r>
      <w:r>
        <w:rPr>
          <w:i/>
          <w:color w:val="231F20"/>
          <w:sz w:val="13"/>
        </w:rPr>
        <w:t>R:</w:t>
      </w:r>
      <w:r>
        <w:rPr>
          <w:i/>
          <w:color w:val="231F20"/>
          <w:spacing w:val="-3"/>
          <w:sz w:val="13"/>
        </w:rPr>
        <w:t> </w:t>
      </w:r>
      <w:r>
        <w:rPr>
          <w:color w:val="231F20"/>
          <w:sz w:val="13"/>
        </w:rPr>
        <w:t>Nelson’s</w:t>
      </w:r>
      <w:r>
        <w:rPr>
          <w:color w:val="231F20"/>
          <w:spacing w:val="-4"/>
          <w:sz w:val="13"/>
        </w:rPr>
        <w:t> </w:t>
      </w:r>
      <w:r>
        <w:rPr>
          <w:color w:val="231F20"/>
          <w:sz w:val="13"/>
        </w:rPr>
        <w:t>essentials</w:t>
      </w:r>
      <w:r>
        <w:rPr>
          <w:color w:val="231F20"/>
          <w:spacing w:val="-4"/>
          <w:sz w:val="13"/>
        </w:rPr>
        <w:t> </w:t>
      </w:r>
      <w:r>
        <w:rPr>
          <w:color w:val="231F20"/>
          <w:sz w:val="13"/>
        </w:rPr>
        <w:t>of</w:t>
      </w:r>
      <w:r>
        <w:rPr>
          <w:color w:val="231F20"/>
          <w:spacing w:val="-4"/>
          <w:sz w:val="13"/>
        </w:rPr>
        <w:t> </w:t>
      </w:r>
      <w:r>
        <w:rPr>
          <w:color w:val="231F20"/>
          <w:sz w:val="13"/>
        </w:rPr>
        <w:t>pediatrics,</w:t>
      </w:r>
      <w:r>
        <w:rPr>
          <w:color w:val="231F20"/>
          <w:spacing w:val="-4"/>
          <w:sz w:val="13"/>
        </w:rPr>
        <w:t> </w:t>
      </w:r>
      <w:r>
        <w:rPr>
          <w:i/>
          <w:color w:val="231F20"/>
          <w:sz w:val="13"/>
        </w:rPr>
        <w:t>ed</w:t>
      </w:r>
      <w:r>
        <w:rPr>
          <w:i/>
          <w:color w:val="231F20"/>
          <w:spacing w:val="-3"/>
          <w:sz w:val="13"/>
        </w:rPr>
        <w:t> </w:t>
      </w:r>
      <w:r>
        <w:rPr>
          <w:i/>
          <w:color w:val="231F20"/>
          <w:sz w:val="13"/>
        </w:rPr>
        <w:t>3,</w:t>
      </w:r>
      <w:r>
        <w:rPr>
          <w:i/>
          <w:color w:val="231F20"/>
          <w:spacing w:val="-4"/>
          <w:sz w:val="13"/>
        </w:rPr>
        <w:t> </w:t>
      </w:r>
      <w:r>
        <w:rPr>
          <w:i/>
          <w:color w:val="231F20"/>
          <w:sz w:val="13"/>
        </w:rPr>
        <w:t>Philadelphia,</w:t>
      </w:r>
      <w:r>
        <w:rPr>
          <w:i/>
          <w:color w:val="231F20"/>
          <w:spacing w:val="-4"/>
          <w:sz w:val="13"/>
        </w:rPr>
        <w:t> </w:t>
      </w:r>
      <w:r>
        <w:rPr>
          <w:i/>
          <w:color w:val="231F20"/>
          <w:sz w:val="13"/>
        </w:rPr>
        <w:t>1998,</w:t>
      </w:r>
      <w:r>
        <w:rPr>
          <w:i/>
          <w:color w:val="231F20"/>
          <w:spacing w:val="-4"/>
          <w:sz w:val="13"/>
        </w:rPr>
        <w:t> </w:t>
      </w:r>
      <w:r>
        <w:rPr>
          <w:i/>
          <w:color w:val="231F20"/>
          <w:sz w:val="13"/>
        </w:rPr>
        <w:t>WB</w:t>
      </w:r>
      <w:r>
        <w:rPr>
          <w:i/>
          <w:color w:val="231F20"/>
          <w:spacing w:val="-4"/>
          <w:sz w:val="13"/>
        </w:rPr>
        <w:t> </w:t>
      </w:r>
      <w:r>
        <w:rPr>
          <w:i/>
          <w:color w:val="231F20"/>
          <w:spacing w:val="-2"/>
          <w:sz w:val="13"/>
        </w:rPr>
        <w:t>Saunders.</w:t>
      </w:r>
    </w:p>
    <w:p>
      <w:pPr>
        <w:spacing w:after="0" w:line="150" w:lineRule="exact"/>
        <w:jc w:val="left"/>
        <w:rPr>
          <w:i/>
          <w:sz w:val="13"/>
        </w:rPr>
        <w:sectPr>
          <w:pgSz w:w="11900" w:h="16840"/>
          <w:pgMar w:header="0"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296" name="Group 1296"/>
                <wp:cNvGraphicFramePr>
                  <a:graphicFrameLocks/>
                </wp:cNvGraphicFramePr>
                <a:graphic>
                  <a:graphicData uri="http://schemas.microsoft.com/office/word/2010/wordprocessingGroup">
                    <wpg:wgp>
                      <wpg:cNvPr id="1296" name="Group 1296"/>
                      <wpg:cNvGrpSpPr/>
                      <wpg:grpSpPr>
                        <a:xfrm>
                          <a:off x="0" y="0"/>
                          <a:ext cx="6185535" cy="170815"/>
                          <a:chExt cx="6185535" cy="170815"/>
                        </a:xfrm>
                      </wpg:grpSpPr>
                      <wps:wsp>
                        <wps:cNvPr id="1297" name="Graphic 1297"/>
                        <wps:cNvSpPr/>
                        <wps:spPr>
                          <a:xfrm>
                            <a:off x="0"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298" name="Graphic 1298"/>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299" name="Textbox 1299"/>
                        <wps:cNvSpPr txBox="1"/>
                        <wps:spPr>
                          <a:xfrm>
                            <a:off x="0" y="0"/>
                            <a:ext cx="6185535" cy="170815"/>
                          </a:xfrm>
                          <a:prstGeom prst="rect">
                            <a:avLst/>
                          </a:prstGeom>
                        </wps:spPr>
                        <wps:txbx>
                          <w:txbxContent>
                            <w:p>
                              <w:pPr>
                                <w:spacing w:before="6"/>
                                <w:ind w:left="5261" w:right="-15" w:firstLine="0"/>
                                <w:jc w:val="left"/>
                                <w:rPr>
                                  <w:b/>
                                  <w:sz w:val="18"/>
                                </w:rPr>
                              </w:pPr>
                              <w:r>
                                <w:rPr>
                                  <w:b/>
                                  <w:color w:val="2E3092"/>
                                  <w:w w:val="105"/>
                                  <w:sz w:val="18"/>
                                </w:rPr>
                                <w:t>Chapter</w:t>
                              </w:r>
                              <w:r>
                                <w:rPr>
                                  <w:b/>
                                  <w:color w:val="2E3092"/>
                                  <w:spacing w:val="8"/>
                                  <w:w w:val="105"/>
                                  <w:sz w:val="18"/>
                                </w:rPr>
                                <w:t> </w:t>
                              </w:r>
                              <w:r>
                                <w:rPr>
                                  <w:b/>
                                  <w:color w:val="2E3092"/>
                                  <w:w w:val="105"/>
                                  <w:sz w:val="18"/>
                                </w:rPr>
                                <w:t>626</w:t>
                              </w:r>
                              <w:r>
                                <w:rPr>
                                  <w:b/>
                                  <w:color w:val="2E3092"/>
                                  <w:spacing w:val="35"/>
                                  <w:w w:val="105"/>
                                  <w:sz w:val="18"/>
                                </w:rPr>
                                <w:t> </w:t>
                              </w:r>
                              <w:r>
                                <w:rPr>
                                  <w:rFonts w:ascii="Lucida Sans Unicode" w:hAnsi="Lucida Sans Unicode"/>
                                  <w:color w:val="7670B3"/>
                                  <w:w w:val="105"/>
                                  <w:sz w:val="15"/>
                                </w:rPr>
                                <w:t>◆</w:t>
                              </w:r>
                              <w:r>
                                <w:rPr>
                                  <w:rFonts w:ascii="Lucida Sans Unicode" w:hAnsi="Lucida Sans Unicode"/>
                                  <w:color w:val="7670B3"/>
                                  <w:spacing w:val="42"/>
                                  <w:w w:val="105"/>
                                  <w:sz w:val="15"/>
                                </w:rPr>
                                <w:t> </w:t>
                              </w:r>
                              <w:r>
                                <w:rPr>
                                  <w:color w:val="231F20"/>
                                  <w:w w:val="105"/>
                                  <w:sz w:val="18"/>
                                </w:rPr>
                                <w:t>Disorders</w:t>
                              </w:r>
                              <w:r>
                                <w:rPr>
                                  <w:color w:val="231F20"/>
                                  <w:spacing w:val="5"/>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5"/>
                                  <w:w w:val="105"/>
                                  <w:sz w:val="18"/>
                                </w:rPr>
                                <w:t> </w:t>
                              </w:r>
                              <w:r>
                                <w:rPr>
                                  <w:color w:val="231F20"/>
                                  <w:w w:val="105"/>
                                  <w:sz w:val="18"/>
                                </w:rPr>
                                <w:t>Conjunctiva</w:t>
                              </w:r>
                              <w:r>
                                <w:rPr>
                                  <w:color w:val="231F20"/>
                                  <w:spacing w:val="35"/>
                                  <w:w w:val="105"/>
                                  <w:sz w:val="18"/>
                                </w:rPr>
                                <w:t>  </w:t>
                              </w:r>
                              <w:r>
                                <w:rPr>
                                  <w:b/>
                                  <w:color w:val="231F20"/>
                                  <w:spacing w:val="-4"/>
                                  <w:w w:val="105"/>
                                  <w:sz w:val="18"/>
                                </w:rPr>
                                <w:t>3039</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27" coordorigin="0,0" coordsize="9741,269">
                <v:line style="position:absolute" from="0,145" to="37,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1028" filled="false" stroked="false">
                  <v:textbox inset="0,0,0,0">
                    <w:txbxContent>
                      <w:p>
                        <w:pPr>
                          <w:spacing w:before="6"/>
                          <w:ind w:left="5261" w:right="-15" w:firstLine="0"/>
                          <w:jc w:val="left"/>
                          <w:rPr>
                            <w:b/>
                            <w:sz w:val="18"/>
                          </w:rPr>
                        </w:pPr>
                        <w:r>
                          <w:rPr>
                            <w:b/>
                            <w:color w:val="2E3092"/>
                            <w:w w:val="105"/>
                            <w:sz w:val="18"/>
                          </w:rPr>
                          <w:t>Chapter</w:t>
                        </w:r>
                        <w:r>
                          <w:rPr>
                            <w:b/>
                            <w:color w:val="2E3092"/>
                            <w:spacing w:val="8"/>
                            <w:w w:val="105"/>
                            <w:sz w:val="18"/>
                          </w:rPr>
                          <w:t> </w:t>
                        </w:r>
                        <w:r>
                          <w:rPr>
                            <w:b/>
                            <w:color w:val="2E3092"/>
                            <w:w w:val="105"/>
                            <w:sz w:val="18"/>
                          </w:rPr>
                          <w:t>626</w:t>
                        </w:r>
                        <w:r>
                          <w:rPr>
                            <w:b/>
                            <w:color w:val="2E3092"/>
                            <w:spacing w:val="35"/>
                            <w:w w:val="105"/>
                            <w:sz w:val="18"/>
                          </w:rPr>
                          <w:t> </w:t>
                        </w:r>
                        <w:r>
                          <w:rPr>
                            <w:rFonts w:ascii="Lucida Sans Unicode" w:hAnsi="Lucida Sans Unicode"/>
                            <w:color w:val="7670B3"/>
                            <w:w w:val="105"/>
                            <w:sz w:val="15"/>
                          </w:rPr>
                          <w:t>◆</w:t>
                        </w:r>
                        <w:r>
                          <w:rPr>
                            <w:rFonts w:ascii="Lucida Sans Unicode" w:hAnsi="Lucida Sans Unicode"/>
                            <w:color w:val="7670B3"/>
                            <w:spacing w:val="42"/>
                            <w:w w:val="105"/>
                            <w:sz w:val="15"/>
                          </w:rPr>
                          <w:t> </w:t>
                        </w:r>
                        <w:r>
                          <w:rPr>
                            <w:color w:val="231F20"/>
                            <w:w w:val="105"/>
                            <w:sz w:val="18"/>
                          </w:rPr>
                          <w:t>Disorders</w:t>
                        </w:r>
                        <w:r>
                          <w:rPr>
                            <w:color w:val="231F20"/>
                            <w:spacing w:val="5"/>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5"/>
                            <w:w w:val="105"/>
                            <w:sz w:val="18"/>
                          </w:rPr>
                          <w:t> </w:t>
                        </w:r>
                        <w:r>
                          <w:rPr>
                            <w:color w:val="231F20"/>
                            <w:w w:val="105"/>
                            <w:sz w:val="18"/>
                          </w:rPr>
                          <w:t>Conjunctiva</w:t>
                        </w:r>
                        <w:r>
                          <w:rPr>
                            <w:color w:val="231F20"/>
                            <w:spacing w:val="35"/>
                            <w:w w:val="105"/>
                            <w:sz w:val="18"/>
                          </w:rPr>
                          <w:t>  </w:t>
                        </w:r>
                        <w:r>
                          <w:rPr>
                            <w:b/>
                            <w:color w:val="231F20"/>
                            <w:spacing w:val="-4"/>
                            <w:w w:val="105"/>
                            <w:sz w:val="18"/>
                          </w:rPr>
                          <w:t>3039</w:t>
                        </w:r>
                      </w:p>
                    </w:txbxContent>
                  </v:textbox>
                  <w10:wrap type="none"/>
                </v:shape>
              </v:group>
            </w:pict>
          </mc:Fallback>
        </mc:AlternateContent>
      </w:r>
      <w:r>
        <w:rPr>
          <w:sz w:val="20"/>
        </w:rPr>
      </w:r>
    </w:p>
    <w:p>
      <w:pPr>
        <w:pStyle w:val="BodyText"/>
        <w:spacing w:before="11"/>
        <w:rPr>
          <w:i/>
          <w:sz w:val="15"/>
        </w:rPr>
      </w:pPr>
    </w:p>
    <w:tbl>
      <w:tblPr>
        <w:tblW w:w="0" w:type="auto"/>
        <w:jc w:val="left"/>
        <w:tblInd w:w="5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79"/>
        <w:gridCol w:w="5014"/>
      </w:tblGrid>
      <w:tr>
        <w:trPr>
          <w:trHeight w:val="354" w:hRule="atLeast"/>
        </w:trPr>
        <w:tc>
          <w:tcPr>
            <w:tcW w:w="1148" w:type="dxa"/>
            <w:tcBorders>
              <w:right w:val="single" w:sz="8" w:space="0" w:color="FFFFFF"/>
            </w:tcBorders>
            <w:shd w:val="clear" w:color="auto" w:fill="231F20"/>
          </w:tcPr>
          <w:p>
            <w:pPr>
              <w:pStyle w:val="TableParagraph"/>
              <w:spacing w:before="89"/>
              <w:ind w:left="112"/>
              <w:rPr>
                <w:b/>
                <w:sz w:val="16"/>
              </w:rPr>
            </w:pPr>
            <w:r>
              <w:rPr>
                <w:b/>
                <w:color w:val="FFFFFF"/>
                <w:w w:val="105"/>
                <w:sz w:val="16"/>
              </w:rPr>
              <w:t>Table</w:t>
            </w:r>
            <w:r>
              <w:rPr>
                <w:b/>
                <w:color w:val="FFFFFF"/>
                <w:spacing w:val="-3"/>
                <w:w w:val="105"/>
                <w:sz w:val="16"/>
              </w:rPr>
              <w:t> </w:t>
            </w:r>
            <w:r>
              <w:rPr>
                <w:b/>
                <w:color w:val="FFFFFF"/>
                <w:w w:val="105"/>
                <w:sz w:val="16"/>
              </w:rPr>
              <w:t>626-</w:t>
            </w:r>
            <w:r>
              <w:rPr>
                <w:b/>
                <w:color w:val="FFFFFF"/>
                <w:spacing w:val="-10"/>
                <w:w w:val="105"/>
                <w:sz w:val="16"/>
              </w:rPr>
              <w:t>2</w:t>
            </w:r>
          </w:p>
        </w:tc>
        <w:tc>
          <w:tcPr>
            <w:tcW w:w="8593" w:type="dxa"/>
            <w:gridSpan w:val="2"/>
            <w:tcBorders>
              <w:left w:val="single" w:sz="8" w:space="0" w:color="FFFFFF"/>
            </w:tcBorders>
            <w:shd w:val="clear" w:color="auto" w:fill="231F20"/>
          </w:tcPr>
          <w:p>
            <w:pPr>
              <w:pStyle w:val="TableParagraph"/>
              <w:spacing w:before="89"/>
              <w:ind w:left="74"/>
              <w:rPr>
                <w:sz w:val="16"/>
              </w:rPr>
            </w:pPr>
            <w:r>
              <w:rPr>
                <w:color w:val="FFFFFF"/>
                <w:w w:val="105"/>
                <w:sz w:val="16"/>
              </w:rPr>
              <w:t>Topical</w:t>
            </w:r>
            <w:r>
              <w:rPr>
                <w:color w:val="FFFFFF"/>
                <w:spacing w:val="-4"/>
                <w:w w:val="105"/>
                <w:sz w:val="16"/>
              </w:rPr>
              <w:t> </w:t>
            </w:r>
            <w:r>
              <w:rPr>
                <w:color w:val="FFFFFF"/>
                <w:w w:val="105"/>
                <w:sz w:val="16"/>
              </w:rPr>
              <w:t>Antibiotics</w:t>
            </w:r>
            <w:r>
              <w:rPr>
                <w:color w:val="FFFFFF"/>
                <w:spacing w:val="-4"/>
                <w:w w:val="105"/>
                <w:sz w:val="16"/>
              </w:rPr>
              <w:t> </w:t>
            </w:r>
            <w:r>
              <w:rPr>
                <w:color w:val="FFFFFF"/>
                <w:w w:val="105"/>
                <w:sz w:val="16"/>
              </w:rPr>
              <w:t>Used</w:t>
            </w:r>
            <w:r>
              <w:rPr>
                <w:color w:val="FFFFFF"/>
                <w:spacing w:val="-3"/>
                <w:w w:val="105"/>
                <w:sz w:val="16"/>
              </w:rPr>
              <w:t> </w:t>
            </w:r>
            <w:r>
              <w:rPr>
                <w:color w:val="FFFFFF"/>
                <w:w w:val="105"/>
                <w:sz w:val="16"/>
              </w:rPr>
              <w:t>to</w:t>
            </w:r>
            <w:r>
              <w:rPr>
                <w:color w:val="FFFFFF"/>
                <w:spacing w:val="-4"/>
                <w:w w:val="105"/>
                <w:sz w:val="16"/>
              </w:rPr>
              <w:t> </w:t>
            </w:r>
            <w:r>
              <w:rPr>
                <w:color w:val="FFFFFF"/>
                <w:w w:val="105"/>
                <w:sz w:val="16"/>
              </w:rPr>
              <w:t>Treat</w:t>
            </w:r>
            <w:r>
              <w:rPr>
                <w:color w:val="FFFFFF"/>
                <w:spacing w:val="-3"/>
                <w:w w:val="105"/>
                <w:sz w:val="16"/>
              </w:rPr>
              <w:t> </w:t>
            </w:r>
            <w:r>
              <w:rPr>
                <w:color w:val="FFFFFF"/>
                <w:w w:val="105"/>
                <w:sz w:val="16"/>
              </w:rPr>
              <w:t>Bacterial</w:t>
            </w:r>
            <w:r>
              <w:rPr>
                <w:color w:val="FFFFFF"/>
                <w:spacing w:val="-4"/>
                <w:w w:val="105"/>
                <w:sz w:val="16"/>
              </w:rPr>
              <w:t> </w:t>
            </w:r>
            <w:r>
              <w:rPr>
                <w:color w:val="FFFFFF"/>
                <w:w w:val="105"/>
                <w:sz w:val="16"/>
              </w:rPr>
              <w:t>Conjunctivitis:</w:t>
            </w:r>
            <w:r>
              <w:rPr>
                <w:color w:val="FFFFFF"/>
                <w:spacing w:val="-4"/>
                <w:w w:val="105"/>
                <w:sz w:val="16"/>
              </w:rPr>
              <w:t> </w:t>
            </w:r>
            <w:r>
              <w:rPr>
                <w:color w:val="FFFFFF"/>
                <w:w w:val="105"/>
                <w:sz w:val="16"/>
              </w:rPr>
              <w:t>Adult</w:t>
            </w:r>
            <w:r>
              <w:rPr>
                <w:color w:val="FFFFFF"/>
                <w:spacing w:val="-3"/>
                <w:w w:val="105"/>
                <w:sz w:val="16"/>
              </w:rPr>
              <w:t> </w:t>
            </w:r>
            <w:r>
              <w:rPr>
                <w:color w:val="FFFFFF"/>
                <w:spacing w:val="-2"/>
                <w:w w:val="105"/>
                <w:sz w:val="16"/>
              </w:rPr>
              <w:t>Dosages</w:t>
            </w:r>
          </w:p>
        </w:tc>
      </w:tr>
      <w:tr>
        <w:trPr>
          <w:trHeight w:val="276" w:hRule="atLeast"/>
        </w:trPr>
        <w:tc>
          <w:tcPr>
            <w:tcW w:w="4727" w:type="dxa"/>
            <w:gridSpan w:val="2"/>
            <w:tcBorders>
              <w:bottom w:val="single" w:sz="4" w:space="0" w:color="231F20"/>
            </w:tcBorders>
            <w:shd w:val="clear" w:color="auto" w:fill="E8F5F1"/>
          </w:tcPr>
          <w:p>
            <w:pPr>
              <w:pStyle w:val="TableParagraph"/>
              <w:spacing w:before="66"/>
              <w:ind w:left="75"/>
              <w:rPr>
                <w:b/>
                <w:sz w:val="15"/>
              </w:rPr>
            </w:pPr>
            <w:r>
              <w:rPr>
                <w:b/>
                <w:color w:val="231F20"/>
                <w:spacing w:val="-4"/>
                <w:w w:val="110"/>
                <w:sz w:val="15"/>
              </w:rPr>
              <w:t>DRUG</w:t>
            </w:r>
          </w:p>
        </w:tc>
        <w:tc>
          <w:tcPr>
            <w:tcW w:w="5014" w:type="dxa"/>
            <w:tcBorders>
              <w:bottom w:val="single" w:sz="4" w:space="0" w:color="231F20"/>
            </w:tcBorders>
            <w:shd w:val="clear" w:color="auto" w:fill="E8F5F1"/>
          </w:tcPr>
          <w:p>
            <w:pPr>
              <w:pStyle w:val="TableParagraph"/>
              <w:spacing w:before="66"/>
              <w:ind w:left="92"/>
              <w:jc w:val="center"/>
              <w:rPr>
                <w:b/>
                <w:sz w:val="15"/>
              </w:rPr>
            </w:pPr>
            <w:r>
              <w:rPr>
                <w:b/>
                <w:color w:val="231F20"/>
                <w:spacing w:val="-2"/>
                <w:w w:val="115"/>
                <w:sz w:val="15"/>
              </w:rPr>
              <w:t>DOSAGE</w:t>
            </w:r>
          </w:p>
        </w:tc>
      </w:tr>
      <w:tr>
        <w:trPr>
          <w:trHeight w:val="257" w:hRule="atLeast"/>
        </w:trPr>
        <w:tc>
          <w:tcPr>
            <w:tcW w:w="4727" w:type="dxa"/>
            <w:gridSpan w:val="2"/>
            <w:tcBorders>
              <w:top w:val="single" w:sz="4" w:space="0" w:color="231F20"/>
              <w:bottom w:val="single" w:sz="4" w:space="0" w:color="FFFFFF"/>
            </w:tcBorders>
            <w:shd w:val="clear" w:color="auto" w:fill="E8F5F1"/>
          </w:tcPr>
          <w:p>
            <w:pPr>
              <w:pStyle w:val="TableParagraph"/>
              <w:spacing w:before="47"/>
              <w:ind w:left="75"/>
              <w:rPr>
                <w:sz w:val="15"/>
              </w:rPr>
            </w:pPr>
            <w:r>
              <w:rPr>
                <w:color w:val="231F20"/>
                <w:spacing w:val="-4"/>
                <w:sz w:val="15"/>
              </w:rPr>
              <w:t>Bacitracin</w:t>
            </w:r>
            <w:r>
              <w:rPr>
                <w:color w:val="231F20"/>
                <w:sz w:val="15"/>
              </w:rPr>
              <w:t> </w:t>
            </w:r>
            <w:r>
              <w:rPr>
                <w:color w:val="231F20"/>
                <w:spacing w:val="-4"/>
                <w:sz w:val="15"/>
              </w:rPr>
              <w:t>(AK-Tracin,</w:t>
            </w:r>
            <w:r>
              <w:rPr>
                <w:color w:val="231F20"/>
                <w:spacing w:val="1"/>
                <w:sz w:val="15"/>
              </w:rPr>
              <w:t> </w:t>
            </w:r>
            <w:r>
              <w:rPr>
                <w:color w:val="231F20"/>
                <w:spacing w:val="-4"/>
                <w:sz w:val="15"/>
              </w:rPr>
              <w:t>Bacticin)</w:t>
            </w:r>
            <w:r>
              <w:rPr>
                <w:color w:val="231F20"/>
                <w:sz w:val="15"/>
              </w:rPr>
              <w:t> </w:t>
            </w:r>
            <w:r>
              <w:rPr>
                <w:color w:val="231F20"/>
                <w:spacing w:val="-4"/>
                <w:sz w:val="15"/>
              </w:rPr>
              <w:t>ointment</w:t>
            </w:r>
          </w:p>
        </w:tc>
        <w:tc>
          <w:tcPr>
            <w:tcW w:w="5014" w:type="dxa"/>
            <w:tcBorders>
              <w:top w:val="single" w:sz="4" w:space="0" w:color="231F20"/>
              <w:bottom w:val="single" w:sz="4" w:space="0" w:color="FFFFFF"/>
            </w:tcBorders>
            <w:shd w:val="clear" w:color="auto" w:fill="E8F5F1"/>
          </w:tcPr>
          <w:p>
            <w:pPr>
              <w:pStyle w:val="TableParagraph"/>
              <w:spacing w:before="47"/>
              <w:ind w:left="166"/>
              <w:rPr>
                <w:sz w:val="15"/>
              </w:rPr>
            </w:pPr>
            <w:r>
              <w:rPr>
                <w:color w:val="231F20"/>
                <w:sz w:val="15"/>
              </w:rPr>
              <w:t>Apply</w:t>
            </w:r>
            <w:r>
              <w:rPr>
                <w:color w:val="231F20"/>
                <w:spacing w:val="-4"/>
                <w:sz w:val="15"/>
              </w:rPr>
              <w:t> </w:t>
            </w:r>
            <w:r>
              <w:rPr>
                <w:color w:val="231F20"/>
                <w:sz w:val="15"/>
              </w:rPr>
              <w:t>0.5</w:t>
            </w:r>
            <w:r>
              <w:rPr>
                <w:color w:val="231F20"/>
                <w:spacing w:val="-4"/>
                <w:sz w:val="15"/>
              </w:rPr>
              <w:t> </w:t>
            </w:r>
            <w:r>
              <w:rPr>
                <w:color w:val="231F20"/>
                <w:sz w:val="15"/>
              </w:rPr>
              <w:t>inch</w:t>
            </w:r>
            <w:r>
              <w:rPr>
                <w:color w:val="231F20"/>
                <w:spacing w:val="-4"/>
                <w:sz w:val="15"/>
              </w:rPr>
              <w:t> </w:t>
            </w:r>
            <w:r>
              <w:rPr>
                <w:color w:val="231F20"/>
                <w:sz w:val="15"/>
              </w:rPr>
              <w:t>in</w:t>
            </w:r>
            <w:r>
              <w:rPr>
                <w:color w:val="231F20"/>
                <w:spacing w:val="-3"/>
                <w:sz w:val="15"/>
              </w:rPr>
              <w:t> </w:t>
            </w:r>
            <w:r>
              <w:rPr>
                <w:color w:val="231F20"/>
                <w:sz w:val="15"/>
              </w:rPr>
              <w:t>eye</w:t>
            </w:r>
            <w:r>
              <w:rPr>
                <w:color w:val="231F20"/>
                <w:spacing w:val="-4"/>
                <w:sz w:val="15"/>
              </w:rPr>
              <w:t> </w:t>
            </w:r>
            <w:r>
              <w:rPr>
                <w:color w:val="231F20"/>
                <w:sz w:val="15"/>
              </w:rPr>
              <w:t>q3-</w:t>
            </w:r>
            <w:r>
              <w:rPr>
                <w:color w:val="231F20"/>
                <w:spacing w:val="-5"/>
                <w:sz w:val="15"/>
              </w:rPr>
              <w:t>4h</w:t>
            </w:r>
          </w:p>
        </w:tc>
      </w:tr>
      <w:tr>
        <w:trPr>
          <w:trHeight w:val="422"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Ciprofloxacin</w:t>
            </w:r>
            <w:r>
              <w:rPr>
                <w:color w:val="231F20"/>
                <w:spacing w:val="6"/>
                <w:sz w:val="15"/>
              </w:rPr>
              <w:t> </w:t>
            </w:r>
            <w:r>
              <w:rPr>
                <w:color w:val="231F20"/>
                <w:spacing w:val="-2"/>
                <w:sz w:val="15"/>
              </w:rPr>
              <w:t>(Ciloxan)</w:t>
            </w:r>
            <w:r>
              <w:rPr>
                <w:color w:val="231F20"/>
                <w:spacing w:val="6"/>
                <w:sz w:val="15"/>
              </w:rPr>
              <w:t> </w:t>
            </w:r>
            <w:r>
              <w:rPr>
                <w:color w:val="231F20"/>
                <w:spacing w:val="-2"/>
                <w:sz w:val="15"/>
              </w:rPr>
              <w:t>0.3%</w:t>
            </w:r>
            <w:r>
              <w:rPr>
                <w:color w:val="231F20"/>
                <w:spacing w:val="6"/>
                <w:sz w:val="15"/>
              </w:rPr>
              <w:t> </w:t>
            </w:r>
            <w:r>
              <w:rPr>
                <w:color w:val="231F20"/>
                <w:spacing w:val="-2"/>
                <w:sz w:val="15"/>
              </w:rPr>
              <w:t>ophthalmic</w:t>
            </w:r>
            <w:r>
              <w:rPr>
                <w:color w:val="231F20"/>
                <w:spacing w:val="7"/>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line="230" w:lineRule="auto" w:before="48"/>
              <w:ind w:left="278" w:right="141" w:hanging="112"/>
              <w:rPr>
                <w:sz w:val="15"/>
              </w:rPr>
            </w:pPr>
            <w:r>
              <w:rPr>
                <w:color w:val="231F20"/>
                <w:sz w:val="15"/>
              </w:rPr>
              <w:t>1-2</w:t>
            </w:r>
            <w:r>
              <w:rPr>
                <w:color w:val="231F20"/>
                <w:spacing w:val="-6"/>
                <w:sz w:val="15"/>
              </w:rPr>
              <w:t> </w:t>
            </w:r>
            <w:r>
              <w:rPr>
                <w:color w:val="231F20"/>
                <w:sz w:val="15"/>
              </w:rPr>
              <w:t>gtt</w:t>
            </w:r>
            <w:r>
              <w:rPr>
                <w:color w:val="231F20"/>
                <w:spacing w:val="-6"/>
                <w:sz w:val="15"/>
              </w:rPr>
              <w:t> </w:t>
            </w:r>
            <w:r>
              <w:rPr>
                <w:color w:val="231F20"/>
                <w:sz w:val="15"/>
              </w:rPr>
              <w:t>in</w:t>
            </w:r>
            <w:r>
              <w:rPr>
                <w:color w:val="231F20"/>
                <w:spacing w:val="-6"/>
                <w:sz w:val="15"/>
              </w:rPr>
              <w:t> </w:t>
            </w:r>
            <w:r>
              <w:rPr>
                <w:color w:val="231F20"/>
                <w:sz w:val="15"/>
              </w:rPr>
              <w:t>eye</w:t>
            </w:r>
            <w:r>
              <w:rPr>
                <w:color w:val="231F20"/>
                <w:spacing w:val="-6"/>
                <w:sz w:val="15"/>
              </w:rPr>
              <w:t> </w:t>
            </w:r>
            <w:r>
              <w:rPr>
                <w:color w:val="231F20"/>
                <w:sz w:val="15"/>
              </w:rPr>
              <w:t>q15min</w:t>
            </w:r>
            <w:r>
              <w:rPr>
                <w:color w:val="231F20"/>
                <w:spacing w:val="-6"/>
                <w:sz w:val="15"/>
              </w:rPr>
              <w:t> </w:t>
            </w:r>
            <w:r>
              <w:rPr>
                <w:rFonts w:ascii="Cambria" w:hAnsi="Cambria"/>
                <w:color w:val="231F20"/>
                <w:sz w:val="15"/>
              </w:rPr>
              <w:t>×</w:t>
            </w:r>
            <w:r>
              <w:rPr>
                <w:rFonts w:ascii="Cambria" w:hAnsi="Cambria"/>
                <w:color w:val="231F20"/>
                <w:spacing w:val="6"/>
                <w:sz w:val="15"/>
              </w:rPr>
              <w:t> </w:t>
            </w:r>
            <w:r>
              <w:rPr>
                <w:color w:val="231F20"/>
                <w:sz w:val="15"/>
              </w:rPr>
              <w:t>6h,</w:t>
            </w:r>
            <w:r>
              <w:rPr>
                <w:color w:val="231F20"/>
                <w:spacing w:val="-6"/>
                <w:sz w:val="15"/>
              </w:rPr>
              <w:t> </w:t>
            </w:r>
            <w:r>
              <w:rPr>
                <w:color w:val="231F20"/>
                <w:sz w:val="15"/>
              </w:rPr>
              <w:t>then</w:t>
            </w:r>
            <w:r>
              <w:rPr>
                <w:color w:val="231F20"/>
                <w:spacing w:val="-6"/>
                <w:sz w:val="15"/>
              </w:rPr>
              <w:t> </w:t>
            </w:r>
            <w:r>
              <w:rPr>
                <w:color w:val="231F20"/>
                <w:sz w:val="15"/>
              </w:rPr>
              <w:t>q30min</w:t>
            </w:r>
            <w:r>
              <w:rPr>
                <w:color w:val="231F20"/>
                <w:spacing w:val="-6"/>
                <w:sz w:val="15"/>
              </w:rPr>
              <w:t> </w:t>
            </w:r>
            <w:r>
              <w:rPr>
                <w:rFonts w:ascii="Cambria" w:hAnsi="Cambria"/>
                <w:color w:val="231F20"/>
                <w:sz w:val="15"/>
              </w:rPr>
              <w:t>×</w:t>
            </w:r>
            <w:r>
              <w:rPr>
                <w:rFonts w:ascii="Cambria" w:hAnsi="Cambria"/>
                <w:color w:val="231F20"/>
                <w:spacing w:val="6"/>
                <w:sz w:val="15"/>
              </w:rPr>
              <w:t> </w:t>
            </w:r>
            <w:r>
              <w:rPr>
                <w:color w:val="231F20"/>
                <w:sz w:val="15"/>
              </w:rPr>
              <w:t>18h,</w:t>
            </w:r>
            <w:r>
              <w:rPr>
                <w:color w:val="231F20"/>
                <w:spacing w:val="-6"/>
                <w:sz w:val="15"/>
              </w:rPr>
              <w:t> </w:t>
            </w:r>
            <w:r>
              <w:rPr>
                <w:color w:val="231F20"/>
                <w:sz w:val="15"/>
              </w:rPr>
              <w:t>then</w:t>
            </w:r>
            <w:r>
              <w:rPr>
                <w:color w:val="231F20"/>
                <w:spacing w:val="-6"/>
                <w:sz w:val="15"/>
              </w:rPr>
              <w:t> </w:t>
            </w:r>
            <w:r>
              <w:rPr>
                <w:color w:val="231F20"/>
                <w:sz w:val="15"/>
              </w:rPr>
              <w:t>q1h</w:t>
            </w:r>
            <w:r>
              <w:rPr>
                <w:color w:val="231F20"/>
                <w:spacing w:val="-6"/>
                <w:sz w:val="15"/>
              </w:rPr>
              <w:t> </w:t>
            </w:r>
            <w:r>
              <w:rPr>
                <w:rFonts w:ascii="Cambria" w:hAnsi="Cambria"/>
                <w:color w:val="231F20"/>
                <w:sz w:val="15"/>
              </w:rPr>
              <w:t>×</w:t>
            </w:r>
            <w:r>
              <w:rPr>
                <w:rFonts w:ascii="Cambria" w:hAnsi="Cambria"/>
                <w:color w:val="231F20"/>
                <w:spacing w:val="6"/>
                <w:sz w:val="15"/>
              </w:rPr>
              <w:t> </w:t>
            </w:r>
            <w:r>
              <w:rPr>
                <w:color w:val="231F20"/>
                <w:sz w:val="15"/>
              </w:rPr>
              <w:t>1</w:t>
            </w:r>
            <w:r>
              <w:rPr>
                <w:color w:val="231F20"/>
                <w:spacing w:val="-6"/>
                <w:sz w:val="15"/>
              </w:rPr>
              <w:t> </w:t>
            </w:r>
            <w:r>
              <w:rPr>
                <w:color w:val="231F20"/>
                <w:sz w:val="15"/>
              </w:rPr>
              <w:t>day,</w:t>
            </w:r>
            <w:r>
              <w:rPr>
                <w:color w:val="231F20"/>
                <w:spacing w:val="-6"/>
                <w:sz w:val="15"/>
              </w:rPr>
              <w:t> </w:t>
            </w:r>
            <w:r>
              <w:rPr>
                <w:color w:val="231F20"/>
                <w:sz w:val="15"/>
              </w:rPr>
              <w:t>then</w:t>
            </w:r>
            <w:r>
              <w:rPr>
                <w:color w:val="231F20"/>
                <w:sz w:val="15"/>
              </w:rPr>
              <w:t> q4h </w:t>
            </w:r>
            <w:r>
              <w:rPr>
                <w:rFonts w:ascii="Cambria" w:hAnsi="Cambria"/>
                <w:color w:val="231F20"/>
                <w:sz w:val="15"/>
              </w:rPr>
              <w:t>× </w:t>
            </w:r>
            <w:r>
              <w:rPr>
                <w:color w:val="231F20"/>
                <w:sz w:val="15"/>
              </w:rPr>
              <w:t>12 days</w:t>
            </w:r>
            <w:r>
              <w:rPr>
                <w:color w:val="0080AC"/>
                <w:sz w:val="15"/>
              </w:rPr>
              <w:t>*</w:t>
            </w:r>
          </w:p>
        </w:tc>
      </w:tr>
      <w:tr>
        <w:trPr>
          <w:trHeight w:val="254"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Gatifloxacin</w:t>
            </w:r>
            <w:r>
              <w:rPr>
                <w:color w:val="231F20"/>
                <w:spacing w:val="-4"/>
                <w:sz w:val="15"/>
              </w:rPr>
              <w:t> </w:t>
            </w:r>
            <w:r>
              <w:rPr>
                <w:color w:val="231F20"/>
                <w:spacing w:val="-2"/>
                <w:sz w:val="15"/>
              </w:rPr>
              <w:t>(Zymar)</w:t>
            </w:r>
            <w:r>
              <w:rPr>
                <w:color w:val="231F20"/>
                <w:spacing w:val="-3"/>
                <w:sz w:val="15"/>
              </w:rPr>
              <w:t> </w:t>
            </w:r>
            <w:r>
              <w:rPr>
                <w:color w:val="231F20"/>
                <w:spacing w:val="-2"/>
                <w:sz w:val="15"/>
              </w:rPr>
              <w:t>0.3%</w:t>
            </w:r>
            <w:r>
              <w:rPr>
                <w:color w:val="231F20"/>
                <w:spacing w:val="-3"/>
                <w:sz w:val="15"/>
              </w:rPr>
              <w:t> </w:t>
            </w:r>
            <w:r>
              <w:rPr>
                <w:color w:val="231F20"/>
                <w:spacing w:val="-2"/>
                <w:sz w:val="15"/>
              </w:rPr>
              <w:t>ophthalmic</w:t>
            </w:r>
            <w:r>
              <w:rPr>
                <w:color w:val="231F20"/>
                <w:spacing w:val="-4"/>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before="42"/>
              <w:ind w:left="166"/>
              <w:rPr>
                <w:sz w:val="15"/>
              </w:rPr>
            </w:pPr>
            <w:r>
              <w:rPr>
                <w:color w:val="231F20"/>
                <w:sz w:val="15"/>
              </w:rPr>
              <w:t>1 gt in eye q2h up to 8</w:t>
            </w:r>
            <w:r>
              <w:rPr>
                <w:color w:val="231F20"/>
                <w:spacing w:val="1"/>
                <w:sz w:val="15"/>
              </w:rPr>
              <w:t> </w:t>
            </w:r>
            <w:r>
              <w:rPr>
                <w:rFonts w:ascii="Cambria" w:hAnsi="Cambria"/>
                <w:color w:val="231F20"/>
                <w:sz w:val="15"/>
              </w:rPr>
              <w:t>×</w:t>
            </w:r>
            <w:r>
              <w:rPr>
                <w:rFonts w:ascii="Cambria" w:hAnsi="Cambria"/>
                <w:color w:val="231F20"/>
                <w:spacing w:val="12"/>
                <w:sz w:val="15"/>
              </w:rPr>
              <w:t> </w:t>
            </w:r>
            <w:r>
              <w:rPr>
                <w:color w:val="231F20"/>
                <w:sz w:val="15"/>
              </w:rPr>
              <w:t>per day </w:t>
            </w:r>
            <w:r>
              <w:rPr>
                <w:rFonts w:ascii="Cambria" w:hAnsi="Cambria"/>
                <w:color w:val="231F20"/>
                <w:sz w:val="15"/>
              </w:rPr>
              <w:t>×</w:t>
            </w:r>
            <w:r>
              <w:rPr>
                <w:rFonts w:ascii="Cambria" w:hAnsi="Cambria"/>
                <w:color w:val="231F20"/>
                <w:spacing w:val="12"/>
                <w:sz w:val="15"/>
              </w:rPr>
              <w:t> </w:t>
            </w:r>
            <w:r>
              <w:rPr>
                <w:color w:val="231F20"/>
                <w:sz w:val="15"/>
              </w:rPr>
              <w:t>2 days, then</w:t>
            </w:r>
            <w:r>
              <w:rPr>
                <w:color w:val="231F20"/>
                <w:spacing w:val="1"/>
                <w:sz w:val="15"/>
              </w:rPr>
              <w:t> </w:t>
            </w:r>
            <w:r>
              <w:rPr>
                <w:color w:val="231F20"/>
                <w:sz w:val="15"/>
              </w:rPr>
              <w:t>1 gt qid </w:t>
            </w:r>
            <w:r>
              <w:rPr>
                <w:rFonts w:ascii="Cambria" w:hAnsi="Cambria"/>
                <w:color w:val="231F20"/>
                <w:sz w:val="15"/>
              </w:rPr>
              <w:t>×</w:t>
            </w:r>
            <w:r>
              <w:rPr>
                <w:rFonts w:ascii="Cambria" w:hAnsi="Cambria"/>
                <w:color w:val="231F20"/>
                <w:spacing w:val="12"/>
                <w:sz w:val="15"/>
              </w:rPr>
              <w:t> </w:t>
            </w:r>
            <w:r>
              <w:rPr>
                <w:color w:val="231F20"/>
                <w:sz w:val="15"/>
              </w:rPr>
              <w:t>5 </w:t>
            </w:r>
            <w:r>
              <w:rPr>
                <w:color w:val="231F20"/>
                <w:spacing w:val="-4"/>
                <w:sz w:val="15"/>
              </w:rPr>
              <w:t>days</w:t>
            </w:r>
          </w:p>
        </w:tc>
      </w:tr>
      <w:tr>
        <w:trPr>
          <w:trHeight w:val="422" w:hRule="atLeast"/>
        </w:trPr>
        <w:tc>
          <w:tcPr>
            <w:tcW w:w="4727" w:type="dxa"/>
            <w:gridSpan w:val="2"/>
            <w:tcBorders>
              <w:top w:val="single" w:sz="4" w:space="0" w:color="FFFFFF"/>
              <w:bottom w:val="single" w:sz="4" w:space="0" w:color="FFFFFF"/>
            </w:tcBorders>
            <w:shd w:val="clear" w:color="auto" w:fill="E8F5F1"/>
          </w:tcPr>
          <w:p>
            <w:pPr>
              <w:pStyle w:val="TableParagraph"/>
              <w:spacing w:line="230" w:lineRule="auto" w:before="48"/>
              <w:ind w:left="187" w:right="774" w:hanging="112"/>
              <w:rPr>
                <w:sz w:val="15"/>
              </w:rPr>
            </w:pPr>
            <w:r>
              <w:rPr>
                <w:color w:val="231F20"/>
                <w:sz w:val="15"/>
              </w:rPr>
              <w:t>Gentamicin</w:t>
            </w:r>
            <w:r>
              <w:rPr>
                <w:color w:val="231F20"/>
                <w:spacing w:val="-12"/>
                <w:sz w:val="15"/>
              </w:rPr>
              <w:t> </w:t>
            </w:r>
            <w:r>
              <w:rPr>
                <w:color w:val="231F20"/>
                <w:sz w:val="15"/>
              </w:rPr>
              <w:t>(Gentak,</w:t>
            </w:r>
            <w:r>
              <w:rPr>
                <w:color w:val="231F20"/>
                <w:spacing w:val="-11"/>
                <w:sz w:val="15"/>
              </w:rPr>
              <w:t> </w:t>
            </w:r>
            <w:r>
              <w:rPr>
                <w:color w:val="231F20"/>
                <w:sz w:val="15"/>
              </w:rPr>
              <w:t>Gentasol)</w:t>
            </w:r>
            <w:r>
              <w:rPr>
                <w:color w:val="231F20"/>
                <w:spacing w:val="-11"/>
                <w:sz w:val="15"/>
              </w:rPr>
              <w:t> </w:t>
            </w:r>
            <w:r>
              <w:rPr>
                <w:color w:val="231F20"/>
                <w:sz w:val="15"/>
              </w:rPr>
              <w:t>0.3%</w:t>
            </w:r>
            <w:r>
              <w:rPr>
                <w:color w:val="231F20"/>
                <w:spacing w:val="-12"/>
                <w:sz w:val="15"/>
              </w:rPr>
              <w:t> </w:t>
            </w:r>
            <w:r>
              <w:rPr>
                <w:color w:val="231F20"/>
                <w:sz w:val="15"/>
              </w:rPr>
              <w:t>ophthalmic</w:t>
            </w:r>
            <w:r>
              <w:rPr>
                <w:color w:val="231F20"/>
                <w:spacing w:val="-11"/>
                <w:sz w:val="15"/>
              </w:rPr>
              <w:t> </w:t>
            </w:r>
            <w:r>
              <w:rPr>
                <w:color w:val="231F20"/>
                <w:sz w:val="15"/>
              </w:rPr>
              <w:t>solution or ointment</w:t>
            </w:r>
          </w:p>
        </w:tc>
        <w:tc>
          <w:tcPr>
            <w:tcW w:w="5014" w:type="dxa"/>
            <w:tcBorders>
              <w:top w:val="single" w:sz="4" w:space="0" w:color="FFFFFF"/>
              <w:bottom w:val="single" w:sz="4" w:space="0" w:color="FFFFFF"/>
            </w:tcBorders>
            <w:shd w:val="clear" w:color="auto" w:fill="E8F5F1"/>
          </w:tcPr>
          <w:p>
            <w:pPr>
              <w:pStyle w:val="TableParagraph"/>
              <w:spacing w:line="230" w:lineRule="auto" w:before="48"/>
              <w:ind w:left="166" w:right="1121"/>
              <w:rPr>
                <w:sz w:val="15"/>
              </w:rPr>
            </w:pPr>
            <w:r>
              <w:rPr>
                <w:color w:val="231F20"/>
                <w:sz w:val="15"/>
              </w:rPr>
              <w:t>Ointment:</w:t>
            </w:r>
            <w:r>
              <w:rPr>
                <w:color w:val="231F20"/>
                <w:spacing w:val="-8"/>
                <w:sz w:val="15"/>
              </w:rPr>
              <w:t> </w:t>
            </w:r>
            <w:r>
              <w:rPr>
                <w:color w:val="231F20"/>
                <w:sz w:val="15"/>
              </w:rPr>
              <w:t>0.5</w:t>
            </w:r>
            <w:r>
              <w:rPr>
                <w:color w:val="231F20"/>
                <w:spacing w:val="-8"/>
                <w:sz w:val="15"/>
              </w:rPr>
              <w:t> </w:t>
            </w:r>
            <w:r>
              <w:rPr>
                <w:color w:val="231F20"/>
                <w:sz w:val="15"/>
              </w:rPr>
              <w:t>inch</w:t>
            </w:r>
            <w:r>
              <w:rPr>
                <w:color w:val="231F20"/>
                <w:spacing w:val="-8"/>
                <w:sz w:val="15"/>
              </w:rPr>
              <w:t> </w:t>
            </w:r>
            <w:r>
              <w:rPr>
                <w:color w:val="231F20"/>
                <w:sz w:val="15"/>
              </w:rPr>
              <w:t>applied</w:t>
            </w:r>
            <w:r>
              <w:rPr>
                <w:color w:val="231F20"/>
                <w:spacing w:val="-8"/>
                <w:sz w:val="15"/>
              </w:rPr>
              <w:t> </w:t>
            </w:r>
            <w:r>
              <w:rPr>
                <w:color w:val="231F20"/>
                <w:sz w:val="15"/>
              </w:rPr>
              <w:t>to</w:t>
            </w:r>
            <w:r>
              <w:rPr>
                <w:color w:val="231F20"/>
                <w:spacing w:val="-8"/>
                <w:sz w:val="15"/>
              </w:rPr>
              <w:t> </w:t>
            </w:r>
            <w:r>
              <w:rPr>
                <w:color w:val="231F20"/>
                <w:sz w:val="15"/>
              </w:rPr>
              <w:t>eye</w:t>
            </w:r>
            <w:r>
              <w:rPr>
                <w:color w:val="231F20"/>
                <w:spacing w:val="-8"/>
                <w:sz w:val="15"/>
              </w:rPr>
              <w:t> </w:t>
            </w:r>
            <w:r>
              <w:rPr>
                <w:color w:val="231F20"/>
                <w:sz w:val="15"/>
              </w:rPr>
              <w:t>2-3</w:t>
            </w:r>
            <w:r>
              <w:rPr>
                <w:color w:val="231F20"/>
                <w:spacing w:val="-8"/>
                <w:sz w:val="15"/>
              </w:rPr>
              <w:t> </w:t>
            </w:r>
            <w:r>
              <w:rPr>
                <w:rFonts w:ascii="Cambria" w:hAnsi="Cambria"/>
                <w:color w:val="231F20"/>
                <w:sz w:val="15"/>
              </w:rPr>
              <w:t>×</w:t>
            </w:r>
            <w:r>
              <w:rPr>
                <w:rFonts w:ascii="Cambria" w:hAnsi="Cambria"/>
                <w:color w:val="231F20"/>
                <w:spacing w:val="4"/>
                <w:sz w:val="15"/>
              </w:rPr>
              <w:t> </w:t>
            </w:r>
            <w:r>
              <w:rPr>
                <w:color w:val="231F20"/>
                <w:sz w:val="15"/>
              </w:rPr>
              <w:t>per</w:t>
            </w:r>
            <w:r>
              <w:rPr>
                <w:color w:val="231F20"/>
                <w:spacing w:val="-8"/>
                <w:sz w:val="15"/>
              </w:rPr>
              <w:t> </w:t>
            </w:r>
            <w:r>
              <w:rPr>
                <w:color w:val="231F20"/>
                <w:sz w:val="15"/>
              </w:rPr>
              <w:t>day Solution: 1-2 gtt in eye q4h</w:t>
            </w:r>
          </w:p>
        </w:tc>
      </w:tr>
      <w:tr>
        <w:trPr>
          <w:trHeight w:val="254"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Levofloxacin</w:t>
            </w:r>
            <w:r>
              <w:rPr>
                <w:color w:val="231F20"/>
                <w:spacing w:val="4"/>
                <w:sz w:val="15"/>
              </w:rPr>
              <w:t> </w:t>
            </w:r>
            <w:r>
              <w:rPr>
                <w:color w:val="231F20"/>
                <w:spacing w:val="-2"/>
                <w:sz w:val="15"/>
              </w:rPr>
              <w:t>(Quixin)</w:t>
            </w:r>
            <w:r>
              <w:rPr>
                <w:color w:val="231F20"/>
                <w:spacing w:val="4"/>
                <w:sz w:val="15"/>
              </w:rPr>
              <w:t> </w:t>
            </w:r>
            <w:r>
              <w:rPr>
                <w:color w:val="231F20"/>
                <w:spacing w:val="-2"/>
                <w:sz w:val="15"/>
              </w:rPr>
              <w:t>0.5%</w:t>
            </w:r>
            <w:r>
              <w:rPr>
                <w:color w:val="231F20"/>
                <w:spacing w:val="4"/>
                <w:sz w:val="15"/>
              </w:rPr>
              <w:t> </w:t>
            </w:r>
            <w:r>
              <w:rPr>
                <w:color w:val="231F20"/>
                <w:spacing w:val="-2"/>
                <w:sz w:val="15"/>
              </w:rPr>
              <w:t>ophthalmic</w:t>
            </w:r>
            <w:r>
              <w:rPr>
                <w:color w:val="231F20"/>
                <w:spacing w:val="4"/>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before="42"/>
              <w:ind w:left="166"/>
              <w:rPr>
                <w:sz w:val="15"/>
              </w:rPr>
            </w:pPr>
            <w:r>
              <w:rPr>
                <w:color w:val="231F20"/>
                <w:sz w:val="15"/>
              </w:rPr>
              <w:t>1-2</w:t>
            </w:r>
            <w:r>
              <w:rPr>
                <w:color w:val="231F20"/>
                <w:spacing w:val="-5"/>
                <w:sz w:val="15"/>
              </w:rPr>
              <w:t> </w:t>
            </w:r>
            <w:r>
              <w:rPr>
                <w:color w:val="231F20"/>
                <w:sz w:val="15"/>
              </w:rPr>
              <w:t>gtt</w:t>
            </w:r>
            <w:r>
              <w:rPr>
                <w:color w:val="231F20"/>
                <w:spacing w:val="-5"/>
                <w:sz w:val="15"/>
              </w:rPr>
              <w:t> </w:t>
            </w:r>
            <w:r>
              <w:rPr>
                <w:color w:val="231F20"/>
                <w:sz w:val="15"/>
              </w:rPr>
              <w:t>in</w:t>
            </w:r>
            <w:r>
              <w:rPr>
                <w:color w:val="231F20"/>
                <w:spacing w:val="-5"/>
                <w:sz w:val="15"/>
              </w:rPr>
              <w:t> </w:t>
            </w:r>
            <w:r>
              <w:rPr>
                <w:color w:val="231F20"/>
                <w:sz w:val="15"/>
              </w:rPr>
              <w:t>eye</w:t>
            </w:r>
            <w:r>
              <w:rPr>
                <w:color w:val="231F20"/>
                <w:spacing w:val="-4"/>
                <w:sz w:val="15"/>
              </w:rPr>
              <w:t> </w:t>
            </w:r>
            <w:r>
              <w:rPr>
                <w:color w:val="231F20"/>
                <w:sz w:val="15"/>
              </w:rPr>
              <w:t>q2h</w:t>
            </w:r>
            <w:r>
              <w:rPr>
                <w:color w:val="231F20"/>
                <w:spacing w:val="-5"/>
                <w:sz w:val="15"/>
              </w:rPr>
              <w:t> </w:t>
            </w:r>
            <w:r>
              <w:rPr>
                <w:rFonts w:ascii="Cambria" w:hAnsi="Cambria"/>
                <w:color w:val="231F20"/>
                <w:sz w:val="15"/>
              </w:rPr>
              <w:t>×</w:t>
            </w:r>
            <w:r>
              <w:rPr>
                <w:rFonts w:ascii="Cambria" w:hAnsi="Cambria"/>
                <w:color w:val="231F20"/>
                <w:spacing w:val="7"/>
                <w:sz w:val="15"/>
              </w:rPr>
              <w:t> </w:t>
            </w:r>
            <w:r>
              <w:rPr>
                <w:color w:val="231F20"/>
                <w:sz w:val="15"/>
              </w:rPr>
              <w:t>2</w:t>
            </w:r>
            <w:r>
              <w:rPr>
                <w:color w:val="231F20"/>
                <w:spacing w:val="-4"/>
                <w:sz w:val="15"/>
              </w:rPr>
              <w:t> </w:t>
            </w:r>
            <w:r>
              <w:rPr>
                <w:color w:val="231F20"/>
                <w:sz w:val="15"/>
              </w:rPr>
              <w:t>days</w:t>
            </w:r>
            <w:r>
              <w:rPr>
                <w:color w:val="231F20"/>
                <w:spacing w:val="-5"/>
                <w:sz w:val="15"/>
              </w:rPr>
              <w:t> </w:t>
            </w:r>
            <w:r>
              <w:rPr>
                <w:color w:val="231F20"/>
                <w:sz w:val="15"/>
              </w:rPr>
              <w:t>while</w:t>
            </w:r>
            <w:r>
              <w:rPr>
                <w:color w:val="231F20"/>
                <w:spacing w:val="-5"/>
                <w:sz w:val="15"/>
              </w:rPr>
              <w:t> </w:t>
            </w:r>
            <w:r>
              <w:rPr>
                <w:color w:val="231F20"/>
                <w:sz w:val="15"/>
              </w:rPr>
              <w:t>awake,</w:t>
            </w:r>
            <w:r>
              <w:rPr>
                <w:color w:val="231F20"/>
                <w:spacing w:val="-4"/>
                <w:sz w:val="15"/>
              </w:rPr>
              <w:t> </w:t>
            </w:r>
            <w:r>
              <w:rPr>
                <w:color w:val="231F20"/>
                <w:sz w:val="15"/>
              </w:rPr>
              <w:t>then</w:t>
            </w:r>
            <w:r>
              <w:rPr>
                <w:color w:val="231F20"/>
                <w:spacing w:val="-5"/>
                <w:sz w:val="15"/>
              </w:rPr>
              <w:t> </w:t>
            </w:r>
            <w:r>
              <w:rPr>
                <w:color w:val="231F20"/>
                <w:sz w:val="15"/>
              </w:rPr>
              <w:t>q4h</w:t>
            </w:r>
            <w:r>
              <w:rPr>
                <w:color w:val="231F20"/>
                <w:spacing w:val="-5"/>
                <w:sz w:val="15"/>
              </w:rPr>
              <w:t> </w:t>
            </w:r>
            <w:r>
              <w:rPr>
                <w:rFonts w:ascii="Cambria" w:hAnsi="Cambria"/>
                <w:color w:val="231F20"/>
                <w:sz w:val="15"/>
              </w:rPr>
              <w:t>×</w:t>
            </w:r>
            <w:r>
              <w:rPr>
                <w:rFonts w:ascii="Cambria" w:hAnsi="Cambria"/>
                <w:color w:val="231F20"/>
                <w:spacing w:val="8"/>
                <w:sz w:val="15"/>
              </w:rPr>
              <w:t> </w:t>
            </w:r>
            <w:r>
              <w:rPr>
                <w:color w:val="231F20"/>
                <w:sz w:val="15"/>
              </w:rPr>
              <w:t>5</w:t>
            </w:r>
            <w:r>
              <w:rPr>
                <w:color w:val="231F20"/>
                <w:spacing w:val="-5"/>
                <w:sz w:val="15"/>
              </w:rPr>
              <w:t> </w:t>
            </w:r>
            <w:r>
              <w:rPr>
                <w:color w:val="231F20"/>
                <w:sz w:val="15"/>
              </w:rPr>
              <w:t>days</w:t>
            </w:r>
            <w:r>
              <w:rPr>
                <w:color w:val="231F20"/>
                <w:spacing w:val="-5"/>
                <w:sz w:val="15"/>
              </w:rPr>
              <w:t> </w:t>
            </w:r>
            <w:r>
              <w:rPr>
                <w:color w:val="231F20"/>
                <w:sz w:val="15"/>
              </w:rPr>
              <w:t>while</w:t>
            </w:r>
            <w:r>
              <w:rPr>
                <w:color w:val="231F20"/>
                <w:spacing w:val="-4"/>
                <w:sz w:val="15"/>
              </w:rPr>
              <w:t> </w:t>
            </w:r>
            <w:r>
              <w:rPr>
                <w:color w:val="231F20"/>
                <w:spacing w:val="-2"/>
                <w:sz w:val="15"/>
              </w:rPr>
              <w:t>awake</w:t>
            </w:r>
          </w:p>
        </w:tc>
      </w:tr>
      <w:tr>
        <w:trPr>
          <w:trHeight w:val="254"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z w:val="15"/>
              </w:rPr>
              <w:t>Moxifloxacin</w:t>
            </w:r>
            <w:r>
              <w:rPr>
                <w:color w:val="231F20"/>
                <w:spacing w:val="-7"/>
                <w:sz w:val="15"/>
              </w:rPr>
              <w:t> </w:t>
            </w:r>
            <w:r>
              <w:rPr>
                <w:color w:val="231F20"/>
                <w:sz w:val="15"/>
              </w:rPr>
              <w:t>(Vigamox)</w:t>
            </w:r>
            <w:r>
              <w:rPr>
                <w:color w:val="231F20"/>
                <w:spacing w:val="-7"/>
                <w:sz w:val="15"/>
              </w:rPr>
              <w:t> </w:t>
            </w:r>
            <w:r>
              <w:rPr>
                <w:color w:val="231F20"/>
                <w:sz w:val="15"/>
              </w:rPr>
              <w:t>0.5%</w:t>
            </w:r>
            <w:r>
              <w:rPr>
                <w:color w:val="231F20"/>
                <w:spacing w:val="-7"/>
                <w:sz w:val="15"/>
              </w:rPr>
              <w:t> </w:t>
            </w:r>
            <w:r>
              <w:rPr>
                <w:color w:val="231F20"/>
                <w:sz w:val="15"/>
              </w:rPr>
              <w:t>ophthalmic</w:t>
            </w:r>
            <w:r>
              <w:rPr>
                <w:color w:val="231F20"/>
                <w:spacing w:val="-7"/>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before="42"/>
              <w:ind w:left="166"/>
              <w:rPr>
                <w:sz w:val="15"/>
              </w:rPr>
            </w:pPr>
            <w:r>
              <w:rPr>
                <w:color w:val="231F20"/>
                <w:sz w:val="15"/>
              </w:rPr>
              <w:t>1</w:t>
            </w:r>
            <w:r>
              <w:rPr>
                <w:color w:val="231F20"/>
                <w:spacing w:val="-2"/>
                <w:sz w:val="15"/>
              </w:rPr>
              <w:t> </w:t>
            </w:r>
            <w:r>
              <w:rPr>
                <w:color w:val="231F20"/>
                <w:sz w:val="15"/>
              </w:rPr>
              <w:t>gt</w:t>
            </w:r>
            <w:r>
              <w:rPr>
                <w:color w:val="231F20"/>
                <w:spacing w:val="-2"/>
                <w:sz w:val="15"/>
              </w:rPr>
              <w:t> </w:t>
            </w:r>
            <w:r>
              <w:rPr>
                <w:color w:val="231F20"/>
                <w:sz w:val="15"/>
              </w:rPr>
              <w:t>in</w:t>
            </w:r>
            <w:r>
              <w:rPr>
                <w:color w:val="231F20"/>
                <w:spacing w:val="-2"/>
                <w:sz w:val="15"/>
              </w:rPr>
              <w:t> </w:t>
            </w:r>
            <w:r>
              <w:rPr>
                <w:color w:val="231F20"/>
                <w:sz w:val="15"/>
              </w:rPr>
              <w:t>eye</w:t>
            </w:r>
            <w:r>
              <w:rPr>
                <w:color w:val="231F20"/>
                <w:spacing w:val="-2"/>
                <w:sz w:val="15"/>
              </w:rPr>
              <w:t> </w:t>
            </w:r>
            <w:r>
              <w:rPr>
                <w:color w:val="231F20"/>
                <w:sz w:val="15"/>
              </w:rPr>
              <w:t>tid</w:t>
            </w:r>
            <w:r>
              <w:rPr>
                <w:color w:val="231F20"/>
                <w:spacing w:val="-2"/>
                <w:sz w:val="15"/>
              </w:rPr>
              <w:t> </w:t>
            </w:r>
            <w:r>
              <w:rPr>
                <w:rFonts w:ascii="Cambria" w:hAnsi="Cambria"/>
                <w:color w:val="231F20"/>
                <w:sz w:val="15"/>
              </w:rPr>
              <w:t>×</w:t>
            </w:r>
            <w:r>
              <w:rPr>
                <w:rFonts w:ascii="Cambria" w:hAnsi="Cambria"/>
                <w:color w:val="231F20"/>
                <w:spacing w:val="11"/>
                <w:sz w:val="15"/>
              </w:rPr>
              <w:t> </w:t>
            </w:r>
            <w:r>
              <w:rPr>
                <w:color w:val="231F20"/>
                <w:sz w:val="15"/>
              </w:rPr>
              <w:t>7</w:t>
            </w:r>
            <w:r>
              <w:rPr>
                <w:color w:val="231F20"/>
                <w:spacing w:val="-2"/>
                <w:sz w:val="15"/>
              </w:rPr>
              <w:t> </w:t>
            </w:r>
            <w:r>
              <w:rPr>
                <w:color w:val="231F20"/>
                <w:spacing w:val="-4"/>
                <w:sz w:val="15"/>
              </w:rPr>
              <w:t>days</w:t>
            </w:r>
          </w:p>
        </w:tc>
      </w:tr>
      <w:tr>
        <w:trPr>
          <w:trHeight w:val="254"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Neomycin/polymyxin</w:t>
            </w:r>
            <w:r>
              <w:rPr>
                <w:color w:val="231F20"/>
                <w:spacing w:val="12"/>
                <w:sz w:val="15"/>
              </w:rPr>
              <w:t> </w:t>
            </w:r>
            <w:r>
              <w:rPr>
                <w:color w:val="231F20"/>
                <w:spacing w:val="-2"/>
                <w:sz w:val="15"/>
              </w:rPr>
              <w:t>B/gramicidin</w:t>
            </w:r>
            <w:r>
              <w:rPr>
                <w:color w:val="231F20"/>
                <w:spacing w:val="13"/>
                <w:sz w:val="15"/>
              </w:rPr>
              <w:t> </w:t>
            </w:r>
            <w:r>
              <w:rPr>
                <w:color w:val="231F20"/>
                <w:spacing w:val="-2"/>
                <w:sz w:val="15"/>
              </w:rPr>
              <w:t>(Neosporin)</w:t>
            </w:r>
            <w:r>
              <w:rPr>
                <w:color w:val="231F20"/>
                <w:spacing w:val="13"/>
                <w:sz w:val="15"/>
              </w:rPr>
              <w:t> </w:t>
            </w:r>
            <w:r>
              <w:rPr>
                <w:color w:val="231F20"/>
                <w:spacing w:val="-2"/>
                <w:sz w:val="15"/>
              </w:rPr>
              <w:t>ophthalmic</w:t>
            </w:r>
            <w:r>
              <w:rPr>
                <w:color w:val="231F20"/>
                <w:spacing w:val="12"/>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before="42"/>
              <w:ind w:left="166"/>
              <w:rPr>
                <w:sz w:val="15"/>
              </w:rPr>
            </w:pPr>
            <w:r>
              <w:rPr>
                <w:color w:val="231F20"/>
                <w:sz w:val="15"/>
              </w:rPr>
              <w:t>1-2</w:t>
            </w:r>
            <w:r>
              <w:rPr>
                <w:color w:val="231F20"/>
                <w:spacing w:val="-3"/>
                <w:sz w:val="15"/>
              </w:rPr>
              <w:t> </w:t>
            </w:r>
            <w:r>
              <w:rPr>
                <w:color w:val="231F20"/>
                <w:sz w:val="15"/>
              </w:rPr>
              <w:t>gtt</w:t>
            </w:r>
            <w:r>
              <w:rPr>
                <w:color w:val="231F20"/>
                <w:spacing w:val="-3"/>
                <w:sz w:val="15"/>
              </w:rPr>
              <w:t> </w:t>
            </w:r>
            <w:r>
              <w:rPr>
                <w:color w:val="231F20"/>
                <w:sz w:val="15"/>
              </w:rPr>
              <w:t>in</w:t>
            </w:r>
            <w:r>
              <w:rPr>
                <w:color w:val="231F20"/>
                <w:spacing w:val="-3"/>
                <w:sz w:val="15"/>
              </w:rPr>
              <w:t> </w:t>
            </w:r>
            <w:r>
              <w:rPr>
                <w:color w:val="231F20"/>
                <w:sz w:val="15"/>
              </w:rPr>
              <w:t>eye</w:t>
            </w:r>
            <w:r>
              <w:rPr>
                <w:color w:val="231F20"/>
                <w:spacing w:val="-3"/>
                <w:sz w:val="15"/>
              </w:rPr>
              <w:t> </w:t>
            </w:r>
            <w:r>
              <w:rPr>
                <w:color w:val="231F20"/>
                <w:sz w:val="15"/>
              </w:rPr>
              <w:t>q4h</w:t>
            </w:r>
            <w:r>
              <w:rPr>
                <w:color w:val="231F20"/>
                <w:spacing w:val="-2"/>
                <w:sz w:val="15"/>
              </w:rPr>
              <w:t> </w:t>
            </w:r>
            <w:r>
              <w:rPr>
                <w:rFonts w:ascii="Cambria" w:hAnsi="Cambria"/>
                <w:color w:val="231F20"/>
                <w:sz w:val="15"/>
              </w:rPr>
              <w:t>×</w:t>
            </w:r>
            <w:r>
              <w:rPr>
                <w:rFonts w:ascii="Cambria" w:hAnsi="Cambria"/>
                <w:color w:val="231F20"/>
                <w:spacing w:val="9"/>
                <w:sz w:val="15"/>
              </w:rPr>
              <w:t> </w:t>
            </w:r>
            <w:r>
              <w:rPr>
                <w:color w:val="231F20"/>
                <w:sz w:val="15"/>
              </w:rPr>
              <w:t>7-10</w:t>
            </w:r>
            <w:r>
              <w:rPr>
                <w:color w:val="231F20"/>
                <w:spacing w:val="-3"/>
                <w:sz w:val="15"/>
              </w:rPr>
              <w:t> </w:t>
            </w:r>
            <w:r>
              <w:rPr>
                <w:color w:val="231F20"/>
                <w:spacing w:val="-4"/>
                <w:sz w:val="15"/>
              </w:rPr>
              <w:t>days</w:t>
            </w:r>
          </w:p>
        </w:tc>
      </w:tr>
      <w:tr>
        <w:trPr>
          <w:trHeight w:val="254"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z w:val="15"/>
              </w:rPr>
              <w:t>Ofloxacin</w:t>
            </w:r>
            <w:r>
              <w:rPr>
                <w:color w:val="231F20"/>
                <w:spacing w:val="-10"/>
                <w:sz w:val="15"/>
              </w:rPr>
              <w:t> </w:t>
            </w:r>
            <w:r>
              <w:rPr>
                <w:color w:val="231F20"/>
                <w:sz w:val="15"/>
              </w:rPr>
              <w:t>(Ocuflox)</w:t>
            </w:r>
            <w:r>
              <w:rPr>
                <w:color w:val="231F20"/>
                <w:spacing w:val="-9"/>
                <w:sz w:val="15"/>
              </w:rPr>
              <w:t> </w:t>
            </w:r>
            <w:r>
              <w:rPr>
                <w:color w:val="231F20"/>
                <w:sz w:val="15"/>
              </w:rPr>
              <w:t>0.3%</w:t>
            </w:r>
            <w:r>
              <w:rPr>
                <w:color w:val="231F20"/>
                <w:spacing w:val="-9"/>
                <w:sz w:val="15"/>
              </w:rPr>
              <w:t> </w:t>
            </w:r>
            <w:r>
              <w:rPr>
                <w:color w:val="231F20"/>
                <w:sz w:val="15"/>
              </w:rPr>
              <w:t>ophthalmic</w:t>
            </w:r>
            <w:r>
              <w:rPr>
                <w:color w:val="231F20"/>
                <w:spacing w:val="-9"/>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before="42"/>
              <w:ind w:left="166"/>
              <w:rPr>
                <w:sz w:val="15"/>
              </w:rPr>
            </w:pPr>
            <w:r>
              <w:rPr>
                <w:color w:val="231F20"/>
                <w:sz w:val="15"/>
              </w:rPr>
              <w:t>1-2</w:t>
            </w:r>
            <w:r>
              <w:rPr>
                <w:color w:val="231F20"/>
                <w:spacing w:val="-4"/>
                <w:sz w:val="15"/>
              </w:rPr>
              <w:t> </w:t>
            </w:r>
            <w:r>
              <w:rPr>
                <w:color w:val="231F20"/>
                <w:sz w:val="15"/>
              </w:rPr>
              <w:t>gtt</w:t>
            </w:r>
            <w:r>
              <w:rPr>
                <w:color w:val="231F20"/>
                <w:spacing w:val="-3"/>
                <w:sz w:val="15"/>
              </w:rPr>
              <w:t> </w:t>
            </w:r>
            <w:r>
              <w:rPr>
                <w:color w:val="231F20"/>
                <w:sz w:val="15"/>
              </w:rPr>
              <w:t>in</w:t>
            </w:r>
            <w:r>
              <w:rPr>
                <w:color w:val="231F20"/>
                <w:spacing w:val="-4"/>
                <w:sz w:val="15"/>
              </w:rPr>
              <w:t> </w:t>
            </w:r>
            <w:r>
              <w:rPr>
                <w:color w:val="231F20"/>
                <w:sz w:val="15"/>
              </w:rPr>
              <w:t>eye</w:t>
            </w:r>
            <w:r>
              <w:rPr>
                <w:color w:val="231F20"/>
                <w:spacing w:val="-3"/>
                <w:sz w:val="15"/>
              </w:rPr>
              <w:t> </w:t>
            </w:r>
            <w:r>
              <w:rPr>
                <w:color w:val="231F20"/>
                <w:sz w:val="15"/>
              </w:rPr>
              <w:t>q2-4h</w:t>
            </w:r>
            <w:r>
              <w:rPr>
                <w:color w:val="231F20"/>
                <w:spacing w:val="-3"/>
                <w:sz w:val="15"/>
              </w:rPr>
              <w:t> </w:t>
            </w:r>
            <w:r>
              <w:rPr>
                <w:rFonts w:ascii="Cambria" w:hAnsi="Cambria"/>
                <w:color w:val="231F20"/>
                <w:sz w:val="15"/>
              </w:rPr>
              <w:t>×</w:t>
            </w:r>
            <w:r>
              <w:rPr>
                <w:rFonts w:ascii="Cambria" w:hAnsi="Cambria"/>
                <w:color w:val="231F20"/>
                <w:spacing w:val="8"/>
                <w:sz w:val="15"/>
              </w:rPr>
              <w:t> </w:t>
            </w:r>
            <w:r>
              <w:rPr>
                <w:color w:val="231F20"/>
                <w:sz w:val="15"/>
              </w:rPr>
              <w:t>2</w:t>
            </w:r>
            <w:r>
              <w:rPr>
                <w:color w:val="231F20"/>
                <w:spacing w:val="-3"/>
                <w:sz w:val="15"/>
              </w:rPr>
              <w:t> </w:t>
            </w:r>
            <w:r>
              <w:rPr>
                <w:color w:val="231F20"/>
                <w:sz w:val="15"/>
              </w:rPr>
              <w:t>days,</w:t>
            </w:r>
            <w:r>
              <w:rPr>
                <w:color w:val="231F20"/>
                <w:spacing w:val="-4"/>
                <w:sz w:val="15"/>
              </w:rPr>
              <w:t> </w:t>
            </w:r>
            <w:r>
              <w:rPr>
                <w:color w:val="231F20"/>
                <w:sz w:val="15"/>
              </w:rPr>
              <w:t>then</w:t>
            </w:r>
            <w:r>
              <w:rPr>
                <w:color w:val="231F20"/>
                <w:spacing w:val="-3"/>
                <w:sz w:val="15"/>
              </w:rPr>
              <w:t> </w:t>
            </w:r>
            <w:r>
              <w:rPr>
                <w:color w:val="231F20"/>
                <w:sz w:val="15"/>
              </w:rPr>
              <w:t>1-2</w:t>
            </w:r>
            <w:r>
              <w:rPr>
                <w:color w:val="231F20"/>
                <w:spacing w:val="-3"/>
                <w:sz w:val="15"/>
              </w:rPr>
              <w:t> </w:t>
            </w:r>
            <w:r>
              <w:rPr>
                <w:color w:val="231F20"/>
                <w:sz w:val="15"/>
              </w:rPr>
              <w:t>gtt</w:t>
            </w:r>
            <w:r>
              <w:rPr>
                <w:color w:val="231F20"/>
                <w:spacing w:val="-4"/>
                <w:sz w:val="15"/>
              </w:rPr>
              <w:t> </w:t>
            </w:r>
            <w:r>
              <w:rPr>
                <w:color w:val="231F20"/>
                <w:sz w:val="15"/>
              </w:rPr>
              <w:t>in</w:t>
            </w:r>
            <w:r>
              <w:rPr>
                <w:color w:val="231F20"/>
                <w:spacing w:val="-3"/>
                <w:sz w:val="15"/>
              </w:rPr>
              <w:t> </w:t>
            </w:r>
            <w:r>
              <w:rPr>
                <w:color w:val="231F20"/>
                <w:sz w:val="15"/>
              </w:rPr>
              <w:t>eye</w:t>
            </w:r>
            <w:r>
              <w:rPr>
                <w:color w:val="231F20"/>
                <w:spacing w:val="-3"/>
                <w:sz w:val="15"/>
              </w:rPr>
              <w:t> </w:t>
            </w:r>
            <w:r>
              <w:rPr>
                <w:color w:val="231F20"/>
                <w:sz w:val="15"/>
              </w:rPr>
              <w:t>qid</w:t>
            </w:r>
            <w:r>
              <w:rPr>
                <w:color w:val="231F20"/>
                <w:spacing w:val="-4"/>
                <w:sz w:val="15"/>
              </w:rPr>
              <w:t> </w:t>
            </w:r>
            <w:r>
              <w:rPr>
                <w:rFonts w:ascii="Cambria" w:hAnsi="Cambria"/>
                <w:color w:val="231F20"/>
                <w:sz w:val="15"/>
              </w:rPr>
              <w:t>×</w:t>
            </w:r>
            <w:r>
              <w:rPr>
                <w:rFonts w:ascii="Cambria" w:hAnsi="Cambria"/>
                <w:color w:val="231F20"/>
                <w:spacing w:val="9"/>
                <w:sz w:val="15"/>
              </w:rPr>
              <w:t> </w:t>
            </w:r>
            <w:r>
              <w:rPr>
                <w:color w:val="231F20"/>
                <w:sz w:val="15"/>
              </w:rPr>
              <w:t>5</w:t>
            </w:r>
            <w:r>
              <w:rPr>
                <w:color w:val="231F20"/>
                <w:spacing w:val="-4"/>
                <w:sz w:val="15"/>
              </w:rPr>
              <w:t> days</w:t>
            </w:r>
          </w:p>
        </w:tc>
      </w:tr>
      <w:tr>
        <w:trPr>
          <w:trHeight w:val="254" w:hRule="atLeast"/>
        </w:trPr>
        <w:tc>
          <w:tcPr>
            <w:tcW w:w="4727" w:type="dxa"/>
            <w:gridSpan w:val="2"/>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2"/>
                <w:sz w:val="15"/>
              </w:rPr>
              <w:t>Polymyxin</w:t>
            </w:r>
            <w:r>
              <w:rPr>
                <w:color w:val="231F20"/>
                <w:spacing w:val="-4"/>
                <w:sz w:val="15"/>
              </w:rPr>
              <w:t> </w:t>
            </w:r>
            <w:r>
              <w:rPr>
                <w:color w:val="231F20"/>
                <w:spacing w:val="-2"/>
                <w:sz w:val="15"/>
              </w:rPr>
              <w:t>B</w:t>
            </w:r>
            <w:r>
              <w:rPr>
                <w:color w:val="231F20"/>
                <w:spacing w:val="-3"/>
                <w:sz w:val="15"/>
              </w:rPr>
              <w:t> </w:t>
            </w:r>
            <w:r>
              <w:rPr>
                <w:color w:val="231F20"/>
                <w:spacing w:val="-2"/>
                <w:sz w:val="15"/>
              </w:rPr>
              <w:t>and</w:t>
            </w:r>
            <w:r>
              <w:rPr>
                <w:color w:val="231F20"/>
                <w:spacing w:val="-4"/>
                <w:sz w:val="15"/>
              </w:rPr>
              <w:t> </w:t>
            </w:r>
            <w:r>
              <w:rPr>
                <w:color w:val="231F20"/>
                <w:spacing w:val="-2"/>
                <w:sz w:val="15"/>
              </w:rPr>
              <w:t>trimethoprim</w:t>
            </w:r>
            <w:r>
              <w:rPr>
                <w:color w:val="231F20"/>
                <w:spacing w:val="-3"/>
                <w:sz w:val="15"/>
              </w:rPr>
              <w:t> </w:t>
            </w:r>
            <w:r>
              <w:rPr>
                <w:color w:val="231F20"/>
                <w:spacing w:val="-2"/>
                <w:sz w:val="15"/>
              </w:rPr>
              <w:t>(Polytrim)</w:t>
            </w:r>
            <w:r>
              <w:rPr>
                <w:color w:val="231F20"/>
                <w:spacing w:val="-4"/>
                <w:sz w:val="15"/>
              </w:rPr>
              <w:t> </w:t>
            </w:r>
            <w:r>
              <w:rPr>
                <w:color w:val="231F20"/>
                <w:spacing w:val="-2"/>
                <w:sz w:val="15"/>
              </w:rPr>
              <w:t>ophthalmic</w:t>
            </w:r>
            <w:r>
              <w:rPr>
                <w:color w:val="231F20"/>
                <w:spacing w:val="-3"/>
                <w:sz w:val="15"/>
              </w:rPr>
              <w:t> </w:t>
            </w:r>
            <w:r>
              <w:rPr>
                <w:color w:val="231F20"/>
                <w:spacing w:val="-2"/>
                <w:sz w:val="15"/>
              </w:rPr>
              <w:t>solution</w:t>
            </w:r>
          </w:p>
        </w:tc>
        <w:tc>
          <w:tcPr>
            <w:tcW w:w="5014" w:type="dxa"/>
            <w:tcBorders>
              <w:top w:val="single" w:sz="4" w:space="0" w:color="FFFFFF"/>
              <w:bottom w:val="single" w:sz="4" w:space="0" w:color="FFFFFF"/>
            </w:tcBorders>
            <w:shd w:val="clear" w:color="auto" w:fill="E8F5F1"/>
          </w:tcPr>
          <w:p>
            <w:pPr>
              <w:pStyle w:val="TableParagraph"/>
              <w:spacing w:before="42"/>
              <w:ind w:left="166"/>
              <w:rPr>
                <w:sz w:val="15"/>
              </w:rPr>
            </w:pPr>
            <w:r>
              <w:rPr>
                <w:color w:val="231F20"/>
                <w:sz w:val="15"/>
              </w:rPr>
              <w:t>1</w:t>
            </w:r>
            <w:r>
              <w:rPr>
                <w:color w:val="231F20"/>
                <w:spacing w:val="-1"/>
                <w:sz w:val="15"/>
              </w:rPr>
              <w:t> </w:t>
            </w:r>
            <w:r>
              <w:rPr>
                <w:color w:val="231F20"/>
                <w:sz w:val="15"/>
              </w:rPr>
              <w:t>gt in</w:t>
            </w:r>
            <w:r>
              <w:rPr>
                <w:color w:val="231F20"/>
                <w:spacing w:val="-1"/>
                <w:sz w:val="15"/>
              </w:rPr>
              <w:t> </w:t>
            </w:r>
            <w:r>
              <w:rPr>
                <w:color w:val="231F20"/>
                <w:sz w:val="15"/>
              </w:rPr>
              <w:t>eye q3h</w:t>
            </w:r>
            <w:r>
              <w:rPr>
                <w:color w:val="231F20"/>
                <w:spacing w:val="-1"/>
                <w:sz w:val="15"/>
              </w:rPr>
              <w:t> </w:t>
            </w:r>
            <w:r>
              <w:rPr>
                <w:rFonts w:ascii="Cambria" w:hAnsi="Cambria"/>
                <w:color w:val="231F20"/>
                <w:sz w:val="15"/>
              </w:rPr>
              <w:t>×</w:t>
            </w:r>
            <w:r>
              <w:rPr>
                <w:rFonts w:ascii="Cambria" w:hAnsi="Cambria"/>
                <w:color w:val="231F20"/>
                <w:spacing w:val="12"/>
                <w:sz w:val="15"/>
              </w:rPr>
              <w:t> </w:t>
            </w:r>
            <w:r>
              <w:rPr>
                <w:color w:val="231F20"/>
                <w:sz w:val="15"/>
              </w:rPr>
              <w:t>7-10</w:t>
            </w:r>
            <w:r>
              <w:rPr>
                <w:color w:val="231F20"/>
                <w:spacing w:val="-1"/>
                <w:sz w:val="15"/>
              </w:rPr>
              <w:t> </w:t>
            </w:r>
            <w:r>
              <w:rPr>
                <w:color w:val="231F20"/>
                <w:spacing w:val="-4"/>
                <w:sz w:val="15"/>
              </w:rPr>
              <w:t>days</w:t>
            </w:r>
          </w:p>
        </w:tc>
      </w:tr>
      <w:tr>
        <w:trPr>
          <w:trHeight w:val="422" w:hRule="atLeast"/>
        </w:trPr>
        <w:tc>
          <w:tcPr>
            <w:tcW w:w="4727" w:type="dxa"/>
            <w:gridSpan w:val="2"/>
            <w:tcBorders>
              <w:top w:val="single" w:sz="4" w:space="0" w:color="FFFFFF"/>
              <w:bottom w:val="single" w:sz="4" w:space="0" w:color="FFFFFF"/>
            </w:tcBorders>
            <w:shd w:val="clear" w:color="auto" w:fill="E8F5F1"/>
          </w:tcPr>
          <w:p>
            <w:pPr>
              <w:pStyle w:val="TableParagraph"/>
              <w:spacing w:line="230" w:lineRule="auto" w:before="47"/>
              <w:ind w:left="187" w:right="459" w:hanging="112"/>
              <w:rPr>
                <w:sz w:val="15"/>
              </w:rPr>
            </w:pPr>
            <w:r>
              <w:rPr>
                <w:color w:val="231F20"/>
                <w:sz w:val="15"/>
              </w:rPr>
              <w:t>Sulfacetamide</w:t>
            </w:r>
            <w:r>
              <w:rPr>
                <w:color w:val="231F20"/>
                <w:spacing w:val="-12"/>
                <w:sz w:val="15"/>
              </w:rPr>
              <w:t> </w:t>
            </w:r>
            <w:r>
              <w:rPr>
                <w:color w:val="231F20"/>
                <w:sz w:val="15"/>
              </w:rPr>
              <w:t>(Isopto</w:t>
            </w:r>
            <w:r>
              <w:rPr>
                <w:color w:val="231F20"/>
                <w:spacing w:val="-11"/>
                <w:sz w:val="15"/>
              </w:rPr>
              <w:t> </w:t>
            </w:r>
            <w:r>
              <w:rPr>
                <w:color w:val="231F20"/>
                <w:sz w:val="15"/>
              </w:rPr>
              <w:t>Cetamide,</w:t>
            </w:r>
            <w:r>
              <w:rPr>
                <w:color w:val="231F20"/>
                <w:spacing w:val="-11"/>
                <w:sz w:val="15"/>
              </w:rPr>
              <w:t> </w:t>
            </w:r>
            <w:r>
              <w:rPr>
                <w:color w:val="231F20"/>
                <w:sz w:val="15"/>
              </w:rPr>
              <w:t>Ocusulf-10,</w:t>
            </w:r>
            <w:r>
              <w:rPr>
                <w:color w:val="231F20"/>
                <w:spacing w:val="-12"/>
                <w:sz w:val="15"/>
              </w:rPr>
              <w:t> </w:t>
            </w:r>
            <w:r>
              <w:rPr>
                <w:color w:val="231F20"/>
                <w:sz w:val="15"/>
              </w:rPr>
              <w:t>Sodium</w:t>
            </w:r>
            <w:r>
              <w:rPr>
                <w:color w:val="231F20"/>
                <w:spacing w:val="-11"/>
                <w:sz w:val="15"/>
              </w:rPr>
              <w:t> </w:t>
            </w:r>
            <w:r>
              <w:rPr>
                <w:color w:val="231F20"/>
                <w:sz w:val="15"/>
              </w:rPr>
              <w:t>Sulamyd, Sulf-10, AK-Sulf) 10% ophthalmic solution, ointment</w:t>
            </w:r>
          </w:p>
        </w:tc>
        <w:tc>
          <w:tcPr>
            <w:tcW w:w="5014" w:type="dxa"/>
            <w:tcBorders>
              <w:top w:val="single" w:sz="4" w:space="0" w:color="FFFFFF"/>
              <w:bottom w:val="single" w:sz="4" w:space="0" w:color="FFFFFF"/>
            </w:tcBorders>
            <w:shd w:val="clear" w:color="auto" w:fill="E8F5F1"/>
          </w:tcPr>
          <w:p>
            <w:pPr>
              <w:pStyle w:val="TableParagraph"/>
              <w:spacing w:line="230" w:lineRule="auto" w:before="48"/>
              <w:ind w:left="166" w:right="530"/>
              <w:rPr>
                <w:sz w:val="15"/>
              </w:rPr>
            </w:pPr>
            <w:r>
              <w:rPr>
                <w:color w:val="231F20"/>
                <w:sz w:val="15"/>
              </w:rPr>
              <w:t>Ointment:</w:t>
            </w:r>
            <w:r>
              <w:rPr>
                <w:color w:val="231F20"/>
                <w:spacing w:val="-5"/>
                <w:sz w:val="15"/>
              </w:rPr>
              <w:t> </w:t>
            </w:r>
            <w:r>
              <w:rPr>
                <w:color w:val="231F20"/>
                <w:sz w:val="15"/>
              </w:rPr>
              <w:t>0.5-inch</w:t>
            </w:r>
            <w:r>
              <w:rPr>
                <w:color w:val="231F20"/>
                <w:spacing w:val="-5"/>
                <w:sz w:val="15"/>
              </w:rPr>
              <w:t> </w:t>
            </w:r>
            <w:r>
              <w:rPr>
                <w:color w:val="231F20"/>
                <w:sz w:val="15"/>
              </w:rPr>
              <w:t>ribbon</w:t>
            </w:r>
            <w:r>
              <w:rPr>
                <w:color w:val="231F20"/>
                <w:spacing w:val="-5"/>
                <w:sz w:val="15"/>
              </w:rPr>
              <w:t> </w:t>
            </w:r>
            <w:r>
              <w:rPr>
                <w:color w:val="231F20"/>
                <w:sz w:val="15"/>
              </w:rPr>
              <w:t>in</w:t>
            </w:r>
            <w:r>
              <w:rPr>
                <w:color w:val="231F20"/>
                <w:spacing w:val="-5"/>
                <w:sz w:val="15"/>
              </w:rPr>
              <w:t> </w:t>
            </w:r>
            <w:r>
              <w:rPr>
                <w:color w:val="231F20"/>
                <w:sz w:val="15"/>
              </w:rPr>
              <w:t>eye</w:t>
            </w:r>
            <w:r>
              <w:rPr>
                <w:color w:val="231F20"/>
                <w:spacing w:val="-5"/>
                <w:sz w:val="15"/>
              </w:rPr>
              <w:t> </w:t>
            </w:r>
            <w:r>
              <w:rPr>
                <w:color w:val="231F20"/>
                <w:sz w:val="15"/>
              </w:rPr>
              <w:t>q3-4h</w:t>
            </w:r>
            <w:r>
              <w:rPr>
                <w:color w:val="231F20"/>
                <w:spacing w:val="-5"/>
                <w:sz w:val="15"/>
              </w:rPr>
              <w:t> </w:t>
            </w:r>
            <w:r>
              <w:rPr>
                <w:color w:val="231F20"/>
                <w:sz w:val="15"/>
              </w:rPr>
              <w:t>and</w:t>
            </w:r>
            <w:r>
              <w:rPr>
                <w:color w:val="231F20"/>
                <w:spacing w:val="-5"/>
                <w:sz w:val="15"/>
              </w:rPr>
              <w:t> </w:t>
            </w:r>
            <w:r>
              <w:rPr>
                <w:color w:val="231F20"/>
                <w:sz w:val="15"/>
              </w:rPr>
              <w:t>qhs</w:t>
            </w:r>
            <w:r>
              <w:rPr>
                <w:color w:val="231F20"/>
                <w:spacing w:val="-5"/>
                <w:sz w:val="15"/>
              </w:rPr>
              <w:t> </w:t>
            </w:r>
            <w:r>
              <w:rPr>
                <w:rFonts w:ascii="Cambria" w:hAnsi="Cambria"/>
                <w:color w:val="231F20"/>
                <w:sz w:val="15"/>
              </w:rPr>
              <w:t>×</w:t>
            </w:r>
            <w:r>
              <w:rPr>
                <w:rFonts w:ascii="Cambria" w:hAnsi="Cambria"/>
                <w:color w:val="231F20"/>
                <w:spacing w:val="7"/>
                <w:sz w:val="15"/>
              </w:rPr>
              <w:t> </w:t>
            </w:r>
            <w:r>
              <w:rPr>
                <w:color w:val="231F20"/>
                <w:sz w:val="15"/>
              </w:rPr>
              <w:t>7</w:t>
            </w:r>
            <w:r>
              <w:rPr>
                <w:color w:val="231F20"/>
                <w:spacing w:val="-5"/>
                <w:sz w:val="15"/>
              </w:rPr>
              <w:t> </w:t>
            </w:r>
            <w:r>
              <w:rPr>
                <w:color w:val="231F20"/>
                <w:sz w:val="15"/>
              </w:rPr>
              <w:t>days Solution: 1-2 gtt in eye q2-3h </w:t>
            </w:r>
            <w:r>
              <w:rPr>
                <w:rFonts w:ascii="Cambria" w:hAnsi="Cambria"/>
                <w:color w:val="231F20"/>
                <w:sz w:val="15"/>
              </w:rPr>
              <w:t>×</w:t>
            </w:r>
            <w:r>
              <w:rPr>
                <w:rFonts w:ascii="Cambria" w:hAnsi="Cambria"/>
                <w:color w:val="231F20"/>
                <w:spacing w:val="28"/>
                <w:sz w:val="15"/>
              </w:rPr>
              <w:t> </w:t>
            </w:r>
            <w:r>
              <w:rPr>
                <w:color w:val="231F20"/>
                <w:sz w:val="15"/>
              </w:rPr>
              <w:t>7-10 days</w:t>
            </w:r>
          </w:p>
        </w:tc>
      </w:tr>
      <w:tr>
        <w:trPr>
          <w:trHeight w:val="247" w:hRule="atLeast"/>
        </w:trPr>
        <w:tc>
          <w:tcPr>
            <w:tcW w:w="4727" w:type="dxa"/>
            <w:gridSpan w:val="2"/>
            <w:tcBorders>
              <w:top w:val="single" w:sz="4" w:space="0" w:color="FFFFFF"/>
              <w:bottom w:val="single" w:sz="8" w:space="0" w:color="231F20"/>
            </w:tcBorders>
            <w:shd w:val="clear" w:color="auto" w:fill="E8F5F1"/>
          </w:tcPr>
          <w:p>
            <w:pPr>
              <w:pStyle w:val="TableParagraph"/>
              <w:spacing w:before="42"/>
              <w:ind w:left="75"/>
              <w:rPr>
                <w:sz w:val="15"/>
              </w:rPr>
            </w:pPr>
            <w:r>
              <w:rPr>
                <w:color w:val="231F20"/>
                <w:sz w:val="15"/>
              </w:rPr>
              <w:t>Tobramycin</w:t>
            </w:r>
            <w:r>
              <w:rPr>
                <w:color w:val="231F20"/>
                <w:spacing w:val="-6"/>
                <w:sz w:val="15"/>
              </w:rPr>
              <w:t> </w:t>
            </w:r>
            <w:r>
              <w:rPr>
                <w:color w:val="231F20"/>
                <w:sz w:val="15"/>
              </w:rPr>
              <w:t>(AK-Tob,</w:t>
            </w:r>
            <w:r>
              <w:rPr>
                <w:color w:val="231F20"/>
                <w:spacing w:val="-5"/>
                <w:sz w:val="15"/>
              </w:rPr>
              <w:t> </w:t>
            </w:r>
            <w:r>
              <w:rPr>
                <w:color w:val="231F20"/>
                <w:sz w:val="15"/>
              </w:rPr>
              <w:t>Tobrex)</w:t>
            </w:r>
            <w:r>
              <w:rPr>
                <w:color w:val="231F20"/>
                <w:spacing w:val="-6"/>
                <w:sz w:val="15"/>
              </w:rPr>
              <w:t> </w:t>
            </w:r>
            <w:r>
              <w:rPr>
                <w:color w:val="231F20"/>
                <w:sz w:val="15"/>
              </w:rPr>
              <w:t>0.3%</w:t>
            </w:r>
            <w:r>
              <w:rPr>
                <w:color w:val="231F20"/>
                <w:spacing w:val="-5"/>
                <w:sz w:val="15"/>
              </w:rPr>
              <w:t> </w:t>
            </w:r>
            <w:r>
              <w:rPr>
                <w:color w:val="231F20"/>
                <w:sz w:val="15"/>
              </w:rPr>
              <w:t>ophthalmic</w:t>
            </w:r>
            <w:r>
              <w:rPr>
                <w:color w:val="231F20"/>
                <w:spacing w:val="-6"/>
                <w:sz w:val="15"/>
              </w:rPr>
              <w:t> </w:t>
            </w:r>
            <w:r>
              <w:rPr>
                <w:color w:val="231F20"/>
                <w:spacing w:val="-2"/>
                <w:sz w:val="15"/>
              </w:rPr>
              <w:t>solution</w:t>
            </w:r>
          </w:p>
        </w:tc>
        <w:tc>
          <w:tcPr>
            <w:tcW w:w="5014" w:type="dxa"/>
            <w:tcBorders>
              <w:top w:val="single" w:sz="4" w:space="0" w:color="FFFFFF"/>
              <w:bottom w:val="single" w:sz="8" w:space="0" w:color="231F20"/>
            </w:tcBorders>
            <w:shd w:val="clear" w:color="auto" w:fill="E8F5F1"/>
          </w:tcPr>
          <w:p>
            <w:pPr>
              <w:pStyle w:val="TableParagraph"/>
              <w:spacing w:before="42"/>
              <w:ind w:left="166"/>
              <w:rPr>
                <w:sz w:val="15"/>
              </w:rPr>
            </w:pPr>
            <w:r>
              <w:rPr>
                <w:color w:val="231F20"/>
                <w:sz w:val="15"/>
              </w:rPr>
              <w:t>1-2</w:t>
            </w:r>
            <w:r>
              <w:rPr>
                <w:color w:val="231F20"/>
                <w:spacing w:val="-5"/>
                <w:sz w:val="15"/>
              </w:rPr>
              <w:t> </w:t>
            </w:r>
            <w:r>
              <w:rPr>
                <w:color w:val="231F20"/>
                <w:sz w:val="15"/>
              </w:rPr>
              <w:t>gtt</w:t>
            </w:r>
            <w:r>
              <w:rPr>
                <w:color w:val="231F20"/>
                <w:spacing w:val="-5"/>
                <w:sz w:val="15"/>
              </w:rPr>
              <w:t> </w:t>
            </w:r>
            <w:r>
              <w:rPr>
                <w:color w:val="231F20"/>
                <w:sz w:val="15"/>
              </w:rPr>
              <w:t>in</w:t>
            </w:r>
            <w:r>
              <w:rPr>
                <w:color w:val="231F20"/>
                <w:spacing w:val="-5"/>
                <w:sz w:val="15"/>
              </w:rPr>
              <w:t> </w:t>
            </w:r>
            <w:r>
              <w:rPr>
                <w:color w:val="231F20"/>
                <w:sz w:val="15"/>
              </w:rPr>
              <w:t>eye</w:t>
            </w:r>
            <w:r>
              <w:rPr>
                <w:color w:val="231F20"/>
                <w:spacing w:val="-5"/>
                <w:sz w:val="15"/>
              </w:rPr>
              <w:t> q4h</w:t>
            </w:r>
          </w:p>
        </w:tc>
      </w:tr>
    </w:tbl>
    <w:p>
      <w:pPr>
        <w:spacing w:before="84"/>
        <w:ind w:left="539" w:right="0" w:firstLine="0"/>
        <w:jc w:val="left"/>
        <w:rPr>
          <w:sz w:val="13"/>
        </w:rPr>
      </w:pPr>
      <w:r>
        <w:rPr>
          <w:color w:val="231F20"/>
          <w:spacing w:val="-10"/>
          <w:w w:val="120"/>
          <w:sz w:val="13"/>
        </w:rPr>
        <w:t>*</w:t>
      </w:r>
    </w:p>
    <w:p>
      <w:pPr>
        <w:pStyle w:val="BodyText"/>
        <w:spacing w:before="125"/>
        <w:rPr>
          <w:sz w:val="20"/>
        </w:rPr>
      </w:pPr>
    </w:p>
    <w:tbl>
      <w:tblPr>
        <w:tblW w:w="0" w:type="auto"/>
        <w:jc w:val="left"/>
        <w:tblInd w:w="5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17"/>
        <w:gridCol w:w="4157"/>
        <w:gridCol w:w="4021"/>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623-</w:t>
            </w:r>
            <w:r>
              <w:rPr>
                <w:b/>
                <w:color w:val="FFFFFF"/>
                <w:spacing w:val="-10"/>
                <w:w w:val="105"/>
                <w:sz w:val="16"/>
              </w:rPr>
              <w:t>2</w:t>
            </w:r>
          </w:p>
        </w:tc>
        <w:tc>
          <w:tcPr>
            <w:tcW w:w="8595"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Specific</w:t>
            </w:r>
            <w:r>
              <w:rPr>
                <w:color w:val="FFFFFF"/>
                <w:spacing w:val="11"/>
                <w:w w:val="105"/>
                <w:sz w:val="16"/>
              </w:rPr>
              <w:t> </w:t>
            </w:r>
            <w:r>
              <w:rPr>
                <w:color w:val="FFFFFF"/>
                <w:w w:val="105"/>
                <w:sz w:val="16"/>
              </w:rPr>
              <w:t>Patterns</w:t>
            </w:r>
            <w:r>
              <w:rPr>
                <w:color w:val="FFFFFF"/>
                <w:spacing w:val="12"/>
                <w:w w:val="105"/>
                <w:sz w:val="16"/>
              </w:rPr>
              <w:t> </w:t>
            </w:r>
            <w:r>
              <w:rPr>
                <w:color w:val="FFFFFF"/>
                <w:w w:val="105"/>
                <w:sz w:val="16"/>
              </w:rPr>
              <w:t>of</w:t>
            </w:r>
            <w:r>
              <w:rPr>
                <w:color w:val="FFFFFF"/>
                <w:spacing w:val="11"/>
                <w:w w:val="105"/>
                <w:sz w:val="16"/>
              </w:rPr>
              <w:t> </w:t>
            </w:r>
            <w:r>
              <w:rPr>
                <w:color w:val="FFFFFF"/>
                <w:w w:val="105"/>
                <w:sz w:val="16"/>
              </w:rPr>
              <w:t>Nonnystagmus</w:t>
            </w:r>
            <w:r>
              <w:rPr>
                <w:color w:val="FFFFFF"/>
                <w:spacing w:val="12"/>
                <w:w w:val="105"/>
                <w:sz w:val="16"/>
              </w:rPr>
              <w:t> </w:t>
            </w:r>
            <w:r>
              <w:rPr>
                <w:color w:val="FFFFFF"/>
                <w:w w:val="105"/>
                <w:sz w:val="16"/>
              </w:rPr>
              <w:t>Eye</w:t>
            </w:r>
            <w:r>
              <w:rPr>
                <w:color w:val="FFFFFF"/>
                <w:spacing w:val="12"/>
                <w:w w:val="105"/>
                <w:sz w:val="16"/>
              </w:rPr>
              <w:t> </w:t>
            </w:r>
            <w:r>
              <w:rPr>
                <w:color w:val="FFFFFF"/>
                <w:spacing w:val="-2"/>
                <w:w w:val="105"/>
                <w:sz w:val="16"/>
              </w:rPr>
              <w:t>Movements</w:t>
            </w:r>
          </w:p>
        </w:tc>
      </w:tr>
      <w:tr>
        <w:trPr>
          <w:trHeight w:val="276" w:hRule="atLeast"/>
        </w:trPr>
        <w:tc>
          <w:tcPr>
            <w:tcW w:w="1565"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05"/>
                <w:sz w:val="15"/>
              </w:rPr>
              <w:t>PATTERN</w:t>
            </w:r>
          </w:p>
        </w:tc>
        <w:tc>
          <w:tcPr>
            <w:tcW w:w="4157" w:type="dxa"/>
            <w:tcBorders>
              <w:bottom w:val="single" w:sz="4" w:space="0" w:color="231F20"/>
            </w:tcBorders>
            <w:shd w:val="clear" w:color="auto" w:fill="E8F5F1"/>
          </w:tcPr>
          <w:p>
            <w:pPr>
              <w:pStyle w:val="TableParagraph"/>
              <w:spacing w:before="66"/>
              <w:jc w:val="center"/>
              <w:rPr>
                <w:b/>
                <w:sz w:val="15"/>
              </w:rPr>
            </w:pPr>
            <w:r>
              <w:rPr>
                <w:b/>
                <w:color w:val="231F20"/>
                <w:spacing w:val="-2"/>
                <w:w w:val="110"/>
                <w:sz w:val="15"/>
              </w:rPr>
              <w:t>DESCRIPTION</w:t>
            </w:r>
          </w:p>
        </w:tc>
        <w:tc>
          <w:tcPr>
            <w:tcW w:w="4021" w:type="dxa"/>
            <w:tcBorders>
              <w:bottom w:val="single" w:sz="4" w:space="0" w:color="231F20"/>
            </w:tcBorders>
            <w:shd w:val="clear" w:color="auto" w:fill="E8F5F1"/>
          </w:tcPr>
          <w:p>
            <w:pPr>
              <w:pStyle w:val="TableParagraph"/>
              <w:spacing w:before="66"/>
              <w:ind w:left="1127"/>
              <w:rPr>
                <w:b/>
                <w:sz w:val="15"/>
              </w:rPr>
            </w:pPr>
            <w:r>
              <w:rPr>
                <w:b/>
                <w:color w:val="231F20"/>
                <w:w w:val="110"/>
                <w:sz w:val="15"/>
              </w:rPr>
              <w:t>ASSOCIATED</w:t>
            </w:r>
            <w:r>
              <w:rPr>
                <w:b/>
                <w:color w:val="231F20"/>
                <w:spacing w:val="11"/>
                <w:w w:val="110"/>
                <w:sz w:val="15"/>
              </w:rPr>
              <w:t> </w:t>
            </w:r>
            <w:r>
              <w:rPr>
                <w:b/>
                <w:color w:val="231F20"/>
                <w:spacing w:val="-2"/>
                <w:w w:val="110"/>
                <w:sz w:val="15"/>
              </w:rPr>
              <w:t>CONDITIONS</w:t>
            </w:r>
          </w:p>
        </w:tc>
      </w:tr>
      <w:tr>
        <w:trPr>
          <w:trHeight w:val="425" w:hRule="atLeast"/>
        </w:trPr>
        <w:tc>
          <w:tcPr>
            <w:tcW w:w="1565"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2"/>
                <w:w w:val="105"/>
                <w:sz w:val="15"/>
              </w:rPr>
              <w:t>Opsoclonus</w:t>
            </w:r>
          </w:p>
        </w:tc>
        <w:tc>
          <w:tcPr>
            <w:tcW w:w="4157" w:type="dxa"/>
            <w:tcBorders>
              <w:top w:val="single" w:sz="4" w:space="0" w:color="231F20"/>
              <w:bottom w:val="single" w:sz="4" w:space="0" w:color="FFFFFF"/>
            </w:tcBorders>
            <w:shd w:val="clear" w:color="auto" w:fill="E8F5F1"/>
          </w:tcPr>
          <w:p>
            <w:pPr>
              <w:pStyle w:val="TableParagraph"/>
              <w:spacing w:line="230" w:lineRule="auto" w:before="52"/>
              <w:ind w:left="401" w:right="279" w:hanging="112"/>
              <w:rPr>
                <w:sz w:val="15"/>
              </w:rPr>
            </w:pPr>
            <w:r>
              <w:rPr>
                <w:color w:val="231F20"/>
                <w:sz w:val="15"/>
              </w:rPr>
              <w:t>Multidirectional</w:t>
            </w:r>
            <w:r>
              <w:rPr>
                <w:color w:val="231F20"/>
                <w:spacing w:val="-12"/>
                <w:sz w:val="15"/>
              </w:rPr>
              <w:t> </w:t>
            </w:r>
            <w:r>
              <w:rPr>
                <w:color w:val="231F20"/>
                <w:sz w:val="15"/>
              </w:rPr>
              <w:t>conjugate</w:t>
            </w:r>
            <w:r>
              <w:rPr>
                <w:color w:val="231F20"/>
                <w:spacing w:val="-11"/>
                <w:sz w:val="15"/>
              </w:rPr>
              <w:t> </w:t>
            </w:r>
            <w:r>
              <w:rPr>
                <w:color w:val="231F20"/>
                <w:sz w:val="15"/>
              </w:rPr>
              <w:t>movements</w:t>
            </w:r>
            <w:r>
              <w:rPr>
                <w:color w:val="231F20"/>
                <w:spacing w:val="-11"/>
                <w:sz w:val="15"/>
              </w:rPr>
              <w:t> </w:t>
            </w:r>
            <w:r>
              <w:rPr>
                <w:color w:val="231F20"/>
                <w:sz w:val="15"/>
              </w:rPr>
              <w:t>of</w:t>
            </w:r>
            <w:r>
              <w:rPr>
                <w:color w:val="231F20"/>
                <w:spacing w:val="-12"/>
                <w:sz w:val="15"/>
              </w:rPr>
              <w:t> </w:t>
            </w:r>
            <w:r>
              <w:rPr>
                <w:color w:val="231F20"/>
                <w:sz w:val="15"/>
              </w:rPr>
              <w:t>varying</w:t>
            </w:r>
            <w:r>
              <w:rPr>
                <w:color w:val="231F20"/>
                <w:spacing w:val="-11"/>
                <w:sz w:val="15"/>
              </w:rPr>
              <w:t> </w:t>
            </w:r>
            <w:r>
              <w:rPr>
                <w:color w:val="231F20"/>
                <w:sz w:val="15"/>
              </w:rPr>
              <w:t>rate and amplitude</w:t>
            </w:r>
          </w:p>
        </w:tc>
        <w:tc>
          <w:tcPr>
            <w:tcW w:w="4021" w:type="dxa"/>
            <w:tcBorders>
              <w:top w:val="single" w:sz="4" w:space="0" w:color="231F20"/>
              <w:bottom w:val="single" w:sz="4" w:space="0" w:color="FFFFFF"/>
            </w:tcBorders>
            <w:shd w:val="clear" w:color="auto" w:fill="E8F5F1"/>
          </w:tcPr>
          <w:p>
            <w:pPr>
              <w:pStyle w:val="TableParagraph"/>
              <w:spacing w:line="230" w:lineRule="auto" w:before="52"/>
              <w:ind w:left="398" w:hanging="112"/>
              <w:rPr>
                <w:sz w:val="15"/>
              </w:rPr>
            </w:pPr>
            <w:r>
              <w:rPr>
                <w:color w:val="231F20"/>
                <w:sz w:val="15"/>
              </w:rPr>
              <w:t>Hydrocephalus,</w:t>
            </w:r>
            <w:r>
              <w:rPr>
                <w:color w:val="231F20"/>
                <w:spacing w:val="-12"/>
                <w:sz w:val="15"/>
              </w:rPr>
              <w:t> </w:t>
            </w:r>
            <w:r>
              <w:rPr>
                <w:color w:val="231F20"/>
                <w:sz w:val="15"/>
              </w:rPr>
              <w:t>diseases</w:t>
            </w:r>
            <w:r>
              <w:rPr>
                <w:color w:val="231F20"/>
                <w:spacing w:val="-11"/>
                <w:sz w:val="15"/>
              </w:rPr>
              <w:t> </w:t>
            </w:r>
            <w:r>
              <w:rPr>
                <w:color w:val="231F20"/>
                <w:sz w:val="15"/>
              </w:rPr>
              <w:t>of</w:t>
            </w:r>
            <w:r>
              <w:rPr>
                <w:color w:val="231F20"/>
                <w:spacing w:val="-11"/>
                <w:sz w:val="15"/>
              </w:rPr>
              <w:t> </w:t>
            </w:r>
            <w:r>
              <w:rPr>
                <w:color w:val="231F20"/>
                <w:sz w:val="15"/>
              </w:rPr>
              <w:t>brainstem</w:t>
            </w:r>
            <w:r>
              <w:rPr>
                <w:color w:val="231F20"/>
                <w:spacing w:val="-12"/>
                <w:sz w:val="15"/>
              </w:rPr>
              <w:t> </w:t>
            </w:r>
            <w:r>
              <w:rPr>
                <w:color w:val="231F20"/>
                <w:sz w:val="15"/>
              </w:rPr>
              <w:t>and</w:t>
            </w:r>
            <w:r>
              <w:rPr>
                <w:color w:val="231F20"/>
                <w:spacing w:val="-11"/>
                <w:sz w:val="15"/>
              </w:rPr>
              <w:t> </w:t>
            </w:r>
            <w:r>
              <w:rPr>
                <w:color w:val="231F20"/>
                <w:sz w:val="15"/>
              </w:rPr>
              <w:t>cerebellum, neuroblastoma, paraneoplasia syndrome</w:t>
            </w:r>
          </w:p>
        </w:tc>
      </w:tr>
      <w:tr>
        <w:trPr>
          <w:trHeight w:val="252" w:hRule="atLeast"/>
        </w:trPr>
        <w:tc>
          <w:tcPr>
            <w:tcW w:w="156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Ocular</w:t>
            </w:r>
            <w:r>
              <w:rPr>
                <w:color w:val="231F20"/>
                <w:spacing w:val="1"/>
                <w:sz w:val="15"/>
              </w:rPr>
              <w:t> </w:t>
            </w:r>
            <w:r>
              <w:rPr>
                <w:color w:val="231F20"/>
                <w:spacing w:val="-2"/>
                <w:sz w:val="15"/>
              </w:rPr>
              <w:t>dysmetria</w:t>
            </w:r>
          </w:p>
        </w:tc>
        <w:tc>
          <w:tcPr>
            <w:tcW w:w="4157" w:type="dxa"/>
            <w:tcBorders>
              <w:top w:val="single" w:sz="4" w:space="0" w:color="FFFFFF"/>
              <w:bottom w:val="single" w:sz="4" w:space="0" w:color="FFFFFF"/>
            </w:tcBorders>
            <w:shd w:val="clear" w:color="auto" w:fill="E8F5F1"/>
          </w:tcPr>
          <w:p>
            <w:pPr>
              <w:pStyle w:val="TableParagraph"/>
              <w:spacing w:before="42"/>
              <w:ind w:left="289"/>
              <w:rPr>
                <w:sz w:val="15"/>
              </w:rPr>
            </w:pPr>
            <w:r>
              <w:rPr>
                <w:color w:val="231F20"/>
                <w:sz w:val="15"/>
              </w:rPr>
              <w:t>Overshoot</w:t>
            </w:r>
            <w:r>
              <w:rPr>
                <w:color w:val="231F20"/>
                <w:spacing w:val="5"/>
                <w:sz w:val="15"/>
              </w:rPr>
              <w:t> </w:t>
            </w:r>
            <w:r>
              <w:rPr>
                <w:color w:val="231F20"/>
                <w:sz w:val="15"/>
              </w:rPr>
              <w:t>of</w:t>
            </w:r>
            <w:r>
              <w:rPr>
                <w:color w:val="231F20"/>
                <w:spacing w:val="5"/>
                <w:sz w:val="15"/>
              </w:rPr>
              <w:t> </w:t>
            </w:r>
            <w:r>
              <w:rPr>
                <w:color w:val="231F20"/>
                <w:sz w:val="15"/>
              </w:rPr>
              <w:t>eyes</w:t>
            </w:r>
            <w:r>
              <w:rPr>
                <w:color w:val="231F20"/>
                <w:spacing w:val="5"/>
                <w:sz w:val="15"/>
              </w:rPr>
              <w:t> </w:t>
            </w:r>
            <w:r>
              <w:rPr>
                <w:color w:val="231F20"/>
                <w:sz w:val="15"/>
              </w:rPr>
              <w:t>on</w:t>
            </w:r>
            <w:r>
              <w:rPr>
                <w:color w:val="231F20"/>
                <w:spacing w:val="5"/>
                <w:sz w:val="15"/>
              </w:rPr>
              <w:t> </w:t>
            </w:r>
            <w:r>
              <w:rPr>
                <w:color w:val="231F20"/>
                <w:sz w:val="15"/>
              </w:rPr>
              <w:t>rapid</w:t>
            </w:r>
            <w:r>
              <w:rPr>
                <w:color w:val="231F20"/>
                <w:spacing w:val="5"/>
                <w:sz w:val="15"/>
              </w:rPr>
              <w:t> </w:t>
            </w:r>
            <w:r>
              <w:rPr>
                <w:color w:val="231F20"/>
                <w:spacing w:val="-2"/>
                <w:sz w:val="15"/>
              </w:rPr>
              <w:t>fixation</w:t>
            </w:r>
          </w:p>
        </w:tc>
        <w:tc>
          <w:tcPr>
            <w:tcW w:w="4021" w:type="dxa"/>
            <w:tcBorders>
              <w:top w:val="single" w:sz="4" w:space="0" w:color="FFFFFF"/>
              <w:bottom w:val="single" w:sz="4" w:space="0" w:color="FFFFFF"/>
            </w:tcBorders>
            <w:shd w:val="clear" w:color="auto" w:fill="E8F5F1"/>
          </w:tcPr>
          <w:p>
            <w:pPr>
              <w:pStyle w:val="TableParagraph"/>
              <w:spacing w:before="42"/>
              <w:ind w:left="286"/>
              <w:rPr>
                <w:sz w:val="15"/>
              </w:rPr>
            </w:pPr>
            <w:r>
              <w:rPr>
                <w:color w:val="231F20"/>
                <w:spacing w:val="-2"/>
                <w:sz w:val="15"/>
              </w:rPr>
              <w:t>Cerebellar</w:t>
            </w:r>
            <w:r>
              <w:rPr>
                <w:color w:val="231F20"/>
                <w:spacing w:val="6"/>
                <w:sz w:val="15"/>
              </w:rPr>
              <w:t> </w:t>
            </w:r>
            <w:r>
              <w:rPr>
                <w:color w:val="231F20"/>
                <w:spacing w:val="-2"/>
                <w:sz w:val="15"/>
              </w:rPr>
              <w:t>dysfunction</w:t>
            </w:r>
          </w:p>
        </w:tc>
      </w:tr>
      <w:tr>
        <w:trPr>
          <w:trHeight w:val="420" w:hRule="atLeast"/>
        </w:trPr>
        <w:tc>
          <w:tcPr>
            <w:tcW w:w="156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Ocular</w:t>
            </w:r>
            <w:r>
              <w:rPr>
                <w:color w:val="231F20"/>
                <w:spacing w:val="1"/>
                <w:sz w:val="15"/>
              </w:rPr>
              <w:t> </w:t>
            </w:r>
            <w:r>
              <w:rPr>
                <w:color w:val="231F20"/>
                <w:spacing w:val="-2"/>
                <w:sz w:val="15"/>
              </w:rPr>
              <w:t>flutter</w:t>
            </w:r>
          </w:p>
        </w:tc>
        <w:tc>
          <w:tcPr>
            <w:tcW w:w="4157" w:type="dxa"/>
            <w:tcBorders>
              <w:top w:val="single" w:sz="4" w:space="0" w:color="FFFFFF"/>
              <w:bottom w:val="single" w:sz="4" w:space="0" w:color="FFFFFF"/>
            </w:tcBorders>
            <w:shd w:val="clear" w:color="auto" w:fill="E8F5F1"/>
          </w:tcPr>
          <w:p>
            <w:pPr>
              <w:pStyle w:val="TableParagraph"/>
              <w:spacing w:line="230" w:lineRule="auto" w:before="48"/>
              <w:ind w:left="401" w:right="279" w:hanging="112"/>
              <w:rPr>
                <w:sz w:val="15"/>
              </w:rPr>
            </w:pPr>
            <w:r>
              <w:rPr>
                <w:color w:val="231F20"/>
                <w:spacing w:val="-2"/>
                <w:sz w:val="15"/>
              </w:rPr>
              <w:t>Horizontal</w:t>
            </w:r>
            <w:r>
              <w:rPr>
                <w:color w:val="231F20"/>
                <w:spacing w:val="-3"/>
                <w:sz w:val="15"/>
              </w:rPr>
              <w:t> </w:t>
            </w:r>
            <w:r>
              <w:rPr>
                <w:color w:val="231F20"/>
                <w:spacing w:val="-2"/>
                <w:sz w:val="15"/>
              </w:rPr>
              <w:t>oscillations</w:t>
            </w:r>
            <w:r>
              <w:rPr>
                <w:color w:val="231F20"/>
                <w:spacing w:val="-3"/>
                <w:sz w:val="15"/>
              </w:rPr>
              <w:t> </w:t>
            </w:r>
            <w:r>
              <w:rPr>
                <w:color w:val="231F20"/>
                <w:spacing w:val="-2"/>
                <w:sz w:val="15"/>
              </w:rPr>
              <w:t>with</w:t>
            </w:r>
            <w:r>
              <w:rPr>
                <w:color w:val="231F20"/>
                <w:spacing w:val="-3"/>
                <w:sz w:val="15"/>
              </w:rPr>
              <w:t> </w:t>
            </w:r>
            <w:r>
              <w:rPr>
                <w:color w:val="231F20"/>
                <w:spacing w:val="-2"/>
                <w:sz w:val="15"/>
              </w:rPr>
              <w:t>forward</w:t>
            </w:r>
            <w:r>
              <w:rPr>
                <w:color w:val="231F20"/>
                <w:spacing w:val="-3"/>
                <w:sz w:val="15"/>
              </w:rPr>
              <w:t> </w:t>
            </w:r>
            <w:r>
              <w:rPr>
                <w:color w:val="231F20"/>
                <w:spacing w:val="-2"/>
                <w:sz w:val="15"/>
              </w:rPr>
              <w:t>gaze</w:t>
            </w:r>
            <w:r>
              <w:rPr>
                <w:color w:val="231F20"/>
                <w:spacing w:val="-3"/>
                <w:sz w:val="15"/>
              </w:rPr>
              <w:t> </w:t>
            </w:r>
            <w:r>
              <w:rPr>
                <w:color w:val="231F20"/>
                <w:spacing w:val="-2"/>
                <w:sz w:val="15"/>
              </w:rPr>
              <w:t>and </w:t>
            </w:r>
            <w:r>
              <w:rPr>
                <w:color w:val="231F20"/>
                <w:sz w:val="15"/>
              </w:rPr>
              <w:t>sometimes with blinking</w:t>
            </w:r>
          </w:p>
        </w:tc>
        <w:tc>
          <w:tcPr>
            <w:tcW w:w="4021" w:type="dxa"/>
            <w:tcBorders>
              <w:top w:val="single" w:sz="4" w:space="0" w:color="FFFFFF"/>
              <w:bottom w:val="single" w:sz="4" w:space="0" w:color="FFFFFF"/>
            </w:tcBorders>
            <w:shd w:val="clear" w:color="auto" w:fill="E8F5F1"/>
          </w:tcPr>
          <w:p>
            <w:pPr>
              <w:pStyle w:val="TableParagraph"/>
              <w:spacing w:line="230" w:lineRule="auto" w:before="48"/>
              <w:ind w:left="398" w:right="141" w:hanging="112"/>
              <w:rPr>
                <w:sz w:val="15"/>
              </w:rPr>
            </w:pPr>
            <w:r>
              <w:rPr>
                <w:color w:val="231F20"/>
                <w:sz w:val="15"/>
              </w:rPr>
              <w:t>Cerebellar</w:t>
            </w:r>
            <w:r>
              <w:rPr>
                <w:color w:val="231F20"/>
                <w:spacing w:val="-12"/>
                <w:sz w:val="15"/>
              </w:rPr>
              <w:t> </w:t>
            </w:r>
            <w:r>
              <w:rPr>
                <w:color w:val="231F20"/>
                <w:sz w:val="15"/>
              </w:rPr>
              <w:t>disease,</w:t>
            </w:r>
            <w:r>
              <w:rPr>
                <w:color w:val="231F20"/>
                <w:spacing w:val="-11"/>
                <w:sz w:val="15"/>
              </w:rPr>
              <w:t> </w:t>
            </w:r>
            <w:r>
              <w:rPr>
                <w:color w:val="231F20"/>
                <w:sz w:val="15"/>
              </w:rPr>
              <w:t>hydrocephalus,</w:t>
            </w:r>
            <w:r>
              <w:rPr>
                <w:color w:val="231F20"/>
                <w:spacing w:val="-11"/>
                <w:sz w:val="15"/>
              </w:rPr>
              <w:t> </w:t>
            </w:r>
            <w:r>
              <w:rPr>
                <w:color w:val="231F20"/>
                <w:sz w:val="15"/>
              </w:rPr>
              <w:t>or</w:t>
            </w:r>
            <w:r>
              <w:rPr>
                <w:color w:val="231F20"/>
                <w:spacing w:val="-12"/>
                <w:sz w:val="15"/>
              </w:rPr>
              <w:t> </w:t>
            </w:r>
            <w:r>
              <w:rPr>
                <w:color w:val="231F20"/>
                <w:sz w:val="15"/>
              </w:rPr>
              <w:t>central</w:t>
            </w:r>
            <w:r>
              <w:rPr>
                <w:color w:val="231F20"/>
                <w:spacing w:val="-11"/>
                <w:sz w:val="15"/>
              </w:rPr>
              <w:t> </w:t>
            </w:r>
            <w:r>
              <w:rPr>
                <w:color w:val="231F20"/>
                <w:sz w:val="15"/>
              </w:rPr>
              <w:t>nervous system neoplasm</w:t>
            </w:r>
          </w:p>
        </w:tc>
      </w:tr>
      <w:tr>
        <w:trPr>
          <w:trHeight w:val="420" w:hRule="atLeast"/>
        </w:trPr>
        <w:tc>
          <w:tcPr>
            <w:tcW w:w="1565"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Ocular</w:t>
            </w:r>
            <w:r>
              <w:rPr>
                <w:color w:val="231F20"/>
                <w:spacing w:val="1"/>
                <w:sz w:val="15"/>
              </w:rPr>
              <w:t> </w:t>
            </w:r>
            <w:r>
              <w:rPr>
                <w:color w:val="231F20"/>
                <w:spacing w:val="-2"/>
                <w:sz w:val="15"/>
              </w:rPr>
              <w:t>bobbing</w:t>
            </w:r>
          </w:p>
        </w:tc>
        <w:tc>
          <w:tcPr>
            <w:tcW w:w="4157" w:type="dxa"/>
            <w:tcBorders>
              <w:top w:val="single" w:sz="4" w:space="0" w:color="FFFFFF"/>
              <w:bottom w:val="single" w:sz="4" w:space="0" w:color="FFFFFF"/>
            </w:tcBorders>
            <w:shd w:val="clear" w:color="auto" w:fill="E8F5F1"/>
          </w:tcPr>
          <w:p>
            <w:pPr>
              <w:pStyle w:val="TableParagraph"/>
              <w:spacing w:line="230" w:lineRule="auto" w:before="48"/>
              <w:ind w:left="401" w:right="356" w:hanging="112"/>
              <w:rPr>
                <w:sz w:val="15"/>
              </w:rPr>
            </w:pPr>
            <w:r>
              <w:rPr>
                <w:color w:val="231F20"/>
                <w:sz w:val="15"/>
              </w:rPr>
              <w:t>Downward</w:t>
            </w:r>
            <w:r>
              <w:rPr>
                <w:color w:val="231F20"/>
                <w:spacing w:val="-12"/>
                <w:sz w:val="15"/>
              </w:rPr>
              <w:t> </w:t>
            </w:r>
            <w:r>
              <w:rPr>
                <w:color w:val="231F20"/>
                <w:sz w:val="15"/>
              </w:rPr>
              <w:t>jerk</w:t>
            </w:r>
            <w:r>
              <w:rPr>
                <w:color w:val="231F20"/>
                <w:spacing w:val="-11"/>
                <w:sz w:val="15"/>
              </w:rPr>
              <w:t> </w:t>
            </w:r>
            <w:r>
              <w:rPr>
                <w:color w:val="231F20"/>
                <w:sz w:val="15"/>
              </w:rPr>
              <w:t>from</w:t>
            </w:r>
            <w:r>
              <w:rPr>
                <w:color w:val="231F20"/>
                <w:spacing w:val="-11"/>
                <w:sz w:val="15"/>
              </w:rPr>
              <w:t> </w:t>
            </w:r>
            <w:r>
              <w:rPr>
                <w:color w:val="231F20"/>
                <w:sz w:val="15"/>
              </w:rPr>
              <w:t>primary</w:t>
            </w:r>
            <w:r>
              <w:rPr>
                <w:color w:val="231F20"/>
                <w:spacing w:val="-12"/>
                <w:sz w:val="15"/>
              </w:rPr>
              <w:t> </w:t>
            </w:r>
            <w:r>
              <w:rPr>
                <w:color w:val="231F20"/>
                <w:sz w:val="15"/>
              </w:rPr>
              <w:t>gaze,</w:t>
            </w:r>
            <w:r>
              <w:rPr>
                <w:color w:val="231F20"/>
                <w:spacing w:val="-11"/>
                <w:sz w:val="15"/>
              </w:rPr>
              <w:t> </w:t>
            </w:r>
            <w:r>
              <w:rPr>
                <w:color w:val="231F20"/>
                <w:sz w:val="15"/>
              </w:rPr>
              <w:t>remains</w:t>
            </w:r>
            <w:r>
              <w:rPr>
                <w:color w:val="231F20"/>
                <w:spacing w:val="-11"/>
                <w:sz w:val="15"/>
              </w:rPr>
              <w:t> </w:t>
            </w:r>
            <w:r>
              <w:rPr>
                <w:color w:val="231F20"/>
                <w:sz w:val="15"/>
              </w:rPr>
              <w:t>for</w:t>
            </w:r>
            <w:r>
              <w:rPr>
                <w:color w:val="231F20"/>
                <w:spacing w:val="-12"/>
                <w:sz w:val="15"/>
              </w:rPr>
              <w:t> </w:t>
            </w:r>
            <w:r>
              <w:rPr>
                <w:color w:val="231F20"/>
                <w:sz w:val="15"/>
              </w:rPr>
              <w:t>a</w:t>
            </w:r>
            <w:r>
              <w:rPr>
                <w:color w:val="231F20"/>
                <w:spacing w:val="-11"/>
                <w:sz w:val="15"/>
              </w:rPr>
              <w:t> </w:t>
            </w:r>
            <w:r>
              <w:rPr>
                <w:color w:val="231F20"/>
                <w:sz w:val="15"/>
              </w:rPr>
              <w:t>few sec, then drifts back</w:t>
            </w:r>
          </w:p>
        </w:tc>
        <w:tc>
          <w:tcPr>
            <w:tcW w:w="4021" w:type="dxa"/>
            <w:tcBorders>
              <w:top w:val="single" w:sz="4" w:space="0" w:color="FFFFFF"/>
              <w:bottom w:val="single" w:sz="4" w:space="0" w:color="FFFFFF"/>
            </w:tcBorders>
            <w:shd w:val="clear" w:color="auto" w:fill="E8F5F1"/>
          </w:tcPr>
          <w:p>
            <w:pPr>
              <w:pStyle w:val="TableParagraph"/>
              <w:spacing w:before="42"/>
              <w:ind w:left="286"/>
              <w:rPr>
                <w:sz w:val="15"/>
              </w:rPr>
            </w:pPr>
            <w:r>
              <w:rPr>
                <w:color w:val="231F20"/>
                <w:sz w:val="15"/>
              </w:rPr>
              <w:t>Pontine</w:t>
            </w:r>
            <w:r>
              <w:rPr>
                <w:color w:val="231F20"/>
                <w:spacing w:val="-5"/>
                <w:sz w:val="15"/>
              </w:rPr>
              <w:t> </w:t>
            </w:r>
            <w:r>
              <w:rPr>
                <w:color w:val="231F20"/>
                <w:spacing w:val="-2"/>
                <w:sz w:val="15"/>
              </w:rPr>
              <w:t>disease</w:t>
            </w:r>
          </w:p>
        </w:tc>
      </w:tr>
      <w:tr>
        <w:trPr>
          <w:trHeight w:val="415" w:hRule="atLeast"/>
        </w:trPr>
        <w:tc>
          <w:tcPr>
            <w:tcW w:w="1565"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z w:val="15"/>
              </w:rPr>
              <w:t>Ocular</w:t>
            </w:r>
            <w:r>
              <w:rPr>
                <w:color w:val="231F20"/>
                <w:spacing w:val="1"/>
                <w:sz w:val="15"/>
              </w:rPr>
              <w:t> </w:t>
            </w:r>
            <w:r>
              <w:rPr>
                <w:color w:val="231F20"/>
                <w:spacing w:val="-2"/>
                <w:sz w:val="15"/>
              </w:rPr>
              <w:t>myoclonus</w:t>
            </w:r>
          </w:p>
        </w:tc>
        <w:tc>
          <w:tcPr>
            <w:tcW w:w="4157" w:type="dxa"/>
            <w:tcBorders>
              <w:top w:val="single" w:sz="4" w:space="0" w:color="FFFFFF"/>
              <w:bottom w:val="single" w:sz="8" w:space="0" w:color="231F20"/>
            </w:tcBorders>
            <w:shd w:val="clear" w:color="auto" w:fill="E8F5F1"/>
          </w:tcPr>
          <w:p>
            <w:pPr>
              <w:pStyle w:val="TableParagraph"/>
              <w:spacing w:line="230" w:lineRule="auto" w:before="48"/>
              <w:ind w:left="401" w:right="279" w:hanging="112"/>
              <w:rPr>
                <w:sz w:val="15"/>
              </w:rPr>
            </w:pPr>
            <w:r>
              <w:rPr>
                <w:color w:val="231F20"/>
                <w:spacing w:val="-2"/>
                <w:sz w:val="15"/>
              </w:rPr>
              <w:t>Rhythmic</w:t>
            </w:r>
            <w:r>
              <w:rPr>
                <w:color w:val="231F20"/>
                <w:spacing w:val="-3"/>
                <w:sz w:val="15"/>
              </w:rPr>
              <w:t> </w:t>
            </w:r>
            <w:r>
              <w:rPr>
                <w:color w:val="231F20"/>
                <w:spacing w:val="-2"/>
                <w:sz w:val="15"/>
              </w:rPr>
              <w:t>to-and-fro</w:t>
            </w:r>
            <w:r>
              <w:rPr>
                <w:color w:val="231F20"/>
                <w:spacing w:val="-3"/>
                <w:sz w:val="15"/>
              </w:rPr>
              <w:t> </w:t>
            </w:r>
            <w:r>
              <w:rPr>
                <w:color w:val="231F20"/>
                <w:spacing w:val="-2"/>
                <w:sz w:val="15"/>
              </w:rPr>
              <w:t>pendular</w:t>
            </w:r>
            <w:r>
              <w:rPr>
                <w:color w:val="231F20"/>
                <w:spacing w:val="-3"/>
                <w:sz w:val="15"/>
              </w:rPr>
              <w:t> </w:t>
            </w:r>
            <w:r>
              <w:rPr>
                <w:color w:val="231F20"/>
                <w:spacing w:val="-2"/>
                <w:sz w:val="15"/>
              </w:rPr>
              <w:t>oscillations</w:t>
            </w:r>
            <w:r>
              <w:rPr>
                <w:color w:val="231F20"/>
                <w:spacing w:val="-3"/>
                <w:sz w:val="15"/>
              </w:rPr>
              <w:t> </w:t>
            </w:r>
            <w:r>
              <w:rPr>
                <w:color w:val="231F20"/>
                <w:spacing w:val="-2"/>
                <w:sz w:val="15"/>
              </w:rPr>
              <w:t>of</w:t>
            </w:r>
            <w:r>
              <w:rPr>
                <w:color w:val="231F20"/>
                <w:spacing w:val="-3"/>
                <w:sz w:val="15"/>
              </w:rPr>
              <w:t> </w:t>
            </w:r>
            <w:r>
              <w:rPr>
                <w:color w:val="231F20"/>
                <w:spacing w:val="-2"/>
                <w:sz w:val="15"/>
              </w:rPr>
              <w:t>the</w:t>
            </w:r>
            <w:r>
              <w:rPr>
                <w:color w:val="231F20"/>
                <w:spacing w:val="-3"/>
                <w:sz w:val="15"/>
              </w:rPr>
              <w:t> </w:t>
            </w:r>
            <w:r>
              <w:rPr>
                <w:color w:val="231F20"/>
                <w:spacing w:val="-2"/>
                <w:sz w:val="15"/>
              </w:rPr>
              <w:t>eyes, </w:t>
            </w:r>
            <w:r>
              <w:rPr>
                <w:color w:val="231F20"/>
                <w:sz w:val="15"/>
              </w:rPr>
              <w:t>with synchronous nonocular muscle movement</w:t>
            </w:r>
          </w:p>
        </w:tc>
        <w:tc>
          <w:tcPr>
            <w:tcW w:w="4021" w:type="dxa"/>
            <w:tcBorders>
              <w:top w:val="single" w:sz="4" w:space="0" w:color="FFFFFF"/>
              <w:bottom w:val="single" w:sz="8" w:space="0" w:color="231F20"/>
            </w:tcBorders>
            <w:shd w:val="clear" w:color="auto" w:fill="E8F5F1"/>
          </w:tcPr>
          <w:p>
            <w:pPr>
              <w:pStyle w:val="TableParagraph"/>
              <w:spacing w:line="230" w:lineRule="auto" w:before="48"/>
              <w:ind w:left="398" w:hanging="112"/>
              <w:rPr>
                <w:sz w:val="15"/>
              </w:rPr>
            </w:pPr>
            <w:r>
              <w:rPr>
                <w:color w:val="231F20"/>
                <w:sz w:val="15"/>
              </w:rPr>
              <w:t>Damage</w:t>
            </w:r>
            <w:r>
              <w:rPr>
                <w:color w:val="231F20"/>
                <w:spacing w:val="-12"/>
                <w:sz w:val="15"/>
              </w:rPr>
              <w:t> </w:t>
            </w:r>
            <w:r>
              <w:rPr>
                <w:color w:val="231F20"/>
                <w:sz w:val="15"/>
              </w:rPr>
              <w:t>to</w:t>
            </w:r>
            <w:r>
              <w:rPr>
                <w:color w:val="231F20"/>
                <w:spacing w:val="-11"/>
                <w:sz w:val="15"/>
              </w:rPr>
              <w:t> </w:t>
            </w:r>
            <w:r>
              <w:rPr>
                <w:color w:val="231F20"/>
                <w:sz w:val="15"/>
              </w:rPr>
              <w:t>red</w:t>
            </w:r>
            <w:r>
              <w:rPr>
                <w:color w:val="231F20"/>
                <w:spacing w:val="-11"/>
                <w:sz w:val="15"/>
              </w:rPr>
              <w:t> </w:t>
            </w:r>
            <w:r>
              <w:rPr>
                <w:color w:val="231F20"/>
                <w:sz w:val="15"/>
              </w:rPr>
              <w:t>nucleus,</w:t>
            </w:r>
            <w:r>
              <w:rPr>
                <w:color w:val="231F20"/>
                <w:spacing w:val="-12"/>
                <w:sz w:val="15"/>
              </w:rPr>
              <w:t> </w:t>
            </w:r>
            <w:r>
              <w:rPr>
                <w:color w:val="231F20"/>
                <w:sz w:val="15"/>
              </w:rPr>
              <w:t>inferior</w:t>
            </w:r>
            <w:r>
              <w:rPr>
                <w:color w:val="231F20"/>
                <w:spacing w:val="-11"/>
                <w:sz w:val="15"/>
              </w:rPr>
              <w:t> </w:t>
            </w:r>
            <w:r>
              <w:rPr>
                <w:color w:val="231F20"/>
                <w:sz w:val="15"/>
              </w:rPr>
              <w:t>olivary</w:t>
            </w:r>
            <w:r>
              <w:rPr>
                <w:color w:val="231F20"/>
                <w:spacing w:val="-11"/>
                <w:sz w:val="15"/>
              </w:rPr>
              <w:t> </w:t>
            </w:r>
            <w:r>
              <w:rPr>
                <w:color w:val="231F20"/>
                <w:sz w:val="15"/>
              </w:rPr>
              <w:t>nucleus,</w:t>
            </w:r>
            <w:r>
              <w:rPr>
                <w:color w:val="231F20"/>
                <w:spacing w:val="-12"/>
                <w:sz w:val="15"/>
              </w:rPr>
              <w:t> </w:t>
            </w:r>
            <w:r>
              <w:rPr>
                <w:color w:val="231F20"/>
                <w:sz w:val="15"/>
              </w:rPr>
              <w:t>and ipsilateral dentate nucleus</w:t>
            </w:r>
          </w:p>
        </w:tc>
      </w:tr>
    </w:tbl>
    <w:p>
      <w:pPr>
        <w:pStyle w:val="TableParagraph"/>
        <w:spacing w:after="0" w:line="230" w:lineRule="auto"/>
        <w:rPr>
          <w:sz w:val="15"/>
        </w:rPr>
        <w:sectPr>
          <w:pgSz w:w="11900" w:h="16840"/>
          <w:pgMar w:header="0" w:footer="0" w:top="1180" w:bottom="280" w:left="708" w:right="566"/>
        </w:sectPr>
      </w:pPr>
    </w:p>
    <w:p>
      <w:pPr>
        <w:pStyle w:val="BodyText"/>
        <w:spacing w:before="205"/>
        <w:rPr>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300" name="Group 1300"/>
                <wp:cNvGraphicFramePr>
                  <a:graphicFrameLocks/>
                </wp:cNvGraphicFramePr>
                <a:graphic>
                  <a:graphicData uri="http://schemas.microsoft.com/office/word/2010/wordprocessingGroup">
                    <wpg:wgp>
                      <wpg:cNvPr id="1300" name="Group 1300"/>
                      <wpg:cNvGrpSpPr/>
                      <wpg:grpSpPr>
                        <a:xfrm>
                          <a:off x="0" y="0"/>
                          <a:ext cx="6185535" cy="170815"/>
                          <a:chExt cx="6185535" cy="170815"/>
                        </a:xfrm>
                      </wpg:grpSpPr>
                      <wps:wsp>
                        <wps:cNvPr id="1301" name="Graphic 1301"/>
                        <wps:cNvSpPr/>
                        <wps:spPr>
                          <a:xfrm>
                            <a:off x="6161574"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302" name="Graphic 1302"/>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303" name="Textbox 1303"/>
                        <wps:cNvSpPr txBox="1"/>
                        <wps:spPr>
                          <a:xfrm>
                            <a:off x="0" y="0"/>
                            <a:ext cx="6185535" cy="170815"/>
                          </a:xfrm>
                          <a:prstGeom prst="rect">
                            <a:avLst/>
                          </a:prstGeom>
                        </wps:spPr>
                        <wps:txbx>
                          <w:txbxContent>
                            <w:p>
                              <w:pPr>
                                <w:spacing w:before="6"/>
                                <w:ind w:left="-1" w:right="0" w:firstLine="0"/>
                                <w:jc w:val="left"/>
                                <w:rPr>
                                  <w:sz w:val="18"/>
                                </w:rPr>
                              </w:pPr>
                              <w:r>
                                <w:rPr>
                                  <w:b/>
                                  <w:color w:val="231F20"/>
                                  <w:w w:val="110"/>
                                  <w:sz w:val="18"/>
                                </w:rPr>
                                <w:t>3042</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29" coordorigin="0,0" coordsize="9741,269">
                <v:line style="position:absolute" from="9703,145" to="9741,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1030" filled="false" stroked="false">
                  <v:textbox inset="0,0,0,0">
                    <w:txbxContent>
                      <w:p>
                        <w:pPr>
                          <w:spacing w:before="6"/>
                          <w:ind w:left="-1" w:right="0" w:firstLine="0"/>
                          <w:jc w:val="left"/>
                          <w:rPr>
                            <w:sz w:val="18"/>
                          </w:rPr>
                        </w:pPr>
                        <w:r>
                          <w:rPr>
                            <w:b/>
                            <w:color w:val="231F20"/>
                            <w:w w:val="110"/>
                            <w:sz w:val="18"/>
                          </w:rPr>
                          <w:t>3042</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v:textbox>
                  <w10:wrap type="none"/>
                </v:shape>
              </v:group>
            </w:pict>
          </mc:Fallback>
        </mc:AlternateContent>
      </w:r>
      <w:r>
        <w:rPr>
          <w:sz w:val="20"/>
        </w:rPr>
      </w:r>
    </w:p>
    <w:p>
      <w:pPr>
        <w:pStyle w:val="BodyText"/>
        <w:spacing w:before="11"/>
        <w:rPr>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1"/>
        <w:gridCol w:w="1128"/>
        <w:gridCol w:w="1494"/>
        <w:gridCol w:w="1002"/>
        <w:gridCol w:w="1483"/>
        <w:gridCol w:w="1467"/>
        <w:gridCol w:w="1246"/>
      </w:tblGrid>
      <w:tr>
        <w:trPr>
          <w:trHeight w:val="354" w:hRule="atLeast"/>
        </w:trPr>
        <w:tc>
          <w:tcPr>
            <w:tcW w:w="9741" w:type="dxa"/>
            <w:gridSpan w:val="7"/>
            <w:shd w:val="clear" w:color="auto" w:fill="231F20"/>
          </w:tcPr>
          <w:p>
            <w:pPr>
              <w:pStyle w:val="TableParagraph"/>
              <w:spacing w:before="89"/>
              <w:ind w:left="111"/>
              <w:rPr>
                <w:sz w:val="16"/>
              </w:rPr>
            </w:pPr>
            <w:r>
              <w:rPr>
                <w:b/>
                <w:color w:val="FFFFFF"/>
                <w:w w:val="110"/>
                <w:sz w:val="16"/>
              </w:rPr>
              <w:t>Table</w:t>
            </w:r>
            <w:r>
              <w:rPr>
                <w:b/>
                <w:color w:val="FFFFFF"/>
                <w:spacing w:val="-8"/>
                <w:w w:val="110"/>
                <w:sz w:val="16"/>
              </w:rPr>
              <w:t> </w:t>
            </w:r>
            <w:r>
              <w:rPr>
                <w:b/>
                <w:color w:val="FFFFFF"/>
                <w:w w:val="110"/>
                <w:sz w:val="16"/>
              </w:rPr>
              <w:t>627-1</w:t>
            </w:r>
            <w:r>
              <w:rPr>
                <w:b/>
                <w:color w:val="FFFFFF"/>
                <w:spacing w:val="64"/>
                <w:w w:val="150"/>
                <w:sz w:val="16"/>
              </w:rPr>
              <w:t> </w:t>
            </w:r>
            <w:r>
              <w:rPr>
                <w:color w:val="FFFFFF"/>
                <w:w w:val="110"/>
                <w:sz w:val="16"/>
              </w:rPr>
              <w:t>STUMPED:</w:t>
            </w:r>
            <w:r>
              <w:rPr>
                <w:color w:val="FFFFFF"/>
                <w:spacing w:val="-11"/>
                <w:w w:val="110"/>
                <w:sz w:val="16"/>
              </w:rPr>
              <w:t> </w:t>
            </w:r>
            <w:r>
              <w:rPr>
                <w:color w:val="FFFFFF"/>
                <w:w w:val="110"/>
                <w:sz w:val="16"/>
              </w:rPr>
              <w:t>Differential</w:t>
            </w:r>
            <w:r>
              <w:rPr>
                <w:color w:val="FFFFFF"/>
                <w:spacing w:val="-10"/>
                <w:w w:val="110"/>
                <w:sz w:val="16"/>
              </w:rPr>
              <w:t> </w:t>
            </w:r>
            <w:r>
              <w:rPr>
                <w:color w:val="FFFFFF"/>
                <w:w w:val="110"/>
                <w:sz w:val="16"/>
              </w:rPr>
              <w:t>Diagnosis</w:t>
            </w:r>
            <w:r>
              <w:rPr>
                <w:color w:val="FFFFFF"/>
                <w:spacing w:val="-11"/>
                <w:w w:val="110"/>
                <w:sz w:val="16"/>
              </w:rPr>
              <w:t> </w:t>
            </w:r>
            <w:r>
              <w:rPr>
                <w:color w:val="FFFFFF"/>
                <w:w w:val="110"/>
                <w:sz w:val="16"/>
              </w:rPr>
              <w:t>of</w:t>
            </w:r>
            <w:r>
              <w:rPr>
                <w:color w:val="FFFFFF"/>
                <w:spacing w:val="-10"/>
                <w:w w:val="110"/>
                <w:sz w:val="16"/>
              </w:rPr>
              <w:t> </w:t>
            </w:r>
            <w:r>
              <w:rPr>
                <w:color w:val="FFFFFF"/>
                <w:w w:val="110"/>
                <w:sz w:val="16"/>
              </w:rPr>
              <w:t>Neonatal</w:t>
            </w:r>
            <w:r>
              <w:rPr>
                <w:color w:val="FFFFFF"/>
                <w:spacing w:val="-11"/>
                <w:w w:val="110"/>
                <w:sz w:val="16"/>
              </w:rPr>
              <w:t> </w:t>
            </w:r>
            <w:r>
              <w:rPr>
                <w:color w:val="FFFFFF"/>
                <w:w w:val="110"/>
                <w:sz w:val="16"/>
              </w:rPr>
              <w:t>Corneal</w:t>
            </w:r>
            <w:r>
              <w:rPr>
                <w:color w:val="FFFFFF"/>
                <w:spacing w:val="-10"/>
                <w:w w:val="110"/>
                <w:sz w:val="16"/>
              </w:rPr>
              <w:t> </w:t>
            </w:r>
            <w:r>
              <w:rPr>
                <w:color w:val="FFFFFF"/>
                <w:spacing w:val="-2"/>
                <w:w w:val="110"/>
                <w:sz w:val="16"/>
              </w:rPr>
              <w:t>Opacities</w:t>
            </w:r>
          </w:p>
        </w:tc>
      </w:tr>
      <w:tr>
        <w:trPr>
          <w:trHeight w:val="444" w:hRule="atLeast"/>
        </w:trPr>
        <w:tc>
          <w:tcPr>
            <w:tcW w:w="1921" w:type="dxa"/>
            <w:tcBorders>
              <w:bottom w:val="single" w:sz="4" w:space="0" w:color="231F20"/>
            </w:tcBorders>
            <w:shd w:val="clear" w:color="auto" w:fill="E8F5F1"/>
          </w:tcPr>
          <w:p>
            <w:pPr>
              <w:pStyle w:val="TableParagraph"/>
              <w:spacing w:before="59"/>
              <w:rPr>
                <w:sz w:val="15"/>
              </w:rPr>
            </w:pPr>
          </w:p>
          <w:p>
            <w:pPr>
              <w:pStyle w:val="TableParagraph"/>
              <w:ind w:left="74"/>
              <w:rPr>
                <w:b/>
                <w:sz w:val="15"/>
              </w:rPr>
            </w:pPr>
            <w:r>
              <w:rPr>
                <w:b/>
                <w:color w:val="231F20"/>
                <w:spacing w:val="-2"/>
                <w:w w:val="115"/>
                <w:sz w:val="15"/>
              </w:rPr>
              <w:t>DIAGNOSIS</w:t>
            </w:r>
          </w:p>
        </w:tc>
        <w:tc>
          <w:tcPr>
            <w:tcW w:w="1128" w:type="dxa"/>
            <w:tcBorders>
              <w:bottom w:val="single" w:sz="4" w:space="0" w:color="231F20"/>
            </w:tcBorders>
            <w:shd w:val="clear" w:color="auto" w:fill="E8F5F1"/>
          </w:tcPr>
          <w:p>
            <w:pPr>
              <w:pStyle w:val="TableParagraph"/>
              <w:spacing w:before="59"/>
              <w:rPr>
                <w:sz w:val="15"/>
              </w:rPr>
            </w:pPr>
          </w:p>
          <w:p>
            <w:pPr>
              <w:pStyle w:val="TableParagraph"/>
              <w:ind w:left="122"/>
              <w:rPr>
                <w:b/>
                <w:sz w:val="15"/>
              </w:rPr>
            </w:pPr>
            <w:r>
              <w:rPr>
                <w:b/>
                <w:color w:val="231F20"/>
                <w:spacing w:val="-2"/>
                <w:w w:val="105"/>
                <w:sz w:val="15"/>
              </w:rPr>
              <w:t>LATERALITY</w:t>
            </w:r>
          </w:p>
        </w:tc>
        <w:tc>
          <w:tcPr>
            <w:tcW w:w="1494" w:type="dxa"/>
            <w:tcBorders>
              <w:bottom w:val="single" w:sz="4" w:space="0" w:color="231F20"/>
            </w:tcBorders>
            <w:shd w:val="clear" w:color="auto" w:fill="E8F5F1"/>
          </w:tcPr>
          <w:p>
            <w:pPr>
              <w:pStyle w:val="TableParagraph"/>
              <w:spacing w:before="59"/>
              <w:rPr>
                <w:sz w:val="15"/>
              </w:rPr>
            </w:pPr>
          </w:p>
          <w:p>
            <w:pPr>
              <w:pStyle w:val="TableParagraph"/>
              <w:ind w:left="419"/>
              <w:rPr>
                <w:b/>
                <w:sz w:val="15"/>
              </w:rPr>
            </w:pPr>
            <w:r>
              <w:rPr>
                <w:b/>
                <w:color w:val="231F20"/>
                <w:spacing w:val="-2"/>
                <w:w w:val="110"/>
                <w:sz w:val="15"/>
              </w:rPr>
              <w:t>OPACITY</w:t>
            </w:r>
          </w:p>
        </w:tc>
        <w:tc>
          <w:tcPr>
            <w:tcW w:w="1002" w:type="dxa"/>
            <w:tcBorders>
              <w:bottom w:val="single" w:sz="4" w:space="0" w:color="231F20"/>
            </w:tcBorders>
            <w:shd w:val="clear" w:color="auto" w:fill="E8F5F1"/>
          </w:tcPr>
          <w:p>
            <w:pPr>
              <w:pStyle w:val="TableParagraph"/>
              <w:spacing w:line="230" w:lineRule="auto" w:before="71"/>
              <w:ind w:left="123" w:right="153" w:firstLine="66"/>
              <w:rPr>
                <w:b/>
                <w:sz w:val="15"/>
              </w:rPr>
            </w:pPr>
            <w:r>
              <w:rPr>
                <w:b/>
                <w:color w:val="231F20"/>
                <w:spacing w:val="-2"/>
                <w:w w:val="110"/>
                <w:sz w:val="15"/>
              </w:rPr>
              <w:t>OCULAR </w:t>
            </w:r>
            <w:r>
              <w:rPr>
                <w:b/>
                <w:color w:val="231F20"/>
                <w:spacing w:val="-2"/>
                <w:sz w:val="15"/>
              </w:rPr>
              <w:t>PRESSURE</w:t>
            </w:r>
          </w:p>
        </w:tc>
        <w:tc>
          <w:tcPr>
            <w:tcW w:w="1483" w:type="dxa"/>
            <w:tcBorders>
              <w:bottom w:val="single" w:sz="4" w:space="0" w:color="231F20"/>
            </w:tcBorders>
            <w:shd w:val="clear" w:color="auto" w:fill="E8F5F1"/>
          </w:tcPr>
          <w:p>
            <w:pPr>
              <w:pStyle w:val="TableParagraph"/>
              <w:spacing w:line="230" w:lineRule="auto" w:before="71"/>
              <w:ind w:left="125" w:firstLine="21"/>
              <w:rPr>
                <w:b/>
                <w:sz w:val="15"/>
              </w:rPr>
            </w:pPr>
            <w:r>
              <w:rPr>
                <w:b/>
                <w:color w:val="231F20"/>
                <w:w w:val="110"/>
                <w:sz w:val="15"/>
              </w:rPr>
              <w:t>OTHER</w:t>
            </w:r>
            <w:r>
              <w:rPr>
                <w:b/>
                <w:color w:val="231F20"/>
                <w:spacing w:val="-13"/>
                <w:w w:val="110"/>
                <w:sz w:val="15"/>
              </w:rPr>
              <w:t> </w:t>
            </w:r>
            <w:r>
              <w:rPr>
                <w:b/>
                <w:color w:val="231F20"/>
                <w:w w:val="110"/>
                <w:sz w:val="15"/>
              </w:rPr>
              <w:t>OCULAR </w:t>
            </w:r>
            <w:r>
              <w:rPr>
                <w:b/>
                <w:color w:val="231F20"/>
                <w:spacing w:val="-2"/>
                <w:w w:val="110"/>
                <w:sz w:val="15"/>
              </w:rPr>
              <w:t>ABNORMALITIES</w:t>
            </w:r>
          </w:p>
        </w:tc>
        <w:tc>
          <w:tcPr>
            <w:tcW w:w="1467" w:type="dxa"/>
            <w:tcBorders>
              <w:bottom w:val="single" w:sz="4" w:space="0" w:color="231F20"/>
            </w:tcBorders>
            <w:shd w:val="clear" w:color="auto" w:fill="E8F5F1"/>
          </w:tcPr>
          <w:p>
            <w:pPr>
              <w:pStyle w:val="TableParagraph"/>
              <w:spacing w:line="230" w:lineRule="auto" w:before="71"/>
              <w:ind w:left="409" w:hanging="35"/>
              <w:rPr>
                <w:b/>
                <w:sz w:val="15"/>
              </w:rPr>
            </w:pPr>
            <w:r>
              <w:rPr>
                <w:b/>
                <w:color w:val="231F20"/>
                <w:spacing w:val="-2"/>
                <w:sz w:val="15"/>
              </w:rPr>
              <w:t>NATURAL </w:t>
            </w:r>
            <w:r>
              <w:rPr>
                <w:b/>
                <w:color w:val="231F20"/>
                <w:spacing w:val="-2"/>
                <w:w w:val="110"/>
                <w:sz w:val="15"/>
              </w:rPr>
              <w:t>HISTORY</w:t>
            </w:r>
          </w:p>
        </w:tc>
        <w:tc>
          <w:tcPr>
            <w:tcW w:w="1246" w:type="dxa"/>
            <w:tcBorders>
              <w:bottom w:val="single" w:sz="4" w:space="0" w:color="231F20"/>
            </w:tcBorders>
            <w:shd w:val="clear" w:color="auto" w:fill="E8F5F1"/>
          </w:tcPr>
          <w:p>
            <w:pPr>
              <w:pStyle w:val="TableParagraph"/>
              <w:spacing w:before="59"/>
              <w:rPr>
                <w:sz w:val="15"/>
              </w:rPr>
            </w:pPr>
          </w:p>
          <w:p>
            <w:pPr>
              <w:pStyle w:val="TableParagraph"/>
              <w:ind w:left="130"/>
              <w:rPr>
                <w:b/>
                <w:sz w:val="15"/>
              </w:rPr>
            </w:pPr>
            <w:r>
              <w:rPr>
                <w:b/>
                <w:color w:val="231F20"/>
                <w:spacing w:val="-2"/>
                <w:w w:val="110"/>
                <w:sz w:val="15"/>
              </w:rPr>
              <w:t>INHERITANCE</w:t>
            </w:r>
          </w:p>
        </w:tc>
      </w:tr>
      <w:tr>
        <w:trPr>
          <w:trHeight w:val="761" w:hRule="atLeast"/>
        </w:trPr>
        <w:tc>
          <w:tcPr>
            <w:tcW w:w="1921"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w w:val="105"/>
                <w:sz w:val="15"/>
              </w:rPr>
              <w:t>S—</w:t>
            </w:r>
            <w:r>
              <w:rPr>
                <w:color w:val="231F20"/>
                <w:spacing w:val="-2"/>
                <w:w w:val="105"/>
                <w:sz w:val="15"/>
              </w:rPr>
              <w:t>Sclerocornea</w:t>
            </w:r>
          </w:p>
        </w:tc>
        <w:tc>
          <w:tcPr>
            <w:tcW w:w="1128" w:type="dxa"/>
            <w:tcBorders>
              <w:top w:val="single" w:sz="4" w:space="0" w:color="231F20"/>
              <w:bottom w:val="single" w:sz="4" w:space="0" w:color="FFFFFF"/>
            </w:tcBorders>
            <w:shd w:val="clear" w:color="auto" w:fill="E8F5F1"/>
          </w:tcPr>
          <w:p>
            <w:pPr>
              <w:pStyle w:val="TableParagraph"/>
              <w:spacing w:line="230" w:lineRule="auto" w:before="52"/>
              <w:ind w:left="231" w:hanging="112"/>
              <w:rPr>
                <w:sz w:val="15"/>
              </w:rPr>
            </w:pPr>
            <w:r>
              <w:rPr>
                <w:color w:val="231F20"/>
                <w:spacing w:val="-4"/>
                <w:sz w:val="15"/>
              </w:rPr>
              <w:t>Unilateral</w:t>
            </w:r>
            <w:r>
              <w:rPr>
                <w:color w:val="231F20"/>
                <w:spacing w:val="-8"/>
                <w:sz w:val="15"/>
              </w:rPr>
              <w:t> </w:t>
            </w:r>
            <w:r>
              <w:rPr>
                <w:color w:val="231F20"/>
                <w:spacing w:val="-4"/>
                <w:sz w:val="15"/>
              </w:rPr>
              <w:t>or </w:t>
            </w:r>
            <w:r>
              <w:rPr>
                <w:color w:val="231F20"/>
                <w:spacing w:val="-2"/>
                <w:sz w:val="15"/>
              </w:rPr>
              <w:t>bilateral</w:t>
            </w:r>
          </w:p>
        </w:tc>
        <w:tc>
          <w:tcPr>
            <w:tcW w:w="1494" w:type="dxa"/>
            <w:tcBorders>
              <w:top w:val="single" w:sz="4" w:space="0" w:color="231F20"/>
              <w:bottom w:val="single" w:sz="4" w:space="0" w:color="FFFFFF"/>
            </w:tcBorders>
            <w:shd w:val="clear" w:color="auto" w:fill="E8F5F1"/>
          </w:tcPr>
          <w:p>
            <w:pPr>
              <w:pStyle w:val="TableParagraph"/>
              <w:spacing w:line="230" w:lineRule="auto" w:before="52"/>
              <w:ind w:left="233" w:right="263" w:hanging="112"/>
              <w:rPr>
                <w:sz w:val="15"/>
              </w:rPr>
            </w:pPr>
            <w:r>
              <w:rPr>
                <w:color w:val="231F20"/>
                <w:spacing w:val="-2"/>
                <w:sz w:val="15"/>
              </w:rPr>
              <w:t>Vascularized, </w:t>
            </w:r>
            <w:r>
              <w:rPr>
                <w:color w:val="231F20"/>
                <w:sz w:val="15"/>
              </w:rPr>
              <w:t>blends with </w:t>
            </w:r>
            <w:r>
              <w:rPr>
                <w:color w:val="231F20"/>
                <w:spacing w:val="-6"/>
                <w:sz w:val="15"/>
              </w:rPr>
              <w:t>sclera, </w:t>
            </w:r>
            <w:r>
              <w:rPr>
                <w:color w:val="231F20"/>
                <w:spacing w:val="-6"/>
                <w:sz w:val="15"/>
              </w:rPr>
              <w:t>clearer</w:t>
            </w:r>
            <w:r>
              <w:rPr>
                <w:color w:val="231F20"/>
                <w:spacing w:val="-2"/>
                <w:sz w:val="15"/>
              </w:rPr>
              <w:t> centrally</w:t>
            </w:r>
          </w:p>
        </w:tc>
        <w:tc>
          <w:tcPr>
            <w:tcW w:w="1002" w:type="dxa"/>
            <w:tcBorders>
              <w:top w:val="single" w:sz="4" w:space="0" w:color="231F20"/>
              <w:bottom w:val="single" w:sz="4" w:space="0" w:color="FFFFFF"/>
            </w:tcBorders>
            <w:shd w:val="clear" w:color="auto" w:fill="E8F5F1"/>
          </w:tcPr>
          <w:p>
            <w:pPr>
              <w:pStyle w:val="TableParagraph"/>
              <w:spacing w:line="230" w:lineRule="auto" w:before="52"/>
              <w:ind w:left="231" w:right="153" w:hanging="112"/>
              <w:rPr>
                <w:sz w:val="15"/>
              </w:rPr>
            </w:pPr>
            <w:r>
              <w:rPr>
                <w:color w:val="231F20"/>
                <w:sz w:val="15"/>
              </w:rPr>
              <w:t>Normal</w:t>
            </w:r>
            <w:r>
              <w:rPr>
                <w:color w:val="231F20"/>
                <w:spacing w:val="-12"/>
                <w:sz w:val="15"/>
              </w:rPr>
              <w:t> </w:t>
            </w:r>
            <w:r>
              <w:rPr>
                <w:color w:val="231F20"/>
                <w:sz w:val="15"/>
              </w:rPr>
              <w:t>(or </w:t>
            </w:r>
            <w:r>
              <w:rPr>
                <w:color w:val="231F20"/>
                <w:spacing w:val="-5"/>
                <w:sz w:val="15"/>
              </w:rPr>
              <w:t>elevated)</w:t>
            </w:r>
          </w:p>
        </w:tc>
        <w:tc>
          <w:tcPr>
            <w:tcW w:w="1483" w:type="dxa"/>
            <w:tcBorders>
              <w:top w:val="single" w:sz="4" w:space="0" w:color="231F20"/>
              <w:bottom w:val="single" w:sz="4" w:space="0" w:color="FFFFFF"/>
            </w:tcBorders>
            <w:shd w:val="clear" w:color="auto" w:fill="E8F5F1"/>
          </w:tcPr>
          <w:p>
            <w:pPr>
              <w:pStyle w:val="TableParagraph"/>
              <w:spacing w:before="47"/>
              <w:ind w:left="121"/>
              <w:rPr>
                <w:sz w:val="15"/>
              </w:rPr>
            </w:pPr>
            <w:r>
              <w:rPr>
                <w:color w:val="231F20"/>
                <w:sz w:val="15"/>
              </w:rPr>
              <w:t>Cornea</w:t>
            </w:r>
            <w:r>
              <w:rPr>
                <w:color w:val="231F20"/>
                <w:spacing w:val="15"/>
                <w:sz w:val="15"/>
              </w:rPr>
              <w:t> </w:t>
            </w:r>
            <w:r>
              <w:rPr>
                <w:color w:val="231F20"/>
                <w:spacing w:val="-2"/>
                <w:sz w:val="15"/>
              </w:rPr>
              <w:t>plana</w:t>
            </w:r>
          </w:p>
        </w:tc>
        <w:tc>
          <w:tcPr>
            <w:tcW w:w="1467" w:type="dxa"/>
            <w:tcBorders>
              <w:top w:val="single" w:sz="4" w:space="0" w:color="231F20"/>
              <w:bottom w:val="single" w:sz="4" w:space="0" w:color="FFFFFF"/>
            </w:tcBorders>
            <w:shd w:val="clear" w:color="auto" w:fill="E8F5F1"/>
          </w:tcPr>
          <w:p>
            <w:pPr>
              <w:pStyle w:val="TableParagraph"/>
              <w:spacing w:before="47"/>
              <w:ind w:left="119"/>
              <w:rPr>
                <w:sz w:val="15"/>
              </w:rPr>
            </w:pPr>
            <w:r>
              <w:rPr>
                <w:color w:val="231F20"/>
                <w:spacing w:val="-2"/>
                <w:w w:val="105"/>
                <w:sz w:val="15"/>
              </w:rPr>
              <w:t>Nonprogressive</w:t>
            </w:r>
          </w:p>
        </w:tc>
        <w:tc>
          <w:tcPr>
            <w:tcW w:w="1246" w:type="dxa"/>
            <w:tcBorders>
              <w:top w:val="single" w:sz="4" w:space="0" w:color="231F20"/>
              <w:bottom w:val="single" w:sz="4" w:space="0" w:color="FFFFFF"/>
            </w:tcBorders>
            <w:shd w:val="clear" w:color="auto" w:fill="E8F5F1"/>
          </w:tcPr>
          <w:p>
            <w:pPr>
              <w:pStyle w:val="TableParagraph"/>
              <w:spacing w:before="47"/>
              <w:ind w:left="118"/>
              <w:rPr>
                <w:sz w:val="15"/>
              </w:rPr>
            </w:pPr>
            <w:r>
              <w:rPr>
                <w:color w:val="231F20"/>
                <w:spacing w:val="-2"/>
                <w:sz w:val="15"/>
              </w:rPr>
              <w:t>Sporadic</w:t>
            </w:r>
          </w:p>
        </w:tc>
      </w:tr>
      <w:tr>
        <w:trPr>
          <w:trHeight w:val="589" w:hRule="atLeast"/>
        </w:trPr>
        <w:tc>
          <w:tcPr>
            <w:tcW w:w="9741" w:type="dxa"/>
            <w:gridSpan w:val="7"/>
            <w:tcBorders>
              <w:top w:val="single" w:sz="4" w:space="0" w:color="FFFFFF"/>
              <w:bottom w:val="single" w:sz="4" w:space="0" w:color="FFFFFF"/>
            </w:tcBorders>
            <w:shd w:val="clear" w:color="auto" w:fill="E8F5F1"/>
          </w:tcPr>
          <w:p>
            <w:pPr>
              <w:pStyle w:val="TableParagraph"/>
              <w:spacing w:line="230" w:lineRule="auto" w:before="48"/>
              <w:ind w:left="186" w:right="7929" w:hanging="112"/>
              <w:rPr>
                <w:sz w:val="15"/>
              </w:rPr>
            </w:pPr>
            <w:r>
              <w:rPr>
                <w:color w:val="231F20"/>
                <w:sz w:val="15"/>
              </w:rPr>
              <w:t>T—Tears</w:t>
            </w:r>
            <w:r>
              <w:rPr>
                <w:color w:val="231F20"/>
                <w:spacing w:val="-6"/>
                <w:sz w:val="15"/>
              </w:rPr>
              <w:t> </w:t>
            </w:r>
            <w:r>
              <w:rPr>
                <w:color w:val="231F20"/>
                <w:sz w:val="15"/>
              </w:rPr>
              <w:t>in</w:t>
            </w:r>
            <w:r>
              <w:rPr>
                <w:color w:val="231F20"/>
                <w:spacing w:val="-6"/>
                <w:sz w:val="15"/>
              </w:rPr>
              <w:t> </w:t>
            </w:r>
            <w:r>
              <w:rPr>
                <w:color w:val="231F20"/>
                <w:sz w:val="15"/>
              </w:rPr>
              <w:t>endothelium and Descemet </w:t>
            </w:r>
            <w:r>
              <w:rPr>
                <w:color w:val="231F20"/>
                <w:spacing w:val="-2"/>
                <w:sz w:val="15"/>
              </w:rPr>
              <w:t>membrane</w:t>
            </w:r>
          </w:p>
        </w:tc>
      </w:tr>
      <w:tr>
        <w:trPr>
          <w:trHeight w:val="588" w:hRule="atLeast"/>
        </w:trPr>
        <w:tc>
          <w:tcPr>
            <w:tcW w:w="192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Birth</w:t>
            </w:r>
            <w:r>
              <w:rPr>
                <w:color w:val="231F20"/>
                <w:spacing w:val="-6"/>
                <w:sz w:val="15"/>
              </w:rPr>
              <w:t> </w:t>
            </w:r>
            <w:r>
              <w:rPr>
                <w:color w:val="231F20"/>
                <w:spacing w:val="-2"/>
                <w:sz w:val="15"/>
              </w:rPr>
              <w:t>trauma</w:t>
            </w:r>
          </w:p>
        </w:tc>
        <w:tc>
          <w:tcPr>
            <w:tcW w:w="1128"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Unilateral</w:t>
            </w:r>
          </w:p>
        </w:tc>
        <w:tc>
          <w:tcPr>
            <w:tcW w:w="1494"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z w:val="15"/>
              </w:rPr>
              <w:t>Diffuse</w:t>
            </w:r>
            <w:r>
              <w:rPr>
                <w:color w:val="231F20"/>
                <w:spacing w:val="-9"/>
                <w:sz w:val="15"/>
              </w:rPr>
              <w:t> </w:t>
            </w:r>
            <w:r>
              <w:rPr>
                <w:color w:val="231F20"/>
                <w:spacing w:val="-2"/>
                <w:sz w:val="15"/>
              </w:rPr>
              <w:t>edema</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line="230" w:lineRule="auto" w:before="48"/>
              <w:ind w:left="233" w:right="109" w:hanging="112"/>
              <w:rPr>
                <w:sz w:val="15"/>
              </w:rPr>
            </w:pPr>
            <w:r>
              <w:rPr>
                <w:color w:val="231F20"/>
                <w:sz w:val="15"/>
              </w:rPr>
              <w:t>Possible</w:t>
            </w:r>
            <w:r>
              <w:rPr>
                <w:color w:val="231F20"/>
                <w:spacing w:val="-12"/>
                <w:sz w:val="15"/>
              </w:rPr>
              <w:t> </w:t>
            </w:r>
            <w:r>
              <w:rPr>
                <w:color w:val="231F20"/>
                <w:sz w:val="15"/>
              </w:rPr>
              <w:t>hyphema, </w:t>
            </w:r>
            <w:r>
              <w:rPr>
                <w:color w:val="231F20"/>
                <w:spacing w:val="-2"/>
                <w:sz w:val="15"/>
              </w:rPr>
              <w:t>periorbital ecchymoses</w:t>
            </w:r>
          </w:p>
        </w:tc>
        <w:tc>
          <w:tcPr>
            <w:tcW w:w="1467" w:type="dxa"/>
            <w:tcBorders>
              <w:top w:val="single" w:sz="4" w:space="0" w:color="FFFFFF"/>
              <w:bottom w:val="single" w:sz="4" w:space="0" w:color="FFFFFF"/>
            </w:tcBorders>
            <w:shd w:val="clear" w:color="auto" w:fill="E8F5F1"/>
          </w:tcPr>
          <w:p>
            <w:pPr>
              <w:pStyle w:val="TableParagraph"/>
              <w:spacing w:line="230" w:lineRule="auto" w:before="48"/>
              <w:ind w:left="231" w:right="150" w:hanging="112"/>
              <w:rPr>
                <w:sz w:val="15"/>
              </w:rPr>
            </w:pPr>
            <w:r>
              <w:rPr>
                <w:color w:val="231F20"/>
                <w:spacing w:val="-2"/>
                <w:sz w:val="15"/>
              </w:rPr>
              <w:t>Spontaneous improvement</w:t>
            </w:r>
            <w:r>
              <w:rPr>
                <w:color w:val="231F20"/>
                <w:spacing w:val="-10"/>
                <w:sz w:val="15"/>
              </w:rPr>
              <w:t> </w:t>
            </w:r>
            <w:r>
              <w:rPr>
                <w:color w:val="231F20"/>
                <w:spacing w:val="-2"/>
                <w:sz w:val="15"/>
              </w:rPr>
              <w:t>in </w:t>
            </w:r>
            <w:r>
              <w:rPr>
                <w:color w:val="231F20"/>
                <w:sz w:val="15"/>
              </w:rPr>
              <w:t>1 mo</w:t>
            </w:r>
          </w:p>
        </w:tc>
        <w:tc>
          <w:tcPr>
            <w:tcW w:w="1246" w:type="dxa"/>
            <w:tcBorders>
              <w:top w:val="single" w:sz="4" w:space="0" w:color="FFFFFF"/>
              <w:bottom w:val="single" w:sz="4" w:space="0" w:color="FFFFFF"/>
            </w:tcBorders>
            <w:shd w:val="clear" w:color="auto" w:fill="E8F5F1"/>
          </w:tcPr>
          <w:p>
            <w:pPr>
              <w:pStyle w:val="TableParagraph"/>
              <w:spacing w:before="42"/>
              <w:ind w:left="118"/>
              <w:rPr>
                <w:sz w:val="15"/>
              </w:rPr>
            </w:pPr>
            <w:r>
              <w:rPr>
                <w:color w:val="231F20"/>
                <w:spacing w:val="-2"/>
                <w:sz w:val="15"/>
              </w:rPr>
              <w:t>Sporadic</w:t>
            </w:r>
          </w:p>
        </w:tc>
      </w:tr>
      <w:tr>
        <w:trPr>
          <w:trHeight w:val="756" w:hRule="atLeast"/>
        </w:trPr>
        <w:tc>
          <w:tcPr>
            <w:tcW w:w="192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Infantile</w:t>
            </w:r>
            <w:r>
              <w:rPr>
                <w:color w:val="231F20"/>
                <w:spacing w:val="6"/>
                <w:sz w:val="15"/>
              </w:rPr>
              <w:t> </w:t>
            </w:r>
            <w:r>
              <w:rPr>
                <w:color w:val="231F20"/>
                <w:spacing w:val="-2"/>
                <w:sz w:val="15"/>
              </w:rPr>
              <w:t>glaucoma</w:t>
            </w:r>
          </w:p>
        </w:tc>
        <w:tc>
          <w:tcPr>
            <w:tcW w:w="1128"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z w:val="15"/>
              </w:rPr>
              <w:t>Diffuse</w:t>
            </w:r>
            <w:r>
              <w:rPr>
                <w:color w:val="231F20"/>
                <w:spacing w:val="-9"/>
                <w:sz w:val="15"/>
              </w:rPr>
              <w:t> </w:t>
            </w:r>
            <w:r>
              <w:rPr>
                <w:color w:val="231F20"/>
                <w:spacing w:val="-2"/>
                <w:sz w:val="15"/>
              </w:rPr>
              <w:t>edema</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Elevated</w:t>
            </w:r>
          </w:p>
        </w:tc>
        <w:tc>
          <w:tcPr>
            <w:tcW w:w="1483" w:type="dxa"/>
            <w:tcBorders>
              <w:top w:val="single" w:sz="4" w:space="0" w:color="FFFFFF"/>
              <w:bottom w:val="single" w:sz="4" w:space="0" w:color="FFFFFF"/>
            </w:tcBorders>
            <w:shd w:val="clear" w:color="auto" w:fill="E8F5F1"/>
          </w:tcPr>
          <w:p>
            <w:pPr>
              <w:pStyle w:val="TableParagraph"/>
              <w:spacing w:line="230" w:lineRule="auto" w:before="48"/>
              <w:ind w:left="234" w:right="199" w:hanging="112"/>
              <w:rPr>
                <w:sz w:val="15"/>
              </w:rPr>
            </w:pPr>
            <w:r>
              <w:rPr>
                <w:color w:val="231F20"/>
                <w:spacing w:val="-2"/>
                <w:sz w:val="15"/>
              </w:rPr>
              <w:t>Megalocornea, photophobia </w:t>
            </w:r>
            <w:r>
              <w:rPr>
                <w:color w:val="231F20"/>
                <w:sz w:val="15"/>
              </w:rPr>
              <w:t>and tearing, abnormal</w:t>
            </w:r>
            <w:r>
              <w:rPr>
                <w:color w:val="231F20"/>
                <w:spacing w:val="-12"/>
                <w:sz w:val="15"/>
              </w:rPr>
              <w:t> </w:t>
            </w:r>
            <w:r>
              <w:rPr>
                <w:color w:val="231F20"/>
                <w:sz w:val="15"/>
              </w:rPr>
              <w:t>angle</w:t>
            </w:r>
          </w:p>
        </w:tc>
        <w:tc>
          <w:tcPr>
            <w:tcW w:w="1467" w:type="dxa"/>
            <w:tcBorders>
              <w:top w:val="single" w:sz="4" w:space="0" w:color="FFFFFF"/>
              <w:bottom w:val="single" w:sz="4" w:space="0" w:color="FFFFFF"/>
            </w:tcBorders>
            <w:shd w:val="clear" w:color="auto" w:fill="E8F5F1"/>
          </w:tcPr>
          <w:p>
            <w:pPr>
              <w:pStyle w:val="TableParagraph"/>
              <w:spacing w:line="230" w:lineRule="auto" w:before="48"/>
              <w:ind w:left="231" w:hanging="112"/>
              <w:rPr>
                <w:sz w:val="15"/>
              </w:rPr>
            </w:pPr>
            <w:r>
              <w:rPr>
                <w:color w:val="231F20"/>
                <w:sz w:val="15"/>
              </w:rPr>
              <w:t>Progressive</w:t>
            </w:r>
            <w:r>
              <w:rPr>
                <w:color w:val="231F20"/>
                <w:spacing w:val="-12"/>
                <w:sz w:val="15"/>
              </w:rPr>
              <w:t> </w:t>
            </w:r>
            <w:r>
              <w:rPr>
                <w:color w:val="231F20"/>
                <w:sz w:val="15"/>
              </w:rPr>
              <w:t>unless </w:t>
            </w:r>
            <w:r>
              <w:rPr>
                <w:color w:val="231F20"/>
                <w:spacing w:val="-2"/>
                <w:sz w:val="15"/>
              </w:rPr>
              <w:t>treated</w:t>
            </w:r>
          </w:p>
        </w:tc>
        <w:tc>
          <w:tcPr>
            <w:tcW w:w="1246" w:type="dxa"/>
            <w:tcBorders>
              <w:top w:val="single" w:sz="4" w:space="0" w:color="FFFFFF"/>
              <w:bottom w:val="single" w:sz="4" w:space="0" w:color="FFFFFF"/>
            </w:tcBorders>
            <w:shd w:val="clear" w:color="auto" w:fill="E8F5F1"/>
          </w:tcPr>
          <w:p>
            <w:pPr>
              <w:pStyle w:val="TableParagraph"/>
              <w:spacing w:line="230" w:lineRule="auto" w:before="48"/>
              <w:ind w:left="230" w:right="398" w:hanging="112"/>
              <w:rPr>
                <w:sz w:val="15"/>
              </w:rPr>
            </w:pPr>
            <w:r>
              <w:rPr>
                <w:color w:val="231F20"/>
                <w:spacing w:val="-2"/>
                <w:sz w:val="15"/>
              </w:rPr>
              <w:t>Autosomal recessive</w:t>
            </w:r>
          </w:p>
        </w:tc>
      </w:tr>
      <w:tr>
        <w:trPr>
          <w:trHeight w:val="253" w:hRule="atLeast"/>
        </w:trPr>
        <w:tc>
          <w:tcPr>
            <w:tcW w:w="9741" w:type="dxa"/>
            <w:gridSpan w:val="7"/>
            <w:tcBorders>
              <w:top w:val="single" w:sz="4" w:space="0" w:color="FFFFFF"/>
              <w:bottom w:val="single" w:sz="4" w:space="0" w:color="FFFFFF"/>
            </w:tcBorders>
            <w:shd w:val="clear" w:color="auto" w:fill="E8F5F1"/>
          </w:tcPr>
          <w:p>
            <w:pPr>
              <w:pStyle w:val="TableParagraph"/>
              <w:spacing w:before="43"/>
              <w:ind w:left="74"/>
              <w:rPr>
                <w:sz w:val="15"/>
              </w:rPr>
            </w:pPr>
            <w:r>
              <w:rPr>
                <w:color w:val="231F20"/>
                <w:w w:val="105"/>
                <w:sz w:val="15"/>
              </w:rPr>
              <w:t>U—</w:t>
            </w:r>
            <w:r>
              <w:rPr>
                <w:color w:val="231F20"/>
                <w:spacing w:val="-2"/>
                <w:w w:val="105"/>
                <w:sz w:val="15"/>
              </w:rPr>
              <w:t>Ulcers</w:t>
            </w:r>
          </w:p>
        </w:tc>
      </w:tr>
      <w:tr>
        <w:trPr>
          <w:trHeight w:val="588" w:hRule="atLeast"/>
        </w:trPr>
        <w:tc>
          <w:tcPr>
            <w:tcW w:w="192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Herpes</w:t>
            </w:r>
            <w:r>
              <w:rPr>
                <w:color w:val="231F20"/>
                <w:spacing w:val="5"/>
                <w:sz w:val="15"/>
              </w:rPr>
              <w:t> </w:t>
            </w:r>
            <w:r>
              <w:rPr>
                <w:color w:val="231F20"/>
                <w:sz w:val="15"/>
              </w:rPr>
              <w:t>simplex</w:t>
            </w:r>
            <w:r>
              <w:rPr>
                <w:color w:val="231F20"/>
                <w:spacing w:val="5"/>
                <w:sz w:val="15"/>
              </w:rPr>
              <w:t> </w:t>
            </w:r>
            <w:r>
              <w:rPr>
                <w:color w:val="231F20"/>
                <w:spacing w:val="-2"/>
                <w:sz w:val="15"/>
              </w:rPr>
              <w:t>keratitis</w:t>
            </w:r>
          </w:p>
        </w:tc>
        <w:tc>
          <w:tcPr>
            <w:tcW w:w="1128"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Unilateral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4" w:hanging="112"/>
              <w:rPr>
                <w:sz w:val="15"/>
              </w:rPr>
            </w:pPr>
            <w:r>
              <w:rPr>
                <w:color w:val="231F20"/>
                <w:sz w:val="15"/>
              </w:rPr>
              <w:t>Diffuse with </w:t>
            </w:r>
            <w:r>
              <w:rPr>
                <w:color w:val="231F20"/>
                <w:spacing w:val="-2"/>
                <w:sz w:val="15"/>
              </w:rPr>
              <w:t>geographic </w:t>
            </w:r>
            <w:r>
              <w:rPr>
                <w:color w:val="231F20"/>
                <w:spacing w:val="-4"/>
                <w:sz w:val="15"/>
              </w:rPr>
              <w:t>epithelial</w:t>
            </w:r>
            <w:r>
              <w:rPr>
                <w:color w:val="231F20"/>
                <w:spacing w:val="-8"/>
                <w:sz w:val="15"/>
              </w:rPr>
              <w:t> </w:t>
            </w:r>
            <w:r>
              <w:rPr>
                <w:color w:val="231F20"/>
                <w:spacing w:val="-4"/>
                <w:sz w:val="15"/>
              </w:rPr>
              <w:t>defect</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pacing w:val="-4"/>
                <w:w w:val="110"/>
                <w:sz w:val="15"/>
              </w:rPr>
              <w:t>None</w:t>
            </w:r>
          </w:p>
        </w:tc>
        <w:tc>
          <w:tcPr>
            <w:tcW w:w="1467"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Progressive</w:t>
            </w:r>
          </w:p>
        </w:tc>
        <w:tc>
          <w:tcPr>
            <w:tcW w:w="1246"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Sporadic</w:t>
            </w:r>
          </w:p>
        </w:tc>
      </w:tr>
      <w:tr>
        <w:trPr>
          <w:trHeight w:val="924" w:hRule="atLeast"/>
        </w:trPr>
        <w:tc>
          <w:tcPr>
            <w:tcW w:w="1921"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z w:val="15"/>
              </w:rPr>
              <w:t>Congenital</w:t>
            </w:r>
            <w:r>
              <w:rPr>
                <w:color w:val="231F20"/>
                <w:spacing w:val="15"/>
                <w:sz w:val="15"/>
              </w:rPr>
              <w:t> </w:t>
            </w:r>
            <w:r>
              <w:rPr>
                <w:color w:val="231F20"/>
                <w:spacing w:val="-2"/>
                <w:sz w:val="15"/>
              </w:rPr>
              <w:t>rubella</w:t>
            </w:r>
          </w:p>
        </w:tc>
        <w:tc>
          <w:tcPr>
            <w:tcW w:w="1128"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4" w:right="263" w:hanging="112"/>
              <w:rPr>
                <w:sz w:val="15"/>
              </w:rPr>
            </w:pPr>
            <w:r>
              <w:rPr>
                <w:color w:val="231F20"/>
                <w:sz w:val="15"/>
              </w:rPr>
              <w:t>Disciform or </w:t>
            </w:r>
            <w:r>
              <w:rPr>
                <w:color w:val="231F20"/>
                <w:spacing w:val="-2"/>
                <w:sz w:val="15"/>
              </w:rPr>
              <w:t>diffuse</w:t>
            </w:r>
            <w:r>
              <w:rPr>
                <w:color w:val="231F20"/>
                <w:spacing w:val="-10"/>
                <w:sz w:val="15"/>
              </w:rPr>
              <w:t> </w:t>
            </w:r>
            <w:r>
              <w:rPr>
                <w:color w:val="231F20"/>
                <w:spacing w:val="-2"/>
                <w:sz w:val="15"/>
              </w:rPr>
              <w:t>edema, </w:t>
            </w:r>
            <w:r>
              <w:rPr>
                <w:color w:val="231F20"/>
                <w:sz w:val="15"/>
              </w:rPr>
              <w:t>no frank </w:t>
            </w:r>
            <w:r>
              <w:rPr>
                <w:color w:val="231F20"/>
                <w:spacing w:val="-2"/>
                <w:sz w:val="15"/>
              </w:rPr>
              <w:t>ulceration</w:t>
            </w:r>
          </w:p>
        </w:tc>
        <w:tc>
          <w:tcPr>
            <w:tcW w:w="1002" w:type="dxa"/>
            <w:tcBorders>
              <w:top w:val="single" w:sz="4" w:space="0" w:color="FFFFFF"/>
              <w:bottom w:val="single" w:sz="4" w:space="0" w:color="FFFFFF"/>
            </w:tcBorders>
            <w:shd w:val="clear" w:color="auto" w:fill="E8F5F1"/>
          </w:tcPr>
          <w:p>
            <w:pPr>
              <w:pStyle w:val="TableParagraph"/>
              <w:spacing w:line="230" w:lineRule="auto" w:before="48"/>
              <w:ind w:left="232" w:right="153" w:hanging="112"/>
              <w:rPr>
                <w:sz w:val="15"/>
              </w:rPr>
            </w:pPr>
            <w:r>
              <w:rPr>
                <w:color w:val="231F20"/>
                <w:sz w:val="15"/>
              </w:rPr>
              <w:t>Normal</w:t>
            </w:r>
            <w:r>
              <w:rPr>
                <w:color w:val="231F20"/>
                <w:spacing w:val="-12"/>
                <w:sz w:val="15"/>
              </w:rPr>
              <w:t> </w:t>
            </w:r>
            <w:r>
              <w:rPr>
                <w:color w:val="231F20"/>
                <w:sz w:val="15"/>
              </w:rPr>
              <w:t>or </w:t>
            </w:r>
            <w:r>
              <w:rPr>
                <w:color w:val="231F20"/>
                <w:spacing w:val="-4"/>
                <w:sz w:val="15"/>
              </w:rPr>
              <w:t>elevated</w:t>
            </w:r>
          </w:p>
        </w:tc>
        <w:tc>
          <w:tcPr>
            <w:tcW w:w="1483" w:type="dxa"/>
            <w:tcBorders>
              <w:top w:val="single" w:sz="4" w:space="0" w:color="FFFFFF"/>
              <w:bottom w:val="single" w:sz="4" w:space="0" w:color="FFFFFF"/>
            </w:tcBorders>
            <w:shd w:val="clear" w:color="auto" w:fill="E8F5F1"/>
          </w:tcPr>
          <w:p>
            <w:pPr>
              <w:pStyle w:val="TableParagraph"/>
              <w:spacing w:line="230" w:lineRule="auto" w:before="48"/>
              <w:ind w:left="234" w:right="199" w:hanging="112"/>
              <w:rPr>
                <w:sz w:val="15"/>
              </w:rPr>
            </w:pPr>
            <w:r>
              <w:rPr>
                <w:color w:val="231F20"/>
                <w:spacing w:val="-2"/>
                <w:sz w:val="15"/>
              </w:rPr>
              <w:t>Microphthalmos, cataract, pigment epithelial mottling</w:t>
            </w:r>
          </w:p>
        </w:tc>
        <w:tc>
          <w:tcPr>
            <w:tcW w:w="1467"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z w:val="15"/>
              </w:rPr>
              <w:t>Stable,</w:t>
            </w:r>
            <w:r>
              <w:rPr>
                <w:color w:val="231F20"/>
                <w:spacing w:val="-12"/>
                <w:sz w:val="15"/>
              </w:rPr>
              <w:t> </w:t>
            </w:r>
            <w:r>
              <w:rPr>
                <w:color w:val="231F20"/>
                <w:sz w:val="15"/>
              </w:rPr>
              <w:t>may</w:t>
            </w:r>
            <w:r>
              <w:rPr>
                <w:color w:val="231F20"/>
                <w:spacing w:val="-11"/>
                <w:sz w:val="15"/>
              </w:rPr>
              <w:t> </w:t>
            </w:r>
            <w:r>
              <w:rPr>
                <w:color w:val="231F20"/>
                <w:spacing w:val="-2"/>
                <w:sz w:val="15"/>
              </w:rPr>
              <w:t>clear</w:t>
            </w:r>
          </w:p>
        </w:tc>
        <w:tc>
          <w:tcPr>
            <w:tcW w:w="1246"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Sporadic</w:t>
            </w:r>
          </w:p>
        </w:tc>
      </w:tr>
      <w:tr>
        <w:trPr>
          <w:trHeight w:val="756" w:hRule="atLeast"/>
        </w:trPr>
        <w:tc>
          <w:tcPr>
            <w:tcW w:w="1921"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z w:val="15"/>
              </w:rPr>
              <w:t>Neurotrophic</w:t>
            </w:r>
            <w:r>
              <w:rPr>
                <w:color w:val="231F20"/>
                <w:spacing w:val="9"/>
                <w:sz w:val="15"/>
              </w:rPr>
              <w:t> </w:t>
            </w:r>
            <w:r>
              <w:rPr>
                <w:color w:val="231F20"/>
                <w:spacing w:val="-2"/>
                <w:sz w:val="15"/>
              </w:rPr>
              <w:t>exposure</w:t>
            </w:r>
          </w:p>
        </w:tc>
        <w:tc>
          <w:tcPr>
            <w:tcW w:w="1128" w:type="dxa"/>
            <w:tcBorders>
              <w:top w:val="single" w:sz="4" w:space="0" w:color="FFFFFF"/>
              <w:bottom w:val="single" w:sz="4" w:space="0" w:color="FFFFFF"/>
            </w:tcBorders>
            <w:shd w:val="clear" w:color="auto" w:fill="E8F5F1"/>
          </w:tcPr>
          <w:p>
            <w:pPr>
              <w:pStyle w:val="TableParagraph"/>
              <w:spacing w:line="230" w:lineRule="auto" w:before="48"/>
              <w:ind w:left="231" w:hanging="112"/>
              <w:rPr>
                <w:sz w:val="15"/>
              </w:rPr>
            </w:pPr>
            <w:r>
              <w:rPr>
                <w:color w:val="231F20"/>
                <w:spacing w:val="-4"/>
                <w:sz w:val="15"/>
              </w:rPr>
              <w:t>Unilateral</w:t>
            </w:r>
            <w:r>
              <w:rPr>
                <w:color w:val="231F20"/>
                <w:spacing w:val="-8"/>
                <w:sz w:val="15"/>
              </w:rPr>
              <w:t> </w:t>
            </w:r>
            <w:r>
              <w:rPr>
                <w:color w:val="231F20"/>
                <w:spacing w:val="-4"/>
                <w:sz w:val="15"/>
              </w:rPr>
              <w:t>or </w:t>
            </w: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pacing w:val="-2"/>
                <w:sz w:val="15"/>
              </w:rPr>
              <w:t>Central</w:t>
            </w:r>
            <w:r>
              <w:rPr>
                <w:color w:val="231F20"/>
                <w:sz w:val="15"/>
              </w:rPr>
              <w:t> </w:t>
            </w:r>
            <w:r>
              <w:rPr>
                <w:color w:val="231F20"/>
                <w:spacing w:val="-2"/>
                <w:sz w:val="15"/>
              </w:rPr>
              <w:t>ulcer</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line="230" w:lineRule="auto" w:before="48"/>
              <w:ind w:left="234" w:right="109" w:hanging="112"/>
              <w:rPr>
                <w:sz w:val="15"/>
              </w:rPr>
            </w:pPr>
            <w:r>
              <w:rPr>
                <w:color w:val="231F20"/>
                <w:spacing w:val="-2"/>
                <w:sz w:val="15"/>
              </w:rPr>
              <w:t>Lid</w:t>
            </w:r>
            <w:r>
              <w:rPr>
                <w:color w:val="231F20"/>
                <w:spacing w:val="-10"/>
                <w:sz w:val="15"/>
              </w:rPr>
              <w:t> </w:t>
            </w:r>
            <w:r>
              <w:rPr>
                <w:color w:val="231F20"/>
                <w:spacing w:val="-2"/>
                <w:sz w:val="15"/>
              </w:rPr>
              <w:t>anomalies, congenital sensory neuropathy</w:t>
            </w:r>
          </w:p>
        </w:tc>
        <w:tc>
          <w:tcPr>
            <w:tcW w:w="1467"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Progressive</w:t>
            </w:r>
          </w:p>
        </w:tc>
        <w:tc>
          <w:tcPr>
            <w:tcW w:w="1246"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Sporadic</w:t>
            </w:r>
          </w:p>
        </w:tc>
      </w:tr>
      <w:tr>
        <w:trPr>
          <w:trHeight w:val="925" w:hRule="atLeast"/>
        </w:trPr>
        <w:tc>
          <w:tcPr>
            <w:tcW w:w="1921" w:type="dxa"/>
            <w:tcBorders>
              <w:top w:val="single" w:sz="4" w:space="0" w:color="FFFFFF"/>
              <w:bottom w:val="single" w:sz="4" w:space="0" w:color="FFFFFF"/>
            </w:tcBorders>
            <w:shd w:val="clear" w:color="auto" w:fill="E8F5F1"/>
          </w:tcPr>
          <w:p>
            <w:pPr>
              <w:pStyle w:val="TableParagraph"/>
              <w:spacing w:line="230" w:lineRule="auto" w:before="48"/>
              <w:ind w:left="187" w:right="108" w:hanging="112"/>
              <w:rPr>
                <w:sz w:val="15"/>
              </w:rPr>
            </w:pPr>
            <w:r>
              <w:rPr>
                <w:color w:val="231F20"/>
                <w:sz w:val="15"/>
              </w:rPr>
              <w:t>M—Metabolic (rarely present at birth) </w:t>
            </w:r>
            <w:r>
              <w:rPr>
                <w:color w:val="231F20"/>
                <w:spacing w:val="-2"/>
                <w:sz w:val="15"/>
              </w:rPr>
              <w:t>(mucopolysaccharidoses </w:t>
            </w:r>
            <w:r>
              <w:rPr>
                <w:color w:val="231F20"/>
                <w:sz w:val="15"/>
              </w:rPr>
              <w:t>IH, IS; mucolipidosis type IV)</w:t>
            </w:r>
            <w:r>
              <w:rPr>
                <w:color w:val="0080AC"/>
                <w:sz w:val="15"/>
              </w:rPr>
              <w:t>*</w:t>
            </w:r>
          </w:p>
        </w:tc>
        <w:tc>
          <w:tcPr>
            <w:tcW w:w="1128"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4" w:right="263" w:hanging="112"/>
              <w:rPr>
                <w:sz w:val="15"/>
              </w:rPr>
            </w:pPr>
            <w:r>
              <w:rPr>
                <w:color w:val="231F20"/>
                <w:sz w:val="15"/>
              </w:rPr>
              <w:t>Diffuse</w:t>
            </w:r>
            <w:r>
              <w:rPr>
                <w:color w:val="231F20"/>
                <w:spacing w:val="-12"/>
                <w:sz w:val="15"/>
              </w:rPr>
              <w:t> </w:t>
            </w:r>
            <w:r>
              <w:rPr>
                <w:color w:val="231F20"/>
                <w:sz w:val="15"/>
              </w:rPr>
              <w:t>haze, </w:t>
            </w:r>
            <w:r>
              <w:rPr>
                <w:color w:val="231F20"/>
                <w:spacing w:val="-2"/>
                <w:sz w:val="15"/>
              </w:rPr>
              <w:t>denser </w:t>
            </w:r>
            <w:r>
              <w:rPr>
                <w:color w:val="231F20"/>
                <w:spacing w:val="-4"/>
                <w:sz w:val="15"/>
              </w:rPr>
              <w:t>peripherally</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pacing w:val="-5"/>
                <w:sz w:val="15"/>
              </w:rPr>
              <w:t>Few</w:t>
            </w:r>
          </w:p>
        </w:tc>
        <w:tc>
          <w:tcPr>
            <w:tcW w:w="1467"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Progressive</w:t>
            </w:r>
          </w:p>
        </w:tc>
        <w:tc>
          <w:tcPr>
            <w:tcW w:w="1246" w:type="dxa"/>
            <w:tcBorders>
              <w:top w:val="single" w:sz="4" w:space="0" w:color="FFFFFF"/>
              <w:bottom w:val="single" w:sz="4" w:space="0" w:color="FFFFFF"/>
            </w:tcBorders>
            <w:shd w:val="clear" w:color="auto" w:fill="E8F5F1"/>
          </w:tcPr>
          <w:p>
            <w:pPr>
              <w:pStyle w:val="TableParagraph"/>
              <w:spacing w:line="230" w:lineRule="auto" w:before="48"/>
              <w:ind w:left="231" w:right="190" w:hanging="112"/>
              <w:rPr>
                <w:sz w:val="15"/>
              </w:rPr>
            </w:pPr>
            <w:r>
              <w:rPr>
                <w:color w:val="231F20"/>
                <w:spacing w:val="-2"/>
                <w:sz w:val="15"/>
              </w:rPr>
              <w:t>Autosomal dominant</w:t>
            </w:r>
          </w:p>
        </w:tc>
      </w:tr>
      <w:tr>
        <w:trPr>
          <w:trHeight w:val="756" w:hRule="atLeast"/>
        </w:trPr>
        <w:tc>
          <w:tcPr>
            <w:tcW w:w="1921" w:type="dxa"/>
            <w:tcBorders>
              <w:top w:val="single" w:sz="4" w:space="0" w:color="FFFFFF"/>
              <w:bottom w:val="single" w:sz="4" w:space="0" w:color="FFFFFF"/>
            </w:tcBorders>
            <w:shd w:val="clear" w:color="auto" w:fill="E8F5F1"/>
          </w:tcPr>
          <w:p>
            <w:pPr>
              <w:pStyle w:val="TableParagraph"/>
              <w:spacing w:line="230" w:lineRule="auto" w:before="48"/>
              <w:ind w:left="187" w:right="108" w:hanging="112"/>
              <w:rPr>
                <w:sz w:val="15"/>
              </w:rPr>
            </w:pPr>
            <w:r>
              <w:rPr>
                <w:color w:val="231F20"/>
                <w:sz w:val="15"/>
              </w:rPr>
              <w:t>P—Posterior</w:t>
            </w:r>
            <w:r>
              <w:rPr>
                <w:color w:val="231F20"/>
                <w:spacing w:val="-12"/>
                <w:sz w:val="15"/>
              </w:rPr>
              <w:t> </w:t>
            </w:r>
            <w:r>
              <w:rPr>
                <w:color w:val="231F20"/>
                <w:sz w:val="15"/>
              </w:rPr>
              <w:t>corneal </w:t>
            </w:r>
            <w:r>
              <w:rPr>
                <w:color w:val="231F20"/>
                <w:spacing w:val="-2"/>
                <w:sz w:val="15"/>
              </w:rPr>
              <w:t>defect</w:t>
            </w:r>
          </w:p>
        </w:tc>
        <w:tc>
          <w:tcPr>
            <w:tcW w:w="1128" w:type="dxa"/>
            <w:tcBorders>
              <w:top w:val="single" w:sz="4" w:space="0" w:color="FFFFFF"/>
              <w:bottom w:val="single" w:sz="4" w:space="0" w:color="FFFFFF"/>
            </w:tcBorders>
            <w:shd w:val="clear" w:color="auto" w:fill="E8F5F1"/>
          </w:tcPr>
          <w:p>
            <w:pPr>
              <w:pStyle w:val="TableParagraph"/>
              <w:spacing w:line="230" w:lineRule="auto" w:before="48"/>
              <w:ind w:left="232" w:hanging="112"/>
              <w:rPr>
                <w:sz w:val="15"/>
              </w:rPr>
            </w:pPr>
            <w:r>
              <w:rPr>
                <w:color w:val="231F20"/>
                <w:spacing w:val="-4"/>
                <w:sz w:val="15"/>
              </w:rPr>
              <w:t>Unilateral</w:t>
            </w:r>
            <w:r>
              <w:rPr>
                <w:color w:val="231F20"/>
                <w:spacing w:val="-8"/>
                <w:sz w:val="15"/>
              </w:rPr>
              <w:t> </w:t>
            </w:r>
            <w:r>
              <w:rPr>
                <w:color w:val="231F20"/>
                <w:spacing w:val="-4"/>
                <w:sz w:val="15"/>
              </w:rPr>
              <w:t>or </w:t>
            </w: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4" w:right="263" w:hanging="112"/>
              <w:rPr>
                <w:sz w:val="15"/>
              </w:rPr>
            </w:pPr>
            <w:r>
              <w:rPr>
                <w:color w:val="231F20"/>
                <w:spacing w:val="-4"/>
                <w:sz w:val="15"/>
              </w:rPr>
              <w:t>Central,</w:t>
            </w:r>
            <w:r>
              <w:rPr>
                <w:color w:val="231F20"/>
                <w:spacing w:val="-8"/>
                <w:sz w:val="15"/>
              </w:rPr>
              <w:t> </w:t>
            </w:r>
            <w:r>
              <w:rPr>
                <w:color w:val="231F20"/>
                <w:spacing w:val="-4"/>
                <w:sz w:val="15"/>
              </w:rPr>
              <w:t>diffuse </w:t>
            </w:r>
            <w:r>
              <w:rPr>
                <w:color w:val="231F20"/>
                <w:sz w:val="15"/>
              </w:rPr>
              <w:t>haze or </w:t>
            </w:r>
            <w:r>
              <w:rPr>
                <w:color w:val="231F20"/>
                <w:spacing w:val="-2"/>
                <w:sz w:val="15"/>
              </w:rPr>
              <w:t>vascularized leukoma</w:t>
            </w:r>
          </w:p>
        </w:tc>
        <w:tc>
          <w:tcPr>
            <w:tcW w:w="1002" w:type="dxa"/>
            <w:tcBorders>
              <w:top w:val="single" w:sz="4" w:space="0" w:color="FFFFFF"/>
              <w:bottom w:val="single" w:sz="4" w:space="0" w:color="FFFFFF"/>
            </w:tcBorders>
            <w:shd w:val="clear" w:color="auto" w:fill="E8F5F1"/>
          </w:tcPr>
          <w:p>
            <w:pPr>
              <w:pStyle w:val="TableParagraph"/>
              <w:spacing w:line="230" w:lineRule="auto" w:before="48"/>
              <w:ind w:left="232" w:right="153" w:hanging="112"/>
              <w:rPr>
                <w:sz w:val="15"/>
              </w:rPr>
            </w:pPr>
            <w:r>
              <w:rPr>
                <w:color w:val="231F20"/>
                <w:sz w:val="15"/>
              </w:rPr>
              <w:t>Normal</w:t>
            </w:r>
            <w:r>
              <w:rPr>
                <w:color w:val="231F20"/>
                <w:spacing w:val="-12"/>
                <w:sz w:val="15"/>
              </w:rPr>
              <w:t> </w:t>
            </w:r>
            <w:r>
              <w:rPr>
                <w:color w:val="231F20"/>
                <w:sz w:val="15"/>
              </w:rPr>
              <w:t>or </w:t>
            </w:r>
            <w:r>
              <w:rPr>
                <w:color w:val="231F20"/>
                <w:spacing w:val="-4"/>
                <w:sz w:val="15"/>
              </w:rPr>
              <w:t>elevated</w:t>
            </w:r>
          </w:p>
        </w:tc>
        <w:tc>
          <w:tcPr>
            <w:tcW w:w="1483" w:type="dxa"/>
            <w:tcBorders>
              <w:top w:val="single" w:sz="4" w:space="0" w:color="FFFFFF"/>
              <w:bottom w:val="single" w:sz="4" w:space="0" w:color="FFFFFF"/>
            </w:tcBorders>
            <w:shd w:val="clear" w:color="auto" w:fill="E8F5F1"/>
          </w:tcPr>
          <w:p>
            <w:pPr>
              <w:pStyle w:val="TableParagraph"/>
              <w:spacing w:line="230" w:lineRule="auto" w:before="48"/>
              <w:ind w:left="234" w:right="109" w:hanging="112"/>
              <w:rPr>
                <w:sz w:val="15"/>
              </w:rPr>
            </w:pPr>
            <w:r>
              <w:rPr>
                <w:color w:val="231F20"/>
                <w:spacing w:val="-2"/>
                <w:sz w:val="15"/>
              </w:rPr>
              <w:t>Anterior</w:t>
            </w:r>
            <w:r>
              <w:rPr>
                <w:color w:val="231F20"/>
                <w:spacing w:val="-10"/>
                <w:sz w:val="15"/>
              </w:rPr>
              <w:t> </w:t>
            </w:r>
            <w:r>
              <w:rPr>
                <w:color w:val="231F20"/>
                <w:spacing w:val="-2"/>
                <w:sz w:val="15"/>
              </w:rPr>
              <w:t>chamber cleavage syndrome</w:t>
            </w:r>
          </w:p>
        </w:tc>
        <w:tc>
          <w:tcPr>
            <w:tcW w:w="1467" w:type="dxa"/>
            <w:tcBorders>
              <w:top w:val="single" w:sz="4" w:space="0" w:color="FFFFFF"/>
              <w:bottom w:val="single" w:sz="4" w:space="0" w:color="FFFFFF"/>
            </w:tcBorders>
            <w:shd w:val="clear" w:color="auto" w:fill="E8F5F1"/>
          </w:tcPr>
          <w:p>
            <w:pPr>
              <w:pStyle w:val="TableParagraph"/>
              <w:spacing w:line="230" w:lineRule="auto" w:before="48"/>
              <w:ind w:left="232" w:right="116" w:hanging="112"/>
              <w:jc w:val="both"/>
              <w:rPr>
                <w:sz w:val="15"/>
              </w:rPr>
            </w:pPr>
            <w:r>
              <w:rPr>
                <w:color w:val="231F20"/>
                <w:spacing w:val="-2"/>
                <w:sz w:val="15"/>
              </w:rPr>
              <w:t>Stable,</w:t>
            </w:r>
            <w:r>
              <w:rPr>
                <w:color w:val="231F20"/>
                <w:spacing w:val="-10"/>
                <w:sz w:val="15"/>
              </w:rPr>
              <w:t> </w:t>
            </w:r>
            <w:r>
              <w:rPr>
                <w:color w:val="231F20"/>
                <w:spacing w:val="-2"/>
                <w:sz w:val="15"/>
              </w:rPr>
              <w:t>sometimes </w:t>
            </w:r>
            <w:r>
              <w:rPr>
                <w:color w:val="231F20"/>
                <w:sz w:val="15"/>
              </w:rPr>
              <w:t>early</w:t>
            </w:r>
            <w:r>
              <w:rPr>
                <w:color w:val="231F20"/>
                <w:spacing w:val="-12"/>
                <w:sz w:val="15"/>
              </w:rPr>
              <w:t> </w:t>
            </w:r>
            <w:r>
              <w:rPr>
                <w:color w:val="231F20"/>
                <w:sz w:val="15"/>
              </w:rPr>
              <w:t>clearing</w:t>
            </w:r>
            <w:r>
              <w:rPr>
                <w:color w:val="231F20"/>
                <w:spacing w:val="-11"/>
                <w:sz w:val="15"/>
              </w:rPr>
              <w:t> </w:t>
            </w:r>
            <w:r>
              <w:rPr>
                <w:color w:val="231F20"/>
                <w:sz w:val="15"/>
              </w:rPr>
              <w:t>or </w:t>
            </w:r>
            <w:r>
              <w:rPr>
                <w:color w:val="231F20"/>
                <w:spacing w:val="-2"/>
                <w:sz w:val="15"/>
              </w:rPr>
              <w:t>vascularization</w:t>
            </w:r>
          </w:p>
        </w:tc>
        <w:tc>
          <w:tcPr>
            <w:tcW w:w="1246" w:type="dxa"/>
            <w:tcBorders>
              <w:top w:val="single" w:sz="4" w:space="0" w:color="FFFFFF"/>
              <w:bottom w:val="single" w:sz="4" w:space="0" w:color="FFFFFF"/>
            </w:tcBorders>
            <w:shd w:val="clear" w:color="auto" w:fill="E8F5F1"/>
          </w:tcPr>
          <w:p>
            <w:pPr>
              <w:pStyle w:val="TableParagraph"/>
              <w:spacing w:line="230" w:lineRule="auto" w:before="48"/>
              <w:ind w:left="231" w:right="190" w:hanging="112"/>
              <w:rPr>
                <w:sz w:val="15"/>
              </w:rPr>
            </w:pPr>
            <w:r>
              <w:rPr>
                <w:color w:val="231F20"/>
                <w:spacing w:val="-2"/>
                <w:sz w:val="15"/>
              </w:rPr>
              <w:t>Sporadic, autosomal recessive</w:t>
            </w:r>
          </w:p>
        </w:tc>
      </w:tr>
      <w:tr>
        <w:trPr>
          <w:trHeight w:val="253" w:hRule="atLeast"/>
        </w:trPr>
        <w:tc>
          <w:tcPr>
            <w:tcW w:w="9741" w:type="dxa"/>
            <w:gridSpan w:val="7"/>
            <w:tcBorders>
              <w:top w:val="single" w:sz="4" w:space="0" w:color="FFFFFF"/>
              <w:bottom w:val="single" w:sz="4" w:space="0" w:color="FFFFFF"/>
            </w:tcBorders>
            <w:shd w:val="clear" w:color="auto" w:fill="E8F5F1"/>
          </w:tcPr>
          <w:p>
            <w:pPr>
              <w:pStyle w:val="TableParagraph"/>
              <w:spacing w:before="43"/>
              <w:ind w:left="75"/>
              <w:rPr>
                <w:sz w:val="15"/>
              </w:rPr>
            </w:pPr>
            <w:r>
              <w:rPr>
                <w:color w:val="231F20"/>
                <w:sz w:val="15"/>
              </w:rPr>
              <w:t>E—Endothelial</w:t>
            </w:r>
            <w:r>
              <w:rPr>
                <w:color w:val="231F20"/>
                <w:spacing w:val="37"/>
                <w:sz w:val="15"/>
              </w:rPr>
              <w:t> </w:t>
            </w:r>
            <w:r>
              <w:rPr>
                <w:color w:val="231F20"/>
                <w:spacing w:val="-2"/>
                <w:sz w:val="15"/>
              </w:rPr>
              <w:t>dystrophy</w:t>
            </w:r>
          </w:p>
        </w:tc>
      </w:tr>
      <w:tr>
        <w:trPr>
          <w:trHeight w:val="756" w:hRule="atLeast"/>
        </w:trPr>
        <w:tc>
          <w:tcPr>
            <w:tcW w:w="1921" w:type="dxa"/>
            <w:tcBorders>
              <w:top w:val="single" w:sz="4" w:space="0" w:color="FFFFFF"/>
              <w:bottom w:val="single" w:sz="4" w:space="0" w:color="FFFFFF"/>
            </w:tcBorders>
            <w:shd w:val="clear" w:color="auto" w:fill="E8F5F1"/>
          </w:tcPr>
          <w:p>
            <w:pPr>
              <w:pStyle w:val="TableParagraph"/>
              <w:spacing w:line="230" w:lineRule="auto" w:before="48"/>
              <w:ind w:left="187" w:hanging="112"/>
              <w:rPr>
                <w:sz w:val="15"/>
              </w:rPr>
            </w:pPr>
            <w:r>
              <w:rPr>
                <w:color w:val="231F20"/>
                <w:sz w:val="15"/>
              </w:rPr>
              <w:t>Congenital hereditary </w:t>
            </w:r>
            <w:r>
              <w:rPr>
                <w:color w:val="231F20"/>
                <w:spacing w:val="-2"/>
                <w:sz w:val="15"/>
              </w:rPr>
              <w:t>endothelial</w:t>
            </w:r>
            <w:r>
              <w:rPr>
                <w:color w:val="231F20"/>
                <w:spacing w:val="-10"/>
                <w:sz w:val="15"/>
              </w:rPr>
              <w:t> </w:t>
            </w:r>
            <w:r>
              <w:rPr>
                <w:color w:val="231F20"/>
                <w:spacing w:val="-2"/>
                <w:sz w:val="15"/>
              </w:rPr>
              <w:t>dystrophy</w:t>
            </w:r>
          </w:p>
        </w:tc>
        <w:tc>
          <w:tcPr>
            <w:tcW w:w="1128"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5" w:right="116" w:hanging="112"/>
              <w:rPr>
                <w:sz w:val="15"/>
              </w:rPr>
            </w:pPr>
            <w:r>
              <w:rPr>
                <w:color w:val="231F20"/>
                <w:sz w:val="15"/>
              </w:rPr>
              <w:t>Diffuse corneal </w:t>
            </w:r>
            <w:r>
              <w:rPr>
                <w:color w:val="231F20"/>
                <w:spacing w:val="-2"/>
                <w:sz w:val="15"/>
              </w:rPr>
              <w:t>edema,</w:t>
            </w:r>
            <w:r>
              <w:rPr>
                <w:color w:val="231F20"/>
                <w:spacing w:val="-10"/>
                <w:sz w:val="15"/>
              </w:rPr>
              <w:t> </w:t>
            </w:r>
            <w:r>
              <w:rPr>
                <w:color w:val="231F20"/>
                <w:spacing w:val="-2"/>
                <w:sz w:val="15"/>
              </w:rPr>
              <w:t>marked corneal thickening</w:t>
            </w:r>
          </w:p>
        </w:tc>
        <w:tc>
          <w:tcPr>
            <w:tcW w:w="1002" w:type="dxa"/>
            <w:tcBorders>
              <w:top w:val="single" w:sz="4" w:space="0" w:color="FFFFFF"/>
              <w:bottom w:val="single" w:sz="4" w:space="0" w:color="FFFFFF"/>
            </w:tcBorders>
            <w:shd w:val="clear" w:color="auto" w:fill="E8F5F1"/>
          </w:tcPr>
          <w:p>
            <w:pPr>
              <w:pStyle w:val="TableParagraph"/>
              <w:spacing w:before="42"/>
              <w:ind w:left="121"/>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pacing w:val="-4"/>
                <w:w w:val="110"/>
                <w:sz w:val="15"/>
              </w:rPr>
              <w:t>None</w:t>
            </w:r>
          </w:p>
        </w:tc>
        <w:tc>
          <w:tcPr>
            <w:tcW w:w="1467"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Stable</w:t>
            </w:r>
          </w:p>
        </w:tc>
        <w:tc>
          <w:tcPr>
            <w:tcW w:w="1246" w:type="dxa"/>
            <w:tcBorders>
              <w:top w:val="single" w:sz="4" w:space="0" w:color="FFFFFF"/>
              <w:bottom w:val="single" w:sz="4" w:space="0" w:color="FFFFFF"/>
            </w:tcBorders>
            <w:shd w:val="clear" w:color="auto" w:fill="E8F5F1"/>
          </w:tcPr>
          <w:p>
            <w:pPr>
              <w:pStyle w:val="TableParagraph"/>
              <w:spacing w:line="230" w:lineRule="auto" w:before="48"/>
              <w:ind w:left="230" w:right="190" w:hanging="112"/>
              <w:rPr>
                <w:sz w:val="15"/>
              </w:rPr>
            </w:pPr>
            <w:r>
              <w:rPr>
                <w:color w:val="231F20"/>
                <w:spacing w:val="-2"/>
                <w:sz w:val="15"/>
              </w:rPr>
              <w:t>Autosomal </w:t>
            </w:r>
            <w:r>
              <w:rPr>
                <w:color w:val="231F20"/>
                <w:sz w:val="15"/>
              </w:rPr>
              <w:t>dominant</w:t>
            </w:r>
            <w:r>
              <w:rPr>
                <w:color w:val="231F20"/>
                <w:spacing w:val="-12"/>
                <w:sz w:val="15"/>
              </w:rPr>
              <w:t> </w:t>
            </w:r>
            <w:r>
              <w:rPr>
                <w:color w:val="231F20"/>
                <w:sz w:val="15"/>
              </w:rPr>
              <w:t>or </w:t>
            </w:r>
            <w:r>
              <w:rPr>
                <w:color w:val="231F20"/>
                <w:spacing w:val="-2"/>
                <w:sz w:val="15"/>
              </w:rPr>
              <w:t>recessive</w:t>
            </w:r>
          </w:p>
        </w:tc>
      </w:tr>
      <w:tr>
        <w:trPr>
          <w:trHeight w:val="756" w:hRule="atLeast"/>
        </w:trPr>
        <w:tc>
          <w:tcPr>
            <w:tcW w:w="1921"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Posterior</w:t>
            </w:r>
            <w:r>
              <w:rPr>
                <w:color w:val="231F20"/>
                <w:spacing w:val="-12"/>
                <w:sz w:val="15"/>
              </w:rPr>
              <w:t> </w:t>
            </w:r>
            <w:r>
              <w:rPr>
                <w:color w:val="231F20"/>
                <w:sz w:val="15"/>
              </w:rPr>
              <w:t>polymorphous </w:t>
            </w:r>
            <w:r>
              <w:rPr>
                <w:color w:val="231F20"/>
                <w:spacing w:val="-2"/>
                <w:sz w:val="15"/>
              </w:rPr>
              <w:t>dystrophy</w:t>
            </w:r>
          </w:p>
        </w:tc>
        <w:tc>
          <w:tcPr>
            <w:tcW w:w="1128"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4" w:right="116" w:hanging="112"/>
              <w:rPr>
                <w:sz w:val="15"/>
              </w:rPr>
            </w:pPr>
            <w:r>
              <w:rPr>
                <w:color w:val="231F20"/>
                <w:sz w:val="15"/>
              </w:rPr>
              <w:t>Diffuse haze, </w:t>
            </w:r>
            <w:r>
              <w:rPr>
                <w:color w:val="231F20"/>
                <w:spacing w:val="-2"/>
                <w:sz w:val="15"/>
              </w:rPr>
              <w:t>normal</w:t>
            </w:r>
            <w:r>
              <w:rPr>
                <w:color w:val="231F20"/>
                <w:spacing w:val="-10"/>
                <w:sz w:val="15"/>
              </w:rPr>
              <w:t> </w:t>
            </w:r>
            <w:r>
              <w:rPr>
                <w:color w:val="231F20"/>
                <w:spacing w:val="-2"/>
                <w:sz w:val="15"/>
              </w:rPr>
              <w:t>corneal thickness</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line="230" w:lineRule="auto" w:before="48"/>
              <w:ind w:left="233" w:right="109" w:hanging="112"/>
              <w:rPr>
                <w:sz w:val="15"/>
              </w:rPr>
            </w:pPr>
            <w:r>
              <w:rPr>
                <w:color w:val="231F20"/>
                <w:spacing w:val="-2"/>
                <w:sz w:val="15"/>
              </w:rPr>
              <w:t>Occasional </w:t>
            </w:r>
            <w:r>
              <w:rPr>
                <w:color w:val="231F20"/>
                <w:spacing w:val="-4"/>
                <w:sz w:val="15"/>
              </w:rPr>
              <w:t>peripheral </w:t>
            </w:r>
            <w:r>
              <w:rPr>
                <w:color w:val="231F20"/>
                <w:spacing w:val="-2"/>
                <w:sz w:val="15"/>
              </w:rPr>
              <w:t>anterior synechiae</w:t>
            </w:r>
          </w:p>
        </w:tc>
        <w:tc>
          <w:tcPr>
            <w:tcW w:w="1467"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Slowly</w:t>
            </w:r>
            <w:r>
              <w:rPr>
                <w:color w:val="231F20"/>
                <w:spacing w:val="-5"/>
                <w:sz w:val="15"/>
              </w:rPr>
              <w:t> </w:t>
            </w:r>
            <w:r>
              <w:rPr>
                <w:color w:val="231F20"/>
                <w:spacing w:val="-2"/>
                <w:sz w:val="15"/>
              </w:rPr>
              <w:t>progressive</w:t>
            </w:r>
          </w:p>
        </w:tc>
        <w:tc>
          <w:tcPr>
            <w:tcW w:w="1246" w:type="dxa"/>
            <w:tcBorders>
              <w:top w:val="single" w:sz="4" w:space="0" w:color="FFFFFF"/>
              <w:bottom w:val="single" w:sz="4" w:space="0" w:color="FFFFFF"/>
            </w:tcBorders>
            <w:shd w:val="clear" w:color="auto" w:fill="E8F5F1"/>
          </w:tcPr>
          <w:p>
            <w:pPr>
              <w:pStyle w:val="TableParagraph"/>
              <w:spacing w:line="230" w:lineRule="auto" w:before="48"/>
              <w:ind w:left="230" w:hanging="112"/>
              <w:rPr>
                <w:sz w:val="15"/>
              </w:rPr>
            </w:pPr>
            <w:r>
              <w:rPr>
                <w:color w:val="231F20"/>
                <w:spacing w:val="-2"/>
                <w:sz w:val="15"/>
              </w:rPr>
              <w:t>Autosomal dominant</w:t>
            </w:r>
          </w:p>
        </w:tc>
      </w:tr>
      <w:tr>
        <w:trPr>
          <w:trHeight w:val="756" w:hRule="atLeast"/>
        </w:trPr>
        <w:tc>
          <w:tcPr>
            <w:tcW w:w="1921"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2"/>
                <w:sz w:val="15"/>
              </w:rPr>
              <w:t>Congenital</w:t>
            </w:r>
            <w:r>
              <w:rPr>
                <w:color w:val="231F20"/>
                <w:spacing w:val="-9"/>
                <w:sz w:val="15"/>
              </w:rPr>
              <w:t> </w:t>
            </w:r>
            <w:r>
              <w:rPr>
                <w:color w:val="231F20"/>
                <w:spacing w:val="-2"/>
                <w:sz w:val="15"/>
              </w:rPr>
              <w:t>hereditary </w:t>
            </w:r>
            <w:r>
              <w:rPr>
                <w:color w:val="231F20"/>
                <w:sz w:val="15"/>
              </w:rPr>
              <w:t>stromal dystrophy</w:t>
            </w:r>
          </w:p>
        </w:tc>
        <w:tc>
          <w:tcPr>
            <w:tcW w:w="1128"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Bilateral</w:t>
            </w:r>
          </w:p>
        </w:tc>
        <w:tc>
          <w:tcPr>
            <w:tcW w:w="1494" w:type="dxa"/>
            <w:tcBorders>
              <w:top w:val="single" w:sz="4" w:space="0" w:color="FFFFFF"/>
              <w:bottom w:val="single" w:sz="4" w:space="0" w:color="FFFFFF"/>
            </w:tcBorders>
            <w:shd w:val="clear" w:color="auto" w:fill="E8F5F1"/>
          </w:tcPr>
          <w:p>
            <w:pPr>
              <w:pStyle w:val="TableParagraph"/>
              <w:spacing w:line="230" w:lineRule="auto" w:before="48"/>
              <w:ind w:left="234" w:right="116" w:hanging="112"/>
              <w:rPr>
                <w:sz w:val="15"/>
              </w:rPr>
            </w:pPr>
            <w:r>
              <w:rPr>
                <w:color w:val="231F20"/>
                <w:sz w:val="15"/>
              </w:rPr>
              <w:t>Flaky, feathery </w:t>
            </w:r>
            <w:r>
              <w:rPr>
                <w:color w:val="231F20"/>
                <w:spacing w:val="-2"/>
                <w:sz w:val="15"/>
              </w:rPr>
              <w:t>stromal</w:t>
            </w:r>
            <w:r>
              <w:rPr>
                <w:color w:val="231F20"/>
                <w:spacing w:val="40"/>
                <w:sz w:val="15"/>
              </w:rPr>
              <w:t> </w:t>
            </w:r>
            <w:r>
              <w:rPr>
                <w:color w:val="231F20"/>
                <w:spacing w:val="-2"/>
                <w:sz w:val="15"/>
              </w:rPr>
              <w:t>opacities;</w:t>
            </w:r>
            <w:r>
              <w:rPr>
                <w:color w:val="231F20"/>
                <w:spacing w:val="-10"/>
                <w:sz w:val="15"/>
              </w:rPr>
              <w:t> </w:t>
            </w:r>
            <w:r>
              <w:rPr>
                <w:color w:val="231F20"/>
                <w:spacing w:val="-2"/>
                <w:sz w:val="15"/>
              </w:rPr>
              <w:t>normal corneal</w:t>
            </w:r>
            <w:r>
              <w:rPr>
                <w:color w:val="231F20"/>
                <w:sz w:val="15"/>
              </w:rPr>
              <w:t> </w:t>
            </w:r>
            <w:r>
              <w:rPr>
                <w:color w:val="231F20"/>
                <w:spacing w:val="-2"/>
                <w:sz w:val="15"/>
              </w:rPr>
              <w:t>thickness</w:t>
            </w:r>
          </w:p>
        </w:tc>
        <w:tc>
          <w:tcPr>
            <w:tcW w:w="1002" w:type="dxa"/>
            <w:tcBorders>
              <w:top w:val="single" w:sz="4" w:space="0" w:color="FFFFFF"/>
              <w:bottom w:val="single" w:sz="4" w:space="0" w:color="FFFFFF"/>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4" w:space="0" w:color="FFFFFF"/>
            </w:tcBorders>
            <w:shd w:val="clear" w:color="auto" w:fill="E8F5F1"/>
          </w:tcPr>
          <w:p>
            <w:pPr>
              <w:pStyle w:val="TableParagraph"/>
              <w:spacing w:before="42"/>
              <w:ind w:left="122"/>
              <w:rPr>
                <w:sz w:val="15"/>
              </w:rPr>
            </w:pPr>
            <w:r>
              <w:rPr>
                <w:color w:val="231F20"/>
                <w:spacing w:val="-4"/>
                <w:w w:val="110"/>
                <w:sz w:val="15"/>
              </w:rPr>
              <w:t>None</w:t>
            </w:r>
          </w:p>
        </w:tc>
        <w:tc>
          <w:tcPr>
            <w:tcW w:w="1467" w:type="dxa"/>
            <w:tcBorders>
              <w:top w:val="single" w:sz="4" w:space="0" w:color="FFFFFF"/>
              <w:bottom w:val="single" w:sz="4" w:space="0" w:color="FFFFFF"/>
            </w:tcBorders>
            <w:shd w:val="clear" w:color="auto" w:fill="E8F5F1"/>
          </w:tcPr>
          <w:p>
            <w:pPr>
              <w:pStyle w:val="TableParagraph"/>
              <w:spacing w:before="42"/>
              <w:ind w:left="119"/>
              <w:rPr>
                <w:sz w:val="15"/>
              </w:rPr>
            </w:pPr>
            <w:r>
              <w:rPr>
                <w:color w:val="231F20"/>
                <w:spacing w:val="-2"/>
                <w:sz w:val="15"/>
              </w:rPr>
              <w:t>Stable</w:t>
            </w:r>
          </w:p>
        </w:tc>
        <w:tc>
          <w:tcPr>
            <w:tcW w:w="1246" w:type="dxa"/>
            <w:tcBorders>
              <w:top w:val="single" w:sz="4" w:space="0" w:color="FFFFFF"/>
              <w:bottom w:val="single" w:sz="4" w:space="0" w:color="FFFFFF"/>
            </w:tcBorders>
            <w:shd w:val="clear" w:color="auto" w:fill="E8F5F1"/>
          </w:tcPr>
          <w:p>
            <w:pPr>
              <w:pStyle w:val="TableParagraph"/>
              <w:spacing w:line="230" w:lineRule="auto" w:before="48"/>
              <w:ind w:left="230" w:hanging="112"/>
              <w:rPr>
                <w:sz w:val="15"/>
              </w:rPr>
            </w:pPr>
            <w:r>
              <w:rPr>
                <w:color w:val="231F20"/>
                <w:spacing w:val="-2"/>
                <w:sz w:val="15"/>
              </w:rPr>
              <w:t>Autosomal dominant</w:t>
            </w:r>
          </w:p>
        </w:tc>
      </w:tr>
      <w:tr>
        <w:trPr>
          <w:trHeight w:val="583" w:hRule="atLeast"/>
        </w:trPr>
        <w:tc>
          <w:tcPr>
            <w:tcW w:w="1921" w:type="dxa"/>
            <w:tcBorders>
              <w:top w:val="single" w:sz="4" w:space="0" w:color="FFFFFF"/>
              <w:bottom w:val="single" w:sz="8" w:space="0" w:color="231F20"/>
            </w:tcBorders>
            <w:shd w:val="clear" w:color="auto" w:fill="E8F5F1"/>
          </w:tcPr>
          <w:p>
            <w:pPr>
              <w:pStyle w:val="TableParagraph"/>
              <w:spacing w:before="43"/>
              <w:ind w:left="74"/>
              <w:rPr>
                <w:sz w:val="15"/>
              </w:rPr>
            </w:pPr>
            <w:r>
              <w:rPr>
                <w:color w:val="231F20"/>
                <w:w w:val="110"/>
                <w:sz w:val="15"/>
              </w:rPr>
              <w:t>D—</w:t>
            </w:r>
            <w:r>
              <w:rPr>
                <w:color w:val="231F20"/>
                <w:spacing w:val="-2"/>
                <w:w w:val="110"/>
                <w:sz w:val="15"/>
              </w:rPr>
              <w:t>Dermoid</w:t>
            </w:r>
          </w:p>
        </w:tc>
        <w:tc>
          <w:tcPr>
            <w:tcW w:w="1128" w:type="dxa"/>
            <w:tcBorders>
              <w:top w:val="single" w:sz="4" w:space="0" w:color="FFFFFF"/>
              <w:bottom w:val="single" w:sz="8" w:space="0" w:color="231F20"/>
            </w:tcBorders>
            <w:shd w:val="clear" w:color="auto" w:fill="E8F5F1"/>
          </w:tcPr>
          <w:p>
            <w:pPr>
              <w:pStyle w:val="TableParagraph"/>
              <w:spacing w:line="230" w:lineRule="auto" w:before="48"/>
              <w:ind w:left="231" w:hanging="112"/>
              <w:rPr>
                <w:sz w:val="15"/>
              </w:rPr>
            </w:pPr>
            <w:r>
              <w:rPr>
                <w:color w:val="231F20"/>
                <w:spacing w:val="-4"/>
                <w:sz w:val="15"/>
              </w:rPr>
              <w:t>Unilateral</w:t>
            </w:r>
            <w:r>
              <w:rPr>
                <w:color w:val="231F20"/>
                <w:spacing w:val="-8"/>
                <w:sz w:val="15"/>
              </w:rPr>
              <w:t> </w:t>
            </w:r>
            <w:r>
              <w:rPr>
                <w:color w:val="231F20"/>
                <w:spacing w:val="-4"/>
                <w:sz w:val="15"/>
              </w:rPr>
              <w:t>or </w:t>
            </w:r>
            <w:r>
              <w:rPr>
                <w:color w:val="231F20"/>
                <w:spacing w:val="-2"/>
                <w:sz w:val="15"/>
              </w:rPr>
              <w:t>bilateral</w:t>
            </w:r>
          </w:p>
        </w:tc>
        <w:tc>
          <w:tcPr>
            <w:tcW w:w="1494" w:type="dxa"/>
            <w:tcBorders>
              <w:top w:val="single" w:sz="4" w:space="0" w:color="FFFFFF"/>
              <w:bottom w:val="single" w:sz="8" w:space="0" w:color="231F20"/>
            </w:tcBorders>
            <w:shd w:val="clear" w:color="auto" w:fill="E8F5F1"/>
          </w:tcPr>
          <w:p>
            <w:pPr>
              <w:pStyle w:val="TableParagraph"/>
              <w:spacing w:line="230" w:lineRule="auto" w:before="48"/>
              <w:ind w:left="234" w:right="127" w:hanging="112"/>
              <w:rPr>
                <w:sz w:val="15"/>
              </w:rPr>
            </w:pPr>
            <w:r>
              <w:rPr>
                <w:color w:val="231F20"/>
                <w:spacing w:val="-2"/>
                <w:sz w:val="15"/>
              </w:rPr>
              <w:t>White</w:t>
            </w:r>
            <w:r>
              <w:rPr>
                <w:color w:val="231F20"/>
                <w:spacing w:val="-10"/>
                <w:sz w:val="15"/>
              </w:rPr>
              <w:t> </w:t>
            </w:r>
            <w:r>
              <w:rPr>
                <w:color w:val="231F20"/>
                <w:spacing w:val="-2"/>
                <w:sz w:val="15"/>
              </w:rPr>
              <w:t>vascularized </w:t>
            </w:r>
            <w:r>
              <w:rPr>
                <w:color w:val="231F20"/>
                <w:sz w:val="15"/>
              </w:rPr>
              <w:t>mass, hair, lipid </w:t>
            </w:r>
            <w:r>
              <w:rPr>
                <w:color w:val="231F20"/>
                <w:spacing w:val="-4"/>
                <w:sz w:val="15"/>
              </w:rPr>
              <w:t>arc</w:t>
            </w:r>
          </w:p>
        </w:tc>
        <w:tc>
          <w:tcPr>
            <w:tcW w:w="1002" w:type="dxa"/>
            <w:tcBorders>
              <w:top w:val="single" w:sz="4" w:space="0" w:color="FFFFFF"/>
              <w:bottom w:val="single" w:sz="8" w:space="0" w:color="231F20"/>
            </w:tcBorders>
            <w:shd w:val="clear" w:color="auto" w:fill="E8F5F1"/>
          </w:tcPr>
          <w:p>
            <w:pPr>
              <w:pStyle w:val="TableParagraph"/>
              <w:spacing w:before="42"/>
              <w:ind w:left="120"/>
              <w:rPr>
                <w:sz w:val="15"/>
              </w:rPr>
            </w:pPr>
            <w:r>
              <w:rPr>
                <w:color w:val="231F20"/>
                <w:spacing w:val="-2"/>
                <w:sz w:val="15"/>
              </w:rPr>
              <w:t>Normal</w:t>
            </w:r>
          </w:p>
        </w:tc>
        <w:tc>
          <w:tcPr>
            <w:tcW w:w="1483" w:type="dxa"/>
            <w:tcBorders>
              <w:top w:val="single" w:sz="4" w:space="0" w:color="FFFFFF"/>
              <w:bottom w:val="single" w:sz="8" w:space="0" w:color="231F20"/>
            </w:tcBorders>
            <w:shd w:val="clear" w:color="auto" w:fill="E8F5F1"/>
          </w:tcPr>
          <w:p>
            <w:pPr>
              <w:pStyle w:val="TableParagraph"/>
              <w:spacing w:before="42"/>
              <w:ind w:left="122"/>
              <w:rPr>
                <w:sz w:val="15"/>
              </w:rPr>
            </w:pPr>
            <w:r>
              <w:rPr>
                <w:color w:val="231F20"/>
                <w:spacing w:val="-4"/>
                <w:w w:val="110"/>
                <w:sz w:val="15"/>
              </w:rPr>
              <w:t>None</w:t>
            </w:r>
          </w:p>
        </w:tc>
        <w:tc>
          <w:tcPr>
            <w:tcW w:w="1467" w:type="dxa"/>
            <w:tcBorders>
              <w:top w:val="single" w:sz="4" w:space="0" w:color="FFFFFF"/>
              <w:bottom w:val="single" w:sz="8" w:space="0" w:color="231F20"/>
            </w:tcBorders>
            <w:shd w:val="clear" w:color="auto" w:fill="E8F5F1"/>
          </w:tcPr>
          <w:p>
            <w:pPr>
              <w:pStyle w:val="TableParagraph"/>
              <w:spacing w:before="42"/>
              <w:ind w:left="120"/>
              <w:rPr>
                <w:sz w:val="15"/>
              </w:rPr>
            </w:pPr>
            <w:r>
              <w:rPr>
                <w:color w:val="231F20"/>
                <w:spacing w:val="-2"/>
                <w:sz w:val="15"/>
              </w:rPr>
              <w:t>Stable</w:t>
            </w:r>
          </w:p>
        </w:tc>
        <w:tc>
          <w:tcPr>
            <w:tcW w:w="1246" w:type="dxa"/>
            <w:tcBorders>
              <w:top w:val="single" w:sz="4" w:space="0" w:color="FFFFFF"/>
              <w:bottom w:val="single" w:sz="8" w:space="0" w:color="231F20"/>
            </w:tcBorders>
            <w:shd w:val="clear" w:color="auto" w:fill="E8F5F1"/>
          </w:tcPr>
          <w:p>
            <w:pPr>
              <w:pStyle w:val="TableParagraph"/>
              <w:spacing w:before="42"/>
              <w:ind w:left="119"/>
              <w:rPr>
                <w:sz w:val="15"/>
              </w:rPr>
            </w:pPr>
            <w:r>
              <w:rPr>
                <w:color w:val="231F20"/>
                <w:spacing w:val="-2"/>
                <w:sz w:val="15"/>
              </w:rPr>
              <w:t>Sporadic</w:t>
            </w:r>
          </w:p>
        </w:tc>
      </w:tr>
    </w:tbl>
    <w:p>
      <w:pPr>
        <w:pStyle w:val="BodyText"/>
        <w:spacing w:line="150" w:lineRule="exact" w:before="82"/>
        <w:ind w:left="203"/>
      </w:pPr>
      <w:r>
        <w:rPr>
          <w:color w:val="231F20"/>
        </w:rPr>
        <w:t>*Mucopolysaccharidosis</w:t>
      </w:r>
      <w:r>
        <w:rPr>
          <w:color w:val="231F20"/>
          <w:spacing w:val="2"/>
        </w:rPr>
        <w:t> </w:t>
      </w:r>
      <w:r>
        <w:rPr>
          <w:color w:val="231F20"/>
        </w:rPr>
        <w:t>IH</w:t>
      </w:r>
      <w:r>
        <w:rPr>
          <w:color w:val="231F20"/>
          <w:spacing w:val="3"/>
        </w:rPr>
        <w:t> </w:t>
      </w:r>
      <w:r>
        <w:rPr>
          <w:color w:val="231F20"/>
        </w:rPr>
        <w:t>(Hurler</w:t>
      </w:r>
      <w:r>
        <w:rPr>
          <w:color w:val="231F20"/>
          <w:spacing w:val="3"/>
        </w:rPr>
        <w:t> </w:t>
      </w:r>
      <w:r>
        <w:rPr>
          <w:color w:val="231F20"/>
        </w:rPr>
        <w:t>syndrome);</w:t>
      </w:r>
      <w:r>
        <w:rPr>
          <w:color w:val="231F20"/>
          <w:spacing w:val="3"/>
        </w:rPr>
        <w:t> </w:t>
      </w:r>
      <w:r>
        <w:rPr>
          <w:color w:val="231F20"/>
        </w:rPr>
        <w:t>mucopolysaccharidosis</w:t>
      </w:r>
      <w:r>
        <w:rPr>
          <w:color w:val="231F20"/>
          <w:spacing w:val="3"/>
        </w:rPr>
        <w:t> </w:t>
      </w:r>
      <w:r>
        <w:rPr>
          <w:color w:val="231F20"/>
        </w:rPr>
        <w:t>IS</w:t>
      </w:r>
      <w:r>
        <w:rPr>
          <w:color w:val="231F20"/>
          <w:spacing w:val="3"/>
        </w:rPr>
        <w:t> </w:t>
      </w:r>
      <w:r>
        <w:rPr>
          <w:color w:val="231F20"/>
        </w:rPr>
        <w:t>(Scheie</w:t>
      </w:r>
      <w:r>
        <w:rPr>
          <w:color w:val="231F20"/>
          <w:spacing w:val="3"/>
        </w:rPr>
        <w:t> </w:t>
      </w:r>
      <w:r>
        <w:rPr>
          <w:color w:val="231F20"/>
          <w:spacing w:val="-2"/>
        </w:rPr>
        <w:t>syndrome).</w:t>
      </w:r>
    </w:p>
    <w:p>
      <w:pPr>
        <w:spacing w:line="150" w:lineRule="exact" w:before="0"/>
        <w:ind w:left="334" w:right="0" w:firstLine="0"/>
        <w:jc w:val="left"/>
        <w:rPr>
          <w:i/>
          <w:sz w:val="13"/>
        </w:rPr>
      </w:pPr>
      <w:r>
        <w:rPr>
          <w:i/>
          <w:color w:val="231F20"/>
          <w:sz w:val="13"/>
        </w:rPr>
        <w:t>From</w:t>
      </w:r>
      <w:r>
        <w:rPr>
          <w:i/>
          <w:color w:val="231F20"/>
          <w:spacing w:val="-2"/>
          <w:sz w:val="13"/>
        </w:rPr>
        <w:t> </w:t>
      </w:r>
      <w:r>
        <w:rPr>
          <w:i/>
          <w:color w:val="231F20"/>
          <w:sz w:val="13"/>
        </w:rPr>
        <w:t>Nelson</w:t>
      </w:r>
      <w:r>
        <w:rPr>
          <w:i/>
          <w:color w:val="231F20"/>
          <w:spacing w:val="-1"/>
          <w:sz w:val="13"/>
        </w:rPr>
        <w:t> </w:t>
      </w:r>
      <w:r>
        <w:rPr>
          <w:i/>
          <w:color w:val="231F20"/>
          <w:sz w:val="13"/>
        </w:rPr>
        <w:t>LB,</w:t>
      </w:r>
      <w:r>
        <w:rPr>
          <w:i/>
          <w:color w:val="231F20"/>
          <w:spacing w:val="-1"/>
          <w:sz w:val="13"/>
        </w:rPr>
        <w:t> </w:t>
      </w:r>
      <w:r>
        <w:rPr>
          <w:i/>
          <w:color w:val="231F20"/>
          <w:sz w:val="13"/>
        </w:rPr>
        <w:t>Calhoun</w:t>
      </w:r>
      <w:r>
        <w:rPr>
          <w:i/>
          <w:color w:val="231F20"/>
          <w:spacing w:val="-2"/>
          <w:sz w:val="13"/>
        </w:rPr>
        <w:t> </w:t>
      </w:r>
      <w:r>
        <w:rPr>
          <w:i/>
          <w:color w:val="231F20"/>
          <w:sz w:val="13"/>
        </w:rPr>
        <w:t>JH,</w:t>
      </w:r>
      <w:r>
        <w:rPr>
          <w:i/>
          <w:color w:val="231F20"/>
          <w:spacing w:val="-1"/>
          <w:sz w:val="13"/>
        </w:rPr>
        <w:t> </w:t>
      </w:r>
      <w:r>
        <w:rPr>
          <w:i/>
          <w:color w:val="231F20"/>
          <w:sz w:val="13"/>
        </w:rPr>
        <w:t>Harley</w:t>
      </w:r>
      <w:r>
        <w:rPr>
          <w:i/>
          <w:color w:val="231F20"/>
          <w:spacing w:val="-1"/>
          <w:sz w:val="13"/>
        </w:rPr>
        <w:t> </w:t>
      </w:r>
      <w:r>
        <w:rPr>
          <w:i/>
          <w:color w:val="231F20"/>
          <w:sz w:val="13"/>
        </w:rPr>
        <w:t>RD:</w:t>
      </w:r>
      <w:r>
        <w:rPr>
          <w:i/>
          <w:color w:val="231F20"/>
          <w:spacing w:val="-1"/>
          <w:sz w:val="13"/>
        </w:rPr>
        <w:t> </w:t>
      </w:r>
      <w:r>
        <w:rPr>
          <w:color w:val="231F20"/>
          <w:sz w:val="13"/>
        </w:rPr>
        <w:t>Pediatric</w:t>
      </w:r>
      <w:r>
        <w:rPr>
          <w:color w:val="231F20"/>
          <w:spacing w:val="-2"/>
          <w:sz w:val="13"/>
        </w:rPr>
        <w:t> </w:t>
      </w:r>
      <w:r>
        <w:rPr>
          <w:color w:val="231F20"/>
          <w:sz w:val="13"/>
        </w:rPr>
        <w:t>ophthalmology,</w:t>
      </w:r>
      <w:r>
        <w:rPr>
          <w:color w:val="231F20"/>
          <w:spacing w:val="-1"/>
          <w:sz w:val="13"/>
        </w:rPr>
        <w:t> </w:t>
      </w:r>
      <w:r>
        <w:rPr>
          <w:i/>
          <w:color w:val="231F20"/>
          <w:sz w:val="13"/>
        </w:rPr>
        <w:t>ed</w:t>
      </w:r>
      <w:r>
        <w:rPr>
          <w:i/>
          <w:color w:val="231F20"/>
          <w:spacing w:val="-1"/>
          <w:sz w:val="13"/>
        </w:rPr>
        <w:t> </w:t>
      </w:r>
      <w:r>
        <w:rPr>
          <w:i/>
          <w:color w:val="231F20"/>
          <w:sz w:val="13"/>
        </w:rPr>
        <w:t>3,</w:t>
      </w:r>
      <w:r>
        <w:rPr>
          <w:i/>
          <w:color w:val="231F20"/>
          <w:spacing w:val="-1"/>
          <w:sz w:val="13"/>
        </w:rPr>
        <w:t> </w:t>
      </w:r>
      <w:r>
        <w:rPr>
          <w:i/>
          <w:color w:val="231F20"/>
          <w:sz w:val="13"/>
        </w:rPr>
        <w:t>Philadelphia,</w:t>
      </w:r>
      <w:r>
        <w:rPr>
          <w:i/>
          <w:color w:val="231F20"/>
          <w:spacing w:val="-2"/>
          <w:sz w:val="13"/>
        </w:rPr>
        <w:t> </w:t>
      </w:r>
      <w:r>
        <w:rPr>
          <w:i/>
          <w:color w:val="231F20"/>
          <w:sz w:val="13"/>
        </w:rPr>
        <w:t>1991,</w:t>
      </w:r>
      <w:r>
        <w:rPr>
          <w:i/>
          <w:color w:val="231F20"/>
          <w:spacing w:val="-1"/>
          <w:sz w:val="13"/>
        </w:rPr>
        <w:t> </w:t>
      </w:r>
      <w:r>
        <w:rPr>
          <w:i/>
          <w:color w:val="231F20"/>
          <w:sz w:val="13"/>
        </w:rPr>
        <w:t>WB</w:t>
      </w:r>
      <w:r>
        <w:rPr>
          <w:i/>
          <w:color w:val="231F20"/>
          <w:spacing w:val="-1"/>
          <w:sz w:val="13"/>
        </w:rPr>
        <w:t> </w:t>
      </w:r>
      <w:r>
        <w:rPr>
          <w:i/>
          <w:color w:val="231F20"/>
          <w:sz w:val="13"/>
        </w:rPr>
        <w:t>Saunders,</w:t>
      </w:r>
      <w:r>
        <w:rPr>
          <w:i/>
          <w:color w:val="231F20"/>
          <w:spacing w:val="-1"/>
          <w:sz w:val="13"/>
        </w:rPr>
        <w:t> </w:t>
      </w:r>
      <w:r>
        <w:rPr>
          <w:i/>
          <w:color w:val="231F20"/>
          <w:sz w:val="13"/>
        </w:rPr>
        <w:t>p.</w:t>
      </w:r>
      <w:r>
        <w:rPr>
          <w:i/>
          <w:color w:val="231F20"/>
          <w:spacing w:val="-2"/>
          <w:sz w:val="13"/>
        </w:rPr>
        <w:t> </w:t>
      </w:r>
      <w:r>
        <w:rPr>
          <w:i/>
          <w:color w:val="231F20"/>
          <w:spacing w:val="-4"/>
          <w:sz w:val="13"/>
        </w:rPr>
        <w:t>210.</w:t>
      </w:r>
    </w:p>
    <w:p>
      <w:pPr>
        <w:spacing w:after="0" w:line="150" w:lineRule="exact"/>
        <w:jc w:val="left"/>
        <w:rPr>
          <w:i/>
          <w:sz w:val="13"/>
        </w:rPr>
        <w:sectPr>
          <w:pgSz w:w="11900" w:h="16840"/>
          <w:pgMar w:header="0"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304" name="Group 1304"/>
                <wp:cNvGraphicFramePr>
                  <a:graphicFrameLocks/>
                </wp:cNvGraphicFramePr>
                <a:graphic>
                  <a:graphicData uri="http://schemas.microsoft.com/office/word/2010/wordprocessingGroup">
                    <wpg:wgp>
                      <wpg:cNvPr id="1304" name="Group 1304"/>
                      <wpg:cNvGrpSpPr/>
                      <wpg:grpSpPr>
                        <a:xfrm>
                          <a:off x="0" y="0"/>
                          <a:ext cx="6185535" cy="170815"/>
                          <a:chExt cx="6185535" cy="170815"/>
                        </a:xfrm>
                      </wpg:grpSpPr>
                      <wps:wsp>
                        <wps:cNvPr id="1305" name="Graphic 1305"/>
                        <wps:cNvSpPr/>
                        <wps:spPr>
                          <a:xfrm>
                            <a:off x="0"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306" name="Graphic 1306"/>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307" name="Textbox 1307"/>
                        <wps:cNvSpPr txBox="1"/>
                        <wps:spPr>
                          <a:xfrm>
                            <a:off x="0" y="0"/>
                            <a:ext cx="6185535" cy="170815"/>
                          </a:xfrm>
                          <a:prstGeom prst="rect">
                            <a:avLst/>
                          </a:prstGeom>
                        </wps:spPr>
                        <wps:txbx>
                          <w:txbxContent>
                            <w:p>
                              <w:pPr>
                                <w:spacing w:before="6"/>
                                <w:ind w:left="5506" w:right="-15" w:firstLine="0"/>
                                <w:jc w:val="left"/>
                                <w:rPr>
                                  <w:b/>
                                  <w:sz w:val="18"/>
                                </w:rPr>
                              </w:pPr>
                              <w:r>
                                <w:rPr>
                                  <w:b/>
                                  <w:color w:val="2E3092"/>
                                  <w:w w:val="105"/>
                                  <w:sz w:val="18"/>
                                </w:rPr>
                                <w:t>Chapter</w:t>
                              </w:r>
                              <w:r>
                                <w:rPr>
                                  <w:b/>
                                  <w:color w:val="2E3092"/>
                                  <w:spacing w:val="8"/>
                                  <w:w w:val="105"/>
                                  <w:sz w:val="18"/>
                                </w:rPr>
                                <w:t> </w:t>
                              </w:r>
                              <w:r>
                                <w:rPr>
                                  <w:b/>
                                  <w:color w:val="2E3092"/>
                                  <w:w w:val="105"/>
                                  <w:sz w:val="18"/>
                                </w:rPr>
                                <w:t>628</w:t>
                              </w:r>
                              <w:r>
                                <w:rPr>
                                  <w:b/>
                                  <w:color w:val="2E3092"/>
                                  <w:spacing w:val="34"/>
                                  <w:w w:val="105"/>
                                  <w:sz w:val="18"/>
                                </w:rPr>
                                <w:t> </w:t>
                              </w:r>
                              <w:r>
                                <w:rPr>
                                  <w:rFonts w:ascii="Lucida Sans Unicode" w:hAnsi="Lucida Sans Unicode"/>
                                  <w:color w:val="7670B3"/>
                                  <w:w w:val="105"/>
                                  <w:sz w:val="15"/>
                                </w:rPr>
                                <w:t>◆</w:t>
                              </w:r>
                              <w:r>
                                <w:rPr>
                                  <w:rFonts w:ascii="Lucida Sans Unicode" w:hAnsi="Lucida Sans Unicode"/>
                                  <w:color w:val="7670B3"/>
                                  <w:spacing w:val="41"/>
                                  <w:w w:val="105"/>
                                  <w:sz w:val="15"/>
                                </w:rPr>
                                <w:t> </w:t>
                              </w:r>
                              <w:r>
                                <w:rPr>
                                  <w:color w:val="231F20"/>
                                  <w:w w:val="105"/>
                                  <w:sz w:val="18"/>
                                </w:rPr>
                                <w:t>Abnormalities</w:t>
                              </w:r>
                              <w:r>
                                <w:rPr>
                                  <w:color w:val="231F20"/>
                                  <w:spacing w:val="5"/>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5"/>
                                  <w:w w:val="105"/>
                                  <w:sz w:val="18"/>
                                </w:rPr>
                                <w:t> </w:t>
                              </w:r>
                              <w:r>
                                <w:rPr>
                                  <w:color w:val="231F20"/>
                                  <w:w w:val="105"/>
                                  <w:sz w:val="18"/>
                                </w:rPr>
                                <w:t>Lens</w:t>
                              </w:r>
                              <w:r>
                                <w:rPr>
                                  <w:color w:val="231F20"/>
                                  <w:spacing w:val="34"/>
                                  <w:w w:val="105"/>
                                  <w:sz w:val="18"/>
                                </w:rPr>
                                <w:t>  </w:t>
                              </w:r>
                              <w:r>
                                <w:rPr>
                                  <w:b/>
                                  <w:color w:val="231F20"/>
                                  <w:spacing w:val="-4"/>
                                  <w:w w:val="105"/>
                                  <w:sz w:val="18"/>
                                </w:rPr>
                                <w:t>3045</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31" coordorigin="0,0" coordsize="9741,269">
                <v:line style="position:absolute" from="0,145" to="37,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1032" filled="false" stroked="false">
                  <v:textbox inset="0,0,0,0">
                    <w:txbxContent>
                      <w:p>
                        <w:pPr>
                          <w:spacing w:before="6"/>
                          <w:ind w:left="5506" w:right="-15" w:firstLine="0"/>
                          <w:jc w:val="left"/>
                          <w:rPr>
                            <w:b/>
                            <w:sz w:val="18"/>
                          </w:rPr>
                        </w:pPr>
                        <w:r>
                          <w:rPr>
                            <w:b/>
                            <w:color w:val="2E3092"/>
                            <w:w w:val="105"/>
                            <w:sz w:val="18"/>
                          </w:rPr>
                          <w:t>Chapter</w:t>
                        </w:r>
                        <w:r>
                          <w:rPr>
                            <w:b/>
                            <w:color w:val="2E3092"/>
                            <w:spacing w:val="8"/>
                            <w:w w:val="105"/>
                            <w:sz w:val="18"/>
                          </w:rPr>
                          <w:t> </w:t>
                        </w:r>
                        <w:r>
                          <w:rPr>
                            <w:b/>
                            <w:color w:val="2E3092"/>
                            <w:w w:val="105"/>
                            <w:sz w:val="18"/>
                          </w:rPr>
                          <w:t>628</w:t>
                        </w:r>
                        <w:r>
                          <w:rPr>
                            <w:b/>
                            <w:color w:val="2E3092"/>
                            <w:spacing w:val="34"/>
                            <w:w w:val="105"/>
                            <w:sz w:val="18"/>
                          </w:rPr>
                          <w:t> </w:t>
                        </w:r>
                        <w:r>
                          <w:rPr>
                            <w:rFonts w:ascii="Lucida Sans Unicode" w:hAnsi="Lucida Sans Unicode"/>
                            <w:color w:val="7670B3"/>
                            <w:w w:val="105"/>
                            <w:sz w:val="15"/>
                          </w:rPr>
                          <w:t>◆</w:t>
                        </w:r>
                        <w:r>
                          <w:rPr>
                            <w:rFonts w:ascii="Lucida Sans Unicode" w:hAnsi="Lucida Sans Unicode"/>
                            <w:color w:val="7670B3"/>
                            <w:spacing w:val="41"/>
                            <w:w w:val="105"/>
                            <w:sz w:val="15"/>
                          </w:rPr>
                          <w:t> </w:t>
                        </w:r>
                        <w:r>
                          <w:rPr>
                            <w:color w:val="231F20"/>
                            <w:w w:val="105"/>
                            <w:sz w:val="18"/>
                          </w:rPr>
                          <w:t>Abnormalities</w:t>
                        </w:r>
                        <w:r>
                          <w:rPr>
                            <w:color w:val="231F20"/>
                            <w:spacing w:val="5"/>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5"/>
                            <w:w w:val="105"/>
                            <w:sz w:val="18"/>
                          </w:rPr>
                          <w:t> </w:t>
                        </w:r>
                        <w:r>
                          <w:rPr>
                            <w:color w:val="231F20"/>
                            <w:w w:val="105"/>
                            <w:sz w:val="18"/>
                          </w:rPr>
                          <w:t>Lens</w:t>
                        </w:r>
                        <w:r>
                          <w:rPr>
                            <w:color w:val="231F20"/>
                            <w:spacing w:val="34"/>
                            <w:w w:val="105"/>
                            <w:sz w:val="18"/>
                          </w:rPr>
                          <w:t>  </w:t>
                        </w:r>
                        <w:r>
                          <w:rPr>
                            <w:b/>
                            <w:color w:val="231F20"/>
                            <w:spacing w:val="-4"/>
                            <w:w w:val="105"/>
                            <w:sz w:val="18"/>
                          </w:rPr>
                          <w:t>3045</w:t>
                        </w:r>
                      </w:p>
                    </w:txbxContent>
                  </v:textbox>
                  <w10:wrap type="none"/>
                </v:shape>
              </v:group>
            </w:pict>
          </mc:Fallback>
        </mc:AlternateContent>
      </w:r>
      <w:r>
        <w:rPr>
          <w:sz w:val="20"/>
        </w:rPr>
      </w:r>
    </w:p>
    <w:p>
      <w:pPr>
        <w:pStyle w:val="BodyText"/>
        <w:spacing w:before="6"/>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70"/>
        <w:gridCol w:w="4870"/>
      </w:tblGrid>
      <w:tr>
        <w:trPr>
          <w:trHeight w:val="377" w:hRule="exact"/>
        </w:trPr>
        <w:tc>
          <w:tcPr>
            <w:tcW w:w="9740" w:type="dxa"/>
            <w:gridSpan w:val="2"/>
            <w:shd w:val="clear" w:color="auto" w:fill="231F20"/>
          </w:tcPr>
          <w:p>
            <w:pPr>
              <w:pStyle w:val="TableParagraph"/>
              <w:spacing w:before="89"/>
              <w:ind w:left="111"/>
              <w:rPr>
                <w:sz w:val="16"/>
              </w:rPr>
            </w:pPr>
            <w:r>
              <w:rPr>
                <w:b/>
                <w:color w:val="FFFFFF"/>
                <w:w w:val="105"/>
                <w:sz w:val="16"/>
              </w:rPr>
              <w:t>Table</w:t>
            </w:r>
            <w:r>
              <w:rPr>
                <w:b/>
                <w:color w:val="FFFFFF"/>
                <w:spacing w:val="7"/>
                <w:w w:val="105"/>
                <w:sz w:val="16"/>
              </w:rPr>
              <w:t> </w:t>
            </w:r>
            <w:r>
              <w:rPr>
                <w:b/>
                <w:color w:val="FFFFFF"/>
                <w:w w:val="105"/>
                <w:sz w:val="16"/>
              </w:rPr>
              <w:t>628-1</w:t>
            </w:r>
            <w:r>
              <w:rPr>
                <w:b/>
                <w:color w:val="FFFFFF"/>
                <w:spacing w:val="36"/>
                <w:w w:val="105"/>
                <w:sz w:val="16"/>
              </w:rPr>
              <w:t>  </w:t>
            </w:r>
            <w:r>
              <w:rPr>
                <w:color w:val="FFFFFF"/>
                <w:w w:val="105"/>
                <w:sz w:val="16"/>
              </w:rPr>
              <w:t>Differential</w:t>
            </w:r>
            <w:r>
              <w:rPr>
                <w:color w:val="FFFFFF"/>
                <w:spacing w:val="4"/>
                <w:w w:val="105"/>
                <w:sz w:val="16"/>
              </w:rPr>
              <w:t> </w:t>
            </w:r>
            <w:r>
              <w:rPr>
                <w:color w:val="FFFFFF"/>
                <w:w w:val="105"/>
                <w:sz w:val="16"/>
              </w:rPr>
              <w:t>Diagnosis</w:t>
            </w:r>
            <w:r>
              <w:rPr>
                <w:color w:val="FFFFFF"/>
                <w:spacing w:val="4"/>
                <w:w w:val="105"/>
                <w:sz w:val="16"/>
              </w:rPr>
              <w:t> </w:t>
            </w:r>
            <w:r>
              <w:rPr>
                <w:color w:val="FFFFFF"/>
                <w:w w:val="105"/>
                <w:sz w:val="16"/>
              </w:rPr>
              <w:t>of</w:t>
            </w:r>
            <w:r>
              <w:rPr>
                <w:color w:val="FFFFFF"/>
                <w:spacing w:val="3"/>
                <w:w w:val="105"/>
                <w:sz w:val="16"/>
              </w:rPr>
              <w:t> </w:t>
            </w:r>
            <w:r>
              <w:rPr>
                <w:color w:val="FFFFFF"/>
                <w:spacing w:val="-2"/>
                <w:w w:val="105"/>
                <w:sz w:val="16"/>
              </w:rPr>
              <w:t>Cataracts</w:t>
            </w:r>
          </w:p>
        </w:tc>
      </w:tr>
      <w:tr>
        <w:trPr>
          <w:trHeight w:val="220" w:hRule="exact"/>
        </w:trPr>
        <w:tc>
          <w:tcPr>
            <w:tcW w:w="4870" w:type="dxa"/>
            <w:tcBorders>
              <w:right w:val="single" w:sz="4" w:space="0" w:color="231F20"/>
            </w:tcBorders>
            <w:shd w:val="clear" w:color="auto" w:fill="E8F5F1"/>
          </w:tcPr>
          <w:p>
            <w:pPr>
              <w:pStyle w:val="TableParagraph"/>
              <w:spacing w:line="157" w:lineRule="exact" w:before="43"/>
              <w:ind w:left="74"/>
              <w:rPr>
                <w:sz w:val="15"/>
              </w:rPr>
            </w:pPr>
            <w:r>
              <w:rPr>
                <w:color w:val="231F20"/>
                <w:w w:val="110"/>
                <w:sz w:val="15"/>
              </w:rPr>
              <w:t>DEVELOPMENTAL</w:t>
            </w:r>
            <w:r>
              <w:rPr>
                <w:color w:val="231F20"/>
                <w:spacing w:val="33"/>
                <w:w w:val="110"/>
                <w:sz w:val="15"/>
              </w:rPr>
              <w:t> </w:t>
            </w:r>
            <w:r>
              <w:rPr>
                <w:color w:val="231F20"/>
                <w:spacing w:val="-2"/>
                <w:w w:val="110"/>
                <w:sz w:val="15"/>
              </w:rPr>
              <w:t>VARIANTS</w:t>
            </w:r>
          </w:p>
        </w:tc>
        <w:tc>
          <w:tcPr>
            <w:tcW w:w="4870" w:type="dxa"/>
            <w:vMerge w:val="restart"/>
            <w:tcBorders>
              <w:top w:val="single" w:sz="4" w:space="0" w:color="FFFFFF"/>
              <w:left w:val="single" w:sz="4" w:space="0" w:color="231F20"/>
              <w:bottom w:val="single" w:sz="4" w:space="0" w:color="FFFFFF"/>
            </w:tcBorders>
            <w:shd w:val="clear" w:color="auto" w:fill="E8F5F1"/>
          </w:tcPr>
          <w:p>
            <w:pPr>
              <w:pStyle w:val="TableParagraph"/>
              <w:spacing w:line="172" w:lineRule="exact" w:before="43"/>
              <w:ind w:left="69"/>
              <w:rPr>
                <w:i/>
                <w:sz w:val="15"/>
              </w:rPr>
            </w:pPr>
            <w:r>
              <w:rPr>
                <w:i/>
                <w:color w:val="231F20"/>
                <w:sz w:val="15"/>
              </w:rPr>
              <w:t>Inborn</w:t>
            </w:r>
            <w:r>
              <w:rPr>
                <w:i/>
                <w:color w:val="231F20"/>
                <w:spacing w:val="5"/>
                <w:sz w:val="15"/>
              </w:rPr>
              <w:t> </w:t>
            </w:r>
            <w:r>
              <w:rPr>
                <w:i/>
                <w:color w:val="231F20"/>
                <w:sz w:val="15"/>
              </w:rPr>
              <w:t>Errors</w:t>
            </w:r>
            <w:r>
              <w:rPr>
                <w:i/>
                <w:color w:val="231F20"/>
                <w:spacing w:val="6"/>
                <w:sz w:val="15"/>
              </w:rPr>
              <w:t> </w:t>
            </w:r>
            <w:r>
              <w:rPr>
                <w:i/>
                <w:color w:val="231F20"/>
                <w:sz w:val="15"/>
              </w:rPr>
              <w:t>of</w:t>
            </w:r>
            <w:r>
              <w:rPr>
                <w:i/>
                <w:color w:val="231F20"/>
                <w:spacing w:val="6"/>
                <w:sz w:val="15"/>
              </w:rPr>
              <w:t> </w:t>
            </w:r>
            <w:r>
              <w:rPr>
                <w:i/>
                <w:color w:val="231F20"/>
                <w:spacing w:val="-2"/>
                <w:sz w:val="15"/>
              </w:rPr>
              <w:t>Metabolism</w:t>
            </w:r>
          </w:p>
          <w:p>
            <w:pPr>
              <w:pStyle w:val="TableParagraph"/>
              <w:spacing w:line="235" w:lineRule="auto"/>
              <w:ind w:left="69" w:right="400"/>
              <w:rPr>
                <w:sz w:val="15"/>
              </w:rPr>
            </w:pPr>
            <w:r>
              <w:rPr>
                <w:color w:val="231F20"/>
                <w:spacing w:val="-2"/>
                <w:sz w:val="15"/>
              </w:rPr>
              <w:t>Abetalipoproteinemia (absent chylomicrons, retinal </w:t>
            </w:r>
            <w:r>
              <w:rPr>
                <w:color w:val="231F20"/>
                <w:spacing w:val="-2"/>
                <w:sz w:val="15"/>
              </w:rPr>
              <w:t>degeneration) </w:t>
            </w:r>
            <w:r>
              <w:rPr>
                <w:color w:val="231F20"/>
                <w:sz w:val="15"/>
              </w:rPr>
              <w:t>Fabry disease (</w:t>
            </w:r>
            <w:r>
              <w:rPr>
                <w:rFonts w:ascii="Cambria" w:hAnsi="Cambria"/>
                <w:color w:val="231F20"/>
                <w:sz w:val="15"/>
              </w:rPr>
              <w:t>α</w:t>
            </w:r>
            <w:r>
              <w:rPr>
                <w:color w:val="231F20"/>
                <w:sz w:val="15"/>
              </w:rPr>
              <w:t>-galactosidase A deficiency)</w:t>
            </w:r>
          </w:p>
          <w:p>
            <w:pPr>
              <w:pStyle w:val="TableParagraph"/>
              <w:spacing w:line="167" w:lineRule="exact"/>
              <w:ind w:left="69"/>
              <w:rPr>
                <w:sz w:val="15"/>
              </w:rPr>
            </w:pPr>
            <w:r>
              <w:rPr>
                <w:color w:val="231F20"/>
                <w:sz w:val="15"/>
              </w:rPr>
              <w:t>Galactokinase</w:t>
            </w:r>
            <w:r>
              <w:rPr>
                <w:color w:val="231F20"/>
                <w:spacing w:val="-9"/>
                <w:sz w:val="15"/>
              </w:rPr>
              <w:t> </w:t>
            </w:r>
            <w:r>
              <w:rPr>
                <w:color w:val="231F20"/>
                <w:spacing w:val="-2"/>
                <w:sz w:val="15"/>
              </w:rPr>
              <w:t>deficiency</w:t>
            </w:r>
          </w:p>
          <w:p>
            <w:pPr>
              <w:pStyle w:val="TableParagraph"/>
              <w:spacing w:line="232" w:lineRule="auto" w:before="2"/>
              <w:ind w:left="69"/>
              <w:rPr>
                <w:sz w:val="15"/>
              </w:rPr>
            </w:pPr>
            <w:r>
              <w:rPr>
                <w:color w:val="231F20"/>
                <w:spacing w:val="-2"/>
                <w:sz w:val="15"/>
              </w:rPr>
              <w:t>Galactosemia</w:t>
            </w:r>
            <w:r>
              <w:rPr>
                <w:color w:val="231F20"/>
                <w:spacing w:val="-4"/>
                <w:sz w:val="15"/>
              </w:rPr>
              <w:t> </w:t>
            </w:r>
            <w:r>
              <w:rPr>
                <w:color w:val="231F20"/>
                <w:spacing w:val="-2"/>
                <w:sz w:val="15"/>
              </w:rPr>
              <w:t>(galactose-1-phosphate</w:t>
            </w:r>
            <w:r>
              <w:rPr>
                <w:color w:val="231F20"/>
                <w:spacing w:val="-4"/>
                <w:sz w:val="15"/>
              </w:rPr>
              <w:t> </w:t>
            </w:r>
            <w:r>
              <w:rPr>
                <w:color w:val="231F20"/>
                <w:spacing w:val="-2"/>
                <w:sz w:val="15"/>
              </w:rPr>
              <w:t>uridyltransferase</w:t>
            </w:r>
            <w:r>
              <w:rPr>
                <w:color w:val="231F20"/>
                <w:spacing w:val="-4"/>
                <w:sz w:val="15"/>
              </w:rPr>
              <w:t> </w:t>
            </w:r>
            <w:r>
              <w:rPr>
                <w:color w:val="231F20"/>
                <w:spacing w:val="-2"/>
                <w:sz w:val="15"/>
              </w:rPr>
              <w:t>deficiency) </w:t>
            </w:r>
            <w:r>
              <w:rPr>
                <w:color w:val="231F20"/>
                <w:sz w:val="15"/>
              </w:rPr>
              <w:t>Homocystinemia (subluxation of lens, mental retardation)</w:t>
            </w:r>
          </w:p>
          <w:p>
            <w:pPr>
              <w:pStyle w:val="TableParagraph"/>
              <w:spacing w:line="232" w:lineRule="auto" w:before="1"/>
              <w:ind w:left="69" w:right="1297"/>
              <w:rPr>
                <w:sz w:val="15"/>
              </w:rPr>
            </w:pPr>
            <w:r>
              <w:rPr>
                <w:color w:val="231F20"/>
                <w:sz w:val="15"/>
              </w:rPr>
              <w:t>Infantile neuronal ceroid lipofuscinosis</w:t>
            </w:r>
            <w:r>
              <w:rPr>
                <w:color w:val="231F20"/>
                <w:spacing w:val="40"/>
                <w:sz w:val="15"/>
              </w:rPr>
              <w:t> </w:t>
            </w:r>
            <w:r>
              <w:rPr>
                <w:color w:val="231F20"/>
                <w:sz w:val="15"/>
              </w:rPr>
              <w:t>Mannosidosis (acid </w:t>
            </w:r>
            <w:r>
              <w:rPr>
                <w:rFonts w:ascii="Cambria" w:hAnsi="Cambria"/>
                <w:color w:val="231F20"/>
                <w:sz w:val="15"/>
              </w:rPr>
              <w:t>α</w:t>
            </w:r>
            <w:r>
              <w:rPr>
                <w:color w:val="231F20"/>
                <w:sz w:val="15"/>
              </w:rPr>
              <w:t>-mannosidase deficiency) </w:t>
            </w:r>
            <w:r>
              <w:rPr>
                <w:color w:val="231F20"/>
                <w:spacing w:val="-2"/>
                <w:sz w:val="15"/>
              </w:rPr>
              <w:t>Niemann-Pick disease (sphingomyelinase </w:t>
            </w:r>
            <w:r>
              <w:rPr>
                <w:color w:val="231F20"/>
                <w:spacing w:val="-2"/>
                <w:sz w:val="15"/>
              </w:rPr>
              <w:t>deficiency)</w:t>
            </w:r>
          </w:p>
          <w:p>
            <w:pPr>
              <w:pStyle w:val="TableParagraph"/>
              <w:spacing w:line="172" w:lineRule="exact"/>
              <w:ind w:left="69"/>
              <w:rPr>
                <w:sz w:val="15"/>
              </w:rPr>
            </w:pPr>
            <w:r>
              <w:rPr>
                <w:color w:val="231F20"/>
                <w:sz w:val="15"/>
              </w:rPr>
              <w:t>Refsum</w:t>
            </w:r>
            <w:r>
              <w:rPr>
                <w:color w:val="231F20"/>
                <w:spacing w:val="-9"/>
                <w:sz w:val="15"/>
              </w:rPr>
              <w:t> </w:t>
            </w:r>
            <w:r>
              <w:rPr>
                <w:color w:val="231F20"/>
                <w:sz w:val="15"/>
              </w:rPr>
              <w:t>disease</w:t>
            </w:r>
            <w:r>
              <w:rPr>
                <w:color w:val="231F20"/>
                <w:spacing w:val="-9"/>
                <w:sz w:val="15"/>
              </w:rPr>
              <w:t> </w:t>
            </w:r>
            <w:r>
              <w:rPr>
                <w:color w:val="231F20"/>
                <w:sz w:val="15"/>
              </w:rPr>
              <w:t>(phytanic</w:t>
            </w:r>
            <w:r>
              <w:rPr>
                <w:color w:val="231F20"/>
                <w:spacing w:val="-9"/>
                <w:sz w:val="15"/>
              </w:rPr>
              <w:t> </w:t>
            </w:r>
            <w:r>
              <w:rPr>
                <w:color w:val="231F20"/>
                <w:sz w:val="15"/>
              </w:rPr>
              <w:t>acid</w:t>
            </w:r>
            <w:r>
              <w:rPr>
                <w:color w:val="231F20"/>
                <w:spacing w:val="-9"/>
                <w:sz w:val="15"/>
              </w:rPr>
              <w:t> </w:t>
            </w:r>
            <w:r>
              <w:rPr>
                <w:rFonts w:ascii="Cambria" w:hAnsi="Cambria"/>
                <w:color w:val="231F20"/>
                <w:sz w:val="15"/>
              </w:rPr>
              <w:t>α</w:t>
            </w:r>
            <w:r>
              <w:rPr>
                <w:color w:val="231F20"/>
                <w:sz w:val="15"/>
              </w:rPr>
              <w:t>-hydrolase</w:t>
            </w:r>
            <w:r>
              <w:rPr>
                <w:color w:val="231F20"/>
                <w:spacing w:val="-9"/>
                <w:sz w:val="15"/>
              </w:rPr>
              <w:t> </w:t>
            </w:r>
            <w:r>
              <w:rPr>
                <w:color w:val="231F20"/>
                <w:spacing w:val="-2"/>
                <w:sz w:val="15"/>
              </w:rPr>
              <w:t>deficiency)</w:t>
            </w:r>
          </w:p>
          <w:p>
            <w:pPr>
              <w:pStyle w:val="TableParagraph"/>
              <w:spacing w:line="230" w:lineRule="auto" w:before="3"/>
              <w:ind w:left="181" w:right="400" w:hanging="112"/>
              <w:rPr>
                <w:sz w:val="15"/>
              </w:rPr>
            </w:pPr>
            <w:r>
              <w:rPr>
                <w:color w:val="231F20"/>
                <w:sz w:val="15"/>
              </w:rPr>
              <w:t>Wilson</w:t>
            </w:r>
            <w:r>
              <w:rPr>
                <w:color w:val="231F20"/>
                <w:spacing w:val="-6"/>
                <w:sz w:val="15"/>
              </w:rPr>
              <w:t> </w:t>
            </w:r>
            <w:r>
              <w:rPr>
                <w:color w:val="231F20"/>
                <w:sz w:val="15"/>
              </w:rPr>
              <w:t>disease</w:t>
            </w:r>
            <w:r>
              <w:rPr>
                <w:color w:val="231F20"/>
                <w:spacing w:val="-6"/>
                <w:sz w:val="15"/>
              </w:rPr>
              <w:t> </w:t>
            </w:r>
            <w:r>
              <w:rPr>
                <w:color w:val="231F20"/>
                <w:sz w:val="15"/>
              </w:rPr>
              <w:t>(accumulation</w:t>
            </w:r>
            <w:r>
              <w:rPr>
                <w:color w:val="231F20"/>
                <w:spacing w:val="-6"/>
                <w:sz w:val="15"/>
              </w:rPr>
              <w:t> </w:t>
            </w:r>
            <w:r>
              <w:rPr>
                <w:color w:val="231F20"/>
                <w:sz w:val="15"/>
              </w:rPr>
              <w:t>of</w:t>
            </w:r>
            <w:r>
              <w:rPr>
                <w:color w:val="231F20"/>
                <w:spacing w:val="-6"/>
                <w:sz w:val="15"/>
              </w:rPr>
              <w:t> </w:t>
            </w:r>
            <w:r>
              <w:rPr>
                <w:color w:val="231F20"/>
                <w:sz w:val="15"/>
              </w:rPr>
              <w:t>copper</w:t>
            </w:r>
            <w:r>
              <w:rPr>
                <w:color w:val="231F20"/>
                <w:spacing w:val="-6"/>
                <w:sz w:val="15"/>
              </w:rPr>
              <w:t> </w:t>
            </w:r>
            <w:r>
              <w:rPr>
                <w:color w:val="231F20"/>
                <w:sz w:val="15"/>
              </w:rPr>
              <w:t>leads</w:t>
            </w:r>
            <w:r>
              <w:rPr>
                <w:color w:val="231F20"/>
                <w:spacing w:val="-6"/>
                <w:sz w:val="15"/>
              </w:rPr>
              <w:t> </w:t>
            </w:r>
            <w:r>
              <w:rPr>
                <w:color w:val="231F20"/>
                <w:sz w:val="15"/>
              </w:rPr>
              <w:t>to</w:t>
            </w:r>
            <w:r>
              <w:rPr>
                <w:color w:val="231F20"/>
                <w:spacing w:val="-6"/>
                <w:sz w:val="15"/>
              </w:rPr>
              <w:t> </w:t>
            </w:r>
            <w:r>
              <w:rPr>
                <w:color w:val="231F20"/>
                <w:sz w:val="15"/>
              </w:rPr>
              <w:t>cirrhosis</w:t>
            </w:r>
            <w:r>
              <w:rPr>
                <w:color w:val="231F20"/>
                <w:spacing w:val="-6"/>
                <w:sz w:val="15"/>
              </w:rPr>
              <w:t> </w:t>
            </w:r>
            <w:r>
              <w:rPr>
                <w:color w:val="231F20"/>
                <w:sz w:val="15"/>
              </w:rPr>
              <w:t>and neurologic symptoms)</w:t>
            </w:r>
          </w:p>
          <w:p>
            <w:pPr>
              <w:pStyle w:val="TableParagraph"/>
              <w:spacing w:line="172" w:lineRule="exact"/>
              <w:ind w:left="69"/>
              <w:rPr>
                <w:sz w:val="15"/>
              </w:rPr>
            </w:pPr>
            <w:r>
              <w:rPr>
                <w:color w:val="231F20"/>
                <w:spacing w:val="-2"/>
                <w:sz w:val="15"/>
              </w:rPr>
              <w:t>Zellweger</w:t>
            </w:r>
            <w:r>
              <w:rPr>
                <w:color w:val="231F20"/>
                <w:spacing w:val="5"/>
                <w:sz w:val="15"/>
              </w:rPr>
              <w:t> </w:t>
            </w:r>
            <w:r>
              <w:rPr>
                <w:color w:val="231F20"/>
                <w:spacing w:val="-2"/>
                <w:sz w:val="15"/>
              </w:rPr>
              <w:t>syndrome</w:t>
            </w:r>
          </w:p>
        </w:tc>
      </w:tr>
      <w:tr>
        <w:trPr>
          <w:trHeight w:val="165" w:hRule="exact"/>
        </w:trPr>
        <w:tc>
          <w:tcPr>
            <w:tcW w:w="4870" w:type="dxa"/>
            <w:tcBorders>
              <w:right w:val="single" w:sz="4" w:space="0" w:color="231F20"/>
            </w:tcBorders>
            <w:shd w:val="clear" w:color="auto" w:fill="E8F5F1"/>
          </w:tcPr>
          <w:p>
            <w:pPr>
              <w:pStyle w:val="TableParagraph"/>
              <w:spacing w:line="146" w:lineRule="exact"/>
              <w:ind w:left="74"/>
              <w:rPr>
                <w:sz w:val="15"/>
              </w:rPr>
            </w:pPr>
            <w:r>
              <w:rPr>
                <w:color w:val="231F20"/>
                <w:spacing w:val="-4"/>
                <w:sz w:val="15"/>
              </w:rPr>
              <w:t>Prematurity</w:t>
            </w:r>
            <w:r>
              <w:rPr>
                <w:color w:val="231F20"/>
                <w:spacing w:val="4"/>
                <w:sz w:val="15"/>
              </w:rPr>
              <w:t> </w:t>
            </w:r>
            <w:r>
              <w:rPr>
                <w:color w:val="231F20"/>
                <w:spacing w:val="-4"/>
                <w:sz w:val="15"/>
              </w:rPr>
              <w:t>(Y-suture</w:t>
            </w:r>
            <w:r>
              <w:rPr>
                <w:color w:val="231F20"/>
                <w:spacing w:val="5"/>
                <w:sz w:val="15"/>
              </w:rPr>
              <w:t> </w:t>
            </w:r>
            <w:r>
              <w:rPr>
                <w:color w:val="231F20"/>
                <w:spacing w:val="-4"/>
                <w:sz w:val="15"/>
              </w:rPr>
              <w:t>vacuoles)</w:t>
            </w:r>
            <w:r>
              <w:rPr>
                <w:color w:val="231F20"/>
                <w:spacing w:val="5"/>
                <w:sz w:val="15"/>
              </w:rPr>
              <w:t> </w:t>
            </w:r>
            <w:r>
              <w:rPr>
                <w:color w:val="231F20"/>
                <w:spacing w:val="-4"/>
                <w:sz w:val="15"/>
              </w:rPr>
              <w:t>with</w:t>
            </w:r>
            <w:r>
              <w:rPr>
                <w:color w:val="231F20"/>
                <w:spacing w:val="5"/>
                <w:sz w:val="15"/>
              </w:rPr>
              <w:t> </w:t>
            </w:r>
            <w:r>
              <w:rPr>
                <w:color w:val="231F20"/>
                <w:spacing w:val="-4"/>
                <w:sz w:val="15"/>
              </w:rPr>
              <w:t>or</w:t>
            </w:r>
            <w:r>
              <w:rPr>
                <w:color w:val="231F20"/>
                <w:spacing w:val="5"/>
                <w:sz w:val="15"/>
              </w:rPr>
              <w:t> </w:t>
            </w:r>
            <w:r>
              <w:rPr>
                <w:color w:val="231F20"/>
                <w:spacing w:val="-4"/>
                <w:sz w:val="15"/>
              </w:rPr>
              <w:t>without</w:t>
            </w:r>
            <w:r>
              <w:rPr>
                <w:color w:val="231F20"/>
                <w:spacing w:val="5"/>
                <w:sz w:val="15"/>
              </w:rPr>
              <w:t> </w:t>
            </w:r>
            <w:r>
              <w:rPr>
                <w:color w:val="231F20"/>
                <w:spacing w:val="-4"/>
                <w:sz w:val="15"/>
              </w:rPr>
              <w:t>retinopathy</w:t>
            </w:r>
            <w:r>
              <w:rPr>
                <w:color w:val="231F20"/>
                <w:spacing w:val="4"/>
                <w:sz w:val="15"/>
              </w:rPr>
              <w:t> </w:t>
            </w:r>
            <w:r>
              <w:rPr>
                <w:color w:val="231F20"/>
                <w:spacing w:val="-5"/>
                <w:sz w:val="15"/>
              </w:rPr>
              <w:t>of</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186"/>
              <w:rPr>
                <w:sz w:val="15"/>
              </w:rPr>
            </w:pPr>
            <w:r>
              <w:rPr>
                <w:color w:val="231F20"/>
                <w:spacing w:val="-2"/>
                <w:sz w:val="15"/>
              </w:rPr>
              <w:t>prematurity</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Mittendorf</w:t>
            </w:r>
            <w:r>
              <w:rPr>
                <w:color w:val="231F20"/>
                <w:spacing w:val="-8"/>
                <w:sz w:val="15"/>
              </w:rPr>
              <w:t> </w:t>
            </w:r>
            <w:r>
              <w:rPr>
                <w:color w:val="231F20"/>
                <w:sz w:val="15"/>
              </w:rPr>
              <w:t>dot</w:t>
            </w:r>
            <w:r>
              <w:rPr>
                <w:color w:val="231F20"/>
                <w:spacing w:val="-8"/>
                <w:sz w:val="15"/>
              </w:rPr>
              <w:t> </w:t>
            </w:r>
            <w:r>
              <w:rPr>
                <w:color w:val="231F20"/>
                <w:sz w:val="15"/>
              </w:rPr>
              <w:t>(remnant</w:t>
            </w:r>
            <w:r>
              <w:rPr>
                <w:color w:val="231F20"/>
                <w:spacing w:val="-7"/>
                <w:sz w:val="15"/>
              </w:rPr>
              <w:t> </w:t>
            </w:r>
            <w:r>
              <w:rPr>
                <w:color w:val="231F20"/>
                <w:sz w:val="15"/>
              </w:rPr>
              <w:t>of</w:t>
            </w:r>
            <w:r>
              <w:rPr>
                <w:color w:val="231F20"/>
                <w:spacing w:val="-8"/>
                <w:sz w:val="15"/>
              </w:rPr>
              <w:t> </w:t>
            </w:r>
            <w:r>
              <w:rPr>
                <w:color w:val="231F20"/>
                <w:sz w:val="15"/>
              </w:rPr>
              <w:t>hyaloid</w:t>
            </w:r>
            <w:r>
              <w:rPr>
                <w:color w:val="231F20"/>
                <w:spacing w:val="-7"/>
                <w:sz w:val="15"/>
              </w:rPr>
              <w:t> </w:t>
            </w:r>
            <w:r>
              <w:rPr>
                <w:color w:val="231F20"/>
                <w:spacing w:val="-2"/>
                <w:sz w:val="15"/>
              </w:rPr>
              <w:t>artery)</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Persistent</w:t>
            </w:r>
            <w:r>
              <w:rPr>
                <w:color w:val="231F20"/>
                <w:sz w:val="15"/>
              </w:rPr>
              <w:t> </w:t>
            </w:r>
            <w:r>
              <w:rPr>
                <w:color w:val="231F20"/>
                <w:spacing w:val="-2"/>
                <w:sz w:val="15"/>
              </w:rPr>
              <w:t>pupillary</w:t>
            </w:r>
            <w:r>
              <w:rPr>
                <w:color w:val="231F20"/>
                <w:spacing w:val="1"/>
                <w:sz w:val="15"/>
              </w:rPr>
              <w:t> </w:t>
            </w:r>
            <w:r>
              <w:rPr>
                <w:color w:val="231F20"/>
                <w:spacing w:val="-2"/>
                <w:sz w:val="15"/>
              </w:rPr>
              <w:t>membrane</w:t>
            </w:r>
            <w:r>
              <w:rPr>
                <w:color w:val="231F20"/>
                <w:spacing w:val="1"/>
                <w:sz w:val="15"/>
              </w:rPr>
              <w:t> </w:t>
            </w:r>
            <w:r>
              <w:rPr>
                <w:color w:val="231F20"/>
                <w:spacing w:val="-2"/>
                <w:sz w:val="15"/>
              </w:rPr>
              <w:t>(remnant</w:t>
            </w:r>
            <w:r>
              <w:rPr>
                <w:color w:val="231F20"/>
                <w:spacing w:val="1"/>
                <w:sz w:val="15"/>
              </w:rPr>
              <w:t> </w:t>
            </w:r>
            <w:r>
              <w:rPr>
                <w:color w:val="231F20"/>
                <w:spacing w:val="-2"/>
                <w:sz w:val="15"/>
              </w:rPr>
              <w:t>of</w:t>
            </w:r>
            <w:r>
              <w:rPr>
                <w:color w:val="231F20"/>
                <w:spacing w:val="1"/>
                <w:sz w:val="15"/>
              </w:rPr>
              <w:t> </w:t>
            </w:r>
            <w:r>
              <w:rPr>
                <w:color w:val="231F20"/>
                <w:spacing w:val="-2"/>
                <w:sz w:val="15"/>
              </w:rPr>
              <w:t>embryonic</w:t>
            </w:r>
            <w:r>
              <w:rPr>
                <w:color w:val="231F20"/>
                <w:spacing w:val="1"/>
                <w:sz w:val="15"/>
              </w:rPr>
              <w:t> </w:t>
            </w:r>
            <w:r>
              <w:rPr>
                <w:color w:val="231F20"/>
                <w:spacing w:val="-4"/>
                <w:sz w:val="15"/>
              </w:rPr>
              <w:t>lens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210" w:hRule="exact"/>
        </w:trPr>
        <w:tc>
          <w:tcPr>
            <w:tcW w:w="4870" w:type="dxa"/>
            <w:tcBorders>
              <w:bottom w:val="single" w:sz="4" w:space="0" w:color="FFFFFF"/>
              <w:right w:val="single" w:sz="4" w:space="0" w:color="231F20"/>
            </w:tcBorders>
            <w:shd w:val="clear" w:color="auto" w:fill="E8F5F1"/>
          </w:tcPr>
          <w:p>
            <w:pPr>
              <w:pStyle w:val="TableParagraph"/>
              <w:spacing w:line="169" w:lineRule="exact"/>
              <w:ind w:left="186"/>
              <w:rPr>
                <w:sz w:val="15"/>
              </w:rPr>
            </w:pPr>
            <w:r>
              <w:rPr>
                <w:color w:val="231F20"/>
                <w:spacing w:val="-2"/>
                <w:sz w:val="15"/>
              </w:rPr>
              <w:t>vasculature)</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235" w:hRule="exact"/>
        </w:trPr>
        <w:tc>
          <w:tcPr>
            <w:tcW w:w="4870" w:type="dxa"/>
            <w:tcBorders>
              <w:top w:val="single" w:sz="4" w:space="0" w:color="FFFFFF"/>
              <w:right w:val="single" w:sz="4" w:space="0" w:color="231F20"/>
            </w:tcBorders>
            <w:shd w:val="clear" w:color="auto" w:fill="E8F5F1"/>
          </w:tcPr>
          <w:p>
            <w:pPr>
              <w:pStyle w:val="TableParagraph"/>
              <w:spacing w:line="167" w:lineRule="exact" w:before="43"/>
              <w:ind w:left="74"/>
              <w:rPr>
                <w:sz w:val="15"/>
              </w:rPr>
            </w:pPr>
            <w:r>
              <w:rPr>
                <w:color w:val="231F20"/>
                <w:w w:val="110"/>
                <w:sz w:val="15"/>
              </w:rPr>
              <w:t>GENETIC</w:t>
            </w:r>
            <w:r>
              <w:rPr>
                <w:color w:val="231F20"/>
                <w:spacing w:val="8"/>
                <w:w w:val="115"/>
                <w:sz w:val="15"/>
              </w:rPr>
              <w:t> </w:t>
            </w:r>
            <w:r>
              <w:rPr>
                <w:color w:val="231F20"/>
                <w:spacing w:val="-2"/>
                <w:w w:val="115"/>
                <w:sz w:val="15"/>
              </w:rPr>
              <w:t>DISORDERS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78" w:hRule="exact"/>
        </w:trPr>
        <w:tc>
          <w:tcPr>
            <w:tcW w:w="4870" w:type="dxa"/>
            <w:tcBorders>
              <w:right w:val="single" w:sz="4" w:space="0" w:color="231F20"/>
            </w:tcBorders>
            <w:shd w:val="clear" w:color="auto" w:fill="E8F5F1"/>
          </w:tcPr>
          <w:p>
            <w:pPr>
              <w:pStyle w:val="TableParagraph"/>
              <w:spacing w:line="157" w:lineRule="exact" w:before="1"/>
              <w:ind w:left="74"/>
              <w:rPr>
                <w:i/>
                <w:sz w:val="15"/>
              </w:rPr>
            </w:pPr>
            <w:r>
              <w:rPr>
                <w:i/>
                <w:color w:val="231F20"/>
                <w:sz w:val="15"/>
              </w:rPr>
              <w:t>Simple</w:t>
            </w:r>
            <w:r>
              <w:rPr>
                <w:i/>
                <w:color w:val="231F20"/>
                <w:spacing w:val="7"/>
                <w:sz w:val="15"/>
              </w:rPr>
              <w:t> </w:t>
            </w:r>
            <w:r>
              <w:rPr>
                <w:i/>
                <w:color w:val="231F20"/>
                <w:sz w:val="15"/>
              </w:rPr>
              <w:t>Mendelian</w:t>
            </w:r>
            <w:r>
              <w:rPr>
                <w:i/>
                <w:color w:val="231F20"/>
                <w:spacing w:val="7"/>
                <w:sz w:val="15"/>
              </w:rPr>
              <w:t> </w:t>
            </w:r>
            <w:r>
              <w:rPr>
                <w:i/>
                <w:color w:val="231F20"/>
                <w:spacing w:val="-2"/>
                <w:sz w:val="15"/>
              </w:rPr>
              <w:t>Inheritance</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6" w:hRule="exact"/>
        </w:trPr>
        <w:tc>
          <w:tcPr>
            <w:tcW w:w="4870" w:type="dxa"/>
            <w:tcBorders>
              <w:right w:val="single" w:sz="4" w:space="0" w:color="231F20"/>
            </w:tcBorders>
            <w:shd w:val="clear" w:color="auto" w:fill="E8F5F1"/>
          </w:tcPr>
          <w:p>
            <w:pPr>
              <w:pStyle w:val="TableParagraph"/>
              <w:spacing w:line="146" w:lineRule="exact"/>
              <w:ind w:left="74"/>
              <w:rPr>
                <w:sz w:val="15"/>
              </w:rPr>
            </w:pPr>
            <w:r>
              <w:rPr>
                <w:color w:val="231F20"/>
                <w:sz w:val="15"/>
              </w:rPr>
              <w:t>Autosomal dominant</w:t>
            </w:r>
            <w:r>
              <w:rPr>
                <w:color w:val="231F20"/>
                <w:spacing w:val="1"/>
                <w:sz w:val="15"/>
              </w:rPr>
              <w:t> </w:t>
            </w:r>
            <w:r>
              <w:rPr>
                <w:color w:val="231F20"/>
                <w:sz w:val="15"/>
              </w:rPr>
              <w:t>(most </w:t>
            </w:r>
            <w:r>
              <w:rPr>
                <w:color w:val="231F20"/>
                <w:spacing w:val="-2"/>
                <w:sz w:val="15"/>
              </w:rPr>
              <w:t>common)</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Autosomal</w:t>
            </w:r>
            <w:r>
              <w:rPr>
                <w:color w:val="231F20"/>
                <w:spacing w:val="14"/>
                <w:sz w:val="15"/>
              </w:rPr>
              <w:t> </w:t>
            </w:r>
            <w:r>
              <w:rPr>
                <w:color w:val="231F20"/>
                <w:spacing w:val="-2"/>
                <w:sz w:val="15"/>
              </w:rPr>
              <w:t>recessive</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79" w:hRule="exact"/>
        </w:trPr>
        <w:tc>
          <w:tcPr>
            <w:tcW w:w="4870" w:type="dxa"/>
            <w:tcBorders>
              <w:right w:val="single" w:sz="4" w:space="0" w:color="231F20"/>
            </w:tcBorders>
            <w:shd w:val="clear" w:color="auto" w:fill="E8F5F1"/>
          </w:tcPr>
          <w:p>
            <w:pPr>
              <w:pStyle w:val="TableParagraph"/>
              <w:spacing w:line="160" w:lineRule="exact"/>
              <w:ind w:left="74"/>
              <w:rPr>
                <w:sz w:val="15"/>
              </w:rPr>
            </w:pPr>
            <w:r>
              <w:rPr>
                <w:color w:val="231F20"/>
                <w:sz w:val="15"/>
              </w:rPr>
              <w:t>X-</w:t>
            </w:r>
            <w:r>
              <w:rPr>
                <w:color w:val="231F20"/>
                <w:spacing w:val="-2"/>
                <w:sz w:val="15"/>
              </w:rPr>
              <w:t>linked</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81" w:hRule="exact"/>
        </w:trPr>
        <w:tc>
          <w:tcPr>
            <w:tcW w:w="4870" w:type="dxa"/>
            <w:tcBorders>
              <w:right w:val="single" w:sz="4" w:space="0" w:color="231F20"/>
            </w:tcBorders>
            <w:shd w:val="clear" w:color="auto" w:fill="E8F5F1"/>
          </w:tcPr>
          <w:p>
            <w:pPr>
              <w:pStyle w:val="TableParagraph"/>
              <w:spacing w:line="157" w:lineRule="exact" w:before="4"/>
              <w:ind w:left="74"/>
              <w:rPr>
                <w:i/>
                <w:sz w:val="15"/>
              </w:rPr>
            </w:pPr>
            <w:r>
              <w:rPr>
                <w:i/>
                <w:color w:val="231F20"/>
                <w:sz w:val="15"/>
              </w:rPr>
              <w:t>Major</w:t>
            </w:r>
            <w:r>
              <w:rPr>
                <w:i/>
                <w:color w:val="231F20"/>
                <w:spacing w:val="17"/>
                <w:sz w:val="15"/>
              </w:rPr>
              <w:t> </w:t>
            </w:r>
            <w:r>
              <w:rPr>
                <w:i/>
                <w:color w:val="231F20"/>
                <w:sz w:val="15"/>
              </w:rPr>
              <w:t>Chromosomal</w:t>
            </w:r>
            <w:r>
              <w:rPr>
                <w:i/>
                <w:color w:val="231F20"/>
                <w:spacing w:val="18"/>
                <w:sz w:val="15"/>
              </w:rPr>
              <w:t> </w:t>
            </w:r>
            <w:r>
              <w:rPr>
                <w:i/>
                <w:color w:val="231F20"/>
                <w:spacing w:val="-2"/>
                <w:sz w:val="15"/>
              </w:rPr>
              <w:t>Defects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87" w:hRule="exact"/>
        </w:trPr>
        <w:tc>
          <w:tcPr>
            <w:tcW w:w="4870" w:type="dxa"/>
            <w:vMerge w:val="restart"/>
            <w:tcBorders>
              <w:right w:val="single" w:sz="4" w:space="0" w:color="231F20"/>
            </w:tcBorders>
            <w:shd w:val="clear" w:color="auto" w:fill="E8F5F1"/>
          </w:tcPr>
          <w:p>
            <w:pPr>
              <w:pStyle w:val="TableParagraph"/>
              <w:spacing w:line="164" w:lineRule="exact"/>
              <w:ind w:left="74"/>
              <w:rPr>
                <w:sz w:val="15"/>
              </w:rPr>
            </w:pPr>
            <w:r>
              <w:rPr>
                <w:color w:val="231F20"/>
                <w:spacing w:val="-2"/>
                <w:sz w:val="15"/>
              </w:rPr>
              <w:t>Trisomy</w:t>
            </w:r>
            <w:r>
              <w:rPr>
                <w:color w:val="231F20"/>
                <w:spacing w:val="-3"/>
                <w:sz w:val="15"/>
              </w:rPr>
              <w:t> </w:t>
            </w:r>
            <w:r>
              <w:rPr>
                <w:color w:val="231F20"/>
                <w:spacing w:val="-2"/>
                <w:sz w:val="15"/>
              </w:rPr>
              <w:t>disorders (13, 18, </w:t>
            </w:r>
            <w:r>
              <w:rPr>
                <w:color w:val="231F20"/>
                <w:spacing w:val="-5"/>
                <w:sz w:val="15"/>
              </w:rPr>
              <w:t>21)</w:t>
            </w:r>
          </w:p>
          <w:p>
            <w:pPr>
              <w:pStyle w:val="TableParagraph"/>
              <w:spacing w:line="146" w:lineRule="exact"/>
              <w:ind w:left="74"/>
              <w:rPr>
                <w:sz w:val="15"/>
              </w:rPr>
            </w:pPr>
            <w:r>
              <w:rPr>
                <w:color w:val="231F20"/>
                <w:sz w:val="15"/>
              </w:rPr>
              <w:t>Turner</w:t>
            </w:r>
            <w:r>
              <w:rPr>
                <w:color w:val="231F20"/>
                <w:spacing w:val="-5"/>
                <w:sz w:val="15"/>
              </w:rPr>
              <w:t> </w:t>
            </w:r>
            <w:r>
              <w:rPr>
                <w:color w:val="231F20"/>
                <w:sz w:val="15"/>
              </w:rPr>
              <w:t>syndrome</w:t>
            </w:r>
            <w:r>
              <w:rPr>
                <w:color w:val="231F20"/>
                <w:spacing w:val="-5"/>
                <w:sz w:val="15"/>
              </w:rPr>
              <w:t> </w:t>
            </w:r>
            <w:r>
              <w:rPr>
                <w:color w:val="231F20"/>
                <w:spacing w:val="-2"/>
                <w:sz w:val="15"/>
              </w:rPr>
              <w:t>(45X)</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236" w:hRule="exact"/>
        </w:trPr>
        <w:tc>
          <w:tcPr>
            <w:tcW w:w="4870" w:type="dxa"/>
            <w:vMerge/>
            <w:tcBorders>
              <w:top w:val="nil"/>
              <w:right w:val="single" w:sz="4" w:space="0" w:color="231F20"/>
            </w:tcBorders>
            <w:shd w:val="clear" w:color="auto" w:fill="E8F5F1"/>
          </w:tcPr>
          <w:p>
            <w:pPr>
              <w:rPr>
                <w:sz w:val="2"/>
                <w:szCs w:val="2"/>
              </w:rPr>
            </w:pPr>
          </w:p>
        </w:tc>
        <w:tc>
          <w:tcPr>
            <w:tcW w:w="4870" w:type="dxa"/>
            <w:tcBorders>
              <w:top w:val="single" w:sz="4" w:space="0" w:color="FFFFFF"/>
              <w:left w:val="single" w:sz="4" w:space="0" w:color="231F20"/>
            </w:tcBorders>
            <w:shd w:val="clear" w:color="auto" w:fill="E8F5F1"/>
          </w:tcPr>
          <w:p>
            <w:pPr>
              <w:pStyle w:val="TableParagraph"/>
              <w:spacing w:line="169" w:lineRule="exact" w:before="43"/>
              <w:ind w:left="69"/>
              <w:rPr>
                <w:sz w:val="15"/>
              </w:rPr>
            </w:pPr>
            <w:r>
              <w:rPr>
                <w:color w:val="231F20"/>
                <w:spacing w:val="-2"/>
                <w:w w:val="115"/>
                <w:sz w:val="15"/>
              </w:rPr>
              <w:t>ENDOCRINOPATHIES</w:t>
            </w: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8" w:lineRule="exact"/>
              <w:ind w:left="69"/>
              <w:rPr>
                <w:sz w:val="15"/>
              </w:rPr>
            </w:pPr>
            <w:r>
              <w:rPr>
                <w:color w:val="231F20"/>
                <w:sz w:val="15"/>
              </w:rPr>
              <w:t>Hypocalcemia</w:t>
            </w:r>
            <w:r>
              <w:rPr>
                <w:color w:val="231F20"/>
                <w:spacing w:val="1"/>
                <w:sz w:val="15"/>
              </w:rPr>
              <w:t> </w:t>
            </w:r>
            <w:r>
              <w:rPr>
                <w:color w:val="231F20"/>
                <w:spacing w:val="-2"/>
                <w:sz w:val="15"/>
              </w:rPr>
              <w:t>(hypoparathyroidism)</w:t>
            </w:r>
          </w:p>
        </w:tc>
      </w:tr>
      <w:tr>
        <w:trPr>
          <w:trHeight w:val="162" w:hRule="exact"/>
        </w:trPr>
        <w:tc>
          <w:tcPr>
            <w:tcW w:w="4870" w:type="dxa"/>
            <w:vMerge w:val="restart"/>
            <w:tcBorders>
              <w:right w:val="single" w:sz="4" w:space="0" w:color="231F20"/>
            </w:tcBorders>
            <w:shd w:val="clear" w:color="auto" w:fill="E8F5F1"/>
          </w:tcPr>
          <w:p>
            <w:pPr>
              <w:pStyle w:val="TableParagraph"/>
              <w:spacing w:line="147" w:lineRule="exact" w:before="1"/>
              <w:ind w:left="74"/>
              <w:rPr>
                <w:sz w:val="15"/>
              </w:rPr>
            </w:pPr>
            <w:r>
              <w:rPr>
                <w:color w:val="231F20"/>
                <w:sz w:val="15"/>
              </w:rPr>
              <w:t>Deletion</w:t>
            </w:r>
            <w:r>
              <w:rPr>
                <w:color w:val="231F20"/>
                <w:spacing w:val="-8"/>
                <w:sz w:val="15"/>
              </w:rPr>
              <w:t> </w:t>
            </w:r>
            <w:r>
              <w:rPr>
                <w:color w:val="231F20"/>
                <w:sz w:val="15"/>
              </w:rPr>
              <w:t>syndromes</w:t>
            </w:r>
            <w:r>
              <w:rPr>
                <w:color w:val="231F20"/>
                <w:spacing w:val="-8"/>
                <w:sz w:val="15"/>
              </w:rPr>
              <w:t> </w:t>
            </w:r>
            <w:r>
              <w:rPr>
                <w:color w:val="231F20"/>
                <w:sz w:val="15"/>
              </w:rPr>
              <w:t>(11p13,</w:t>
            </w:r>
            <w:r>
              <w:rPr>
                <w:color w:val="231F20"/>
                <w:spacing w:val="-8"/>
                <w:sz w:val="15"/>
              </w:rPr>
              <w:t> </w:t>
            </w:r>
            <w:r>
              <w:rPr>
                <w:color w:val="231F20"/>
                <w:sz w:val="15"/>
              </w:rPr>
              <w:t>18p,</w:t>
            </w:r>
            <w:r>
              <w:rPr>
                <w:color w:val="231F20"/>
                <w:spacing w:val="-8"/>
                <w:sz w:val="15"/>
              </w:rPr>
              <w:t> </w:t>
            </w:r>
            <w:r>
              <w:rPr>
                <w:color w:val="231F20"/>
                <w:spacing w:val="-4"/>
                <w:sz w:val="15"/>
              </w:rPr>
              <w:t>18q)</w:t>
            </w:r>
          </w:p>
        </w:tc>
        <w:tc>
          <w:tcPr>
            <w:tcW w:w="4870" w:type="dxa"/>
            <w:vMerge/>
            <w:tcBorders>
              <w:top w:val="nil"/>
              <w:left w:val="single" w:sz="4" w:space="0" w:color="231F20"/>
            </w:tcBorders>
            <w:shd w:val="clear" w:color="auto" w:fill="E8F5F1"/>
          </w:tcPr>
          <w:p>
            <w:pPr>
              <w:rPr>
                <w:sz w:val="2"/>
                <w:szCs w:val="2"/>
              </w:rPr>
            </w:pPr>
          </w:p>
        </w:tc>
      </w:tr>
      <w:tr>
        <w:trPr>
          <w:trHeight w:val="6"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bottom w:val="single" w:sz="4" w:space="0" w:color="FFFFFF"/>
            </w:tcBorders>
            <w:shd w:val="clear" w:color="auto" w:fill="E8F5F1"/>
          </w:tcPr>
          <w:p>
            <w:pPr>
              <w:pStyle w:val="TableParagraph"/>
              <w:spacing w:line="154" w:lineRule="exact"/>
              <w:ind w:left="69"/>
              <w:rPr>
                <w:sz w:val="15"/>
              </w:rPr>
            </w:pPr>
            <w:r>
              <w:rPr>
                <w:color w:val="231F20"/>
                <w:spacing w:val="-2"/>
                <w:sz w:val="15"/>
              </w:rPr>
              <w:t>Hypoglycemia</w:t>
            </w:r>
          </w:p>
          <w:p>
            <w:pPr>
              <w:pStyle w:val="TableParagraph"/>
              <w:spacing w:line="172" w:lineRule="exact"/>
              <w:ind w:left="69"/>
              <w:rPr>
                <w:sz w:val="15"/>
              </w:rPr>
            </w:pPr>
            <w:r>
              <w:rPr>
                <w:color w:val="231F20"/>
                <w:sz w:val="15"/>
              </w:rPr>
              <w:t>Diabetes</w:t>
            </w:r>
            <w:r>
              <w:rPr>
                <w:color w:val="231F20"/>
                <w:spacing w:val="12"/>
                <w:sz w:val="15"/>
              </w:rPr>
              <w:t> </w:t>
            </w:r>
            <w:r>
              <w:rPr>
                <w:color w:val="231F20"/>
                <w:spacing w:val="-2"/>
                <w:sz w:val="15"/>
              </w:rPr>
              <w:t>mellitus</w:t>
            </w:r>
          </w:p>
        </w:tc>
      </w:tr>
      <w:tr>
        <w:trPr>
          <w:trHeight w:val="360" w:hRule="exact"/>
        </w:trPr>
        <w:tc>
          <w:tcPr>
            <w:tcW w:w="4870" w:type="dxa"/>
            <w:tcBorders>
              <w:right w:val="single" w:sz="4" w:space="0" w:color="231F20"/>
            </w:tcBorders>
            <w:shd w:val="clear" w:color="auto" w:fill="E8F5F1"/>
          </w:tcPr>
          <w:p>
            <w:pPr>
              <w:pStyle w:val="TableParagraph"/>
              <w:spacing w:before="2"/>
              <w:ind w:left="74"/>
              <w:rPr>
                <w:sz w:val="15"/>
              </w:rPr>
            </w:pPr>
            <w:r>
              <w:rPr>
                <w:color w:val="231F20"/>
                <w:sz w:val="15"/>
              </w:rPr>
              <w:t>Duplication</w:t>
            </w:r>
            <w:r>
              <w:rPr>
                <w:color w:val="231F20"/>
                <w:spacing w:val="-7"/>
                <w:sz w:val="15"/>
              </w:rPr>
              <w:t> </w:t>
            </w:r>
            <w:r>
              <w:rPr>
                <w:color w:val="231F20"/>
                <w:sz w:val="15"/>
              </w:rPr>
              <w:t>syndromes</w:t>
            </w:r>
            <w:r>
              <w:rPr>
                <w:color w:val="231F20"/>
                <w:spacing w:val="-7"/>
                <w:sz w:val="15"/>
              </w:rPr>
              <w:t> </w:t>
            </w:r>
            <w:r>
              <w:rPr>
                <w:color w:val="231F20"/>
                <w:sz w:val="15"/>
              </w:rPr>
              <w:t>(3q,</w:t>
            </w:r>
            <w:r>
              <w:rPr>
                <w:color w:val="231F20"/>
                <w:spacing w:val="-8"/>
                <w:sz w:val="15"/>
              </w:rPr>
              <w:t> </w:t>
            </w:r>
            <w:r>
              <w:rPr>
                <w:color w:val="231F20"/>
                <w:sz w:val="15"/>
              </w:rPr>
              <w:t>20p,</w:t>
            </w:r>
            <w:r>
              <w:rPr>
                <w:color w:val="231F20"/>
                <w:spacing w:val="-7"/>
                <w:sz w:val="15"/>
              </w:rPr>
              <w:t> </w:t>
            </w:r>
            <w:r>
              <w:rPr>
                <w:color w:val="231F20"/>
                <w:spacing w:val="-4"/>
                <w:sz w:val="15"/>
              </w:rPr>
              <w:t>10q)</w:t>
            </w:r>
          </w:p>
          <w:p>
            <w:pPr>
              <w:pStyle w:val="TableParagraph"/>
              <w:spacing w:line="150" w:lineRule="exact" w:before="15"/>
              <w:ind w:left="74"/>
              <w:rPr>
                <w:i/>
                <w:sz w:val="15"/>
              </w:rPr>
            </w:pPr>
            <w:r>
              <w:rPr>
                <w:i/>
                <w:color w:val="231F20"/>
                <w:sz w:val="15"/>
              </w:rPr>
              <w:t>Multisystem</w:t>
            </w:r>
            <w:r>
              <w:rPr>
                <w:i/>
                <w:color w:val="231F20"/>
                <w:spacing w:val="2"/>
                <w:sz w:val="15"/>
              </w:rPr>
              <w:t> </w:t>
            </w:r>
            <w:r>
              <w:rPr>
                <w:i/>
                <w:color w:val="231F20"/>
                <w:sz w:val="15"/>
              </w:rPr>
              <w:t>Genetic</w:t>
            </w:r>
            <w:r>
              <w:rPr>
                <w:i/>
                <w:color w:val="231F20"/>
                <w:spacing w:val="3"/>
                <w:sz w:val="15"/>
              </w:rPr>
              <w:t> </w:t>
            </w:r>
            <w:r>
              <w:rPr>
                <w:i/>
                <w:color w:val="231F20"/>
                <w:spacing w:val="-2"/>
                <w:sz w:val="15"/>
              </w:rPr>
              <w:t>Disorders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73" w:hRule="exact"/>
        </w:trPr>
        <w:tc>
          <w:tcPr>
            <w:tcW w:w="4870" w:type="dxa"/>
            <w:tcBorders>
              <w:right w:val="single" w:sz="4" w:space="0" w:color="231F20"/>
            </w:tcBorders>
            <w:shd w:val="clear" w:color="auto" w:fill="E8F5F1"/>
          </w:tcPr>
          <w:p>
            <w:pPr>
              <w:pStyle w:val="TableParagraph"/>
              <w:spacing w:line="154" w:lineRule="exact"/>
              <w:ind w:left="74"/>
              <w:rPr>
                <w:sz w:val="15"/>
              </w:rPr>
            </w:pPr>
            <w:r>
              <w:rPr>
                <w:color w:val="231F20"/>
                <w:sz w:val="15"/>
              </w:rPr>
              <w:t>Alport</w:t>
            </w:r>
            <w:r>
              <w:rPr>
                <w:color w:val="231F20"/>
                <w:spacing w:val="-7"/>
                <w:sz w:val="15"/>
              </w:rPr>
              <w:t> </w:t>
            </w:r>
            <w:r>
              <w:rPr>
                <w:color w:val="231F20"/>
                <w:sz w:val="15"/>
              </w:rPr>
              <w:t>syndrome</w:t>
            </w:r>
            <w:r>
              <w:rPr>
                <w:color w:val="231F20"/>
                <w:spacing w:val="-7"/>
                <w:sz w:val="15"/>
              </w:rPr>
              <w:t> </w:t>
            </w:r>
            <w:r>
              <w:rPr>
                <w:color w:val="231F20"/>
                <w:sz w:val="15"/>
              </w:rPr>
              <w:t>(hearing</w:t>
            </w:r>
            <w:r>
              <w:rPr>
                <w:color w:val="231F20"/>
                <w:spacing w:val="-7"/>
                <w:sz w:val="15"/>
              </w:rPr>
              <w:t> </w:t>
            </w:r>
            <w:r>
              <w:rPr>
                <w:color w:val="231F20"/>
                <w:sz w:val="15"/>
              </w:rPr>
              <w:t>loss,</w:t>
            </w:r>
            <w:r>
              <w:rPr>
                <w:color w:val="231F20"/>
                <w:spacing w:val="-7"/>
                <w:sz w:val="15"/>
              </w:rPr>
              <w:t> </w:t>
            </w:r>
            <w:r>
              <w:rPr>
                <w:color w:val="231F20"/>
                <w:sz w:val="15"/>
              </w:rPr>
              <w:t>renal</w:t>
            </w:r>
            <w:r>
              <w:rPr>
                <w:color w:val="231F20"/>
                <w:spacing w:val="-7"/>
                <w:sz w:val="15"/>
              </w:rPr>
              <w:t> </w:t>
            </w:r>
            <w:r>
              <w:rPr>
                <w:color w:val="231F20"/>
                <w:spacing w:val="-2"/>
                <w:sz w:val="15"/>
              </w:rPr>
              <w:t>disease)</w:t>
            </w:r>
          </w:p>
        </w:tc>
        <w:tc>
          <w:tcPr>
            <w:tcW w:w="4870" w:type="dxa"/>
            <w:vMerge w:val="restart"/>
            <w:tcBorders>
              <w:top w:val="single" w:sz="4" w:space="0" w:color="FFFFFF"/>
              <w:left w:val="single" w:sz="4" w:space="0" w:color="231F20"/>
              <w:bottom w:val="single" w:sz="4" w:space="0" w:color="FFFFFF"/>
            </w:tcBorders>
            <w:shd w:val="clear" w:color="auto" w:fill="E8F5F1"/>
          </w:tcPr>
          <w:p>
            <w:pPr>
              <w:pStyle w:val="TableParagraph"/>
              <w:spacing w:line="172" w:lineRule="exact" w:before="43"/>
              <w:ind w:left="69"/>
              <w:rPr>
                <w:sz w:val="15"/>
              </w:rPr>
            </w:pPr>
            <w:r>
              <w:rPr>
                <w:color w:val="231F20"/>
                <w:w w:val="115"/>
                <w:sz w:val="15"/>
              </w:rPr>
              <w:t>CONGENITAL</w:t>
            </w:r>
            <w:r>
              <w:rPr>
                <w:color w:val="231F20"/>
                <w:spacing w:val="-12"/>
                <w:w w:val="115"/>
                <w:sz w:val="15"/>
              </w:rPr>
              <w:t> </w:t>
            </w:r>
            <w:r>
              <w:rPr>
                <w:color w:val="231F20"/>
                <w:spacing w:val="-2"/>
                <w:w w:val="115"/>
                <w:sz w:val="15"/>
              </w:rPr>
              <w:t>INFECTIONS</w:t>
            </w:r>
          </w:p>
          <w:p>
            <w:pPr>
              <w:pStyle w:val="TableParagraph"/>
              <w:spacing w:line="232" w:lineRule="auto" w:before="2"/>
              <w:ind w:left="69" w:right="2987"/>
              <w:rPr>
                <w:sz w:val="15"/>
              </w:rPr>
            </w:pPr>
            <w:r>
              <w:rPr>
                <w:color w:val="231F20"/>
                <w:spacing w:val="-2"/>
                <w:sz w:val="15"/>
              </w:rPr>
              <w:t>Toxoplasmosis Cytomegalovirus</w:t>
            </w:r>
            <w:r>
              <w:rPr>
                <w:color w:val="231F20"/>
                <w:spacing w:val="-3"/>
                <w:sz w:val="15"/>
              </w:rPr>
              <w:t> </w:t>
            </w:r>
            <w:r>
              <w:rPr>
                <w:color w:val="231F20"/>
                <w:spacing w:val="-2"/>
                <w:sz w:val="15"/>
              </w:rPr>
              <w:t>infection Syphilis</w:t>
            </w:r>
          </w:p>
          <w:p>
            <w:pPr>
              <w:pStyle w:val="TableParagraph"/>
              <w:spacing w:line="169" w:lineRule="exact"/>
              <w:ind w:left="69"/>
              <w:rPr>
                <w:sz w:val="15"/>
              </w:rPr>
            </w:pPr>
            <w:r>
              <w:rPr>
                <w:color w:val="231F20"/>
                <w:spacing w:val="-2"/>
                <w:sz w:val="15"/>
              </w:rPr>
              <w:t>Rubella</w:t>
            </w:r>
          </w:p>
          <w:p>
            <w:pPr>
              <w:pStyle w:val="TableParagraph"/>
              <w:spacing w:line="232" w:lineRule="auto" w:before="2"/>
              <w:ind w:left="69" w:right="2197"/>
              <w:rPr>
                <w:sz w:val="15"/>
              </w:rPr>
            </w:pPr>
            <w:r>
              <w:rPr>
                <w:color w:val="231F20"/>
                <w:spacing w:val="-2"/>
                <w:sz w:val="15"/>
              </w:rPr>
              <w:t>Perinatal</w:t>
            </w:r>
            <w:r>
              <w:rPr>
                <w:color w:val="231F20"/>
                <w:spacing w:val="-10"/>
                <w:sz w:val="15"/>
              </w:rPr>
              <w:t> </w:t>
            </w:r>
            <w:r>
              <w:rPr>
                <w:color w:val="231F20"/>
                <w:spacing w:val="-2"/>
                <w:sz w:val="15"/>
              </w:rPr>
              <w:t>herpes</w:t>
            </w:r>
            <w:r>
              <w:rPr>
                <w:color w:val="231F20"/>
                <w:spacing w:val="-9"/>
                <w:sz w:val="15"/>
              </w:rPr>
              <w:t> </w:t>
            </w:r>
            <w:r>
              <w:rPr>
                <w:color w:val="231F20"/>
                <w:spacing w:val="-2"/>
                <w:sz w:val="15"/>
              </w:rPr>
              <w:t>simplex</w:t>
            </w:r>
            <w:r>
              <w:rPr>
                <w:color w:val="231F20"/>
                <w:spacing w:val="-9"/>
                <w:sz w:val="15"/>
              </w:rPr>
              <w:t> </w:t>
            </w:r>
            <w:r>
              <w:rPr>
                <w:color w:val="231F20"/>
                <w:spacing w:val="-2"/>
                <w:sz w:val="15"/>
              </w:rPr>
              <w:t>infection </w:t>
            </w:r>
            <w:r>
              <w:rPr>
                <w:color w:val="231F20"/>
                <w:sz w:val="15"/>
              </w:rPr>
              <w:t>Measles (rubeola)</w:t>
            </w:r>
          </w:p>
          <w:p>
            <w:pPr>
              <w:pStyle w:val="TableParagraph"/>
              <w:spacing w:line="232" w:lineRule="auto"/>
              <w:ind w:left="69" w:right="3790"/>
              <w:rPr>
                <w:sz w:val="15"/>
              </w:rPr>
            </w:pPr>
            <w:r>
              <w:rPr>
                <w:color w:val="231F20"/>
                <w:spacing w:val="-2"/>
                <w:sz w:val="15"/>
              </w:rPr>
              <w:t>Poliomyelitis Influenza </w:t>
            </w:r>
            <w:r>
              <w:rPr>
                <w:color w:val="231F20"/>
                <w:spacing w:val="-4"/>
                <w:sz w:val="15"/>
              </w:rPr>
              <w:t>Varicella-</w:t>
            </w:r>
            <w:r>
              <w:rPr>
                <w:color w:val="231F20"/>
                <w:spacing w:val="-4"/>
                <w:sz w:val="15"/>
              </w:rPr>
              <w:t>zoster</w:t>
            </w: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Alström</w:t>
            </w:r>
            <w:r>
              <w:rPr>
                <w:color w:val="231F20"/>
                <w:spacing w:val="-6"/>
                <w:sz w:val="15"/>
              </w:rPr>
              <w:t> </w:t>
            </w:r>
            <w:r>
              <w:rPr>
                <w:color w:val="231F20"/>
                <w:sz w:val="15"/>
              </w:rPr>
              <w:t>syndrome</w:t>
            </w:r>
            <w:r>
              <w:rPr>
                <w:color w:val="231F20"/>
                <w:spacing w:val="-5"/>
                <w:sz w:val="15"/>
              </w:rPr>
              <w:t> </w:t>
            </w:r>
            <w:r>
              <w:rPr>
                <w:color w:val="231F20"/>
                <w:sz w:val="15"/>
              </w:rPr>
              <w:t>(nerve</w:t>
            </w:r>
            <w:r>
              <w:rPr>
                <w:color w:val="231F20"/>
                <w:spacing w:val="-6"/>
                <w:sz w:val="15"/>
              </w:rPr>
              <w:t> </w:t>
            </w:r>
            <w:r>
              <w:rPr>
                <w:color w:val="231F20"/>
                <w:sz w:val="15"/>
              </w:rPr>
              <w:t>deafness,</w:t>
            </w:r>
            <w:r>
              <w:rPr>
                <w:color w:val="231F20"/>
                <w:spacing w:val="-5"/>
                <w:sz w:val="15"/>
              </w:rPr>
              <w:t> </w:t>
            </w:r>
            <w:r>
              <w:rPr>
                <w:color w:val="231F20"/>
                <w:sz w:val="15"/>
              </w:rPr>
              <w:t>diabetes</w:t>
            </w:r>
            <w:r>
              <w:rPr>
                <w:color w:val="231F20"/>
                <w:spacing w:val="-6"/>
                <w:sz w:val="15"/>
              </w:rPr>
              <w:t> </w:t>
            </w:r>
            <w:r>
              <w:rPr>
                <w:color w:val="231F20"/>
                <w:spacing w:val="-2"/>
                <w:sz w:val="15"/>
              </w:rPr>
              <w:t>mellitus)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Apert</w:t>
            </w:r>
            <w:r>
              <w:rPr>
                <w:color w:val="231F20"/>
                <w:spacing w:val="-9"/>
                <w:sz w:val="15"/>
              </w:rPr>
              <w:t> </w:t>
            </w:r>
            <w:r>
              <w:rPr>
                <w:color w:val="231F20"/>
                <w:sz w:val="15"/>
              </w:rPr>
              <w:t>disease</w:t>
            </w:r>
            <w:r>
              <w:rPr>
                <w:color w:val="231F20"/>
                <w:spacing w:val="-8"/>
                <w:sz w:val="15"/>
              </w:rPr>
              <w:t> </w:t>
            </w:r>
            <w:r>
              <w:rPr>
                <w:color w:val="231F20"/>
                <w:sz w:val="15"/>
              </w:rPr>
              <w:t>(craniosynostosis,</w:t>
            </w:r>
            <w:r>
              <w:rPr>
                <w:color w:val="231F20"/>
                <w:spacing w:val="-8"/>
                <w:sz w:val="15"/>
              </w:rPr>
              <w:t> </w:t>
            </w:r>
            <w:r>
              <w:rPr>
                <w:color w:val="231F20"/>
                <w:spacing w:val="-2"/>
                <w:sz w:val="15"/>
              </w:rPr>
              <w:t>syndactyly)</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Cerebrooculofacial</w:t>
            </w:r>
            <w:r>
              <w:rPr>
                <w:color w:val="231F20"/>
                <w:spacing w:val="24"/>
                <w:sz w:val="15"/>
              </w:rPr>
              <w:t> </w:t>
            </w:r>
            <w:r>
              <w:rPr>
                <w:color w:val="231F20"/>
                <w:spacing w:val="-2"/>
                <w:sz w:val="15"/>
              </w:rPr>
              <w:t>syndrome</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Cockayne</w:t>
            </w:r>
            <w:r>
              <w:rPr>
                <w:color w:val="231F20"/>
                <w:spacing w:val="1"/>
                <w:sz w:val="15"/>
              </w:rPr>
              <w:t> </w:t>
            </w:r>
            <w:r>
              <w:rPr>
                <w:color w:val="231F20"/>
                <w:spacing w:val="-2"/>
                <w:sz w:val="15"/>
              </w:rPr>
              <w:t>syndrome</w:t>
            </w:r>
            <w:r>
              <w:rPr>
                <w:color w:val="231F20"/>
                <w:spacing w:val="1"/>
                <w:sz w:val="15"/>
              </w:rPr>
              <w:t> </w:t>
            </w:r>
            <w:r>
              <w:rPr>
                <w:color w:val="231F20"/>
                <w:spacing w:val="-2"/>
                <w:sz w:val="15"/>
              </w:rPr>
              <w:t>(premature</w:t>
            </w:r>
            <w:r>
              <w:rPr>
                <w:color w:val="231F20"/>
                <w:spacing w:val="2"/>
                <w:sz w:val="15"/>
              </w:rPr>
              <w:t> </w:t>
            </w:r>
            <w:r>
              <w:rPr>
                <w:color w:val="231F20"/>
                <w:spacing w:val="-2"/>
                <w:sz w:val="15"/>
              </w:rPr>
              <w:t>senility,</w:t>
            </w:r>
            <w:r>
              <w:rPr>
                <w:color w:val="231F20"/>
                <w:spacing w:val="1"/>
                <w:sz w:val="15"/>
              </w:rPr>
              <w:t> </w:t>
            </w:r>
            <w:r>
              <w:rPr>
                <w:color w:val="231F20"/>
                <w:spacing w:val="-2"/>
                <w:sz w:val="15"/>
              </w:rPr>
              <w:t>skin</w:t>
            </w:r>
            <w:r>
              <w:rPr>
                <w:color w:val="231F20"/>
                <w:spacing w:val="2"/>
                <w:sz w:val="15"/>
              </w:rPr>
              <w:t> </w:t>
            </w:r>
            <w:r>
              <w:rPr>
                <w:color w:val="231F20"/>
                <w:spacing w:val="-2"/>
                <w:sz w:val="15"/>
              </w:rPr>
              <w:t>photosensitivity)</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Conradi</w:t>
            </w:r>
            <w:r>
              <w:rPr>
                <w:color w:val="231F20"/>
                <w:spacing w:val="2"/>
                <w:sz w:val="15"/>
              </w:rPr>
              <w:t> </w:t>
            </w:r>
            <w:r>
              <w:rPr>
                <w:color w:val="231F20"/>
                <w:sz w:val="15"/>
              </w:rPr>
              <w:t>disease</w:t>
            </w:r>
            <w:r>
              <w:rPr>
                <w:color w:val="231F20"/>
                <w:spacing w:val="2"/>
                <w:sz w:val="15"/>
              </w:rPr>
              <w:t> </w:t>
            </w:r>
            <w:r>
              <w:rPr>
                <w:color w:val="231F20"/>
                <w:sz w:val="15"/>
              </w:rPr>
              <w:t>(chondrodysplasia</w:t>
            </w:r>
            <w:r>
              <w:rPr>
                <w:color w:val="231F20"/>
                <w:spacing w:val="2"/>
                <w:sz w:val="15"/>
              </w:rPr>
              <w:t> </w:t>
            </w:r>
            <w:r>
              <w:rPr>
                <w:color w:val="231F20"/>
                <w:spacing w:val="-2"/>
                <w:sz w:val="15"/>
              </w:rPr>
              <w:t>punctata)</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Crouzon</w:t>
            </w:r>
            <w:r>
              <w:rPr>
                <w:color w:val="231F20"/>
                <w:spacing w:val="5"/>
                <w:sz w:val="15"/>
              </w:rPr>
              <w:t> </w:t>
            </w:r>
            <w:r>
              <w:rPr>
                <w:color w:val="231F20"/>
                <w:sz w:val="15"/>
              </w:rPr>
              <w:t>disease</w:t>
            </w:r>
            <w:r>
              <w:rPr>
                <w:color w:val="231F20"/>
                <w:spacing w:val="6"/>
                <w:sz w:val="15"/>
              </w:rPr>
              <w:t> </w:t>
            </w:r>
            <w:r>
              <w:rPr>
                <w:color w:val="231F20"/>
                <w:sz w:val="15"/>
              </w:rPr>
              <w:t>(dysostosis</w:t>
            </w:r>
            <w:r>
              <w:rPr>
                <w:color w:val="231F20"/>
                <w:spacing w:val="6"/>
                <w:sz w:val="15"/>
              </w:rPr>
              <w:t> </w:t>
            </w:r>
            <w:r>
              <w:rPr>
                <w:color w:val="231F20"/>
                <w:spacing w:val="-2"/>
                <w:sz w:val="15"/>
              </w:rPr>
              <w:t>craniofacialis)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Ectodermal</w:t>
            </w:r>
            <w:r>
              <w:rPr>
                <w:color w:val="231F20"/>
                <w:spacing w:val="-7"/>
                <w:sz w:val="15"/>
              </w:rPr>
              <w:t> </w:t>
            </w:r>
            <w:r>
              <w:rPr>
                <w:color w:val="231F20"/>
                <w:spacing w:val="-2"/>
                <w:sz w:val="15"/>
              </w:rPr>
              <w:t>dysplasia</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Hallermann-Streiff</w:t>
            </w:r>
            <w:r>
              <w:rPr>
                <w:color w:val="231F20"/>
                <w:spacing w:val="-3"/>
                <w:sz w:val="15"/>
              </w:rPr>
              <w:t> </w:t>
            </w:r>
            <w:r>
              <w:rPr>
                <w:color w:val="231F20"/>
                <w:spacing w:val="-2"/>
                <w:sz w:val="15"/>
              </w:rPr>
              <w:t>syndrome (microphthalmia, small pinched nose,</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186"/>
              <w:rPr>
                <w:sz w:val="15"/>
              </w:rPr>
            </w:pPr>
            <w:r>
              <w:rPr>
                <w:color w:val="231F20"/>
                <w:sz w:val="15"/>
              </w:rPr>
              <w:t>skin</w:t>
            </w:r>
            <w:r>
              <w:rPr>
                <w:color w:val="231F20"/>
                <w:spacing w:val="-9"/>
                <w:sz w:val="15"/>
              </w:rPr>
              <w:t> </w:t>
            </w:r>
            <w:r>
              <w:rPr>
                <w:color w:val="231F20"/>
                <w:sz w:val="15"/>
              </w:rPr>
              <w:t>atrophy,</w:t>
            </w:r>
            <w:r>
              <w:rPr>
                <w:color w:val="231F20"/>
                <w:spacing w:val="-9"/>
                <w:sz w:val="15"/>
              </w:rPr>
              <w:t> </w:t>
            </w:r>
            <w:r>
              <w:rPr>
                <w:color w:val="231F20"/>
                <w:sz w:val="15"/>
              </w:rPr>
              <w:t>and</w:t>
            </w:r>
            <w:r>
              <w:rPr>
                <w:color w:val="231F20"/>
                <w:spacing w:val="-9"/>
                <w:sz w:val="15"/>
              </w:rPr>
              <w:t> </w:t>
            </w:r>
            <w:r>
              <w:rPr>
                <w:color w:val="231F20"/>
                <w:spacing w:val="-2"/>
                <w:sz w:val="15"/>
              </w:rPr>
              <w:t>hypotrichosis)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91" w:hRule="exact"/>
        </w:trPr>
        <w:tc>
          <w:tcPr>
            <w:tcW w:w="4870" w:type="dxa"/>
            <w:vMerge w:val="restart"/>
            <w:tcBorders>
              <w:right w:val="single" w:sz="4" w:space="0" w:color="231F20"/>
            </w:tcBorders>
            <w:shd w:val="clear" w:color="auto" w:fill="E8F5F1"/>
          </w:tcPr>
          <w:p>
            <w:pPr>
              <w:pStyle w:val="TableParagraph"/>
              <w:spacing w:line="168" w:lineRule="exact"/>
              <w:ind w:left="186" w:right="965" w:hanging="112"/>
              <w:rPr>
                <w:sz w:val="15"/>
              </w:rPr>
            </w:pPr>
            <w:r>
              <w:rPr>
                <w:color w:val="231F20"/>
                <w:sz w:val="15"/>
              </w:rPr>
              <w:t>Hypohidrotic</w:t>
            </w:r>
            <w:r>
              <w:rPr>
                <w:color w:val="231F20"/>
                <w:spacing w:val="-12"/>
                <w:sz w:val="15"/>
              </w:rPr>
              <w:t> </w:t>
            </w:r>
            <w:r>
              <w:rPr>
                <w:color w:val="231F20"/>
                <w:sz w:val="15"/>
              </w:rPr>
              <w:t>ectodermal</w:t>
            </w:r>
            <w:r>
              <w:rPr>
                <w:color w:val="231F20"/>
                <w:spacing w:val="-11"/>
                <w:sz w:val="15"/>
              </w:rPr>
              <w:t> </w:t>
            </w:r>
            <w:r>
              <w:rPr>
                <w:color w:val="231F20"/>
                <w:sz w:val="15"/>
              </w:rPr>
              <w:t>dysplasia</w:t>
            </w:r>
            <w:r>
              <w:rPr>
                <w:color w:val="231F20"/>
                <w:spacing w:val="-11"/>
                <w:sz w:val="15"/>
              </w:rPr>
              <w:t> </w:t>
            </w:r>
            <w:r>
              <w:rPr>
                <w:color w:val="231F20"/>
                <w:sz w:val="15"/>
              </w:rPr>
              <w:t>(anomalous</w:t>
            </w:r>
            <w:r>
              <w:rPr>
                <w:color w:val="231F20"/>
                <w:spacing w:val="-12"/>
                <w:sz w:val="15"/>
              </w:rPr>
              <w:t> </w:t>
            </w:r>
            <w:r>
              <w:rPr>
                <w:color w:val="231F20"/>
                <w:sz w:val="15"/>
              </w:rPr>
              <w:t>dentition, hypohidrosis, hypotrichosis)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235" w:hRule="exact"/>
        </w:trPr>
        <w:tc>
          <w:tcPr>
            <w:tcW w:w="4870" w:type="dxa"/>
            <w:vMerge/>
            <w:tcBorders>
              <w:top w:val="nil"/>
              <w:right w:val="single" w:sz="4" w:space="0" w:color="231F20"/>
            </w:tcBorders>
            <w:shd w:val="clear" w:color="auto" w:fill="E8F5F1"/>
          </w:tcPr>
          <w:p>
            <w:pPr>
              <w:rPr>
                <w:sz w:val="2"/>
                <w:szCs w:val="2"/>
              </w:rPr>
            </w:pPr>
          </w:p>
        </w:tc>
        <w:tc>
          <w:tcPr>
            <w:tcW w:w="4870" w:type="dxa"/>
            <w:tcBorders>
              <w:top w:val="single" w:sz="4" w:space="0" w:color="FFFFFF"/>
              <w:left w:val="single" w:sz="4" w:space="0" w:color="231F20"/>
            </w:tcBorders>
            <w:shd w:val="clear" w:color="auto" w:fill="E8F5F1"/>
          </w:tcPr>
          <w:p>
            <w:pPr>
              <w:pStyle w:val="TableParagraph"/>
              <w:spacing w:line="167" w:lineRule="exact" w:before="43"/>
              <w:ind w:left="69"/>
              <w:rPr>
                <w:sz w:val="15"/>
              </w:rPr>
            </w:pPr>
            <w:r>
              <w:rPr>
                <w:color w:val="231F20"/>
                <w:w w:val="110"/>
                <w:sz w:val="15"/>
              </w:rPr>
              <w:t>OCULAR</w:t>
            </w:r>
            <w:r>
              <w:rPr>
                <w:color w:val="231F20"/>
                <w:spacing w:val="8"/>
                <w:w w:val="115"/>
                <w:sz w:val="15"/>
              </w:rPr>
              <w:t> </w:t>
            </w:r>
            <w:r>
              <w:rPr>
                <w:color w:val="231F20"/>
                <w:spacing w:val="-2"/>
                <w:w w:val="115"/>
                <w:sz w:val="15"/>
              </w:rPr>
              <w:t>ANOMALIES</w:t>
            </w: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8" w:lineRule="exact"/>
              <w:ind w:left="69"/>
              <w:rPr>
                <w:sz w:val="15"/>
              </w:rPr>
            </w:pPr>
            <w:r>
              <w:rPr>
                <w:color w:val="231F20"/>
                <w:spacing w:val="-2"/>
                <w:sz w:val="15"/>
              </w:rPr>
              <w:t>Microphthalmia</w:t>
            </w:r>
          </w:p>
        </w:tc>
      </w:tr>
      <w:tr>
        <w:trPr>
          <w:trHeight w:val="162" w:hRule="exact"/>
        </w:trPr>
        <w:tc>
          <w:tcPr>
            <w:tcW w:w="4870" w:type="dxa"/>
            <w:vMerge w:val="restart"/>
            <w:tcBorders>
              <w:right w:val="single" w:sz="4" w:space="0" w:color="231F20"/>
            </w:tcBorders>
            <w:shd w:val="clear" w:color="auto" w:fill="E8F5F1"/>
          </w:tcPr>
          <w:p>
            <w:pPr>
              <w:pStyle w:val="TableParagraph"/>
              <w:spacing w:line="148" w:lineRule="exact"/>
              <w:ind w:left="74"/>
              <w:rPr>
                <w:sz w:val="15"/>
              </w:rPr>
            </w:pPr>
            <w:r>
              <w:rPr>
                <w:color w:val="231F20"/>
                <w:spacing w:val="-2"/>
                <w:sz w:val="15"/>
              </w:rPr>
              <w:t>Ichthyosis</w:t>
            </w:r>
            <w:r>
              <w:rPr>
                <w:color w:val="231F20"/>
                <w:spacing w:val="-8"/>
                <w:sz w:val="15"/>
              </w:rPr>
              <w:t> </w:t>
            </w:r>
            <w:r>
              <w:rPr>
                <w:color w:val="231F20"/>
                <w:spacing w:val="-2"/>
                <w:sz w:val="15"/>
              </w:rPr>
              <w:t>(keratinizing</w:t>
            </w:r>
            <w:r>
              <w:rPr>
                <w:color w:val="231F20"/>
                <w:spacing w:val="-8"/>
                <w:sz w:val="15"/>
              </w:rPr>
              <w:t> </w:t>
            </w:r>
            <w:r>
              <w:rPr>
                <w:color w:val="231F20"/>
                <w:spacing w:val="-2"/>
                <w:sz w:val="15"/>
              </w:rPr>
              <w:t>disorder</w:t>
            </w:r>
            <w:r>
              <w:rPr>
                <w:color w:val="231F20"/>
                <w:spacing w:val="-7"/>
                <w:sz w:val="15"/>
              </w:rPr>
              <w:t> </w:t>
            </w:r>
            <w:r>
              <w:rPr>
                <w:color w:val="231F20"/>
                <w:spacing w:val="-2"/>
                <w:sz w:val="15"/>
              </w:rPr>
              <w:t>with</w:t>
            </w:r>
            <w:r>
              <w:rPr>
                <w:color w:val="231F20"/>
                <w:spacing w:val="-8"/>
                <w:sz w:val="15"/>
              </w:rPr>
              <w:t> </w:t>
            </w:r>
            <w:r>
              <w:rPr>
                <w:color w:val="231F20"/>
                <w:spacing w:val="-2"/>
                <w:sz w:val="15"/>
              </w:rPr>
              <w:t>thick,</w:t>
            </w:r>
            <w:r>
              <w:rPr>
                <w:color w:val="231F20"/>
                <w:spacing w:val="-7"/>
                <w:sz w:val="15"/>
              </w:rPr>
              <w:t> </w:t>
            </w:r>
            <w:r>
              <w:rPr>
                <w:color w:val="231F20"/>
                <w:spacing w:val="-2"/>
                <w:sz w:val="15"/>
              </w:rPr>
              <w:t>scaly</w:t>
            </w:r>
            <w:r>
              <w:rPr>
                <w:color w:val="231F20"/>
                <w:spacing w:val="-8"/>
                <w:sz w:val="15"/>
              </w:rPr>
              <w:t> </w:t>
            </w:r>
            <w:r>
              <w:rPr>
                <w:color w:val="231F20"/>
                <w:spacing w:val="-2"/>
                <w:sz w:val="15"/>
              </w:rPr>
              <w:t>skin)</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pacing w:val="-2"/>
                <w:w w:val="105"/>
                <w:sz w:val="15"/>
              </w:rPr>
              <w:t>Coloboma</w:t>
            </w:r>
          </w:p>
        </w:tc>
      </w:tr>
      <w:tr>
        <w:trPr>
          <w:trHeight w:val="163" w:hRule="exact"/>
        </w:trPr>
        <w:tc>
          <w:tcPr>
            <w:tcW w:w="4870" w:type="dxa"/>
            <w:vMerge w:val="restart"/>
            <w:tcBorders>
              <w:right w:val="single" w:sz="4" w:space="0" w:color="231F20"/>
            </w:tcBorders>
            <w:shd w:val="clear" w:color="auto" w:fill="E8F5F1"/>
          </w:tcPr>
          <w:p>
            <w:pPr>
              <w:pStyle w:val="TableParagraph"/>
              <w:spacing w:line="147" w:lineRule="exact" w:before="1"/>
              <w:ind w:left="74"/>
              <w:rPr>
                <w:sz w:val="15"/>
              </w:rPr>
            </w:pPr>
            <w:r>
              <w:rPr>
                <w:color w:val="231F20"/>
                <w:spacing w:val="-2"/>
                <w:sz w:val="15"/>
              </w:rPr>
              <w:t>Incontinentia</w:t>
            </w:r>
            <w:r>
              <w:rPr>
                <w:color w:val="231F20"/>
                <w:spacing w:val="-1"/>
                <w:sz w:val="15"/>
              </w:rPr>
              <w:t> </w:t>
            </w:r>
            <w:r>
              <w:rPr>
                <w:color w:val="231F20"/>
                <w:spacing w:val="-2"/>
                <w:sz w:val="15"/>
              </w:rPr>
              <w:t>pigmenti</w:t>
            </w:r>
            <w:r>
              <w:rPr>
                <w:color w:val="231F20"/>
                <w:spacing w:val="-1"/>
                <w:sz w:val="15"/>
              </w:rPr>
              <w:t> </w:t>
            </w:r>
            <w:r>
              <w:rPr>
                <w:color w:val="231F20"/>
                <w:spacing w:val="-2"/>
                <w:sz w:val="15"/>
              </w:rPr>
              <w:t>(dental</w:t>
            </w:r>
            <w:r>
              <w:rPr>
                <w:color w:val="231F20"/>
                <w:spacing w:val="-1"/>
                <w:sz w:val="15"/>
              </w:rPr>
              <w:t> </w:t>
            </w:r>
            <w:r>
              <w:rPr>
                <w:color w:val="231F20"/>
                <w:spacing w:val="-2"/>
                <w:sz w:val="15"/>
              </w:rPr>
              <w:t>anomalies,</w:t>
            </w:r>
            <w:r>
              <w:rPr>
                <w:color w:val="231F20"/>
                <w:sz w:val="15"/>
              </w:rPr>
              <w:t> </w:t>
            </w:r>
            <w:r>
              <w:rPr>
                <w:color w:val="231F20"/>
                <w:spacing w:val="-2"/>
                <w:sz w:val="15"/>
              </w:rPr>
              <w:t>mental</w:t>
            </w:r>
            <w:r>
              <w:rPr>
                <w:color w:val="231F20"/>
                <w:spacing w:val="-1"/>
                <w:sz w:val="15"/>
              </w:rPr>
              <w:t> </w:t>
            </w:r>
            <w:r>
              <w:rPr>
                <w:color w:val="231F20"/>
                <w:spacing w:val="-2"/>
                <w:sz w:val="15"/>
              </w:rPr>
              <w:t>retardation,</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pacing w:val="-2"/>
                <w:sz w:val="15"/>
              </w:rPr>
              <w:t>Aniridia</w:t>
            </w:r>
          </w:p>
        </w:tc>
      </w:tr>
      <w:tr>
        <w:trPr>
          <w:trHeight w:val="163" w:hRule="exact"/>
        </w:trPr>
        <w:tc>
          <w:tcPr>
            <w:tcW w:w="4870" w:type="dxa"/>
            <w:vMerge w:val="restart"/>
            <w:tcBorders>
              <w:right w:val="single" w:sz="4" w:space="0" w:color="231F20"/>
            </w:tcBorders>
            <w:shd w:val="clear" w:color="auto" w:fill="E8F5F1"/>
          </w:tcPr>
          <w:p>
            <w:pPr>
              <w:pStyle w:val="TableParagraph"/>
              <w:spacing w:line="148" w:lineRule="exact"/>
              <w:ind w:left="186"/>
              <w:rPr>
                <w:sz w:val="15"/>
              </w:rPr>
            </w:pPr>
            <w:r>
              <w:rPr>
                <w:color w:val="231F20"/>
                <w:sz w:val="15"/>
              </w:rPr>
              <w:t>cutaneous</w:t>
            </w:r>
            <w:r>
              <w:rPr>
                <w:color w:val="231F20"/>
                <w:spacing w:val="1"/>
                <w:sz w:val="15"/>
              </w:rPr>
              <w:t> </w:t>
            </w:r>
            <w:r>
              <w:rPr>
                <w:color w:val="231F20"/>
                <w:spacing w:val="-2"/>
                <w:sz w:val="15"/>
              </w:rPr>
              <w:t>lesions)</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z w:val="15"/>
              </w:rPr>
              <w:t>Mesodermal</w:t>
            </w:r>
            <w:r>
              <w:rPr>
                <w:color w:val="231F20"/>
                <w:spacing w:val="25"/>
                <w:sz w:val="15"/>
              </w:rPr>
              <w:t> </w:t>
            </w:r>
            <w:r>
              <w:rPr>
                <w:color w:val="231F20"/>
                <w:spacing w:val="-2"/>
                <w:sz w:val="15"/>
              </w:rPr>
              <w:t>dysgenesis</w:t>
            </w:r>
          </w:p>
        </w:tc>
      </w:tr>
      <w:tr>
        <w:trPr>
          <w:trHeight w:val="163" w:hRule="exact"/>
        </w:trPr>
        <w:tc>
          <w:tcPr>
            <w:tcW w:w="4870" w:type="dxa"/>
            <w:vMerge w:val="restart"/>
            <w:tcBorders>
              <w:right w:val="single" w:sz="4" w:space="0" w:color="231F20"/>
            </w:tcBorders>
            <w:shd w:val="clear" w:color="auto" w:fill="E8F5F1"/>
          </w:tcPr>
          <w:p>
            <w:pPr>
              <w:pStyle w:val="TableParagraph"/>
              <w:spacing w:line="148" w:lineRule="exact" w:before="1"/>
              <w:ind w:left="74"/>
              <w:rPr>
                <w:sz w:val="15"/>
              </w:rPr>
            </w:pPr>
            <w:r>
              <w:rPr>
                <w:color w:val="231F20"/>
                <w:sz w:val="15"/>
              </w:rPr>
              <w:t>Lowe</w:t>
            </w:r>
            <w:r>
              <w:rPr>
                <w:color w:val="231F20"/>
                <w:spacing w:val="-10"/>
                <w:sz w:val="15"/>
              </w:rPr>
              <w:t> </w:t>
            </w:r>
            <w:r>
              <w:rPr>
                <w:color w:val="231F20"/>
                <w:sz w:val="15"/>
              </w:rPr>
              <w:t>syndrome</w:t>
            </w:r>
            <w:r>
              <w:rPr>
                <w:color w:val="231F20"/>
                <w:spacing w:val="-10"/>
                <w:sz w:val="15"/>
              </w:rPr>
              <w:t> </w:t>
            </w:r>
            <w:r>
              <w:rPr>
                <w:color w:val="231F20"/>
                <w:sz w:val="15"/>
              </w:rPr>
              <w:t>(oculocerebrorenal</w:t>
            </w:r>
            <w:r>
              <w:rPr>
                <w:color w:val="231F20"/>
                <w:spacing w:val="-9"/>
                <w:sz w:val="15"/>
              </w:rPr>
              <w:t> </w:t>
            </w:r>
            <w:r>
              <w:rPr>
                <w:color w:val="231F20"/>
                <w:sz w:val="15"/>
              </w:rPr>
              <w:t>syndrome:</w:t>
            </w:r>
            <w:r>
              <w:rPr>
                <w:color w:val="231F20"/>
                <w:spacing w:val="-10"/>
                <w:sz w:val="15"/>
              </w:rPr>
              <w:t> </w:t>
            </w:r>
            <w:r>
              <w:rPr>
                <w:color w:val="231F20"/>
                <w:sz w:val="15"/>
              </w:rPr>
              <w:t>hypotonia,</w:t>
            </w:r>
            <w:r>
              <w:rPr>
                <w:color w:val="231F20"/>
                <w:spacing w:val="-10"/>
                <w:sz w:val="15"/>
              </w:rPr>
              <w:t> </w:t>
            </w:r>
            <w:r>
              <w:rPr>
                <w:color w:val="231F20"/>
                <w:spacing w:val="-2"/>
                <w:sz w:val="15"/>
              </w:rPr>
              <w:t>renal</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pacing w:val="-2"/>
                <w:sz w:val="15"/>
              </w:rPr>
              <w:t>Persistent</w:t>
            </w:r>
            <w:r>
              <w:rPr>
                <w:color w:val="231F20"/>
                <w:spacing w:val="-6"/>
                <w:sz w:val="15"/>
              </w:rPr>
              <w:t> </w:t>
            </w:r>
            <w:r>
              <w:rPr>
                <w:color w:val="231F20"/>
                <w:spacing w:val="-2"/>
                <w:sz w:val="15"/>
              </w:rPr>
              <w:t>pupillary</w:t>
            </w:r>
            <w:r>
              <w:rPr>
                <w:color w:val="231F20"/>
                <w:spacing w:val="-5"/>
                <w:sz w:val="15"/>
              </w:rPr>
              <w:t> </w:t>
            </w:r>
            <w:r>
              <w:rPr>
                <w:color w:val="231F20"/>
                <w:spacing w:val="-2"/>
                <w:sz w:val="15"/>
              </w:rPr>
              <w:t>membrane</w:t>
            </w:r>
          </w:p>
        </w:tc>
      </w:tr>
      <w:tr>
        <w:trPr>
          <w:trHeight w:val="163" w:hRule="exact"/>
        </w:trPr>
        <w:tc>
          <w:tcPr>
            <w:tcW w:w="4870" w:type="dxa"/>
            <w:vMerge w:val="restart"/>
            <w:tcBorders>
              <w:right w:val="single" w:sz="4" w:space="0" w:color="231F20"/>
            </w:tcBorders>
            <w:shd w:val="clear" w:color="auto" w:fill="E8F5F1"/>
          </w:tcPr>
          <w:p>
            <w:pPr>
              <w:pStyle w:val="TableParagraph"/>
              <w:spacing w:line="149" w:lineRule="exact"/>
              <w:ind w:left="186"/>
              <w:rPr>
                <w:sz w:val="15"/>
              </w:rPr>
            </w:pPr>
            <w:r>
              <w:rPr>
                <w:color w:val="231F20"/>
                <w:spacing w:val="-2"/>
                <w:sz w:val="15"/>
              </w:rPr>
              <w:t>disease)</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z w:val="15"/>
              </w:rPr>
              <w:t>Posterior</w:t>
            </w:r>
            <w:r>
              <w:rPr>
                <w:color w:val="231F20"/>
                <w:spacing w:val="-12"/>
                <w:sz w:val="15"/>
              </w:rPr>
              <w:t> </w:t>
            </w:r>
            <w:r>
              <w:rPr>
                <w:color w:val="231F20"/>
                <w:spacing w:val="-2"/>
                <w:sz w:val="15"/>
              </w:rPr>
              <w:t>lenticonus</w:t>
            </w:r>
          </w:p>
        </w:tc>
      </w:tr>
      <w:tr>
        <w:trPr>
          <w:trHeight w:val="164" w:hRule="exact"/>
        </w:trPr>
        <w:tc>
          <w:tcPr>
            <w:tcW w:w="4870" w:type="dxa"/>
            <w:vMerge w:val="restart"/>
            <w:tcBorders>
              <w:right w:val="single" w:sz="4" w:space="0" w:color="231F20"/>
            </w:tcBorders>
            <w:shd w:val="clear" w:color="auto" w:fill="E8F5F1"/>
          </w:tcPr>
          <w:p>
            <w:pPr>
              <w:pStyle w:val="TableParagraph"/>
              <w:spacing w:line="149" w:lineRule="exact"/>
              <w:ind w:left="74"/>
              <w:rPr>
                <w:sz w:val="15"/>
              </w:rPr>
            </w:pPr>
            <w:r>
              <w:rPr>
                <w:color w:val="231F20"/>
                <w:sz w:val="15"/>
              </w:rPr>
              <w:t>Marfan</w:t>
            </w:r>
            <w:r>
              <w:rPr>
                <w:color w:val="231F20"/>
                <w:spacing w:val="5"/>
                <w:sz w:val="15"/>
              </w:rPr>
              <w:t> </w:t>
            </w:r>
            <w:r>
              <w:rPr>
                <w:color w:val="231F20"/>
                <w:spacing w:val="-2"/>
                <w:sz w:val="15"/>
              </w:rPr>
              <w:t>syndrome</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pacing w:val="-4"/>
                <w:sz w:val="15"/>
              </w:rPr>
              <w:t>Persistent</w:t>
            </w:r>
            <w:r>
              <w:rPr>
                <w:color w:val="231F20"/>
                <w:spacing w:val="1"/>
                <w:sz w:val="15"/>
              </w:rPr>
              <w:t> </w:t>
            </w:r>
            <w:r>
              <w:rPr>
                <w:color w:val="231F20"/>
                <w:spacing w:val="-4"/>
                <w:sz w:val="15"/>
              </w:rPr>
              <w:t>fetal</w:t>
            </w:r>
            <w:r>
              <w:rPr>
                <w:color w:val="231F20"/>
                <w:spacing w:val="2"/>
                <w:sz w:val="15"/>
              </w:rPr>
              <w:t> </w:t>
            </w:r>
            <w:r>
              <w:rPr>
                <w:color w:val="231F20"/>
                <w:spacing w:val="-4"/>
                <w:sz w:val="15"/>
              </w:rPr>
              <w:t>vasculature</w:t>
            </w:r>
          </w:p>
        </w:tc>
      </w:tr>
      <w:tr>
        <w:trPr>
          <w:trHeight w:val="164" w:hRule="exact"/>
        </w:trPr>
        <w:tc>
          <w:tcPr>
            <w:tcW w:w="4870" w:type="dxa"/>
            <w:vMerge w:val="restart"/>
            <w:tcBorders>
              <w:right w:val="single" w:sz="4" w:space="0" w:color="231F20"/>
            </w:tcBorders>
            <w:shd w:val="clear" w:color="auto" w:fill="E8F5F1"/>
          </w:tcPr>
          <w:p>
            <w:pPr>
              <w:pStyle w:val="TableParagraph"/>
              <w:spacing w:line="149" w:lineRule="exact"/>
              <w:ind w:left="74"/>
              <w:rPr>
                <w:sz w:val="15"/>
              </w:rPr>
            </w:pPr>
            <w:r>
              <w:rPr>
                <w:color w:val="231F20"/>
                <w:sz w:val="15"/>
              </w:rPr>
              <w:t>Meckel-Gruber</w:t>
            </w:r>
            <w:r>
              <w:rPr>
                <w:color w:val="231F20"/>
                <w:spacing w:val="-9"/>
                <w:sz w:val="15"/>
              </w:rPr>
              <w:t> </w:t>
            </w:r>
            <w:r>
              <w:rPr>
                <w:color w:val="231F20"/>
                <w:sz w:val="15"/>
              </w:rPr>
              <w:t>syndrome</w:t>
            </w:r>
            <w:r>
              <w:rPr>
                <w:color w:val="231F20"/>
                <w:spacing w:val="-9"/>
                <w:sz w:val="15"/>
              </w:rPr>
              <w:t> </w:t>
            </w:r>
            <w:r>
              <w:rPr>
                <w:color w:val="231F20"/>
                <w:sz w:val="15"/>
              </w:rPr>
              <w:t>(renal</w:t>
            </w:r>
            <w:r>
              <w:rPr>
                <w:color w:val="231F20"/>
                <w:spacing w:val="-9"/>
                <w:sz w:val="15"/>
              </w:rPr>
              <w:t> </w:t>
            </w:r>
            <w:r>
              <w:rPr>
                <w:color w:val="231F20"/>
                <w:sz w:val="15"/>
              </w:rPr>
              <w:t>dysplasia,</w:t>
            </w:r>
            <w:r>
              <w:rPr>
                <w:color w:val="231F20"/>
                <w:spacing w:val="-9"/>
                <w:sz w:val="15"/>
              </w:rPr>
              <w:t> </w:t>
            </w:r>
            <w:r>
              <w:rPr>
                <w:color w:val="231F20"/>
                <w:spacing w:val="-2"/>
                <w:sz w:val="15"/>
              </w:rPr>
              <w:t>encephalocele)</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49" w:lineRule="exact"/>
              <w:ind w:left="69"/>
              <w:rPr>
                <w:sz w:val="15"/>
              </w:rPr>
            </w:pPr>
            <w:r>
              <w:rPr>
                <w:color w:val="231F20"/>
                <w:spacing w:val="-2"/>
                <w:sz w:val="15"/>
              </w:rPr>
              <w:t>Primitive</w:t>
            </w:r>
            <w:r>
              <w:rPr>
                <w:color w:val="231F20"/>
                <w:spacing w:val="-9"/>
                <w:sz w:val="15"/>
              </w:rPr>
              <w:t> </w:t>
            </w:r>
            <w:r>
              <w:rPr>
                <w:color w:val="231F20"/>
                <w:spacing w:val="-2"/>
                <w:sz w:val="15"/>
              </w:rPr>
              <w:t>hyaloid</w:t>
            </w:r>
            <w:r>
              <w:rPr>
                <w:color w:val="231F20"/>
                <w:spacing w:val="-8"/>
                <w:sz w:val="15"/>
              </w:rPr>
              <w:t> </w:t>
            </w:r>
            <w:r>
              <w:rPr>
                <w:color w:val="231F20"/>
                <w:spacing w:val="-2"/>
                <w:sz w:val="15"/>
              </w:rPr>
              <w:t>vascular</w:t>
            </w:r>
            <w:r>
              <w:rPr>
                <w:color w:val="231F20"/>
                <w:spacing w:val="-8"/>
                <w:sz w:val="15"/>
              </w:rPr>
              <w:t> </w:t>
            </w:r>
            <w:r>
              <w:rPr>
                <w:color w:val="231F20"/>
                <w:spacing w:val="-2"/>
                <w:sz w:val="15"/>
              </w:rPr>
              <w:t>system</w:t>
            </w:r>
          </w:p>
        </w:tc>
      </w:tr>
      <w:tr>
        <w:trPr>
          <w:trHeight w:val="164" w:hRule="exact"/>
        </w:trPr>
        <w:tc>
          <w:tcPr>
            <w:tcW w:w="4870" w:type="dxa"/>
            <w:vMerge w:val="restart"/>
            <w:tcBorders>
              <w:right w:val="single" w:sz="4" w:space="0" w:color="231F20"/>
            </w:tcBorders>
            <w:shd w:val="clear" w:color="auto" w:fill="E8F5F1"/>
          </w:tcPr>
          <w:p>
            <w:pPr>
              <w:pStyle w:val="TableParagraph"/>
              <w:spacing w:line="149" w:lineRule="exact"/>
              <w:ind w:left="74"/>
              <w:rPr>
                <w:sz w:val="15"/>
              </w:rPr>
            </w:pPr>
            <w:r>
              <w:rPr>
                <w:color w:val="231F20"/>
                <w:sz w:val="15"/>
              </w:rPr>
              <w:t>Myotonic</w:t>
            </w:r>
            <w:r>
              <w:rPr>
                <w:color w:val="231F20"/>
                <w:spacing w:val="17"/>
                <w:sz w:val="15"/>
              </w:rPr>
              <w:t> </w:t>
            </w:r>
            <w:r>
              <w:rPr>
                <w:color w:val="231F20"/>
                <w:spacing w:val="-2"/>
                <w:sz w:val="15"/>
              </w:rPr>
              <w:t>dystrophy</w:t>
            </w:r>
          </w:p>
        </w:tc>
        <w:tc>
          <w:tcPr>
            <w:tcW w:w="4870" w:type="dxa"/>
            <w:vMerge/>
            <w:tcBorders>
              <w:top w:val="nil"/>
              <w:left w:val="single" w:sz="4" w:space="0" w:color="231F20"/>
            </w:tcBorders>
            <w:shd w:val="clear" w:color="auto" w:fill="E8F5F1"/>
          </w:tcPr>
          <w:p>
            <w:pPr>
              <w:rPr>
                <w:sz w:val="2"/>
                <w:szCs w:val="2"/>
              </w:rPr>
            </w:pPr>
          </w:p>
        </w:tc>
      </w:tr>
      <w:tr>
        <w:trPr>
          <w:trHeight w:val="5"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left w:val="single" w:sz="4" w:space="0" w:color="231F20"/>
            </w:tcBorders>
            <w:shd w:val="clear" w:color="auto" w:fill="E8F5F1"/>
          </w:tcPr>
          <w:p>
            <w:pPr>
              <w:pStyle w:val="TableParagraph"/>
              <w:spacing w:line="159" w:lineRule="exact"/>
              <w:ind w:left="69"/>
              <w:rPr>
                <w:sz w:val="15"/>
              </w:rPr>
            </w:pPr>
            <w:r>
              <w:rPr>
                <w:color w:val="231F20"/>
                <w:spacing w:val="-4"/>
                <w:sz w:val="15"/>
              </w:rPr>
              <w:t>Retinitis</w:t>
            </w:r>
            <w:r>
              <w:rPr>
                <w:color w:val="231F20"/>
                <w:spacing w:val="-3"/>
                <w:sz w:val="15"/>
              </w:rPr>
              <w:t> </w:t>
            </w:r>
            <w:r>
              <w:rPr>
                <w:color w:val="231F20"/>
                <w:spacing w:val="-2"/>
                <w:sz w:val="15"/>
              </w:rPr>
              <w:t>pigmentosa</w:t>
            </w:r>
          </w:p>
        </w:tc>
      </w:tr>
      <w:tr>
        <w:trPr>
          <w:trHeight w:val="173" w:hRule="exact"/>
        </w:trPr>
        <w:tc>
          <w:tcPr>
            <w:tcW w:w="4870" w:type="dxa"/>
            <w:tcBorders>
              <w:right w:val="single" w:sz="4" w:space="0" w:color="231F20"/>
            </w:tcBorders>
            <w:shd w:val="clear" w:color="auto" w:fill="E8F5F1"/>
          </w:tcPr>
          <w:p>
            <w:pPr>
              <w:pStyle w:val="TableParagraph"/>
              <w:spacing w:line="153" w:lineRule="exact"/>
              <w:ind w:left="74"/>
              <w:rPr>
                <w:sz w:val="15"/>
              </w:rPr>
            </w:pPr>
            <w:r>
              <w:rPr>
                <w:color w:val="231F20"/>
                <w:spacing w:val="-2"/>
                <w:sz w:val="15"/>
              </w:rPr>
              <w:t>Nail–patella</w:t>
            </w:r>
            <w:r>
              <w:rPr>
                <w:color w:val="231F20"/>
                <w:spacing w:val="1"/>
                <w:sz w:val="15"/>
              </w:rPr>
              <w:t> </w:t>
            </w:r>
            <w:r>
              <w:rPr>
                <w:color w:val="231F20"/>
                <w:spacing w:val="-2"/>
                <w:sz w:val="15"/>
              </w:rPr>
              <w:t>syndrome</w:t>
            </w:r>
            <w:r>
              <w:rPr>
                <w:color w:val="231F20"/>
                <w:spacing w:val="1"/>
                <w:sz w:val="15"/>
              </w:rPr>
              <w:t> </w:t>
            </w:r>
            <w:r>
              <w:rPr>
                <w:color w:val="231F20"/>
                <w:spacing w:val="-2"/>
                <w:sz w:val="15"/>
              </w:rPr>
              <w:t>(renal</w:t>
            </w:r>
            <w:r>
              <w:rPr>
                <w:color w:val="231F20"/>
                <w:spacing w:val="2"/>
                <w:sz w:val="15"/>
              </w:rPr>
              <w:t> </w:t>
            </w:r>
            <w:r>
              <w:rPr>
                <w:color w:val="231F20"/>
                <w:spacing w:val="-2"/>
                <w:sz w:val="15"/>
              </w:rPr>
              <w:t>dysfunction,</w:t>
            </w:r>
            <w:r>
              <w:rPr>
                <w:color w:val="231F20"/>
                <w:spacing w:val="1"/>
                <w:sz w:val="15"/>
              </w:rPr>
              <w:t> </w:t>
            </w:r>
            <w:r>
              <w:rPr>
                <w:color w:val="231F20"/>
                <w:spacing w:val="-2"/>
                <w:sz w:val="15"/>
              </w:rPr>
              <w:t>dysplastic</w:t>
            </w:r>
            <w:r>
              <w:rPr>
                <w:color w:val="231F20"/>
                <w:spacing w:val="2"/>
                <w:sz w:val="15"/>
              </w:rPr>
              <w:t> </w:t>
            </w:r>
            <w:r>
              <w:rPr>
                <w:color w:val="231F20"/>
                <w:spacing w:val="-2"/>
                <w:sz w:val="15"/>
              </w:rPr>
              <w:t>nails,</w:t>
            </w:r>
            <w:r>
              <w:rPr>
                <w:color w:val="231F20"/>
                <w:spacing w:val="1"/>
                <w:sz w:val="15"/>
              </w:rPr>
              <w:t> </w:t>
            </w:r>
            <w:r>
              <w:rPr>
                <w:color w:val="231F20"/>
                <w:spacing w:val="-2"/>
                <w:sz w:val="15"/>
              </w:rPr>
              <w:t>hypoplastic</w:t>
            </w:r>
          </w:p>
        </w:tc>
        <w:tc>
          <w:tcPr>
            <w:tcW w:w="4870" w:type="dxa"/>
            <w:vMerge/>
            <w:tcBorders>
              <w:top w:val="nil"/>
              <w:left w:val="single" w:sz="4" w:space="0" w:color="231F20"/>
            </w:tcBorders>
            <w:shd w:val="clear" w:color="auto" w:fill="E8F5F1"/>
          </w:tcPr>
          <w:p>
            <w:pPr>
              <w:rPr>
                <w:sz w:val="2"/>
                <w:szCs w:val="2"/>
              </w:rPr>
            </w:pPr>
          </w:p>
        </w:tc>
      </w:tr>
      <w:tr>
        <w:trPr>
          <w:trHeight w:val="21" w:hRule="exact"/>
        </w:trPr>
        <w:tc>
          <w:tcPr>
            <w:tcW w:w="4870" w:type="dxa"/>
            <w:vMerge w:val="restart"/>
            <w:tcBorders>
              <w:right w:val="single" w:sz="4" w:space="0" w:color="231F20"/>
            </w:tcBorders>
            <w:shd w:val="clear" w:color="auto" w:fill="E8F5F1"/>
          </w:tcPr>
          <w:p>
            <w:pPr>
              <w:pStyle w:val="TableParagraph"/>
              <w:spacing w:line="149" w:lineRule="exact"/>
              <w:ind w:left="186"/>
              <w:rPr>
                <w:sz w:val="15"/>
              </w:rPr>
            </w:pPr>
            <w:r>
              <w:rPr>
                <w:color w:val="231F20"/>
                <w:spacing w:val="-2"/>
                <w:sz w:val="15"/>
              </w:rPr>
              <w:t>patella)</w:t>
            </w:r>
          </w:p>
        </w:tc>
        <w:tc>
          <w:tcPr>
            <w:tcW w:w="4870" w:type="dxa"/>
            <w:vMerge/>
            <w:tcBorders>
              <w:top w:val="nil"/>
              <w:left w:val="single" w:sz="4" w:space="0" w:color="231F20"/>
            </w:tcBorders>
            <w:shd w:val="clear" w:color="auto" w:fill="E8F5F1"/>
          </w:tcPr>
          <w:p>
            <w:pPr>
              <w:rPr>
                <w:sz w:val="2"/>
                <w:szCs w:val="2"/>
              </w:rPr>
            </w:pPr>
          </w:p>
        </w:tc>
      </w:tr>
      <w:tr>
        <w:trPr>
          <w:trHeight w:val="147" w:hRule="exact"/>
        </w:trPr>
        <w:tc>
          <w:tcPr>
            <w:tcW w:w="4870" w:type="dxa"/>
            <w:vMerge/>
            <w:tcBorders>
              <w:top w:val="nil"/>
              <w:right w:val="single" w:sz="4" w:space="0" w:color="231F20"/>
            </w:tcBorders>
            <w:shd w:val="clear" w:color="auto" w:fill="E8F5F1"/>
          </w:tcPr>
          <w:p>
            <w:pPr>
              <w:rPr>
                <w:sz w:val="2"/>
                <w:szCs w:val="2"/>
              </w:rPr>
            </w:pPr>
          </w:p>
        </w:tc>
        <w:tc>
          <w:tcPr>
            <w:tcW w:w="4870" w:type="dxa"/>
            <w:vMerge w:val="restart"/>
            <w:tcBorders>
              <w:top w:val="single" w:sz="4" w:space="0" w:color="FFFFFF"/>
              <w:left w:val="single" w:sz="4" w:space="0" w:color="231F20"/>
              <w:bottom w:val="single" w:sz="4" w:space="0" w:color="FFFFFF"/>
            </w:tcBorders>
            <w:shd w:val="clear" w:color="auto" w:fill="E8F5F1"/>
          </w:tcPr>
          <w:p>
            <w:pPr>
              <w:pStyle w:val="TableParagraph"/>
              <w:spacing w:line="172" w:lineRule="exact" w:before="43"/>
              <w:ind w:left="69"/>
              <w:rPr>
                <w:sz w:val="15"/>
              </w:rPr>
            </w:pPr>
            <w:r>
              <w:rPr>
                <w:color w:val="231F20"/>
                <w:w w:val="110"/>
                <w:sz w:val="15"/>
              </w:rPr>
              <w:t>MISCELLANEOUS</w:t>
            </w:r>
            <w:r>
              <w:rPr>
                <w:color w:val="231F20"/>
                <w:spacing w:val="40"/>
                <w:w w:val="115"/>
                <w:sz w:val="15"/>
              </w:rPr>
              <w:t> </w:t>
            </w:r>
            <w:r>
              <w:rPr>
                <w:color w:val="231F20"/>
                <w:spacing w:val="-2"/>
                <w:w w:val="115"/>
                <w:sz w:val="15"/>
              </w:rPr>
              <w:t>DISORDERS</w:t>
            </w:r>
          </w:p>
          <w:p>
            <w:pPr>
              <w:pStyle w:val="TableParagraph"/>
              <w:spacing w:line="232" w:lineRule="auto" w:before="2"/>
              <w:ind w:left="69" w:right="3289"/>
              <w:rPr>
                <w:sz w:val="15"/>
              </w:rPr>
            </w:pPr>
            <w:r>
              <w:rPr>
                <w:color w:val="231F20"/>
                <w:sz w:val="15"/>
              </w:rPr>
              <w:t>Atopic dermatitis </w:t>
            </w:r>
            <w:r>
              <w:rPr>
                <w:color w:val="231F20"/>
                <w:spacing w:val="-2"/>
                <w:sz w:val="15"/>
              </w:rPr>
              <w:t>Drugs</w:t>
            </w:r>
            <w:r>
              <w:rPr>
                <w:color w:val="231F20"/>
                <w:spacing w:val="-10"/>
                <w:sz w:val="15"/>
              </w:rPr>
              <w:t> </w:t>
            </w:r>
            <w:r>
              <w:rPr>
                <w:color w:val="231F20"/>
                <w:spacing w:val="-2"/>
                <w:sz w:val="15"/>
              </w:rPr>
              <w:t>(corticosteroids) Radiation</w:t>
            </w:r>
          </w:p>
          <w:p>
            <w:pPr>
              <w:pStyle w:val="TableParagraph"/>
              <w:spacing w:line="169" w:lineRule="exact"/>
              <w:ind w:left="69"/>
              <w:rPr>
                <w:sz w:val="15"/>
              </w:rPr>
            </w:pPr>
            <w:r>
              <w:rPr>
                <w:color w:val="231F20"/>
                <w:spacing w:val="-2"/>
                <w:sz w:val="15"/>
              </w:rPr>
              <w:t>Trauma</w:t>
            </w:r>
          </w:p>
          <w:p>
            <w:pPr>
              <w:pStyle w:val="TableParagraph"/>
              <w:spacing w:line="232" w:lineRule="auto" w:before="1"/>
              <w:ind w:left="69" w:right="2703"/>
              <w:rPr>
                <w:sz w:val="15"/>
              </w:rPr>
            </w:pPr>
            <w:r>
              <w:rPr>
                <w:color w:val="231F20"/>
                <w:spacing w:val="-4"/>
                <w:sz w:val="15"/>
              </w:rPr>
              <w:t>Juvenile idiopathic </w:t>
            </w:r>
            <w:r>
              <w:rPr>
                <w:color w:val="231F20"/>
                <w:spacing w:val="-4"/>
                <w:sz w:val="15"/>
              </w:rPr>
              <w:t>arthritis </w:t>
            </w:r>
            <w:r>
              <w:rPr>
                <w:color w:val="231F20"/>
                <w:sz w:val="15"/>
              </w:rPr>
              <w:t>Retinopathy</w:t>
            </w:r>
            <w:r>
              <w:rPr>
                <w:color w:val="231F20"/>
                <w:spacing w:val="-10"/>
                <w:sz w:val="15"/>
              </w:rPr>
              <w:t> </w:t>
            </w:r>
            <w:r>
              <w:rPr>
                <w:color w:val="231F20"/>
                <w:sz w:val="15"/>
              </w:rPr>
              <w:t>of</w:t>
            </w:r>
            <w:r>
              <w:rPr>
                <w:color w:val="231F20"/>
                <w:spacing w:val="-9"/>
                <w:sz w:val="15"/>
              </w:rPr>
              <w:t> </w:t>
            </w:r>
            <w:r>
              <w:rPr>
                <w:color w:val="231F20"/>
                <w:spacing w:val="-5"/>
                <w:sz w:val="15"/>
              </w:rPr>
              <w:t>prematurity</w:t>
            </w: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Marinesco-Sjögren</w:t>
            </w:r>
            <w:r>
              <w:rPr>
                <w:color w:val="231F20"/>
                <w:spacing w:val="5"/>
                <w:sz w:val="15"/>
              </w:rPr>
              <w:t> </w:t>
            </w:r>
            <w:r>
              <w:rPr>
                <w:color w:val="231F20"/>
                <w:spacing w:val="-2"/>
                <w:sz w:val="15"/>
              </w:rPr>
              <w:t>syndrome</w:t>
            </w:r>
            <w:r>
              <w:rPr>
                <w:color w:val="231F20"/>
                <w:spacing w:val="5"/>
                <w:sz w:val="15"/>
              </w:rPr>
              <w:t> </w:t>
            </w:r>
            <w:r>
              <w:rPr>
                <w:color w:val="231F20"/>
                <w:spacing w:val="-2"/>
                <w:sz w:val="15"/>
              </w:rPr>
              <w:t>(cerebellar</w:t>
            </w:r>
            <w:r>
              <w:rPr>
                <w:color w:val="231F20"/>
                <w:spacing w:val="6"/>
                <w:sz w:val="15"/>
              </w:rPr>
              <w:t> </w:t>
            </w:r>
            <w:r>
              <w:rPr>
                <w:color w:val="231F20"/>
                <w:spacing w:val="-2"/>
                <w:sz w:val="15"/>
              </w:rPr>
              <w:t>ataxia,</w:t>
            </w:r>
            <w:r>
              <w:rPr>
                <w:color w:val="231F20"/>
                <w:spacing w:val="5"/>
                <w:sz w:val="15"/>
              </w:rPr>
              <w:t> </w:t>
            </w:r>
            <w:r>
              <w:rPr>
                <w:color w:val="231F20"/>
                <w:spacing w:val="-2"/>
                <w:sz w:val="15"/>
              </w:rPr>
              <w:t>hypotonia)</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Nevoid</w:t>
            </w:r>
            <w:r>
              <w:rPr>
                <w:color w:val="231F20"/>
                <w:spacing w:val="-5"/>
                <w:sz w:val="15"/>
              </w:rPr>
              <w:t> </w:t>
            </w:r>
            <w:r>
              <w:rPr>
                <w:color w:val="231F20"/>
                <w:sz w:val="15"/>
              </w:rPr>
              <w:t>basal</w:t>
            </w:r>
            <w:r>
              <w:rPr>
                <w:color w:val="231F20"/>
                <w:spacing w:val="-4"/>
                <w:sz w:val="15"/>
              </w:rPr>
              <w:t> </w:t>
            </w:r>
            <w:r>
              <w:rPr>
                <w:color w:val="231F20"/>
                <w:sz w:val="15"/>
              </w:rPr>
              <w:t>cell</w:t>
            </w:r>
            <w:r>
              <w:rPr>
                <w:color w:val="231F20"/>
                <w:spacing w:val="-4"/>
                <w:sz w:val="15"/>
              </w:rPr>
              <w:t> </w:t>
            </w:r>
            <w:r>
              <w:rPr>
                <w:color w:val="231F20"/>
                <w:sz w:val="15"/>
              </w:rPr>
              <w:t>carcinoma</w:t>
            </w:r>
            <w:r>
              <w:rPr>
                <w:color w:val="231F20"/>
                <w:spacing w:val="-4"/>
                <w:sz w:val="15"/>
              </w:rPr>
              <w:t> </w:t>
            </w:r>
            <w:r>
              <w:rPr>
                <w:color w:val="231F20"/>
                <w:sz w:val="15"/>
              </w:rPr>
              <w:t>syndrome</w:t>
            </w:r>
            <w:r>
              <w:rPr>
                <w:color w:val="231F20"/>
                <w:spacing w:val="-4"/>
                <w:sz w:val="15"/>
              </w:rPr>
              <w:t> </w:t>
            </w:r>
            <w:r>
              <w:rPr>
                <w:color w:val="231F20"/>
                <w:sz w:val="15"/>
              </w:rPr>
              <w:t>(autosomal</w:t>
            </w:r>
            <w:r>
              <w:rPr>
                <w:color w:val="231F20"/>
                <w:spacing w:val="-5"/>
                <w:sz w:val="15"/>
              </w:rPr>
              <w:t> </w:t>
            </w:r>
            <w:r>
              <w:rPr>
                <w:color w:val="231F20"/>
                <w:sz w:val="15"/>
              </w:rPr>
              <w:t>dominant,</w:t>
            </w:r>
            <w:r>
              <w:rPr>
                <w:color w:val="231F20"/>
                <w:spacing w:val="-4"/>
                <w:sz w:val="15"/>
              </w:rPr>
              <w:t> </w:t>
            </w:r>
            <w:r>
              <w:rPr>
                <w:color w:val="231F20"/>
                <w:spacing w:val="-2"/>
                <w:sz w:val="15"/>
              </w:rPr>
              <w:t>basal</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186"/>
              <w:rPr>
                <w:sz w:val="15"/>
              </w:rPr>
            </w:pPr>
            <w:r>
              <w:rPr>
                <w:color w:val="231F20"/>
                <w:sz w:val="15"/>
              </w:rPr>
              <w:t>cell</w:t>
            </w:r>
            <w:r>
              <w:rPr>
                <w:color w:val="231F20"/>
                <w:spacing w:val="-12"/>
                <w:sz w:val="15"/>
              </w:rPr>
              <w:t> </w:t>
            </w:r>
            <w:r>
              <w:rPr>
                <w:color w:val="231F20"/>
                <w:sz w:val="15"/>
              </w:rPr>
              <w:t>carcinoma</w:t>
            </w:r>
            <w:r>
              <w:rPr>
                <w:color w:val="231F20"/>
                <w:spacing w:val="-11"/>
                <w:sz w:val="15"/>
              </w:rPr>
              <w:t> </w:t>
            </w:r>
            <w:r>
              <w:rPr>
                <w:color w:val="231F20"/>
                <w:sz w:val="15"/>
              </w:rPr>
              <w:t>erupts</w:t>
            </w:r>
            <w:r>
              <w:rPr>
                <w:color w:val="231F20"/>
                <w:spacing w:val="-11"/>
                <w:sz w:val="15"/>
              </w:rPr>
              <w:t> </w:t>
            </w:r>
            <w:r>
              <w:rPr>
                <w:color w:val="231F20"/>
                <w:sz w:val="15"/>
              </w:rPr>
              <w:t>in</w:t>
            </w:r>
            <w:r>
              <w:rPr>
                <w:color w:val="231F20"/>
                <w:spacing w:val="-11"/>
                <w:sz w:val="15"/>
              </w:rPr>
              <w:t> </w:t>
            </w:r>
            <w:r>
              <w:rPr>
                <w:color w:val="231F20"/>
                <w:spacing w:val="-2"/>
                <w:sz w:val="15"/>
              </w:rPr>
              <w:t>childhood)</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Peters</w:t>
            </w:r>
            <w:r>
              <w:rPr>
                <w:color w:val="231F20"/>
                <w:spacing w:val="-5"/>
                <w:sz w:val="15"/>
              </w:rPr>
              <w:t> </w:t>
            </w:r>
            <w:r>
              <w:rPr>
                <w:color w:val="231F20"/>
                <w:spacing w:val="-2"/>
                <w:sz w:val="15"/>
              </w:rPr>
              <w:t>anomaly</w:t>
            </w:r>
            <w:r>
              <w:rPr>
                <w:color w:val="231F20"/>
                <w:spacing w:val="-5"/>
                <w:sz w:val="15"/>
              </w:rPr>
              <w:t> </w:t>
            </w:r>
            <w:r>
              <w:rPr>
                <w:color w:val="231F20"/>
                <w:spacing w:val="-2"/>
                <w:sz w:val="15"/>
              </w:rPr>
              <w:t>(corneal</w:t>
            </w:r>
            <w:r>
              <w:rPr>
                <w:color w:val="231F20"/>
                <w:spacing w:val="-4"/>
                <w:sz w:val="15"/>
              </w:rPr>
              <w:t> </w:t>
            </w:r>
            <w:r>
              <w:rPr>
                <w:color w:val="231F20"/>
                <w:spacing w:val="-2"/>
                <w:sz w:val="15"/>
              </w:rPr>
              <w:t>opacifications</w:t>
            </w:r>
            <w:r>
              <w:rPr>
                <w:color w:val="231F20"/>
                <w:spacing w:val="-5"/>
                <w:sz w:val="15"/>
              </w:rPr>
              <w:t> </w:t>
            </w:r>
            <w:r>
              <w:rPr>
                <w:color w:val="231F20"/>
                <w:spacing w:val="-2"/>
                <w:sz w:val="15"/>
              </w:rPr>
              <w:t>with</w:t>
            </w:r>
            <w:r>
              <w:rPr>
                <w:color w:val="231F20"/>
                <w:spacing w:val="-5"/>
                <w:sz w:val="15"/>
              </w:rPr>
              <w:t> </w:t>
            </w:r>
            <w:r>
              <w:rPr>
                <w:color w:val="231F20"/>
                <w:spacing w:val="-2"/>
                <w:sz w:val="15"/>
              </w:rPr>
              <w:t>iris-corneal</w:t>
            </w:r>
            <w:r>
              <w:rPr>
                <w:color w:val="231F20"/>
                <w:spacing w:val="-4"/>
                <w:sz w:val="15"/>
              </w:rPr>
              <w:t> </w:t>
            </w:r>
            <w:r>
              <w:rPr>
                <w:color w:val="231F20"/>
                <w:spacing w:val="-2"/>
                <w:sz w:val="15"/>
              </w:rPr>
              <w:t>dysgenesis)</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pacing w:val="-2"/>
                <w:sz w:val="15"/>
              </w:rPr>
              <w:t>Progeria</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Rieger</w:t>
            </w:r>
            <w:r>
              <w:rPr>
                <w:color w:val="231F20"/>
                <w:spacing w:val="-11"/>
                <w:sz w:val="15"/>
              </w:rPr>
              <w:t> </w:t>
            </w:r>
            <w:r>
              <w:rPr>
                <w:color w:val="231F20"/>
                <w:sz w:val="15"/>
              </w:rPr>
              <w:t>syndrome</w:t>
            </w:r>
            <w:r>
              <w:rPr>
                <w:color w:val="231F20"/>
                <w:spacing w:val="-10"/>
                <w:sz w:val="15"/>
              </w:rPr>
              <w:t> </w:t>
            </w:r>
            <w:r>
              <w:rPr>
                <w:color w:val="231F20"/>
                <w:sz w:val="15"/>
              </w:rPr>
              <w:t>(iris</w:t>
            </w:r>
            <w:r>
              <w:rPr>
                <w:color w:val="231F20"/>
                <w:spacing w:val="-10"/>
                <w:sz w:val="15"/>
              </w:rPr>
              <w:t> </w:t>
            </w:r>
            <w:r>
              <w:rPr>
                <w:color w:val="231F20"/>
                <w:sz w:val="15"/>
              </w:rPr>
              <w:t>dysplasia,</w:t>
            </w:r>
            <w:r>
              <w:rPr>
                <w:color w:val="231F20"/>
                <w:spacing w:val="-10"/>
                <w:sz w:val="15"/>
              </w:rPr>
              <w:t> </w:t>
            </w:r>
            <w:r>
              <w:rPr>
                <w:color w:val="231F20"/>
                <w:sz w:val="15"/>
              </w:rPr>
              <w:t>myotonic</w:t>
            </w:r>
            <w:r>
              <w:rPr>
                <w:color w:val="231F20"/>
                <w:spacing w:val="-10"/>
                <w:sz w:val="15"/>
              </w:rPr>
              <w:t> </w:t>
            </w:r>
            <w:r>
              <w:rPr>
                <w:color w:val="231F20"/>
                <w:spacing w:val="-2"/>
                <w:sz w:val="15"/>
              </w:rPr>
              <w:t>dystrophy)</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117" w:hRule="exact"/>
        </w:trPr>
        <w:tc>
          <w:tcPr>
            <w:tcW w:w="4870" w:type="dxa"/>
            <w:vMerge w:val="restart"/>
            <w:tcBorders>
              <w:right w:val="single" w:sz="4" w:space="0" w:color="231F20"/>
            </w:tcBorders>
            <w:shd w:val="clear" w:color="auto" w:fill="E8F5F1"/>
          </w:tcPr>
          <w:p>
            <w:pPr>
              <w:pStyle w:val="TableParagraph"/>
              <w:spacing w:line="149" w:lineRule="exact"/>
              <w:ind w:left="74"/>
              <w:rPr>
                <w:sz w:val="15"/>
              </w:rPr>
            </w:pPr>
            <w:r>
              <w:rPr>
                <w:color w:val="231F20"/>
                <w:sz w:val="15"/>
              </w:rPr>
              <w:t>Rothmund-Thomson</w:t>
            </w:r>
            <w:r>
              <w:rPr>
                <w:color w:val="231F20"/>
                <w:spacing w:val="-3"/>
                <w:sz w:val="15"/>
              </w:rPr>
              <w:t> </w:t>
            </w:r>
            <w:r>
              <w:rPr>
                <w:color w:val="231F20"/>
                <w:sz w:val="15"/>
              </w:rPr>
              <w:t>syndrome</w:t>
            </w:r>
            <w:r>
              <w:rPr>
                <w:color w:val="231F20"/>
                <w:spacing w:val="-3"/>
                <w:sz w:val="15"/>
              </w:rPr>
              <w:t> </w:t>
            </w:r>
            <w:r>
              <w:rPr>
                <w:color w:val="231F20"/>
                <w:sz w:val="15"/>
              </w:rPr>
              <w:t>(poikiloderma:</w:t>
            </w:r>
            <w:r>
              <w:rPr>
                <w:color w:val="231F20"/>
                <w:spacing w:val="-2"/>
                <w:sz w:val="15"/>
              </w:rPr>
              <w:t> </w:t>
            </w:r>
            <w:r>
              <w:rPr>
                <w:color w:val="231F20"/>
                <w:sz w:val="15"/>
              </w:rPr>
              <w:t>skin</w:t>
            </w:r>
            <w:r>
              <w:rPr>
                <w:color w:val="231F20"/>
                <w:spacing w:val="-3"/>
                <w:sz w:val="15"/>
              </w:rPr>
              <w:t> </w:t>
            </w:r>
            <w:r>
              <w:rPr>
                <w:color w:val="231F20"/>
                <w:spacing w:val="-2"/>
                <w:sz w:val="15"/>
              </w:rPr>
              <w:t>atrophy)</w:t>
            </w:r>
          </w:p>
        </w:tc>
        <w:tc>
          <w:tcPr>
            <w:tcW w:w="4870" w:type="dxa"/>
            <w:vMerge/>
            <w:tcBorders>
              <w:top w:val="nil"/>
              <w:left w:val="single" w:sz="4" w:space="0" w:color="231F20"/>
              <w:bottom w:val="single" w:sz="4" w:space="0" w:color="FFFFFF"/>
            </w:tcBorders>
            <w:shd w:val="clear" w:color="auto" w:fill="E8F5F1"/>
          </w:tcPr>
          <w:p>
            <w:pPr>
              <w:rPr>
                <w:sz w:val="2"/>
                <w:szCs w:val="2"/>
              </w:rPr>
            </w:pPr>
          </w:p>
        </w:tc>
      </w:tr>
      <w:tr>
        <w:trPr>
          <w:trHeight w:val="51" w:hRule="exact"/>
        </w:trPr>
        <w:tc>
          <w:tcPr>
            <w:tcW w:w="4870" w:type="dxa"/>
            <w:vMerge/>
            <w:tcBorders>
              <w:top w:val="nil"/>
              <w:right w:val="single" w:sz="4" w:space="0" w:color="231F20"/>
            </w:tcBorders>
            <w:shd w:val="clear" w:color="auto" w:fill="E8F5F1"/>
          </w:tcPr>
          <w:p>
            <w:pPr>
              <w:rPr>
                <w:sz w:val="2"/>
                <w:szCs w:val="2"/>
              </w:rPr>
            </w:pPr>
          </w:p>
        </w:tc>
        <w:tc>
          <w:tcPr>
            <w:tcW w:w="4870" w:type="dxa"/>
            <w:tcBorders>
              <w:top w:val="single" w:sz="4" w:space="0" w:color="FFFFFF"/>
              <w:left w:val="single" w:sz="4" w:space="0" w:color="231F20"/>
            </w:tcBorders>
            <w:shd w:val="clear" w:color="auto" w:fill="E8F5F1"/>
          </w:tcPr>
          <w:p>
            <w:pPr>
              <w:pStyle w:val="TableParagraph"/>
              <w:rPr>
                <w:rFonts w:ascii="Times New Roman"/>
                <w:sz w:val="2"/>
              </w:rPr>
            </w:pPr>
          </w:p>
        </w:tc>
      </w:tr>
      <w:tr>
        <w:trPr>
          <w:trHeight w:val="172" w:hRule="exact"/>
        </w:trPr>
        <w:tc>
          <w:tcPr>
            <w:tcW w:w="4870" w:type="dxa"/>
            <w:tcBorders>
              <w:right w:val="single" w:sz="4" w:space="0" w:color="231F20"/>
            </w:tcBorders>
            <w:shd w:val="clear" w:color="auto" w:fill="E8F5F1"/>
          </w:tcPr>
          <w:p>
            <w:pPr>
              <w:pStyle w:val="TableParagraph"/>
              <w:spacing w:line="152" w:lineRule="exact"/>
              <w:ind w:left="74"/>
              <w:rPr>
                <w:sz w:val="15"/>
              </w:rPr>
            </w:pPr>
            <w:r>
              <w:rPr>
                <w:color w:val="231F20"/>
                <w:sz w:val="15"/>
              </w:rPr>
              <w:t>Rubinstein-Taybi</w:t>
            </w:r>
            <w:r>
              <w:rPr>
                <w:color w:val="231F20"/>
                <w:spacing w:val="-10"/>
                <w:sz w:val="15"/>
              </w:rPr>
              <w:t> </w:t>
            </w:r>
            <w:r>
              <w:rPr>
                <w:color w:val="231F20"/>
                <w:sz w:val="15"/>
              </w:rPr>
              <w:t>syndrome</w:t>
            </w:r>
            <w:r>
              <w:rPr>
                <w:color w:val="231F20"/>
                <w:spacing w:val="-9"/>
                <w:sz w:val="15"/>
              </w:rPr>
              <w:t> </w:t>
            </w:r>
            <w:r>
              <w:rPr>
                <w:color w:val="231F20"/>
                <w:sz w:val="15"/>
              </w:rPr>
              <w:t>(broad</w:t>
            </w:r>
            <w:r>
              <w:rPr>
                <w:color w:val="231F20"/>
                <w:spacing w:val="-10"/>
                <w:sz w:val="15"/>
              </w:rPr>
              <w:t> </w:t>
            </w:r>
            <w:r>
              <w:rPr>
                <w:color w:val="231F20"/>
                <w:sz w:val="15"/>
              </w:rPr>
              <w:t>great</w:t>
            </w:r>
            <w:r>
              <w:rPr>
                <w:color w:val="231F20"/>
                <w:spacing w:val="-9"/>
                <w:sz w:val="15"/>
              </w:rPr>
              <w:t> </w:t>
            </w:r>
            <w:r>
              <w:rPr>
                <w:color w:val="231F20"/>
                <w:sz w:val="15"/>
              </w:rPr>
              <w:t>toe,</w:t>
            </w:r>
            <w:r>
              <w:rPr>
                <w:color w:val="231F20"/>
                <w:spacing w:val="-9"/>
                <w:sz w:val="15"/>
              </w:rPr>
              <w:t> </w:t>
            </w:r>
            <w:r>
              <w:rPr>
                <w:color w:val="231F20"/>
                <w:sz w:val="15"/>
              </w:rPr>
              <w:t>mental</w:t>
            </w:r>
            <w:r>
              <w:rPr>
                <w:color w:val="231F20"/>
                <w:spacing w:val="-10"/>
                <w:sz w:val="15"/>
              </w:rPr>
              <w:t> </w:t>
            </w:r>
            <w:r>
              <w:rPr>
                <w:color w:val="231F20"/>
                <w:spacing w:val="-2"/>
                <w:sz w:val="15"/>
              </w:rPr>
              <w:t>retardation)</w:t>
            </w:r>
          </w:p>
        </w:tc>
        <w:tc>
          <w:tcPr>
            <w:tcW w:w="4870" w:type="dxa"/>
            <w:tcBorders>
              <w:left w:val="single" w:sz="4" w:space="0" w:color="231F20"/>
            </w:tcBorders>
            <w:shd w:val="clear" w:color="auto" w:fill="E8F5F1"/>
          </w:tcPr>
          <w:p>
            <w:pPr>
              <w:pStyle w:val="TableParagraph"/>
              <w:spacing w:line="153" w:lineRule="exact"/>
              <w:ind w:left="69"/>
              <w:rPr>
                <w:sz w:val="15"/>
              </w:rPr>
            </w:pPr>
            <w:r>
              <w:rPr>
                <w:color w:val="231F20"/>
                <w:spacing w:val="-2"/>
                <w:w w:val="110"/>
                <w:sz w:val="15"/>
              </w:rPr>
              <w:t>IDIOPATHIC</w:t>
            </w:r>
          </w:p>
        </w:tc>
      </w:tr>
      <w:tr>
        <w:trPr>
          <w:trHeight w:val="166" w:hRule="exact"/>
        </w:trPr>
        <w:tc>
          <w:tcPr>
            <w:tcW w:w="4870" w:type="dxa"/>
            <w:tcBorders>
              <w:right w:val="single" w:sz="4" w:space="0" w:color="231F20"/>
            </w:tcBorders>
            <w:shd w:val="clear" w:color="auto" w:fill="E8F5F1"/>
          </w:tcPr>
          <w:p>
            <w:pPr>
              <w:pStyle w:val="TableParagraph"/>
              <w:spacing w:line="146" w:lineRule="exact"/>
              <w:ind w:left="74"/>
              <w:rPr>
                <w:sz w:val="15"/>
              </w:rPr>
            </w:pPr>
            <w:r>
              <w:rPr>
                <w:color w:val="231F20"/>
                <w:spacing w:val="-2"/>
                <w:sz w:val="15"/>
              </w:rPr>
              <w:t>Smith-Lemli-Opitz</w:t>
            </w:r>
            <w:r>
              <w:rPr>
                <w:color w:val="231F20"/>
                <w:spacing w:val="5"/>
                <w:sz w:val="15"/>
              </w:rPr>
              <w:t> </w:t>
            </w:r>
            <w:r>
              <w:rPr>
                <w:color w:val="231F20"/>
                <w:spacing w:val="-2"/>
                <w:sz w:val="15"/>
              </w:rPr>
              <w:t>syndrome</w:t>
            </w:r>
            <w:r>
              <w:rPr>
                <w:color w:val="231F20"/>
                <w:spacing w:val="5"/>
                <w:sz w:val="15"/>
              </w:rPr>
              <w:t> </w:t>
            </w:r>
            <w:r>
              <w:rPr>
                <w:color w:val="231F20"/>
                <w:spacing w:val="-2"/>
                <w:sz w:val="15"/>
              </w:rPr>
              <w:t>(toe</w:t>
            </w:r>
            <w:r>
              <w:rPr>
                <w:color w:val="231F20"/>
                <w:spacing w:val="5"/>
                <w:sz w:val="15"/>
              </w:rPr>
              <w:t> </w:t>
            </w:r>
            <w:r>
              <w:rPr>
                <w:color w:val="231F20"/>
                <w:spacing w:val="-2"/>
                <w:sz w:val="15"/>
              </w:rPr>
              <w:t>syndactyly,</w:t>
            </w:r>
            <w:r>
              <w:rPr>
                <w:color w:val="231F20"/>
                <w:spacing w:val="5"/>
                <w:sz w:val="15"/>
              </w:rPr>
              <w:t> </w:t>
            </w:r>
            <w:r>
              <w:rPr>
                <w:color w:val="231F20"/>
                <w:spacing w:val="-2"/>
                <w:sz w:val="15"/>
              </w:rPr>
              <w:t>hypospadias,</w:t>
            </w:r>
            <w:r>
              <w:rPr>
                <w:color w:val="231F20"/>
                <w:spacing w:val="6"/>
                <w:sz w:val="15"/>
              </w:rPr>
              <w:t> </w:t>
            </w:r>
            <w:r>
              <w:rPr>
                <w:color w:val="231F20"/>
                <w:spacing w:val="-2"/>
                <w:sz w:val="15"/>
              </w:rPr>
              <w:t>mental</w:t>
            </w:r>
          </w:p>
        </w:tc>
        <w:tc>
          <w:tcPr>
            <w:tcW w:w="4870" w:type="dxa"/>
            <w:tcBorders>
              <w:left w:val="single" w:sz="4" w:space="0" w:color="231F20"/>
            </w:tcBorders>
            <w:shd w:val="clear" w:color="auto" w:fill="E8F5F1"/>
          </w:tcPr>
          <w:p>
            <w:pPr>
              <w:pStyle w:val="TableParagraph"/>
              <w:rPr>
                <w:rFonts w:ascii="Times New Roman"/>
                <w:sz w:val="10"/>
              </w:rPr>
            </w:pPr>
          </w:p>
        </w:tc>
      </w:tr>
      <w:tr>
        <w:trPr>
          <w:trHeight w:val="168" w:hRule="exact"/>
        </w:trPr>
        <w:tc>
          <w:tcPr>
            <w:tcW w:w="4870" w:type="dxa"/>
            <w:tcBorders>
              <w:right w:val="single" w:sz="4" w:space="0" w:color="231F20"/>
            </w:tcBorders>
            <w:shd w:val="clear" w:color="auto" w:fill="E8F5F1"/>
          </w:tcPr>
          <w:p>
            <w:pPr>
              <w:pStyle w:val="TableParagraph"/>
              <w:spacing w:line="149" w:lineRule="exact"/>
              <w:ind w:left="186"/>
              <w:rPr>
                <w:sz w:val="15"/>
              </w:rPr>
            </w:pPr>
            <w:r>
              <w:rPr>
                <w:color w:val="231F20"/>
                <w:spacing w:val="-2"/>
                <w:sz w:val="15"/>
              </w:rPr>
              <w:t>retardation)</w:t>
            </w:r>
          </w:p>
        </w:tc>
        <w:tc>
          <w:tcPr>
            <w:tcW w:w="4870" w:type="dxa"/>
            <w:tcBorders>
              <w:left w:val="single" w:sz="4" w:space="0" w:color="231F20"/>
            </w:tcBorders>
            <w:shd w:val="clear" w:color="auto" w:fill="E8F5F1"/>
          </w:tcPr>
          <w:p>
            <w:pPr>
              <w:pStyle w:val="TableParagraph"/>
              <w:rPr>
                <w:rFonts w:ascii="Times New Roman"/>
                <w:sz w:val="10"/>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Sotos</w:t>
            </w:r>
            <w:r>
              <w:rPr>
                <w:color w:val="231F20"/>
                <w:spacing w:val="-4"/>
                <w:sz w:val="15"/>
              </w:rPr>
              <w:t> </w:t>
            </w:r>
            <w:r>
              <w:rPr>
                <w:color w:val="231F20"/>
                <w:sz w:val="15"/>
              </w:rPr>
              <w:t>syndrome</w:t>
            </w:r>
            <w:r>
              <w:rPr>
                <w:color w:val="231F20"/>
                <w:spacing w:val="-3"/>
                <w:sz w:val="15"/>
              </w:rPr>
              <w:t> </w:t>
            </w:r>
            <w:r>
              <w:rPr>
                <w:color w:val="231F20"/>
                <w:sz w:val="15"/>
              </w:rPr>
              <w:t>(cerebral</w:t>
            </w:r>
            <w:r>
              <w:rPr>
                <w:color w:val="231F20"/>
                <w:spacing w:val="-3"/>
                <w:sz w:val="15"/>
              </w:rPr>
              <w:t> </w:t>
            </w:r>
            <w:r>
              <w:rPr>
                <w:color w:val="231F20"/>
                <w:spacing w:val="-2"/>
                <w:sz w:val="15"/>
              </w:rPr>
              <w:t>gigantism)</w:t>
            </w:r>
          </w:p>
        </w:tc>
        <w:tc>
          <w:tcPr>
            <w:tcW w:w="4870" w:type="dxa"/>
            <w:tcBorders>
              <w:left w:val="single" w:sz="4" w:space="0" w:color="231F20"/>
            </w:tcBorders>
            <w:shd w:val="clear" w:color="auto" w:fill="E8F5F1"/>
          </w:tcPr>
          <w:p>
            <w:pPr>
              <w:pStyle w:val="TableParagraph"/>
              <w:rPr>
                <w:rFonts w:ascii="Times New Roman"/>
                <w:sz w:val="10"/>
              </w:rPr>
            </w:pPr>
          </w:p>
        </w:tc>
      </w:tr>
      <w:tr>
        <w:trPr>
          <w:trHeight w:val="169" w:hRule="exact"/>
        </w:trPr>
        <w:tc>
          <w:tcPr>
            <w:tcW w:w="4870" w:type="dxa"/>
            <w:tcBorders>
              <w:right w:val="single" w:sz="4" w:space="0" w:color="231F20"/>
            </w:tcBorders>
            <w:shd w:val="clear" w:color="auto" w:fill="E8F5F1"/>
          </w:tcPr>
          <w:p>
            <w:pPr>
              <w:pStyle w:val="TableParagraph"/>
              <w:spacing w:line="149" w:lineRule="exact"/>
              <w:ind w:left="74"/>
              <w:rPr>
                <w:sz w:val="15"/>
              </w:rPr>
            </w:pPr>
            <w:r>
              <w:rPr>
                <w:color w:val="231F20"/>
                <w:sz w:val="15"/>
              </w:rPr>
              <w:t>Spondyloepiphyseal</w:t>
            </w:r>
            <w:r>
              <w:rPr>
                <w:color w:val="231F20"/>
                <w:spacing w:val="-11"/>
                <w:sz w:val="15"/>
              </w:rPr>
              <w:t> </w:t>
            </w:r>
            <w:r>
              <w:rPr>
                <w:color w:val="231F20"/>
                <w:sz w:val="15"/>
              </w:rPr>
              <w:t>dysplasia</w:t>
            </w:r>
            <w:r>
              <w:rPr>
                <w:color w:val="231F20"/>
                <w:spacing w:val="-10"/>
                <w:sz w:val="15"/>
              </w:rPr>
              <w:t> </w:t>
            </w:r>
            <w:r>
              <w:rPr>
                <w:color w:val="231F20"/>
                <w:sz w:val="15"/>
              </w:rPr>
              <w:t>(dwarfism,</w:t>
            </w:r>
            <w:r>
              <w:rPr>
                <w:color w:val="231F20"/>
                <w:spacing w:val="-10"/>
                <w:sz w:val="15"/>
              </w:rPr>
              <w:t> </w:t>
            </w:r>
            <w:r>
              <w:rPr>
                <w:color w:val="231F20"/>
                <w:sz w:val="15"/>
              </w:rPr>
              <w:t>short</w:t>
            </w:r>
            <w:r>
              <w:rPr>
                <w:color w:val="231F20"/>
                <w:spacing w:val="-10"/>
                <w:sz w:val="15"/>
              </w:rPr>
              <w:t> </w:t>
            </w:r>
            <w:r>
              <w:rPr>
                <w:color w:val="231F20"/>
                <w:spacing w:val="-2"/>
                <w:sz w:val="15"/>
              </w:rPr>
              <w:t>trunk)</w:t>
            </w:r>
          </w:p>
        </w:tc>
        <w:tc>
          <w:tcPr>
            <w:tcW w:w="4870" w:type="dxa"/>
            <w:tcBorders>
              <w:left w:val="single" w:sz="4" w:space="0" w:color="231F20"/>
            </w:tcBorders>
            <w:shd w:val="clear" w:color="auto" w:fill="E8F5F1"/>
          </w:tcPr>
          <w:p>
            <w:pPr>
              <w:pStyle w:val="TableParagraph"/>
              <w:rPr>
                <w:rFonts w:ascii="Times New Roman"/>
                <w:sz w:val="10"/>
              </w:rPr>
            </w:pPr>
          </w:p>
        </w:tc>
      </w:tr>
      <w:tr>
        <w:trPr>
          <w:trHeight w:val="220" w:hRule="exact"/>
        </w:trPr>
        <w:tc>
          <w:tcPr>
            <w:tcW w:w="4870" w:type="dxa"/>
            <w:tcBorders>
              <w:bottom w:val="single" w:sz="12" w:space="0" w:color="231F20"/>
              <w:right w:val="single" w:sz="4" w:space="0" w:color="231F20"/>
            </w:tcBorders>
            <w:shd w:val="clear" w:color="auto" w:fill="E8F5F1"/>
          </w:tcPr>
          <w:p>
            <w:pPr>
              <w:pStyle w:val="TableParagraph"/>
              <w:spacing w:line="170" w:lineRule="exact"/>
              <w:ind w:left="74"/>
              <w:rPr>
                <w:sz w:val="15"/>
              </w:rPr>
            </w:pPr>
            <w:r>
              <w:rPr>
                <w:color w:val="231F20"/>
                <w:sz w:val="15"/>
              </w:rPr>
              <w:t>Werner</w:t>
            </w:r>
            <w:r>
              <w:rPr>
                <w:color w:val="231F20"/>
                <w:spacing w:val="-1"/>
                <w:sz w:val="15"/>
              </w:rPr>
              <w:t> </w:t>
            </w:r>
            <w:r>
              <w:rPr>
                <w:color w:val="231F20"/>
                <w:sz w:val="15"/>
              </w:rPr>
              <w:t>syndrome (premature aging in 2nd decade of </w:t>
            </w:r>
            <w:r>
              <w:rPr>
                <w:color w:val="231F20"/>
                <w:spacing w:val="-2"/>
                <w:sz w:val="15"/>
              </w:rPr>
              <w:t>life)</w:t>
            </w:r>
          </w:p>
        </w:tc>
        <w:tc>
          <w:tcPr>
            <w:tcW w:w="4870" w:type="dxa"/>
            <w:tcBorders>
              <w:left w:val="single" w:sz="4" w:space="0" w:color="231F20"/>
              <w:bottom w:val="single" w:sz="8" w:space="0" w:color="231F20"/>
            </w:tcBorders>
            <w:shd w:val="clear" w:color="auto" w:fill="E8F5F1"/>
          </w:tcPr>
          <w:p>
            <w:pPr>
              <w:pStyle w:val="TableParagraph"/>
              <w:rPr>
                <w:rFonts w:ascii="Times New Roman"/>
                <w:sz w:val="14"/>
              </w:rPr>
            </w:pPr>
          </w:p>
        </w:tc>
      </w:tr>
    </w:tbl>
    <w:p>
      <w:pPr>
        <w:pStyle w:val="TableParagraph"/>
        <w:spacing w:after="0"/>
        <w:rPr>
          <w:rFonts w:ascii="Times New Roman"/>
          <w:sz w:val="14"/>
        </w:rPr>
        <w:sectPr>
          <w:pgSz w:w="11900" w:h="16840"/>
          <w:pgMar w:header="0" w:footer="0" w:top="118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308" name="Group 1308"/>
                <wp:cNvGraphicFramePr>
                  <a:graphicFrameLocks/>
                </wp:cNvGraphicFramePr>
                <a:graphic>
                  <a:graphicData uri="http://schemas.microsoft.com/office/word/2010/wordprocessingGroup">
                    <wpg:wgp>
                      <wpg:cNvPr id="1308" name="Group 1308"/>
                      <wpg:cNvGrpSpPr/>
                      <wpg:grpSpPr>
                        <a:xfrm>
                          <a:off x="0" y="0"/>
                          <a:ext cx="6185535" cy="170815"/>
                          <a:chExt cx="6185535" cy="170815"/>
                        </a:xfrm>
                      </wpg:grpSpPr>
                      <wps:wsp>
                        <wps:cNvPr id="1309" name="Graphic 1309"/>
                        <wps:cNvSpPr/>
                        <wps:spPr>
                          <a:xfrm>
                            <a:off x="6161574"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310" name="Graphic 1310"/>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311" name="Textbox 1311"/>
                        <wps:cNvSpPr txBox="1"/>
                        <wps:spPr>
                          <a:xfrm>
                            <a:off x="0" y="0"/>
                            <a:ext cx="6185535" cy="170815"/>
                          </a:xfrm>
                          <a:prstGeom prst="rect">
                            <a:avLst/>
                          </a:prstGeom>
                        </wps:spPr>
                        <wps:txbx>
                          <w:txbxContent>
                            <w:p>
                              <w:pPr>
                                <w:spacing w:before="6"/>
                                <w:ind w:left="-1" w:right="0" w:firstLine="0"/>
                                <w:jc w:val="left"/>
                                <w:rPr>
                                  <w:sz w:val="18"/>
                                </w:rPr>
                              </w:pPr>
                              <w:r>
                                <w:rPr>
                                  <w:b/>
                                  <w:color w:val="231F20"/>
                                  <w:w w:val="110"/>
                                  <w:sz w:val="18"/>
                                </w:rPr>
                                <w:t>3048</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33" coordorigin="0,0" coordsize="9741,269">
                <v:line style="position:absolute" from="9703,145" to="9741,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1034" filled="false" stroked="false">
                  <v:textbox inset="0,0,0,0">
                    <w:txbxContent>
                      <w:p>
                        <w:pPr>
                          <w:spacing w:before="6"/>
                          <w:ind w:left="-1" w:right="0" w:firstLine="0"/>
                          <w:jc w:val="left"/>
                          <w:rPr>
                            <w:sz w:val="18"/>
                          </w:rPr>
                        </w:pPr>
                        <w:r>
                          <w:rPr>
                            <w:b/>
                            <w:color w:val="231F20"/>
                            <w:w w:val="110"/>
                            <w:sz w:val="18"/>
                          </w:rPr>
                          <w:t>3048</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v:textbox>
                  <w10:wrap type="none"/>
                </v:shape>
              </v:group>
            </w:pict>
          </mc:Fallback>
        </mc:AlternateContent>
      </w:r>
      <w:r>
        <w:rPr>
          <w:sz w:val="20"/>
        </w:rPr>
      </w:r>
    </w:p>
    <w:p>
      <w:pPr>
        <w:pStyle w:val="BodyText"/>
        <w:spacing w:before="34" w:after="1"/>
        <w:rPr>
          <w:i/>
          <w:sz w:val="20"/>
        </w:rPr>
      </w:pPr>
    </w:p>
    <w:tbl>
      <w:tblPr>
        <w:tblW w:w="0" w:type="auto"/>
        <w:jc w:val="left"/>
        <w:tblInd w:w="5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196"/>
        <w:gridCol w:w="2359"/>
      </w:tblGrid>
      <w:tr>
        <w:trPr>
          <w:trHeight w:val="746"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634-</w:t>
            </w:r>
            <w:r>
              <w:rPr>
                <w:b/>
                <w:color w:val="FFFFFF"/>
                <w:spacing w:val="-10"/>
                <w:w w:val="105"/>
                <w:sz w:val="16"/>
              </w:rPr>
              <w:t>1</w:t>
            </w:r>
          </w:p>
        </w:tc>
        <w:tc>
          <w:tcPr>
            <w:tcW w:w="3555" w:type="dxa"/>
            <w:gridSpan w:val="2"/>
            <w:tcBorders>
              <w:left w:val="single" w:sz="8" w:space="0" w:color="FFFFFF"/>
            </w:tcBorders>
            <w:shd w:val="clear" w:color="auto" w:fill="231F20"/>
          </w:tcPr>
          <w:p>
            <w:pPr>
              <w:pStyle w:val="TableParagraph"/>
              <w:spacing w:before="89"/>
              <w:ind w:left="73" w:right="350"/>
              <w:rPr>
                <w:sz w:val="16"/>
              </w:rPr>
            </w:pPr>
            <w:r>
              <w:rPr>
                <w:color w:val="FFFFFF"/>
                <w:w w:val="105"/>
                <w:sz w:val="16"/>
              </w:rPr>
              <w:t>Chandler Classification of Orbital Complications</w:t>
            </w:r>
            <w:r>
              <w:rPr>
                <w:color w:val="FFFFFF"/>
                <w:spacing w:val="-10"/>
                <w:w w:val="105"/>
                <w:sz w:val="16"/>
              </w:rPr>
              <w:t> </w:t>
            </w:r>
            <w:r>
              <w:rPr>
                <w:color w:val="FFFFFF"/>
                <w:w w:val="105"/>
                <w:sz w:val="16"/>
              </w:rPr>
              <w:t>of</w:t>
            </w:r>
            <w:r>
              <w:rPr>
                <w:color w:val="FFFFFF"/>
                <w:spacing w:val="-10"/>
                <w:w w:val="105"/>
                <w:sz w:val="16"/>
              </w:rPr>
              <w:t> </w:t>
            </w:r>
            <w:r>
              <w:rPr>
                <w:color w:val="FFFFFF"/>
                <w:w w:val="105"/>
                <w:sz w:val="16"/>
              </w:rPr>
              <w:t>Sinusitis,</w:t>
            </w:r>
            <w:r>
              <w:rPr>
                <w:color w:val="FFFFFF"/>
                <w:spacing w:val="-10"/>
                <w:w w:val="105"/>
                <w:sz w:val="16"/>
              </w:rPr>
              <w:t> </w:t>
            </w:r>
            <w:r>
              <w:rPr>
                <w:color w:val="FFFFFF"/>
                <w:w w:val="105"/>
                <w:sz w:val="16"/>
              </w:rPr>
              <w:t>a</w:t>
            </w:r>
            <w:r>
              <w:rPr>
                <w:color w:val="FFFFFF"/>
                <w:spacing w:val="-10"/>
                <w:w w:val="105"/>
                <w:sz w:val="16"/>
              </w:rPr>
              <w:t> </w:t>
            </w:r>
            <w:r>
              <w:rPr>
                <w:color w:val="FFFFFF"/>
                <w:w w:val="105"/>
                <w:sz w:val="16"/>
              </w:rPr>
              <w:t>Clinical </w:t>
            </w:r>
            <w:r>
              <w:rPr>
                <w:color w:val="FFFFFF"/>
                <w:spacing w:val="-2"/>
                <w:w w:val="105"/>
                <w:sz w:val="16"/>
              </w:rPr>
              <w:t>Description</w:t>
            </w:r>
          </w:p>
        </w:tc>
      </w:tr>
      <w:tr>
        <w:trPr>
          <w:trHeight w:val="425" w:hRule="atLeast"/>
        </w:trPr>
        <w:tc>
          <w:tcPr>
            <w:tcW w:w="1148" w:type="dxa"/>
            <w:tcBorders>
              <w:bottom w:val="single" w:sz="4" w:space="0" w:color="231F20"/>
            </w:tcBorders>
            <w:shd w:val="clear" w:color="auto" w:fill="E8F5F1"/>
          </w:tcPr>
          <w:p>
            <w:pPr>
              <w:pStyle w:val="TableParagraph"/>
              <w:spacing w:line="230" w:lineRule="auto" w:before="53"/>
              <w:ind w:left="74"/>
              <w:rPr>
                <w:b/>
                <w:sz w:val="15"/>
              </w:rPr>
            </w:pPr>
            <w:r>
              <w:rPr>
                <w:b/>
                <w:color w:val="231F20"/>
                <w:spacing w:val="-2"/>
                <w:w w:val="110"/>
                <w:sz w:val="15"/>
              </w:rPr>
              <w:t>CHANDLER CLASS</w:t>
            </w:r>
          </w:p>
        </w:tc>
        <w:tc>
          <w:tcPr>
            <w:tcW w:w="1196" w:type="dxa"/>
            <w:tcBorders>
              <w:bottom w:val="single" w:sz="4" w:space="0" w:color="231F20"/>
            </w:tcBorders>
            <w:shd w:val="clear" w:color="auto" w:fill="E8F5F1"/>
          </w:tcPr>
          <w:p>
            <w:pPr>
              <w:pStyle w:val="TableParagraph"/>
              <w:spacing w:before="41"/>
              <w:rPr>
                <w:i/>
                <w:sz w:val="15"/>
              </w:rPr>
            </w:pPr>
          </w:p>
          <w:p>
            <w:pPr>
              <w:pStyle w:val="TableParagraph"/>
              <w:ind w:left="317"/>
              <w:rPr>
                <w:b/>
                <w:sz w:val="15"/>
              </w:rPr>
            </w:pPr>
            <w:r>
              <w:rPr>
                <w:b/>
                <w:color w:val="231F20"/>
                <w:spacing w:val="-2"/>
                <w:w w:val="110"/>
                <w:sz w:val="15"/>
              </w:rPr>
              <w:t>STAGE</w:t>
            </w:r>
          </w:p>
        </w:tc>
        <w:tc>
          <w:tcPr>
            <w:tcW w:w="2359" w:type="dxa"/>
            <w:tcBorders>
              <w:bottom w:val="single" w:sz="4" w:space="0" w:color="231F20"/>
            </w:tcBorders>
            <w:shd w:val="clear" w:color="auto" w:fill="E8F5F1"/>
          </w:tcPr>
          <w:p>
            <w:pPr>
              <w:pStyle w:val="TableParagraph"/>
              <w:spacing w:line="230" w:lineRule="auto" w:before="53"/>
              <w:ind w:left="588" w:right="254" w:hanging="233"/>
              <w:rPr>
                <w:b/>
                <w:sz w:val="15"/>
              </w:rPr>
            </w:pPr>
            <w:r>
              <w:rPr>
                <w:b/>
                <w:color w:val="231F20"/>
                <w:w w:val="110"/>
                <w:sz w:val="15"/>
              </w:rPr>
              <w:t>CLINICAL</w:t>
            </w:r>
            <w:r>
              <w:rPr>
                <w:b/>
                <w:color w:val="231F20"/>
                <w:spacing w:val="-13"/>
                <w:w w:val="110"/>
                <w:sz w:val="15"/>
              </w:rPr>
              <w:t> </w:t>
            </w:r>
            <w:r>
              <w:rPr>
                <w:b/>
                <w:color w:val="231F20"/>
                <w:w w:val="110"/>
                <w:sz w:val="15"/>
              </w:rPr>
              <w:t>DESCRIPTION AND DEFINITION</w:t>
            </w:r>
          </w:p>
        </w:tc>
      </w:tr>
      <w:tr>
        <w:trPr>
          <w:trHeight w:val="596" w:hRule="atLeast"/>
        </w:trPr>
        <w:tc>
          <w:tcPr>
            <w:tcW w:w="114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10"/>
                <w:sz w:val="15"/>
              </w:rPr>
              <w:t>I</w:t>
            </w:r>
          </w:p>
        </w:tc>
        <w:tc>
          <w:tcPr>
            <w:tcW w:w="1196" w:type="dxa"/>
            <w:tcBorders>
              <w:top w:val="single" w:sz="4" w:space="0" w:color="231F20"/>
              <w:bottom w:val="single" w:sz="4" w:space="0" w:color="FFFFFF"/>
            </w:tcBorders>
            <w:shd w:val="clear" w:color="auto" w:fill="E8F5F1"/>
          </w:tcPr>
          <w:p>
            <w:pPr>
              <w:pStyle w:val="TableParagraph"/>
              <w:spacing w:line="230" w:lineRule="auto" w:before="52"/>
              <w:ind w:left="218" w:right="215" w:hanging="112"/>
              <w:rPr>
                <w:sz w:val="15"/>
              </w:rPr>
            </w:pPr>
            <w:r>
              <w:rPr>
                <w:color w:val="231F20"/>
                <w:spacing w:val="-4"/>
                <w:sz w:val="15"/>
              </w:rPr>
              <w:t>Inflammatory </w:t>
            </w:r>
            <w:r>
              <w:rPr>
                <w:color w:val="231F20"/>
                <w:spacing w:val="-2"/>
                <w:sz w:val="15"/>
              </w:rPr>
              <w:t>edema</w:t>
            </w:r>
          </w:p>
        </w:tc>
        <w:tc>
          <w:tcPr>
            <w:tcW w:w="2359" w:type="dxa"/>
            <w:tcBorders>
              <w:top w:val="single" w:sz="4" w:space="0" w:color="231F20"/>
              <w:bottom w:val="single" w:sz="4" w:space="0" w:color="FFFFFF"/>
            </w:tcBorders>
            <w:shd w:val="clear" w:color="auto" w:fill="E8F5F1"/>
          </w:tcPr>
          <w:p>
            <w:pPr>
              <w:pStyle w:val="TableParagraph"/>
              <w:spacing w:line="232" w:lineRule="auto" w:before="51"/>
              <w:ind w:left="173" w:right="136"/>
              <w:rPr>
                <w:sz w:val="15"/>
              </w:rPr>
            </w:pPr>
            <w:r>
              <w:rPr>
                <w:color w:val="231F20"/>
                <w:sz w:val="15"/>
              </w:rPr>
              <w:t>Eyelid edema and erythema Normal</w:t>
            </w:r>
            <w:r>
              <w:rPr>
                <w:color w:val="231F20"/>
                <w:spacing w:val="-12"/>
                <w:sz w:val="15"/>
              </w:rPr>
              <w:t> </w:t>
            </w:r>
            <w:r>
              <w:rPr>
                <w:color w:val="231F20"/>
                <w:sz w:val="15"/>
              </w:rPr>
              <w:t>extraocular</w:t>
            </w:r>
            <w:r>
              <w:rPr>
                <w:color w:val="231F20"/>
                <w:spacing w:val="-11"/>
                <w:sz w:val="15"/>
              </w:rPr>
              <w:t> </w:t>
            </w:r>
            <w:r>
              <w:rPr>
                <w:color w:val="231F20"/>
                <w:sz w:val="15"/>
              </w:rPr>
              <w:t>movement Normal visual acuity</w:t>
            </w:r>
          </w:p>
        </w:tc>
      </w:tr>
      <w:tr>
        <w:trPr>
          <w:trHeight w:val="588"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II</w:t>
            </w:r>
          </w:p>
        </w:tc>
        <w:tc>
          <w:tcPr>
            <w:tcW w:w="1196" w:type="dxa"/>
            <w:tcBorders>
              <w:top w:val="single" w:sz="4" w:space="0" w:color="FFFFFF"/>
              <w:bottom w:val="single" w:sz="4" w:space="0" w:color="FFFFFF"/>
            </w:tcBorders>
            <w:shd w:val="clear" w:color="auto" w:fill="E8F5F1"/>
          </w:tcPr>
          <w:p>
            <w:pPr>
              <w:pStyle w:val="TableParagraph"/>
              <w:spacing w:line="230" w:lineRule="auto" w:before="48"/>
              <w:ind w:left="218" w:right="215" w:hanging="112"/>
              <w:rPr>
                <w:sz w:val="15"/>
              </w:rPr>
            </w:pPr>
            <w:r>
              <w:rPr>
                <w:color w:val="231F20"/>
                <w:spacing w:val="-2"/>
                <w:sz w:val="15"/>
              </w:rPr>
              <w:t>Orbital </w:t>
            </w:r>
            <w:r>
              <w:rPr>
                <w:color w:val="231F20"/>
                <w:spacing w:val="-2"/>
                <w:w w:val="90"/>
                <w:sz w:val="15"/>
              </w:rPr>
              <w:t>cellulitis</w:t>
            </w:r>
          </w:p>
        </w:tc>
        <w:tc>
          <w:tcPr>
            <w:tcW w:w="2359" w:type="dxa"/>
            <w:tcBorders>
              <w:top w:val="single" w:sz="4" w:space="0" w:color="FFFFFF"/>
              <w:bottom w:val="single" w:sz="4" w:space="0" w:color="FFFFFF"/>
            </w:tcBorders>
            <w:shd w:val="clear" w:color="auto" w:fill="E8F5F1"/>
          </w:tcPr>
          <w:p>
            <w:pPr>
              <w:pStyle w:val="TableParagraph"/>
              <w:spacing w:line="230" w:lineRule="auto" w:before="48"/>
              <w:ind w:left="285" w:right="254" w:hanging="112"/>
              <w:rPr>
                <w:sz w:val="15"/>
              </w:rPr>
            </w:pPr>
            <w:r>
              <w:rPr>
                <w:color w:val="231F20"/>
                <w:sz w:val="15"/>
              </w:rPr>
              <w:t>Diffuse edema of orbital </w:t>
            </w:r>
            <w:r>
              <w:rPr>
                <w:color w:val="231F20"/>
                <w:spacing w:val="-2"/>
                <w:sz w:val="15"/>
              </w:rPr>
              <w:t>contents</w:t>
            </w:r>
            <w:r>
              <w:rPr>
                <w:color w:val="231F20"/>
                <w:spacing w:val="-10"/>
                <w:sz w:val="15"/>
              </w:rPr>
              <w:t> </w:t>
            </w:r>
            <w:r>
              <w:rPr>
                <w:color w:val="231F20"/>
                <w:spacing w:val="-2"/>
                <w:sz w:val="15"/>
              </w:rPr>
              <w:t>without</w:t>
            </w:r>
            <w:r>
              <w:rPr>
                <w:color w:val="231F20"/>
                <w:spacing w:val="-9"/>
                <w:sz w:val="15"/>
              </w:rPr>
              <w:t> </w:t>
            </w:r>
            <w:r>
              <w:rPr>
                <w:color w:val="231F20"/>
                <w:spacing w:val="-2"/>
                <w:sz w:val="15"/>
              </w:rPr>
              <w:t>discrete </w:t>
            </w:r>
            <w:r>
              <w:rPr>
                <w:color w:val="231F20"/>
                <w:sz w:val="15"/>
              </w:rPr>
              <w:t>abscess formation</w:t>
            </w:r>
          </w:p>
        </w:tc>
      </w:tr>
      <w:tr>
        <w:trPr>
          <w:trHeight w:val="925"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III</w:t>
            </w:r>
          </w:p>
        </w:tc>
        <w:tc>
          <w:tcPr>
            <w:tcW w:w="1196" w:type="dxa"/>
            <w:tcBorders>
              <w:top w:val="single" w:sz="4" w:space="0" w:color="FFFFFF"/>
              <w:bottom w:val="single" w:sz="4" w:space="0" w:color="FFFFFF"/>
            </w:tcBorders>
            <w:shd w:val="clear" w:color="auto" w:fill="E8F5F1"/>
          </w:tcPr>
          <w:p>
            <w:pPr>
              <w:pStyle w:val="TableParagraph"/>
              <w:spacing w:line="230" w:lineRule="auto" w:before="48"/>
              <w:ind w:left="218" w:right="122" w:hanging="112"/>
              <w:rPr>
                <w:sz w:val="15"/>
              </w:rPr>
            </w:pPr>
            <w:r>
              <w:rPr>
                <w:color w:val="231F20"/>
                <w:spacing w:val="-2"/>
                <w:sz w:val="15"/>
              </w:rPr>
              <w:t>Subperiosteal abscess</w:t>
            </w:r>
          </w:p>
        </w:tc>
        <w:tc>
          <w:tcPr>
            <w:tcW w:w="2359" w:type="dxa"/>
            <w:tcBorders>
              <w:top w:val="single" w:sz="4" w:space="0" w:color="FFFFFF"/>
              <w:bottom w:val="single" w:sz="4" w:space="0" w:color="FFFFFF"/>
            </w:tcBorders>
            <w:shd w:val="clear" w:color="auto" w:fill="E8F5F1"/>
          </w:tcPr>
          <w:p>
            <w:pPr>
              <w:pStyle w:val="TableParagraph"/>
              <w:spacing w:line="230" w:lineRule="auto" w:before="48"/>
              <w:ind w:left="285" w:right="73" w:hanging="112"/>
              <w:rPr>
                <w:sz w:val="15"/>
              </w:rPr>
            </w:pPr>
            <w:r>
              <w:rPr>
                <w:color w:val="231F20"/>
                <w:sz w:val="15"/>
              </w:rPr>
              <w:t>Collection</w:t>
            </w:r>
            <w:r>
              <w:rPr>
                <w:color w:val="231F20"/>
                <w:spacing w:val="-12"/>
                <w:sz w:val="15"/>
              </w:rPr>
              <w:t> </w:t>
            </w:r>
            <w:r>
              <w:rPr>
                <w:color w:val="231F20"/>
                <w:sz w:val="15"/>
              </w:rPr>
              <w:t>of</w:t>
            </w:r>
            <w:r>
              <w:rPr>
                <w:color w:val="231F20"/>
                <w:spacing w:val="-11"/>
                <w:sz w:val="15"/>
              </w:rPr>
              <w:t> </w:t>
            </w:r>
            <w:r>
              <w:rPr>
                <w:color w:val="231F20"/>
                <w:sz w:val="15"/>
              </w:rPr>
              <w:t>purulent</w:t>
            </w:r>
            <w:r>
              <w:rPr>
                <w:color w:val="231F20"/>
                <w:spacing w:val="-11"/>
                <w:sz w:val="15"/>
              </w:rPr>
              <w:t> </w:t>
            </w:r>
            <w:r>
              <w:rPr>
                <w:color w:val="231F20"/>
                <w:sz w:val="15"/>
              </w:rPr>
              <w:t>exudate</w:t>
            </w:r>
            <w:r>
              <w:rPr>
                <w:color w:val="0080AC"/>
                <w:sz w:val="15"/>
              </w:rPr>
              <w:t>* </w:t>
            </w:r>
            <w:r>
              <w:rPr>
                <w:color w:val="231F20"/>
                <w:sz w:val="15"/>
              </w:rPr>
              <w:t>beneath periosteum of</w:t>
            </w:r>
            <w:r>
              <w:rPr>
                <w:color w:val="231F20"/>
                <w:spacing w:val="40"/>
                <w:sz w:val="15"/>
              </w:rPr>
              <w:t> </w:t>
            </w:r>
            <w:r>
              <w:rPr>
                <w:color w:val="231F20"/>
                <w:sz w:val="15"/>
              </w:rPr>
              <w:t>lamina papyracea</w:t>
            </w:r>
          </w:p>
          <w:p>
            <w:pPr>
              <w:pStyle w:val="TableParagraph"/>
              <w:spacing w:line="230" w:lineRule="auto" w:before="3"/>
              <w:ind w:left="285" w:right="254" w:hanging="112"/>
              <w:rPr>
                <w:sz w:val="15"/>
              </w:rPr>
            </w:pPr>
            <w:r>
              <w:rPr>
                <w:color w:val="231F20"/>
                <w:sz w:val="15"/>
              </w:rPr>
              <w:t>Displacement</w:t>
            </w:r>
            <w:r>
              <w:rPr>
                <w:color w:val="231F20"/>
                <w:spacing w:val="-4"/>
                <w:sz w:val="15"/>
              </w:rPr>
              <w:t> </w:t>
            </w:r>
            <w:r>
              <w:rPr>
                <w:color w:val="231F20"/>
                <w:sz w:val="15"/>
              </w:rPr>
              <w:t>of</w:t>
            </w:r>
            <w:r>
              <w:rPr>
                <w:color w:val="231F20"/>
                <w:spacing w:val="-4"/>
                <w:sz w:val="15"/>
              </w:rPr>
              <w:t> </w:t>
            </w:r>
            <w:r>
              <w:rPr>
                <w:color w:val="231F20"/>
                <w:sz w:val="15"/>
              </w:rPr>
              <w:t>globe </w:t>
            </w:r>
            <w:r>
              <w:rPr>
                <w:color w:val="231F20"/>
                <w:spacing w:val="-2"/>
                <w:sz w:val="15"/>
              </w:rPr>
              <w:t>downward/laterally</w:t>
            </w:r>
          </w:p>
        </w:tc>
      </w:tr>
      <w:tr>
        <w:trPr>
          <w:trHeight w:val="930"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IV</w:t>
            </w:r>
          </w:p>
        </w:tc>
        <w:tc>
          <w:tcPr>
            <w:tcW w:w="1196" w:type="dxa"/>
            <w:tcBorders>
              <w:top w:val="single" w:sz="4" w:space="0" w:color="FFFFFF"/>
              <w:bottom w:val="single" w:sz="4" w:space="0" w:color="FFFFFF"/>
            </w:tcBorders>
            <w:shd w:val="clear" w:color="auto" w:fill="E8F5F1"/>
          </w:tcPr>
          <w:p>
            <w:pPr>
              <w:pStyle w:val="TableParagraph"/>
              <w:spacing w:line="230" w:lineRule="auto" w:before="48"/>
              <w:ind w:left="218" w:right="215" w:hanging="112"/>
              <w:rPr>
                <w:sz w:val="15"/>
              </w:rPr>
            </w:pPr>
            <w:r>
              <w:rPr>
                <w:color w:val="231F20"/>
                <w:spacing w:val="-2"/>
                <w:sz w:val="15"/>
              </w:rPr>
              <w:t>Orbital abscess</w:t>
            </w:r>
          </w:p>
        </w:tc>
        <w:tc>
          <w:tcPr>
            <w:tcW w:w="2359" w:type="dxa"/>
            <w:tcBorders>
              <w:top w:val="single" w:sz="4" w:space="0" w:color="FFFFFF"/>
              <w:bottom w:val="single" w:sz="4" w:space="0" w:color="FFFFFF"/>
            </w:tcBorders>
            <w:shd w:val="clear" w:color="auto" w:fill="E8F5F1"/>
          </w:tcPr>
          <w:p>
            <w:pPr>
              <w:pStyle w:val="TableParagraph"/>
              <w:spacing w:line="232" w:lineRule="auto" w:before="46"/>
              <w:ind w:left="173"/>
              <w:rPr>
                <w:sz w:val="15"/>
              </w:rPr>
            </w:pPr>
            <w:r>
              <w:rPr>
                <w:color w:val="231F20"/>
                <w:spacing w:val="-2"/>
                <w:sz w:val="15"/>
              </w:rPr>
              <w:t>Purulent</w:t>
            </w:r>
            <w:r>
              <w:rPr>
                <w:color w:val="231F20"/>
                <w:spacing w:val="-10"/>
                <w:sz w:val="15"/>
              </w:rPr>
              <w:t> </w:t>
            </w:r>
            <w:r>
              <w:rPr>
                <w:color w:val="231F20"/>
                <w:spacing w:val="-2"/>
                <w:sz w:val="15"/>
              </w:rPr>
              <w:t>collection</w:t>
            </w:r>
            <w:r>
              <w:rPr>
                <w:color w:val="231F20"/>
                <w:spacing w:val="-9"/>
                <w:sz w:val="15"/>
              </w:rPr>
              <w:t> </w:t>
            </w:r>
            <w:r>
              <w:rPr>
                <w:color w:val="231F20"/>
                <w:spacing w:val="-2"/>
                <w:sz w:val="15"/>
              </w:rPr>
              <w:t>within</w:t>
            </w:r>
            <w:r>
              <w:rPr>
                <w:color w:val="231F20"/>
                <w:spacing w:val="-9"/>
                <w:sz w:val="15"/>
              </w:rPr>
              <w:t> </w:t>
            </w:r>
            <w:r>
              <w:rPr>
                <w:color w:val="231F20"/>
                <w:spacing w:val="-2"/>
                <w:sz w:val="15"/>
              </w:rPr>
              <w:t>orbit</w:t>
            </w:r>
            <w:r>
              <w:rPr>
                <w:color w:val="0080AC"/>
                <w:spacing w:val="-2"/>
                <w:sz w:val="15"/>
              </w:rPr>
              <w:t>* </w:t>
            </w:r>
            <w:r>
              <w:rPr>
                <w:color w:val="231F20"/>
                <w:spacing w:val="-2"/>
                <w:sz w:val="15"/>
              </w:rPr>
              <w:t>Proptosis</w:t>
            </w:r>
          </w:p>
          <w:p>
            <w:pPr>
              <w:pStyle w:val="TableParagraph"/>
              <w:spacing w:line="232" w:lineRule="auto" w:before="1"/>
              <w:ind w:left="173" w:right="664"/>
              <w:rPr>
                <w:sz w:val="15"/>
              </w:rPr>
            </w:pPr>
            <w:r>
              <w:rPr>
                <w:color w:val="231F20"/>
                <w:spacing w:val="-2"/>
                <w:sz w:val="15"/>
              </w:rPr>
              <w:t>Chemosis Ophthalmoplegia </w:t>
            </w:r>
            <w:r>
              <w:rPr>
                <w:color w:val="231F20"/>
                <w:sz w:val="15"/>
              </w:rPr>
              <w:t>Decreased</w:t>
            </w:r>
            <w:r>
              <w:rPr>
                <w:color w:val="231F20"/>
                <w:spacing w:val="14"/>
                <w:sz w:val="15"/>
              </w:rPr>
              <w:t> </w:t>
            </w:r>
            <w:r>
              <w:rPr>
                <w:color w:val="231F20"/>
                <w:spacing w:val="-2"/>
                <w:sz w:val="15"/>
              </w:rPr>
              <w:t>vision</w:t>
            </w:r>
          </w:p>
        </w:tc>
      </w:tr>
      <w:tr>
        <w:trPr>
          <w:trHeight w:val="586"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10"/>
                <w:sz w:val="15"/>
              </w:rPr>
              <w:t>V</w:t>
            </w:r>
          </w:p>
        </w:tc>
        <w:tc>
          <w:tcPr>
            <w:tcW w:w="1196" w:type="dxa"/>
            <w:tcBorders>
              <w:top w:val="single" w:sz="4" w:space="0" w:color="FFFFFF"/>
              <w:bottom w:val="single" w:sz="8" w:space="0" w:color="231F20"/>
            </w:tcBorders>
            <w:shd w:val="clear" w:color="auto" w:fill="E8F5F1"/>
          </w:tcPr>
          <w:p>
            <w:pPr>
              <w:pStyle w:val="TableParagraph"/>
              <w:spacing w:line="230" w:lineRule="auto" w:before="48"/>
              <w:ind w:left="218" w:right="122" w:hanging="112"/>
              <w:rPr>
                <w:sz w:val="15"/>
              </w:rPr>
            </w:pPr>
            <w:r>
              <w:rPr>
                <w:color w:val="231F20"/>
                <w:spacing w:val="-2"/>
                <w:sz w:val="15"/>
              </w:rPr>
              <w:t>Cavernous sinus thrombosis</w:t>
            </w:r>
          </w:p>
        </w:tc>
        <w:tc>
          <w:tcPr>
            <w:tcW w:w="2359" w:type="dxa"/>
            <w:tcBorders>
              <w:top w:val="single" w:sz="4" w:space="0" w:color="FFFFFF"/>
              <w:bottom w:val="single" w:sz="8" w:space="0" w:color="231F20"/>
            </w:tcBorders>
            <w:shd w:val="clear" w:color="auto" w:fill="E8F5F1"/>
          </w:tcPr>
          <w:p>
            <w:pPr>
              <w:pStyle w:val="TableParagraph"/>
              <w:spacing w:line="232" w:lineRule="auto" w:before="46"/>
              <w:ind w:left="173" w:right="664"/>
              <w:rPr>
                <w:sz w:val="15"/>
              </w:rPr>
            </w:pPr>
            <w:r>
              <w:rPr>
                <w:color w:val="231F20"/>
                <w:spacing w:val="-2"/>
                <w:sz w:val="15"/>
              </w:rPr>
              <w:t>Bilateral</w:t>
            </w:r>
            <w:r>
              <w:rPr>
                <w:color w:val="231F20"/>
                <w:spacing w:val="-10"/>
                <w:sz w:val="15"/>
              </w:rPr>
              <w:t> </w:t>
            </w:r>
            <w:r>
              <w:rPr>
                <w:color w:val="231F20"/>
                <w:spacing w:val="-2"/>
                <w:sz w:val="15"/>
              </w:rPr>
              <w:t>eye</w:t>
            </w:r>
            <w:r>
              <w:rPr>
                <w:color w:val="231F20"/>
                <w:spacing w:val="-9"/>
                <w:sz w:val="15"/>
              </w:rPr>
              <w:t> </w:t>
            </w:r>
            <w:r>
              <w:rPr>
                <w:color w:val="231F20"/>
                <w:spacing w:val="-2"/>
                <w:sz w:val="15"/>
              </w:rPr>
              <w:t>findings Prostration Meningismus</w:t>
            </w:r>
          </w:p>
        </w:tc>
      </w:tr>
    </w:tbl>
    <w:p>
      <w:pPr>
        <w:pStyle w:val="BodyText"/>
        <w:spacing w:before="77"/>
        <w:ind w:left="5386" w:right="534"/>
        <w:jc w:val="both"/>
      </w:pPr>
      <w:r>
        <w:rPr/>
        <mc:AlternateContent>
          <mc:Choice Requires="wps">
            <w:drawing>
              <wp:anchor distT="0" distB="0" distL="0" distR="0" allowOverlap="1" layoutInCell="1" locked="0" behindDoc="0" simplePos="0" relativeHeight="15826944">
                <wp:simplePos x="0" y="0"/>
                <wp:positionH relativeFrom="page">
                  <wp:posOffset>453858</wp:posOffset>
                </wp:positionH>
                <wp:positionV relativeFrom="paragraph">
                  <wp:posOffset>-3111512</wp:posOffset>
                </wp:positionV>
                <wp:extent cx="3062605" cy="5476240"/>
                <wp:effectExtent l="0" t="0" r="0" b="0"/>
                <wp:wrapNone/>
                <wp:docPr id="1312" name="Textbox 1312"/>
                <wp:cNvGraphicFramePr>
                  <a:graphicFrameLocks/>
                </wp:cNvGraphicFramePr>
                <a:graphic>
                  <a:graphicData uri="http://schemas.microsoft.com/office/word/2010/wordprocessingShape">
                    <wps:wsp>
                      <wps:cNvPr id="1312" name="Textbox 1312"/>
                      <wps:cNvSpPr txBox="1"/>
                      <wps:spPr>
                        <a:xfrm>
                          <a:off x="0" y="0"/>
                          <a:ext cx="3062605" cy="54762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629-</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Uveitis</w:t>
                                  </w:r>
                                  <w:r>
                                    <w:rPr>
                                      <w:color w:val="FFFFFF"/>
                                      <w:spacing w:val="-4"/>
                                      <w:w w:val="105"/>
                                      <w:sz w:val="16"/>
                                    </w:rPr>
                                    <w:t> </w:t>
                                  </w:r>
                                  <w:r>
                                    <w:rPr>
                                      <w:color w:val="FFFFFF"/>
                                      <w:w w:val="105"/>
                                      <w:sz w:val="16"/>
                                    </w:rPr>
                                    <w:t>in</w:t>
                                  </w:r>
                                  <w:r>
                                    <w:rPr>
                                      <w:color w:val="FFFFFF"/>
                                      <w:spacing w:val="-4"/>
                                      <w:w w:val="105"/>
                                      <w:sz w:val="16"/>
                                    </w:rPr>
                                    <w:t> </w:t>
                                  </w:r>
                                  <w:r>
                                    <w:rPr>
                                      <w:color w:val="FFFFFF"/>
                                      <w:spacing w:val="-2"/>
                                      <w:w w:val="105"/>
                                      <w:sz w:val="16"/>
                                    </w:rPr>
                                    <w:t>Childhood</w:t>
                                  </w:r>
                                </w:p>
                              </w:tc>
                            </w:tr>
                            <w:tr>
                              <w:trPr>
                                <w:trHeight w:val="5002"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ANTERIOR</w:t>
                                  </w:r>
                                  <w:r>
                                    <w:rPr>
                                      <w:color w:val="231F20"/>
                                      <w:spacing w:val="6"/>
                                      <w:w w:val="110"/>
                                      <w:sz w:val="15"/>
                                    </w:rPr>
                                    <w:t> </w:t>
                                  </w:r>
                                  <w:r>
                                    <w:rPr>
                                      <w:color w:val="231F20"/>
                                      <w:spacing w:val="-2"/>
                                      <w:w w:val="110"/>
                                      <w:sz w:val="15"/>
                                    </w:rPr>
                                    <w:t>UVEITIS</w:t>
                                  </w:r>
                                </w:p>
                                <w:p>
                                  <w:pPr>
                                    <w:pStyle w:val="TableParagraph"/>
                                    <w:spacing w:line="232" w:lineRule="auto" w:before="2"/>
                                    <w:ind w:left="74" w:right="1733"/>
                                    <w:rPr>
                                      <w:sz w:val="15"/>
                                    </w:rPr>
                                  </w:pPr>
                                  <w:r>
                                    <w:rPr>
                                      <w:color w:val="231F20"/>
                                      <w:spacing w:val="-4"/>
                                      <w:sz w:val="15"/>
                                    </w:rPr>
                                    <w:t>Juvenile</w:t>
                                  </w:r>
                                  <w:r>
                                    <w:rPr>
                                      <w:color w:val="231F20"/>
                                      <w:spacing w:val="-5"/>
                                      <w:sz w:val="15"/>
                                    </w:rPr>
                                    <w:t> </w:t>
                                  </w:r>
                                  <w:r>
                                    <w:rPr>
                                      <w:color w:val="231F20"/>
                                      <w:spacing w:val="-4"/>
                                      <w:sz w:val="15"/>
                                    </w:rPr>
                                    <w:t>idiopathic</w:t>
                                  </w:r>
                                  <w:r>
                                    <w:rPr>
                                      <w:color w:val="231F20"/>
                                      <w:spacing w:val="-5"/>
                                      <w:sz w:val="15"/>
                                    </w:rPr>
                                    <w:t> </w:t>
                                  </w:r>
                                  <w:r>
                                    <w:rPr>
                                      <w:color w:val="231F20"/>
                                      <w:spacing w:val="-4"/>
                                      <w:sz w:val="15"/>
                                    </w:rPr>
                                    <w:t>arthritis</w:t>
                                  </w:r>
                                  <w:r>
                                    <w:rPr>
                                      <w:color w:val="231F20"/>
                                      <w:spacing w:val="-5"/>
                                      <w:sz w:val="15"/>
                                    </w:rPr>
                                    <w:t> </w:t>
                                  </w:r>
                                  <w:r>
                                    <w:rPr>
                                      <w:color w:val="231F20"/>
                                      <w:spacing w:val="-4"/>
                                      <w:sz w:val="15"/>
                                    </w:rPr>
                                    <w:t>(pauciarticular) </w:t>
                                  </w:r>
                                  <w:r>
                                    <w:rPr>
                                      <w:color w:val="231F20"/>
                                      <w:spacing w:val="-2"/>
                                      <w:sz w:val="15"/>
                                    </w:rPr>
                                    <w:t>Sarcoidosis</w:t>
                                  </w:r>
                                </w:p>
                                <w:p>
                                  <w:pPr>
                                    <w:pStyle w:val="TableParagraph"/>
                                    <w:spacing w:line="232" w:lineRule="auto" w:before="1"/>
                                    <w:ind w:left="74" w:right="3478"/>
                                    <w:rPr>
                                      <w:sz w:val="15"/>
                                    </w:rPr>
                                  </w:pPr>
                                  <w:r>
                                    <w:rPr>
                                      <w:color w:val="231F20"/>
                                      <w:spacing w:val="-2"/>
                                      <w:sz w:val="15"/>
                                    </w:rPr>
                                    <w:t>Trauma Tuberculosis Kawasaki</w:t>
                                  </w:r>
                                  <w:r>
                                    <w:rPr>
                                      <w:color w:val="231F20"/>
                                      <w:spacing w:val="-10"/>
                                      <w:sz w:val="15"/>
                                    </w:rPr>
                                    <w:t> </w:t>
                                  </w:r>
                                  <w:r>
                                    <w:rPr>
                                      <w:color w:val="231F20"/>
                                      <w:spacing w:val="-2"/>
                                      <w:sz w:val="15"/>
                                    </w:rPr>
                                    <w:t>disease </w:t>
                                  </w:r>
                                  <w:r>
                                    <w:rPr>
                                      <w:color w:val="231F20"/>
                                      <w:sz w:val="15"/>
                                    </w:rPr>
                                    <w:t>Ulcerative</w:t>
                                  </w:r>
                                  <w:r>
                                    <w:rPr>
                                      <w:color w:val="231F20"/>
                                      <w:spacing w:val="-12"/>
                                      <w:sz w:val="15"/>
                                    </w:rPr>
                                    <w:t> </w:t>
                                  </w:r>
                                  <w:r>
                                    <w:rPr>
                                      <w:color w:val="231F20"/>
                                      <w:sz w:val="15"/>
                                    </w:rPr>
                                    <w:t>colitis Crohn</w:t>
                                  </w:r>
                                  <w:r>
                                    <w:rPr>
                                      <w:color w:val="231F20"/>
                                      <w:spacing w:val="16"/>
                                      <w:sz w:val="15"/>
                                    </w:rPr>
                                    <w:t> </w:t>
                                  </w:r>
                                  <w:r>
                                    <w:rPr>
                                      <w:color w:val="231F20"/>
                                      <w:spacing w:val="-2"/>
                                      <w:sz w:val="15"/>
                                    </w:rPr>
                                    <w:t>syndrome</w:t>
                                  </w:r>
                                </w:p>
                                <w:p>
                                  <w:pPr>
                                    <w:pStyle w:val="TableParagraph"/>
                                    <w:spacing w:line="232" w:lineRule="auto" w:before="2"/>
                                    <w:ind w:left="74" w:right="434"/>
                                    <w:rPr>
                                      <w:sz w:val="15"/>
                                    </w:rPr>
                                  </w:pPr>
                                  <w:r>
                                    <w:rPr>
                                      <w:color w:val="231F20"/>
                                      <w:spacing w:val="-2"/>
                                      <w:sz w:val="15"/>
                                    </w:rPr>
                                    <w:t>Postinfectious</w:t>
                                  </w:r>
                                  <w:r>
                                    <w:rPr>
                                      <w:color w:val="231F20"/>
                                      <w:spacing w:val="-10"/>
                                      <w:sz w:val="15"/>
                                    </w:rPr>
                                    <w:t> </w:t>
                                  </w:r>
                                  <w:r>
                                    <w:rPr>
                                      <w:color w:val="231F20"/>
                                      <w:spacing w:val="-2"/>
                                      <w:sz w:val="15"/>
                                    </w:rPr>
                                    <w:t>(enteric</w:t>
                                  </w:r>
                                  <w:r>
                                    <w:rPr>
                                      <w:color w:val="231F20"/>
                                      <w:spacing w:val="-9"/>
                                      <w:sz w:val="15"/>
                                    </w:rPr>
                                    <w:t> </w:t>
                                  </w:r>
                                  <w:r>
                                    <w:rPr>
                                      <w:color w:val="231F20"/>
                                      <w:spacing w:val="-2"/>
                                      <w:sz w:val="15"/>
                                    </w:rPr>
                                    <w:t>or</w:t>
                                  </w:r>
                                  <w:r>
                                    <w:rPr>
                                      <w:color w:val="231F20"/>
                                      <w:spacing w:val="-9"/>
                                      <w:sz w:val="15"/>
                                    </w:rPr>
                                    <w:t> </w:t>
                                  </w:r>
                                  <w:r>
                                    <w:rPr>
                                      <w:color w:val="231F20"/>
                                      <w:spacing w:val="-2"/>
                                      <w:sz w:val="15"/>
                                    </w:rPr>
                                    <w:t>genital)</w:t>
                                  </w:r>
                                  <w:r>
                                    <w:rPr>
                                      <w:color w:val="231F20"/>
                                      <w:spacing w:val="-10"/>
                                      <w:sz w:val="15"/>
                                    </w:rPr>
                                    <w:t> </w:t>
                                  </w:r>
                                  <w:r>
                                    <w:rPr>
                                      <w:color w:val="231F20"/>
                                      <w:spacing w:val="-2"/>
                                      <w:sz w:val="15"/>
                                    </w:rPr>
                                    <w:t>with</w:t>
                                  </w:r>
                                  <w:r>
                                    <w:rPr>
                                      <w:color w:val="231F20"/>
                                      <w:spacing w:val="-9"/>
                                      <w:sz w:val="15"/>
                                    </w:rPr>
                                    <w:t> </w:t>
                                  </w:r>
                                  <w:r>
                                    <w:rPr>
                                      <w:color w:val="231F20"/>
                                      <w:spacing w:val="-2"/>
                                      <w:sz w:val="15"/>
                                    </w:rPr>
                                    <w:t>arthritis</w:t>
                                  </w:r>
                                  <w:r>
                                    <w:rPr>
                                      <w:color w:val="231F20"/>
                                      <w:spacing w:val="-9"/>
                                      <w:sz w:val="15"/>
                                    </w:rPr>
                                    <w:t> </w:t>
                                  </w:r>
                                  <w:r>
                                    <w:rPr>
                                      <w:color w:val="231F20"/>
                                      <w:spacing w:val="-2"/>
                                      <w:sz w:val="15"/>
                                    </w:rPr>
                                    <w:t>and</w:t>
                                  </w:r>
                                  <w:r>
                                    <w:rPr>
                                      <w:color w:val="231F20"/>
                                      <w:spacing w:val="-10"/>
                                      <w:sz w:val="15"/>
                                    </w:rPr>
                                    <w:t> </w:t>
                                  </w:r>
                                  <w:r>
                                    <w:rPr>
                                      <w:color w:val="231F20"/>
                                      <w:spacing w:val="-2"/>
                                      <w:sz w:val="15"/>
                                    </w:rPr>
                                    <w:t>rash </w:t>
                                  </w:r>
                                  <w:r>
                                    <w:rPr>
                                      <w:color w:val="231F20"/>
                                      <w:sz w:val="15"/>
                                    </w:rPr>
                                    <w:t>Spirochetal (syphilis, leptospiral)</w:t>
                                  </w:r>
                                </w:p>
                                <w:p>
                                  <w:pPr>
                                    <w:pStyle w:val="TableParagraph"/>
                                    <w:spacing w:line="169" w:lineRule="exact"/>
                                    <w:ind w:left="74"/>
                                    <w:rPr>
                                      <w:sz w:val="15"/>
                                    </w:rPr>
                                  </w:pPr>
                                  <w:r>
                                    <w:rPr>
                                      <w:color w:val="231F20"/>
                                      <w:spacing w:val="-2"/>
                                      <w:sz w:val="15"/>
                                    </w:rPr>
                                    <w:t>Brucellosis</w:t>
                                  </w:r>
                                </w:p>
                                <w:p>
                                  <w:pPr>
                                    <w:pStyle w:val="TableParagraph"/>
                                    <w:spacing w:line="232" w:lineRule="auto" w:before="2"/>
                                    <w:ind w:left="74" w:right="2208"/>
                                    <w:rPr>
                                      <w:sz w:val="15"/>
                                    </w:rPr>
                                  </w:pPr>
                                  <w:r>
                                    <w:rPr>
                                      <w:color w:val="231F20"/>
                                      <w:sz w:val="15"/>
                                    </w:rPr>
                                    <w:t>Heterochromic iridocyclitis (Fuchs) </w:t>
                                  </w:r>
                                  <w:r>
                                    <w:rPr>
                                      <w:color w:val="231F20"/>
                                      <w:spacing w:val="-2"/>
                                      <w:sz w:val="15"/>
                                    </w:rPr>
                                    <w:t>Viral</w:t>
                                  </w:r>
                                  <w:r>
                                    <w:rPr>
                                      <w:color w:val="231F20"/>
                                      <w:spacing w:val="-10"/>
                                      <w:sz w:val="15"/>
                                    </w:rPr>
                                    <w:t> </w:t>
                                  </w:r>
                                  <w:r>
                                    <w:rPr>
                                      <w:color w:val="231F20"/>
                                      <w:spacing w:val="-2"/>
                                      <w:sz w:val="15"/>
                                    </w:rPr>
                                    <w:t>(herpes</w:t>
                                  </w:r>
                                  <w:r>
                                    <w:rPr>
                                      <w:color w:val="231F20"/>
                                      <w:spacing w:val="-9"/>
                                      <w:sz w:val="15"/>
                                    </w:rPr>
                                    <w:t> </w:t>
                                  </w:r>
                                  <w:r>
                                    <w:rPr>
                                      <w:color w:val="231F20"/>
                                      <w:spacing w:val="-2"/>
                                      <w:sz w:val="15"/>
                                    </w:rPr>
                                    <w:t>simplex,</w:t>
                                  </w:r>
                                  <w:r>
                                    <w:rPr>
                                      <w:color w:val="231F20"/>
                                      <w:spacing w:val="-9"/>
                                      <w:sz w:val="15"/>
                                    </w:rPr>
                                    <w:t> </w:t>
                                  </w:r>
                                  <w:r>
                                    <w:rPr>
                                      <w:color w:val="231F20"/>
                                      <w:spacing w:val="-2"/>
                                      <w:sz w:val="15"/>
                                    </w:rPr>
                                    <w:t>herpes</w:t>
                                  </w:r>
                                  <w:r>
                                    <w:rPr>
                                      <w:color w:val="231F20"/>
                                      <w:spacing w:val="-10"/>
                                      <w:sz w:val="15"/>
                                    </w:rPr>
                                    <w:t> </w:t>
                                  </w:r>
                                  <w:r>
                                    <w:rPr>
                                      <w:color w:val="231F20"/>
                                      <w:spacing w:val="-2"/>
                                      <w:sz w:val="15"/>
                                    </w:rPr>
                                    <w:t>zoster) </w:t>
                                  </w:r>
                                  <w:r>
                                    <w:rPr>
                                      <w:color w:val="231F20"/>
                                      <w:sz w:val="15"/>
                                    </w:rPr>
                                    <w:t>Ankylosing spondylitis</w:t>
                                  </w:r>
                                </w:p>
                                <w:p>
                                  <w:pPr>
                                    <w:pStyle w:val="TableParagraph"/>
                                    <w:spacing w:line="169" w:lineRule="exact"/>
                                    <w:ind w:left="74"/>
                                    <w:rPr>
                                      <w:sz w:val="15"/>
                                    </w:rPr>
                                  </w:pPr>
                                  <w:r>
                                    <w:rPr>
                                      <w:color w:val="231F20"/>
                                      <w:sz w:val="15"/>
                                    </w:rPr>
                                    <w:t>Stevens-Johnson</w:t>
                                  </w:r>
                                  <w:r>
                                    <w:rPr>
                                      <w:color w:val="231F20"/>
                                      <w:spacing w:val="12"/>
                                      <w:sz w:val="15"/>
                                    </w:rPr>
                                    <w:t> </w:t>
                                  </w:r>
                                  <w:r>
                                    <w:rPr>
                                      <w:color w:val="231F20"/>
                                      <w:spacing w:val="-2"/>
                                      <w:sz w:val="15"/>
                                    </w:rPr>
                                    <w:t>syndrome</w:t>
                                  </w:r>
                                </w:p>
                                <w:p>
                                  <w:pPr>
                                    <w:pStyle w:val="TableParagraph"/>
                                    <w:spacing w:line="232" w:lineRule="auto" w:before="2"/>
                                    <w:ind w:left="74"/>
                                    <w:rPr>
                                      <w:sz w:val="15"/>
                                    </w:rPr>
                                  </w:pPr>
                                  <w:r>
                                    <w:rPr>
                                      <w:color w:val="231F20"/>
                                      <w:sz w:val="15"/>
                                    </w:rPr>
                                    <w:t>Chronic</w:t>
                                  </w:r>
                                  <w:r>
                                    <w:rPr>
                                      <w:color w:val="231F20"/>
                                      <w:spacing w:val="-10"/>
                                      <w:sz w:val="15"/>
                                    </w:rPr>
                                    <w:t> </w:t>
                                  </w:r>
                                  <w:r>
                                    <w:rPr>
                                      <w:color w:val="231F20"/>
                                      <w:sz w:val="15"/>
                                    </w:rPr>
                                    <w:t>infantile</w:t>
                                  </w:r>
                                  <w:r>
                                    <w:rPr>
                                      <w:color w:val="231F20"/>
                                      <w:spacing w:val="-10"/>
                                      <w:sz w:val="15"/>
                                    </w:rPr>
                                    <w:t> </w:t>
                                  </w:r>
                                  <w:r>
                                    <w:rPr>
                                      <w:color w:val="231F20"/>
                                      <w:sz w:val="15"/>
                                    </w:rPr>
                                    <w:t>neurologic</w:t>
                                  </w:r>
                                  <w:r>
                                    <w:rPr>
                                      <w:color w:val="231F20"/>
                                      <w:spacing w:val="-10"/>
                                      <w:sz w:val="15"/>
                                    </w:rPr>
                                    <w:t> </w:t>
                                  </w:r>
                                  <w:r>
                                    <w:rPr>
                                      <w:color w:val="231F20"/>
                                      <w:sz w:val="15"/>
                                    </w:rPr>
                                    <w:t>cutaneous</w:t>
                                  </w:r>
                                  <w:r>
                                    <w:rPr>
                                      <w:color w:val="231F20"/>
                                      <w:spacing w:val="-10"/>
                                      <w:sz w:val="15"/>
                                    </w:rPr>
                                    <w:t> </w:t>
                                  </w:r>
                                  <w:r>
                                    <w:rPr>
                                      <w:color w:val="231F20"/>
                                      <w:sz w:val="15"/>
                                    </w:rPr>
                                    <w:t>arthritis</w:t>
                                  </w:r>
                                  <w:r>
                                    <w:rPr>
                                      <w:color w:val="231F20"/>
                                      <w:spacing w:val="-10"/>
                                      <w:sz w:val="15"/>
                                    </w:rPr>
                                    <w:t> </w:t>
                                  </w:r>
                                  <w:r>
                                    <w:rPr>
                                      <w:color w:val="231F20"/>
                                      <w:sz w:val="15"/>
                                    </w:rPr>
                                    <w:t>syndrome</w:t>
                                  </w:r>
                                  <w:r>
                                    <w:rPr>
                                      <w:color w:val="231F20"/>
                                      <w:spacing w:val="-10"/>
                                      <w:sz w:val="15"/>
                                    </w:rPr>
                                    <w:t> </w:t>
                                  </w:r>
                                  <w:r>
                                    <w:rPr>
                                      <w:color w:val="231F20"/>
                                      <w:sz w:val="15"/>
                                    </w:rPr>
                                    <w:t>(CINCA) Familial Mediterranean fever</w:t>
                                  </w:r>
                                </w:p>
                                <w:p>
                                  <w:pPr>
                                    <w:pStyle w:val="TableParagraph"/>
                                    <w:spacing w:line="169" w:lineRule="exact"/>
                                    <w:ind w:left="74"/>
                                    <w:rPr>
                                      <w:sz w:val="15"/>
                                    </w:rPr>
                                  </w:pPr>
                                  <w:r>
                                    <w:rPr>
                                      <w:color w:val="231F20"/>
                                      <w:sz w:val="15"/>
                                    </w:rPr>
                                    <w:t>Hyperimmunoglobulin</w:t>
                                  </w:r>
                                  <w:r>
                                    <w:rPr>
                                      <w:color w:val="231F20"/>
                                      <w:spacing w:val="17"/>
                                      <w:sz w:val="15"/>
                                    </w:rPr>
                                    <w:t> </w:t>
                                  </w:r>
                                  <w:r>
                                    <w:rPr>
                                      <w:color w:val="231F20"/>
                                      <w:sz w:val="15"/>
                                    </w:rPr>
                                    <w:t>D</w:t>
                                  </w:r>
                                  <w:r>
                                    <w:rPr>
                                      <w:color w:val="231F20"/>
                                      <w:spacing w:val="18"/>
                                      <w:sz w:val="15"/>
                                    </w:rPr>
                                    <w:t> </w:t>
                                  </w:r>
                                  <w:r>
                                    <w:rPr>
                                      <w:color w:val="231F20"/>
                                      <w:spacing w:val="-2"/>
                                      <w:sz w:val="15"/>
                                    </w:rPr>
                                    <w:t>syndrome</w:t>
                                  </w:r>
                                </w:p>
                                <w:p>
                                  <w:pPr>
                                    <w:pStyle w:val="TableParagraph"/>
                                    <w:spacing w:line="232" w:lineRule="auto" w:before="2"/>
                                    <w:ind w:left="74" w:right="491"/>
                                    <w:rPr>
                                      <w:sz w:val="15"/>
                                    </w:rPr>
                                  </w:pPr>
                                  <w:r>
                                    <w:rPr>
                                      <w:color w:val="231F20"/>
                                      <w:sz w:val="15"/>
                                    </w:rPr>
                                    <w:t>Tumor</w:t>
                                  </w:r>
                                  <w:r>
                                    <w:rPr>
                                      <w:color w:val="231F20"/>
                                      <w:spacing w:val="-8"/>
                                      <w:sz w:val="15"/>
                                    </w:rPr>
                                    <w:t> </w:t>
                                  </w:r>
                                  <w:r>
                                    <w:rPr>
                                      <w:color w:val="231F20"/>
                                      <w:sz w:val="15"/>
                                    </w:rPr>
                                    <w:t>necrosis</w:t>
                                  </w:r>
                                  <w:r>
                                    <w:rPr>
                                      <w:color w:val="231F20"/>
                                      <w:spacing w:val="-8"/>
                                      <w:sz w:val="15"/>
                                    </w:rPr>
                                    <w:t> </w:t>
                                  </w:r>
                                  <w:r>
                                    <w:rPr>
                                      <w:color w:val="231F20"/>
                                      <w:sz w:val="15"/>
                                    </w:rPr>
                                    <w:t>factor</w:t>
                                  </w:r>
                                  <w:r>
                                    <w:rPr>
                                      <w:color w:val="231F20"/>
                                      <w:spacing w:val="-8"/>
                                      <w:sz w:val="15"/>
                                    </w:rPr>
                                    <w:t> </w:t>
                                  </w:r>
                                  <w:r>
                                    <w:rPr>
                                      <w:color w:val="231F20"/>
                                      <w:sz w:val="15"/>
                                    </w:rPr>
                                    <w:t>receptor–associated</w:t>
                                  </w:r>
                                  <w:r>
                                    <w:rPr>
                                      <w:color w:val="231F20"/>
                                      <w:spacing w:val="-8"/>
                                      <w:sz w:val="15"/>
                                    </w:rPr>
                                    <w:t> </w:t>
                                  </w:r>
                                  <w:r>
                                    <w:rPr>
                                      <w:color w:val="231F20"/>
                                      <w:sz w:val="15"/>
                                    </w:rPr>
                                    <w:t>periodic</w:t>
                                  </w:r>
                                  <w:r>
                                    <w:rPr>
                                      <w:color w:val="231F20"/>
                                      <w:spacing w:val="-8"/>
                                      <w:sz w:val="15"/>
                                    </w:rPr>
                                    <w:t> </w:t>
                                  </w:r>
                                  <w:r>
                                    <w:rPr>
                                      <w:color w:val="231F20"/>
                                      <w:sz w:val="15"/>
                                    </w:rPr>
                                    <w:t>syndrome Muckle-Wells syndrome</w:t>
                                  </w:r>
                                </w:p>
                                <w:p>
                                  <w:pPr>
                                    <w:pStyle w:val="TableParagraph"/>
                                    <w:spacing w:line="232" w:lineRule="auto" w:before="1"/>
                                    <w:ind w:left="74" w:right="3477"/>
                                    <w:rPr>
                                      <w:sz w:val="15"/>
                                    </w:rPr>
                                  </w:pPr>
                                  <w:r>
                                    <w:rPr>
                                      <w:color w:val="231F20"/>
                                      <w:sz w:val="15"/>
                                    </w:rPr>
                                    <w:t>Blau syndrome </w:t>
                                  </w:r>
                                  <w:r>
                                    <w:rPr>
                                      <w:color w:val="231F20"/>
                                      <w:spacing w:val="-2"/>
                                      <w:sz w:val="15"/>
                                    </w:rPr>
                                    <w:t>Psoriasis</w:t>
                                  </w:r>
                                  <w:r>
                                    <w:rPr>
                                      <w:color w:val="231F20"/>
                                      <w:spacing w:val="80"/>
                                      <w:sz w:val="15"/>
                                    </w:rPr>
                                    <w:t> </w:t>
                                  </w:r>
                                  <w:r>
                                    <w:rPr>
                                      <w:color w:val="231F20"/>
                                      <w:spacing w:val="-2"/>
                                      <w:sz w:val="15"/>
                                    </w:rPr>
                                    <w:t>Multiple</w:t>
                                  </w:r>
                                  <w:r>
                                    <w:rPr>
                                      <w:color w:val="231F20"/>
                                      <w:spacing w:val="-8"/>
                                      <w:sz w:val="15"/>
                                    </w:rPr>
                                    <w:t> </w:t>
                                  </w:r>
                                  <w:r>
                                    <w:rPr>
                                      <w:color w:val="231F20"/>
                                      <w:spacing w:val="-2"/>
                                      <w:sz w:val="15"/>
                                    </w:rPr>
                                    <w:t>sclerosis</w:t>
                                  </w:r>
                                </w:p>
                                <w:p>
                                  <w:pPr>
                                    <w:pStyle w:val="TableParagraph"/>
                                    <w:spacing w:line="169" w:lineRule="exact"/>
                                    <w:ind w:left="74"/>
                                    <w:rPr>
                                      <w:sz w:val="15"/>
                                    </w:rPr>
                                  </w:pPr>
                                  <w:r>
                                    <w:rPr>
                                      <w:color w:val="231F20"/>
                                      <w:sz w:val="15"/>
                                    </w:rPr>
                                    <w:t>Cyclic</w:t>
                                  </w:r>
                                  <w:r>
                                    <w:rPr>
                                      <w:color w:val="231F20"/>
                                      <w:spacing w:val="-11"/>
                                      <w:sz w:val="15"/>
                                    </w:rPr>
                                    <w:t> </w:t>
                                  </w:r>
                                  <w:r>
                                    <w:rPr>
                                      <w:color w:val="231F20"/>
                                      <w:spacing w:val="-2"/>
                                      <w:sz w:val="15"/>
                                    </w:rPr>
                                    <w:t>neutropenia</w:t>
                                  </w:r>
                                </w:p>
                                <w:p>
                                  <w:pPr>
                                    <w:pStyle w:val="TableParagraph"/>
                                    <w:spacing w:line="169" w:lineRule="exact"/>
                                    <w:ind w:left="74"/>
                                    <w:rPr>
                                      <w:sz w:val="15"/>
                                    </w:rPr>
                                  </w:pPr>
                                  <w:r>
                                    <w:rPr>
                                      <w:color w:val="231F20"/>
                                      <w:sz w:val="15"/>
                                    </w:rPr>
                                    <w:t>Chronic</w:t>
                                  </w:r>
                                  <w:r>
                                    <w:rPr>
                                      <w:color w:val="231F20"/>
                                      <w:spacing w:val="8"/>
                                      <w:sz w:val="15"/>
                                    </w:rPr>
                                    <w:t> </w:t>
                                  </w:r>
                                  <w:r>
                                    <w:rPr>
                                      <w:color w:val="231F20"/>
                                      <w:sz w:val="15"/>
                                    </w:rPr>
                                    <w:t>granulomatous</w:t>
                                  </w:r>
                                  <w:r>
                                    <w:rPr>
                                      <w:color w:val="231F20"/>
                                      <w:spacing w:val="8"/>
                                      <w:sz w:val="15"/>
                                    </w:rPr>
                                    <w:t> </w:t>
                                  </w:r>
                                  <w:r>
                                    <w:rPr>
                                      <w:color w:val="231F20"/>
                                      <w:spacing w:val="-2"/>
                                      <w:sz w:val="15"/>
                                    </w:rPr>
                                    <w:t>disease</w:t>
                                  </w:r>
                                </w:p>
                                <w:p>
                                  <w:pPr>
                                    <w:pStyle w:val="TableParagraph"/>
                                    <w:spacing w:line="232" w:lineRule="auto" w:before="2"/>
                                    <w:ind w:left="74" w:right="1899"/>
                                    <w:rPr>
                                      <w:sz w:val="15"/>
                                    </w:rPr>
                                  </w:pPr>
                                  <w:r>
                                    <w:rPr>
                                      <w:color w:val="231F20"/>
                                      <w:spacing w:val="-2"/>
                                      <w:sz w:val="15"/>
                                    </w:rPr>
                                    <w:t>X-linked</w:t>
                                  </w:r>
                                  <w:r>
                                    <w:rPr>
                                      <w:color w:val="231F20"/>
                                      <w:spacing w:val="-4"/>
                                      <w:sz w:val="15"/>
                                    </w:rPr>
                                    <w:t> </w:t>
                                  </w:r>
                                  <w:r>
                                    <w:rPr>
                                      <w:color w:val="231F20"/>
                                      <w:spacing w:val="-2"/>
                                      <w:sz w:val="15"/>
                                    </w:rPr>
                                    <w:t>lymphoproliferative</w:t>
                                  </w:r>
                                  <w:r>
                                    <w:rPr>
                                      <w:color w:val="231F20"/>
                                      <w:spacing w:val="-4"/>
                                      <w:sz w:val="15"/>
                                    </w:rPr>
                                    <w:t> </w:t>
                                  </w:r>
                                  <w:r>
                                    <w:rPr>
                                      <w:color w:val="231F20"/>
                                      <w:spacing w:val="-2"/>
                                      <w:sz w:val="15"/>
                                    </w:rPr>
                                    <w:t>diseas</w:t>
                                  </w:r>
                                  <w:r>
                                    <w:rPr>
                                      <w:color w:val="231F20"/>
                                      <w:spacing w:val="-2"/>
                                      <w:sz w:val="15"/>
                                    </w:rPr>
                                    <w:t>e</w:t>
                                  </w:r>
                                  <w:r>
                                    <w:rPr>
                                      <w:color w:val="231F20"/>
                                      <w:spacing w:val="-2"/>
                                      <w:sz w:val="15"/>
                                    </w:rPr>
                                    <w:t> </w:t>
                                  </w:r>
                                  <w:r>
                                    <w:rPr>
                                      <w:color w:val="231F20"/>
                                      <w:sz w:val="15"/>
                                    </w:rPr>
                                    <w:t>Hypocomplementemic vasculitis </w:t>
                                  </w:r>
                                  <w:r>
                                    <w:rPr>
                                      <w:color w:val="231F20"/>
                                      <w:spacing w:val="-2"/>
                                      <w:sz w:val="15"/>
                                    </w:rPr>
                                    <w:t>Idiopathic</w:t>
                                  </w:r>
                                </w:p>
                                <w:p>
                                  <w:pPr>
                                    <w:pStyle w:val="TableParagraph"/>
                                    <w:spacing w:line="171" w:lineRule="exact"/>
                                    <w:ind w:left="74"/>
                                    <w:rPr>
                                      <w:sz w:val="15"/>
                                    </w:rPr>
                                  </w:pPr>
                                  <w:r>
                                    <w:rPr>
                                      <w:color w:val="231F20"/>
                                      <w:spacing w:val="-2"/>
                                      <w:w w:val="110"/>
                                      <w:sz w:val="15"/>
                                    </w:rPr>
                                    <w:t>Drugs</w:t>
                                  </w:r>
                                </w:p>
                              </w:tc>
                            </w:tr>
                            <w:tr>
                              <w:trPr>
                                <w:trHeight w:val="1947"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POSTERIOR</w:t>
                                  </w:r>
                                  <w:r>
                                    <w:rPr>
                                      <w:color w:val="231F20"/>
                                      <w:spacing w:val="10"/>
                                      <w:w w:val="110"/>
                                      <w:sz w:val="15"/>
                                    </w:rPr>
                                    <w:t> </w:t>
                                  </w:r>
                                  <w:r>
                                    <w:rPr>
                                      <w:color w:val="231F20"/>
                                      <w:w w:val="110"/>
                                      <w:sz w:val="15"/>
                                    </w:rPr>
                                    <w:t>UVEITIS</w:t>
                                  </w:r>
                                  <w:r>
                                    <w:rPr>
                                      <w:color w:val="231F20"/>
                                      <w:spacing w:val="10"/>
                                      <w:w w:val="110"/>
                                      <w:sz w:val="15"/>
                                    </w:rPr>
                                    <w:t> </w:t>
                                  </w:r>
                                  <w:r>
                                    <w:rPr>
                                      <w:color w:val="231F20"/>
                                      <w:w w:val="110"/>
                                      <w:sz w:val="15"/>
                                    </w:rPr>
                                    <w:t>(CHOROIDITIS—MAY</w:t>
                                  </w:r>
                                  <w:r>
                                    <w:rPr>
                                      <w:color w:val="231F20"/>
                                      <w:spacing w:val="10"/>
                                      <w:w w:val="110"/>
                                      <w:sz w:val="15"/>
                                    </w:rPr>
                                    <w:t> </w:t>
                                  </w:r>
                                  <w:r>
                                    <w:rPr>
                                      <w:color w:val="231F20"/>
                                      <w:w w:val="110"/>
                                      <w:sz w:val="15"/>
                                    </w:rPr>
                                    <w:t>INVOLVE</w:t>
                                  </w:r>
                                  <w:r>
                                    <w:rPr>
                                      <w:color w:val="231F20"/>
                                      <w:spacing w:val="10"/>
                                      <w:w w:val="110"/>
                                      <w:sz w:val="15"/>
                                    </w:rPr>
                                    <w:t> </w:t>
                                  </w:r>
                                  <w:r>
                                    <w:rPr>
                                      <w:color w:val="231F20"/>
                                      <w:spacing w:val="-2"/>
                                      <w:w w:val="110"/>
                                      <w:sz w:val="15"/>
                                    </w:rPr>
                                    <w:t>RETINA)</w:t>
                                  </w:r>
                                </w:p>
                                <w:p>
                                  <w:pPr>
                                    <w:pStyle w:val="TableParagraph"/>
                                    <w:spacing w:line="232" w:lineRule="auto" w:before="2"/>
                                    <w:ind w:left="74" w:right="2993"/>
                                    <w:rPr>
                                      <w:sz w:val="15"/>
                                    </w:rPr>
                                  </w:pPr>
                                  <w:r>
                                    <w:rPr>
                                      <w:color w:val="231F20"/>
                                      <w:spacing w:val="-2"/>
                                      <w:sz w:val="15"/>
                                    </w:rPr>
                                    <w:t>Toxoplasmosis Toxocariasis</w:t>
                                  </w:r>
                                </w:p>
                                <w:p>
                                  <w:pPr>
                                    <w:pStyle w:val="TableParagraph"/>
                                    <w:spacing w:line="232" w:lineRule="auto" w:before="1"/>
                                    <w:ind w:left="74" w:right="2667"/>
                                    <w:rPr>
                                      <w:sz w:val="15"/>
                                    </w:rPr>
                                  </w:pPr>
                                  <w:r>
                                    <w:rPr>
                                      <w:color w:val="231F20"/>
                                      <w:spacing w:val="-4"/>
                                      <w:sz w:val="15"/>
                                    </w:rPr>
                                    <w:t>Parasites</w:t>
                                  </w:r>
                                  <w:r>
                                    <w:rPr>
                                      <w:color w:val="231F20"/>
                                      <w:spacing w:val="-8"/>
                                      <w:sz w:val="15"/>
                                    </w:rPr>
                                    <w:t> </w:t>
                                  </w:r>
                                  <w:r>
                                    <w:rPr>
                                      <w:color w:val="231F20"/>
                                      <w:spacing w:val="-4"/>
                                      <w:sz w:val="15"/>
                                    </w:rPr>
                                    <w:t>(toxocariasis) </w:t>
                                  </w:r>
                                  <w:r>
                                    <w:rPr>
                                      <w:color w:val="231F20"/>
                                      <w:spacing w:val="-2"/>
                                      <w:sz w:val="15"/>
                                    </w:rPr>
                                    <w:t>Sarcoidosis</w:t>
                                  </w:r>
                                </w:p>
                                <w:p>
                                  <w:pPr>
                                    <w:pStyle w:val="TableParagraph"/>
                                    <w:spacing w:line="232" w:lineRule="auto" w:before="1"/>
                                    <w:ind w:left="74" w:right="2667"/>
                                    <w:rPr>
                                      <w:sz w:val="15"/>
                                    </w:rPr>
                                  </w:pPr>
                                  <w:r>
                                    <w:rPr>
                                      <w:color w:val="231F20"/>
                                      <w:spacing w:val="-2"/>
                                      <w:sz w:val="15"/>
                                    </w:rPr>
                                    <w:t>Cat-scratch</w:t>
                                  </w:r>
                                  <w:r>
                                    <w:rPr>
                                      <w:color w:val="231F20"/>
                                      <w:spacing w:val="-10"/>
                                      <w:sz w:val="15"/>
                                    </w:rPr>
                                    <w:t> </w:t>
                                  </w:r>
                                  <w:r>
                                    <w:rPr>
                                      <w:color w:val="231F20"/>
                                      <w:spacing w:val="-2"/>
                                      <w:sz w:val="15"/>
                                    </w:rPr>
                                    <w:t>disease Tuberculosis</w:t>
                                  </w:r>
                                </w:p>
                                <w:p>
                                  <w:pPr>
                                    <w:pStyle w:val="TableParagraph"/>
                                    <w:spacing w:line="232" w:lineRule="auto" w:before="1"/>
                                    <w:ind w:left="74"/>
                                    <w:rPr>
                                      <w:sz w:val="15"/>
                                    </w:rPr>
                                  </w:pPr>
                                  <w:r>
                                    <w:rPr>
                                      <w:color w:val="231F20"/>
                                      <w:spacing w:val="-2"/>
                                      <w:sz w:val="15"/>
                                    </w:rPr>
                                    <w:t>Viral</w:t>
                                  </w:r>
                                  <w:r>
                                    <w:rPr>
                                      <w:color w:val="231F20"/>
                                      <w:spacing w:val="-6"/>
                                      <w:sz w:val="15"/>
                                    </w:rPr>
                                    <w:t> </w:t>
                                  </w:r>
                                  <w:r>
                                    <w:rPr>
                                      <w:color w:val="231F20"/>
                                      <w:spacing w:val="-2"/>
                                      <w:sz w:val="15"/>
                                    </w:rPr>
                                    <w:t>(rubella,</w:t>
                                  </w:r>
                                  <w:r>
                                    <w:rPr>
                                      <w:color w:val="231F20"/>
                                      <w:spacing w:val="-6"/>
                                      <w:sz w:val="15"/>
                                    </w:rPr>
                                    <w:t> </w:t>
                                  </w:r>
                                  <w:r>
                                    <w:rPr>
                                      <w:color w:val="231F20"/>
                                      <w:spacing w:val="-2"/>
                                      <w:sz w:val="15"/>
                                    </w:rPr>
                                    <w:t>herpes</w:t>
                                  </w:r>
                                  <w:r>
                                    <w:rPr>
                                      <w:color w:val="231F20"/>
                                      <w:spacing w:val="-6"/>
                                      <w:sz w:val="15"/>
                                    </w:rPr>
                                    <w:t> </w:t>
                                  </w:r>
                                  <w:r>
                                    <w:rPr>
                                      <w:color w:val="231F20"/>
                                      <w:spacing w:val="-2"/>
                                      <w:sz w:val="15"/>
                                    </w:rPr>
                                    <w:t>simplex,</w:t>
                                  </w:r>
                                  <w:r>
                                    <w:rPr>
                                      <w:color w:val="231F20"/>
                                      <w:spacing w:val="-6"/>
                                      <w:sz w:val="15"/>
                                    </w:rPr>
                                    <w:t> </w:t>
                                  </w:r>
                                  <w:r>
                                    <w:rPr>
                                      <w:color w:val="231F20"/>
                                      <w:spacing w:val="-2"/>
                                      <w:sz w:val="15"/>
                                    </w:rPr>
                                    <w:t>HIV,</w:t>
                                  </w:r>
                                  <w:r>
                                    <w:rPr>
                                      <w:color w:val="231F20"/>
                                      <w:spacing w:val="-6"/>
                                      <w:sz w:val="15"/>
                                    </w:rPr>
                                    <w:t> </w:t>
                                  </w:r>
                                  <w:r>
                                    <w:rPr>
                                      <w:color w:val="231F20"/>
                                      <w:spacing w:val="-2"/>
                                      <w:sz w:val="15"/>
                                    </w:rPr>
                                    <w:t>cytomegalovirus,</w:t>
                                  </w:r>
                                  <w:r>
                                    <w:rPr>
                                      <w:color w:val="231F20"/>
                                      <w:spacing w:val="-6"/>
                                      <w:sz w:val="15"/>
                                    </w:rPr>
                                    <w:t> </w:t>
                                  </w:r>
                                  <w:r>
                                    <w:rPr>
                                      <w:color w:val="231F20"/>
                                      <w:spacing w:val="-2"/>
                                      <w:sz w:val="15"/>
                                    </w:rPr>
                                    <w:t>West</w:t>
                                  </w:r>
                                  <w:r>
                                    <w:rPr>
                                      <w:color w:val="231F20"/>
                                      <w:spacing w:val="-6"/>
                                      <w:sz w:val="15"/>
                                    </w:rPr>
                                    <w:t> </w:t>
                                  </w:r>
                                  <w:r>
                                    <w:rPr>
                                      <w:color w:val="231F20"/>
                                      <w:spacing w:val="-2"/>
                                      <w:sz w:val="15"/>
                                    </w:rPr>
                                    <w:t>Nile) </w:t>
                                  </w:r>
                                  <w:r>
                                    <w:rPr>
                                      <w:color w:val="231F20"/>
                                      <w:sz w:val="15"/>
                                    </w:rPr>
                                    <w:t>Subacute sclerosing panencephalitis</w:t>
                                  </w:r>
                                </w:p>
                                <w:p>
                                  <w:pPr>
                                    <w:pStyle w:val="TableParagraph"/>
                                    <w:spacing w:line="232" w:lineRule="auto" w:before="1"/>
                                    <w:ind w:left="74" w:right="1221"/>
                                    <w:rPr>
                                      <w:sz w:val="15"/>
                                    </w:rPr>
                                  </w:pPr>
                                  <w:r>
                                    <w:rPr>
                                      <w:color w:val="231F20"/>
                                      <w:spacing w:val="-2"/>
                                      <w:sz w:val="15"/>
                                    </w:rPr>
                                    <w:t>Tubulointestinal nephritis and uveitis </w:t>
                                  </w:r>
                                  <w:r>
                                    <w:rPr>
                                      <w:color w:val="231F20"/>
                                      <w:spacing w:val="-2"/>
                                      <w:sz w:val="15"/>
                                    </w:rPr>
                                    <w:t>syndrome Idiopathic</w:t>
                                  </w:r>
                                </w:p>
                              </w:tc>
                            </w:tr>
                            <w:tr>
                              <w:trPr>
                                <w:trHeight w:val="1262"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ANTERIOR</w:t>
                                  </w:r>
                                  <w:r>
                                    <w:rPr>
                                      <w:color w:val="231F20"/>
                                      <w:spacing w:val="3"/>
                                      <w:w w:val="110"/>
                                      <w:sz w:val="15"/>
                                    </w:rPr>
                                    <w:t> </w:t>
                                  </w:r>
                                  <w:r>
                                    <w:rPr>
                                      <w:color w:val="231F20"/>
                                      <w:w w:val="110"/>
                                      <w:sz w:val="15"/>
                                    </w:rPr>
                                    <w:t>AND/OR</w:t>
                                  </w:r>
                                  <w:r>
                                    <w:rPr>
                                      <w:color w:val="231F20"/>
                                      <w:spacing w:val="4"/>
                                      <w:w w:val="110"/>
                                      <w:sz w:val="15"/>
                                    </w:rPr>
                                    <w:t> </w:t>
                                  </w:r>
                                  <w:r>
                                    <w:rPr>
                                      <w:color w:val="231F20"/>
                                      <w:w w:val="110"/>
                                      <w:sz w:val="15"/>
                                    </w:rPr>
                                    <w:t>POSTERIOR</w:t>
                                  </w:r>
                                  <w:r>
                                    <w:rPr>
                                      <w:color w:val="231F20"/>
                                      <w:spacing w:val="3"/>
                                      <w:w w:val="110"/>
                                      <w:sz w:val="15"/>
                                    </w:rPr>
                                    <w:t> </w:t>
                                  </w:r>
                                  <w:r>
                                    <w:rPr>
                                      <w:color w:val="231F20"/>
                                      <w:spacing w:val="-2"/>
                                      <w:w w:val="110"/>
                                      <w:sz w:val="15"/>
                                    </w:rPr>
                                    <w:t>UVEITIS</w:t>
                                  </w:r>
                                </w:p>
                                <w:p>
                                  <w:pPr>
                                    <w:pStyle w:val="TableParagraph"/>
                                    <w:spacing w:line="169" w:lineRule="exact"/>
                                    <w:ind w:left="74"/>
                                    <w:rPr>
                                      <w:sz w:val="15"/>
                                    </w:rPr>
                                  </w:pPr>
                                  <w:r>
                                    <w:rPr>
                                      <w:color w:val="231F20"/>
                                      <w:spacing w:val="-2"/>
                                      <w:sz w:val="15"/>
                                    </w:rPr>
                                    <w:t>Sympathetic</w:t>
                                  </w:r>
                                  <w:r>
                                    <w:rPr>
                                      <w:color w:val="231F20"/>
                                      <w:spacing w:val="-1"/>
                                      <w:sz w:val="15"/>
                                    </w:rPr>
                                    <w:t> </w:t>
                                  </w:r>
                                  <w:r>
                                    <w:rPr>
                                      <w:color w:val="231F20"/>
                                      <w:spacing w:val="-2"/>
                                      <w:sz w:val="15"/>
                                    </w:rPr>
                                    <w:t>ophthalmia</w:t>
                                  </w:r>
                                  <w:r>
                                    <w:rPr>
                                      <w:color w:val="231F20"/>
                                      <w:sz w:val="15"/>
                                    </w:rPr>
                                    <w:t> </w:t>
                                  </w:r>
                                  <w:r>
                                    <w:rPr>
                                      <w:color w:val="231F20"/>
                                      <w:spacing w:val="-2"/>
                                      <w:sz w:val="15"/>
                                    </w:rPr>
                                    <w:t>(trauma</w:t>
                                  </w:r>
                                  <w:r>
                                    <w:rPr>
                                      <w:color w:val="231F20"/>
                                      <w:sz w:val="15"/>
                                    </w:rPr>
                                    <w:t> </w:t>
                                  </w:r>
                                  <w:r>
                                    <w:rPr>
                                      <w:color w:val="231F20"/>
                                      <w:spacing w:val="-2"/>
                                      <w:sz w:val="15"/>
                                    </w:rPr>
                                    <w:t>to</w:t>
                                  </w:r>
                                  <w:r>
                                    <w:rPr>
                                      <w:color w:val="231F20"/>
                                      <w:sz w:val="15"/>
                                    </w:rPr>
                                    <w:t> </w:t>
                                  </w:r>
                                  <w:r>
                                    <w:rPr>
                                      <w:color w:val="231F20"/>
                                      <w:spacing w:val="-2"/>
                                      <w:sz w:val="15"/>
                                    </w:rPr>
                                    <w:t>other</w:t>
                                  </w:r>
                                  <w:r>
                                    <w:rPr>
                                      <w:color w:val="231F20"/>
                                      <w:sz w:val="15"/>
                                    </w:rPr>
                                    <w:t> </w:t>
                                  </w:r>
                                  <w:r>
                                    <w:rPr>
                                      <w:color w:val="231F20"/>
                                      <w:spacing w:val="-4"/>
                                      <w:sz w:val="15"/>
                                    </w:rPr>
                                    <w:t>eye)</w:t>
                                  </w:r>
                                </w:p>
                                <w:p>
                                  <w:pPr>
                                    <w:pStyle w:val="TableParagraph"/>
                                    <w:spacing w:line="230" w:lineRule="auto" w:before="3"/>
                                    <w:ind w:left="186" w:hanging="112"/>
                                    <w:rPr>
                                      <w:sz w:val="15"/>
                                    </w:rPr>
                                  </w:pPr>
                                  <w:r>
                                    <w:rPr>
                                      <w:color w:val="231F20"/>
                                      <w:sz w:val="15"/>
                                    </w:rPr>
                                    <w:t>Vogt-Koyanagi-Harada</w:t>
                                  </w:r>
                                  <w:r>
                                    <w:rPr>
                                      <w:color w:val="231F20"/>
                                      <w:spacing w:val="-3"/>
                                      <w:sz w:val="15"/>
                                    </w:rPr>
                                    <w:t> </w:t>
                                  </w:r>
                                  <w:r>
                                    <w:rPr>
                                      <w:color w:val="231F20"/>
                                      <w:sz w:val="15"/>
                                    </w:rPr>
                                    <w:t>syndrome</w:t>
                                  </w:r>
                                  <w:r>
                                    <w:rPr>
                                      <w:color w:val="231F20"/>
                                      <w:spacing w:val="-3"/>
                                      <w:sz w:val="15"/>
                                    </w:rPr>
                                    <w:t> </w:t>
                                  </w:r>
                                  <w:r>
                                    <w:rPr>
                                      <w:color w:val="231F20"/>
                                      <w:sz w:val="15"/>
                                    </w:rPr>
                                    <w:t>(uveootocutaneous</w:t>
                                  </w:r>
                                  <w:r>
                                    <w:rPr>
                                      <w:color w:val="231F20"/>
                                      <w:spacing w:val="-3"/>
                                      <w:sz w:val="15"/>
                                    </w:rPr>
                                    <w:t> </w:t>
                                  </w:r>
                                  <w:r>
                                    <w:rPr>
                                      <w:color w:val="231F20"/>
                                      <w:sz w:val="15"/>
                                    </w:rPr>
                                    <w:t>syndrome: </w:t>
                                  </w:r>
                                  <w:r>
                                    <w:rPr>
                                      <w:color w:val="231F20"/>
                                      <w:spacing w:val="-2"/>
                                      <w:sz w:val="15"/>
                                    </w:rPr>
                                    <w:t>poliosis,</w:t>
                                  </w:r>
                                  <w:r>
                                    <w:rPr>
                                      <w:color w:val="231F20"/>
                                      <w:spacing w:val="-4"/>
                                      <w:sz w:val="15"/>
                                    </w:rPr>
                                    <w:t> </w:t>
                                  </w:r>
                                  <w:r>
                                    <w:rPr>
                                      <w:color w:val="231F20"/>
                                      <w:spacing w:val="-2"/>
                                      <w:sz w:val="15"/>
                                    </w:rPr>
                                    <w:t>vitiligo,</w:t>
                                  </w:r>
                                  <w:r>
                                    <w:rPr>
                                      <w:color w:val="231F20"/>
                                      <w:spacing w:val="-4"/>
                                      <w:sz w:val="15"/>
                                    </w:rPr>
                                    <w:t> </w:t>
                                  </w:r>
                                  <w:r>
                                    <w:rPr>
                                      <w:color w:val="231F20"/>
                                      <w:spacing w:val="-2"/>
                                      <w:sz w:val="15"/>
                                    </w:rPr>
                                    <w:t>deafness,</w:t>
                                  </w:r>
                                  <w:r>
                                    <w:rPr>
                                      <w:color w:val="231F20"/>
                                      <w:spacing w:val="-4"/>
                                      <w:sz w:val="15"/>
                                    </w:rPr>
                                    <w:t> </w:t>
                                  </w:r>
                                  <w:r>
                                    <w:rPr>
                                      <w:color w:val="231F20"/>
                                      <w:spacing w:val="-2"/>
                                      <w:sz w:val="15"/>
                                    </w:rPr>
                                    <w:t>tinnitus,</w:t>
                                  </w:r>
                                  <w:r>
                                    <w:rPr>
                                      <w:color w:val="231F20"/>
                                      <w:spacing w:val="-4"/>
                                      <w:sz w:val="15"/>
                                    </w:rPr>
                                    <w:t> </w:t>
                                  </w:r>
                                  <w:r>
                                    <w:rPr>
                                      <w:color w:val="231F20"/>
                                      <w:spacing w:val="-2"/>
                                      <w:sz w:val="15"/>
                                    </w:rPr>
                                    <w:t>uveitis,</w:t>
                                  </w:r>
                                  <w:r>
                                    <w:rPr>
                                      <w:color w:val="231F20"/>
                                      <w:spacing w:val="-4"/>
                                      <w:sz w:val="15"/>
                                    </w:rPr>
                                    <w:t> </w:t>
                                  </w:r>
                                  <w:r>
                                    <w:rPr>
                                      <w:color w:val="231F20"/>
                                      <w:spacing w:val="-2"/>
                                      <w:sz w:val="15"/>
                                    </w:rPr>
                                    <w:t>aseptic</w:t>
                                  </w:r>
                                  <w:r>
                                    <w:rPr>
                                      <w:color w:val="231F20"/>
                                      <w:spacing w:val="-4"/>
                                      <w:sz w:val="15"/>
                                    </w:rPr>
                                    <w:t> </w:t>
                                  </w:r>
                                  <w:r>
                                    <w:rPr>
                                      <w:color w:val="231F20"/>
                                      <w:spacing w:val="-2"/>
                                      <w:sz w:val="15"/>
                                    </w:rPr>
                                    <w:t>meningitis, retinitis)</w:t>
                                  </w:r>
                                </w:p>
                                <w:p>
                                  <w:pPr>
                                    <w:pStyle w:val="TableParagraph"/>
                                    <w:spacing w:line="232" w:lineRule="auto" w:before="2"/>
                                    <w:ind w:left="74" w:right="3450"/>
                                    <w:rPr>
                                      <w:sz w:val="15"/>
                                    </w:rPr>
                                  </w:pPr>
                                  <w:r>
                                    <w:rPr>
                                      <w:color w:val="231F20"/>
                                      <w:sz w:val="15"/>
                                    </w:rPr>
                                    <w:t>Behçet</w:t>
                                  </w:r>
                                  <w:r>
                                    <w:rPr>
                                      <w:color w:val="231F20"/>
                                      <w:spacing w:val="-12"/>
                                      <w:sz w:val="15"/>
                                    </w:rPr>
                                    <w:t> </w:t>
                                  </w:r>
                                  <w:r>
                                    <w:rPr>
                                      <w:color w:val="231F20"/>
                                      <w:sz w:val="15"/>
                                    </w:rPr>
                                    <w:t>syndrome Lyme disease</w:t>
                                  </w:r>
                                </w:p>
                              </w:tc>
                            </w:tr>
                          </w:tbl>
                          <w:p>
                            <w:pPr>
                              <w:pStyle w:val="BodyText"/>
                            </w:pPr>
                          </w:p>
                        </w:txbxContent>
                      </wps:txbx>
                      <wps:bodyPr wrap="square" lIns="0" tIns="0" rIns="0" bIns="0" rtlCol="0">
                        <a:noAutofit/>
                      </wps:bodyPr>
                    </wps:wsp>
                  </a:graphicData>
                </a:graphic>
              </wp:anchor>
            </w:drawing>
          </mc:Choice>
          <mc:Fallback>
            <w:pict>
              <v:shape style="position:absolute;margin-left:35.736851pt;margin-top:-245.001007pt;width:241.15pt;height:431.2pt;mso-position-horizontal-relative:page;mso-position-vertical-relative:paragraph;z-index:15826944" type="#_x0000_t202" id="docshape10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629-</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Uveitis</w:t>
                            </w:r>
                            <w:r>
                              <w:rPr>
                                <w:color w:val="FFFFFF"/>
                                <w:spacing w:val="-4"/>
                                <w:w w:val="105"/>
                                <w:sz w:val="16"/>
                              </w:rPr>
                              <w:t> </w:t>
                            </w:r>
                            <w:r>
                              <w:rPr>
                                <w:color w:val="FFFFFF"/>
                                <w:w w:val="105"/>
                                <w:sz w:val="16"/>
                              </w:rPr>
                              <w:t>in</w:t>
                            </w:r>
                            <w:r>
                              <w:rPr>
                                <w:color w:val="FFFFFF"/>
                                <w:spacing w:val="-4"/>
                                <w:w w:val="105"/>
                                <w:sz w:val="16"/>
                              </w:rPr>
                              <w:t> </w:t>
                            </w:r>
                            <w:r>
                              <w:rPr>
                                <w:color w:val="FFFFFF"/>
                                <w:spacing w:val="-2"/>
                                <w:w w:val="105"/>
                                <w:sz w:val="16"/>
                              </w:rPr>
                              <w:t>Childhood</w:t>
                            </w:r>
                          </w:p>
                        </w:tc>
                      </w:tr>
                      <w:tr>
                        <w:trPr>
                          <w:trHeight w:val="5002"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ANTERIOR</w:t>
                            </w:r>
                            <w:r>
                              <w:rPr>
                                <w:color w:val="231F20"/>
                                <w:spacing w:val="6"/>
                                <w:w w:val="110"/>
                                <w:sz w:val="15"/>
                              </w:rPr>
                              <w:t> </w:t>
                            </w:r>
                            <w:r>
                              <w:rPr>
                                <w:color w:val="231F20"/>
                                <w:spacing w:val="-2"/>
                                <w:w w:val="110"/>
                                <w:sz w:val="15"/>
                              </w:rPr>
                              <w:t>UVEITIS</w:t>
                            </w:r>
                          </w:p>
                          <w:p>
                            <w:pPr>
                              <w:pStyle w:val="TableParagraph"/>
                              <w:spacing w:line="232" w:lineRule="auto" w:before="2"/>
                              <w:ind w:left="74" w:right="1733"/>
                              <w:rPr>
                                <w:sz w:val="15"/>
                              </w:rPr>
                            </w:pPr>
                            <w:r>
                              <w:rPr>
                                <w:color w:val="231F20"/>
                                <w:spacing w:val="-4"/>
                                <w:sz w:val="15"/>
                              </w:rPr>
                              <w:t>Juvenile</w:t>
                            </w:r>
                            <w:r>
                              <w:rPr>
                                <w:color w:val="231F20"/>
                                <w:spacing w:val="-5"/>
                                <w:sz w:val="15"/>
                              </w:rPr>
                              <w:t> </w:t>
                            </w:r>
                            <w:r>
                              <w:rPr>
                                <w:color w:val="231F20"/>
                                <w:spacing w:val="-4"/>
                                <w:sz w:val="15"/>
                              </w:rPr>
                              <w:t>idiopathic</w:t>
                            </w:r>
                            <w:r>
                              <w:rPr>
                                <w:color w:val="231F20"/>
                                <w:spacing w:val="-5"/>
                                <w:sz w:val="15"/>
                              </w:rPr>
                              <w:t> </w:t>
                            </w:r>
                            <w:r>
                              <w:rPr>
                                <w:color w:val="231F20"/>
                                <w:spacing w:val="-4"/>
                                <w:sz w:val="15"/>
                              </w:rPr>
                              <w:t>arthritis</w:t>
                            </w:r>
                            <w:r>
                              <w:rPr>
                                <w:color w:val="231F20"/>
                                <w:spacing w:val="-5"/>
                                <w:sz w:val="15"/>
                              </w:rPr>
                              <w:t> </w:t>
                            </w:r>
                            <w:r>
                              <w:rPr>
                                <w:color w:val="231F20"/>
                                <w:spacing w:val="-4"/>
                                <w:sz w:val="15"/>
                              </w:rPr>
                              <w:t>(pauciarticular) </w:t>
                            </w:r>
                            <w:r>
                              <w:rPr>
                                <w:color w:val="231F20"/>
                                <w:spacing w:val="-2"/>
                                <w:sz w:val="15"/>
                              </w:rPr>
                              <w:t>Sarcoidosis</w:t>
                            </w:r>
                          </w:p>
                          <w:p>
                            <w:pPr>
                              <w:pStyle w:val="TableParagraph"/>
                              <w:spacing w:line="232" w:lineRule="auto" w:before="1"/>
                              <w:ind w:left="74" w:right="3478"/>
                              <w:rPr>
                                <w:sz w:val="15"/>
                              </w:rPr>
                            </w:pPr>
                            <w:r>
                              <w:rPr>
                                <w:color w:val="231F20"/>
                                <w:spacing w:val="-2"/>
                                <w:sz w:val="15"/>
                              </w:rPr>
                              <w:t>Trauma Tuberculosis Kawasaki</w:t>
                            </w:r>
                            <w:r>
                              <w:rPr>
                                <w:color w:val="231F20"/>
                                <w:spacing w:val="-10"/>
                                <w:sz w:val="15"/>
                              </w:rPr>
                              <w:t> </w:t>
                            </w:r>
                            <w:r>
                              <w:rPr>
                                <w:color w:val="231F20"/>
                                <w:spacing w:val="-2"/>
                                <w:sz w:val="15"/>
                              </w:rPr>
                              <w:t>disease </w:t>
                            </w:r>
                            <w:r>
                              <w:rPr>
                                <w:color w:val="231F20"/>
                                <w:sz w:val="15"/>
                              </w:rPr>
                              <w:t>Ulcerative</w:t>
                            </w:r>
                            <w:r>
                              <w:rPr>
                                <w:color w:val="231F20"/>
                                <w:spacing w:val="-12"/>
                                <w:sz w:val="15"/>
                              </w:rPr>
                              <w:t> </w:t>
                            </w:r>
                            <w:r>
                              <w:rPr>
                                <w:color w:val="231F20"/>
                                <w:sz w:val="15"/>
                              </w:rPr>
                              <w:t>colitis Crohn</w:t>
                            </w:r>
                            <w:r>
                              <w:rPr>
                                <w:color w:val="231F20"/>
                                <w:spacing w:val="16"/>
                                <w:sz w:val="15"/>
                              </w:rPr>
                              <w:t> </w:t>
                            </w:r>
                            <w:r>
                              <w:rPr>
                                <w:color w:val="231F20"/>
                                <w:spacing w:val="-2"/>
                                <w:sz w:val="15"/>
                              </w:rPr>
                              <w:t>syndrome</w:t>
                            </w:r>
                          </w:p>
                          <w:p>
                            <w:pPr>
                              <w:pStyle w:val="TableParagraph"/>
                              <w:spacing w:line="232" w:lineRule="auto" w:before="2"/>
                              <w:ind w:left="74" w:right="434"/>
                              <w:rPr>
                                <w:sz w:val="15"/>
                              </w:rPr>
                            </w:pPr>
                            <w:r>
                              <w:rPr>
                                <w:color w:val="231F20"/>
                                <w:spacing w:val="-2"/>
                                <w:sz w:val="15"/>
                              </w:rPr>
                              <w:t>Postinfectious</w:t>
                            </w:r>
                            <w:r>
                              <w:rPr>
                                <w:color w:val="231F20"/>
                                <w:spacing w:val="-10"/>
                                <w:sz w:val="15"/>
                              </w:rPr>
                              <w:t> </w:t>
                            </w:r>
                            <w:r>
                              <w:rPr>
                                <w:color w:val="231F20"/>
                                <w:spacing w:val="-2"/>
                                <w:sz w:val="15"/>
                              </w:rPr>
                              <w:t>(enteric</w:t>
                            </w:r>
                            <w:r>
                              <w:rPr>
                                <w:color w:val="231F20"/>
                                <w:spacing w:val="-9"/>
                                <w:sz w:val="15"/>
                              </w:rPr>
                              <w:t> </w:t>
                            </w:r>
                            <w:r>
                              <w:rPr>
                                <w:color w:val="231F20"/>
                                <w:spacing w:val="-2"/>
                                <w:sz w:val="15"/>
                              </w:rPr>
                              <w:t>or</w:t>
                            </w:r>
                            <w:r>
                              <w:rPr>
                                <w:color w:val="231F20"/>
                                <w:spacing w:val="-9"/>
                                <w:sz w:val="15"/>
                              </w:rPr>
                              <w:t> </w:t>
                            </w:r>
                            <w:r>
                              <w:rPr>
                                <w:color w:val="231F20"/>
                                <w:spacing w:val="-2"/>
                                <w:sz w:val="15"/>
                              </w:rPr>
                              <w:t>genital)</w:t>
                            </w:r>
                            <w:r>
                              <w:rPr>
                                <w:color w:val="231F20"/>
                                <w:spacing w:val="-10"/>
                                <w:sz w:val="15"/>
                              </w:rPr>
                              <w:t> </w:t>
                            </w:r>
                            <w:r>
                              <w:rPr>
                                <w:color w:val="231F20"/>
                                <w:spacing w:val="-2"/>
                                <w:sz w:val="15"/>
                              </w:rPr>
                              <w:t>with</w:t>
                            </w:r>
                            <w:r>
                              <w:rPr>
                                <w:color w:val="231F20"/>
                                <w:spacing w:val="-9"/>
                                <w:sz w:val="15"/>
                              </w:rPr>
                              <w:t> </w:t>
                            </w:r>
                            <w:r>
                              <w:rPr>
                                <w:color w:val="231F20"/>
                                <w:spacing w:val="-2"/>
                                <w:sz w:val="15"/>
                              </w:rPr>
                              <w:t>arthritis</w:t>
                            </w:r>
                            <w:r>
                              <w:rPr>
                                <w:color w:val="231F20"/>
                                <w:spacing w:val="-9"/>
                                <w:sz w:val="15"/>
                              </w:rPr>
                              <w:t> </w:t>
                            </w:r>
                            <w:r>
                              <w:rPr>
                                <w:color w:val="231F20"/>
                                <w:spacing w:val="-2"/>
                                <w:sz w:val="15"/>
                              </w:rPr>
                              <w:t>and</w:t>
                            </w:r>
                            <w:r>
                              <w:rPr>
                                <w:color w:val="231F20"/>
                                <w:spacing w:val="-10"/>
                                <w:sz w:val="15"/>
                              </w:rPr>
                              <w:t> </w:t>
                            </w:r>
                            <w:r>
                              <w:rPr>
                                <w:color w:val="231F20"/>
                                <w:spacing w:val="-2"/>
                                <w:sz w:val="15"/>
                              </w:rPr>
                              <w:t>rash </w:t>
                            </w:r>
                            <w:r>
                              <w:rPr>
                                <w:color w:val="231F20"/>
                                <w:sz w:val="15"/>
                              </w:rPr>
                              <w:t>Spirochetal (syphilis, leptospiral)</w:t>
                            </w:r>
                          </w:p>
                          <w:p>
                            <w:pPr>
                              <w:pStyle w:val="TableParagraph"/>
                              <w:spacing w:line="169" w:lineRule="exact"/>
                              <w:ind w:left="74"/>
                              <w:rPr>
                                <w:sz w:val="15"/>
                              </w:rPr>
                            </w:pPr>
                            <w:r>
                              <w:rPr>
                                <w:color w:val="231F20"/>
                                <w:spacing w:val="-2"/>
                                <w:sz w:val="15"/>
                              </w:rPr>
                              <w:t>Brucellosis</w:t>
                            </w:r>
                          </w:p>
                          <w:p>
                            <w:pPr>
                              <w:pStyle w:val="TableParagraph"/>
                              <w:spacing w:line="232" w:lineRule="auto" w:before="2"/>
                              <w:ind w:left="74" w:right="2208"/>
                              <w:rPr>
                                <w:sz w:val="15"/>
                              </w:rPr>
                            </w:pPr>
                            <w:r>
                              <w:rPr>
                                <w:color w:val="231F20"/>
                                <w:sz w:val="15"/>
                              </w:rPr>
                              <w:t>Heterochromic iridocyclitis (Fuchs) </w:t>
                            </w:r>
                            <w:r>
                              <w:rPr>
                                <w:color w:val="231F20"/>
                                <w:spacing w:val="-2"/>
                                <w:sz w:val="15"/>
                              </w:rPr>
                              <w:t>Viral</w:t>
                            </w:r>
                            <w:r>
                              <w:rPr>
                                <w:color w:val="231F20"/>
                                <w:spacing w:val="-10"/>
                                <w:sz w:val="15"/>
                              </w:rPr>
                              <w:t> </w:t>
                            </w:r>
                            <w:r>
                              <w:rPr>
                                <w:color w:val="231F20"/>
                                <w:spacing w:val="-2"/>
                                <w:sz w:val="15"/>
                              </w:rPr>
                              <w:t>(herpes</w:t>
                            </w:r>
                            <w:r>
                              <w:rPr>
                                <w:color w:val="231F20"/>
                                <w:spacing w:val="-9"/>
                                <w:sz w:val="15"/>
                              </w:rPr>
                              <w:t> </w:t>
                            </w:r>
                            <w:r>
                              <w:rPr>
                                <w:color w:val="231F20"/>
                                <w:spacing w:val="-2"/>
                                <w:sz w:val="15"/>
                              </w:rPr>
                              <w:t>simplex,</w:t>
                            </w:r>
                            <w:r>
                              <w:rPr>
                                <w:color w:val="231F20"/>
                                <w:spacing w:val="-9"/>
                                <w:sz w:val="15"/>
                              </w:rPr>
                              <w:t> </w:t>
                            </w:r>
                            <w:r>
                              <w:rPr>
                                <w:color w:val="231F20"/>
                                <w:spacing w:val="-2"/>
                                <w:sz w:val="15"/>
                              </w:rPr>
                              <w:t>herpes</w:t>
                            </w:r>
                            <w:r>
                              <w:rPr>
                                <w:color w:val="231F20"/>
                                <w:spacing w:val="-10"/>
                                <w:sz w:val="15"/>
                              </w:rPr>
                              <w:t> </w:t>
                            </w:r>
                            <w:r>
                              <w:rPr>
                                <w:color w:val="231F20"/>
                                <w:spacing w:val="-2"/>
                                <w:sz w:val="15"/>
                              </w:rPr>
                              <w:t>zoster) </w:t>
                            </w:r>
                            <w:r>
                              <w:rPr>
                                <w:color w:val="231F20"/>
                                <w:sz w:val="15"/>
                              </w:rPr>
                              <w:t>Ankylosing spondylitis</w:t>
                            </w:r>
                          </w:p>
                          <w:p>
                            <w:pPr>
                              <w:pStyle w:val="TableParagraph"/>
                              <w:spacing w:line="169" w:lineRule="exact"/>
                              <w:ind w:left="74"/>
                              <w:rPr>
                                <w:sz w:val="15"/>
                              </w:rPr>
                            </w:pPr>
                            <w:r>
                              <w:rPr>
                                <w:color w:val="231F20"/>
                                <w:sz w:val="15"/>
                              </w:rPr>
                              <w:t>Stevens-Johnson</w:t>
                            </w:r>
                            <w:r>
                              <w:rPr>
                                <w:color w:val="231F20"/>
                                <w:spacing w:val="12"/>
                                <w:sz w:val="15"/>
                              </w:rPr>
                              <w:t> </w:t>
                            </w:r>
                            <w:r>
                              <w:rPr>
                                <w:color w:val="231F20"/>
                                <w:spacing w:val="-2"/>
                                <w:sz w:val="15"/>
                              </w:rPr>
                              <w:t>syndrome</w:t>
                            </w:r>
                          </w:p>
                          <w:p>
                            <w:pPr>
                              <w:pStyle w:val="TableParagraph"/>
                              <w:spacing w:line="232" w:lineRule="auto" w:before="2"/>
                              <w:ind w:left="74"/>
                              <w:rPr>
                                <w:sz w:val="15"/>
                              </w:rPr>
                            </w:pPr>
                            <w:r>
                              <w:rPr>
                                <w:color w:val="231F20"/>
                                <w:sz w:val="15"/>
                              </w:rPr>
                              <w:t>Chronic</w:t>
                            </w:r>
                            <w:r>
                              <w:rPr>
                                <w:color w:val="231F20"/>
                                <w:spacing w:val="-10"/>
                                <w:sz w:val="15"/>
                              </w:rPr>
                              <w:t> </w:t>
                            </w:r>
                            <w:r>
                              <w:rPr>
                                <w:color w:val="231F20"/>
                                <w:sz w:val="15"/>
                              </w:rPr>
                              <w:t>infantile</w:t>
                            </w:r>
                            <w:r>
                              <w:rPr>
                                <w:color w:val="231F20"/>
                                <w:spacing w:val="-10"/>
                                <w:sz w:val="15"/>
                              </w:rPr>
                              <w:t> </w:t>
                            </w:r>
                            <w:r>
                              <w:rPr>
                                <w:color w:val="231F20"/>
                                <w:sz w:val="15"/>
                              </w:rPr>
                              <w:t>neurologic</w:t>
                            </w:r>
                            <w:r>
                              <w:rPr>
                                <w:color w:val="231F20"/>
                                <w:spacing w:val="-10"/>
                                <w:sz w:val="15"/>
                              </w:rPr>
                              <w:t> </w:t>
                            </w:r>
                            <w:r>
                              <w:rPr>
                                <w:color w:val="231F20"/>
                                <w:sz w:val="15"/>
                              </w:rPr>
                              <w:t>cutaneous</w:t>
                            </w:r>
                            <w:r>
                              <w:rPr>
                                <w:color w:val="231F20"/>
                                <w:spacing w:val="-10"/>
                                <w:sz w:val="15"/>
                              </w:rPr>
                              <w:t> </w:t>
                            </w:r>
                            <w:r>
                              <w:rPr>
                                <w:color w:val="231F20"/>
                                <w:sz w:val="15"/>
                              </w:rPr>
                              <w:t>arthritis</w:t>
                            </w:r>
                            <w:r>
                              <w:rPr>
                                <w:color w:val="231F20"/>
                                <w:spacing w:val="-10"/>
                                <w:sz w:val="15"/>
                              </w:rPr>
                              <w:t> </w:t>
                            </w:r>
                            <w:r>
                              <w:rPr>
                                <w:color w:val="231F20"/>
                                <w:sz w:val="15"/>
                              </w:rPr>
                              <w:t>syndrome</w:t>
                            </w:r>
                            <w:r>
                              <w:rPr>
                                <w:color w:val="231F20"/>
                                <w:spacing w:val="-10"/>
                                <w:sz w:val="15"/>
                              </w:rPr>
                              <w:t> </w:t>
                            </w:r>
                            <w:r>
                              <w:rPr>
                                <w:color w:val="231F20"/>
                                <w:sz w:val="15"/>
                              </w:rPr>
                              <w:t>(CINCA) Familial Mediterranean fever</w:t>
                            </w:r>
                          </w:p>
                          <w:p>
                            <w:pPr>
                              <w:pStyle w:val="TableParagraph"/>
                              <w:spacing w:line="169" w:lineRule="exact"/>
                              <w:ind w:left="74"/>
                              <w:rPr>
                                <w:sz w:val="15"/>
                              </w:rPr>
                            </w:pPr>
                            <w:r>
                              <w:rPr>
                                <w:color w:val="231F20"/>
                                <w:sz w:val="15"/>
                              </w:rPr>
                              <w:t>Hyperimmunoglobulin</w:t>
                            </w:r>
                            <w:r>
                              <w:rPr>
                                <w:color w:val="231F20"/>
                                <w:spacing w:val="17"/>
                                <w:sz w:val="15"/>
                              </w:rPr>
                              <w:t> </w:t>
                            </w:r>
                            <w:r>
                              <w:rPr>
                                <w:color w:val="231F20"/>
                                <w:sz w:val="15"/>
                              </w:rPr>
                              <w:t>D</w:t>
                            </w:r>
                            <w:r>
                              <w:rPr>
                                <w:color w:val="231F20"/>
                                <w:spacing w:val="18"/>
                                <w:sz w:val="15"/>
                              </w:rPr>
                              <w:t> </w:t>
                            </w:r>
                            <w:r>
                              <w:rPr>
                                <w:color w:val="231F20"/>
                                <w:spacing w:val="-2"/>
                                <w:sz w:val="15"/>
                              </w:rPr>
                              <w:t>syndrome</w:t>
                            </w:r>
                          </w:p>
                          <w:p>
                            <w:pPr>
                              <w:pStyle w:val="TableParagraph"/>
                              <w:spacing w:line="232" w:lineRule="auto" w:before="2"/>
                              <w:ind w:left="74" w:right="491"/>
                              <w:rPr>
                                <w:sz w:val="15"/>
                              </w:rPr>
                            </w:pPr>
                            <w:r>
                              <w:rPr>
                                <w:color w:val="231F20"/>
                                <w:sz w:val="15"/>
                              </w:rPr>
                              <w:t>Tumor</w:t>
                            </w:r>
                            <w:r>
                              <w:rPr>
                                <w:color w:val="231F20"/>
                                <w:spacing w:val="-8"/>
                                <w:sz w:val="15"/>
                              </w:rPr>
                              <w:t> </w:t>
                            </w:r>
                            <w:r>
                              <w:rPr>
                                <w:color w:val="231F20"/>
                                <w:sz w:val="15"/>
                              </w:rPr>
                              <w:t>necrosis</w:t>
                            </w:r>
                            <w:r>
                              <w:rPr>
                                <w:color w:val="231F20"/>
                                <w:spacing w:val="-8"/>
                                <w:sz w:val="15"/>
                              </w:rPr>
                              <w:t> </w:t>
                            </w:r>
                            <w:r>
                              <w:rPr>
                                <w:color w:val="231F20"/>
                                <w:sz w:val="15"/>
                              </w:rPr>
                              <w:t>factor</w:t>
                            </w:r>
                            <w:r>
                              <w:rPr>
                                <w:color w:val="231F20"/>
                                <w:spacing w:val="-8"/>
                                <w:sz w:val="15"/>
                              </w:rPr>
                              <w:t> </w:t>
                            </w:r>
                            <w:r>
                              <w:rPr>
                                <w:color w:val="231F20"/>
                                <w:sz w:val="15"/>
                              </w:rPr>
                              <w:t>receptor–associated</w:t>
                            </w:r>
                            <w:r>
                              <w:rPr>
                                <w:color w:val="231F20"/>
                                <w:spacing w:val="-8"/>
                                <w:sz w:val="15"/>
                              </w:rPr>
                              <w:t> </w:t>
                            </w:r>
                            <w:r>
                              <w:rPr>
                                <w:color w:val="231F20"/>
                                <w:sz w:val="15"/>
                              </w:rPr>
                              <w:t>periodic</w:t>
                            </w:r>
                            <w:r>
                              <w:rPr>
                                <w:color w:val="231F20"/>
                                <w:spacing w:val="-8"/>
                                <w:sz w:val="15"/>
                              </w:rPr>
                              <w:t> </w:t>
                            </w:r>
                            <w:r>
                              <w:rPr>
                                <w:color w:val="231F20"/>
                                <w:sz w:val="15"/>
                              </w:rPr>
                              <w:t>syndrome Muckle-Wells syndrome</w:t>
                            </w:r>
                          </w:p>
                          <w:p>
                            <w:pPr>
                              <w:pStyle w:val="TableParagraph"/>
                              <w:spacing w:line="232" w:lineRule="auto" w:before="1"/>
                              <w:ind w:left="74" w:right="3477"/>
                              <w:rPr>
                                <w:sz w:val="15"/>
                              </w:rPr>
                            </w:pPr>
                            <w:r>
                              <w:rPr>
                                <w:color w:val="231F20"/>
                                <w:sz w:val="15"/>
                              </w:rPr>
                              <w:t>Blau syndrome </w:t>
                            </w:r>
                            <w:r>
                              <w:rPr>
                                <w:color w:val="231F20"/>
                                <w:spacing w:val="-2"/>
                                <w:sz w:val="15"/>
                              </w:rPr>
                              <w:t>Psoriasis</w:t>
                            </w:r>
                            <w:r>
                              <w:rPr>
                                <w:color w:val="231F20"/>
                                <w:spacing w:val="80"/>
                                <w:sz w:val="15"/>
                              </w:rPr>
                              <w:t> </w:t>
                            </w:r>
                            <w:r>
                              <w:rPr>
                                <w:color w:val="231F20"/>
                                <w:spacing w:val="-2"/>
                                <w:sz w:val="15"/>
                              </w:rPr>
                              <w:t>Multiple</w:t>
                            </w:r>
                            <w:r>
                              <w:rPr>
                                <w:color w:val="231F20"/>
                                <w:spacing w:val="-8"/>
                                <w:sz w:val="15"/>
                              </w:rPr>
                              <w:t> </w:t>
                            </w:r>
                            <w:r>
                              <w:rPr>
                                <w:color w:val="231F20"/>
                                <w:spacing w:val="-2"/>
                                <w:sz w:val="15"/>
                              </w:rPr>
                              <w:t>sclerosis</w:t>
                            </w:r>
                          </w:p>
                          <w:p>
                            <w:pPr>
                              <w:pStyle w:val="TableParagraph"/>
                              <w:spacing w:line="169" w:lineRule="exact"/>
                              <w:ind w:left="74"/>
                              <w:rPr>
                                <w:sz w:val="15"/>
                              </w:rPr>
                            </w:pPr>
                            <w:r>
                              <w:rPr>
                                <w:color w:val="231F20"/>
                                <w:sz w:val="15"/>
                              </w:rPr>
                              <w:t>Cyclic</w:t>
                            </w:r>
                            <w:r>
                              <w:rPr>
                                <w:color w:val="231F20"/>
                                <w:spacing w:val="-11"/>
                                <w:sz w:val="15"/>
                              </w:rPr>
                              <w:t> </w:t>
                            </w:r>
                            <w:r>
                              <w:rPr>
                                <w:color w:val="231F20"/>
                                <w:spacing w:val="-2"/>
                                <w:sz w:val="15"/>
                              </w:rPr>
                              <w:t>neutropenia</w:t>
                            </w:r>
                          </w:p>
                          <w:p>
                            <w:pPr>
                              <w:pStyle w:val="TableParagraph"/>
                              <w:spacing w:line="169" w:lineRule="exact"/>
                              <w:ind w:left="74"/>
                              <w:rPr>
                                <w:sz w:val="15"/>
                              </w:rPr>
                            </w:pPr>
                            <w:r>
                              <w:rPr>
                                <w:color w:val="231F20"/>
                                <w:sz w:val="15"/>
                              </w:rPr>
                              <w:t>Chronic</w:t>
                            </w:r>
                            <w:r>
                              <w:rPr>
                                <w:color w:val="231F20"/>
                                <w:spacing w:val="8"/>
                                <w:sz w:val="15"/>
                              </w:rPr>
                              <w:t> </w:t>
                            </w:r>
                            <w:r>
                              <w:rPr>
                                <w:color w:val="231F20"/>
                                <w:sz w:val="15"/>
                              </w:rPr>
                              <w:t>granulomatous</w:t>
                            </w:r>
                            <w:r>
                              <w:rPr>
                                <w:color w:val="231F20"/>
                                <w:spacing w:val="8"/>
                                <w:sz w:val="15"/>
                              </w:rPr>
                              <w:t> </w:t>
                            </w:r>
                            <w:r>
                              <w:rPr>
                                <w:color w:val="231F20"/>
                                <w:spacing w:val="-2"/>
                                <w:sz w:val="15"/>
                              </w:rPr>
                              <w:t>disease</w:t>
                            </w:r>
                          </w:p>
                          <w:p>
                            <w:pPr>
                              <w:pStyle w:val="TableParagraph"/>
                              <w:spacing w:line="232" w:lineRule="auto" w:before="2"/>
                              <w:ind w:left="74" w:right="1899"/>
                              <w:rPr>
                                <w:sz w:val="15"/>
                              </w:rPr>
                            </w:pPr>
                            <w:r>
                              <w:rPr>
                                <w:color w:val="231F20"/>
                                <w:spacing w:val="-2"/>
                                <w:sz w:val="15"/>
                              </w:rPr>
                              <w:t>X-linked</w:t>
                            </w:r>
                            <w:r>
                              <w:rPr>
                                <w:color w:val="231F20"/>
                                <w:spacing w:val="-4"/>
                                <w:sz w:val="15"/>
                              </w:rPr>
                              <w:t> </w:t>
                            </w:r>
                            <w:r>
                              <w:rPr>
                                <w:color w:val="231F20"/>
                                <w:spacing w:val="-2"/>
                                <w:sz w:val="15"/>
                              </w:rPr>
                              <w:t>lymphoproliferative</w:t>
                            </w:r>
                            <w:r>
                              <w:rPr>
                                <w:color w:val="231F20"/>
                                <w:spacing w:val="-4"/>
                                <w:sz w:val="15"/>
                              </w:rPr>
                              <w:t> </w:t>
                            </w:r>
                            <w:r>
                              <w:rPr>
                                <w:color w:val="231F20"/>
                                <w:spacing w:val="-2"/>
                                <w:sz w:val="15"/>
                              </w:rPr>
                              <w:t>diseas</w:t>
                            </w:r>
                            <w:r>
                              <w:rPr>
                                <w:color w:val="231F20"/>
                                <w:spacing w:val="-2"/>
                                <w:sz w:val="15"/>
                              </w:rPr>
                              <w:t>e</w:t>
                            </w:r>
                            <w:r>
                              <w:rPr>
                                <w:color w:val="231F20"/>
                                <w:spacing w:val="-2"/>
                                <w:sz w:val="15"/>
                              </w:rPr>
                              <w:t> </w:t>
                            </w:r>
                            <w:r>
                              <w:rPr>
                                <w:color w:val="231F20"/>
                                <w:sz w:val="15"/>
                              </w:rPr>
                              <w:t>Hypocomplementemic vasculitis </w:t>
                            </w:r>
                            <w:r>
                              <w:rPr>
                                <w:color w:val="231F20"/>
                                <w:spacing w:val="-2"/>
                                <w:sz w:val="15"/>
                              </w:rPr>
                              <w:t>Idiopathic</w:t>
                            </w:r>
                          </w:p>
                          <w:p>
                            <w:pPr>
                              <w:pStyle w:val="TableParagraph"/>
                              <w:spacing w:line="171" w:lineRule="exact"/>
                              <w:ind w:left="74"/>
                              <w:rPr>
                                <w:sz w:val="15"/>
                              </w:rPr>
                            </w:pPr>
                            <w:r>
                              <w:rPr>
                                <w:color w:val="231F20"/>
                                <w:spacing w:val="-2"/>
                                <w:w w:val="110"/>
                                <w:sz w:val="15"/>
                              </w:rPr>
                              <w:t>Drugs</w:t>
                            </w:r>
                          </w:p>
                        </w:tc>
                      </w:tr>
                      <w:tr>
                        <w:trPr>
                          <w:trHeight w:val="1947"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POSTERIOR</w:t>
                            </w:r>
                            <w:r>
                              <w:rPr>
                                <w:color w:val="231F20"/>
                                <w:spacing w:val="10"/>
                                <w:w w:val="110"/>
                                <w:sz w:val="15"/>
                              </w:rPr>
                              <w:t> </w:t>
                            </w:r>
                            <w:r>
                              <w:rPr>
                                <w:color w:val="231F20"/>
                                <w:w w:val="110"/>
                                <w:sz w:val="15"/>
                              </w:rPr>
                              <w:t>UVEITIS</w:t>
                            </w:r>
                            <w:r>
                              <w:rPr>
                                <w:color w:val="231F20"/>
                                <w:spacing w:val="10"/>
                                <w:w w:val="110"/>
                                <w:sz w:val="15"/>
                              </w:rPr>
                              <w:t> </w:t>
                            </w:r>
                            <w:r>
                              <w:rPr>
                                <w:color w:val="231F20"/>
                                <w:w w:val="110"/>
                                <w:sz w:val="15"/>
                              </w:rPr>
                              <w:t>(CHOROIDITIS—MAY</w:t>
                            </w:r>
                            <w:r>
                              <w:rPr>
                                <w:color w:val="231F20"/>
                                <w:spacing w:val="10"/>
                                <w:w w:val="110"/>
                                <w:sz w:val="15"/>
                              </w:rPr>
                              <w:t> </w:t>
                            </w:r>
                            <w:r>
                              <w:rPr>
                                <w:color w:val="231F20"/>
                                <w:w w:val="110"/>
                                <w:sz w:val="15"/>
                              </w:rPr>
                              <w:t>INVOLVE</w:t>
                            </w:r>
                            <w:r>
                              <w:rPr>
                                <w:color w:val="231F20"/>
                                <w:spacing w:val="10"/>
                                <w:w w:val="110"/>
                                <w:sz w:val="15"/>
                              </w:rPr>
                              <w:t> </w:t>
                            </w:r>
                            <w:r>
                              <w:rPr>
                                <w:color w:val="231F20"/>
                                <w:spacing w:val="-2"/>
                                <w:w w:val="110"/>
                                <w:sz w:val="15"/>
                              </w:rPr>
                              <w:t>RETINA)</w:t>
                            </w:r>
                          </w:p>
                          <w:p>
                            <w:pPr>
                              <w:pStyle w:val="TableParagraph"/>
                              <w:spacing w:line="232" w:lineRule="auto" w:before="2"/>
                              <w:ind w:left="74" w:right="2993"/>
                              <w:rPr>
                                <w:sz w:val="15"/>
                              </w:rPr>
                            </w:pPr>
                            <w:r>
                              <w:rPr>
                                <w:color w:val="231F20"/>
                                <w:spacing w:val="-2"/>
                                <w:sz w:val="15"/>
                              </w:rPr>
                              <w:t>Toxoplasmosis Toxocariasis</w:t>
                            </w:r>
                          </w:p>
                          <w:p>
                            <w:pPr>
                              <w:pStyle w:val="TableParagraph"/>
                              <w:spacing w:line="232" w:lineRule="auto" w:before="1"/>
                              <w:ind w:left="74" w:right="2667"/>
                              <w:rPr>
                                <w:sz w:val="15"/>
                              </w:rPr>
                            </w:pPr>
                            <w:r>
                              <w:rPr>
                                <w:color w:val="231F20"/>
                                <w:spacing w:val="-4"/>
                                <w:sz w:val="15"/>
                              </w:rPr>
                              <w:t>Parasites</w:t>
                            </w:r>
                            <w:r>
                              <w:rPr>
                                <w:color w:val="231F20"/>
                                <w:spacing w:val="-8"/>
                                <w:sz w:val="15"/>
                              </w:rPr>
                              <w:t> </w:t>
                            </w:r>
                            <w:r>
                              <w:rPr>
                                <w:color w:val="231F20"/>
                                <w:spacing w:val="-4"/>
                                <w:sz w:val="15"/>
                              </w:rPr>
                              <w:t>(toxocariasis) </w:t>
                            </w:r>
                            <w:r>
                              <w:rPr>
                                <w:color w:val="231F20"/>
                                <w:spacing w:val="-2"/>
                                <w:sz w:val="15"/>
                              </w:rPr>
                              <w:t>Sarcoidosis</w:t>
                            </w:r>
                          </w:p>
                          <w:p>
                            <w:pPr>
                              <w:pStyle w:val="TableParagraph"/>
                              <w:spacing w:line="232" w:lineRule="auto" w:before="1"/>
                              <w:ind w:left="74" w:right="2667"/>
                              <w:rPr>
                                <w:sz w:val="15"/>
                              </w:rPr>
                            </w:pPr>
                            <w:r>
                              <w:rPr>
                                <w:color w:val="231F20"/>
                                <w:spacing w:val="-2"/>
                                <w:sz w:val="15"/>
                              </w:rPr>
                              <w:t>Cat-scratch</w:t>
                            </w:r>
                            <w:r>
                              <w:rPr>
                                <w:color w:val="231F20"/>
                                <w:spacing w:val="-10"/>
                                <w:sz w:val="15"/>
                              </w:rPr>
                              <w:t> </w:t>
                            </w:r>
                            <w:r>
                              <w:rPr>
                                <w:color w:val="231F20"/>
                                <w:spacing w:val="-2"/>
                                <w:sz w:val="15"/>
                              </w:rPr>
                              <w:t>disease Tuberculosis</w:t>
                            </w:r>
                          </w:p>
                          <w:p>
                            <w:pPr>
                              <w:pStyle w:val="TableParagraph"/>
                              <w:spacing w:line="232" w:lineRule="auto" w:before="1"/>
                              <w:ind w:left="74"/>
                              <w:rPr>
                                <w:sz w:val="15"/>
                              </w:rPr>
                            </w:pPr>
                            <w:r>
                              <w:rPr>
                                <w:color w:val="231F20"/>
                                <w:spacing w:val="-2"/>
                                <w:sz w:val="15"/>
                              </w:rPr>
                              <w:t>Viral</w:t>
                            </w:r>
                            <w:r>
                              <w:rPr>
                                <w:color w:val="231F20"/>
                                <w:spacing w:val="-6"/>
                                <w:sz w:val="15"/>
                              </w:rPr>
                              <w:t> </w:t>
                            </w:r>
                            <w:r>
                              <w:rPr>
                                <w:color w:val="231F20"/>
                                <w:spacing w:val="-2"/>
                                <w:sz w:val="15"/>
                              </w:rPr>
                              <w:t>(rubella,</w:t>
                            </w:r>
                            <w:r>
                              <w:rPr>
                                <w:color w:val="231F20"/>
                                <w:spacing w:val="-6"/>
                                <w:sz w:val="15"/>
                              </w:rPr>
                              <w:t> </w:t>
                            </w:r>
                            <w:r>
                              <w:rPr>
                                <w:color w:val="231F20"/>
                                <w:spacing w:val="-2"/>
                                <w:sz w:val="15"/>
                              </w:rPr>
                              <w:t>herpes</w:t>
                            </w:r>
                            <w:r>
                              <w:rPr>
                                <w:color w:val="231F20"/>
                                <w:spacing w:val="-6"/>
                                <w:sz w:val="15"/>
                              </w:rPr>
                              <w:t> </w:t>
                            </w:r>
                            <w:r>
                              <w:rPr>
                                <w:color w:val="231F20"/>
                                <w:spacing w:val="-2"/>
                                <w:sz w:val="15"/>
                              </w:rPr>
                              <w:t>simplex,</w:t>
                            </w:r>
                            <w:r>
                              <w:rPr>
                                <w:color w:val="231F20"/>
                                <w:spacing w:val="-6"/>
                                <w:sz w:val="15"/>
                              </w:rPr>
                              <w:t> </w:t>
                            </w:r>
                            <w:r>
                              <w:rPr>
                                <w:color w:val="231F20"/>
                                <w:spacing w:val="-2"/>
                                <w:sz w:val="15"/>
                              </w:rPr>
                              <w:t>HIV,</w:t>
                            </w:r>
                            <w:r>
                              <w:rPr>
                                <w:color w:val="231F20"/>
                                <w:spacing w:val="-6"/>
                                <w:sz w:val="15"/>
                              </w:rPr>
                              <w:t> </w:t>
                            </w:r>
                            <w:r>
                              <w:rPr>
                                <w:color w:val="231F20"/>
                                <w:spacing w:val="-2"/>
                                <w:sz w:val="15"/>
                              </w:rPr>
                              <w:t>cytomegalovirus,</w:t>
                            </w:r>
                            <w:r>
                              <w:rPr>
                                <w:color w:val="231F20"/>
                                <w:spacing w:val="-6"/>
                                <w:sz w:val="15"/>
                              </w:rPr>
                              <w:t> </w:t>
                            </w:r>
                            <w:r>
                              <w:rPr>
                                <w:color w:val="231F20"/>
                                <w:spacing w:val="-2"/>
                                <w:sz w:val="15"/>
                              </w:rPr>
                              <w:t>West</w:t>
                            </w:r>
                            <w:r>
                              <w:rPr>
                                <w:color w:val="231F20"/>
                                <w:spacing w:val="-6"/>
                                <w:sz w:val="15"/>
                              </w:rPr>
                              <w:t> </w:t>
                            </w:r>
                            <w:r>
                              <w:rPr>
                                <w:color w:val="231F20"/>
                                <w:spacing w:val="-2"/>
                                <w:sz w:val="15"/>
                              </w:rPr>
                              <w:t>Nile) </w:t>
                            </w:r>
                            <w:r>
                              <w:rPr>
                                <w:color w:val="231F20"/>
                                <w:sz w:val="15"/>
                              </w:rPr>
                              <w:t>Subacute sclerosing panencephalitis</w:t>
                            </w:r>
                          </w:p>
                          <w:p>
                            <w:pPr>
                              <w:pStyle w:val="TableParagraph"/>
                              <w:spacing w:line="232" w:lineRule="auto" w:before="1"/>
                              <w:ind w:left="74" w:right="1221"/>
                              <w:rPr>
                                <w:sz w:val="15"/>
                              </w:rPr>
                            </w:pPr>
                            <w:r>
                              <w:rPr>
                                <w:color w:val="231F20"/>
                                <w:spacing w:val="-2"/>
                                <w:sz w:val="15"/>
                              </w:rPr>
                              <w:t>Tubulointestinal nephritis and uveitis </w:t>
                            </w:r>
                            <w:r>
                              <w:rPr>
                                <w:color w:val="231F20"/>
                                <w:spacing w:val="-2"/>
                                <w:sz w:val="15"/>
                              </w:rPr>
                              <w:t>syndrome Idiopathic</w:t>
                            </w:r>
                          </w:p>
                        </w:tc>
                      </w:tr>
                      <w:tr>
                        <w:trPr>
                          <w:trHeight w:val="1262"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ANTERIOR</w:t>
                            </w:r>
                            <w:r>
                              <w:rPr>
                                <w:color w:val="231F20"/>
                                <w:spacing w:val="3"/>
                                <w:w w:val="110"/>
                                <w:sz w:val="15"/>
                              </w:rPr>
                              <w:t> </w:t>
                            </w:r>
                            <w:r>
                              <w:rPr>
                                <w:color w:val="231F20"/>
                                <w:w w:val="110"/>
                                <w:sz w:val="15"/>
                              </w:rPr>
                              <w:t>AND/OR</w:t>
                            </w:r>
                            <w:r>
                              <w:rPr>
                                <w:color w:val="231F20"/>
                                <w:spacing w:val="4"/>
                                <w:w w:val="110"/>
                                <w:sz w:val="15"/>
                              </w:rPr>
                              <w:t> </w:t>
                            </w:r>
                            <w:r>
                              <w:rPr>
                                <w:color w:val="231F20"/>
                                <w:w w:val="110"/>
                                <w:sz w:val="15"/>
                              </w:rPr>
                              <w:t>POSTERIOR</w:t>
                            </w:r>
                            <w:r>
                              <w:rPr>
                                <w:color w:val="231F20"/>
                                <w:spacing w:val="3"/>
                                <w:w w:val="110"/>
                                <w:sz w:val="15"/>
                              </w:rPr>
                              <w:t> </w:t>
                            </w:r>
                            <w:r>
                              <w:rPr>
                                <w:color w:val="231F20"/>
                                <w:spacing w:val="-2"/>
                                <w:w w:val="110"/>
                                <w:sz w:val="15"/>
                              </w:rPr>
                              <w:t>UVEITIS</w:t>
                            </w:r>
                          </w:p>
                          <w:p>
                            <w:pPr>
                              <w:pStyle w:val="TableParagraph"/>
                              <w:spacing w:line="169" w:lineRule="exact"/>
                              <w:ind w:left="74"/>
                              <w:rPr>
                                <w:sz w:val="15"/>
                              </w:rPr>
                            </w:pPr>
                            <w:r>
                              <w:rPr>
                                <w:color w:val="231F20"/>
                                <w:spacing w:val="-2"/>
                                <w:sz w:val="15"/>
                              </w:rPr>
                              <w:t>Sympathetic</w:t>
                            </w:r>
                            <w:r>
                              <w:rPr>
                                <w:color w:val="231F20"/>
                                <w:spacing w:val="-1"/>
                                <w:sz w:val="15"/>
                              </w:rPr>
                              <w:t> </w:t>
                            </w:r>
                            <w:r>
                              <w:rPr>
                                <w:color w:val="231F20"/>
                                <w:spacing w:val="-2"/>
                                <w:sz w:val="15"/>
                              </w:rPr>
                              <w:t>ophthalmia</w:t>
                            </w:r>
                            <w:r>
                              <w:rPr>
                                <w:color w:val="231F20"/>
                                <w:sz w:val="15"/>
                              </w:rPr>
                              <w:t> </w:t>
                            </w:r>
                            <w:r>
                              <w:rPr>
                                <w:color w:val="231F20"/>
                                <w:spacing w:val="-2"/>
                                <w:sz w:val="15"/>
                              </w:rPr>
                              <w:t>(trauma</w:t>
                            </w:r>
                            <w:r>
                              <w:rPr>
                                <w:color w:val="231F20"/>
                                <w:sz w:val="15"/>
                              </w:rPr>
                              <w:t> </w:t>
                            </w:r>
                            <w:r>
                              <w:rPr>
                                <w:color w:val="231F20"/>
                                <w:spacing w:val="-2"/>
                                <w:sz w:val="15"/>
                              </w:rPr>
                              <w:t>to</w:t>
                            </w:r>
                            <w:r>
                              <w:rPr>
                                <w:color w:val="231F20"/>
                                <w:sz w:val="15"/>
                              </w:rPr>
                              <w:t> </w:t>
                            </w:r>
                            <w:r>
                              <w:rPr>
                                <w:color w:val="231F20"/>
                                <w:spacing w:val="-2"/>
                                <w:sz w:val="15"/>
                              </w:rPr>
                              <w:t>other</w:t>
                            </w:r>
                            <w:r>
                              <w:rPr>
                                <w:color w:val="231F20"/>
                                <w:sz w:val="15"/>
                              </w:rPr>
                              <w:t> </w:t>
                            </w:r>
                            <w:r>
                              <w:rPr>
                                <w:color w:val="231F20"/>
                                <w:spacing w:val="-4"/>
                                <w:sz w:val="15"/>
                              </w:rPr>
                              <w:t>eye)</w:t>
                            </w:r>
                          </w:p>
                          <w:p>
                            <w:pPr>
                              <w:pStyle w:val="TableParagraph"/>
                              <w:spacing w:line="230" w:lineRule="auto" w:before="3"/>
                              <w:ind w:left="186" w:hanging="112"/>
                              <w:rPr>
                                <w:sz w:val="15"/>
                              </w:rPr>
                            </w:pPr>
                            <w:r>
                              <w:rPr>
                                <w:color w:val="231F20"/>
                                <w:sz w:val="15"/>
                              </w:rPr>
                              <w:t>Vogt-Koyanagi-Harada</w:t>
                            </w:r>
                            <w:r>
                              <w:rPr>
                                <w:color w:val="231F20"/>
                                <w:spacing w:val="-3"/>
                                <w:sz w:val="15"/>
                              </w:rPr>
                              <w:t> </w:t>
                            </w:r>
                            <w:r>
                              <w:rPr>
                                <w:color w:val="231F20"/>
                                <w:sz w:val="15"/>
                              </w:rPr>
                              <w:t>syndrome</w:t>
                            </w:r>
                            <w:r>
                              <w:rPr>
                                <w:color w:val="231F20"/>
                                <w:spacing w:val="-3"/>
                                <w:sz w:val="15"/>
                              </w:rPr>
                              <w:t> </w:t>
                            </w:r>
                            <w:r>
                              <w:rPr>
                                <w:color w:val="231F20"/>
                                <w:sz w:val="15"/>
                              </w:rPr>
                              <w:t>(uveootocutaneous</w:t>
                            </w:r>
                            <w:r>
                              <w:rPr>
                                <w:color w:val="231F20"/>
                                <w:spacing w:val="-3"/>
                                <w:sz w:val="15"/>
                              </w:rPr>
                              <w:t> </w:t>
                            </w:r>
                            <w:r>
                              <w:rPr>
                                <w:color w:val="231F20"/>
                                <w:sz w:val="15"/>
                              </w:rPr>
                              <w:t>syndrome: </w:t>
                            </w:r>
                            <w:r>
                              <w:rPr>
                                <w:color w:val="231F20"/>
                                <w:spacing w:val="-2"/>
                                <w:sz w:val="15"/>
                              </w:rPr>
                              <w:t>poliosis,</w:t>
                            </w:r>
                            <w:r>
                              <w:rPr>
                                <w:color w:val="231F20"/>
                                <w:spacing w:val="-4"/>
                                <w:sz w:val="15"/>
                              </w:rPr>
                              <w:t> </w:t>
                            </w:r>
                            <w:r>
                              <w:rPr>
                                <w:color w:val="231F20"/>
                                <w:spacing w:val="-2"/>
                                <w:sz w:val="15"/>
                              </w:rPr>
                              <w:t>vitiligo,</w:t>
                            </w:r>
                            <w:r>
                              <w:rPr>
                                <w:color w:val="231F20"/>
                                <w:spacing w:val="-4"/>
                                <w:sz w:val="15"/>
                              </w:rPr>
                              <w:t> </w:t>
                            </w:r>
                            <w:r>
                              <w:rPr>
                                <w:color w:val="231F20"/>
                                <w:spacing w:val="-2"/>
                                <w:sz w:val="15"/>
                              </w:rPr>
                              <w:t>deafness,</w:t>
                            </w:r>
                            <w:r>
                              <w:rPr>
                                <w:color w:val="231F20"/>
                                <w:spacing w:val="-4"/>
                                <w:sz w:val="15"/>
                              </w:rPr>
                              <w:t> </w:t>
                            </w:r>
                            <w:r>
                              <w:rPr>
                                <w:color w:val="231F20"/>
                                <w:spacing w:val="-2"/>
                                <w:sz w:val="15"/>
                              </w:rPr>
                              <w:t>tinnitus,</w:t>
                            </w:r>
                            <w:r>
                              <w:rPr>
                                <w:color w:val="231F20"/>
                                <w:spacing w:val="-4"/>
                                <w:sz w:val="15"/>
                              </w:rPr>
                              <w:t> </w:t>
                            </w:r>
                            <w:r>
                              <w:rPr>
                                <w:color w:val="231F20"/>
                                <w:spacing w:val="-2"/>
                                <w:sz w:val="15"/>
                              </w:rPr>
                              <w:t>uveitis,</w:t>
                            </w:r>
                            <w:r>
                              <w:rPr>
                                <w:color w:val="231F20"/>
                                <w:spacing w:val="-4"/>
                                <w:sz w:val="15"/>
                              </w:rPr>
                              <w:t> </w:t>
                            </w:r>
                            <w:r>
                              <w:rPr>
                                <w:color w:val="231F20"/>
                                <w:spacing w:val="-2"/>
                                <w:sz w:val="15"/>
                              </w:rPr>
                              <w:t>aseptic</w:t>
                            </w:r>
                            <w:r>
                              <w:rPr>
                                <w:color w:val="231F20"/>
                                <w:spacing w:val="-4"/>
                                <w:sz w:val="15"/>
                              </w:rPr>
                              <w:t> </w:t>
                            </w:r>
                            <w:r>
                              <w:rPr>
                                <w:color w:val="231F20"/>
                                <w:spacing w:val="-2"/>
                                <w:sz w:val="15"/>
                              </w:rPr>
                              <w:t>meningitis, retinitis)</w:t>
                            </w:r>
                          </w:p>
                          <w:p>
                            <w:pPr>
                              <w:pStyle w:val="TableParagraph"/>
                              <w:spacing w:line="232" w:lineRule="auto" w:before="2"/>
                              <w:ind w:left="74" w:right="3450"/>
                              <w:rPr>
                                <w:sz w:val="15"/>
                              </w:rPr>
                            </w:pPr>
                            <w:r>
                              <w:rPr>
                                <w:color w:val="231F20"/>
                                <w:sz w:val="15"/>
                              </w:rPr>
                              <w:t>Behçet</w:t>
                            </w:r>
                            <w:r>
                              <w:rPr>
                                <w:color w:val="231F20"/>
                                <w:spacing w:val="-12"/>
                                <w:sz w:val="15"/>
                              </w:rPr>
                              <w:t> </w:t>
                            </w:r>
                            <w:r>
                              <w:rPr>
                                <w:color w:val="231F20"/>
                                <w:sz w:val="15"/>
                              </w:rPr>
                              <w:t>syndrome Lyme disease</w:t>
                            </w:r>
                          </w:p>
                        </w:tc>
                      </w:tr>
                    </w:tbl>
                    <w:p>
                      <w:pPr>
                        <w:pStyle w:val="BodyText"/>
                      </w:pPr>
                    </w:p>
                  </w:txbxContent>
                </v:textbox>
                <w10:wrap type="none"/>
              </v:shape>
            </w:pict>
          </mc:Fallback>
        </mc:AlternateContent>
      </w:r>
      <w:r>
        <w:rPr>
          <w:color w:val="231F20"/>
        </w:rPr>
        <w:t>*The radiographic correlation of a subperiosteal or orbital abscess seen with </w:t>
      </w:r>
      <w:r>
        <w:rPr>
          <w:color w:val="231F20"/>
        </w:rPr>
        <w:t>CT</w:t>
      </w:r>
      <w:r>
        <w:rPr>
          <w:color w:val="231F20"/>
          <w:spacing w:val="40"/>
        </w:rPr>
        <w:t> </w:t>
      </w:r>
      <w:r>
        <w:rPr>
          <w:color w:val="231F20"/>
        </w:rPr>
        <w:t>is</w:t>
      </w:r>
      <w:r>
        <w:rPr>
          <w:color w:val="231F20"/>
          <w:spacing w:val="-5"/>
        </w:rPr>
        <w:t> </w:t>
      </w:r>
      <w:r>
        <w:rPr>
          <w:color w:val="231F20"/>
        </w:rPr>
        <w:t>a</w:t>
      </w:r>
      <w:r>
        <w:rPr>
          <w:color w:val="231F20"/>
          <w:spacing w:val="-5"/>
        </w:rPr>
        <w:t> </w:t>
      </w:r>
      <w:r>
        <w:rPr>
          <w:color w:val="231F20"/>
        </w:rPr>
        <w:t>contrast-enhancing</w:t>
      </w:r>
      <w:r>
        <w:rPr>
          <w:color w:val="231F20"/>
          <w:spacing w:val="-5"/>
        </w:rPr>
        <w:t> </w:t>
      </w:r>
      <w:r>
        <w:rPr>
          <w:color w:val="231F20"/>
        </w:rPr>
        <w:t>mass</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extraconal</w:t>
      </w:r>
      <w:r>
        <w:rPr>
          <w:color w:val="231F20"/>
          <w:spacing w:val="-5"/>
        </w:rPr>
        <w:t> </w:t>
      </w:r>
      <w:r>
        <w:rPr>
          <w:color w:val="231F20"/>
        </w:rPr>
        <w:t>or</w:t>
      </w:r>
      <w:r>
        <w:rPr>
          <w:color w:val="231F20"/>
          <w:spacing w:val="-5"/>
        </w:rPr>
        <w:t> </w:t>
      </w:r>
      <w:r>
        <w:rPr>
          <w:color w:val="231F20"/>
        </w:rPr>
        <w:t>intraconal</w:t>
      </w:r>
      <w:r>
        <w:rPr>
          <w:color w:val="231F20"/>
          <w:spacing w:val="-5"/>
        </w:rPr>
        <w:t> </w:t>
      </w:r>
      <w:r>
        <w:rPr>
          <w:color w:val="231F20"/>
        </w:rPr>
        <w:t>space,</w:t>
      </w:r>
      <w:r>
        <w:rPr>
          <w:color w:val="231F20"/>
          <w:spacing w:val="-5"/>
        </w:rPr>
        <w:t> </w:t>
      </w:r>
      <w:r>
        <w:rPr>
          <w:color w:val="231F20"/>
        </w:rPr>
        <w:t>possibly</w:t>
      </w:r>
      <w:r>
        <w:rPr>
          <w:color w:val="231F20"/>
          <w:spacing w:val="-5"/>
        </w:rPr>
        <w:t> </w:t>
      </w:r>
      <w:r>
        <w:rPr>
          <w:color w:val="231F20"/>
        </w:rPr>
        <w:t>with</w:t>
      </w:r>
      <w:r>
        <w:rPr>
          <w:color w:val="231F20"/>
          <w:spacing w:val="40"/>
        </w:rPr>
        <w:t> </w:t>
      </w:r>
      <w:r>
        <w:rPr>
          <w:color w:val="231F20"/>
        </w:rPr>
        <w:t>areas</w:t>
      </w:r>
      <w:r>
        <w:rPr>
          <w:color w:val="231F20"/>
          <w:spacing w:val="-1"/>
        </w:rPr>
        <w:t> </w:t>
      </w:r>
      <w:r>
        <w:rPr>
          <w:color w:val="231F20"/>
        </w:rPr>
        <w:t>of</w:t>
      </w:r>
      <w:r>
        <w:rPr>
          <w:color w:val="231F20"/>
          <w:spacing w:val="-1"/>
        </w:rPr>
        <w:t> </w:t>
      </w:r>
      <w:r>
        <w:rPr>
          <w:color w:val="231F20"/>
        </w:rPr>
        <w:t>cavitation,</w:t>
      </w:r>
      <w:r>
        <w:rPr>
          <w:color w:val="231F20"/>
          <w:spacing w:val="-1"/>
        </w:rPr>
        <w:t> </w:t>
      </w:r>
      <w:r>
        <w:rPr>
          <w:color w:val="231F20"/>
        </w:rPr>
        <w:t>because</w:t>
      </w:r>
      <w:r>
        <w:rPr>
          <w:color w:val="231F20"/>
          <w:spacing w:val="-1"/>
        </w:rPr>
        <w:t> </w:t>
      </w:r>
      <w:r>
        <w:rPr>
          <w:color w:val="231F20"/>
        </w:rPr>
        <w:t>purulence</w:t>
      </w:r>
      <w:r>
        <w:rPr>
          <w:color w:val="231F20"/>
          <w:spacing w:val="-1"/>
        </w:rPr>
        <w:t> </w:t>
      </w:r>
      <w:r>
        <w:rPr>
          <w:color w:val="231F20"/>
        </w:rPr>
        <w:t>cannot</w:t>
      </w:r>
      <w:r>
        <w:rPr>
          <w:color w:val="231F20"/>
          <w:spacing w:val="-1"/>
        </w:rPr>
        <w:t> </w:t>
      </w:r>
      <w:r>
        <w:rPr>
          <w:color w:val="231F20"/>
        </w:rPr>
        <w:t>be</w:t>
      </w:r>
      <w:r>
        <w:rPr>
          <w:color w:val="231F20"/>
          <w:spacing w:val="-1"/>
        </w:rPr>
        <w:t> </w:t>
      </w:r>
      <w:r>
        <w:rPr>
          <w:color w:val="231F20"/>
        </w:rPr>
        <w:t>determined</w:t>
      </w:r>
      <w:r>
        <w:rPr>
          <w:color w:val="231F20"/>
          <w:spacing w:val="-1"/>
        </w:rPr>
        <w:t> </w:t>
      </w:r>
      <w:r>
        <w:rPr>
          <w:color w:val="231F20"/>
        </w:rPr>
        <w:t>with</w:t>
      </w:r>
      <w:r>
        <w:rPr>
          <w:color w:val="231F20"/>
          <w:spacing w:val="-1"/>
        </w:rPr>
        <w:t> </w:t>
      </w:r>
      <w:r>
        <w:rPr>
          <w:color w:val="231F20"/>
        </w:rPr>
        <w:t>CT</w:t>
      </w:r>
      <w:r>
        <w:rPr>
          <w:color w:val="231F20"/>
          <w:spacing w:val="-1"/>
        </w:rPr>
        <w:t> </w:t>
      </w:r>
      <w:r>
        <w:rPr>
          <w:color w:val="231F20"/>
        </w:rPr>
        <w:t>scanning.</w:t>
      </w:r>
    </w:p>
    <w:p>
      <w:pPr>
        <w:pStyle w:val="BodyText"/>
        <w:spacing w:before="6"/>
      </w:pPr>
    </w:p>
    <w:tbl>
      <w:tblPr>
        <w:tblW w:w="0" w:type="auto"/>
        <w:jc w:val="left"/>
        <w:tblInd w:w="55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692"/>
        <w:gridCol w:w="2863"/>
      </w:tblGrid>
      <w:tr>
        <w:trPr>
          <w:trHeight w:val="559"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629-</w:t>
            </w:r>
            <w:r>
              <w:rPr>
                <w:b/>
                <w:color w:val="FFFFFF"/>
                <w:spacing w:val="-10"/>
                <w:w w:val="105"/>
                <w:sz w:val="16"/>
              </w:rPr>
              <w:t>2</w:t>
            </w:r>
          </w:p>
        </w:tc>
        <w:tc>
          <w:tcPr>
            <w:tcW w:w="3555" w:type="dxa"/>
            <w:gridSpan w:val="2"/>
            <w:tcBorders>
              <w:left w:val="single" w:sz="8" w:space="0" w:color="FFFFFF"/>
            </w:tcBorders>
            <w:shd w:val="clear" w:color="auto" w:fill="231F20"/>
          </w:tcPr>
          <w:p>
            <w:pPr>
              <w:pStyle w:val="TableParagraph"/>
              <w:spacing w:before="89"/>
              <w:ind w:left="73" w:right="294"/>
              <w:rPr>
                <w:sz w:val="16"/>
              </w:rPr>
            </w:pPr>
            <w:r>
              <w:rPr>
                <w:color w:val="FFFFFF"/>
                <w:w w:val="105"/>
                <w:sz w:val="16"/>
              </w:rPr>
              <w:t>Examination</w:t>
            </w:r>
            <w:r>
              <w:rPr>
                <w:color w:val="FFFFFF"/>
                <w:spacing w:val="-3"/>
                <w:w w:val="105"/>
                <w:sz w:val="16"/>
              </w:rPr>
              <w:t> </w:t>
            </w:r>
            <w:r>
              <w:rPr>
                <w:color w:val="FFFFFF"/>
                <w:w w:val="105"/>
                <w:sz w:val="16"/>
              </w:rPr>
              <w:t>Schedule</w:t>
            </w:r>
            <w:r>
              <w:rPr>
                <w:color w:val="FFFFFF"/>
                <w:spacing w:val="-3"/>
                <w:w w:val="105"/>
                <w:sz w:val="16"/>
              </w:rPr>
              <w:t> </w:t>
            </w:r>
            <w:r>
              <w:rPr>
                <w:color w:val="FFFFFF"/>
                <w:w w:val="105"/>
                <w:sz w:val="16"/>
              </w:rPr>
              <w:t>for</w:t>
            </w:r>
            <w:r>
              <w:rPr>
                <w:color w:val="FFFFFF"/>
                <w:spacing w:val="-3"/>
                <w:w w:val="105"/>
                <w:sz w:val="16"/>
              </w:rPr>
              <w:t> </w:t>
            </w:r>
            <w:r>
              <w:rPr>
                <w:color w:val="FFFFFF"/>
                <w:w w:val="105"/>
                <w:sz w:val="16"/>
              </w:rPr>
              <w:t>Children</w:t>
            </w:r>
            <w:r>
              <w:rPr>
                <w:color w:val="FFFFFF"/>
                <w:spacing w:val="-3"/>
                <w:w w:val="105"/>
                <w:sz w:val="16"/>
              </w:rPr>
              <w:t> </w:t>
            </w:r>
            <w:r>
              <w:rPr>
                <w:color w:val="FFFFFF"/>
                <w:w w:val="105"/>
                <w:sz w:val="16"/>
              </w:rPr>
              <w:t>with JIA Without Known Iridocyclitis</w:t>
            </w:r>
          </w:p>
        </w:tc>
      </w:tr>
      <w:tr>
        <w:trPr>
          <w:trHeight w:val="263" w:hRule="atLeast"/>
        </w:trPr>
        <w:tc>
          <w:tcPr>
            <w:tcW w:w="1840" w:type="dxa"/>
            <w:gridSpan w:val="2"/>
            <w:shd w:val="clear" w:color="auto" w:fill="E8F5F1"/>
          </w:tcPr>
          <w:p>
            <w:pPr>
              <w:pStyle w:val="TableParagraph"/>
              <w:rPr>
                <w:rFonts w:ascii="Times New Roman"/>
                <w:sz w:val="14"/>
              </w:rPr>
            </w:pPr>
          </w:p>
        </w:tc>
        <w:tc>
          <w:tcPr>
            <w:tcW w:w="2863" w:type="dxa"/>
            <w:tcBorders>
              <w:bottom w:val="single" w:sz="4" w:space="0" w:color="231F20"/>
            </w:tcBorders>
            <w:shd w:val="clear" w:color="auto" w:fill="E8F5F1"/>
          </w:tcPr>
          <w:p>
            <w:pPr>
              <w:pStyle w:val="TableParagraph"/>
              <w:spacing w:before="48"/>
              <w:ind w:left="818"/>
              <w:rPr>
                <w:b/>
                <w:sz w:val="15"/>
              </w:rPr>
            </w:pPr>
            <w:r>
              <w:rPr>
                <w:b/>
                <w:color w:val="231F20"/>
                <w:w w:val="110"/>
                <w:sz w:val="15"/>
              </w:rPr>
              <w:t>AGE</w:t>
            </w:r>
            <w:r>
              <w:rPr>
                <w:b/>
                <w:color w:val="231F20"/>
                <w:spacing w:val="8"/>
                <w:w w:val="110"/>
                <w:sz w:val="15"/>
              </w:rPr>
              <w:t> </w:t>
            </w:r>
            <w:r>
              <w:rPr>
                <w:b/>
                <w:color w:val="231F20"/>
                <w:w w:val="110"/>
                <w:sz w:val="15"/>
              </w:rPr>
              <w:t>OF</w:t>
            </w:r>
            <w:r>
              <w:rPr>
                <w:b/>
                <w:color w:val="231F20"/>
                <w:spacing w:val="8"/>
                <w:w w:val="110"/>
                <w:sz w:val="15"/>
              </w:rPr>
              <w:t> </w:t>
            </w:r>
            <w:r>
              <w:rPr>
                <w:b/>
                <w:color w:val="231F20"/>
                <w:spacing w:val="-2"/>
                <w:w w:val="110"/>
                <w:sz w:val="15"/>
              </w:rPr>
              <w:t>ONSET</w:t>
            </w:r>
          </w:p>
        </w:tc>
      </w:tr>
      <w:tr>
        <w:trPr>
          <w:trHeight w:val="249" w:hRule="atLeast"/>
        </w:trPr>
        <w:tc>
          <w:tcPr>
            <w:tcW w:w="4703" w:type="dxa"/>
            <w:gridSpan w:val="3"/>
            <w:tcBorders>
              <w:bottom w:val="single" w:sz="4" w:space="0" w:color="231F20"/>
            </w:tcBorders>
            <w:shd w:val="clear" w:color="auto" w:fill="E8F5F1"/>
          </w:tcPr>
          <w:p>
            <w:pPr>
              <w:pStyle w:val="TableParagraph"/>
              <w:tabs>
                <w:tab w:pos="2308" w:val="left" w:leader="none"/>
                <w:tab w:pos="3790" w:val="left" w:leader="none"/>
              </w:tabs>
              <w:spacing w:before="36"/>
              <w:ind w:left="74"/>
              <w:rPr>
                <w:b/>
                <w:sz w:val="15"/>
              </w:rPr>
            </w:pPr>
            <w:r>
              <w:rPr>
                <w:b/>
                <w:color w:val="231F20"/>
                <w:w w:val="105"/>
                <w:sz w:val="15"/>
              </w:rPr>
              <w:t>JIA</w:t>
            </w:r>
            <w:r>
              <w:rPr>
                <w:b/>
                <w:color w:val="231F20"/>
                <w:spacing w:val="4"/>
                <w:w w:val="105"/>
                <w:sz w:val="15"/>
              </w:rPr>
              <w:t> </w:t>
            </w:r>
            <w:r>
              <w:rPr>
                <w:b/>
                <w:color w:val="231F20"/>
                <w:spacing w:val="-2"/>
                <w:w w:val="105"/>
                <w:sz w:val="15"/>
              </w:rPr>
              <w:t>SUBTYPE</w:t>
            </w:r>
            <w:r>
              <w:rPr>
                <w:b/>
                <w:color w:val="231F20"/>
                <w:sz w:val="15"/>
              </w:rPr>
              <w:tab/>
            </w:r>
            <w:r>
              <w:rPr>
                <w:rFonts w:ascii="Constantia" w:hAnsi="Constantia"/>
                <w:b/>
                <w:color w:val="231F20"/>
                <w:w w:val="105"/>
                <w:sz w:val="15"/>
              </w:rPr>
              <w:t>≤</w:t>
            </w:r>
            <w:r>
              <w:rPr>
                <w:b/>
                <w:color w:val="231F20"/>
                <w:w w:val="105"/>
                <w:sz w:val="15"/>
              </w:rPr>
              <w:t>6</w:t>
            </w:r>
            <w:r>
              <w:rPr>
                <w:b/>
                <w:color w:val="231F20"/>
                <w:spacing w:val="-5"/>
                <w:w w:val="105"/>
                <w:sz w:val="15"/>
              </w:rPr>
              <w:t> yr</w:t>
            </w:r>
            <w:r>
              <w:rPr>
                <w:b/>
                <w:color w:val="231F20"/>
                <w:sz w:val="15"/>
              </w:rPr>
              <w:tab/>
            </w:r>
            <w:r>
              <w:rPr>
                <w:rFonts w:ascii="Constantia" w:hAnsi="Constantia"/>
                <w:b/>
                <w:color w:val="231F20"/>
                <w:w w:val="105"/>
                <w:sz w:val="15"/>
              </w:rPr>
              <w:t>&gt;</w:t>
            </w:r>
            <w:r>
              <w:rPr>
                <w:b/>
                <w:color w:val="231F20"/>
                <w:w w:val="105"/>
                <w:sz w:val="15"/>
              </w:rPr>
              <w:t>6</w:t>
            </w:r>
            <w:r>
              <w:rPr>
                <w:b/>
                <w:color w:val="231F20"/>
                <w:spacing w:val="-5"/>
                <w:w w:val="105"/>
                <w:sz w:val="15"/>
              </w:rPr>
              <w:t> yr</w:t>
            </w:r>
          </w:p>
        </w:tc>
      </w:tr>
      <w:tr>
        <w:trPr>
          <w:trHeight w:val="1999" w:hRule="atLeast"/>
        </w:trPr>
        <w:tc>
          <w:tcPr>
            <w:tcW w:w="4703" w:type="dxa"/>
            <w:gridSpan w:val="3"/>
            <w:tcBorders>
              <w:top w:val="single" w:sz="4" w:space="0" w:color="231F20"/>
              <w:bottom w:val="single" w:sz="8" w:space="0" w:color="231F20"/>
            </w:tcBorders>
            <w:shd w:val="clear" w:color="auto" w:fill="E8F5F1"/>
          </w:tcPr>
          <w:p>
            <w:pPr>
              <w:pStyle w:val="TableParagraph"/>
              <w:spacing w:before="43"/>
              <w:ind w:left="74"/>
              <w:rPr>
                <w:sz w:val="15"/>
              </w:rPr>
            </w:pPr>
            <w:r>
              <w:rPr>
                <w:color w:val="231F20"/>
                <w:w w:val="110"/>
                <w:sz w:val="15"/>
              </w:rPr>
              <w:t>OLIGOARTHRITIS</w:t>
            </w:r>
            <w:r>
              <w:rPr>
                <w:color w:val="231F20"/>
                <w:spacing w:val="-3"/>
                <w:w w:val="110"/>
                <w:sz w:val="15"/>
              </w:rPr>
              <w:t> </w:t>
            </w:r>
            <w:r>
              <w:rPr>
                <w:color w:val="231F20"/>
                <w:w w:val="110"/>
                <w:sz w:val="15"/>
              </w:rPr>
              <w:t>OR</w:t>
            </w:r>
            <w:r>
              <w:rPr>
                <w:color w:val="231F20"/>
                <w:spacing w:val="-2"/>
                <w:w w:val="110"/>
                <w:sz w:val="15"/>
              </w:rPr>
              <w:t> POLYARTHRITIS</w:t>
            </w:r>
          </w:p>
          <w:p>
            <w:pPr>
              <w:pStyle w:val="TableParagraph"/>
              <w:spacing w:line="172" w:lineRule="exact" w:before="15"/>
              <w:ind w:left="74"/>
              <w:rPr>
                <w:i/>
                <w:sz w:val="15"/>
              </w:rPr>
            </w:pPr>
            <w:r>
              <w:rPr>
                <w:i/>
                <w:color w:val="231F20"/>
                <w:sz w:val="15"/>
              </w:rPr>
              <w:t>Positive</w:t>
            </w:r>
            <w:r>
              <w:rPr>
                <w:i/>
                <w:color w:val="231F20"/>
                <w:spacing w:val="-2"/>
                <w:sz w:val="15"/>
              </w:rPr>
              <w:t> </w:t>
            </w:r>
            <w:r>
              <w:rPr>
                <w:i/>
                <w:color w:val="231F20"/>
                <w:spacing w:val="-5"/>
                <w:sz w:val="15"/>
              </w:rPr>
              <w:t>ANA</w:t>
            </w:r>
          </w:p>
          <w:p>
            <w:pPr>
              <w:pStyle w:val="TableParagraph"/>
              <w:tabs>
                <w:tab w:pos="1839" w:val="left" w:leader="none"/>
                <w:tab w:pos="3321" w:val="left" w:leader="none"/>
              </w:tabs>
              <w:spacing w:line="242" w:lineRule="auto"/>
              <w:ind w:left="74" w:right="633"/>
              <w:rPr>
                <w:i/>
                <w:sz w:val="15"/>
              </w:rPr>
            </w:pPr>
            <w:r>
              <w:rPr>
                <w:color w:val="231F20"/>
                <w:sz w:val="15"/>
              </w:rPr>
              <w:t>Less than 4 yr duration</w:t>
              <w:tab/>
              <w:t>Every 3 mo</w:t>
              <w:tab/>
              <w:t>Every</w:t>
            </w:r>
            <w:r>
              <w:rPr>
                <w:color w:val="231F20"/>
                <w:spacing w:val="-12"/>
                <w:sz w:val="15"/>
              </w:rPr>
              <w:t> </w:t>
            </w:r>
            <w:r>
              <w:rPr>
                <w:color w:val="231F20"/>
                <w:sz w:val="15"/>
              </w:rPr>
              <w:t>6</w:t>
            </w:r>
            <w:r>
              <w:rPr>
                <w:color w:val="231F20"/>
                <w:spacing w:val="-11"/>
                <w:sz w:val="15"/>
              </w:rPr>
              <w:t> </w:t>
            </w:r>
            <w:r>
              <w:rPr>
                <w:color w:val="231F20"/>
                <w:sz w:val="15"/>
              </w:rPr>
              <w:t>mo 4-7 yr duration</w:t>
              <w:tab/>
              <w:t>Every 6 mo</w:t>
              <w:tab/>
            </w:r>
            <w:r>
              <w:rPr>
                <w:color w:val="231F20"/>
                <w:spacing w:val="-2"/>
                <w:sz w:val="15"/>
              </w:rPr>
              <w:t>Annually </w:t>
            </w:r>
            <w:r>
              <w:rPr>
                <w:color w:val="231F20"/>
                <w:sz w:val="15"/>
              </w:rPr>
              <w:t>More than 7 yr duration</w:t>
            </w:r>
            <w:r>
              <w:rPr>
                <w:color w:val="231F20"/>
                <w:spacing w:val="80"/>
                <w:sz w:val="15"/>
              </w:rPr>
              <w:t> </w:t>
            </w:r>
            <w:r>
              <w:rPr>
                <w:color w:val="231F20"/>
                <w:sz w:val="15"/>
              </w:rPr>
              <w:t>Annually</w:t>
              <w:tab/>
            </w:r>
            <w:r>
              <w:rPr>
                <w:color w:val="231F20"/>
                <w:spacing w:val="-2"/>
                <w:sz w:val="15"/>
              </w:rPr>
              <w:t>Annually </w:t>
            </w:r>
            <w:r>
              <w:rPr>
                <w:i/>
                <w:color w:val="231F20"/>
                <w:sz w:val="15"/>
              </w:rPr>
              <w:t>Negative ANA</w:t>
            </w:r>
          </w:p>
          <w:p>
            <w:pPr>
              <w:pStyle w:val="TableParagraph"/>
              <w:tabs>
                <w:tab w:pos="1839" w:val="left" w:leader="none"/>
                <w:tab w:pos="3321" w:val="left" w:leader="none"/>
              </w:tabs>
              <w:spacing w:line="232" w:lineRule="auto"/>
              <w:ind w:left="74" w:right="811"/>
              <w:rPr>
                <w:sz w:val="15"/>
              </w:rPr>
            </w:pPr>
            <w:r>
              <w:rPr>
                <w:color w:val="231F20"/>
                <w:sz w:val="15"/>
              </w:rPr>
              <w:t>Less than 4 yr duration</w:t>
              <w:tab/>
              <w:t>Every 6 mo</w:t>
              <w:tab/>
            </w:r>
            <w:r>
              <w:rPr>
                <w:color w:val="231F20"/>
                <w:spacing w:val="-2"/>
                <w:sz w:val="15"/>
              </w:rPr>
              <w:t>Annually </w:t>
            </w:r>
            <w:r>
              <w:rPr>
                <w:color w:val="231F20"/>
                <w:sz w:val="15"/>
              </w:rPr>
              <w:t>4-7</w:t>
            </w:r>
            <w:r>
              <w:rPr>
                <w:color w:val="231F20"/>
                <w:spacing w:val="-11"/>
                <w:sz w:val="15"/>
              </w:rPr>
              <w:t> </w:t>
            </w:r>
            <w:r>
              <w:rPr>
                <w:color w:val="231F20"/>
                <w:sz w:val="15"/>
              </w:rPr>
              <w:t>yr</w:t>
            </w:r>
            <w:r>
              <w:rPr>
                <w:color w:val="231F20"/>
                <w:spacing w:val="-11"/>
                <w:sz w:val="15"/>
              </w:rPr>
              <w:t> </w:t>
            </w:r>
            <w:r>
              <w:rPr>
                <w:color w:val="231F20"/>
                <w:spacing w:val="-2"/>
                <w:sz w:val="15"/>
              </w:rPr>
              <w:t>duration</w:t>
            </w:r>
            <w:r>
              <w:rPr>
                <w:color w:val="231F20"/>
                <w:sz w:val="15"/>
              </w:rPr>
              <w:tab/>
            </w:r>
            <w:r>
              <w:rPr>
                <w:color w:val="231F20"/>
                <w:spacing w:val="-2"/>
                <w:sz w:val="15"/>
              </w:rPr>
              <w:t>Annually</w:t>
            </w:r>
            <w:r>
              <w:rPr>
                <w:color w:val="231F20"/>
                <w:sz w:val="15"/>
              </w:rPr>
              <w:tab/>
            </w:r>
            <w:r>
              <w:rPr>
                <w:color w:val="231F20"/>
                <w:spacing w:val="-2"/>
                <w:sz w:val="15"/>
              </w:rPr>
              <w:t>Annually</w:t>
            </w:r>
          </w:p>
          <w:p>
            <w:pPr>
              <w:pStyle w:val="TableParagraph"/>
              <w:tabs>
                <w:tab w:pos="3321" w:val="left" w:leader="none"/>
              </w:tabs>
              <w:spacing w:line="171" w:lineRule="exact"/>
              <w:ind w:left="74"/>
              <w:rPr>
                <w:sz w:val="15"/>
              </w:rPr>
            </w:pPr>
            <w:r>
              <w:rPr>
                <w:color w:val="231F20"/>
                <w:sz w:val="15"/>
              </w:rPr>
              <w:t>More</w:t>
            </w:r>
            <w:r>
              <w:rPr>
                <w:color w:val="231F20"/>
                <w:spacing w:val="-1"/>
                <w:sz w:val="15"/>
              </w:rPr>
              <w:t> </w:t>
            </w:r>
            <w:r>
              <w:rPr>
                <w:color w:val="231F20"/>
                <w:sz w:val="15"/>
              </w:rPr>
              <w:t>than 7 yr</w:t>
            </w:r>
            <w:r>
              <w:rPr>
                <w:color w:val="231F20"/>
                <w:spacing w:val="-1"/>
                <w:sz w:val="15"/>
              </w:rPr>
              <w:t> </w:t>
            </w:r>
            <w:r>
              <w:rPr>
                <w:color w:val="231F20"/>
                <w:sz w:val="15"/>
              </w:rPr>
              <w:t>duration</w:t>
            </w:r>
            <w:r>
              <w:rPr>
                <w:color w:val="231F20"/>
                <w:spacing w:val="40"/>
                <w:sz w:val="15"/>
              </w:rPr>
              <w:t>  </w:t>
            </w:r>
            <w:r>
              <w:rPr>
                <w:color w:val="231F20"/>
                <w:spacing w:val="-2"/>
                <w:sz w:val="15"/>
              </w:rPr>
              <w:t>Annually</w:t>
            </w:r>
            <w:r>
              <w:rPr>
                <w:color w:val="231F20"/>
                <w:sz w:val="15"/>
              </w:rPr>
              <w:tab/>
            </w:r>
            <w:r>
              <w:rPr>
                <w:color w:val="231F20"/>
                <w:spacing w:val="-2"/>
                <w:sz w:val="15"/>
              </w:rPr>
              <w:t>Annually</w:t>
            </w:r>
          </w:p>
          <w:p>
            <w:pPr>
              <w:pStyle w:val="TableParagraph"/>
              <w:tabs>
                <w:tab w:pos="1839" w:val="left" w:leader="none"/>
                <w:tab w:pos="3433" w:val="left" w:leader="none"/>
              </w:tabs>
              <w:spacing w:line="230" w:lineRule="auto" w:before="16"/>
              <w:ind w:left="1951" w:right="75" w:hanging="1877"/>
              <w:rPr>
                <w:sz w:val="15"/>
              </w:rPr>
            </w:pPr>
            <w:r>
              <w:rPr>
                <w:i/>
                <w:color w:val="231F20"/>
                <w:spacing w:val="-2"/>
                <w:sz w:val="15"/>
              </w:rPr>
              <w:t>Systemic</w:t>
            </w:r>
            <w:r>
              <w:rPr>
                <w:i/>
                <w:color w:val="231F20"/>
                <w:sz w:val="15"/>
              </w:rPr>
              <w:tab/>
            </w:r>
            <w:r>
              <w:rPr>
                <w:color w:val="231F20"/>
                <w:sz w:val="15"/>
              </w:rPr>
              <w:t>Annually</w:t>
            </w:r>
            <w:r>
              <w:rPr>
                <w:color w:val="231F20"/>
                <w:spacing w:val="-6"/>
                <w:sz w:val="15"/>
              </w:rPr>
              <w:t> </w:t>
            </w:r>
            <w:r>
              <w:rPr>
                <w:color w:val="231F20"/>
                <w:sz w:val="15"/>
              </w:rPr>
              <w:t>regardless</w:t>
            </w:r>
            <w:r>
              <w:rPr>
                <w:color w:val="231F20"/>
                <w:spacing w:val="80"/>
                <w:sz w:val="15"/>
              </w:rPr>
              <w:t> </w:t>
            </w:r>
            <w:r>
              <w:rPr>
                <w:color w:val="231F20"/>
                <w:sz w:val="15"/>
              </w:rPr>
              <w:t>Annually</w:t>
            </w:r>
            <w:r>
              <w:rPr>
                <w:color w:val="231F20"/>
                <w:spacing w:val="-6"/>
                <w:sz w:val="15"/>
              </w:rPr>
              <w:t> </w:t>
            </w:r>
            <w:r>
              <w:rPr>
                <w:color w:val="231F20"/>
                <w:sz w:val="15"/>
              </w:rPr>
              <w:t>regardless of duration</w:t>
              <w:tab/>
              <w:t>of duration</w:t>
            </w:r>
          </w:p>
        </w:tc>
      </w:tr>
    </w:tbl>
    <w:p>
      <w:pPr>
        <w:pStyle w:val="TableParagraph"/>
        <w:spacing w:after="0" w:line="230" w:lineRule="auto"/>
        <w:rPr>
          <w:sz w:val="15"/>
        </w:rPr>
        <w:sectPr>
          <w:pgSz w:w="11900" w:h="16840"/>
          <w:pgMar w:header="0" w:footer="0" w:top="1180" w:bottom="280" w:left="708" w:right="566"/>
        </w:sectPr>
      </w:pPr>
    </w:p>
    <w:p>
      <w:pPr>
        <w:pStyle w:val="BodyText"/>
        <w:spacing w:before="205"/>
        <w:rPr>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313" name="Group 1313"/>
                <wp:cNvGraphicFramePr>
                  <a:graphicFrameLocks/>
                </wp:cNvGraphicFramePr>
                <a:graphic>
                  <a:graphicData uri="http://schemas.microsoft.com/office/word/2010/wordprocessingGroup">
                    <wpg:wgp>
                      <wpg:cNvPr id="1313" name="Group 1313"/>
                      <wpg:cNvGrpSpPr/>
                      <wpg:grpSpPr>
                        <a:xfrm>
                          <a:off x="0" y="0"/>
                          <a:ext cx="6185535" cy="170815"/>
                          <a:chExt cx="6185535" cy="170815"/>
                        </a:xfrm>
                      </wpg:grpSpPr>
                      <wps:wsp>
                        <wps:cNvPr id="1314" name="Graphic 1314"/>
                        <wps:cNvSpPr/>
                        <wps:spPr>
                          <a:xfrm>
                            <a:off x="6161574" y="92305"/>
                            <a:ext cx="24130" cy="1270"/>
                          </a:xfrm>
                          <a:custGeom>
                            <a:avLst/>
                            <a:gdLst/>
                            <a:ahLst/>
                            <a:cxnLst/>
                            <a:rect l="l" t="t" r="r" b="b"/>
                            <a:pathLst>
                              <a:path w="24130" h="0">
                                <a:moveTo>
                                  <a:pt x="0" y="0"/>
                                </a:moveTo>
                                <a:lnTo>
                                  <a:pt x="23698" y="0"/>
                                </a:lnTo>
                              </a:path>
                            </a:pathLst>
                          </a:custGeom>
                          <a:ln w="142190">
                            <a:solidFill>
                              <a:srgbClr val="2E3092"/>
                            </a:solidFill>
                            <a:prstDash val="solid"/>
                          </a:ln>
                        </wps:spPr>
                        <wps:bodyPr wrap="square" lIns="0" tIns="0" rIns="0" bIns="0" rtlCol="0">
                          <a:prstTxWarp prst="textNoShape">
                            <a:avLst/>
                          </a:prstTxWarp>
                          <a:noAutofit/>
                        </wps:bodyPr>
                      </wps:wsp>
                      <wps:wsp>
                        <wps:cNvPr id="1315" name="Graphic 1315"/>
                        <wps:cNvSpPr/>
                        <wps:spPr>
                          <a:xfrm>
                            <a:off x="0" y="158660"/>
                            <a:ext cx="6185535" cy="1270"/>
                          </a:xfrm>
                          <a:custGeom>
                            <a:avLst/>
                            <a:gdLst/>
                            <a:ahLst/>
                            <a:cxnLst/>
                            <a:rect l="l" t="t" r="r" b="b"/>
                            <a:pathLst>
                              <a:path w="6185535" h="0">
                                <a:moveTo>
                                  <a:pt x="0" y="0"/>
                                </a:moveTo>
                                <a:lnTo>
                                  <a:pt x="6185273" y="0"/>
                                </a:lnTo>
                              </a:path>
                            </a:pathLst>
                          </a:custGeom>
                          <a:ln w="23698">
                            <a:solidFill>
                              <a:srgbClr val="2E3092"/>
                            </a:solidFill>
                            <a:prstDash val="solid"/>
                          </a:ln>
                        </wps:spPr>
                        <wps:bodyPr wrap="square" lIns="0" tIns="0" rIns="0" bIns="0" rtlCol="0">
                          <a:prstTxWarp prst="textNoShape">
                            <a:avLst/>
                          </a:prstTxWarp>
                          <a:noAutofit/>
                        </wps:bodyPr>
                      </wps:wsp>
                      <wps:wsp>
                        <wps:cNvPr id="1316" name="Textbox 1316"/>
                        <wps:cNvSpPr txBox="1"/>
                        <wps:spPr>
                          <a:xfrm>
                            <a:off x="0" y="0"/>
                            <a:ext cx="6185535" cy="170815"/>
                          </a:xfrm>
                          <a:prstGeom prst="rect">
                            <a:avLst/>
                          </a:prstGeom>
                        </wps:spPr>
                        <wps:txbx>
                          <w:txbxContent>
                            <w:p>
                              <w:pPr>
                                <w:spacing w:before="6"/>
                                <w:ind w:left="-1" w:right="0" w:firstLine="0"/>
                                <w:jc w:val="left"/>
                                <w:rPr>
                                  <w:sz w:val="18"/>
                                </w:rPr>
                              </w:pPr>
                              <w:r>
                                <w:rPr>
                                  <w:b/>
                                  <w:color w:val="231F20"/>
                                  <w:w w:val="110"/>
                                  <w:sz w:val="18"/>
                                </w:rPr>
                                <w:t>3060</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36" coordorigin="0,0" coordsize="9741,269">
                <v:line style="position:absolute" from="9703,145" to="9741,145" stroked="true" strokeweight="11.196078pt" strokecolor="#2e3092">
                  <v:stroke dashstyle="solid"/>
                </v:line>
                <v:line style="position:absolute" from="0,250" to="9741,250" stroked="true" strokeweight="1.866013pt" strokecolor="#2e3092">
                  <v:stroke dashstyle="solid"/>
                </v:line>
                <v:shape style="position:absolute;left:0;top:0;width:9741;height:269" type="#_x0000_t202" id="docshape1037" filled="false" stroked="false">
                  <v:textbox inset="0,0,0,0">
                    <w:txbxContent>
                      <w:p>
                        <w:pPr>
                          <w:spacing w:before="6"/>
                          <w:ind w:left="-1" w:right="0" w:firstLine="0"/>
                          <w:jc w:val="left"/>
                          <w:rPr>
                            <w:sz w:val="18"/>
                          </w:rPr>
                        </w:pPr>
                        <w:r>
                          <w:rPr>
                            <w:b/>
                            <w:color w:val="231F20"/>
                            <w:w w:val="110"/>
                            <w:sz w:val="18"/>
                          </w:rPr>
                          <w:t>3060</w:t>
                        </w:r>
                        <w:r>
                          <w:rPr>
                            <w:b/>
                            <w:color w:val="231F20"/>
                            <w:spacing w:val="79"/>
                            <w:w w:val="150"/>
                            <w:sz w:val="18"/>
                          </w:rPr>
                          <w:t> </w:t>
                        </w:r>
                        <w:r>
                          <w:rPr>
                            <w:b/>
                            <w:color w:val="2E3092"/>
                            <w:w w:val="110"/>
                            <w:sz w:val="18"/>
                          </w:rPr>
                          <w:t>Part</w:t>
                        </w:r>
                        <w:r>
                          <w:rPr>
                            <w:b/>
                            <w:color w:val="2E3092"/>
                            <w:spacing w:val="-1"/>
                            <w:w w:val="110"/>
                            <w:sz w:val="18"/>
                          </w:rPr>
                          <w:t> </w:t>
                        </w:r>
                        <w:r>
                          <w:rPr>
                            <w:b/>
                            <w:color w:val="2E3092"/>
                            <w:w w:val="110"/>
                            <w:sz w:val="18"/>
                          </w:rPr>
                          <w:t>XXIX</w:t>
                        </w:r>
                        <w:r>
                          <w:rPr>
                            <w:b/>
                            <w:color w:val="2E3092"/>
                            <w:spacing w:val="21"/>
                            <w:w w:val="110"/>
                            <w:sz w:val="18"/>
                          </w:rPr>
                          <w:t> </w:t>
                        </w:r>
                        <w:r>
                          <w:rPr>
                            <w:rFonts w:ascii="Lucida Sans Unicode" w:hAnsi="Lucida Sans Unicode"/>
                            <w:color w:val="7670B3"/>
                            <w:w w:val="110"/>
                            <w:sz w:val="15"/>
                          </w:rPr>
                          <w:t>◆</w:t>
                        </w:r>
                        <w:r>
                          <w:rPr>
                            <w:rFonts w:ascii="Lucida Sans Unicode" w:hAnsi="Lucida Sans Unicode"/>
                            <w:color w:val="7670B3"/>
                            <w:spacing w:val="28"/>
                            <w:w w:val="110"/>
                            <w:sz w:val="15"/>
                          </w:rPr>
                          <w:t> </w:t>
                        </w:r>
                        <w:r>
                          <w:rPr>
                            <w:color w:val="231F20"/>
                            <w:w w:val="110"/>
                            <w:sz w:val="18"/>
                          </w:rPr>
                          <w:t>Disorders</w:t>
                        </w:r>
                        <w:r>
                          <w:rPr>
                            <w:color w:val="231F20"/>
                            <w:spacing w:val="-5"/>
                            <w:w w:val="110"/>
                            <w:sz w:val="18"/>
                          </w:rPr>
                          <w:t> </w:t>
                        </w:r>
                        <w:r>
                          <w:rPr>
                            <w:color w:val="231F20"/>
                            <w:w w:val="110"/>
                            <w:sz w:val="18"/>
                          </w:rPr>
                          <w:t>of</w:t>
                        </w:r>
                        <w:r>
                          <w:rPr>
                            <w:color w:val="231F20"/>
                            <w:spacing w:val="-5"/>
                            <w:w w:val="110"/>
                            <w:sz w:val="18"/>
                          </w:rPr>
                          <w:t> </w:t>
                        </w:r>
                        <w:r>
                          <w:rPr>
                            <w:color w:val="231F20"/>
                            <w:w w:val="110"/>
                            <w:sz w:val="18"/>
                          </w:rPr>
                          <w:t>the</w:t>
                        </w:r>
                        <w:r>
                          <w:rPr>
                            <w:color w:val="231F20"/>
                            <w:spacing w:val="-5"/>
                            <w:w w:val="110"/>
                            <w:sz w:val="18"/>
                          </w:rPr>
                          <w:t> Eye</w:t>
                        </w:r>
                      </w:p>
                    </w:txbxContent>
                  </v:textbox>
                  <w10:wrap type="none"/>
                </v:shape>
              </v:group>
            </w:pict>
          </mc:Fallback>
        </mc:AlternateContent>
      </w:r>
      <w:r>
        <w:rPr>
          <w:sz w:val="20"/>
        </w:rPr>
      </w:r>
    </w:p>
    <w:p>
      <w:pPr>
        <w:pStyle w:val="BodyText"/>
        <w:spacing w:before="6"/>
      </w:pPr>
    </w:p>
    <w:tbl>
      <w:tblPr>
        <w:tblW w:w="0" w:type="auto"/>
        <w:jc w:val="left"/>
        <w:tblInd w:w="9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234"/>
        <w:gridCol w:w="3723"/>
        <w:gridCol w:w="4897"/>
      </w:tblGrid>
      <w:tr>
        <w:trPr>
          <w:trHeight w:val="353" w:hRule="atLeast"/>
        </w:trPr>
        <w:tc>
          <w:tcPr>
            <w:tcW w:w="1234" w:type="dxa"/>
            <w:tcBorders>
              <w:top w:val="nil"/>
              <w:left w:val="nil"/>
            </w:tcBorders>
            <w:shd w:val="clear" w:color="auto" w:fill="231F20"/>
          </w:tcPr>
          <w:p>
            <w:pPr>
              <w:pStyle w:val="TableParagraph"/>
              <w:spacing w:before="89"/>
              <w:ind w:left="198"/>
              <w:rPr>
                <w:b/>
                <w:sz w:val="16"/>
              </w:rPr>
            </w:pPr>
            <w:r>
              <w:rPr>
                <w:b/>
                <w:color w:val="FFFFFF"/>
                <w:w w:val="105"/>
                <w:sz w:val="16"/>
              </w:rPr>
              <w:t>Table</w:t>
            </w:r>
            <w:r>
              <w:rPr>
                <w:b/>
                <w:color w:val="FFFFFF"/>
                <w:spacing w:val="-3"/>
                <w:w w:val="105"/>
                <w:sz w:val="16"/>
              </w:rPr>
              <w:t> </w:t>
            </w:r>
            <w:r>
              <w:rPr>
                <w:b/>
                <w:color w:val="FFFFFF"/>
                <w:w w:val="105"/>
                <w:sz w:val="16"/>
              </w:rPr>
              <w:t>632-</w:t>
            </w:r>
            <w:r>
              <w:rPr>
                <w:b/>
                <w:color w:val="FFFFFF"/>
                <w:spacing w:val="-10"/>
                <w:w w:val="105"/>
                <w:sz w:val="16"/>
              </w:rPr>
              <w:t>1</w:t>
            </w:r>
          </w:p>
        </w:tc>
        <w:tc>
          <w:tcPr>
            <w:tcW w:w="8620" w:type="dxa"/>
            <w:gridSpan w:val="2"/>
            <w:tcBorders>
              <w:top w:val="nil"/>
              <w:right w:val="nil"/>
            </w:tcBorders>
            <w:shd w:val="clear" w:color="auto" w:fill="231F20"/>
          </w:tcPr>
          <w:p>
            <w:pPr>
              <w:pStyle w:val="TableParagraph"/>
              <w:spacing w:before="89"/>
              <w:ind w:left="73"/>
              <w:rPr>
                <w:sz w:val="16"/>
              </w:rPr>
            </w:pPr>
            <w:r>
              <w:rPr>
                <w:color w:val="FFFFFF"/>
                <w:w w:val="105"/>
                <w:sz w:val="16"/>
              </w:rPr>
              <w:t>Primary</w:t>
            </w:r>
            <w:r>
              <w:rPr>
                <w:color w:val="FFFFFF"/>
                <w:spacing w:val="16"/>
                <w:w w:val="105"/>
                <w:sz w:val="16"/>
              </w:rPr>
              <w:t> </w:t>
            </w:r>
            <w:r>
              <w:rPr>
                <w:color w:val="FFFFFF"/>
                <w:w w:val="105"/>
                <w:sz w:val="16"/>
              </w:rPr>
              <w:t>and</w:t>
            </w:r>
            <w:r>
              <w:rPr>
                <w:color w:val="FFFFFF"/>
                <w:spacing w:val="17"/>
                <w:w w:val="105"/>
                <w:sz w:val="16"/>
              </w:rPr>
              <w:t> </w:t>
            </w:r>
            <w:r>
              <w:rPr>
                <w:color w:val="FFFFFF"/>
                <w:w w:val="105"/>
                <w:sz w:val="16"/>
              </w:rPr>
              <w:t>Secondary</w:t>
            </w:r>
            <w:r>
              <w:rPr>
                <w:color w:val="FFFFFF"/>
                <w:spacing w:val="17"/>
                <w:w w:val="105"/>
                <w:sz w:val="16"/>
              </w:rPr>
              <w:t> </w:t>
            </w:r>
            <w:r>
              <w:rPr>
                <w:color w:val="FFFFFF"/>
                <w:w w:val="105"/>
                <w:sz w:val="16"/>
              </w:rPr>
              <w:t>Childhood</w:t>
            </w:r>
            <w:r>
              <w:rPr>
                <w:color w:val="FFFFFF"/>
                <w:spacing w:val="17"/>
                <w:w w:val="105"/>
                <w:sz w:val="16"/>
              </w:rPr>
              <w:t> </w:t>
            </w:r>
            <w:r>
              <w:rPr>
                <w:color w:val="FFFFFF"/>
                <w:spacing w:val="-2"/>
                <w:w w:val="105"/>
                <w:sz w:val="16"/>
              </w:rPr>
              <w:t>Glaucomas</w:t>
            </w:r>
          </w:p>
        </w:tc>
      </w:tr>
      <w:tr>
        <w:trPr>
          <w:trHeight w:val="8828" w:hRule="atLeast"/>
        </w:trPr>
        <w:tc>
          <w:tcPr>
            <w:tcW w:w="4957" w:type="dxa"/>
            <w:gridSpan w:val="2"/>
            <w:tcBorders>
              <w:left w:val="nil"/>
              <w:bottom w:val="single" w:sz="8" w:space="0" w:color="231F20"/>
              <w:right w:val="single" w:sz="4" w:space="0" w:color="231F20"/>
            </w:tcBorders>
            <w:shd w:val="clear" w:color="auto" w:fill="E8F5F1"/>
          </w:tcPr>
          <w:p>
            <w:pPr>
              <w:pStyle w:val="TableParagraph"/>
              <w:numPr>
                <w:ilvl w:val="0"/>
                <w:numId w:val="104"/>
              </w:numPr>
              <w:tabs>
                <w:tab w:pos="391" w:val="left" w:leader="none"/>
              </w:tabs>
              <w:spacing w:line="172" w:lineRule="exact" w:before="47" w:after="0"/>
              <w:ind w:left="391" w:right="0" w:hanging="231"/>
              <w:jc w:val="left"/>
              <w:rPr>
                <w:sz w:val="15"/>
              </w:rPr>
            </w:pPr>
            <w:r>
              <w:rPr>
                <w:color w:val="231F20"/>
                <w:w w:val="110"/>
                <w:sz w:val="15"/>
              </w:rPr>
              <w:t>PRIMARY</w:t>
            </w:r>
            <w:r>
              <w:rPr>
                <w:color w:val="231F20"/>
                <w:spacing w:val="-1"/>
                <w:w w:val="110"/>
                <w:sz w:val="15"/>
              </w:rPr>
              <w:t> </w:t>
            </w:r>
            <w:r>
              <w:rPr>
                <w:color w:val="231F20"/>
                <w:spacing w:val="-2"/>
                <w:w w:val="115"/>
                <w:sz w:val="15"/>
              </w:rPr>
              <w:t>GLAUCOMAS</w:t>
            </w:r>
          </w:p>
          <w:p>
            <w:pPr>
              <w:pStyle w:val="TableParagraph"/>
              <w:numPr>
                <w:ilvl w:val="1"/>
                <w:numId w:val="104"/>
              </w:numPr>
              <w:tabs>
                <w:tab w:pos="402" w:val="left" w:leader="none"/>
              </w:tabs>
              <w:spacing w:line="169" w:lineRule="exact" w:before="0" w:after="0"/>
              <w:ind w:left="402" w:right="0" w:hanging="229"/>
              <w:jc w:val="left"/>
              <w:rPr>
                <w:sz w:val="15"/>
              </w:rPr>
            </w:pPr>
            <w:r>
              <w:rPr>
                <w:color w:val="231F20"/>
                <w:sz w:val="15"/>
              </w:rPr>
              <w:t>Congenital</w:t>
            </w:r>
            <w:r>
              <w:rPr>
                <w:color w:val="231F20"/>
                <w:spacing w:val="15"/>
                <w:sz w:val="15"/>
              </w:rPr>
              <w:t> </w:t>
            </w:r>
            <w:r>
              <w:rPr>
                <w:color w:val="231F20"/>
                <w:sz w:val="15"/>
              </w:rPr>
              <w:t>open-angle</w:t>
            </w:r>
            <w:r>
              <w:rPr>
                <w:color w:val="231F20"/>
                <w:spacing w:val="16"/>
                <w:sz w:val="15"/>
              </w:rPr>
              <w:t> </w:t>
            </w:r>
            <w:r>
              <w:rPr>
                <w:color w:val="231F20"/>
                <w:spacing w:val="-2"/>
                <w:sz w:val="15"/>
              </w:rPr>
              <w:t>glaucoma</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Congenital</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Infantile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Late</w:t>
            </w:r>
            <w:r>
              <w:rPr>
                <w:color w:val="231F20"/>
                <w:spacing w:val="-11"/>
                <w:sz w:val="15"/>
              </w:rPr>
              <w:t> </w:t>
            </w:r>
            <w:r>
              <w:rPr>
                <w:color w:val="231F20"/>
                <w:spacing w:val="-2"/>
                <w:sz w:val="15"/>
              </w:rPr>
              <w:t>recognized</w:t>
            </w:r>
          </w:p>
          <w:p>
            <w:pPr>
              <w:pStyle w:val="TableParagraph"/>
              <w:numPr>
                <w:ilvl w:val="1"/>
                <w:numId w:val="104"/>
              </w:numPr>
              <w:tabs>
                <w:tab w:pos="402" w:val="left" w:leader="none"/>
              </w:tabs>
              <w:spacing w:line="168" w:lineRule="exact" w:before="0" w:after="0"/>
              <w:ind w:left="402" w:right="0" w:hanging="221"/>
              <w:jc w:val="left"/>
              <w:rPr>
                <w:sz w:val="15"/>
              </w:rPr>
            </w:pPr>
            <w:r>
              <w:rPr>
                <w:color w:val="231F20"/>
                <w:sz w:val="15"/>
              </w:rPr>
              <w:t>Autosomal</w:t>
            </w:r>
            <w:r>
              <w:rPr>
                <w:color w:val="231F20"/>
                <w:spacing w:val="-7"/>
                <w:sz w:val="15"/>
              </w:rPr>
              <w:t> </w:t>
            </w:r>
            <w:r>
              <w:rPr>
                <w:color w:val="231F20"/>
                <w:sz w:val="15"/>
              </w:rPr>
              <w:t>dominant</w:t>
            </w:r>
            <w:r>
              <w:rPr>
                <w:color w:val="231F20"/>
                <w:spacing w:val="-8"/>
                <w:sz w:val="15"/>
              </w:rPr>
              <w:t> </w:t>
            </w:r>
            <w:r>
              <w:rPr>
                <w:color w:val="231F20"/>
                <w:sz w:val="15"/>
              </w:rPr>
              <w:t>juvenile</w:t>
            </w:r>
            <w:r>
              <w:rPr>
                <w:color w:val="231F20"/>
                <w:spacing w:val="-7"/>
                <w:sz w:val="15"/>
              </w:rPr>
              <w:t> </w:t>
            </w:r>
            <w:r>
              <w:rPr>
                <w:color w:val="231F20"/>
                <w:spacing w:val="-2"/>
                <w:sz w:val="15"/>
              </w:rPr>
              <w:t>glaucoma</w:t>
            </w:r>
          </w:p>
          <w:p>
            <w:pPr>
              <w:pStyle w:val="TableParagraph"/>
              <w:numPr>
                <w:ilvl w:val="1"/>
                <w:numId w:val="104"/>
              </w:numPr>
              <w:tabs>
                <w:tab w:pos="402" w:val="left" w:leader="none"/>
              </w:tabs>
              <w:spacing w:line="168" w:lineRule="exact" w:before="0" w:after="0"/>
              <w:ind w:left="402" w:right="0" w:hanging="232"/>
              <w:jc w:val="left"/>
              <w:rPr>
                <w:sz w:val="15"/>
              </w:rPr>
            </w:pPr>
            <w:r>
              <w:rPr>
                <w:color w:val="231F20"/>
                <w:spacing w:val="-2"/>
                <w:sz w:val="15"/>
              </w:rPr>
              <w:t>Primary</w:t>
            </w:r>
            <w:r>
              <w:rPr>
                <w:color w:val="231F20"/>
                <w:spacing w:val="1"/>
                <w:sz w:val="15"/>
              </w:rPr>
              <w:t> </w:t>
            </w:r>
            <w:r>
              <w:rPr>
                <w:color w:val="231F20"/>
                <w:spacing w:val="-2"/>
                <w:sz w:val="15"/>
              </w:rPr>
              <w:t>angle-closure</w:t>
            </w:r>
            <w:r>
              <w:rPr>
                <w:color w:val="231F20"/>
                <w:spacing w:val="4"/>
                <w:sz w:val="15"/>
              </w:rPr>
              <w:t> </w:t>
            </w:r>
            <w:r>
              <w:rPr>
                <w:color w:val="231F20"/>
                <w:spacing w:val="-2"/>
                <w:sz w:val="15"/>
              </w:rPr>
              <w:t>glaucoma</w:t>
            </w:r>
          </w:p>
          <w:p>
            <w:pPr>
              <w:pStyle w:val="TableParagraph"/>
              <w:numPr>
                <w:ilvl w:val="1"/>
                <w:numId w:val="104"/>
              </w:numPr>
              <w:tabs>
                <w:tab w:pos="402" w:val="left" w:leader="none"/>
              </w:tabs>
              <w:spacing w:line="168" w:lineRule="exact" w:before="0" w:after="0"/>
              <w:ind w:left="402" w:right="0" w:hanging="237"/>
              <w:jc w:val="left"/>
              <w:rPr>
                <w:sz w:val="15"/>
              </w:rPr>
            </w:pPr>
            <w:r>
              <w:rPr>
                <w:color w:val="231F20"/>
                <w:sz w:val="15"/>
              </w:rPr>
              <w:t>Associated</w:t>
            </w:r>
            <w:r>
              <w:rPr>
                <w:color w:val="231F20"/>
                <w:spacing w:val="-8"/>
                <w:sz w:val="15"/>
              </w:rPr>
              <w:t> </w:t>
            </w:r>
            <w:r>
              <w:rPr>
                <w:color w:val="231F20"/>
                <w:sz w:val="15"/>
              </w:rPr>
              <w:t>with</w:t>
            </w:r>
            <w:r>
              <w:rPr>
                <w:color w:val="231F20"/>
                <w:spacing w:val="-8"/>
                <w:sz w:val="15"/>
              </w:rPr>
              <w:t> </w:t>
            </w:r>
            <w:r>
              <w:rPr>
                <w:color w:val="231F20"/>
                <w:sz w:val="15"/>
              </w:rPr>
              <w:t>systemic</w:t>
            </w:r>
            <w:r>
              <w:rPr>
                <w:color w:val="231F20"/>
                <w:spacing w:val="-8"/>
                <w:sz w:val="15"/>
              </w:rPr>
              <w:t> </w:t>
            </w:r>
            <w:r>
              <w:rPr>
                <w:color w:val="231F20"/>
                <w:spacing w:val="-2"/>
                <w:sz w:val="15"/>
              </w:rPr>
              <w:t>abnormalities</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Sturge-Weber</w:t>
            </w:r>
            <w:r>
              <w:rPr>
                <w:color w:val="231F20"/>
                <w:spacing w:val="19"/>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Neurofibromatosis</w:t>
            </w:r>
            <w:r>
              <w:rPr>
                <w:color w:val="231F20"/>
                <w:spacing w:val="-6"/>
                <w:sz w:val="15"/>
              </w:rPr>
              <w:t> </w:t>
            </w:r>
            <w:r>
              <w:rPr>
                <w:color w:val="231F20"/>
                <w:sz w:val="15"/>
              </w:rPr>
              <w:t>type</w:t>
            </w:r>
            <w:r>
              <w:rPr>
                <w:color w:val="231F20"/>
                <w:spacing w:val="-5"/>
                <w:sz w:val="15"/>
              </w:rPr>
              <w:t> </w:t>
            </w:r>
            <w:r>
              <w:rPr>
                <w:color w:val="231F20"/>
                <w:sz w:val="15"/>
              </w:rPr>
              <w:t>1</w:t>
            </w:r>
            <w:r>
              <w:rPr>
                <w:color w:val="231F20"/>
                <w:spacing w:val="-5"/>
                <w:sz w:val="15"/>
              </w:rPr>
              <w:t> </w:t>
            </w:r>
            <w:r>
              <w:rPr>
                <w:color w:val="231F20"/>
                <w:sz w:val="15"/>
              </w:rPr>
              <w:t>(NF-</w:t>
            </w:r>
            <w:r>
              <w:rPr>
                <w:color w:val="231F20"/>
                <w:spacing w:val="-5"/>
                <w:sz w:val="15"/>
              </w:rPr>
              <w:t>1)</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4"/>
                <w:sz w:val="15"/>
              </w:rPr>
              <w:t>Stickler</w:t>
            </w:r>
            <w:r>
              <w:rPr>
                <w:color w:val="231F20"/>
                <w:spacing w:val="2"/>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Oculocerebrorenal</w:t>
            </w:r>
            <w:r>
              <w:rPr>
                <w:color w:val="231F20"/>
                <w:spacing w:val="7"/>
                <w:sz w:val="15"/>
              </w:rPr>
              <w:t> </w:t>
            </w:r>
            <w:r>
              <w:rPr>
                <w:color w:val="231F20"/>
                <w:spacing w:val="-2"/>
                <w:sz w:val="15"/>
              </w:rPr>
              <w:t>(Lowe)</w:t>
            </w:r>
            <w:r>
              <w:rPr>
                <w:color w:val="231F20"/>
                <w:spacing w:val="8"/>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Rieger</w:t>
            </w:r>
            <w:r>
              <w:rPr>
                <w:color w:val="231F20"/>
                <w:spacing w:val="1"/>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Hepatocerebrorenal</w:t>
            </w:r>
            <w:r>
              <w:rPr>
                <w:color w:val="231F20"/>
                <w:spacing w:val="23"/>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Marfan</w:t>
            </w:r>
            <w:r>
              <w:rPr>
                <w:color w:val="231F20"/>
                <w:spacing w:val="5"/>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Rubinstein-Taybi</w:t>
            </w:r>
            <w:r>
              <w:rPr>
                <w:color w:val="231F20"/>
                <w:spacing w:val="10"/>
                <w:sz w:val="15"/>
              </w:rPr>
              <w:t> </w:t>
            </w:r>
            <w:r>
              <w:rPr>
                <w:color w:val="231F20"/>
                <w:spacing w:val="-2"/>
                <w:sz w:val="15"/>
              </w:rPr>
              <w:t>syndrome</w:t>
            </w:r>
          </w:p>
          <w:p>
            <w:pPr>
              <w:pStyle w:val="TableParagraph"/>
              <w:numPr>
                <w:ilvl w:val="2"/>
                <w:numId w:val="104"/>
              </w:numPr>
              <w:tabs>
                <w:tab w:pos="670" w:val="left" w:leader="none"/>
                <w:tab w:pos="672" w:val="left" w:leader="none"/>
              </w:tabs>
              <w:spacing w:line="230" w:lineRule="auto" w:before="3" w:after="0"/>
              <w:ind w:left="672" w:right="395" w:hanging="195"/>
              <w:jc w:val="left"/>
              <w:rPr>
                <w:sz w:val="15"/>
              </w:rPr>
            </w:pPr>
            <w:r>
              <w:rPr>
                <w:color w:val="231F20"/>
                <w:spacing w:val="-2"/>
                <w:sz w:val="15"/>
              </w:rPr>
              <w:t>Infantile glaucoma associated with mental retardation </w:t>
            </w:r>
            <w:r>
              <w:rPr>
                <w:color w:val="231F20"/>
                <w:spacing w:val="-2"/>
                <w:sz w:val="15"/>
              </w:rPr>
              <w:t>and paralysis</w:t>
            </w:r>
          </w:p>
          <w:p>
            <w:pPr>
              <w:pStyle w:val="TableParagraph"/>
              <w:numPr>
                <w:ilvl w:val="2"/>
                <w:numId w:val="104"/>
              </w:numPr>
              <w:tabs>
                <w:tab w:pos="671" w:val="left" w:leader="none"/>
              </w:tabs>
              <w:spacing w:line="167" w:lineRule="exact" w:before="0" w:after="0"/>
              <w:ind w:left="671" w:right="0" w:hanging="268"/>
              <w:jc w:val="left"/>
              <w:rPr>
                <w:sz w:val="15"/>
              </w:rPr>
            </w:pPr>
            <w:r>
              <w:rPr>
                <w:color w:val="231F20"/>
                <w:sz w:val="15"/>
              </w:rPr>
              <w:t>Oculodentodigital</w:t>
            </w:r>
            <w:r>
              <w:rPr>
                <w:color w:val="231F20"/>
                <w:spacing w:val="12"/>
                <w:sz w:val="15"/>
              </w:rPr>
              <w:t> </w:t>
            </w:r>
            <w:r>
              <w:rPr>
                <w:color w:val="231F20"/>
                <w:spacing w:val="-2"/>
                <w:sz w:val="15"/>
              </w:rPr>
              <w:t>dysplasia</w:t>
            </w:r>
          </w:p>
          <w:p>
            <w:pPr>
              <w:pStyle w:val="TableParagraph"/>
              <w:numPr>
                <w:ilvl w:val="2"/>
                <w:numId w:val="104"/>
              </w:numPr>
              <w:tabs>
                <w:tab w:pos="672" w:val="left" w:leader="none"/>
              </w:tabs>
              <w:spacing w:line="230" w:lineRule="auto" w:before="2" w:after="0"/>
              <w:ind w:left="672" w:right="535" w:hanging="269"/>
              <w:jc w:val="left"/>
              <w:rPr>
                <w:sz w:val="15"/>
              </w:rPr>
            </w:pPr>
            <w:r>
              <w:rPr>
                <w:color w:val="231F20"/>
                <w:sz w:val="15"/>
              </w:rPr>
              <w:t>Open-angle</w:t>
            </w:r>
            <w:r>
              <w:rPr>
                <w:color w:val="231F20"/>
                <w:spacing w:val="-1"/>
                <w:sz w:val="15"/>
              </w:rPr>
              <w:t> </w:t>
            </w:r>
            <w:r>
              <w:rPr>
                <w:color w:val="231F20"/>
                <w:sz w:val="15"/>
              </w:rPr>
              <w:t>glaucoma</w:t>
            </w:r>
            <w:r>
              <w:rPr>
                <w:color w:val="231F20"/>
                <w:spacing w:val="-1"/>
                <w:sz w:val="15"/>
              </w:rPr>
              <w:t> </w:t>
            </w:r>
            <w:r>
              <w:rPr>
                <w:color w:val="231F20"/>
                <w:sz w:val="15"/>
              </w:rPr>
              <w:t>associated</w:t>
            </w:r>
            <w:r>
              <w:rPr>
                <w:color w:val="231F20"/>
                <w:spacing w:val="-1"/>
                <w:sz w:val="15"/>
              </w:rPr>
              <w:t> </w:t>
            </w:r>
            <w:r>
              <w:rPr>
                <w:color w:val="231F20"/>
                <w:sz w:val="15"/>
              </w:rPr>
              <w:t>with</w:t>
            </w:r>
            <w:r>
              <w:rPr>
                <w:color w:val="231F20"/>
                <w:spacing w:val="-1"/>
                <w:sz w:val="15"/>
              </w:rPr>
              <w:t> </w:t>
            </w:r>
            <w:r>
              <w:rPr>
                <w:color w:val="231F20"/>
                <w:sz w:val="15"/>
              </w:rPr>
              <w:t>microcornea</w:t>
            </w:r>
            <w:r>
              <w:rPr>
                <w:color w:val="231F20"/>
                <w:spacing w:val="-1"/>
                <w:sz w:val="15"/>
              </w:rPr>
              <w:t> </w:t>
            </w:r>
            <w:r>
              <w:rPr>
                <w:color w:val="231F20"/>
                <w:sz w:val="15"/>
              </w:rPr>
              <w:t>and absence of frontal sinuses</w:t>
            </w:r>
          </w:p>
          <w:p>
            <w:pPr>
              <w:pStyle w:val="TableParagraph"/>
              <w:numPr>
                <w:ilvl w:val="2"/>
                <w:numId w:val="104"/>
              </w:numPr>
              <w:tabs>
                <w:tab w:pos="671" w:val="left" w:leader="none"/>
              </w:tabs>
              <w:spacing w:line="167" w:lineRule="exact" w:before="0" w:after="0"/>
              <w:ind w:left="671" w:right="0" w:hanging="268"/>
              <w:jc w:val="left"/>
              <w:rPr>
                <w:sz w:val="15"/>
              </w:rPr>
            </w:pPr>
            <w:r>
              <w:rPr>
                <w:color w:val="231F20"/>
                <w:spacing w:val="-2"/>
                <w:sz w:val="15"/>
              </w:rPr>
              <w:t>Mucopolysaccharidosis</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z w:val="15"/>
              </w:rPr>
              <w:t>Trisomy</w:t>
            </w:r>
            <w:r>
              <w:rPr>
                <w:color w:val="231F20"/>
                <w:spacing w:val="-10"/>
                <w:sz w:val="15"/>
              </w:rPr>
              <w:t> </w:t>
            </w:r>
            <w:r>
              <w:rPr>
                <w:color w:val="231F20"/>
                <w:spacing w:val="-5"/>
                <w:sz w:val="15"/>
              </w:rPr>
              <w:t>13</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pacing w:val="-2"/>
                <w:sz w:val="15"/>
              </w:rPr>
              <w:t>Cutis</w:t>
            </w:r>
            <w:r>
              <w:rPr>
                <w:color w:val="231F20"/>
                <w:spacing w:val="2"/>
                <w:sz w:val="15"/>
              </w:rPr>
              <w:t> </w:t>
            </w:r>
            <w:r>
              <w:rPr>
                <w:color w:val="231F20"/>
                <w:spacing w:val="-2"/>
                <w:sz w:val="15"/>
              </w:rPr>
              <w:t>marmorata</w:t>
            </w:r>
            <w:r>
              <w:rPr>
                <w:color w:val="231F20"/>
                <w:spacing w:val="3"/>
                <w:sz w:val="15"/>
              </w:rPr>
              <w:t> </w:t>
            </w:r>
            <w:r>
              <w:rPr>
                <w:color w:val="231F20"/>
                <w:spacing w:val="-2"/>
                <w:sz w:val="15"/>
              </w:rPr>
              <w:t>telangiectasia</w:t>
            </w:r>
            <w:r>
              <w:rPr>
                <w:color w:val="231F20"/>
                <w:spacing w:val="3"/>
                <w:sz w:val="15"/>
              </w:rPr>
              <w:t> </w:t>
            </w:r>
            <w:r>
              <w:rPr>
                <w:color w:val="231F20"/>
                <w:spacing w:val="-2"/>
                <w:sz w:val="15"/>
              </w:rPr>
              <w:t>congenita</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z w:val="15"/>
              </w:rPr>
              <w:t>Warburg</w:t>
            </w:r>
            <w:r>
              <w:rPr>
                <w:color w:val="231F20"/>
                <w:spacing w:val="17"/>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pacing w:val="-2"/>
                <w:sz w:val="15"/>
              </w:rPr>
              <w:t>Kniest</w:t>
            </w:r>
            <w:r>
              <w:rPr>
                <w:color w:val="231F20"/>
                <w:sz w:val="15"/>
              </w:rPr>
              <w:t> </w:t>
            </w:r>
            <w:r>
              <w:rPr>
                <w:color w:val="231F20"/>
                <w:spacing w:val="-2"/>
                <w:sz w:val="15"/>
              </w:rPr>
              <w:t>syndrome</w:t>
            </w:r>
            <w:r>
              <w:rPr>
                <w:color w:val="231F20"/>
                <w:sz w:val="15"/>
              </w:rPr>
              <w:t> </w:t>
            </w:r>
            <w:r>
              <w:rPr>
                <w:color w:val="231F20"/>
                <w:spacing w:val="-2"/>
                <w:sz w:val="15"/>
              </w:rPr>
              <w:t>(skeletal</w:t>
            </w:r>
            <w:r>
              <w:rPr>
                <w:color w:val="231F20"/>
                <w:sz w:val="15"/>
              </w:rPr>
              <w:t> </w:t>
            </w:r>
            <w:r>
              <w:rPr>
                <w:color w:val="231F20"/>
                <w:spacing w:val="-2"/>
                <w:sz w:val="15"/>
              </w:rPr>
              <w:t>dysplasia)</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z w:val="15"/>
              </w:rPr>
              <w:t>Michel</w:t>
            </w:r>
            <w:r>
              <w:rPr>
                <w:color w:val="231F20"/>
                <w:spacing w:val="9"/>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z w:val="15"/>
              </w:rPr>
              <w:t>Nonprogressive</w:t>
            </w:r>
            <w:r>
              <w:rPr>
                <w:color w:val="231F20"/>
                <w:spacing w:val="41"/>
                <w:sz w:val="15"/>
              </w:rPr>
              <w:t> </w:t>
            </w:r>
            <w:r>
              <w:rPr>
                <w:color w:val="231F20"/>
                <w:spacing w:val="-2"/>
                <w:sz w:val="15"/>
              </w:rPr>
              <w:t>hemiatrophy</w:t>
            </w:r>
          </w:p>
          <w:p>
            <w:pPr>
              <w:pStyle w:val="TableParagraph"/>
              <w:numPr>
                <w:ilvl w:val="1"/>
                <w:numId w:val="104"/>
              </w:numPr>
              <w:tabs>
                <w:tab w:pos="402" w:val="left" w:leader="none"/>
              </w:tabs>
              <w:spacing w:line="168" w:lineRule="exact" w:before="0" w:after="0"/>
              <w:ind w:left="402" w:right="0" w:hanging="215"/>
              <w:jc w:val="left"/>
              <w:rPr>
                <w:sz w:val="15"/>
              </w:rPr>
            </w:pPr>
            <w:r>
              <w:rPr>
                <w:color w:val="231F20"/>
                <w:sz w:val="15"/>
              </w:rPr>
              <w:t>Associated</w:t>
            </w:r>
            <w:r>
              <w:rPr>
                <w:color w:val="231F20"/>
                <w:spacing w:val="-7"/>
                <w:sz w:val="15"/>
              </w:rPr>
              <w:t> </w:t>
            </w:r>
            <w:r>
              <w:rPr>
                <w:color w:val="231F20"/>
                <w:sz w:val="15"/>
              </w:rPr>
              <w:t>with</w:t>
            </w:r>
            <w:r>
              <w:rPr>
                <w:color w:val="231F20"/>
                <w:spacing w:val="-6"/>
                <w:sz w:val="15"/>
              </w:rPr>
              <w:t> </w:t>
            </w:r>
            <w:r>
              <w:rPr>
                <w:color w:val="231F20"/>
                <w:sz w:val="15"/>
              </w:rPr>
              <w:t>ocular</w:t>
            </w:r>
            <w:r>
              <w:rPr>
                <w:color w:val="231F20"/>
                <w:spacing w:val="-6"/>
                <w:sz w:val="15"/>
              </w:rPr>
              <w:t> </w:t>
            </w:r>
            <w:r>
              <w:rPr>
                <w:color w:val="231F20"/>
                <w:spacing w:val="-2"/>
                <w:sz w:val="15"/>
              </w:rPr>
              <w:t>abnormalities</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Congenital</w:t>
            </w:r>
            <w:r>
              <w:rPr>
                <w:color w:val="231F20"/>
                <w:spacing w:val="-5"/>
                <w:sz w:val="15"/>
              </w:rPr>
              <w:t> </w:t>
            </w:r>
            <w:r>
              <w:rPr>
                <w:color w:val="231F20"/>
                <w:sz w:val="15"/>
              </w:rPr>
              <w:t>glaucoma</w:t>
            </w:r>
            <w:r>
              <w:rPr>
                <w:color w:val="231F20"/>
                <w:spacing w:val="-5"/>
                <w:sz w:val="15"/>
              </w:rPr>
              <w:t> </w:t>
            </w:r>
            <w:r>
              <w:rPr>
                <w:color w:val="231F20"/>
                <w:sz w:val="15"/>
              </w:rPr>
              <w:t>with</w:t>
            </w:r>
            <w:r>
              <w:rPr>
                <w:color w:val="231F20"/>
                <w:spacing w:val="-4"/>
                <w:sz w:val="15"/>
              </w:rPr>
              <w:t> </w:t>
            </w:r>
            <w:r>
              <w:rPr>
                <w:color w:val="231F20"/>
                <w:sz w:val="15"/>
              </w:rPr>
              <w:t>iris</w:t>
            </w:r>
            <w:r>
              <w:rPr>
                <w:color w:val="231F20"/>
                <w:spacing w:val="-5"/>
                <w:sz w:val="15"/>
              </w:rPr>
              <w:t> </w:t>
            </w:r>
            <w:r>
              <w:rPr>
                <w:color w:val="231F20"/>
                <w:sz w:val="15"/>
              </w:rPr>
              <w:t>and</w:t>
            </w:r>
            <w:r>
              <w:rPr>
                <w:color w:val="231F20"/>
                <w:spacing w:val="-4"/>
                <w:sz w:val="15"/>
              </w:rPr>
              <w:t> </w:t>
            </w:r>
            <w:r>
              <w:rPr>
                <w:color w:val="231F20"/>
                <w:sz w:val="15"/>
              </w:rPr>
              <w:t>pupillary</w:t>
            </w:r>
            <w:r>
              <w:rPr>
                <w:color w:val="231F20"/>
                <w:spacing w:val="-5"/>
                <w:sz w:val="15"/>
              </w:rPr>
              <w:t> </w:t>
            </w:r>
            <w:r>
              <w:rPr>
                <w:color w:val="231F20"/>
                <w:spacing w:val="-2"/>
                <w:sz w:val="15"/>
              </w:rPr>
              <w:t>abnormalities</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Aniridia</w:t>
            </w:r>
          </w:p>
          <w:p>
            <w:pPr>
              <w:pStyle w:val="TableParagraph"/>
              <w:numPr>
                <w:ilvl w:val="3"/>
                <w:numId w:val="104"/>
              </w:numPr>
              <w:tabs>
                <w:tab w:pos="873" w:val="left" w:leader="none"/>
              </w:tabs>
              <w:spacing w:line="168" w:lineRule="exact" w:before="0" w:after="0"/>
              <w:ind w:left="873" w:right="0" w:hanging="201"/>
              <w:jc w:val="left"/>
              <w:rPr>
                <w:sz w:val="15"/>
              </w:rPr>
            </w:pPr>
            <w:r>
              <w:rPr>
                <w:color w:val="231F20"/>
                <w:sz w:val="15"/>
              </w:rPr>
              <w:t>Congenital</w:t>
            </w:r>
            <w:r>
              <w:rPr>
                <w:color w:val="231F20"/>
                <w:spacing w:val="15"/>
                <w:sz w:val="15"/>
              </w:rPr>
              <w:t> </w:t>
            </w:r>
            <w:r>
              <w:rPr>
                <w:color w:val="231F20"/>
                <w:spacing w:val="-2"/>
                <w:sz w:val="15"/>
              </w:rPr>
              <w:t>glaucoma</w:t>
            </w:r>
          </w:p>
          <w:p>
            <w:pPr>
              <w:pStyle w:val="TableParagraph"/>
              <w:numPr>
                <w:ilvl w:val="3"/>
                <w:numId w:val="104"/>
              </w:numPr>
              <w:tabs>
                <w:tab w:pos="874" w:val="left" w:leader="none"/>
              </w:tabs>
              <w:spacing w:line="168" w:lineRule="exact" w:before="0" w:after="0"/>
              <w:ind w:left="874" w:right="0" w:hanging="202"/>
              <w:jc w:val="left"/>
              <w:rPr>
                <w:sz w:val="15"/>
              </w:rPr>
            </w:pPr>
            <w:r>
              <w:rPr>
                <w:color w:val="231F20"/>
                <w:sz w:val="15"/>
              </w:rPr>
              <w:t>Acquired</w:t>
            </w:r>
            <w:r>
              <w:rPr>
                <w:color w:val="231F20"/>
                <w:spacing w:val="12"/>
                <w:sz w:val="15"/>
              </w:rPr>
              <w:t> </w:t>
            </w:r>
            <w:r>
              <w:rPr>
                <w:color w:val="231F20"/>
                <w:spacing w:val="-2"/>
                <w:sz w:val="15"/>
              </w:rPr>
              <w:t>glaucoma</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Congenital</w:t>
            </w:r>
            <w:r>
              <w:rPr>
                <w:color w:val="231F20"/>
                <w:spacing w:val="1"/>
                <w:sz w:val="15"/>
              </w:rPr>
              <w:t> </w:t>
            </w:r>
            <w:r>
              <w:rPr>
                <w:color w:val="231F20"/>
                <w:sz w:val="15"/>
              </w:rPr>
              <w:t>ocular</w:t>
            </w:r>
            <w:r>
              <w:rPr>
                <w:color w:val="231F20"/>
                <w:spacing w:val="2"/>
                <w:sz w:val="15"/>
              </w:rPr>
              <w:t> </w:t>
            </w:r>
            <w:r>
              <w:rPr>
                <w:color w:val="231F20"/>
                <w:spacing w:val="-2"/>
                <w:sz w:val="15"/>
              </w:rPr>
              <w:t>melanosis</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Sclerocornea</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Iridotrabecular</w:t>
            </w:r>
            <w:r>
              <w:rPr>
                <w:color w:val="231F20"/>
                <w:spacing w:val="-10"/>
                <w:sz w:val="15"/>
              </w:rPr>
              <w:t> </w:t>
            </w:r>
            <w:r>
              <w:rPr>
                <w:color w:val="231F20"/>
                <w:spacing w:val="-2"/>
                <w:sz w:val="15"/>
              </w:rPr>
              <w:t>dysgenesis</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Peters</w:t>
            </w:r>
            <w:r>
              <w:rPr>
                <w:color w:val="231F20"/>
                <w:sz w:val="15"/>
              </w:rPr>
              <w:t> </w:t>
            </w:r>
            <w:r>
              <w:rPr>
                <w:color w:val="231F20"/>
                <w:spacing w:val="-2"/>
                <w:sz w:val="15"/>
              </w:rPr>
              <w:t>syndrome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Iridotrabecular</w:t>
            </w:r>
            <w:r>
              <w:rPr>
                <w:color w:val="231F20"/>
                <w:spacing w:val="-4"/>
                <w:sz w:val="15"/>
              </w:rPr>
              <w:t> </w:t>
            </w:r>
            <w:r>
              <w:rPr>
                <w:color w:val="231F20"/>
                <w:sz w:val="15"/>
              </w:rPr>
              <w:t>dysgenesis</w:t>
            </w:r>
            <w:r>
              <w:rPr>
                <w:color w:val="231F20"/>
                <w:spacing w:val="-4"/>
                <w:sz w:val="15"/>
              </w:rPr>
              <w:t> </w:t>
            </w:r>
            <w:r>
              <w:rPr>
                <w:color w:val="231F20"/>
                <w:sz w:val="15"/>
              </w:rPr>
              <w:t>and</w:t>
            </w:r>
            <w:r>
              <w:rPr>
                <w:color w:val="231F20"/>
                <w:spacing w:val="-3"/>
                <w:sz w:val="15"/>
              </w:rPr>
              <w:t> </w:t>
            </w:r>
            <w:r>
              <w:rPr>
                <w:color w:val="231F20"/>
                <w:sz w:val="15"/>
              </w:rPr>
              <w:t>ectropion</w:t>
            </w:r>
            <w:r>
              <w:rPr>
                <w:color w:val="231F20"/>
                <w:spacing w:val="-4"/>
                <w:sz w:val="15"/>
              </w:rPr>
              <w:t> </w:t>
            </w:r>
            <w:r>
              <w:rPr>
                <w:color w:val="231F20"/>
                <w:spacing w:val="-2"/>
                <w:sz w:val="15"/>
              </w:rPr>
              <w:t>uveae</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z w:val="15"/>
              </w:rPr>
              <w:t>Posterior</w:t>
            </w:r>
            <w:r>
              <w:rPr>
                <w:color w:val="231F20"/>
                <w:spacing w:val="4"/>
                <w:sz w:val="15"/>
              </w:rPr>
              <w:t> </w:t>
            </w:r>
            <w:r>
              <w:rPr>
                <w:color w:val="231F20"/>
                <w:sz w:val="15"/>
              </w:rPr>
              <w:t>polymorphous</w:t>
            </w:r>
            <w:r>
              <w:rPr>
                <w:color w:val="231F20"/>
                <w:spacing w:val="4"/>
                <w:sz w:val="15"/>
              </w:rPr>
              <w:t> </w:t>
            </w:r>
            <w:r>
              <w:rPr>
                <w:color w:val="231F20"/>
                <w:spacing w:val="-2"/>
                <w:sz w:val="15"/>
              </w:rPr>
              <w:t>dystrophy</w:t>
            </w:r>
          </w:p>
          <w:p>
            <w:pPr>
              <w:pStyle w:val="TableParagraph"/>
              <w:numPr>
                <w:ilvl w:val="2"/>
                <w:numId w:val="104"/>
              </w:numPr>
              <w:tabs>
                <w:tab w:pos="671" w:val="left" w:leader="none"/>
              </w:tabs>
              <w:spacing w:line="168" w:lineRule="exact" w:before="0" w:after="0"/>
              <w:ind w:left="671" w:right="0" w:hanging="193"/>
              <w:jc w:val="left"/>
              <w:rPr>
                <w:sz w:val="15"/>
              </w:rPr>
            </w:pPr>
            <w:r>
              <w:rPr>
                <w:color w:val="231F20"/>
                <w:spacing w:val="-2"/>
                <w:sz w:val="15"/>
              </w:rPr>
              <w:t>Idiopathic</w:t>
            </w:r>
            <w:r>
              <w:rPr>
                <w:color w:val="231F20"/>
                <w:sz w:val="15"/>
              </w:rPr>
              <w:t> </w:t>
            </w:r>
            <w:r>
              <w:rPr>
                <w:color w:val="231F20"/>
                <w:spacing w:val="-2"/>
                <w:sz w:val="15"/>
              </w:rPr>
              <w:t>or</w:t>
            </w:r>
            <w:r>
              <w:rPr>
                <w:color w:val="231F20"/>
                <w:spacing w:val="1"/>
                <w:sz w:val="15"/>
              </w:rPr>
              <w:t> </w:t>
            </w:r>
            <w:r>
              <w:rPr>
                <w:color w:val="231F20"/>
                <w:spacing w:val="-2"/>
                <w:sz w:val="15"/>
              </w:rPr>
              <w:t>familial</w:t>
            </w:r>
            <w:r>
              <w:rPr>
                <w:color w:val="231F20"/>
                <w:spacing w:val="1"/>
                <w:sz w:val="15"/>
              </w:rPr>
              <w:t> </w:t>
            </w:r>
            <w:r>
              <w:rPr>
                <w:color w:val="231F20"/>
                <w:spacing w:val="-2"/>
                <w:sz w:val="15"/>
              </w:rPr>
              <w:t>elevated</w:t>
            </w:r>
            <w:r>
              <w:rPr>
                <w:color w:val="231F20"/>
                <w:spacing w:val="1"/>
                <w:sz w:val="15"/>
              </w:rPr>
              <w:t> </w:t>
            </w:r>
            <w:r>
              <w:rPr>
                <w:color w:val="231F20"/>
                <w:spacing w:val="-2"/>
                <w:sz w:val="15"/>
              </w:rPr>
              <w:t>episcleral</w:t>
            </w:r>
            <w:r>
              <w:rPr>
                <w:color w:val="231F20"/>
                <w:spacing w:val="1"/>
                <w:sz w:val="15"/>
              </w:rPr>
              <w:t> </w:t>
            </w:r>
            <w:r>
              <w:rPr>
                <w:color w:val="231F20"/>
                <w:spacing w:val="-2"/>
                <w:sz w:val="15"/>
              </w:rPr>
              <w:t>venous</w:t>
            </w:r>
            <w:r>
              <w:rPr>
                <w:color w:val="231F20"/>
                <w:spacing w:val="1"/>
                <w:sz w:val="15"/>
              </w:rPr>
              <w:t> </w:t>
            </w:r>
            <w:r>
              <w:rPr>
                <w:color w:val="231F20"/>
                <w:spacing w:val="-2"/>
                <w:sz w:val="15"/>
              </w:rPr>
              <w:t>pressure</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pacing w:val="-2"/>
                <w:sz w:val="15"/>
              </w:rPr>
              <w:t>Anterior</w:t>
            </w:r>
            <w:r>
              <w:rPr>
                <w:color w:val="231F20"/>
                <w:spacing w:val="2"/>
                <w:sz w:val="15"/>
              </w:rPr>
              <w:t> </w:t>
            </w:r>
            <w:r>
              <w:rPr>
                <w:color w:val="231F20"/>
                <w:spacing w:val="-2"/>
                <w:sz w:val="15"/>
              </w:rPr>
              <w:t>corneal</w:t>
            </w:r>
            <w:r>
              <w:rPr>
                <w:color w:val="231F20"/>
                <w:spacing w:val="3"/>
                <w:sz w:val="15"/>
              </w:rPr>
              <w:t> </w:t>
            </w:r>
            <w:r>
              <w:rPr>
                <w:color w:val="231F20"/>
                <w:spacing w:val="-2"/>
                <w:sz w:val="15"/>
              </w:rPr>
              <w:t>staphyloma</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z w:val="15"/>
              </w:rPr>
              <w:t>Congenital</w:t>
            </w:r>
            <w:r>
              <w:rPr>
                <w:color w:val="231F20"/>
                <w:spacing w:val="-8"/>
                <w:sz w:val="15"/>
              </w:rPr>
              <w:t> </w:t>
            </w:r>
            <w:r>
              <w:rPr>
                <w:color w:val="231F20"/>
                <w:sz w:val="15"/>
              </w:rPr>
              <w:t>microcornea</w:t>
            </w:r>
            <w:r>
              <w:rPr>
                <w:color w:val="231F20"/>
                <w:spacing w:val="-8"/>
                <w:sz w:val="15"/>
              </w:rPr>
              <w:t> </w:t>
            </w:r>
            <w:r>
              <w:rPr>
                <w:color w:val="231F20"/>
                <w:sz w:val="15"/>
              </w:rPr>
              <w:t>with</w:t>
            </w:r>
            <w:r>
              <w:rPr>
                <w:color w:val="231F20"/>
                <w:spacing w:val="-8"/>
                <w:sz w:val="15"/>
              </w:rPr>
              <w:t> </w:t>
            </w:r>
            <w:r>
              <w:rPr>
                <w:color w:val="231F20"/>
                <w:spacing w:val="-2"/>
                <w:sz w:val="15"/>
              </w:rPr>
              <w:t>myopia</w:t>
            </w:r>
          </w:p>
          <w:p>
            <w:pPr>
              <w:pStyle w:val="TableParagraph"/>
              <w:numPr>
                <w:ilvl w:val="2"/>
                <w:numId w:val="104"/>
              </w:numPr>
              <w:tabs>
                <w:tab w:pos="671" w:val="left" w:leader="none"/>
              </w:tabs>
              <w:spacing w:line="168" w:lineRule="exact" w:before="0" w:after="0"/>
              <w:ind w:left="671" w:right="0" w:hanging="268"/>
              <w:jc w:val="left"/>
              <w:rPr>
                <w:sz w:val="15"/>
              </w:rPr>
            </w:pPr>
            <w:r>
              <w:rPr>
                <w:color w:val="231F20"/>
                <w:sz w:val="15"/>
              </w:rPr>
              <w:t>Congenital</w:t>
            </w:r>
            <w:r>
              <w:rPr>
                <w:color w:val="231F20"/>
                <w:spacing w:val="-11"/>
                <w:sz w:val="15"/>
              </w:rPr>
              <w:t> </w:t>
            </w:r>
            <w:r>
              <w:rPr>
                <w:color w:val="231F20"/>
                <w:sz w:val="15"/>
              </w:rPr>
              <w:t>hereditary</w:t>
            </w:r>
            <w:r>
              <w:rPr>
                <w:color w:val="231F20"/>
                <w:spacing w:val="-11"/>
                <w:sz w:val="15"/>
              </w:rPr>
              <w:t> </w:t>
            </w:r>
            <w:r>
              <w:rPr>
                <w:color w:val="231F20"/>
                <w:sz w:val="15"/>
              </w:rPr>
              <w:t>endothelial</w:t>
            </w:r>
            <w:r>
              <w:rPr>
                <w:color w:val="231F20"/>
                <w:spacing w:val="-11"/>
                <w:sz w:val="15"/>
              </w:rPr>
              <w:t> </w:t>
            </w:r>
            <w:r>
              <w:rPr>
                <w:color w:val="231F20"/>
                <w:spacing w:val="-2"/>
                <w:sz w:val="15"/>
              </w:rPr>
              <w:t>dystrophy</w:t>
            </w:r>
          </w:p>
          <w:p>
            <w:pPr>
              <w:pStyle w:val="TableParagraph"/>
              <w:numPr>
                <w:ilvl w:val="2"/>
                <w:numId w:val="104"/>
              </w:numPr>
              <w:tabs>
                <w:tab w:pos="671" w:val="left" w:leader="none"/>
              </w:tabs>
              <w:spacing w:line="171" w:lineRule="exact" w:before="0" w:after="0"/>
              <w:ind w:left="671" w:right="0" w:hanging="268"/>
              <w:jc w:val="left"/>
              <w:rPr>
                <w:sz w:val="15"/>
              </w:rPr>
            </w:pPr>
            <w:r>
              <w:rPr>
                <w:color w:val="231F20"/>
                <w:spacing w:val="-2"/>
                <w:sz w:val="15"/>
              </w:rPr>
              <w:t>Congenital</w:t>
            </w:r>
            <w:r>
              <w:rPr>
                <w:color w:val="231F20"/>
                <w:spacing w:val="2"/>
                <w:sz w:val="15"/>
              </w:rPr>
              <w:t> </w:t>
            </w:r>
            <w:r>
              <w:rPr>
                <w:color w:val="231F20"/>
                <w:spacing w:val="-2"/>
                <w:sz w:val="15"/>
              </w:rPr>
              <w:t>hereditary</w:t>
            </w:r>
            <w:r>
              <w:rPr>
                <w:color w:val="231F20"/>
                <w:spacing w:val="2"/>
                <w:sz w:val="15"/>
              </w:rPr>
              <w:t> </w:t>
            </w:r>
            <w:r>
              <w:rPr>
                <w:color w:val="231F20"/>
                <w:spacing w:val="-2"/>
                <w:sz w:val="15"/>
              </w:rPr>
              <w:t>iris</w:t>
            </w:r>
            <w:r>
              <w:rPr>
                <w:color w:val="231F20"/>
                <w:spacing w:val="3"/>
                <w:sz w:val="15"/>
              </w:rPr>
              <w:t> </w:t>
            </w:r>
            <w:r>
              <w:rPr>
                <w:color w:val="231F20"/>
                <w:spacing w:val="-2"/>
                <w:sz w:val="15"/>
              </w:rPr>
              <w:t>stromal</w:t>
            </w:r>
            <w:r>
              <w:rPr>
                <w:color w:val="231F20"/>
                <w:spacing w:val="2"/>
                <w:sz w:val="15"/>
              </w:rPr>
              <w:t> </w:t>
            </w:r>
            <w:r>
              <w:rPr>
                <w:color w:val="231F20"/>
                <w:spacing w:val="-2"/>
                <w:sz w:val="15"/>
              </w:rPr>
              <w:t>hypoplasia</w:t>
            </w:r>
          </w:p>
        </w:tc>
        <w:tc>
          <w:tcPr>
            <w:tcW w:w="4897" w:type="dxa"/>
            <w:tcBorders>
              <w:left w:val="single" w:sz="4" w:space="0" w:color="231F20"/>
              <w:bottom w:val="single" w:sz="8" w:space="0" w:color="231F20"/>
              <w:right w:val="nil"/>
            </w:tcBorders>
            <w:shd w:val="clear" w:color="auto" w:fill="E8F5F1"/>
          </w:tcPr>
          <w:p>
            <w:pPr>
              <w:pStyle w:val="TableParagraph"/>
              <w:numPr>
                <w:ilvl w:val="0"/>
                <w:numId w:val="105"/>
              </w:numPr>
              <w:tabs>
                <w:tab w:pos="342" w:val="left" w:leader="none"/>
              </w:tabs>
              <w:spacing w:line="172" w:lineRule="exact" w:before="47" w:after="0"/>
              <w:ind w:left="342" w:right="0" w:hanging="273"/>
              <w:jc w:val="left"/>
              <w:rPr>
                <w:sz w:val="15"/>
              </w:rPr>
            </w:pPr>
            <w:r>
              <w:rPr>
                <w:color w:val="231F20"/>
                <w:w w:val="115"/>
                <w:sz w:val="15"/>
              </w:rPr>
              <w:t>SECONDARY</w:t>
            </w:r>
            <w:r>
              <w:rPr>
                <w:color w:val="231F20"/>
                <w:spacing w:val="5"/>
                <w:w w:val="115"/>
                <w:sz w:val="15"/>
              </w:rPr>
              <w:t> </w:t>
            </w:r>
            <w:r>
              <w:rPr>
                <w:color w:val="231F20"/>
                <w:spacing w:val="-2"/>
                <w:w w:val="115"/>
                <w:sz w:val="15"/>
              </w:rPr>
              <w:t>GLAUCOMAS</w:t>
            </w:r>
          </w:p>
          <w:p>
            <w:pPr>
              <w:pStyle w:val="TableParagraph"/>
              <w:numPr>
                <w:ilvl w:val="1"/>
                <w:numId w:val="105"/>
              </w:numPr>
              <w:tabs>
                <w:tab w:pos="229" w:val="left" w:leader="none"/>
              </w:tabs>
              <w:spacing w:line="169" w:lineRule="exact" w:before="0" w:after="0"/>
              <w:ind w:left="229" w:right="3221" w:hanging="229"/>
              <w:jc w:val="right"/>
              <w:rPr>
                <w:sz w:val="15"/>
              </w:rPr>
            </w:pPr>
            <w:r>
              <w:rPr>
                <w:color w:val="231F20"/>
                <w:spacing w:val="-4"/>
                <w:sz w:val="15"/>
              </w:rPr>
              <w:t>Traumatic</w:t>
            </w:r>
            <w:r>
              <w:rPr>
                <w:color w:val="231F20"/>
                <w:spacing w:val="2"/>
                <w:sz w:val="15"/>
              </w:rPr>
              <w:t> </w:t>
            </w:r>
            <w:r>
              <w:rPr>
                <w:color w:val="231F20"/>
                <w:spacing w:val="-2"/>
                <w:sz w:val="15"/>
              </w:rPr>
              <w:t>glaucoma</w:t>
            </w:r>
          </w:p>
          <w:p>
            <w:pPr>
              <w:pStyle w:val="TableParagraph"/>
              <w:numPr>
                <w:ilvl w:val="2"/>
                <w:numId w:val="105"/>
              </w:numPr>
              <w:tabs>
                <w:tab w:pos="190" w:val="left" w:leader="none"/>
              </w:tabs>
              <w:spacing w:line="168" w:lineRule="exact" w:before="0" w:after="0"/>
              <w:ind w:left="190" w:right="3298" w:hanging="190"/>
              <w:jc w:val="right"/>
              <w:rPr>
                <w:sz w:val="15"/>
              </w:rPr>
            </w:pPr>
            <w:r>
              <w:rPr>
                <w:color w:val="231F20"/>
                <w:sz w:val="15"/>
              </w:rPr>
              <w:t>Acute</w:t>
            </w:r>
            <w:r>
              <w:rPr>
                <w:color w:val="231F20"/>
                <w:spacing w:val="1"/>
                <w:sz w:val="15"/>
              </w:rPr>
              <w:t> </w:t>
            </w:r>
            <w:r>
              <w:rPr>
                <w:color w:val="231F20"/>
                <w:spacing w:val="-2"/>
                <w:sz w:val="15"/>
              </w:rPr>
              <w:t>glaucoma</w:t>
            </w:r>
          </w:p>
          <w:p>
            <w:pPr>
              <w:pStyle w:val="TableParagraph"/>
              <w:numPr>
                <w:ilvl w:val="3"/>
                <w:numId w:val="105"/>
              </w:numPr>
              <w:tabs>
                <w:tab w:pos="702" w:val="left" w:leader="none"/>
              </w:tabs>
              <w:spacing w:line="168" w:lineRule="exact" w:before="0" w:after="0"/>
              <w:ind w:left="702" w:right="0" w:hanging="200"/>
              <w:jc w:val="left"/>
              <w:rPr>
                <w:sz w:val="15"/>
              </w:rPr>
            </w:pPr>
            <w:r>
              <w:rPr>
                <w:color w:val="231F20"/>
                <w:w w:val="105"/>
                <w:sz w:val="15"/>
              </w:rPr>
              <w:t>Angle</w:t>
            </w:r>
            <w:r>
              <w:rPr>
                <w:color w:val="231F20"/>
                <w:spacing w:val="2"/>
                <w:w w:val="105"/>
                <w:sz w:val="15"/>
              </w:rPr>
              <w:t> </w:t>
            </w:r>
            <w:r>
              <w:rPr>
                <w:color w:val="231F20"/>
                <w:spacing w:val="-2"/>
                <w:w w:val="105"/>
                <w:sz w:val="15"/>
              </w:rPr>
              <w:t>concussion</w:t>
            </w:r>
          </w:p>
          <w:p>
            <w:pPr>
              <w:pStyle w:val="TableParagraph"/>
              <w:numPr>
                <w:ilvl w:val="3"/>
                <w:numId w:val="105"/>
              </w:numPr>
              <w:tabs>
                <w:tab w:pos="702" w:val="left" w:leader="none"/>
              </w:tabs>
              <w:spacing w:line="168" w:lineRule="exact" w:before="0" w:after="0"/>
              <w:ind w:left="702" w:right="0" w:hanging="200"/>
              <w:jc w:val="left"/>
              <w:rPr>
                <w:sz w:val="15"/>
              </w:rPr>
            </w:pPr>
            <w:r>
              <w:rPr>
                <w:color w:val="231F20"/>
                <w:spacing w:val="-2"/>
                <w:sz w:val="15"/>
              </w:rPr>
              <w:t>Hyphema</w:t>
            </w:r>
          </w:p>
          <w:p>
            <w:pPr>
              <w:pStyle w:val="TableParagraph"/>
              <w:numPr>
                <w:ilvl w:val="3"/>
                <w:numId w:val="105"/>
              </w:numPr>
              <w:tabs>
                <w:tab w:pos="702" w:val="left" w:leader="none"/>
              </w:tabs>
              <w:spacing w:line="168" w:lineRule="exact" w:before="0" w:after="0"/>
              <w:ind w:left="702" w:right="0" w:hanging="200"/>
              <w:jc w:val="left"/>
              <w:rPr>
                <w:sz w:val="15"/>
              </w:rPr>
            </w:pPr>
            <w:r>
              <w:rPr>
                <w:color w:val="231F20"/>
                <w:sz w:val="15"/>
              </w:rPr>
              <w:t>Ghost</w:t>
            </w:r>
            <w:r>
              <w:rPr>
                <w:color w:val="231F20"/>
                <w:spacing w:val="-2"/>
                <w:sz w:val="15"/>
              </w:rPr>
              <w:t> </w:t>
            </w:r>
            <w:r>
              <w:rPr>
                <w:color w:val="231F20"/>
                <w:sz w:val="15"/>
              </w:rPr>
              <w:t>cell</w:t>
            </w:r>
            <w:r>
              <w:rPr>
                <w:color w:val="231F20"/>
                <w:spacing w:val="-1"/>
                <w:sz w:val="15"/>
              </w:rPr>
              <w:t> </w:t>
            </w:r>
            <w:r>
              <w:rPr>
                <w:color w:val="231F20"/>
                <w:spacing w:val="-2"/>
                <w:sz w:val="15"/>
              </w:rPr>
              <w:t>glaucoma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z w:val="15"/>
              </w:rPr>
              <w:t>Late-onset</w:t>
            </w:r>
            <w:r>
              <w:rPr>
                <w:color w:val="231F20"/>
                <w:spacing w:val="-4"/>
                <w:sz w:val="15"/>
              </w:rPr>
              <w:t> </w:t>
            </w:r>
            <w:r>
              <w:rPr>
                <w:color w:val="231F20"/>
                <w:sz w:val="15"/>
              </w:rPr>
              <w:t>glaucoma</w:t>
            </w:r>
            <w:r>
              <w:rPr>
                <w:color w:val="231F20"/>
                <w:spacing w:val="-3"/>
                <w:sz w:val="15"/>
              </w:rPr>
              <w:t> </w:t>
            </w:r>
            <w:r>
              <w:rPr>
                <w:color w:val="231F20"/>
                <w:sz w:val="15"/>
              </w:rPr>
              <w:t>with</w:t>
            </w:r>
            <w:r>
              <w:rPr>
                <w:color w:val="231F20"/>
                <w:spacing w:val="-4"/>
                <w:sz w:val="15"/>
              </w:rPr>
              <w:t> </w:t>
            </w:r>
            <w:r>
              <w:rPr>
                <w:color w:val="231F20"/>
                <w:sz w:val="15"/>
              </w:rPr>
              <w:t>angle</w:t>
            </w:r>
            <w:r>
              <w:rPr>
                <w:color w:val="231F20"/>
                <w:spacing w:val="-3"/>
                <w:sz w:val="15"/>
              </w:rPr>
              <w:t> </w:t>
            </w:r>
            <w:r>
              <w:rPr>
                <w:color w:val="231F20"/>
                <w:spacing w:val="-2"/>
                <w:sz w:val="15"/>
              </w:rPr>
              <w:t>recession</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z w:val="15"/>
              </w:rPr>
              <w:t>Arteriovenous</w:t>
            </w:r>
            <w:r>
              <w:rPr>
                <w:color w:val="231F20"/>
                <w:spacing w:val="-9"/>
                <w:sz w:val="15"/>
              </w:rPr>
              <w:t> </w:t>
            </w:r>
            <w:r>
              <w:rPr>
                <w:color w:val="231F20"/>
                <w:spacing w:val="-2"/>
                <w:sz w:val="15"/>
              </w:rPr>
              <w:t>fistula</w:t>
            </w:r>
          </w:p>
          <w:p>
            <w:pPr>
              <w:pStyle w:val="TableParagraph"/>
              <w:numPr>
                <w:ilvl w:val="1"/>
                <w:numId w:val="105"/>
              </w:numPr>
              <w:tabs>
                <w:tab w:pos="311" w:val="left" w:leader="none"/>
              </w:tabs>
              <w:spacing w:line="168" w:lineRule="exact" w:before="0" w:after="0"/>
              <w:ind w:left="311" w:right="0" w:hanging="221"/>
              <w:jc w:val="left"/>
              <w:rPr>
                <w:sz w:val="15"/>
              </w:rPr>
            </w:pPr>
            <w:r>
              <w:rPr>
                <w:color w:val="231F20"/>
                <w:spacing w:val="-2"/>
                <w:sz w:val="15"/>
              </w:rPr>
              <w:t>Secondary</w:t>
            </w:r>
            <w:r>
              <w:rPr>
                <w:color w:val="231F20"/>
                <w:spacing w:val="2"/>
                <w:sz w:val="15"/>
              </w:rPr>
              <w:t> </w:t>
            </w:r>
            <w:r>
              <w:rPr>
                <w:color w:val="231F20"/>
                <w:spacing w:val="-2"/>
                <w:sz w:val="15"/>
              </w:rPr>
              <w:t>to</w:t>
            </w:r>
            <w:r>
              <w:rPr>
                <w:color w:val="231F20"/>
                <w:spacing w:val="2"/>
                <w:sz w:val="15"/>
              </w:rPr>
              <w:t> </w:t>
            </w:r>
            <w:r>
              <w:rPr>
                <w:color w:val="231F20"/>
                <w:spacing w:val="-2"/>
                <w:sz w:val="15"/>
              </w:rPr>
              <w:t>intraocular</w:t>
            </w:r>
            <w:r>
              <w:rPr>
                <w:color w:val="231F20"/>
                <w:spacing w:val="2"/>
                <w:sz w:val="15"/>
              </w:rPr>
              <w:t> </w:t>
            </w:r>
            <w:r>
              <w:rPr>
                <w:color w:val="231F20"/>
                <w:spacing w:val="-2"/>
                <w:sz w:val="15"/>
              </w:rPr>
              <w:t>neoplasm</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pacing w:val="-2"/>
                <w:sz w:val="15"/>
              </w:rPr>
              <w:t>Retinoblastoma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pacing w:val="-2"/>
                <w:sz w:val="15"/>
              </w:rPr>
              <w:t>Juvenile</w:t>
            </w:r>
            <w:r>
              <w:rPr>
                <w:color w:val="231F20"/>
                <w:sz w:val="15"/>
              </w:rPr>
              <w:t> </w:t>
            </w:r>
            <w:r>
              <w:rPr>
                <w:color w:val="231F20"/>
                <w:spacing w:val="-2"/>
                <w:sz w:val="15"/>
              </w:rPr>
              <w:t>xanthogranuloma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pacing w:val="-2"/>
                <w:sz w:val="15"/>
              </w:rPr>
              <w:t>Leukemia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pacing w:val="-2"/>
                <w:w w:val="105"/>
                <w:sz w:val="15"/>
              </w:rPr>
              <w:t>Melanoma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pacing w:val="-2"/>
                <w:sz w:val="15"/>
              </w:rPr>
              <w:t>Melanocytoma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pacing w:val="-2"/>
                <w:sz w:val="15"/>
              </w:rPr>
              <w:t>Iris</w:t>
            </w:r>
            <w:r>
              <w:rPr>
                <w:color w:val="231F20"/>
                <w:spacing w:val="-8"/>
                <w:sz w:val="15"/>
              </w:rPr>
              <w:t> </w:t>
            </w:r>
            <w:r>
              <w:rPr>
                <w:color w:val="231F20"/>
                <w:spacing w:val="-2"/>
                <w:sz w:val="15"/>
              </w:rPr>
              <w:t>rhabdomyosarcoma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z w:val="15"/>
              </w:rPr>
              <w:t>Aggressive</w:t>
            </w:r>
            <w:r>
              <w:rPr>
                <w:color w:val="231F20"/>
                <w:spacing w:val="1"/>
                <w:sz w:val="15"/>
              </w:rPr>
              <w:t> </w:t>
            </w:r>
            <w:r>
              <w:rPr>
                <w:color w:val="231F20"/>
                <w:sz w:val="15"/>
              </w:rPr>
              <w:t>nevi</w:t>
            </w:r>
            <w:r>
              <w:rPr>
                <w:color w:val="231F20"/>
                <w:spacing w:val="2"/>
                <w:sz w:val="15"/>
              </w:rPr>
              <w:t> </w:t>
            </w:r>
            <w:r>
              <w:rPr>
                <w:color w:val="231F20"/>
                <w:sz w:val="15"/>
              </w:rPr>
              <w:t>of</w:t>
            </w:r>
            <w:r>
              <w:rPr>
                <w:color w:val="231F20"/>
                <w:spacing w:val="2"/>
                <w:sz w:val="15"/>
              </w:rPr>
              <w:t> </w:t>
            </w:r>
            <w:r>
              <w:rPr>
                <w:color w:val="231F20"/>
                <w:sz w:val="15"/>
              </w:rPr>
              <w:t>the</w:t>
            </w:r>
            <w:r>
              <w:rPr>
                <w:color w:val="231F20"/>
                <w:spacing w:val="2"/>
                <w:sz w:val="15"/>
              </w:rPr>
              <w:t> </w:t>
            </w:r>
            <w:r>
              <w:rPr>
                <w:color w:val="231F20"/>
                <w:spacing w:val="-4"/>
                <w:sz w:val="15"/>
              </w:rPr>
              <w:t>iris</w:t>
            </w:r>
          </w:p>
          <w:p>
            <w:pPr>
              <w:pStyle w:val="TableParagraph"/>
              <w:numPr>
                <w:ilvl w:val="1"/>
                <w:numId w:val="105"/>
              </w:numPr>
              <w:tabs>
                <w:tab w:pos="311" w:val="left" w:leader="none"/>
              </w:tabs>
              <w:spacing w:line="168" w:lineRule="exact" w:before="0" w:after="0"/>
              <w:ind w:left="311" w:right="0" w:hanging="232"/>
              <w:jc w:val="left"/>
              <w:rPr>
                <w:sz w:val="15"/>
              </w:rPr>
            </w:pPr>
            <w:r>
              <w:rPr>
                <w:color w:val="231F20"/>
                <w:sz w:val="15"/>
              </w:rPr>
              <w:t>Secondary</w:t>
            </w:r>
            <w:r>
              <w:rPr>
                <w:color w:val="231F20"/>
                <w:spacing w:val="3"/>
                <w:sz w:val="15"/>
              </w:rPr>
              <w:t> </w:t>
            </w:r>
            <w:r>
              <w:rPr>
                <w:color w:val="231F20"/>
                <w:sz w:val="15"/>
              </w:rPr>
              <w:t>to</w:t>
            </w:r>
            <w:r>
              <w:rPr>
                <w:color w:val="231F20"/>
                <w:spacing w:val="3"/>
                <w:sz w:val="15"/>
              </w:rPr>
              <w:t> </w:t>
            </w:r>
            <w:r>
              <w:rPr>
                <w:color w:val="231F20"/>
                <w:spacing w:val="-2"/>
                <w:sz w:val="15"/>
              </w:rPr>
              <w:t>uveitis</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w w:val="105"/>
                <w:sz w:val="15"/>
              </w:rPr>
              <w:t>Open-angle</w:t>
            </w:r>
            <w:r>
              <w:rPr>
                <w:color w:val="231F20"/>
                <w:spacing w:val="-9"/>
                <w:w w:val="105"/>
                <w:sz w:val="15"/>
              </w:rPr>
              <w:t> </w:t>
            </w:r>
            <w:r>
              <w:rPr>
                <w:color w:val="231F20"/>
                <w:spacing w:val="-2"/>
                <w:w w:val="105"/>
                <w:sz w:val="15"/>
              </w:rPr>
              <w:t>glaucoma</w:t>
            </w:r>
          </w:p>
          <w:p>
            <w:pPr>
              <w:pStyle w:val="TableParagraph"/>
              <w:numPr>
                <w:ilvl w:val="2"/>
                <w:numId w:val="105"/>
              </w:numPr>
              <w:tabs>
                <w:tab w:pos="501" w:val="left" w:leader="none"/>
              </w:tabs>
              <w:spacing w:line="168" w:lineRule="exact" w:before="0" w:after="0"/>
              <w:ind w:left="501" w:right="0" w:hanging="190"/>
              <w:jc w:val="left"/>
              <w:rPr>
                <w:sz w:val="15"/>
              </w:rPr>
            </w:pPr>
            <w:r>
              <w:rPr>
                <w:color w:val="231F20"/>
                <w:sz w:val="15"/>
              </w:rPr>
              <w:t>Angle-blockage</w:t>
            </w:r>
            <w:r>
              <w:rPr>
                <w:color w:val="231F20"/>
                <w:spacing w:val="31"/>
                <w:sz w:val="15"/>
              </w:rPr>
              <w:t> </w:t>
            </w:r>
            <w:r>
              <w:rPr>
                <w:color w:val="231F20"/>
                <w:spacing w:val="-2"/>
                <w:sz w:val="15"/>
              </w:rPr>
              <w:t>glaucoma</w:t>
            </w:r>
          </w:p>
          <w:p>
            <w:pPr>
              <w:pStyle w:val="TableParagraph"/>
              <w:numPr>
                <w:ilvl w:val="3"/>
                <w:numId w:val="105"/>
              </w:numPr>
              <w:tabs>
                <w:tab w:pos="702" w:val="left" w:leader="none"/>
              </w:tabs>
              <w:spacing w:line="168" w:lineRule="exact" w:before="0" w:after="0"/>
              <w:ind w:left="702" w:right="0" w:hanging="200"/>
              <w:jc w:val="left"/>
              <w:rPr>
                <w:sz w:val="15"/>
              </w:rPr>
            </w:pPr>
            <w:r>
              <w:rPr>
                <w:color w:val="231F20"/>
                <w:sz w:val="15"/>
              </w:rPr>
              <w:t>Synechial</w:t>
            </w:r>
            <w:r>
              <w:rPr>
                <w:color w:val="231F20"/>
                <w:spacing w:val="-2"/>
                <w:sz w:val="15"/>
              </w:rPr>
              <w:t> </w:t>
            </w:r>
            <w:r>
              <w:rPr>
                <w:color w:val="231F20"/>
                <w:sz w:val="15"/>
              </w:rPr>
              <w:t>angle</w:t>
            </w:r>
            <w:r>
              <w:rPr>
                <w:color w:val="231F20"/>
                <w:spacing w:val="-2"/>
                <w:sz w:val="15"/>
              </w:rPr>
              <w:t> closure</w:t>
            </w:r>
          </w:p>
          <w:p>
            <w:pPr>
              <w:pStyle w:val="TableParagraph"/>
              <w:numPr>
                <w:ilvl w:val="3"/>
                <w:numId w:val="105"/>
              </w:numPr>
              <w:tabs>
                <w:tab w:pos="702" w:val="left" w:leader="none"/>
              </w:tabs>
              <w:spacing w:line="168" w:lineRule="exact" w:before="0" w:after="0"/>
              <w:ind w:left="702" w:right="0" w:hanging="200"/>
              <w:jc w:val="left"/>
              <w:rPr>
                <w:sz w:val="15"/>
              </w:rPr>
            </w:pPr>
            <w:r>
              <w:rPr>
                <w:color w:val="231F20"/>
                <w:sz w:val="15"/>
              </w:rPr>
              <w:t>Iris</w:t>
            </w:r>
            <w:r>
              <w:rPr>
                <w:color w:val="231F20"/>
                <w:spacing w:val="-9"/>
                <w:sz w:val="15"/>
              </w:rPr>
              <w:t> </w:t>
            </w:r>
            <w:r>
              <w:rPr>
                <w:color w:val="231F20"/>
                <w:sz w:val="15"/>
              </w:rPr>
              <w:t>bombé</w:t>
            </w:r>
            <w:r>
              <w:rPr>
                <w:color w:val="231F20"/>
                <w:spacing w:val="-8"/>
                <w:sz w:val="15"/>
              </w:rPr>
              <w:t> </w:t>
            </w:r>
            <w:r>
              <w:rPr>
                <w:color w:val="231F20"/>
                <w:sz w:val="15"/>
              </w:rPr>
              <w:t>with</w:t>
            </w:r>
            <w:r>
              <w:rPr>
                <w:color w:val="231F20"/>
                <w:spacing w:val="-8"/>
                <w:sz w:val="15"/>
              </w:rPr>
              <w:t> </w:t>
            </w:r>
            <w:r>
              <w:rPr>
                <w:color w:val="231F20"/>
                <w:sz w:val="15"/>
              </w:rPr>
              <w:t>pupillary</w:t>
            </w:r>
            <w:r>
              <w:rPr>
                <w:color w:val="231F20"/>
                <w:spacing w:val="-8"/>
                <w:sz w:val="15"/>
              </w:rPr>
              <w:t> </w:t>
            </w:r>
            <w:r>
              <w:rPr>
                <w:color w:val="231F20"/>
                <w:spacing w:val="-2"/>
                <w:sz w:val="15"/>
              </w:rPr>
              <w:t>block</w:t>
            </w:r>
          </w:p>
          <w:p>
            <w:pPr>
              <w:pStyle w:val="TableParagraph"/>
              <w:numPr>
                <w:ilvl w:val="0"/>
                <w:numId w:val="106"/>
              </w:numPr>
              <w:tabs>
                <w:tab w:pos="310" w:val="left" w:leader="none"/>
              </w:tabs>
              <w:spacing w:line="168" w:lineRule="exact" w:before="0" w:after="0"/>
              <w:ind w:left="310" w:right="0" w:hanging="237"/>
              <w:jc w:val="left"/>
              <w:rPr>
                <w:sz w:val="15"/>
              </w:rPr>
            </w:pPr>
            <w:r>
              <w:rPr>
                <w:color w:val="231F20"/>
                <w:sz w:val="15"/>
              </w:rPr>
              <w:t>Lens-induced</w:t>
            </w:r>
            <w:r>
              <w:rPr>
                <w:color w:val="231F20"/>
                <w:spacing w:val="-1"/>
                <w:sz w:val="15"/>
              </w:rPr>
              <w:t> </w:t>
            </w:r>
            <w:r>
              <w:rPr>
                <w:color w:val="231F20"/>
                <w:spacing w:val="-2"/>
                <w:sz w:val="15"/>
              </w:rPr>
              <w:t>glaucoma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Subluxation–dislocation</w:t>
            </w:r>
            <w:r>
              <w:rPr>
                <w:color w:val="231F20"/>
                <w:spacing w:val="-5"/>
                <w:sz w:val="15"/>
              </w:rPr>
              <w:t> </w:t>
            </w:r>
            <w:r>
              <w:rPr>
                <w:color w:val="231F20"/>
                <w:sz w:val="15"/>
              </w:rPr>
              <w:t>and</w:t>
            </w:r>
            <w:r>
              <w:rPr>
                <w:color w:val="231F20"/>
                <w:spacing w:val="-4"/>
                <w:sz w:val="15"/>
              </w:rPr>
              <w:t> </w:t>
            </w:r>
            <w:r>
              <w:rPr>
                <w:color w:val="231F20"/>
                <w:sz w:val="15"/>
              </w:rPr>
              <w:t>pupillary</w:t>
            </w:r>
            <w:r>
              <w:rPr>
                <w:color w:val="231F20"/>
                <w:spacing w:val="-5"/>
                <w:sz w:val="15"/>
              </w:rPr>
              <w:t> </w:t>
            </w:r>
            <w:r>
              <w:rPr>
                <w:color w:val="231F20"/>
                <w:spacing w:val="-2"/>
                <w:sz w:val="15"/>
              </w:rPr>
              <w:t>block</w:t>
            </w:r>
          </w:p>
          <w:p>
            <w:pPr>
              <w:pStyle w:val="TableParagraph"/>
              <w:numPr>
                <w:ilvl w:val="2"/>
                <w:numId w:val="106"/>
              </w:numPr>
              <w:tabs>
                <w:tab w:pos="702" w:val="left" w:leader="none"/>
              </w:tabs>
              <w:spacing w:line="168" w:lineRule="exact" w:before="0" w:after="0"/>
              <w:ind w:left="702" w:right="0" w:hanging="200"/>
              <w:jc w:val="left"/>
              <w:rPr>
                <w:sz w:val="15"/>
              </w:rPr>
            </w:pPr>
            <w:r>
              <w:rPr>
                <w:color w:val="231F20"/>
                <w:sz w:val="15"/>
              </w:rPr>
              <w:t>Marfan</w:t>
            </w:r>
            <w:r>
              <w:rPr>
                <w:color w:val="231F20"/>
                <w:spacing w:val="5"/>
                <w:sz w:val="15"/>
              </w:rPr>
              <w:t> </w:t>
            </w:r>
            <w:r>
              <w:rPr>
                <w:color w:val="231F20"/>
                <w:spacing w:val="-2"/>
                <w:sz w:val="15"/>
              </w:rPr>
              <w:t>syndrome</w:t>
            </w:r>
          </w:p>
          <w:p>
            <w:pPr>
              <w:pStyle w:val="TableParagraph"/>
              <w:numPr>
                <w:ilvl w:val="2"/>
                <w:numId w:val="106"/>
              </w:numPr>
              <w:tabs>
                <w:tab w:pos="702" w:val="left" w:leader="none"/>
              </w:tabs>
              <w:spacing w:line="168" w:lineRule="exact" w:before="0" w:after="0"/>
              <w:ind w:left="702" w:right="0" w:hanging="200"/>
              <w:jc w:val="left"/>
              <w:rPr>
                <w:sz w:val="15"/>
              </w:rPr>
            </w:pPr>
            <w:r>
              <w:rPr>
                <w:color w:val="231F20"/>
                <w:spacing w:val="-2"/>
                <w:sz w:val="15"/>
              </w:rPr>
              <w:t>Homocystinuria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Spherophakia</w:t>
            </w:r>
            <w:r>
              <w:rPr>
                <w:color w:val="231F20"/>
                <w:spacing w:val="-2"/>
                <w:sz w:val="15"/>
              </w:rPr>
              <w:t> </w:t>
            </w:r>
            <w:r>
              <w:rPr>
                <w:color w:val="231F20"/>
                <w:sz w:val="15"/>
              </w:rPr>
              <w:t>and</w:t>
            </w:r>
            <w:r>
              <w:rPr>
                <w:color w:val="231F20"/>
                <w:spacing w:val="-1"/>
                <w:sz w:val="15"/>
              </w:rPr>
              <w:t> </w:t>
            </w:r>
            <w:r>
              <w:rPr>
                <w:color w:val="231F20"/>
                <w:sz w:val="15"/>
              </w:rPr>
              <w:t>pupillary</w:t>
            </w:r>
            <w:r>
              <w:rPr>
                <w:color w:val="231F20"/>
                <w:spacing w:val="-2"/>
                <w:sz w:val="15"/>
              </w:rPr>
              <w:t> block</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Phacolytic</w:t>
            </w:r>
            <w:r>
              <w:rPr>
                <w:color w:val="231F20"/>
                <w:spacing w:val="-7"/>
                <w:sz w:val="15"/>
              </w:rPr>
              <w:t> </w:t>
            </w:r>
            <w:r>
              <w:rPr>
                <w:color w:val="231F20"/>
                <w:spacing w:val="-2"/>
                <w:sz w:val="15"/>
              </w:rPr>
              <w:t>glaucoma</w:t>
            </w:r>
          </w:p>
          <w:p>
            <w:pPr>
              <w:pStyle w:val="TableParagraph"/>
              <w:numPr>
                <w:ilvl w:val="0"/>
                <w:numId w:val="106"/>
              </w:numPr>
              <w:tabs>
                <w:tab w:pos="310" w:val="left" w:leader="none"/>
              </w:tabs>
              <w:spacing w:line="168" w:lineRule="exact" w:before="0" w:after="0"/>
              <w:ind w:left="310" w:right="0" w:hanging="215"/>
              <w:jc w:val="left"/>
              <w:rPr>
                <w:sz w:val="15"/>
              </w:rPr>
            </w:pPr>
            <w:r>
              <w:rPr>
                <w:color w:val="231F20"/>
                <w:sz w:val="15"/>
              </w:rPr>
              <w:t>Secondary</w:t>
            </w:r>
            <w:r>
              <w:rPr>
                <w:color w:val="231F20"/>
                <w:spacing w:val="-4"/>
                <w:sz w:val="15"/>
              </w:rPr>
              <w:t> </w:t>
            </w:r>
            <w:r>
              <w:rPr>
                <w:color w:val="231F20"/>
                <w:sz w:val="15"/>
              </w:rPr>
              <w:t>to</w:t>
            </w:r>
            <w:r>
              <w:rPr>
                <w:color w:val="231F20"/>
                <w:spacing w:val="-3"/>
                <w:sz w:val="15"/>
              </w:rPr>
              <w:t> </w:t>
            </w:r>
            <w:r>
              <w:rPr>
                <w:color w:val="231F20"/>
                <w:sz w:val="15"/>
              </w:rPr>
              <w:t>surgery</w:t>
            </w:r>
            <w:r>
              <w:rPr>
                <w:color w:val="231F20"/>
                <w:spacing w:val="-3"/>
                <w:sz w:val="15"/>
              </w:rPr>
              <w:t> </w:t>
            </w:r>
            <w:r>
              <w:rPr>
                <w:color w:val="231F20"/>
                <w:sz w:val="15"/>
              </w:rPr>
              <w:t>for</w:t>
            </w:r>
            <w:r>
              <w:rPr>
                <w:color w:val="231F20"/>
                <w:spacing w:val="-4"/>
                <w:sz w:val="15"/>
              </w:rPr>
              <w:t> </w:t>
            </w:r>
            <w:r>
              <w:rPr>
                <w:color w:val="231F20"/>
                <w:sz w:val="15"/>
              </w:rPr>
              <w:t>congenital</w:t>
            </w:r>
            <w:r>
              <w:rPr>
                <w:color w:val="231F20"/>
                <w:spacing w:val="-3"/>
                <w:sz w:val="15"/>
              </w:rPr>
              <w:t> </w:t>
            </w:r>
            <w:r>
              <w:rPr>
                <w:color w:val="231F20"/>
                <w:spacing w:val="-2"/>
                <w:sz w:val="15"/>
              </w:rPr>
              <w:t>cataract</w:t>
            </w:r>
          </w:p>
          <w:p>
            <w:pPr>
              <w:pStyle w:val="TableParagraph"/>
              <w:numPr>
                <w:ilvl w:val="1"/>
                <w:numId w:val="106"/>
              </w:numPr>
              <w:tabs>
                <w:tab w:pos="500" w:val="left" w:leader="none"/>
                <w:tab w:pos="502" w:val="left" w:leader="none"/>
              </w:tabs>
              <w:spacing w:line="230" w:lineRule="auto" w:before="3" w:after="0"/>
              <w:ind w:left="502" w:right="331" w:hanging="192"/>
              <w:jc w:val="left"/>
              <w:rPr>
                <w:sz w:val="15"/>
              </w:rPr>
            </w:pPr>
            <w:r>
              <w:rPr>
                <w:color w:val="231F20"/>
                <w:sz w:val="15"/>
              </w:rPr>
              <w:t>Lens</w:t>
            </w:r>
            <w:r>
              <w:rPr>
                <w:color w:val="231F20"/>
                <w:spacing w:val="-12"/>
                <w:sz w:val="15"/>
              </w:rPr>
              <w:t> </w:t>
            </w:r>
            <w:r>
              <w:rPr>
                <w:color w:val="231F20"/>
                <w:sz w:val="15"/>
              </w:rPr>
              <w:t>material</w:t>
            </w:r>
            <w:r>
              <w:rPr>
                <w:color w:val="231F20"/>
                <w:spacing w:val="-11"/>
                <w:sz w:val="15"/>
              </w:rPr>
              <w:t> </w:t>
            </w:r>
            <w:r>
              <w:rPr>
                <w:color w:val="231F20"/>
                <w:sz w:val="15"/>
              </w:rPr>
              <w:t>blockage</w:t>
            </w:r>
            <w:r>
              <w:rPr>
                <w:color w:val="231F20"/>
                <w:spacing w:val="-11"/>
                <w:sz w:val="15"/>
              </w:rPr>
              <w:t> </w:t>
            </w:r>
            <w:r>
              <w:rPr>
                <w:color w:val="231F20"/>
                <w:sz w:val="15"/>
              </w:rPr>
              <w:t>of</w:t>
            </w:r>
            <w:r>
              <w:rPr>
                <w:color w:val="231F20"/>
                <w:spacing w:val="-12"/>
                <w:sz w:val="15"/>
              </w:rPr>
              <w:t> </w:t>
            </w:r>
            <w:r>
              <w:rPr>
                <w:color w:val="231F20"/>
                <w:sz w:val="15"/>
              </w:rPr>
              <w:t>the</w:t>
            </w:r>
            <w:r>
              <w:rPr>
                <w:color w:val="231F20"/>
                <w:spacing w:val="-11"/>
                <w:sz w:val="15"/>
              </w:rPr>
              <w:t> </w:t>
            </w:r>
            <w:r>
              <w:rPr>
                <w:color w:val="231F20"/>
                <w:sz w:val="15"/>
              </w:rPr>
              <w:t>trabecular</w:t>
            </w:r>
            <w:r>
              <w:rPr>
                <w:color w:val="231F20"/>
                <w:spacing w:val="-11"/>
                <w:sz w:val="15"/>
              </w:rPr>
              <w:t> </w:t>
            </w:r>
            <w:r>
              <w:rPr>
                <w:color w:val="231F20"/>
                <w:sz w:val="15"/>
              </w:rPr>
              <w:t>meshwork</w:t>
            </w:r>
            <w:r>
              <w:rPr>
                <w:color w:val="231F20"/>
                <w:spacing w:val="-12"/>
                <w:sz w:val="15"/>
              </w:rPr>
              <w:t> </w:t>
            </w:r>
            <w:r>
              <w:rPr>
                <w:color w:val="231F20"/>
                <w:sz w:val="15"/>
              </w:rPr>
              <w:t>(acute</w:t>
            </w:r>
            <w:r>
              <w:rPr>
                <w:color w:val="231F20"/>
                <w:spacing w:val="-11"/>
                <w:sz w:val="15"/>
              </w:rPr>
              <w:t> </w:t>
            </w:r>
            <w:r>
              <w:rPr>
                <w:color w:val="231F20"/>
                <w:sz w:val="15"/>
              </w:rPr>
              <w:t>or </w:t>
            </w:r>
            <w:r>
              <w:rPr>
                <w:color w:val="231F20"/>
                <w:spacing w:val="-2"/>
                <w:sz w:val="15"/>
              </w:rPr>
              <w:t>subacute)</w:t>
            </w:r>
          </w:p>
          <w:p>
            <w:pPr>
              <w:pStyle w:val="TableParagraph"/>
              <w:numPr>
                <w:ilvl w:val="1"/>
                <w:numId w:val="106"/>
              </w:numPr>
              <w:tabs>
                <w:tab w:pos="501" w:val="left" w:leader="none"/>
              </w:tabs>
              <w:spacing w:line="167" w:lineRule="exact" w:before="0" w:after="0"/>
              <w:ind w:left="501" w:right="0" w:hanging="190"/>
              <w:jc w:val="left"/>
              <w:rPr>
                <w:sz w:val="15"/>
              </w:rPr>
            </w:pPr>
            <w:r>
              <w:rPr>
                <w:color w:val="231F20"/>
                <w:spacing w:val="-4"/>
                <w:sz w:val="15"/>
              </w:rPr>
              <w:t>Pupillary</w:t>
            </w:r>
            <w:r>
              <w:rPr>
                <w:color w:val="231F20"/>
                <w:spacing w:val="7"/>
                <w:sz w:val="15"/>
              </w:rPr>
              <w:t> </w:t>
            </w:r>
            <w:r>
              <w:rPr>
                <w:color w:val="231F20"/>
                <w:spacing w:val="-4"/>
                <w:sz w:val="15"/>
              </w:rPr>
              <w:t>block</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Chronic</w:t>
            </w:r>
            <w:r>
              <w:rPr>
                <w:color w:val="231F20"/>
                <w:spacing w:val="3"/>
                <w:sz w:val="15"/>
              </w:rPr>
              <w:t> </w:t>
            </w:r>
            <w:r>
              <w:rPr>
                <w:color w:val="231F20"/>
                <w:sz w:val="15"/>
              </w:rPr>
              <w:t>open-angle</w:t>
            </w:r>
            <w:r>
              <w:rPr>
                <w:color w:val="231F20"/>
                <w:spacing w:val="4"/>
                <w:sz w:val="15"/>
              </w:rPr>
              <w:t> </w:t>
            </w:r>
            <w:r>
              <w:rPr>
                <w:color w:val="231F20"/>
                <w:sz w:val="15"/>
              </w:rPr>
              <w:t>glaucoma</w:t>
            </w:r>
            <w:r>
              <w:rPr>
                <w:color w:val="231F20"/>
                <w:spacing w:val="4"/>
                <w:sz w:val="15"/>
              </w:rPr>
              <w:t> </w:t>
            </w:r>
            <w:r>
              <w:rPr>
                <w:color w:val="231F20"/>
                <w:sz w:val="15"/>
              </w:rPr>
              <w:t>associated</w:t>
            </w:r>
            <w:r>
              <w:rPr>
                <w:color w:val="231F20"/>
                <w:spacing w:val="3"/>
                <w:sz w:val="15"/>
              </w:rPr>
              <w:t> </w:t>
            </w:r>
            <w:r>
              <w:rPr>
                <w:color w:val="231F20"/>
                <w:sz w:val="15"/>
              </w:rPr>
              <w:t>with</w:t>
            </w:r>
            <w:r>
              <w:rPr>
                <w:color w:val="231F20"/>
                <w:spacing w:val="4"/>
                <w:sz w:val="15"/>
              </w:rPr>
              <w:t> </w:t>
            </w:r>
            <w:r>
              <w:rPr>
                <w:color w:val="231F20"/>
                <w:sz w:val="15"/>
              </w:rPr>
              <w:t>angle</w:t>
            </w:r>
            <w:r>
              <w:rPr>
                <w:color w:val="231F20"/>
                <w:spacing w:val="4"/>
                <w:sz w:val="15"/>
              </w:rPr>
              <w:t> </w:t>
            </w:r>
            <w:r>
              <w:rPr>
                <w:color w:val="231F20"/>
                <w:spacing w:val="-2"/>
                <w:sz w:val="15"/>
              </w:rPr>
              <w:t>defects</w:t>
            </w:r>
          </w:p>
          <w:p>
            <w:pPr>
              <w:pStyle w:val="TableParagraph"/>
              <w:numPr>
                <w:ilvl w:val="0"/>
                <w:numId w:val="106"/>
              </w:numPr>
              <w:tabs>
                <w:tab w:pos="311" w:val="left" w:leader="none"/>
              </w:tabs>
              <w:spacing w:line="168" w:lineRule="exact" w:before="0" w:after="0"/>
              <w:ind w:left="311" w:right="0" w:hanging="210"/>
              <w:jc w:val="left"/>
              <w:rPr>
                <w:sz w:val="15"/>
              </w:rPr>
            </w:pPr>
            <w:r>
              <w:rPr>
                <w:color w:val="231F20"/>
                <w:sz w:val="15"/>
              </w:rPr>
              <w:t>Steroid-induced</w:t>
            </w:r>
            <w:r>
              <w:rPr>
                <w:color w:val="231F20"/>
                <w:spacing w:val="-1"/>
                <w:sz w:val="15"/>
              </w:rPr>
              <w:t> </w:t>
            </w:r>
            <w:r>
              <w:rPr>
                <w:color w:val="231F20"/>
                <w:spacing w:val="-2"/>
                <w:sz w:val="15"/>
              </w:rPr>
              <w:t>glaucoma</w:t>
            </w:r>
          </w:p>
          <w:p>
            <w:pPr>
              <w:pStyle w:val="TableParagraph"/>
              <w:numPr>
                <w:ilvl w:val="0"/>
                <w:numId w:val="106"/>
              </w:numPr>
              <w:tabs>
                <w:tab w:pos="311" w:val="left" w:leader="none"/>
              </w:tabs>
              <w:spacing w:line="168" w:lineRule="exact" w:before="0" w:after="0"/>
              <w:ind w:left="311" w:right="0" w:hanging="242"/>
              <w:jc w:val="left"/>
              <w:rPr>
                <w:sz w:val="15"/>
              </w:rPr>
            </w:pPr>
            <w:r>
              <w:rPr>
                <w:color w:val="231F20"/>
                <w:sz w:val="15"/>
              </w:rPr>
              <w:t>Secondary</w:t>
            </w:r>
            <w:r>
              <w:rPr>
                <w:color w:val="231F20"/>
                <w:spacing w:val="3"/>
                <w:sz w:val="15"/>
              </w:rPr>
              <w:t> </w:t>
            </w:r>
            <w:r>
              <w:rPr>
                <w:color w:val="231F20"/>
                <w:sz w:val="15"/>
              </w:rPr>
              <w:t>to</w:t>
            </w:r>
            <w:r>
              <w:rPr>
                <w:color w:val="231F20"/>
                <w:spacing w:val="3"/>
                <w:sz w:val="15"/>
              </w:rPr>
              <w:t> </w:t>
            </w:r>
            <w:r>
              <w:rPr>
                <w:color w:val="231F20"/>
                <w:spacing w:val="-2"/>
                <w:sz w:val="15"/>
              </w:rPr>
              <w:t>rubeosis</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Retinoblastoma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w w:val="105"/>
                <w:sz w:val="15"/>
              </w:rPr>
              <w:t>Coats</w:t>
            </w:r>
            <w:r>
              <w:rPr>
                <w:color w:val="231F20"/>
                <w:spacing w:val="-5"/>
                <w:w w:val="105"/>
                <w:sz w:val="15"/>
              </w:rPr>
              <w:t> </w:t>
            </w:r>
            <w:r>
              <w:rPr>
                <w:color w:val="231F20"/>
                <w:spacing w:val="-2"/>
                <w:w w:val="105"/>
                <w:sz w:val="15"/>
              </w:rPr>
              <w:t>disease</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Medulloepithelioma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Familial</w:t>
            </w:r>
            <w:r>
              <w:rPr>
                <w:color w:val="231F20"/>
                <w:spacing w:val="-6"/>
                <w:sz w:val="15"/>
              </w:rPr>
              <w:t> </w:t>
            </w:r>
            <w:r>
              <w:rPr>
                <w:color w:val="231F20"/>
                <w:spacing w:val="-2"/>
                <w:sz w:val="15"/>
              </w:rPr>
              <w:t>exudative</w:t>
            </w:r>
            <w:r>
              <w:rPr>
                <w:color w:val="231F20"/>
                <w:spacing w:val="-5"/>
                <w:sz w:val="15"/>
              </w:rPr>
              <w:t> </w:t>
            </w:r>
            <w:r>
              <w:rPr>
                <w:color w:val="231F20"/>
                <w:spacing w:val="-2"/>
                <w:sz w:val="15"/>
              </w:rPr>
              <w:t>vitreoretinopathy</w:t>
            </w:r>
          </w:p>
          <w:p>
            <w:pPr>
              <w:pStyle w:val="TableParagraph"/>
              <w:numPr>
                <w:ilvl w:val="0"/>
                <w:numId w:val="106"/>
              </w:numPr>
              <w:tabs>
                <w:tab w:pos="310" w:val="left" w:leader="none"/>
              </w:tabs>
              <w:spacing w:line="168" w:lineRule="exact" w:before="0" w:after="0"/>
              <w:ind w:left="310" w:right="0" w:hanging="234"/>
              <w:jc w:val="left"/>
              <w:rPr>
                <w:sz w:val="15"/>
              </w:rPr>
            </w:pPr>
            <w:r>
              <w:rPr>
                <w:color w:val="231F20"/>
                <w:sz w:val="15"/>
              </w:rPr>
              <w:t>Secondary</w:t>
            </w:r>
            <w:r>
              <w:rPr>
                <w:color w:val="231F20"/>
                <w:spacing w:val="-1"/>
                <w:sz w:val="15"/>
              </w:rPr>
              <w:t> </w:t>
            </w:r>
            <w:r>
              <w:rPr>
                <w:color w:val="231F20"/>
                <w:sz w:val="15"/>
              </w:rPr>
              <w:t>angle-closure </w:t>
            </w:r>
            <w:r>
              <w:rPr>
                <w:color w:val="231F20"/>
                <w:spacing w:val="-2"/>
                <w:sz w:val="15"/>
              </w:rPr>
              <w:t>glaucoma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Retinopathy</w:t>
            </w:r>
            <w:r>
              <w:rPr>
                <w:color w:val="231F20"/>
                <w:spacing w:val="-10"/>
                <w:sz w:val="15"/>
              </w:rPr>
              <w:t> </w:t>
            </w:r>
            <w:r>
              <w:rPr>
                <w:color w:val="231F20"/>
                <w:sz w:val="15"/>
              </w:rPr>
              <w:t>of</w:t>
            </w:r>
            <w:r>
              <w:rPr>
                <w:color w:val="231F20"/>
                <w:spacing w:val="-9"/>
                <w:sz w:val="15"/>
              </w:rPr>
              <w:t> </w:t>
            </w:r>
            <w:r>
              <w:rPr>
                <w:color w:val="231F20"/>
                <w:spacing w:val="-2"/>
                <w:sz w:val="15"/>
              </w:rPr>
              <w:t>prematurity</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Microphthalmos</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w w:val="105"/>
                <w:sz w:val="15"/>
              </w:rPr>
              <w:t>Nanophthalmos</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Retinoblastoma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Persistent</w:t>
            </w:r>
            <w:r>
              <w:rPr>
                <w:color w:val="231F20"/>
                <w:spacing w:val="-4"/>
                <w:sz w:val="15"/>
              </w:rPr>
              <w:t> </w:t>
            </w:r>
            <w:r>
              <w:rPr>
                <w:color w:val="231F20"/>
                <w:spacing w:val="-2"/>
                <w:sz w:val="15"/>
              </w:rPr>
              <w:t>hyperplastic</w:t>
            </w:r>
            <w:r>
              <w:rPr>
                <w:color w:val="231F20"/>
                <w:spacing w:val="-4"/>
                <w:sz w:val="15"/>
              </w:rPr>
              <w:t> </w:t>
            </w:r>
            <w:r>
              <w:rPr>
                <w:color w:val="231F20"/>
                <w:spacing w:val="-2"/>
                <w:sz w:val="15"/>
              </w:rPr>
              <w:t>primary</w:t>
            </w:r>
            <w:r>
              <w:rPr>
                <w:color w:val="231F20"/>
                <w:spacing w:val="-4"/>
                <w:sz w:val="15"/>
              </w:rPr>
              <w:t> </w:t>
            </w:r>
            <w:r>
              <w:rPr>
                <w:color w:val="231F20"/>
                <w:spacing w:val="-2"/>
                <w:sz w:val="15"/>
              </w:rPr>
              <w:t>vitreous</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Congenital</w:t>
            </w:r>
            <w:r>
              <w:rPr>
                <w:color w:val="231F20"/>
                <w:spacing w:val="-4"/>
                <w:sz w:val="15"/>
              </w:rPr>
              <w:t> </w:t>
            </w:r>
            <w:r>
              <w:rPr>
                <w:color w:val="231F20"/>
                <w:sz w:val="15"/>
              </w:rPr>
              <w:t>pupillary</w:t>
            </w:r>
            <w:r>
              <w:rPr>
                <w:color w:val="231F20"/>
                <w:spacing w:val="-4"/>
                <w:sz w:val="15"/>
              </w:rPr>
              <w:t> </w:t>
            </w:r>
            <w:r>
              <w:rPr>
                <w:color w:val="231F20"/>
                <w:sz w:val="15"/>
              </w:rPr>
              <w:t>iris–lens</w:t>
            </w:r>
            <w:r>
              <w:rPr>
                <w:color w:val="231F20"/>
                <w:spacing w:val="-4"/>
                <w:sz w:val="15"/>
              </w:rPr>
              <w:t> </w:t>
            </w:r>
            <w:r>
              <w:rPr>
                <w:color w:val="231F20"/>
                <w:spacing w:val="-2"/>
                <w:sz w:val="15"/>
              </w:rPr>
              <w:t>membrane</w:t>
            </w:r>
          </w:p>
          <w:p>
            <w:pPr>
              <w:pStyle w:val="TableParagraph"/>
              <w:numPr>
                <w:ilvl w:val="0"/>
                <w:numId w:val="106"/>
              </w:numPr>
              <w:tabs>
                <w:tab w:pos="311" w:val="left" w:leader="none"/>
              </w:tabs>
              <w:spacing w:line="168" w:lineRule="exact" w:before="0" w:after="0"/>
              <w:ind w:left="311" w:right="0" w:hanging="166"/>
              <w:jc w:val="left"/>
              <w:rPr>
                <w:sz w:val="15"/>
              </w:rPr>
            </w:pPr>
            <w:r>
              <w:rPr>
                <w:color w:val="231F20"/>
                <w:sz w:val="15"/>
              </w:rPr>
              <w:t>Glaucoma</w:t>
            </w:r>
            <w:r>
              <w:rPr>
                <w:color w:val="231F20"/>
                <w:spacing w:val="-2"/>
                <w:sz w:val="15"/>
              </w:rPr>
              <w:t> </w:t>
            </w:r>
            <w:r>
              <w:rPr>
                <w:color w:val="231F20"/>
                <w:sz w:val="15"/>
              </w:rPr>
              <w:t>associated</w:t>
            </w:r>
            <w:r>
              <w:rPr>
                <w:color w:val="231F20"/>
                <w:spacing w:val="-2"/>
                <w:sz w:val="15"/>
              </w:rPr>
              <w:t> </w:t>
            </w:r>
            <w:r>
              <w:rPr>
                <w:color w:val="231F20"/>
                <w:sz w:val="15"/>
              </w:rPr>
              <w:t>with</w:t>
            </w:r>
            <w:r>
              <w:rPr>
                <w:color w:val="231F20"/>
                <w:spacing w:val="-2"/>
                <w:sz w:val="15"/>
              </w:rPr>
              <w:t> </w:t>
            </w:r>
            <w:r>
              <w:rPr>
                <w:color w:val="231F20"/>
                <w:sz w:val="15"/>
              </w:rPr>
              <w:t>increased</w:t>
            </w:r>
            <w:r>
              <w:rPr>
                <w:color w:val="231F20"/>
                <w:spacing w:val="-2"/>
                <w:sz w:val="15"/>
              </w:rPr>
              <w:t> </w:t>
            </w:r>
            <w:r>
              <w:rPr>
                <w:color w:val="231F20"/>
                <w:sz w:val="15"/>
              </w:rPr>
              <w:t>venous</w:t>
            </w:r>
            <w:r>
              <w:rPr>
                <w:color w:val="231F20"/>
                <w:spacing w:val="-2"/>
                <w:sz w:val="15"/>
              </w:rPr>
              <w:t> pressure</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Carotid</w:t>
            </w:r>
            <w:r>
              <w:rPr>
                <w:color w:val="231F20"/>
                <w:spacing w:val="-3"/>
                <w:sz w:val="15"/>
              </w:rPr>
              <w:t> </w:t>
            </w:r>
            <w:r>
              <w:rPr>
                <w:color w:val="231F20"/>
                <w:sz w:val="15"/>
              </w:rPr>
              <w:t>or</w:t>
            </w:r>
            <w:r>
              <w:rPr>
                <w:color w:val="231F20"/>
                <w:spacing w:val="-2"/>
                <w:sz w:val="15"/>
              </w:rPr>
              <w:t> </w:t>
            </w:r>
            <w:r>
              <w:rPr>
                <w:color w:val="231F20"/>
                <w:sz w:val="15"/>
              </w:rPr>
              <w:t>dural-venous</w:t>
            </w:r>
            <w:r>
              <w:rPr>
                <w:color w:val="231F20"/>
                <w:spacing w:val="-3"/>
                <w:sz w:val="15"/>
              </w:rPr>
              <w:t> </w:t>
            </w:r>
            <w:r>
              <w:rPr>
                <w:color w:val="231F20"/>
                <w:spacing w:val="-2"/>
                <w:sz w:val="15"/>
              </w:rPr>
              <w:t>fistula</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z w:val="15"/>
              </w:rPr>
              <w:t>Orbital</w:t>
            </w:r>
            <w:r>
              <w:rPr>
                <w:color w:val="231F20"/>
                <w:spacing w:val="-4"/>
                <w:sz w:val="15"/>
              </w:rPr>
              <w:t> </w:t>
            </w:r>
            <w:r>
              <w:rPr>
                <w:color w:val="231F20"/>
                <w:spacing w:val="-2"/>
                <w:sz w:val="15"/>
              </w:rPr>
              <w:t>disease</w:t>
            </w:r>
          </w:p>
          <w:p>
            <w:pPr>
              <w:pStyle w:val="TableParagraph"/>
              <w:numPr>
                <w:ilvl w:val="0"/>
                <w:numId w:val="106"/>
              </w:numPr>
              <w:tabs>
                <w:tab w:pos="311" w:val="left" w:leader="none"/>
              </w:tabs>
              <w:spacing w:line="168" w:lineRule="exact" w:before="0" w:after="0"/>
              <w:ind w:left="311" w:right="0" w:hanging="199"/>
              <w:jc w:val="left"/>
              <w:rPr>
                <w:sz w:val="15"/>
              </w:rPr>
            </w:pPr>
            <w:r>
              <w:rPr>
                <w:color w:val="231F20"/>
                <w:sz w:val="15"/>
              </w:rPr>
              <w:t>Secondary</w:t>
            </w:r>
            <w:r>
              <w:rPr>
                <w:color w:val="231F20"/>
                <w:spacing w:val="-8"/>
                <w:sz w:val="15"/>
              </w:rPr>
              <w:t> </w:t>
            </w:r>
            <w:r>
              <w:rPr>
                <w:color w:val="231F20"/>
                <w:sz w:val="15"/>
              </w:rPr>
              <w:t>to</w:t>
            </w:r>
            <w:r>
              <w:rPr>
                <w:color w:val="231F20"/>
                <w:spacing w:val="-8"/>
                <w:sz w:val="15"/>
              </w:rPr>
              <w:t> </w:t>
            </w:r>
            <w:r>
              <w:rPr>
                <w:color w:val="231F20"/>
                <w:sz w:val="15"/>
              </w:rPr>
              <w:t>maternal</w:t>
            </w:r>
            <w:r>
              <w:rPr>
                <w:color w:val="231F20"/>
                <w:spacing w:val="-8"/>
                <w:sz w:val="15"/>
              </w:rPr>
              <w:t> </w:t>
            </w:r>
            <w:r>
              <w:rPr>
                <w:color w:val="231F20"/>
                <w:spacing w:val="-2"/>
                <w:sz w:val="15"/>
              </w:rPr>
              <w:t>rubella</w:t>
            </w:r>
          </w:p>
          <w:p>
            <w:pPr>
              <w:pStyle w:val="TableParagraph"/>
              <w:numPr>
                <w:ilvl w:val="0"/>
                <w:numId w:val="106"/>
              </w:numPr>
              <w:tabs>
                <w:tab w:pos="311" w:val="left" w:leader="none"/>
              </w:tabs>
              <w:spacing w:line="168" w:lineRule="exact" w:before="0" w:after="0"/>
              <w:ind w:left="311" w:right="0" w:hanging="218"/>
              <w:jc w:val="left"/>
              <w:rPr>
                <w:sz w:val="15"/>
              </w:rPr>
            </w:pPr>
            <w:r>
              <w:rPr>
                <w:color w:val="231F20"/>
                <w:spacing w:val="-2"/>
                <w:sz w:val="15"/>
              </w:rPr>
              <w:t>Secondary</w:t>
            </w:r>
            <w:r>
              <w:rPr>
                <w:color w:val="231F20"/>
                <w:spacing w:val="2"/>
                <w:sz w:val="15"/>
              </w:rPr>
              <w:t> </w:t>
            </w:r>
            <w:r>
              <w:rPr>
                <w:color w:val="231F20"/>
                <w:spacing w:val="-2"/>
                <w:sz w:val="15"/>
              </w:rPr>
              <w:t>to</w:t>
            </w:r>
            <w:r>
              <w:rPr>
                <w:color w:val="231F20"/>
                <w:spacing w:val="2"/>
                <w:sz w:val="15"/>
              </w:rPr>
              <w:t> </w:t>
            </w:r>
            <w:r>
              <w:rPr>
                <w:color w:val="231F20"/>
                <w:spacing w:val="-2"/>
                <w:sz w:val="15"/>
              </w:rPr>
              <w:t>intraocular</w:t>
            </w:r>
            <w:r>
              <w:rPr>
                <w:color w:val="231F20"/>
                <w:spacing w:val="2"/>
                <w:sz w:val="15"/>
              </w:rPr>
              <w:t> </w:t>
            </w:r>
            <w:r>
              <w:rPr>
                <w:color w:val="231F20"/>
                <w:spacing w:val="-2"/>
                <w:sz w:val="15"/>
              </w:rPr>
              <w:t>infection</w:t>
            </w:r>
          </w:p>
          <w:p>
            <w:pPr>
              <w:pStyle w:val="TableParagraph"/>
              <w:numPr>
                <w:ilvl w:val="1"/>
                <w:numId w:val="106"/>
              </w:numPr>
              <w:tabs>
                <w:tab w:pos="501" w:val="left" w:leader="none"/>
              </w:tabs>
              <w:spacing w:line="168" w:lineRule="exact" w:before="0" w:after="0"/>
              <w:ind w:left="501" w:right="0" w:hanging="190"/>
              <w:jc w:val="left"/>
              <w:rPr>
                <w:sz w:val="15"/>
              </w:rPr>
            </w:pPr>
            <w:r>
              <w:rPr>
                <w:color w:val="231F20"/>
                <w:spacing w:val="-2"/>
                <w:sz w:val="15"/>
              </w:rPr>
              <w:t>Acute</w:t>
            </w:r>
            <w:r>
              <w:rPr>
                <w:color w:val="231F20"/>
                <w:spacing w:val="-5"/>
                <w:sz w:val="15"/>
              </w:rPr>
              <w:t> </w:t>
            </w:r>
            <w:r>
              <w:rPr>
                <w:color w:val="231F20"/>
                <w:spacing w:val="-2"/>
                <w:sz w:val="15"/>
              </w:rPr>
              <w:t>recurrent</w:t>
            </w:r>
            <w:r>
              <w:rPr>
                <w:color w:val="231F20"/>
                <w:spacing w:val="-4"/>
                <w:sz w:val="15"/>
              </w:rPr>
              <w:t> </w:t>
            </w:r>
            <w:r>
              <w:rPr>
                <w:color w:val="231F20"/>
                <w:spacing w:val="-2"/>
                <w:sz w:val="15"/>
              </w:rPr>
              <w:t>toxoplasmosis</w:t>
            </w:r>
          </w:p>
          <w:p>
            <w:pPr>
              <w:pStyle w:val="TableParagraph"/>
              <w:numPr>
                <w:ilvl w:val="1"/>
                <w:numId w:val="106"/>
              </w:numPr>
              <w:tabs>
                <w:tab w:pos="501" w:val="left" w:leader="none"/>
              </w:tabs>
              <w:spacing w:line="171" w:lineRule="exact" w:before="0" w:after="0"/>
              <w:ind w:left="501" w:right="0" w:hanging="190"/>
              <w:jc w:val="left"/>
              <w:rPr>
                <w:sz w:val="15"/>
              </w:rPr>
            </w:pPr>
            <w:r>
              <w:rPr>
                <w:color w:val="231F20"/>
                <w:sz w:val="15"/>
              </w:rPr>
              <w:t>Acute</w:t>
            </w:r>
            <w:r>
              <w:rPr>
                <w:color w:val="231F20"/>
                <w:spacing w:val="-8"/>
                <w:sz w:val="15"/>
              </w:rPr>
              <w:t> </w:t>
            </w:r>
            <w:r>
              <w:rPr>
                <w:color w:val="231F20"/>
                <w:sz w:val="15"/>
              </w:rPr>
              <w:t>herpetic</w:t>
            </w:r>
            <w:r>
              <w:rPr>
                <w:color w:val="231F20"/>
                <w:spacing w:val="-7"/>
                <w:sz w:val="15"/>
              </w:rPr>
              <w:t> </w:t>
            </w:r>
            <w:r>
              <w:rPr>
                <w:color w:val="231F20"/>
                <w:spacing w:val="-2"/>
                <w:sz w:val="15"/>
              </w:rPr>
              <w:t>iritis</w:t>
            </w:r>
          </w:p>
        </w:tc>
      </w:tr>
    </w:tbl>
    <w:p>
      <w:pPr>
        <w:spacing w:before="74"/>
        <w:ind w:left="182" w:right="0" w:firstLine="0"/>
        <w:jc w:val="left"/>
        <w:rPr>
          <w:i/>
          <w:sz w:val="13"/>
        </w:rPr>
      </w:pPr>
      <w:r>
        <w:rPr>
          <w:i/>
          <w:color w:val="231F20"/>
          <w:sz w:val="13"/>
        </w:rPr>
        <w:t>From</w:t>
      </w:r>
      <w:r>
        <w:rPr>
          <w:i/>
          <w:color w:val="231F20"/>
          <w:spacing w:val="-3"/>
          <w:sz w:val="13"/>
        </w:rPr>
        <w:t> </w:t>
      </w:r>
      <w:r>
        <w:rPr>
          <w:i/>
          <w:color w:val="231F20"/>
          <w:sz w:val="13"/>
        </w:rPr>
        <w:t>Nelson</w:t>
      </w:r>
      <w:r>
        <w:rPr>
          <w:i/>
          <w:color w:val="231F20"/>
          <w:spacing w:val="-2"/>
          <w:sz w:val="13"/>
        </w:rPr>
        <w:t> </w:t>
      </w:r>
      <w:r>
        <w:rPr>
          <w:i/>
          <w:color w:val="231F20"/>
          <w:sz w:val="13"/>
        </w:rPr>
        <w:t>LB:</w:t>
      </w:r>
      <w:r>
        <w:rPr>
          <w:i/>
          <w:color w:val="231F20"/>
          <w:spacing w:val="-3"/>
          <w:sz w:val="13"/>
        </w:rPr>
        <w:t> </w:t>
      </w:r>
      <w:r>
        <w:rPr>
          <w:color w:val="231F20"/>
          <w:sz w:val="13"/>
        </w:rPr>
        <w:t>Harley’s</w:t>
      </w:r>
      <w:r>
        <w:rPr>
          <w:color w:val="231F20"/>
          <w:spacing w:val="-2"/>
          <w:sz w:val="13"/>
        </w:rPr>
        <w:t> </w:t>
      </w:r>
      <w:r>
        <w:rPr>
          <w:color w:val="231F20"/>
          <w:sz w:val="13"/>
        </w:rPr>
        <w:t>pediatric</w:t>
      </w:r>
      <w:r>
        <w:rPr>
          <w:color w:val="231F20"/>
          <w:spacing w:val="-3"/>
          <w:sz w:val="13"/>
        </w:rPr>
        <w:t> </w:t>
      </w:r>
      <w:r>
        <w:rPr>
          <w:color w:val="231F20"/>
          <w:sz w:val="13"/>
        </w:rPr>
        <w:t>ophthalmology,</w:t>
      </w:r>
      <w:r>
        <w:rPr>
          <w:color w:val="231F20"/>
          <w:spacing w:val="-2"/>
          <w:sz w:val="13"/>
        </w:rPr>
        <w:t> </w:t>
      </w:r>
      <w:r>
        <w:rPr>
          <w:i/>
          <w:color w:val="231F20"/>
          <w:sz w:val="13"/>
        </w:rPr>
        <w:t>ed</w:t>
      </w:r>
      <w:r>
        <w:rPr>
          <w:i/>
          <w:color w:val="231F20"/>
          <w:spacing w:val="-2"/>
          <w:sz w:val="13"/>
        </w:rPr>
        <w:t> </w:t>
      </w:r>
      <w:r>
        <w:rPr>
          <w:i/>
          <w:color w:val="231F20"/>
          <w:sz w:val="13"/>
        </w:rPr>
        <w:t>4,</w:t>
      </w:r>
      <w:r>
        <w:rPr>
          <w:i/>
          <w:color w:val="231F20"/>
          <w:spacing w:val="-3"/>
          <w:sz w:val="13"/>
        </w:rPr>
        <w:t> </w:t>
      </w:r>
      <w:r>
        <w:rPr>
          <w:i/>
          <w:color w:val="231F20"/>
          <w:sz w:val="13"/>
        </w:rPr>
        <w:t>Philadelphia,</w:t>
      </w:r>
      <w:r>
        <w:rPr>
          <w:i/>
          <w:color w:val="231F20"/>
          <w:spacing w:val="-2"/>
          <w:sz w:val="13"/>
        </w:rPr>
        <w:t> </w:t>
      </w:r>
      <w:r>
        <w:rPr>
          <w:i/>
          <w:color w:val="231F20"/>
          <w:sz w:val="13"/>
        </w:rPr>
        <w:t>1998,</w:t>
      </w:r>
      <w:r>
        <w:rPr>
          <w:i/>
          <w:color w:val="231F20"/>
          <w:spacing w:val="-3"/>
          <w:sz w:val="13"/>
        </w:rPr>
        <w:t> </w:t>
      </w:r>
      <w:r>
        <w:rPr>
          <w:i/>
          <w:color w:val="231F20"/>
          <w:sz w:val="13"/>
        </w:rPr>
        <w:t>WB</w:t>
      </w:r>
      <w:r>
        <w:rPr>
          <w:i/>
          <w:color w:val="231F20"/>
          <w:spacing w:val="-2"/>
          <w:sz w:val="13"/>
        </w:rPr>
        <w:t> </w:t>
      </w:r>
      <w:r>
        <w:rPr>
          <w:i/>
          <w:color w:val="231F20"/>
          <w:sz w:val="13"/>
        </w:rPr>
        <w:t>Saunders,</w:t>
      </w:r>
      <w:r>
        <w:rPr>
          <w:i/>
          <w:color w:val="231F20"/>
          <w:spacing w:val="-2"/>
          <w:sz w:val="13"/>
        </w:rPr>
        <w:t> </w:t>
      </w:r>
      <w:r>
        <w:rPr>
          <w:i/>
          <w:color w:val="231F20"/>
          <w:sz w:val="13"/>
        </w:rPr>
        <w:t>p.</w:t>
      </w:r>
      <w:r>
        <w:rPr>
          <w:i/>
          <w:color w:val="231F20"/>
          <w:spacing w:val="-3"/>
          <w:sz w:val="13"/>
        </w:rPr>
        <w:t> </w:t>
      </w:r>
      <w:r>
        <w:rPr>
          <w:i/>
          <w:color w:val="231F20"/>
          <w:spacing w:val="-4"/>
          <w:sz w:val="13"/>
        </w:rPr>
        <w:t>294.</w:t>
      </w:r>
    </w:p>
    <w:p>
      <w:pPr>
        <w:pStyle w:val="BodyText"/>
        <w:spacing w:before="6"/>
        <w:rPr>
          <w:i/>
          <w:sz w:val="17"/>
        </w:rPr>
      </w:pPr>
    </w:p>
    <w:tbl>
      <w:tblPr>
        <w:tblW w:w="0" w:type="auto"/>
        <w:jc w:val="left"/>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650"/>
        <w:gridCol w:w="2280"/>
        <w:gridCol w:w="2465"/>
        <w:gridCol w:w="2199"/>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9</w:t>
            </w:r>
          </w:p>
        </w:tc>
        <w:tc>
          <w:tcPr>
            <w:tcW w:w="8594" w:type="dxa"/>
            <w:gridSpan w:val="4"/>
            <w:tcBorders>
              <w:left w:val="single" w:sz="8" w:space="0" w:color="FFFFFF"/>
            </w:tcBorders>
            <w:shd w:val="clear" w:color="auto" w:fill="231F20"/>
          </w:tcPr>
          <w:p>
            <w:pPr>
              <w:pStyle w:val="TableParagraph"/>
              <w:spacing w:before="89"/>
              <w:ind w:left="73"/>
              <w:rPr>
                <w:sz w:val="16"/>
              </w:rPr>
            </w:pPr>
            <w:r>
              <w:rPr>
                <w:color w:val="FFFFFF"/>
                <w:w w:val="105"/>
                <w:sz w:val="16"/>
              </w:rPr>
              <w:t>Recommended</w:t>
            </w:r>
            <w:r>
              <w:rPr>
                <w:color w:val="FFFFFF"/>
                <w:spacing w:val="10"/>
                <w:w w:val="105"/>
                <w:sz w:val="16"/>
              </w:rPr>
              <w:t> </w:t>
            </w:r>
            <w:r>
              <w:rPr>
                <w:color w:val="FFFFFF"/>
                <w:w w:val="105"/>
                <w:sz w:val="16"/>
              </w:rPr>
              <w:t>Pneumococcal</w:t>
            </w:r>
            <w:r>
              <w:rPr>
                <w:color w:val="FFFFFF"/>
                <w:spacing w:val="11"/>
                <w:w w:val="105"/>
                <w:sz w:val="16"/>
              </w:rPr>
              <w:t> </w:t>
            </w:r>
            <w:r>
              <w:rPr>
                <w:color w:val="FFFFFF"/>
                <w:w w:val="105"/>
                <w:sz w:val="16"/>
              </w:rPr>
              <w:t>Vaccination</w:t>
            </w:r>
            <w:r>
              <w:rPr>
                <w:color w:val="FFFFFF"/>
                <w:spacing w:val="11"/>
                <w:w w:val="105"/>
                <w:sz w:val="16"/>
              </w:rPr>
              <w:t> </w:t>
            </w:r>
            <w:r>
              <w:rPr>
                <w:color w:val="FFFFFF"/>
                <w:w w:val="105"/>
                <w:sz w:val="16"/>
              </w:rPr>
              <w:t>Schedule</w:t>
            </w:r>
            <w:r>
              <w:rPr>
                <w:color w:val="FFFFFF"/>
                <w:spacing w:val="10"/>
                <w:w w:val="105"/>
                <w:sz w:val="16"/>
              </w:rPr>
              <w:t> </w:t>
            </w:r>
            <w:r>
              <w:rPr>
                <w:color w:val="FFFFFF"/>
                <w:w w:val="105"/>
                <w:sz w:val="16"/>
              </w:rPr>
              <w:t>for</w:t>
            </w:r>
            <w:r>
              <w:rPr>
                <w:color w:val="FFFFFF"/>
                <w:spacing w:val="11"/>
                <w:w w:val="105"/>
                <w:sz w:val="16"/>
              </w:rPr>
              <w:t> </w:t>
            </w:r>
            <w:r>
              <w:rPr>
                <w:color w:val="FFFFFF"/>
                <w:w w:val="105"/>
                <w:sz w:val="16"/>
              </w:rPr>
              <w:t>Persons</w:t>
            </w:r>
            <w:r>
              <w:rPr>
                <w:color w:val="FFFFFF"/>
                <w:spacing w:val="11"/>
                <w:w w:val="105"/>
                <w:sz w:val="16"/>
              </w:rPr>
              <w:t> </w:t>
            </w:r>
            <w:r>
              <w:rPr>
                <w:color w:val="FFFFFF"/>
                <w:w w:val="105"/>
                <w:sz w:val="16"/>
              </w:rPr>
              <w:t>with</w:t>
            </w:r>
            <w:r>
              <w:rPr>
                <w:color w:val="FFFFFF"/>
                <w:spacing w:val="10"/>
                <w:w w:val="105"/>
                <w:sz w:val="16"/>
              </w:rPr>
              <w:t> </w:t>
            </w:r>
            <w:r>
              <w:rPr>
                <w:color w:val="FFFFFF"/>
                <w:w w:val="105"/>
                <w:sz w:val="16"/>
              </w:rPr>
              <w:t>Cochlear</w:t>
            </w:r>
            <w:r>
              <w:rPr>
                <w:color w:val="FFFFFF"/>
                <w:spacing w:val="11"/>
                <w:w w:val="105"/>
                <w:sz w:val="16"/>
              </w:rPr>
              <w:t> </w:t>
            </w:r>
            <w:r>
              <w:rPr>
                <w:color w:val="FFFFFF"/>
                <w:spacing w:val="-2"/>
                <w:w w:val="105"/>
                <w:sz w:val="16"/>
              </w:rPr>
              <w:t>Implants</w:t>
            </w:r>
          </w:p>
        </w:tc>
      </w:tr>
      <w:tr>
        <w:trPr>
          <w:trHeight w:val="257" w:hRule="atLeast"/>
        </w:trPr>
        <w:tc>
          <w:tcPr>
            <w:tcW w:w="2798" w:type="dxa"/>
            <w:gridSpan w:val="2"/>
            <w:tcBorders>
              <w:bottom w:val="single" w:sz="4" w:space="0" w:color="231F20"/>
            </w:tcBorders>
            <w:shd w:val="clear" w:color="auto" w:fill="E8F5F1"/>
          </w:tcPr>
          <w:p>
            <w:pPr>
              <w:pStyle w:val="TableParagraph"/>
              <w:spacing w:before="47"/>
              <w:ind w:left="74"/>
              <w:rPr>
                <w:b/>
                <w:sz w:val="15"/>
              </w:rPr>
            </w:pPr>
            <w:r>
              <w:rPr>
                <w:b/>
                <w:color w:val="231F20"/>
                <w:w w:val="105"/>
                <w:sz w:val="15"/>
              </w:rPr>
              <w:t>AGE</w:t>
            </w:r>
            <w:r>
              <w:rPr>
                <w:b/>
                <w:color w:val="231F20"/>
                <w:spacing w:val="14"/>
                <w:w w:val="105"/>
                <w:sz w:val="15"/>
              </w:rPr>
              <w:t> </w:t>
            </w:r>
            <w:r>
              <w:rPr>
                <w:b/>
                <w:color w:val="231F20"/>
                <w:w w:val="105"/>
                <w:sz w:val="15"/>
              </w:rPr>
              <w:t>AT</w:t>
            </w:r>
            <w:r>
              <w:rPr>
                <w:b/>
                <w:color w:val="231F20"/>
                <w:spacing w:val="15"/>
                <w:w w:val="105"/>
                <w:sz w:val="15"/>
              </w:rPr>
              <w:t> </w:t>
            </w:r>
            <w:r>
              <w:rPr>
                <w:b/>
                <w:color w:val="231F20"/>
                <w:w w:val="105"/>
                <w:sz w:val="15"/>
              </w:rPr>
              <w:t>FIRST</w:t>
            </w:r>
            <w:r>
              <w:rPr>
                <w:b/>
                <w:color w:val="231F20"/>
                <w:spacing w:val="15"/>
                <w:w w:val="105"/>
                <w:sz w:val="15"/>
              </w:rPr>
              <w:t> </w:t>
            </w:r>
            <w:r>
              <w:rPr>
                <w:b/>
                <w:color w:val="231F20"/>
                <w:w w:val="105"/>
                <w:sz w:val="15"/>
              </w:rPr>
              <w:t>PCV13</w:t>
            </w:r>
            <w:r>
              <w:rPr>
                <w:b/>
                <w:color w:val="231F20"/>
                <w:spacing w:val="15"/>
                <w:w w:val="105"/>
                <w:sz w:val="15"/>
              </w:rPr>
              <w:t> </w:t>
            </w:r>
            <w:r>
              <w:rPr>
                <w:b/>
                <w:color w:val="231F20"/>
                <w:w w:val="105"/>
                <w:sz w:val="15"/>
              </w:rPr>
              <w:t>DOSE</w:t>
            </w:r>
            <w:r>
              <w:rPr>
                <w:b/>
                <w:color w:val="231F20"/>
                <w:spacing w:val="15"/>
                <w:w w:val="105"/>
                <w:sz w:val="15"/>
              </w:rPr>
              <w:t> </w:t>
            </w:r>
            <w:r>
              <w:rPr>
                <w:b/>
                <w:color w:val="231F20"/>
                <w:spacing w:val="-2"/>
                <w:w w:val="105"/>
                <w:sz w:val="15"/>
              </w:rPr>
              <w:t>(mo)</w:t>
            </w:r>
            <w:r>
              <w:rPr>
                <w:b/>
                <w:color w:val="0080AC"/>
                <w:spacing w:val="-2"/>
                <w:w w:val="105"/>
                <w:sz w:val="15"/>
              </w:rPr>
              <w:t>*</w:t>
            </w:r>
          </w:p>
        </w:tc>
        <w:tc>
          <w:tcPr>
            <w:tcW w:w="2280" w:type="dxa"/>
            <w:tcBorders>
              <w:bottom w:val="single" w:sz="4" w:space="0" w:color="231F20"/>
            </w:tcBorders>
            <w:shd w:val="clear" w:color="auto" w:fill="E8F5F1"/>
          </w:tcPr>
          <w:p>
            <w:pPr>
              <w:pStyle w:val="TableParagraph"/>
              <w:spacing w:before="47"/>
              <w:ind w:left="257"/>
              <w:rPr>
                <w:b/>
                <w:sz w:val="15"/>
              </w:rPr>
            </w:pPr>
            <w:r>
              <w:rPr>
                <w:b/>
                <w:color w:val="231F20"/>
                <w:w w:val="110"/>
                <w:sz w:val="15"/>
              </w:rPr>
              <w:t>PCV12</w:t>
            </w:r>
            <w:r>
              <w:rPr>
                <w:b/>
                <w:color w:val="231F20"/>
                <w:spacing w:val="-4"/>
                <w:w w:val="110"/>
                <w:sz w:val="15"/>
              </w:rPr>
              <w:t> </w:t>
            </w:r>
            <w:r>
              <w:rPr>
                <w:b/>
                <w:color w:val="231F20"/>
                <w:w w:val="110"/>
                <w:sz w:val="15"/>
              </w:rPr>
              <w:t>PRIMARY</w:t>
            </w:r>
            <w:r>
              <w:rPr>
                <w:b/>
                <w:color w:val="231F20"/>
                <w:spacing w:val="-3"/>
                <w:w w:val="110"/>
                <w:sz w:val="15"/>
              </w:rPr>
              <w:t> </w:t>
            </w:r>
            <w:r>
              <w:rPr>
                <w:b/>
                <w:color w:val="231F20"/>
                <w:spacing w:val="-2"/>
                <w:w w:val="110"/>
                <w:sz w:val="15"/>
              </w:rPr>
              <w:t>SERIES</w:t>
            </w:r>
          </w:p>
        </w:tc>
        <w:tc>
          <w:tcPr>
            <w:tcW w:w="2465" w:type="dxa"/>
            <w:tcBorders>
              <w:bottom w:val="single" w:sz="4" w:space="0" w:color="231F20"/>
            </w:tcBorders>
            <w:shd w:val="clear" w:color="auto" w:fill="E8F5F1"/>
          </w:tcPr>
          <w:p>
            <w:pPr>
              <w:pStyle w:val="TableParagraph"/>
              <w:spacing w:before="47"/>
              <w:ind w:left="257"/>
              <w:rPr>
                <w:b/>
                <w:sz w:val="15"/>
              </w:rPr>
            </w:pPr>
            <w:r>
              <w:rPr>
                <w:b/>
                <w:color w:val="231F20"/>
                <w:w w:val="110"/>
                <w:sz w:val="15"/>
              </w:rPr>
              <w:t>PCV13</w:t>
            </w:r>
            <w:r>
              <w:rPr>
                <w:b/>
                <w:color w:val="231F20"/>
                <w:spacing w:val="-3"/>
                <w:w w:val="110"/>
                <w:sz w:val="15"/>
              </w:rPr>
              <w:t> </w:t>
            </w:r>
            <w:r>
              <w:rPr>
                <w:b/>
                <w:color w:val="231F20"/>
                <w:w w:val="110"/>
                <w:sz w:val="15"/>
              </w:rPr>
              <w:t>ADDITIONAL</w:t>
            </w:r>
            <w:r>
              <w:rPr>
                <w:b/>
                <w:color w:val="231F20"/>
                <w:spacing w:val="-2"/>
                <w:w w:val="110"/>
                <w:sz w:val="15"/>
              </w:rPr>
              <w:t> </w:t>
            </w:r>
            <w:r>
              <w:rPr>
                <w:b/>
                <w:color w:val="231F20"/>
                <w:spacing w:val="-4"/>
                <w:w w:val="110"/>
                <w:sz w:val="15"/>
              </w:rPr>
              <w:t>DOSE</w:t>
            </w:r>
          </w:p>
        </w:tc>
        <w:tc>
          <w:tcPr>
            <w:tcW w:w="2199" w:type="dxa"/>
            <w:tcBorders>
              <w:bottom w:val="single" w:sz="4" w:space="0" w:color="231F20"/>
            </w:tcBorders>
            <w:shd w:val="clear" w:color="auto" w:fill="E8F5F1"/>
          </w:tcPr>
          <w:p>
            <w:pPr>
              <w:pStyle w:val="TableParagraph"/>
              <w:spacing w:before="47"/>
              <w:ind w:left="256"/>
              <w:rPr>
                <w:b/>
                <w:sz w:val="15"/>
              </w:rPr>
            </w:pPr>
            <w:r>
              <w:rPr>
                <w:b/>
                <w:color w:val="231F20"/>
                <w:w w:val="105"/>
                <w:sz w:val="15"/>
              </w:rPr>
              <w:t>PPV23</w:t>
            </w:r>
            <w:r>
              <w:rPr>
                <w:b/>
                <w:color w:val="231F20"/>
                <w:spacing w:val="2"/>
                <w:w w:val="110"/>
                <w:sz w:val="15"/>
              </w:rPr>
              <w:t> </w:t>
            </w:r>
            <w:r>
              <w:rPr>
                <w:b/>
                <w:color w:val="231F20"/>
                <w:spacing w:val="-4"/>
                <w:w w:val="110"/>
                <w:sz w:val="15"/>
              </w:rPr>
              <w:t>DOSE</w:t>
            </w:r>
          </w:p>
        </w:tc>
      </w:tr>
      <w:tr>
        <w:trPr>
          <w:trHeight w:val="259" w:hRule="atLeast"/>
        </w:trPr>
        <w:tc>
          <w:tcPr>
            <w:tcW w:w="2798"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4"/>
                <w:sz w:val="15"/>
              </w:rPr>
              <w:t>2-</w:t>
            </w:r>
            <w:r>
              <w:rPr>
                <w:color w:val="231F20"/>
                <w:spacing w:val="-10"/>
                <w:sz w:val="15"/>
              </w:rPr>
              <w:t>6</w:t>
            </w:r>
          </w:p>
        </w:tc>
        <w:tc>
          <w:tcPr>
            <w:tcW w:w="2280" w:type="dxa"/>
            <w:tcBorders>
              <w:top w:val="single" w:sz="4" w:space="0" w:color="231F20"/>
              <w:bottom w:val="single" w:sz="4" w:space="0" w:color="FFFFFF"/>
            </w:tcBorders>
            <w:shd w:val="clear" w:color="auto" w:fill="E8F5F1"/>
          </w:tcPr>
          <w:p>
            <w:pPr>
              <w:pStyle w:val="TableParagraph"/>
              <w:spacing w:before="47"/>
              <w:ind w:left="257"/>
              <w:rPr>
                <w:sz w:val="15"/>
              </w:rPr>
            </w:pPr>
            <w:r>
              <w:rPr>
                <w:color w:val="231F20"/>
                <w:sz w:val="15"/>
              </w:rPr>
              <w:t>3</w:t>
            </w:r>
            <w:r>
              <w:rPr>
                <w:color w:val="231F20"/>
                <w:spacing w:val="3"/>
                <w:sz w:val="15"/>
              </w:rPr>
              <w:t> </w:t>
            </w:r>
            <w:r>
              <w:rPr>
                <w:color w:val="231F20"/>
                <w:sz w:val="15"/>
              </w:rPr>
              <w:t>doses,</w:t>
            </w:r>
            <w:r>
              <w:rPr>
                <w:color w:val="231F20"/>
                <w:spacing w:val="4"/>
                <w:sz w:val="15"/>
              </w:rPr>
              <w:t> </w:t>
            </w:r>
            <w:r>
              <w:rPr>
                <w:color w:val="231F20"/>
                <w:sz w:val="15"/>
              </w:rPr>
              <w:t>2</w:t>
            </w:r>
            <w:r>
              <w:rPr>
                <w:color w:val="231F20"/>
                <w:spacing w:val="4"/>
                <w:sz w:val="15"/>
              </w:rPr>
              <w:t> </w:t>
            </w:r>
            <w:r>
              <w:rPr>
                <w:color w:val="231F20"/>
                <w:sz w:val="15"/>
              </w:rPr>
              <w:t>mo</w:t>
            </w:r>
            <w:r>
              <w:rPr>
                <w:color w:val="231F20"/>
                <w:spacing w:val="4"/>
                <w:sz w:val="15"/>
              </w:rPr>
              <w:t> </w:t>
            </w:r>
            <w:r>
              <w:rPr>
                <w:color w:val="231F20"/>
                <w:spacing w:val="-2"/>
                <w:sz w:val="15"/>
              </w:rPr>
              <w:t>apart</w:t>
            </w:r>
            <w:r>
              <w:rPr>
                <w:color w:val="0080AC"/>
                <w:spacing w:val="-2"/>
                <w:sz w:val="15"/>
                <w:vertAlign w:val="superscript"/>
              </w:rPr>
              <w:t>†</w:t>
            </w:r>
          </w:p>
        </w:tc>
        <w:tc>
          <w:tcPr>
            <w:tcW w:w="2465" w:type="dxa"/>
            <w:tcBorders>
              <w:top w:val="single" w:sz="4" w:space="0" w:color="231F20"/>
              <w:bottom w:val="single" w:sz="4" w:space="0" w:color="FFFFFF"/>
            </w:tcBorders>
            <w:shd w:val="clear" w:color="auto" w:fill="E8F5F1"/>
          </w:tcPr>
          <w:p>
            <w:pPr>
              <w:pStyle w:val="TableParagraph"/>
              <w:spacing w:before="47"/>
              <w:ind w:left="256"/>
              <w:rPr>
                <w:sz w:val="15"/>
              </w:rPr>
            </w:pPr>
            <w:r>
              <w:rPr>
                <w:color w:val="231F20"/>
                <w:w w:val="105"/>
                <w:sz w:val="15"/>
              </w:rPr>
              <w:t>1</w:t>
            </w:r>
            <w:r>
              <w:rPr>
                <w:color w:val="231F20"/>
                <w:spacing w:val="-12"/>
                <w:w w:val="105"/>
                <w:sz w:val="15"/>
              </w:rPr>
              <w:t> </w:t>
            </w:r>
            <w:r>
              <w:rPr>
                <w:color w:val="231F20"/>
                <w:w w:val="105"/>
                <w:sz w:val="15"/>
              </w:rPr>
              <w:t>dose</w:t>
            </w:r>
            <w:r>
              <w:rPr>
                <w:color w:val="231F20"/>
                <w:spacing w:val="-12"/>
                <w:w w:val="105"/>
                <w:sz w:val="15"/>
              </w:rPr>
              <w:t> </w:t>
            </w:r>
            <w:r>
              <w:rPr>
                <w:color w:val="231F20"/>
                <w:w w:val="105"/>
                <w:sz w:val="15"/>
              </w:rPr>
              <w:t>at</w:t>
            </w:r>
            <w:r>
              <w:rPr>
                <w:color w:val="231F20"/>
                <w:spacing w:val="-11"/>
                <w:w w:val="105"/>
                <w:sz w:val="15"/>
              </w:rPr>
              <w:t> </w:t>
            </w:r>
            <w:r>
              <w:rPr>
                <w:color w:val="231F20"/>
                <w:w w:val="105"/>
                <w:sz w:val="15"/>
              </w:rPr>
              <w:t>12-15</w:t>
            </w:r>
            <w:r>
              <w:rPr>
                <w:color w:val="231F20"/>
                <w:spacing w:val="-12"/>
                <w:w w:val="105"/>
                <w:sz w:val="15"/>
              </w:rPr>
              <w:t> </w:t>
            </w:r>
            <w:r>
              <w:rPr>
                <w:color w:val="231F20"/>
                <w:w w:val="105"/>
                <w:sz w:val="15"/>
              </w:rPr>
              <w:t>mo</w:t>
            </w:r>
            <w:r>
              <w:rPr>
                <w:color w:val="231F20"/>
                <w:spacing w:val="-12"/>
                <w:w w:val="105"/>
                <w:sz w:val="15"/>
              </w:rPr>
              <w:t> </w:t>
            </w:r>
            <w:r>
              <w:rPr>
                <w:color w:val="231F20"/>
                <w:w w:val="105"/>
                <w:sz w:val="15"/>
              </w:rPr>
              <w:t>of</w:t>
            </w:r>
            <w:r>
              <w:rPr>
                <w:color w:val="231F20"/>
                <w:spacing w:val="-11"/>
                <w:w w:val="105"/>
                <w:sz w:val="15"/>
              </w:rPr>
              <w:t> </w:t>
            </w:r>
            <w:r>
              <w:rPr>
                <w:color w:val="231F20"/>
                <w:spacing w:val="-4"/>
                <w:w w:val="105"/>
                <w:sz w:val="15"/>
              </w:rPr>
              <w:t>age</w:t>
            </w:r>
            <w:r>
              <w:rPr>
                <w:color w:val="0080AC"/>
                <w:spacing w:val="-4"/>
                <w:w w:val="105"/>
                <w:sz w:val="15"/>
                <w:vertAlign w:val="superscript"/>
              </w:rPr>
              <w:t>‡</w:t>
            </w:r>
          </w:p>
        </w:tc>
        <w:tc>
          <w:tcPr>
            <w:tcW w:w="2199" w:type="dxa"/>
            <w:tcBorders>
              <w:top w:val="single" w:sz="4" w:space="0" w:color="231F20"/>
              <w:bottom w:val="single" w:sz="4" w:space="0" w:color="FFFFFF"/>
            </w:tcBorders>
            <w:shd w:val="clear" w:color="auto" w:fill="E8F5F1"/>
          </w:tcPr>
          <w:p>
            <w:pPr>
              <w:pStyle w:val="TableParagraph"/>
              <w:spacing w:before="47"/>
              <w:ind w:left="256"/>
              <w:rPr>
                <w:sz w:val="15"/>
              </w:rPr>
            </w:pPr>
            <w:r>
              <w:rPr>
                <w:color w:val="231F20"/>
                <w:sz w:val="15"/>
              </w:rPr>
              <w:t>Indicated</w:t>
            </w:r>
            <w:r>
              <w:rPr>
                <w:color w:val="231F20"/>
                <w:spacing w:val="-3"/>
                <w:sz w:val="15"/>
              </w:rPr>
              <w:t> </w:t>
            </w:r>
            <w:r>
              <w:rPr>
                <w:color w:val="231F20"/>
                <w:sz w:val="15"/>
              </w:rPr>
              <w:t>at</w:t>
            </w:r>
            <w:r>
              <w:rPr>
                <w:color w:val="231F20"/>
                <w:spacing w:val="-2"/>
                <w:sz w:val="15"/>
              </w:rPr>
              <w:t> </w:t>
            </w:r>
            <w:r>
              <w:rPr>
                <w:rFonts w:ascii="Cambria" w:hAnsi="Cambria"/>
                <w:color w:val="231F20"/>
                <w:sz w:val="15"/>
              </w:rPr>
              <w:t>≥</w:t>
            </w:r>
            <w:r>
              <w:rPr>
                <w:color w:val="231F20"/>
                <w:sz w:val="15"/>
              </w:rPr>
              <w:t>24</w:t>
            </w:r>
            <w:r>
              <w:rPr>
                <w:color w:val="231F20"/>
                <w:spacing w:val="-3"/>
                <w:sz w:val="15"/>
              </w:rPr>
              <w:t> </w:t>
            </w:r>
            <w:r>
              <w:rPr>
                <w:color w:val="231F20"/>
                <w:sz w:val="15"/>
              </w:rPr>
              <w:t>mo</w:t>
            </w:r>
            <w:r>
              <w:rPr>
                <w:color w:val="231F20"/>
                <w:spacing w:val="-2"/>
                <w:sz w:val="15"/>
              </w:rPr>
              <w:t> </w:t>
            </w:r>
            <w:r>
              <w:rPr>
                <w:color w:val="231F20"/>
                <w:sz w:val="15"/>
              </w:rPr>
              <w:t>of</w:t>
            </w:r>
            <w:r>
              <w:rPr>
                <w:color w:val="231F20"/>
                <w:spacing w:val="-3"/>
                <w:sz w:val="15"/>
              </w:rPr>
              <w:t> </w:t>
            </w:r>
            <w:r>
              <w:rPr>
                <w:color w:val="231F20"/>
                <w:spacing w:val="-4"/>
                <w:sz w:val="15"/>
              </w:rPr>
              <w:t>age</w:t>
            </w:r>
            <w:r>
              <w:rPr>
                <w:color w:val="0080AC"/>
                <w:spacing w:val="-4"/>
                <w:sz w:val="15"/>
                <w:vertAlign w:val="superscript"/>
              </w:rPr>
              <w:t>§</w:t>
            </w:r>
          </w:p>
        </w:tc>
      </w:tr>
      <w:tr>
        <w:trPr>
          <w:trHeight w:val="254" w:hRule="atLeast"/>
        </w:trPr>
        <w:tc>
          <w:tcPr>
            <w:tcW w:w="279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7-</w:t>
            </w:r>
            <w:r>
              <w:rPr>
                <w:color w:val="231F20"/>
                <w:spacing w:val="-5"/>
                <w:sz w:val="15"/>
              </w:rPr>
              <w:t>11</w:t>
            </w:r>
          </w:p>
        </w:tc>
        <w:tc>
          <w:tcPr>
            <w:tcW w:w="2280" w:type="dxa"/>
            <w:tcBorders>
              <w:top w:val="single" w:sz="4" w:space="0" w:color="FFFFFF"/>
              <w:bottom w:val="single" w:sz="4" w:space="0" w:color="FFFFFF"/>
            </w:tcBorders>
            <w:shd w:val="clear" w:color="auto" w:fill="E8F5F1"/>
          </w:tcPr>
          <w:p>
            <w:pPr>
              <w:pStyle w:val="TableParagraph"/>
              <w:spacing w:before="42"/>
              <w:ind w:left="257"/>
              <w:rPr>
                <w:sz w:val="15"/>
              </w:rPr>
            </w:pPr>
            <w:r>
              <w:rPr>
                <w:color w:val="231F20"/>
                <w:sz w:val="15"/>
              </w:rPr>
              <w:t>2</w:t>
            </w:r>
            <w:r>
              <w:rPr>
                <w:color w:val="231F20"/>
                <w:spacing w:val="3"/>
                <w:sz w:val="15"/>
              </w:rPr>
              <w:t> </w:t>
            </w:r>
            <w:r>
              <w:rPr>
                <w:color w:val="231F20"/>
                <w:sz w:val="15"/>
              </w:rPr>
              <w:t>doses,</w:t>
            </w:r>
            <w:r>
              <w:rPr>
                <w:color w:val="231F20"/>
                <w:spacing w:val="4"/>
                <w:sz w:val="15"/>
              </w:rPr>
              <w:t> </w:t>
            </w:r>
            <w:r>
              <w:rPr>
                <w:color w:val="231F20"/>
                <w:sz w:val="15"/>
              </w:rPr>
              <w:t>2</w:t>
            </w:r>
            <w:r>
              <w:rPr>
                <w:color w:val="231F20"/>
                <w:spacing w:val="4"/>
                <w:sz w:val="15"/>
              </w:rPr>
              <w:t> </w:t>
            </w:r>
            <w:r>
              <w:rPr>
                <w:color w:val="231F20"/>
                <w:sz w:val="15"/>
              </w:rPr>
              <w:t>mo</w:t>
            </w:r>
            <w:r>
              <w:rPr>
                <w:color w:val="231F20"/>
                <w:spacing w:val="4"/>
                <w:sz w:val="15"/>
              </w:rPr>
              <w:t> </w:t>
            </w:r>
            <w:r>
              <w:rPr>
                <w:color w:val="231F20"/>
                <w:spacing w:val="-2"/>
                <w:sz w:val="15"/>
              </w:rPr>
              <w:t>apart</w:t>
            </w:r>
            <w:r>
              <w:rPr>
                <w:color w:val="0080AC"/>
                <w:spacing w:val="-2"/>
                <w:sz w:val="15"/>
                <w:vertAlign w:val="superscript"/>
              </w:rPr>
              <w:t>†</w:t>
            </w:r>
          </w:p>
        </w:tc>
        <w:tc>
          <w:tcPr>
            <w:tcW w:w="246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w w:val="105"/>
                <w:sz w:val="15"/>
              </w:rPr>
              <w:t>1</w:t>
            </w:r>
            <w:r>
              <w:rPr>
                <w:color w:val="231F20"/>
                <w:spacing w:val="-12"/>
                <w:w w:val="105"/>
                <w:sz w:val="15"/>
              </w:rPr>
              <w:t> </w:t>
            </w:r>
            <w:r>
              <w:rPr>
                <w:color w:val="231F20"/>
                <w:w w:val="105"/>
                <w:sz w:val="15"/>
              </w:rPr>
              <w:t>dose</w:t>
            </w:r>
            <w:r>
              <w:rPr>
                <w:color w:val="231F20"/>
                <w:spacing w:val="-12"/>
                <w:w w:val="105"/>
                <w:sz w:val="15"/>
              </w:rPr>
              <w:t> </w:t>
            </w:r>
            <w:r>
              <w:rPr>
                <w:color w:val="231F20"/>
                <w:w w:val="105"/>
                <w:sz w:val="15"/>
              </w:rPr>
              <w:t>at</w:t>
            </w:r>
            <w:r>
              <w:rPr>
                <w:color w:val="231F20"/>
                <w:spacing w:val="-11"/>
                <w:w w:val="105"/>
                <w:sz w:val="15"/>
              </w:rPr>
              <w:t> </w:t>
            </w:r>
            <w:r>
              <w:rPr>
                <w:color w:val="231F20"/>
                <w:w w:val="105"/>
                <w:sz w:val="15"/>
              </w:rPr>
              <w:t>12-15</w:t>
            </w:r>
            <w:r>
              <w:rPr>
                <w:color w:val="231F20"/>
                <w:spacing w:val="-12"/>
                <w:w w:val="105"/>
                <w:sz w:val="15"/>
              </w:rPr>
              <w:t> </w:t>
            </w:r>
            <w:r>
              <w:rPr>
                <w:color w:val="231F20"/>
                <w:w w:val="105"/>
                <w:sz w:val="15"/>
              </w:rPr>
              <w:t>mo</w:t>
            </w:r>
            <w:r>
              <w:rPr>
                <w:color w:val="231F20"/>
                <w:spacing w:val="-12"/>
                <w:w w:val="105"/>
                <w:sz w:val="15"/>
              </w:rPr>
              <w:t> </w:t>
            </w:r>
            <w:r>
              <w:rPr>
                <w:color w:val="231F20"/>
                <w:w w:val="105"/>
                <w:sz w:val="15"/>
              </w:rPr>
              <w:t>of</w:t>
            </w:r>
            <w:r>
              <w:rPr>
                <w:color w:val="231F20"/>
                <w:spacing w:val="-11"/>
                <w:w w:val="105"/>
                <w:sz w:val="15"/>
              </w:rPr>
              <w:t> </w:t>
            </w:r>
            <w:r>
              <w:rPr>
                <w:color w:val="231F20"/>
                <w:spacing w:val="-4"/>
                <w:w w:val="105"/>
                <w:sz w:val="15"/>
              </w:rPr>
              <w:t>age</w:t>
            </w:r>
            <w:r>
              <w:rPr>
                <w:color w:val="0080AC"/>
                <w:spacing w:val="-4"/>
                <w:w w:val="105"/>
                <w:sz w:val="15"/>
                <w:vertAlign w:val="superscript"/>
              </w:rPr>
              <w:t>‡</w:t>
            </w:r>
          </w:p>
        </w:tc>
        <w:tc>
          <w:tcPr>
            <w:tcW w:w="2199" w:type="dxa"/>
            <w:tcBorders>
              <w:top w:val="single" w:sz="4" w:space="0" w:color="FFFFFF"/>
              <w:bottom w:val="single" w:sz="4" w:space="0" w:color="FFFFFF"/>
            </w:tcBorders>
            <w:shd w:val="clear" w:color="auto" w:fill="E8F5F1"/>
          </w:tcPr>
          <w:p>
            <w:pPr>
              <w:pStyle w:val="TableParagraph"/>
              <w:spacing w:before="43"/>
              <w:ind w:left="256"/>
              <w:rPr>
                <w:sz w:val="15"/>
              </w:rPr>
            </w:pPr>
            <w:r>
              <w:rPr>
                <w:color w:val="231F20"/>
                <w:sz w:val="15"/>
              </w:rPr>
              <w:t>Indicated</w:t>
            </w:r>
            <w:r>
              <w:rPr>
                <w:color w:val="231F20"/>
                <w:spacing w:val="-3"/>
                <w:sz w:val="15"/>
              </w:rPr>
              <w:t> </w:t>
            </w:r>
            <w:r>
              <w:rPr>
                <w:color w:val="231F20"/>
                <w:sz w:val="15"/>
              </w:rPr>
              <w:t>at</w:t>
            </w:r>
            <w:r>
              <w:rPr>
                <w:color w:val="231F20"/>
                <w:spacing w:val="-2"/>
                <w:sz w:val="15"/>
              </w:rPr>
              <w:t> </w:t>
            </w:r>
            <w:r>
              <w:rPr>
                <w:rFonts w:ascii="Cambria" w:hAnsi="Cambria"/>
                <w:color w:val="231F20"/>
                <w:sz w:val="15"/>
              </w:rPr>
              <w:t>≥</w:t>
            </w:r>
            <w:r>
              <w:rPr>
                <w:color w:val="231F20"/>
                <w:sz w:val="15"/>
              </w:rPr>
              <w:t>24</w:t>
            </w:r>
            <w:r>
              <w:rPr>
                <w:color w:val="231F20"/>
                <w:spacing w:val="-3"/>
                <w:sz w:val="15"/>
              </w:rPr>
              <w:t> </w:t>
            </w:r>
            <w:r>
              <w:rPr>
                <w:color w:val="231F20"/>
                <w:sz w:val="15"/>
              </w:rPr>
              <w:t>mo</w:t>
            </w:r>
            <w:r>
              <w:rPr>
                <w:color w:val="231F20"/>
                <w:spacing w:val="-2"/>
                <w:sz w:val="15"/>
              </w:rPr>
              <w:t> </w:t>
            </w:r>
            <w:r>
              <w:rPr>
                <w:color w:val="231F20"/>
                <w:sz w:val="15"/>
              </w:rPr>
              <w:t>of</w:t>
            </w:r>
            <w:r>
              <w:rPr>
                <w:color w:val="231F20"/>
                <w:spacing w:val="-3"/>
                <w:sz w:val="15"/>
              </w:rPr>
              <w:t> </w:t>
            </w:r>
            <w:r>
              <w:rPr>
                <w:color w:val="231F20"/>
                <w:spacing w:val="-4"/>
                <w:sz w:val="15"/>
              </w:rPr>
              <w:t>age</w:t>
            </w:r>
            <w:r>
              <w:rPr>
                <w:color w:val="0080AC"/>
                <w:spacing w:val="-4"/>
                <w:sz w:val="15"/>
                <w:vertAlign w:val="superscript"/>
              </w:rPr>
              <w:t>§</w:t>
            </w:r>
          </w:p>
        </w:tc>
      </w:tr>
      <w:tr>
        <w:trPr>
          <w:trHeight w:val="254" w:hRule="atLeast"/>
        </w:trPr>
        <w:tc>
          <w:tcPr>
            <w:tcW w:w="279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12-</w:t>
            </w:r>
            <w:r>
              <w:rPr>
                <w:color w:val="231F20"/>
                <w:spacing w:val="-5"/>
                <w:sz w:val="15"/>
              </w:rPr>
              <w:t>23</w:t>
            </w:r>
          </w:p>
        </w:tc>
        <w:tc>
          <w:tcPr>
            <w:tcW w:w="2280" w:type="dxa"/>
            <w:tcBorders>
              <w:top w:val="single" w:sz="4" w:space="0" w:color="FFFFFF"/>
              <w:bottom w:val="single" w:sz="4" w:space="0" w:color="FFFFFF"/>
            </w:tcBorders>
            <w:shd w:val="clear" w:color="auto" w:fill="E8F5F1"/>
          </w:tcPr>
          <w:p>
            <w:pPr>
              <w:pStyle w:val="TableParagraph"/>
              <w:spacing w:before="42"/>
              <w:ind w:left="257"/>
              <w:rPr>
                <w:sz w:val="15"/>
              </w:rPr>
            </w:pPr>
            <w:r>
              <w:rPr>
                <w:color w:val="231F20"/>
                <w:sz w:val="15"/>
              </w:rPr>
              <w:t>2</w:t>
            </w:r>
            <w:r>
              <w:rPr>
                <w:color w:val="231F20"/>
                <w:spacing w:val="3"/>
                <w:sz w:val="15"/>
              </w:rPr>
              <w:t> </w:t>
            </w:r>
            <w:r>
              <w:rPr>
                <w:color w:val="231F20"/>
                <w:sz w:val="15"/>
              </w:rPr>
              <w:t>doses,</w:t>
            </w:r>
            <w:r>
              <w:rPr>
                <w:color w:val="231F20"/>
                <w:spacing w:val="4"/>
                <w:sz w:val="15"/>
              </w:rPr>
              <w:t> </w:t>
            </w:r>
            <w:r>
              <w:rPr>
                <w:color w:val="231F20"/>
                <w:sz w:val="15"/>
              </w:rPr>
              <w:t>2</w:t>
            </w:r>
            <w:r>
              <w:rPr>
                <w:color w:val="231F20"/>
                <w:spacing w:val="4"/>
                <w:sz w:val="15"/>
              </w:rPr>
              <w:t> </w:t>
            </w:r>
            <w:r>
              <w:rPr>
                <w:color w:val="231F20"/>
                <w:sz w:val="15"/>
              </w:rPr>
              <w:t>mo</w:t>
            </w:r>
            <w:r>
              <w:rPr>
                <w:color w:val="231F20"/>
                <w:spacing w:val="4"/>
                <w:sz w:val="15"/>
              </w:rPr>
              <w:t> </w:t>
            </w:r>
            <w:r>
              <w:rPr>
                <w:color w:val="231F20"/>
                <w:spacing w:val="-2"/>
                <w:sz w:val="15"/>
              </w:rPr>
              <w:t>apart</w:t>
            </w:r>
            <w:r>
              <w:rPr>
                <w:color w:val="0080AC"/>
                <w:spacing w:val="-2"/>
                <w:sz w:val="15"/>
                <w:vertAlign w:val="superscript"/>
              </w:rPr>
              <w:t>¶</w:t>
            </w:r>
          </w:p>
        </w:tc>
        <w:tc>
          <w:tcPr>
            <w:tcW w:w="246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z w:val="15"/>
              </w:rPr>
              <w:t>Not</w:t>
            </w:r>
            <w:r>
              <w:rPr>
                <w:color w:val="231F20"/>
                <w:spacing w:val="17"/>
                <w:sz w:val="15"/>
              </w:rPr>
              <w:t> </w:t>
            </w:r>
            <w:r>
              <w:rPr>
                <w:color w:val="231F20"/>
                <w:spacing w:val="-2"/>
                <w:sz w:val="15"/>
              </w:rPr>
              <w:t>indicated</w:t>
            </w:r>
          </w:p>
        </w:tc>
        <w:tc>
          <w:tcPr>
            <w:tcW w:w="2199" w:type="dxa"/>
            <w:tcBorders>
              <w:top w:val="single" w:sz="4" w:space="0" w:color="FFFFFF"/>
              <w:bottom w:val="single" w:sz="4" w:space="0" w:color="FFFFFF"/>
            </w:tcBorders>
            <w:shd w:val="clear" w:color="auto" w:fill="E8F5F1"/>
          </w:tcPr>
          <w:p>
            <w:pPr>
              <w:pStyle w:val="TableParagraph"/>
              <w:spacing w:before="43"/>
              <w:ind w:left="256"/>
              <w:rPr>
                <w:sz w:val="15"/>
              </w:rPr>
            </w:pPr>
            <w:r>
              <w:rPr>
                <w:color w:val="231F20"/>
                <w:sz w:val="15"/>
              </w:rPr>
              <w:t>Indicated</w:t>
            </w:r>
            <w:r>
              <w:rPr>
                <w:color w:val="231F20"/>
                <w:spacing w:val="-3"/>
                <w:sz w:val="15"/>
              </w:rPr>
              <w:t> </w:t>
            </w:r>
            <w:r>
              <w:rPr>
                <w:color w:val="231F20"/>
                <w:sz w:val="15"/>
              </w:rPr>
              <w:t>at</w:t>
            </w:r>
            <w:r>
              <w:rPr>
                <w:color w:val="231F20"/>
                <w:spacing w:val="-3"/>
                <w:sz w:val="15"/>
              </w:rPr>
              <w:t> </w:t>
            </w:r>
            <w:r>
              <w:rPr>
                <w:rFonts w:ascii="Cambria" w:hAnsi="Cambria"/>
                <w:color w:val="231F20"/>
                <w:sz w:val="15"/>
              </w:rPr>
              <w:t>≥</w:t>
            </w:r>
            <w:r>
              <w:rPr>
                <w:color w:val="231F20"/>
                <w:sz w:val="15"/>
              </w:rPr>
              <w:t>24</w:t>
            </w:r>
            <w:r>
              <w:rPr>
                <w:color w:val="231F20"/>
                <w:spacing w:val="-3"/>
                <w:sz w:val="15"/>
              </w:rPr>
              <w:t> </w:t>
            </w:r>
            <w:r>
              <w:rPr>
                <w:color w:val="231F20"/>
                <w:sz w:val="15"/>
              </w:rPr>
              <w:t>mo</w:t>
            </w:r>
            <w:r>
              <w:rPr>
                <w:color w:val="231F20"/>
                <w:spacing w:val="-2"/>
                <w:sz w:val="15"/>
              </w:rPr>
              <w:t> </w:t>
            </w:r>
            <w:r>
              <w:rPr>
                <w:color w:val="231F20"/>
                <w:sz w:val="15"/>
              </w:rPr>
              <w:t>of</w:t>
            </w:r>
            <w:r>
              <w:rPr>
                <w:color w:val="231F20"/>
                <w:spacing w:val="-3"/>
                <w:sz w:val="15"/>
              </w:rPr>
              <w:t> </w:t>
            </w:r>
            <w:r>
              <w:rPr>
                <w:color w:val="231F20"/>
                <w:spacing w:val="-4"/>
                <w:sz w:val="15"/>
              </w:rPr>
              <w:t>age</w:t>
            </w:r>
            <w:r>
              <w:rPr>
                <w:color w:val="0080AC"/>
                <w:spacing w:val="-4"/>
                <w:sz w:val="15"/>
                <w:vertAlign w:val="superscript"/>
              </w:rPr>
              <w:t>§</w:t>
            </w:r>
          </w:p>
        </w:tc>
      </w:tr>
      <w:tr>
        <w:trPr>
          <w:trHeight w:val="252" w:hRule="atLeast"/>
        </w:trPr>
        <w:tc>
          <w:tcPr>
            <w:tcW w:w="2798"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24-</w:t>
            </w:r>
            <w:r>
              <w:rPr>
                <w:color w:val="231F20"/>
                <w:spacing w:val="-5"/>
                <w:sz w:val="15"/>
              </w:rPr>
              <w:t>59</w:t>
            </w:r>
          </w:p>
        </w:tc>
        <w:tc>
          <w:tcPr>
            <w:tcW w:w="2280" w:type="dxa"/>
            <w:tcBorders>
              <w:top w:val="single" w:sz="4" w:space="0" w:color="FFFFFF"/>
              <w:bottom w:val="single" w:sz="4" w:space="0" w:color="FFFFFF"/>
            </w:tcBorders>
            <w:shd w:val="clear" w:color="auto" w:fill="E8F5F1"/>
          </w:tcPr>
          <w:p>
            <w:pPr>
              <w:pStyle w:val="TableParagraph"/>
              <w:spacing w:before="42"/>
              <w:ind w:left="257"/>
              <w:rPr>
                <w:sz w:val="15"/>
              </w:rPr>
            </w:pPr>
            <w:r>
              <w:rPr>
                <w:color w:val="231F20"/>
                <w:sz w:val="15"/>
              </w:rPr>
              <w:t>2</w:t>
            </w:r>
            <w:r>
              <w:rPr>
                <w:color w:val="231F20"/>
                <w:spacing w:val="3"/>
                <w:sz w:val="15"/>
              </w:rPr>
              <w:t> </w:t>
            </w:r>
            <w:r>
              <w:rPr>
                <w:color w:val="231F20"/>
                <w:sz w:val="15"/>
              </w:rPr>
              <w:t>doses,</w:t>
            </w:r>
            <w:r>
              <w:rPr>
                <w:color w:val="231F20"/>
                <w:spacing w:val="4"/>
                <w:sz w:val="15"/>
              </w:rPr>
              <w:t> </w:t>
            </w:r>
            <w:r>
              <w:rPr>
                <w:color w:val="231F20"/>
                <w:sz w:val="15"/>
              </w:rPr>
              <w:t>2</w:t>
            </w:r>
            <w:r>
              <w:rPr>
                <w:color w:val="231F20"/>
                <w:spacing w:val="4"/>
                <w:sz w:val="15"/>
              </w:rPr>
              <w:t> </w:t>
            </w:r>
            <w:r>
              <w:rPr>
                <w:color w:val="231F20"/>
                <w:sz w:val="15"/>
              </w:rPr>
              <w:t>mo</w:t>
            </w:r>
            <w:r>
              <w:rPr>
                <w:color w:val="231F20"/>
                <w:spacing w:val="4"/>
                <w:sz w:val="15"/>
              </w:rPr>
              <w:t> </w:t>
            </w:r>
            <w:r>
              <w:rPr>
                <w:color w:val="231F20"/>
                <w:spacing w:val="-2"/>
                <w:sz w:val="15"/>
              </w:rPr>
              <w:t>apart</w:t>
            </w:r>
            <w:r>
              <w:rPr>
                <w:color w:val="0080AC"/>
                <w:spacing w:val="-2"/>
                <w:sz w:val="15"/>
                <w:vertAlign w:val="superscript"/>
              </w:rPr>
              <w:t>¶</w:t>
            </w:r>
          </w:p>
        </w:tc>
        <w:tc>
          <w:tcPr>
            <w:tcW w:w="2465"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z w:val="15"/>
              </w:rPr>
              <w:t>Not</w:t>
            </w:r>
            <w:r>
              <w:rPr>
                <w:color w:val="231F20"/>
                <w:spacing w:val="17"/>
                <w:sz w:val="15"/>
              </w:rPr>
              <w:t> </w:t>
            </w:r>
            <w:r>
              <w:rPr>
                <w:color w:val="231F20"/>
                <w:spacing w:val="-2"/>
                <w:sz w:val="15"/>
              </w:rPr>
              <w:t>indicated</w:t>
            </w:r>
          </w:p>
        </w:tc>
        <w:tc>
          <w:tcPr>
            <w:tcW w:w="2199" w:type="dxa"/>
            <w:tcBorders>
              <w:top w:val="single" w:sz="4" w:space="0" w:color="FFFFFF"/>
              <w:bottom w:val="single" w:sz="4" w:space="0" w:color="FFFFFF"/>
            </w:tcBorders>
            <w:shd w:val="clear" w:color="auto" w:fill="E8F5F1"/>
          </w:tcPr>
          <w:p>
            <w:pPr>
              <w:pStyle w:val="TableParagraph"/>
              <w:spacing w:before="42"/>
              <w:ind w:left="256"/>
              <w:rPr>
                <w:sz w:val="15"/>
              </w:rPr>
            </w:pPr>
            <w:r>
              <w:rPr>
                <w:color w:val="231F20"/>
                <w:spacing w:val="-2"/>
                <w:sz w:val="15"/>
              </w:rPr>
              <w:t>Indicated</w:t>
            </w:r>
            <w:r>
              <w:rPr>
                <w:color w:val="0080AC"/>
                <w:spacing w:val="-2"/>
                <w:sz w:val="15"/>
                <w:vertAlign w:val="superscript"/>
              </w:rPr>
              <w:t>§</w:t>
            </w:r>
          </w:p>
        </w:tc>
      </w:tr>
      <w:tr>
        <w:trPr>
          <w:trHeight w:val="249" w:hRule="atLeast"/>
        </w:trPr>
        <w:tc>
          <w:tcPr>
            <w:tcW w:w="2798"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rFonts w:ascii="Cambria" w:hAnsi="Cambria"/>
                <w:color w:val="231F20"/>
                <w:spacing w:val="-5"/>
                <w:sz w:val="15"/>
              </w:rPr>
              <w:t>≥</w:t>
            </w:r>
            <w:r>
              <w:rPr>
                <w:color w:val="231F20"/>
                <w:spacing w:val="-5"/>
                <w:sz w:val="15"/>
              </w:rPr>
              <w:t>60</w:t>
            </w:r>
          </w:p>
        </w:tc>
        <w:tc>
          <w:tcPr>
            <w:tcW w:w="2280" w:type="dxa"/>
            <w:tcBorders>
              <w:top w:val="single" w:sz="4" w:space="0" w:color="FFFFFF"/>
              <w:bottom w:val="single" w:sz="8" w:space="0" w:color="231F20"/>
            </w:tcBorders>
            <w:shd w:val="clear" w:color="auto" w:fill="E8F5F1"/>
          </w:tcPr>
          <w:p>
            <w:pPr>
              <w:pStyle w:val="TableParagraph"/>
              <w:spacing w:before="42"/>
              <w:ind w:left="257"/>
              <w:rPr>
                <w:sz w:val="15"/>
              </w:rPr>
            </w:pPr>
            <w:r>
              <w:rPr>
                <w:color w:val="231F20"/>
                <w:sz w:val="15"/>
              </w:rPr>
              <w:t>Not</w:t>
            </w:r>
            <w:r>
              <w:rPr>
                <w:color w:val="231F20"/>
                <w:spacing w:val="17"/>
                <w:sz w:val="15"/>
              </w:rPr>
              <w:t> </w:t>
            </w:r>
            <w:r>
              <w:rPr>
                <w:color w:val="231F20"/>
                <w:spacing w:val="-2"/>
                <w:sz w:val="15"/>
              </w:rPr>
              <w:t>indicated</w:t>
            </w:r>
            <w:r>
              <w:rPr>
                <w:color w:val="0080AC"/>
                <w:spacing w:val="-2"/>
                <w:sz w:val="15"/>
                <w:vertAlign w:val="superscript"/>
              </w:rPr>
              <w:t>|</w:t>
            </w:r>
          </w:p>
        </w:tc>
        <w:tc>
          <w:tcPr>
            <w:tcW w:w="2465" w:type="dxa"/>
            <w:tcBorders>
              <w:top w:val="single" w:sz="4" w:space="0" w:color="FFFFFF"/>
              <w:bottom w:val="single" w:sz="8" w:space="0" w:color="231F20"/>
            </w:tcBorders>
            <w:shd w:val="clear" w:color="auto" w:fill="E8F5F1"/>
          </w:tcPr>
          <w:p>
            <w:pPr>
              <w:pStyle w:val="TableParagraph"/>
              <w:spacing w:before="42"/>
              <w:ind w:left="256"/>
              <w:rPr>
                <w:sz w:val="15"/>
              </w:rPr>
            </w:pPr>
            <w:r>
              <w:rPr>
                <w:color w:val="231F20"/>
                <w:sz w:val="15"/>
              </w:rPr>
              <w:t>Not</w:t>
            </w:r>
            <w:r>
              <w:rPr>
                <w:color w:val="231F20"/>
                <w:spacing w:val="17"/>
                <w:sz w:val="15"/>
              </w:rPr>
              <w:t> </w:t>
            </w:r>
            <w:r>
              <w:rPr>
                <w:color w:val="231F20"/>
                <w:spacing w:val="-2"/>
                <w:sz w:val="15"/>
              </w:rPr>
              <w:t>indicated</w:t>
            </w:r>
            <w:r>
              <w:rPr>
                <w:color w:val="0080AC"/>
                <w:spacing w:val="-2"/>
                <w:sz w:val="15"/>
                <w:vertAlign w:val="superscript"/>
              </w:rPr>
              <w:t>|</w:t>
            </w:r>
          </w:p>
        </w:tc>
        <w:tc>
          <w:tcPr>
            <w:tcW w:w="2199" w:type="dxa"/>
            <w:tcBorders>
              <w:top w:val="single" w:sz="4" w:space="0" w:color="FFFFFF"/>
              <w:bottom w:val="single" w:sz="8" w:space="0" w:color="231F20"/>
            </w:tcBorders>
            <w:shd w:val="clear" w:color="auto" w:fill="E8F5F1"/>
          </w:tcPr>
          <w:p>
            <w:pPr>
              <w:pStyle w:val="TableParagraph"/>
              <w:spacing w:before="42"/>
              <w:ind w:left="256"/>
              <w:rPr>
                <w:sz w:val="15"/>
              </w:rPr>
            </w:pPr>
            <w:r>
              <w:rPr>
                <w:color w:val="231F20"/>
                <w:spacing w:val="-2"/>
                <w:sz w:val="15"/>
              </w:rPr>
              <w:t>Indicated</w:t>
            </w:r>
          </w:p>
        </w:tc>
      </w:tr>
    </w:tbl>
    <w:p>
      <w:pPr>
        <w:pStyle w:val="BodyText"/>
        <w:spacing w:before="78"/>
        <w:ind w:left="91" w:right="862"/>
      </w:pPr>
      <w:r>
        <w:rPr>
          <w:color w:val="231F20"/>
        </w:rPr>
        <w:t>*A</w:t>
      </w:r>
      <w:r>
        <w:rPr>
          <w:color w:val="231F20"/>
          <w:spacing w:val="-3"/>
        </w:rPr>
        <w:t> </w:t>
      </w:r>
      <w:r>
        <w:rPr>
          <w:color w:val="231F20"/>
        </w:rPr>
        <w:t>schedule</w:t>
      </w:r>
      <w:r>
        <w:rPr>
          <w:color w:val="231F20"/>
          <w:spacing w:val="-3"/>
        </w:rPr>
        <w:t> </w:t>
      </w:r>
      <w:r>
        <w:rPr>
          <w:color w:val="231F20"/>
        </w:rPr>
        <w:t>with</w:t>
      </w:r>
      <w:r>
        <w:rPr>
          <w:color w:val="231F20"/>
          <w:spacing w:val="-3"/>
        </w:rPr>
        <w:t> </w:t>
      </w:r>
      <w:r>
        <w:rPr>
          <w:color w:val="231F20"/>
        </w:rPr>
        <w:t>a</w:t>
      </w:r>
      <w:r>
        <w:rPr>
          <w:color w:val="231F20"/>
          <w:spacing w:val="-3"/>
        </w:rPr>
        <w:t> </w:t>
      </w:r>
      <w:r>
        <w:rPr>
          <w:color w:val="231F20"/>
        </w:rPr>
        <w:t>reduced</w:t>
      </w:r>
      <w:r>
        <w:rPr>
          <w:color w:val="231F20"/>
          <w:spacing w:val="-3"/>
        </w:rPr>
        <w:t> </w:t>
      </w:r>
      <w:r>
        <w:rPr>
          <w:color w:val="231F20"/>
        </w:rPr>
        <w:t>number</w:t>
      </w:r>
      <w:r>
        <w:rPr>
          <w:color w:val="231F20"/>
          <w:spacing w:val="-3"/>
        </w:rPr>
        <w:t> </w:t>
      </w:r>
      <w:r>
        <w:rPr>
          <w:color w:val="231F20"/>
        </w:rPr>
        <w:t>of</w:t>
      </w:r>
      <w:r>
        <w:rPr>
          <w:color w:val="231F20"/>
          <w:spacing w:val="-3"/>
        </w:rPr>
        <w:t> </w:t>
      </w:r>
      <w:r>
        <w:rPr>
          <w:color w:val="231F20"/>
        </w:rPr>
        <w:t>total</w:t>
      </w:r>
      <w:r>
        <w:rPr>
          <w:color w:val="231F20"/>
          <w:spacing w:val="-3"/>
        </w:rPr>
        <w:t> </w:t>
      </w:r>
      <w:r>
        <w:rPr>
          <w:color w:val="231F20"/>
        </w:rPr>
        <w:t>13-valent</w:t>
      </w:r>
      <w:r>
        <w:rPr>
          <w:color w:val="231F20"/>
          <w:spacing w:val="-3"/>
        </w:rPr>
        <w:t> </w:t>
      </w:r>
      <w:r>
        <w:rPr>
          <w:color w:val="231F20"/>
        </w:rPr>
        <w:t>pneumococcal</w:t>
      </w:r>
      <w:r>
        <w:rPr>
          <w:color w:val="231F20"/>
          <w:spacing w:val="-3"/>
        </w:rPr>
        <w:t> </w:t>
      </w:r>
      <w:r>
        <w:rPr>
          <w:color w:val="231F20"/>
        </w:rPr>
        <w:t>conjugate</w:t>
      </w:r>
      <w:r>
        <w:rPr>
          <w:color w:val="231F20"/>
          <w:spacing w:val="-3"/>
        </w:rPr>
        <w:t> </w:t>
      </w:r>
      <w:r>
        <w:rPr>
          <w:color w:val="231F20"/>
        </w:rPr>
        <w:t>vaccine</w:t>
      </w:r>
      <w:r>
        <w:rPr>
          <w:color w:val="231F20"/>
          <w:spacing w:val="-3"/>
        </w:rPr>
        <w:t> </w:t>
      </w:r>
      <w:r>
        <w:rPr>
          <w:color w:val="231F20"/>
        </w:rPr>
        <w:t>(PCV13)</w:t>
      </w:r>
      <w:r>
        <w:rPr>
          <w:color w:val="231F20"/>
          <w:spacing w:val="-3"/>
        </w:rPr>
        <w:t> </w:t>
      </w:r>
      <w:r>
        <w:rPr>
          <w:color w:val="231F20"/>
        </w:rPr>
        <w:t>doses</w:t>
      </w:r>
      <w:r>
        <w:rPr>
          <w:color w:val="231F20"/>
          <w:spacing w:val="-3"/>
        </w:rPr>
        <w:t> </w:t>
      </w:r>
      <w:r>
        <w:rPr>
          <w:color w:val="231F20"/>
        </w:rPr>
        <w:t>is</w:t>
      </w:r>
      <w:r>
        <w:rPr>
          <w:color w:val="231F20"/>
          <w:spacing w:val="-3"/>
        </w:rPr>
        <w:t> </w:t>
      </w:r>
      <w:r>
        <w:rPr>
          <w:color w:val="231F20"/>
        </w:rPr>
        <w:t>indicated</w:t>
      </w:r>
      <w:r>
        <w:rPr>
          <w:color w:val="231F20"/>
          <w:spacing w:val="-3"/>
        </w:rPr>
        <w:t> </w:t>
      </w:r>
      <w:r>
        <w:rPr>
          <w:color w:val="231F20"/>
        </w:rPr>
        <w:t>if</w:t>
      </w:r>
      <w:r>
        <w:rPr>
          <w:color w:val="231F20"/>
          <w:spacing w:val="-3"/>
        </w:rPr>
        <w:t> </w:t>
      </w:r>
      <w:r>
        <w:rPr>
          <w:color w:val="231F20"/>
        </w:rPr>
        <w:t>children</w:t>
      </w:r>
      <w:r>
        <w:rPr>
          <w:color w:val="231F20"/>
          <w:spacing w:val="-3"/>
        </w:rPr>
        <w:t> </w:t>
      </w:r>
      <w:r>
        <w:rPr>
          <w:color w:val="231F20"/>
        </w:rPr>
        <w:t>start</w:t>
      </w:r>
      <w:r>
        <w:rPr>
          <w:color w:val="231F20"/>
          <w:spacing w:val="-3"/>
        </w:rPr>
        <w:t> </w:t>
      </w:r>
      <w:r>
        <w:rPr>
          <w:color w:val="231F20"/>
        </w:rPr>
        <w:t>late</w:t>
      </w:r>
      <w:r>
        <w:rPr>
          <w:color w:val="231F20"/>
          <w:spacing w:val="-3"/>
        </w:rPr>
        <w:t> </w:t>
      </w:r>
      <w:r>
        <w:rPr>
          <w:color w:val="231F20"/>
        </w:rPr>
        <w:t>or</w:t>
      </w:r>
      <w:r>
        <w:rPr>
          <w:color w:val="231F20"/>
          <w:spacing w:val="-3"/>
        </w:rPr>
        <w:t> </w:t>
      </w:r>
      <w:r>
        <w:rPr>
          <w:color w:val="231F20"/>
        </w:rPr>
        <w:t>are</w:t>
      </w:r>
      <w:r>
        <w:rPr>
          <w:color w:val="231F20"/>
          <w:spacing w:val="-3"/>
        </w:rPr>
        <w:t> </w:t>
      </w:r>
      <w:r>
        <w:rPr>
          <w:color w:val="231F20"/>
        </w:rPr>
        <w:t>incompletely</w:t>
      </w:r>
      <w:r>
        <w:rPr>
          <w:color w:val="231F20"/>
          <w:spacing w:val="40"/>
        </w:rPr>
        <w:t> </w:t>
      </w:r>
      <w:r>
        <w:rPr>
          <w:color w:val="231F20"/>
        </w:rPr>
        <w:t>vaccinated. Children with a lapse in vaccination should be vaccinated according to the catch-up schedule (see Chapter 182).</w:t>
      </w:r>
    </w:p>
    <w:p>
      <w:pPr>
        <w:pStyle w:val="BodyText"/>
        <w:spacing w:line="147" w:lineRule="exact"/>
        <w:ind w:left="222"/>
      </w:pPr>
      <w:r>
        <w:rPr>
          <w:color w:val="231F20"/>
          <w:vertAlign w:val="superscript"/>
        </w:rPr>
        <w:t>†</w:t>
      </w:r>
      <w:r>
        <w:rPr>
          <w:color w:val="231F20"/>
          <w:vertAlign w:val="baseline"/>
        </w:rPr>
        <w:t>For</w:t>
      </w:r>
      <w:r>
        <w:rPr>
          <w:color w:val="231F20"/>
          <w:spacing w:val="-2"/>
          <w:vertAlign w:val="baseline"/>
        </w:rPr>
        <w:t> </w:t>
      </w:r>
      <w:r>
        <w:rPr>
          <w:color w:val="231F20"/>
          <w:vertAlign w:val="baseline"/>
        </w:rPr>
        <w:t>children</w:t>
      </w:r>
      <w:r>
        <w:rPr>
          <w:color w:val="231F20"/>
          <w:spacing w:val="-2"/>
          <w:vertAlign w:val="baseline"/>
        </w:rPr>
        <w:t> </w:t>
      </w:r>
      <w:r>
        <w:rPr>
          <w:color w:val="231F20"/>
          <w:vertAlign w:val="baseline"/>
        </w:rPr>
        <w:t>vaccinated</w:t>
      </w:r>
      <w:r>
        <w:rPr>
          <w:color w:val="231F20"/>
          <w:spacing w:val="-2"/>
          <w:vertAlign w:val="baseline"/>
        </w:rPr>
        <w:t> </w:t>
      </w:r>
      <w:r>
        <w:rPr>
          <w:color w:val="231F20"/>
          <w:vertAlign w:val="baseline"/>
        </w:rPr>
        <w:t>at</w:t>
      </w:r>
      <w:r>
        <w:rPr>
          <w:color w:val="231F20"/>
          <w:spacing w:val="-2"/>
          <w:vertAlign w:val="baseline"/>
        </w:rPr>
        <w:t> </w:t>
      </w:r>
      <w:r>
        <w:rPr>
          <w:color w:val="231F20"/>
          <w:vertAlign w:val="baseline"/>
        </w:rPr>
        <w:t>younger</w:t>
      </w:r>
      <w:r>
        <w:rPr>
          <w:color w:val="231F20"/>
          <w:spacing w:val="-2"/>
          <w:vertAlign w:val="baseline"/>
        </w:rPr>
        <w:t> </w:t>
      </w:r>
      <w:r>
        <w:rPr>
          <w:color w:val="231F20"/>
          <w:vertAlign w:val="baseline"/>
        </w:rPr>
        <w:t>than</w:t>
      </w:r>
      <w:r>
        <w:rPr>
          <w:color w:val="231F20"/>
          <w:spacing w:val="-2"/>
          <w:vertAlign w:val="baseline"/>
        </w:rPr>
        <w:t> </w:t>
      </w:r>
      <w:r>
        <w:rPr>
          <w:color w:val="231F20"/>
          <w:vertAlign w:val="baseline"/>
        </w:rPr>
        <w:t>age</w:t>
      </w:r>
      <w:r>
        <w:rPr>
          <w:color w:val="231F20"/>
          <w:spacing w:val="-2"/>
          <w:vertAlign w:val="baseline"/>
        </w:rPr>
        <w:t> </w:t>
      </w:r>
      <w:r>
        <w:rPr>
          <w:color w:val="231F20"/>
          <w:vertAlign w:val="baseline"/>
        </w:rPr>
        <w:t>1</w:t>
      </w:r>
      <w:r>
        <w:rPr>
          <w:color w:val="231F20"/>
          <w:spacing w:val="-2"/>
          <w:vertAlign w:val="baseline"/>
        </w:rPr>
        <w:t> </w:t>
      </w:r>
      <w:r>
        <w:rPr>
          <w:color w:val="231F20"/>
          <w:vertAlign w:val="baseline"/>
        </w:rPr>
        <w:t>yr,</w:t>
      </w:r>
      <w:r>
        <w:rPr>
          <w:color w:val="231F20"/>
          <w:spacing w:val="-2"/>
          <w:vertAlign w:val="baseline"/>
        </w:rPr>
        <w:t> </w:t>
      </w:r>
      <w:r>
        <w:rPr>
          <w:color w:val="231F20"/>
          <w:vertAlign w:val="baseline"/>
        </w:rPr>
        <w:t>minimum</w:t>
      </w:r>
      <w:r>
        <w:rPr>
          <w:color w:val="231F20"/>
          <w:spacing w:val="-2"/>
          <w:vertAlign w:val="baseline"/>
        </w:rPr>
        <w:t> </w:t>
      </w:r>
      <w:r>
        <w:rPr>
          <w:color w:val="231F20"/>
          <w:vertAlign w:val="baseline"/>
        </w:rPr>
        <w:t>interval</w:t>
      </w:r>
      <w:r>
        <w:rPr>
          <w:color w:val="231F20"/>
          <w:spacing w:val="-2"/>
          <w:vertAlign w:val="baseline"/>
        </w:rPr>
        <w:t> </w:t>
      </w:r>
      <w:r>
        <w:rPr>
          <w:color w:val="231F20"/>
          <w:vertAlign w:val="baseline"/>
        </w:rPr>
        <w:t>between</w:t>
      </w:r>
      <w:r>
        <w:rPr>
          <w:color w:val="231F20"/>
          <w:spacing w:val="-2"/>
          <w:vertAlign w:val="baseline"/>
        </w:rPr>
        <w:t> </w:t>
      </w:r>
      <w:r>
        <w:rPr>
          <w:color w:val="231F20"/>
          <w:vertAlign w:val="baseline"/>
        </w:rPr>
        <w:t>doses</w:t>
      </w:r>
      <w:r>
        <w:rPr>
          <w:color w:val="231F20"/>
          <w:spacing w:val="-2"/>
          <w:vertAlign w:val="baseline"/>
        </w:rPr>
        <w:t> </w:t>
      </w:r>
      <w:r>
        <w:rPr>
          <w:color w:val="231F20"/>
          <w:vertAlign w:val="baseline"/>
        </w:rPr>
        <w:t>is</w:t>
      </w:r>
      <w:r>
        <w:rPr>
          <w:color w:val="231F20"/>
          <w:spacing w:val="-2"/>
          <w:vertAlign w:val="baseline"/>
        </w:rPr>
        <w:t> </w:t>
      </w:r>
      <w:r>
        <w:rPr>
          <w:color w:val="231F20"/>
          <w:vertAlign w:val="baseline"/>
        </w:rPr>
        <w:t>4</w:t>
      </w:r>
      <w:r>
        <w:rPr>
          <w:color w:val="231F20"/>
          <w:spacing w:val="-2"/>
          <w:vertAlign w:val="baseline"/>
        </w:rPr>
        <w:t> </w:t>
      </w:r>
      <w:r>
        <w:rPr>
          <w:color w:val="231F20"/>
          <w:spacing w:val="-5"/>
          <w:vertAlign w:val="baseline"/>
        </w:rPr>
        <w:t>wk.</w:t>
      </w:r>
    </w:p>
    <w:p>
      <w:pPr>
        <w:pStyle w:val="BodyText"/>
        <w:spacing w:line="149" w:lineRule="exact"/>
        <w:ind w:left="222"/>
      </w:pPr>
      <w:r>
        <w:rPr>
          <w:color w:val="231F20"/>
          <w:vertAlign w:val="superscript"/>
        </w:rPr>
        <w:t>‡</w:t>
      </w:r>
      <w:r>
        <w:rPr>
          <w:color w:val="231F20"/>
          <w:vertAlign w:val="baseline"/>
        </w:rPr>
        <w:t>The additional dose</w:t>
      </w:r>
      <w:r>
        <w:rPr>
          <w:color w:val="231F20"/>
          <w:spacing w:val="1"/>
          <w:vertAlign w:val="baseline"/>
        </w:rPr>
        <w:t> </w:t>
      </w:r>
      <w:r>
        <w:rPr>
          <w:color w:val="231F20"/>
          <w:vertAlign w:val="baseline"/>
        </w:rPr>
        <w:t>should be</w:t>
      </w:r>
      <w:r>
        <w:rPr>
          <w:color w:val="231F20"/>
          <w:spacing w:val="1"/>
          <w:vertAlign w:val="baseline"/>
        </w:rPr>
        <w:t> </w:t>
      </w:r>
      <w:r>
        <w:rPr>
          <w:color w:val="231F20"/>
          <w:vertAlign w:val="baseline"/>
        </w:rPr>
        <w:t>administered 8 wk</w:t>
      </w:r>
      <w:r>
        <w:rPr>
          <w:color w:val="231F20"/>
          <w:spacing w:val="1"/>
          <w:vertAlign w:val="baseline"/>
        </w:rPr>
        <w:t> </w:t>
      </w:r>
      <w:r>
        <w:rPr>
          <w:color w:val="231F20"/>
          <w:vertAlign w:val="baseline"/>
        </w:rPr>
        <w:t>or more</w:t>
      </w:r>
      <w:r>
        <w:rPr>
          <w:color w:val="231F20"/>
          <w:spacing w:val="1"/>
          <w:vertAlign w:val="baseline"/>
        </w:rPr>
        <w:t> </w:t>
      </w:r>
      <w:r>
        <w:rPr>
          <w:color w:val="231F20"/>
          <w:vertAlign w:val="baseline"/>
        </w:rPr>
        <w:t>after the</w:t>
      </w:r>
      <w:r>
        <w:rPr>
          <w:color w:val="231F20"/>
          <w:spacing w:val="1"/>
          <w:vertAlign w:val="baseline"/>
        </w:rPr>
        <w:t> </w:t>
      </w:r>
      <w:r>
        <w:rPr>
          <w:color w:val="231F20"/>
          <w:vertAlign w:val="baseline"/>
        </w:rPr>
        <w:t>primary series has</w:t>
      </w:r>
      <w:r>
        <w:rPr>
          <w:color w:val="231F20"/>
          <w:spacing w:val="1"/>
          <w:vertAlign w:val="baseline"/>
        </w:rPr>
        <w:t> </w:t>
      </w:r>
      <w:r>
        <w:rPr>
          <w:color w:val="231F20"/>
          <w:vertAlign w:val="baseline"/>
        </w:rPr>
        <w:t>been </w:t>
      </w:r>
      <w:r>
        <w:rPr>
          <w:color w:val="231F20"/>
          <w:spacing w:val="-2"/>
          <w:vertAlign w:val="baseline"/>
        </w:rPr>
        <w:t>completed.</w:t>
      </w:r>
    </w:p>
    <w:p>
      <w:pPr>
        <w:pStyle w:val="BodyText"/>
        <w:ind w:left="91" w:right="830" w:firstLine="130"/>
      </w:pPr>
      <w:r>
        <w:rPr>
          <w:color w:val="231F20"/>
          <w:vertAlign w:val="superscript"/>
        </w:rPr>
        <w:t>§</w:t>
      </w:r>
      <w:r>
        <w:rPr>
          <w:color w:val="231F20"/>
          <w:vertAlign w:val="baseline"/>
        </w:rPr>
        <w:t>Children</w:t>
      </w:r>
      <w:r>
        <w:rPr>
          <w:color w:val="231F20"/>
          <w:spacing w:val="-1"/>
          <w:vertAlign w:val="baseline"/>
        </w:rPr>
        <w:t> </w:t>
      </w:r>
      <w:r>
        <w:rPr>
          <w:color w:val="231F20"/>
          <w:vertAlign w:val="baseline"/>
        </w:rPr>
        <w:t>younger</w:t>
      </w:r>
      <w:r>
        <w:rPr>
          <w:color w:val="231F20"/>
          <w:spacing w:val="-1"/>
          <w:vertAlign w:val="baseline"/>
        </w:rPr>
        <w:t> </w:t>
      </w:r>
      <w:r>
        <w:rPr>
          <w:color w:val="231F20"/>
          <w:vertAlign w:val="baseline"/>
        </w:rPr>
        <w:t>than</w:t>
      </w:r>
      <w:r>
        <w:rPr>
          <w:color w:val="231F20"/>
          <w:spacing w:val="-1"/>
          <w:vertAlign w:val="baseline"/>
        </w:rPr>
        <w:t> </w:t>
      </w:r>
      <w:r>
        <w:rPr>
          <w:color w:val="231F20"/>
          <w:vertAlign w:val="baseline"/>
        </w:rPr>
        <w:t>age</w:t>
      </w:r>
      <w:r>
        <w:rPr>
          <w:color w:val="231F20"/>
          <w:spacing w:val="-1"/>
          <w:vertAlign w:val="baseline"/>
        </w:rPr>
        <w:t> </w:t>
      </w:r>
      <w:r>
        <w:rPr>
          <w:color w:val="231F20"/>
          <w:vertAlign w:val="baseline"/>
        </w:rPr>
        <w:t>5</w:t>
      </w:r>
      <w:r>
        <w:rPr>
          <w:color w:val="231F20"/>
          <w:spacing w:val="-1"/>
          <w:vertAlign w:val="baseline"/>
        </w:rPr>
        <w:t> </w:t>
      </w:r>
      <w:r>
        <w:rPr>
          <w:color w:val="231F20"/>
          <w:vertAlign w:val="baseline"/>
        </w:rPr>
        <w:t>yr</w:t>
      </w:r>
      <w:r>
        <w:rPr>
          <w:color w:val="231F20"/>
          <w:spacing w:val="-1"/>
          <w:vertAlign w:val="baseline"/>
        </w:rPr>
        <w:t> </w:t>
      </w:r>
      <w:r>
        <w:rPr>
          <w:color w:val="231F20"/>
          <w:vertAlign w:val="baseline"/>
        </w:rPr>
        <w:t>should</w:t>
      </w:r>
      <w:r>
        <w:rPr>
          <w:color w:val="231F20"/>
          <w:spacing w:val="-1"/>
          <w:vertAlign w:val="baseline"/>
        </w:rPr>
        <w:t> </w:t>
      </w:r>
      <w:r>
        <w:rPr>
          <w:color w:val="231F20"/>
          <w:vertAlign w:val="baseline"/>
        </w:rPr>
        <w:t>complete</w:t>
      </w:r>
      <w:r>
        <w:rPr>
          <w:color w:val="231F20"/>
          <w:spacing w:val="-1"/>
          <w:vertAlign w:val="baseline"/>
        </w:rPr>
        <w:t> </w:t>
      </w:r>
      <w:r>
        <w:rPr>
          <w:color w:val="231F20"/>
          <w:vertAlign w:val="baseline"/>
        </w:rPr>
        <w:t>the</w:t>
      </w:r>
      <w:r>
        <w:rPr>
          <w:color w:val="231F20"/>
          <w:spacing w:val="-1"/>
          <w:vertAlign w:val="baseline"/>
        </w:rPr>
        <w:t> </w:t>
      </w:r>
      <w:r>
        <w:rPr>
          <w:color w:val="231F20"/>
          <w:vertAlign w:val="baseline"/>
        </w:rPr>
        <w:t>PCV13</w:t>
      </w:r>
      <w:r>
        <w:rPr>
          <w:color w:val="231F20"/>
          <w:spacing w:val="-1"/>
          <w:vertAlign w:val="baseline"/>
        </w:rPr>
        <w:t> </w:t>
      </w:r>
      <w:r>
        <w:rPr>
          <w:color w:val="231F20"/>
          <w:vertAlign w:val="baseline"/>
        </w:rPr>
        <w:t>series</w:t>
      </w:r>
      <w:r>
        <w:rPr>
          <w:color w:val="231F20"/>
          <w:spacing w:val="-1"/>
          <w:vertAlign w:val="baseline"/>
        </w:rPr>
        <w:t> </w:t>
      </w:r>
      <w:r>
        <w:rPr>
          <w:color w:val="231F20"/>
          <w:vertAlign w:val="baseline"/>
        </w:rPr>
        <w:t>first;</w:t>
      </w:r>
      <w:r>
        <w:rPr>
          <w:color w:val="231F20"/>
          <w:spacing w:val="-1"/>
          <w:vertAlign w:val="baseline"/>
        </w:rPr>
        <w:t> </w:t>
      </w:r>
      <w:r>
        <w:rPr>
          <w:color w:val="231F20"/>
          <w:vertAlign w:val="baseline"/>
        </w:rPr>
        <w:t>23-valent</w:t>
      </w:r>
      <w:r>
        <w:rPr>
          <w:color w:val="231F20"/>
          <w:spacing w:val="-1"/>
          <w:vertAlign w:val="baseline"/>
        </w:rPr>
        <w:t> </w:t>
      </w:r>
      <w:r>
        <w:rPr>
          <w:color w:val="231F20"/>
          <w:vertAlign w:val="baseline"/>
        </w:rPr>
        <w:t>pneumococcal</w:t>
      </w:r>
      <w:r>
        <w:rPr>
          <w:color w:val="231F20"/>
          <w:spacing w:val="-1"/>
          <w:vertAlign w:val="baseline"/>
        </w:rPr>
        <w:t> </w:t>
      </w:r>
      <w:r>
        <w:rPr>
          <w:color w:val="231F20"/>
          <w:vertAlign w:val="baseline"/>
        </w:rPr>
        <w:t>polysaccharide</w:t>
      </w:r>
      <w:r>
        <w:rPr>
          <w:color w:val="231F20"/>
          <w:spacing w:val="-1"/>
          <w:vertAlign w:val="baseline"/>
        </w:rPr>
        <w:t> </w:t>
      </w:r>
      <w:r>
        <w:rPr>
          <w:color w:val="231F20"/>
          <w:vertAlign w:val="baseline"/>
        </w:rPr>
        <w:t>vaccine</w:t>
      </w:r>
      <w:r>
        <w:rPr>
          <w:color w:val="231F20"/>
          <w:spacing w:val="-1"/>
          <w:vertAlign w:val="baseline"/>
        </w:rPr>
        <w:t> </w:t>
      </w:r>
      <w:r>
        <w:rPr>
          <w:color w:val="231F20"/>
          <w:vertAlign w:val="baseline"/>
        </w:rPr>
        <w:t>(PPV23)</w:t>
      </w:r>
      <w:r>
        <w:rPr>
          <w:color w:val="231F20"/>
          <w:spacing w:val="-1"/>
          <w:vertAlign w:val="baseline"/>
        </w:rPr>
        <w:t> </w:t>
      </w:r>
      <w:r>
        <w:rPr>
          <w:color w:val="231F20"/>
          <w:vertAlign w:val="baseline"/>
        </w:rPr>
        <w:t>should</w:t>
      </w:r>
      <w:r>
        <w:rPr>
          <w:color w:val="231F20"/>
          <w:spacing w:val="-1"/>
          <w:vertAlign w:val="baseline"/>
        </w:rPr>
        <w:t> </w:t>
      </w:r>
      <w:r>
        <w:rPr>
          <w:color w:val="231F20"/>
          <w:vertAlign w:val="baseline"/>
        </w:rPr>
        <w:t>be</w:t>
      </w:r>
      <w:r>
        <w:rPr>
          <w:color w:val="231F20"/>
          <w:spacing w:val="-1"/>
          <w:vertAlign w:val="baseline"/>
        </w:rPr>
        <w:t> </w:t>
      </w:r>
      <w:r>
        <w:rPr>
          <w:color w:val="231F20"/>
          <w:vertAlign w:val="baseline"/>
        </w:rPr>
        <w:t>administered</w:t>
      </w:r>
      <w:r>
        <w:rPr>
          <w:color w:val="231F20"/>
          <w:spacing w:val="-1"/>
          <w:vertAlign w:val="baseline"/>
        </w:rPr>
        <w:t> </w:t>
      </w:r>
      <w:r>
        <w:rPr>
          <w:color w:val="231F20"/>
          <w:vertAlign w:val="baseline"/>
        </w:rPr>
        <w:t>to</w:t>
      </w:r>
      <w:r>
        <w:rPr>
          <w:color w:val="231F20"/>
          <w:spacing w:val="-1"/>
          <w:vertAlign w:val="baseline"/>
        </w:rPr>
        <w:t> </w:t>
      </w:r>
      <w:r>
        <w:rPr>
          <w:color w:val="231F20"/>
          <w:vertAlign w:val="baseline"/>
        </w:rPr>
        <w:t>children</w:t>
      </w:r>
      <w:r>
        <w:rPr>
          <w:color w:val="231F20"/>
          <w:spacing w:val="40"/>
          <w:vertAlign w:val="baseline"/>
        </w:rPr>
        <w:t> </w:t>
      </w:r>
      <w:r>
        <w:rPr>
          <w:color w:val="231F20"/>
          <w:vertAlign w:val="baseline"/>
        </w:rPr>
        <w:t>24</w:t>
      </w:r>
      <w:r>
        <w:rPr>
          <w:color w:val="231F20"/>
          <w:spacing w:val="6"/>
          <w:vertAlign w:val="baseline"/>
        </w:rPr>
        <w:t> </w:t>
      </w:r>
      <w:r>
        <w:rPr>
          <w:color w:val="231F20"/>
          <w:vertAlign w:val="baseline"/>
        </w:rPr>
        <w:t>mo</w:t>
      </w:r>
      <w:r>
        <w:rPr>
          <w:color w:val="231F20"/>
          <w:spacing w:val="6"/>
          <w:vertAlign w:val="baseline"/>
        </w:rPr>
        <w:t> </w:t>
      </w:r>
      <w:r>
        <w:rPr>
          <w:color w:val="231F20"/>
          <w:vertAlign w:val="baseline"/>
        </w:rPr>
        <w:t>of</w:t>
      </w:r>
      <w:r>
        <w:rPr>
          <w:color w:val="231F20"/>
          <w:spacing w:val="6"/>
          <w:vertAlign w:val="baseline"/>
        </w:rPr>
        <w:t> </w:t>
      </w:r>
      <w:r>
        <w:rPr>
          <w:color w:val="231F20"/>
          <w:vertAlign w:val="baseline"/>
        </w:rPr>
        <w:t>age</w:t>
      </w:r>
      <w:r>
        <w:rPr>
          <w:color w:val="231F20"/>
          <w:spacing w:val="6"/>
          <w:vertAlign w:val="baseline"/>
        </w:rPr>
        <w:t> </w:t>
      </w:r>
      <w:r>
        <w:rPr>
          <w:color w:val="231F20"/>
          <w:vertAlign w:val="baseline"/>
        </w:rPr>
        <w:t>or</w:t>
      </w:r>
      <w:r>
        <w:rPr>
          <w:color w:val="231F20"/>
          <w:spacing w:val="6"/>
          <w:vertAlign w:val="baseline"/>
        </w:rPr>
        <w:t> </w:t>
      </w:r>
      <w:r>
        <w:rPr>
          <w:color w:val="231F20"/>
          <w:vertAlign w:val="baseline"/>
        </w:rPr>
        <w:t>older</w:t>
      </w:r>
      <w:r>
        <w:rPr>
          <w:color w:val="231F20"/>
          <w:spacing w:val="6"/>
          <w:vertAlign w:val="baseline"/>
        </w:rPr>
        <w:t> </w:t>
      </w:r>
      <w:r>
        <w:rPr>
          <w:color w:val="231F20"/>
          <w:vertAlign w:val="baseline"/>
        </w:rPr>
        <w:t>8</w:t>
      </w:r>
      <w:r>
        <w:rPr>
          <w:color w:val="231F20"/>
          <w:spacing w:val="6"/>
          <w:vertAlign w:val="baseline"/>
        </w:rPr>
        <w:t> </w:t>
      </w:r>
      <w:r>
        <w:rPr>
          <w:color w:val="231F20"/>
          <w:vertAlign w:val="baseline"/>
        </w:rPr>
        <w:t>wk</w:t>
      </w:r>
      <w:r>
        <w:rPr>
          <w:color w:val="231F20"/>
          <w:spacing w:val="6"/>
          <w:vertAlign w:val="baseline"/>
        </w:rPr>
        <w:t> </w:t>
      </w:r>
      <w:r>
        <w:rPr>
          <w:color w:val="231F20"/>
          <w:vertAlign w:val="baseline"/>
        </w:rPr>
        <w:t>or</w:t>
      </w:r>
      <w:r>
        <w:rPr>
          <w:color w:val="231F20"/>
          <w:spacing w:val="6"/>
          <w:vertAlign w:val="baseline"/>
        </w:rPr>
        <w:t> </w:t>
      </w:r>
      <w:r>
        <w:rPr>
          <w:color w:val="231F20"/>
          <w:vertAlign w:val="baseline"/>
        </w:rPr>
        <w:t>more</w:t>
      </w:r>
      <w:r>
        <w:rPr>
          <w:color w:val="231F20"/>
          <w:spacing w:val="6"/>
          <w:vertAlign w:val="baseline"/>
        </w:rPr>
        <w:t> </w:t>
      </w:r>
      <w:r>
        <w:rPr>
          <w:color w:val="231F20"/>
          <w:vertAlign w:val="baseline"/>
        </w:rPr>
        <w:t>after</w:t>
      </w:r>
      <w:r>
        <w:rPr>
          <w:color w:val="231F20"/>
          <w:spacing w:val="6"/>
          <w:vertAlign w:val="baseline"/>
        </w:rPr>
        <w:t> </w:t>
      </w:r>
      <w:r>
        <w:rPr>
          <w:color w:val="231F20"/>
          <w:vertAlign w:val="baseline"/>
        </w:rPr>
        <w:t>the</w:t>
      </w:r>
      <w:r>
        <w:rPr>
          <w:color w:val="231F20"/>
          <w:spacing w:val="6"/>
          <w:vertAlign w:val="baseline"/>
        </w:rPr>
        <w:t> </w:t>
      </w:r>
      <w:r>
        <w:rPr>
          <w:color w:val="231F20"/>
          <w:vertAlign w:val="baseline"/>
        </w:rPr>
        <w:t>last</w:t>
      </w:r>
      <w:r>
        <w:rPr>
          <w:color w:val="231F20"/>
          <w:spacing w:val="6"/>
          <w:vertAlign w:val="baseline"/>
        </w:rPr>
        <w:t> </w:t>
      </w:r>
      <w:r>
        <w:rPr>
          <w:color w:val="231F20"/>
          <w:vertAlign w:val="baseline"/>
        </w:rPr>
        <w:t>dose</w:t>
      </w:r>
      <w:r>
        <w:rPr>
          <w:color w:val="231F20"/>
          <w:spacing w:val="6"/>
          <w:vertAlign w:val="baseline"/>
        </w:rPr>
        <w:t> </w:t>
      </w:r>
      <w:r>
        <w:rPr>
          <w:color w:val="231F20"/>
          <w:vertAlign w:val="baseline"/>
        </w:rPr>
        <w:t>of</w:t>
      </w:r>
      <w:r>
        <w:rPr>
          <w:color w:val="231F20"/>
          <w:spacing w:val="6"/>
          <w:vertAlign w:val="baseline"/>
        </w:rPr>
        <w:t> </w:t>
      </w:r>
      <w:r>
        <w:rPr>
          <w:color w:val="231F20"/>
          <w:vertAlign w:val="baseline"/>
        </w:rPr>
        <w:t>PCV13</w:t>
      </w:r>
      <w:r>
        <w:rPr>
          <w:color w:val="231F20"/>
          <w:spacing w:val="6"/>
          <w:vertAlign w:val="baseline"/>
        </w:rPr>
        <w:t> </w:t>
      </w:r>
      <w:r>
        <w:rPr>
          <w:color w:val="231F20"/>
          <w:vertAlign w:val="baseline"/>
        </w:rPr>
        <w:t>(see</w:t>
      </w:r>
      <w:r>
        <w:rPr>
          <w:color w:val="231F20"/>
          <w:spacing w:val="6"/>
          <w:vertAlign w:val="baseline"/>
        </w:rPr>
        <w:t> </w:t>
      </w:r>
      <w:r>
        <w:rPr>
          <w:color w:val="231F20"/>
          <w:vertAlign w:val="baseline"/>
        </w:rPr>
        <w:t>Chapter</w:t>
      </w:r>
      <w:r>
        <w:rPr>
          <w:color w:val="231F20"/>
          <w:spacing w:val="6"/>
          <w:vertAlign w:val="baseline"/>
        </w:rPr>
        <w:t> </w:t>
      </w:r>
      <w:r>
        <w:rPr>
          <w:color w:val="231F20"/>
          <w:vertAlign w:val="baseline"/>
        </w:rPr>
        <w:t>182).</w:t>
      </w:r>
      <w:r>
        <w:rPr>
          <w:color w:val="231F20"/>
          <w:spacing w:val="6"/>
          <w:vertAlign w:val="baseline"/>
        </w:rPr>
        <w:t> </w:t>
      </w:r>
      <w:r>
        <w:rPr>
          <w:color w:val="231F20"/>
          <w:vertAlign w:val="baseline"/>
        </w:rPr>
        <w:t>(Centers</w:t>
      </w:r>
      <w:r>
        <w:rPr>
          <w:color w:val="231F20"/>
          <w:spacing w:val="6"/>
          <w:vertAlign w:val="baseline"/>
        </w:rPr>
        <w:t> </w:t>
      </w:r>
      <w:r>
        <w:rPr>
          <w:color w:val="231F20"/>
          <w:vertAlign w:val="baseline"/>
        </w:rPr>
        <w:t>for</w:t>
      </w:r>
      <w:r>
        <w:rPr>
          <w:color w:val="231F20"/>
          <w:spacing w:val="6"/>
          <w:vertAlign w:val="baseline"/>
        </w:rPr>
        <w:t> </w:t>
      </w:r>
      <w:r>
        <w:rPr>
          <w:color w:val="231F20"/>
          <w:vertAlign w:val="baseline"/>
        </w:rPr>
        <w:t>Disease</w:t>
      </w:r>
      <w:r>
        <w:rPr>
          <w:color w:val="231F20"/>
          <w:spacing w:val="6"/>
          <w:vertAlign w:val="baseline"/>
        </w:rPr>
        <w:t> </w:t>
      </w:r>
      <w:r>
        <w:rPr>
          <w:color w:val="231F20"/>
          <w:vertAlign w:val="baseline"/>
        </w:rPr>
        <w:t>Control</w:t>
      </w:r>
      <w:r>
        <w:rPr>
          <w:color w:val="231F20"/>
          <w:spacing w:val="6"/>
          <w:vertAlign w:val="baseline"/>
        </w:rPr>
        <w:t> </w:t>
      </w:r>
      <w:r>
        <w:rPr>
          <w:color w:val="231F20"/>
          <w:vertAlign w:val="baseline"/>
        </w:rPr>
        <w:t>and</w:t>
      </w:r>
      <w:r>
        <w:rPr>
          <w:color w:val="231F20"/>
          <w:spacing w:val="6"/>
          <w:vertAlign w:val="baseline"/>
        </w:rPr>
        <w:t> </w:t>
      </w:r>
      <w:r>
        <w:rPr>
          <w:color w:val="231F20"/>
          <w:vertAlign w:val="baseline"/>
        </w:rPr>
        <w:t>Prevention</w:t>
      </w:r>
      <w:r>
        <w:rPr>
          <w:color w:val="231F20"/>
          <w:spacing w:val="6"/>
          <w:vertAlign w:val="baseline"/>
        </w:rPr>
        <w:t> </w:t>
      </w:r>
      <w:r>
        <w:rPr>
          <w:color w:val="231F20"/>
          <w:vertAlign w:val="baseline"/>
        </w:rPr>
        <w:t>Advisory</w:t>
      </w:r>
      <w:r>
        <w:rPr>
          <w:color w:val="231F20"/>
          <w:spacing w:val="6"/>
          <w:vertAlign w:val="baseline"/>
        </w:rPr>
        <w:t> </w:t>
      </w:r>
      <w:r>
        <w:rPr>
          <w:color w:val="231F20"/>
          <w:vertAlign w:val="baseline"/>
        </w:rPr>
        <w:t>Committee</w:t>
      </w:r>
      <w:r>
        <w:rPr>
          <w:color w:val="231F20"/>
          <w:spacing w:val="6"/>
          <w:vertAlign w:val="baseline"/>
        </w:rPr>
        <w:t> </w:t>
      </w:r>
      <w:r>
        <w:rPr>
          <w:color w:val="231F20"/>
          <w:vertAlign w:val="baseline"/>
        </w:rPr>
        <w:t>on</w:t>
      </w:r>
      <w:r>
        <w:rPr>
          <w:color w:val="231F20"/>
          <w:spacing w:val="40"/>
          <w:vertAlign w:val="baseline"/>
        </w:rPr>
        <w:t> </w:t>
      </w:r>
      <w:r>
        <w:rPr>
          <w:color w:val="231F20"/>
          <w:vertAlign w:val="baseline"/>
        </w:rPr>
        <w:t>Immunization Practices: Preventing pneumococcal disease among infants and young children: recommendations of the Advisory Committee on Immunization</w:t>
      </w:r>
      <w:r>
        <w:rPr>
          <w:color w:val="231F20"/>
          <w:spacing w:val="80"/>
          <w:vertAlign w:val="baseline"/>
        </w:rPr>
        <w:t> </w:t>
      </w:r>
      <w:r>
        <w:rPr>
          <w:color w:val="231F20"/>
          <w:vertAlign w:val="baseline"/>
        </w:rPr>
        <w:t>Practices [ACIP], </w:t>
      </w:r>
      <w:r>
        <w:rPr>
          <w:i/>
          <w:color w:val="231F20"/>
          <w:vertAlign w:val="baseline"/>
        </w:rPr>
        <w:t>MMWR Recomm Rep </w:t>
      </w:r>
      <w:r>
        <w:rPr>
          <w:color w:val="231F20"/>
          <w:vertAlign w:val="baseline"/>
        </w:rPr>
        <w:t>49[RR-9]:1–35, 2000, and Licensure of a 13-valent pneumococcal conjugate vaccine [PCV13] and recommendations for use</w:t>
      </w:r>
      <w:r>
        <w:rPr>
          <w:color w:val="231F20"/>
          <w:spacing w:val="40"/>
          <w:vertAlign w:val="baseline"/>
        </w:rPr>
        <w:t> </w:t>
      </w:r>
      <w:r>
        <w:rPr>
          <w:color w:val="231F20"/>
          <w:vertAlign w:val="baseline"/>
        </w:rPr>
        <w:t>among children—Advisory Committee on Immunization Practices [ACIP], 2010, </w:t>
      </w:r>
      <w:r>
        <w:rPr>
          <w:i/>
          <w:color w:val="231F20"/>
          <w:vertAlign w:val="baseline"/>
        </w:rPr>
        <w:t>MMWR Morb Mortal Wkly Rep </w:t>
      </w:r>
      <w:r>
        <w:rPr>
          <w:color w:val="231F20"/>
          <w:vertAlign w:val="baseline"/>
        </w:rPr>
        <w:t>59(9);258–261, 2010.)</w:t>
      </w:r>
    </w:p>
    <w:p>
      <w:pPr>
        <w:pStyle w:val="BodyText"/>
        <w:spacing w:line="142" w:lineRule="exact"/>
        <w:ind w:left="222"/>
      </w:pPr>
      <w:r>
        <w:rPr>
          <w:color w:val="231F20"/>
          <w:vertAlign w:val="superscript"/>
        </w:rPr>
        <w:t>¶</w:t>
      </w:r>
      <w:r>
        <w:rPr>
          <w:color w:val="231F20"/>
          <w:vertAlign w:val="baseline"/>
        </w:rPr>
        <w:t>Minimum</w:t>
      </w:r>
      <w:r>
        <w:rPr>
          <w:color w:val="231F20"/>
          <w:spacing w:val="2"/>
          <w:vertAlign w:val="baseline"/>
        </w:rPr>
        <w:t> </w:t>
      </w:r>
      <w:r>
        <w:rPr>
          <w:color w:val="231F20"/>
          <w:vertAlign w:val="baseline"/>
        </w:rPr>
        <w:t>interval</w:t>
      </w:r>
      <w:r>
        <w:rPr>
          <w:color w:val="231F20"/>
          <w:spacing w:val="3"/>
          <w:vertAlign w:val="baseline"/>
        </w:rPr>
        <w:t> </w:t>
      </w:r>
      <w:r>
        <w:rPr>
          <w:color w:val="231F20"/>
          <w:vertAlign w:val="baseline"/>
        </w:rPr>
        <w:t>between</w:t>
      </w:r>
      <w:r>
        <w:rPr>
          <w:color w:val="231F20"/>
          <w:spacing w:val="3"/>
          <w:vertAlign w:val="baseline"/>
        </w:rPr>
        <w:t> </w:t>
      </w:r>
      <w:r>
        <w:rPr>
          <w:color w:val="231F20"/>
          <w:vertAlign w:val="baseline"/>
        </w:rPr>
        <w:t>doses</w:t>
      </w:r>
      <w:r>
        <w:rPr>
          <w:color w:val="231F20"/>
          <w:spacing w:val="3"/>
          <w:vertAlign w:val="baseline"/>
        </w:rPr>
        <w:t> </w:t>
      </w:r>
      <w:r>
        <w:rPr>
          <w:color w:val="231F20"/>
          <w:vertAlign w:val="baseline"/>
        </w:rPr>
        <w:t>is</w:t>
      </w:r>
      <w:r>
        <w:rPr>
          <w:color w:val="231F20"/>
          <w:spacing w:val="3"/>
          <w:vertAlign w:val="baseline"/>
        </w:rPr>
        <w:t> </w:t>
      </w:r>
      <w:r>
        <w:rPr>
          <w:color w:val="231F20"/>
          <w:vertAlign w:val="baseline"/>
        </w:rPr>
        <w:t>8</w:t>
      </w:r>
      <w:r>
        <w:rPr>
          <w:color w:val="231F20"/>
          <w:spacing w:val="3"/>
          <w:vertAlign w:val="baseline"/>
        </w:rPr>
        <w:t> </w:t>
      </w:r>
      <w:r>
        <w:rPr>
          <w:color w:val="231F20"/>
          <w:spacing w:val="-5"/>
          <w:vertAlign w:val="baseline"/>
        </w:rPr>
        <w:t>wk.</w:t>
      </w:r>
    </w:p>
    <w:p>
      <w:pPr>
        <w:pStyle w:val="BodyText"/>
        <w:spacing w:line="149" w:lineRule="exact"/>
        <w:ind w:left="222"/>
      </w:pPr>
      <w:r>
        <w:rPr>
          <w:color w:val="231F20"/>
          <w:vertAlign w:val="superscript"/>
        </w:rPr>
        <w:t>|</w:t>
      </w:r>
      <w:r>
        <w:rPr>
          <w:color w:val="231F20"/>
          <w:vertAlign w:val="baseline"/>
        </w:rPr>
        <w:t>PCV13</w:t>
      </w:r>
      <w:r>
        <w:rPr>
          <w:color w:val="231F20"/>
          <w:spacing w:val="-1"/>
          <w:vertAlign w:val="baseline"/>
        </w:rPr>
        <w:t> </w:t>
      </w:r>
      <w:r>
        <w:rPr>
          <w:color w:val="231F20"/>
          <w:vertAlign w:val="baseline"/>
        </w:rPr>
        <w:t>is</w:t>
      </w:r>
      <w:r>
        <w:rPr>
          <w:color w:val="231F20"/>
          <w:spacing w:val="-1"/>
          <w:vertAlign w:val="baseline"/>
        </w:rPr>
        <w:t> </w:t>
      </w:r>
      <w:r>
        <w:rPr>
          <w:color w:val="231F20"/>
          <w:vertAlign w:val="baseline"/>
        </w:rPr>
        <w:t>not recommended</w:t>
      </w:r>
      <w:r>
        <w:rPr>
          <w:color w:val="231F20"/>
          <w:spacing w:val="-1"/>
          <w:vertAlign w:val="baseline"/>
        </w:rPr>
        <w:t> </w:t>
      </w:r>
      <w:r>
        <w:rPr>
          <w:color w:val="231F20"/>
          <w:vertAlign w:val="baseline"/>
        </w:rPr>
        <w:t>generally for</w:t>
      </w:r>
      <w:r>
        <w:rPr>
          <w:color w:val="231F20"/>
          <w:spacing w:val="-1"/>
          <w:vertAlign w:val="baseline"/>
        </w:rPr>
        <w:t> </w:t>
      </w:r>
      <w:r>
        <w:rPr>
          <w:color w:val="231F20"/>
          <w:vertAlign w:val="baseline"/>
        </w:rPr>
        <w:t>children</w:t>
      </w:r>
      <w:r>
        <w:rPr>
          <w:color w:val="231F20"/>
          <w:spacing w:val="-1"/>
          <w:vertAlign w:val="baseline"/>
        </w:rPr>
        <w:t> </w:t>
      </w:r>
      <w:r>
        <w:rPr>
          <w:color w:val="231F20"/>
          <w:vertAlign w:val="baseline"/>
        </w:rPr>
        <w:t>age 5</w:t>
      </w:r>
      <w:r>
        <w:rPr>
          <w:color w:val="231F20"/>
          <w:spacing w:val="-1"/>
          <w:vertAlign w:val="baseline"/>
        </w:rPr>
        <w:t> </w:t>
      </w:r>
      <w:r>
        <w:rPr>
          <w:color w:val="231F20"/>
          <w:vertAlign w:val="baseline"/>
        </w:rPr>
        <w:t>yr or</w:t>
      </w:r>
      <w:r>
        <w:rPr>
          <w:color w:val="231F20"/>
          <w:spacing w:val="-1"/>
          <w:vertAlign w:val="baseline"/>
        </w:rPr>
        <w:t> </w:t>
      </w:r>
      <w:r>
        <w:rPr>
          <w:color w:val="231F20"/>
          <w:spacing w:val="-2"/>
          <w:vertAlign w:val="baseline"/>
        </w:rPr>
        <w:t>older.</w:t>
      </w:r>
    </w:p>
    <w:p>
      <w:pPr>
        <w:pStyle w:val="BodyText"/>
        <w:spacing w:line="149" w:lineRule="exact"/>
        <w:ind w:left="222"/>
      </w:pPr>
      <w:r>
        <w:rPr>
          <w:color w:val="231F20"/>
        </w:rPr>
        <w:t>PCV,</w:t>
      </w:r>
      <w:r>
        <w:rPr>
          <w:color w:val="231F20"/>
          <w:spacing w:val="1"/>
        </w:rPr>
        <w:t> </w:t>
      </w:r>
      <w:r>
        <w:rPr>
          <w:color w:val="231F20"/>
        </w:rPr>
        <w:t>pneumococcal</w:t>
      </w:r>
      <w:r>
        <w:rPr>
          <w:color w:val="231F20"/>
          <w:spacing w:val="2"/>
        </w:rPr>
        <w:t> </w:t>
      </w:r>
      <w:r>
        <w:rPr>
          <w:color w:val="231F20"/>
        </w:rPr>
        <w:t>conjugate</w:t>
      </w:r>
      <w:r>
        <w:rPr>
          <w:color w:val="231F20"/>
          <w:spacing w:val="1"/>
        </w:rPr>
        <w:t> </w:t>
      </w:r>
      <w:r>
        <w:rPr>
          <w:color w:val="231F20"/>
        </w:rPr>
        <w:t>vaccine;</w:t>
      </w:r>
      <w:r>
        <w:rPr>
          <w:color w:val="231F20"/>
          <w:spacing w:val="2"/>
        </w:rPr>
        <w:t> </w:t>
      </w:r>
      <w:r>
        <w:rPr>
          <w:color w:val="231F20"/>
        </w:rPr>
        <w:t>PPV,</w:t>
      </w:r>
      <w:r>
        <w:rPr>
          <w:color w:val="231F20"/>
          <w:spacing w:val="1"/>
        </w:rPr>
        <w:t> </w:t>
      </w:r>
      <w:r>
        <w:rPr>
          <w:color w:val="231F20"/>
        </w:rPr>
        <w:t>pneumococcal</w:t>
      </w:r>
      <w:r>
        <w:rPr>
          <w:color w:val="231F20"/>
          <w:spacing w:val="2"/>
        </w:rPr>
        <w:t> </w:t>
      </w:r>
      <w:r>
        <w:rPr>
          <w:color w:val="231F20"/>
        </w:rPr>
        <w:t>polysaccharide</w:t>
      </w:r>
      <w:r>
        <w:rPr>
          <w:color w:val="231F20"/>
          <w:spacing w:val="1"/>
        </w:rPr>
        <w:t> </w:t>
      </w:r>
      <w:r>
        <w:rPr>
          <w:color w:val="231F20"/>
          <w:spacing w:val="-2"/>
        </w:rPr>
        <w:t>vaccine.</w:t>
      </w:r>
    </w:p>
    <w:p>
      <w:pPr>
        <w:spacing w:before="0"/>
        <w:ind w:left="91" w:right="614" w:firstLine="130"/>
        <w:jc w:val="left"/>
        <w:rPr>
          <w:i/>
          <w:sz w:val="13"/>
        </w:rPr>
      </w:pPr>
      <w:r>
        <w:rPr>
          <w:i/>
          <w:color w:val="231F20"/>
          <w:sz w:val="13"/>
        </w:rPr>
        <w:t>From</w:t>
      </w:r>
      <w:r>
        <w:rPr>
          <w:i/>
          <w:color w:val="231F20"/>
          <w:spacing w:val="-3"/>
          <w:sz w:val="13"/>
        </w:rPr>
        <w:t> </w:t>
      </w:r>
      <w:r>
        <w:rPr>
          <w:i/>
          <w:color w:val="231F20"/>
          <w:sz w:val="13"/>
        </w:rPr>
        <w:t>Centers</w:t>
      </w:r>
      <w:r>
        <w:rPr>
          <w:i/>
          <w:color w:val="231F20"/>
          <w:spacing w:val="-3"/>
          <w:sz w:val="13"/>
        </w:rPr>
        <w:t> </w:t>
      </w:r>
      <w:r>
        <w:rPr>
          <w:i/>
          <w:color w:val="231F20"/>
          <w:sz w:val="13"/>
        </w:rPr>
        <w:t>for</w:t>
      </w:r>
      <w:r>
        <w:rPr>
          <w:i/>
          <w:color w:val="231F20"/>
          <w:spacing w:val="-3"/>
          <w:sz w:val="13"/>
        </w:rPr>
        <w:t> </w:t>
      </w:r>
      <w:r>
        <w:rPr>
          <w:i/>
          <w:color w:val="231F20"/>
          <w:sz w:val="13"/>
        </w:rPr>
        <w:t>Disease</w:t>
      </w:r>
      <w:r>
        <w:rPr>
          <w:i/>
          <w:color w:val="231F20"/>
          <w:spacing w:val="-3"/>
          <w:sz w:val="13"/>
        </w:rPr>
        <w:t> </w:t>
      </w:r>
      <w:r>
        <w:rPr>
          <w:i/>
          <w:color w:val="231F20"/>
          <w:sz w:val="13"/>
        </w:rPr>
        <w:t>Control</w:t>
      </w:r>
      <w:r>
        <w:rPr>
          <w:i/>
          <w:color w:val="231F20"/>
          <w:spacing w:val="-3"/>
          <w:sz w:val="13"/>
        </w:rPr>
        <w:t> </w:t>
      </w:r>
      <w:r>
        <w:rPr>
          <w:i/>
          <w:color w:val="231F20"/>
          <w:sz w:val="13"/>
        </w:rPr>
        <w:t>and</w:t>
      </w:r>
      <w:r>
        <w:rPr>
          <w:i/>
          <w:color w:val="231F20"/>
          <w:spacing w:val="-3"/>
          <w:sz w:val="13"/>
        </w:rPr>
        <w:t> </w:t>
      </w:r>
      <w:r>
        <w:rPr>
          <w:i/>
          <w:color w:val="231F20"/>
          <w:sz w:val="13"/>
        </w:rPr>
        <w:t>Prevention</w:t>
      </w:r>
      <w:r>
        <w:rPr>
          <w:i/>
          <w:color w:val="231F20"/>
          <w:spacing w:val="-3"/>
          <w:sz w:val="13"/>
        </w:rPr>
        <w:t> </w:t>
      </w:r>
      <w:r>
        <w:rPr>
          <w:i/>
          <w:color w:val="231F20"/>
          <w:sz w:val="13"/>
        </w:rPr>
        <w:t>Advisory</w:t>
      </w:r>
      <w:r>
        <w:rPr>
          <w:i/>
          <w:color w:val="231F20"/>
          <w:spacing w:val="-3"/>
          <w:sz w:val="13"/>
        </w:rPr>
        <w:t> </w:t>
      </w:r>
      <w:r>
        <w:rPr>
          <w:i/>
          <w:color w:val="231F20"/>
          <w:sz w:val="13"/>
        </w:rPr>
        <w:t>Committee</w:t>
      </w:r>
      <w:r>
        <w:rPr>
          <w:i/>
          <w:color w:val="231F20"/>
          <w:spacing w:val="-3"/>
          <w:sz w:val="13"/>
        </w:rPr>
        <w:t> </w:t>
      </w:r>
      <w:r>
        <w:rPr>
          <w:i/>
          <w:color w:val="231F20"/>
          <w:sz w:val="13"/>
        </w:rPr>
        <w:t>on</w:t>
      </w:r>
      <w:r>
        <w:rPr>
          <w:i/>
          <w:color w:val="231F20"/>
          <w:spacing w:val="-3"/>
          <w:sz w:val="13"/>
        </w:rPr>
        <w:t> </w:t>
      </w:r>
      <w:r>
        <w:rPr>
          <w:i/>
          <w:color w:val="231F20"/>
          <w:sz w:val="13"/>
        </w:rPr>
        <w:t>Immunization</w:t>
      </w:r>
      <w:r>
        <w:rPr>
          <w:i/>
          <w:color w:val="231F20"/>
          <w:spacing w:val="-3"/>
          <w:sz w:val="13"/>
        </w:rPr>
        <w:t> </w:t>
      </w:r>
      <w:r>
        <w:rPr>
          <w:i/>
          <w:color w:val="231F20"/>
          <w:sz w:val="13"/>
        </w:rPr>
        <w:t>Practices:</w:t>
      </w:r>
      <w:r>
        <w:rPr>
          <w:i/>
          <w:color w:val="231F20"/>
          <w:spacing w:val="-3"/>
          <w:sz w:val="13"/>
        </w:rPr>
        <w:t> </w:t>
      </w:r>
      <w:r>
        <w:rPr>
          <w:i/>
          <w:color w:val="231F20"/>
          <w:sz w:val="13"/>
        </w:rPr>
        <w:t>Pneumococcal</w:t>
      </w:r>
      <w:r>
        <w:rPr>
          <w:i/>
          <w:color w:val="231F20"/>
          <w:spacing w:val="-3"/>
          <w:sz w:val="13"/>
        </w:rPr>
        <w:t> </w:t>
      </w:r>
      <w:r>
        <w:rPr>
          <w:i/>
          <w:color w:val="231F20"/>
          <w:sz w:val="13"/>
        </w:rPr>
        <w:t>vaccination</w:t>
      </w:r>
      <w:r>
        <w:rPr>
          <w:i/>
          <w:color w:val="231F20"/>
          <w:spacing w:val="-3"/>
          <w:sz w:val="13"/>
        </w:rPr>
        <w:t> </w:t>
      </w:r>
      <w:r>
        <w:rPr>
          <w:i/>
          <w:color w:val="231F20"/>
          <w:sz w:val="13"/>
        </w:rPr>
        <w:t>for</w:t>
      </w:r>
      <w:r>
        <w:rPr>
          <w:i/>
          <w:color w:val="231F20"/>
          <w:spacing w:val="-3"/>
          <w:sz w:val="13"/>
        </w:rPr>
        <w:t> </w:t>
      </w:r>
      <w:r>
        <w:rPr>
          <w:i/>
          <w:color w:val="231F20"/>
          <w:sz w:val="13"/>
        </w:rPr>
        <w:t>cochlear</w:t>
      </w:r>
      <w:r>
        <w:rPr>
          <w:i/>
          <w:color w:val="231F20"/>
          <w:spacing w:val="-3"/>
          <w:sz w:val="13"/>
        </w:rPr>
        <w:t> </w:t>
      </w:r>
      <w:r>
        <w:rPr>
          <w:i/>
          <w:color w:val="231F20"/>
          <w:sz w:val="13"/>
        </w:rPr>
        <w:t>implant</w:t>
      </w:r>
      <w:r>
        <w:rPr>
          <w:i/>
          <w:color w:val="231F20"/>
          <w:spacing w:val="-3"/>
          <w:sz w:val="13"/>
        </w:rPr>
        <w:t> </w:t>
      </w:r>
      <w:r>
        <w:rPr>
          <w:i/>
          <w:color w:val="231F20"/>
          <w:sz w:val="13"/>
        </w:rPr>
        <w:t>candidates</w:t>
      </w:r>
      <w:r>
        <w:rPr>
          <w:i/>
          <w:color w:val="231F20"/>
          <w:spacing w:val="-3"/>
          <w:sz w:val="13"/>
        </w:rPr>
        <w:t> </w:t>
      </w:r>
      <w:r>
        <w:rPr>
          <w:i/>
          <w:color w:val="231F20"/>
          <w:sz w:val="13"/>
        </w:rPr>
        <w:t>and</w:t>
      </w:r>
      <w:r>
        <w:rPr>
          <w:i/>
          <w:color w:val="231F20"/>
          <w:spacing w:val="40"/>
          <w:sz w:val="13"/>
        </w:rPr>
        <w:t> </w:t>
      </w:r>
      <w:r>
        <w:rPr>
          <w:i/>
          <w:color w:val="231F20"/>
          <w:sz w:val="13"/>
        </w:rPr>
        <w:t>recipients: Updated recommendations of the Advisory Committee on Immunization Practices, </w:t>
      </w:r>
      <w:r>
        <w:rPr>
          <w:color w:val="231F20"/>
          <w:sz w:val="13"/>
        </w:rPr>
        <w:t>MMWR Morb Mortal Wkly Rep </w:t>
      </w:r>
      <w:r>
        <w:rPr>
          <w:i/>
          <w:color w:val="231F20"/>
          <w:sz w:val="13"/>
        </w:rPr>
        <w:t>52(31):739–740, 2003.</w:t>
      </w:r>
    </w:p>
    <w:p>
      <w:pPr>
        <w:spacing w:after="0"/>
        <w:jc w:val="left"/>
        <w:rPr>
          <w:i/>
          <w:sz w:val="13"/>
        </w:rPr>
        <w:sectPr>
          <w:pgSz w:w="11900" w:h="16840"/>
          <w:pgMar w:header="0" w:footer="0" w:top="1180" w:bottom="280" w:left="708" w:right="566"/>
        </w:sectPr>
      </w:pPr>
    </w:p>
    <w:p>
      <w:pPr>
        <w:pStyle w:val="BodyText"/>
        <w:rPr>
          <w:i/>
          <w:sz w:val="92"/>
        </w:rPr>
      </w:pPr>
    </w:p>
    <w:p>
      <w:pPr>
        <w:pStyle w:val="BodyText"/>
        <w:rPr>
          <w:i/>
          <w:sz w:val="92"/>
        </w:rPr>
      </w:pPr>
    </w:p>
    <w:p>
      <w:pPr>
        <w:pStyle w:val="BodyText"/>
        <w:rPr>
          <w:i/>
          <w:sz w:val="92"/>
        </w:rPr>
      </w:pPr>
    </w:p>
    <w:p>
      <w:pPr>
        <w:pStyle w:val="BodyText"/>
        <w:spacing w:before="287"/>
        <w:rPr>
          <w:i/>
          <w:sz w:val="92"/>
        </w:rPr>
      </w:pPr>
    </w:p>
    <w:p>
      <w:pPr>
        <w:pStyle w:val="Heading1"/>
      </w:pPr>
      <w:r>
        <w:rPr>
          <w:w w:val="120"/>
        </w:rPr>
        <w:t>The</w:t>
      </w:r>
      <w:r>
        <w:rPr>
          <w:spacing w:val="-3"/>
          <w:w w:val="120"/>
        </w:rPr>
        <w:t> </w:t>
      </w:r>
      <w:r>
        <w:rPr>
          <w:spacing w:val="-5"/>
          <w:w w:val="120"/>
        </w:rPr>
        <w:t>Ear</w:t>
      </w:r>
    </w:p>
    <w:p>
      <w:pPr>
        <w:pStyle w:val="Heading1"/>
        <w:spacing w:after="0"/>
        <w:sectPr>
          <w:headerReference w:type="default" r:id="rId327"/>
          <w:pgSz w:w="11900" w:h="16840"/>
          <w:pgMar w:header="0" w:footer="0" w:top="1940" w:bottom="280" w:left="708" w:right="566"/>
        </w:sectPr>
      </w:pPr>
    </w:p>
    <w:p>
      <w:pPr>
        <w:pStyle w:val="BodyText"/>
        <w:spacing w:before="97"/>
        <w:rPr>
          <w:rFonts w:ascii="Gabriola"/>
          <w:sz w:val="20"/>
        </w:rPr>
      </w:pPr>
    </w:p>
    <w:p>
      <w:pPr>
        <w:pStyle w:val="BodyText"/>
        <w:spacing w:line="268" w:lineRule="exact"/>
        <w:ind w:left="184"/>
        <w:rPr>
          <w:rFonts w:ascii="Gabriola"/>
          <w:position w:val="-4"/>
          <w:sz w:val="20"/>
        </w:rPr>
      </w:pPr>
      <w:r>
        <w:rPr>
          <w:rFonts w:ascii="Gabriola"/>
          <w:position w:val="-4"/>
          <w:sz w:val="20"/>
        </w:rPr>
        <mc:AlternateContent>
          <mc:Choice Requires="wps">
            <w:drawing>
              <wp:inline distT="0" distB="0" distL="0" distR="0">
                <wp:extent cx="6185535" cy="170815"/>
                <wp:effectExtent l="19050" t="0" r="62864" b="635"/>
                <wp:docPr id="1317" name="Group 1317"/>
                <wp:cNvGraphicFramePr>
                  <a:graphicFrameLocks/>
                </wp:cNvGraphicFramePr>
                <a:graphic>
                  <a:graphicData uri="http://schemas.microsoft.com/office/word/2010/wordprocessingGroup">
                    <wpg:wgp>
                      <wpg:cNvPr id="1317" name="Group 1317"/>
                      <wpg:cNvGrpSpPr/>
                      <wpg:grpSpPr>
                        <a:xfrm>
                          <a:off x="0" y="0"/>
                          <a:ext cx="6185535" cy="170815"/>
                          <a:chExt cx="6185535" cy="170815"/>
                        </a:xfrm>
                      </wpg:grpSpPr>
                      <wps:wsp>
                        <wps:cNvPr id="1318" name="Graphic 1318"/>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319" name="Graphic 1319"/>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320" name="Textbox 1320"/>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3072</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38"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039" filled="false" stroked="false">
                  <v:textbox inset="0,0,0,0">
                    <w:txbxContent>
                      <w:p>
                        <w:pPr>
                          <w:spacing w:before="6"/>
                          <w:ind w:left="-1" w:right="0" w:firstLine="0"/>
                          <w:jc w:val="left"/>
                          <w:rPr>
                            <w:sz w:val="18"/>
                          </w:rPr>
                        </w:pPr>
                        <w:r>
                          <w:rPr>
                            <w:b/>
                            <w:color w:val="231F20"/>
                            <w:w w:val="105"/>
                            <w:sz w:val="18"/>
                          </w:rPr>
                          <w:t>3072</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v:textbox>
                  <w10:wrap type="none"/>
                </v:shape>
              </v:group>
            </w:pict>
          </mc:Fallback>
        </mc:AlternateContent>
      </w:r>
      <w:r>
        <w:rPr>
          <w:rFonts w:ascii="Gabriola"/>
          <w:position w:val="-4"/>
          <w:sz w:val="20"/>
        </w:rPr>
      </w:r>
    </w:p>
    <w:p>
      <w:pPr>
        <w:pStyle w:val="BodyText"/>
        <w:spacing w:before="15"/>
        <w:rPr>
          <w:rFonts w:ascii="Gabriola"/>
          <w:sz w:val="11"/>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8593"/>
      </w:tblGrid>
      <w:tr>
        <w:trPr>
          <w:trHeight w:val="353" w:hRule="atLeast"/>
        </w:trPr>
        <w:tc>
          <w:tcPr>
            <w:tcW w:w="1148" w:type="dxa"/>
            <w:tcBorders>
              <w:bottom w:val="single" w:sz="8" w:space="0" w:color="FFFFFF"/>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1</w:t>
            </w:r>
          </w:p>
        </w:tc>
        <w:tc>
          <w:tcPr>
            <w:tcW w:w="8593" w:type="dxa"/>
            <w:tcBorders>
              <w:left w:val="single" w:sz="8" w:space="0" w:color="FFFFFF"/>
              <w:bottom w:val="single" w:sz="8" w:space="0" w:color="FFFFFF"/>
            </w:tcBorders>
            <w:shd w:val="clear" w:color="auto" w:fill="231F20"/>
          </w:tcPr>
          <w:p>
            <w:pPr>
              <w:pStyle w:val="TableParagraph"/>
              <w:spacing w:before="89"/>
              <w:ind w:left="73"/>
              <w:rPr>
                <w:sz w:val="16"/>
              </w:rPr>
            </w:pPr>
            <w:r>
              <w:rPr>
                <w:color w:val="FFFFFF"/>
                <w:w w:val="105"/>
                <w:sz w:val="16"/>
              </w:rPr>
              <w:t>Indicators</w:t>
            </w:r>
            <w:r>
              <w:rPr>
                <w:color w:val="FFFFFF"/>
                <w:spacing w:val="8"/>
                <w:w w:val="105"/>
                <w:sz w:val="16"/>
              </w:rPr>
              <w:t> </w:t>
            </w:r>
            <w:r>
              <w:rPr>
                <w:color w:val="FFFFFF"/>
                <w:w w:val="105"/>
                <w:sz w:val="16"/>
              </w:rPr>
              <w:t>Associated</w:t>
            </w:r>
            <w:r>
              <w:rPr>
                <w:color w:val="FFFFFF"/>
                <w:spacing w:val="9"/>
                <w:w w:val="105"/>
                <w:sz w:val="16"/>
              </w:rPr>
              <w:t> </w:t>
            </w:r>
            <w:r>
              <w:rPr>
                <w:color w:val="FFFFFF"/>
                <w:w w:val="105"/>
                <w:sz w:val="16"/>
              </w:rPr>
              <w:t>with</w:t>
            </w:r>
            <w:r>
              <w:rPr>
                <w:color w:val="FFFFFF"/>
                <w:spacing w:val="9"/>
                <w:w w:val="105"/>
                <w:sz w:val="16"/>
              </w:rPr>
              <w:t> </w:t>
            </w:r>
            <w:r>
              <w:rPr>
                <w:color w:val="FFFFFF"/>
                <w:w w:val="105"/>
                <w:sz w:val="16"/>
              </w:rPr>
              <w:t>Hearing</w:t>
            </w:r>
            <w:r>
              <w:rPr>
                <w:color w:val="FFFFFF"/>
                <w:spacing w:val="8"/>
                <w:w w:val="105"/>
                <w:sz w:val="16"/>
              </w:rPr>
              <w:t> </w:t>
            </w:r>
            <w:r>
              <w:rPr>
                <w:color w:val="FFFFFF"/>
                <w:spacing w:val="-4"/>
                <w:w w:val="105"/>
                <w:sz w:val="16"/>
              </w:rPr>
              <w:t>Loss</w:t>
            </w:r>
          </w:p>
        </w:tc>
      </w:tr>
      <w:tr>
        <w:trPr>
          <w:trHeight w:val="4673" w:hRule="atLeast"/>
        </w:trPr>
        <w:tc>
          <w:tcPr>
            <w:tcW w:w="9741" w:type="dxa"/>
            <w:gridSpan w:val="2"/>
            <w:tcBorders>
              <w:top w:val="single" w:sz="8" w:space="0" w:color="FFFFFF"/>
              <w:bottom w:val="single" w:sz="4" w:space="0" w:color="FFFFFF"/>
            </w:tcBorders>
            <w:shd w:val="clear" w:color="auto" w:fill="E8F5F1"/>
          </w:tcPr>
          <w:p>
            <w:pPr>
              <w:pStyle w:val="TableParagraph"/>
              <w:spacing w:line="172" w:lineRule="exact" w:before="47"/>
              <w:ind w:left="74"/>
              <w:rPr>
                <w:sz w:val="15"/>
              </w:rPr>
            </w:pPr>
            <w:r>
              <w:rPr>
                <w:color w:val="231F20"/>
                <w:w w:val="110"/>
                <w:sz w:val="15"/>
              </w:rPr>
              <w:t>INDICATORS</w:t>
            </w:r>
            <w:r>
              <w:rPr>
                <w:color w:val="231F20"/>
                <w:spacing w:val="17"/>
                <w:w w:val="110"/>
                <w:sz w:val="15"/>
              </w:rPr>
              <w:t> </w:t>
            </w:r>
            <w:r>
              <w:rPr>
                <w:color w:val="231F20"/>
                <w:w w:val="110"/>
                <w:sz w:val="15"/>
              </w:rPr>
              <w:t>ASSOCIATED</w:t>
            </w:r>
            <w:r>
              <w:rPr>
                <w:color w:val="231F20"/>
                <w:spacing w:val="18"/>
                <w:w w:val="110"/>
                <w:sz w:val="15"/>
              </w:rPr>
              <w:t> </w:t>
            </w:r>
            <w:r>
              <w:rPr>
                <w:color w:val="231F20"/>
                <w:w w:val="110"/>
                <w:sz w:val="15"/>
              </w:rPr>
              <w:t>WITH</w:t>
            </w:r>
            <w:r>
              <w:rPr>
                <w:color w:val="231F20"/>
                <w:spacing w:val="17"/>
                <w:w w:val="110"/>
                <w:sz w:val="15"/>
              </w:rPr>
              <w:t> </w:t>
            </w:r>
            <w:r>
              <w:rPr>
                <w:color w:val="231F20"/>
                <w:w w:val="110"/>
                <w:sz w:val="15"/>
              </w:rPr>
              <w:t>SENSORINEURAL</w:t>
            </w:r>
            <w:r>
              <w:rPr>
                <w:color w:val="231F20"/>
                <w:spacing w:val="18"/>
                <w:w w:val="110"/>
                <w:sz w:val="15"/>
              </w:rPr>
              <w:t> </w:t>
            </w:r>
            <w:r>
              <w:rPr>
                <w:color w:val="231F20"/>
                <w:w w:val="110"/>
                <w:sz w:val="15"/>
              </w:rPr>
              <w:t>AND/OR</w:t>
            </w:r>
            <w:r>
              <w:rPr>
                <w:color w:val="231F20"/>
                <w:spacing w:val="18"/>
                <w:w w:val="110"/>
                <w:sz w:val="15"/>
              </w:rPr>
              <w:t> </w:t>
            </w:r>
            <w:r>
              <w:rPr>
                <w:color w:val="231F20"/>
                <w:w w:val="110"/>
                <w:sz w:val="15"/>
              </w:rPr>
              <w:t>CONDUCTIVE</w:t>
            </w:r>
            <w:r>
              <w:rPr>
                <w:color w:val="231F20"/>
                <w:spacing w:val="17"/>
                <w:w w:val="110"/>
                <w:sz w:val="15"/>
              </w:rPr>
              <w:t> </w:t>
            </w:r>
            <w:r>
              <w:rPr>
                <w:color w:val="231F20"/>
                <w:w w:val="110"/>
                <w:sz w:val="15"/>
              </w:rPr>
              <w:t>HEARING</w:t>
            </w:r>
            <w:r>
              <w:rPr>
                <w:color w:val="231F20"/>
                <w:spacing w:val="18"/>
                <w:w w:val="110"/>
                <w:sz w:val="15"/>
              </w:rPr>
              <w:t> </w:t>
            </w:r>
            <w:r>
              <w:rPr>
                <w:color w:val="231F20"/>
                <w:spacing w:val="-4"/>
                <w:w w:val="110"/>
                <w:sz w:val="15"/>
              </w:rPr>
              <w:t>LOSS</w:t>
            </w:r>
          </w:p>
          <w:p>
            <w:pPr>
              <w:pStyle w:val="TableParagraph"/>
              <w:spacing w:line="170" w:lineRule="exact"/>
              <w:ind w:left="74"/>
              <w:rPr>
                <w:i/>
                <w:sz w:val="15"/>
              </w:rPr>
            </w:pPr>
            <w:r>
              <w:rPr>
                <w:i/>
                <w:color w:val="231F20"/>
                <w:sz w:val="15"/>
              </w:rPr>
              <w:t>Neonates</w:t>
            </w:r>
            <w:r>
              <w:rPr>
                <w:i/>
                <w:color w:val="231F20"/>
                <w:spacing w:val="9"/>
                <w:sz w:val="15"/>
              </w:rPr>
              <w:t> </w:t>
            </w:r>
            <w:r>
              <w:rPr>
                <w:i/>
                <w:color w:val="231F20"/>
                <w:sz w:val="15"/>
              </w:rPr>
              <w:t>(Birth-28</w:t>
            </w:r>
            <w:r>
              <w:rPr>
                <w:i/>
                <w:color w:val="231F20"/>
                <w:spacing w:val="10"/>
                <w:sz w:val="15"/>
              </w:rPr>
              <w:t> </w:t>
            </w:r>
            <w:r>
              <w:rPr>
                <w:i/>
                <w:color w:val="231F20"/>
                <w:sz w:val="15"/>
              </w:rPr>
              <w:t>Days)</w:t>
            </w:r>
            <w:r>
              <w:rPr>
                <w:i/>
                <w:color w:val="231F20"/>
                <w:spacing w:val="10"/>
                <w:sz w:val="15"/>
              </w:rPr>
              <w:t> </w:t>
            </w:r>
            <w:r>
              <w:rPr>
                <w:i/>
                <w:color w:val="231F20"/>
                <w:sz w:val="15"/>
              </w:rPr>
              <w:t>When</w:t>
            </w:r>
            <w:r>
              <w:rPr>
                <w:i/>
                <w:color w:val="231F20"/>
                <w:spacing w:val="10"/>
                <w:sz w:val="15"/>
              </w:rPr>
              <w:t> </w:t>
            </w:r>
            <w:r>
              <w:rPr>
                <w:i/>
                <w:color w:val="231F20"/>
                <w:sz w:val="15"/>
              </w:rPr>
              <w:t>Universal</w:t>
            </w:r>
            <w:r>
              <w:rPr>
                <w:i/>
                <w:color w:val="231F20"/>
                <w:spacing w:val="10"/>
                <w:sz w:val="15"/>
              </w:rPr>
              <w:t> </w:t>
            </w:r>
            <w:r>
              <w:rPr>
                <w:i/>
                <w:color w:val="231F20"/>
                <w:sz w:val="15"/>
              </w:rPr>
              <w:t>Screening</w:t>
            </w:r>
            <w:r>
              <w:rPr>
                <w:i/>
                <w:color w:val="231F20"/>
                <w:spacing w:val="10"/>
                <w:sz w:val="15"/>
              </w:rPr>
              <w:t> </w:t>
            </w:r>
            <w:r>
              <w:rPr>
                <w:i/>
                <w:color w:val="231F20"/>
                <w:sz w:val="15"/>
              </w:rPr>
              <w:t>Is</w:t>
            </w:r>
            <w:r>
              <w:rPr>
                <w:i/>
                <w:color w:val="231F20"/>
                <w:spacing w:val="10"/>
                <w:sz w:val="15"/>
              </w:rPr>
              <w:t> </w:t>
            </w:r>
            <w:r>
              <w:rPr>
                <w:i/>
                <w:color w:val="231F20"/>
                <w:sz w:val="15"/>
              </w:rPr>
              <w:t>Not</w:t>
            </w:r>
            <w:r>
              <w:rPr>
                <w:i/>
                <w:color w:val="231F20"/>
                <w:spacing w:val="10"/>
                <w:sz w:val="15"/>
              </w:rPr>
              <w:t> </w:t>
            </w:r>
            <w:r>
              <w:rPr>
                <w:i/>
                <w:color w:val="231F20"/>
                <w:spacing w:val="-2"/>
                <w:sz w:val="15"/>
              </w:rPr>
              <w:t>Available</w:t>
            </w:r>
          </w:p>
          <w:p>
            <w:pPr>
              <w:pStyle w:val="TableParagraph"/>
              <w:spacing w:line="169" w:lineRule="exact"/>
              <w:ind w:left="74"/>
              <w:rPr>
                <w:sz w:val="15"/>
              </w:rPr>
            </w:pPr>
            <w:r>
              <w:rPr>
                <w:color w:val="231F20"/>
                <w:sz w:val="15"/>
              </w:rPr>
              <w:t>Family</w:t>
            </w:r>
            <w:r>
              <w:rPr>
                <w:color w:val="231F20"/>
                <w:spacing w:val="-11"/>
                <w:sz w:val="15"/>
              </w:rPr>
              <w:t> </w:t>
            </w:r>
            <w:r>
              <w:rPr>
                <w:color w:val="231F20"/>
                <w:sz w:val="15"/>
              </w:rPr>
              <w:t>history</w:t>
            </w:r>
            <w:r>
              <w:rPr>
                <w:color w:val="231F20"/>
                <w:spacing w:val="-10"/>
                <w:sz w:val="15"/>
              </w:rPr>
              <w:t> </w:t>
            </w:r>
            <w:r>
              <w:rPr>
                <w:color w:val="231F20"/>
                <w:sz w:val="15"/>
              </w:rPr>
              <w:t>of</w:t>
            </w:r>
            <w:r>
              <w:rPr>
                <w:color w:val="231F20"/>
                <w:spacing w:val="-11"/>
                <w:sz w:val="15"/>
              </w:rPr>
              <w:t> </w:t>
            </w:r>
            <w:r>
              <w:rPr>
                <w:color w:val="231F20"/>
                <w:sz w:val="15"/>
              </w:rPr>
              <w:t>hereditary</w:t>
            </w:r>
            <w:r>
              <w:rPr>
                <w:color w:val="231F20"/>
                <w:spacing w:val="-10"/>
                <w:sz w:val="15"/>
              </w:rPr>
              <w:t> </w:t>
            </w:r>
            <w:r>
              <w:rPr>
                <w:color w:val="231F20"/>
                <w:sz w:val="15"/>
              </w:rPr>
              <w:t>childhood</w:t>
            </w:r>
            <w:r>
              <w:rPr>
                <w:color w:val="231F20"/>
                <w:spacing w:val="-11"/>
                <w:sz w:val="15"/>
              </w:rPr>
              <w:t> </w:t>
            </w:r>
            <w:r>
              <w:rPr>
                <w:color w:val="231F20"/>
                <w:sz w:val="15"/>
              </w:rPr>
              <w:t>sensorineural</w:t>
            </w:r>
            <w:r>
              <w:rPr>
                <w:color w:val="231F20"/>
                <w:spacing w:val="-10"/>
                <w:sz w:val="15"/>
              </w:rPr>
              <w:t> </w:t>
            </w:r>
            <w:r>
              <w:rPr>
                <w:color w:val="231F20"/>
                <w:sz w:val="15"/>
              </w:rPr>
              <w:t>hearing</w:t>
            </w:r>
            <w:r>
              <w:rPr>
                <w:color w:val="231F20"/>
                <w:spacing w:val="-10"/>
                <w:sz w:val="15"/>
              </w:rPr>
              <w:t> </w:t>
            </w:r>
            <w:r>
              <w:rPr>
                <w:color w:val="231F20"/>
                <w:spacing w:val="-4"/>
                <w:sz w:val="15"/>
              </w:rPr>
              <w:t>loss</w:t>
            </w:r>
          </w:p>
          <w:p>
            <w:pPr>
              <w:pStyle w:val="TableParagraph"/>
              <w:spacing w:line="168" w:lineRule="exact"/>
              <w:ind w:left="74"/>
              <w:rPr>
                <w:sz w:val="15"/>
              </w:rPr>
            </w:pPr>
            <w:r>
              <w:rPr>
                <w:color w:val="231F20"/>
                <w:spacing w:val="-2"/>
                <w:sz w:val="15"/>
              </w:rPr>
              <w:t>In utero</w:t>
            </w:r>
            <w:r>
              <w:rPr>
                <w:color w:val="231F20"/>
                <w:spacing w:val="-1"/>
                <w:sz w:val="15"/>
              </w:rPr>
              <w:t> </w:t>
            </w:r>
            <w:r>
              <w:rPr>
                <w:color w:val="231F20"/>
                <w:spacing w:val="-2"/>
                <w:sz w:val="15"/>
              </w:rPr>
              <w:t>infection, such</w:t>
            </w:r>
            <w:r>
              <w:rPr>
                <w:color w:val="231F20"/>
                <w:spacing w:val="-1"/>
                <w:sz w:val="15"/>
              </w:rPr>
              <w:t> </w:t>
            </w:r>
            <w:r>
              <w:rPr>
                <w:color w:val="231F20"/>
                <w:spacing w:val="-2"/>
                <w:sz w:val="15"/>
              </w:rPr>
              <w:t>as</w:t>
            </w:r>
            <w:r>
              <w:rPr>
                <w:color w:val="231F20"/>
                <w:spacing w:val="-1"/>
                <w:sz w:val="15"/>
              </w:rPr>
              <w:t> </w:t>
            </w:r>
            <w:r>
              <w:rPr>
                <w:color w:val="231F20"/>
                <w:spacing w:val="-2"/>
                <w:sz w:val="15"/>
              </w:rPr>
              <w:t>cytomegalovirus, rubella,</w:t>
            </w:r>
            <w:r>
              <w:rPr>
                <w:color w:val="231F20"/>
                <w:spacing w:val="-1"/>
                <w:sz w:val="15"/>
              </w:rPr>
              <w:t> </w:t>
            </w:r>
            <w:r>
              <w:rPr>
                <w:color w:val="231F20"/>
                <w:spacing w:val="-2"/>
                <w:sz w:val="15"/>
              </w:rPr>
              <w:t>syphilis,</w:t>
            </w:r>
            <w:r>
              <w:rPr>
                <w:color w:val="231F20"/>
                <w:spacing w:val="-1"/>
                <w:sz w:val="15"/>
              </w:rPr>
              <w:t> </w:t>
            </w:r>
            <w:r>
              <w:rPr>
                <w:color w:val="231F20"/>
                <w:spacing w:val="-2"/>
                <w:sz w:val="15"/>
              </w:rPr>
              <w:t>herpes simplex,</w:t>
            </w:r>
            <w:r>
              <w:rPr>
                <w:color w:val="231F20"/>
                <w:spacing w:val="-1"/>
                <w:sz w:val="15"/>
              </w:rPr>
              <w:t> </w:t>
            </w:r>
            <w:r>
              <w:rPr>
                <w:color w:val="231F20"/>
                <w:spacing w:val="-2"/>
                <w:sz w:val="15"/>
              </w:rPr>
              <w:t>or toxoplasmosis</w:t>
            </w:r>
          </w:p>
          <w:p>
            <w:pPr>
              <w:pStyle w:val="TableParagraph"/>
              <w:spacing w:line="230" w:lineRule="auto" w:before="3"/>
              <w:ind w:left="186" w:right="162" w:hanging="112"/>
              <w:rPr>
                <w:sz w:val="15"/>
              </w:rPr>
            </w:pPr>
            <w:r>
              <w:rPr>
                <w:color w:val="231F20"/>
                <w:sz w:val="15"/>
              </w:rPr>
              <w:t>Craniofacial</w:t>
            </w:r>
            <w:r>
              <w:rPr>
                <w:color w:val="231F20"/>
                <w:spacing w:val="-9"/>
                <w:sz w:val="15"/>
              </w:rPr>
              <w:t> </w:t>
            </w:r>
            <w:r>
              <w:rPr>
                <w:color w:val="231F20"/>
                <w:sz w:val="15"/>
              </w:rPr>
              <w:t>anomalies,</w:t>
            </w:r>
            <w:r>
              <w:rPr>
                <w:color w:val="231F20"/>
                <w:spacing w:val="-9"/>
                <w:sz w:val="15"/>
              </w:rPr>
              <w:t> </w:t>
            </w:r>
            <w:r>
              <w:rPr>
                <w:color w:val="231F20"/>
                <w:sz w:val="15"/>
              </w:rPr>
              <w:t>including</w:t>
            </w:r>
            <w:r>
              <w:rPr>
                <w:color w:val="231F20"/>
                <w:spacing w:val="-9"/>
                <w:sz w:val="15"/>
              </w:rPr>
              <w:t> </w:t>
            </w:r>
            <w:r>
              <w:rPr>
                <w:color w:val="231F20"/>
                <w:sz w:val="15"/>
              </w:rPr>
              <w:t>those</w:t>
            </w:r>
            <w:r>
              <w:rPr>
                <w:color w:val="231F20"/>
                <w:spacing w:val="-9"/>
                <w:sz w:val="15"/>
              </w:rPr>
              <w:t> </w:t>
            </w:r>
            <w:r>
              <w:rPr>
                <w:color w:val="231F20"/>
                <w:sz w:val="15"/>
              </w:rPr>
              <w:t>with</w:t>
            </w:r>
            <w:r>
              <w:rPr>
                <w:color w:val="231F20"/>
                <w:spacing w:val="-9"/>
                <w:sz w:val="15"/>
              </w:rPr>
              <w:t> </w:t>
            </w:r>
            <w:r>
              <w:rPr>
                <w:color w:val="231F20"/>
                <w:sz w:val="15"/>
              </w:rPr>
              <w:t>morphologic</w:t>
            </w:r>
            <w:r>
              <w:rPr>
                <w:color w:val="231F20"/>
                <w:spacing w:val="-9"/>
                <w:sz w:val="15"/>
              </w:rPr>
              <w:t> </w:t>
            </w:r>
            <w:r>
              <w:rPr>
                <w:color w:val="231F20"/>
                <w:sz w:val="15"/>
              </w:rPr>
              <w:t>abnormalities</w:t>
            </w:r>
            <w:r>
              <w:rPr>
                <w:color w:val="231F20"/>
                <w:spacing w:val="-9"/>
                <w:sz w:val="15"/>
              </w:rPr>
              <w:t> </w:t>
            </w:r>
            <w:r>
              <w:rPr>
                <w:color w:val="231F20"/>
                <w:sz w:val="15"/>
              </w:rPr>
              <w:t>of</w:t>
            </w:r>
            <w:r>
              <w:rPr>
                <w:color w:val="231F20"/>
                <w:spacing w:val="-9"/>
                <w:sz w:val="15"/>
              </w:rPr>
              <w:t> </w:t>
            </w:r>
            <w:r>
              <w:rPr>
                <w:color w:val="231F20"/>
                <w:sz w:val="15"/>
              </w:rPr>
              <w:t>the</w:t>
            </w:r>
            <w:r>
              <w:rPr>
                <w:color w:val="231F20"/>
                <w:spacing w:val="-9"/>
                <w:sz w:val="15"/>
              </w:rPr>
              <w:t> </w:t>
            </w:r>
            <w:r>
              <w:rPr>
                <w:color w:val="231F20"/>
                <w:sz w:val="15"/>
              </w:rPr>
              <w:t>pinna,</w:t>
            </w:r>
            <w:r>
              <w:rPr>
                <w:color w:val="231F20"/>
                <w:spacing w:val="-9"/>
                <w:sz w:val="15"/>
              </w:rPr>
              <w:t> </w:t>
            </w:r>
            <w:r>
              <w:rPr>
                <w:color w:val="231F20"/>
                <w:sz w:val="15"/>
              </w:rPr>
              <w:t>ear</w:t>
            </w:r>
            <w:r>
              <w:rPr>
                <w:color w:val="231F20"/>
                <w:spacing w:val="-9"/>
                <w:sz w:val="15"/>
              </w:rPr>
              <w:t> </w:t>
            </w:r>
            <w:r>
              <w:rPr>
                <w:color w:val="231F20"/>
                <w:sz w:val="15"/>
              </w:rPr>
              <w:t>canal,</w:t>
            </w:r>
            <w:r>
              <w:rPr>
                <w:color w:val="231F20"/>
                <w:spacing w:val="-9"/>
                <w:sz w:val="15"/>
              </w:rPr>
              <w:t> </w:t>
            </w:r>
            <w:r>
              <w:rPr>
                <w:color w:val="231F20"/>
                <w:sz w:val="15"/>
              </w:rPr>
              <w:t>ear</w:t>
            </w:r>
            <w:r>
              <w:rPr>
                <w:color w:val="231F20"/>
                <w:spacing w:val="-9"/>
                <w:sz w:val="15"/>
              </w:rPr>
              <w:t> </w:t>
            </w:r>
            <w:r>
              <w:rPr>
                <w:color w:val="231F20"/>
                <w:sz w:val="15"/>
              </w:rPr>
              <w:t>tags,</w:t>
            </w:r>
            <w:r>
              <w:rPr>
                <w:color w:val="231F20"/>
                <w:spacing w:val="-9"/>
                <w:sz w:val="15"/>
              </w:rPr>
              <w:t> </w:t>
            </w:r>
            <w:r>
              <w:rPr>
                <w:color w:val="231F20"/>
                <w:sz w:val="15"/>
              </w:rPr>
              <w:t>ear</w:t>
            </w:r>
            <w:r>
              <w:rPr>
                <w:color w:val="231F20"/>
                <w:spacing w:val="-9"/>
                <w:sz w:val="15"/>
              </w:rPr>
              <w:t> </w:t>
            </w:r>
            <w:r>
              <w:rPr>
                <w:color w:val="231F20"/>
                <w:sz w:val="15"/>
              </w:rPr>
              <w:t>pits,</w:t>
            </w:r>
            <w:r>
              <w:rPr>
                <w:color w:val="231F20"/>
                <w:spacing w:val="-9"/>
                <w:sz w:val="15"/>
              </w:rPr>
              <w:t> </w:t>
            </w:r>
            <w:r>
              <w:rPr>
                <w:color w:val="231F20"/>
                <w:sz w:val="15"/>
              </w:rPr>
              <w:t>and</w:t>
            </w:r>
            <w:r>
              <w:rPr>
                <w:color w:val="231F20"/>
                <w:spacing w:val="-9"/>
                <w:sz w:val="15"/>
              </w:rPr>
              <w:t> </w:t>
            </w:r>
            <w:r>
              <w:rPr>
                <w:color w:val="231F20"/>
                <w:sz w:val="15"/>
              </w:rPr>
              <w:t>temporal</w:t>
            </w:r>
            <w:r>
              <w:rPr>
                <w:color w:val="231F20"/>
                <w:spacing w:val="-9"/>
                <w:sz w:val="15"/>
              </w:rPr>
              <w:t> </w:t>
            </w:r>
            <w:r>
              <w:rPr>
                <w:color w:val="231F20"/>
                <w:sz w:val="15"/>
              </w:rPr>
              <w:t>bone </w:t>
            </w:r>
            <w:r>
              <w:rPr>
                <w:color w:val="231F20"/>
                <w:spacing w:val="-2"/>
                <w:sz w:val="15"/>
              </w:rPr>
              <w:t>anomalies</w:t>
            </w:r>
          </w:p>
          <w:p>
            <w:pPr>
              <w:pStyle w:val="TableParagraph"/>
              <w:spacing w:line="167" w:lineRule="exact"/>
              <w:ind w:left="74"/>
              <w:rPr>
                <w:sz w:val="15"/>
              </w:rPr>
            </w:pPr>
            <w:r>
              <w:rPr>
                <w:color w:val="231F20"/>
                <w:spacing w:val="-2"/>
                <w:sz w:val="15"/>
              </w:rPr>
              <w:t>Birthweight </w:t>
            </w:r>
            <w:r>
              <w:rPr>
                <w:rFonts w:ascii="Cambria"/>
                <w:color w:val="231F20"/>
                <w:spacing w:val="-2"/>
                <w:sz w:val="15"/>
              </w:rPr>
              <w:t>&lt;</w:t>
            </w:r>
            <w:r>
              <w:rPr>
                <w:color w:val="231F20"/>
                <w:spacing w:val="-2"/>
                <w:sz w:val="15"/>
              </w:rPr>
              <w:t>1500</w:t>
            </w:r>
            <w:r>
              <w:rPr>
                <w:color w:val="231F20"/>
                <w:spacing w:val="-1"/>
                <w:sz w:val="15"/>
              </w:rPr>
              <w:t> </w:t>
            </w:r>
            <w:r>
              <w:rPr>
                <w:color w:val="231F20"/>
                <w:spacing w:val="-2"/>
                <w:sz w:val="15"/>
              </w:rPr>
              <w:t>g</w:t>
            </w:r>
            <w:r>
              <w:rPr>
                <w:color w:val="231F20"/>
                <w:spacing w:val="-1"/>
                <w:sz w:val="15"/>
              </w:rPr>
              <w:t> </w:t>
            </w:r>
            <w:r>
              <w:rPr>
                <w:color w:val="231F20"/>
                <w:spacing w:val="-2"/>
                <w:sz w:val="15"/>
              </w:rPr>
              <w:t>(3.3</w:t>
            </w:r>
            <w:r>
              <w:rPr>
                <w:color w:val="231F20"/>
                <w:spacing w:val="-1"/>
                <w:sz w:val="15"/>
              </w:rPr>
              <w:t> </w:t>
            </w:r>
            <w:r>
              <w:rPr>
                <w:color w:val="231F20"/>
                <w:spacing w:val="-5"/>
                <w:sz w:val="15"/>
              </w:rPr>
              <w:t>lb)</w:t>
            </w:r>
          </w:p>
          <w:p>
            <w:pPr>
              <w:pStyle w:val="TableParagraph"/>
              <w:spacing w:line="168" w:lineRule="exact"/>
              <w:ind w:left="74"/>
              <w:rPr>
                <w:sz w:val="15"/>
              </w:rPr>
            </w:pPr>
            <w:r>
              <w:rPr>
                <w:color w:val="231F20"/>
                <w:sz w:val="15"/>
              </w:rPr>
              <w:t>Hyperbilirubinemia</w:t>
            </w:r>
            <w:r>
              <w:rPr>
                <w:color w:val="231F20"/>
                <w:spacing w:val="-8"/>
                <w:sz w:val="15"/>
              </w:rPr>
              <w:t> </w:t>
            </w:r>
            <w:r>
              <w:rPr>
                <w:color w:val="231F20"/>
                <w:sz w:val="15"/>
              </w:rPr>
              <w:t>at</w:t>
            </w:r>
            <w:r>
              <w:rPr>
                <w:color w:val="231F20"/>
                <w:spacing w:val="-7"/>
                <w:sz w:val="15"/>
              </w:rPr>
              <w:t> </w:t>
            </w:r>
            <w:r>
              <w:rPr>
                <w:color w:val="231F20"/>
                <w:sz w:val="15"/>
              </w:rPr>
              <w:t>a</w:t>
            </w:r>
            <w:r>
              <w:rPr>
                <w:color w:val="231F20"/>
                <w:spacing w:val="-7"/>
                <w:sz w:val="15"/>
              </w:rPr>
              <w:t> </w:t>
            </w:r>
            <w:r>
              <w:rPr>
                <w:color w:val="231F20"/>
                <w:sz w:val="15"/>
              </w:rPr>
              <w:t>serum</w:t>
            </w:r>
            <w:r>
              <w:rPr>
                <w:color w:val="231F20"/>
                <w:spacing w:val="-7"/>
                <w:sz w:val="15"/>
              </w:rPr>
              <w:t> </w:t>
            </w:r>
            <w:r>
              <w:rPr>
                <w:color w:val="231F20"/>
                <w:sz w:val="15"/>
              </w:rPr>
              <w:t>level</w:t>
            </w:r>
            <w:r>
              <w:rPr>
                <w:color w:val="231F20"/>
                <w:spacing w:val="-7"/>
                <w:sz w:val="15"/>
              </w:rPr>
              <w:t> </w:t>
            </w:r>
            <w:r>
              <w:rPr>
                <w:color w:val="231F20"/>
                <w:sz w:val="15"/>
              </w:rPr>
              <w:t>requiring</w:t>
            </w:r>
            <w:r>
              <w:rPr>
                <w:color w:val="231F20"/>
                <w:spacing w:val="-7"/>
                <w:sz w:val="15"/>
              </w:rPr>
              <w:t> </w:t>
            </w:r>
            <w:r>
              <w:rPr>
                <w:color w:val="231F20"/>
                <w:sz w:val="15"/>
              </w:rPr>
              <w:t>exchange</w:t>
            </w:r>
            <w:r>
              <w:rPr>
                <w:color w:val="231F20"/>
                <w:spacing w:val="-7"/>
                <w:sz w:val="15"/>
              </w:rPr>
              <w:t> </w:t>
            </w:r>
            <w:r>
              <w:rPr>
                <w:color w:val="231F20"/>
                <w:spacing w:val="-2"/>
                <w:sz w:val="15"/>
              </w:rPr>
              <w:t>transfusion</w:t>
            </w:r>
          </w:p>
          <w:p>
            <w:pPr>
              <w:pStyle w:val="TableParagraph"/>
              <w:spacing w:line="230" w:lineRule="auto" w:before="2"/>
              <w:ind w:left="74" w:right="162"/>
              <w:rPr>
                <w:sz w:val="15"/>
              </w:rPr>
            </w:pPr>
            <w:r>
              <w:rPr>
                <w:color w:val="231F20"/>
                <w:sz w:val="15"/>
              </w:rPr>
              <w:t>Ototoxic</w:t>
            </w:r>
            <w:r>
              <w:rPr>
                <w:color w:val="231F20"/>
                <w:spacing w:val="-6"/>
                <w:sz w:val="15"/>
              </w:rPr>
              <w:t> </w:t>
            </w:r>
            <w:r>
              <w:rPr>
                <w:color w:val="231F20"/>
                <w:sz w:val="15"/>
              </w:rPr>
              <w:t>medications,</w:t>
            </w:r>
            <w:r>
              <w:rPr>
                <w:color w:val="231F20"/>
                <w:spacing w:val="-6"/>
                <w:sz w:val="15"/>
              </w:rPr>
              <w:t> </w:t>
            </w:r>
            <w:r>
              <w:rPr>
                <w:color w:val="231F20"/>
                <w:sz w:val="15"/>
              </w:rPr>
              <w:t>including</w:t>
            </w:r>
            <w:r>
              <w:rPr>
                <w:color w:val="231F20"/>
                <w:spacing w:val="-6"/>
                <w:sz w:val="15"/>
              </w:rPr>
              <w:t> </w:t>
            </w:r>
            <w:r>
              <w:rPr>
                <w:color w:val="231F20"/>
                <w:sz w:val="15"/>
              </w:rPr>
              <w:t>but</w:t>
            </w:r>
            <w:r>
              <w:rPr>
                <w:color w:val="231F20"/>
                <w:spacing w:val="-6"/>
                <w:sz w:val="15"/>
              </w:rPr>
              <w:t> </w:t>
            </w:r>
            <w:r>
              <w:rPr>
                <w:color w:val="231F20"/>
                <w:sz w:val="15"/>
              </w:rPr>
              <w:t>not</w:t>
            </w:r>
            <w:r>
              <w:rPr>
                <w:color w:val="231F20"/>
                <w:spacing w:val="-6"/>
                <w:sz w:val="15"/>
              </w:rPr>
              <w:t> </w:t>
            </w:r>
            <w:r>
              <w:rPr>
                <w:color w:val="231F20"/>
                <w:sz w:val="15"/>
              </w:rPr>
              <w:t>limited</w:t>
            </w:r>
            <w:r>
              <w:rPr>
                <w:color w:val="231F20"/>
                <w:spacing w:val="-6"/>
                <w:sz w:val="15"/>
              </w:rPr>
              <w:t> </w:t>
            </w:r>
            <w:r>
              <w:rPr>
                <w:color w:val="231F20"/>
                <w:sz w:val="15"/>
              </w:rPr>
              <w:t>to</w:t>
            </w:r>
            <w:r>
              <w:rPr>
                <w:color w:val="231F20"/>
                <w:spacing w:val="-6"/>
                <w:sz w:val="15"/>
              </w:rPr>
              <w:t> </w:t>
            </w:r>
            <w:r>
              <w:rPr>
                <w:color w:val="231F20"/>
                <w:sz w:val="15"/>
              </w:rPr>
              <w:t>the</w:t>
            </w:r>
            <w:r>
              <w:rPr>
                <w:color w:val="231F20"/>
                <w:spacing w:val="-6"/>
                <w:sz w:val="15"/>
              </w:rPr>
              <w:t> </w:t>
            </w:r>
            <w:r>
              <w:rPr>
                <w:color w:val="231F20"/>
                <w:sz w:val="15"/>
              </w:rPr>
              <w:t>aminoglycosides,</w:t>
            </w:r>
            <w:r>
              <w:rPr>
                <w:color w:val="231F20"/>
                <w:spacing w:val="-6"/>
                <w:sz w:val="15"/>
              </w:rPr>
              <w:t> </w:t>
            </w:r>
            <w:r>
              <w:rPr>
                <w:color w:val="231F20"/>
                <w:sz w:val="15"/>
              </w:rPr>
              <w:t>used</w:t>
            </w:r>
            <w:r>
              <w:rPr>
                <w:color w:val="231F20"/>
                <w:spacing w:val="-6"/>
                <w:sz w:val="15"/>
              </w:rPr>
              <w:t> </w:t>
            </w:r>
            <w:r>
              <w:rPr>
                <w:color w:val="231F20"/>
                <w:sz w:val="15"/>
              </w:rPr>
              <w:t>in</w:t>
            </w:r>
            <w:r>
              <w:rPr>
                <w:color w:val="231F20"/>
                <w:spacing w:val="-6"/>
                <w:sz w:val="15"/>
              </w:rPr>
              <w:t> </w:t>
            </w:r>
            <w:r>
              <w:rPr>
                <w:color w:val="231F20"/>
                <w:sz w:val="15"/>
              </w:rPr>
              <w:t>multiple</w:t>
            </w:r>
            <w:r>
              <w:rPr>
                <w:color w:val="231F20"/>
                <w:spacing w:val="-6"/>
                <w:sz w:val="15"/>
              </w:rPr>
              <w:t> </w:t>
            </w:r>
            <w:r>
              <w:rPr>
                <w:color w:val="231F20"/>
                <w:sz w:val="15"/>
              </w:rPr>
              <w:t>courses</w:t>
            </w:r>
            <w:r>
              <w:rPr>
                <w:color w:val="231F20"/>
                <w:spacing w:val="-6"/>
                <w:sz w:val="15"/>
              </w:rPr>
              <w:t> </w:t>
            </w:r>
            <w:r>
              <w:rPr>
                <w:color w:val="231F20"/>
                <w:sz w:val="15"/>
              </w:rPr>
              <w:t>or</w:t>
            </w:r>
            <w:r>
              <w:rPr>
                <w:color w:val="231F20"/>
                <w:spacing w:val="-6"/>
                <w:sz w:val="15"/>
              </w:rPr>
              <w:t> </w:t>
            </w:r>
            <w:r>
              <w:rPr>
                <w:color w:val="231F20"/>
                <w:sz w:val="15"/>
              </w:rPr>
              <w:t>in</w:t>
            </w:r>
            <w:r>
              <w:rPr>
                <w:color w:val="231F20"/>
                <w:spacing w:val="-6"/>
                <w:sz w:val="15"/>
              </w:rPr>
              <w:t> </w:t>
            </w:r>
            <w:r>
              <w:rPr>
                <w:color w:val="231F20"/>
                <w:sz w:val="15"/>
              </w:rPr>
              <w:t>combination</w:t>
            </w:r>
            <w:r>
              <w:rPr>
                <w:color w:val="231F20"/>
                <w:spacing w:val="-6"/>
                <w:sz w:val="15"/>
              </w:rPr>
              <w:t> </w:t>
            </w:r>
            <w:r>
              <w:rPr>
                <w:color w:val="231F20"/>
                <w:sz w:val="15"/>
              </w:rPr>
              <w:t>with</w:t>
            </w:r>
            <w:r>
              <w:rPr>
                <w:color w:val="231F20"/>
                <w:spacing w:val="-6"/>
                <w:sz w:val="15"/>
              </w:rPr>
              <w:t> </w:t>
            </w:r>
            <w:r>
              <w:rPr>
                <w:color w:val="231F20"/>
                <w:sz w:val="15"/>
              </w:rPr>
              <w:t>loop</w:t>
            </w:r>
            <w:r>
              <w:rPr>
                <w:color w:val="231F20"/>
                <w:spacing w:val="-6"/>
                <w:sz w:val="15"/>
              </w:rPr>
              <w:t> </w:t>
            </w:r>
            <w:r>
              <w:rPr>
                <w:color w:val="231F20"/>
                <w:sz w:val="15"/>
              </w:rPr>
              <w:t>diuretics Bacterial meningitis</w:t>
            </w:r>
          </w:p>
          <w:p>
            <w:pPr>
              <w:pStyle w:val="TableParagraph"/>
              <w:spacing w:line="166" w:lineRule="exact"/>
              <w:ind w:left="74"/>
              <w:rPr>
                <w:sz w:val="15"/>
              </w:rPr>
            </w:pPr>
            <w:r>
              <w:rPr>
                <w:color w:val="231F20"/>
                <w:sz w:val="15"/>
              </w:rPr>
              <w:t>Apgar</w:t>
            </w:r>
            <w:r>
              <w:rPr>
                <w:color w:val="231F20"/>
                <w:spacing w:val="-2"/>
                <w:sz w:val="15"/>
              </w:rPr>
              <w:t> </w:t>
            </w:r>
            <w:r>
              <w:rPr>
                <w:color w:val="231F20"/>
                <w:sz w:val="15"/>
              </w:rPr>
              <w:t>scores</w:t>
            </w:r>
            <w:r>
              <w:rPr>
                <w:color w:val="231F20"/>
                <w:spacing w:val="-2"/>
                <w:sz w:val="15"/>
              </w:rPr>
              <w:t> </w:t>
            </w:r>
            <w:r>
              <w:rPr>
                <w:color w:val="231F20"/>
                <w:sz w:val="15"/>
              </w:rPr>
              <w:t>of</w:t>
            </w:r>
            <w:r>
              <w:rPr>
                <w:color w:val="231F20"/>
                <w:spacing w:val="-1"/>
                <w:sz w:val="15"/>
              </w:rPr>
              <w:t> </w:t>
            </w:r>
            <w:r>
              <w:rPr>
                <w:color w:val="231F20"/>
                <w:sz w:val="15"/>
              </w:rPr>
              <w:t>0-4</w:t>
            </w:r>
            <w:r>
              <w:rPr>
                <w:color w:val="231F20"/>
                <w:spacing w:val="-2"/>
                <w:sz w:val="15"/>
              </w:rPr>
              <w:t> </w:t>
            </w:r>
            <w:r>
              <w:rPr>
                <w:color w:val="231F20"/>
                <w:sz w:val="15"/>
              </w:rPr>
              <w:t>at</w:t>
            </w:r>
            <w:r>
              <w:rPr>
                <w:color w:val="231F20"/>
                <w:spacing w:val="-1"/>
                <w:sz w:val="15"/>
              </w:rPr>
              <w:t> </w:t>
            </w:r>
            <w:r>
              <w:rPr>
                <w:color w:val="231F20"/>
                <w:sz w:val="15"/>
              </w:rPr>
              <w:t>1</w:t>
            </w:r>
            <w:r>
              <w:rPr>
                <w:color w:val="231F20"/>
                <w:spacing w:val="-2"/>
                <w:sz w:val="15"/>
              </w:rPr>
              <w:t> </w:t>
            </w:r>
            <w:r>
              <w:rPr>
                <w:color w:val="231F20"/>
                <w:sz w:val="15"/>
              </w:rPr>
              <w:t>min</w:t>
            </w:r>
            <w:r>
              <w:rPr>
                <w:color w:val="231F20"/>
                <w:spacing w:val="-2"/>
                <w:sz w:val="15"/>
              </w:rPr>
              <w:t> </w:t>
            </w:r>
            <w:r>
              <w:rPr>
                <w:color w:val="231F20"/>
                <w:sz w:val="15"/>
              </w:rPr>
              <w:t>or</w:t>
            </w:r>
            <w:r>
              <w:rPr>
                <w:color w:val="231F20"/>
                <w:spacing w:val="-1"/>
                <w:sz w:val="15"/>
              </w:rPr>
              <w:t> </w:t>
            </w:r>
            <w:r>
              <w:rPr>
                <w:color w:val="231F20"/>
                <w:sz w:val="15"/>
              </w:rPr>
              <w:t>0-6</w:t>
            </w:r>
            <w:r>
              <w:rPr>
                <w:color w:val="231F20"/>
                <w:spacing w:val="-2"/>
                <w:sz w:val="15"/>
              </w:rPr>
              <w:t> </w:t>
            </w:r>
            <w:r>
              <w:rPr>
                <w:color w:val="231F20"/>
                <w:sz w:val="15"/>
              </w:rPr>
              <w:t>at</w:t>
            </w:r>
            <w:r>
              <w:rPr>
                <w:color w:val="231F20"/>
                <w:spacing w:val="-1"/>
                <w:sz w:val="15"/>
              </w:rPr>
              <w:t> </w:t>
            </w:r>
            <w:r>
              <w:rPr>
                <w:color w:val="231F20"/>
                <w:sz w:val="15"/>
              </w:rPr>
              <w:t>5</w:t>
            </w:r>
            <w:r>
              <w:rPr>
                <w:color w:val="231F20"/>
                <w:spacing w:val="-2"/>
                <w:sz w:val="15"/>
              </w:rPr>
              <w:t> </w:t>
            </w:r>
            <w:r>
              <w:rPr>
                <w:color w:val="231F20"/>
                <w:spacing w:val="-5"/>
                <w:sz w:val="15"/>
              </w:rPr>
              <w:t>min</w:t>
            </w:r>
          </w:p>
          <w:p>
            <w:pPr>
              <w:pStyle w:val="TableParagraph"/>
              <w:spacing w:line="169" w:lineRule="exact"/>
              <w:ind w:left="74"/>
              <w:rPr>
                <w:sz w:val="15"/>
              </w:rPr>
            </w:pPr>
            <w:r>
              <w:rPr>
                <w:color w:val="231F20"/>
                <w:spacing w:val="-2"/>
                <w:sz w:val="15"/>
              </w:rPr>
              <w:t>Mechanical</w:t>
            </w:r>
            <w:r>
              <w:rPr>
                <w:color w:val="231F20"/>
                <w:spacing w:val="4"/>
                <w:sz w:val="15"/>
              </w:rPr>
              <w:t> </w:t>
            </w:r>
            <w:r>
              <w:rPr>
                <w:color w:val="231F20"/>
                <w:spacing w:val="-2"/>
                <w:sz w:val="15"/>
              </w:rPr>
              <w:t>ventilation</w:t>
            </w:r>
            <w:r>
              <w:rPr>
                <w:color w:val="231F20"/>
                <w:spacing w:val="4"/>
                <w:sz w:val="15"/>
              </w:rPr>
              <w:t> </w:t>
            </w:r>
            <w:r>
              <w:rPr>
                <w:color w:val="231F20"/>
                <w:spacing w:val="-2"/>
                <w:sz w:val="15"/>
              </w:rPr>
              <w:t>lasting</w:t>
            </w:r>
            <w:r>
              <w:rPr>
                <w:color w:val="231F20"/>
                <w:spacing w:val="4"/>
                <w:sz w:val="15"/>
              </w:rPr>
              <w:t> </w:t>
            </w:r>
            <w:r>
              <w:rPr>
                <w:rFonts w:ascii="Cambria" w:hAnsi="Cambria"/>
                <w:color w:val="231F20"/>
                <w:spacing w:val="-2"/>
                <w:sz w:val="15"/>
              </w:rPr>
              <w:t>≥</w:t>
            </w:r>
            <w:r>
              <w:rPr>
                <w:color w:val="231F20"/>
                <w:spacing w:val="-2"/>
                <w:sz w:val="15"/>
              </w:rPr>
              <w:t>5</w:t>
            </w:r>
            <w:r>
              <w:rPr>
                <w:color w:val="231F20"/>
                <w:spacing w:val="4"/>
                <w:sz w:val="15"/>
              </w:rPr>
              <w:t> </w:t>
            </w:r>
            <w:r>
              <w:rPr>
                <w:color w:val="231F20"/>
                <w:spacing w:val="-2"/>
                <w:sz w:val="15"/>
              </w:rPr>
              <w:t>days;</w:t>
            </w:r>
            <w:r>
              <w:rPr>
                <w:color w:val="231F20"/>
                <w:spacing w:val="4"/>
                <w:sz w:val="15"/>
              </w:rPr>
              <w:t> </w:t>
            </w:r>
            <w:r>
              <w:rPr>
                <w:color w:val="231F20"/>
                <w:spacing w:val="-2"/>
                <w:sz w:val="15"/>
              </w:rPr>
              <w:t>extracorporeal</w:t>
            </w:r>
            <w:r>
              <w:rPr>
                <w:color w:val="231F20"/>
                <w:spacing w:val="4"/>
                <w:sz w:val="15"/>
              </w:rPr>
              <w:t> </w:t>
            </w:r>
            <w:r>
              <w:rPr>
                <w:color w:val="231F20"/>
                <w:spacing w:val="-2"/>
                <w:sz w:val="15"/>
              </w:rPr>
              <w:t>membrane</w:t>
            </w:r>
            <w:r>
              <w:rPr>
                <w:color w:val="231F20"/>
                <w:spacing w:val="4"/>
                <w:sz w:val="15"/>
              </w:rPr>
              <w:t> </w:t>
            </w:r>
            <w:r>
              <w:rPr>
                <w:color w:val="231F20"/>
                <w:spacing w:val="-2"/>
                <w:sz w:val="15"/>
              </w:rPr>
              <w:t>oxygenation</w:t>
            </w:r>
          </w:p>
          <w:p>
            <w:pPr>
              <w:pStyle w:val="TableParagraph"/>
              <w:spacing w:line="171" w:lineRule="exact"/>
              <w:ind w:left="74"/>
              <w:rPr>
                <w:sz w:val="15"/>
              </w:rPr>
            </w:pPr>
            <w:r>
              <w:rPr>
                <w:color w:val="231F20"/>
                <w:sz w:val="15"/>
              </w:rPr>
              <w:t>Stigmata</w:t>
            </w:r>
            <w:r>
              <w:rPr>
                <w:color w:val="231F20"/>
                <w:spacing w:val="-7"/>
                <w:sz w:val="15"/>
              </w:rPr>
              <w:t> </w:t>
            </w:r>
            <w:r>
              <w:rPr>
                <w:color w:val="231F20"/>
                <w:sz w:val="15"/>
              </w:rPr>
              <w:t>or</w:t>
            </w:r>
            <w:r>
              <w:rPr>
                <w:color w:val="231F20"/>
                <w:spacing w:val="-6"/>
                <w:sz w:val="15"/>
              </w:rPr>
              <w:t> </w:t>
            </w:r>
            <w:r>
              <w:rPr>
                <w:color w:val="231F20"/>
                <w:sz w:val="15"/>
              </w:rPr>
              <w:t>other</w:t>
            </w:r>
            <w:r>
              <w:rPr>
                <w:color w:val="231F20"/>
                <w:spacing w:val="-6"/>
                <w:sz w:val="15"/>
              </w:rPr>
              <w:t> </w:t>
            </w:r>
            <w:r>
              <w:rPr>
                <w:color w:val="231F20"/>
                <w:sz w:val="15"/>
              </w:rPr>
              <w:t>findings</w:t>
            </w:r>
            <w:r>
              <w:rPr>
                <w:color w:val="231F20"/>
                <w:spacing w:val="-6"/>
                <w:sz w:val="15"/>
              </w:rPr>
              <w:t> </w:t>
            </w:r>
            <w:r>
              <w:rPr>
                <w:color w:val="231F20"/>
                <w:sz w:val="15"/>
              </w:rPr>
              <w:t>associated</w:t>
            </w:r>
            <w:r>
              <w:rPr>
                <w:color w:val="231F20"/>
                <w:spacing w:val="-6"/>
                <w:sz w:val="15"/>
              </w:rPr>
              <w:t> </w:t>
            </w:r>
            <w:r>
              <w:rPr>
                <w:color w:val="231F20"/>
                <w:sz w:val="15"/>
              </w:rPr>
              <w:t>with</w:t>
            </w:r>
            <w:r>
              <w:rPr>
                <w:color w:val="231F20"/>
                <w:spacing w:val="-6"/>
                <w:sz w:val="15"/>
              </w:rPr>
              <w:t> </w:t>
            </w:r>
            <w:r>
              <w:rPr>
                <w:color w:val="231F20"/>
                <w:sz w:val="15"/>
              </w:rPr>
              <w:t>a</w:t>
            </w:r>
            <w:r>
              <w:rPr>
                <w:color w:val="231F20"/>
                <w:spacing w:val="-6"/>
                <w:sz w:val="15"/>
              </w:rPr>
              <w:t> </w:t>
            </w:r>
            <w:r>
              <w:rPr>
                <w:color w:val="231F20"/>
                <w:sz w:val="15"/>
              </w:rPr>
              <w:t>syndrome</w:t>
            </w:r>
            <w:r>
              <w:rPr>
                <w:color w:val="231F20"/>
                <w:spacing w:val="-6"/>
                <w:sz w:val="15"/>
              </w:rPr>
              <w:t> </w:t>
            </w:r>
            <w:r>
              <w:rPr>
                <w:color w:val="231F20"/>
                <w:sz w:val="15"/>
              </w:rPr>
              <w:t>known</w:t>
            </w:r>
            <w:r>
              <w:rPr>
                <w:color w:val="231F20"/>
                <w:spacing w:val="-6"/>
                <w:sz w:val="15"/>
              </w:rPr>
              <w:t> </w:t>
            </w:r>
            <w:r>
              <w:rPr>
                <w:color w:val="231F20"/>
                <w:sz w:val="15"/>
              </w:rPr>
              <w:t>to</w:t>
            </w:r>
            <w:r>
              <w:rPr>
                <w:color w:val="231F20"/>
                <w:spacing w:val="-7"/>
                <w:sz w:val="15"/>
              </w:rPr>
              <w:t> </w:t>
            </w:r>
            <w:r>
              <w:rPr>
                <w:color w:val="231F20"/>
                <w:sz w:val="15"/>
              </w:rPr>
              <w:t>include</w:t>
            </w:r>
            <w:r>
              <w:rPr>
                <w:color w:val="231F20"/>
                <w:spacing w:val="-6"/>
                <w:sz w:val="15"/>
              </w:rPr>
              <w:t> </w:t>
            </w:r>
            <w:r>
              <w:rPr>
                <w:color w:val="231F20"/>
                <w:sz w:val="15"/>
              </w:rPr>
              <w:t>a</w:t>
            </w:r>
            <w:r>
              <w:rPr>
                <w:color w:val="231F20"/>
                <w:spacing w:val="-6"/>
                <w:sz w:val="15"/>
              </w:rPr>
              <w:t> </w:t>
            </w:r>
            <w:r>
              <w:rPr>
                <w:color w:val="231F20"/>
                <w:sz w:val="15"/>
              </w:rPr>
              <w:t>sensorineural</w:t>
            </w:r>
            <w:r>
              <w:rPr>
                <w:color w:val="231F20"/>
                <w:spacing w:val="-6"/>
                <w:sz w:val="15"/>
              </w:rPr>
              <w:t> </w:t>
            </w:r>
            <w:r>
              <w:rPr>
                <w:color w:val="231F20"/>
                <w:sz w:val="15"/>
              </w:rPr>
              <w:t>and/or</w:t>
            </w:r>
            <w:r>
              <w:rPr>
                <w:color w:val="231F20"/>
                <w:spacing w:val="-6"/>
                <w:sz w:val="15"/>
              </w:rPr>
              <w:t> </w:t>
            </w:r>
            <w:r>
              <w:rPr>
                <w:color w:val="231F20"/>
                <w:sz w:val="15"/>
              </w:rPr>
              <w:t>conductive</w:t>
            </w:r>
            <w:r>
              <w:rPr>
                <w:color w:val="231F20"/>
                <w:spacing w:val="-6"/>
                <w:sz w:val="15"/>
              </w:rPr>
              <w:t> </w:t>
            </w:r>
            <w:r>
              <w:rPr>
                <w:color w:val="231F20"/>
                <w:sz w:val="15"/>
              </w:rPr>
              <w:t>hearing</w:t>
            </w:r>
            <w:r>
              <w:rPr>
                <w:color w:val="231F20"/>
                <w:spacing w:val="-6"/>
                <w:sz w:val="15"/>
              </w:rPr>
              <w:t> </w:t>
            </w:r>
            <w:r>
              <w:rPr>
                <w:color w:val="231F20"/>
                <w:sz w:val="15"/>
              </w:rPr>
              <w:t>loss;</w:t>
            </w:r>
            <w:r>
              <w:rPr>
                <w:color w:val="231F20"/>
                <w:spacing w:val="-6"/>
                <w:sz w:val="15"/>
              </w:rPr>
              <w:t> </w:t>
            </w:r>
            <w:r>
              <w:rPr>
                <w:color w:val="231F20"/>
                <w:sz w:val="15"/>
              </w:rPr>
              <w:t>white</w:t>
            </w:r>
            <w:r>
              <w:rPr>
                <w:color w:val="231F20"/>
                <w:spacing w:val="-6"/>
                <w:sz w:val="15"/>
              </w:rPr>
              <w:t> </w:t>
            </w:r>
            <w:r>
              <w:rPr>
                <w:color w:val="231F20"/>
                <w:spacing w:val="-2"/>
                <w:sz w:val="15"/>
              </w:rPr>
              <w:t>forelock</w:t>
            </w:r>
          </w:p>
          <w:p>
            <w:pPr>
              <w:pStyle w:val="TableParagraph"/>
              <w:spacing w:line="172" w:lineRule="exact" w:before="15"/>
              <w:ind w:left="74"/>
              <w:rPr>
                <w:i/>
                <w:sz w:val="15"/>
              </w:rPr>
            </w:pPr>
            <w:r>
              <w:rPr>
                <w:i/>
                <w:color w:val="231F20"/>
                <w:sz w:val="15"/>
              </w:rPr>
              <w:t>Infants</w:t>
            </w:r>
            <w:r>
              <w:rPr>
                <w:i/>
                <w:color w:val="231F20"/>
                <w:spacing w:val="7"/>
                <w:sz w:val="15"/>
              </w:rPr>
              <w:t> </w:t>
            </w:r>
            <w:r>
              <w:rPr>
                <w:i/>
                <w:color w:val="231F20"/>
                <w:sz w:val="15"/>
              </w:rPr>
              <w:t>and</w:t>
            </w:r>
            <w:r>
              <w:rPr>
                <w:i/>
                <w:color w:val="231F20"/>
                <w:spacing w:val="8"/>
                <w:sz w:val="15"/>
              </w:rPr>
              <w:t> </w:t>
            </w:r>
            <w:r>
              <w:rPr>
                <w:i/>
                <w:color w:val="231F20"/>
                <w:sz w:val="15"/>
              </w:rPr>
              <w:t>Toddlers</w:t>
            </w:r>
            <w:r>
              <w:rPr>
                <w:i/>
                <w:color w:val="231F20"/>
                <w:spacing w:val="7"/>
                <w:sz w:val="15"/>
              </w:rPr>
              <w:t> </w:t>
            </w:r>
            <w:r>
              <w:rPr>
                <w:i/>
                <w:color w:val="231F20"/>
                <w:sz w:val="15"/>
              </w:rPr>
              <w:t>(Age</w:t>
            </w:r>
            <w:r>
              <w:rPr>
                <w:i/>
                <w:color w:val="231F20"/>
                <w:spacing w:val="8"/>
                <w:sz w:val="15"/>
              </w:rPr>
              <w:t> </w:t>
            </w:r>
            <w:r>
              <w:rPr>
                <w:i/>
                <w:color w:val="231F20"/>
                <w:sz w:val="15"/>
              </w:rPr>
              <w:t>29</w:t>
            </w:r>
            <w:r>
              <w:rPr>
                <w:i/>
                <w:color w:val="231F20"/>
                <w:spacing w:val="7"/>
                <w:sz w:val="15"/>
              </w:rPr>
              <w:t> </w:t>
            </w:r>
            <w:r>
              <w:rPr>
                <w:i/>
                <w:color w:val="231F20"/>
                <w:sz w:val="15"/>
              </w:rPr>
              <w:t>Days-2</w:t>
            </w:r>
            <w:r>
              <w:rPr>
                <w:i/>
                <w:color w:val="231F20"/>
                <w:spacing w:val="8"/>
                <w:sz w:val="15"/>
              </w:rPr>
              <w:t> </w:t>
            </w:r>
            <w:r>
              <w:rPr>
                <w:i/>
                <w:color w:val="231F20"/>
                <w:sz w:val="15"/>
              </w:rPr>
              <w:t>Yr)</w:t>
            </w:r>
            <w:r>
              <w:rPr>
                <w:i/>
                <w:color w:val="231F20"/>
                <w:spacing w:val="7"/>
                <w:sz w:val="15"/>
              </w:rPr>
              <w:t> </w:t>
            </w:r>
            <w:r>
              <w:rPr>
                <w:i/>
                <w:color w:val="231F20"/>
                <w:sz w:val="15"/>
              </w:rPr>
              <w:t>When</w:t>
            </w:r>
            <w:r>
              <w:rPr>
                <w:i/>
                <w:color w:val="231F20"/>
                <w:spacing w:val="8"/>
                <w:sz w:val="15"/>
              </w:rPr>
              <w:t> </w:t>
            </w:r>
            <w:r>
              <w:rPr>
                <w:i/>
                <w:color w:val="231F20"/>
                <w:sz w:val="15"/>
              </w:rPr>
              <w:t>Certain</w:t>
            </w:r>
            <w:r>
              <w:rPr>
                <w:i/>
                <w:color w:val="231F20"/>
                <w:spacing w:val="7"/>
                <w:sz w:val="15"/>
              </w:rPr>
              <w:t> </w:t>
            </w:r>
            <w:r>
              <w:rPr>
                <w:i/>
                <w:color w:val="231F20"/>
                <w:sz w:val="15"/>
              </w:rPr>
              <w:t>Health</w:t>
            </w:r>
            <w:r>
              <w:rPr>
                <w:i/>
                <w:color w:val="231F20"/>
                <w:spacing w:val="8"/>
                <w:sz w:val="15"/>
              </w:rPr>
              <w:t> </w:t>
            </w:r>
            <w:r>
              <w:rPr>
                <w:i/>
                <w:color w:val="231F20"/>
                <w:sz w:val="15"/>
              </w:rPr>
              <w:t>Conditions</w:t>
            </w:r>
            <w:r>
              <w:rPr>
                <w:i/>
                <w:color w:val="231F20"/>
                <w:spacing w:val="7"/>
                <w:sz w:val="15"/>
              </w:rPr>
              <w:t> </w:t>
            </w:r>
            <w:r>
              <w:rPr>
                <w:i/>
                <w:color w:val="231F20"/>
                <w:sz w:val="15"/>
              </w:rPr>
              <w:t>Develop</w:t>
            </w:r>
            <w:r>
              <w:rPr>
                <w:i/>
                <w:color w:val="231F20"/>
                <w:spacing w:val="8"/>
                <w:sz w:val="15"/>
              </w:rPr>
              <w:t> </w:t>
            </w:r>
            <w:r>
              <w:rPr>
                <w:i/>
                <w:color w:val="231F20"/>
                <w:sz w:val="15"/>
              </w:rPr>
              <w:t>That</w:t>
            </w:r>
            <w:r>
              <w:rPr>
                <w:i/>
                <w:color w:val="231F20"/>
                <w:spacing w:val="8"/>
                <w:sz w:val="15"/>
              </w:rPr>
              <w:t> </w:t>
            </w:r>
            <w:r>
              <w:rPr>
                <w:i/>
                <w:color w:val="231F20"/>
                <w:sz w:val="15"/>
              </w:rPr>
              <w:t>Require</w:t>
            </w:r>
            <w:r>
              <w:rPr>
                <w:i/>
                <w:color w:val="231F20"/>
                <w:spacing w:val="7"/>
                <w:sz w:val="15"/>
              </w:rPr>
              <w:t> </w:t>
            </w:r>
            <w:r>
              <w:rPr>
                <w:i/>
                <w:color w:val="231F20"/>
                <w:spacing w:val="-2"/>
                <w:sz w:val="15"/>
              </w:rPr>
              <w:t>Rescreening</w:t>
            </w:r>
          </w:p>
          <w:p>
            <w:pPr>
              <w:pStyle w:val="TableParagraph"/>
              <w:spacing w:line="230" w:lineRule="auto" w:before="3"/>
              <w:ind w:left="74" w:right="3211"/>
              <w:rPr>
                <w:sz w:val="15"/>
              </w:rPr>
            </w:pPr>
            <w:r>
              <w:rPr>
                <w:color w:val="231F20"/>
                <w:sz w:val="15"/>
              </w:rPr>
              <w:t>Parent</w:t>
            </w:r>
            <w:r>
              <w:rPr>
                <w:color w:val="231F20"/>
                <w:spacing w:val="-8"/>
                <w:sz w:val="15"/>
              </w:rPr>
              <w:t> </w:t>
            </w:r>
            <w:r>
              <w:rPr>
                <w:color w:val="231F20"/>
                <w:sz w:val="15"/>
              </w:rPr>
              <w:t>or</w:t>
            </w:r>
            <w:r>
              <w:rPr>
                <w:color w:val="231F20"/>
                <w:spacing w:val="-8"/>
                <w:sz w:val="15"/>
              </w:rPr>
              <w:t> </w:t>
            </w:r>
            <w:r>
              <w:rPr>
                <w:color w:val="231F20"/>
                <w:sz w:val="15"/>
              </w:rPr>
              <w:t>caregiver</w:t>
            </w:r>
            <w:r>
              <w:rPr>
                <w:color w:val="231F20"/>
                <w:spacing w:val="-8"/>
                <w:sz w:val="15"/>
              </w:rPr>
              <w:t> </w:t>
            </w:r>
            <w:r>
              <w:rPr>
                <w:color w:val="231F20"/>
                <w:sz w:val="15"/>
              </w:rPr>
              <w:t>concern</w:t>
            </w:r>
            <w:r>
              <w:rPr>
                <w:color w:val="231F20"/>
                <w:spacing w:val="-8"/>
                <w:sz w:val="15"/>
              </w:rPr>
              <w:t> </w:t>
            </w:r>
            <w:r>
              <w:rPr>
                <w:color w:val="231F20"/>
                <w:sz w:val="15"/>
              </w:rPr>
              <w:t>regarding</w:t>
            </w:r>
            <w:r>
              <w:rPr>
                <w:color w:val="231F20"/>
                <w:spacing w:val="-8"/>
                <w:sz w:val="15"/>
              </w:rPr>
              <w:t> </w:t>
            </w:r>
            <w:r>
              <w:rPr>
                <w:color w:val="231F20"/>
                <w:sz w:val="15"/>
              </w:rPr>
              <w:t>hearing,</w:t>
            </w:r>
            <w:r>
              <w:rPr>
                <w:color w:val="231F20"/>
                <w:spacing w:val="-8"/>
                <w:sz w:val="15"/>
              </w:rPr>
              <w:t> </w:t>
            </w:r>
            <w:r>
              <w:rPr>
                <w:color w:val="231F20"/>
                <w:sz w:val="15"/>
              </w:rPr>
              <w:t>speech,</w:t>
            </w:r>
            <w:r>
              <w:rPr>
                <w:color w:val="231F20"/>
                <w:spacing w:val="-8"/>
                <w:sz w:val="15"/>
              </w:rPr>
              <w:t> </w:t>
            </w:r>
            <w:r>
              <w:rPr>
                <w:color w:val="231F20"/>
                <w:sz w:val="15"/>
              </w:rPr>
              <w:t>language,</w:t>
            </w:r>
            <w:r>
              <w:rPr>
                <w:color w:val="231F20"/>
                <w:spacing w:val="-8"/>
                <w:sz w:val="15"/>
              </w:rPr>
              <w:t> </w:t>
            </w:r>
            <w:r>
              <w:rPr>
                <w:color w:val="231F20"/>
                <w:sz w:val="15"/>
              </w:rPr>
              <w:t>and/or</w:t>
            </w:r>
            <w:r>
              <w:rPr>
                <w:color w:val="231F20"/>
                <w:spacing w:val="-8"/>
                <w:sz w:val="15"/>
              </w:rPr>
              <w:t> </w:t>
            </w:r>
            <w:r>
              <w:rPr>
                <w:color w:val="231F20"/>
                <w:sz w:val="15"/>
              </w:rPr>
              <w:t>developmental</w:t>
            </w:r>
            <w:r>
              <w:rPr>
                <w:color w:val="231F20"/>
                <w:spacing w:val="-8"/>
                <w:sz w:val="15"/>
              </w:rPr>
              <w:t> </w:t>
            </w:r>
            <w:r>
              <w:rPr>
                <w:color w:val="231F20"/>
                <w:sz w:val="15"/>
              </w:rPr>
              <w:t>delay Bacterial meningitis and other infections associated with sensorineural hearing loss</w:t>
            </w:r>
          </w:p>
          <w:p>
            <w:pPr>
              <w:pStyle w:val="TableParagraph"/>
              <w:spacing w:line="167" w:lineRule="exact"/>
              <w:ind w:left="74"/>
              <w:rPr>
                <w:sz w:val="15"/>
              </w:rPr>
            </w:pPr>
            <w:r>
              <w:rPr>
                <w:color w:val="231F20"/>
                <w:sz w:val="15"/>
              </w:rPr>
              <w:t>Head</w:t>
            </w:r>
            <w:r>
              <w:rPr>
                <w:color w:val="231F20"/>
                <w:spacing w:val="-2"/>
                <w:sz w:val="15"/>
              </w:rPr>
              <w:t> </w:t>
            </w:r>
            <w:r>
              <w:rPr>
                <w:color w:val="231F20"/>
                <w:sz w:val="15"/>
              </w:rPr>
              <w:t>trauma</w:t>
            </w:r>
            <w:r>
              <w:rPr>
                <w:color w:val="231F20"/>
                <w:spacing w:val="-2"/>
                <w:sz w:val="15"/>
              </w:rPr>
              <w:t> </w:t>
            </w:r>
            <w:r>
              <w:rPr>
                <w:color w:val="231F20"/>
                <w:sz w:val="15"/>
              </w:rPr>
              <w:t>associated</w:t>
            </w:r>
            <w:r>
              <w:rPr>
                <w:color w:val="231F20"/>
                <w:spacing w:val="-2"/>
                <w:sz w:val="15"/>
              </w:rPr>
              <w:t> </w:t>
            </w:r>
            <w:r>
              <w:rPr>
                <w:color w:val="231F20"/>
                <w:sz w:val="15"/>
              </w:rPr>
              <w:t>with</w:t>
            </w:r>
            <w:r>
              <w:rPr>
                <w:color w:val="231F20"/>
                <w:spacing w:val="-2"/>
                <w:sz w:val="15"/>
              </w:rPr>
              <w:t> </w:t>
            </w:r>
            <w:r>
              <w:rPr>
                <w:color w:val="231F20"/>
                <w:sz w:val="15"/>
              </w:rPr>
              <w:t>loss</w:t>
            </w:r>
            <w:r>
              <w:rPr>
                <w:color w:val="231F20"/>
                <w:spacing w:val="-2"/>
                <w:sz w:val="15"/>
              </w:rPr>
              <w:t> </w:t>
            </w:r>
            <w:r>
              <w:rPr>
                <w:color w:val="231F20"/>
                <w:sz w:val="15"/>
              </w:rPr>
              <w:t>of</w:t>
            </w:r>
            <w:r>
              <w:rPr>
                <w:color w:val="231F20"/>
                <w:spacing w:val="-2"/>
                <w:sz w:val="15"/>
              </w:rPr>
              <w:t> </w:t>
            </w:r>
            <w:r>
              <w:rPr>
                <w:color w:val="231F20"/>
                <w:sz w:val="15"/>
              </w:rPr>
              <w:t>consciousness</w:t>
            </w:r>
            <w:r>
              <w:rPr>
                <w:color w:val="231F20"/>
                <w:spacing w:val="-2"/>
                <w:sz w:val="15"/>
              </w:rPr>
              <w:t> </w:t>
            </w:r>
            <w:r>
              <w:rPr>
                <w:color w:val="231F20"/>
                <w:sz w:val="15"/>
              </w:rPr>
              <w:t>or</w:t>
            </w:r>
            <w:r>
              <w:rPr>
                <w:color w:val="231F20"/>
                <w:spacing w:val="-2"/>
                <w:sz w:val="15"/>
              </w:rPr>
              <w:t> </w:t>
            </w:r>
            <w:r>
              <w:rPr>
                <w:color w:val="231F20"/>
                <w:sz w:val="15"/>
              </w:rPr>
              <w:t>skull</w:t>
            </w:r>
            <w:r>
              <w:rPr>
                <w:color w:val="231F20"/>
                <w:spacing w:val="-2"/>
                <w:sz w:val="15"/>
              </w:rPr>
              <w:t> fracture</w:t>
            </w:r>
          </w:p>
          <w:p>
            <w:pPr>
              <w:pStyle w:val="TableParagraph"/>
              <w:spacing w:line="230" w:lineRule="auto" w:before="3"/>
              <w:ind w:left="186" w:hanging="112"/>
              <w:rPr>
                <w:sz w:val="15"/>
              </w:rPr>
            </w:pPr>
            <w:r>
              <w:rPr>
                <w:color w:val="231F20"/>
                <w:sz w:val="15"/>
              </w:rPr>
              <w:t>Stigmata</w:t>
            </w:r>
            <w:r>
              <w:rPr>
                <w:color w:val="231F20"/>
                <w:spacing w:val="-7"/>
                <w:sz w:val="15"/>
              </w:rPr>
              <w:t> </w:t>
            </w:r>
            <w:r>
              <w:rPr>
                <w:color w:val="231F20"/>
                <w:sz w:val="15"/>
              </w:rPr>
              <w:t>or</w:t>
            </w:r>
            <w:r>
              <w:rPr>
                <w:color w:val="231F20"/>
                <w:spacing w:val="-7"/>
                <w:sz w:val="15"/>
              </w:rPr>
              <w:t> </w:t>
            </w:r>
            <w:r>
              <w:rPr>
                <w:color w:val="231F20"/>
                <w:sz w:val="15"/>
              </w:rPr>
              <w:t>other</w:t>
            </w:r>
            <w:r>
              <w:rPr>
                <w:color w:val="231F20"/>
                <w:spacing w:val="-7"/>
                <w:sz w:val="15"/>
              </w:rPr>
              <w:t> </w:t>
            </w:r>
            <w:r>
              <w:rPr>
                <w:color w:val="231F20"/>
                <w:sz w:val="15"/>
              </w:rPr>
              <w:t>findings</w:t>
            </w:r>
            <w:r>
              <w:rPr>
                <w:color w:val="231F20"/>
                <w:spacing w:val="-7"/>
                <w:sz w:val="15"/>
              </w:rPr>
              <w:t> </w:t>
            </w:r>
            <w:r>
              <w:rPr>
                <w:color w:val="231F20"/>
                <w:sz w:val="15"/>
              </w:rPr>
              <w:t>associated</w:t>
            </w:r>
            <w:r>
              <w:rPr>
                <w:color w:val="231F20"/>
                <w:spacing w:val="-7"/>
                <w:sz w:val="15"/>
              </w:rPr>
              <w:t> </w:t>
            </w:r>
            <w:r>
              <w:rPr>
                <w:color w:val="231F20"/>
                <w:sz w:val="15"/>
              </w:rPr>
              <w:t>with</w:t>
            </w:r>
            <w:r>
              <w:rPr>
                <w:color w:val="231F20"/>
                <w:spacing w:val="-7"/>
                <w:sz w:val="15"/>
              </w:rPr>
              <w:t> </w:t>
            </w:r>
            <w:r>
              <w:rPr>
                <w:color w:val="231F20"/>
                <w:sz w:val="15"/>
              </w:rPr>
              <w:t>a</w:t>
            </w:r>
            <w:r>
              <w:rPr>
                <w:color w:val="231F20"/>
                <w:spacing w:val="-7"/>
                <w:sz w:val="15"/>
              </w:rPr>
              <w:t> </w:t>
            </w:r>
            <w:r>
              <w:rPr>
                <w:color w:val="231F20"/>
                <w:sz w:val="15"/>
              </w:rPr>
              <w:t>syndrome</w:t>
            </w:r>
            <w:r>
              <w:rPr>
                <w:color w:val="231F20"/>
                <w:spacing w:val="-7"/>
                <w:sz w:val="15"/>
              </w:rPr>
              <w:t> </w:t>
            </w:r>
            <w:r>
              <w:rPr>
                <w:color w:val="231F20"/>
                <w:sz w:val="15"/>
              </w:rPr>
              <w:t>known</w:t>
            </w:r>
            <w:r>
              <w:rPr>
                <w:color w:val="231F20"/>
                <w:spacing w:val="-7"/>
                <w:sz w:val="15"/>
              </w:rPr>
              <w:t> </w:t>
            </w:r>
            <w:r>
              <w:rPr>
                <w:color w:val="231F20"/>
                <w:sz w:val="15"/>
              </w:rPr>
              <w:t>to</w:t>
            </w:r>
            <w:r>
              <w:rPr>
                <w:color w:val="231F20"/>
                <w:spacing w:val="-7"/>
                <w:sz w:val="15"/>
              </w:rPr>
              <w:t> </w:t>
            </w:r>
            <w:r>
              <w:rPr>
                <w:color w:val="231F20"/>
                <w:sz w:val="15"/>
              </w:rPr>
              <w:t>include</w:t>
            </w:r>
            <w:r>
              <w:rPr>
                <w:color w:val="231F20"/>
                <w:spacing w:val="-7"/>
                <w:sz w:val="15"/>
              </w:rPr>
              <w:t> </w:t>
            </w:r>
            <w:r>
              <w:rPr>
                <w:color w:val="231F20"/>
                <w:sz w:val="15"/>
              </w:rPr>
              <w:t>a</w:t>
            </w:r>
            <w:r>
              <w:rPr>
                <w:color w:val="231F20"/>
                <w:spacing w:val="-7"/>
                <w:sz w:val="15"/>
              </w:rPr>
              <w:t> </w:t>
            </w:r>
            <w:r>
              <w:rPr>
                <w:color w:val="231F20"/>
                <w:sz w:val="15"/>
              </w:rPr>
              <w:t>sensorineural</w:t>
            </w:r>
            <w:r>
              <w:rPr>
                <w:color w:val="231F20"/>
                <w:spacing w:val="-7"/>
                <w:sz w:val="15"/>
              </w:rPr>
              <w:t> </w:t>
            </w:r>
            <w:r>
              <w:rPr>
                <w:color w:val="231F20"/>
                <w:sz w:val="15"/>
              </w:rPr>
              <w:t>and/or</w:t>
            </w:r>
            <w:r>
              <w:rPr>
                <w:color w:val="231F20"/>
                <w:spacing w:val="-7"/>
                <w:sz w:val="15"/>
              </w:rPr>
              <w:t> </w:t>
            </w:r>
            <w:r>
              <w:rPr>
                <w:color w:val="231F20"/>
                <w:sz w:val="15"/>
              </w:rPr>
              <w:t>conductive</w:t>
            </w:r>
            <w:r>
              <w:rPr>
                <w:color w:val="231F20"/>
                <w:spacing w:val="-7"/>
                <w:sz w:val="15"/>
              </w:rPr>
              <w:t> </w:t>
            </w:r>
            <w:r>
              <w:rPr>
                <w:color w:val="231F20"/>
                <w:sz w:val="15"/>
              </w:rPr>
              <w:t>hearing</w:t>
            </w:r>
            <w:r>
              <w:rPr>
                <w:color w:val="231F20"/>
                <w:spacing w:val="-7"/>
                <w:sz w:val="15"/>
              </w:rPr>
              <w:t> </w:t>
            </w:r>
            <w:r>
              <w:rPr>
                <w:color w:val="231F20"/>
                <w:sz w:val="15"/>
              </w:rPr>
              <w:t>loss;</w:t>
            </w:r>
            <w:r>
              <w:rPr>
                <w:color w:val="231F20"/>
                <w:spacing w:val="-7"/>
                <w:sz w:val="15"/>
              </w:rPr>
              <w:t> </w:t>
            </w:r>
            <w:r>
              <w:rPr>
                <w:color w:val="231F20"/>
                <w:sz w:val="15"/>
              </w:rPr>
              <w:t>neurofibromatosis, osteopetrosis, and Usher Hunter, Waardenburg, Alport, Pendred, or Jervell and Lange-Nielsen syndrome</w:t>
            </w:r>
          </w:p>
          <w:p>
            <w:pPr>
              <w:pStyle w:val="TableParagraph"/>
              <w:spacing w:line="230" w:lineRule="auto" w:before="1"/>
              <w:ind w:left="186" w:right="162" w:hanging="112"/>
              <w:rPr>
                <w:sz w:val="15"/>
              </w:rPr>
            </w:pPr>
            <w:r>
              <w:rPr>
                <w:color w:val="231F20"/>
                <w:sz w:val="15"/>
              </w:rPr>
              <w:t>Ototoxic</w:t>
            </w:r>
            <w:r>
              <w:rPr>
                <w:color w:val="231F20"/>
                <w:spacing w:val="-3"/>
                <w:sz w:val="15"/>
              </w:rPr>
              <w:t> </w:t>
            </w:r>
            <w:r>
              <w:rPr>
                <w:color w:val="231F20"/>
                <w:sz w:val="15"/>
              </w:rPr>
              <w:t>medications,</w:t>
            </w:r>
            <w:r>
              <w:rPr>
                <w:color w:val="231F20"/>
                <w:spacing w:val="-3"/>
                <w:sz w:val="15"/>
              </w:rPr>
              <w:t> </w:t>
            </w:r>
            <w:r>
              <w:rPr>
                <w:color w:val="231F20"/>
                <w:sz w:val="15"/>
              </w:rPr>
              <w:t>including</w:t>
            </w:r>
            <w:r>
              <w:rPr>
                <w:color w:val="231F20"/>
                <w:spacing w:val="-3"/>
                <w:sz w:val="15"/>
              </w:rPr>
              <w:t> </w:t>
            </w:r>
            <w:r>
              <w:rPr>
                <w:color w:val="231F20"/>
                <w:sz w:val="15"/>
              </w:rPr>
              <w:t>but</w:t>
            </w:r>
            <w:r>
              <w:rPr>
                <w:color w:val="231F20"/>
                <w:spacing w:val="-3"/>
                <w:sz w:val="15"/>
              </w:rPr>
              <w:t> </w:t>
            </w:r>
            <w:r>
              <w:rPr>
                <w:color w:val="231F20"/>
                <w:sz w:val="15"/>
              </w:rPr>
              <w:t>not</w:t>
            </w:r>
            <w:r>
              <w:rPr>
                <w:color w:val="231F20"/>
                <w:spacing w:val="-3"/>
                <w:sz w:val="15"/>
              </w:rPr>
              <w:t> </w:t>
            </w:r>
            <w:r>
              <w:rPr>
                <w:color w:val="231F20"/>
                <w:sz w:val="15"/>
              </w:rPr>
              <w:t>limited</w:t>
            </w:r>
            <w:r>
              <w:rPr>
                <w:color w:val="231F20"/>
                <w:spacing w:val="-3"/>
                <w:sz w:val="15"/>
              </w:rPr>
              <w:t> </w:t>
            </w:r>
            <w:r>
              <w:rPr>
                <w:color w:val="231F20"/>
                <w:sz w:val="15"/>
              </w:rPr>
              <w:t>to</w:t>
            </w:r>
            <w:r>
              <w:rPr>
                <w:color w:val="231F20"/>
                <w:spacing w:val="-3"/>
                <w:sz w:val="15"/>
              </w:rPr>
              <w:t> </w:t>
            </w:r>
            <w:r>
              <w:rPr>
                <w:color w:val="231F20"/>
                <w:sz w:val="15"/>
              </w:rPr>
              <w:t>chemotherapeutic</w:t>
            </w:r>
            <w:r>
              <w:rPr>
                <w:color w:val="231F20"/>
                <w:spacing w:val="-3"/>
                <w:sz w:val="15"/>
              </w:rPr>
              <w:t> </w:t>
            </w:r>
            <w:r>
              <w:rPr>
                <w:color w:val="231F20"/>
                <w:sz w:val="15"/>
              </w:rPr>
              <w:t>agents</w:t>
            </w:r>
            <w:r>
              <w:rPr>
                <w:color w:val="231F20"/>
                <w:spacing w:val="-3"/>
                <w:sz w:val="15"/>
              </w:rPr>
              <w:t> </w:t>
            </w:r>
            <w:r>
              <w:rPr>
                <w:color w:val="231F20"/>
                <w:sz w:val="15"/>
              </w:rPr>
              <w:t>or</w:t>
            </w:r>
            <w:r>
              <w:rPr>
                <w:color w:val="231F20"/>
                <w:spacing w:val="-3"/>
                <w:sz w:val="15"/>
              </w:rPr>
              <w:t> </w:t>
            </w:r>
            <w:r>
              <w:rPr>
                <w:color w:val="231F20"/>
                <w:sz w:val="15"/>
              </w:rPr>
              <w:t>aminoglycosides</w:t>
            </w:r>
            <w:r>
              <w:rPr>
                <w:color w:val="231F20"/>
                <w:spacing w:val="-3"/>
                <w:sz w:val="15"/>
              </w:rPr>
              <w:t> </w:t>
            </w:r>
            <w:r>
              <w:rPr>
                <w:color w:val="231F20"/>
                <w:sz w:val="15"/>
              </w:rPr>
              <w:t>used</w:t>
            </w:r>
            <w:r>
              <w:rPr>
                <w:color w:val="231F20"/>
                <w:spacing w:val="-3"/>
                <w:sz w:val="15"/>
              </w:rPr>
              <w:t> </w:t>
            </w:r>
            <w:r>
              <w:rPr>
                <w:color w:val="231F20"/>
                <w:sz w:val="15"/>
              </w:rPr>
              <w:t>in</w:t>
            </w:r>
            <w:r>
              <w:rPr>
                <w:color w:val="231F20"/>
                <w:spacing w:val="-3"/>
                <w:sz w:val="15"/>
              </w:rPr>
              <w:t> </w:t>
            </w:r>
            <w:r>
              <w:rPr>
                <w:color w:val="231F20"/>
                <w:sz w:val="15"/>
              </w:rPr>
              <w:t>multiple</w:t>
            </w:r>
            <w:r>
              <w:rPr>
                <w:color w:val="231F20"/>
                <w:spacing w:val="-3"/>
                <w:sz w:val="15"/>
              </w:rPr>
              <w:t> </w:t>
            </w:r>
            <w:r>
              <w:rPr>
                <w:color w:val="231F20"/>
                <w:sz w:val="15"/>
              </w:rPr>
              <w:t>courses</w:t>
            </w:r>
            <w:r>
              <w:rPr>
                <w:color w:val="231F20"/>
                <w:spacing w:val="-3"/>
                <w:sz w:val="15"/>
              </w:rPr>
              <w:t> </w:t>
            </w:r>
            <w:r>
              <w:rPr>
                <w:color w:val="231F20"/>
                <w:sz w:val="15"/>
              </w:rPr>
              <w:t>or</w:t>
            </w:r>
            <w:r>
              <w:rPr>
                <w:color w:val="231F20"/>
                <w:spacing w:val="-3"/>
                <w:sz w:val="15"/>
              </w:rPr>
              <w:t> </w:t>
            </w:r>
            <w:r>
              <w:rPr>
                <w:color w:val="231F20"/>
                <w:sz w:val="15"/>
              </w:rPr>
              <w:t>in</w:t>
            </w:r>
            <w:r>
              <w:rPr>
                <w:color w:val="231F20"/>
                <w:spacing w:val="-3"/>
                <w:sz w:val="15"/>
              </w:rPr>
              <w:t> </w:t>
            </w:r>
            <w:r>
              <w:rPr>
                <w:color w:val="231F20"/>
                <w:sz w:val="15"/>
              </w:rPr>
              <w:t>combination with loop diuretics</w:t>
            </w:r>
          </w:p>
          <w:p>
            <w:pPr>
              <w:pStyle w:val="TableParagraph"/>
              <w:spacing w:line="230" w:lineRule="auto" w:before="2"/>
              <w:ind w:left="74" w:right="4665"/>
              <w:rPr>
                <w:sz w:val="15"/>
              </w:rPr>
            </w:pPr>
            <w:r>
              <w:rPr>
                <w:color w:val="231F20"/>
                <w:sz w:val="15"/>
              </w:rPr>
              <w:t>Recurrent</w:t>
            </w:r>
            <w:r>
              <w:rPr>
                <w:color w:val="231F20"/>
                <w:spacing w:val="-11"/>
                <w:sz w:val="15"/>
              </w:rPr>
              <w:t> </w:t>
            </w:r>
            <w:r>
              <w:rPr>
                <w:color w:val="231F20"/>
                <w:sz w:val="15"/>
              </w:rPr>
              <w:t>or</w:t>
            </w:r>
            <w:r>
              <w:rPr>
                <w:color w:val="231F20"/>
                <w:spacing w:val="-11"/>
                <w:sz w:val="15"/>
              </w:rPr>
              <w:t> </w:t>
            </w:r>
            <w:r>
              <w:rPr>
                <w:color w:val="231F20"/>
                <w:sz w:val="15"/>
              </w:rPr>
              <w:t>persistent</w:t>
            </w:r>
            <w:r>
              <w:rPr>
                <w:color w:val="231F20"/>
                <w:spacing w:val="-11"/>
                <w:sz w:val="15"/>
              </w:rPr>
              <w:t> </w:t>
            </w:r>
            <w:r>
              <w:rPr>
                <w:color w:val="231F20"/>
                <w:sz w:val="15"/>
              </w:rPr>
              <w:t>otitis</w:t>
            </w:r>
            <w:r>
              <w:rPr>
                <w:color w:val="231F20"/>
                <w:spacing w:val="-11"/>
                <w:sz w:val="15"/>
              </w:rPr>
              <w:t> </w:t>
            </w:r>
            <w:r>
              <w:rPr>
                <w:color w:val="231F20"/>
                <w:sz w:val="15"/>
              </w:rPr>
              <w:t>media</w:t>
            </w:r>
            <w:r>
              <w:rPr>
                <w:color w:val="231F20"/>
                <w:spacing w:val="-11"/>
                <w:sz w:val="15"/>
              </w:rPr>
              <w:t> </w:t>
            </w:r>
            <w:r>
              <w:rPr>
                <w:color w:val="231F20"/>
                <w:sz w:val="15"/>
              </w:rPr>
              <w:t>with</w:t>
            </w:r>
            <w:r>
              <w:rPr>
                <w:color w:val="231F20"/>
                <w:spacing w:val="-11"/>
                <w:sz w:val="15"/>
              </w:rPr>
              <w:t> </w:t>
            </w:r>
            <w:r>
              <w:rPr>
                <w:color w:val="231F20"/>
                <w:sz w:val="15"/>
              </w:rPr>
              <w:t>effusion</w:t>
            </w:r>
            <w:r>
              <w:rPr>
                <w:color w:val="231F20"/>
                <w:spacing w:val="-11"/>
                <w:sz w:val="15"/>
              </w:rPr>
              <w:t> </w:t>
            </w:r>
            <w:r>
              <w:rPr>
                <w:color w:val="231F20"/>
                <w:sz w:val="15"/>
              </w:rPr>
              <w:t>for</w:t>
            </w:r>
            <w:r>
              <w:rPr>
                <w:color w:val="231F20"/>
                <w:spacing w:val="-11"/>
                <w:sz w:val="15"/>
              </w:rPr>
              <w:t> </w:t>
            </w:r>
            <w:r>
              <w:rPr>
                <w:color w:val="231F20"/>
                <w:sz w:val="15"/>
              </w:rPr>
              <w:t>3</w:t>
            </w:r>
            <w:r>
              <w:rPr>
                <w:color w:val="231F20"/>
                <w:spacing w:val="-11"/>
                <w:sz w:val="15"/>
              </w:rPr>
              <w:t> </w:t>
            </w:r>
            <w:r>
              <w:rPr>
                <w:color w:val="231F20"/>
                <w:sz w:val="15"/>
              </w:rPr>
              <w:t>mo</w:t>
            </w:r>
            <w:r>
              <w:rPr>
                <w:color w:val="231F20"/>
                <w:spacing w:val="-11"/>
                <w:sz w:val="15"/>
              </w:rPr>
              <w:t> </w:t>
            </w:r>
            <w:r>
              <w:rPr>
                <w:color w:val="231F20"/>
                <w:sz w:val="15"/>
              </w:rPr>
              <w:t>or</w:t>
            </w:r>
            <w:r>
              <w:rPr>
                <w:color w:val="231F20"/>
                <w:spacing w:val="-11"/>
                <w:sz w:val="15"/>
              </w:rPr>
              <w:t> </w:t>
            </w:r>
            <w:r>
              <w:rPr>
                <w:color w:val="231F20"/>
                <w:sz w:val="15"/>
              </w:rPr>
              <w:t>longer Skeletal dysplasia</w:t>
            </w:r>
          </w:p>
          <w:p>
            <w:pPr>
              <w:pStyle w:val="TableParagraph"/>
              <w:spacing w:line="172" w:lineRule="exact" w:before="17"/>
              <w:ind w:left="74"/>
              <w:rPr>
                <w:i/>
                <w:sz w:val="15"/>
              </w:rPr>
            </w:pPr>
            <w:r>
              <w:rPr>
                <w:i/>
                <w:color w:val="231F20"/>
                <w:sz w:val="15"/>
              </w:rPr>
              <w:t>Infants</w:t>
            </w:r>
            <w:r>
              <w:rPr>
                <w:i/>
                <w:color w:val="231F20"/>
                <w:spacing w:val="8"/>
                <w:sz w:val="15"/>
              </w:rPr>
              <w:t> </w:t>
            </w:r>
            <w:r>
              <w:rPr>
                <w:i/>
                <w:color w:val="231F20"/>
                <w:sz w:val="15"/>
              </w:rPr>
              <w:t>and</w:t>
            </w:r>
            <w:r>
              <w:rPr>
                <w:i/>
                <w:color w:val="231F20"/>
                <w:spacing w:val="9"/>
                <w:sz w:val="15"/>
              </w:rPr>
              <w:t> </w:t>
            </w:r>
            <w:r>
              <w:rPr>
                <w:i/>
                <w:color w:val="231F20"/>
                <w:sz w:val="15"/>
              </w:rPr>
              <w:t>Toddlers</w:t>
            </w:r>
            <w:r>
              <w:rPr>
                <w:i/>
                <w:color w:val="231F20"/>
                <w:spacing w:val="9"/>
                <w:sz w:val="15"/>
              </w:rPr>
              <w:t> </w:t>
            </w:r>
            <w:r>
              <w:rPr>
                <w:i/>
                <w:color w:val="231F20"/>
                <w:sz w:val="15"/>
              </w:rPr>
              <w:t>(Age</w:t>
            </w:r>
            <w:r>
              <w:rPr>
                <w:i/>
                <w:color w:val="231F20"/>
                <w:spacing w:val="8"/>
                <w:sz w:val="15"/>
              </w:rPr>
              <w:t> </w:t>
            </w:r>
            <w:r>
              <w:rPr>
                <w:i/>
                <w:color w:val="231F20"/>
                <w:sz w:val="15"/>
              </w:rPr>
              <w:t>29</w:t>
            </w:r>
            <w:r>
              <w:rPr>
                <w:i/>
                <w:color w:val="231F20"/>
                <w:spacing w:val="9"/>
                <w:sz w:val="15"/>
              </w:rPr>
              <w:t> </w:t>
            </w:r>
            <w:r>
              <w:rPr>
                <w:i/>
                <w:color w:val="231F20"/>
                <w:sz w:val="15"/>
              </w:rPr>
              <w:t>Days-3</w:t>
            </w:r>
            <w:r>
              <w:rPr>
                <w:i/>
                <w:color w:val="231F20"/>
                <w:spacing w:val="9"/>
                <w:sz w:val="15"/>
              </w:rPr>
              <w:t> </w:t>
            </w:r>
            <w:r>
              <w:rPr>
                <w:i/>
                <w:color w:val="231F20"/>
                <w:sz w:val="15"/>
              </w:rPr>
              <w:t>Yr)</w:t>
            </w:r>
            <w:r>
              <w:rPr>
                <w:i/>
                <w:color w:val="231F20"/>
                <w:spacing w:val="8"/>
                <w:sz w:val="15"/>
              </w:rPr>
              <w:t> </w:t>
            </w:r>
            <w:r>
              <w:rPr>
                <w:i/>
                <w:color w:val="231F20"/>
                <w:sz w:val="15"/>
              </w:rPr>
              <w:t>Who</w:t>
            </w:r>
            <w:r>
              <w:rPr>
                <w:i/>
                <w:color w:val="231F20"/>
                <w:spacing w:val="9"/>
                <w:sz w:val="15"/>
              </w:rPr>
              <w:t> </w:t>
            </w:r>
            <w:r>
              <w:rPr>
                <w:i/>
                <w:color w:val="231F20"/>
                <w:sz w:val="15"/>
              </w:rPr>
              <w:t>Require</w:t>
            </w:r>
            <w:r>
              <w:rPr>
                <w:i/>
                <w:color w:val="231F20"/>
                <w:spacing w:val="9"/>
                <w:sz w:val="15"/>
              </w:rPr>
              <w:t> </w:t>
            </w:r>
            <w:r>
              <w:rPr>
                <w:i/>
                <w:color w:val="231F20"/>
                <w:sz w:val="15"/>
              </w:rPr>
              <w:t>Periodic</w:t>
            </w:r>
            <w:r>
              <w:rPr>
                <w:i/>
                <w:color w:val="231F20"/>
                <w:spacing w:val="9"/>
                <w:sz w:val="15"/>
              </w:rPr>
              <w:t> </w:t>
            </w:r>
            <w:r>
              <w:rPr>
                <w:i/>
                <w:color w:val="231F20"/>
                <w:sz w:val="15"/>
              </w:rPr>
              <w:t>Monitoring</w:t>
            </w:r>
            <w:r>
              <w:rPr>
                <w:i/>
                <w:color w:val="231F20"/>
                <w:spacing w:val="8"/>
                <w:sz w:val="15"/>
              </w:rPr>
              <w:t> </w:t>
            </w:r>
            <w:r>
              <w:rPr>
                <w:i/>
                <w:color w:val="231F20"/>
                <w:sz w:val="15"/>
              </w:rPr>
              <w:t>of</w:t>
            </w:r>
            <w:r>
              <w:rPr>
                <w:i/>
                <w:color w:val="231F20"/>
                <w:spacing w:val="9"/>
                <w:sz w:val="15"/>
              </w:rPr>
              <w:t> </w:t>
            </w:r>
            <w:r>
              <w:rPr>
                <w:i/>
                <w:color w:val="231F20"/>
                <w:spacing w:val="-2"/>
                <w:sz w:val="15"/>
              </w:rPr>
              <w:t>Hearing</w:t>
            </w:r>
          </w:p>
          <w:p>
            <w:pPr>
              <w:pStyle w:val="TableParagraph"/>
              <w:spacing w:line="230" w:lineRule="auto" w:before="3"/>
              <w:ind w:left="186" w:hanging="112"/>
              <w:rPr>
                <w:sz w:val="15"/>
              </w:rPr>
            </w:pPr>
            <w:r>
              <w:rPr>
                <w:color w:val="231F20"/>
                <w:sz w:val="15"/>
              </w:rPr>
              <w:t>Some newborns and infants pass initial hearing screening but require periodic monitoring of hearing to detect delayed-onset sensorineural and/or</w:t>
            </w:r>
            <w:r>
              <w:rPr>
                <w:color w:val="231F20"/>
                <w:spacing w:val="-10"/>
                <w:sz w:val="15"/>
              </w:rPr>
              <w:t> </w:t>
            </w:r>
            <w:r>
              <w:rPr>
                <w:color w:val="231F20"/>
                <w:sz w:val="15"/>
              </w:rPr>
              <w:t>conductive</w:t>
            </w:r>
            <w:r>
              <w:rPr>
                <w:color w:val="231F20"/>
                <w:spacing w:val="-10"/>
                <w:sz w:val="15"/>
              </w:rPr>
              <w:t> </w:t>
            </w:r>
            <w:r>
              <w:rPr>
                <w:color w:val="231F20"/>
                <w:sz w:val="15"/>
              </w:rPr>
              <w:t>hearing</w:t>
            </w:r>
            <w:r>
              <w:rPr>
                <w:color w:val="231F20"/>
                <w:spacing w:val="-10"/>
                <w:sz w:val="15"/>
              </w:rPr>
              <w:t> </w:t>
            </w:r>
            <w:r>
              <w:rPr>
                <w:color w:val="231F20"/>
                <w:sz w:val="15"/>
              </w:rPr>
              <w:t>loss.</w:t>
            </w:r>
            <w:r>
              <w:rPr>
                <w:color w:val="231F20"/>
                <w:spacing w:val="-10"/>
                <w:sz w:val="15"/>
              </w:rPr>
              <w:t> </w:t>
            </w:r>
            <w:r>
              <w:rPr>
                <w:color w:val="231F20"/>
                <w:sz w:val="15"/>
              </w:rPr>
              <w:t>Infants</w:t>
            </w:r>
            <w:r>
              <w:rPr>
                <w:color w:val="231F20"/>
                <w:spacing w:val="-10"/>
                <w:sz w:val="15"/>
              </w:rPr>
              <w:t> </w:t>
            </w:r>
            <w:r>
              <w:rPr>
                <w:color w:val="231F20"/>
                <w:sz w:val="15"/>
              </w:rPr>
              <w:t>with</w:t>
            </w:r>
            <w:r>
              <w:rPr>
                <w:color w:val="231F20"/>
                <w:spacing w:val="-10"/>
                <w:sz w:val="15"/>
              </w:rPr>
              <w:t> </w:t>
            </w:r>
            <w:r>
              <w:rPr>
                <w:color w:val="231F20"/>
                <w:sz w:val="15"/>
              </w:rPr>
              <w:t>these</w:t>
            </w:r>
            <w:r>
              <w:rPr>
                <w:color w:val="231F20"/>
                <w:spacing w:val="-10"/>
                <w:sz w:val="15"/>
              </w:rPr>
              <w:t> </w:t>
            </w:r>
            <w:r>
              <w:rPr>
                <w:color w:val="231F20"/>
                <w:sz w:val="15"/>
              </w:rPr>
              <w:t>indicators</w:t>
            </w:r>
            <w:r>
              <w:rPr>
                <w:color w:val="231F20"/>
                <w:spacing w:val="-10"/>
                <w:sz w:val="15"/>
              </w:rPr>
              <w:t> </w:t>
            </w:r>
            <w:r>
              <w:rPr>
                <w:color w:val="231F20"/>
                <w:sz w:val="15"/>
              </w:rPr>
              <w:t>require</w:t>
            </w:r>
            <w:r>
              <w:rPr>
                <w:color w:val="231F20"/>
                <w:spacing w:val="-10"/>
                <w:sz w:val="15"/>
              </w:rPr>
              <w:t> </w:t>
            </w:r>
            <w:r>
              <w:rPr>
                <w:color w:val="231F20"/>
                <w:sz w:val="15"/>
              </w:rPr>
              <w:t>hearing</w:t>
            </w:r>
            <w:r>
              <w:rPr>
                <w:color w:val="231F20"/>
                <w:spacing w:val="-10"/>
                <w:sz w:val="15"/>
              </w:rPr>
              <w:t> </w:t>
            </w:r>
            <w:r>
              <w:rPr>
                <w:color w:val="231F20"/>
                <w:sz w:val="15"/>
              </w:rPr>
              <w:t>evaluation</w:t>
            </w:r>
            <w:r>
              <w:rPr>
                <w:color w:val="231F20"/>
                <w:spacing w:val="-10"/>
                <w:sz w:val="15"/>
              </w:rPr>
              <w:t> </w:t>
            </w:r>
            <w:r>
              <w:rPr>
                <w:color w:val="231F20"/>
                <w:sz w:val="15"/>
              </w:rPr>
              <w:t>at</w:t>
            </w:r>
            <w:r>
              <w:rPr>
                <w:color w:val="231F20"/>
                <w:spacing w:val="-10"/>
                <w:sz w:val="15"/>
              </w:rPr>
              <w:t> </w:t>
            </w:r>
            <w:r>
              <w:rPr>
                <w:color w:val="231F20"/>
                <w:sz w:val="15"/>
              </w:rPr>
              <w:t>least</w:t>
            </w:r>
            <w:r>
              <w:rPr>
                <w:color w:val="231F20"/>
                <w:spacing w:val="-10"/>
                <w:sz w:val="15"/>
              </w:rPr>
              <w:t> </w:t>
            </w:r>
            <w:r>
              <w:rPr>
                <w:color w:val="231F20"/>
                <w:sz w:val="15"/>
              </w:rPr>
              <w:t>every</w:t>
            </w:r>
            <w:r>
              <w:rPr>
                <w:color w:val="231F20"/>
                <w:spacing w:val="-10"/>
                <w:sz w:val="15"/>
              </w:rPr>
              <w:t> </w:t>
            </w:r>
            <w:r>
              <w:rPr>
                <w:color w:val="231F20"/>
                <w:sz w:val="15"/>
              </w:rPr>
              <w:t>6</w:t>
            </w:r>
            <w:r>
              <w:rPr>
                <w:color w:val="231F20"/>
                <w:spacing w:val="-10"/>
                <w:sz w:val="15"/>
              </w:rPr>
              <w:t> </w:t>
            </w:r>
            <w:r>
              <w:rPr>
                <w:color w:val="231F20"/>
                <w:sz w:val="15"/>
              </w:rPr>
              <w:t>mo</w:t>
            </w:r>
            <w:r>
              <w:rPr>
                <w:color w:val="231F20"/>
                <w:spacing w:val="-10"/>
                <w:sz w:val="15"/>
              </w:rPr>
              <w:t> </w:t>
            </w:r>
            <w:r>
              <w:rPr>
                <w:color w:val="231F20"/>
                <w:sz w:val="15"/>
              </w:rPr>
              <w:t>until</w:t>
            </w:r>
            <w:r>
              <w:rPr>
                <w:color w:val="231F20"/>
                <w:spacing w:val="-10"/>
                <w:sz w:val="15"/>
              </w:rPr>
              <w:t> </w:t>
            </w:r>
            <w:r>
              <w:rPr>
                <w:color w:val="231F20"/>
                <w:sz w:val="15"/>
              </w:rPr>
              <w:t>age</w:t>
            </w:r>
            <w:r>
              <w:rPr>
                <w:color w:val="231F20"/>
                <w:spacing w:val="-10"/>
                <w:sz w:val="15"/>
              </w:rPr>
              <w:t> </w:t>
            </w:r>
            <w:r>
              <w:rPr>
                <w:color w:val="231F20"/>
                <w:sz w:val="15"/>
              </w:rPr>
              <w:t>3</w:t>
            </w:r>
            <w:r>
              <w:rPr>
                <w:color w:val="231F20"/>
                <w:spacing w:val="-10"/>
                <w:sz w:val="15"/>
              </w:rPr>
              <w:t> </w:t>
            </w:r>
            <w:r>
              <w:rPr>
                <w:color w:val="231F20"/>
                <w:sz w:val="15"/>
              </w:rPr>
              <w:t>yr,</w:t>
            </w:r>
            <w:r>
              <w:rPr>
                <w:color w:val="231F20"/>
                <w:spacing w:val="-10"/>
                <w:sz w:val="15"/>
              </w:rPr>
              <w:t> </w:t>
            </w:r>
            <w:r>
              <w:rPr>
                <w:color w:val="231F20"/>
                <w:sz w:val="15"/>
              </w:rPr>
              <w:t>and</w:t>
            </w:r>
            <w:r>
              <w:rPr>
                <w:color w:val="231F20"/>
                <w:spacing w:val="-10"/>
                <w:sz w:val="15"/>
              </w:rPr>
              <w:t> </w:t>
            </w:r>
            <w:r>
              <w:rPr>
                <w:color w:val="231F20"/>
                <w:sz w:val="15"/>
              </w:rPr>
              <w:t>at</w:t>
            </w:r>
            <w:r>
              <w:rPr>
                <w:color w:val="231F20"/>
                <w:spacing w:val="-10"/>
                <w:sz w:val="15"/>
              </w:rPr>
              <w:t> </w:t>
            </w:r>
            <w:r>
              <w:rPr>
                <w:color w:val="231F20"/>
                <w:sz w:val="15"/>
              </w:rPr>
              <w:t>appropriate intervals thereafter</w:t>
            </w:r>
          </w:p>
        </w:tc>
      </w:tr>
      <w:tr>
        <w:trPr>
          <w:trHeight w:val="926" w:hRule="atLeast"/>
        </w:trPr>
        <w:tc>
          <w:tcPr>
            <w:tcW w:w="9741"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INDICATORS</w:t>
            </w:r>
            <w:r>
              <w:rPr>
                <w:color w:val="231F20"/>
                <w:spacing w:val="20"/>
                <w:w w:val="110"/>
                <w:sz w:val="15"/>
              </w:rPr>
              <w:t> </w:t>
            </w:r>
            <w:r>
              <w:rPr>
                <w:color w:val="231F20"/>
                <w:w w:val="110"/>
                <w:sz w:val="15"/>
              </w:rPr>
              <w:t>ASSOCIATED</w:t>
            </w:r>
            <w:r>
              <w:rPr>
                <w:color w:val="231F20"/>
                <w:spacing w:val="21"/>
                <w:w w:val="110"/>
                <w:sz w:val="15"/>
              </w:rPr>
              <w:t> </w:t>
            </w:r>
            <w:r>
              <w:rPr>
                <w:color w:val="231F20"/>
                <w:w w:val="110"/>
                <w:sz w:val="15"/>
              </w:rPr>
              <w:t>WITH</w:t>
            </w:r>
            <w:r>
              <w:rPr>
                <w:color w:val="231F20"/>
                <w:spacing w:val="21"/>
                <w:w w:val="110"/>
                <w:sz w:val="15"/>
              </w:rPr>
              <w:t> </w:t>
            </w:r>
            <w:r>
              <w:rPr>
                <w:color w:val="231F20"/>
                <w:w w:val="110"/>
                <w:sz w:val="15"/>
              </w:rPr>
              <w:t>DELAYED-ONSET</w:t>
            </w:r>
            <w:r>
              <w:rPr>
                <w:color w:val="231F20"/>
                <w:spacing w:val="21"/>
                <w:w w:val="110"/>
                <w:sz w:val="15"/>
              </w:rPr>
              <w:t> </w:t>
            </w:r>
            <w:r>
              <w:rPr>
                <w:color w:val="231F20"/>
                <w:w w:val="110"/>
                <w:sz w:val="15"/>
              </w:rPr>
              <w:t>SENSORINEURAL</w:t>
            </w:r>
            <w:r>
              <w:rPr>
                <w:color w:val="231F20"/>
                <w:spacing w:val="21"/>
                <w:w w:val="110"/>
                <w:sz w:val="15"/>
              </w:rPr>
              <w:t> </w:t>
            </w:r>
            <w:r>
              <w:rPr>
                <w:color w:val="231F20"/>
                <w:w w:val="110"/>
                <w:sz w:val="15"/>
              </w:rPr>
              <w:t>HEARING</w:t>
            </w:r>
            <w:r>
              <w:rPr>
                <w:color w:val="231F20"/>
                <w:spacing w:val="21"/>
                <w:w w:val="110"/>
                <w:sz w:val="15"/>
              </w:rPr>
              <w:t> </w:t>
            </w:r>
            <w:r>
              <w:rPr>
                <w:color w:val="231F20"/>
                <w:spacing w:val="-4"/>
                <w:w w:val="110"/>
                <w:sz w:val="15"/>
              </w:rPr>
              <w:t>LOSS</w:t>
            </w:r>
          </w:p>
          <w:p>
            <w:pPr>
              <w:pStyle w:val="TableParagraph"/>
              <w:spacing w:line="169" w:lineRule="exact"/>
              <w:ind w:left="74"/>
              <w:rPr>
                <w:sz w:val="15"/>
              </w:rPr>
            </w:pPr>
            <w:r>
              <w:rPr>
                <w:color w:val="231F20"/>
                <w:sz w:val="15"/>
              </w:rPr>
              <w:t>Family</w:t>
            </w:r>
            <w:r>
              <w:rPr>
                <w:color w:val="231F20"/>
                <w:spacing w:val="-10"/>
                <w:sz w:val="15"/>
              </w:rPr>
              <w:t> </w:t>
            </w:r>
            <w:r>
              <w:rPr>
                <w:color w:val="231F20"/>
                <w:sz w:val="15"/>
              </w:rPr>
              <w:t>history</w:t>
            </w:r>
            <w:r>
              <w:rPr>
                <w:color w:val="231F20"/>
                <w:spacing w:val="-9"/>
                <w:sz w:val="15"/>
              </w:rPr>
              <w:t> </w:t>
            </w:r>
            <w:r>
              <w:rPr>
                <w:color w:val="231F20"/>
                <w:sz w:val="15"/>
              </w:rPr>
              <w:t>of</w:t>
            </w:r>
            <w:r>
              <w:rPr>
                <w:color w:val="231F20"/>
                <w:spacing w:val="-10"/>
                <w:sz w:val="15"/>
              </w:rPr>
              <w:t> </w:t>
            </w:r>
            <w:r>
              <w:rPr>
                <w:color w:val="231F20"/>
                <w:sz w:val="15"/>
              </w:rPr>
              <w:t>hereditary</w:t>
            </w:r>
            <w:r>
              <w:rPr>
                <w:color w:val="231F20"/>
                <w:spacing w:val="-9"/>
                <w:sz w:val="15"/>
              </w:rPr>
              <w:t> </w:t>
            </w:r>
            <w:r>
              <w:rPr>
                <w:color w:val="231F20"/>
                <w:sz w:val="15"/>
              </w:rPr>
              <w:t>childhood</w:t>
            </w:r>
            <w:r>
              <w:rPr>
                <w:color w:val="231F20"/>
                <w:spacing w:val="-9"/>
                <w:sz w:val="15"/>
              </w:rPr>
              <w:t> </w:t>
            </w:r>
            <w:r>
              <w:rPr>
                <w:color w:val="231F20"/>
                <w:sz w:val="15"/>
              </w:rPr>
              <w:t>hearing</w:t>
            </w:r>
            <w:r>
              <w:rPr>
                <w:color w:val="231F20"/>
                <w:spacing w:val="-10"/>
                <w:sz w:val="15"/>
              </w:rPr>
              <w:t> </w:t>
            </w:r>
            <w:r>
              <w:rPr>
                <w:color w:val="231F20"/>
                <w:spacing w:val="-4"/>
                <w:sz w:val="15"/>
              </w:rPr>
              <w:t>loss</w:t>
            </w:r>
          </w:p>
          <w:p>
            <w:pPr>
              <w:pStyle w:val="TableParagraph"/>
              <w:spacing w:line="230" w:lineRule="auto" w:before="2"/>
              <w:ind w:left="74" w:right="3211"/>
              <w:rPr>
                <w:sz w:val="15"/>
              </w:rPr>
            </w:pPr>
            <w:r>
              <w:rPr>
                <w:color w:val="231F20"/>
                <w:spacing w:val="-2"/>
                <w:sz w:val="15"/>
              </w:rPr>
              <w:t>In utero infection, such as cytomegalovirus, rubella, syphilis, herpes simplex, or </w:t>
            </w:r>
            <w:r>
              <w:rPr>
                <w:color w:val="231F20"/>
                <w:spacing w:val="-2"/>
                <w:sz w:val="15"/>
              </w:rPr>
              <w:t>toxoplasmosis </w:t>
            </w:r>
            <w:r>
              <w:rPr>
                <w:color w:val="231F20"/>
                <w:sz w:val="15"/>
              </w:rPr>
              <w:t>Neurofibromatosis type 2 and neurodegenerative disorders</w:t>
            </w:r>
          </w:p>
          <w:p>
            <w:pPr>
              <w:pStyle w:val="TableParagraph"/>
              <w:spacing w:line="170" w:lineRule="exact"/>
              <w:ind w:left="74"/>
              <w:rPr>
                <w:sz w:val="15"/>
              </w:rPr>
            </w:pPr>
            <w:r>
              <w:rPr>
                <w:color w:val="231F20"/>
                <w:spacing w:val="-4"/>
                <w:sz w:val="15"/>
              </w:rPr>
              <w:t>Cogan</w:t>
            </w:r>
            <w:r>
              <w:rPr>
                <w:color w:val="231F20"/>
                <w:spacing w:val="4"/>
                <w:sz w:val="15"/>
              </w:rPr>
              <w:t> </w:t>
            </w:r>
            <w:r>
              <w:rPr>
                <w:color w:val="231F20"/>
                <w:spacing w:val="-4"/>
                <w:sz w:val="15"/>
              </w:rPr>
              <w:t>syndrome</w:t>
            </w:r>
            <w:r>
              <w:rPr>
                <w:color w:val="231F20"/>
                <w:spacing w:val="5"/>
                <w:sz w:val="15"/>
              </w:rPr>
              <w:t> </w:t>
            </w:r>
            <w:r>
              <w:rPr>
                <w:color w:val="231F20"/>
                <w:spacing w:val="-4"/>
                <w:sz w:val="15"/>
              </w:rPr>
              <w:t>(vasculitis:</w:t>
            </w:r>
            <w:r>
              <w:rPr>
                <w:color w:val="231F20"/>
                <w:spacing w:val="5"/>
                <w:sz w:val="15"/>
              </w:rPr>
              <w:t> </w:t>
            </w:r>
            <w:r>
              <w:rPr>
                <w:color w:val="231F20"/>
                <w:spacing w:val="-4"/>
                <w:sz w:val="15"/>
              </w:rPr>
              <w:t>keratitis,</w:t>
            </w:r>
            <w:r>
              <w:rPr>
                <w:color w:val="231F20"/>
                <w:spacing w:val="4"/>
                <w:sz w:val="15"/>
              </w:rPr>
              <w:t> </w:t>
            </w:r>
            <w:r>
              <w:rPr>
                <w:color w:val="231F20"/>
                <w:spacing w:val="-4"/>
                <w:sz w:val="15"/>
              </w:rPr>
              <w:t>uveitis,</w:t>
            </w:r>
            <w:r>
              <w:rPr>
                <w:color w:val="231F20"/>
                <w:spacing w:val="5"/>
                <w:sz w:val="15"/>
              </w:rPr>
              <w:t> </w:t>
            </w:r>
            <w:r>
              <w:rPr>
                <w:color w:val="231F20"/>
                <w:spacing w:val="-4"/>
                <w:sz w:val="15"/>
              </w:rPr>
              <w:t>vertigo,</w:t>
            </w:r>
            <w:r>
              <w:rPr>
                <w:color w:val="231F20"/>
                <w:spacing w:val="5"/>
                <w:sz w:val="15"/>
              </w:rPr>
              <w:t> </w:t>
            </w:r>
            <w:r>
              <w:rPr>
                <w:color w:val="231F20"/>
                <w:spacing w:val="-4"/>
                <w:sz w:val="15"/>
              </w:rPr>
              <w:t>arthritis,</w:t>
            </w:r>
            <w:r>
              <w:rPr>
                <w:color w:val="231F20"/>
                <w:spacing w:val="4"/>
                <w:sz w:val="15"/>
              </w:rPr>
              <w:t> </w:t>
            </w:r>
            <w:r>
              <w:rPr>
                <w:color w:val="231F20"/>
                <w:spacing w:val="-4"/>
                <w:sz w:val="15"/>
              </w:rPr>
              <w:t>dermatitis)</w:t>
            </w:r>
          </w:p>
        </w:tc>
      </w:tr>
      <w:tr>
        <w:trPr>
          <w:trHeight w:val="753" w:hRule="atLeast"/>
        </w:trPr>
        <w:tc>
          <w:tcPr>
            <w:tcW w:w="9741" w:type="dxa"/>
            <w:gridSpan w:val="2"/>
            <w:tcBorders>
              <w:top w:val="single" w:sz="4" w:space="0" w:color="FFFFFF"/>
              <w:bottom w:val="single" w:sz="8" w:space="0" w:color="231F20"/>
            </w:tcBorders>
            <w:shd w:val="clear" w:color="auto" w:fill="E8F5F1"/>
          </w:tcPr>
          <w:p>
            <w:pPr>
              <w:pStyle w:val="TableParagraph"/>
              <w:spacing w:line="172" w:lineRule="exact" w:before="43"/>
              <w:ind w:left="74"/>
              <w:rPr>
                <w:sz w:val="15"/>
              </w:rPr>
            </w:pPr>
            <w:r>
              <w:rPr>
                <w:color w:val="231F20"/>
                <w:w w:val="110"/>
                <w:sz w:val="15"/>
              </w:rPr>
              <w:t>INDICATORS</w:t>
            </w:r>
            <w:r>
              <w:rPr>
                <w:color w:val="231F20"/>
                <w:spacing w:val="17"/>
                <w:w w:val="110"/>
                <w:sz w:val="15"/>
              </w:rPr>
              <w:t> </w:t>
            </w:r>
            <w:r>
              <w:rPr>
                <w:color w:val="231F20"/>
                <w:w w:val="110"/>
                <w:sz w:val="15"/>
              </w:rPr>
              <w:t>ASSOCIATED</w:t>
            </w:r>
            <w:r>
              <w:rPr>
                <w:color w:val="231F20"/>
                <w:spacing w:val="17"/>
                <w:w w:val="110"/>
                <w:sz w:val="15"/>
              </w:rPr>
              <w:t> </w:t>
            </w:r>
            <w:r>
              <w:rPr>
                <w:color w:val="231F20"/>
                <w:w w:val="110"/>
                <w:sz w:val="15"/>
              </w:rPr>
              <w:t>WITH</w:t>
            </w:r>
            <w:r>
              <w:rPr>
                <w:color w:val="231F20"/>
                <w:spacing w:val="18"/>
                <w:w w:val="110"/>
                <w:sz w:val="15"/>
              </w:rPr>
              <w:t> </w:t>
            </w:r>
            <w:r>
              <w:rPr>
                <w:color w:val="231F20"/>
                <w:w w:val="110"/>
                <w:sz w:val="15"/>
              </w:rPr>
              <w:t>CONDUCTIVE</w:t>
            </w:r>
            <w:r>
              <w:rPr>
                <w:color w:val="231F20"/>
                <w:spacing w:val="17"/>
                <w:w w:val="110"/>
                <w:sz w:val="15"/>
              </w:rPr>
              <w:t> </w:t>
            </w:r>
            <w:r>
              <w:rPr>
                <w:color w:val="231F20"/>
                <w:w w:val="110"/>
                <w:sz w:val="15"/>
              </w:rPr>
              <w:t>HEARING</w:t>
            </w:r>
            <w:r>
              <w:rPr>
                <w:color w:val="231F20"/>
                <w:spacing w:val="17"/>
                <w:w w:val="110"/>
                <w:sz w:val="15"/>
              </w:rPr>
              <w:t> </w:t>
            </w:r>
            <w:r>
              <w:rPr>
                <w:color w:val="231F20"/>
                <w:spacing w:val="-4"/>
                <w:w w:val="110"/>
                <w:sz w:val="15"/>
              </w:rPr>
              <w:t>LOSS</w:t>
            </w:r>
          </w:p>
          <w:p>
            <w:pPr>
              <w:pStyle w:val="TableParagraph"/>
              <w:spacing w:line="169" w:lineRule="exact"/>
              <w:ind w:left="74"/>
              <w:rPr>
                <w:sz w:val="15"/>
              </w:rPr>
            </w:pPr>
            <w:r>
              <w:rPr>
                <w:color w:val="231F20"/>
                <w:spacing w:val="-2"/>
                <w:sz w:val="15"/>
              </w:rPr>
              <w:t>Recurrent</w:t>
            </w:r>
            <w:r>
              <w:rPr>
                <w:color w:val="231F20"/>
                <w:spacing w:val="-3"/>
                <w:sz w:val="15"/>
              </w:rPr>
              <w:t> </w:t>
            </w:r>
            <w:r>
              <w:rPr>
                <w:color w:val="231F20"/>
                <w:spacing w:val="-2"/>
                <w:sz w:val="15"/>
              </w:rPr>
              <w:t>or</w:t>
            </w:r>
            <w:r>
              <w:rPr>
                <w:color w:val="231F20"/>
                <w:spacing w:val="-3"/>
                <w:sz w:val="15"/>
              </w:rPr>
              <w:t> </w:t>
            </w:r>
            <w:r>
              <w:rPr>
                <w:color w:val="231F20"/>
                <w:spacing w:val="-2"/>
                <w:sz w:val="15"/>
              </w:rPr>
              <w:t>persistent</w:t>
            </w:r>
            <w:r>
              <w:rPr>
                <w:color w:val="231F20"/>
                <w:spacing w:val="-3"/>
                <w:sz w:val="15"/>
              </w:rPr>
              <w:t> </w:t>
            </w:r>
            <w:r>
              <w:rPr>
                <w:color w:val="231F20"/>
                <w:spacing w:val="-2"/>
                <w:sz w:val="15"/>
              </w:rPr>
              <w:t>otitis</w:t>
            </w:r>
            <w:r>
              <w:rPr>
                <w:color w:val="231F20"/>
                <w:spacing w:val="-3"/>
                <w:sz w:val="15"/>
              </w:rPr>
              <w:t> </w:t>
            </w:r>
            <w:r>
              <w:rPr>
                <w:color w:val="231F20"/>
                <w:spacing w:val="-2"/>
                <w:sz w:val="15"/>
              </w:rPr>
              <w:t>media</w:t>
            </w:r>
            <w:r>
              <w:rPr>
                <w:color w:val="231F20"/>
                <w:spacing w:val="-3"/>
                <w:sz w:val="15"/>
              </w:rPr>
              <w:t> </w:t>
            </w:r>
            <w:r>
              <w:rPr>
                <w:color w:val="231F20"/>
                <w:spacing w:val="-2"/>
                <w:sz w:val="15"/>
              </w:rPr>
              <w:t>with</w:t>
            </w:r>
            <w:r>
              <w:rPr>
                <w:color w:val="231F20"/>
                <w:spacing w:val="-3"/>
                <w:sz w:val="15"/>
              </w:rPr>
              <w:t> </w:t>
            </w:r>
            <w:r>
              <w:rPr>
                <w:color w:val="231F20"/>
                <w:spacing w:val="-2"/>
                <w:sz w:val="15"/>
              </w:rPr>
              <w:t>effusion</w:t>
            </w:r>
          </w:p>
          <w:p>
            <w:pPr>
              <w:pStyle w:val="TableParagraph"/>
              <w:spacing w:line="230" w:lineRule="auto" w:before="2"/>
              <w:ind w:left="74" w:right="3211"/>
              <w:rPr>
                <w:sz w:val="15"/>
              </w:rPr>
            </w:pPr>
            <w:r>
              <w:rPr>
                <w:color w:val="231F20"/>
                <w:sz w:val="15"/>
              </w:rPr>
              <w:t>Anatomic</w:t>
            </w:r>
            <w:r>
              <w:rPr>
                <w:color w:val="231F20"/>
                <w:spacing w:val="-12"/>
                <w:sz w:val="15"/>
              </w:rPr>
              <w:t> </w:t>
            </w:r>
            <w:r>
              <w:rPr>
                <w:color w:val="231F20"/>
                <w:sz w:val="15"/>
              </w:rPr>
              <w:t>deformities</w:t>
            </w:r>
            <w:r>
              <w:rPr>
                <w:color w:val="231F20"/>
                <w:spacing w:val="-11"/>
                <w:sz w:val="15"/>
              </w:rPr>
              <w:t> </w:t>
            </w:r>
            <w:r>
              <w:rPr>
                <w:color w:val="231F20"/>
                <w:sz w:val="15"/>
              </w:rPr>
              <w:t>and</w:t>
            </w:r>
            <w:r>
              <w:rPr>
                <w:color w:val="231F20"/>
                <w:spacing w:val="-11"/>
                <w:sz w:val="15"/>
              </w:rPr>
              <w:t> </w:t>
            </w:r>
            <w:r>
              <w:rPr>
                <w:color w:val="231F20"/>
                <w:sz w:val="15"/>
              </w:rPr>
              <w:t>other</w:t>
            </w:r>
            <w:r>
              <w:rPr>
                <w:color w:val="231F20"/>
                <w:spacing w:val="-12"/>
                <w:sz w:val="15"/>
              </w:rPr>
              <w:t> </w:t>
            </w:r>
            <w:r>
              <w:rPr>
                <w:color w:val="231F20"/>
                <w:sz w:val="15"/>
              </w:rPr>
              <w:t>disorders</w:t>
            </w:r>
            <w:r>
              <w:rPr>
                <w:color w:val="231F20"/>
                <w:spacing w:val="-11"/>
                <w:sz w:val="15"/>
              </w:rPr>
              <w:t> </w:t>
            </w:r>
            <w:r>
              <w:rPr>
                <w:color w:val="231F20"/>
                <w:sz w:val="15"/>
              </w:rPr>
              <w:t>that</w:t>
            </w:r>
            <w:r>
              <w:rPr>
                <w:color w:val="231F20"/>
                <w:spacing w:val="-11"/>
                <w:sz w:val="15"/>
              </w:rPr>
              <w:t> </w:t>
            </w:r>
            <w:r>
              <w:rPr>
                <w:color w:val="231F20"/>
                <w:sz w:val="15"/>
              </w:rPr>
              <w:t>affect</w:t>
            </w:r>
            <w:r>
              <w:rPr>
                <w:color w:val="231F20"/>
                <w:spacing w:val="-12"/>
                <w:sz w:val="15"/>
              </w:rPr>
              <w:t> </w:t>
            </w:r>
            <w:r>
              <w:rPr>
                <w:color w:val="231F20"/>
                <w:sz w:val="15"/>
              </w:rPr>
              <w:t>eustachian</w:t>
            </w:r>
            <w:r>
              <w:rPr>
                <w:color w:val="231F20"/>
                <w:spacing w:val="-11"/>
                <w:sz w:val="15"/>
              </w:rPr>
              <w:t> </w:t>
            </w:r>
            <w:r>
              <w:rPr>
                <w:color w:val="231F20"/>
                <w:sz w:val="15"/>
              </w:rPr>
              <w:t>tube</w:t>
            </w:r>
            <w:r>
              <w:rPr>
                <w:color w:val="231F20"/>
                <w:spacing w:val="-11"/>
                <w:sz w:val="15"/>
              </w:rPr>
              <w:t> </w:t>
            </w:r>
            <w:r>
              <w:rPr>
                <w:color w:val="231F20"/>
                <w:sz w:val="15"/>
              </w:rPr>
              <w:t>function Neurodegenerative disorders</w:t>
            </w:r>
          </w:p>
        </w:tc>
      </w:tr>
    </w:tbl>
    <w:p>
      <w:pPr>
        <w:pStyle w:val="BodyText"/>
        <w:spacing w:line="150" w:lineRule="exact" w:before="76"/>
        <w:ind w:left="203"/>
      </w:pPr>
      <w:r>
        <w:rPr>
          <w:i/>
          <w:color w:val="231F20"/>
        </w:rPr>
        <w:t>Note:</w:t>
      </w:r>
      <w:r>
        <w:rPr>
          <w:i/>
          <w:color w:val="231F20"/>
          <w:spacing w:val="-1"/>
        </w:rPr>
        <w:t> </w:t>
      </w:r>
      <w:r>
        <w:rPr>
          <w:color w:val="231F20"/>
        </w:rPr>
        <w:t>At</w:t>
      </w:r>
      <w:r>
        <w:rPr>
          <w:color w:val="231F20"/>
          <w:spacing w:val="-1"/>
        </w:rPr>
        <w:t> </w:t>
      </w:r>
      <w:r>
        <w:rPr>
          <w:color w:val="231F20"/>
        </w:rPr>
        <w:t>all</w:t>
      </w:r>
      <w:r>
        <w:rPr>
          <w:color w:val="231F20"/>
          <w:spacing w:val="-1"/>
        </w:rPr>
        <w:t> </w:t>
      </w:r>
      <w:r>
        <w:rPr>
          <w:color w:val="231F20"/>
        </w:rPr>
        <w:t>ages,</w:t>
      </w:r>
      <w:r>
        <w:rPr>
          <w:color w:val="231F20"/>
          <w:spacing w:val="-1"/>
        </w:rPr>
        <w:t> </w:t>
      </w:r>
      <w:r>
        <w:rPr>
          <w:color w:val="231F20"/>
        </w:rPr>
        <w:t>parents’</w:t>
      </w:r>
      <w:r>
        <w:rPr>
          <w:color w:val="231F20"/>
          <w:spacing w:val="-1"/>
        </w:rPr>
        <w:t> </w:t>
      </w:r>
      <w:r>
        <w:rPr>
          <w:color w:val="231F20"/>
        </w:rPr>
        <w:t>concern</w:t>
      </w:r>
      <w:r>
        <w:rPr>
          <w:color w:val="231F20"/>
          <w:spacing w:val="-1"/>
        </w:rPr>
        <w:t> </w:t>
      </w:r>
      <w:r>
        <w:rPr>
          <w:color w:val="231F20"/>
        </w:rPr>
        <w:t>about</w:t>
      </w:r>
      <w:r>
        <w:rPr>
          <w:color w:val="231F20"/>
          <w:spacing w:val="-1"/>
        </w:rPr>
        <w:t> </w:t>
      </w:r>
      <w:r>
        <w:rPr>
          <w:color w:val="231F20"/>
        </w:rPr>
        <w:t>hearing</w:t>
      </w:r>
      <w:r>
        <w:rPr>
          <w:color w:val="231F20"/>
          <w:spacing w:val="-2"/>
        </w:rPr>
        <w:t> </w:t>
      </w:r>
      <w:r>
        <w:rPr>
          <w:color w:val="231F20"/>
        </w:rPr>
        <w:t>loss</w:t>
      </w:r>
      <w:r>
        <w:rPr>
          <w:color w:val="231F20"/>
          <w:spacing w:val="-1"/>
        </w:rPr>
        <w:t> </w:t>
      </w:r>
      <w:r>
        <w:rPr>
          <w:color w:val="231F20"/>
        </w:rPr>
        <w:t>must</w:t>
      </w:r>
      <w:r>
        <w:rPr>
          <w:color w:val="231F20"/>
          <w:spacing w:val="-1"/>
        </w:rPr>
        <w:t> </w:t>
      </w:r>
      <w:r>
        <w:rPr>
          <w:color w:val="231F20"/>
        </w:rPr>
        <w:t>be</w:t>
      </w:r>
      <w:r>
        <w:rPr>
          <w:color w:val="231F20"/>
          <w:spacing w:val="-1"/>
        </w:rPr>
        <w:t> </w:t>
      </w:r>
      <w:r>
        <w:rPr>
          <w:color w:val="231F20"/>
        </w:rPr>
        <w:t>taken</w:t>
      </w:r>
      <w:r>
        <w:rPr>
          <w:color w:val="231F20"/>
          <w:spacing w:val="-1"/>
        </w:rPr>
        <w:t> </w:t>
      </w:r>
      <w:r>
        <w:rPr>
          <w:color w:val="231F20"/>
        </w:rPr>
        <w:t>seriously</w:t>
      </w:r>
      <w:r>
        <w:rPr>
          <w:color w:val="231F20"/>
          <w:spacing w:val="-1"/>
        </w:rPr>
        <w:t> </w:t>
      </w:r>
      <w:r>
        <w:rPr>
          <w:color w:val="231F20"/>
        </w:rPr>
        <w:t>even</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absence</w:t>
      </w:r>
      <w:r>
        <w:rPr>
          <w:color w:val="231F20"/>
          <w:spacing w:val="-1"/>
        </w:rPr>
        <w:t> </w:t>
      </w:r>
      <w:r>
        <w:rPr>
          <w:color w:val="231F20"/>
        </w:rPr>
        <w:t>of</w:t>
      </w:r>
      <w:r>
        <w:rPr>
          <w:color w:val="231F20"/>
          <w:spacing w:val="-1"/>
        </w:rPr>
        <w:t> </w:t>
      </w:r>
      <w:r>
        <w:rPr>
          <w:color w:val="231F20"/>
        </w:rPr>
        <w:t>risk</w:t>
      </w:r>
      <w:r>
        <w:rPr>
          <w:color w:val="231F20"/>
          <w:spacing w:val="-1"/>
        </w:rPr>
        <w:t> </w:t>
      </w:r>
      <w:r>
        <w:rPr>
          <w:color w:val="231F20"/>
          <w:spacing w:val="-2"/>
        </w:rPr>
        <w:t>factors.</w:t>
      </w:r>
    </w:p>
    <w:p>
      <w:pPr>
        <w:spacing w:before="0"/>
        <w:ind w:left="203" w:right="614" w:firstLine="130"/>
        <w:jc w:val="left"/>
        <w:rPr>
          <w:i/>
          <w:sz w:val="13"/>
        </w:rPr>
      </w:pPr>
      <w:r>
        <w:rPr>
          <w:i/>
          <w:color w:val="231F20"/>
          <w:sz w:val="13"/>
        </w:rPr>
        <w:t>Adapted</w:t>
      </w:r>
      <w:r>
        <w:rPr>
          <w:i/>
          <w:color w:val="231F20"/>
          <w:spacing w:val="-7"/>
          <w:sz w:val="13"/>
        </w:rPr>
        <w:t> </w:t>
      </w:r>
      <w:r>
        <w:rPr>
          <w:i/>
          <w:color w:val="231F20"/>
          <w:sz w:val="13"/>
        </w:rPr>
        <w:t>from</w:t>
      </w:r>
      <w:r>
        <w:rPr>
          <w:i/>
          <w:color w:val="231F20"/>
          <w:spacing w:val="-7"/>
          <w:sz w:val="13"/>
        </w:rPr>
        <w:t> </w:t>
      </w:r>
      <w:r>
        <w:rPr>
          <w:i/>
          <w:color w:val="231F20"/>
          <w:sz w:val="13"/>
        </w:rPr>
        <w:t>American</w:t>
      </w:r>
      <w:r>
        <w:rPr>
          <w:i/>
          <w:color w:val="231F20"/>
          <w:spacing w:val="-7"/>
          <w:sz w:val="13"/>
        </w:rPr>
        <w:t> </w:t>
      </w:r>
      <w:r>
        <w:rPr>
          <w:i/>
          <w:color w:val="231F20"/>
          <w:sz w:val="13"/>
        </w:rPr>
        <w:t>Academy</w:t>
      </w:r>
      <w:r>
        <w:rPr>
          <w:i/>
          <w:color w:val="231F20"/>
          <w:spacing w:val="-7"/>
          <w:sz w:val="13"/>
        </w:rPr>
        <w:t> </w:t>
      </w:r>
      <w:r>
        <w:rPr>
          <w:i/>
          <w:color w:val="231F20"/>
          <w:sz w:val="13"/>
        </w:rPr>
        <w:t>of</w:t>
      </w:r>
      <w:r>
        <w:rPr>
          <w:i/>
          <w:color w:val="231F20"/>
          <w:spacing w:val="-7"/>
          <w:sz w:val="13"/>
        </w:rPr>
        <w:t> </w:t>
      </w:r>
      <w:r>
        <w:rPr>
          <w:i/>
          <w:color w:val="231F20"/>
          <w:sz w:val="13"/>
        </w:rPr>
        <w:t>Pediatrics,</w:t>
      </w:r>
      <w:r>
        <w:rPr>
          <w:i/>
          <w:color w:val="231F20"/>
          <w:spacing w:val="-7"/>
          <w:sz w:val="13"/>
        </w:rPr>
        <w:t> </w:t>
      </w:r>
      <w:r>
        <w:rPr>
          <w:i/>
          <w:color w:val="231F20"/>
          <w:sz w:val="13"/>
        </w:rPr>
        <w:t>Joint</w:t>
      </w:r>
      <w:r>
        <w:rPr>
          <w:i/>
          <w:color w:val="231F20"/>
          <w:spacing w:val="-7"/>
          <w:sz w:val="13"/>
        </w:rPr>
        <w:t> </w:t>
      </w:r>
      <w:r>
        <w:rPr>
          <w:i/>
          <w:color w:val="231F20"/>
          <w:sz w:val="13"/>
        </w:rPr>
        <w:t>Committee</w:t>
      </w:r>
      <w:r>
        <w:rPr>
          <w:i/>
          <w:color w:val="231F20"/>
          <w:spacing w:val="-7"/>
          <w:sz w:val="13"/>
        </w:rPr>
        <w:t> </w:t>
      </w:r>
      <w:r>
        <w:rPr>
          <w:i/>
          <w:color w:val="231F20"/>
          <w:sz w:val="13"/>
        </w:rPr>
        <w:t>on</w:t>
      </w:r>
      <w:r>
        <w:rPr>
          <w:i/>
          <w:color w:val="231F20"/>
          <w:spacing w:val="-7"/>
          <w:sz w:val="13"/>
        </w:rPr>
        <w:t> </w:t>
      </w:r>
      <w:r>
        <w:rPr>
          <w:i/>
          <w:color w:val="231F20"/>
          <w:sz w:val="13"/>
        </w:rPr>
        <w:t>Infant</w:t>
      </w:r>
      <w:r>
        <w:rPr>
          <w:i/>
          <w:color w:val="231F20"/>
          <w:spacing w:val="-7"/>
          <w:sz w:val="13"/>
        </w:rPr>
        <w:t> </w:t>
      </w:r>
      <w:r>
        <w:rPr>
          <w:i/>
          <w:color w:val="231F20"/>
          <w:sz w:val="13"/>
        </w:rPr>
        <w:t>Hearing:</w:t>
      </w:r>
      <w:r>
        <w:rPr>
          <w:i/>
          <w:color w:val="231F20"/>
          <w:spacing w:val="-7"/>
          <w:sz w:val="13"/>
        </w:rPr>
        <w:t> </w:t>
      </w:r>
      <w:r>
        <w:rPr>
          <w:i/>
          <w:color w:val="231F20"/>
          <w:sz w:val="13"/>
        </w:rPr>
        <w:t>Joint</w:t>
      </w:r>
      <w:r>
        <w:rPr>
          <w:i/>
          <w:color w:val="231F20"/>
          <w:spacing w:val="-7"/>
          <w:sz w:val="13"/>
        </w:rPr>
        <w:t> </w:t>
      </w:r>
      <w:r>
        <w:rPr>
          <w:i/>
          <w:color w:val="231F20"/>
          <w:sz w:val="13"/>
        </w:rPr>
        <w:t>Committee</w:t>
      </w:r>
      <w:r>
        <w:rPr>
          <w:i/>
          <w:color w:val="231F20"/>
          <w:spacing w:val="-7"/>
          <w:sz w:val="13"/>
        </w:rPr>
        <w:t> </w:t>
      </w:r>
      <w:r>
        <w:rPr>
          <w:i/>
          <w:color w:val="231F20"/>
          <w:sz w:val="13"/>
        </w:rPr>
        <w:t>on</w:t>
      </w:r>
      <w:r>
        <w:rPr>
          <w:i/>
          <w:color w:val="231F20"/>
          <w:spacing w:val="-7"/>
          <w:sz w:val="13"/>
        </w:rPr>
        <w:t> </w:t>
      </w:r>
      <w:r>
        <w:rPr>
          <w:i/>
          <w:color w:val="231F20"/>
          <w:sz w:val="13"/>
        </w:rPr>
        <w:t>Infant</w:t>
      </w:r>
      <w:r>
        <w:rPr>
          <w:i/>
          <w:color w:val="231F20"/>
          <w:spacing w:val="-7"/>
          <w:sz w:val="13"/>
        </w:rPr>
        <w:t> </w:t>
      </w:r>
      <w:r>
        <w:rPr>
          <w:i/>
          <w:color w:val="231F20"/>
          <w:sz w:val="13"/>
        </w:rPr>
        <w:t>Hearing</w:t>
      </w:r>
      <w:r>
        <w:rPr>
          <w:i/>
          <w:color w:val="231F20"/>
          <w:spacing w:val="-7"/>
          <w:sz w:val="13"/>
        </w:rPr>
        <w:t> </w:t>
      </w:r>
      <w:r>
        <w:rPr>
          <w:i/>
          <w:color w:val="231F20"/>
          <w:sz w:val="13"/>
        </w:rPr>
        <w:t>1994</w:t>
      </w:r>
      <w:r>
        <w:rPr>
          <w:i/>
          <w:color w:val="231F20"/>
          <w:spacing w:val="-7"/>
          <w:sz w:val="13"/>
        </w:rPr>
        <w:t> </w:t>
      </w:r>
      <w:r>
        <w:rPr>
          <w:i/>
          <w:color w:val="231F20"/>
          <w:sz w:val="13"/>
        </w:rPr>
        <w:t>position</w:t>
      </w:r>
      <w:r>
        <w:rPr>
          <w:i/>
          <w:color w:val="231F20"/>
          <w:spacing w:val="-7"/>
          <w:sz w:val="13"/>
        </w:rPr>
        <w:t> </w:t>
      </w:r>
      <w:r>
        <w:rPr>
          <w:i/>
          <w:color w:val="231F20"/>
          <w:sz w:val="13"/>
        </w:rPr>
        <w:t>statement,</w:t>
      </w:r>
      <w:r>
        <w:rPr>
          <w:i/>
          <w:color w:val="231F20"/>
          <w:spacing w:val="-7"/>
          <w:sz w:val="13"/>
        </w:rPr>
        <w:t> </w:t>
      </w:r>
      <w:r>
        <w:rPr>
          <w:color w:val="231F20"/>
          <w:sz w:val="13"/>
        </w:rPr>
        <w:t>Pediatrics</w:t>
      </w:r>
      <w:r>
        <w:rPr>
          <w:color w:val="231F20"/>
          <w:spacing w:val="-7"/>
          <w:sz w:val="13"/>
        </w:rPr>
        <w:t> </w:t>
      </w:r>
      <w:r>
        <w:rPr>
          <w:i/>
          <w:color w:val="231F20"/>
          <w:sz w:val="13"/>
        </w:rPr>
        <w:t>95:152,</w:t>
      </w:r>
      <w:r>
        <w:rPr>
          <w:i/>
          <w:color w:val="231F20"/>
          <w:spacing w:val="40"/>
          <w:sz w:val="13"/>
        </w:rPr>
        <w:t> </w:t>
      </w:r>
      <w:r>
        <w:rPr>
          <w:i/>
          <w:color w:val="231F20"/>
          <w:spacing w:val="-2"/>
          <w:sz w:val="13"/>
        </w:rPr>
        <w:t>1995.</w:t>
      </w:r>
    </w:p>
    <w:p>
      <w:pPr>
        <w:pStyle w:val="BodyText"/>
        <w:rPr>
          <w:i/>
          <w:sz w:val="20"/>
        </w:rPr>
      </w:pPr>
    </w:p>
    <w:p>
      <w:pPr>
        <w:pStyle w:val="BodyText"/>
        <w:rPr>
          <w:i/>
          <w:sz w:val="20"/>
        </w:rPr>
      </w:pPr>
    </w:p>
    <w:p>
      <w:pPr>
        <w:pStyle w:val="BodyText"/>
        <w:spacing w:before="151"/>
        <w:rPr>
          <w:i/>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197"/>
        <w:gridCol w:w="7397"/>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2</w:t>
            </w:r>
          </w:p>
        </w:tc>
        <w:tc>
          <w:tcPr>
            <w:tcW w:w="8594"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Common</w:t>
            </w:r>
            <w:r>
              <w:rPr>
                <w:color w:val="FFFFFF"/>
                <w:spacing w:val="18"/>
                <w:w w:val="105"/>
                <w:sz w:val="16"/>
              </w:rPr>
              <w:t> </w:t>
            </w:r>
            <w:r>
              <w:rPr>
                <w:color w:val="FFFFFF"/>
                <w:w w:val="105"/>
                <w:sz w:val="16"/>
              </w:rPr>
              <w:t>Types</w:t>
            </w:r>
            <w:r>
              <w:rPr>
                <w:color w:val="FFFFFF"/>
                <w:spacing w:val="18"/>
                <w:w w:val="105"/>
                <w:sz w:val="16"/>
              </w:rPr>
              <w:t> </w:t>
            </w:r>
            <w:r>
              <w:rPr>
                <w:color w:val="FFFFFF"/>
                <w:w w:val="105"/>
                <w:sz w:val="16"/>
              </w:rPr>
              <w:t>of</w:t>
            </w:r>
            <w:r>
              <w:rPr>
                <w:color w:val="FFFFFF"/>
                <w:spacing w:val="18"/>
                <w:w w:val="105"/>
                <w:sz w:val="16"/>
              </w:rPr>
              <w:t> </w:t>
            </w:r>
            <w:r>
              <w:rPr>
                <w:color w:val="FFFFFF"/>
                <w:w w:val="105"/>
                <w:sz w:val="16"/>
              </w:rPr>
              <w:t>Early-Onset</w:t>
            </w:r>
            <w:r>
              <w:rPr>
                <w:color w:val="FFFFFF"/>
                <w:spacing w:val="18"/>
                <w:w w:val="105"/>
                <w:sz w:val="16"/>
              </w:rPr>
              <w:t> </w:t>
            </w:r>
            <w:r>
              <w:rPr>
                <w:color w:val="FFFFFF"/>
                <w:w w:val="105"/>
                <w:sz w:val="16"/>
              </w:rPr>
              <w:t>Hereditary</w:t>
            </w:r>
            <w:r>
              <w:rPr>
                <w:color w:val="FFFFFF"/>
                <w:spacing w:val="19"/>
                <w:w w:val="105"/>
                <w:sz w:val="16"/>
              </w:rPr>
              <w:t> </w:t>
            </w:r>
            <w:r>
              <w:rPr>
                <w:color w:val="FFFFFF"/>
                <w:w w:val="105"/>
                <w:sz w:val="16"/>
              </w:rPr>
              <w:t>Nonsyndromic</w:t>
            </w:r>
            <w:r>
              <w:rPr>
                <w:color w:val="FFFFFF"/>
                <w:spacing w:val="18"/>
                <w:w w:val="105"/>
                <w:sz w:val="16"/>
              </w:rPr>
              <w:t> </w:t>
            </w:r>
            <w:r>
              <w:rPr>
                <w:color w:val="FFFFFF"/>
                <w:w w:val="105"/>
                <w:sz w:val="16"/>
              </w:rPr>
              <w:t>Sensorineural</w:t>
            </w:r>
            <w:r>
              <w:rPr>
                <w:color w:val="FFFFFF"/>
                <w:spacing w:val="18"/>
                <w:w w:val="105"/>
                <w:sz w:val="16"/>
              </w:rPr>
              <w:t> </w:t>
            </w:r>
            <w:r>
              <w:rPr>
                <w:color w:val="FFFFFF"/>
                <w:w w:val="105"/>
                <w:sz w:val="16"/>
              </w:rPr>
              <w:t>Hearing</w:t>
            </w:r>
            <w:r>
              <w:rPr>
                <w:color w:val="FFFFFF"/>
                <w:spacing w:val="18"/>
                <w:w w:val="105"/>
                <w:sz w:val="16"/>
              </w:rPr>
              <w:t> </w:t>
            </w:r>
            <w:r>
              <w:rPr>
                <w:color w:val="FFFFFF"/>
                <w:spacing w:val="-4"/>
                <w:w w:val="105"/>
                <w:sz w:val="16"/>
              </w:rPr>
              <w:t>Loss</w:t>
            </w:r>
          </w:p>
        </w:tc>
      </w:tr>
      <w:tr>
        <w:trPr>
          <w:trHeight w:val="276" w:hRule="atLeast"/>
        </w:trPr>
        <w:tc>
          <w:tcPr>
            <w:tcW w:w="1148" w:type="dxa"/>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LOCUS</w:t>
            </w:r>
          </w:p>
        </w:tc>
        <w:tc>
          <w:tcPr>
            <w:tcW w:w="1197" w:type="dxa"/>
            <w:tcBorders>
              <w:bottom w:val="single" w:sz="4" w:space="0" w:color="231F20"/>
            </w:tcBorders>
            <w:shd w:val="clear" w:color="auto" w:fill="E8F5F1"/>
          </w:tcPr>
          <w:p>
            <w:pPr>
              <w:pStyle w:val="TableParagraph"/>
              <w:spacing w:before="66"/>
              <w:ind w:left="463"/>
              <w:rPr>
                <w:b/>
                <w:sz w:val="15"/>
              </w:rPr>
            </w:pPr>
            <w:r>
              <w:rPr>
                <w:b/>
                <w:color w:val="231F20"/>
                <w:spacing w:val="-4"/>
                <w:w w:val="115"/>
                <w:sz w:val="15"/>
              </w:rPr>
              <w:t>GENE</w:t>
            </w:r>
          </w:p>
        </w:tc>
        <w:tc>
          <w:tcPr>
            <w:tcW w:w="7397" w:type="dxa"/>
            <w:tcBorders>
              <w:bottom w:val="single" w:sz="4" w:space="0" w:color="231F20"/>
            </w:tcBorders>
            <w:shd w:val="clear" w:color="auto" w:fill="E8F5F1"/>
          </w:tcPr>
          <w:p>
            <w:pPr>
              <w:pStyle w:val="TableParagraph"/>
              <w:spacing w:before="66"/>
              <w:ind w:left="123"/>
              <w:jc w:val="center"/>
              <w:rPr>
                <w:b/>
                <w:sz w:val="15"/>
              </w:rPr>
            </w:pPr>
            <w:r>
              <w:rPr>
                <w:b/>
                <w:color w:val="231F20"/>
                <w:w w:val="110"/>
                <w:sz w:val="15"/>
              </w:rPr>
              <w:t>AUDIO</w:t>
            </w:r>
            <w:r>
              <w:rPr>
                <w:b/>
                <w:color w:val="231F20"/>
                <w:spacing w:val="20"/>
                <w:w w:val="110"/>
                <w:sz w:val="15"/>
              </w:rPr>
              <w:t> </w:t>
            </w:r>
            <w:r>
              <w:rPr>
                <w:b/>
                <w:color w:val="231F20"/>
                <w:spacing w:val="-2"/>
                <w:w w:val="110"/>
                <w:sz w:val="15"/>
              </w:rPr>
              <w:t>PHENOTYPE</w:t>
            </w:r>
          </w:p>
        </w:tc>
      </w:tr>
      <w:tr>
        <w:trPr>
          <w:trHeight w:val="425" w:hRule="atLeast"/>
        </w:trPr>
        <w:tc>
          <w:tcPr>
            <w:tcW w:w="1148"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4"/>
                <w:w w:val="110"/>
                <w:sz w:val="15"/>
              </w:rPr>
              <w:t>DFN3</w:t>
            </w:r>
          </w:p>
        </w:tc>
        <w:tc>
          <w:tcPr>
            <w:tcW w:w="1197" w:type="dxa"/>
            <w:tcBorders>
              <w:top w:val="single" w:sz="4" w:space="0" w:color="231F20"/>
              <w:bottom w:val="single" w:sz="4" w:space="0" w:color="FFFFFF"/>
            </w:tcBorders>
            <w:shd w:val="clear" w:color="auto" w:fill="E8F5F1"/>
          </w:tcPr>
          <w:p>
            <w:pPr>
              <w:pStyle w:val="TableParagraph"/>
              <w:spacing w:before="47"/>
              <w:ind w:left="356"/>
              <w:rPr>
                <w:i/>
                <w:sz w:val="15"/>
              </w:rPr>
            </w:pPr>
            <w:r>
              <w:rPr>
                <w:i/>
                <w:color w:val="231F20"/>
                <w:spacing w:val="-2"/>
                <w:w w:val="105"/>
                <w:sz w:val="15"/>
              </w:rPr>
              <w:t>POU3F4</w:t>
            </w:r>
          </w:p>
        </w:tc>
        <w:tc>
          <w:tcPr>
            <w:tcW w:w="7397" w:type="dxa"/>
            <w:tcBorders>
              <w:top w:val="single" w:sz="4" w:space="0" w:color="231F20"/>
              <w:bottom w:val="single" w:sz="4" w:space="0" w:color="FFFFFF"/>
            </w:tcBorders>
            <w:shd w:val="clear" w:color="auto" w:fill="E8F5F1"/>
          </w:tcPr>
          <w:p>
            <w:pPr>
              <w:pStyle w:val="TableParagraph"/>
              <w:spacing w:line="230" w:lineRule="auto" w:before="52"/>
              <w:ind w:left="311" w:right="186" w:hanging="112"/>
              <w:rPr>
                <w:sz w:val="15"/>
              </w:rPr>
            </w:pPr>
            <w:r>
              <w:rPr>
                <w:color w:val="231F20"/>
                <w:sz w:val="15"/>
              </w:rPr>
              <w:t>Conductive</w:t>
            </w:r>
            <w:r>
              <w:rPr>
                <w:color w:val="231F20"/>
                <w:spacing w:val="-4"/>
                <w:sz w:val="15"/>
              </w:rPr>
              <w:t> </w:t>
            </w:r>
            <w:r>
              <w:rPr>
                <w:color w:val="231F20"/>
                <w:sz w:val="15"/>
              </w:rPr>
              <w:t>hearing</w:t>
            </w:r>
            <w:r>
              <w:rPr>
                <w:color w:val="231F20"/>
                <w:spacing w:val="-4"/>
                <w:sz w:val="15"/>
              </w:rPr>
              <w:t> </w:t>
            </w:r>
            <w:r>
              <w:rPr>
                <w:color w:val="231F20"/>
                <w:sz w:val="15"/>
              </w:rPr>
              <w:t>loss</w:t>
            </w:r>
            <w:r>
              <w:rPr>
                <w:color w:val="231F20"/>
                <w:spacing w:val="-4"/>
                <w:sz w:val="15"/>
              </w:rPr>
              <w:t> </w:t>
            </w:r>
            <w:r>
              <w:rPr>
                <w:color w:val="231F20"/>
                <w:sz w:val="15"/>
              </w:rPr>
              <w:t>as</w:t>
            </w:r>
            <w:r>
              <w:rPr>
                <w:color w:val="231F20"/>
                <w:spacing w:val="-4"/>
                <w:sz w:val="15"/>
              </w:rPr>
              <w:t> </w:t>
            </w:r>
            <w:r>
              <w:rPr>
                <w:color w:val="231F20"/>
                <w:sz w:val="15"/>
              </w:rPr>
              <w:t>a</w:t>
            </w:r>
            <w:r>
              <w:rPr>
                <w:color w:val="231F20"/>
                <w:spacing w:val="-4"/>
                <w:sz w:val="15"/>
              </w:rPr>
              <w:t> </w:t>
            </w:r>
            <w:r>
              <w:rPr>
                <w:color w:val="231F20"/>
                <w:sz w:val="15"/>
              </w:rPr>
              <w:t>result</w:t>
            </w:r>
            <w:r>
              <w:rPr>
                <w:color w:val="231F20"/>
                <w:spacing w:val="-4"/>
                <w:sz w:val="15"/>
              </w:rPr>
              <w:t> </w:t>
            </w:r>
            <w:r>
              <w:rPr>
                <w:color w:val="231F20"/>
                <w:sz w:val="15"/>
              </w:rPr>
              <w:t>of</w:t>
            </w:r>
            <w:r>
              <w:rPr>
                <w:color w:val="231F20"/>
                <w:spacing w:val="-4"/>
                <w:sz w:val="15"/>
              </w:rPr>
              <w:t> </w:t>
            </w:r>
            <w:r>
              <w:rPr>
                <w:color w:val="231F20"/>
                <w:sz w:val="15"/>
              </w:rPr>
              <w:t>stapes</w:t>
            </w:r>
            <w:r>
              <w:rPr>
                <w:color w:val="231F20"/>
                <w:spacing w:val="-4"/>
                <w:sz w:val="15"/>
              </w:rPr>
              <w:t> </w:t>
            </w:r>
            <w:r>
              <w:rPr>
                <w:color w:val="231F20"/>
                <w:sz w:val="15"/>
              </w:rPr>
              <w:t>fixation</w:t>
            </w:r>
            <w:r>
              <w:rPr>
                <w:color w:val="231F20"/>
                <w:spacing w:val="-4"/>
                <w:sz w:val="15"/>
              </w:rPr>
              <w:t> </w:t>
            </w:r>
            <w:r>
              <w:rPr>
                <w:color w:val="231F20"/>
                <w:sz w:val="15"/>
              </w:rPr>
              <w:t>mimicking</w:t>
            </w:r>
            <w:r>
              <w:rPr>
                <w:color w:val="231F20"/>
                <w:spacing w:val="-4"/>
                <w:sz w:val="15"/>
              </w:rPr>
              <w:t> </w:t>
            </w:r>
            <w:r>
              <w:rPr>
                <w:color w:val="231F20"/>
                <w:sz w:val="15"/>
              </w:rPr>
              <w:t>otosclerosis;</w:t>
            </w:r>
            <w:r>
              <w:rPr>
                <w:color w:val="231F20"/>
                <w:spacing w:val="-4"/>
                <w:sz w:val="15"/>
              </w:rPr>
              <w:t> </w:t>
            </w:r>
            <w:r>
              <w:rPr>
                <w:color w:val="231F20"/>
                <w:sz w:val="15"/>
              </w:rPr>
              <w:t>superimposed</w:t>
            </w:r>
            <w:r>
              <w:rPr>
                <w:color w:val="231F20"/>
                <w:spacing w:val="-4"/>
                <w:sz w:val="15"/>
              </w:rPr>
              <w:t> </w:t>
            </w:r>
            <w:r>
              <w:rPr>
                <w:color w:val="231F20"/>
                <w:sz w:val="15"/>
              </w:rPr>
              <w:t>progressive </w:t>
            </w:r>
            <w:r>
              <w:rPr>
                <w:color w:val="231F20"/>
                <w:spacing w:val="-4"/>
                <w:sz w:val="15"/>
              </w:rPr>
              <w:t>SNHL</w:t>
            </w:r>
          </w:p>
        </w:tc>
      </w:tr>
      <w:tr>
        <w:trPr>
          <w:trHeight w:val="420"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DFNA1</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10"/>
                <w:sz w:val="15"/>
              </w:rPr>
              <w:t>DIAPH1</w:t>
            </w:r>
          </w:p>
        </w:tc>
        <w:tc>
          <w:tcPr>
            <w:tcW w:w="7397" w:type="dxa"/>
            <w:tcBorders>
              <w:top w:val="single" w:sz="4" w:space="0" w:color="FFFFFF"/>
              <w:bottom w:val="single" w:sz="4" w:space="0" w:color="FFFFFF"/>
            </w:tcBorders>
            <w:shd w:val="clear" w:color="auto" w:fill="E8F5F1"/>
          </w:tcPr>
          <w:p>
            <w:pPr>
              <w:pStyle w:val="TableParagraph"/>
              <w:spacing w:line="230" w:lineRule="auto" w:before="48"/>
              <w:ind w:left="311" w:right="186" w:hanging="112"/>
              <w:rPr>
                <w:sz w:val="15"/>
              </w:rPr>
            </w:pPr>
            <w:r>
              <w:rPr>
                <w:color w:val="231F20"/>
                <w:sz w:val="15"/>
              </w:rPr>
              <w:t>Low-frequency</w:t>
            </w:r>
            <w:r>
              <w:rPr>
                <w:color w:val="231F20"/>
                <w:spacing w:val="-2"/>
                <w:sz w:val="15"/>
              </w:rPr>
              <w:t> </w:t>
            </w:r>
            <w:r>
              <w:rPr>
                <w:color w:val="231F20"/>
                <w:sz w:val="15"/>
              </w:rPr>
              <w:t>loss</w:t>
            </w:r>
            <w:r>
              <w:rPr>
                <w:color w:val="231F20"/>
                <w:spacing w:val="-2"/>
                <w:sz w:val="15"/>
              </w:rPr>
              <w:t> </w:t>
            </w:r>
            <w:r>
              <w:rPr>
                <w:color w:val="231F20"/>
                <w:sz w:val="15"/>
              </w:rPr>
              <w:t>beginning</w:t>
            </w:r>
            <w:r>
              <w:rPr>
                <w:color w:val="231F20"/>
                <w:spacing w:val="-2"/>
                <w:sz w:val="15"/>
              </w:rPr>
              <w:t> </w:t>
            </w:r>
            <w:r>
              <w:rPr>
                <w:color w:val="231F20"/>
                <w:sz w:val="15"/>
              </w:rPr>
              <w:t>in</w:t>
            </w:r>
            <w:r>
              <w:rPr>
                <w:color w:val="231F20"/>
                <w:spacing w:val="-2"/>
                <w:sz w:val="15"/>
              </w:rPr>
              <w:t> </w:t>
            </w:r>
            <w:r>
              <w:rPr>
                <w:color w:val="231F20"/>
                <w:sz w:val="15"/>
              </w:rPr>
              <w:t>the</w:t>
            </w:r>
            <w:r>
              <w:rPr>
                <w:color w:val="231F20"/>
                <w:spacing w:val="-2"/>
                <w:sz w:val="15"/>
              </w:rPr>
              <w:t> </w:t>
            </w:r>
            <w:r>
              <w:rPr>
                <w:color w:val="231F20"/>
                <w:sz w:val="15"/>
              </w:rPr>
              <w:t>1st</w:t>
            </w:r>
            <w:r>
              <w:rPr>
                <w:color w:val="231F20"/>
                <w:spacing w:val="-2"/>
                <w:sz w:val="15"/>
              </w:rPr>
              <w:t> </w:t>
            </w:r>
            <w:r>
              <w:rPr>
                <w:color w:val="231F20"/>
                <w:sz w:val="15"/>
              </w:rPr>
              <w:t>decade</w:t>
            </w:r>
            <w:r>
              <w:rPr>
                <w:color w:val="231F20"/>
                <w:spacing w:val="-2"/>
                <w:sz w:val="15"/>
              </w:rPr>
              <w:t> </w:t>
            </w:r>
            <w:r>
              <w:rPr>
                <w:color w:val="231F20"/>
                <w:sz w:val="15"/>
              </w:rPr>
              <w:t>and</w:t>
            </w:r>
            <w:r>
              <w:rPr>
                <w:color w:val="231F20"/>
                <w:spacing w:val="-2"/>
                <w:sz w:val="15"/>
              </w:rPr>
              <w:t> </w:t>
            </w:r>
            <w:r>
              <w:rPr>
                <w:color w:val="231F20"/>
                <w:sz w:val="15"/>
              </w:rPr>
              <w:t>progressing</w:t>
            </w:r>
            <w:r>
              <w:rPr>
                <w:color w:val="231F20"/>
                <w:spacing w:val="-2"/>
                <w:sz w:val="15"/>
              </w:rPr>
              <w:t> </w:t>
            </w:r>
            <w:r>
              <w:rPr>
                <w:color w:val="231F20"/>
                <w:sz w:val="15"/>
              </w:rPr>
              <w:t>to</w:t>
            </w:r>
            <w:r>
              <w:rPr>
                <w:color w:val="231F20"/>
                <w:spacing w:val="-2"/>
                <w:sz w:val="15"/>
              </w:rPr>
              <w:t> </w:t>
            </w:r>
            <w:r>
              <w:rPr>
                <w:color w:val="231F20"/>
                <w:sz w:val="15"/>
              </w:rPr>
              <w:t>all</w:t>
            </w:r>
            <w:r>
              <w:rPr>
                <w:color w:val="231F20"/>
                <w:spacing w:val="-2"/>
                <w:sz w:val="15"/>
              </w:rPr>
              <w:t> </w:t>
            </w:r>
            <w:r>
              <w:rPr>
                <w:color w:val="231F20"/>
                <w:sz w:val="15"/>
              </w:rPr>
              <w:t>frequencies</w:t>
            </w:r>
            <w:r>
              <w:rPr>
                <w:color w:val="231F20"/>
                <w:spacing w:val="-2"/>
                <w:sz w:val="15"/>
              </w:rPr>
              <w:t> </w:t>
            </w:r>
            <w:r>
              <w:rPr>
                <w:color w:val="231F20"/>
                <w:sz w:val="15"/>
              </w:rPr>
              <w:t>to</w:t>
            </w:r>
            <w:r>
              <w:rPr>
                <w:color w:val="231F20"/>
                <w:spacing w:val="-2"/>
                <w:sz w:val="15"/>
              </w:rPr>
              <w:t> </w:t>
            </w:r>
            <w:r>
              <w:rPr>
                <w:color w:val="231F20"/>
                <w:sz w:val="15"/>
              </w:rPr>
              <w:t>produce</w:t>
            </w:r>
            <w:r>
              <w:rPr>
                <w:color w:val="231F20"/>
                <w:spacing w:val="-2"/>
                <w:sz w:val="15"/>
              </w:rPr>
              <w:t> </w:t>
            </w:r>
            <w:r>
              <w:rPr>
                <w:color w:val="231F20"/>
                <w:sz w:val="15"/>
              </w:rPr>
              <w:t>a</w:t>
            </w:r>
            <w:r>
              <w:rPr>
                <w:color w:val="231F20"/>
                <w:spacing w:val="-2"/>
                <w:sz w:val="15"/>
              </w:rPr>
              <w:t> </w:t>
            </w:r>
            <w:r>
              <w:rPr>
                <w:color w:val="231F20"/>
                <w:sz w:val="15"/>
              </w:rPr>
              <w:t>flat audio profile with profound losses throughout the auditory range</w:t>
            </w:r>
          </w:p>
        </w:tc>
      </w:tr>
      <w:tr>
        <w:trPr>
          <w:trHeight w:val="608"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DFNA2</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15"/>
                <w:sz w:val="15"/>
              </w:rPr>
              <w:t>KCNQ4</w:t>
            </w:r>
          </w:p>
          <w:p>
            <w:pPr>
              <w:pStyle w:val="TableParagraph"/>
              <w:spacing w:before="7"/>
              <w:rPr>
                <w:i/>
                <w:sz w:val="15"/>
              </w:rPr>
            </w:pPr>
          </w:p>
          <w:p>
            <w:pPr>
              <w:pStyle w:val="TableParagraph"/>
              <w:spacing w:before="1"/>
              <w:ind w:left="356"/>
              <w:rPr>
                <w:i/>
                <w:sz w:val="15"/>
              </w:rPr>
            </w:pPr>
            <w:r>
              <w:rPr>
                <w:i/>
                <w:color w:val="231F20"/>
                <w:spacing w:val="-4"/>
                <w:w w:val="105"/>
                <w:sz w:val="15"/>
              </w:rPr>
              <w:t>GJB3</w:t>
            </w:r>
          </w:p>
        </w:tc>
        <w:tc>
          <w:tcPr>
            <w:tcW w:w="7397" w:type="dxa"/>
            <w:tcBorders>
              <w:top w:val="single" w:sz="4" w:space="0" w:color="FFFFFF"/>
              <w:bottom w:val="single" w:sz="4" w:space="0" w:color="FFFFFF"/>
            </w:tcBorders>
            <w:shd w:val="clear" w:color="auto" w:fill="E8F5F1"/>
          </w:tcPr>
          <w:p>
            <w:pPr>
              <w:pStyle w:val="TableParagraph"/>
              <w:spacing w:line="230" w:lineRule="auto" w:before="48"/>
              <w:ind w:left="311" w:right="186" w:hanging="112"/>
              <w:rPr>
                <w:sz w:val="15"/>
              </w:rPr>
            </w:pPr>
            <w:r>
              <w:rPr>
                <w:color w:val="231F20"/>
                <w:sz w:val="15"/>
              </w:rPr>
              <w:t>Symmetric</w:t>
            </w:r>
            <w:r>
              <w:rPr>
                <w:color w:val="231F20"/>
                <w:spacing w:val="-2"/>
                <w:sz w:val="15"/>
              </w:rPr>
              <w:t> </w:t>
            </w:r>
            <w:r>
              <w:rPr>
                <w:color w:val="231F20"/>
                <w:sz w:val="15"/>
              </w:rPr>
              <w:t>high-frequency</w:t>
            </w:r>
            <w:r>
              <w:rPr>
                <w:color w:val="231F20"/>
                <w:spacing w:val="-2"/>
                <w:sz w:val="15"/>
              </w:rPr>
              <w:t> </w:t>
            </w:r>
            <w:r>
              <w:rPr>
                <w:color w:val="231F20"/>
                <w:sz w:val="15"/>
              </w:rPr>
              <w:t>sensorineural</w:t>
            </w:r>
            <w:r>
              <w:rPr>
                <w:color w:val="231F20"/>
                <w:spacing w:val="-2"/>
                <w:sz w:val="15"/>
              </w:rPr>
              <w:t> </w:t>
            </w:r>
            <w:r>
              <w:rPr>
                <w:color w:val="231F20"/>
                <w:sz w:val="15"/>
              </w:rPr>
              <w:t>loss</w:t>
            </w:r>
            <w:r>
              <w:rPr>
                <w:color w:val="231F20"/>
                <w:spacing w:val="-2"/>
                <w:sz w:val="15"/>
              </w:rPr>
              <w:t> </w:t>
            </w:r>
            <w:r>
              <w:rPr>
                <w:color w:val="231F20"/>
                <w:sz w:val="15"/>
              </w:rPr>
              <w:t>beginning</w:t>
            </w:r>
            <w:r>
              <w:rPr>
                <w:color w:val="231F20"/>
                <w:spacing w:val="-2"/>
                <w:sz w:val="15"/>
              </w:rPr>
              <w:t> </w:t>
            </w:r>
            <w:r>
              <w:rPr>
                <w:color w:val="231F20"/>
                <w:sz w:val="15"/>
              </w:rPr>
              <w:t>in</w:t>
            </w:r>
            <w:r>
              <w:rPr>
                <w:color w:val="231F20"/>
                <w:spacing w:val="-2"/>
                <w:sz w:val="15"/>
              </w:rPr>
              <w:t> </w:t>
            </w:r>
            <w:r>
              <w:rPr>
                <w:color w:val="231F20"/>
                <w:sz w:val="15"/>
              </w:rPr>
              <w:t>the</w:t>
            </w:r>
            <w:r>
              <w:rPr>
                <w:color w:val="231F20"/>
                <w:spacing w:val="-2"/>
                <w:sz w:val="15"/>
              </w:rPr>
              <w:t> </w:t>
            </w:r>
            <w:r>
              <w:rPr>
                <w:color w:val="231F20"/>
                <w:sz w:val="15"/>
              </w:rPr>
              <w:t>1st</w:t>
            </w:r>
            <w:r>
              <w:rPr>
                <w:color w:val="231F20"/>
                <w:spacing w:val="-2"/>
                <w:sz w:val="15"/>
              </w:rPr>
              <w:t> </w:t>
            </w:r>
            <w:r>
              <w:rPr>
                <w:color w:val="231F20"/>
                <w:sz w:val="15"/>
              </w:rPr>
              <w:t>decade</w:t>
            </w:r>
            <w:r>
              <w:rPr>
                <w:color w:val="231F20"/>
                <w:spacing w:val="-2"/>
                <w:sz w:val="15"/>
              </w:rPr>
              <w:t> </w:t>
            </w:r>
            <w:r>
              <w:rPr>
                <w:color w:val="231F20"/>
                <w:sz w:val="15"/>
              </w:rPr>
              <w:t>and</w:t>
            </w:r>
            <w:r>
              <w:rPr>
                <w:color w:val="231F20"/>
                <w:spacing w:val="-2"/>
                <w:sz w:val="15"/>
              </w:rPr>
              <w:t> </w:t>
            </w:r>
            <w:r>
              <w:rPr>
                <w:color w:val="231F20"/>
                <w:sz w:val="15"/>
              </w:rPr>
              <w:t>progressing</w:t>
            </w:r>
            <w:r>
              <w:rPr>
                <w:color w:val="231F20"/>
                <w:spacing w:val="-2"/>
                <w:sz w:val="15"/>
              </w:rPr>
              <w:t> </w:t>
            </w:r>
            <w:r>
              <w:rPr>
                <w:color w:val="231F20"/>
                <w:sz w:val="15"/>
              </w:rPr>
              <w:t>over</w:t>
            </w:r>
            <w:r>
              <w:rPr>
                <w:color w:val="231F20"/>
                <w:spacing w:val="-2"/>
                <w:sz w:val="15"/>
              </w:rPr>
              <w:t> </w:t>
            </w:r>
            <w:r>
              <w:rPr>
                <w:color w:val="231F20"/>
                <w:sz w:val="15"/>
              </w:rPr>
              <w:t>all </w:t>
            </w:r>
            <w:r>
              <w:rPr>
                <w:color w:val="231F20"/>
                <w:spacing w:val="-2"/>
                <w:sz w:val="15"/>
              </w:rPr>
              <w:t>frequencies</w:t>
            </w:r>
          </w:p>
          <w:p>
            <w:pPr>
              <w:pStyle w:val="TableParagraph"/>
              <w:spacing w:before="16"/>
              <w:ind w:left="199"/>
              <w:rPr>
                <w:sz w:val="15"/>
              </w:rPr>
            </w:pPr>
            <w:r>
              <w:rPr>
                <w:color w:val="231F20"/>
                <w:sz w:val="15"/>
              </w:rPr>
              <w:t>Symmetric</w:t>
            </w:r>
            <w:r>
              <w:rPr>
                <w:color w:val="231F20"/>
                <w:spacing w:val="-4"/>
                <w:sz w:val="15"/>
              </w:rPr>
              <w:t> </w:t>
            </w:r>
            <w:r>
              <w:rPr>
                <w:color w:val="231F20"/>
                <w:sz w:val="15"/>
              </w:rPr>
              <w:t>high-frequency</w:t>
            </w:r>
            <w:r>
              <w:rPr>
                <w:color w:val="231F20"/>
                <w:spacing w:val="-3"/>
                <w:sz w:val="15"/>
              </w:rPr>
              <w:t> </w:t>
            </w:r>
            <w:r>
              <w:rPr>
                <w:color w:val="231F20"/>
                <w:sz w:val="15"/>
              </w:rPr>
              <w:t>sensorineural</w:t>
            </w:r>
            <w:r>
              <w:rPr>
                <w:color w:val="231F20"/>
                <w:spacing w:val="-4"/>
                <w:sz w:val="15"/>
              </w:rPr>
              <w:t> </w:t>
            </w:r>
            <w:r>
              <w:rPr>
                <w:color w:val="231F20"/>
                <w:sz w:val="15"/>
              </w:rPr>
              <w:t>loss</w:t>
            </w:r>
            <w:r>
              <w:rPr>
                <w:color w:val="231F20"/>
                <w:spacing w:val="-3"/>
                <w:sz w:val="15"/>
              </w:rPr>
              <w:t> </w:t>
            </w:r>
            <w:r>
              <w:rPr>
                <w:color w:val="231F20"/>
                <w:sz w:val="15"/>
              </w:rPr>
              <w:t>beginning</w:t>
            </w:r>
            <w:r>
              <w:rPr>
                <w:color w:val="231F20"/>
                <w:spacing w:val="-4"/>
                <w:sz w:val="15"/>
              </w:rPr>
              <w:t> </w:t>
            </w:r>
            <w:r>
              <w:rPr>
                <w:color w:val="231F20"/>
                <w:sz w:val="15"/>
              </w:rPr>
              <w:t>in</w:t>
            </w:r>
            <w:r>
              <w:rPr>
                <w:color w:val="231F20"/>
                <w:spacing w:val="-3"/>
                <w:sz w:val="15"/>
              </w:rPr>
              <w:t> </w:t>
            </w:r>
            <w:r>
              <w:rPr>
                <w:color w:val="231F20"/>
                <w:sz w:val="15"/>
              </w:rPr>
              <w:t>the</w:t>
            </w:r>
            <w:r>
              <w:rPr>
                <w:color w:val="231F20"/>
                <w:spacing w:val="-4"/>
                <w:sz w:val="15"/>
              </w:rPr>
              <w:t> </w:t>
            </w:r>
            <w:r>
              <w:rPr>
                <w:color w:val="231F20"/>
                <w:sz w:val="15"/>
              </w:rPr>
              <w:t>3rd</w:t>
            </w:r>
            <w:r>
              <w:rPr>
                <w:color w:val="231F20"/>
                <w:spacing w:val="-3"/>
                <w:sz w:val="15"/>
              </w:rPr>
              <w:t> </w:t>
            </w:r>
            <w:r>
              <w:rPr>
                <w:color w:val="231F20"/>
                <w:spacing w:val="-2"/>
                <w:sz w:val="15"/>
              </w:rPr>
              <w:t>decade</w:t>
            </w:r>
          </w:p>
        </w:tc>
      </w:tr>
      <w:tr>
        <w:trPr>
          <w:trHeight w:val="440"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DFNA3</w:t>
            </w:r>
          </w:p>
        </w:tc>
        <w:tc>
          <w:tcPr>
            <w:tcW w:w="1197" w:type="dxa"/>
            <w:tcBorders>
              <w:top w:val="single" w:sz="4" w:space="0" w:color="FFFFFF"/>
              <w:bottom w:val="single" w:sz="4" w:space="0" w:color="FFFFFF"/>
            </w:tcBorders>
            <w:shd w:val="clear" w:color="auto" w:fill="E8F5F1"/>
          </w:tcPr>
          <w:p>
            <w:pPr>
              <w:pStyle w:val="TableParagraph"/>
              <w:spacing w:line="259" w:lineRule="auto" w:before="42"/>
              <w:ind w:left="356" w:right="186"/>
              <w:rPr>
                <w:i/>
                <w:sz w:val="15"/>
              </w:rPr>
            </w:pPr>
            <w:r>
              <w:rPr>
                <w:i/>
                <w:color w:val="231F20"/>
                <w:spacing w:val="-4"/>
                <w:w w:val="105"/>
                <w:sz w:val="15"/>
              </w:rPr>
              <w:t>GJB2 GJB6</w:t>
            </w:r>
          </w:p>
        </w:tc>
        <w:tc>
          <w:tcPr>
            <w:tcW w:w="7397" w:type="dxa"/>
            <w:tcBorders>
              <w:top w:val="single" w:sz="4" w:space="0" w:color="FFFFFF"/>
              <w:bottom w:val="single" w:sz="4" w:space="0" w:color="FFFFFF"/>
            </w:tcBorders>
            <w:shd w:val="clear" w:color="auto" w:fill="E8F5F1"/>
          </w:tcPr>
          <w:p>
            <w:pPr>
              <w:pStyle w:val="TableParagraph"/>
              <w:spacing w:line="259" w:lineRule="auto" w:before="42"/>
              <w:ind w:left="199" w:right="486"/>
              <w:rPr>
                <w:sz w:val="15"/>
              </w:rPr>
            </w:pPr>
            <w:r>
              <w:rPr>
                <w:color w:val="231F20"/>
                <w:sz w:val="15"/>
              </w:rPr>
              <w:t>Childhood-onset,</w:t>
            </w:r>
            <w:r>
              <w:rPr>
                <w:color w:val="231F20"/>
                <w:spacing w:val="-12"/>
                <w:sz w:val="15"/>
              </w:rPr>
              <w:t> </w:t>
            </w:r>
            <w:r>
              <w:rPr>
                <w:color w:val="231F20"/>
                <w:sz w:val="15"/>
              </w:rPr>
              <w:t>progressive,</w:t>
            </w:r>
            <w:r>
              <w:rPr>
                <w:color w:val="231F20"/>
                <w:spacing w:val="-11"/>
                <w:sz w:val="15"/>
              </w:rPr>
              <w:t> </w:t>
            </w:r>
            <w:r>
              <w:rPr>
                <w:color w:val="231F20"/>
                <w:sz w:val="15"/>
              </w:rPr>
              <w:t>moderate-to-severe</w:t>
            </w:r>
            <w:r>
              <w:rPr>
                <w:color w:val="231F20"/>
                <w:spacing w:val="-11"/>
                <w:sz w:val="15"/>
              </w:rPr>
              <w:t> </w:t>
            </w:r>
            <w:r>
              <w:rPr>
                <w:color w:val="231F20"/>
                <w:sz w:val="15"/>
              </w:rPr>
              <w:t>high-frequency</w:t>
            </w:r>
            <w:r>
              <w:rPr>
                <w:color w:val="231F20"/>
                <w:spacing w:val="-12"/>
                <w:sz w:val="15"/>
              </w:rPr>
              <w:t> </w:t>
            </w:r>
            <w:r>
              <w:rPr>
                <w:color w:val="231F20"/>
                <w:sz w:val="15"/>
              </w:rPr>
              <w:t>sensorineural</w:t>
            </w:r>
            <w:r>
              <w:rPr>
                <w:color w:val="231F20"/>
                <w:spacing w:val="-11"/>
                <w:sz w:val="15"/>
              </w:rPr>
              <w:t> </w:t>
            </w:r>
            <w:r>
              <w:rPr>
                <w:color w:val="231F20"/>
                <w:sz w:val="15"/>
              </w:rPr>
              <w:t>hearing</w:t>
            </w:r>
            <w:r>
              <w:rPr>
                <w:color w:val="231F20"/>
                <w:spacing w:val="-11"/>
                <w:sz w:val="15"/>
              </w:rPr>
              <w:t> </w:t>
            </w:r>
            <w:r>
              <w:rPr>
                <w:color w:val="231F20"/>
                <w:sz w:val="15"/>
              </w:rPr>
              <w:t>impairment Childhood-onset,</w:t>
            </w:r>
            <w:r>
              <w:rPr>
                <w:color w:val="231F20"/>
                <w:spacing w:val="-8"/>
                <w:sz w:val="15"/>
              </w:rPr>
              <w:t> </w:t>
            </w:r>
            <w:r>
              <w:rPr>
                <w:color w:val="231F20"/>
                <w:sz w:val="15"/>
              </w:rPr>
              <w:t>progressive,</w:t>
            </w:r>
            <w:r>
              <w:rPr>
                <w:color w:val="231F20"/>
                <w:spacing w:val="-8"/>
                <w:sz w:val="15"/>
              </w:rPr>
              <w:t> </w:t>
            </w:r>
            <w:r>
              <w:rPr>
                <w:color w:val="231F20"/>
                <w:sz w:val="15"/>
              </w:rPr>
              <w:t>moderate-to-severe</w:t>
            </w:r>
            <w:r>
              <w:rPr>
                <w:color w:val="231F20"/>
                <w:spacing w:val="-7"/>
                <w:sz w:val="15"/>
              </w:rPr>
              <w:t> </w:t>
            </w:r>
            <w:r>
              <w:rPr>
                <w:color w:val="231F20"/>
                <w:sz w:val="15"/>
              </w:rPr>
              <w:t>high-frequency</w:t>
            </w:r>
            <w:r>
              <w:rPr>
                <w:color w:val="231F20"/>
                <w:spacing w:val="-8"/>
                <w:sz w:val="15"/>
              </w:rPr>
              <w:t> </w:t>
            </w:r>
            <w:r>
              <w:rPr>
                <w:color w:val="231F20"/>
                <w:sz w:val="15"/>
              </w:rPr>
              <w:t>sensorineural</w:t>
            </w:r>
            <w:r>
              <w:rPr>
                <w:color w:val="231F20"/>
                <w:spacing w:val="-7"/>
                <w:sz w:val="15"/>
              </w:rPr>
              <w:t> </w:t>
            </w:r>
            <w:r>
              <w:rPr>
                <w:color w:val="231F20"/>
                <w:sz w:val="15"/>
              </w:rPr>
              <w:t>hearing</w:t>
            </w:r>
            <w:r>
              <w:rPr>
                <w:color w:val="231F20"/>
                <w:spacing w:val="-8"/>
                <w:sz w:val="15"/>
              </w:rPr>
              <w:t> </w:t>
            </w:r>
            <w:r>
              <w:rPr>
                <w:color w:val="231F20"/>
                <w:spacing w:val="-2"/>
                <w:sz w:val="15"/>
              </w:rPr>
              <w:t>impairment</w:t>
            </w:r>
          </w:p>
        </w:tc>
      </w:tr>
      <w:tr>
        <w:trPr>
          <w:trHeight w:val="420" w:hRule="atLeast"/>
        </w:trPr>
        <w:tc>
          <w:tcPr>
            <w:tcW w:w="1148" w:type="dxa"/>
            <w:tcBorders>
              <w:top w:val="single" w:sz="4" w:space="0" w:color="FFFFFF"/>
              <w:bottom w:val="single" w:sz="4" w:space="0" w:color="FFFFFF"/>
            </w:tcBorders>
            <w:shd w:val="clear" w:color="auto" w:fill="E8F5F1"/>
          </w:tcPr>
          <w:p>
            <w:pPr>
              <w:pStyle w:val="TableParagraph"/>
              <w:spacing w:line="171" w:lineRule="exact" w:before="42"/>
              <w:ind w:right="227"/>
              <w:jc w:val="center"/>
              <w:rPr>
                <w:sz w:val="15"/>
              </w:rPr>
            </w:pPr>
            <w:r>
              <w:rPr>
                <w:color w:val="231F20"/>
                <w:w w:val="105"/>
                <w:sz w:val="15"/>
              </w:rPr>
              <w:t>DFNA6,</w:t>
            </w:r>
            <w:r>
              <w:rPr>
                <w:color w:val="231F20"/>
                <w:spacing w:val="13"/>
                <w:w w:val="105"/>
                <w:sz w:val="15"/>
              </w:rPr>
              <w:t> </w:t>
            </w:r>
            <w:r>
              <w:rPr>
                <w:color w:val="231F20"/>
                <w:spacing w:val="-5"/>
                <w:w w:val="105"/>
                <w:sz w:val="15"/>
              </w:rPr>
              <w:t>14,</w:t>
            </w:r>
          </w:p>
          <w:p>
            <w:pPr>
              <w:pStyle w:val="TableParagraph"/>
              <w:spacing w:line="171" w:lineRule="exact"/>
              <w:ind w:right="319"/>
              <w:jc w:val="center"/>
              <w:rPr>
                <w:sz w:val="15"/>
              </w:rPr>
            </w:pPr>
            <w:r>
              <w:rPr>
                <w:color w:val="231F20"/>
                <w:sz w:val="15"/>
              </w:rPr>
              <w:t>and</w:t>
            </w:r>
            <w:r>
              <w:rPr>
                <w:color w:val="231F20"/>
                <w:spacing w:val="8"/>
                <w:sz w:val="15"/>
              </w:rPr>
              <w:t> </w:t>
            </w:r>
            <w:r>
              <w:rPr>
                <w:color w:val="231F20"/>
                <w:spacing w:val="-5"/>
                <w:sz w:val="15"/>
              </w:rPr>
              <w:t>38</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4"/>
                <w:w w:val="105"/>
                <w:sz w:val="15"/>
              </w:rPr>
              <w:t>WFS1</w:t>
            </w:r>
          </w:p>
        </w:tc>
        <w:tc>
          <w:tcPr>
            <w:tcW w:w="7397" w:type="dxa"/>
            <w:tcBorders>
              <w:top w:val="single" w:sz="4" w:space="0" w:color="FFFFFF"/>
              <w:bottom w:val="single" w:sz="4" w:space="0" w:color="FFFFFF"/>
            </w:tcBorders>
            <w:shd w:val="clear" w:color="auto" w:fill="E8F5F1"/>
          </w:tcPr>
          <w:p>
            <w:pPr>
              <w:pStyle w:val="TableParagraph"/>
              <w:spacing w:line="230" w:lineRule="auto" w:before="48"/>
              <w:ind w:left="311" w:right="186" w:hanging="112"/>
              <w:rPr>
                <w:sz w:val="15"/>
              </w:rPr>
            </w:pPr>
            <w:r>
              <w:rPr>
                <w:color w:val="231F20"/>
                <w:sz w:val="15"/>
              </w:rPr>
              <w:t>Early-onset</w:t>
            </w:r>
            <w:r>
              <w:rPr>
                <w:color w:val="231F20"/>
                <w:spacing w:val="-11"/>
                <w:sz w:val="15"/>
              </w:rPr>
              <w:t> </w:t>
            </w:r>
            <w:r>
              <w:rPr>
                <w:color w:val="231F20"/>
                <w:sz w:val="15"/>
              </w:rPr>
              <w:t>low-frequency</w:t>
            </w:r>
            <w:r>
              <w:rPr>
                <w:color w:val="231F20"/>
                <w:spacing w:val="-11"/>
                <w:sz w:val="15"/>
              </w:rPr>
              <w:t> </w:t>
            </w:r>
            <w:r>
              <w:rPr>
                <w:color w:val="231F20"/>
                <w:sz w:val="15"/>
              </w:rPr>
              <w:t>sensorineural</w:t>
            </w:r>
            <w:r>
              <w:rPr>
                <w:color w:val="231F20"/>
                <w:spacing w:val="-11"/>
                <w:sz w:val="15"/>
              </w:rPr>
              <w:t> </w:t>
            </w:r>
            <w:r>
              <w:rPr>
                <w:color w:val="231F20"/>
                <w:sz w:val="15"/>
              </w:rPr>
              <w:t>loss;</w:t>
            </w:r>
            <w:r>
              <w:rPr>
                <w:color w:val="231F20"/>
                <w:spacing w:val="-11"/>
                <w:sz w:val="15"/>
              </w:rPr>
              <w:t> </w:t>
            </w:r>
            <w:r>
              <w:rPr>
                <w:color w:val="231F20"/>
                <w:sz w:val="15"/>
              </w:rPr>
              <w:t>approximately</w:t>
            </w:r>
            <w:r>
              <w:rPr>
                <w:color w:val="231F20"/>
                <w:spacing w:val="-11"/>
                <w:sz w:val="15"/>
              </w:rPr>
              <w:t> </w:t>
            </w:r>
            <w:r>
              <w:rPr>
                <w:color w:val="231F20"/>
                <w:sz w:val="15"/>
              </w:rPr>
              <w:t>75%</w:t>
            </w:r>
            <w:r>
              <w:rPr>
                <w:color w:val="231F20"/>
                <w:spacing w:val="-11"/>
                <w:sz w:val="15"/>
              </w:rPr>
              <w:t> </w:t>
            </w:r>
            <w:r>
              <w:rPr>
                <w:color w:val="231F20"/>
                <w:sz w:val="15"/>
              </w:rPr>
              <w:t>of</w:t>
            </w:r>
            <w:r>
              <w:rPr>
                <w:color w:val="231F20"/>
                <w:spacing w:val="-11"/>
                <w:sz w:val="15"/>
              </w:rPr>
              <w:t> </w:t>
            </w:r>
            <w:r>
              <w:rPr>
                <w:color w:val="231F20"/>
                <w:sz w:val="15"/>
              </w:rPr>
              <w:t>families</w:t>
            </w:r>
            <w:r>
              <w:rPr>
                <w:color w:val="231F20"/>
                <w:spacing w:val="-11"/>
                <w:sz w:val="15"/>
              </w:rPr>
              <w:t> </w:t>
            </w:r>
            <w:r>
              <w:rPr>
                <w:color w:val="231F20"/>
                <w:sz w:val="15"/>
              </w:rPr>
              <w:t>dominantly</w:t>
            </w:r>
            <w:r>
              <w:rPr>
                <w:color w:val="231F20"/>
                <w:spacing w:val="-11"/>
                <w:sz w:val="15"/>
              </w:rPr>
              <w:t> </w:t>
            </w:r>
            <w:r>
              <w:rPr>
                <w:color w:val="231F20"/>
                <w:sz w:val="15"/>
              </w:rPr>
              <w:t>segregating</w:t>
            </w:r>
            <w:r>
              <w:rPr>
                <w:color w:val="231F20"/>
                <w:spacing w:val="-11"/>
                <w:sz w:val="15"/>
              </w:rPr>
              <w:t> </w:t>
            </w:r>
            <w:r>
              <w:rPr>
                <w:color w:val="231F20"/>
                <w:sz w:val="15"/>
              </w:rPr>
              <w:t>this audio profile carry missense mutations in the C-terminal domain of wolframin</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DFNA8,</w:t>
            </w:r>
            <w:r>
              <w:rPr>
                <w:color w:val="231F20"/>
                <w:spacing w:val="3"/>
                <w:w w:val="105"/>
                <w:sz w:val="15"/>
              </w:rPr>
              <w:t> </w:t>
            </w:r>
            <w:r>
              <w:rPr>
                <w:color w:val="231F20"/>
                <w:w w:val="105"/>
                <w:sz w:val="15"/>
              </w:rPr>
              <w:t>and</w:t>
            </w:r>
            <w:r>
              <w:rPr>
                <w:color w:val="231F20"/>
                <w:spacing w:val="4"/>
                <w:w w:val="105"/>
                <w:sz w:val="15"/>
              </w:rPr>
              <w:t> </w:t>
            </w:r>
            <w:r>
              <w:rPr>
                <w:color w:val="231F20"/>
                <w:spacing w:val="-5"/>
                <w:w w:val="105"/>
                <w:sz w:val="15"/>
              </w:rPr>
              <w:t>12</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05"/>
                <w:sz w:val="15"/>
              </w:rPr>
              <w:t>TECTA</w:t>
            </w:r>
          </w:p>
        </w:tc>
        <w:tc>
          <w:tcPr>
            <w:tcW w:w="7397" w:type="dxa"/>
            <w:tcBorders>
              <w:top w:val="single" w:sz="4" w:space="0" w:color="FFFFFF"/>
              <w:bottom w:val="single" w:sz="4" w:space="0" w:color="FFFFFF"/>
            </w:tcBorders>
            <w:shd w:val="clear" w:color="auto" w:fill="E8F5F1"/>
          </w:tcPr>
          <w:p>
            <w:pPr>
              <w:pStyle w:val="TableParagraph"/>
              <w:spacing w:before="42"/>
              <w:ind w:left="199"/>
              <w:rPr>
                <w:sz w:val="15"/>
              </w:rPr>
            </w:pPr>
            <w:r>
              <w:rPr>
                <w:color w:val="231F20"/>
                <w:sz w:val="15"/>
              </w:rPr>
              <w:t>Early-onset</w:t>
            </w:r>
            <w:r>
              <w:rPr>
                <w:color w:val="231F20"/>
                <w:spacing w:val="-12"/>
                <w:sz w:val="15"/>
              </w:rPr>
              <w:t> </w:t>
            </w:r>
            <w:r>
              <w:rPr>
                <w:color w:val="231F20"/>
                <w:sz w:val="15"/>
              </w:rPr>
              <w:t>stable</w:t>
            </w:r>
            <w:r>
              <w:rPr>
                <w:color w:val="231F20"/>
                <w:spacing w:val="-11"/>
                <w:sz w:val="15"/>
              </w:rPr>
              <w:t> </w:t>
            </w:r>
            <w:r>
              <w:rPr>
                <w:color w:val="231F20"/>
                <w:sz w:val="15"/>
              </w:rPr>
              <w:t>bilateral</w:t>
            </w:r>
            <w:r>
              <w:rPr>
                <w:color w:val="231F20"/>
                <w:spacing w:val="-11"/>
                <w:sz w:val="15"/>
              </w:rPr>
              <w:t> </w:t>
            </w:r>
            <w:r>
              <w:rPr>
                <w:color w:val="231F20"/>
                <w:sz w:val="15"/>
              </w:rPr>
              <w:t>hearing</w:t>
            </w:r>
            <w:r>
              <w:rPr>
                <w:color w:val="231F20"/>
                <w:spacing w:val="-12"/>
                <w:sz w:val="15"/>
              </w:rPr>
              <w:t> </w:t>
            </w:r>
            <w:r>
              <w:rPr>
                <w:color w:val="231F20"/>
                <w:sz w:val="15"/>
              </w:rPr>
              <w:t>loss,</w:t>
            </w:r>
            <w:r>
              <w:rPr>
                <w:color w:val="231F20"/>
                <w:spacing w:val="-11"/>
                <w:sz w:val="15"/>
              </w:rPr>
              <w:t> </w:t>
            </w:r>
            <w:r>
              <w:rPr>
                <w:color w:val="231F20"/>
                <w:sz w:val="15"/>
              </w:rPr>
              <w:t>affecting</w:t>
            </w:r>
            <w:r>
              <w:rPr>
                <w:color w:val="231F20"/>
                <w:spacing w:val="-11"/>
                <w:sz w:val="15"/>
              </w:rPr>
              <w:t> </w:t>
            </w:r>
            <w:r>
              <w:rPr>
                <w:color w:val="231F20"/>
                <w:sz w:val="15"/>
              </w:rPr>
              <w:t>mainly</w:t>
            </w:r>
            <w:r>
              <w:rPr>
                <w:color w:val="231F20"/>
                <w:spacing w:val="-11"/>
                <w:sz w:val="15"/>
              </w:rPr>
              <w:t> </w:t>
            </w:r>
            <w:r>
              <w:rPr>
                <w:color w:val="231F20"/>
                <w:sz w:val="15"/>
              </w:rPr>
              <w:t>mid</w:t>
            </w:r>
            <w:r>
              <w:rPr>
                <w:color w:val="231F20"/>
                <w:spacing w:val="-12"/>
                <w:sz w:val="15"/>
              </w:rPr>
              <w:t> </w:t>
            </w:r>
            <w:r>
              <w:rPr>
                <w:color w:val="231F20"/>
                <w:sz w:val="15"/>
              </w:rPr>
              <w:t>to</w:t>
            </w:r>
            <w:r>
              <w:rPr>
                <w:color w:val="231F20"/>
                <w:spacing w:val="-11"/>
                <w:sz w:val="15"/>
              </w:rPr>
              <w:t> </w:t>
            </w:r>
            <w:r>
              <w:rPr>
                <w:color w:val="231F20"/>
                <w:sz w:val="15"/>
              </w:rPr>
              <w:t>high</w:t>
            </w:r>
            <w:r>
              <w:rPr>
                <w:color w:val="231F20"/>
                <w:spacing w:val="-11"/>
                <w:sz w:val="15"/>
              </w:rPr>
              <w:t> </w:t>
            </w:r>
            <w:r>
              <w:rPr>
                <w:color w:val="231F20"/>
                <w:spacing w:val="-2"/>
                <w:sz w:val="15"/>
              </w:rPr>
              <w:t>frequencies</w:t>
            </w:r>
          </w:p>
        </w:tc>
      </w:tr>
      <w:tr>
        <w:trPr>
          <w:trHeight w:val="420"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DFNA10</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4"/>
                <w:w w:val="105"/>
                <w:sz w:val="15"/>
              </w:rPr>
              <w:t>EYA4</w:t>
            </w:r>
          </w:p>
        </w:tc>
        <w:tc>
          <w:tcPr>
            <w:tcW w:w="7397" w:type="dxa"/>
            <w:tcBorders>
              <w:top w:val="single" w:sz="4" w:space="0" w:color="FFFFFF"/>
              <w:bottom w:val="single" w:sz="4" w:space="0" w:color="FFFFFF"/>
            </w:tcBorders>
            <w:shd w:val="clear" w:color="auto" w:fill="E8F5F1"/>
          </w:tcPr>
          <w:p>
            <w:pPr>
              <w:pStyle w:val="TableParagraph"/>
              <w:spacing w:line="230" w:lineRule="auto" w:before="48"/>
              <w:ind w:left="311" w:right="186" w:hanging="112"/>
              <w:rPr>
                <w:sz w:val="15"/>
              </w:rPr>
            </w:pPr>
            <w:r>
              <w:rPr>
                <w:color w:val="231F20"/>
                <w:sz w:val="15"/>
              </w:rPr>
              <w:t>Progressive loss beginning in the 2nd decade as a flat to gently sloping audio profile that </w:t>
            </w:r>
            <w:r>
              <w:rPr>
                <w:color w:val="231F20"/>
                <w:sz w:val="15"/>
              </w:rPr>
              <w:t>becomes steeply sloping with age</w:t>
            </w:r>
          </w:p>
        </w:tc>
      </w:tr>
      <w:tr>
        <w:trPr>
          <w:trHeight w:val="420"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DFNA11</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10"/>
                <w:sz w:val="15"/>
              </w:rPr>
              <w:t>MYO7A</w:t>
            </w:r>
          </w:p>
        </w:tc>
        <w:tc>
          <w:tcPr>
            <w:tcW w:w="7397" w:type="dxa"/>
            <w:tcBorders>
              <w:top w:val="single" w:sz="4" w:space="0" w:color="FFFFFF"/>
              <w:bottom w:val="single" w:sz="4" w:space="0" w:color="FFFFFF"/>
            </w:tcBorders>
            <w:shd w:val="clear" w:color="auto" w:fill="E8F5F1"/>
          </w:tcPr>
          <w:p>
            <w:pPr>
              <w:pStyle w:val="TableParagraph"/>
              <w:spacing w:line="230" w:lineRule="auto" w:before="48"/>
              <w:ind w:left="311" w:right="186" w:hanging="112"/>
              <w:rPr>
                <w:sz w:val="15"/>
              </w:rPr>
            </w:pPr>
            <w:r>
              <w:rPr>
                <w:color w:val="231F20"/>
                <w:sz w:val="15"/>
              </w:rPr>
              <w:t>Ascending</w:t>
            </w:r>
            <w:r>
              <w:rPr>
                <w:color w:val="231F20"/>
                <w:spacing w:val="-2"/>
                <w:sz w:val="15"/>
              </w:rPr>
              <w:t> </w:t>
            </w:r>
            <w:r>
              <w:rPr>
                <w:color w:val="231F20"/>
                <w:sz w:val="15"/>
              </w:rPr>
              <w:t>audiogram</w:t>
            </w:r>
            <w:r>
              <w:rPr>
                <w:color w:val="231F20"/>
                <w:spacing w:val="-2"/>
                <w:sz w:val="15"/>
              </w:rPr>
              <w:t> </w:t>
            </w:r>
            <w:r>
              <w:rPr>
                <w:color w:val="231F20"/>
                <w:sz w:val="15"/>
              </w:rPr>
              <w:t>affecting</w:t>
            </w:r>
            <w:r>
              <w:rPr>
                <w:color w:val="231F20"/>
                <w:spacing w:val="-2"/>
                <w:sz w:val="15"/>
              </w:rPr>
              <w:t> </w:t>
            </w:r>
            <w:r>
              <w:rPr>
                <w:color w:val="231F20"/>
                <w:sz w:val="15"/>
              </w:rPr>
              <w:t>low</w:t>
            </w:r>
            <w:r>
              <w:rPr>
                <w:color w:val="231F20"/>
                <w:spacing w:val="-2"/>
                <w:sz w:val="15"/>
              </w:rPr>
              <w:t> </w:t>
            </w:r>
            <w:r>
              <w:rPr>
                <w:color w:val="231F20"/>
                <w:sz w:val="15"/>
              </w:rPr>
              <w:t>and</w:t>
            </w:r>
            <w:r>
              <w:rPr>
                <w:color w:val="231F20"/>
                <w:spacing w:val="-2"/>
                <w:sz w:val="15"/>
              </w:rPr>
              <w:t> </w:t>
            </w:r>
            <w:r>
              <w:rPr>
                <w:color w:val="231F20"/>
                <w:sz w:val="15"/>
              </w:rPr>
              <w:t>middle</w:t>
            </w:r>
            <w:r>
              <w:rPr>
                <w:color w:val="231F20"/>
                <w:spacing w:val="-2"/>
                <w:sz w:val="15"/>
              </w:rPr>
              <w:t> </w:t>
            </w:r>
            <w:r>
              <w:rPr>
                <w:color w:val="231F20"/>
                <w:sz w:val="15"/>
              </w:rPr>
              <w:t>frequencies</w:t>
            </w:r>
            <w:r>
              <w:rPr>
                <w:color w:val="231F20"/>
                <w:spacing w:val="-2"/>
                <w:sz w:val="15"/>
              </w:rPr>
              <w:t> </w:t>
            </w:r>
            <w:r>
              <w:rPr>
                <w:color w:val="231F20"/>
                <w:sz w:val="15"/>
              </w:rPr>
              <w:t>at</w:t>
            </w:r>
            <w:r>
              <w:rPr>
                <w:color w:val="231F20"/>
                <w:spacing w:val="-2"/>
                <w:sz w:val="15"/>
              </w:rPr>
              <w:t> </w:t>
            </w:r>
            <w:r>
              <w:rPr>
                <w:color w:val="231F20"/>
                <w:sz w:val="15"/>
              </w:rPr>
              <w:t>young</w:t>
            </w:r>
            <w:r>
              <w:rPr>
                <w:color w:val="231F20"/>
                <w:spacing w:val="-2"/>
                <w:sz w:val="15"/>
              </w:rPr>
              <w:t> </w:t>
            </w:r>
            <w:r>
              <w:rPr>
                <w:color w:val="231F20"/>
                <w:sz w:val="15"/>
              </w:rPr>
              <w:t>ages</w:t>
            </w:r>
            <w:r>
              <w:rPr>
                <w:color w:val="231F20"/>
                <w:spacing w:val="-2"/>
                <w:sz w:val="15"/>
              </w:rPr>
              <w:t> </w:t>
            </w:r>
            <w:r>
              <w:rPr>
                <w:color w:val="231F20"/>
                <w:sz w:val="15"/>
              </w:rPr>
              <w:t>and</w:t>
            </w:r>
            <w:r>
              <w:rPr>
                <w:color w:val="231F20"/>
                <w:spacing w:val="-2"/>
                <w:sz w:val="15"/>
              </w:rPr>
              <w:t> </w:t>
            </w:r>
            <w:r>
              <w:rPr>
                <w:color w:val="231F20"/>
                <w:sz w:val="15"/>
              </w:rPr>
              <w:t>then</w:t>
            </w:r>
            <w:r>
              <w:rPr>
                <w:color w:val="231F20"/>
                <w:spacing w:val="-2"/>
                <w:sz w:val="15"/>
              </w:rPr>
              <w:t> </w:t>
            </w:r>
            <w:r>
              <w:rPr>
                <w:color w:val="231F20"/>
                <w:sz w:val="15"/>
              </w:rPr>
              <w:t>affecting</w:t>
            </w:r>
            <w:r>
              <w:rPr>
                <w:color w:val="231F20"/>
                <w:spacing w:val="-2"/>
                <w:sz w:val="15"/>
              </w:rPr>
              <w:t> </w:t>
            </w:r>
            <w:r>
              <w:rPr>
                <w:color w:val="231F20"/>
                <w:sz w:val="15"/>
              </w:rPr>
              <w:t>all frequencies with increasing age</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DFNA13</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05"/>
                <w:sz w:val="15"/>
              </w:rPr>
              <w:t>COL11A2</w:t>
            </w:r>
          </w:p>
        </w:tc>
        <w:tc>
          <w:tcPr>
            <w:tcW w:w="7397" w:type="dxa"/>
            <w:tcBorders>
              <w:top w:val="single" w:sz="4" w:space="0" w:color="FFFFFF"/>
              <w:bottom w:val="single" w:sz="4" w:space="0" w:color="FFFFFF"/>
            </w:tcBorders>
            <w:shd w:val="clear" w:color="auto" w:fill="E8F5F1"/>
          </w:tcPr>
          <w:p>
            <w:pPr>
              <w:pStyle w:val="TableParagraph"/>
              <w:spacing w:before="42"/>
              <w:ind w:left="199"/>
              <w:rPr>
                <w:sz w:val="15"/>
              </w:rPr>
            </w:pPr>
            <w:r>
              <w:rPr>
                <w:color w:val="231F20"/>
                <w:sz w:val="15"/>
              </w:rPr>
              <w:t>Congenital</w:t>
            </w:r>
            <w:r>
              <w:rPr>
                <w:color w:val="231F20"/>
                <w:spacing w:val="-3"/>
                <w:sz w:val="15"/>
              </w:rPr>
              <w:t> </w:t>
            </w:r>
            <w:r>
              <w:rPr>
                <w:color w:val="231F20"/>
                <w:sz w:val="15"/>
              </w:rPr>
              <w:t>midfrequency</w:t>
            </w:r>
            <w:r>
              <w:rPr>
                <w:color w:val="231F20"/>
                <w:spacing w:val="-3"/>
                <w:sz w:val="15"/>
              </w:rPr>
              <w:t> </w:t>
            </w:r>
            <w:r>
              <w:rPr>
                <w:color w:val="231F20"/>
                <w:sz w:val="15"/>
              </w:rPr>
              <w:t>sensorineural</w:t>
            </w:r>
            <w:r>
              <w:rPr>
                <w:color w:val="231F20"/>
                <w:spacing w:val="-3"/>
                <w:sz w:val="15"/>
              </w:rPr>
              <w:t> </w:t>
            </w:r>
            <w:r>
              <w:rPr>
                <w:color w:val="231F20"/>
                <w:sz w:val="15"/>
              </w:rPr>
              <w:t>loss</w:t>
            </w:r>
            <w:r>
              <w:rPr>
                <w:color w:val="231F20"/>
                <w:spacing w:val="-3"/>
                <w:sz w:val="15"/>
              </w:rPr>
              <w:t> </w:t>
            </w:r>
            <w:r>
              <w:rPr>
                <w:color w:val="231F20"/>
                <w:sz w:val="15"/>
              </w:rPr>
              <w:t>that</w:t>
            </w:r>
            <w:r>
              <w:rPr>
                <w:color w:val="231F20"/>
                <w:spacing w:val="-3"/>
                <w:sz w:val="15"/>
              </w:rPr>
              <w:t> </w:t>
            </w:r>
            <w:r>
              <w:rPr>
                <w:color w:val="231F20"/>
                <w:sz w:val="15"/>
              </w:rPr>
              <w:t>shows</w:t>
            </w:r>
            <w:r>
              <w:rPr>
                <w:color w:val="231F20"/>
                <w:spacing w:val="-2"/>
                <w:sz w:val="15"/>
              </w:rPr>
              <w:t> </w:t>
            </w:r>
            <w:r>
              <w:rPr>
                <w:color w:val="231F20"/>
                <w:sz w:val="15"/>
              </w:rPr>
              <w:t>age-related</w:t>
            </w:r>
            <w:r>
              <w:rPr>
                <w:color w:val="231F20"/>
                <w:spacing w:val="-3"/>
                <w:sz w:val="15"/>
              </w:rPr>
              <w:t> </w:t>
            </w:r>
            <w:r>
              <w:rPr>
                <w:color w:val="231F20"/>
                <w:sz w:val="15"/>
              </w:rPr>
              <w:t>progression</w:t>
            </w:r>
            <w:r>
              <w:rPr>
                <w:color w:val="231F20"/>
                <w:spacing w:val="-3"/>
                <w:sz w:val="15"/>
              </w:rPr>
              <w:t> </w:t>
            </w:r>
            <w:r>
              <w:rPr>
                <w:color w:val="231F20"/>
                <w:sz w:val="15"/>
              </w:rPr>
              <w:t>across</w:t>
            </w:r>
            <w:r>
              <w:rPr>
                <w:color w:val="231F20"/>
                <w:spacing w:val="-3"/>
                <w:sz w:val="15"/>
              </w:rPr>
              <w:t> </w:t>
            </w:r>
            <w:r>
              <w:rPr>
                <w:color w:val="231F20"/>
                <w:sz w:val="15"/>
              </w:rPr>
              <w:t>the</w:t>
            </w:r>
            <w:r>
              <w:rPr>
                <w:color w:val="231F20"/>
                <w:spacing w:val="-3"/>
                <w:sz w:val="15"/>
              </w:rPr>
              <w:t> </w:t>
            </w:r>
            <w:r>
              <w:rPr>
                <w:color w:val="231F20"/>
                <w:sz w:val="15"/>
              </w:rPr>
              <w:t>auditory</w:t>
            </w:r>
            <w:r>
              <w:rPr>
                <w:color w:val="231F20"/>
                <w:spacing w:val="-3"/>
                <w:sz w:val="15"/>
              </w:rPr>
              <w:t> </w:t>
            </w:r>
            <w:r>
              <w:rPr>
                <w:color w:val="231F20"/>
                <w:spacing w:val="-2"/>
                <w:sz w:val="15"/>
              </w:rPr>
              <w:t>range</w:t>
            </w:r>
          </w:p>
        </w:tc>
      </w:tr>
      <w:tr>
        <w:trPr>
          <w:trHeight w:val="248" w:hRule="atLeast"/>
        </w:trPr>
        <w:tc>
          <w:tcPr>
            <w:tcW w:w="1148"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w w:val="110"/>
                <w:sz w:val="15"/>
              </w:rPr>
              <w:t>DFNA15</w:t>
            </w:r>
          </w:p>
        </w:tc>
        <w:tc>
          <w:tcPr>
            <w:tcW w:w="1197" w:type="dxa"/>
            <w:tcBorders>
              <w:top w:val="single" w:sz="4" w:space="0" w:color="FFFFFF"/>
              <w:bottom w:val="single" w:sz="8" w:space="0" w:color="231F20"/>
            </w:tcBorders>
            <w:shd w:val="clear" w:color="auto" w:fill="E8F5F1"/>
          </w:tcPr>
          <w:p>
            <w:pPr>
              <w:pStyle w:val="TableParagraph"/>
              <w:spacing w:before="42"/>
              <w:ind w:left="356"/>
              <w:rPr>
                <w:i/>
                <w:sz w:val="15"/>
              </w:rPr>
            </w:pPr>
            <w:r>
              <w:rPr>
                <w:i/>
                <w:color w:val="231F20"/>
                <w:spacing w:val="-2"/>
                <w:w w:val="105"/>
                <w:sz w:val="15"/>
              </w:rPr>
              <w:t>POU4F3</w:t>
            </w:r>
          </w:p>
        </w:tc>
        <w:tc>
          <w:tcPr>
            <w:tcW w:w="7397" w:type="dxa"/>
            <w:tcBorders>
              <w:top w:val="single" w:sz="4" w:space="0" w:color="FFFFFF"/>
              <w:bottom w:val="single" w:sz="8" w:space="0" w:color="231F20"/>
            </w:tcBorders>
            <w:shd w:val="clear" w:color="auto" w:fill="E8F5F1"/>
          </w:tcPr>
          <w:p>
            <w:pPr>
              <w:pStyle w:val="TableParagraph"/>
              <w:spacing w:before="42"/>
              <w:ind w:left="199"/>
              <w:rPr>
                <w:sz w:val="15"/>
              </w:rPr>
            </w:pPr>
            <w:r>
              <w:rPr>
                <w:color w:val="231F20"/>
                <w:sz w:val="15"/>
              </w:rPr>
              <w:t>Bilateral</w:t>
            </w:r>
            <w:r>
              <w:rPr>
                <w:color w:val="231F20"/>
                <w:spacing w:val="-3"/>
                <w:sz w:val="15"/>
              </w:rPr>
              <w:t> </w:t>
            </w:r>
            <w:r>
              <w:rPr>
                <w:color w:val="231F20"/>
                <w:sz w:val="15"/>
              </w:rPr>
              <w:t>progressive</w:t>
            </w:r>
            <w:r>
              <w:rPr>
                <w:color w:val="231F20"/>
                <w:spacing w:val="-2"/>
                <w:sz w:val="15"/>
              </w:rPr>
              <w:t> </w:t>
            </w:r>
            <w:r>
              <w:rPr>
                <w:color w:val="231F20"/>
                <w:sz w:val="15"/>
              </w:rPr>
              <w:t>sensorineural</w:t>
            </w:r>
            <w:r>
              <w:rPr>
                <w:color w:val="231F20"/>
                <w:spacing w:val="-3"/>
                <w:sz w:val="15"/>
              </w:rPr>
              <w:t> </w:t>
            </w:r>
            <w:r>
              <w:rPr>
                <w:color w:val="231F20"/>
                <w:sz w:val="15"/>
              </w:rPr>
              <w:t>loss</w:t>
            </w:r>
            <w:r>
              <w:rPr>
                <w:color w:val="231F20"/>
                <w:spacing w:val="-2"/>
                <w:sz w:val="15"/>
              </w:rPr>
              <w:t> </w:t>
            </w:r>
            <w:r>
              <w:rPr>
                <w:color w:val="231F20"/>
                <w:sz w:val="15"/>
              </w:rPr>
              <w:t>beginning</w:t>
            </w:r>
            <w:r>
              <w:rPr>
                <w:color w:val="231F20"/>
                <w:spacing w:val="-3"/>
                <w:sz w:val="15"/>
              </w:rPr>
              <w:t> </w:t>
            </w:r>
            <w:r>
              <w:rPr>
                <w:color w:val="231F20"/>
                <w:sz w:val="15"/>
              </w:rPr>
              <w:t>in</w:t>
            </w:r>
            <w:r>
              <w:rPr>
                <w:color w:val="231F20"/>
                <w:spacing w:val="-2"/>
                <w:sz w:val="15"/>
              </w:rPr>
              <w:t> </w:t>
            </w:r>
            <w:r>
              <w:rPr>
                <w:color w:val="231F20"/>
                <w:sz w:val="15"/>
              </w:rPr>
              <w:t>the</w:t>
            </w:r>
            <w:r>
              <w:rPr>
                <w:color w:val="231F20"/>
                <w:spacing w:val="-3"/>
                <w:sz w:val="15"/>
              </w:rPr>
              <w:t> </w:t>
            </w:r>
            <w:r>
              <w:rPr>
                <w:color w:val="231F20"/>
                <w:sz w:val="15"/>
              </w:rPr>
              <w:t>2nd</w:t>
            </w:r>
            <w:r>
              <w:rPr>
                <w:color w:val="231F20"/>
                <w:spacing w:val="-2"/>
                <w:sz w:val="15"/>
              </w:rPr>
              <w:t> decade</w:t>
            </w:r>
          </w:p>
        </w:tc>
      </w:tr>
    </w:tbl>
    <w:p>
      <w:pPr>
        <w:pStyle w:val="TableParagraph"/>
        <w:spacing w:after="0"/>
        <w:rPr>
          <w:sz w:val="15"/>
        </w:rPr>
        <w:sectPr>
          <w:pgSz w:w="11900" w:h="16840"/>
          <w:pgMar w:header="0"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321" name="Group 1321"/>
                <wp:cNvGraphicFramePr>
                  <a:graphicFrameLocks/>
                </wp:cNvGraphicFramePr>
                <a:graphic>
                  <a:graphicData uri="http://schemas.microsoft.com/office/word/2010/wordprocessingGroup">
                    <wpg:wgp>
                      <wpg:cNvPr id="1321" name="Group 1321"/>
                      <wpg:cNvGrpSpPr/>
                      <wpg:grpSpPr>
                        <a:xfrm>
                          <a:off x="0" y="0"/>
                          <a:ext cx="6185535" cy="170815"/>
                          <a:chExt cx="6185535" cy="170815"/>
                        </a:xfrm>
                      </wpg:grpSpPr>
                      <wps:wsp>
                        <wps:cNvPr id="1322" name="Graphic 1322"/>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323" name="Graphic 1323"/>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324" name="Textbox 1324"/>
                        <wps:cNvSpPr txBox="1"/>
                        <wps:spPr>
                          <a:xfrm>
                            <a:off x="0" y="0"/>
                            <a:ext cx="6185535" cy="170815"/>
                          </a:xfrm>
                          <a:prstGeom prst="rect">
                            <a:avLst/>
                          </a:prstGeom>
                        </wps:spPr>
                        <wps:txbx>
                          <w:txbxContent>
                            <w:p>
                              <w:pPr>
                                <w:spacing w:before="6"/>
                                <w:ind w:left="0" w:right="-15" w:firstLine="0"/>
                                <w:jc w:val="right"/>
                                <w:rPr>
                                  <w:b/>
                                  <w:sz w:val="18"/>
                                </w:rPr>
                              </w:pPr>
                              <w:r>
                                <w:rPr>
                                  <w:b/>
                                  <w:color w:val="D5841E"/>
                                  <w:w w:val="105"/>
                                  <w:sz w:val="18"/>
                                </w:rPr>
                                <w:t>Chapter</w:t>
                              </w:r>
                              <w:r>
                                <w:rPr>
                                  <w:b/>
                                  <w:color w:val="D5841E"/>
                                  <w:spacing w:val="12"/>
                                  <w:w w:val="105"/>
                                  <w:sz w:val="18"/>
                                </w:rPr>
                                <w:t> </w:t>
                              </w:r>
                              <w:r>
                                <w:rPr>
                                  <w:b/>
                                  <w:color w:val="D5841E"/>
                                  <w:w w:val="105"/>
                                  <w:sz w:val="18"/>
                                </w:rPr>
                                <w:t>637</w:t>
                              </w:r>
                              <w:r>
                                <w:rPr>
                                  <w:b/>
                                  <w:color w:val="D5841E"/>
                                  <w:spacing w:val="41"/>
                                  <w:w w:val="105"/>
                                  <w:sz w:val="18"/>
                                </w:rPr>
                                <w:t> </w:t>
                              </w:r>
                              <w:r>
                                <w:rPr>
                                  <w:rFonts w:ascii="Lucida Sans Unicode" w:hAnsi="Lucida Sans Unicode"/>
                                  <w:color w:val="E4AE6F"/>
                                  <w:w w:val="105"/>
                                  <w:sz w:val="15"/>
                                </w:rPr>
                                <w:t>◆</w:t>
                              </w:r>
                              <w:r>
                                <w:rPr>
                                  <w:rFonts w:ascii="Lucida Sans Unicode" w:hAnsi="Lucida Sans Unicode"/>
                                  <w:color w:val="E4AE6F"/>
                                  <w:spacing w:val="47"/>
                                  <w:w w:val="105"/>
                                  <w:sz w:val="15"/>
                                </w:rPr>
                                <w:t> </w:t>
                              </w:r>
                              <w:r>
                                <w:rPr>
                                  <w:color w:val="231F20"/>
                                  <w:w w:val="105"/>
                                  <w:sz w:val="18"/>
                                </w:rPr>
                                <w:t>Hearing</w:t>
                              </w:r>
                              <w:r>
                                <w:rPr>
                                  <w:color w:val="231F20"/>
                                  <w:spacing w:val="9"/>
                                  <w:w w:val="105"/>
                                  <w:sz w:val="18"/>
                                </w:rPr>
                                <w:t> </w:t>
                              </w:r>
                              <w:r>
                                <w:rPr>
                                  <w:color w:val="231F20"/>
                                  <w:w w:val="105"/>
                                  <w:sz w:val="18"/>
                                </w:rPr>
                                <w:t>Loss</w:t>
                              </w:r>
                              <w:r>
                                <w:rPr>
                                  <w:color w:val="231F20"/>
                                  <w:spacing w:val="40"/>
                                  <w:w w:val="105"/>
                                  <w:sz w:val="18"/>
                                </w:rPr>
                                <w:t>  </w:t>
                              </w:r>
                              <w:r>
                                <w:rPr>
                                  <w:b/>
                                  <w:color w:val="231F20"/>
                                  <w:spacing w:val="-4"/>
                                  <w:w w:val="105"/>
                                  <w:sz w:val="18"/>
                                </w:rPr>
                                <w:t>3073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40"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041" filled="false" stroked="false">
                  <v:textbox inset="0,0,0,0">
                    <w:txbxContent>
                      <w:p>
                        <w:pPr>
                          <w:spacing w:before="6"/>
                          <w:ind w:left="0" w:right="-15" w:firstLine="0"/>
                          <w:jc w:val="right"/>
                          <w:rPr>
                            <w:b/>
                            <w:sz w:val="18"/>
                          </w:rPr>
                        </w:pPr>
                        <w:r>
                          <w:rPr>
                            <w:b/>
                            <w:color w:val="D5841E"/>
                            <w:w w:val="105"/>
                            <w:sz w:val="18"/>
                          </w:rPr>
                          <w:t>Chapter</w:t>
                        </w:r>
                        <w:r>
                          <w:rPr>
                            <w:b/>
                            <w:color w:val="D5841E"/>
                            <w:spacing w:val="12"/>
                            <w:w w:val="105"/>
                            <w:sz w:val="18"/>
                          </w:rPr>
                          <w:t> </w:t>
                        </w:r>
                        <w:r>
                          <w:rPr>
                            <w:b/>
                            <w:color w:val="D5841E"/>
                            <w:w w:val="105"/>
                            <w:sz w:val="18"/>
                          </w:rPr>
                          <w:t>637</w:t>
                        </w:r>
                        <w:r>
                          <w:rPr>
                            <w:b/>
                            <w:color w:val="D5841E"/>
                            <w:spacing w:val="41"/>
                            <w:w w:val="105"/>
                            <w:sz w:val="18"/>
                          </w:rPr>
                          <w:t> </w:t>
                        </w:r>
                        <w:r>
                          <w:rPr>
                            <w:rFonts w:ascii="Lucida Sans Unicode" w:hAnsi="Lucida Sans Unicode"/>
                            <w:color w:val="E4AE6F"/>
                            <w:w w:val="105"/>
                            <w:sz w:val="15"/>
                          </w:rPr>
                          <w:t>◆</w:t>
                        </w:r>
                        <w:r>
                          <w:rPr>
                            <w:rFonts w:ascii="Lucida Sans Unicode" w:hAnsi="Lucida Sans Unicode"/>
                            <w:color w:val="E4AE6F"/>
                            <w:spacing w:val="47"/>
                            <w:w w:val="105"/>
                            <w:sz w:val="15"/>
                          </w:rPr>
                          <w:t> </w:t>
                        </w:r>
                        <w:r>
                          <w:rPr>
                            <w:color w:val="231F20"/>
                            <w:w w:val="105"/>
                            <w:sz w:val="18"/>
                          </w:rPr>
                          <w:t>Hearing</w:t>
                        </w:r>
                        <w:r>
                          <w:rPr>
                            <w:color w:val="231F20"/>
                            <w:spacing w:val="9"/>
                            <w:w w:val="105"/>
                            <w:sz w:val="18"/>
                          </w:rPr>
                          <w:t> </w:t>
                        </w:r>
                        <w:r>
                          <w:rPr>
                            <w:color w:val="231F20"/>
                            <w:w w:val="105"/>
                            <w:sz w:val="18"/>
                          </w:rPr>
                          <w:t>Loss</w:t>
                        </w:r>
                        <w:r>
                          <w:rPr>
                            <w:color w:val="231F20"/>
                            <w:spacing w:val="40"/>
                            <w:w w:val="105"/>
                            <w:sz w:val="18"/>
                          </w:rPr>
                          <w:t>  </w:t>
                        </w:r>
                        <w:r>
                          <w:rPr>
                            <w:b/>
                            <w:color w:val="231F20"/>
                            <w:spacing w:val="-4"/>
                            <w:w w:val="105"/>
                            <w:sz w:val="18"/>
                          </w:rPr>
                          <w:t>3073</w:t>
                        </w:r>
                      </w:p>
                    </w:txbxContent>
                  </v:textbox>
                  <w10:wrap type="none"/>
                </v:shape>
              </v:group>
            </w:pict>
          </mc:Fallback>
        </mc:AlternateContent>
      </w:r>
      <w:r>
        <w:rPr>
          <w:sz w:val="20"/>
        </w:rPr>
      </w:r>
    </w:p>
    <w:p>
      <w:pPr>
        <w:pStyle w:val="BodyText"/>
        <w:spacing w:before="11"/>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197"/>
        <w:gridCol w:w="7396"/>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2</w:t>
            </w:r>
          </w:p>
        </w:tc>
        <w:tc>
          <w:tcPr>
            <w:tcW w:w="8593" w:type="dxa"/>
            <w:gridSpan w:val="2"/>
            <w:tcBorders>
              <w:left w:val="single" w:sz="8" w:space="0" w:color="FFFFFF"/>
            </w:tcBorders>
            <w:shd w:val="clear" w:color="auto" w:fill="231F20"/>
          </w:tcPr>
          <w:p>
            <w:pPr>
              <w:pStyle w:val="TableParagraph"/>
              <w:spacing w:before="89"/>
              <w:ind w:left="73"/>
              <w:rPr>
                <w:sz w:val="16"/>
              </w:rPr>
            </w:pPr>
            <w:r>
              <w:rPr>
                <w:color w:val="FFFFFF"/>
                <w:sz w:val="16"/>
              </w:rPr>
              <w:t>Common</w:t>
            </w:r>
            <w:r>
              <w:rPr>
                <w:color w:val="FFFFFF"/>
                <w:spacing w:val="59"/>
                <w:sz w:val="16"/>
              </w:rPr>
              <w:t> </w:t>
            </w:r>
            <w:r>
              <w:rPr>
                <w:color w:val="FFFFFF"/>
                <w:sz w:val="16"/>
              </w:rPr>
              <w:t>Types</w:t>
            </w:r>
            <w:r>
              <w:rPr>
                <w:color w:val="FFFFFF"/>
                <w:spacing w:val="59"/>
                <w:sz w:val="16"/>
              </w:rPr>
              <w:t> </w:t>
            </w:r>
            <w:r>
              <w:rPr>
                <w:color w:val="FFFFFF"/>
                <w:sz w:val="16"/>
              </w:rPr>
              <w:t>of</w:t>
            </w:r>
            <w:r>
              <w:rPr>
                <w:color w:val="FFFFFF"/>
                <w:spacing w:val="60"/>
                <w:sz w:val="16"/>
              </w:rPr>
              <w:t> </w:t>
            </w:r>
            <w:r>
              <w:rPr>
                <w:color w:val="FFFFFF"/>
                <w:sz w:val="16"/>
              </w:rPr>
              <w:t>Early-Onset</w:t>
            </w:r>
            <w:r>
              <w:rPr>
                <w:color w:val="FFFFFF"/>
                <w:spacing w:val="59"/>
                <w:sz w:val="16"/>
              </w:rPr>
              <w:t> </w:t>
            </w:r>
            <w:r>
              <w:rPr>
                <w:color w:val="FFFFFF"/>
                <w:sz w:val="16"/>
              </w:rPr>
              <w:t>Hereditary</w:t>
            </w:r>
            <w:r>
              <w:rPr>
                <w:color w:val="FFFFFF"/>
                <w:spacing w:val="59"/>
                <w:sz w:val="16"/>
              </w:rPr>
              <w:t> </w:t>
            </w:r>
            <w:r>
              <w:rPr>
                <w:color w:val="FFFFFF"/>
                <w:sz w:val="16"/>
              </w:rPr>
              <w:t>Nonsyndromic</w:t>
            </w:r>
            <w:r>
              <w:rPr>
                <w:color w:val="FFFFFF"/>
                <w:spacing w:val="60"/>
                <w:sz w:val="16"/>
              </w:rPr>
              <w:t> </w:t>
            </w:r>
            <w:r>
              <w:rPr>
                <w:color w:val="FFFFFF"/>
                <w:sz w:val="16"/>
              </w:rPr>
              <w:t>Sensorineural</w:t>
            </w:r>
            <w:r>
              <w:rPr>
                <w:color w:val="FFFFFF"/>
                <w:spacing w:val="59"/>
                <w:sz w:val="16"/>
              </w:rPr>
              <w:t> </w:t>
            </w:r>
            <w:r>
              <w:rPr>
                <w:color w:val="FFFFFF"/>
                <w:sz w:val="16"/>
              </w:rPr>
              <w:t>Hearing</w:t>
            </w:r>
            <w:r>
              <w:rPr>
                <w:color w:val="FFFFFF"/>
                <w:spacing w:val="59"/>
                <w:sz w:val="16"/>
              </w:rPr>
              <w:t> </w:t>
            </w:r>
            <w:r>
              <w:rPr>
                <w:color w:val="FFFFFF"/>
                <w:sz w:val="16"/>
              </w:rPr>
              <w:t>Loss—</w:t>
            </w:r>
            <w:r>
              <w:rPr>
                <w:color w:val="FFFFFF"/>
                <w:spacing w:val="-2"/>
                <w:sz w:val="16"/>
              </w:rPr>
              <w:t>cont’d</w:t>
            </w:r>
          </w:p>
        </w:tc>
      </w:tr>
      <w:tr>
        <w:trPr>
          <w:trHeight w:val="276" w:hRule="atLeast"/>
        </w:trPr>
        <w:tc>
          <w:tcPr>
            <w:tcW w:w="1148" w:type="dxa"/>
            <w:tcBorders>
              <w:bottom w:val="single" w:sz="4" w:space="0" w:color="231F20"/>
            </w:tcBorders>
            <w:shd w:val="clear" w:color="auto" w:fill="E8F5F1"/>
          </w:tcPr>
          <w:p>
            <w:pPr>
              <w:pStyle w:val="TableParagraph"/>
              <w:spacing w:before="66"/>
              <w:ind w:left="74"/>
              <w:rPr>
                <w:b/>
                <w:sz w:val="15"/>
              </w:rPr>
            </w:pPr>
            <w:r>
              <w:rPr>
                <w:b/>
                <w:color w:val="231F20"/>
                <w:spacing w:val="-2"/>
                <w:w w:val="110"/>
                <w:sz w:val="15"/>
              </w:rPr>
              <w:t>LOCUS</w:t>
            </w:r>
          </w:p>
        </w:tc>
        <w:tc>
          <w:tcPr>
            <w:tcW w:w="1197" w:type="dxa"/>
            <w:tcBorders>
              <w:bottom w:val="single" w:sz="4" w:space="0" w:color="231F20"/>
            </w:tcBorders>
            <w:shd w:val="clear" w:color="auto" w:fill="E8F5F1"/>
          </w:tcPr>
          <w:p>
            <w:pPr>
              <w:pStyle w:val="TableParagraph"/>
              <w:spacing w:before="66"/>
              <w:ind w:left="463"/>
              <w:rPr>
                <w:b/>
                <w:sz w:val="15"/>
              </w:rPr>
            </w:pPr>
            <w:r>
              <w:rPr>
                <w:b/>
                <w:color w:val="231F20"/>
                <w:spacing w:val="-4"/>
                <w:w w:val="115"/>
                <w:sz w:val="15"/>
              </w:rPr>
              <w:t>GENE</w:t>
            </w:r>
          </w:p>
        </w:tc>
        <w:tc>
          <w:tcPr>
            <w:tcW w:w="7396" w:type="dxa"/>
            <w:tcBorders>
              <w:bottom w:val="single" w:sz="4" w:space="0" w:color="231F20"/>
            </w:tcBorders>
            <w:shd w:val="clear" w:color="auto" w:fill="E8F5F1"/>
          </w:tcPr>
          <w:p>
            <w:pPr>
              <w:pStyle w:val="TableParagraph"/>
              <w:spacing w:before="66"/>
              <w:ind w:left="124"/>
              <w:jc w:val="center"/>
              <w:rPr>
                <w:b/>
                <w:sz w:val="15"/>
              </w:rPr>
            </w:pPr>
            <w:r>
              <w:rPr>
                <w:b/>
                <w:color w:val="231F20"/>
                <w:w w:val="110"/>
                <w:sz w:val="15"/>
              </w:rPr>
              <w:t>AUDIO</w:t>
            </w:r>
            <w:r>
              <w:rPr>
                <w:b/>
                <w:color w:val="231F20"/>
                <w:spacing w:val="20"/>
                <w:w w:val="110"/>
                <w:sz w:val="15"/>
              </w:rPr>
              <w:t> </w:t>
            </w:r>
            <w:r>
              <w:rPr>
                <w:b/>
                <w:color w:val="231F20"/>
                <w:spacing w:val="-2"/>
                <w:w w:val="110"/>
                <w:sz w:val="15"/>
              </w:rPr>
              <w:t>PHENOTYPE</w:t>
            </w:r>
          </w:p>
        </w:tc>
      </w:tr>
      <w:tr>
        <w:trPr>
          <w:trHeight w:val="420" w:hRule="atLeast"/>
        </w:trPr>
        <w:tc>
          <w:tcPr>
            <w:tcW w:w="1148" w:type="dxa"/>
            <w:tcBorders>
              <w:top w:val="single" w:sz="4" w:space="0" w:color="231F20"/>
              <w:bottom w:val="single" w:sz="4" w:space="0" w:color="FFFFFF"/>
            </w:tcBorders>
            <w:shd w:val="clear" w:color="auto" w:fill="E8F5F1"/>
          </w:tcPr>
          <w:p>
            <w:pPr>
              <w:pStyle w:val="TableParagraph"/>
              <w:spacing w:line="230" w:lineRule="auto" w:before="48"/>
              <w:ind w:left="186" w:right="71" w:hanging="112"/>
              <w:rPr>
                <w:sz w:val="15"/>
              </w:rPr>
            </w:pPr>
            <w:r>
              <w:rPr>
                <w:color w:val="231F20"/>
                <w:w w:val="105"/>
                <w:sz w:val="15"/>
              </w:rPr>
              <w:t>DFNA20,</w:t>
            </w:r>
            <w:r>
              <w:rPr>
                <w:color w:val="231F20"/>
                <w:spacing w:val="-12"/>
                <w:w w:val="105"/>
                <w:sz w:val="15"/>
              </w:rPr>
              <w:t> </w:t>
            </w:r>
            <w:r>
              <w:rPr>
                <w:color w:val="231F20"/>
                <w:w w:val="105"/>
                <w:sz w:val="15"/>
              </w:rPr>
              <w:t>and </w:t>
            </w:r>
            <w:r>
              <w:rPr>
                <w:color w:val="231F20"/>
                <w:spacing w:val="-6"/>
                <w:w w:val="105"/>
                <w:sz w:val="15"/>
              </w:rPr>
              <w:t>26</w:t>
            </w:r>
          </w:p>
        </w:tc>
        <w:tc>
          <w:tcPr>
            <w:tcW w:w="1197" w:type="dxa"/>
            <w:tcBorders>
              <w:top w:val="single" w:sz="4" w:space="0" w:color="231F20"/>
              <w:bottom w:val="single" w:sz="4" w:space="0" w:color="FFFFFF"/>
            </w:tcBorders>
            <w:shd w:val="clear" w:color="auto" w:fill="E8F5F1"/>
          </w:tcPr>
          <w:p>
            <w:pPr>
              <w:pStyle w:val="TableParagraph"/>
              <w:spacing w:before="42"/>
              <w:ind w:left="356"/>
              <w:rPr>
                <w:i/>
                <w:sz w:val="15"/>
              </w:rPr>
            </w:pPr>
            <w:r>
              <w:rPr>
                <w:i/>
                <w:color w:val="231F20"/>
                <w:spacing w:val="-2"/>
                <w:w w:val="110"/>
                <w:sz w:val="15"/>
              </w:rPr>
              <w:t>ACTG1</w:t>
            </w:r>
          </w:p>
        </w:tc>
        <w:tc>
          <w:tcPr>
            <w:tcW w:w="7396" w:type="dxa"/>
            <w:tcBorders>
              <w:top w:val="single" w:sz="4" w:space="0" w:color="231F20"/>
              <w:bottom w:val="single" w:sz="4" w:space="0" w:color="FFFFFF"/>
            </w:tcBorders>
            <w:shd w:val="clear" w:color="auto" w:fill="E8F5F1"/>
          </w:tcPr>
          <w:p>
            <w:pPr>
              <w:pStyle w:val="TableParagraph"/>
              <w:spacing w:line="230" w:lineRule="auto" w:before="48"/>
              <w:ind w:left="311" w:hanging="112"/>
              <w:rPr>
                <w:sz w:val="15"/>
              </w:rPr>
            </w:pPr>
            <w:r>
              <w:rPr>
                <w:color w:val="231F20"/>
                <w:sz w:val="15"/>
              </w:rPr>
              <w:t>Bilateral</w:t>
            </w:r>
            <w:r>
              <w:rPr>
                <w:color w:val="231F20"/>
                <w:spacing w:val="-7"/>
                <w:sz w:val="15"/>
              </w:rPr>
              <w:t> </w:t>
            </w:r>
            <w:r>
              <w:rPr>
                <w:color w:val="231F20"/>
                <w:sz w:val="15"/>
              </w:rPr>
              <w:t>progressive</w:t>
            </w:r>
            <w:r>
              <w:rPr>
                <w:color w:val="231F20"/>
                <w:spacing w:val="-7"/>
                <w:sz w:val="15"/>
              </w:rPr>
              <w:t> </w:t>
            </w:r>
            <w:r>
              <w:rPr>
                <w:color w:val="231F20"/>
                <w:sz w:val="15"/>
              </w:rPr>
              <w:t>sensorineural</w:t>
            </w:r>
            <w:r>
              <w:rPr>
                <w:color w:val="231F20"/>
                <w:spacing w:val="-7"/>
                <w:sz w:val="15"/>
              </w:rPr>
              <w:t> </w:t>
            </w:r>
            <w:r>
              <w:rPr>
                <w:color w:val="231F20"/>
                <w:sz w:val="15"/>
              </w:rPr>
              <w:t>loss</w:t>
            </w:r>
            <w:r>
              <w:rPr>
                <w:color w:val="231F20"/>
                <w:spacing w:val="-7"/>
                <w:sz w:val="15"/>
              </w:rPr>
              <w:t> </w:t>
            </w:r>
            <w:r>
              <w:rPr>
                <w:color w:val="231F20"/>
                <w:sz w:val="15"/>
              </w:rPr>
              <w:t>beginning</w:t>
            </w:r>
            <w:r>
              <w:rPr>
                <w:color w:val="231F20"/>
                <w:spacing w:val="-7"/>
                <w:sz w:val="15"/>
              </w:rPr>
              <w:t> </w:t>
            </w:r>
            <w:r>
              <w:rPr>
                <w:color w:val="231F20"/>
                <w:sz w:val="15"/>
              </w:rPr>
              <w:t>in</w:t>
            </w:r>
            <w:r>
              <w:rPr>
                <w:color w:val="231F20"/>
                <w:spacing w:val="-7"/>
                <w:sz w:val="15"/>
              </w:rPr>
              <w:t> </w:t>
            </w:r>
            <w:r>
              <w:rPr>
                <w:color w:val="231F20"/>
                <w:sz w:val="15"/>
              </w:rPr>
              <w:t>the</w:t>
            </w:r>
            <w:r>
              <w:rPr>
                <w:color w:val="231F20"/>
                <w:spacing w:val="-7"/>
                <w:sz w:val="15"/>
              </w:rPr>
              <w:t> </w:t>
            </w:r>
            <w:r>
              <w:rPr>
                <w:color w:val="231F20"/>
                <w:sz w:val="15"/>
              </w:rPr>
              <w:t>2nd</w:t>
            </w:r>
            <w:r>
              <w:rPr>
                <w:color w:val="231F20"/>
                <w:spacing w:val="-7"/>
                <w:sz w:val="15"/>
              </w:rPr>
              <w:t> </w:t>
            </w:r>
            <w:r>
              <w:rPr>
                <w:color w:val="231F20"/>
                <w:sz w:val="15"/>
              </w:rPr>
              <w:t>decade;</w:t>
            </w:r>
            <w:r>
              <w:rPr>
                <w:color w:val="231F20"/>
                <w:spacing w:val="-7"/>
                <w:sz w:val="15"/>
              </w:rPr>
              <w:t> </w:t>
            </w:r>
            <w:r>
              <w:rPr>
                <w:color w:val="231F20"/>
                <w:sz w:val="15"/>
              </w:rPr>
              <w:t>with</w:t>
            </w:r>
            <w:r>
              <w:rPr>
                <w:color w:val="231F20"/>
                <w:spacing w:val="-7"/>
                <w:sz w:val="15"/>
              </w:rPr>
              <w:t> </w:t>
            </w:r>
            <w:r>
              <w:rPr>
                <w:color w:val="231F20"/>
                <w:sz w:val="15"/>
              </w:rPr>
              <w:t>age,</w:t>
            </w:r>
            <w:r>
              <w:rPr>
                <w:color w:val="231F20"/>
                <w:spacing w:val="-7"/>
                <w:sz w:val="15"/>
              </w:rPr>
              <w:t> </w:t>
            </w:r>
            <w:r>
              <w:rPr>
                <w:color w:val="231F20"/>
                <w:sz w:val="15"/>
              </w:rPr>
              <w:t>the</w:t>
            </w:r>
            <w:r>
              <w:rPr>
                <w:color w:val="231F20"/>
                <w:spacing w:val="-7"/>
                <w:sz w:val="15"/>
              </w:rPr>
              <w:t> </w:t>
            </w:r>
            <w:r>
              <w:rPr>
                <w:color w:val="231F20"/>
                <w:sz w:val="15"/>
              </w:rPr>
              <w:t>loss</w:t>
            </w:r>
            <w:r>
              <w:rPr>
                <w:color w:val="231F20"/>
                <w:spacing w:val="-7"/>
                <w:sz w:val="15"/>
              </w:rPr>
              <w:t> </w:t>
            </w:r>
            <w:r>
              <w:rPr>
                <w:color w:val="231F20"/>
                <w:sz w:val="15"/>
              </w:rPr>
              <w:t>increases</w:t>
            </w:r>
            <w:r>
              <w:rPr>
                <w:color w:val="231F20"/>
                <w:spacing w:val="-7"/>
                <w:sz w:val="15"/>
              </w:rPr>
              <w:t> </w:t>
            </w:r>
            <w:r>
              <w:rPr>
                <w:color w:val="231F20"/>
                <w:sz w:val="15"/>
              </w:rPr>
              <w:t>with threshold shifts in all frequencies, although a sloping configuration is maintained in most cases</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DFNA22</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4"/>
                <w:w w:val="110"/>
                <w:sz w:val="15"/>
              </w:rPr>
              <w:t>MYO6</w:t>
            </w:r>
          </w:p>
        </w:tc>
        <w:tc>
          <w:tcPr>
            <w:tcW w:w="7396" w:type="dxa"/>
            <w:tcBorders>
              <w:top w:val="single" w:sz="4" w:space="0" w:color="FFFFFF"/>
              <w:bottom w:val="single" w:sz="4" w:space="0" w:color="FFFFFF"/>
            </w:tcBorders>
            <w:shd w:val="clear" w:color="auto" w:fill="E8F5F1"/>
          </w:tcPr>
          <w:p>
            <w:pPr>
              <w:pStyle w:val="TableParagraph"/>
              <w:spacing w:before="42"/>
              <w:ind w:left="199"/>
              <w:rPr>
                <w:sz w:val="15"/>
              </w:rPr>
            </w:pPr>
            <w:r>
              <w:rPr>
                <w:color w:val="231F20"/>
                <w:sz w:val="15"/>
              </w:rPr>
              <w:t>Postlingual,</w:t>
            </w:r>
            <w:r>
              <w:rPr>
                <w:color w:val="231F20"/>
                <w:spacing w:val="-9"/>
                <w:sz w:val="15"/>
              </w:rPr>
              <w:t> </w:t>
            </w:r>
            <w:r>
              <w:rPr>
                <w:color w:val="231F20"/>
                <w:sz w:val="15"/>
              </w:rPr>
              <w:t>slowly</w:t>
            </w:r>
            <w:r>
              <w:rPr>
                <w:color w:val="231F20"/>
                <w:spacing w:val="-8"/>
                <w:sz w:val="15"/>
              </w:rPr>
              <w:t> </w:t>
            </w:r>
            <w:r>
              <w:rPr>
                <w:color w:val="231F20"/>
                <w:sz w:val="15"/>
              </w:rPr>
              <w:t>progressive,</w:t>
            </w:r>
            <w:r>
              <w:rPr>
                <w:color w:val="231F20"/>
                <w:spacing w:val="-8"/>
                <w:sz w:val="15"/>
              </w:rPr>
              <w:t> </w:t>
            </w:r>
            <w:r>
              <w:rPr>
                <w:color w:val="231F20"/>
                <w:sz w:val="15"/>
              </w:rPr>
              <w:t>moderate</w:t>
            </w:r>
            <w:r>
              <w:rPr>
                <w:color w:val="231F20"/>
                <w:spacing w:val="-8"/>
                <w:sz w:val="15"/>
              </w:rPr>
              <w:t> </w:t>
            </w:r>
            <w:r>
              <w:rPr>
                <w:color w:val="231F20"/>
                <w:sz w:val="15"/>
              </w:rPr>
              <w:t>to</w:t>
            </w:r>
            <w:r>
              <w:rPr>
                <w:color w:val="231F20"/>
                <w:spacing w:val="-8"/>
                <w:sz w:val="15"/>
              </w:rPr>
              <w:t> </w:t>
            </w:r>
            <w:r>
              <w:rPr>
                <w:color w:val="231F20"/>
                <w:sz w:val="15"/>
              </w:rPr>
              <w:t>severe</w:t>
            </w:r>
            <w:r>
              <w:rPr>
                <w:color w:val="231F20"/>
                <w:spacing w:val="-8"/>
                <w:sz w:val="15"/>
              </w:rPr>
              <w:t> </w:t>
            </w:r>
            <w:r>
              <w:rPr>
                <w:color w:val="231F20"/>
                <w:sz w:val="15"/>
              </w:rPr>
              <w:t>hearing</w:t>
            </w:r>
            <w:r>
              <w:rPr>
                <w:color w:val="231F20"/>
                <w:spacing w:val="-9"/>
                <w:sz w:val="15"/>
              </w:rPr>
              <w:t> </w:t>
            </w:r>
            <w:r>
              <w:rPr>
                <w:color w:val="231F20"/>
                <w:spacing w:val="-4"/>
                <w:sz w:val="15"/>
              </w:rPr>
              <w:t>loss</w:t>
            </w:r>
          </w:p>
        </w:tc>
      </w:tr>
      <w:tr>
        <w:trPr>
          <w:trHeight w:val="924"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DFNB1</w:t>
            </w:r>
          </w:p>
        </w:tc>
        <w:tc>
          <w:tcPr>
            <w:tcW w:w="1197" w:type="dxa"/>
            <w:tcBorders>
              <w:top w:val="single" w:sz="4" w:space="0" w:color="FFFFFF"/>
              <w:bottom w:val="single" w:sz="4" w:space="0" w:color="FFFFFF"/>
            </w:tcBorders>
            <w:shd w:val="clear" w:color="auto" w:fill="E8F5F1"/>
          </w:tcPr>
          <w:p>
            <w:pPr>
              <w:pStyle w:val="TableParagraph"/>
              <w:spacing w:line="230" w:lineRule="auto" w:before="48"/>
              <w:ind w:left="468" w:right="186" w:hanging="112"/>
              <w:rPr>
                <w:i/>
                <w:sz w:val="15"/>
              </w:rPr>
            </w:pPr>
            <w:r>
              <w:rPr>
                <w:i/>
                <w:color w:val="231F20"/>
                <w:spacing w:val="-2"/>
                <w:w w:val="105"/>
                <w:sz w:val="15"/>
              </w:rPr>
              <w:t>GJB2, </w:t>
            </w:r>
            <w:r>
              <w:rPr>
                <w:i/>
                <w:color w:val="231F20"/>
                <w:spacing w:val="-4"/>
                <w:w w:val="105"/>
                <w:sz w:val="15"/>
              </w:rPr>
              <w:t>GJB6</w:t>
            </w:r>
          </w:p>
        </w:tc>
        <w:tc>
          <w:tcPr>
            <w:tcW w:w="7396" w:type="dxa"/>
            <w:tcBorders>
              <w:top w:val="single" w:sz="4" w:space="0" w:color="FFFFFF"/>
              <w:bottom w:val="single" w:sz="4" w:space="0" w:color="FFFFFF"/>
            </w:tcBorders>
            <w:shd w:val="clear" w:color="auto" w:fill="E8F5F1"/>
          </w:tcPr>
          <w:p>
            <w:pPr>
              <w:pStyle w:val="TableParagraph"/>
              <w:spacing w:line="230" w:lineRule="auto" w:before="48"/>
              <w:ind w:left="311" w:right="153" w:hanging="112"/>
              <w:rPr>
                <w:sz w:val="15"/>
              </w:rPr>
            </w:pPr>
            <w:r>
              <w:rPr>
                <w:color w:val="231F20"/>
                <w:sz w:val="15"/>
              </w:rPr>
              <w:t>Hearing loss varies from mild to profound. The most common genotype, 35delG/35delG, is associated with severe to profound SNHL in about 90% of affected children; severe to profound deafness is observed in only 60% of children who are compound heterozygotes carrying 1 35delG allele and any other</w:t>
            </w:r>
            <w:r>
              <w:rPr>
                <w:color w:val="231F20"/>
                <w:spacing w:val="-2"/>
                <w:sz w:val="15"/>
              </w:rPr>
              <w:t> </w:t>
            </w:r>
            <w:r>
              <w:rPr>
                <w:i/>
                <w:color w:val="231F20"/>
                <w:sz w:val="15"/>
              </w:rPr>
              <w:t>GJB2</w:t>
            </w:r>
            <w:r>
              <w:rPr>
                <w:i/>
                <w:color w:val="231F20"/>
                <w:spacing w:val="-2"/>
                <w:sz w:val="15"/>
              </w:rPr>
              <w:t> </w:t>
            </w:r>
            <w:r>
              <w:rPr>
                <w:color w:val="231F20"/>
                <w:sz w:val="15"/>
              </w:rPr>
              <w:t>SNHL-causing</w:t>
            </w:r>
            <w:r>
              <w:rPr>
                <w:color w:val="231F20"/>
                <w:spacing w:val="-2"/>
                <w:sz w:val="15"/>
              </w:rPr>
              <w:t> </w:t>
            </w:r>
            <w:r>
              <w:rPr>
                <w:color w:val="231F20"/>
                <w:sz w:val="15"/>
              </w:rPr>
              <w:t>allele</w:t>
            </w:r>
            <w:r>
              <w:rPr>
                <w:color w:val="231F20"/>
                <w:spacing w:val="-2"/>
                <w:sz w:val="15"/>
              </w:rPr>
              <w:t> </w:t>
            </w:r>
            <w:r>
              <w:rPr>
                <w:color w:val="231F20"/>
                <w:sz w:val="15"/>
              </w:rPr>
              <w:t>variant;</w:t>
            </w:r>
            <w:r>
              <w:rPr>
                <w:color w:val="231F20"/>
                <w:spacing w:val="-2"/>
                <w:sz w:val="15"/>
              </w:rPr>
              <w:t> </w:t>
            </w:r>
            <w:r>
              <w:rPr>
                <w:color w:val="231F20"/>
                <w:sz w:val="15"/>
              </w:rPr>
              <w:t>in</w:t>
            </w:r>
            <w:r>
              <w:rPr>
                <w:color w:val="231F20"/>
                <w:spacing w:val="-2"/>
                <w:sz w:val="15"/>
              </w:rPr>
              <w:t> </w:t>
            </w:r>
            <w:r>
              <w:rPr>
                <w:color w:val="231F20"/>
                <w:sz w:val="15"/>
              </w:rPr>
              <w:t>children</w:t>
            </w:r>
            <w:r>
              <w:rPr>
                <w:color w:val="231F20"/>
                <w:spacing w:val="-2"/>
                <w:sz w:val="15"/>
              </w:rPr>
              <w:t> </w:t>
            </w:r>
            <w:r>
              <w:rPr>
                <w:color w:val="231F20"/>
                <w:sz w:val="15"/>
              </w:rPr>
              <w:t>carrying</w:t>
            </w:r>
            <w:r>
              <w:rPr>
                <w:color w:val="231F20"/>
                <w:spacing w:val="-2"/>
                <w:sz w:val="15"/>
              </w:rPr>
              <w:t> </w:t>
            </w:r>
            <w:r>
              <w:rPr>
                <w:color w:val="231F20"/>
                <w:sz w:val="15"/>
              </w:rPr>
              <w:t>2</w:t>
            </w:r>
            <w:r>
              <w:rPr>
                <w:color w:val="231F20"/>
                <w:spacing w:val="-2"/>
                <w:sz w:val="15"/>
              </w:rPr>
              <w:t> </w:t>
            </w:r>
            <w:r>
              <w:rPr>
                <w:i/>
                <w:color w:val="231F20"/>
                <w:sz w:val="15"/>
              </w:rPr>
              <w:t>GJB2</w:t>
            </w:r>
            <w:r>
              <w:rPr>
                <w:i/>
                <w:color w:val="231F20"/>
                <w:spacing w:val="-2"/>
                <w:sz w:val="15"/>
              </w:rPr>
              <w:t> </w:t>
            </w:r>
            <w:r>
              <w:rPr>
                <w:color w:val="231F20"/>
                <w:sz w:val="15"/>
              </w:rPr>
              <w:t>SNHL-causing</w:t>
            </w:r>
            <w:r>
              <w:rPr>
                <w:color w:val="231F20"/>
                <w:spacing w:val="-2"/>
                <w:sz w:val="15"/>
              </w:rPr>
              <w:t> </w:t>
            </w:r>
            <w:r>
              <w:rPr>
                <w:color w:val="231F20"/>
                <w:sz w:val="15"/>
              </w:rPr>
              <w:t>missense</w:t>
            </w:r>
            <w:r>
              <w:rPr>
                <w:color w:val="231F20"/>
                <w:spacing w:val="-2"/>
                <w:sz w:val="15"/>
              </w:rPr>
              <w:t> </w:t>
            </w:r>
            <w:r>
              <w:rPr>
                <w:color w:val="231F20"/>
                <w:sz w:val="15"/>
              </w:rPr>
              <w:t>mutations, severe to profound deafness is not observed</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DFNB3</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10"/>
                <w:sz w:val="15"/>
              </w:rPr>
              <w:t>MYO7A</w:t>
            </w:r>
          </w:p>
        </w:tc>
        <w:tc>
          <w:tcPr>
            <w:tcW w:w="7396" w:type="dxa"/>
            <w:tcBorders>
              <w:top w:val="single" w:sz="4" w:space="0" w:color="FFFFFF"/>
              <w:bottom w:val="single" w:sz="4" w:space="0" w:color="FFFFFF"/>
            </w:tcBorders>
            <w:shd w:val="clear" w:color="auto" w:fill="E8F5F1"/>
          </w:tcPr>
          <w:p>
            <w:pPr>
              <w:pStyle w:val="TableParagraph"/>
              <w:spacing w:before="42"/>
              <w:ind w:left="199"/>
              <w:rPr>
                <w:sz w:val="15"/>
              </w:rPr>
            </w:pPr>
            <w:r>
              <w:rPr>
                <w:color w:val="231F20"/>
                <w:sz w:val="15"/>
              </w:rPr>
              <w:t>Severe</w:t>
            </w:r>
            <w:r>
              <w:rPr>
                <w:color w:val="231F20"/>
                <w:spacing w:val="-1"/>
                <w:sz w:val="15"/>
              </w:rPr>
              <w:t> </w:t>
            </w:r>
            <w:r>
              <w:rPr>
                <w:color w:val="231F20"/>
                <w:sz w:val="15"/>
              </w:rPr>
              <w:t>to</w:t>
            </w:r>
            <w:r>
              <w:rPr>
                <w:color w:val="231F20"/>
                <w:spacing w:val="-1"/>
                <w:sz w:val="15"/>
              </w:rPr>
              <w:t> </w:t>
            </w:r>
            <w:r>
              <w:rPr>
                <w:color w:val="231F20"/>
                <w:sz w:val="15"/>
              </w:rPr>
              <w:t>profound</w:t>
            </w:r>
            <w:r>
              <w:rPr>
                <w:color w:val="231F20"/>
                <w:spacing w:val="-1"/>
                <w:sz w:val="15"/>
              </w:rPr>
              <w:t> </w:t>
            </w:r>
            <w:r>
              <w:rPr>
                <w:color w:val="231F20"/>
                <w:sz w:val="15"/>
              </w:rPr>
              <w:t>sensorineural hearing</w:t>
            </w:r>
            <w:r>
              <w:rPr>
                <w:color w:val="231F20"/>
                <w:spacing w:val="-1"/>
                <w:sz w:val="15"/>
              </w:rPr>
              <w:t> </w:t>
            </w:r>
            <w:r>
              <w:rPr>
                <w:color w:val="231F20"/>
                <w:spacing w:val="-4"/>
                <w:sz w:val="15"/>
              </w:rPr>
              <w:t>loss</w:t>
            </w:r>
          </w:p>
        </w:tc>
      </w:tr>
      <w:tr>
        <w:trPr>
          <w:trHeight w:val="756"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DFNB4</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05"/>
                <w:sz w:val="15"/>
              </w:rPr>
              <w:t>SLC26A4</w:t>
            </w:r>
          </w:p>
        </w:tc>
        <w:tc>
          <w:tcPr>
            <w:tcW w:w="7396" w:type="dxa"/>
            <w:tcBorders>
              <w:top w:val="single" w:sz="4" w:space="0" w:color="FFFFFF"/>
              <w:bottom w:val="single" w:sz="4" w:space="0" w:color="FFFFFF"/>
            </w:tcBorders>
            <w:shd w:val="clear" w:color="auto" w:fill="E8F5F1"/>
          </w:tcPr>
          <w:p>
            <w:pPr>
              <w:pStyle w:val="TableParagraph"/>
              <w:spacing w:line="230" w:lineRule="auto" w:before="48"/>
              <w:ind w:left="311" w:right="153" w:hanging="112"/>
              <w:rPr>
                <w:sz w:val="15"/>
              </w:rPr>
            </w:pPr>
            <w:r>
              <w:rPr>
                <w:color w:val="231F20"/>
                <w:sz w:val="15"/>
              </w:rPr>
              <w:t>DFNB4 and Pendred syndrome (see </w:t>
            </w:r>
            <w:r>
              <w:rPr>
                <w:color w:val="0080AC"/>
                <w:sz w:val="15"/>
              </w:rPr>
              <w:t>Table 637-3</w:t>
            </w:r>
            <w:r>
              <w:rPr>
                <w:color w:val="231F20"/>
                <w:sz w:val="15"/>
              </w:rPr>
              <w:t>) are allelic. DFNB4 hearing loss is associated with dilation</w:t>
            </w:r>
            <w:r>
              <w:rPr>
                <w:color w:val="231F20"/>
                <w:spacing w:val="-11"/>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vestibular</w:t>
            </w:r>
            <w:r>
              <w:rPr>
                <w:color w:val="231F20"/>
                <w:spacing w:val="-11"/>
                <w:sz w:val="15"/>
              </w:rPr>
              <w:t> </w:t>
            </w:r>
            <w:r>
              <w:rPr>
                <w:color w:val="231F20"/>
                <w:sz w:val="15"/>
              </w:rPr>
              <w:t>aqueduct</w:t>
            </w:r>
            <w:r>
              <w:rPr>
                <w:color w:val="231F20"/>
                <w:spacing w:val="-11"/>
                <w:sz w:val="15"/>
              </w:rPr>
              <w:t> </w:t>
            </w:r>
            <w:r>
              <w:rPr>
                <w:color w:val="231F20"/>
                <w:sz w:val="15"/>
              </w:rPr>
              <w:t>and</w:t>
            </w:r>
            <w:r>
              <w:rPr>
                <w:color w:val="231F20"/>
                <w:spacing w:val="-11"/>
                <w:sz w:val="15"/>
              </w:rPr>
              <w:t> </w:t>
            </w:r>
            <w:r>
              <w:rPr>
                <w:color w:val="231F20"/>
                <w:sz w:val="15"/>
              </w:rPr>
              <w:t>can</w:t>
            </w:r>
            <w:r>
              <w:rPr>
                <w:color w:val="231F20"/>
                <w:spacing w:val="-11"/>
                <w:sz w:val="15"/>
              </w:rPr>
              <w:t> </w:t>
            </w:r>
            <w:r>
              <w:rPr>
                <w:color w:val="231F20"/>
                <w:sz w:val="15"/>
              </w:rPr>
              <w:t>be</w:t>
            </w:r>
            <w:r>
              <w:rPr>
                <w:color w:val="231F20"/>
                <w:spacing w:val="-11"/>
                <w:sz w:val="15"/>
              </w:rPr>
              <w:t> </w:t>
            </w:r>
            <w:r>
              <w:rPr>
                <w:color w:val="231F20"/>
                <w:sz w:val="15"/>
              </w:rPr>
              <w:t>unilateral</w:t>
            </w:r>
            <w:r>
              <w:rPr>
                <w:color w:val="231F20"/>
                <w:spacing w:val="-11"/>
                <w:sz w:val="15"/>
              </w:rPr>
              <w:t> </w:t>
            </w:r>
            <w:r>
              <w:rPr>
                <w:color w:val="231F20"/>
                <w:sz w:val="15"/>
              </w:rPr>
              <w:t>or</w:t>
            </w:r>
            <w:r>
              <w:rPr>
                <w:color w:val="231F20"/>
                <w:spacing w:val="-11"/>
                <w:sz w:val="15"/>
              </w:rPr>
              <w:t> </w:t>
            </w:r>
            <w:r>
              <w:rPr>
                <w:color w:val="231F20"/>
                <w:sz w:val="15"/>
              </w:rPr>
              <w:t>bilateral.</w:t>
            </w:r>
            <w:r>
              <w:rPr>
                <w:color w:val="231F20"/>
                <w:spacing w:val="-11"/>
                <w:sz w:val="15"/>
              </w:rPr>
              <w:t> </w:t>
            </w:r>
            <w:r>
              <w:rPr>
                <w:color w:val="231F20"/>
                <w:sz w:val="15"/>
              </w:rPr>
              <w:t>In</w:t>
            </w:r>
            <w:r>
              <w:rPr>
                <w:color w:val="231F20"/>
                <w:spacing w:val="-11"/>
                <w:sz w:val="15"/>
              </w:rPr>
              <w:t> </w:t>
            </w:r>
            <w:r>
              <w:rPr>
                <w:color w:val="231F20"/>
                <w:sz w:val="15"/>
              </w:rPr>
              <w:t>the</w:t>
            </w:r>
            <w:r>
              <w:rPr>
                <w:color w:val="231F20"/>
                <w:spacing w:val="-11"/>
                <w:sz w:val="15"/>
              </w:rPr>
              <w:t> </w:t>
            </w:r>
            <w:r>
              <w:rPr>
                <w:color w:val="231F20"/>
                <w:sz w:val="15"/>
              </w:rPr>
              <w:t>high</w:t>
            </w:r>
            <w:r>
              <w:rPr>
                <w:color w:val="231F20"/>
                <w:spacing w:val="-11"/>
                <w:sz w:val="15"/>
              </w:rPr>
              <w:t> </w:t>
            </w:r>
            <w:r>
              <w:rPr>
                <w:color w:val="231F20"/>
                <w:sz w:val="15"/>
              </w:rPr>
              <w:t>frequencies,</w:t>
            </w:r>
            <w:r>
              <w:rPr>
                <w:color w:val="231F20"/>
                <w:spacing w:val="-11"/>
                <w:sz w:val="15"/>
              </w:rPr>
              <w:t> </w:t>
            </w:r>
            <w:r>
              <w:rPr>
                <w:color w:val="231F20"/>
                <w:sz w:val="15"/>
              </w:rPr>
              <w:t>the</w:t>
            </w:r>
            <w:r>
              <w:rPr>
                <w:color w:val="231F20"/>
                <w:spacing w:val="-11"/>
                <w:sz w:val="15"/>
              </w:rPr>
              <w:t> </w:t>
            </w:r>
            <w:r>
              <w:rPr>
                <w:color w:val="231F20"/>
                <w:sz w:val="15"/>
              </w:rPr>
              <w:t>loss</w:t>
            </w:r>
            <w:r>
              <w:rPr>
                <w:color w:val="231F20"/>
                <w:spacing w:val="-11"/>
                <w:sz w:val="15"/>
              </w:rPr>
              <w:t> </w:t>
            </w:r>
            <w:r>
              <w:rPr>
                <w:color w:val="231F20"/>
                <w:sz w:val="15"/>
              </w:rPr>
              <w:t>is severe to profound; in the low frequencies, the degree of loss varies widely. Onset can be congenital (prelingual), but progressive postlingual loss also is common</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w w:val="105"/>
                <w:sz w:val="15"/>
              </w:rPr>
              <w:t>DFNB7,</w:t>
            </w:r>
            <w:r>
              <w:rPr>
                <w:color w:val="231F20"/>
                <w:spacing w:val="1"/>
                <w:w w:val="105"/>
                <w:sz w:val="15"/>
              </w:rPr>
              <w:t> </w:t>
            </w:r>
            <w:r>
              <w:rPr>
                <w:color w:val="231F20"/>
                <w:w w:val="105"/>
                <w:sz w:val="15"/>
              </w:rPr>
              <w:t>and</w:t>
            </w:r>
            <w:r>
              <w:rPr>
                <w:color w:val="231F20"/>
                <w:spacing w:val="1"/>
                <w:w w:val="105"/>
                <w:sz w:val="15"/>
              </w:rPr>
              <w:t> </w:t>
            </w:r>
            <w:r>
              <w:rPr>
                <w:color w:val="231F20"/>
                <w:spacing w:val="-5"/>
                <w:w w:val="105"/>
                <w:sz w:val="15"/>
              </w:rPr>
              <w:t>11</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4"/>
                <w:w w:val="110"/>
                <w:sz w:val="15"/>
              </w:rPr>
              <w:t>TMC1</w:t>
            </w:r>
          </w:p>
        </w:tc>
        <w:tc>
          <w:tcPr>
            <w:tcW w:w="7396" w:type="dxa"/>
            <w:tcBorders>
              <w:top w:val="single" w:sz="4" w:space="0" w:color="FFFFFF"/>
              <w:bottom w:val="single" w:sz="4" w:space="0" w:color="FFFFFF"/>
            </w:tcBorders>
            <w:shd w:val="clear" w:color="auto" w:fill="E8F5F1"/>
          </w:tcPr>
          <w:p>
            <w:pPr>
              <w:pStyle w:val="TableParagraph"/>
              <w:spacing w:before="42"/>
              <w:ind w:left="199"/>
              <w:rPr>
                <w:sz w:val="15"/>
              </w:rPr>
            </w:pPr>
            <w:r>
              <w:rPr>
                <w:color w:val="231F20"/>
                <w:sz w:val="15"/>
              </w:rPr>
              <w:t>Severe-to-profound</w:t>
            </w:r>
            <w:r>
              <w:rPr>
                <w:color w:val="231F20"/>
                <w:spacing w:val="-4"/>
                <w:sz w:val="15"/>
              </w:rPr>
              <w:t> </w:t>
            </w:r>
            <w:r>
              <w:rPr>
                <w:color w:val="231F20"/>
                <w:sz w:val="15"/>
              </w:rPr>
              <w:t>prelingual</w:t>
            </w:r>
            <w:r>
              <w:rPr>
                <w:color w:val="231F20"/>
                <w:spacing w:val="-3"/>
                <w:sz w:val="15"/>
              </w:rPr>
              <w:t> </w:t>
            </w:r>
            <w:r>
              <w:rPr>
                <w:color w:val="231F20"/>
                <w:sz w:val="15"/>
              </w:rPr>
              <w:t>hearing</w:t>
            </w:r>
            <w:r>
              <w:rPr>
                <w:color w:val="231F20"/>
                <w:spacing w:val="-4"/>
                <w:sz w:val="15"/>
              </w:rPr>
              <w:t> </w:t>
            </w:r>
            <w:r>
              <w:rPr>
                <w:color w:val="231F20"/>
                <w:spacing w:val="-2"/>
                <w:sz w:val="15"/>
              </w:rPr>
              <w:t>impairment</w:t>
            </w:r>
          </w:p>
        </w:tc>
      </w:tr>
      <w:tr>
        <w:trPr>
          <w:trHeight w:val="588"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DFNB9</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4"/>
                <w:w w:val="115"/>
                <w:sz w:val="15"/>
              </w:rPr>
              <w:t>OTOF</w:t>
            </w:r>
          </w:p>
        </w:tc>
        <w:tc>
          <w:tcPr>
            <w:tcW w:w="7396" w:type="dxa"/>
            <w:tcBorders>
              <w:top w:val="single" w:sz="4" w:space="0" w:color="FFFFFF"/>
              <w:bottom w:val="single" w:sz="4" w:space="0" w:color="FFFFFF"/>
            </w:tcBorders>
            <w:shd w:val="clear" w:color="auto" w:fill="E8F5F1"/>
          </w:tcPr>
          <w:p>
            <w:pPr>
              <w:pStyle w:val="TableParagraph"/>
              <w:spacing w:line="230" w:lineRule="auto" w:before="48"/>
              <w:ind w:left="311" w:right="167" w:hanging="112"/>
              <w:jc w:val="both"/>
              <w:rPr>
                <w:sz w:val="15"/>
              </w:rPr>
            </w:pPr>
            <w:r>
              <w:rPr>
                <w:i/>
                <w:color w:val="231F20"/>
                <w:sz w:val="15"/>
              </w:rPr>
              <w:t>OTOF</w:t>
            </w:r>
            <w:r>
              <w:rPr>
                <w:color w:val="231F20"/>
                <w:sz w:val="15"/>
              </w:rPr>
              <w:t>-related</w:t>
            </w:r>
            <w:r>
              <w:rPr>
                <w:color w:val="231F20"/>
                <w:spacing w:val="-3"/>
                <w:sz w:val="15"/>
              </w:rPr>
              <w:t> </w:t>
            </w:r>
            <w:r>
              <w:rPr>
                <w:color w:val="231F20"/>
                <w:sz w:val="15"/>
              </w:rPr>
              <w:t>deafness</w:t>
            </w:r>
            <w:r>
              <w:rPr>
                <w:color w:val="231F20"/>
                <w:spacing w:val="-3"/>
                <w:sz w:val="15"/>
              </w:rPr>
              <w:t> </w:t>
            </w:r>
            <w:r>
              <w:rPr>
                <w:color w:val="231F20"/>
                <w:sz w:val="15"/>
              </w:rPr>
              <w:t>is</w:t>
            </w:r>
            <w:r>
              <w:rPr>
                <w:color w:val="231F20"/>
                <w:spacing w:val="-3"/>
                <w:sz w:val="15"/>
              </w:rPr>
              <w:t> </w:t>
            </w:r>
            <w:r>
              <w:rPr>
                <w:color w:val="231F20"/>
                <w:sz w:val="15"/>
              </w:rPr>
              <w:t>characterized</w:t>
            </w:r>
            <w:r>
              <w:rPr>
                <w:color w:val="231F20"/>
                <w:spacing w:val="-3"/>
                <w:sz w:val="15"/>
              </w:rPr>
              <w:t> </w:t>
            </w:r>
            <w:r>
              <w:rPr>
                <w:color w:val="231F20"/>
                <w:sz w:val="15"/>
              </w:rPr>
              <w:t>by</w:t>
            </w:r>
            <w:r>
              <w:rPr>
                <w:color w:val="231F20"/>
                <w:spacing w:val="-3"/>
                <w:sz w:val="15"/>
              </w:rPr>
              <w:t> </w:t>
            </w:r>
            <w:r>
              <w:rPr>
                <w:color w:val="231F20"/>
                <w:sz w:val="15"/>
              </w:rPr>
              <w:t>2</w:t>
            </w:r>
            <w:r>
              <w:rPr>
                <w:color w:val="231F20"/>
                <w:spacing w:val="-3"/>
                <w:sz w:val="15"/>
              </w:rPr>
              <w:t> </w:t>
            </w:r>
            <w:r>
              <w:rPr>
                <w:color w:val="231F20"/>
                <w:sz w:val="15"/>
              </w:rPr>
              <w:t>phenotypes:</w:t>
            </w:r>
            <w:r>
              <w:rPr>
                <w:color w:val="231F20"/>
                <w:spacing w:val="-3"/>
                <w:sz w:val="15"/>
              </w:rPr>
              <w:t> </w:t>
            </w:r>
            <w:r>
              <w:rPr>
                <w:color w:val="231F20"/>
                <w:sz w:val="15"/>
              </w:rPr>
              <w:t>prelingual</w:t>
            </w:r>
            <w:r>
              <w:rPr>
                <w:color w:val="231F20"/>
                <w:spacing w:val="-3"/>
                <w:sz w:val="15"/>
              </w:rPr>
              <w:t> </w:t>
            </w:r>
            <w:r>
              <w:rPr>
                <w:color w:val="231F20"/>
                <w:sz w:val="15"/>
              </w:rPr>
              <w:t>nonsyndromic</w:t>
            </w:r>
            <w:r>
              <w:rPr>
                <w:color w:val="231F20"/>
                <w:spacing w:val="-3"/>
                <w:sz w:val="15"/>
              </w:rPr>
              <w:t> </w:t>
            </w:r>
            <w:r>
              <w:rPr>
                <w:color w:val="231F20"/>
                <w:sz w:val="15"/>
              </w:rPr>
              <w:t>hearing</w:t>
            </w:r>
            <w:r>
              <w:rPr>
                <w:color w:val="231F20"/>
                <w:spacing w:val="-3"/>
                <w:sz w:val="15"/>
              </w:rPr>
              <w:t> </w:t>
            </w:r>
            <w:r>
              <w:rPr>
                <w:color w:val="231F20"/>
                <w:sz w:val="15"/>
              </w:rPr>
              <w:t>loss</w:t>
            </w:r>
            <w:r>
              <w:rPr>
                <w:color w:val="231F20"/>
                <w:spacing w:val="-3"/>
                <w:sz w:val="15"/>
              </w:rPr>
              <w:t> </w:t>
            </w:r>
            <w:r>
              <w:rPr>
                <w:color w:val="231F20"/>
                <w:sz w:val="15"/>
              </w:rPr>
              <w:t>and,</w:t>
            </w:r>
            <w:r>
              <w:rPr>
                <w:color w:val="231F20"/>
                <w:spacing w:val="-3"/>
                <w:sz w:val="15"/>
              </w:rPr>
              <w:t> </w:t>
            </w:r>
            <w:r>
              <w:rPr>
                <w:color w:val="231F20"/>
                <w:sz w:val="15"/>
              </w:rPr>
              <w:t>less frequently,</w:t>
            </w:r>
            <w:r>
              <w:rPr>
                <w:color w:val="231F20"/>
                <w:spacing w:val="-12"/>
                <w:sz w:val="15"/>
              </w:rPr>
              <w:t> </w:t>
            </w:r>
            <w:r>
              <w:rPr>
                <w:color w:val="231F20"/>
                <w:sz w:val="15"/>
              </w:rPr>
              <w:t>temperature-sensitive</w:t>
            </w:r>
            <w:r>
              <w:rPr>
                <w:color w:val="231F20"/>
                <w:spacing w:val="-11"/>
                <w:sz w:val="15"/>
              </w:rPr>
              <w:t> </w:t>
            </w:r>
            <w:r>
              <w:rPr>
                <w:color w:val="231F20"/>
                <w:sz w:val="15"/>
              </w:rPr>
              <w:t>nonsyndromic</w:t>
            </w:r>
            <w:r>
              <w:rPr>
                <w:color w:val="231F20"/>
                <w:spacing w:val="-11"/>
                <w:sz w:val="15"/>
              </w:rPr>
              <w:t> </w:t>
            </w:r>
            <w:r>
              <w:rPr>
                <w:color w:val="231F20"/>
                <w:sz w:val="15"/>
              </w:rPr>
              <w:t>auditory</w:t>
            </w:r>
            <w:r>
              <w:rPr>
                <w:color w:val="231F20"/>
                <w:spacing w:val="-12"/>
                <w:sz w:val="15"/>
              </w:rPr>
              <w:t> </w:t>
            </w:r>
            <w:r>
              <w:rPr>
                <w:color w:val="231F20"/>
                <w:sz w:val="15"/>
              </w:rPr>
              <w:t>neuropathy.</w:t>
            </w:r>
            <w:r>
              <w:rPr>
                <w:color w:val="231F20"/>
                <w:spacing w:val="-11"/>
                <w:sz w:val="15"/>
              </w:rPr>
              <w:t> </w:t>
            </w:r>
            <w:r>
              <w:rPr>
                <w:color w:val="231F20"/>
                <w:sz w:val="15"/>
              </w:rPr>
              <w:t>The</w:t>
            </w:r>
            <w:r>
              <w:rPr>
                <w:color w:val="231F20"/>
                <w:spacing w:val="-11"/>
                <w:sz w:val="15"/>
              </w:rPr>
              <w:t> </w:t>
            </w:r>
            <w:r>
              <w:rPr>
                <w:color w:val="231F20"/>
                <w:sz w:val="15"/>
              </w:rPr>
              <w:t>nonsyndromic</w:t>
            </w:r>
            <w:r>
              <w:rPr>
                <w:color w:val="231F20"/>
                <w:spacing w:val="-12"/>
                <w:sz w:val="15"/>
              </w:rPr>
              <w:t> </w:t>
            </w:r>
            <w:r>
              <w:rPr>
                <w:color w:val="231F20"/>
                <w:sz w:val="15"/>
              </w:rPr>
              <w:t>hearing</w:t>
            </w:r>
            <w:r>
              <w:rPr>
                <w:color w:val="231F20"/>
                <w:spacing w:val="-11"/>
                <w:sz w:val="15"/>
              </w:rPr>
              <w:t> </w:t>
            </w:r>
            <w:r>
              <w:rPr>
                <w:color w:val="231F20"/>
                <w:sz w:val="15"/>
              </w:rPr>
              <w:t>loss</w:t>
            </w:r>
            <w:r>
              <w:rPr>
                <w:color w:val="231F20"/>
                <w:spacing w:val="-11"/>
                <w:sz w:val="15"/>
              </w:rPr>
              <w:t> </w:t>
            </w:r>
            <w:r>
              <w:rPr>
                <w:color w:val="231F20"/>
                <w:sz w:val="15"/>
              </w:rPr>
              <w:t>is bilateral severe-to-profound congenital deafness</w:t>
            </w:r>
          </w:p>
        </w:tc>
      </w:tr>
      <w:tr>
        <w:trPr>
          <w:trHeight w:val="588"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DFNB12</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2"/>
                <w:w w:val="110"/>
                <w:sz w:val="15"/>
              </w:rPr>
              <w:t>CDH23</w:t>
            </w:r>
          </w:p>
        </w:tc>
        <w:tc>
          <w:tcPr>
            <w:tcW w:w="7396" w:type="dxa"/>
            <w:tcBorders>
              <w:top w:val="single" w:sz="4" w:space="0" w:color="FFFFFF"/>
              <w:bottom w:val="single" w:sz="4" w:space="0" w:color="FFFFFF"/>
            </w:tcBorders>
            <w:shd w:val="clear" w:color="auto" w:fill="E8F5F1"/>
          </w:tcPr>
          <w:p>
            <w:pPr>
              <w:pStyle w:val="TableParagraph"/>
              <w:spacing w:line="230" w:lineRule="auto" w:before="48"/>
              <w:ind w:left="311" w:right="55" w:hanging="112"/>
              <w:rPr>
                <w:sz w:val="15"/>
              </w:rPr>
            </w:pPr>
            <w:r>
              <w:rPr>
                <w:color w:val="231F20"/>
                <w:sz w:val="15"/>
              </w:rPr>
              <w:t>Depending on the type of mutation, recessive mutations of </w:t>
            </w:r>
            <w:r>
              <w:rPr>
                <w:i/>
                <w:color w:val="231F20"/>
                <w:sz w:val="15"/>
              </w:rPr>
              <w:t>CDH23 </w:t>
            </w:r>
            <w:r>
              <w:rPr>
                <w:color w:val="231F20"/>
                <w:sz w:val="15"/>
              </w:rPr>
              <w:t>can cause nonsyndromic deafness or type</w:t>
            </w:r>
            <w:r>
              <w:rPr>
                <w:color w:val="231F20"/>
                <w:spacing w:val="-12"/>
                <w:sz w:val="15"/>
              </w:rPr>
              <w:t> </w:t>
            </w:r>
            <w:r>
              <w:rPr>
                <w:color w:val="231F20"/>
                <w:sz w:val="15"/>
              </w:rPr>
              <w:t>1</w:t>
            </w:r>
            <w:r>
              <w:rPr>
                <w:color w:val="231F20"/>
                <w:spacing w:val="-11"/>
                <w:sz w:val="15"/>
              </w:rPr>
              <w:t> </w:t>
            </w:r>
            <w:r>
              <w:rPr>
                <w:color w:val="231F20"/>
                <w:sz w:val="15"/>
              </w:rPr>
              <w:t>Usher</w:t>
            </w:r>
            <w:r>
              <w:rPr>
                <w:color w:val="231F20"/>
                <w:spacing w:val="-11"/>
                <w:sz w:val="15"/>
              </w:rPr>
              <w:t> </w:t>
            </w:r>
            <w:r>
              <w:rPr>
                <w:color w:val="231F20"/>
                <w:sz w:val="15"/>
              </w:rPr>
              <w:t>syndrome</w:t>
            </w:r>
            <w:r>
              <w:rPr>
                <w:color w:val="231F20"/>
                <w:spacing w:val="-12"/>
                <w:sz w:val="15"/>
              </w:rPr>
              <w:t> </w:t>
            </w:r>
            <w:r>
              <w:rPr>
                <w:color w:val="231F20"/>
                <w:sz w:val="15"/>
              </w:rPr>
              <w:t>(USH1),</w:t>
            </w:r>
            <w:r>
              <w:rPr>
                <w:color w:val="231F20"/>
                <w:spacing w:val="-11"/>
                <w:sz w:val="15"/>
              </w:rPr>
              <w:t> </w:t>
            </w:r>
            <w:r>
              <w:rPr>
                <w:color w:val="231F20"/>
                <w:sz w:val="15"/>
              </w:rPr>
              <w:t>which</w:t>
            </w:r>
            <w:r>
              <w:rPr>
                <w:color w:val="231F20"/>
                <w:spacing w:val="-11"/>
                <w:sz w:val="15"/>
              </w:rPr>
              <w:t> </w:t>
            </w:r>
            <w:r>
              <w:rPr>
                <w:color w:val="231F20"/>
                <w:sz w:val="15"/>
              </w:rPr>
              <w:t>is</w:t>
            </w:r>
            <w:r>
              <w:rPr>
                <w:color w:val="231F20"/>
                <w:spacing w:val="-12"/>
                <w:sz w:val="15"/>
              </w:rPr>
              <w:t> </w:t>
            </w:r>
            <w:r>
              <w:rPr>
                <w:color w:val="231F20"/>
                <w:sz w:val="15"/>
              </w:rPr>
              <w:t>characterized</w:t>
            </w:r>
            <w:r>
              <w:rPr>
                <w:color w:val="231F20"/>
                <w:spacing w:val="-11"/>
                <w:sz w:val="15"/>
              </w:rPr>
              <w:t> </w:t>
            </w:r>
            <w:r>
              <w:rPr>
                <w:color w:val="231F20"/>
                <w:sz w:val="15"/>
              </w:rPr>
              <w:t>by</w:t>
            </w:r>
            <w:r>
              <w:rPr>
                <w:color w:val="231F20"/>
                <w:spacing w:val="-11"/>
                <w:sz w:val="15"/>
              </w:rPr>
              <w:t> </w:t>
            </w:r>
            <w:r>
              <w:rPr>
                <w:color w:val="231F20"/>
                <w:sz w:val="15"/>
              </w:rPr>
              <w:t>deafness,</w:t>
            </w:r>
            <w:r>
              <w:rPr>
                <w:color w:val="231F20"/>
                <w:spacing w:val="-11"/>
                <w:sz w:val="15"/>
              </w:rPr>
              <w:t> </w:t>
            </w:r>
            <w:r>
              <w:rPr>
                <w:color w:val="231F20"/>
                <w:sz w:val="15"/>
              </w:rPr>
              <w:t>vestibular</w:t>
            </w:r>
            <w:r>
              <w:rPr>
                <w:color w:val="231F20"/>
                <w:spacing w:val="-12"/>
                <w:sz w:val="15"/>
              </w:rPr>
              <w:t> </w:t>
            </w:r>
            <w:r>
              <w:rPr>
                <w:color w:val="231F20"/>
                <w:sz w:val="15"/>
              </w:rPr>
              <w:t>areflexia,</w:t>
            </w:r>
            <w:r>
              <w:rPr>
                <w:color w:val="231F20"/>
                <w:spacing w:val="-11"/>
                <w:sz w:val="15"/>
              </w:rPr>
              <w:t> </w:t>
            </w:r>
            <w:r>
              <w:rPr>
                <w:color w:val="231F20"/>
                <w:sz w:val="15"/>
              </w:rPr>
              <w:t>and</w:t>
            </w:r>
            <w:r>
              <w:rPr>
                <w:color w:val="231F20"/>
                <w:spacing w:val="-11"/>
                <w:sz w:val="15"/>
              </w:rPr>
              <w:t> </w:t>
            </w:r>
            <w:r>
              <w:rPr>
                <w:color w:val="231F20"/>
                <w:sz w:val="15"/>
              </w:rPr>
              <w:t>vision</w:t>
            </w:r>
            <w:r>
              <w:rPr>
                <w:color w:val="231F20"/>
                <w:spacing w:val="-12"/>
                <w:sz w:val="15"/>
              </w:rPr>
              <w:t> </w:t>
            </w:r>
            <w:r>
              <w:rPr>
                <w:color w:val="231F20"/>
                <w:sz w:val="15"/>
              </w:rPr>
              <w:t>loss</w:t>
            </w:r>
            <w:r>
              <w:rPr>
                <w:color w:val="231F20"/>
                <w:spacing w:val="-11"/>
                <w:sz w:val="15"/>
              </w:rPr>
              <w:t> </w:t>
            </w:r>
            <w:r>
              <w:rPr>
                <w:color w:val="231F20"/>
                <w:sz w:val="15"/>
              </w:rPr>
              <w:t>as a result of retinitis pigmentosa</w:t>
            </w:r>
          </w:p>
        </w:tc>
      </w:tr>
      <w:tr>
        <w:trPr>
          <w:trHeight w:val="252" w:hRule="atLeast"/>
        </w:trPr>
        <w:tc>
          <w:tcPr>
            <w:tcW w:w="1148"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w w:val="110"/>
                <w:sz w:val="15"/>
              </w:rPr>
              <w:t>DFNB16</w:t>
            </w:r>
          </w:p>
        </w:tc>
        <w:tc>
          <w:tcPr>
            <w:tcW w:w="1197" w:type="dxa"/>
            <w:tcBorders>
              <w:top w:val="single" w:sz="4" w:space="0" w:color="FFFFFF"/>
              <w:bottom w:val="single" w:sz="4" w:space="0" w:color="FFFFFF"/>
            </w:tcBorders>
            <w:shd w:val="clear" w:color="auto" w:fill="E8F5F1"/>
          </w:tcPr>
          <w:p>
            <w:pPr>
              <w:pStyle w:val="TableParagraph"/>
              <w:spacing w:before="42"/>
              <w:ind w:left="356"/>
              <w:rPr>
                <w:i/>
                <w:sz w:val="15"/>
              </w:rPr>
            </w:pPr>
            <w:r>
              <w:rPr>
                <w:i/>
                <w:color w:val="231F20"/>
                <w:spacing w:val="-4"/>
                <w:w w:val="105"/>
                <w:sz w:val="15"/>
              </w:rPr>
              <w:t>STRC</w:t>
            </w:r>
          </w:p>
        </w:tc>
        <w:tc>
          <w:tcPr>
            <w:tcW w:w="7396" w:type="dxa"/>
            <w:tcBorders>
              <w:top w:val="single" w:sz="4" w:space="0" w:color="FFFFFF"/>
              <w:bottom w:val="single" w:sz="4" w:space="0" w:color="FFFFFF"/>
            </w:tcBorders>
            <w:shd w:val="clear" w:color="auto" w:fill="E8F5F1"/>
          </w:tcPr>
          <w:p>
            <w:pPr>
              <w:pStyle w:val="TableParagraph"/>
              <w:spacing w:before="42"/>
              <w:ind w:left="199"/>
              <w:rPr>
                <w:sz w:val="15"/>
              </w:rPr>
            </w:pPr>
            <w:r>
              <w:rPr>
                <w:color w:val="231F20"/>
                <w:sz w:val="15"/>
              </w:rPr>
              <w:t>Early-onset</w:t>
            </w:r>
            <w:r>
              <w:rPr>
                <w:color w:val="231F20"/>
                <w:spacing w:val="-8"/>
                <w:sz w:val="15"/>
              </w:rPr>
              <w:t> </w:t>
            </w:r>
            <w:r>
              <w:rPr>
                <w:color w:val="231F20"/>
                <w:sz w:val="15"/>
              </w:rPr>
              <w:t>nonsyndromic</w:t>
            </w:r>
            <w:r>
              <w:rPr>
                <w:color w:val="231F20"/>
                <w:spacing w:val="-7"/>
                <w:sz w:val="15"/>
              </w:rPr>
              <w:t> </w:t>
            </w:r>
            <w:r>
              <w:rPr>
                <w:color w:val="231F20"/>
                <w:sz w:val="15"/>
              </w:rPr>
              <w:t>autosomal</w:t>
            </w:r>
            <w:r>
              <w:rPr>
                <w:color w:val="231F20"/>
                <w:spacing w:val="-7"/>
                <w:sz w:val="15"/>
              </w:rPr>
              <w:t> </w:t>
            </w:r>
            <w:r>
              <w:rPr>
                <w:color w:val="231F20"/>
                <w:sz w:val="15"/>
              </w:rPr>
              <w:t>recessive</w:t>
            </w:r>
            <w:r>
              <w:rPr>
                <w:color w:val="231F20"/>
                <w:spacing w:val="-8"/>
                <w:sz w:val="15"/>
              </w:rPr>
              <w:t> </w:t>
            </w:r>
            <w:r>
              <w:rPr>
                <w:color w:val="231F20"/>
                <w:sz w:val="15"/>
              </w:rPr>
              <w:t>sensorineural</w:t>
            </w:r>
            <w:r>
              <w:rPr>
                <w:color w:val="231F20"/>
                <w:spacing w:val="-7"/>
                <w:sz w:val="15"/>
              </w:rPr>
              <w:t> </w:t>
            </w:r>
            <w:r>
              <w:rPr>
                <w:color w:val="231F20"/>
                <w:sz w:val="15"/>
              </w:rPr>
              <w:t>hearing</w:t>
            </w:r>
            <w:r>
              <w:rPr>
                <w:color w:val="231F20"/>
                <w:spacing w:val="-7"/>
                <w:sz w:val="15"/>
              </w:rPr>
              <w:t> </w:t>
            </w:r>
            <w:r>
              <w:rPr>
                <w:color w:val="231F20"/>
                <w:spacing w:val="-4"/>
                <w:sz w:val="15"/>
              </w:rPr>
              <w:t>loss</w:t>
            </w:r>
          </w:p>
        </w:tc>
      </w:tr>
      <w:tr>
        <w:trPr>
          <w:trHeight w:val="415" w:hRule="atLeast"/>
        </w:trPr>
        <w:tc>
          <w:tcPr>
            <w:tcW w:w="1148" w:type="dxa"/>
            <w:tcBorders>
              <w:top w:val="single" w:sz="4" w:space="0" w:color="FFFFFF"/>
              <w:bottom w:val="single" w:sz="8" w:space="0" w:color="231F20"/>
            </w:tcBorders>
            <w:shd w:val="clear" w:color="auto" w:fill="E8F5F1"/>
          </w:tcPr>
          <w:p>
            <w:pPr>
              <w:pStyle w:val="TableParagraph"/>
              <w:spacing w:line="230" w:lineRule="auto" w:before="48"/>
              <w:ind w:left="74" w:right="363"/>
              <w:rPr>
                <w:sz w:val="15"/>
              </w:rPr>
            </w:pPr>
            <w:r>
              <w:rPr>
                <w:color w:val="231F20"/>
                <w:spacing w:val="-2"/>
                <w:w w:val="110"/>
                <w:sz w:val="15"/>
              </w:rPr>
              <w:t>mtDNA </w:t>
            </w:r>
            <w:r>
              <w:rPr>
                <w:color w:val="231F20"/>
                <w:spacing w:val="-4"/>
                <w:w w:val="110"/>
                <w:sz w:val="15"/>
              </w:rPr>
              <w:t>1555A</w:t>
            </w:r>
            <w:r>
              <w:rPr>
                <w:color w:val="231F20"/>
                <w:spacing w:val="-9"/>
                <w:w w:val="110"/>
                <w:sz w:val="15"/>
              </w:rPr>
              <w:t> </w:t>
            </w:r>
            <w:r>
              <w:rPr>
                <w:rFonts w:ascii="Cambria"/>
                <w:color w:val="231F20"/>
                <w:spacing w:val="-4"/>
                <w:w w:val="110"/>
                <w:sz w:val="15"/>
              </w:rPr>
              <w:t>&gt;</w:t>
            </w:r>
            <w:r>
              <w:rPr>
                <w:rFonts w:ascii="Cambria"/>
                <w:color w:val="231F20"/>
                <w:spacing w:val="-5"/>
                <w:w w:val="110"/>
                <w:sz w:val="15"/>
              </w:rPr>
              <w:t> </w:t>
            </w:r>
            <w:r>
              <w:rPr>
                <w:color w:val="231F20"/>
                <w:spacing w:val="-4"/>
                <w:w w:val="110"/>
                <w:sz w:val="15"/>
              </w:rPr>
              <w:t>G</w:t>
            </w:r>
          </w:p>
        </w:tc>
        <w:tc>
          <w:tcPr>
            <w:tcW w:w="1197" w:type="dxa"/>
            <w:tcBorders>
              <w:top w:val="single" w:sz="4" w:space="0" w:color="FFFFFF"/>
              <w:bottom w:val="single" w:sz="8" w:space="0" w:color="231F20"/>
            </w:tcBorders>
            <w:shd w:val="clear" w:color="auto" w:fill="E8F5F1"/>
          </w:tcPr>
          <w:p>
            <w:pPr>
              <w:pStyle w:val="TableParagraph"/>
              <w:spacing w:before="42"/>
              <w:ind w:left="356"/>
              <w:rPr>
                <w:i/>
                <w:sz w:val="15"/>
              </w:rPr>
            </w:pPr>
            <w:r>
              <w:rPr>
                <w:i/>
                <w:color w:val="231F20"/>
                <w:w w:val="105"/>
                <w:sz w:val="15"/>
              </w:rPr>
              <w:t>12S</w:t>
            </w:r>
            <w:r>
              <w:rPr>
                <w:i/>
                <w:color w:val="231F20"/>
                <w:spacing w:val="-8"/>
                <w:w w:val="105"/>
                <w:sz w:val="15"/>
              </w:rPr>
              <w:t> </w:t>
            </w:r>
            <w:r>
              <w:rPr>
                <w:i/>
                <w:color w:val="231F20"/>
                <w:spacing w:val="-4"/>
                <w:w w:val="105"/>
                <w:sz w:val="15"/>
              </w:rPr>
              <w:t>rRNA</w:t>
            </w:r>
          </w:p>
        </w:tc>
        <w:tc>
          <w:tcPr>
            <w:tcW w:w="7396" w:type="dxa"/>
            <w:tcBorders>
              <w:top w:val="single" w:sz="4" w:space="0" w:color="FFFFFF"/>
              <w:bottom w:val="single" w:sz="8" w:space="0" w:color="231F20"/>
            </w:tcBorders>
            <w:shd w:val="clear" w:color="auto" w:fill="E8F5F1"/>
          </w:tcPr>
          <w:p>
            <w:pPr>
              <w:pStyle w:val="TableParagraph"/>
              <w:spacing w:line="230" w:lineRule="auto" w:before="48"/>
              <w:ind w:left="311" w:hanging="112"/>
              <w:rPr>
                <w:sz w:val="15"/>
              </w:rPr>
            </w:pPr>
            <w:r>
              <w:rPr>
                <w:color w:val="231F20"/>
                <w:sz w:val="15"/>
              </w:rPr>
              <w:t>Degree</w:t>
            </w:r>
            <w:r>
              <w:rPr>
                <w:color w:val="231F20"/>
                <w:spacing w:val="-5"/>
                <w:sz w:val="15"/>
              </w:rPr>
              <w:t> </w:t>
            </w:r>
            <w:r>
              <w:rPr>
                <w:color w:val="231F20"/>
                <w:sz w:val="15"/>
              </w:rPr>
              <w:t>of</w:t>
            </w:r>
            <w:r>
              <w:rPr>
                <w:color w:val="231F20"/>
                <w:spacing w:val="-5"/>
                <w:sz w:val="15"/>
              </w:rPr>
              <w:t> </w:t>
            </w:r>
            <w:r>
              <w:rPr>
                <w:color w:val="231F20"/>
                <w:sz w:val="15"/>
              </w:rPr>
              <w:t>hearing</w:t>
            </w:r>
            <w:r>
              <w:rPr>
                <w:color w:val="231F20"/>
                <w:spacing w:val="-5"/>
                <w:sz w:val="15"/>
              </w:rPr>
              <w:t> </w:t>
            </w:r>
            <w:r>
              <w:rPr>
                <w:color w:val="231F20"/>
                <w:sz w:val="15"/>
              </w:rPr>
              <w:t>loss</w:t>
            </w:r>
            <w:r>
              <w:rPr>
                <w:color w:val="231F20"/>
                <w:spacing w:val="-5"/>
                <w:sz w:val="15"/>
              </w:rPr>
              <w:t> </w:t>
            </w:r>
            <w:r>
              <w:rPr>
                <w:color w:val="231F20"/>
                <w:sz w:val="15"/>
              </w:rPr>
              <w:t>varies</w:t>
            </w:r>
            <w:r>
              <w:rPr>
                <w:color w:val="231F20"/>
                <w:spacing w:val="-5"/>
                <w:sz w:val="15"/>
              </w:rPr>
              <w:t> </w:t>
            </w:r>
            <w:r>
              <w:rPr>
                <w:color w:val="231F20"/>
                <w:sz w:val="15"/>
              </w:rPr>
              <w:t>from</w:t>
            </w:r>
            <w:r>
              <w:rPr>
                <w:color w:val="231F20"/>
                <w:spacing w:val="-5"/>
                <w:sz w:val="15"/>
              </w:rPr>
              <w:t> </w:t>
            </w:r>
            <w:r>
              <w:rPr>
                <w:color w:val="231F20"/>
                <w:sz w:val="15"/>
              </w:rPr>
              <w:t>mild</w:t>
            </w:r>
            <w:r>
              <w:rPr>
                <w:color w:val="231F20"/>
                <w:spacing w:val="-5"/>
                <w:sz w:val="15"/>
              </w:rPr>
              <w:t> </w:t>
            </w:r>
            <w:r>
              <w:rPr>
                <w:color w:val="231F20"/>
                <w:sz w:val="15"/>
              </w:rPr>
              <w:t>to</w:t>
            </w:r>
            <w:r>
              <w:rPr>
                <w:color w:val="231F20"/>
                <w:spacing w:val="-5"/>
                <w:sz w:val="15"/>
              </w:rPr>
              <w:t> </w:t>
            </w:r>
            <w:r>
              <w:rPr>
                <w:color w:val="231F20"/>
                <w:sz w:val="15"/>
              </w:rPr>
              <w:t>profound</w:t>
            </w:r>
            <w:r>
              <w:rPr>
                <w:color w:val="231F20"/>
                <w:spacing w:val="-5"/>
                <w:sz w:val="15"/>
              </w:rPr>
              <w:t> </w:t>
            </w:r>
            <w:r>
              <w:rPr>
                <w:color w:val="231F20"/>
                <w:sz w:val="15"/>
              </w:rPr>
              <w:t>but</w:t>
            </w:r>
            <w:r>
              <w:rPr>
                <w:color w:val="231F20"/>
                <w:spacing w:val="-5"/>
                <w:sz w:val="15"/>
              </w:rPr>
              <w:t> </w:t>
            </w:r>
            <w:r>
              <w:rPr>
                <w:color w:val="231F20"/>
                <w:sz w:val="15"/>
              </w:rPr>
              <w:t>usually</w:t>
            </w:r>
            <w:r>
              <w:rPr>
                <w:color w:val="231F20"/>
                <w:spacing w:val="-5"/>
                <w:sz w:val="15"/>
              </w:rPr>
              <w:t> </w:t>
            </w:r>
            <w:r>
              <w:rPr>
                <w:color w:val="231F20"/>
                <w:sz w:val="15"/>
              </w:rPr>
              <w:t>is</w:t>
            </w:r>
            <w:r>
              <w:rPr>
                <w:color w:val="231F20"/>
                <w:spacing w:val="-5"/>
                <w:sz w:val="15"/>
              </w:rPr>
              <w:t> </w:t>
            </w:r>
            <w:r>
              <w:rPr>
                <w:color w:val="231F20"/>
                <w:sz w:val="15"/>
              </w:rPr>
              <w:t>symmetric;</w:t>
            </w:r>
            <w:r>
              <w:rPr>
                <w:color w:val="231F20"/>
                <w:spacing w:val="-5"/>
                <w:sz w:val="15"/>
              </w:rPr>
              <w:t> </w:t>
            </w:r>
            <w:r>
              <w:rPr>
                <w:color w:val="231F20"/>
                <w:sz w:val="15"/>
              </w:rPr>
              <w:t>high</w:t>
            </w:r>
            <w:r>
              <w:rPr>
                <w:color w:val="231F20"/>
                <w:spacing w:val="-5"/>
                <w:sz w:val="15"/>
              </w:rPr>
              <w:t> </w:t>
            </w:r>
            <w:r>
              <w:rPr>
                <w:color w:val="231F20"/>
                <w:sz w:val="15"/>
              </w:rPr>
              <w:t>frequencies</w:t>
            </w:r>
            <w:r>
              <w:rPr>
                <w:color w:val="231F20"/>
                <w:spacing w:val="-5"/>
                <w:sz w:val="15"/>
              </w:rPr>
              <w:t> </w:t>
            </w:r>
            <w:r>
              <w:rPr>
                <w:color w:val="231F20"/>
                <w:sz w:val="15"/>
              </w:rPr>
              <w:t>are preferentially affected; precipitous loss in hearing can occur after aminoglycoside therapy</w:t>
            </w:r>
          </w:p>
        </w:tc>
      </w:tr>
    </w:tbl>
    <w:p>
      <w:pPr>
        <w:pStyle w:val="BodyText"/>
        <w:spacing w:line="150" w:lineRule="exact" w:before="80"/>
        <w:ind w:left="539"/>
      </w:pPr>
      <w:r>
        <w:rPr>
          <w:color w:val="231F20"/>
        </w:rPr>
        <w:t>SNHL,</w:t>
      </w:r>
      <w:r>
        <w:rPr>
          <w:color w:val="231F20"/>
          <w:spacing w:val="6"/>
        </w:rPr>
        <w:t> </w:t>
      </w:r>
      <w:r>
        <w:rPr>
          <w:color w:val="231F20"/>
        </w:rPr>
        <w:t>sensorineural</w:t>
      </w:r>
      <w:r>
        <w:rPr>
          <w:color w:val="231F20"/>
          <w:spacing w:val="7"/>
        </w:rPr>
        <w:t> </w:t>
      </w:r>
      <w:r>
        <w:rPr>
          <w:color w:val="231F20"/>
        </w:rPr>
        <w:t>hearing</w:t>
      </w:r>
      <w:r>
        <w:rPr>
          <w:color w:val="231F20"/>
          <w:spacing w:val="7"/>
        </w:rPr>
        <w:t> </w:t>
      </w:r>
      <w:r>
        <w:rPr>
          <w:color w:val="231F20"/>
          <w:spacing w:val="-2"/>
        </w:rPr>
        <w:t>loss.</w:t>
      </w:r>
    </w:p>
    <w:p>
      <w:pPr>
        <w:spacing w:line="150" w:lineRule="exact" w:before="0"/>
        <w:ind w:left="670" w:right="0" w:firstLine="0"/>
        <w:jc w:val="left"/>
        <w:rPr>
          <w:i/>
          <w:sz w:val="13"/>
        </w:rPr>
      </w:pPr>
      <w:r>
        <w:rPr>
          <w:i/>
          <w:color w:val="231F20"/>
          <w:sz w:val="13"/>
        </w:rPr>
        <w:t>Adapted</w:t>
      </w:r>
      <w:r>
        <w:rPr>
          <w:i/>
          <w:color w:val="231F20"/>
          <w:spacing w:val="-7"/>
          <w:sz w:val="13"/>
        </w:rPr>
        <w:t> </w:t>
      </w:r>
      <w:r>
        <w:rPr>
          <w:i/>
          <w:color w:val="231F20"/>
          <w:sz w:val="13"/>
        </w:rPr>
        <w:t>from</w:t>
      </w:r>
      <w:r>
        <w:rPr>
          <w:i/>
          <w:color w:val="231F20"/>
          <w:spacing w:val="-6"/>
          <w:sz w:val="13"/>
        </w:rPr>
        <w:t> </w:t>
      </w:r>
      <w:r>
        <w:rPr>
          <w:i/>
          <w:color w:val="231F20"/>
          <w:sz w:val="13"/>
        </w:rPr>
        <w:t>Smith</w:t>
      </w:r>
      <w:r>
        <w:rPr>
          <w:i/>
          <w:color w:val="231F20"/>
          <w:spacing w:val="-7"/>
          <w:sz w:val="13"/>
        </w:rPr>
        <w:t> </w:t>
      </w:r>
      <w:r>
        <w:rPr>
          <w:i/>
          <w:color w:val="231F20"/>
          <w:sz w:val="13"/>
        </w:rPr>
        <w:t>RJH,</w:t>
      </w:r>
      <w:r>
        <w:rPr>
          <w:i/>
          <w:color w:val="231F20"/>
          <w:spacing w:val="-6"/>
          <w:sz w:val="13"/>
        </w:rPr>
        <w:t> </w:t>
      </w:r>
      <w:r>
        <w:rPr>
          <w:i/>
          <w:color w:val="231F20"/>
          <w:sz w:val="13"/>
        </w:rPr>
        <w:t>Bale</w:t>
      </w:r>
      <w:r>
        <w:rPr>
          <w:i/>
          <w:color w:val="231F20"/>
          <w:spacing w:val="-7"/>
          <w:sz w:val="13"/>
        </w:rPr>
        <w:t> </w:t>
      </w:r>
      <w:r>
        <w:rPr>
          <w:i/>
          <w:color w:val="231F20"/>
          <w:sz w:val="13"/>
        </w:rPr>
        <w:t>JF</w:t>
      </w:r>
      <w:r>
        <w:rPr>
          <w:i/>
          <w:color w:val="231F20"/>
          <w:spacing w:val="-6"/>
          <w:sz w:val="13"/>
        </w:rPr>
        <w:t> </w:t>
      </w:r>
      <w:r>
        <w:rPr>
          <w:i/>
          <w:color w:val="231F20"/>
          <w:sz w:val="13"/>
        </w:rPr>
        <w:t>Jr,</w:t>
      </w:r>
      <w:r>
        <w:rPr>
          <w:i/>
          <w:color w:val="231F20"/>
          <w:spacing w:val="-7"/>
          <w:sz w:val="13"/>
        </w:rPr>
        <w:t> </w:t>
      </w:r>
      <w:r>
        <w:rPr>
          <w:i/>
          <w:color w:val="231F20"/>
          <w:sz w:val="13"/>
        </w:rPr>
        <w:t>White</w:t>
      </w:r>
      <w:r>
        <w:rPr>
          <w:i/>
          <w:color w:val="231F20"/>
          <w:spacing w:val="-6"/>
          <w:sz w:val="13"/>
        </w:rPr>
        <w:t> </w:t>
      </w:r>
      <w:r>
        <w:rPr>
          <w:i/>
          <w:color w:val="231F20"/>
          <w:sz w:val="13"/>
        </w:rPr>
        <w:t>KR:</w:t>
      </w:r>
      <w:r>
        <w:rPr>
          <w:i/>
          <w:color w:val="231F20"/>
          <w:spacing w:val="-6"/>
          <w:sz w:val="13"/>
        </w:rPr>
        <w:t> </w:t>
      </w:r>
      <w:r>
        <w:rPr>
          <w:i/>
          <w:color w:val="231F20"/>
          <w:sz w:val="13"/>
        </w:rPr>
        <w:t>Sensorineural</w:t>
      </w:r>
      <w:r>
        <w:rPr>
          <w:i/>
          <w:color w:val="231F20"/>
          <w:spacing w:val="-7"/>
          <w:sz w:val="13"/>
        </w:rPr>
        <w:t> </w:t>
      </w:r>
      <w:r>
        <w:rPr>
          <w:i/>
          <w:color w:val="231F20"/>
          <w:sz w:val="13"/>
        </w:rPr>
        <w:t>hearing</w:t>
      </w:r>
      <w:r>
        <w:rPr>
          <w:i/>
          <w:color w:val="231F20"/>
          <w:spacing w:val="-6"/>
          <w:sz w:val="13"/>
        </w:rPr>
        <w:t> </w:t>
      </w:r>
      <w:r>
        <w:rPr>
          <w:i/>
          <w:color w:val="231F20"/>
          <w:sz w:val="13"/>
        </w:rPr>
        <w:t>loss</w:t>
      </w:r>
      <w:r>
        <w:rPr>
          <w:i/>
          <w:color w:val="231F20"/>
          <w:spacing w:val="-7"/>
          <w:sz w:val="13"/>
        </w:rPr>
        <w:t> </w:t>
      </w:r>
      <w:r>
        <w:rPr>
          <w:i/>
          <w:color w:val="231F20"/>
          <w:sz w:val="13"/>
        </w:rPr>
        <w:t>in</w:t>
      </w:r>
      <w:r>
        <w:rPr>
          <w:i/>
          <w:color w:val="231F20"/>
          <w:spacing w:val="-6"/>
          <w:sz w:val="13"/>
        </w:rPr>
        <w:t> </w:t>
      </w:r>
      <w:r>
        <w:rPr>
          <w:i/>
          <w:color w:val="231F20"/>
          <w:sz w:val="13"/>
        </w:rPr>
        <w:t>children,</w:t>
      </w:r>
      <w:r>
        <w:rPr>
          <w:i/>
          <w:color w:val="231F20"/>
          <w:spacing w:val="-7"/>
          <w:sz w:val="13"/>
        </w:rPr>
        <w:t> </w:t>
      </w:r>
      <w:r>
        <w:rPr>
          <w:color w:val="231F20"/>
          <w:sz w:val="13"/>
        </w:rPr>
        <w:t>Lancet</w:t>
      </w:r>
      <w:r>
        <w:rPr>
          <w:color w:val="231F20"/>
          <w:spacing w:val="-6"/>
          <w:sz w:val="13"/>
        </w:rPr>
        <w:t> </w:t>
      </w:r>
      <w:r>
        <w:rPr>
          <w:i/>
          <w:color w:val="231F20"/>
          <w:sz w:val="13"/>
        </w:rPr>
        <w:t>365:879–890,</w:t>
      </w:r>
      <w:r>
        <w:rPr>
          <w:i/>
          <w:color w:val="231F20"/>
          <w:spacing w:val="-6"/>
          <w:sz w:val="13"/>
        </w:rPr>
        <w:t> </w:t>
      </w:r>
      <w:r>
        <w:rPr>
          <w:i/>
          <w:color w:val="231F20"/>
          <w:spacing w:val="-2"/>
          <w:sz w:val="13"/>
        </w:rPr>
        <w:t>2005.</w:t>
      </w:r>
    </w:p>
    <w:p>
      <w:pPr>
        <w:pStyle w:val="BodyText"/>
        <w:rPr>
          <w:i/>
          <w:sz w:val="20"/>
        </w:rPr>
      </w:pPr>
    </w:p>
    <w:p>
      <w:pPr>
        <w:pStyle w:val="BodyText"/>
        <w:rPr>
          <w:i/>
          <w:sz w:val="20"/>
        </w:rPr>
      </w:pPr>
    </w:p>
    <w:p>
      <w:pPr>
        <w:pStyle w:val="BodyText"/>
        <w:spacing w:before="40" w:after="1"/>
        <w:rPr>
          <w:i/>
          <w:sz w:val="20"/>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423"/>
        <w:gridCol w:w="1985"/>
        <w:gridCol w:w="6188"/>
      </w:tblGrid>
      <w:tr>
        <w:trPr>
          <w:trHeight w:val="354"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3</w:t>
            </w:r>
          </w:p>
        </w:tc>
        <w:tc>
          <w:tcPr>
            <w:tcW w:w="8596" w:type="dxa"/>
            <w:gridSpan w:val="3"/>
            <w:tcBorders>
              <w:left w:val="single" w:sz="8" w:space="0" w:color="FFFFFF"/>
            </w:tcBorders>
            <w:shd w:val="clear" w:color="auto" w:fill="231F20"/>
          </w:tcPr>
          <w:p>
            <w:pPr>
              <w:pStyle w:val="TableParagraph"/>
              <w:spacing w:before="89"/>
              <w:ind w:left="73"/>
              <w:rPr>
                <w:sz w:val="16"/>
              </w:rPr>
            </w:pPr>
            <w:r>
              <w:rPr>
                <w:color w:val="FFFFFF"/>
                <w:w w:val="105"/>
                <w:sz w:val="16"/>
              </w:rPr>
              <w:t>Common</w:t>
            </w:r>
            <w:r>
              <w:rPr>
                <w:color w:val="FFFFFF"/>
                <w:spacing w:val="18"/>
                <w:w w:val="105"/>
                <w:sz w:val="16"/>
              </w:rPr>
              <w:t> </w:t>
            </w:r>
            <w:r>
              <w:rPr>
                <w:color w:val="FFFFFF"/>
                <w:w w:val="105"/>
                <w:sz w:val="16"/>
              </w:rPr>
              <w:t>Types</w:t>
            </w:r>
            <w:r>
              <w:rPr>
                <w:color w:val="FFFFFF"/>
                <w:spacing w:val="18"/>
                <w:w w:val="105"/>
                <w:sz w:val="16"/>
              </w:rPr>
              <w:t> </w:t>
            </w:r>
            <w:r>
              <w:rPr>
                <w:color w:val="FFFFFF"/>
                <w:w w:val="105"/>
                <w:sz w:val="16"/>
              </w:rPr>
              <w:t>of</w:t>
            </w:r>
            <w:r>
              <w:rPr>
                <w:color w:val="FFFFFF"/>
                <w:spacing w:val="19"/>
                <w:w w:val="105"/>
                <w:sz w:val="16"/>
              </w:rPr>
              <w:t> </w:t>
            </w:r>
            <w:r>
              <w:rPr>
                <w:color w:val="FFFFFF"/>
                <w:w w:val="105"/>
                <w:sz w:val="16"/>
              </w:rPr>
              <w:t>Syndromic</w:t>
            </w:r>
            <w:r>
              <w:rPr>
                <w:color w:val="FFFFFF"/>
                <w:spacing w:val="18"/>
                <w:w w:val="105"/>
                <w:sz w:val="16"/>
              </w:rPr>
              <w:t> </w:t>
            </w:r>
            <w:r>
              <w:rPr>
                <w:color w:val="FFFFFF"/>
                <w:w w:val="105"/>
                <w:sz w:val="16"/>
              </w:rPr>
              <w:t>Sensorineural</w:t>
            </w:r>
            <w:r>
              <w:rPr>
                <w:color w:val="FFFFFF"/>
                <w:spacing w:val="19"/>
                <w:w w:val="105"/>
                <w:sz w:val="16"/>
              </w:rPr>
              <w:t> </w:t>
            </w:r>
            <w:r>
              <w:rPr>
                <w:color w:val="FFFFFF"/>
                <w:w w:val="105"/>
                <w:sz w:val="16"/>
              </w:rPr>
              <w:t>Hearing</w:t>
            </w:r>
            <w:r>
              <w:rPr>
                <w:color w:val="FFFFFF"/>
                <w:spacing w:val="18"/>
                <w:w w:val="105"/>
                <w:sz w:val="16"/>
              </w:rPr>
              <w:t> </w:t>
            </w:r>
            <w:r>
              <w:rPr>
                <w:color w:val="FFFFFF"/>
                <w:spacing w:val="-4"/>
                <w:w w:val="105"/>
                <w:sz w:val="16"/>
              </w:rPr>
              <w:t>Loss</w:t>
            </w:r>
          </w:p>
        </w:tc>
      </w:tr>
      <w:tr>
        <w:trPr>
          <w:trHeight w:val="276" w:hRule="atLeast"/>
        </w:trPr>
        <w:tc>
          <w:tcPr>
            <w:tcW w:w="1571" w:type="dxa"/>
            <w:gridSpan w:val="2"/>
            <w:tcBorders>
              <w:bottom w:val="single" w:sz="4" w:space="0" w:color="231F20"/>
            </w:tcBorders>
            <w:shd w:val="clear" w:color="auto" w:fill="E8F5F1"/>
          </w:tcPr>
          <w:p>
            <w:pPr>
              <w:pStyle w:val="TableParagraph"/>
              <w:spacing w:before="66"/>
              <w:ind w:left="74"/>
              <w:rPr>
                <w:b/>
                <w:sz w:val="15"/>
              </w:rPr>
            </w:pPr>
            <w:r>
              <w:rPr>
                <w:b/>
                <w:color w:val="231F20"/>
                <w:spacing w:val="-2"/>
                <w:w w:val="115"/>
                <w:sz w:val="15"/>
              </w:rPr>
              <w:t>SYNDROME</w:t>
            </w:r>
          </w:p>
        </w:tc>
        <w:tc>
          <w:tcPr>
            <w:tcW w:w="1985" w:type="dxa"/>
            <w:tcBorders>
              <w:bottom w:val="single" w:sz="4" w:space="0" w:color="231F20"/>
            </w:tcBorders>
            <w:shd w:val="clear" w:color="auto" w:fill="E8F5F1"/>
          </w:tcPr>
          <w:p>
            <w:pPr>
              <w:pStyle w:val="TableParagraph"/>
              <w:spacing w:before="66"/>
              <w:ind w:right="1"/>
              <w:jc w:val="center"/>
              <w:rPr>
                <w:b/>
                <w:sz w:val="15"/>
              </w:rPr>
            </w:pPr>
            <w:r>
              <w:rPr>
                <w:b/>
                <w:color w:val="231F20"/>
                <w:spacing w:val="-4"/>
                <w:w w:val="115"/>
                <w:sz w:val="15"/>
              </w:rPr>
              <w:t>GENE</w:t>
            </w:r>
          </w:p>
        </w:tc>
        <w:tc>
          <w:tcPr>
            <w:tcW w:w="6188" w:type="dxa"/>
            <w:tcBorders>
              <w:bottom w:val="single" w:sz="4" w:space="0" w:color="231F20"/>
            </w:tcBorders>
            <w:shd w:val="clear" w:color="auto" w:fill="E8F5F1"/>
          </w:tcPr>
          <w:p>
            <w:pPr>
              <w:pStyle w:val="TableParagraph"/>
              <w:spacing w:before="66"/>
              <w:ind w:left="71"/>
              <w:jc w:val="center"/>
              <w:rPr>
                <w:b/>
                <w:sz w:val="15"/>
              </w:rPr>
            </w:pPr>
            <w:r>
              <w:rPr>
                <w:b/>
                <w:color w:val="231F20"/>
                <w:spacing w:val="-2"/>
                <w:w w:val="110"/>
                <w:sz w:val="15"/>
              </w:rPr>
              <w:t>PHENOTYPE</w:t>
            </w:r>
          </w:p>
        </w:tc>
      </w:tr>
      <w:tr>
        <w:trPr>
          <w:trHeight w:val="549" w:hRule="atLeast"/>
        </w:trPr>
        <w:tc>
          <w:tcPr>
            <w:tcW w:w="1571" w:type="dxa"/>
            <w:gridSpan w:val="2"/>
            <w:tcBorders>
              <w:top w:val="single" w:sz="4" w:space="0" w:color="231F20"/>
            </w:tcBorders>
            <w:shd w:val="clear" w:color="auto" w:fill="E8F5F1"/>
          </w:tcPr>
          <w:p>
            <w:pPr>
              <w:pStyle w:val="TableParagraph"/>
              <w:spacing w:line="172" w:lineRule="exact" w:before="43"/>
              <w:ind w:left="74"/>
              <w:rPr>
                <w:sz w:val="15"/>
              </w:rPr>
            </w:pPr>
            <w:r>
              <w:rPr>
                <w:color w:val="231F20"/>
                <w:spacing w:val="-2"/>
                <w:w w:val="120"/>
                <w:sz w:val="15"/>
              </w:rPr>
              <w:t>DOMINANT</w:t>
            </w:r>
          </w:p>
          <w:p>
            <w:pPr>
              <w:pStyle w:val="TableParagraph"/>
              <w:spacing w:line="172" w:lineRule="exact"/>
              <w:ind w:left="74"/>
              <w:rPr>
                <w:sz w:val="15"/>
              </w:rPr>
            </w:pPr>
            <w:r>
              <w:rPr>
                <w:color w:val="231F20"/>
                <w:sz w:val="15"/>
              </w:rPr>
              <w:t>Waardenburg</w:t>
            </w:r>
            <w:r>
              <w:rPr>
                <w:color w:val="231F20"/>
                <w:spacing w:val="27"/>
                <w:sz w:val="15"/>
              </w:rPr>
              <w:t> </w:t>
            </w:r>
            <w:r>
              <w:rPr>
                <w:color w:val="231F20"/>
                <w:spacing w:val="-2"/>
                <w:sz w:val="15"/>
              </w:rPr>
              <w:t>(WS1)</w:t>
            </w:r>
          </w:p>
        </w:tc>
        <w:tc>
          <w:tcPr>
            <w:tcW w:w="1985" w:type="dxa"/>
            <w:tcBorders>
              <w:top w:val="single" w:sz="4" w:space="0" w:color="231F20"/>
            </w:tcBorders>
            <w:shd w:val="clear" w:color="auto" w:fill="E8F5F1"/>
          </w:tcPr>
          <w:p>
            <w:pPr>
              <w:pStyle w:val="TableParagraph"/>
              <w:spacing w:before="38"/>
              <w:rPr>
                <w:i/>
                <w:sz w:val="15"/>
              </w:rPr>
            </w:pPr>
          </w:p>
          <w:p>
            <w:pPr>
              <w:pStyle w:val="TableParagraph"/>
              <w:ind w:left="150"/>
              <w:rPr>
                <w:i/>
                <w:sz w:val="15"/>
              </w:rPr>
            </w:pPr>
            <w:r>
              <w:rPr>
                <w:i/>
                <w:color w:val="231F20"/>
                <w:spacing w:val="-4"/>
                <w:w w:val="105"/>
                <w:sz w:val="15"/>
              </w:rPr>
              <w:t>PAX3</w:t>
            </w:r>
          </w:p>
        </w:tc>
        <w:tc>
          <w:tcPr>
            <w:tcW w:w="6188" w:type="dxa"/>
            <w:vMerge w:val="restart"/>
            <w:tcBorders>
              <w:top w:val="single" w:sz="4" w:space="0" w:color="231F20"/>
              <w:bottom w:val="single" w:sz="4" w:space="0" w:color="FFFFFF"/>
            </w:tcBorders>
            <w:shd w:val="clear" w:color="auto" w:fill="E8F5F1"/>
          </w:tcPr>
          <w:p>
            <w:pPr>
              <w:pStyle w:val="TableParagraph"/>
              <w:spacing w:before="44"/>
              <w:rPr>
                <w:i/>
                <w:sz w:val="15"/>
              </w:rPr>
            </w:pPr>
          </w:p>
          <w:p>
            <w:pPr>
              <w:pStyle w:val="TableParagraph"/>
              <w:spacing w:line="230" w:lineRule="auto"/>
              <w:ind w:left="261" w:hanging="112"/>
              <w:rPr>
                <w:sz w:val="15"/>
              </w:rPr>
            </w:pPr>
            <w:r>
              <w:rPr>
                <w:color w:val="231F20"/>
                <w:sz w:val="15"/>
              </w:rPr>
              <w:t>Major diagnostic criteria include dystopia canthorum, congenital hearing loss, </w:t>
            </w:r>
            <w:r>
              <w:rPr>
                <w:color w:val="231F20"/>
                <w:spacing w:val="-2"/>
                <w:sz w:val="15"/>
              </w:rPr>
              <w:t>heterochromic</w:t>
            </w:r>
            <w:r>
              <w:rPr>
                <w:color w:val="231F20"/>
                <w:spacing w:val="-6"/>
                <w:sz w:val="15"/>
              </w:rPr>
              <w:t> </w:t>
            </w:r>
            <w:r>
              <w:rPr>
                <w:color w:val="231F20"/>
                <w:spacing w:val="-2"/>
                <w:sz w:val="15"/>
              </w:rPr>
              <w:t>irises,</w:t>
            </w:r>
            <w:r>
              <w:rPr>
                <w:color w:val="231F20"/>
                <w:spacing w:val="-6"/>
                <w:sz w:val="15"/>
              </w:rPr>
              <w:t> </w:t>
            </w:r>
            <w:r>
              <w:rPr>
                <w:color w:val="231F20"/>
                <w:spacing w:val="-2"/>
                <w:sz w:val="15"/>
              </w:rPr>
              <w:t>white</w:t>
            </w:r>
            <w:r>
              <w:rPr>
                <w:color w:val="231F20"/>
                <w:spacing w:val="-6"/>
                <w:sz w:val="15"/>
              </w:rPr>
              <w:t> </w:t>
            </w:r>
            <w:r>
              <w:rPr>
                <w:color w:val="231F20"/>
                <w:spacing w:val="-2"/>
                <w:sz w:val="15"/>
              </w:rPr>
              <w:t>forelock,</w:t>
            </w:r>
            <w:r>
              <w:rPr>
                <w:color w:val="231F20"/>
                <w:spacing w:val="-6"/>
                <w:sz w:val="15"/>
              </w:rPr>
              <w:t> </w:t>
            </w:r>
            <w:r>
              <w:rPr>
                <w:color w:val="231F20"/>
                <w:spacing w:val="-2"/>
                <w:sz w:val="15"/>
              </w:rPr>
              <w:t>and</w:t>
            </w:r>
            <w:r>
              <w:rPr>
                <w:color w:val="231F20"/>
                <w:spacing w:val="-6"/>
                <w:sz w:val="15"/>
              </w:rPr>
              <w:t> </w:t>
            </w:r>
            <w:r>
              <w:rPr>
                <w:color w:val="231F20"/>
                <w:spacing w:val="-2"/>
                <w:sz w:val="15"/>
              </w:rPr>
              <w:t>an</w:t>
            </w:r>
            <w:r>
              <w:rPr>
                <w:color w:val="231F20"/>
                <w:spacing w:val="-6"/>
                <w:sz w:val="15"/>
              </w:rPr>
              <w:t> </w:t>
            </w:r>
            <w:r>
              <w:rPr>
                <w:color w:val="231F20"/>
                <w:spacing w:val="-2"/>
                <w:sz w:val="15"/>
              </w:rPr>
              <w:t>affected</w:t>
            </w:r>
            <w:r>
              <w:rPr>
                <w:color w:val="231F20"/>
                <w:spacing w:val="-6"/>
                <w:sz w:val="15"/>
              </w:rPr>
              <w:t> </w:t>
            </w:r>
            <w:r>
              <w:rPr>
                <w:color w:val="231F20"/>
                <w:spacing w:val="-2"/>
                <w:sz w:val="15"/>
              </w:rPr>
              <w:t>1st-degree</w:t>
            </w:r>
            <w:r>
              <w:rPr>
                <w:color w:val="231F20"/>
                <w:spacing w:val="-6"/>
                <w:sz w:val="15"/>
              </w:rPr>
              <w:t> </w:t>
            </w:r>
            <w:r>
              <w:rPr>
                <w:color w:val="231F20"/>
                <w:spacing w:val="-2"/>
                <w:sz w:val="15"/>
              </w:rPr>
              <w:t>relative.</w:t>
            </w:r>
            <w:r>
              <w:rPr>
                <w:color w:val="231F20"/>
                <w:spacing w:val="-6"/>
                <w:sz w:val="15"/>
              </w:rPr>
              <w:t> </w:t>
            </w:r>
            <w:r>
              <w:rPr>
                <w:color w:val="231F20"/>
                <w:spacing w:val="-2"/>
                <w:sz w:val="15"/>
              </w:rPr>
              <w:t>Approximately </w:t>
            </w:r>
            <w:r>
              <w:rPr>
                <w:color w:val="231F20"/>
                <w:sz w:val="15"/>
              </w:rPr>
              <w:t>60% of affected children have congenital hearing loss; in 90%, the loss is bilateral.</w:t>
            </w:r>
          </w:p>
          <w:p>
            <w:pPr>
              <w:pStyle w:val="TableParagraph"/>
              <w:spacing w:line="230" w:lineRule="auto" w:before="3"/>
              <w:ind w:left="261" w:hanging="112"/>
              <w:rPr>
                <w:sz w:val="15"/>
              </w:rPr>
            </w:pPr>
            <w:r>
              <w:rPr>
                <w:color w:val="231F20"/>
                <w:sz w:val="15"/>
              </w:rPr>
              <w:t>Major</w:t>
            </w:r>
            <w:r>
              <w:rPr>
                <w:color w:val="231F20"/>
                <w:spacing w:val="-9"/>
                <w:sz w:val="15"/>
              </w:rPr>
              <w:t> </w:t>
            </w:r>
            <w:r>
              <w:rPr>
                <w:color w:val="231F20"/>
                <w:sz w:val="15"/>
              </w:rPr>
              <w:t>diagnostic</w:t>
            </w:r>
            <w:r>
              <w:rPr>
                <w:color w:val="231F20"/>
                <w:spacing w:val="-9"/>
                <w:sz w:val="15"/>
              </w:rPr>
              <w:t> </w:t>
            </w:r>
            <w:r>
              <w:rPr>
                <w:color w:val="231F20"/>
                <w:sz w:val="15"/>
              </w:rPr>
              <w:t>criteria</w:t>
            </w:r>
            <w:r>
              <w:rPr>
                <w:color w:val="231F20"/>
                <w:spacing w:val="-9"/>
                <w:sz w:val="15"/>
              </w:rPr>
              <w:t> </w:t>
            </w:r>
            <w:r>
              <w:rPr>
                <w:color w:val="231F20"/>
                <w:sz w:val="15"/>
              </w:rPr>
              <w:t>are</w:t>
            </w:r>
            <w:r>
              <w:rPr>
                <w:color w:val="231F20"/>
                <w:spacing w:val="-9"/>
                <w:sz w:val="15"/>
              </w:rPr>
              <w:t> </w:t>
            </w:r>
            <w:r>
              <w:rPr>
                <w:color w:val="231F20"/>
                <w:sz w:val="15"/>
              </w:rPr>
              <w:t>as</w:t>
            </w:r>
            <w:r>
              <w:rPr>
                <w:color w:val="231F20"/>
                <w:spacing w:val="-9"/>
                <w:sz w:val="15"/>
              </w:rPr>
              <w:t> </w:t>
            </w:r>
            <w:r>
              <w:rPr>
                <w:color w:val="231F20"/>
                <w:sz w:val="15"/>
              </w:rPr>
              <w:t>for</w:t>
            </w:r>
            <w:r>
              <w:rPr>
                <w:color w:val="231F20"/>
                <w:spacing w:val="-9"/>
                <w:sz w:val="15"/>
              </w:rPr>
              <w:t> </w:t>
            </w:r>
            <w:r>
              <w:rPr>
                <w:color w:val="231F20"/>
                <w:sz w:val="15"/>
              </w:rPr>
              <w:t>WS1</w:t>
            </w:r>
            <w:r>
              <w:rPr>
                <w:color w:val="231F20"/>
                <w:spacing w:val="-9"/>
                <w:sz w:val="15"/>
              </w:rPr>
              <w:t> </w:t>
            </w:r>
            <w:r>
              <w:rPr>
                <w:color w:val="231F20"/>
                <w:sz w:val="15"/>
              </w:rPr>
              <w:t>but</w:t>
            </w:r>
            <w:r>
              <w:rPr>
                <w:color w:val="231F20"/>
                <w:spacing w:val="-9"/>
                <w:sz w:val="15"/>
              </w:rPr>
              <w:t> </w:t>
            </w:r>
            <w:r>
              <w:rPr>
                <w:color w:val="231F20"/>
                <w:sz w:val="15"/>
              </w:rPr>
              <w:t>without</w:t>
            </w:r>
            <w:r>
              <w:rPr>
                <w:color w:val="231F20"/>
                <w:spacing w:val="-9"/>
                <w:sz w:val="15"/>
              </w:rPr>
              <w:t> </w:t>
            </w:r>
            <w:r>
              <w:rPr>
                <w:color w:val="231F20"/>
                <w:sz w:val="15"/>
              </w:rPr>
              <w:t>dystopia</w:t>
            </w:r>
            <w:r>
              <w:rPr>
                <w:color w:val="231F20"/>
                <w:spacing w:val="-9"/>
                <w:sz w:val="15"/>
              </w:rPr>
              <w:t> </w:t>
            </w:r>
            <w:r>
              <w:rPr>
                <w:color w:val="231F20"/>
                <w:sz w:val="15"/>
              </w:rPr>
              <w:t>canthorum.</w:t>
            </w:r>
            <w:r>
              <w:rPr>
                <w:color w:val="231F20"/>
                <w:spacing w:val="-9"/>
                <w:sz w:val="15"/>
              </w:rPr>
              <w:t> </w:t>
            </w:r>
            <w:r>
              <w:rPr>
                <w:color w:val="231F20"/>
                <w:sz w:val="15"/>
              </w:rPr>
              <w:t>Approximately 80% of affected children have congenital hearing loss; in 90%, the loss is bilateral.</w:t>
            </w:r>
          </w:p>
          <w:p>
            <w:pPr>
              <w:pStyle w:val="TableParagraph"/>
              <w:spacing w:line="230" w:lineRule="auto" w:before="3"/>
              <w:ind w:left="261" w:right="493" w:hanging="112"/>
              <w:rPr>
                <w:sz w:val="15"/>
              </w:rPr>
            </w:pPr>
            <w:r>
              <w:rPr>
                <w:color w:val="231F20"/>
                <w:sz w:val="15"/>
              </w:rPr>
              <w:t>Diagnostic</w:t>
            </w:r>
            <w:r>
              <w:rPr>
                <w:color w:val="231F20"/>
                <w:spacing w:val="-12"/>
                <w:sz w:val="15"/>
              </w:rPr>
              <w:t> </w:t>
            </w:r>
            <w:r>
              <w:rPr>
                <w:color w:val="231F20"/>
                <w:sz w:val="15"/>
              </w:rPr>
              <w:t>criteria</w:t>
            </w:r>
            <w:r>
              <w:rPr>
                <w:color w:val="231F20"/>
                <w:spacing w:val="-11"/>
                <w:sz w:val="15"/>
              </w:rPr>
              <w:t> </w:t>
            </w:r>
            <w:r>
              <w:rPr>
                <w:color w:val="231F20"/>
                <w:sz w:val="15"/>
              </w:rPr>
              <w:t>include</w:t>
            </w:r>
            <w:r>
              <w:rPr>
                <w:color w:val="231F20"/>
                <w:spacing w:val="-11"/>
                <w:sz w:val="15"/>
              </w:rPr>
              <w:t> </w:t>
            </w:r>
            <w:r>
              <w:rPr>
                <w:color w:val="231F20"/>
                <w:sz w:val="15"/>
              </w:rPr>
              <w:t>hearing</w:t>
            </w:r>
            <w:r>
              <w:rPr>
                <w:color w:val="231F20"/>
                <w:spacing w:val="-12"/>
                <w:sz w:val="15"/>
              </w:rPr>
              <w:t> </w:t>
            </w:r>
            <w:r>
              <w:rPr>
                <w:color w:val="231F20"/>
                <w:sz w:val="15"/>
              </w:rPr>
              <w:t>loss</w:t>
            </w:r>
            <w:r>
              <w:rPr>
                <w:color w:val="231F20"/>
                <w:spacing w:val="-11"/>
                <w:sz w:val="15"/>
              </w:rPr>
              <w:t> </w:t>
            </w:r>
            <w:r>
              <w:rPr>
                <w:color w:val="231F20"/>
                <w:sz w:val="15"/>
              </w:rPr>
              <w:t>(98%),</w:t>
            </w:r>
            <w:r>
              <w:rPr>
                <w:color w:val="231F20"/>
                <w:spacing w:val="-11"/>
                <w:sz w:val="15"/>
              </w:rPr>
              <w:t> </w:t>
            </w:r>
            <w:r>
              <w:rPr>
                <w:color w:val="231F20"/>
                <w:sz w:val="15"/>
              </w:rPr>
              <w:t>preauricular</w:t>
            </w:r>
            <w:r>
              <w:rPr>
                <w:color w:val="231F20"/>
                <w:spacing w:val="-12"/>
                <w:sz w:val="15"/>
              </w:rPr>
              <w:t> </w:t>
            </w:r>
            <w:r>
              <w:rPr>
                <w:color w:val="231F20"/>
                <w:sz w:val="15"/>
              </w:rPr>
              <w:t>pits</w:t>
            </w:r>
            <w:r>
              <w:rPr>
                <w:color w:val="231F20"/>
                <w:spacing w:val="-11"/>
                <w:sz w:val="15"/>
              </w:rPr>
              <w:t> </w:t>
            </w:r>
            <w:r>
              <w:rPr>
                <w:color w:val="231F20"/>
                <w:sz w:val="15"/>
              </w:rPr>
              <w:t>(85%),</w:t>
            </w:r>
            <w:r>
              <w:rPr>
                <w:color w:val="231F20"/>
                <w:spacing w:val="-11"/>
                <w:sz w:val="15"/>
              </w:rPr>
              <w:t> </w:t>
            </w:r>
            <w:r>
              <w:rPr>
                <w:color w:val="231F20"/>
                <w:sz w:val="15"/>
              </w:rPr>
              <w:t>and</w:t>
            </w:r>
            <w:r>
              <w:rPr>
                <w:color w:val="231F20"/>
                <w:spacing w:val="-11"/>
                <w:sz w:val="15"/>
              </w:rPr>
              <w:t> </w:t>
            </w:r>
            <w:r>
              <w:rPr>
                <w:color w:val="231F20"/>
                <w:sz w:val="15"/>
              </w:rPr>
              <w:t>branchial (70%),</w:t>
            </w:r>
            <w:r>
              <w:rPr>
                <w:color w:val="231F20"/>
                <w:spacing w:val="-9"/>
                <w:sz w:val="15"/>
              </w:rPr>
              <w:t> </w:t>
            </w:r>
            <w:r>
              <w:rPr>
                <w:color w:val="231F20"/>
                <w:sz w:val="15"/>
              </w:rPr>
              <w:t>renal</w:t>
            </w:r>
            <w:r>
              <w:rPr>
                <w:color w:val="231F20"/>
                <w:spacing w:val="-9"/>
                <w:sz w:val="15"/>
              </w:rPr>
              <w:t> </w:t>
            </w:r>
            <w:r>
              <w:rPr>
                <w:color w:val="231F20"/>
                <w:sz w:val="15"/>
              </w:rPr>
              <w:t>(40%),</w:t>
            </w:r>
            <w:r>
              <w:rPr>
                <w:color w:val="231F20"/>
                <w:spacing w:val="-9"/>
                <w:sz w:val="15"/>
              </w:rPr>
              <w:t> </w:t>
            </w:r>
            <w:r>
              <w:rPr>
                <w:color w:val="231F20"/>
                <w:sz w:val="15"/>
              </w:rPr>
              <w:t>and</w:t>
            </w:r>
            <w:r>
              <w:rPr>
                <w:color w:val="231F20"/>
                <w:spacing w:val="-9"/>
                <w:sz w:val="15"/>
              </w:rPr>
              <w:t> </w:t>
            </w:r>
            <w:r>
              <w:rPr>
                <w:color w:val="231F20"/>
                <w:sz w:val="15"/>
              </w:rPr>
              <w:t>external-ear</w:t>
            </w:r>
            <w:r>
              <w:rPr>
                <w:color w:val="231F20"/>
                <w:spacing w:val="-9"/>
                <w:sz w:val="15"/>
              </w:rPr>
              <w:t> </w:t>
            </w:r>
            <w:r>
              <w:rPr>
                <w:color w:val="231F20"/>
                <w:sz w:val="15"/>
              </w:rPr>
              <w:t>(30%)</w:t>
            </w:r>
            <w:r>
              <w:rPr>
                <w:color w:val="231F20"/>
                <w:spacing w:val="-9"/>
                <w:sz w:val="15"/>
              </w:rPr>
              <w:t> </w:t>
            </w:r>
            <w:r>
              <w:rPr>
                <w:color w:val="231F20"/>
                <w:sz w:val="15"/>
              </w:rPr>
              <w:t>abnormalities.</w:t>
            </w:r>
            <w:r>
              <w:rPr>
                <w:color w:val="231F20"/>
                <w:spacing w:val="-9"/>
                <w:sz w:val="15"/>
              </w:rPr>
              <w:t> </w:t>
            </w:r>
            <w:r>
              <w:rPr>
                <w:color w:val="231F20"/>
                <w:sz w:val="15"/>
              </w:rPr>
              <w:t>The</w:t>
            </w:r>
            <w:r>
              <w:rPr>
                <w:color w:val="231F20"/>
                <w:spacing w:val="-9"/>
                <w:sz w:val="15"/>
              </w:rPr>
              <w:t> </w:t>
            </w:r>
            <w:r>
              <w:rPr>
                <w:color w:val="231F20"/>
                <w:sz w:val="15"/>
              </w:rPr>
              <w:t>hearing</w:t>
            </w:r>
            <w:r>
              <w:rPr>
                <w:color w:val="231F20"/>
                <w:spacing w:val="-9"/>
                <w:sz w:val="15"/>
              </w:rPr>
              <w:t> </w:t>
            </w:r>
            <w:r>
              <w:rPr>
                <w:color w:val="231F20"/>
                <w:sz w:val="15"/>
              </w:rPr>
              <w:t>loss</w:t>
            </w:r>
            <w:r>
              <w:rPr>
                <w:color w:val="231F20"/>
                <w:spacing w:val="-9"/>
                <w:sz w:val="15"/>
              </w:rPr>
              <w:t> </w:t>
            </w:r>
            <w:r>
              <w:rPr>
                <w:color w:val="231F20"/>
                <w:sz w:val="15"/>
              </w:rPr>
              <w:t>can</w:t>
            </w:r>
            <w:r>
              <w:rPr>
                <w:color w:val="231F20"/>
                <w:spacing w:val="-9"/>
                <w:sz w:val="15"/>
              </w:rPr>
              <w:t> </w:t>
            </w:r>
            <w:r>
              <w:rPr>
                <w:color w:val="231F20"/>
                <w:sz w:val="15"/>
              </w:rPr>
              <w:t>be conductive, sensorineural, or mixed, and mild to profound in degree.</w:t>
            </w:r>
          </w:p>
          <w:p>
            <w:pPr>
              <w:pStyle w:val="TableParagraph"/>
              <w:spacing w:line="230" w:lineRule="auto" w:before="4"/>
              <w:ind w:left="261" w:right="117" w:hanging="112"/>
              <w:rPr>
                <w:sz w:val="15"/>
              </w:rPr>
            </w:pPr>
            <w:r>
              <w:rPr>
                <w:color w:val="231F20"/>
                <w:spacing w:val="-2"/>
                <w:sz w:val="15"/>
              </w:rPr>
              <w:t>Choanal</w:t>
            </w:r>
            <w:r>
              <w:rPr>
                <w:color w:val="231F20"/>
                <w:spacing w:val="-3"/>
                <w:sz w:val="15"/>
              </w:rPr>
              <w:t> </w:t>
            </w:r>
            <w:r>
              <w:rPr>
                <w:color w:val="231F20"/>
                <w:spacing w:val="-2"/>
                <w:sz w:val="15"/>
              </w:rPr>
              <w:t>atresia,</w:t>
            </w:r>
            <w:r>
              <w:rPr>
                <w:color w:val="231F20"/>
                <w:spacing w:val="-3"/>
                <w:sz w:val="15"/>
              </w:rPr>
              <w:t> </w:t>
            </w:r>
            <w:r>
              <w:rPr>
                <w:color w:val="231F20"/>
                <w:spacing w:val="-2"/>
                <w:sz w:val="15"/>
              </w:rPr>
              <w:t>colobomas,</w:t>
            </w:r>
            <w:r>
              <w:rPr>
                <w:color w:val="231F20"/>
                <w:spacing w:val="-3"/>
                <w:sz w:val="15"/>
              </w:rPr>
              <w:t> </w:t>
            </w:r>
            <w:r>
              <w:rPr>
                <w:color w:val="231F20"/>
                <w:spacing w:val="-2"/>
                <w:sz w:val="15"/>
              </w:rPr>
              <w:t>heart</w:t>
            </w:r>
            <w:r>
              <w:rPr>
                <w:color w:val="231F20"/>
                <w:spacing w:val="-3"/>
                <w:sz w:val="15"/>
              </w:rPr>
              <w:t> </w:t>
            </w:r>
            <w:r>
              <w:rPr>
                <w:color w:val="231F20"/>
                <w:spacing w:val="-2"/>
                <w:sz w:val="15"/>
              </w:rPr>
              <w:t>defect,</w:t>
            </w:r>
            <w:r>
              <w:rPr>
                <w:color w:val="231F20"/>
                <w:spacing w:val="-3"/>
                <w:sz w:val="15"/>
              </w:rPr>
              <w:t> </w:t>
            </w:r>
            <w:r>
              <w:rPr>
                <w:color w:val="231F20"/>
                <w:spacing w:val="-2"/>
                <w:sz w:val="15"/>
              </w:rPr>
              <w:t>retardation,</w:t>
            </w:r>
            <w:r>
              <w:rPr>
                <w:color w:val="231F20"/>
                <w:spacing w:val="-3"/>
                <w:sz w:val="15"/>
              </w:rPr>
              <w:t> </w:t>
            </w:r>
            <w:r>
              <w:rPr>
                <w:color w:val="231F20"/>
                <w:spacing w:val="-2"/>
                <w:sz w:val="15"/>
              </w:rPr>
              <w:t>genital</w:t>
            </w:r>
            <w:r>
              <w:rPr>
                <w:color w:val="231F20"/>
                <w:spacing w:val="-3"/>
                <w:sz w:val="15"/>
              </w:rPr>
              <w:t> </w:t>
            </w:r>
            <w:r>
              <w:rPr>
                <w:color w:val="231F20"/>
                <w:spacing w:val="-2"/>
                <w:sz w:val="15"/>
              </w:rPr>
              <w:t>hypoplasia,</w:t>
            </w:r>
            <w:r>
              <w:rPr>
                <w:color w:val="231F20"/>
                <w:spacing w:val="-3"/>
                <w:sz w:val="15"/>
              </w:rPr>
              <w:t> </w:t>
            </w:r>
            <w:r>
              <w:rPr>
                <w:color w:val="231F20"/>
                <w:spacing w:val="-2"/>
                <w:sz w:val="15"/>
              </w:rPr>
              <w:t>ear</w:t>
            </w:r>
            <w:r>
              <w:rPr>
                <w:color w:val="231F20"/>
                <w:spacing w:val="-3"/>
                <w:sz w:val="15"/>
              </w:rPr>
              <w:t> </w:t>
            </w:r>
            <w:r>
              <w:rPr>
                <w:color w:val="231F20"/>
                <w:spacing w:val="-2"/>
                <w:sz w:val="15"/>
              </w:rPr>
              <w:t>anomalies, </w:t>
            </w:r>
            <w:r>
              <w:rPr>
                <w:color w:val="231F20"/>
                <w:sz w:val="15"/>
              </w:rPr>
              <w:t>deafness. Can lead to sensorineural or mixed hearing loss. Can be autosomal</w:t>
            </w:r>
            <w:r>
              <w:rPr>
                <w:color w:val="231F20"/>
                <w:spacing w:val="40"/>
                <w:sz w:val="15"/>
              </w:rPr>
              <w:t> </w:t>
            </w:r>
            <w:r>
              <w:rPr>
                <w:color w:val="231F20"/>
                <w:sz w:val="15"/>
              </w:rPr>
              <w:t>dominant or isolated cases.</w:t>
            </w:r>
          </w:p>
          <w:p>
            <w:pPr>
              <w:pStyle w:val="TableParagraph"/>
              <w:spacing w:line="230" w:lineRule="auto" w:before="4"/>
              <w:ind w:left="261" w:hanging="112"/>
              <w:rPr>
                <w:sz w:val="15"/>
              </w:rPr>
            </w:pPr>
            <w:r>
              <w:rPr>
                <w:color w:val="231F20"/>
                <w:sz w:val="15"/>
              </w:rPr>
              <w:t>Part of the hemifacial microsomia spectrum. Facial hypoplasia, ear anomalies, hemivertebrae,</w:t>
            </w:r>
            <w:r>
              <w:rPr>
                <w:color w:val="231F20"/>
                <w:spacing w:val="-8"/>
                <w:sz w:val="15"/>
              </w:rPr>
              <w:t> </w:t>
            </w:r>
            <w:r>
              <w:rPr>
                <w:color w:val="231F20"/>
                <w:sz w:val="15"/>
              </w:rPr>
              <w:t>parotid</w:t>
            </w:r>
            <w:r>
              <w:rPr>
                <w:color w:val="231F20"/>
                <w:spacing w:val="-8"/>
                <w:sz w:val="15"/>
              </w:rPr>
              <w:t> </w:t>
            </w:r>
            <w:r>
              <w:rPr>
                <w:color w:val="231F20"/>
                <w:sz w:val="15"/>
              </w:rPr>
              <w:t>gland</w:t>
            </w:r>
            <w:r>
              <w:rPr>
                <w:color w:val="231F20"/>
                <w:spacing w:val="-8"/>
                <w:sz w:val="15"/>
              </w:rPr>
              <w:t> </w:t>
            </w:r>
            <w:r>
              <w:rPr>
                <w:color w:val="231F20"/>
                <w:sz w:val="15"/>
              </w:rPr>
              <w:t>dysfunction.</w:t>
            </w:r>
            <w:r>
              <w:rPr>
                <w:color w:val="231F20"/>
                <w:spacing w:val="-8"/>
                <w:sz w:val="15"/>
              </w:rPr>
              <w:t> </w:t>
            </w:r>
            <w:r>
              <w:rPr>
                <w:color w:val="231F20"/>
                <w:sz w:val="15"/>
              </w:rPr>
              <w:t>Can</w:t>
            </w:r>
            <w:r>
              <w:rPr>
                <w:color w:val="231F20"/>
                <w:spacing w:val="-8"/>
                <w:sz w:val="15"/>
              </w:rPr>
              <w:t> </w:t>
            </w:r>
            <w:r>
              <w:rPr>
                <w:color w:val="231F20"/>
                <w:sz w:val="15"/>
              </w:rPr>
              <w:t>cause</w:t>
            </w:r>
            <w:r>
              <w:rPr>
                <w:color w:val="231F20"/>
                <w:spacing w:val="-8"/>
                <w:sz w:val="15"/>
              </w:rPr>
              <w:t> </w:t>
            </w:r>
            <w:r>
              <w:rPr>
                <w:color w:val="231F20"/>
                <w:sz w:val="15"/>
              </w:rPr>
              <w:t>conductive</w:t>
            </w:r>
            <w:r>
              <w:rPr>
                <w:color w:val="231F20"/>
                <w:spacing w:val="-8"/>
                <w:sz w:val="15"/>
              </w:rPr>
              <w:t> </w:t>
            </w:r>
            <w:r>
              <w:rPr>
                <w:color w:val="231F20"/>
                <w:sz w:val="15"/>
              </w:rPr>
              <w:t>or</w:t>
            </w:r>
            <w:r>
              <w:rPr>
                <w:color w:val="231F20"/>
                <w:spacing w:val="-8"/>
                <w:sz w:val="15"/>
              </w:rPr>
              <w:t> </w:t>
            </w:r>
            <w:r>
              <w:rPr>
                <w:color w:val="231F20"/>
                <w:sz w:val="15"/>
              </w:rPr>
              <w:t>mixed</w:t>
            </w:r>
            <w:r>
              <w:rPr>
                <w:color w:val="231F20"/>
                <w:spacing w:val="-8"/>
                <w:sz w:val="15"/>
              </w:rPr>
              <w:t> </w:t>
            </w:r>
            <w:r>
              <w:rPr>
                <w:color w:val="231F20"/>
                <w:sz w:val="15"/>
              </w:rPr>
              <w:t>hearing</w:t>
            </w:r>
            <w:r>
              <w:rPr>
                <w:color w:val="231F20"/>
                <w:spacing w:val="-8"/>
                <w:sz w:val="15"/>
              </w:rPr>
              <w:t> </w:t>
            </w:r>
            <w:r>
              <w:rPr>
                <w:color w:val="231F20"/>
                <w:sz w:val="15"/>
              </w:rPr>
              <w:t>loss. Can be autosomal dominant or sporadic.</w:t>
            </w:r>
          </w:p>
        </w:tc>
      </w:tr>
      <w:tr>
        <w:trPr>
          <w:trHeight w:val="411" w:hRule="atLeast"/>
        </w:trPr>
        <w:tc>
          <w:tcPr>
            <w:tcW w:w="1571" w:type="dxa"/>
            <w:gridSpan w:val="2"/>
            <w:shd w:val="clear" w:color="auto" w:fill="E8F5F1"/>
          </w:tcPr>
          <w:p>
            <w:pPr>
              <w:pStyle w:val="TableParagraph"/>
              <w:spacing w:before="158"/>
              <w:ind w:left="74"/>
              <w:rPr>
                <w:sz w:val="15"/>
              </w:rPr>
            </w:pPr>
            <w:r>
              <w:rPr>
                <w:color w:val="231F20"/>
                <w:sz w:val="15"/>
              </w:rPr>
              <w:t>Waardenburg</w:t>
            </w:r>
            <w:r>
              <w:rPr>
                <w:color w:val="231F20"/>
                <w:spacing w:val="27"/>
                <w:sz w:val="15"/>
              </w:rPr>
              <w:t> </w:t>
            </w:r>
            <w:r>
              <w:rPr>
                <w:color w:val="231F20"/>
                <w:spacing w:val="-2"/>
                <w:sz w:val="15"/>
              </w:rPr>
              <w:t>(WS2)</w:t>
            </w:r>
          </w:p>
        </w:tc>
        <w:tc>
          <w:tcPr>
            <w:tcW w:w="1985" w:type="dxa"/>
            <w:shd w:val="clear" w:color="auto" w:fill="E8F5F1"/>
          </w:tcPr>
          <w:p>
            <w:pPr>
              <w:pStyle w:val="TableParagraph"/>
              <w:spacing w:before="158"/>
              <w:ind w:left="150"/>
              <w:rPr>
                <w:sz w:val="15"/>
              </w:rPr>
            </w:pPr>
            <w:r>
              <w:rPr>
                <w:i/>
                <w:color w:val="231F20"/>
                <w:sz w:val="15"/>
              </w:rPr>
              <w:t>MITF</w:t>
            </w:r>
            <w:r>
              <w:rPr>
                <w:color w:val="231F20"/>
                <w:sz w:val="15"/>
              </w:rPr>
              <w:t>, </w:t>
            </w:r>
            <w:r>
              <w:rPr>
                <w:color w:val="231F20"/>
                <w:spacing w:val="-2"/>
                <w:sz w:val="15"/>
              </w:rPr>
              <w:t>others</w:t>
            </w:r>
          </w:p>
        </w:tc>
        <w:tc>
          <w:tcPr>
            <w:tcW w:w="6188" w:type="dxa"/>
            <w:vMerge/>
            <w:tcBorders>
              <w:top w:val="nil"/>
              <w:bottom w:val="single" w:sz="4" w:space="0" w:color="FFFFFF"/>
            </w:tcBorders>
            <w:shd w:val="clear" w:color="auto" w:fill="E8F5F1"/>
          </w:tcPr>
          <w:p>
            <w:pPr>
              <w:rPr>
                <w:sz w:val="2"/>
                <w:szCs w:val="2"/>
              </w:rPr>
            </w:pPr>
          </w:p>
        </w:tc>
      </w:tr>
      <w:tr>
        <w:trPr>
          <w:trHeight w:val="411" w:hRule="atLeast"/>
        </w:trPr>
        <w:tc>
          <w:tcPr>
            <w:tcW w:w="1571" w:type="dxa"/>
            <w:gridSpan w:val="2"/>
            <w:shd w:val="clear" w:color="auto" w:fill="E8F5F1"/>
          </w:tcPr>
          <w:p>
            <w:pPr>
              <w:pStyle w:val="TableParagraph"/>
              <w:spacing w:before="74"/>
              <w:ind w:left="74"/>
              <w:rPr>
                <w:sz w:val="15"/>
              </w:rPr>
            </w:pPr>
            <w:r>
              <w:rPr>
                <w:color w:val="231F20"/>
                <w:spacing w:val="-2"/>
                <w:sz w:val="15"/>
              </w:rPr>
              <w:t>Branchiootorenal</w:t>
            </w:r>
          </w:p>
        </w:tc>
        <w:tc>
          <w:tcPr>
            <w:tcW w:w="1985" w:type="dxa"/>
            <w:shd w:val="clear" w:color="auto" w:fill="E8F5F1"/>
          </w:tcPr>
          <w:p>
            <w:pPr>
              <w:pStyle w:val="TableParagraph"/>
              <w:spacing w:before="74"/>
              <w:ind w:left="150"/>
              <w:rPr>
                <w:i/>
                <w:sz w:val="15"/>
              </w:rPr>
            </w:pPr>
            <w:r>
              <w:rPr>
                <w:i/>
                <w:color w:val="231F20"/>
                <w:spacing w:val="-4"/>
                <w:w w:val="105"/>
                <w:sz w:val="15"/>
              </w:rPr>
              <w:t>EYA1</w:t>
            </w:r>
          </w:p>
        </w:tc>
        <w:tc>
          <w:tcPr>
            <w:tcW w:w="6188" w:type="dxa"/>
            <w:vMerge/>
            <w:tcBorders>
              <w:top w:val="nil"/>
              <w:bottom w:val="single" w:sz="4" w:space="0" w:color="FFFFFF"/>
            </w:tcBorders>
            <w:shd w:val="clear" w:color="auto" w:fill="E8F5F1"/>
          </w:tcPr>
          <w:p>
            <w:pPr>
              <w:rPr>
                <w:sz w:val="2"/>
                <w:szCs w:val="2"/>
              </w:rPr>
            </w:pPr>
          </w:p>
        </w:tc>
      </w:tr>
      <w:tr>
        <w:trPr>
          <w:trHeight w:val="495" w:hRule="atLeast"/>
        </w:trPr>
        <w:tc>
          <w:tcPr>
            <w:tcW w:w="1571" w:type="dxa"/>
            <w:gridSpan w:val="2"/>
            <w:shd w:val="clear" w:color="auto" w:fill="E8F5F1"/>
          </w:tcPr>
          <w:p>
            <w:pPr>
              <w:pStyle w:val="TableParagraph"/>
              <w:spacing w:before="158"/>
              <w:ind w:left="74"/>
              <w:rPr>
                <w:sz w:val="15"/>
              </w:rPr>
            </w:pPr>
            <w:r>
              <w:rPr>
                <w:color w:val="231F20"/>
                <w:w w:val="105"/>
                <w:sz w:val="15"/>
              </w:rPr>
              <w:t>CHARGE</w:t>
            </w:r>
            <w:r>
              <w:rPr>
                <w:color w:val="231F20"/>
                <w:spacing w:val="31"/>
                <w:w w:val="105"/>
                <w:sz w:val="15"/>
              </w:rPr>
              <w:t> </w:t>
            </w:r>
            <w:r>
              <w:rPr>
                <w:color w:val="231F20"/>
                <w:spacing w:val="-2"/>
                <w:w w:val="105"/>
                <w:sz w:val="15"/>
              </w:rPr>
              <w:t>syndrome</w:t>
            </w:r>
          </w:p>
        </w:tc>
        <w:tc>
          <w:tcPr>
            <w:tcW w:w="1985" w:type="dxa"/>
            <w:shd w:val="clear" w:color="auto" w:fill="E8F5F1"/>
          </w:tcPr>
          <w:p>
            <w:pPr>
              <w:pStyle w:val="TableParagraph"/>
              <w:spacing w:before="158"/>
              <w:ind w:left="150"/>
              <w:rPr>
                <w:i/>
                <w:sz w:val="15"/>
              </w:rPr>
            </w:pPr>
            <w:r>
              <w:rPr>
                <w:i/>
                <w:color w:val="231F20"/>
                <w:spacing w:val="-4"/>
                <w:w w:val="110"/>
                <w:sz w:val="15"/>
              </w:rPr>
              <w:t>CHD7</w:t>
            </w:r>
          </w:p>
        </w:tc>
        <w:tc>
          <w:tcPr>
            <w:tcW w:w="6188" w:type="dxa"/>
            <w:vMerge/>
            <w:tcBorders>
              <w:top w:val="nil"/>
              <w:bottom w:val="single" w:sz="4" w:space="0" w:color="FFFFFF"/>
            </w:tcBorders>
            <w:shd w:val="clear" w:color="auto" w:fill="E8F5F1"/>
          </w:tcPr>
          <w:p>
            <w:pPr>
              <w:rPr>
                <w:sz w:val="2"/>
                <w:szCs w:val="2"/>
              </w:rPr>
            </w:pPr>
          </w:p>
        </w:tc>
      </w:tr>
      <w:tr>
        <w:trPr>
          <w:trHeight w:val="704" w:hRule="atLeast"/>
        </w:trPr>
        <w:tc>
          <w:tcPr>
            <w:tcW w:w="1571" w:type="dxa"/>
            <w:gridSpan w:val="2"/>
            <w:tcBorders>
              <w:bottom w:val="single" w:sz="4" w:space="0" w:color="FFFFFF"/>
            </w:tcBorders>
            <w:shd w:val="clear" w:color="auto" w:fill="E8F5F1"/>
          </w:tcPr>
          <w:p>
            <w:pPr>
              <w:pStyle w:val="TableParagraph"/>
              <w:spacing w:line="230" w:lineRule="auto" w:before="164"/>
              <w:ind w:left="186" w:right="718" w:hanging="112"/>
              <w:rPr>
                <w:sz w:val="15"/>
              </w:rPr>
            </w:pPr>
            <w:r>
              <w:rPr>
                <w:color w:val="231F20"/>
                <w:spacing w:val="-2"/>
                <w:sz w:val="15"/>
              </w:rPr>
              <w:t>Goldenhar syndrome</w:t>
            </w:r>
          </w:p>
        </w:tc>
        <w:tc>
          <w:tcPr>
            <w:tcW w:w="1985" w:type="dxa"/>
            <w:tcBorders>
              <w:bottom w:val="single" w:sz="4" w:space="0" w:color="FFFFFF"/>
            </w:tcBorders>
            <w:shd w:val="clear" w:color="auto" w:fill="E8F5F1"/>
          </w:tcPr>
          <w:p>
            <w:pPr>
              <w:pStyle w:val="TableParagraph"/>
              <w:spacing w:before="158"/>
              <w:ind w:left="150"/>
              <w:rPr>
                <w:sz w:val="15"/>
              </w:rPr>
            </w:pPr>
            <w:r>
              <w:rPr>
                <w:color w:val="231F20"/>
                <w:spacing w:val="-2"/>
                <w:sz w:val="15"/>
              </w:rPr>
              <w:t>Unknown</w:t>
            </w:r>
          </w:p>
        </w:tc>
        <w:tc>
          <w:tcPr>
            <w:tcW w:w="6188" w:type="dxa"/>
            <w:vMerge/>
            <w:tcBorders>
              <w:top w:val="nil"/>
              <w:bottom w:val="single" w:sz="4" w:space="0" w:color="FFFFFF"/>
            </w:tcBorders>
            <w:shd w:val="clear" w:color="auto" w:fill="E8F5F1"/>
          </w:tcPr>
          <w:p>
            <w:pPr>
              <w:rPr>
                <w:sz w:val="2"/>
                <w:szCs w:val="2"/>
              </w:rPr>
            </w:pPr>
          </w:p>
        </w:tc>
      </w:tr>
      <w:tr>
        <w:trPr>
          <w:trHeight w:val="628" w:hRule="atLeast"/>
        </w:trPr>
        <w:tc>
          <w:tcPr>
            <w:tcW w:w="1571" w:type="dxa"/>
            <w:gridSpan w:val="2"/>
            <w:tcBorders>
              <w:top w:val="single" w:sz="4" w:space="0" w:color="FFFFFF"/>
            </w:tcBorders>
            <w:shd w:val="clear" w:color="auto" w:fill="E8F5F1"/>
          </w:tcPr>
          <w:p>
            <w:pPr>
              <w:pStyle w:val="TableParagraph"/>
              <w:spacing w:line="172" w:lineRule="exact" w:before="43"/>
              <w:ind w:left="74"/>
              <w:rPr>
                <w:sz w:val="15"/>
              </w:rPr>
            </w:pPr>
            <w:r>
              <w:rPr>
                <w:color w:val="231F20"/>
                <w:spacing w:val="-2"/>
                <w:w w:val="110"/>
                <w:sz w:val="15"/>
              </w:rPr>
              <w:t>RECESSIVE</w:t>
            </w:r>
          </w:p>
          <w:p>
            <w:pPr>
              <w:pStyle w:val="TableParagraph"/>
              <w:spacing w:line="172" w:lineRule="exact"/>
              <w:ind w:left="74"/>
              <w:rPr>
                <w:sz w:val="15"/>
              </w:rPr>
            </w:pPr>
            <w:r>
              <w:rPr>
                <w:color w:val="231F20"/>
                <w:sz w:val="15"/>
              </w:rPr>
              <w:t>Pendred</w:t>
            </w:r>
            <w:r>
              <w:rPr>
                <w:color w:val="231F20"/>
                <w:spacing w:val="12"/>
                <w:sz w:val="15"/>
              </w:rPr>
              <w:t> </w:t>
            </w:r>
            <w:r>
              <w:rPr>
                <w:color w:val="231F20"/>
                <w:spacing w:val="-2"/>
                <w:sz w:val="15"/>
              </w:rPr>
              <w:t>syndrome</w:t>
            </w:r>
          </w:p>
        </w:tc>
        <w:tc>
          <w:tcPr>
            <w:tcW w:w="1985" w:type="dxa"/>
            <w:tcBorders>
              <w:top w:val="single" w:sz="4" w:space="0" w:color="FFFFFF"/>
            </w:tcBorders>
            <w:shd w:val="clear" w:color="auto" w:fill="E8F5F1"/>
          </w:tcPr>
          <w:p>
            <w:pPr>
              <w:pStyle w:val="TableParagraph"/>
              <w:spacing w:before="38"/>
              <w:rPr>
                <w:i/>
                <w:sz w:val="15"/>
              </w:rPr>
            </w:pPr>
          </w:p>
          <w:p>
            <w:pPr>
              <w:pStyle w:val="TableParagraph"/>
              <w:ind w:left="150"/>
              <w:rPr>
                <w:i/>
                <w:sz w:val="15"/>
              </w:rPr>
            </w:pPr>
            <w:r>
              <w:rPr>
                <w:i/>
                <w:color w:val="231F20"/>
                <w:spacing w:val="-2"/>
                <w:w w:val="105"/>
                <w:sz w:val="15"/>
              </w:rPr>
              <w:t>SLC26A4</w:t>
            </w:r>
          </w:p>
        </w:tc>
        <w:tc>
          <w:tcPr>
            <w:tcW w:w="6188" w:type="dxa"/>
            <w:vMerge w:val="restart"/>
            <w:tcBorders>
              <w:top w:val="single" w:sz="4" w:space="0" w:color="FFFFFF"/>
              <w:bottom w:val="single" w:sz="8" w:space="0" w:color="231F20"/>
            </w:tcBorders>
            <w:shd w:val="clear" w:color="auto" w:fill="E8F5F1"/>
          </w:tcPr>
          <w:p>
            <w:pPr>
              <w:pStyle w:val="TableParagraph"/>
              <w:spacing w:before="44"/>
              <w:rPr>
                <w:i/>
                <w:sz w:val="15"/>
              </w:rPr>
            </w:pPr>
          </w:p>
          <w:p>
            <w:pPr>
              <w:pStyle w:val="TableParagraph"/>
              <w:spacing w:line="230" w:lineRule="auto"/>
              <w:ind w:left="261" w:hanging="112"/>
              <w:rPr>
                <w:sz w:val="15"/>
              </w:rPr>
            </w:pPr>
            <w:r>
              <w:rPr>
                <w:color w:val="231F20"/>
                <w:sz w:val="15"/>
              </w:rPr>
              <w:t>Diagnostic</w:t>
            </w:r>
            <w:r>
              <w:rPr>
                <w:color w:val="231F20"/>
                <w:spacing w:val="-4"/>
                <w:sz w:val="15"/>
              </w:rPr>
              <w:t> </w:t>
            </w:r>
            <w:r>
              <w:rPr>
                <w:color w:val="231F20"/>
                <w:sz w:val="15"/>
              </w:rPr>
              <w:t>criteria</w:t>
            </w:r>
            <w:r>
              <w:rPr>
                <w:color w:val="231F20"/>
                <w:spacing w:val="-4"/>
                <w:sz w:val="15"/>
              </w:rPr>
              <w:t> </w:t>
            </w:r>
            <w:r>
              <w:rPr>
                <w:color w:val="231F20"/>
                <w:sz w:val="15"/>
              </w:rPr>
              <w:t>include</w:t>
            </w:r>
            <w:r>
              <w:rPr>
                <w:color w:val="231F20"/>
                <w:spacing w:val="-4"/>
                <w:sz w:val="15"/>
              </w:rPr>
              <w:t> </w:t>
            </w:r>
            <w:r>
              <w:rPr>
                <w:color w:val="231F20"/>
                <w:sz w:val="15"/>
              </w:rPr>
              <w:t>sensorineural</w:t>
            </w:r>
            <w:r>
              <w:rPr>
                <w:color w:val="231F20"/>
                <w:spacing w:val="-4"/>
                <w:sz w:val="15"/>
              </w:rPr>
              <w:t> </w:t>
            </w:r>
            <w:r>
              <w:rPr>
                <w:color w:val="231F20"/>
                <w:sz w:val="15"/>
              </w:rPr>
              <w:t>hearing</w:t>
            </w:r>
            <w:r>
              <w:rPr>
                <w:color w:val="231F20"/>
                <w:spacing w:val="-4"/>
                <w:sz w:val="15"/>
              </w:rPr>
              <w:t> </w:t>
            </w:r>
            <w:r>
              <w:rPr>
                <w:color w:val="231F20"/>
                <w:sz w:val="15"/>
              </w:rPr>
              <w:t>loss</w:t>
            </w:r>
            <w:r>
              <w:rPr>
                <w:color w:val="231F20"/>
                <w:spacing w:val="-4"/>
                <w:sz w:val="15"/>
              </w:rPr>
              <w:t> </w:t>
            </w:r>
            <w:r>
              <w:rPr>
                <w:color w:val="231F20"/>
                <w:sz w:val="15"/>
              </w:rPr>
              <w:t>that</w:t>
            </w:r>
            <w:r>
              <w:rPr>
                <w:color w:val="231F20"/>
                <w:spacing w:val="-4"/>
                <w:sz w:val="15"/>
              </w:rPr>
              <w:t> </w:t>
            </w:r>
            <w:r>
              <w:rPr>
                <w:color w:val="231F20"/>
                <w:sz w:val="15"/>
              </w:rPr>
              <w:t>is</w:t>
            </w:r>
            <w:r>
              <w:rPr>
                <w:color w:val="231F20"/>
                <w:spacing w:val="-4"/>
                <w:sz w:val="15"/>
              </w:rPr>
              <w:t> </w:t>
            </w:r>
            <w:r>
              <w:rPr>
                <w:color w:val="231F20"/>
                <w:sz w:val="15"/>
              </w:rPr>
              <w:t>congenital,</w:t>
            </w:r>
            <w:r>
              <w:rPr>
                <w:color w:val="231F20"/>
                <w:spacing w:val="-4"/>
                <w:sz w:val="15"/>
              </w:rPr>
              <w:t> </w:t>
            </w:r>
            <w:r>
              <w:rPr>
                <w:color w:val="231F20"/>
                <w:sz w:val="15"/>
              </w:rPr>
              <w:t>nonprogressive, and</w:t>
            </w:r>
            <w:r>
              <w:rPr>
                <w:color w:val="231F20"/>
                <w:spacing w:val="-6"/>
                <w:sz w:val="15"/>
              </w:rPr>
              <w:t> </w:t>
            </w:r>
            <w:r>
              <w:rPr>
                <w:color w:val="231F20"/>
                <w:sz w:val="15"/>
              </w:rPr>
              <w:t>severe</w:t>
            </w:r>
            <w:r>
              <w:rPr>
                <w:color w:val="231F20"/>
                <w:spacing w:val="-6"/>
                <w:sz w:val="15"/>
              </w:rPr>
              <w:t> </w:t>
            </w:r>
            <w:r>
              <w:rPr>
                <w:color w:val="231F20"/>
                <w:sz w:val="15"/>
              </w:rPr>
              <w:t>to</w:t>
            </w:r>
            <w:r>
              <w:rPr>
                <w:color w:val="231F20"/>
                <w:spacing w:val="-6"/>
                <w:sz w:val="15"/>
              </w:rPr>
              <w:t> </w:t>
            </w:r>
            <w:r>
              <w:rPr>
                <w:color w:val="231F20"/>
                <w:sz w:val="15"/>
              </w:rPr>
              <w:t>profound</w:t>
            </w:r>
            <w:r>
              <w:rPr>
                <w:color w:val="231F20"/>
                <w:spacing w:val="-6"/>
                <w:sz w:val="15"/>
              </w:rPr>
              <w:t> </w:t>
            </w:r>
            <w:r>
              <w:rPr>
                <w:color w:val="231F20"/>
                <w:sz w:val="15"/>
              </w:rPr>
              <w:t>in</w:t>
            </w:r>
            <w:r>
              <w:rPr>
                <w:color w:val="231F20"/>
                <w:spacing w:val="-6"/>
                <w:sz w:val="15"/>
              </w:rPr>
              <w:t> </w:t>
            </w:r>
            <w:r>
              <w:rPr>
                <w:color w:val="231F20"/>
                <w:sz w:val="15"/>
              </w:rPr>
              <w:t>many</w:t>
            </w:r>
            <w:r>
              <w:rPr>
                <w:color w:val="231F20"/>
                <w:spacing w:val="-6"/>
                <w:sz w:val="15"/>
              </w:rPr>
              <w:t> </w:t>
            </w:r>
            <w:r>
              <w:rPr>
                <w:color w:val="231F20"/>
                <w:sz w:val="15"/>
              </w:rPr>
              <w:t>cases,</w:t>
            </w:r>
            <w:r>
              <w:rPr>
                <w:color w:val="231F20"/>
                <w:spacing w:val="-6"/>
                <w:sz w:val="15"/>
              </w:rPr>
              <w:t> </w:t>
            </w:r>
            <w:r>
              <w:rPr>
                <w:color w:val="231F20"/>
                <w:sz w:val="15"/>
              </w:rPr>
              <w:t>but</w:t>
            </w:r>
            <w:r>
              <w:rPr>
                <w:color w:val="231F20"/>
                <w:spacing w:val="-6"/>
                <w:sz w:val="15"/>
              </w:rPr>
              <w:t> </w:t>
            </w:r>
            <w:r>
              <w:rPr>
                <w:color w:val="231F20"/>
                <w:sz w:val="15"/>
              </w:rPr>
              <w:t>can</w:t>
            </w:r>
            <w:r>
              <w:rPr>
                <w:color w:val="231F20"/>
                <w:spacing w:val="-6"/>
                <w:sz w:val="15"/>
              </w:rPr>
              <w:t> </w:t>
            </w:r>
            <w:r>
              <w:rPr>
                <w:color w:val="231F20"/>
                <w:sz w:val="15"/>
              </w:rPr>
              <w:t>be</w:t>
            </w:r>
            <w:r>
              <w:rPr>
                <w:color w:val="231F20"/>
                <w:spacing w:val="-6"/>
                <w:sz w:val="15"/>
              </w:rPr>
              <w:t> </w:t>
            </w:r>
            <w:r>
              <w:rPr>
                <w:color w:val="231F20"/>
                <w:sz w:val="15"/>
              </w:rPr>
              <w:t>late-onset</w:t>
            </w:r>
            <w:r>
              <w:rPr>
                <w:color w:val="231F20"/>
                <w:spacing w:val="-6"/>
                <w:sz w:val="15"/>
              </w:rPr>
              <w:t> </w:t>
            </w:r>
            <w:r>
              <w:rPr>
                <w:color w:val="231F20"/>
                <w:sz w:val="15"/>
              </w:rPr>
              <w:t>and</w:t>
            </w:r>
            <w:r>
              <w:rPr>
                <w:color w:val="231F20"/>
                <w:spacing w:val="-6"/>
                <w:sz w:val="15"/>
              </w:rPr>
              <w:t> </w:t>
            </w:r>
            <w:r>
              <w:rPr>
                <w:color w:val="231F20"/>
                <w:sz w:val="15"/>
              </w:rPr>
              <w:t>progressive;</w:t>
            </w:r>
            <w:r>
              <w:rPr>
                <w:color w:val="231F20"/>
                <w:spacing w:val="-6"/>
                <w:sz w:val="15"/>
              </w:rPr>
              <w:t> </w:t>
            </w:r>
            <w:r>
              <w:rPr>
                <w:color w:val="231F20"/>
                <w:sz w:val="15"/>
              </w:rPr>
              <w:t>bilateral dilation of the vestibular aqueduct with or without cochlear hypoplasia; and an abnormal perchlorate discharge test or goiter.</w:t>
            </w:r>
          </w:p>
          <w:p>
            <w:pPr>
              <w:pStyle w:val="TableParagraph"/>
              <w:spacing w:line="230" w:lineRule="auto" w:before="4"/>
              <w:ind w:left="261" w:right="185" w:hanging="112"/>
              <w:rPr>
                <w:sz w:val="15"/>
              </w:rPr>
            </w:pPr>
            <w:r>
              <w:rPr>
                <w:color w:val="231F20"/>
                <w:spacing w:val="-2"/>
                <w:sz w:val="15"/>
              </w:rPr>
              <w:t>Nephritis, deafness, lens defects, retinitis. Can lead to bilateral sensorineural </w:t>
            </w:r>
            <w:r>
              <w:rPr>
                <w:color w:val="231F20"/>
                <w:spacing w:val="-2"/>
                <w:sz w:val="15"/>
              </w:rPr>
              <w:t>hearing </w:t>
            </w:r>
            <w:r>
              <w:rPr>
                <w:color w:val="231F20"/>
                <w:sz w:val="15"/>
              </w:rPr>
              <w:t>loss in the 2,000-8,000 Hz range. The hearing loss develops gradually and is not generally present in early infancy.</w:t>
            </w:r>
          </w:p>
          <w:p>
            <w:pPr>
              <w:pStyle w:val="TableParagraph"/>
              <w:spacing w:line="230" w:lineRule="auto" w:before="4"/>
              <w:ind w:left="261" w:right="345" w:hanging="112"/>
              <w:jc w:val="both"/>
              <w:rPr>
                <w:sz w:val="15"/>
              </w:rPr>
            </w:pPr>
            <w:r>
              <w:rPr>
                <w:color w:val="231F20"/>
                <w:sz w:val="15"/>
              </w:rPr>
              <w:t>Diagnostic</w:t>
            </w:r>
            <w:r>
              <w:rPr>
                <w:color w:val="231F20"/>
                <w:spacing w:val="-12"/>
                <w:sz w:val="15"/>
              </w:rPr>
              <w:t> </w:t>
            </w:r>
            <w:r>
              <w:rPr>
                <w:color w:val="231F20"/>
                <w:sz w:val="15"/>
              </w:rPr>
              <w:t>criteria</w:t>
            </w:r>
            <w:r>
              <w:rPr>
                <w:color w:val="231F20"/>
                <w:spacing w:val="-11"/>
                <w:sz w:val="15"/>
              </w:rPr>
              <w:t> </w:t>
            </w:r>
            <w:r>
              <w:rPr>
                <w:color w:val="231F20"/>
                <w:sz w:val="15"/>
              </w:rPr>
              <w:t>include</w:t>
            </w:r>
            <w:r>
              <w:rPr>
                <w:color w:val="231F20"/>
                <w:spacing w:val="-11"/>
                <w:sz w:val="15"/>
              </w:rPr>
              <w:t> </w:t>
            </w:r>
            <w:r>
              <w:rPr>
                <w:color w:val="231F20"/>
                <w:sz w:val="15"/>
              </w:rPr>
              <w:t>congenital,</w:t>
            </w:r>
            <w:r>
              <w:rPr>
                <w:color w:val="231F20"/>
                <w:spacing w:val="-12"/>
                <w:sz w:val="15"/>
              </w:rPr>
              <w:t> </w:t>
            </w:r>
            <w:r>
              <w:rPr>
                <w:color w:val="231F20"/>
                <w:sz w:val="15"/>
              </w:rPr>
              <w:t>bilateral,</w:t>
            </w:r>
            <w:r>
              <w:rPr>
                <w:color w:val="231F20"/>
                <w:spacing w:val="-11"/>
                <w:sz w:val="15"/>
              </w:rPr>
              <w:t> </w:t>
            </w:r>
            <w:r>
              <w:rPr>
                <w:color w:val="231F20"/>
                <w:sz w:val="15"/>
              </w:rPr>
              <w:t>and</w:t>
            </w:r>
            <w:r>
              <w:rPr>
                <w:color w:val="231F20"/>
                <w:spacing w:val="-11"/>
                <w:sz w:val="15"/>
              </w:rPr>
              <w:t> </w:t>
            </w:r>
            <w:r>
              <w:rPr>
                <w:color w:val="231F20"/>
                <w:sz w:val="15"/>
              </w:rPr>
              <w:t>profound</w:t>
            </w:r>
            <w:r>
              <w:rPr>
                <w:color w:val="231F20"/>
                <w:spacing w:val="-12"/>
                <w:sz w:val="15"/>
              </w:rPr>
              <w:t> </w:t>
            </w:r>
            <w:r>
              <w:rPr>
                <w:color w:val="231F20"/>
                <w:sz w:val="15"/>
              </w:rPr>
              <w:t>hearing</w:t>
            </w:r>
            <w:r>
              <w:rPr>
                <w:color w:val="231F20"/>
                <w:spacing w:val="-11"/>
                <w:sz w:val="15"/>
              </w:rPr>
              <w:t> </w:t>
            </w:r>
            <w:r>
              <w:rPr>
                <w:color w:val="231F20"/>
                <w:sz w:val="15"/>
              </w:rPr>
              <w:t>loss,</w:t>
            </w:r>
            <w:r>
              <w:rPr>
                <w:color w:val="231F20"/>
                <w:spacing w:val="-11"/>
                <w:sz w:val="15"/>
              </w:rPr>
              <w:t> </w:t>
            </w:r>
            <w:r>
              <w:rPr>
                <w:color w:val="231F20"/>
                <w:sz w:val="15"/>
              </w:rPr>
              <w:t>vestibular areflexia,</w:t>
            </w:r>
            <w:r>
              <w:rPr>
                <w:color w:val="231F20"/>
                <w:spacing w:val="-11"/>
                <w:sz w:val="15"/>
              </w:rPr>
              <w:t> </w:t>
            </w:r>
            <w:r>
              <w:rPr>
                <w:color w:val="231F20"/>
                <w:sz w:val="15"/>
              </w:rPr>
              <w:t>and</w:t>
            </w:r>
            <w:r>
              <w:rPr>
                <w:color w:val="231F20"/>
                <w:spacing w:val="-11"/>
                <w:sz w:val="15"/>
              </w:rPr>
              <w:t> </w:t>
            </w:r>
            <w:r>
              <w:rPr>
                <w:color w:val="231F20"/>
                <w:sz w:val="15"/>
              </w:rPr>
              <w:t>retinitis</w:t>
            </w:r>
            <w:r>
              <w:rPr>
                <w:color w:val="231F20"/>
                <w:spacing w:val="-11"/>
                <w:sz w:val="15"/>
              </w:rPr>
              <w:t> </w:t>
            </w:r>
            <w:r>
              <w:rPr>
                <w:color w:val="231F20"/>
                <w:sz w:val="15"/>
              </w:rPr>
              <w:t>pigmentosa</w:t>
            </w:r>
            <w:r>
              <w:rPr>
                <w:color w:val="231F20"/>
                <w:spacing w:val="-11"/>
                <w:sz w:val="15"/>
              </w:rPr>
              <w:t> </w:t>
            </w:r>
            <w:r>
              <w:rPr>
                <w:color w:val="231F20"/>
                <w:sz w:val="15"/>
              </w:rPr>
              <w:t>(commonly</w:t>
            </w:r>
            <w:r>
              <w:rPr>
                <w:color w:val="231F20"/>
                <w:spacing w:val="-11"/>
                <w:sz w:val="15"/>
              </w:rPr>
              <w:t> </w:t>
            </w:r>
            <w:r>
              <w:rPr>
                <w:color w:val="231F20"/>
                <w:sz w:val="15"/>
              </w:rPr>
              <w:t>not</w:t>
            </w:r>
            <w:r>
              <w:rPr>
                <w:color w:val="231F20"/>
                <w:spacing w:val="-11"/>
                <w:sz w:val="15"/>
              </w:rPr>
              <w:t> </w:t>
            </w:r>
            <w:r>
              <w:rPr>
                <w:color w:val="231F20"/>
                <w:sz w:val="15"/>
              </w:rPr>
              <w:t>diagnosed</w:t>
            </w:r>
            <w:r>
              <w:rPr>
                <w:color w:val="231F20"/>
                <w:spacing w:val="-11"/>
                <w:sz w:val="15"/>
              </w:rPr>
              <w:t> </w:t>
            </w:r>
            <w:r>
              <w:rPr>
                <w:color w:val="231F20"/>
                <w:sz w:val="15"/>
              </w:rPr>
              <w:t>until</w:t>
            </w:r>
            <w:r>
              <w:rPr>
                <w:color w:val="231F20"/>
                <w:spacing w:val="-11"/>
                <w:sz w:val="15"/>
              </w:rPr>
              <w:t> </w:t>
            </w:r>
            <w:r>
              <w:rPr>
                <w:color w:val="231F20"/>
                <w:sz w:val="15"/>
              </w:rPr>
              <w:t>tunnel</w:t>
            </w:r>
            <w:r>
              <w:rPr>
                <w:color w:val="231F20"/>
                <w:spacing w:val="-11"/>
                <w:sz w:val="15"/>
              </w:rPr>
              <w:t> </w:t>
            </w:r>
            <w:r>
              <w:rPr>
                <w:color w:val="231F20"/>
                <w:sz w:val="15"/>
              </w:rPr>
              <w:t>vision</w:t>
            </w:r>
            <w:r>
              <w:rPr>
                <w:color w:val="231F20"/>
                <w:spacing w:val="-11"/>
                <w:sz w:val="15"/>
              </w:rPr>
              <w:t> </w:t>
            </w:r>
            <w:r>
              <w:rPr>
                <w:color w:val="231F20"/>
                <w:sz w:val="15"/>
              </w:rPr>
              <w:t>and nyctalopia become severe enough to be noticeable).</w:t>
            </w:r>
          </w:p>
          <w:p>
            <w:pPr>
              <w:pStyle w:val="TableParagraph"/>
              <w:spacing w:line="230" w:lineRule="auto" w:before="4"/>
              <w:ind w:left="261" w:right="174" w:hanging="112"/>
              <w:jc w:val="both"/>
              <w:rPr>
                <w:sz w:val="15"/>
              </w:rPr>
            </w:pPr>
            <w:r>
              <w:rPr>
                <w:color w:val="231F20"/>
                <w:sz w:val="15"/>
              </w:rPr>
              <w:t>Diagnostic</w:t>
            </w:r>
            <w:r>
              <w:rPr>
                <w:color w:val="231F20"/>
                <w:spacing w:val="-12"/>
                <w:sz w:val="15"/>
              </w:rPr>
              <w:t> </w:t>
            </w:r>
            <w:r>
              <w:rPr>
                <w:color w:val="231F20"/>
                <w:sz w:val="15"/>
              </w:rPr>
              <w:t>criteria</w:t>
            </w:r>
            <w:r>
              <w:rPr>
                <w:color w:val="231F20"/>
                <w:spacing w:val="-11"/>
                <w:sz w:val="15"/>
              </w:rPr>
              <w:t> </w:t>
            </w:r>
            <w:r>
              <w:rPr>
                <w:color w:val="231F20"/>
                <w:sz w:val="15"/>
              </w:rPr>
              <w:t>include</w:t>
            </w:r>
            <w:r>
              <w:rPr>
                <w:color w:val="231F20"/>
                <w:spacing w:val="-11"/>
                <w:sz w:val="15"/>
              </w:rPr>
              <w:t> </w:t>
            </w:r>
            <w:r>
              <w:rPr>
                <w:color w:val="231F20"/>
                <w:sz w:val="15"/>
              </w:rPr>
              <w:t>mild</w:t>
            </w:r>
            <w:r>
              <w:rPr>
                <w:color w:val="231F20"/>
                <w:spacing w:val="-12"/>
                <w:sz w:val="15"/>
              </w:rPr>
              <w:t> </w:t>
            </w:r>
            <w:r>
              <w:rPr>
                <w:color w:val="231F20"/>
                <w:sz w:val="15"/>
              </w:rPr>
              <w:t>to</w:t>
            </w:r>
            <w:r>
              <w:rPr>
                <w:color w:val="231F20"/>
                <w:spacing w:val="-11"/>
                <w:sz w:val="15"/>
              </w:rPr>
              <w:t> </w:t>
            </w:r>
            <w:r>
              <w:rPr>
                <w:color w:val="231F20"/>
                <w:sz w:val="15"/>
              </w:rPr>
              <w:t>severe,</w:t>
            </w:r>
            <w:r>
              <w:rPr>
                <w:color w:val="231F20"/>
                <w:spacing w:val="-11"/>
                <w:sz w:val="15"/>
              </w:rPr>
              <w:t> </w:t>
            </w:r>
            <w:r>
              <w:rPr>
                <w:color w:val="231F20"/>
                <w:sz w:val="15"/>
              </w:rPr>
              <w:t>congenital,</w:t>
            </w:r>
            <w:r>
              <w:rPr>
                <w:color w:val="231F20"/>
                <w:spacing w:val="-12"/>
                <w:sz w:val="15"/>
              </w:rPr>
              <w:t> </w:t>
            </w:r>
            <w:r>
              <w:rPr>
                <w:color w:val="231F20"/>
                <w:sz w:val="15"/>
              </w:rPr>
              <w:t>bilateral</w:t>
            </w:r>
            <w:r>
              <w:rPr>
                <w:color w:val="231F20"/>
                <w:spacing w:val="-11"/>
                <w:sz w:val="15"/>
              </w:rPr>
              <w:t> </w:t>
            </w:r>
            <w:r>
              <w:rPr>
                <w:color w:val="231F20"/>
                <w:sz w:val="15"/>
              </w:rPr>
              <w:t>hearing</w:t>
            </w:r>
            <w:r>
              <w:rPr>
                <w:color w:val="231F20"/>
                <w:spacing w:val="-11"/>
                <w:sz w:val="15"/>
              </w:rPr>
              <w:t> </w:t>
            </w:r>
            <w:r>
              <w:rPr>
                <w:color w:val="231F20"/>
                <w:sz w:val="15"/>
              </w:rPr>
              <w:t>loss</w:t>
            </w:r>
            <w:r>
              <w:rPr>
                <w:color w:val="231F20"/>
                <w:spacing w:val="-11"/>
                <w:sz w:val="15"/>
              </w:rPr>
              <w:t> </w:t>
            </w:r>
            <w:r>
              <w:rPr>
                <w:color w:val="231F20"/>
                <w:sz w:val="15"/>
              </w:rPr>
              <w:t>and</w:t>
            </w:r>
            <w:r>
              <w:rPr>
                <w:color w:val="231F20"/>
                <w:spacing w:val="-12"/>
                <w:sz w:val="15"/>
              </w:rPr>
              <w:t> </w:t>
            </w:r>
            <w:r>
              <w:rPr>
                <w:color w:val="231F20"/>
                <w:sz w:val="15"/>
              </w:rPr>
              <w:t>retinitis pigmentosa; hearing loss may be perceived as progressing over time because </w:t>
            </w:r>
            <w:r>
              <w:rPr>
                <w:color w:val="231F20"/>
                <w:sz w:val="15"/>
              </w:rPr>
              <w:t>speech perception decreases as diminishing vision interferes with subconscious lip reading.</w:t>
            </w:r>
          </w:p>
          <w:p>
            <w:pPr>
              <w:pStyle w:val="TableParagraph"/>
              <w:spacing w:line="230" w:lineRule="auto" w:before="3"/>
              <w:ind w:left="261" w:right="139" w:hanging="112"/>
              <w:jc w:val="both"/>
              <w:rPr>
                <w:sz w:val="15"/>
              </w:rPr>
            </w:pPr>
            <w:r>
              <w:rPr>
                <w:color w:val="231F20"/>
                <w:sz w:val="15"/>
              </w:rPr>
              <w:t>Diagnostic</w:t>
            </w:r>
            <w:r>
              <w:rPr>
                <w:color w:val="231F20"/>
                <w:spacing w:val="-12"/>
                <w:sz w:val="15"/>
              </w:rPr>
              <w:t> </w:t>
            </w:r>
            <w:r>
              <w:rPr>
                <w:color w:val="231F20"/>
                <w:sz w:val="15"/>
              </w:rPr>
              <w:t>criteria</w:t>
            </w:r>
            <w:r>
              <w:rPr>
                <w:color w:val="231F20"/>
                <w:spacing w:val="-11"/>
                <w:sz w:val="15"/>
              </w:rPr>
              <w:t> </w:t>
            </w:r>
            <w:r>
              <w:rPr>
                <w:color w:val="231F20"/>
                <w:sz w:val="15"/>
              </w:rPr>
              <w:t>include</w:t>
            </w:r>
            <w:r>
              <w:rPr>
                <w:color w:val="231F20"/>
                <w:spacing w:val="-11"/>
                <w:sz w:val="15"/>
              </w:rPr>
              <w:t> </w:t>
            </w:r>
            <w:r>
              <w:rPr>
                <w:color w:val="231F20"/>
                <w:sz w:val="15"/>
              </w:rPr>
              <w:t>postlingual,</w:t>
            </w:r>
            <w:r>
              <w:rPr>
                <w:color w:val="231F20"/>
                <w:spacing w:val="-12"/>
                <w:sz w:val="15"/>
              </w:rPr>
              <w:t> </w:t>
            </w:r>
            <w:r>
              <w:rPr>
                <w:color w:val="231F20"/>
                <w:sz w:val="15"/>
              </w:rPr>
              <w:t>progressive</w:t>
            </w:r>
            <w:r>
              <w:rPr>
                <w:color w:val="231F20"/>
                <w:spacing w:val="-11"/>
                <w:sz w:val="15"/>
              </w:rPr>
              <w:t> </w:t>
            </w:r>
            <w:r>
              <w:rPr>
                <w:color w:val="231F20"/>
                <w:sz w:val="15"/>
              </w:rPr>
              <w:t>sensorineural</w:t>
            </w:r>
            <w:r>
              <w:rPr>
                <w:color w:val="231F20"/>
                <w:spacing w:val="-11"/>
                <w:sz w:val="15"/>
              </w:rPr>
              <w:t> </w:t>
            </w:r>
            <w:r>
              <w:rPr>
                <w:color w:val="231F20"/>
                <w:sz w:val="15"/>
              </w:rPr>
              <w:t>hearing</w:t>
            </w:r>
            <w:r>
              <w:rPr>
                <w:color w:val="231F20"/>
                <w:spacing w:val="-12"/>
                <w:sz w:val="15"/>
              </w:rPr>
              <w:t> </w:t>
            </w:r>
            <w:r>
              <w:rPr>
                <w:color w:val="231F20"/>
                <w:sz w:val="15"/>
              </w:rPr>
              <w:t>loss,</w:t>
            </w:r>
            <w:r>
              <w:rPr>
                <w:color w:val="231F20"/>
                <w:spacing w:val="-11"/>
                <w:sz w:val="15"/>
              </w:rPr>
              <w:t> </w:t>
            </w:r>
            <w:r>
              <w:rPr>
                <w:color w:val="231F20"/>
                <w:sz w:val="15"/>
              </w:rPr>
              <w:t>late-</w:t>
            </w:r>
            <w:r>
              <w:rPr>
                <w:color w:val="231F20"/>
                <w:sz w:val="15"/>
              </w:rPr>
              <w:t>onset retinitis pigmentosa, and variable impairment of vestibular function.</w:t>
            </w:r>
          </w:p>
        </w:tc>
      </w:tr>
      <w:tr>
        <w:trPr>
          <w:trHeight w:val="653" w:hRule="atLeast"/>
        </w:trPr>
        <w:tc>
          <w:tcPr>
            <w:tcW w:w="1571" w:type="dxa"/>
            <w:gridSpan w:val="2"/>
            <w:shd w:val="clear" w:color="auto" w:fill="E8F5F1"/>
          </w:tcPr>
          <w:p>
            <w:pPr>
              <w:pStyle w:val="TableParagraph"/>
              <w:spacing w:before="63"/>
              <w:rPr>
                <w:i/>
                <w:sz w:val="15"/>
              </w:rPr>
            </w:pPr>
          </w:p>
          <w:p>
            <w:pPr>
              <w:pStyle w:val="TableParagraph"/>
              <w:ind w:left="74"/>
              <w:rPr>
                <w:sz w:val="15"/>
              </w:rPr>
            </w:pPr>
            <w:r>
              <w:rPr>
                <w:color w:val="231F20"/>
                <w:sz w:val="15"/>
              </w:rPr>
              <w:t>Alport</w:t>
            </w:r>
            <w:r>
              <w:rPr>
                <w:color w:val="231F20"/>
                <w:spacing w:val="1"/>
                <w:sz w:val="15"/>
              </w:rPr>
              <w:t> </w:t>
            </w:r>
            <w:r>
              <w:rPr>
                <w:color w:val="231F20"/>
                <w:spacing w:val="-2"/>
                <w:sz w:val="15"/>
              </w:rPr>
              <w:t>syndrome</w:t>
            </w:r>
          </w:p>
        </w:tc>
        <w:tc>
          <w:tcPr>
            <w:tcW w:w="1985" w:type="dxa"/>
            <w:shd w:val="clear" w:color="auto" w:fill="E8F5F1"/>
          </w:tcPr>
          <w:p>
            <w:pPr>
              <w:pStyle w:val="TableParagraph"/>
              <w:spacing w:before="63"/>
              <w:rPr>
                <w:i/>
                <w:sz w:val="15"/>
              </w:rPr>
            </w:pPr>
          </w:p>
          <w:p>
            <w:pPr>
              <w:pStyle w:val="TableParagraph"/>
              <w:spacing w:line="171" w:lineRule="exact"/>
              <w:ind w:left="150"/>
              <w:rPr>
                <w:sz w:val="15"/>
              </w:rPr>
            </w:pPr>
            <w:r>
              <w:rPr>
                <w:i/>
                <w:color w:val="231F20"/>
                <w:w w:val="105"/>
                <w:sz w:val="15"/>
              </w:rPr>
              <w:t>COL4A3,</w:t>
            </w:r>
            <w:r>
              <w:rPr>
                <w:i/>
                <w:color w:val="231F20"/>
                <w:spacing w:val="-2"/>
                <w:w w:val="105"/>
                <w:sz w:val="15"/>
              </w:rPr>
              <w:t> </w:t>
            </w:r>
            <w:r>
              <w:rPr>
                <w:i/>
                <w:color w:val="231F20"/>
                <w:w w:val="105"/>
                <w:sz w:val="15"/>
              </w:rPr>
              <w:t>COL4A4,</w:t>
            </w:r>
            <w:r>
              <w:rPr>
                <w:i/>
                <w:color w:val="231F20"/>
                <w:spacing w:val="-1"/>
                <w:w w:val="105"/>
                <w:sz w:val="15"/>
              </w:rPr>
              <w:t> </w:t>
            </w:r>
            <w:r>
              <w:rPr>
                <w:color w:val="231F20"/>
                <w:spacing w:val="-5"/>
                <w:w w:val="105"/>
                <w:sz w:val="15"/>
              </w:rPr>
              <w:t>and</w:t>
            </w:r>
          </w:p>
          <w:p>
            <w:pPr>
              <w:pStyle w:val="TableParagraph"/>
              <w:spacing w:line="171" w:lineRule="exact"/>
              <w:ind w:left="262"/>
              <w:rPr>
                <w:i/>
                <w:sz w:val="15"/>
              </w:rPr>
            </w:pPr>
            <w:r>
              <w:rPr>
                <w:i/>
                <w:color w:val="231F20"/>
                <w:spacing w:val="-2"/>
                <w:w w:val="110"/>
                <w:sz w:val="15"/>
              </w:rPr>
              <w:t>COL4A5</w:t>
            </w:r>
          </w:p>
        </w:tc>
        <w:tc>
          <w:tcPr>
            <w:tcW w:w="6188" w:type="dxa"/>
            <w:vMerge/>
            <w:tcBorders>
              <w:top w:val="nil"/>
              <w:bottom w:val="single" w:sz="8" w:space="0" w:color="231F20"/>
            </w:tcBorders>
            <w:shd w:val="clear" w:color="auto" w:fill="E8F5F1"/>
          </w:tcPr>
          <w:p>
            <w:pPr>
              <w:rPr>
                <w:sz w:val="2"/>
                <w:szCs w:val="2"/>
              </w:rPr>
            </w:pPr>
          </w:p>
        </w:tc>
      </w:tr>
      <w:tr>
        <w:trPr>
          <w:trHeight w:val="990" w:hRule="atLeast"/>
        </w:trPr>
        <w:tc>
          <w:tcPr>
            <w:tcW w:w="1571" w:type="dxa"/>
            <w:gridSpan w:val="2"/>
            <w:shd w:val="clear" w:color="auto" w:fill="E8F5F1"/>
          </w:tcPr>
          <w:p>
            <w:pPr>
              <w:pStyle w:val="TableParagraph"/>
              <w:spacing w:line="230" w:lineRule="auto" w:before="75"/>
              <w:ind w:left="186" w:right="159" w:hanging="112"/>
              <w:rPr>
                <w:sz w:val="15"/>
              </w:rPr>
            </w:pPr>
            <w:r>
              <w:rPr>
                <w:color w:val="231F20"/>
                <w:sz w:val="15"/>
              </w:rPr>
              <w:t>Usher</w:t>
            </w:r>
            <w:r>
              <w:rPr>
                <w:color w:val="231F20"/>
                <w:spacing w:val="-12"/>
                <w:sz w:val="15"/>
              </w:rPr>
              <w:t> </w:t>
            </w:r>
            <w:r>
              <w:rPr>
                <w:color w:val="231F20"/>
                <w:sz w:val="15"/>
              </w:rPr>
              <w:t>syndrome type 1 (USH1)</w:t>
            </w:r>
          </w:p>
          <w:p>
            <w:pPr>
              <w:pStyle w:val="TableParagraph"/>
              <w:spacing w:line="230" w:lineRule="auto" w:before="171"/>
              <w:ind w:left="186" w:right="159" w:hanging="112"/>
              <w:rPr>
                <w:sz w:val="15"/>
              </w:rPr>
            </w:pPr>
            <w:r>
              <w:rPr>
                <w:color w:val="231F20"/>
                <w:sz w:val="15"/>
              </w:rPr>
              <w:t>Usher</w:t>
            </w:r>
            <w:r>
              <w:rPr>
                <w:color w:val="231F20"/>
                <w:spacing w:val="-12"/>
                <w:sz w:val="15"/>
              </w:rPr>
              <w:t> </w:t>
            </w:r>
            <w:r>
              <w:rPr>
                <w:color w:val="231F20"/>
                <w:sz w:val="15"/>
              </w:rPr>
              <w:t>syndrome type 2 (USH2)</w:t>
            </w:r>
          </w:p>
        </w:tc>
        <w:tc>
          <w:tcPr>
            <w:tcW w:w="1985" w:type="dxa"/>
            <w:shd w:val="clear" w:color="auto" w:fill="E8F5F1"/>
          </w:tcPr>
          <w:p>
            <w:pPr>
              <w:pStyle w:val="TableParagraph"/>
              <w:spacing w:line="230" w:lineRule="auto" w:before="75"/>
              <w:ind w:left="262" w:right="70" w:hanging="112"/>
              <w:rPr>
                <w:i/>
                <w:sz w:val="15"/>
              </w:rPr>
            </w:pPr>
            <w:r>
              <w:rPr>
                <w:i/>
                <w:color w:val="231F20"/>
                <w:w w:val="105"/>
                <w:sz w:val="15"/>
              </w:rPr>
              <w:t>USH1A,</w:t>
            </w:r>
            <w:r>
              <w:rPr>
                <w:i/>
                <w:color w:val="231F20"/>
                <w:spacing w:val="-12"/>
                <w:w w:val="105"/>
                <w:sz w:val="15"/>
              </w:rPr>
              <w:t> </w:t>
            </w:r>
            <w:r>
              <w:rPr>
                <w:i/>
                <w:color w:val="231F20"/>
                <w:w w:val="105"/>
                <w:sz w:val="15"/>
              </w:rPr>
              <w:t>MYO7A,</w:t>
            </w:r>
            <w:r>
              <w:rPr>
                <w:i/>
                <w:color w:val="231F20"/>
                <w:spacing w:val="-12"/>
                <w:w w:val="105"/>
                <w:sz w:val="15"/>
              </w:rPr>
              <w:t> </w:t>
            </w:r>
            <w:r>
              <w:rPr>
                <w:i/>
                <w:color w:val="231F20"/>
                <w:w w:val="105"/>
                <w:sz w:val="15"/>
              </w:rPr>
              <w:t>USH1C, CDH23, USH1E, PCDH15, USH1G</w:t>
            </w:r>
          </w:p>
          <w:p>
            <w:pPr>
              <w:pStyle w:val="TableParagraph"/>
              <w:spacing w:line="169" w:lineRule="exact"/>
              <w:ind w:left="150"/>
              <w:rPr>
                <w:i/>
                <w:sz w:val="15"/>
              </w:rPr>
            </w:pPr>
            <w:r>
              <w:rPr>
                <w:i/>
                <w:color w:val="231F20"/>
                <w:w w:val="105"/>
                <w:sz w:val="15"/>
              </w:rPr>
              <w:t>USH2A,</w:t>
            </w:r>
            <w:r>
              <w:rPr>
                <w:i/>
                <w:color w:val="231F20"/>
                <w:spacing w:val="-12"/>
                <w:w w:val="105"/>
                <w:sz w:val="15"/>
              </w:rPr>
              <w:t> </w:t>
            </w:r>
            <w:r>
              <w:rPr>
                <w:i/>
                <w:color w:val="231F20"/>
                <w:w w:val="105"/>
                <w:sz w:val="15"/>
              </w:rPr>
              <w:t>USH2B,</w:t>
            </w:r>
            <w:r>
              <w:rPr>
                <w:i/>
                <w:color w:val="231F20"/>
                <w:spacing w:val="-11"/>
                <w:w w:val="105"/>
                <w:sz w:val="15"/>
              </w:rPr>
              <w:t> </w:t>
            </w:r>
            <w:r>
              <w:rPr>
                <w:i/>
                <w:color w:val="231F20"/>
                <w:spacing w:val="-2"/>
                <w:w w:val="105"/>
                <w:sz w:val="15"/>
              </w:rPr>
              <w:t>USH2C,</w:t>
            </w:r>
          </w:p>
          <w:p>
            <w:pPr>
              <w:pStyle w:val="TableParagraph"/>
              <w:spacing w:line="171" w:lineRule="exact"/>
              <w:ind w:left="262"/>
              <w:rPr>
                <w:sz w:val="15"/>
              </w:rPr>
            </w:pPr>
            <w:r>
              <w:rPr>
                <w:color w:val="231F20"/>
                <w:spacing w:val="-2"/>
                <w:sz w:val="15"/>
              </w:rPr>
              <w:t>others</w:t>
            </w:r>
          </w:p>
        </w:tc>
        <w:tc>
          <w:tcPr>
            <w:tcW w:w="6188" w:type="dxa"/>
            <w:vMerge/>
            <w:tcBorders>
              <w:top w:val="nil"/>
              <w:bottom w:val="single" w:sz="8" w:space="0" w:color="231F20"/>
            </w:tcBorders>
            <w:shd w:val="clear" w:color="auto" w:fill="E8F5F1"/>
          </w:tcPr>
          <w:p>
            <w:pPr>
              <w:rPr>
                <w:sz w:val="2"/>
                <w:szCs w:val="2"/>
              </w:rPr>
            </w:pPr>
          </w:p>
        </w:tc>
      </w:tr>
      <w:tr>
        <w:trPr>
          <w:trHeight w:val="442" w:hRule="atLeast"/>
        </w:trPr>
        <w:tc>
          <w:tcPr>
            <w:tcW w:w="1571" w:type="dxa"/>
            <w:gridSpan w:val="2"/>
            <w:tcBorders>
              <w:bottom w:val="single" w:sz="8" w:space="0" w:color="231F20"/>
            </w:tcBorders>
            <w:shd w:val="clear" w:color="auto" w:fill="E8F5F1"/>
          </w:tcPr>
          <w:p>
            <w:pPr>
              <w:pStyle w:val="TableParagraph"/>
              <w:spacing w:line="230" w:lineRule="auto" w:before="75"/>
              <w:ind w:left="186" w:right="159" w:hanging="112"/>
              <w:rPr>
                <w:sz w:val="15"/>
              </w:rPr>
            </w:pPr>
            <w:r>
              <w:rPr>
                <w:color w:val="231F20"/>
                <w:sz w:val="15"/>
              </w:rPr>
              <w:t>Usher</w:t>
            </w:r>
            <w:r>
              <w:rPr>
                <w:color w:val="231F20"/>
                <w:spacing w:val="-12"/>
                <w:sz w:val="15"/>
              </w:rPr>
              <w:t> </w:t>
            </w:r>
            <w:r>
              <w:rPr>
                <w:color w:val="231F20"/>
                <w:sz w:val="15"/>
              </w:rPr>
              <w:t>syndrome type 3 (USH3)</w:t>
            </w:r>
          </w:p>
        </w:tc>
        <w:tc>
          <w:tcPr>
            <w:tcW w:w="1985" w:type="dxa"/>
            <w:tcBorders>
              <w:bottom w:val="single" w:sz="8" w:space="0" w:color="231F20"/>
            </w:tcBorders>
            <w:shd w:val="clear" w:color="auto" w:fill="E8F5F1"/>
          </w:tcPr>
          <w:p>
            <w:pPr>
              <w:pStyle w:val="TableParagraph"/>
              <w:spacing w:before="69"/>
              <w:ind w:left="150"/>
              <w:rPr>
                <w:i/>
                <w:sz w:val="15"/>
              </w:rPr>
            </w:pPr>
            <w:r>
              <w:rPr>
                <w:i/>
                <w:color w:val="231F20"/>
                <w:spacing w:val="-4"/>
                <w:w w:val="105"/>
                <w:sz w:val="15"/>
              </w:rPr>
              <w:t>USH3</w:t>
            </w:r>
          </w:p>
        </w:tc>
        <w:tc>
          <w:tcPr>
            <w:tcW w:w="6188" w:type="dxa"/>
            <w:vMerge/>
            <w:tcBorders>
              <w:top w:val="nil"/>
              <w:bottom w:val="single" w:sz="8" w:space="0" w:color="231F20"/>
            </w:tcBorders>
            <w:shd w:val="clear" w:color="auto" w:fill="E8F5F1"/>
          </w:tcPr>
          <w:p>
            <w:pPr>
              <w:rPr>
                <w:sz w:val="2"/>
                <w:szCs w:val="2"/>
              </w:rPr>
            </w:pPr>
          </w:p>
        </w:tc>
      </w:tr>
    </w:tbl>
    <w:p>
      <w:pPr>
        <w:spacing w:before="78"/>
        <w:ind w:left="539" w:right="0" w:firstLine="0"/>
        <w:jc w:val="left"/>
        <w:rPr>
          <w:i/>
          <w:sz w:val="13"/>
        </w:rPr>
      </w:pPr>
      <w:r>
        <w:rPr>
          <w:i/>
          <w:color w:val="231F20"/>
          <w:sz w:val="13"/>
        </w:rPr>
        <w:t>Adapted</w:t>
      </w:r>
      <w:r>
        <w:rPr>
          <w:i/>
          <w:color w:val="231F20"/>
          <w:spacing w:val="-7"/>
          <w:sz w:val="13"/>
        </w:rPr>
        <w:t> </w:t>
      </w:r>
      <w:r>
        <w:rPr>
          <w:i/>
          <w:color w:val="231F20"/>
          <w:sz w:val="13"/>
        </w:rPr>
        <w:t>from</w:t>
      </w:r>
      <w:r>
        <w:rPr>
          <w:i/>
          <w:color w:val="231F20"/>
          <w:spacing w:val="-6"/>
          <w:sz w:val="13"/>
        </w:rPr>
        <w:t> </w:t>
      </w:r>
      <w:r>
        <w:rPr>
          <w:i/>
          <w:color w:val="231F20"/>
          <w:sz w:val="13"/>
        </w:rPr>
        <w:t>Smith</w:t>
      </w:r>
      <w:r>
        <w:rPr>
          <w:i/>
          <w:color w:val="231F20"/>
          <w:spacing w:val="-7"/>
          <w:sz w:val="13"/>
        </w:rPr>
        <w:t> </w:t>
      </w:r>
      <w:r>
        <w:rPr>
          <w:i/>
          <w:color w:val="231F20"/>
          <w:sz w:val="13"/>
        </w:rPr>
        <w:t>RJH,</w:t>
      </w:r>
      <w:r>
        <w:rPr>
          <w:i/>
          <w:color w:val="231F20"/>
          <w:spacing w:val="-6"/>
          <w:sz w:val="13"/>
        </w:rPr>
        <w:t> </w:t>
      </w:r>
      <w:r>
        <w:rPr>
          <w:i/>
          <w:color w:val="231F20"/>
          <w:sz w:val="13"/>
        </w:rPr>
        <w:t>Bale</w:t>
      </w:r>
      <w:r>
        <w:rPr>
          <w:i/>
          <w:color w:val="231F20"/>
          <w:spacing w:val="-7"/>
          <w:sz w:val="13"/>
        </w:rPr>
        <w:t> </w:t>
      </w:r>
      <w:r>
        <w:rPr>
          <w:i/>
          <w:color w:val="231F20"/>
          <w:sz w:val="13"/>
        </w:rPr>
        <w:t>JF</w:t>
      </w:r>
      <w:r>
        <w:rPr>
          <w:i/>
          <w:color w:val="231F20"/>
          <w:spacing w:val="-6"/>
          <w:sz w:val="13"/>
        </w:rPr>
        <w:t> </w:t>
      </w:r>
      <w:r>
        <w:rPr>
          <w:i/>
          <w:color w:val="231F20"/>
          <w:sz w:val="13"/>
        </w:rPr>
        <w:t>Jr,</w:t>
      </w:r>
      <w:r>
        <w:rPr>
          <w:i/>
          <w:color w:val="231F20"/>
          <w:spacing w:val="-7"/>
          <w:sz w:val="13"/>
        </w:rPr>
        <w:t> </w:t>
      </w:r>
      <w:r>
        <w:rPr>
          <w:i/>
          <w:color w:val="231F20"/>
          <w:sz w:val="13"/>
        </w:rPr>
        <w:t>White</w:t>
      </w:r>
      <w:r>
        <w:rPr>
          <w:i/>
          <w:color w:val="231F20"/>
          <w:spacing w:val="-6"/>
          <w:sz w:val="13"/>
        </w:rPr>
        <w:t> </w:t>
      </w:r>
      <w:r>
        <w:rPr>
          <w:i/>
          <w:color w:val="231F20"/>
          <w:sz w:val="13"/>
        </w:rPr>
        <w:t>KR:</w:t>
      </w:r>
      <w:r>
        <w:rPr>
          <w:i/>
          <w:color w:val="231F20"/>
          <w:spacing w:val="-6"/>
          <w:sz w:val="13"/>
        </w:rPr>
        <w:t> </w:t>
      </w:r>
      <w:r>
        <w:rPr>
          <w:i/>
          <w:color w:val="231F20"/>
          <w:sz w:val="13"/>
        </w:rPr>
        <w:t>Sensorineural</w:t>
      </w:r>
      <w:r>
        <w:rPr>
          <w:i/>
          <w:color w:val="231F20"/>
          <w:spacing w:val="-7"/>
          <w:sz w:val="13"/>
        </w:rPr>
        <w:t> </w:t>
      </w:r>
      <w:r>
        <w:rPr>
          <w:i/>
          <w:color w:val="231F20"/>
          <w:sz w:val="13"/>
        </w:rPr>
        <w:t>hearing</w:t>
      </w:r>
      <w:r>
        <w:rPr>
          <w:i/>
          <w:color w:val="231F20"/>
          <w:spacing w:val="-6"/>
          <w:sz w:val="13"/>
        </w:rPr>
        <w:t> </w:t>
      </w:r>
      <w:r>
        <w:rPr>
          <w:i/>
          <w:color w:val="231F20"/>
          <w:sz w:val="13"/>
        </w:rPr>
        <w:t>loss</w:t>
      </w:r>
      <w:r>
        <w:rPr>
          <w:i/>
          <w:color w:val="231F20"/>
          <w:spacing w:val="-7"/>
          <w:sz w:val="13"/>
        </w:rPr>
        <w:t> </w:t>
      </w:r>
      <w:r>
        <w:rPr>
          <w:i/>
          <w:color w:val="231F20"/>
          <w:sz w:val="13"/>
        </w:rPr>
        <w:t>in</w:t>
      </w:r>
      <w:r>
        <w:rPr>
          <w:i/>
          <w:color w:val="231F20"/>
          <w:spacing w:val="-6"/>
          <w:sz w:val="13"/>
        </w:rPr>
        <w:t> </w:t>
      </w:r>
      <w:r>
        <w:rPr>
          <w:i/>
          <w:color w:val="231F20"/>
          <w:sz w:val="13"/>
        </w:rPr>
        <w:t>children,</w:t>
      </w:r>
      <w:r>
        <w:rPr>
          <w:i/>
          <w:color w:val="231F20"/>
          <w:spacing w:val="-7"/>
          <w:sz w:val="13"/>
        </w:rPr>
        <w:t> </w:t>
      </w:r>
      <w:r>
        <w:rPr>
          <w:color w:val="231F20"/>
          <w:sz w:val="13"/>
        </w:rPr>
        <w:t>Lancet</w:t>
      </w:r>
      <w:r>
        <w:rPr>
          <w:color w:val="231F20"/>
          <w:spacing w:val="-6"/>
          <w:sz w:val="13"/>
        </w:rPr>
        <w:t> </w:t>
      </w:r>
      <w:r>
        <w:rPr>
          <w:i/>
          <w:color w:val="231F20"/>
          <w:sz w:val="13"/>
        </w:rPr>
        <w:t>365:879–890,</w:t>
      </w:r>
      <w:r>
        <w:rPr>
          <w:i/>
          <w:color w:val="231F20"/>
          <w:spacing w:val="-6"/>
          <w:sz w:val="13"/>
        </w:rPr>
        <w:t> </w:t>
      </w:r>
      <w:r>
        <w:rPr>
          <w:i/>
          <w:color w:val="231F20"/>
          <w:spacing w:val="-2"/>
          <w:sz w:val="13"/>
        </w:rPr>
        <w:t>2005.</w:t>
      </w:r>
    </w:p>
    <w:p>
      <w:pPr>
        <w:spacing w:after="0"/>
        <w:jc w:val="left"/>
        <w:rPr>
          <w:i/>
          <w:sz w:val="13"/>
        </w:rPr>
        <w:sectPr>
          <w:pgSz w:w="11900" w:h="16840"/>
          <w:pgMar w:header="0" w:footer="0" w:top="118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325" name="Group 1325"/>
                <wp:cNvGraphicFramePr>
                  <a:graphicFrameLocks/>
                </wp:cNvGraphicFramePr>
                <a:graphic>
                  <a:graphicData uri="http://schemas.microsoft.com/office/word/2010/wordprocessingGroup">
                    <wpg:wgp>
                      <wpg:cNvPr id="1325" name="Group 1325"/>
                      <wpg:cNvGrpSpPr/>
                      <wpg:grpSpPr>
                        <a:xfrm>
                          <a:off x="0" y="0"/>
                          <a:ext cx="6185535" cy="170815"/>
                          <a:chExt cx="6185535" cy="170815"/>
                        </a:xfrm>
                      </wpg:grpSpPr>
                      <wps:wsp>
                        <wps:cNvPr id="1326" name="Graphic 1326"/>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327" name="Graphic 1327"/>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328" name="Textbox 1328"/>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3076</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42"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043" filled="false" stroked="false">
                  <v:textbox inset="0,0,0,0">
                    <w:txbxContent>
                      <w:p>
                        <w:pPr>
                          <w:spacing w:before="6"/>
                          <w:ind w:left="-1" w:right="0" w:firstLine="0"/>
                          <w:jc w:val="left"/>
                          <w:rPr>
                            <w:sz w:val="18"/>
                          </w:rPr>
                        </w:pPr>
                        <w:r>
                          <w:rPr>
                            <w:b/>
                            <w:color w:val="231F20"/>
                            <w:w w:val="105"/>
                            <w:sz w:val="18"/>
                          </w:rPr>
                          <w:t>3076</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v:textbox>
                  <w10:wrap type="none"/>
                </v:shape>
              </v:group>
            </w:pict>
          </mc:Fallback>
        </mc:AlternateContent>
      </w:r>
      <w:r>
        <w:rPr>
          <w:sz w:val="20"/>
        </w:rPr>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after="1"/>
        <w:rPr>
          <w:i/>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73"/>
        <w:gridCol w:w="1455"/>
        <w:gridCol w:w="1774"/>
        <w:gridCol w:w="1653"/>
        <w:gridCol w:w="1953"/>
        <w:gridCol w:w="1734"/>
      </w:tblGrid>
      <w:tr>
        <w:trPr>
          <w:trHeight w:val="373" w:hRule="atLeast"/>
        </w:trPr>
        <w:tc>
          <w:tcPr>
            <w:tcW w:w="1173" w:type="dxa"/>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5</w:t>
            </w:r>
          </w:p>
        </w:tc>
        <w:tc>
          <w:tcPr>
            <w:tcW w:w="1455" w:type="dxa"/>
            <w:shd w:val="clear" w:color="auto" w:fill="231F20"/>
          </w:tcPr>
          <w:p>
            <w:pPr>
              <w:pStyle w:val="TableParagraph"/>
              <w:spacing w:before="89"/>
              <w:ind w:left="58"/>
              <w:rPr>
                <w:sz w:val="16"/>
              </w:rPr>
            </w:pPr>
            <w:r>
              <w:rPr>
                <w:color w:val="FFFFFF"/>
                <w:w w:val="110"/>
                <w:sz w:val="16"/>
              </w:rPr>
              <w:t>Hearing</w:t>
            </w:r>
            <w:r>
              <w:rPr>
                <w:color w:val="FFFFFF"/>
                <w:spacing w:val="-9"/>
                <w:w w:val="110"/>
                <w:sz w:val="16"/>
              </w:rPr>
              <w:t> </w:t>
            </w:r>
            <w:r>
              <w:rPr>
                <w:color w:val="FFFFFF"/>
                <w:spacing w:val="-2"/>
                <w:w w:val="110"/>
                <w:sz w:val="16"/>
              </w:rPr>
              <w:t>Handicap</w:t>
            </w:r>
          </w:p>
        </w:tc>
        <w:tc>
          <w:tcPr>
            <w:tcW w:w="3427" w:type="dxa"/>
            <w:gridSpan w:val="2"/>
            <w:shd w:val="clear" w:color="auto" w:fill="231F20"/>
          </w:tcPr>
          <w:p>
            <w:pPr>
              <w:pStyle w:val="TableParagraph"/>
              <w:spacing w:before="89"/>
              <w:ind w:left="28"/>
              <w:rPr>
                <w:sz w:val="16"/>
              </w:rPr>
            </w:pPr>
            <w:r>
              <w:rPr>
                <w:color w:val="FFFFFF"/>
                <w:w w:val="105"/>
                <w:sz w:val="16"/>
              </w:rPr>
              <w:t>as</w:t>
            </w:r>
            <w:r>
              <w:rPr>
                <w:color w:val="FFFFFF"/>
                <w:spacing w:val="12"/>
                <w:w w:val="105"/>
                <w:sz w:val="16"/>
              </w:rPr>
              <w:t> </w:t>
            </w:r>
            <w:r>
              <w:rPr>
                <w:color w:val="FFFFFF"/>
                <w:w w:val="105"/>
                <w:sz w:val="16"/>
              </w:rPr>
              <w:t>a</w:t>
            </w:r>
            <w:r>
              <w:rPr>
                <w:color w:val="FFFFFF"/>
                <w:spacing w:val="12"/>
                <w:w w:val="105"/>
                <w:sz w:val="16"/>
              </w:rPr>
              <w:t> </w:t>
            </w:r>
            <w:r>
              <w:rPr>
                <w:color w:val="FFFFFF"/>
                <w:w w:val="105"/>
                <w:sz w:val="16"/>
              </w:rPr>
              <w:t>Function</w:t>
            </w:r>
            <w:r>
              <w:rPr>
                <w:color w:val="FFFFFF"/>
                <w:spacing w:val="12"/>
                <w:w w:val="105"/>
                <w:sz w:val="16"/>
              </w:rPr>
              <w:t> </w:t>
            </w:r>
            <w:r>
              <w:rPr>
                <w:color w:val="FFFFFF"/>
                <w:w w:val="105"/>
                <w:sz w:val="16"/>
              </w:rPr>
              <w:t>of</w:t>
            </w:r>
            <w:r>
              <w:rPr>
                <w:color w:val="FFFFFF"/>
                <w:spacing w:val="12"/>
                <w:w w:val="105"/>
                <w:sz w:val="16"/>
              </w:rPr>
              <w:t> </w:t>
            </w:r>
            <w:r>
              <w:rPr>
                <w:color w:val="FFFFFF"/>
                <w:w w:val="105"/>
                <w:sz w:val="16"/>
              </w:rPr>
              <w:t>Average</w:t>
            </w:r>
            <w:r>
              <w:rPr>
                <w:color w:val="FFFFFF"/>
                <w:spacing w:val="12"/>
                <w:w w:val="105"/>
                <w:sz w:val="16"/>
              </w:rPr>
              <w:t> </w:t>
            </w:r>
            <w:r>
              <w:rPr>
                <w:color w:val="FFFFFF"/>
                <w:w w:val="105"/>
                <w:sz w:val="16"/>
              </w:rPr>
              <w:t>Hearing</w:t>
            </w:r>
            <w:r>
              <w:rPr>
                <w:color w:val="FFFFFF"/>
                <w:spacing w:val="12"/>
                <w:w w:val="105"/>
                <w:sz w:val="16"/>
              </w:rPr>
              <w:t> </w:t>
            </w:r>
            <w:r>
              <w:rPr>
                <w:color w:val="FFFFFF"/>
                <w:spacing w:val="-2"/>
                <w:w w:val="105"/>
                <w:sz w:val="16"/>
              </w:rPr>
              <w:t>Threshold</w:t>
            </w:r>
          </w:p>
        </w:tc>
        <w:tc>
          <w:tcPr>
            <w:tcW w:w="3687" w:type="dxa"/>
            <w:gridSpan w:val="2"/>
            <w:shd w:val="clear" w:color="auto" w:fill="231F20"/>
          </w:tcPr>
          <w:p>
            <w:pPr>
              <w:pStyle w:val="TableParagraph"/>
              <w:spacing w:before="89"/>
              <w:ind w:left="27"/>
              <w:rPr>
                <w:sz w:val="16"/>
              </w:rPr>
            </w:pPr>
            <w:r>
              <w:rPr>
                <w:color w:val="FFFFFF"/>
                <w:w w:val="105"/>
                <w:sz w:val="16"/>
              </w:rPr>
              <w:t>Level</w:t>
            </w:r>
            <w:r>
              <w:rPr>
                <w:color w:val="FFFFFF"/>
                <w:spacing w:val="-2"/>
                <w:w w:val="105"/>
                <w:sz w:val="16"/>
              </w:rPr>
              <w:t> </w:t>
            </w:r>
            <w:r>
              <w:rPr>
                <w:color w:val="FFFFFF"/>
                <w:w w:val="105"/>
                <w:sz w:val="16"/>
              </w:rPr>
              <w:t>of</w:t>
            </w:r>
            <w:r>
              <w:rPr>
                <w:color w:val="FFFFFF"/>
                <w:spacing w:val="-2"/>
                <w:w w:val="105"/>
                <w:sz w:val="16"/>
              </w:rPr>
              <w:t> </w:t>
            </w:r>
            <w:r>
              <w:rPr>
                <w:color w:val="FFFFFF"/>
                <w:w w:val="105"/>
                <w:sz w:val="16"/>
              </w:rPr>
              <w:t>the</w:t>
            </w:r>
            <w:r>
              <w:rPr>
                <w:color w:val="FFFFFF"/>
                <w:spacing w:val="-2"/>
                <w:w w:val="105"/>
                <w:sz w:val="16"/>
              </w:rPr>
              <w:t> </w:t>
            </w:r>
            <w:r>
              <w:rPr>
                <w:color w:val="FFFFFF"/>
                <w:w w:val="105"/>
                <w:sz w:val="16"/>
              </w:rPr>
              <w:t>Better</w:t>
            </w:r>
            <w:r>
              <w:rPr>
                <w:color w:val="FFFFFF"/>
                <w:spacing w:val="-1"/>
                <w:w w:val="105"/>
                <w:sz w:val="16"/>
              </w:rPr>
              <w:t> </w:t>
            </w:r>
            <w:r>
              <w:rPr>
                <w:color w:val="FFFFFF"/>
                <w:spacing w:val="-5"/>
                <w:w w:val="105"/>
                <w:sz w:val="16"/>
              </w:rPr>
              <w:t>Ear</w:t>
            </w:r>
          </w:p>
        </w:tc>
      </w:tr>
      <w:tr>
        <w:trPr>
          <w:trHeight w:val="929" w:hRule="atLeast"/>
        </w:trPr>
        <w:tc>
          <w:tcPr>
            <w:tcW w:w="1173" w:type="dxa"/>
            <w:tcBorders>
              <w:bottom w:val="single" w:sz="4" w:space="0" w:color="231F20"/>
            </w:tcBorders>
            <w:shd w:val="clear" w:color="auto" w:fill="E8F5F1"/>
          </w:tcPr>
          <w:p>
            <w:pPr>
              <w:pStyle w:val="TableParagraph"/>
              <w:spacing w:line="230" w:lineRule="auto" w:before="53"/>
              <w:ind w:left="74" w:right="56"/>
              <w:rPr>
                <w:b/>
                <w:sz w:val="15"/>
              </w:rPr>
            </w:pPr>
            <w:r>
              <w:rPr>
                <w:b/>
                <w:color w:val="231F20"/>
                <w:spacing w:val="-2"/>
                <w:w w:val="105"/>
                <w:sz w:val="15"/>
              </w:rPr>
              <w:t>AVERAGE THRESHOLD </w:t>
            </w:r>
            <w:r>
              <w:rPr>
                <w:b/>
                <w:color w:val="231F20"/>
                <w:w w:val="105"/>
                <w:sz w:val="15"/>
              </w:rPr>
              <w:t>LEVEL</w:t>
            </w:r>
            <w:r>
              <w:rPr>
                <w:b/>
                <w:color w:val="231F20"/>
                <w:spacing w:val="-12"/>
                <w:w w:val="105"/>
                <w:sz w:val="15"/>
              </w:rPr>
              <w:t> </w:t>
            </w:r>
            <w:r>
              <w:rPr>
                <w:b/>
                <w:color w:val="231F20"/>
                <w:w w:val="105"/>
                <w:sz w:val="15"/>
              </w:rPr>
              <w:t>(dB)</w:t>
            </w:r>
            <w:r>
              <w:rPr>
                <w:b/>
                <w:color w:val="231F20"/>
                <w:spacing w:val="-12"/>
                <w:w w:val="105"/>
                <w:sz w:val="15"/>
              </w:rPr>
              <w:t> </w:t>
            </w:r>
            <w:r>
              <w:rPr>
                <w:b/>
                <w:color w:val="231F20"/>
                <w:w w:val="105"/>
                <w:sz w:val="15"/>
              </w:rPr>
              <w:t>AT 500-2,000 Hz </w:t>
            </w:r>
            <w:r>
              <w:rPr>
                <w:b/>
                <w:color w:val="231F20"/>
                <w:spacing w:val="-2"/>
                <w:w w:val="105"/>
                <w:sz w:val="15"/>
              </w:rPr>
              <w:t>(ANSI)</w:t>
            </w:r>
          </w:p>
        </w:tc>
        <w:tc>
          <w:tcPr>
            <w:tcW w:w="1455"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22"/>
              <w:rPr>
                <w:i/>
                <w:sz w:val="15"/>
              </w:rPr>
            </w:pPr>
          </w:p>
          <w:p>
            <w:pPr>
              <w:pStyle w:val="TableParagraph"/>
              <w:ind w:left="211"/>
              <w:rPr>
                <w:b/>
                <w:sz w:val="15"/>
              </w:rPr>
            </w:pPr>
            <w:r>
              <w:rPr>
                <w:b/>
                <w:color w:val="231F20"/>
                <w:spacing w:val="-2"/>
                <w:w w:val="110"/>
                <w:sz w:val="15"/>
              </w:rPr>
              <w:t>DESCRIPTION</w:t>
            </w:r>
          </w:p>
        </w:tc>
        <w:tc>
          <w:tcPr>
            <w:tcW w:w="1774"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22"/>
              <w:rPr>
                <w:i/>
                <w:sz w:val="15"/>
              </w:rPr>
            </w:pPr>
          </w:p>
          <w:p>
            <w:pPr>
              <w:pStyle w:val="TableParagraph"/>
              <w:ind w:left="137"/>
              <w:rPr>
                <w:b/>
                <w:sz w:val="15"/>
              </w:rPr>
            </w:pPr>
            <w:r>
              <w:rPr>
                <w:b/>
                <w:color w:val="231F20"/>
                <w:w w:val="115"/>
                <w:sz w:val="15"/>
              </w:rPr>
              <w:t>COMMON</w:t>
            </w:r>
            <w:r>
              <w:rPr>
                <w:b/>
                <w:color w:val="231F20"/>
                <w:spacing w:val="31"/>
                <w:w w:val="115"/>
                <w:sz w:val="15"/>
              </w:rPr>
              <w:t> </w:t>
            </w:r>
            <w:r>
              <w:rPr>
                <w:b/>
                <w:color w:val="231F20"/>
                <w:spacing w:val="-2"/>
                <w:w w:val="115"/>
                <w:sz w:val="15"/>
              </w:rPr>
              <w:t>CAUSES</w:t>
            </w:r>
          </w:p>
        </w:tc>
        <w:tc>
          <w:tcPr>
            <w:tcW w:w="1653" w:type="dxa"/>
            <w:tcBorders>
              <w:bottom w:val="single" w:sz="4" w:space="0" w:color="231F20"/>
            </w:tcBorders>
            <w:shd w:val="clear" w:color="auto" w:fill="E8F5F1"/>
          </w:tcPr>
          <w:p>
            <w:pPr>
              <w:pStyle w:val="TableParagraph"/>
              <w:rPr>
                <w:i/>
                <w:sz w:val="15"/>
              </w:rPr>
            </w:pPr>
          </w:p>
          <w:p>
            <w:pPr>
              <w:pStyle w:val="TableParagraph"/>
              <w:spacing w:before="40"/>
              <w:rPr>
                <w:i/>
                <w:sz w:val="15"/>
              </w:rPr>
            </w:pPr>
          </w:p>
          <w:p>
            <w:pPr>
              <w:pStyle w:val="TableParagraph"/>
              <w:spacing w:line="230" w:lineRule="auto"/>
              <w:ind w:left="198" w:right="158" w:hanging="1"/>
              <w:jc w:val="center"/>
              <w:rPr>
                <w:b/>
                <w:sz w:val="15"/>
              </w:rPr>
            </w:pPr>
            <w:r>
              <w:rPr>
                <w:b/>
                <w:color w:val="231F20"/>
                <w:w w:val="110"/>
                <w:sz w:val="15"/>
              </w:rPr>
              <w:t>WHAT CAN BE </w:t>
            </w:r>
            <w:r>
              <w:rPr>
                <w:b/>
                <w:color w:val="231F20"/>
                <w:spacing w:val="-2"/>
                <w:w w:val="110"/>
                <w:sz w:val="15"/>
              </w:rPr>
              <w:t>HEARD</w:t>
            </w:r>
            <w:r>
              <w:rPr>
                <w:b/>
                <w:color w:val="231F20"/>
                <w:spacing w:val="-11"/>
                <w:w w:val="110"/>
                <w:sz w:val="15"/>
              </w:rPr>
              <w:t> </w:t>
            </w:r>
            <w:r>
              <w:rPr>
                <w:b/>
                <w:color w:val="231F20"/>
                <w:spacing w:val="-2"/>
                <w:w w:val="110"/>
                <w:sz w:val="15"/>
              </w:rPr>
              <w:t>WITHOUT AMPLIFICATION</w:t>
            </w:r>
          </w:p>
        </w:tc>
        <w:tc>
          <w:tcPr>
            <w:tcW w:w="1953" w:type="dxa"/>
            <w:tcBorders>
              <w:bottom w:val="single" w:sz="4" w:space="0" w:color="231F20"/>
            </w:tcBorders>
            <w:shd w:val="clear" w:color="auto" w:fill="E8F5F1"/>
          </w:tcPr>
          <w:p>
            <w:pPr>
              <w:pStyle w:val="TableParagraph"/>
              <w:spacing w:before="46"/>
              <w:rPr>
                <w:i/>
                <w:sz w:val="15"/>
              </w:rPr>
            </w:pPr>
          </w:p>
          <w:p>
            <w:pPr>
              <w:pStyle w:val="TableParagraph"/>
              <w:spacing w:line="230" w:lineRule="auto"/>
              <w:ind w:left="266" w:right="226" w:hanging="1"/>
              <w:jc w:val="center"/>
              <w:rPr>
                <w:b/>
                <w:sz w:val="15"/>
              </w:rPr>
            </w:pPr>
            <w:r>
              <w:rPr>
                <w:b/>
                <w:color w:val="231F20"/>
                <w:w w:val="105"/>
                <w:sz w:val="15"/>
              </w:rPr>
              <w:t>DEGREE OF HANDICAP (IF NOT TREATED</w:t>
            </w:r>
            <w:r>
              <w:rPr>
                <w:b/>
                <w:color w:val="231F20"/>
                <w:spacing w:val="-1"/>
                <w:w w:val="105"/>
                <w:sz w:val="15"/>
              </w:rPr>
              <w:t> </w:t>
            </w:r>
            <w:r>
              <w:rPr>
                <w:b/>
                <w:color w:val="231F20"/>
                <w:w w:val="105"/>
                <w:sz w:val="15"/>
              </w:rPr>
              <w:t>IN</w:t>
            </w:r>
            <w:r>
              <w:rPr>
                <w:b/>
                <w:color w:val="231F20"/>
                <w:spacing w:val="-1"/>
                <w:w w:val="105"/>
                <w:sz w:val="15"/>
              </w:rPr>
              <w:t> </w:t>
            </w:r>
            <w:r>
              <w:rPr>
                <w:b/>
                <w:color w:val="231F20"/>
                <w:w w:val="105"/>
                <w:sz w:val="15"/>
              </w:rPr>
              <w:t>1ST</w:t>
            </w:r>
            <w:r>
              <w:rPr>
                <w:b/>
                <w:color w:val="231F20"/>
                <w:spacing w:val="-1"/>
                <w:w w:val="105"/>
                <w:sz w:val="15"/>
              </w:rPr>
              <w:t> </w:t>
            </w:r>
            <w:r>
              <w:rPr>
                <w:b/>
                <w:color w:val="231F20"/>
                <w:w w:val="105"/>
                <w:sz w:val="15"/>
              </w:rPr>
              <w:t>YR OF LIFE)</w:t>
            </w:r>
          </w:p>
        </w:tc>
        <w:tc>
          <w:tcPr>
            <w:tcW w:w="1734" w:type="dxa"/>
            <w:tcBorders>
              <w:bottom w:val="single" w:sz="4" w:space="0" w:color="231F20"/>
            </w:tcBorders>
            <w:shd w:val="clear" w:color="auto" w:fill="E8F5F1"/>
          </w:tcPr>
          <w:p>
            <w:pPr>
              <w:pStyle w:val="TableParagraph"/>
              <w:rPr>
                <w:i/>
                <w:sz w:val="15"/>
              </w:rPr>
            </w:pPr>
          </w:p>
          <w:p>
            <w:pPr>
              <w:pStyle w:val="TableParagraph"/>
              <w:rPr>
                <w:i/>
                <w:sz w:val="15"/>
              </w:rPr>
            </w:pPr>
          </w:p>
          <w:p>
            <w:pPr>
              <w:pStyle w:val="TableParagraph"/>
              <w:rPr>
                <w:i/>
                <w:sz w:val="15"/>
              </w:rPr>
            </w:pPr>
          </w:p>
          <w:p>
            <w:pPr>
              <w:pStyle w:val="TableParagraph"/>
              <w:spacing w:before="22"/>
              <w:rPr>
                <w:i/>
                <w:sz w:val="15"/>
              </w:rPr>
            </w:pPr>
          </w:p>
          <w:p>
            <w:pPr>
              <w:pStyle w:val="TableParagraph"/>
              <w:ind w:left="218"/>
              <w:rPr>
                <w:b/>
                <w:sz w:val="15"/>
              </w:rPr>
            </w:pPr>
            <w:r>
              <w:rPr>
                <w:b/>
                <w:color w:val="231F20"/>
                <w:w w:val="110"/>
                <w:sz w:val="15"/>
              </w:rPr>
              <w:t>PROBABLE</w:t>
            </w:r>
            <w:r>
              <w:rPr>
                <w:b/>
                <w:color w:val="231F20"/>
                <w:spacing w:val="-5"/>
                <w:w w:val="110"/>
                <w:sz w:val="15"/>
              </w:rPr>
              <w:t> </w:t>
            </w:r>
            <w:r>
              <w:rPr>
                <w:b/>
                <w:color w:val="231F20"/>
                <w:spacing w:val="-2"/>
                <w:w w:val="110"/>
                <w:sz w:val="15"/>
              </w:rPr>
              <w:t>NEEDS</w:t>
            </w:r>
          </w:p>
        </w:tc>
      </w:tr>
      <w:tr>
        <w:trPr>
          <w:trHeight w:val="257" w:hRule="atLeast"/>
        </w:trPr>
        <w:tc>
          <w:tcPr>
            <w:tcW w:w="1173"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4"/>
                <w:sz w:val="15"/>
              </w:rPr>
              <w:t>0-</w:t>
            </w:r>
            <w:r>
              <w:rPr>
                <w:color w:val="231F20"/>
                <w:spacing w:val="-5"/>
                <w:sz w:val="15"/>
              </w:rPr>
              <w:t>15</w:t>
            </w:r>
          </w:p>
        </w:tc>
        <w:tc>
          <w:tcPr>
            <w:tcW w:w="1455" w:type="dxa"/>
            <w:tcBorders>
              <w:top w:val="single" w:sz="4" w:space="0" w:color="231F20"/>
              <w:bottom w:val="single" w:sz="4" w:space="0" w:color="FFFFFF"/>
            </w:tcBorders>
            <w:shd w:val="clear" w:color="auto" w:fill="E8F5F1"/>
          </w:tcPr>
          <w:p>
            <w:pPr>
              <w:pStyle w:val="TableParagraph"/>
              <w:spacing w:before="47"/>
              <w:ind w:left="210"/>
              <w:rPr>
                <w:sz w:val="15"/>
              </w:rPr>
            </w:pPr>
            <w:r>
              <w:rPr>
                <w:color w:val="231F20"/>
                <w:sz w:val="15"/>
              </w:rPr>
              <w:t>Normal</w:t>
            </w:r>
            <w:r>
              <w:rPr>
                <w:color w:val="231F20"/>
                <w:spacing w:val="10"/>
                <w:sz w:val="15"/>
              </w:rPr>
              <w:t> </w:t>
            </w:r>
            <w:r>
              <w:rPr>
                <w:color w:val="231F20"/>
                <w:spacing w:val="-2"/>
                <w:sz w:val="15"/>
              </w:rPr>
              <w:t>range</w:t>
            </w:r>
          </w:p>
        </w:tc>
        <w:tc>
          <w:tcPr>
            <w:tcW w:w="1774" w:type="dxa"/>
            <w:tcBorders>
              <w:top w:val="single" w:sz="4" w:space="0" w:color="231F20"/>
              <w:bottom w:val="single" w:sz="4" w:space="0" w:color="FFFFFF"/>
            </w:tcBorders>
            <w:shd w:val="clear" w:color="auto" w:fill="E8F5F1"/>
          </w:tcPr>
          <w:p>
            <w:pPr>
              <w:pStyle w:val="TableParagraph"/>
              <w:spacing w:before="47"/>
              <w:ind w:left="31"/>
              <w:rPr>
                <w:sz w:val="15"/>
              </w:rPr>
            </w:pPr>
            <w:r>
              <w:rPr>
                <w:color w:val="231F20"/>
                <w:sz w:val="15"/>
              </w:rPr>
              <w:t>Conductive</w:t>
            </w:r>
            <w:r>
              <w:rPr>
                <w:color w:val="231F20"/>
                <w:spacing w:val="4"/>
                <w:sz w:val="15"/>
              </w:rPr>
              <w:t> </w:t>
            </w:r>
            <w:r>
              <w:rPr>
                <w:color w:val="231F20"/>
                <w:sz w:val="15"/>
              </w:rPr>
              <w:t>hearing</w:t>
            </w:r>
            <w:r>
              <w:rPr>
                <w:color w:val="231F20"/>
                <w:spacing w:val="5"/>
                <w:sz w:val="15"/>
              </w:rPr>
              <w:t> </w:t>
            </w:r>
            <w:r>
              <w:rPr>
                <w:color w:val="231F20"/>
                <w:spacing w:val="-4"/>
                <w:sz w:val="15"/>
              </w:rPr>
              <w:t>loss</w:t>
            </w:r>
          </w:p>
        </w:tc>
        <w:tc>
          <w:tcPr>
            <w:tcW w:w="1653" w:type="dxa"/>
            <w:tcBorders>
              <w:top w:val="single" w:sz="4" w:space="0" w:color="231F20"/>
              <w:bottom w:val="single" w:sz="4" w:space="0" w:color="FFFFFF"/>
            </w:tcBorders>
            <w:shd w:val="clear" w:color="auto" w:fill="E8F5F1"/>
          </w:tcPr>
          <w:p>
            <w:pPr>
              <w:pStyle w:val="TableParagraph"/>
              <w:spacing w:before="47"/>
              <w:ind w:left="134"/>
              <w:rPr>
                <w:sz w:val="15"/>
              </w:rPr>
            </w:pPr>
            <w:r>
              <w:rPr>
                <w:color w:val="231F20"/>
                <w:sz w:val="15"/>
              </w:rPr>
              <w:t>All</w:t>
            </w:r>
            <w:r>
              <w:rPr>
                <w:color w:val="231F20"/>
                <w:spacing w:val="3"/>
                <w:sz w:val="15"/>
              </w:rPr>
              <w:t> </w:t>
            </w:r>
            <w:r>
              <w:rPr>
                <w:color w:val="231F20"/>
                <w:sz w:val="15"/>
              </w:rPr>
              <w:t>speech</w:t>
            </w:r>
            <w:r>
              <w:rPr>
                <w:color w:val="231F20"/>
                <w:spacing w:val="4"/>
                <w:sz w:val="15"/>
              </w:rPr>
              <w:t> </w:t>
            </w:r>
            <w:r>
              <w:rPr>
                <w:color w:val="231F20"/>
                <w:spacing w:val="-2"/>
                <w:sz w:val="15"/>
              </w:rPr>
              <w:t>sounds</w:t>
            </w:r>
          </w:p>
        </w:tc>
        <w:tc>
          <w:tcPr>
            <w:tcW w:w="1953" w:type="dxa"/>
            <w:tcBorders>
              <w:top w:val="single" w:sz="4" w:space="0" w:color="231F20"/>
              <w:bottom w:val="single" w:sz="4" w:space="0" w:color="FFFFFF"/>
            </w:tcBorders>
            <w:shd w:val="clear" w:color="auto" w:fill="E8F5F1"/>
          </w:tcPr>
          <w:p>
            <w:pPr>
              <w:pStyle w:val="TableParagraph"/>
              <w:spacing w:before="47"/>
              <w:ind w:left="172"/>
              <w:rPr>
                <w:sz w:val="15"/>
              </w:rPr>
            </w:pPr>
            <w:r>
              <w:rPr>
                <w:color w:val="231F20"/>
                <w:spacing w:val="-4"/>
                <w:w w:val="110"/>
                <w:sz w:val="15"/>
              </w:rPr>
              <w:t>None</w:t>
            </w:r>
          </w:p>
        </w:tc>
        <w:tc>
          <w:tcPr>
            <w:tcW w:w="1734" w:type="dxa"/>
            <w:tcBorders>
              <w:top w:val="single" w:sz="4" w:space="0" w:color="231F20"/>
              <w:bottom w:val="single" w:sz="4" w:space="0" w:color="FFFFFF"/>
            </w:tcBorders>
            <w:shd w:val="clear" w:color="auto" w:fill="E8F5F1"/>
          </w:tcPr>
          <w:p>
            <w:pPr>
              <w:pStyle w:val="TableParagraph"/>
              <w:spacing w:before="47"/>
              <w:ind w:left="134"/>
              <w:rPr>
                <w:sz w:val="15"/>
              </w:rPr>
            </w:pPr>
            <w:r>
              <w:rPr>
                <w:color w:val="231F20"/>
                <w:spacing w:val="-4"/>
                <w:w w:val="110"/>
                <w:sz w:val="15"/>
              </w:rPr>
              <w:t>None</w:t>
            </w:r>
          </w:p>
        </w:tc>
      </w:tr>
      <w:tr>
        <w:trPr>
          <w:trHeight w:val="1260" w:hRule="atLeast"/>
        </w:trPr>
        <w:tc>
          <w:tcPr>
            <w:tcW w:w="117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16-</w:t>
            </w:r>
            <w:r>
              <w:rPr>
                <w:color w:val="231F20"/>
                <w:spacing w:val="-5"/>
                <w:sz w:val="15"/>
              </w:rPr>
              <w:t>25</w:t>
            </w:r>
          </w:p>
        </w:tc>
        <w:tc>
          <w:tcPr>
            <w:tcW w:w="1455" w:type="dxa"/>
            <w:tcBorders>
              <w:top w:val="single" w:sz="4" w:space="0" w:color="FFFFFF"/>
              <w:bottom w:val="single" w:sz="4" w:space="0" w:color="FFFFFF"/>
            </w:tcBorders>
            <w:shd w:val="clear" w:color="auto" w:fill="E8F5F1"/>
          </w:tcPr>
          <w:p>
            <w:pPr>
              <w:pStyle w:val="TableParagraph"/>
              <w:spacing w:line="230" w:lineRule="auto" w:before="48"/>
              <w:ind w:left="322" w:right="175" w:hanging="112"/>
              <w:rPr>
                <w:sz w:val="15"/>
              </w:rPr>
            </w:pPr>
            <w:r>
              <w:rPr>
                <w:color w:val="231F20"/>
                <w:sz w:val="15"/>
              </w:rPr>
              <w:t>Slight</w:t>
            </w:r>
            <w:r>
              <w:rPr>
                <w:color w:val="231F20"/>
                <w:spacing w:val="-12"/>
                <w:sz w:val="15"/>
              </w:rPr>
              <w:t> </w:t>
            </w:r>
            <w:r>
              <w:rPr>
                <w:color w:val="231F20"/>
                <w:sz w:val="15"/>
              </w:rPr>
              <w:t>hearing </w:t>
            </w:r>
            <w:r>
              <w:rPr>
                <w:color w:val="231F20"/>
                <w:spacing w:val="-4"/>
                <w:sz w:val="15"/>
              </w:rPr>
              <w:t>loss</w:t>
            </w:r>
          </w:p>
        </w:tc>
        <w:tc>
          <w:tcPr>
            <w:tcW w:w="1774" w:type="dxa"/>
            <w:tcBorders>
              <w:top w:val="single" w:sz="4" w:space="0" w:color="FFFFFF"/>
              <w:bottom w:val="single" w:sz="4" w:space="0" w:color="FFFFFF"/>
            </w:tcBorders>
            <w:shd w:val="clear" w:color="auto" w:fill="E8F5F1"/>
          </w:tcPr>
          <w:p>
            <w:pPr>
              <w:pStyle w:val="TableParagraph"/>
              <w:spacing w:line="230" w:lineRule="auto" w:before="48"/>
              <w:ind w:left="143" w:right="181" w:hanging="112"/>
              <w:rPr>
                <w:sz w:val="15"/>
              </w:rPr>
            </w:pPr>
            <w:r>
              <w:rPr>
                <w:color w:val="231F20"/>
                <w:sz w:val="15"/>
              </w:rPr>
              <w:t>Otitis media, TM </w:t>
            </w:r>
            <w:r>
              <w:rPr>
                <w:color w:val="231F20"/>
                <w:spacing w:val="-2"/>
                <w:sz w:val="15"/>
              </w:rPr>
              <w:t>perforation, tympanosclerosis; </w:t>
            </w:r>
            <w:r>
              <w:rPr>
                <w:color w:val="231F20"/>
                <w:sz w:val="15"/>
              </w:rPr>
              <w:t>eustachian tube </w:t>
            </w:r>
            <w:r>
              <w:rPr>
                <w:color w:val="231F20"/>
                <w:spacing w:val="-2"/>
                <w:sz w:val="15"/>
              </w:rPr>
              <w:t>dysfunction;</w:t>
            </w:r>
            <w:r>
              <w:rPr>
                <w:color w:val="231F20"/>
                <w:spacing w:val="-10"/>
                <w:sz w:val="15"/>
              </w:rPr>
              <w:t> </w:t>
            </w:r>
            <w:r>
              <w:rPr>
                <w:color w:val="231F20"/>
                <w:spacing w:val="-2"/>
                <w:sz w:val="15"/>
              </w:rPr>
              <w:t>some </w:t>
            </w:r>
            <w:r>
              <w:rPr>
                <w:color w:val="231F20"/>
                <w:spacing w:val="-4"/>
                <w:sz w:val="15"/>
              </w:rPr>
              <w:t>SNHL</w:t>
            </w:r>
          </w:p>
        </w:tc>
        <w:tc>
          <w:tcPr>
            <w:tcW w:w="1653" w:type="dxa"/>
            <w:tcBorders>
              <w:top w:val="single" w:sz="4" w:space="0" w:color="FFFFFF"/>
              <w:bottom w:val="single" w:sz="4" w:space="0" w:color="FFFFFF"/>
            </w:tcBorders>
            <w:shd w:val="clear" w:color="auto" w:fill="E8F5F1"/>
          </w:tcPr>
          <w:p>
            <w:pPr>
              <w:pStyle w:val="TableParagraph"/>
              <w:spacing w:line="230" w:lineRule="auto" w:before="48"/>
              <w:ind w:left="246" w:right="162" w:hanging="112"/>
              <w:rPr>
                <w:sz w:val="15"/>
              </w:rPr>
            </w:pPr>
            <w:r>
              <w:rPr>
                <w:color w:val="231F20"/>
                <w:sz w:val="15"/>
              </w:rPr>
              <w:t>Vowel</w:t>
            </w:r>
            <w:r>
              <w:rPr>
                <w:color w:val="231F20"/>
                <w:spacing w:val="-9"/>
                <w:sz w:val="15"/>
              </w:rPr>
              <w:t> </w:t>
            </w:r>
            <w:r>
              <w:rPr>
                <w:color w:val="231F20"/>
                <w:sz w:val="15"/>
              </w:rPr>
              <w:t>sounds</w:t>
            </w:r>
            <w:r>
              <w:rPr>
                <w:color w:val="231F20"/>
                <w:spacing w:val="-9"/>
                <w:sz w:val="15"/>
              </w:rPr>
              <w:t> </w:t>
            </w:r>
            <w:r>
              <w:rPr>
                <w:color w:val="231F20"/>
                <w:sz w:val="15"/>
              </w:rPr>
              <w:t>heard clearly, may miss </w:t>
            </w:r>
            <w:r>
              <w:rPr>
                <w:color w:val="231F20"/>
                <w:spacing w:val="-2"/>
                <w:sz w:val="15"/>
              </w:rPr>
              <w:t>unvoiced </w:t>
            </w:r>
            <w:r>
              <w:rPr>
                <w:color w:val="231F20"/>
                <w:sz w:val="15"/>
              </w:rPr>
              <w:t>consonant sounds</w:t>
            </w:r>
          </w:p>
        </w:tc>
        <w:tc>
          <w:tcPr>
            <w:tcW w:w="1953" w:type="dxa"/>
            <w:tcBorders>
              <w:top w:val="single" w:sz="4" w:space="0" w:color="FFFFFF"/>
              <w:bottom w:val="single" w:sz="4" w:space="0" w:color="FFFFFF"/>
            </w:tcBorders>
            <w:shd w:val="clear" w:color="auto" w:fill="E8F5F1"/>
          </w:tcPr>
          <w:p>
            <w:pPr>
              <w:pStyle w:val="TableParagraph"/>
              <w:spacing w:line="230" w:lineRule="auto" w:before="48"/>
              <w:ind w:left="283" w:right="335" w:hanging="112"/>
              <w:rPr>
                <w:sz w:val="15"/>
              </w:rPr>
            </w:pPr>
            <w:r>
              <w:rPr>
                <w:color w:val="231F20"/>
                <w:sz w:val="15"/>
              </w:rPr>
              <w:t>Mild auditory dysfunction in language</w:t>
            </w:r>
            <w:r>
              <w:rPr>
                <w:color w:val="231F20"/>
                <w:spacing w:val="-12"/>
                <w:sz w:val="15"/>
              </w:rPr>
              <w:t> </w:t>
            </w:r>
            <w:r>
              <w:rPr>
                <w:color w:val="231F20"/>
                <w:sz w:val="15"/>
              </w:rPr>
              <w:t>learning</w:t>
            </w:r>
          </w:p>
          <w:p>
            <w:pPr>
              <w:pStyle w:val="TableParagraph"/>
              <w:spacing w:line="230" w:lineRule="auto" w:before="2"/>
              <w:ind w:left="283" w:hanging="112"/>
              <w:rPr>
                <w:sz w:val="15"/>
              </w:rPr>
            </w:pPr>
            <w:r>
              <w:rPr>
                <w:color w:val="231F20"/>
                <w:spacing w:val="-2"/>
                <w:sz w:val="15"/>
              </w:rPr>
              <w:t>Difficulty</w:t>
            </w:r>
            <w:r>
              <w:rPr>
                <w:color w:val="231F20"/>
                <w:spacing w:val="-5"/>
                <w:sz w:val="15"/>
              </w:rPr>
              <w:t> </w:t>
            </w:r>
            <w:r>
              <w:rPr>
                <w:color w:val="231F20"/>
                <w:spacing w:val="-2"/>
                <w:sz w:val="15"/>
              </w:rPr>
              <w:t>in</w:t>
            </w:r>
            <w:r>
              <w:rPr>
                <w:color w:val="231F20"/>
                <w:spacing w:val="-5"/>
                <w:sz w:val="15"/>
              </w:rPr>
              <w:t> </w:t>
            </w:r>
            <w:r>
              <w:rPr>
                <w:color w:val="231F20"/>
                <w:spacing w:val="-2"/>
                <w:sz w:val="15"/>
              </w:rPr>
              <w:t>perceiving </w:t>
            </w:r>
            <w:r>
              <w:rPr>
                <w:color w:val="231F20"/>
                <w:sz w:val="15"/>
              </w:rPr>
              <w:t>some</w:t>
            </w:r>
            <w:r>
              <w:rPr>
                <w:color w:val="231F20"/>
                <w:spacing w:val="12"/>
                <w:sz w:val="15"/>
              </w:rPr>
              <w:t> </w:t>
            </w:r>
            <w:r>
              <w:rPr>
                <w:color w:val="231F20"/>
                <w:sz w:val="15"/>
              </w:rPr>
              <w:t>speech</w:t>
            </w:r>
            <w:r>
              <w:rPr>
                <w:color w:val="231F20"/>
                <w:spacing w:val="13"/>
                <w:sz w:val="15"/>
              </w:rPr>
              <w:t> </w:t>
            </w:r>
            <w:r>
              <w:rPr>
                <w:color w:val="231F20"/>
                <w:spacing w:val="-2"/>
                <w:sz w:val="15"/>
              </w:rPr>
              <w:t>sounds</w:t>
            </w:r>
          </w:p>
        </w:tc>
        <w:tc>
          <w:tcPr>
            <w:tcW w:w="1734" w:type="dxa"/>
            <w:tcBorders>
              <w:top w:val="single" w:sz="4" w:space="0" w:color="FFFFFF"/>
              <w:bottom w:val="single" w:sz="4" w:space="0" w:color="FFFFFF"/>
            </w:tcBorders>
            <w:shd w:val="clear" w:color="auto" w:fill="E8F5F1"/>
          </w:tcPr>
          <w:p>
            <w:pPr>
              <w:pStyle w:val="TableParagraph"/>
              <w:spacing w:line="230" w:lineRule="auto" w:before="48"/>
              <w:ind w:left="245" w:hanging="112"/>
              <w:rPr>
                <w:sz w:val="15"/>
              </w:rPr>
            </w:pPr>
            <w:r>
              <w:rPr>
                <w:color w:val="231F20"/>
                <w:sz w:val="15"/>
              </w:rPr>
              <w:t>Consideration</w:t>
            </w:r>
            <w:r>
              <w:rPr>
                <w:color w:val="231F20"/>
                <w:spacing w:val="-7"/>
                <w:sz w:val="15"/>
              </w:rPr>
              <w:t> </w:t>
            </w:r>
            <w:r>
              <w:rPr>
                <w:color w:val="231F20"/>
                <w:sz w:val="15"/>
              </w:rPr>
              <w:t>of</w:t>
            </w:r>
            <w:r>
              <w:rPr>
                <w:color w:val="231F20"/>
                <w:spacing w:val="-7"/>
                <w:sz w:val="15"/>
              </w:rPr>
              <w:t> </w:t>
            </w:r>
            <w:r>
              <w:rPr>
                <w:color w:val="231F20"/>
                <w:sz w:val="15"/>
              </w:rPr>
              <w:t>need for hearing aid, speech reading, auditory training, speech therapy, appropriate</w:t>
            </w:r>
            <w:r>
              <w:rPr>
                <w:color w:val="231F20"/>
                <w:spacing w:val="-12"/>
                <w:sz w:val="15"/>
              </w:rPr>
              <w:t> </w:t>
            </w:r>
            <w:r>
              <w:rPr>
                <w:color w:val="231F20"/>
                <w:sz w:val="15"/>
              </w:rPr>
              <w:t>surgery, preferential seating</w:t>
            </w:r>
          </w:p>
        </w:tc>
      </w:tr>
      <w:tr>
        <w:trPr>
          <w:trHeight w:val="1092" w:hRule="atLeast"/>
        </w:trPr>
        <w:tc>
          <w:tcPr>
            <w:tcW w:w="117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26-</w:t>
            </w:r>
            <w:r>
              <w:rPr>
                <w:color w:val="231F20"/>
                <w:spacing w:val="-5"/>
                <w:sz w:val="15"/>
              </w:rPr>
              <w:t>30</w:t>
            </w:r>
          </w:p>
        </w:tc>
        <w:tc>
          <w:tcPr>
            <w:tcW w:w="1455" w:type="dxa"/>
            <w:tcBorders>
              <w:top w:val="single" w:sz="4" w:space="0" w:color="FFFFFF"/>
              <w:bottom w:val="single" w:sz="4" w:space="0" w:color="FFFFFF"/>
            </w:tcBorders>
            <w:shd w:val="clear" w:color="auto" w:fill="E8F5F1"/>
          </w:tcPr>
          <w:p>
            <w:pPr>
              <w:pStyle w:val="TableParagraph"/>
              <w:spacing w:before="42"/>
              <w:ind w:left="210"/>
              <w:rPr>
                <w:sz w:val="15"/>
              </w:rPr>
            </w:pPr>
            <w:r>
              <w:rPr>
                <w:color w:val="231F20"/>
                <w:spacing w:val="-4"/>
                <w:w w:val="105"/>
                <w:sz w:val="15"/>
              </w:rPr>
              <w:t>Mild</w:t>
            </w:r>
          </w:p>
        </w:tc>
        <w:tc>
          <w:tcPr>
            <w:tcW w:w="1774" w:type="dxa"/>
            <w:tcBorders>
              <w:top w:val="single" w:sz="4" w:space="0" w:color="FFFFFF"/>
              <w:bottom w:val="single" w:sz="4" w:space="0" w:color="FFFFFF"/>
            </w:tcBorders>
            <w:shd w:val="clear" w:color="auto" w:fill="E8F5F1"/>
          </w:tcPr>
          <w:p>
            <w:pPr>
              <w:pStyle w:val="TableParagraph"/>
              <w:spacing w:line="230" w:lineRule="auto" w:before="48"/>
              <w:ind w:left="143" w:right="181" w:hanging="112"/>
              <w:rPr>
                <w:sz w:val="15"/>
              </w:rPr>
            </w:pPr>
            <w:r>
              <w:rPr>
                <w:color w:val="231F20"/>
                <w:sz w:val="15"/>
              </w:rPr>
              <w:t>Otitis media, TM </w:t>
            </w:r>
            <w:r>
              <w:rPr>
                <w:color w:val="231F20"/>
                <w:spacing w:val="-2"/>
                <w:sz w:val="15"/>
              </w:rPr>
              <w:t>perforation, tympanosclerosis, </w:t>
            </w:r>
            <w:r>
              <w:rPr>
                <w:color w:val="231F20"/>
                <w:sz w:val="15"/>
              </w:rPr>
              <w:t>severe</w:t>
            </w:r>
            <w:r>
              <w:rPr>
                <w:color w:val="231F20"/>
                <w:spacing w:val="-12"/>
                <w:sz w:val="15"/>
              </w:rPr>
              <w:t> </w:t>
            </w:r>
            <w:r>
              <w:rPr>
                <w:color w:val="231F20"/>
                <w:sz w:val="15"/>
              </w:rPr>
              <w:t>eustachian </w:t>
            </w:r>
            <w:r>
              <w:rPr>
                <w:color w:val="231F20"/>
                <w:spacing w:val="-2"/>
                <w:sz w:val="15"/>
              </w:rPr>
              <w:t>dysfunction,</w:t>
            </w:r>
            <w:r>
              <w:rPr>
                <w:color w:val="231F20"/>
                <w:spacing w:val="-9"/>
                <w:sz w:val="15"/>
              </w:rPr>
              <w:t> </w:t>
            </w:r>
            <w:r>
              <w:rPr>
                <w:color w:val="231F20"/>
                <w:spacing w:val="-4"/>
                <w:sz w:val="15"/>
              </w:rPr>
              <w:t>SNHL</w:t>
            </w:r>
          </w:p>
        </w:tc>
        <w:tc>
          <w:tcPr>
            <w:tcW w:w="1653" w:type="dxa"/>
            <w:tcBorders>
              <w:top w:val="single" w:sz="4" w:space="0" w:color="FFFFFF"/>
              <w:bottom w:val="single" w:sz="4" w:space="0" w:color="FFFFFF"/>
            </w:tcBorders>
            <w:shd w:val="clear" w:color="auto" w:fill="E8F5F1"/>
          </w:tcPr>
          <w:p>
            <w:pPr>
              <w:pStyle w:val="TableParagraph"/>
              <w:spacing w:line="230" w:lineRule="auto" w:before="48"/>
              <w:ind w:left="246" w:right="87" w:hanging="112"/>
              <w:rPr>
                <w:sz w:val="15"/>
              </w:rPr>
            </w:pPr>
            <w:r>
              <w:rPr>
                <w:color w:val="231F20"/>
                <w:sz w:val="15"/>
              </w:rPr>
              <w:t>Hears only some speech</w:t>
            </w:r>
            <w:r>
              <w:rPr>
                <w:color w:val="231F20"/>
                <w:spacing w:val="-12"/>
                <w:sz w:val="15"/>
              </w:rPr>
              <w:t> </w:t>
            </w:r>
            <w:r>
              <w:rPr>
                <w:color w:val="231F20"/>
                <w:sz w:val="15"/>
              </w:rPr>
              <w:t>sounds,</w:t>
            </w:r>
            <w:r>
              <w:rPr>
                <w:color w:val="231F20"/>
                <w:spacing w:val="-11"/>
                <w:sz w:val="15"/>
              </w:rPr>
              <w:t> </w:t>
            </w:r>
            <w:r>
              <w:rPr>
                <w:color w:val="231F20"/>
                <w:sz w:val="15"/>
              </w:rPr>
              <w:t>the louder voiced </w:t>
            </w:r>
            <w:r>
              <w:rPr>
                <w:color w:val="231F20"/>
                <w:spacing w:val="-2"/>
                <w:sz w:val="15"/>
              </w:rPr>
              <w:t>sounds</w:t>
            </w:r>
          </w:p>
        </w:tc>
        <w:tc>
          <w:tcPr>
            <w:tcW w:w="1953" w:type="dxa"/>
            <w:tcBorders>
              <w:top w:val="single" w:sz="4" w:space="0" w:color="FFFFFF"/>
              <w:bottom w:val="single" w:sz="4" w:space="0" w:color="FFFFFF"/>
            </w:tcBorders>
            <w:shd w:val="clear" w:color="auto" w:fill="E8F5F1"/>
          </w:tcPr>
          <w:p>
            <w:pPr>
              <w:pStyle w:val="TableParagraph"/>
              <w:spacing w:line="230" w:lineRule="auto" w:before="48"/>
              <w:ind w:left="283" w:hanging="112"/>
              <w:rPr>
                <w:sz w:val="15"/>
              </w:rPr>
            </w:pPr>
            <w:r>
              <w:rPr>
                <w:color w:val="231F20"/>
                <w:spacing w:val="-2"/>
                <w:sz w:val="15"/>
              </w:rPr>
              <w:t>Auditory</w:t>
            </w:r>
            <w:r>
              <w:rPr>
                <w:color w:val="231F20"/>
                <w:spacing w:val="-10"/>
                <w:sz w:val="15"/>
              </w:rPr>
              <w:t> </w:t>
            </w:r>
            <w:r>
              <w:rPr>
                <w:color w:val="231F20"/>
                <w:spacing w:val="-2"/>
                <w:sz w:val="15"/>
              </w:rPr>
              <w:t>learning dysfunction</w:t>
            </w:r>
          </w:p>
          <w:p>
            <w:pPr>
              <w:pStyle w:val="TableParagraph"/>
              <w:spacing w:line="230" w:lineRule="auto" w:before="1"/>
              <w:ind w:left="283" w:right="335" w:hanging="112"/>
              <w:rPr>
                <w:sz w:val="15"/>
              </w:rPr>
            </w:pPr>
            <w:r>
              <w:rPr>
                <w:color w:val="231F20"/>
                <w:sz w:val="15"/>
              </w:rPr>
              <w:t>Mild </w:t>
            </w:r>
            <w:r>
              <w:rPr>
                <w:color w:val="231F20"/>
                <w:sz w:val="15"/>
              </w:rPr>
              <w:t>language </w:t>
            </w:r>
            <w:r>
              <w:rPr>
                <w:color w:val="231F20"/>
                <w:spacing w:val="-2"/>
                <w:sz w:val="15"/>
              </w:rPr>
              <w:t>retardation</w:t>
            </w:r>
          </w:p>
          <w:p>
            <w:pPr>
              <w:pStyle w:val="TableParagraph"/>
              <w:spacing w:line="230" w:lineRule="auto" w:before="2"/>
              <w:ind w:left="171"/>
              <w:rPr>
                <w:sz w:val="15"/>
              </w:rPr>
            </w:pPr>
            <w:r>
              <w:rPr>
                <w:color w:val="231F20"/>
                <w:sz w:val="15"/>
              </w:rPr>
              <w:t>Mild speech </w:t>
            </w:r>
            <w:r>
              <w:rPr>
                <w:color w:val="231F20"/>
                <w:sz w:val="15"/>
              </w:rPr>
              <w:t>problems </w:t>
            </w:r>
            <w:r>
              <w:rPr>
                <w:color w:val="231F20"/>
                <w:spacing w:val="-2"/>
                <w:sz w:val="15"/>
              </w:rPr>
              <w:t>Inattention</w:t>
            </w:r>
          </w:p>
        </w:tc>
        <w:tc>
          <w:tcPr>
            <w:tcW w:w="1734" w:type="dxa"/>
            <w:tcBorders>
              <w:top w:val="single" w:sz="4" w:space="0" w:color="FFFFFF"/>
              <w:bottom w:val="single" w:sz="4" w:space="0" w:color="FFFFFF"/>
            </w:tcBorders>
            <w:shd w:val="clear" w:color="auto" w:fill="E8F5F1"/>
          </w:tcPr>
          <w:p>
            <w:pPr>
              <w:pStyle w:val="TableParagraph"/>
              <w:spacing w:line="230" w:lineRule="auto" w:before="48"/>
              <w:ind w:left="133" w:right="663"/>
              <w:rPr>
                <w:sz w:val="15"/>
              </w:rPr>
            </w:pPr>
            <w:r>
              <w:rPr>
                <w:color w:val="231F20"/>
                <w:sz w:val="15"/>
              </w:rPr>
              <w:t>Hearing</w:t>
            </w:r>
            <w:r>
              <w:rPr>
                <w:color w:val="231F20"/>
                <w:spacing w:val="-12"/>
                <w:sz w:val="15"/>
              </w:rPr>
              <w:t> </w:t>
            </w:r>
            <w:r>
              <w:rPr>
                <w:color w:val="231F20"/>
                <w:sz w:val="15"/>
              </w:rPr>
              <w:t>aid Lip</w:t>
            </w:r>
            <w:r>
              <w:rPr>
                <w:color w:val="231F20"/>
                <w:spacing w:val="-2"/>
                <w:sz w:val="15"/>
              </w:rPr>
              <w:t> reading</w:t>
            </w:r>
          </w:p>
          <w:p>
            <w:pPr>
              <w:pStyle w:val="TableParagraph"/>
              <w:spacing w:line="230" w:lineRule="auto" w:before="1"/>
              <w:ind w:left="133" w:right="9"/>
              <w:rPr>
                <w:sz w:val="15"/>
              </w:rPr>
            </w:pPr>
            <w:r>
              <w:rPr>
                <w:color w:val="231F20"/>
                <w:sz w:val="15"/>
              </w:rPr>
              <w:t>Auditory training Speech therapy Appropriate</w:t>
            </w:r>
            <w:r>
              <w:rPr>
                <w:color w:val="231F20"/>
                <w:spacing w:val="-12"/>
                <w:sz w:val="15"/>
              </w:rPr>
              <w:t> </w:t>
            </w:r>
            <w:r>
              <w:rPr>
                <w:color w:val="231F20"/>
                <w:sz w:val="15"/>
              </w:rPr>
              <w:t>surgery</w:t>
            </w:r>
          </w:p>
        </w:tc>
      </w:tr>
      <w:tr>
        <w:trPr>
          <w:trHeight w:val="756" w:hRule="atLeast"/>
        </w:trPr>
        <w:tc>
          <w:tcPr>
            <w:tcW w:w="117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31-</w:t>
            </w:r>
            <w:r>
              <w:rPr>
                <w:color w:val="231F20"/>
                <w:spacing w:val="-5"/>
                <w:sz w:val="15"/>
              </w:rPr>
              <w:t>50</w:t>
            </w:r>
          </w:p>
        </w:tc>
        <w:tc>
          <w:tcPr>
            <w:tcW w:w="1455" w:type="dxa"/>
            <w:tcBorders>
              <w:top w:val="single" w:sz="4" w:space="0" w:color="FFFFFF"/>
              <w:bottom w:val="single" w:sz="4" w:space="0" w:color="FFFFFF"/>
            </w:tcBorders>
            <w:shd w:val="clear" w:color="auto" w:fill="E8F5F1"/>
          </w:tcPr>
          <w:p>
            <w:pPr>
              <w:pStyle w:val="TableParagraph"/>
              <w:spacing w:line="230" w:lineRule="auto" w:before="48"/>
              <w:ind w:left="321" w:right="175" w:hanging="112"/>
              <w:rPr>
                <w:sz w:val="15"/>
              </w:rPr>
            </w:pPr>
            <w:r>
              <w:rPr>
                <w:color w:val="231F20"/>
                <w:spacing w:val="-2"/>
                <w:sz w:val="15"/>
              </w:rPr>
              <w:t>Moderate </w:t>
            </w:r>
            <w:r>
              <w:rPr>
                <w:color w:val="231F20"/>
                <w:sz w:val="15"/>
              </w:rPr>
              <w:t>hearing</w:t>
            </w:r>
            <w:r>
              <w:rPr>
                <w:color w:val="231F20"/>
                <w:spacing w:val="-12"/>
                <w:sz w:val="15"/>
              </w:rPr>
              <w:t> </w:t>
            </w:r>
            <w:r>
              <w:rPr>
                <w:color w:val="231F20"/>
                <w:sz w:val="15"/>
              </w:rPr>
              <w:t>loss</w:t>
            </w:r>
          </w:p>
        </w:tc>
        <w:tc>
          <w:tcPr>
            <w:tcW w:w="1774" w:type="dxa"/>
            <w:tcBorders>
              <w:top w:val="single" w:sz="4" w:space="0" w:color="FFFFFF"/>
              <w:bottom w:val="single" w:sz="4" w:space="0" w:color="FFFFFF"/>
            </w:tcBorders>
            <w:shd w:val="clear" w:color="auto" w:fill="E8F5F1"/>
          </w:tcPr>
          <w:p>
            <w:pPr>
              <w:pStyle w:val="TableParagraph"/>
              <w:spacing w:line="230" w:lineRule="auto" w:before="48"/>
              <w:ind w:left="142" w:hanging="112"/>
              <w:rPr>
                <w:sz w:val="15"/>
              </w:rPr>
            </w:pPr>
            <w:r>
              <w:rPr>
                <w:color w:val="231F20"/>
                <w:sz w:val="15"/>
              </w:rPr>
              <w:t>Chronic</w:t>
            </w:r>
            <w:r>
              <w:rPr>
                <w:color w:val="231F20"/>
                <w:spacing w:val="-12"/>
                <w:sz w:val="15"/>
              </w:rPr>
              <w:t> </w:t>
            </w:r>
            <w:r>
              <w:rPr>
                <w:color w:val="231F20"/>
                <w:sz w:val="15"/>
              </w:rPr>
              <w:t>otitis,</w:t>
            </w:r>
            <w:r>
              <w:rPr>
                <w:color w:val="231F20"/>
                <w:spacing w:val="-11"/>
                <w:sz w:val="15"/>
              </w:rPr>
              <w:t> </w:t>
            </w:r>
            <w:r>
              <w:rPr>
                <w:color w:val="231F20"/>
                <w:sz w:val="15"/>
              </w:rPr>
              <w:t>ear </w:t>
            </w:r>
            <w:r>
              <w:rPr>
                <w:color w:val="231F20"/>
                <w:spacing w:val="-4"/>
                <w:sz w:val="15"/>
              </w:rPr>
              <w:t>canal/middle</w:t>
            </w:r>
            <w:r>
              <w:rPr>
                <w:color w:val="231F20"/>
                <w:spacing w:val="-8"/>
                <w:sz w:val="15"/>
              </w:rPr>
              <w:t> </w:t>
            </w:r>
            <w:r>
              <w:rPr>
                <w:color w:val="231F20"/>
                <w:spacing w:val="-4"/>
                <w:sz w:val="15"/>
              </w:rPr>
              <w:t>ear </w:t>
            </w:r>
            <w:r>
              <w:rPr>
                <w:color w:val="231F20"/>
                <w:sz w:val="15"/>
              </w:rPr>
              <w:t>anomaly, SNHL</w:t>
            </w:r>
          </w:p>
        </w:tc>
        <w:tc>
          <w:tcPr>
            <w:tcW w:w="1653" w:type="dxa"/>
            <w:tcBorders>
              <w:top w:val="single" w:sz="4" w:space="0" w:color="FFFFFF"/>
              <w:bottom w:val="single" w:sz="4" w:space="0" w:color="FFFFFF"/>
            </w:tcBorders>
            <w:shd w:val="clear" w:color="auto" w:fill="E8F5F1"/>
          </w:tcPr>
          <w:p>
            <w:pPr>
              <w:pStyle w:val="TableParagraph"/>
              <w:spacing w:line="230" w:lineRule="auto" w:before="48"/>
              <w:ind w:left="245" w:right="87" w:hanging="112"/>
              <w:rPr>
                <w:sz w:val="15"/>
              </w:rPr>
            </w:pPr>
            <w:r>
              <w:rPr>
                <w:color w:val="231F20"/>
                <w:sz w:val="15"/>
              </w:rPr>
              <w:t>Misses most speech sounds at normal </w:t>
            </w:r>
            <w:r>
              <w:rPr>
                <w:color w:val="231F20"/>
                <w:spacing w:val="-2"/>
                <w:sz w:val="15"/>
              </w:rPr>
              <w:t>conversational</w:t>
            </w:r>
            <w:r>
              <w:rPr>
                <w:color w:val="231F20"/>
                <w:spacing w:val="-10"/>
                <w:sz w:val="15"/>
              </w:rPr>
              <w:t> </w:t>
            </w:r>
            <w:r>
              <w:rPr>
                <w:color w:val="231F20"/>
                <w:spacing w:val="-2"/>
                <w:sz w:val="15"/>
              </w:rPr>
              <w:t>level</w:t>
            </w:r>
          </w:p>
        </w:tc>
        <w:tc>
          <w:tcPr>
            <w:tcW w:w="1953" w:type="dxa"/>
            <w:tcBorders>
              <w:top w:val="single" w:sz="4" w:space="0" w:color="FFFFFF"/>
              <w:bottom w:val="single" w:sz="4" w:space="0" w:color="FFFFFF"/>
            </w:tcBorders>
            <w:shd w:val="clear" w:color="auto" w:fill="E8F5F1"/>
          </w:tcPr>
          <w:p>
            <w:pPr>
              <w:pStyle w:val="TableParagraph"/>
              <w:spacing w:line="230" w:lineRule="auto" w:before="48"/>
              <w:ind w:left="171" w:right="335"/>
              <w:rPr>
                <w:sz w:val="15"/>
              </w:rPr>
            </w:pPr>
            <w:r>
              <w:rPr>
                <w:color w:val="231F20"/>
                <w:sz w:val="15"/>
              </w:rPr>
              <w:t>Speech problems Language</w:t>
            </w:r>
            <w:r>
              <w:rPr>
                <w:color w:val="231F20"/>
                <w:spacing w:val="-12"/>
                <w:sz w:val="15"/>
              </w:rPr>
              <w:t> </w:t>
            </w:r>
            <w:r>
              <w:rPr>
                <w:color w:val="231F20"/>
                <w:sz w:val="15"/>
              </w:rPr>
              <w:t>retardation Learning dysfunction </w:t>
            </w:r>
            <w:r>
              <w:rPr>
                <w:color w:val="231F20"/>
                <w:spacing w:val="-2"/>
                <w:sz w:val="15"/>
              </w:rPr>
              <w:t>Inattention</w:t>
            </w:r>
          </w:p>
        </w:tc>
        <w:tc>
          <w:tcPr>
            <w:tcW w:w="1734" w:type="dxa"/>
            <w:tcBorders>
              <w:top w:val="single" w:sz="4" w:space="0" w:color="FFFFFF"/>
              <w:bottom w:val="single" w:sz="4" w:space="0" w:color="FFFFFF"/>
            </w:tcBorders>
            <w:shd w:val="clear" w:color="auto" w:fill="E8F5F1"/>
          </w:tcPr>
          <w:p>
            <w:pPr>
              <w:pStyle w:val="TableParagraph"/>
              <w:spacing w:line="230" w:lineRule="auto" w:before="48"/>
              <w:ind w:left="245" w:hanging="112"/>
              <w:rPr>
                <w:sz w:val="15"/>
              </w:rPr>
            </w:pPr>
            <w:r>
              <w:rPr>
                <w:color w:val="231F20"/>
                <w:sz w:val="15"/>
              </w:rPr>
              <w:t>All</w:t>
            </w:r>
            <w:r>
              <w:rPr>
                <w:color w:val="231F20"/>
                <w:spacing w:val="-12"/>
                <w:sz w:val="15"/>
              </w:rPr>
              <w:t> </w:t>
            </w:r>
            <w:r>
              <w:rPr>
                <w:color w:val="231F20"/>
                <w:sz w:val="15"/>
              </w:rPr>
              <w:t>of</w:t>
            </w:r>
            <w:r>
              <w:rPr>
                <w:color w:val="231F20"/>
                <w:spacing w:val="-11"/>
                <w:sz w:val="15"/>
              </w:rPr>
              <w:t> </w:t>
            </w:r>
            <w:r>
              <w:rPr>
                <w:color w:val="231F20"/>
                <w:sz w:val="15"/>
              </w:rPr>
              <w:t>the</w:t>
            </w:r>
            <w:r>
              <w:rPr>
                <w:color w:val="231F20"/>
                <w:spacing w:val="-11"/>
                <w:sz w:val="15"/>
              </w:rPr>
              <w:t> </w:t>
            </w:r>
            <w:r>
              <w:rPr>
                <w:color w:val="231F20"/>
                <w:sz w:val="15"/>
              </w:rPr>
              <w:t>above,</w:t>
            </w:r>
            <w:r>
              <w:rPr>
                <w:color w:val="231F20"/>
                <w:spacing w:val="-12"/>
                <w:sz w:val="15"/>
              </w:rPr>
              <w:t> </w:t>
            </w:r>
            <w:r>
              <w:rPr>
                <w:color w:val="231F20"/>
                <w:sz w:val="15"/>
              </w:rPr>
              <w:t>plus consideration of special classroom </w:t>
            </w:r>
            <w:r>
              <w:rPr>
                <w:color w:val="231F20"/>
                <w:spacing w:val="-2"/>
                <w:sz w:val="15"/>
              </w:rPr>
              <w:t>situation</w:t>
            </w:r>
          </w:p>
        </w:tc>
      </w:tr>
      <w:tr>
        <w:trPr>
          <w:trHeight w:val="924" w:hRule="atLeast"/>
        </w:trPr>
        <w:tc>
          <w:tcPr>
            <w:tcW w:w="117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51-</w:t>
            </w:r>
            <w:r>
              <w:rPr>
                <w:color w:val="231F20"/>
                <w:spacing w:val="-5"/>
                <w:sz w:val="15"/>
              </w:rPr>
              <w:t>70</w:t>
            </w:r>
          </w:p>
        </w:tc>
        <w:tc>
          <w:tcPr>
            <w:tcW w:w="1455" w:type="dxa"/>
            <w:tcBorders>
              <w:top w:val="single" w:sz="4" w:space="0" w:color="FFFFFF"/>
              <w:bottom w:val="single" w:sz="4" w:space="0" w:color="FFFFFF"/>
            </w:tcBorders>
            <w:shd w:val="clear" w:color="auto" w:fill="E8F5F1"/>
          </w:tcPr>
          <w:p>
            <w:pPr>
              <w:pStyle w:val="TableParagraph"/>
              <w:spacing w:line="230" w:lineRule="auto" w:before="48"/>
              <w:ind w:left="321" w:right="175" w:hanging="112"/>
              <w:rPr>
                <w:sz w:val="15"/>
              </w:rPr>
            </w:pPr>
            <w:r>
              <w:rPr>
                <w:color w:val="231F20"/>
                <w:sz w:val="15"/>
              </w:rPr>
              <w:t>Severe</w:t>
            </w:r>
            <w:r>
              <w:rPr>
                <w:color w:val="231F20"/>
                <w:spacing w:val="-12"/>
                <w:sz w:val="15"/>
              </w:rPr>
              <w:t> </w:t>
            </w:r>
            <w:r>
              <w:rPr>
                <w:color w:val="231F20"/>
                <w:sz w:val="15"/>
              </w:rPr>
              <w:t>hearing </w:t>
            </w:r>
            <w:r>
              <w:rPr>
                <w:color w:val="231F20"/>
                <w:spacing w:val="-4"/>
                <w:sz w:val="15"/>
              </w:rPr>
              <w:t>loss</w:t>
            </w:r>
          </w:p>
        </w:tc>
        <w:tc>
          <w:tcPr>
            <w:tcW w:w="1774" w:type="dxa"/>
            <w:tcBorders>
              <w:top w:val="single" w:sz="4" w:space="0" w:color="FFFFFF"/>
              <w:bottom w:val="single" w:sz="4" w:space="0" w:color="FFFFFF"/>
            </w:tcBorders>
            <w:shd w:val="clear" w:color="auto" w:fill="E8F5F1"/>
          </w:tcPr>
          <w:p>
            <w:pPr>
              <w:pStyle w:val="TableParagraph"/>
              <w:spacing w:line="230" w:lineRule="auto" w:before="48"/>
              <w:ind w:left="142" w:right="181" w:hanging="112"/>
              <w:rPr>
                <w:sz w:val="15"/>
              </w:rPr>
            </w:pPr>
            <w:r>
              <w:rPr>
                <w:color w:val="231F20"/>
                <w:sz w:val="15"/>
              </w:rPr>
              <w:t>SNHL or mixed loss</w:t>
            </w:r>
            <w:r>
              <w:rPr>
                <w:color w:val="231F20"/>
                <w:spacing w:val="80"/>
                <w:sz w:val="15"/>
              </w:rPr>
              <w:t> </w:t>
            </w:r>
            <w:r>
              <w:rPr>
                <w:color w:val="231F20"/>
                <w:sz w:val="15"/>
              </w:rPr>
              <w:t>due</w:t>
            </w:r>
            <w:r>
              <w:rPr>
                <w:color w:val="231F20"/>
                <w:spacing w:val="-8"/>
                <w:sz w:val="15"/>
              </w:rPr>
              <w:t> </w:t>
            </w:r>
            <w:r>
              <w:rPr>
                <w:color w:val="231F20"/>
                <w:sz w:val="15"/>
              </w:rPr>
              <w:t>to</w:t>
            </w:r>
            <w:r>
              <w:rPr>
                <w:color w:val="231F20"/>
                <w:spacing w:val="-8"/>
                <w:sz w:val="15"/>
              </w:rPr>
              <w:t> </w:t>
            </w:r>
            <w:r>
              <w:rPr>
                <w:color w:val="231F20"/>
                <w:sz w:val="15"/>
              </w:rPr>
              <w:t>a</w:t>
            </w:r>
            <w:r>
              <w:rPr>
                <w:color w:val="231F20"/>
                <w:spacing w:val="-8"/>
                <w:sz w:val="15"/>
              </w:rPr>
              <w:t> </w:t>
            </w:r>
            <w:r>
              <w:rPr>
                <w:color w:val="231F20"/>
                <w:sz w:val="15"/>
              </w:rPr>
              <w:t>combination of</w:t>
            </w:r>
            <w:r>
              <w:rPr>
                <w:color w:val="231F20"/>
                <w:spacing w:val="-12"/>
                <w:sz w:val="15"/>
              </w:rPr>
              <w:t> </w:t>
            </w:r>
            <w:r>
              <w:rPr>
                <w:color w:val="231F20"/>
                <w:sz w:val="15"/>
              </w:rPr>
              <w:t>middle-ear</w:t>
            </w:r>
            <w:r>
              <w:rPr>
                <w:color w:val="231F20"/>
                <w:spacing w:val="-11"/>
                <w:sz w:val="15"/>
              </w:rPr>
              <w:t> </w:t>
            </w:r>
            <w:r>
              <w:rPr>
                <w:color w:val="231F20"/>
                <w:sz w:val="15"/>
              </w:rPr>
              <w:t>disease and sensorineural </w:t>
            </w:r>
            <w:r>
              <w:rPr>
                <w:color w:val="231F20"/>
                <w:spacing w:val="-2"/>
                <w:sz w:val="15"/>
              </w:rPr>
              <w:t>involvement</w:t>
            </w:r>
          </w:p>
        </w:tc>
        <w:tc>
          <w:tcPr>
            <w:tcW w:w="1653" w:type="dxa"/>
            <w:tcBorders>
              <w:top w:val="single" w:sz="4" w:space="0" w:color="FFFFFF"/>
              <w:bottom w:val="single" w:sz="4" w:space="0" w:color="FFFFFF"/>
            </w:tcBorders>
            <w:shd w:val="clear" w:color="auto" w:fill="E8F5F1"/>
          </w:tcPr>
          <w:p>
            <w:pPr>
              <w:pStyle w:val="TableParagraph"/>
              <w:spacing w:line="230" w:lineRule="auto" w:before="48"/>
              <w:ind w:left="245" w:right="162" w:hanging="112"/>
              <w:rPr>
                <w:sz w:val="15"/>
              </w:rPr>
            </w:pPr>
            <w:r>
              <w:rPr>
                <w:color w:val="231F20"/>
                <w:sz w:val="15"/>
              </w:rPr>
              <w:t>Hears no speech sound</w:t>
            </w:r>
            <w:r>
              <w:rPr>
                <w:color w:val="231F20"/>
                <w:spacing w:val="-12"/>
                <w:sz w:val="15"/>
              </w:rPr>
              <w:t> </w:t>
            </w:r>
            <w:r>
              <w:rPr>
                <w:color w:val="231F20"/>
                <w:sz w:val="15"/>
              </w:rPr>
              <w:t>of</w:t>
            </w:r>
            <w:r>
              <w:rPr>
                <w:color w:val="231F20"/>
                <w:spacing w:val="-11"/>
                <w:sz w:val="15"/>
              </w:rPr>
              <w:t> </w:t>
            </w:r>
            <w:r>
              <w:rPr>
                <w:color w:val="231F20"/>
                <w:sz w:val="15"/>
              </w:rPr>
              <w:t>normal </w:t>
            </w:r>
            <w:r>
              <w:rPr>
                <w:color w:val="231F20"/>
                <w:spacing w:val="-2"/>
                <w:sz w:val="15"/>
              </w:rPr>
              <w:t>conversations</w:t>
            </w:r>
          </w:p>
        </w:tc>
        <w:tc>
          <w:tcPr>
            <w:tcW w:w="1953" w:type="dxa"/>
            <w:tcBorders>
              <w:top w:val="single" w:sz="4" w:space="0" w:color="FFFFFF"/>
              <w:bottom w:val="single" w:sz="4" w:space="0" w:color="FFFFFF"/>
            </w:tcBorders>
            <w:shd w:val="clear" w:color="auto" w:fill="E8F5F1"/>
          </w:tcPr>
          <w:p>
            <w:pPr>
              <w:pStyle w:val="TableParagraph"/>
              <w:spacing w:line="230" w:lineRule="auto" w:before="48"/>
              <w:ind w:left="171"/>
              <w:rPr>
                <w:sz w:val="15"/>
              </w:rPr>
            </w:pPr>
            <w:r>
              <w:rPr>
                <w:color w:val="231F20"/>
                <w:sz w:val="15"/>
              </w:rPr>
              <w:t>Severe</w:t>
            </w:r>
            <w:r>
              <w:rPr>
                <w:color w:val="231F20"/>
                <w:spacing w:val="-6"/>
                <w:sz w:val="15"/>
              </w:rPr>
              <w:t> </w:t>
            </w:r>
            <w:r>
              <w:rPr>
                <w:color w:val="231F20"/>
                <w:sz w:val="15"/>
              </w:rPr>
              <w:t>speech</w:t>
            </w:r>
            <w:r>
              <w:rPr>
                <w:color w:val="231F20"/>
                <w:spacing w:val="-6"/>
                <w:sz w:val="15"/>
              </w:rPr>
              <w:t> </w:t>
            </w:r>
            <w:r>
              <w:rPr>
                <w:color w:val="231F20"/>
                <w:sz w:val="15"/>
              </w:rPr>
              <w:t>problems Language retardation Learning dysfunction </w:t>
            </w:r>
            <w:r>
              <w:rPr>
                <w:color w:val="231F20"/>
                <w:spacing w:val="-2"/>
                <w:sz w:val="15"/>
              </w:rPr>
              <w:t>Inattention</w:t>
            </w:r>
          </w:p>
        </w:tc>
        <w:tc>
          <w:tcPr>
            <w:tcW w:w="1734" w:type="dxa"/>
            <w:tcBorders>
              <w:top w:val="single" w:sz="4" w:space="0" w:color="FFFFFF"/>
              <w:bottom w:val="single" w:sz="4" w:space="0" w:color="FFFFFF"/>
            </w:tcBorders>
            <w:shd w:val="clear" w:color="auto" w:fill="E8F5F1"/>
          </w:tcPr>
          <w:p>
            <w:pPr>
              <w:pStyle w:val="TableParagraph"/>
              <w:spacing w:line="230" w:lineRule="auto" w:before="48"/>
              <w:ind w:left="245" w:hanging="112"/>
              <w:rPr>
                <w:sz w:val="15"/>
              </w:rPr>
            </w:pPr>
            <w:r>
              <w:rPr>
                <w:color w:val="231F20"/>
                <w:sz w:val="15"/>
              </w:rPr>
              <w:t>All of the above; probable</w:t>
            </w:r>
            <w:r>
              <w:rPr>
                <w:color w:val="231F20"/>
                <w:spacing w:val="-12"/>
                <w:sz w:val="15"/>
              </w:rPr>
              <w:t> </w:t>
            </w:r>
            <w:r>
              <w:rPr>
                <w:color w:val="231F20"/>
                <w:sz w:val="15"/>
              </w:rPr>
              <w:t>assignment to special classes</w:t>
            </w:r>
          </w:p>
        </w:tc>
      </w:tr>
      <w:tr>
        <w:trPr>
          <w:trHeight w:val="751" w:hRule="atLeast"/>
        </w:trPr>
        <w:tc>
          <w:tcPr>
            <w:tcW w:w="1173" w:type="dxa"/>
            <w:tcBorders>
              <w:top w:val="single" w:sz="4" w:space="0" w:color="FFFFFF"/>
              <w:bottom w:val="single" w:sz="8" w:space="0" w:color="231F20"/>
            </w:tcBorders>
            <w:shd w:val="clear" w:color="auto" w:fill="E8F5F1"/>
          </w:tcPr>
          <w:p>
            <w:pPr>
              <w:pStyle w:val="TableParagraph"/>
              <w:spacing w:before="42"/>
              <w:ind w:left="73"/>
              <w:rPr>
                <w:rFonts w:ascii="Cambria"/>
                <w:sz w:val="15"/>
              </w:rPr>
            </w:pPr>
            <w:r>
              <w:rPr>
                <w:color w:val="231F20"/>
                <w:spacing w:val="-5"/>
                <w:sz w:val="15"/>
              </w:rPr>
              <w:t>71</w:t>
            </w:r>
            <w:r>
              <w:rPr>
                <w:rFonts w:ascii="Cambria"/>
                <w:color w:val="231F20"/>
                <w:spacing w:val="-5"/>
                <w:sz w:val="15"/>
              </w:rPr>
              <w:t>+</w:t>
            </w:r>
          </w:p>
        </w:tc>
        <w:tc>
          <w:tcPr>
            <w:tcW w:w="1455" w:type="dxa"/>
            <w:tcBorders>
              <w:top w:val="single" w:sz="4" w:space="0" w:color="FFFFFF"/>
              <w:bottom w:val="single" w:sz="8" w:space="0" w:color="231F20"/>
            </w:tcBorders>
            <w:shd w:val="clear" w:color="auto" w:fill="E8F5F1"/>
          </w:tcPr>
          <w:p>
            <w:pPr>
              <w:pStyle w:val="TableParagraph"/>
              <w:spacing w:line="230" w:lineRule="auto" w:before="48"/>
              <w:ind w:left="321" w:right="175" w:hanging="112"/>
              <w:rPr>
                <w:sz w:val="15"/>
              </w:rPr>
            </w:pPr>
            <w:r>
              <w:rPr>
                <w:color w:val="231F20"/>
                <w:spacing w:val="-2"/>
                <w:sz w:val="15"/>
              </w:rPr>
              <w:t>Profound </w:t>
            </w:r>
            <w:r>
              <w:rPr>
                <w:color w:val="231F20"/>
                <w:sz w:val="15"/>
              </w:rPr>
              <w:t>hearing</w:t>
            </w:r>
            <w:r>
              <w:rPr>
                <w:color w:val="231F20"/>
                <w:spacing w:val="-12"/>
                <w:sz w:val="15"/>
              </w:rPr>
              <w:t> </w:t>
            </w:r>
            <w:r>
              <w:rPr>
                <w:color w:val="231F20"/>
                <w:sz w:val="15"/>
              </w:rPr>
              <w:t>loss</w:t>
            </w:r>
          </w:p>
        </w:tc>
        <w:tc>
          <w:tcPr>
            <w:tcW w:w="1774" w:type="dxa"/>
            <w:tcBorders>
              <w:top w:val="single" w:sz="4" w:space="0" w:color="FFFFFF"/>
              <w:bottom w:val="single" w:sz="8" w:space="0" w:color="231F20"/>
            </w:tcBorders>
            <w:shd w:val="clear" w:color="auto" w:fill="E8F5F1"/>
          </w:tcPr>
          <w:p>
            <w:pPr>
              <w:pStyle w:val="TableParagraph"/>
              <w:spacing w:before="42"/>
              <w:ind w:left="30"/>
              <w:rPr>
                <w:sz w:val="15"/>
              </w:rPr>
            </w:pPr>
            <w:r>
              <w:rPr>
                <w:color w:val="231F20"/>
                <w:sz w:val="15"/>
              </w:rPr>
              <w:t>SNHL</w:t>
            </w:r>
            <w:r>
              <w:rPr>
                <w:color w:val="231F20"/>
                <w:spacing w:val="19"/>
                <w:sz w:val="15"/>
              </w:rPr>
              <w:t> </w:t>
            </w:r>
            <w:r>
              <w:rPr>
                <w:color w:val="231F20"/>
                <w:sz w:val="15"/>
              </w:rPr>
              <w:t>or</w:t>
            </w:r>
            <w:r>
              <w:rPr>
                <w:color w:val="231F20"/>
                <w:spacing w:val="19"/>
                <w:sz w:val="15"/>
              </w:rPr>
              <w:t> </w:t>
            </w:r>
            <w:r>
              <w:rPr>
                <w:color w:val="231F20"/>
                <w:spacing w:val="-2"/>
                <w:sz w:val="15"/>
              </w:rPr>
              <w:t>mixed</w:t>
            </w:r>
          </w:p>
        </w:tc>
        <w:tc>
          <w:tcPr>
            <w:tcW w:w="1653" w:type="dxa"/>
            <w:tcBorders>
              <w:top w:val="single" w:sz="4" w:space="0" w:color="FFFFFF"/>
              <w:bottom w:val="single" w:sz="8" w:space="0" w:color="231F20"/>
            </w:tcBorders>
            <w:shd w:val="clear" w:color="auto" w:fill="E8F5F1"/>
          </w:tcPr>
          <w:p>
            <w:pPr>
              <w:pStyle w:val="TableParagraph"/>
              <w:spacing w:line="230" w:lineRule="auto" w:before="48"/>
              <w:ind w:left="245" w:hanging="112"/>
              <w:rPr>
                <w:sz w:val="15"/>
              </w:rPr>
            </w:pPr>
            <w:r>
              <w:rPr>
                <w:color w:val="231F20"/>
                <w:sz w:val="15"/>
              </w:rPr>
              <w:t>Hears</w:t>
            </w:r>
            <w:r>
              <w:rPr>
                <w:color w:val="231F20"/>
                <w:spacing w:val="-3"/>
                <w:sz w:val="15"/>
              </w:rPr>
              <w:t> </w:t>
            </w:r>
            <w:r>
              <w:rPr>
                <w:color w:val="231F20"/>
                <w:sz w:val="15"/>
              </w:rPr>
              <w:t>no</w:t>
            </w:r>
            <w:r>
              <w:rPr>
                <w:color w:val="231F20"/>
                <w:spacing w:val="-3"/>
                <w:sz w:val="15"/>
              </w:rPr>
              <w:t> </w:t>
            </w:r>
            <w:r>
              <w:rPr>
                <w:color w:val="231F20"/>
                <w:sz w:val="15"/>
              </w:rPr>
              <w:t>speech</w:t>
            </w:r>
            <w:r>
              <w:rPr>
                <w:color w:val="231F20"/>
                <w:spacing w:val="-3"/>
                <w:sz w:val="15"/>
              </w:rPr>
              <w:t> </w:t>
            </w:r>
            <w:r>
              <w:rPr>
                <w:color w:val="231F20"/>
                <w:sz w:val="15"/>
              </w:rPr>
              <w:t>or other sounds</w:t>
            </w:r>
          </w:p>
        </w:tc>
        <w:tc>
          <w:tcPr>
            <w:tcW w:w="1953" w:type="dxa"/>
            <w:tcBorders>
              <w:top w:val="single" w:sz="4" w:space="0" w:color="FFFFFF"/>
              <w:bottom w:val="single" w:sz="8" w:space="0" w:color="231F20"/>
            </w:tcBorders>
            <w:shd w:val="clear" w:color="auto" w:fill="E8F5F1"/>
          </w:tcPr>
          <w:p>
            <w:pPr>
              <w:pStyle w:val="TableParagraph"/>
              <w:spacing w:line="230" w:lineRule="auto" w:before="48"/>
              <w:ind w:left="171"/>
              <w:rPr>
                <w:sz w:val="15"/>
              </w:rPr>
            </w:pPr>
            <w:r>
              <w:rPr>
                <w:color w:val="231F20"/>
                <w:sz w:val="15"/>
              </w:rPr>
              <w:t>Severe</w:t>
            </w:r>
            <w:r>
              <w:rPr>
                <w:color w:val="231F20"/>
                <w:spacing w:val="-7"/>
                <w:sz w:val="15"/>
              </w:rPr>
              <w:t> </w:t>
            </w:r>
            <w:r>
              <w:rPr>
                <w:color w:val="231F20"/>
                <w:sz w:val="15"/>
              </w:rPr>
              <w:t>speech</w:t>
            </w:r>
            <w:r>
              <w:rPr>
                <w:color w:val="231F20"/>
                <w:spacing w:val="-7"/>
                <w:sz w:val="15"/>
              </w:rPr>
              <w:t> </w:t>
            </w:r>
            <w:r>
              <w:rPr>
                <w:color w:val="231F20"/>
                <w:sz w:val="15"/>
              </w:rPr>
              <w:t>problems Language retardation Learning dysfunction </w:t>
            </w:r>
            <w:r>
              <w:rPr>
                <w:color w:val="231F20"/>
                <w:spacing w:val="-2"/>
                <w:sz w:val="15"/>
              </w:rPr>
              <w:t>Inattention</w:t>
            </w:r>
          </w:p>
        </w:tc>
        <w:tc>
          <w:tcPr>
            <w:tcW w:w="1734" w:type="dxa"/>
            <w:tcBorders>
              <w:top w:val="single" w:sz="4" w:space="0" w:color="FFFFFF"/>
              <w:bottom w:val="single" w:sz="8" w:space="0" w:color="231F20"/>
            </w:tcBorders>
            <w:shd w:val="clear" w:color="auto" w:fill="E8F5F1"/>
          </w:tcPr>
          <w:p>
            <w:pPr>
              <w:pStyle w:val="TableParagraph"/>
              <w:spacing w:line="230" w:lineRule="auto" w:before="48"/>
              <w:ind w:left="245" w:hanging="112"/>
              <w:rPr>
                <w:sz w:val="15"/>
              </w:rPr>
            </w:pPr>
            <w:r>
              <w:rPr>
                <w:color w:val="231F20"/>
                <w:sz w:val="15"/>
              </w:rPr>
              <w:t>All of the above; probable</w:t>
            </w:r>
            <w:r>
              <w:rPr>
                <w:color w:val="231F20"/>
                <w:spacing w:val="-12"/>
                <w:sz w:val="15"/>
              </w:rPr>
              <w:t> </w:t>
            </w:r>
            <w:r>
              <w:rPr>
                <w:color w:val="231F20"/>
                <w:sz w:val="15"/>
              </w:rPr>
              <w:t>assignment to special classes or </w:t>
            </w:r>
            <w:r>
              <w:rPr>
                <w:color w:val="231F20"/>
                <w:spacing w:val="-2"/>
                <w:sz w:val="15"/>
              </w:rPr>
              <w:t>schools</w:t>
            </w:r>
          </w:p>
        </w:tc>
      </w:tr>
    </w:tbl>
    <w:p>
      <w:pPr>
        <w:pStyle w:val="BodyText"/>
        <w:spacing w:line="150" w:lineRule="exact" w:before="76"/>
        <w:ind w:right="4256"/>
        <w:jc w:val="right"/>
      </w:pPr>
      <w:r>
        <w:rPr>
          <w:color w:val="231F20"/>
        </w:rPr>
        <w:t>ANSI,</w:t>
      </w:r>
      <w:r>
        <w:rPr>
          <w:color w:val="231F20"/>
          <w:spacing w:val="1"/>
        </w:rPr>
        <w:t> </w:t>
      </w:r>
      <w:r>
        <w:rPr>
          <w:color w:val="231F20"/>
        </w:rPr>
        <w:t>American</w:t>
      </w:r>
      <w:r>
        <w:rPr>
          <w:color w:val="231F20"/>
          <w:spacing w:val="1"/>
        </w:rPr>
        <w:t> </w:t>
      </w:r>
      <w:r>
        <w:rPr>
          <w:color w:val="231F20"/>
        </w:rPr>
        <w:t>National</w:t>
      </w:r>
      <w:r>
        <w:rPr>
          <w:color w:val="231F20"/>
          <w:spacing w:val="2"/>
        </w:rPr>
        <w:t> </w:t>
      </w:r>
      <w:r>
        <w:rPr>
          <w:color w:val="231F20"/>
        </w:rPr>
        <w:t>Standards</w:t>
      </w:r>
      <w:r>
        <w:rPr>
          <w:color w:val="231F20"/>
          <w:spacing w:val="1"/>
        </w:rPr>
        <w:t> </w:t>
      </w:r>
      <w:r>
        <w:rPr>
          <w:color w:val="231F20"/>
        </w:rPr>
        <w:t>Institute;</w:t>
      </w:r>
      <w:r>
        <w:rPr>
          <w:color w:val="231F20"/>
          <w:spacing w:val="2"/>
        </w:rPr>
        <w:t> </w:t>
      </w:r>
      <w:r>
        <w:rPr>
          <w:color w:val="231F20"/>
        </w:rPr>
        <w:t>SNHL,</w:t>
      </w:r>
      <w:r>
        <w:rPr>
          <w:color w:val="231F20"/>
          <w:spacing w:val="1"/>
        </w:rPr>
        <w:t> </w:t>
      </w:r>
      <w:r>
        <w:rPr>
          <w:color w:val="231F20"/>
        </w:rPr>
        <w:t>sensorineural</w:t>
      </w:r>
      <w:r>
        <w:rPr>
          <w:color w:val="231F20"/>
          <w:spacing w:val="2"/>
        </w:rPr>
        <w:t> </w:t>
      </w:r>
      <w:r>
        <w:rPr>
          <w:color w:val="231F20"/>
        </w:rPr>
        <w:t>hearing</w:t>
      </w:r>
      <w:r>
        <w:rPr>
          <w:color w:val="231F20"/>
          <w:spacing w:val="1"/>
        </w:rPr>
        <w:t> </w:t>
      </w:r>
      <w:r>
        <w:rPr>
          <w:color w:val="231F20"/>
        </w:rPr>
        <w:t>loss;</w:t>
      </w:r>
      <w:r>
        <w:rPr>
          <w:color w:val="231F20"/>
          <w:spacing w:val="1"/>
        </w:rPr>
        <w:t> </w:t>
      </w:r>
      <w:r>
        <w:rPr>
          <w:color w:val="231F20"/>
        </w:rPr>
        <w:t>TM,</w:t>
      </w:r>
      <w:r>
        <w:rPr>
          <w:color w:val="231F20"/>
          <w:spacing w:val="2"/>
        </w:rPr>
        <w:t> </w:t>
      </w:r>
      <w:r>
        <w:rPr>
          <w:color w:val="231F20"/>
        </w:rPr>
        <w:t>tympanic</w:t>
      </w:r>
      <w:r>
        <w:rPr>
          <w:color w:val="231F20"/>
          <w:spacing w:val="1"/>
        </w:rPr>
        <w:t> </w:t>
      </w:r>
      <w:r>
        <w:rPr>
          <w:color w:val="231F20"/>
          <w:spacing w:val="-2"/>
        </w:rPr>
        <w:t>membrane.</w:t>
      </w:r>
    </w:p>
    <w:p>
      <w:pPr>
        <w:spacing w:line="150" w:lineRule="exact" w:before="0"/>
        <w:ind w:left="0" w:right="4333" w:firstLine="0"/>
        <w:jc w:val="right"/>
        <w:rPr>
          <w:i/>
          <w:sz w:val="13"/>
        </w:rPr>
      </w:pPr>
      <w:r>
        <w:rPr>
          <w:i/>
          <w:color w:val="231F20"/>
          <w:sz w:val="13"/>
        </w:rPr>
        <w:t>Modified</w:t>
      </w:r>
      <w:r>
        <w:rPr>
          <w:i/>
          <w:color w:val="231F20"/>
          <w:spacing w:val="-6"/>
          <w:sz w:val="13"/>
        </w:rPr>
        <w:t> </w:t>
      </w:r>
      <w:r>
        <w:rPr>
          <w:i/>
          <w:color w:val="231F20"/>
          <w:sz w:val="13"/>
        </w:rPr>
        <w:t>from</w:t>
      </w:r>
      <w:r>
        <w:rPr>
          <w:i/>
          <w:color w:val="231F20"/>
          <w:spacing w:val="-5"/>
          <w:sz w:val="13"/>
        </w:rPr>
        <w:t> </w:t>
      </w:r>
      <w:r>
        <w:rPr>
          <w:i/>
          <w:color w:val="231F20"/>
          <w:sz w:val="13"/>
        </w:rPr>
        <w:t>Northern</w:t>
      </w:r>
      <w:r>
        <w:rPr>
          <w:i/>
          <w:color w:val="231F20"/>
          <w:spacing w:val="-6"/>
          <w:sz w:val="13"/>
        </w:rPr>
        <w:t> </w:t>
      </w:r>
      <w:r>
        <w:rPr>
          <w:i/>
          <w:color w:val="231F20"/>
          <w:sz w:val="13"/>
        </w:rPr>
        <w:t>JL,</w:t>
      </w:r>
      <w:r>
        <w:rPr>
          <w:i/>
          <w:color w:val="231F20"/>
          <w:spacing w:val="-5"/>
          <w:sz w:val="13"/>
        </w:rPr>
        <w:t> </w:t>
      </w:r>
      <w:r>
        <w:rPr>
          <w:i/>
          <w:color w:val="231F20"/>
          <w:sz w:val="13"/>
        </w:rPr>
        <w:t>Downs</w:t>
      </w:r>
      <w:r>
        <w:rPr>
          <w:i/>
          <w:color w:val="231F20"/>
          <w:spacing w:val="-5"/>
          <w:sz w:val="13"/>
        </w:rPr>
        <w:t> </w:t>
      </w:r>
      <w:r>
        <w:rPr>
          <w:i/>
          <w:color w:val="231F20"/>
          <w:sz w:val="13"/>
        </w:rPr>
        <w:t>MP:</w:t>
      </w:r>
      <w:r>
        <w:rPr>
          <w:i/>
          <w:color w:val="231F20"/>
          <w:spacing w:val="-6"/>
          <w:sz w:val="13"/>
        </w:rPr>
        <w:t> </w:t>
      </w:r>
      <w:r>
        <w:rPr>
          <w:color w:val="231F20"/>
          <w:sz w:val="13"/>
        </w:rPr>
        <w:t>Hearing</w:t>
      </w:r>
      <w:r>
        <w:rPr>
          <w:color w:val="231F20"/>
          <w:spacing w:val="-5"/>
          <w:sz w:val="13"/>
        </w:rPr>
        <w:t> </w:t>
      </w:r>
      <w:r>
        <w:rPr>
          <w:color w:val="231F20"/>
          <w:sz w:val="13"/>
        </w:rPr>
        <w:t>in</w:t>
      </w:r>
      <w:r>
        <w:rPr>
          <w:color w:val="231F20"/>
          <w:spacing w:val="-5"/>
          <w:sz w:val="13"/>
        </w:rPr>
        <w:t> </w:t>
      </w:r>
      <w:r>
        <w:rPr>
          <w:color w:val="231F20"/>
          <w:sz w:val="13"/>
        </w:rPr>
        <w:t>children,</w:t>
      </w:r>
      <w:r>
        <w:rPr>
          <w:color w:val="231F20"/>
          <w:spacing w:val="-6"/>
          <w:sz w:val="13"/>
        </w:rPr>
        <w:t> </w:t>
      </w:r>
      <w:r>
        <w:rPr>
          <w:i/>
          <w:color w:val="231F20"/>
          <w:sz w:val="13"/>
        </w:rPr>
        <w:t>ed</w:t>
      </w:r>
      <w:r>
        <w:rPr>
          <w:i/>
          <w:color w:val="231F20"/>
          <w:spacing w:val="-5"/>
          <w:sz w:val="13"/>
        </w:rPr>
        <w:t> </w:t>
      </w:r>
      <w:r>
        <w:rPr>
          <w:i/>
          <w:color w:val="231F20"/>
          <w:sz w:val="13"/>
        </w:rPr>
        <w:t>4,</w:t>
      </w:r>
      <w:r>
        <w:rPr>
          <w:i/>
          <w:color w:val="231F20"/>
          <w:spacing w:val="-6"/>
          <w:sz w:val="13"/>
        </w:rPr>
        <w:t> </w:t>
      </w:r>
      <w:r>
        <w:rPr>
          <w:i/>
          <w:color w:val="231F20"/>
          <w:sz w:val="13"/>
        </w:rPr>
        <w:t>Baltimore,</w:t>
      </w:r>
      <w:r>
        <w:rPr>
          <w:i/>
          <w:color w:val="231F20"/>
          <w:spacing w:val="-5"/>
          <w:sz w:val="13"/>
        </w:rPr>
        <w:t> </w:t>
      </w:r>
      <w:r>
        <w:rPr>
          <w:i/>
          <w:color w:val="231F20"/>
          <w:sz w:val="13"/>
        </w:rPr>
        <w:t>1991,</w:t>
      </w:r>
      <w:r>
        <w:rPr>
          <w:i/>
          <w:color w:val="231F20"/>
          <w:spacing w:val="-5"/>
          <w:sz w:val="13"/>
        </w:rPr>
        <w:t> </w:t>
      </w:r>
      <w:r>
        <w:rPr>
          <w:i/>
          <w:color w:val="231F20"/>
          <w:sz w:val="13"/>
        </w:rPr>
        <w:t>Williams</w:t>
      </w:r>
      <w:r>
        <w:rPr>
          <w:i/>
          <w:color w:val="231F20"/>
          <w:spacing w:val="-6"/>
          <w:sz w:val="13"/>
        </w:rPr>
        <w:t> </w:t>
      </w:r>
      <w:r>
        <w:rPr>
          <w:i/>
          <w:color w:val="231F20"/>
          <w:sz w:val="13"/>
        </w:rPr>
        <w:t>&amp;</w:t>
      </w:r>
      <w:r>
        <w:rPr>
          <w:i/>
          <w:color w:val="231F20"/>
          <w:spacing w:val="-5"/>
          <w:sz w:val="13"/>
        </w:rPr>
        <w:t> </w:t>
      </w:r>
      <w:r>
        <w:rPr>
          <w:i/>
          <w:color w:val="231F20"/>
          <w:spacing w:val="-2"/>
          <w:sz w:val="13"/>
        </w:rPr>
        <w:t>Wilkins.</w:t>
      </w:r>
    </w:p>
    <w:p>
      <w:pPr>
        <w:pStyle w:val="BodyText"/>
        <w:rPr>
          <w:i/>
          <w:sz w:val="20"/>
        </w:rPr>
      </w:pPr>
    </w:p>
    <w:p>
      <w:pPr>
        <w:pStyle w:val="BodyText"/>
        <w:spacing w:before="54"/>
        <w:rPr>
          <w:i/>
          <w:sz w:val="20"/>
        </w:rPr>
      </w:pPr>
      <w:r>
        <w:rPr>
          <w:i/>
          <w:sz w:val="20"/>
        </w:rPr>
        <mc:AlternateContent>
          <mc:Choice Requires="wps">
            <w:drawing>
              <wp:anchor distT="0" distB="0" distL="0" distR="0" allowOverlap="1" layoutInCell="1" locked="0" behindDoc="1" simplePos="0" relativeHeight="487688704">
                <wp:simplePos x="0" y="0"/>
                <wp:positionH relativeFrom="page">
                  <wp:posOffset>1668467</wp:posOffset>
                </wp:positionH>
                <wp:positionV relativeFrom="paragraph">
                  <wp:posOffset>197548</wp:posOffset>
                </wp:positionV>
                <wp:extent cx="4006850" cy="2205990"/>
                <wp:effectExtent l="0" t="0" r="0" b="0"/>
                <wp:wrapTopAndBottom/>
                <wp:docPr id="1329" name="Group 1329"/>
                <wp:cNvGraphicFramePr>
                  <a:graphicFrameLocks/>
                </wp:cNvGraphicFramePr>
                <a:graphic>
                  <a:graphicData uri="http://schemas.microsoft.com/office/word/2010/wordprocessingGroup">
                    <wpg:wgp>
                      <wpg:cNvPr id="1329" name="Group 1329"/>
                      <wpg:cNvGrpSpPr/>
                      <wpg:grpSpPr>
                        <a:xfrm>
                          <a:off x="0" y="0"/>
                          <a:ext cx="4006850" cy="2205990"/>
                          <a:chExt cx="4006850" cy="2205990"/>
                        </a:xfrm>
                      </wpg:grpSpPr>
                      <wps:wsp>
                        <wps:cNvPr id="1330" name="Graphic 1330"/>
                        <wps:cNvSpPr/>
                        <wps:spPr>
                          <a:xfrm>
                            <a:off x="38546" y="621767"/>
                            <a:ext cx="457834" cy="403225"/>
                          </a:xfrm>
                          <a:custGeom>
                            <a:avLst/>
                            <a:gdLst/>
                            <a:ahLst/>
                            <a:cxnLst/>
                            <a:rect l="l" t="t" r="r" b="b"/>
                            <a:pathLst>
                              <a:path w="457834" h="403225">
                                <a:moveTo>
                                  <a:pt x="457377" y="0"/>
                                </a:moveTo>
                                <a:lnTo>
                                  <a:pt x="0" y="0"/>
                                </a:lnTo>
                                <a:lnTo>
                                  <a:pt x="0" y="403186"/>
                                </a:lnTo>
                                <a:lnTo>
                                  <a:pt x="457377" y="403186"/>
                                </a:lnTo>
                                <a:lnTo>
                                  <a:pt x="457377" y="0"/>
                                </a:lnTo>
                                <a:close/>
                              </a:path>
                            </a:pathLst>
                          </a:custGeom>
                          <a:solidFill>
                            <a:srgbClr val="F8EBD0"/>
                          </a:solidFill>
                        </wps:spPr>
                        <wps:bodyPr wrap="square" lIns="0" tIns="0" rIns="0" bIns="0" rtlCol="0">
                          <a:prstTxWarp prst="textNoShape">
                            <a:avLst/>
                          </a:prstTxWarp>
                          <a:noAutofit/>
                        </wps:bodyPr>
                      </wps:wsp>
                      <wps:wsp>
                        <wps:cNvPr id="1331" name="Graphic 1331"/>
                        <wps:cNvSpPr/>
                        <wps:spPr>
                          <a:xfrm>
                            <a:off x="38545" y="621774"/>
                            <a:ext cx="457834" cy="403225"/>
                          </a:xfrm>
                          <a:custGeom>
                            <a:avLst/>
                            <a:gdLst/>
                            <a:ahLst/>
                            <a:cxnLst/>
                            <a:rect l="l" t="t" r="r" b="b"/>
                            <a:pathLst>
                              <a:path w="457834" h="403225">
                                <a:moveTo>
                                  <a:pt x="457378" y="403180"/>
                                </a:moveTo>
                                <a:lnTo>
                                  <a:pt x="0" y="403180"/>
                                </a:lnTo>
                                <a:lnTo>
                                  <a:pt x="0" y="0"/>
                                </a:lnTo>
                                <a:lnTo>
                                  <a:pt x="457378" y="0"/>
                                </a:lnTo>
                                <a:lnTo>
                                  <a:pt x="457378" y="403180"/>
                                </a:lnTo>
                                <a:close/>
                              </a:path>
                            </a:pathLst>
                          </a:custGeom>
                          <a:ln w="11849">
                            <a:solidFill>
                              <a:srgbClr val="231F20"/>
                            </a:solidFill>
                            <a:prstDash val="solid"/>
                          </a:ln>
                        </wps:spPr>
                        <wps:bodyPr wrap="square" lIns="0" tIns="0" rIns="0" bIns="0" rtlCol="0">
                          <a:prstTxWarp prst="textNoShape">
                            <a:avLst/>
                          </a:prstTxWarp>
                          <a:noAutofit/>
                        </wps:bodyPr>
                      </wps:wsp>
                      <wps:wsp>
                        <wps:cNvPr id="1332" name="Graphic 1332"/>
                        <wps:cNvSpPr/>
                        <wps:spPr>
                          <a:xfrm>
                            <a:off x="855744" y="696828"/>
                            <a:ext cx="446405" cy="253365"/>
                          </a:xfrm>
                          <a:custGeom>
                            <a:avLst/>
                            <a:gdLst/>
                            <a:ahLst/>
                            <a:cxnLst/>
                            <a:rect l="l" t="t" r="r" b="b"/>
                            <a:pathLst>
                              <a:path w="446405" h="253365">
                                <a:moveTo>
                                  <a:pt x="446303" y="0"/>
                                </a:moveTo>
                                <a:lnTo>
                                  <a:pt x="0" y="0"/>
                                </a:lnTo>
                                <a:lnTo>
                                  <a:pt x="0" y="253085"/>
                                </a:lnTo>
                                <a:lnTo>
                                  <a:pt x="446303" y="253085"/>
                                </a:lnTo>
                                <a:lnTo>
                                  <a:pt x="446303" y="0"/>
                                </a:lnTo>
                                <a:close/>
                              </a:path>
                            </a:pathLst>
                          </a:custGeom>
                          <a:solidFill>
                            <a:srgbClr val="D7EDDD"/>
                          </a:solidFill>
                        </wps:spPr>
                        <wps:bodyPr wrap="square" lIns="0" tIns="0" rIns="0" bIns="0" rtlCol="0">
                          <a:prstTxWarp prst="textNoShape">
                            <a:avLst/>
                          </a:prstTxWarp>
                          <a:noAutofit/>
                        </wps:bodyPr>
                      </wps:wsp>
                      <wps:wsp>
                        <wps:cNvPr id="1333" name="Graphic 1333"/>
                        <wps:cNvSpPr/>
                        <wps:spPr>
                          <a:xfrm>
                            <a:off x="855747" y="696827"/>
                            <a:ext cx="446405" cy="253365"/>
                          </a:xfrm>
                          <a:custGeom>
                            <a:avLst/>
                            <a:gdLst/>
                            <a:ahLst/>
                            <a:cxnLst/>
                            <a:rect l="l" t="t" r="r" b="b"/>
                            <a:pathLst>
                              <a:path w="446405" h="253365">
                                <a:moveTo>
                                  <a:pt x="446299" y="253086"/>
                                </a:moveTo>
                                <a:lnTo>
                                  <a:pt x="0" y="253086"/>
                                </a:lnTo>
                                <a:lnTo>
                                  <a:pt x="0" y="0"/>
                                </a:lnTo>
                                <a:lnTo>
                                  <a:pt x="446299" y="0"/>
                                </a:lnTo>
                                <a:lnTo>
                                  <a:pt x="446299" y="253086"/>
                                </a:lnTo>
                                <a:close/>
                              </a:path>
                            </a:pathLst>
                          </a:custGeom>
                          <a:ln w="11849">
                            <a:solidFill>
                              <a:srgbClr val="231F20"/>
                            </a:solidFill>
                            <a:prstDash val="solid"/>
                          </a:ln>
                        </wps:spPr>
                        <wps:bodyPr wrap="square" lIns="0" tIns="0" rIns="0" bIns="0" rtlCol="0">
                          <a:prstTxWarp prst="textNoShape">
                            <a:avLst/>
                          </a:prstTxWarp>
                          <a:noAutofit/>
                        </wps:bodyPr>
                      </wps:wsp>
                      <wps:wsp>
                        <wps:cNvPr id="1334" name="Graphic 1334"/>
                        <wps:cNvSpPr/>
                        <wps:spPr>
                          <a:xfrm>
                            <a:off x="5926" y="1239258"/>
                            <a:ext cx="523240" cy="426084"/>
                          </a:xfrm>
                          <a:custGeom>
                            <a:avLst/>
                            <a:gdLst/>
                            <a:ahLst/>
                            <a:cxnLst/>
                            <a:rect l="l" t="t" r="r" b="b"/>
                            <a:pathLst>
                              <a:path w="523240" h="426084">
                                <a:moveTo>
                                  <a:pt x="522630" y="0"/>
                                </a:moveTo>
                                <a:lnTo>
                                  <a:pt x="0" y="0"/>
                                </a:lnTo>
                                <a:lnTo>
                                  <a:pt x="0" y="425907"/>
                                </a:lnTo>
                                <a:lnTo>
                                  <a:pt x="522630" y="425907"/>
                                </a:lnTo>
                                <a:lnTo>
                                  <a:pt x="522630" y="0"/>
                                </a:lnTo>
                                <a:close/>
                              </a:path>
                            </a:pathLst>
                          </a:custGeom>
                          <a:solidFill>
                            <a:srgbClr val="D7EDDD"/>
                          </a:solidFill>
                        </wps:spPr>
                        <wps:bodyPr wrap="square" lIns="0" tIns="0" rIns="0" bIns="0" rtlCol="0">
                          <a:prstTxWarp prst="textNoShape">
                            <a:avLst/>
                          </a:prstTxWarp>
                          <a:noAutofit/>
                        </wps:bodyPr>
                      </wps:wsp>
                      <wps:wsp>
                        <wps:cNvPr id="1335" name="Graphic 1335"/>
                        <wps:cNvSpPr/>
                        <wps:spPr>
                          <a:xfrm>
                            <a:off x="5924" y="1239258"/>
                            <a:ext cx="523240" cy="426084"/>
                          </a:xfrm>
                          <a:custGeom>
                            <a:avLst/>
                            <a:gdLst/>
                            <a:ahLst/>
                            <a:cxnLst/>
                            <a:rect l="l" t="t" r="r" b="b"/>
                            <a:pathLst>
                              <a:path w="523240" h="426084">
                                <a:moveTo>
                                  <a:pt x="522631" y="425907"/>
                                </a:moveTo>
                                <a:lnTo>
                                  <a:pt x="0" y="425907"/>
                                </a:lnTo>
                                <a:lnTo>
                                  <a:pt x="0" y="0"/>
                                </a:lnTo>
                                <a:lnTo>
                                  <a:pt x="522631" y="0"/>
                                </a:lnTo>
                                <a:lnTo>
                                  <a:pt x="522631" y="425907"/>
                                </a:lnTo>
                                <a:close/>
                              </a:path>
                            </a:pathLst>
                          </a:custGeom>
                          <a:ln w="11849">
                            <a:solidFill>
                              <a:srgbClr val="231F20"/>
                            </a:solidFill>
                            <a:prstDash val="solid"/>
                          </a:ln>
                        </wps:spPr>
                        <wps:bodyPr wrap="square" lIns="0" tIns="0" rIns="0" bIns="0" rtlCol="0">
                          <a:prstTxWarp prst="textNoShape">
                            <a:avLst/>
                          </a:prstTxWarp>
                          <a:noAutofit/>
                        </wps:bodyPr>
                      </wps:wsp>
                      <wps:wsp>
                        <wps:cNvPr id="1336" name="Graphic 1336"/>
                        <wps:cNvSpPr/>
                        <wps:spPr>
                          <a:xfrm>
                            <a:off x="1382460" y="1235811"/>
                            <a:ext cx="586105" cy="433070"/>
                          </a:xfrm>
                          <a:custGeom>
                            <a:avLst/>
                            <a:gdLst/>
                            <a:ahLst/>
                            <a:cxnLst/>
                            <a:rect l="l" t="t" r="r" b="b"/>
                            <a:pathLst>
                              <a:path w="586105" h="433070">
                                <a:moveTo>
                                  <a:pt x="585736" y="0"/>
                                </a:moveTo>
                                <a:lnTo>
                                  <a:pt x="0" y="0"/>
                                </a:lnTo>
                                <a:lnTo>
                                  <a:pt x="0" y="432790"/>
                                </a:lnTo>
                                <a:lnTo>
                                  <a:pt x="585736" y="432790"/>
                                </a:lnTo>
                                <a:lnTo>
                                  <a:pt x="585736" y="0"/>
                                </a:lnTo>
                                <a:close/>
                              </a:path>
                            </a:pathLst>
                          </a:custGeom>
                          <a:solidFill>
                            <a:srgbClr val="F8EBD0"/>
                          </a:solidFill>
                        </wps:spPr>
                        <wps:bodyPr wrap="square" lIns="0" tIns="0" rIns="0" bIns="0" rtlCol="0">
                          <a:prstTxWarp prst="textNoShape">
                            <a:avLst/>
                          </a:prstTxWarp>
                          <a:noAutofit/>
                        </wps:bodyPr>
                      </wps:wsp>
                      <wps:wsp>
                        <wps:cNvPr id="1337" name="Graphic 1337"/>
                        <wps:cNvSpPr/>
                        <wps:spPr>
                          <a:xfrm>
                            <a:off x="1382456" y="1235810"/>
                            <a:ext cx="586105" cy="433070"/>
                          </a:xfrm>
                          <a:custGeom>
                            <a:avLst/>
                            <a:gdLst/>
                            <a:ahLst/>
                            <a:cxnLst/>
                            <a:rect l="l" t="t" r="r" b="b"/>
                            <a:pathLst>
                              <a:path w="586105" h="433070">
                                <a:moveTo>
                                  <a:pt x="585740" y="432791"/>
                                </a:moveTo>
                                <a:lnTo>
                                  <a:pt x="0" y="432791"/>
                                </a:lnTo>
                                <a:lnTo>
                                  <a:pt x="0" y="0"/>
                                </a:lnTo>
                                <a:lnTo>
                                  <a:pt x="585740" y="0"/>
                                </a:lnTo>
                                <a:lnTo>
                                  <a:pt x="585740" y="432791"/>
                                </a:lnTo>
                                <a:close/>
                              </a:path>
                            </a:pathLst>
                          </a:custGeom>
                          <a:ln w="11849">
                            <a:solidFill>
                              <a:srgbClr val="231F20"/>
                            </a:solidFill>
                            <a:prstDash val="solid"/>
                          </a:ln>
                        </wps:spPr>
                        <wps:bodyPr wrap="square" lIns="0" tIns="0" rIns="0" bIns="0" rtlCol="0">
                          <a:prstTxWarp prst="textNoShape">
                            <a:avLst/>
                          </a:prstTxWarp>
                          <a:noAutofit/>
                        </wps:bodyPr>
                      </wps:wsp>
                      <wps:wsp>
                        <wps:cNvPr id="1338" name="Graphic 1338"/>
                        <wps:cNvSpPr/>
                        <wps:spPr>
                          <a:xfrm>
                            <a:off x="2491312" y="1315786"/>
                            <a:ext cx="457834" cy="273050"/>
                          </a:xfrm>
                          <a:custGeom>
                            <a:avLst/>
                            <a:gdLst/>
                            <a:ahLst/>
                            <a:cxnLst/>
                            <a:rect l="l" t="t" r="r" b="b"/>
                            <a:pathLst>
                              <a:path w="457834" h="273050">
                                <a:moveTo>
                                  <a:pt x="457415" y="0"/>
                                </a:moveTo>
                                <a:lnTo>
                                  <a:pt x="0" y="0"/>
                                </a:lnTo>
                                <a:lnTo>
                                  <a:pt x="0" y="272834"/>
                                </a:lnTo>
                                <a:lnTo>
                                  <a:pt x="457415" y="272834"/>
                                </a:lnTo>
                                <a:lnTo>
                                  <a:pt x="457415" y="0"/>
                                </a:lnTo>
                                <a:close/>
                              </a:path>
                            </a:pathLst>
                          </a:custGeom>
                          <a:solidFill>
                            <a:srgbClr val="F8EBD0"/>
                          </a:solidFill>
                        </wps:spPr>
                        <wps:bodyPr wrap="square" lIns="0" tIns="0" rIns="0" bIns="0" rtlCol="0">
                          <a:prstTxWarp prst="textNoShape">
                            <a:avLst/>
                          </a:prstTxWarp>
                          <a:noAutofit/>
                        </wps:bodyPr>
                      </wps:wsp>
                      <wps:wsp>
                        <wps:cNvPr id="1339" name="Graphic 1339"/>
                        <wps:cNvSpPr/>
                        <wps:spPr>
                          <a:xfrm>
                            <a:off x="2491314" y="1315792"/>
                            <a:ext cx="457834" cy="273050"/>
                          </a:xfrm>
                          <a:custGeom>
                            <a:avLst/>
                            <a:gdLst/>
                            <a:ahLst/>
                            <a:cxnLst/>
                            <a:rect l="l" t="t" r="r" b="b"/>
                            <a:pathLst>
                              <a:path w="457834" h="273050">
                                <a:moveTo>
                                  <a:pt x="457414" y="272827"/>
                                </a:moveTo>
                                <a:lnTo>
                                  <a:pt x="0" y="272827"/>
                                </a:lnTo>
                                <a:lnTo>
                                  <a:pt x="0" y="0"/>
                                </a:lnTo>
                                <a:lnTo>
                                  <a:pt x="457414" y="0"/>
                                </a:lnTo>
                                <a:lnTo>
                                  <a:pt x="457414" y="272827"/>
                                </a:lnTo>
                                <a:close/>
                              </a:path>
                            </a:pathLst>
                          </a:custGeom>
                          <a:ln w="11849">
                            <a:solidFill>
                              <a:srgbClr val="231F20"/>
                            </a:solidFill>
                            <a:prstDash val="solid"/>
                          </a:ln>
                        </wps:spPr>
                        <wps:bodyPr wrap="square" lIns="0" tIns="0" rIns="0" bIns="0" rtlCol="0">
                          <a:prstTxWarp prst="textNoShape">
                            <a:avLst/>
                          </a:prstTxWarp>
                          <a:noAutofit/>
                        </wps:bodyPr>
                      </wps:wsp>
                      <wps:wsp>
                        <wps:cNvPr id="1340" name="Graphic 1340"/>
                        <wps:cNvSpPr/>
                        <wps:spPr>
                          <a:xfrm>
                            <a:off x="1370610" y="1861791"/>
                            <a:ext cx="609600" cy="338455"/>
                          </a:xfrm>
                          <a:custGeom>
                            <a:avLst/>
                            <a:gdLst/>
                            <a:ahLst/>
                            <a:cxnLst/>
                            <a:rect l="l" t="t" r="r" b="b"/>
                            <a:pathLst>
                              <a:path w="609600" h="338455">
                                <a:moveTo>
                                  <a:pt x="609434" y="0"/>
                                </a:moveTo>
                                <a:lnTo>
                                  <a:pt x="0" y="0"/>
                                </a:lnTo>
                                <a:lnTo>
                                  <a:pt x="0" y="337997"/>
                                </a:lnTo>
                                <a:lnTo>
                                  <a:pt x="609434" y="337997"/>
                                </a:lnTo>
                                <a:lnTo>
                                  <a:pt x="609434" y="0"/>
                                </a:lnTo>
                                <a:close/>
                              </a:path>
                            </a:pathLst>
                          </a:custGeom>
                          <a:solidFill>
                            <a:srgbClr val="D7EDDD"/>
                          </a:solidFill>
                        </wps:spPr>
                        <wps:bodyPr wrap="square" lIns="0" tIns="0" rIns="0" bIns="0" rtlCol="0">
                          <a:prstTxWarp prst="textNoShape">
                            <a:avLst/>
                          </a:prstTxWarp>
                          <a:noAutofit/>
                        </wps:bodyPr>
                      </wps:wsp>
                      <wps:wsp>
                        <wps:cNvPr id="1341" name="Graphic 1341"/>
                        <wps:cNvSpPr/>
                        <wps:spPr>
                          <a:xfrm>
                            <a:off x="1370606" y="1861791"/>
                            <a:ext cx="609600" cy="338455"/>
                          </a:xfrm>
                          <a:custGeom>
                            <a:avLst/>
                            <a:gdLst/>
                            <a:ahLst/>
                            <a:cxnLst/>
                            <a:rect l="l" t="t" r="r" b="b"/>
                            <a:pathLst>
                              <a:path w="609600" h="338455">
                                <a:moveTo>
                                  <a:pt x="609439" y="337997"/>
                                </a:moveTo>
                                <a:lnTo>
                                  <a:pt x="0" y="337997"/>
                                </a:lnTo>
                                <a:lnTo>
                                  <a:pt x="0" y="0"/>
                                </a:lnTo>
                                <a:lnTo>
                                  <a:pt x="609439" y="0"/>
                                </a:lnTo>
                                <a:lnTo>
                                  <a:pt x="609439" y="337997"/>
                                </a:lnTo>
                                <a:close/>
                              </a:path>
                            </a:pathLst>
                          </a:custGeom>
                          <a:ln w="11849">
                            <a:solidFill>
                              <a:srgbClr val="231F20"/>
                            </a:solidFill>
                            <a:prstDash val="solid"/>
                          </a:ln>
                        </wps:spPr>
                        <wps:bodyPr wrap="square" lIns="0" tIns="0" rIns="0" bIns="0" rtlCol="0">
                          <a:prstTxWarp prst="textNoShape">
                            <a:avLst/>
                          </a:prstTxWarp>
                          <a:noAutofit/>
                        </wps:bodyPr>
                      </wps:wsp>
                      <wps:wsp>
                        <wps:cNvPr id="1342" name="Graphic 1342"/>
                        <wps:cNvSpPr/>
                        <wps:spPr>
                          <a:xfrm>
                            <a:off x="121460" y="1945706"/>
                            <a:ext cx="292100" cy="170180"/>
                          </a:xfrm>
                          <a:custGeom>
                            <a:avLst/>
                            <a:gdLst/>
                            <a:ahLst/>
                            <a:cxnLst/>
                            <a:rect l="l" t="t" r="r" b="b"/>
                            <a:pathLst>
                              <a:path w="292100" h="170180">
                                <a:moveTo>
                                  <a:pt x="291566" y="0"/>
                                </a:moveTo>
                                <a:lnTo>
                                  <a:pt x="0" y="0"/>
                                </a:lnTo>
                                <a:lnTo>
                                  <a:pt x="0" y="170167"/>
                                </a:lnTo>
                                <a:lnTo>
                                  <a:pt x="291566" y="170167"/>
                                </a:lnTo>
                                <a:lnTo>
                                  <a:pt x="291566" y="0"/>
                                </a:lnTo>
                                <a:close/>
                              </a:path>
                            </a:pathLst>
                          </a:custGeom>
                          <a:solidFill>
                            <a:srgbClr val="F1BCB5"/>
                          </a:solidFill>
                        </wps:spPr>
                        <wps:bodyPr wrap="square" lIns="0" tIns="0" rIns="0" bIns="0" rtlCol="0">
                          <a:prstTxWarp prst="textNoShape">
                            <a:avLst/>
                          </a:prstTxWarp>
                          <a:noAutofit/>
                        </wps:bodyPr>
                      </wps:wsp>
                      <wps:wsp>
                        <wps:cNvPr id="1343" name="Graphic 1343"/>
                        <wps:cNvSpPr/>
                        <wps:spPr>
                          <a:xfrm>
                            <a:off x="121454" y="468042"/>
                            <a:ext cx="292100" cy="1647825"/>
                          </a:xfrm>
                          <a:custGeom>
                            <a:avLst/>
                            <a:gdLst/>
                            <a:ahLst/>
                            <a:cxnLst/>
                            <a:rect l="l" t="t" r="r" b="b"/>
                            <a:pathLst>
                              <a:path w="292100" h="1647825">
                                <a:moveTo>
                                  <a:pt x="291572" y="1647830"/>
                                </a:moveTo>
                                <a:lnTo>
                                  <a:pt x="0" y="1647830"/>
                                </a:lnTo>
                                <a:lnTo>
                                  <a:pt x="0" y="1477664"/>
                                </a:lnTo>
                                <a:lnTo>
                                  <a:pt x="291572" y="1477664"/>
                                </a:lnTo>
                                <a:lnTo>
                                  <a:pt x="291572" y="1647830"/>
                                </a:lnTo>
                                <a:close/>
                              </a:path>
                              <a:path w="292100" h="1647825">
                                <a:moveTo>
                                  <a:pt x="145780" y="0"/>
                                </a:moveTo>
                                <a:lnTo>
                                  <a:pt x="145780" y="92826"/>
                                </a:lnTo>
                              </a:path>
                            </a:pathLst>
                          </a:custGeom>
                          <a:ln w="11849">
                            <a:solidFill>
                              <a:srgbClr val="231F20"/>
                            </a:solidFill>
                            <a:prstDash val="solid"/>
                          </a:ln>
                        </wps:spPr>
                        <wps:bodyPr wrap="square" lIns="0" tIns="0" rIns="0" bIns="0" rtlCol="0">
                          <a:prstTxWarp prst="textNoShape">
                            <a:avLst/>
                          </a:prstTxWarp>
                          <a:noAutofit/>
                        </wps:bodyPr>
                      </wps:wsp>
                      <wps:wsp>
                        <wps:cNvPr id="1344" name="Graphic 1344"/>
                        <wps:cNvSpPr/>
                        <wps:spPr>
                          <a:xfrm>
                            <a:off x="228703" y="533471"/>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345" name="Graphic 1345"/>
                        <wps:cNvSpPr/>
                        <wps:spPr>
                          <a:xfrm>
                            <a:off x="267234" y="1024954"/>
                            <a:ext cx="1270" cy="144780"/>
                          </a:xfrm>
                          <a:custGeom>
                            <a:avLst/>
                            <a:gdLst/>
                            <a:ahLst/>
                            <a:cxnLst/>
                            <a:rect l="l" t="t" r="r" b="b"/>
                            <a:pathLst>
                              <a:path w="0" h="144780">
                                <a:moveTo>
                                  <a:pt x="0" y="0"/>
                                </a:moveTo>
                                <a:lnTo>
                                  <a:pt x="0" y="144157"/>
                                </a:lnTo>
                              </a:path>
                            </a:pathLst>
                          </a:custGeom>
                          <a:ln w="11849">
                            <a:solidFill>
                              <a:srgbClr val="231F20"/>
                            </a:solidFill>
                            <a:prstDash val="solid"/>
                          </a:ln>
                        </wps:spPr>
                        <wps:bodyPr wrap="square" lIns="0" tIns="0" rIns="0" bIns="0" rtlCol="0">
                          <a:prstTxWarp prst="textNoShape">
                            <a:avLst/>
                          </a:prstTxWarp>
                          <a:noAutofit/>
                        </wps:bodyPr>
                      </wps:wsp>
                      <wps:wsp>
                        <wps:cNvPr id="1346" name="Graphic 1346"/>
                        <wps:cNvSpPr/>
                        <wps:spPr>
                          <a:xfrm>
                            <a:off x="228703" y="1141738"/>
                            <a:ext cx="77470" cy="94615"/>
                          </a:xfrm>
                          <a:custGeom>
                            <a:avLst/>
                            <a:gdLst/>
                            <a:ahLst/>
                            <a:cxnLst/>
                            <a:rect l="l" t="t" r="r" b="b"/>
                            <a:pathLst>
                              <a:path w="77470" h="94615">
                                <a:moveTo>
                                  <a:pt x="77050" y="0"/>
                                </a:moveTo>
                                <a:lnTo>
                                  <a:pt x="38531" y="22377"/>
                                </a:lnTo>
                                <a:lnTo>
                                  <a:pt x="0" y="0"/>
                                </a:lnTo>
                                <a:lnTo>
                                  <a:pt x="38531" y="94297"/>
                                </a:lnTo>
                                <a:lnTo>
                                  <a:pt x="77050" y="0"/>
                                </a:lnTo>
                                <a:close/>
                              </a:path>
                            </a:pathLst>
                          </a:custGeom>
                          <a:solidFill>
                            <a:srgbClr val="231F20"/>
                          </a:solidFill>
                        </wps:spPr>
                        <wps:bodyPr wrap="square" lIns="0" tIns="0" rIns="0" bIns="0" rtlCol="0">
                          <a:prstTxWarp prst="textNoShape">
                            <a:avLst/>
                          </a:prstTxWarp>
                          <a:noAutofit/>
                        </wps:bodyPr>
                      </wps:wsp>
                      <wps:wsp>
                        <wps:cNvPr id="1347" name="Graphic 1347"/>
                        <wps:cNvSpPr/>
                        <wps:spPr>
                          <a:xfrm>
                            <a:off x="495923" y="823363"/>
                            <a:ext cx="287655" cy="1270"/>
                          </a:xfrm>
                          <a:custGeom>
                            <a:avLst/>
                            <a:gdLst/>
                            <a:ahLst/>
                            <a:cxnLst/>
                            <a:rect l="l" t="t" r="r" b="b"/>
                            <a:pathLst>
                              <a:path w="287655" h="0">
                                <a:moveTo>
                                  <a:pt x="0" y="0"/>
                                </a:moveTo>
                                <a:lnTo>
                                  <a:pt x="287378" y="0"/>
                                </a:lnTo>
                              </a:path>
                            </a:pathLst>
                          </a:custGeom>
                          <a:ln w="11849">
                            <a:solidFill>
                              <a:srgbClr val="231F20"/>
                            </a:solidFill>
                            <a:prstDash val="solid"/>
                          </a:ln>
                        </wps:spPr>
                        <wps:bodyPr wrap="square" lIns="0" tIns="0" rIns="0" bIns="0" rtlCol="0">
                          <a:prstTxWarp prst="textNoShape">
                            <a:avLst/>
                          </a:prstTxWarp>
                          <a:noAutofit/>
                        </wps:bodyPr>
                      </wps:wsp>
                      <wps:wsp>
                        <wps:cNvPr id="1348" name="Graphic 1348"/>
                        <wps:cNvSpPr/>
                        <wps:spPr>
                          <a:xfrm>
                            <a:off x="755902" y="784844"/>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31F20"/>
                          </a:solidFill>
                        </wps:spPr>
                        <wps:bodyPr wrap="square" lIns="0" tIns="0" rIns="0" bIns="0" rtlCol="0">
                          <a:prstTxWarp prst="textNoShape">
                            <a:avLst/>
                          </a:prstTxWarp>
                          <a:noAutofit/>
                        </wps:bodyPr>
                      </wps:wsp>
                      <wps:wsp>
                        <wps:cNvPr id="1349" name="Graphic 1349"/>
                        <wps:cNvSpPr/>
                        <wps:spPr>
                          <a:xfrm>
                            <a:off x="1302047" y="823363"/>
                            <a:ext cx="121285" cy="1270"/>
                          </a:xfrm>
                          <a:custGeom>
                            <a:avLst/>
                            <a:gdLst/>
                            <a:ahLst/>
                            <a:cxnLst/>
                            <a:rect l="l" t="t" r="r" b="b"/>
                            <a:pathLst>
                              <a:path w="121285" h="0">
                                <a:moveTo>
                                  <a:pt x="0" y="0"/>
                                </a:moveTo>
                                <a:lnTo>
                                  <a:pt x="121098" y="0"/>
                                </a:lnTo>
                              </a:path>
                            </a:pathLst>
                          </a:custGeom>
                          <a:ln w="11849">
                            <a:solidFill>
                              <a:srgbClr val="231F20"/>
                            </a:solidFill>
                            <a:prstDash val="solid"/>
                          </a:ln>
                        </wps:spPr>
                        <wps:bodyPr wrap="square" lIns="0" tIns="0" rIns="0" bIns="0" rtlCol="0">
                          <a:prstTxWarp prst="textNoShape">
                            <a:avLst/>
                          </a:prstTxWarp>
                          <a:noAutofit/>
                        </wps:bodyPr>
                      </wps:wsp>
                      <wps:wsp>
                        <wps:cNvPr id="1350" name="Graphic 1350"/>
                        <wps:cNvSpPr/>
                        <wps:spPr>
                          <a:xfrm>
                            <a:off x="1395759" y="784844"/>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31F20"/>
                          </a:solidFill>
                        </wps:spPr>
                        <wps:bodyPr wrap="square" lIns="0" tIns="0" rIns="0" bIns="0" rtlCol="0">
                          <a:prstTxWarp prst="textNoShape">
                            <a:avLst/>
                          </a:prstTxWarp>
                          <a:noAutofit/>
                        </wps:bodyPr>
                      </wps:wsp>
                      <wps:wsp>
                        <wps:cNvPr id="1351" name="Graphic 1351"/>
                        <wps:cNvSpPr/>
                        <wps:spPr>
                          <a:xfrm>
                            <a:off x="1855628" y="823363"/>
                            <a:ext cx="433070" cy="1270"/>
                          </a:xfrm>
                          <a:custGeom>
                            <a:avLst/>
                            <a:gdLst/>
                            <a:ahLst/>
                            <a:cxnLst/>
                            <a:rect l="l" t="t" r="r" b="b"/>
                            <a:pathLst>
                              <a:path w="433070" h="0">
                                <a:moveTo>
                                  <a:pt x="0" y="0"/>
                                </a:moveTo>
                                <a:lnTo>
                                  <a:pt x="432625" y="0"/>
                                </a:lnTo>
                              </a:path>
                            </a:pathLst>
                          </a:custGeom>
                          <a:ln w="11849">
                            <a:solidFill>
                              <a:srgbClr val="231F20"/>
                            </a:solidFill>
                            <a:prstDash val="solid"/>
                          </a:ln>
                        </wps:spPr>
                        <wps:bodyPr wrap="square" lIns="0" tIns="0" rIns="0" bIns="0" rtlCol="0">
                          <a:prstTxWarp prst="textNoShape">
                            <a:avLst/>
                          </a:prstTxWarp>
                          <a:noAutofit/>
                        </wps:bodyPr>
                      </wps:wsp>
                      <wps:wsp>
                        <wps:cNvPr id="1352" name="Graphic 1352"/>
                        <wps:cNvSpPr/>
                        <wps:spPr>
                          <a:xfrm>
                            <a:off x="2260868" y="784844"/>
                            <a:ext cx="94615" cy="77470"/>
                          </a:xfrm>
                          <a:custGeom>
                            <a:avLst/>
                            <a:gdLst/>
                            <a:ahLst/>
                            <a:cxnLst/>
                            <a:rect l="l" t="t" r="r" b="b"/>
                            <a:pathLst>
                              <a:path w="94615" h="77470">
                                <a:moveTo>
                                  <a:pt x="0" y="0"/>
                                </a:moveTo>
                                <a:lnTo>
                                  <a:pt x="22377" y="38519"/>
                                </a:lnTo>
                                <a:lnTo>
                                  <a:pt x="0" y="77050"/>
                                </a:lnTo>
                                <a:lnTo>
                                  <a:pt x="94322" y="38519"/>
                                </a:lnTo>
                                <a:lnTo>
                                  <a:pt x="0" y="0"/>
                                </a:lnTo>
                                <a:close/>
                              </a:path>
                            </a:pathLst>
                          </a:custGeom>
                          <a:solidFill>
                            <a:srgbClr val="231F20"/>
                          </a:solidFill>
                        </wps:spPr>
                        <wps:bodyPr wrap="square" lIns="0" tIns="0" rIns="0" bIns="0" rtlCol="0">
                          <a:prstTxWarp prst="textNoShape">
                            <a:avLst/>
                          </a:prstTxWarp>
                          <a:noAutofit/>
                        </wps:bodyPr>
                      </wps:wsp>
                      <wps:wsp>
                        <wps:cNvPr id="1353" name="Graphic 1353"/>
                        <wps:cNvSpPr/>
                        <wps:spPr>
                          <a:xfrm>
                            <a:off x="1675332" y="953858"/>
                            <a:ext cx="1270" cy="215265"/>
                          </a:xfrm>
                          <a:custGeom>
                            <a:avLst/>
                            <a:gdLst/>
                            <a:ahLst/>
                            <a:cxnLst/>
                            <a:rect l="l" t="t" r="r" b="b"/>
                            <a:pathLst>
                              <a:path w="0" h="215265">
                                <a:moveTo>
                                  <a:pt x="0" y="0"/>
                                </a:moveTo>
                                <a:lnTo>
                                  <a:pt x="0" y="215252"/>
                                </a:lnTo>
                              </a:path>
                            </a:pathLst>
                          </a:custGeom>
                          <a:ln w="11849">
                            <a:solidFill>
                              <a:srgbClr val="231F20"/>
                            </a:solidFill>
                            <a:prstDash val="solid"/>
                          </a:ln>
                        </wps:spPr>
                        <wps:bodyPr wrap="square" lIns="0" tIns="0" rIns="0" bIns="0" rtlCol="0">
                          <a:prstTxWarp prst="textNoShape">
                            <a:avLst/>
                          </a:prstTxWarp>
                          <a:noAutofit/>
                        </wps:bodyPr>
                      </wps:wsp>
                      <wps:wsp>
                        <wps:cNvPr id="1354" name="Graphic 1354"/>
                        <wps:cNvSpPr/>
                        <wps:spPr>
                          <a:xfrm>
                            <a:off x="1636800" y="1141738"/>
                            <a:ext cx="77470" cy="94615"/>
                          </a:xfrm>
                          <a:custGeom>
                            <a:avLst/>
                            <a:gdLst/>
                            <a:ahLst/>
                            <a:cxnLst/>
                            <a:rect l="l" t="t" r="r" b="b"/>
                            <a:pathLst>
                              <a:path w="77470" h="94615">
                                <a:moveTo>
                                  <a:pt x="77050" y="0"/>
                                </a:moveTo>
                                <a:lnTo>
                                  <a:pt x="38531" y="22377"/>
                                </a:lnTo>
                                <a:lnTo>
                                  <a:pt x="0" y="0"/>
                                </a:lnTo>
                                <a:lnTo>
                                  <a:pt x="38531" y="94297"/>
                                </a:lnTo>
                                <a:lnTo>
                                  <a:pt x="77050" y="0"/>
                                </a:lnTo>
                                <a:close/>
                              </a:path>
                            </a:pathLst>
                          </a:custGeom>
                          <a:solidFill>
                            <a:srgbClr val="231F20"/>
                          </a:solidFill>
                        </wps:spPr>
                        <wps:bodyPr wrap="square" lIns="0" tIns="0" rIns="0" bIns="0" rtlCol="0">
                          <a:prstTxWarp prst="textNoShape">
                            <a:avLst/>
                          </a:prstTxWarp>
                          <a:noAutofit/>
                        </wps:bodyPr>
                      </wps:wsp>
                      <wps:wsp>
                        <wps:cNvPr id="1355" name="Graphic 1355"/>
                        <wps:cNvSpPr/>
                        <wps:spPr>
                          <a:xfrm>
                            <a:off x="267234" y="1665165"/>
                            <a:ext cx="1270" cy="215265"/>
                          </a:xfrm>
                          <a:custGeom>
                            <a:avLst/>
                            <a:gdLst/>
                            <a:ahLst/>
                            <a:cxnLst/>
                            <a:rect l="l" t="t" r="r" b="b"/>
                            <a:pathLst>
                              <a:path w="0" h="215265">
                                <a:moveTo>
                                  <a:pt x="0" y="0"/>
                                </a:moveTo>
                                <a:lnTo>
                                  <a:pt x="0" y="214908"/>
                                </a:lnTo>
                              </a:path>
                            </a:pathLst>
                          </a:custGeom>
                          <a:ln w="11849">
                            <a:solidFill>
                              <a:srgbClr val="231F20"/>
                            </a:solidFill>
                            <a:prstDash val="solid"/>
                          </a:ln>
                        </wps:spPr>
                        <wps:bodyPr wrap="square" lIns="0" tIns="0" rIns="0" bIns="0" rtlCol="0">
                          <a:prstTxWarp prst="textNoShape">
                            <a:avLst/>
                          </a:prstTxWarp>
                          <a:noAutofit/>
                        </wps:bodyPr>
                      </wps:wsp>
                      <wps:wsp>
                        <wps:cNvPr id="1356" name="Graphic 1356"/>
                        <wps:cNvSpPr/>
                        <wps:spPr>
                          <a:xfrm>
                            <a:off x="228703" y="1852678"/>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357" name="Graphic 1357"/>
                        <wps:cNvSpPr/>
                        <wps:spPr>
                          <a:xfrm>
                            <a:off x="1675332" y="1665165"/>
                            <a:ext cx="1270" cy="132080"/>
                          </a:xfrm>
                          <a:custGeom>
                            <a:avLst/>
                            <a:gdLst/>
                            <a:ahLst/>
                            <a:cxnLst/>
                            <a:rect l="l" t="t" r="r" b="b"/>
                            <a:pathLst>
                              <a:path w="0" h="132080">
                                <a:moveTo>
                                  <a:pt x="0" y="0"/>
                                </a:moveTo>
                                <a:lnTo>
                                  <a:pt x="0" y="131964"/>
                                </a:lnTo>
                              </a:path>
                            </a:pathLst>
                          </a:custGeom>
                          <a:ln w="11849">
                            <a:solidFill>
                              <a:srgbClr val="231F20"/>
                            </a:solidFill>
                            <a:prstDash val="solid"/>
                          </a:ln>
                        </wps:spPr>
                        <wps:bodyPr wrap="square" lIns="0" tIns="0" rIns="0" bIns="0" rtlCol="0">
                          <a:prstTxWarp prst="textNoShape">
                            <a:avLst/>
                          </a:prstTxWarp>
                          <a:noAutofit/>
                        </wps:bodyPr>
                      </wps:wsp>
                      <wps:wsp>
                        <wps:cNvPr id="1358" name="Graphic 1358"/>
                        <wps:cNvSpPr/>
                        <wps:spPr>
                          <a:xfrm>
                            <a:off x="1636800" y="1769730"/>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359" name="Graphic 1359"/>
                        <wps:cNvSpPr/>
                        <wps:spPr>
                          <a:xfrm>
                            <a:off x="2720027" y="998293"/>
                            <a:ext cx="1270" cy="250190"/>
                          </a:xfrm>
                          <a:custGeom>
                            <a:avLst/>
                            <a:gdLst/>
                            <a:ahLst/>
                            <a:cxnLst/>
                            <a:rect l="l" t="t" r="r" b="b"/>
                            <a:pathLst>
                              <a:path w="0" h="250190">
                                <a:moveTo>
                                  <a:pt x="0" y="0"/>
                                </a:moveTo>
                                <a:lnTo>
                                  <a:pt x="0" y="249816"/>
                                </a:lnTo>
                              </a:path>
                            </a:pathLst>
                          </a:custGeom>
                          <a:ln w="11849">
                            <a:solidFill>
                              <a:srgbClr val="231F20"/>
                            </a:solidFill>
                            <a:prstDash val="solid"/>
                          </a:ln>
                        </wps:spPr>
                        <wps:bodyPr wrap="square" lIns="0" tIns="0" rIns="0" bIns="0" rtlCol="0">
                          <a:prstTxWarp prst="textNoShape">
                            <a:avLst/>
                          </a:prstTxWarp>
                          <a:noAutofit/>
                        </wps:bodyPr>
                      </wps:wsp>
                      <wps:wsp>
                        <wps:cNvPr id="1360" name="Graphic 1360"/>
                        <wps:cNvSpPr/>
                        <wps:spPr>
                          <a:xfrm>
                            <a:off x="2681496" y="1220711"/>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361" name="Graphic 1361"/>
                        <wps:cNvSpPr/>
                        <wps:spPr>
                          <a:xfrm>
                            <a:off x="2948728" y="1452211"/>
                            <a:ext cx="374650" cy="1270"/>
                          </a:xfrm>
                          <a:custGeom>
                            <a:avLst/>
                            <a:gdLst/>
                            <a:ahLst/>
                            <a:cxnLst/>
                            <a:rect l="l" t="t" r="r" b="b"/>
                            <a:pathLst>
                              <a:path w="374650" h="0">
                                <a:moveTo>
                                  <a:pt x="0" y="0"/>
                                </a:moveTo>
                                <a:lnTo>
                                  <a:pt x="374244" y="0"/>
                                </a:lnTo>
                              </a:path>
                            </a:pathLst>
                          </a:custGeom>
                          <a:ln w="11849">
                            <a:solidFill>
                              <a:srgbClr val="231F20"/>
                            </a:solidFill>
                            <a:prstDash val="solid"/>
                          </a:ln>
                        </wps:spPr>
                        <wps:bodyPr wrap="square" lIns="0" tIns="0" rIns="0" bIns="0" rtlCol="0">
                          <a:prstTxWarp prst="textNoShape">
                            <a:avLst/>
                          </a:prstTxWarp>
                          <a:noAutofit/>
                        </wps:bodyPr>
                      </wps:wsp>
                      <wps:wsp>
                        <wps:cNvPr id="1362" name="Graphic 1362"/>
                        <wps:cNvSpPr/>
                        <wps:spPr>
                          <a:xfrm>
                            <a:off x="3295586" y="1413680"/>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363" name="Graphic 1363"/>
                        <wps:cNvSpPr/>
                        <wps:spPr>
                          <a:xfrm>
                            <a:off x="2043261" y="1588620"/>
                            <a:ext cx="676910" cy="442595"/>
                          </a:xfrm>
                          <a:custGeom>
                            <a:avLst/>
                            <a:gdLst/>
                            <a:ahLst/>
                            <a:cxnLst/>
                            <a:rect l="l" t="t" r="r" b="b"/>
                            <a:pathLst>
                              <a:path w="676910" h="442595">
                                <a:moveTo>
                                  <a:pt x="676777" y="0"/>
                                </a:moveTo>
                                <a:lnTo>
                                  <a:pt x="676766" y="442164"/>
                                </a:lnTo>
                                <a:lnTo>
                                  <a:pt x="0" y="442187"/>
                                </a:lnTo>
                              </a:path>
                            </a:pathLst>
                          </a:custGeom>
                          <a:ln w="11849">
                            <a:solidFill>
                              <a:srgbClr val="231F20"/>
                            </a:solidFill>
                            <a:prstDash val="solid"/>
                          </a:ln>
                        </wps:spPr>
                        <wps:bodyPr wrap="square" lIns="0" tIns="0" rIns="0" bIns="0" rtlCol="0">
                          <a:prstTxWarp prst="textNoShape">
                            <a:avLst/>
                          </a:prstTxWarp>
                          <a:noAutofit/>
                        </wps:bodyPr>
                      </wps:wsp>
                      <wps:wsp>
                        <wps:cNvPr id="1364" name="Graphic 1364"/>
                        <wps:cNvSpPr/>
                        <wps:spPr>
                          <a:xfrm>
                            <a:off x="1976337" y="1992278"/>
                            <a:ext cx="94615" cy="77470"/>
                          </a:xfrm>
                          <a:custGeom>
                            <a:avLst/>
                            <a:gdLst/>
                            <a:ahLst/>
                            <a:cxnLst/>
                            <a:rect l="l" t="t" r="r" b="b"/>
                            <a:pathLst>
                              <a:path w="94615" h="77470">
                                <a:moveTo>
                                  <a:pt x="94322" y="0"/>
                                </a:moveTo>
                                <a:lnTo>
                                  <a:pt x="0" y="38531"/>
                                </a:lnTo>
                                <a:lnTo>
                                  <a:pt x="94322" y="77050"/>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1365" name="Graphic 1365"/>
                        <wps:cNvSpPr/>
                        <wps:spPr>
                          <a:xfrm>
                            <a:off x="2043261" y="1721248"/>
                            <a:ext cx="1656714" cy="394970"/>
                          </a:xfrm>
                          <a:custGeom>
                            <a:avLst/>
                            <a:gdLst/>
                            <a:ahLst/>
                            <a:cxnLst/>
                            <a:rect l="l" t="t" r="r" b="b"/>
                            <a:pathLst>
                              <a:path w="1656714" h="394970">
                                <a:moveTo>
                                  <a:pt x="1656278" y="0"/>
                                </a:moveTo>
                                <a:lnTo>
                                  <a:pt x="1656278" y="394625"/>
                                </a:lnTo>
                                <a:lnTo>
                                  <a:pt x="0" y="394625"/>
                                </a:lnTo>
                              </a:path>
                            </a:pathLst>
                          </a:custGeom>
                          <a:ln w="11849">
                            <a:solidFill>
                              <a:srgbClr val="231F20"/>
                            </a:solidFill>
                            <a:prstDash val="solid"/>
                          </a:ln>
                        </wps:spPr>
                        <wps:bodyPr wrap="square" lIns="0" tIns="0" rIns="0" bIns="0" rtlCol="0">
                          <a:prstTxWarp prst="textNoShape">
                            <a:avLst/>
                          </a:prstTxWarp>
                          <a:noAutofit/>
                        </wps:bodyPr>
                      </wps:wsp>
                      <wps:wsp>
                        <wps:cNvPr id="1366" name="Graphic 1366"/>
                        <wps:cNvSpPr/>
                        <wps:spPr>
                          <a:xfrm>
                            <a:off x="1976337" y="2077344"/>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1367" name="Graphic 1367"/>
                        <wps:cNvSpPr/>
                        <wps:spPr>
                          <a:xfrm>
                            <a:off x="528556" y="1010510"/>
                            <a:ext cx="550545" cy="441959"/>
                          </a:xfrm>
                          <a:custGeom>
                            <a:avLst/>
                            <a:gdLst/>
                            <a:ahLst/>
                            <a:cxnLst/>
                            <a:rect l="l" t="t" r="r" b="b"/>
                            <a:pathLst>
                              <a:path w="550545" h="441959">
                                <a:moveTo>
                                  <a:pt x="0" y="441701"/>
                                </a:moveTo>
                                <a:lnTo>
                                  <a:pt x="550347" y="441701"/>
                                </a:lnTo>
                                <a:lnTo>
                                  <a:pt x="550347" y="0"/>
                                </a:lnTo>
                              </a:path>
                            </a:pathLst>
                          </a:custGeom>
                          <a:ln w="11849">
                            <a:solidFill>
                              <a:srgbClr val="231F20"/>
                            </a:solidFill>
                            <a:prstDash val="solid"/>
                          </a:ln>
                        </wps:spPr>
                        <wps:bodyPr wrap="square" lIns="0" tIns="0" rIns="0" bIns="0" rtlCol="0">
                          <a:prstTxWarp prst="textNoShape">
                            <a:avLst/>
                          </a:prstTxWarp>
                          <a:noAutofit/>
                        </wps:bodyPr>
                      </wps:wsp>
                      <wps:wsp>
                        <wps:cNvPr id="1368" name="Graphic 1368"/>
                        <wps:cNvSpPr/>
                        <wps:spPr>
                          <a:xfrm>
                            <a:off x="1040384" y="943585"/>
                            <a:ext cx="77470" cy="94615"/>
                          </a:xfrm>
                          <a:custGeom>
                            <a:avLst/>
                            <a:gdLst/>
                            <a:ahLst/>
                            <a:cxnLst/>
                            <a:rect l="l" t="t" r="r" b="b"/>
                            <a:pathLst>
                              <a:path w="77470" h="94615">
                                <a:moveTo>
                                  <a:pt x="38519" y="0"/>
                                </a:moveTo>
                                <a:lnTo>
                                  <a:pt x="0" y="94322"/>
                                </a:lnTo>
                                <a:lnTo>
                                  <a:pt x="38519" y="71932"/>
                                </a:lnTo>
                                <a:lnTo>
                                  <a:pt x="77050" y="94322"/>
                                </a:lnTo>
                                <a:lnTo>
                                  <a:pt x="38519" y="0"/>
                                </a:lnTo>
                                <a:close/>
                              </a:path>
                            </a:pathLst>
                          </a:custGeom>
                          <a:solidFill>
                            <a:srgbClr val="231F20"/>
                          </a:solidFill>
                        </wps:spPr>
                        <wps:bodyPr wrap="square" lIns="0" tIns="0" rIns="0" bIns="0" rtlCol="0">
                          <a:prstTxWarp prst="textNoShape">
                            <a:avLst/>
                          </a:prstTxWarp>
                          <a:noAutofit/>
                        </wps:bodyPr>
                      </wps:wsp>
                      <wps:wsp>
                        <wps:cNvPr id="1369" name="Graphic 1369"/>
                        <wps:cNvSpPr/>
                        <wps:spPr>
                          <a:xfrm>
                            <a:off x="488447" y="2030788"/>
                            <a:ext cx="882650" cy="1270"/>
                          </a:xfrm>
                          <a:custGeom>
                            <a:avLst/>
                            <a:gdLst/>
                            <a:ahLst/>
                            <a:cxnLst/>
                            <a:rect l="l" t="t" r="r" b="b"/>
                            <a:pathLst>
                              <a:path w="882650" h="0">
                                <a:moveTo>
                                  <a:pt x="882159"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1370" name="Graphic 1370"/>
                        <wps:cNvSpPr/>
                        <wps:spPr>
                          <a:xfrm>
                            <a:off x="421523" y="1992256"/>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1371" name="Graphic 1371"/>
                        <wps:cNvSpPr/>
                        <wps:spPr>
                          <a:xfrm>
                            <a:off x="1207254" y="1452211"/>
                            <a:ext cx="175260" cy="514984"/>
                          </a:xfrm>
                          <a:custGeom>
                            <a:avLst/>
                            <a:gdLst/>
                            <a:ahLst/>
                            <a:cxnLst/>
                            <a:rect l="l" t="t" r="r" b="b"/>
                            <a:pathLst>
                              <a:path w="175260" h="514984">
                                <a:moveTo>
                                  <a:pt x="175202" y="0"/>
                                </a:moveTo>
                                <a:lnTo>
                                  <a:pt x="0" y="0"/>
                                </a:lnTo>
                                <a:lnTo>
                                  <a:pt x="0" y="514752"/>
                                </a:lnTo>
                              </a:path>
                            </a:pathLst>
                          </a:custGeom>
                          <a:ln w="11849">
                            <a:solidFill>
                              <a:srgbClr val="231F20"/>
                            </a:solidFill>
                            <a:prstDash val="solid"/>
                          </a:ln>
                        </wps:spPr>
                        <wps:bodyPr wrap="square" lIns="0" tIns="0" rIns="0" bIns="0" rtlCol="0">
                          <a:prstTxWarp prst="textNoShape">
                            <a:avLst/>
                          </a:prstTxWarp>
                          <a:noAutofit/>
                        </wps:bodyPr>
                      </wps:wsp>
                      <wps:wsp>
                        <wps:cNvPr id="1372" name="Graphic 1372"/>
                        <wps:cNvSpPr/>
                        <wps:spPr>
                          <a:xfrm>
                            <a:off x="1168722" y="1939568"/>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373" name="Graphic 1373"/>
                        <wps:cNvSpPr/>
                        <wps:spPr>
                          <a:xfrm>
                            <a:off x="495923" y="361400"/>
                            <a:ext cx="191135" cy="440690"/>
                          </a:xfrm>
                          <a:custGeom>
                            <a:avLst/>
                            <a:gdLst/>
                            <a:ahLst/>
                            <a:cxnLst/>
                            <a:rect l="l" t="t" r="r" b="b"/>
                            <a:pathLst>
                              <a:path w="191135" h="440690">
                                <a:moveTo>
                                  <a:pt x="191091" y="0"/>
                                </a:moveTo>
                                <a:lnTo>
                                  <a:pt x="0" y="440398"/>
                                </a:lnTo>
                              </a:path>
                            </a:pathLst>
                          </a:custGeom>
                          <a:ln w="11849">
                            <a:solidFill>
                              <a:srgbClr val="231F20"/>
                            </a:solidFill>
                            <a:prstDash val="solid"/>
                          </a:ln>
                        </wps:spPr>
                        <wps:bodyPr wrap="square" lIns="0" tIns="0" rIns="0" bIns="0" rtlCol="0">
                          <a:prstTxWarp prst="textNoShape">
                            <a:avLst/>
                          </a:prstTxWarp>
                          <a:noAutofit/>
                        </wps:bodyPr>
                      </wps:wsp>
                      <wps:wsp>
                        <wps:cNvPr id="1374" name="Textbox 1374"/>
                        <wps:cNvSpPr txBox="1"/>
                        <wps:spPr>
                          <a:xfrm>
                            <a:off x="1495022" y="692870"/>
                            <a:ext cx="360680" cy="260985"/>
                          </a:xfrm>
                          <a:prstGeom prst="rect">
                            <a:avLst/>
                          </a:prstGeom>
                          <a:solidFill>
                            <a:srgbClr val="F8EBD0"/>
                          </a:solidFill>
                          <a:ln w="11849">
                            <a:solidFill>
                              <a:srgbClr val="231F20"/>
                            </a:solidFill>
                            <a:prstDash val="solid"/>
                          </a:ln>
                        </wps:spPr>
                        <wps:txbx>
                          <w:txbxContent>
                            <w:p>
                              <w:pPr>
                                <w:spacing w:before="41"/>
                                <w:ind w:left="45" w:right="44" w:firstLine="21"/>
                                <w:jc w:val="left"/>
                                <w:rPr>
                                  <w:rFonts w:ascii="Arial MT"/>
                                  <w:color w:val="000000"/>
                                  <w:sz w:val="13"/>
                                </w:rPr>
                              </w:pPr>
                              <w:r>
                                <w:rPr>
                                  <w:rFonts w:ascii="Arial MT"/>
                                  <w:color w:val="231F20"/>
                                  <w:spacing w:val="-2"/>
                                  <w:sz w:val="13"/>
                                </w:rPr>
                                <w:t>Screen</w:t>
                              </w:r>
                              <w:r>
                                <w:rPr>
                                  <w:rFonts w:ascii="Arial MT"/>
                                  <w:color w:val="231F20"/>
                                  <w:spacing w:val="40"/>
                                  <w:sz w:val="13"/>
                                </w:rPr>
                                <w:t> </w:t>
                              </w:r>
                              <w:r>
                                <w:rPr>
                                  <w:rFonts w:ascii="Arial MT"/>
                                  <w:color w:val="231F20"/>
                                  <w:spacing w:val="-2"/>
                                  <w:sz w:val="13"/>
                                </w:rPr>
                                <w:t>results?</w:t>
                              </w:r>
                            </w:p>
                          </w:txbxContent>
                        </wps:txbx>
                        <wps:bodyPr wrap="square" lIns="0" tIns="0" rIns="0" bIns="0" rtlCol="0">
                          <a:noAutofit/>
                        </wps:bodyPr>
                      </wps:wsp>
                      <wps:wsp>
                        <wps:cNvPr id="1375" name="Textbox 1375"/>
                        <wps:cNvSpPr txBox="1"/>
                        <wps:spPr>
                          <a:xfrm>
                            <a:off x="2366898" y="648434"/>
                            <a:ext cx="706755" cy="349885"/>
                          </a:xfrm>
                          <a:prstGeom prst="rect">
                            <a:avLst/>
                          </a:prstGeom>
                          <a:solidFill>
                            <a:srgbClr val="D7EDDD"/>
                          </a:solidFill>
                          <a:ln w="11849">
                            <a:solidFill>
                              <a:srgbClr val="231F20"/>
                            </a:solidFill>
                            <a:prstDash val="solid"/>
                          </a:ln>
                        </wps:spPr>
                        <wps:txbx>
                          <w:txbxContent>
                            <w:p>
                              <w:pPr>
                                <w:spacing w:before="36"/>
                                <w:ind w:left="23" w:right="15" w:hanging="2"/>
                                <w:jc w:val="center"/>
                                <w:rPr>
                                  <w:rFonts w:ascii="Arial MT"/>
                                  <w:color w:val="000000"/>
                                  <w:sz w:val="13"/>
                                </w:rPr>
                              </w:pPr>
                              <w:r>
                                <w:rPr>
                                  <w:rFonts w:ascii="Arial MT"/>
                                  <w:color w:val="231F20"/>
                                  <w:sz w:val="13"/>
                                </w:rPr>
                                <w:t>Referral</w:t>
                              </w:r>
                              <w:r>
                                <w:rPr>
                                  <w:rFonts w:ascii="Arial MT"/>
                                  <w:color w:val="231F20"/>
                                  <w:spacing w:val="-5"/>
                                  <w:sz w:val="13"/>
                                </w:rPr>
                                <w:t> </w:t>
                              </w:r>
                              <w:r>
                                <w:rPr>
                                  <w:rFonts w:ascii="Arial MT"/>
                                  <w:color w:val="231F20"/>
                                  <w:sz w:val="13"/>
                                </w:rPr>
                                <w:t>to</w:t>
                              </w:r>
                              <w:r>
                                <w:rPr>
                                  <w:rFonts w:ascii="Arial MT"/>
                                  <w:color w:val="231F20"/>
                                  <w:spacing w:val="40"/>
                                  <w:sz w:val="13"/>
                                </w:rPr>
                                <w:t> </w:t>
                              </w:r>
                              <w:r>
                                <w:rPr>
                                  <w:rFonts w:ascii="Arial MT"/>
                                  <w:color w:val="231F20"/>
                                  <w:sz w:val="13"/>
                                </w:rPr>
                                <w:t>audiology</w:t>
                              </w:r>
                              <w:r>
                                <w:rPr>
                                  <w:rFonts w:ascii="Arial MT"/>
                                  <w:color w:val="231F20"/>
                                  <w:spacing w:val="-5"/>
                                  <w:sz w:val="13"/>
                                </w:rPr>
                                <w:t> </w:t>
                              </w:r>
                              <w:r>
                                <w:rPr>
                                  <w:rFonts w:ascii="Arial MT"/>
                                  <w:color w:val="231F20"/>
                                  <w:sz w:val="13"/>
                                </w:rPr>
                                <w:t>and</w:t>
                              </w:r>
                              <w:r>
                                <w:rPr>
                                  <w:rFonts w:ascii="Arial MT"/>
                                  <w:color w:val="231F20"/>
                                  <w:spacing w:val="40"/>
                                  <w:sz w:val="13"/>
                                </w:rPr>
                                <w:t> </w:t>
                              </w:r>
                              <w:r>
                                <w:rPr>
                                  <w:rFonts w:ascii="Arial MT"/>
                                  <w:color w:val="231F20"/>
                                  <w:sz w:val="13"/>
                                </w:rPr>
                                <w:t>speech</w:t>
                              </w:r>
                              <w:r>
                                <w:rPr>
                                  <w:rFonts w:ascii="Arial MT"/>
                                  <w:color w:val="231F20"/>
                                  <w:spacing w:val="-10"/>
                                  <w:sz w:val="13"/>
                                </w:rPr>
                                <w:t> </w:t>
                              </w:r>
                              <w:r>
                                <w:rPr>
                                  <w:rFonts w:ascii="Arial MT"/>
                                  <w:color w:val="231F20"/>
                                  <w:sz w:val="13"/>
                                </w:rPr>
                                <w:t>evaluation</w:t>
                              </w:r>
                            </w:p>
                          </w:txbxContent>
                        </wps:txbx>
                        <wps:bodyPr wrap="square" lIns="0" tIns="0" rIns="0" bIns="0" rtlCol="0">
                          <a:noAutofit/>
                        </wps:bodyPr>
                      </wps:wsp>
                      <wps:wsp>
                        <wps:cNvPr id="1376" name="Textbox 1376"/>
                        <wps:cNvSpPr txBox="1"/>
                        <wps:spPr>
                          <a:xfrm>
                            <a:off x="548143" y="5924"/>
                            <a:ext cx="1251585" cy="355600"/>
                          </a:xfrm>
                          <a:prstGeom prst="rect">
                            <a:avLst/>
                          </a:prstGeom>
                          <a:solidFill>
                            <a:srgbClr val="D7EDDD"/>
                          </a:solidFill>
                          <a:ln w="11849">
                            <a:solidFill>
                              <a:srgbClr val="231F20"/>
                            </a:solidFill>
                            <a:prstDash val="solid"/>
                          </a:ln>
                        </wps:spPr>
                        <wps:txbx>
                          <w:txbxContent>
                            <w:p>
                              <w:pPr>
                                <w:spacing w:before="46"/>
                                <w:ind w:left="12" w:right="0" w:firstLine="0"/>
                                <w:jc w:val="center"/>
                                <w:rPr>
                                  <w:rFonts w:ascii="Arial MT"/>
                                  <w:color w:val="000000"/>
                                  <w:sz w:val="13"/>
                                </w:rPr>
                              </w:pPr>
                              <w:r>
                                <w:rPr>
                                  <w:rFonts w:ascii="Arial MT"/>
                                  <w:color w:val="231F20"/>
                                  <w:sz w:val="13"/>
                                </w:rPr>
                                <w:t>Objective</w:t>
                              </w:r>
                              <w:r>
                                <w:rPr>
                                  <w:rFonts w:ascii="Arial MT"/>
                                  <w:color w:val="231F20"/>
                                  <w:spacing w:val="-10"/>
                                  <w:sz w:val="13"/>
                                </w:rPr>
                                <w:t> </w:t>
                              </w:r>
                              <w:r>
                                <w:rPr>
                                  <w:rFonts w:ascii="Arial MT"/>
                                  <w:color w:val="231F20"/>
                                  <w:sz w:val="13"/>
                                </w:rPr>
                                <w:t>screens</w:t>
                              </w:r>
                              <w:r>
                                <w:rPr>
                                  <w:rFonts w:ascii="Arial MT"/>
                                  <w:color w:val="231F20"/>
                                  <w:spacing w:val="-9"/>
                                  <w:sz w:val="13"/>
                                </w:rPr>
                                <w:t> </w:t>
                              </w:r>
                              <w:r>
                                <w:rPr>
                                  <w:rFonts w:ascii="Arial MT"/>
                                  <w:color w:val="231F20"/>
                                  <w:sz w:val="13"/>
                                </w:rPr>
                                <w:t>scheduled</w:t>
                              </w:r>
                              <w:r>
                                <w:rPr>
                                  <w:rFonts w:ascii="Arial MT"/>
                                  <w:color w:val="231F20"/>
                                  <w:spacing w:val="-9"/>
                                  <w:sz w:val="13"/>
                                </w:rPr>
                                <w:t> </w:t>
                              </w:r>
                              <w:r>
                                <w:rPr>
                                  <w:rFonts w:ascii="Arial MT"/>
                                  <w:color w:val="231F20"/>
                                  <w:sz w:val="13"/>
                                </w:rPr>
                                <w:t>at:</w:t>
                              </w:r>
                              <w:r>
                                <w:rPr>
                                  <w:rFonts w:ascii="Arial MT"/>
                                  <w:color w:val="231F20"/>
                                  <w:spacing w:val="40"/>
                                  <w:sz w:val="13"/>
                                </w:rPr>
                                <w:t> </w:t>
                              </w:r>
                              <w:r>
                                <w:rPr>
                                  <w:rFonts w:ascii="Arial MT"/>
                                  <w:color w:val="231F20"/>
                                  <w:sz w:val="13"/>
                                </w:rPr>
                                <w:t>Newborn and 4, 5, 6, 8,</w:t>
                              </w:r>
                            </w:p>
                            <w:p>
                              <w:pPr>
                                <w:spacing w:line="149" w:lineRule="exact" w:before="0"/>
                                <w:ind w:left="12" w:right="12" w:firstLine="0"/>
                                <w:jc w:val="center"/>
                                <w:rPr>
                                  <w:rFonts w:ascii="Arial MT"/>
                                  <w:color w:val="000000"/>
                                  <w:sz w:val="13"/>
                                </w:rPr>
                              </w:pPr>
                              <w:r>
                                <w:rPr>
                                  <w:rFonts w:ascii="Arial MT"/>
                                  <w:color w:val="231F20"/>
                                  <w:sz w:val="13"/>
                                </w:rPr>
                                <w:t>10,</w:t>
                              </w:r>
                              <w:r>
                                <w:rPr>
                                  <w:rFonts w:ascii="Arial MT"/>
                                  <w:color w:val="231F20"/>
                                  <w:spacing w:val="-1"/>
                                  <w:sz w:val="13"/>
                                </w:rPr>
                                <w:t> </w:t>
                              </w:r>
                              <w:r>
                                <w:rPr>
                                  <w:rFonts w:ascii="Arial MT"/>
                                  <w:color w:val="231F20"/>
                                  <w:sz w:val="13"/>
                                </w:rPr>
                                <w:t>12,</w:t>
                              </w:r>
                              <w:r>
                                <w:rPr>
                                  <w:rFonts w:ascii="Arial MT"/>
                                  <w:color w:val="231F20"/>
                                  <w:spacing w:val="-1"/>
                                  <w:sz w:val="13"/>
                                </w:rPr>
                                <w:t> </w:t>
                              </w:r>
                              <w:r>
                                <w:rPr>
                                  <w:rFonts w:ascii="Arial MT"/>
                                  <w:color w:val="231F20"/>
                                  <w:sz w:val="13"/>
                                </w:rPr>
                                <w:t>15, and</w:t>
                              </w:r>
                              <w:r>
                                <w:rPr>
                                  <w:rFonts w:ascii="Arial MT"/>
                                  <w:color w:val="231F20"/>
                                  <w:spacing w:val="-1"/>
                                  <w:sz w:val="13"/>
                                </w:rPr>
                                <w:t> </w:t>
                              </w:r>
                              <w:r>
                                <w:rPr>
                                  <w:rFonts w:ascii="Arial MT"/>
                                  <w:color w:val="231F20"/>
                                  <w:sz w:val="13"/>
                                </w:rPr>
                                <w:t>18 </w:t>
                              </w:r>
                              <w:r>
                                <w:rPr>
                                  <w:rFonts w:ascii="Arial MT"/>
                                  <w:color w:val="231F20"/>
                                  <w:spacing w:val="-5"/>
                                  <w:sz w:val="13"/>
                                </w:rPr>
                                <w:t>yr</w:t>
                              </w:r>
                            </w:p>
                          </w:txbxContent>
                        </wps:txbx>
                        <wps:bodyPr wrap="square" lIns="0" tIns="0" rIns="0" bIns="0" rtlCol="0">
                          <a:noAutofit/>
                        </wps:bodyPr>
                      </wps:wsp>
                      <wps:wsp>
                        <wps:cNvPr id="1377" name="Textbox 1377"/>
                        <wps:cNvSpPr txBox="1"/>
                        <wps:spPr>
                          <a:xfrm>
                            <a:off x="46022" y="325533"/>
                            <a:ext cx="442595" cy="142875"/>
                          </a:xfrm>
                          <a:prstGeom prst="rect">
                            <a:avLst/>
                          </a:prstGeom>
                          <a:solidFill>
                            <a:srgbClr val="D1E4F6"/>
                          </a:solidFill>
                          <a:ln w="11849">
                            <a:solidFill>
                              <a:srgbClr val="231F20"/>
                            </a:solidFill>
                            <a:prstDash val="solid"/>
                          </a:ln>
                        </wps:spPr>
                        <wps:txbx>
                          <w:txbxContent>
                            <w:p>
                              <w:pPr>
                                <w:spacing w:before="22"/>
                                <w:ind w:left="37" w:right="0" w:firstLine="0"/>
                                <w:jc w:val="left"/>
                                <w:rPr>
                                  <w:rFonts w:ascii="Arial MT"/>
                                  <w:color w:val="000000"/>
                                  <w:sz w:val="13"/>
                                </w:rPr>
                              </w:pPr>
                              <w:r>
                                <w:rPr>
                                  <w:rFonts w:ascii="Arial MT"/>
                                  <w:color w:val="231F20"/>
                                  <w:sz w:val="13"/>
                                </w:rPr>
                                <w:t>Office</w:t>
                              </w:r>
                              <w:r>
                                <w:rPr>
                                  <w:rFonts w:ascii="Arial MT"/>
                                  <w:color w:val="231F20"/>
                                  <w:spacing w:val="-6"/>
                                  <w:sz w:val="13"/>
                                </w:rPr>
                                <w:t> </w:t>
                              </w:r>
                              <w:r>
                                <w:rPr>
                                  <w:rFonts w:ascii="Arial MT"/>
                                  <w:color w:val="231F20"/>
                                  <w:spacing w:val="-2"/>
                                  <w:sz w:val="13"/>
                                </w:rPr>
                                <w:t>visit</w:t>
                              </w:r>
                            </w:p>
                          </w:txbxContent>
                        </wps:txbx>
                        <wps:bodyPr wrap="square" lIns="0" tIns="0" rIns="0" bIns="0" rtlCol="0">
                          <a:noAutofit/>
                        </wps:bodyPr>
                      </wps:wsp>
                      <wps:wsp>
                        <wps:cNvPr id="1378" name="Textbox 1378"/>
                        <wps:cNvSpPr txBox="1"/>
                        <wps:spPr>
                          <a:xfrm>
                            <a:off x="3398735" y="1183189"/>
                            <a:ext cx="601980" cy="538480"/>
                          </a:xfrm>
                          <a:prstGeom prst="rect">
                            <a:avLst/>
                          </a:prstGeom>
                          <a:solidFill>
                            <a:srgbClr val="D7EDDD"/>
                          </a:solidFill>
                          <a:ln w="11849">
                            <a:solidFill>
                              <a:srgbClr val="231F20"/>
                            </a:solidFill>
                            <a:prstDash val="solid"/>
                          </a:ln>
                        </wps:spPr>
                        <wps:txbx>
                          <w:txbxContent>
                            <w:p>
                              <w:pPr>
                                <w:spacing w:before="35"/>
                                <w:ind w:left="11" w:right="10" w:firstLine="0"/>
                                <w:jc w:val="center"/>
                                <w:rPr>
                                  <w:rFonts w:ascii="Arial MT"/>
                                  <w:color w:val="000000"/>
                                  <w:sz w:val="13"/>
                                </w:rPr>
                              </w:pPr>
                              <w:r>
                                <w:rPr>
                                  <w:rFonts w:ascii="Arial MT"/>
                                  <w:color w:val="231F20"/>
                                  <w:spacing w:val="-2"/>
                                  <w:sz w:val="13"/>
                                </w:rPr>
                                <w:t>Otolaryngology,</w:t>
                              </w:r>
                              <w:r>
                                <w:rPr>
                                  <w:rFonts w:ascii="Arial MT"/>
                                  <w:color w:val="231F20"/>
                                  <w:spacing w:val="40"/>
                                  <w:sz w:val="13"/>
                                </w:rPr>
                                <w:t> </w:t>
                              </w:r>
                              <w:r>
                                <w:rPr>
                                  <w:rFonts w:ascii="Arial MT"/>
                                  <w:color w:val="231F20"/>
                                  <w:sz w:val="13"/>
                                </w:rPr>
                                <w:t>genetics,</w:t>
                              </w:r>
                              <w:r>
                                <w:rPr>
                                  <w:rFonts w:ascii="Arial MT"/>
                                  <w:color w:val="231F20"/>
                                  <w:spacing w:val="-5"/>
                                  <w:sz w:val="13"/>
                                </w:rPr>
                                <w:t> </w:t>
                              </w:r>
                              <w:r>
                                <w:rPr>
                                  <w:rFonts w:ascii="Arial MT"/>
                                  <w:color w:val="231F20"/>
                                  <w:sz w:val="13"/>
                                </w:rPr>
                                <w:t>ENT,</w:t>
                              </w:r>
                              <w:r>
                                <w:rPr>
                                  <w:rFonts w:ascii="Arial MT"/>
                                  <w:color w:val="231F20"/>
                                  <w:spacing w:val="40"/>
                                  <w:sz w:val="13"/>
                                </w:rPr>
                                <w:t> </w:t>
                              </w:r>
                              <w:r>
                                <w:rPr>
                                  <w:rFonts w:ascii="Arial MT"/>
                                  <w:color w:val="231F20"/>
                                  <w:sz w:val="13"/>
                                </w:rPr>
                                <w:t>speech</w:t>
                              </w:r>
                              <w:r>
                                <w:rPr>
                                  <w:rFonts w:ascii="Arial MT"/>
                                  <w:color w:val="231F20"/>
                                  <w:spacing w:val="-5"/>
                                  <w:sz w:val="13"/>
                                </w:rPr>
                                <w:t> </w:t>
                              </w:r>
                              <w:r>
                                <w:rPr>
                                  <w:rFonts w:ascii="Arial MT"/>
                                  <w:color w:val="231F20"/>
                                  <w:sz w:val="13"/>
                                </w:rPr>
                                <w:t>referral</w:t>
                              </w:r>
                              <w:r>
                                <w:rPr>
                                  <w:rFonts w:ascii="Arial MT"/>
                                  <w:color w:val="231F20"/>
                                  <w:spacing w:val="40"/>
                                  <w:sz w:val="13"/>
                                </w:rPr>
                                <w:t> </w:t>
                              </w:r>
                              <w:r>
                                <w:rPr>
                                  <w:rFonts w:ascii="Arial MT"/>
                                  <w:color w:val="231F20"/>
                                  <w:sz w:val="13"/>
                                </w:rPr>
                                <w:t>for</w:t>
                              </w:r>
                              <w:r>
                                <w:rPr>
                                  <w:rFonts w:ascii="Arial MT"/>
                                  <w:color w:val="231F20"/>
                                  <w:spacing w:val="-5"/>
                                  <w:sz w:val="13"/>
                                </w:rPr>
                                <w:t> </w:t>
                              </w:r>
                              <w:r>
                                <w:rPr>
                                  <w:rFonts w:ascii="Arial MT"/>
                                  <w:color w:val="231F20"/>
                                  <w:sz w:val="13"/>
                                </w:rPr>
                                <w:t>diagnostic</w:t>
                              </w:r>
                              <w:r>
                                <w:rPr>
                                  <w:rFonts w:ascii="Arial MT"/>
                                  <w:color w:val="231F20"/>
                                  <w:spacing w:val="40"/>
                                  <w:sz w:val="13"/>
                                </w:rPr>
                                <w:t> </w:t>
                              </w:r>
                              <w:r>
                                <w:rPr>
                                  <w:rFonts w:ascii="Arial MT"/>
                                  <w:color w:val="231F20"/>
                                  <w:spacing w:val="-2"/>
                                  <w:sz w:val="13"/>
                                </w:rPr>
                                <w:t>testing</w:t>
                              </w:r>
                            </w:p>
                          </w:txbxContent>
                        </wps:txbx>
                        <wps:bodyPr wrap="square" lIns="0" tIns="0" rIns="0" bIns="0" rtlCol="0">
                          <a:noAutofit/>
                        </wps:bodyPr>
                      </wps:wsp>
                      <wps:wsp>
                        <wps:cNvPr id="1379" name="Textbox 1379"/>
                        <wps:cNvSpPr txBox="1"/>
                        <wps:spPr>
                          <a:xfrm>
                            <a:off x="181757" y="1733250"/>
                            <a:ext cx="2861945" cy="438150"/>
                          </a:xfrm>
                          <a:prstGeom prst="rect">
                            <a:avLst/>
                          </a:prstGeom>
                        </wps:spPr>
                        <wps:txbx>
                          <w:txbxContent>
                            <w:p>
                              <w:pPr>
                                <w:tabs>
                                  <w:tab w:pos="1663" w:val="left" w:leader="none"/>
                                  <w:tab w:pos="2406" w:val="left" w:leader="none"/>
                                  <w:tab w:pos="4045" w:val="left" w:leader="none"/>
                                </w:tabs>
                                <w:spacing w:line="128" w:lineRule="exact" w:before="0"/>
                                <w:ind w:left="188" w:right="0" w:firstLine="0"/>
                                <w:jc w:val="center"/>
                                <w:rPr>
                                  <w:rFonts w:ascii="Arial MT"/>
                                  <w:sz w:val="13"/>
                                </w:rPr>
                              </w:pPr>
                              <w:r>
                                <w:rPr>
                                  <w:rFonts w:ascii="Arial MT"/>
                                  <w:color w:val="231F20"/>
                                  <w:sz w:val="13"/>
                                </w:rPr>
                                <w:t>No</w:t>
                              </w:r>
                              <w:r>
                                <w:rPr>
                                  <w:rFonts w:ascii="Arial MT"/>
                                  <w:color w:val="231F20"/>
                                  <w:spacing w:val="-1"/>
                                  <w:sz w:val="13"/>
                                </w:rPr>
                                <w:t> </w:t>
                              </w:r>
                              <w:r>
                                <w:rPr>
                                  <w:rFonts w:ascii="Arial MT"/>
                                  <w:color w:val="231F20"/>
                                  <w:spacing w:val="-4"/>
                                  <w:sz w:val="13"/>
                                </w:rPr>
                                <w:t>risk</w:t>
                              </w:r>
                              <w:r>
                                <w:rPr>
                                  <w:rFonts w:ascii="Arial MT"/>
                                  <w:color w:val="231F20"/>
                                  <w:sz w:val="13"/>
                                </w:rPr>
                                <w:tab/>
                              </w:r>
                              <w:r>
                                <w:rPr>
                                  <w:rFonts w:ascii="Arial MT"/>
                                  <w:color w:val="231F20"/>
                                  <w:spacing w:val="-5"/>
                                  <w:sz w:val="13"/>
                                </w:rPr>
                                <w:t>No</w:t>
                              </w:r>
                              <w:r>
                                <w:rPr>
                                  <w:rFonts w:ascii="Arial MT"/>
                                  <w:color w:val="231F20"/>
                                  <w:sz w:val="13"/>
                                </w:rPr>
                                <w:tab/>
                              </w:r>
                              <w:r>
                                <w:rPr>
                                  <w:rFonts w:ascii="Arial MT"/>
                                  <w:color w:val="231F20"/>
                                  <w:spacing w:val="-5"/>
                                  <w:sz w:val="13"/>
                                </w:rPr>
                                <w:t>Yes</w:t>
                              </w:r>
                              <w:r>
                                <w:rPr>
                                  <w:rFonts w:ascii="Arial MT"/>
                                  <w:color w:val="231F20"/>
                                  <w:sz w:val="13"/>
                                </w:rPr>
                                <w:tab/>
                              </w:r>
                              <w:r>
                                <w:rPr>
                                  <w:rFonts w:ascii="Arial MT"/>
                                  <w:color w:val="231F20"/>
                                  <w:spacing w:val="-2"/>
                                  <w:sz w:val="13"/>
                                </w:rPr>
                                <w:t>Normal</w:t>
                              </w:r>
                            </w:p>
                            <w:p>
                              <w:pPr>
                                <w:spacing w:before="110"/>
                                <w:ind w:left="195" w:right="0" w:firstLine="0"/>
                                <w:jc w:val="center"/>
                                <w:rPr>
                                  <w:rFonts w:ascii="Arial MT"/>
                                  <w:sz w:val="13"/>
                                </w:rPr>
                              </w:pPr>
                              <w:r>
                                <w:rPr>
                                  <w:rFonts w:ascii="Arial MT"/>
                                  <w:color w:val="231F20"/>
                                  <w:sz w:val="13"/>
                                </w:rPr>
                                <w:t>Schedule</w:t>
                              </w:r>
                              <w:r>
                                <w:rPr>
                                  <w:rFonts w:ascii="Arial MT"/>
                                  <w:color w:val="231F20"/>
                                  <w:spacing w:val="-7"/>
                                  <w:sz w:val="13"/>
                                </w:rPr>
                                <w:t> </w:t>
                              </w:r>
                              <w:r>
                                <w:rPr>
                                  <w:rFonts w:ascii="Arial MT"/>
                                  <w:color w:val="231F20"/>
                                  <w:spacing w:val="-2"/>
                                  <w:sz w:val="13"/>
                                </w:rPr>
                                <w:t>early</w:t>
                              </w:r>
                            </w:p>
                            <w:p>
                              <w:pPr>
                                <w:tabs>
                                  <w:tab w:pos="2179" w:val="left" w:leader="none"/>
                                </w:tabs>
                                <w:spacing w:line="149" w:lineRule="exact" w:before="0"/>
                                <w:ind w:left="0" w:right="1983" w:firstLine="0"/>
                                <w:jc w:val="right"/>
                                <w:rPr>
                                  <w:rFonts w:ascii="Arial MT"/>
                                  <w:sz w:val="13"/>
                                </w:rPr>
                              </w:pPr>
                              <w:r>
                                <w:rPr>
                                  <w:rFonts w:ascii="Arial MT"/>
                                  <w:color w:val="231F20"/>
                                  <w:spacing w:val="-4"/>
                                  <w:sz w:val="13"/>
                                </w:rPr>
                                <w:t>Stop</w:t>
                              </w:r>
                              <w:r>
                                <w:rPr>
                                  <w:rFonts w:ascii="Arial MT"/>
                                  <w:color w:val="231F20"/>
                                  <w:sz w:val="13"/>
                                </w:rPr>
                                <w:tab/>
                              </w:r>
                              <w:r>
                                <w:rPr>
                                  <w:rFonts w:ascii="Arial MT"/>
                                  <w:color w:val="231F20"/>
                                  <w:spacing w:val="-2"/>
                                  <w:sz w:val="13"/>
                                </w:rPr>
                                <w:t>return</w:t>
                              </w:r>
                            </w:p>
                            <w:p>
                              <w:pPr>
                                <w:spacing w:before="0"/>
                                <w:ind w:left="0" w:right="1925" w:firstLine="0"/>
                                <w:jc w:val="right"/>
                                <w:rPr>
                                  <w:rFonts w:ascii="Arial MT"/>
                                  <w:sz w:val="13"/>
                                </w:rPr>
                              </w:pPr>
                              <w:r>
                                <w:rPr>
                                  <w:rFonts w:ascii="Arial MT"/>
                                  <w:color w:val="231F20"/>
                                  <w:sz w:val="13"/>
                                </w:rPr>
                                <w:t>(~6</w:t>
                              </w:r>
                              <w:r>
                                <w:rPr>
                                  <w:rFonts w:ascii="Arial MT"/>
                                  <w:color w:val="231F20"/>
                                  <w:spacing w:val="-2"/>
                                  <w:sz w:val="13"/>
                                </w:rPr>
                                <w:t> </w:t>
                              </w:r>
                              <w:r>
                                <w:rPr>
                                  <w:rFonts w:ascii="Arial MT"/>
                                  <w:color w:val="231F20"/>
                                  <w:spacing w:val="-5"/>
                                  <w:sz w:val="13"/>
                                </w:rPr>
                                <w:t>mo)</w:t>
                              </w:r>
                            </w:p>
                          </w:txbxContent>
                        </wps:txbx>
                        <wps:bodyPr wrap="square" lIns="0" tIns="0" rIns="0" bIns="0" rtlCol="0">
                          <a:noAutofit/>
                        </wps:bodyPr>
                      </wps:wsp>
                      <wps:wsp>
                        <wps:cNvPr id="1380" name="Textbox 1380"/>
                        <wps:cNvSpPr txBox="1"/>
                        <wps:spPr>
                          <a:xfrm>
                            <a:off x="2527321" y="1331803"/>
                            <a:ext cx="834390" cy="213360"/>
                          </a:xfrm>
                          <a:prstGeom prst="rect">
                            <a:avLst/>
                          </a:prstGeom>
                        </wps:spPr>
                        <wps:txbx>
                          <w:txbxContent>
                            <w:p>
                              <w:pPr>
                                <w:spacing w:line="184" w:lineRule="exact" w:before="0"/>
                                <w:ind w:left="0" w:right="0" w:firstLine="0"/>
                                <w:jc w:val="left"/>
                                <w:rPr>
                                  <w:rFonts w:ascii="Arial MT"/>
                                  <w:position w:val="6"/>
                                  <w:sz w:val="13"/>
                                </w:rPr>
                              </w:pPr>
                              <w:r>
                                <w:rPr>
                                  <w:rFonts w:ascii="Arial MT"/>
                                  <w:color w:val="231F20"/>
                                  <w:sz w:val="13"/>
                                </w:rPr>
                                <w:t>Evaluation</w:t>
                              </w:r>
                              <w:r>
                                <w:rPr>
                                  <w:rFonts w:ascii="Arial MT"/>
                                  <w:color w:val="231F20"/>
                                  <w:spacing w:val="77"/>
                                  <w:sz w:val="13"/>
                                </w:rPr>
                                <w:t> </w:t>
                              </w:r>
                              <w:r>
                                <w:rPr>
                                  <w:rFonts w:ascii="Arial MT"/>
                                  <w:color w:val="231F20"/>
                                  <w:spacing w:val="-2"/>
                                  <w:position w:val="6"/>
                                  <w:sz w:val="13"/>
                                </w:rPr>
                                <w:t>Abnormal</w:t>
                              </w:r>
                            </w:p>
                            <w:p>
                              <w:pPr>
                                <w:spacing w:before="0"/>
                                <w:ind w:left="74" w:right="0" w:firstLine="0"/>
                                <w:jc w:val="left"/>
                                <w:rPr>
                                  <w:rFonts w:ascii="Arial MT"/>
                                  <w:sz w:val="13"/>
                                </w:rPr>
                              </w:pPr>
                              <w:r>
                                <w:rPr>
                                  <w:rFonts w:ascii="Arial MT"/>
                                  <w:color w:val="231F20"/>
                                  <w:spacing w:val="-2"/>
                                  <w:sz w:val="13"/>
                                </w:rPr>
                                <w:t>results?</w:t>
                              </w:r>
                            </w:p>
                          </w:txbxContent>
                        </wps:txbx>
                        <wps:bodyPr wrap="square" lIns="0" tIns="0" rIns="0" bIns="0" rtlCol="0">
                          <a:noAutofit/>
                        </wps:bodyPr>
                      </wps:wsp>
                      <wps:wsp>
                        <wps:cNvPr id="1381" name="Textbox 1381"/>
                        <wps:cNvSpPr txBox="1"/>
                        <wps:spPr>
                          <a:xfrm>
                            <a:off x="1411812" y="1272664"/>
                            <a:ext cx="538480" cy="367665"/>
                          </a:xfrm>
                          <a:prstGeom prst="rect">
                            <a:avLst/>
                          </a:prstGeom>
                        </wps:spPr>
                        <wps:txbx>
                          <w:txbxContent>
                            <w:p>
                              <w:pPr>
                                <w:spacing w:line="128" w:lineRule="exact" w:before="0"/>
                                <w:ind w:left="0" w:right="18" w:firstLine="0"/>
                                <w:jc w:val="center"/>
                                <w:rPr>
                                  <w:rFonts w:ascii="Arial MT"/>
                                  <w:sz w:val="13"/>
                                </w:rPr>
                              </w:pPr>
                              <w:r>
                                <w:rPr>
                                  <w:rFonts w:ascii="Arial MT"/>
                                  <w:color w:val="231F20"/>
                                  <w:sz w:val="13"/>
                                </w:rPr>
                                <w:t>Ongoing</w:t>
                              </w:r>
                              <w:r>
                                <w:rPr>
                                  <w:rFonts w:ascii="Arial MT"/>
                                  <w:color w:val="231F20"/>
                                  <w:spacing w:val="-6"/>
                                  <w:sz w:val="13"/>
                                </w:rPr>
                                <w:t> </w:t>
                              </w:r>
                              <w:r>
                                <w:rPr>
                                  <w:rFonts w:ascii="Arial MT"/>
                                  <w:color w:val="231F20"/>
                                  <w:spacing w:val="-4"/>
                                  <w:sz w:val="13"/>
                                </w:rPr>
                                <w:t>risk</w:t>
                              </w:r>
                            </w:p>
                            <w:p>
                              <w:pPr>
                                <w:spacing w:before="0"/>
                                <w:ind w:left="0" w:right="18" w:firstLine="3"/>
                                <w:jc w:val="center"/>
                                <w:rPr>
                                  <w:rFonts w:ascii="Arial MT"/>
                                  <w:sz w:val="13"/>
                                </w:rPr>
                              </w:pPr>
                              <w:r>
                                <w:rPr>
                                  <w:rFonts w:ascii="Arial MT"/>
                                  <w:color w:val="231F20"/>
                                  <w:sz w:val="13"/>
                                </w:rPr>
                                <w:t>(e.g., CMV or</w:t>
                              </w:r>
                              <w:r>
                                <w:rPr>
                                  <w:rFonts w:ascii="Arial MT"/>
                                  <w:color w:val="231F20"/>
                                  <w:spacing w:val="40"/>
                                  <w:sz w:val="13"/>
                                </w:rPr>
                                <w:t> </w:t>
                              </w:r>
                              <w:r>
                                <w:rPr>
                                  <w:rFonts w:ascii="Arial MT"/>
                                  <w:color w:val="231F20"/>
                                  <w:sz w:val="13"/>
                                </w:rPr>
                                <w:t>other</w:t>
                              </w:r>
                              <w:r>
                                <w:rPr>
                                  <w:rFonts w:ascii="Arial MT"/>
                                  <w:color w:val="231F20"/>
                                  <w:spacing w:val="-10"/>
                                  <w:sz w:val="13"/>
                                </w:rPr>
                                <w:t> </w:t>
                              </w:r>
                              <w:r>
                                <w:rPr>
                                  <w:rFonts w:ascii="Arial MT"/>
                                  <w:color w:val="231F20"/>
                                  <w:sz w:val="13"/>
                                </w:rPr>
                                <w:t>high-</w:t>
                              </w:r>
                              <w:r>
                                <w:rPr>
                                  <w:rFonts w:ascii="Arial MT"/>
                                  <w:color w:val="231F20"/>
                                  <w:sz w:val="13"/>
                                </w:rPr>
                                <w:t>risk</w:t>
                              </w:r>
                              <w:r>
                                <w:rPr>
                                  <w:rFonts w:ascii="Arial MT"/>
                                  <w:color w:val="231F20"/>
                                  <w:spacing w:val="40"/>
                                  <w:sz w:val="13"/>
                                </w:rPr>
                                <w:t> </w:t>
                              </w:r>
                              <w:r>
                                <w:rPr>
                                  <w:rFonts w:ascii="Arial MT"/>
                                  <w:color w:val="231F20"/>
                                  <w:spacing w:val="-2"/>
                                  <w:sz w:val="13"/>
                                </w:rPr>
                                <w:t>diagnoses)</w:t>
                              </w:r>
                            </w:p>
                          </w:txbxContent>
                        </wps:txbx>
                        <wps:bodyPr wrap="square" lIns="0" tIns="0" rIns="0" bIns="0" rtlCol="0">
                          <a:noAutofit/>
                        </wps:bodyPr>
                      </wps:wsp>
                      <wps:wsp>
                        <wps:cNvPr id="1382" name="Textbox 1382"/>
                        <wps:cNvSpPr txBox="1"/>
                        <wps:spPr>
                          <a:xfrm>
                            <a:off x="723297" y="1489810"/>
                            <a:ext cx="289560" cy="177800"/>
                          </a:xfrm>
                          <a:prstGeom prst="rect">
                            <a:avLst/>
                          </a:prstGeom>
                        </wps:spPr>
                        <wps:txbx>
                          <w:txbxContent>
                            <w:p>
                              <w:pPr>
                                <w:spacing w:line="128" w:lineRule="exact" w:before="0"/>
                                <w:ind w:left="90" w:right="0" w:firstLine="0"/>
                                <w:jc w:val="left"/>
                                <w:rPr>
                                  <w:rFonts w:ascii="Arial MT"/>
                                  <w:sz w:val="13"/>
                                </w:rPr>
                              </w:pPr>
                              <w:r>
                                <w:rPr>
                                  <w:rFonts w:ascii="Arial MT"/>
                                  <w:color w:val="231F20"/>
                                  <w:spacing w:val="-4"/>
                                  <w:sz w:val="13"/>
                                </w:rPr>
                                <w:t>Risk</w:t>
                              </w:r>
                            </w:p>
                            <w:p>
                              <w:pPr>
                                <w:spacing w:before="0"/>
                                <w:ind w:left="0" w:right="0" w:firstLine="0"/>
                                <w:jc w:val="left"/>
                                <w:rPr>
                                  <w:rFonts w:ascii="Arial MT"/>
                                  <w:sz w:val="13"/>
                                </w:rPr>
                              </w:pPr>
                              <w:r>
                                <w:rPr>
                                  <w:rFonts w:ascii="Arial MT"/>
                                  <w:color w:val="231F20"/>
                                  <w:spacing w:val="-2"/>
                                  <w:sz w:val="13"/>
                                </w:rPr>
                                <w:t>present</w:t>
                              </w:r>
                            </w:p>
                          </w:txbxContent>
                        </wps:txbx>
                        <wps:bodyPr wrap="square" lIns="0" tIns="0" rIns="0" bIns="0" rtlCol="0">
                          <a:noAutofit/>
                        </wps:bodyPr>
                      </wps:wsp>
                      <wps:wsp>
                        <wps:cNvPr id="1383" name="Textbox 1383"/>
                        <wps:cNvSpPr txBox="1"/>
                        <wps:spPr>
                          <a:xfrm>
                            <a:off x="45812" y="1272747"/>
                            <a:ext cx="455930" cy="367665"/>
                          </a:xfrm>
                          <a:prstGeom prst="rect">
                            <a:avLst/>
                          </a:prstGeom>
                        </wps:spPr>
                        <wps:txbx>
                          <w:txbxContent>
                            <w:p>
                              <w:pPr>
                                <w:spacing w:line="128" w:lineRule="exact" w:before="0"/>
                                <w:ind w:left="0" w:right="18" w:firstLine="0"/>
                                <w:jc w:val="center"/>
                                <w:rPr>
                                  <w:rFonts w:ascii="Arial MT"/>
                                  <w:sz w:val="13"/>
                                </w:rPr>
                              </w:pPr>
                              <w:r>
                                <w:rPr>
                                  <w:rFonts w:ascii="Arial MT"/>
                                  <w:color w:val="231F20"/>
                                  <w:spacing w:val="-4"/>
                                  <w:sz w:val="13"/>
                                </w:rPr>
                                <w:t>Risk</w:t>
                              </w:r>
                            </w:p>
                            <w:p>
                              <w:pPr>
                                <w:spacing w:before="0"/>
                                <w:ind w:left="0" w:right="18" w:firstLine="0"/>
                                <w:jc w:val="center"/>
                                <w:rPr>
                                  <w:rFonts w:ascii="Arial MT"/>
                                  <w:sz w:val="13"/>
                                </w:rPr>
                              </w:pPr>
                              <w:r>
                                <w:rPr>
                                  <w:rFonts w:ascii="Arial MT"/>
                                  <w:color w:val="231F20"/>
                                  <w:spacing w:val="-2"/>
                                  <w:sz w:val="13"/>
                                </w:rPr>
                                <w:t>assessment</w:t>
                              </w:r>
                            </w:p>
                            <w:p>
                              <w:pPr>
                                <w:spacing w:before="149"/>
                                <w:ind w:left="0" w:right="14" w:firstLine="0"/>
                                <w:jc w:val="center"/>
                                <w:rPr>
                                  <w:rFonts w:ascii="Arial MT"/>
                                  <w:sz w:val="13"/>
                                </w:rPr>
                              </w:pPr>
                              <w:r>
                                <w:rPr>
                                  <w:rFonts w:ascii="Arial MT"/>
                                  <w:color w:val="231F20"/>
                                  <w:spacing w:val="-2"/>
                                  <w:sz w:val="13"/>
                                </w:rPr>
                                <w:t>Table</w:t>
                              </w:r>
                              <w:r>
                                <w:rPr>
                                  <w:rFonts w:ascii="Arial MT"/>
                                  <w:color w:val="231F20"/>
                                  <w:spacing w:val="-4"/>
                                  <w:sz w:val="13"/>
                                </w:rPr>
                                <w:t> </w:t>
                              </w:r>
                              <w:r>
                                <w:rPr>
                                  <w:rFonts w:ascii="Arial MT"/>
                                  <w:color w:val="231F20"/>
                                  <w:spacing w:val="-2"/>
                                  <w:sz w:val="13"/>
                                </w:rPr>
                                <w:t>629-</w:t>
                              </w:r>
                              <w:r>
                                <w:rPr>
                                  <w:rFonts w:ascii="Arial MT"/>
                                  <w:color w:val="231F20"/>
                                  <w:spacing w:val="-10"/>
                                  <w:sz w:val="13"/>
                                </w:rPr>
                                <w:t>1</w:t>
                              </w:r>
                            </w:p>
                          </w:txbxContent>
                        </wps:txbx>
                        <wps:bodyPr wrap="square" lIns="0" tIns="0" rIns="0" bIns="0" rtlCol="0">
                          <a:noAutofit/>
                        </wps:bodyPr>
                      </wps:wsp>
                      <wps:wsp>
                        <wps:cNvPr id="1384" name="Textbox 1384"/>
                        <wps:cNvSpPr txBox="1"/>
                        <wps:spPr>
                          <a:xfrm>
                            <a:off x="1722602" y="1061490"/>
                            <a:ext cx="280035"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Normal</w:t>
                              </w:r>
                            </w:p>
                          </w:txbxContent>
                        </wps:txbx>
                        <wps:bodyPr wrap="square" lIns="0" tIns="0" rIns="0" bIns="0" rtlCol="0">
                          <a:noAutofit/>
                        </wps:bodyPr>
                      </wps:wsp>
                      <wps:wsp>
                        <wps:cNvPr id="1385" name="Textbox 1385"/>
                        <wps:cNvSpPr txBox="1"/>
                        <wps:spPr>
                          <a:xfrm>
                            <a:off x="1919427" y="702923"/>
                            <a:ext cx="367665"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Abnormal</w:t>
                              </w:r>
                            </w:p>
                          </w:txbxContent>
                        </wps:txbx>
                        <wps:bodyPr wrap="square" lIns="0" tIns="0" rIns="0" bIns="0" rtlCol="0">
                          <a:noAutofit/>
                        </wps:bodyPr>
                      </wps:wsp>
                      <wps:wsp>
                        <wps:cNvPr id="1386" name="Textbox 1386"/>
                        <wps:cNvSpPr txBox="1"/>
                        <wps:spPr>
                          <a:xfrm>
                            <a:off x="907017" y="738506"/>
                            <a:ext cx="358775" cy="177800"/>
                          </a:xfrm>
                          <a:prstGeom prst="rect">
                            <a:avLst/>
                          </a:prstGeom>
                        </wps:spPr>
                        <wps:txbx>
                          <w:txbxContent>
                            <w:p>
                              <w:pPr>
                                <w:spacing w:line="128" w:lineRule="exact" w:before="0"/>
                                <w:ind w:left="0" w:right="0" w:firstLine="0"/>
                                <w:jc w:val="left"/>
                                <w:rPr>
                                  <w:rFonts w:ascii="Arial MT"/>
                                  <w:sz w:val="13"/>
                                </w:rPr>
                              </w:pPr>
                              <w:r>
                                <w:rPr>
                                  <w:rFonts w:ascii="Arial MT"/>
                                  <w:color w:val="231F20"/>
                                  <w:spacing w:val="-2"/>
                                  <w:sz w:val="13"/>
                                </w:rPr>
                                <w:t>Objective</w:t>
                              </w:r>
                            </w:p>
                            <w:p>
                              <w:pPr>
                                <w:spacing w:before="0"/>
                                <w:ind w:left="74" w:right="0" w:firstLine="0"/>
                                <w:jc w:val="left"/>
                                <w:rPr>
                                  <w:rFonts w:ascii="Arial MT"/>
                                  <w:sz w:val="13"/>
                                </w:rPr>
                              </w:pPr>
                              <w:r>
                                <w:rPr>
                                  <w:rFonts w:ascii="Arial MT"/>
                                  <w:color w:val="231F20"/>
                                  <w:spacing w:val="-2"/>
                                  <w:sz w:val="13"/>
                                </w:rPr>
                                <w:t>screen</w:t>
                              </w:r>
                            </w:p>
                          </w:txbxContent>
                        </wps:txbx>
                        <wps:bodyPr wrap="square" lIns="0" tIns="0" rIns="0" bIns="0" rtlCol="0">
                          <a:noAutofit/>
                        </wps:bodyPr>
                      </wps:wsp>
                      <wps:wsp>
                        <wps:cNvPr id="1387" name="Textbox 1387"/>
                        <wps:cNvSpPr txBox="1"/>
                        <wps:spPr>
                          <a:xfrm>
                            <a:off x="612318" y="702923"/>
                            <a:ext cx="14859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5"/>
                                  <w:sz w:val="13"/>
                                </w:rPr>
                                <w:t>Yes</w:t>
                              </w:r>
                            </w:p>
                          </w:txbxContent>
                        </wps:txbx>
                        <wps:bodyPr wrap="square" lIns="0" tIns="0" rIns="0" bIns="0" rtlCol="0">
                          <a:noAutofit/>
                        </wps:bodyPr>
                      </wps:wsp>
                      <wps:wsp>
                        <wps:cNvPr id="1388" name="Textbox 1388"/>
                        <wps:cNvSpPr txBox="1"/>
                        <wps:spPr>
                          <a:xfrm>
                            <a:off x="78243" y="643619"/>
                            <a:ext cx="391160" cy="501015"/>
                          </a:xfrm>
                          <a:prstGeom prst="rect">
                            <a:avLst/>
                          </a:prstGeom>
                        </wps:spPr>
                        <wps:txbx>
                          <w:txbxContent>
                            <w:p>
                              <w:pPr>
                                <w:spacing w:line="128" w:lineRule="exact" w:before="0"/>
                                <w:ind w:left="0" w:right="20" w:firstLine="0"/>
                                <w:jc w:val="center"/>
                                <w:rPr>
                                  <w:rFonts w:ascii="Arial MT"/>
                                  <w:sz w:val="13"/>
                                </w:rPr>
                              </w:pPr>
                              <w:r>
                                <w:rPr>
                                  <w:rFonts w:ascii="Arial MT"/>
                                  <w:color w:val="231F20"/>
                                  <w:sz w:val="13"/>
                                </w:rPr>
                                <w:t>Visit</w:t>
                              </w:r>
                              <w:r>
                                <w:rPr>
                                  <w:rFonts w:ascii="Arial MT"/>
                                  <w:color w:val="231F20"/>
                                  <w:spacing w:val="-3"/>
                                  <w:sz w:val="13"/>
                                </w:rPr>
                                <w:t> </w:t>
                              </w:r>
                              <w:r>
                                <w:rPr>
                                  <w:rFonts w:ascii="Arial MT"/>
                                  <w:color w:val="231F20"/>
                                  <w:spacing w:val="-4"/>
                                  <w:sz w:val="13"/>
                                </w:rPr>
                                <w:t>with</w:t>
                              </w:r>
                            </w:p>
                            <w:p>
                              <w:pPr>
                                <w:spacing w:before="0"/>
                                <w:ind w:left="0" w:right="18" w:firstLine="0"/>
                                <w:jc w:val="center"/>
                                <w:rPr>
                                  <w:rFonts w:ascii="Arial MT"/>
                                  <w:sz w:val="13"/>
                                </w:rPr>
                              </w:pPr>
                              <w:r>
                                <w:rPr>
                                  <w:rFonts w:ascii="Arial MT"/>
                                  <w:color w:val="231F20"/>
                                  <w:spacing w:val="-2"/>
                                  <w:sz w:val="13"/>
                                </w:rPr>
                                <w:t>scheduled</w:t>
                              </w:r>
                              <w:r>
                                <w:rPr>
                                  <w:rFonts w:ascii="Arial MT"/>
                                  <w:color w:val="231F20"/>
                                  <w:spacing w:val="40"/>
                                  <w:sz w:val="13"/>
                                </w:rPr>
                                <w:t> </w:t>
                              </w:r>
                              <w:r>
                                <w:rPr>
                                  <w:rFonts w:ascii="Arial MT"/>
                                  <w:color w:val="231F20"/>
                                  <w:spacing w:val="-2"/>
                                  <w:sz w:val="13"/>
                                </w:rPr>
                                <w:t>objective</w:t>
                              </w:r>
                              <w:r>
                                <w:rPr>
                                  <w:rFonts w:ascii="Arial MT"/>
                                  <w:color w:val="231F20"/>
                                  <w:spacing w:val="40"/>
                                  <w:sz w:val="13"/>
                                </w:rPr>
                                <w:t> </w:t>
                              </w:r>
                              <w:r>
                                <w:rPr>
                                  <w:rFonts w:ascii="Arial MT"/>
                                  <w:color w:val="231F20"/>
                                  <w:spacing w:val="-2"/>
                                  <w:sz w:val="13"/>
                                </w:rPr>
                                <w:t>screen?</w:t>
                              </w:r>
                            </w:p>
                            <w:p>
                              <w:pPr>
                                <w:spacing w:before="60"/>
                                <w:ind w:left="372" w:right="0" w:firstLine="0"/>
                                <w:jc w:val="left"/>
                                <w:rPr>
                                  <w:rFonts w:ascii="Arial MT"/>
                                  <w:sz w:val="13"/>
                                </w:rPr>
                              </w:pPr>
                              <w:r>
                                <w:rPr>
                                  <w:rFonts w:ascii="Arial MT"/>
                                  <w:color w:val="231F20"/>
                                  <w:spacing w:val="-5"/>
                                  <w:sz w:val="13"/>
                                </w:rPr>
                                <w:t>No</w:t>
                              </w:r>
                            </w:p>
                          </w:txbxContent>
                        </wps:txbx>
                        <wps:bodyPr wrap="square" lIns="0" tIns="0" rIns="0" bIns="0" rtlCol="0">
                          <a:noAutofit/>
                        </wps:bodyPr>
                      </wps:wsp>
                    </wpg:wgp>
                  </a:graphicData>
                </a:graphic>
              </wp:anchor>
            </w:drawing>
          </mc:Choice>
          <mc:Fallback>
            <w:pict>
              <v:group style="position:absolute;margin-left:131.375381pt;margin-top:15.555038pt;width:315.5pt;height:173.7pt;mso-position-horizontal-relative:page;mso-position-vertical-relative:paragraph;z-index:-15627776;mso-wrap-distance-left:0;mso-wrap-distance-right:0" id="docshapegroup1044" coordorigin="2628,311" coordsize="6310,3474">
                <v:rect style="position:absolute;left:2688;top:1290;width:721;height:635" id="docshape1045" filled="true" fillcolor="#f8ebd0" stroked="false">
                  <v:fill type="solid"/>
                </v:rect>
                <v:rect style="position:absolute;left:2688;top:1290;width:721;height:635" id="docshape1046" filled="false" stroked="true" strokeweight=".933007pt" strokecolor="#231f20">
                  <v:stroke dashstyle="solid"/>
                </v:rect>
                <v:rect style="position:absolute;left:3975;top:1408;width:703;height:399" id="docshape1047" filled="true" fillcolor="#d7eddd" stroked="false">
                  <v:fill type="solid"/>
                </v:rect>
                <v:rect style="position:absolute;left:3975;top:1408;width:703;height:399" id="docshape1048" filled="false" stroked="true" strokeweight=".933007pt" strokecolor="#231f20">
                  <v:stroke dashstyle="solid"/>
                </v:rect>
                <v:rect style="position:absolute;left:2636;top:2262;width:824;height:671" id="docshape1049" filled="true" fillcolor="#d7eddd" stroked="false">
                  <v:fill type="solid"/>
                </v:rect>
                <v:rect style="position:absolute;left:2636;top:2262;width:824;height:671" id="docshape1050" filled="false" stroked="true" strokeweight=".933007pt" strokecolor="#231f20">
                  <v:stroke dashstyle="solid"/>
                </v:rect>
                <v:rect style="position:absolute;left:4804;top:2257;width:923;height:682" id="docshape1051" filled="true" fillcolor="#f8ebd0" stroked="false">
                  <v:fill type="solid"/>
                </v:rect>
                <v:rect style="position:absolute;left:4804;top:2257;width:923;height:682" id="docshape1052" filled="false" stroked="true" strokeweight=".933007pt" strokecolor="#231f20">
                  <v:stroke dashstyle="solid"/>
                </v:rect>
                <v:rect style="position:absolute;left:6550;top:2383;width:721;height:430" id="docshape1053" filled="true" fillcolor="#f8ebd0" stroked="false">
                  <v:fill type="solid"/>
                </v:rect>
                <v:rect style="position:absolute;left:6550;top:2383;width:721;height:430" id="docshape1054" filled="false" stroked="true" strokeweight=".933007pt" strokecolor="#231f20">
                  <v:stroke dashstyle="solid"/>
                </v:rect>
                <v:rect style="position:absolute;left:4785;top:3243;width:960;height:533" id="docshape1055" filled="true" fillcolor="#d7eddd" stroked="false">
                  <v:fill type="solid"/>
                </v:rect>
                <v:rect style="position:absolute;left:4785;top:3243;width:960;height:533" id="docshape1056" filled="false" stroked="true" strokeweight=".933007pt" strokecolor="#231f20">
                  <v:stroke dashstyle="solid"/>
                </v:rect>
                <v:rect style="position:absolute;left:2818;top:3375;width:460;height:268" id="docshape1057" filled="true" fillcolor="#f1bcb5" stroked="false">
                  <v:fill type="solid"/>
                </v:rect>
                <v:shape style="position:absolute;left:2818;top:1048;width:460;height:2595" id="docshape1058" coordorigin="2819,1048" coordsize="460,2595" path="m3278,3643l2819,3643,2819,3375,3278,3375,3278,3643xm3048,1048l3048,1194e" filled="false" stroked="true" strokeweight=".933007pt" strokecolor="#231f20">
                  <v:path arrowok="t"/>
                  <v:stroke dashstyle="solid"/>
                </v:shape>
                <v:shape style="position:absolute;left:2987;top:1151;width:122;height:149" id="docshape1059" coordorigin="2988,1151" coordsize="122,149" path="m3109,1151l3048,1186,2988,1151,3048,1300,3109,1151xe" filled="true" fillcolor="#231f20" stroked="false">
                  <v:path arrowok="t"/>
                  <v:fill type="solid"/>
                </v:shape>
                <v:line style="position:absolute" from="3048,1925" to="3048,2152" stroked="true" strokeweight=".933007pt" strokecolor="#231f20">
                  <v:stroke dashstyle="solid"/>
                </v:line>
                <v:shape style="position:absolute;left:2987;top:2109;width:122;height:149" id="docshape1060" coordorigin="2988,2109" coordsize="122,149" path="m3109,2109l3048,2144,2988,2109,3048,2258,3109,2109xe" filled="true" fillcolor="#231f20" stroked="false">
                  <v:path arrowok="t"/>
                  <v:fill type="solid"/>
                </v:shape>
                <v:line style="position:absolute" from="3408,1608" to="3861,1608" stroked="true" strokeweight=".933007pt" strokecolor="#231f20">
                  <v:stroke dashstyle="solid"/>
                </v:line>
                <v:shape style="position:absolute;left:3817;top:1547;width:149;height:122" id="docshape1061" coordorigin="3818,1547" coordsize="149,122" path="m3818,1547l3853,1608,3818,1668,3966,1608,3818,1547xe" filled="true" fillcolor="#231f20" stroked="false">
                  <v:path arrowok="t"/>
                  <v:fill type="solid"/>
                </v:shape>
                <v:line style="position:absolute" from="4678,1608" to="4869,1608" stroked="true" strokeweight=".933007pt" strokecolor="#231f20">
                  <v:stroke dashstyle="solid"/>
                </v:line>
                <v:shape style="position:absolute;left:4825;top:1547;width:149;height:122" id="docshape1062" coordorigin="4826,1547" coordsize="149,122" path="m4826,1547l4861,1608,4826,1668,4974,1608,4826,1547xe" filled="true" fillcolor="#231f20" stroked="false">
                  <v:path arrowok="t"/>
                  <v:fill type="solid"/>
                </v:shape>
                <v:line style="position:absolute" from="5550,1608" to="6231,1608" stroked="true" strokeweight=".933007pt" strokecolor="#231f20">
                  <v:stroke dashstyle="solid"/>
                </v:line>
                <v:shape style="position:absolute;left:6187;top:1547;width:149;height:122" id="docshape1063" coordorigin="6188,1547" coordsize="149,122" path="m6188,1547l6223,1608,6188,1668,6336,1608,6188,1547xe" filled="true" fillcolor="#231f20" stroked="false">
                  <v:path arrowok="t"/>
                  <v:fill type="solid"/>
                </v:shape>
                <v:line style="position:absolute" from="5266,1813" to="5266,2152" stroked="true" strokeweight=".933007pt" strokecolor="#231f20">
                  <v:stroke dashstyle="solid"/>
                </v:line>
                <v:shape style="position:absolute;left:5205;top:2109;width:122;height:149" id="docshape1064" coordorigin="5205,2109" coordsize="122,149" path="m5326,2109l5266,2144,5205,2109,5266,2258,5326,2109xe" filled="true" fillcolor="#231f20" stroked="false">
                  <v:path arrowok="t"/>
                  <v:fill type="solid"/>
                </v:shape>
                <v:line style="position:absolute" from="3048,2933" to="3048,3272" stroked="true" strokeweight=".933007pt" strokecolor="#231f20">
                  <v:stroke dashstyle="solid"/>
                </v:line>
                <v:shape style="position:absolute;left:2987;top:3228;width:122;height:149" id="docshape1065" coordorigin="2988,3229" coordsize="122,149" path="m3109,3229l3048,3264,2988,3229,3048,3377,3109,3229xe" filled="true" fillcolor="#231f20" stroked="false">
                  <v:path arrowok="t"/>
                  <v:fill type="solid"/>
                </v:shape>
                <v:line style="position:absolute" from="5266,2933" to="5266,3141" stroked="true" strokeweight=".933007pt" strokecolor="#231f20">
                  <v:stroke dashstyle="solid"/>
                </v:line>
                <v:shape style="position:absolute;left:5205;top:3098;width:122;height:149" id="docshape1066" coordorigin="5205,3098" coordsize="122,149" path="m5326,3098l5266,3133,5205,3098,5266,3247,5326,3098xe" filled="true" fillcolor="#231f20" stroked="false">
                  <v:path arrowok="t"/>
                  <v:fill type="solid"/>
                </v:shape>
                <v:line style="position:absolute" from="6911,1883" to="6911,2277" stroked="true" strokeweight=".933007pt" strokecolor="#231f20">
                  <v:stroke dashstyle="solid"/>
                </v:line>
                <v:shape style="position:absolute;left:6850;top:2233;width:122;height:149" id="docshape1067" coordorigin="6850,2233" coordsize="122,149" path="m6972,2233l6911,2269,6850,2233,6911,2382,6972,2233xe" filled="true" fillcolor="#231f20" stroked="false">
                  <v:path arrowok="t"/>
                  <v:fill type="solid"/>
                </v:shape>
                <v:line style="position:absolute" from="7271,2598" to="7861,2598" stroked="true" strokeweight=".933007pt" strokecolor="#231f20">
                  <v:stroke dashstyle="solid"/>
                </v:line>
                <v:shape style="position:absolute;left:7817;top:2537;width:149;height:122" id="docshape1068" coordorigin="7817,2537" coordsize="149,122" path="m7817,2537l7853,2598,7817,2659,7966,2598,7817,2537xe" filled="true" fillcolor="#231f20" stroked="false">
                  <v:path arrowok="t"/>
                  <v:fill type="solid"/>
                </v:shape>
                <v:shape style="position:absolute;left:5845;top:2812;width:1066;height:697" id="docshape1069" coordorigin="5845,2813" coordsize="1066,697" path="m6911,2813l6911,3509,5845,3509e" filled="false" stroked="true" strokeweight=".933007pt" strokecolor="#231f20">
                  <v:path arrowok="t"/>
                  <v:stroke dashstyle="solid"/>
                </v:shape>
                <v:shape style="position:absolute;left:5739;top:3448;width:149;height:122" id="docshape1070" coordorigin="5740,3449" coordsize="149,122" path="m5888,3449l5740,3509,5888,3570,5853,3509,5888,3449xe" filled="true" fillcolor="#231f20" stroked="false">
                  <v:path arrowok="t"/>
                  <v:fill type="solid"/>
                </v:shape>
                <v:shape style="position:absolute;left:5845;top:3021;width:2609;height:622" id="docshape1071" coordorigin="5845,3022" coordsize="2609,622" path="m8454,3022l8454,3643,5845,3643e" filled="false" stroked="true" strokeweight=".933007pt" strokecolor="#231f20">
                  <v:path arrowok="t"/>
                  <v:stroke dashstyle="solid"/>
                </v:shape>
                <v:shape style="position:absolute;left:5739;top:3582;width:149;height:122" id="docshape1072" coordorigin="5740,3583" coordsize="149,122" path="m5888,3583l5740,3643,5888,3704,5853,3643,5888,3583xe" filled="true" fillcolor="#231f20" stroked="false">
                  <v:path arrowok="t"/>
                  <v:fill type="solid"/>
                </v:shape>
                <v:shape style="position:absolute;left:3459;top:1902;width:867;height:696" id="docshape1073" coordorigin="3460,1902" coordsize="867,696" path="m3460,2598l4327,2598,4327,1902e" filled="false" stroked="true" strokeweight=".933007pt" strokecolor="#231f20">
                  <v:path arrowok="t"/>
                  <v:stroke dashstyle="solid"/>
                </v:shape>
                <v:shape style="position:absolute;left:4265;top:1797;width:122;height:149" id="docshape1074" coordorigin="4266,1797" coordsize="122,149" path="m4327,1797l4266,1946,4327,1910,4387,1946,4327,1797xe" filled="true" fillcolor="#231f20" stroked="false">
                  <v:path arrowok="t"/>
                  <v:fill type="solid"/>
                </v:shape>
                <v:line style="position:absolute" from="4786,3509" to="3397,3509" stroked="true" strokeweight=".933007pt" strokecolor="#231f20">
                  <v:stroke dashstyle="solid"/>
                </v:line>
                <v:shape style="position:absolute;left:3291;top:3448;width:149;height:122" id="docshape1075" coordorigin="3291,3449" coordsize="149,122" path="m3440,3449l3291,3509,3440,3570,3405,3509,3440,3449xe" filled="true" fillcolor="#231f20" stroked="false">
                  <v:path arrowok="t"/>
                  <v:fill type="solid"/>
                </v:shape>
                <v:shape style="position:absolute;left:4528;top:2598;width:276;height:811" id="docshape1076" coordorigin="4529,2598" coordsize="276,811" path="m4805,2598l4529,2598,4529,3409e" filled="false" stroked="true" strokeweight=".933007pt" strokecolor="#231f20">
                  <v:path arrowok="t"/>
                  <v:stroke dashstyle="solid"/>
                </v:shape>
                <v:shape style="position:absolute;left:4468;top:3365;width:122;height:149" id="docshape1077" coordorigin="4468,3366" coordsize="122,149" path="m4589,3366l4529,3401,4468,3366,4529,3514,4589,3366xe" filled="true" fillcolor="#231f20" stroked="false">
                  <v:path arrowok="t"/>
                  <v:fill type="solid"/>
                </v:shape>
                <v:line style="position:absolute" from="3709,880" to="3408,1574" stroked="true" strokeweight=".933007pt" strokecolor="#231f20">
                  <v:stroke dashstyle="solid"/>
                </v:line>
                <v:shape style="position:absolute;left:4981;top:1402;width:568;height:411" type="#_x0000_t202" id="docshape1078" filled="true" fillcolor="#f8ebd0" stroked="true" strokeweight=".933007pt" strokecolor="#231f20">
                  <v:textbox inset="0,0,0,0">
                    <w:txbxContent>
                      <w:p>
                        <w:pPr>
                          <w:spacing w:before="41"/>
                          <w:ind w:left="45" w:right="44" w:firstLine="21"/>
                          <w:jc w:val="left"/>
                          <w:rPr>
                            <w:rFonts w:ascii="Arial MT"/>
                            <w:color w:val="000000"/>
                            <w:sz w:val="13"/>
                          </w:rPr>
                        </w:pPr>
                        <w:r>
                          <w:rPr>
                            <w:rFonts w:ascii="Arial MT"/>
                            <w:color w:val="231F20"/>
                            <w:spacing w:val="-2"/>
                            <w:sz w:val="13"/>
                          </w:rPr>
                          <w:t>Screen</w:t>
                        </w:r>
                        <w:r>
                          <w:rPr>
                            <w:rFonts w:ascii="Arial MT"/>
                            <w:color w:val="231F20"/>
                            <w:spacing w:val="40"/>
                            <w:sz w:val="13"/>
                          </w:rPr>
                          <w:t> </w:t>
                        </w:r>
                        <w:r>
                          <w:rPr>
                            <w:rFonts w:ascii="Arial MT"/>
                            <w:color w:val="231F20"/>
                            <w:spacing w:val="-2"/>
                            <w:sz w:val="13"/>
                          </w:rPr>
                          <w:t>results?</w:t>
                        </w:r>
                      </w:p>
                    </w:txbxContent>
                  </v:textbox>
                  <v:fill type="solid"/>
                  <v:stroke dashstyle="solid"/>
                  <w10:wrap type="none"/>
                </v:shape>
                <v:shape style="position:absolute;left:6354;top:1332;width:1113;height:551" type="#_x0000_t202" id="docshape1079" filled="true" fillcolor="#d7eddd" stroked="true" strokeweight=".933007pt" strokecolor="#231f20">
                  <v:textbox inset="0,0,0,0">
                    <w:txbxContent>
                      <w:p>
                        <w:pPr>
                          <w:spacing w:before="36"/>
                          <w:ind w:left="23" w:right="15" w:hanging="2"/>
                          <w:jc w:val="center"/>
                          <w:rPr>
                            <w:rFonts w:ascii="Arial MT"/>
                            <w:color w:val="000000"/>
                            <w:sz w:val="13"/>
                          </w:rPr>
                        </w:pPr>
                        <w:r>
                          <w:rPr>
                            <w:rFonts w:ascii="Arial MT"/>
                            <w:color w:val="231F20"/>
                            <w:sz w:val="13"/>
                          </w:rPr>
                          <w:t>Referral</w:t>
                        </w:r>
                        <w:r>
                          <w:rPr>
                            <w:rFonts w:ascii="Arial MT"/>
                            <w:color w:val="231F20"/>
                            <w:spacing w:val="-5"/>
                            <w:sz w:val="13"/>
                          </w:rPr>
                          <w:t> </w:t>
                        </w:r>
                        <w:r>
                          <w:rPr>
                            <w:rFonts w:ascii="Arial MT"/>
                            <w:color w:val="231F20"/>
                            <w:sz w:val="13"/>
                          </w:rPr>
                          <w:t>to</w:t>
                        </w:r>
                        <w:r>
                          <w:rPr>
                            <w:rFonts w:ascii="Arial MT"/>
                            <w:color w:val="231F20"/>
                            <w:spacing w:val="40"/>
                            <w:sz w:val="13"/>
                          </w:rPr>
                          <w:t> </w:t>
                        </w:r>
                        <w:r>
                          <w:rPr>
                            <w:rFonts w:ascii="Arial MT"/>
                            <w:color w:val="231F20"/>
                            <w:sz w:val="13"/>
                          </w:rPr>
                          <w:t>audiology</w:t>
                        </w:r>
                        <w:r>
                          <w:rPr>
                            <w:rFonts w:ascii="Arial MT"/>
                            <w:color w:val="231F20"/>
                            <w:spacing w:val="-5"/>
                            <w:sz w:val="13"/>
                          </w:rPr>
                          <w:t> </w:t>
                        </w:r>
                        <w:r>
                          <w:rPr>
                            <w:rFonts w:ascii="Arial MT"/>
                            <w:color w:val="231F20"/>
                            <w:sz w:val="13"/>
                          </w:rPr>
                          <w:t>and</w:t>
                        </w:r>
                        <w:r>
                          <w:rPr>
                            <w:rFonts w:ascii="Arial MT"/>
                            <w:color w:val="231F20"/>
                            <w:spacing w:val="40"/>
                            <w:sz w:val="13"/>
                          </w:rPr>
                          <w:t> </w:t>
                        </w:r>
                        <w:r>
                          <w:rPr>
                            <w:rFonts w:ascii="Arial MT"/>
                            <w:color w:val="231F20"/>
                            <w:sz w:val="13"/>
                          </w:rPr>
                          <w:t>speech</w:t>
                        </w:r>
                        <w:r>
                          <w:rPr>
                            <w:rFonts w:ascii="Arial MT"/>
                            <w:color w:val="231F20"/>
                            <w:spacing w:val="-10"/>
                            <w:sz w:val="13"/>
                          </w:rPr>
                          <w:t> </w:t>
                        </w:r>
                        <w:r>
                          <w:rPr>
                            <w:rFonts w:ascii="Arial MT"/>
                            <w:color w:val="231F20"/>
                            <w:sz w:val="13"/>
                          </w:rPr>
                          <w:t>evaluation</w:t>
                        </w:r>
                      </w:p>
                    </w:txbxContent>
                  </v:textbox>
                  <v:fill type="solid"/>
                  <v:stroke dashstyle="solid"/>
                  <w10:wrap type="none"/>
                </v:shape>
                <v:shape style="position:absolute;left:3490;top:320;width:1971;height:560" type="#_x0000_t202" id="docshape1080" filled="true" fillcolor="#d7eddd" stroked="true" strokeweight=".933007pt" strokecolor="#231f20">
                  <v:textbox inset="0,0,0,0">
                    <w:txbxContent>
                      <w:p>
                        <w:pPr>
                          <w:spacing w:before="46"/>
                          <w:ind w:left="12" w:right="0" w:firstLine="0"/>
                          <w:jc w:val="center"/>
                          <w:rPr>
                            <w:rFonts w:ascii="Arial MT"/>
                            <w:color w:val="000000"/>
                            <w:sz w:val="13"/>
                          </w:rPr>
                        </w:pPr>
                        <w:r>
                          <w:rPr>
                            <w:rFonts w:ascii="Arial MT"/>
                            <w:color w:val="231F20"/>
                            <w:sz w:val="13"/>
                          </w:rPr>
                          <w:t>Objective</w:t>
                        </w:r>
                        <w:r>
                          <w:rPr>
                            <w:rFonts w:ascii="Arial MT"/>
                            <w:color w:val="231F20"/>
                            <w:spacing w:val="-10"/>
                            <w:sz w:val="13"/>
                          </w:rPr>
                          <w:t> </w:t>
                        </w:r>
                        <w:r>
                          <w:rPr>
                            <w:rFonts w:ascii="Arial MT"/>
                            <w:color w:val="231F20"/>
                            <w:sz w:val="13"/>
                          </w:rPr>
                          <w:t>screens</w:t>
                        </w:r>
                        <w:r>
                          <w:rPr>
                            <w:rFonts w:ascii="Arial MT"/>
                            <w:color w:val="231F20"/>
                            <w:spacing w:val="-9"/>
                            <w:sz w:val="13"/>
                          </w:rPr>
                          <w:t> </w:t>
                        </w:r>
                        <w:r>
                          <w:rPr>
                            <w:rFonts w:ascii="Arial MT"/>
                            <w:color w:val="231F20"/>
                            <w:sz w:val="13"/>
                          </w:rPr>
                          <w:t>scheduled</w:t>
                        </w:r>
                        <w:r>
                          <w:rPr>
                            <w:rFonts w:ascii="Arial MT"/>
                            <w:color w:val="231F20"/>
                            <w:spacing w:val="-9"/>
                            <w:sz w:val="13"/>
                          </w:rPr>
                          <w:t> </w:t>
                        </w:r>
                        <w:r>
                          <w:rPr>
                            <w:rFonts w:ascii="Arial MT"/>
                            <w:color w:val="231F20"/>
                            <w:sz w:val="13"/>
                          </w:rPr>
                          <w:t>at:</w:t>
                        </w:r>
                        <w:r>
                          <w:rPr>
                            <w:rFonts w:ascii="Arial MT"/>
                            <w:color w:val="231F20"/>
                            <w:spacing w:val="40"/>
                            <w:sz w:val="13"/>
                          </w:rPr>
                          <w:t> </w:t>
                        </w:r>
                        <w:r>
                          <w:rPr>
                            <w:rFonts w:ascii="Arial MT"/>
                            <w:color w:val="231F20"/>
                            <w:sz w:val="13"/>
                          </w:rPr>
                          <w:t>Newborn and 4, 5, 6, 8,</w:t>
                        </w:r>
                      </w:p>
                      <w:p>
                        <w:pPr>
                          <w:spacing w:line="149" w:lineRule="exact" w:before="0"/>
                          <w:ind w:left="12" w:right="12" w:firstLine="0"/>
                          <w:jc w:val="center"/>
                          <w:rPr>
                            <w:rFonts w:ascii="Arial MT"/>
                            <w:color w:val="000000"/>
                            <w:sz w:val="13"/>
                          </w:rPr>
                        </w:pPr>
                        <w:r>
                          <w:rPr>
                            <w:rFonts w:ascii="Arial MT"/>
                            <w:color w:val="231F20"/>
                            <w:sz w:val="13"/>
                          </w:rPr>
                          <w:t>10,</w:t>
                        </w:r>
                        <w:r>
                          <w:rPr>
                            <w:rFonts w:ascii="Arial MT"/>
                            <w:color w:val="231F20"/>
                            <w:spacing w:val="-1"/>
                            <w:sz w:val="13"/>
                          </w:rPr>
                          <w:t> </w:t>
                        </w:r>
                        <w:r>
                          <w:rPr>
                            <w:rFonts w:ascii="Arial MT"/>
                            <w:color w:val="231F20"/>
                            <w:sz w:val="13"/>
                          </w:rPr>
                          <w:t>12,</w:t>
                        </w:r>
                        <w:r>
                          <w:rPr>
                            <w:rFonts w:ascii="Arial MT"/>
                            <w:color w:val="231F20"/>
                            <w:spacing w:val="-1"/>
                            <w:sz w:val="13"/>
                          </w:rPr>
                          <w:t> </w:t>
                        </w:r>
                        <w:r>
                          <w:rPr>
                            <w:rFonts w:ascii="Arial MT"/>
                            <w:color w:val="231F20"/>
                            <w:sz w:val="13"/>
                          </w:rPr>
                          <w:t>15, and</w:t>
                        </w:r>
                        <w:r>
                          <w:rPr>
                            <w:rFonts w:ascii="Arial MT"/>
                            <w:color w:val="231F20"/>
                            <w:spacing w:val="-1"/>
                            <w:sz w:val="13"/>
                          </w:rPr>
                          <w:t> </w:t>
                        </w:r>
                        <w:r>
                          <w:rPr>
                            <w:rFonts w:ascii="Arial MT"/>
                            <w:color w:val="231F20"/>
                            <w:sz w:val="13"/>
                          </w:rPr>
                          <w:t>18 </w:t>
                        </w:r>
                        <w:r>
                          <w:rPr>
                            <w:rFonts w:ascii="Arial MT"/>
                            <w:color w:val="231F20"/>
                            <w:spacing w:val="-5"/>
                            <w:sz w:val="13"/>
                          </w:rPr>
                          <w:t>yr</w:t>
                        </w:r>
                      </w:p>
                    </w:txbxContent>
                  </v:textbox>
                  <v:fill type="solid"/>
                  <v:stroke dashstyle="solid"/>
                  <w10:wrap type="none"/>
                </v:shape>
                <v:shape style="position:absolute;left:2699;top:823;width:697;height:225" type="#_x0000_t202" id="docshape1081" filled="true" fillcolor="#d1e4f6" stroked="true" strokeweight=".933007pt" strokecolor="#231f20">
                  <v:textbox inset="0,0,0,0">
                    <w:txbxContent>
                      <w:p>
                        <w:pPr>
                          <w:spacing w:before="22"/>
                          <w:ind w:left="37" w:right="0" w:firstLine="0"/>
                          <w:jc w:val="left"/>
                          <w:rPr>
                            <w:rFonts w:ascii="Arial MT"/>
                            <w:color w:val="000000"/>
                            <w:sz w:val="13"/>
                          </w:rPr>
                        </w:pPr>
                        <w:r>
                          <w:rPr>
                            <w:rFonts w:ascii="Arial MT"/>
                            <w:color w:val="231F20"/>
                            <w:sz w:val="13"/>
                          </w:rPr>
                          <w:t>Office</w:t>
                        </w:r>
                        <w:r>
                          <w:rPr>
                            <w:rFonts w:ascii="Arial MT"/>
                            <w:color w:val="231F20"/>
                            <w:spacing w:val="-6"/>
                            <w:sz w:val="13"/>
                          </w:rPr>
                          <w:t> </w:t>
                        </w:r>
                        <w:r>
                          <w:rPr>
                            <w:rFonts w:ascii="Arial MT"/>
                            <w:color w:val="231F20"/>
                            <w:spacing w:val="-2"/>
                            <w:sz w:val="13"/>
                          </w:rPr>
                          <w:t>visit</w:t>
                        </w:r>
                      </w:p>
                    </w:txbxContent>
                  </v:textbox>
                  <v:fill type="solid"/>
                  <v:stroke dashstyle="solid"/>
                  <w10:wrap type="none"/>
                </v:shape>
                <v:shape style="position:absolute;left:7979;top:2174;width:948;height:848" type="#_x0000_t202" id="docshape1082" filled="true" fillcolor="#d7eddd" stroked="true" strokeweight=".933007pt" strokecolor="#231f20">
                  <v:textbox inset="0,0,0,0">
                    <w:txbxContent>
                      <w:p>
                        <w:pPr>
                          <w:spacing w:before="35"/>
                          <w:ind w:left="11" w:right="10" w:firstLine="0"/>
                          <w:jc w:val="center"/>
                          <w:rPr>
                            <w:rFonts w:ascii="Arial MT"/>
                            <w:color w:val="000000"/>
                            <w:sz w:val="13"/>
                          </w:rPr>
                        </w:pPr>
                        <w:r>
                          <w:rPr>
                            <w:rFonts w:ascii="Arial MT"/>
                            <w:color w:val="231F20"/>
                            <w:spacing w:val="-2"/>
                            <w:sz w:val="13"/>
                          </w:rPr>
                          <w:t>Otolaryngology,</w:t>
                        </w:r>
                        <w:r>
                          <w:rPr>
                            <w:rFonts w:ascii="Arial MT"/>
                            <w:color w:val="231F20"/>
                            <w:spacing w:val="40"/>
                            <w:sz w:val="13"/>
                          </w:rPr>
                          <w:t> </w:t>
                        </w:r>
                        <w:r>
                          <w:rPr>
                            <w:rFonts w:ascii="Arial MT"/>
                            <w:color w:val="231F20"/>
                            <w:sz w:val="13"/>
                          </w:rPr>
                          <w:t>genetics,</w:t>
                        </w:r>
                        <w:r>
                          <w:rPr>
                            <w:rFonts w:ascii="Arial MT"/>
                            <w:color w:val="231F20"/>
                            <w:spacing w:val="-5"/>
                            <w:sz w:val="13"/>
                          </w:rPr>
                          <w:t> </w:t>
                        </w:r>
                        <w:r>
                          <w:rPr>
                            <w:rFonts w:ascii="Arial MT"/>
                            <w:color w:val="231F20"/>
                            <w:sz w:val="13"/>
                          </w:rPr>
                          <w:t>ENT,</w:t>
                        </w:r>
                        <w:r>
                          <w:rPr>
                            <w:rFonts w:ascii="Arial MT"/>
                            <w:color w:val="231F20"/>
                            <w:spacing w:val="40"/>
                            <w:sz w:val="13"/>
                          </w:rPr>
                          <w:t> </w:t>
                        </w:r>
                        <w:r>
                          <w:rPr>
                            <w:rFonts w:ascii="Arial MT"/>
                            <w:color w:val="231F20"/>
                            <w:sz w:val="13"/>
                          </w:rPr>
                          <w:t>speech</w:t>
                        </w:r>
                        <w:r>
                          <w:rPr>
                            <w:rFonts w:ascii="Arial MT"/>
                            <w:color w:val="231F20"/>
                            <w:spacing w:val="-5"/>
                            <w:sz w:val="13"/>
                          </w:rPr>
                          <w:t> </w:t>
                        </w:r>
                        <w:r>
                          <w:rPr>
                            <w:rFonts w:ascii="Arial MT"/>
                            <w:color w:val="231F20"/>
                            <w:sz w:val="13"/>
                          </w:rPr>
                          <w:t>referral</w:t>
                        </w:r>
                        <w:r>
                          <w:rPr>
                            <w:rFonts w:ascii="Arial MT"/>
                            <w:color w:val="231F20"/>
                            <w:spacing w:val="40"/>
                            <w:sz w:val="13"/>
                          </w:rPr>
                          <w:t> </w:t>
                        </w:r>
                        <w:r>
                          <w:rPr>
                            <w:rFonts w:ascii="Arial MT"/>
                            <w:color w:val="231F20"/>
                            <w:sz w:val="13"/>
                          </w:rPr>
                          <w:t>for</w:t>
                        </w:r>
                        <w:r>
                          <w:rPr>
                            <w:rFonts w:ascii="Arial MT"/>
                            <w:color w:val="231F20"/>
                            <w:spacing w:val="-5"/>
                            <w:sz w:val="13"/>
                          </w:rPr>
                          <w:t> </w:t>
                        </w:r>
                        <w:r>
                          <w:rPr>
                            <w:rFonts w:ascii="Arial MT"/>
                            <w:color w:val="231F20"/>
                            <w:sz w:val="13"/>
                          </w:rPr>
                          <w:t>diagnostic</w:t>
                        </w:r>
                        <w:r>
                          <w:rPr>
                            <w:rFonts w:ascii="Arial MT"/>
                            <w:color w:val="231F20"/>
                            <w:spacing w:val="40"/>
                            <w:sz w:val="13"/>
                          </w:rPr>
                          <w:t> </w:t>
                        </w:r>
                        <w:r>
                          <w:rPr>
                            <w:rFonts w:ascii="Arial MT"/>
                            <w:color w:val="231F20"/>
                            <w:spacing w:val="-2"/>
                            <w:sz w:val="13"/>
                          </w:rPr>
                          <w:t>testing</w:t>
                        </w:r>
                      </w:p>
                    </w:txbxContent>
                  </v:textbox>
                  <v:fill type="solid"/>
                  <v:stroke dashstyle="solid"/>
                  <w10:wrap type="none"/>
                </v:shape>
                <v:shape style="position:absolute;left:2913;top:3040;width:4507;height:690" type="#_x0000_t202" id="docshape1083" filled="false" stroked="false">
                  <v:textbox inset="0,0,0,0">
                    <w:txbxContent>
                      <w:p>
                        <w:pPr>
                          <w:tabs>
                            <w:tab w:pos="1663" w:val="left" w:leader="none"/>
                            <w:tab w:pos="2406" w:val="left" w:leader="none"/>
                            <w:tab w:pos="4045" w:val="left" w:leader="none"/>
                          </w:tabs>
                          <w:spacing w:line="128" w:lineRule="exact" w:before="0"/>
                          <w:ind w:left="188" w:right="0" w:firstLine="0"/>
                          <w:jc w:val="center"/>
                          <w:rPr>
                            <w:rFonts w:ascii="Arial MT"/>
                            <w:sz w:val="13"/>
                          </w:rPr>
                        </w:pPr>
                        <w:r>
                          <w:rPr>
                            <w:rFonts w:ascii="Arial MT"/>
                            <w:color w:val="231F20"/>
                            <w:sz w:val="13"/>
                          </w:rPr>
                          <w:t>No</w:t>
                        </w:r>
                        <w:r>
                          <w:rPr>
                            <w:rFonts w:ascii="Arial MT"/>
                            <w:color w:val="231F20"/>
                            <w:spacing w:val="-1"/>
                            <w:sz w:val="13"/>
                          </w:rPr>
                          <w:t> </w:t>
                        </w:r>
                        <w:r>
                          <w:rPr>
                            <w:rFonts w:ascii="Arial MT"/>
                            <w:color w:val="231F20"/>
                            <w:spacing w:val="-4"/>
                            <w:sz w:val="13"/>
                          </w:rPr>
                          <w:t>risk</w:t>
                        </w:r>
                        <w:r>
                          <w:rPr>
                            <w:rFonts w:ascii="Arial MT"/>
                            <w:color w:val="231F20"/>
                            <w:sz w:val="13"/>
                          </w:rPr>
                          <w:tab/>
                        </w:r>
                        <w:r>
                          <w:rPr>
                            <w:rFonts w:ascii="Arial MT"/>
                            <w:color w:val="231F20"/>
                            <w:spacing w:val="-5"/>
                            <w:sz w:val="13"/>
                          </w:rPr>
                          <w:t>No</w:t>
                        </w:r>
                        <w:r>
                          <w:rPr>
                            <w:rFonts w:ascii="Arial MT"/>
                            <w:color w:val="231F20"/>
                            <w:sz w:val="13"/>
                          </w:rPr>
                          <w:tab/>
                        </w:r>
                        <w:r>
                          <w:rPr>
                            <w:rFonts w:ascii="Arial MT"/>
                            <w:color w:val="231F20"/>
                            <w:spacing w:val="-5"/>
                            <w:sz w:val="13"/>
                          </w:rPr>
                          <w:t>Yes</w:t>
                        </w:r>
                        <w:r>
                          <w:rPr>
                            <w:rFonts w:ascii="Arial MT"/>
                            <w:color w:val="231F20"/>
                            <w:sz w:val="13"/>
                          </w:rPr>
                          <w:tab/>
                        </w:r>
                        <w:r>
                          <w:rPr>
                            <w:rFonts w:ascii="Arial MT"/>
                            <w:color w:val="231F20"/>
                            <w:spacing w:val="-2"/>
                            <w:sz w:val="13"/>
                          </w:rPr>
                          <w:t>Normal</w:t>
                        </w:r>
                      </w:p>
                      <w:p>
                        <w:pPr>
                          <w:spacing w:before="110"/>
                          <w:ind w:left="195" w:right="0" w:firstLine="0"/>
                          <w:jc w:val="center"/>
                          <w:rPr>
                            <w:rFonts w:ascii="Arial MT"/>
                            <w:sz w:val="13"/>
                          </w:rPr>
                        </w:pPr>
                        <w:r>
                          <w:rPr>
                            <w:rFonts w:ascii="Arial MT"/>
                            <w:color w:val="231F20"/>
                            <w:sz w:val="13"/>
                          </w:rPr>
                          <w:t>Schedule</w:t>
                        </w:r>
                        <w:r>
                          <w:rPr>
                            <w:rFonts w:ascii="Arial MT"/>
                            <w:color w:val="231F20"/>
                            <w:spacing w:val="-7"/>
                            <w:sz w:val="13"/>
                          </w:rPr>
                          <w:t> </w:t>
                        </w:r>
                        <w:r>
                          <w:rPr>
                            <w:rFonts w:ascii="Arial MT"/>
                            <w:color w:val="231F20"/>
                            <w:spacing w:val="-2"/>
                            <w:sz w:val="13"/>
                          </w:rPr>
                          <w:t>early</w:t>
                        </w:r>
                      </w:p>
                      <w:p>
                        <w:pPr>
                          <w:tabs>
                            <w:tab w:pos="2179" w:val="left" w:leader="none"/>
                          </w:tabs>
                          <w:spacing w:line="149" w:lineRule="exact" w:before="0"/>
                          <w:ind w:left="0" w:right="1983" w:firstLine="0"/>
                          <w:jc w:val="right"/>
                          <w:rPr>
                            <w:rFonts w:ascii="Arial MT"/>
                            <w:sz w:val="13"/>
                          </w:rPr>
                        </w:pPr>
                        <w:r>
                          <w:rPr>
                            <w:rFonts w:ascii="Arial MT"/>
                            <w:color w:val="231F20"/>
                            <w:spacing w:val="-4"/>
                            <w:sz w:val="13"/>
                          </w:rPr>
                          <w:t>Stop</w:t>
                        </w:r>
                        <w:r>
                          <w:rPr>
                            <w:rFonts w:ascii="Arial MT"/>
                            <w:color w:val="231F20"/>
                            <w:sz w:val="13"/>
                          </w:rPr>
                          <w:tab/>
                        </w:r>
                        <w:r>
                          <w:rPr>
                            <w:rFonts w:ascii="Arial MT"/>
                            <w:color w:val="231F20"/>
                            <w:spacing w:val="-2"/>
                            <w:sz w:val="13"/>
                          </w:rPr>
                          <w:t>return</w:t>
                        </w:r>
                      </w:p>
                      <w:p>
                        <w:pPr>
                          <w:spacing w:before="0"/>
                          <w:ind w:left="0" w:right="1925" w:firstLine="0"/>
                          <w:jc w:val="right"/>
                          <w:rPr>
                            <w:rFonts w:ascii="Arial MT"/>
                            <w:sz w:val="13"/>
                          </w:rPr>
                        </w:pPr>
                        <w:r>
                          <w:rPr>
                            <w:rFonts w:ascii="Arial MT"/>
                            <w:color w:val="231F20"/>
                            <w:sz w:val="13"/>
                          </w:rPr>
                          <w:t>(~6</w:t>
                        </w:r>
                        <w:r>
                          <w:rPr>
                            <w:rFonts w:ascii="Arial MT"/>
                            <w:color w:val="231F20"/>
                            <w:spacing w:val="-2"/>
                            <w:sz w:val="13"/>
                          </w:rPr>
                          <w:t> </w:t>
                        </w:r>
                        <w:r>
                          <w:rPr>
                            <w:rFonts w:ascii="Arial MT"/>
                            <w:color w:val="231F20"/>
                            <w:spacing w:val="-5"/>
                            <w:sz w:val="13"/>
                          </w:rPr>
                          <w:t>mo)</w:t>
                        </w:r>
                      </w:p>
                    </w:txbxContent>
                  </v:textbox>
                  <w10:wrap type="none"/>
                </v:shape>
                <v:shape style="position:absolute;left:6607;top:2408;width:1314;height:336" type="#_x0000_t202" id="docshape1084" filled="false" stroked="false">
                  <v:textbox inset="0,0,0,0">
                    <w:txbxContent>
                      <w:p>
                        <w:pPr>
                          <w:spacing w:line="184" w:lineRule="exact" w:before="0"/>
                          <w:ind w:left="0" w:right="0" w:firstLine="0"/>
                          <w:jc w:val="left"/>
                          <w:rPr>
                            <w:rFonts w:ascii="Arial MT"/>
                            <w:position w:val="6"/>
                            <w:sz w:val="13"/>
                          </w:rPr>
                        </w:pPr>
                        <w:r>
                          <w:rPr>
                            <w:rFonts w:ascii="Arial MT"/>
                            <w:color w:val="231F20"/>
                            <w:sz w:val="13"/>
                          </w:rPr>
                          <w:t>Evaluation</w:t>
                        </w:r>
                        <w:r>
                          <w:rPr>
                            <w:rFonts w:ascii="Arial MT"/>
                            <w:color w:val="231F20"/>
                            <w:spacing w:val="77"/>
                            <w:sz w:val="13"/>
                          </w:rPr>
                          <w:t> </w:t>
                        </w:r>
                        <w:r>
                          <w:rPr>
                            <w:rFonts w:ascii="Arial MT"/>
                            <w:color w:val="231F20"/>
                            <w:spacing w:val="-2"/>
                            <w:position w:val="6"/>
                            <w:sz w:val="13"/>
                          </w:rPr>
                          <w:t>Abnormal</w:t>
                        </w:r>
                      </w:p>
                      <w:p>
                        <w:pPr>
                          <w:spacing w:before="0"/>
                          <w:ind w:left="74" w:right="0" w:firstLine="0"/>
                          <w:jc w:val="left"/>
                          <w:rPr>
                            <w:rFonts w:ascii="Arial MT"/>
                            <w:sz w:val="13"/>
                          </w:rPr>
                        </w:pPr>
                        <w:r>
                          <w:rPr>
                            <w:rFonts w:ascii="Arial MT"/>
                            <w:color w:val="231F20"/>
                            <w:spacing w:val="-2"/>
                            <w:sz w:val="13"/>
                          </w:rPr>
                          <w:t>results?</w:t>
                        </w:r>
                      </w:p>
                    </w:txbxContent>
                  </v:textbox>
                  <w10:wrap type="none"/>
                </v:shape>
                <v:shape style="position:absolute;left:4850;top:2315;width:848;height:579" type="#_x0000_t202" id="docshape1085" filled="false" stroked="false">
                  <v:textbox inset="0,0,0,0">
                    <w:txbxContent>
                      <w:p>
                        <w:pPr>
                          <w:spacing w:line="128" w:lineRule="exact" w:before="0"/>
                          <w:ind w:left="0" w:right="18" w:firstLine="0"/>
                          <w:jc w:val="center"/>
                          <w:rPr>
                            <w:rFonts w:ascii="Arial MT"/>
                            <w:sz w:val="13"/>
                          </w:rPr>
                        </w:pPr>
                        <w:r>
                          <w:rPr>
                            <w:rFonts w:ascii="Arial MT"/>
                            <w:color w:val="231F20"/>
                            <w:sz w:val="13"/>
                          </w:rPr>
                          <w:t>Ongoing</w:t>
                        </w:r>
                        <w:r>
                          <w:rPr>
                            <w:rFonts w:ascii="Arial MT"/>
                            <w:color w:val="231F20"/>
                            <w:spacing w:val="-6"/>
                            <w:sz w:val="13"/>
                          </w:rPr>
                          <w:t> </w:t>
                        </w:r>
                        <w:r>
                          <w:rPr>
                            <w:rFonts w:ascii="Arial MT"/>
                            <w:color w:val="231F20"/>
                            <w:spacing w:val="-4"/>
                            <w:sz w:val="13"/>
                          </w:rPr>
                          <w:t>risk</w:t>
                        </w:r>
                      </w:p>
                      <w:p>
                        <w:pPr>
                          <w:spacing w:before="0"/>
                          <w:ind w:left="0" w:right="18" w:firstLine="3"/>
                          <w:jc w:val="center"/>
                          <w:rPr>
                            <w:rFonts w:ascii="Arial MT"/>
                            <w:sz w:val="13"/>
                          </w:rPr>
                        </w:pPr>
                        <w:r>
                          <w:rPr>
                            <w:rFonts w:ascii="Arial MT"/>
                            <w:color w:val="231F20"/>
                            <w:sz w:val="13"/>
                          </w:rPr>
                          <w:t>(e.g., CMV or</w:t>
                        </w:r>
                        <w:r>
                          <w:rPr>
                            <w:rFonts w:ascii="Arial MT"/>
                            <w:color w:val="231F20"/>
                            <w:spacing w:val="40"/>
                            <w:sz w:val="13"/>
                          </w:rPr>
                          <w:t> </w:t>
                        </w:r>
                        <w:r>
                          <w:rPr>
                            <w:rFonts w:ascii="Arial MT"/>
                            <w:color w:val="231F20"/>
                            <w:sz w:val="13"/>
                          </w:rPr>
                          <w:t>other</w:t>
                        </w:r>
                        <w:r>
                          <w:rPr>
                            <w:rFonts w:ascii="Arial MT"/>
                            <w:color w:val="231F20"/>
                            <w:spacing w:val="-10"/>
                            <w:sz w:val="13"/>
                          </w:rPr>
                          <w:t> </w:t>
                        </w:r>
                        <w:r>
                          <w:rPr>
                            <w:rFonts w:ascii="Arial MT"/>
                            <w:color w:val="231F20"/>
                            <w:sz w:val="13"/>
                          </w:rPr>
                          <w:t>high-</w:t>
                        </w:r>
                        <w:r>
                          <w:rPr>
                            <w:rFonts w:ascii="Arial MT"/>
                            <w:color w:val="231F20"/>
                            <w:sz w:val="13"/>
                          </w:rPr>
                          <w:t>risk</w:t>
                        </w:r>
                        <w:r>
                          <w:rPr>
                            <w:rFonts w:ascii="Arial MT"/>
                            <w:color w:val="231F20"/>
                            <w:spacing w:val="40"/>
                            <w:sz w:val="13"/>
                          </w:rPr>
                          <w:t> </w:t>
                        </w:r>
                        <w:r>
                          <w:rPr>
                            <w:rFonts w:ascii="Arial MT"/>
                            <w:color w:val="231F20"/>
                            <w:spacing w:val="-2"/>
                            <w:sz w:val="13"/>
                          </w:rPr>
                          <w:t>diagnoses)</w:t>
                        </w:r>
                      </w:p>
                    </w:txbxContent>
                  </v:textbox>
                  <w10:wrap type="none"/>
                </v:shape>
                <v:shape style="position:absolute;left:3766;top:2657;width:456;height:280" type="#_x0000_t202" id="docshape1086" filled="false" stroked="false">
                  <v:textbox inset="0,0,0,0">
                    <w:txbxContent>
                      <w:p>
                        <w:pPr>
                          <w:spacing w:line="128" w:lineRule="exact" w:before="0"/>
                          <w:ind w:left="90" w:right="0" w:firstLine="0"/>
                          <w:jc w:val="left"/>
                          <w:rPr>
                            <w:rFonts w:ascii="Arial MT"/>
                            <w:sz w:val="13"/>
                          </w:rPr>
                        </w:pPr>
                        <w:r>
                          <w:rPr>
                            <w:rFonts w:ascii="Arial MT"/>
                            <w:color w:val="231F20"/>
                            <w:spacing w:val="-4"/>
                            <w:sz w:val="13"/>
                          </w:rPr>
                          <w:t>Risk</w:t>
                        </w:r>
                      </w:p>
                      <w:p>
                        <w:pPr>
                          <w:spacing w:before="0"/>
                          <w:ind w:left="0" w:right="0" w:firstLine="0"/>
                          <w:jc w:val="left"/>
                          <w:rPr>
                            <w:rFonts w:ascii="Arial MT"/>
                            <w:sz w:val="13"/>
                          </w:rPr>
                        </w:pPr>
                        <w:r>
                          <w:rPr>
                            <w:rFonts w:ascii="Arial MT"/>
                            <w:color w:val="231F20"/>
                            <w:spacing w:val="-2"/>
                            <w:sz w:val="13"/>
                          </w:rPr>
                          <w:t>present</w:t>
                        </w:r>
                      </w:p>
                    </w:txbxContent>
                  </v:textbox>
                  <w10:wrap type="none"/>
                </v:shape>
                <v:shape style="position:absolute;left:2699;top:2315;width:718;height:579" type="#_x0000_t202" id="docshape1087" filled="false" stroked="false">
                  <v:textbox inset="0,0,0,0">
                    <w:txbxContent>
                      <w:p>
                        <w:pPr>
                          <w:spacing w:line="128" w:lineRule="exact" w:before="0"/>
                          <w:ind w:left="0" w:right="18" w:firstLine="0"/>
                          <w:jc w:val="center"/>
                          <w:rPr>
                            <w:rFonts w:ascii="Arial MT"/>
                            <w:sz w:val="13"/>
                          </w:rPr>
                        </w:pPr>
                        <w:r>
                          <w:rPr>
                            <w:rFonts w:ascii="Arial MT"/>
                            <w:color w:val="231F20"/>
                            <w:spacing w:val="-4"/>
                            <w:sz w:val="13"/>
                          </w:rPr>
                          <w:t>Risk</w:t>
                        </w:r>
                      </w:p>
                      <w:p>
                        <w:pPr>
                          <w:spacing w:before="0"/>
                          <w:ind w:left="0" w:right="18" w:firstLine="0"/>
                          <w:jc w:val="center"/>
                          <w:rPr>
                            <w:rFonts w:ascii="Arial MT"/>
                            <w:sz w:val="13"/>
                          </w:rPr>
                        </w:pPr>
                        <w:r>
                          <w:rPr>
                            <w:rFonts w:ascii="Arial MT"/>
                            <w:color w:val="231F20"/>
                            <w:spacing w:val="-2"/>
                            <w:sz w:val="13"/>
                          </w:rPr>
                          <w:t>assessment</w:t>
                        </w:r>
                      </w:p>
                      <w:p>
                        <w:pPr>
                          <w:spacing w:before="149"/>
                          <w:ind w:left="0" w:right="14" w:firstLine="0"/>
                          <w:jc w:val="center"/>
                          <w:rPr>
                            <w:rFonts w:ascii="Arial MT"/>
                            <w:sz w:val="13"/>
                          </w:rPr>
                        </w:pPr>
                        <w:r>
                          <w:rPr>
                            <w:rFonts w:ascii="Arial MT"/>
                            <w:color w:val="231F20"/>
                            <w:spacing w:val="-2"/>
                            <w:sz w:val="13"/>
                          </w:rPr>
                          <w:t>Table</w:t>
                        </w:r>
                        <w:r>
                          <w:rPr>
                            <w:rFonts w:ascii="Arial MT"/>
                            <w:color w:val="231F20"/>
                            <w:spacing w:val="-4"/>
                            <w:sz w:val="13"/>
                          </w:rPr>
                          <w:t> </w:t>
                        </w:r>
                        <w:r>
                          <w:rPr>
                            <w:rFonts w:ascii="Arial MT"/>
                            <w:color w:val="231F20"/>
                            <w:spacing w:val="-2"/>
                            <w:sz w:val="13"/>
                          </w:rPr>
                          <w:t>629-</w:t>
                        </w:r>
                        <w:r>
                          <w:rPr>
                            <w:rFonts w:ascii="Arial MT"/>
                            <w:color w:val="231F20"/>
                            <w:spacing w:val="-10"/>
                            <w:sz w:val="13"/>
                          </w:rPr>
                          <w:t>1</w:t>
                        </w:r>
                      </w:p>
                    </w:txbxContent>
                  </v:textbox>
                  <w10:wrap type="none"/>
                </v:shape>
                <v:shape style="position:absolute;left:5340;top:1982;width:441;height:131" type="#_x0000_t202" id="docshape1088"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Normal</w:t>
                        </w:r>
                      </w:p>
                    </w:txbxContent>
                  </v:textbox>
                  <w10:wrap type="none"/>
                </v:shape>
                <v:shape style="position:absolute;left:5650;top:1418;width:579;height:131" type="#_x0000_t202" id="docshape1089"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Abnormal</w:t>
                        </w:r>
                      </w:p>
                    </w:txbxContent>
                  </v:textbox>
                  <w10:wrap type="none"/>
                </v:shape>
                <v:shape style="position:absolute;left:4055;top:1474;width:565;height:280" type="#_x0000_t202" id="docshape1090" filled="false" stroked="false">
                  <v:textbox inset="0,0,0,0">
                    <w:txbxContent>
                      <w:p>
                        <w:pPr>
                          <w:spacing w:line="128" w:lineRule="exact" w:before="0"/>
                          <w:ind w:left="0" w:right="0" w:firstLine="0"/>
                          <w:jc w:val="left"/>
                          <w:rPr>
                            <w:rFonts w:ascii="Arial MT"/>
                            <w:sz w:val="13"/>
                          </w:rPr>
                        </w:pPr>
                        <w:r>
                          <w:rPr>
                            <w:rFonts w:ascii="Arial MT"/>
                            <w:color w:val="231F20"/>
                            <w:spacing w:val="-2"/>
                            <w:sz w:val="13"/>
                          </w:rPr>
                          <w:t>Objective</w:t>
                        </w:r>
                      </w:p>
                      <w:p>
                        <w:pPr>
                          <w:spacing w:before="0"/>
                          <w:ind w:left="74" w:right="0" w:firstLine="0"/>
                          <w:jc w:val="left"/>
                          <w:rPr>
                            <w:rFonts w:ascii="Arial MT"/>
                            <w:sz w:val="13"/>
                          </w:rPr>
                        </w:pPr>
                        <w:r>
                          <w:rPr>
                            <w:rFonts w:ascii="Arial MT"/>
                            <w:color w:val="231F20"/>
                            <w:spacing w:val="-2"/>
                            <w:sz w:val="13"/>
                          </w:rPr>
                          <w:t>screen</w:t>
                        </w:r>
                      </w:p>
                    </w:txbxContent>
                  </v:textbox>
                  <w10:wrap type="none"/>
                </v:shape>
                <v:shape style="position:absolute;left:3591;top:1418;width:234;height:131" type="#_x0000_t202" id="docshape1091" filled="false" stroked="false">
                  <v:textbox inset="0,0,0,0">
                    <w:txbxContent>
                      <w:p>
                        <w:pPr>
                          <w:spacing w:line="128" w:lineRule="exact" w:before="0"/>
                          <w:ind w:left="0" w:right="0" w:firstLine="0"/>
                          <w:jc w:val="left"/>
                          <w:rPr>
                            <w:rFonts w:ascii="Arial MT"/>
                            <w:sz w:val="13"/>
                          </w:rPr>
                        </w:pPr>
                        <w:r>
                          <w:rPr>
                            <w:rFonts w:ascii="Arial MT"/>
                            <w:color w:val="231F20"/>
                            <w:spacing w:val="-5"/>
                            <w:sz w:val="13"/>
                          </w:rPr>
                          <w:t>Yes</w:t>
                        </w:r>
                      </w:p>
                    </w:txbxContent>
                  </v:textbox>
                  <w10:wrap type="none"/>
                </v:shape>
                <v:shape style="position:absolute;left:2750;top:1324;width:616;height:789" type="#_x0000_t202" id="docshape1092" filled="false" stroked="false">
                  <v:textbox inset="0,0,0,0">
                    <w:txbxContent>
                      <w:p>
                        <w:pPr>
                          <w:spacing w:line="128" w:lineRule="exact" w:before="0"/>
                          <w:ind w:left="0" w:right="20" w:firstLine="0"/>
                          <w:jc w:val="center"/>
                          <w:rPr>
                            <w:rFonts w:ascii="Arial MT"/>
                            <w:sz w:val="13"/>
                          </w:rPr>
                        </w:pPr>
                        <w:r>
                          <w:rPr>
                            <w:rFonts w:ascii="Arial MT"/>
                            <w:color w:val="231F20"/>
                            <w:sz w:val="13"/>
                          </w:rPr>
                          <w:t>Visit</w:t>
                        </w:r>
                        <w:r>
                          <w:rPr>
                            <w:rFonts w:ascii="Arial MT"/>
                            <w:color w:val="231F20"/>
                            <w:spacing w:val="-3"/>
                            <w:sz w:val="13"/>
                          </w:rPr>
                          <w:t> </w:t>
                        </w:r>
                        <w:r>
                          <w:rPr>
                            <w:rFonts w:ascii="Arial MT"/>
                            <w:color w:val="231F20"/>
                            <w:spacing w:val="-4"/>
                            <w:sz w:val="13"/>
                          </w:rPr>
                          <w:t>with</w:t>
                        </w:r>
                      </w:p>
                      <w:p>
                        <w:pPr>
                          <w:spacing w:before="0"/>
                          <w:ind w:left="0" w:right="18" w:firstLine="0"/>
                          <w:jc w:val="center"/>
                          <w:rPr>
                            <w:rFonts w:ascii="Arial MT"/>
                            <w:sz w:val="13"/>
                          </w:rPr>
                        </w:pPr>
                        <w:r>
                          <w:rPr>
                            <w:rFonts w:ascii="Arial MT"/>
                            <w:color w:val="231F20"/>
                            <w:spacing w:val="-2"/>
                            <w:sz w:val="13"/>
                          </w:rPr>
                          <w:t>scheduled</w:t>
                        </w:r>
                        <w:r>
                          <w:rPr>
                            <w:rFonts w:ascii="Arial MT"/>
                            <w:color w:val="231F20"/>
                            <w:spacing w:val="40"/>
                            <w:sz w:val="13"/>
                          </w:rPr>
                          <w:t> </w:t>
                        </w:r>
                        <w:r>
                          <w:rPr>
                            <w:rFonts w:ascii="Arial MT"/>
                            <w:color w:val="231F20"/>
                            <w:spacing w:val="-2"/>
                            <w:sz w:val="13"/>
                          </w:rPr>
                          <w:t>objective</w:t>
                        </w:r>
                        <w:r>
                          <w:rPr>
                            <w:rFonts w:ascii="Arial MT"/>
                            <w:color w:val="231F20"/>
                            <w:spacing w:val="40"/>
                            <w:sz w:val="13"/>
                          </w:rPr>
                          <w:t> </w:t>
                        </w:r>
                        <w:r>
                          <w:rPr>
                            <w:rFonts w:ascii="Arial MT"/>
                            <w:color w:val="231F20"/>
                            <w:spacing w:val="-2"/>
                            <w:sz w:val="13"/>
                          </w:rPr>
                          <w:t>screen?</w:t>
                        </w:r>
                      </w:p>
                      <w:p>
                        <w:pPr>
                          <w:spacing w:before="60"/>
                          <w:ind w:left="372" w:right="0" w:firstLine="0"/>
                          <w:jc w:val="left"/>
                          <w:rPr>
                            <w:rFonts w:ascii="Arial MT"/>
                            <w:sz w:val="13"/>
                          </w:rPr>
                        </w:pPr>
                        <w:r>
                          <w:rPr>
                            <w:rFonts w:ascii="Arial MT"/>
                            <w:color w:val="231F20"/>
                            <w:spacing w:val="-5"/>
                            <w:sz w:val="13"/>
                          </w:rPr>
                          <w:t>No</w:t>
                        </w:r>
                      </w:p>
                    </w:txbxContent>
                  </v:textbox>
                  <w10:wrap type="none"/>
                </v:shape>
                <w10:wrap type="topAndBottom"/>
              </v:group>
            </w:pict>
          </mc:Fallback>
        </mc:AlternateContent>
      </w:r>
    </w:p>
    <w:p>
      <w:pPr>
        <w:spacing w:line="230" w:lineRule="auto" w:before="80"/>
        <w:ind w:left="203" w:right="679" w:hanging="1"/>
        <w:jc w:val="both"/>
        <w:rPr>
          <w:i/>
          <w:sz w:val="15"/>
        </w:rPr>
      </w:pPr>
      <w:r>
        <w:rPr>
          <w:b/>
          <w:color w:val="4A0C62"/>
          <w:sz w:val="16"/>
        </w:rPr>
        <w:t>Figure</w:t>
      </w:r>
      <w:r>
        <w:rPr>
          <w:b/>
          <w:color w:val="4A0C62"/>
          <w:spacing w:val="-3"/>
          <w:sz w:val="16"/>
        </w:rPr>
        <w:t> </w:t>
      </w:r>
      <w:r>
        <w:rPr>
          <w:b/>
          <w:color w:val="4A0C62"/>
          <w:sz w:val="16"/>
        </w:rPr>
        <w:t>637-2</w:t>
      </w:r>
      <w:r>
        <w:rPr>
          <w:b/>
          <w:color w:val="4A0C62"/>
          <w:spacing w:val="-10"/>
          <w:sz w:val="16"/>
        </w:rPr>
        <w:t> </w:t>
      </w:r>
      <w:r>
        <w:rPr>
          <w:color w:val="231F20"/>
          <w:sz w:val="15"/>
        </w:rPr>
        <w:t>Hearing-assessment</w:t>
      </w:r>
      <w:r>
        <w:rPr>
          <w:color w:val="231F20"/>
          <w:spacing w:val="-7"/>
          <w:sz w:val="15"/>
        </w:rPr>
        <w:t> </w:t>
      </w:r>
      <w:r>
        <w:rPr>
          <w:color w:val="231F20"/>
          <w:sz w:val="15"/>
        </w:rPr>
        <w:t>algorithm</w:t>
      </w:r>
      <w:r>
        <w:rPr>
          <w:color w:val="231F20"/>
          <w:spacing w:val="-7"/>
          <w:sz w:val="15"/>
        </w:rPr>
        <w:t> </w:t>
      </w:r>
      <w:r>
        <w:rPr>
          <w:color w:val="231F20"/>
          <w:sz w:val="15"/>
        </w:rPr>
        <w:t>within</w:t>
      </w:r>
      <w:r>
        <w:rPr>
          <w:color w:val="231F20"/>
          <w:spacing w:val="-7"/>
          <w:sz w:val="15"/>
        </w:rPr>
        <w:t> </w:t>
      </w:r>
      <w:r>
        <w:rPr>
          <w:color w:val="231F20"/>
          <w:sz w:val="15"/>
        </w:rPr>
        <w:t>an</w:t>
      </w:r>
      <w:r>
        <w:rPr>
          <w:color w:val="231F20"/>
          <w:spacing w:val="-7"/>
          <w:sz w:val="15"/>
        </w:rPr>
        <w:t> </w:t>
      </w:r>
      <w:r>
        <w:rPr>
          <w:color w:val="231F20"/>
          <w:sz w:val="15"/>
        </w:rPr>
        <w:t>office</w:t>
      </w:r>
      <w:r>
        <w:rPr>
          <w:color w:val="231F20"/>
          <w:spacing w:val="-7"/>
          <w:sz w:val="15"/>
        </w:rPr>
        <w:t> </w:t>
      </w:r>
      <w:r>
        <w:rPr>
          <w:color w:val="231F20"/>
          <w:sz w:val="15"/>
        </w:rPr>
        <w:t>visit.</w:t>
      </w:r>
      <w:r>
        <w:rPr>
          <w:color w:val="231F20"/>
          <w:spacing w:val="-7"/>
          <w:sz w:val="15"/>
        </w:rPr>
        <w:t> </w:t>
      </w:r>
      <w:r>
        <w:rPr>
          <w:color w:val="231F20"/>
          <w:sz w:val="15"/>
        </w:rPr>
        <w:t>CMV,</w:t>
      </w:r>
      <w:r>
        <w:rPr>
          <w:color w:val="231F20"/>
          <w:spacing w:val="-7"/>
          <w:sz w:val="15"/>
        </w:rPr>
        <w:t> </w:t>
      </w:r>
      <w:r>
        <w:rPr>
          <w:color w:val="231F20"/>
          <w:sz w:val="15"/>
        </w:rPr>
        <w:t>cytomegalovirus;</w:t>
      </w:r>
      <w:r>
        <w:rPr>
          <w:color w:val="231F20"/>
          <w:spacing w:val="-7"/>
          <w:sz w:val="15"/>
        </w:rPr>
        <w:t> </w:t>
      </w:r>
      <w:r>
        <w:rPr>
          <w:color w:val="231F20"/>
          <w:sz w:val="15"/>
        </w:rPr>
        <w:t>ENT,</w:t>
      </w:r>
      <w:r>
        <w:rPr>
          <w:color w:val="231F20"/>
          <w:spacing w:val="-7"/>
          <w:sz w:val="15"/>
        </w:rPr>
        <w:t> </w:t>
      </w:r>
      <w:r>
        <w:rPr>
          <w:color w:val="231F20"/>
          <w:sz w:val="15"/>
        </w:rPr>
        <w:t>ear,</w:t>
      </w:r>
      <w:r>
        <w:rPr>
          <w:color w:val="231F20"/>
          <w:spacing w:val="-7"/>
          <w:sz w:val="15"/>
        </w:rPr>
        <w:t> </w:t>
      </w:r>
      <w:r>
        <w:rPr>
          <w:color w:val="231F20"/>
          <w:sz w:val="15"/>
        </w:rPr>
        <w:t>nose,</w:t>
      </w:r>
      <w:r>
        <w:rPr>
          <w:color w:val="231F20"/>
          <w:spacing w:val="-7"/>
          <w:sz w:val="15"/>
        </w:rPr>
        <w:t> </w:t>
      </w:r>
      <w:r>
        <w:rPr>
          <w:color w:val="231F20"/>
          <w:sz w:val="15"/>
        </w:rPr>
        <w:t>and</w:t>
      </w:r>
      <w:r>
        <w:rPr>
          <w:color w:val="231F20"/>
          <w:spacing w:val="-7"/>
          <w:sz w:val="15"/>
        </w:rPr>
        <w:t> </w:t>
      </w:r>
      <w:r>
        <w:rPr>
          <w:color w:val="231F20"/>
          <w:sz w:val="15"/>
        </w:rPr>
        <w:t>throat.</w:t>
      </w:r>
      <w:r>
        <w:rPr>
          <w:color w:val="231F20"/>
          <w:spacing w:val="-7"/>
          <w:sz w:val="15"/>
        </w:rPr>
        <w:t> </w:t>
      </w:r>
      <w:r>
        <w:rPr>
          <w:i/>
          <w:color w:val="231F20"/>
          <w:sz w:val="15"/>
        </w:rPr>
        <w:t>(From</w:t>
      </w:r>
      <w:r>
        <w:rPr>
          <w:i/>
          <w:color w:val="231F20"/>
          <w:spacing w:val="-7"/>
          <w:sz w:val="15"/>
        </w:rPr>
        <w:t> </w:t>
      </w:r>
      <w:r>
        <w:rPr>
          <w:i/>
          <w:color w:val="231F20"/>
          <w:sz w:val="15"/>
        </w:rPr>
        <w:t>Harlor</w:t>
      </w:r>
      <w:r>
        <w:rPr>
          <w:i/>
          <w:color w:val="231F20"/>
          <w:spacing w:val="-7"/>
          <w:sz w:val="15"/>
        </w:rPr>
        <w:t> </w:t>
      </w:r>
      <w:r>
        <w:rPr>
          <w:i/>
          <w:color w:val="231F20"/>
          <w:sz w:val="15"/>
        </w:rPr>
        <w:t>AD</w:t>
      </w:r>
      <w:r>
        <w:rPr>
          <w:i/>
          <w:color w:val="231F20"/>
          <w:spacing w:val="-7"/>
          <w:sz w:val="15"/>
        </w:rPr>
        <w:t> </w:t>
      </w:r>
      <w:r>
        <w:rPr>
          <w:i/>
          <w:color w:val="231F20"/>
          <w:sz w:val="15"/>
        </w:rPr>
        <w:t>Jr,</w:t>
      </w:r>
      <w:r>
        <w:rPr>
          <w:i/>
          <w:color w:val="231F20"/>
          <w:spacing w:val="-7"/>
          <w:sz w:val="15"/>
        </w:rPr>
        <w:t> </w:t>
      </w:r>
      <w:r>
        <w:rPr>
          <w:i/>
          <w:color w:val="231F20"/>
          <w:sz w:val="15"/>
        </w:rPr>
        <w:t>Bower C: Clinical report—hearing assessment in infants and children: recommendations beyond neonatal screening, </w:t>
      </w:r>
      <w:r>
        <w:rPr>
          <w:color w:val="231F20"/>
          <w:sz w:val="15"/>
        </w:rPr>
        <w:t>Pediatrics </w:t>
      </w:r>
      <w:r>
        <w:rPr>
          <w:i/>
          <w:color w:val="231F20"/>
          <w:sz w:val="15"/>
        </w:rPr>
        <w:t>124:1252–1263, </w:t>
      </w:r>
      <w:r>
        <w:rPr>
          <w:i/>
          <w:color w:val="231F20"/>
          <w:sz w:val="15"/>
        </w:rPr>
        <w:t>2009, Fig. 1, p. 1254.)</w:t>
      </w:r>
    </w:p>
    <w:p>
      <w:pPr>
        <w:spacing w:after="0" w:line="230" w:lineRule="auto"/>
        <w:jc w:val="both"/>
        <w:rPr>
          <w:i/>
          <w:sz w:val="15"/>
        </w:rPr>
        <w:sectPr>
          <w:pgSz w:w="11900" w:h="16840"/>
          <w:pgMar w:header="0"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389" name="Group 1389"/>
                <wp:cNvGraphicFramePr>
                  <a:graphicFrameLocks/>
                </wp:cNvGraphicFramePr>
                <a:graphic>
                  <a:graphicData uri="http://schemas.microsoft.com/office/word/2010/wordprocessingGroup">
                    <wpg:wgp>
                      <wpg:cNvPr id="1389" name="Group 1389"/>
                      <wpg:cNvGrpSpPr/>
                      <wpg:grpSpPr>
                        <a:xfrm>
                          <a:off x="0" y="0"/>
                          <a:ext cx="6185535" cy="170815"/>
                          <a:chExt cx="6185535" cy="170815"/>
                        </a:xfrm>
                      </wpg:grpSpPr>
                      <wps:wsp>
                        <wps:cNvPr id="1390" name="Graphic 1390"/>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391" name="Graphic 1391"/>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392" name="Textbox 1392"/>
                        <wps:cNvSpPr txBox="1"/>
                        <wps:spPr>
                          <a:xfrm>
                            <a:off x="0" y="0"/>
                            <a:ext cx="6185535" cy="170815"/>
                          </a:xfrm>
                          <a:prstGeom prst="rect">
                            <a:avLst/>
                          </a:prstGeom>
                        </wps:spPr>
                        <wps:txbx>
                          <w:txbxContent>
                            <w:p>
                              <w:pPr>
                                <w:spacing w:before="6"/>
                                <w:ind w:left="0" w:right="-15" w:firstLine="0"/>
                                <w:jc w:val="right"/>
                                <w:rPr>
                                  <w:b/>
                                  <w:sz w:val="18"/>
                                </w:rPr>
                              </w:pPr>
                              <w:r>
                                <w:rPr>
                                  <w:b/>
                                  <w:color w:val="D5841E"/>
                                  <w:w w:val="105"/>
                                  <w:sz w:val="18"/>
                                </w:rPr>
                                <w:t>Chapter</w:t>
                              </w:r>
                              <w:r>
                                <w:rPr>
                                  <w:b/>
                                  <w:color w:val="D5841E"/>
                                  <w:spacing w:val="12"/>
                                  <w:w w:val="105"/>
                                  <w:sz w:val="18"/>
                                </w:rPr>
                                <w:t> </w:t>
                              </w:r>
                              <w:r>
                                <w:rPr>
                                  <w:b/>
                                  <w:color w:val="D5841E"/>
                                  <w:w w:val="105"/>
                                  <w:sz w:val="18"/>
                                </w:rPr>
                                <w:t>637</w:t>
                              </w:r>
                              <w:r>
                                <w:rPr>
                                  <w:b/>
                                  <w:color w:val="D5841E"/>
                                  <w:spacing w:val="41"/>
                                  <w:w w:val="105"/>
                                  <w:sz w:val="18"/>
                                </w:rPr>
                                <w:t> </w:t>
                              </w:r>
                              <w:r>
                                <w:rPr>
                                  <w:rFonts w:ascii="Lucida Sans Unicode" w:hAnsi="Lucida Sans Unicode"/>
                                  <w:color w:val="E4AE6F"/>
                                  <w:w w:val="105"/>
                                  <w:sz w:val="15"/>
                                </w:rPr>
                                <w:t>◆</w:t>
                              </w:r>
                              <w:r>
                                <w:rPr>
                                  <w:rFonts w:ascii="Lucida Sans Unicode" w:hAnsi="Lucida Sans Unicode"/>
                                  <w:color w:val="E4AE6F"/>
                                  <w:spacing w:val="47"/>
                                  <w:w w:val="105"/>
                                  <w:sz w:val="15"/>
                                </w:rPr>
                                <w:t> </w:t>
                              </w:r>
                              <w:r>
                                <w:rPr>
                                  <w:color w:val="231F20"/>
                                  <w:w w:val="105"/>
                                  <w:sz w:val="18"/>
                                </w:rPr>
                                <w:t>Hearing</w:t>
                              </w:r>
                              <w:r>
                                <w:rPr>
                                  <w:color w:val="231F20"/>
                                  <w:spacing w:val="9"/>
                                  <w:w w:val="105"/>
                                  <w:sz w:val="18"/>
                                </w:rPr>
                                <w:t> </w:t>
                              </w:r>
                              <w:r>
                                <w:rPr>
                                  <w:color w:val="231F20"/>
                                  <w:w w:val="105"/>
                                  <w:sz w:val="18"/>
                                </w:rPr>
                                <w:t>Loss</w:t>
                              </w:r>
                              <w:r>
                                <w:rPr>
                                  <w:color w:val="231F20"/>
                                  <w:spacing w:val="40"/>
                                  <w:w w:val="105"/>
                                  <w:sz w:val="18"/>
                                </w:rPr>
                                <w:t>  </w:t>
                              </w:r>
                              <w:r>
                                <w:rPr>
                                  <w:b/>
                                  <w:color w:val="231F20"/>
                                  <w:spacing w:val="-4"/>
                                  <w:w w:val="105"/>
                                  <w:sz w:val="18"/>
                                </w:rPr>
                                <w:t>3077</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093"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094" filled="false" stroked="false">
                  <v:textbox inset="0,0,0,0">
                    <w:txbxContent>
                      <w:p>
                        <w:pPr>
                          <w:spacing w:before="6"/>
                          <w:ind w:left="0" w:right="-15" w:firstLine="0"/>
                          <w:jc w:val="right"/>
                          <w:rPr>
                            <w:b/>
                            <w:sz w:val="18"/>
                          </w:rPr>
                        </w:pPr>
                        <w:r>
                          <w:rPr>
                            <w:b/>
                            <w:color w:val="D5841E"/>
                            <w:w w:val="105"/>
                            <w:sz w:val="18"/>
                          </w:rPr>
                          <w:t>Chapter</w:t>
                        </w:r>
                        <w:r>
                          <w:rPr>
                            <w:b/>
                            <w:color w:val="D5841E"/>
                            <w:spacing w:val="12"/>
                            <w:w w:val="105"/>
                            <w:sz w:val="18"/>
                          </w:rPr>
                          <w:t> </w:t>
                        </w:r>
                        <w:r>
                          <w:rPr>
                            <w:b/>
                            <w:color w:val="D5841E"/>
                            <w:w w:val="105"/>
                            <w:sz w:val="18"/>
                          </w:rPr>
                          <w:t>637</w:t>
                        </w:r>
                        <w:r>
                          <w:rPr>
                            <w:b/>
                            <w:color w:val="D5841E"/>
                            <w:spacing w:val="41"/>
                            <w:w w:val="105"/>
                            <w:sz w:val="18"/>
                          </w:rPr>
                          <w:t> </w:t>
                        </w:r>
                        <w:r>
                          <w:rPr>
                            <w:rFonts w:ascii="Lucida Sans Unicode" w:hAnsi="Lucida Sans Unicode"/>
                            <w:color w:val="E4AE6F"/>
                            <w:w w:val="105"/>
                            <w:sz w:val="15"/>
                          </w:rPr>
                          <w:t>◆</w:t>
                        </w:r>
                        <w:r>
                          <w:rPr>
                            <w:rFonts w:ascii="Lucida Sans Unicode" w:hAnsi="Lucida Sans Unicode"/>
                            <w:color w:val="E4AE6F"/>
                            <w:spacing w:val="47"/>
                            <w:w w:val="105"/>
                            <w:sz w:val="15"/>
                          </w:rPr>
                          <w:t> </w:t>
                        </w:r>
                        <w:r>
                          <w:rPr>
                            <w:color w:val="231F20"/>
                            <w:w w:val="105"/>
                            <w:sz w:val="18"/>
                          </w:rPr>
                          <w:t>Hearing</w:t>
                        </w:r>
                        <w:r>
                          <w:rPr>
                            <w:color w:val="231F20"/>
                            <w:spacing w:val="9"/>
                            <w:w w:val="105"/>
                            <w:sz w:val="18"/>
                          </w:rPr>
                          <w:t> </w:t>
                        </w:r>
                        <w:r>
                          <w:rPr>
                            <w:color w:val="231F20"/>
                            <w:w w:val="105"/>
                            <w:sz w:val="18"/>
                          </w:rPr>
                          <w:t>Loss</w:t>
                        </w:r>
                        <w:r>
                          <w:rPr>
                            <w:color w:val="231F20"/>
                            <w:spacing w:val="40"/>
                            <w:w w:val="105"/>
                            <w:sz w:val="18"/>
                          </w:rPr>
                          <w:t>  </w:t>
                        </w:r>
                        <w:r>
                          <w:rPr>
                            <w:b/>
                            <w:color w:val="231F20"/>
                            <w:spacing w:val="-4"/>
                            <w:w w:val="105"/>
                            <w:sz w:val="18"/>
                          </w:rPr>
                          <w:t>3077</w:t>
                        </w:r>
                      </w:p>
                    </w:txbxContent>
                  </v:textbox>
                  <w10:wrap type="none"/>
                </v:shape>
              </v:group>
            </w:pict>
          </mc:Fallback>
        </mc:AlternateContent>
      </w:r>
      <w:r>
        <w:rPr>
          <w:sz w:val="20"/>
        </w:rPr>
      </w:r>
    </w:p>
    <w:p>
      <w:pPr>
        <w:pStyle w:val="BodyText"/>
        <w:spacing w:before="11"/>
        <w:rPr>
          <w:i/>
          <w:sz w:val="15"/>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2"/>
        <w:gridCol w:w="225"/>
        <w:gridCol w:w="3555"/>
      </w:tblGrid>
      <w:tr>
        <w:trPr>
          <w:trHeight w:val="559" w:hRule="atLeast"/>
        </w:trPr>
        <w:tc>
          <w:tcPr>
            <w:tcW w:w="1147" w:type="dxa"/>
            <w:gridSpan w:val="2"/>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6</w:t>
            </w:r>
          </w:p>
        </w:tc>
        <w:tc>
          <w:tcPr>
            <w:tcW w:w="3555" w:type="dxa"/>
            <w:tcBorders>
              <w:left w:val="single" w:sz="8" w:space="0" w:color="FFFFFF"/>
            </w:tcBorders>
            <w:shd w:val="clear" w:color="auto" w:fill="231F20"/>
          </w:tcPr>
          <w:p>
            <w:pPr>
              <w:pStyle w:val="TableParagraph"/>
              <w:spacing w:before="89"/>
              <w:ind w:left="74" w:right="197"/>
              <w:rPr>
                <w:sz w:val="16"/>
              </w:rPr>
            </w:pPr>
            <w:r>
              <w:rPr>
                <w:color w:val="FFFFFF"/>
                <w:w w:val="105"/>
                <w:sz w:val="16"/>
              </w:rPr>
              <w:t>Criteria</w:t>
            </w:r>
            <w:r>
              <w:rPr>
                <w:color w:val="FFFFFF"/>
                <w:spacing w:val="-7"/>
                <w:w w:val="105"/>
                <w:sz w:val="16"/>
              </w:rPr>
              <w:t> </w:t>
            </w:r>
            <w:r>
              <w:rPr>
                <w:color w:val="FFFFFF"/>
                <w:w w:val="105"/>
                <w:sz w:val="16"/>
              </w:rPr>
              <w:t>for</w:t>
            </w:r>
            <w:r>
              <w:rPr>
                <w:color w:val="FFFFFF"/>
                <w:spacing w:val="-7"/>
                <w:w w:val="105"/>
                <w:sz w:val="16"/>
              </w:rPr>
              <w:t> </w:t>
            </w:r>
            <w:r>
              <w:rPr>
                <w:color w:val="FFFFFF"/>
                <w:w w:val="105"/>
                <w:sz w:val="16"/>
              </w:rPr>
              <w:t>Referral</w:t>
            </w:r>
            <w:r>
              <w:rPr>
                <w:color w:val="FFFFFF"/>
                <w:spacing w:val="-7"/>
                <w:w w:val="105"/>
                <w:sz w:val="16"/>
              </w:rPr>
              <w:t> </w:t>
            </w:r>
            <w:r>
              <w:rPr>
                <w:color w:val="FFFFFF"/>
                <w:w w:val="105"/>
                <w:sz w:val="16"/>
              </w:rPr>
              <w:t>for</w:t>
            </w:r>
            <w:r>
              <w:rPr>
                <w:color w:val="FFFFFF"/>
                <w:spacing w:val="-7"/>
                <w:w w:val="105"/>
                <w:sz w:val="16"/>
              </w:rPr>
              <w:t> </w:t>
            </w:r>
            <w:r>
              <w:rPr>
                <w:color w:val="FFFFFF"/>
                <w:w w:val="105"/>
                <w:sz w:val="16"/>
              </w:rPr>
              <w:t>Audiologic </w:t>
            </w:r>
            <w:r>
              <w:rPr>
                <w:color w:val="FFFFFF"/>
                <w:spacing w:val="-2"/>
                <w:w w:val="105"/>
                <w:sz w:val="16"/>
              </w:rPr>
              <w:t>Assessment</w:t>
            </w:r>
          </w:p>
        </w:tc>
      </w:tr>
      <w:tr>
        <w:trPr>
          <w:trHeight w:val="425" w:hRule="atLeast"/>
        </w:trPr>
        <w:tc>
          <w:tcPr>
            <w:tcW w:w="922" w:type="dxa"/>
            <w:tcBorders>
              <w:bottom w:val="single" w:sz="4" w:space="0" w:color="231F20"/>
            </w:tcBorders>
            <w:shd w:val="clear" w:color="auto" w:fill="E8F5F1"/>
          </w:tcPr>
          <w:p>
            <w:pPr>
              <w:pStyle w:val="TableParagraph"/>
              <w:spacing w:before="41"/>
              <w:rPr>
                <w:i/>
                <w:sz w:val="15"/>
              </w:rPr>
            </w:pPr>
          </w:p>
          <w:p>
            <w:pPr>
              <w:pStyle w:val="TableParagraph"/>
              <w:ind w:left="74"/>
              <w:rPr>
                <w:b/>
                <w:sz w:val="15"/>
              </w:rPr>
            </w:pPr>
            <w:r>
              <w:rPr>
                <w:b/>
                <w:color w:val="231F20"/>
                <w:w w:val="105"/>
                <w:sz w:val="15"/>
              </w:rPr>
              <w:t>AGE</w:t>
            </w:r>
            <w:r>
              <w:rPr>
                <w:b/>
                <w:color w:val="231F20"/>
                <w:spacing w:val="30"/>
                <w:w w:val="105"/>
                <w:sz w:val="15"/>
              </w:rPr>
              <w:t> </w:t>
            </w:r>
            <w:r>
              <w:rPr>
                <w:b/>
                <w:color w:val="231F20"/>
                <w:spacing w:val="-4"/>
                <w:w w:val="105"/>
                <w:sz w:val="15"/>
              </w:rPr>
              <w:t>(mo)</w:t>
            </w:r>
          </w:p>
        </w:tc>
        <w:tc>
          <w:tcPr>
            <w:tcW w:w="3780" w:type="dxa"/>
            <w:gridSpan w:val="2"/>
            <w:tcBorders>
              <w:bottom w:val="single" w:sz="4" w:space="0" w:color="231F20"/>
            </w:tcBorders>
            <w:shd w:val="clear" w:color="auto" w:fill="E8F5F1"/>
          </w:tcPr>
          <w:p>
            <w:pPr>
              <w:pStyle w:val="TableParagraph"/>
              <w:spacing w:line="230" w:lineRule="auto" w:before="53"/>
              <w:ind w:left="1066" w:right="48" w:hanging="582"/>
              <w:rPr>
                <w:b/>
                <w:sz w:val="15"/>
              </w:rPr>
            </w:pPr>
            <w:r>
              <w:rPr>
                <w:b/>
                <w:color w:val="231F20"/>
                <w:w w:val="110"/>
                <w:sz w:val="15"/>
              </w:rPr>
              <w:t>REFERRAL</w:t>
            </w:r>
            <w:r>
              <w:rPr>
                <w:b/>
                <w:color w:val="231F20"/>
                <w:spacing w:val="-13"/>
                <w:w w:val="110"/>
                <w:sz w:val="15"/>
              </w:rPr>
              <w:t> </w:t>
            </w:r>
            <w:r>
              <w:rPr>
                <w:b/>
                <w:color w:val="231F20"/>
                <w:w w:val="110"/>
                <w:sz w:val="15"/>
              </w:rPr>
              <w:t>GUIDELINES</w:t>
            </w:r>
            <w:r>
              <w:rPr>
                <w:b/>
                <w:color w:val="231F20"/>
                <w:spacing w:val="-12"/>
                <w:w w:val="110"/>
                <w:sz w:val="15"/>
              </w:rPr>
              <w:t> </w:t>
            </w:r>
            <w:r>
              <w:rPr>
                <w:b/>
                <w:color w:val="231F20"/>
                <w:w w:val="110"/>
                <w:sz w:val="15"/>
              </w:rPr>
              <w:t>FOR</w:t>
            </w:r>
            <w:r>
              <w:rPr>
                <w:b/>
                <w:color w:val="231F20"/>
                <w:spacing w:val="-13"/>
                <w:w w:val="110"/>
                <w:sz w:val="15"/>
              </w:rPr>
              <w:t> </w:t>
            </w:r>
            <w:r>
              <w:rPr>
                <w:b/>
                <w:color w:val="231F20"/>
                <w:w w:val="110"/>
                <w:sz w:val="15"/>
              </w:rPr>
              <w:t>CHILDREN WITH “SPEECH” DELAY</w:t>
            </w:r>
          </w:p>
        </w:tc>
      </w:tr>
      <w:tr>
        <w:trPr>
          <w:trHeight w:val="257" w:hRule="atLeast"/>
        </w:trPr>
        <w:tc>
          <w:tcPr>
            <w:tcW w:w="922"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5"/>
                <w:sz w:val="15"/>
              </w:rPr>
              <w:t>12</w:t>
            </w:r>
          </w:p>
        </w:tc>
        <w:tc>
          <w:tcPr>
            <w:tcW w:w="3780" w:type="dxa"/>
            <w:gridSpan w:val="2"/>
            <w:tcBorders>
              <w:top w:val="single" w:sz="4" w:space="0" w:color="231F20"/>
              <w:bottom w:val="single" w:sz="4" w:space="0" w:color="FFFFFF"/>
            </w:tcBorders>
            <w:shd w:val="clear" w:color="auto" w:fill="E8F5F1"/>
          </w:tcPr>
          <w:p>
            <w:pPr>
              <w:pStyle w:val="TableParagraph"/>
              <w:spacing w:before="47"/>
              <w:ind w:left="159"/>
              <w:rPr>
                <w:sz w:val="15"/>
              </w:rPr>
            </w:pPr>
            <w:r>
              <w:rPr>
                <w:color w:val="231F20"/>
                <w:sz w:val="15"/>
              </w:rPr>
              <w:t>No</w:t>
            </w:r>
            <w:r>
              <w:rPr>
                <w:color w:val="231F20"/>
                <w:spacing w:val="-1"/>
                <w:sz w:val="15"/>
              </w:rPr>
              <w:t> </w:t>
            </w:r>
            <w:r>
              <w:rPr>
                <w:color w:val="231F20"/>
                <w:sz w:val="15"/>
              </w:rPr>
              <w:t>differentiated</w:t>
            </w:r>
            <w:r>
              <w:rPr>
                <w:color w:val="231F20"/>
                <w:spacing w:val="-1"/>
                <w:sz w:val="15"/>
              </w:rPr>
              <w:t> </w:t>
            </w:r>
            <w:r>
              <w:rPr>
                <w:color w:val="231F20"/>
                <w:sz w:val="15"/>
              </w:rPr>
              <w:t>babbling or</w:t>
            </w:r>
            <w:r>
              <w:rPr>
                <w:color w:val="231F20"/>
                <w:spacing w:val="-1"/>
                <w:sz w:val="15"/>
              </w:rPr>
              <w:t> </w:t>
            </w:r>
            <w:r>
              <w:rPr>
                <w:color w:val="231F20"/>
                <w:sz w:val="15"/>
              </w:rPr>
              <w:t>vocal</w:t>
            </w:r>
            <w:r>
              <w:rPr>
                <w:color w:val="231F20"/>
                <w:spacing w:val="-1"/>
                <w:sz w:val="15"/>
              </w:rPr>
              <w:t> </w:t>
            </w:r>
            <w:r>
              <w:rPr>
                <w:color w:val="231F20"/>
                <w:spacing w:val="-2"/>
                <w:sz w:val="15"/>
              </w:rPr>
              <w:t>imitation</w:t>
            </w:r>
          </w:p>
        </w:tc>
      </w:tr>
      <w:tr>
        <w:trPr>
          <w:trHeight w:val="252" w:hRule="atLeast"/>
        </w:trPr>
        <w:tc>
          <w:tcPr>
            <w:tcW w:w="922"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18</w:t>
            </w:r>
          </w:p>
        </w:tc>
        <w:tc>
          <w:tcPr>
            <w:tcW w:w="3780" w:type="dxa"/>
            <w:gridSpan w:val="2"/>
            <w:tcBorders>
              <w:top w:val="single" w:sz="4" w:space="0" w:color="FFFFFF"/>
              <w:bottom w:val="single" w:sz="4" w:space="0" w:color="FFFFFF"/>
            </w:tcBorders>
            <w:shd w:val="clear" w:color="auto" w:fill="E8F5F1"/>
          </w:tcPr>
          <w:p>
            <w:pPr>
              <w:pStyle w:val="TableParagraph"/>
              <w:spacing w:before="42"/>
              <w:ind w:left="159"/>
              <w:rPr>
                <w:sz w:val="15"/>
              </w:rPr>
            </w:pPr>
            <w:r>
              <w:rPr>
                <w:color w:val="231F20"/>
                <w:sz w:val="15"/>
              </w:rPr>
              <w:t>No</w:t>
            </w:r>
            <w:r>
              <w:rPr>
                <w:color w:val="231F20"/>
                <w:spacing w:val="9"/>
                <w:sz w:val="15"/>
              </w:rPr>
              <w:t> </w:t>
            </w:r>
            <w:r>
              <w:rPr>
                <w:color w:val="231F20"/>
                <w:sz w:val="15"/>
              </w:rPr>
              <w:t>use</w:t>
            </w:r>
            <w:r>
              <w:rPr>
                <w:color w:val="231F20"/>
                <w:spacing w:val="9"/>
                <w:sz w:val="15"/>
              </w:rPr>
              <w:t> </w:t>
            </w:r>
            <w:r>
              <w:rPr>
                <w:color w:val="231F20"/>
                <w:sz w:val="15"/>
              </w:rPr>
              <w:t>of</w:t>
            </w:r>
            <w:r>
              <w:rPr>
                <w:color w:val="231F20"/>
                <w:spacing w:val="9"/>
                <w:sz w:val="15"/>
              </w:rPr>
              <w:t> </w:t>
            </w:r>
            <w:r>
              <w:rPr>
                <w:color w:val="231F20"/>
                <w:sz w:val="15"/>
              </w:rPr>
              <w:t>single</w:t>
            </w:r>
            <w:r>
              <w:rPr>
                <w:color w:val="231F20"/>
                <w:spacing w:val="9"/>
                <w:sz w:val="15"/>
              </w:rPr>
              <w:t> </w:t>
            </w:r>
            <w:r>
              <w:rPr>
                <w:color w:val="231F20"/>
                <w:spacing w:val="-2"/>
                <w:sz w:val="15"/>
              </w:rPr>
              <w:t>words</w:t>
            </w:r>
          </w:p>
        </w:tc>
      </w:tr>
      <w:tr>
        <w:trPr>
          <w:trHeight w:val="254" w:hRule="atLeast"/>
        </w:trPr>
        <w:tc>
          <w:tcPr>
            <w:tcW w:w="922"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24</w:t>
            </w:r>
          </w:p>
        </w:tc>
        <w:tc>
          <w:tcPr>
            <w:tcW w:w="3780" w:type="dxa"/>
            <w:gridSpan w:val="2"/>
            <w:tcBorders>
              <w:top w:val="single" w:sz="4" w:space="0" w:color="FFFFFF"/>
              <w:bottom w:val="single" w:sz="4" w:space="0" w:color="FFFFFF"/>
            </w:tcBorders>
            <w:shd w:val="clear" w:color="auto" w:fill="E8F5F1"/>
          </w:tcPr>
          <w:p>
            <w:pPr>
              <w:pStyle w:val="TableParagraph"/>
              <w:spacing w:before="42"/>
              <w:ind w:left="159"/>
              <w:rPr>
                <w:sz w:val="15"/>
              </w:rPr>
            </w:pPr>
            <w:r>
              <w:rPr>
                <w:color w:val="231F20"/>
                <w:sz w:val="15"/>
              </w:rPr>
              <w:t>Single-word</w:t>
            </w:r>
            <w:r>
              <w:rPr>
                <w:color w:val="231F20"/>
                <w:spacing w:val="-3"/>
                <w:sz w:val="15"/>
              </w:rPr>
              <w:t> </w:t>
            </w:r>
            <w:r>
              <w:rPr>
                <w:color w:val="231F20"/>
                <w:sz w:val="15"/>
              </w:rPr>
              <w:t>vocabulary</w:t>
            </w:r>
            <w:r>
              <w:rPr>
                <w:color w:val="231F20"/>
                <w:spacing w:val="-3"/>
                <w:sz w:val="15"/>
              </w:rPr>
              <w:t> </w:t>
            </w:r>
            <w:r>
              <w:rPr>
                <w:color w:val="231F20"/>
                <w:sz w:val="15"/>
              </w:rPr>
              <w:t>of</w:t>
            </w:r>
            <w:r>
              <w:rPr>
                <w:color w:val="231F20"/>
                <w:spacing w:val="-3"/>
                <w:sz w:val="15"/>
              </w:rPr>
              <w:t> </w:t>
            </w:r>
            <w:r>
              <w:rPr>
                <w:rFonts w:ascii="Cambria" w:hAnsi="Cambria"/>
                <w:color w:val="231F20"/>
                <w:sz w:val="15"/>
              </w:rPr>
              <w:t>≤</w:t>
            </w:r>
            <w:r>
              <w:rPr>
                <w:color w:val="231F20"/>
                <w:sz w:val="15"/>
              </w:rPr>
              <w:t>10</w:t>
            </w:r>
            <w:r>
              <w:rPr>
                <w:color w:val="231F20"/>
                <w:spacing w:val="-3"/>
                <w:sz w:val="15"/>
              </w:rPr>
              <w:t> </w:t>
            </w:r>
            <w:r>
              <w:rPr>
                <w:color w:val="231F20"/>
                <w:spacing w:val="-2"/>
                <w:sz w:val="15"/>
              </w:rPr>
              <w:t>words</w:t>
            </w:r>
          </w:p>
        </w:tc>
      </w:tr>
      <w:tr>
        <w:trPr>
          <w:trHeight w:val="422" w:hRule="atLeast"/>
        </w:trPr>
        <w:tc>
          <w:tcPr>
            <w:tcW w:w="922"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30</w:t>
            </w:r>
          </w:p>
        </w:tc>
        <w:tc>
          <w:tcPr>
            <w:tcW w:w="3780" w:type="dxa"/>
            <w:gridSpan w:val="2"/>
            <w:tcBorders>
              <w:top w:val="single" w:sz="4" w:space="0" w:color="FFFFFF"/>
              <w:bottom w:val="single" w:sz="4" w:space="0" w:color="FFFFFF"/>
            </w:tcBorders>
            <w:shd w:val="clear" w:color="auto" w:fill="E8F5F1"/>
          </w:tcPr>
          <w:p>
            <w:pPr>
              <w:pStyle w:val="TableParagraph"/>
              <w:spacing w:line="230" w:lineRule="auto" w:before="48"/>
              <w:ind w:left="271" w:right="48" w:hanging="112"/>
              <w:rPr>
                <w:sz w:val="15"/>
              </w:rPr>
            </w:pPr>
            <w:r>
              <w:rPr>
                <w:rFonts w:ascii="Cambria"/>
                <w:color w:val="231F20"/>
                <w:sz w:val="15"/>
              </w:rPr>
              <w:t>&lt;</w:t>
            </w:r>
            <w:r>
              <w:rPr>
                <w:color w:val="231F20"/>
                <w:sz w:val="15"/>
              </w:rPr>
              <w:t>100</w:t>
            </w:r>
            <w:r>
              <w:rPr>
                <w:color w:val="231F20"/>
                <w:spacing w:val="-8"/>
                <w:sz w:val="15"/>
              </w:rPr>
              <w:t> </w:t>
            </w:r>
            <w:r>
              <w:rPr>
                <w:color w:val="231F20"/>
                <w:sz w:val="15"/>
              </w:rPr>
              <w:t>words;</w:t>
            </w:r>
            <w:r>
              <w:rPr>
                <w:color w:val="231F20"/>
                <w:spacing w:val="-8"/>
                <w:sz w:val="15"/>
              </w:rPr>
              <w:t> </w:t>
            </w:r>
            <w:r>
              <w:rPr>
                <w:color w:val="231F20"/>
                <w:sz w:val="15"/>
              </w:rPr>
              <w:t>no</w:t>
            </w:r>
            <w:r>
              <w:rPr>
                <w:color w:val="231F20"/>
                <w:spacing w:val="-8"/>
                <w:sz w:val="15"/>
              </w:rPr>
              <w:t> </w:t>
            </w:r>
            <w:r>
              <w:rPr>
                <w:color w:val="231F20"/>
                <w:sz w:val="15"/>
              </w:rPr>
              <w:t>evidence</w:t>
            </w:r>
            <w:r>
              <w:rPr>
                <w:color w:val="231F20"/>
                <w:spacing w:val="-8"/>
                <w:sz w:val="15"/>
              </w:rPr>
              <w:t> </w:t>
            </w:r>
            <w:r>
              <w:rPr>
                <w:color w:val="231F20"/>
                <w:sz w:val="15"/>
              </w:rPr>
              <w:t>of</w:t>
            </w:r>
            <w:r>
              <w:rPr>
                <w:color w:val="231F20"/>
                <w:spacing w:val="-8"/>
                <w:sz w:val="15"/>
              </w:rPr>
              <w:t> </w:t>
            </w:r>
            <w:r>
              <w:rPr>
                <w:color w:val="231F20"/>
                <w:sz w:val="15"/>
              </w:rPr>
              <w:t>2</w:t>
            </w:r>
            <w:r>
              <w:rPr>
                <w:color w:val="231F20"/>
                <w:spacing w:val="-8"/>
                <w:sz w:val="15"/>
              </w:rPr>
              <w:t> </w:t>
            </w:r>
            <w:r>
              <w:rPr>
                <w:color w:val="231F20"/>
                <w:sz w:val="15"/>
              </w:rPr>
              <w:t>word</w:t>
            </w:r>
            <w:r>
              <w:rPr>
                <w:color w:val="231F20"/>
                <w:spacing w:val="-8"/>
                <w:sz w:val="15"/>
              </w:rPr>
              <w:t> </w:t>
            </w:r>
            <w:r>
              <w:rPr>
                <w:color w:val="231F20"/>
                <w:sz w:val="15"/>
              </w:rPr>
              <w:t>combinations; </w:t>
            </w:r>
            <w:r>
              <w:rPr>
                <w:color w:val="231F20"/>
                <w:spacing w:val="-2"/>
                <w:sz w:val="15"/>
              </w:rPr>
              <w:t>unintelligible</w:t>
            </w:r>
          </w:p>
        </w:tc>
      </w:tr>
      <w:tr>
        <w:trPr>
          <w:trHeight w:val="422" w:hRule="atLeast"/>
        </w:trPr>
        <w:tc>
          <w:tcPr>
            <w:tcW w:w="922"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36</w:t>
            </w:r>
          </w:p>
        </w:tc>
        <w:tc>
          <w:tcPr>
            <w:tcW w:w="3780" w:type="dxa"/>
            <w:gridSpan w:val="2"/>
            <w:tcBorders>
              <w:top w:val="single" w:sz="4" w:space="0" w:color="FFFFFF"/>
              <w:bottom w:val="single" w:sz="4" w:space="0" w:color="FFFFFF"/>
            </w:tcBorders>
            <w:shd w:val="clear" w:color="auto" w:fill="E8F5F1"/>
          </w:tcPr>
          <w:p>
            <w:pPr>
              <w:pStyle w:val="TableParagraph"/>
              <w:spacing w:line="172" w:lineRule="exact" w:before="42"/>
              <w:ind w:left="159"/>
              <w:rPr>
                <w:sz w:val="15"/>
              </w:rPr>
            </w:pPr>
            <w:r>
              <w:rPr>
                <w:rFonts w:ascii="Cambria"/>
                <w:color w:val="231F20"/>
                <w:sz w:val="15"/>
              </w:rPr>
              <w:t>&lt;</w:t>
            </w:r>
            <w:r>
              <w:rPr>
                <w:color w:val="231F20"/>
                <w:sz w:val="15"/>
              </w:rPr>
              <w:t>200</w:t>
            </w:r>
            <w:r>
              <w:rPr>
                <w:color w:val="231F20"/>
                <w:spacing w:val="-6"/>
                <w:sz w:val="15"/>
              </w:rPr>
              <w:t> </w:t>
            </w:r>
            <w:r>
              <w:rPr>
                <w:color w:val="231F20"/>
                <w:sz w:val="15"/>
              </w:rPr>
              <w:t>words;</w:t>
            </w:r>
            <w:r>
              <w:rPr>
                <w:color w:val="231F20"/>
                <w:spacing w:val="-6"/>
                <w:sz w:val="15"/>
              </w:rPr>
              <w:t> </w:t>
            </w:r>
            <w:r>
              <w:rPr>
                <w:color w:val="231F20"/>
                <w:sz w:val="15"/>
              </w:rPr>
              <w:t>no</w:t>
            </w:r>
            <w:r>
              <w:rPr>
                <w:color w:val="231F20"/>
                <w:spacing w:val="-6"/>
                <w:sz w:val="15"/>
              </w:rPr>
              <w:t> </w:t>
            </w:r>
            <w:r>
              <w:rPr>
                <w:color w:val="231F20"/>
                <w:sz w:val="15"/>
              </w:rPr>
              <w:t>use</w:t>
            </w:r>
            <w:r>
              <w:rPr>
                <w:color w:val="231F20"/>
                <w:spacing w:val="-6"/>
                <w:sz w:val="15"/>
              </w:rPr>
              <w:t> </w:t>
            </w:r>
            <w:r>
              <w:rPr>
                <w:color w:val="231F20"/>
                <w:sz w:val="15"/>
              </w:rPr>
              <w:t>of</w:t>
            </w:r>
            <w:r>
              <w:rPr>
                <w:color w:val="231F20"/>
                <w:spacing w:val="-6"/>
                <w:sz w:val="15"/>
              </w:rPr>
              <w:t> </w:t>
            </w:r>
            <w:r>
              <w:rPr>
                <w:color w:val="231F20"/>
                <w:sz w:val="15"/>
              </w:rPr>
              <w:t>telegraphic</w:t>
            </w:r>
            <w:r>
              <w:rPr>
                <w:color w:val="231F20"/>
                <w:spacing w:val="-6"/>
                <w:sz w:val="15"/>
              </w:rPr>
              <w:t> </w:t>
            </w:r>
            <w:r>
              <w:rPr>
                <w:color w:val="231F20"/>
                <w:sz w:val="15"/>
              </w:rPr>
              <w:t>sentences;</w:t>
            </w:r>
            <w:r>
              <w:rPr>
                <w:color w:val="231F20"/>
                <w:spacing w:val="-6"/>
                <w:sz w:val="15"/>
              </w:rPr>
              <w:t> </w:t>
            </w:r>
            <w:r>
              <w:rPr>
                <w:color w:val="231F20"/>
                <w:spacing w:val="-2"/>
                <w:sz w:val="15"/>
              </w:rPr>
              <w:t>clarity</w:t>
            </w:r>
          </w:p>
          <w:p>
            <w:pPr>
              <w:pStyle w:val="TableParagraph"/>
              <w:spacing w:line="172" w:lineRule="exact"/>
              <w:ind w:left="271"/>
              <w:rPr>
                <w:sz w:val="15"/>
              </w:rPr>
            </w:pPr>
            <w:r>
              <w:rPr>
                <w:rFonts w:ascii="Cambria"/>
                <w:color w:val="231F20"/>
                <w:spacing w:val="-4"/>
                <w:w w:val="110"/>
                <w:sz w:val="15"/>
              </w:rPr>
              <w:t>&lt;</w:t>
            </w:r>
            <w:r>
              <w:rPr>
                <w:color w:val="231F20"/>
                <w:spacing w:val="-4"/>
                <w:w w:val="110"/>
                <w:sz w:val="15"/>
              </w:rPr>
              <w:t>50%</w:t>
            </w:r>
          </w:p>
        </w:tc>
      </w:tr>
      <w:tr>
        <w:trPr>
          <w:trHeight w:val="249" w:hRule="atLeast"/>
        </w:trPr>
        <w:tc>
          <w:tcPr>
            <w:tcW w:w="922"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5"/>
                <w:sz w:val="15"/>
              </w:rPr>
              <w:t>48</w:t>
            </w:r>
          </w:p>
        </w:tc>
        <w:tc>
          <w:tcPr>
            <w:tcW w:w="3780" w:type="dxa"/>
            <w:gridSpan w:val="2"/>
            <w:tcBorders>
              <w:top w:val="single" w:sz="4" w:space="0" w:color="FFFFFF"/>
              <w:bottom w:val="single" w:sz="8" w:space="0" w:color="231F20"/>
            </w:tcBorders>
            <w:shd w:val="clear" w:color="auto" w:fill="E8F5F1"/>
          </w:tcPr>
          <w:p>
            <w:pPr>
              <w:pStyle w:val="TableParagraph"/>
              <w:spacing w:before="42"/>
              <w:ind w:left="159"/>
              <w:rPr>
                <w:sz w:val="15"/>
              </w:rPr>
            </w:pPr>
            <w:r>
              <w:rPr>
                <w:rFonts w:ascii="Cambria" w:hAnsi="Cambria"/>
                <w:color w:val="231F20"/>
                <w:sz w:val="15"/>
              </w:rPr>
              <w:t>&lt;</w:t>
            </w:r>
            <w:r>
              <w:rPr>
                <w:color w:val="231F20"/>
                <w:sz w:val="15"/>
              </w:rPr>
              <w:t>600</w:t>
            </w:r>
            <w:r>
              <w:rPr>
                <w:color w:val="231F20"/>
                <w:spacing w:val="-10"/>
                <w:sz w:val="15"/>
              </w:rPr>
              <w:t> </w:t>
            </w:r>
            <w:r>
              <w:rPr>
                <w:color w:val="231F20"/>
                <w:sz w:val="15"/>
              </w:rPr>
              <w:t>words;</w:t>
            </w:r>
            <w:r>
              <w:rPr>
                <w:color w:val="231F20"/>
                <w:spacing w:val="-9"/>
                <w:sz w:val="15"/>
              </w:rPr>
              <w:t> </w:t>
            </w:r>
            <w:r>
              <w:rPr>
                <w:color w:val="231F20"/>
                <w:sz w:val="15"/>
              </w:rPr>
              <w:t>no</w:t>
            </w:r>
            <w:r>
              <w:rPr>
                <w:color w:val="231F20"/>
                <w:spacing w:val="-9"/>
                <w:sz w:val="15"/>
              </w:rPr>
              <w:t> </w:t>
            </w:r>
            <w:r>
              <w:rPr>
                <w:color w:val="231F20"/>
                <w:sz w:val="15"/>
              </w:rPr>
              <w:t>use</w:t>
            </w:r>
            <w:r>
              <w:rPr>
                <w:color w:val="231F20"/>
                <w:spacing w:val="-9"/>
                <w:sz w:val="15"/>
              </w:rPr>
              <w:t> </w:t>
            </w:r>
            <w:r>
              <w:rPr>
                <w:color w:val="231F20"/>
                <w:sz w:val="15"/>
              </w:rPr>
              <w:t>of</w:t>
            </w:r>
            <w:r>
              <w:rPr>
                <w:color w:val="231F20"/>
                <w:spacing w:val="-9"/>
                <w:sz w:val="15"/>
              </w:rPr>
              <w:t> </w:t>
            </w:r>
            <w:r>
              <w:rPr>
                <w:color w:val="231F20"/>
                <w:sz w:val="15"/>
              </w:rPr>
              <w:t>simple</w:t>
            </w:r>
            <w:r>
              <w:rPr>
                <w:color w:val="231F20"/>
                <w:spacing w:val="-9"/>
                <w:sz w:val="15"/>
              </w:rPr>
              <w:t> </w:t>
            </w:r>
            <w:r>
              <w:rPr>
                <w:color w:val="231F20"/>
                <w:sz w:val="15"/>
              </w:rPr>
              <w:t>sentences;</w:t>
            </w:r>
            <w:r>
              <w:rPr>
                <w:color w:val="231F20"/>
                <w:spacing w:val="-9"/>
                <w:sz w:val="15"/>
              </w:rPr>
              <w:t> </w:t>
            </w:r>
            <w:r>
              <w:rPr>
                <w:color w:val="231F20"/>
                <w:sz w:val="15"/>
              </w:rPr>
              <w:t>clarity</w:t>
            </w:r>
            <w:r>
              <w:rPr>
                <w:color w:val="231F20"/>
                <w:spacing w:val="-9"/>
                <w:sz w:val="15"/>
              </w:rPr>
              <w:t> </w:t>
            </w:r>
            <w:r>
              <w:rPr>
                <w:rFonts w:ascii="Cambria" w:hAnsi="Cambria"/>
                <w:color w:val="231F20"/>
                <w:spacing w:val="-4"/>
                <w:sz w:val="15"/>
              </w:rPr>
              <w:t>≤</w:t>
            </w:r>
            <w:r>
              <w:rPr>
                <w:color w:val="231F20"/>
                <w:spacing w:val="-4"/>
                <w:sz w:val="15"/>
              </w:rPr>
              <w:t>80%</w:t>
            </w:r>
          </w:p>
        </w:tc>
      </w:tr>
    </w:tbl>
    <w:p>
      <w:pPr>
        <w:spacing w:line="150" w:lineRule="exact" w:before="79"/>
        <w:ind w:left="539" w:right="0" w:firstLine="0"/>
        <w:jc w:val="left"/>
        <w:rPr>
          <w:i/>
          <w:sz w:val="13"/>
        </w:rPr>
      </w:pPr>
      <w:r>
        <w:rPr>
          <w:i/>
          <w:sz w:val="13"/>
        </w:rPr>
        <mc:AlternateContent>
          <mc:Choice Requires="wps">
            <w:drawing>
              <wp:anchor distT="0" distB="0" distL="0" distR="0" allowOverlap="1" layoutInCell="1" locked="0" behindDoc="0" simplePos="0" relativeHeight="15832064">
                <wp:simplePos x="0" y="0"/>
                <wp:positionH relativeFrom="page">
                  <wp:posOffset>3856458</wp:posOffset>
                </wp:positionH>
                <wp:positionV relativeFrom="paragraph">
                  <wp:posOffset>-1858109</wp:posOffset>
                </wp:positionV>
                <wp:extent cx="3002915" cy="6110605"/>
                <wp:effectExtent l="0" t="0" r="0" b="0"/>
                <wp:wrapNone/>
                <wp:docPr id="1393" name="Group 1393"/>
                <wp:cNvGraphicFramePr>
                  <a:graphicFrameLocks/>
                </wp:cNvGraphicFramePr>
                <a:graphic>
                  <a:graphicData uri="http://schemas.microsoft.com/office/word/2010/wordprocessingGroup">
                    <wpg:wgp>
                      <wpg:cNvPr id="1393" name="Group 1393"/>
                      <wpg:cNvGrpSpPr/>
                      <wpg:grpSpPr>
                        <a:xfrm>
                          <a:off x="0" y="0"/>
                          <a:ext cx="3002915" cy="6110605"/>
                          <a:chExt cx="3002915" cy="6110605"/>
                        </a:xfrm>
                      </wpg:grpSpPr>
                      <wps:wsp>
                        <wps:cNvPr id="1394" name="Graphic 1394"/>
                        <wps:cNvSpPr/>
                        <wps:spPr>
                          <a:xfrm>
                            <a:off x="407360" y="703050"/>
                            <a:ext cx="1764664" cy="710565"/>
                          </a:xfrm>
                          <a:custGeom>
                            <a:avLst/>
                            <a:gdLst/>
                            <a:ahLst/>
                            <a:cxnLst/>
                            <a:rect l="l" t="t" r="r" b="b"/>
                            <a:pathLst>
                              <a:path w="1764664" h="710565">
                                <a:moveTo>
                                  <a:pt x="1764449" y="0"/>
                                </a:moveTo>
                                <a:lnTo>
                                  <a:pt x="0" y="0"/>
                                </a:lnTo>
                                <a:lnTo>
                                  <a:pt x="0" y="710323"/>
                                </a:lnTo>
                                <a:lnTo>
                                  <a:pt x="1764449" y="710323"/>
                                </a:lnTo>
                                <a:lnTo>
                                  <a:pt x="1764449" y="0"/>
                                </a:lnTo>
                                <a:close/>
                              </a:path>
                            </a:pathLst>
                          </a:custGeom>
                          <a:solidFill>
                            <a:srgbClr val="D7EDDD"/>
                          </a:solidFill>
                        </wps:spPr>
                        <wps:bodyPr wrap="square" lIns="0" tIns="0" rIns="0" bIns="0" rtlCol="0">
                          <a:prstTxWarp prst="textNoShape">
                            <a:avLst/>
                          </a:prstTxWarp>
                          <a:noAutofit/>
                        </wps:bodyPr>
                      </wps:wsp>
                      <wps:wsp>
                        <wps:cNvPr id="1395" name="Graphic 1395"/>
                        <wps:cNvSpPr/>
                        <wps:spPr>
                          <a:xfrm>
                            <a:off x="407353" y="703049"/>
                            <a:ext cx="1764664" cy="710565"/>
                          </a:xfrm>
                          <a:custGeom>
                            <a:avLst/>
                            <a:gdLst/>
                            <a:ahLst/>
                            <a:cxnLst/>
                            <a:rect l="l" t="t" r="r" b="b"/>
                            <a:pathLst>
                              <a:path w="1764664" h="710565">
                                <a:moveTo>
                                  <a:pt x="1764463" y="710328"/>
                                </a:moveTo>
                                <a:lnTo>
                                  <a:pt x="0" y="710328"/>
                                </a:lnTo>
                                <a:lnTo>
                                  <a:pt x="0" y="0"/>
                                </a:lnTo>
                                <a:lnTo>
                                  <a:pt x="1764463" y="0"/>
                                </a:lnTo>
                                <a:lnTo>
                                  <a:pt x="1764463" y="710328"/>
                                </a:lnTo>
                                <a:close/>
                              </a:path>
                            </a:pathLst>
                          </a:custGeom>
                          <a:ln w="11849">
                            <a:solidFill>
                              <a:srgbClr val="231F20"/>
                            </a:solidFill>
                            <a:prstDash val="solid"/>
                          </a:ln>
                        </wps:spPr>
                        <wps:bodyPr wrap="square" lIns="0" tIns="0" rIns="0" bIns="0" rtlCol="0">
                          <a:prstTxWarp prst="textNoShape">
                            <a:avLst/>
                          </a:prstTxWarp>
                          <a:noAutofit/>
                        </wps:bodyPr>
                      </wps:wsp>
                      <wps:wsp>
                        <wps:cNvPr id="1396" name="Graphic 1396"/>
                        <wps:cNvSpPr/>
                        <wps:spPr>
                          <a:xfrm>
                            <a:off x="433386" y="1638860"/>
                            <a:ext cx="278765" cy="177165"/>
                          </a:xfrm>
                          <a:custGeom>
                            <a:avLst/>
                            <a:gdLst/>
                            <a:ahLst/>
                            <a:cxnLst/>
                            <a:rect l="l" t="t" r="r" b="b"/>
                            <a:pathLst>
                              <a:path w="278765" h="177165">
                                <a:moveTo>
                                  <a:pt x="278295" y="0"/>
                                </a:moveTo>
                                <a:lnTo>
                                  <a:pt x="0" y="0"/>
                                </a:lnTo>
                                <a:lnTo>
                                  <a:pt x="0" y="177114"/>
                                </a:lnTo>
                                <a:lnTo>
                                  <a:pt x="278295" y="177114"/>
                                </a:lnTo>
                                <a:lnTo>
                                  <a:pt x="278295" y="0"/>
                                </a:lnTo>
                                <a:close/>
                              </a:path>
                            </a:pathLst>
                          </a:custGeom>
                          <a:solidFill>
                            <a:srgbClr val="D7EDDD"/>
                          </a:solidFill>
                        </wps:spPr>
                        <wps:bodyPr wrap="square" lIns="0" tIns="0" rIns="0" bIns="0" rtlCol="0">
                          <a:prstTxWarp prst="textNoShape">
                            <a:avLst/>
                          </a:prstTxWarp>
                          <a:noAutofit/>
                        </wps:bodyPr>
                      </wps:wsp>
                      <wps:wsp>
                        <wps:cNvPr id="1397" name="Graphic 1397"/>
                        <wps:cNvSpPr/>
                        <wps:spPr>
                          <a:xfrm>
                            <a:off x="433378" y="1638863"/>
                            <a:ext cx="278765" cy="177165"/>
                          </a:xfrm>
                          <a:custGeom>
                            <a:avLst/>
                            <a:gdLst/>
                            <a:ahLst/>
                            <a:cxnLst/>
                            <a:rect l="l" t="t" r="r" b="b"/>
                            <a:pathLst>
                              <a:path w="278765" h="177165">
                                <a:moveTo>
                                  <a:pt x="278303" y="177111"/>
                                </a:moveTo>
                                <a:lnTo>
                                  <a:pt x="0" y="177111"/>
                                </a:lnTo>
                                <a:lnTo>
                                  <a:pt x="0" y="0"/>
                                </a:lnTo>
                                <a:lnTo>
                                  <a:pt x="278303" y="0"/>
                                </a:lnTo>
                                <a:lnTo>
                                  <a:pt x="278303" y="177111"/>
                                </a:lnTo>
                                <a:close/>
                              </a:path>
                            </a:pathLst>
                          </a:custGeom>
                          <a:ln w="11849">
                            <a:solidFill>
                              <a:srgbClr val="231F20"/>
                            </a:solidFill>
                            <a:prstDash val="solid"/>
                          </a:ln>
                        </wps:spPr>
                        <wps:bodyPr wrap="square" lIns="0" tIns="0" rIns="0" bIns="0" rtlCol="0">
                          <a:prstTxWarp prst="textNoShape">
                            <a:avLst/>
                          </a:prstTxWarp>
                          <a:noAutofit/>
                        </wps:bodyPr>
                      </wps:wsp>
                      <wps:wsp>
                        <wps:cNvPr id="1398" name="Graphic 1398"/>
                        <wps:cNvSpPr/>
                        <wps:spPr>
                          <a:xfrm>
                            <a:off x="1868880" y="1638860"/>
                            <a:ext cx="278765" cy="177165"/>
                          </a:xfrm>
                          <a:custGeom>
                            <a:avLst/>
                            <a:gdLst/>
                            <a:ahLst/>
                            <a:cxnLst/>
                            <a:rect l="l" t="t" r="r" b="b"/>
                            <a:pathLst>
                              <a:path w="278765" h="177165">
                                <a:moveTo>
                                  <a:pt x="278295" y="0"/>
                                </a:moveTo>
                                <a:lnTo>
                                  <a:pt x="0" y="0"/>
                                </a:lnTo>
                                <a:lnTo>
                                  <a:pt x="0" y="177114"/>
                                </a:lnTo>
                                <a:lnTo>
                                  <a:pt x="278295" y="177114"/>
                                </a:lnTo>
                                <a:lnTo>
                                  <a:pt x="278295" y="0"/>
                                </a:lnTo>
                                <a:close/>
                              </a:path>
                            </a:pathLst>
                          </a:custGeom>
                          <a:solidFill>
                            <a:srgbClr val="D7EDDD"/>
                          </a:solidFill>
                        </wps:spPr>
                        <wps:bodyPr wrap="square" lIns="0" tIns="0" rIns="0" bIns="0" rtlCol="0">
                          <a:prstTxWarp prst="textNoShape">
                            <a:avLst/>
                          </a:prstTxWarp>
                          <a:noAutofit/>
                        </wps:bodyPr>
                      </wps:wsp>
                      <wps:wsp>
                        <wps:cNvPr id="1399" name="Graphic 1399"/>
                        <wps:cNvSpPr/>
                        <wps:spPr>
                          <a:xfrm>
                            <a:off x="1868884" y="1638863"/>
                            <a:ext cx="278765" cy="177165"/>
                          </a:xfrm>
                          <a:custGeom>
                            <a:avLst/>
                            <a:gdLst/>
                            <a:ahLst/>
                            <a:cxnLst/>
                            <a:rect l="l" t="t" r="r" b="b"/>
                            <a:pathLst>
                              <a:path w="278765" h="177165">
                                <a:moveTo>
                                  <a:pt x="278292" y="177111"/>
                                </a:moveTo>
                                <a:lnTo>
                                  <a:pt x="0" y="177111"/>
                                </a:lnTo>
                                <a:lnTo>
                                  <a:pt x="0" y="0"/>
                                </a:lnTo>
                                <a:lnTo>
                                  <a:pt x="278292" y="0"/>
                                </a:lnTo>
                                <a:lnTo>
                                  <a:pt x="278292" y="177111"/>
                                </a:lnTo>
                                <a:close/>
                              </a:path>
                            </a:pathLst>
                          </a:custGeom>
                          <a:ln w="11849">
                            <a:solidFill>
                              <a:srgbClr val="231F20"/>
                            </a:solidFill>
                            <a:prstDash val="solid"/>
                          </a:ln>
                        </wps:spPr>
                        <wps:bodyPr wrap="square" lIns="0" tIns="0" rIns="0" bIns="0" rtlCol="0">
                          <a:prstTxWarp prst="textNoShape">
                            <a:avLst/>
                          </a:prstTxWarp>
                          <a:noAutofit/>
                        </wps:bodyPr>
                      </wps:wsp>
                      <wps:wsp>
                        <wps:cNvPr id="1400" name="Graphic 1400"/>
                        <wps:cNvSpPr/>
                        <wps:spPr>
                          <a:xfrm>
                            <a:off x="5933" y="2016068"/>
                            <a:ext cx="1133475" cy="414655"/>
                          </a:xfrm>
                          <a:custGeom>
                            <a:avLst/>
                            <a:gdLst/>
                            <a:ahLst/>
                            <a:cxnLst/>
                            <a:rect l="l" t="t" r="r" b="b"/>
                            <a:pathLst>
                              <a:path w="1133475" h="414655">
                                <a:moveTo>
                                  <a:pt x="1133208" y="0"/>
                                </a:moveTo>
                                <a:lnTo>
                                  <a:pt x="0" y="0"/>
                                </a:lnTo>
                                <a:lnTo>
                                  <a:pt x="0" y="414096"/>
                                </a:lnTo>
                                <a:lnTo>
                                  <a:pt x="1133208" y="414096"/>
                                </a:lnTo>
                                <a:lnTo>
                                  <a:pt x="1133208" y="0"/>
                                </a:lnTo>
                                <a:close/>
                              </a:path>
                            </a:pathLst>
                          </a:custGeom>
                          <a:solidFill>
                            <a:srgbClr val="D7EDDD"/>
                          </a:solidFill>
                        </wps:spPr>
                        <wps:bodyPr wrap="square" lIns="0" tIns="0" rIns="0" bIns="0" rtlCol="0">
                          <a:prstTxWarp prst="textNoShape">
                            <a:avLst/>
                          </a:prstTxWarp>
                          <a:noAutofit/>
                        </wps:bodyPr>
                      </wps:wsp>
                      <wps:wsp>
                        <wps:cNvPr id="1401" name="Graphic 1401"/>
                        <wps:cNvSpPr/>
                        <wps:spPr>
                          <a:xfrm>
                            <a:off x="5924" y="2016070"/>
                            <a:ext cx="1133475" cy="414655"/>
                          </a:xfrm>
                          <a:custGeom>
                            <a:avLst/>
                            <a:gdLst/>
                            <a:ahLst/>
                            <a:cxnLst/>
                            <a:rect l="l" t="t" r="r" b="b"/>
                            <a:pathLst>
                              <a:path w="1133475" h="414655">
                                <a:moveTo>
                                  <a:pt x="1133217" y="414096"/>
                                </a:moveTo>
                                <a:lnTo>
                                  <a:pt x="0" y="414096"/>
                                </a:lnTo>
                                <a:lnTo>
                                  <a:pt x="0" y="0"/>
                                </a:lnTo>
                                <a:lnTo>
                                  <a:pt x="1133217" y="0"/>
                                </a:lnTo>
                                <a:lnTo>
                                  <a:pt x="1133217" y="414096"/>
                                </a:lnTo>
                                <a:close/>
                              </a:path>
                            </a:pathLst>
                          </a:custGeom>
                          <a:ln w="11849">
                            <a:solidFill>
                              <a:srgbClr val="231F20"/>
                            </a:solidFill>
                            <a:prstDash val="solid"/>
                          </a:ln>
                        </wps:spPr>
                        <wps:bodyPr wrap="square" lIns="0" tIns="0" rIns="0" bIns="0" rtlCol="0">
                          <a:prstTxWarp prst="textNoShape">
                            <a:avLst/>
                          </a:prstTxWarp>
                          <a:noAutofit/>
                        </wps:bodyPr>
                      </wps:wsp>
                      <wps:wsp>
                        <wps:cNvPr id="1402" name="Graphic 1402"/>
                        <wps:cNvSpPr/>
                        <wps:spPr>
                          <a:xfrm>
                            <a:off x="762094" y="3291573"/>
                            <a:ext cx="1532255" cy="414655"/>
                          </a:xfrm>
                          <a:custGeom>
                            <a:avLst/>
                            <a:gdLst/>
                            <a:ahLst/>
                            <a:cxnLst/>
                            <a:rect l="l" t="t" r="r" b="b"/>
                            <a:pathLst>
                              <a:path w="1532255" h="414655">
                                <a:moveTo>
                                  <a:pt x="1532153" y="0"/>
                                </a:moveTo>
                                <a:lnTo>
                                  <a:pt x="0" y="0"/>
                                </a:lnTo>
                                <a:lnTo>
                                  <a:pt x="0" y="414096"/>
                                </a:lnTo>
                                <a:lnTo>
                                  <a:pt x="1532153" y="414096"/>
                                </a:lnTo>
                                <a:lnTo>
                                  <a:pt x="1532153" y="0"/>
                                </a:lnTo>
                                <a:close/>
                              </a:path>
                            </a:pathLst>
                          </a:custGeom>
                          <a:solidFill>
                            <a:srgbClr val="D7EDDD"/>
                          </a:solidFill>
                        </wps:spPr>
                        <wps:bodyPr wrap="square" lIns="0" tIns="0" rIns="0" bIns="0" rtlCol="0">
                          <a:prstTxWarp prst="textNoShape">
                            <a:avLst/>
                          </a:prstTxWarp>
                          <a:noAutofit/>
                        </wps:bodyPr>
                      </wps:wsp>
                      <wps:wsp>
                        <wps:cNvPr id="1403" name="Graphic 1403"/>
                        <wps:cNvSpPr/>
                        <wps:spPr>
                          <a:xfrm>
                            <a:off x="762083" y="3291575"/>
                            <a:ext cx="1532255" cy="414655"/>
                          </a:xfrm>
                          <a:custGeom>
                            <a:avLst/>
                            <a:gdLst/>
                            <a:ahLst/>
                            <a:cxnLst/>
                            <a:rect l="l" t="t" r="r" b="b"/>
                            <a:pathLst>
                              <a:path w="1532255" h="414655">
                                <a:moveTo>
                                  <a:pt x="1532170" y="414096"/>
                                </a:moveTo>
                                <a:lnTo>
                                  <a:pt x="0" y="414096"/>
                                </a:lnTo>
                                <a:lnTo>
                                  <a:pt x="0" y="0"/>
                                </a:lnTo>
                                <a:lnTo>
                                  <a:pt x="1532170" y="0"/>
                                </a:lnTo>
                                <a:lnTo>
                                  <a:pt x="1532170" y="414096"/>
                                </a:lnTo>
                                <a:close/>
                              </a:path>
                            </a:pathLst>
                          </a:custGeom>
                          <a:ln w="11849">
                            <a:solidFill>
                              <a:srgbClr val="231F20"/>
                            </a:solidFill>
                            <a:prstDash val="solid"/>
                          </a:ln>
                        </wps:spPr>
                        <wps:bodyPr wrap="square" lIns="0" tIns="0" rIns="0" bIns="0" rtlCol="0">
                          <a:prstTxWarp prst="textNoShape">
                            <a:avLst/>
                          </a:prstTxWarp>
                          <a:noAutofit/>
                        </wps:bodyPr>
                      </wps:wsp>
                      <wps:wsp>
                        <wps:cNvPr id="1404" name="Graphic 1404"/>
                        <wps:cNvSpPr/>
                        <wps:spPr>
                          <a:xfrm>
                            <a:off x="1204392" y="2016067"/>
                            <a:ext cx="1607820" cy="295910"/>
                          </a:xfrm>
                          <a:custGeom>
                            <a:avLst/>
                            <a:gdLst/>
                            <a:ahLst/>
                            <a:cxnLst/>
                            <a:rect l="l" t="t" r="r" b="b"/>
                            <a:pathLst>
                              <a:path w="1607820" h="295910">
                                <a:moveTo>
                                  <a:pt x="1607273" y="0"/>
                                </a:moveTo>
                                <a:lnTo>
                                  <a:pt x="0" y="0"/>
                                </a:lnTo>
                                <a:lnTo>
                                  <a:pt x="0" y="295605"/>
                                </a:lnTo>
                                <a:lnTo>
                                  <a:pt x="1607273" y="295605"/>
                                </a:lnTo>
                                <a:lnTo>
                                  <a:pt x="1607273" y="0"/>
                                </a:lnTo>
                                <a:close/>
                              </a:path>
                            </a:pathLst>
                          </a:custGeom>
                          <a:solidFill>
                            <a:srgbClr val="D7EDDD"/>
                          </a:solidFill>
                        </wps:spPr>
                        <wps:bodyPr wrap="square" lIns="0" tIns="0" rIns="0" bIns="0" rtlCol="0">
                          <a:prstTxWarp prst="textNoShape">
                            <a:avLst/>
                          </a:prstTxWarp>
                          <a:noAutofit/>
                        </wps:bodyPr>
                      </wps:wsp>
                      <wps:wsp>
                        <wps:cNvPr id="1405" name="Graphic 1405"/>
                        <wps:cNvSpPr/>
                        <wps:spPr>
                          <a:xfrm>
                            <a:off x="1204389" y="2016070"/>
                            <a:ext cx="1607820" cy="295910"/>
                          </a:xfrm>
                          <a:custGeom>
                            <a:avLst/>
                            <a:gdLst/>
                            <a:ahLst/>
                            <a:cxnLst/>
                            <a:rect l="l" t="t" r="r" b="b"/>
                            <a:pathLst>
                              <a:path w="1607820" h="295910">
                                <a:moveTo>
                                  <a:pt x="1607283" y="295603"/>
                                </a:moveTo>
                                <a:lnTo>
                                  <a:pt x="0" y="295603"/>
                                </a:lnTo>
                                <a:lnTo>
                                  <a:pt x="0" y="0"/>
                                </a:lnTo>
                                <a:lnTo>
                                  <a:pt x="1607283" y="0"/>
                                </a:lnTo>
                                <a:lnTo>
                                  <a:pt x="1607283" y="295603"/>
                                </a:lnTo>
                                <a:close/>
                              </a:path>
                            </a:pathLst>
                          </a:custGeom>
                          <a:ln w="11849">
                            <a:solidFill>
                              <a:srgbClr val="231F20"/>
                            </a:solidFill>
                            <a:prstDash val="solid"/>
                          </a:ln>
                        </wps:spPr>
                        <wps:bodyPr wrap="square" lIns="0" tIns="0" rIns="0" bIns="0" rtlCol="0">
                          <a:prstTxWarp prst="textNoShape">
                            <a:avLst/>
                          </a:prstTxWarp>
                          <a:noAutofit/>
                        </wps:bodyPr>
                      </wps:wsp>
                      <wps:wsp>
                        <wps:cNvPr id="1406" name="Graphic 1406"/>
                        <wps:cNvSpPr/>
                        <wps:spPr>
                          <a:xfrm>
                            <a:off x="785087" y="5702348"/>
                            <a:ext cx="1252855" cy="402590"/>
                          </a:xfrm>
                          <a:custGeom>
                            <a:avLst/>
                            <a:gdLst/>
                            <a:ahLst/>
                            <a:cxnLst/>
                            <a:rect l="l" t="t" r="r" b="b"/>
                            <a:pathLst>
                              <a:path w="1252855" h="402590">
                                <a:moveTo>
                                  <a:pt x="1252423" y="0"/>
                                </a:moveTo>
                                <a:lnTo>
                                  <a:pt x="0" y="0"/>
                                </a:lnTo>
                                <a:lnTo>
                                  <a:pt x="0" y="402247"/>
                                </a:lnTo>
                                <a:lnTo>
                                  <a:pt x="1252423" y="402247"/>
                                </a:lnTo>
                                <a:lnTo>
                                  <a:pt x="1252423" y="0"/>
                                </a:lnTo>
                                <a:close/>
                              </a:path>
                            </a:pathLst>
                          </a:custGeom>
                          <a:solidFill>
                            <a:srgbClr val="D7EDDD"/>
                          </a:solidFill>
                        </wps:spPr>
                        <wps:bodyPr wrap="square" lIns="0" tIns="0" rIns="0" bIns="0" rtlCol="0">
                          <a:prstTxWarp prst="textNoShape">
                            <a:avLst/>
                          </a:prstTxWarp>
                          <a:noAutofit/>
                        </wps:bodyPr>
                      </wps:wsp>
                      <wps:wsp>
                        <wps:cNvPr id="1407" name="Graphic 1407"/>
                        <wps:cNvSpPr/>
                        <wps:spPr>
                          <a:xfrm>
                            <a:off x="785082" y="5702351"/>
                            <a:ext cx="1252855" cy="402590"/>
                          </a:xfrm>
                          <a:custGeom>
                            <a:avLst/>
                            <a:gdLst/>
                            <a:ahLst/>
                            <a:cxnLst/>
                            <a:rect l="l" t="t" r="r" b="b"/>
                            <a:pathLst>
                              <a:path w="1252855" h="402590">
                                <a:moveTo>
                                  <a:pt x="1252433" y="402247"/>
                                </a:moveTo>
                                <a:lnTo>
                                  <a:pt x="0" y="402247"/>
                                </a:lnTo>
                                <a:lnTo>
                                  <a:pt x="0" y="0"/>
                                </a:lnTo>
                                <a:lnTo>
                                  <a:pt x="1252433" y="0"/>
                                </a:lnTo>
                                <a:lnTo>
                                  <a:pt x="1252433" y="402247"/>
                                </a:lnTo>
                                <a:close/>
                              </a:path>
                            </a:pathLst>
                          </a:custGeom>
                          <a:ln w="11849">
                            <a:solidFill>
                              <a:srgbClr val="231F20"/>
                            </a:solidFill>
                            <a:prstDash val="solid"/>
                          </a:ln>
                        </wps:spPr>
                        <wps:bodyPr wrap="square" lIns="0" tIns="0" rIns="0" bIns="0" rtlCol="0">
                          <a:prstTxWarp prst="textNoShape">
                            <a:avLst/>
                          </a:prstTxWarp>
                          <a:noAutofit/>
                        </wps:bodyPr>
                      </wps:wsp>
                      <wps:wsp>
                        <wps:cNvPr id="1408" name="Graphic 1408"/>
                        <wps:cNvSpPr/>
                        <wps:spPr>
                          <a:xfrm>
                            <a:off x="2223149" y="5702348"/>
                            <a:ext cx="773430" cy="295910"/>
                          </a:xfrm>
                          <a:custGeom>
                            <a:avLst/>
                            <a:gdLst/>
                            <a:ahLst/>
                            <a:cxnLst/>
                            <a:rect l="l" t="t" r="r" b="b"/>
                            <a:pathLst>
                              <a:path w="773430" h="295910">
                                <a:moveTo>
                                  <a:pt x="773328" y="0"/>
                                </a:moveTo>
                                <a:lnTo>
                                  <a:pt x="0" y="0"/>
                                </a:lnTo>
                                <a:lnTo>
                                  <a:pt x="0" y="295605"/>
                                </a:lnTo>
                                <a:lnTo>
                                  <a:pt x="773328" y="295605"/>
                                </a:lnTo>
                                <a:lnTo>
                                  <a:pt x="773328" y="0"/>
                                </a:lnTo>
                                <a:close/>
                              </a:path>
                            </a:pathLst>
                          </a:custGeom>
                          <a:solidFill>
                            <a:srgbClr val="D7EDDD"/>
                          </a:solidFill>
                        </wps:spPr>
                        <wps:bodyPr wrap="square" lIns="0" tIns="0" rIns="0" bIns="0" rtlCol="0">
                          <a:prstTxWarp prst="textNoShape">
                            <a:avLst/>
                          </a:prstTxWarp>
                          <a:noAutofit/>
                        </wps:bodyPr>
                      </wps:wsp>
                      <wps:wsp>
                        <wps:cNvPr id="1409" name="Graphic 1409"/>
                        <wps:cNvSpPr/>
                        <wps:spPr>
                          <a:xfrm>
                            <a:off x="2223148" y="5702351"/>
                            <a:ext cx="773430" cy="295910"/>
                          </a:xfrm>
                          <a:custGeom>
                            <a:avLst/>
                            <a:gdLst/>
                            <a:ahLst/>
                            <a:cxnLst/>
                            <a:rect l="l" t="t" r="r" b="b"/>
                            <a:pathLst>
                              <a:path w="773430" h="295910">
                                <a:moveTo>
                                  <a:pt x="773331" y="295603"/>
                                </a:moveTo>
                                <a:lnTo>
                                  <a:pt x="0" y="295603"/>
                                </a:lnTo>
                                <a:lnTo>
                                  <a:pt x="0" y="0"/>
                                </a:lnTo>
                                <a:lnTo>
                                  <a:pt x="773331" y="0"/>
                                </a:lnTo>
                                <a:lnTo>
                                  <a:pt x="773331" y="295603"/>
                                </a:lnTo>
                                <a:close/>
                              </a:path>
                            </a:pathLst>
                          </a:custGeom>
                          <a:ln w="11849">
                            <a:solidFill>
                              <a:srgbClr val="231F20"/>
                            </a:solidFill>
                            <a:prstDash val="solid"/>
                          </a:ln>
                        </wps:spPr>
                        <wps:bodyPr wrap="square" lIns="0" tIns="0" rIns="0" bIns="0" rtlCol="0">
                          <a:prstTxWarp prst="textNoShape">
                            <a:avLst/>
                          </a:prstTxWarp>
                          <a:noAutofit/>
                        </wps:bodyPr>
                      </wps:wsp>
                      <wps:wsp>
                        <wps:cNvPr id="1410" name="Graphic 1410"/>
                        <wps:cNvSpPr/>
                        <wps:spPr>
                          <a:xfrm>
                            <a:off x="659475" y="4308363"/>
                            <a:ext cx="777875" cy="295910"/>
                          </a:xfrm>
                          <a:custGeom>
                            <a:avLst/>
                            <a:gdLst/>
                            <a:ahLst/>
                            <a:cxnLst/>
                            <a:rect l="l" t="t" r="r" b="b"/>
                            <a:pathLst>
                              <a:path w="777875" h="295910">
                                <a:moveTo>
                                  <a:pt x="777684" y="0"/>
                                </a:moveTo>
                                <a:lnTo>
                                  <a:pt x="0" y="0"/>
                                </a:lnTo>
                                <a:lnTo>
                                  <a:pt x="0" y="295605"/>
                                </a:lnTo>
                                <a:lnTo>
                                  <a:pt x="777684" y="295605"/>
                                </a:lnTo>
                                <a:lnTo>
                                  <a:pt x="777684" y="0"/>
                                </a:lnTo>
                                <a:close/>
                              </a:path>
                            </a:pathLst>
                          </a:custGeom>
                          <a:solidFill>
                            <a:srgbClr val="D7EDDD"/>
                          </a:solidFill>
                        </wps:spPr>
                        <wps:bodyPr wrap="square" lIns="0" tIns="0" rIns="0" bIns="0" rtlCol="0">
                          <a:prstTxWarp prst="textNoShape">
                            <a:avLst/>
                          </a:prstTxWarp>
                          <a:noAutofit/>
                        </wps:bodyPr>
                      </wps:wsp>
                      <wps:wsp>
                        <wps:cNvPr id="1411" name="Graphic 1411"/>
                        <wps:cNvSpPr/>
                        <wps:spPr>
                          <a:xfrm>
                            <a:off x="659472" y="4308366"/>
                            <a:ext cx="777875" cy="295910"/>
                          </a:xfrm>
                          <a:custGeom>
                            <a:avLst/>
                            <a:gdLst/>
                            <a:ahLst/>
                            <a:cxnLst/>
                            <a:rect l="l" t="t" r="r" b="b"/>
                            <a:pathLst>
                              <a:path w="777875" h="295910">
                                <a:moveTo>
                                  <a:pt x="777691" y="295603"/>
                                </a:moveTo>
                                <a:lnTo>
                                  <a:pt x="0" y="295603"/>
                                </a:lnTo>
                                <a:lnTo>
                                  <a:pt x="0" y="0"/>
                                </a:lnTo>
                                <a:lnTo>
                                  <a:pt x="777691" y="0"/>
                                </a:lnTo>
                                <a:lnTo>
                                  <a:pt x="777691" y="295603"/>
                                </a:lnTo>
                                <a:close/>
                              </a:path>
                            </a:pathLst>
                          </a:custGeom>
                          <a:ln w="11849">
                            <a:solidFill>
                              <a:srgbClr val="231F20"/>
                            </a:solidFill>
                            <a:prstDash val="solid"/>
                          </a:ln>
                        </wps:spPr>
                        <wps:bodyPr wrap="square" lIns="0" tIns="0" rIns="0" bIns="0" rtlCol="0">
                          <a:prstTxWarp prst="textNoShape">
                            <a:avLst/>
                          </a:prstTxWarp>
                          <a:noAutofit/>
                        </wps:bodyPr>
                      </wps:wsp>
                      <wps:wsp>
                        <wps:cNvPr id="1412" name="Graphic 1412"/>
                        <wps:cNvSpPr/>
                        <wps:spPr>
                          <a:xfrm>
                            <a:off x="1528282" y="4308363"/>
                            <a:ext cx="960119" cy="295910"/>
                          </a:xfrm>
                          <a:custGeom>
                            <a:avLst/>
                            <a:gdLst/>
                            <a:ahLst/>
                            <a:cxnLst/>
                            <a:rect l="l" t="t" r="r" b="b"/>
                            <a:pathLst>
                              <a:path w="960119" h="295910">
                                <a:moveTo>
                                  <a:pt x="959497" y="0"/>
                                </a:moveTo>
                                <a:lnTo>
                                  <a:pt x="0" y="0"/>
                                </a:lnTo>
                                <a:lnTo>
                                  <a:pt x="0" y="295605"/>
                                </a:lnTo>
                                <a:lnTo>
                                  <a:pt x="959497" y="295605"/>
                                </a:lnTo>
                                <a:lnTo>
                                  <a:pt x="959497" y="0"/>
                                </a:lnTo>
                                <a:close/>
                              </a:path>
                            </a:pathLst>
                          </a:custGeom>
                          <a:solidFill>
                            <a:srgbClr val="D7EDDD"/>
                          </a:solidFill>
                        </wps:spPr>
                        <wps:bodyPr wrap="square" lIns="0" tIns="0" rIns="0" bIns="0" rtlCol="0">
                          <a:prstTxWarp prst="textNoShape">
                            <a:avLst/>
                          </a:prstTxWarp>
                          <a:noAutofit/>
                        </wps:bodyPr>
                      </wps:wsp>
                      <wps:wsp>
                        <wps:cNvPr id="1413" name="Graphic 1413"/>
                        <wps:cNvSpPr/>
                        <wps:spPr>
                          <a:xfrm>
                            <a:off x="1528277" y="4308366"/>
                            <a:ext cx="960119" cy="295910"/>
                          </a:xfrm>
                          <a:custGeom>
                            <a:avLst/>
                            <a:gdLst/>
                            <a:ahLst/>
                            <a:cxnLst/>
                            <a:rect l="l" t="t" r="r" b="b"/>
                            <a:pathLst>
                              <a:path w="960119" h="295910">
                                <a:moveTo>
                                  <a:pt x="959507" y="295603"/>
                                </a:moveTo>
                                <a:lnTo>
                                  <a:pt x="0" y="295603"/>
                                </a:lnTo>
                                <a:lnTo>
                                  <a:pt x="0" y="0"/>
                                </a:lnTo>
                                <a:lnTo>
                                  <a:pt x="959507" y="0"/>
                                </a:lnTo>
                                <a:lnTo>
                                  <a:pt x="959507" y="295603"/>
                                </a:lnTo>
                                <a:close/>
                              </a:path>
                            </a:pathLst>
                          </a:custGeom>
                          <a:ln w="11849">
                            <a:solidFill>
                              <a:srgbClr val="231F20"/>
                            </a:solidFill>
                            <a:prstDash val="solid"/>
                          </a:ln>
                        </wps:spPr>
                        <wps:bodyPr wrap="square" lIns="0" tIns="0" rIns="0" bIns="0" rtlCol="0">
                          <a:prstTxWarp prst="textNoShape">
                            <a:avLst/>
                          </a:prstTxWarp>
                          <a:noAutofit/>
                        </wps:bodyPr>
                      </wps:wsp>
                      <wps:wsp>
                        <wps:cNvPr id="1414" name="Graphic 1414"/>
                        <wps:cNvSpPr/>
                        <wps:spPr>
                          <a:xfrm>
                            <a:off x="574307" y="1494894"/>
                            <a:ext cx="1433830" cy="79375"/>
                          </a:xfrm>
                          <a:custGeom>
                            <a:avLst/>
                            <a:gdLst/>
                            <a:ahLst/>
                            <a:cxnLst/>
                            <a:rect l="l" t="t" r="r" b="b"/>
                            <a:pathLst>
                              <a:path w="1433830" h="79375">
                                <a:moveTo>
                                  <a:pt x="0" y="79342"/>
                                </a:moveTo>
                                <a:lnTo>
                                  <a:pt x="0" y="0"/>
                                </a:lnTo>
                                <a:lnTo>
                                  <a:pt x="1433726" y="0"/>
                                </a:lnTo>
                                <a:lnTo>
                                  <a:pt x="1433726" y="77020"/>
                                </a:lnTo>
                              </a:path>
                            </a:pathLst>
                          </a:custGeom>
                          <a:ln w="11849">
                            <a:solidFill>
                              <a:srgbClr val="231F20"/>
                            </a:solidFill>
                            <a:prstDash val="solid"/>
                          </a:ln>
                        </wps:spPr>
                        <wps:bodyPr wrap="square" lIns="0" tIns="0" rIns="0" bIns="0" rtlCol="0">
                          <a:prstTxWarp prst="textNoShape">
                            <a:avLst/>
                          </a:prstTxWarp>
                          <a:noAutofit/>
                        </wps:bodyPr>
                      </wps:wsp>
                      <wps:wsp>
                        <wps:cNvPr id="1415" name="Graphic 1415"/>
                        <wps:cNvSpPr/>
                        <wps:spPr>
                          <a:xfrm>
                            <a:off x="535785" y="1544552"/>
                            <a:ext cx="1511300" cy="97155"/>
                          </a:xfrm>
                          <a:custGeom>
                            <a:avLst/>
                            <a:gdLst/>
                            <a:ahLst/>
                            <a:cxnLst/>
                            <a:rect l="l" t="t" r="r" b="b"/>
                            <a:pathLst>
                              <a:path w="1511300" h="97155">
                                <a:moveTo>
                                  <a:pt x="77050" y="2311"/>
                                </a:moveTo>
                                <a:lnTo>
                                  <a:pt x="38519" y="24701"/>
                                </a:lnTo>
                                <a:lnTo>
                                  <a:pt x="0" y="2311"/>
                                </a:lnTo>
                                <a:lnTo>
                                  <a:pt x="38519" y="96634"/>
                                </a:lnTo>
                                <a:lnTo>
                                  <a:pt x="77050" y="2311"/>
                                </a:lnTo>
                                <a:close/>
                              </a:path>
                              <a:path w="1511300" h="97155">
                                <a:moveTo>
                                  <a:pt x="1510766" y="0"/>
                                </a:moveTo>
                                <a:lnTo>
                                  <a:pt x="1472234" y="22390"/>
                                </a:lnTo>
                                <a:lnTo>
                                  <a:pt x="1433703" y="0"/>
                                </a:lnTo>
                                <a:lnTo>
                                  <a:pt x="1472234" y="94322"/>
                                </a:lnTo>
                                <a:lnTo>
                                  <a:pt x="1510766" y="0"/>
                                </a:lnTo>
                                <a:close/>
                              </a:path>
                            </a:pathLst>
                          </a:custGeom>
                          <a:solidFill>
                            <a:srgbClr val="231F20"/>
                          </a:solidFill>
                        </wps:spPr>
                        <wps:bodyPr wrap="square" lIns="0" tIns="0" rIns="0" bIns="0" rtlCol="0">
                          <a:prstTxWarp prst="textNoShape">
                            <a:avLst/>
                          </a:prstTxWarp>
                          <a:noAutofit/>
                        </wps:bodyPr>
                      </wps:wsp>
                      <wps:wsp>
                        <wps:cNvPr id="1416" name="Graphic 1416"/>
                        <wps:cNvSpPr/>
                        <wps:spPr>
                          <a:xfrm>
                            <a:off x="1291166" y="1413374"/>
                            <a:ext cx="1270" cy="78105"/>
                          </a:xfrm>
                          <a:custGeom>
                            <a:avLst/>
                            <a:gdLst/>
                            <a:ahLst/>
                            <a:cxnLst/>
                            <a:rect l="l" t="t" r="r" b="b"/>
                            <a:pathLst>
                              <a:path w="0" h="78105">
                                <a:moveTo>
                                  <a:pt x="0" y="0"/>
                                </a:moveTo>
                                <a:lnTo>
                                  <a:pt x="0" y="77754"/>
                                </a:lnTo>
                              </a:path>
                            </a:pathLst>
                          </a:custGeom>
                          <a:ln w="11849">
                            <a:solidFill>
                              <a:srgbClr val="231F20"/>
                            </a:solidFill>
                            <a:prstDash val="solid"/>
                          </a:ln>
                        </wps:spPr>
                        <wps:bodyPr wrap="square" lIns="0" tIns="0" rIns="0" bIns="0" rtlCol="0">
                          <a:prstTxWarp prst="textNoShape">
                            <a:avLst/>
                          </a:prstTxWarp>
                          <a:noAutofit/>
                        </wps:bodyPr>
                      </wps:wsp>
                      <wps:wsp>
                        <wps:cNvPr id="1417" name="Graphic 1417"/>
                        <wps:cNvSpPr/>
                        <wps:spPr>
                          <a:xfrm>
                            <a:off x="1389010" y="2537158"/>
                            <a:ext cx="278765" cy="177165"/>
                          </a:xfrm>
                          <a:custGeom>
                            <a:avLst/>
                            <a:gdLst/>
                            <a:ahLst/>
                            <a:cxnLst/>
                            <a:rect l="l" t="t" r="r" b="b"/>
                            <a:pathLst>
                              <a:path w="278765" h="177165">
                                <a:moveTo>
                                  <a:pt x="278307" y="0"/>
                                </a:moveTo>
                                <a:lnTo>
                                  <a:pt x="0" y="0"/>
                                </a:lnTo>
                                <a:lnTo>
                                  <a:pt x="0" y="177114"/>
                                </a:lnTo>
                                <a:lnTo>
                                  <a:pt x="278307" y="177114"/>
                                </a:lnTo>
                                <a:lnTo>
                                  <a:pt x="278307" y="0"/>
                                </a:lnTo>
                                <a:close/>
                              </a:path>
                            </a:pathLst>
                          </a:custGeom>
                          <a:solidFill>
                            <a:srgbClr val="D7EDDD"/>
                          </a:solidFill>
                        </wps:spPr>
                        <wps:bodyPr wrap="square" lIns="0" tIns="0" rIns="0" bIns="0" rtlCol="0">
                          <a:prstTxWarp prst="textNoShape">
                            <a:avLst/>
                          </a:prstTxWarp>
                          <a:noAutofit/>
                        </wps:bodyPr>
                      </wps:wsp>
                      <wps:wsp>
                        <wps:cNvPr id="1418" name="Graphic 1418"/>
                        <wps:cNvSpPr/>
                        <wps:spPr>
                          <a:xfrm>
                            <a:off x="1389015" y="2537162"/>
                            <a:ext cx="278765" cy="177165"/>
                          </a:xfrm>
                          <a:custGeom>
                            <a:avLst/>
                            <a:gdLst/>
                            <a:ahLst/>
                            <a:cxnLst/>
                            <a:rect l="l" t="t" r="r" b="b"/>
                            <a:pathLst>
                              <a:path w="278765" h="177165">
                                <a:moveTo>
                                  <a:pt x="278303" y="177111"/>
                                </a:moveTo>
                                <a:lnTo>
                                  <a:pt x="0" y="177111"/>
                                </a:lnTo>
                                <a:lnTo>
                                  <a:pt x="0" y="0"/>
                                </a:lnTo>
                                <a:lnTo>
                                  <a:pt x="278303" y="0"/>
                                </a:lnTo>
                                <a:lnTo>
                                  <a:pt x="278303" y="177111"/>
                                </a:lnTo>
                                <a:close/>
                              </a:path>
                            </a:pathLst>
                          </a:custGeom>
                          <a:ln w="11849">
                            <a:solidFill>
                              <a:srgbClr val="231F20"/>
                            </a:solidFill>
                            <a:prstDash val="solid"/>
                          </a:ln>
                        </wps:spPr>
                        <wps:bodyPr wrap="square" lIns="0" tIns="0" rIns="0" bIns="0" rtlCol="0">
                          <a:prstTxWarp prst="textNoShape">
                            <a:avLst/>
                          </a:prstTxWarp>
                          <a:noAutofit/>
                        </wps:bodyPr>
                      </wps:wsp>
                      <wps:wsp>
                        <wps:cNvPr id="1419" name="Graphic 1419"/>
                        <wps:cNvSpPr/>
                        <wps:spPr>
                          <a:xfrm>
                            <a:off x="2348759" y="2537158"/>
                            <a:ext cx="278765" cy="177165"/>
                          </a:xfrm>
                          <a:custGeom>
                            <a:avLst/>
                            <a:gdLst/>
                            <a:ahLst/>
                            <a:cxnLst/>
                            <a:rect l="l" t="t" r="r" b="b"/>
                            <a:pathLst>
                              <a:path w="278765" h="177165">
                                <a:moveTo>
                                  <a:pt x="278295" y="0"/>
                                </a:moveTo>
                                <a:lnTo>
                                  <a:pt x="0" y="0"/>
                                </a:lnTo>
                                <a:lnTo>
                                  <a:pt x="0" y="177114"/>
                                </a:lnTo>
                                <a:lnTo>
                                  <a:pt x="278295" y="177114"/>
                                </a:lnTo>
                                <a:lnTo>
                                  <a:pt x="278295" y="0"/>
                                </a:lnTo>
                                <a:close/>
                              </a:path>
                            </a:pathLst>
                          </a:custGeom>
                          <a:solidFill>
                            <a:srgbClr val="D7EDDD"/>
                          </a:solidFill>
                        </wps:spPr>
                        <wps:bodyPr wrap="square" lIns="0" tIns="0" rIns="0" bIns="0" rtlCol="0">
                          <a:prstTxWarp prst="textNoShape">
                            <a:avLst/>
                          </a:prstTxWarp>
                          <a:noAutofit/>
                        </wps:bodyPr>
                      </wps:wsp>
                      <wps:wsp>
                        <wps:cNvPr id="1420" name="Graphic 1420"/>
                        <wps:cNvSpPr/>
                        <wps:spPr>
                          <a:xfrm>
                            <a:off x="2348764" y="2537162"/>
                            <a:ext cx="278765" cy="177165"/>
                          </a:xfrm>
                          <a:custGeom>
                            <a:avLst/>
                            <a:gdLst/>
                            <a:ahLst/>
                            <a:cxnLst/>
                            <a:rect l="l" t="t" r="r" b="b"/>
                            <a:pathLst>
                              <a:path w="278765" h="177165">
                                <a:moveTo>
                                  <a:pt x="278292" y="177111"/>
                                </a:moveTo>
                                <a:lnTo>
                                  <a:pt x="0" y="177111"/>
                                </a:lnTo>
                                <a:lnTo>
                                  <a:pt x="0" y="0"/>
                                </a:lnTo>
                                <a:lnTo>
                                  <a:pt x="278292" y="0"/>
                                </a:lnTo>
                                <a:lnTo>
                                  <a:pt x="278292" y="177111"/>
                                </a:lnTo>
                                <a:close/>
                              </a:path>
                            </a:pathLst>
                          </a:custGeom>
                          <a:ln w="11849">
                            <a:solidFill>
                              <a:srgbClr val="231F20"/>
                            </a:solidFill>
                            <a:prstDash val="solid"/>
                          </a:ln>
                        </wps:spPr>
                        <wps:bodyPr wrap="square" lIns="0" tIns="0" rIns="0" bIns="0" rtlCol="0">
                          <a:prstTxWarp prst="textNoShape">
                            <a:avLst/>
                          </a:prstTxWarp>
                          <a:noAutofit/>
                        </wps:bodyPr>
                      </wps:wsp>
                      <wps:wsp>
                        <wps:cNvPr id="1421" name="Graphic 1421"/>
                        <wps:cNvSpPr/>
                        <wps:spPr>
                          <a:xfrm>
                            <a:off x="999073" y="2914364"/>
                            <a:ext cx="1058545" cy="177165"/>
                          </a:xfrm>
                          <a:custGeom>
                            <a:avLst/>
                            <a:gdLst/>
                            <a:ahLst/>
                            <a:cxnLst/>
                            <a:rect l="l" t="t" r="r" b="b"/>
                            <a:pathLst>
                              <a:path w="1058545" h="177165">
                                <a:moveTo>
                                  <a:pt x="1058189" y="0"/>
                                </a:moveTo>
                                <a:lnTo>
                                  <a:pt x="0" y="0"/>
                                </a:lnTo>
                                <a:lnTo>
                                  <a:pt x="0" y="177114"/>
                                </a:lnTo>
                                <a:lnTo>
                                  <a:pt x="1058189" y="177114"/>
                                </a:lnTo>
                                <a:lnTo>
                                  <a:pt x="1058189" y="0"/>
                                </a:lnTo>
                                <a:close/>
                              </a:path>
                            </a:pathLst>
                          </a:custGeom>
                          <a:solidFill>
                            <a:srgbClr val="D7EDDD"/>
                          </a:solidFill>
                        </wps:spPr>
                        <wps:bodyPr wrap="square" lIns="0" tIns="0" rIns="0" bIns="0" rtlCol="0">
                          <a:prstTxWarp prst="textNoShape">
                            <a:avLst/>
                          </a:prstTxWarp>
                          <a:noAutofit/>
                        </wps:bodyPr>
                      </wps:wsp>
                      <wps:wsp>
                        <wps:cNvPr id="1422" name="Graphic 1422"/>
                        <wps:cNvSpPr/>
                        <wps:spPr>
                          <a:xfrm>
                            <a:off x="999068" y="2914369"/>
                            <a:ext cx="1058545" cy="177165"/>
                          </a:xfrm>
                          <a:custGeom>
                            <a:avLst/>
                            <a:gdLst/>
                            <a:ahLst/>
                            <a:cxnLst/>
                            <a:rect l="l" t="t" r="r" b="b"/>
                            <a:pathLst>
                              <a:path w="1058545" h="177165">
                                <a:moveTo>
                                  <a:pt x="1058199" y="177111"/>
                                </a:moveTo>
                                <a:lnTo>
                                  <a:pt x="0" y="177111"/>
                                </a:lnTo>
                                <a:lnTo>
                                  <a:pt x="0" y="0"/>
                                </a:lnTo>
                                <a:lnTo>
                                  <a:pt x="1058199" y="0"/>
                                </a:lnTo>
                                <a:lnTo>
                                  <a:pt x="1058199" y="177111"/>
                                </a:lnTo>
                                <a:close/>
                              </a:path>
                            </a:pathLst>
                          </a:custGeom>
                          <a:ln w="11849">
                            <a:solidFill>
                              <a:srgbClr val="231F20"/>
                            </a:solidFill>
                            <a:prstDash val="solid"/>
                          </a:ln>
                        </wps:spPr>
                        <wps:bodyPr wrap="square" lIns="0" tIns="0" rIns="0" bIns="0" rtlCol="0">
                          <a:prstTxWarp prst="textNoShape">
                            <a:avLst/>
                          </a:prstTxWarp>
                          <a:noAutofit/>
                        </wps:bodyPr>
                      </wps:wsp>
                      <wps:wsp>
                        <wps:cNvPr id="1423" name="Graphic 1423"/>
                        <wps:cNvSpPr/>
                        <wps:spPr>
                          <a:xfrm>
                            <a:off x="2144413" y="2914366"/>
                            <a:ext cx="687070" cy="283845"/>
                          </a:xfrm>
                          <a:custGeom>
                            <a:avLst/>
                            <a:gdLst/>
                            <a:ahLst/>
                            <a:cxnLst/>
                            <a:rect l="l" t="t" r="r" b="b"/>
                            <a:pathLst>
                              <a:path w="687070" h="283845">
                                <a:moveTo>
                                  <a:pt x="686993" y="0"/>
                                </a:moveTo>
                                <a:lnTo>
                                  <a:pt x="0" y="0"/>
                                </a:lnTo>
                                <a:lnTo>
                                  <a:pt x="0" y="283756"/>
                                </a:lnTo>
                                <a:lnTo>
                                  <a:pt x="686993" y="283756"/>
                                </a:lnTo>
                                <a:lnTo>
                                  <a:pt x="686993" y="0"/>
                                </a:lnTo>
                                <a:close/>
                              </a:path>
                            </a:pathLst>
                          </a:custGeom>
                          <a:solidFill>
                            <a:srgbClr val="D7EDDD"/>
                          </a:solidFill>
                        </wps:spPr>
                        <wps:bodyPr wrap="square" lIns="0" tIns="0" rIns="0" bIns="0" rtlCol="0">
                          <a:prstTxWarp prst="textNoShape">
                            <a:avLst/>
                          </a:prstTxWarp>
                          <a:noAutofit/>
                        </wps:bodyPr>
                      </wps:wsp>
                      <wps:wsp>
                        <wps:cNvPr id="1424" name="Graphic 1424"/>
                        <wps:cNvSpPr/>
                        <wps:spPr>
                          <a:xfrm>
                            <a:off x="1528157" y="2393204"/>
                            <a:ext cx="1303655" cy="805180"/>
                          </a:xfrm>
                          <a:custGeom>
                            <a:avLst/>
                            <a:gdLst/>
                            <a:ahLst/>
                            <a:cxnLst/>
                            <a:rect l="l" t="t" r="r" b="b"/>
                            <a:pathLst>
                              <a:path w="1303655" h="805180">
                                <a:moveTo>
                                  <a:pt x="1303254" y="804921"/>
                                </a:moveTo>
                                <a:lnTo>
                                  <a:pt x="616257" y="804921"/>
                                </a:lnTo>
                                <a:lnTo>
                                  <a:pt x="616257" y="521166"/>
                                </a:lnTo>
                                <a:lnTo>
                                  <a:pt x="1303254" y="521166"/>
                                </a:lnTo>
                                <a:lnTo>
                                  <a:pt x="1303254" y="804921"/>
                                </a:lnTo>
                                <a:close/>
                              </a:path>
                              <a:path w="1303655" h="805180">
                                <a:moveTo>
                                  <a:pt x="0" y="79342"/>
                                </a:moveTo>
                                <a:lnTo>
                                  <a:pt x="0" y="0"/>
                                </a:lnTo>
                                <a:lnTo>
                                  <a:pt x="959755" y="0"/>
                                </a:lnTo>
                                <a:lnTo>
                                  <a:pt x="959755" y="77020"/>
                                </a:lnTo>
                              </a:path>
                            </a:pathLst>
                          </a:custGeom>
                          <a:ln w="11849">
                            <a:solidFill>
                              <a:srgbClr val="231F20"/>
                            </a:solidFill>
                            <a:prstDash val="solid"/>
                          </a:ln>
                        </wps:spPr>
                        <wps:bodyPr wrap="square" lIns="0" tIns="0" rIns="0" bIns="0" rtlCol="0">
                          <a:prstTxWarp prst="textNoShape">
                            <a:avLst/>
                          </a:prstTxWarp>
                          <a:noAutofit/>
                        </wps:bodyPr>
                      </wps:wsp>
                      <wps:wsp>
                        <wps:cNvPr id="1425" name="Graphic 1425"/>
                        <wps:cNvSpPr/>
                        <wps:spPr>
                          <a:xfrm>
                            <a:off x="1489631" y="2442848"/>
                            <a:ext cx="1036955" cy="97155"/>
                          </a:xfrm>
                          <a:custGeom>
                            <a:avLst/>
                            <a:gdLst/>
                            <a:ahLst/>
                            <a:cxnLst/>
                            <a:rect l="l" t="t" r="r" b="b"/>
                            <a:pathLst>
                              <a:path w="1036955" h="97155">
                                <a:moveTo>
                                  <a:pt x="77063" y="2324"/>
                                </a:moveTo>
                                <a:lnTo>
                                  <a:pt x="38519" y="24714"/>
                                </a:lnTo>
                                <a:lnTo>
                                  <a:pt x="0" y="2324"/>
                                </a:lnTo>
                                <a:lnTo>
                                  <a:pt x="38519" y="96647"/>
                                </a:lnTo>
                                <a:lnTo>
                                  <a:pt x="77063" y="2324"/>
                                </a:lnTo>
                                <a:close/>
                              </a:path>
                              <a:path w="1036955" h="97155">
                                <a:moveTo>
                                  <a:pt x="1036802" y="0"/>
                                </a:moveTo>
                                <a:lnTo>
                                  <a:pt x="998270" y="22390"/>
                                </a:lnTo>
                                <a:lnTo>
                                  <a:pt x="959739" y="0"/>
                                </a:lnTo>
                                <a:lnTo>
                                  <a:pt x="998270" y="94322"/>
                                </a:lnTo>
                                <a:lnTo>
                                  <a:pt x="1036802" y="0"/>
                                </a:lnTo>
                                <a:close/>
                              </a:path>
                            </a:pathLst>
                          </a:custGeom>
                          <a:solidFill>
                            <a:srgbClr val="231F20"/>
                          </a:solidFill>
                        </wps:spPr>
                        <wps:bodyPr wrap="square" lIns="0" tIns="0" rIns="0" bIns="0" rtlCol="0">
                          <a:prstTxWarp prst="textNoShape">
                            <a:avLst/>
                          </a:prstTxWarp>
                          <a:noAutofit/>
                        </wps:bodyPr>
                      </wps:wsp>
                      <wps:wsp>
                        <wps:cNvPr id="1426" name="Graphic 1426"/>
                        <wps:cNvSpPr/>
                        <wps:spPr>
                          <a:xfrm>
                            <a:off x="2008030" y="1815972"/>
                            <a:ext cx="1270" cy="574040"/>
                          </a:xfrm>
                          <a:custGeom>
                            <a:avLst/>
                            <a:gdLst/>
                            <a:ahLst/>
                            <a:cxnLst/>
                            <a:rect l="l" t="t" r="r" b="b"/>
                            <a:pathLst>
                              <a:path w="0" h="574040">
                                <a:moveTo>
                                  <a:pt x="0" y="495702"/>
                                </a:moveTo>
                                <a:lnTo>
                                  <a:pt x="0" y="573457"/>
                                </a:lnTo>
                              </a:path>
                              <a:path w="0" h="57404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27" name="Graphic 1427"/>
                        <wps:cNvSpPr/>
                        <wps:spPr>
                          <a:xfrm>
                            <a:off x="1969498" y="1921748"/>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428" name="Graphic 1428"/>
                        <wps:cNvSpPr/>
                        <wps:spPr>
                          <a:xfrm>
                            <a:off x="1289590" y="502966"/>
                            <a:ext cx="1270" cy="133350"/>
                          </a:xfrm>
                          <a:custGeom>
                            <a:avLst/>
                            <a:gdLst/>
                            <a:ahLst/>
                            <a:cxnLst/>
                            <a:rect l="l" t="t" r="r" b="b"/>
                            <a:pathLst>
                              <a:path w="0" h="13335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29" name="Graphic 1429"/>
                        <wps:cNvSpPr/>
                        <wps:spPr>
                          <a:xfrm>
                            <a:off x="1251058" y="608740"/>
                            <a:ext cx="77470" cy="94615"/>
                          </a:xfrm>
                          <a:custGeom>
                            <a:avLst/>
                            <a:gdLst/>
                            <a:ahLst/>
                            <a:cxnLst/>
                            <a:rect l="l" t="t" r="r" b="b"/>
                            <a:pathLst>
                              <a:path w="77470" h="94615">
                                <a:moveTo>
                                  <a:pt x="77050" y="0"/>
                                </a:moveTo>
                                <a:lnTo>
                                  <a:pt x="38531" y="22377"/>
                                </a:lnTo>
                                <a:lnTo>
                                  <a:pt x="0" y="0"/>
                                </a:lnTo>
                                <a:lnTo>
                                  <a:pt x="38531" y="94310"/>
                                </a:lnTo>
                                <a:lnTo>
                                  <a:pt x="77050" y="0"/>
                                </a:lnTo>
                                <a:close/>
                              </a:path>
                            </a:pathLst>
                          </a:custGeom>
                          <a:solidFill>
                            <a:srgbClr val="231F20"/>
                          </a:solidFill>
                        </wps:spPr>
                        <wps:bodyPr wrap="square" lIns="0" tIns="0" rIns="0" bIns="0" rtlCol="0">
                          <a:prstTxWarp prst="textNoShape">
                            <a:avLst/>
                          </a:prstTxWarp>
                          <a:noAutofit/>
                        </wps:bodyPr>
                      </wps:wsp>
                      <wps:wsp>
                        <wps:cNvPr id="1430" name="Graphic 1430"/>
                        <wps:cNvSpPr/>
                        <wps:spPr>
                          <a:xfrm>
                            <a:off x="572536" y="1815974"/>
                            <a:ext cx="1270" cy="133350"/>
                          </a:xfrm>
                          <a:custGeom>
                            <a:avLst/>
                            <a:gdLst/>
                            <a:ahLst/>
                            <a:cxnLst/>
                            <a:rect l="l" t="t" r="r" b="b"/>
                            <a:pathLst>
                              <a:path w="0" h="13335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31" name="Graphic 1431"/>
                        <wps:cNvSpPr/>
                        <wps:spPr>
                          <a:xfrm>
                            <a:off x="533992" y="1921748"/>
                            <a:ext cx="77470" cy="94615"/>
                          </a:xfrm>
                          <a:custGeom>
                            <a:avLst/>
                            <a:gdLst/>
                            <a:ahLst/>
                            <a:cxnLst/>
                            <a:rect l="l" t="t" r="r" b="b"/>
                            <a:pathLst>
                              <a:path w="77470" h="94615">
                                <a:moveTo>
                                  <a:pt x="77063" y="0"/>
                                </a:moveTo>
                                <a:lnTo>
                                  <a:pt x="38544" y="22390"/>
                                </a:lnTo>
                                <a:lnTo>
                                  <a:pt x="0" y="0"/>
                                </a:lnTo>
                                <a:lnTo>
                                  <a:pt x="38544" y="94322"/>
                                </a:lnTo>
                                <a:lnTo>
                                  <a:pt x="77063" y="0"/>
                                </a:lnTo>
                                <a:close/>
                              </a:path>
                            </a:pathLst>
                          </a:custGeom>
                          <a:solidFill>
                            <a:srgbClr val="231F20"/>
                          </a:solidFill>
                        </wps:spPr>
                        <wps:bodyPr wrap="square" lIns="0" tIns="0" rIns="0" bIns="0" rtlCol="0">
                          <a:prstTxWarp prst="textNoShape">
                            <a:avLst/>
                          </a:prstTxWarp>
                          <a:noAutofit/>
                        </wps:bodyPr>
                      </wps:wsp>
                      <wps:wsp>
                        <wps:cNvPr id="1432" name="Graphic 1432"/>
                        <wps:cNvSpPr/>
                        <wps:spPr>
                          <a:xfrm>
                            <a:off x="2487909" y="2714272"/>
                            <a:ext cx="1270" cy="133350"/>
                          </a:xfrm>
                          <a:custGeom>
                            <a:avLst/>
                            <a:gdLst/>
                            <a:ahLst/>
                            <a:cxnLst/>
                            <a:rect l="l" t="t" r="r" b="b"/>
                            <a:pathLst>
                              <a:path w="0" h="13335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33" name="Graphic 1433"/>
                        <wps:cNvSpPr/>
                        <wps:spPr>
                          <a:xfrm>
                            <a:off x="2449378" y="2820047"/>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434" name="Graphic 1434"/>
                        <wps:cNvSpPr/>
                        <wps:spPr>
                          <a:xfrm>
                            <a:off x="1528173" y="2714272"/>
                            <a:ext cx="1270" cy="133350"/>
                          </a:xfrm>
                          <a:custGeom>
                            <a:avLst/>
                            <a:gdLst/>
                            <a:ahLst/>
                            <a:cxnLst/>
                            <a:rect l="l" t="t" r="r" b="b"/>
                            <a:pathLst>
                              <a:path w="0" h="13335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35" name="Graphic 1435"/>
                        <wps:cNvSpPr/>
                        <wps:spPr>
                          <a:xfrm>
                            <a:off x="1489629" y="2820047"/>
                            <a:ext cx="77470" cy="94615"/>
                          </a:xfrm>
                          <a:custGeom>
                            <a:avLst/>
                            <a:gdLst/>
                            <a:ahLst/>
                            <a:cxnLst/>
                            <a:rect l="l" t="t" r="r" b="b"/>
                            <a:pathLst>
                              <a:path w="77470" h="94615">
                                <a:moveTo>
                                  <a:pt x="77063" y="0"/>
                                </a:moveTo>
                                <a:lnTo>
                                  <a:pt x="38544" y="22390"/>
                                </a:lnTo>
                                <a:lnTo>
                                  <a:pt x="0" y="0"/>
                                </a:lnTo>
                                <a:lnTo>
                                  <a:pt x="38544" y="94322"/>
                                </a:lnTo>
                                <a:lnTo>
                                  <a:pt x="77063" y="0"/>
                                </a:lnTo>
                                <a:close/>
                              </a:path>
                            </a:pathLst>
                          </a:custGeom>
                          <a:solidFill>
                            <a:srgbClr val="231F20"/>
                          </a:solidFill>
                        </wps:spPr>
                        <wps:bodyPr wrap="square" lIns="0" tIns="0" rIns="0" bIns="0" rtlCol="0">
                          <a:prstTxWarp prst="textNoShape">
                            <a:avLst/>
                          </a:prstTxWarp>
                          <a:noAutofit/>
                        </wps:bodyPr>
                      </wps:wsp>
                      <wps:wsp>
                        <wps:cNvPr id="1436" name="Graphic 1436"/>
                        <wps:cNvSpPr/>
                        <wps:spPr>
                          <a:xfrm>
                            <a:off x="909155" y="3931156"/>
                            <a:ext cx="278765" cy="177165"/>
                          </a:xfrm>
                          <a:custGeom>
                            <a:avLst/>
                            <a:gdLst/>
                            <a:ahLst/>
                            <a:cxnLst/>
                            <a:rect l="l" t="t" r="r" b="b"/>
                            <a:pathLst>
                              <a:path w="278765" h="177165">
                                <a:moveTo>
                                  <a:pt x="278307" y="0"/>
                                </a:moveTo>
                                <a:lnTo>
                                  <a:pt x="0" y="0"/>
                                </a:lnTo>
                                <a:lnTo>
                                  <a:pt x="0" y="177114"/>
                                </a:lnTo>
                                <a:lnTo>
                                  <a:pt x="278307" y="177114"/>
                                </a:lnTo>
                                <a:lnTo>
                                  <a:pt x="278307" y="0"/>
                                </a:lnTo>
                                <a:close/>
                              </a:path>
                            </a:pathLst>
                          </a:custGeom>
                          <a:solidFill>
                            <a:srgbClr val="D7EDDD"/>
                          </a:solidFill>
                        </wps:spPr>
                        <wps:bodyPr wrap="square" lIns="0" tIns="0" rIns="0" bIns="0" rtlCol="0">
                          <a:prstTxWarp prst="textNoShape">
                            <a:avLst/>
                          </a:prstTxWarp>
                          <a:noAutofit/>
                        </wps:bodyPr>
                      </wps:wsp>
                      <wps:wsp>
                        <wps:cNvPr id="1437" name="Graphic 1437"/>
                        <wps:cNvSpPr/>
                        <wps:spPr>
                          <a:xfrm>
                            <a:off x="909160" y="3931160"/>
                            <a:ext cx="278765" cy="177165"/>
                          </a:xfrm>
                          <a:custGeom>
                            <a:avLst/>
                            <a:gdLst/>
                            <a:ahLst/>
                            <a:cxnLst/>
                            <a:rect l="l" t="t" r="r" b="b"/>
                            <a:pathLst>
                              <a:path w="278765" h="177165">
                                <a:moveTo>
                                  <a:pt x="278303" y="177111"/>
                                </a:moveTo>
                                <a:lnTo>
                                  <a:pt x="0" y="177111"/>
                                </a:lnTo>
                                <a:lnTo>
                                  <a:pt x="0" y="0"/>
                                </a:lnTo>
                                <a:lnTo>
                                  <a:pt x="278303" y="0"/>
                                </a:lnTo>
                                <a:lnTo>
                                  <a:pt x="278303" y="177111"/>
                                </a:lnTo>
                                <a:close/>
                              </a:path>
                            </a:pathLst>
                          </a:custGeom>
                          <a:ln w="11849">
                            <a:solidFill>
                              <a:srgbClr val="231F20"/>
                            </a:solidFill>
                            <a:prstDash val="solid"/>
                          </a:ln>
                        </wps:spPr>
                        <wps:bodyPr wrap="square" lIns="0" tIns="0" rIns="0" bIns="0" rtlCol="0">
                          <a:prstTxWarp prst="textNoShape">
                            <a:avLst/>
                          </a:prstTxWarp>
                          <a:noAutofit/>
                        </wps:bodyPr>
                      </wps:wsp>
                      <wps:wsp>
                        <wps:cNvPr id="1438" name="Graphic 1438"/>
                        <wps:cNvSpPr/>
                        <wps:spPr>
                          <a:xfrm>
                            <a:off x="1868904" y="3931156"/>
                            <a:ext cx="278765" cy="177165"/>
                          </a:xfrm>
                          <a:custGeom>
                            <a:avLst/>
                            <a:gdLst/>
                            <a:ahLst/>
                            <a:cxnLst/>
                            <a:rect l="l" t="t" r="r" b="b"/>
                            <a:pathLst>
                              <a:path w="278765" h="177165">
                                <a:moveTo>
                                  <a:pt x="278295" y="0"/>
                                </a:moveTo>
                                <a:lnTo>
                                  <a:pt x="0" y="0"/>
                                </a:lnTo>
                                <a:lnTo>
                                  <a:pt x="0" y="177114"/>
                                </a:lnTo>
                                <a:lnTo>
                                  <a:pt x="278295" y="177114"/>
                                </a:lnTo>
                                <a:lnTo>
                                  <a:pt x="278295" y="0"/>
                                </a:lnTo>
                                <a:close/>
                              </a:path>
                            </a:pathLst>
                          </a:custGeom>
                          <a:solidFill>
                            <a:srgbClr val="D7EDDD"/>
                          </a:solidFill>
                        </wps:spPr>
                        <wps:bodyPr wrap="square" lIns="0" tIns="0" rIns="0" bIns="0" rtlCol="0">
                          <a:prstTxWarp prst="textNoShape">
                            <a:avLst/>
                          </a:prstTxWarp>
                          <a:noAutofit/>
                        </wps:bodyPr>
                      </wps:wsp>
                      <wps:wsp>
                        <wps:cNvPr id="1439" name="Graphic 1439"/>
                        <wps:cNvSpPr/>
                        <wps:spPr>
                          <a:xfrm>
                            <a:off x="1048301" y="3787203"/>
                            <a:ext cx="1099185" cy="321310"/>
                          </a:xfrm>
                          <a:custGeom>
                            <a:avLst/>
                            <a:gdLst/>
                            <a:ahLst/>
                            <a:cxnLst/>
                            <a:rect l="l" t="t" r="r" b="b"/>
                            <a:pathLst>
                              <a:path w="1099185" h="321310">
                                <a:moveTo>
                                  <a:pt x="1098901" y="321068"/>
                                </a:moveTo>
                                <a:lnTo>
                                  <a:pt x="820609" y="321068"/>
                                </a:lnTo>
                                <a:lnTo>
                                  <a:pt x="820609" y="143956"/>
                                </a:lnTo>
                                <a:lnTo>
                                  <a:pt x="1098901" y="143956"/>
                                </a:lnTo>
                                <a:lnTo>
                                  <a:pt x="1098901" y="321068"/>
                                </a:lnTo>
                                <a:close/>
                              </a:path>
                              <a:path w="1099185" h="321310">
                                <a:moveTo>
                                  <a:pt x="0" y="79354"/>
                                </a:moveTo>
                                <a:lnTo>
                                  <a:pt x="0" y="0"/>
                                </a:lnTo>
                                <a:lnTo>
                                  <a:pt x="959755" y="0"/>
                                </a:lnTo>
                                <a:lnTo>
                                  <a:pt x="959755" y="77020"/>
                                </a:lnTo>
                              </a:path>
                            </a:pathLst>
                          </a:custGeom>
                          <a:ln w="11849">
                            <a:solidFill>
                              <a:srgbClr val="231F20"/>
                            </a:solidFill>
                            <a:prstDash val="solid"/>
                          </a:ln>
                        </wps:spPr>
                        <wps:bodyPr wrap="square" lIns="0" tIns="0" rIns="0" bIns="0" rtlCol="0">
                          <a:prstTxWarp prst="textNoShape">
                            <a:avLst/>
                          </a:prstTxWarp>
                          <a:noAutofit/>
                        </wps:bodyPr>
                      </wps:wsp>
                      <wps:wsp>
                        <wps:cNvPr id="1440" name="Graphic 1440"/>
                        <wps:cNvSpPr/>
                        <wps:spPr>
                          <a:xfrm>
                            <a:off x="1009774" y="3836851"/>
                            <a:ext cx="1036955" cy="97155"/>
                          </a:xfrm>
                          <a:custGeom>
                            <a:avLst/>
                            <a:gdLst/>
                            <a:ahLst/>
                            <a:cxnLst/>
                            <a:rect l="l" t="t" r="r" b="b"/>
                            <a:pathLst>
                              <a:path w="1036955" h="97155">
                                <a:moveTo>
                                  <a:pt x="77063" y="2336"/>
                                </a:moveTo>
                                <a:lnTo>
                                  <a:pt x="38519" y="24726"/>
                                </a:lnTo>
                                <a:lnTo>
                                  <a:pt x="0" y="2336"/>
                                </a:lnTo>
                                <a:lnTo>
                                  <a:pt x="38519" y="96647"/>
                                </a:lnTo>
                                <a:lnTo>
                                  <a:pt x="77063" y="2336"/>
                                </a:lnTo>
                                <a:close/>
                              </a:path>
                              <a:path w="1036955" h="97155">
                                <a:moveTo>
                                  <a:pt x="1036802" y="0"/>
                                </a:moveTo>
                                <a:lnTo>
                                  <a:pt x="998270" y="22377"/>
                                </a:lnTo>
                                <a:lnTo>
                                  <a:pt x="959739" y="0"/>
                                </a:lnTo>
                                <a:lnTo>
                                  <a:pt x="998270" y="94310"/>
                                </a:lnTo>
                                <a:lnTo>
                                  <a:pt x="1036802" y="0"/>
                                </a:lnTo>
                                <a:close/>
                              </a:path>
                            </a:pathLst>
                          </a:custGeom>
                          <a:solidFill>
                            <a:srgbClr val="231F20"/>
                          </a:solidFill>
                        </wps:spPr>
                        <wps:bodyPr wrap="square" lIns="0" tIns="0" rIns="0" bIns="0" rtlCol="0">
                          <a:prstTxWarp prst="textNoShape">
                            <a:avLst/>
                          </a:prstTxWarp>
                          <a:noAutofit/>
                        </wps:bodyPr>
                      </wps:wsp>
                      <wps:wsp>
                        <wps:cNvPr id="1441" name="Graphic 1441"/>
                        <wps:cNvSpPr/>
                        <wps:spPr>
                          <a:xfrm>
                            <a:off x="1528172" y="3705668"/>
                            <a:ext cx="480059" cy="535940"/>
                          </a:xfrm>
                          <a:custGeom>
                            <a:avLst/>
                            <a:gdLst/>
                            <a:ahLst/>
                            <a:cxnLst/>
                            <a:rect l="l" t="t" r="r" b="b"/>
                            <a:pathLst>
                              <a:path w="480059" h="535940">
                                <a:moveTo>
                                  <a:pt x="0" y="0"/>
                                </a:moveTo>
                                <a:lnTo>
                                  <a:pt x="0" y="77766"/>
                                </a:lnTo>
                              </a:path>
                              <a:path w="480059" h="535940">
                                <a:moveTo>
                                  <a:pt x="479883" y="402602"/>
                                </a:moveTo>
                                <a:lnTo>
                                  <a:pt x="479883" y="535765"/>
                                </a:lnTo>
                              </a:path>
                            </a:pathLst>
                          </a:custGeom>
                          <a:ln w="11849">
                            <a:solidFill>
                              <a:srgbClr val="231F20"/>
                            </a:solidFill>
                            <a:prstDash val="solid"/>
                          </a:ln>
                        </wps:spPr>
                        <wps:bodyPr wrap="square" lIns="0" tIns="0" rIns="0" bIns="0" rtlCol="0">
                          <a:prstTxWarp prst="textNoShape">
                            <a:avLst/>
                          </a:prstTxWarp>
                          <a:noAutofit/>
                        </wps:bodyPr>
                      </wps:wsp>
                      <wps:wsp>
                        <wps:cNvPr id="1442" name="Graphic 1442"/>
                        <wps:cNvSpPr/>
                        <wps:spPr>
                          <a:xfrm>
                            <a:off x="1969522" y="4214055"/>
                            <a:ext cx="77470" cy="94615"/>
                          </a:xfrm>
                          <a:custGeom>
                            <a:avLst/>
                            <a:gdLst/>
                            <a:ahLst/>
                            <a:cxnLst/>
                            <a:rect l="l" t="t" r="r" b="b"/>
                            <a:pathLst>
                              <a:path w="77470" h="94615">
                                <a:moveTo>
                                  <a:pt x="77063" y="0"/>
                                </a:moveTo>
                                <a:lnTo>
                                  <a:pt x="38531" y="22377"/>
                                </a:lnTo>
                                <a:lnTo>
                                  <a:pt x="0" y="0"/>
                                </a:lnTo>
                                <a:lnTo>
                                  <a:pt x="38531" y="94310"/>
                                </a:lnTo>
                                <a:lnTo>
                                  <a:pt x="77063" y="0"/>
                                </a:lnTo>
                                <a:close/>
                              </a:path>
                            </a:pathLst>
                          </a:custGeom>
                          <a:solidFill>
                            <a:srgbClr val="231F20"/>
                          </a:solidFill>
                        </wps:spPr>
                        <wps:bodyPr wrap="square" lIns="0" tIns="0" rIns="0" bIns="0" rtlCol="0">
                          <a:prstTxWarp prst="textNoShape">
                            <a:avLst/>
                          </a:prstTxWarp>
                          <a:noAutofit/>
                        </wps:bodyPr>
                      </wps:wsp>
                      <wps:wsp>
                        <wps:cNvPr id="1443" name="Graphic 1443"/>
                        <wps:cNvSpPr/>
                        <wps:spPr>
                          <a:xfrm>
                            <a:off x="1048317" y="4108270"/>
                            <a:ext cx="1270" cy="133350"/>
                          </a:xfrm>
                          <a:custGeom>
                            <a:avLst/>
                            <a:gdLst/>
                            <a:ahLst/>
                            <a:cxnLst/>
                            <a:rect l="l" t="t" r="r" b="b"/>
                            <a:pathLst>
                              <a:path w="0" h="13335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44" name="Graphic 1444"/>
                        <wps:cNvSpPr/>
                        <wps:spPr>
                          <a:xfrm>
                            <a:off x="1009786" y="4214055"/>
                            <a:ext cx="77470" cy="94615"/>
                          </a:xfrm>
                          <a:custGeom>
                            <a:avLst/>
                            <a:gdLst/>
                            <a:ahLst/>
                            <a:cxnLst/>
                            <a:rect l="l" t="t" r="r" b="b"/>
                            <a:pathLst>
                              <a:path w="77470" h="94615">
                                <a:moveTo>
                                  <a:pt x="77063" y="0"/>
                                </a:moveTo>
                                <a:lnTo>
                                  <a:pt x="38531" y="22377"/>
                                </a:lnTo>
                                <a:lnTo>
                                  <a:pt x="0" y="0"/>
                                </a:lnTo>
                                <a:lnTo>
                                  <a:pt x="38531" y="94310"/>
                                </a:lnTo>
                                <a:lnTo>
                                  <a:pt x="77063" y="0"/>
                                </a:lnTo>
                                <a:close/>
                              </a:path>
                            </a:pathLst>
                          </a:custGeom>
                          <a:solidFill>
                            <a:srgbClr val="231F20"/>
                          </a:solidFill>
                        </wps:spPr>
                        <wps:bodyPr wrap="square" lIns="0" tIns="0" rIns="0" bIns="0" rtlCol="0">
                          <a:prstTxWarp prst="textNoShape">
                            <a:avLst/>
                          </a:prstTxWarp>
                          <a:noAutofit/>
                        </wps:bodyPr>
                      </wps:wsp>
                      <wps:wsp>
                        <wps:cNvPr id="1445" name="Graphic 1445"/>
                        <wps:cNvSpPr/>
                        <wps:spPr>
                          <a:xfrm>
                            <a:off x="1270531" y="5325140"/>
                            <a:ext cx="278765" cy="177165"/>
                          </a:xfrm>
                          <a:custGeom>
                            <a:avLst/>
                            <a:gdLst/>
                            <a:ahLst/>
                            <a:cxnLst/>
                            <a:rect l="l" t="t" r="r" b="b"/>
                            <a:pathLst>
                              <a:path w="278765" h="177165">
                                <a:moveTo>
                                  <a:pt x="278307" y="0"/>
                                </a:moveTo>
                                <a:lnTo>
                                  <a:pt x="0" y="0"/>
                                </a:lnTo>
                                <a:lnTo>
                                  <a:pt x="0" y="177114"/>
                                </a:lnTo>
                                <a:lnTo>
                                  <a:pt x="278307" y="177114"/>
                                </a:lnTo>
                                <a:lnTo>
                                  <a:pt x="278307" y="0"/>
                                </a:lnTo>
                                <a:close/>
                              </a:path>
                            </a:pathLst>
                          </a:custGeom>
                          <a:solidFill>
                            <a:srgbClr val="D7EDDD"/>
                          </a:solidFill>
                        </wps:spPr>
                        <wps:bodyPr wrap="square" lIns="0" tIns="0" rIns="0" bIns="0" rtlCol="0">
                          <a:prstTxWarp prst="textNoShape">
                            <a:avLst/>
                          </a:prstTxWarp>
                          <a:noAutofit/>
                        </wps:bodyPr>
                      </wps:wsp>
                      <wps:wsp>
                        <wps:cNvPr id="1446" name="Graphic 1446"/>
                        <wps:cNvSpPr/>
                        <wps:spPr>
                          <a:xfrm>
                            <a:off x="1270536" y="5325145"/>
                            <a:ext cx="278765" cy="177165"/>
                          </a:xfrm>
                          <a:custGeom>
                            <a:avLst/>
                            <a:gdLst/>
                            <a:ahLst/>
                            <a:cxnLst/>
                            <a:rect l="l" t="t" r="r" b="b"/>
                            <a:pathLst>
                              <a:path w="278765" h="177165">
                                <a:moveTo>
                                  <a:pt x="278303" y="177111"/>
                                </a:moveTo>
                                <a:lnTo>
                                  <a:pt x="0" y="177111"/>
                                </a:lnTo>
                                <a:lnTo>
                                  <a:pt x="0" y="0"/>
                                </a:lnTo>
                                <a:lnTo>
                                  <a:pt x="278303" y="0"/>
                                </a:lnTo>
                                <a:lnTo>
                                  <a:pt x="278303" y="177111"/>
                                </a:lnTo>
                                <a:close/>
                              </a:path>
                            </a:pathLst>
                          </a:custGeom>
                          <a:ln w="11849">
                            <a:solidFill>
                              <a:srgbClr val="231F20"/>
                            </a:solidFill>
                            <a:prstDash val="solid"/>
                          </a:ln>
                        </wps:spPr>
                        <wps:bodyPr wrap="square" lIns="0" tIns="0" rIns="0" bIns="0" rtlCol="0">
                          <a:prstTxWarp prst="textNoShape">
                            <a:avLst/>
                          </a:prstTxWarp>
                          <a:noAutofit/>
                        </wps:bodyPr>
                      </wps:wsp>
                      <wps:wsp>
                        <wps:cNvPr id="1447" name="Graphic 1447"/>
                        <wps:cNvSpPr/>
                        <wps:spPr>
                          <a:xfrm>
                            <a:off x="2467263" y="5325140"/>
                            <a:ext cx="278765" cy="177165"/>
                          </a:xfrm>
                          <a:custGeom>
                            <a:avLst/>
                            <a:gdLst/>
                            <a:ahLst/>
                            <a:cxnLst/>
                            <a:rect l="l" t="t" r="r" b="b"/>
                            <a:pathLst>
                              <a:path w="278765" h="177165">
                                <a:moveTo>
                                  <a:pt x="278295" y="0"/>
                                </a:moveTo>
                                <a:lnTo>
                                  <a:pt x="0" y="0"/>
                                </a:lnTo>
                                <a:lnTo>
                                  <a:pt x="0" y="177114"/>
                                </a:lnTo>
                                <a:lnTo>
                                  <a:pt x="278295" y="177114"/>
                                </a:lnTo>
                                <a:lnTo>
                                  <a:pt x="278295" y="0"/>
                                </a:lnTo>
                                <a:close/>
                              </a:path>
                            </a:pathLst>
                          </a:custGeom>
                          <a:solidFill>
                            <a:srgbClr val="D7EDDD"/>
                          </a:solidFill>
                        </wps:spPr>
                        <wps:bodyPr wrap="square" lIns="0" tIns="0" rIns="0" bIns="0" rtlCol="0">
                          <a:prstTxWarp prst="textNoShape">
                            <a:avLst/>
                          </a:prstTxWarp>
                          <a:noAutofit/>
                        </wps:bodyPr>
                      </wps:wsp>
                      <wps:wsp>
                        <wps:cNvPr id="1448" name="Graphic 1448"/>
                        <wps:cNvSpPr/>
                        <wps:spPr>
                          <a:xfrm>
                            <a:off x="1409676" y="5181200"/>
                            <a:ext cx="1336040" cy="321310"/>
                          </a:xfrm>
                          <a:custGeom>
                            <a:avLst/>
                            <a:gdLst/>
                            <a:ahLst/>
                            <a:cxnLst/>
                            <a:rect l="l" t="t" r="r" b="b"/>
                            <a:pathLst>
                              <a:path w="1336040" h="321310">
                                <a:moveTo>
                                  <a:pt x="1335887" y="321056"/>
                                </a:moveTo>
                                <a:lnTo>
                                  <a:pt x="1057595" y="321056"/>
                                </a:lnTo>
                                <a:lnTo>
                                  <a:pt x="1057595" y="143945"/>
                                </a:lnTo>
                                <a:lnTo>
                                  <a:pt x="1335887" y="143945"/>
                                </a:lnTo>
                                <a:lnTo>
                                  <a:pt x="1335887" y="321056"/>
                                </a:lnTo>
                                <a:close/>
                              </a:path>
                              <a:path w="1336040" h="321310">
                                <a:moveTo>
                                  <a:pt x="0" y="79354"/>
                                </a:moveTo>
                                <a:lnTo>
                                  <a:pt x="0" y="0"/>
                                </a:lnTo>
                                <a:lnTo>
                                  <a:pt x="1196741" y="0"/>
                                </a:lnTo>
                                <a:lnTo>
                                  <a:pt x="1196741" y="77020"/>
                                </a:lnTo>
                              </a:path>
                            </a:pathLst>
                          </a:custGeom>
                          <a:ln w="11849">
                            <a:solidFill>
                              <a:srgbClr val="231F20"/>
                            </a:solidFill>
                            <a:prstDash val="solid"/>
                          </a:ln>
                        </wps:spPr>
                        <wps:bodyPr wrap="square" lIns="0" tIns="0" rIns="0" bIns="0" rtlCol="0">
                          <a:prstTxWarp prst="textNoShape">
                            <a:avLst/>
                          </a:prstTxWarp>
                          <a:noAutofit/>
                        </wps:bodyPr>
                      </wps:wsp>
                      <wps:wsp>
                        <wps:cNvPr id="1449" name="Graphic 1449"/>
                        <wps:cNvSpPr/>
                        <wps:spPr>
                          <a:xfrm>
                            <a:off x="1371153" y="5230841"/>
                            <a:ext cx="1273810" cy="97155"/>
                          </a:xfrm>
                          <a:custGeom>
                            <a:avLst/>
                            <a:gdLst/>
                            <a:ahLst/>
                            <a:cxnLst/>
                            <a:rect l="l" t="t" r="r" b="b"/>
                            <a:pathLst>
                              <a:path w="1273810" h="97155">
                                <a:moveTo>
                                  <a:pt x="77063" y="2336"/>
                                </a:moveTo>
                                <a:lnTo>
                                  <a:pt x="38519" y="24726"/>
                                </a:lnTo>
                                <a:lnTo>
                                  <a:pt x="0" y="2336"/>
                                </a:lnTo>
                                <a:lnTo>
                                  <a:pt x="38519" y="96647"/>
                                </a:lnTo>
                                <a:lnTo>
                                  <a:pt x="77063" y="2336"/>
                                </a:lnTo>
                                <a:close/>
                              </a:path>
                              <a:path w="1273810" h="97155">
                                <a:moveTo>
                                  <a:pt x="1273784" y="0"/>
                                </a:moveTo>
                                <a:lnTo>
                                  <a:pt x="1235252" y="22390"/>
                                </a:lnTo>
                                <a:lnTo>
                                  <a:pt x="1196721" y="0"/>
                                </a:lnTo>
                                <a:lnTo>
                                  <a:pt x="1235252" y="94310"/>
                                </a:lnTo>
                                <a:lnTo>
                                  <a:pt x="1273784" y="0"/>
                                </a:lnTo>
                                <a:close/>
                              </a:path>
                            </a:pathLst>
                          </a:custGeom>
                          <a:solidFill>
                            <a:srgbClr val="231F20"/>
                          </a:solidFill>
                        </wps:spPr>
                        <wps:bodyPr wrap="square" lIns="0" tIns="0" rIns="0" bIns="0" rtlCol="0">
                          <a:prstTxWarp prst="textNoShape">
                            <a:avLst/>
                          </a:prstTxWarp>
                          <a:noAutofit/>
                        </wps:bodyPr>
                      </wps:wsp>
                      <wps:wsp>
                        <wps:cNvPr id="1450" name="Graphic 1450"/>
                        <wps:cNvSpPr/>
                        <wps:spPr>
                          <a:xfrm>
                            <a:off x="2008039" y="5099666"/>
                            <a:ext cx="598805" cy="535940"/>
                          </a:xfrm>
                          <a:custGeom>
                            <a:avLst/>
                            <a:gdLst/>
                            <a:ahLst/>
                            <a:cxnLst/>
                            <a:rect l="l" t="t" r="r" b="b"/>
                            <a:pathLst>
                              <a:path w="598805" h="535940">
                                <a:moveTo>
                                  <a:pt x="0" y="0"/>
                                </a:moveTo>
                                <a:lnTo>
                                  <a:pt x="0" y="77754"/>
                                </a:lnTo>
                              </a:path>
                              <a:path w="598805" h="535940">
                                <a:moveTo>
                                  <a:pt x="598376" y="402591"/>
                                </a:moveTo>
                                <a:lnTo>
                                  <a:pt x="598376" y="535765"/>
                                </a:lnTo>
                              </a:path>
                            </a:pathLst>
                          </a:custGeom>
                          <a:ln w="11849">
                            <a:solidFill>
                              <a:srgbClr val="231F20"/>
                            </a:solidFill>
                            <a:prstDash val="solid"/>
                          </a:ln>
                        </wps:spPr>
                        <wps:bodyPr wrap="square" lIns="0" tIns="0" rIns="0" bIns="0" rtlCol="0">
                          <a:prstTxWarp prst="textNoShape">
                            <a:avLst/>
                          </a:prstTxWarp>
                          <a:noAutofit/>
                        </wps:bodyPr>
                      </wps:wsp>
                      <wps:wsp>
                        <wps:cNvPr id="1451" name="Graphic 1451"/>
                        <wps:cNvSpPr/>
                        <wps:spPr>
                          <a:xfrm>
                            <a:off x="2567881" y="5608042"/>
                            <a:ext cx="77470" cy="94615"/>
                          </a:xfrm>
                          <a:custGeom>
                            <a:avLst/>
                            <a:gdLst/>
                            <a:ahLst/>
                            <a:cxnLst/>
                            <a:rect l="l" t="t" r="r" b="b"/>
                            <a:pathLst>
                              <a:path w="77470" h="94615">
                                <a:moveTo>
                                  <a:pt x="77063" y="0"/>
                                </a:moveTo>
                                <a:lnTo>
                                  <a:pt x="38531" y="22390"/>
                                </a:lnTo>
                                <a:lnTo>
                                  <a:pt x="0" y="0"/>
                                </a:lnTo>
                                <a:lnTo>
                                  <a:pt x="38531" y="94310"/>
                                </a:lnTo>
                                <a:lnTo>
                                  <a:pt x="77063" y="0"/>
                                </a:lnTo>
                                <a:close/>
                              </a:path>
                            </a:pathLst>
                          </a:custGeom>
                          <a:solidFill>
                            <a:srgbClr val="231F20"/>
                          </a:solidFill>
                        </wps:spPr>
                        <wps:bodyPr wrap="square" lIns="0" tIns="0" rIns="0" bIns="0" rtlCol="0">
                          <a:prstTxWarp prst="textNoShape">
                            <a:avLst/>
                          </a:prstTxWarp>
                          <a:noAutofit/>
                        </wps:bodyPr>
                      </wps:wsp>
                      <wps:wsp>
                        <wps:cNvPr id="1452" name="Graphic 1452"/>
                        <wps:cNvSpPr/>
                        <wps:spPr>
                          <a:xfrm>
                            <a:off x="1409693" y="5502255"/>
                            <a:ext cx="1270" cy="133350"/>
                          </a:xfrm>
                          <a:custGeom>
                            <a:avLst/>
                            <a:gdLst/>
                            <a:ahLst/>
                            <a:cxnLst/>
                            <a:rect l="l" t="t" r="r" b="b"/>
                            <a:pathLst>
                              <a:path w="0" h="133350">
                                <a:moveTo>
                                  <a:pt x="0" y="0"/>
                                </a:moveTo>
                                <a:lnTo>
                                  <a:pt x="0" y="133174"/>
                                </a:lnTo>
                              </a:path>
                            </a:pathLst>
                          </a:custGeom>
                          <a:ln w="11849">
                            <a:solidFill>
                              <a:srgbClr val="231F20"/>
                            </a:solidFill>
                            <a:prstDash val="solid"/>
                          </a:ln>
                        </wps:spPr>
                        <wps:bodyPr wrap="square" lIns="0" tIns="0" rIns="0" bIns="0" rtlCol="0">
                          <a:prstTxWarp prst="textNoShape">
                            <a:avLst/>
                          </a:prstTxWarp>
                          <a:noAutofit/>
                        </wps:bodyPr>
                      </wps:wsp>
                      <wps:wsp>
                        <wps:cNvPr id="1453" name="Graphic 1453"/>
                        <wps:cNvSpPr/>
                        <wps:spPr>
                          <a:xfrm>
                            <a:off x="1371149" y="5608042"/>
                            <a:ext cx="77470" cy="94615"/>
                          </a:xfrm>
                          <a:custGeom>
                            <a:avLst/>
                            <a:gdLst/>
                            <a:ahLst/>
                            <a:cxnLst/>
                            <a:rect l="l" t="t" r="r" b="b"/>
                            <a:pathLst>
                              <a:path w="77470" h="94615">
                                <a:moveTo>
                                  <a:pt x="77063" y="0"/>
                                </a:moveTo>
                                <a:lnTo>
                                  <a:pt x="38544" y="22390"/>
                                </a:lnTo>
                                <a:lnTo>
                                  <a:pt x="0" y="0"/>
                                </a:lnTo>
                                <a:lnTo>
                                  <a:pt x="38544" y="94310"/>
                                </a:lnTo>
                                <a:lnTo>
                                  <a:pt x="77063" y="0"/>
                                </a:lnTo>
                                <a:close/>
                              </a:path>
                            </a:pathLst>
                          </a:custGeom>
                          <a:solidFill>
                            <a:srgbClr val="231F20"/>
                          </a:solidFill>
                        </wps:spPr>
                        <wps:bodyPr wrap="square" lIns="0" tIns="0" rIns="0" bIns="0" rtlCol="0">
                          <a:prstTxWarp prst="textNoShape">
                            <a:avLst/>
                          </a:prstTxWarp>
                          <a:noAutofit/>
                        </wps:bodyPr>
                      </wps:wsp>
                      <wps:wsp>
                        <wps:cNvPr id="1454" name="Graphic 1454"/>
                        <wps:cNvSpPr/>
                        <wps:spPr>
                          <a:xfrm>
                            <a:off x="1528173" y="3091478"/>
                            <a:ext cx="1270" cy="133350"/>
                          </a:xfrm>
                          <a:custGeom>
                            <a:avLst/>
                            <a:gdLst/>
                            <a:ahLst/>
                            <a:cxnLst/>
                            <a:rect l="l" t="t" r="r" b="b"/>
                            <a:pathLst>
                              <a:path w="0" h="133350">
                                <a:moveTo>
                                  <a:pt x="0" y="0"/>
                                </a:moveTo>
                                <a:lnTo>
                                  <a:pt x="0" y="133174"/>
                                </a:lnTo>
                              </a:path>
                            </a:pathLst>
                          </a:custGeom>
                          <a:ln w="11849">
                            <a:solidFill>
                              <a:srgbClr val="231F20"/>
                            </a:solidFill>
                            <a:prstDash val="solid"/>
                          </a:ln>
                        </wps:spPr>
                        <wps:bodyPr wrap="square" lIns="0" tIns="0" rIns="0" bIns="0" rtlCol="0">
                          <a:prstTxWarp prst="textNoShape">
                            <a:avLst/>
                          </a:prstTxWarp>
                          <a:noAutofit/>
                        </wps:bodyPr>
                      </wps:wsp>
                      <wps:wsp>
                        <wps:cNvPr id="1455" name="Graphic 1455"/>
                        <wps:cNvSpPr/>
                        <wps:spPr>
                          <a:xfrm>
                            <a:off x="1489629" y="3197253"/>
                            <a:ext cx="77470" cy="94615"/>
                          </a:xfrm>
                          <a:custGeom>
                            <a:avLst/>
                            <a:gdLst/>
                            <a:ahLst/>
                            <a:cxnLst/>
                            <a:rect l="l" t="t" r="r" b="b"/>
                            <a:pathLst>
                              <a:path w="77470" h="94615">
                                <a:moveTo>
                                  <a:pt x="77063" y="0"/>
                                </a:moveTo>
                                <a:lnTo>
                                  <a:pt x="38544" y="22390"/>
                                </a:lnTo>
                                <a:lnTo>
                                  <a:pt x="0" y="0"/>
                                </a:lnTo>
                                <a:lnTo>
                                  <a:pt x="38544" y="94322"/>
                                </a:lnTo>
                                <a:lnTo>
                                  <a:pt x="77063" y="0"/>
                                </a:lnTo>
                                <a:close/>
                              </a:path>
                            </a:pathLst>
                          </a:custGeom>
                          <a:solidFill>
                            <a:srgbClr val="231F20"/>
                          </a:solidFill>
                        </wps:spPr>
                        <wps:bodyPr wrap="square" lIns="0" tIns="0" rIns="0" bIns="0" rtlCol="0">
                          <a:prstTxWarp prst="textNoShape">
                            <a:avLst/>
                          </a:prstTxWarp>
                          <a:noAutofit/>
                        </wps:bodyPr>
                      </wps:wsp>
                      <wps:wsp>
                        <wps:cNvPr id="1456" name="Graphic 1456"/>
                        <wps:cNvSpPr/>
                        <wps:spPr>
                          <a:xfrm>
                            <a:off x="2008054" y="4603968"/>
                            <a:ext cx="1270" cy="133350"/>
                          </a:xfrm>
                          <a:custGeom>
                            <a:avLst/>
                            <a:gdLst/>
                            <a:ahLst/>
                            <a:cxnLst/>
                            <a:rect l="l" t="t" r="r" b="b"/>
                            <a:pathLst>
                              <a:path w="0" h="133350">
                                <a:moveTo>
                                  <a:pt x="0" y="0"/>
                                </a:moveTo>
                                <a:lnTo>
                                  <a:pt x="0" y="133162"/>
                                </a:lnTo>
                              </a:path>
                            </a:pathLst>
                          </a:custGeom>
                          <a:ln w="11849">
                            <a:solidFill>
                              <a:srgbClr val="231F20"/>
                            </a:solidFill>
                            <a:prstDash val="solid"/>
                          </a:ln>
                        </wps:spPr>
                        <wps:bodyPr wrap="square" lIns="0" tIns="0" rIns="0" bIns="0" rtlCol="0">
                          <a:prstTxWarp prst="textNoShape">
                            <a:avLst/>
                          </a:prstTxWarp>
                          <a:noAutofit/>
                        </wps:bodyPr>
                      </wps:wsp>
                      <wps:wsp>
                        <wps:cNvPr id="1457" name="Graphic 1457"/>
                        <wps:cNvSpPr/>
                        <wps:spPr>
                          <a:xfrm>
                            <a:off x="1969522" y="4709742"/>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458" name="Textbox 1458"/>
                        <wps:cNvSpPr txBox="1"/>
                        <wps:spPr>
                          <a:xfrm>
                            <a:off x="435518" y="5924"/>
                            <a:ext cx="1708150" cy="497205"/>
                          </a:xfrm>
                          <a:prstGeom prst="rect">
                            <a:avLst/>
                          </a:prstGeom>
                          <a:solidFill>
                            <a:srgbClr val="D7EDDD"/>
                          </a:solidFill>
                          <a:ln w="11849">
                            <a:solidFill>
                              <a:srgbClr val="231F20"/>
                            </a:solidFill>
                            <a:prstDash val="solid"/>
                          </a:ln>
                        </wps:spPr>
                        <wps:txbx>
                          <w:txbxContent>
                            <w:p>
                              <w:pPr>
                                <w:spacing w:line="232" w:lineRule="auto" w:before="38"/>
                                <w:ind w:left="453" w:right="448" w:firstLine="14"/>
                                <w:jc w:val="center"/>
                                <w:rPr>
                                  <w:rFonts w:ascii="Arial MT"/>
                                  <w:color w:val="000000"/>
                                  <w:sz w:val="15"/>
                                </w:rPr>
                              </w:pPr>
                              <w:r>
                                <w:rPr>
                                  <w:rFonts w:ascii="Arial MT"/>
                                  <w:color w:val="231F20"/>
                                  <w:spacing w:val="-2"/>
                                  <w:sz w:val="15"/>
                                </w:rPr>
                                <w:t>Fever</w:t>
                              </w:r>
                              <w:r>
                                <w:rPr>
                                  <w:rFonts w:ascii="Arial MT"/>
                                  <w:color w:val="231F20"/>
                                  <w:sz w:val="15"/>
                                </w:rPr>
                                <w:t> </w:t>
                              </w:r>
                              <w:r>
                                <w:rPr>
                                  <w:rFonts w:ascii="Arial MT"/>
                                  <w:color w:val="231F20"/>
                                  <w:spacing w:val="-2"/>
                                  <w:sz w:val="15"/>
                                </w:rPr>
                                <w:t>Lethargy/malaise/irritability</w:t>
                              </w:r>
                              <w:r>
                                <w:rPr>
                                  <w:rFonts w:ascii="Arial MT"/>
                                  <w:color w:val="231F20"/>
                                  <w:sz w:val="15"/>
                                </w:rPr>
                                <w:t> </w:t>
                              </w:r>
                              <w:r>
                                <w:rPr>
                                  <w:rFonts w:ascii="Arial MT"/>
                                  <w:color w:val="231F20"/>
                                  <w:spacing w:val="-2"/>
                                  <w:sz w:val="15"/>
                                </w:rPr>
                                <w:t>Otalgia</w:t>
                              </w:r>
                            </w:p>
                            <w:p>
                              <w:pPr>
                                <w:spacing w:line="170" w:lineRule="exact" w:before="0"/>
                                <w:ind w:left="5" w:right="0" w:firstLine="0"/>
                                <w:jc w:val="center"/>
                                <w:rPr>
                                  <w:rFonts w:ascii="Arial MT"/>
                                  <w:color w:val="000000"/>
                                  <w:sz w:val="15"/>
                                </w:rPr>
                              </w:pPr>
                              <w:r>
                                <w:rPr>
                                  <w:rFonts w:ascii="Arial MT"/>
                                  <w:color w:val="231F20"/>
                                  <w:sz w:val="15"/>
                                </w:rPr>
                                <w:t>Bulging</w:t>
                              </w:r>
                              <w:r>
                                <w:rPr>
                                  <w:rFonts w:ascii="Arial MT"/>
                                  <w:color w:val="231F20"/>
                                  <w:spacing w:val="-9"/>
                                  <w:sz w:val="15"/>
                                </w:rPr>
                                <w:t> </w:t>
                              </w:r>
                              <w:r>
                                <w:rPr>
                                  <w:rFonts w:ascii="Arial MT"/>
                                  <w:color w:val="231F20"/>
                                  <w:sz w:val="15"/>
                                </w:rPr>
                                <w:t>or</w:t>
                              </w:r>
                              <w:r>
                                <w:rPr>
                                  <w:rFonts w:ascii="Arial MT"/>
                                  <w:color w:val="231F20"/>
                                  <w:spacing w:val="-8"/>
                                  <w:sz w:val="15"/>
                                </w:rPr>
                                <w:t> </w:t>
                              </w:r>
                              <w:r>
                                <w:rPr>
                                  <w:rFonts w:ascii="Arial MT"/>
                                  <w:color w:val="231F20"/>
                                  <w:sz w:val="15"/>
                                </w:rPr>
                                <w:t>erythematous</w:t>
                              </w:r>
                              <w:r>
                                <w:rPr>
                                  <w:rFonts w:ascii="Arial MT"/>
                                  <w:color w:val="231F20"/>
                                  <w:spacing w:val="-10"/>
                                  <w:sz w:val="15"/>
                                </w:rPr>
                                <w:t> </w:t>
                              </w:r>
                              <w:r>
                                <w:rPr>
                                  <w:rFonts w:ascii="Arial MT"/>
                                  <w:color w:val="231F20"/>
                                  <w:spacing w:val="-5"/>
                                  <w:sz w:val="15"/>
                                </w:rPr>
                                <w:t>TM</w:t>
                              </w:r>
                            </w:p>
                          </w:txbxContent>
                        </wps:txbx>
                        <wps:bodyPr wrap="square" lIns="0" tIns="0" rIns="0" bIns="0" rtlCol="0">
                          <a:noAutofit/>
                        </wps:bodyPr>
                      </wps:wsp>
                      <wps:wsp>
                        <wps:cNvPr id="1459" name="Textbox 1459"/>
                        <wps:cNvSpPr txBox="1"/>
                        <wps:spPr>
                          <a:xfrm>
                            <a:off x="718824" y="4356072"/>
                            <a:ext cx="1720214" cy="201930"/>
                          </a:xfrm>
                          <a:prstGeom prst="rect">
                            <a:avLst/>
                          </a:prstGeom>
                        </wps:spPr>
                        <wps:txbx>
                          <w:txbxContent>
                            <w:p>
                              <w:pPr>
                                <w:tabs>
                                  <w:tab w:pos="1733" w:val="left" w:leader="none"/>
                                </w:tabs>
                                <w:spacing w:line="144" w:lineRule="exact" w:before="0"/>
                                <w:ind w:left="0" w:right="0" w:firstLine="0"/>
                                <w:jc w:val="left"/>
                                <w:rPr>
                                  <w:rFonts w:ascii="Arial MT"/>
                                  <w:sz w:val="15"/>
                                </w:rPr>
                              </w:pPr>
                              <w:r>
                                <w:rPr>
                                  <w:rFonts w:ascii="Arial MT"/>
                                  <w:color w:val="231F20"/>
                                  <w:spacing w:val="-2"/>
                                  <w:sz w:val="15"/>
                                </w:rPr>
                                <w:t>Otolaryngology</w:t>
                              </w:r>
                              <w:r>
                                <w:rPr>
                                  <w:rFonts w:ascii="Arial MT"/>
                                  <w:color w:val="231F20"/>
                                  <w:sz w:val="15"/>
                                </w:rPr>
                                <w:tab/>
                                <w:t>Admit</w:t>
                              </w:r>
                              <w:r>
                                <w:rPr>
                                  <w:rFonts w:ascii="Arial MT"/>
                                  <w:color w:val="231F20"/>
                                  <w:spacing w:val="-5"/>
                                  <w:sz w:val="15"/>
                                </w:rPr>
                                <w:t> for</w:t>
                              </w:r>
                            </w:p>
                            <w:p>
                              <w:pPr>
                                <w:tabs>
                                  <w:tab w:pos="1376" w:val="left" w:leader="none"/>
                                </w:tabs>
                                <w:spacing w:line="170" w:lineRule="exact" w:before="0"/>
                                <w:ind w:left="267" w:right="0" w:firstLine="0"/>
                                <w:jc w:val="left"/>
                                <w:rPr>
                                  <w:rFonts w:ascii="Arial MT"/>
                                  <w:sz w:val="15"/>
                                </w:rPr>
                              </w:pPr>
                              <w:r>
                                <w:rPr>
                                  <w:rFonts w:ascii="Arial MT"/>
                                  <w:color w:val="231F20"/>
                                  <w:spacing w:val="-2"/>
                                  <w:sz w:val="15"/>
                                </w:rPr>
                                <w:t>consult</w:t>
                              </w:r>
                              <w:r>
                                <w:rPr>
                                  <w:rFonts w:ascii="Arial MT"/>
                                  <w:color w:val="231F20"/>
                                  <w:sz w:val="15"/>
                                </w:rPr>
                                <w:tab/>
                                <w:t>IV</w:t>
                              </w:r>
                              <w:r>
                                <w:rPr>
                                  <w:rFonts w:ascii="Arial MT"/>
                                  <w:color w:val="231F20"/>
                                  <w:spacing w:val="-5"/>
                                  <w:sz w:val="15"/>
                                </w:rPr>
                                <w:t> </w:t>
                              </w:r>
                              <w:r>
                                <w:rPr>
                                  <w:rFonts w:ascii="Arial MT"/>
                                  <w:color w:val="231F20"/>
                                  <w:sz w:val="15"/>
                                </w:rPr>
                                <w:t>antibiotic</w:t>
                              </w:r>
                              <w:r>
                                <w:rPr>
                                  <w:rFonts w:ascii="Arial MT"/>
                                  <w:color w:val="231F20"/>
                                  <w:spacing w:val="-5"/>
                                  <w:sz w:val="15"/>
                                </w:rPr>
                                <w:t> </w:t>
                              </w:r>
                              <w:r>
                                <w:rPr>
                                  <w:rFonts w:ascii="Arial MT"/>
                                  <w:color w:val="231F20"/>
                                  <w:spacing w:val="-2"/>
                                  <w:sz w:val="15"/>
                                </w:rPr>
                                <w:t>therapy</w:t>
                              </w:r>
                            </w:p>
                          </w:txbxContent>
                        </wps:txbx>
                        <wps:bodyPr wrap="square" lIns="0" tIns="0" rIns="0" bIns="0" rtlCol="0">
                          <a:noAutofit/>
                        </wps:bodyPr>
                      </wps:wsp>
                      <wps:wsp>
                        <wps:cNvPr id="1460" name="Textbox 1460"/>
                        <wps:cNvSpPr txBox="1"/>
                        <wps:spPr>
                          <a:xfrm>
                            <a:off x="1947165" y="3977371"/>
                            <a:ext cx="13398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No</w:t>
                              </w:r>
                            </w:p>
                          </w:txbxContent>
                        </wps:txbx>
                        <wps:bodyPr wrap="square" lIns="0" tIns="0" rIns="0" bIns="0" rtlCol="0">
                          <a:noAutofit/>
                        </wps:bodyPr>
                      </wps:wsp>
                      <wps:wsp>
                        <wps:cNvPr id="1461" name="Textbox 1461"/>
                        <wps:cNvSpPr txBox="1"/>
                        <wps:spPr>
                          <a:xfrm>
                            <a:off x="972966" y="3977371"/>
                            <a:ext cx="16764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Yes</w:t>
                              </w:r>
                            </w:p>
                          </w:txbxContent>
                        </wps:txbx>
                        <wps:bodyPr wrap="square" lIns="0" tIns="0" rIns="0" bIns="0" rtlCol="0">
                          <a:noAutofit/>
                        </wps:bodyPr>
                      </wps:wsp>
                      <wps:wsp>
                        <wps:cNvPr id="1462" name="Textbox 1462"/>
                        <wps:cNvSpPr txBox="1"/>
                        <wps:spPr>
                          <a:xfrm>
                            <a:off x="821865" y="2964779"/>
                            <a:ext cx="1978025" cy="689610"/>
                          </a:xfrm>
                          <a:prstGeom prst="rect">
                            <a:avLst/>
                          </a:prstGeom>
                        </wps:spPr>
                        <wps:txbx>
                          <w:txbxContent>
                            <w:p>
                              <w:pPr>
                                <w:tabs>
                                  <w:tab w:pos="2145" w:val="left" w:leader="none"/>
                                </w:tabs>
                                <w:spacing w:line="144" w:lineRule="exact" w:before="0"/>
                                <w:ind w:left="395" w:right="0" w:firstLine="0"/>
                                <w:jc w:val="left"/>
                                <w:rPr>
                                  <w:rFonts w:ascii="Arial MT"/>
                                  <w:sz w:val="15"/>
                                </w:rPr>
                              </w:pPr>
                              <w:r>
                                <w:rPr>
                                  <w:rFonts w:ascii="Arial MT"/>
                                  <w:color w:val="231F20"/>
                                  <w:sz w:val="15"/>
                                </w:rPr>
                                <w:t>CT</w:t>
                              </w:r>
                              <w:r>
                                <w:rPr>
                                  <w:rFonts w:ascii="Arial MT"/>
                                  <w:color w:val="231F20"/>
                                  <w:spacing w:val="-8"/>
                                  <w:sz w:val="15"/>
                                </w:rPr>
                                <w:t> </w:t>
                              </w:r>
                              <w:r>
                                <w:rPr>
                                  <w:rFonts w:ascii="Arial MT"/>
                                  <w:color w:val="231F20"/>
                                  <w:sz w:val="15"/>
                                </w:rPr>
                                <w:t>scan</w:t>
                              </w:r>
                              <w:r>
                                <w:rPr>
                                  <w:rFonts w:ascii="Arial MT"/>
                                  <w:color w:val="231F20"/>
                                  <w:spacing w:val="-6"/>
                                  <w:sz w:val="15"/>
                                </w:rPr>
                                <w:t> </w:t>
                              </w:r>
                              <w:r>
                                <w:rPr>
                                  <w:rFonts w:ascii="Arial MT"/>
                                  <w:color w:val="231F20"/>
                                  <w:sz w:val="15"/>
                                </w:rPr>
                                <w:t>with</w:t>
                              </w:r>
                              <w:r>
                                <w:rPr>
                                  <w:rFonts w:ascii="Arial MT"/>
                                  <w:color w:val="231F20"/>
                                  <w:spacing w:val="-5"/>
                                  <w:sz w:val="15"/>
                                </w:rPr>
                                <w:t> </w:t>
                              </w:r>
                              <w:r>
                                <w:rPr>
                                  <w:rFonts w:ascii="Arial MT"/>
                                  <w:color w:val="231F20"/>
                                  <w:spacing w:val="-2"/>
                                  <w:sz w:val="15"/>
                                </w:rPr>
                                <w:t>contrast</w:t>
                              </w:r>
                              <w:r>
                                <w:rPr>
                                  <w:rFonts w:ascii="Arial MT"/>
                                  <w:color w:val="231F20"/>
                                  <w:sz w:val="15"/>
                                </w:rPr>
                                <w:tab/>
                                <w:t>Treat</w:t>
                              </w:r>
                              <w:r>
                                <w:rPr>
                                  <w:rFonts w:ascii="Arial MT"/>
                                  <w:color w:val="231F20"/>
                                  <w:spacing w:val="-7"/>
                                  <w:sz w:val="15"/>
                                </w:rPr>
                                <w:t> </w:t>
                              </w:r>
                              <w:r>
                                <w:rPr>
                                  <w:rFonts w:ascii="Arial MT"/>
                                  <w:color w:val="231F20"/>
                                  <w:sz w:val="15"/>
                                </w:rPr>
                                <w:t>as</w:t>
                              </w:r>
                              <w:r>
                                <w:rPr>
                                  <w:rFonts w:ascii="Arial MT"/>
                                  <w:color w:val="231F20"/>
                                  <w:spacing w:val="-7"/>
                                  <w:sz w:val="15"/>
                                </w:rPr>
                                <w:t> </w:t>
                              </w:r>
                              <w:r>
                                <w:rPr>
                                  <w:rFonts w:ascii="Arial MT"/>
                                  <w:color w:val="231F20"/>
                                  <w:spacing w:val="-2"/>
                                  <w:sz w:val="15"/>
                                </w:rPr>
                                <w:t>acute</w:t>
                              </w:r>
                            </w:p>
                            <w:p>
                              <w:pPr>
                                <w:spacing w:line="170" w:lineRule="exact" w:before="0"/>
                                <w:ind w:left="2236" w:right="0" w:firstLine="0"/>
                                <w:jc w:val="left"/>
                                <w:rPr>
                                  <w:rFonts w:ascii="Arial MT"/>
                                  <w:sz w:val="15"/>
                                </w:rPr>
                              </w:pPr>
                              <w:r>
                                <w:rPr>
                                  <w:rFonts w:ascii="Arial MT"/>
                                  <w:color w:val="231F20"/>
                                  <w:sz w:val="15"/>
                                </w:rPr>
                                <w:t>otitis</w:t>
                              </w:r>
                              <w:r>
                                <w:rPr>
                                  <w:rFonts w:ascii="Arial MT"/>
                                  <w:color w:val="231F20"/>
                                  <w:spacing w:val="-5"/>
                                  <w:sz w:val="15"/>
                                </w:rPr>
                                <w:t> </w:t>
                              </w:r>
                              <w:r>
                                <w:rPr>
                                  <w:rFonts w:ascii="Arial MT"/>
                                  <w:color w:val="231F20"/>
                                  <w:spacing w:val="-2"/>
                                  <w:sz w:val="15"/>
                                </w:rPr>
                                <w:t>media</w:t>
                              </w:r>
                            </w:p>
                            <w:p>
                              <w:pPr>
                                <w:spacing w:line="240" w:lineRule="auto" w:before="87"/>
                                <w:rPr>
                                  <w:rFonts w:ascii="Arial MT"/>
                                  <w:sz w:val="15"/>
                                </w:rPr>
                              </w:pPr>
                            </w:p>
                            <w:p>
                              <w:pPr>
                                <w:spacing w:line="170" w:lineRule="exact" w:before="0"/>
                                <w:ind w:left="0" w:right="883" w:firstLine="0"/>
                                <w:jc w:val="center"/>
                                <w:rPr>
                                  <w:rFonts w:ascii="Arial MT"/>
                                  <w:sz w:val="15"/>
                                </w:rPr>
                              </w:pPr>
                              <w:r>
                                <w:rPr>
                                  <w:rFonts w:ascii="Arial MT"/>
                                  <w:color w:val="231F20"/>
                                  <w:sz w:val="15"/>
                                </w:rPr>
                                <w:t>Postauricular</w:t>
                              </w:r>
                              <w:r>
                                <w:rPr>
                                  <w:rFonts w:ascii="Arial MT"/>
                                  <w:color w:val="231F20"/>
                                  <w:spacing w:val="-10"/>
                                  <w:sz w:val="15"/>
                                </w:rPr>
                                <w:t> </w:t>
                              </w:r>
                              <w:r>
                                <w:rPr>
                                  <w:rFonts w:ascii="Arial MT"/>
                                  <w:color w:val="231F20"/>
                                  <w:spacing w:val="-2"/>
                                  <w:sz w:val="15"/>
                                </w:rPr>
                                <w:t>abscess?</w:t>
                              </w:r>
                            </w:p>
                            <w:p>
                              <w:pPr>
                                <w:spacing w:line="232" w:lineRule="auto" w:before="2"/>
                                <w:ind w:left="0" w:right="889" w:hanging="4"/>
                                <w:jc w:val="center"/>
                                <w:rPr>
                                  <w:rFonts w:ascii="Arial MT"/>
                                  <w:sz w:val="15"/>
                                </w:rPr>
                              </w:pPr>
                              <w:r>
                                <w:rPr>
                                  <w:rFonts w:ascii="Arial MT"/>
                                  <w:color w:val="231F20"/>
                                  <w:sz w:val="15"/>
                                </w:rPr>
                                <w:t>Mastoid cortical bony erosion? Coalescence</w:t>
                              </w:r>
                              <w:r>
                                <w:rPr>
                                  <w:rFonts w:ascii="Arial MT"/>
                                  <w:color w:val="231F20"/>
                                  <w:spacing w:val="-11"/>
                                  <w:sz w:val="15"/>
                                </w:rPr>
                                <w:t> </w:t>
                              </w:r>
                              <w:r>
                                <w:rPr>
                                  <w:rFonts w:ascii="Arial MT"/>
                                  <w:color w:val="231F20"/>
                                  <w:sz w:val="15"/>
                                </w:rPr>
                                <w:t>of</w:t>
                              </w:r>
                              <w:r>
                                <w:rPr>
                                  <w:rFonts w:ascii="Arial MT"/>
                                  <w:color w:val="231F20"/>
                                  <w:spacing w:val="-10"/>
                                  <w:sz w:val="15"/>
                                </w:rPr>
                                <w:t> </w:t>
                              </w:r>
                              <w:r>
                                <w:rPr>
                                  <w:rFonts w:ascii="Arial MT"/>
                                  <w:color w:val="231F20"/>
                                  <w:sz w:val="15"/>
                                </w:rPr>
                                <w:t>mastoid</w:t>
                              </w:r>
                              <w:r>
                                <w:rPr>
                                  <w:rFonts w:ascii="Arial MT"/>
                                  <w:color w:val="231F20"/>
                                  <w:spacing w:val="-11"/>
                                  <w:sz w:val="15"/>
                                </w:rPr>
                                <w:t> </w:t>
                              </w:r>
                              <w:r>
                                <w:rPr>
                                  <w:rFonts w:ascii="Arial MT"/>
                                  <w:color w:val="231F20"/>
                                  <w:sz w:val="15"/>
                                </w:rPr>
                                <w:t>air</w:t>
                              </w:r>
                              <w:r>
                                <w:rPr>
                                  <w:rFonts w:ascii="Arial MT"/>
                                  <w:color w:val="231F20"/>
                                  <w:spacing w:val="-10"/>
                                  <w:sz w:val="15"/>
                                </w:rPr>
                                <w:t> </w:t>
                              </w:r>
                              <w:r>
                                <w:rPr>
                                  <w:rFonts w:ascii="Arial MT"/>
                                  <w:color w:val="231F20"/>
                                  <w:sz w:val="15"/>
                                </w:rPr>
                                <w:t>cells?</w:t>
                              </w:r>
                            </w:p>
                          </w:txbxContent>
                        </wps:txbx>
                        <wps:bodyPr wrap="square" lIns="0" tIns="0" rIns="0" bIns="0" rtlCol="0">
                          <a:noAutofit/>
                        </wps:bodyPr>
                      </wps:wsp>
                      <wps:wsp>
                        <wps:cNvPr id="1463" name="Textbox 1463"/>
                        <wps:cNvSpPr txBox="1"/>
                        <wps:spPr>
                          <a:xfrm>
                            <a:off x="2427013" y="2583329"/>
                            <a:ext cx="13398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No</w:t>
                              </w:r>
                            </w:p>
                          </w:txbxContent>
                        </wps:txbx>
                        <wps:bodyPr wrap="square" lIns="0" tIns="0" rIns="0" bIns="0" rtlCol="0">
                          <a:noAutofit/>
                        </wps:bodyPr>
                      </wps:wsp>
                      <wps:wsp>
                        <wps:cNvPr id="1464" name="Textbox 1464"/>
                        <wps:cNvSpPr txBox="1"/>
                        <wps:spPr>
                          <a:xfrm>
                            <a:off x="1452814" y="2583329"/>
                            <a:ext cx="16764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Yes</w:t>
                              </w:r>
                            </w:p>
                          </w:txbxContent>
                        </wps:txbx>
                        <wps:bodyPr wrap="square" lIns="0" tIns="0" rIns="0" bIns="0" rtlCol="0">
                          <a:noAutofit/>
                        </wps:bodyPr>
                      </wps:wsp>
                      <wps:wsp>
                        <wps:cNvPr id="1465" name="Textbox 1465"/>
                        <wps:cNvSpPr txBox="1"/>
                        <wps:spPr>
                          <a:xfrm>
                            <a:off x="79628" y="2070114"/>
                            <a:ext cx="2654300" cy="308610"/>
                          </a:xfrm>
                          <a:prstGeom prst="rect">
                            <a:avLst/>
                          </a:prstGeom>
                        </wps:spPr>
                        <wps:txbx>
                          <w:txbxContent>
                            <w:p>
                              <w:pPr>
                                <w:tabs>
                                  <w:tab w:pos="1919" w:val="left" w:leader="none"/>
                                </w:tabs>
                                <w:spacing w:line="144" w:lineRule="exact" w:before="0"/>
                                <w:ind w:left="58" w:right="0" w:firstLine="0"/>
                                <w:jc w:val="left"/>
                                <w:rPr>
                                  <w:rFonts w:ascii="Arial MT"/>
                                  <w:sz w:val="15"/>
                                </w:rPr>
                              </w:pPr>
                              <w:r>
                                <w:rPr>
                                  <w:rFonts w:ascii="Arial MT"/>
                                  <w:color w:val="231F20"/>
                                  <w:sz w:val="15"/>
                                </w:rPr>
                                <w:t>CT</w:t>
                              </w:r>
                              <w:r>
                                <w:rPr>
                                  <w:rFonts w:ascii="Arial MT"/>
                                  <w:color w:val="231F20"/>
                                  <w:spacing w:val="-8"/>
                                  <w:sz w:val="15"/>
                                </w:rPr>
                                <w:t> </w:t>
                              </w:r>
                              <w:r>
                                <w:rPr>
                                  <w:rFonts w:ascii="Arial MT"/>
                                  <w:color w:val="231F20"/>
                                  <w:sz w:val="15"/>
                                </w:rPr>
                                <w:t>scan</w:t>
                              </w:r>
                              <w:r>
                                <w:rPr>
                                  <w:rFonts w:ascii="Arial MT"/>
                                  <w:color w:val="231F20"/>
                                  <w:spacing w:val="-6"/>
                                  <w:sz w:val="15"/>
                                </w:rPr>
                                <w:t> </w:t>
                              </w:r>
                              <w:r>
                                <w:rPr>
                                  <w:rFonts w:ascii="Arial MT"/>
                                  <w:color w:val="231F20"/>
                                  <w:sz w:val="15"/>
                                </w:rPr>
                                <w:t>with</w:t>
                              </w:r>
                              <w:r>
                                <w:rPr>
                                  <w:rFonts w:ascii="Arial MT"/>
                                  <w:color w:val="231F20"/>
                                  <w:spacing w:val="-5"/>
                                  <w:sz w:val="15"/>
                                </w:rPr>
                                <w:t> </w:t>
                              </w:r>
                              <w:r>
                                <w:rPr>
                                  <w:rFonts w:ascii="Arial MT"/>
                                  <w:color w:val="231F20"/>
                                  <w:spacing w:val="-2"/>
                                  <w:sz w:val="15"/>
                                </w:rPr>
                                <w:t>contrast</w:t>
                              </w:r>
                              <w:r>
                                <w:rPr>
                                  <w:rFonts w:ascii="Arial MT"/>
                                  <w:color w:val="231F20"/>
                                  <w:sz w:val="15"/>
                                </w:rPr>
                                <w:tab/>
                                <w:t>Postauricular</w:t>
                              </w:r>
                              <w:r>
                                <w:rPr>
                                  <w:rFonts w:ascii="Arial MT"/>
                                  <w:color w:val="231F20"/>
                                  <w:spacing w:val="-6"/>
                                  <w:sz w:val="15"/>
                                </w:rPr>
                                <w:t> </w:t>
                              </w:r>
                              <w:r>
                                <w:rPr>
                                  <w:rFonts w:ascii="Arial MT"/>
                                  <w:color w:val="231F20"/>
                                  <w:sz w:val="15"/>
                                </w:rPr>
                                <w:t>signs</w:t>
                              </w:r>
                              <w:r>
                                <w:rPr>
                                  <w:rFonts w:ascii="Arial MT"/>
                                  <w:color w:val="231F20"/>
                                  <w:spacing w:val="-6"/>
                                  <w:sz w:val="15"/>
                                </w:rPr>
                                <w:t> </w:t>
                              </w:r>
                              <w:r>
                                <w:rPr>
                                  <w:rFonts w:ascii="Arial MT"/>
                                  <w:color w:val="231F20"/>
                                  <w:sz w:val="15"/>
                                </w:rPr>
                                <w:t>or</w:t>
                              </w:r>
                              <w:r>
                                <w:rPr>
                                  <w:rFonts w:ascii="Arial MT"/>
                                  <w:color w:val="231F20"/>
                                  <w:spacing w:val="-5"/>
                                  <w:sz w:val="15"/>
                                </w:rPr>
                                <w:t> </w:t>
                              </w:r>
                              <w:r>
                                <w:rPr>
                                  <w:rFonts w:ascii="Arial MT"/>
                                  <w:color w:val="231F20"/>
                                  <w:spacing w:val="-2"/>
                                  <w:sz w:val="15"/>
                                </w:rPr>
                                <w:t>symptoms?</w:t>
                              </w:r>
                            </w:p>
                            <w:p>
                              <w:pPr>
                                <w:tabs>
                                  <w:tab w:pos="1991" w:val="left" w:leader="none"/>
                                </w:tabs>
                                <w:spacing w:line="168" w:lineRule="exact" w:before="0"/>
                                <w:ind w:left="14" w:right="0" w:firstLine="0"/>
                                <w:jc w:val="left"/>
                                <w:rPr>
                                  <w:rFonts w:ascii="Arial MT"/>
                                  <w:sz w:val="15"/>
                                </w:rPr>
                              </w:pPr>
                              <w:r>
                                <w:rPr>
                                  <w:rFonts w:ascii="Arial MT"/>
                                  <w:color w:val="231F20"/>
                                  <w:spacing w:val="-2"/>
                                  <w:sz w:val="15"/>
                                </w:rPr>
                                <w:t>Otolaryngology</w:t>
                              </w:r>
                              <w:r>
                                <w:rPr>
                                  <w:rFonts w:ascii="Arial MT"/>
                                  <w:color w:val="231F20"/>
                                  <w:spacing w:val="16"/>
                                  <w:sz w:val="15"/>
                                </w:rPr>
                                <w:t> </w:t>
                              </w:r>
                              <w:r>
                                <w:rPr>
                                  <w:rFonts w:ascii="Arial MT"/>
                                  <w:color w:val="231F20"/>
                                  <w:spacing w:val="-2"/>
                                  <w:sz w:val="15"/>
                                </w:rPr>
                                <w:t>consult</w:t>
                              </w:r>
                              <w:r>
                                <w:rPr>
                                  <w:rFonts w:ascii="Arial MT"/>
                                  <w:color w:val="231F20"/>
                                  <w:sz w:val="15"/>
                                </w:rPr>
                                <w:tab/>
                                <w:t>(pain,</w:t>
                              </w:r>
                              <w:r>
                                <w:rPr>
                                  <w:rFonts w:ascii="Arial MT"/>
                                  <w:color w:val="231F20"/>
                                  <w:spacing w:val="-5"/>
                                  <w:sz w:val="15"/>
                                </w:rPr>
                                <w:t> </w:t>
                              </w:r>
                              <w:r>
                                <w:rPr>
                                  <w:rFonts w:ascii="Arial MT"/>
                                  <w:color w:val="231F20"/>
                                  <w:sz w:val="15"/>
                                </w:rPr>
                                <w:t>erythema,</w:t>
                              </w:r>
                              <w:r>
                                <w:rPr>
                                  <w:rFonts w:ascii="Arial MT"/>
                                  <w:color w:val="231F20"/>
                                  <w:spacing w:val="-5"/>
                                  <w:sz w:val="15"/>
                                </w:rPr>
                                <w:t> </w:t>
                              </w:r>
                              <w:r>
                                <w:rPr>
                                  <w:rFonts w:ascii="Arial MT"/>
                                  <w:color w:val="231F20"/>
                                  <w:sz w:val="15"/>
                                </w:rPr>
                                <w:t>or</w:t>
                              </w:r>
                              <w:r>
                                <w:rPr>
                                  <w:rFonts w:ascii="Arial MT"/>
                                  <w:color w:val="231F20"/>
                                  <w:spacing w:val="-5"/>
                                  <w:sz w:val="15"/>
                                </w:rPr>
                                <w:t> </w:t>
                              </w:r>
                              <w:r>
                                <w:rPr>
                                  <w:rFonts w:ascii="Arial MT"/>
                                  <w:color w:val="231F20"/>
                                  <w:spacing w:val="-2"/>
                                  <w:sz w:val="15"/>
                                </w:rPr>
                                <w:t>tenderness)</w:t>
                              </w:r>
                            </w:p>
                            <w:p>
                              <w:pPr>
                                <w:spacing w:line="170" w:lineRule="exact" w:before="0"/>
                                <w:ind w:left="0" w:right="0" w:firstLine="0"/>
                                <w:jc w:val="left"/>
                                <w:rPr>
                                  <w:rFonts w:ascii="Arial MT" w:hAnsi="Arial MT"/>
                                  <w:sz w:val="15"/>
                                </w:rPr>
                              </w:pPr>
                              <w:r>
                                <w:rPr>
                                  <w:rFonts w:ascii="Arial MT" w:hAnsi="Arial MT"/>
                                  <w:color w:val="231F20"/>
                                  <w:sz w:val="15"/>
                                </w:rPr>
                                <w:t>±</w:t>
                              </w:r>
                              <w:r>
                                <w:rPr>
                                  <w:rFonts w:ascii="Arial MT" w:hAnsi="Arial MT"/>
                                  <w:color w:val="231F20"/>
                                  <w:spacing w:val="-1"/>
                                  <w:sz w:val="15"/>
                                </w:rPr>
                                <w:t> </w:t>
                              </w:r>
                              <w:r>
                                <w:rPr>
                                  <w:rFonts w:ascii="Arial MT" w:hAnsi="Arial MT"/>
                                  <w:color w:val="231F20"/>
                                  <w:sz w:val="15"/>
                                </w:rPr>
                                <w:t>Neurosurgery</w:t>
                              </w:r>
                              <w:r>
                                <w:rPr>
                                  <w:rFonts w:ascii="Arial MT" w:hAnsi="Arial MT"/>
                                  <w:color w:val="231F20"/>
                                  <w:spacing w:val="-5"/>
                                  <w:sz w:val="15"/>
                                </w:rPr>
                                <w:t> </w:t>
                              </w:r>
                              <w:r>
                                <w:rPr>
                                  <w:rFonts w:ascii="Arial MT" w:hAnsi="Arial MT"/>
                                  <w:color w:val="231F20"/>
                                  <w:spacing w:val="-2"/>
                                  <w:sz w:val="15"/>
                                </w:rPr>
                                <w:t>consult</w:t>
                              </w:r>
                            </w:p>
                          </w:txbxContent>
                        </wps:txbx>
                        <wps:bodyPr wrap="square" lIns="0" tIns="0" rIns="0" bIns="0" rtlCol="0">
                          <a:noAutofit/>
                        </wps:bodyPr>
                      </wps:wsp>
                      <wps:wsp>
                        <wps:cNvPr id="1466" name="Textbox 1466"/>
                        <wps:cNvSpPr txBox="1"/>
                        <wps:spPr>
                          <a:xfrm>
                            <a:off x="1947165" y="1685060"/>
                            <a:ext cx="13398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No</w:t>
                              </w:r>
                            </w:p>
                          </w:txbxContent>
                        </wps:txbx>
                        <wps:bodyPr wrap="square" lIns="0" tIns="0" rIns="0" bIns="0" rtlCol="0">
                          <a:noAutofit/>
                        </wps:bodyPr>
                      </wps:wsp>
                      <wps:wsp>
                        <wps:cNvPr id="1467" name="Textbox 1467"/>
                        <wps:cNvSpPr txBox="1"/>
                        <wps:spPr>
                          <a:xfrm>
                            <a:off x="497195" y="1685060"/>
                            <a:ext cx="16764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Yes</w:t>
                              </w:r>
                            </w:p>
                          </w:txbxContent>
                        </wps:txbx>
                        <wps:bodyPr wrap="square" lIns="0" tIns="0" rIns="0" bIns="0" rtlCol="0">
                          <a:noAutofit/>
                        </wps:bodyPr>
                      </wps:wsp>
                      <wps:wsp>
                        <wps:cNvPr id="1468" name="Textbox 1468"/>
                        <wps:cNvSpPr txBox="1"/>
                        <wps:spPr>
                          <a:xfrm>
                            <a:off x="455959" y="748873"/>
                            <a:ext cx="1683385" cy="628015"/>
                          </a:xfrm>
                          <a:prstGeom prst="rect">
                            <a:avLst/>
                          </a:prstGeom>
                        </wps:spPr>
                        <wps:txbx>
                          <w:txbxContent>
                            <w:p>
                              <w:pPr>
                                <w:spacing w:line="144" w:lineRule="exact" w:before="0"/>
                                <w:ind w:left="0" w:right="18" w:firstLine="0"/>
                                <w:jc w:val="center"/>
                                <w:rPr>
                                  <w:rFonts w:ascii="Arial MT"/>
                                  <w:sz w:val="15"/>
                                </w:rPr>
                              </w:pPr>
                              <w:r>
                                <w:rPr>
                                  <w:rFonts w:ascii="Arial MT"/>
                                  <w:color w:val="231F20"/>
                                  <w:sz w:val="15"/>
                                </w:rPr>
                                <w:t>Proptotic</w:t>
                              </w:r>
                              <w:r>
                                <w:rPr>
                                  <w:rFonts w:ascii="Arial MT"/>
                                  <w:color w:val="231F20"/>
                                  <w:spacing w:val="-7"/>
                                  <w:sz w:val="15"/>
                                </w:rPr>
                                <w:t> </w:t>
                              </w:r>
                              <w:r>
                                <w:rPr>
                                  <w:rFonts w:ascii="Arial MT"/>
                                  <w:color w:val="231F20"/>
                                  <w:spacing w:val="-4"/>
                                  <w:sz w:val="15"/>
                                </w:rPr>
                                <w:t>ear?</w:t>
                              </w:r>
                            </w:p>
                            <w:p>
                              <w:pPr>
                                <w:spacing w:line="168" w:lineRule="exact" w:before="0"/>
                                <w:ind w:left="-1" w:right="18" w:firstLine="0"/>
                                <w:jc w:val="center"/>
                                <w:rPr>
                                  <w:rFonts w:ascii="Arial MT"/>
                                  <w:sz w:val="15"/>
                                </w:rPr>
                              </w:pPr>
                              <w:r>
                                <w:rPr>
                                  <w:rFonts w:ascii="Arial MT"/>
                                  <w:color w:val="231F20"/>
                                  <w:sz w:val="15"/>
                                </w:rPr>
                                <w:t>Postauricular</w:t>
                              </w:r>
                              <w:r>
                                <w:rPr>
                                  <w:rFonts w:ascii="Arial MT"/>
                                  <w:color w:val="231F20"/>
                                  <w:spacing w:val="-8"/>
                                  <w:sz w:val="15"/>
                                </w:rPr>
                                <w:t> </w:t>
                              </w:r>
                              <w:r>
                                <w:rPr>
                                  <w:rFonts w:ascii="Arial MT"/>
                                  <w:color w:val="231F20"/>
                                  <w:sz w:val="15"/>
                                </w:rPr>
                                <w:t>edema</w:t>
                              </w:r>
                              <w:r>
                                <w:rPr>
                                  <w:rFonts w:ascii="Arial MT"/>
                                  <w:color w:val="231F20"/>
                                  <w:spacing w:val="-7"/>
                                  <w:sz w:val="15"/>
                                </w:rPr>
                                <w:t> </w:t>
                              </w:r>
                              <w:r>
                                <w:rPr>
                                  <w:rFonts w:ascii="Arial MT"/>
                                  <w:color w:val="231F20"/>
                                  <w:sz w:val="15"/>
                                </w:rPr>
                                <w:t>or</w:t>
                              </w:r>
                              <w:r>
                                <w:rPr>
                                  <w:rFonts w:ascii="Arial MT"/>
                                  <w:color w:val="231F20"/>
                                  <w:spacing w:val="-7"/>
                                  <w:sz w:val="15"/>
                                </w:rPr>
                                <w:t> </w:t>
                              </w:r>
                              <w:r>
                                <w:rPr>
                                  <w:rFonts w:ascii="Arial MT"/>
                                  <w:color w:val="231F20"/>
                                  <w:sz w:val="15"/>
                                </w:rPr>
                                <w:t>fluctuant</w:t>
                              </w:r>
                              <w:r>
                                <w:rPr>
                                  <w:rFonts w:ascii="Arial MT"/>
                                  <w:color w:val="231F20"/>
                                  <w:spacing w:val="-7"/>
                                  <w:sz w:val="15"/>
                                </w:rPr>
                                <w:t> </w:t>
                              </w:r>
                              <w:r>
                                <w:rPr>
                                  <w:rFonts w:ascii="Arial MT"/>
                                  <w:color w:val="231F20"/>
                                  <w:spacing w:val="-2"/>
                                  <w:sz w:val="15"/>
                                </w:rPr>
                                <w:t>mass?</w:t>
                              </w:r>
                            </w:p>
                            <w:p>
                              <w:pPr>
                                <w:spacing w:line="168" w:lineRule="exact" w:before="0"/>
                                <w:ind w:left="0" w:right="18" w:firstLine="0"/>
                                <w:jc w:val="center"/>
                                <w:rPr>
                                  <w:rFonts w:ascii="Arial MT"/>
                                  <w:sz w:val="15"/>
                                </w:rPr>
                              </w:pPr>
                              <w:r>
                                <w:rPr>
                                  <w:rFonts w:ascii="Arial MT"/>
                                  <w:color w:val="231F20"/>
                                  <w:sz w:val="15"/>
                                </w:rPr>
                                <w:t>EAC</w:t>
                              </w:r>
                              <w:r>
                                <w:rPr>
                                  <w:rFonts w:ascii="Arial MT"/>
                                  <w:color w:val="231F20"/>
                                  <w:spacing w:val="-4"/>
                                  <w:sz w:val="15"/>
                                </w:rPr>
                                <w:t> </w:t>
                              </w:r>
                              <w:r>
                                <w:rPr>
                                  <w:rFonts w:ascii="Arial MT"/>
                                  <w:color w:val="231F20"/>
                                  <w:sz w:val="15"/>
                                </w:rPr>
                                <w:t>or</w:t>
                              </w:r>
                              <w:r>
                                <w:rPr>
                                  <w:rFonts w:ascii="Arial MT"/>
                                  <w:color w:val="231F20"/>
                                  <w:spacing w:val="-4"/>
                                  <w:sz w:val="15"/>
                                </w:rPr>
                                <w:t> </w:t>
                              </w:r>
                              <w:r>
                                <w:rPr>
                                  <w:rFonts w:ascii="Arial MT"/>
                                  <w:color w:val="231F20"/>
                                  <w:sz w:val="15"/>
                                </w:rPr>
                                <w:t>neck</w:t>
                              </w:r>
                              <w:r>
                                <w:rPr>
                                  <w:rFonts w:ascii="Arial MT"/>
                                  <w:color w:val="231F20"/>
                                  <w:spacing w:val="-4"/>
                                  <w:sz w:val="15"/>
                                </w:rPr>
                                <w:t> </w:t>
                              </w:r>
                              <w:r>
                                <w:rPr>
                                  <w:rFonts w:ascii="Arial MT"/>
                                  <w:color w:val="231F20"/>
                                  <w:sz w:val="15"/>
                                </w:rPr>
                                <w:t>mass</w:t>
                              </w:r>
                              <w:r>
                                <w:rPr>
                                  <w:rFonts w:ascii="Arial MT"/>
                                  <w:color w:val="231F20"/>
                                  <w:spacing w:val="-4"/>
                                  <w:sz w:val="15"/>
                                </w:rPr>
                                <w:t> </w:t>
                              </w:r>
                              <w:r>
                                <w:rPr>
                                  <w:rFonts w:ascii="Arial MT"/>
                                  <w:color w:val="231F20"/>
                                  <w:sz w:val="15"/>
                                </w:rPr>
                                <w:t>or</w:t>
                              </w:r>
                              <w:r>
                                <w:rPr>
                                  <w:rFonts w:ascii="Arial MT"/>
                                  <w:color w:val="231F20"/>
                                  <w:spacing w:val="-4"/>
                                  <w:sz w:val="15"/>
                                </w:rPr>
                                <w:t> </w:t>
                              </w:r>
                              <w:r>
                                <w:rPr>
                                  <w:rFonts w:ascii="Arial MT"/>
                                  <w:color w:val="231F20"/>
                                  <w:spacing w:val="-2"/>
                                  <w:sz w:val="15"/>
                                </w:rPr>
                                <w:t>edema?</w:t>
                              </w:r>
                            </w:p>
                            <w:p>
                              <w:pPr>
                                <w:spacing w:line="168" w:lineRule="exact" w:before="0"/>
                                <w:ind w:left="0" w:right="18" w:firstLine="0"/>
                                <w:jc w:val="center"/>
                                <w:rPr>
                                  <w:rFonts w:ascii="Arial MT"/>
                                  <w:sz w:val="15"/>
                                </w:rPr>
                              </w:pPr>
                              <w:r>
                                <w:rPr>
                                  <w:rFonts w:ascii="Arial MT"/>
                                  <w:color w:val="231F20"/>
                                  <w:sz w:val="15"/>
                                </w:rPr>
                                <w:t>Facial</w:t>
                              </w:r>
                              <w:r>
                                <w:rPr>
                                  <w:rFonts w:ascii="Arial MT"/>
                                  <w:color w:val="231F20"/>
                                  <w:spacing w:val="-10"/>
                                  <w:sz w:val="15"/>
                                </w:rPr>
                                <w:t> </w:t>
                              </w:r>
                              <w:r>
                                <w:rPr>
                                  <w:rFonts w:ascii="Arial MT"/>
                                  <w:color w:val="231F20"/>
                                  <w:sz w:val="15"/>
                                </w:rPr>
                                <w:t>nerve</w:t>
                              </w:r>
                              <w:r>
                                <w:rPr>
                                  <w:rFonts w:ascii="Arial MT"/>
                                  <w:color w:val="231F20"/>
                                  <w:spacing w:val="-9"/>
                                  <w:sz w:val="15"/>
                                </w:rPr>
                                <w:t> </w:t>
                              </w:r>
                              <w:r>
                                <w:rPr>
                                  <w:rFonts w:ascii="Arial MT"/>
                                  <w:color w:val="231F20"/>
                                  <w:spacing w:val="-2"/>
                                  <w:sz w:val="15"/>
                                </w:rPr>
                                <w:t>weakness?</w:t>
                              </w:r>
                            </w:p>
                            <w:p>
                              <w:pPr>
                                <w:spacing w:line="232" w:lineRule="auto" w:before="2"/>
                                <w:ind w:left="215" w:right="234" w:hanging="1"/>
                                <w:jc w:val="center"/>
                                <w:rPr>
                                  <w:rFonts w:ascii="Arial MT"/>
                                  <w:sz w:val="15"/>
                                </w:rPr>
                              </w:pPr>
                              <w:r>
                                <w:rPr>
                                  <w:rFonts w:ascii="Arial MT"/>
                                  <w:color w:val="231F20"/>
                                  <w:sz w:val="15"/>
                                </w:rPr>
                                <w:t>Vestibular signs and symptoms? Neurologic</w:t>
                              </w:r>
                              <w:r>
                                <w:rPr>
                                  <w:rFonts w:ascii="Arial MT"/>
                                  <w:color w:val="231F20"/>
                                  <w:spacing w:val="-7"/>
                                  <w:sz w:val="15"/>
                                </w:rPr>
                                <w:t> </w:t>
                              </w:r>
                              <w:r>
                                <w:rPr>
                                  <w:rFonts w:ascii="Arial MT"/>
                                  <w:color w:val="231F20"/>
                                  <w:sz w:val="15"/>
                                </w:rPr>
                                <w:t>signs</w:t>
                              </w:r>
                              <w:r>
                                <w:rPr>
                                  <w:rFonts w:ascii="Arial MT"/>
                                  <w:color w:val="231F20"/>
                                  <w:spacing w:val="-6"/>
                                  <w:sz w:val="15"/>
                                </w:rPr>
                                <w:t> </w:t>
                              </w:r>
                              <w:r>
                                <w:rPr>
                                  <w:rFonts w:ascii="Arial MT"/>
                                  <w:color w:val="231F20"/>
                                  <w:sz w:val="15"/>
                                </w:rPr>
                                <w:t>and</w:t>
                              </w:r>
                              <w:r>
                                <w:rPr>
                                  <w:rFonts w:ascii="Arial MT"/>
                                  <w:color w:val="231F20"/>
                                  <w:spacing w:val="-6"/>
                                  <w:sz w:val="15"/>
                                </w:rPr>
                                <w:t> </w:t>
                              </w:r>
                              <w:r>
                                <w:rPr>
                                  <w:rFonts w:ascii="Arial MT"/>
                                  <w:color w:val="231F20"/>
                                  <w:spacing w:val="-2"/>
                                  <w:sz w:val="15"/>
                                </w:rPr>
                                <w:t>symptoms?</w:t>
                              </w:r>
                            </w:p>
                          </w:txbxContent>
                        </wps:txbx>
                        <wps:bodyPr wrap="square" lIns="0" tIns="0" rIns="0" bIns="0" rtlCol="0">
                          <a:noAutofit/>
                        </wps:bodyPr>
                      </wps:wsp>
                      <wps:wsp>
                        <wps:cNvPr id="1469" name="Textbox 1469"/>
                        <wps:cNvSpPr txBox="1"/>
                        <wps:spPr>
                          <a:xfrm>
                            <a:off x="1334322" y="5371412"/>
                            <a:ext cx="167640"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Yes</w:t>
                              </w:r>
                            </w:p>
                          </w:txbxContent>
                        </wps:txbx>
                        <wps:bodyPr wrap="square" lIns="0" tIns="0" rIns="0" bIns="0" rtlCol="0">
                          <a:noAutofit/>
                        </wps:bodyPr>
                      </wps:wsp>
                      <wps:wsp>
                        <wps:cNvPr id="1470" name="Textbox 1470"/>
                        <wps:cNvSpPr txBox="1"/>
                        <wps:spPr>
                          <a:xfrm>
                            <a:off x="2545505" y="5371412"/>
                            <a:ext cx="133985" cy="95250"/>
                          </a:xfrm>
                          <a:prstGeom prst="rect">
                            <a:avLst/>
                          </a:prstGeom>
                        </wps:spPr>
                        <wps:txbx>
                          <w:txbxContent>
                            <w:p>
                              <w:pPr>
                                <w:spacing w:line="147" w:lineRule="exact" w:before="0"/>
                                <w:ind w:left="0" w:right="0" w:firstLine="0"/>
                                <w:jc w:val="left"/>
                                <w:rPr>
                                  <w:rFonts w:ascii="Arial MT"/>
                                  <w:sz w:val="15"/>
                                </w:rPr>
                              </w:pPr>
                              <w:r>
                                <w:rPr>
                                  <w:rFonts w:ascii="Arial MT"/>
                                  <w:color w:val="231F20"/>
                                  <w:spacing w:val="-5"/>
                                  <w:sz w:val="15"/>
                                </w:rPr>
                                <w:t>No</w:t>
                              </w:r>
                            </w:p>
                          </w:txbxContent>
                        </wps:txbx>
                        <wps:bodyPr wrap="square" lIns="0" tIns="0" rIns="0" bIns="0" rtlCol="0">
                          <a:noAutofit/>
                        </wps:bodyPr>
                      </wps:wsp>
                      <wps:wsp>
                        <wps:cNvPr id="1471" name="Textbox 1471"/>
                        <wps:cNvSpPr txBox="1"/>
                        <wps:spPr>
                          <a:xfrm>
                            <a:off x="839023" y="5753337"/>
                            <a:ext cx="1163320" cy="308610"/>
                          </a:xfrm>
                          <a:prstGeom prst="rect">
                            <a:avLst/>
                          </a:prstGeom>
                        </wps:spPr>
                        <wps:txbx>
                          <w:txbxContent>
                            <w:p>
                              <w:pPr>
                                <w:spacing w:line="144" w:lineRule="exact" w:before="0"/>
                                <w:ind w:left="0" w:right="18" w:firstLine="0"/>
                                <w:jc w:val="center"/>
                                <w:rPr>
                                  <w:rFonts w:ascii="Arial MT"/>
                                  <w:sz w:val="15"/>
                                </w:rPr>
                              </w:pPr>
                              <w:r>
                                <w:rPr>
                                  <w:rFonts w:ascii="Arial MT"/>
                                  <w:color w:val="231F20"/>
                                  <w:spacing w:val="-2"/>
                                  <w:sz w:val="15"/>
                                </w:rPr>
                                <w:t>Transition</w:t>
                              </w:r>
                              <w:r>
                                <w:rPr>
                                  <w:rFonts w:ascii="Arial MT"/>
                                  <w:color w:val="231F20"/>
                                  <w:sz w:val="15"/>
                                </w:rPr>
                                <w:t> </w:t>
                              </w:r>
                              <w:r>
                                <w:rPr>
                                  <w:rFonts w:ascii="Arial MT"/>
                                  <w:color w:val="231F20"/>
                                  <w:spacing w:val="-2"/>
                                  <w:sz w:val="15"/>
                                </w:rPr>
                                <w:t>to</w:t>
                              </w:r>
                              <w:r>
                                <w:rPr>
                                  <w:rFonts w:ascii="Arial MT"/>
                                  <w:color w:val="231F20"/>
                                  <w:sz w:val="15"/>
                                </w:rPr>
                                <w:t> </w:t>
                              </w:r>
                              <w:r>
                                <w:rPr>
                                  <w:rFonts w:ascii="Arial MT"/>
                                  <w:color w:val="231F20"/>
                                  <w:spacing w:val="-2"/>
                                  <w:sz w:val="15"/>
                                </w:rPr>
                                <w:t>oral</w:t>
                              </w:r>
                              <w:r>
                                <w:rPr>
                                  <w:rFonts w:ascii="Arial MT"/>
                                  <w:color w:val="231F20"/>
                                  <w:sz w:val="15"/>
                                </w:rPr>
                                <w:t> </w:t>
                              </w:r>
                              <w:r>
                                <w:rPr>
                                  <w:rFonts w:ascii="Arial MT"/>
                                  <w:color w:val="231F20"/>
                                  <w:spacing w:val="-2"/>
                                  <w:sz w:val="15"/>
                                </w:rPr>
                                <w:t>antibiotics</w:t>
                              </w:r>
                            </w:p>
                            <w:p>
                              <w:pPr>
                                <w:spacing w:line="232" w:lineRule="auto" w:before="2"/>
                                <w:ind w:left="80" w:right="109" w:hanging="4"/>
                                <w:jc w:val="center"/>
                                <w:rPr>
                                  <w:rFonts w:ascii="Arial MT"/>
                                  <w:sz w:val="15"/>
                                </w:rPr>
                              </w:pPr>
                              <w:r>
                                <w:rPr>
                                  <w:rFonts w:ascii="Arial MT"/>
                                  <w:color w:val="231F20"/>
                                  <w:sz w:val="15"/>
                                </w:rPr>
                                <w:t>and discharge home</w:t>
                              </w:r>
                              <w:r>
                                <w:rPr>
                                  <w:rFonts w:ascii="Arial MT"/>
                                  <w:color w:val="231F20"/>
                                  <w:spacing w:val="40"/>
                                  <w:sz w:val="15"/>
                                </w:rPr>
                                <w:t> </w:t>
                              </w:r>
                              <w:r>
                                <w:rPr>
                                  <w:rFonts w:ascii="Arial MT"/>
                                  <w:color w:val="231F20"/>
                                  <w:sz w:val="15"/>
                                </w:rPr>
                                <w:t>with</w:t>
                              </w:r>
                              <w:r>
                                <w:rPr>
                                  <w:rFonts w:ascii="Arial MT"/>
                                  <w:color w:val="231F20"/>
                                  <w:spacing w:val="-11"/>
                                  <w:sz w:val="15"/>
                                </w:rPr>
                                <w:t> </w:t>
                              </w:r>
                              <w:r>
                                <w:rPr>
                                  <w:rFonts w:ascii="Arial MT"/>
                                  <w:color w:val="231F20"/>
                                  <w:sz w:val="15"/>
                                </w:rPr>
                                <w:t>close</w:t>
                              </w:r>
                              <w:r>
                                <w:rPr>
                                  <w:rFonts w:ascii="Arial MT"/>
                                  <w:color w:val="231F20"/>
                                  <w:spacing w:val="-10"/>
                                  <w:sz w:val="15"/>
                                </w:rPr>
                                <w:t> </w:t>
                              </w:r>
                              <w:r>
                                <w:rPr>
                                  <w:rFonts w:ascii="Arial MT"/>
                                  <w:color w:val="231F20"/>
                                  <w:sz w:val="15"/>
                                </w:rPr>
                                <w:t>PCP</w:t>
                              </w:r>
                              <w:r>
                                <w:rPr>
                                  <w:rFonts w:ascii="Arial MT"/>
                                  <w:color w:val="231F20"/>
                                  <w:spacing w:val="-11"/>
                                  <w:sz w:val="15"/>
                                </w:rPr>
                                <w:t> </w:t>
                              </w:r>
                              <w:r>
                                <w:rPr>
                                  <w:rFonts w:ascii="Arial MT"/>
                                  <w:color w:val="231F20"/>
                                  <w:sz w:val="15"/>
                                </w:rPr>
                                <w:t>follow-up</w:t>
                              </w:r>
                            </w:p>
                          </w:txbxContent>
                        </wps:txbx>
                        <wps:bodyPr wrap="square" lIns="0" tIns="0" rIns="0" bIns="0" rtlCol="0">
                          <a:noAutofit/>
                        </wps:bodyPr>
                      </wps:wsp>
                      <wps:wsp>
                        <wps:cNvPr id="1472" name="Textbox 1472"/>
                        <wps:cNvSpPr txBox="1"/>
                        <wps:spPr>
                          <a:xfrm>
                            <a:off x="2279988" y="5753337"/>
                            <a:ext cx="650875" cy="201930"/>
                          </a:xfrm>
                          <a:prstGeom prst="rect">
                            <a:avLst/>
                          </a:prstGeom>
                        </wps:spPr>
                        <wps:txbx>
                          <w:txbxContent>
                            <w:p>
                              <w:pPr>
                                <w:spacing w:line="144" w:lineRule="exact" w:before="0"/>
                                <w:ind w:left="0" w:right="18" w:firstLine="0"/>
                                <w:jc w:val="center"/>
                                <w:rPr>
                                  <w:rFonts w:ascii="Arial MT"/>
                                  <w:sz w:val="15"/>
                                </w:rPr>
                              </w:pPr>
                              <w:r>
                                <w:rPr>
                                  <w:rFonts w:ascii="Arial MT"/>
                                  <w:color w:val="231F20"/>
                                  <w:spacing w:val="-2"/>
                                  <w:sz w:val="15"/>
                                </w:rPr>
                                <w:t>Otolaryngology</w:t>
                              </w:r>
                            </w:p>
                            <w:p>
                              <w:pPr>
                                <w:spacing w:line="170" w:lineRule="exact" w:before="0"/>
                                <w:ind w:left="0" w:right="13" w:firstLine="0"/>
                                <w:jc w:val="center"/>
                                <w:rPr>
                                  <w:rFonts w:ascii="Arial MT"/>
                                  <w:sz w:val="15"/>
                                </w:rPr>
                              </w:pPr>
                              <w:r>
                                <w:rPr>
                                  <w:rFonts w:ascii="Arial MT"/>
                                  <w:color w:val="231F20"/>
                                  <w:spacing w:val="-2"/>
                                  <w:sz w:val="15"/>
                                </w:rPr>
                                <w:t>consult</w:t>
                              </w:r>
                            </w:p>
                          </w:txbxContent>
                        </wps:txbx>
                        <wps:bodyPr wrap="square" lIns="0" tIns="0" rIns="0" bIns="0" rtlCol="0">
                          <a:noAutofit/>
                        </wps:bodyPr>
                      </wps:wsp>
                      <wps:wsp>
                        <wps:cNvPr id="1473" name="Textbox 1473"/>
                        <wps:cNvSpPr txBox="1"/>
                        <wps:spPr>
                          <a:xfrm>
                            <a:off x="1528281" y="4804077"/>
                            <a:ext cx="960119" cy="295910"/>
                          </a:xfrm>
                          <a:prstGeom prst="rect">
                            <a:avLst/>
                          </a:prstGeom>
                          <a:solidFill>
                            <a:srgbClr val="D7EDDD"/>
                          </a:solidFill>
                          <a:ln w="11849">
                            <a:solidFill>
                              <a:srgbClr val="231F20"/>
                            </a:solidFill>
                            <a:prstDash val="solid"/>
                          </a:ln>
                        </wps:spPr>
                        <wps:txbx>
                          <w:txbxContent>
                            <w:p>
                              <w:pPr>
                                <w:spacing w:line="206" w:lineRule="auto" w:before="66"/>
                                <w:ind w:left="392" w:right="51" w:hanging="341"/>
                                <w:jc w:val="left"/>
                                <w:rPr>
                                  <w:rFonts w:ascii="Arial MT" w:hAnsi="Arial MT"/>
                                  <w:color w:val="000000"/>
                                  <w:sz w:val="15"/>
                                </w:rPr>
                              </w:pPr>
                              <w:r>
                                <w:rPr>
                                  <w:rFonts w:ascii="Arial MT" w:hAnsi="Arial MT"/>
                                  <w:color w:val="231F20"/>
                                  <w:spacing w:val="-2"/>
                                  <w:sz w:val="15"/>
                                </w:rPr>
                                <w:t>Clinical</w:t>
                              </w:r>
                              <w:r>
                                <w:rPr>
                                  <w:rFonts w:ascii="Arial MT" w:hAnsi="Arial MT"/>
                                  <w:color w:val="231F20"/>
                                  <w:spacing w:val="-3"/>
                                  <w:sz w:val="15"/>
                                </w:rPr>
                                <w:t> </w:t>
                              </w:r>
                              <w:r>
                                <w:rPr>
                                  <w:rFonts w:ascii="Arial MT" w:hAnsi="Arial MT"/>
                                  <w:color w:val="231F20"/>
                                  <w:spacing w:val="-2"/>
                                  <w:sz w:val="15"/>
                                </w:rPr>
                                <w:t>improvement</w:t>
                              </w:r>
                              <w:r>
                                <w:rPr>
                                  <w:rFonts w:ascii="Arial MT" w:hAnsi="Arial MT"/>
                                  <w:color w:val="231F20"/>
                                  <w:sz w:val="15"/>
                                </w:rPr>
                                <w:t> in </w:t>
                              </w:r>
                              <w:r>
                                <w:rPr>
                                  <w:rFonts w:ascii="Lucida Sans Unicode" w:hAnsi="Lucida Sans Unicode"/>
                                  <w:color w:val="231F20"/>
                                  <w:sz w:val="15"/>
                                </w:rPr>
                                <w:t>≤</w:t>
                              </w:r>
                              <w:r>
                                <w:rPr>
                                  <w:rFonts w:ascii="Arial MT" w:hAnsi="Arial MT"/>
                                  <w:color w:val="231F20"/>
                                  <w:sz w:val="15"/>
                                </w:rPr>
                                <w:t>24 hr?</w:t>
                              </w:r>
                            </w:p>
                          </w:txbxContent>
                        </wps:txbx>
                        <wps:bodyPr wrap="square" lIns="0" tIns="0" rIns="0" bIns="0" rtlCol="0">
                          <a:noAutofit/>
                        </wps:bodyPr>
                      </wps:wsp>
                    </wpg:wgp>
                  </a:graphicData>
                </a:graphic>
              </wp:anchor>
            </w:drawing>
          </mc:Choice>
          <mc:Fallback>
            <w:pict>
              <v:group style="position:absolute;margin-left:303.658173pt;margin-top:-146.307846pt;width:236.45pt;height:481.15pt;mso-position-horizontal-relative:page;mso-position-vertical-relative:paragraph;z-index:15832064" id="docshapegroup1095" coordorigin="6073,-2926" coordsize="4729,9623">
                <v:rect style="position:absolute;left:6714;top:-1819;width:2779;height:1119" id="docshape1096" filled="true" fillcolor="#d7eddd" stroked="false">
                  <v:fill type="solid"/>
                </v:rect>
                <v:rect style="position:absolute;left:6714;top:-1819;width:2779;height:1119" id="docshape1097" filled="false" stroked="true" strokeweight=".933014pt" strokecolor="#231f20">
                  <v:stroke dashstyle="solid"/>
                </v:rect>
                <v:rect style="position:absolute;left:6755;top:-346;width:439;height:279" id="docshape1098" filled="true" fillcolor="#d7eddd" stroked="false">
                  <v:fill type="solid"/>
                </v:rect>
                <v:rect style="position:absolute;left:6755;top:-346;width:439;height:279" id="docshape1099" filled="false" stroked="true" strokeweight=".933014pt" strokecolor="#231f20">
                  <v:stroke dashstyle="solid"/>
                </v:rect>
                <v:rect style="position:absolute;left:9016;top:-346;width:439;height:279" id="docshape1100" filled="true" fillcolor="#d7eddd" stroked="false">
                  <v:fill type="solid"/>
                </v:rect>
                <v:rect style="position:absolute;left:9016;top:-346;width:439;height:279" id="docshape1101" filled="false" stroked="true" strokeweight=".933014pt" strokecolor="#231f20">
                  <v:stroke dashstyle="solid"/>
                </v:rect>
                <v:rect style="position:absolute;left:6082;top:248;width:1785;height:653" id="docshape1102" filled="true" fillcolor="#d7eddd" stroked="false">
                  <v:fill type="solid"/>
                </v:rect>
                <v:rect style="position:absolute;left:6082;top:248;width:1785;height:653" id="docshape1103" filled="false" stroked="true" strokeweight=".933014pt" strokecolor="#231f20">
                  <v:stroke dashstyle="solid"/>
                </v:rect>
                <v:rect style="position:absolute;left:7273;top:2257;width:2413;height:653" id="docshape1104" filled="true" fillcolor="#d7eddd" stroked="false">
                  <v:fill type="solid"/>
                </v:rect>
                <v:rect style="position:absolute;left:7273;top:2257;width:2413;height:653" id="docshape1105" filled="false" stroked="true" strokeweight=".933014pt" strokecolor="#231f20">
                  <v:stroke dashstyle="solid"/>
                </v:rect>
                <v:rect style="position:absolute;left:7969;top:248;width:2532;height:466" id="docshape1106" filled="true" fillcolor="#d7eddd" stroked="false">
                  <v:fill type="solid"/>
                </v:rect>
                <v:rect style="position:absolute;left:7969;top:248;width:2532;height:466" id="docshape1107" filled="false" stroked="true" strokeweight=".933014pt" strokecolor="#231f20">
                  <v:stroke dashstyle="solid"/>
                </v:rect>
                <v:rect style="position:absolute;left:7309;top:6053;width:1973;height:634" id="docshape1108" filled="true" fillcolor="#d7eddd" stroked="false">
                  <v:fill type="solid"/>
                </v:rect>
                <v:rect style="position:absolute;left:7309;top:6053;width:1973;height:634" id="docshape1109" filled="false" stroked="true" strokeweight=".933014pt" strokecolor="#231f20">
                  <v:stroke dashstyle="solid"/>
                </v:rect>
                <v:rect style="position:absolute;left:9574;top:6053;width:1218;height:466" id="docshape1110" filled="true" fillcolor="#d7eddd" stroked="false">
                  <v:fill type="solid"/>
                </v:rect>
                <v:rect style="position:absolute;left:9574;top:6053;width:1218;height:466" id="docshape1111" filled="false" stroked="true" strokeweight=".933014pt" strokecolor="#231f20">
                  <v:stroke dashstyle="solid"/>
                </v:rect>
                <v:rect style="position:absolute;left:7111;top:3858;width:1225;height:466" id="docshape1112" filled="true" fillcolor="#d7eddd" stroked="false">
                  <v:fill type="solid"/>
                </v:rect>
                <v:rect style="position:absolute;left:7111;top:3858;width:1225;height:466" id="docshape1113" filled="false" stroked="true" strokeweight=".933014pt" strokecolor="#231f20">
                  <v:stroke dashstyle="solid"/>
                </v:rect>
                <v:rect style="position:absolute;left:8479;top:3858;width:1512;height:466" id="docshape1114" filled="true" fillcolor="#d7eddd" stroked="false">
                  <v:fill type="solid"/>
                </v:rect>
                <v:rect style="position:absolute;left:8479;top:3858;width:1512;height:466" id="docshape1115" filled="false" stroked="true" strokeweight=".933014pt" strokecolor="#231f20">
                  <v:stroke dashstyle="solid"/>
                </v:rect>
                <v:shape style="position:absolute;left:6977;top:-572;width:2258;height:125" id="docshape1116" coordorigin="6978,-572" coordsize="2258,125" path="m6978,-447l6978,-572,9235,-572,9235,-451e" filled="false" stroked="true" strokeweight=".933014pt" strokecolor="#231f20">
                  <v:path arrowok="t"/>
                  <v:stroke dashstyle="solid"/>
                </v:shape>
                <v:shape style="position:absolute;left:6916;top:-494;width:2380;height:153" id="docshape1117" coordorigin="6917,-494" coordsize="2380,153" path="m7038,-490l6978,-455,6917,-490,6978,-342,7038,-490xm9296,-494l9235,-459,9175,-494,9235,-345,9296,-494xe" filled="true" fillcolor="#231f20" stroked="false">
                  <v:path arrowok="t"/>
                  <v:fill type="solid"/>
                </v:shape>
                <v:line style="position:absolute" from="8106,-700" to="8106,-578" stroked="true" strokeweight=".933014pt" strokecolor="#231f20">
                  <v:stroke dashstyle="solid"/>
                </v:line>
                <v:rect style="position:absolute;left:8260;top:1069;width:439;height:279" id="docshape1118" filled="true" fillcolor="#d7eddd" stroked="false">
                  <v:fill type="solid"/>
                </v:rect>
                <v:rect style="position:absolute;left:8260;top:1069;width:439;height:279" id="docshape1119" filled="false" stroked="true" strokeweight=".933014pt" strokecolor="#231f20">
                  <v:stroke dashstyle="solid"/>
                </v:rect>
                <v:rect style="position:absolute;left:9772;top:1069;width:439;height:279" id="docshape1120" filled="true" fillcolor="#d7eddd" stroked="false">
                  <v:fill type="solid"/>
                </v:rect>
                <v:rect style="position:absolute;left:9772;top:1069;width:439;height:279" id="docshape1121" filled="false" stroked="true" strokeweight=".933014pt" strokecolor="#231f20">
                  <v:stroke dashstyle="solid"/>
                </v:rect>
                <v:rect style="position:absolute;left:7646;top:1663;width:1667;height:279" id="docshape1122" filled="true" fillcolor="#d7eddd" stroked="false">
                  <v:fill type="solid"/>
                </v:rect>
                <v:rect style="position:absolute;left:7646;top:1663;width:1667;height:279" id="docshape1123" filled="false" stroked="true" strokeweight=".933014pt" strokecolor="#231f20">
                  <v:stroke dashstyle="solid"/>
                </v:rect>
                <v:rect style="position:absolute;left:9450;top:1663;width:1082;height:447" id="docshape1124" filled="true" fillcolor="#d7eddd" stroked="false">
                  <v:fill type="solid"/>
                </v:rect>
                <v:shape style="position:absolute;left:8479;top:842;width:2053;height:1268" id="docshape1125" coordorigin="8480,843" coordsize="2053,1268" path="m10532,2110l9450,2110,9450,1663,10532,1663,10532,2110xm8480,968l8480,843,9991,843,9991,964e" filled="false" stroked="true" strokeweight=".933014pt" strokecolor="#231f20">
                  <v:path arrowok="t"/>
                  <v:stroke dashstyle="solid"/>
                </v:shape>
                <v:shape style="position:absolute;left:8419;top:920;width:1633;height:153" id="docshape1126" coordorigin="8419,921" coordsize="1633,153" path="m8540,925l8480,960,8419,925,8480,1073,8540,925xm10052,921l9991,956,9930,921,9991,1069,10052,921xe" filled="true" fillcolor="#231f20" stroked="false">
                  <v:path arrowok="t"/>
                  <v:fill type="solid"/>
                </v:shape>
                <v:shape style="position:absolute;left:9235;top:-67;width:2;height:904" id="docshape1127" coordorigin="9235,-66" coordsize="0,904" path="m9235,714l9235,837m9235,-66l9235,143e" filled="false" stroked="true" strokeweight=".933014pt" strokecolor="#231f20">
                  <v:path arrowok="t"/>
                  <v:stroke dashstyle="solid"/>
                </v:shape>
                <v:shape style="position:absolute;left:9174;top:100;width:122;height:149" id="docshape1128" coordorigin="9175,100" coordsize="122,149" path="m9296,100l9235,135,9175,100,9235,249,9296,100xe" filled="true" fillcolor="#231f20" stroked="false">
                  <v:path arrowok="t"/>
                  <v:fill type="solid"/>
                </v:shape>
                <v:line style="position:absolute" from="8104,-2134" to="8104,-1924" stroked="true" strokeweight=".933014pt" strokecolor="#231f20">
                  <v:stroke dashstyle="solid"/>
                </v:line>
                <v:shape style="position:absolute;left:8043;top:-1968;width:122;height:149" id="docshape1129" coordorigin="8043,-1968" coordsize="122,149" path="m8165,-1968l8104,-1932,8043,-1968,8104,-1819,8165,-1968xe" filled="true" fillcolor="#231f20" stroked="false">
                  <v:path arrowok="t"/>
                  <v:fill type="solid"/>
                </v:shape>
                <v:line style="position:absolute" from="6975,-66" to="6975,143" stroked="true" strokeweight=".933014pt" strokecolor="#231f20">
                  <v:stroke dashstyle="solid"/>
                </v:line>
                <v:shape style="position:absolute;left:6914;top:100;width:122;height:149" id="docshape1130" coordorigin="6914,100" coordsize="122,149" path="m7035,100l6975,135,6914,100,6975,249,7035,100xe" filled="true" fillcolor="#231f20" stroked="false">
                  <v:path arrowok="t"/>
                  <v:fill type="solid"/>
                </v:shape>
                <v:line style="position:absolute" from="9991,1348" to="9991,1558" stroked="true" strokeweight=".933014pt" strokecolor="#231f20">
                  <v:stroke dashstyle="solid"/>
                </v:line>
                <v:shape style="position:absolute;left:9930;top:1514;width:122;height:149" id="docshape1131" coordorigin="9930,1515" coordsize="122,149" path="m10052,1515l9991,1550,9930,1515,9991,1663,10052,1515xe" filled="true" fillcolor="#231f20" stroked="false">
                  <v:path arrowok="t"/>
                  <v:fill type="solid"/>
                </v:shape>
                <v:line style="position:absolute" from="8480,1348" to="8480,1558" stroked="true" strokeweight=".933014pt" strokecolor="#231f20">
                  <v:stroke dashstyle="solid"/>
                </v:line>
                <v:shape style="position:absolute;left:8419;top:1514;width:122;height:149" id="docshape1132" coordorigin="8419,1515" coordsize="122,149" path="m8540,1515l8480,1550,8419,1515,8480,1663,8540,1515xe" filled="true" fillcolor="#231f20" stroked="false">
                  <v:path arrowok="t"/>
                  <v:fill type="solid"/>
                </v:shape>
                <v:rect style="position:absolute;left:7504;top:3264;width:439;height:279" id="docshape1133" filled="true" fillcolor="#d7eddd" stroked="false">
                  <v:fill type="solid"/>
                </v:rect>
                <v:rect style="position:absolute;left:7504;top:3264;width:439;height:279" id="docshape1134" filled="false" stroked="true" strokeweight=".933014pt" strokecolor="#231f20">
                  <v:stroke dashstyle="solid"/>
                </v:rect>
                <v:rect style="position:absolute;left:9016;top:3264;width:439;height:279" id="docshape1135" filled="true" fillcolor="#d7eddd" stroked="false">
                  <v:fill type="solid"/>
                </v:rect>
                <v:shape style="position:absolute;left:7724;top:3037;width:1731;height:506" id="docshape1136" coordorigin="7724,3038" coordsize="1731,506" path="m9455,3544l9016,3544,9016,3265,9455,3265,9455,3544xm7724,3163l7724,3038,9235,3038,9235,3159e" filled="false" stroked="true" strokeweight=".933014pt" strokecolor="#231f20">
                  <v:path arrowok="t"/>
                  <v:stroke dashstyle="solid"/>
                </v:shape>
                <v:shape style="position:absolute;left:7663;top:3116;width:1633;height:153" id="docshape1137" coordorigin="7663,3116" coordsize="1633,153" path="m7785,3120l7724,3155,7663,3120,7724,3268,7785,3120xm9296,3116l9235,3151,9175,3116,9235,3265,9296,3116xe" filled="true" fillcolor="#231f20" stroked="false">
                  <v:path arrowok="t"/>
                  <v:fill type="solid"/>
                </v:shape>
                <v:shape style="position:absolute;left:8479;top:2909;width:756;height:844" id="docshape1138" coordorigin="8480,2910" coordsize="756,844" path="m8480,2910l8480,3032m9235,3544l9235,3753e" filled="false" stroked="true" strokeweight=".933014pt" strokecolor="#231f20">
                  <v:path arrowok="t"/>
                  <v:stroke dashstyle="solid"/>
                </v:shape>
                <v:shape style="position:absolute;left:9174;top:3710;width:122;height:149" id="docshape1139" coordorigin="9175,3710" coordsize="122,149" path="m9296,3710l9235,3745,9175,3710,9235,3859,9296,3710xe" filled="true" fillcolor="#231f20" stroked="false">
                  <v:path arrowok="t"/>
                  <v:fill type="solid"/>
                </v:shape>
                <v:line style="position:absolute" from="7724,3544" to="7724,3753" stroked="true" strokeweight=".933014pt" strokecolor="#231f20">
                  <v:stroke dashstyle="solid"/>
                </v:line>
                <v:shape style="position:absolute;left:7663;top:3710;width:122;height:149" id="docshape1140" coordorigin="7663,3710" coordsize="122,149" path="m7785,3710l7724,3745,7663,3710,7724,3859,7785,3710xe" filled="true" fillcolor="#231f20" stroked="false">
                  <v:path arrowok="t"/>
                  <v:fill type="solid"/>
                </v:shape>
                <v:rect style="position:absolute;left:8074;top:5459;width:439;height:279" id="docshape1141" filled="true" fillcolor="#d7eddd" stroked="false">
                  <v:fill type="solid"/>
                </v:rect>
                <v:rect style="position:absolute;left:8074;top:5459;width:439;height:279" id="docshape1142" filled="false" stroked="true" strokeweight=".933014pt" strokecolor="#231f20">
                  <v:stroke dashstyle="solid"/>
                </v:rect>
                <v:rect style="position:absolute;left:9958;top:5459;width:439;height:279" id="docshape1143" filled="true" fillcolor="#d7eddd" stroked="false">
                  <v:fill type="solid"/>
                </v:rect>
                <v:shape style="position:absolute;left:8293;top:5233;width:2104;height:506" id="docshape1144" coordorigin="8293,5233" coordsize="2104,506" path="m10397,5739l9959,5739,9959,5460,10397,5460,10397,5739xm8293,5358l8293,5233,10178,5233,10178,5355e" filled="false" stroked="true" strokeweight=".933014pt" strokecolor="#231f20">
                  <v:path arrowok="t"/>
                  <v:stroke dashstyle="solid"/>
                </v:shape>
                <v:shape style="position:absolute;left:8232;top:5311;width:2006;height:153" id="docshape1145" coordorigin="8232,5311" coordsize="2006,153" path="m8354,5315l8293,5350,8232,5315,8293,5464,8354,5315xm10238,5311l10178,5347,10117,5311,10178,5460,10238,5311xe" filled="true" fillcolor="#231f20" stroked="false">
                  <v:path arrowok="t"/>
                  <v:fill type="solid"/>
                </v:shape>
                <v:shape style="position:absolute;left:9235;top:5104;width:943;height:844" id="docshape1146" coordorigin="9235,5105" coordsize="943,844" path="m9235,5105l9235,5227m10178,5739l10178,5949e" filled="false" stroked="true" strokeweight=".933014pt" strokecolor="#231f20">
                  <v:path arrowok="t"/>
                  <v:stroke dashstyle="solid"/>
                </v:shape>
                <v:shape style="position:absolute;left:10117;top:5905;width:122;height:149" id="docshape1147" coordorigin="10117,5905" coordsize="122,149" path="m10238,5905l10178,5941,10117,5905,10178,6054,10238,5905xe" filled="true" fillcolor="#231f20" stroked="false">
                  <v:path arrowok="t"/>
                  <v:fill type="solid"/>
                </v:shape>
                <v:line style="position:absolute" from="8293,5739" to="8293,5949" stroked="true" strokeweight=".933014pt" strokecolor="#231f20">
                  <v:stroke dashstyle="solid"/>
                </v:line>
                <v:shape style="position:absolute;left:8232;top:5905;width:122;height:149" id="docshape1148" coordorigin="8232,5905" coordsize="122,149" path="m8354,5905l8293,5941,8232,5905,8293,6054,8354,5905xe" filled="true" fillcolor="#231f20" stroked="false">
                  <v:path arrowok="t"/>
                  <v:fill type="solid"/>
                </v:shape>
                <v:line style="position:absolute" from="8480,1942" to="8480,2152" stroked="true" strokeweight=".933014pt" strokecolor="#231f20">
                  <v:stroke dashstyle="solid"/>
                </v:line>
                <v:shape style="position:absolute;left:8419;top:2108;width:122;height:149" id="docshape1149" coordorigin="8419,2109" coordsize="122,149" path="m8540,2109l8480,2144,8419,2109,8480,2257,8540,2109xe" filled="true" fillcolor="#231f20" stroked="false">
                  <v:path arrowok="t"/>
                  <v:fill type="solid"/>
                </v:shape>
                <v:line style="position:absolute" from="9235,4324" to="9235,4534" stroked="true" strokeweight=".933014pt" strokecolor="#231f20">
                  <v:stroke dashstyle="solid"/>
                </v:line>
                <v:shape style="position:absolute;left:9174;top:4490;width:122;height:149" id="docshape1150" coordorigin="9175,4491" coordsize="122,149" path="m9296,4491l9235,4526,9175,4491,9235,4639,9296,4491xe" filled="true" fillcolor="#231f20" stroked="false">
                  <v:path arrowok="t"/>
                  <v:fill type="solid"/>
                </v:shape>
                <v:shape style="position:absolute;left:6759;top:-2917;width:2690;height:783" type="#_x0000_t202" id="docshape1151" filled="true" fillcolor="#d7eddd" stroked="true" strokeweight=".933014pt" strokecolor="#231f20">
                  <v:textbox inset="0,0,0,0">
                    <w:txbxContent>
                      <w:p>
                        <w:pPr>
                          <w:spacing w:line="232" w:lineRule="auto" w:before="38"/>
                          <w:ind w:left="453" w:right="448" w:firstLine="14"/>
                          <w:jc w:val="center"/>
                          <w:rPr>
                            <w:rFonts w:ascii="Arial MT"/>
                            <w:color w:val="000000"/>
                            <w:sz w:val="15"/>
                          </w:rPr>
                        </w:pPr>
                        <w:r>
                          <w:rPr>
                            <w:rFonts w:ascii="Arial MT"/>
                            <w:color w:val="231F20"/>
                            <w:spacing w:val="-2"/>
                            <w:sz w:val="15"/>
                          </w:rPr>
                          <w:t>Fever</w:t>
                        </w:r>
                        <w:r>
                          <w:rPr>
                            <w:rFonts w:ascii="Arial MT"/>
                            <w:color w:val="231F20"/>
                            <w:sz w:val="15"/>
                          </w:rPr>
                          <w:t> </w:t>
                        </w:r>
                        <w:r>
                          <w:rPr>
                            <w:rFonts w:ascii="Arial MT"/>
                            <w:color w:val="231F20"/>
                            <w:spacing w:val="-2"/>
                            <w:sz w:val="15"/>
                          </w:rPr>
                          <w:t>Lethargy/malaise/irritability</w:t>
                        </w:r>
                        <w:r>
                          <w:rPr>
                            <w:rFonts w:ascii="Arial MT"/>
                            <w:color w:val="231F20"/>
                            <w:sz w:val="15"/>
                          </w:rPr>
                          <w:t> </w:t>
                        </w:r>
                        <w:r>
                          <w:rPr>
                            <w:rFonts w:ascii="Arial MT"/>
                            <w:color w:val="231F20"/>
                            <w:spacing w:val="-2"/>
                            <w:sz w:val="15"/>
                          </w:rPr>
                          <w:t>Otalgia</w:t>
                        </w:r>
                      </w:p>
                      <w:p>
                        <w:pPr>
                          <w:spacing w:line="170" w:lineRule="exact" w:before="0"/>
                          <w:ind w:left="5" w:right="0" w:firstLine="0"/>
                          <w:jc w:val="center"/>
                          <w:rPr>
                            <w:rFonts w:ascii="Arial MT"/>
                            <w:color w:val="000000"/>
                            <w:sz w:val="15"/>
                          </w:rPr>
                        </w:pPr>
                        <w:r>
                          <w:rPr>
                            <w:rFonts w:ascii="Arial MT"/>
                            <w:color w:val="231F20"/>
                            <w:sz w:val="15"/>
                          </w:rPr>
                          <w:t>Bulging</w:t>
                        </w:r>
                        <w:r>
                          <w:rPr>
                            <w:rFonts w:ascii="Arial MT"/>
                            <w:color w:val="231F20"/>
                            <w:spacing w:val="-9"/>
                            <w:sz w:val="15"/>
                          </w:rPr>
                          <w:t> </w:t>
                        </w:r>
                        <w:r>
                          <w:rPr>
                            <w:rFonts w:ascii="Arial MT"/>
                            <w:color w:val="231F20"/>
                            <w:sz w:val="15"/>
                          </w:rPr>
                          <w:t>or</w:t>
                        </w:r>
                        <w:r>
                          <w:rPr>
                            <w:rFonts w:ascii="Arial MT"/>
                            <w:color w:val="231F20"/>
                            <w:spacing w:val="-8"/>
                            <w:sz w:val="15"/>
                          </w:rPr>
                          <w:t> </w:t>
                        </w:r>
                        <w:r>
                          <w:rPr>
                            <w:rFonts w:ascii="Arial MT"/>
                            <w:color w:val="231F20"/>
                            <w:sz w:val="15"/>
                          </w:rPr>
                          <w:t>erythematous</w:t>
                        </w:r>
                        <w:r>
                          <w:rPr>
                            <w:rFonts w:ascii="Arial MT"/>
                            <w:color w:val="231F20"/>
                            <w:spacing w:val="-10"/>
                            <w:sz w:val="15"/>
                          </w:rPr>
                          <w:t> </w:t>
                        </w:r>
                        <w:r>
                          <w:rPr>
                            <w:rFonts w:ascii="Arial MT"/>
                            <w:color w:val="231F20"/>
                            <w:spacing w:val="-5"/>
                            <w:sz w:val="15"/>
                          </w:rPr>
                          <w:t>TM</w:t>
                        </w:r>
                      </w:p>
                    </w:txbxContent>
                  </v:textbox>
                  <v:fill type="solid"/>
                  <v:stroke dashstyle="solid"/>
                  <w10:wrap type="none"/>
                </v:shape>
                <v:shape style="position:absolute;left:7205;top:3933;width:2709;height:318" type="#_x0000_t202" id="docshape1152" filled="false" stroked="false">
                  <v:textbox inset="0,0,0,0">
                    <w:txbxContent>
                      <w:p>
                        <w:pPr>
                          <w:tabs>
                            <w:tab w:pos="1733" w:val="left" w:leader="none"/>
                          </w:tabs>
                          <w:spacing w:line="144" w:lineRule="exact" w:before="0"/>
                          <w:ind w:left="0" w:right="0" w:firstLine="0"/>
                          <w:jc w:val="left"/>
                          <w:rPr>
                            <w:rFonts w:ascii="Arial MT"/>
                            <w:sz w:val="15"/>
                          </w:rPr>
                        </w:pPr>
                        <w:r>
                          <w:rPr>
                            <w:rFonts w:ascii="Arial MT"/>
                            <w:color w:val="231F20"/>
                            <w:spacing w:val="-2"/>
                            <w:sz w:val="15"/>
                          </w:rPr>
                          <w:t>Otolaryngology</w:t>
                        </w:r>
                        <w:r>
                          <w:rPr>
                            <w:rFonts w:ascii="Arial MT"/>
                            <w:color w:val="231F20"/>
                            <w:sz w:val="15"/>
                          </w:rPr>
                          <w:tab/>
                          <w:t>Admit</w:t>
                        </w:r>
                        <w:r>
                          <w:rPr>
                            <w:rFonts w:ascii="Arial MT"/>
                            <w:color w:val="231F20"/>
                            <w:spacing w:val="-5"/>
                            <w:sz w:val="15"/>
                          </w:rPr>
                          <w:t> for</w:t>
                        </w:r>
                      </w:p>
                      <w:p>
                        <w:pPr>
                          <w:tabs>
                            <w:tab w:pos="1376" w:val="left" w:leader="none"/>
                          </w:tabs>
                          <w:spacing w:line="170" w:lineRule="exact" w:before="0"/>
                          <w:ind w:left="267" w:right="0" w:firstLine="0"/>
                          <w:jc w:val="left"/>
                          <w:rPr>
                            <w:rFonts w:ascii="Arial MT"/>
                            <w:sz w:val="15"/>
                          </w:rPr>
                        </w:pPr>
                        <w:r>
                          <w:rPr>
                            <w:rFonts w:ascii="Arial MT"/>
                            <w:color w:val="231F20"/>
                            <w:spacing w:val="-2"/>
                            <w:sz w:val="15"/>
                          </w:rPr>
                          <w:t>consult</w:t>
                        </w:r>
                        <w:r>
                          <w:rPr>
                            <w:rFonts w:ascii="Arial MT"/>
                            <w:color w:val="231F20"/>
                            <w:sz w:val="15"/>
                          </w:rPr>
                          <w:tab/>
                          <w:t>IV</w:t>
                        </w:r>
                        <w:r>
                          <w:rPr>
                            <w:rFonts w:ascii="Arial MT"/>
                            <w:color w:val="231F20"/>
                            <w:spacing w:val="-5"/>
                            <w:sz w:val="15"/>
                          </w:rPr>
                          <w:t> </w:t>
                        </w:r>
                        <w:r>
                          <w:rPr>
                            <w:rFonts w:ascii="Arial MT"/>
                            <w:color w:val="231F20"/>
                            <w:sz w:val="15"/>
                          </w:rPr>
                          <w:t>antibiotic</w:t>
                        </w:r>
                        <w:r>
                          <w:rPr>
                            <w:rFonts w:ascii="Arial MT"/>
                            <w:color w:val="231F20"/>
                            <w:spacing w:val="-5"/>
                            <w:sz w:val="15"/>
                          </w:rPr>
                          <w:t> </w:t>
                        </w:r>
                        <w:r>
                          <w:rPr>
                            <w:rFonts w:ascii="Arial MT"/>
                            <w:color w:val="231F20"/>
                            <w:spacing w:val="-2"/>
                            <w:sz w:val="15"/>
                          </w:rPr>
                          <w:t>therapy</w:t>
                        </w:r>
                      </w:p>
                    </w:txbxContent>
                  </v:textbox>
                  <w10:wrap type="none"/>
                </v:shape>
                <v:shape style="position:absolute;left:9139;top:3337;width:211;height:150" type="#_x0000_t202" id="docshape1153"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No</w:t>
                        </w:r>
                      </w:p>
                    </w:txbxContent>
                  </v:textbox>
                  <w10:wrap type="none"/>
                </v:shape>
                <v:shape style="position:absolute;left:7605;top:3337;width:264;height:150" type="#_x0000_t202" id="docshape1154"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Yes</w:t>
                        </w:r>
                      </w:p>
                    </w:txbxContent>
                  </v:textbox>
                  <w10:wrap type="none"/>
                </v:shape>
                <v:shape style="position:absolute;left:7367;top:1742;width:3115;height:1086" type="#_x0000_t202" id="docshape1155" filled="false" stroked="false">
                  <v:textbox inset="0,0,0,0">
                    <w:txbxContent>
                      <w:p>
                        <w:pPr>
                          <w:tabs>
                            <w:tab w:pos="2145" w:val="left" w:leader="none"/>
                          </w:tabs>
                          <w:spacing w:line="144" w:lineRule="exact" w:before="0"/>
                          <w:ind w:left="395" w:right="0" w:firstLine="0"/>
                          <w:jc w:val="left"/>
                          <w:rPr>
                            <w:rFonts w:ascii="Arial MT"/>
                            <w:sz w:val="15"/>
                          </w:rPr>
                        </w:pPr>
                        <w:r>
                          <w:rPr>
                            <w:rFonts w:ascii="Arial MT"/>
                            <w:color w:val="231F20"/>
                            <w:sz w:val="15"/>
                          </w:rPr>
                          <w:t>CT</w:t>
                        </w:r>
                        <w:r>
                          <w:rPr>
                            <w:rFonts w:ascii="Arial MT"/>
                            <w:color w:val="231F20"/>
                            <w:spacing w:val="-8"/>
                            <w:sz w:val="15"/>
                          </w:rPr>
                          <w:t> </w:t>
                        </w:r>
                        <w:r>
                          <w:rPr>
                            <w:rFonts w:ascii="Arial MT"/>
                            <w:color w:val="231F20"/>
                            <w:sz w:val="15"/>
                          </w:rPr>
                          <w:t>scan</w:t>
                        </w:r>
                        <w:r>
                          <w:rPr>
                            <w:rFonts w:ascii="Arial MT"/>
                            <w:color w:val="231F20"/>
                            <w:spacing w:val="-6"/>
                            <w:sz w:val="15"/>
                          </w:rPr>
                          <w:t> </w:t>
                        </w:r>
                        <w:r>
                          <w:rPr>
                            <w:rFonts w:ascii="Arial MT"/>
                            <w:color w:val="231F20"/>
                            <w:sz w:val="15"/>
                          </w:rPr>
                          <w:t>with</w:t>
                        </w:r>
                        <w:r>
                          <w:rPr>
                            <w:rFonts w:ascii="Arial MT"/>
                            <w:color w:val="231F20"/>
                            <w:spacing w:val="-5"/>
                            <w:sz w:val="15"/>
                          </w:rPr>
                          <w:t> </w:t>
                        </w:r>
                        <w:r>
                          <w:rPr>
                            <w:rFonts w:ascii="Arial MT"/>
                            <w:color w:val="231F20"/>
                            <w:spacing w:val="-2"/>
                            <w:sz w:val="15"/>
                          </w:rPr>
                          <w:t>contrast</w:t>
                        </w:r>
                        <w:r>
                          <w:rPr>
                            <w:rFonts w:ascii="Arial MT"/>
                            <w:color w:val="231F20"/>
                            <w:sz w:val="15"/>
                          </w:rPr>
                          <w:tab/>
                          <w:t>Treat</w:t>
                        </w:r>
                        <w:r>
                          <w:rPr>
                            <w:rFonts w:ascii="Arial MT"/>
                            <w:color w:val="231F20"/>
                            <w:spacing w:val="-7"/>
                            <w:sz w:val="15"/>
                          </w:rPr>
                          <w:t> </w:t>
                        </w:r>
                        <w:r>
                          <w:rPr>
                            <w:rFonts w:ascii="Arial MT"/>
                            <w:color w:val="231F20"/>
                            <w:sz w:val="15"/>
                          </w:rPr>
                          <w:t>as</w:t>
                        </w:r>
                        <w:r>
                          <w:rPr>
                            <w:rFonts w:ascii="Arial MT"/>
                            <w:color w:val="231F20"/>
                            <w:spacing w:val="-7"/>
                            <w:sz w:val="15"/>
                          </w:rPr>
                          <w:t> </w:t>
                        </w:r>
                        <w:r>
                          <w:rPr>
                            <w:rFonts w:ascii="Arial MT"/>
                            <w:color w:val="231F20"/>
                            <w:spacing w:val="-2"/>
                            <w:sz w:val="15"/>
                          </w:rPr>
                          <w:t>acute</w:t>
                        </w:r>
                      </w:p>
                      <w:p>
                        <w:pPr>
                          <w:spacing w:line="170" w:lineRule="exact" w:before="0"/>
                          <w:ind w:left="2236" w:right="0" w:firstLine="0"/>
                          <w:jc w:val="left"/>
                          <w:rPr>
                            <w:rFonts w:ascii="Arial MT"/>
                            <w:sz w:val="15"/>
                          </w:rPr>
                        </w:pPr>
                        <w:r>
                          <w:rPr>
                            <w:rFonts w:ascii="Arial MT"/>
                            <w:color w:val="231F20"/>
                            <w:sz w:val="15"/>
                          </w:rPr>
                          <w:t>otitis</w:t>
                        </w:r>
                        <w:r>
                          <w:rPr>
                            <w:rFonts w:ascii="Arial MT"/>
                            <w:color w:val="231F20"/>
                            <w:spacing w:val="-5"/>
                            <w:sz w:val="15"/>
                          </w:rPr>
                          <w:t> </w:t>
                        </w:r>
                        <w:r>
                          <w:rPr>
                            <w:rFonts w:ascii="Arial MT"/>
                            <w:color w:val="231F20"/>
                            <w:spacing w:val="-2"/>
                            <w:sz w:val="15"/>
                          </w:rPr>
                          <w:t>media</w:t>
                        </w:r>
                      </w:p>
                      <w:p>
                        <w:pPr>
                          <w:spacing w:line="240" w:lineRule="auto" w:before="87"/>
                          <w:rPr>
                            <w:rFonts w:ascii="Arial MT"/>
                            <w:sz w:val="15"/>
                          </w:rPr>
                        </w:pPr>
                      </w:p>
                      <w:p>
                        <w:pPr>
                          <w:spacing w:line="170" w:lineRule="exact" w:before="0"/>
                          <w:ind w:left="0" w:right="883" w:firstLine="0"/>
                          <w:jc w:val="center"/>
                          <w:rPr>
                            <w:rFonts w:ascii="Arial MT"/>
                            <w:sz w:val="15"/>
                          </w:rPr>
                        </w:pPr>
                        <w:r>
                          <w:rPr>
                            <w:rFonts w:ascii="Arial MT"/>
                            <w:color w:val="231F20"/>
                            <w:sz w:val="15"/>
                          </w:rPr>
                          <w:t>Postauricular</w:t>
                        </w:r>
                        <w:r>
                          <w:rPr>
                            <w:rFonts w:ascii="Arial MT"/>
                            <w:color w:val="231F20"/>
                            <w:spacing w:val="-10"/>
                            <w:sz w:val="15"/>
                          </w:rPr>
                          <w:t> </w:t>
                        </w:r>
                        <w:r>
                          <w:rPr>
                            <w:rFonts w:ascii="Arial MT"/>
                            <w:color w:val="231F20"/>
                            <w:spacing w:val="-2"/>
                            <w:sz w:val="15"/>
                          </w:rPr>
                          <w:t>abscess?</w:t>
                        </w:r>
                      </w:p>
                      <w:p>
                        <w:pPr>
                          <w:spacing w:line="232" w:lineRule="auto" w:before="2"/>
                          <w:ind w:left="0" w:right="889" w:hanging="4"/>
                          <w:jc w:val="center"/>
                          <w:rPr>
                            <w:rFonts w:ascii="Arial MT"/>
                            <w:sz w:val="15"/>
                          </w:rPr>
                        </w:pPr>
                        <w:r>
                          <w:rPr>
                            <w:rFonts w:ascii="Arial MT"/>
                            <w:color w:val="231F20"/>
                            <w:sz w:val="15"/>
                          </w:rPr>
                          <w:t>Mastoid cortical bony erosion? Coalescence</w:t>
                        </w:r>
                        <w:r>
                          <w:rPr>
                            <w:rFonts w:ascii="Arial MT"/>
                            <w:color w:val="231F20"/>
                            <w:spacing w:val="-11"/>
                            <w:sz w:val="15"/>
                          </w:rPr>
                          <w:t> </w:t>
                        </w:r>
                        <w:r>
                          <w:rPr>
                            <w:rFonts w:ascii="Arial MT"/>
                            <w:color w:val="231F20"/>
                            <w:sz w:val="15"/>
                          </w:rPr>
                          <w:t>of</w:t>
                        </w:r>
                        <w:r>
                          <w:rPr>
                            <w:rFonts w:ascii="Arial MT"/>
                            <w:color w:val="231F20"/>
                            <w:spacing w:val="-10"/>
                            <w:sz w:val="15"/>
                          </w:rPr>
                          <w:t> </w:t>
                        </w:r>
                        <w:r>
                          <w:rPr>
                            <w:rFonts w:ascii="Arial MT"/>
                            <w:color w:val="231F20"/>
                            <w:sz w:val="15"/>
                          </w:rPr>
                          <w:t>mastoid</w:t>
                        </w:r>
                        <w:r>
                          <w:rPr>
                            <w:rFonts w:ascii="Arial MT"/>
                            <w:color w:val="231F20"/>
                            <w:spacing w:val="-11"/>
                            <w:sz w:val="15"/>
                          </w:rPr>
                          <w:t> </w:t>
                        </w:r>
                        <w:r>
                          <w:rPr>
                            <w:rFonts w:ascii="Arial MT"/>
                            <w:color w:val="231F20"/>
                            <w:sz w:val="15"/>
                          </w:rPr>
                          <w:t>air</w:t>
                        </w:r>
                        <w:r>
                          <w:rPr>
                            <w:rFonts w:ascii="Arial MT"/>
                            <w:color w:val="231F20"/>
                            <w:spacing w:val="-10"/>
                            <w:sz w:val="15"/>
                          </w:rPr>
                          <w:t> </w:t>
                        </w:r>
                        <w:r>
                          <w:rPr>
                            <w:rFonts w:ascii="Arial MT"/>
                            <w:color w:val="231F20"/>
                            <w:sz w:val="15"/>
                          </w:rPr>
                          <w:t>cells?</w:t>
                        </w:r>
                      </w:p>
                    </w:txbxContent>
                  </v:textbox>
                  <w10:wrap type="none"/>
                </v:shape>
                <v:shape style="position:absolute;left:9895;top:1142;width:211;height:150" type="#_x0000_t202" id="docshape1156"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No</w:t>
                        </w:r>
                      </w:p>
                    </w:txbxContent>
                  </v:textbox>
                  <w10:wrap type="none"/>
                </v:shape>
                <v:shape style="position:absolute;left:8361;top:1142;width:264;height:150" type="#_x0000_t202" id="docshape1157"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Yes</w:t>
                        </w:r>
                      </w:p>
                    </w:txbxContent>
                  </v:textbox>
                  <w10:wrap type="none"/>
                </v:shape>
                <v:shape style="position:absolute;left:6198;top:333;width:4180;height:486" type="#_x0000_t202" id="docshape1158" filled="false" stroked="false">
                  <v:textbox inset="0,0,0,0">
                    <w:txbxContent>
                      <w:p>
                        <w:pPr>
                          <w:tabs>
                            <w:tab w:pos="1919" w:val="left" w:leader="none"/>
                          </w:tabs>
                          <w:spacing w:line="144" w:lineRule="exact" w:before="0"/>
                          <w:ind w:left="58" w:right="0" w:firstLine="0"/>
                          <w:jc w:val="left"/>
                          <w:rPr>
                            <w:rFonts w:ascii="Arial MT"/>
                            <w:sz w:val="15"/>
                          </w:rPr>
                        </w:pPr>
                        <w:r>
                          <w:rPr>
                            <w:rFonts w:ascii="Arial MT"/>
                            <w:color w:val="231F20"/>
                            <w:sz w:val="15"/>
                          </w:rPr>
                          <w:t>CT</w:t>
                        </w:r>
                        <w:r>
                          <w:rPr>
                            <w:rFonts w:ascii="Arial MT"/>
                            <w:color w:val="231F20"/>
                            <w:spacing w:val="-8"/>
                            <w:sz w:val="15"/>
                          </w:rPr>
                          <w:t> </w:t>
                        </w:r>
                        <w:r>
                          <w:rPr>
                            <w:rFonts w:ascii="Arial MT"/>
                            <w:color w:val="231F20"/>
                            <w:sz w:val="15"/>
                          </w:rPr>
                          <w:t>scan</w:t>
                        </w:r>
                        <w:r>
                          <w:rPr>
                            <w:rFonts w:ascii="Arial MT"/>
                            <w:color w:val="231F20"/>
                            <w:spacing w:val="-6"/>
                            <w:sz w:val="15"/>
                          </w:rPr>
                          <w:t> </w:t>
                        </w:r>
                        <w:r>
                          <w:rPr>
                            <w:rFonts w:ascii="Arial MT"/>
                            <w:color w:val="231F20"/>
                            <w:sz w:val="15"/>
                          </w:rPr>
                          <w:t>with</w:t>
                        </w:r>
                        <w:r>
                          <w:rPr>
                            <w:rFonts w:ascii="Arial MT"/>
                            <w:color w:val="231F20"/>
                            <w:spacing w:val="-5"/>
                            <w:sz w:val="15"/>
                          </w:rPr>
                          <w:t> </w:t>
                        </w:r>
                        <w:r>
                          <w:rPr>
                            <w:rFonts w:ascii="Arial MT"/>
                            <w:color w:val="231F20"/>
                            <w:spacing w:val="-2"/>
                            <w:sz w:val="15"/>
                          </w:rPr>
                          <w:t>contrast</w:t>
                        </w:r>
                        <w:r>
                          <w:rPr>
                            <w:rFonts w:ascii="Arial MT"/>
                            <w:color w:val="231F20"/>
                            <w:sz w:val="15"/>
                          </w:rPr>
                          <w:tab/>
                          <w:t>Postauricular</w:t>
                        </w:r>
                        <w:r>
                          <w:rPr>
                            <w:rFonts w:ascii="Arial MT"/>
                            <w:color w:val="231F20"/>
                            <w:spacing w:val="-6"/>
                            <w:sz w:val="15"/>
                          </w:rPr>
                          <w:t> </w:t>
                        </w:r>
                        <w:r>
                          <w:rPr>
                            <w:rFonts w:ascii="Arial MT"/>
                            <w:color w:val="231F20"/>
                            <w:sz w:val="15"/>
                          </w:rPr>
                          <w:t>signs</w:t>
                        </w:r>
                        <w:r>
                          <w:rPr>
                            <w:rFonts w:ascii="Arial MT"/>
                            <w:color w:val="231F20"/>
                            <w:spacing w:val="-6"/>
                            <w:sz w:val="15"/>
                          </w:rPr>
                          <w:t> </w:t>
                        </w:r>
                        <w:r>
                          <w:rPr>
                            <w:rFonts w:ascii="Arial MT"/>
                            <w:color w:val="231F20"/>
                            <w:sz w:val="15"/>
                          </w:rPr>
                          <w:t>or</w:t>
                        </w:r>
                        <w:r>
                          <w:rPr>
                            <w:rFonts w:ascii="Arial MT"/>
                            <w:color w:val="231F20"/>
                            <w:spacing w:val="-5"/>
                            <w:sz w:val="15"/>
                          </w:rPr>
                          <w:t> </w:t>
                        </w:r>
                        <w:r>
                          <w:rPr>
                            <w:rFonts w:ascii="Arial MT"/>
                            <w:color w:val="231F20"/>
                            <w:spacing w:val="-2"/>
                            <w:sz w:val="15"/>
                          </w:rPr>
                          <w:t>symptoms?</w:t>
                        </w:r>
                      </w:p>
                      <w:p>
                        <w:pPr>
                          <w:tabs>
                            <w:tab w:pos="1991" w:val="left" w:leader="none"/>
                          </w:tabs>
                          <w:spacing w:line="168" w:lineRule="exact" w:before="0"/>
                          <w:ind w:left="14" w:right="0" w:firstLine="0"/>
                          <w:jc w:val="left"/>
                          <w:rPr>
                            <w:rFonts w:ascii="Arial MT"/>
                            <w:sz w:val="15"/>
                          </w:rPr>
                        </w:pPr>
                        <w:r>
                          <w:rPr>
                            <w:rFonts w:ascii="Arial MT"/>
                            <w:color w:val="231F20"/>
                            <w:spacing w:val="-2"/>
                            <w:sz w:val="15"/>
                          </w:rPr>
                          <w:t>Otolaryngology</w:t>
                        </w:r>
                        <w:r>
                          <w:rPr>
                            <w:rFonts w:ascii="Arial MT"/>
                            <w:color w:val="231F20"/>
                            <w:spacing w:val="16"/>
                            <w:sz w:val="15"/>
                          </w:rPr>
                          <w:t> </w:t>
                        </w:r>
                        <w:r>
                          <w:rPr>
                            <w:rFonts w:ascii="Arial MT"/>
                            <w:color w:val="231F20"/>
                            <w:spacing w:val="-2"/>
                            <w:sz w:val="15"/>
                          </w:rPr>
                          <w:t>consult</w:t>
                        </w:r>
                        <w:r>
                          <w:rPr>
                            <w:rFonts w:ascii="Arial MT"/>
                            <w:color w:val="231F20"/>
                            <w:sz w:val="15"/>
                          </w:rPr>
                          <w:tab/>
                          <w:t>(pain,</w:t>
                        </w:r>
                        <w:r>
                          <w:rPr>
                            <w:rFonts w:ascii="Arial MT"/>
                            <w:color w:val="231F20"/>
                            <w:spacing w:val="-5"/>
                            <w:sz w:val="15"/>
                          </w:rPr>
                          <w:t> </w:t>
                        </w:r>
                        <w:r>
                          <w:rPr>
                            <w:rFonts w:ascii="Arial MT"/>
                            <w:color w:val="231F20"/>
                            <w:sz w:val="15"/>
                          </w:rPr>
                          <w:t>erythema,</w:t>
                        </w:r>
                        <w:r>
                          <w:rPr>
                            <w:rFonts w:ascii="Arial MT"/>
                            <w:color w:val="231F20"/>
                            <w:spacing w:val="-5"/>
                            <w:sz w:val="15"/>
                          </w:rPr>
                          <w:t> </w:t>
                        </w:r>
                        <w:r>
                          <w:rPr>
                            <w:rFonts w:ascii="Arial MT"/>
                            <w:color w:val="231F20"/>
                            <w:sz w:val="15"/>
                          </w:rPr>
                          <w:t>or</w:t>
                        </w:r>
                        <w:r>
                          <w:rPr>
                            <w:rFonts w:ascii="Arial MT"/>
                            <w:color w:val="231F20"/>
                            <w:spacing w:val="-5"/>
                            <w:sz w:val="15"/>
                          </w:rPr>
                          <w:t> </w:t>
                        </w:r>
                        <w:r>
                          <w:rPr>
                            <w:rFonts w:ascii="Arial MT"/>
                            <w:color w:val="231F20"/>
                            <w:spacing w:val="-2"/>
                            <w:sz w:val="15"/>
                          </w:rPr>
                          <w:t>tenderness)</w:t>
                        </w:r>
                      </w:p>
                      <w:p>
                        <w:pPr>
                          <w:spacing w:line="170" w:lineRule="exact" w:before="0"/>
                          <w:ind w:left="0" w:right="0" w:firstLine="0"/>
                          <w:jc w:val="left"/>
                          <w:rPr>
                            <w:rFonts w:ascii="Arial MT" w:hAnsi="Arial MT"/>
                            <w:sz w:val="15"/>
                          </w:rPr>
                        </w:pPr>
                        <w:r>
                          <w:rPr>
                            <w:rFonts w:ascii="Arial MT" w:hAnsi="Arial MT"/>
                            <w:color w:val="231F20"/>
                            <w:sz w:val="15"/>
                          </w:rPr>
                          <w:t>±</w:t>
                        </w:r>
                        <w:r>
                          <w:rPr>
                            <w:rFonts w:ascii="Arial MT" w:hAnsi="Arial MT"/>
                            <w:color w:val="231F20"/>
                            <w:spacing w:val="-1"/>
                            <w:sz w:val="15"/>
                          </w:rPr>
                          <w:t> </w:t>
                        </w:r>
                        <w:r>
                          <w:rPr>
                            <w:rFonts w:ascii="Arial MT" w:hAnsi="Arial MT"/>
                            <w:color w:val="231F20"/>
                            <w:sz w:val="15"/>
                          </w:rPr>
                          <w:t>Neurosurgery</w:t>
                        </w:r>
                        <w:r>
                          <w:rPr>
                            <w:rFonts w:ascii="Arial MT" w:hAnsi="Arial MT"/>
                            <w:color w:val="231F20"/>
                            <w:spacing w:val="-5"/>
                            <w:sz w:val="15"/>
                          </w:rPr>
                          <w:t> </w:t>
                        </w:r>
                        <w:r>
                          <w:rPr>
                            <w:rFonts w:ascii="Arial MT" w:hAnsi="Arial MT"/>
                            <w:color w:val="231F20"/>
                            <w:spacing w:val="-2"/>
                            <w:sz w:val="15"/>
                          </w:rPr>
                          <w:t>consult</w:t>
                        </w:r>
                      </w:p>
                    </w:txbxContent>
                  </v:textbox>
                  <w10:wrap type="none"/>
                </v:shape>
                <v:shape style="position:absolute;left:9139;top:-273;width:211;height:150" type="#_x0000_t202" id="docshape1159"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No</w:t>
                        </w:r>
                      </w:p>
                    </w:txbxContent>
                  </v:textbox>
                  <w10:wrap type="none"/>
                </v:shape>
                <v:shape style="position:absolute;left:6856;top:-273;width:264;height:150" type="#_x0000_t202" id="docshape1160"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Yes</w:t>
                        </w:r>
                      </w:p>
                    </w:txbxContent>
                  </v:textbox>
                  <w10:wrap type="none"/>
                </v:shape>
                <v:shape style="position:absolute;left:6791;top:-1747;width:2651;height:989" type="#_x0000_t202" id="docshape1161" filled="false" stroked="false">
                  <v:textbox inset="0,0,0,0">
                    <w:txbxContent>
                      <w:p>
                        <w:pPr>
                          <w:spacing w:line="144" w:lineRule="exact" w:before="0"/>
                          <w:ind w:left="0" w:right="18" w:firstLine="0"/>
                          <w:jc w:val="center"/>
                          <w:rPr>
                            <w:rFonts w:ascii="Arial MT"/>
                            <w:sz w:val="15"/>
                          </w:rPr>
                        </w:pPr>
                        <w:r>
                          <w:rPr>
                            <w:rFonts w:ascii="Arial MT"/>
                            <w:color w:val="231F20"/>
                            <w:sz w:val="15"/>
                          </w:rPr>
                          <w:t>Proptotic</w:t>
                        </w:r>
                        <w:r>
                          <w:rPr>
                            <w:rFonts w:ascii="Arial MT"/>
                            <w:color w:val="231F20"/>
                            <w:spacing w:val="-7"/>
                            <w:sz w:val="15"/>
                          </w:rPr>
                          <w:t> </w:t>
                        </w:r>
                        <w:r>
                          <w:rPr>
                            <w:rFonts w:ascii="Arial MT"/>
                            <w:color w:val="231F20"/>
                            <w:spacing w:val="-4"/>
                            <w:sz w:val="15"/>
                          </w:rPr>
                          <w:t>ear?</w:t>
                        </w:r>
                      </w:p>
                      <w:p>
                        <w:pPr>
                          <w:spacing w:line="168" w:lineRule="exact" w:before="0"/>
                          <w:ind w:left="-1" w:right="18" w:firstLine="0"/>
                          <w:jc w:val="center"/>
                          <w:rPr>
                            <w:rFonts w:ascii="Arial MT"/>
                            <w:sz w:val="15"/>
                          </w:rPr>
                        </w:pPr>
                        <w:r>
                          <w:rPr>
                            <w:rFonts w:ascii="Arial MT"/>
                            <w:color w:val="231F20"/>
                            <w:sz w:val="15"/>
                          </w:rPr>
                          <w:t>Postauricular</w:t>
                        </w:r>
                        <w:r>
                          <w:rPr>
                            <w:rFonts w:ascii="Arial MT"/>
                            <w:color w:val="231F20"/>
                            <w:spacing w:val="-8"/>
                            <w:sz w:val="15"/>
                          </w:rPr>
                          <w:t> </w:t>
                        </w:r>
                        <w:r>
                          <w:rPr>
                            <w:rFonts w:ascii="Arial MT"/>
                            <w:color w:val="231F20"/>
                            <w:sz w:val="15"/>
                          </w:rPr>
                          <w:t>edema</w:t>
                        </w:r>
                        <w:r>
                          <w:rPr>
                            <w:rFonts w:ascii="Arial MT"/>
                            <w:color w:val="231F20"/>
                            <w:spacing w:val="-7"/>
                            <w:sz w:val="15"/>
                          </w:rPr>
                          <w:t> </w:t>
                        </w:r>
                        <w:r>
                          <w:rPr>
                            <w:rFonts w:ascii="Arial MT"/>
                            <w:color w:val="231F20"/>
                            <w:sz w:val="15"/>
                          </w:rPr>
                          <w:t>or</w:t>
                        </w:r>
                        <w:r>
                          <w:rPr>
                            <w:rFonts w:ascii="Arial MT"/>
                            <w:color w:val="231F20"/>
                            <w:spacing w:val="-7"/>
                            <w:sz w:val="15"/>
                          </w:rPr>
                          <w:t> </w:t>
                        </w:r>
                        <w:r>
                          <w:rPr>
                            <w:rFonts w:ascii="Arial MT"/>
                            <w:color w:val="231F20"/>
                            <w:sz w:val="15"/>
                          </w:rPr>
                          <w:t>fluctuant</w:t>
                        </w:r>
                        <w:r>
                          <w:rPr>
                            <w:rFonts w:ascii="Arial MT"/>
                            <w:color w:val="231F20"/>
                            <w:spacing w:val="-7"/>
                            <w:sz w:val="15"/>
                          </w:rPr>
                          <w:t> </w:t>
                        </w:r>
                        <w:r>
                          <w:rPr>
                            <w:rFonts w:ascii="Arial MT"/>
                            <w:color w:val="231F20"/>
                            <w:spacing w:val="-2"/>
                            <w:sz w:val="15"/>
                          </w:rPr>
                          <w:t>mass?</w:t>
                        </w:r>
                      </w:p>
                      <w:p>
                        <w:pPr>
                          <w:spacing w:line="168" w:lineRule="exact" w:before="0"/>
                          <w:ind w:left="0" w:right="18" w:firstLine="0"/>
                          <w:jc w:val="center"/>
                          <w:rPr>
                            <w:rFonts w:ascii="Arial MT"/>
                            <w:sz w:val="15"/>
                          </w:rPr>
                        </w:pPr>
                        <w:r>
                          <w:rPr>
                            <w:rFonts w:ascii="Arial MT"/>
                            <w:color w:val="231F20"/>
                            <w:sz w:val="15"/>
                          </w:rPr>
                          <w:t>EAC</w:t>
                        </w:r>
                        <w:r>
                          <w:rPr>
                            <w:rFonts w:ascii="Arial MT"/>
                            <w:color w:val="231F20"/>
                            <w:spacing w:val="-4"/>
                            <w:sz w:val="15"/>
                          </w:rPr>
                          <w:t> </w:t>
                        </w:r>
                        <w:r>
                          <w:rPr>
                            <w:rFonts w:ascii="Arial MT"/>
                            <w:color w:val="231F20"/>
                            <w:sz w:val="15"/>
                          </w:rPr>
                          <w:t>or</w:t>
                        </w:r>
                        <w:r>
                          <w:rPr>
                            <w:rFonts w:ascii="Arial MT"/>
                            <w:color w:val="231F20"/>
                            <w:spacing w:val="-4"/>
                            <w:sz w:val="15"/>
                          </w:rPr>
                          <w:t> </w:t>
                        </w:r>
                        <w:r>
                          <w:rPr>
                            <w:rFonts w:ascii="Arial MT"/>
                            <w:color w:val="231F20"/>
                            <w:sz w:val="15"/>
                          </w:rPr>
                          <w:t>neck</w:t>
                        </w:r>
                        <w:r>
                          <w:rPr>
                            <w:rFonts w:ascii="Arial MT"/>
                            <w:color w:val="231F20"/>
                            <w:spacing w:val="-4"/>
                            <w:sz w:val="15"/>
                          </w:rPr>
                          <w:t> </w:t>
                        </w:r>
                        <w:r>
                          <w:rPr>
                            <w:rFonts w:ascii="Arial MT"/>
                            <w:color w:val="231F20"/>
                            <w:sz w:val="15"/>
                          </w:rPr>
                          <w:t>mass</w:t>
                        </w:r>
                        <w:r>
                          <w:rPr>
                            <w:rFonts w:ascii="Arial MT"/>
                            <w:color w:val="231F20"/>
                            <w:spacing w:val="-4"/>
                            <w:sz w:val="15"/>
                          </w:rPr>
                          <w:t> </w:t>
                        </w:r>
                        <w:r>
                          <w:rPr>
                            <w:rFonts w:ascii="Arial MT"/>
                            <w:color w:val="231F20"/>
                            <w:sz w:val="15"/>
                          </w:rPr>
                          <w:t>or</w:t>
                        </w:r>
                        <w:r>
                          <w:rPr>
                            <w:rFonts w:ascii="Arial MT"/>
                            <w:color w:val="231F20"/>
                            <w:spacing w:val="-4"/>
                            <w:sz w:val="15"/>
                          </w:rPr>
                          <w:t> </w:t>
                        </w:r>
                        <w:r>
                          <w:rPr>
                            <w:rFonts w:ascii="Arial MT"/>
                            <w:color w:val="231F20"/>
                            <w:spacing w:val="-2"/>
                            <w:sz w:val="15"/>
                          </w:rPr>
                          <w:t>edema?</w:t>
                        </w:r>
                      </w:p>
                      <w:p>
                        <w:pPr>
                          <w:spacing w:line="168" w:lineRule="exact" w:before="0"/>
                          <w:ind w:left="0" w:right="18" w:firstLine="0"/>
                          <w:jc w:val="center"/>
                          <w:rPr>
                            <w:rFonts w:ascii="Arial MT"/>
                            <w:sz w:val="15"/>
                          </w:rPr>
                        </w:pPr>
                        <w:r>
                          <w:rPr>
                            <w:rFonts w:ascii="Arial MT"/>
                            <w:color w:val="231F20"/>
                            <w:sz w:val="15"/>
                          </w:rPr>
                          <w:t>Facial</w:t>
                        </w:r>
                        <w:r>
                          <w:rPr>
                            <w:rFonts w:ascii="Arial MT"/>
                            <w:color w:val="231F20"/>
                            <w:spacing w:val="-10"/>
                            <w:sz w:val="15"/>
                          </w:rPr>
                          <w:t> </w:t>
                        </w:r>
                        <w:r>
                          <w:rPr>
                            <w:rFonts w:ascii="Arial MT"/>
                            <w:color w:val="231F20"/>
                            <w:sz w:val="15"/>
                          </w:rPr>
                          <w:t>nerve</w:t>
                        </w:r>
                        <w:r>
                          <w:rPr>
                            <w:rFonts w:ascii="Arial MT"/>
                            <w:color w:val="231F20"/>
                            <w:spacing w:val="-9"/>
                            <w:sz w:val="15"/>
                          </w:rPr>
                          <w:t> </w:t>
                        </w:r>
                        <w:r>
                          <w:rPr>
                            <w:rFonts w:ascii="Arial MT"/>
                            <w:color w:val="231F20"/>
                            <w:spacing w:val="-2"/>
                            <w:sz w:val="15"/>
                          </w:rPr>
                          <w:t>weakness?</w:t>
                        </w:r>
                      </w:p>
                      <w:p>
                        <w:pPr>
                          <w:spacing w:line="232" w:lineRule="auto" w:before="2"/>
                          <w:ind w:left="215" w:right="234" w:hanging="1"/>
                          <w:jc w:val="center"/>
                          <w:rPr>
                            <w:rFonts w:ascii="Arial MT"/>
                            <w:sz w:val="15"/>
                          </w:rPr>
                        </w:pPr>
                        <w:r>
                          <w:rPr>
                            <w:rFonts w:ascii="Arial MT"/>
                            <w:color w:val="231F20"/>
                            <w:sz w:val="15"/>
                          </w:rPr>
                          <w:t>Vestibular signs and symptoms? Neurologic</w:t>
                        </w:r>
                        <w:r>
                          <w:rPr>
                            <w:rFonts w:ascii="Arial MT"/>
                            <w:color w:val="231F20"/>
                            <w:spacing w:val="-7"/>
                            <w:sz w:val="15"/>
                          </w:rPr>
                          <w:t> </w:t>
                        </w:r>
                        <w:r>
                          <w:rPr>
                            <w:rFonts w:ascii="Arial MT"/>
                            <w:color w:val="231F20"/>
                            <w:sz w:val="15"/>
                          </w:rPr>
                          <w:t>signs</w:t>
                        </w:r>
                        <w:r>
                          <w:rPr>
                            <w:rFonts w:ascii="Arial MT"/>
                            <w:color w:val="231F20"/>
                            <w:spacing w:val="-6"/>
                            <w:sz w:val="15"/>
                          </w:rPr>
                          <w:t> </w:t>
                        </w:r>
                        <w:r>
                          <w:rPr>
                            <w:rFonts w:ascii="Arial MT"/>
                            <w:color w:val="231F20"/>
                            <w:sz w:val="15"/>
                          </w:rPr>
                          <w:t>and</w:t>
                        </w:r>
                        <w:r>
                          <w:rPr>
                            <w:rFonts w:ascii="Arial MT"/>
                            <w:color w:val="231F20"/>
                            <w:spacing w:val="-6"/>
                            <w:sz w:val="15"/>
                          </w:rPr>
                          <w:t> </w:t>
                        </w:r>
                        <w:r>
                          <w:rPr>
                            <w:rFonts w:ascii="Arial MT"/>
                            <w:color w:val="231F20"/>
                            <w:spacing w:val="-2"/>
                            <w:sz w:val="15"/>
                          </w:rPr>
                          <w:t>symptoms?</w:t>
                        </w:r>
                      </w:p>
                    </w:txbxContent>
                  </v:textbox>
                  <w10:wrap type="none"/>
                </v:shape>
                <v:shape style="position:absolute;left:8174;top:5532;width:264;height:150" type="#_x0000_t202" id="docshape1162"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Yes</w:t>
                        </w:r>
                      </w:p>
                    </w:txbxContent>
                  </v:textbox>
                  <w10:wrap type="none"/>
                </v:shape>
                <v:shape style="position:absolute;left:10081;top:5532;width:211;height:150" type="#_x0000_t202" id="docshape1163" filled="false" stroked="false">
                  <v:textbox inset="0,0,0,0">
                    <w:txbxContent>
                      <w:p>
                        <w:pPr>
                          <w:spacing w:line="147" w:lineRule="exact" w:before="0"/>
                          <w:ind w:left="0" w:right="0" w:firstLine="0"/>
                          <w:jc w:val="left"/>
                          <w:rPr>
                            <w:rFonts w:ascii="Arial MT"/>
                            <w:sz w:val="15"/>
                          </w:rPr>
                        </w:pPr>
                        <w:r>
                          <w:rPr>
                            <w:rFonts w:ascii="Arial MT"/>
                            <w:color w:val="231F20"/>
                            <w:spacing w:val="-5"/>
                            <w:sz w:val="15"/>
                          </w:rPr>
                          <w:t>No</w:t>
                        </w:r>
                      </w:p>
                    </w:txbxContent>
                  </v:textbox>
                  <w10:wrap type="none"/>
                </v:shape>
                <v:shape style="position:absolute;left:7394;top:6134;width:1832;height:486" type="#_x0000_t202" id="docshape1164" filled="false" stroked="false">
                  <v:textbox inset="0,0,0,0">
                    <w:txbxContent>
                      <w:p>
                        <w:pPr>
                          <w:spacing w:line="144" w:lineRule="exact" w:before="0"/>
                          <w:ind w:left="0" w:right="18" w:firstLine="0"/>
                          <w:jc w:val="center"/>
                          <w:rPr>
                            <w:rFonts w:ascii="Arial MT"/>
                            <w:sz w:val="15"/>
                          </w:rPr>
                        </w:pPr>
                        <w:r>
                          <w:rPr>
                            <w:rFonts w:ascii="Arial MT"/>
                            <w:color w:val="231F20"/>
                            <w:spacing w:val="-2"/>
                            <w:sz w:val="15"/>
                          </w:rPr>
                          <w:t>Transition</w:t>
                        </w:r>
                        <w:r>
                          <w:rPr>
                            <w:rFonts w:ascii="Arial MT"/>
                            <w:color w:val="231F20"/>
                            <w:sz w:val="15"/>
                          </w:rPr>
                          <w:t> </w:t>
                        </w:r>
                        <w:r>
                          <w:rPr>
                            <w:rFonts w:ascii="Arial MT"/>
                            <w:color w:val="231F20"/>
                            <w:spacing w:val="-2"/>
                            <w:sz w:val="15"/>
                          </w:rPr>
                          <w:t>to</w:t>
                        </w:r>
                        <w:r>
                          <w:rPr>
                            <w:rFonts w:ascii="Arial MT"/>
                            <w:color w:val="231F20"/>
                            <w:sz w:val="15"/>
                          </w:rPr>
                          <w:t> </w:t>
                        </w:r>
                        <w:r>
                          <w:rPr>
                            <w:rFonts w:ascii="Arial MT"/>
                            <w:color w:val="231F20"/>
                            <w:spacing w:val="-2"/>
                            <w:sz w:val="15"/>
                          </w:rPr>
                          <w:t>oral</w:t>
                        </w:r>
                        <w:r>
                          <w:rPr>
                            <w:rFonts w:ascii="Arial MT"/>
                            <w:color w:val="231F20"/>
                            <w:sz w:val="15"/>
                          </w:rPr>
                          <w:t> </w:t>
                        </w:r>
                        <w:r>
                          <w:rPr>
                            <w:rFonts w:ascii="Arial MT"/>
                            <w:color w:val="231F20"/>
                            <w:spacing w:val="-2"/>
                            <w:sz w:val="15"/>
                          </w:rPr>
                          <w:t>antibiotics</w:t>
                        </w:r>
                      </w:p>
                      <w:p>
                        <w:pPr>
                          <w:spacing w:line="232" w:lineRule="auto" w:before="2"/>
                          <w:ind w:left="80" w:right="109" w:hanging="4"/>
                          <w:jc w:val="center"/>
                          <w:rPr>
                            <w:rFonts w:ascii="Arial MT"/>
                            <w:sz w:val="15"/>
                          </w:rPr>
                        </w:pPr>
                        <w:r>
                          <w:rPr>
                            <w:rFonts w:ascii="Arial MT"/>
                            <w:color w:val="231F20"/>
                            <w:sz w:val="15"/>
                          </w:rPr>
                          <w:t>and discharge home</w:t>
                        </w:r>
                        <w:r>
                          <w:rPr>
                            <w:rFonts w:ascii="Arial MT"/>
                            <w:color w:val="231F20"/>
                            <w:spacing w:val="40"/>
                            <w:sz w:val="15"/>
                          </w:rPr>
                          <w:t> </w:t>
                        </w:r>
                        <w:r>
                          <w:rPr>
                            <w:rFonts w:ascii="Arial MT"/>
                            <w:color w:val="231F20"/>
                            <w:sz w:val="15"/>
                          </w:rPr>
                          <w:t>with</w:t>
                        </w:r>
                        <w:r>
                          <w:rPr>
                            <w:rFonts w:ascii="Arial MT"/>
                            <w:color w:val="231F20"/>
                            <w:spacing w:val="-11"/>
                            <w:sz w:val="15"/>
                          </w:rPr>
                          <w:t> </w:t>
                        </w:r>
                        <w:r>
                          <w:rPr>
                            <w:rFonts w:ascii="Arial MT"/>
                            <w:color w:val="231F20"/>
                            <w:sz w:val="15"/>
                          </w:rPr>
                          <w:t>close</w:t>
                        </w:r>
                        <w:r>
                          <w:rPr>
                            <w:rFonts w:ascii="Arial MT"/>
                            <w:color w:val="231F20"/>
                            <w:spacing w:val="-10"/>
                            <w:sz w:val="15"/>
                          </w:rPr>
                          <w:t> </w:t>
                        </w:r>
                        <w:r>
                          <w:rPr>
                            <w:rFonts w:ascii="Arial MT"/>
                            <w:color w:val="231F20"/>
                            <w:sz w:val="15"/>
                          </w:rPr>
                          <w:t>PCP</w:t>
                        </w:r>
                        <w:r>
                          <w:rPr>
                            <w:rFonts w:ascii="Arial MT"/>
                            <w:color w:val="231F20"/>
                            <w:spacing w:val="-11"/>
                            <w:sz w:val="15"/>
                          </w:rPr>
                          <w:t> </w:t>
                        </w:r>
                        <w:r>
                          <w:rPr>
                            <w:rFonts w:ascii="Arial MT"/>
                            <w:color w:val="231F20"/>
                            <w:sz w:val="15"/>
                          </w:rPr>
                          <w:t>follow-up</w:t>
                        </w:r>
                      </w:p>
                    </w:txbxContent>
                  </v:textbox>
                  <w10:wrap type="none"/>
                </v:shape>
                <v:shape style="position:absolute;left:9663;top:6134;width:1025;height:318" type="#_x0000_t202" id="docshape1165" filled="false" stroked="false">
                  <v:textbox inset="0,0,0,0">
                    <w:txbxContent>
                      <w:p>
                        <w:pPr>
                          <w:spacing w:line="144" w:lineRule="exact" w:before="0"/>
                          <w:ind w:left="0" w:right="18" w:firstLine="0"/>
                          <w:jc w:val="center"/>
                          <w:rPr>
                            <w:rFonts w:ascii="Arial MT"/>
                            <w:sz w:val="15"/>
                          </w:rPr>
                        </w:pPr>
                        <w:r>
                          <w:rPr>
                            <w:rFonts w:ascii="Arial MT"/>
                            <w:color w:val="231F20"/>
                            <w:spacing w:val="-2"/>
                            <w:sz w:val="15"/>
                          </w:rPr>
                          <w:t>Otolaryngology</w:t>
                        </w:r>
                      </w:p>
                      <w:p>
                        <w:pPr>
                          <w:spacing w:line="170" w:lineRule="exact" w:before="0"/>
                          <w:ind w:left="0" w:right="13" w:firstLine="0"/>
                          <w:jc w:val="center"/>
                          <w:rPr>
                            <w:rFonts w:ascii="Arial MT"/>
                            <w:sz w:val="15"/>
                          </w:rPr>
                        </w:pPr>
                        <w:r>
                          <w:rPr>
                            <w:rFonts w:ascii="Arial MT"/>
                            <w:color w:val="231F20"/>
                            <w:spacing w:val="-2"/>
                            <w:sz w:val="15"/>
                          </w:rPr>
                          <w:t>consult</w:t>
                        </w:r>
                      </w:p>
                    </w:txbxContent>
                  </v:textbox>
                  <w10:wrap type="none"/>
                </v:shape>
                <v:shape style="position:absolute;left:8479;top:4639;width:1512;height:466" type="#_x0000_t202" id="docshape1166" filled="true" fillcolor="#d7eddd" stroked="true" strokeweight=".933014pt" strokecolor="#231f20">
                  <v:textbox inset="0,0,0,0">
                    <w:txbxContent>
                      <w:p>
                        <w:pPr>
                          <w:spacing w:line="206" w:lineRule="auto" w:before="66"/>
                          <w:ind w:left="392" w:right="51" w:hanging="341"/>
                          <w:jc w:val="left"/>
                          <w:rPr>
                            <w:rFonts w:ascii="Arial MT" w:hAnsi="Arial MT"/>
                            <w:color w:val="000000"/>
                            <w:sz w:val="15"/>
                          </w:rPr>
                        </w:pPr>
                        <w:r>
                          <w:rPr>
                            <w:rFonts w:ascii="Arial MT" w:hAnsi="Arial MT"/>
                            <w:color w:val="231F20"/>
                            <w:spacing w:val="-2"/>
                            <w:sz w:val="15"/>
                          </w:rPr>
                          <w:t>Clinical</w:t>
                        </w:r>
                        <w:r>
                          <w:rPr>
                            <w:rFonts w:ascii="Arial MT" w:hAnsi="Arial MT"/>
                            <w:color w:val="231F20"/>
                            <w:spacing w:val="-3"/>
                            <w:sz w:val="15"/>
                          </w:rPr>
                          <w:t> </w:t>
                        </w:r>
                        <w:r>
                          <w:rPr>
                            <w:rFonts w:ascii="Arial MT" w:hAnsi="Arial MT"/>
                            <w:color w:val="231F20"/>
                            <w:spacing w:val="-2"/>
                            <w:sz w:val="15"/>
                          </w:rPr>
                          <w:t>improvement</w:t>
                        </w:r>
                        <w:r>
                          <w:rPr>
                            <w:rFonts w:ascii="Arial MT" w:hAnsi="Arial MT"/>
                            <w:color w:val="231F20"/>
                            <w:sz w:val="15"/>
                          </w:rPr>
                          <w:t> in </w:t>
                        </w:r>
                        <w:r>
                          <w:rPr>
                            <w:rFonts w:ascii="Lucida Sans Unicode" w:hAnsi="Lucida Sans Unicode"/>
                            <w:color w:val="231F20"/>
                            <w:sz w:val="15"/>
                          </w:rPr>
                          <w:t>≤</w:t>
                        </w:r>
                        <w:r>
                          <w:rPr>
                            <w:rFonts w:ascii="Arial MT" w:hAnsi="Arial MT"/>
                            <w:color w:val="231F20"/>
                            <w:sz w:val="15"/>
                          </w:rPr>
                          <w:t>24 hr?</w:t>
                        </w:r>
                      </w:p>
                    </w:txbxContent>
                  </v:textbox>
                  <v:fill type="solid"/>
                  <v:stroke dashstyle="solid"/>
                  <w10:wrap type="none"/>
                </v:shape>
                <w10:wrap type="none"/>
              </v:group>
            </w:pict>
          </mc:Fallback>
        </mc:AlternateContent>
      </w:r>
      <w:r>
        <w:rPr>
          <w:i/>
          <w:color w:val="231F20"/>
          <w:sz w:val="13"/>
        </w:rPr>
        <w:t>From</w:t>
      </w:r>
      <w:r>
        <w:rPr>
          <w:i/>
          <w:color w:val="231F20"/>
          <w:spacing w:val="-8"/>
          <w:sz w:val="13"/>
        </w:rPr>
        <w:t> </w:t>
      </w:r>
      <w:r>
        <w:rPr>
          <w:i/>
          <w:color w:val="231F20"/>
          <w:sz w:val="13"/>
        </w:rPr>
        <w:t>Matkin</w:t>
      </w:r>
      <w:r>
        <w:rPr>
          <w:i/>
          <w:color w:val="231F20"/>
          <w:spacing w:val="-7"/>
          <w:sz w:val="13"/>
        </w:rPr>
        <w:t> </w:t>
      </w:r>
      <w:r>
        <w:rPr>
          <w:i/>
          <w:color w:val="231F20"/>
          <w:sz w:val="13"/>
        </w:rPr>
        <w:t>ND:</w:t>
      </w:r>
      <w:r>
        <w:rPr>
          <w:i/>
          <w:color w:val="231F20"/>
          <w:spacing w:val="-7"/>
          <w:sz w:val="13"/>
        </w:rPr>
        <w:t> </w:t>
      </w:r>
      <w:r>
        <w:rPr>
          <w:i/>
          <w:color w:val="231F20"/>
          <w:sz w:val="13"/>
        </w:rPr>
        <w:t>Early</w:t>
      </w:r>
      <w:r>
        <w:rPr>
          <w:i/>
          <w:color w:val="231F20"/>
          <w:spacing w:val="-7"/>
          <w:sz w:val="13"/>
        </w:rPr>
        <w:t> </w:t>
      </w:r>
      <w:r>
        <w:rPr>
          <w:i/>
          <w:color w:val="231F20"/>
          <w:sz w:val="13"/>
        </w:rPr>
        <w:t>recognition</w:t>
      </w:r>
      <w:r>
        <w:rPr>
          <w:i/>
          <w:color w:val="231F20"/>
          <w:spacing w:val="-7"/>
          <w:sz w:val="13"/>
        </w:rPr>
        <w:t> </w:t>
      </w:r>
      <w:r>
        <w:rPr>
          <w:i/>
          <w:color w:val="231F20"/>
          <w:sz w:val="13"/>
        </w:rPr>
        <w:t>and</w:t>
      </w:r>
      <w:r>
        <w:rPr>
          <w:i/>
          <w:color w:val="231F20"/>
          <w:spacing w:val="-7"/>
          <w:sz w:val="13"/>
        </w:rPr>
        <w:t> </w:t>
      </w:r>
      <w:r>
        <w:rPr>
          <w:i/>
          <w:color w:val="231F20"/>
          <w:sz w:val="13"/>
        </w:rPr>
        <w:t>referral</w:t>
      </w:r>
      <w:r>
        <w:rPr>
          <w:i/>
          <w:color w:val="231F20"/>
          <w:spacing w:val="-7"/>
          <w:sz w:val="13"/>
        </w:rPr>
        <w:t> </w:t>
      </w:r>
      <w:r>
        <w:rPr>
          <w:i/>
          <w:color w:val="231F20"/>
          <w:sz w:val="13"/>
        </w:rPr>
        <w:t>of</w:t>
      </w:r>
      <w:r>
        <w:rPr>
          <w:i/>
          <w:color w:val="231F20"/>
          <w:spacing w:val="-7"/>
          <w:sz w:val="13"/>
        </w:rPr>
        <w:t> </w:t>
      </w:r>
      <w:r>
        <w:rPr>
          <w:i/>
          <w:color w:val="231F20"/>
          <w:sz w:val="13"/>
        </w:rPr>
        <w:t>hearing-impaired</w:t>
      </w:r>
      <w:r>
        <w:rPr>
          <w:i/>
          <w:color w:val="231F20"/>
          <w:spacing w:val="-7"/>
          <w:sz w:val="13"/>
        </w:rPr>
        <w:t> </w:t>
      </w:r>
      <w:r>
        <w:rPr>
          <w:i/>
          <w:color w:val="231F20"/>
          <w:spacing w:val="-2"/>
          <w:sz w:val="13"/>
        </w:rPr>
        <w:t>children,</w:t>
      </w:r>
    </w:p>
    <w:p>
      <w:pPr>
        <w:spacing w:line="150" w:lineRule="exact" w:before="0"/>
        <w:ind w:left="539" w:right="0" w:firstLine="0"/>
        <w:jc w:val="left"/>
        <w:rPr>
          <w:i/>
          <w:sz w:val="13"/>
        </w:rPr>
      </w:pPr>
      <w:r>
        <w:rPr>
          <w:color w:val="231F20"/>
          <w:sz w:val="13"/>
        </w:rPr>
        <w:t>Pediatr</w:t>
      </w:r>
      <w:r>
        <w:rPr>
          <w:color w:val="231F20"/>
          <w:spacing w:val="-2"/>
          <w:sz w:val="13"/>
        </w:rPr>
        <w:t> </w:t>
      </w:r>
      <w:r>
        <w:rPr>
          <w:color w:val="231F20"/>
          <w:sz w:val="13"/>
        </w:rPr>
        <w:t>Rev</w:t>
      </w:r>
      <w:r>
        <w:rPr>
          <w:color w:val="231F20"/>
          <w:spacing w:val="-1"/>
          <w:sz w:val="13"/>
        </w:rPr>
        <w:t> </w:t>
      </w:r>
      <w:r>
        <w:rPr>
          <w:i/>
          <w:color w:val="231F20"/>
          <w:sz w:val="13"/>
        </w:rPr>
        <w:t>6:151–156,</w:t>
      </w:r>
      <w:r>
        <w:rPr>
          <w:i/>
          <w:color w:val="231F20"/>
          <w:spacing w:val="-1"/>
          <w:sz w:val="13"/>
        </w:rPr>
        <w:t> </w:t>
      </w:r>
      <w:r>
        <w:rPr>
          <w:i/>
          <w:color w:val="231F20"/>
          <w:sz w:val="13"/>
        </w:rPr>
        <w:t>1984.</w:t>
      </w:r>
      <w:r>
        <w:rPr>
          <w:i/>
          <w:color w:val="231F20"/>
          <w:spacing w:val="-1"/>
          <w:sz w:val="13"/>
        </w:rPr>
        <w:t> </w:t>
      </w:r>
      <w:r>
        <w:rPr>
          <w:i/>
          <w:color w:val="231F20"/>
          <w:sz w:val="13"/>
        </w:rPr>
        <w:t>Reproduced</w:t>
      </w:r>
      <w:r>
        <w:rPr>
          <w:i/>
          <w:color w:val="231F20"/>
          <w:spacing w:val="-1"/>
          <w:sz w:val="13"/>
        </w:rPr>
        <w:t> </w:t>
      </w:r>
      <w:r>
        <w:rPr>
          <w:i/>
          <w:color w:val="231F20"/>
          <w:sz w:val="13"/>
        </w:rPr>
        <w:t>by</w:t>
      </w:r>
      <w:r>
        <w:rPr>
          <w:i/>
          <w:color w:val="231F20"/>
          <w:spacing w:val="-1"/>
          <w:sz w:val="13"/>
        </w:rPr>
        <w:t> </w:t>
      </w:r>
      <w:r>
        <w:rPr>
          <w:i/>
          <w:color w:val="231F20"/>
          <w:sz w:val="13"/>
        </w:rPr>
        <w:t>permission</w:t>
      </w:r>
      <w:r>
        <w:rPr>
          <w:i/>
          <w:color w:val="231F20"/>
          <w:spacing w:val="-1"/>
          <w:sz w:val="13"/>
        </w:rPr>
        <w:t> </w:t>
      </w:r>
      <w:r>
        <w:rPr>
          <w:i/>
          <w:color w:val="231F20"/>
          <w:sz w:val="13"/>
        </w:rPr>
        <w:t>of</w:t>
      </w:r>
      <w:r>
        <w:rPr>
          <w:i/>
          <w:color w:val="231F20"/>
          <w:spacing w:val="-1"/>
          <w:sz w:val="13"/>
        </w:rPr>
        <w:t> </w:t>
      </w:r>
      <w:r>
        <w:rPr>
          <w:i/>
          <w:color w:val="231F20"/>
          <w:spacing w:val="-2"/>
          <w:sz w:val="13"/>
        </w:rPr>
        <w:t>Pediatrics.</w:t>
      </w:r>
    </w:p>
    <w:p>
      <w:pPr>
        <w:pStyle w:val="BodyText"/>
        <w:spacing w:before="203"/>
        <w:rPr>
          <w:i/>
          <w:sz w:val="20"/>
        </w:rPr>
      </w:pPr>
    </w:p>
    <w:tbl>
      <w:tblPr>
        <w:tblW w:w="0" w:type="auto"/>
        <w:jc w:val="left"/>
        <w:tblInd w:w="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0"/>
        <w:gridCol w:w="197"/>
        <w:gridCol w:w="3555"/>
      </w:tblGrid>
      <w:tr>
        <w:trPr>
          <w:trHeight w:val="559" w:hRule="atLeast"/>
        </w:trPr>
        <w:tc>
          <w:tcPr>
            <w:tcW w:w="1147" w:type="dxa"/>
            <w:gridSpan w:val="2"/>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7</w:t>
            </w:r>
          </w:p>
        </w:tc>
        <w:tc>
          <w:tcPr>
            <w:tcW w:w="3555" w:type="dxa"/>
            <w:tcBorders>
              <w:left w:val="single" w:sz="8" w:space="0" w:color="FFFFFF"/>
            </w:tcBorders>
            <w:shd w:val="clear" w:color="auto" w:fill="231F20"/>
          </w:tcPr>
          <w:p>
            <w:pPr>
              <w:pStyle w:val="TableParagraph"/>
              <w:spacing w:before="89"/>
              <w:ind w:left="74" w:right="197"/>
              <w:rPr>
                <w:sz w:val="16"/>
              </w:rPr>
            </w:pPr>
            <w:r>
              <w:rPr>
                <w:color w:val="FFFFFF"/>
                <w:w w:val="105"/>
                <w:sz w:val="16"/>
              </w:rPr>
              <w:t>Guidelines</w:t>
            </w:r>
            <w:r>
              <w:rPr>
                <w:color w:val="FFFFFF"/>
                <w:spacing w:val="-7"/>
                <w:w w:val="105"/>
                <w:sz w:val="16"/>
              </w:rPr>
              <w:t> </w:t>
            </w:r>
            <w:r>
              <w:rPr>
                <w:color w:val="FFFFFF"/>
                <w:w w:val="105"/>
                <w:sz w:val="16"/>
              </w:rPr>
              <w:t>for</w:t>
            </w:r>
            <w:r>
              <w:rPr>
                <w:color w:val="FFFFFF"/>
                <w:spacing w:val="-7"/>
                <w:w w:val="105"/>
                <w:sz w:val="16"/>
              </w:rPr>
              <w:t> </w:t>
            </w:r>
            <w:r>
              <w:rPr>
                <w:color w:val="FFFFFF"/>
                <w:w w:val="105"/>
                <w:sz w:val="16"/>
              </w:rPr>
              <w:t>Referral</w:t>
            </w:r>
            <w:r>
              <w:rPr>
                <w:color w:val="FFFFFF"/>
                <w:spacing w:val="-7"/>
                <w:w w:val="105"/>
                <w:sz w:val="16"/>
              </w:rPr>
              <w:t> </w:t>
            </w:r>
            <w:r>
              <w:rPr>
                <w:color w:val="FFFFFF"/>
                <w:w w:val="105"/>
                <w:sz w:val="16"/>
              </w:rPr>
              <w:t>of</w:t>
            </w:r>
            <w:r>
              <w:rPr>
                <w:color w:val="FFFFFF"/>
                <w:spacing w:val="-7"/>
                <w:w w:val="105"/>
                <w:sz w:val="16"/>
              </w:rPr>
              <w:t> </w:t>
            </w:r>
            <w:r>
              <w:rPr>
                <w:color w:val="FFFFFF"/>
                <w:w w:val="105"/>
                <w:sz w:val="16"/>
              </w:rPr>
              <w:t>Children</w:t>
            </w:r>
            <w:r>
              <w:rPr>
                <w:color w:val="FFFFFF"/>
                <w:spacing w:val="-7"/>
                <w:w w:val="105"/>
                <w:sz w:val="16"/>
              </w:rPr>
              <w:t> </w:t>
            </w:r>
            <w:r>
              <w:rPr>
                <w:color w:val="FFFFFF"/>
                <w:w w:val="105"/>
                <w:sz w:val="16"/>
              </w:rPr>
              <w:t>with Suspected Hearing Loss</w:t>
            </w:r>
          </w:p>
        </w:tc>
      </w:tr>
      <w:tr>
        <w:trPr>
          <w:trHeight w:val="257" w:hRule="atLeast"/>
        </w:trPr>
        <w:tc>
          <w:tcPr>
            <w:tcW w:w="950" w:type="dxa"/>
            <w:tcBorders>
              <w:bottom w:val="single" w:sz="4" w:space="0" w:color="231F20"/>
            </w:tcBorders>
            <w:shd w:val="clear" w:color="auto" w:fill="E8F5F1"/>
          </w:tcPr>
          <w:p>
            <w:pPr>
              <w:pStyle w:val="TableParagraph"/>
              <w:spacing w:before="47"/>
              <w:ind w:left="74"/>
              <w:rPr>
                <w:b/>
                <w:sz w:val="15"/>
              </w:rPr>
            </w:pPr>
            <w:r>
              <w:rPr>
                <w:b/>
                <w:color w:val="231F20"/>
                <w:w w:val="105"/>
                <w:sz w:val="15"/>
              </w:rPr>
              <w:t>AGE</w:t>
            </w:r>
            <w:r>
              <w:rPr>
                <w:b/>
                <w:color w:val="231F20"/>
                <w:spacing w:val="30"/>
                <w:w w:val="105"/>
                <w:sz w:val="15"/>
              </w:rPr>
              <w:t> </w:t>
            </w:r>
            <w:r>
              <w:rPr>
                <w:b/>
                <w:color w:val="231F20"/>
                <w:spacing w:val="-4"/>
                <w:w w:val="105"/>
                <w:sz w:val="15"/>
              </w:rPr>
              <w:t>(mo)</w:t>
            </w:r>
          </w:p>
        </w:tc>
        <w:tc>
          <w:tcPr>
            <w:tcW w:w="3752" w:type="dxa"/>
            <w:gridSpan w:val="2"/>
            <w:tcBorders>
              <w:bottom w:val="single" w:sz="4" w:space="0" w:color="231F20"/>
            </w:tcBorders>
            <w:shd w:val="clear" w:color="auto" w:fill="E8F5F1"/>
          </w:tcPr>
          <w:p>
            <w:pPr>
              <w:pStyle w:val="TableParagraph"/>
              <w:spacing w:before="47"/>
              <w:ind w:left="995"/>
              <w:rPr>
                <w:b/>
                <w:sz w:val="15"/>
              </w:rPr>
            </w:pPr>
            <w:r>
              <w:rPr>
                <w:b/>
                <w:color w:val="231F20"/>
                <w:w w:val="115"/>
                <w:sz w:val="15"/>
              </w:rPr>
              <w:t>NORMAL</w:t>
            </w:r>
            <w:r>
              <w:rPr>
                <w:b/>
                <w:color w:val="231F20"/>
                <w:spacing w:val="-6"/>
                <w:w w:val="115"/>
                <w:sz w:val="15"/>
              </w:rPr>
              <w:t> </w:t>
            </w:r>
            <w:r>
              <w:rPr>
                <w:b/>
                <w:color w:val="231F20"/>
                <w:spacing w:val="-2"/>
                <w:w w:val="115"/>
                <w:sz w:val="15"/>
              </w:rPr>
              <w:t>DEVELOPMENT</w:t>
            </w:r>
          </w:p>
        </w:tc>
      </w:tr>
      <w:tr>
        <w:trPr>
          <w:trHeight w:val="593" w:hRule="atLeast"/>
        </w:trPr>
        <w:tc>
          <w:tcPr>
            <w:tcW w:w="950" w:type="dxa"/>
            <w:tcBorders>
              <w:top w:val="single" w:sz="4" w:space="0" w:color="231F20"/>
              <w:bottom w:val="single" w:sz="4" w:space="0" w:color="FFFFFF"/>
            </w:tcBorders>
            <w:shd w:val="clear" w:color="auto" w:fill="E8F5F1"/>
          </w:tcPr>
          <w:p>
            <w:pPr>
              <w:pStyle w:val="TableParagraph"/>
              <w:spacing w:before="47"/>
              <w:ind w:left="146"/>
              <w:rPr>
                <w:sz w:val="15"/>
              </w:rPr>
            </w:pPr>
            <w:r>
              <w:rPr>
                <w:color w:val="231F20"/>
                <w:spacing w:val="-4"/>
                <w:sz w:val="15"/>
              </w:rPr>
              <w:t>0-</w:t>
            </w:r>
            <w:r>
              <w:rPr>
                <w:color w:val="231F20"/>
                <w:spacing w:val="-10"/>
                <w:sz w:val="15"/>
              </w:rPr>
              <w:t>4</w:t>
            </w:r>
          </w:p>
        </w:tc>
        <w:tc>
          <w:tcPr>
            <w:tcW w:w="3752" w:type="dxa"/>
            <w:gridSpan w:val="2"/>
            <w:tcBorders>
              <w:top w:val="single" w:sz="4" w:space="0" w:color="231F20"/>
              <w:bottom w:val="single" w:sz="4" w:space="0" w:color="FFFFFF"/>
            </w:tcBorders>
            <w:shd w:val="clear" w:color="auto" w:fill="E8F5F1"/>
          </w:tcPr>
          <w:p>
            <w:pPr>
              <w:pStyle w:val="TableParagraph"/>
              <w:spacing w:line="230" w:lineRule="auto" w:before="52"/>
              <w:ind w:left="299" w:hanging="112"/>
              <w:rPr>
                <w:sz w:val="15"/>
              </w:rPr>
            </w:pPr>
            <w:r>
              <w:rPr>
                <w:color w:val="231F20"/>
                <w:sz w:val="15"/>
              </w:rPr>
              <w:t>Should startle to loud sounds, quiet to mother’s </w:t>
            </w:r>
            <w:r>
              <w:rPr>
                <w:color w:val="231F20"/>
                <w:spacing w:val="-2"/>
                <w:sz w:val="15"/>
              </w:rPr>
              <w:t>voice,</w:t>
            </w:r>
            <w:r>
              <w:rPr>
                <w:color w:val="231F20"/>
                <w:spacing w:val="-4"/>
                <w:sz w:val="15"/>
              </w:rPr>
              <w:t> </w:t>
            </w:r>
            <w:r>
              <w:rPr>
                <w:color w:val="231F20"/>
                <w:spacing w:val="-2"/>
                <w:sz w:val="15"/>
              </w:rPr>
              <w:t>momentarily</w:t>
            </w:r>
            <w:r>
              <w:rPr>
                <w:color w:val="231F20"/>
                <w:spacing w:val="-4"/>
                <w:sz w:val="15"/>
              </w:rPr>
              <w:t> </w:t>
            </w:r>
            <w:r>
              <w:rPr>
                <w:color w:val="231F20"/>
                <w:spacing w:val="-2"/>
                <w:sz w:val="15"/>
              </w:rPr>
              <w:t>cease</w:t>
            </w:r>
            <w:r>
              <w:rPr>
                <w:color w:val="231F20"/>
                <w:spacing w:val="-4"/>
                <w:sz w:val="15"/>
              </w:rPr>
              <w:t> </w:t>
            </w:r>
            <w:r>
              <w:rPr>
                <w:color w:val="231F20"/>
                <w:spacing w:val="-2"/>
                <w:sz w:val="15"/>
              </w:rPr>
              <w:t>activity</w:t>
            </w:r>
            <w:r>
              <w:rPr>
                <w:color w:val="231F20"/>
                <w:spacing w:val="-4"/>
                <w:sz w:val="15"/>
              </w:rPr>
              <w:t> </w:t>
            </w:r>
            <w:r>
              <w:rPr>
                <w:color w:val="231F20"/>
                <w:spacing w:val="-2"/>
                <w:sz w:val="15"/>
              </w:rPr>
              <w:t>when</w:t>
            </w:r>
            <w:r>
              <w:rPr>
                <w:color w:val="231F20"/>
                <w:spacing w:val="-4"/>
                <w:sz w:val="15"/>
              </w:rPr>
              <w:t> </w:t>
            </w:r>
            <w:r>
              <w:rPr>
                <w:color w:val="231F20"/>
                <w:spacing w:val="-2"/>
                <w:sz w:val="15"/>
              </w:rPr>
              <w:t>sound</w:t>
            </w:r>
            <w:r>
              <w:rPr>
                <w:color w:val="231F20"/>
                <w:spacing w:val="-4"/>
                <w:sz w:val="15"/>
              </w:rPr>
              <w:t> </w:t>
            </w:r>
            <w:r>
              <w:rPr>
                <w:color w:val="231F20"/>
                <w:spacing w:val="-2"/>
                <w:sz w:val="15"/>
              </w:rPr>
              <w:t>is </w:t>
            </w:r>
            <w:r>
              <w:rPr>
                <w:color w:val="231F20"/>
                <w:sz w:val="15"/>
              </w:rPr>
              <w:t>presented at a conversational level</w:t>
            </w:r>
          </w:p>
        </w:tc>
      </w:tr>
      <w:tr>
        <w:trPr>
          <w:trHeight w:val="756" w:hRule="atLeast"/>
        </w:trPr>
        <w:tc>
          <w:tcPr>
            <w:tcW w:w="950" w:type="dxa"/>
            <w:tcBorders>
              <w:top w:val="single" w:sz="4" w:space="0" w:color="FFFFFF"/>
              <w:bottom w:val="single" w:sz="4" w:space="0" w:color="FFFFFF"/>
            </w:tcBorders>
            <w:shd w:val="clear" w:color="auto" w:fill="E8F5F1"/>
          </w:tcPr>
          <w:p>
            <w:pPr>
              <w:pStyle w:val="TableParagraph"/>
              <w:spacing w:before="42"/>
              <w:ind w:left="146"/>
              <w:rPr>
                <w:sz w:val="15"/>
              </w:rPr>
            </w:pPr>
            <w:r>
              <w:rPr>
                <w:color w:val="231F20"/>
                <w:spacing w:val="-4"/>
                <w:sz w:val="15"/>
              </w:rPr>
              <w:t>5-</w:t>
            </w:r>
            <w:r>
              <w:rPr>
                <w:color w:val="231F20"/>
                <w:spacing w:val="-10"/>
                <w:sz w:val="15"/>
              </w:rPr>
              <w:t>6</w:t>
            </w:r>
          </w:p>
        </w:tc>
        <w:tc>
          <w:tcPr>
            <w:tcW w:w="3752" w:type="dxa"/>
            <w:gridSpan w:val="2"/>
            <w:tcBorders>
              <w:top w:val="single" w:sz="4" w:space="0" w:color="FFFFFF"/>
              <w:bottom w:val="single" w:sz="4" w:space="0" w:color="FFFFFF"/>
            </w:tcBorders>
            <w:shd w:val="clear" w:color="auto" w:fill="E8F5F1"/>
          </w:tcPr>
          <w:p>
            <w:pPr>
              <w:pStyle w:val="TableParagraph"/>
              <w:spacing w:line="230" w:lineRule="auto" w:before="48"/>
              <w:ind w:left="299" w:hanging="112"/>
              <w:rPr>
                <w:sz w:val="15"/>
              </w:rPr>
            </w:pPr>
            <w:r>
              <w:rPr>
                <w:color w:val="231F20"/>
                <w:sz w:val="15"/>
              </w:rPr>
              <w:t>Should correctly localize to sound presented in a horizontal</w:t>
            </w:r>
            <w:r>
              <w:rPr>
                <w:color w:val="231F20"/>
                <w:spacing w:val="-4"/>
                <w:sz w:val="15"/>
              </w:rPr>
              <w:t> </w:t>
            </w:r>
            <w:r>
              <w:rPr>
                <w:color w:val="231F20"/>
                <w:sz w:val="15"/>
              </w:rPr>
              <w:t>plane,</w:t>
            </w:r>
            <w:r>
              <w:rPr>
                <w:color w:val="231F20"/>
                <w:spacing w:val="-4"/>
                <w:sz w:val="15"/>
              </w:rPr>
              <w:t> </w:t>
            </w:r>
            <w:r>
              <w:rPr>
                <w:color w:val="231F20"/>
                <w:sz w:val="15"/>
              </w:rPr>
              <w:t>begin</w:t>
            </w:r>
            <w:r>
              <w:rPr>
                <w:color w:val="231F20"/>
                <w:spacing w:val="-4"/>
                <w:sz w:val="15"/>
              </w:rPr>
              <w:t> </w:t>
            </w:r>
            <w:r>
              <w:rPr>
                <w:color w:val="231F20"/>
                <w:sz w:val="15"/>
              </w:rPr>
              <w:t>to</w:t>
            </w:r>
            <w:r>
              <w:rPr>
                <w:color w:val="231F20"/>
                <w:spacing w:val="-4"/>
                <w:sz w:val="15"/>
              </w:rPr>
              <w:t> </w:t>
            </w:r>
            <w:r>
              <w:rPr>
                <w:color w:val="231F20"/>
                <w:sz w:val="15"/>
              </w:rPr>
              <w:t>imitate</w:t>
            </w:r>
            <w:r>
              <w:rPr>
                <w:color w:val="231F20"/>
                <w:spacing w:val="-4"/>
                <w:sz w:val="15"/>
              </w:rPr>
              <w:t> </w:t>
            </w:r>
            <w:r>
              <w:rPr>
                <w:color w:val="231F20"/>
                <w:sz w:val="15"/>
              </w:rPr>
              <w:t>sounds</w:t>
            </w:r>
            <w:r>
              <w:rPr>
                <w:color w:val="231F20"/>
                <w:spacing w:val="-4"/>
                <w:sz w:val="15"/>
              </w:rPr>
              <w:t> </w:t>
            </w:r>
            <w:r>
              <w:rPr>
                <w:color w:val="231F20"/>
                <w:sz w:val="15"/>
              </w:rPr>
              <w:t>in</w:t>
            </w:r>
            <w:r>
              <w:rPr>
                <w:color w:val="231F20"/>
                <w:spacing w:val="-4"/>
                <w:sz w:val="15"/>
              </w:rPr>
              <w:t> </w:t>
            </w:r>
            <w:r>
              <w:rPr>
                <w:color w:val="231F20"/>
                <w:sz w:val="15"/>
              </w:rPr>
              <w:t>own </w:t>
            </w:r>
            <w:r>
              <w:rPr>
                <w:color w:val="231F20"/>
                <w:spacing w:val="-2"/>
                <w:sz w:val="15"/>
              </w:rPr>
              <w:t>speech</w:t>
            </w:r>
            <w:r>
              <w:rPr>
                <w:color w:val="231F20"/>
                <w:spacing w:val="-6"/>
                <w:sz w:val="15"/>
              </w:rPr>
              <w:t> </w:t>
            </w:r>
            <w:r>
              <w:rPr>
                <w:color w:val="231F20"/>
                <w:spacing w:val="-2"/>
                <w:sz w:val="15"/>
              </w:rPr>
              <w:t>repertoire</w:t>
            </w:r>
            <w:r>
              <w:rPr>
                <w:color w:val="231F20"/>
                <w:spacing w:val="-6"/>
                <w:sz w:val="15"/>
              </w:rPr>
              <w:t> </w:t>
            </w:r>
            <w:r>
              <w:rPr>
                <w:color w:val="231F20"/>
                <w:spacing w:val="-2"/>
                <w:sz w:val="15"/>
              </w:rPr>
              <w:t>or</w:t>
            </w:r>
            <w:r>
              <w:rPr>
                <w:color w:val="231F20"/>
                <w:spacing w:val="-6"/>
                <w:sz w:val="15"/>
              </w:rPr>
              <w:t> </w:t>
            </w:r>
            <w:r>
              <w:rPr>
                <w:color w:val="231F20"/>
                <w:spacing w:val="-2"/>
                <w:sz w:val="15"/>
              </w:rPr>
              <w:t>at</w:t>
            </w:r>
            <w:r>
              <w:rPr>
                <w:color w:val="231F20"/>
                <w:spacing w:val="-6"/>
                <w:sz w:val="15"/>
              </w:rPr>
              <w:t> </w:t>
            </w:r>
            <w:r>
              <w:rPr>
                <w:color w:val="231F20"/>
                <w:spacing w:val="-2"/>
                <w:sz w:val="15"/>
              </w:rPr>
              <w:t>least</w:t>
            </w:r>
            <w:r>
              <w:rPr>
                <w:color w:val="231F20"/>
                <w:spacing w:val="-6"/>
                <w:sz w:val="15"/>
              </w:rPr>
              <w:t> </w:t>
            </w:r>
            <w:r>
              <w:rPr>
                <w:color w:val="231F20"/>
                <w:spacing w:val="-2"/>
                <w:sz w:val="15"/>
              </w:rPr>
              <w:t>reciprocally</w:t>
            </w:r>
            <w:r>
              <w:rPr>
                <w:color w:val="231F20"/>
                <w:spacing w:val="-6"/>
                <w:sz w:val="15"/>
              </w:rPr>
              <w:t> </w:t>
            </w:r>
            <w:r>
              <w:rPr>
                <w:color w:val="231F20"/>
                <w:spacing w:val="-2"/>
                <w:sz w:val="15"/>
              </w:rPr>
              <w:t>vocalize </w:t>
            </w:r>
            <w:r>
              <w:rPr>
                <w:color w:val="231F20"/>
                <w:sz w:val="15"/>
              </w:rPr>
              <w:t>with an adult</w:t>
            </w:r>
          </w:p>
        </w:tc>
      </w:tr>
      <w:tr>
        <w:trPr>
          <w:trHeight w:val="588" w:hRule="atLeast"/>
        </w:trPr>
        <w:tc>
          <w:tcPr>
            <w:tcW w:w="950" w:type="dxa"/>
            <w:tcBorders>
              <w:top w:val="single" w:sz="4" w:space="0" w:color="FFFFFF"/>
              <w:bottom w:val="single" w:sz="4" w:space="0" w:color="FFFFFF"/>
            </w:tcBorders>
            <w:shd w:val="clear" w:color="auto" w:fill="E8F5F1"/>
          </w:tcPr>
          <w:p>
            <w:pPr>
              <w:pStyle w:val="TableParagraph"/>
              <w:spacing w:before="42"/>
              <w:ind w:left="146"/>
              <w:rPr>
                <w:sz w:val="15"/>
              </w:rPr>
            </w:pPr>
            <w:r>
              <w:rPr>
                <w:color w:val="231F20"/>
                <w:spacing w:val="-4"/>
                <w:sz w:val="15"/>
              </w:rPr>
              <w:t>7-</w:t>
            </w:r>
            <w:r>
              <w:rPr>
                <w:color w:val="231F20"/>
                <w:spacing w:val="-5"/>
                <w:sz w:val="15"/>
              </w:rPr>
              <w:t>12</w:t>
            </w:r>
          </w:p>
        </w:tc>
        <w:tc>
          <w:tcPr>
            <w:tcW w:w="3752" w:type="dxa"/>
            <w:gridSpan w:val="2"/>
            <w:tcBorders>
              <w:top w:val="single" w:sz="4" w:space="0" w:color="FFFFFF"/>
              <w:bottom w:val="single" w:sz="4" w:space="0" w:color="FFFFFF"/>
            </w:tcBorders>
            <w:shd w:val="clear" w:color="auto" w:fill="E8F5F1"/>
          </w:tcPr>
          <w:p>
            <w:pPr>
              <w:pStyle w:val="TableParagraph"/>
              <w:spacing w:line="230" w:lineRule="auto" w:before="48"/>
              <w:ind w:left="299" w:hanging="112"/>
              <w:rPr>
                <w:sz w:val="15"/>
              </w:rPr>
            </w:pPr>
            <w:r>
              <w:rPr>
                <w:color w:val="231F20"/>
                <w:sz w:val="15"/>
              </w:rPr>
              <w:t>Should</w:t>
            </w:r>
            <w:r>
              <w:rPr>
                <w:color w:val="231F20"/>
                <w:spacing w:val="-8"/>
                <w:sz w:val="15"/>
              </w:rPr>
              <w:t> </w:t>
            </w:r>
            <w:r>
              <w:rPr>
                <w:color w:val="231F20"/>
                <w:sz w:val="15"/>
              </w:rPr>
              <w:t>correctly</w:t>
            </w:r>
            <w:r>
              <w:rPr>
                <w:color w:val="231F20"/>
                <w:spacing w:val="-8"/>
                <w:sz w:val="15"/>
              </w:rPr>
              <w:t> </w:t>
            </w:r>
            <w:r>
              <w:rPr>
                <w:color w:val="231F20"/>
                <w:sz w:val="15"/>
              </w:rPr>
              <w:t>localize</w:t>
            </w:r>
            <w:r>
              <w:rPr>
                <w:color w:val="231F20"/>
                <w:spacing w:val="-8"/>
                <w:sz w:val="15"/>
              </w:rPr>
              <w:t> </w:t>
            </w:r>
            <w:r>
              <w:rPr>
                <w:color w:val="231F20"/>
                <w:sz w:val="15"/>
              </w:rPr>
              <w:t>to</w:t>
            </w:r>
            <w:r>
              <w:rPr>
                <w:color w:val="231F20"/>
                <w:spacing w:val="-8"/>
                <w:sz w:val="15"/>
              </w:rPr>
              <w:t> </w:t>
            </w:r>
            <w:r>
              <w:rPr>
                <w:color w:val="231F20"/>
                <w:sz w:val="15"/>
              </w:rPr>
              <w:t>sound</w:t>
            </w:r>
            <w:r>
              <w:rPr>
                <w:color w:val="231F20"/>
                <w:spacing w:val="-8"/>
                <w:sz w:val="15"/>
              </w:rPr>
              <w:t> </w:t>
            </w:r>
            <w:r>
              <w:rPr>
                <w:color w:val="231F20"/>
                <w:sz w:val="15"/>
              </w:rPr>
              <w:t>presented</w:t>
            </w:r>
            <w:r>
              <w:rPr>
                <w:color w:val="231F20"/>
                <w:spacing w:val="-8"/>
                <w:sz w:val="15"/>
              </w:rPr>
              <w:t> </w:t>
            </w:r>
            <w:r>
              <w:rPr>
                <w:color w:val="231F20"/>
                <w:sz w:val="15"/>
              </w:rPr>
              <w:t>in</w:t>
            </w:r>
            <w:r>
              <w:rPr>
                <w:color w:val="231F20"/>
                <w:spacing w:val="-8"/>
                <w:sz w:val="15"/>
              </w:rPr>
              <w:t> </w:t>
            </w:r>
            <w:r>
              <w:rPr>
                <w:color w:val="231F20"/>
                <w:sz w:val="15"/>
              </w:rPr>
              <w:t>any </w:t>
            </w:r>
            <w:r>
              <w:rPr>
                <w:color w:val="231F20"/>
                <w:spacing w:val="-2"/>
                <w:sz w:val="15"/>
              </w:rPr>
              <w:t>plane</w:t>
            </w:r>
          </w:p>
          <w:p>
            <w:pPr>
              <w:pStyle w:val="TableParagraph"/>
              <w:spacing w:line="170" w:lineRule="exact"/>
              <w:ind w:left="187"/>
              <w:rPr>
                <w:sz w:val="15"/>
              </w:rPr>
            </w:pPr>
            <w:r>
              <w:rPr>
                <w:color w:val="231F20"/>
                <w:sz w:val="15"/>
              </w:rPr>
              <w:t>Should</w:t>
            </w:r>
            <w:r>
              <w:rPr>
                <w:color w:val="231F20"/>
                <w:spacing w:val="4"/>
                <w:sz w:val="15"/>
              </w:rPr>
              <w:t> </w:t>
            </w:r>
            <w:r>
              <w:rPr>
                <w:color w:val="231F20"/>
                <w:sz w:val="15"/>
              </w:rPr>
              <w:t>respond</w:t>
            </w:r>
            <w:r>
              <w:rPr>
                <w:color w:val="231F20"/>
                <w:spacing w:val="4"/>
                <w:sz w:val="15"/>
              </w:rPr>
              <w:t> </w:t>
            </w:r>
            <w:r>
              <w:rPr>
                <w:color w:val="231F20"/>
                <w:sz w:val="15"/>
              </w:rPr>
              <w:t>to</w:t>
            </w:r>
            <w:r>
              <w:rPr>
                <w:color w:val="231F20"/>
                <w:spacing w:val="4"/>
                <w:sz w:val="15"/>
              </w:rPr>
              <w:t> </w:t>
            </w:r>
            <w:r>
              <w:rPr>
                <w:color w:val="231F20"/>
                <w:sz w:val="15"/>
              </w:rPr>
              <w:t>name,</w:t>
            </w:r>
            <w:r>
              <w:rPr>
                <w:color w:val="231F20"/>
                <w:spacing w:val="4"/>
                <w:sz w:val="15"/>
              </w:rPr>
              <w:t> </w:t>
            </w:r>
            <w:r>
              <w:rPr>
                <w:color w:val="231F20"/>
                <w:sz w:val="15"/>
              </w:rPr>
              <w:t>even</w:t>
            </w:r>
            <w:r>
              <w:rPr>
                <w:color w:val="231F20"/>
                <w:spacing w:val="4"/>
                <w:sz w:val="15"/>
              </w:rPr>
              <w:t> </w:t>
            </w:r>
            <w:r>
              <w:rPr>
                <w:color w:val="231F20"/>
                <w:sz w:val="15"/>
              </w:rPr>
              <w:t>when</w:t>
            </w:r>
            <w:r>
              <w:rPr>
                <w:color w:val="231F20"/>
                <w:spacing w:val="4"/>
                <w:sz w:val="15"/>
              </w:rPr>
              <w:t> </w:t>
            </w:r>
            <w:r>
              <w:rPr>
                <w:color w:val="231F20"/>
                <w:sz w:val="15"/>
              </w:rPr>
              <w:t>spoken</w:t>
            </w:r>
            <w:r>
              <w:rPr>
                <w:color w:val="231F20"/>
                <w:spacing w:val="4"/>
                <w:sz w:val="15"/>
              </w:rPr>
              <w:t> </w:t>
            </w:r>
            <w:r>
              <w:rPr>
                <w:color w:val="231F20"/>
                <w:spacing w:val="-2"/>
                <w:sz w:val="15"/>
              </w:rPr>
              <w:t>quietly</w:t>
            </w:r>
          </w:p>
        </w:tc>
      </w:tr>
      <w:tr>
        <w:trPr>
          <w:trHeight w:val="420" w:hRule="atLeast"/>
        </w:trPr>
        <w:tc>
          <w:tcPr>
            <w:tcW w:w="950"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13-</w:t>
            </w:r>
            <w:r>
              <w:rPr>
                <w:color w:val="231F20"/>
                <w:spacing w:val="-5"/>
                <w:sz w:val="15"/>
              </w:rPr>
              <w:t>15</w:t>
            </w:r>
          </w:p>
        </w:tc>
        <w:tc>
          <w:tcPr>
            <w:tcW w:w="3752" w:type="dxa"/>
            <w:gridSpan w:val="2"/>
            <w:tcBorders>
              <w:top w:val="single" w:sz="4" w:space="0" w:color="FFFFFF"/>
              <w:bottom w:val="single" w:sz="4" w:space="0" w:color="FFFFFF"/>
            </w:tcBorders>
            <w:shd w:val="clear" w:color="auto" w:fill="E8F5F1"/>
          </w:tcPr>
          <w:p>
            <w:pPr>
              <w:pStyle w:val="TableParagraph"/>
              <w:spacing w:line="230" w:lineRule="auto" w:before="48"/>
              <w:ind w:left="299" w:hanging="112"/>
              <w:rPr>
                <w:sz w:val="15"/>
              </w:rPr>
            </w:pPr>
            <w:r>
              <w:rPr>
                <w:color w:val="231F20"/>
                <w:sz w:val="15"/>
              </w:rPr>
              <w:t>Should point toward an unexpected sound or </w:t>
            </w:r>
            <w:r>
              <w:rPr>
                <w:color w:val="231F20"/>
                <w:sz w:val="15"/>
              </w:rPr>
              <w:t>to familiar objects or persons when asked</w:t>
            </w:r>
          </w:p>
        </w:tc>
      </w:tr>
      <w:tr>
        <w:trPr>
          <w:trHeight w:val="756" w:hRule="atLeast"/>
        </w:trPr>
        <w:tc>
          <w:tcPr>
            <w:tcW w:w="950"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4"/>
                <w:sz w:val="15"/>
              </w:rPr>
              <w:t>16-</w:t>
            </w:r>
            <w:r>
              <w:rPr>
                <w:color w:val="231F20"/>
                <w:spacing w:val="-5"/>
                <w:sz w:val="15"/>
              </w:rPr>
              <w:t>18</w:t>
            </w:r>
          </w:p>
        </w:tc>
        <w:tc>
          <w:tcPr>
            <w:tcW w:w="3752" w:type="dxa"/>
            <w:gridSpan w:val="2"/>
            <w:tcBorders>
              <w:top w:val="single" w:sz="4" w:space="0" w:color="FFFFFF"/>
              <w:bottom w:val="single" w:sz="4" w:space="0" w:color="FFFFFF"/>
            </w:tcBorders>
            <w:shd w:val="clear" w:color="auto" w:fill="E8F5F1"/>
          </w:tcPr>
          <w:p>
            <w:pPr>
              <w:pStyle w:val="TableParagraph"/>
              <w:spacing w:line="230" w:lineRule="auto" w:before="48"/>
              <w:ind w:left="299" w:right="66" w:hanging="112"/>
              <w:rPr>
                <w:sz w:val="15"/>
              </w:rPr>
            </w:pPr>
            <w:r>
              <w:rPr>
                <w:color w:val="231F20"/>
                <w:sz w:val="15"/>
              </w:rPr>
              <w:t>Should</w:t>
            </w:r>
            <w:r>
              <w:rPr>
                <w:color w:val="231F20"/>
                <w:spacing w:val="-12"/>
                <w:sz w:val="15"/>
              </w:rPr>
              <w:t> </w:t>
            </w:r>
            <w:r>
              <w:rPr>
                <w:color w:val="231F20"/>
                <w:sz w:val="15"/>
              </w:rPr>
              <w:t>follow</w:t>
            </w:r>
            <w:r>
              <w:rPr>
                <w:color w:val="231F20"/>
                <w:spacing w:val="-11"/>
                <w:sz w:val="15"/>
              </w:rPr>
              <w:t> </w:t>
            </w:r>
            <w:r>
              <w:rPr>
                <w:color w:val="231F20"/>
                <w:sz w:val="15"/>
              </w:rPr>
              <w:t>simple</w:t>
            </w:r>
            <w:r>
              <w:rPr>
                <w:color w:val="231F20"/>
                <w:spacing w:val="-11"/>
                <w:sz w:val="15"/>
              </w:rPr>
              <w:t> </w:t>
            </w:r>
            <w:r>
              <w:rPr>
                <w:color w:val="231F20"/>
                <w:sz w:val="15"/>
              </w:rPr>
              <w:t>directions</w:t>
            </w:r>
            <w:r>
              <w:rPr>
                <w:color w:val="231F20"/>
                <w:spacing w:val="-12"/>
                <w:sz w:val="15"/>
              </w:rPr>
              <w:t> </w:t>
            </w:r>
            <w:r>
              <w:rPr>
                <w:color w:val="231F20"/>
                <w:sz w:val="15"/>
              </w:rPr>
              <w:t>without</w:t>
            </w:r>
            <w:r>
              <w:rPr>
                <w:color w:val="231F20"/>
                <w:spacing w:val="-11"/>
                <w:sz w:val="15"/>
              </w:rPr>
              <w:t> </w:t>
            </w:r>
            <w:r>
              <w:rPr>
                <w:color w:val="231F20"/>
                <w:sz w:val="15"/>
              </w:rPr>
              <w:t>gestural</w:t>
            </w:r>
            <w:r>
              <w:rPr>
                <w:color w:val="231F20"/>
                <w:spacing w:val="-11"/>
                <w:sz w:val="15"/>
              </w:rPr>
              <w:t> </w:t>
            </w:r>
            <w:r>
              <w:rPr>
                <w:color w:val="231F20"/>
                <w:sz w:val="15"/>
              </w:rPr>
              <w:t>or other</w:t>
            </w:r>
            <w:r>
              <w:rPr>
                <w:color w:val="231F20"/>
                <w:spacing w:val="-11"/>
                <w:sz w:val="15"/>
              </w:rPr>
              <w:t> </w:t>
            </w:r>
            <w:r>
              <w:rPr>
                <w:color w:val="231F20"/>
                <w:sz w:val="15"/>
              </w:rPr>
              <w:t>visual</w:t>
            </w:r>
            <w:r>
              <w:rPr>
                <w:color w:val="231F20"/>
                <w:spacing w:val="-11"/>
                <w:sz w:val="15"/>
              </w:rPr>
              <w:t> </w:t>
            </w:r>
            <w:r>
              <w:rPr>
                <w:color w:val="231F20"/>
                <w:sz w:val="15"/>
              </w:rPr>
              <w:t>cues;</w:t>
            </w:r>
            <w:r>
              <w:rPr>
                <w:color w:val="231F20"/>
                <w:spacing w:val="-11"/>
                <w:sz w:val="15"/>
              </w:rPr>
              <w:t> </w:t>
            </w:r>
            <w:r>
              <w:rPr>
                <w:color w:val="231F20"/>
                <w:sz w:val="15"/>
              </w:rPr>
              <w:t>can</w:t>
            </w:r>
            <w:r>
              <w:rPr>
                <w:color w:val="231F20"/>
                <w:spacing w:val="-11"/>
                <w:sz w:val="15"/>
              </w:rPr>
              <w:t> </w:t>
            </w:r>
            <w:r>
              <w:rPr>
                <w:color w:val="231F20"/>
                <w:sz w:val="15"/>
              </w:rPr>
              <w:t>be</w:t>
            </w:r>
            <w:r>
              <w:rPr>
                <w:color w:val="231F20"/>
                <w:spacing w:val="-11"/>
                <w:sz w:val="15"/>
              </w:rPr>
              <w:t> </w:t>
            </w:r>
            <w:r>
              <w:rPr>
                <w:color w:val="231F20"/>
                <w:sz w:val="15"/>
              </w:rPr>
              <w:t>trained</w:t>
            </w:r>
            <w:r>
              <w:rPr>
                <w:color w:val="231F20"/>
                <w:spacing w:val="-11"/>
                <w:sz w:val="15"/>
              </w:rPr>
              <w:t> </w:t>
            </w:r>
            <w:r>
              <w:rPr>
                <w:color w:val="231F20"/>
                <w:sz w:val="15"/>
              </w:rPr>
              <w:t>to</w:t>
            </w:r>
            <w:r>
              <w:rPr>
                <w:color w:val="231F20"/>
                <w:spacing w:val="-11"/>
                <w:sz w:val="15"/>
              </w:rPr>
              <w:t> </w:t>
            </w:r>
            <w:r>
              <w:rPr>
                <w:color w:val="231F20"/>
                <w:sz w:val="15"/>
              </w:rPr>
              <w:t>reach</w:t>
            </w:r>
            <w:r>
              <w:rPr>
                <w:color w:val="231F20"/>
                <w:spacing w:val="-11"/>
                <w:sz w:val="15"/>
              </w:rPr>
              <w:t> </w:t>
            </w:r>
            <w:r>
              <w:rPr>
                <w:color w:val="231F20"/>
                <w:sz w:val="15"/>
              </w:rPr>
              <w:t>toward an interesting toy at midline when a sound is </w:t>
            </w:r>
            <w:r>
              <w:rPr>
                <w:color w:val="231F20"/>
                <w:spacing w:val="-2"/>
                <w:sz w:val="15"/>
              </w:rPr>
              <w:t>presented</w:t>
            </w:r>
          </w:p>
        </w:tc>
      </w:tr>
      <w:tr>
        <w:trPr>
          <w:trHeight w:val="583" w:hRule="atLeast"/>
        </w:trPr>
        <w:tc>
          <w:tcPr>
            <w:tcW w:w="950"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4"/>
                <w:sz w:val="15"/>
              </w:rPr>
              <w:t>19-</w:t>
            </w:r>
            <w:r>
              <w:rPr>
                <w:color w:val="231F20"/>
                <w:spacing w:val="-5"/>
                <w:sz w:val="15"/>
              </w:rPr>
              <w:t>24</w:t>
            </w:r>
          </w:p>
        </w:tc>
        <w:tc>
          <w:tcPr>
            <w:tcW w:w="3752" w:type="dxa"/>
            <w:gridSpan w:val="2"/>
            <w:tcBorders>
              <w:top w:val="single" w:sz="4" w:space="0" w:color="FFFFFF"/>
              <w:bottom w:val="single" w:sz="8" w:space="0" w:color="231F20"/>
            </w:tcBorders>
            <w:shd w:val="clear" w:color="auto" w:fill="E8F5F1"/>
          </w:tcPr>
          <w:p>
            <w:pPr>
              <w:pStyle w:val="TableParagraph"/>
              <w:spacing w:line="230" w:lineRule="auto" w:before="48"/>
              <w:ind w:left="299" w:right="672" w:hanging="112"/>
              <w:jc w:val="both"/>
              <w:rPr>
                <w:sz w:val="15"/>
              </w:rPr>
            </w:pPr>
            <w:r>
              <w:rPr>
                <w:color w:val="231F20"/>
                <w:sz w:val="15"/>
              </w:rPr>
              <w:t>Should</w:t>
            </w:r>
            <w:r>
              <w:rPr>
                <w:color w:val="231F20"/>
                <w:spacing w:val="-2"/>
                <w:sz w:val="15"/>
              </w:rPr>
              <w:t> </w:t>
            </w:r>
            <w:r>
              <w:rPr>
                <w:color w:val="231F20"/>
                <w:sz w:val="15"/>
              </w:rPr>
              <w:t>point</w:t>
            </w:r>
            <w:r>
              <w:rPr>
                <w:color w:val="231F20"/>
                <w:spacing w:val="-2"/>
                <w:sz w:val="15"/>
              </w:rPr>
              <w:t> </w:t>
            </w:r>
            <w:r>
              <w:rPr>
                <w:color w:val="231F20"/>
                <w:sz w:val="15"/>
              </w:rPr>
              <w:t>to</w:t>
            </w:r>
            <w:r>
              <w:rPr>
                <w:color w:val="231F20"/>
                <w:spacing w:val="-2"/>
                <w:sz w:val="15"/>
              </w:rPr>
              <w:t> </w:t>
            </w:r>
            <w:r>
              <w:rPr>
                <w:color w:val="231F20"/>
                <w:sz w:val="15"/>
              </w:rPr>
              <w:t>body</w:t>
            </w:r>
            <w:r>
              <w:rPr>
                <w:color w:val="231F20"/>
                <w:spacing w:val="-2"/>
                <w:sz w:val="15"/>
              </w:rPr>
              <w:t> </w:t>
            </w:r>
            <w:r>
              <w:rPr>
                <w:color w:val="231F20"/>
                <w:sz w:val="15"/>
              </w:rPr>
              <w:t>parts</w:t>
            </w:r>
            <w:r>
              <w:rPr>
                <w:color w:val="231F20"/>
                <w:spacing w:val="-2"/>
                <w:sz w:val="15"/>
              </w:rPr>
              <w:t> </w:t>
            </w:r>
            <w:r>
              <w:rPr>
                <w:color w:val="231F20"/>
                <w:sz w:val="15"/>
              </w:rPr>
              <w:t>when</w:t>
            </w:r>
            <w:r>
              <w:rPr>
                <w:color w:val="231F20"/>
                <w:spacing w:val="-2"/>
                <w:sz w:val="15"/>
              </w:rPr>
              <w:t> </w:t>
            </w:r>
            <w:r>
              <w:rPr>
                <w:color w:val="231F20"/>
                <w:sz w:val="15"/>
              </w:rPr>
              <w:t>asked;</w:t>
            </w:r>
            <w:r>
              <w:rPr>
                <w:color w:val="231F20"/>
                <w:spacing w:val="-2"/>
                <w:sz w:val="15"/>
              </w:rPr>
              <w:t> </w:t>
            </w:r>
            <w:r>
              <w:rPr>
                <w:color w:val="231F20"/>
                <w:sz w:val="15"/>
              </w:rPr>
              <w:t>by 21-24</w:t>
            </w:r>
            <w:r>
              <w:rPr>
                <w:color w:val="231F20"/>
                <w:spacing w:val="-8"/>
                <w:sz w:val="15"/>
              </w:rPr>
              <w:t> </w:t>
            </w:r>
            <w:r>
              <w:rPr>
                <w:color w:val="231F20"/>
                <w:sz w:val="15"/>
              </w:rPr>
              <w:t>mo,</w:t>
            </w:r>
            <w:r>
              <w:rPr>
                <w:color w:val="231F20"/>
                <w:spacing w:val="-8"/>
                <w:sz w:val="15"/>
              </w:rPr>
              <w:t> </w:t>
            </w:r>
            <w:r>
              <w:rPr>
                <w:color w:val="231F20"/>
                <w:sz w:val="15"/>
              </w:rPr>
              <w:t>can</w:t>
            </w:r>
            <w:r>
              <w:rPr>
                <w:color w:val="231F20"/>
                <w:spacing w:val="-8"/>
                <w:sz w:val="15"/>
              </w:rPr>
              <w:t> </w:t>
            </w:r>
            <w:r>
              <w:rPr>
                <w:color w:val="231F20"/>
                <w:sz w:val="15"/>
              </w:rPr>
              <w:t>be</w:t>
            </w:r>
            <w:r>
              <w:rPr>
                <w:color w:val="231F20"/>
                <w:spacing w:val="-8"/>
                <w:sz w:val="15"/>
              </w:rPr>
              <w:t> </w:t>
            </w:r>
            <w:r>
              <w:rPr>
                <w:color w:val="231F20"/>
                <w:sz w:val="15"/>
              </w:rPr>
              <w:t>trained</w:t>
            </w:r>
            <w:r>
              <w:rPr>
                <w:color w:val="231F20"/>
                <w:spacing w:val="-8"/>
                <w:sz w:val="15"/>
              </w:rPr>
              <w:t> </w:t>
            </w:r>
            <w:r>
              <w:rPr>
                <w:color w:val="231F20"/>
                <w:sz w:val="15"/>
              </w:rPr>
              <w:t>to</w:t>
            </w:r>
            <w:r>
              <w:rPr>
                <w:color w:val="231F20"/>
                <w:spacing w:val="-8"/>
                <w:sz w:val="15"/>
              </w:rPr>
              <w:t> </w:t>
            </w:r>
            <w:r>
              <w:rPr>
                <w:color w:val="231F20"/>
                <w:sz w:val="15"/>
              </w:rPr>
              <w:t>perform</w:t>
            </w:r>
            <w:r>
              <w:rPr>
                <w:color w:val="231F20"/>
                <w:spacing w:val="-8"/>
                <w:sz w:val="15"/>
              </w:rPr>
              <w:t> </w:t>
            </w:r>
            <w:r>
              <w:rPr>
                <w:color w:val="231F20"/>
                <w:sz w:val="15"/>
              </w:rPr>
              <w:t>play </w:t>
            </w:r>
            <w:r>
              <w:rPr>
                <w:color w:val="231F20"/>
                <w:spacing w:val="-2"/>
                <w:sz w:val="15"/>
              </w:rPr>
              <w:t>audiometry</w:t>
            </w:r>
          </w:p>
        </w:tc>
      </w:tr>
    </w:tbl>
    <w:p>
      <w:pPr>
        <w:pStyle w:val="BodyText"/>
        <w:spacing w:before="32"/>
        <w:ind w:right="5071"/>
        <w:jc w:val="center"/>
        <w:rPr>
          <w:rFonts w:ascii="Arial MT"/>
        </w:rPr>
      </w:pPr>
      <w:r>
        <w:rPr>
          <w:rFonts w:ascii="Arial MT"/>
          <w:color w:val="231F20"/>
          <w:spacing w:val="-2"/>
        </w:rPr>
        <w:t>PURE-TONE</w:t>
      </w:r>
      <w:r>
        <w:rPr>
          <w:rFonts w:ascii="Arial MT"/>
          <w:color w:val="231F20"/>
          <w:spacing w:val="8"/>
        </w:rPr>
        <w:t> </w:t>
      </w:r>
      <w:r>
        <w:rPr>
          <w:rFonts w:ascii="Arial MT"/>
          <w:color w:val="231F20"/>
          <w:spacing w:val="-2"/>
        </w:rPr>
        <w:t>AUDIOGRAM</w:t>
      </w:r>
    </w:p>
    <w:p>
      <w:pPr>
        <w:pStyle w:val="BodyText"/>
        <w:ind w:right="5073"/>
        <w:jc w:val="center"/>
        <w:rPr>
          <w:rFonts w:ascii="Arial MT"/>
        </w:rPr>
      </w:pPr>
      <w:r>
        <w:rPr>
          <w:rFonts w:ascii="Arial MT"/>
          <w:color w:val="231F20"/>
        </w:rPr>
        <w:t>Frequency </w:t>
      </w:r>
      <w:r>
        <w:rPr>
          <w:rFonts w:ascii="Arial MT"/>
          <w:color w:val="231F20"/>
          <w:spacing w:val="-2"/>
        </w:rPr>
        <w:t>(cycles/sec)</w:t>
      </w:r>
    </w:p>
    <w:p>
      <w:pPr>
        <w:pStyle w:val="BodyText"/>
        <w:spacing w:before="1"/>
        <w:rPr>
          <w:rFonts w:ascii="Arial MT"/>
          <w:sz w:val="9"/>
        </w:rPr>
      </w:pPr>
    </w:p>
    <w:p>
      <w:pPr>
        <w:pStyle w:val="BodyText"/>
        <w:spacing w:after="0"/>
        <w:rPr>
          <w:rFonts w:ascii="Arial MT"/>
          <w:sz w:val="9"/>
        </w:rPr>
        <w:sectPr>
          <w:pgSz w:w="11900" w:h="16840"/>
          <w:pgMar w:header="0" w:footer="0" w:top="1180" w:bottom="280" w:left="708" w:right="566"/>
        </w:sectPr>
      </w:pPr>
    </w:p>
    <w:p>
      <w:pPr>
        <w:pStyle w:val="BodyText"/>
        <w:spacing w:before="79"/>
        <w:jc w:val="right"/>
        <w:rPr>
          <w:rFonts w:ascii="Arial MT"/>
        </w:rPr>
      </w:pPr>
      <w:r>
        <w:rPr>
          <w:rFonts w:ascii="Arial MT"/>
        </w:rPr>
        <mc:AlternateContent>
          <mc:Choice Requires="wps">
            <w:drawing>
              <wp:anchor distT="0" distB="0" distL="0" distR="0" allowOverlap="1" layoutInCell="1" locked="0" behindDoc="0" simplePos="0" relativeHeight="15830528">
                <wp:simplePos x="0" y="0"/>
                <wp:positionH relativeFrom="page">
                  <wp:posOffset>1100977</wp:posOffset>
                </wp:positionH>
                <wp:positionV relativeFrom="paragraph">
                  <wp:posOffset>170725</wp:posOffset>
                </wp:positionV>
                <wp:extent cx="2360295" cy="2480945"/>
                <wp:effectExtent l="0" t="0" r="0" b="0"/>
                <wp:wrapNone/>
                <wp:docPr id="1474" name="Group 1474"/>
                <wp:cNvGraphicFramePr>
                  <a:graphicFrameLocks/>
                </wp:cNvGraphicFramePr>
                <a:graphic>
                  <a:graphicData uri="http://schemas.microsoft.com/office/word/2010/wordprocessingGroup">
                    <wpg:wgp>
                      <wpg:cNvPr id="1474" name="Group 1474"/>
                      <wpg:cNvGrpSpPr/>
                      <wpg:grpSpPr>
                        <a:xfrm>
                          <a:off x="0" y="0"/>
                          <a:ext cx="2360295" cy="2480945"/>
                          <a:chExt cx="2360295" cy="2480945"/>
                        </a:xfrm>
                      </wpg:grpSpPr>
                      <wps:wsp>
                        <wps:cNvPr id="1475" name="Graphic 1475"/>
                        <wps:cNvSpPr/>
                        <wps:spPr>
                          <a:xfrm>
                            <a:off x="4443" y="4443"/>
                            <a:ext cx="2351405" cy="2472055"/>
                          </a:xfrm>
                          <a:custGeom>
                            <a:avLst/>
                            <a:gdLst/>
                            <a:ahLst/>
                            <a:cxnLst/>
                            <a:rect l="l" t="t" r="r" b="b"/>
                            <a:pathLst>
                              <a:path w="2351405" h="2472055">
                                <a:moveTo>
                                  <a:pt x="2351263" y="2471853"/>
                                </a:moveTo>
                                <a:lnTo>
                                  <a:pt x="0" y="2471853"/>
                                </a:lnTo>
                                <a:lnTo>
                                  <a:pt x="0" y="0"/>
                                </a:lnTo>
                                <a:lnTo>
                                  <a:pt x="2351263" y="0"/>
                                </a:lnTo>
                                <a:lnTo>
                                  <a:pt x="2351263" y="2471853"/>
                                </a:lnTo>
                                <a:close/>
                              </a:path>
                              <a:path w="2351405" h="2472055">
                                <a:moveTo>
                                  <a:pt x="2351263" y="2265854"/>
                                </a:moveTo>
                                <a:lnTo>
                                  <a:pt x="0" y="2265854"/>
                                </a:lnTo>
                              </a:path>
                              <a:path w="2351405" h="2472055">
                                <a:moveTo>
                                  <a:pt x="2351263" y="2069914"/>
                                </a:moveTo>
                                <a:lnTo>
                                  <a:pt x="0" y="2069914"/>
                                </a:lnTo>
                              </a:path>
                              <a:path w="2351405" h="2472055">
                                <a:moveTo>
                                  <a:pt x="2351263" y="1873974"/>
                                </a:moveTo>
                                <a:lnTo>
                                  <a:pt x="0" y="1873974"/>
                                </a:lnTo>
                              </a:path>
                              <a:path w="2351405" h="2472055">
                                <a:moveTo>
                                  <a:pt x="2351263" y="1678035"/>
                                </a:moveTo>
                                <a:lnTo>
                                  <a:pt x="0" y="1678035"/>
                                </a:lnTo>
                              </a:path>
                              <a:path w="2351405" h="2472055">
                                <a:moveTo>
                                  <a:pt x="2351263" y="1482083"/>
                                </a:moveTo>
                                <a:lnTo>
                                  <a:pt x="0" y="1482083"/>
                                </a:lnTo>
                              </a:path>
                              <a:path w="2351405" h="2472055">
                                <a:moveTo>
                                  <a:pt x="2351263" y="1286144"/>
                                </a:moveTo>
                                <a:lnTo>
                                  <a:pt x="0" y="1286144"/>
                                </a:lnTo>
                              </a:path>
                              <a:path w="2351405" h="2472055">
                                <a:moveTo>
                                  <a:pt x="2351263" y="1090204"/>
                                </a:moveTo>
                                <a:lnTo>
                                  <a:pt x="0" y="1090204"/>
                                </a:lnTo>
                              </a:path>
                              <a:path w="2351405" h="2472055">
                                <a:moveTo>
                                  <a:pt x="2351263" y="894264"/>
                                </a:moveTo>
                                <a:lnTo>
                                  <a:pt x="0" y="894264"/>
                                </a:lnTo>
                              </a:path>
                              <a:path w="2351405" h="2472055">
                                <a:moveTo>
                                  <a:pt x="2351263" y="698313"/>
                                </a:moveTo>
                                <a:lnTo>
                                  <a:pt x="0" y="698313"/>
                                </a:lnTo>
                              </a:path>
                              <a:path w="2351405" h="2472055">
                                <a:moveTo>
                                  <a:pt x="2351263" y="502373"/>
                                </a:moveTo>
                                <a:lnTo>
                                  <a:pt x="0" y="502373"/>
                                </a:lnTo>
                              </a:path>
                              <a:path w="2351405" h="2472055">
                                <a:moveTo>
                                  <a:pt x="2351263" y="306434"/>
                                </a:moveTo>
                                <a:lnTo>
                                  <a:pt x="0" y="306434"/>
                                </a:lnTo>
                              </a:path>
                              <a:path w="2351405" h="2472055">
                                <a:moveTo>
                                  <a:pt x="2351263" y="110482"/>
                                </a:moveTo>
                                <a:lnTo>
                                  <a:pt x="0" y="110482"/>
                                </a:lnTo>
                              </a:path>
                              <a:path w="2351405" h="2472055">
                                <a:moveTo>
                                  <a:pt x="376807" y="2471853"/>
                                </a:moveTo>
                                <a:lnTo>
                                  <a:pt x="376807" y="0"/>
                                </a:lnTo>
                              </a:path>
                              <a:path w="2351405" h="2472055">
                                <a:moveTo>
                                  <a:pt x="743565" y="2471853"/>
                                </a:moveTo>
                                <a:lnTo>
                                  <a:pt x="743565" y="0"/>
                                </a:lnTo>
                              </a:path>
                              <a:path w="2351405" h="2472055">
                                <a:moveTo>
                                  <a:pt x="1110336" y="2471853"/>
                                </a:moveTo>
                                <a:lnTo>
                                  <a:pt x="1110336" y="0"/>
                                </a:lnTo>
                              </a:path>
                              <a:path w="2351405" h="2472055">
                                <a:moveTo>
                                  <a:pt x="1477095" y="2471853"/>
                                </a:moveTo>
                                <a:lnTo>
                                  <a:pt x="1477095" y="0"/>
                                </a:lnTo>
                              </a:path>
                              <a:path w="2351405" h="2472055">
                                <a:moveTo>
                                  <a:pt x="1843854" y="2471853"/>
                                </a:moveTo>
                                <a:lnTo>
                                  <a:pt x="1843854" y="0"/>
                                </a:lnTo>
                              </a:path>
                              <a:path w="2351405" h="2472055">
                                <a:moveTo>
                                  <a:pt x="2210589" y="2471853"/>
                                </a:moveTo>
                                <a:lnTo>
                                  <a:pt x="2210589" y="0"/>
                                </a:lnTo>
                              </a:path>
                            </a:pathLst>
                          </a:custGeom>
                          <a:ln w="8886">
                            <a:solidFill>
                              <a:srgbClr val="231F20"/>
                            </a:solidFill>
                            <a:prstDash val="solid"/>
                          </a:ln>
                        </wps:spPr>
                        <wps:bodyPr wrap="square" lIns="0" tIns="0" rIns="0" bIns="0" rtlCol="0">
                          <a:prstTxWarp prst="textNoShape">
                            <a:avLst/>
                          </a:prstTxWarp>
                          <a:noAutofit/>
                        </wps:bodyPr>
                      </wps:wsp>
                      <wps:wsp>
                        <wps:cNvPr id="1476" name="Graphic 1476"/>
                        <wps:cNvSpPr/>
                        <wps:spPr>
                          <a:xfrm>
                            <a:off x="249783" y="366707"/>
                            <a:ext cx="1737360" cy="195580"/>
                          </a:xfrm>
                          <a:custGeom>
                            <a:avLst/>
                            <a:gdLst/>
                            <a:ahLst/>
                            <a:cxnLst/>
                            <a:rect l="l" t="t" r="r" b="b"/>
                            <a:pathLst>
                              <a:path w="1737360" h="195580">
                                <a:moveTo>
                                  <a:pt x="171660" y="0"/>
                                </a:moveTo>
                                <a:lnTo>
                                  <a:pt x="252045" y="55265"/>
                                </a:lnTo>
                                <a:lnTo>
                                  <a:pt x="166636" y="110530"/>
                                </a:lnTo>
                              </a:path>
                              <a:path w="1737360" h="195580">
                                <a:moveTo>
                                  <a:pt x="5024" y="84568"/>
                                </a:moveTo>
                                <a:lnTo>
                                  <a:pt x="85409" y="139833"/>
                                </a:lnTo>
                                <a:lnTo>
                                  <a:pt x="0" y="195098"/>
                                </a:lnTo>
                              </a:path>
                              <a:path w="1737360" h="195580">
                                <a:moveTo>
                                  <a:pt x="416170" y="84568"/>
                                </a:moveTo>
                                <a:lnTo>
                                  <a:pt x="335784" y="139833"/>
                                </a:lnTo>
                                <a:lnTo>
                                  <a:pt x="421182" y="195098"/>
                                </a:lnTo>
                              </a:path>
                              <a:path w="1737360" h="195580">
                                <a:moveTo>
                                  <a:pt x="584536" y="84568"/>
                                </a:moveTo>
                                <a:lnTo>
                                  <a:pt x="664922" y="139833"/>
                                </a:lnTo>
                                <a:lnTo>
                                  <a:pt x="579512" y="195098"/>
                                </a:lnTo>
                              </a:path>
                              <a:path w="1737360" h="195580">
                                <a:moveTo>
                                  <a:pt x="804174" y="84568"/>
                                </a:moveTo>
                                <a:lnTo>
                                  <a:pt x="723789" y="139833"/>
                                </a:lnTo>
                                <a:lnTo>
                                  <a:pt x="809198" y="195098"/>
                                </a:lnTo>
                              </a:path>
                              <a:path w="1737360" h="195580">
                                <a:moveTo>
                                  <a:pt x="915356" y="84568"/>
                                </a:moveTo>
                                <a:lnTo>
                                  <a:pt x="995742" y="139833"/>
                                </a:lnTo>
                                <a:lnTo>
                                  <a:pt x="910332" y="195098"/>
                                </a:lnTo>
                              </a:path>
                              <a:path w="1737360" h="195580">
                                <a:moveTo>
                                  <a:pt x="1164819" y="84568"/>
                                </a:moveTo>
                                <a:lnTo>
                                  <a:pt x="1084422" y="139833"/>
                                </a:lnTo>
                                <a:lnTo>
                                  <a:pt x="1169843" y="195098"/>
                                </a:lnTo>
                              </a:path>
                              <a:path w="1737360" h="195580">
                                <a:moveTo>
                                  <a:pt x="1285942" y="84568"/>
                                </a:moveTo>
                                <a:lnTo>
                                  <a:pt x="1366340" y="139833"/>
                                </a:lnTo>
                                <a:lnTo>
                                  <a:pt x="1280918" y="195098"/>
                                </a:lnTo>
                              </a:path>
                              <a:path w="1737360" h="195580">
                                <a:moveTo>
                                  <a:pt x="1656528" y="84568"/>
                                </a:moveTo>
                                <a:lnTo>
                                  <a:pt x="1736914" y="139833"/>
                                </a:lnTo>
                                <a:lnTo>
                                  <a:pt x="1651516" y="195098"/>
                                </a:lnTo>
                              </a:path>
                              <a:path w="1737360" h="195580">
                                <a:moveTo>
                                  <a:pt x="1535417" y="84568"/>
                                </a:moveTo>
                                <a:lnTo>
                                  <a:pt x="1455020" y="139833"/>
                                </a:lnTo>
                                <a:lnTo>
                                  <a:pt x="1540429" y="195098"/>
                                </a:lnTo>
                              </a:path>
                            </a:pathLst>
                          </a:custGeom>
                          <a:ln w="8886">
                            <a:solidFill>
                              <a:srgbClr val="ED1A3A"/>
                            </a:solidFill>
                            <a:prstDash val="solid"/>
                          </a:ln>
                        </wps:spPr>
                        <wps:bodyPr wrap="square" lIns="0" tIns="0" rIns="0" bIns="0" rtlCol="0">
                          <a:prstTxWarp prst="textNoShape">
                            <a:avLst/>
                          </a:prstTxWarp>
                          <a:noAutofit/>
                        </wps:bodyPr>
                      </wps:wsp>
                      <wps:wsp>
                        <wps:cNvPr id="1477" name="Graphic 1477"/>
                        <wps:cNvSpPr/>
                        <wps:spPr>
                          <a:xfrm>
                            <a:off x="2143449" y="1031447"/>
                            <a:ext cx="139700" cy="139700"/>
                          </a:xfrm>
                          <a:custGeom>
                            <a:avLst/>
                            <a:gdLst/>
                            <a:ahLst/>
                            <a:cxnLst/>
                            <a:rect l="l" t="t" r="r" b="b"/>
                            <a:pathLst>
                              <a:path w="139700" h="139700">
                                <a:moveTo>
                                  <a:pt x="69634" y="0"/>
                                </a:moveTo>
                                <a:lnTo>
                                  <a:pt x="42535" y="5470"/>
                                </a:lnTo>
                                <a:lnTo>
                                  <a:pt x="20400" y="20391"/>
                                </a:lnTo>
                                <a:lnTo>
                                  <a:pt x="5474" y="42524"/>
                                </a:lnTo>
                                <a:lnTo>
                                  <a:pt x="0" y="69634"/>
                                </a:lnTo>
                                <a:lnTo>
                                  <a:pt x="5474" y="96743"/>
                                </a:lnTo>
                                <a:lnTo>
                                  <a:pt x="20400" y="118876"/>
                                </a:lnTo>
                                <a:lnTo>
                                  <a:pt x="42535" y="133797"/>
                                </a:lnTo>
                                <a:lnTo>
                                  <a:pt x="69634" y="139268"/>
                                </a:lnTo>
                                <a:lnTo>
                                  <a:pt x="96747" y="133797"/>
                                </a:lnTo>
                                <a:lnTo>
                                  <a:pt x="118889" y="118876"/>
                                </a:lnTo>
                                <a:lnTo>
                                  <a:pt x="133818" y="96743"/>
                                </a:lnTo>
                                <a:lnTo>
                                  <a:pt x="139293" y="69634"/>
                                </a:lnTo>
                                <a:lnTo>
                                  <a:pt x="133818" y="42524"/>
                                </a:lnTo>
                                <a:lnTo>
                                  <a:pt x="118889" y="20391"/>
                                </a:lnTo>
                                <a:lnTo>
                                  <a:pt x="96747" y="5470"/>
                                </a:lnTo>
                                <a:lnTo>
                                  <a:pt x="69634" y="0"/>
                                </a:lnTo>
                                <a:close/>
                              </a:path>
                            </a:pathLst>
                          </a:custGeom>
                          <a:solidFill>
                            <a:srgbClr val="92C5EB"/>
                          </a:solidFill>
                        </wps:spPr>
                        <wps:bodyPr wrap="square" lIns="0" tIns="0" rIns="0" bIns="0" rtlCol="0">
                          <a:prstTxWarp prst="textNoShape">
                            <a:avLst/>
                          </a:prstTxWarp>
                          <a:noAutofit/>
                        </wps:bodyPr>
                      </wps:wsp>
                      <wps:wsp>
                        <wps:cNvPr id="1478" name="Graphic 1478"/>
                        <wps:cNvSpPr/>
                        <wps:spPr>
                          <a:xfrm>
                            <a:off x="2143443" y="1031443"/>
                            <a:ext cx="139700" cy="139700"/>
                          </a:xfrm>
                          <a:custGeom>
                            <a:avLst/>
                            <a:gdLst/>
                            <a:ahLst/>
                            <a:cxnLst/>
                            <a:rect l="l" t="t" r="r" b="b"/>
                            <a:pathLst>
                              <a:path w="139700" h="139700">
                                <a:moveTo>
                                  <a:pt x="139300" y="69638"/>
                                </a:moveTo>
                                <a:lnTo>
                                  <a:pt x="133825" y="96745"/>
                                </a:lnTo>
                                <a:lnTo>
                                  <a:pt x="118897" y="118880"/>
                                </a:lnTo>
                                <a:lnTo>
                                  <a:pt x="96754" y="133804"/>
                                </a:lnTo>
                                <a:lnTo>
                                  <a:pt x="69638" y="139276"/>
                                </a:lnTo>
                                <a:lnTo>
                                  <a:pt x="42540" y="133804"/>
                                </a:lnTo>
                                <a:lnTo>
                                  <a:pt x="20404" y="118880"/>
                                </a:lnTo>
                                <a:lnTo>
                                  <a:pt x="5475" y="96745"/>
                                </a:lnTo>
                                <a:lnTo>
                                  <a:pt x="0" y="69638"/>
                                </a:lnTo>
                                <a:lnTo>
                                  <a:pt x="5475" y="42530"/>
                                </a:lnTo>
                                <a:lnTo>
                                  <a:pt x="20404" y="20395"/>
                                </a:lnTo>
                                <a:lnTo>
                                  <a:pt x="42540" y="5472"/>
                                </a:lnTo>
                                <a:lnTo>
                                  <a:pt x="69638" y="0"/>
                                </a:lnTo>
                                <a:lnTo>
                                  <a:pt x="96754" y="5472"/>
                                </a:lnTo>
                                <a:lnTo>
                                  <a:pt x="118897" y="20395"/>
                                </a:lnTo>
                                <a:lnTo>
                                  <a:pt x="133825" y="42530"/>
                                </a:lnTo>
                                <a:lnTo>
                                  <a:pt x="139300" y="69638"/>
                                </a:lnTo>
                                <a:close/>
                              </a:path>
                            </a:pathLst>
                          </a:custGeom>
                          <a:ln w="8886">
                            <a:solidFill>
                              <a:srgbClr val="009EDB"/>
                            </a:solidFill>
                            <a:prstDash val="solid"/>
                          </a:ln>
                        </wps:spPr>
                        <wps:bodyPr wrap="square" lIns="0" tIns="0" rIns="0" bIns="0" rtlCol="0">
                          <a:prstTxWarp prst="textNoShape">
                            <a:avLst/>
                          </a:prstTxWarp>
                          <a:noAutofit/>
                        </wps:bodyPr>
                      </wps:wsp>
                      <wps:wsp>
                        <wps:cNvPr id="1479" name="Graphic 1479"/>
                        <wps:cNvSpPr/>
                        <wps:spPr>
                          <a:xfrm>
                            <a:off x="1775357" y="1130934"/>
                            <a:ext cx="139700" cy="139700"/>
                          </a:xfrm>
                          <a:custGeom>
                            <a:avLst/>
                            <a:gdLst/>
                            <a:ahLst/>
                            <a:cxnLst/>
                            <a:rect l="l" t="t" r="r" b="b"/>
                            <a:pathLst>
                              <a:path w="139700" h="139700">
                                <a:moveTo>
                                  <a:pt x="69634" y="0"/>
                                </a:moveTo>
                                <a:lnTo>
                                  <a:pt x="42524" y="5470"/>
                                </a:lnTo>
                                <a:lnTo>
                                  <a:pt x="20391" y="20391"/>
                                </a:lnTo>
                                <a:lnTo>
                                  <a:pt x="5470" y="42524"/>
                                </a:lnTo>
                                <a:lnTo>
                                  <a:pt x="0" y="69634"/>
                                </a:lnTo>
                                <a:lnTo>
                                  <a:pt x="5470" y="96743"/>
                                </a:lnTo>
                                <a:lnTo>
                                  <a:pt x="20391" y="118876"/>
                                </a:lnTo>
                                <a:lnTo>
                                  <a:pt x="42524" y="133797"/>
                                </a:lnTo>
                                <a:lnTo>
                                  <a:pt x="69634" y="139268"/>
                                </a:lnTo>
                                <a:lnTo>
                                  <a:pt x="96735" y="133797"/>
                                </a:lnTo>
                                <a:lnTo>
                                  <a:pt x="118865" y="118876"/>
                                </a:lnTo>
                                <a:lnTo>
                                  <a:pt x="133784" y="96743"/>
                                </a:lnTo>
                                <a:lnTo>
                                  <a:pt x="139255" y="69634"/>
                                </a:lnTo>
                                <a:lnTo>
                                  <a:pt x="133784" y="42524"/>
                                </a:lnTo>
                                <a:lnTo>
                                  <a:pt x="118865" y="20391"/>
                                </a:lnTo>
                                <a:lnTo>
                                  <a:pt x="96735" y="5470"/>
                                </a:lnTo>
                                <a:lnTo>
                                  <a:pt x="69634" y="0"/>
                                </a:lnTo>
                                <a:close/>
                              </a:path>
                            </a:pathLst>
                          </a:custGeom>
                          <a:solidFill>
                            <a:srgbClr val="92C5EB"/>
                          </a:solidFill>
                        </wps:spPr>
                        <wps:bodyPr wrap="square" lIns="0" tIns="0" rIns="0" bIns="0" rtlCol="0">
                          <a:prstTxWarp prst="textNoShape">
                            <a:avLst/>
                          </a:prstTxWarp>
                          <a:noAutofit/>
                        </wps:bodyPr>
                      </wps:wsp>
                      <wps:wsp>
                        <wps:cNvPr id="1480" name="Graphic 1480"/>
                        <wps:cNvSpPr/>
                        <wps:spPr>
                          <a:xfrm>
                            <a:off x="1775360" y="1130930"/>
                            <a:ext cx="139700" cy="139700"/>
                          </a:xfrm>
                          <a:custGeom>
                            <a:avLst/>
                            <a:gdLst/>
                            <a:ahLst/>
                            <a:cxnLst/>
                            <a:rect l="l" t="t" r="r" b="b"/>
                            <a:pathLst>
                              <a:path w="139700" h="139700">
                                <a:moveTo>
                                  <a:pt x="139252" y="69638"/>
                                </a:moveTo>
                                <a:lnTo>
                                  <a:pt x="133782" y="96745"/>
                                </a:lnTo>
                                <a:lnTo>
                                  <a:pt x="118864" y="118880"/>
                                </a:lnTo>
                                <a:lnTo>
                                  <a:pt x="96736" y="133804"/>
                                </a:lnTo>
                                <a:lnTo>
                                  <a:pt x="69638" y="139276"/>
                                </a:lnTo>
                                <a:lnTo>
                                  <a:pt x="42525" y="133804"/>
                                </a:lnTo>
                                <a:lnTo>
                                  <a:pt x="20391" y="118880"/>
                                </a:lnTo>
                                <a:lnTo>
                                  <a:pt x="5470" y="96745"/>
                                </a:lnTo>
                                <a:lnTo>
                                  <a:pt x="0" y="69638"/>
                                </a:lnTo>
                                <a:lnTo>
                                  <a:pt x="5470" y="42530"/>
                                </a:lnTo>
                                <a:lnTo>
                                  <a:pt x="20391" y="20395"/>
                                </a:lnTo>
                                <a:lnTo>
                                  <a:pt x="42525" y="5472"/>
                                </a:lnTo>
                                <a:lnTo>
                                  <a:pt x="69638" y="0"/>
                                </a:lnTo>
                                <a:lnTo>
                                  <a:pt x="96736" y="5472"/>
                                </a:lnTo>
                                <a:lnTo>
                                  <a:pt x="118864" y="20395"/>
                                </a:lnTo>
                                <a:lnTo>
                                  <a:pt x="133782" y="42530"/>
                                </a:lnTo>
                                <a:lnTo>
                                  <a:pt x="139252" y="69638"/>
                                </a:lnTo>
                                <a:close/>
                              </a:path>
                            </a:pathLst>
                          </a:custGeom>
                          <a:ln w="8886">
                            <a:solidFill>
                              <a:srgbClr val="009EDB"/>
                            </a:solidFill>
                            <a:prstDash val="solid"/>
                          </a:ln>
                        </wps:spPr>
                        <wps:bodyPr wrap="square" lIns="0" tIns="0" rIns="0" bIns="0" rtlCol="0">
                          <a:prstTxWarp prst="textNoShape">
                            <a:avLst/>
                          </a:prstTxWarp>
                          <a:noAutofit/>
                        </wps:bodyPr>
                      </wps:wsp>
                      <wps:wsp>
                        <wps:cNvPr id="1481" name="Graphic 1481"/>
                        <wps:cNvSpPr/>
                        <wps:spPr>
                          <a:xfrm>
                            <a:off x="1397308" y="1138398"/>
                            <a:ext cx="139700" cy="139700"/>
                          </a:xfrm>
                          <a:custGeom>
                            <a:avLst/>
                            <a:gdLst/>
                            <a:ahLst/>
                            <a:cxnLst/>
                            <a:rect l="l" t="t" r="r" b="b"/>
                            <a:pathLst>
                              <a:path w="139700" h="139700">
                                <a:moveTo>
                                  <a:pt x="69634" y="0"/>
                                </a:moveTo>
                                <a:lnTo>
                                  <a:pt x="42524" y="5470"/>
                                </a:lnTo>
                                <a:lnTo>
                                  <a:pt x="20391" y="20391"/>
                                </a:lnTo>
                                <a:lnTo>
                                  <a:pt x="5470" y="42524"/>
                                </a:lnTo>
                                <a:lnTo>
                                  <a:pt x="0" y="69634"/>
                                </a:lnTo>
                                <a:lnTo>
                                  <a:pt x="5470" y="96743"/>
                                </a:lnTo>
                                <a:lnTo>
                                  <a:pt x="20391" y="118876"/>
                                </a:lnTo>
                                <a:lnTo>
                                  <a:pt x="42524" y="133797"/>
                                </a:lnTo>
                                <a:lnTo>
                                  <a:pt x="69634" y="139268"/>
                                </a:lnTo>
                                <a:lnTo>
                                  <a:pt x="96727" y="133797"/>
                                </a:lnTo>
                                <a:lnTo>
                                  <a:pt x="118862" y="118876"/>
                                </a:lnTo>
                                <a:lnTo>
                                  <a:pt x="133792" y="96743"/>
                                </a:lnTo>
                                <a:lnTo>
                                  <a:pt x="139268" y="69634"/>
                                </a:lnTo>
                                <a:lnTo>
                                  <a:pt x="133792" y="42524"/>
                                </a:lnTo>
                                <a:lnTo>
                                  <a:pt x="118862" y="20391"/>
                                </a:lnTo>
                                <a:lnTo>
                                  <a:pt x="96727" y="5470"/>
                                </a:lnTo>
                                <a:lnTo>
                                  <a:pt x="69634" y="0"/>
                                </a:lnTo>
                                <a:close/>
                              </a:path>
                            </a:pathLst>
                          </a:custGeom>
                          <a:solidFill>
                            <a:srgbClr val="92C5EB"/>
                          </a:solidFill>
                        </wps:spPr>
                        <wps:bodyPr wrap="square" lIns="0" tIns="0" rIns="0" bIns="0" rtlCol="0">
                          <a:prstTxWarp prst="textNoShape">
                            <a:avLst/>
                          </a:prstTxWarp>
                          <a:noAutofit/>
                        </wps:bodyPr>
                      </wps:wsp>
                      <wps:wsp>
                        <wps:cNvPr id="1482" name="Graphic 1482"/>
                        <wps:cNvSpPr/>
                        <wps:spPr>
                          <a:xfrm>
                            <a:off x="1397299" y="1138394"/>
                            <a:ext cx="139700" cy="139700"/>
                          </a:xfrm>
                          <a:custGeom>
                            <a:avLst/>
                            <a:gdLst/>
                            <a:ahLst/>
                            <a:cxnLst/>
                            <a:rect l="l" t="t" r="r" b="b"/>
                            <a:pathLst>
                              <a:path w="139700" h="139700">
                                <a:moveTo>
                                  <a:pt x="139276" y="69638"/>
                                </a:moveTo>
                                <a:lnTo>
                                  <a:pt x="133800" y="96745"/>
                                </a:lnTo>
                                <a:lnTo>
                                  <a:pt x="118871" y="118880"/>
                                </a:lnTo>
                                <a:lnTo>
                                  <a:pt x="96735" y="133804"/>
                                </a:lnTo>
                                <a:lnTo>
                                  <a:pt x="69638" y="139276"/>
                                </a:lnTo>
                                <a:lnTo>
                                  <a:pt x="42530" y="133804"/>
                                </a:lnTo>
                                <a:lnTo>
                                  <a:pt x="20395" y="118880"/>
                                </a:lnTo>
                                <a:lnTo>
                                  <a:pt x="5472" y="96745"/>
                                </a:lnTo>
                                <a:lnTo>
                                  <a:pt x="0" y="69638"/>
                                </a:lnTo>
                                <a:lnTo>
                                  <a:pt x="5472" y="42530"/>
                                </a:lnTo>
                                <a:lnTo>
                                  <a:pt x="20395" y="20395"/>
                                </a:lnTo>
                                <a:lnTo>
                                  <a:pt x="42530" y="5472"/>
                                </a:lnTo>
                                <a:lnTo>
                                  <a:pt x="69638" y="0"/>
                                </a:lnTo>
                                <a:lnTo>
                                  <a:pt x="96735" y="5472"/>
                                </a:lnTo>
                                <a:lnTo>
                                  <a:pt x="118871" y="20395"/>
                                </a:lnTo>
                                <a:lnTo>
                                  <a:pt x="133800" y="42530"/>
                                </a:lnTo>
                                <a:lnTo>
                                  <a:pt x="139276" y="69638"/>
                                </a:lnTo>
                                <a:close/>
                              </a:path>
                            </a:pathLst>
                          </a:custGeom>
                          <a:ln w="8886">
                            <a:solidFill>
                              <a:srgbClr val="009EDB"/>
                            </a:solidFill>
                            <a:prstDash val="solid"/>
                          </a:ln>
                        </wps:spPr>
                        <wps:bodyPr wrap="square" lIns="0" tIns="0" rIns="0" bIns="0" rtlCol="0">
                          <a:prstTxWarp prst="textNoShape">
                            <a:avLst/>
                          </a:prstTxWarp>
                          <a:noAutofit/>
                        </wps:bodyPr>
                      </wps:wsp>
                      <wps:wsp>
                        <wps:cNvPr id="1483" name="Graphic 1483"/>
                        <wps:cNvSpPr/>
                        <wps:spPr>
                          <a:xfrm>
                            <a:off x="1041629" y="1225443"/>
                            <a:ext cx="139700" cy="139700"/>
                          </a:xfrm>
                          <a:custGeom>
                            <a:avLst/>
                            <a:gdLst/>
                            <a:ahLst/>
                            <a:cxnLst/>
                            <a:rect l="l" t="t" r="r" b="b"/>
                            <a:pathLst>
                              <a:path w="139700" h="139700">
                                <a:moveTo>
                                  <a:pt x="69646" y="0"/>
                                </a:moveTo>
                                <a:lnTo>
                                  <a:pt x="42535" y="5472"/>
                                </a:lnTo>
                                <a:lnTo>
                                  <a:pt x="20397" y="20396"/>
                                </a:lnTo>
                                <a:lnTo>
                                  <a:pt x="5472" y="42530"/>
                                </a:lnTo>
                                <a:lnTo>
                                  <a:pt x="0" y="69634"/>
                                </a:lnTo>
                                <a:lnTo>
                                  <a:pt x="5472" y="96745"/>
                                </a:lnTo>
                                <a:lnTo>
                                  <a:pt x="20397" y="118883"/>
                                </a:lnTo>
                                <a:lnTo>
                                  <a:pt x="42535" y="133808"/>
                                </a:lnTo>
                                <a:lnTo>
                                  <a:pt x="69646" y="139280"/>
                                </a:lnTo>
                                <a:lnTo>
                                  <a:pt x="96747" y="133808"/>
                                </a:lnTo>
                                <a:lnTo>
                                  <a:pt x="118886" y="118883"/>
                                </a:lnTo>
                                <a:lnTo>
                                  <a:pt x="133817" y="96745"/>
                                </a:lnTo>
                                <a:lnTo>
                                  <a:pt x="139293" y="69634"/>
                                </a:lnTo>
                                <a:lnTo>
                                  <a:pt x="133817" y="42530"/>
                                </a:lnTo>
                                <a:lnTo>
                                  <a:pt x="118886" y="20396"/>
                                </a:lnTo>
                                <a:lnTo>
                                  <a:pt x="96747" y="5472"/>
                                </a:lnTo>
                                <a:lnTo>
                                  <a:pt x="69646" y="0"/>
                                </a:lnTo>
                                <a:close/>
                              </a:path>
                            </a:pathLst>
                          </a:custGeom>
                          <a:solidFill>
                            <a:srgbClr val="92C5EB"/>
                          </a:solidFill>
                        </wps:spPr>
                        <wps:bodyPr wrap="square" lIns="0" tIns="0" rIns="0" bIns="0" rtlCol="0">
                          <a:prstTxWarp prst="textNoShape">
                            <a:avLst/>
                          </a:prstTxWarp>
                          <a:noAutofit/>
                        </wps:bodyPr>
                      </wps:wsp>
                      <wps:wsp>
                        <wps:cNvPr id="1484" name="Graphic 1484"/>
                        <wps:cNvSpPr/>
                        <wps:spPr>
                          <a:xfrm>
                            <a:off x="1041622" y="1225438"/>
                            <a:ext cx="139700" cy="139700"/>
                          </a:xfrm>
                          <a:custGeom>
                            <a:avLst/>
                            <a:gdLst/>
                            <a:ahLst/>
                            <a:cxnLst/>
                            <a:rect l="l" t="t" r="r" b="b"/>
                            <a:pathLst>
                              <a:path w="139700" h="139700">
                                <a:moveTo>
                                  <a:pt x="139300" y="69638"/>
                                </a:moveTo>
                                <a:lnTo>
                                  <a:pt x="133824" y="96747"/>
                                </a:lnTo>
                                <a:lnTo>
                                  <a:pt x="118894" y="118886"/>
                                </a:lnTo>
                                <a:lnTo>
                                  <a:pt x="96754" y="133814"/>
                                </a:lnTo>
                                <a:lnTo>
                                  <a:pt x="69650" y="139288"/>
                                </a:lnTo>
                                <a:lnTo>
                                  <a:pt x="42540" y="133814"/>
                                </a:lnTo>
                                <a:lnTo>
                                  <a:pt x="20401" y="118886"/>
                                </a:lnTo>
                                <a:lnTo>
                                  <a:pt x="5473" y="96747"/>
                                </a:lnTo>
                                <a:lnTo>
                                  <a:pt x="0" y="69638"/>
                                </a:lnTo>
                                <a:lnTo>
                                  <a:pt x="5473" y="42535"/>
                                </a:lnTo>
                                <a:lnTo>
                                  <a:pt x="20401" y="20400"/>
                                </a:lnTo>
                                <a:lnTo>
                                  <a:pt x="42540" y="5473"/>
                                </a:lnTo>
                                <a:lnTo>
                                  <a:pt x="69650" y="0"/>
                                </a:lnTo>
                                <a:lnTo>
                                  <a:pt x="96754" y="5473"/>
                                </a:lnTo>
                                <a:lnTo>
                                  <a:pt x="118894" y="20400"/>
                                </a:lnTo>
                                <a:lnTo>
                                  <a:pt x="133824" y="42535"/>
                                </a:lnTo>
                                <a:lnTo>
                                  <a:pt x="139300" y="69638"/>
                                </a:lnTo>
                                <a:close/>
                              </a:path>
                            </a:pathLst>
                          </a:custGeom>
                          <a:ln w="8886">
                            <a:solidFill>
                              <a:srgbClr val="009EDB"/>
                            </a:solidFill>
                            <a:prstDash val="solid"/>
                          </a:ln>
                        </wps:spPr>
                        <wps:bodyPr wrap="square" lIns="0" tIns="0" rIns="0" bIns="0" rtlCol="0">
                          <a:prstTxWarp prst="textNoShape">
                            <a:avLst/>
                          </a:prstTxWarp>
                          <a:noAutofit/>
                        </wps:bodyPr>
                      </wps:wsp>
                      <wps:wsp>
                        <wps:cNvPr id="1485" name="Graphic 1485"/>
                        <wps:cNvSpPr/>
                        <wps:spPr>
                          <a:xfrm>
                            <a:off x="678500" y="1312498"/>
                            <a:ext cx="139700" cy="139700"/>
                          </a:xfrm>
                          <a:custGeom>
                            <a:avLst/>
                            <a:gdLst/>
                            <a:ahLst/>
                            <a:cxnLst/>
                            <a:rect l="l" t="t" r="r" b="b"/>
                            <a:pathLst>
                              <a:path w="139700" h="139700">
                                <a:moveTo>
                                  <a:pt x="69634" y="0"/>
                                </a:moveTo>
                                <a:lnTo>
                                  <a:pt x="42524" y="5470"/>
                                </a:lnTo>
                                <a:lnTo>
                                  <a:pt x="20391" y="20391"/>
                                </a:lnTo>
                                <a:lnTo>
                                  <a:pt x="5470" y="42524"/>
                                </a:lnTo>
                                <a:lnTo>
                                  <a:pt x="0" y="69634"/>
                                </a:lnTo>
                                <a:lnTo>
                                  <a:pt x="5470" y="96743"/>
                                </a:lnTo>
                                <a:lnTo>
                                  <a:pt x="20391" y="118876"/>
                                </a:lnTo>
                                <a:lnTo>
                                  <a:pt x="42524" y="133797"/>
                                </a:lnTo>
                                <a:lnTo>
                                  <a:pt x="69634" y="139268"/>
                                </a:lnTo>
                                <a:lnTo>
                                  <a:pt x="96732" y="133797"/>
                                </a:lnTo>
                                <a:lnTo>
                                  <a:pt x="118867" y="118876"/>
                                </a:lnTo>
                                <a:lnTo>
                                  <a:pt x="133793" y="96743"/>
                                </a:lnTo>
                                <a:lnTo>
                                  <a:pt x="139268" y="69634"/>
                                </a:lnTo>
                                <a:lnTo>
                                  <a:pt x="133793" y="42524"/>
                                </a:lnTo>
                                <a:lnTo>
                                  <a:pt x="118867" y="20391"/>
                                </a:lnTo>
                                <a:lnTo>
                                  <a:pt x="96732" y="5470"/>
                                </a:lnTo>
                                <a:lnTo>
                                  <a:pt x="69634" y="0"/>
                                </a:lnTo>
                                <a:close/>
                              </a:path>
                            </a:pathLst>
                          </a:custGeom>
                          <a:solidFill>
                            <a:srgbClr val="92C5EB"/>
                          </a:solidFill>
                        </wps:spPr>
                        <wps:bodyPr wrap="square" lIns="0" tIns="0" rIns="0" bIns="0" rtlCol="0">
                          <a:prstTxWarp prst="textNoShape">
                            <a:avLst/>
                          </a:prstTxWarp>
                          <a:noAutofit/>
                        </wps:bodyPr>
                      </wps:wsp>
                      <wps:wsp>
                        <wps:cNvPr id="1486" name="Graphic 1486"/>
                        <wps:cNvSpPr/>
                        <wps:spPr>
                          <a:xfrm>
                            <a:off x="678492" y="1312494"/>
                            <a:ext cx="139700" cy="139700"/>
                          </a:xfrm>
                          <a:custGeom>
                            <a:avLst/>
                            <a:gdLst/>
                            <a:ahLst/>
                            <a:cxnLst/>
                            <a:rect l="l" t="t" r="r" b="b"/>
                            <a:pathLst>
                              <a:path w="139700" h="139700">
                                <a:moveTo>
                                  <a:pt x="139276" y="69638"/>
                                </a:moveTo>
                                <a:lnTo>
                                  <a:pt x="133802" y="96745"/>
                                </a:lnTo>
                                <a:lnTo>
                                  <a:pt x="118876" y="118880"/>
                                </a:lnTo>
                                <a:lnTo>
                                  <a:pt x="96740" y="133804"/>
                                </a:lnTo>
                                <a:lnTo>
                                  <a:pt x="69638" y="139276"/>
                                </a:lnTo>
                                <a:lnTo>
                                  <a:pt x="42530" y="133804"/>
                                </a:lnTo>
                                <a:lnTo>
                                  <a:pt x="20395" y="118880"/>
                                </a:lnTo>
                                <a:lnTo>
                                  <a:pt x="5472" y="96745"/>
                                </a:lnTo>
                                <a:lnTo>
                                  <a:pt x="0" y="69638"/>
                                </a:lnTo>
                                <a:lnTo>
                                  <a:pt x="5472" y="42530"/>
                                </a:lnTo>
                                <a:lnTo>
                                  <a:pt x="20395" y="20395"/>
                                </a:lnTo>
                                <a:lnTo>
                                  <a:pt x="42530" y="5472"/>
                                </a:lnTo>
                                <a:lnTo>
                                  <a:pt x="69638" y="0"/>
                                </a:lnTo>
                                <a:lnTo>
                                  <a:pt x="96740" y="5472"/>
                                </a:lnTo>
                                <a:lnTo>
                                  <a:pt x="118876" y="20395"/>
                                </a:lnTo>
                                <a:lnTo>
                                  <a:pt x="133802" y="42530"/>
                                </a:lnTo>
                                <a:lnTo>
                                  <a:pt x="139276" y="69638"/>
                                </a:lnTo>
                                <a:close/>
                              </a:path>
                            </a:pathLst>
                          </a:custGeom>
                          <a:ln w="8886">
                            <a:solidFill>
                              <a:srgbClr val="009EDB"/>
                            </a:solidFill>
                            <a:prstDash val="solid"/>
                          </a:ln>
                        </wps:spPr>
                        <wps:bodyPr wrap="square" lIns="0" tIns="0" rIns="0" bIns="0" rtlCol="0">
                          <a:prstTxWarp prst="textNoShape">
                            <a:avLst/>
                          </a:prstTxWarp>
                          <a:noAutofit/>
                        </wps:bodyPr>
                      </wps:wsp>
                      <wps:wsp>
                        <wps:cNvPr id="1487" name="Graphic 1487"/>
                        <wps:cNvSpPr/>
                        <wps:spPr>
                          <a:xfrm>
                            <a:off x="307905" y="1319953"/>
                            <a:ext cx="139700" cy="139700"/>
                          </a:xfrm>
                          <a:custGeom>
                            <a:avLst/>
                            <a:gdLst/>
                            <a:ahLst/>
                            <a:cxnLst/>
                            <a:rect l="l" t="t" r="r" b="b"/>
                            <a:pathLst>
                              <a:path w="139700" h="139700">
                                <a:moveTo>
                                  <a:pt x="69646" y="0"/>
                                </a:moveTo>
                                <a:lnTo>
                                  <a:pt x="42541" y="5472"/>
                                </a:lnTo>
                                <a:lnTo>
                                  <a:pt x="20402" y="20396"/>
                                </a:lnTo>
                                <a:lnTo>
                                  <a:pt x="5474" y="42530"/>
                                </a:lnTo>
                                <a:lnTo>
                                  <a:pt x="0" y="69634"/>
                                </a:lnTo>
                                <a:lnTo>
                                  <a:pt x="5474" y="96745"/>
                                </a:lnTo>
                                <a:lnTo>
                                  <a:pt x="20402" y="118883"/>
                                </a:lnTo>
                                <a:lnTo>
                                  <a:pt x="42541" y="133808"/>
                                </a:lnTo>
                                <a:lnTo>
                                  <a:pt x="69646" y="139280"/>
                                </a:lnTo>
                                <a:lnTo>
                                  <a:pt x="96745" y="133808"/>
                                </a:lnTo>
                                <a:lnTo>
                                  <a:pt x="118879" y="118883"/>
                                </a:lnTo>
                                <a:lnTo>
                                  <a:pt x="133806" y="96745"/>
                                </a:lnTo>
                                <a:lnTo>
                                  <a:pt x="139280" y="69634"/>
                                </a:lnTo>
                                <a:lnTo>
                                  <a:pt x="133806" y="42530"/>
                                </a:lnTo>
                                <a:lnTo>
                                  <a:pt x="118879" y="20396"/>
                                </a:lnTo>
                                <a:lnTo>
                                  <a:pt x="96745" y="5472"/>
                                </a:lnTo>
                                <a:lnTo>
                                  <a:pt x="69646" y="0"/>
                                </a:lnTo>
                                <a:close/>
                              </a:path>
                            </a:pathLst>
                          </a:custGeom>
                          <a:solidFill>
                            <a:srgbClr val="92C5EB"/>
                          </a:solidFill>
                        </wps:spPr>
                        <wps:bodyPr wrap="square" lIns="0" tIns="0" rIns="0" bIns="0" rtlCol="0">
                          <a:prstTxWarp prst="textNoShape">
                            <a:avLst/>
                          </a:prstTxWarp>
                          <a:noAutofit/>
                        </wps:bodyPr>
                      </wps:wsp>
                      <wps:wsp>
                        <wps:cNvPr id="1488" name="Graphic 1488"/>
                        <wps:cNvSpPr/>
                        <wps:spPr>
                          <a:xfrm>
                            <a:off x="307910" y="1319949"/>
                            <a:ext cx="139700" cy="139700"/>
                          </a:xfrm>
                          <a:custGeom>
                            <a:avLst/>
                            <a:gdLst/>
                            <a:ahLst/>
                            <a:cxnLst/>
                            <a:rect l="l" t="t" r="r" b="b"/>
                            <a:pathLst>
                              <a:path w="139700" h="139700">
                                <a:moveTo>
                                  <a:pt x="139276" y="69638"/>
                                </a:moveTo>
                                <a:lnTo>
                                  <a:pt x="133802" y="96752"/>
                                </a:lnTo>
                                <a:lnTo>
                                  <a:pt x="118876" y="118891"/>
                                </a:lnTo>
                                <a:lnTo>
                                  <a:pt x="96740" y="133815"/>
                                </a:lnTo>
                                <a:lnTo>
                                  <a:pt x="69638" y="139288"/>
                                </a:lnTo>
                                <a:lnTo>
                                  <a:pt x="42535" y="133815"/>
                                </a:lnTo>
                                <a:lnTo>
                                  <a:pt x="20400" y="118891"/>
                                </a:lnTo>
                                <a:lnTo>
                                  <a:pt x="5473" y="96752"/>
                                </a:lnTo>
                                <a:lnTo>
                                  <a:pt x="0" y="69638"/>
                                </a:lnTo>
                                <a:lnTo>
                                  <a:pt x="5473" y="42535"/>
                                </a:lnTo>
                                <a:lnTo>
                                  <a:pt x="20400" y="20400"/>
                                </a:lnTo>
                                <a:lnTo>
                                  <a:pt x="42535" y="5473"/>
                                </a:lnTo>
                                <a:lnTo>
                                  <a:pt x="69638" y="0"/>
                                </a:lnTo>
                                <a:lnTo>
                                  <a:pt x="96740" y="5473"/>
                                </a:lnTo>
                                <a:lnTo>
                                  <a:pt x="118876" y="20400"/>
                                </a:lnTo>
                                <a:lnTo>
                                  <a:pt x="133802" y="42535"/>
                                </a:lnTo>
                                <a:lnTo>
                                  <a:pt x="139276" y="69638"/>
                                </a:lnTo>
                                <a:close/>
                              </a:path>
                            </a:pathLst>
                          </a:custGeom>
                          <a:ln w="8886">
                            <a:solidFill>
                              <a:srgbClr val="009EDB"/>
                            </a:solidFill>
                            <a:prstDash val="solid"/>
                          </a:ln>
                        </wps:spPr>
                        <wps:bodyPr wrap="square" lIns="0" tIns="0" rIns="0" bIns="0" rtlCol="0">
                          <a:prstTxWarp prst="textNoShape">
                            <a:avLst/>
                          </a:prstTxWarp>
                          <a:noAutofit/>
                        </wps:bodyPr>
                      </wps:wsp>
                      <wps:wsp>
                        <wps:cNvPr id="1489" name="Graphic 1489"/>
                        <wps:cNvSpPr/>
                        <wps:spPr>
                          <a:xfrm>
                            <a:off x="325297" y="1148329"/>
                            <a:ext cx="1940560" cy="346075"/>
                          </a:xfrm>
                          <a:custGeom>
                            <a:avLst/>
                            <a:gdLst/>
                            <a:ahLst/>
                            <a:cxnLst/>
                            <a:rect l="l" t="t" r="r" b="b"/>
                            <a:pathLst>
                              <a:path w="1940560" h="346075">
                                <a:moveTo>
                                  <a:pt x="1835571" y="0"/>
                                </a:moveTo>
                                <a:lnTo>
                                  <a:pt x="1940034" y="89544"/>
                                </a:lnTo>
                              </a:path>
                              <a:path w="1940560" h="346075">
                                <a:moveTo>
                                  <a:pt x="1940022" y="0"/>
                                </a:moveTo>
                                <a:lnTo>
                                  <a:pt x="1835559" y="89544"/>
                                </a:lnTo>
                              </a:path>
                              <a:path w="1940560" h="346075">
                                <a:moveTo>
                                  <a:pt x="1467473" y="99486"/>
                                </a:moveTo>
                                <a:lnTo>
                                  <a:pt x="1571925" y="189031"/>
                                </a:lnTo>
                              </a:path>
                              <a:path w="1940560" h="346075">
                                <a:moveTo>
                                  <a:pt x="1571925" y="99486"/>
                                </a:moveTo>
                                <a:lnTo>
                                  <a:pt x="1467461" y="189031"/>
                                </a:lnTo>
                              </a:path>
                              <a:path w="1940560" h="346075">
                                <a:moveTo>
                                  <a:pt x="1089422" y="106951"/>
                                </a:moveTo>
                                <a:lnTo>
                                  <a:pt x="1193873" y="196484"/>
                                </a:lnTo>
                              </a:path>
                              <a:path w="1940560" h="346075">
                                <a:moveTo>
                                  <a:pt x="1193862" y="106951"/>
                                </a:moveTo>
                                <a:lnTo>
                                  <a:pt x="1089410" y="196484"/>
                                </a:lnTo>
                              </a:path>
                              <a:path w="1940560" h="346075">
                                <a:moveTo>
                                  <a:pt x="733742" y="106951"/>
                                </a:moveTo>
                                <a:lnTo>
                                  <a:pt x="838205" y="196484"/>
                                </a:lnTo>
                              </a:path>
                              <a:path w="1940560" h="346075">
                                <a:moveTo>
                                  <a:pt x="838205" y="106951"/>
                                </a:moveTo>
                                <a:lnTo>
                                  <a:pt x="733730" y="196484"/>
                                </a:lnTo>
                              </a:path>
                              <a:path w="1940560" h="346075">
                                <a:moveTo>
                                  <a:pt x="370609" y="194008"/>
                                </a:moveTo>
                                <a:lnTo>
                                  <a:pt x="475073" y="283553"/>
                                </a:lnTo>
                              </a:path>
                              <a:path w="1940560" h="346075">
                                <a:moveTo>
                                  <a:pt x="475061" y="194008"/>
                                </a:moveTo>
                                <a:lnTo>
                                  <a:pt x="370597" y="283553"/>
                                </a:lnTo>
                              </a:path>
                              <a:path w="1940560" h="346075">
                                <a:moveTo>
                                  <a:pt x="11" y="256181"/>
                                </a:moveTo>
                                <a:lnTo>
                                  <a:pt x="104475" y="345738"/>
                                </a:lnTo>
                              </a:path>
                              <a:path w="1940560" h="346075">
                                <a:moveTo>
                                  <a:pt x="104463" y="256181"/>
                                </a:moveTo>
                                <a:lnTo>
                                  <a:pt x="0" y="345738"/>
                                </a:lnTo>
                              </a:path>
                            </a:pathLst>
                          </a:custGeom>
                          <a:ln w="8886">
                            <a:solidFill>
                              <a:srgbClr val="2E309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691139pt;margin-top:13.442935pt;width:185.85pt;height:195.35pt;mso-position-horizontal-relative:page;mso-position-vertical-relative:paragraph;z-index:15830528" id="docshapegroup1167" coordorigin="1734,269" coordsize="3717,3907">
                <v:shape style="position:absolute;left:1740;top:275;width:3703;height:3893" id="docshape1168" coordorigin="1741,276" coordsize="3703,3893" path="m5444,4169l1741,4169,1741,276,5444,276,5444,4169xm5444,3844l1741,3844m5444,3536l1741,3536m5444,3227l1741,3227m5444,2918l1741,2918m5444,2610l1741,2610m5444,2301l1741,2301m5444,1993l1741,1993m5444,1684l1741,1684m5444,1376l1741,1376m5444,1067l1741,1067m5444,758l1741,758m5444,450l1741,450m2334,4169l2334,276m2912,4169l2912,276m3489,4169l3489,276m4067,4169l4067,276m4645,4169l4645,276m5222,4169l5222,276e" filled="false" stroked="true" strokeweight=".69976pt" strokecolor="#231f20">
                  <v:path arrowok="t"/>
                  <v:stroke dashstyle="solid"/>
                </v:shape>
                <v:shape style="position:absolute;left:2127;top:846;width:2736;height:308" id="docshape1169" coordorigin="2127,846" coordsize="2736,308" path="m2398,846l2524,933,2390,1020m2135,980l2262,1067,2127,1154m2783,980l2656,1067,2790,1154m3048,980l3174,1067,3040,1154m3394,980l3267,1067,3402,1154m3569,980l3695,1067,3561,1154m3962,980l3835,1067,3969,1154m4152,980l4279,1067,4144,1154m4736,980l4862,1067,4728,1154m4545,980l4419,1067,4553,1154e" filled="false" stroked="true" strokeweight=".69976pt" strokecolor="#ed1a3a">
                  <v:path arrowok="t"/>
                  <v:stroke dashstyle="solid"/>
                </v:shape>
                <v:shape style="position:absolute;left:5109;top:1893;width:220;height:220" id="docshape1170" coordorigin="5109,1893" coordsize="220,220" path="m5219,1893l5176,1902,5141,1925,5118,1960,5109,2003,5118,2046,5141,2080,5176,2104,5219,2113,5262,2104,5297,2080,5320,2046,5329,2003,5320,1960,5297,1925,5262,1902,5219,1893xe" filled="true" fillcolor="#92c5eb" stroked="false">
                  <v:path arrowok="t"/>
                  <v:fill type="solid"/>
                </v:shape>
                <v:shape style="position:absolute;left:5109;top:1893;width:220;height:220" id="docshape1171" coordorigin="5109,1893" coordsize="220,220" path="m5329,2003l5320,2046,5297,2080,5262,2104,5219,2113,5176,2104,5141,2080,5118,2046,5109,2003,5118,1960,5141,1925,5176,1902,5219,1893,5262,1902,5297,1925,5320,1960,5329,2003xe" filled="false" stroked="true" strokeweight=".69976pt" strokecolor="#009edb">
                  <v:path arrowok="t"/>
                  <v:stroke dashstyle="solid"/>
                </v:shape>
                <v:shape style="position:absolute;left:4529;top:2049;width:220;height:220" id="docshape1172" coordorigin="4530,2050" coordsize="220,220" path="m4639,2050l4597,2058,4562,2082,4538,2117,4530,2160,4538,2202,4562,2237,4597,2261,4639,2269,4682,2261,4717,2237,4740,2202,4749,2160,4740,2117,4717,2082,4682,2058,4639,2050xe" filled="true" fillcolor="#92c5eb" stroked="false">
                  <v:path arrowok="t"/>
                  <v:fill type="solid"/>
                </v:shape>
                <v:shape style="position:absolute;left:4529;top:2049;width:220;height:220" id="docshape1173" coordorigin="4530,2050" coordsize="220,220" path="m4749,2160l4740,2202,4717,2237,4682,2261,4639,2269,4597,2261,4562,2237,4538,2202,4530,2160,4538,2117,4562,2082,4597,2058,4639,2050,4682,2058,4717,2082,4740,2117,4749,2160xe" filled="false" stroked="true" strokeweight=".69976pt" strokecolor="#009edb">
                  <v:path arrowok="t"/>
                  <v:stroke dashstyle="solid"/>
                </v:shape>
                <v:shape style="position:absolute;left:3934;top:2061;width:220;height:220" id="docshape1174" coordorigin="3934,2062" coordsize="220,220" path="m4044,2062l4001,2070,3966,2094,3943,2129,3934,2171,3943,2214,3966,2249,4001,2272,4044,2281,4087,2272,4121,2249,4145,2214,4154,2171,4145,2129,4121,2094,4087,2070,4044,2062xe" filled="true" fillcolor="#92c5eb" stroked="false">
                  <v:path arrowok="t"/>
                  <v:fill type="solid"/>
                </v:shape>
                <v:shape style="position:absolute;left:3934;top:2061;width:220;height:220" id="docshape1175" coordorigin="3934,2062" coordsize="220,220" path="m4154,2171l4145,2214,4121,2249,4087,2272,4044,2281,4001,2272,3966,2249,3943,2214,3934,2171,3943,2129,3966,2094,4001,2070,4044,2062,4087,2070,4121,2094,4145,2129,4154,2171xe" filled="false" stroked="true" strokeweight=".69976pt" strokecolor="#009edb">
                  <v:path arrowok="t"/>
                  <v:stroke dashstyle="solid"/>
                </v:shape>
                <v:shape style="position:absolute;left:3374;top:2198;width:220;height:220" id="docshape1176" coordorigin="3374,2199" coordsize="220,220" path="m3484,2199l3441,2207,3406,2231,3383,2266,3374,2308,3383,2351,3406,2386,3441,2409,3484,2418,3527,2409,3561,2386,3585,2351,3594,2308,3585,2266,3561,2231,3527,2207,3484,2199xe" filled="true" fillcolor="#92c5eb" stroked="false">
                  <v:path arrowok="t"/>
                  <v:fill type="solid"/>
                </v:shape>
                <v:shape style="position:absolute;left:3374;top:2198;width:220;height:220" id="docshape1177" coordorigin="3374,2199" coordsize="220,220" path="m3594,2308l3585,2351,3561,2386,3527,2409,3484,2418,3441,2409,3406,2386,3383,2351,3374,2308,3383,2266,3406,2231,3441,2207,3484,2199,3527,2207,3561,2231,3585,2266,3594,2308xe" filled="false" stroked="true" strokeweight=".69976pt" strokecolor="#009edb">
                  <v:path arrowok="t"/>
                  <v:stroke dashstyle="solid"/>
                </v:shape>
                <v:shape style="position:absolute;left:2802;top:2335;width:220;height:220" id="docshape1178" coordorigin="2802,2336" coordsize="220,220" path="m2912,2336l2869,2344,2834,2368,2811,2403,2802,2445,2811,2488,2834,2523,2869,2546,2912,2555,2955,2546,2990,2523,3013,2488,3022,2445,3013,2403,2990,2368,2955,2344,2912,2336xe" filled="true" fillcolor="#92c5eb" stroked="false">
                  <v:path arrowok="t"/>
                  <v:fill type="solid"/>
                </v:shape>
                <v:shape style="position:absolute;left:2802;top:2335;width:220;height:220" id="docshape1179" coordorigin="2802,2336" coordsize="220,220" path="m3022,2445l3013,2488,2990,2523,2955,2546,2912,2555,2869,2546,2834,2523,2811,2488,2802,2445,2811,2403,2834,2368,2869,2344,2912,2336,2955,2344,2990,2368,3013,2403,3022,2445xe" filled="false" stroked="true" strokeweight=".69976pt" strokecolor="#009edb">
                  <v:path arrowok="t"/>
                  <v:stroke dashstyle="solid"/>
                </v:shape>
                <v:shape style="position:absolute;left:2218;top:2347;width:220;height:220" id="docshape1180" coordorigin="2219,2348" coordsize="220,220" path="m2328,2348l2286,2356,2251,2380,2227,2415,2219,2457,2227,2500,2251,2535,2286,2558,2328,2567,2371,2558,2406,2535,2429,2500,2438,2457,2429,2415,2406,2380,2371,2356,2328,2348xe" filled="true" fillcolor="#92c5eb" stroked="false">
                  <v:path arrowok="t"/>
                  <v:fill type="solid"/>
                </v:shape>
                <v:shape style="position:absolute;left:2218;top:2347;width:220;height:220" id="docshape1181" coordorigin="2219,2348" coordsize="220,220" path="m2438,2457l2429,2500,2406,2535,2371,2558,2328,2567,2286,2558,2251,2535,2227,2500,2219,2457,2227,2415,2251,2380,2286,2356,2328,2348,2371,2356,2406,2380,2429,2415,2438,2457xe" filled="false" stroked="true" strokeweight=".69976pt" strokecolor="#009edb">
                  <v:path arrowok="t"/>
                  <v:stroke dashstyle="solid"/>
                </v:shape>
                <v:shape style="position:absolute;left:2246;top:2077;width:3056;height:545" id="docshape1182" coordorigin="2246,2077" coordsize="3056,545" path="m5137,2077l5301,2218m5301,2077l5137,2218m4557,2234l4722,2375m4722,2234l4557,2375m3962,2246l4126,2387m4126,2246l3962,2387m3402,2246l3566,2387m3566,2246l3402,2387m2830,2383l2994,2524m2994,2383l2830,2524m2246,2481l2411,2622m2411,2481l2246,2622e" filled="false" stroked="true" strokeweight=".69976pt" strokecolor="#2e3092">
                  <v:path arrowok="t"/>
                  <v:stroke dashstyle="solid"/>
                </v:shape>
                <w10:wrap type="none"/>
              </v:group>
            </w:pict>
          </mc:Fallback>
        </mc:AlternateContent>
      </w:r>
      <w:r>
        <w:rPr>
          <w:rFonts w:ascii="Arial MT"/>
          <w:color w:val="231F20"/>
          <w:spacing w:val="-5"/>
        </w:rPr>
        <w:t>125</w:t>
      </w:r>
    </w:p>
    <w:p>
      <w:pPr>
        <w:pStyle w:val="BodyText"/>
        <w:spacing w:before="115"/>
        <w:ind w:right="178"/>
        <w:jc w:val="right"/>
        <w:rPr>
          <w:rFonts w:ascii="Arial MT" w:hAnsi="Arial MT"/>
        </w:rPr>
      </w:pPr>
      <w:r>
        <w:rPr>
          <w:rFonts w:ascii="Lucida Sans Unicode" w:hAnsi="Lucida Sans Unicode"/>
          <w:color w:val="231F20"/>
          <w:w w:val="80"/>
        </w:rPr>
        <w:t>—</w:t>
      </w:r>
      <w:r>
        <w:rPr>
          <w:rFonts w:ascii="Arial MT" w:hAnsi="Arial MT"/>
          <w:color w:val="231F20"/>
          <w:spacing w:val="-5"/>
        </w:rPr>
        <w:t>10</w:t>
      </w:r>
    </w:p>
    <w:p>
      <w:pPr>
        <w:pStyle w:val="BodyText"/>
        <w:spacing w:before="131"/>
        <w:ind w:right="178"/>
        <w:jc w:val="right"/>
        <w:rPr>
          <w:rFonts w:ascii="Arial MT"/>
        </w:rPr>
      </w:pPr>
      <w:r>
        <w:rPr>
          <w:rFonts w:ascii="Arial MT"/>
          <w:color w:val="231F20"/>
          <w:spacing w:val="-10"/>
        </w:rPr>
        <w:t>0</w:t>
      </w:r>
    </w:p>
    <w:p>
      <w:pPr>
        <w:pStyle w:val="BodyText"/>
        <w:spacing w:before="10"/>
        <w:rPr>
          <w:rFonts w:ascii="Arial MT"/>
        </w:rPr>
      </w:pPr>
    </w:p>
    <w:p>
      <w:pPr>
        <w:pStyle w:val="BodyText"/>
        <w:ind w:right="178"/>
        <w:jc w:val="right"/>
        <w:rPr>
          <w:rFonts w:ascii="Arial MT"/>
        </w:rPr>
      </w:pPr>
      <w:r>
        <w:rPr>
          <w:rFonts w:ascii="Arial MT"/>
          <w:color w:val="231F20"/>
          <w:spacing w:val="-5"/>
        </w:rPr>
        <w:t>10</w:t>
      </w:r>
    </w:p>
    <w:p>
      <w:pPr>
        <w:pStyle w:val="BodyText"/>
        <w:spacing w:before="11"/>
        <w:rPr>
          <w:rFonts w:ascii="Arial MT"/>
        </w:rPr>
      </w:pPr>
    </w:p>
    <w:p>
      <w:pPr>
        <w:pStyle w:val="BodyText"/>
        <w:ind w:right="178"/>
        <w:jc w:val="right"/>
        <w:rPr>
          <w:rFonts w:ascii="Arial MT"/>
        </w:rPr>
      </w:pPr>
      <w:r>
        <w:rPr>
          <w:rFonts w:ascii="Arial MT"/>
          <w:color w:val="231F20"/>
          <w:spacing w:val="-5"/>
        </w:rPr>
        <w:t>20</w:t>
      </w:r>
    </w:p>
    <w:p>
      <w:pPr>
        <w:pStyle w:val="BodyText"/>
        <w:tabs>
          <w:tab w:pos="902" w:val="left" w:leader="none"/>
          <w:tab w:pos="1446" w:val="left" w:leader="none"/>
          <w:tab w:pos="2026" w:val="left" w:leader="none"/>
          <w:tab w:pos="2606" w:val="left" w:leader="none"/>
          <w:tab w:pos="3187" w:val="left" w:leader="none"/>
        </w:tabs>
        <w:spacing w:before="79"/>
        <w:ind w:left="322"/>
        <w:rPr>
          <w:rFonts w:ascii="Arial MT"/>
        </w:rPr>
      </w:pPr>
      <w:r>
        <w:rPr/>
        <w:br w:type="column"/>
      </w:r>
      <w:r>
        <w:rPr>
          <w:rFonts w:ascii="Arial MT"/>
          <w:color w:val="231F20"/>
          <w:spacing w:val="-5"/>
        </w:rPr>
        <w:t>250</w:t>
      </w:r>
      <w:r>
        <w:rPr>
          <w:rFonts w:ascii="Arial MT"/>
          <w:color w:val="231F20"/>
        </w:rPr>
        <w:tab/>
      </w:r>
      <w:r>
        <w:rPr>
          <w:rFonts w:ascii="Arial MT"/>
          <w:color w:val="231F20"/>
          <w:spacing w:val="-5"/>
        </w:rPr>
        <w:t>500</w:t>
      </w:r>
      <w:r>
        <w:rPr>
          <w:rFonts w:ascii="Arial MT"/>
          <w:color w:val="231F20"/>
        </w:rPr>
        <w:tab/>
      </w:r>
      <w:r>
        <w:rPr>
          <w:rFonts w:ascii="Arial MT"/>
          <w:color w:val="231F20"/>
          <w:spacing w:val="-4"/>
        </w:rPr>
        <w:t>1000</w:t>
      </w:r>
      <w:r>
        <w:rPr>
          <w:rFonts w:ascii="Arial MT"/>
          <w:color w:val="231F20"/>
        </w:rPr>
        <w:tab/>
      </w:r>
      <w:r>
        <w:rPr>
          <w:rFonts w:ascii="Arial MT"/>
          <w:color w:val="231F20"/>
          <w:spacing w:val="-4"/>
        </w:rPr>
        <w:t>2000</w:t>
      </w:r>
      <w:r>
        <w:rPr>
          <w:rFonts w:ascii="Arial MT"/>
          <w:color w:val="231F20"/>
        </w:rPr>
        <w:tab/>
      </w:r>
      <w:r>
        <w:rPr>
          <w:rFonts w:ascii="Arial MT"/>
          <w:color w:val="231F20"/>
          <w:spacing w:val="-4"/>
        </w:rPr>
        <w:t>4000</w:t>
      </w:r>
      <w:r>
        <w:rPr>
          <w:rFonts w:ascii="Arial MT"/>
          <w:color w:val="231F20"/>
        </w:rPr>
        <w:tab/>
      </w:r>
      <w:r>
        <w:rPr>
          <w:rFonts w:ascii="Arial MT"/>
          <w:color w:val="231F20"/>
          <w:spacing w:val="-4"/>
        </w:rPr>
        <w:t>8000</w:t>
      </w:r>
    </w:p>
    <w:p>
      <w:pPr>
        <w:spacing w:line="240" w:lineRule="auto" w:before="0"/>
        <w:rPr>
          <w:rFonts w:ascii="Arial MT"/>
          <w:sz w:val="20"/>
        </w:rPr>
      </w:pPr>
      <w:r>
        <w:rPr/>
        <w:br w:type="column"/>
      </w:r>
      <w:r>
        <w:rPr>
          <w:rFonts w:ascii="Arial MT"/>
          <w:sz w:val="20"/>
        </w:rPr>
      </w:r>
    </w:p>
    <w:p>
      <w:pPr>
        <w:pStyle w:val="BodyText"/>
        <w:rPr>
          <w:rFonts w:ascii="Arial MT"/>
          <w:sz w:val="20"/>
        </w:rPr>
      </w:pPr>
    </w:p>
    <w:p>
      <w:pPr>
        <w:pStyle w:val="BodyText"/>
        <w:rPr>
          <w:rFonts w:ascii="Arial MT"/>
          <w:sz w:val="20"/>
        </w:rPr>
      </w:pPr>
    </w:p>
    <w:p>
      <w:pPr>
        <w:pStyle w:val="BodyText"/>
        <w:spacing w:before="75"/>
        <w:rPr>
          <w:rFonts w:ascii="Arial MT"/>
          <w:sz w:val="20"/>
        </w:rPr>
      </w:pPr>
    </w:p>
    <w:p>
      <w:pPr>
        <w:pStyle w:val="Heading3"/>
        <w:spacing w:line="228" w:lineRule="auto"/>
      </w:pPr>
      <w:r>
        <w:rPr>
          <w:b/>
          <w:color w:val="4A0C62"/>
        </w:rPr>
        <w:t>Figure</w:t>
      </w:r>
      <w:r>
        <w:rPr>
          <w:b/>
          <w:color w:val="4A0C62"/>
          <w:spacing w:val="40"/>
        </w:rPr>
        <w:t> </w:t>
      </w:r>
      <w:r>
        <w:rPr>
          <w:b/>
          <w:color w:val="4A0C62"/>
        </w:rPr>
        <w:t>640-7</w:t>
      </w:r>
      <w:r>
        <w:rPr>
          <w:b/>
          <w:color w:val="4A0C62"/>
          <w:spacing w:val="40"/>
        </w:rPr>
        <w:t> </w:t>
      </w:r>
      <w:r>
        <w:rPr>
          <w:color w:val="231F20"/>
        </w:rPr>
        <w:t>Diagnosis</w:t>
      </w:r>
      <w:r>
        <w:rPr>
          <w:color w:val="231F20"/>
          <w:spacing w:val="40"/>
        </w:rPr>
        <w:t> </w:t>
      </w:r>
      <w:r>
        <w:rPr>
          <w:color w:val="231F20"/>
        </w:rPr>
        <w:t>and</w:t>
      </w:r>
      <w:r>
        <w:rPr>
          <w:color w:val="231F20"/>
          <w:spacing w:val="40"/>
        </w:rPr>
        <w:t> </w:t>
      </w:r>
      <w:r>
        <w:rPr>
          <w:color w:val="231F20"/>
        </w:rPr>
        <w:t>treatment</w:t>
      </w:r>
      <w:r>
        <w:rPr>
          <w:color w:val="231F20"/>
          <w:spacing w:val="40"/>
        </w:rPr>
        <w:t> </w:t>
      </w:r>
      <w:r>
        <w:rPr>
          <w:color w:val="231F20"/>
        </w:rPr>
        <w:t>algorithm for cases of sus-pected acute mastoiditis.</w:t>
      </w:r>
    </w:p>
    <w:p>
      <w:pPr>
        <w:pStyle w:val="Heading3"/>
        <w:spacing w:after="0" w:line="228" w:lineRule="auto"/>
        <w:sectPr>
          <w:type w:val="continuous"/>
          <w:pgSz w:w="11900" w:h="16840"/>
          <w:pgMar w:header="0" w:footer="0" w:top="620" w:bottom="280" w:left="708" w:right="566"/>
          <w:cols w:num="3" w:equalWidth="0">
            <w:col w:w="1145" w:space="40"/>
            <w:col w:w="3518" w:space="477"/>
            <w:col w:w="5446"/>
          </w:cols>
        </w:sectPr>
      </w:pPr>
    </w:p>
    <w:p>
      <w:pPr>
        <w:pStyle w:val="BodyText"/>
        <w:spacing w:before="10"/>
      </w:pPr>
    </w:p>
    <w:p>
      <w:pPr>
        <w:pStyle w:val="BodyText"/>
        <w:ind w:left="818"/>
        <w:rPr>
          <w:rFonts w:ascii="Arial MT"/>
        </w:rPr>
      </w:pPr>
      <w:r>
        <w:rPr>
          <w:rFonts w:ascii="Arial MT"/>
          <w:color w:val="231F20"/>
          <w:spacing w:val="-5"/>
        </w:rPr>
        <w:t>30</w:t>
      </w:r>
    </w:p>
    <w:p>
      <w:pPr>
        <w:pStyle w:val="BodyText"/>
        <w:spacing w:before="10"/>
        <w:rPr>
          <w:rFonts w:ascii="Arial MT"/>
        </w:rPr>
      </w:pPr>
    </w:p>
    <w:p>
      <w:pPr>
        <w:pStyle w:val="BodyText"/>
        <w:spacing w:before="1"/>
        <w:ind w:left="818"/>
        <w:rPr>
          <w:rFonts w:ascii="Arial MT"/>
        </w:rPr>
      </w:pPr>
      <w:r>
        <w:rPr>
          <w:rFonts w:ascii="Arial MT"/>
          <w:color w:val="231F20"/>
          <w:spacing w:val="-5"/>
        </w:rPr>
        <w:t>40</w:t>
      </w:r>
    </w:p>
    <w:p>
      <w:pPr>
        <w:pStyle w:val="BodyText"/>
        <w:spacing w:before="10"/>
        <w:rPr>
          <w:rFonts w:ascii="Arial MT"/>
        </w:rPr>
      </w:pPr>
    </w:p>
    <w:p>
      <w:pPr>
        <w:pStyle w:val="BodyText"/>
        <w:spacing w:before="1"/>
        <w:ind w:left="818"/>
        <w:rPr>
          <w:rFonts w:ascii="Arial MT"/>
        </w:rPr>
      </w:pPr>
      <w:r>
        <w:rPr>
          <w:rFonts w:ascii="Arial MT"/>
          <w:color w:val="231F20"/>
          <w:spacing w:val="-5"/>
        </w:rPr>
        <w:t>50</w:t>
      </w:r>
    </w:p>
    <w:p>
      <w:pPr>
        <w:pStyle w:val="BodyText"/>
        <w:spacing w:before="10"/>
        <w:rPr>
          <w:rFonts w:ascii="Arial MT"/>
        </w:rPr>
      </w:pPr>
    </w:p>
    <w:p>
      <w:pPr>
        <w:pStyle w:val="BodyText"/>
        <w:ind w:left="818"/>
        <w:rPr>
          <w:rFonts w:ascii="Arial MT"/>
        </w:rPr>
      </w:pPr>
      <w:r>
        <w:rPr>
          <w:rFonts w:ascii="Arial MT"/>
          <w:color w:val="231F20"/>
          <w:spacing w:val="-5"/>
        </w:rPr>
        <w:t>60</w:t>
      </w:r>
    </w:p>
    <w:p>
      <w:pPr>
        <w:pStyle w:val="BodyText"/>
        <w:spacing w:before="11"/>
        <w:rPr>
          <w:rFonts w:ascii="Arial MT"/>
        </w:rPr>
      </w:pPr>
    </w:p>
    <w:p>
      <w:pPr>
        <w:pStyle w:val="BodyText"/>
        <w:ind w:left="818"/>
        <w:rPr>
          <w:rFonts w:ascii="Arial MT"/>
        </w:rPr>
      </w:pPr>
      <w:r>
        <w:rPr>
          <w:rFonts w:ascii="Arial MT"/>
          <w:color w:val="231F20"/>
          <w:spacing w:val="-5"/>
        </w:rPr>
        <w:t>70</w:t>
      </w:r>
    </w:p>
    <w:p>
      <w:pPr>
        <w:pStyle w:val="BodyText"/>
        <w:spacing w:before="11"/>
        <w:rPr>
          <w:rFonts w:ascii="Arial MT"/>
        </w:rPr>
      </w:pPr>
    </w:p>
    <w:p>
      <w:pPr>
        <w:pStyle w:val="BodyText"/>
        <w:ind w:left="818"/>
        <w:rPr>
          <w:rFonts w:ascii="Arial MT"/>
        </w:rPr>
      </w:pPr>
      <w:r>
        <w:rPr>
          <w:rFonts w:ascii="Arial MT"/>
          <w:color w:val="231F20"/>
          <w:spacing w:val="-5"/>
        </w:rPr>
        <w:t>80</w:t>
      </w:r>
    </w:p>
    <w:p>
      <w:pPr>
        <w:pStyle w:val="BodyText"/>
        <w:spacing w:before="11"/>
        <w:rPr>
          <w:rFonts w:ascii="Arial MT"/>
        </w:rPr>
      </w:pPr>
    </w:p>
    <w:p>
      <w:pPr>
        <w:pStyle w:val="BodyText"/>
        <w:ind w:left="818"/>
        <w:rPr>
          <w:rFonts w:ascii="Arial MT"/>
        </w:rPr>
      </w:pPr>
      <w:r>
        <w:rPr>
          <w:rFonts w:ascii="Arial MT"/>
          <w:color w:val="231F20"/>
          <w:spacing w:val="-5"/>
        </w:rPr>
        <w:t>90</w:t>
      </w:r>
    </w:p>
    <w:p>
      <w:pPr>
        <w:pStyle w:val="BodyText"/>
        <w:spacing w:before="11"/>
        <w:rPr>
          <w:rFonts w:ascii="Arial MT"/>
        </w:rPr>
      </w:pPr>
    </w:p>
    <w:p>
      <w:pPr>
        <w:pStyle w:val="BodyText"/>
        <w:ind w:left="746"/>
        <w:rPr>
          <w:rFonts w:ascii="Arial MT"/>
        </w:rPr>
      </w:pPr>
      <w:r>
        <w:rPr>
          <w:rFonts w:ascii="Arial MT"/>
          <w:color w:val="231F20"/>
          <w:spacing w:val="-5"/>
        </w:rPr>
        <w:t>100</w:t>
      </w:r>
    </w:p>
    <w:p>
      <w:pPr>
        <w:pStyle w:val="BodyText"/>
        <w:spacing w:before="11"/>
        <w:rPr>
          <w:rFonts w:ascii="Arial MT"/>
        </w:rPr>
      </w:pPr>
    </w:p>
    <w:p>
      <w:pPr>
        <w:pStyle w:val="BodyText"/>
        <w:ind w:left="755"/>
        <w:rPr>
          <w:rFonts w:ascii="Arial MT"/>
        </w:rPr>
      </w:pPr>
      <w:r>
        <w:rPr>
          <w:rFonts w:ascii="Arial MT"/>
          <w:color w:val="231F20"/>
          <w:spacing w:val="-5"/>
        </w:rPr>
        <w:t>110</w:t>
      </w:r>
    </w:p>
    <w:p>
      <w:pPr>
        <w:pStyle w:val="BodyText"/>
        <w:spacing w:before="136"/>
        <w:ind w:left="2446"/>
        <w:rPr>
          <w:rFonts w:ascii="Arial MT"/>
        </w:rPr>
      </w:pPr>
      <w:r>
        <w:rPr>
          <w:rFonts w:ascii="Arial MT"/>
          <w:color w:val="231F20"/>
        </w:rPr>
        <w:t>AUDIOGRAM </w:t>
      </w:r>
      <w:r>
        <w:rPr>
          <w:rFonts w:ascii="Arial MT"/>
          <w:color w:val="231F20"/>
          <w:spacing w:val="-5"/>
        </w:rPr>
        <w:t>KEY</w:t>
      </w:r>
    </w:p>
    <w:p>
      <w:pPr>
        <w:pStyle w:val="BodyText"/>
        <w:tabs>
          <w:tab w:pos="3539" w:val="left" w:leader="none"/>
        </w:tabs>
        <w:spacing w:before="75"/>
        <w:ind w:left="2253"/>
        <w:rPr>
          <w:rFonts w:ascii="Arial MT"/>
        </w:rPr>
      </w:pPr>
      <w:r>
        <w:rPr>
          <w:rFonts w:ascii="Arial MT"/>
        </w:rPr>
        <mc:AlternateContent>
          <mc:Choice Requires="wps">
            <w:drawing>
              <wp:anchor distT="0" distB="0" distL="0" distR="0" allowOverlap="1" layoutInCell="1" locked="0" behindDoc="0" simplePos="0" relativeHeight="15832576">
                <wp:simplePos x="0" y="0"/>
                <wp:positionH relativeFrom="page">
                  <wp:posOffset>1419588</wp:posOffset>
                </wp:positionH>
                <wp:positionV relativeFrom="paragraph">
                  <wp:posOffset>146142</wp:posOffset>
                </wp:positionV>
                <wp:extent cx="1828800" cy="269875"/>
                <wp:effectExtent l="0" t="0" r="0" b="0"/>
                <wp:wrapNone/>
                <wp:docPr id="1490" name="Textbox 1490"/>
                <wp:cNvGraphicFramePr>
                  <a:graphicFrameLocks/>
                </wp:cNvGraphicFramePr>
                <a:graphic>
                  <a:graphicData uri="http://schemas.microsoft.com/office/word/2010/wordprocessingShape">
                    <wps:wsp>
                      <wps:cNvPr id="1490" name="Textbox 1490"/>
                      <wps:cNvSpPr txBox="1"/>
                      <wps:spPr>
                        <a:xfrm>
                          <a:off x="0" y="0"/>
                          <a:ext cx="1828800" cy="269875"/>
                        </a:xfrm>
                        <a:prstGeom prst="rect">
                          <a:avLst/>
                        </a:prstGeom>
                      </wps:spPr>
                      <wps:txbx>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16"/>
                              <w:gridCol w:w="1329"/>
                            </w:tblGrid>
                            <w:tr>
                              <w:trPr>
                                <w:trHeight w:val="198" w:hRule="atLeast"/>
                              </w:trPr>
                              <w:tc>
                                <w:tcPr>
                                  <w:tcW w:w="1416" w:type="dxa"/>
                                </w:tcPr>
                                <w:p>
                                  <w:pPr>
                                    <w:pStyle w:val="TableParagraph"/>
                                    <w:rPr>
                                      <w:rFonts w:ascii="Times New Roman"/>
                                      <w:sz w:val="12"/>
                                    </w:rPr>
                                  </w:pPr>
                                </w:p>
                              </w:tc>
                              <w:tc>
                                <w:tcPr>
                                  <w:tcW w:w="1329" w:type="dxa"/>
                                </w:tcPr>
                                <w:p>
                                  <w:pPr>
                                    <w:pStyle w:val="TableParagraph"/>
                                    <w:rPr>
                                      <w:rFonts w:ascii="Times New Roman"/>
                                      <w:sz w:val="12"/>
                                    </w:rPr>
                                  </w:pPr>
                                </w:p>
                              </w:tc>
                            </w:tr>
                            <w:tr>
                              <w:trPr>
                                <w:trHeight w:val="182" w:hRule="atLeast"/>
                              </w:trPr>
                              <w:tc>
                                <w:tcPr>
                                  <w:tcW w:w="1416" w:type="dxa"/>
                                </w:tcPr>
                                <w:p>
                                  <w:pPr>
                                    <w:pStyle w:val="TableParagraph"/>
                                    <w:rPr>
                                      <w:rFonts w:ascii="Times New Roman"/>
                                      <w:sz w:val="12"/>
                                    </w:rPr>
                                  </w:pPr>
                                </w:p>
                              </w:tc>
                              <w:tc>
                                <w:tcPr>
                                  <w:tcW w:w="1329" w:type="dxa"/>
                                </w:tcPr>
                                <w:p>
                                  <w:pPr>
                                    <w:pStyle w:val="TableParagraph"/>
                                    <w:rPr>
                                      <w:rFonts w:ascii="Times New Roman"/>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111.778587pt;margin-top:11.507305pt;width:144pt;height:21.25pt;mso-position-horizontal-relative:page;mso-position-vertical-relative:paragraph;z-index:15832576" type="#_x0000_t202" id="docshape1183" filled="false" stroked="false">
                <v:textbox inset="0,0,0,0">
                  <w:txbxContent>
                    <w:tbl>
                      <w:tblPr>
                        <w:tblW w:w="0" w:type="auto"/>
                        <w:jc w:val="left"/>
                        <w:tblInd w:w="67"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416"/>
                        <w:gridCol w:w="1329"/>
                      </w:tblGrid>
                      <w:tr>
                        <w:trPr>
                          <w:trHeight w:val="198" w:hRule="atLeast"/>
                        </w:trPr>
                        <w:tc>
                          <w:tcPr>
                            <w:tcW w:w="1416" w:type="dxa"/>
                          </w:tcPr>
                          <w:p>
                            <w:pPr>
                              <w:pStyle w:val="TableParagraph"/>
                              <w:rPr>
                                <w:rFonts w:ascii="Times New Roman"/>
                                <w:sz w:val="12"/>
                              </w:rPr>
                            </w:pPr>
                          </w:p>
                        </w:tc>
                        <w:tc>
                          <w:tcPr>
                            <w:tcW w:w="1329" w:type="dxa"/>
                          </w:tcPr>
                          <w:p>
                            <w:pPr>
                              <w:pStyle w:val="TableParagraph"/>
                              <w:rPr>
                                <w:rFonts w:ascii="Times New Roman"/>
                                <w:sz w:val="12"/>
                              </w:rPr>
                            </w:pPr>
                          </w:p>
                        </w:tc>
                      </w:tr>
                      <w:tr>
                        <w:trPr>
                          <w:trHeight w:val="182" w:hRule="atLeast"/>
                        </w:trPr>
                        <w:tc>
                          <w:tcPr>
                            <w:tcW w:w="1416" w:type="dxa"/>
                          </w:tcPr>
                          <w:p>
                            <w:pPr>
                              <w:pStyle w:val="TableParagraph"/>
                              <w:rPr>
                                <w:rFonts w:ascii="Times New Roman"/>
                                <w:sz w:val="12"/>
                              </w:rPr>
                            </w:pPr>
                          </w:p>
                        </w:tc>
                        <w:tc>
                          <w:tcPr>
                            <w:tcW w:w="1329" w:type="dxa"/>
                          </w:tcPr>
                          <w:p>
                            <w:pPr>
                              <w:pStyle w:val="TableParagraph"/>
                              <w:rPr>
                                <w:rFonts w:ascii="Times New Roman"/>
                                <w:sz w:val="12"/>
                              </w:rPr>
                            </w:pPr>
                          </w:p>
                        </w:tc>
                      </w:tr>
                    </w:tbl>
                    <w:p>
                      <w:pPr>
                        <w:pStyle w:val="BodyText"/>
                      </w:pPr>
                    </w:p>
                  </w:txbxContent>
                </v:textbox>
                <w10:wrap type="none"/>
              </v:shape>
            </w:pict>
          </mc:Fallback>
        </mc:AlternateContent>
      </w:r>
      <w:r>
        <w:rPr>
          <w:rFonts w:ascii="Arial MT"/>
          <w:color w:val="231F20"/>
          <w:spacing w:val="-5"/>
        </w:rPr>
        <w:t>Air</w:t>
      </w:r>
      <w:r>
        <w:rPr>
          <w:rFonts w:ascii="Arial MT"/>
          <w:color w:val="231F20"/>
        </w:rPr>
        <w:tab/>
      </w:r>
      <w:r>
        <w:rPr>
          <w:rFonts w:ascii="Arial MT"/>
          <w:color w:val="231F20"/>
          <w:spacing w:val="-4"/>
        </w:rPr>
        <w:t>Bone</w:t>
      </w:r>
    </w:p>
    <w:p>
      <w:pPr>
        <w:pStyle w:val="BodyText"/>
        <w:tabs>
          <w:tab w:pos="2241" w:val="left" w:leader="none"/>
        </w:tabs>
        <w:spacing w:line="340" w:lineRule="auto" w:before="38"/>
        <w:ind w:left="1301" w:right="8224" w:hanging="88"/>
        <w:rPr>
          <w:rFonts w:ascii="Arial MT"/>
        </w:rPr>
      </w:pPr>
      <w:r>
        <w:rPr>
          <w:rFonts w:ascii="Arial MT"/>
        </w:rPr>
        <mc:AlternateContent>
          <mc:Choice Requires="wps">
            <w:drawing>
              <wp:anchor distT="0" distB="0" distL="0" distR="0" allowOverlap="1" layoutInCell="1" locked="0" behindDoc="0" simplePos="0" relativeHeight="15831040">
                <wp:simplePos x="0" y="0"/>
                <wp:positionH relativeFrom="page">
                  <wp:posOffset>2737647</wp:posOffset>
                </wp:positionH>
                <wp:positionV relativeFrom="paragraph">
                  <wp:posOffset>43769</wp:posOffset>
                </wp:positionV>
                <wp:extent cx="71120" cy="201930"/>
                <wp:effectExtent l="0" t="0" r="0" b="0"/>
                <wp:wrapNone/>
                <wp:docPr id="1491" name="Graphic 1491"/>
                <wp:cNvGraphicFramePr>
                  <a:graphicFrameLocks/>
                </wp:cNvGraphicFramePr>
                <a:graphic>
                  <a:graphicData uri="http://schemas.microsoft.com/office/word/2010/wordprocessingShape">
                    <wps:wsp>
                      <wps:cNvPr id="1491" name="Graphic 1491"/>
                      <wps:cNvSpPr/>
                      <wps:spPr>
                        <a:xfrm>
                          <a:off x="0" y="0"/>
                          <a:ext cx="71120" cy="201930"/>
                        </a:xfrm>
                        <a:custGeom>
                          <a:avLst/>
                          <a:gdLst/>
                          <a:ahLst/>
                          <a:cxnLst/>
                          <a:rect l="l" t="t" r="r" b="b"/>
                          <a:pathLst>
                            <a:path w="71120" h="201930">
                              <a:moveTo>
                                <a:pt x="70550" y="0"/>
                              </a:moveTo>
                              <a:lnTo>
                                <a:pt x="11" y="35263"/>
                              </a:lnTo>
                              <a:lnTo>
                                <a:pt x="70550" y="77565"/>
                              </a:lnTo>
                            </a:path>
                            <a:path w="71120" h="201930">
                              <a:moveTo>
                                <a:pt x="0" y="124156"/>
                              </a:moveTo>
                              <a:lnTo>
                                <a:pt x="70526" y="159396"/>
                              </a:lnTo>
                              <a:lnTo>
                                <a:pt x="0" y="201722"/>
                              </a:lnTo>
                            </a:path>
                          </a:pathLst>
                        </a:custGeom>
                        <a:ln w="8886">
                          <a:solidFill>
                            <a:srgbClr val="ED1A3A"/>
                          </a:solidFill>
                          <a:prstDash val="solid"/>
                        </a:ln>
                      </wps:spPr>
                      <wps:bodyPr wrap="square" lIns="0" tIns="0" rIns="0" bIns="0" rtlCol="0">
                        <a:prstTxWarp prst="textNoShape">
                          <a:avLst/>
                        </a:prstTxWarp>
                        <a:noAutofit/>
                      </wps:bodyPr>
                    </wps:wsp>
                  </a:graphicData>
                </a:graphic>
              </wp:anchor>
            </w:drawing>
          </mc:Choice>
          <mc:Fallback>
            <w:pict>
              <v:shape style="position:absolute;margin-left:215.562805pt;margin-top:3.446453pt;width:5.6pt;height:15.9pt;mso-position-horizontal-relative:page;mso-position-vertical-relative:paragraph;z-index:15831040" id="docshape1184" coordorigin="4311,69" coordsize="112,318" path="m4422,69l4311,124,4422,191m4311,264l4422,320,4311,387e" filled="false" stroked="true" strokeweight=".69976pt" strokecolor="#ed1a3a">
                <v:path arrowok="t"/>
                <v:stroke dashstyle="solid"/>
                <w10:wrap type="none"/>
              </v:shape>
            </w:pict>
          </mc:Fallback>
        </mc:AlternateContent>
      </w:r>
      <w:r>
        <w:rPr>
          <w:rFonts w:ascii="Arial MT"/>
        </w:rPr>
        <mc:AlternateContent>
          <mc:Choice Requires="wps">
            <w:drawing>
              <wp:anchor distT="0" distB="0" distL="0" distR="0" allowOverlap="1" layoutInCell="1" locked="0" behindDoc="0" simplePos="0" relativeHeight="15831552">
                <wp:simplePos x="0" y="0"/>
                <wp:positionH relativeFrom="page">
                  <wp:posOffset>1891489</wp:posOffset>
                </wp:positionH>
                <wp:positionV relativeFrom="paragraph">
                  <wp:posOffset>181277</wp:posOffset>
                </wp:positionV>
                <wp:extent cx="63500" cy="60325"/>
                <wp:effectExtent l="0" t="0" r="0" b="0"/>
                <wp:wrapNone/>
                <wp:docPr id="1492" name="Graphic 1492"/>
                <wp:cNvGraphicFramePr>
                  <a:graphicFrameLocks/>
                </wp:cNvGraphicFramePr>
                <a:graphic>
                  <a:graphicData uri="http://schemas.microsoft.com/office/word/2010/wordprocessingShape">
                    <wps:wsp>
                      <wps:cNvPr id="1492" name="Graphic 1492"/>
                      <wps:cNvSpPr/>
                      <wps:spPr>
                        <a:xfrm>
                          <a:off x="0" y="0"/>
                          <a:ext cx="63500" cy="60325"/>
                        </a:xfrm>
                        <a:custGeom>
                          <a:avLst/>
                          <a:gdLst/>
                          <a:ahLst/>
                          <a:cxnLst/>
                          <a:rect l="l" t="t" r="r" b="b"/>
                          <a:pathLst>
                            <a:path w="63500" h="60325">
                              <a:moveTo>
                                <a:pt x="0" y="0"/>
                              </a:moveTo>
                              <a:lnTo>
                                <a:pt x="63464" y="59921"/>
                              </a:lnTo>
                            </a:path>
                            <a:path w="63500" h="60325">
                              <a:moveTo>
                                <a:pt x="63464" y="0"/>
                              </a:moveTo>
                              <a:lnTo>
                                <a:pt x="0" y="59921"/>
                              </a:lnTo>
                            </a:path>
                          </a:pathLst>
                        </a:custGeom>
                        <a:ln w="8886">
                          <a:solidFill>
                            <a:srgbClr val="2E3092"/>
                          </a:solidFill>
                          <a:prstDash val="solid"/>
                        </a:ln>
                      </wps:spPr>
                      <wps:bodyPr wrap="square" lIns="0" tIns="0" rIns="0" bIns="0" rtlCol="0">
                        <a:prstTxWarp prst="textNoShape">
                          <a:avLst/>
                        </a:prstTxWarp>
                        <a:noAutofit/>
                      </wps:bodyPr>
                    </wps:wsp>
                  </a:graphicData>
                </a:graphic>
              </wp:anchor>
            </w:drawing>
          </mc:Choice>
          <mc:Fallback>
            <w:pict>
              <v:shape style="position:absolute;margin-left:148.936172pt;margin-top:14.273849pt;width:5pt;height:4.75pt;mso-position-horizontal-relative:page;mso-position-vertical-relative:paragraph;z-index:15831552" id="docshape1185" coordorigin="2979,285" coordsize="100,95" path="m2979,285l3079,380m3079,285l2979,380e" filled="false" stroked="true" strokeweight=".69976pt" strokecolor="#2e3092">
                <v:path arrowok="t"/>
                <v:stroke dashstyle="solid"/>
                <w10:wrap type="none"/>
              </v:shape>
            </w:pict>
          </mc:Fallback>
        </mc:AlternateContent>
      </w:r>
      <w:r>
        <w:rPr>
          <w:rFonts w:ascii="Arial MT"/>
          <w:color w:val="231F20"/>
          <w:spacing w:val="-4"/>
        </w:rPr>
        <w:t>Right</w:t>
      </w:r>
      <w:r>
        <w:rPr>
          <w:rFonts w:ascii="Arial MT"/>
          <w:color w:val="231F20"/>
        </w:rPr>
        <w:tab/>
      </w:r>
      <w:r>
        <w:rPr>
          <w:rFonts w:ascii="Arial MT"/>
          <w:color w:val="231F20"/>
          <w:position w:val="-2"/>
        </w:rPr>
        <w:drawing>
          <wp:inline distT="0" distB="0" distL="0" distR="0">
            <wp:extent cx="100552" cy="100552"/>
            <wp:effectExtent l="0" t="0" r="0" b="0"/>
            <wp:docPr id="1493" name="Image 1493"/>
            <wp:cNvGraphicFramePr>
              <a:graphicFrameLocks/>
            </wp:cNvGraphicFramePr>
            <a:graphic>
              <a:graphicData uri="http://schemas.openxmlformats.org/drawingml/2006/picture">
                <pic:pic>
                  <pic:nvPicPr>
                    <pic:cNvPr id="1493" name="Image 1493"/>
                    <pic:cNvPicPr/>
                  </pic:nvPicPr>
                  <pic:blipFill>
                    <a:blip r:embed="rId328" cstate="print"/>
                    <a:stretch>
                      <a:fillRect/>
                    </a:stretch>
                  </pic:blipFill>
                  <pic:spPr>
                    <a:xfrm>
                      <a:off x="0" y="0"/>
                      <a:ext cx="100552" cy="100552"/>
                    </a:xfrm>
                    <a:prstGeom prst="rect">
                      <a:avLst/>
                    </a:prstGeom>
                  </pic:spPr>
                </pic:pic>
              </a:graphicData>
            </a:graphic>
          </wp:inline>
        </w:drawing>
      </w:r>
      <w:r>
        <w:rPr>
          <w:rFonts w:ascii="Arial MT"/>
          <w:color w:val="231F20"/>
          <w:position w:val="-2"/>
        </w:rPr>
      </w:r>
      <w:r>
        <w:rPr>
          <w:rFonts w:ascii="Times New Roman"/>
          <w:color w:val="231F20"/>
          <w:spacing w:val="40"/>
          <w:position w:val="-2"/>
        </w:rPr>
        <w:t> </w:t>
      </w:r>
      <w:r>
        <w:rPr>
          <w:rFonts w:ascii="Arial MT"/>
          <w:color w:val="231F20"/>
          <w:spacing w:val="-4"/>
        </w:rPr>
        <w:t>Left</w:t>
      </w:r>
    </w:p>
    <w:p>
      <w:pPr>
        <w:pStyle w:val="Heading6"/>
        <w:spacing w:before="28"/>
        <w:ind w:left="375"/>
      </w:pPr>
      <w:r>
        <w:rPr>
          <w:b/>
          <w:color w:val="4A0C62"/>
          <w:sz w:val="16"/>
        </w:rPr>
        <w:t>Figure</w:t>
      </w:r>
      <w:r>
        <w:rPr>
          <w:b/>
          <w:color w:val="4A0C62"/>
          <w:spacing w:val="19"/>
          <w:sz w:val="16"/>
        </w:rPr>
        <w:t> </w:t>
      </w:r>
      <w:r>
        <w:rPr>
          <w:b/>
          <w:color w:val="4A0C62"/>
          <w:sz w:val="16"/>
        </w:rPr>
        <w:t>637-3</w:t>
      </w:r>
      <w:r>
        <w:rPr>
          <w:b/>
          <w:color w:val="4A0C62"/>
          <w:spacing w:val="8"/>
          <w:sz w:val="16"/>
        </w:rPr>
        <w:t> </w:t>
      </w:r>
      <w:r>
        <w:rPr>
          <w:color w:val="231F20"/>
        </w:rPr>
        <w:t>Audiogram</w:t>
      </w:r>
      <w:r>
        <w:rPr>
          <w:color w:val="231F20"/>
          <w:spacing w:val="11"/>
        </w:rPr>
        <w:t> </w:t>
      </w:r>
      <w:r>
        <w:rPr>
          <w:color w:val="231F20"/>
        </w:rPr>
        <w:t>showing</w:t>
      </w:r>
      <w:r>
        <w:rPr>
          <w:color w:val="231F20"/>
          <w:spacing w:val="11"/>
        </w:rPr>
        <w:t> </w:t>
      </w:r>
      <w:r>
        <w:rPr>
          <w:color w:val="231F20"/>
        </w:rPr>
        <w:t>bilateral</w:t>
      </w:r>
      <w:r>
        <w:rPr>
          <w:color w:val="231F20"/>
          <w:spacing w:val="10"/>
        </w:rPr>
        <w:t> </w:t>
      </w:r>
      <w:r>
        <w:rPr>
          <w:color w:val="231F20"/>
        </w:rPr>
        <w:t>conductive</w:t>
      </w:r>
      <w:r>
        <w:rPr>
          <w:color w:val="231F20"/>
          <w:spacing w:val="11"/>
        </w:rPr>
        <w:t> </w:t>
      </w:r>
      <w:r>
        <w:rPr>
          <w:color w:val="231F20"/>
        </w:rPr>
        <w:t>hearing</w:t>
      </w:r>
      <w:r>
        <w:rPr>
          <w:color w:val="231F20"/>
          <w:spacing w:val="11"/>
        </w:rPr>
        <w:t> </w:t>
      </w:r>
      <w:r>
        <w:rPr>
          <w:color w:val="231F20"/>
          <w:spacing w:val="-2"/>
        </w:rPr>
        <w:t>loss.</w:t>
      </w:r>
    </w:p>
    <w:p>
      <w:pPr>
        <w:pStyle w:val="Heading6"/>
        <w:spacing w:after="0"/>
        <w:sectPr>
          <w:type w:val="continuous"/>
          <w:pgSz w:w="11900" w:h="16840"/>
          <w:pgMar w:header="0" w:footer="0" w:top="620" w:bottom="280" w:left="708" w:right="566"/>
        </w:sectPr>
      </w:pPr>
    </w:p>
    <w:p>
      <w:pPr>
        <w:pStyle w:val="BodyText"/>
        <w:spacing w:before="205"/>
        <w:rPr>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494" name="Group 1494"/>
                <wp:cNvGraphicFramePr>
                  <a:graphicFrameLocks/>
                </wp:cNvGraphicFramePr>
                <a:graphic>
                  <a:graphicData uri="http://schemas.microsoft.com/office/word/2010/wordprocessingGroup">
                    <wpg:wgp>
                      <wpg:cNvPr id="1494" name="Group 1494"/>
                      <wpg:cNvGrpSpPr/>
                      <wpg:grpSpPr>
                        <a:xfrm>
                          <a:off x="0" y="0"/>
                          <a:ext cx="6185535" cy="170815"/>
                          <a:chExt cx="6185535" cy="170815"/>
                        </a:xfrm>
                      </wpg:grpSpPr>
                      <wps:wsp>
                        <wps:cNvPr id="1495" name="Graphic 1495"/>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496" name="Graphic 1496"/>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497" name="Textbox 1497"/>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3084</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186"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187" filled="false" stroked="false">
                  <v:textbox inset="0,0,0,0">
                    <w:txbxContent>
                      <w:p>
                        <w:pPr>
                          <w:spacing w:before="6"/>
                          <w:ind w:left="-1" w:right="0" w:firstLine="0"/>
                          <w:jc w:val="left"/>
                          <w:rPr>
                            <w:sz w:val="18"/>
                          </w:rPr>
                        </w:pPr>
                        <w:r>
                          <w:rPr>
                            <w:b/>
                            <w:color w:val="231F20"/>
                            <w:w w:val="105"/>
                            <w:sz w:val="18"/>
                          </w:rPr>
                          <w:t>3084</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v:textbox>
                  <w10:wrap type="none"/>
                </v:shape>
              </v:group>
            </w:pict>
          </mc:Fallback>
        </mc:AlternateContent>
      </w:r>
      <w:r>
        <w:rPr>
          <w:sz w:val="20"/>
        </w:rPr>
      </w:r>
    </w:p>
    <w:p>
      <w:pPr>
        <w:pStyle w:val="BodyText"/>
        <w:spacing w:before="7"/>
        <w:rPr>
          <w:sz w:val="14"/>
        </w:rPr>
      </w:pPr>
    </w:p>
    <w:tbl>
      <w:tblPr>
        <w:tblW w:w="0" w:type="auto"/>
        <w:jc w:val="left"/>
        <w:tblInd w:w="3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006"/>
        <w:gridCol w:w="5587"/>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640-</w:t>
            </w:r>
            <w:r>
              <w:rPr>
                <w:b/>
                <w:color w:val="FFFFFF"/>
                <w:spacing w:val="-10"/>
                <w:w w:val="105"/>
                <w:sz w:val="16"/>
              </w:rPr>
              <w:t>1</w:t>
            </w:r>
          </w:p>
        </w:tc>
        <w:tc>
          <w:tcPr>
            <w:tcW w:w="8593" w:type="dxa"/>
            <w:gridSpan w:val="2"/>
            <w:tcBorders>
              <w:left w:val="single" w:sz="8" w:space="0" w:color="FFFFFF"/>
            </w:tcBorders>
            <w:shd w:val="clear" w:color="auto" w:fill="231F20"/>
          </w:tcPr>
          <w:p>
            <w:pPr>
              <w:pStyle w:val="TableParagraph"/>
              <w:spacing w:before="89"/>
              <w:ind w:left="73"/>
              <w:rPr>
                <w:sz w:val="16"/>
              </w:rPr>
            </w:pPr>
            <w:r>
              <w:rPr>
                <w:color w:val="FFFFFF"/>
                <w:w w:val="105"/>
                <w:sz w:val="16"/>
              </w:rPr>
              <w:t>Treatments</w:t>
            </w:r>
            <w:r>
              <w:rPr>
                <w:color w:val="FFFFFF"/>
                <w:spacing w:val="4"/>
                <w:w w:val="105"/>
                <w:sz w:val="16"/>
              </w:rPr>
              <w:t> </w:t>
            </w:r>
            <w:r>
              <w:rPr>
                <w:color w:val="FFFFFF"/>
                <w:w w:val="105"/>
                <w:sz w:val="16"/>
              </w:rPr>
              <w:t>for</w:t>
            </w:r>
            <w:r>
              <w:rPr>
                <w:color w:val="FFFFFF"/>
                <w:spacing w:val="4"/>
                <w:w w:val="105"/>
                <w:sz w:val="16"/>
              </w:rPr>
              <w:t> </w:t>
            </w:r>
            <w:r>
              <w:rPr>
                <w:color w:val="FFFFFF"/>
                <w:w w:val="105"/>
                <w:sz w:val="16"/>
              </w:rPr>
              <w:t>Otalgia</w:t>
            </w:r>
            <w:r>
              <w:rPr>
                <w:color w:val="FFFFFF"/>
                <w:spacing w:val="4"/>
                <w:w w:val="105"/>
                <w:sz w:val="16"/>
              </w:rPr>
              <w:t> </w:t>
            </w:r>
            <w:r>
              <w:rPr>
                <w:color w:val="FFFFFF"/>
                <w:w w:val="105"/>
                <w:sz w:val="16"/>
              </w:rPr>
              <w:t>in</w:t>
            </w:r>
            <w:r>
              <w:rPr>
                <w:color w:val="FFFFFF"/>
                <w:spacing w:val="5"/>
                <w:w w:val="105"/>
                <w:sz w:val="16"/>
              </w:rPr>
              <w:t> </w:t>
            </w:r>
            <w:r>
              <w:rPr>
                <w:color w:val="FFFFFF"/>
                <w:w w:val="105"/>
                <w:sz w:val="16"/>
              </w:rPr>
              <w:t>Acute</w:t>
            </w:r>
            <w:r>
              <w:rPr>
                <w:color w:val="FFFFFF"/>
                <w:spacing w:val="4"/>
                <w:w w:val="105"/>
                <w:sz w:val="16"/>
              </w:rPr>
              <w:t> </w:t>
            </w:r>
            <w:r>
              <w:rPr>
                <w:color w:val="FFFFFF"/>
                <w:w w:val="105"/>
                <w:sz w:val="16"/>
              </w:rPr>
              <w:t>Otitis</w:t>
            </w:r>
            <w:r>
              <w:rPr>
                <w:color w:val="FFFFFF"/>
                <w:spacing w:val="4"/>
                <w:w w:val="105"/>
                <w:sz w:val="16"/>
              </w:rPr>
              <w:t> </w:t>
            </w:r>
            <w:r>
              <w:rPr>
                <w:color w:val="FFFFFF"/>
                <w:spacing w:val="-2"/>
                <w:w w:val="105"/>
                <w:sz w:val="16"/>
              </w:rPr>
              <w:t>Media</w:t>
            </w:r>
          </w:p>
        </w:tc>
      </w:tr>
      <w:tr>
        <w:trPr>
          <w:trHeight w:val="257" w:hRule="atLeast"/>
        </w:trPr>
        <w:tc>
          <w:tcPr>
            <w:tcW w:w="4154" w:type="dxa"/>
            <w:gridSpan w:val="2"/>
            <w:tcBorders>
              <w:bottom w:val="single" w:sz="4" w:space="0" w:color="231F20"/>
            </w:tcBorders>
            <w:shd w:val="clear" w:color="auto" w:fill="E8F5F1"/>
          </w:tcPr>
          <w:p>
            <w:pPr>
              <w:pStyle w:val="TableParagraph"/>
              <w:spacing w:before="47"/>
              <w:ind w:left="74"/>
              <w:rPr>
                <w:b/>
                <w:sz w:val="15"/>
              </w:rPr>
            </w:pPr>
            <w:r>
              <w:rPr>
                <w:b/>
                <w:color w:val="231F20"/>
                <w:w w:val="105"/>
                <w:sz w:val="15"/>
              </w:rPr>
              <w:t>TREATMENT</w:t>
            </w:r>
            <w:r>
              <w:rPr>
                <w:b/>
                <w:color w:val="231F20"/>
                <w:spacing w:val="27"/>
                <w:w w:val="110"/>
                <w:sz w:val="15"/>
              </w:rPr>
              <w:t> </w:t>
            </w:r>
            <w:r>
              <w:rPr>
                <w:b/>
                <w:color w:val="231F20"/>
                <w:spacing w:val="-2"/>
                <w:w w:val="110"/>
                <w:sz w:val="15"/>
              </w:rPr>
              <w:t>MODALITY</w:t>
            </w:r>
          </w:p>
        </w:tc>
        <w:tc>
          <w:tcPr>
            <w:tcW w:w="5587" w:type="dxa"/>
            <w:tcBorders>
              <w:bottom w:val="single" w:sz="4" w:space="0" w:color="231F20"/>
            </w:tcBorders>
            <w:shd w:val="clear" w:color="auto" w:fill="E8F5F1"/>
          </w:tcPr>
          <w:p>
            <w:pPr>
              <w:pStyle w:val="TableParagraph"/>
              <w:spacing w:before="47"/>
              <w:ind w:left="30"/>
              <w:jc w:val="center"/>
              <w:rPr>
                <w:b/>
                <w:sz w:val="15"/>
              </w:rPr>
            </w:pPr>
            <w:r>
              <w:rPr>
                <w:b/>
                <w:color w:val="231F20"/>
                <w:spacing w:val="-2"/>
                <w:w w:val="115"/>
                <w:sz w:val="15"/>
              </w:rPr>
              <w:t>COMMENTS</w:t>
            </w:r>
          </w:p>
        </w:tc>
      </w:tr>
      <w:tr>
        <w:trPr>
          <w:trHeight w:val="425" w:hRule="atLeast"/>
        </w:trPr>
        <w:tc>
          <w:tcPr>
            <w:tcW w:w="4154" w:type="dxa"/>
            <w:gridSpan w:val="2"/>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Acetaminophen,</w:t>
            </w:r>
            <w:r>
              <w:rPr>
                <w:color w:val="231F20"/>
                <w:spacing w:val="1"/>
                <w:sz w:val="15"/>
              </w:rPr>
              <w:t> </w:t>
            </w:r>
            <w:r>
              <w:rPr>
                <w:color w:val="231F20"/>
                <w:spacing w:val="-2"/>
                <w:sz w:val="15"/>
              </w:rPr>
              <w:t>ibuprofen</w:t>
            </w:r>
          </w:p>
        </w:tc>
        <w:tc>
          <w:tcPr>
            <w:tcW w:w="5587" w:type="dxa"/>
            <w:tcBorders>
              <w:top w:val="single" w:sz="4" w:space="0" w:color="231F20"/>
              <w:bottom w:val="single" w:sz="4" w:space="0" w:color="FFFFFF"/>
            </w:tcBorders>
            <w:shd w:val="clear" w:color="auto" w:fill="E8F5F1"/>
          </w:tcPr>
          <w:p>
            <w:pPr>
              <w:pStyle w:val="TableParagraph"/>
              <w:spacing w:line="230" w:lineRule="auto" w:before="52"/>
              <w:ind w:left="217" w:hanging="112"/>
              <w:rPr>
                <w:sz w:val="15"/>
              </w:rPr>
            </w:pPr>
            <w:r>
              <w:rPr>
                <w:color w:val="231F20"/>
                <w:sz w:val="15"/>
              </w:rPr>
              <w:t>Effective</w:t>
            </w:r>
            <w:r>
              <w:rPr>
                <w:color w:val="231F20"/>
                <w:spacing w:val="-12"/>
                <w:sz w:val="15"/>
              </w:rPr>
              <w:t> </w:t>
            </w:r>
            <w:r>
              <w:rPr>
                <w:color w:val="231F20"/>
                <w:sz w:val="15"/>
              </w:rPr>
              <w:t>analgesia</w:t>
            </w:r>
            <w:r>
              <w:rPr>
                <w:color w:val="231F20"/>
                <w:spacing w:val="-11"/>
                <w:sz w:val="15"/>
              </w:rPr>
              <w:t> </w:t>
            </w:r>
            <w:r>
              <w:rPr>
                <w:color w:val="231F20"/>
                <w:sz w:val="15"/>
              </w:rPr>
              <w:t>for</w:t>
            </w:r>
            <w:r>
              <w:rPr>
                <w:color w:val="231F20"/>
                <w:spacing w:val="-11"/>
                <w:sz w:val="15"/>
              </w:rPr>
              <w:t> </w:t>
            </w:r>
            <w:r>
              <w:rPr>
                <w:color w:val="231F20"/>
                <w:sz w:val="15"/>
              </w:rPr>
              <w:t>mild</w:t>
            </w:r>
            <w:r>
              <w:rPr>
                <w:color w:val="231F20"/>
                <w:spacing w:val="-12"/>
                <w:sz w:val="15"/>
              </w:rPr>
              <w:t> </w:t>
            </w:r>
            <w:r>
              <w:rPr>
                <w:color w:val="231F20"/>
                <w:sz w:val="15"/>
              </w:rPr>
              <w:t>to</w:t>
            </w:r>
            <w:r>
              <w:rPr>
                <w:color w:val="231F20"/>
                <w:spacing w:val="-11"/>
                <w:sz w:val="15"/>
              </w:rPr>
              <w:t> </w:t>
            </w:r>
            <w:r>
              <w:rPr>
                <w:color w:val="231F20"/>
                <w:sz w:val="15"/>
              </w:rPr>
              <w:t>moderate</w:t>
            </w:r>
            <w:r>
              <w:rPr>
                <w:color w:val="231F20"/>
                <w:spacing w:val="-11"/>
                <w:sz w:val="15"/>
              </w:rPr>
              <w:t> </w:t>
            </w:r>
            <w:r>
              <w:rPr>
                <w:color w:val="231F20"/>
                <w:sz w:val="15"/>
              </w:rPr>
              <w:t>pain.</w:t>
            </w:r>
            <w:r>
              <w:rPr>
                <w:color w:val="231F20"/>
                <w:spacing w:val="-12"/>
                <w:sz w:val="15"/>
              </w:rPr>
              <w:t> </w:t>
            </w:r>
            <w:r>
              <w:rPr>
                <w:color w:val="231F20"/>
                <w:sz w:val="15"/>
              </w:rPr>
              <w:t>Readily</w:t>
            </w:r>
            <w:r>
              <w:rPr>
                <w:color w:val="231F20"/>
                <w:spacing w:val="-11"/>
                <w:sz w:val="15"/>
              </w:rPr>
              <w:t> </w:t>
            </w:r>
            <w:r>
              <w:rPr>
                <w:color w:val="231F20"/>
                <w:sz w:val="15"/>
              </w:rPr>
              <w:t>available.</w:t>
            </w:r>
            <w:r>
              <w:rPr>
                <w:color w:val="231F20"/>
                <w:spacing w:val="-11"/>
                <w:sz w:val="15"/>
              </w:rPr>
              <w:t> </w:t>
            </w:r>
            <w:r>
              <w:rPr>
                <w:color w:val="231F20"/>
                <w:sz w:val="15"/>
              </w:rPr>
              <w:t>Mainstay</w:t>
            </w:r>
            <w:r>
              <w:rPr>
                <w:color w:val="231F20"/>
                <w:spacing w:val="-11"/>
                <w:sz w:val="15"/>
              </w:rPr>
              <w:t> </w:t>
            </w:r>
            <w:r>
              <w:rPr>
                <w:color w:val="231F20"/>
                <w:sz w:val="15"/>
              </w:rPr>
              <w:t>of</w:t>
            </w:r>
            <w:r>
              <w:rPr>
                <w:color w:val="231F20"/>
                <w:spacing w:val="-12"/>
                <w:sz w:val="15"/>
              </w:rPr>
              <w:t> </w:t>
            </w:r>
            <w:r>
              <w:rPr>
                <w:color w:val="231F20"/>
                <w:sz w:val="15"/>
              </w:rPr>
              <w:t>pain management for AOM</w:t>
            </w:r>
          </w:p>
        </w:tc>
      </w:tr>
      <w:tr>
        <w:trPr>
          <w:trHeight w:val="924" w:hRule="atLeast"/>
        </w:trPr>
        <w:tc>
          <w:tcPr>
            <w:tcW w:w="4154" w:type="dxa"/>
            <w:gridSpan w:val="2"/>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Home</w:t>
            </w:r>
            <w:r>
              <w:rPr>
                <w:color w:val="231F20"/>
                <w:spacing w:val="-10"/>
                <w:sz w:val="15"/>
              </w:rPr>
              <w:t> </w:t>
            </w:r>
            <w:r>
              <w:rPr>
                <w:color w:val="231F20"/>
                <w:sz w:val="15"/>
              </w:rPr>
              <w:t>remedies</w:t>
            </w:r>
            <w:r>
              <w:rPr>
                <w:color w:val="231F20"/>
                <w:spacing w:val="-10"/>
                <w:sz w:val="15"/>
              </w:rPr>
              <w:t> </w:t>
            </w:r>
            <w:r>
              <w:rPr>
                <w:color w:val="231F20"/>
                <w:sz w:val="15"/>
              </w:rPr>
              <w:t>(no</w:t>
            </w:r>
            <w:r>
              <w:rPr>
                <w:color w:val="231F20"/>
                <w:spacing w:val="-10"/>
                <w:sz w:val="15"/>
              </w:rPr>
              <w:t> </w:t>
            </w:r>
            <w:r>
              <w:rPr>
                <w:color w:val="231F20"/>
                <w:sz w:val="15"/>
              </w:rPr>
              <w:t>controlled</w:t>
            </w:r>
            <w:r>
              <w:rPr>
                <w:color w:val="231F20"/>
                <w:spacing w:val="-10"/>
                <w:sz w:val="15"/>
              </w:rPr>
              <w:t> </w:t>
            </w:r>
            <w:r>
              <w:rPr>
                <w:color w:val="231F20"/>
                <w:sz w:val="15"/>
              </w:rPr>
              <w:t>studies</w:t>
            </w:r>
            <w:r>
              <w:rPr>
                <w:color w:val="231F20"/>
                <w:spacing w:val="-10"/>
                <w:sz w:val="15"/>
              </w:rPr>
              <w:t> </w:t>
            </w:r>
            <w:r>
              <w:rPr>
                <w:color w:val="231F20"/>
                <w:sz w:val="15"/>
              </w:rPr>
              <w:t>that</w:t>
            </w:r>
            <w:r>
              <w:rPr>
                <w:color w:val="231F20"/>
                <w:spacing w:val="-10"/>
                <w:sz w:val="15"/>
              </w:rPr>
              <w:t> </w:t>
            </w:r>
            <w:r>
              <w:rPr>
                <w:color w:val="231F20"/>
                <w:sz w:val="15"/>
              </w:rPr>
              <w:t>directly</w:t>
            </w:r>
            <w:r>
              <w:rPr>
                <w:color w:val="231F20"/>
                <w:spacing w:val="-10"/>
                <w:sz w:val="15"/>
              </w:rPr>
              <w:t> </w:t>
            </w:r>
            <w:r>
              <w:rPr>
                <w:color w:val="231F20"/>
                <w:sz w:val="15"/>
              </w:rPr>
              <w:t>address </w:t>
            </w:r>
            <w:r>
              <w:rPr>
                <w:color w:val="231F20"/>
                <w:spacing w:val="-2"/>
                <w:sz w:val="15"/>
              </w:rPr>
              <w:t>effectiveness)</w:t>
            </w:r>
          </w:p>
          <w:p>
            <w:pPr>
              <w:pStyle w:val="TableParagraph"/>
              <w:spacing w:line="167" w:lineRule="exact"/>
              <w:ind w:left="223"/>
              <w:rPr>
                <w:sz w:val="15"/>
              </w:rPr>
            </w:pPr>
            <w:r>
              <w:rPr>
                <w:color w:val="231F20"/>
                <w:spacing w:val="-2"/>
                <w:sz w:val="15"/>
              </w:rPr>
              <w:t>Distraction</w:t>
            </w:r>
          </w:p>
          <w:p>
            <w:pPr>
              <w:pStyle w:val="TableParagraph"/>
              <w:spacing w:line="230" w:lineRule="auto" w:before="2"/>
              <w:ind w:left="223" w:right="1560"/>
              <w:rPr>
                <w:sz w:val="15"/>
              </w:rPr>
            </w:pPr>
            <w:r>
              <w:rPr>
                <w:color w:val="231F20"/>
                <w:sz w:val="15"/>
              </w:rPr>
              <w:t>External</w:t>
            </w:r>
            <w:r>
              <w:rPr>
                <w:color w:val="231F20"/>
                <w:spacing w:val="-12"/>
                <w:sz w:val="15"/>
              </w:rPr>
              <w:t> </w:t>
            </w:r>
            <w:r>
              <w:rPr>
                <w:color w:val="231F20"/>
                <w:sz w:val="15"/>
              </w:rPr>
              <w:t>application</w:t>
            </w:r>
            <w:r>
              <w:rPr>
                <w:color w:val="231F20"/>
                <w:spacing w:val="-11"/>
                <w:sz w:val="15"/>
              </w:rPr>
              <w:t> </w:t>
            </w:r>
            <w:r>
              <w:rPr>
                <w:color w:val="231F20"/>
                <w:sz w:val="15"/>
              </w:rPr>
              <w:t>of</w:t>
            </w:r>
            <w:r>
              <w:rPr>
                <w:color w:val="231F20"/>
                <w:spacing w:val="-11"/>
                <w:sz w:val="15"/>
              </w:rPr>
              <w:t> </w:t>
            </w:r>
            <w:r>
              <w:rPr>
                <w:color w:val="231F20"/>
                <w:sz w:val="15"/>
              </w:rPr>
              <w:t>heat</w:t>
            </w:r>
            <w:r>
              <w:rPr>
                <w:color w:val="231F20"/>
                <w:spacing w:val="-12"/>
                <w:sz w:val="15"/>
              </w:rPr>
              <w:t> </w:t>
            </w:r>
            <w:r>
              <w:rPr>
                <w:color w:val="231F20"/>
                <w:sz w:val="15"/>
              </w:rPr>
              <w:t>or</w:t>
            </w:r>
            <w:r>
              <w:rPr>
                <w:color w:val="231F20"/>
                <w:spacing w:val="-11"/>
                <w:sz w:val="15"/>
              </w:rPr>
              <w:t> </w:t>
            </w:r>
            <w:r>
              <w:rPr>
                <w:color w:val="231F20"/>
                <w:sz w:val="15"/>
              </w:rPr>
              <w:t>cold Oil</w:t>
            </w:r>
            <w:r>
              <w:rPr>
                <w:color w:val="231F20"/>
                <w:spacing w:val="-5"/>
                <w:sz w:val="15"/>
              </w:rPr>
              <w:t> </w:t>
            </w:r>
            <w:r>
              <w:rPr>
                <w:color w:val="231F20"/>
                <w:sz w:val="15"/>
              </w:rPr>
              <w:t>drops</w:t>
            </w:r>
            <w:r>
              <w:rPr>
                <w:color w:val="231F20"/>
                <w:spacing w:val="-5"/>
                <w:sz w:val="15"/>
              </w:rPr>
              <w:t> </w:t>
            </w:r>
            <w:r>
              <w:rPr>
                <w:color w:val="231F20"/>
                <w:sz w:val="15"/>
              </w:rPr>
              <w:t>in</w:t>
            </w:r>
            <w:r>
              <w:rPr>
                <w:color w:val="231F20"/>
                <w:spacing w:val="-5"/>
                <w:sz w:val="15"/>
              </w:rPr>
              <w:t> </w:t>
            </w:r>
            <w:r>
              <w:rPr>
                <w:color w:val="231F20"/>
                <w:sz w:val="15"/>
              </w:rPr>
              <w:t>external</w:t>
            </w:r>
            <w:r>
              <w:rPr>
                <w:color w:val="231F20"/>
                <w:spacing w:val="-5"/>
                <w:sz w:val="15"/>
              </w:rPr>
              <w:t> </w:t>
            </w:r>
            <w:r>
              <w:rPr>
                <w:color w:val="231F20"/>
                <w:sz w:val="15"/>
              </w:rPr>
              <w:t>auditory</w:t>
            </w:r>
            <w:r>
              <w:rPr>
                <w:color w:val="231F20"/>
                <w:spacing w:val="-4"/>
                <w:sz w:val="15"/>
              </w:rPr>
              <w:t> </w:t>
            </w:r>
            <w:r>
              <w:rPr>
                <w:color w:val="231F20"/>
                <w:spacing w:val="-2"/>
                <w:sz w:val="15"/>
              </w:rPr>
              <w:t>canal</w:t>
            </w:r>
          </w:p>
        </w:tc>
        <w:tc>
          <w:tcPr>
            <w:tcW w:w="5587" w:type="dxa"/>
            <w:tcBorders>
              <w:top w:val="single" w:sz="4" w:space="0" w:color="FFFFFF"/>
              <w:bottom w:val="single" w:sz="4" w:space="0" w:color="FFFFFF"/>
            </w:tcBorders>
            <w:shd w:val="clear" w:color="auto" w:fill="E8F5F1"/>
          </w:tcPr>
          <w:p>
            <w:pPr>
              <w:pStyle w:val="TableParagraph"/>
              <w:spacing w:before="42"/>
              <w:ind w:left="105"/>
              <w:rPr>
                <w:sz w:val="15"/>
              </w:rPr>
            </w:pPr>
            <w:r>
              <w:rPr>
                <w:color w:val="231F20"/>
                <w:sz w:val="15"/>
              </w:rPr>
              <w:t>May</w:t>
            </w:r>
            <w:r>
              <w:rPr>
                <w:color w:val="231F20"/>
                <w:spacing w:val="-4"/>
                <w:sz w:val="15"/>
              </w:rPr>
              <w:t> </w:t>
            </w:r>
            <w:r>
              <w:rPr>
                <w:color w:val="231F20"/>
                <w:sz w:val="15"/>
              </w:rPr>
              <w:t>have</w:t>
            </w:r>
            <w:r>
              <w:rPr>
                <w:color w:val="231F20"/>
                <w:spacing w:val="-3"/>
                <w:sz w:val="15"/>
              </w:rPr>
              <w:t> </w:t>
            </w:r>
            <w:r>
              <w:rPr>
                <w:color w:val="231F20"/>
                <w:sz w:val="15"/>
              </w:rPr>
              <w:t>limited</w:t>
            </w:r>
            <w:r>
              <w:rPr>
                <w:color w:val="231F20"/>
                <w:spacing w:val="-3"/>
                <w:sz w:val="15"/>
              </w:rPr>
              <w:t> </w:t>
            </w:r>
            <w:r>
              <w:rPr>
                <w:color w:val="231F20"/>
                <w:spacing w:val="-2"/>
                <w:sz w:val="15"/>
              </w:rPr>
              <w:t>effectiveness</w:t>
            </w:r>
          </w:p>
        </w:tc>
      </w:tr>
      <w:tr>
        <w:trPr>
          <w:trHeight w:val="252" w:hRule="atLeast"/>
        </w:trPr>
        <w:tc>
          <w:tcPr>
            <w:tcW w:w="415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Benzocaine,</w:t>
            </w:r>
            <w:r>
              <w:rPr>
                <w:color w:val="231F20"/>
                <w:spacing w:val="4"/>
                <w:sz w:val="15"/>
              </w:rPr>
              <w:t> </w:t>
            </w:r>
            <w:r>
              <w:rPr>
                <w:color w:val="231F20"/>
                <w:spacing w:val="-2"/>
                <w:sz w:val="15"/>
              </w:rPr>
              <w:t>procaine,</w:t>
            </w:r>
            <w:r>
              <w:rPr>
                <w:color w:val="231F20"/>
                <w:spacing w:val="4"/>
                <w:sz w:val="15"/>
              </w:rPr>
              <w:t> </w:t>
            </w:r>
            <w:r>
              <w:rPr>
                <w:color w:val="231F20"/>
                <w:spacing w:val="-2"/>
                <w:sz w:val="15"/>
              </w:rPr>
              <w:t>lidocaine</w:t>
            </w:r>
            <w:r>
              <w:rPr>
                <w:color w:val="231F20"/>
                <w:spacing w:val="5"/>
                <w:sz w:val="15"/>
              </w:rPr>
              <w:t> </w:t>
            </w:r>
            <w:r>
              <w:rPr>
                <w:color w:val="231F20"/>
                <w:spacing w:val="-2"/>
                <w:sz w:val="15"/>
              </w:rPr>
              <w:t>(topical)</w:t>
            </w:r>
          </w:p>
        </w:tc>
        <w:tc>
          <w:tcPr>
            <w:tcW w:w="5587" w:type="dxa"/>
            <w:tcBorders>
              <w:top w:val="single" w:sz="4" w:space="0" w:color="FFFFFF"/>
              <w:bottom w:val="single" w:sz="4" w:space="0" w:color="FFFFFF"/>
            </w:tcBorders>
            <w:shd w:val="clear" w:color="auto" w:fill="E8F5F1"/>
          </w:tcPr>
          <w:p>
            <w:pPr>
              <w:pStyle w:val="TableParagraph"/>
              <w:spacing w:before="42"/>
              <w:ind w:left="105"/>
              <w:rPr>
                <w:sz w:val="15"/>
              </w:rPr>
            </w:pPr>
            <w:r>
              <w:rPr>
                <w:color w:val="231F20"/>
                <w:sz w:val="15"/>
              </w:rPr>
              <w:t>Additional,</w:t>
            </w:r>
            <w:r>
              <w:rPr>
                <w:color w:val="231F20"/>
                <w:spacing w:val="-10"/>
                <w:sz w:val="15"/>
              </w:rPr>
              <w:t> </w:t>
            </w:r>
            <w:r>
              <w:rPr>
                <w:color w:val="231F20"/>
                <w:sz w:val="15"/>
              </w:rPr>
              <w:t>but</w:t>
            </w:r>
            <w:r>
              <w:rPr>
                <w:color w:val="231F20"/>
                <w:spacing w:val="-9"/>
                <w:sz w:val="15"/>
              </w:rPr>
              <w:t> </w:t>
            </w:r>
            <w:r>
              <w:rPr>
                <w:color w:val="231F20"/>
                <w:sz w:val="15"/>
              </w:rPr>
              <w:t>brief,</w:t>
            </w:r>
            <w:r>
              <w:rPr>
                <w:color w:val="231F20"/>
                <w:spacing w:val="-9"/>
                <w:sz w:val="15"/>
              </w:rPr>
              <w:t> </w:t>
            </w:r>
            <w:r>
              <w:rPr>
                <w:color w:val="231F20"/>
                <w:sz w:val="15"/>
              </w:rPr>
              <w:t>benefit</w:t>
            </w:r>
            <w:r>
              <w:rPr>
                <w:color w:val="231F20"/>
                <w:spacing w:val="-10"/>
                <w:sz w:val="15"/>
              </w:rPr>
              <w:t> </w:t>
            </w:r>
            <w:r>
              <w:rPr>
                <w:color w:val="231F20"/>
                <w:sz w:val="15"/>
              </w:rPr>
              <w:t>over</w:t>
            </w:r>
            <w:r>
              <w:rPr>
                <w:color w:val="231F20"/>
                <w:spacing w:val="-9"/>
                <w:sz w:val="15"/>
              </w:rPr>
              <w:t> </w:t>
            </w:r>
            <w:r>
              <w:rPr>
                <w:color w:val="231F20"/>
                <w:sz w:val="15"/>
              </w:rPr>
              <w:t>acetaminophen</w:t>
            </w:r>
            <w:r>
              <w:rPr>
                <w:color w:val="231F20"/>
                <w:spacing w:val="-9"/>
                <w:sz w:val="15"/>
              </w:rPr>
              <w:t> </w:t>
            </w:r>
            <w:r>
              <w:rPr>
                <w:color w:val="231F20"/>
                <w:sz w:val="15"/>
              </w:rPr>
              <w:t>in</w:t>
            </w:r>
            <w:r>
              <w:rPr>
                <w:color w:val="231F20"/>
                <w:spacing w:val="-10"/>
                <w:sz w:val="15"/>
              </w:rPr>
              <w:t> </w:t>
            </w:r>
            <w:r>
              <w:rPr>
                <w:color w:val="231F20"/>
                <w:sz w:val="15"/>
              </w:rPr>
              <w:t>patients</w:t>
            </w:r>
            <w:r>
              <w:rPr>
                <w:color w:val="231F20"/>
                <w:spacing w:val="-9"/>
                <w:sz w:val="15"/>
              </w:rPr>
              <w:t> </w:t>
            </w:r>
            <w:r>
              <w:rPr>
                <w:color w:val="231F20"/>
                <w:sz w:val="15"/>
              </w:rPr>
              <w:t>older</w:t>
            </w:r>
            <w:r>
              <w:rPr>
                <w:color w:val="231F20"/>
                <w:spacing w:val="-9"/>
                <w:sz w:val="15"/>
              </w:rPr>
              <w:t> </w:t>
            </w:r>
            <w:r>
              <w:rPr>
                <w:color w:val="231F20"/>
                <w:sz w:val="15"/>
              </w:rPr>
              <w:t>than</w:t>
            </w:r>
            <w:r>
              <w:rPr>
                <w:color w:val="231F20"/>
                <w:spacing w:val="-10"/>
                <w:sz w:val="15"/>
              </w:rPr>
              <w:t> </w:t>
            </w:r>
            <w:r>
              <w:rPr>
                <w:color w:val="231F20"/>
                <w:sz w:val="15"/>
              </w:rPr>
              <w:t>5</w:t>
            </w:r>
            <w:r>
              <w:rPr>
                <w:color w:val="231F20"/>
                <w:spacing w:val="-9"/>
                <w:sz w:val="15"/>
              </w:rPr>
              <w:t> </w:t>
            </w:r>
            <w:r>
              <w:rPr>
                <w:color w:val="231F20"/>
                <w:spacing w:val="-5"/>
                <w:sz w:val="15"/>
              </w:rPr>
              <w:t>yr</w:t>
            </w:r>
          </w:p>
        </w:tc>
      </w:tr>
      <w:tr>
        <w:trPr>
          <w:trHeight w:val="252" w:hRule="atLeast"/>
        </w:trPr>
        <w:tc>
          <w:tcPr>
            <w:tcW w:w="415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Naturopathic</w:t>
            </w:r>
            <w:r>
              <w:rPr>
                <w:color w:val="231F20"/>
                <w:spacing w:val="-8"/>
                <w:sz w:val="15"/>
              </w:rPr>
              <w:t> </w:t>
            </w:r>
            <w:r>
              <w:rPr>
                <w:color w:val="231F20"/>
                <w:spacing w:val="-2"/>
                <w:sz w:val="15"/>
              </w:rPr>
              <w:t>agents</w:t>
            </w:r>
          </w:p>
        </w:tc>
        <w:tc>
          <w:tcPr>
            <w:tcW w:w="5587" w:type="dxa"/>
            <w:tcBorders>
              <w:top w:val="single" w:sz="4" w:space="0" w:color="FFFFFF"/>
              <w:bottom w:val="single" w:sz="4" w:space="0" w:color="FFFFFF"/>
            </w:tcBorders>
            <w:shd w:val="clear" w:color="auto" w:fill="E8F5F1"/>
          </w:tcPr>
          <w:p>
            <w:pPr>
              <w:pStyle w:val="TableParagraph"/>
              <w:spacing w:before="42"/>
              <w:ind w:left="105"/>
              <w:rPr>
                <w:sz w:val="15"/>
              </w:rPr>
            </w:pPr>
            <w:r>
              <w:rPr>
                <w:color w:val="231F20"/>
                <w:sz w:val="15"/>
              </w:rPr>
              <w:t>Comparable</w:t>
            </w:r>
            <w:r>
              <w:rPr>
                <w:color w:val="231F20"/>
                <w:spacing w:val="-4"/>
                <w:sz w:val="15"/>
              </w:rPr>
              <w:t> </w:t>
            </w:r>
            <w:r>
              <w:rPr>
                <w:color w:val="231F20"/>
                <w:sz w:val="15"/>
              </w:rPr>
              <w:t>to</w:t>
            </w:r>
            <w:r>
              <w:rPr>
                <w:color w:val="231F20"/>
                <w:spacing w:val="-3"/>
                <w:sz w:val="15"/>
              </w:rPr>
              <w:t> </w:t>
            </w:r>
            <w:r>
              <w:rPr>
                <w:color w:val="231F20"/>
                <w:sz w:val="15"/>
              </w:rPr>
              <w:t>amethocaine/phenazone</w:t>
            </w:r>
            <w:r>
              <w:rPr>
                <w:color w:val="231F20"/>
                <w:spacing w:val="-3"/>
                <w:sz w:val="15"/>
              </w:rPr>
              <w:t> </w:t>
            </w:r>
            <w:r>
              <w:rPr>
                <w:color w:val="231F20"/>
                <w:sz w:val="15"/>
              </w:rPr>
              <w:t>drops</w:t>
            </w:r>
            <w:r>
              <w:rPr>
                <w:color w:val="231F20"/>
                <w:spacing w:val="-4"/>
                <w:sz w:val="15"/>
              </w:rPr>
              <w:t> </w:t>
            </w:r>
            <w:r>
              <w:rPr>
                <w:color w:val="231F20"/>
                <w:sz w:val="15"/>
              </w:rPr>
              <w:t>in</w:t>
            </w:r>
            <w:r>
              <w:rPr>
                <w:color w:val="231F20"/>
                <w:spacing w:val="-3"/>
                <w:sz w:val="15"/>
              </w:rPr>
              <w:t> </w:t>
            </w:r>
            <w:r>
              <w:rPr>
                <w:color w:val="231F20"/>
                <w:sz w:val="15"/>
              </w:rPr>
              <w:t>patients</w:t>
            </w:r>
            <w:r>
              <w:rPr>
                <w:color w:val="231F20"/>
                <w:spacing w:val="-3"/>
                <w:sz w:val="15"/>
              </w:rPr>
              <w:t> </w:t>
            </w:r>
            <w:r>
              <w:rPr>
                <w:color w:val="231F20"/>
                <w:sz w:val="15"/>
              </w:rPr>
              <w:t>older</w:t>
            </w:r>
            <w:r>
              <w:rPr>
                <w:color w:val="231F20"/>
                <w:spacing w:val="-4"/>
                <w:sz w:val="15"/>
              </w:rPr>
              <w:t> </w:t>
            </w:r>
            <w:r>
              <w:rPr>
                <w:color w:val="231F20"/>
                <w:sz w:val="15"/>
              </w:rPr>
              <w:t>than</w:t>
            </w:r>
            <w:r>
              <w:rPr>
                <w:color w:val="231F20"/>
                <w:spacing w:val="-3"/>
                <w:sz w:val="15"/>
              </w:rPr>
              <w:t> </w:t>
            </w:r>
            <w:r>
              <w:rPr>
                <w:color w:val="231F20"/>
                <w:sz w:val="15"/>
              </w:rPr>
              <w:t>6</w:t>
            </w:r>
            <w:r>
              <w:rPr>
                <w:color w:val="231F20"/>
                <w:spacing w:val="-3"/>
                <w:sz w:val="15"/>
              </w:rPr>
              <w:t> </w:t>
            </w:r>
            <w:r>
              <w:rPr>
                <w:color w:val="231F20"/>
                <w:spacing w:val="-5"/>
                <w:sz w:val="15"/>
              </w:rPr>
              <w:t>yr</w:t>
            </w:r>
          </w:p>
        </w:tc>
      </w:tr>
      <w:tr>
        <w:trPr>
          <w:trHeight w:val="252" w:hRule="atLeast"/>
        </w:trPr>
        <w:tc>
          <w:tcPr>
            <w:tcW w:w="415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Homeopathic</w:t>
            </w:r>
            <w:r>
              <w:rPr>
                <w:color w:val="231F20"/>
                <w:spacing w:val="18"/>
                <w:sz w:val="15"/>
              </w:rPr>
              <w:t> </w:t>
            </w:r>
            <w:r>
              <w:rPr>
                <w:color w:val="231F20"/>
                <w:spacing w:val="-2"/>
                <w:sz w:val="15"/>
              </w:rPr>
              <w:t>agents</w:t>
            </w:r>
          </w:p>
        </w:tc>
        <w:tc>
          <w:tcPr>
            <w:tcW w:w="5587" w:type="dxa"/>
            <w:tcBorders>
              <w:top w:val="single" w:sz="4" w:space="0" w:color="FFFFFF"/>
              <w:bottom w:val="single" w:sz="4" w:space="0" w:color="FFFFFF"/>
            </w:tcBorders>
            <w:shd w:val="clear" w:color="auto" w:fill="E8F5F1"/>
          </w:tcPr>
          <w:p>
            <w:pPr>
              <w:pStyle w:val="TableParagraph"/>
              <w:spacing w:before="42"/>
              <w:ind w:left="105"/>
              <w:rPr>
                <w:sz w:val="15"/>
              </w:rPr>
            </w:pPr>
            <w:r>
              <w:rPr>
                <w:color w:val="231F20"/>
                <w:sz w:val="15"/>
              </w:rPr>
              <w:t>No</w:t>
            </w:r>
            <w:r>
              <w:rPr>
                <w:color w:val="231F20"/>
                <w:spacing w:val="-6"/>
                <w:sz w:val="15"/>
              </w:rPr>
              <w:t> </w:t>
            </w:r>
            <w:r>
              <w:rPr>
                <w:color w:val="231F20"/>
                <w:sz w:val="15"/>
              </w:rPr>
              <w:t>controlled</w:t>
            </w:r>
            <w:r>
              <w:rPr>
                <w:color w:val="231F20"/>
                <w:spacing w:val="-5"/>
                <w:sz w:val="15"/>
              </w:rPr>
              <w:t> </w:t>
            </w:r>
            <w:r>
              <w:rPr>
                <w:color w:val="231F20"/>
                <w:sz w:val="15"/>
              </w:rPr>
              <w:t>studies</w:t>
            </w:r>
            <w:r>
              <w:rPr>
                <w:color w:val="231F20"/>
                <w:spacing w:val="-6"/>
                <w:sz w:val="15"/>
              </w:rPr>
              <w:t> </w:t>
            </w:r>
            <w:r>
              <w:rPr>
                <w:color w:val="231F20"/>
                <w:sz w:val="15"/>
              </w:rPr>
              <w:t>that</w:t>
            </w:r>
            <w:r>
              <w:rPr>
                <w:color w:val="231F20"/>
                <w:spacing w:val="-5"/>
                <w:sz w:val="15"/>
              </w:rPr>
              <w:t> </w:t>
            </w:r>
            <w:r>
              <w:rPr>
                <w:color w:val="231F20"/>
                <w:sz w:val="15"/>
              </w:rPr>
              <w:t>directly</w:t>
            </w:r>
            <w:r>
              <w:rPr>
                <w:color w:val="231F20"/>
                <w:spacing w:val="-6"/>
                <w:sz w:val="15"/>
              </w:rPr>
              <w:t> </w:t>
            </w:r>
            <w:r>
              <w:rPr>
                <w:color w:val="231F20"/>
                <w:sz w:val="15"/>
              </w:rPr>
              <w:t>address</w:t>
            </w:r>
            <w:r>
              <w:rPr>
                <w:color w:val="231F20"/>
                <w:spacing w:val="-5"/>
                <w:sz w:val="15"/>
              </w:rPr>
              <w:t> </w:t>
            </w:r>
            <w:r>
              <w:rPr>
                <w:color w:val="231F20"/>
                <w:spacing w:val="-4"/>
                <w:sz w:val="15"/>
              </w:rPr>
              <w:t>pain</w:t>
            </w:r>
          </w:p>
        </w:tc>
      </w:tr>
      <w:tr>
        <w:trPr>
          <w:trHeight w:val="420" w:hRule="atLeast"/>
        </w:trPr>
        <w:tc>
          <w:tcPr>
            <w:tcW w:w="4154"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Narcotic</w:t>
            </w:r>
            <w:r>
              <w:rPr>
                <w:color w:val="231F20"/>
                <w:spacing w:val="-5"/>
                <w:sz w:val="15"/>
              </w:rPr>
              <w:t> </w:t>
            </w:r>
            <w:r>
              <w:rPr>
                <w:color w:val="231F20"/>
                <w:sz w:val="15"/>
              </w:rPr>
              <w:t>analgesia</w:t>
            </w:r>
            <w:r>
              <w:rPr>
                <w:color w:val="231F20"/>
                <w:spacing w:val="-4"/>
                <w:sz w:val="15"/>
              </w:rPr>
              <w:t> </w:t>
            </w:r>
            <w:r>
              <w:rPr>
                <w:color w:val="231F20"/>
                <w:sz w:val="15"/>
              </w:rPr>
              <w:t>with</w:t>
            </w:r>
            <w:r>
              <w:rPr>
                <w:color w:val="231F20"/>
                <w:spacing w:val="-4"/>
                <w:sz w:val="15"/>
              </w:rPr>
              <w:t> </w:t>
            </w:r>
            <w:r>
              <w:rPr>
                <w:color w:val="231F20"/>
                <w:sz w:val="15"/>
              </w:rPr>
              <w:t>codeine</w:t>
            </w:r>
            <w:r>
              <w:rPr>
                <w:color w:val="231F20"/>
                <w:spacing w:val="-4"/>
                <w:sz w:val="15"/>
              </w:rPr>
              <w:t> </w:t>
            </w:r>
            <w:r>
              <w:rPr>
                <w:color w:val="231F20"/>
                <w:sz w:val="15"/>
              </w:rPr>
              <w:t>or</w:t>
            </w:r>
            <w:r>
              <w:rPr>
                <w:color w:val="231F20"/>
                <w:spacing w:val="-4"/>
                <w:sz w:val="15"/>
              </w:rPr>
              <w:t> </w:t>
            </w:r>
            <w:r>
              <w:rPr>
                <w:color w:val="231F20"/>
                <w:spacing w:val="-2"/>
                <w:sz w:val="15"/>
              </w:rPr>
              <w:t>analogs</w:t>
            </w:r>
          </w:p>
        </w:tc>
        <w:tc>
          <w:tcPr>
            <w:tcW w:w="5587" w:type="dxa"/>
            <w:tcBorders>
              <w:top w:val="single" w:sz="4" w:space="0" w:color="FFFFFF"/>
              <w:bottom w:val="single" w:sz="4" w:space="0" w:color="FFFFFF"/>
            </w:tcBorders>
            <w:shd w:val="clear" w:color="auto" w:fill="E8F5F1"/>
          </w:tcPr>
          <w:p>
            <w:pPr>
              <w:pStyle w:val="TableParagraph"/>
              <w:spacing w:line="230" w:lineRule="auto" w:before="48"/>
              <w:ind w:left="217" w:hanging="112"/>
              <w:rPr>
                <w:sz w:val="15"/>
              </w:rPr>
            </w:pPr>
            <w:r>
              <w:rPr>
                <w:color w:val="231F20"/>
                <w:sz w:val="15"/>
              </w:rPr>
              <w:t>Effective</w:t>
            </w:r>
            <w:r>
              <w:rPr>
                <w:color w:val="231F20"/>
                <w:spacing w:val="-1"/>
                <w:sz w:val="15"/>
              </w:rPr>
              <w:t> </w:t>
            </w:r>
            <w:r>
              <w:rPr>
                <w:color w:val="231F20"/>
                <w:sz w:val="15"/>
              </w:rPr>
              <w:t>for</w:t>
            </w:r>
            <w:r>
              <w:rPr>
                <w:color w:val="231F20"/>
                <w:spacing w:val="-1"/>
                <w:sz w:val="15"/>
              </w:rPr>
              <w:t> </w:t>
            </w:r>
            <w:r>
              <w:rPr>
                <w:color w:val="231F20"/>
                <w:sz w:val="15"/>
              </w:rPr>
              <w:t>moderate</w:t>
            </w:r>
            <w:r>
              <w:rPr>
                <w:color w:val="231F20"/>
                <w:spacing w:val="-1"/>
                <w:sz w:val="15"/>
              </w:rPr>
              <w:t> </w:t>
            </w:r>
            <w:r>
              <w:rPr>
                <w:color w:val="231F20"/>
                <w:sz w:val="15"/>
              </w:rPr>
              <w:t>or</w:t>
            </w:r>
            <w:r>
              <w:rPr>
                <w:color w:val="231F20"/>
                <w:spacing w:val="-1"/>
                <w:sz w:val="15"/>
              </w:rPr>
              <w:t> </w:t>
            </w:r>
            <w:r>
              <w:rPr>
                <w:color w:val="231F20"/>
                <w:sz w:val="15"/>
              </w:rPr>
              <w:t>severe</w:t>
            </w:r>
            <w:r>
              <w:rPr>
                <w:color w:val="231F20"/>
                <w:spacing w:val="-1"/>
                <w:sz w:val="15"/>
              </w:rPr>
              <w:t> </w:t>
            </w:r>
            <w:r>
              <w:rPr>
                <w:color w:val="231F20"/>
                <w:sz w:val="15"/>
              </w:rPr>
              <w:t>pain.</w:t>
            </w:r>
            <w:r>
              <w:rPr>
                <w:color w:val="231F20"/>
                <w:spacing w:val="-1"/>
                <w:sz w:val="15"/>
              </w:rPr>
              <w:t> </w:t>
            </w:r>
            <w:r>
              <w:rPr>
                <w:color w:val="231F20"/>
                <w:sz w:val="15"/>
              </w:rPr>
              <w:t>Requires</w:t>
            </w:r>
            <w:r>
              <w:rPr>
                <w:color w:val="231F20"/>
                <w:spacing w:val="-1"/>
                <w:sz w:val="15"/>
              </w:rPr>
              <w:t> </w:t>
            </w:r>
            <w:r>
              <w:rPr>
                <w:color w:val="231F20"/>
                <w:sz w:val="15"/>
              </w:rPr>
              <w:t>prescription;</w:t>
            </w:r>
            <w:r>
              <w:rPr>
                <w:color w:val="231F20"/>
                <w:spacing w:val="-1"/>
                <w:sz w:val="15"/>
              </w:rPr>
              <w:t> </w:t>
            </w:r>
            <w:r>
              <w:rPr>
                <w:color w:val="231F20"/>
                <w:sz w:val="15"/>
              </w:rPr>
              <w:t>risk</w:t>
            </w:r>
            <w:r>
              <w:rPr>
                <w:color w:val="231F20"/>
                <w:spacing w:val="-1"/>
                <w:sz w:val="15"/>
              </w:rPr>
              <w:t> </w:t>
            </w:r>
            <w:r>
              <w:rPr>
                <w:color w:val="231F20"/>
                <w:sz w:val="15"/>
              </w:rPr>
              <w:t>of</w:t>
            </w:r>
            <w:r>
              <w:rPr>
                <w:color w:val="231F20"/>
                <w:spacing w:val="-1"/>
                <w:sz w:val="15"/>
              </w:rPr>
              <w:t> </w:t>
            </w:r>
            <w:r>
              <w:rPr>
                <w:color w:val="231F20"/>
                <w:sz w:val="15"/>
              </w:rPr>
              <w:t>respiratory </w:t>
            </w:r>
            <w:r>
              <w:rPr>
                <w:color w:val="231F20"/>
                <w:spacing w:val="-2"/>
                <w:sz w:val="15"/>
              </w:rPr>
              <w:t>depression,</w:t>
            </w:r>
            <w:r>
              <w:rPr>
                <w:color w:val="231F20"/>
                <w:spacing w:val="-3"/>
                <w:sz w:val="15"/>
              </w:rPr>
              <w:t> </w:t>
            </w:r>
            <w:r>
              <w:rPr>
                <w:color w:val="231F20"/>
                <w:spacing w:val="-2"/>
                <w:sz w:val="15"/>
              </w:rPr>
              <w:t>altered</w:t>
            </w:r>
            <w:r>
              <w:rPr>
                <w:color w:val="231F20"/>
                <w:spacing w:val="-3"/>
                <w:sz w:val="15"/>
              </w:rPr>
              <w:t> </w:t>
            </w:r>
            <w:r>
              <w:rPr>
                <w:color w:val="231F20"/>
                <w:spacing w:val="-2"/>
                <w:sz w:val="15"/>
              </w:rPr>
              <w:t>mental</w:t>
            </w:r>
            <w:r>
              <w:rPr>
                <w:color w:val="231F20"/>
                <w:spacing w:val="-3"/>
                <w:sz w:val="15"/>
              </w:rPr>
              <w:t> </w:t>
            </w:r>
            <w:r>
              <w:rPr>
                <w:color w:val="231F20"/>
                <w:spacing w:val="-2"/>
                <w:sz w:val="15"/>
              </w:rPr>
              <w:t>status,</w:t>
            </w:r>
            <w:r>
              <w:rPr>
                <w:color w:val="231F20"/>
                <w:spacing w:val="-3"/>
                <w:sz w:val="15"/>
              </w:rPr>
              <w:t> </w:t>
            </w:r>
            <w:r>
              <w:rPr>
                <w:color w:val="231F20"/>
                <w:spacing w:val="-2"/>
                <w:sz w:val="15"/>
              </w:rPr>
              <w:t>gastrointestinal</w:t>
            </w:r>
            <w:r>
              <w:rPr>
                <w:color w:val="231F20"/>
                <w:spacing w:val="-3"/>
                <w:sz w:val="15"/>
              </w:rPr>
              <w:t> </w:t>
            </w:r>
            <w:r>
              <w:rPr>
                <w:color w:val="231F20"/>
                <w:spacing w:val="-2"/>
                <w:sz w:val="15"/>
              </w:rPr>
              <w:t>tract</w:t>
            </w:r>
            <w:r>
              <w:rPr>
                <w:color w:val="231F20"/>
                <w:spacing w:val="-3"/>
                <w:sz w:val="15"/>
              </w:rPr>
              <w:t> </w:t>
            </w:r>
            <w:r>
              <w:rPr>
                <w:color w:val="231F20"/>
                <w:spacing w:val="-2"/>
                <w:sz w:val="15"/>
              </w:rPr>
              <w:t>upset,</w:t>
            </w:r>
            <w:r>
              <w:rPr>
                <w:color w:val="231F20"/>
                <w:spacing w:val="-3"/>
                <w:sz w:val="15"/>
              </w:rPr>
              <w:t> </w:t>
            </w:r>
            <w:r>
              <w:rPr>
                <w:color w:val="231F20"/>
                <w:spacing w:val="-2"/>
                <w:sz w:val="15"/>
              </w:rPr>
              <w:t>and</w:t>
            </w:r>
            <w:r>
              <w:rPr>
                <w:color w:val="231F20"/>
                <w:spacing w:val="-3"/>
                <w:sz w:val="15"/>
              </w:rPr>
              <w:t> </w:t>
            </w:r>
            <w:r>
              <w:rPr>
                <w:color w:val="231F20"/>
                <w:spacing w:val="-2"/>
                <w:sz w:val="15"/>
              </w:rPr>
              <w:t>constipation</w:t>
            </w:r>
          </w:p>
        </w:tc>
      </w:tr>
      <w:tr>
        <w:trPr>
          <w:trHeight w:val="247" w:hRule="atLeast"/>
        </w:trPr>
        <w:tc>
          <w:tcPr>
            <w:tcW w:w="4154" w:type="dxa"/>
            <w:gridSpan w:val="2"/>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2"/>
                <w:sz w:val="15"/>
              </w:rPr>
              <w:t>Tympanostomy/myringotomy</w:t>
            </w:r>
          </w:p>
        </w:tc>
        <w:tc>
          <w:tcPr>
            <w:tcW w:w="5587" w:type="dxa"/>
            <w:tcBorders>
              <w:top w:val="single" w:sz="4" w:space="0" w:color="FFFFFF"/>
              <w:bottom w:val="single" w:sz="8" w:space="0" w:color="231F20"/>
            </w:tcBorders>
            <w:shd w:val="clear" w:color="auto" w:fill="E8F5F1"/>
          </w:tcPr>
          <w:p>
            <w:pPr>
              <w:pStyle w:val="TableParagraph"/>
              <w:spacing w:before="42"/>
              <w:ind w:left="105"/>
              <w:rPr>
                <w:sz w:val="15"/>
              </w:rPr>
            </w:pPr>
            <w:r>
              <w:rPr>
                <w:color w:val="231F20"/>
                <w:spacing w:val="-2"/>
                <w:sz w:val="15"/>
              </w:rPr>
              <w:t>Requires</w:t>
            </w:r>
            <w:r>
              <w:rPr>
                <w:color w:val="231F20"/>
                <w:sz w:val="15"/>
              </w:rPr>
              <w:t> </w:t>
            </w:r>
            <w:r>
              <w:rPr>
                <w:color w:val="231F20"/>
                <w:spacing w:val="-2"/>
                <w:sz w:val="15"/>
              </w:rPr>
              <w:t>skill</w:t>
            </w:r>
            <w:r>
              <w:rPr>
                <w:color w:val="231F20"/>
                <w:spacing w:val="1"/>
                <w:sz w:val="15"/>
              </w:rPr>
              <w:t> </w:t>
            </w:r>
            <w:r>
              <w:rPr>
                <w:color w:val="231F20"/>
                <w:spacing w:val="-2"/>
                <w:sz w:val="15"/>
              </w:rPr>
              <w:t>and</w:t>
            </w:r>
            <w:r>
              <w:rPr>
                <w:color w:val="231F20"/>
                <w:sz w:val="15"/>
              </w:rPr>
              <w:t> </w:t>
            </w:r>
            <w:r>
              <w:rPr>
                <w:color w:val="231F20"/>
                <w:spacing w:val="-2"/>
                <w:sz w:val="15"/>
              </w:rPr>
              <w:t>entails</w:t>
            </w:r>
            <w:r>
              <w:rPr>
                <w:color w:val="231F20"/>
                <w:spacing w:val="1"/>
                <w:sz w:val="15"/>
              </w:rPr>
              <w:t> </w:t>
            </w:r>
            <w:r>
              <w:rPr>
                <w:color w:val="231F20"/>
                <w:spacing w:val="-2"/>
                <w:sz w:val="15"/>
              </w:rPr>
              <w:t>potential</w:t>
            </w:r>
            <w:r>
              <w:rPr>
                <w:color w:val="231F20"/>
                <w:sz w:val="15"/>
              </w:rPr>
              <w:t> </w:t>
            </w:r>
            <w:r>
              <w:rPr>
                <w:color w:val="231F20"/>
                <w:spacing w:val="-4"/>
                <w:sz w:val="15"/>
              </w:rPr>
              <w:t>risk</w:t>
            </w:r>
          </w:p>
        </w:tc>
      </w:tr>
    </w:tbl>
    <w:p>
      <w:pPr>
        <w:spacing w:before="78"/>
        <w:ind w:left="326" w:right="0" w:firstLine="0"/>
        <w:jc w:val="left"/>
        <w:rPr>
          <w:i/>
          <w:sz w:val="13"/>
        </w:rPr>
      </w:pPr>
      <w:r>
        <w:rPr>
          <w:i/>
          <w:color w:val="231F20"/>
          <w:sz w:val="13"/>
        </w:rPr>
        <w:t>From</w:t>
      </w:r>
      <w:r>
        <w:rPr>
          <w:i/>
          <w:color w:val="231F20"/>
          <w:spacing w:val="-8"/>
          <w:sz w:val="13"/>
        </w:rPr>
        <w:t> </w:t>
      </w:r>
      <w:r>
        <w:rPr>
          <w:i/>
          <w:color w:val="231F20"/>
          <w:sz w:val="13"/>
        </w:rPr>
        <w:t>Lieberthal</w:t>
      </w:r>
      <w:r>
        <w:rPr>
          <w:i/>
          <w:color w:val="231F20"/>
          <w:spacing w:val="-7"/>
          <w:sz w:val="13"/>
        </w:rPr>
        <w:t> </w:t>
      </w:r>
      <w:r>
        <w:rPr>
          <w:i/>
          <w:color w:val="231F20"/>
          <w:sz w:val="13"/>
        </w:rPr>
        <w:t>AS,</w:t>
      </w:r>
      <w:r>
        <w:rPr>
          <w:i/>
          <w:color w:val="231F20"/>
          <w:spacing w:val="-8"/>
          <w:sz w:val="13"/>
        </w:rPr>
        <w:t> </w:t>
      </w:r>
      <w:r>
        <w:rPr>
          <w:i/>
          <w:color w:val="231F20"/>
          <w:sz w:val="13"/>
        </w:rPr>
        <w:t>Carroll</w:t>
      </w:r>
      <w:r>
        <w:rPr>
          <w:i/>
          <w:color w:val="231F20"/>
          <w:spacing w:val="-7"/>
          <w:sz w:val="13"/>
        </w:rPr>
        <w:t> </w:t>
      </w:r>
      <w:r>
        <w:rPr>
          <w:i/>
          <w:color w:val="231F20"/>
          <w:sz w:val="13"/>
        </w:rPr>
        <w:t>AE,</w:t>
      </w:r>
      <w:r>
        <w:rPr>
          <w:i/>
          <w:color w:val="231F20"/>
          <w:spacing w:val="-7"/>
          <w:sz w:val="13"/>
        </w:rPr>
        <w:t> </w:t>
      </w:r>
      <w:r>
        <w:rPr>
          <w:i/>
          <w:color w:val="231F20"/>
          <w:sz w:val="13"/>
        </w:rPr>
        <w:t>Chonmaitree</w:t>
      </w:r>
      <w:r>
        <w:rPr>
          <w:i/>
          <w:color w:val="231F20"/>
          <w:spacing w:val="-8"/>
          <w:sz w:val="13"/>
        </w:rPr>
        <w:t> </w:t>
      </w:r>
      <w:r>
        <w:rPr>
          <w:i/>
          <w:color w:val="231F20"/>
          <w:sz w:val="13"/>
        </w:rPr>
        <w:t>T,</w:t>
      </w:r>
      <w:r>
        <w:rPr>
          <w:i/>
          <w:color w:val="231F20"/>
          <w:spacing w:val="-7"/>
          <w:sz w:val="13"/>
        </w:rPr>
        <w:t> </w:t>
      </w:r>
      <w:r>
        <w:rPr>
          <w:i/>
          <w:color w:val="231F20"/>
          <w:sz w:val="13"/>
        </w:rPr>
        <w:t>et</w:t>
      </w:r>
      <w:r>
        <w:rPr>
          <w:i/>
          <w:color w:val="231F20"/>
          <w:spacing w:val="-7"/>
          <w:sz w:val="13"/>
        </w:rPr>
        <w:t> </w:t>
      </w:r>
      <w:r>
        <w:rPr>
          <w:i/>
          <w:color w:val="231F20"/>
          <w:sz w:val="13"/>
        </w:rPr>
        <w:t>al.</w:t>
      </w:r>
      <w:r>
        <w:rPr>
          <w:i/>
          <w:color w:val="231F20"/>
          <w:spacing w:val="-8"/>
          <w:sz w:val="13"/>
        </w:rPr>
        <w:t> </w:t>
      </w:r>
      <w:r>
        <w:rPr>
          <w:i/>
          <w:color w:val="231F20"/>
          <w:sz w:val="13"/>
        </w:rPr>
        <w:t>The</w:t>
      </w:r>
      <w:r>
        <w:rPr>
          <w:i/>
          <w:color w:val="231F20"/>
          <w:spacing w:val="-7"/>
          <w:sz w:val="13"/>
        </w:rPr>
        <w:t> </w:t>
      </w:r>
      <w:r>
        <w:rPr>
          <w:i/>
          <w:color w:val="231F20"/>
          <w:sz w:val="13"/>
        </w:rPr>
        <w:t>diagnosis</w:t>
      </w:r>
      <w:r>
        <w:rPr>
          <w:i/>
          <w:color w:val="231F20"/>
          <w:spacing w:val="-8"/>
          <w:sz w:val="13"/>
        </w:rPr>
        <w:t> </w:t>
      </w:r>
      <w:r>
        <w:rPr>
          <w:i/>
          <w:color w:val="231F20"/>
          <w:sz w:val="13"/>
        </w:rPr>
        <w:t>and</w:t>
      </w:r>
      <w:r>
        <w:rPr>
          <w:i/>
          <w:color w:val="231F20"/>
          <w:spacing w:val="-7"/>
          <w:sz w:val="13"/>
        </w:rPr>
        <w:t> </w:t>
      </w:r>
      <w:r>
        <w:rPr>
          <w:i/>
          <w:color w:val="231F20"/>
          <w:sz w:val="13"/>
        </w:rPr>
        <w:t>management</w:t>
      </w:r>
      <w:r>
        <w:rPr>
          <w:i/>
          <w:color w:val="231F20"/>
          <w:spacing w:val="-7"/>
          <w:sz w:val="13"/>
        </w:rPr>
        <w:t> </w:t>
      </w:r>
      <w:r>
        <w:rPr>
          <w:i/>
          <w:color w:val="231F20"/>
          <w:sz w:val="13"/>
        </w:rPr>
        <w:t>of</w:t>
      </w:r>
      <w:r>
        <w:rPr>
          <w:i/>
          <w:color w:val="231F20"/>
          <w:spacing w:val="-8"/>
          <w:sz w:val="13"/>
        </w:rPr>
        <w:t> </w:t>
      </w:r>
      <w:r>
        <w:rPr>
          <w:i/>
          <w:color w:val="231F20"/>
          <w:sz w:val="13"/>
        </w:rPr>
        <w:t>acute</w:t>
      </w:r>
      <w:r>
        <w:rPr>
          <w:i/>
          <w:color w:val="231F20"/>
          <w:spacing w:val="-7"/>
          <w:sz w:val="13"/>
        </w:rPr>
        <w:t> </w:t>
      </w:r>
      <w:r>
        <w:rPr>
          <w:i/>
          <w:color w:val="231F20"/>
          <w:sz w:val="13"/>
        </w:rPr>
        <w:t>otitis</w:t>
      </w:r>
      <w:r>
        <w:rPr>
          <w:i/>
          <w:color w:val="231F20"/>
          <w:spacing w:val="-7"/>
          <w:sz w:val="13"/>
        </w:rPr>
        <w:t> </w:t>
      </w:r>
      <w:r>
        <w:rPr>
          <w:i/>
          <w:color w:val="231F20"/>
          <w:sz w:val="13"/>
        </w:rPr>
        <w:t>media.</w:t>
      </w:r>
      <w:r>
        <w:rPr>
          <w:i/>
          <w:color w:val="231F20"/>
          <w:spacing w:val="-8"/>
          <w:sz w:val="13"/>
        </w:rPr>
        <w:t> </w:t>
      </w:r>
      <w:r>
        <w:rPr>
          <w:color w:val="231F20"/>
          <w:sz w:val="13"/>
        </w:rPr>
        <w:t>Pediatrics</w:t>
      </w:r>
      <w:r>
        <w:rPr>
          <w:color w:val="231F20"/>
          <w:spacing w:val="-7"/>
          <w:sz w:val="13"/>
        </w:rPr>
        <w:t> </w:t>
      </w:r>
      <w:r>
        <w:rPr>
          <w:i/>
          <w:color w:val="231F20"/>
          <w:sz w:val="13"/>
        </w:rPr>
        <w:t>131:e964-e999,</w:t>
      </w:r>
      <w:r>
        <w:rPr>
          <w:i/>
          <w:color w:val="231F20"/>
          <w:spacing w:val="-7"/>
          <w:sz w:val="13"/>
        </w:rPr>
        <w:t> </w:t>
      </w:r>
      <w:r>
        <w:rPr>
          <w:i/>
          <w:color w:val="231F20"/>
          <w:sz w:val="13"/>
        </w:rPr>
        <w:t>2013,</w:t>
      </w:r>
      <w:r>
        <w:rPr>
          <w:i/>
          <w:color w:val="231F20"/>
          <w:spacing w:val="-8"/>
          <w:sz w:val="13"/>
        </w:rPr>
        <w:t> </w:t>
      </w:r>
      <w:r>
        <w:rPr>
          <w:i/>
          <w:color w:val="231F20"/>
          <w:sz w:val="13"/>
        </w:rPr>
        <w:t>Table</w:t>
      </w:r>
      <w:r>
        <w:rPr>
          <w:i/>
          <w:color w:val="231F20"/>
          <w:spacing w:val="-7"/>
          <w:sz w:val="13"/>
        </w:rPr>
        <w:t> </w:t>
      </w:r>
      <w:r>
        <w:rPr>
          <w:i/>
          <w:color w:val="231F20"/>
          <w:spacing w:val="-5"/>
          <w:sz w:val="13"/>
        </w:rPr>
        <w:t>3.</w:t>
      </w:r>
    </w:p>
    <w:p>
      <w:pPr>
        <w:pStyle w:val="BodyText"/>
        <w:spacing w:before="5"/>
        <w:rPr>
          <w:i/>
          <w:sz w:val="12"/>
        </w:rPr>
      </w:pPr>
    </w:p>
    <w:p>
      <w:pPr>
        <w:pStyle w:val="BodyText"/>
        <w:ind w:left="-273"/>
        <w:rPr>
          <w:sz w:val="20"/>
        </w:rPr>
      </w:pPr>
      <w:r>
        <w:rPr>
          <w:sz w:val="20"/>
        </w:rPr>
        <mc:AlternateContent>
          <mc:Choice Requires="wps">
            <w:drawing>
              <wp:inline distT="0" distB="0" distL="0" distR="0">
                <wp:extent cx="1745614" cy="879475"/>
                <wp:effectExtent l="0" t="0" r="0" b="6350"/>
                <wp:docPr id="1498" name="Group 1498"/>
                <wp:cNvGraphicFramePr>
                  <a:graphicFrameLocks/>
                </wp:cNvGraphicFramePr>
                <a:graphic>
                  <a:graphicData uri="http://schemas.microsoft.com/office/word/2010/wordprocessingGroup">
                    <wpg:wgp>
                      <wpg:cNvPr id="1498" name="Group 1498"/>
                      <wpg:cNvGrpSpPr/>
                      <wpg:grpSpPr>
                        <a:xfrm>
                          <a:off x="0" y="0"/>
                          <a:ext cx="1745614" cy="879475"/>
                          <a:chExt cx="1745614" cy="879475"/>
                        </a:xfrm>
                      </wpg:grpSpPr>
                      <wps:wsp>
                        <wps:cNvPr id="1499" name="Graphic 1499"/>
                        <wps:cNvSpPr/>
                        <wps:spPr>
                          <a:xfrm>
                            <a:off x="872718" y="289288"/>
                            <a:ext cx="1270" cy="129539"/>
                          </a:xfrm>
                          <a:custGeom>
                            <a:avLst/>
                            <a:gdLst/>
                            <a:ahLst/>
                            <a:cxnLst/>
                            <a:rect l="l" t="t" r="r" b="b"/>
                            <a:pathLst>
                              <a:path w="0" h="129539">
                                <a:moveTo>
                                  <a:pt x="0" y="0"/>
                                </a:moveTo>
                                <a:lnTo>
                                  <a:pt x="0" y="129312"/>
                                </a:lnTo>
                              </a:path>
                            </a:pathLst>
                          </a:custGeom>
                          <a:ln w="11849">
                            <a:solidFill>
                              <a:srgbClr val="231F20"/>
                            </a:solidFill>
                            <a:prstDash val="solid"/>
                          </a:ln>
                        </wps:spPr>
                        <wps:bodyPr wrap="square" lIns="0" tIns="0" rIns="0" bIns="0" rtlCol="0">
                          <a:prstTxWarp prst="textNoShape">
                            <a:avLst/>
                          </a:prstTxWarp>
                          <a:noAutofit/>
                        </wps:bodyPr>
                      </wps:wsp>
                      <wps:wsp>
                        <wps:cNvPr id="1500" name="Graphic 1500"/>
                        <wps:cNvSpPr/>
                        <wps:spPr>
                          <a:xfrm>
                            <a:off x="834186" y="391212"/>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01" name="Graphic 1501"/>
                        <wps:cNvSpPr/>
                        <wps:spPr>
                          <a:xfrm>
                            <a:off x="872718" y="686271"/>
                            <a:ext cx="1270" cy="126364"/>
                          </a:xfrm>
                          <a:custGeom>
                            <a:avLst/>
                            <a:gdLst/>
                            <a:ahLst/>
                            <a:cxnLst/>
                            <a:rect l="l" t="t" r="r" b="b"/>
                            <a:pathLst>
                              <a:path w="0" h="126364">
                                <a:moveTo>
                                  <a:pt x="0" y="0"/>
                                </a:moveTo>
                                <a:lnTo>
                                  <a:pt x="0" y="126042"/>
                                </a:lnTo>
                              </a:path>
                            </a:pathLst>
                          </a:custGeom>
                          <a:ln w="11849">
                            <a:solidFill>
                              <a:srgbClr val="231F20"/>
                            </a:solidFill>
                            <a:prstDash val="solid"/>
                          </a:ln>
                        </wps:spPr>
                        <wps:bodyPr wrap="square" lIns="0" tIns="0" rIns="0" bIns="0" rtlCol="0">
                          <a:prstTxWarp prst="textNoShape">
                            <a:avLst/>
                          </a:prstTxWarp>
                          <a:noAutofit/>
                        </wps:bodyPr>
                      </wps:wsp>
                      <wps:wsp>
                        <wps:cNvPr id="1502" name="Graphic 1502"/>
                        <wps:cNvSpPr/>
                        <wps:spPr>
                          <a:xfrm>
                            <a:off x="834186" y="784924"/>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03" name="Textbox 1503"/>
                        <wps:cNvSpPr txBox="1"/>
                        <wps:spPr>
                          <a:xfrm>
                            <a:off x="366288" y="5924"/>
                            <a:ext cx="1012825" cy="283845"/>
                          </a:xfrm>
                          <a:prstGeom prst="rect">
                            <a:avLst/>
                          </a:prstGeom>
                          <a:solidFill>
                            <a:srgbClr val="F8EBD0"/>
                          </a:solidFill>
                          <a:ln w="11849">
                            <a:solidFill>
                              <a:srgbClr val="231F20"/>
                            </a:solidFill>
                            <a:prstDash val="solid"/>
                          </a:ln>
                        </wps:spPr>
                        <wps:txbx>
                          <w:txbxContent>
                            <w:p>
                              <w:pPr>
                                <w:spacing w:line="252" w:lineRule="auto" w:before="58"/>
                                <w:ind w:left="307" w:right="0" w:hanging="214"/>
                                <w:jc w:val="left"/>
                                <w:rPr>
                                  <w:rFonts w:ascii="Arial MT"/>
                                  <w:color w:val="000000"/>
                                  <w:sz w:val="13"/>
                                </w:rPr>
                              </w:pPr>
                              <w:r>
                                <w:rPr>
                                  <w:rFonts w:ascii="Arial MT"/>
                                  <w:color w:val="231F20"/>
                                  <w:sz w:val="13"/>
                                </w:rPr>
                                <w:t>Patient</w:t>
                              </w:r>
                              <w:r>
                                <w:rPr>
                                  <w:rFonts w:ascii="Arial MT"/>
                                  <w:color w:val="231F20"/>
                                  <w:spacing w:val="-7"/>
                                  <w:sz w:val="13"/>
                                </w:rPr>
                                <w:t> </w:t>
                              </w:r>
                              <w:r>
                                <w:rPr>
                                  <w:rFonts w:ascii="Arial MT"/>
                                  <w:color w:val="231F20"/>
                                  <w:sz w:val="13"/>
                                </w:rPr>
                                <w:t>age</w:t>
                              </w:r>
                              <w:r>
                                <w:rPr>
                                  <w:rFonts w:ascii="Arial MT"/>
                                  <w:color w:val="231F20"/>
                                  <w:spacing w:val="-7"/>
                                  <w:sz w:val="13"/>
                                </w:rPr>
                                <w:t> </w:t>
                              </w:r>
                              <w:r>
                                <w:rPr>
                                  <w:rFonts w:ascii="Arial MT"/>
                                  <w:color w:val="231F20"/>
                                  <w:sz w:val="13"/>
                                </w:rPr>
                                <w:t>2</w:t>
                              </w:r>
                              <w:r>
                                <w:rPr>
                                  <w:rFonts w:ascii="Arial MT"/>
                                  <w:color w:val="231F20"/>
                                  <w:spacing w:val="-7"/>
                                  <w:sz w:val="13"/>
                                </w:rPr>
                                <w:t> </w:t>
                              </w:r>
                              <w:r>
                                <w:rPr>
                                  <w:rFonts w:ascii="Arial MT"/>
                                  <w:color w:val="231F20"/>
                                  <w:sz w:val="13"/>
                                </w:rPr>
                                <w:t>yr</w:t>
                              </w:r>
                              <w:r>
                                <w:rPr>
                                  <w:rFonts w:ascii="Arial MT"/>
                                  <w:color w:val="231F20"/>
                                  <w:spacing w:val="-7"/>
                                  <w:sz w:val="13"/>
                                </w:rPr>
                                <w:t> </w:t>
                              </w:r>
                              <w:r>
                                <w:rPr>
                                  <w:rFonts w:ascii="Arial MT"/>
                                  <w:color w:val="231F20"/>
                                  <w:sz w:val="13"/>
                                </w:rPr>
                                <w:t>or</w:t>
                              </w:r>
                              <w:r>
                                <w:rPr>
                                  <w:rFonts w:ascii="Arial MT"/>
                                  <w:color w:val="231F20"/>
                                  <w:spacing w:val="-7"/>
                                  <w:sz w:val="13"/>
                                </w:rPr>
                                <w:t> </w:t>
                              </w:r>
                              <w:r>
                                <w:rPr>
                                  <w:rFonts w:ascii="Arial MT"/>
                                  <w:color w:val="231F20"/>
                                  <w:sz w:val="13"/>
                                </w:rPr>
                                <w:t>older</w:t>
                              </w:r>
                              <w:r>
                                <w:rPr>
                                  <w:rFonts w:ascii="Arial MT"/>
                                  <w:color w:val="231F20"/>
                                  <w:spacing w:val="40"/>
                                  <w:sz w:val="13"/>
                                </w:rPr>
                                <w:t> </w:t>
                              </w:r>
                              <w:r>
                                <w:rPr>
                                  <w:rFonts w:ascii="Arial MT"/>
                                  <w:color w:val="231F20"/>
                                  <w:sz w:val="13"/>
                                </w:rPr>
                                <w:t>with diffuse AOE</w:t>
                              </w:r>
                            </w:p>
                          </w:txbxContent>
                        </wps:txbx>
                        <wps:bodyPr wrap="square" lIns="0" tIns="0" rIns="0" bIns="0" rtlCol="0">
                          <a:noAutofit/>
                        </wps:bodyPr>
                      </wps:wsp>
                      <wps:wsp>
                        <wps:cNvPr id="1504" name="Textbox 1504"/>
                        <wps:cNvSpPr txBox="1"/>
                        <wps:spPr>
                          <a:xfrm>
                            <a:off x="5924" y="493364"/>
                            <a:ext cx="1733550" cy="193040"/>
                          </a:xfrm>
                          <a:prstGeom prst="rect">
                            <a:avLst/>
                          </a:prstGeom>
                          <a:solidFill>
                            <a:srgbClr val="D1E4F6"/>
                          </a:solidFill>
                          <a:ln w="11849">
                            <a:solidFill>
                              <a:srgbClr val="231F20"/>
                            </a:solidFill>
                            <a:prstDash val="solid"/>
                          </a:ln>
                        </wps:spPr>
                        <wps:txbx>
                          <w:txbxContent>
                            <w:p>
                              <w:pPr>
                                <w:spacing w:before="67"/>
                                <w:ind w:left="83" w:right="0" w:firstLine="0"/>
                                <w:jc w:val="left"/>
                                <w:rPr>
                                  <w:rFonts w:ascii="Arial MT"/>
                                  <w:color w:val="000000"/>
                                  <w:sz w:val="13"/>
                                </w:rPr>
                              </w:pPr>
                              <w:r>
                                <w:rPr>
                                  <w:rFonts w:ascii="Arial MT"/>
                                  <w:color w:val="231F20"/>
                                  <w:sz w:val="13"/>
                                </w:rPr>
                                <w:t>Prescribe</w:t>
                              </w:r>
                              <w:r>
                                <w:rPr>
                                  <w:rFonts w:ascii="Arial MT"/>
                                  <w:color w:val="231F20"/>
                                  <w:spacing w:val="-4"/>
                                  <w:sz w:val="13"/>
                                </w:rPr>
                                <w:t> </w:t>
                              </w:r>
                              <w:r>
                                <w:rPr>
                                  <w:rFonts w:ascii="Arial MT"/>
                                  <w:color w:val="231F20"/>
                                  <w:sz w:val="13"/>
                                </w:rPr>
                                <w:t>analgesics</w:t>
                              </w:r>
                              <w:r>
                                <w:rPr>
                                  <w:rFonts w:ascii="Arial MT"/>
                                  <w:color w:val="231F20"/>
                                  <w:spacing w:val="-3"/>
                                  <w:sz w:val="13"/>
                                </w:rPr>
                                <w:t> </w:t>
                              </w:r>
                              <w:r>
                                <w:rPr>
                                  <w:rFonts w:ascii="Arial MT"/>
                                  <w:color w:val="231F20"/>
                                  <w:sz w:val="13"/>
                                </w:rPr>
                                <w:t>based</w:t>
                              </w:r>
                              <w:r>
                                <w:rPr>
                                  <w:rFonts w:ascii="Arial MT"/>
                                  <w:color w:val="231F20"/>
                                  <w:spacing w:val="-3"/>
                                  <w:sz w:val="13"/>
                                </w:rPr>
                                <w:t> </w:t>
                              </w:r>
                              <w:r>
                                <w:rPr>
                                  <w:rFonts w:ascii="Arial MT"/>
                                  <w:color w:val="231F20"/>
                                  <w:sz w:val="13"/>
                                </w:rPr>
                                <w:t>on</w:t>
                              </w:r>
                              <w:r>
                                <w:rPr>
                                  <w:rFonts w:ascii="Arial MT"/>
                                  <w:color w:val="231F20"/>
                                  <w:spacing w:val="-3"/>
                                  <w:sz w:val="13"/>
                                </w:rPr>
                                <w:t> </w:t>
                              </w:r>
                              <w:r>
                                <w:rPr>
                                  <w:rFonts w:ascii="Arial MT"/>
                                  <w:color w:val="231F20"/>
                                  <w:sz w:val="13"/>
                                </w:rPr>
                                <w:t>pain</w:t>
                              </w:r>
                              <w:r>
                                <w:rPr>
                                  <w:rFonts w:ascii="Arial MT"/>
                                  <w:color w:val="231F20"/>
                                  <w:spacing w:val="-3"/>
                                  <w:sz w:val="13"/>
                                </w:rPr>
                                <w:t> </w:t>
                              </w:r>
                              <w:r>
                                <w:rPr>
                                  <w:rFonts w:ascii="Arial MT"/>
                                  <w:color w:val="231F20"/>
                                  <w:spacing w:val="-2"/>
                                  <w:sz w:val="13"/>
                                </w:rPr>
                                <w:t>severity</w:t>
                              </w:r>
                            </w:p>
                          </w:txbxContent>
                        </wps:txbx>
                        <wps:bodyPr wrap="square" lIns="0" tIns="0" rIns="0" bIns="0" rtlCol="0">
                          <a:noAutofit/>
                        </wps:bodyPr>
                      </wps:wsp>
                    </wpg:wgp>
                  </a:graphicData>
                </a:graphic>
              </wp:inline>
            </w:drawing>
          </mc:Choice>
          <mc:Fallback>
            <w:pict>
              <v:group style="width:137.450pt;height:69.25pt;mso-position-horizontal-relative:char;mso-position-vertical-relative:line" id="docshapegroup1188" coordorigin="0,0" coordsize="2749,1385">
                <v:line style="position:absolute" from="1374,456" to="1374,659" stroked="true" strokeweight=".933014pt" strokecolor="#231f20">
                  <v:stroke dashstyle="solid"/>
                </v:line>
                <v:shape style="position:absolute;left:1313;top:616;width:122;height:149" id="docshape1189" coordorigin="1314,616" coordsize="122,149" path="m1435,616l1374,651,1314,616,1374,765,1435,616xe" filled="true" fillcolor="#231f20" stroked="false">
                  <v:path arrowok="t"/>
                  <v:fill type="solid"/>
                </v:shape>
                <v:line style="position:absolute" from="1374,1081" to="1374,1279" stroked="true" strokeweight=".933014pt" strokecolor="#231f20">
                  <v:stroke dashstyle="solid"/>
                </v:line>
                <v:shape style="position:absolute;left:1313;top:1236;width:122;height:149" id="docshape1190" coordorigin="1314,1236" coordsize="122,149" path="m1435,1236l1374,1271,1314,1236,1374,1385,1435,1236xe" filled="true" fillcolor="#231f20" stroked="false">
                  <v:path arrowok="t"/>
                  <v:fill type="solid"/>
                </v:shape>
                <v:shape style="position:absolute;left:576;top:9;width:1595;height:447" type="#_x0000_t202" id="docshape1191" filled="true" fillcolor="#f8ebd0" stroked="true" strokeweight=".933014pt" strokecolor="#231f20">
                  <v:textbox inset="0,0,0,0">
                    <w:txbxContent>
                      <w:p>
                        <w:pPr>
                          <w:spacing w:line="252" w:lineRule="auto" w:before="58"/>
                          <w:ind w:left="307" w:right="0" w:hanging="214"/>
                          <w:jc w:val="left"/>
                          <w:rPr>
                            <w:rFonts w:ascii="Arial MT"/>
                            <w:color w:val="000000"/>
                            <w:sz w:val="13"/>
                          </w:rPr>
                        </w:pPr>
                        <w:r>
                          <w:rPr>
                            <w:rFonts w:ascii="Arial MT"/>
                            <w:color w:val="231F20"/>
                            <w:sz w:val="13"/>
                          </w:rPr>
                          <w:t>Patient</w:t>
                        </w:r>
                        <w:r>
                          <w:rPr>
                            <w:rFonts w:ascii="Arial MT"/>
                            <w:color w:val="231F20"/>
                            <w:spacing w:val="-7"/>
                            <w:sz w:val="13"/>
                          </w:rPr>
                          <w:t> </w:t>
                        </w:r>
                        <w:r>
                          <w:rPr>
                            <w:rFonts w:ascii="Arial MT"/>
                            <w:color w:val="231F20"/>
                            <w:sz w:val="13"/>
                          </w:rPr>
                          <w:t>age</w:t>
                        </w:r>
                        <w:r>
                          <w:rPr>
                            <w:rFonts w:ascii="Arial MT"/>
                            <w:color w:val="231F20"/>
                            <w:spacing w:val="-7"/>
                            <w:sz w:val="13"/>
                          </w:rPr>
                          <w:t> </w:t>
                        </w:r>
                        <w:r>
                          <w:rPr>
                            <w:rFonts w:ascii="Arial MT"/>
                            <w:color w:val="231F20"/>
                            <w:sz w:val="13"/>
                          </w:rPr>
                          <w:t>2</w:t>
                        </w:r>
                        <w:r>
                          <w:rPr>
                            <w:rFonts w:ascii="Arial MT"/>
                            <w:color w:val="231F20"/>
                            <w:spacing w:val="-7"/>
                            <w:sz w:val="13"/>
                          </w:rPr>
                          <w:t> </w:t>
                        </w:r>
                        <w:r>
                          <w:rPr>
                            <w:rFonts w:ascii="Arial MT"/>
                            <w:color w:val="231F20"/>
                            <w:sz w:val="13"/>
                          </w:rPr>
                          <w:t>yr</w:t>
                        </w:r>
                        <w:r>
                          <w:rPr>
                            <w:rFonts w:ascii="Arial MT"/>
                            <w:color w:val="231F20"/>
                            <w:spacing w:val="-7"/>
                            <w:sz w:val="13"/>
                          </w:rPr>
                          <w:t> </w:t>
                        </w:r>
                        <w:r>
                          <w:rPr>
                            <w:rFonts w:ascii="Arial MT"/>
                            <w:color w:val="231F20"/>
                            <w:sz w:val="13"/>
                          </w:rPr>
                          <w:t>or</w:t>
                        </w:r>
                        <w:r>
                          <w:rPr>
                            <w:rFonts w:ascii="Arial MT"/>
                            <w:color w:val="231F20"/>
                            <w:spacing w:val="-7"/>
                            <w:sz w:val="13"/>
                          </w:rPr>
                          <w:t> </w:t>
                        </w:r>
                        <w:r>
                          <w:rPr>
                            <w:rFonts w:ascii="Arial MT"/>
                            <w:color w:val="231F20"/>
                            <w:sz w:val="13"/>
                          </w:rPr>
                          <w:t>older</w:t>
                        </w:r>
                        <w:r>
                          <w:rPr>
                            <w:rFonts w:ascii="Arial MT"/>
                            <w:color w:val="231F20"/>
                            <w:spacing w:val="40"/>
                            <w:sz w:val="13"/>
                          </w:rPr>
                          <w:t> </w:t>
                        </w:r>
                        <w:r>
                          <w:rPr>
                            <w:rFonts w:ascii="Arial MT"/>
                            <w:color w:val="231F20"/>
                            <w:sz w:val="13"/>
                          </w:rPr>
                          <w:t>with diffuse AOE</w:t>
                        </w:r>
                      </w:p>
                    </w:txbxContent>
                  </v:textbox>
                  <v:fill type="solid"/>
                  <v:stroke dashstyle="solid"/>
                  <w10:wrap type="none"/>
                </v:shape>
                <v:shape style="position:absolute;left:9;top:776;width:2730;height:304" type="#_x0000_t202" id="docshape1192" filled="true" fillcolor="#d1e4f6" stroked="true" strokeweight=".933014pt" strokecolor="#231f20">
                  <v:textbox inset="0,0,0,0">
                    <w:txbxContent>
                      <w:p>
                        <w:pPr>
                          <w:spacing w:before="67"/>
                          <w:ind w:left="83" w:right="0" w:firstLine="0"/>
                          <w:jc w:val="left"/>
                          <w:rPr>
                            <w:rFonts w:ascii="Arial MT"/>
                            <w:color w:val="000000"/>
                            <w:sz w:val="13"/>
                          </w:rPr>
                        </w:pPr>
                        <w:r>
                          <w:rPr>
                            <w:rFonts w:ascii="Arial MT"/>
                            <w:color w:val="231F20"/>
                            <w:sz w:val="13"/>
                          </w:rPr>
                          <w:t>Prescribe</w:t>
                        </w:r>
                        <w:r>
                          <w:rPr>
                            <w:rFonts w:ascii="Arial MT"/>
                            <w:color w:val="231F20"/>
                            <w:spacing w:val="-4"/>
                            <w:sz w:val="13"/>
                          </w:rPr>
                          <w:t> </w:t>
                        </w:r>
                        <w:r>
                          <w:rPr>
                            <w:rFonts w:ascii="Arial MT"/>
                            <w:color w:val="231F20"/>
                            <w:sz w:val="13"/>
                          </w:rPr>
                          <w:t>analgesics</w:t>
                        </w:r>
                        <w:r>
                          <w:rPr>
                            <w:rFonts w:ascii="Arial MT"/>
                            <w:color w:val="231F20"/>
                            <w:spacing w:val="-3"/>
                            <w:sz w:val="13"/>
                          </w:rPr>
                          <w:t> </w:t>
                        </w:r>
                        <w:r>
                          <w:rPr>
                            <w:rFonts w:ascii="Arial MT"/>
                            <w:color w:val="231F20"/>
                            <w:sz w:val="13"/>
                          </w:rPr>
                          <w:t>based</w:t>
                        </w:r>
                        <w:r>
                          <w:rPr>
                            <w:rFonts w:ascii="Arial MT"/>
                            <w:color w:val="231F20"/>
                            <w:spacing w:val="-3"/>
                            <w:sz w:val="13"/>
                          </w:rPr>
                          <w:t> </w:t>
                        </w:r>
                        <w:r>
                          <w:rPr>
                            <w:rFonts w:ascii="Arial MT"/>
                            <w:color w:val="231F20"/>
                            <w:sz w:val="13"/>
                          </w:rPr>
                          <w:t>on</w:t>
                        </w:r>
                        <w:r>
                          <w:rPr>
                            <w:rFonts w:ascii="Arial MT"/>
                            <w:color w:val="231F20"/>
                            <w:spacing w:val="-3"/>
                            <w:sz w:val="13"/>
                          </w:rPr>
                          <w:t> </w:t>
                        </w:r>
                        <w:r>
                          <w:rPr>
                            <w:rFonts w:ascii="Arial MT"/>
                            <w:color w:val="231F20"/>
                            <w:sz w:val="13"/>
                          </w:rPr>
                          <w:t>pain</w:t>
                        </w:r>
                        <w:r>
                          <w:rPr>
                            <w:rFonts w:ascii="Arial MT"/>
                            <w:color w:val="231F20"/>
                            <w:spacing w:val="-3"/>
                            <w:sz w:val="13"/>
                          </w:rPr>
                          <w:t> </w:t>
                        </w:r>
                        <w:r>
                          <w:rPr>
                            <w:rFonts w:ascii="Arial MT"/>
                            <w:color w:val="231F20"/>
                            <w:spacing w:val="-2"/>
                            <w:sz w:val="13"/>
                          </w:rPr>
                          <w:t>severity</w:t>
                        </w:r>
                      </w:p>
                    </w:txbxContent>
                  </v:textbox>
                  <v:fill type="solid"/>
                  <v:stroke dashstyle="solid"/>
                  <w10:wrap type="none"/>
                </v:shape>
              </v:group>
            </w:pict>
          </mc:Fallback>
        </mc:AlternateContent>
      </w:r>
      <w:r>
        <w:rPr>
          <w:sz w:val="20"/>
        </w:rPr>
      </w:r>
    </w:p>
    <w:p>
      <w:pPr>
        <w:pStyle w:val="BodyText"/>
        <w:rPr>
          <w:i/>
          <w:sz w:val="20"/>
        </w:rPr>
      </w:pPr>
    </w:p>
    <w:p>
      <w:pPr>
        <w:pStyle w:val="BodyText"/>
        <w:rPr>
          <w:i/>
          <w:sz w:val="20"/>
        </w:rPr>
      </w:pPr>
    </w:p>
    <w:p>
      <w:pPr>
        <w:pStyle w:val="BodyText"/>
        <w:spacing w:before="118"/>
        <w:rPr>
          <w:i/>
          <w:sz w:val="20"/>
        </w:rPr>
      </w:pPr>
    </w:p>
    <w:p>
      <w:pPr>
        <w:pStyle w:val="BodyText"/>
        <w:spacing w:after="0"/>
        <w:rPr>
          <w:i/>
          <w:sz w:val="20"/>
        </w:rPr>
        <w:sectPr>
          <w:pgSz w:w="11900" w:h="16840"/>
          <w:pgMar w:header="0" w:footer="0" w:top="1180" w:bottom="280" w:left="708" w:right="566"/>
        </w:sectPr>
      </w:pPr>
    </w:p>
    <w:p>
      <w:pPr>
        <w:pStyle w:val="BodyText"/>
        <w:rPr>
          <w:i/>
          <w:sz w:val="15"/>
        </w:rPr>
      </w:pPr>
    </w:p>
    <w:p>
      <w:pPr>
        <w:pStyle w:val="BodyText"/>
        <w:rPr>
          <w:i/>
          <w:sz w:val="15"/>
        </w:rPr>
      </w:pPr>
    </w:p>
    <w:p>
      <w:pPr>
        <w:pStyle w:val="BodyText"/>
        <w:rPr>
          <w:i/>
          <w:sz w:val="15"/>
        </w:rPr>
      </w:pPr>
    </w:p>
    <w:p>
      <w:pPr>
        <w:pStyle w:val="BodyText"/>
        <w:rPr>
          <w:i/>
          <w:sz w:val="15"/>
        </w:rPr>
      </w:pPr>
    </w:p>
    <w:p>
      <w:pPr>
        <w:pStyle w:val="BodyText"/>
        <w:rPr>
          <w:i/>
          <w:sz w:val="15"/>
        </w:rPr>
      </w:pPr>
    </w:p>
    <w:p>
      <w:pPr>
        <w:pStyle w:val="BodyText"/>
        <w:rPr>
          <w:i/>
          <w:sz w:val="15"/>
        </w:rPr>
      </w:pPr>
    </w:p>
    <w:p>
      <w:pPr>
        <w:pStyle w:val="BodyText"/>
        <w:spacing w:before="50"/>
        <w:rPr>
          <w:i/>
          <w:sz w:val="15"/>
        </w:rPr>
      </w:pPr>
    </w:p>
    <w:p>
      <w:pPr>
        <w:spacing w:before="0"/>
        <w:ind w:left="0" w:right="0" w:firstLine="0"/>
        <w:jc w:val="right"/>
        <w:rPr>
          <w:rFonts w:ascii="Arial"/>
          <w:b/>
          <w:sz w:val="15"/>
        </w:rPr>
      </w:pPr>
      <w:r>
        <w:rPr>
          <w:rFonts w:ascii="Arial"/>
          <w:b/>
          <w:color w:val="231F20"/>
          <w:spacing w:val="-5"/>
          <w:sz w:val="15"/>
        </w:rPr>
        <w:t>No</w:t>
      </w: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spacing w:before="162"/>
        <w:rPr>
          <w:rFonts w:ascii="Arial"/>
          <w:b/>
          <w:sz w:val="15"/>
        </w:rPr>
      </w:pPr>
    </w:p>
    <w:p>
      <w:pPr>
        <w:spacing w:before="0"/>
        <w:ind w:left="0" w:right="5" w:firstLine="0"/>
        <w:jc w:val="right"/>
        <w:rPr>
          <w:rFonts w:ascii="Arial"/>
          <w:b/>
          <w:sz w:val="15"/>
        </w:rPr>
      </w:pPr>
      <w:r>
        <w:rPr>
          <w:rFonts w:ascii="Arial"/>
          <w:b/>
          <w:color w:val="231F20"/>
          <w:spacing w:val="-5"/>
          <w:sz w:val="15"/>
        </w:rPr>
        <w:t>No</w:t>
      </w:r>
    </w:p>
    <w:p>
      <w:pPr>
        <w:pStyle w:val="BodyText"/>
        <w:spacing w:line="252" w:lineRule="auto" w:before="79"/>
        <w:ind w:left="536" w:hanging="5"/>
        <w:jc w:val="center"/>
        <w:rPr>
          <w:rFonts w:ascii="Arial MT"/>
        </w:rPr>
      </w:pPr>
      <w:r>
        <w:rPr/>
        <w:br w:type="column"/>
      </w:r>
      <w:r>
        <w:rPr>
          <w:rFonts w:ascii="Arial MT"/>
          <w:color w:val="231F20"/>
        </w:rPr>
        <w:t>*Factors requiring systemic therapy include</w:t>
      </w:r>
      <w:r>
        <w:rPr>
          <w:rFonts w:ascii="Arial MT"/>
          <w:color w:val="231F20"/>
          <w:spacing w:val="40"/>
        </w:rPr>
        <w:t> </w:t>
      </w:r>
      <w:r>
        <w:rPr>
          <w:rFonts w:ascii="Arial MT"/>
          <w:color w:val="231F20"/>
        </w:rPr>
        <w:t>diabetes, immune deficiency, or inability to</w:t>
      </w:r>
      <w:r>
        <w:rPr>
          <w:rFonts w:ascii="Arial MT"/>
          <w:color w:val="231F20"/>
          <w:spacing w:val="40"/>
        </w:rPr>
        <w:t> </w:t>
      </w:r>
      <w:r>
        <w:rPr>
          <w:rFonts w:ascii="Arial MT"/>
          <w:color w:val="231F20"/>
        </w:rPr>
        <w:t>effectively</w:t>
      </w:r>
      <w:r>
        <w:rPr>
          <w:rFonts w:ascii="Arial MT"/>
          <w:color w:val="231F20"/>
          <w:spacing w:val="-5"/>
        </w:rPr>
        <w:t> </w:t>
      </w:r>
      <w:r>
        <w:rPr>
          <w:rFonts w:ascii="Arial MT"/>
          <w:color w:val="231F20"/>
        </w:rPr>
        <w:t>deliver</w:t>
      </w:r>
      <w:r>
        <w:rPr>
          <w:rFonts w:ascii="Arial MT"/>
          <w:color w:val="231F20"/>
          <w:spacing w:val="-5"/>
        </w:rPr>
        <w:t> </w:t>
      </w:r>
      <w:r>
        <w:rPr>
          <w:rFonts w:ascii="Arial MT"/>
          <w:color w:val="231F20"/>
        </w:rPr>
        <w:t>topical</w:t>
      </w:r>
      <w:r>
        <w:rPr>
          <w:rFonts w:ascii="Arial MT"/>
          <w:color w:val="231F20"/>
          <w:spacing w:val="-5"/>
        </w:rPr>
        <w:t> </w:t>
      </w:r>
      <w:r>
        <w:rPr>
          <w:rFonts w:ascii="Arial MT"/>
          <w:color w:val="231F20"/>
        </w:rPr>
        <w:t>therapy</w:t>
      </w:r>
      <w:r>
        <w:rPr>
          <w:rFonts w:ascii="Arial MT"/>
          <w:color w:val="231F20"/>
          <w:spacing w:val="-5"/>
        </w:rPr>
        <w:t> </w:t>
      </w:r>
      <w:r>
        <w:rPr>
          <w:rFonts w:ascii="Arial MT"/>
          <w:color w:val="231F20"/>
        </w:rPr>
        <w:t>despite</w:t>
      </w:r>
      <w:r>
        <w:rPr>
          <w:rFonts w:ascii="Arial MT"/>
          <w:color w:val="231F20"/>
          <w:spacing w:val="-5"/>
        </w:rPr>
        <w:t> </w:t>
      </w:r>
      <w:r>
        <w:rPr>
          <w:rFonts w:ascii="Arial MT"/>
          <w:color w:val="231F20"/>
        </w:rPr>
        <w:t>aural</w:t>
      </w:r>
      <w:r>
        <w:rPr>
          <w:rFonts w:ascii="Arial MT"/>
          <w:color w:val="231F20"/>
          <w:spacing w:val="-5"/>
        </w:rPr>
        <w:t> </w:t>
      </w:r>
      <w:r>
        <w:rPr>
          <w:rFonts w:ascii="Arial MT"/>
          <w:color w:val="231F20"/>
        </w:rPr>
        <w:t>toilet</w:t>
      </w:r>
    </w:p>
    <w:p>
      <w:pPr>
        <w:spacing w:before="66"/>
        <w:ind w:left="1099" w:right="0" w:firstLine="0"/>
        <w:jc w:val="left"/>
        <w:rPr>
          <w:rFonts w:ascii="Arial"/>
          <w:b/>
          <w:sz w:val="15"/>
        </w:rPr>
      </w:pPr>
      <w:r>
        <w:rPr>
          <w:rFonts w:ascii="Arial"/>
          <w:b/>
          <w:sz w:val="15"/>
        </w:rPr>
        <mc:AlternateContent>
          <mc:Choice Requires="wps">
            <w:drawing>
              <wp:anchor distT="0" distB="0" distL="0" distR="0" allowOverlap="1" layoutInCell="1" locked="0" behindDoc="1" simplePos="0" relativeHeight="475259392">
                <wp:simplePos x="0" y="0"/>
                <wp:positionH relativeFrom="page">
                  <wp:posOffset>384738</wp:posOffset>
                </wp:positionH>
                <wp:positionV relativeFrom="paragraph">
                  <wp:posOffset>-158949</wp:posOffset>
                </wp:positionV>
                <wp:extent cx="3681729" cy="2855595"/>
                <wp:effectExtent l="0" t="0" r="0" b="0"/>
                <wp:wrapNone/>
                <wp:docPr id="1505" name="Group 1505"/>
                <wp:cNvGraphicFramePr>
                  <a:graphicFrameLocks/>
                </wp:cNvGraphicFramePr>
                <a:graphic>
                  <a:graphicData uri="http://schemas.microsoft.com/office/word/2010/wordprocessingGroup">
                    <wpg:wgp>
                      <wpg:cNvPr id="1505" name="Group 1505"/>
                      <wpg:cNvGrpSpPr/>
                      <wpg:grpSpPr>
                        <a:xfrm>
                          <a:off x="0" y="0"/>
                          <a:ext cx="3681729" cy="2855595"/>
                          <a:chExt cx="3681729" cy="2855595"/>
                        </a:xfrm>
                      </wpg:grpSpPr>
                      <wps:wsp>
                        <wps:cNvPr id="1506" name="Graphic 1506"/>
                        <wps:cNvSpPr/>
                        <wps:spPr>
                          <a:xfrm>
                            <a:off x="726203" y="0"/>
                            <a:ext cx="77470" cy="94615"/>
                          </a:xfrm>
                          <a:custGeom>
                            <a:avLst/>
                            <a:gdLst/>
                            <a:ahLst/>
                            <a:cxnLst/>
                            <a:rect l="l" t="t" r="r" b="b"/>
                            <a:pathLst>
                              <a:path w="77470" h="94615">
                                <a:moveTo>
                                  <a:pt x="77050" y="0"/>
                                </a:moveTo>
                                <a:lnTo>
                                  <a:pt x="38531" y="22377"/>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07" name="Graphic 1507"/>
                        <wps:cNvSpPr/>
                        <wps:spPr>
                          <a:xfrm>
                            <a:off x="764734" y="581323"/>
                            <a:ext cx="1270" cy="121285"/>
                          </a:xfrm>
                          <a:custGeom>
                            <a:avLst/>
                            <a:gdLst/>
                            <a:ahLst/>
                            <a:cxnLst/>
                            <a:rect l="l" t="t" r="r" b="b"/>
                            <a:pathLst>
                              <a:path w="0" h="121285">
                                <a:moveTo>
                                  <a:pt x="0" y="0"/>
                                </a:moveTo>
                                <a:lnTo>
                                  <a:pt x="0" y="120993"/>
                                </a:lnTo>
                              </a:path>
                            </a:pathLst>
                          </a:custGeom>
                          <a:ln w="11849">
                            <a:solidFill>
                              <a:srgbClr val="231F20"/>
                            </a:solidFill>
                            <a:prstDash val="solid"/>
                          </a:ln>
                        </wps:spPr>
                        <wps:bodyPr wrap="square" lIns="0" tIns="0" rIns="0" bIns="0" rtlCol="0">
                          <a:prstTxWarp prst="textNoShape">
                            <a:avLst/>
                          </a:prstTxWarp>
                          <a:noAutofit/>
                        </wps:bodyPr>
                      </wps:wsp>
                      <wps:wsp>
                        <wps:cNvPr id="1508" name="Graphic 1508"/>
                        <wps:cNvSpPr/>
                        <wps:spPr>
                          <a:xfrm>
                            <a:off x="726203" y="674930"/>
                            <a:ext cx="77470" cy="94615"/>
                          </a:xfrm>
                          <a:custGeom>
                            <a:avLst/>
                            <a:gdLst/>
                            <a:ahLst/>
                            <a:cxnLst/>
                            <a:rect l="l" t="t" r="r" b="b"/>
                            <a:pathLst>
                              <a:path w="77470" h="94615">
                                <a:moveTo>
                                  <a:pt x="77050" y="0"/>
                                </a:moveTo>
                                <a:lnTo>
                                  <a:pt x="38531" y="22377"/>
                                </a:lnTo>
                                <a:lnTo>
                                  <a:pt x="0" y="0"/>
                                </a:lnTo>
                                <a:lnTo>
                                  <a:pt x="38531" y="94310"/>
                                </a:lnTo>
                                <a:lnTo>
                                  <a:pt x="77050" y="0"/>
                                </a:lnTo>
                                <a:close/>
                              </a:path>
                            </a:pathLst>
                          </a:custGeom>
                          <a:solidFill>
                            <a:srgbClr val="231F20"/>
                          </a:solidFill>
                        </wps:spPr>
                        <wps:bodyPr wrap="square" lIns="0" tIns="0" rIns="0" bIns="0" rtlCol="0">
                          <a:prstTxWarp prst="textNoShape">
                            <a:avLst/>
                          </a:prstTxWarp>
                          <a:noAutofit/>
                        </wps:bodyPr>
                      </wps:wsp>
                      <wps:wsp>
                        <wps:cNvPr id="1509" name="Graphic 1509"/>
                        <wps:cNvSpPr/>
                        <wps:spPr>
                          <a:xfrm>
                            <a:off x="764734" y="1056558"/>
                            <a:ext cx="1270" cy="110489"/>
                          </a:xfrm>
                          <a:custGeom>
                            <a:avLst/>
                            <a:gdLst/>
                            <a:ahLst/>
                            <a:cxnLst/>
                            <a:rect l="l" t="t" r="r" b="b"/>
                            <a:pathLst>
                              <a:path w="0" h="110489">
                                <a:moveTo>
                                  <a:pt x="0" y="0"/>
                                </a:moveTo>
                                <a:lnTo>
                                  <a:pt x="0" y="110353"/>
                                </a:lnTo>
                              </a:path>
                            </a:pathLst>
                          </a:custGeom>
                          <a:ln w="11849">
                            <a:solidFill>
                              <a:srgbClr val="231F20"/>
                            </a:solidFill>
                            <a:prstDash val="solid"/>
                          </a:ln>
                        </wps:spPr>
                        <wps:bodyPr wrap="square" lIns="0" tIns="0" rIns="0" bIns="0" rtlCol="0">
                          <a:prstTxWarp prst="textNoShape">
                            <a:avLst/>
                          </a:prstTxWarp>
                          <a:noAutofit/>
                        </wps:bodyPr>
                      </wps:wsp>
                      <wps:wsp>
                        <wps:cNvPr id="1510" name="Graphic 1510"/>
                        <wps:cNvSpPr/>
                        <wps:spPr>
                          <a:xfrm>
                            <a:off x="726203" y="1139512"/>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11" name="Graphic 1511"/>
                        <wps:cNvSpPr/>
                        <wps:spPr>
                          <a:xfrm>
                            <a:off x="764734" y="1452949"/>
                            <a:ext cx="1270" cy="103505"/>
                          </a:xfrm>
                          <a:custGeom>
                            <a:avLst/>
                            <a:gdLst/>
                            <a:ahLst/>
                            <a:cxnLst/>
                            <a:rect l="l" t="t" r="r" b="b"/>
                            <a:pathLst>
                              <a:path w="0" h="103505">
                                <a:moveTo>
                                  <a:pt x="0" y="0"/>
                                </a:moveTo>
                                <a:lnTo>
                                  <a:pt x="0" y="103125"/>
                                </a:lnTo>
                              </a:path>
                            </a:pathLst>
                          </a:custGeom>
                          <a:ln w="11849">
                            <a:solidFill>
                              <a:srgbClr val="231F20"/>
                            </a:solidFill>
                            <a:prstDash val="solid"/>
                          </a:ln>
                        </wps:spPr>
                        <wps:bodyPr wrap="square" lIns="0" tIns="0" rIns="0" bIns="0" rtlCol="0">
                          <a:prstTxWarp prst="textNoShape">
                            <a:avLst/>
                          </a:prstTxWarp>
                          <a:noAutofit/>
                        </wps:bodyPr>
                      </wps:wsp>
                      <wps:wsp>
                        <wps:cNvPr id="1512" name="Graphic 1512"/>
                        <wps:cNvSpPr/>
                        <wps:spPr>
                          <a:xfrm>
                            <a:off x="726203" y="1528674"/>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13" name="Graphic 1513"/>
                        <wps:cNvSpPr/>
                        <wps:spPr>
                          <a:xfrm>
                            <a:off x="764734" y="1912437"/>
                            <a:ext cx="1270" cy="108585"/>
                          </a:xfrm>
                          <a:custGeom>
                            <a:avLst/>
                            <a:gdLst/>
                            <a:ahLst/>
                            <a:cxnLst/>
                            <a:rect l="l" t="t" r="r" b="b"/>
                            <a:pathLst>
                              <a:path w="0" h="108585">
                                <a:moveTo>
                                  <a:pt x="0" y="0"/>
                                </a:moveTo>
                                <a:lnTo>
                                  <a:pt x="0" y="108327"/>
                                </a:lnTo>
                              </a:path>
                            </a:pathLst>
                          </a:custGeom>
                          <a:ln w="11849">
                            <a:solidFill>
                              <a:srgbClr val="231F20"/>
                            </a:solidFill>
                            <a:prstDash val="solid"/>
                          </a:ln>
                        </wps:spPr>
                        <wps:bodyPr wrap="square" lIns="0" tIns="0" rIns="0" bIns="0" rtlCol="0">
                          <a:prstTxWarp prst="textNoShape">
                            <a:avLst/>
                          </a:prstTxWarp>
                          <a:noAutofit/>
                        </wps:bodyPr>
                      </wps:wsp>
                      <wps:wsp>
                        <wps:cNvPr id="1514" name="Graphic 1514"/>
                        <wps:cNvSpPr/>
                        <wps:spPr>
                          <a:xfrm>
                            <a:off x="726203" y="1993363"/>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15" name="Graphic 1515"/>
                        <wps:cNvSpPr/>
                        <wps:spPr>
                          <a:xfrm>
                            <a:off x="180344" y="2228277"/>
                            <a:ext cx="114935" cy="1270"/>
                          </a:xfrm>
                          <a:custGeom>
                            <a:avLst/>
                            <a:gdLst/>
                            <a:ahLst/>
                            <a:cxnLst/>
                            <a:rect l="l" t="t" r="r" b="b"/>
                            <a:pathLst>
                              <a:path w="114935" h="0">
                                <a:moveTo>
                                  <a:pt x="0" y="0"/>
                                </a:moveTo>
                                <a:lnTo>
                                  <a:pt x="114795" y="0"/>
                                </a:lnTo>
                              </a:path>
                            </a:pathLst>
                          </a:custGeom>
                          <a:ln w="11849">
                            <a:solidFill>
                              <a:srgbClr val="231F20"/>
                            </a:solidFill>
                            <a:prstDash val="solid"/>
                          </a:ln>
                        </wps:spPr>
                        <wps:bodyPr wrap="square" lIns="0" tIns="0" rIns="0" bIns="0" rtlCol="0">
                          <a:prstTxWarp prst="textNoShape">
                            <a:avLst/>
                          </a:prstTxWarp>
                          <a:noAutofit/>
                        </wps:bodyPr>
                      </wps:wsp>
                      <wps:wsp>
                        <wps:cNvPr id="1516" name="Graphic 1516"/>
                        <wps:cNvSpPr/>
                        <wps:spPr>
                          <a:xfrm>
                            <a:off x="267747" y="2189745"/>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517" name="Graphic 1517"/>
                        <wps:cNvSpPr/>
                        <wps:spPr>
                          <a:xfrm>
                            <a:off x="764734" y="2374306"/>
                            <a:ext cx="1270" cy="111760"/>
                          </a:xfrm>
                          <a:custGeom>
                            <a:avLst/>
                            <a:gdLst/>
                            <a:ahLst/>
                            <a:cxnLst/>
                            <a:rect l="l" t="t" r="r" b="b"/>
                            <a:pathLst>
                              <a:path w="0" h="111760">
                                <a:moveTo>
                                  <a:pt x="0" y="0"/>
                                </a:moveTo>
                                <a:lnTo>
                                  <a:pt x="0" y="111136"/>
                                </a:lnTo>
                              </a:path>
                            </a:pathLst>
                          </a:custGeom>
                          <a:ln w="11849">
                            <a:solidFill>
                              <a:srgbClr val="231F20"/>
                            </a:solidFill>
                            <a:prstDash val="solid"/>
                          </a:ln>
                        </wps:spPr>
                        <wps:bodyPr wrap="square" lIns="0" tIns="0" rIns="0" bIns="0" rtlCol="0">
                          <a:prstTxWarp prst="textNoShape">
                            <a:avLst/>
                          </a:prstTxWarp>
                          <a:noAutofit/>
                        </wps:bodyPr>
                      </wps:wsp>
                      <wps:wsp>
                        <wps:cNvPr id="1518" name="Graphic 1518"/>
                        <wps:cNvSpPr/>
                        <wps:spPr>
                          <a:xfrm>
                            <a:off x="726203" y="2458053"/>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19" name="Graphic 1519"/>
                        <wps:cNvSpPr/>
                        <wps:spPr>
                          <a:xfrm>
                            <a:off x="1402989" y="2648675"/>
                            <a:ext cx="173355" cy="1270"/>
                          </a:xfrm>
                          <a:custGeom>
                            <a:avLst/>
                            <a:gdLst/>
                            <a:ahLst/>
                            <a:cxnLst/>
                            <a:rect l="l" t="t" r="r" b="b"/>
                            <a:pathLst>
                              <a:path w="173355" h="0">
                                <a:moveTo>
                                  <a:pt x="173331" y="0"/>
                                </a:moveTo>
                                <a:lnTo>
                                  <a:pt x="0" y="0"/>
                                </a:lnTo>
                              </a:path>
                            </a:pathLst>
                          </a:custGeom>
                          <a:ln w="11849">
                            <a:solidFill>
                              <a:srgbClr val="231F20"/>
                            </a:solidFill>
                            <a:prstDash val="solid"/>
                          </a:ln>
                        </wps:spPr>
                        <wps:bodyPr wrap="square" lIns="0" tIns="0" rIns="0" bIns="0" rtlCol="0">
                          <a:prstTxWarp prst="textNoShape">
                            <a:avLst/>
                          </a:prstTxWarp>
                          <a:noAutofit/>
                        </wps:bodyPr>
                      </wps:wsp>
                      <wps:wsp>
                        <wps:cNvPr id="1520" name="Graphic 1520"/>
                        <wps:cNvSpPr/>
                        <wps:spPr>
                          <a:xfrm>
                            <a:off x="1336054" y="2610143"/>
                            <a:ext cx="94615" cy="77470"/>
                          </a:xfrm>
                          <a:custGeom>
                            <a:avLst/>
                            <a:gdLst/>
                            <a:ahLst/>
                            <a:cxnLst/>
                            <a:rect l="l" t="t" r="r" b="b"/>
                            <a:pathLst>
                              <a:path w="94615" h="77470">
                                <a:moveTo>
                                  <a:pt x="94322" y="0"/>
                                </a:moveTo>
                                <a:lnTo>
                                  <a:pt x="0" y="38531"/>
                                </a:lnTo>
                                <a:lnTo>
                                  <a:pt x="94322" y="77063"/>
                                </a:lnTo>
                                <a:lnTo>
                                  <a:pt x="71932" y="38531"/>
                                </a:lnTo>
                                <a:lnTo>
                                  <a:pt x="94322" y="0"/>
                                </a:lnTo>
                                <a:close/>
                              </a:path>
                            </a:pathLst>
                          </a:custGeom>
                          <a:solidFill>
                            <a:srgbClr val="231F20"/>
                          </a:solidFill>
                        </wps:spPr>
                        <wps:bodyPr wrap="square" lIns="0" tIns="0" rIns="0" bIns="0" rtlCol="0">
                          <a:prstTxWarp prst="textNoShape">
                            <a:avLst/>
                          </a:prstTxWarp>
                          <a:noAutofit/>
                        </wps:bodyPr>
                      </wps:wsp>
                      <wps:wsp>
                        <wps:cNvPr id="1521" name="Graphic 1521"/>
                        <wps:cNvSpPr/>
                        <wps:spPr>
                          <a:xfrm>
                            <a:off x="1176896" y="2232715"/>
                            <a:ext cx="415290" cy="1270"/>
                          </a:xfrm>
                          <a:custGeom>
                            <a:avLst/>
                            <a:gdLst/>
                            <a:ahLst/>
                            <a:cxnLst/>
                            <a:rect l="l" t="t" r="r" b="b"/>
                            <a:pathLst>
                              <a:path w="415290" h="0">
                                <a:moveTo>
                                  <a:pt x="0" y="0"/>
                                </a:moveTo>
                                <a:lnTo>
                                  <a:pt x="414821" y="0"/>
                                </a:lnTo>
                              </a:path>
                            </a:pathLst>
                          </a:custGeom>
                          <a:ln w="11861">
                            <a:solidFill>
                              <a:srgbClr val="231F20"/>
                            </a:solidFill>
                            <a:prstDash val="solid"/>
                          </a:ln>
                        </wps:spPr>
                        <wps:bodyPr wrap="square" lIns="0" tIns="0" rIns="0" bIns="0" rtlCol="0">
                          <a:prstTxWarp prst="textNoShape">
                            <a:avLst/>
                          </a:prstTxWarp>
                          <a:noAutofit/>
                        </wps:bodyPr>
                      </wps:wsp>
                      <wps:wsp>
                        <wps:cNvPr id="1522" name="Graphic 1522"/>
                        <wps:cNvSpPr/>
                        <wps:spPr>
                          <a:xfrm>
                            <a:off x="1564314" y="2194177"/>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523" name="Graphic 1523"/>
                        <wps:cNvSpPr/>
                        <wps:spPr>
                          <a:xfrm>
                            <a:off x="2173223" y="2232709"/>
                            <a:ext cx="368935" cy="1270"/>
                          </a:xfrm>
                          <a:custGeom>
                            <a:avLst/>
                            <a:gdLst/>
                            <a:ahLst/>
                            <a:cxnLst/>
                            <a:rect l="l" t="t" r="r" b="b"/>
                            <a:pathLst>
                              <a:path w="368935" h="635">
                                <a:moveTo>
                                  <a:pt x="0" y="11"/>
                                </a:moveTo>
                                <a:lnTo>
                                  <a:pt x="368702" y="0"/>
                                </a:lnTo>
                              </a:path>
                            </a:pathLst>
                          </a:custGeom>
                          <a:ln w="11849">
                            <a:solidFill>
                              <a:srgbClr val="231F20"/>
                            </a:solidFill>
                            <a:prstDash val="solid"/>
                          </a:ln>
                        </wps:spPr>
                        <wps:bodyPr wrap="square" lIns="0" tIns="0" rIns="0" bIns="0" rtlCol="0">
                          <a:prstTxWarp prst="textNoShape">
                            <a:avLst/>
                          </a:prstTxWarp>
                          <a:noAutofit/>
                        </wps:bodyPr>
                      </wps:wsp>
                      <wps:wsp>
                        <wps:cNvPr id="1524" name="Graphic 1524"/>
                        <wps:cNvSpPr/>
                        <wps:spPr>
                          <a:xfrm>
                            <a:off x="2514535" y="2194177"/>
                            <a:ext cx="94615" cy="77470"/>
                          </a:xfrm>
                          <a:custGeom>
                            <a:avLst/>
                            <a:gdLst/>
                            <a:ahLst/>
                            <a:cxnLst/>
                            <a:rect l="l" t="t" r="r" b="b"/>
                            <a:pathLst>
                              <a:path w="94615" h="77470">
                                <a:moveTo>
                                  <a:pt x="0" y="0"/>
                                </a:moveTo>
                                <a:lnTo>
                                  <a:pt x="22377"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525" name="Graphic 1525"/>
                        <wps:cNvSpPr/>
                        <wps:spPr>
                          <a:xfrm>
                            <a:off x="3133134" y="2224828"/>
                            <a:ext cx="358140" cy="158750"/>
                          </a:xfrm>
                          <a:custGeom>
                            <a:avLst/>
                            <a:gdLst/>
                            <a:ahLst/>
                            <a:cxnLst/>
                            <a:rect l="l" t="t" r="r" b="b"/>
                            <a:pathLst>
                              <a:path w="358140" h="158750">
                                <a:moveTo>
                                  <a:pt x="357966" y="158484"/>
                                </a:moveTo>
                                <a:lnTo>
                                  <a:pt x="357954" y="0"/>
                                </a:lnTo>
                                <a:lnTo>
                                  <a:pt x="0" y="0"/>
                                </a:lnTo>
                              </a:path>
                            </a:pathLst>
                          </a:custGeom>
                          <a:ln w="11849">
                            <a:solidFill>
                              <a:srgbClr val="231F20"/>
                            </a:solidFill>
                            <a:prstDash val="solid"/>
                          </a:ln>
                        </wps:spPr>
                        <wps:bodyPr wrap="square" lIns="0" tIns="0" rIns="0" bIns="0" rtlCol="0">
                          <a:prstTxWarp prst="textNoShape">
                            <a:avLst/>
                          </a:prstTxWarp>
                          <a:noAutofit/>
                        </wps:bodyPr>
                      </wps:wsp>
                      <wps:wsp>
                        <wps:cNvPr id="1526" name="Graphic 1526"/>
                        <wps:cNvSpPr/>
                        <wps:spPr>
                          <a:xfrm>
                            <a:off x="3452569" y="2355924"/>
                            <a:ext cx="77470" cy="94615"/>
                          </a:xfrm>
                          <a:custGeom>
                            <a:avLst/>
                            <a:gdLst/>
                            <a:ahLst/>
                            <a:cxnLst/>
                            <a:rect l="l" t="t" r="r" b="b"/>
                            <a:pathLst>
                              <a:path w="77470" h="94615">
                                <a:moveTo>
                                  <a:pt x="77050" y="0"/>
                                </a:moveTo>
                                <a:lnTo>
                                  <a:pt x="38531" y="22377"/>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527" name="Graphic 1527"/>
                        <wps:cNvSpPr/>
                        <wps:spPr>
                          <a:xfrm>
                            <a:off x="2632948" y="2364102"/>
                            <a:ext cx="266700" cy="285115"/>
                          </a:xfrm>
                          <a:custGeom>
                            <a:avLst/>
                            <a:gdLst/>
                            <a:ahLst/>
                            <a:cxnLst/>
                            <a:rect l="l" t="t" r="r" b="b"/>
                            <a:pathLst>
                              <a:path w="266700" h="285115">
                                <a:moveTo>
                                  <a:pt x="0" y="284595"/>
                                </a:moveTo>
                                <a:lnTo>
                                  <a:pt x="266608" y="284595"/>
                                </a:lnTo>
                                <a:lnTo>
                                  <a:pt x="266608" y="0"/>
                                </a:lnTo>
                              </a:path>
                            </a:pathLst>
                          </a:custGeom>
                          <a:ln w="11849">
                            <a:solidFill>
                              <a:srgbClr val="231F20"/>
                            </a:solidFill>
                            <a:prstDash val="solid"/>
                          </a:ln>
                        </wps:spPr>
                        <wps:bodyPr wrap="square" lIns="0" tIns="0" rIns="0" bIns="0" rtlCol="0">
                          <a:prstTxWarp prst="textNoShape">
                            <a:avLst/>
                          </a:prstTxWarp>
                          <a:noAutofit/>
                        </wps:bodyPr>
                      </wps:wsp>
                      <wps:wsp>
                        <wps:cNvPr id="1528" name="Graphic 1528"/>
                        <wps:cNvSpPr/>
                        <wps:spPr>
                          <a:xfrm>
                            <a:off x="2566012" y="2610166"/>
                            <a:ext cx="94615" cy="77470"/>
                          </a:xfrm>
                          <a:custGeom>
                            <a:avLst/>
                            <a:gdLst/>
                            <a:ahLst/>
                            <a:cxnLst/>
                            <a:rect l="l" t="t" r="r" b="b"/>
                            <a:pathLst>
                              <a:path w="94615" h="77470">
                                <a:moveTo>
                                  <a:pt x="94322" y="0"/>
                                </a:moveTo>
                                <a:lnTo>
                                  <a:pt x="0" y="38531"/>
                                </a:lnTo>
                                <a:lnTo>
                                  <a:pt x="94322" y="77063"/>
                                </a:lnTo>
                                <a:lnTo>
                                  <a:pt x="71945" y="38531"/>
                                </a:lnTo>
                                <a:lnTo>
                                  <a:pt x="94322" y="0"/>
                                </a:lnTo>
                                <a:close/>
                              </a:path>
                            </a:pathLst>
                          </a:custGeom>
                          <a:solidFill>
                            <a:srgbClr val="231F20"/>
                          </a:solidFill>
                        </wps:spPr>
                        <wps:bodyPr wrap="square" lIns="0" tIns="0" rIns="0" bIns="0" rtlCol="0">
                          <a:prstTxWarp prst="textNoShape">
                            <a:avLst/>
                          </a:prstTxWarp>
                          <a:noAutofit/>
                        </wps:bodyPr>
                      </wps:wsp>
                      <wps:wsp>
                        <wps:cNvPr id="1529" name="Graphic 1529"/>
                        <wps:cNvSpPr/>
                        <wps:spPr>
                          <a:xfrm>
                            <a:off x="1214923" y="330675"/>
                            <a:ext cx="1165225" cy="374650"/>
                          </a:xfrm>
                          <a:custGeom>
                            <a:avLst/>
                            <a:gdLst/>
                            <a:ahLst/>
                            <a:cxnLst/>
                            <a:rect l="l" t="t" r="r" b="b"/>
                            <a:pathLst>
                              <a:path w="1165225" h="374650">
                                <a:moveTo>
                                  <a:pt x="1164606" y="374614"/>
                                </a:moveTo>
                                <a:lnTo>
                                  <a:pt x="1164606" y="0"/>
                                </a:lnTo>
                                <a:lnTo>
                                  <a:pt x="0" y="0"/>
                                </a:lnTo>
                              </a:path>
                            </a:pathLst>
                          </a:custGeom>
                          <a:ln w="11849">
                            <a:solidFill>
                              <a:srgbClr val="231F20"/>
                            </a:solidFill>
                            <a:prstDash val="solid"/>
                          </a:ln>
                        </wps:spPr>
                        <wps:bodyPr wrap="square" lIns="0" tIns="0" rIns="0" bIns="0" rtlCol="0">
                          <a:prstTxWarp prst="textNoShape">
                            <a:avLst/>
                          </a:prstTxWarp>
                          <a:noAutofit/>
                        </wps:bodyPr>
                      </wps:wsp>
                      <wps:wsp>
                        <wps:cNvPr id="1530" name="Graphic 1530"/>
                        <wps:cNvSpPr/>
                        <wps:spPr>
                          <a:xfrm>
                            <a:off x="2340997" y="677891"/>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531" name="Graphic 1531"/>
                        <wps:cNvSpPr/>
                        <wps:spPr>
                          <a:xfrm>
                            <a:off x="1262945" y="1350785"/>
                            <a:ext cx="395605" cy="1270"/>
                          </a:xfrm>
                          <a:custGeom>
                            <a:avLst/>
                            <a:gdLst/>
                            <a:ahLst/>
                            <a:cxnLst/>
                            <a:rect l="l" t="t" r="r" b="b"/>
                            <a:pathLst>
                              <a:path w="395605" h="0">
                                <a:moveTo>
                                  <a:pt x="0" y="0"/>
                                </a:moveTo>
                                <a:lnTo>
                                  <a:pt x="395351" y="0"/>
                                </a:lnTo>
                              </a:path>
                            </a:pathLst>
                          </a:custGeom>
                          <a:ln w="11849">
                            <a:solidFill>
                              <a:srgbClr val="231F20"/>
                            </a:solidFill>
                            <a:prstDash val="solid"/>
                          </a:ln>
                        </wps:spPr>
                        <wps:bodyPr wrap="square" lIns="0" tIns="0" rIns="0" bIns="0" rtlCol="0">
                          <a:prstTxWarp prst="textNoShape">
                            <a:avLst/>
                          </a:prstTxWarp>
                          <a:noAutofit/>
                        </wps:bodyPr>
                      </wps:wsp>
                      <wps:wsp>
                        <wps:cNvPr id="1532" name="Graphic 1532"/>
                        <wps:cNvSpPr/>
                        <wps:spPr>
                          <a:xfrm>
                            <a:off x="1630895" y="1312254"/>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533" name="Graphic 1533"/>
                        <wps:cNvSpPr/>
                        <wps:spPr>
                          <a:xfrm>
                            <a:off x="1558380" y="1508816"/>
                            <a:ext cx="812800" cy="255270"/>
                          </a:xfrm>
                          <a:custGeom>
                            <a:avLst/>
                            <a:gdLst/>
                            <a:ahLst/>
                            <a:cxnLst/>
                            <a:rect l="l" t="t" r="r" b="b"/>
                            <a:pathLst>
                              <a:path w="812800" h="255270">
                                <a:moveTo>
                                  <a:pt x="0" y="254877"/>
                                </a:moveTo>
                                <a:lnTo>
                                  <a:pt x="812730" y="254877"/>
                                </a:lnTo>
                                <a:lnTo>
                                  <a:pt x="812730" y="0"/>
                                </a:lnTo>
                              </a:path>
                            </a:pathLst>
                          </a:custGeom>
                          <a:ln w="11849">
                            <a:solidFill>
                              <a:srgbClr val="231F20"/>
                            </a:solidFill>
                            <a:prstDash val="solid"/>
                          </a:ln>
                        </wps:spPr>
                        <wps:bodyPr wrap="square" lIns="0" tIns="0" rIns="0" bIns="0" rtlCol="0">
                          <a:prstTxWarp prst="textNoShape">
                            <a:avLst/>
                          </a:prstTxWarp>
                          <a:noAutofit/>
                        </wps:bodyPr>
                      </wps:wsp>
                      <wps:wsp>
                        <wps:cNvPr id="1534" name="Graphic 1534"/>
                        <wps:cNvSpPr/>
                        <wps:spPr>
                          <a:xfrm>
                            <a:off x="1491445" y="1725162"/>
                            <a:ext cx="94615" cy="77470"/>
                          </a:xfrm>
                          <a:custGeom>
                            <a:avLst/>
                            <a:gdLst/>
                            <a:ahLst/>
                            <a:cxnLst/>
                            <a:rect l="l" t="t" r="r" b="b"/>
                            <a:pathLst>
                              <a:path w="94615" h="77470">
                                <a:moveTo>
                                  <a:pt x="94322" y="0"/>
                                </a:moveTo>
                                <a:lnTo>
                                  <a:pt x="0" y="38531"/>
                                </a:lnTo>
                                <a:lnTo>
                                  <a:pt x="94322" y="77063"/>
                                </a:lnTo>
                                <a:lnTo>
                                  <a:pt x="71945" y="38531"/>
                                </a:lnTo>
                                <a:lnTo>
                                  <a:pt x="94322" y="0"/>
                                </a:lnTo>
                                <a:close/>
                              </a:path>
                            </a:pathLst>
                          </a:custGeom>
                          <a:solidFill>
                            <a:srgbClr val="231F20"/>
                          </a:solidFill>
                        </wps:spPr>
                        <wps:bodyPr wrap="square" lIns="0" tIns="0" rIns="0" bIns="0" rtlCol="0">
                          <a:prstTxWarp prst="textNoShape">
                            <a:avLst/>
                          </a:prstTxWarp>
                          <a:noAutofit/>
                        </wps:bodyPr>
                      </wps:wsp>
                      <wps:wsp>
                        <wps:cNvPr id="1535" name="Graphic 1535"/>
                        <wps:cNvSpPr/>
                        <wps:spPr>
                          <a:xfrm>
                            <a:off x="1318159" y="1054568"/>
                            <a:ext cx="443230" cy="167640"/>
                          </a:xfrm>
                          <a:custGeom>
                            <a:avLst/>
                            <a:gdLst/>
                            <a:ahLst/>
                            <a:cxnLst/>
                            <a:rect l="l" t="t" r="r" b="b"/>
                            <a:pathLst>
                              <a:path w="443230" h="167640">
                                <a:moveTo>
                                  <a:pt x="442925" y="0"/>
                                </a:moveTo>
                                <a:lnTo>
                                  <a:pt x="0" y="167252"/>
                                </a:lnTo>
                              </a:path>
                            </a:pathLst>
                          </a:custGeom>
                          <a:ln w="11849">
                            <a:solidFill>
                              <a:srgbClr val="231F20"/>
                            </a:solidFill>
                            <a:prstDash val="solid"/>
                          </a:ln>
                        </wps:spPr>
                        <wps:bodyPr wrap="square" lIns="0" tIns="0" rIns="0" bIns="0" rtlCol="0">
                          <a:prstTxWarp prst="textNoShape">
                            <a:avLst/>
                          </a:prstTxWarp>
                          <a:noAutofit/>
                        </wps:bodyPr>
                      </wps:wsp>
                      <wps:wsp>
                        <wps:cNvPr id="1536" name="Graphic 1536"/>
                        <wps:cNvSpPr/>
                        <wps:spPr>
                          <a:xfrm>
                            <a:off x="1255551" y="1176078"/>
                            <a:ext cx="102235" cy="72390"/>
                          </a:xfrm>
                          <a:custGeom>
                            <a:avLst/>
                            <a:gdLst/>
                            <a:ahLst/>
                            <a:cxnLst/>
                            <a:rect l="l" t="t" r="r" b="b"/>
                            <a:pathLst>
                              <a:path w="102235" h="72390">
                                <a:moveTo>
                                  <a:pt x="74625" y="0"/>
                                </a:moveTo>
                                <a:lnTo>
                                  <a:pt x="0" y="69380"/>
                                </a:lnTo>
                                <a:lnTo>
                                  <a:pt x="101841" y="72110"/>
                                </a:lnTo>
                                <a:lnTo>
                                  <a:pt x="67284" y="43967"/>
                                </a:lnTo>
                                <a:lnTo>
                                  <a:pt x="74625" y="0"/>
                                </a:lnTo>
                                <a:close/>
                              </a:path>
                            </a:pathLst>
                          </a:custGeom>
                          <a:solidFill>
                            <a:srgbClr val="231F20"/>
                          </a:solidFill>
                        </wps:spPr>
                        <wps:bodyPr wrap="square" lIns="0" tIns="0" rIns="0" bIns="0" rtlCol="0">
                          <a:prstTxWarp prst="textNoShape">
                            <a:avLst/>
                          </a:prstTxWarp>
                          <a:noAutofit/>
                        </wps:bodyPr>
                      </wps:wsp>
                      <wps:wsp>
                        <wps:cNvPr id="1537" name="Graphic 1537"/>
                        <wps:cNvSpPr/>
                        <wps:spPr>
                          <a:xfrm>
                            <a:off x="3318643" y="2455047"/>
                            <a:ext cx="356870" cy="383540"/>
                          </a:xfrm>
                          <a:custGeom>
                            <a:avLst/>
                            <a:gdLst/>
                            <a:ahLst/>
                            <a:cxnLst/>
                            <a:rect l="l" t="t" r="r" b="b"/>
                            <a:pathLst>
                              <a:path w="356870" h="383540">
                                <a:moveTo>
                                  <a:pt x="356819" y="0"/>
                                </a:moveTo>
                                <a:lnTo>
                                  <a:pt x="0" y="0"/>
                                </a:lnTo>
                                <a:lnTo>
                                  <a:pt x="0" y="382930"/>
                                </a:lnTo>
                                <a:lnTo>
                                  <a:pt x="356819" y="382930"/>
                                </a:lnTo>
                                <a:lnTo>
                                  <a:pt x="356819" y="0"/>
                                </a:lnTo>
                                <a:close/>
                              </a:path>
                            </a:pathLst>
                          </a:custGeom>
                          <a:solidFill>
                            <a:srgbClr val="F1BCB5"/>
                          </a:solidFill>
                        </wps:spPr>
                        <wps:bodyPr wrap="square" lIns="0" tIns="0" rIns="0" bIns="0" rtlCol="0">
                          <a:prstTxWarp prst="textNoShape">
                            <a:avLst/>
                          </a:prstTxWarp>
                          <a:noAutofit/>
                        </wps:bodyPr>
                      </wps:wsp>
                      <wps:wsp>
                        <wps:cNvPr id="1538" name="Graphic 1538"/>
                        <wps:cNvSpPr/>
                        <wps:spPr>
                          <a:xfrm>
                            <a:off x="3318645" y="2455043"/>
                            <a:ext cx="356870" cy="383540"/>
                          </a:xfrm>
                          <a:custGeom>
                            <a:avLst/>
                            <a:gdLst/>
                            <a:ahLst/>
                            <a:cxnLst/>
                            <a:rect l="l" t="t" r="r" b="b"/>
                            <a:pathLst>
                              <a:path w="356870" h="383540">
                                <a:moveTo>
                                  <a:pt x="356817" y="382933"/>
                                </a:moveTo>
                                <a:lnTo>
                                  <a:pt x="0" y="382933"/>
                                </a:lnTo>
                                <a:lnTo>
                                  <a:pt x="0" y="0"/>
                                </a:lnTo>
                                <a:lnTo>
                                  <a:pt x="356817" y="0"/>
                                </a:lnTo>
                                <a:lnTo>
                                  <a:pt x="356817" y="382933"/>
                                </a:lnTo>
                                <a:close/>
                              </a:path>
                            </a:pathLst>
                          </a:custGeom>
                          <a:ln w="11849">
                            <a:solidFill>
                              <a:srgbClr val="231F20"/>
                            </a:solidFill>
                            <a:prstDash val="solid"/>
                          </a:ln>
                        </wps:spPr>
                        <wps:bodyPr wrap="square" lIns="0" tIns="0" rIns="0" bIns="0" rtlCol="0">
                          <a:prstTxWarp prst="textNoShape">
                            <a:avLst/>
                          </a:prstTxWarp>
                          <a:noAutofit/>
                        </wps:bodyPr>
                      </wps:wsp>
                      <pic:pic>
                        <pic:nvPicPr>
                          <pic:cNvPr id="1539" name="Image 1539"/>
                          <pic:cNvPicPr/>
                        </pic:nvPicPr>
                        <pic:blipFill>
                          <a:blip r:embed="rId329" cstate="print"/>
                          <a:stretch>
                            <a:fillRect/>
                          </a:stretch>
                        </pic:blipFill>
                        <pic:spPr>
                          <a:xfrm>
                            <a:off x="48956" y="2157448"/>
                            <a:ext cx="140615" cy="140615"/>
                          </a:xfrm>
                          <a:prstGeom prst="rect">
                            <a:avLst/>
                          </a:prstGeom>
                        </pic:spPr>
                      </pic:pic>
                      <wps:wsp>
                        <wps:cNvPr id="1540" name="Textbox 1540"/>
                        <wps:cNvSpPr txBox="1"/>
                        <wps:spPr>
                          <a:xfrm>
                            <a:off x="1748100" y="773017"/>
                            <a:ext cx="1265555" cy="286385"/>
                          </a:xfrm>
                          <a:prstGeom prst="rect">
                            <a:avLst/>
                          </a:prstGeom>
                          <a:solidFill>
                            <a:srgbClr val="D1E4F6"/>
                          </a:solidFill>
                          <a:ln w="11849">
                            <a:solidFill>
                              <a:srgbClr val="231F20"/>
                            </a:solidFill>
                            <a:prstDash val="solid"/>
                          </a:ln>
                        </wps:spPr>
                        <wps:txbx>
                          <w:txbxContent>
                            <w:p>
                              <w:pPr>
                                <w:spacing w:line="252" w:lineRule="auto" w:before="60"/>
                                <w:ind w:left="297" w:right="84" w:hanging="225"/>
                                <w:jc w:val="left"/>
                                <w:rPr>
                                  <w:rFonts w:ascii="Arial MT"/>
                                  <w:color w:val="000000"/>
                                  <w:sz w:val="13"/>
                                </w:rPr>
                              </w:pPr>
                              <w:r>
                                <w:rPr>
                                  <w:rFonts w:ascii="Arial MT"/>
                                  <w:color w:val="231F20"/>
                                  <w:sz w:val="13"/>
                                </w:rPr>
                                <w:t>Prescribe</w:t>
                              </w:r>
                              <w:r>
                                <w:rPr>
                                  <w:rFonts w:ascii="Arial MT"/>
                                  <w:color w:val="231F20"/>
                                  <w:spacing w:val="-8"/>
                                  <w:sz w:val="13"/>
                                </w:rPr>
                                <w:t> </w:t>
                              </w:r>
                              <w:r>
                                <w:rPr>
                                  <w:rFonts w:ascii="Arial MT"/>
                                  <w:color w:val="231F20"/>
                                  <w:sz w:val="13"/>
                                </w:rPr>
                                <w:t>topical</w:t>
                              </w:r>
                              <w:r>
                                <w:rPr>
                                  <w:rFonts w:ascii="Arial MT"/>
                                  <w:color w:val="231F20"/>
                                  <w:spacing w:val="-8"/>
                                  <w:sz w:val="13"/>
                                </w:rPr>
                                <w:t> </w:t>
                              </w:r>
                              <w:r>
                                <w:rPr>
                                  <w:rFonts w:ascii="Arial MT"/>
                                  <w:color w:val="231F20"/>
                                  <w:sz w:val="13"/>
                                </w:rPr>
                                <w:t>therapy</w:t>
                              </w:r>
                              <w:r>
                                <w:rPr>
                                  <w:rFonts w:ascii="Arial MT"/>
                                  <w:color w:val="231F20"/>
                                  <w:spacing w:val="-8"/>
                                  <w:sz w:val="13"/>
                                </w:rPr>
                                <w:t> </w:t>
                              </w:r>
                              <w:r>
                                <w:rPr>
                                  <w:rFonts w:ascii="Arial MT"/>
                                  <w:color w:val="231F20"/>
                                  <w:sz w:val="13"/>
                                </w:rPr>
                                <w:t>with</w:t>
                              </w:r>
                              <w:r>
                                <w:rPr>
                                  <w:rFonts w:ascii="Arial MT"/>
                                  <w:color w:val="231F20"/>
                                  <w:spacing w:val="-8"/>
                                  <w:sz w:val="13"/>
                                </w:rPr>
                                <w:t> </w:t>
                              </w:r>
                              <w:r>
                                <w:rPr>
                                  <w:rFonts w:ascii="Arial MT"/>
                                  <w:color w:val="231F20"/>
                                  <w:sz w:val="13"/>
                                </w:rPr>
                                <w:t>a</w:t>
                              </w:r>
                              <w:r>
                                <w:rPr>
                                  <w:rFonts w:ascii="Arial MT"/>
                                  <w:color w:val="231F20"/>
                                  <w:spacing w:val="40"/>
                                  <w:sz w:val="13"/>
                                </w:rPr>
                                <w:t> </w:t>
                              </w:r>
                              <w:r>
                                <w:rPr>
                                  <w:rFonts w:ascii="Arial MT"/>
                                  <w:color w:val="231F20"/>
                                  <w:sz w:val="13"/>
                                </w:rPr>
                                <w:t>nonototoxic</w:t>
                              </w:r>
                              <w:r>
                                <w:rPr>
                                  <w:rFonts w:ascii="Arial MT"/>
                                  <w:color w:val="231F20"/>
                                  <w:spacing w:val="-5"/>
                                  <w:sz w:val="13"/>
                                </w:rPr>
                                <w:t> </w:t>
                              </w:r>
                              <w:r>
                                <w:rPr>
                                  <w:rFonts w:ascii="Arial MT"/>
                                  <w:color w:val="231F20"/>
                                  <w:sz w:val="13"/>
                                </w:rPr>
                                <w:t>preparation</w:t>
                              </w:r>
                            </w:p>
                          </w:txbxContent>
                        </wps:txbx>
                        <wps:bodyPr wrap="square" lIns="0" tIns="0" rIns="0" bIns="0" rtlCol="0">
                          <a:noAutofit/>
                        </wps:bodyPr>
                      </wps:wsp>
                      <wps:wsp>
                        <wps:cNvPr id="1541" name="Textbox 1541"/>
                        <wps:cNvSpPr txBox="1"/>
                        <wps:spPr>
                          <a:xfrm>
                            <a:off x="1732305" y="1157451"/>
                            <a:ext cx="1270635" cy="378460"/>
                          </a:xfrm>
                          <a:prstGeom prst="rect">
                            <a:avLst/>
                          </a:prstGeom>
                          <a:solidFill>
                            <a:srgbClr val="D1E4F6"/>
                          </a:solidFill>
                          <a:ln w="11849">
                            <a:solidFill>
                              <a:srgbClr val="231F20"/>
                            </a:solidFill>
                            <a:prstDash val="solid"/>
                          </a:ln>
                        </wps:spPr>
                        <wps:txbx>
                          <w:txbxContent>
                            <w:p>
                              <w:pPr>
                                <w:spacing w:line="252" w:lineRule="auto" w:before="60"/>
                                <w:ind w:left="87" w:right="85" w:firstLine="8"/>
                                <w:jc w:val="center"/>
                                <w:rPr>
                                  <w:rFonts w:ascii="Arial MT"/>
                                  <w:color w:val="000000"/>
                                  <w:sz w:val="13"/>
                                </w:rPr>
                              </w:pPr>
                              <w:r>
                                <w:rPr>
                                  <w:rFonts w:ascii="Arial MT"/>
                                  <w:color w:val="231F20"/>
                                  <w:sz w:val="13"/>
                                </w:rPr>
                                <w:t>Perform aural toilet to remove</w:t>
                              </w:r>
                              <w:r>
                                <w:rPr>
                                  <w:rFonts w:ascii="Arial MT"/>
                                  <w:color w:val="231F20"/>
                                  <w:spacing w:val="40"/>
                                  <w:sz w:val="13"/>
                                </w:rPr>
                                <w:t> </w:t>
                              </w:r>
                              <w:r>
                                <w:rPr>
                                  <w:rFonts w:ascii="Arial MT"/>
                                  <w:color w:val="231F20"/>
                                  <w:sz w:val="13"/>
                                </w:rPr>
                                <w:t>obstructing</w:t>
                              </w:r>
                              <w:r>
                                <w:rPr>
                                  <w:rFonts w:ascii="Arial MT"/>
                                  <w:color w:val="231F20"/>
                                  <w:spacing w:val="-8"/>
                                  <w:sz w:val="13"/>
                                </w:rPr>
                                <w:t> </w:t>
                              </w:r>
                              <w:r>
                                <w:rPr>
                                  <w:rFonts w:ascii="Arial MT"/>
                                  <w:color w:val="231F20"/>
                                  <w:sz w:val="13"/>
                                </w:rPr>
                                <w:t>debris;</w:t>
                              </w:r>
                              <w:r>
                                <w:rPr>
                                  <w:rFonts w:ascii="Arial MT"/>
                                  <w:color w:val="231F20"/>
                                  <w:spacing w:val="-8"/>
                                  <w:sz w:val="13"/>
                                </w:rPr>
                                <w:t> </w:t>
                              </w:r>
                              <w:r>
                                <w:rPr>
                                  <w:rFonts w:ascii="Arial MT"/>
                                  <w:color w:val="231F20"/>
                                  <w:sz w:val="13"/>
                                </w:rPr>
                                <w:t>place</w:t>
                              </w:r>
                              <w:r>
                                <w:rPr>
                                  <w:rFonts w:ascii="Arial MT"/>
                                  <w:color w:val="231F20"/>
                                  <w:spacing w:val="-8"/>
                                  <w:sz w:val="13"/>
                                </w:rPr>
                                <w:t> </w:t>
                              </w:r>
                              <w:r>
                                <w:rPr>
                                  <w:rFonts w:ascii="Arial MT"/>
                                  <w:color w:val="231F20"/>
                                  <w:sz w:val="13"/>
                                </w:rPr>
                                <w:t>wick</w:t>
                              </w:r>
                              <w:r>
                                <w:rPr>
                                  <w:rFonts w:ascii="Arial MT"/>
                                  <w:color w:val="231F20"/>
                                  <w:spacing w:val="-8"/>
                                  <w:sz w:val="13"/>
                                </w:rPr>
                                <w:t> </w:t>
                              </w:r>
                              <w:r>
                                <w:rPr>
                                  <w:rFonts w:ascii="Arial MT"/>
                                  <w:color w:val="231F20"/>
                                  <w:sz w:val="13"/>
                                </w:rPr>
                                <w:t>if</w:t>
                              </w:r>
                              <w:r>
                                <w:rPr>
                                  <w:rFonts w:ascii="Arial MT"/>
                                  <w:color w:val="231F20"/>
                                  <w:spacing w:val="40"/>
                                  <w:sz w:val="13"/>
                                </w:rPr>
                                <w:t> </w:t>
                              </w:r>
                              <w:r>
                                <w:rPr>
                                  <w:rFonts w:ascii="Arial MT"/>
                                  <w:color w:val="231F20"/>
                                  <w:sz w:val="13"/>
                                </w:rPr>
                                <w:t>edema prevents drug delivery</w:t>
                              </w:r>
                            </w:p>
                          </w:txbxContent>
                        </wps:txbx>
                        <wps:bodyPr wrap="square" lIns="0" tIns="0" rIns="0" bIns="0" rtlCol="0">
                          <a:noAutofit/>
                        </wps:bodyPr>
                      </wps:wsp>
                      <wps:wsp>
                        <wps:cNvPr id="1542" name="Textbox 1542"/>
                        <wps:cNvSpPr txBox="1"/>
                        <wps:spPr>
                          <a:xfrm>
                            <a:off x="3127209" y="2218903"/>
                            <a:ext cx="554355" cy="625475"/>
                          </a:xfrm>
                          <a:prstGeom prst="rect">
                            <a:avLst/>
                          </a:prstGeom>
                        </wps:spPr>
                        <wps:txbx>
                          <w:txbxContent>
                            <w:p>
                              <w:pPr>
                                <w:spacing w:line="240" w:lineRule="auto" w:before="0"/>
                                <w:rPr>
                                  <w:i/>
                                  <w:sz w:val="13"/>
                                </w:rPr>
                              </w:pPr>
                            </w:p>
                            <w:p>
                              <w:pPr>
                                <w:spacing w:line="240" w:lineRule="auto" w:before="138"/>
                                <w:rPr>
                                  <w:i/>
                                  <w:sz w:val="13"/>
                                </w:rPr>
                              </w:pPr>
                            </w:p>
                            <w:p>
                              <w:pPr>
                                <w:spacing w:line="252" w:lineRule="auto" w:before="0"/>
                                <w:ind w:left="407" w:right="100" w:firstLine="36"/>
                                <w:jc w:val="both"/>
                                <w:rPr>
                                  <w:rFonts w:ascii="Arial MT"/>
                                  <w:sz w:val="13"/>
                                </w:rPr>
                              </w:pPr>
                              <w:r>
                                <w:rPr>
                                  <w:rFonts w:ascii="Arial MT"/>
                                  <w:color w:val="231F20"/>
                                  <w:spacing w:val="-2"/>
                                  <w:sz w:val="13"/>
                                </w:rPr>
                                <w:t>Treat</w:t>
                              </w:r>
                              <w:r>
                                <w:rPr>
                                  <w:rFonts w:ascii="Arial MT"/>
                                  <w:color w:val="231F20"/>
                                  <w:spacing w:val="40"/>
                                  <w:sz w:val="13"/>
                                </w:rPr>
                                <w:t> </w:t>
                              </w:r>
                              <w:r>
                                <w:rPr>
                                  <w:rFonts w:ascii="Arial MT"/>
                                  <w:color w:val="231F20"/>
                                  <w:spacing w:val="-2"/>
                                  <w:sz w:val="13"/>
                                </w:rPr>
                                <w:t>other</w:t>
                              </w:r>
                              <w:r>
                                <w:rPr>
                                  <w:rFonts w:ascii="Arial MT"/>
                                  <w:color w:val="231F20"/>
                                  <w:spacing w:val="40"/>
                                  <w:sz w:val="13"/>
                                </w:rPr>
                                <w:t> </w:t>
                              </w:r>
                              <w:r>
                                <w:rPr>
                                  <w:rFonts w:ascii="Arial MT"/>
                                  <w:color w:val="231F20"/>
                                  <w:spacing w:val="-2"/>
                                  <w:sz w:val="13"/>
                                </w:rPr>
                                <w:t>illness</w:t>
                              </w:r>
                            </w:p>
                          </w:txbxContent>
                        </wps:txbx>
                        <wps:bodyPr wrap="square" lIns="0" tIns="0" rIns="0" bIns="0" rtlCol="0">
                          <a:noAutofit/>
                        </wps:bodyPr>
                      </wps:wsp>
                      <wps:wsp>
                        <wps:cNvPr id="1543" name="Textbox 1543"/>
                        <wps:cNvSpPr txBox="1"/>
                        <wps:spPr>
                          <a:xfrm>
                            <a:off x="1659390" y="2082707"/>
                            <a:ext cx="508000" cy="292100"/>
                          </a:xfrm>
                          <a:prstGeom prst="rect">
                            <a:avLst/>
                          </a:prstGeom>
                          <a:solidFill>
                            <a:srgbClr val="D1E4F6"/>
                          </a:solidFill>
                          <a:ln w="11849">
                            <a:solidFill>
                              <a:srgbClr val="231F20"/>
                            </a:solidFill>
                            <a:prstDash val="solid"/>
                          </a:ln>
                        </wps:spPr>
                        <wps:txbx>
                          <w:txbxContent>
                            <w:p>
                              <w:pPr>
                                <w:spacing w:line="252" w:lineRule="auto" w:before="61"/>
                                <w:ind w:left="184" w:right="111" w:hanging="91"/>
                                <w:jc w:val="left"/>
                                <w:rPr>
                                  <w:rFonts w:ascii="Arial MT"/>
                                  <w:color w:val="000000"/>
                                  <w:sz w:val="13"/>
                                </w:rPr>
                              </w:pPr>
                              <w:r>
                                <w:rPr>
                                  <w:rFonts w:ascii="Arial MT"/>
                                  <w:color w:val="231F20"/>
                                  <w:spacing w:val="-2"/>
                                  <w:sz w:val="13"/>
                                </w:rPr>
                                <w:t>Reassess</w:t>
                              </w:r>
                              <w:r>
                                <w:rPr>
                                  <w:rFonts w:ascii="Arial MT"/>
                                  <w:color w:val="231F20"/>
                                  <w:spacing w:val="40"/>
                                  <w:sz w:val="13"/>
                                </w:rPr>
                                <w:t> </w:t>
                              </w:r>
                              <w:r>
                                <w:rPr>
                                  <w:rFonts w:ascii="Arial MT"/>
                                  <w:color w:val="231F20"/>
                                  <w:spacing w:val="-2"/>
                                  <w:sz w:val="13"/>
                                </w:rPr>
                                <w:t>patient</w:t>
                              </w:r>
                            </w:p>
                          </w:txbxContent>
                        </wps:txbx>
                        <wps:bodyPr wrap="square" lIns="0" tIns="0" rIns="0" bIns="0" rtlCol="0">
                          <a:noAutofit/>
                        </wps:bodyPr>
                      </wps:wsp>
                      <wps:wsp>
                        <wps:cNvPr id="1544" name="Textbox 1544"/>
                        <wps:cNvSpPr txBox="1"/>
                        <wps:spPr>
                          <a:xfrm>
                            <a:off x="2607111" y="2092565"/>
                            <a:ext cx="574040" cy="287020"/>
                          </a:xfrm>
                          <a:prstGeom prst="rect">
                            <a:avLst/>
                          </a:prstGeom>
                          <a:solidFill>
                            <a:srgbClr val="D7EDDD"/>
                          </a:solidFill>
                          <a:ln w="11849">
                            <a:solidFill>
                              <a:srgbClr val="231F20"/>
                            </a:solidFill>
                            <a:prstDash val="solid"/>
                          </a:ln>
                        </wps:spPr>
                        <wps:txbx>
                          <w:txbxContent>
                            <w:p>
                              <w:pPr>
                                <w:spacing w:line="252" w:lineRule="auto" w:before="62"/>
                                <w:ind w:left="115" w:right="97" w:hanging="35"/>
                                <w:jc w:val="left"/>
                                <w:rPr>
                                  <w:rFonts w:ascii="Arial MT"/>
                                  <w:color w:val="000000"/>
                                  <w:sz w:val="13"/>
                                </w:rPr>
                              </w:pPr>
                              <w:r>
                                <w:rPr>
                                  <w:rFonts w:ascii="Arial MT"/>
                                  <w:color w:val="231F20"/>
                                  <w:sz w:val="13"/>
                                </w:rPr>
                                <w:t>Illness</w:t>
                              </w:r>
                              <w:r>
                                <w:rPr>
                                  <w:rFonts w:ascii="Arial MT"/>
                                  <w:color w:val="231F20"/>
                                  <w:spacing w:val="-10"/>
                                  <w:sz w:val="13"/>
                                </w:rPr>
                                <w:t> </w:t>
                              </w:r>
                              <w:r>
                                <w:rPr>
                                  <w:rFonts w:ascii="Arial MT"/>
                                  <w:color w:val="231F20"/>
                                  <w:sz w:val="13"/>
                                </w:rPr>
                                <w:t>other</w:t>
                              </w:r>
                              <w:r>
                                <w:rPr>
                                  <w:rFonts w:ascii="Arial MT"/>
                                  <w:color w:val="231F20"/>
                                  <w:spacing w:val="40"/>
                                  <w:sz w:val="13"/>
                                </w:rPr>
                                <w:t> </w:t>
                              </w:r>
                              <w:r>
                                <w:rPr>
                                  <w:rFonts w:ascii="Arial MT"/>
                                  <w:color w:val="231F20"/>
                                  <w:spacing w:val="-2"/>
                                  <w:sz w:val="13"/>
                                </w:rPr>
                                <w:t>than </w:t>
                              </w:r>
                              <w:r>
                                <w:rPr>
                                  <w:rFonts w:ascii="Arial MT"/>
                                  <w:color w:val="231F20"/>
                                  <w:spacing w:val="-4"/>
                                  <w:sz w:val="13"/>
                                </w:rPr>
                                <w:t>AOE?</w:t>
                              </w:r>
                            </w:p>
                          </w:txbxContent>
                        </wps:txbx>
                        <wps:bodyPr wrap="square" lIns="0" tIns="0" rIns="0" bIns="0" rtlCol="0">
                          <a:noAutofit/>
                        </wps:bodyPr>
                      </wps:wsp>
                      <wps:wsp>
                        <wps:cNvPr id="1545" name="Textbox 1545"/>
                        <wps:cNvSpPr txBox="1"/>
                        <wps:spPr>
                          <a:xfrm>
                            <a:off x="185585" y="2558523"/>
                            <a:ext cx="1146175" cy="187325"/>
                          </a:xfrm>
                          <a:prstGeom prst="rect">
                            <a:avLst/>
                          </a:prstGeom>
                          <a:solidFill>
                            <a:srgbClr val="F8EBD0"/>
                          </a:solidFill>
                          <a:ln w="11849">
                            <a:solidFill>
                              <a:srgbClr val="231F20"/>
                            </a:solidFill>
                            <a:prstDash val="solid"/>
                          </a:ln>
                        </wps:spPr>
                        <wps:txbx>
                          <w:txbxContent>
                            <w:p>
                              <w:pPr>
                                <w:spacing w:before="60"/>
                                <w:ind w:left="99" w:right="0" w:firstLine="0"/>
                                <w:jc w:val="left"/>
                                <w:rPr>
                                  <w:rFonts w:ascii="Arial MT"/>
                                  <w:color w:val="000000"/>
                                  <w:sz w:val="13"/>
                                </w:rPr>
                              </w:pPr>
                              <w:r>
                                <w:rPr>
                                  <w:rFonts w:ascii="Arial MT"/>
                                  <w:color w:val="231F20"/>
                                  <w:sz w:val="13"/>
                                </w:rPr>
                                <w:t>Complete</w:t>
                              </w:r>
                              <w:r>
                                <w:rPr>
                                  <w:rFonts w:ascii="Arial MT"/>
                                  <w:color w:val="231F20"/>
                                  <w:spacing w:val="-4"/>
                                  <w:sz w:val="13"/>
                                </w:rPr>
                                <w:t> </w:t>
                              </w:r>
                              <w:r>
                                <w:rPr>
                                  <w:rFonts w:ascii="Arial MT"/>
                                  <w:color w:val="231F20"/>
                                  <w:sz w:val="13"/>
                                </w:rPr>
                                <w:t>course</w:t>
                              </w:r>
                              <w:r>
                                <w:rPr>
                                  <w:rFonts w:ascii="Arial MT"/>
                                  <w:color w:val="231F20"/>
                                  <w:spacing w:val="-4"/>
                                  <w:sz w:val="13"/>
                                </w:rPr>
                                <w:t> </w:t>
                              </w:r>
                              <w:r>
                                <w:rPr>
                                  <w:rFonts w:ascii="Arial MT"/>
                                  <w:color w:val="231F20"/>
                                  <w:sz w:val="13"/>
                                </w:rPr>
                                <w:t>of</w:t>
                              </w:r>
                              <w:r>
                                <w:rPr>
                                  <w:rFonts w:ascii="Arial MT"/>
                                  <w:color w:val="231F20"/>
                                  <w:spacing w:val="-4"/>
                                  <w:sz w:val="13"/>
                                </w:rPr>
                                <w:t> </w:t>
                              </w:r>
                              <w:r>
                                <w:rPr>
                                  <w:rFonts w:ascii="Arial MT"/>
                                  <w:color w:val="231F20"/>
                                  <w:spacing w:val="-2"/>
                                  <w:sz w:val="13"/>
                                </w:rPr>
                                <w:t>therapy</w:t>
                              </w:r>
                            </w:p>
                          </w:txbxContent>
                        </wps:txbx>
                        <wps:bodyPr wrap="square" lIns="0" tIns="0" rIns="0" bIns="0" rtlCol="0">
                          <a:noAutofit/>
                        </wps:bodyPr>
                      </wps:wsp>
                      <wps:wsp>
                        <wps:cNvPr id="1546" name="Textbox 1546"/>
                        <wps:cNvSpPr txBox="1"/>
                        <wps:spPr>
                          <a:xfrm>
                            <a:off x="1575199" y="2455043"/>
                            <a:ext cx="991869" cy="394335"/>
                          </a:xfrm>
                          <a:prstGeom prst="rect">
                            <a:avLst/>
                          </a:prstGeom>
                          <a:solidFill>
                            <a:srgbClr val="D1E4F6"/>
                          </a:solidFill>
                          <a:ln w="11849">
                            <a:solidFill>
                              <a:srgbClr val="231F20"/>
                            </a:solidFill>
                            <a:prstDash val="solid"/>
                          </a:ln>
                        </wps:spPr>
                        <wps:txbx>
                          <w:txbxContent>
                            <w:p>
                              <w:pPr>
                                <w:spacing w:line="252" w:lineRule="auto" w:before="69"/>
                                <w:ind w:left="86" w:right="82" w:firstLine="68"/>
                                <w:jc w:val="both"/>
                                <w:rPr>
                                  <w:rFonts w:ascii="Arial MT"/>
                                  <w:color w:val="000000"/>
                                  <w:sz w:val="13"/>
                                </w:rPr>
                              </w:pPr>
                              <w:r>
                                <w:rPr>
                                  <w:rFonts w:ascii="Arial MT"/>
                                  <w:color w:val="231F20"/>
                                  <w:sz w:val="13"/>
                                </w:rPr>
                                <w:t>Assess drug delivery,</w:t>
                              </w:r>
                              <w:r>
                                <w:rPr>
                                  <w:rFonts w:ascii="Arial MT"/>
                                  <w:color w:val="231F20"/>
                                  <w:spacing w:val="40"/>
                                  <w:sz w:val="13"/>
                                </w:rPr>
                                <w:t> </w:t>
                              </w:r>
                              <w:r>
                                <w:rPr>
                                  <w:rFonts w:ascii="Arial MT"/>
                                  <w:color w:val="231F20"/>
                                  <w:sz w:val="13"/>
                                </w:rPr>
                                <w:t>adherence to therapy,</w:t>
                              </w:r>
                              <w:r>
                                <w:rPr>
                                  <w:rFonts w:ascii="Arial MT"/>
                                  <w:color w:val="231F20"/>
                                  <w:spacing w:val="40"/>
                                  <w:sz w:val="13"/>
                                </w:rPr>
                                <w:t> </w:t>
                              </w:r>
                              <w:r>
                                <w:rPr>
                                  <w:rFonts w:ascii="Arial MT"/>
                                  <w:color w:val="231F20"/>
                                  <w:sz w:val="13"/>
                                </w:rPr>
                                <w:t>need</w:t>
                              </w:r>
                              <w:r>
                                <w:rPr>
                                  <w:rFonts w:ascii="Arial MT"/>
                                  <w:color w:val="231F20"/>
                                  <w:spacing w:val="-3"/>
                                  <w:sz w:val="13"/>
                                </w:rPr>
                                <w:t> </w:t>
                              </w:r>
                              <w:r>
                                <w:rPr>
                                  <w:rFonts w:ascii="Arial MT"/>
                                  <w:color w:val="231F20"/>
                                  <w:sz w:val="13"/>
                                </w:rPr>
                                <w:t>to</w:t>
                              </w:r>
                              <w:r>
                                <w:rPr>
                                  <w:rFonts w:ascii="Arial MT"/>
                                  <w:color w:val="231F20"/>
                                  <w:spacing w:val="-3"/>
                                  <w:sz w:val="13"/>
                                </w:rPr>
                                <w:t> </w:t>
                              </w:r>
                              <w:r>
                                <w:rPr>
                                  <w:rFonts w:ascii="Arial MT"/>
                                  <w:color w:val="231F20"/>
                                  <w:sz w:val="13"/>
                                </w:rPr>
                                <w:t>change</w:t>
                              </w:r>
                              <w:r>
                                <w:rPr>
                                  <w:rFonts w:ascii="Arial MT"/>
                                  <w:color w:val="231F20"/>
                                  <w:spacing w:val="-3"/>
                                  <w:sz w:val="13"/>
                                </w:rPr>
                                <w:t> </w:t>
                              </w:r>
                              <w:r>
                                <w:rPr>
                                  <w:rFonts w:ascii="Arial MT"/>
                                  <w:color w:val="231F20"/>
                                  <w:spacing w:val="-2"/>
                                  <w:sz w:val="13"/>
                                </w:rPr>
                                <w:t>therapy</w:t>
                              </w:r>
                            </w:p>
                          </w:txbxContent>
                        </wps:txbx>
                        <wps:bodyPr wrap="square" lIns="0" tIns="0" rIns="0" bIns="0" rtlCol="0">
                          <a:noAutofit/>
                        </wps:bodyPr>
                      </wps:wsp>
                      <wps:wsp>
                        <wps:cNvPr id="1547" name="Textbox 1547"/>
                        <wps:cNvSpPr txBox="1"/>
                        <wps:spPr>
                          <a:xfrm>
                            <a:off x="315702" y="95218"/>
                            <a:ext cx="903605" cy="486409"/>
                          </a:xfrm>
                          <a:prstGeom prst="rect">
                            <a:avLst/>
                          </a:prstGeom>
                          <a:solidFill>
                            <a:srgbClr val="D7EDDD"/>
                          </a:solidFill>
                          <a:ln w="11849">
                            <a:solidFill>
                              <a:srgbClr val="231F20"/>
                            </a:solidFill>
                            <a:prstDash val="solid"/>
                          </a:ln>
                        </wps:spPr>
                        <wps:txbx>
                          <w:txbxContent>
                            <w:p>
                              <w:pPr>
                                <w:spacing w:line="252" w:lineRule="auto" w:before="67"/>
                                <w:ind w:left="79" w:right="88" w:firstLine="8"/>
                                <w:jc w:val="center"/>
                                <w:rPr>
                                  <w:rFonts w:ascii="Arial MT"/>
                                  <w:color w:val="000000"/>
                                  <w:sz w:val="13"/>
                                </w:rPr>
                              </w:pPr>
                              <w:r>
                                <w:rPr>
                                  <w:rFonts w:ascii="Arial MT"/>
                                  <w:color w:val="231F20"/>
                                  <w:sz w:val="13"/>
                                </w:rPr>
                                <w:t>Perforated</w:t>
                              </w:r>
                              <w:r>
                                <w:rPr>
                                  <w:rFonts w:ascii="Arial MT"/>
                                  <w:color w:val="231F20"/>
                                  <w:spacing w:val="-5"/>
                                  <w:sz w:val="13"/>
                                </w:rPr>
                                <w:t> </w:t>
                              </w:r>
                              <w:r>
                                <w:rPr>
                                  <w:rFonts w:ascii="Arial MT"/>
                                  <w:color w:val="231F20"/>
                                  <w:sz w:val="13"/>
                                </w:rPr>
                                <w:t>tympanic</w:t>
                              </w:r>
                              <w:r>
                                <w:rPr>
                                  <w:rFonts w:ascii="Arial MT"/>
                                  <w:color w:val="231F20"/>
                                  <w:spacing w:val="40"/>
                                  <w:sz w:val="13"/>
                                </w:rPr>
                                <w:t> </w:t>
                              </w:r>
                              <w:r>
                                <w:rPr>
                                  <w:rFonts w:ascii="Arial MT"/>
                                  <w:color w:val="231F20"/>
                                  <w:sz w:val="13"/>
                                </w:rPr>
                                <w:t>membrane</w:t>
                              </w:r>
                              <w:r>
                                <w:rPr>
                                  <w:rFonts w:ascii="Arial MT"/>
                                  <w:color w:val="231F20"/>
                                  <w:spacing w:val="-10"/>
                                  <w:sz w:val="13"/>
                                </w:rPr>
                                <w:t> </w:t>
                              </w:r>
                              <w:r>
                                <w:rPr>
                                  <w:rFonts w:ascii="Arial MT"/>
                                  <w:color w:val="231F20"/>
                                  <w:sz w:val="13"/>
                                </w:rPr>
                                <w:t>(known</w:t>
                              </w:r>
                              <w:r>
                                <w:rPr>
                                  <w:rFonts w:ascii="Arial MT"/>
                                  <w:color w:val="231F20"/>
                                  <w:spacing w:val="-9"/>
                                  <w:sz w:val="13"/>
                                </w:rPr>
                                <w:t> </w:t>
                              </w:r>
                              <w:r>
                                <w:rPr>
                                  <w:rFonts w:ascii="Arial MT"/>
                                  <w:color w:val="231F20"/>
                                  <w:sz w:val="13"/>
                                </w:rPr>
                                <w:t>or</w:t>
                              </w:r>
                              <w:r>
                                <w:rPr>
                                  <w:rFonts w:ascii="Arial MT"/>
                                  <w:color w:val="231F20"/>
                                  <w:spacing w:val="40"/>
                                  <w:sz w:val="13"/>
                                </w:rPr>
                                <w:t> </w:t>
                              </w:r>
                              <w:r>
                                <w:rPr>
                                  <w:rFonts w:ascii="Arial MT"/>
                                  <w:color w:val="231F20"/>
                                  <w:sz w:val="13"/>
                                </w:rPr>
                                <w:t>suspected)</w:t>
                              </w:r>
                              <w:r>
                                <w:rPr>
                                  <w:rFonts w:ascii="Arial MT"/>
                                  <w:color w:val="231F20"/>
                                  <w:spacing w:val="-5"/>
                                  <w:sz w:val="13"/>
                                </w:rPr>
                                <w:t> </w:t>
                              </w:r>
                              <w:r>
                                <w:rPr>
                                  <w:rFonts w:ascii="Arial MT"/>
                                  <w:color w:val="231F20"/>
                                  <w:sz w:val="13"/>
                                </w:rPr>
                                <w:t>or</w:t>
                              </w:r>
                              <w:r>
                                <w:rPr>
                                  <w:rFonts w:ascii="Arial MT"/>
                                  <w:color w:val="231F20"/>
                                  <w:spacing w:val="40"/>
                                  <w:sz w:val="13"/>
                                </w:rPr>
                                <w:t> </w:t>
                              </w:r>
                              <w:r>
                                <w:rPr>
                                  <w:rFonts w:ascii="Arial MT"/>
                                  <w:color w:val="231F20"/>
                                  <w:sz w:val="13"/>
                                </w:rPr>
                                <w:t>tympanostomy</w:t>
                              </w:r>
                              <w:r>
                                <w:rPr>
                                  <w:rFonts w:ascii="Arial MT"/>
                                  <w:color w:val="231F20"/>
                                  <w:spacing w:val="-10"/>
                                  <w:sz w:val="13"/>
                                </w:rPr>
                                <w:t> </w:t>
                              </w:r>
                              <w:r>
                                <w:rPr>
                                  <w:rFonts w:ascii="Arial MT"/>
                                  <w:color w:val="231F20"/>
                                  <w:sz w:val="13"/>
                                </w:rPr>
                                <w:t>tube?</w:t>
                              </w:r>
                            </w:p>
                          </w:txbxContent>
                        </wps:txbx>
                        <wps:bodyPr wrap="square" lIns="0" tIns="0" rIns="0" bIns="0" rtlCol="0">
                          <a:noAutofit/>
                        </wps:bodyPr>
                      </wps:wsp>
                      <wps:wsp>
                        <wps:cNvPr id="1548" name="Textbox 1548"/>
                        <wps:cNvSpPr txBox="1"/>
                        <wps:spPr>
                          <a:xfrm>
                            <a:off x="5924" y="768218"/>
                            <a:ext cx="1514475" cy="288925"/>
                          </a:xfrm>
                          <a:prstGeom prst="rect">
                            <a:avLst/>
                          </a:prstGeom>
                          <a:solidFill>
                            <a:srgbClr val="D1E4F6"/>
                          </a:solidFill>
                          <a:ln w="11849">
                            <a:solidFill>
                              <a:srgbClr val="231F20"/>
                            </a:solidFill>
                            <a:prstDash val="solid"/>
                          </a:ln>
                        </wps:spPr>
                        <wps:txbx>
                          <w:txbxContent>
                            <w:p>
                              <w:pPr>
                                <w:spacing w:line="252" w:lineRule="auto" w:before="65"/>
                                <w:ind w:left="86" w:right="77" w:firstLine="73"/>
                                <w:jc w:val="left"/>
                                <w:rPr>
                                  <w:rFonts w:ascii="Arial MT"/>
                                  <w:color w:val="000000"/>
                                  <w:sz w:val="13"/>
                                </w:rPr>
                              </w:pPr>
                              <w:r>
                                <w:rPr>
                                  <w:rFonts w:ascii="Arial MT"/>
                                  <w:color w:val="231F20"/>
                                  <w:sz w:val="13"/>
                                </w:rPr>
                                <w:t>Prescribe topical therapy based on</w:t>
                              </w:r>
                              <w:r>
                                <w:rPr>
                                  <w:rFonts w:ascii="Arial MT"/>
                                  <w:color w:val="231F20"/>
                                  <w:spacing w:val="40"/>
                                  <w:sz w:val="13"/>
                                </w:rPr>
                                <w:t> </w:t>
                              </w:r>
                              <w:r>
                                <w:rPr>
                                  <w:rFonts w:ascii="Arial MT"/>
                                  <w:color w:val="231F20"/>
                                  <w:sz w:val="13"/>
                                </w:rPr>
                                <w:t>benefits,</w:t>
                              </w:r>
                              <w:r>
                                <w:rPr>
                                  <w:rFonts w:ascii="Arial MT"/>
                                  <w:color w:val="231F20"/>
                                  <w:spacing w:val="-9"/>
                                  <w:sz w:val="13"/>
                                </w:rPr>
                                <w:t> </w:t>
                              </w:r>
                              <w:r>
                                <w:rPr>
                                  <w:rFonts w:ascii="Arial MT"/>
                                  <w:color w:val="231F20"/>
                                  <w:sz w:val="13"/>
                                </w:rPr>
                                <w:t>cost,</w:t>
                              </w:r>
                              <w:r>
                                <w:rPr>
                                  <w:rFonts w:ascii="Arial MT"/>
                                  <w:color w:val="231F20"/>
                                  <w:spacing w:val="-9"/>
                                  <w:sz w:val="13"/>
                                </w:rPr>
                                <w:t> </w:t>
                              </w:r>
                              <w:r>
                                <w:rPr>
                                  <w:rFonts w:ascii="Arial MT"/>
                                  <w:color w:val="231F20"/>
                                  <w:sz w:val="13"/>
                                </w:rPr>
                                <w:t>compliance,</w:t>
                              </w:r>
                              <w:r>
                                <w:rPr>
                                  <w:rFonts w:ascii="Arial MT"/>
                                  <w:color w:val="231F20"/>
                                  <w:spacing w:val="-9"/>
                                  <w:sz w:val="13"/>
                                </w:rPr>
                                <w:t> </w:t>
                              </w:r>
                              <w:r>
                                <w:rPr>
                                  <w:rFonts w:ascii="Arial MT"/>
                                  <w:color w:val="231F20"/>
                                  <w:sz w:val="13"/>
                                </w:rPr>
                                <w:t>preference</w:t>
                              </w:r>
                            </w:p>
                          </w:txbxContent>
                        </wps:txbx>
                        <wps:bodyPr wrap="square" lIns="0" tIns="0" rIns="0" bIns="0" rtlCol="0">
                          <a:noAutofit/>
                        </wps:bodyPr>
                      </wps:wsp>
                      <wps:wsp>
                        <wps:cNvPr id="1549" name="Textbox 1549"/>
                        <wps:cNvSpPr txBox="1"/>
                        <wps:spPr>
                          <a:xfrm>
                            <a:off x="40334" y="1624084"/>
                            <a:ext cx="1450975" cy="288925"/>
                          </a:xfrm>
                          <a:prstGeom prst="rect">
                            <a:avLst/>
                          </a:prstGeom>
                          <a:solidFill>
                            <a:srgbClr val="D1E4F6"/>
                          </a:solidFill>
                          <a:ln w="11849">
                            <a:solidFill>
                              <a:srgbClr val="231F20"/>
                            </a:solidFill>
                            <a:prstDash val="solid"/>
                          </a:ln>
                        </wps:spPr>
                        <wps:txbx>
                          <w:txbxContent>
                            <w:p>
                              <w:pPr>
                                <w:spacing w:line="252" w:lineRule="auto" w:before="64"/>
                                <w:ind w:left="365" w:right="87" w:hanging="281"/>
                                <w:jc w:val="left"/>
                                <w:rPr>
                                  <w:rFonts w:ascii="Arial MT"/>
                                  <w:color w:val="000000"/>
                                  <w:sz w:val="13"/>
                                </w:rPr>
                              </w:pPr>
                              <w:r>
                                <w:rPr>
                                  <w:rFonts w:ascii="Arial MT"/>
                                  <w:color w:val="231F20"/>
                                  <w:sz w:val="13"/>
                                </w:rPr>
                                <w:t>Educate</w:t>
                              </w:r>
                              <w:r>
                                <w:rPr>
                                  <w:rFonts w:ascii="Arial MT"/>
                                  <w:color w:val="231F20"/>
                                  <w:spacing w:val="-6"/>
                                  <w:sz w:val="13"/>
                                </w:rPr>
                                <w:t> </w:t>
                              </w:r>
                              <w:r>
                                <w:rPr>
                                  <w:rFonts w:ascii="Arial MT"/>
                                  <w:color w:val="231F20"/>
                                  <w:sz w:val="13"/>
                                </w:rPr>
                                <w:t>patient</w:t>
                              </w:r>
                              <w:r>
                                <w:rPr>
                                  <w:rFonts w:ascii="Arial MT"/>
                                  <w:color w:val="231F20"/>
                                  <w:spacing w:val="-6"/>
                                  <w:sz w:val="13"/>
                                </w:rPr>
                                <w:t> </w:t>
                              </w:r>
                              <w:r>
                                <w:rPr>
                                  <w:rFonts w:ascii="Arial MT"/>
                                  <w:color w:val="231F20"/>
                                  <w:sz w:val="13"/>
                                </w:rPr>
                                <w:t>or</w:t>
                              </w:r>
                              <w:r>
                                <w:rPr>
                                  <w:rFonts w:ascii="Arial MT"/>
                                  <w:color w:val="231F20"/>
                                  <w:spacing w:val="-6"/>
                                  <w:sz w:val="13"/>
                                </w:rPr>
                                <w:t> </w:t>
                              </w:r>
                              <w:r>
                                <w:rPr>
                                  <w:rFonts w:ascii="Arial MT"/>
                                  <w:color w:val="231F20"/>
                                  <w:sz w:val="13"/>
                                </w:rPr>
                                <w:t>caregiver</w:t>
                              </w:r>
                              <w:r>
                                <w:rPr>
                                  <w:rFonts w:ascii="Arial MT"/>
                                  <w:color w:val="231F20"/>
                                  <w:spacing w:val="-6"/>
                                  <w:sz w:val="13"/>
                                </w:rPr>
                                <w:t> </w:t>
                              </w:r>
                              <w:r>
                                <w:rPr>
                                  <w:rFonts w:ascii="Arial MT"/>
                                  <w:color w:val="231F20"/>
                                  <w:sz w:val="13"/>
                                </w:rPr>
                                <w:t>on</w:t>
                              </w:r>
                              <w:r>
                                <w:rPr>
                                  <w:rFonts w:ascii="Arial MT"/>
                                  <w:color w:val="231F20"/>
                                  <w:spacing w:val="-6"/>
                                  <w:sz w:val="13"/>
                                </w:rPr>
                                <w:t> </w:t>
                              </w:r>
                              <w:r>
                                <w:rPr>
                                  <w:rFonts w:ascii="Arial MT"/>
                                  <w:color w:val="231F20"/>
                                  <w:sz w:val="13"/>
                                </w:rPr>
                                <w:t>how</w:t>
                              </w:r>
                              <w:r>
                                <w:rPr>
                                  <w:rFonts w:ascii="Arial MT"/>
                                  <w:color w:val="231F20"/>
                                  <w:spacing w:val="40"/>
                                  <w:sz w:val="13"/>
                                </w:rPr>
                                <w:t> </w:t>
                              </w:r>
                              <w:r>
                                <w:rPr>
                                  <w:rFonts w:ascii="Arial MT"/>
                                  <w:color w:val="231F20"/>
                                  <w:sz w:val="13"/>
                                </w:rPr>
                                <w:t>to administer topical drops</w:t>
                              </w:r>
                            </w:p>
                          </w:txbxContent>
                        </wps:txbx>
                        <wps:bodyPr wrap="square" lIns="0" tIns="0" rIns="0" bIns="0" rtlCol="0">
                          <a:noAutofit/>
                        </wps:bodyPr>
                      </wps:wsp>
                      <wps:wsp>
                        <wps:cNvPr id="1550" name="Textbox 1550"/>
                        <wps:cNvSpPr txBox="1"/>
                        <wps:spPr>
                          <a:xfrm>
                            <a:off x="290712" y="1242826"/>
                            <a:ext cx="965835" cy="210185"/>
                          </a:xfrm>
                          <a:prstGeom prst="rect">
                            <a:avLst/>
                          </a:prstGeom>
                          <a:solidFill>
                            <a:srgbClr val="D7EDDD"/>
                          </a:solidFill>
                          <a:ln w="11849">
                            <a:solidFill>
                              <a:srgbClr val="231F20"/>
                            </a:solidFill>
                            <a:prstDash val="solid"/>
                          </a:ln>
                        </wps:spPr>
                        <wps:txbx>
                          <w:txbxContent>
                            <w:p>
                              <w:pPr>
                                <w:spacing w:before="75"/>
                                <w:ind w:left="143" w:right="0" w:firstLine="0"/>
                                <w:jc w:val="left"/>
                                <w:rPr>
                                  <w:rFonts w:ascii="Arial MT"/>
                                  <w:color w:val="000000"/>
                                  <w:sz w:val="13"/>
                                </w:rPr>
                              </w:pPr>
                              <w:r>
                                <w:rPr>
                                  <w:rFonts w:ascii="Arial MT"/>
                                  <w:color w:val="231F20"/>
                                  <w:sz w:val="13"/>
                                </w:rPr>
                                <w:t>Obstructed</w:t>
                              </w:r>
                              <w:r>
                                <w:rPr>
                                  <w:rFonts w:ascii="Arial MT"/>
                                  <w:color w:val="231F20"/>
                                  <w:spacing w:val="-5"/>
                                  <w:sz w:val="13"/>
                                </w:rPr>
                                <w:t> </w:t>
                              </w:r>
                              <w:r>
                                <w:rPr>
                                  <w:rFonts w:ascii="Arial MT"/>
                                  <w:color w:val="231F20"/>
                                  <w:sz w:val="13"/>
                                </w:rPr>
                                <w:t>ear</w:t>
                              </w:r>
                              <w:r>
                                <w:rPr>
                                  <w:rFonts w:ascii="Arial MT"/>
                                  <w:color w:val="231F20"/>
                                  <w:spacing w:val="-4"/>
                                  <w:sz w:val="13"/>
                                </w:rPr>
                                <w:t> </w:t>
                              </w:r>
                              <w:r>
                                <w:rPr>
                                  <w:rFonts w:ascii="Arial MT"/>
                                  <w:color w:val="231F20"/>
                                  <w:spacing w:val="-2"/>
                                  <w:sz w:val="13"/>
                                </w:rPr>
                                <w:t>canal</w:t>
                              </w:r>
                            </w:p>
                          </w:txbxContent>
                        </wps:txbx>
                        <wps:bodyPr wrap="square" lIns="0" tIns="0" rIns="0" bIns="0" rtlCol="0">
                          <a:noAutofit/>
                        </wps:bodyPr>
                      </wps:wsp>
                      <wps:wsp>
                        <wps:cNvPr id="1551" name="Textbox 1551"/>
                        <wps:cNvSpPr txBox="1"/>
                        <wps:spPr>
                          <a:xfrm>
                            <a:off x="361086" y="2087483"/>
                            <a:ext cx="815975" cy="287020"/>
                          </a:xfrm>
                          <a:prstGeom prst="rect">
                            <a:avLst/>
                          </a:prstGeom>
                          <a:solidFill>
                            <a:srgbClr val="D7EDDD"/>
                          </a:solidFill>
                          <a:ln w="11849">
                            <a:solidFill>
                              <a:srgbClr val="231F20"/>
                            </a:solidFill>
                            <a:prstDash val="solid"/>
                          </a:ln>
                        </wps:spPr>
                        <wps:txbx>
                          <w:txbxContent>
                            <w:p>
                              <w:pPr>
                                <w:spacing w:line="252" w:lineRule="auto" w:before="64"/>
                                <w:ind w:left="290" w:right="80" w:hanging="196"/>
                                <w:jc w:val="left"/>
                                <w:rPr>
                                  <w:rFonts w:ascii="Arial MT"/>
                                  <w:color w:val="000000"/>
                                  <w:sz w:val="13"/>
                                </w:rPr>
                              </w:pPr>
                              <w:r>
                                <w:rPr>
                                  <w:rFonts w:ascii="Arial MT"/>
                                  <w:color w:val="231F20"/>
                                  <w:sz w:val="13"/>
                                </w:rPr>
                                <w:t>Clinically</w:t>
                              </w:r>
                              <w:r>
                                <w:rPr>
                                  <w:rFonts w:ascii="Arial MT"/>
                                  <w:color w:val="231F20"/>
                                  <w:spacing w:val="-10"/>
                                  <w:sz w:val="13"/>
                                </w:rPr>
                                <w:t> </w:t>
                              </w:r>
                              <w:r>
                                <w:rPr>
                                  <w:rFonts w:ascii="Arial MT"/>
                                  <w:color w:val="231F20"/>
                                  <w:sz w:val="13"/>
                                </w:rPr>
                                <w:t>improved</w:t>
                              </w:r>
                              <w:r>
                                <w:rPr>
                                  <w:rFonts w:ascii="Arial MT"/>
                                  <w:color w:val="231F20"/>
                                  <w:spacing w:val="40"/>
                                  <w:sz w:val="13"/>
                                </w:rPr>
                                <w:t> </w:t>
                              </w:r>
                              <w:r>
                                <w:rPr>
                                  <w:rFonts w:ascii="Arial MT"/>
                                  <w:color w:val="231F20"/>
                                  <w:sz w:val="13"/>
                                </w:rPr>
                                <w:t>in 48-72 hr?</w:t>
                              </w:r>
                            </w:p>
                          </w:txbxContent>
                        </wps:txbx>
                        <wps:bodyPr wrap="square" lIns="0" tIns="0" rIns="0" bIns="0" rtlCol="0">
                          <a:noAutofit/>
                        </wps:bodyPr>
                      </wps:wsp>
                      <wps:wsp>
                        <wps:cNvPr id="1552" name="Textbox 1552"/>
                        <wps:cNvSpPr txBox="1"/>
                        <wps:spPr>
                          <a:xfrm>
                            <a:off x="48956" y="2157448"/>
                            <a:ext cx="313690" cy="140970"/>
                          </a:xfrm>
                          <a:prstGeom prst="rect">
                            <a:avLst/>
                          </a:prstGeom>
                        </wps:spPr>
                        <wps:txbx>
                          <w:txbxContent>
                            <w:p>
                              <w:pPr>
                                <w:spacing w:before="30"/>
                                <w:ind w:left="70" w:right="0" w:firstLine="0"/>
                                <w:jc w:val="left"/>
                                <w:rPr>
                                  <w:rFonts w:ascii="Arial MT"/>
                                  <w:sz w:val="13"/>
                                </w:rPr>
                              </w:pPr>
                              <w:r>
                                <w:rPr>
                                  <w:rFonts w:ascii="Arial MT"/>
                                  <w:color w:val="231F20"/>
                                  <w:spacing w:val="-10"/>
                                  <w:sz w:val="13"/>
                                </w:rPr>
                                <w:t>A</w:t>
                              </w:r>
                            </w:p>
                          </w:txbxContent>
                        </wps:txbx>
                        <wps:bodyPr wrap="square" lIns="0" tIns="0" rIns="0" bIns="0" rtlCol="0">
                          <a:noAutofit/>
                        </wps:bodyPr>
                      </wps:wsp>
                      <wps:wsp>
                        <wps:cNvPr id="1553" name="Textbox 1553"/>
                        <wps:cNvSpPr txBox="1"/>
                        <wps:spPr>
                          <a:xfrm>
                            <a:off x="2566012" y="2358177"/>
                            <a:ext cx="339725" cy="329565"/>
                          </a:xfrm>
                          <a:prstGeom prst="rect">
                            <a:avLst/>
                          </a:prstGeom>
                        </wps:spPr>
                        <wps:txbx>
                          <w:txbxContent>
                            <w:p>
                              <w:pPr>
                                <w:spacing w:before="162"/>
                                <w:ind w:left="248" w:right="0" w:firstLine="0"/>
                                <w:jc w:val="left"/>
                                <w:rPr>
                                  <w:rFonts w:ascii="Arial"/>
                                  <w:b/>
                                  <w:sz w:val="15"/>
                                </w:rPr>
                              </w:pPr>
                              <w:r>
                                <w:rPr>
                                  <w:rFonts w:ascii="Arial"/>
                                  <w:b/>
                                  <w:color w:val="231F20"/>
                                  <w:spacing w:val="-5"/>
                                  <w:sz w:val="15"/>
                                </w:rPr>
                                <w:t>No</w:t>
                              </w:r>
                            </w:p>
                          </w:txbxContent>
                        </wps:txbx>
                        <wps:bodyPr wrap="square" lIns="0" tIns="0" rIns="0" bIns="0" rtlCol="0">
                          <a:noAutofit/>
                        </wps:bodyPr>
                      </wps:wsp>
                    </wpg:wgp>
                  </a:graphicData>
                </a:graphic>
              </wp:anchor>
            </w:drawing>
          </mc:Choice>
          <mc:Fallback>
            <w:pict>
              <v:group style="position:absolute;margin-left:30.294348pt;margin-top:-12.515726pt;width:289.9pt;height:224.85pt;mso-position-horizontal-relative:page;mso-position-vertical-relative:paragraph;z-index:-28057088" id="docshapegroup1193" coordorigin="606,-250" coordsize="5798,4497">
                <v:shape style="position:absolute;left:1749;top:-251;width:122;height:149" id="docshape1194" coordorigin="1750,-250" coordsize="122,149" path="m1871,-250l1810,-215,1750,-250,1810,-102,1871,-250xe" filled="true" fillcolor="#231f20" stroked="false">
                  <v:path arrowok="t"/>
                  <v:fill type="solid"/>
                </v:shape>
                <v:line style="position:absolute" from="1810,665" to="1810,856" stroked="true" strokeweight=".933014pt" strokecolor="#231f20">
                  <v:stroke dashstyle="solid"/>
                </v:line>
                <v:shape style="position:absolute;left:1749;top:812;width:122;height:149" id="docshape1195" coordorigin="1750,813" coordsize="122,149" path="m1871,813l1810,848,1750,813,1810,961,1871,813xe" filled="true" fillcolor="#231f20" stroked="false">
                  <v:path arrowok="t"/>
                  <v:fill type="solid"/>
                </v:shape>
                <v:line style="position:absolute" from="1810,1414" to="1810,1587" stroked="true" strokeweight=".933014pt" strokecolor="#231f20">
                  <v:stroke dashstyle="solid"/>
                </v:line>
                <v:shape style="position:absolute;left:1749;top:1544;width:122;height:149" id="docshape1196" coordorigin="1750,1544" coordsize="122,149" path="m1871,1544l1810,1579,1750,1544,1810,1693,1871,1544xe" filled="true" fillcolor="#231f20" stroked="false">
                  <v:path arrowok="t"/>
                  <v:fill type="solid"/>
                </v:shape>
                <v:line style="position:absolute" from="1810,2038" to="1810,2200" stroked="true" strokeweight=".933014pt" strokecolor="#231f20">
                  <v:stroke dashstyle="solid"/>
                </v:line>
                <v:shape style="position:absolute;left:1749;top:2157;width:122;height:149" id="docshape1197" coordorigin="1750,2157" coordsize="122,149" path="m1871,2157l1810,2192,1750,2157,1810,2306,1871,2157xe" filled="true" fillcolor="#231f20" stroked="false">
                  <v:path arrowok="t"/>
                  <v:fill type="solid"/>
                </v:shape>
                <v:line style="position:absolute" from="1810,2761" to="1810,2932" stroked="true" strokeweight=".933014pt" strokecolor="#231f20">
                  <v:stroke dashstyle="solid"/>
                </v:line>
                <v:shape style="position:absolute;left:1749;top:2888;width:122;height:149" id="docshape1198" coordorigin="1750,2889" coordsize="122,149" path="m1871,2889l1810,2924,1750,2889,1810,3037,1871,2889xe" filled="true" fillcolor="#231f20" stroked="false">
                  <v:path arrowok="t"/>
                  <v:fill type="solid"/>
                </v:shape>
                <v:line style="position:absolute" from="890,3259" to="1071,3259" stroked="true" strokeweight=".933014pt" strokecolor="#231f20">
                  <v:stroke dashstyle="solid"/>
                </v:line>
                <v:shape style="position:absolute;left:1027;top:3198;width:149;height:122" id="docshape1199" coordorigin="1028,3198" coordsize="149,122" path="m1028,3198l1063,3259,1028,3319,1176,3259,1028,3198xe" filled="true" fillcolor="#231f20" stroked="false">
                  <v:path arrowok="t"/>
                  <v:fill type="solid"/>
                </v:shape>
                <v:line style="position:absolute" from="1810,3489" to="1810,3664" stroked="true" strokeweight=".933014pt" strokecolor="#231f20">
                  <v:stroke dashstyle="solid"/>
                </v:line>
                <v:shape style="position:absolute;left:1749;top:3620;width:122;height:149" id="docshape1200" coordorigin="1750,3621" coordsize="122,149" path="m1871,3621l1810,3656,1750,3621,1810,3769,1871,3621xe" filled="true" fillcolor="#231f20" stroked="false">
                  <v:path arrowok="t"/>
                  <v:fill type="solid"/>
                </v:shape>
                <v:line style="position:absolute" from="3088,3921" to="2815,3921" stroked="true" strokeweight=".933014pt" strokecolor="#231f20">
                  <v:stroke dashstyle="solid"/>
                </v:line>
                <v:shape style="position:absolute;left:2709;top:3860;width:149;height:122" id="docshape1201" coordorigin="2710,3860" coordsize="149,122" path="m2858,3860l2710,3921,2858,3982,2823,3921,2858,3860xe" filled="true" fillcolor="#231f20" stroked="false">
                  <v:path arrowok="t"/>
                  <v:fill type="solid"/>
                </v:shape>
                <v:line style="position:absolute" from="2459,3266" to="3113,3266" stroked="true" strokeweight=".933947pt" strokecolor="#231f20">
                  <v:stroke dashstyle="solid"/>
                </v:line>
                <v:shape style="position:absolute;left:3069;top:3205;width:149;height:122" id="docshape1202" coordorigin="3069,3205" coordsize="149,122" path="m3069,3205l3105,3266,3069,3326,3218,3266,3069,3205xe" filled="true" fillcolor="#231f20" stroked="false">
                  <v:path arrowok="t"/>
                  <v:fill type="solid"/>
                </v:shape>
                <v:line style="position:absolute" from="4028,3266" to="4609,3266" stroked="true" strokeweight=".933014pt" strokecolor="#231f20">
                  <v:stroke dashstyle="solid"/>
                </v:line>
                <v:shape style="position:absolute;left:4565;top:3205;width:149;height:122" id="docshape1203" coordorigin="4566,3205" coordsize="149,122" path="m4566,3205l4601,3266,4566,3326,4714,3266,4566,3205xe" filled="true" fillcolor="#231f20" stroked="false">
                  <v:path arrowok="t"/>
                  <v:fill type="solid"/>
                </v:shape>
                <v:shape style="position:absolute;left:5539;top:3253;width:564;height:250" id="docshape1204" coordorigin="5540,3253" coordsize="564,250" path="m6104,3503l6104,3253,5540,3253e" filled="false" stroked="true" strokeweight=".933014pt" strokecolor="#231f20">
                  <v:path arrowok="t"/>
                  <v:stroke dashstyle="solid"/>
                </v:shape>
                <v:shape style="position:absolute;left:6043;top:3459;width:122;height:149" id="docshape1205" coordorigin="6043,3460" coordsize="122,149" path="m6164,3460l6104,3495,6043,3460,6104,3608,6164,3460xe" filled="true" fillcolor="#231f20" stroked="false">
                  <v:path arrowok="t"/>
                  <v:fill type="solid"/>
                </v:shape>
                <v:shape style="position:absolute;left:4752;top:3472;width:420;height:449" id="docshape1206" coordorigin="4752,3473" coordsize="420,449" path="m4752,3921l5172,3921,5172,3473e" filled="false" stroked="true" strokeweight=".933014pt" strokecolor="#231f20">
                  <v:path arrowok="t"/>
                  <v:stroke dashstyle="solid"/>
                </v:shape>
                <v:shape style="position:absolute;left:4646;top:3860;width:149;height:122" id="docshape1207" coordorigin="4647,3860" coordsize="149,122" path="m4795,3860l4647,3921,4795,3982,4760,3921,4795,3860xe" filled="true" fillcolor="#231f20" stroked="false">
                  <v:path arrowok="t"/>
                  <v:fill type="solid"/>
                </v:shape>
                <v:shape style="position:absolute;left:2519;top:270;width:1835;height:590" id="docshape1208" coordorigin="2519,270" coordsize="1835,590" path="m4353,860l4353,270,2519,270e" filled="false" stroked="true" strokeweight=".933014pt" strokecolor="#231f20">
                  <v:path arrowok="t"/>
                  <v:stroke dashstyle="solid"/>
                </v:shape>
                <v:shape style="position:absolute;left:4292;top:817;width:122;height:149" id="docshape1209" coordorigin="4292,817" coordsize="122,149" path="m4414,817l4353,852,4292,817,4353,966,4414,817xe" filled="true" fillcolor="#231f20" stroked="false">
                  <v:path arrowok="t"/>
                  <v:fill type="solid"/>
                </v:shape>
                <v:line style="position:absolute" from="2595,1877" to="3217,1877" stroked="true" strokeweight=".933014pt" strokecolor="#231f20">
                  <v:stroke dashstyle="solid"/>
                </v:line>
                <v:shape style="position:absolute;left:3174;top:1816;width:149;height:122" id="docshape1210" coordorigin="3174,1816" coordsize="149,122" path="m3174,1816l3209,1877,3174,1938,3323,1877,3174,1816xe" filled="true" fillcolor="#231f20" stroked="false">
                  <v:path arrowok="t"/>
                  <v:fill type="solid"/>
                </v:shape>
                <v:shape style="position:absolute;left:3060;top:2125;width:1280;height:402" id="docshape1211" coordorigin="3060,2126" coordsize="1280,402" path="m3060,2527l4340,2527,4340,2126e" filled="false" stroked="true" strokeweight=".933014pt" strokecolor="#231f20">
                  <v:path arrowok="t"/>
                  <v:stroke dashstyle="solid"/>
                </v:shape>
                <v:shape style="position:absolute;left:2954;top:2466;width:149;height:122" id="docshape1212" coordorigin="2955,2466" coordsize="149,122" path="m3103,2466l2955,2527,3103,2588,3068,2527,3103,2466xe" filled="true" fillcolor="#231f20" stroked="false">
                  <v:path arrowok="t"/>
                  <v:fill type="solid"/>
                </v:shape>
                <v:line style="position:absolute" from="3379,1410" to="2682,1674" stroked="true" strokeweight=".933014pt" strokecolor="#231f20">
                  <v:stroke dashstyle="solid"/>
                </v:line>
                <v:shape style="position:absolute;left:2583;top:1601;width:161;height:114" id="docshape1213" coordorigin="2583,1602" coordsize="161,114" path="m2701,1602l2583,1711,2744,1715,2689,1671,2701,1602xe" filled="true" fillcolor="#231f20" stroked="false">
                  <v:path arrowok="t"/>
                  <v:fill type="solid"/>
                </v:shape>
                <v:rect style="position:absolute;left:5832;top:3615;width:562;height:604" id="docshape1214" filled="true" fillcolor="#f1bcb5" stroked="false">
                  <v:fill type="solid"/>
                </v:rect>
                <v:rect style="position:absolute;left:5832;top:3615;width:562;height:604" id="docshape1215" filled="false" stroked="true" strokeweight=".933014pt" strokecolor="#231f20">
                  <v:stroke dashstyle="solid"/>
                </v:rect>
                <v:shape style="position:absolute;left:682;top:3147;width:222;height:222" type="#_x0000_t75" id="docshape1216" stroked="false">
                  <v:imagedata r:id="rId329" o:title=""/>
                </v:shape>
                <v:shape style="position:absolute;left:3358;top:967;width:1993;height:451" type="#_x0000_t202" id="docshape1217" filled="true" fillcolor="#d1e4f6" stroked="true" strokeweight=".933014pt" strokecolor="#231f20">
                  <v:textbox inset="0,0,0,0">
                    <w:txbxContent>
                      <w:p>
                        <w:pPr>
                          <w:spacing w:line="252" w:lineRule="auto" w:before="60"/>
                          <w:ind w:left="297" w:right="84" w:hanging="225"/>
                          <w:jc w:val="left"/>
                          <w:rPr>
                            <w:rFonts w:ascii="Arial MT"/>
                            <w:color w:val="000000"/>
                            <w:sz w:val="13"/>
                          </w:rPr>
                        </w:pPr>
                        <w:r>
                          <w:rPr>
                            <w:rFonts w:ascii="Arial MT"/>
                            <w:color w:val="231F20"/>
                            <w:sz w:val="13"/>
                          </w:rPr>
                          <w:t>Prescribe</w:t>
                        </w:r>
                        <w:r>
                          <w:rPr>
                            <w:rFonts w:ascii="Arial MT"/>
                            <w:color w:val="231F20"/>
                            <w:spacing w:val="-8"/>
                            <w:sz w:val="13"/>
                          </w:rPr>
                          <w:t> </w:t>
                        </w:r>
                        <w:r>
                          <w:rPr>
                            <w:rFonts w:ascii="Arial MT"/>
                            <w:color w:val="231F20"/>
                            <w:sz w:val="13"/>
                          </w:rPr>
                          <w:t>topical</w:t>
                        </w:r>
                        <w:r>
                          <w:rPr>
                            <w:rFonts w:ascii="Arial MT"/>
                            <w:color w:val="231F20"/>
                            <w:spacing w:val="-8"/>
                            <w:sz w:val="13"/>
                          </w:rPr>
                          <w:t> </w:t>
                        </w:r>
                        <w:r>
                          <w:rPr>
                            <w:rFonts w:ascii="Arial MT"/>
                            <w:color w:val="231F20"/>
                            <w:sz w:val="13"/>
                          </w:rPr>
                          <w:t>therapy</w:t>
                        </w:r>
                        <w:r>
                          <w:rPr>
                            <w:rFonts w:ascii="Arial MT"/>
                            <w:color w:val="231F20"/>
                            <w:spacing w:val="-8"/>
                            <w:sz w:val="13"/>
                          </w:rPr>
                          <w:t> </w:t>
                        </w:r>
                        <w:r>
                          <w:rPr>
                            <w:rFonts w:ascii="Arial MT"/>
                            <w:color w:val="231F20"/>
                            <w:sz w:val="13"/>
                          </w:rPr>
                          <w:t>with</w:t>
                        </w:r>
                        <w:r>
                          <w:rPr>
                            <w:rFonts w:ascii="Arial MT"/>
                            <w:color w:val="231F20"/>
                            <w:spacing w:val="-8"/>
                            <w:sz w:val="13"/>
                          </w:rPr>
                          <w:t> </w:t>
                        </w:r>
                        <w:r>
                          <w:rPr>
                            <w:rFonts w:ascii="Arial MT"/>
                            <w:color w:val="231F20"/>
                            <w:sz w:val="13"/>
                          </w:rPr>
                          <w:t>a</w:t>
                        </w:r>
                        <w:r>
                          <w:rPr>
                            <w:rFonts w:ascii="Arial MT"/>
                            <w:color w:val="231F20"/>
                            <w:spacing w:val="40"/>
                            <w:sz w:val="13"/>
                          </w:rPr>
                          <w:t> </w:t>
                        </w:r>
                        <w:r>
                          <w:rPr>
                            <w:rFonts w:ascii="Arial MT"/>
                            <w:color w:val="231F20"/>
                            <w:sz w:val="13"/>
                          </w:rPr>
                          <w:t>nonototoxic</w:t>
                        </w:r>
                        <w:r>
                          <w:rPr>
                            <w:rFonts w:ascii="Arial MT"/>
                            <w:color w:val="231F20"/>
                            <w:spacing w:val="-5"/>
                            <w:sz w:val="13"/>
                          </w:rPr>
                          <w:t> </w:t>
                        </w:r>
                        <w:r>
                          <w:rPr>
                            <w:rFonts w:ascii="Arial MT"/>
                            <w:color w:val="231F20"/>
                            <w:sz w:val="13"/>
                          </w:rPr>
                          <w:t>preparation</w:t>
                        </w:r>
                      </w:p>
                    </w:txbxContent>
                  </v:textbox>
                  <v:fill type="solid"/>
                  <v:stroke dashstyle="solid"/>
                  <w10:wrap type="none"/>
                </v:shape>
                <v:shape style="position:absolute;left:3333;top:1572;width:2001;height:596" type="#_x0000_t202" id="docshape1218" filled="true" fillcolor="#d1e4f6" stroked="true" strokeweight=".933014pt" strokecolor="#231f20">
                  <v:textbox inset="0,0,0,0">
                    <w:txbxContent>
                      <w:p>
                        <w:pPr>
                          <w:spacing w:line="252" w:lineRule="auto" w:before="60"/>
                          <w:ind w:left="87" w:right="85" w:firstLine="8"/>
                          <w:jc w:val="center"/>
                          <w:rPr>
                            <w:rFonts w:ascii="Arial MT"/>
                            <w:color w:val="000000"/>
                            <w:sz w:val="13"/>
                          </w:rPr>
                        </w:pPr>
                        <w:r>
                          <w:rPr>
                            <w:rFonts w:ascii="Arial MT"/>
                            <w:color w:val="231F20"/>
                            <w:sz w:val="13"/>
                          </w:rPr>
                          <w:t>Perform aural toilet to remove</w:t>
                        </w:r>
                        <w:r>
                          <w:rPr>
                            <w:rFonts w:ascii="Arial MT"/>
                            <w:color w:val="231F20"/>
                            <w:spacing w:val="40"/>
                            <w:sz w:val="13"/>
                          </w:rPr>
                          <w:t> </w:t>
                        </w:r>
                        <w:r>
                          <w:rPr>
                            <w:rFonts w:ascii="Arial MT"/>
                            <w:color w:val="231F20"/>
                            <w:sz w:val="13"/>
                          </w:rPr>
                          <w:t>obstructing</w:t>
                        </w:r>
                        <w:r>
                          <w:rPr>
                            <w:rFonts w:ascii="Arial MT"/>
                            <w:color w:val="231F20"/>
                            <w:spacing w:val="-8"/>
                            <w:sz w:val="13"/>
                          </w:rPr>
                          <w:t> </w:t>
                        </w:r>
                        <w:r>
                          <w:rPr>
                            <w:rFonts w:ascii="Arial MT"/>
                            <w:color w:val="231F20"/>
                            <w:sz w:val="13"/>
                          </w:rPr>
                          <w:t>debris;</w:t>
                        </w:r>
                        <w:r>
                          <w:rPr>
                            <w:rFonts w:ascii="Arial MT"/>
                            <w:color w:val="231F20"/>
                            <w:spacing w:val="-8"/>
                            <w:sz w:val="13"/>
                          </w:rPr>
                          <w:t> </w:t>
                        </w:r>
                        <w:r>
                          <w:rPr>
                            <w:rFonts w:ascii="Arial MT"/>
                            <w:color w:val="231F20"/>
                            <w:sz w:val="13"/>
                          </w:rPr>
                          <w:t>place</w:t>
                        </w:r>
                        <w:r>
                          <w:rPr>
                            <w:rFonts w:ascii="Arial MT"/>
                            <w:color w:val="231F20"/>
                            <w:spacing w:val="-8"/>
                            <w:sz w:val="13"/>
                          </w:rPr>
                          <w:t> </w:t>
                        </w:r>
                        <w:r>
                          <w:rPr>
                            <w:rFonts w:ascii="Arial MT"/>
                            <w:color w:val="231F20"/>
                            <w:sz w:val="13"/>
                          </w:rPr>
                          <w:t>wick</w:t>
                        </w:r>
                        <w:r>
                          <w:rPr>
                            <w:rFonts w:ascii="Arial MT"/>
                            <w:color w:val="231F20"/>
                            <w:spacing w:val="-8"/>
                            <w:sz w:val="13"/>
                          </w:rPr>
                          <w:t> </w:t>
                        </w:r>
                        <w:r>
                          <w:rPr>
                            <w:rFonts w:ascii="Arial MT"/>
                            <w:color w:val="231F20"/>
                            <w:sz w:val="13"/>
                          </w:rPr>
                          <w:t>if</w:t>
                        </w:r>
                        <w:r>
                          <w:rPr>
                            <w:rFonts w:ascii="Arial MT"/>
                            <w:color w:val="231F20"/>
                            <w:spacing w:val="40"/>
                            <w:sz w:val="13"/>
                          </w:rPr>
                          <w:t> </w:t>
                        </w:r>
                        <w:r>
                          <w:rPr>
                            <w:rFonts w:ascii="Arial MT"/>
                            <w:color w:val="231F20"/>
                            <w:sz w:val="13"/>
                          </w:rPr>
                          <w:t>edema prevents drug delivery</w:t>
                        </w:r>
                      </w:p>
                    </w:txbxContent>
                  </v:textbox>
                  <v:fill type="solid"/>
                  <v:stroke dashstyle="solid"/>
                  <w10:wrap type="none"/>
                </v:shape>
                <v:shape style="position:absolute;left:5530;top:3244;width:873;height:985" type="#_x0000_t202" id="docshape1219" filled="false" stroked="false">
                  <v:textbox inset="0,0,0,0">
                    <w:txbxContent>
                      <w:p>
                        <w:pPr>
                          <w:spacing w:line="240" w:lineRule="auto" w:before="0"/>
                          <w:rPr>
                            <w:i/>
                            <w:sz w:val="13"/>
                          </w:rPr>
                        </w:pPr>
                      </w:p>
                      <w:p>
                        <w:pPr>
                          <w:spacing w:line="240" w:lineRule="auto" w:before="138"/>
                          <w:rPr>
                            <w:i/>
                            <w:sz w:val="13"/>
                          </w:rPr>
                        </w:pPr>
                      </w:p>
                      <w:p>
                        <w:pPr>
                          <w:spacing w:line="252" w:lineRule="auto" w:before="0"/>
                          <w:ind w:left="407" w:right="100" w:firstLine="36"/>
                          <w:jc w:val="both"/>
                          <w:rPr>
                            <w:rFonts w:ascii="Arial MT"/>
                            <w:sz w:val="13"/>
                          </w:rPr>
                        </w:pPr>
                        <w:r>
                          <w:rPr>
                            <w:rFonts w:ascii="Arial MT"/>
                            <w:color w:val="231F20"/>
                            <w:spacing w:val="-2"/>
                            <w:sz w:val="13"/>
                          </w:rPr>
                          <w:t>Treat</w:t>
                        </w:r>
                        <w:r>
                          <w:rPr>
                            <w:rFonts w:ascii="Arial MT"/>
                            <w:color w:val="231F20"/>
                            <w:spacing w:val="40"/>
                            <w:sz w:val="13"/>
                          </w:rPr>
                          <w:t> </w:t>
                        </w:r>
                        <w:r>
                          <w:rPr>
                            <w:rFonts w:ascii="Arial MT"/>
                            <w:color w:val="231F20"/>
                            <w:spacing w:val="-2"/>
                            <w:sz w:val="13"/>
                          </w:rPr>
                          <w:t>other</w:t>
                        </w:r>
                        <w:r>
                          <w:rPr>
                            <w:rFonts w:ascii="Arial MT"/>
                            <w:color w:val="231F20"/>
                            <w:spacing w:val="40"/>
                            <w:sz w:val="13"/>
                          </w:rPr>
                          <w:t> </w:t>
                        </w:r>
                        <w:r>
                          <w:rPr>
                            <w:rFonts w:ascii="Arial MT"/>
                            <w:color w:val="231F20"/>
                            <w:spacing w:val="-2"/>
                            <w:sz w:val="13"/>
                          </w:rPr>
                          <w:t>illness</w:t>
                        </w:r>
                      </w:p>
                    </w:txbxContent>
                  </v:textbox>
                  <w10:wrap type="none"/>
                </v:shape>
                <v:shape style="position:absolute;left:3219;top:3029;width:800;height:460" type="#_x0000_t202" id="docshape1220" filled="true" fillcolor="#d1e4f6" stroked="true" strokeweight=".933014pt" strokecolor="#231f20">
                  <v:textbox inset="0,0,0,0">
                    <w:txbxContent>
                      <w:p>
                        <w:pPr>
                          <w:spacing w:line="252" w:lineRule="auto" w:before="61"/>
                          <w:ind w:left="184" w:right="111" w:hanging="91"/>
                          <w:jc w:val="left"/>
                          <w:rPr>
                            <w:rFonts w:ascii="Arial MT"/>
                            <w:color w:val="000000"/>
                            <w:sz w:val="13"/>
                          </w:rPr>
                        </w:pPr>
                        <w:r>
                          <w:rPr>
                            <w:rFonts w:ascii="Arial MT"/>
                            <w:color w:val="231F20"/>
                            <w:spacing w:val="-2"/>
                            <w:sz w:val="13"/>
                          </w:rPr>
                          <w:t>Reassess</w:t>
                        </w:r>
                        <w:r>
                          <w:rPr>
                            <w:rFonts w:ascii="Arial MT"/>
                            <w:color w:val="231F20"/>
                            <w:spacing w:val="40"/>
                            <w:sz w:val="13"/>
                          </w:rPr>
                          <w:t> </w:t>
                        </w:r>
                        <w:r>
                          <w:rPr>
                            <w:rFonts w:ascii="Arial MT"/>
                            <w:color w:val="231F20"/>
                            <w:spacing w:val="-2"/>
                            <w:sz w:val="13"/>
                          </w:rPr>
                          <w:t>patient</w:t>
                        </w:r>
                      </w:p>
                    </w:txbxContent>
                  </v:textbox>
                  <v:fill type="solid"/>
                  <v:stroke dashstyle="solid"/>
                  <w10:wrap type="none"/>
                </v:shape>
                <v:shape style="position:absolute;left:4711;top:3045;width:904;height:452" type="#_x0000_t202" id="docshape1221" filled="true" fillcolor="#d7eddd" stroked="true" strokeweight=".933014pt" strokecolor="#231f20">
                  <v:textbox inset="0,0,0,0">
                    <w:txbxContent>
                      <w:p>
                        <w:pPr>
                          <w:spacing w:line="252" w:lineRule="auto" w:before="62"/>
                          <w:ind w:left="115" w:right="97" w:hanging="35"/>
                          <w:jc w:val="left"/>
                          <w:rPr>
                            <w:rFonts w:ascii="Arial MT"/>
                            <w:color w:val="000000"/>
                            <w:sz w:val="13"/>
                          </w:rPr>
                        </w:pPr>
                        <w:r>
                          <w:rPr>
                            <w:rFonts w:ascii="Arial MT"/>
                            <w:color w:val="231F20"/>
                            <w:sz w:val="13"/>
                          </w:rPr>
                          <w:t>Illness</w:t>
                        </w:r>
                        <w:r>
                          <w:rPr>
                            <w:rFonts w:ascii="Arial MT"/>
                            <w:color w:val="231F20"/>
                            <w:spacing w:val="-10"/>
                            <w:sz w:val="13"/>
                          </w:rPr>
                          <w:t> </w:t>
                        </w:r>
                        <w:r>
                          <w:rPr>
                            <w:rFonts w:ascii="Arial MT"/>
                            <w:color w:val="231F20"/>
                            <w:sz w:val="13"/>
                          </w:rPr>
                          <w:t>other</w:t>
                        </w:r>
                        <w:r>
                          <w:rPr>
                            <w:rFonts w:ascii="Arial MT"/>
                            <w:color w:val="231F20"/>
                            <w:spacing w:val="40"/>
                            <w:sz w:val="13"/>
                          </w:rPr>
                          <w:t> </w:t>
                        </w:r>
                        <w:r>
                          <w:rPr>
                            <w:rFonts w:ascii="Arial MT"/>
                            <w:color w:val="231F20"/>
                            <w:spacing w:val="-2"/>
                            <w:sz w:val="13"/>
                          </w:rPr>
                          <w:t>than </w:t>
                        </w:r>
                        <w:r>
                          <w:rPr>
                            <w:rFonts w:ascii="Arial MT"/>
                            <w:color w:val="231F20"/>
                            <w:spacing w:val="-4"/>
                            <w:sz w:val="13"/>
                          </w:rPr>
                          <w:t>AOE?</w:t>
                        </w:r>
                      </w:p>
                    </w:txbxContent>
                  </v:textbox>
                  <v:fill type="solid"/>
                  <v:stroke dashstyle="solid"/>
                  <w10:wrap type="none"/>
                </v:shape>
                <v:shape style="position:absolute;left:898;top:3778;width:1805;height:295" type="#_x0000_t202" id="docshape1222" filled="true" fillcolor="#f8ebd0" stroked="true" strokeweight=".933014pt" strokecolor="#231f20">
                  <v:textbox inset="0,0,0,0">
                    <w:txbxContent>
                      <w:p>
                        <w:pPr>
                          <w:spacing w:before="60"/>
                          <w:ind w:left="99" w:right="0" w:firstLine="0"/>
                          <w:jc w:val="left"/>
                          <w:rPr>
                            <w:rFonts w:ascii="Arial MT"/>
                            <w:color w:val="000000"/>
                            <w:sz w:val="13"/>
                          </w:rPr>
                        </w:pPr>
                        <w:r>
                          <w:rPr>
                            <w:rFonts w:ascii="Arial MT"/>
                            <w:color w:val="231F20"/>
                            <w:sz w:val="13"/>
                          </w:rPr>
                          <w:t>Complete</w:t>
                        </w:r>
                        <w:r>
                          <w:rPr>
                            <w:rFonts w:ascii="Arial MT"/>
                            <w:color w:val="231F20"/>
                            <w:spacing w:val="-4"/>
                            <w:sz w:val="13"/>
                          </w:rPr>
                          <w:t> </w:t>
                        </w:r>
                        <w:r>
                          <w:rPr>
                            <w:rFonts w:ascii="Arial MT"/>
                            <w:color w:val="231F20"/>
                            <w:sz w:val="13"/>
                          </w:rPr>
                          <w:t>course</w:t>
                        </w:r>
                        <w:r>
                          <w:rPr>
                            <w:rFonts w:ascii="Arial MT"/>
                            <w:color w:val="231F20"/>
                            <w:spacing w:val="-4"/>
                            <w:sz w:val="13"/>
                          </w:rPr>
                          <w:t> </w:t>
                        </w:r>
                        <w:r>
                          <w:rPr>
                            <w:rFonts w:ascii="Arial MT"/>
                            <w:color w:val="231F20"/>
                            <w:sz w:val="13"/>
                          </w:rPr>
                          <w:t>of</w:t>
                        </w:r>
                        <w:r>
                          <w:rPr>
                            <w:rFonts w:ascii="Arial MT"/>
                            <w:color w:val="231F20"/>
                            <w:spacing w:val="-4"/>
                            <w:sz w:val="13"/>
                          </w:rPr>
                          <w:t> </w:t>
                        </w:r>
                        <w:r>
                          <w:rPr>
                            <w:rFonts w:ascii="Arial MT"/>
                            <w:color w:val="231F20"/>
                            <w:spacing w:val="-2"/>
                            <w:sz w:val="13"/>
                          </w:rPr>
                          <w:t>therapy</w:t>
                        </w:r>
                      </w:p>
                    </w:txbxContent>
                  </v:textbox>
                  <v:fill type="solid"/>
                  <v:stroke dashstyle="solid"/>
                  <w10:wrap type="none"/>
                </v:shape>
                <v:shape style="position:absolute;left:3086;top:3615;width:1562;height:621" type="#_x0000_t202" id="docshape1223" filled="true" fillcolor="#d1e4f6" stroked="true" strokeweight=".933014pt" strokecolor="#231f20">
                  <v:textbox inset="0,0,0,0">
                    <w:txbxContent>
                      <w:p>
                        <w:pPr>
                          <w:spacing w:line="252" w:lineRule="auto" w:before="69"/>
                          <w:ind w:left="86" w:right="82" w:firstLine="68"/>
                          <w:jc w:val="both"/>
                          <w:rPr>
                            <w:rFonts w:ascii="Arial MT"/>
                            <w:color w:val="000000"/>
                            <w:sz w:val="13"/>
                          </w:rPr>
                        </w:pPr>
                        <w:r>
                          <w:rPr>
                            <w:rFonts w:ascii="Arial MT"/>
                            <w:color w:val="231F20"/>
                            <w:sz w:val="13"/>
                          </w:rPr>
                          <w:t>Assess drug delivery,</w:t>
                        </w:r>
                        <w:r>
                          <w:rPr>
                            <w:rFonts w:ascii="Arial MT"/>
                            <w:color w:val="231F20"/>
                            <w:spacing w:val="40"/>
                            <w:sz w:val="13"/>
                          </w:rPr>
                          <w:t> </w:t>
                        </w:r>
                        <w:r>
                          <w:rPr>
                            <w:rFonts w:ascii="Arial MT"/>
                            <w:color w:val="231F20"/>
                            <w:sz w:val="13"/>
                          </w:rPr>
                          <w:t>adherence to therapy,</w:t>
                        </w:r>
                        <w:r>
                          <w:rPr>
                            <w:rFonts w:ascii="Arial MT"/>
                            <w:color w:val="231F20"/>
                            <w:spacing w:val="40"/>
                            <w:sz w:val="13"/>
                          </w:rPr>
                          <w:t> </w:t>
                        </w:r>
                        <w:r>
                          <w:rPr>
                            <w:rFonts w:ascii="Arial MT"/>
                            <w:color w:val="231F20"/>
                            <w:sz w:val="13"/>
                          </w:rPr>
                          <w:t>need</w:t>
                        </w:r>
                        <w:r>
                          <w:rPr>
                            <w:rFonts w:ascii="Arial MT"/>
                            <w:color w:val="231F20"/>
                            <w:spacing w:val="-3"/>
                            <w:sz w:val="13"/>
                          </w:rPr>
                          <w:t> </w:t>
                        </w:r>
                        <w:r>
                          <w:rPr>
                            <w:rFonts w:ascii="Arial MT"/>
                            <w:color w:val="231F20"/>
                            <w:sz w:val="13"/>
                          </w:rPr>
                          <w:t>to</w:t>
                        </w:r>
                        <w:r>
                          <w:rPr>
                            <w:rFonts w:ascii="Arial MT"/>
                            <w:color w:val="231F20"/>
                            <w:spacing w:val="-3"/>
                            <w:sz w:val="13"/>
                          </w:rPr>
                          <w:t> </w:t>
                        </w:r>
                        <w:r>
                          <w:rPr>
                            <w:rFonts w:ascii="Arial MT"/>
                            <w:color w:val="231F20"/>
                            <w:sz w:val="13"/>
                          </w:rPr>
                          <w:t>change</w:t>
                        </w:r>
                        <w:r>
                          <w:rPr>
                            <w:rFonts w:ascii="Arial MT"/>
                            <w:color w:val="231F20"/>
                            <w:spacing w:val="-3"/>
                            <w:sz w:val="13"/>
                          </w:rPr>
                          <w:t> </w:t>
                        </w:r>
                        <w:r>
                          <w:rPr>
                            <w:rFonts w:ascii="Arial MT"/>
                            <w:color w:val="231F20"/>
                            <w:spacing w:val="-2"/>
                            <w:sz w:val="13"/>
                          </w:rPr>
                          <w:t>therapy</w:t>
                        </w:r>
                      </w:p>
                    </w:txbxContent>
                  </v:textbox>
                  <v:fill type="solid"/>
                  <v:stroke dashstyle="solid"/>
                  <w10:wrap type="none"/>
                </v:shape>
                <v:shape style="position:absolute;left:1103;top:-101;width:1423;height:766" type="#_x0000_t202" id="docshape1224" filled="true" fillcolor="#d7eddd" stroked="true" strokeweight=".933014pt" strokecolor="#231f20">
                  <v:textbox inset="0,0,0,0">
                    <w:txbxContent>
                      <w:p>
                        <w:pPr>
                          <w:spacing w:line="252" w:lineRule="auto" w:before="67"/>
                          <w:ind w:left="79" w:right="88" w:firstLine="8"/>
                          <w:jc w:val="center"/>
                          <w:rPr>
                            <w:rFonts w:ascii="Arial MT"/>
                            <w:color w:val="000000"/>
                            <w:sz w:val="13"/>
                          </w:rPr>
                        </w:pPr>
                        <w:r>
                          <w:rPr>
                            <w:rFonts w:ascii="Arial MT"/>
                            <w:color w:val="231F20"/>
                            <w:sz w:val="13"/>
                          </w:rPr>
                          <w:t>Perforated</w:t>
                        </w:r>
                        <w:r>
                          <w:rPr>
                            <w:rFonts w:ascii="Arial MT"/>
                            <w:color w:val="231F20"/>
                            <w:spacing w:val="-5"/>
                            <w:sz w:val="13"/>
                          </w:rPr>
                          <w:t> </w:t>
                        </w:r>
                        <w:r>
                          <w:rPr>
                            <w:rFonts w:ascii="Arial MT"/>
                            <w:color w:val="231F20"/>
                            <w:sz w:val="13"/>
                          </w:rPr>
                          <w:t>tympanic</w:t>
                        </w:r>
                        <w:r>
                          <w:rPr>
                            <w:rFonts w:ascii="Arial MT"/>
                            <w:color w:val="231F20"/>
                            <w:spacing w:val="40"/>
                            <w:sz w:val="13"/>
                          </w:rPr>
                          <w:t> </w:t>
                        </w:r>
                        <w:r>
                          <w:rPr>
                            <w:rFonts w:ascii="Arial MT"/>
                            <w:color w:val="231F20"/>
                            <w:sz w:val="13"/>
                          </w:rPr>
                          <w:t>membrane</w:t>
                        </w:r>
                        <w:r>
                          <w:rPr>
                            <w:rFonts w:ascii="Arial MT"/>
                            <w:color w:val="231F20"/>
                            <w:spacing w:val="-10"/>
                            <w:sz w:val="13"/>
                          </w:rPr>
                          <w:t> </w:t>
                        </w:r>
                        <w:r>
                          <w:rPr>
                            <w:rFonts w:ascii="Arial MT"/>
                            <w:color w:val="231F20"/>
                            <w:sz w:val="13"/>
                          </w:rPr>
                          <w:t>(known</w:t>
                        </w:r>
                        <w:r>
                          <w:rPr>
                            <w:rFonts w:ascii="Arial MT"/>
                            <w:color w:val="231F20"/>
                            <w:spacing w:val="-9"/>
                            <w:sz w:val="13"/>
                          </w:rPr>
                          <w:t> </w:t>
                        </w:r>
                        <w:r>
                          <w:rPr>
                            <w:rFonts w:ascii="Arial MT"/>
                            <w:color w:val="231F20"/>
                            <w:sz w:val="13"/>
                          </w:rPr>
                          <w:t>or</w:t>
                        </w:r>
                        <w:r>
                          <w:rPr>
                            <w:rFonts w:ascii="Arial MT"/>
                            <w:color w:val="231F20"/>
                            <w:spacing w:val="40"/>
                            <w:sz w:val="13"/>
                          </w:rPr>
                          <w:t> </w:t>
                        </w:r>
                        <w:r>
                          <w:rPr>
                            <w:rFonts w:ascii="Arial MT"/>
                            <w:color w:val="231F20"/>
                            <w:sz w:val="13"/>
                          </w:rPr>
                          <w:t>suspected)</w:t>
                        </w:r>
                        <w:r>
                          <w:rPr>
                            <w:rFonts w:ascii="Arial MT"/>
                            <w:color w:val="231F20"/>
                            <w:spacing w:val="-5"/>
                            <w:sz w:val="13"/>
                          </w:rPr>
                          <w:t> </w:t>
                        </w:r>
                        <w:r>
                          <w:rPr>
                            <w:rFonts w:ascii="Arial MT"/>
                            <w:color w:val="231F20"/>
                            <w:sz w:val="13"/>
                          </w:rPr>
                          <w:t>or</w:t>
                        </w:r>
                        <w:r>
                          <w:rPr>
                            <w:rFonts w:ascii="Arial MT"/>
                            <w:color w:val="231F20"/>
                            <w:spacing w:val="40"/>
                            <w:sz w:val="13"/>
                          </w:rPr>
                          <w:t> </w:t>
                        </w:r>
                        <w:r>
                          <w:rPr>
                            <w:rFonts w:ascii="Arial MT"/>
                            <w:color w:val="231F20"/>
                            <w:sz w:val="13"/>
                          </w:rPr>
                          <w:t>tympanostomy</w:t>
                        </w:r>
                        <w:r>
                          <w:rPr>
                            <w:rFonts w:ascii="Arial MT"/>
                            <w:color w:val="231F20"/>
                            <w:spacing w:val="-10"/>
                            <w:sz w:val="13"/>
                          </w:rPr>
                          <w:t> </w:t>
                        </w:r>
                        <w:r>
                          <w:rPr>
                            <w:rFonts w:ascii="Arial MT"/>
                            <w:color w:val="231F20"/>
                            <w:sz w:val="13"/>
                          </w:rPr>
                          <w:t>tube?</w:t>
                        </w:r>
                      </w:p>
                    </w:txbxContent>
                  </v:textbox>
                  <v:fill type="solid"/>
                  <v:stroke dashstyle="solid"/>
                  <w10:wrap type="none"/>
                </v:shape>
                <v:shape style="position:absolute;left:615;top:959;width:2385;height:455" type="#_x0000_t202" id="docshape1225" filled="true" fillcolor="#d1e4f6" stroked="true" strokeweight=".933014pt" strokecolor="#231f20">
                  <v:textbox inset="0,0,0,0">
                    <w:txbxContent>
                      <w:p>
                        <w:pPr>
                          <w:spacing w:line="252" w:lineRule="auto" w:before="65"/>
                          <w:ind w:left="86" w:right="77" w:firstLine="73"/>
                          <w:jc w:val="left"/>
                          <w:rPr>
                            <w:rFonts w:ascii="Arial MT"/>
                            <w:color w:val="000000"/>
                            <w:sz w:val="13"/>
                          </w:rPr>
                        </w:pPr>
                        <w:r>
                          <w:rPr>
                            <w:rFonts w:ascii="Arial MT"/>
                            <w:color w:val="231F20"/>
                            <w:sz w:val="13"/>
                          </w:rPr>
                          <w:t>Prescribe topical therapy based on</w:t>
                        </w:r>
                        <w:r>
                          <w:rPr>
                            <w:rFonts w:ascii="Arial MT"/>
                            <w:color w:val="231F20"/>
                            <w:spacing w:val="40"/>
                            <w:sz w:val="13"/>
                          </w:rPr>
                          <w:t> </w:t>
                        </w:r>
                        <w:r>
                          <w:rPr>
                            <w:rFonts w:ascii="Arial MT"/>
                            <w:color w:val="231F20"/>
                            <w:sz w:val="13"/>
                          </w:rPr>
                          <w:t>benefits,</w:t>
                        </w:r>
                        <w:r>
                          <w:rPr>
                            <w:rFonts w:ascii="Arial MT"/>
                            <w:color w:val="231F20"/>
                            <w:spacing w:val="-9"/>
                            <w:sz w:val="13"/>
                          </w:rPr>
                          <w:t> </w:t>
                        </w:r>
                        <w:r>
                          <w:rPr>
                            <w:rFonts w:ascii="Arial MT"/>
                            <w:color w:val="231F20"/>
                            <w:sz w:val="13"/>
                          </w:rPr>
                          <w:t>cost,</w:t>
                        </w:r>
                        <w:r>
                          <w:rPr>
                            <w:rFonts w:ascii="Arial MT"/>
                            <w:color w:val="231F20"/>
                            <w:spacing w:val="-9"/>
                            <w:sz w:val="13"/>
                          </w:rPr>
                          <w:t> </w:t>
                        </w:r>
                        <w:r>
                          <w:rPr>
                            <w:rFonts w:ascii="Arial MT"/>
                            <w:color w:val="231F20"/>
                            <w:sz w:val="13"/>
                          </w:rPr>
                          <w:t>compliance,</w:t>
                        </w:r>
                        <w:r>
                          <w:rPr>
                            <w:rFonts w:ascii="Arial MT"/>
                            <w:color w:val="231F20"/>
                            <w:spacing w:val="-9"/>
                            <w:sz w:val="13"/>
                          </w:rPr>
                          <w:t> </w:t>
                        </w:r>
                        <w:r>
                          <w:rPr>
                            <w:rFonts w:ascii="Arial MT"/>
                            <w:color w:val="231F20"/>
                            <w:sz w:val="13"/>
                          </w:rPr>
                          <w:t>preference</w:t>
                        </w:r>
                      </w:p>
                    </w:txbxContent>
                  </v:textbox>
                  <v:fill type="solid"/>
                  <v:stroke dashstyle="solid"/>
                  <w10:wrap type="none"/>
                </v:shape>
                <v:shape style="position:absolute;left:669;top:2307;width:2285;height:455" type="#_x0000_t202" id="docshape1226" filled="true" fillcolor="#d1e4f6" stroked="true" strokeweight=".933014pt" strokecolor="#231f20">
                  <v:textbox inset="0,0,0,0">
                    <w:txbxContent>
                      <w:p>
                        <w:pPr>
                          <w:spacing w:line="252" w:lineRule="auto" w:before="64"/>
                          <w:ind w:left="365" w:right="87" w:hanging="281"/>
                          <w:jc w:val="left"/>
                          <w:rPr>
                            <w:rFonts w:ascii="Arial MT"/>
                            <w:color w:val="000000"/>
                            <w:sz w:val="13"/>
                          </w:rPr>
                        </w:pPr>
                        <w:r>
                          <w:rPr>
                            <w:rFonts w:ascii="Arial MT"/>
                            <w:color w:val="231F20"/>
                            <w:sz w:val="13"/>
                          </w:rPr>
                          <w:t>Educate</w:t>
                        </w:r>
                        <w:r>
                          <w:rPr>
                            <w:rFonts w:ascii="Arial MT"/>
                            <w:color w:val="231F20"/>
                            <w:spacing w:val="-6"/>
                            <w:sz w:val="13"/>
                          </w:rPr>
                          <w:t> </w:t>
                        </w:r>
                        <w:r>
                          <w:rPr>
                            <w:rFonts w:ascii="Arial MT"/>
                            <w:color w:val="231F20"/>
                            <w:sz w:val="13"/>
                          </w:rPr>
                          <w:t>patient</w:t>
                        </w:r>
                        <w:r>
                          <w:rPr>
                            <w:rFonts w:ascii="Arial MT"/>
                            <w:color w:val="231F20"/>
                            <w:spacing w:val="-6"/>
                            <w:sz w:val="13"/>
                          </w:rPr>
                          <w:t> </w:t>
                        </w:r>
                        <w:r>
                          <w:rPr>
                            <w:rFonts w:ascii="Arial MT"/>
                            <w:color w:val="231F20"/>
                            <w:sz w:val="13"/>
                          </w:rPr>
                          <w:t>or</w:t>
                        </w:r>
                        <w:r>
                          <w:rPr>
                            <w:rFonts w:ascii="Arial MT"/>
                            <w:color w:val="231F20"/>
                            <w:spacing w:val="-6"/>
                            <w:sz w:val="13"/>
                          </w:rPr>
                          <w:t> </w:t>
                        </w:r>
                        <w:r>
                          <w:rPr>
                            <w:rFonts w:ascii="Arial MT"/>
                            <w:color w:val="231F20"/>
                            <w:sz w:val="13"/>
                          </w:rPr>
                          <w:t>caregiver</w:t>
                        </w:r>
                        <w:r>
                          <w:rPr>
                            <w:rFonts w:ascii="Arial MT"/>
                            <w:color w:val="231F20"/>
                            <w:spacing w:val="-6"/>
                            <w:sz w:val="13"/>
                          </w:rPr>
                          <w:t> </w:t>
                        </w:r>
                        <w:r>
                          <w:rPr>
                            <w:rFonts w:ascii="Arial MT"/>
                            <w:color w:val="231F20"/>
                            <w:sz w:val="13"/>
                          </w:rPr>
                          <w:t>on</w:t>
                        </w:r>
                        <w:r>
                          <w:rPr>
                            <w:rFonts w:ascii="Arial MT"/>
                            <w:color w:val="231F20"/>
                            <w:spacing w:val="-6"/>
                            <w:sz w:val="13"/>
                          </w:rPr>
                          <w:t> </w:t>
                        </w:r>
                        <w:r>
                          <w:rPr>
                            <w:rFonts w:ascii="Arial MT"/>
                            <w:color w:val="231F20"/>
                            <w:sz w:val="13"/>
                          </w:rPr>
                          <w:t>how</w:t>
                        </w:r>
                        <w:r>
                          <w:rPr>
                            <w:rFonts w:ascii="Arial MT"/>
                            <w:color w:val="231F20"/>
                            <w:spacing w:val="40"/>
                            <w:sz w:val="13"/>
                          </w:rPr>
                          <w:t> </w:t>
                        </w:r>
                        <w:r>
                          <w:rPr>
                            <w:rFonts w:ascii="Arial MT"/>
                            <w:color w:val="231F20"/>
                            <w:sz w:val="13"/>
                          </w:rPr>
                          <w:t>to administer topical drops</w:t>
                        </w:r>
                      </w:p>
                    </w:txbxContent>
                  </v:textbox>
                  <v:fill type="solid"/>
                  <v:stroke dashstyle="solid"/>
                  <w10:wrap type="none"/>
                </v:shape>
                <v:shape style="position:absolute;left:1063;top:1706;width:1521;height:331" type="#_x0000_t202" id="docshape1227" filled="true" fillcolor="#d7eddd" stroked="true" strokeweight=".933014pt" strokecolor="#231f20">
                  <v:textbox inset="0,0,0,0">
                    <w:txbxContent>
                      <w:p>
                        <w:pPr>
                          <w:spacing w:before="75"/>
                          <w:ind w:left="143" w:right="0" w:firstLine="0"/>
                          <w:jc w:val="left"/>
                          <w:rPr>
                            <w:rFonts w:ascii="Arial MT"/>
                            <w:color w:val="000000"/>
                            <w:sz w:val="13"/>
                          </w:rPr>
                        </w:pPr>
                        <w:r>
                          <w:rPr>
                            <w:rFonts w:ascii="Arial MT"/>
                            <w:color w:val="231F20"/>
                            <w:sz w:val="13"/>
                          </w:rPr>
                          <w:t>Obstructed</w:t>
                        </w:r>
                        <w:r>
                          <w:rPr>
                            <w:rFonts w:ascii="Arial MT"/>
                            <w:color w:val="231F20"/>
                            <w:spacing w:val="-5"/>
                            <w:sz w:val="13"/>
                          </w:rPr>
                          <w:t> </w:t>
                        </w:r>
                        <w:r>
                          <w:rPr>
                            <w:rFonts w:ascii="Arial MT"/>
                            <w:color w:val="231F20"/>
                            <w:sz w:val="13"/>
                          </w:rPr>
                          <w:t>ear</w:t>
                        </w:r>
                        <w:r>
                          <w:rPr>
                            <w:rFonts w:ascii="Arial MT"/>
                            <w:color w:val="231F20"/>
                            <w:spacing w:val="-4"/>
                            <w:sz w:val="13"/>
                          </w:rPr>
                          <w:t> </w:t>
                        </w:r>
                        <w:r>
                          <w:rPr>
                            <w:rFonts w:ascii="Arial MT"/>
                            <w:color w:val="231F20"/>
                            <w:spacing w:val="-2"/>
                            <w:sz w:val="13"/>
                          </w:rPr>
                          <w:t>canal</w:t>
                        </w:r>
                      </w:p>
                    </w:txbxContent>
                  </v:textbox>
                  <v:fill type="solid"/>
                  <v:stroke dashstyle="solid"/>
                  <w10:wrap type="none"/>
                </v:shape>
                <v:shape style="position:absolute;left:1174;top:3037;width:1285;height:452" type="#_x0000_t202" id="docshape1228" filled="true" fillcolor="#d7eddd" stroked="true" strokeweight=".933014pt" strokecolor="#231f20">
                  <v:textbox inset="0,0,0,0">
                    <w:txbxContent>
                      <w:p>
                        <w:pPr>
                          <w:spacing w:line="252" w:lineRule="auto" w:before="64"/>
                          <w:ind w:left="290" w:right="80" w:hanging="196"/>
                          <w:jc w:val="left"/>
                          <w:rPr>
                            <w:rFonts w:ascii="Arial MT"/>
                            <w:color w:val="000000"/>
                            <w:sz w:val="13"/>
                          </w:rPr>
                        </w:pPr>
                        <w:r>
                          <w:rPr>
                            <w:rFonts w:ascii="Arial MT"/>
                            <w:color w:val="231F20"/>
                            <w:sz w:val="13"/>
                          </w:rPr>
                          <w:t>Clinically</w:t>
                        </w:r>
                        <w:r>
                          <w:rPr>
                            <w:rFonts w:ascii="Arial MT"/>
                            <w:color w:val="231F20"/>
                            <w:spacing w:val="-10"/>
                            <w:sz w:val="13"/>
                          </w:rPr>
                          <w:t> </w:t>
                        </w:r>
                        <w:r>
                          <w:rPr>
                            <w:rFonts w:ascii="Arial MT"/>
                            <w:color w:val="231F20"/>
                            <w:sz w:val="13"/>
                          </w:rPr>
                          <w:t>improved</w:t>
                        </w:r>
                        <w:r>
                          <w:rPr>
                            <w:rFonts w:ascii="Arial MT"/>
                            <w:color w:val="231F20"/>
                            <w:spacing w:val="40"/>
                            <w:sz w:val="13"/>
                          </w:rPr>
                          <w:t> </w:t>
                        </w:r>
                        <w:r>
                          <w:rPr>
                            <w:rFonts w:ascii="Arial MT"/>
                            <w:color w:val="231F20"/>
                            <w:sz w:val="13"/>
                          </w:rPr>
                          <w:t>in 48-72 hr?</w:t>
                        </w:r>
                      </w:p>
                    </w:txbxContent>
                  </v:textbox>
                  <v:fill type="solid"/>
                  <v:stroke dashstyle="solid"/>
                  <w10:wrap type="none"/>
                </v:shape>
                <v:shape style="position:absolute;left:682;top:3147;width:494;height:222" type="#_x0000_t202" id="docshape1229" filled="false" stroked="false">
                  <v:textbox inset="0,0,0,0">
                    <w:txbxContent>
                      <w:p>
                        <w:pPr>
                          <w:spacing w:before="30"/>
                          <w:ind w:left="70" w:right="0" w:firstLine="0"/>
                          <w:jc w:val="left"/>
                          <w:rPr>
                            <w:rFonts w:ascii="Arial MT"/>
                            <w:sz w:val="13"/>
                          </w:rPr>
                        </w:pPr>
                        <w:r>
                          <w:rPr>
                            <w:rFonts w:ascii="Arial MT"/>
                            <w:color w:val="231F20"/>
                            <w:spacing w:val="-10"/>
                            <w:sz w:val="13"/>
                          </w:rPr>
                          <w:t>A</w:t>
                        </w:r>
                      </w:p>
                    </w:txbxContent>
                  </v:textbox>
                  <w10:wrap type="none"/>
                </v:shape>
                <v:shape style="position:absolute;left:4646;top:3463;width:535;height:519" type="#_x0000_t202" id="docshape1230" filled="false" stroked="false">
                  <v:textbox inset="0,0,0,0">
                    <w:txbxContent>
                      <w:p>
                        <w:pPr>
                          <w:spacing w:before="162"/>
                          <w:ind w:left="248" w:right="0" w:firstLine="0"/>
                          <w:jc w:val="left"/>
                          <w:rPr>
                            <w:rFonts w:ascii="Arial"/>
                            <w:b/>
                            <w:sz w:val="15"/>
                          </w:rPr>
                        </w:pPr>
                        <w:r>
                          <w:rPr>
                            <w:rFonts w:ascii="Arial"/>
                            <w:b/>
                            <w:color w:val="231F20"/>
                            <w:spacing w:val="-5"/>
                            <w:sz w:val="15"/>
                          </w:rPr>
                          <w:t>No</w:t>
                        </w:r>
                      </w:p>
                    </w:txbxContent>
                  </v:textbox>
                  <w10:wrap type="none"/>
                </v:shape>
                <w10:wrap type="none"/>
              </v:group>
            </w:pict>
          </mc:Fallback>
        </mc:AlternateContent>
      </w:r>
      <w:r>
        <w:rPr>
          <w:rFonts w:ascii="Arial"/>
          <w:b/>
          <w:sz w:val="15"/>
        </w:rPr>
        <mc:AlternateContent>
          <mc:Choice Requires="wps">
            <w:drawing>
              <wp:anchor distT="0" distB="0" distL="0" distR="0" allowOverlap="1" layoutInCell="1" locked="0" behindDoc="1" simplePos="0" relativeHeight="475259904">
                <wp:simplePos x="0" y="0"/>
                <wp:positionH relativeFrom="page">
                  <wp:posOffset>1771421</wp:posOffset>
                </wp:positionH>
                <wp:positionV relativeFrom="paragraph">
                  <wp:posOffset>-925357</wp:posOffset>
                </wp:positionV>
                <wp:extent cx="2374265" cy="605155"/>
                <wp:effectExtent l="0" t="0" r="0" b="0"/>
                <wp:wrapNone/>
                <wp:docPr id="1554" name="Group 1554"/>
                <wp:cNvGraphicFramePr>
                  <a:graphicFrameLocks/>
                </wp:cNvGraphicFramePr>
                <a:graphic>
                  <a:graphicData uri="http://schemas.microsoft.com/office/word/2010/wordprocessingGroup">
                    <wpg:wgp>
                      <wpg:cNvPr id="1554" name="Group 1554"/>
                      <wpg:cNvGrpSpPr/>
                      <wpg:grpSpPr>
                        <a:xfrm>
                          <a:off x="0" y="0"/>
                          <a:ext cx="2374265" cy="605155"/>
                          <a:chExt cx="2374265" cy="605155"/>
                        </a:xfrm>
                      </wpg:grpSpPr>
                      <wps:wsp>
                        <wps:cNvPr id="1555" name="Graphic 1555"/>
                        <wps:cNvSpPr/>
                        <wps:spPr>
                          <a:xfrm>
                            <a:off x="0" y="264291"/>
                            <a:ext cx="94615" cy="77470"/>
                          </a:xfrm>
                          <a:custGeom>
                            <a:avLst/>
                            <a:gdLst/>
                            <a:ahLst/>
                            <a:cxnLst/>
                            <a:rect l="l" t="t" r="r" b="b"/>
                            <a:pathLst>
                              <a:path w="94615" h="77470">
                                <a:moveTo>
                                  <a:pt x="0" y="0"/>
                                </a:moveTo>
                                <a:lnTo>
                                  <a:pt x="22377"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556" name="Graphic 1556"/>
                        <wps:cNvSpPr/>
                        <wps:spPr>
                          <a:xfrm>
                            <a:off x="1671460" y="302823"/>
                            <a:ext cx="247650" cy="1270"/>
                          </a:xfrm>
                          <a:custGeom>
                            <a:avLst/>
                            <a:gdLst/>
                            <a:ahLst/>
                            <a:cxnLst/>
                            <a:rect l="l" t="t" r="r" b="b"/>
                            <a:pathLst>
                              <a:path w="247650" h="0">
                                <a:moveTo>
                                  <a:pt x="0" y="0"/>
                                </a:moveTo>
                                <a:lnTo>
                                  <a:pt x="247495" y="0"/>
                                </a:lnTo>
                              </a:path>
                            </a:pathLst>
                          </a:custGeom>
                          <a:ln w="11849">
                            <a:solidFill>
                              <a:srgbClr val="231F20"/>
                            </a:solidFill>
                            <a:prstDash val="solid"/>
                          </a:ln>
                        </wps:spPr>
                        <wps:bodyPr wrap="square" lIns="0" tIns="0" rIns="0" bIns="0" rtlCol="0">
                          <a:prstTxWarp prst="textNoShape">
                            <a:avLst/>
                          </a:prstTxWarp>
                          <a:noAutofit/>
                        </wps:bodyPr>
                      </wps:wsp>
                      <wps:wsp>
                        <wps:cNvPr id="1557" name="Graphic 1557"/>
                        <wps:cNvSpPr/>
                        <wps:spPr>
                          <a:xfrm>
                            <a:off x="1891568" y="264291"/>
                            <a:ext cx="94615" cy="77470"/>
                          </a:xfrm>
                          <a:custGeom>
                            <a:avLst/>
                            <a:gdLst/>
                            <a:ahLst/>
                            <a:cxnLst/>
                            <a:rect l="l" t="t" r="r" b="b"/>
                            <a:pathLst>
                              <a:path w="94615" h="77470">
                                <a:moveTo>
                                  <a:pt x="0" y="0"/>
                                </a:moveTo>
                                <a:lnTo>
                                  <a:pt x="22390" y="38531"/>
                                </a:lnTo>
                                <a:lnTo>
                                  <a:pt x="0" y="77063"/>
                                </a:lnTo>
                                <a:lnTo>
                                  <a:pt x="94322" y="38531"/>
                                </a:lnTo>
                                <a:lnTo>
                                  <a:pt x="0" y="0"/>
                                </a:lnTo>
                                <a:close/>
                              </a:path>
                            </a:pathLst>
                          </a:custGeom>
                          <a:solidFill>
                            <a:srgbClr val="231F20"/>
                          </a:solidFill>
                        </wps:spPr>
                        <wps:bodyPr wrap="square" lIns="0" tIns="0" rIns="0" bIns="0" rtlCol="0">
                          <a:prstTxWarp prst="textNoShape">
                            <a:avLst/>
                          </a:prstTxWarp>
                          <a:noAutofit/>
                        </wps:bodyPr>
                      </wps:wsp>
                      <wps:wsp>
                        <wps:cNvPr id="1558" name="Graphic 1558"/>
                        <wps:cNvSpPr/>
                        <wps:spPr>
                          <a:xfrm>
                            <a:off x="1986208" y="113006"/>
                            <a:ext cx="382270" cy="382270"/>
                          </a:xfrm>
                          <a:custGeom>
                            <a:avLst/>
                            <a:gdLst/>
                            <a:ahLst/>
                            <a:cxnLst/>
                            <a:rect l="l" t="t" r="r" b="b"/>
                            <a:pathLst>
                              <a:path w="382270" h="382270">
                                <a:moveTo>
                                  <a:pt x="381866" y="190939"/>
                                </a:moveTo>
                                <a:lnTo>
                                  <a:pt x="376824" y="234717"/>
                                </a:lnTo>
                                <a:lnTo>
                                  <a:pt x="362460" y="274904"/>
                                </a:lnTo>
                                <a:lnTo>
                                  <a:pt x="339921" y="310354"/>
                                </a:lnTo>
                                <a:lnTo>
                                  <a:pt x="310352" y="339922"/>
                                </a:lnTo>
                                <a:lnTo>
                                  <a:pt x="274900" y="362460"/>
                                </a:lnTo>
                                <a:lnTo>
                                  <a:pt x="234709" y="376824"/>
                                </a:lnTo>
                                <a:lnTo>
                                  <a:pt x="190927" y="381866"/>
                                </a:lnTo>
                                <a:lnTo>
                                  <a:pt x="147153" y="376824"/>
                                </a:lnTo>
                                <a:lnTo>
                                  <a:pt x="106967" y="362460"/>
                                </a:lnTo>
                                <a:lnTo>
                                  <a:pt x="71516" y="339922"/>
                                </a:lnTo>
                                <a:lnTo>
                                  <a:pt x="41948" y="310354"/>
                                </a:lnTo>
                                <a:lnTo>
                                  <a:pt x="19408" y="274904"/>
                                </a:lnTo>
                                <a:lnTo>
                                  <a:pt x="5043" y="234717"/>
                                </a:lnTo>
                                <a:lnTo>
                                  <a:pt x="0" y="190939"/>
                                </a:lnTo>
                                <a:lnTo>
                                  <a:pt x="5043" y="147156"/>
                                </a:lnTo>
                                <a:lnTo>
                                  <a:pt x="19408" y="106966"/>
                                </a:lnTo>
                                <a:lnTo>
                                  <a:pt x="41948" y="71514"/>
                                </a:lnTo>
                                <a:lnTo>
                                  <a:pt x="71516" y="41945"/>
                                </a:lnTo>
                                <a:lnTo>
                                  <a:pt x="106967" y="19406"/>
                                </a:lnTo>
                                <a:lnTo>
                                  <a:pt x="147153" y="5042"/>
                                </a:lnTo>
                                <a:lnTo>
                                  <a:pt x="190927" y="0"/>
                                </a:lnTo>
                                <a:lnTo>
                                  <a:pt x="234709" y="5042"/>
                                </a:lnTo>
                                <a:lnTo>
                                  <a:pt x="274900" y="19406"/>
                                </a:lnTo>
                                <a:lnTo>
                                  <a:pt x="310352" y="41945"/>
                                </a:lnTo>
                                <a:lnTo>
                                  <a:pt x="339921" y="71514"/>
                                </a:lnTo>
                                <a:lnTo>
                                  <a:pt x="362460" y="106966"/>
                                </a:lnTo>
                                <a:lnTo>
                                  <a:pt x="376824" y="147156"/>
                                </a:lnTo>
                                <a:lnTo>
                                  <a:pt x="381866" y="190939"/>
                                </a:lnTo>
                                <a:close/>
                              </a:path>
                            </a:pathLst>
                          </a:custGeom>
                          <a:ln w="11849">
                            <a:solidFill>
                              <a:srgbClr val="231F20"/>
                            </a:solidFill>
                            <a:prstDash val="solid"/>
                          </a:ln>
                        </wps:spPr>
                        <wps:bodyPr wrap="square" lIns="0" tIns="0" rIns="0" bIns="0" rtlCol="0">
                          <a:prstTxWarp prst="textNoShape">
                            <a:avLst/>
                          </a:prstTxWarp>
                          <a:noAutofit/>
                        </wps:bodyPr>
                      </wps:wsp>
                      <wps:wsp>
                        <wps:cNvPr id="1559" name="Textbox 1559"/>
                        <wps:cNvSpPr txBox="1"/>
                        <wps:spPr>
                          <a:xfrm>
                            <a:off x="93741" y="5924"/>
                            <a:ext cx="1577975" cy="593725"/>
                          </a:xfrm>
                          <a:prstGeom prst="rect">
                            <a:avLst/>
                          </a:prstGeom>
                          <a:solidFill>
                            <a:srgbClr val="D1E4F6"/>
                          </a:solidFill>
                          <a:ln w="11849">
                            <a:solidFill>
                              <a:srgbClr val="231F20"/>
                            </a:solidFill>
                            <a:prstDash val="solid"/>
                          </a:ln>
                        </wps:spPr>
                        <wps:txbx>
                          <w:txbxContent>
                            <w:p>
                              <w:pPr>
                                <w:spacing w:line="252" w:lineRule="auto" w:before="71"/>
                                <w:ind w:left="90" w:right="88" w:hanging="1"/>
                                <w:jc w:val="center"/>
                                <w:rPr>
                                  <w:rFonts w:ascii="Arial MT"/>
                                  <w:color w:val="000000"/>
                                  <w:sz w:val="13"/>
                                </w:rPr>
                              </w:pPr>
                              <w:r>
                                <w:rPr>
                                  <w:rFonts w:ascii="Arial MT"/>
                                  <w:color w:val="231F20"/>
                                  <w:sz w:val="13"/>
                                </w:rPr>
                                <w:t>Prescribe systemic antimicrobial active</w:t>
                              </w:r>
                              <w:r>
                                <w:rPr>
                                  <w:rFonts w:ascii="Arial MT"/>
                                  <w:color w:val="231F20"/>
                                  <w:spacing w:val="40"/>
                                  <w:sz w:val="13"/>
                                </w:rPr>
                                <w:t> </w:t>
                              </w:r>
                              <w:r>
                                <w:rPr>
                                  <w:rFonts w:ascii="Arial MT"/>
                                  <w:color w:val="231F20"/>
                                  <w:sz w:val="13"/>
                                </w:rPr>
                                <w:t>against </w:t>
                              </w:r>
                              <w:r>
                                <w:rPr>
                                  <w:rFonts w:ascii="Arial"/>
                                  <w:i/>
                                  <w:color w:val="231F20"/>
                                  <w:sz w:val="13"/>
                                </w:rPr>
                                <w:t>Pseudomonas aeruginosa </w:t>
                              </w:r>
                              <w:r>
                                <w:rPr>
                                  <w:rFonts w:ascii="Arial MT"/>
                                  <w:color w:val="231F20"/>
                                  <w:sz w:val="13"/>
                                </w:rPr>
                                <w:t>and</w:t>
                              </w:r>
                              <w:r>
                                <w:rPr>
                                  <w:rFonts w:ascii="Arial MT"/>
                                  <w:color w:val="231F20"/>
                                  <w:spacing w:val="40"/>
                                  <w:sz w:val="13"/>
                                </w:rPr>
                                <w:t> </w:t>
                              </w:r>
                              <w:r>
                                <w:rPr>
                                  <w:rFonts w:ascii="Arial"/>
                                  <w:i/>
                                  <w:color w:val="231F20"/>
                                  <w:sz w:val="13"/>
                                </w:rPr>
                                <w:t>Staphylococcus aureus</w:t>
                              </w:r>
                              <w:r>
                                <w:rPr>
                                  <w:rFonts w:ascii="Arial MT"/>
                                  <w:color w:val="231F20"/>
                                  <w:sz w:val="13"/>
                                </w:rPr>
                                <w:t>, with or without</w:t>
                              </w:r>
                              <w:r>
                                <w:rPr>
                                  <w:rFonts w:ascii="Arial MT"/>
                                  <w:color w:val="231F20"/>
                                  <w:spacing w:val="40"/>
                                  <w:sz w:val="13"/>
                                </w:rPr>
                                <w:t> </w:t>
                              </w:r>
                              <w:r>
                                <w:rPr>
                                  <w:rFonts w:ascii="Arial MT"/>
                                  <w:color w:val="231F20"/>
                                  <w:sz w:val="13"/>
                                </w:rPr>
                                <w:t>topical</w:t>
                              </w:r>
                              <w:r>
                                <w:rPr>
                                  <w:rFonts w:ascii="Arial MT"/>
                                  <w:color w:val="231F20"/>
                                  <w:spacing w:val="-9"/>
                                  <w:sz w:val="13"/>
                                </w:rPr>
                                <w:t> </w:t>
                              </w:r>
                              <w:r>
                                <w:rPr>
                                  <w:rFonts w:ascii="Arial MT"/>
                                  <w:color w:val="231F20"/>
                                  <w:sz w:val="13"/>
                                </w:rPr>
                                <w:t>therapy,</w:t>
                              </w:r>
                              <w:r>
                                <w:rPr>
                                  <w:rFonts w:ascii="Arial MT"/>
                                  <w:color w:val="231F20"/>
                                  <w:spacing w:val="-9"/>
                                  <w:sz w:val="13"/>
                                </w:rPr>
                                <w:t> </w:t>
                              </w:r>
                              <w:r>
                                <w:rPr>
                                  <w:rFonts w:ascii="Arial MT"/>
                                  <w:color w:val="231F20"/>
                                  <w:sz w:val="13"/>
                                </w:rPr>
                                <w:t>plus</w:t>
                              </w:r>
                              <w:r>
                                <w:rPr>
                                  <w:rFonts w:ascii="Arial MT"/>
                                  <w:color w:val="231F20"/>
                                  <w:spacing w:val="-9"/>
                                  <w:sz w:val="13"/>
                                </w:rPr>
                                <w:t> </w:t>
                              </w:r>
                              <w:r>
                                <w:rPr>
                                  <w:rFonts w:ascii="Arial MT"/>
                                  <w:color w:val="231F20"/>
                                  <w:sz w:val="13"/>
                                </w:rPr>
                                <w:t>other</w:t>
                              </w:r>
                              <w:r>
                                <w:rPr>
                                  <w:rFonts w:ascii="Arial MT"/>
                                  <w:color w:val="231F20"/>
                                  <w:spacing w:val="-9"/>
                                  <w:sz w:val="13"/>
                                </w:rPr>
                                <w:t> </w:t>
                              </w:r>
                              <w:r>
                                <w:rPr>
                                  <w:rFonts w:ascii="Arial MT"/>
                                  <w:color w:val="231F20"/>
                                  <w:sz w:val="13"/>
                                </w:rPr>
                                <w:t>management</w:t>
                              </w:r>
                              <w:r>
                                <w:rPr>
                                  <w:rFonts w:ascii="Arial MT"/>
                                  <w:color w:val="231F20"/>
                                  <w:spacing w:val="40"/>
                                  <w:sz w:val="13"/>
                                </w:rPr>
                                <w:t> </w:t>
                              </w:r>
                              <w:r>
                                <w:rPr>
                                  <w:rFonts w:ascii="Arial MT"/>
                                  <w:color w:val="231F20"/>
                                  <w:sz w:val="13"/>
                                </w:rPr>
                                <w:t>based on underlying condition</w:t>
                              </w:r>
                            </w:p>
                          </w:txbxContent>
                        </wps:txbx>
                        <wps:bodyPr wrap="square" lIns="0" tIns="0" rIns="0" bIns="0" rtlCol="0">
                          <a:noAutofit/>
                        </wps:bodyPr>
                      </wps:wsp>
                      <wps:wsp>
                        <wps:cNvPr id="1560" name="Textbox 1560"/>
                        <wps:cNvSpPr txBox="1"/>
                        <wps:spPr>
                          <a:xfrm>
                            <a:off x="1671460" y="107081"/>
                            <a:ext cx="702945" cy="394335"/>
                          </a:xfrm>
                          <a:prstGeom prst="rect">
                            <a:avLst/>
                          </a:prstGeom>
                        </wps:spPr>
                        <wps:txbx>
                          <w:txbxContent>
                            <w:p>
                              <w:pPr>
                                <w:spacing w:line="252" w:lineRule="auto" w:before="69"/>
                                <w:ind w:left="630" w:right="132" w:firstLine="0"/>
                                <w:jc w:val="center"/>
                                <w:rPr>
                                  <w:rFonts w:ascii="Arial MT"/>
                                  <w:sz w:val="13"/>
                                </w:rPr>
                              </w:pPr>
                              <w:r>
                                <w:rPr>
                                  <w:rFonts w:ascii="Arial MT"/>
                                  <w:color w:val="231F20"/>
                                  <w:sz w:val="13"/>
                                </w:rPr>
                                <w:t>Go</w:t>
                              </w:r>
                              <w:r>
                                <w:rPr>
                                  <w:rFonts w:ascii="Arial MT"/>
                                  <w:color w:val="231F20"/>
                                  <w:spacing w:val="-10"/>
                                  <w:sz w:val="13"/>
                                </w:rPr>
                                <w:t> </w:t>
                              </w:r>
                              <w:r>
                                <w:rPr>
                                  <w:rFonts w:ascii="Arial MT"/>
                                  <w:color w:val="231F20"/>
                                  <w:sz w:val="13"/>
                                </w:rPr>
                                <w:t>to</w:t>
                              </w:r>
                              <w:r>
                                <w:rPr>
                                  <w:rFonts w:ascii="Arial MT"/>
                                  <w:color w:val="231F20"/>
                                  <w:spacing w:val="40"/>
                                  <w:sz w:val="13"/>
                                </w:rPr>
                                <w:t> </w:t>
                              </w:r>
                              <w:r>
                                <w:rPr>
                                  <w:rFonts w:ascii="Arial MT"/>
                                  <w:color w:val="231F20"/>
                                  <w:spacing w:val="-10"/>
                                  <w:sz w:val="13"/>
                                </w:rPr>
                                <w:t>A</w:t>
                              </w:r>
                            </w:p>
                            <w:p>
                              <w:pPr>
                                <w:spacing w:line="149" w:lineRule="exact" w:before="0"/>
                                <w:ind w:left="498" w:right="0" w:firstLine="0"/>
                                <w:jc w:val="center"/>
                                <w:rPr>
                                  <w:rFonts w:ascii="Arial MT"/>
                                  <w:sz w:val="13"/>
                                </w:rPr>
                              </w:pPr>
                              <w:r>
                                <w:rPr>
                                  <w:rFonts w:ascii="Arial MT"/>
                                  <w:color w:val="231F20"/>
                                  <w:spacing w:val="-2"/>
                                  <w:sz w:val="13"/>
                                </w:rPr>
                                <w:t>below</w:t>
                              </w:r>
                            </w:p>
                          </w:txbxContent>
                        </wps:txbx>
                        <wps:bodyPr wrap="square" lIns="0" tIns="0" rIns="0" bIns="0" rtlCol="0">
                          <a:noAutofit/>
                        </wps:bodyPr>
                      </wps:wsp>
                    </wpg:wgp>
                  </a:graphicData>
                </a:graphic>
              </wp:anchor>
            </w:drawing>
          </mc:Choice>
          <mc:Fallback>
            <w:pict>
              <v:group style="position:absolute;margin-left:139.481995pt;margin-top:-72.86277pt;width:186.95pt;height:47.65pt;mso-position-horizontal-relative:page;mso-position-vertical-relative:paragraph;z-index:-28056576" id="docshapegroup1231" coordorigin="2790,-1457" coordsize="3739,953">
                <v:shape style="position:absolute;left:2789;top:-1042;width:149;height:122" id="docshape1232" coordorigin="2790,-1041" coordsize="149,122" path="m2790,-1041l2825,-980,2790,-920,2938,-980,2790,-1041xe" filled="true" fillcolor="#231f20" stroked="false">
                  <v:path arrowok="t"/>
                  <v:fill type="solid"/>
                </v:shape>
                <v:line style="position:absolute" from="5422,-980" to="5812,-980" stroked="true" strokeweight=".933014pt" strokecolor="#231f20">
                  <v:stroke dashstyle="solid"/>
                </v:line>
                <v:shape style="position:absolute;left:5768;top:-1042;width:149;height:122" id="docshape1233" coordorigin="5768,-1041" coordsize="149,122" path="m5768,-1041l5804,-980,5768,-920,5917,-980,5768,-1041xe" filled="true" fillcolor="#231f20" stroked="false">
                  <v:path arrowok="t"/>
                  <v:fill type="solid"/>
                </v:shape>
                <v:shape style="position:absolute;left:5917;top:-1280;width:602;height:602" id="docshape1234" coordorigin="5918,-1279" coordsize="602,602" path="m6519,-979l6511,-910,6488,-846,6453,-791,6406,-744,6350,-708,6287,-686,6218,-678,6149,-686,6086,-708,6030,-744,5984,-791,5948,-846,5925,-910,5918,-979,5925,-1048,5948,-1111,5984,-1167,6030,-1213,6086,-1249,6149,-1271,6218,-1279,6287,-1271,6350,-1249,6406,-1213,6453,-1167,6488,-1111,6511,-1048,6519,-979xe" filled="false" stroked="true" strokeweight=".933014pt" strokecolor="#231f20">
                  <v:path arrowok="t"/>
                  <v:stroke dashstyle="solid"/>
                </v:shape>
                <v:shape style="position:absolute;left:2937;top:-1448;width:2485;height:935" type="#_x0000_t202" id="docshape1235" filled="true" fillcolor="#d1e4f6" stroked="true" strokeweight=".933014pt" strokecolor="#231f20">
                  <v:textbox inset="0,0,0,0">
                    <w:txbxContent>
                      <w:p>
                        <w:pPr>
                          <w:spacing w:line="252" w:lineRule="auto" w:before="71"/>
                          <w:ind w:left="90" w:right="88" w:hanging="1"/>
                          <w:jc w:val="center"/>
                          <w:rPr>
                            <w:rFonts w:ascii="Arial MT"/>
                            <w:color w:val="000000"/>
                            <w:sz w:val="13"/>
                          </w:rPr>
                        </w:pPr>
                        <w:r>
                          <w:rPr>
                            <w:rFonts w:ascii="Arial MT"/>
                            <w:color w:val="231F20"/>
                            <w:sz w:val="13"/>
                          </w:rPr>
                          <w:t>Prescribe systemic antimicrobial active</w:t>
                        </w:r>
                        <w:r>
                          <w:rPr>
                            <w:rFonts w:ascii="Arial MT"/>
                            <w:color w:val="231F20"/>
                            <w:spacing w:val="40"/>
                            <w:sz w:val="13"/>
                          </w:rPr>
                          <w:t> </w:t>
                        </w:r>
                        <w:r>
                          <w:rPr>
                            <w:rFonts w:ascii="Arial MT"/>
                            <w:color w:val="231F20"/>
                            <w:sz w:val="13"/>
                          </w:rPr>
                          <w:t>against </w:t>
                        </w:r>
                        <w:r>
                          <w:rPr>
                            <w:rFonts w:ascii="Arial"/>
                            <w:i/>
                            <w:color w:val="231F20"/>
                            <w:sz w:val="13"/>
                          </w:rPr>
                          <w:t>Pseudomonas aeruginosa </w:t>
                        </w:r>
                        <w:r>
                          <w:rPr>
                            <w:rFonts w:ascii="Arial MT"/>
                            <w:color w:val="231F20"/>
                            <w:sz w:val="13"/>
                          </w:rPr>
                          <w:t>and</w:t>
                        </w:r>
                        <w:r>
                          <w:rPr>
                            <w:rFonts w:ascii="Arial MT"/>
                            <w:color w:val="231F20"/>
                            <w:spacing w:val="40"/>
                            <w:sz w:val="13"/>
                          </w:rPr>
                          <w:t> </w:t>
                        </w:r>
                        <w:r>
                          <w:rPr>
                            <w:rFonts w:ascii="Arial"/>
                            <w:i/>
                            <w:color w:val="231F20"/>
                            <w:sz w:val="13"/>
                          </w:rPr>
                          <w:t>Staphylococcus aureus</w:t>
                        </w:r>
                        <w:r>
                          <w:rPr>
                            <w:rFonts w:ascii="Arial MT"/>
                            <w:color w:val="231F20"/>
                            <w:sz w:val="13"/>
                          </w:rPr>
                          <w:t>, with or without</w:t>
                        </w:r>
                        <w:r>
                          <w:rPr>
                            <w:rFonts w:ascii="Arial MT"/>
                            <w:color w:val="231F20"/>
                            <w:spacing w:val="40"/>
                            <w:sz w:val="13"/>
                          </w:rPr>
                          <w:t> </w:t>
                        </w:r>
                        <w:r>
                          <w:rPr>
                            <w:rFonts w:ascii="Arial MT"/>
                            <w:color w:val="231F20"/>
                            <w:sz w:val="13"/>
                          </w:rPr>
                          <w:t>topical</w:t>
                        </w:r>
                        <w:r>
                          <w:rPr>
                            <w:rFonts w:ascii="Arial MT"/>
                            <w:color w:val="231F20"/>
                            <w:spacing w:val="-9"/>
                            <w:sz w:val="13"/>
                          </w:rPr>
                          <w:t> </w:t>
                        </w:r>
                        <w:r>
                          <w:rPr>
                            <w:rFonts w:ascii="Arial MT"/>
                            <w:color w:val="231F20"/>
                            <w:sz w:val="13"/>
                          </w:rPr>
                          <w:t>therapy,</w:t>
                        </w:r>
                        <w:r>
                          <w:rPr>
                            <w:rFonts w:ascii="Arial MT"/>
                            <w:color w:val="231F20"/>
                            <w:spacing w:val="-9"/>
                            <w:sz w:val="13"/>
                          </w:rPr>
                          <w:t> </w:t>
                        </w:r>
                        <w:r>
                          <w:rPr>
                            <w:rFonts w:ascii="Arial MT"/>
                            <w:color w:val="231F20"/>
                            <w:sz w:val="13"/>
                          </w:rPr>
                          <w:t>plus</w:t>
                        </w:r>
                        <w:r>
                          <w:rPr>
                            <w:rFonts w:ascii="Arial MT"/>
                            <w:color w:val="231F20"/>
                            <w:spacing w:val="-9"/>
                            <w:sz w:val="13"/>
                          </w:rPr>
                          <w:t> </w:t>
                        </w:r>
                        <w:r>
                          <w:rPr>
                            <w:rFonts w:ascii="Arial MT"/>
                            <w:color w:val="231F20"/>
                            <w:sz w:val="13"/>
                          </w:rPr>
                          <w:t>other</w:t>
                        </w:r>
                        <w:r>
                          <w:rPr>
                            <w:rFonts w:ascii="Arial MT"/>
                            <w:color w:val="231F20"/>
                            <w:spacing w:val="-9"/>
                            <w:sz w:val="13"/>
                          </w:rPr>
                          <w:t> </w:t>
                        </w:r>
                        <w:r>
                          <w:rPr>
                            <w:rFonts w:ascii="Arial MT"/>
                            <w:color w:val="231F20"/>
                            <w:sz w:val="13"/>
                          </w:rPr>
                          <w:t>management</w:t>
                        </w:r>
                        <w:r>
                          <w:rPr>
                            <w:rFonts w:ascii="Arial MT"/>
                            <w:color w:val="231F20"/>
                            <w:spacing w:val="40"/>
                            <w:sz w:val="13"/>
                          </w:rPr>
                          <w:t> </w:t>
                        </w:r>
                        <w:r>
                          <w:rPr>
                            <w:rFonts w:ascii="Arial MT"/>
                            <w:color w:val="231F20"/>
                            <w:sz w:val="13"/>
                          </w:rPr>
                          <w:t>based on underlying condition</w:t>
                        </w:r>
                      </w:p>
                    </w:txbxContent>
                  </v:textbox>
                  <v:fill type="solid"/>
                  <v:stroke dashstyle="solid"/>
                  <w10:wrap type="none"/>
                </v:shape>
                <v:shape style="position:absolute;left:5421;top:-1289;width:1107;height:621" type="#_x0000_t202" id="docshape1236" filled="false" stroked="false">
                  <v:textbox inset="0,0,0,0">
                    <w:txbxContent>
                      <w:p>
                        <w:pPr>
                          <w:spacing w:line="252" w:lineRule="auto" w:before="69"/>
                          <w:ind w:left="630" w:right="132" w:firstLine="0"/>
                          <w:jc w:val="center"/>
                          <w:rPr>
                            <w:rFonts w:ascii="Arial MT"/>
                            <w:sz w:val="13"/>
                          </w:rPr>
                        </w:pPr>
                        <w:r>
                          <w:rPr>
                            <w:rFonts w:ascii="Arial MT"/>
                            <w:color w:val="231F20"/>
                            <w:sz w:val="13"/>
                          </w:rPr>
                          <w:t>Go</w:t>
                        </w:r>
                        <w:r>
                          <w:rPr>
                            <w:rFonts w:ascii="Arial MT"/>
                            <w:color w:val="231F20"/>
                            <w:spacing w:val="-10"/>
                            <w:sz w:val="13"/>
                          </w:rPr>
                          <w:t> </w:t>
                        </w:r>
                        <w:r>
                          <w:rPr>
                            <w:rFonts w:ascii="Arial MT"/>
                            <w:color w:val="231F20"/>
                            <w:sz w:val="13"/>
                          </w:rPr>
                          <w:t>to</w:t>
                        </w:r>
                        <w:r>
                          <w:rPr>
                            <w:rFonts w:ascii="Arial MT"/>
                            <w:color w:val="231F20"/>
                            <w:spacing w:val="40"/>
                            <w:sz w:val="13"/>
                          </w:rPr>
                          <w:t> </w:t>
                        </w:r>
                        <w:r>
                          <w:rPr>
                            <w:rFonts w:ascii="Arial MT"/>
                            <w:color w:val="231F20"/>
                            <w:spacing w:val="-10"/>
                            <w:sz w:val="13"/>
                          </w:rPr>
                          <w:t>A</w:t>
                        </w:r>
                      </w:p>
                      <w:p>
                        <w:pPr>
                          <w:spacing w:line="149" w:lineRule="exact" w:before="0"/>
                          <w:ind w:left="498" w:right="0" w:firstLine="0"/>
                          <w:jc w:val="center"/>
                          <w:rPr>
                            <w:rFonts w:ascii="Arial MT"/>
                            <w:sz w:val="13"/>
                          </w:rPr>
                        </w:pPr>
                        <w:r>
                          <w:rPr>
                            <w:rFonts w:ascii="Arial MT"/>
                            <w:color w:val="231F20"/>
                            <w:spacing w:val="-2"/>
                            <w:sz w:val="13"/>
                          </w:rPr>
                          <w:t>below</w:t>
                        </w:r>
                      </w:p>
                    </w:txbxContent>
                  </v:textbox>
                  <w10:wrap type="none"/>
                </v:shape>
                <w10:wrap type="none"/>
              </v:group>
            </w:pict>
          </mc:Fallback>
        </mc:AlternateContent>
      </w:r>
      <w:r>
        <w:rPr>
          <w:rFonts w:ascii="Arial"/>
          <w:b/>
          <w:sz w:val="15"/>
        </w:rPr>
        <mc:AlternateContent>
          <mc:Choice Requires="wps">
            <w:drawing>
              <wp:anchor distT="0" distB="0" distL="0" distR="0" allowOverlap="1" layoutInCell="1" locked="0" behindDoc="0" simplePos="0" relativeHeight="15835136">
                <wp:simplePos x="0" y="0"/>
                <wp:positionH relativeFrom="page">
                  <wp:posOffset>719336</wp:posOffset>
                </wp:positionH>
                <wp:positionV relativeFrom="paragraph">
                  <wp:posOffset>-883694</wp:posOffset>
                </wp:positionV>
                <wp:extent cx="1123950" cy="751205"/>
                <wp:effectExtent l="0" t="0" r="0" b="0"/>
                <wp:wrapNone/>
                <wp:docPr id="1561" name="Textbox 1561"/>
                <wp:cNvGraphicFramePr>
                  <a:graphicFrameLocks/>
                </wp:cNvGraphicFramePr>
                <a:graphic>
                  <a:graphicData uri="http://schemas.microsoft.com/office/word/2010/wordprocessingShape">
                    <wps:wsp>
                      <wps:cNvPr id="1561" name="Textbox 1561"/>
                      <wps:cNvSpPr txBox="1"/>
                      <wps:spPr>
                        <a:xfrm>
                          <a:off x="0" y="0"/>
                          <a:ext cx="1123950" cy="751205"/>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608"/>
                              <w:gridCol w:w="625"/>
                              <w:gridCol w:w="397"/>
                            </w:tblGrid>
                            <w:tr>
                              <w:trPr>
                                <w:trHeight w:val="381" w:hRule="atLeast"/>
                              </w:trPr>
                              <w:tc>
                                <w:tcPr>
                                  <w:tcW w:w="1233" w:type="dxa"/>
                                  <w:gridSpan w:val="2"/>
                                  <w:vMerge w:val="restart"/>
                                  <w:shd w:val="clear" w:color="auto" w:fill="D7EDDD"/>
                                </w:tcPr>
                                <w:p>
                                  <w:pPr>
                                    <w:pStyle w:val="TableParagraph"/>
                                    <w:spacing w:line="252" w:lineRule="auto" w:before="63"/>
                                    <w:ind w:left="96" w:right="61" w:firstLine="8"/>
                                    <w:jc w:val="both"/>
                                    <w:rPr>
                                      <w:rFonts w:ascii="Arial MT"/>
                                      <w:sz w:val="13"/>
                                    </w:rPr>
                                  </w:pPr>
                                  <w:r>
                                    <w:rPr>
                                      <w:rFonts w:ascii="Arial MT"/>
                                      <w:color w:val="231F20"/>
                                      <w:sz w:val="13"/>
                                    </w:rPr>
                                    <w:t>Extension</w:t>
                                  </w:r>
                                  <w:r>
                                    <w:rPr>
                                      <w:rFonts w:ascii="Arial MT"/>
                                      <w:color w:val="231F20"/>
                                      <w:spacing w:val="-10"/>
                                      <w:sz w:val="13"/>
                                    </w:rPr>
                                    <w:t> </w:t>
                                  </w:r>
                                  <w:r>
                                    <w:rPr>
                                      <w:rFonts w:ascii="Arial MT"/>
                                      <w:color w:val="231F20"/>
                                      <w:sz w:val="13"/>
                                    </w:rPr>
                                    <w:t>outside</w:t>
                                  </w:r>
                                  <w:r>
                                    <w:rPr>
                                      <w:rFonts w:ascii="Arial MT"/>
                                      <w:color w:val="231F20"/>
                                      <w:spacing w:val="40"/>
                                      <w:sz w:val="13"/>
                                    </w:rPr>
                                    <w:t> </w:t>
                                  </w:r>
                                  <w:r>
                                    <w:rPr>
                                      <w:rFonts w:ascii="Arial MT"/>
                                      <w:color w:val="231F20"/>
                                      <w:sz w:val="13"/>
                                    </w:rPr>
                                    <w:t>ear canal or host</w:t>
                                  </w:r>
                                  <w:r>
                                    <w:rPr>
                                      <w:rFonts w:ascii="Arial MT"/>
                                      <w:color w:val="231F20"/>
                                      <w:spacing w:val="40"/>
                                      <w:sz w:val="13"/>
                                    </w:rPr>
                                    <w:t> </w:t>
                                  </w:r>
                                  <w:r>
                                    <w:rPr>
                                      <w:rFonts w:ascii="Arial MT"/>
                                      <w:color w:val="231F20"/>
                                      <w:sz w:val="13"/>
                                    </w:rPr>
                                    <w:t>factors*</w:t>
                                  </w:r>
                                  <w:r>
                                    <w:rPr>
                                      <w:rFonts w:ascii="Arial MT"/>
                                      <w:color w:val="231F20"/>
                                      <w:spacing w:val="-5"/>
                                      <w:sz w:val="13"/>
                                    </w:rPr>
                                    <w:t> </w:t>
                                  </w:r>
                                  <w:r>
                                    <w:rPr>
                                      <w:rFonts w:ascii="Arial MT"/>
                                      <w:color w:val="231F20"/>
                                      <w:sz w:val="13"/>
                                    </w:rPr>
                                    <w:t>requiring</w:t>
                                  </w:r>
                                  <w:r>
                                    <w:rPr>
                                      <w:rFonts w:ascii="Arial MT"/>
                                      <w:color w:val="231F20"/>
                                      <w:spacing w:val="40"/>
                                      <w:sz w:val="13"/>
                                    </w:rPr>
                                    <w:t> </w:t>
                                  </w:r>
                                  <w:r>
                                    <w:rPr>
                                      <w:rFonts w:ascii="Arial MT"/>
                                      <w:color w:val="231F20"/>
                                      <w:sz w:val="13"/>
                                    </w:rPr>
                                    <w:t>systemic </w:t>
                                  </w:r>
                                  <w:r>
                                    <w:rPr>
                                      <w:rFonts w:ascii="Arial MT"/>
                                      <w:color w:val="231F20"/>
                                      <w:spacing w:val="-2"/>
                                      <w:sz w:val="13"/>
                                    </w:rPr>
                                    <w:t>therapy?</w:t>
                                  </w:r>
                                </w:p>
                              </w:tc>
                              <w:tc>
                                <w:tcPr>
                                  <w:tcW w:w="397" w:type="dxa"/>
                                  <w:tcBorders>
                                    <w:top w:val="nil"/>
                                    <w:right w:val="nil"/>
                                  </w:tcBorders>
                                </w:tcPr>
                                <w:p>
                                  <w:pPr>
                                    <w:pStyle w:val="TableParagraph"/>
                                    <w:spacing w:before="122"/>
                                    <w:ind w:left="106"/>
                                    <w:rPr>
                                      <w:rFonts w:ascii="Arial"/>
                                      <w:b/>
                                      <w:sz w:val="15"/>
                                    </w:rPr>
                                  </w:pPr>
                                  <w:r>
                                    <w:rPr>
                                      <w:rFonts w:ascii="Arial"/>
                                      <w:b/>
                                      <w:color w:val="231F20"/>
                                      <w:spacing w:val="-5"/>
                                      <w:sz w:val="15"/>
                                    </w:rPr>
                                    <w:t>Yes</w:t>
                                  </w:r>
                                </w:p>
                              </w:tc>
                            </w:tr>
                            <w:tr>
                              <w:trPr>
                                <w:trHeight w:val="343" w:hRule="atLeast"/>
                              </w:trPr>
                              <w:tc>
                                <w:tcPr>
                                  <w:tcW w:w="1233" w:type="dxa"/>
                                  <w:gridSpan w:val="2"/>
                                  <w:vMerge/>
                                  <w:tcBorders>
                                    <w:top w:val="nil"/>
                                  </w:tcBorders>
                                  <w:shd w:val="clear" w:color="auto" w:fill="D7EDDD"/>
                                </w:tcPr>
                                <w:p>
                                  <w:pPr>
                                    <w:rPr>
                                      <w:sz w:val="2"/>
                                      <w:szCs w:val="2"/>
                                    </w:rPr>
                                  </w:pPr>
                                </w:p>
                              </w:tc>
                              <w:tc>
                                <w:tcPr>
                                  <w:tcW w:w="397" w:type="dxa"/>
                                  <w:tcBorders>
                                    <w:bottom w:val="nil"/>
                                    <w:right w:val="nil"/>
                                  </w:tcBorders>
                                </w:tcPr>
                                <w:p>
                                  <w:pPr>
                                    <w:pStyle w:val="TableParagraph"/>
                                    <w:rPr>
                                      <w:rFonts w:ascii="Times New Roman"/>
                                      <w:sz w:val="14"/>
                                    </w:rPr>
                                  </w:pPr>
                                </w:p>
                              </w:tc>
                            </w:tr>
                            <w:tr>
                              <w:trPr>
                                <w:trHeight w:val="399" w:hRule="atLeast"/>
                              </w:trPr>
                              <w:tc>
                                <w:tcPr>
                                  <w:tcW w:w="608" w:type="dxa"/>
                                  <w:tcBorders>
                                    <w:left w:val="nil"/>
                                    <w:bottom w:val="nil"/>
                                  </w:tcBorders>
                                </w:tcPr>
                                <w:p>
                                  <w:pPr>
                                    <w:pStyle w:val="TableParagraph"/>
                                    <w:rPr>
                                      <w:rFonts w:ascii="Times New Roman"/>
                                      <w:sz w:val="14"/>
                                    </w:rPr>
                                  </w:pPr>
                                </w:p>
                              </w:tc>
                              <w:tc>
                                <w:tcPr>
                                  <w:tcW w:w="1022" w:type="dxa"/>
                                  <w:gridSpan w:val="2"/>
                                  <w:tcBorders>
                                    <w:top w:val="nil"/>
                                    <w:bottom w:val="nil"/>
                                    <w:right w:val="nil"/>
                                  </w:tcBorders>
                                </w:tcPr>
                                <w:p>
                                  <w:pPr>
                                    <w:pStyle w:val="TableParagraph"/>
                                    <w:spacing w:before="87"/>
                                    <w:ind w:left="81"/>
                                    <w:rPr>
                                      <w:rFonts w:ascii="Arial"/>
                                      <w:b/>
                                      <w:sz w:val="15"/>
                                    </w:rPr>
                                  </w:pPr>
                                  <w:r>
                                    <w:rPr>
                                      <w:rFonts w:ascii="Arial"/>
                                      <w:b/>
                                      <w:color w:val="231F20"/>
                                      <w:spacing w:val="-5"/>
                                      <w:sz w:val="15"/>
                                    </w:rPr>
                                    <w:t>No</w:t>
                                  </w:r>
                                </w:p>
                              </w:tc>
                            </w:tr>
                          </w:tbl>
                          <w:p>
                            <w:pPr>
                              <w:pStyle w:val="BodyText"/>
                            </w:pPr>
                          </w:p>
                        </w:txbxContent>
                      </wps:txbx>
                      <wps:bodyPr wrap="square" lIns="0" tIns="0" rIns="0" bIns="0" rtlCol="0">
                        <a:noAutofit/>
                      </wps:bodyPr>
                    </wps:wsp>
                  </a:graphicData>
                </a:graphic>
              </wp:anchor>
            </w:drawing>
          </mc:Choice>
          <mc:Fallback>
            <w:pict>
              <v:shape style="position:absolute;margin-left:56.640667pt;margin-top:-69.582260pt;width:88.5pt;height:59.15pt;mso-position-horizontal-relative:page;mso-position-vertical-relative:paragraph;z-index:15835136" type="#_x0000_t202" id="docshape1237"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608"/>
                        <w:gridCol w:w="625"/>
                        <w:gridCol w:w="397"/>
                      </w:tblGrid>
                      <w:tr>
                        <w:trPr>
                          <w:trHeight w:val="381" w:hRule="atLeast"/>
                        </w:trPr>
                        <w:tc>
                          <w:tcPr>
                            <w:tcW w:w="1233" w:type="dxa"/>
                            <w:gridSpan w:val="2"/>
                            <w:vMerge w:val="restart"/>
                            <w:shd w:val="clear" w:color="auto" w:fill="D7EDDD"/>
                          </w:tcPr>
                          <w:p>
                            <w:pPr>
                              <w:pStyle w:val="TableParagraph"/>
                              <w:spacing w:line="252" w:lineRule="auto" w:before="63"/>
                              <w:ind w:left="96" w:right="61" w:firstLine="8"/>
                              <w:jc w:val="both"/>
                              <w:rPr>
                                <w:rFonts w:ascii="Arial MT"/>
                                <w:sz w:val="13"/>
                              </w:rPr>
                            </w:pPr>
                            <w:r>
                              <w:rPr>
                                <w:rFonts w:ascii="Arial MT"/>
                                <w:color w:val="231F20"/>
                                <w:sz w:val="13"/>
                              </w:rPr>
                              <w:t>Extension</w:t>
                            </w:r>
                            <w:r>
                              <w:rPr>
                                <w:rFonts w:ascii="Arial MT"/>
                                <w:color w:val="231F20"/>
                                <w:spacing w:val="-10"/>
                                <w:sz w:val="13"/>
                              </w:rPr>
                              <w:t> </w:t>
                            </w:r>
                            <w:r>
                              <w:rPr>
                                <w:rFonts w:ascii="Arial MT"/>
                                <w:color w:val="231F20"/>
                                <w:sz w:val="13"/>
                              </w:rPr>
                              <w:t>outside</w:t>
                            </w:r>
                            <w:r>
                              <w:rPr>
                                <w:rFonts w:ascii="Arial MT"/>
                                <w:color w:val="231F20"/>
                                <w:spacing w:val="40"/>
                                <w:sz w:val="13"/>
                              </w:rPr>
                              <w:t> </w:t>
                            </w:r>
                            <w:r>
                              <w:rPr>
                                <w:rFonts w:ascii="Arial MT"/>
                                <w:color w:val="231F20"/>
                                <w:sz w:val="13"/>
                              </w:rPr>
                              <w:t>ear canal or host</w:t>
                            </w:r>
                            <w:r>
                              <w:rPr>
                                <w:rFonts w:ascii="Arial MT"/>
                                <w:color w:val="231F20"/>
                                <w:spacing w:val="40"/>
                                <w:sz w:val="13"/>
                              </w:rPr>
                              <w:t> </w:t>
                            </w:r>
                            <w:r>
                              <w:rPr>
                                <w:rFonts w:ascii="Arial MT"/>
                                <w:color w:val="231F20"/>
                                <w:sz w:val="13"/>
                              </w:rPr>
                              <w:t>factors*</w:t>
                            </w:r>
                            <w:r>
                              <w:rPr>
                                <w:rFonts w:ascii="Arial MT"/>
                                <w:color w:val="231F20"/>
                                <w:spacing w:val="-5"/>
                                <w:sz w:val="13"/>
                              </w:rPr>
                              <w:t> </w:t>
                            </w:r>
                            <w:r>
                              <w:rPr>
                                <w:rFonts w:ascii="Arial MT"/>
                                <w:color w:val="231F20"/>
                                <w:sz w:val="13"/>
                              </w:rPr>
                              <w:t>requiring</w:t>
                            </w:r>
                            <w:r>
                              <w:rPr>
                                <w:rFonts w:ascii="Arial MT"/>
                                <w:color w:val="231F20"/>
                                <w:spacing w:val="40"/>
                                <w:sz w:val="13"/>
                              </w:rPr>
                              <w:t> </w:t>
                            </w:r>
                            <w:r>
                              <w:rPr>
                                <w:rFonts w:ascii="Arial MT"/>
                                <w:color w:val="231F20"/>
                                <w:sz w:val="13"/>
                              </w:rPr>
                              <w:t>systemic </w:t>
                            </w:r>
                            <w:r>
                              <w:rPr>
                                <w:rFonts w:ascii="Arial MT"/>
                                <w:color w:val="231F20"/>
                                <w:spacing w:val="-2"/>
                                <w:sz w:val="13"/>
                              </w:rPr>
                              <w:t>therapy?</w:t>
                            </w:r>
                          </w:p>
                        </w:tc>
                        <w:tc>
                          <w:tcPr>
                            <w:tcW w:w="397" w:type="dxa"/>
                            <w:tcBorders>
                              <w:top w:val="nil"/>
                              <w:right w:val="nil"/>
                            </w:tcBorders>
                          </w:tcPr>
                          <w:p>
                            <w:pPr>
                              <w:pStyle w:val="TableParagraph"/>
                              <w:spacing w:before="122"/>
                              <w:ind w:left="106"/>
                              <w:rPr>
                                <w:rFonts w:ascii="Arial"/>
                                <w:b/>
                                <w:sz w:val="15"/>
                              </w:rPr>
                            </w:pPr>
                            <w:r>
                              <w:rPr>
                                <w:rFonts w:ascii="Arial"/>
                                <w:b/>
                                <w:color w:val="231F20"/>
                                <w:spacing w:val="-5"/>
                                <w:sz w:val="15"/>
                              </w:rPr>
                              <w:t>Yes</w:t>
                            </w:r>
                          </w:p>
                        </w:tc>
                      </w:tr>
                      <w:tr>
                        <w:trPr>
                          <w:trHeight w:val="343" w:hRule="atLeast"/>
                        </w:trPr>
                        <w:tc>
                          <w:tcPr>
                            <w:tcW w:w="1233" w:type="dxa"/>
                            <w:gridSpan w:val="2"/>
                            <w:vMerge/>
                            <w:tcBorders>
                              <w:top w:val="nil"/>
                            </w:tcBorders>
                            <w:shd w:val="clear" w:color="auto" w:fill="D7EDDD"/>
                          </w:tcPr>
                          <w:p>
                            <w:pPr>
                              <w:rPr>
                                <w:sz w:val="2"/>
                                <w:szCs w:val="2"/>
                              </w:rPr>
                            </w:pPr>
                          </w:p>
                        </w:tc>
                        <w:tc>
                          <w:tcPr>
                            <w:tcW w:w="397" w:type="dxa"/>
                            <w:tcBorders>
                              <w:bottom w:val="nil"/>
                              <w:right w:val="nil"/>
                            </w:tcBorders>
                          </w:tcPr>
                          <w:p>
                            <w:pPr>
                              <w:pStyle w:val="TableParagraph"/>
                              <w:rPr>
                                <w:rFonts w:ascii="Times New Roman"/>
                                <w:sz w:val="14"/>
                              </w:rPr>
                            </w:pPr>
                          </w:p>
                        </w:tc>
                      </w:tr>
                      <w:tr>
                        <w:trPr>
                          <w:trHeight w:val="399" w:hRule="atLeast"/>
                        </w:trPr>
                        <w:tc>
                          <w:tcPr>
                            <w:tcW w:w="608" w:type="dxa"/>
                            <w:tcBorders>
                              <w:left w:val="nil"/>
                              <w:bottom w:val="nil"/>
                            </w:tcBorders>
                          </w:tcPr>
                          <w:p>
                            <w:pPr>
                              <w:pStyle w:val="TableParagraph"/>
                              <w:rPr>
                                <w:rFonts w:ascii="Times New Roman"/>
                                <w:sz w:val="14"/>
                              </w:rPr>
                            </w:pPr>
                          </w:p>
                        </w:tc>
                        <w:tc>
                          <w:tcPr>
                            <w:tcW w:w="1022" w:type="dxa"/>
                            <w:gridSpan w:val="2"/>
                            <w:tcBorders>
                              <w:top w:val="nil"/>
                              <w:bottom w:val="nil"/>
                              <w:right w:val="nil"/>
                            </w:tcBorders>
                          </w:tcPr>
                          <w:p>
                            <w:pPr>
                              <w:pStyle w:val="TableParagraph"/>
                              <w:spacing w:before="87"/>
                              <w:ind w:left="81"/>
                              <w:rPr>
                                <w:rFonts w:ascii="Arial"/>
                                <w:b/>
                                <w:sz w:val="15"/>
                              </w:rPr>
                            </w:pPr>
                            <w:r>
                              <w:rPr>
                                <w:rFonts w:ascii="Arial"/>
                                <w:b/>
                                <w:color w:val="231F20"/>
                                <w:spacing w:val="-5"/>
                                <w:sz w:val="15"/>
                              </w:rPr>
                              <w:t>No</w:t>
                            </w:r>
                          </w:p>
                        </w:tc>
                      </w:tr>
                    </w:tbl>
                    <w:p>
                      <w:pPr>
                        <w:pStyle w:val="BodyText"/>
                      </w:pPr>
                    </w:p>
                  </w:txbxContent>
                </v:textbox>
                <w10:wrap type="none"/>
              </v:shape>
            </w:pict>
          </mc:Fallback>
        </mc:AlternateContent>
      </w:r>
      <w:r>
        <w:rPr>
          <w:rFonts w:ascii="Arial"/>
          <w:b/>
          <w:color w:val="231F20"/>
          <w:spacing w:val="-5"/>
          <w:sz w:val="15"/>
        </w:rPr>
        <w:t>Yes</w:t>
      </w: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spacing w:before="42"/>
        <w:rPr>
          <w:rFonts w:ascii="Arial"/>
          <w:b/>
          <w:sz w:val="15"/>
        </w:rPr>
      </w:pPr>
    </w:p>
    <w:p>
      <w:pPr>
        <w:spacing w:before="0"/>
        <w:ind w:left="627" w:right="0" w:firstLine="0"/>
        <w:jc w:val="left"/>
        <w:rPr>
          <w:rFonts w:ascii="Arial"/>
          <w:b/>
          <w:sz w:val="15"/>
        </w:rPr>
      </w:pPr>
      <w:r>
        <w:rPr>
          <w:rFonts w:ascii="Arial"/>
          <w:b/>
          <w:color w:val="231F20"/>
          <w:spacing w:val="-5"/>
          <w:sz w:val="15"/>
        </w:rPr>
        <w:t>Yes</w:t>
      </w: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spacing w:before="16"/>
        <w:rPr>
          <w:rFonts w:ascii="Arial"/>
          <w:b/>
          <w:sz w:val="15"/>
        </w:rPr>
      </w:pPr>
    </w:p>
    <w:p>
      <w:pPr>
        <w:spacing w:before="0"/>
        <w:ind w:left="560" w:right="0" w:firstLine="0"/>
        <w:jc w:val="left"/>
        <w:rPr>
          <w:rFonts w:ascii="Arial"/>
          <w:b/>
          <w:sz w:val="15"/>
        </w:rPr>
      </w:pPr>
      <w:r>
        <w:rPr>
          <w:rFonts w:ascii="Arial"/>
          <w:b/>
          <w:color w:val="231F20"/>
          <w:spacing w:val="-5"/>
          <w:sz w:val="15"/>
        </w:rPr>
        <w:t>No</w:t>
      </w:r>
    </w:p>
    <w:p>
      <w:pPr>
        <w:spacing w:line="240" w:lineRule="auto" w:before="0"/>
        <w:rPr>
          <w:rFonts w:ascii="Arial"/>
          <w:b/>
          <w:sz w:val="15"/>
        </w:rPr>
      </w:pPr>
      <w:r>
        <w:rPr/>
        <w:br w:type="column"/>
      </w:r>
      <w:r>
        <w:rPr>
          <w:rFonts w:ascii="Arial"/>
          <w:b/>
          <w:sz w:val="15"/>
        </w:rPr>
      </w: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spacing w:before="146"/>
        <w:rPr>
          <w:rFonts w:ascii="Arial"/>
          <w:b/>
          <w:sz w:val="15"/>
        </w:rPr>
      </w:pPr>
    </w:p>
    <w:p>
      <w:pPr>
        <w:spacing w:before="0"/>
        <w:ind w:left="9" w:right="0" w:firstLine="0"/>
        <w:jc w:val="left"/>
        <w:rPr>
          <w:rFonts w:ascii="Arial"/>
          <w:b/>
          <w:sz w:val="15"/>
        </w:rPr>
      </w:pPr>
      <w:r>
        <w:rPr>
          <w:rFonts w:ascii="Arial"/>
          <w:b/>
          <w:color w:val="231F20"/>
          <w:spacing w:val="-5"/>
          <w:sz w:val="15"/>
        </w:rPr>
        <w:t>Yes</w:t>
      </w:r>
    </w:p>
    <w:p>
      <w:pPr>
        <w:spacing w:after="0"/>
        <w:jc w:val="left"/>
        <w:rPr>
          <w:rFonts w:ascii="Arial"/>
          <w:b/>
          <w:sz w:val="15"/>
        </w:rPr>
        <w:sectPr>
          <w:type w:val="continuous"/>
          <w:pgSz w:w="11900" w:h="16840"/>
          <w:pgMar w:header="0" w:footer="0" w:top="620" w:bottom="280" w:left="708" w:right="566"/>
          <w:cols w:num="3" w:equalWidth="0">
            <w:col w:w="1412" w:space="40"/>
            <w:col w:w="3518" w:space="39"/>
            <w:col w:w="5617"/>
          </w:cols>
        </w:sectPr>
      </w:pPr>
    </w:p>
    <w:p>
      <w:pPr>
        <w:pStyle w:val="BodyText"/>
        <w:spacing w:before="136"/>
        <w:rPr>
          <w:rFonts w:ascii="Arial"/>
          <w:b/>
          <w:sz w:val="15"/>
        </w:rPr>
      </w:pPr>
    </w:p>
    <w:p>
      <w:pPr>
        <w:spacing w:before="0"/>
        <w:ind w:left="1186" w:right="0" w:firstLine="0"/>
        <w:jc w:val="left"/>
        <w:rPr>
          <w:rFonts w:ascii="Arial"/>
          <w:b/>
          <w:sz w:val="15"/>
        </w:rPr>
      </w:pPr>
      <w:r>
        <w:rPr>
          <w:rFonts w:ascii="Arial"/>
          <w:b/>
          <w:sz w:val="15"/>
        </w:rPr>
        <mc:AlternateContent>
          <mc:Choice Requires="wps">
            <w:drawing>
              <wp:anchor distT="0" distB="0" distL="0" distR="0" allowOverlap="1" layoutInCell="1" locked="0" behindDoc="0" simplePos="0" relativeHeight="15835648">
                <wp:simplePos x="0" y="0"/>
                <wp:positionH relativeFrom="page">
                  <wp:posOffset>4049652</wp:posOffset>
                </wp:positionH>
                <wp:positionV relativeFrom="paragraph">
                  <wp:posOffset>-2595312</wp:posOffset>
                </wp:positionV>
                <wp:extent cx="3062605" cy="2403475"/>
                <wp:effectExtent l="0" t="0" r="0" b="0"/>
                <wp:wrapNone/>
                <wp:docPr id="1562" name="Textbox 1562"/>
                <wp:cNvGraphicFramePr>
                  <a:graphicFrameLocks/>
                </wp:cNvGraphicFramePr>
                <a:graphic>
                  <a:graphicData uri="http://schemas.microsoft.com/office/word/2010/wordprocessingShape">
                    <wps:wsp>
                      <wps:cNvPr id="1562" name="Textbox 1562"/>
                      <wps:cNvSpPr txBox="1"/>
                      <wps:spPr>
                        <a:xfrm>
                          <a:off x="0" y="0"/>
                          <a:ext cx="3062605" cy="24034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3"/>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3"/>
                                    <w:ind w:left="73" w:right="197"/>
                                    <w:rPr>
                                      <w:sz w:val="16"/>
                                    </w:rPr>
                                  </w:pPr>
                                  <w:r>
                                    <w:rPr>
                                      <w:color w:val="FFFFFF"/>
                                      <w:w w:val="105"/>
                                      <w:sz w:val="16"/>
                                    </w:rPr>
                                    <w:t>Infectious Pathogens Implicated in Sensorineural Hearing Loss in </w:t>
                                  </w:r>
                                  <w:r>
                                    <w:rPr>
                                      <w:color w:val="FFFFFF"/>
                                      <w:w w:val="105"/>
                                      <w:sz w:val="16"/>
                                    </w:rPr>
                                    <w:t>Children</w:t>
                                  </w:r>
                                </w:p>
                              </w:tc>
                            </w:tr>
                            <w:tr>
                              <w:trPr>
                                <w:trHeight w:val="1099" w:hRule="atLeast"/>
                              </w:trPr>
                              <w:tc>
                                <w:tcPr>
                                  <w:tcW w:w="4703" w:type="dxa"/>
                                  <w:gridSpan w:val="2"/>
                                  <w:tcBorders>
                                    <w:bottom w:val="single" w:sz="4" w:space="0" w:color="FFFFFF"/>
                                  </w:tcBorders>
                                  <w:shd w:val="clear" w:color="auto" w:fill="E8F5F1"/>
                                </w:tcPr>
                                <w:p>
                                  <w:pPr>
                                    <w:pStyle w:val="TableParagraph"/>
                                    <w:spacing w:line="172" w:lineRule="exact" w:before="42"/>
                                    <w:ind w:left="74"/>
                                    <w:rPr>
                                      <w:sz w:val="15"/>
                                    </w:rPr>
                                  </w:pPr>
                                  <w:r>
                                    <w:rPr>
                                      <w:color w:val="231F20"/>
                                      <w:w w:val="115"/>
                                      <w:sz w:val="15"/>
                                    </w:rPr>
                                    <w:t>CONGENITAL</w:t>
                                  </w:r>
                                  <w:r>
                                    <w:rPr>
                                      <w:color w:val="231F20"/>
                                      <w:spacing w:val="-12"/>
                                      <w:w w:val="115"/>
                                      <w:sz w:val="15"/>
                                    </w:rPr>
                                    <w:t> </w:t>
                                  </w:r>
                                  <w:r>
                                    <w:rPr>
                                      <w:color w:val="231F20"/>
                                      <w:spacing w:val="-2"/>
                                      <w:w w:val="115"/>
                                      <w:sz w:val="15"/>
                                    </w:rPr>
                                    <w:t>INFECTIONS</w:t>
                                  </w:r>
                                </w:p>
                                <w:p>
                                  <w:pPr>
                                    <w:pStyle w:val="TableParagraph"/>
                                    <w:spacing w:line="169" w:lineRule="exact"/>
                                    <w:ind w:left="74"/>
                                    <w:rPr>
                                      <w:sz w:val="15"/>
                                    </w:rPr>
                                  </w:pPr>
                                  <w:r>
                                    <w:rPr>
                                      <w:color w:val="231F20"/>
                                      <w:spacing w:val="-2"/>
                                      <w:sz w:val="15"/>
                                    </w:rPr>
                                    <w:t>Cytomegalovirus</w:t>
                                  </w:r>
                                </w:p>
                                <w:p>
                                  <w:pPr>
                                    <w:pStyle w:val="TableParagraph"/>
                                    <w:spacing w:line="230" w:lineRule="auto" w:before="2"/>
                                    <w:ind w:left="74" w:right="1899"/>
                                    <w:rPr>
                                      <w:sz w:val="15"/>
                                    </w:rPr>
                                  </w:pPr>
                                  <w:r>
                                    <w:rPr>
                                      <w:color w:val="231F20"/>
                                      <w:spacing w:val="-2"/>
                                      <w:sz w:val="15"/>
                                    </w:rPr>
                                    <w:t>Lymphocytic</w:t>
                                  </w:r>
                                  <w:r>
                                    <w:rPr>
                                      <w:color w:val="231F20"/>
                                      <w:spacing w:val="-3"/>
                                      <w:sz w:val="15"/>
                                    </w:rPr>
                                    <w:t> </w:t>
                                  </w:r>
                                  <w:r>
                                    <w:rPr>
                                      <w:color w:val="231F20"/>
                                      <w:spacing w:val="-2"/>
                                      <w:sz w:val="15"/>
                                    </w:rPr>
                                    <w:t>choriomeningitis</w:t>
                                  </w:r>
                                  <w:r>
                                    <w:rPr>
                                      <w:color w:val="231F20"/>
                                      <w:spacing w:val="-3"/>
                                      <w:sz w:val="15"/>
                                    </w:rPr>
                                    <w:t> </w:t>
                                  </w:r>
                                  <w:r>
                                    <w:rPr>
                                      <w:color w:val="231F20"/>
                                      <w:spacing w:val="-2"/>
                                      <w:sz w:val="15"/>
                                    </w:rPr>
                                    <w:t>virus </w:t>
                                  </w:r>
                                  <w:r>
                                    <w:rPr>
                                      <w:color w:val="231F20"/>
                                      <w:sz w:val="15"/>
                                    </w:rPr>
                                    <w:t>Rubella virus</w:t>
                                  </w:r>
                                </w:p>
                                <w:p>
                                  <w:pPr>
                                    <w:pStyle w:val="TableParagraph"/>
                                    <w:spacing w:line="230" w:lineRule="auto" w:before="2"/>
                                    <w:ind w:left="74" w:right="2667"/>
                                    <w:rPr>
                                      <w:i/>
                                      <w:sz w:val="15"/>
                                    </w:rPr>
                                  </w:pPr>
                                  <w:r>
                                    <w:rPr>
                                      <w:i/>
                                      <w:color w:val="231F20"/>
                                      <w:sz w:val="15"/>
                                    </w:rPr>
                                    <w:t>Toxoplasma gondii </w:t>
                                  </w:r>
                                  <w:r>
                                    <w:rPr>
                                      <w:i/>
                                      <w:color w:val="231F20"/>
                                      <w:spacing w:val="-2"/>
                                      <w:sz w:val="15"/>
                                    </w:rPr>
                                    <w:t>Treponema</w:t>
                                  </w:r>
                                  <w:r>
                                    <w:rPr>
                                      <w:i/>
                                      <w:color w:val="231F20"/>
                                      <w:spacing w:val="-10"/>
                                      <w:sz w:val="15"/>
                                    </w:rPr>
                                    <w:t> </w:t>
                                  </w:r>
                                  <w:r>
                                    <w:rPr>
                                      <w:i/>
                                      <w:color w:val="231F20"/>
                                      <w:spacing w:val="-2"/>
                                      <w:sz w:val="15"/>
                                    </w:rPr>
                                    <w:t>pallidum</w:t>
                                  </w:r>
                                </w:p>
                              </w:tc>
                            </w:tr>
                            <w:tr>
                              <w:trPr>
                                <w:trHeight w:val="2097"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37"/>
                                    <w:ind w:left="74"/>
                                    <w:rPr>
                                      <w:sz w:val="15"/>
                                    </w:rPr>
                                  </w:pPr>
                                  <w:r>
                                    <w:rPr>
                                      <w:color w:val="231F20"/>
                                      <w:w w:val="115"/>
                                      <w:sz w:val="15"/>
                                    </w:rPr>
                                    <w:t>ACQUIRED</w:t>
                                  </w:r>
                                  <w:r>
                                    <w:rPr>
                                      <w:color w:val="231F20"/>
                                      <w:spacing w:val="-10"/>
                                      <w:w w:val="115"/>
                                      <w:sz w:val="15"/>
                                    </w:rPr>
                                    <w:t> </w:t>
                                  </w:r>
                                  <w:r>
                                    <w:rPr>
                                      <w:color w:val="231F20"/>
                                      <w:spacing w:val="-2"/>
                                      <w:w w:val="115"/>
                                      <w:sz w:val="15"/>
                                    </w:rPr>
                                    <w:t>INFECTIONS</w:t>
                                  </w:r>
                                </w:p>
                                <w:p>
                                  <w:pPr>
                                    <w:pStyle w:val="TableParagraph"/>
                                    <w:spacing w:line="230" w:lineRule="auto" w:before="3"/>
                                    <w:ind w:left="74" w:right="3033"/>
                                    <w:rPr>
                                      <w:sz w:val="15"/>
                                    </w:rPr>
                                  </w:pPr>
                                  <w:r>
                                    <w:rPr>
                                      <w:i/>
                                      <w:color w:val="231F20"/>
                                      <w:sz w:val="15"/>
                                    </w:rPr>
                                    <w:t>Borrelia burgdorferi </w:t>
                                  </w:r>
                                  <w:r>
                                    <w:rPr>
                                      <w:color w:val="231F20"/>
                                      <w:sz w:val="15"/>
                                    </w:rPr>
                                    <w:t>Epstein-Barr virus </w:t>
                                  </w:r>
                                  <w:r>
                                    <w:rPr>
                                      <w:i/>
                                      <w:color w:val="231F20"/>
                                      <w:spacing w:val="-2"/>
                                      <w:sz w:val="15"/>
                                    </w:rPr>
                                    <w:t>Haemophilus</w:t>
                                  </w:r>
                                  <w:r>
                                    <w:rPr>
                                      <w:i/>
                                      <w:color w:val="231F20"/>
                                      <w:spacing w:val="-10"/>
                                      <w:sz w:val="15"/>
                                    </w:rPr>
                                    <w:t> </w:t>
                                  </w:r>
                                  <w:r>
                                    <w:rPr>
                                      <w:i/>
                                      <w:color w:val="231F20"/>
                                      <w:spacing w:val="-2"/>
                                      <w:sz w:val="15"/>
                                    </w:rPr>
                                    <w:t>influenzae </w:t>
                                  </w:r>
                                  <w:r>
                                    <w:rPr>
                                      <w:color w:val="231F20"/>
                                      <w:sz w:val="15"/>
                                    </w:rPr>
                                    <w:t>Lassa virus</w:t>
                                  </w:r>
                                </w:p>
                                <w:p>
                                  <w:pPr>
                                    <w:pStyle w:val="TableParagraph"/>
                                    <w:spacing w:line="230" w:lineRule="auto" w:before="3"/>
                                    <w:ind w:left="74" w:right="3450"/>
                                    <w:rPr>
                                      <w:sz w:val="15"/>
                                    </w:rPr>
                                  </w:pPr>
                                  <w:r>
                                    <w:rPr>
                                      <w:color w:val="231F20"/>
                                      <w:spacing w:val="-4"/>
                                      <w:w w:val="105"/>
                                      <w:sz w:val="15"/>
                                    </w:rPr>
                                    <w:t>Measles</w:t>
                                  </w:r>
                                  <w:r>
                                    <w:rPr>
                                      <w:color w:val="231F20"/>
                                      <w:spacing w:val="-8"/>
                                      <w:w w:val="105"/>
                                      <w:sz w:val="15"/>
                                    </w:rPr>
                                    <w:t> </w:t>
                                  </w:r>
                                  <w:r>
                                    <w:rPr>
                                      <w:color w:val="231F20"/>
                                      <w:spacing w:val="-4"/>
                                      <w:w w:val="105"/>
                                      <w:sz w:val="15"/>
                                    </w:rPr>
                                    <w:t>virus </w:t>
                                  </w:r>
                                  <w:r>
                                    <w:rPr>
                                      <w:color w:val="231F20"/>
                                      <w:w w:val="105"/>
                                      <w:sz w:val="15"/>
                                    </w:rPr>
                                    <w:t>Mumps</w:t>
                                  </w:r>
                                  <w:r>
                                    <w:rPr>
                                      <w:color w:val="231F20"/>
                                      <w:spacing w:val="12"/>
                                      <w:w w:val="105"/>
                                      <w:sz w:val="15"/>
                                    </w:rPr>
                                    <w:t> </w:t>
                                  </w:r>
                                  <w:r>
                                    <w:rPr>
                                      <w:color w:val="231F20"/>
                                      <w:spacing w:val="-2"/>
                                      <w:w w:val="105"/>
                                      <w:sz w:val="15"/>
                                    </w:rPr>
                                    <w:t>virus</w:t>
                                  </w:r>
                                </w:p>
                                <w:p>
                                  <w:pPr>
                                    <w:pStyle w:val="TableParagraph"/>
                                    <w:spacing w:line="230" w:lineRule="auto" w:before="1"/>
                                    <w:ind w:left="74" w:right="2798"/>
                                    <w:rPr>
                                      <w:sz w:val="15"/>
                                    </w:rPr>
                                  </w:pPr>
                                  <w:r>
                                    <w:rPr>
                                      <w:i/>
                                      <w:color w:val="231F20"/>
                                      <w:sz w:val="15"/>
                                    </w:rPr>
                                    <w:t>Neisseria meningitidis </w:t>
                                  </w:r>
                                  <w:r>
                                    <w:rPr>
                                      <w:color w:val="231F20"/>
                                      <w:sz w:val="15"/>
                                    </w:rPr>
                                    <w:t>Nonpolio enteroviruses </w:t>
                                  </w:r>
                                  <w:r>
                                    <w:rPr>
                                      <w:i/>
                                      <w:color w:val="231F20"/>
                                      <w:sz w:val="15"/>
                                    </w:rPr>
                                    <w:t>Plasmodium falciparum Streptococcus</w:t>
                                  </w:r>
                                  <w:r>
                                    <w:rPr>
                                      <w:i/>
                                      <w:color w:val="231F20"/>
                                      <w:spacing w:val="-12"/>
                                      <w:sz w:val="15"/>
                                    </w:rPr>
                                    <w:t> </w:t>
                                  </w:r>
                                  <w:r>
                                    <w:rPr>
                                      <w:i/>
                                      <w:color w:val="231F20"/>
                                      <w:sz w:val="15"/>
                                    </w:rPr>
                                    <w:t>pneumoniae </w:t>
                                  </w:r>
                                  <w:r>
                                    <w:rPr>
                                      <w:color w:val="231F20"/>
                                      <w:sz w:val="15"/>
                                    </w:rPr>
                                    <w:t>Varicella-zoster virus</w:t>
                                  </w:r>
                                </w:p>
                              </w:tc>
                            </w:tr>
                          </w:tbl>
                          <w:p>
                            <w:pPr>
                              <w:pStyle w:val="BodyText"/>
                            </w:pPr>
                          </w:p>
                        </w:txbxContent>
                      </wps:txbx>
                      <wps:bodyPr wrap="square" lIns="0" tIns="0" rIns="0" bIns="0" rtlCol="0">
                        <a:noAutofit/>
                      </wps:bodyPr>
                    </wps:wsp>
                  </a:graphicData>
                </a:graphic>
              </wp:anchor>
            </w:drawing>
          </mc:Choice>
          <mc:Fallback>
            <w:pict>
              <v:shape style="position:absolute;margin-left:318.8703pt;margin-top:-204.355331pt;width:241.15pt;height:189.25pt;mso-position-horizontal-relative:page;mso-position-vertical-relative:paragraph;z-index:15835648" type="#_x0000_t202" id="docshape12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559" w:hRule="atLeast"/>
                        </w:trPr>
                        <w:tc>
                          <w:tcPr>
                            <w:tcW w:w="1148" w:type="dxa"/>
                            <w:tcBorders>
                              <w:right w:val="single" w:sz="8" w:space="0" w:color="FFFFFF"/>
                            </w:tcBorders>
                            <w:shd w:val="clear" w:color="auto" w:fill="231F20"/>
                          </w:tcPr>
                          <w:p>
                            <w:pPr>
                              <w:pStyle w:val="TableParagraph"/>
                              <w:spacing w:before="83"/>
                              <w:ind w:left="111"/>
                              <w:rPr>
                                <w:b/>
                                <w:sz w:val="16"/>
                              </w:rPr>
                            </w:pPr>
                            <w:r>
                              <w:rPr>
                                <w:b/>
                                <w:color w:val="FFFFFF"/>
                                <w:w w:val="105"/>
                                <w:sz w:val="16"/>
                              </w:rPr>
                              <w:t>Table</w:t>
                            </w:r>
                            <w:r>
                              <w:rPr>
                                <w:b/>
                                <w:color w:val="FFFFFF"/>
                                <w:spacing w:val="-3"/>
                                <w:w w:val="105"/>
                                <w:sz w:val="16"/>
                              </w:rPr>
                              <w:t> </w:t>
                            </w:r>
                            <w:r>
                              <w:rPr>
                                <w:b/>
                                <w:color w:val="FFFFFF"/>
                                <w:w w:val="105"/>
                                <w:sz w:val="16"/>
                              </w:rPr>
                              <w:t>637-</w:t>
                            </w:r>
                            <w:r>
                              <w:rPr>
                                <w:b/>
                                <w:color w:val="FFFFFF"/>
                                <w:spacing w:val="-10"/>
                                <w:w w:val="105"/>
                                <w:sz w:val="16"/>
                              </w:rPr>
                              <w:t>4</w:t>
                            </w:r>
                          </w:p>
                        </w:tc>
                        <w:tc>
                          <w:tcPr>
                            <w:tcW w:w="3555" w:type="dxa"/>
                            <w:tcBorders>
                              <w:left w:val="single" w:sz="8" w:space="0" w:color="FFFFFF"/>
                            </w:tcBorders>
                            <w:shd w:val="clear" w:color="auto" w:fill="231F20"/>
                          </w:tcPr>
                          <w:p>
                            <w:pPr>
                              <w:pStyle w:val="TableParagraph"/>
                              <w:spacing w:before="83"/>
                              <w:ind w:left="73" w:right="197"/>
                              <w:rPr>
                                <w:sz w:val="16"/>
                              </w:rPr>
                            </w:pPr>
                            <w:r>
                              <w:rPr>
                                <w:color w:val="FFFFFF"/>
                                <w:w w:val="105"/>
                                <w:sz w:val="16"/>
                              </w:rPr>
                              <w:t>Infectious Pathogens Implicated in Sensorineural Hearing Loss in </w:t>
                            </w:r>
                            <w:r>
                              <w:rPr>
                                <w:color w:val="FFFFFF"/>
                                <w:w w:val="105"/>
                                <w:sz w:val="16"/>
                              </w:rPr>
                              <w:t>Children</w:t>
                            </w:r>
                          </w:p>
                        </w:tc>
                      </w:tr>
                      <w:tr>
                        <w:trPr>
                          <w:trHeight w:val="1099" w:hRule="atLeast"/>
                        </w:trPr>
                        <w:tc>
                          <w:tcPr>
                            <w:tcW w:w="4703" w:type="dxa"/>
                            <w:gridSpan w:val="2"/>
                            <w:tcBorders>
                              <w:bottom w:val="single" w:sz="4" w:space="0" w:color="FFFFFF"/>
                            </w:tcBorders>
                            <w:shd w:val="clear" w:color="auto" w:fill="E8F5F1"/>
                          </w:tcPr>
                          <w:p>
                            <w:pPr>
                              <w:pStyle w:val="TableParagraph"/>
                              <w:spacing w:line="172" w:lineRule="exact" w:before="42"/>
                              <w:ind w:left="74"/>
                              <w:rPr>
                                <w:sz w:val="15"/>
                              </w:rPr>
                            </w:pPr>
                            <w:r>
                              <w:rPr>
                                <w:color w:val="231F20"/>
                                <w:w w:val="115"/>
                                <w:sz w:val="15"/>
                              </w:rPr>
                              <w:t>CONGENITAL</w:t>
                            </w:r>
                            <w:r>
                              <w:rPr>
                                <w:color w:val="231F20"/>
                                <w:spacing w:val="-12"/>
                                <w:w w:val="115"/>
                                <w:sz w:val="15"/>
                              </w:rPr>
                              <w:t> </w:t>
                            </w:r>
                            <w:r>
                              <w:rPr>
                                <w:color w:val="231F20"/>
                                <w:spacing w:val="-2"/>
                                <w:w w:val="115"/>
                                <w:sz w:val="15"/>
                              </w:rPr>
                              <w:t>INFECTIONS</w:t>
                            </w:r>
                          </w:p>
                          <w:p>
                            <w:pPr>
                              <w:pStyle w:val="TableParagraph"/>
                              <w:spacing w:line="169" w:lineRule="exact"/>
                              <w:ind w:left="74"/>
                              <w:rPr>
                                <w:sz w:val="15"/>
                              </w:rPr>
                            </w:pPr>
                            <w:r>
                              <w:rPr>
                                <w:color w:val="231F20"/>
                                <w:spacing w:val="-2"/>
                                <w:sz w:val="15"/>
                              </w:rPr>
                              <w:t>Cytomegalovirus</w:t>
                            </w:r>
                          </w:p>
                          <w:p>
                            <w:pPr>
                              <w:pStyle w:val="TableParagraph"/>
                              <w:spacing w:line="230" w:lineRule="auto" w:before="2"/>
                              <w:ind w:left="74" w:right="1899"/>
                              <w:rPr>
                                <w:sz w:val="15"/>
                              </w:rPr>
                            </w:pPr>
                            <w:r>
                              <w:rPr>
                                <w:color w:val="231F20"/>
                                <w:spacing w:val="-2"/>
                                <w:sz w:val="15"/>
                              </w:rPr>
                              <w:t>Lymphocytic</w:t>
                            </w:r>
                            <w:r>
                              <w:rPr>
                                <w:color w:val="231F20"/>
                                <w:spacing w:val="-3"/>
                                <w:sz w:val="15"/>
                              </w:rPr>
                              <w:t> </w:t>
                            </w:r>
                            <w:r>
                              <w:rPr>
                                <w:color w:val="231F20"/>
                                <w:spacing w:val="-2"/>
                                <w:sz w:val="15"/>
                              </w:rPr>
                              <w:t>choriomeningitis</w:t>
                            </w:r>
                            <w:r>
                              <w:rPr>
                                <w:color w:val="231F20"/>
                                <w:spacing w:val="-3"/>
                                <w:sz w:val="15"/>
                              </w:rPr>
                              <w:t> </w:t>
                            </w:r>
                            <w:r>
                              <w:rPr>
                                <w:color w:val="231F20"/>
                                <w:spacing w:val="-2"/>
                                <w:sz w:val="15"/>
                              </w:rPr>
                              <w:t>virus </w:t>
                            </w:r>
                            <w:r>
                              <w:rPr>
                                <w:color w:val="231F20"/>
                                <w:sz w:val="15"/>
                              </w:rPr>
                              <w:t>Rubella virus</w:t>
                            </w:r>
                          </w:p>
                          <w:p>
                            <w:pPr>
                              <w:pStyle w:val="TableParagraph"/>
                              <w:spacing w:line="230" w:lineRule="auto" w:before="2"/>
                              <w:ind w:left="74" w:right="2667"/>
                              <w:rPr>
                                <w:i/>
                                <w:sz w:val="15"/>
                              </w:rPr>
                            </w:pPr>
                            <w:r>
                              <w:rPr>
                                <w:i/>
                                <w:color w:val="231F20"/>
                                <w:sz w:val="15"/>
                              </w:rPr>
                              <w:t>Toxoplasma gondii </w:t>
                            </w:r>
                            <w:r>
                              <w:rPr>
                                <w:i/>
                                <w:color w:val="231F20"/>
                                <w:spacing w:val="-2"/>
                                <w:sz w:val="15"/>
                              </w:rPr>
                              <w:t>Treponema</w:t>
                            </w:r>
                            <w:r>
                              <w:rPr>
                                <w:i/>
                                <w:color w:val="231F20"/>
                                <w:spacing w:val="-10"/>
                                <w:sz w:val="15"/>
                              </w:rPr>
                              <w:t> </w:t>
                            </w:r>
                            <w:r>
                              <w:rPr>
                                <w:i/>
                                <w:color w:val="231F20"/>
                                <w:spacing w:val="-2"/>
                                <w:sz w:val="15"/>
                              </w:rPr>
                              <w:t>pallidum</w:t>
                            </w:r>
                          </w:p>
                        </w:tc>
                      </w:tr>
                      <w:tr>
                        <w:trPr>
                          <w:trHeight w:val="2097" w:hRule="atLeast"/>
                        </w:trPr>
                        <w:tc>
                          <w:tcPr>
                            <w:tcW w:w="4703" w:type="dxa"/>
                            <w:gridSpan w:val="2"/>
                            <w:tcBorders>
                              <w:top w:val="single" w:sz="4" w:space="0" w:color="FFFFFF"/>
                              <w:bottom w:val="single" w:sz="8" w:space="0" w:color="231F20"/>
                            </w:tcBorders>
                            <w:shd w:val="clear" w:color="auto" w:fill="E8F5F1"/>
                          </w:tcPr>
                          <w:p>
                            <w:pPr>
                              <w:pStyle w:val="TableParagraph"/>
                              <w:spacing w:line="172" w:lineRule="exact" w:before="37"/>
                              <w:ind w:left="74"/>
                              <w:rPr>
                                <w:sz w:val="15"/>
                              </w:rPr>
                            </w:pPr>
                            <w:r>
                              <w:rPr>
                                <w:color w:val="231F20"/>
                                <w:w w:val="115"/>
                                <w:sz w:val="15"/>
                              </w:rPr>
                              <w:t>ACQUIRED</w:t>
                            </w:r>
                            <w:r>
                              <w:rPr>
                                <w:color w:val="231F20"/>
                                <w:spacing w:val="-10"/>
                                <w:w w:val="115"/>
                                <w:sz w:val="15"/>
                              </w:rPr>
                              <w:t> </w:t>
                            </w:r>
                            <w:r>
                              <w:rPr>
                                <w:color w:val="231F20"/>
                                <w:spacing w:val="-2"/>
                                <w:w w:val="115"/>
                                <w:sz w:val="15"/>
                              </w:rPr>
                              <w:t>INFECTIONS</w:t>
                            </w:r>
                          </w:p>
                          <w:p>
                            <w:pPr>
                              <w:pStyle w:val="TableParagraph"/>
                              <w:spacing w:line="230" w:lineRule="auto" w:before="3"/>
                              <w:ind w:left="74" w:right="3033"/>
                              <w:rPr>
                                <w:sz w:val="15"/>
                              </w:rPr>
                            </w:pPr>
                            <w:r>
                              <w:rPr>
                                <w:i/>
                                <w:color w:val="231F20"/>
                                <w:sz w:val="15"/>
                              </w:rPr>
                              <w:t>Borrelia burgdorferi </w:t>
                            </w:r>
                            <w:r>
                              <w:rPr>
                                <w:color w:val="231F20"/>
                                <w:sz w:val="15"/>
                              </w:rPr>
                              <w:t>Epstein-Barr virus </w:t>
                            </w:r>
                            <w:r>
                              <w:rPr>
                                <w:i/>
                                <w:color w:val="231F20"/>
                                <w:spacing w:val="-2"/>
                                <w:sz w:val="15"/>
                              </w:rPr>
                              <w:t>Haemophilus</w:t>
                            </w:r>
                            <w:r>
                              <w:rPr>
                                <w:i/>
                                <w:color w:val="231F20"/>
                                <w:spacing w:val="-10"/>
                                <w:sz w:val="15"/>
                              </w:rPr>
                              <w:t> </w:t>
                            </w:r>
                            <w:r>
                              <w:rPr>
                                <w:i/>
                                <w:color w:val="231F20"/>
                                <w:spacing w:val="-2"/>
                                <w:sz w:val="15"/>
                              </w:rPr>
                              <w:t>influenzae </w:t>
                            </w:r>
                            <w:r>
                              <w:rPr>
                                <w:color w:val="231F20"/>
                                <w:sz w:val="15"/>
                              </w:rPr>
                              <w:t>Lassa virus</w:t>
                            </w:r>
                          </w:p>
                          <w:p>
                            <w:pPr>
                              <w:pStyle w:val="TableParagraph"/>
                              <w:spacing w:line="230" w:lineRule="auto" w:before="3"/>
                              <w:ind w:left="74" w:right="3450"/>
                              <w:rPr>
                                <w:sz w:val="15"/>
                              </w:rPr>
                            </w:pPr>
                            <w:r>
                              <w:rPr>
                                <w:color w:val="231F20"/>
                                <w:spacing w:val="-4"/>
                                <w:w w:val="105"/>
                                <w:sz w:val="15"/>
                              </w:rPr>
                              <w:t>Measles</w:t>
                            </w:r>
                            <w:r>
                              <w:rPr>
                                <w:color w:val="231F20"/>
                                <w:spacing w:val="-8"/>
                                <w:w w:val="105"/>
                                <w:sz w:val="15"/>
                              </w:rPr>
                              <w:t> </w:t>
                            </w:r>
                            <w:r>
                              <w:rPr>
                                <w:color w:val="231F20"/>
                                <w:spacing w:val="-4"/>
                                <w:w w:val="105"/>
                                <w:sz w:val="15"/>
                              </w:rPr>
                              <w:t>virus </w:t>
                            </w:r>
                            <w:r>
                              <w:rPr>
                                <w:color w:val="231F20"/>
                                <w:w w:val="105"/>
                                <w:sz w:val="15"/>
                              </w:rPr>
                              <w:t>Mumps</w:t>
                            </w:r>
                            <w:r>
                              <w:rPr>
                                <w:color w:val="231F20"/>
                                <w:spacing w:val="12"/>
                                <w:w w:val="105"/>
                                <w:sz w:val="15"/>
                              </w:rPr>
                              <w:t> </w:t>
                            </w:r>
                            <w:r>
                              <w:rPr>
                                <w:color w:val="231F20"/>
                                <w:spacing w:val="-2"/>
                                <w:w w:val="105"/>
                                <w:sz w:val="15"/>
                              </w:rPr>
                              <w:t>virus</w:t>
                            </w:r>
                          </w:p>
                          <w:p>
                            <w:pPr>
                              <w:pStyle w:val="TableParagraph"/>
                              <w:spacing w:line="230" w:lineRule="auto" w:before="1"/>
                              <w:ind w:left="74" w:right="2798"/>
                              <w:rPr>
                                <w:sz w:val="15"/>
                              </w:rPr>
                            </w:pPr>
                            <w:r>
                              <w:rPr>
                                <w:i/>
                                <w:color w:val="231F20"/>
                                <w:sz w:val="15"/>
                              </w:rPr>
                              <w:t>Neisseria meningitidis </w:t>
                            </w:r>
                            <w:r>
                              <w:rPr>
                                <w:color w:val="231F20"/>
                                <w:sz w:val="15"/>
                              </w:rPr>
                              <w:t>Nonpolio enteroviruses </w:t>
                            </w:r>
                            <w:r>
                              <w:rPr>
                                <w:i/>
                                <w:color w:val="231F20"/>
                                <w:sz w:val="15"/>
                              </w:rPr>
                              <w:t>Plasmodium falciparum Streptococcus</w:t>
                            </w:r>
                            <w:r>
                              <w:rPr>
                                <w:i/>
                                <w:color w:val="231F20"/>
                                <w:spacing w:val="-12"/>
                                <w:sz w:val="15"/>
                              </w:rPr>
                              <w:t> </w:t>
                            </w:r>
                            <w:r>
                              <w:rPr>
                                <w:i/>
                                <w:color w:val="231F20"/>
                                <w:sz w:val="15"/>
                              </w:rPr>
                              <w:t>pneumoniae </w:t>
                            </w:r>
                            <w:r>
                              <w:rPr>
                                <w:color w:val="231F20"/>
                                <w:sz w:val="15"/>
                              </w:rPr>
                              <w:t>Varicella-zoster virus</w:t>
                            </w:r>
                          </w:p>
                        </w:tc>
                      </w:tr>
                    </w:tbl>
                    <w:p>
                      <w:pPr>
                        <w:pStyle w:val="BodyText"/>
                      </w:pPr>
                    </w:p>
                  </w:txbxContent>
                </v:textbox>
                <w10:wrap type="none"/>
              </v:shape>
            </w:pict>
          </mc:Fallback>
        </mc:AlternateContent>
      </w:r>
      <w:r>
        <w:rPr>
          <w:rFonts w:ascii="Arial"/>
          <w:b/>
          <w:color w:val="231F20"/>
          <w:spacing w:val="-5"/>
          <w:sz w:val="15"/>
        </w:rPr>
        <w:t>Yes</w:t>
      </w: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rPr>
          <w:rFonts w:ascii="Arial"/>
          <w:b/>
          <w:sz w:val="15"/>
        </w:rPr>
      </w:pPr>
    </w:p>
    <w:p>
      <w:pPr>
        <w:pStyle w:val="BodyText"/>
        <w:spacing w:before="26"/>
        <w:rPr>
          <w:rFonts w:ascii="Arial"/>
          <w:b/>
          <w:sz w:val="15"/>
        </w:rPr>
      </w:pPr>
    </w:p>
    <w:p>
      <w:pPr>
        <w:spacing w:line="230" w:lineRule="auto" w:before="0"/>
        <w:ind w:left="446" w:right="6752" w:firstLine="0"/>
        <w:jc w:val="both"/>
        <w:rPr>
          <w:i/>
          <w:sz w:val="15"/>
        </w:rPr>
      </w:pPr>
      <w:r>
        <w:rPr>
          <w:b/>
          <w:color w:val="4A0C62"/>
          <w:sz w:val="16"/>
        </w:rPr>
        <w:t>Figure 639-1 </w:t>
      </w:r>
      <w:r>
        <w:rPr>
          <w:color w:val="231F20"/>
          <w:sz w:val="15"/>
        </w:rPr>
        <w:t>Flow chart for managing </w:t>
      </w:r>
      <w:r>
        <w:rPr>
          <w:color w:val="231F20"/>
          <w:sz w:val="15"/>
        </w:rPr>
        <w:t>acute</w:t>
      </w:r>
      <w:r>
        <w:rPr>
          <w:color w:val="231F20"/>
          <w:spacing w:val="40"/>
          <w:sz w:val="15"/>
        </w:rPr>
        <w:t> </w:t>
      </w:r>
      <w:r>
        <w:rPr>
          <w:color w:val="231F20"/>
          <w:sz w:val="15"/>
        </w:rPr>
        <w:t>otitis</w:t>
      </w:r>
      <w:r>
        <w:rPr>
          <w:color w:val="231F20"/>
          <w:spacing w:val="-12"/>
          <w:sz w:val="15"/>
        </w:rPr>
        <w:t> </w:t>
      </w:r>
      <w:r>
        <w:rPr>
          <w:color w:val="231F20"/>
          <w:sz w:val="15"/>
        </w:rPr>
        <w:t>externa</w:t>
      </w:r>
      <w:r>
        <w:rPr>
          <w:color w:val="231F20"/>
          <w:spacing w:val="-11"/>
          <w:sz w:val="15"/>
        </w:rPr>
        <w:t> </w:t>
      </w:r>
      <w:r>
        <w:rPr>
          <w:color w:val="231F20"/>
          <w:sz w:val="15"/>
        </w:rPr>
        <w:t>(AOE).</w:t>
      </w:r>
      <w:r>
        <w:rPr>
          <w:color w:val="231F20"/>
          <w:spacing w:val="-11"/>
          <w:sz w:val="15"/>
        </w:rPr>
        <w:t> </w:t>
      </w:r>
      <w:r>
        <w:rPr>
          <w:i/>
          <w:color w:val="231F20"/>
          <w:sz w:val="15"/>
        </w:rPr>
        <w:t>(From</w:t>
      </w:r>
      <w:r>
        <w:rPr>
          <w:i/>
          <w:color w:val="231F20"/>
          <w:spacing w:val="-12"/>
          <w:sz w:val="15"/>
        </w:rPr>
        <w:t> </w:t>
      </w:r>
      <w:r>
        <w:rPr>
          <w:i/>
          <w:color w:val="231F20"/>
          <w:sz w:val="15"/>
        </w:rPr>
        <w:t>Rosenfeld</w:t>
      </w:r>
      <w:r>
        <w:rPr>
          <w:i/>
          <w:color w:val="231F20"/>
          <w:spacing w:val="-11"/>
          <w:sz w:val="15"/>
        </w:rPr>
        <w:t> </w:t>
      </w:r>
      <w:r>
        <w:rPr>
          <w:i/>
          <w:color w:val="231F20"/>
          <w:sz w:val="15"/>
        </w:rPr>
        <w:t>RM,</w:t>
      </w:r>
      <w:r>
        <w:rPr>
          <w:i/>
          <w:color w:val="231F20"/>
          <w:spacing w:val="-11"/>
          <w:sz w:val="15"/>
        </w:rPr>
        <w:t> </w:t>
      </w:r>
      <w:r>
        <w:rPr>
          <w:i/>
          <w:color w:val="231F20"/>
          <w:sz w:val="15"/>
        </w:rPr>
        <w:t>Brown</w:t>
      </w:r>
      <w:r>
        <w:rPr>
          <w:i/>
          <w:color w:val="231F20"/>
          <w:spacing w:val="-12"/>
          <w:sz w:val="15"/>
        </w:rPr>
        <w:t> </w:t>
      </w:r>
      <w:r>
        <w:rPr>
          <w:i/>
          <w:color w:val="231F20"/>
          <w:sz w:val="15"/>
        </w:rPr>
        <w:t>L, Cannon</w:t>
      </w:r>
      <w:r>
        <w:rPr>
          <w:i/>
          <w:color w:val="231F20"/>
          <w:spacing w:val="-12"/>
          <w:sz w:val="15"/>
        </w:rPr>
        <w:t> </w:t>
      </w:r>
      <w:r>
        <w:rPr>
          <w:i/>
          <w:color w:val="231F20"/>
          <w:sz w:val="15"/>
        </w:rPr>
        <w:t>CR,</w:t>
      </w:r>
      <w:r>
        <w:rPr>
          <w:i/>
          <w:color w:val="231F20"/>
          <w:spacing w:val="-11"/>
          <w:sz w:val="15"/>
        </w:rPr>
        <w:t> </w:t>
      </w:r>
      <w:r>
        <w:rPr>
          <w:i/>
          <w:color w:val="231F20"/>
          <w:sz w:val="15"/>
        </w:rPr>
        <w:t>et</w:t>
      </w:r>
      <w:r>
        <w:rPr>
          <w:i/>
          <w:color w:val="231F20"/>
          <w:spacing w:val="-11"/>
          <w:sz w:val="15"/>
        </w:rPr>
        <w:t> </w:t>
      </w:r>
      <w:r>
        <w:rPr>
          <w:i/>
          <w:color w:val="231F20"/>
          <w:sz w:val="15"/>
        </w:rPr>
        <w:t>al:</w:t>
      </w:r>
      <w:r>
        <w:rPr>
          <w:i/>
          <w:color w:val="231F20"/>
          <w:spacing w:val="-12"/>
          <w:sz w:val="15"/>
        </w:rPr>
        <w:t> </w:t>
      </w:r>
      <w:r>
        <w:rPr>
          <w:i/>
          <w:color w:val="231F20"/>
          <w:sz w:val="15"/>
        </w:rPr>
        <w:t>Clinical</w:t>
      </w:r>
      <w:r>
        <w:rPr>
          <w:i/>
          <w:color w:val="231F20"/>
          <w:spacing w:val="-11"/>
          <w:sz w:val="15"/>
        </w:rPr>
        <w:t> </w:t>
      </w:r>
      <w:r>
        <w:rPr>
          <w:i/>
          <w:color w:val="231F20"/>
          <w:sz w:val="15"/>
        </w:rPr>
        <w:t>practice</w:t>
      </w:r>
      <w:r>
        <w:rPr>
          <w:i/>
          <w:color w:val="231F20"/>
          <w:spacing w:val="-11"/>
          <w:sz w:val="15"/>
        </w:rPr>
        <w:t> </w:t>
      </w:r>
      <w:r>
        <w:rPr>
          <w:i/>
          <w:color w:val="231F20"/>
          <w:sz w:val="15"/>
        </w:rPr>
        <w:t>guideline:</w:t>
      </w:r>
      <w:r>
        <w:rPr>
          <w:i/>
          <w:color w:val="231F20"/>
          <w:spacing w:val="-12"/>
          <w:sz w:val="15"/>
        </w:rPr>
        <w:t> </w:t>
      </w:r>
      <w:r>
        <w:rPr>
          <w:i/>
          <w:color w:val="231F20"/>
          <w:sz w:val="15"/>
        </w:rPr>
        <w:t>acute otitis</w:t>
      </w:r>
      <w:r>
        <w:rPr>
          <w:i/>
          <w:color w:val="231F20"/>
          <w:spacing w:val="-9"/>
          <w:sz w:val="15"/>
        </w:rPr>
        <w:t> </w:t>
      </w:r>
      <w:r>
        <w:rPr>
          <w:i/>
          <w:color w:val="231F20"/>
          <w:sz w:val="15"/>
        </w:rPr>
        <w:t>externa,</w:t>
      </w:r>
      <w:r>
        <w:rPr>
          <w:i/>
          <w:color w:val="231F20"/>
          <w:spacing w:val="-9"/>
          <w:sz w:val="15"/>
        </w:rPr>
        <w:t> </w:t>
      </w:r>
      <w:r>
        <w:rPr>
          <w:color w:val="231F20"/>
          <w:sz w:val="15"/>
        </w:rPr>
        <w:t>Otolaryngol</w:t>
      </w:r>
      <w:r>
        <w:rPr>
          <w:color w:val="231F20"/>
          <w:spacing w:val="-9"/>
          <w:sz w:val="15"/>
        </w:rPr>
        <w:t> </w:t>
      </w:r>
      <w:r>
        <w:rPr>
          <w:color w:val="231F20"/>
          <w:sz w:val="15"/>
        </w:rPr>
        <w:t>Head</w:t>
      </w:r>
      <w:r>
        <w:rPr>
          <w:color w:val="231F20"/>
          <w:spacing w:val="-9"/>
          <w:sz w:val="15"/>
        </w:rPr>
        <w:t> </w:t>
      </w:r>
      <w:r>
        <w:rPr>
          <w:color w:val="231F20"/>
          <w:sz w:val="15"/>
        </w:rPr>
        <w:t>Neck</w:t>
      </w:r>
      <w:r>
        <w:rPr>
          <w:color w:val="231F20"/>
          <w:spacing w:val="-9"/>
          <w:sz w:val="15"/>
        </w:rPr>
        <w:t> </w:t>
      </w:r>
      <w:r>
        <w:rPr>
          <w:color w:val="231F20"/>
          <w:sz w:val="15"/>
        </w:rPr>
        <w:t>Surg</w:t>
      </w:r>
      <w:r>
        <w:rPr>
          <w:color w:val="231F20"/>
          <w:spacing w:val="-9"/>
          <w:sz w:val="15"/>
        </w:rPr>
        <w:t> </w:t>
      </w:r>
      <w:r>
        <w:rPr>
          <w:i/>
          <w:color w:val="231F20"/>
          <w:sz w:val="15"/>
        </w:rPr>
        <w:t>134:S4– S23, 2006. Copyright 2006 American Academy of Otolaryngology-Head and Neck Surgery Founda- tion, Inc.)</w:t>
      </w:r>
    </w:p>
    <w:p>
      <w:pPr>
        <w:spacing w:after="0" w:line="230" w:lineRule="auto"/>
        <w:jc w:val="both"/>
        <w:rPr>
          <w:i/>
          <w:sz w:val="15"/>
        </w:rPr>
        <w:sectPr>
          <w:type w:val="continuous"/>
          <w:pgSz w:w="11900" w:h="16840"/>
          <w:pgMar w:header="0" w:footer="0" w:top="620" w:bottom="280" w:left="708" w:right="566"/>
        </w:sectPr>
      </w:pPr>
    </w:p>
    <w:p>
      <w:pPr>
        <w:pStyle w:val="BodyText"/>
        <w:spacing w:before="205"/>
        <w:rPr>
          <w:i/>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563" name="Group 1563"/>
                <wp:cNvGraphicFramePr>
                  <a:graphicFrameLocks/>
                </wp:cNvGraphicFramePr>
                <a:graphic>
                  <a:graphicData uri="http://schemas.microsoft.com/office/word/2010/wordprocessingGroup">
                    <wpg:wgp>
                      <wpg:cNvPr id="1563" name="Group 1563"/>
                      <wpg:cNvGrpSpPr/>
                      <wpg:grpSpPr>
                        <a:xfrm>
                          <a:off x="0" y="0"/>
                          <a:ext cx="6185535" cy="170815"/>
                          <a:chExt cx="6185535" cy="170815"/>
                        </a:xfrm>
                      </wpg:grpSpPr>
                      <wps:wsp>
                        <wps:cNvPr id="1564" name="Graphic 1564"/>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565" name="Graphic 1565"/>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566" name="Textbox 1566"/>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3088</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239"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240" filled="false" stroked="false">
                  <v:textbox inset="0,0,0,0">
                    <w:txbxContent>
                      <w:p>
                        <w:pPr>
                          <w:spacing w:before="6"/>
                          <w:ind w:left="-1" w:right="0" w:firstLine="0"/>
                          <w:jc w:val="left"/>
                          <w:rPr>
                            <w:sz w:val="18"/>
                          </w:rPr>
                        </w:pPr>
                        <w:r>
                          <w:rPr>
                            <w:b/>
                            <w:color w:val="231F20"/>
                            <w:w w:val="105"/>
                            <w:sz w:val="18"/>
                          </w:rPr>
                          <w:t>3088</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v:textbox>
                  <w10:wrap type="none"/>
                </v:shape>
              </v:group>
            </w:pict>
          </mc:Fallback>
        </mc:AlternateContent>
      </w:r>
      <w:r>
        <w:rPr>
          <w:sz w:val="20"/>
        </w:rPr>
      </w:r>
    </w:p>
    <w:p>
      <w:pPr>
        <w:pStyle w:val="BodyText"/>
        <w:spacing w:before="8"/>
        <w:rPr>
          <w:i/>
          <w:sz w:val="18"/>
        </w:rPr>
      </w:pPr>
    </w:p>
    <w:tbl>
      <w:tblPr>
        <w:tblW w:w="0" w:type="auto"/>
        <w:jc w:val="left"/>
        <w:tblInd w:w="2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3"/>
        <w:gridCol w:w="1788"/>
        <w:gridCol w:w="455"/>
        <w:gridCol w:w="2080"/>
        <w:gridCol w:w="2237"/>
        <w:gridCol w:w="2039"/>
      </w:tblGrid>
      <w:tr>
        <w:trPr>
          <w:trHeight w:val="373" w:hRule="atLeast"/>
        </w:trPr>
        <w:tc>
          <w:tcPr>
            <w:tcW w:w="1143" w:type="dxa"/>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640-</w:t>
            </w:r>
            <w:r>
              <w:rPr>
                <w:b/>
                <w:color w:val="FFFFFF"/>
                <w:spacing w:val="-10"/>
                <w:w w:val="105"/>
                <w:sz w:val="16"/>
              </w:rPr>
              <w:t>2</w:t>
            </w:r>
          </w:p>
        </w:tc>
        <w:tc>
          <w:tcPr>
            <w:tcW w:w="1788" w:type="dxa"/>
            <w:shd w:val="clear" w:color="auto" w:fill="231F20"/>
          </w:tcPr>
          <w:p>
            <w:pPr>
              <w:pStyle w:val="TableParagraph"/>
              <w:spacing w:before="89"/>
              <w:ind w:left="88"/>
              <w:rPr>
                <w:sz w:val="16"/>
              </w:rPr>
            </w:pPr>
            <w:r>
              <w:rPr>
                <w:color w:val="FFFFFF"/>
                <w:w w:val="105"/>
                <w:sz w:val="16"/>
              </w:rPr>
              <w:t>Recommendations</w:t>
            </w:r>
            <w:r>
              <w:rPr>
                <w:color w:val="FFFFFF"/>
                <w:spacing w:val="30"/>
                <w:w w:val="105"/>
                <w:sz w:val="16"/>
              </w:rPr>
              <w:t> </w:t>
            </w:r>
            <w:r>
              <w:rPr>
                <w:color w:val="FFFFFF"/>
                <w:spacing w:val="-5"/>
                <w:w w:val="105"/>
                <w:sz w:val="16"/>
              </w:rPr>
              <w:t>for</w:t>
            </w:r>
          </w:p>
        </w:tc>
        <w:tc>
          <w:tcPr>
            <w:tcW w:w="455" w:type="dxa"/>
            <w:shd w:val="clear" w:color="auto" w:fill="231F20"/>
          </w:tcPr>
          <w:p>
            <w:pPr>
              <w:pStyle w:val="TableParagraph"/>
              <w:spacing w:before="89"/>
              <w:ind w:left="27"/>
              <w:rPr>
                <w:sz w:val="16"/>
              </w:rPr>
            </w:pPr>
            <w:r>
              <w:rPr>
                <w:color w:val="FFFFFF"/>
                <w:spacing w:val="-2"/>
                <w:sz w:val="16"/>
              </w:rPr>
              <w:t>Initial</w:t>
            </w:r>
          </w:p>
        </w:tc>
        <w:tc>
          <w:tcPr>
            <w:tcW w:w="6356" w:type="dxa"/>
            <w:gridSpan w:val="3"/>
            <w:shd w:val="clear" w:color="auto" w:fill="231F20"/>
          </w:tcPr>
          <w:p>
            <w:pPr>
              <w:pStyle w:val="TableParagraph"/>
              <w:spacing w:before="89"/>
              <w:ind w:left="33"/>
              <w:rPr>
                <w:sz w:val="16"/>
              </w:rPr>
            </w:pPr>
            <w:r>
              <w:rPr>
                <w:color w:val="FFFFFF"/>
                <w:w w:val="105"/>
                <w:sz w:val="16"/>
              </w:rPr>
              <w:t>Management</w:t>
            </w:r>
            <w:r>
              <w:rPr>
                <w:color w:val="FFFFFF"/>
                <w:spacing w:val="17"/>
                <w:w w:val="105"/>
                <w:sz w:val="16"/>
              </w:rPr>
              <w:t> </w:t>
            </w:r>
            <w:r>
              <w:rPr>
                <w:color w:val="FFFFFF"/>
                <w:w w:val="105"/>
                <w:sz w:val="16"/>
              </w:rPr>
              <w:t>for</w:t>
            </w:r>
            <w:r>
              <w:rPr>
                <w:color w:val="FFFFFF"/>
                <w:spacing w:val="17"/>
                <w:w w:val="105"/>
                <w:sz w:val="16"/>
              </w:rPr>
              <w:t> </w:t>
            </w:r>
            <w:r>
              <w:rPr>
                <w:color w:val="FFFFFF"/>
                <w:w w:val="105"/>
                <w:sz w:val="16"/>
              </w:rPr>
              <w:t>Uncomplicated</w:t>
            </w:r>
            <w:r>
              <w:rPr>
                <w:color w:val="FFFFFF"/>
                <w:spacing w:val="17"/>
                <w:w w:val="105"/>
                <w:sz w:val="16"/>
              </w:rPr>
              <w:t> </w:t>
            </w:r>
            <w:r>
              <w:rPr>
                <w:color w:val="FFFFFF"/>
                <w:w w:val="105"/>
                <w:sz w:val="16"/>
              </w:rPr>
              <w:t>Acute</w:t>
            </w:r>
            <w:r>
              <w:rPr>
                <w:color w:val="FFFFFF"/>
                <w:spacing w:val="17"/>
                <w:w w:val="105"/>
                <w:sz w:val="16"/>
              </w:rPr>
              <w:t> </w:t>
            </w:r>
            <w:r>
              <w:rPr>
                <w:color w:val="FFFFFF"/>
                <w:w w:val="105"/>
                <w:sz w:val="16"/>
              </w:rPr>
              <w:t>Otitis</w:t>
            </w:r>
            <w:r>
              <w:rPr>
                <w:color w:val="FFFFFF"/>
                <w:spacing w:val="17"/>
                <w:w w:val="105"/>
                <w:sz w:val="16"/>
              </w:rPr>
              <w:t> </w:t>
            </w:r>
            <w:r>
              <w:rPr>
                <w:color w:val="FFFFFF"/>
                <w:spacing w:val="-2"/>
                <w:w w:val="105"/>
                <w:sz w:val="16"/>
              </w:rPr>
              <w:t>Media</w:t>
            </w:r>
            <w:r>
              <w:rPr>
                <w:color w:val="0080AC"/>
                <w:spacing w:val="-2"/>
                <w:w w:val="105"/>
                <w:sz w:val="16"/>
              </w:rPr>
              <w:t>*</w:t>
            </w:r>
          </w:p>
        </w:tc>
      </w:tr>
      <w:tr>
        <w:trPr>
          <w:trHeight w:val="593" w:hRule="atLeast"/>
        </w:trPr>
        <w:tc>
          <w:tcPr>
            <w:tcW w:w="1143" w:type="dxa"/>
            <w:tcBorders>
              <w:bottom w:val="single" w:sz="4" w:space="0" w:color="231F20"/>
            </w:tcBorders>
            <w:shd w:val="clear" w:color="auto" w:fill="E8F5F1"/>
          </w:tcPr>
          <w:p>
            <w:pPr>
              <w:pStyle w:val="TableParagraph"/>
              <w:rPr>
                <w:i/>
                <w:sz w:val="15"/>
              </w:rPr>
            </w:pPr>
          </w:p>
          <w:p>
            <w:pPr>
              <w:pStyle w:val="TableParagraph"/>
              <w:spacing w:before="34"/>
              <w:rPr>
                <w:i/>
                <w:sz w:val="15"/>
              </w:rPr>
            </w:pPr>
          </w:p>
          <w:p>
            <w:pPr>
              <w:pStyle w:val="TableParagraph"/>
              <w:ind w:left="74"/>
              <w:rPr>
                <w:b/>
                <w:sz w:val="15"/>
              </w:rPr>
            </w:pPr>
            <w:r>
              <w:rPr>
                <w:b/>
                <w:color w:val="231F20"/>
                <w:spacing w:val="-5"/>
                <w:w w:val="115"/>
                <w:sz w:val="15"/>
              </w:rPr>
              <w:t>AGE</w:t>
            </w:r>
          </w:p>
        </w:tc>
        <w:tc>
          <w:tcPr>
            <w:tcW w:w="1788" w:type="dxa"/>
            <w:tcBorders>
              <w:bottom w:val="single" w:sz="4" w:space="0" w:color="231F20"/>
            </w:tcBorders>
            <w:shd w:val="clear" w:color="auto" w:fill="E8F5F1"/>
          </w:tcPr>
          <w:p>
            <w:pPr>
              <w:pStyle w:val="TableParagraph"/>
              <w:spacing w:before="46"/>
              <w:rPr>
                <w:i/>
                <w:sz w:val="15"/>
              </w:rPr>
            </w:pPr>
          </w:p>
          <w:p>
            <w:pPr>
              <w:pStyle w:val="TableParagraph"/>
              <w:spacing w:line="230" w:lineRule="auto"/>
              <w:ind w:left="596" w:firstLine="23"/>
              <w:rPr>
                <w:b/>
                <w:sz w:val="15"/>
              </w:rPr>
            </w:pPr>
            <w:r>
              <w:rPr>
                <w:b/>
                <w:color w:val="231F20"/>
                <w:spacing w:val="-2"/>
                <w:w w:val="110"/>
                <w:sz w:val="15"/>
              </w:rPr>
              <w:t>OTORRHEA </w:t>
            </w:r>
            <w:r>
              <w:rPr>
                <w:b/>
                <w:color w:val="231F20"/>
                <w:w w:val="110"/>
                <w:sz w:val="15"/>
              </w:rPr>
              <w:t>WITH</w:t>
            </w:r>
            <w:r>
              <w:rPr>
                <w:b/>
                <w:color w:val="231F20"/>
                <w:spacing w:val="-13"/>
                <w:w w:val="110"/>
                <w:sz w:val="15"/>
              </w:rPr>
              <w:t> </w:t>
            </w:r>
            <w:r>
              <w:rPr>
                <w:b/>
                <w:color w:val="231F20"/>
                <w:spacing w:val="-4"/>
                <w:w w:val="110"/>
                <w:sz w:val="15"/>
              </w:rPr>
              <w:t>AOM</w:t>
            </w:r>
            <w:r>
              <w:rPr>
                <w:b/>
                <w:color w:val="0080AC"/>
                <w:spacing w:val="-4"/>
                <w:w w:val="110"/>
                <w:sz w:val="15"/>
              </w:rPr>
              <w:t>*</w:t>
            </w:r>
          </w:p>
        </w:tc>
        <w:tc>
          <w:tcPr>
            <w:tcW w:w="2535" w:type="dxa"/>
            <w:gridSpan w:val="2"/>
            <w:tcBorders>
              <w:bottom w:val="single" w:sz="4" w:space="0" w:color="231F20"/>
            </w:tcBorders>
            <w:shd w:val="clear" w:color="auto" w:fill="E8F5F1"/>
          </w:tcPr>
          <w:p>
            <w:pPr>
              <w:pStyle w:val="TableParagraph"/>
              <w:spacing w:line="230" w:lineRule="auto" w:before="53"/>
              <w:ind w:left="343" w:right="178"/>
              <w:jc w:val="center"/>
              <w:rPr>
                <w:b/>
                <w:sz w:val="15"/>
              </w:rPr>
            </w:pPr>
            <w:r>
              <w:rPr>
                <w:b/>
                <w:color w:val="231F20"/>
                <w:w w:val="110"/>
                <w:sz w:val="15"/>
              </w:rPr>
              <w:t>UNILATERAL OR BILATERAL</w:t>
            </w:r>
            <w:r>
              <w:rPr>
                <w:b/>
                <w:color w:val="231F20"/>
                <w:spacing w:val="-13"/>
                <w:w w:val="110"/>
                <w:sz w:val="15"/>
              </w:rPr>
              <w:t> </w:t>
            </w:r>
            <w:r>
              <w:rPr>
                <w:b/>
                <w:color w:val="231F20"/>
                <w:w w:val="110"/>
                <w:sz w:val="15"/>
              </w:rPr>
              <w:t>AOM</w:t>
            </w:r>
            <w:r>
              <w:rPr>
                <w:b/>
                <w:color w:val="0080AC"/>
                <w:w w:val="110"/>
                <w:sz w:val="15"/>
              </w:rPr>
              <w:t>*</w:t>
            </w:r>
            <w:r>
              <w:rPr>
                <w:b/>
                <w:color w:val="0080AC"/>
                <w:spacing w:val="-12"/>
                <w:w w:val="110"/>
                <w:sz w:val="15"/>
              </w:rPr>
              <w:t> </w:t>
            </w:r>
            <w:r>
              <w:rPr>
                <w:b/>
                <w:color w:val="231F20"/>
                <w:w w:val="110"/>
                <w:sz w:val="15"/>
              </w:rPr>
              <w:t>WITH SEVERE SYMPTOMS</w:t>
            </w:r>
            <w:r>
              <w:rPr>
                <w:b/>
                <w:color w:val="0080AC"/>
                <w:w w:val="110"/>
                <w:sz w:val="15"/>
                <w:vertAlign w:val="superscript"/>
              </w:rPr>
              <w:t>†</w:t>
            </w:r>
          </w:p>
        </w:tc>
        <w:tc>
          <w:tcPr>
            <w:tcW w:w="2237" w:type="dxa"/>
            <w:tcBorders>
              <w:bottom w:val="single" w:sz="4" w:space="0" w:color="231F20"/>
            </w:tcBorders>
            <w:shd w:val="clear" w:color="auto" w:fill="E8F5F1"/>
          </w:tcPr>
          <w:p>
            <w:pPr>
              <w:pStyle w:val="TableParagraph"/>
              <w:spacing w:before="46"/>
              <w:rPr>
                <w:i/>
                <w:sz w:val="15"/>
              </w:rPr>
            </w:pPr>
          </w:p>
          <w:p>
            <w:pPr>
              <w:pStyle w:val="TableParagraph"/>
              <w:spacing w:line="230" w:lineRule="auto"/>
              <w:ind w:left="312" w:firstLine="155"/>
              <w:rPr>
                <w:b/>
                <w:sz w:val="15"/>
              </w:rPr>
            </w:pPr>
            <w:r>
              <w:rPr>
                <w:b/>
                <w:color w:val="231F20"/>
                <w:w w:val="110"/>
                <w:sz w:val="15"/>
              </w:rPr>
              <w:t>BILATERAL AOM</w:t>
            </w:r>
            <w:r>
              <w:rPr>
                <w:b/>
                <w:color w:val="0080AC"/>
                <w:w w:val="110"/>
                <w:sz w:val="15"/>
              </w:rPr>
              <w:t>* </w:t>
            </w:r>
            <w:r>
              <w:rPr>
                <w:b/>
                <w:color w:val="231F20"/>
                <w:spacing w:val="-2"/>
                <w:w w:val="110"/>
                <w:sz w:val="15"/>
              </w:rPr>
              <w:t>WITHOUT</w:t>
            </w:r>
            <w:r>
              <w:rPr>
                <w:b/>
                <w:color w:val="231F20"/>
                <w:spacing w:val="-11"/>
                <w:w w:val="110"/>
                <w:sz w:val="15"/>
              </w:rPr>
              <w:t> </w:t>
            </w:r>
            <w:r>
              <w:rPr>
                <w:b/>
                <w:color w:val="231F20"/>
                <w:spacing w:val="-2"/>
                <w:w w:val="110"/>
                <w:sz w:val="15"/>
              </w:rPr>
              <w:t>OTORRHEA</w:t>
            </w:r>
          </w:p>
        </w:tc>
        <w:tc>
          <w:tcPr>
            <w:tcW w:w="2039" w:type="dxa"/>
            <w:tcBorders>
              <w:bottom w:val="single" w:sz="4" w:space="0" w:color="231F20"/>
            </w:tcBorders>
            <w:shd w:val="clear" w:color="auto" w:fill="E8F5F1"/>
          </w:tcPr>
          <w:p>
            <w:pPr>
              <w:pStyle w:val="TableParagraph"/>
              <w:spacing w:before="46"/>
              <w:rPr>
                <w:i/>
                <w:sz w:val="15"/>
              </w:rPr>
            </w:pPr>
          </w:p>
          <w:p>
            <w:pPr>
              <w:pStyle w:val="TableParagraph"/>
              <w:spacing w:line="230" w:lineRule="auto"/>
              <w:ind w:left="331" w:firstLine="88"/>
              <w:rPr>
                <w:b/>
                <w:sz w:val="15"/>
              </w:rPr>
            </w:pPr>
            <w:r>
              <w:rPr>
                <w:b/>
                <w:color w:val="231F20"/>
                <w:w w:val="110"/>
                <w:sz w:val="15"/>
              </w:rPr>
              <w:t>UNILATERAL AOM</w:t>
            </w:r>
            <w:r>
              <w:rPr>
                <w:b/>
                <w:color w:val="0080AC"/>
                <w:w w:val="110"/>
                <w:sz w:val="15"/>
              </w:rPr>
              <w:t>* </w:t>
            </w:r>
            <w:r>
              <w:rPr>
                <w:b/>
                <w:color w:val="231F20"/>
                <w:w w:val="105"/>
                <w:sz w:val="15"/>
              </w:rPr>
              <w:t>WITHOUT</w:t>
            </w:r>
            <w:r>
              <w:rPr>
                <w:b/>
                <w:color w:val="231F20"/>
                <w:spacing w:val="9"/>
                <w:w w:val="110"/>
                <w:sz w:val="15"/>
              </w:rPr>
              <w:t> </w:t>
            </w:r>
            <w:r>
              <w:rPr>
                <w:b/>
                <w:color w:val="231F20"/>
                <w:spacing w:val="-2"/>
                <w:w w:val="110"/>
                <w:sz w:val="15"/>
              </w:rPr>
              <w:t>OTORRHEA</w:t>
            </w:r>
          </w:p>
        </w:tc>
      </w:tr>
      <w:tr>
        <w:trPr>
          <w:trHeight w:val="425" w:hRule="atLeast"/>
        </w:trPr>
        <w:tc>
          <w:tcPr>
            <w:tcW w:w="1143"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z w:val="15"/>
              </w:rPr>
              <w:t>6</w:t>
            </w:r>
            <w:r>
              <w:rPr>
                <w:color w:val="231F20"/>
                <w:spacing w:val="2"/>
                <w:sz w:val="15"/>
              </w:rPr>
              <w:t> </w:t>
            </w:r>
            <w:r>
              <w:rPr>
                <w:color w:val="231F20"/>
                <w:sz w:val="15"/>
              </w:rPr>
              <w:t>mo</w:t>
            </w:r>
            <w:r>
              <w:rPr>
                <w:color w:val="231F20"/>
                <w:spacing w:val="2"/>
                <w:sz w:val="15"/>
              </w:rPr>
              <w:t> </w:t>
            </w:r>
            <w:r>
              <w:rPr>
                <w:color w:val="231F20"/>
                <w:sz w:val="15"/>
              </w:rPr>
              <w:t>to</w:t>
            </w:r>
            <w:r>
              <w:rPr>
                <w:color w:val="231F20"/>
                <w:spacing w:val="2"/>
                <w:sz w:val="15"/>
              </w:rPr>
              <w:t> </w:t>
            </w:r>
            <w:r>
              <w:rPr>
                <w:color w:val="231F20"/>
                <w:sz w:val="15"/>
              </w:rPr>
              <w:t>2</w:t>
            </w:r>
            <w:r>
              <w:rPr>
                <w:color w:val="231F20"/>
                <w:spacing w:val="2"/>
                <w:sz w:val="15"/>
              </w:rPr>
              <w:t> </w:t>
            </w:r>
            <w:r>
              <w:rPr>
                <w:color w:val="231F20"/>
                <w:spacing w:val="-5"/>
                <w:sz w:val="15"/>
              </w:rPr>
              <w:t>yr</w:t>
            </w:r>
          </w:p>
        </w:tc>
        <w:tc>
          <w:tcPr>
            <w:tcW w:w="1788" w:type="dxa"/>
            <w:tcBorders>
              <w:top w:val="single" w:sz="4" w:space="0" w:color="231F20"/>
              <w:bottom w:val="single" w:sz="4" w:space="0" w:color="FFFFFF"/>
            </w:tcBorders>
            <w:shd w:val="clear" w:color="auto" w:fill="E8F5F1"/>
          </w:tcPr>
          <w:p>
            <w:pPr>
              <w:pStyle w:val="TableParagraph"/>
              <w:spacing w:before="47"/>
              <w:ind w:left="445"/>
              <w:rPr>
                <w:sz w:val="15"/>
              </w:rPr>
            </w:pPr>
            <w:r>
              <w:rPr>
                <w:color w:val="231F20"/>
                <w:spacing w:val="-2"/>
                <w:sz w:val="15"/>
              </w:rPr>
              <w:t>Antibiotic</w:t>
            </w:r>
            <w:r>
              <w:rPr>
                <w:color w:val="231F20"/>
                <w:spacing w:val="7"/>
                <w:sz w:val="15"/>
              </w:rPr>
              <w:t> </w:t>
            </w:r>
            <w:r>
              <w:rPr>
                <w:color w:val="231F20"/>
                <w:spacing w:val="-2"/>
                <w:sz w:val="15"/>
              </w:rPr>
              <w:t>therapy</w:t>
            </w:r>
          </w:p>
        </w:tc>
        <w:tc>
          <w:tcPr>
            <w:tcW w:w="2535" w:type="dxa"/>
            <w:gridSpan w:val="2"/>
            <w:tcBorders>
              <w:top w:val="single" w:sz="4" w:space="0" w:color="231F20"/>
              <w:bottom w:val="single" w:sz="4" w:space="0" w:color="FFFFFF"/>
            </w:tcBorders>
            <w:shd w:val="clear" w:color="auto" w:fill="E8F5F1"/>
          </w:tcPr>
          <w:p>
            <w:pPr>
              <w:pStyle w:val="TableParagraph"/>
              <w:spacing w:before="47"/>
              <w:ind w:left="476"/>
              <w:rPr>
                <w:sz w:val="15"/>
              </w:rPr>
            </w:pPr>
            <w:r>
              <w:rPr>
                <w:color w:val="231F20"/>
                <w:spacing w:val="-2"/>
                <w:sz w:val="15"/>
              </w:rPr>
              <w:t>Antibiotic</w:t>
            </w:r>
            <w:r>
              <w:rPr>
                <w:color w:val="231F20"/>
                <w:spacing w:val="7"/>
                <w:sz w:val="15"/>
              </w:rPr>
              <w:t> </w:t>
            </w:r>
            <w:r>
              <w:rPr>
                <w:color w:val="231F20"/>
                <w:spacing w:val="-2"/>
                <w:sz w:val="15"/>
              </w:rPr>
              <w:t>therapy</w:t>
            </w:r>
          </w:p>
        </w:tc>
        <w:tc>
          <w:tcPr>
            <w:tcW w:w="2237" w:type="dxa"/>
            <w:tcBorders>
              <w:top w:val="single" w:sz="4" w:space="0" w:color="231F20"/>
              <w:bottom w:val="single" w:sz="4" w:space="0" w:color="FFFFFF"/>
            </w:tcBorders>
            <w:shd w:val="clear" w:color="auto" w:fill="E8F5F1"/>
          </w:tcPr>
          <w:p>
            <w:pPr>
              <w:pStyle w:val="TableParagraph"/>
              <w:spacing w:before="47"/>
              <w:ind w:left="312"/>
              <w:rPr>
                <w:sz w:val="15"/>
              </w:rPr>
            </w:pPr>
            <w:r>
              <w:rPr>
                <w:color w:val="231F20"/>
                <w:spacing w:val="-2"/>
                <w:sz w:val="15"/>
              </w:rPr>
              <w:t>Antibiotic</w:t>
            </w:r>
            <w:r>
              <w:rPr>
                <w:color w:val="231F20"/>
                <w:spacing w:val="7"/>
                <w:sz w:val="15"/>
              </w:rPr>
              <w:t> </w:t>
            </w:r>
            <w:r>
              <w:rPr>
                <w:color w:val="231F20"/>
                <w:spacing w:val="-2"/>
                <w:sz w:val="15"/>
              </w:rPr>
              <w:t>therapy</w:t>
            </w:r>
          </w:p>
        </w:tc>
        <w:tc>
          <w:tcPr>
            <w:tcW w:w="2039" w:type="dxa"/>
            <w:tcBorders>
              <w:top w:val="single" w:sz="4" w:space="0" w:color="231F20"/>
              <w:bottom w:val="single" w:sz="4" w:space="0" w:color="FFFFFF"/>
            </w:tcBorders>
            <w:shd w:val="clear" w:color="auto" w:fill="E8F5F1"/>
          </w:tcPr>
          <w:p>
            <w:pPr>
              <w:pStyle w:val="TableParagraph"/>
              <w:spacing w:line="230" w:lineRule="auto" w:before="52"/>
              <w:ind w:left="423" w:hanging="112"/>
              <w:rPr>
                <w:sz w:val="15"/>
              </w:rPr>
            </w:pPr>
            <w:r>
              <w:rPr>
                <w:color w:val="231F20"/>
                <w:sz w:val="15"/>
              </w:rPr>
              <w:t>Antibiotic therapy or </w:t>
            </w:r>
            <w:r>
              <w:rPr>
                <w:color w:val="231F20"/>
                <w:spacing w:val="-2"/>
                <w:sz w:val="15"/>
              </w:rPr>
              <w:t>additional</w:t>
            </w:r>
            <w:r>
              <w:rPr>
                <w:color w:val="231F20"/>
                <w:spacing w:val="-6"/>
                <w:sz w:val="15"/>
              </w:rPr>
              <w:t> </w:t>
            </w:r>
            <w:r>
              <w:rPr>
                <w:color w:val="231F20"/>
                <w:spacing w:val="-2"/>
                <w:sz w:val="15"/>
              </w:rPr>
              <w:t>observation</w:t>
            </w:r>
          </w:p>
        </w:tc>
      </w:tr>
      <w:tr>
        <w:trPr>
          <w:trHeight w:val="415" w:hRule="atLeast"/>
        </w:trPr>
        <w:tc>
          <w:tcPr>
            <w:tcW w:w="1143" w:type="dxa"/>
            <w:tcBorders>
              <w:top w:val="single" w:sz="4" w:space="0" w:color="FFFFFF"/>
              <w:bottom w:val="single" w:sz="8" w:space="0" w:color="231F20"/>
            </w:tcBorders>
            <w:shd w:val="clear" w:color="auto" w:fill="E8F5F1"/>
          </w:tcPr>
          <w:p>
            <w:pPr>
              <w:pStyle w:val="TableParagraph"/>
              <w:spacing w:before="42"/>
              <w:ind w:left="74"/>
              <w:rPr>
                <w:sz w:val="15"/>
              </w:rPr>
            </w:pPr>
            <w:r>
              <w:rPr>
                <w:rFonts w:ascii="Cambria" w:hAnsi="Cambria"/>
                <w:color w:val="231F20"/>
                <w:sz w:val="15"/>
              </w:rPr>
              <w:t>≥</w:t>
            </w:r>
            <w:r>
              <w:rPr>
                <w:color w:val="231F20"/>
                <w:sz w:val="15"/>
              </w:rPr>
              <w:t>2</w:t>
            </w:r>
            <w:r>
              <w:rPr>
                <w:color w:val="231F20"/>
                <w:spacing w:val="-3"/>
                <w:sz w:val="15"/>
              </w:rPr>
              <w:t> </w:t>
            </w:r>
            <w:r>
              <w:rPr>
                <w:color w:val="231F20"/>
                <w:spacing w:val="-5"/>
                <w:sz w:val="15"/>
              </w:rPr>
              <w:t>yr</w:t>
            </w:r>
          </w:p>
        </w:tc>
        <w:tc>
          <w:tcPr>
            <w:tcW w:w="1788" w:type="dxa"/>
            <w:tcBorders>
              <w:top w:val="single" w:sz="4" w:space="0" w:color="FFFFFF"/>
              <w:bottom w:val="single" w:sz="8" w:space="0" w:color="231F20"/>
            </w:tcBorders>
            <w:shd w:val="clear" w:color="auto" w:fill="E8F5F1"/>
          </w:tcPr>
          <w:p>
            <w:pPr>
              <w:pStyle w:val="TableParagraph"/>
              <w:spacing w:before="42"/>
              <w:ind w:left="445"/>
              <w:rPr>
                <w:sz w:val="15"/>
              </w:rPr>
            </w:pPr>
            <w:r>
              <w:rPr>
                <w:color w:val="231F20"/>
                <w:spacing w:val="-2"/>
                <w:sz w:val="15"/>
              </w:rPr>
              <w:t>Antibiotic</w:t>
            </w:r>
            <w:r>
              <w:rPr>
                <w:color w:val="231F20"/>
                <w:spacing w:val="7"/>
                <w:sz w:val="15"/>
              </w:rPr>
              <w:t> </w:t>
            </w:r>
            <w:r>
              <w:rPr>
                <w:color w:val="231F20"/>
                <w:spacing w:val="-2"/>
                <w:sz w:val="15"/>
              </w:rPr>
              <w:t>therapy</w:t>
            </w:r>
          </w:p>
        </w:tc>
        <w:tc>
          <w:tcPr>
            <w:tcW w:w="2535" w:type="dxa"/>
            <w:gridSpan w:val="2"/>
            <w:tcBorders>
              <w:top w:val="single" w:sz="4" w:space="0" w:color="FFFFFF"/>
              <w:bottom w:val="single" w:sz="8" w:space="0" w:color="231F20"/>
            </w:tcBorders>
            <w:shd w:val="clear" w:color="auto" w:fill="E8F5F1"/>
          </w:tcPr>
          <w:p>
            <w:pPr>
              <w:pStyle w:val="TableParagraph"/>
              <w:spacing w:before="42"/>
              <w:ind w:left="476"/>
              <w:rPr>
                <w:sz w:val="15"/>
              </w:rPr>
            </w:pPr>
            <w:r>
              <w:rPr>
                <w:color w:val="231F20"/>
                <w:spacing w:val="-2"/>
                <w:sz w:val="15"/>
              </w:rPr>
              <w:t>Antibiotic</w:t>
            </w:r>
            <w:r>
              <w:rPr>
                <w:color w:val="231F20"/>
                <w:spacing w:val="7"/>
                <w:sz w:val="15"/>
              </w:rPr>
              <w:t> </w:t>
            </w:r>
            <w:r>
              <w:rPr>
                <w:color w:val="231F20"/>
                <w:spacing w:val="-2"/>
                <w:sz w:val="15"/>
              </w:rPr>
              <w:t>therapy</w:t>
            </w:r>
          </w:p>
        </w:tc>
        <w:tc>
          <w:tcPr>
            <w:tcW w:w="2237" w:type="dxa"/>
            <w:tcBorders>
              <w:top w:val="single" w:sz="4" w:space="0" w:color="FFFFFF"/>
              <w:bottom w:val="single" w:sz="8" w:space="0" w:color="231F20"/>
            </w:tcBorders>
            <w:shd w:val="clear" w:color="auto" w:fill="E8F5F1"/>
          </w:tcPr>
          <w:p>
            <w:pPr>
              <w:pStyle w:val="TableParagraph"/>
              <w:spacing w:line="230" w:lineRule="auto" w:before="48"/>
              <w:ind w:left="423" w:hanging="112"/>
              <w:rPr>
                <w:sz w:val="15"/>
              </w:rPr>
            </w:pPr>
            <w:r>
              <w:rPr>
                <w:color w:val="231F20"/>
                <w:sz w:val="15"/>
              </w:rPr>
              <w:t>Antibiotic therapy or </w:t>
            </w:r>
            <w:r>
              <w:rPr>
                <w:color w:val="231F20"/>
                <w:spacing w:val="-2"/>
                <w:sz w:val="15"/>
              </w:rPr>
              <w:t>additional</w:t>
            </w:r>
            <w:r>
              <w:rPr>
                <w:color w:val="231F20"/>
                <w:spacing w:val="-6"/>
                <w:sz w:val="15"/>
              </w:rPr>
              <w:t> </w:t>
            </w:r>
            <w:r>
              <w:rPr>
                <w:color w:val="231F20"/>
                <w:spacing w:val="-2"/>
                <w:sz w:val="15"/>
              </w:rPr>
              <w:t>observation</w:t>
            </w:r>
          </w:p>
        </w:tc>
        <w:tc>
          <w:tcPr>
            <w:tcW w:w="2039" w:type="dxa"/>
            <w:tcBorders>
              <w:top w:val="single" w:sz="4" w:space="0" w:color="FFFFFF"/>
              <w:bottom w:val="single" w:sz="8" w:space="0" w:color="231F20"/>
            </w:tcBorders>
            <w:shd w:val="clear" w:color="auto" w:fill="E8F5F1"/>
          </w:tcPr>
          <w:p>
            <w:pPr>
              <w:pStyle w:val="TableParagraph"/>
              <w:spacing w:line="230" w:lineRule="auto" w:before="48"/>
              <w:ind w:left="423" w:hanging="112"/>
              <w:rPr>
                <w:sz w:val="15"/>
              </w:rPr>
            </w:pPr>
            <w:r>
              <w:rPr>
                <w:color w:val="231F20"/>
                <w:sz w:val="15"/>
              </w:rPr>
              <w:t>Antibiotic therapy or </w:t>
            </w:r>
            <w:r>
              <w:rPr>
                <w:color w:val="231F20"/>
                <w:spacing w:val="-2"/>
                <w:sz w:val="15"/>
              </w:rPr>
              <w:t>additional</w:t>
            </w:r>
            <w:r>
              <w:rPr>
                <w:color w:val="231F20"/>
                <w:spacing w:val="-4"/>
                <w:sz w:val="15"/>
              </w:rPr>
              <w:t> </w:t>
            </w:r>
            <w:r>
              <w:rPr>
                <w:color w:val="231F20"/>
                <w:spacing w:val="-2"/>
                <w:sz w:val="15"/>
              </w:rPr>
              <w:t>observation</w:t>
            </w:r>
            <w:r>
              <w:rPr>
                <w:color w:val="0080AC"/>
                <w:spacing w:val="-2"/>
                <w:sz w:val="15"/>
                <w:vertAlign w:val="superscript"/>
              </w:rPr>
              <w:t>‡</w:t>
            </w:r>
          </w:p>
        </w:tc>
      </w:tr>
    </w:tbl>
    <w:p>
      <w:pPr>
        <w:pStyle w:val="BodyText"/>
        <w:spacing w:line="149" w:lineRule="exact" w:before="75"/>
        <w:ind w:left="284"/>
      </w:pPr>
      <w:r>
        <w:rPr>
          <w:color w:val="231F20"/>
        </w:rPr>
        <w:t>*Applies</w:t>
      </w:r>
      <w:r>
        <w:rPr>
          <w:color w:val="231F20"/>
          <w:spacing w:val="2"/>
        </w:rPr>
        <w:t> </w:t>
      </w:r>
      <w:r>
        <w:rPr>
          <w:color w:val="231F20"/>
        </w:rPr>
        <w:t>only</w:t>
      </w:r>
      <w:r>
        <w:rPr>
          <w:color w:val="231F20"/>
          <w:spacing w:val="2"/>
        </w:rPr>
        <w:t> </w:t>
      </w:r>
      <w:r>
        <w:rPr>
          <w:color w:val="231F20"/>
        </w:rPr>
        <w:t>to</w:t>
      </w:r>
      <w:r>
        <w:rPr>
          <w:color w:val="231F20"/>
          <w:spacing w:val="2"/>
        </w:rPr>
        <w:t> </w:t>
      </w:r>
      <w:r>
        <w:rPr>
          <w:color w:val="231F20"/>
        </w:rPr>
        <w:t>children</w:t>
      </w:r>
      <w:r>
        <w:rPr>
          <w:color w:val="231F20"/>
          <w:spacing w:val="2"/>
        </w:rPr>
        <w:t> </w:t>
      </w:r>
      <w:r>
        <w:rPr>
          <w:color w:val="231F20"/>
        </w:rPr>
        <w:t>with</w:t>
      </w:r>
      <w:r>
        <w:rPr>
          <w:color w:val="231F20"/>
          <w:spacing w:val="2"/>
        </w:rPr>
        <w:t> </w:t>
      </w:r>
      <w:r>
        <w:rPr>
          <w:color w:val="231F20"/>
        </w:rPr>
        <w:t>well-documented</w:t>
      </w:r>
      <w:r>
        <w:rPr>
          <w:color w:val="231F20"/>
          <w:spacing w:val="2"/>
        </w:rPr>
        <w:t> </w:t>
      </w:r>
      <w:r>
        <w:rPr>
          <w:color w:val="231F20"/>
        </w:rPr>
        <w:t>AOM</w:t>
      </w:r>
      <w:r>
        <w:rPr>
          <w:color w:val="231F20"/>
          <w:spacing w:val="2"/>
        </w:rPr>
        <w:t> </w:t>
      </w:r>
      <w:r>
        <w:rPr>
          <w:color w:val="231F20"/>
        </w:rPr>
        <w:t>with</w:t>
      </w:r>
      <w:r>
        <w:rPr>
          <w:color w:val="231F20"/>
          <w:spacing w:val="2"/>
        </w:rPr>
        <w:t> </w:t>
      </w:r>
      <w:r>
        <w:rPr>
          <w:color w:val="231F20"/>
        </w:rPr>
        <w:t>high</w:t>
      </w:r>
      <w:r>
        <w:rPr>
          <w:color w:val="231F20"/>
          <w:spacing w:val="2"/>
        </w:rPr>
        <w:t> </w:t>
      </w:r>
      <w:r>
        <w:rPr>
          <w:color w:val="231F20"/>
        </w:rPr>
        <w:t>certainty</w:t>
      </w:r>
      <w:r>
        <w:rPr>
          <w:color w:val="231F20"/>
          <w:spacing w:val="2"/>
        </w:rPr>
        <w:t> </w:t>
      </w:r>
      <w:r>
        <w:rPr>
          <w:color w:val="231F20"/>
        </w:rPr>
        <w:t>of</w:t>
      </w:r>
      <w:r>
        <w:rPr>
          <w:color w:val="231F20"/>
          <w:spacing w:val="2"/>
        </w:rPr>
        <w:t> </w:t>
      </w:r>
      <w:r>
        <w:rPr>
          <w:color w:val="231F20"/>
          <w:spacing w:val="-2"/>
        </w:rPr>
        <w:t>diagnosis.</w:t>
      </w:r>
    </w:p>
    <w:p>
      <w:pPr>
        <w:pStyle w:val="BodyText"/>
        <w:spacing w:line="150" w:lineRule="exact"/>
        <w:ind w:left="415"/>
      </w:pPr>
      <w:r>
        <w:rPr>
          <w:color w:val="231F20"/>
          <w:vertAlign w:val="superscript"/>
        </w:rPr>
        <w:t>†</w:t>
      </w:r>
      <w:r>
        <w:rPr>
          <w:color w:val="231F20"/>
          <w:vertAlign w:val="baseline"/>
        </w:rPr>
        <w:t>A</w:t>
      </w:r>
      <w:r>
        <w:rPr>
          <w:color w:val="231F20"/>
          <w:spacing w:val="-8"/>
          <w:vertAlign w:val="baseline"/>
        </w:rPr>
        <w:t> </w:t>
      </w:r>
      <w:r>
        <w:rPr>
          <w:color w:val="231F20"/>
          <w:vertAlign w:val="baseline"/>
        </w:rPr>
        <w:t>toxic-appearing</w:t>
      </w:r>
      <w:r>
        <w:rPr>
          <w:color w:val="231F20"/>
          <w:spacing w:val="-8"/>
          <w:vertAlign w:val="baseline"/>
        </w:rPr>
        <w:t> </w:t>
      </w:r>
      <w:r>
        <w:rPr>
          <w:color w:val="231F20"/>
          <w:vertAlign w:val="baseline"/>
        </w:rPr>
        <w:t>child,</w:t>
      </w:r>
      <w:r>
        <w:rPr>
          <w:color w:val="231F20"/>
          <w:spacing w:val="-8"/>
          <w:vertAlign w:val="baseline"/>
        </w:rPr>
        <w:t> </w:t>
      </w:r>
      <w:r>
        <w:rPr>
          <w:color w:val="231F20"/>
          <w:vertAlign w:val="baseline"/>
        </w:rPr>
        <w:t>persistent</w:t>
      </w:r>
      <w:r>
        <w:rPr>
          <w:color w:val="231F20"/>
          <w:spacing w:val="-8"/>
          <w:vertAlign w:val="baseline"/>
        </w:rPr>
        <w:t> </w:t>
      </w:r>
      <w:r>
        <w:rPr>
          <w:color w:val="231F20"/>
          <w:vertAlign w:val="baseline"/>
        </w:rPr>
        <w:t>otalgia</w:t>
      </w:r>
      <w:r>
        <w:rPr>
          <w:color w:val="231F20"/>
          <w:spacing w:val="-7"/>
          <w:vertAlign w:val="baseline"/>
        </w:rPr>
        <w:t> </w:t>
      </w:r>
      <w:r>
        <w:rPr>
          <w:color w:val="231F20"/>
          <w:vertAlign w:val="baseline"/>
        </w:rPr>
        <w:t>more</w:t>
      </w:r>
      <w:r>
        <w:rPr>
          <w:color w:val="231F20"/>
          <w:spacing w:val="-8"/>
          <w:vertAlign w:val="baseline"/>
        </w:rPr>
        <w:t> </w:t>
      </w:r>
      <w:r>
        <w:rPr>
          <w:color w:val="231F20"/>
          <w:vertAlign w:val="baseline"/>
        </w:rPr>
        <w:t>than</w:t>
      </w:r>
      <w:r>
        <w:rPr>
          <w:color w:val="231F20"/>
          <w:spacing w:val="-8"/>
          <w:vertAlign w:val="baseline"/>
        </w:rPr>
        <w:t> </w:t>
      </w:r>
      <w:r>
        <w:rPr>
          <w:color w:val="231F20"/>
          <w:vertAlign w:val="baseline"/>
        </w:rPr>
        <w:t>48</w:t>
      </w:r>
      <w:r>
        <w:rPr>
          <w:color w:val="231F20"/>
          <w:spacing w:val="-8"/>
          <w:vertAlign w:val="baseline"/>
        </w:rPr>
        <w:t> </w:t>
      </w:r>
      <w:r>
        <w:rPr>
          <w:color w:val="231F20"/>
          <w:vertAlign w:val="baseline"/>
        </w:rPr>
        <w:t>hr,</w:t>
      </w:r>
      <w:r>
        <w:rPr>
          <w:color w:val="231F20"/>
          <w:spacing w:val="-7"/>
          <w:vertAlign w:val="baseline"/>
        </w:rPr>
        <w:t> </w:t>
      </w:r>
      <w:r>
        <w:rPr>
          <w:color w:val="231F20"/>
          <w:vertAlign w:val="baseline"/>
        </w:rPr>
        <w:t>temperature</w:t>
      </w:r>
      <w:r>
        <w:rPr>
          <w:color w:val="231F20"/>
          <w:spacing w:val="-8"/>
          <w:vertAlign w:val="baseline"/>
        </w:rPr>
        <w:t> </w:t>
      </w:r>
      <w:r>
        <w:rPr>
          <w:rFonts w:ascii="Cambria" w:hAnsi="Cambria"/>
          <w:color w:val="231F20"/>
          <w:vertAlign w:val="baseline"/>
        </w:rPr>
        <w:t>≥</w:t>
      </w:r>
      <w:r>
        <w:rPr>
          <w:color w:val="231F20"/>
          <w:vertAlign w:val="baseline"/>
        </w:rPr>
        <w:t>39°C</w:t>
      </w:r>
      <w:r>
        <w:rPr>
          <w:color w:val="231F20"/>
          <w:spacing w:val="-8"/>
          <w:vertAlign w:val="baseline"/>
        </w:rPr>
        <w:t> </w:t>
      </w:r>
      <w:r>
        <w:rPr>
          <w:color w:val="231F20"/>
          <w:vertAlign w:val="baseline"/>
        </w:rPr>
        <w:t>(102.2°F)</w:t>
      </w:r>
      <w:r>
        <w:rPr>
          <w:color w:val="231F20"/>
          <w:spacing w:val="-8"/>
          <w:vertAlign w:val="baseline"/>
        </w:rPr>
        <w:t> </w:t>
      </w:r>
      <w:r>
        <w:rPr>
          <w:color w:val="231F20"/>
          <w:vertAlign w:val="baseline"/>
        </w:rPr>
        <w:t>in</w:t>
      </w:r>
      <w:r>
        <w:rPr>
          <w:color w:val="231F20"/>
          <w:spacing w:val="-7"/>
          <w:vertAlign w:val="baseline"/>
        </w:rPr>
        <w:t> </w:t>
      </w:r>
      <w:r>
        <w:rPr>
          <w:color w:val="231F20"/>
          <w:vertAlign w:val="baseline"/>
        </w:rPr>
        <w:t>the</w:t>
      </w:r>
      <w:r>
        <w:rPr>
          <w:color w:val="231F20"/>
          <w:spacing w:val="-8"/>
          <w:vertAlign w:val="baseline"/>
        </w:rPr>
        <w:t> </w:t>
      </w:r>
      <w:r>
        <w:rPr>
          <w:color w:val="231F20"/>
          <w:vertAlign w:val="baseline"/>
        </w:rPr>
        <w:t>past</w:t>
      </w:r>
      <w:r>
        <w:rPr>
          <w:color w:val="231F20"/>
          <w:spacing w:val="-8"/>
          <w:vertAlign w:val="baseline"/>
        </w:rPr>
        <w:t> </w:t>
      </w:r>
      <w:r>
        <w:rPr>
          <w:color w:val="231F20"/>
          <w:vertAlign w:val="baseline"/>
        </w:rPr>
        <w:t>48</w:t>
      </w:r>
      <w:r>
        <w:rPr>
          <w:color w:val="231F20"/>
          <w:spacing w:val="-8"/>
          <w:vertAlign w:val="baseline"/>
        </w:rPr>
        <w:t> </w:t>
      </w:r>
      <w:r>
        <w:rPr>
          <w:color w:val="231F20"/>
          <w:vertAlign w:val="baseline"/>
        </w:rPr>
        <w:t>hr,</w:t>
      </w:r>
      <w:r>
        <w:rPr>
          <w:color w:val="231F20"/>
          <w:spacing w:val="-8"/>
          <w:vertAlign w:val="baseline"/>
        </w:rPr>
        <w:t> </w:t>
      </w:r>
      <w:r>
        <w:rPr>
          <w:color w:val="231F20"/>
          <w:vertAlign w:val="baseline"/>
        </w:rPr>
        <w:t>or</w:t>
      </w:r>
      <w:r>
        <w:rPr>
          <w:color w:val="231F20"/>
          <w:spacing w:val="-7"/>
          <w:vertAlign w:val="baseline"/>
        </w:rPr>
        <w:t> </w:t>
      </w:r>
      <w:r>
        <w:rPr>
          <w:color w:val="231F20"/>
          <w:vertAlign w:val="baseline"/>
        </w:rPr>
        <w:t>if</w:t>
      </w:r>
      <w:r>
        <w:rPr>
          <w:color w:val="231F20"/>
          <w:spacing w:val="-8"/>
          <w:vertAlign w:val="baseline"/>
        </w:rPr>
        <w:t> </w:t>
      </w:r>
      <w:r>
        <w:rPr>
          <w:color w:val="231F20"/>
          <w:vertAlign w:val="baseline"/>
        </w:rPr>
        <w:t>there</w:t>
      </w:r>
      <w:r>
        <w:rPr>
          <w:color w:val="231F20"/>
          <w:spacing w:val="-8"/>
          <w:vertAlign w:val="baseline"/>
        </w:rPr>
        <w:t> </w:t>
      </w:r>
      <w:r>
        <w:rPr>
          <w:color w:val="231F20"/>
          <w:vertAlign w:val="baseline"/>
        </w:rPr>
        <w:t>is</w:t>
      </w:r>
      <w:r>
        <w:rPr>
          <w:color w:val="231F20"/>
          <w:spacing w:val="-8"/>
          <w:vertAlign w:val="baseline"/>
        </w:rPr>
        <w:t> </w:t>
      </w:r>
      <w:r>
        <w:rPr>
          <w:color w:val="231F20"/>
          <w:vertAlign w:val="baseline"/>
        </w:rPr>
        <w:t>uncertain</w:t>
      </w:r>
      <w:r>
        <w:rPr>
          <w:color w:val="231F20"/>
          <w:spacing w:val="-7"/>
          <w:vertAlign w:val="baseline"/>
        </w:rPr>
        <w:t> </w:t>
      </w:r>
      <w:r>
        <w:rPr>
          <w:color w:val="231F20"/>
          <w:vertAlign w:val="baseline"/>
        </w:rPr>
        <w:t>access</w:t>
      </w:r>
      <w:r>
        <w:rPr>
          <w:color w:val="231F20"/>
          <w:spacing w:val="-8"/>
          <w:vertAlign w:val="baseline"/>
        </w:rPr>
        <w:t> </w:t>
      </w:r>
      <w:r>
        <w:rPr>
          <w:color w:val="231F20"/>
          <w:vertAlign w:val="baseline"/>
        </w:rPr>
        <w:t>to</w:t>
      </w:r>
      <w:r>
        <w:rPr>
          <w:color w:val="231F20"/>
          <w:spacing w:val="-8"/>
          <w:vertAlign w:val="baseline"/>
        </w:rPr>
        <w:t> </w:t>
      </w:r>
      <w:r>
        <w:rPr>
          <w:color w:val="231F20"/>
          <w:vertAlign w:val="baseline"/>
        </w:rPr>
        <w:t>follow-up</w:t>
      </w:r>
      <w:r>
        <w:rPr>
          <w:color w:val="231F20"/>
          <w:spacing w:val="-8"/>
          <w:vertAlign w:val="baseline"/>
        </w:rPr>
        <w:t> </w:t>
      </w:r>
      <w:r>
        <w:rPr>
          <w:color w:val="231F20"/>
          <w:vertAlign w:val="baseline"/>
        </w:rPr>
        <w:t>after</w:t>
      </w:r>
      <w:r>
        <w:rPr>
          <w:color w:val="231F20"/>
          <w:spacing w:val="-7"/>
          <w:vertAlign w:val="baseline"/>
        </w:rPr>
        <w:t> </w:t>
      </w:r>
      <w:r>
        <w:rPr>
          <w:color w:val="231F20"/>
          <w:vertAlign w:val="baseline"/>
        </w:rPr>
        <w:t>the</w:t>
      </w:r>
      <w:r>
        <w:rPr>
          <w:color w:val="231F20"/>
          <w:spacing w:val="-8"/>
          <w:vertAlign w:val="baseline"/>
        </w:rPr>
        <w:t> </w:t>
      </w:r>
      <w:r>
        <w:rPr>
          <w:color w:val="231F20"/>
          <w:spacing w:val="-2"/>
          <w:vertAlign w:val="baseline"/>
        </w:rPr>
        <w:t>visit.</w:t>
      </w:r>
    </w:p>
    <w:p>
      <w:pPr>
        <w:pStyle w:val="BodyText"/>
        <w:ind w:left="284" w:right="651" w:firstLine="130"/>
      </w:pPr>
      <w:r>
        <w:rPr>
          <w:color w:val="231F20"/>
          <w:vertAlign w:val="superscript"/>
        </w:rPr>
        <w:t>‡</w:t>
      </w:r>
      <w:r>
        <w:rPr>
          <w:color w:val="231F20"/>
          <w:vertAlign w:val="baseline"/>
        </w:rPr>
        <w:t>This plan of initial management provides an opportunity for shared decision making with the child’s family for those categories appropriate for additional</w:t>
      </w:r>
      <w:r>
        <w:rPr>
          <w:color w:val="231F20"/>
          <w:spacing w:val="40"/>
          <w:vertAlign w:val="baseline"/>
        </w:rPr>
        <w:t> </w:t>
      </w:r>
      <w:r>
        <w:rPr>
          <w:color w:val="231F20"/>
          <w:vertAlign w:val="baseline"/>
        </w:rPr>
        <w:t>observation.</w:t>
      </w:r>
      <w:r>
        <w:rPr>
          <w:color w:val="231F20"/>
          <w:spacing w:val="-3"/>
          <w:vertAlign w:val="baseline"/>
        </w:rPr>
        <w:t> </w:t>
      </w:r>
      <w:r>
        <w:rPr>
          <w:color w:val="231F20"/>
          <w:vertAlign w:val="baseline"/>
        </w:rPr>
        <w:t>If</w:t>
      </w:r>
      <w:r>
        <w:rPr>
          <w:color w:val="231F20"/>
          <w:spacing w:val="-3"/>
          <w:vertAlign w:val="baseline"/>
        </w:rPr>
        <w:t> </w:t>
      </w:r>
      <w:r>
        <w:rPr>
          <w:color w:val="231F20"/>
          <w:vertAlign w:val="baseline"/>
        </w:rPr>
        <w:t>observation</w:t>
      </w:r>
      <w:r>
        <w:rPr>
          <w:color w:val="231F20"/>
          <w:spacing w:val="-3"/>
          <w:vertAlign w:val="baseline"/>
        </w:rPr>
        <w:t> </w:t>
      </w:r>
      <w:r>
        <w:rPr>
          <w:color w:val="231F20"/>
          <w:vertAlign w:val="baseline"/>
        </w:rPr>
        <w:t>is</w:t>
      </w:r>
      <w:r>
        <w:rPr>
          <w:color w:val="231F20"/>
          <w:spacing w:val="-3"/>
          <w:vertAlign w:val="baseline"/>
        </w:rPr>
        <w:t> </w:t>
      </w:r>
      <w:r>
        <w:rPr>
          <w:color w:val="231F20"/>
          <w:vertAlign w:val="baseline"/>
        </w:rPr>
        <w:t>offered,</w:t>
      </w:r>
      <w:r>
        <w:rPr>
          <w:color w:val="231F20"/>
          <w:spacing w:val="-3"/>
          <w:vertAlign w:val="baseline"/>
        </w:rPr>
        <w:t> </w:t>
      </w:r>
      <w:r>
        <w:rPr>
          <w:color w:val="231F20"/>
          <w:vertAlign w:val="baseline"/>
        </w:rPr>
        <w:t>a</w:t>
      </w:r>
      <w:r>
        <w:rPr>
          <w:color w:val="231F20"/>
          <w:spacing w:val="-3"/>
          <w:vertAlign w:val="baseline"/>
        </w:rPr>
        <w:t> </w:t>
      </w:r>
      <w:r>
        <w:rPr>
          <w:color w:val="231F20"/>
          <w:vertAlign w:val="baseline"/>
        </w:rPr>
        <w:t>mechanism</w:t>
      </w:r>
      <w:r>
        <w:rPr>
          <w:color w:val="231F20"/>
          <w:spacing w:val="-3"/>
          <w:vertAlign w:val="baseline"/>
        </w:rPr>
        <w:t> </w:t>
      </w:r>
      <w:r>
        <w:rPr>
          <w:color w:val="231F20"/>
          <w:vertAlign w:val="baseline"/>
        </w:rPr>
        <w:t>must</w:t>
      </w:r>
      <w:r>
        <w:rPr>
          <w:color w:val="231F20"/>
          <w:spacing w:val="-3"/>
          <w:vertAlign w:val="baseline"/>
        </w:rPr>
        <w:t> </w:t>
      </w:r>
      <w:r>
        <w:rPr>
          <w:color w:val="231F20"/>
          <w:vertAlign w:val="baseline"/>
        </w:rPr>
        <w:t>be</w:t>
      </w:r>
      <w:r>
        <w:rPr>
          <w:color w:val="231F20"/>
          <w:spacing w:val="-3"/>
          <w:vertAlign w:val="baseline"/>
        </w:rPr>
        <w:t> </w:t>
      </w:r>
      <w:r>
        <w:rPr>
          <w:color w:val="231F20"/>
          <w:vertAlign w:val="baseline"/>
        </w:rPr>
        <w:t>in</w:t>
      </w:r>
      <w:r>
        <w:rPr>
          <w:color w:val="231F20"/>
          <w:spacing w:val="-3"/>
          <w:vertAlign w:val="baseline"/>
        </w:rPr>
        <w:t> </w:t>
      </w:r>
      <w:r>
        <w:rPr>
          <w:color w:val="231F20"/>
          <w:vertAlign w:val="baseline"/>
        </w:rPr>
        <w:t>place</w:t>
      </w:r>
      <w:r>
        <w:rPr>
          <w:color w:val="231F20"/>
          <w:spacing w:val="-3"/>
          <w:vertAlign w:val="baseline"/>
        </w:rPr>
        <w:t> </w:t>
      </w:r>
      <w:r>
        <w:rPr>
          <w:color w:val="231F20"/>
          <w:vertAlign w:val="baseline"/>
        </w:rPr>
        <w:t>to</w:t>
      </w:r>
      <w:r>
        <w:rPr>
          <w:color w:val="231F20"/>
          <w:spacing w:val="-3"/>
          <w:vertAlign w:val="baseline"/>
        </w:rPr>
        <w:t> </w:t>
      </w:r>
      <w:r>
        <w:rPr>
          <w:color w:val="231F20"/>
          <w:vertAlign w:val="baseline"/>
        </w:rPr>
        <w:t>ensure</w:t>
      </w:r>
      <w:r>
        <w:rPr>
          <w:color w:val="231F20"/>
          <w:spacing w:val="-3"/>
          <w:vertAlign w:val="baseline"/>
        </w:rPr>
        <w:t> </w:t>
      </w:r>
      <w:r>
        <w:rPr>
          <w:color w:val="231F20"/>
          <w:vertAlign w:val="baseline"/>
        </w:rPr>
        <w:t>follow-up</w:t>
      </w:r>
      <w:r>
        <w:rPr>
          <w:color w:val="231F20"/>
          <w:spacing w:val="-3"/>
          <w:vertAlign w:val="baseline"/>
        </w:rPr>
        <w:t> </w:t>
      </w:r>
      <w:r>
        <w:rPr>
          <w:color w:val="231F20"/>
          <w:vertAlign w:val="baseline"/>
        </w:rPr>
        <w:t>and</w:t>
      </w:r>
      <w:r>
        <w:rPr>
          <w:color w:val="231F20"/>
          <w:spacing w:val="-3"/>
          <w:vertAlign w:val="baseline"/>
        </w:rPr>
        <w:t> </w:t>
      </w:r>
      <w:r>
        <w:rPr>
          <w:color w:val="231F20"/>
          <w:vertAlign w:val="baseline"/>
        </w:rPr>
        <w:t>begin</w:t>
      </w:r>
      <w:r>
        <w:rPr>
          <w:color w:val="231F20"/>
          <w:spacing w:val="-3"/>
          <w:vertAlign w:val="baseline"/>
        </w:rPr>
        <w:t> </w:t>
      </w:r>
      <w:r>
        <w:rPr>
          <w:color w:val="231F20"/>
          <w:vertAlign w:val="baseline"/>
        </w:rPr>
        <w:t>antibiotics</w:t>
      </w:r>
      <w:r>
        <w:rPr>
          <w:color w:val="231F20"/>
          <w:spacing w:val="-3"/>
          <w:vertAlign w:val="baseline"/>
        </w:rPr>
        <w:t> </w:t>
      </w:r>
      <w:r>
        <w:rPr>
          <w:color w:val="231F20"/>
          <w:vertAlign w:val="baseline"/>
        </w:rPr>
        <w:t>if</w:t>
      </w:r>
      <w:r>
        <w:rPr>
          <w:color w:val="231F20"/>
          <w:spacing w:val="-3"/>
          <w:vertAlign w:val="baseline"/>
        </w:rPr>
        <w:t> </w:t>
      </w:r>
      <w:r>
        <w:rPr>
          <w:color w:val="231F20"/>
          <w:vertAlign w:val="baseline"/>
        </w:rPr>
        <w:t>the</w:t>
      </w:r>
      <w:r>
        <w:rPr>
          <w:color w:val="231F20"/>
          <w:spacing w:val="-3"/>
          <w:vertAlign w:val="baseline"/>
        </w:rPr>
        <w:t> </w:t>
      </w:r>
      <w:r>
        <w:rPr>
          <w:color w:val="231F20"/>
          <w:vertAlign w:val="baseline"/>
        </w:rPr>
        <w:t>child</w:t>
      </w:r>
      <w:r>
        <w:rPr>
          <w:color w:val="231F20"/>
          <w:spacing w:val="-3"/>
          <w:vertAlign w:val="baseline"/>
        </w:rPr>
        <w:t> </w:t>
      </w:r>
      <w:r>
        <w:rPr>
          <w:color w:val="231F20"/>
          <w:vertAlign w:val="baseline"/>
        </w:rPr>
        <w:t>worsens</w:t>
      </w:r>
      <w:r>
        <w:rPr>
          <w:color w:val="231F20"/>
          <w:spacing w:val="-3"/>
          <w:vertAlign w:val="baseline"/>
        </w:rPr>
        <w:t> </w:t>
      </w:r>
      <w:r>
        <w:rPr>
          <w:color w:val="231F20"/>
          <w:vertAlign w:val="baseline"/>
        </w:rPr>
        <w:t>or</w:t>
      </w:r>
      <w:r>
        <w:rPr>
          <w:color w:val="231F20"/>
          <w:spacing w:val="-3"/>
          <w:vertAlign w:val="baseline"/>
        </w:rPr>
        <w:t> </w:t>
      </w:r>
      <w:r>
        <w:rPr>
          <w:color w:val="231F20"/>
          <w:vertAlign w:val="baseline"/>
        </w:rPr>
        <w:t>fails</w:t>
      </w:r>
      <w:r>
        <w:rPr>
          <w:color w:val="231F20"/>
          <w:spacing w:val="-3"/>
          <w:vertAlign w:val="baseline"/>
        </w:rPr>
        <w:t> </w:t>
      </w:r>
      <w:r>
        <w:rPr>
          <w:color w:val="231F20"/>
          <w:vertAlign w:val="baseline"/>
        </w:rPr>
        <w:t>to</w:t>
      </w:r>
      <w:r>
        <w:rPr>
          <w:color w:val="231F20"/>
          <w:spacing w:val="-3"/>
          <w:vertAlign w:val="baseline"/>
        </w:rPr>
        <w:t> </w:t>
      </w:r>
      <w:r>
        <w:rPr>
          <w:color w:val="231F20"/>
          <w:vertAlign w:val="baseline"/>
        </w:rPr>
        <w:t>improve</w:t>
      </w:r>
      <w:r>
        <w:rPr>
          <w:color w:val="231F20"/>
          <w:spacing w:val="-3"/>
          <w:vertAlign w:val="baseline"/>
        </w:rPr>
        <w:t> </w:t>
      </w:r>
      <w:r>
        <w:rPr>
          <w:color w:val="231F20"/>
          <w:vertAlign w:val="baseline"/>
        </w:rPr>
        <w:t>within</w:t>
      </w:r>
      <w:r>
        <w:rPr>
          <w:color w:val="231F20"/>
          <w:spacing w:val="-3"/>
          <w:vertAlign w:val="baseline"/>
        </w:rPr>
        <w:t> </w:t>
      </w:r>
      <w:r>
        <w:rPr>
          <w:color w:val="231F20"/>
          <w:vertAlign w:val="baseline"/>
        </w:rPr>
        <w:t>48-72</w:t>
      </w:r>
      <w:r>
        <w:rPr>
          <w:color w:val="231F20"/>
          <w:spacing w:val="-3"/>
          <w:vertAlign w:val="baseline"/>
        </w:rPr>
        <w:t> </w:t>
      </w:r>
      <w:r>
        <w:rPr>
          <w:color w:val="231F20"/>
          <w:vertAlign w:val="baseline"/>
        </w:rPr>
        <w:t>hr</w:t>
      </w:r>
      <w:r>
        <w:rPr>
          <w:color w:val="231F20"/>
          <w:spacing w:val="40"/>
          <w:vertAlign w:val="baseline"/>
        </w:rPr>
        <w:t> </w:t>
      </w:r>
      <w:r>
        <w:rPr>
          <w:color w:val="231F20"/>
          <w:vertAlign w:val="baseline"/>
        </w:rPr>
        <w:t>of AOM onset.</w:t>
      </w:r>
    </w:p>
    <w:p>
      <w:pPr>
        <w:pStyle w:val="BodyText"/>
        <w:spacing w:line="145" w:lineRule="exact"/>
        <w:ind w:left="415"/>
      </w:pPr>
      <w:r>
        <w:rPr>
          <w:color w:val="231F20"/>
        </w:rPr>
        <w:t>NOTE:</w:t>
      </w:r>
      <w:r>
        <w:rPr>
          <w:color w:val="231F20"/>
          <w:spacing w:val="4"/>
        </w:rPr>
        <w:t> </w:t>
      </w:r>
      <w:r>
        <w:rPr>
          <w:color w:val="231F20"/>
        </w:rPr>
        <w:t>For</w:t>
      </w:r>
      <w:r>
        <w:rPr>
          <w:color w:val="231F20"/>
          <w:spacing w:val="5"/>
        </w:rPr>
        <w:t> </w:t>
      </w:r>
      <w:r>
        <w:rPr>
          <w:color w:val="231F20"/>
        </w:rPr>
        <w:t>infants</w:t>
      </w:r>
      <w:r>
        <w:rPr>
          <w:color w:val="231F20"/>
          <w:spacing w:val="5"/>
        </w:rPr>
        <w:t> </w:t>
      </w:r>
      <w:r>
        <w:rPr>
          <w:color w:val="231F20"/>
        </w:rPr>
        <w:t>younger</w:t>
      </w:r>
      <w:r>
        <w:rPr>
          <w:color w:val="231F20"/>
          <w:spacing w:val="5"/>
        </w:rPr>
        <w:t> </w:t>
      </w:r>
      <w:r>
        <w:rPr>
          <w:color w:val="231F20"/>
        </w:rPr>
        <w:t>than</w:t>
      </w:r>
      <w:r>
        <w:rPr>
          <w:color w:val="231F20"/>
          <w:spacing w:val="5"/>
        </w:rPr>
        <w:t> </w:t>
      </w:r>
      <w:r>
        <w:rPr>
          <w:color w:val="231F20"/>
        </w:rPr>
        <w:t>age</w:t>
      </w:r>
      <w:r>
        <w:rPr>
          <w:color w:val="231F20"/>
          <w:spacing w:val="5"/>
        </w:rPr>
        <w:t> </w:t>
      </w:r>
      <w:r>
        <w:rPr>
          <w:color w:val="231F20"/>
        </w:rPr>
        <w:t>6</w:t>
      </w:r>
      <w:r>
        <w:rPr>
          <w:color w:val="231F20"/>
          <w:spacing w:val="5"/>
        </w:rPr>
        <w:t> </w:t>
      </w:r>
      <w:r>
        <w:rPr>
          <w:color w:val="231F20"/>
        </w:rPr>
        <w:t>mo,</w:t>
      </w:r>
      <w:r>
        <w:rPr>
          <w:color w:val="231F20"/>
          <w:spacing w:val="5"/>
        </w:rPr>
        <w:t> </w:t>
      </w:r>
      <w:r>
        <w:rPr>
          <w:color w:val="231F20"/>
        </w:rPr>
        <w:t>a</w:t>
      </w:r>
      <w:r>
        <w:rPr>
          <w:color w:val="231F20"/>
          <w:spacing w:val="5"/>
        </w:rPr>
        <w:t> </w:t>
      </w:r>
      <w:r>
        <w:rPr>
          <w:color w:val="231F20"/>
        </w:rPr>
        <w:t>suspicion</w:t>
      </w:r>
      <w:r>
        <w:rPr>
          <w:color w:val="231F20"/>
          <w:spacing w:val="5"/>
        </w:rPr>
        <w:t> </w:t>
      </w:r>
      <w:r>
        <w:rPr>
          <w:color w:val="231F20"/>
        </w:rPr>
        <w:t>of</w:t>
      </w:r>
      <w:r>
        <w:rPr>
          <w:color w:val="231F20"/>
          <w:spacing w:val="5"/>
        </w:rPr>
        <w:t> </w:t>
      </w:r>
      <w:r>
        <w:rPr>
          <w:color w:val="231F20"/>
        </w:rPr>
        <w:t>AOM</w:t>
      </w:r>
      <w:r>
        <w:rPr>
          <w:color w:val="231F20"/>
          <w:spacing w:val="5"/>
        </w:rPr>
        <w:t> </w:t>
      </w:r>
      <w:r>
        <w:rPr>
          <w:color w:val="231F20"/>
        </w:rPr>
        <w:t>should</w:t>
      </w:r>
      <w:r>
        <w:rPr>
          <w:color w:val="231F20"/>
          <w:spacing w:val="5"/>
        </w:rPr>
        <w:t> </w:t>
      </w:r>
      <w:r>
        <w:rPr>
          <w:color w:val="231F20"/>
        </w:rPr>
        <w:t>result</w:t>
      </w:r>
      <w:r>
        <w:rPr>
          <w:color w:val="231F20"/>
          <w:spacing w:val="5"/>
        </w:rPr>
        <w:t> </w:t>
      </w:r>
      <w:r>
        <w:rPr>
          <w:color w:val="231F20"/>
        </w:rPr>
        <w:t>in</w:t>
      </w:r>
      <w:r>
        <w:rPr>
          <w:color w:val="231F20"/>
          <w:spacing w:val="5"/>
        </w:rPr>
        <w:t> </w:t>
      </w:r>
      <w:r>
        <w:rPr>
          <w:color w:val="231F20"/>
        </w:rPr>
        <w:t>antibiotic</w:t>
      </w:r>
      <w:r>
        <w:rPr>
          <w:color w:val="231F20"/>
          <w:spacing w:val="5"/>
        </w:rPr>
        <w:t> </w:t>
      </w:r>
      <w:r>
        <w:rPr>
          <w:color w:val="231F20"/>
          <w:spacing w:val="-2"/>
        </w:rPr>
        <w:t>therapy.</w:t>
      </w:r>
    </w:p>
    <w:p>
      <w:pPr>
        <w:spacing w:line="150" w:lineRule="exact" w:before="0"/>
        <w:ind w:left="415" w:right="0" w:firstLine="0"/>
        <w:jc w:val="left"/>
        <w:rPr>
          <w:i/>
          <w:sz w:val="13"/>
        </w:rPr>
      </w:pPr>
      <w:r>
        <w:rPr>
          <w:i/>
          <w:color w:val="231F20"/>
          <w:sz w:val="13"/>
        </w:rPr>
        <w:t>From</w:t>
      </w:r>
      <w:r>
        <w:rPr>
          <w:i/>
          <w:color w:val="231F20"/>
          <w:spacing w:val="-6"/>
          <w:sz w:val="13"/>
        </w:rPr>
        <w:t> </w:t>
      </w:r>
      <w:r>
        <w:rPr>
          <w:i/>
          <w:color w:val="231F20"/>
          <w:sz w:val="13"/>
        </w:rPr>
        <w:t>Lieberthal</w:t>
      </w:r>
      <w:r>
        <w:rPr>
          <w:i/>
          <w:color w:val="231F20"/>
          <w:spacing w:val="-6"/>
          <w:sz w:val="13"/>
        </w:rPr>
        <w:t> </w:t>
      </w:r>
      <w:r>
        <w:rPr>
          <w:i/>
          <w:color w:val="231F20"/>
          <w:sz w:val="13"/>
        </w:rPr>
        <w:t>AS,</w:t>
      </w:r>
      <w:r>
        <w:rPr>
          <w:i/>
          <w:color w:val="231F20"/>
          <w:spacing w:val="-6"/>
          <w:sz w:val="13"/>
        </w:rPr>
        <w:t> </w:t>
      </w:r>
      <w:r>
        <w:rPr>
          <w:i/>
          <w:color w:val="231F20"/>
          <w:sz w:val="13"/>
        </w:rPr>
        <w:t>Carroll</w:t>
      </w:r>
      <w:r>
        <w:rPr>
          <w:i/>
          <w:color w:val="231F20"/>
          <w:spacing w:val="-6"/>
          <w:sz w:val="13"/>
        </w:rPr>
        <w:t> </w:t>
      </w:r>
      <w:r>
        <w:rPr>
          <w:i/>
          <w:color w:val="231F20"/>
          <w:sz w:val="13"/>
        </w:rPr>
        <w:t>AE,</w:t>
      </w:r>
      <w:r>
        <w:rPr>
          <w:i/>
          <w:color w:val="231F20"/>
          <w:spacing w:val="-6"/>
          <w:sz w:val="13"/>
        </w:rPr>
        <w:t> </w:t>
      </w:r>
      <w:r>
        <w:rPr>
          <w:i/>
          <w:color w:val="231F20"/>
          <w:sz w:val="13"/>
        </w:rPr>
        <w:t>Chonmaitree</w:t>
      </w:r>
      <w:r>
        <w:rPr>
          <w:i/>
          <w:color w:val="231F20"/>
          <w:spacing w:val="-6"/>
          <w:sz w:val="13"/>
        </w:rPr>
        <w:t> </w:t>
      </w:r>
      <w:r>
        <w:rPr>
          <w:i/>
          <w:color w:val="231F20"/>
          <w:sz w:val="13"/>
        </w:rPr>
        <w:t>T,</w:t>
      </w:r>
      <w:r>
        <w:rPr>
          <w:i/>
          <w:color w:val="231F20"/>
          <w:spacing w:val="-6"/>
          <w:sz w:val="13"/>
        </w:rPr>
        <w:t> </w:t>
      </w:r>
      <w:r>
        <w:rPr>
          <w:i/>
          <w:color w:val="231F20"/>
          <w:sz w:val="13"/>
        </w:rPr>
        <w:t>et</w:t>
      </w:r>
      <w:r>
        <w:rPr>
          <w:i/>
          <w:color w:val="231F20"/>
          <w:spacing w:val="-6"/>
          <w:sz w:val="13"/>
        </w:rPr>
        <w:t> </w:t>
      </w:r>
      <w:r>
        <w:rPr>
          <w:i/>
          <w:color w:val="231F20"/>
          <w:sz w:val="13"/>
        </w:rPr>
        <w:t>al.</w:t>
      </w:r>
      <w:r>
        <w:rPr>
          <w:i/>
          <w:color w:val="231F20"/>
          <w:spacing w:val="-6"/>
          <w:sz w:val="13"/>
        </w:rPr>
        <w:t> </w:t>
      </w:r>
      <w:r>
        <w:rPr>
          <w:i/>
          <w:color w:val="231F20"/>
          <w:sz w:val="13"/>
        </w:rPr>
        <w:t>The</w:t>
      </w:r>
      <w:r>
        <w:rPr>
          <w:i/>
          <w:color w:val="231F20"/>
          <w:spacing w:val="-6"/>
          <w:sz w:val="13"/>
        </w:rPr>
        <w:t> </w:t>
      </w:r>
      <w:r>
        <w:rPr>
          <w:i/>
          <w:color w:val="231F20"/>
          <w:sz w:val="13"/>
        </w:rPr>
        <w:t>diagnosis</w:t>
      </w:r>
      <w:r>
        <w:rPr>
          <w:i/>
          <w:color w:val="231F20"/>
          <w:spacing w:val="-6"/>
          <w:sz w:val="13"/>
        </w:rPr>
        <w:t> </w:t>
      </w:r>
      <w:r>
        <w:rPr>
          <w:i/>
          <w:color w:val="231F20"/>
          <w:sz w:val="13"/>
        </w:rPr>
        <w:t>and</w:t>
      </w:r>
      <w:r>
        <w:rPr>
          <w:i/>
          <w:color w:val="231F20"/>
          <w:spacing w:val="-6"/>
          <w:sz w:val="13"/>
        </w:rPr>
        <w:t> </w:t>
      </w:r>
      <w:r>
        <w:rPr>
          <w:i/>
          <w:color w:val="231F20"/>
          <w:sz w:val="13"/>
        </w:rPr>
        <w:t>management</w:t>
      </w:r>
      <w:r>
        <w:rPr>
          <w:i/>
          <w:color w:val="231F20"/>
          <w:spacing w:val="-6"/>
          <w:sz w:val="13"/>
        </w:rPr>
        <w:t> </w:t>
      </w:r>
      <w:r>
        <w:rPr>
          <w:i/>
          <w:color w:val="231F20"/>
          <w:sz w:val="13"/>
        </w:rPr>
        <w:t>of</w:t>
      </w:r>
      <w:r>
        <w:rPr>
          <w:i/>
          <w:color w:val="231F20"/>
          <w:spacing w:val="-6"/>
          <w:sz w:val="13"/>
        </w:rPr>
        <w:t> </w:t>
      </w:r>
      <w:r>
        <w:rPr>
          <w:i/>
          <w:color w:val="231F20"/>
          <w:sz w:val="13"/>
        </w:rPr>
        <w:t>acute</w:t>
      </w:r>
      <w:r>
        <w:rPr>
          <w:i/>
          <w:color w:val="231F20"/>
          <w:spacing w:val="-6"/>
          <w:sz w:val="13"/>
        </w:rPr>
        <w:t> </w:t>
      </w:r>
      <w:r>
        <w:rPr>
          <w:i/>
          <w:color w:val="231F20"/>
          <w:sz w:val="13"/>
        </w:rPr>
        <w:t>otitis</w:t>
      </w:r>
      <w:r>
        <w:rPr>
          <w:i/>
          <w:color w:val="231F20"/>
          <w:spacing w:val="-6"/>
          <w:sz w:val="13"/>
        </w:rPr>
        <w:t> </w:t>
      </w:r>
      <w:r>
        <w:rPr>
          <w:i/>
          <w:color w:val="231F20"/>
          <w:sz w:val="13"/>
        </w:rPr>
        <w:t>media.</w:t>
      </w:r>
      <w:r>
        <w:rPr>
          <w:i/>
          <w:color w:val="231F20"/>
          <w:spacing w:val="-6"/>
          <w:sz w:val="13"/>
        </w:rPr>
        <w:t> </w:t>
      </w:r>
      <w:r>
        <w:rPr>
          <w:color w:val="231F20"/>
          <w:sz w:val="13"/>
        </w:rPr>
        <w:t>Pediatrics</w:t>
      </w:r>
      <w:r>
        <w:rPr>
          <w:color w:val="231F20"/>
          <w:spacing w:val="-6"/>
          <w:sz w:val="13"/>
        </w:rPr>
        <w:t> </w:t>
      </w:r>
      <w:r>
        <w:rPr>
          <w:i/>
          <w:color w:val="231F20"/>
          <w:sz w:val="13"/>
        </w:rPr>
        <w:t>131:e964–e999,</w:t>
      </w:r>
      <w:r>
        <w:rPr>
          <w:i/>
          <w:color w:val="231F20"/>
          <w:spacing w:val="-6"/>
          <w:sz w:val="13"/>
        </w:rPr>
        <w:t> </w:t>
      </w:r>
      <w:r>
        <w:rPr>
          <w:i/>
          <w:color w:val="231F20"/>
          <w:sz w:val="13"/>
        </w:rPr>
        <w:t>2013,</w:t>
      </w:r>
      <w:r>
        <w:rPr>
          <w:i/>
          <w:color w:val="231F20"/>
          <w:spacing w:val="-6"/>
          <w:sz w:val="13"/>
        </w:rPr>
        <w:t> </w:t>
      </w:r>
      <w:r>
        <w:rPr>
          <w:i/>
          <w:color w:val="231F20"/>
          <w:sz w:val="13"/>
        </w:rPr>
        <w:t>Table</w:t>
      </w:r>
      <w:r>
        <w:rPr>
          <w:i/>
          <w:color w:val="231F20"/>
          <w:spacing w:val="-6"/>
          <w:sz w:val="13"/>
        </w:rPr>
        <w:t> </w:t>
      </w:r>
      <w:r>
        <w:rPr>
          <w:i/>
          <w:color w:val="231F20"/>
          <w:spacing w:val="-5"/>
          <w:sz w:val="13"/>
        </w:rPr>
        <w:t>4.</w:t>
      </w:r>
    </w:p>
    <w:p>
      <w:pPr>
        <w:pStyle w:val="BodyText"/>
        <w:rPr>
          <w:i/>
        </w:rPr>
      </w:pPr>
    </w:p>
    <w:p>
      <w:pPr>
        <w:pStyle w:val="BodyText"/>
        <w:rPr>
          <w:i/>
        </w:rPr>
      </w:pPr>
    </w:p>
    <w:p>
      <w:pPr>
        <w:pStyle w:val="BodyText"/>
        <w:spacing w:before="115"/>
        <w:rPr>
          <w:i/>
        </w:rPr>
      </w:pPr>
    </w:p>
    <w:p>
      <w:pPr>
        <w:pStyle w:val="BodyText"/>
        <w:ind w:left="2487"/>
        <w:rPr>
          <w:rFonts w:ascii="Arial MT"/>
        </w:rPr>
      </w:pPr>
      <w:r>
        <w:rPr>
          <w:rFonts w:ascii="Arial MT"/>
        </w:rPr>
        <mc:AlternateContent>
          <mc:Choice Requires="wps">
            <w:drawing>
              <wp:anchor distT="0" distB="0" distL="0" distR="0" allowOverlap="1" layoutInCell="1" locked="0" behindDoc="1" simplePos="0" relativeHeight="475261952">
                <wp:simplePos x="0" y="0"/>
                <wp:positionH relativeFrom="page">
                  <wp:posOffset>557001</wp:posOffset>
                </wp:positionH>
                <wp:positionV relativeFrom="paragraph">
                  <wp:posOffset>-92598</wp:posOffset>
                </wp:positionV>
                <wp:extent cx="3952240" cy="2420620"/>
                <wp:effectExtent l="0" t="0" r="0" b="0"/>
                <wp:wrapNone/>
                <wp:docPr id="1567" name="Group 1567"/>
                <wp:cNvGraphicFramePr>
                  <a:graphicFrameLocks/>
                </wp:cNvGraphicFramePr>
                <a:graphic>
                  <a:graphicData uri="http://schemas.microsoft.com/office/word/2010/wordprocessingGroup">
                    <wpg:wgp>
                      <wpg:cNvPr id="1567" name="Group 1567"/>
                      <wpg:cNvGrpSpPr/>
                      <wpg:grpSpPr>
                        <a:xfrm>
                          <a:off x="0" y="0"/>
                          <a:ext cx="3952240" cy="2420620"/>
                          <a:chExt cx="3952240" cy="2420620"/>
                        </a:xfrm>
                      </wpg:grpSpPr>
                      <wps:wsp>
                        <wps:cNvPr id="1568" name="Graphic 1568"/>
                        <wps:cNvSpPr/>
                        <wps:spPr>
                          <a:xfrm>
                            <a:off x="782502" y="252208"/>
                            <a:ext cx="1550670" cy="1851025"/>
                          </a:xfrm>
                          <a:custGeom>
                            <a:avLst/>
                            <a:gdLst/>
                            <a:ahLst/>
                            <a:cxnLst/>
                            <a:rect l="l" t="t" r="r" b="b"/>
                            <a:pathLst>
                              <a:path w="1550670" h="1851025">
                                <a:moveTo>
                                  <a:pt x="0" y="0"/>
                                </a:moveTo>
                                <a:lnTo>
                                  <a:pt x="0" y="361687"/>
                                </a:lnTo>
                                <a:lnTo>
                                  <a:pt x="1501860" y="361687"/>
                                </a:lnTo>
                                <a:lnTo>
                                  <a:pt x="1501860" y="0"/>
                                </a:lnTo>
                              </a:path>
                              <a:path w="1550670" h="1851025">
                                <a:moveTo>
                                  <a:pt x="4964" y="1850489"/>
                                </a:moveTo>
                                <a:lnTo>
                                  <a:pt x="4964" y="876716"/>
                                </a:lnTo>
                                <a:lnTo>
                                  <a:pt x="1550335" y="876716"/>
                                </a:lnTo>
                                <a:lnTo>
                                  <a:pt x="1550335" y="967967"/>
                                </a:lnTo>
                              </a:path>
                            </a:pathLst>
                          </a:custGeom>
                          <a:ln w="11908">
                            <a:solidFill>
                              <a:srgbClr val="231F20"/>
                            </a:solidFill>
                            <a:prstDash val="solid"/>
                          </a:ln>
                        </wps:spPr>
                        <wps:bodyPr wrap="square" lIns="0" tIns="0" rIns="0" bIns="0" rtlCol="0">
                          <a:prstTxWarp prst="textNoShape">
                            <a:avLst/>
                          </a:prstTxWarp>
                          <a:noAutofit/>
                        </wps:bodyPr>
                      </wps:wsp>
                      <wps:wsp>
                        <wps:cNvPr id="1569" name="Graphic 1569"/>
                        <wps:cNvSpPr/>
                        <wps:spPr>
                          <a:xfrm>
                            <a:off x="748724" y="1192641"/>
                            <a:ext cx="1623060" cy="977900"/>
                          </a:xfrm>
                          <a:custGeom>
                            <a:avLst/>
                            <a:gdLst/>
                            <a:ahLst/>
                            <a:cxnLst/>
                            <a:rect l="l" t="t" r="r" b="b"/>
                            <a:pathLst>
                              <a:path w="1623060" h="977900">
                                <a:moveTo>
                                  <a:pt x="77444" y="882523"/>
                                </a:moveTo>
                                <a:lnTo>
                                  <a:pt x="38722" y="905014"/>
                                </a:lnTo>
                                <a:lnTo>
                                  <a:pt x="0" y="882523"/>
                                </a:lnTo>
                                <a:lnTo>
                                  <a:pt x="38722" y="977303"/>
                                </a:lnTo>
                                <a:lnTo>
                                  <a:pt x="77444" y="882523"/>
                                </a:lnTo>
                                <a:close/>
                              </a:path>
                              <a:path w="1623060" h="977900">
                                <a:moveTo>
                                  <a:pt x="1622818" y="0"/>
                                </a:moveTo>
                                <a:lnTo>
                                  <a:pt x="1584096" y="22504"/>
                                </a:lnTo>
                                <a:lnTo>
                                  <a:pt x="1545374" y="0"/>
                                </a:lnTo>
                                <a:lnTo>
                                  <a:pt x="1584096" y="94780"/>
                                </a:lnTo>
                                <a:lnTo>
                                  <a:pt x="1622818" y="0"/>
                                </a:lnTo>
                                <a:close/>
                              </a:path>
                            </a:pathLst>
                          </a:custGeom>
                          <a:solidFill>
                            <a:srgbClr val="231F20"/>
                          </a:solidFill>
                        </wps:spPr>
                        <wps:bodyPr wrap="square" lIns="0" tIns="0" rIns="0" bIns="0" rtlCol="0">
                          <a:prstTxWarp prst="textNoShape">
                            <a:avLst/>
                          </a:prstTxWarp>
                          <a:noAutofit/>
                        </wps:bodyPr>
                      </wps:wsp>
                      <wps:wsp>
                        <wps:cNvPr id="1570" name="Graphic 1570"/>
                        <wps:cNvSpPr/>
                        <wps:spPr>
                          <a:xfrm>
                            <a:off x="1553398" y="614212"/>
                            <a:ext cx="1270" cy="71120"/>
                          </a:xfrm>
                          <a:custGeom>
                            <a:avLst/>
                            <a:gdLst/>
                            <a:ahLst/>
                            <a:cxnLst/>
                            <a:rect l="l" t="t" r="r" b="b"/>
                            <a:pathLst>
                              <a:path w="0" h="71120">
                                <a:moveTo>
                                  <a:pt x="0" y="0"/>
                                </a:moveTo>
                                <a:lnTo>
                                  <a:pt x="0" y="70503"/>
                                </a:lnTo>
                              </a:path>
                            </a:pathLst>
                          </a:custGeom>
                          <a:ln w="11908">
                            <a:solidFill>
                              <a:srgbClr val="231F20"/>
                            </a:solidFill>
                            <a:prstDash val="solid"/>
                          </a:ln>
                        </wps:spPr>
                        <wps:bodyPr wrap="square" lIns="0" tIns="0" rIns="0" bIns="0" rtlCol="0">
                          <a:prstTxWarp prst="textNoShape">
                            <a:avLst/>
                          </a:prstTxWarp>
                          <a:noAutofit/>
                        </wps:bodyPr>
                      </wps:wsp>
                      <wps:wsp>
                        <wps:cNvPr id="1571" name="Graphic 1571"/>
                        <wps:cNvSpPr/>
                        <wps:spPr>
                          <a:xfrm>
                            <a:off x="1514676" y="657191"/>
                            <a:ext cx="77470" cy="95250"/>
                          </a:xfrm>
                          <a:custGeom>
                            <a:avLst/>
                            <a:gdLst/>
                            <a:ahLst/>
                            <a:cxnLst/>
                            <a:rect l="l" t="t" r="r" b="b"/>
                            <a:pathLst>
                              <a:path w="77470" h="95250">
                                <a:moveTo>
                                  <a:pt x="77444" y="0"/>
                                </a:moveTo>
                                <a:lnTo>
                                  <a:pt x="38722" y="22491"/>
                                </a:lnTo>
                                <a:lnTo>
                                  <a:pt x="0" y="0"/>
                                </a:lnTo>
                                <a:lnTo>
                                  <a:pt x="38722" y="94780"/>
                                </a:lnTo>
                                <a:lnTo>
                                  <a:pt x="77444" y="0"/>
                                </a:lnTo>
                                <a:close/>
                              </a:path>
                            </a:pathLst>
                          </a:custGeom>
                          <a:solidFill>
                            <a:srgbClr val="231F20"/>
                          </a:solidFill>
                        </wps:spPr>
                        <wps:bodyPr wrap="square" lIns="0" tIns="0" rIns="0" bIns="0" rtlCol="0">
                          <a:prstTxWarp prst="textNoShape">
                            <a:avLst/>
                          </a:prstTxWarp>
                          <a:noAutofit/>
                        </wps:bodyPr>
                      </wps:wsp>
                      <wps:wsp>
                        <wps:cNvPr id="1572" name="Graphic 1572"/>
                        <wps:cNvSpPr/>
                        <wps:spPr>
                          <a:xfrm>
                            <a:off x="2805204" y="252186"/>
                            <a:ext cx="638175" cy="2042160"/>
                          </a:xfrm>
                          <a:custGeom>
                            <a:avLst/>
                            <a:gdLst/>
                            <a:ahLst/>
                            <a:cxnLst/>
                            <a:rect l="l" t="t" r="r" b="b"/>
                            <a:pathLst>
                              <a:path w="638175" h="2042160">
                                <a:moveTo>
                                  <a:pt x="0" y="2041677"/>
                                </a:moveTo>
                                <a:lnTo>
                                  <a:pt x="637917" y="2041677"/>
                                </a:lnTo>
                                <a:lnTo>
                                  <a:pt x="637917" y="0"/>
                                </a:lnTo>
                              </a:path>
                            </a:pathLst>
                          </a:custGeom>
                          <a:ln w="11908">
                            <a:solidFill>
                              <a:srgbClr val="231F20"/>
                            </a:solidFill>
                            <a:prstDash val="solid"/>
                          </a:ln>
                        </wps:spPr>
                        <wps:bodyPr wrap="square" lIns="0" tIns="0" rIns="0" bIns="0" rtlCol="0">
                          <a:prstTxWarp prst="textNoShape">
                            <a:avLst/>
                          </a:prstTxWarp>
                          <a:noAutofit/>
                        </wps:bodyPr>
                      </wps:wsp>
                      <wps:wsp>
                        <wps:cNvPr id="1573" name="Graphic 1573"/>
                        <wps:cNvSpPr/>
                        <wps:spPr>
                          <a:xfrm>
                            <a:off x="2737949" y="2255141"/>
                            <a:ext cx="95250" cy="77470"/>
                          </a:xfrm>
                          <a:custGeom>
                            <a:avLst/>
                            <a:gdLst/>
                            <a:ahLst/>
                            <a:cxnLst/>
                            <a:rect l="l" t="t" r="r" b="b"/>
                            <a:pathLst>
                              <a:path w="95250" h="77470">
                                <a:moveTo>
                                  <a:pt x="94780" y="0"/>
                                </a:moveTo>
                                <a:lnTo>
                                  <a:pt x="0" y="38722"/>
                                </a:lnTo>
                                <a:lnTo>
                                  <a:pt x="94780" y="77431"/>
                                </a:lnTo>
                                <a:lnTo>
                                  <a:pt x="72288" y="38722"/>
                                </a:lnTo>
                                <a:lnTo>
                                  <a:pt x="94780" y="0"/>
                                </a:lnTo>
                                <a:close/>
                              </a:path>
                            </a:pathLst>
                          </a:custGeom>
                          <a:solidFill>
                            <a:srgbClr val="231F20"/>
                          </a:solidFill>
                        </wps:spPr>
                        <wps:bodyPr wrap="square" lIns="0" tIns="0" rIns="0" bIns="0" rtlCol="0">
                          <a:prstTxWarp prst="textNoShape">
                            <a:avLst/>
                          </a:prstTxWarp>
                          <a:noAutofit/>
                        </wps:bodyPr>
                      </wps:wsp>
                      <wps:wsp>
                        <wps:cNvPr id="1574" name="Graphic 1574"/>
                        <wps:cNvSpPr/>
                        <wps:spPr>
                          <a:xfrm>
                            <a:off x="2329330" y="1907165"/>
                            <a:ext cx="1270" cy="202565"/>
                          </a:xfrm>
                          <a:custGeom>
                            <a:avLst/>
                            <a:gdLst/>
                            <a:ahLst/>
                            <a:cxnLst/>
                            <a:rect l="l" t="t" r="r" b="b"/>
                            <a:pathLst>
                              <a:path w="0" h="202565">
                                <a:moveTo>
                                  <a:pt x="0" y="0"/>
                                </a:moveTo>
                                <a:lnTo>
                                  <a:pt x="0" y="52048"/>
                                </a:lnTo>
                              </a:path>
                              <a:path w="0" h="202565">
                                <a:moveTo>
                                  <a:pt x="0" y="128451"/>
                                </a:moveTo>
                                <a:lnTo>
                                  <a:pt x="0" y="202480"/>
                                </a:lnTo>
                              </a:path>
                            </a:pathLst>
                          </a:custGeom>
                          <a:ln w="11908">
                            <a:solidFill>
                              <a:srgbClr val="231F20"/>
                            </a:solidFill>
                            <a:prstDash val="solid"/>
                          </a:ln>
                        </wps:spPr>
                        <wps:bodyPr wrap="square" lIns="0" tIns="0" rIns="0" bIns="0" rtlCol="0">
                          <a:prstTxWarp prst="textNoShape">
                            <a:avLst/>
                          </a:prstTxWarp>
                          <a:noAutofit/>
                        </wps:bodyPr>
                      </wps:wsp>
                      <wps:wsp>
                        <wps:cNvPr id="1575" name="Graphic 1575"/>
                        <wps:cNvSpPr/>
                        <wps:spPr>
                          <a:xfrm>
                            <a:off x="2290620" y="2082120"/>
                            <a:ext cx="77470" cy="95250"/>
                          </a:xfrm>
                          <a:custGeom>
                            <a:avLst/>
                            <a:gdLst/>
                            <a:ahLst/>
                            <a:cxnLst/>
                            <a:rect l="l" t="t" r="r" b="b"/>
                            <a:pathLst>
                              <a:path w="77470" h="95250">
                                <a:moveTo>
                                  <a:pt x="77431" y="0"/>
                                </a:moveTo>
                                <a:lnTo>
                                  <a:pt x="38709" y="22491"/>
                                </a:lnTo>
                                <a:lnTo>
                                  <a:pt x="0" y="0"/>
                                </a:lnTo>
                                <a:lnTo>
                                  <a:pt x="38709" y="94780"/>
                                </a:lnTo>
                                <a:lnTo>
                                  <a:pt x="77431" y="0"/>
                                </a:lnTo>
                                <a:close/>
                              </a:path>
                            </a:pathLst>
                          </a:custGeom>
                          <a:solidFill>
                            <a:srgbClr val="231F20"/>
                          </a:solidFill>
                        </wps:spPr>
                        <wps:bodyPr wrap="square" lIns="0" tIns="0" rIns="0" bIns="0" rtlCol="0">
                          <a:prstTxWarp prst="textNoShape">
                            <a:avLst/>
                          </a:prstTxWarp>
                          <a:noAutofit/>
                        </wps:bodyPr>
                      </wps:wsp>
                      <wps:wsp>
                        <wps:cNvPr id="1576" name="Graphic 1576"/>
                        <wps:cNvSpPr/>
                        <wps:spPr>
                          <a:xfrm>
                            <a:off x="896336" y="572234"/>
                            <a:ext cx="2641600" cy="1463675"/>
                          </a:xfrm>
                          <a:custGeom>
                            <a:avLst/>
                            <a:gdLst/>
                            <a:ahLst/>
                            <a:cxnLst/>
                            <a:rect l="l" t="t" r="r" b="b"/>
                            <a:pathLst>
                              <a:path w="2641600" h="1463675">
                                <a:moveTo>
                                  <a:pt x="352755" y="0"/>
                                </a:moveTo>
                                <a:lnTo>
                                  <a:pt x="170421" y="0"/>
                                </a:lnTo>
                                <a:lnTo>
                                  <a:pt x="170421" y="76403"/>
                                </a:lnTo>
                                <a:lnTo>
                                  <a:pt x="352755" y="76403"/>
                                </a:lnTo>
                                <a:lnTo>
                                  <a:pt x="352755" y="0"/>
                                </a:lnTo>
                                <a:close/>
                              </a:path>
                              <a:path w="2641600" h="1463675">
                                <a:moveTo>
                                  <a:pt x="541782" y="521652"/>
                                </a:moveTo>
                                <a:lnTo>
                                  <a:pt x="0" y="521652"/>
                                </a:lnTo>
                                <a:lnTo>
                                  <a:pt x="0" y="598055"/>
                                </a:lnTo>
                                <a:lnTo>
                                  <a:pt x="541782" y="598055"/>
                                </a:lnTo>
                                <a:lnTo>
                                  <a:pt x="541782" y="521652"/>
                                </a:lnTo>
                                <a:close/>
                              </a:path>
                              <a:path w="2641600" h="1463675">
                                <a:moveTo>
                                  <a:pt x="1110691" y="0"/>
                                </a:moveTo>
                                <a:lnTo>
                                  <a:pt x="928344" y="0"/>
                                </a:lnTo>
                                <a:lnTo>
                                  <a:pt x="928344" y="76403"/>
                                </a:lnTo>
                                <a:lnTo>
                                  <a:pt x="1110691" y="76403"/>
                                </a:lnTo>
                                <a:lnTo>
                                  <a:pt x="1110691" y="0"/>
                                </a:lnTo>
                                <a:close/>
                              </a:path>
                              <a:path w="2641600" h="1463675">
                                <a:moveTo>
                                  <a:pt x="1326197" y="521652"/>
                                </a:moveTo>
                                <a:lnTo>
                                  <a:pt x="784415" y="521652"/>
                                </a:lnTo>
                                <a:lnTo>
                                  <a:pt x="784415" y="598055"/>
                                </a:lnTo>
                                <a:lnTo>
                                  <a:pt x="1326197" y="598055"/>
                                </a:lnTo>
                                <a:lnTo>
                                  <a:pt x="1326197" y="521652"/>
                                </a:lnTo>
                                <a:close/>
                              </a:path>
                              <a:path w="2641600" h="1463675">
                                <a:moveTo>
                                  <a:pt x="1525016" y="1386979"/>
                                </a:moveTo>
                                <a:lnTo>
                                  <a:pt x="1342682" y="1386979"/>
                                </a:lnTo>
                                <a:lnTo>
                                  <a:pt x="1342682" y="1463382"/>
                                </a:lnTo>
                                <a:lnTo>
                                  <a:pt x="1525016" y="1463382"/>
                                </a:lnTo>
                                <a:lnTo>
                                  <a:pt x="1525016" y="1386979"/>
                                </a:lnTo>
                                <a:close/>
                              </a:path>
                              <a:path w="2641600" h="1463675">
                                <a:moveTo>
                                  <a:pt x="2641409" y="222669"/>
                                </a:moveTo>
                                <a:lnTo>
                                  <a:pt x="2459101" y="222669"/>
                                </a:lnTo>
                                <a:lnTo>
                                  <a:pt x="2459101" y="299072"/>
                                </a:lnTo>
                                <a:lnTo>
                                  <a:pt x="2641409" y="299072"/>
                                </a:lnTo>
                                <a:lnTo>
                                  <a:pt x="2641409" y="222669"/>
                                </a:lnTo>
                                <a:close/>
                              </a:path>
                            </a:pathLst>
                          </a:custGeom>
                          <a:solidFill>
                            <a:srgbClr val="FFFFFF"/>
                          </a:solidFill>
                        </wps:spPr>
                        <wps:bodyPr wrap="square" lIns="0" tIns="0" rIns="0" bIns="0" rtlCol="0">
                          <a:prstTxWarp prst="textNoShape">
                            <a:avLst/>
                          </a:prstTxWarp>
                          <a:noAutofit/>
                        </wps:bodyPr>
                      </wps:wsp>
                      <wps:wsp>
                        <wps:cNvPr id="1577" name="Textbox 1577"/>
                        <wps:cNvSpPr txBox="1"/>
                        <wps:spPr>
                          <a:xfrm>
                            <a:off x="1729204" y="1045201"/>
                            <a:ext cx="483234" cy="177165"/>
                          </a:xfrm>
                          <a:prstGeom prst="rect">
                            <a:avLst/>
                          </a:prstGeom>
                        </wps:spPr>
                        <wps:txbx>
                          <w:txbxContent>
                            <w:p>
                              <w:pPr>
                                <w:spacing w:line="127" w:lineRule="exact" w:before="0"/>
                                <w:ind w:left="428" w:right="0" w:firstLine="0"/>
                                <w:jc w:val="left"/>
                                <w:rPr>
                                  <w:rFonts w:ascii="Arial MT"/>
                                  <w:sz w:val="13"/>
                                </w:rPr>
                              </w:pPr>
                              <w:r>
                                <w:rPr>
                                  <w:rFonts w:ascii="Arial MT"/>
                                  <w:color w:val="231F20"/>
                                  <w:spacing w:val="-5"/>
                                  <w:sz w:val="13"/>
                                </w:rPr>
                                <w:t>te</w:t>
                              </w:r>
                            </w:p>
                            <w:p>
                              <w:pPr>
                                <w:spacing w:line="149" w:lineRule="exact" w:before="0"/>
                                <w:ind w:left="0" w:right="0" w:firstLine="0"/>
                                <w:jc w:val="left"/>
                                <w:rPr>
                                  <w:rFonts w:ascii="Arial MT"/>
                                  <w:sz w:val="13"/>
                                </w:rPr>
                              </w:pPr>
                              <w:r>
                                <w:rPr>
                                  <w:rFonts w:ascii="Arial MT"/>
                                  <w:color w:val="231F20"/>
                                  <w:spacing w:val="-2"/>
                                  <w:sz w:val="13"/>
                                </w:rPr>
                                <w:t>inflammation</w:t>
                              </w:r>
                            </w:p>
                          </w:txbxContent>
                        </wps:txbx>
                        <wps:bodyPr wrap="square" lIns="0" tIns="0" rIns="0" bIns="0" rtlCol="0">
                          <a:noAutofit/>
                        </wps:bodyPr>
                      </wps:wsp>
                      <wps:wsp>
                        <wps:cNvPr id="1578" name="Textbox 1578"/>
                        <wps:cNvSpPr txBox="1"/>
                        <wps:spPr>
                          <a:xfrm>
                            <a:off x="944805" y="1045201"/>
                            <a:ext cx="483234" cy="177165"/>
                          </a:xfrm>
                          <a:prstGeom prst="rect">
                            <a:avLst/>
                          </a:prstGeom>
                        </wps:spPr>
                        <wps:txbx>
                          <w:txbxContent>
                            <w:p>
                              <w:pPr>
                                <w:spacing w:line="127" w:lineRule="exact" w:before="0"/>
                                <w:ind w:left="108" w:right="0" w:firstLine="0"/>
                                <w:jc w:val="left"/>
                                <w:rPr>
                                  <w:rFonts w:ascii="Arial MT"/>
                                  <w:sz w:val="13"/>
                                </w:rPr>
                              </w:pPr>
                              <w:r>
                                <w:rPr>
                                  <w:rFonts w:ascii="Arial MT"/>
                                  <w:color w:val="231F20"/>
                                  <w:spacing w:val="-5"/>
                                  <w:sz w:val="13"/>
                                </w:rPr>
                                <w:t>No</w:t>
                              </w:r>
                            </w:p>
                            <w:p>
                              <w:pPr>
                                <w:spacing w:line="149" w:lineRule="exact" w:before="0"/>
                                <w:ind w:left="0" w:right="0" w:firstLine="0"/>
                                <w:jc w:val="left"/>
                                <w:rPr>
                                  <w:rFonts w:ascii="Arial MT"/>
                                  <w:sz w:val="13"/>
                                </w:rPr>
                              </w:pPr>
                              <w:r>
                                <w:rPr>
                                  <w:rFonts w:ascii="Arial MT"/>
                                  <w:color w:val="231F20"/>
                                  <w:spacing w:val="-2"/>
                                  <w:sz w:val="13"/>
                                </w:rPr>
                                <w:t>inflammation</w:t>
                              </w:r>
                            </w:p>
                          </w:txbxContent>
                        </wps:txbx>
                        <wps:bodyPr wrap="square" lIns="0" tIns="0" rIns="0" bIns="0" rtlCol="0">
                          <a:noAutofit/>
                        </wps:bodyPr>
                      </wps:wsp>
                      <wps:wsp>
                        <wps:cNvPr id="1579" name="Textbox 1579"/>
                        <wps:cNvSpPr txBox="1"/>
                        <wps:spPr>
                          <a:xfrm>
                            <a:off x="2256311" y="1966041"/>
                            <a:ext cx="14859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5"/>
                                  <w:sz w:val="13"/>
                                </w:rPr>
                                <w:t>Yes</w:t>
                              </w:r>
                            </w:p>
                          </w:txbxContent>
                        </wps:txbx>
                        <wps:bodyPr wrap="square" lIns="0" tIns="0" rIns="0" bIns="0" rtlCol="0">
                          <a:noAutofit/>
                        </wps:bodyPr>
                      </wps:wsp>
                      <wps:wsp>
                        <wps:cNvPr id="1580" name="Textbox 1580"/>
                        <wps:cNvSpPr txBox="1"/>
                        <wps:spPr>
                          <a:xfrm>
                            <a:off x="252680" y="2168064"/>
                            <a:ext cx="1069340" cy="247015"/>
                          </a:xfrm>
                          <a:prstGeom prst="rect">
                            <a:avLst/>
                          </a:prstGeom>
                          <a:solidFill>
                            <a:srgbClr val="D7EDDD"/>
                          </a:solidFill>
                          <a:ln w="11908">
                            <a:solidFill>
                              <a:srgbClr val="231F20"/>
                            </a:solidFill>
                            <a:prstDash val="solid"/>
                          </a:ln>
                        </wps:spPr>
                        <wps:txbx>
                          <w:txbxContent>
                            <w:p>
                              <w:pPr>
                                <w:spacing w:before="40"/>
                                <w:ind w:left="635" w:right="111" w:hanging="534"/>
                                <w:jc w:val="left"/>
                                <w:rPr>
                                  <w:rFonts w:ascii="Arial MT"/>
                                  <w:color w:val="000000"/>
                                  <w:sz w:val="13"/>
                                </w:rPr>
                              </w:pPr>
                              <w:r>
                                <w:rPr>
                                  <w:rFonts w:ascii="Arial MT"/>
                                  <w:color w:val="231F20"/>
                                  <w:sz w:val="13"/>
                                </w:rPr>
                                <w:t>Otitis</w:t>
                              </w:r>
                              <w:r>
                                <w:rPr>
                                  <w:rFonts w:ascii="Arial MT"/>
                                  <w:color w:val="231F20"/>
                                  <w:spacing w:val="-10"/>
                                  <w:sz w:val="13"/>
                                </w:rPr>
                                <w:t> </w:t>
                              </w:r>
                              <w:r>
                                <w:rPr>
                                  <w:rFonts w:ascii="Arial MT"/>
                                  <w:color w:val="231F20"/>
                                  <w:sz w:val="13"/>
                                </w:rPr>
                                <w:t>media</w:t>
                              </w:r>
                              <w:r>
                                <w:rPr>
                                  <w:rFonts w:ascii="Arial MT"/>
                                  <w:color w:val="231F20"/>
                                  <w:spacing w:val="-9"/>
                                  <w:sz w:val="13"/>
                                </w:rPr>
                                <w:t> </w:t>
                              </w:r>
                              <w:r>
                                <w:rPr>
                                  <w:rFonts w:ascii="Arial MT"/>
                                  <w:color w:val="231F20"/>
                                  <w:sz w:val="13"/>
                                </w:rPr>
                                <w:t>with</w:t>
                              </w:r>
                              <w:r>
                                <w:rPr>
                                  <w:rFonts w:ascii="Arial MT"/>
                                  <w:color w:val="231F20"/>
                                  <w:spacing w:val="-9"/>
                                  <w:sz w:val="13"/>
                                </w:rPr>
                                <w:t> </w:t>
                              </w:r>
                              <w:r>
                                <w:rPr>
                                  <w:rFonts w:ascii="Arial MT"/>
                                  <w:color w:val="231F20"/>
                                  <w:sz w:val="13"/>
                                </w:rPr>
                                <w:t>effusion</w:t>
                              </w:r>
                              <w:r>
                                <w:rPr>
                                  <w:rFonts w:ascii="Arial MT"/>
                                  <w:color w:val="231F20"/>
                                  <w:spacing w:val="40"/>
                                  <w:sz w:val="13"/>
                                </w:rPr>
                                <w:t> </w:t>
                              </w:r>
                              <w:r>
                                <w:rPr>
                                  <w:rFonts w:ascii="Arial MT"/>
                                  <w:color w:val="231F20"/>
                                  <w:spacing w:val="-2"/>
                                  <w:sz w:val="13"/>
                                </w:rPr>
                                <w:t>(OME)</w:t>
                              </w:r>
                            </w:p>
                          </w:txbxContent>
                        </wps:txbx>
                        <wps:bodyPr wrap="square" lIns="0" tIns="0" rIns="0" bIns="0" rtlCol="0">
                          <a:noAutofit/>
                        </wps:bodyPr>
                      </wps:wsp>
                      <wps:wsp>
                        <wps:cNvPr id="1581" name="Textbox 1581"/>
                        <wps:cNvSpPr txBox="1"/>
                        <wps:spPr>
                          <a:xfrm>
                            <a:off x="1925278" y="2168064"/>
                            <a:ext cx="821055" cy="247015"/>
                          </a:xfrm>
                          <a:prstGeom prst="rect">
                            <a:avLst/>
                          </a:prstGeom>
                          <a:solidFill>
                            <a:srgbClr val="D7EDDD"/>
                          </a:solidFill>
                          <a:ln w="11908">
                            <a:solidFill>
                              <a:srgbClr val="231F20"/>
                            </a:solidFill>
                            <a:prstDash val="solid"/>
                          </a:ln>
                        </wps:spPr>
                        <wps:txbx>
                          <w:txbxContent>
                            <w:p>
                              <w:pPr>
                                <w:spacing w:before="40"/>
                                <w:ind w:left="441" w:right="124" w:hanging="326"/>
                                <w:jc w:val="left"/>
                                <w:rPr>
                                  <w:rFonts w:ascii="Arial MT"/>
                                  <w:color w:val="000000"/>
                                  <w:sz w:val="13"/>
                                </w:rPr>
                              </w:pPr>
                              <w:r>
                                <w:rPr>
                                  <w:rFonts w:ascii="Arial MT"/>
                                  <w:color w:val="231F20"/>
                                  <w:sz w:val="13"/>
                                </w:rPr>
                                <w:t>Acute</w:t>
                              </w:r>
                              <w:r>
                                <w:rPr>
                                  <w:rFonts w:ascii="Arial MT"/>
                                  <w:color w:val="231F20"/>
                                  <w:spacing w:val="-10"/>
                                  <w:sz w:val="13"/>
                                </w:rPr>
                                <w:t> </w:t>
                              </w:r>
                              <w:r>
                                <w:rPr>
                                  <w:rFonts w:ascii="Arial MT"/>
                                  <w:color w:val="231F20"/>
                                  <w:sz w:val="13"/>
                                </w:rPr>
                                <w:t>otitis</w:t>
                              </w:r>
                              <w:r>
                                <w:rPr>
                                  <w:rFonts w:ascii="Arial MT"/>
                                  <w:color w:val="231F20"/>
                                  <w:spacing w:val="-9"/>
                                  <w:sz w:val="13"/>
                                </w:rPr>
                                <w:t> </w:t>
                              </w:r>
                              <w:r>
                                <w:rPr>
                                  <w:rFonts w:ascii="Arial MT"/>
                                  <w:color w:val="231F20"/>
                                  <w:sz w:val="13"/>
                                </w:rPr>
                                <w:t>media</w:t>
                              </w:r>
                              <w:r>
                                <w:rPr>
                                  <w:rFonts w:ascii="Arial MT"/>
                                  <w:color w:val="231F20"/>
                                  <w:spacing w:val="40"/>
                                  <w:sz w:val="13"/>
                                </w:rPr>
                                <w:t> </w:t>
                              </w:r>
                              <w:r>
                                <w:rPr>
                                  <w:rFonts w:ascii="Arial MT"/>
                                  <w:color w:val="231F20"/>
                                  <w:spacing w:val="-2"/>
                                  <w:sz w:val="13"/>
                                </w:rPr>
                                <w:t>(AOM)</w:t>
                              </w:r>
                            </w:p>
                          </w:txbxContent>
                        </wps:txbx>
                        <wps:bodyPr wrap="square" lIns="0" tIns="0" rIns="0" bIns="0" rtlCol="0">
                          <a:noAutofit/>
                        </wps:bodyPr>
                      </wps:wsp>
                      <wps:wsp>
                        <wps:cNvPr id="1582" name="Textbox 1582"/>
                        <wps:cNvSpPr txBox="1"/>
                        <wps:spPr>
                          <a:xfrm>
                            <a:off x="2937468" y="5957"/>
                            <a:ext cx="1008380" cy="247015"/>
                          </a:xfrm>
                          <a:prstGeom prst="rect">
                            <a:avLst/>
                          </a:prstGeom>
                          <a:solidFill>
                            <a:srgbClr val="D7EDDD"/>
                          </a:solidFill>
                          <a:ln w="11908">
                            <a:solidFill>
                              <a:srgbClr val="231F20"/>
                            </a:solidFill>
                            <a:prstDash val="solid"/>
                          </a:ln>
                        </wps:spPr>
                        <wps:txbx>
                          <w:txbxContent>
                            <w:p>
                              <w:pPr>
                                <w:spacing w:before="40"/>
                                <w:ind w:left="95" w:right="106" w:firstLine="0"/>
                                <w:jc w:val="left"/>
                                <w:rPr>
                                  <w:rFonts w:ascii="Arial MT"/>
                                  <w:color w:val="000000"/>
                                  <w:sz w:val="13"/>
                                </w:rPr>
                              </w:pPr>
                              <w:r>
                                <w:rPr>
                                  <w:rFonts w:ascii="Arial MT"/>
                                  <w:color w:val="231F20"/>
                                  <w:sz w:val="13"/>
                                </w:rPr>
                                <w:t>Acute</w:t>
                              </w:r>
                              <w:r>
                                <w:rPr>
                                  <w:rFonts w:ascii="Arial MT"/>
                                  <w:color w:val="231F20"/>
                                  <w:spacing w:val="-10"/>
                                  <w:sz w:val="13"/>
                                </w:rPr>
                                <w:t> </w:t>
                              </w:r>
                              <w:r>
                                <w:rPr>
                                  <w:rFonts w:ascii="Arial MT"/>
                                  <w:color w:val="231F20"/>
                                  <w:sz w:val="13"/>
                                </w:rPr>
                                <w:t>purulent</w:t>
                              </w:r>
                              <w:r>
                                <w:rPr>
                                  <w:rFonts w:ascii="Arial MT"/>
                                  <w:color w:val="231F20"/>
                                  <w:spacing w:val="-9"/>
                                  <w:sz w:val="13"/>
                                </w:rPr>
                                <w:t> </w:t>
                              </w:r>
                              <w:r>
                                <w:rPr>
                                  <w:rFonts w:ascii="Arial MT"/>
                                  <w:color w:val="231F20"/>
                                  <w:sz w:val="13"/>
                                </w:rPr>
                                <w:t>otorrhea</w:t>
                              </w:r>
                              <w:r>
                                <w:rPr>
                                  <w:rFonts w:ascii="Arial MT"/>
                                  <w:color w:val="231F20"/>
                                  <w:spacing w:val="40"/>
                                  <w:sz w:val="13"/>
                                </w:rPr>
                                <w:t> </w:t>
                              </w:r>
                              <w:r>
                                <w:rPr>
                                  <w:rFonts w:ascii="Arial MT"/>
                                  <w:color w:val="231F20"/>
                                  <w:sz w:val="13"/>
                                </w:rPr>
                                <w:t>not</w:t>
                              </w:r>
                              <w:r>
                                <w:rPr>
                                  <w:rFonts w:ascii="Arial MT"/>
                                  <w:color w:val="231F20"/>
                                  <w:spacing w:val="-1"/>
                                  <w:sz w:val="13"/>
                                </w:rPr>
                                <w:t> </w:t>
                              </w:r>
                              <w:r>
                                <w:rPr>
                                  <w:rFonts w:ascii="Arial MT"/>
                                  <w:color w:val="231F20"/>
                                  <w:sz w:val="13"/>
                                </w:rPr>
                                <w:t>due</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otitis </w:t>
                              </w:r>
                              <w:r>
                                <w:rPr>
                                  <w:rFonts w:ascii="Arial MT"/>
                                  <w:color w:val="231F20"/>
                                  <w:spacing w:val="-2"/>
                                  <w:sz w:val="13"/>
                                </w:rPr>
                                <w:t>externa</w:t>
                              </w:r>
                            </w:p>
                          </w:txbxContent>
                        </wps:txbx>
                        <wps:bodyPr wrap="square" lIns="0" tIns="0" rIns="0" bIns="0" rtlCol="0">
                          <a:noAutofit/>
                        </wps:bodyPr>
                      </wps:wsp>
                      <wps:wsp>
                        <wps:cNvPr id="1583" name="Textbox 1583"/>
                        <wps:cNvSpPr txBox="1"/>
                        <wps:spPr>
                          <a:xfrm>
                            <a:off x="1536274" y="1271623"/>
                            <a:ext cx="1564005" cy="635635"/>
                          </a:xfrm>
                          <a:prstGeom prst="rect">
                            <a:avLst/>
                          </a:prstGeom>
                          <a:solidFill>
                            <a:srgbClr val="D7EDDD"/>
                          </a:solidFill>
                          <a:ln w="11908">
                            <a:solidFill>
                              <a:srgbClr val="231F20"/>
                            </a:solidFill>
                            <a:prstDash val="solid"/>
                          </a:ln>
                        </wps:spPr>
                        <wps:txbx>
                          <w:txbxContent>
                            <w:p>
                              <w:pPr>
                                <w:spacing w:line="149" w:lineRule="exact" w:before="39"/>
                                <w:ind w:left="95" w:right="0" w:firstLine="0"/>
                                <w:jc w:val="left"/>
                                <w:rPr>
                                  <w:rFonts w:ascii="Arial MT"/>
                                  <w:color w:val="000000"/>
                                  <w:sz w:val="13"/>
                                </w:rPr>
                              </w:pPr>
                              <w:r>
                                <w:rPr>
                                  <w:rFonts w:ascii="Arial MT"/>
                                  <w:color w:val="231F20"/>
                                  <w:sz w:val="13"/>
                                </w:rPr>
                                <w:t>At</w:t>
                              </w:r>
                              <w:r>
                                <w:rPr>
                                  <w:rFonts w:ascii="Arial MT"/>
                                  <w:color w:val="231F20"/>
                                  <w:spacing w:val="-1"/>
                                  <w:sz w:val="13"/>
                                </w:rPr>
                                <w:t> </w:t>
                              </w:r>
                              <w:r>
                                <w:rPr>
                                  <w:rFonts w:ascii="Arial MT"/>
                                  <w:color w:val="231F20"/>
                                  <w:sz w:val="13"/>
                                </w:rPr>
                                <w:t>least</w:t>
                              </w:r>
                              <w:r>
                                <w:rPr>
                                  <w:rFonts w:ascii="Arial MT"/>
                                  <w:color w:val="231F20"/>
                                  <w:spacing w:val="-1"/>
                                  <w:sz w:val="13"/>
                                </w:rPr>
                                <w:t> </w:t>
                              </w:r>
                              <w:r>
                                <w:rPr>
                                  <w:rFonts w:ascii="Arial MT"/>
                                  <w:color w:val="231F20"/>
                                  <w:sz w:val="13"/>
                                </w:rPr>
                                <w:t>one </w:t>
                              </w:r>
                              <w:r>
                                <w:rPr>
                                  <w:rFonts w:ascii="Arial MT"/>
                                  <w:color w:val="231F20"/>
                                  <w:spacing w:val="-5"/>
                                  <w:sz w:val="13"/>
                                </w:rPr>
                                <w:t>of:</w:t>
                              </w:r>
                            </w:p>
                            <w:p>
                              <w:pPr>
                                <w:numPr>
                                  <w:ilvl w:val="0"/>
                                  <w:numId w:val="107"/>
                                </w:numPr>
                                <w:tabs>
                                  <w:tab w:pos="241" w:val="left" w:leader="none"/>
                                </w:tabs>
                                <w:spacing w:before="0"/>
                                <w:ind w:left="241" w:right="458" w:hanging="146"/>
                                <w:jc w:val="left"/>
                                <w:rPr>
                                  <w:rFonts w:ascii="Arial MT"/>
                                  <w:color w:val="000000"/>
                                  <w:sz w:val="13"/>
                                </w:rPr>
                              </w:pPr>
                              <w:r>
                                <w:rPr>
                                  <w:rFonts w:ascii="Arial MT"/>
                                  <w:color w:val="231F20"/>
                                  <w:sz w:val="13"/>
                                </w:rPr>
                                <w:t>Substantial</w:t>
                              </w:r>
                              <w:r>
                                <w:rPr>
                                  <w:rFonts w:ascii="Arial MT"/>
                                  <w:color w:val="231F20"/>
                                  <w:spacing w:val="-10"/>
                                  <w:sz w:val="13"/>
                                </w:rPr>
                                <w:t> </w:t>
                              </w:r>
                              <w:r>
                                <w:rPr>
                                  <w:rFonts w:ascii="Arial MT"/>
                                  <w:color w:val="231F20"/>
                                  <w:sz w:val="13"/>
                                </w:rPr>
                                <w:t>ear</w:t>
                              </w:r>
                              <w:r>
                                <w:rPr>
                                  <w:rFonts w:ascii="Arial MT"/>
                                  <w:color w:val="231F20"/>
                                  <w:spacing w:val="-9"/>
                                  <w:sz w:val="13"/>
                                </w:rPr>
                                <w:t> </w:t>
                              </w:r>
                              <w:r>
                                <w:rPr>
                                  <w:rFonts w:ascii="Arial MT"/>
                                  <w:color w:val="231F20"/>
                                  <w:sz w:val="13"/>
                                </w:rPr>
                                <w:t>pain,</w:t>
                              </w:r>
                              <w:r>
                                <w:rPr>
                                  <w:rFonts w:ascii="Arial MT"/>
                                  <w:color w:val="231F20"/>
                                  <w:spacing w:val="-9"/>
                                  <w:sz w:val="13"/>
                                </w:rPr>
                                <w:t> </w:t>
                              </w:r>
                              <w:r>
                                <w:rPr>
                                  <w:rFonts w:ascii="Arial MT"/>
                                  <w:color w:val="231F20"/>
                                  <w:sz w:val="13"/>
                                </w:rPr>
                                <w:t>including</w:t>
                              </w:r>
                              <w:r>
                                <w:rPr>
                                  <w:rFonts w:ascii="Arial MT"/>
                                  <w:color w:val="231F20"/>
                                  <w:spacing w:val="40"/>
                                  <w:sz w:val="13"/>
                                </w:rPr>
                                <w:t> </w:t>
                              </w:r>
                              <w:r>
                                <w:rPr>
                                  <w:rFonts w:ascii="Arial MT"/>
                                  <w:color w:val="231F20"/>
                                  <w:sz w:val="13"/>
                                </w:rPr>
                                <w:t>unaccustomed tugging or</w:t>
                              </w:r>
                              <w:r>
                                <w:rPr>
                                  <w:rFonts w:ascii="Arial MT"/>
                                  <w:color w:val="231F20"/>
                                  <w:spacing w:val="40"/>
                                  <w:sz w:val="13"/>
                                </w:rPr>
                                <w:t> </w:t>
                              </w:r>
                              <w:r>
                                <w:rPr>
                                  <w:rFonts w:ascii="Arial MT"/>
                                  <w:color w:val="231F20"/>
                                  <w:sz w:val="13"/>
                                </w:rPr>
                                <w:t>rubbing of the ear</w:t>
                              </w:r>
                            </w:p>
                            <w:p>
                              <w:pPr>
                                <w:numPr>
                                  <w:ilvl w:val="0"/>
                                  <w:numId w:val="107"/>
                                </w:numPr>
                                <w:tabs>
                                  <w:tab w:pos="240" w:val="left" w:leader="none"/>
                                </w:tabs>
                                <w:spacing w:line="143" w:lineRule="exact" w:before="0"/>
                                <w:ind w:left="240" w:right="0" w:hanging="145"/>
                                <w:jc w:val="left"/>
                                <w:rPr>
                                  <w:rFonts w:ascii="Arial MT"/>
                                  <w:color w:val="000000"/>
                                  <w:sz w:val="13"/>
                                </w:rPr>
                              </w:pPr>
                              <w:r>
                                <w:rPr>
                                  <w:rFonts w:ascii="Arial MT"/>
                                  <w:color w:val="231F20"/>
                                  <w:sz w:val="13"/>
                                </w:rPr>
                                <w:t>Marked</w:t>
                              </w:r>
                              <w:r>
                                <w:rPr>
                                  <w:rFonts w:ascii="Arial MT"/>
                                  <w:color w:val="231F20"/>
                                  <w:spacing w:val="-2"/>
                                  <w:sz w:val="13"/>
                                </w:rPr>
                                <w:t> </w:t>
                              </w:r>
                              <w:r>
                                <w:rPr>
                                  <w:rFonts w:ascii="Arial MT"/>
                                  <w:color w:val="231F20"/>
                                  <w:sz w:val="13"/>
                                </w:rPr>
                                <w:t>redness</w:t>
                              </w:r>
                              <w:r>
                                <w:rPr>
                                  <w:rFonts w:ascii="Arial MT"/>
                                  <w:color w:val="231F20"/>
                                  <w:spacing w:val="-2"/>
                                  <w:sz w:val="13"/>
                                </w:rPr>
                                <w:t> </w:t>
                              </w:r>
                              <w:r>
                                <w:rPr>
                                  <w:rFonts w:ascii="Arial MT"/>
                                  <w:color w:val="231F20"/>
                                  <w:sz w:val="13"/>
                                </w:rPr>
                                <w:t>of</w:t>
                              </w:r>
                              <w:r>
                                <w:rPr>
                                  <w:rFonts w:ascii="Arial MT"/>
                                  <w:color w:val="231F20"/>
                                  <w:spacing w:val="-2"/>
                                  <w:sz w:val="13"/>
                                </w:rPr>
                                <w:t> </w:t>
                              </w:r>
                              <w:r>
                                <w:rPr>
                                  <w:rFonts w:ascii="Arial MT"/>
                                  <w:color w:val="231F20"/>
                                  <w:sz w:val="13"/>
                                </w:rPr>
                                <w:t>the</w:t>
                              </w:r>
                              <w:r>
                                <w:rPr>
                                  <w:rFonts w:ascii="Arial MT"/>
                                  <w:color w:val="231F20"/>
                                  <w:spacing w:val="-4"/>
                                  <w:sz w:val="13"/>
                                </w:rPr>
                                <w:t> </w:t>
                              </w:r>
                              <w:r>
                                <w:rPr>
                                  <w:rFonts w:ascii="Arial MT"/>
                                  <w:color w:val="231F20"/>
                                  <w:spacing w:val="-5"/>
                                  <w:sz w:val="13"/>
                                </w:rPr>
                                <w:t>TM</w:t>
                              </w:r>
                            </w:p>
                            <w:p>
                              <w:pPr>
                                <w:numPr>
                                  <w:ilvl w:val="0"/>
                                  <w:numId w:val="107"/>
                                </w:numPr>
                                <w:tabs>
                                  <w:tab w:pos="240" w:val="left" w:leader="none"/>
                                </w:tabs>
                                <w:spacing w:line="149" w:lineRule="exact" w:before="0"/>
                                <w:ind w:left="240" w:right="0" w:hanging="145"/>
                                <w:jc w:val="left"/>
                                <w:rPr>
                                  <w:rFonts w:ascii="Arial MT"/>
                                  <w:color w:val="000000"/>
                                  <w:sz w:val="13"/>
                                </w:rPr>
                              </w:pPr>
                              <w:r>
                                <w:rPr>
                                  <w:rFonts w:ascii="Arial MT"/>
                                  <w:color w:val="231F20"/>
                                  <w:sz w:val="13"/>
                                </w:rPr>
                                <w:t>Distinct</w:t>
                              </w:r>
                              <w:r>
                                <w:rPr>
                                  <w:rFonts w:ascii="Arial MT"/>
                                  <w:color w:val="231F20"/>
                                  <w:spacing w:val="-2"/>
                                  <w:sz w:val="13"/>
                                </w:rPr>
                                <w:t> </w:t>
                              </w:r>
                              <w:r>
                                <w:rPr>
                                  <w:rFonts w:ascii="Arial MT"/>
                                  <w:color w:val="231F20"/>
                                  <w:sz w:val="13"/>
                                </w:rPr>
                                <w:t>fullness</w:t>
                              </w:r>
                              <w:r>
                                <w:rPr>
                                  <w:rFonts w:ascii="Arial MT"/>
                                  <w:color w:val="231F20"/>
                                  <w:spacing w:val="-1"/>
                                  <w:sz w:val="13"/>
                                </w:rPr>
                                <w:t> </w:t>
                              </w:r>
                              <w:r>
                                <w:rPr>
                                  <w:rFonts w:ascii="Arial MT"/>
                                  <w:color w:val="231F20"/>
                                  <w:sz w:val="13"/>
                                </w:rPr>
                                <w:t>or</w:t>
                              </w:r>
                              <w:r>
                                <w:rPr>
                                  <w:rFonts w:ascii="Arial MT"/>
                                  <w:color w:val="231F20"/>
                                  <w:spacing w:val="-2"/>
                                  <w:sz w:val="13"/>
                                </w:rPr>
                                <w:t> </w:t>
                              </w:r>
                              <w:r>
                                <w:rPr>
                                  <w:rFonts w:ascii="Arial MT"/>
                                  <w:color w:val="231F20"/>
                                  <w:sz w:val="13"/>
                                </w:rPr>
                                <w:t>bulging</w:t>
                              </w:r>
                              <w:r>
                                <w:rPr>
                                  <w:rFonts w:ascii="Arial MT"/>
                                  <w:color w:val="231F20"/>
                                  <w:spacing w:val="-1"/>
                                  <w:sz w:val="13"/>
                                </w:rPr>
                                <w:t> </w:t>
                              </w:r>
                              <w:r>
                                <w:rPr>
                                  <w:rFonts w:ascii="Arial MT"/>
                                  <w:color w:val="231F20"/>
                                  <w:sz w:val="13"/>
                                </w:rPr>
                                <w:t>of</w:t>
                              </w:r>
                              <w:r>
                                <w:rPr>
                                  <w:rFonts w:ascii="Arial MT"/>
                                  <w:color w:val="231F20"/>
                                  <w:spacing w:val="-1"/>
                                  <w:sz w:val="13"/>
                                </w:rPr>
                                <w:t> </w:t>
                              </w:r>
                              <w:r>
                                <w:rPr>
                                  <w:rFonts w:ascii="Arial MT"/>
                                  <w:color w:val="231F20"/>
                                  <w:sz w:val="13"/>
                                </w:rPr>
                                <w:t>the</w:t>
                              </w:r>
                              <w:r>
                                <w:rPr>
                                  <w:rFonts w:ascii="Arial MT"/>
                                  <w:color w:val="231F20"/>
                                  <w:spacing w:val="-4"/>
                                  <w:sz w:val="13"/>
                                </w:rPr>
                                <w:t> </w:t>
                              </w:r>
                              <w:r>
                                <w:rPr>
                                  <w:rFonts w:ascii="Arial MT"/>
                                  <w:color w:val="231F20"/>
                                  <w:spacing w:val="-5"/>
                                  <w:sz w:val="13"/>
                                </w:rPr>
                                <w:t>TM</w:t>
                              </w:r>
                            </w:p>
                          </w:txbxContent>
                        </wps:txbx>
                        <wps:bodyPr wrap="square" lIns="0" tIns="0" rIns="0" bIns="0" rtlCol="0">
                          <a:noAutofit/>
                        </wps:bodyPr>
                      </wps:wsp>
                      <wps:wsp>
                        <wps:cNvPr id="1584" name="Textbox 1584"/>
                        <wps:cNvSpPr txBox="1"/>
                        <wps:spPr>
                          <a:xfrm>
                            <a:off x="3372650" y="801761"/>
                            <a:ext cx="14859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5"/>
                                  <w:sz w:val="13"/>
                                </w:rPr>
                                <w:t>Yes</w:t>
                              </w:r>
                            </w:p>
                          </w:txbxContent>
                        </wps:txbx>
                        <wps:bodyPr wrap="square" lIns="0" tIns="0" rIns="0" bIns="0" rtlCol="0">
                          <a:noAutofit/>
                        </wps:bodyPr>
                      </wps:wsp>
                      <wps:wsp>
                        <wps:cNvPr id="1585" name="Textbox 1585"/>
                        <wps:cNvSpPr txBox="1"/>
                        <wps:spPr>
                          <a:xfrm>
                            <a:off x="5954" y="5954"/>
                            <a:ext cx="1397635" cy="535305"/>
                          </a:xfrm>
                          <a:prstGeom prst="rect">
                            <a:avLst/>
                          </a:prstGeom>
                          <a:solidFill>
                            <a:srgbClr val="D7EDDD"/>
                          </a:solidFill>
                          <a:ln w="11908">
                            <a:solidFill>
                              <a:srgbClr val="231F20"/>
                            </a:solidFill>
                            <a:prstDash val="solid"/>
                          </a:ln>
                        </wps:spPr>
                        <wps:txbx>
                          <w:txbxContent>
                            <w:p>
                              <w:pPr>
                                <w:spacing w:line="149" w:lineRule="exact" w:before="39"/>
                                <w:ind w:left="95" w:right="0" w:firstLine="0"/>
                                <w:jc w:val="left"/>
                                <w:rPr>
                                  <w:rFonts w:ascii="Arial MT"/>
                                  <w:color w:val="000000"/>
                                  <w:sz w:val="13"/>
                                </w:rPr>
                              </w:pPr>
                              <w:r>
                                <w:rPr>
                                  <w:rFonts w:ascii="Arial MT"/>
                                  <w:color w:val="231F20"/>
                                  <w:sz w:val="13"/>
                                </w:rPr>
                                <w:t>At</w:t>
                              </w:r>
                              <w:r>
                                <w:rPr>
                                  <w:rFonts w:ascii="Arial MT"/>
                                  <w:color w:val="231F20"/>
                                  <w:spacing w:val="-1"/>
                                  <w:sz w:val="13"/>
                                </w:rPr>
                                <w:t> </w:t>
                              </w:r>
                              <w:r>
                                <w:rPr>
                                  <w:rFonts w:ascii="Arial MT"/>
                                  <w:color w:val="231F20"/>
                                  <w:sz w:val="13"/>
                                </w:rPr>
                                <w:t>least</w:t>
                              </w:r>
                              <w:r>
                                <w:rPr>
                                  <w:rFonts w:ascii="Arial MT"/>
                                  <w:color w:val="231F20"/>
                                  <w:spacing w:val="-1"/>
                                  <w:sz w:val="13"/>
                                </w:rPr>
                                <w:t> </w:t>
                              </w:r>
                              <w:r>
                                <w:rPr>
                                  <w:rFonts w:ascii="Arial MT"/>
                                  <w:color w:val="231F20"/>
                                  <w:sz w:val="13"/>
                                </w:rPr>
                                <w:t>two </w:t>
                              </w:r>
                              <w:r>
                                <w:rPr>
                                  <w:rFonts w:ascii="Arial MT"/>
                                  <w:color w:val="231F20"/>
                                  <w:spacing w:val="-5"/>
                                  <w:sz w:val="13"/>
                                </w:rPr>
                                <w:t>of:</w:t>
                              </w:r>
                            </w:p>
                            <w:p>
                              <w:pPr>
                                <w:numPr>
                                  <w:ilvl w:val="0"/>
                                  <w:numId w:val="108"/>
                                </w:numPr>
                                <w:tabs>
                                  <w:tab w:pos="233" w:val="left" w:leader="none"/>
                                </w:tabs>
                                <w:spacing w:line="148" w:lineRule="exact" w:before="0"/>
                                <w:ind w:left="233" w:right="0" w:hanging="138"/>
                                <w:jc w:val="left"/>
                                <w:rPr>
                                  <w:rFonts w:ascii="Arial MT"/>
                                  <w:color w:val="000000"/>
                                  <w:sz w:val="13"/>
                                </w:rPr>
                              </w:pPr>
                              <w:r>
                                <w:rPr>
                                  <w:rFonts w:ascii="Arial MT"/>
                                  <w:color w:val="231F20"/>
                                  <w:sz w:val="13"/>
                                </w:rPr>
                                <w:t>Abnormal</w:t>
                              </w:r>
                              <w:r>
                                <w:rPr>
                                  <w:rFonts w:ascii="Arial MT"/>
                                  <w:color w:val="231F20"/>
                                  <w:spacing w:val="-7"/>
                                  <w:sz w:val="13"/>
                                </w:rPr>
                                <w:t> </w:t>
                              </w:r>
                              <w:r>
                                <w:rPr>
                                  <w:rFonts w:ascii="Arial MT"/>
                                  <w:color w:val="231F20"/>
                                  <w:sz w:val="13"/>
                                </w:rPr>
                                <w:t>TM</w:t>
                              </w:r>
                              <w:r>
                                <w:rPr>
                                  <w:rFonts w:ascii="Arial MT"/>
                                  <w:color w:val="231F20"/>
                                  <w:spacing w:val="-3"/>
                                  <w:sz w:val="13"/>
                                </w:rPr>
                                <w:t> </w:t>
                              </w:r>
                              <w:r>
                                <w:rPr>
                                  <w:rFonts w:ascii="Arial MT"/>
                                  <w:color w:val="231F20"/>
                                  <w:spacing w:val="-2"/>
                                  <w:sz w:val="13"/>
                                </w:rPr>
                                <w:t>color:</w:t>
                              </w:r>
                            </w:p>
                            <w:p>
                              <w:pPr>
                                <w:spacing w:line="148" w:lineRule="exact" w:before="0"/>
                                <w:ind w:left="241" w:right="0" w:firstLine="0"/>
                                <w:jc w:val="left"/>
                                <w:rPr>
                                  <w:rFonts w:ascii="Arial MT"/>
                                  <w:color w:val="000000"/>
                                  <w:sz w:val="13"/>
                                </w:rPr>
                              </w:pPr>
                              <w:r>
                                <w:rPr>
                                  <w:rFonts w:ascii="Arial MT"/>
                                  <w:color w:val="231F20"/>
                                  <w:sz w:val="13"/>
                                </w:rPr>
                                <w:t>white,</w:t>
                              </w:r>
                              <w:r>
                                <w:rPr>
                                  <w:rFonts w:ascii="Arial MT"/>
                                  <w:color w:val="231F20"/>
                                  <w:spacing w:val="-6"/>
                                  <w:sz w:val="13"/>
                                </w:rPr>
                                <w:t> </w:t>
                              </w:r>
                              <w:r>
                                <w:rPr>
                                  <w:rFonts w:ascii="Arial MT"/>
                                  <w:color w:val="231F20"/>
                                  <w:sz w:val="13"/>
                                </w:rPr>
                                <w:t>yellow,</w:t>
                              </w:r>
                              <w:r>
                                <w:rPr>
                                  <w:rFonts w:ascii="Arial MT"/>
                                  <w:color w:val="231F20"/>
                                  <w:spacing w:val="-5"/>
                                  <w:sz w:val="13"/>
                                </w:rPr>
                                <w:t> </w:t>
                              </w:r>
                              <w:r>
                                <w:rPr>
                                  <w:rFonts w:ascii="Arial MT"/>
                                  <w:color w:val="231F20"/>
                                  <w:sz w:val="13"/>
                                </w:rPr>
                                <w:t>amber,</w:t>
                              </w:r>
                              <w:r>
                                <w:rPr>
                                  <w:rFonts w:ascii="Arial MT"/>
                                  <w:color w:val="231F20"/>
                                  <w:spacing w:val="-5"/>
                                  <w:sz w:val="13"/>
                                </w:rPr>
                                <w:t> </w:t>
                              </w:r>
                              <w:r>
                                <w:rPr>
                                  <w:rFonts w:ascii="Arial MT"/>
                                  <w:color w:val="231F20"/>
                                  <w:sz w:val="13"/>
                                </w:rPr>
                                <w:t>or</w:t>
                              </w:r>
                              <w:r>
                                <w:rPr>
                                  <w:rFonts w:ascii="Arial MT"/>
                                  <w:color w:val="231F20"/>
                                  <w:spacing w:val="-5"/>
                                  <w:sz w:val="13"/>
                                </w:rPr>
                                <w:t> </w:t>
                              </w:r>
                              <w:r>
                                <w:rPr>
                                  <w:rFonts w:ascii="Arial MT"/>
                                  <w:color w:val="231F20"/>
                                  <w:spacing w:val="-4"/>
                                  <w:sz w:val="13"/>
                                </w:rPr>
                                <w:t>blue</w:t>
                              </w:r>
                            </w:p>
                            <w:p>
                              <w:pPr>
                                <w:numPr>
                                  <w:ilvl w:val="0"/>
                                  <w:numId w:val="108"/>
                                </w:numPr>
                                <w:tabs>
                                  <w:tab w:pos="240" w:val="left" w:leader="none"/>
                                </w:tabs>
                                <w:spacing w:line="148" w:lineRule="exact" w:before="0"/>
                                <w:ind w:left="240" w:right="0" w:hanging="145"/>
                                <w:jc w:val="left"/>
                                <w:rPr>
                                  <w:rFonts w:ascii="Arial MT"/>
                                  <w:color w:val="000000"/>
                                  <w:sz w:val="13"/>
                                </w:rPr>
                              </w:pPr>
                              <w:r>
                                <w:rPr>
                                  <w:rFonts w:ascii="Arial MT"/>
                                  <w:color w:val="231F20"/>
                                  <w:sz w:val="13"/>
                                </w:rPr>
                                <w:t>Opacification</w:t>
                              </w:r>
                              <w:r>
                                <w:rPr>
                                  <w:rFonts w:ascii="Arial MT"/>
                                  <w:color w:val="231F20"/>
                                  <w:spacing w:val="-4"/>
                                  <w:sz w:val="13"/>
                                </w:rPr>
                                <w:t> </w:t>
                              </w:r>
                              <w:r>
                                <w:rPr>
                                  <w:rFonts w:ascii="Arial MT"/>
                                  <w:color w:val="231F20"/>
                                  <w:sz w:val="13"/>
                                </w:rPr>
                                <w:t>not</w:t>
                              </w:r>
                              <w:r>
                                <w:rPr>
                                  <w:rFonts w:ascii="Arial MT"/>
                                  <w:color w:val="231F20"/>
                                  <w:spacing w:val="-4"/>
                                  <w:sz w:val="13"/>
                                </w:rPr>
                                <w:t> </w:t>
                              </w:r>
                              <w:r>
                                <w:rPr>
                                  <w:rFonts w:ascii="Arial MT"/>
                                  <w:color w:val="231F20"/>
                                  <w:sz w:val="13"/>
                                </w:rPr>
                                <w:t>due</w:t>
                              </w:r>
                              <w:r>
                                <w:rPr>
                                  <w:rFonts w:ascii="Arial MT"/>
                                  <w:color w:val="231F20"/>
                                  <w:spacing w:val="-4"/>
                                  <w:sz w:val="13"/>
                                </w:rPr>
                                <w:t> </w:t>
                              </w:r>
                              <w:r>
                                <w:rPr>
                                  <w:rFonts w:ascii="Arial MT"/>
                                  <w:color w:val="231F20"/>
                                  <w:sz w:val="13"/>
                                </w:rPr>
                                <w:t>to</w:t>
                              </w:r>
                              <w:r>
                                <w:rPr>
                                  <w:rFonts w:ascii="Arial MT"/>
                                  <w:color w:val="231F20"/>
                                  <w:spacing w:val="-3"/>
                                  <w:sz w:val="13"/>
                                </w:rPr>
                                <w:t> </w:t>
                              </w:r>
                              <w:r>
                                <w:rPr>
                                  <w:rFonts w:ascii="Arial MT"/>
                                  <w:color w:val="231F20"/>
                                  <w:spacing w:val="-2"/>
                                  <w:sz w:val="13"/>
                                </w:rPr>
                                <w:t>scarring</w:t>
                              </w:r>
                            </w:p>
                            <w:p>
                              <w:pPr>
                                <w:numPr>
                                  <w:ilvl w:val="0"/>
                                  <w:numId w:val="108"/>
                                </w:numPr>
                                <w:tabs>
                                  <w:tab w:pos="240" w:val="left" w:leader="none"/>
                                </w:tabs>
                                <w:spacing w:line="149" w:lineRule="exact" w:before="0"/>
                                <w:ind w:left="240" w:right="0" w:hanging="145"/>
                                <w:jc w:val="left"/>
                                <w:rPr>
                                  <w:rFonts w:ascii="Arial MT"/>
                                  <w:color w:val="000000"/>
                                  <w:sz w:val="13"/>
                                </w:rPr>
                              </w:pPr>
                              <w:r>
                                <w:rPr>
                                  <w:rFonts w:ascii="Arial MT"/>
                                  <w:color w:val="231F20"/>
                                  <w:sz w:val="13"/>
                                </w:rPr>
                                <w:t>Decreased</w:t>
                              </w:r>
                              <w:r>
                                <w:rPr>
                                  <w:rFonts w:ascii="Arial MT"/>
                                  <w:color w:val="231F20"/>
                                  <w:spacing w:val="-3"/>
                                  <w:sz w:val="13"/>
                                </w:rPr>
                                <w:t> </w:t>
                              </w:r>
                              <w:r>
                                <w:rPr>
                                  <w:rFonts w:ascii="Arial MT"/>
                                  <w:color w:val="231F20"/>
                                  <w:sz w:val="13"/>
                                </w:rPr>
                                <w:t>or</w:t>
                              </w:r>
                              <w:r>
                                <w:rPr>
                                  <w:rFonts w:ascii="Arial MT"/>
                                  <w:color w:val="231F20"/>
                                  <w:spacing w:val="-3"/>
                                  <w:sz w:val="13"/>
                                </w:rPr>
                                <w:t> </w:t>
                              </w:r>
                              <w:r>
                                <w:rPr>
                                  <w:rFonts w:ascii="Arial MT"/>
                                  <w:color w:val="231F20"/>
                                  <w:sz w:val="13"/>
                                </w:rPr>
                                <w:t>absent</w:t>
                              </w:r>
                              <w:r>
                                <w:rPr>
                                  <w:rFonts w:ascii="Arial MT"/>
                                  <w:color w:val="231F20"/>
                                  <w:spacing w:val="-2"/>
                                  <w:sz w:val="13"/>
                                </w:rPr>
                                <w:t> mobility</w:t>
                              </w:r>
                            </w:p>
                          </w:txbxContent>
                        </wps:txbx>
                        <wps:bodyPr wrap="square" lIns="0" tIns="0" rIns="0" bIns="0" rtlCol="0">
                          <a:noAutofit/>
                        </wps:bodyPr>
                      </wps:wsp>
                      <wps:wsp>
                        <wps:cNvPr id="1586" name="Textbox 1586"/>
                        <wps:cNvSpPr txBox="1"/>
                        <wps:spPr>
                          <a:xfrm>
                            <a:off x="1625892" y="5957"/>
                            <a:ext cx="1210310" cy="247015"/>
                          </a:xfrm>
                          <a:prstGeom prst="rect">
                            <a:avLst/>
                          </a:prstGeom>
                          <a:solidFill>
                            <a:srgbClr val="D7EDDD"/>
                          </a:solidFill>
                          <a:ln w="11908">
                            <a:solidFill>
                              <a:srgbClr val="231F20"/>
                            </a:solidFill>
                            <a:prstDash val="solid"/>
                          </a:ln>
                        </wps:spPr>
                        <wps:txbx>
                          <w:txbxContent>
                            <w:p>
                              <w:pPr>
                                <w:spacing w:before="39"/>
                                <w:ind w:left="95" w:right="67" w:firstLine="0"/>
                                <w:jc w:val="left"/>
                                <w:rPr>
                                  <w:rFonts w:ascii="Arial MT" w:hAnsi="Arial MT"/>
                                  <w:color w:val="000000"/>
                                  <w:sz w:val="13"/>
                                </w:rPr>
                              </w:pPr>
                              <w:r>
                                <w:rPr>
                                  <w:rFonts w:ascii="Arial MT" w:hAnsi="Arial MT"/>
                                  <w:color w:val="231F20"/>
                                  <w:sz w:val="13"/>
                                </w:rPr>
                                <w:t>Bubbles</w:t>
                              </w:r>
                              <w:r>
                                <w:rPr>
                                  <w:rFonts w:ascii="Arial MT" w:hAnsi="Arial MT"/>
                                  <w:color w:val="231F20"/>
                                  <w:spacing w:val="-10"/>
                                  <w:sz w:val="13"/>
                                </w:rPr>
                                <w:t> </w:t>
                              </w:r>
                              <w:r>
                                <w:rPr>
                                  <w:rFonts w:ascii="Arial MT" w:hAnsi="Arial MT"/>
                                  <w:color w:val="231F20"/>
                                  <w:sz w:val="13"/>
                                </w:rPr>
                                <w:t>or</w:t>
                              </w:r>
                              <w:r>
                                <w:rPr>
                                  <w:rFonts w:ascii="Arial MT" w:hAnsi="Arial MT"/>
                                  <w:color w:val="231F20"/>
                                  <w:spacing w:val="-9"/>
                                  <w:sz w:val="13"/>
                                </w:rPr>
                                <w:t> </w:t>
                              </w:r>
                              <w:r>
                                <w:rPr>
                                  <w:rFonts w:ascii="Arial MT" w:hAnsi="Arial MT"/>
                                  <w:color w:val="231F20"/>
                                  <w:sz w:val="13"/>
                                </w:rPr>
                                <w:t>air–fluid</w:t>
                              </w:r>
                              <w:r>
                                <w:rPr>
                                  <w:rFonts w:ascii="Arial MT" w:hAnsi="Arial MT"/>
                                  <w:color w:val="231F20"/>
                                  <w:spacing w:val="-9"/>
                                  <w:sz w:val="13"/>
                                </w:rPr>
                                <w:t> </w:t>
                              </w:r>
                              <w:r>
                                <w:rPr>
                                  <w:rFonts w:ascii="Arial MT" w:hAnsi="Arial MT"/>
                                  <w:color w:val="231F20"/>
                                  <w:sz w:val="13"/>
                                </w:rPr>
                                <w:t>interfaces</w:t>
                              </w:r>
                              <w:r>
                                <w:rPr>
                                  <w:rFonts w:ascii="Arial MT" w:hAnsi="Arial MT"/>
                                  <w:color w:val="231F20"/>
                                  <w:spacing w:val="40"/>
                                  <w:sz w:val="13"/>
                                </w:rPr>
                                <w:t> </w:t>
                              </w:r>
                              <w:r>
                                <w:rPr>
                                  <w:rFonts w:ascii="Arial MT" w:hAnsi="Arial MT"/>
                                  <w:color w:val="231F20"/>
                                  <w:sz w:val="13"/>
                                </w:rPr>
                                <w:t>behind the TM</w:t>
                              </w:r>
                            </w:p>
                          </w:txbxContent>
                        </wps:txbx>
                        <wps:bodyPr wrap="square" lIns="0" tIns="0" rIns="0" bIns="0" rtlCol="0">
                          <a:noAutofit/>
                        </wps:bodyPr>
                      </wps:wsp>
                      <wps:wsp>
                        <wps:cNvPr id="1587" name="Textbox 1587"/>
                        <wps:cNvSpPr txBox="1"/>
                        <wps:spPr>
                          <a:xfrm>
                            <a:off x="1841924" y="579058"/>
                            <a:ext cx="14859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5"/>
                                  <w:sz w:val="13"/>
                                </w:rPr>
                                <w:t>Yes</w:t>
                              </w:r>
                            </w:p>
                          </w:txbxContent>
                        </wps:txbx>
                        <wps:bodyPr wrap="square" lIns="0" tIns="0" rIns="0" bIns="0" rtlCol="0">
                          <a:noAutofit/>
                        </wps:bodyPr>
                      </wps:wsp>
                      <wps:wsp>
                        <wps:cNvPr id="1588" name="Textbox 1588"/>
                        <wps:cNvSpPr txBox="1"/>
                        <wps:spPr>
                          <a:xfrm>
                            <a:off x="1084067" y="579140"/>
                            <a:ext cx="148590" cy="83185"/>
                          </a:xfrm>
                          <a:prstGeom prst="rect">
                            <a:avLst/>
                          </a:prstGeom>
                        </wps:spPr>
                        <wps:txbx>
                          <w:txbxContent>
                            <w:p>
                              <w:pPr>
                                <w:spacing w:line="128" w:lineRule="exact" w:before="0"/>
                                <w:ind w:left="0" w:right="0" w:firstLine="0"/>
                                <w:jc w:val="left"/>
                                <w:rPr>
                                  <w:rFonts w:ascii="Arial MT"/>
                                  <w:sz w:val="13"/>
                                </w:rPr>
                              </w:pPr>
                              <w:r>
                                <w:rPr>
                                  <w:rFonts w:ascii="Arial MT"/>
                                  <w:color w:val="231F20"/>
                                  <w:spacing w:val="-5"/>
                                  <w:sz w:val="13"/>
                                </w:rPr>
                                <w:t>Yes</w:t>
                              </w:r>
                            </w:p>
                          </w:txbxContent>
                        </wps:txbx>
                        <wps:bodyPr wrap="square" lIns="0" tIns="0" rIns="0" bIns="0" rtlCol="0">
                          <a:noAutofit/>
                        </wps:bodyPr>
                      </wps:wsp>
                    </wpg:wgp>
                  </a:graphicData>
                </a:graphic>
              </wp:anchor>
            </w:drawing>
          </mc:Choice>
          <mc:Fallback>
            <w:pict>
              <v:group style="position:absolute;margin-left:43.85836pt;margin-top:-7.291188pt;width:311.2pt;height:190.6pt;mso-position-horizontal-relative:page;mso-position-vertical-relative:paragraph;z-index:-28054528" id="docshapegroup1241" coordorigin="877,-146" coordsize="6224,3812">
                <v:shape style="position:absolute;left:2109;top:251;width:2442;height:2915" id="docshape1242" coordorigin="2109,251" coordsize="2442,2915" path="m2109,251l2109,821,4475,821,4475,251m2117,3166l2117,1632,4551,1632,4551,1776e" filled="false" stroked="true" strokeweight=".937679pt" strokecolor="#231f20">
                  <v:path arrowok="t"/>
                  <v:stroke dashstyle="solid"/>
                </v:shape>
                <v:shape style="position:absolute;left:2056;top:1732;width:2556;height:1540" id="docshape1243" coordorigin="2056,1732" coordsize="2556,1540" path="m2178,3122l2117,3158,2056,3122,2117,3271,2178,3122xm4612,1732l4551,1768,4490,1732,4551,1882,4612,1732xe" filled="true" fillcolor="#231f20" stroked="false">
                  <v:path arrowok="t"/>
                  <v:fill type="solid"/>
                </v:shape>
                <v:line style="position:absolute" from="3323,821" to="3323,932" stroked="true" strokeweight=".937679pt" strokecolor="#231f20">
                  <v:stroke dashstyle="solid"/>
                </v:line>
                <v:shape style="position:absolute;left:3262;top:889;width:122;height:150" id="docshape1244" coordorigin="3262,889" coordsize="122,150" path="m3384,889l3323,925,3262,889,3323,1038,3384,889xe" filled="true" fillcolor="#231f20" stroked="false">
                  <v:path arrowok="t"/>
                  <v:fill type="solid"/>
                </v:shape>
                <v:shape style="position:absolute;left:5294;top:251;width:1005;height:3216" id="docshape1245" coordorigin="5295,251" coordsize="1005,3216" path="m5295,3467l6299,3467,6299,251e" filled="false" stroked="true" strokeweight=".937679pt" strokecolor="#231f20">
                  <v:path arrowok="t"/>
                  <v:stroke dashstyle="solid"/>
                </v:shape>
                <v:shape style="position:absolute;left:5188;top:3405;width:150;height:122" id="docshape1246" coordorigin="5189,3406" coordsize="150,122" path="m5338,3406l5189,3467,5338,3528,5303,3467,5338,3406xe" filled="true" fillcolor="#231f20" stroked="false">
                  <v:path arrowok="t"/>
                  <v:fill type="solid"/>
                </v:shape>
                <v:shape style="position:absolute;left:4545;top:2857;width:2;height:319" id="docshape1247" coordorigin="4545,2858" coordsize="0,319" path="m4545,2858l4545,2940m4545,3060l4545,3176e" filled="false" stroked="true" strokeweight=".937679pt" strokecolor="#231f20">
                  <v:path arrowok="t"/>
                  <v:stroke dashstyle="solid"/>
                </v:shape>
                <v:shape style="position:absolute;left:4484;top:3133;width:122;height:150" id="docshape1248" coordorigin="4484,3133" coordsize="122,150" path="m4606,3133l4545,3169,4484,3133,4545,3282,4606,3133xe" filled="true" fillcolor="#231f20" stroked="false">
                  <v:path arrowok="t"/>
                  <v:fill type="solid"/>
                </v:shape>
                <v:shape style="position:absolute;left:2288;top:755;width:4160;height:2305" id="docshape1249" coordorigin="2289,755" coordsize="4160,2305" path="m2844,755l2557,755,2557,876,2844,876,2844,755xm3142,1577l2289,1577,2289,1697,3142,1697,3142,1577xm4038,755l3751,755,3751,876,4038,876,4038,755xm4377,1577l3524,1577,3524,1697,4377,1697,4377,1577xm4690,2940l4403,2940,4403,3060,4690,3060,4690,2940xm6448,1106l6161,1106,6161,1226,6448,1226,6448,1106xe" filled="true" fillcolor="#ffffff" stroked="false">
                  <v:path arrowok="t"/>
                  <v:fill type="solid"/>
                </v:shape>
                <v:shape style="position:absolute;left:3600;top:1500;width:761;height:279" type="#_x0000_t202" id="docshape1250" filled="false" stroked="false">
                  <v:textbox inset="0,0,0,0">
                    <w:txbxContent>
                      <w:p>
                        <w:pPr>
                          <w:spacing w:line="127" w:lineRule="exact" w:before="0"/>
                          <w:ind w:left="428" w:right="0" w:firstLine="0"/>
                          <w:jc w:val="left"/>
                          <w:rPr>
                            <w:rFonts w:ascii="Arial MT"/>
                            <w:sz w:val="13"/>
                          </w:rPr>
                        </w:pPr>
                        <w:r>
                          <w:rPr>
                            <w:rFonts w:ascii="Arial MT"/>
                            <w:color w:val="231F20"/>
                            <w:spacing w:val="-5"/>
                            <w:sz w:val="13"/>
                          </w:rPr>
                          <w:t>te</w:t>
                        </w:r>
                      </w:p>
                      <w:p>
                        <w:pPr>
                          <w:spacing w:line="149" w:lineRule="exact" w:before="0"/>
                          <w:ind w:left="0" w:right="0" w:firstLine="0"/>
                          <w:jc w:val="left"/>
                          <w:rPr>
                            <w:rFonts w:ascii="Arial MT"/>
                            <w:sz w:val="13"/>
                          </w:rPr>
                        </w:pPr>
                        <w:r>
                          <w:rPr>
                            <w:rFonts w:ascii="Arial MT"/>
                            <w:color w:val="231F20"/>
                            <w:spacing w:val="-2"/>
                            <w:sz w:val="13"/>
                          </w:rPr>
                          <w:t>inflammation</w:t>
                        </w:r>
                      </w:p>
                    </w:txbxContent>
                  </v:textbox>
                  <w10:wrap type="none"/>
                </v:shape>
                <v:shape style="position:absolute;left:2365;top:1500;width:761;height:279" type="#_x0000_t202" id="docshape1251" filled="false" stroked="false">
                  <v:textbox inset="0,0,0,0">
                    <w:txbxContent>
                      <w:p>
                        <w:pPr>
                          <w:spacing w:line="127" w:lineRule="exact" w:before="0"/>
                          <w:ind w:left="108" w:right="0" w:firstLine="0"/>
                          <w:jc w:val="left"/>
                          <w:rPr>
                            <w:rFonts w:ascii="Arial MT"/>
                            <w:sz w:val="13"/>
                          </w:rPr>
                        </w:pPr>
                        <w:r>
                          <w:rPr>
                            <w:rFonts w:ascii="Arial MT"/>
                            <w:color w:val="231F20"/>
                            <w:spacing w:val="-5"/>
                            <w:sz w:val="13"/>
                          </w:rPr>
                          <w:t>No</w:t>
                        </w:r>
                      </w:p>
                      <w:p>
                        <w:pPr>
                          <w:spacing w:line="149" w:lineRule="exact" w:before="0"/>
                          <w:ind w:left="0" w:right="0" w:firstLine="0"/>
                          <w:jc w:val="left"/>
                          <w:rPr>
                            <w:rFonts w:ascii="Arial MT"/>
                            <w:sz w:val="13"/>
                          </w:rPr>
                        </w:pPr>
                        <w:r>
                          <w:rPr>
                            <w:rFonts w:ascii="Arial MT"/>
                            <w:color w:val="231F20"/>
                            <w:spacing w:val="-2"/>
                            <w:sz w:val="13"/>
                          </w:rPr>
                          <w:t>inflammation</w:t>
                        </w:r>
                      </w:p>
                    </w:txbxContent>
                  </v:textbox>
                  <w10:wrap type="none"/>
                </v:shape>
                <v:shape style="position:absolute;left:4430;top:2950;width:234;height:131" type="#_x0000_t202" id="docshape1252" filled="false" stroked="false">
                  <v:textbox inset="0,0,0,0">
                    <w:txbxContent>
                      <w:p>
                        <w:pPr>
                          <w:spacing w:line="128" w:lineRule="exact" w:before="0"/>
                          <w:ind w:left="0" w:right="0" w:firstLine="0"/>
                          <w:jc w:val="left"/>
                          <w:rPr>
                            <w:rFonts w:ascii="Arial MT"/>
                            <w:sz w:val="13"/>
                          </w:rPr>
                        </w:pPr>
                        <w:r>
                          <w:rPr>
                            <w:rFonts w:ascii="Arial MT"/>
                            <w:color w:val="231F20"/>
                            <w:spacing w:val="-5"/>
                            <w:sz w:val="13"/>
                          </w:rPr>
                          <w:t>Yes</w:t>
                        </w:r>
                      </w:p>
                    </w:txbxContent>
                  </v:textbox>
                  <w10:wrap type="none"/>
                </v:shape>
                <v:shape style="position:absolute;left:1275;top:3268;width:1684;height:389" type="#_x0000_t202" id="docshape1253" filled="true" fillcolor="#d7eddd" stroked="true" strokeweight=".937679pt" strokecolor="#231f20">
                  <v:textbox inset="0,0,0,0">
                    <w:txbxContent>
                      <w:p>
                        <w:pPr>
                          <w:spacing w:before="40"/>
                          <w:ind w:left="635" w:right="111" w:hanging="534"/>
                          <w:jc w:val="left"/>
                          <w:rPr>
                            <w:rFonts w:ascii="Arial MT"/>
                            <w:color w:val="000000"/>
                            <w:sz w:val="13"/>
                          </w:rPr>
                        </w:pPr>
                        <w:r>
                          <w:rPr>
                            <w:rFonts w:ascii="Arial MT"/>
                            <w:color w:val="231F20"/>
                            <w:sz w:val="13"/>
                          </w:rPr>
                          <w:t>Otitis</w:t>
                        </w:r>
                        <w:r>
                          <w:rPr>
                            <w:rFonts w:ascii="Arial MT"/>
                            <w:color w:val="231F20"/>
                            <w:spacing w:val="-10"/>
                            <w:sz w:val="13"/>
                          </w:rPr>
                          <w:t> </w:t>
                        </w:r>
                        <w:r>
                          <w:rPr>
                            <w:rFonts w:ascii="Arial MT"/>
                            <w:color w:val="231F20"/>
                            <w:sz w:val="13"/>
                          </w:rPr>
                          <w:t>media</w:t>
                        </w:r>
                        <w:r>
                          <w:rPr>
                            <w:rFonts w:ascii="Arial MT"/>
                            <w:color w:val="231F20"/>
                            <w:spacing w:val="-9"/>
                            <w:sz w:val="13"/>
                          </w:rPr>
                          <w:t> </w:t>
                        </w:r>
                        <w:r>
                          <w:rPr>
                            <w:rFonts w:ascii="Arial MT"/>
                            <w:color w:val="231F20"/>
                            <w:sz w:val="13"/>
                          </w:rPr>
                          <w:t>with</w:t>
                        </w:r>
                        <w:r>
                          <w:rPr>
                            <w:rFonts w:ascii="Arial MT"/>
                            <w:color w:val="231F20"/>
                            <w:spacing w:val="-9"/>
                            <w:sz w:val="13"/>
                          </w:rPr>
                          <w:t> </w:t>
                        </w:r>
                        <w:r>
                          <w:rPr>
                            <w:rFonts w:ascii="Arial MT"/>
                            <w:color w:val="231F20"/>
                            <w:sz w:val="13"/>
                          </w:rPr>
                          <w:t>effusion</w:t>
                        </w:r>
                        <w:r>
                          <w:rPr>
                            <w:rFonts w:ascii="Arial MT"/>
                            <w:color w:val="231F20"/>
                            <w:spacing w:val="40"/>
                            <w:sz w:val="13"/>
                          </w:rPr>
                          <w:t> </w:t>
                        </w:r>
                        <w:r>
                          <w:rPr>
                            <w:rFonts w:ascii="Arial MT"/>
                            <w:color w:val="231F20"/>
                            <w:spacing w:val="-2"/>
                            <w:sz w:val="13"/>
                          </w:rPr>
                          <w:t>(OME)</w:t>
                        </w:r>
                      </w:p>
                    </w:txbxContent>
                  </v:textbox>
                  <v:fill type="solid"/>
                  <v:stroke dashstyle="solid"/>
                  <w10:wrap type="none"/>
                </v:shape>
                <v:shape style="position:absolute;left:3909;top:3268;width:1293;height:389" type="#_x0000_t202" id="docshape1254" filled="true" fillcolor="#d7eddd" stroked="true" strokeweight=".937679pt" strokecolor="#231f20">
                  <v:textbox inset="0,0,0,0">
                    <w:txbxContent>
                      <w:p>
                        <w:pPr>
                          <w:spacing w:before="40"/>
                          <w:ind w:left="441" w:right="124" w:hanging="326"/>
                          <w:jc w:val="left"/>
                          <w:rPr>
                            <w:rFonts w:ascii="Arial MT"/>
                            <w:color w:val="000000"/>
                            <w:sz w:val="13"/>
                          </w:rPr>
                        </w:pPr>
                        <w:r>
                          <w:rPr>
                            <w:rFonts w:ascii="Arial MT"/>
                            <w:color w:val="231F20"/>
                            <w:sz w:val="13"/>
                          </w:rPr>
                          <w:t>Acute</w:t>
                        </w:r>
                        <w:r>
                          <w:rPr>
                            <w:rFonts w:ascii="Arial MT"/>
                            <w:color w:val="231F20"/>
                            <w:spacing w:val="-10"/>
                            <w:sz w:val="13"/>
                          </w:rPr>
                          <w:t> </w:t>
                        </w:r>
                        <w:r>
                          <w:rPr>
                            <w:rFonts w:ascii="Arial MT"/>
                            <w:color w:val="231F20"/>
                            <w:sz w:val="13"/>
                          </w:rPr>
                          <w:t>otitis</w:t>
                        </w:r>
                        <w:r>
                          <w:rPr>
                            <w:rFonts w:ascii="Arial MT"/>
                            <w:color w:val="231F20"/>
                            <w:spacing w:val="-9"/>
                            <w:sz w:val="13"/>
                          </w:rPr>
                          <w:t> </w:t>
                        </w:r>
                        <w:r>
                          <w:rPr>
                            <w:rFonts w:ascii="Arial MT"/>
                            <w:color w:val="231F20"/>
                            <w:sz w:val="13"/>
                          </w:rPr>
                          <w:t>media</w:t>
                        </w:r>
                        <w:r>
                          <w:rPr>
                            <w:rFonts w:ascii="Arial MT"/>
                            <w:color w:val="231F20"/>
                            <w:spacing w:val="40"/>
                            <w:sz w:val="13"/>
                          </w:rPr>
                          <w:t> </w:t>
                        </w:r>
                        <w:r>
                          <w:rPr>
                            <w:rFonts w:ascii="Arial MT"/>
                            <w:color w:val="231F20"/>
                            <w:spacing w:val="-2"/>
                            <w:sz w:val="13"/>
                          </w:rPr>
                          <w:t>(AOM)</w:t>
                        </w:r>
                      </w:p>
                    </w:txbxContent>
                  </v:textbox>
                  <v:fill type="solid"/>
                  <v:stroke dashstyle="solid"/>
                  <w10:wrap type="none"/>
                </v:shape>
                <v:shape style="position:absolute;left:5503;top:-137;width:1588;height:389" type="#_x0000_t202" id="docshape1255" filled="true" fillcolor="#d7eddd" stroked="true" strokeweight=".937679pt" strokecolor="#231f20">
                  <v:textbox inset="0,0,0,0">
                    <w:txbxContent>
                      <w:p>
                        <w:pPr>
                          <w:spacing w:before="40"/>
                          <w:ind w:left="95" w:right="106" w:firstLine="0"/>
                          <w:jc w:val="left"/>
                          <w:rPr>
                            <w:rFonts w:ascii="Arial MT"/>
                            <w:color w:val="000000"/>
                            <w:sz w:val="13"/>
                          </w:rPr>
                        </w:pPr>
                        <w:r>
                          <w:rPr>
                            <w:rFonts w:ascii="Arial MT"/>
                            <w:color w:val="231F20"/>
                            <w:sz w:val="13"/>
                          </w:rPr>
                          <w:t>Acute</w:t>
                        </w:r>
                        <w:r>
                          <w:rPr>
                            <w:rFonts w:ascii="Arial MT"/>
                            <w:color w:val="231F20"/>
                            <w:spacing w:val="-10"/>
                            <w:sz w:val="13"/>
                          </w:rPr>
                          <w:t> </w:t>
                        </w:r>
                        <w:r>
                          <w:rPr>
                            <w:rFonts w:ascii="Arial MT"/>
                            <w:color w:val="231F20"/>
                            <w:sz w:val="13"/>
                          </w:rPr>
                          <w:t>purulent</w:t>
                        </w:r>
                        <w:r>
                          <w:rPr>
                            <w:rFonts w:ascii="Arial MT"/>
                            <w:color w:val="231F20"/>
                            <w:spacing w:val="-9"/>
                            <w:sz w:val="13"/>
                          </w:rPr>
                          <w:t> </w:t>
                        </w:r>
                        <w:r>
                          <w:rPr>
                            <w:rFonts w:ascii="Arial MT"/>
                            <w:color w:val="231F20"/>
                            <w:sz w:val="13"/>
                          </w:rPr>
                          <w:t>otorrhea</w:t>
                        </w:r>
                        <w:r>
                          <w:rPr>
                            <w:rFonts w:ascii="Arial MT"/>
                            <w:color w:val="231F20"/>
                            <w:spacing w:val="40"/>
                            <w:sz w:val="13"/>
                          </w:rPr>
                          <w:t> </w:t>
                        </w:r>
                        <w:r>
                          <w:rPr>
                            <w:rFonts w:ascii="Arial MT"/>
                            <w:color w:val="231F20"/>
                            <w:sz w:val="13"/>
                          </w:rPr>
                          <w:t>not</w:t>
                        </w:r>
                        <w:r>
                          <w:rPr>
                            <w:rFonts w:ascii="Arial MT"/>
                            <w:color w:val="231F20"/>
                            <w:spacing w:val="-1"/>
                            <w:sz w:val="13"/>
                          </w:rPr>
                          <w:t> </w:t>
                        </w:r>
                        <w:r>
                          <w:rPr>
                            <w:rFonts w:ascii="Arial MT"/>
                            <w:color w:val="231F20"/>
                            <w:sz w:val="13"/>
                          </w:rPr>
                          <w:t>due</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otitis </w:t>
                        </w:r>
                        <w:r>
                          <w:rPr>
                            <w:rFonts w:ascii="Arial MT"/>
                            <w:color w:val="231F20"/>
                            <w:spacing w:val="-2"/>
                            <w:sz w:val="13"/>
                          </w:rPr>
                          <w:t>externa</w:t>
                        </w:r>
                      </w:p>
                    </w:txbxContent>
                  </v:textbox>
                  <v:fill type="solid"/>
                  <v:stroke dashstyle="solid"/>
                  <w10:wrap type="none"/>
                </v:shape>
                <v:shape style="position:absolute;left:3296;top:1856;width:2463;height:1001" type="#_x0000_t202" id="docshape1256" filled="true" fillcolor="#d7eddd" stroked="true" strokeweight=".937679pt" strokecolor="#231f20">
                  <v:textbox inset="0,0,0,0">
                    <w:txbxContent>
                      <w:p>
                        <w:pPr>
                          <w:spacing w:line="149" w:lineRule="exact" w:before="39"/>
                          <w:ind w:left="95" w:right="0" w:firstLine="0"/>
                          <w:jc w:val="left"/>
                          <w:rPr>
                            <w:rFonts w:ascii="Arial MT"/>
                            <w:color w:val="000000"/>
                            <w:sz w:val="13"/>
                          </w:rPr>
                        </w:pPr>
                        <w:r>
                          <w:rPr>
                            <w:rFonts w:ascii="Arial MT"/>
                            <w:color w:val="231F20"/>
                            <w:sz w:val="13"/>
                          </w:rPr>
                          <w:t>At</w:t>
                        </w:r>
                        <w:r>
                          <w:rPr>
                            <w:rFonts w:ascii="Arial MT"/>
                            <w:color w:val="231F20"/>
                            <w:spacing w:val="-1"/>
                            <w:sz w:val="13"/>
                          </w:rPr>
                          <w:t> </w:t>
                        </w:r>
                        <w:r>
                          <w:rPr>
                            <w:rFonts w:ascii="Arial MT"/>
                            <w:color w:val="231F20"/>
                            <w:sz w:val="13"/>
                          </w:rPr>
                          <w:t>least</w:t>
                        </w:r>
                        <w:r>
                          <w:rPr>
                            <w:rFonts w:ascii="Arial MT"/>
                            <w:color w:val="231F20"/>
                            <w:spacing w:val="-1"/>
                            <w:sz w:val="13"/>
                          </w:rPr>
                          <w:t> </w:t>
                        </w:r>
                        <w:r>
                          <w:rPr>
                            <w:rFonts w:ascii="Arial MT"/>
                            <w:color w:val="231F20"/>
                            <w:sz w:val="13"/>
                          </w:rPr>
                          <w:t>one </w:t>
                        </w:r>
                        <w:r>
                          <w:rPr>
                            <w:rFonts w:ascii="Arial MT"/>
                            <w:color w:val="231F20"/>
                            <w:spacing w:val="-5"/>
                            <w:sz w:val="13"/>
                          </w:rPr>
                          <w:t>of:</w:t>
                        </w:r>
                      </w:p>
                      <w:p>
                        <w:pPr>
                          <w:numPr>
                            <w:ilvl w:val="0"/>
                            <w:numId w:val="107"/>
                          </w:numPr>
                          <w:tabs>
                            <w:tab w:pos="241" w:val="left" w:leader="none"/>
                          </w:tabs>
                          <w:spacing w:before="0"/>
                          <w:ind w:left="241" w:right="458" w:hanging="146"/>
                          <w:jc w:val="left"/>
                          <w:rPr>
                            <w:rFonts w:ascii="Arial MT"/>
                            <w:color w:val="000000"/>
                            <w:sz w:val="13"/>
                          </w:rPr>
                        </w:pPr>
                        <w:r>
                          <w:rPr>
                            <w:rFonts w:ascii="Arial MT"/>
                            <w:color w:val="231F20"/>
                            <w:sz w:val="13"/>
                          </w:rPr>
                          <w:t>Substantial</w:t>
                        </w:r>
                        <w:r>
                          <w:rPr>
                            <w:rFonts w:ascii="Arial MT"/>
                            <w:color w:val="231F20"/>
                            <w:spacing w:val="-10"/>
                            <w:sz w:val="13"/>
                          </w:rPr>
                          <w:t> </w:t>
                        </w:r>
                        <w:r>
                          <w:rPr>
                            <w:rFonts w:ascii="Arial MT"/>
                            <w:color w:val="231F20"/>
                            <w:sz w:val="13"/>
                          </w:rPr>
                          <w:t>ear</w:t>
                        </w:r>
                        <w:r>
                          <w:rPr>
                            <w:rFonts w:ascii="Arial MT"/>
                            <w:color w:val="231F20"/>
                            <w:spacing w:val="-9"/>
                            <w:sz w:val="13"/>
                          </w:rPr>
                          <w:t> </w:t>
                        </w:r>
                        <w:r>
                          <w:rPr>
                            <w:rFonts w:ascii="Arial MT"/>
                            <w:color w:val="231F20"/>
                            <w:sz w:val="13"/>
                          </w:rPr>
                          <w:t>pain,</w:t>
                        </w:r>
                        <w:r>
                          <w:rPr>
                            <w:rFonts w:ascii="Arial MT"/>
                            <w:color w:val="231F20"/>
                            <w:spacing w:val="-9"/>
                            <w:sz w:val="13"/>
                          </w:rPr>
                          <w:t> </w:t>
                        </w:r>
                        <w:r>
                          <w:rPr>
                            <w:rFonts w:ascii="Arial MT"/>
                            <w:color w:val="231F20"/>
                            <w:sz w:val="13"/>
                          </w:rPr>
                          <w:t>including</w:t>
                        </w:r>
                        <w:r>
                          <w:rPr>
                            <w:rFonts w:ascii="Arial MT"/>
                            <w:color w:val="231F20"/>
                            <w:spacing w:val="40"/>
                            <w:sz w:val="13"/>
                          </w:rPr>
                          <w:t> </w:t>
                        </w:r>
                        <w:r>
                          <w:rPr>
                            <w:rFonts w:ascii="Arial MT"/>
                            <w:color w:val="231F20"/>
                            <w:sz w:val="13"/>
                          </w:rPr>
                          <w:t>unaccustomed tugging or</w:t>
                        </w:r>
                        <w:r>
                          <w:rPr>
                            <w:rFonts w:ascii="Arial MT"/>
                            <w:color w:val="231F20"/>
                            <w:spacing w:val="40"/>
                            <w:sz w:val="13"/>
                          </w:rPr>
                          <w:t> </w:t>
                        </w:r>
                        <w:r>
                          <w:rPr>
                            <w:rFonts w:ascii="Arial MT"/>
                            <w:color w:val="231F20"/>
                            <w:sz w:val="13"/>
                          </w:rPr>
                          <w:t>rubbing of the ear</w:t>
                        </w:r>
                      </w:p>
                      <w:p>
                        <w:pPr>
                          <w:numPr>
                            <w:ilvl w:val="0"/>
                            <w:numId w:val="107"/>
                          </w:numPr>
                          <w:tabs>
                            <w:tab w:pos="240" w:val="left" w:leader="none"/>
                          </w:tabs>
                          <w:spacing w:line="143" w:lineRule="exact" w:before="0"/>
                          <w:ind w:left="240" w:right="0" w:hanging="145"/>
                          <w:jc w:val="left"/>
                          <w:rPr>
                            <w:rFonts w:ascii="Arial MT"/>
                            <w:color w:val="000000"/>
                            <w:sz w:val="13"/>
                          </w:rPr>
                        </w:pPr>
                        <w:r>
                          <w:rPr>
                            <w:rFonts w:ascii="Arial MT"/>
                            <w:color w:val="231F20"/>
                            <w:sz w:val="13"/>
                          </w:rPr>
                          <w:t>Marked</w:t>
                        </w:r>
                        <w:r>
                          <w:rPr>
                            <w:rFonts w:ascii="Arial MT"/>
                            <w:color w:val="231F20"/>
                            <w:spacing w:val="-2"/>
                            <w:sz w:val="13"/>
                          </w:rPr>
                          <w:t> </w:t>
                        </w:r>
                        <w:r>
                          <w:rPr>
                            <w:rFonts w:ascii="Arial MT"/>
                            <w:color w:val="231F20"/>
                            <w:sz w:val="13"/>
                          </w:rPr>
                          <w:t>redness</w:t>
                        </w:r>
                        <w:r>
                          <w:rPr>
                            <w:rFonts w:ascii="Arial MT"/>
                            <w:color w:val="231F20"/>
                            <w:spacing w:val="-2"/>
                            <w:sz w:val="13"/>
                          </w:rPr>
                          <w:t> </w:t>
                        </w:r>
                        <w:r>
                          <w:rPr>
                            <w:rFonts w:ascii="Arial MT"/>
                            <w:color w:val="231F20"/>
                            <w:sz w:val="13"/>
                          </w:rPr>
                          <w:t>of</w:t>
                        </w:r>
                        <w:r>
                          <w:rPr>
                            <w:rFonts w:ascii="Arial MT"/>
                            <w:color w:val="231F20"/>
                            <w:spacing w:val="-2"/>
                            <w:sz w:val="13"/>
                          </w:rPr>
                          <w:t> </w:t>
                        </w:r>
                        <w:r>
                          <w:rPr>
                            <w:rFonts w:ascii="Arial MT"/>
                            <w:color w:val="231F20"/>
                            <w:sz w:val="13"/>
                          </w:rPr>
                          <w:t>the</w:t>
                        </w:r>
                        <w:r>
                          <w:rPr>
                            <w:rFonts w:ascii="Arial MT"/>
                            <w:color w:val="231F20"/>
                            <w:spacing w:val="-4"/>
                            <w:sz w:val="13"/>
                          </w:rPr>
                          <w:t> </w:t>
                        </w:r>
                        <w:r>
                          <w:rPr>
                            <w:rFonts w:ascii="Arial MT"/>
                            <w:color w:val="231F20"/>
                            <w:spacing w:val="-5"/>
                            <w:sz w:val="13"/>
                          </w:rPr>
                          <w:t>TM</w:t>
                        </w:r>
                      </w:p>
                      <w:p>
                        <w:pPr>
                          <w:numPr>
                            <w:ilvl w:val="0"/>
                            <w:numId w:val="107"/>
                          </w:numPr>
                          <w:tabs>
                            <w:tab w:pos="240" w:val="left" w:leader="none"/>
                          </w:tabs>
                          <w:spacing w:line="149" w:lineRule="exact" w:before="0"/>
                          <w:ind w:left="240" w:right="0" w:hanging="145"/>
                          <w:jc w:val="left"/>
                          <w:rPr>
                            <w:rFonts w:ascii="Arial MT"/>
                            <w:color w:val="000000"/>
                            <w:sz w:val="13"/>
                          </w:rPr>
                        </w:pPr>
                        <w:r>
                          <w:rPr>
                            <w:rFonts w:ascii="Arial MT"/>
                            <w:color w:val="231F20"/>
                            <w:sz w:val="13"/>
                          </w:rPr>
                          <w:t>Distinct</w:t>
                        </w:r>
                        <w:r>
                          <w:rPr>
                            <w:rFonts w:ascii="Arial MT"/>
                            <w:color w:val="231F20"/>
                            <w:spacing w:val="-2"/>
                            <w:sz w:val="13"/>
                          </w:rPr>
                          <w:t> </w:t>
                        </w:r>
                        <w:r>
                          <w:rPr>
                            <w:rFonts w:ascii="Arial MT"/>
                            <w:color w:val="231F20"/>
                            <w:sz w:val="13"/>
                          </w:rPr>
                          <w:t>fullness</w:t>
                        </w:r>
                        <w:r>
                          <w:rPr>
                            <w:rFonts w:ascii="Arial MT"/>
                            <w:color w:val="231F20"/>
                            <w:spacing w:val="-1"/>
                            <w:sz w:val="13"/>
                          </w:rPr>
                          <w:t> </w:t>
                        </w:r>
                        <w:r>
                          <w:rPr>
                            <w:rFonts w:ascii="Arial MT"/>
                            <w:color w:val="231F20"/>
                            <w:sz w:val="13"/>
                          </w:rPr>
                          <w:t>or</w:t>
                        </w:r>
                        <w:r>
                          <w:rPr>
                            <w:rFonts w:ascii="Arial MT"/>
                            <w:color w:val="231F20"/>
                            <w:spacing w:val="-2"/>
                            <w:sz w:val="13"/>
                          </w:rPr>
                          <w:t> </w:t>
                        </w:r>
                        <w:r>
                          <w:rPr>
                            <w:rFonts w:ascii="Arial MT"/>
                            <w:color w:val="231F20"/>
                            <w:sz w:val="13"/>
                          </w:rPr>
                          <w:t>bulging</w:t>
                        </w:r>
                        <w:r>
                          <w:rPr>
                            <w:rFonts w:ascii="Arial MT"/>
                            <w:color w:val="231F20"/>
                            <w:spacing w:val="-1"/>
                            <w:sz w:val="13"/>
                          </w:rPr>
                          <w:t> </w:t>
                        </w:r>
                        <w:r>
                          <w:rPr>
                            <w:rFonts w:ascii="Arial MT"/>
                            <w:color w:val="231F20"/>
                            <w:sz w:val="13"/>
                          </w:rPr>
                          <w:t>of</w:t>
                        </w:r>
                        <w:r>
                          <w:rPr>
                            <w:rFonts w:ascii="Arial MT"/>
                            <w:color w:val="231F20"/>
                            <w:spacing w:val="-1"/>
                            <w:sz w:val="13"/>
                          </w:rPr>
                          <w:t> </w:t>
                        </w:r>
                        <w:r>
                          <w:rPr>
                            <w:rFonts w:ascii="Arial MT"/>
                            <w:color w:val="231F20"/>
                            <w:sz w:val="13"/>
                          </w:rPr>
                          <w:t>the</w:t>
                        </w:r>
                        <w:r>
                          <w:rPr>
                            <w:rFonts w:ascii="Arial MT"/>
                            <w:color w:val="231F20"/>
                            <w:spacing w:val="-4"/>
                            <w:sz w:val="13"/>
                          </w:rPr>
                          <w:t> </w:t>
                        </w:r>
                        <w:r>
                          <w:rPr>
                            <w:rFonts w:ascii="Arial MT"/>
                            <w:color w:val="231F20"/>
                            <w:spacing w:val="-5"/>
                            <w:sz w:val="13"/>
                          </w:rPr>
                          <w:t>TM</w:t>
                        </w:r>
                      </w:p>
                    </w:txbxContent>
                  </v:textbox>
                  <v:fill type="solid"/>
                  <v:stroke dashstyle="solid"/>
                  <w10:wrap type="none"/>
                </v:shape>
                <v:shape style="position:absolute;left:6188;top:1116;width:234;height:131" type="#_x0000_t202" id="docshape1257" filled="false" stroked="false">
                  <v:textbox inset="0,0,0,0">
                    <w:txbxContent>
                      <w:p>
                        <w:pPr>
                          <w:spacing w:line="128" w:lineRule="exact" w:before="0"/>
                          <w:ind w:left="0" w:right="0" w:firstLine="0"/>
                          <w:jc w:val="left"/>
                          <w:rPr>
                            <w:rFonts w:ascii="Arial MT"/>
                            <w:sz w:val="13"/>
                          </w:rPr>
                        </w:pPr>
                        <w:r>
                          <w:rPr>
                            <w:rFonts w:ascii="Arial MT"/>
                            <w:color w:val="231F20"/>
                            <w:spacing w:val="-5"/>
                            <w:sz w:val="13"/>
                          </w:rPr>
                          <w:t>Yes</w:t>
                        </w:r>
                      </w:p>
                    </w:txbxContent>
                  </v:textbox>
                  <w10:wrap type="none"/>
                </v:shape>
                <v:shape style="position:absolute;left:886;top:-137;width:2201;height:843" type="#_x0000_t202" id="docshape1258" filled="true" fillcolor="#d7eddd" stroked="true" strokeweight=".937679pt" strokecolor="#231f20">
                  <v:textbox inset="0,0,0,0">
                    <w:txbxContent>
                      <w:p>
                        <w:pPr>
                          <w:spacing w:line="149" w:lineRule="exact" w:before="39"/>
                          <w:ind w:left="95" w:right="0" w:firstLine="0"/>
                          <w:jc w:val="left"/>
                          <w:rPr>
                            <w:rFonts w:ascii="Arial MT"/>
                            <w:color w:val="000000"/>
                            <w:sz w:val="13"/>
                          </w:rPr>
                        </w:pPr>
                        <w:r>
                          <w:rPr>
                            <w:rFonts w:ascii="Arial MT"/>
                            <w:color w:val="231F20"/>
                            <w:sz w:val="13"/>
                          </w:rPr>
                          <w:t>At</w:t>
                        </w:r>
                        <w:r>
                          <w:rPr>
                            <w:rFonts w:ascii="Arial MT"/>
                            <w:color w:val="231F20"/>
                            <w:spacing w:val="-1"/>
                            <w:sz w:val="13"/>
                          </w:rPr>
                          <w:t> </w:t>
                        </w:r>
                        <w:r>
                          <w:rPr>
                            <w:rFonts w:ascii="Arial MT"/>
                            <w:color w:val="231F20"/>
                            <w:sz w:val="13"/>
                          </w:rPr>
                          <w:t>least</w:t>
                        </w:r>
                        <w:r>
                          <w:rPr>
                            <w:rFonts w:ascii="Arial MT"/>
                            <w:color w:val="231F20"/>
                            <w:spacing w:val="-1"/>
                            <w:sz w:val="13"/>
                          </w:rPr>
                          <w:t> </w:t>
                        </w:r>
                        <w:r>
                          <w:rPr>
                            <w:rFonts w:ascii="Arial MT"/>
                            <w:color w:val="231F20"/>
                            <w:sz w:val="13"/>
                          </w:rPr>
                          <w:t>two </w:t>
                        </w:r>
                        <w:r>
                          <w:rPr>
                            <w:rFonts w:ascii="Arial MT"/>
                            <w:color w:val="231F20"/>
                            <w:spacing w:val="-5"/>
                            <w:sz w:val="13"/>
                          </w:rPr>
                          <w:t>of:</w:t>
                        </w:r>
                      </w:p>
                      <w:p>
                        <w:pPr>
                          <w:numPr>
                            <w:ilvl w:val="0"/>
                            <w:numId w:val="108"/>
                          </w:numPr>
                          <w:tabs>
                            <w:tab w:pos="233" w:val="left" w:leader="none"/>
                          </w:tabs>
                          <w:spacing w:line="148" w:lineRule="exact" w:before="0"/>
                          <w:ind w:left="233" w:right="0" w:hanging="138"/>
                          <w:jc w:val="left"/>
                          <w:rPr>
                            <w:rFonts w:ascii="Arial MT"/>
                            <w:color w:val="000000"/>
                            <w:sz w:val="13"/>
                          </w:rPr>
                        </w:pPr>
                        <w:r>
                          <w:rPr>
                            <w:rFonts w:ascii="Arial MT"/>
                            <w:color w:val="231F20"/>
                            <w:sz w:val="13"/>
                          </w:rPr>
                          <w:t>Abnormal</w:t>
                        </w:r>
                        <w:r>
                          <w:rPr>
                            <w:rFonts w:ascii="Arial MT"/>
                            <w:color w:val="231F20"/>
                            <w:spacing w:val="-7"/>
                            <w:sz w:val="13"/>
                          </w:rPr>
                          <w:t> </w:t>
                        </w:r>
                        <w:r>
                          <w:rPr>
                            <w:rFonts w:ascii="Arial MT"/>
                            <w:color w:val="231F20"/>
                            <w:sz w:val="13"/>
                          </w:rPr>
                          <w:t>TM</w:t>
                        </w:r>
                        <w:r>
                          <w:rPr>
                            <w:rFonts w:ascii="Arial MT"/>
                            <w:color w:val="231F20"/>
                            <w:spacing w:val="-3"/>
                            <w:sz w:val="13"/>
                          </w:rPr>
                          <w:t> </w:t>
                        </w:r>
                        <w:r>
                          <w:rPr>
                            <w:rFonts w:ascii="Arial MT"/>
                            <w:color w:val="231F20"/>
                            <w:spacing w:val="-2"/>
                            <w:sz w:val="13"/>
                          </w:rPr>
                          <w:t>color:</w:t>
                        </w:r>
                      </w:p>
                      <w:p>
                        <w:pPr>
                          <w:spacing w:line="148" w:lineRule="exact" w:before="0"/>
                          <w:ind w:left="241" w:right="0" w:firstLine="0"/>
                          <w:jc w:val="left"/>
                          <w:rPr>
                            <w:rFonts w:ascii="Arial MT"/>
                            <w:color w:val="000000"/>
                            <w:sz w:val="13"/>
                          </w:rPr>
                        </w:pPr>
                        <w:r>
                          <w:rPr>
                            <w:rFonts w:ascii="Arial MT"/>
                            <w:color w:val="231F20"/>
                            <w:sz w:val="13"/>
                          </w:rPr>
                          <w:t>white,</w:t>
                        </w:r>
                        <w:r>
                          <w:rPr>
                            <w:rFonts w:ascii="Arial MT"/>
                            <w:color w:val="231F20"/>
                            <w:spacing w:val="-6"/>
                            <w:sz w:val="13"/>
                          </w:rPr>
                          <w:t> </w:t>
                        </w:r>
                        <w:r>
                          <w:rPr>
                            <w:rFonts w:ascii="Arial MT"/>
                            <w:color w:val="231F20"/>
                            <w:sz w:val="13"/>
                          </w:rPr>
                          <w:t>yellow,</w:t>
                        </w:r>
                        <w:r>
                          <w:rPr>
                            <w:rFonts w:ascii="Arial MT"/>
                            <w:color w:val="231F20"/>
                            <w:spacing w:val="-5"/>
                            <w:sz w:val="13"/>
                          </w:rPr>
                          <w:t> </w:t>
                        </w:r>
                        <w:r>
                          <w:rPr>
                            <w:rFonts w:ascii="Arial MT"/>
                            <w:color w:val="231F20"/>
                            <w:sz w:val="13"/>
                          </w:rPr>
                          <w:t>amber,</w:t>
                        </w:r>
                        <w:r>
                          <w:rPr>
                            <w:rFonts w:ascii="Arial MT"/>
                            <w:color w:val="231F20"/>
                            <w:spacing w:val="-5"/>
                            <w:sz w:val="13"/>
                          </w:rPr>
                          <w:t> </w:t>
                        </w:r>
                        <w:r>
                          <w:rPr>
                            <w:rFonts w:ascii="Arial MT"/>
                            <w:color w:val="231F20"/>
                            <w:sz w:val="13"/>
                          </w:rPr>
                          <w:t>or</w:t>
                        </w:r>
                        <w:r>
                          <w:rPr>
                            <w:rFonts w:ascii="Arial MT"/>
                            <w:color w:val="231F20"/>
                            <w:spacing w:val="-5"/>
                            <w:sz w:val="13"/>
                          </w:rPr>
                          <w:t> </w:t>
                        </w:r>
                        <w:r>
                          <w:rPr>
                            <w:rFonts w:ascii="Arial MT"/>
                            <w:color w:val="231F20"/>
                            <w:spacing w:val="-4"/>
                            <w:sz w:val="13"/>
                          </w:rPr>
                          <w:t>blue</w:t>
                        </w:r>
                      </w:p>
                      <w:p>
                        <w:pPr>
                          <w:numPr>
                            <w:ilvl w:val="0"/>
                            <w:numId w:val="108"/>
                          </w:numPr>
                          <w:tabs>
                            <w:tab w:pos="240" w:val="left" w:leader="none"/>
                          </w:tabs>
                          <w:spacing w:line="148" w:lineRule="exact" w:before="0"/>
                          <w:ind w:left="240" w:right="0" w:hanging="145"/>
                          <w:jc w:val="left"/>
                          <w:rPr>
                            <w:rFonts w:ascii="Arial MT"/>
                            <w:color w:val="000000"/>
                            <w:sz w:val="13"/>
                          </w:rPr>
                        </w:pPr>
                        <w:r>
                          <w:rPr>
                            <w:rFonts w:ascii="Arial MT"/>
                            <w:color w:val="231F20"/>
                            <w:sz w:val="13"/>
                          </w:rPr>
                          <w:t>Opacification</w:t>
                        </w:r>
                        <w:r>
                          <w:rPr>
                            <w:rFonts w:ascii="Arial MT"/>
                            <w:color w:val="231F20"/>
                            <w:spacing w:val="-4"/>
                            <w:sz w:val="13"/>
                          </w:rPr>
                          <w:t> </w:t>
                        </w:r>
                        <w:r>
                          <w:rPr>
                            <w:rFonts w:ascii="Arial MT"/>
                            <w:color w:val="231F20"/>
                            <w:sz w:val="13"/>
                          </w:rPr>
                          <w:t>not</w:t>
                        </w:r>
                        <w:r>
                          <w:rPr>
                            <w:rFonts w:ascii="Arial MT"/>
                            <w:color w:val="231F20"/>
                            <w:spacing w:val="-4"/>
                            <w:sz w:val="13"/>
                          </w:rPr>
                          <w:t> </w:t>
                        </w:r>
                        <w:r>
                          <w:rPr>
                            <w:rFonts w:ascii="Arial MT"/>
                            <w:color w:val="231F20"/>
                            <w:sz w:val="13"/>
                          </w:rPr>
                          <w:t>due</w:t>
                        </w:r>
                        <w:r>
                          <w:rPr>
                            <w:rFonts w:ascii="Arial MT"/>
                            <w:color w:val="231F20"/>
                            <w:spacing w:val="-4"/>
                            <w:sz w:val="13"/>
                          </w:rPr>
                          <w:t> </w:t>
                        </w:r>
                        <w:r>
                          <w:rPr>
                            <w:rFonts w:ascii="Arial MT"/>
                            <w:color w:val="231F20"/>
                            <w:sz w:val="13"/>
                          </w:rPr>
                          <w:t>to</w:t>
                        </w:r>
                        <w:r>
                          <w:rPr>
                            <w:rFonts w:ascii="Arial MT"/>
                            <w:color w:val="231F20"/>
                            <w:spacing w:val="-3"/>
                            <w:sz w:val="13"/>
                          </w:rPr>
                          <w:t> </w:t>
                        </w:r>
                        <w:r>
                          <w:rPr>
                            <w:rFonts w:ascii="Arial MT"/>
                            <w:color w:val="231F20"/>
                            <w:spacing w:val="-2"/>
                            <w:sz w:val="13"/>
                          </w:rPr>
                          <w:t>scarring</w:t>
                        </w:r>
                      </w:p>
                      <w:p>
                        <w:pPr>
                          <w:numPr>
                            <w:ilvl w:val="0"/>
                            <w:numId w:val="108"/>
                          </w:numPr>
                          <w:tabs>
                            <w:tab w:pos="240" w:val="left" w:leader="none"/>
                          </w:tabs>
                          <w:spacing w:line="149" w:lineRule="exact" w:before="0"/>
                          <w:ind w:left="240" w:right="0" w:hanging="145"/>
                          <w:jc w:val="left"/>
                          <w:rPr>
                            <w:rFonts w:ascii="Arial MT"/>
                            <w:color w:val="000000"/>
                            <w:sz w:val="13"/>
                          </w:rPr>
                        </w:pPr>
                        <w:r>
                          <w:rPr>
                            <w:rFonts w:ascii="Arial MT"/>
                            <w:color w:val="231F20"/>
                            <w:sz w:val="13"/>
                          </w:rPr>
                          <w:t>Decreased</w:t>
                        </w:r>
                        <w:r>
                          <w:rPr>
                            <w:rFonts w:ascii="Arial MT"/>
                            <w:color w:val="231F20"/>
                            <w:spacing w:val="-3"/>
                            <w:sz w:val="13"/>
                          </w:rPr>
                          <w:t> </w:t>
                        </w:r>
                        <w:r>
                          <w:rPr>
                            <w:rFonts w:ascii="Arial MT"/>
                            <w:color w:val="231F20"/>
                            <w:sz w:val="13"/>
                          </w:rPr>
                          <w:t>or</w:t>
                        </w:r>
                        <w:r>
                          <w:rPr>
                            <w:rFonts w:ascii="Arial MT"/>
                            <w:color w:val="231F20"/>
                            <w:spacing w:val="-3"/>
                            <w:sz w:val="13"/>
                          </w:rPr>
                          <w:t> </w:t>
                        </w:r>
                        <w:r>
                          <w:rPr>
                            <w:rFonts w:ascii="Arial MT"/>
                            <w:color w:val="231F20"/>
                            <w:sz w:val="13"/>
                          </w:rPr>
                          <w:t>absent</w:t>
                        </w:r>
                        <w:r>
                          <w:rPr>
                            <w:rFonts w:ascii="Arial MT"/>
                            <w:color w:val="231F20"/>
                            <w:spacing w:val="-2"/>
                            <w:sz w:val="13"/>
                          </w:rPr>
                          <w:t> mobility</w:t>
                        </w:r>
                      </w:p>
                    </w:txbxContent>
                  </v:textbox>
                  <v:fill type="solid"/>
                  <v:stroke dashstyle="solid"/>
                  <w10:wrap type="none"/>
                </v:shape>
                <v:shape style="position:absolute;left:3437;top:-137;width:1906;height:389" type="#_x0000_t202" id="docshape1259" filled="true" fillcolor="#d7eddd" stroked="true" strokeweight=".937679pt" strokecolor="#231f20">
                  <v:textbox inset="0,0,0,0">
                    <w:txbxContent>
                      <w:p>
                        <w:pPr>
                          <w:spacing w:before="39"/>
                          <w:ind w:left="95" w:right="67" w:firstLine="0"/>
                          <w:jc w:val="left"/>
                          <w:rPr>
                            <w:rFonts w:ascii="Arial MT" w:hAnsi="Arial MT"/>
                            <w:color w:val="000000"/>
                            <w:sz w:val="13"/>
                          </w:rPr>
                        </w:pPr>
                        <w:r>
                          <w:rPr>
                            <w:rFonts w:ascii="Arial MT" w:hAnsi="Arial MT"/>
                            <w:color w:val="231F20"/>
                            <w:sz w:val="13"/>
                          </w:rPr>
                          <w:t>Bubbles</w:t>
                        </w:r>
                        <w:r>
                          <w:rPr>
                            <w:rFonts w:ascii="Arial MT" w:hAnsi="Arial MT"/>
                            <w:color w:val="231F20"/>
                            <w:spacing w:val="-10"/>
                            <w:sz w:val="13"/>
                          </w:rPr>
                          <w:t> </w:t>
                        </w:r>
                        <w:r>
                          <w:rPr>
                            <w:rFonts w:ascii="Arial MT" w:hAnsi="Arial MT"/>
                            <w:color w:val="231F20"/>
                            <w:sz w:val="13"/>
                          </w:rPr>
                          <w:t>or</w:t>
                        </w:r>
                        <w:r>
                          <w:rPr>
                            <w:rFonts w:ascii="Arial MT" w:hAnsi="Arial MT"/>
                            <w:color w:val="231F20"/>
                            <w:spacing w:val="-9"/>
                            <w:sz w:val="13"/>
                          </w:rPr>
                          <w:t> </w:t>
                        </w:r>
                        <w:r>
                          <w:rPr>
                            <w:rFonts w:ascii="Arial MT" w:hAnsi="Arial MT"/>
                            <w:color w:val="231F20"/>
                            <w:sz w:val="13"/>
                          </w:rPr>
                          <w:t>air–fluid</w:t>
                        </w:r>
                        <w:r>
                          <w:rPr>
                            <w:rFonts w:ascii="Arial MT" w:hAnsi="Arial MT"/>
                            <w:color w:val="231F20"/>
                            <w:spacing w:val="-9"/>
                            <w:sz w:val="13"/>
                          </w:rPr>
                          <w:t> </w:t>
                        </w:r>
                        <w:r>
                          <w:rPr>
                            <w:rFonts w:ascii="Arial MT" w:hAnsi="Arial MT"/>
                            <w:color w:val="231F20"/>
                            <w:sz w:val="13"/>
                          </w:rPr>
                          <w:t>interfaces</w:t>
                        </w:r>
                        <w:r>
                          <w:rPr>
                            <w:rFonts w:ascii="Arial MT" w:hAnsi="Arial MT"/>
                            <w:color w:val="231F20"/>
                            <w:spacing w:val="40"/>
                            <w:sz w:val="13"/>
                          </w:rPr>
                          <w:t> </w:t>
                        </w:r>
                        <w:r>
                          <w:rPr>
                            <w:rFonts w:ascii="Arial MT" w:hAnsi="Arial MT"/>
                            <w:color w:val="231F20"/>
                            <w:sz w:val="13"/>
                          </w:rPr>
                          <w:t>behind the TM</w:t>
                        </w:r>
                      </w:p>
                    </w:txbxContent>
                  </v:textbox>
                  <v:fill type="solid"/>
                  <v:stroke dashstyle="solid"/>
                  <w10:wrap type="none"/>
                </v:shape>
                <v:shape style="position:absolute;left:3777;top:766;width:234;height:131" type="#_x0000_t202" id="docshape1260" filled="false" stroked="false">
                  <v:textbox inset="0,0,0,0">
                    <w:txbxContent>
                      <w:p>
                        <w:pPr>
                          <w:spacing w:line="128" w:lineRule="exact" w:before="0"/>
                          <w:ind w:left="0" w:right="0" w:firstLine="0"/>
                          <w:jc w:val="left"/>
                          <w:rPr>
                            <w:rFonts w:ascii="Arial MT"/>
                            <w:sz w:val="13"/>
                          </w:rPr>
                        </w:pPr>
                        <w:r>
                          <w:rPr>
                            <w:rFonts w:ascii="Arial MT"/>
                            <w:color w:val="231F20"/>
                            <w:spacing w:val="-5"/>
                            <w:sz w:val="13"/>
                          </w:rPr>
                          <w:t>Yes</w:t>
                        </w:r>
                      </w:p>
                    </w:txbxContent>
                  </v:textbox>
                  <w10:wrap type="none"/>
                </v:shape>
                <v:shape style="position:absolute;left:2584;top:766;width:234;height:131" type="#_x0000_t202" id="docshape1261" filled="false" stroked="false">
                  <v:textbox inset="0,0,0,0">
                    <w:txbxContent>
                      <w:p>
                        <w:pPr>
                          <w:spacing w:line="128" w:lineRule="exact" w:before="0"/>
                          <w:ind w:left="0" w:right="0" w:firstLine="0"/>
                          <w:jc w:val="left"/>
                          <w:rPr>
                            <w:rFonts w:ascii="Arial MT"/>
                            <w:sz w:val="13"/>
                          </w:rPr>
                        </w:pPr>
                        <w:r>
                          <w:rPr>
                            <w:rFonts w:ascii="Arial MT"/>
                            <w:color w:val="231F20"/>
                            <w:spacing w:val="-5"/>
                            <w:sz w:val="13"/>
                          </w:rPr>
                          <w:t>Yes</w:t>
                        </w:r>
                      </w:p>
                    </w:txbxContent>
                  </v:textbox>
                  <w10:wrap type="none"/>
                </v:shape>
                <w10:wrap type="none"/>
              </v:group>
            </w:pict>
          </mc:Fallback>
        </mc:AlternateContent>
      </w:r>
      <w:r>
        <w:rPr>
          <w:rFonts w:ascii="Arial MT"/>
          <w:color w:val="231F20"/>
          <w:spacing w:val="-5"/>
        </w:rPr>
        <w:t>Or</w:t>
      </w:r>
    </w:p>
    <w:p>
      <w:pPr>
        <w:pStyle w:val="BodyText"/>
        <w:rPr>
          <w:rFonts w:ascii="Arial MT"/>
          <w:sz w:val="20"/>
        </w:rPr>
      </w:pPr>
    </w:p>
    <w:p>
      <w:pPr>
        <w:pStyle w:val="BodyText"/>
        <w:rPr>
          <w:rFonts w:ascii="Arial MT"/>
          <w:sz w:val="20"/>
        </w:rPr>
      </w:pPr>
    </w:p>
    <w:p>
      <w:pPr>
        <w:pStyle w:val="BodyText"/>
        <w:spacing w:before="164"/>
        <w:rPr>
          <w:rFonts w:ascii="Arial MT"/>
          <w:sz w:val="20"/>
        </w:rPr>
      </w:pPr>
    </w:p>
    <w:tbl>
      <w:tblPr>
        <w:tblW w:w="0" w:type="auto"/>
        <w:jc w:val="left"/>
        <w:tblInd w:w="1935"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509"/>
        <w:gridCol w:w="188"/>
        <w:gridCol w:w="193"/>
        <w:gridCol w:w="455"/>
      </w:tblGrid>
      <w:tr>
        <w:trPr>
          <w:trHeight w:val="368" w:hRule="atLeast"/>
        </w:trPr>
        <w:tc>
          <w:tcPr>
            <w:tcW w:w="1345" w:type="dxa"/>
            <w:gridSpan w:val="4"/>
            <w:shd w:val="clear" w:color="auto" w:fill="D7EDDD"/>
          </w:tcPr>
          <w:p>
            <w:pPr>
              <w:pStyle w:val="TableParagraph"/>
              <w:spacing w:before="39"/>
              <w:ind w:left="104" w:right="109"/>
              <w:rPr>
                <w:rFonts w:ascii="Arial MT"/>
                <w:sz w:val="13"/>
              </w:rPr>
            </w:pPr>
            <w:r>
              <w:rPr>
                <w:rFonts w:ascii="Arial MT"/>
                <w:color w:val="231F20"/>
                <w:sz w:val="13"/>
              </w:rPr>
              <w:t>Middle-ear</w:t>
            </w:r>
            <w:r>
              <w:rPr>
                <w:rFonts w:ascii="Arial MT"/>
                <w:color w:val="231F20"/>
                <w:spacing w:val="-10"/>
                <w:sz w:val="13"/>
              </w:rPr>
              <w:t> </w:t>
            </w:r>
            <w:r>
              <w:rPr>
                <w:rFonts w:ascii="Arial MT"/>
                <w:color w:val="231F20"/>
                <w:sz w:val="13"/>
              </w:rPr>
              <w:t>effusion</w:t>
            </w:r>
            <w:r>
              <w:rPr>
                <w:rFonts w:ascii="Arial MT"/>
                <w:color w:val="231F20"/>
                <w:spacing w:val="40"/>
                <w:sz w:val="13"/>
              </w:rPr>
              <w:t> </w:t>
            </w:r>
            <w:r>
              <w:rPr>
                <w:rFonts w:ascii="Arial MT"/>
                <w:color w:val="231F20"/>
                <w:spacing w:val="-2"/>
                <w:sz w:val="13"/>
              </w:rPr>
              <w:t>(MEE)</w:t>
            </w:r>
          </w:p>
        </w:tc>
      </w:tr>
      <w:tr>
        <w:trPr>
          <w:trHeight w:val="210" w:hRule="atLeast"/>
        </w:trPr>
        <w:tc>
          <w:tcPr>
            <w:tcW w:w="509" w:type="dxa"/>
            <w:tcBorders>
              <w:left w:val="nil"/>
              <w:right w:val="nil"/>
            </w:tcBorders>
          </w:tcPr>
          <w:p>
            <w:pPr>
              <w:pStyle w:val="TableParagraph"/>
              <w:spacing w:line="123" w:lineRule="exact" w:before="67"/>
              <w:ind w:left="54"/>
              <w:rPr>
                <w:rFonts w:ascii="Arial MT"/>
                <w:sz w:val="13"/>
              </w:rPr>
            </w:pPr>
            <w:r>
              <w:rPr>
                <w:rFonts w:ascii="Arial MT"/>
                <w:color w:val="231F20"/>
                <w:spacing w:val="-2"/>
                <w:sz w:val="13"/>
              </w:rPr>
              <w:t>acute</w:t>
            </w:r>
          </w:p>
        </w:tc>
        <w:tc>
          <w:tcPr>
            <w:tcW w:w="188" w:type="dxa"/>
            <w:tcBorders>
              <w:left w:val="nil"/>
            </w:tcBorders>
          </w:tcPr>
          <w:p>
            <w:pPr>
              <w:pStyle w:val="TableParagraph"/>
              <w:rPr>
                <w:rFonts w:ascii="Times New Roman"/>
                <w:sz w:val="12"/>
              </w:rPr>
            </w:pPr>
          </w:p>
        </w:tc>
        <w:tc>
          <w:tcPr>
            <w:tcW w:w="193" w:type="dxa"/>
            <w:tcBorders>
              <w:right w:val="nil"/>
            </w:tcBorders>
          </w:tcPr>
          <w:p>
            <w:pPr>
              <w:pStyle w:val="TableParagraph"/>
              <w:rPr>
                <w:rFonts w:ascii="Times New Roman"/>
                <w:sz w:val="12"/>
              </w:rPr>
            </w:pPr>
          </w:p>
        </w:tc>
        <w:tc>
          <w:tcPr>
            <w:tcW w:w="455" w:type="dxa"/>
            <w:tcBorders>
              <w:left w:val="nil"/>
              <w:right w:val="nil"/>
            </w:tcBorders>
          </w:tcPr>
          <w:p>
            <w:pPr>
              <w:pStyle w:val="TableParagraph"/>
              <w:spacing w:line="123" w:lineRule="exact" w:before="67"/>
              <w:ind w:left="290" w:right="-72"/>
              <w:rPr>
                <w:rFonts w:ascii="Arial MT"/>
                <w:sz w:val="13"/>
              </w:rPr>
            </w:pPr>
            <w:r>
              <w:rPr>
                <w:rFonts w:ascii="Arial MT"/>
                <w:color w:val="231F20"/>
                <w:spacing w:val="-5"/>
                <w:sz w:val="13"/>
              </w:rPr>
              <w:t>Acu</w:t>
            </w:r>
          </w:p>
        </w:tc>
      </w:tr>
    </w:tbl>
    <w:p>
      <w:pPr>
        <w:pStyle w:val="BodyText"/>
        <w:rPr>
          <w:rFonts w:ascii="Arial MT"/>
          <w:sz w:val="15"/>
        </w:rPr>
      </w:pPr>
    </w:p>
    <w:p>
      <w:pPr>
        <w:pStyle w:val="BodyText"/>
        <w:rPr>
          <w:rFonts w:ascii="Arial MT"/>
          <w:sz w:val="15"/>
        </w:rPr>
      </w:pPr>
    </w:p>
    <w:p>
      <w:pPr>
        <w:pStyle w:val="BodyText"/>
        <w:rPr>
          <w:rFonts w:ascii="Arial MT"/>
          <w:sz w:val="15"/>
        </w:rPr>
      </w:pPr>
    </w:p>
    <w:p>
      <w:pPr>
        <w:pStyle w:val="BodyText"/>
        <w:rPr>
          <w:rFonts w:ascii="Arial MT"/>
          <w:sz w:val="15"/>
        </w:rPr>
      </w:pPr>
    </w:p>
    <w:p>
      <w:pPr>
        <w:pStyle w:val="BodyText"/>
        <w:rPr>
          <w:rFonts w:ascii="Arial MT"/>
          <w:sz w:val="15"/>
        </w:rPr>
      </w:pPr>
    </w:p>
    <w:p>
      <w:pPr>
        <w:pStyle w:val="BodyText"/>
        <w:rPr>
          <w:rFonts w:ascii="Arial MT"/>
          <w:sz w:val="15"/>
        </w:rPr>
      </w:pPr>
    </w:p>
    <w:p>
      <w:pPr>
        <w:pStyle w:val="BodyText"/>
        <w:rPr>
          <w:rFonts w:ascii="Arial MT"/>
          <w:sz w:val="15"/>
        </w:rPr>
      </w:pPr>
    </w:p>
    <w:p>
      <w:pPr>
        <w:pStyle w:val="BodyText"/>
        <w:spacing w:before="163"/>
        <w:rPr>
          <w:rFonts w:ascii="Arial MT"/>
          <w:sz w:val="15"/>
        </w:rPr>
      </w:pPr>
    </w:p>
    <w:p>
      <w:pPr>
        <w:pStyle w:val="Heading6"/>
        <w:spacing w:line="230" w:lineRule="auto" w:before="1"/>
        <w:ind w:left="6616" w:right="714"/>
        <w:jc w:val="both"/>
      </w:pPr>
      <w:r>
        <w:rPr>
          <w:b/>
          <w:color w:val="4A0C62"/>
          <w:sz w:val="16"/>
        </w:rPr>
        <w:t>Figure 640-1 </w:t>
      </w:r>
      <w:r>
        <w:rPr>
          <w:color w:val="231F20"/>
        </w:rPr>
        <w:t>Algorithm for </w:t>
      </w:r>
      <w:r>
        <w:rPr>
          <w:color w:val="231F20"/>
        </w:rPr>
        <w:t>distinguishing between</w:t>
      </w:r>
      <w:r>
        <w:rPr>
          <w:color w:val="231F20"/>
          <w:spacing w:val="-11"/>
        </w:rPr>
        <w:t> </w:t>
      </w:r>
      <w:r>
        <w:rPr>
          <w:color w:val="231F20"/>
        </w:rPr>
        <w:t>acute</w:t>
      </w:r>
      <w:r>
        <w:rPr>
          <w:color w:val="231F20"/>
          <w:spacing w:val="-11"/>
        </w:rPr>
        <w:t> </w:t>
      </w:r>
      <w:r>
        <w:rPr>
          <w:color w:val="231F20"/>
        </w:rPr>
        <w:t>otitis</w:t>
      </w:r>
      <w:r>
        <w:rPr>
          <w:color w:val="231F20"/>
          <w:spacing w:val="-11"/>
        </w:rPr>
        <w:t> </w:t>
      </w:r>
      <w:r>
        <w:rPr>
          <w:color w:val="231F20"/>
        </w:rPr>
        <w:t>media</w:t>
      </w:r>
      <w:r>
        <w:rPr>
          <w:color w:val="231F20"/>
          <w:spacing w:val="-11"/>
        </w:rPr>
        <w:t> </w:t>
      </w:r>
      <w:r>
        <w:rPr>
          <w:color w:val="231F20"/>
        </w:rPr>
        <w:t>and</w:t>
      </w:r>
      <w:r>
        <w:rPr>
          <w:color w:val="231F20"/>
          <w:spacing w:val="-11"/>
        </w:rPr>
        <w:t> </w:t>
      </w:r>
      <w:r>
        <w:rPr>
          <w:color w:val="231F20"/>
        </w:rPr>
        <w:t>otitis</w:t>
      </w:r>
      <w:r>
        <w:rPr>
          <w:color w:val="231F20"/>
          <w:spacing w:val="-11"/>
        </w:rPr>
        <w:t> </w:t>
      </w:r>
      <w:r>
        <w:rPr>
          <w:color w:val="231F20"/>
        </w:rPr>
        <w:t>media</w:t>
      </w:r>
      <w:r>
        <w:rPr>
          <w:color w:val="231F20"/>
          <w:spacing w:val="-11"/>
        </w:rPr>
        <w:t> </w:t>
      </w:r>
      <w:r>
        <w:rPr>
          <w:color w:val="231F20"/>
        </w:rPr>
        <w:t>with effusion. TM, tympanic membrane.</w:t>
      </w:r>
    </w:p>
    <w:p>
      <w:pPr>
        <w:pStyle w:val="Heading6"/>
        <w:spacing w:after="0" w:line="230" w:lineRule="auto"/>
        <w:jc w:val="both"/>
        <w:sectPr>
          <w:pgSz w:w="11900" w:h="16840"/>
          <w:pgMar w:header="0" w:footer="0" w:top="1180" w:bottom="280" w:left="708" w:right="566"/>
        </w:sectPr>
      </w:pPr>
    </w:p>
    <w:p>
      <w:pPr>
        <w:pStyle w:val="BodyText"/>
        <w:spacing w:before="205"/>
        <w:rPr>
          <w:sz w:val="20"/>
        </w:rPr>
      </w:pPr>
    </w:p>
    <w:p>
      <w:pPr>
        <w:pStyle w:val="BodyText"/>
        <w:ind w:left="184"/>
        <w:rPr>
          <w:sz w:val="20"/>
        </w:rPr>
      </w:pPr>
      <w:r>
        <w:rPr>
          <w:sz w:val="20"/>
        </w:rPr>
        <mc:AlternateContent>
          <mc:Choice Requires="wps">
            <w:drawing>
              <wp:inline distT="0" distB="0" distL="0" distR="0">
                <wp:extent cx="6185535" cy="170815"/>
                <wp:effectExtent l="19050" t="0" r="62864" b="635"/>
                <wp:docPr id="1589" name="Group 1589"/>
                <wp:cNvGraphicFramePr>
                  <a:graphicFrameLocks/>
                </wp:cNvGraphicFramePr>
                <a:graphic>
                  <a:graphicData uri="http://schemas.microsoft.com/office/word/2010/wordprocessingGroup">
                    <wpg:wgp>
                      <wpg:cNvPr id="1589" name="Group 1589"/>
                      <wpg:cNvGrpSpPr/>
                      <wpg:grpSpPr>
                        <a:xfrm>
                          <a:off x="0" y="0"/>
                          <a:ext cx="6185535" cy="170815"/>
                          <a:chExt cx="6185535" cy="170815"/>
                        </a:xfrm>
                      </wpg:grpSpPr>
                      <wps:wsp>
                        <wps:cNvPr id="1590" name="Graphic 1590"/>
                        <wps:cNvSpPr/>
                        <wps:spPr>
                          <a:xfrm>
                            <a:off x="6161574"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591" name="Graphic 1591"/>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592" name="Textbox 1592"/>
                        <wps:cNvSpPr txBox="1"/>
                        <wps:spPr>
                          <a:xfrm>
                            <a:off x="0" y="0"/>
                            <a:ext cx="6185535" cy="170815"/>
                          </a:xfrm>
                          <a:prstGeom prst="rect">
                            <a:avLst/>
                          </a:prstGeom>
                        </wps:spPr>
                        <wps:txbx>
                          <w:txbxContent>
                            <w:p>
                              <w:pPr>
                                <w:spacing w:before="6"/>
                                <w:ind w:left="-1" w:right="0" w:firstLine="0"/>
                                <w:jc w:val="left"/>
                                <w:rPr>
                                  <w:sz w:val="18"/>
                                </w:rPr>
                              </w:pPr>
                              <w:r>
                                <w:rPr>
                                  <w:b/>
                                  <w:color w:val="231F20"/>
                                  <w:w w:val="105"/>
                                  <w:sz w:val="18"/>
                                </w:rPr>
                                <w:t>3092</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262" coordorigin="0,0" coordsize="9741,269">
                <v:line style="position:absolute" from="9703,145" to="9741,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263" filled="false" stroked="false">
                  <v:textbox inset="0,0,0,0">
                    <w:txbxContent>
                      <w:p>
                        <w:pPr>
                          <w:spacing w:before="6"/>
                          <w:ind w:left="-1" w:right="0" w:firstLine="0"/>
                          <w:jc w:val="left"/>
                          <w:rPr>
                            <w:sz w:val="18"/>
                          </w:rPr>
                        </w:pPr>
                        <w:r>
                          <w:rPr>
                            <w:b/>
                            <w:color w:val="231F20"/>
                            <w:w w:val="105"/>
                            <w:sz w:val="18"/>
                          </w:rPr>
                          <w:t>3092</w:t>
                        </w:r>
                        <w:r>
                          <w:rPr>
                            <w:b/>
                            <w:color w:val="231F20"/>
                            <w:spacing w:val="38"/>
                            <w:w w:val="105"/>
                            <w:sz w:val="18"/>
                          </w:rPr>
                          <w:t>  </w:t>
                        </w:r>
                        <w:r>
                          <w:rPr>
                            <w:b/>
                            <w:color w:val="D5841E"/>
                            <w:w w:val="105"/>
                            <w:sz w:val="18"/>
                          </w:rPr>
                          <w:t>Part</w:t>
                        </w:r>
                        <w:r>
                          <w:rPr>
                            <w:b/>
                            <w:color w:val="D5841E"/>
                            <w:spacing w:val="12"/>
                            <w:w w:val="105"/>
                            <w:sz w:val="18"/>
                          </w:rPr>
                          <w:t> </w:t>
                        </w:r>
                        <w:r>
                          <w:rPr>
                            <w:b/>
                            <w:color w:val="D5841E"/>
                            <w:w w:val="105"/>
                            <w:sz w:val="18"/>
                          </w:rPr>
                          <w:t>XXX</w:t>
                        </w:r>
                        <w:r>
                          <w:rPr>
                            <w:b/>
                            <w:color w:val="D5841E"/>
                            <w:spacing w:val="39"/>
                            <w:w w:val="105"/>
                            <w:sz w:val="18"/>
                          </w:rPr>
                          <w:t> </w:t>
                        </w:r>
                        <w:r>
                          <w:rPr>
                            <w:rFonts w:ascii="Lucida Sans Unicode" w:hAnsi="Lucida Sans Unicode"/>
                            <w:color w:val="E4AE6F"/>
                            <w:w w:val="105"/>
                            <w:sz w:val="15"/>
                          </w:rPr>
                          <w:t>◆</w:t>
                        </w:r>
                        <w:r>
                          <w:rPr>
                            <w:rFonts w:ascii="Lucida Sans Unicode" w:hAnsi="Lucida Sans Unicode"/>
                            <w:color w:val="E4AE6F"/>
                            <w:spacing w:val="45"/>
                            <w:w w:val="105"/>
                            <w:sz w:val="15"/>
                          </w:rPr>
                          <w:t> </w:t>
                        </w:r>
                        <w:r>
                          <w:rPr>
                            <w:color w:val="231F20"/>
                            <w:w w:val="105"/>
                            <w:sz w:val="18"/>
                          </w:rPr>
                          <w:t>The</w:t>
                        </w:r>
                        <w:r>
                          <w:rPr>
                            <w:color w:val="231F20"/>
                            <w:spacing w:val="7"/>
                            <w:w w:val="105"/>
                            <w:sz w:val="18"/>
                          </w:rPr>
                          <w:t> </w:t>
                        </w:r>
                        <w:r>
                          <w:rPr>
                            <w:color w:val="231F20"/>
                            <w:spacing w:val="-5"/>
                            <w:w w:val="105"/>
                            <w:sz w:val="18"/>
                          </w:rPr>
                          <w:t>Ear</w:t>
                        </w:r>
                      </w:p>
                    </w:txbxContent>
                  </v:textbox>
                  <w10:wrap type="none"/>
                </v:shape>
              </v:group>
            </w:pict>
          </mc:Fallback>
        </mc:AlternateContent>
      </w:r>
      <w:r>
        <w:rPr>
          <w:sz w:val="20"/>
        </w:rPr>
      </w:r>
    </w:p>
    <w:p>
      <w:pPr>
        <w:pStyle w:val="BodyText"/>
        <w:spacing w:before="11"/>
        <w:rPr>
          <w:sz w:val="1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1729"/>
        <w:gridCol w:w="2110"/>
        <w:gridCol w:w="2113"/>
        <w:gridCol w:w="2728"/>
      </w:tblGrid>
      <w:tr>
        <w:trPr>
          <w:trHeight w:val="541"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640-</w:t>
            </w:r>
            <w:r>
              <w:rPr>
                <w:b/>
                <w:color w:val="FFFFFF"/>
                <w:spacing w:val="-10"/>
                <w:w w:val="105"/>
                <w:sz w:val="16"/>
              </w:rPr>
              <w:t>3</w:t>
            </w:r>
          </w:p>
        </w:tc>
        <w:tc>
          <w:tcPr>
            <w:tcW w:w="8680" w:type="dxa"/>
            <w:gridSpan w:val="4"/>
            <w:tcBorders>
              <w:left w:val="single" w:sz="8" w:space="0" w:color="FFFFFF"/>
            </w:tcBorders>
            <w:shd w:val="clear" w:color="auto" w:fill="231F20"/>
          </w:tcPr>
          <w:p>
            <w:pPr>
              <w:pStyle w:val="TableParagraph"/>
              <w:spacing w:before="89"/>
              <w:ind w:left="73" w:right="939"/>
              <w:rPr>
                <w:sz w:val="16"/>
              </w:rPr>
            </w:pPr>
            <w:r>
              <w:rPr>
                <w:color w:val="FFFFFF"/>
                <w:w w:val="105"/>
                <w:sz w:val="16"/>
              </w:rPr>
              <w:t>Recommended Antibiotics for (Initial or Delayed) Treatment and for Patients Who Have Failed Initial Antibiotic Treatment</w:t>
            </w:r>
          </w:p>
        </w:tc>
      </w:tr>
      <w:tr>
        <w:trPr>
          <w:trHeight w:val="449" w:hRule="atLeast"/>
        </w:trPr>
        <w:tc>
          <w:tcPr>
            <w:tcW w:w="4987" w:type="dxa"/>
            <w:gridSpan w:val="3"/>
            <w:tcBorders>
              <w:bottom w:val="single" w:sz="4" w:space="0" w:color="231F20"/>
            </w:tcBorders>
            <w:shd w:val="clear" w:color="auto" w:fill="E8F5F1"/>
          </w:tcPr>
          <w:p>
            <w:pPr>
              <w:pStyle w:val="TableParagraph"/>
              <w:spacing w:before="59"/>
              <w:rPr>
                <w:sz w:val="15"/>
              </w:rPr>
            </w:pPr>
          </w:p>
          <w:p>
            <w:pPr>
              <w:pStyle w:val="TableParagraph"/>
              <w:ind w:left="712"/>
              <w:rPr>
                <w:b/>
                <w:sz w:val="15"/>
              </w:rPr>
            </w:pPr>
            <w:r>
              <w:rPr>
                <w:b/>
                <w:color w:val="231F20"/>
                <w:sz w:val="15"/>
              </w:rPr>
              <w:t>Initial</w:t>
            </w:r>
            <w:r>
              <w:rPr>
                <w:b/>
                <w:color w:val="231F20"/>
                <w:spacing w:val="6"/>
                <w:sz w:val="15"/>
              </w:rPr>
              <w:t> </w:t>
            </w:r>
            <w:r>
              <w:rPr>
                <w:b/>
                <w:color w:val="231F20"/>
                <w:sz w:val="15"/>
              </w:rPr>
              <w:t>Immediate</w:t>
            </w:r>
            <w:r>
              <w:rPr>
                <w:b/>
                <w:color w:val="231F20"/>
                <w:spacing w:val="7"/>
                <w:sz w:val="15"/>
              </w:rPr>
              <w:t> </w:t>
            </w:r>
            <w:r>
              <w:rPr>
                <w:b/>
                <w:color w:val="231F20"/>
                <w:sz w:val="15"/>
              </w:rPr>
              <w:t>or</w:t>
            </w:r>
            <w:r>
              <w:rPr>
                <w:b/>
                <w:color w:val="231F20"/>
                <w:spacing w:val="6"/>
                <w:sz w:val="15"/>
              </w:rPr>
              <w:t> </w:t>
            </w:r>
            <w:r>
              <w:rPr>
                <w:b/>
                <w:color w:val="231F20"/>
                <w:sz w:val="15"/>
              </w:rPr>
              <w:t>Delayed</w:t>
            </w:r>
            <w:r>
              <w:rPr>
                <w:b/>
                <w:color w:val="231F20"/>
                <w:spacing w:val="7"/>
                <w:sz w:val="15"/>
              </w:rPr>
              <w:t> </w:t>
            </w:r>
            <w:r>
              <w:rPr>
                <w:b/>
                <w:color w:val="231F20"/>
                <w:sz w:val="15"/>
              </w:rPr>
              <w:t>Antibiotic</w:t>
            </w:r>
            <w:r>
              <w:rPr>
                <w:b/>
                <w:color w:val="231F20"/>
                <w:spacing w:val="7"/>
                <w:sz w:val="15"/>
              </w:rPr>
              <w:t> </w:t>
            </w:r>
            <w:r>
              <w:rPr>
                <w:b/>
                <w:color w:val="231F20"/>
                <w:spacing w:val="-2"/>
                <w:sz w:val="15"/>
              </w:rPr>
              <w:t>Treatment</w:t>
            </w:r>
          </w:p>
        </w:tc>
        <w:tc>
          <w:tcPr>
            <w:tcW w:w="4841" w:type="dxa"/>
            <w:gridSpan w:val="2"/>
            <w:shd w:val="clear" w:color="auto" w:fill="E8F5F1"/>
          </w:tcPr>
          <w:p>
            <w:pPr>
              <w:pStyle w:val="TableParagraph"/>
              <w:spacing w:line="230" w:lineRule="auto" w:before="71"/>
              <w:ind w:left="1763" w:hanging="1224"/>
              <w:rPr>
                <w:b/>
                <w:sz w:val="15"/>
              </w:rPr>
            </w:pPr>
            <w:r>
              <w:rPr>
                <w:b/>
                <w:color w:val="231F20"/>
                <w:sz w:val="15"/>
              </w:rPr>
              <w:t>Antibiotic</w:t>
            </w:r>
            <w:r>
              <w:rPr>
                <w:b/>
                <w:color w:val="231F20"/>
                <w:spacing w:val="-1"/>
                <w:sz w:val="15"/>
              </w:rPr>
              <w:t> </w:t>
            </w:r>
            <w:r>
              <w:rPr>
                <w:b/>
                <w:color w:val="231F20"/>
                <w:sz w:val="15"/>
              </w:rPr>
              <w:t>Treatment</w:t>
            </w:r>
            <w:r>
              <w:rPr>
                <w:b/>
                <w:color w:val="231F20"/>
                <w:spacing w:val="-1"/>
                <w:sz w:val="15"/>
              </w:rPr>
              <w:t> </w:t>
            </w:r>
            <w:r>
              <w:rPr>
                <w:b/>
                <w:color w:val="231F20"/>
                <w:sz w:val="15"/>
              </w:rPr>
              <w:t>After</w:t>
            </w:r>
            <w:r>
              <w:rPr>
                <w:b/>
                <w:color w:val="231F20"/>
                <w:spacing w:val="-1"/>
                <w:sz w:val="15"/>
              </w:rPr>
              <w:t> </w:t>
            </w:r>
            <w:r>
              <w:rPr>
                <w:b/>
                <w:color w:val="231F20"/>
                <w:sz w:val="15"/>
              </w:rPr>
              <w:t>48-72</w:t>
            </w:r>
            <w:r>
              <w:rPr>
                <w:b/>
                <w:color w:val="231F20"/>
                <w:spacing w:val="-1"/>
                <w:sz w:val="15"/>
              </w:rPr>
              <w:t> </w:t>
            </w:r>
            <w:r>
              <w:rPr>
                <w:b/>
                <w:color w:val="231F20"/>
                <w:sz w:val="15"/>
              </w:rPr>
              <w:t>hr</w:t>
            </w:r>
            <w:r>
              <w:rPr>
                <w:b/>
                <w:color w:val="231F20"/>
                <w:spacing w:val="-1"/>
                <w:sz w:val="15"/>
              </w:rPr>
              <w:t> </w:t>
            </w:r>
            <w:r>
              <w:rPr>
                <w:b/>
                <w:color w:val="231F20"/>
                <w:sz w:val="15"/>
              </w:rPr>
              <w:t>of</w:t>
            </w:r>
            <w:r>
              <w:rPr>
                <w:b/>
                <w:color w:val="231F20"/>
                <w:spacing w:val="-1"/>
                <w:sz w:val="15"/>
              </w:rPr>
              <w:t> </w:t>
            </w:r>
            <w:r>
              <w:rPr>
                <w:b/>
                <w:color w:val="231F20"/>
                <w:sz w:val="15"/>
              </w:rPr>
              <w:t>Failure</w:t>
            </w:r>
            <w:r>
              <w:rPr>
                <w:b/>
                <w:color w:val="231F20"/>
                <w:spacing w:val="-1"/>
                <w:sz w:val="15"/>
              </w:rPr>
              <w:t> </w:t>
            </w:r>
            <w:r>
              <w:rPr>
                <w:b/>
                <w:color w:val="231F20"/>
                <w:sz w:val="15"/>
              </w:rPr>
              <w:t>of</w:t>
            </w:r>
            <w:r>
              <w:rPr>
                <w:b/>
                <w:color w:val="231F20"/>
                <w:spacing w:val="-1"/>
                <w:sz w:val="15"/>
              </w:rPr>
              <w:t> </w:t>
            </w:r>
            <w:r>
              <w:rPr>
                <w:b/>
                <w:color w:val="231F20"/>
                <w:sz w:val="15"/>
              </w:rPr>
              <w:t>Initial Antibiotic Treatment</w:t>
            </w:r>
          </w:p>
        </w:tc>
      </w:tr>
      <w:tr>
        <w:trPr>
          <w:trHeight w:val="583" w:hRule="atLeast"/>
        </w:trPr>
        <w:tc>
          <w:tcPr>
            <w:tcW w:w="2877" w:type="dxa"/>
            <w:gridSpan w:val="2"/>
            <w:tcBorders>
              <w:top w:val="single" w:sz="4" w:space="0" w:color="231F20"/>
              <w:bottom w:val="single" w:sz="4" w:space="0" w:color="231F20"/>
            </w:tcBorders>
            <w:shd w:val="clear" w:color="auto" w:fill="E8F5F1"/>
          </w:tcPr>
          <w:p>
            <w:pPr>
              <w:pStyle w:val="TableParagraph"/>
              <w:spacing w:before="31"/>
              <w:rPr>
                <w:sz w:val="15"/>
              </w:rPr>
            </w:pPr>
          </w:p>
          <w:p>
            <w:pPr>
              <w:pStyle w:val="TableParagraph"/>
              <w:spacing w:line="171" w:lineRule="exact"/>
              <w:ind w:left="74"/>
              <w:rPr>
                <w:b/>
                <w:sz w:val="15"/>
              </w:rPr>
            </w:pPr>
            <w:r>
              <w:rPr>
                <w:b/>
                <w:color w:val="231F20"/>
                <w:spacing w:val="-2"/>
                <w:w w:val="115"/>
                <w:sz w:val="15"/>
              </w:rPr>
              <w:t>RECOMMENDED</w:t>
            </w:r>
          </w:p>
          <w:p>
            <w:pPr>
              <w:pStyle w:val="TableParagraph"/>
              <w:spacing w:line="171" w:lineRule="exact"/>
              <w:ind w:left="74"/>
              <w:rPr>
                <w:b/>
                <w:sz w:val="15"/>
              </w:rPr>
            </w:pPr>
            <w:r>
              <w:rPr>
                <w:b/>
                <w:color w:val="231F20"/>
                <w:w w:val="105"/>
                <w:sz w:val="15"/>
              </w:rPr>
              <w:t>FIRST-LINE</w:t>
            </w:r>
            <w:r>
              <w:rPr>
                <w:b/>
                <w:color w:val="231F20"/>
                <w:spacing w:val="-3"/>
                <w:w w:val="105"/>
                <w:sz w:val="15"/>
              </w:rPr>
              <w:t> </w:t>
            </w:r>
            <w:r>
              <w:rPr>
                <w:b/>
                <w:color w:val="231F20"/>
                <w:spacing w:val="-2"/>
                <w:w w:val="105"/>
                <w:sz w:val="15"/>
              </w:rPr>
              <w:t>TREATMENT</w:t>
            </w:r>
          </w:p>
        </w:tc>
        <w:tc>
          <w:tcPr>
            <w:tcW w:w="2110" w:type="dxa"/>
            <w:tcBorders>
              <w:top w:val="single" w:sz="4" w:space="0" w:color="231F20"/>
              <w:bottom w:val="single" w:sz="4" w:space="0" w:color="231F20"/>
            </w:tcBorders>
            <w:shd w:val="clear" w:color="auto" w:fill="E8F5F1"/>
          </w:tcPr>
          <w:p>
            <w:pPr>
              <w:pStyle w:val="TableParagraph"/>
              <w:spacing w:line="230" w:lineRule="auto" w:before="43"/>
              <w:ind w:left="217" w:right="90"/>
              <w:jc w:val="center"/>
              <w:rPr>
                <w:b/>
                <w:sz w:val="15"/>
              </w:rPr>
            </w:pPr>
            <w:r>
              <w:rPr>
                <w:b/>
                <w:color w:val="231F20"/>
                <w:spacing w:val="-2"/>
                <w:sz w:val="15"/>
              </w:rPr>
              <w:t>ALTERNATIVE </w:t>
            </w:r>
            <w:r>
              <w:rPr>
                <w:b/>
                <w:color w:val="231F20"/>
                <w:spacing w:val="-2"/>
                <w:w w:val="110"/>
                <w:sz w:val="15"/>
              </w:rPr>
              <w:t>TREATMENT</w:t>
            </w:r>
          </w:p>
          <w:p>
            <w:pPr>
              <w:pStyle w:val="TableParagraph"/>
              <w:spacing w:line="170" w:lineRule="exact"/>
              <w:ind w:left="124"/>
              <w:jc w:val="center"/>
              <w:rPr>
                <w:b/>
                <w:sz w:val="15"/>
              </w:rPr>
            </w:pPr>
            <w:r>
              <w:rPr>
                <w:b/>
                <w:color w:val="231F20"/>
                <w:w w:val="105"/>
                <w:sz w:val="15"/>
              </w:rPr>
              <w:t>(IF</w:t>
            </w:r>
            <w:r>
              <w:rPr>
                <w:b/>
                <w:color w:val="231F20"/>
                <w:spacing w:val="10"/>
                <w:w w:val="105"/>
                <w:sz w:val="15"/>
              </w:rPr>
              <w:t> </w:t>
            </w:r>
            <w:r>
              <w:rPr>
                <w:b/>
                <w:color w:val="231F20"/>
                <w:w w:val="105"/>
                <w:sz w:val="15"/>
              </w:rPr>
              <w:t>PENICILLIN</w:t>
            </w:r>
            <w:r>
              <w:rPr>
                <w:b/>
                <w:color w:val="231F20"/>
                <w:spacing w:val="13"/>
                <w:w w:val="105"/>
                <w:sz w:val="15"/>
              </w:rPr>
              <w:t> </w:t>
            </w:r>
            <w:r>
              <w:rPr>
                <w:b/>
                <w:color w:val="231F20"/>
                <w:spacing w:val="-2"/>
                <w:w w:val="105"/>
                <w:sz w:val="15"/>
              </w:rPr>
              <w:t>ALLERGY)</w:t>
            </w:r>
          </w:p>
        </w:tc>
        <w:tc>
          <w:tcPr>
            <w:tcW w:w="4841" w:type="dxa"/>
            <w:gridSpan w:val="2"/>
            <w:tcBorders>
              <w:bottom w:val="single" w:sz="4" w:space="0" w:color="231F20"/>
            </w:tcBorders>
            <w:shd w:val="clear" w:color="auto" w:fill="E8F5F1"/>
          </w:tcPr>
          <w:p>
            <w:pPr>
              <w:pStyle w:val="TableParagraph"/>
              <w:spacing w:line="20" w:lineRule="exact"/>
              <w:ind w:left="327"/>
              <w:rPr>
                <w:sz w:val="2"/>
              </w:rPr>
            </w:pPr>
            <w:r>
              <w:rPr>
                <w:sz w:val="2"/>
              </w:rPr>
              <mc:AlternateContent>
                <mc:Choice Requires="wps">
                  <w:drawing>
                    <wp:inline distT="0" distB="0" distL="0" distR="0">
                      <wp:extent cx="2811145" cy="6350"/>
                      <wp:effectExtent l="9525" t="0" r="0" b="3175"/>
                      <wp:docPr id="1593" name="Group 1593"/>
                      <wp:cNvGraphicFramePr>
                        <a:graphicFrameLocks/>
                      </wp:cNvGraphicFramePr>
                      <a:graphic>
                        <a:graphicData uri="http://schemas.microsoft.com/office/word/2010/wordprocessingGroup">
                          <wpg:wgp>
                            <wpg:cNvPr id="1593" name="Group 1593"/>
                            <wpg:cNvGrpSpPr/>
                            <wpg:grpSpPr>
                              <a:xfrm>
                                <a:off x="0" y="0"/>
                                <a:ext cx="2811145" cy="6350"/>
                                <a:chExt cx="2811145" cy="6350"/>
                              </a:xfrm>
                            </wpg:grpSpPr>
                            <wps:wsp>
                              <wps:cNvPr id="1594" name="Graphic 1594"/>
                              <wps:cNvSpPr/>
                              <wps:spPr>
                                <a:xfrm>
                                  <a:off x="0" y="2962"/>
                                  <a:ext cx="2811145" cy="1270"/>
                                </a:xfrm>
                                <a:custGeom>
                                  <a:avLst/>
                                  <a:gdLst/>
                                  <a:ahLst/>
                                  <a:cxnLst/>
                                  <a:rect l="l" t="t" r="r" b="b"/>
                                  <a:pathLst>
                                    <a:path w="2811145" h="0">
                                      <a:moveTo>
                                        <a:pt x="0" y="0"/>
                                      </a:moveTo>
                                      <a:lnTo>
                                        <a:pt x="2810827" y="0"/>
                                      </a:lnTo>
                                    </a:path>
                                  </a:pathLst>
                                </a:custGeom>
                                <a:ln w="5924">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221.35pt;height:.5pt;mso-position-horizontal-relative:char;mso-position-vertical-relative:line" id="docshapegroup1264" coordorigin="0,0" coordsize="4427,10">
                      <v:line style="position:absolute" from="0,5" to="4427,5" stroked="true" strokeweight=".466503pt" strokecolor="#231f20">
                        <v:stroke dashstyle="solid"/>
                      </v:line>
                    </v:group>
                  </w:pict>
                </mc:Fallback>
              </mc:AlternateContent>
            </w:r>
            <w:r>
              <w:rPr>
                <w:sz w:val="2"/>
              </w:rPr>
            </w:r>
          </w:p>
          <w:p>
            <w:pPr>
              <w:pStyle w:val="TableParagraph"/>
              <w:spacing w:line="230" w:lineRule="auto" w:before="23"/>
              <w:ind w:left="726" w:right="3102" w:hanging="226"/>
              <w:rPr>
                <w:b/>
                <w:sz w:val="15"/>
              </w:rPr>
            </w:pPr>
            <w:r>
              <w:rPr>
                <w:b/>
                <w:color w:val="231F20"/>
                <w:spacing w:val="-2"/>
                <w:w w:val="110"/>
                <w:sz w:val="15"/>
              </w:rPr>
              <w:t>RECOMMENDED FIRST-LINE</w:t>
            </w:r>
          </w:p>
          <w:p>
            <w:pPr>
              <w:pStyle w:val="TableParagraph"/>
              <w:tabs>
                <w:tab w:pos="2497" w:val="left" w:leader="none"/>
              </w:tabs>
              <w:spacing w:line="170" w:lineRule="exact"/>
              <w:ind w:left="661"/>
              <w:rPr>
                <w:b/>
                <w:sz w:val="15"/>
              </w:rPr>
            </w:pPr>
            <w:r>
              <w:rPr>
                <w:b/>
                <w:color w:val="231F20"/>
                <w:spacing w:val="-2"/>
                <w:w w:val="110"/>
                <w:sz w:val="15"/>
              </w:rPr>
              <w:t>TREATMENT</w:t>
            </w:r>
            <w:r>
              <w:rPr>
                <w:b/>
                <w:color w:val="231F20"/>
                <w:sz w:val="15"/>
              </w:rPr>
              <w:tab/>
            </w:r>
            <w:r>
              <w:rPr>
                <w:b/>
                <w:color w:val="231F20"/>
                <w:w w:val="105"/>
                <w:sz w:val="15"/>
              </w:rPr>
              <w:t>ALTERNATIVE</w:t>
            </w:r>
            <w:r>
              <w:rPr>
                <w:b/>
                <w:color w:val="231F20"/>
                <w:spacing w:val="21"/>
                <w:w w:val="110"/>
                <w:sz w:val="15"/>
              </w:rPr>
              <w:t> </w:t>
            </w:r>
            <w:r>
              <w:rPr>
                <w:b/>
                <w:color w:val="231F20"/>
                <w:spacing w:val="-2"/>
                <w:w w:val="110"/>
                <w:sz w:val="15"/>
              </w:rPr>
              <w:t>TREATMENT</w:t>
            </w:r>
          </w:p>
        </w:tc>
      </w:tr>
      <w:tr>
        <w:trPr>
          <w:trHeight w:val="1097" w:hRule="atLeast"/>
        </w:trPr>
        <w:tc>
          <w:tcPr>
            <w:tcW w:w="2877" w:type="dxa"/>
            <w:gridSpan w:val="2"/>
            <w:tcBorders>
              <w:top w:val="single" w:sz="4" w:space="0" w:color="231F20"/>
              <w:bottom w:val="single" w:sz="4" w:space="0" w:color="FFFFFF"/>
            </w:tcBorders>
            <w:shd w:val="clear" w:color="auto" w:fill="E8F5F1"/>
          </w:tcPr>
          <w:p>
            <w:pPr>
              <w:pStyle w:val="TableParagraph"/>
              <w:spacing w:line="230" w:lineRule="auto" w:before="52"/>
              <w:ind w:left="186" w:right="190" w:hanging="112"/>
              <w:rPr>
                <w:sz w:val="15"/>
              </w:rPr>
            </w:pPr>
            <w:r>
              <w:rPr>
                <w:color w:val="231F20"/>
                <w:spacing w:val="-2"/>
                <w:sz w:val="15"/>
              </w:rPr>
              <w:t>Amoxicillin</w:t>
            </w:r>
            <w:r>
              <w:rPr>
                <w:color w:val="231F20"/>
                <w:spacing w:val="-10"/>
                <w:sz w:val="15"/>
              </w:rPr>
              <w:t> </w:t>
            </w:r>
            <w:r>
              <w:rPr>
                <w:color w:val="231F20"/>
                <w:spacing w:val="-2"/>
                <w:sz w:val="15"/>
              </w:rPr>
              <w:t>(80-90</w:t>
            </w:r>
            <w:r>
              <w:rPr>
                <w:color w:val="231F20"/>
                <w:spacing w:val="-9"/>
                <w:sz w:val="15"/>
              </w:rPr>
              <w:t> </w:t>
            </w:r>
            <w:r>
              <w:rPr>
                <w:color w:val="231F20"/>
                <w:spacing w:val="-2"/>
                <w:sz w:val="15"/>
              </w:rPr>
              <w:t>mg/kg/day</w:t>
            </w:r>
            <w:r>
              <w:rPr>
                <w:color w:val="231F20"/>
                <w:spacing w:val="-9"/>
                <w:sz w:val="15"/>
              </w:rPr>
              <w:t> </w:t>
            </w:r>
            <w:r>
              <w:rPr>
                <w:color w:val="231F20"/>
                <w:spacing w:val="-2"/>
                <w:sz w:val="15"/>
              </w:rPr>
              <w:t>in</w:t>
            </w:r>
            <w:r>
              <w:rPr>
                <w:color w:val="231F20"/>
                <w:spacing w:val="-10"/>
                <w:sz w:val="15"/>
              </w:rPr>
              <w:t> </w:t>
            </w:r>
            <w:r>
              <w:rPr>
                <w:color w:val="231F20"/>
                <w:spacing w:val="-2"/>
                <w:sz w:val="15"/>
              </w:rPr>
              <w:t>2 </w:t>
            </w:r>
            <w:r>
              <w:rPr>
                <w:color w:val="231F20"/>
                <w:sz w:val="15"/>
              </w:rPr>
              <w:t>divided doses)</w:t>
            </w:r>
          </w:p>
        </w:tc>
        <w:tc>
          <w:tcPr>
            <w:tcW w:w="2110" w:type="dxa"/>
            <w:tcBorders>
              <w:top w:val="single" w:sz="4" w:space="0" w:color="231F20"/>
              <w:bottom w:val="single" w:sz="4" w:space="0" w:color="FFFFFF"/>
            </w:tcBorders>
            <w:shd w:val="clear" w:color="auto" w:fill="E8F5F1"/>
          </w:tcPr>
          <w:p>
            <w:pPr>
              <w:pStyle w:val="TableParagraph"/>
              <w:spacing w:line="230" w:lineRule="auto" w:before="52"/>
              <w:ind w:left="312" w:right="150" w:hanging="113"/>
              <w:rPr>
                <w:sz w:val="15"/>
              </w:rPr>
            </w:pPr>
            <w:r>
              <w:rPr>
                <w:color w:val="231F20"/>
                <w:spacing w:val="-2"/>
                <w:sz w:val="15"/>
              </w:rPr>
              <w:t>Cefdinir</w:t>
            </w:r>
            <w:r>
              <w:rPr>
                <w:color w:val="0080AC"/>
                <w:spacing w:val="-2"/>
                <w:sz w:val="15"/>
                <w:vertAlign w:val="superscript"/>
              </w:rPr>
              <w:t>‡</w:t>
            </w:r>
            <w:r>
              <w:rPr>
                <w:color w:val="0080AC"/>
                <w:spacing w:val="-10"/>
                <w:sz w:val="15"/>
                <w:vertAlign w:val="baseline"/>
              </w:rPr>
              <w:t> </w:t>
            </w:r>
            <w:r>
              <w:rPr>
                <w:color w:val="231F20"/>
                <w:spacing w:val="-2"/>
                <w:sz w:val="15"/>
                <w:vertAlign w:val="baseline"/>
              </w:rPr>
              <w:t>(14</w:t>
            </w:r>
            <w:r>
              <w:rPr>
                <w:color w:val="231F20"/>
                <w:spacing w:val="-9"/>
                <w:sz w:val="15"/>
                <w:vertAlign w:val="baseline"/>
              </w:rPr>
              <w:t> </w:t>
            </w:r>
            <w:r>
              <w:rPr>
                <w:color w:val="231F20"/>
                <w:spacing w:val="-2"/>
                <w:sz w:val="15"/>
                <w:vertAlign w:val="baseline"/>
              </w:rPr>
              <w:t>mg/kg/day</w:t>
            </w:r>
            <w:r>
              <w:rPr>
                <w:color w:val="231F20"/>
                <w:spacing w:val="-9"/>
                <w:sz w:val="15"/>
                <w:vertAlign w:val="baseline"/>
              </w:rPr>
              <w:t> </w:t>
            </w:r>
            <w:r>
              <w:rPr>
                <w:color w:val="231F20"/>
                <w:spacing w:val="-2"/>
                <w:sz w:val="15"/>
                <w:vertAlign w:val="baseline"/>
              </w:rPr>
              <w:t>in </w:t>
            </w:r>
            <w:r>
              <w:rPr>
                <w:color w:val="231F20"/>
                <w:sz w:val="15"/>
                <w:vertAlign w:val="baseline"/>
              </w:rPr>
              <w:t>1 or 2 doses)</w:t>
            </w:r>
          </w:p>
        </w:tc>
        <w:tc>
          <w:tcPr>
            <w:tcW w:w="2113" w:type="dxa"/>
            <w:tcBorders>
              <w:top w:val="single" w:sz="4" w:space="0" w:color="231F20"/>
              <w:bottom w:val="single" w:sz="4" w:space="0" w:color="FFFFFF"/>
            </w:tcBorders>
            <w:shd w:val="clear" w:color="auto" w:fill="E8F5F1"/>
          </w:tcPr>
          <w:p>
            <w:pPr>
              <w:pStyle w:val="TableParagraph"/>
              <w:spacing w:line="230" w:lineRule="auto" w:before="52"/>
              <w:ind w:left="439" w:right="147" w:hanging="112"/>
              <w:rPr>
                <w:sz w:val="15"/>
              </w:rPr>
            </w:pPr>
            <w:r>
              <w:rPr>
                <w:color w:val="231F20"/>
                <w:spacing w:val="-4"/>
                <w:sz w:val="15"/>
              </w:rPr>
              <w:t>Amoxicillin-</w:t>
            </w:r>
            <w:r>
              <w:rPr>
                <w:color w:val="231F20"/>
                <w:spacing w:val="-4"/>
                <w:sz w:val="15"/>
              </w:rPr>
              <w:t>clavulanate</w:t>
            </w:r>
            <w:r>
              <w:rPr>
                <w:color w:val="0080AC"/>
                <w:spacing w:val="-4"/>
                <w:sz w:val="15"/>
              </w:rPr>
              <w:t>* </w:t>
            </w:r>
            <w:r>
              <w:rPr>
                <w:color w:val="231F20"/>
                <w:sz w:val="15"/>
              </w:rPr>
              <w:t>(90 mg/kg/day of amoxicillin, with</w:t>
            </w:r>
          </w:p>
          <w:p>
            <w:pPr>
              <w:pStyle w:val="TableParagraph"/>
              <w:spacing w:line="168" w:lineRule="exact"/>
              <w:ind w:left="439"/>
              <w:rPr>
                <w:sz w:val="15"/>
              </w:rPr>
            </w:pPr>
            <w:r>
              <w:rPr>
                <w:color w:val="231F20"/>
                <w:spacing w:val="-2"/>
                <w:sz w:val="15"/>
              </w:rPr>
              <w:t>6.4</w:t>
            </w:r>
            <w:r>
              <w:rPr>
                <w:color w:val="231F20"/>
                <w:spacing w:val="-6"/>
                <w:sz w:val="15"/>
              </w:rPr>
              <w:t> </w:t>
            </w:r>
            <w:r>
              <w:rPr>
                <w:color w:val="231F20"/>
                <w:spacing w:val="-2"/>
                <w:sz w:val="15"/>
              </w:rPr>
              <w:t>mg/kg/day</w:t>
            </w:r>
            <w:r>
              <w:rPr>
                <w:color w:val="231F20"/>
                <w:spacing w:val="-4"/>
                <w:sz w:val="15"/>
              </w:rPr>
              <w:t> </w:t>
            </w:r>
            <w:r>
              <w:rPr>
                <w:color w:val="231F20"/>
                <w:spacing w:val="-5"/>
                <w:sz w:val="15"/>
              </w:rPr>
              <w:t>of</w:t>
            </w:r>
          </w:p>
          <w:p>
            <w:pPr>
              <w:pStyle w:val="TableParagraph"/>
              <w:spacing w:line="230" w:lineRule="auto" w:before="3"/>
              <w:ind w:left="439" w:right="629"/>
              <w:rPr>
                <w:sz w:val="15"/>
              </w:rPr>
            </w:pPr>
            <w:r>
              <w:rPr>
                <w:color w:val="231F20"/>
                <w:spacing w:val="-2"/>
                <w:sz w:val="15"/>
              </w:rPr>
              <w:t>clavulanate</w:t>
            </w:r>
            <w:r>
              <w:rPr>
                <w:color w:val="231F20"/>
                <w:spacing w:val="-10"/>
                <w:sz w:val="15"/>
              </w:rPr>
              <w:t> </w:t>
            </w:r>
            <w:r>
              <w:rPr>
                <w:color w:val="231F20"/>
                <w:spacing w:val="-2"/>
                <w:sz w:val="15"/>
              </w:rPr>
              <w:t>in</w:t>
            </w:r>
            <w:r>
              <w:rPr>
                <w:color w:val="231F20"/>
                <w:spacing w:val="-9"/>
                <w:sz w:val="15"/>
              </w:rPr>
              <w:t> </w:t>
            </w:r>
            <w:r>
              <w:rPr>
                <w:color w:val="231F20"/>
                <w:spacing w:val="-2"/>
                <w:sz w:val="15"/>
              </w:rPr>
              <w:t>2 </w:t>
            </w:r>
            <w:r>
              <w:rPr>
                <w:color w:val="231F20"/>
                <w:sz w:val="15"/>
              </w:rPr>
              <w:t>divided doses)</w:t>
            </w:r>
          </w:p>
        </w:tc>
        <w:tc>
          <w:tcPr>
            <w:tcW w:w="2728" w:type="dxa"/>
            <w:tcBorders>
              <w:top w:val="single" w:sz="4" w:space="0" w:color="231F20"/>
              <w:bottom w:val="single" w:sz="4" w:space="0" w:color="FFFFFF"/>
            </w:tcBorders>
            <w:shd w:val="clear" w:color="auto" w:fill="E8F5F1"/>
          </w:tcPr>
          <w:p>
            <w:pPr>
              <w:pStyle w:val="TableParagraph"/>
              <w:spacing w:line="230" w:lineRule="auto" w:before="52"/>
              <w:ind w:left="312" w:right="1" w:hanging="112"/>
              <w:rPr>
                <w:sz w:val="15"/>
              </w:rPr>
            </w:pPr>
            <w:r>
              <w:rPr>
                <w:color w:val="231F20"/>
                <w:sz w:val="15"/>
              </w:rPr>
              <w:t>Ceftriaxone (50 mg IM or IV for 3 </w:t>
            </w:r>
            <w:r>
              <w:rPr>
                <w:color w:val="231F20"/>
                <w:spacing w:val="-2"/>
                <w:sz w:val="15"/>
              </w:rPr>
              <w:t>days,</w:t>
            </w:r>
            <w:r>
              <w:rPr>
                <w:color w:val="231F20"/>
                <w:spacing w:val="-10"/>
                <w:sz w:val="15"/>
              </w:rPr>
              <w:t> </w:t>
            </w:r>
            <w:r>
              <w:rPr>
                <w:color w:val="231F20"/>
                <w:spacing w:val="-2"/>
                <w:sz w:val="15"/>
              </w:rPr>
              <w:t>every</w:t>
            </w:r>
            <w:r>
              <w:rPr>
                <w:color w:val="231F20"/>
                <w:spacing w:val="-9"/>
                <w:sz w:val="15"/>
              </w:rPr>
              <w:t> </w:t>
            </w:r>
            <w:r>
              <w:rPr>
                <w:color w:val="231F20"/>
                <w:spacing w:val="-2"/>
                <w:sz w:val="15"/>
              </w:rPr>
              <w:t>other</w:t>
            </w:r>
            <w:r>
              <w:rPr>
                <w:color w:val="231F20"/>
                <w:spacing w:val="-9"/>
                <w:sz w:val="15"/>
              </w:rPr>
              <w:t> </w:t>
            </w:r>
            <w:r>
              <w:rPr>
                <w:color w:val="231F20"/>
                <w:spacing w:val="-2"/>
                <w:sz w:val="15"/>
              </w:rPr>
              <w:t>day</w:t>
            </w:r>
            <w:r>
              <w:rPr>
                <w:color w:val="231F20"/>
                <w:spacing w:val="-10"/>
                <w:sz w:val="15"/>
              </w:rPr>
              <w:t> </w:t>
            </w:r>
            <w:r>
              <w:rPr>
                <w:color w:val="231F20"/>
                <w:spacing w:val="-2"/>
                <w:sz w:val="15"/>
              </w:rPr>
              <w:t>until</w:t>
            </w:r>
            <w:r>
              <w:rPr>
                <w:color w:val="231F20"/>
                <w:spacing w:val="-9"/>
                <w:sz w:val="15"/>
              </w:rPr>
              <w:t> </w:t>
            </w:r>
            <w:r>
              <w:rPr>
                <w:color w:val="231F20"/>
                <w:spacing w:val="-2"/>
                <w:sz w:val="15"/>
              </w:rPr>
              <w:t>clinical </w:t>
            </w:r>
            <w:r>
              <w:rPr>
                <w:color w:val="231F20"/>
                <w:sz w:val="15"/>
              </w:rPr>
              <w:t>improvement; max 3 doses)</w:t>
            </w:r>
          </w:p>
          <w:p>
            <w:pPr>
              <w:pStyle w:val="TableParagraph"/>
              <w:spacing w:line="230" w:lineRule="auto" w:before="2"/>
              <w:ind w:left="312" w:right="198" w:hanging="112"/>
              <w:rPr>
                <w:sz w:val="15"/>
              </w:rPr>
            </w:pPr>
            <w:r>
              <w:rPr>
                <w:color w:val="231F20"/>
                <w:spacing w:val="-2"/>
                <w:sz w:val="15"/>
              </w:rPr>
              <w:t>Clindamycin</w:t>
            </w:r>
            <w:r>
              <w:rPr>
                <w:color w:val="231F20"/>
                <w:spacing w:val="-7"/>
                <w:sz w:val="15"/>
              </w:rPr>
              <w:t> </w:t>
            </w:r>
            <w:r>
              <w:rPr>
                <w:color w:val="231F20"/>
                <w:spacing w:val="-2"/>
                <w:sz w:val="15"/>
              </w:rPr>
              <w:t>(30-40</w:t>
            </w:r>
            <w:r>
              <w:rPr>
                <w:color w:val="231F20"/>
                <w:spacing w:val="-7"/>
                <w:sz w:val="15"/>
              </w:rPr>
              <w:t> </w:t>
            </w:r>
            <w:r>
              <w:rPr>
                <w:color w:val="231F20"/>
                <w:spacing w:val="-2"/>
                <w:sz w:val="15"/>
              </w:rPr>
              <w:t>mg/kg/day</w:t>
            </w:r>
            <w:r>
              <w:rPr>
                <w:color w:val="231F20"/>
                <w:spacing w:val="-7"/>
                <w:sz w:val="15"/>
              </w:rPr>
              <w:t> </w:t>
            </w:r>
            <w:r>
              <w:rPr>
                <w:color w:val="231F20"/>
                <w:spacing w:val="-2"/>
                <w:sz w:val="15"/>
              </w:rPr>
              <w:t>in</w:t>
            </w:r>
            <w:r>
              <w:rPr>
                <w:color w:val="231F20"/>
                <w:spacing w:val="-7"/>
                <w:sz w:val="15"/>
              </w:rPr>
              <w:t> </w:t>
            </w:r>
            <w:r>
              <w:rPr>
                <w:color w:val="231F20"/>
                <w:spacing w:val="-2"/>
                <w:sz w:val="15"/>
              </w:rPr>
              <w:t>3 </w:t>
            </w:r>
            <w:r>
              <w:rPr>
                <w:color w:val="231F20"/>
                <w:sz w:val="15"/>
              </w:rPr>
              <w:t>divided doses), with or without third-generation cephalosporin</w:t>
            </w:r>
          </w:p>
        </w:tc>
      </w:tr>
      <w:tr>
        <w:trPr>
          <w:trHeight w:val="420" w:hRule="atLeast"/>
        </w:trPr>
        <w:tc>
          <w:tcPr>
            <w:tcW w:w="2877" w:type="dxa"/>
            <w:gridSpan w:val="2"/>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5"/>
                <w:sz w:val="15"/>
              </w:rPr>
              <w:t>or</w:t>
            </w:r>
          </w:p>
        </w:tc>
        <w:tc>
          <w:tcPr>
            <w:tcW w:w="2110" w:type="dxa"/>
            <w:tcBorders>
              <w:top w:val="single" w:sz="4" w:space="0" w:color="FFFFFF"/>
              <w:bottom w:val="single" w:sz="4" w:space="0" w:color="FFFFFF"/>
            </w:tcBorders>
            <w:shd w:val="clear" w:color="auto" w:fill="E8F5F1"/>
          </w:tcPr>
          <w:p>
            <w:pPr>
              <w:pStyle w:val="TableParagraph"/>
              <w:spacing w:line="230" w:lineRule="auto" w:before="48"/>
              <w:ind w:left="312" w:right="5" w:hanging="112"/>
              <w:rPr>
                <w:sz w:val="15"/>
              </w:rPr>
            </w:pPr>
            <w:r>
              <w:rPr>
                <w:color w:val="231F20"/>
                <w:spacing w:val="-2"/>
                <w:sz w:val="15"/>
              </w:rPr>
              <w:t>Cefuroxime</w:t>
            </w:r>
            <w:r>
              <w:rPr>
                <w:color w:val="0080AC"/>
                <w:spacing w:val="-2"/>
                <w:sz w:val="15"/>
                <w:vertAlign w:val="superscript"/>
              </w:rPr>
              <w:t>‡</w:t>
            </w:r>
            <w:r>
              <w:rPr>
                <w:color w:val="0080AC"/>
                <w:spacing w:val="-10"/>
                <w:sz w:val="15"/>
                <w:vertAlign w:val="baseline"/>
              </w:rPr>
              <w:t> </w:t>
            </w:r>
            <w:r>
              <w:rPr>
                <w:color w:val="231F20"/>
                <w:spacing w:val="-2"/>
                <w:sz w:val="15"/>
                <w:vertAlign w:val="baseline"/>
              </w:rPr>
              <w:t>(30</w:t>
            </w:r>
            <w:r>
              <w:rPr>
                <w:color w:val="231F20"/>
                <w:spacing w:val="-9"/>
                <w:sz w:val="15"/>
                <w:vertAlign w:val="baseline"/>
              </w:rPr>
              <w:t> </w:t>
            </w:r>
            <w:r>
              <w:rPr>
                <w:color w:val="231F20"/>
                <w:spacing w:val="-2"/>
                <w:sz w:val="15"/>
                <w:vertAlign w:val="baseline"/>
              </w:rPr>
              <w:t>mg/kg/day </w:t>
            </w:r>
            <w:r>
              <w:rPr>
                <w:color w:val="231F20"/>
                <w:sz w:val="15"/>
                <w:vertAlign w:val="baseline"/>
              </w:rPr>
              <w:t>in 2 divided doses)</w:t>
            </w:r>
          </w:p>
        </w:tc>
        <w:tc>
          <w:tcPr>
            <w:tcW w:w="2113" w:type="dxa"/>
            <w:tcBorders>
              <w:top w:val="single" w:sz="4" w:space="0" w:color="FFFFFF"/>
              <w:bottom w:val="single" w:sz="4" w:space="0" w:color="FFFFFF"/>
            </w:tcBorders>
            <w:shd w:val="clear" w:color="auto" w:fill="E8F5F1"/>
          </w:tcPr>
          <w:p>
            <w:pPr>
              <w:pStyle w:val="TableParagraph"/>
              <w:spacing w:before="42"/>
              <w:ind w:left="327"/>
              <w:rPr>
                <w:sz w:val="15"/>
              </w:rPr>
            </w:pPr>
            <w:r>
              <w:rPr>
                <w:color w:val="231F20"/>
                <w:spacing w:val="-5"/>
                <w:sz w:val="15"/>
              </w:rPr>
              <w:t>or</w:t>
            </w:r>
          </w:p>
        </w:tc>
        <w:tc>
          <w:tcPr>
            <w:tcW w:w="2728" w:type="dxa"/>
            <w:tcBorders>
              <w:top w:val="single" w:sz="4" w:space="0" w:color="FFFFFF"/>
              <w:bottom w:val="single" w:sz="4" w:space="0" w:color="FFFFFF"/>
            </w:tcBorders>
            <w:shd w:val="clear" w:color="auto" w:fill="E8F5F1"/>
          </w:tcPr>
          <w:p>
            <w:pPr>
              <w:pStyle w:val="TableParagraph"/>
              <w:spacing w:before="42"/>
              <w:ind w:left="200"/>
              <w:rPr>
                <w:sz w:val="15"/>
              </w:rPr>
            </w:pPr>
            <w:r>
              <w:rPr>
                <w:color w:val="231F20"/>
                <w:sz w:val="15"/>
              </w:rPr>
              <w:t>Failure</w:t>
            </w:r>
            <w:r>
              <w:rPr>
                <w:color w:val="231F20"/>
                <w:spacing w:val="-4"/>
                <w:sz w:val="15"/>
              </w:rPr>
              <w:t> </w:t>
            </w:r>
            <w:r>
              <w:rPr>
                <w:color w:val="231F20"/>
                <w:sz w:val="15"/>
              </w:rPr>
              <w:t>of</w:t>
            </w:r>
            <w:r>
              <w:rPr>
                <w:color w:val="231F20"/>
                <w:spacing w:val="-4"/>
                <w:sz w:val="15"/>
              </w:rPr>
              <w:t> </w:t>
            </w:r>
            <w:r>
              <w:rPr>
                <w:color w:val="231F20"/>
                <w:sz w:val="15"/>
              </w:rPr>
              <w:t>second</w:t>
            </w:r>
            <w:r>
              <w:rPr>
                <w:color w:val="231F20"/>
                <w:spacing w:val="-3"/>
                <w:sz w:val="15"/>
              </w:rPr>
              <w:t> </w:t>
            </w:r>
            <w:r>
              <w:rPr>
                <w:color w:val="231F20"/>
                <w:spacing w:val="-2"/>
                <w:sz w:val="15"/>
              </w:rPr>
              <w:t>antibiotic</w:t>
            </w:r>
          </w:p>
        </w:tc>
      </w:tr>
      <w:tr>
        <w:trPr>
          <w:trHeight w:val="1255" w:hRule="atLeast"/>
        </w:trPr>
        <w:tc>
          <w:tcPr>
            <w:tcW w:w="2877" w:type="dxa"/>
            <w:gridSpan w:val="2"/>
            <w:tcBorders>
              <w:top w:val="single" w:sz="4" w:space="0" w:color="FFFFFF"/>
              <w:bottom w:val="single" w:sz="8" w:space="0" w:color="231F20"/>
            </w:tcBorders>
            <w:shd w:val="clear" w:color="auto" w:fill="E8F5F1"/>
          </w:tcPr>
          <w:p>
            <w:pPr>
              <w:pStyle w:val="TableParagraph"/>
              <w:spacing w:line="230" w:lineRule="auto" w:before="48"/>
              <w:ind w:left="186" w:right="190" w:hanging="112"/>
              <w:rPr>
                <w:sz w:val="15"/>
              </w:rPr>
            </w:pPr>
            <w:r>
              <w:rPr>
                <w:color w:val="231F20"/>
                <w:spacing w:val="-2"/>
                <w:sz w:val="15"/>
              </w:rPr>
              <w:t>Amoxicillin-clavulanate</w:t>
            </w:r>
            <w:r>
              <w:rPr>
                <w:color w:val="0080AC"/>
                <w:spacing w:val="-2"/>
                <w:sz w:val="15"/>
              </w:rPr>
              <w:t>*</w:t>
            </w:r>
            <w:r>
              <w:rPr>
                <w:color w:val="0080AC"/>
                <w:spacing w:val="-10"/>
                <w:sz w:val="15"/>
              </w:rPr>
              <w:t> </w:t>
            </w:r>
            <w:r>
              <w:rPr>
                <w:color w:val="231F20"/>
                <w:spacing w:val="-2"/>
                <w:sz w:val="15"/>
              </w:rPr>
              <w:t>(90</w:t>
            </w:r>
            <w:r>
              <w:rPr>
                <w:color w:val="231F20"/>
                <w:spacing w:val="-9"/>
                <w:sz w:val="15"/>
              </w:rPr>
              <w:t> </w:t>
            </w:r>
            <w:r>
              <w:rPr>
                <w:color w:val="231F20"/>
                <w:spacing w:val="-2"/>
                <w:sz w:val="15"/>
              </w:rPr>
              <w:t>mg/kg/day </w:t>
            </w:r>
            <w:r>
              <w:rPr>
                <w:color w:val="231F20"/>
                <w:sz w:val="15"/>
              </w:rPr>
              <w:t>of</w:t>
            </w:r>
            <w:r>
              <w:rPr>
                <w:color w:val="231F20"/>
                <w:spacing w:val="-12"/>
                <w:sz w:val="15"/>
              </w:rPr>
              <w:t> </w:t>
            </w:r>
            <w:r>
              <w:rPr>
                <w:color w:val="231F20"/>
                <w:sz w:val="15"/>
              </w:rPr>
              <w:t>amoxicillin,</w:t>
            </w:r>
            <w:r>
              <w:rPr>
                <w:color w:val="231F20"/>
                <w:spacing w:val="-11"/>
                <w:sz w:val="15"/>
              </w:rPr>
              <w:t> </w:t>
            </w:r>
            <w:r>
              <w:rPr>
                <w:color w:val="231F20"/>
                <w:sz w:val="15"/>
              </w:rPr>
              <w:t>with</w:t>
            </w:r>
            <w:r>
              <w:rPr>
                <w:color w:val="231F20"/>
                <w:spacing w:val="-11"/>
                <w:sz w:val="15"/>
              </w:rPr>
              <w:t> </w:t>
            </w:r>
            <w:r>
              <w:rPr>
                <w:color w:val="231F20"/>
                <w:sz w:val="15"/>
              </w:rPr>
              <w:t>6.4</w:t>
            </w:r>
            <w:r>
              <w:rPr>
                <w:color w:val="231F20"/>
                <w:spacing w:val="-12"/>
                <w:sz w:val="15"/>
              </w:rPr>
              <w:t> </w:t>
            </w:r>
            <w:r>
              <w:rPr>
                <w:color w:val="231F20"/>
                <w:sz w:val="15"/>
              </w:rPr>
              <w:t>mg/kg/day</w:t>
            </w:r>
            <w:r>
              <w:rPr>
                <w:color w:val="231F20"/>
                <w:spacing w:val="-11"/>
                <w:sz w:val="15"/>
              </w:rPr>
              <w:t> </w:t>
            </w:r>
            <w:r>
              <w:rPr>
                <w:color w:val="231F20"/>
                <w:sz w:val="15"/>
              </w:rPr>
              <w:t>of clavulanate</w:t>
            </w:r>
            <w:r>
              <w:rPr>
                <w:color w:val="231F20"/>
                <w:spacing w:val="-12"/>
                <w:sz w:val="15"/>
              </w:rPr>
              <w:t> </w:t>
            </w:r>
            <w:r>
              <w:rPr>
                <w:color w:val="231F20"/>
                <w:sz w:val="15"/>
              </w:rPr>
              <w:t>[amoxicillin</w:t>
            </w:r>
            <w:r>
              <w:rPr>
                <w:color w:val="231F20"/>
                <w:spacing w:val="-27"/>
                <w:sz w:val="15"/>
              </w:rPr>
              <w:t> </w:t>
            </w:r>
            <w:r>
              <w:rPr>
                <w:color w:val="231F20"/>
                <w:sz w:val="15"/>
              </w:rPr>
              <w:t>:</w:t>
            </w:r>
            <w:r>
              <w:rPr>
                <w:color w:val="231F20"/>
                <w:spacing w:val="-27"/>
                <w:sz w:val="15"/>
              </w:rPr>
              <w:t> </w:t>
            </w:r>
            <w:r>
              <w:rPr>
                <w:color w:val="231F20"/>
                <w:sz w:val="15"/>
              </w:rPr>
              <w:t>clavulanate ratio, 14</w:t>
            </w:r>
            <w:r>
              <w:rPr>
                <w:color w:val="231F20"/>
                <w:spacing w:val="-24"/>
                <w:sz w:val="15"/>
              </w:rPr>
              <w:t> </w:t>
            </w:r>
            <w:r>
              <w:rPr>
                <w:color w:val="231F20"/>
                <w:sz w:val="15"/>
              </w:rPr>
              <w:t>:</w:t>
            </w:r>
            <w:r>
              <w:rPr>
                <w:color w:val="231F20"/>
                <w:spacing w:val="-24"/>
                <w:sz w:val="15"/>
              </w:rPr>
              <w:t> </w:t>
            </w:r>
            <w:r>
              <w:rPr>
                <w:color w:val="231F20"/>
                <w:sz w:val="15"/>
              </w:rPr>
              <w:t>1] in 2 divided doses) or Ceftriaxone (50 mg IM or IV for 3 days, every other day until improvement; max 3 doses)</w:t>
            </w:r>
          </w:p>
        </w:tc>
        <w:tc>
          <w:tcPr>
            <w:tcW w:w="2110" w:type="dxa"/>
            <w:tcBorders>
              <w:top w:val="single" w:sz="4" w:space="0" w:color="FFFFFF"/>
              <w:bottom w:val="single" w:sz="8" w:space="0" w:color="231F20"/>
            </w:tcBorders>
            <w:shd w:val="clear" w:color="auto" w:fill="E8F5F1"/>
          </w:tcPr>
          <w:p>
            <w:pPr>
              <w:pStyle w:val="TableParagraph"/>
              <w:spacing w:line="171" w:lineRule="exact" w:before="42"/>
              <w:ind w:left="200"/>
              <w:rPr>
                <w:sz w:val="15"/>
              </w:rPr>
            </w:pPr>
            <w:r>
              <w:rPr>
                <w:color w:val="231F20"/>
                <w:spacing w:val="-2"/>
                <w:w w:val="105"/>
                <w:sz w:val="15"/>
              </w:rPr>
              <w:t>Cefpodoxime</w:t>
            </w:r>
            <w:r>
              <w:rPr>
                <w:color w:val="0080AC"/>
                <w:spacing w:val="-2"/>
                <w:w w:val="105"/>
                <w:sz w:val="15"/>
                <w:vertAlign w:val="superscript"/>
              </w:rPr>
              <w:t>‡</w:t>
            </w:r>
          </w:p>
          <w:p>
            <w:pPr>
              <w:pStyle w:val="TableParagraph"/>
              <w:spacing w:line="230" w:lineRule="auto" w:before="2"/>
              <w:ind w:left="312" w:right="124"/>
              <w:rPr>
                <w:sz w:val="15"/>
              </w:rPr>
            </w:pPr>
            <w:r>
              <w:rPr>
                <w:color w:val="231F20"/>
                <w:spacing w:val="-2"/>
                <w:sz w:val="15"/>
              </w:rPr>
              <w:t>(10</w:t>
            </w:r>
            <w:r>
              <w:rPr>
                <w:color w:val="231F20"/>
                <w:spacing w:val="-10"/>
                <w:sz w:val="15"/>
              </w:rPr>
              <w:t> </w:t>
            </w:r>
            <w:r>
              <w:rPr>
                <w:color w:val="231F20"/>
                <w:spacing w:val="-2"/>
                <w:sz w:val="15"/>
              </w:rPr>
              <w:t>mg/kg/day</w:t>
            </w:r>
            <w:r>
              <w:rPr>
                <w:color w:val="231F20"/>
                <w:spacing w:val="-9"/>
                <w:sz w:val="15"/>
              </w:rPr>
              <w:t> </w:t>
            </w:r>
            <w:r>
              <w:rPr>
                <w:color w:val="231F20"/>
                <w:spacing w:val="-2"/>
                <w:sz w:val="15"/>
              </w:rPr>
              <w:t>in</w:t>
            </w:r>
            <w:r>
              <w:rPr>
                <w:color w:val="231F20"/>
                <w:spacing w:val="-9"/>
                <w:sz w:val="15"/>
              </w:rPr>
              <w:t> </w:t>
            </w:r>
            <w:r>
              <w:rPr>
                <w:color w:val="231F20"/>
                <w:spacing w:val="-2"/>
                <w:sz w:val="15"/>
              </w:rPr>
              <w:t>2 </w:t>
            </w:r>
            <w:r>
              <w:rPr>
                <w:color w:val="231F20"/>
                <w:sz w:val="15"/>
              </w:rPr>
              <w:t>divided doses)</w:t>
            </w:r>
          </w:p>
          <w:p>
            <w:pPr>
              <w:pStyle w:val="TableParagraph"/>
              <w:spacing w:line="230" w:lineRule="auto" w:before="2"/>
              <w:ind w:left="312" w:right="124" w:hanging="112"/>
              <w:rPr>
                <w:sz w:val="15"/>
              </w:rPr>
            </w:pPr>
            <w:r>
              <w:rPr>
                <w:color w:val="231F20"/>
                <w:sz w:val="15"/>
              </w:rPr>
              <w:t>Ceftriaxone</w:t>
            </w:r>
            <w:r>
              <w:rPr>
                <w:color w:val="0080AC"/>
                <w:sz w:val="15"/>
                <w:vertAlign w:val="superscript"/>
              </w:rPr>
              <w:t>‡</w:t>
            </w:r>
            <w:r>
              <w:rPr>
                <w:color w:val="0080AC"/>
                <w:spacing w:val="-6"/>
                <w:sz w:val="15"/>
                <w:vertAlign w:val="baseline"/>
              </w:rPr>
              <w:t> </w:t>
            </w:r>
            <w:r>
              <w:rPr>
                <w:color w:val="231F20"/>
                <w:sz w:val="15"/>
                <w:vertAlign w:val="baseline"/>
              </w:rPr>
              <w:t>(50</w:t>
            </w:r>
            <w:r>
              <w:rPr>
                <w:color w:val="231F20"/>
                <w:spacing w:val="-6"/>
                <w:sz w:val="15"/>
                <w:vertAlign w:val="baseline"/>
              </w:rPr>
              <w:t> </w:t>
            </w:r>
            <w:r>
              <w:rPr>
                <w:color w:val="231F20"/>
                <w:sz w:val="15"/>
                <w:vertAlign w:val="baseline"/>
              </w:rPr>
              <w:t>mg</w:t>
            </w:r>
            <w:r>
              <w:rPr>
                <w:color w:val="231F20"/>
                <w:spacing w:val="-6"/>
                <w:sz w:val="15"/>
                <w:vertAlign w:val="baseline"/>
              </w:rPr>
              <w:t> </w:t>
            </w:r>
            <w:r>
              <w:rPr>
                <w:color w:val="231F20"/>
                <w:sz w:val="15"/>
                <w:vertAlign w:val="baseline"/>
              </w:rPr>
              <w:t>IM</w:t>
            </w:r>
            <w:r>
              <w:rPr>
                <w:color w:val="231F20"/>
                <w:spacing w:val="-6"/>
                <w:sz w:val="15"/>
                <w:vertAlign w:val="baseline"/>
              </w:rPr>
              <w:t> </w:t>
            </w:r>
            <w:r>
              <w:rPr>
                <w:color w:val="231F20"/>
                <w:sz w:val="15"/>
                <w:vertAlign w:val="baseline"/>
              </w:rPr>
              <w:t>or IV per day for 1 or 3 </w:t>
            </w:r>
            <w:r>
              <w:rPr>
                <w:color w:val="231F20"/>
                <w:spacing w:val="-2"/>
                <w:sz w:val="15"/>
                <w:vertAlign w:val="baseline"/>
              </w:rPr>
              <w:t>days)</w:t>
            </w:r>
          </w:p>
        </w:tc>
        <w:tc>
          <w:tcPr>
            <w:tcW w:w="2113" w:type="dxa"/>
            <w:tcBorders>
              <w:top w:val="single" w:sz="4" w:space="0" w:color="FFFFFF"/>
              <w:bottom w:val="single" w:sz="8" w:space="0" w:color="231F20"/>
            </w:tcBorders>
            <w:shd w:val="clear" w:color="auto" w:fill="E8F5F1"/>
          </w:tcPr>
          <w:p>
            <w:pPr>
              <w:pStyle w:val="TableParagraph"/>
              <w:spacing w:line="230" w:lineRule="auto" w:before="48"/>
              <w:ind w:left="439" w:right="196" w:hanging="112"/>
              <w:rPr>
                <w:sz w:val="15"/>
              </w:rPr>
            </w:pPr>
            <w:r>
              <w:rPr>
                <w:color w:val="231F20"/>
                <w:sz w:val="15"/>
              </w:rPr>
              <w:t>Ceftriaxone (50 mg IM or</w:t>
            </w:r>
            <w:r>
              <w:rPr>
                <w:color w:val="231F20"/>
                <w:spacing w:val="-12"/>
                <w:sz w:val="15"/>
              </w:rPr>
              <w:t> </w:t>
            </w:r>
            <w:r>
              <w:rPr>
                <w:color w:val="231F20"/>
                <w:sz w:val="15"/>
              </w:rPr>
              <w:t>IV</w:t>
            </w:r>
            <w:r>
              <w:rPr>
                <w:color w:val="231F20"/>
                <w:spacing w:val="-11"/>
                <w:sz w:val="15"/>
              </w:rPr>
              <w:t> </w:t>
            </w:r>
            <w:r>
              <w:rPr>
                <w:color w:val="231F20"/>
                <w:sz w:val="15"/>
              </w:rPr>
              <w:t>for</w:t>
            </w:r>
            <w:r>
              <w:rPr>
                <w:color w:val="231F20"/>
                <w:spacing w:val="-11"/>
                <w:sz w:val="15"/>
              </w:rPr>
              <w:t> </w:t>
            </w:r>
            <w:r>
              <w:rPr>
                <w:color w:val="231F20"/>
                <w:sz w:val="15"/>
              </w:rPr>
              <w:t>3</w:t>
            </w:r>
            <w:r>
              <w:rPr>
                <w:color w:val="231F20"/>
                <w:spacing w:val="-12"/>
                <w:sz w:val="15"/>
              </w:rPr>
              <w:t> </w:t>
            </w:r>
            <w:r>
              <w:rPr>
                <w:color w:val="231F20"/>
                <w:sz w:val="15"/>
              </w:rPr>
              <w:t>days,</w:t>
            </w:r>
            <w:r>
              <w:rPr>
                <w:color w:val="231F20"/>
                <w:spacing w:val="-11"/>
                <w:sz w:val="15"/>
              </w:rPr>
              <w:t> </w:t>
            </w:r>
            <w:r>
              <w:rPr>
                <w:color w:val="231F20"/>
                <w:sz w:val="15"/>
              </w:rPr>
              <w:t>every </w:t>
            </w:r>
            <w:r>
              <w:rPr>
                <w:color w:val="231F20"/>
                <w:spacing w:val="-2"/>
                <w:sz w:val="15"/>
              </w:rPr>
              <w:t>other</w:t>
            </w:r>
            <w:r>
              <w:rPr>
                <w:color w:val="231F20"/>
                <w:spacing w:val="-10"/>
                <w:sz w:val="15"/>
              </w:rPr>
              <w:t> </w:t>
            </w:r>
            <w:r>
              <w:rPr>
                <w:color w:val="231F20"/>
                <w:spacing w:val="-2"/>
                <w:sz w:val="15"/>
              </w:rPr>
              <w:t>day</w:t>
            </w:r>
            <w:r>
              <w:rPr>
                <w:color w:val="231F20"/>
                <w:spacing w:val="-9"/>
                <w:sz w:val="15"/>
              </w:rPr>
              <w:t> </w:t>
            </w:r>
            <w:r>
              <w:rPr>
                <w:color w:val="231F20"/>
                <w:spacing w:val="-2"/>
                <w:sz w:val="15"/>
              </w:rPr>
              <w:t>until</w:t>
            </w:r>
            <w:r>
              <w:rPr>
                <w:color w:val="231F20"/>
                <w:spacing w:val="-9"/>
                <w:sz w:val="15"/>
              </w:rPr>
              <w:t> </w:t>
            </w:r>
            <w:r>
              <w:rPr>
                <w:color w:val="231F20"/>
                <w:spacing w:val="-2"/>
                <w:sz w:val="15"/>
              </w:rPr>
              <w:t>clinical </w:t>
            </w:r>
            <w:r>
              <w:rPr>
                <w:color w:val="231F20"/>
                <w:sz w:val="15"/>
              </w:rPr>
              <w:t>improvement</w:t>
            </w:r>
            <w:r>
              <w:rPr>
                <w:color w:val="231F20"/>
                <w:spacing w:val="-4"/>
                <w:sz w:val="15"/>
              </w:rPr>
              <w:t> </w:t>
            </w:r>
            <w:r>
              <w:rPr>
                <w:color w:val="231F20"/>
                <w:sz w:val="15"/>
              </w:rPr>
              <w:t>or</w:t>
            </w:r>
            <w:r>
              <w:rPr>
                <w:color w:val="231F20"/>
                <w:spacing w:val="-4"/>
                <w:sz w:val="15"/>
              </w:rPr>
              <w:t> </w:t>
            </w:r>
            <w:r>
              <w:rPr>
                <w:color w:val="231F20"/>
                <w:sz w:val="15"/>
              </w:rPr>
              <w:t>for</w:t>
            </w:r>
            <w:r>
              <w:rPr>
                <w:color w:val="231F20"/>
                <w:spacing w:val="-4"/>
                <w:sz w:val="15"/>
              </w:rPr>
              <w:t> </w:t>
            </w:r>
            <w:r>
              <w:rPr>
                <w:color w:val="231F20"/>
                <w:sz w:val="15"/>
              </w:rPr>
              <w:t>a maximum</w:t>
            </w:r>
            <w:r>
              <w:rPr>
                <w:color w:val="231F20"/>
                <w:spacing w:val="-4"/>
                <w:sz w:val="15"/>
              </w:rPr>
              <w:t> </w:t>
            </w:r>
            <w:r>
              <w:rPr>
                <w:color w:val="231F20"/>
                <w:sz w:val="15"/>
              </w:rPr>
              <w:t>of</w:t>
            </w:r>
            <w:r>
              <w:rPr>
                <w:color w:val="231F20"/>
                <w:spacing w:val="-3"/>
                <w:sz w:val="15"/>
              </w:rPr>
              <w:t> </w:t>
            </w:r>
            <w:r>
              <w:rPr>
                <w:color w:val="231F20"/>
                <w:sz w:val="15"/>
              </w:rPr>
              <w:t>3</w:t>
            </w:r>
            <w:r>
              <w:rPr>
                <w:color w:val="231F20"/>
                <w:spacing w:val="-3"/>
                <w:sz w:val="15"/>
              </w:rPr>
              <w:t> </w:t>
            </w:r>
            <w:r>
              <w:rPr>
                <w:color w:val="231F20"/>
                <w:spacing w:val="-2"/>
                <w:sz w:val="15"/>
              </w:rPr>
              <w:t>doses)</w:t>
            </w:r>
          </w:p>
        </w:tc>
        <w:tc>
          <w:tcPr>
            <w:tcW w:w="2728" w:type="dxa"/>
            <w:tcBorders>
              <w:top w:val="single" w:sz="4" w:space="0" w:color="FFFFFF"/>
              <w:bottom w:val="single" w:sz="8" w:space="0" w:color="231F20"/>
            </w:tcBorders>
            <w:shd w:val="clear" w:color="auto" w:fill="E8F5F1"/>
          </w:tcPr>
          <w:p>
            <w:pPr>
              <w:pStyle w:val="TableParagraph"/>
              <w:spacing w:line="230" w:lineRule="auto" w:before="48"/>
              <w:ind w:left="312" w:right="198" w:hanging="112"/>
              <w:rPr>
                <w:sz w:val="15"/>
              </w:rPr>
            </w:pPr>
            <w:r>
              <w:rPr>
                <w:color w:val="231F20"/>
                <w:spacing w:val="-2"/>
                <w:sz w:val="15"/>
              </w:rPr>
              <w:t>Clindamycin</w:t>
            </w:r>
            <w:r>
              <w:rPr>
                <w:color w:val="231F20"/>
                <w:spacing w:val="-7"/>
                <w:sz w:val="15"/>
              </w:rPr>
              <w:t> </w:t>
            </w:r>
            <w:r>
              <w:rPr>
                <w:color w:val="231F20"/>
                <w:spacing w:val="-2"/>
                <w:sz w:val="15"/>
              </w:rPr>
              <w:t>(30-40</w:t>
            </w:r>
            <w:r>
              <w:rPr>
                <w:color w:val="231F20"/>
                <w:spacing w:val="-7"/>
                <w:sz w:val="15"/>
              </w:rPr>
              <w:t> </w:t>
            </w:r>
            <w:r>
              <w:rPr>
                <w:color w:val="231F20"/>
                <w:spacing w:val="-2"/>
                <w:sz w:val="15"/>
              </w:rPr>
              <w:t>mg/kg/day</w:t>
            </w:r>
            <w:r>
              <w:rPr>
                <w:color w:val="231F20"/>
                <w:spacing w:val="-7"/>
                <w:sz w:val="15"/>
              </w:rPr>
              <w:t> </w:t>
            </w:r>
            <w:r>
              <w:rPr>
                <w:color w:val="231F20"/>
                <w:spacing w:val="-2"/>
                <w:sz w:val="15"/>
              </w:rPr>
              <w:t>in</w:t>
            </w:r>
            <w:r>
              <w:rPr>
                <w:color w:val="231F20"/>
                <w:spacing w:val="-7"/>
                <w:sz w:val="15"/>
              </w:rPr>
              <w:t> </w:t>
            </w:r>
            <w:r>
              <w:rPr>
                <w:color w:val="231F20"/>
                <w:spacing w:val="-2"/>
                <w:sz w:val="15"/>
              </w:rPr>
              <w:t>3 </w:t>
            </w:r>
            <w:r>
              <w:rPr>
                <w:color w:val="231F20"/>
                <w:sz w:val="15"/>
              </w:rPr>
              <w:t>divided doses) with or without third-generation cephalosporin</w:t>
            </w:r>
          </w:p>
          <w:p>
            <w:pPr>
              <w:pStyle w:val="TableParagraph"/>
              <w:spacing w:line="230" w:lineRule="auto" w:before="2"/>
              <w:ind w:left="200" w:right="881"/>
              <w:rPr>
                <w:sz w:val="15"/>
              </w:rPr>
            </w:pPr>
            <w:r>
              <w:rPr>
                <w:color w:val="231F20"/>
                <w:spacing w:val="-2"/>
                <w:sz w:val="15"/>
              </w:rPr>
              <w:t>Tympanocentesis</w:t>
            </w:r>
            <w:r>
              <w:rPr>
                <w:color w:val="0080AC"/>
                <w:spacing w:val="-2"/>
                <w:sz w:val="15"/>
                <w:vertAlign w:val="superscript"/>
              </w:rPr>
              <w:t>†</w:t>
            </w:r>
            <w:r>
              <w:rPr>
                <w:color w:val="0080AC"/>
                <w:spacing w:val="-2"/>
                <w:sz w:val="15"/>
                <w:vertAlign w:val="baseline"/>
              </w:rPr>
              <w:t> </w:t>
            </w:r>
            <w:r>
              <w:rPr>
                <w:color w:val="231F20"/>
                <w:sz w:val="15"/>
                <w:vertAlign w:val="baseline"/>
              </w:rPr>
              <w:t>Consult</w:t>
            </w:r>
            <w:r>
              <w:rPr>
                <w:color w:val="231F20"/>
                <w:spacing w:val="10"/>
                <w:sz w:val="15"/>
                <w:vertAlign w:val="baseline"/>
              </w:rPr>
              <w:t> </w:t>
            </w:r>
            <w:r>
              <w:rPr>
                <w:color w:val="231F20"/>
                <w:spacing w:val="-4"/>
                <w:sz w:val="15"/>
                <w:vertAlign w:val="baseline"/>
              </w:rPr>
              <w:t>specialist</w:t>
            </w:r>
            <w:r>
              <w:rPr>
                <w:color w:val="0080AC"/>
                <w:spacing w:val="-4"/>
                <w:sz w:val="15"/>
                <w:vertAlign w:val="superscript"/>
              </w:rPr>
              <w:t>†</w:t>
            </w:r>
          </w:p>
        </w:tc>
      </w:tr>
    </w:tbl>
    <w:p>
      <w:pPr>
        <w:pStyle w:val="BodyText"/>
        <w:spacing w:line="150" w:lineRule="exact" w:before="75"/>
        <w:ind w:left="203"/>
      </w:pPr>
      <w:r>
        <w:rPr>
          <w:color w:val="231F20"/>
          <w:spacing w:val="-2"/>
        </w:rPr>
        <w:t>IM,</w:t>
      </w:r>
      <w:r>
        <w:rPr>
          <w:color w:val="231F20"/>
          <w:spacing w:val="-3"/>
        </w:rPr>
        <w:t> </w:t>
      </w:r>
      <w:r>
        <w:rPr>
          <w:color w:val="231F20"/>
          <w:spacing w:val="-2"/>
        </w:rPr>
        <w:t>intramuscular;</w:t>
      </w:r>
      <w:r>
        <w:rPr>
          <w:color w:val="231F20"/>
          <w:spacing w:val="-3"/>
        </w:rPr>
        <w:t> </w:t>
      </w:r>
      <w:r>
        <w:rPr>
          <w:color w:val="231F20"/>
          <w:spacing w:val="-2"/>
        </w:rPr>
        <w:t>IV,</w:t>
      </w:r>
      <w:r>
        <w:rPr>
          <w:color w:val="231F20"/>
          <w:spacing w:val="-3"/>
        </w:rPr>
        <w:t> </w:t>
      </w:r>
      <w:r>
        <w:rPr>
          <w:color w:val="231F20"/>
          <w:spacing w:val="-2"/>
        </w:rPr>
        <w:t>intravenous.</w:t>
      </w:r>
    </w:p>
    <w:p>
      <w:pPr>
        <w:pStyle w:val="BodyText"/>
        <w:spacing w:line="149" w:lineRule="exact"/>
        <w:ind w:left="334"/>
      </w:pPr>
      <w:r>
        <w:rPr>
          <w:color w:val="231F20"/>
        </w:rPr>
        <w:t>*May</w:t>
      </w:r>
      <w:r>
        <w:rPr>
          <w:color w:val="231F20"/>
          <w:spacing w:val="-2"/>
        </w:rPr>
        <w:t> </w:t>
      </w:r>
      <w:r>
        <w:rPr>
          <w:color w:val="231F20"/>
        </w:rPr>
        <w:t>be</w:t>
      </w:r>
      <w:r>
        <w:rPr>
          <w:color w:val="231F20"/>
          <w:spacing w:val="-1"/>
        </w:rPr>
        <w:t> </w:t>
      </w:r>
      <w:r>
        <w:rPr>
          <w:color w:val="231F20"/>
        </w:rPr>
        <w:t>considered</w:t>
      </w:r>
      <w:r>
        <w:rPr>
          <w:color w:val="231F20"/>
          <w:spacing w:val="-2"/>
        </w:rPr>
        <w:t> </w:t>
      </w:r>
      <w:r>
        <w:rPr>
          <w:color w:val="231F20"/>
        </w:rPr>
        <w:t>in</w:t>
      </w:r>
      <w:r>
        <w:rPr>
          <w:color w:val="231F20"/>
          <w:spacing w:val="-1"/>
        </w:rPr>
        <w:t> </w:t>
      </w:r>
      <w:r>
        <w:rPr>
          <w:color w:val="231F20"/>
        </w:rPr>
        <w:t>patients</w:t>
      </w:r>
      <w:r>
        <w:rPr>
          <w:color w:val="231F20"/>
          <w:spacing w:val="-2"/>
        </w:rPr>
        <w:t> </w:t>
      </w:r>
      <w:r>
        <w:rPr>
          <w:color w:val="231F20"/>
        </w:rPr>
        <w:t>who</w:t>
      </w:r>
      <w:r>
        <w:rPr>
          <w:color w:val="231F20"/>
          <w:spacing w:val="-1"/>
        </w:rPr>
        <w:t> </w:t>
      </w:r>
      <w:r>
        <w:rPr>
          <w:color w:val="231F20"/>
        </w:rPr>
        <w:t>have</w:t>
      </w:r>
      <w:r>
        <w:rPr>
          <w:color w:val="231F20"/>
          <w:spacing w:val="-2"/>
        </w:rPr>
        <w:t> </w:t>
      </w:r>
      <w:r>
        <w:rPr>
          <w:color w:val="231F20"/>
        </w:rPr>
        <w:t>received</w:t>
      </w:r>
      <w:r>
        <w:rPr>
          <w:color w:val="231F20"/>
          <w:spacing w:val="-1"/>
        </w:rPr>
        <w:t> </w:t>
      </w:r>
      <w:r>
        <w:rPr>
          <w:color w:val="231F20"/>
        </w:rPr>
        <w:t>amoxicillin</w:t>
      </w:r>
      <w:r>
        <w:rPr>
          <w:color w:val="231F20"/>
          <w:spacing w:val="-2"/>
        </w:rPr>
        <w:t> </w:t>
      </w:r>
      <w:r>
        <w:rPr>
          <w:color w:val="231F20"/>
        </w:rPr>
        <w:t>in</w:t>
      </w:r>
      <w:r>
        <w:rPr>
          <w:color w:val="231F20"/>
          <w:spacing w:val="-1"/>
        </w:rPr>
        <w:t> </w:t>
      </w:r>
      <w:r>
        <w:rPr>
          <w:color w:val="231F20"/>
        </w:rPr>
        <w:t>the</w:t>
      </w:r>
      <w:r>
        <w:rPr>
          <w:color w:val="231F20"/>
          <w:spacing w:val="-1"/>
        </w:rPr>
        <w:t> </w:t>
      </w:r>
      <w:r>
        <w:rPr>
          <w:color w:val="231F20"/>
        </w:rPr>
        <w:t>previous</w:t>
      </w:r>
      <w:r>
        <w:rPr>
          <w:color w:val="231F20"/>
          <w:spacing w:val="-2"/>
        </w:rPr>
        <w:t> </w:t>
      </w:r>
      <w:r>
        <w:rPr>
          <w:color w:val="231F20"/>
        </w:rPr>
        <w:t>30</w:t>
      </w:r>
      <w:r>
        <w:rPr>
          <w:color w:val="231F20"/>
          <w:spacing w:val="-1"/>
        </w:rPr>
        <w:t> </w:t>
      </w:r>
      <w:r>
        <w:rPr>
          <w:color w:val="231F20"/>
        </w:rPr>
        <w:t>days</w:t>
      </w:r>
      <w:r>
        <w:rPr>
          <w:color w:val="231F20"/>
          <w:spacing w:val="-2"/>
        </w:rPr>
        <w:t> </w:t>
      </w:r>
      <w:r>
        <w:rPr>
          <w:color w:val="231F20"/>
        </w:rPr>
        <w:t>or</w:t>
      </w:r>
      <w:r>
        <w:rPr>
          <w:color w:val="231F20"/>
          <w:spacing w:val="-1"/>
        </w:rPr>
        <w:t> </w:t>
      </w:r>
      <w:r>
        <w:rPr>
          <w:color w:val="231F20"/>
        </w:rPr>
        <w:t>who</w:t>
      </w:r>
      <w:r>
        <w:rPr>
          <w:color w:val="231F20"/>
          <w:spacing w:val="-2"/>
        </w:rPr>
        <w:t> </w:t>
      </w:r>
      <w:r>
        <w:rPr>
          <w:color w:val="231F20"/>
        </w:rPr>
        <w:t>have</w:t>
      </w:r>
      <w:r>
        <w:rPr>
          <w:color w:val="231F20"/>
          <w:spacing w:val="-1"/>
        </w:rPr>
        <w:t> </w:t>
      </w:r>
      <w:r>
        <w:rPr>
          <w:color w:val="231F20"/>
        </w:rPr>
        <w:t>the</w:t>
      </w:r>
      <w:r>
        <w:rPr>
          <w:color w:val="231F20"/>
          <w:spacing w:val="-2"/>
        </w:rPr>
        <w:t> </w:t>
      </w:r>
      <w:r>
        <w:rPr>
          <w:color w:val="231F20"/>
        </w:rPr>
        <w:t>otitis–conjunctivitis</w:t>
      </w:r>
      <w:r>
        <w:rPr>
          <w:color w:val="231F20"/>
          <w:spacing w:val="-1"/>
        </w:rPr>
        <w:t> </w:t>
      </w:r>
      <w:r>
        <w:rPr>
          <w:color w:val="231F20"/>
          <w:spacing w:val="-2"/>
        </w:rPr>
        <w:t>syndrome.</w:t>
      </w:r>
    </w:p>
    <w:p>
      <w:pPr>
        <w:pStyle w:val="BodyText"/>
        <w:ind w:left="203" w:right="760" w:firstLine="130"/>
      </w:pPr>
      <w:r>
        <w:rPr>
          <w:color w:val="231F20"/>
          <w:vertAlign w:val="superscript"/>
        </w:rPr>
        <w:t>†</w:t>
      </w:r>
      <w:r>
        <w:rPr>
          <w:color w:val="231F20"/>
          <w:vertAlign w:val="baseline"/>
        </w:rPr>
        <w:t>Perform</w:t>
      </w:r>
      <w:r>
        <w:rPr>
          <w:color w:val="231F20"/>
          <w:spacing w:val="-6"/>
          <w:vertAlign w:val="baseline"/>
        </w:rPr>
        <w:t> </w:t>
      </w:r>
      <w:r>
        <w:rPr>
          <w:color w:val="231F20"/>
          <w:vertAlign w:val="baseline"/>
        </w:rPr>
        <w:t>tympanocentesis/drainage</w:t>
      </w:r>
      <w:r>
        <w:rPr>
          <w:color w:val="231F20"/>
          <w:spacing w:val="-6"/>
          <w:vertAlign w:val="baseline"/>
        </w:rPr>
        <w:t> </w:t>
      </w:r>
      <w:r>
        <w:rPr>
          <w:color w:val="231F20"/>
          <w:vertAlign w:val="baseline"/>
        </w:rPr>
        <w:t>if</w:t>
      </w:r>
      <w:r>
        <w:rPr>
          <w:color w:val="231F20"/>
          <w:spacing w:val="-6"/>
          <w:vertAlign w:val="baseline"/>
        </w:rPr>
        <w:t> </w:t>
      </w:r>
      <w:r>
        <w:rPr>
          <w:color w:val="231F20"/>
          <w:vertAlign w:val="baseline"/>
        </w:rPr>
        <w:t>skilled</w:t>
      </w:r>
      <w:r>
        <w:rPr>
          <w:color w:val="231F20"/>
          <w:spacing w:val="-6"/>
          <w:vertAlign w:val="baseline"/>
        </w:rPr>
        <w:t> </w:t>
      </w:r>
      <w:r>
        <w:rPr>
          <w:color w:val="231F20"/>
          <w:vertAlign w:val="baseline"/>
        </w:rPr>
        <w:t>in</w:t>
      </w:r>
      <w:r>
        <w:rPr>
          <w:color w:val="231F20"/>
          <w:spacing w:val="-6"/>
          <w:vertAlign w:val="baseline"/>
        </w:rPr>
        <w:t> </w:t>
      </w:r>
      <w:r>
        <w:rPr>
          <w:color w:val="231F20"/>
          <w:vertAlign w:val="baseline"/>
        </w:rPr>
        <w:t>the</w:t>
      </w:r>
      <w:r>
        <w:rPr>
          <w:color w:val="231F20"/>
          <w:spacing w:val="-6"/>
          <w:vertAlign w:val="baseline"/>
        </w:rPr>
        <w:t> </w:t>
      </w:r>
      <w:r>
        <w:rPr>
          <w:color w:val="231F20"/>
          <w:vertAlign w:val="baseline"/>
        </w:rPr>
        <w:t>procedure,</w:t>
      </w:r>
      <w:r>
        <w:rPr>
          <w:color w:val="231F20"/>
          <w:spacing w:val="-6"/>
          <w:vertAlign w:val="baseline"/>
        </w:rPr>
        <w:t> </w:t>
      </w:r>
      <w:r>
        <w:rPr>
          <w:color w:val="231F20"/>
          <w:vertAlign w:val="baseline"/>
        </w:rPr>
        <w:t>or</w:t>
      </w:r>
      <w:r>
        <w:rPr>
          <w:color w:val="231F20"/>
          <w:spacing w:val="-6"/>
          <w:vertAlign w:val="baseline"/>
        </w:rPr>
        <w:t> </w:t>
      </w:r>
      <w:r>
        <w:rPr>
          <w:color w:val="231F20"/>
          <w:vertAlign w:val="baseline"/>
        </w:rPr>
        <w:t>seek</w:t>
      </w:r>
      <w:r>
        <w:rPr>
          <w:color w:val="231F20"/>
          <w:spacing w:val="-6"/>
          <w:vertAlign w:val="baseline"/>
        </w:rPr>
        <w:t> </w:t>
      </w:r>
      <w:r>
        <w:rPr>
          <w:color w:val="231F20"/>
          <w:vertAlign w:val="baseline"/>
        </w:rPr>
        <w:t>a</w:t>
      </w:r>
      <w:r>
        <w:rPr>
          <w:color w:val="231F20"/>
          <w:spacing w:val="-6"/>
          <w:vertAlign w:val="baseline"/>
        </w:rPr>
        <w:t> </w:t>
      </w:r>
      <w:r>
        <w:rPr>
          <w:color w:val="231F20"/>
          <w:vertAlign w:val="baseline"/>
        </w:rPr>
        <w:t>consultation</w:t>
      </w:r>
      <w:r>
        <w:rPr>
          <w:color w:val="231F20"/>
          <w:spacing w:val="-6"/>
          <w:vertAlign w:val="baseline"/>
        </w:rPr>
        <w:t> </w:t>
      </w:r>
      <w:r>
        <w:rPr>
          <w:color w:val="231F20"/>
          <w:vertAlign w:val="baseline"/>
        </w:rPr>
        <w:t>from</w:t>
      </w:r>
      <w:r>
        <w:rPr>
          <w:color w:val="231F20"/>
          <w:spacing w:val="-6"/>
          <w:vertAlign w:val="baseline"/>
        </w:rPr>
        <w:t> </w:t>
      </w:r>
      <w:r>
        <w:rPr>
          <w:color w:val="231F20"/>
          <w:vertAlign w:val="baseline"/>
        </w:rPr>
        <w:t>an</w:t>
      </w:r>
      <w:r>
        <w:rPr>
          <w:color w:val="231F20"/>
          <w:spacing w:val="-6"/>
          <w:vertAlign w:val="baseline"/>
        </w:rPr>
        <w:t> </w:t>
      </w:r>
      <w:r>
        <w:rPr>
          <w:color w:val="231F20"/>
          <w:vertAlign w:val="baseline"/>
        </w:rPr>
        <w:t>otolaryngologist</w:t>
      </w:r>
      <w:r>
        <w:rPr>
          <w:color w:val="231F20"/>
          <w:spacing w:val="-6"/>
          <w:vertAlign w:val="baseline"/>
        </w:rPr>
        <w:t> </w:t>
      </w:r>
      <w:r>
        <w:rPr>
          <w:color w:val="231F20"/>
          <w:vertAlign w:val="baseline"/>
        </w:rPr>
        <w:t>for</w:t>
      </w:r>
      <w:r>
        <w:rPr>
          <w:color w:val="231F20"/>
          <w:spacing w:val="-6"/>
          <w:vertAlign w:val="baseline"/>
        </w:rPr>
        <w:t> </w:t>
      </w:r>
      <w:r>
        <w:rPr>
          <w:color w:val="231F20"/>
          <w:vertAlign w:val="baseline"/>
        </w:rPr>
        <w:t>tympanocentesis/drainage.</w:t>
      </w:r>
      <w:r>
        <w:rPr>
          <w:color w:val="231F20"/>
          <w:spacing w:val="-6"/>
          <w:vertAlign w:val="baseline"/>
        </w:rPr>
        <w:t> </w:t>
      </w:r>
      <w:r>
        <w:rPr>
          <w:color w:val="231F20"/>
          <w:vertAlign w:val="baseline"/>
        </w:rPr>
        <w:t>If</w:t>
      </w:r>
      <w:r>
        <w:rPr>
          <w:color w:val="231F20"/>
          <w:spacing w:val="-6"/>
          <w:vertAlign w:val="baseline"/>
        </w:rPr>
        <w:t> </w:t>
      </w:r>
      <w:r>
        <w:rPr>
          <w:color w:val="231F20"/>
          <w:vertAlign w:val="baseline"/>
        </w:rPr>
        <w:t>the</w:t>
      </w:r>
      <w:r>
        <w:rPr>
          <w:color w:val="231F20"/>
          <w:spacing w:val="40"/>
          <w:vertAlign w:val="baseline"/>
        </w:rPr>
        <w:t> </w:t>
      </w:r>
      <w:r>
        <w:rPr>
          <w:color w:val="231F20"/>
          <w:vertAlign w:val="baseline"/>
        </w:rPr>
        <w:t>tympanocentesis reveals multidrug-resistant bacteria, seek an infectious disease specialist consultation.</w:t>
      </w:r>
    </w:p>
    <w:p>
      <w:pPr>
        <w:pStyle w:val="BodyText"/>
        <w:spacing w:line="237" w:lineRule="auto"/>
        <w:ind w:left="203" w:right="614" w:firstLine="130"/>
      </w:pPr>
      <w:r>
        <w:rPr>
          <w:color w:val="231F20"/>
          <w:vertAlign w:val="superscript"/>
        </w:rPr>
        <w:t>‡</w:t>
      </w:r>
      <w:r>
        <w:rPr>
          <w:color w:val="231F20"/>
          <w:vertAlign w:val="baseline"/>
        </w:rPr>
        <w:t>Cefdinir,</w:t>
      </w:r>
      <w:r>
        <w:rPr>
          <w:color w:val="231F20"/>
          <w:spacing w:val="-9"/>
          <w:vertAlign w:val="baseline"/>
        </w:rPr>
        <w:t> </w:t>
      </w:r>
      <w:r>
        <w:rPr>
          <w:color w:val="231F20"/>
          <w:vertAlign w:val="baseline"/>
        </w:rPr>
        <w:t>cefuroxime,</w:t>
      </w:r>
      <w:r>
        <w:rPr>
          <w:color w:val="231F20"/>
          <w:spacing w:val="-9"/>
          <w:vertAlign w:val="baseline"/>
        </w:rPr>
        <w:t> </w:t>
      </w:r>
      <w:r>
        <w:rPr>
          <w:color w:val="231F20"/>
          <w:vertAlign w:val="baseline"/>
        </w:rPr>
        <w:t>cefpodoxime,</w:t>
      </w:r>
      <w:r>
        <w:rPr>
          <w:color w:val="231F20"/>
          <w:spacing w:val="-9"/>
          <w:vertAlign w:val="baseline"/>
        </w:rPr>
        <w:t> </w:t>
      </w:r>
      <w:r>
        <w:rPr>
          <w:color w:val="231F20"/>
          <w:vertAlign w:val="baseline"/>
        </w:rPr>
        <w:t>and</w:t>
      </w:r>
      <w:r>
        <w:rPr>
          <w:color w:val="231F20"/>
          <w:spacing w:val="-9"/>
          <w:vertAlign w:val="baseline"/>
        </w:rPr>
        <w:t> </w:t>
      </w:r>
      <w:r>
        <w:rPr>
          <w:color w:val="231F20"/>
          <w:vertAlign w:val="baseline"/>
        </w:rPr>
        <w:t>ceftriaxone</w:t>
      </w:r>
      <w:r>
        <w:rPr>
          <w:color w:val="231F20"/>
          <w:spacing w:val="-9"/>
          <w:vertAlign w:val="baseline"/>
        </w:rPr>
        <w:t> </w:t>
      </w:r>
      <w:r>
        <w:rPr>
          <w:color w:val="231F20"/>
          <w:vertAlign w:val="baseline"/>
        </w:rPr>
        <w:t>are</w:t>
      </w:r>
      <w:r>
        <w:rPr>
          <w:color w:val="231F20"/>
          <w:spacing w:val="-9"/>
          <w:vertAlign w:val="baseline"/>
        </w:rPr>
        <w:t> </w:t>
      </w:r>
      <w:r>
        <w:rPr>
          <w:color w:val="231F20"/>
          <w:vertAlign w:val="baseline"/>
        </w:rPr>
        <w:t>highly</w:t>
      </w:r>
      <w:r>
        <w:rPr>
          <w:color w:val="231F20"/>
          <w:spacing w:val="-9"/>
          <w:vertAlign w:val="baseline"/>
        </w:rPr>
        <w:t> </w:t>
      </w:r>
      <w:r>
        <w:rPr>
          <w:color w:val="231F20"/>
          <w:vertAlign w:val="baseline"/>
        </w:rPr>
        <w:t>unlikely</w:t>
      </w:r>
      <w:r>
        <w:rPr>
          <w:color w:val="231F20"/>
          <w:spacing w:val="-9"/>
          <w:vertAlign w:val="baseline"/>
        </w:rPr>
        <w:t> </w:t>
      </w:r>
      <w:r>
        <w:rPr>
          <w:color w:val="231F20"/>
          <w:vertAlign w:val="baseline"/>
        </w:rPr>
        <w:t>to</w:t>
      </w:r>
      <w:r>
        <w:rPr>
          <w:color w:val="231F20"/>
          <w:spacing w:val="-9"/>
          <w:vertAlign w:val="baseline"/>
        </w:rPr>
        <w:t> </w:t>
      </w:r>
      <w:r>
        <w:rPr>
          <w:color w:val="231F20"/>
          <w:vertAlign w:val="baseline"/>
        </w:rPr>
        <w:t>be</w:t>
      </w:r>
      <w:r>
        <w:rPr>
          <w:color w:val="231F20"/>
          <w:spacing w:val="-9"/>
          <w:vertAlign w:val="baseline"/>
        </w:rPr>
        <w:t> </w:t>
      </w:r>
      <w:r>
        <w:rPr>
          <w:color w:val="231F20"/>
          <w:vertAlign w:val="baseline"/>
        </w:rPr>
        <w:t>associated</w:t>
      </w:r>
      <w:r>
        <w:rPr>
          <w:color w:val="231F20"/>
          <w:spacing w:val="-9"/>
          <w:vertAlign w:val="baseline"/>
        </w:rPr>
        <w:t> </w:t>
      </w:r>
      <w:r>
        <w:rPr>
          <w:color w:val="231F20"/>
          <w:vertAlign w:val="baseline"/>
        </w:rPr>
        <w:t>with</w:t>
      </w:r>
      <w:r>
        <w:rPr>
          <w:color w:val="231F20"/>
          <w:spacing w:val="-9"/>
          <w:vertAlign w:val="baseline"/>
        </w:rPr>
        <w:t> </w:t>
      </w:r>
      <w:r>
        <w:rPr>
          <w:color w:val="231F20"/>
          <w:vertAlign w:val="baseline"/>
        </w:rPr>
        <w:t>cross</w:t>
      </w:r>
      <w:r>
        <w:rPr>
          <w:color w:val="231F20"/>
          <w:spacing w:val="-9"/>
          <w:vertAlign w:val="baseline"/>
        </w:rPr>
        <w:t> </w:t>
      </w:r>
      <w:r>
        <w:rPr>
          <w:color w:val="231F20"/>
          <w:vertAlign w:val="baseline"/>
        </w:rPr>
        <w:t>reactivity</w:t>
      </w:r>
      <w:r>
        <w:rPr>
          <w:color w:val="231F20"/>
          <w:spacing w:val="-9"/>
          <w:vertAlign w:val="baseline"/>
        </w:rPr>
        <w:t> </w:t>
      </w:r>
      <w:r>
        <w:rPr>
          <w:color w:val="231F20"/>
          <w:vertAlign w:val="baseline"/>
        </w:rPr>
        <w:t>with</w:t>
      </w:r>
      <w:r>
        <w:rPr>
          <w:color w:val="231F20"/>
          <w:spacing w:val="-9"/>
          <w:vertAlign w:val="baseline"/>
        </w:rPr>
        <w:t> </w:t>
      </w:r>
      <w:r>
        <w:rPr>
          <w:color w:val="231F20"/>
          <w:vertAlign w:val="baseline"/>
        </w:rPr>
        <w:t>penicillin</w:t>
      </w:r>
      <w:r>
        <w:rPr>
          <w:color w:val="231F20"/>
          <w:spacing w:val="-9"/>
          <w:vertAlign w:val="baseline"/>
        </w:rPr>
        <w:t> </w:t>
      </w:r>
      <w:r>
        <w:rPr>
          <w:color w:val="231F20"/>
          <w:vertAlign w:val="baseline"/>
        </w:rPr>
        <w:t>allergy</w:t>
      </w:r>
      <w:r>
        <w:rPr>
          <w:color w:val="231F20"/>
          <w:spacing w:val="-9"/>
          <w:vertAlign w:val="baseline"/>
        </w:rPr>
        <w:t> </w:t>
      </w:r>
      <w:r>
        <w:rPr>
          <w:color w:val="231F20"/>
          <w:vertAlign w:val="baseline"/>
        </w:rPr>
        <w:t>on</w:t>
      </w:r>
      <w:r>
        <w:rPr>
          <w:color w:val="231F20"/>
          <w:spacing w:val="-9"/>
          <w:vertAlign w:val="baseline"/>
        </w:rPr>
        <w:t> </w:t>
      </w:r>
      <w:r>
        <w:rPr>
          <w:color w:val="231F20"/>
          <w:vertAlign w:val="baseline"/>
        </w:rPr>
        <w:t>the</w:t>
      </w:r>
      <w:r>
        <w:rPr>
          <w:color w:val="231F20"/>
          <w:spacing w:val="-9"/>
          <w:vertAlign w:val="baseline"/>
        </w:rPr>
        <w:t> </w:t>
      </w:r>
      <w:r>
        <w:rPr>
          <w:color w:val="231F20"/>
          <w:vertAlign w:val="baseline"/>
        </w:rPr>
        <w:t>basis</w:t>
      </w:r>
      <w:r>
        <w:rPr>
          <w:color w:val="231F20"/>
          <w:spacing w:val="-9"/>
          <w:vertAlign w:val="baseline"/>
        </w:rPr>
        <w:t> </w:t>
      </w:r>
      <w:r>
        <w:rPr>
          <w:color w:val="231F20"/>
          <w:vertAlign w:val="baseline"/>
        </w:rPr>
        <w:t>of</w:t>
      </w:r>
      <w:r>
        <w:rPr>
          <w:color w:val="231F20"/>
          <w:spacing w:val="-9"/>
          <w:vertAlign w:val="baseline"/>
        </w:rPr>
        <w:t> </w:t>
      </w:r>
      <w:r>
        <w:rPr>
          <w:color w:val="231F20"/>
          <w:vertAlign w:val="baseline"/>
        </w:rPr>
        <w:t>their</w:t>
      </w:r>
      <w:r>
        <w:rPr>
          <w:color w:val="231F20"/>
          <w:spacing w:val="-9"/>
          <w:vertAlign w:val="baseline"/>
        </w:rPr>
        <w:t> </w:t>
      </w:r>
      <w:r>
        <w:rPr>
          <w:color w:val="231F20"/>
          <w:vertAlign w:val="baseline"/>
        </w:rPr>
        <w:t>distinct</w:t>
      </w:r>
      <w:r>
        <w:rPr>
          <w:color w:val="231F20"/>
          <w:spacing w:val="40"/>
          <w:vertAlign w:val="baseline"/>
        </w:rPr>
        <w:t> </w:t>
      </w:r>
      <w:r>
        <w:rPr>
          <w:color w:val="231F20"/>
          <w:vertAlign w:val="baseline"/>
        </w:rPr>
        <w:t>chemical structures.</w:t>
      </w:r>
    </w:p>
    <w:p>
      <w:pPr>
        <w:spacing w:line="149" w:lineRule="exact" w:before="0"/>
        <w:ind w:left="334" w:right="0" w:firstLine="0"/>
        <w:jc w:val="left"/>
        <w:rPr>
          <w:i/>
          <w:sz w:val="13"/>
        </w:rPr>
      </w:pPr>
      <w:r>
        <w:rPr>
          <w:i/>
          <w:color w:val="231F20"/>
          <w:sz w:val="13"/>
        </w:rPr>
        <w:t>From</w:t>
      </w:r>
      <w:r>
        <w:rPr>
          <w:i/>
          <w:color w:val="231F20"/>
          <w:spacing w:val="-7"/>
          <w:sz w:val="13"/>
        </w:rPr>
        <w:t> </w:t>
      </w:r>
      <w:r>
        <w:rPr>
          <w:i/>
          <w:color w:val="231F20"/>
          <w:sz w:val="13"/>
        </w:rPr>
        <w:t>Lieberthal</w:t>
      </w:r>
      <w:r>
        <w:rPr>
          <w:i/>
          <w:color w:val="231F20"/>
          <w:spacing w:val="-6"/>
          <w:sz w:val="13"/>
        </w:rPr>
        <w:t> </w:t>
      </w:r>
      <w:r>
        <w:rPr>
          <w:i/>
          <w:color w:val="231F20"/>
          <w:sz w:val="13"/>
        </w:rPr>
        <w:t>AS,</w:t>
      </w:r>
      <w:r>
        <w:rPr>
          <w:i/>
          <w:color w:val="231F20"/>
          <w:spacing w:val="-6"/>
          <w:sz w:val="13"/>
        </w:rPr>
        <w:t> </w:t>
      </w:r>
      <w:r>
        <w:rPr>
          <w:i/>
          <w:color w:val="231F20"/>
          <w:sz w:val="13"/>
        </w:rPr>
        <w:t>Carroll</w:t>
      </w:r>
      <w:r>
        <w:rPr>
          <w:i/>
          <w:color w:val="231F20"/>
          <w:spacing w:val="-6"/>
          <w:sz w:val="13"/>
        </w:rPr>
        <w:t> </w:t>
      </w:r>
      <w:r>
        <w:rPr>
          <w:i/>
          <w:color w:val="231F20"/>
          <w:sz w:val="13"/>
        </w:rPr>
        <w:t>AE,</w:t>
      </w:r>
      <w:r>
        <w:rPr>
          <w:i/>
          <w:color w:val="231F20"/>
          <w:spacing w:val="-6"/>
          <w:sz w:val="13"/>
        </w:rPr>
        <w:t> </w:t>
      </w:r>
      <w:r>
        <w:rPr>
          <w:i/>
          <w:color w:val="231F20"/>
          <w:sz w:val="13"/>
        </w:rPr>
        <w:t>Chonmaitree</w:t>
      </w:r>
      <w:r>
        <w:rPr>
          <w:i/>
          <w:color w:val="231F20"/>
          <w:spacing w:val="-6"/>
          <w:sz w:val="13"/>
        </w:rPr>
        <w:t> </w:t>
      </w:r>
      <w:r>
        <w:rPr>
          <w:i/>
          <w:color w:val="231F20"/>
          <w:sz w:val="13"/>
        </w:rPr>
        <w:t>T,</w:t>
      </w:r>
      <w:r>
        <w:rPr>
          <w:i/>
          <w:color w:val="231F20"/>
          <w:spacing w:val="-6"/>
          <w:sz w:val="13"/>
        </w:rPr>
        <w:t> </w:t>
      </w:r>
      <w:r>
        <w:rPr>
          <w:i/>
          <w:color w:val="231F20"/>
          <w:sz w:val="13"/>
        </w:rPr>
        <w:t>et</w:t>
      </w:r>
      <w:r>
        <w:rPr>
          <w:i/>
          <w:color w:val="231F20"/>
          <w:spacing w:val="-6"/>
          <w:sz w:val="13"/>
        </w:rPr>
        <w:t> </w:t>
      </w:r>
      <w:r>
        <w:rPr>
          <w:i/>
          <w:color w:val="231F20"/>
          <w:sz w:val="13"/>
        </w:rPr>
        <w:t>al.</w:t>
      </w:r>
      <w:r>
        <w:rPr>
          <w:i/>
          <w:color w:val="231F20"/>
          <w:spacing w:val="-6"/>
          <w:sz w:val="13"/>
        </w:rPr>
        <w:t> </w:t>
      </w:r>
      <w:r>
        <w:rPr>
          <w:i/>
          <w:color w:val="231F20"/>
          <w:sz w:val="13"/>
        </w:rPr>
        <w:t>The</w:t>
      </w:r>
      <w:r>
        <w:rPr>
          <w:i/>
          <w:color w:val="231F20"/>
          <w:spacing w:val="-6"/>
          <w:sz w:val="13"/>
        </w:rPr>
        <w:t> </w:t>
      </w:r>
      <w:r>
        <w:rPr>
          <w:i/>
          <w:color w:val="231F20"/>
          <w:sz w:val="13"/>
        </w:rPr>
        <w:t>diagnosis</w:t>
      </w:r>
      <w:r>
        <w:rPr>
          <w:i/>
          <w:color w:val="231F20"/>
          <w:spacing w:val="-6"/>
          <w:sz w:val="13"/>
        </w:rPr>
        <w:t> </w:t>
      </w:r>
      <w:r>
        <w:rPr>
          <w:i/>
          <w:color w:val="231F20"/>
          <w:sz w:val="13"/>
        </w:rPr>
        <w:t>and</w:t>
      </w:r>
      <w:r>
        <w:rPr>
          <w:i/>
          <w:color w:val="231F20"/>
          <w:spacing w:val="-7"/>
          <w:sz w:val="13"/>
        </w:rPr>
        <w:t> </w:t>
      </w:r>
      <w:r>
        <w:rPr>
          <w:i/>
          <w:color w:val="231F20"/>
          <w:sz w:val="13"/>
        </w:rPr>
        <w:t>management</w:t>
      </w:r>
      <w:r>
        <w:rPr>
          <w:i/>
          <w:color w:val="231F20"/>
          <w:spacing w:val="-6"/>
          <w:sz w:val="13"/>
        </w:rPr>
        <w:t> </w:t>
      </w:r>
      <w:r>
        <w:rPr>
          <w:i/>
          <w:color w:val="231F20"/>
          <w:sz w:val="13"/>
        </w:rPr>
        <w:t>of</w:t>
      </w:r>
      <w:r>
        <w:rPr>
          <w:i/>
          <w:color w:val="231F20"/>
          <w:spacing w:val="-6"/>
          <w:sz w:val="13"/>
        </w:rPr>
        <w:t> </w:t>
      </w:r>
      <w:r>
        <w:rPr>
          <w:i/>
          <w:color w:val="231F20"/>
          <w:sz w:val="13"/>
        </w:rPr>
        <w:t>acute</w:t>
      </w:r>
      <w:r>
        <w:rPr>
          <w:i/>
          <w:color w:val="231F20"/>
          <w:spacing w:val="-6"/>
          <w:sz w:val="13"/>
        </w:rPr>
        <w:t> </w:t>
      </w:r>
      <w:r>
        <w:rPr>
          <w:i/>
          <w:color w:val="231F20"/>
          <w:sz w:val="13"/>
        </w:rPr>
        <w:t>otitis</w:t>
      </w:r>
      <w:r>
        <w:rPr>
          <w:i/>
          <w:color w:val="231F20"/>
          <w:spacing w:val="-6"/>
          <w:sz w:val="13"/>
        </w:rPr>
        <w:t> </w:t>
      </w:r>
      <w:r>
        <w:rPr>
          <w:i/>
          <w:color w:val="231F20"/>
          <w:sz w:val="13"/>
        </w:rPr>
        <w:t>media.</w:t>
      </w:r>
      <w:r>
        <w:rPr>
          <w:i/>
          <w:color w:val="231F20"/>
          <w:spacing w:val="-6"/>
          <w:sz w:val="13"/>
        </w:rPr>
        <w:t> </w:t>
      </w:r>
      <w:r>
        <w:rPr>
          <w:color w:val="231F20"/>
          <w:sz w:val="13"/>
        </w:rPr>
        <w:t>Pediatrics</w:t>
      </w:r>
      <w:r>
        <w:rPr>
          <w:color w:val="231F20"/>
          <w:spacing w:val="-6"/>
          <w:sz w:val="13"/>
        </w:rPr>
        <w:t> </w:t>
      </w:r>
      <w:r>
        <w:rPr>
          <w:i/>
          <w:color w:val="231F20"/>
          <w:sz w:val="13"/>
        </w:rPr>
        <w:t>131:e964–e999,</w:t>
      </w:r>
      <w:r>
        <w:rPr>
          <w:i/>
          <w:color w:val="231F20"/>
          <w:spacing w:val="-6"/>
          <w:sz w:val="13"/>
        </w:rPr>
        <w:t> </w:t>
      </w:r>
      <w:r>
        <w:rPr>
          <w:i/>
          <w:color w:val="231F20"/>
          <w:sz w:val="13"/>
        </w:rPr>
        <w:t>2013,</w:t>
      </w:r>
      <w:r>
        <w:rPr>
          <w:i/>
          <w:color w:val="231F20"/>
          <w:spacing w:val="-6"/>
          <w:sz w:val="13"/>
        </w:rPr>
        <w:t> </w:t>
      </w:r>
      <w:r>
        <w:rPr>
          <w:i/>
          <w:color w:val="231F20"/>
          <w:sz w:val="13"/>
        </w:rPr>
        <w:t>Table</w:t>
      </w:r>
      <w:r>
        <w:rPr>
          <w:i/>
          <w:color w:val="231F20"/>
          <w:spacing w:val="-6"/>
          <w:sz w:val="13"/>
        </w:rPr>
        <w:t> </w:t>
      </w:r>
      <w:r>
        <w:rPr>
          <w:i/>
          <w:color w:val="231F20"/>
          <w:spacing w:val="-5"/>
          <w:sz w:val="13"/>
        </w:rPr>
        <w:t>5.</w:t>
      </w:r>
    </w:p>
    <w:p>
      <w:pPr>
        <w:pStyle w:val="BodyText"/>
        <w:spacing w:before="126"/>
        <w:rPr>
          <w:i/>
          <w:sz w:val="20"/>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4"/>
        <w:gridCol w:w="696"/>
        <w:gridCol w:w="933"/>
        <w:gridCol w:w="920"/>
        <w:gridCol w:w="1825"/>
        <w:gridCol w:w="1175"/>
        <w:gridCol w:w="1843"/>
        <w:gridCol w:w="1196"/>
      </w:tblGrid>
      <w:tr>
        <w:trPr>
          <w:trHeight w:val="354" w:hRule="atLeast"/>
        </w:trPr>
        <w:tc>
          <w:tcPr>
            <w:tcW w:w="1234" w:type="dxa"/>
            <w:tcBorders>
              <w:right w:val="single" w:sz="8" w:space="0" w:color="FFFFFF"/>
            </w:tcBorders>
            <w:shd w:val="clear" w:color="auto" w:fill="231F20"/>
          </w:tcPr>
          <w:p>
            <w:pPr>
              <w:pStyle w:val="TableParagraph"/>
              <w:spacing w:before="89"/>
              <w:ind w:left="198"/>
              <w:rPr>
                <w:b/>
                <w:sz w:val="16"/>
              </w:rPr>
            </w:pPr>
            <w:r>
              <w:rPr>
                <w:b/>
                <w:sz w:val="16"/>
              </w:rPr>
              <mc:AlternateContent>
                <mc:Choice Requires="wps">
                  <w:drawing>
                    <wp:anchor distT="0" distB="0" distL="0" distR="0" allowOverlap="1" layoutInCell="1" locked="0" behindDoc="1" simplePos="0" relativeHeight="475263488">
                      <wp:simplePos x="0" y="0"/>
                      <wp:positionH relativeFrom="column">
                        <wp:posOffset>55050</wp:posOffset>
                      </wp:positionH>
                      <wp:positionV relativeFrom="paragraph">
                        <wp:posOffset>236621</wp:posOffset>
                      </wp:positionV>
                      <wp:extent cx="6185535" cy="1704339"/>
                      <wp:effectExtent l="0" t="0" r="0" b="0"/>
                      <wp:wrapNone/>
                      <wp:docPr id="1595" name="Group 1595"/>
                      <wp:cNvGraphicFramePr>
                        <a:graphicFrameLocks/>
                      </wp:cNvGraphicFramePr>
                      <a:graphic>
                        <a:graphicData uri="http://schemas.microsoft.com/office/word/2010/wordprocessingGroup">
                          <wpg:wgp>
                            <wpg:cNvPr id="1595" name="Group 1595"/>
                            <wpg:cNvGrpSpPr/>
                            <wpg:grpSpPr>
                              <a:xfrm>
                                <a:off x="0" y="0"/>
                                <a:ext cx="6185535" cy="1704339"/>
                                <a:chExt cx="6185535" cy="1704339"/>
                              </a:xfrm>
                            </wpg:grpSpPr>
                            <wps:wsp>
                              <wps:cNvPr id="1596" name="Graphic 1596"/>
                              <wps:cNvSpPr/>
                              <wps:spPr>
                                <a:xfrm>
                                  <a:off x="-8" y="0"/>
                                  <a:ext cx="6185535" cy="1704339"/>
                                </a:xfrm>
                                <a:custGeom>
                                  <a:avLst/>
                                  <a:gdLst/>
                                  <a:ahLst/>
                                  <a:cxnLst/>
                                  <a:rect l="l" t="t" r="r" b="b"/>
                                  <a:pathLst>
                                    <a:path w="6185535" h="1704339">
                                      <a:moveTo>
                                        <a:pt x="3470630" y="166979"/>
                                      </a:moveTo>
                                      <a:lnTo>
                                        <a:pt x="2515539" y="166979"/>
                                      </a:lnTo>
                                      <a:lnTo>
                                        <a:pt x="1798764" y="166979"/>
                                      </a:lnTo>
                                      <a:lnTo>
                                        <a:pt x="1798764" y="1704162"/>
                                      </a:lnTo>
                                      <a:lnTo>
                                        <a:pt x="2515539" y="1704162"/>
                                      </a:lnTo>
                                      <a:lnTo>
                                        <a:pt x="3470630" y="1704162"/>
                                      </a:lnTo>
                                      <a:lnTo>
                                        <a:pt x="3470630" y="166979"/>
                                      </a:lnTo>
                                      <a:close/>
                                    </a:path>
                                    <a:path w="6185535" h="1704339">
                                      <a:moveTo>
                                        <a:pt x="6185268" y="139"/>
                                      </a:moveTo>
                                      <a:lnTo>
                                        <a:pt x="5498020" y="139"/>
                                      </a:lnTo>
                                      <a:lnTo>
                                        <a:pt x="4289323" y="139"/>
                                      </a:lnTo>
                                      <a:lnTo>
                                        <a:pt x="4289323" y="0"/>
                                      </a:lnTo>
                                      <a:lnTo>
                                        <a:pt x="1194308" y="0"/>
                                      </a:lnTo>
                                      <a:lnTo>
                                        <a:pt x="1194308" y="139"/>
                                      </a:lnTo>
                                      <a:lnTo>
                                        <a:pt x="0" y="139"/>
                                      </a:lnTo>
                                      <a:lnTo>
                                        <a:pt x="0" y="1704162"/>
                                      </a:lnTo>
                                      <a:lnTo>
                                        <a:pt x="1194308" y="1704162"/>
                                      </a:lnTo>
                                      <a:lnTo>
                                        <a:pt x="1194308" y="1704340"/>
                                      </a:lnTo>
                                      <a:lnTo>
                                        <a:pt x="1798751" y="1704340"/>
                                      </a:lnTo>
                                      <a:lnTo>
                                        <a:pt x="1798751" y="166370"/>
                                      </a:lnTo>
                                      <a:lnTo>
                                        <a:pt x="4289323" y="166370"/>
                                      </a:lnTo>
                                      <a:lnTo>
                                        <a:pt x="4289323" y="166979"/>
                                      </a:lnTo>
                                      <a:lnTo>
                                        <a:pt x="3470643" y="166979"/>
                                      </a:lnTo>
                                      <a:lnTo>
                                        <a:pt x="3470643" y="1704162"/>
                                      </a:lnTo>
                                      <a:lnTo>
                                        <a:pt x="4289323" y="1704162"/>
                                      </a:lnTo>
                                      <a:lnTo>
                                        <a:pt x="5498020" y="1704162"/>
                                      </a:lnTo>
                                      <a:lnTo>
                                        <a:pt x="6185268" y="1704162"/>
                                      </a:lnTo>
                                      <a:lnTo>
                                        <a:pt x="6185268" y="139"/>
                                      </a:lnTo>
                                      <a:close/>
                                    </a:path>
                                  </a:pathLst>
                                </a:custGeom>
                                <a:solidFill>
                                  <a:srgbClr val="E8F5F1"/>
                                </a:solidFill>
                              </wps:spPr>
                              <wps:bodyPr wrap="square" lIns="0" tIns="0" rIns="0" bIns="0" rtlCol="0">
                                <a:prstTxWarp prst="textNoShape">
                                  <a:avLst/>
                                </a:prstTxWarp>
                                <a:noAutofit/>
                              </wps:bodyPr>
                            </wps:wsp>
                            <wps:wsp>
                              <wps:cNvPr id="1597" name="Graphic 1597"/>
                              <wps:cNvSpPr/>
                              <wps:spPr>
                                <a:xfrm>
                                  <a:off x="1241689" y="169931"/>
                                  <a:ext cx="2954655" cy="1270"/>
                                </a:xfrm>
                                <a:custGeom>
                                  <a:avLst/>
                                  <a:gdLst/>
                                  <a:ahLst/>
                                  <a:cxnLst/>
                                  <a:rect l="l" t="t" r="r" b="b"/>
                                  <a:pathLst>
                                    <a:path w="2954655" h="0">
                                      <a:moveTo>
                                        <a:pt x="0" y="0"/>
                                      </a:moveTo>
                                      <a:lnTo>
                                        <a:pt x="2954119" y="0"/>
                                      </a:lnTo>
                                    </a:path>
                                  </a:pathLst>
                                </a:custGeom>
                                <a:ln w="5924">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34680pt;margin-top:18.631617pt;width:487.05pt;height:134.2pt;mso-position-horizontal-relative:column;mso-position-vertical-relative:paragraph;z-index:-28052992" id="docshapegroup1265" coordorigin="87,373" coordsize="9741,2684">
                      <v:shape style="position:absolute;left:86;top:372;width:9741;height:2684" id="docshape1266" coordorigin="87,373" coordsize="9741,2684" path="m5552,636l4048,636,2919,636,2919,3056,4048,3056,5552,3056,5552,636xm9827,373l8745,373,6842,373,6842,373,1967,373,1967,373,87,373,87,3056,1967,3056,1967,3057,2919,3057,2919,635,6842,635,6842,636,5552,636,5552,3056,6842,3056,8745,3056,9827,3056,9827,373xe" filled="true" fillcolor="#e8f5f1" stroked="false">
                        <v:path arrowok="t"/>
                        <v:fill type="solid"/>
                      </v:shape>
                      <v:line style="position:absolute" from="2042,640" to="6694,640" stroked="true" strokeweight=".466507pt" strokecolor="#231f20">
                        <v:stroke dashstyle="solid"/>
                      </v:line>
                      <w10:wrap type="none"/>
                    </v:group>
                  </w:pict>
                </mc:Fallback>
              </mc:AlternateContent>
            </w:r>
            <w:r>
              <w:rPr>
                <w:b/>
                <w:color w:val="FFFFFF"/>
                <w:w w:val="105"/>
                <w:sz w:val="16"/>
              </w:rPr>
              <w:t>Table</w:t>
            </w:r>
            <w:r>
              <w:rPr>
                <w:b/>
                <w:color w:val="FFFFFF"/>
                <w:spacing w:val="-3"/>
                <w:w w:val="105"/>
                <w:sz w:val="16"/>
              </w:rPr>
              <w:t> </w:t>
            </w:r>
            <w:r>
              <w:rPr>
                <w:b/>
                <w:color w:val="FFFFFF"/>
                <w:w w:val="105"/>
                <w:sz w:val="16"/>
              </w:rPr>
              <w:t>640-</w:t>
            </w:r>
            <w:r>
              <w:rPr>
                <w:b/>
                <w:color w:val="FFFFFF"/>
                <w:spacing w:val="-10"/>
                <w:w w:val="105"/>
                <w:sz w:val="16"/>
              </w:rPr>
              <w:t>5</w:t>
            </w:r>
          </w:p>
        </w:tc>
        <w:tc>
          <w:tcPr>
            <w:tcW w:w="8588" w:type="dxa"/>
            <w:gridSpan w:val="7"/>
            <w:tcBorders>
              <w:left w:val="single" w:sz="8" w:space="0" w:color="FFFFFF"/>
            </w:tcBorders>
            <w:shd w:val="clear" w:color="auto" w:fill="231F20"/>
          </w:tcPr>
          <w:p>
            <w:pPr>
              <w:pStyle w:val="TableParagraph"/>
              <w:spacing w:before="89"/>
              <w:ind w:left="74"/>
              <w:rPr>
                <w:sz w:val="16"/>
              </w:rPr>
            </w:pPr>
            <w:r>
              <w:rPr>
                <w:color w:val="FFFFFF"/>
                <w:w w:val="105"/>
                <w:sz w:val="16"/>
              </w:rPr>
              <w:t>Differential</w:t>
            </w:r>
            <w:r>
              <w:rPr>
                <w:color w:val="FFFFFF"/>
                <w:spacing w:val="2"/>
                <w:w w:val="105"/>
                <w:sz w:val="16"/>
              </w:rPr>
              <w:t> </w:t>
            </w:r>
            <w:r>
              <w:rPr>
                <w:color w:val="FFFFFF"/>
                <w:w w:val="105"/>
                <w:sz w:val="16"/>
              </w:rPr>
              <w:t>Diagnosis</w:t>
            </w:r>
            <w:r>
              <w:rPr>
                <w:color w:val="FFFFFF"/>
                <w:spacing w:val="3"/>
                <w:w w:val="105"/>
                <w:sz w:val="16"/>
              </w:rPr>
              <w:t> </w:t>
            </w:r>
            <w:r>
              <w:rPr>
                <w:color w:val="FFFFFF"/>
                <w:w w:val="105"/>
                <w:sz w:val="16"/>
              </w:rPr>
              <w:t>of</w:t>
            </w:r>
            <w:r>
              <w:rPr>
                <w:color w:val="FFFFFF"/>
                <w:spacing w:val="2"/>
                <w:w w:val="105"/>
                <w:sz w:val="16"/>
              </w:rPr>
              <w:t> </w:t>
            </w:r>
            <w:r>
              <w:rPr>
                <w:color w:val="FFFFFF"/>
                <w:w w:val="105"/>
                <w:sz w:val="16"/>
              </w:rPr>
              <w:t>Postauricular</w:t>
            </w:r>
            <w:r>
              <w:rPr>
                <w:color w:val="FFFFFF"/>
                <w:spacing w:val="2"/>
                <w:w w:val="105"/>
                <w:sz w:val="16"/>
              </w:rPr>
              <w:t> </w:t>
            </w:r>
            <w:r>
              <w:rPr>
                <w:color w:val="FFFFFF"/>
                <w:w w:val="105"/>
                <w:sz w:val="16"/>
              </w:rPr>
              <w:t>Involvement</w:t>
            </w:r>
            <w:r>
              <w:rPr>
                <w:color w:val="FFFFFF"/>
                <w:spacing w:val="3"/>
                <w:w w:val="105"/>
                <w:sz w:val="16"/>
              </w:rPr>
              <w:t> </w:t>
            </w:r>
            <w:r>
              <w:rPr>
                <w:color w:val="FFFFFF"/>
                <w:w w:val="105"/>
                <w:sz w:val="16"/>
              </w:rPr>
              <w:t>of</w:t>
            </w:r>
            <w:r>
              <w:rPr>
                <w:color w:val="FFFFFF"/>
                <w:spacing w:val="2"/>
                <w:w w:val="105"/>
                <w:sz w:val="16"/>
              </w:rPr>
              <w:t> </w:t>
            </w:r>
            <w:r>
              <w:rPr>
                <w:color w:val="FFFFFF"/>
                <w:w w:val="105"/>
                <w:sz w:val="16"/>
              </w:rPr>
              <w:t>Acute</w:t>
            </w:r>
            <w:r>
              <w:rPr>
                <w:color w:val="FFFFFF"/>
                <w:spacing w:val="3"/>
                <w:w w:val="105"/>
                <w:sz w:val="16"/>
              </w:rPr>
              <w:t> </w:t>
            </w:r>
            <w:r>
              <w:rPr>
                <w:color w:val="FFFFFF"/>
                <w:w w:val="105"/>
                <w:sz w:val="16"/>
              </w:rPr>
              <w:t>Mastoiditis</w:t>
            </w:r>
            <w:r>
              <w:rPr>
                <w:color w:val="FFFFFF"/>
                <w:spacing w:val="2"/>
                <w:w w:val="105"/>
                <w:sz w:val="16"/>
              </w:rPr>
              <w:t> </w:t>
            </w:r>
            <w:r>
              <w:rPr>
                <w:color w:val="FFFFFF"/>
                <w:w w:val="105"/>
                <w:sz w:val="16"/>
              </w:rPr>
              <w:t>with</w:t>
            </w:r>
            <w:r>
              <w:rPr>
                <w:color w:val="FFFFFF"/>
                <w:spacing w:val="3"/>
                <w:w w:val="105"/>
                <w:sz w:val="16"/>
              </w:rPr>
              <w:t> </w:t>
            </w:r>
            <w:r>
              <w:rPr>
                <w:color w:val="FFFFFF"/>
                <w:spacing w:val="-2"/>
                <w:w w:val="105"/>
                <w:sz w:val="16"/>
              </w:rPr>
              <w:t>Periosteitis/Abscess</w:t>
            </w:r>
          </w:p>
        </w:tc>
      </w:tr>
      <w:tr>
        <w:trPr>
          <w:trHeight w:val="539" w:hRule="atLeast"/>
        </w:trPr>
        <w:tc>
          <w:tcPr>
            <w:tcW w:w="1930" w:type="dxa"/>
            <w:gridSpan w:val="2"/>
            <w:tcBorders>
              <w:bottom w:val="single" w:sz="4" w:space="0" w:color="231F20"/>
            </w:tcBorders>
          </w:tcPr>
          <w:p>
            <w:pPr>
              <w:pStyle w:val="TableParagraph"/>
              <w:spacing w:before="154"/>
              <w:rPr>
                <w:i/>
                <w:sz w:val="15"/>
              </w:rPr>
            </w:pPr>
          </w:p>
          <w:p>
            <w:pPr>
              <w:pStyle w:val="TableParagraph"/>
              <w:ind w:left="161"/>
              <w:rPr>
                <w:b/>
                <w:sz w:val="15"/>
              </w:rPr>
            </w:pPr>
            <w:r>
              <w:rPr>
                <w:b/>
                <w:color w:val="231F20"/>
                <w:spacing w:val="-2"/>
                <w:w w:val="110"/>
                <w:sz w:val="15"/>
              </w:rPr>
              <w:t>DISEASE</w:t>
            </w:r>
          </w:p>
        </w:tc>
        <w:tc>
          <w:tcPr>
            <w:tcW w:w="933" w:type="dxa"/>
            <w:tcBorders>
              <w:bottom w:val="single" w:sz="4" w:space="0" w:color="231F20"/>
            </w:tcBorders>
          </w:tcPr>
          <w:p>
            <w:pPr>
              <w:pStyle w:val="TableParagraph"/>
              <w:spacing w:before="154"/>
              <w:rPr>
                <w:i/>
                <w:sz w:val="15"/>
              </w:rPr>
            </w:pPr>
          </w:p>
          <w:p>
            <w:pPr>
              <w:pStyle w:val="TableParagraph"/>
              <w:ind w:left="149"/>
              <w:rPr>
                <w:b/>
                <w:sz w:val="15"/>
              </w:rPr>
            </w:pPr>
            <w:r>
              <w:rPr>
                <w:b/>
                <w:color w:val="231F20"/>
                <w:spacing w:val="-2"/>
                <w:w w:val="110"/>
                <w:sz w:val="15"/>
              </w:rPr>
              <w:t>CREASE</w:t>
            </w:r>
            <w:r>
              <w:rPr>
                <w:b/>
                <w:color w:val="0080AC"/>
                <w:spacing w:val="-2"/>
                <w:w w:val="110"/>
                <w:sz w:val="15"/>
              </w:rPr>
              <w:t>*</w:t>
            </w:r>
          </w:p>
        </w:tc>
        <w:tc>
          <w:tcPr>
            <w:tcW w:w="2745" w:type="dxa"/>
            <w:gridSpan w:val="2"/>
            <w:tcBorders>
              <w:bottom w:val="single" w:sz="4" w:space="0" w:color="231F20"/>
            </w:tcBorders>
          </w:tcPr>
          <w:p>
            <w:pPr>
              <w:pStyle w:val="TableParagraph"/>
              <w:spacing w:before="66"/>
              <w:ind w:left="278"/>
              <w:rPr>
                <w:b/>
                <w:sz w:val="15"/>
              </w:rPr>
            </w:pPr>
            <w:r>
              <w:rPr>
                <w:b/>
                <w:color w:val="231F20"/>
                <w:sz w:val="15"/>
              </w:rPr>
              <w:t>Postauricular</w:t>
            </w:r>
            <w:r>
              <w:rPr>
                <w:b/>
                <w:color w:val="231F20"/>
                <w:spacing w:val="8"/>
                <w:sz w:val="15"/>
              </w:rPr>
              <w:t> </w:t>
            </w:r>
            <w:r>
              <w:rPr>
                <w:b/>
                <w:color w:val="231F20"/>
                <w:sz w:val="15"/>
              </w:rPr>
              <w:t>Signs</w:t>
            </w:r>
            <w:r>
              <w:rPr>
                <w:b/>
                <w:color w:val="231F20"/>
                <w:spacing w:val="9"/>
                <w:sz w:val="15"/>
              </w:rPr>
              <w:t> </w:t>
            </w:r>
            <w:r>
              <w:rPr>
                <w:b/>
                <w:color w:val="231F20"/>
                <w:sz w:val="15"/>
              </w:rPr>
              <w:t>and</w:t>
            </w:r>
            <w:r>
              <w:rPr>
                <w:b/>
                <w:color w:val="231F20"/>
                <w:spacing w:val="8"/>
                <w:sz w:val="15"/>
              </w:rPr>
              <w:t> </w:t>
            </w:r>
            <w:r>
              <w:rPr>
                <w:b/>
                <w:color w:val="231F20"/>
                <w:spacing w:val="-2"/>
                <w:sz w:val="15"/>
              </w:rPr>
              <w:t>Symptoms</w:t>
            </w:r>
          </w:p>
          <w:p>
            <w:pPr>
              <w:pStyle w:val="TableParagraph"/>
              <w:tabs>
                <w:tab w:pos="1689" w:val="left" w:leader="none"/>
              </w:tabs>
              <w:spacing w:before="88"/>
              <w:ind w:left="168"/>
              <w:rPr>
                <w:b/>
                <w:sz w:val="15"/>
              </w:rPr>
            </w:pPr>
            <w:r>
              <w:rPr>
                <w:b/>
                <w:color w:val="231F20"/>
                <w:spacing w:val="-2"/>
                <w:w w:val="115"/>
                <w:sz w:val="15"/>
              </w:rPr>
              <w:t>ERYTHEMA</w:t>
            </w:r>
            <w:r>
              <w:rPr>
                <w:b/>
                <w:color w:val="231F20"/>
                <w:sz w:val="15"/>
              </w:rPr>
              <w:tab/>
            </w:r>
            <w:r>
              <w:rPr>
                <w:b/>
                <w:color w:val="231F20"/>
                <w:spacing w:val="-4"/>
                <w:w w:val="115"/>
                <w:sz w:val="15"/>
              </w:rPr>
              <w:t>MASS</w:t>
            </w:r>
          </w:p>
        </w:tc>
        <w:tc>
          <w:tcPr>
            <w:tcW w:w="1175" w:type="dxa"/>
            <w:tcBorders>
              <w:bottom w:val="single" w:sz="4" w:space="0" w:color="231F20"/>
            </w:tcBorders>
          </w:tcPr>
          <w:p>
            <w:pPr>
              <w:pStyle w:val="TableParagraph"/>
              <w:spacing w:before="154"/>
              <w:rPr>
                <w:i/>
                <w:sz w:val="15"/>
              </w:rPr>
            </w:pPr>
          </w:p>
          <w:p>
            <w:pPr>
              <w:pStyle w:val="TableParagraph"/>
              <w:ind w:left="56"/>
              <w:rPr>
                <w:b/>
                <w:sz w:val="15"/>
              </w:rPr>
            </w:pPr>
            <w:r>
              <w:rPr>
                <w:b/>
                <w:color w:val="231F20"/>
                <w:spacing w:val="-2"/>
                <w:w w:val="110"/>
                <w:sz w:val="15"/>
              </w:rPr>
              <w:t>TENDERNESS</w:t>
            </w:r>
          </w:p>
        </w:tc>
        <w:tc>
          <w:tcPr>
            <w:tcW w:w="1843" w:type="dxa"/>
            <w:tcBorders>
              <w:bottom w:val="single" w:sz="4" w:space="0" w:color="231F20"/>
            </w:tcBorders>
          </w:tcPr>
          <w:p>
            <w:pPr>
              <w:pStyle w:val="TableParagraph"/>
              <w:spacing w:line="230" w:lineRule="auto" w:before="166"/>
              <w:ind w:left="560" w:hanging="272"/>
              <w:rPr>
                <w:b/>
                <w:sz w:val="15"/>
              </w:rPr>
            </w:pPr>
            <w:r>
              <w:rPr>
                <w:b/>
                <w:color w:val="231F20"/>
                <w:w w:val="110"/>
                <w:sz w:val="15"/>
              </w:rPr>
              <w:t>EXTERNAL</w:t>
            </w:r>
            <w:r>
              <w:rPr>
                <w:b/>
                <w:color w:val="231F20"/>
                <w:spacing w:val="-13"/>
                <w:w w:val="110"/>
                <w:sz w:val="15"/>
              </w:rPr>
              <w:t> </w:t>
            </w:r>
            <w:r>
              <w:rPr>
                <w:b/>
                <w:color w:val="231F20"/>
                <w:w w:val="110"/>
                <w:sz w:val="15"/>
              </w:rPr>
              <w:t>CANAL </w:t>
            </w:r>
            <w:r>
              <w:rPr>
                <w:b/>
                <w:color w:val="231F20"/>
                <w:spacing w:val="-2"/>
                <w:w w:val="110"/>
                <w:sz w:val="15"/>
              </w:rPr>
              <w:t>INFECTION</w:t>
            </w:r>
          </w:p>
        </w:tc>
        <w:tc>
          <w:tcPr>
            <w:tcW w:w="1196" w:type="dxa"/>
            <w:tcBorders>
              <w:bottom w:val="single" w:sz="4" w:space="0" w:color="231F20"/>
            </w:tcBorders>
          </w:tcPr>
          <w:p>
            <w:pPr>
              <w:pStyle w:val="TableParagraph"/>
              <w:spacing w:line="230" w:lineRule="auto" w:before="166"/>
              <w:ind w:left="281" w:hanging="88"/>
              <w:rPr>
                <w:b/>
                <w:sz w:val="15"/>
              </w:rPr>
            </w:pPr>
            <w:r>
              <w:rPr>
                <w:b/>
                <w:color w:val="231F20"/>
                <w:spacing w:val="-2"/>
                <w:w w:val="110"/>
                <w:sz w:val="15"/>
              </w:rPr>
              <w:t>MIDDLE-</w:t>
            </w:r>
            <w:r>
              <w:rPr>
                <w:b/>
                <w:color w:val="231F20"/>
                <w:spacing w:val="-2"/>
                <w:w w:val="110"/>
                <w:sz w:val="15"/>
              </w:rPr>
              <w:t>EAR EFFUSION</w:t>
            </w:r>
          </w:p>
        </w:tc>
      </w:tr>
      <w:tr>
        <w:trPr>
          <w:trHeight w:val="425" w:hRule="atLeast"/>
        </w:trPr>
        <w:tc>
          <w:tcPr>
            <w:tcW w:w="1930" w:type="dxa"/>
            <w:gridSpan w:val="2"/>
            <w:tcBorders>
              <w:top w:val="single" w:sz="4" w:space="0" w:color="231F20"/>
              <w:bottom w:val="single" w:sz="4" w:space="0" w:color="FFFFFF"/>
            </w:tcBorders>
            <w:shd w:val="clear" w:color="auto" w:fill="E8F5F1"/>
          </w:tcPr>
          <w:p>
            <w:pPr>
              <w:pStyle w:val="TableParagraph"/>
              <w:spacing w:line="230" w:lineRule="auto" w:before="52"/>
              <w:ind w:left="273" w:hanging="112"/>
              <w:rPr>
                <w:sz w:val="15"/>
              </w:rPr>
            </w:pPr>
            <w:r>
              <w:rPr>
                <w:color w:val="231F20"/>
                <w:spacing w:val="-2"/>
                <w:sz w:val="15"/>
              </w:rPr>
              <w:t>Acute</w:t>
            </w:r>
            <w:r>
              <w:rPr>
                <w:color w:val="231F20"/>
                <w:spacing w:val="-10"/>
                <w:sz w:val="15"/>
              </w:rPr>
              <w:t> </w:t>
            </w:r>
            <w:r>
              <w:rPr>
                <w:color w:val="231F20"/>
                <w:spacing w:val="-2"/>
                <w:sz w:val="15"/>
              </w:rPr>
              <w:t>mastoiditis</w:t>
            </w:r>
            <w:r>
              <w:rPr>
                <w:color w:val="231F20"/>
                <w:spacing w:val="-9"/>
                <w:sz w:val="15"/>
              </w:rPr>
              <w:t> </w:t>
            </w:r>
            <w:r>
              <w:rPr>
                <w:color w:val="231F20"/>
                <w:spacing w:val="-2"/>
                <w:sz w:val="15"/>
              </w:rPr>
              <w:t>with periosteitis</w:t>
            </w:r>
          </w:p>
        </w:tc>
        <w:tc>
          <w:tcPr>
            <w:tcW w:w="933" w:type="dxa"/>
            <w:tcBorders>
              <w:top w:val="single" w:sz="4" w:space="0" w:color="231F20"/>
              <w:bottom w:val="single" w:sz="4" w:space="0" w:color="FFFFFF"/>
            </w:tcBorders>
            <w:shd w:val="clear" w:color="auto" w:fill="E8F5F1"/>
          </w:tcPr>
          <w:p>
            <w:pPr>
              <w:pStyle w:val="TableParagraph"/>
              <w:spacing w:line="230" w:lineRule="auto" w:before="52"/>
              <w:ind w:left="224" w:right="258" w:hanging="112"/>
              <w:rPr>
                <w:sz w:val="15"/>
              </w:rPr>
            </w:pPr>
            <w:r>
              <w:rPr>
                <w:color w:val="231F20"/>
                <w:w w:val="105"/>
                <w:sz w:val="15"/>
              </w:rPr>
              <w:t>May be </w:t>
            </w:r>
            <w:r>
              <w:rPr>
                <w:color w:val="231F20"/>
                <w:spacing w:val="-2"/>
                <w:sz w:val="15"/>
              </w:rPr>
              <w:t>absent</w:t>
            </w:r>
          </w:p>
        </w:tc>
        <w:tc>
          <w:tcPr>
            <w:tcW w:w="920" w:type="dxa"/>
            <w:tcBorders>
              <w:top w:val="single" w:sz="4" w:space="0" w:color="231F20"/>
              <w:bottom w:val="single" w:sz="4" w:space="0" w:color="FFFFFF"/>
            </w:tcBorders>
            <w:shd w:val="clear" w:color="auto" w:fill="E8F5F1"/>
          </w:tcPr>
          <w:p>
            <w:pPr>
              <w:pStyle w:val="TableParagraph"/>
              <w:spacing w:before="47"/>
              <w:ind w:left="131"/>
              <w:rPr>
                <w:sz w:val="15"/>
              </w:rPr>
            </w:pPr>
            <w:r>
              <w:rPr>
                <w:color w:val="231F20"/>
                <w:spacing w:val="-5"/>
                <w:sz w:val="15"/>
              </w:rPr>
              <w:t>Yes</w:t>
            </w:r>
          </w:p>
        </w:tc>
        <w:tc>
          <w:tcPr>
            <w:tcW w:w="1825" w:type="dxa"/>
            <w:tcBorders>
              <w:top w:val="single" w:sz="4" w:space="0" w:color="231F20"/>
              <w:bottom w:val="single" w:sz="4" w:space="0" w:color="FFFFFF"/>
            </w:tcBorders>
            <w:shd w:val="clear" w:color="auto" w:fill="E8F5F1"/>
          </w:tcPr>
          <w:p>
            <w:pPr>
              <w:pStyle w:val="TableParagraph"/>
              <w:spacing w:before="47"/>
              <w:ind w:left="340"/>
              <w:rPr>
                <w:sz w:val="15"/>
              </w:rPr>
            </w:pPr>
            <w:r>
              <w:rPr>
                <w:color w:val="231F20"/>
                <w:spacing w:val="-5"/>
                <w:w w:val="115"/>
                <w:sz w:val="15"/>
              </w:rPr>
              <w:t>No</w:t>
            </w:r>
          </w:p>
        </w:tc>
        <w:tc>
          <w:tcPr>
            <w:tcW w:w="1175" w:type="dxa"/>
            <w:tcBorders>
              <w:top w:val="single" w:sz="4" w:space="0" w:color="231F20"/>
              <w:bottom w:val="single" w:sz="4" w:space="0" w:color="FFFFFF"/>
            </w:tcBorders>
            <w:shd w:val="clear" w:color="auto" w:fill="E8F5F1"/>
          </w:tcPr>
          <w:p>
            <w:pPr>
              <w:pStyle w:val="TableParagraph"/>
              <w:spacing w:before="47"/>
              <w:ind w:left="19"/>
              <w:rPr>
                <w:sz w:val="15"/>
              </w:rPr>
            </w:pPr>
            <w:r>
              <w:rPr>
                <w:color w:val="231F20"/>
                <w:spacing w:val="-2"/>
                <w:sz w:val="15"/>
              </w:rPr>
              <w:t>Usually</w:t>
            </w:r>
          </w:p>
        </w:tc>
        <w:tc>
          <w:tcPr>
            <w:tcW w:w="1843" w:type="dxa"/>
            <w:tcBorders>
              <w:top w:val="single" w:sz="4" w:space="0" w:color="231F20"/>
              <w:bottom w:val="single" w:sz="4" w:space="0" w:color="FFFFFF"/>
            </w:tcBorders>
            <w:shd w:val="clear" w:color="auto" w:fill="E8F5F1"/>
          </w:tcPr>
          <w:p>
            <w:pPr>
              <w:pStyle w:val="TableParagraph"/>
              <w:spacing w:before="47"/>
              <w:ind w:left="133"/>
              <w:rPr>
                <w:sz w:val="15"/>
              </w:rPr>
            </w:pPr>
            <w:r>
              <w:rPr>
                <w:color w:val="231F20"/>
                <w:spacing w:val="-5"/>
                <w:w w:val="115"/>
                <w:sz w:val="15"/>
              </w:rPr>
              <w:t>No</w:t>
            </w:r>
          </w:p>
        </w:tc>
        <w:tc>
          <w:tcPr>
            <w:tcW w:w="1196" w:type="dxa"/>
            <w:tcBorders>
              <w:top w:val="single" w:sz="4" w:space="0" w:color="231F20"/>
              <w:bottom w:val="single" w:sz="4" w:space="0" w:color="FFFFFF"/>
            </w:tcBorders>
            <w:shd w:val="clear" w:color="auto" w:fill="E8F5F1"/>
          </w:tcPr>
          <w:p>
            <w:pPr>
              <w:pStyle w:val="TableParagraph"/>
              <w:spacing w:before="47"/>
              <w:ind w:left="193"/>
              <w:rPr>
                <w:sz w:val="15"/>
              </w:rPr>
            </w:pPr>
            <w:r>
              <w:rPr>
                <w:color w:val="231F20"/>
                <w:spacing w:val="-2"/>
                <w:sz w:val="15"/>
              </w:rPr>
              <w:t>Usually</w:t>
            </w:r>
          </w:p>
        </w:tc>
      </w:tr>
      <w:tr>
        <w:trPr>
          <w:trHeight w:val="420" w:hRule="atLeast"/>
        </w:trPr>
        <w:tc>
          <w:tcPr>
            <w:tcW w:w="1930" w:type="dxa"/>
            <w:gridSpan w:val="2"/>
            <w:tcBorders>
              <w:top w:val="single" w:sz="4" w:space="0" w:color="FFFFFF"/>
              <w:bottom w:val="single" w:sz="4" w:space="0" w:color="FFFFFF"/>
            </w:tcBorders>
            <w:shd w:val="clear" w:color="auto" w:fill="E8F5F1"/>
          </w:tcPr>
          <w:p>
            <w:pPr>
              <w:pStyle w:val="TableParagraph"/>
              <w:spacing w:line="230" w:lineRule="auto" w:before="48"/>
              <w:ind w:left="273" w:hanging="112"/>
              <w:rPr>
                <w:sz w:val="15"/>
              </w:rPr>
            </w:pPr>
            <w:r>
              <w:rPr>
                <w:color w:val="231F20"/>
                <w:sz w:val="15"/>
              </w:rPr>
              <w:t>Acute mastoiditis with subperiosteal</w:t>
            </w:r>
            <w:r>
              <w:rPr>
                <w:color w:val="231F20"/>
                <w:spacing w:val="-12"/>
                <w:sz w:val="15"/>
              </w:rPr>
              <w:t> </w:t>
            </w:r>
            <w:r>
              <w:rPr>
                <w:color w:val="231F20"/>
                <w:sz w:val="15"/>
              </w:rPr>
              <w:t>abscess</w:t>
            </w:r>
          </w:p>
        </w:tc>
        <w:tc>
          <w:tcPr>
            <w:tcW w:w="93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w w:val="105"/>
                <w:sz w:val="15"/>
              </w:rPr>
              <w:t>Absent</w:t>
            </w:r>
          </w:p>
        </w:tc>
        <w:tc>
          <w:tcPr>
            <w:tcW w:w="920" w:type="dxa"/>
            <w:tcBorders>
              <w:top w:val="single" w:sz="4" w:space="0" w:color="FFFFFF"/>
              <w:bottom w:val="single" w:sz="4" w:space="0" w:color="FFFFFF"/>
            </w:tcBorders>
            <w:shd w:val="clear" w:color="auto" w:fill="E8F5F1"/>
          </w:tcPr>
          <w:p>
            <w:pPr>
              <w:pStyle w:val="TableParagraph"/>
              <w:spacing w:before="42"/>
              <w:ind w:left="131"/>
              <w:rPr>
                <w:sz w:val="15"/>
              </w:rPr>
            </w:pPr>
            <w:r>
              <w:rPr>
                <w:color w:val="231F20"/>
                <w:spacing w:val="-2"/>
                <w:w w:val="105"/>
                <w:sz w:val="15"/>
              </w:rPr>
              <w:t>Maybe</w:t>
            </w:r>
          </w:p>
        </w:tc>
        <w:tc>
          <w:tcPr>
            <w:tcW w:w="1825" w:type="dxa"/>
            <w:tcBorders>
              <w:top w:val="single" w:sz="4" w:space="0" w:color="FFFFFF"/>
              <w:bottom w:val="single" w:sz="4" w:space="0" w:color="FFFFFF"/>
            </w:tcBorders>
            <w:shd w:val="clear" w:color="auto" w:fill="E8F5F1"/>
          </w:tcPr>
          <w:p>
            <w:pPr>
              <w:pStyle w:val="TableParagraph"/>
              <w:spacing w:before="42"/>
              <w:ind w:left="340"/>
              <w:rPr>
                <w:sz w:val="15"/>
              </w:rPr>
            </w:pPr>
            <w:r>
              <w:rPr>
                <w:color w:val="231F20"/>
                <w:spacing w:val="-5"/>
                <w:sz w:val="15"/>
              </w:rPr>
              <w:t>Yes</w:t>
            </w:r>
          </w:p>
        </w:tc>
        <w:tc>
          <w:tcPr>
            <w:tcW w:w="1175" w:type="dxa"/>
            <w:tcBorders>
              <w:top w:val="single" w:sz="4" w:space="0" w:color="FFFFFF"/>
              <w:bottom w:val="single" w:sz="4" w:space="0" w:color="FFFFFF"/>
            </w:tcBorders>
            <w:shd w:val="clear" w:color="auto" w:fill="E8F5F1"/>
          </w:tcPr>
          <w:p>
            <w:pPr>
              <w:pStyle w:val="TableParagraph"/>
              <w:spacing w:before="42"/>
              <w:ind w:left="19"/>
              <w:rPr>
                <w:sz w:val="15"/>
              </w:rPr>
            </w:pPr>
            <w:r>
              <w:rPr>
                <w:color w:val="231F20"/>
                <w:spacing w:val="-5"/>
                <w:sz w:val="15"/>
              </w:rPr>
              <w:t>Yes</w:t>
            </w:r>
          </w:p>
        </w:tc>
        <w:tc>
          <w:tcPr>
            <w:tcW w:w="1843"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5"/>
                <w:w w:val="115"/>
                <w:sz w:val="15"/>
              </w:rPr>
              <w:t>No</w:t>
            </w:r>
          </w:p>
        </w:tc>
        <w:tc>
          <w:tcPr>
            <w:tcW w:w="1196" w:type="dxa"/>
            <w:tcBorders>
              <w:top w:val="single" w:sz="4" w:space="0" w:color="FFFFFF"/>
              <w:bottom w:val="single" w:sz="4" w:space="0" w:color="FFFFFF"/>
            </w:tcBorders>
            <w:shd w:val="clear" w:color="auto" w:fill="E8F5F1"/>
          </w:tcPr>
          <w:p>
            <w:pPr>
              <w:pStyle w:val="TableParagraph"/>
              <w:spacing w:before="42"/>
              <w:ind w:left="194"/>
              <w:rPr>
                <w:sz w:val="15"/>
              </w:rPr>
            </w:pPr>
            <w:r>
              <w:rPr>
                <w:color w:val="231F20"/>
                <w:spacing w:val="-2"/>
                <w:sz w:val="15"/>
              </w:rPr>
              <w:t>Usually</w:t>
            </w:r>
          </w:p>
        </w:tc>
      </w:tr>
      <w:tr>
        <w:trPr>
          <w:trHeight w:val="420" w:hRule="atLeast"/>
        </w:trPr>
        <w:tc>
          <w:tcPr>
            <w:tcW w:w="1930" w:type="dxa"/>
            <w:gridSpan w:val="2"/>
            <w:tcBorders>
              <w:top w:val="single" w:sz="4" w:space="0" w:color="FFFFFF"/>
              <w:bottom w:val="single" w:sz="4" w:space="0" w:color="FFFFFF"/>
            </w:tcBorders>
            <w:shd w:val="clear" w:color="auto" w:fill="E8F5F1"/>
          </w:tcPr>
          <w:p>
            <w:pPr>
              <w:pStyle w:val="TableParagraph"/>
              <w:spacing w:line="230" w:lineRule="auto" w:before="48"/>
              <w:ind w:left="273" w:hanging="112"/>
              <w:rPr>
                <w:sz w:val="15"/>
              </w:rPr>
            </w:pPr>
            <w:r>
              <w:rPr>
                <w:color w:val="231F20"/>
                <w:spacing w:val="-2"/>
                <w:sz w:val="15"/>
              </w:rPr>
              <w:t>Periosteitis</w:t>
            </w:r>
            <w:r>
              <w:rPr>
                <w:color w:val="231F20"/>
                <w:spacing w:val="-9"/>
                <w:sz w:val="15"/>
              </w:rPr>
              <w:t> </w:t>
            </w:r>
            <w:r>
              <w:rPr>
                <w:color w:val="231F20"/>
                <w:spacing w:val="-2"/>
                <w:sz w:val="15"/>
              </w:rPr>
              <w:t>of</w:t>
            </w:r>
            <w:r>
              <w:rPr>
                <w:color w:val="231F20"/>
                <w:spacing w:val="-9"/>
                <w:sz w:val="15"/>
              </w:rPr>
              <w:t> </w:t>
            </w:r>
            <w:r>
              <w:rPr>
                <w:color w:val="231F20"/>
                <w:spacing w:val="-2"/>
                <w:sz w:val="15"/>
              </w:rPr>
              <w:t>pinna</w:t>
            </w:r>
            <w:r>
              <w:rPr>
                <w:color w:val="231F20"/>
                <w:spacing w:val="-9"/>
                <w:sz w:val="15"/>
              </w:rPr>
              <w:t> </w:t>
            </w:r>
            <w:r>
              <w:rPr>
                <w:color w:val="231F20"/>
                <w:spacing w:val="-2"/>
                <w:sz w:val="15"/>
              </w:rPr>
              <w:t>with postauricular</w:t>
            </w:r>
            <w:r>
              <w:rPr>
                <w:color w:val="231F20"/>
                <w:spacing w:val="-9"/>
                <w:sz w:val="15"/>
              </w:rPr>
              <w:t> </w:t>
            </w:r>
            <w:r>
              <w:rPr>
                <w:color w:val="231F20"/>
                <w:spacing w:val="-2"/>
                <w:sz w:val="15"/>
              </w:rPr>
              <w:t>extension</w:t>
            </w:r>
          </w:p>
        </w:tc>
        <w:tc>
          <w:tcPr>
            <w:tcW w:w="93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sz w:val="15"/>
              </w:rPr>
              <w:t>Intact</w:t>
            </w:r>
          </w:p>
        </w:tc>
        <w:tc>
          <w:tcPr>
            <w:tcW w:w="920" w:type="dxa"/>
            <w:tcBorders>
              <w:top w:val="single" w:sz="4" w:space="0" w:color="FFFFFF"/>
              <w:bottom w:val="single" w:sz="4" w:space="0" w:color="FFFFFF"/>
            </w:tcBorders>
            <w:shd w:val="clear" w:color="auto" w:fill="E8F5F1"/>
          </w:tcPr>
          <w:p>
            <w:pPr>
              <w:pStyle w:val="TableParagraph"/>
              <w:spacing w:before="42"/>
              <w:ind w:left="131"/>
              <w:rPr>
                <w:sz w:val="15"/>
              </w:rPr>
            </w:pPr>
            <w:r>
              <w:rPr>
                <w:color w:val="231F20"/>
                <w:spacing w:val="-5"/>
                <w:sz w:val="15"/>
              </w:rPr>
              <w:t>Yes</w:t>
            </w:r>
          </w:p>
        </w:tc>
        <w:tc>
          <w:tcPr>
            <w:tcW w:w="1825" w:type="dxa"/>
            <w:tcBorders>
              <w:top w:val="single" w:sz="4" w:space="0" w:color="FFFFFF"/>
              <w:bottom w:val="single" w:sz="4" w:space="0" w:color="FFFFFF"/>
            </w:tcBorders>
            <w:shd w:val="clear" w:color="auto" w:fill="E8F5F1"/>
          </w:tcPr>
          <w:p>
            <w:pPr>
              <w:pStyle w:val="TableParagraph"/>
              <w:spacing w:before="42"/>
              <w:ind w:left="340"/>
              <w:rPr>
                <w:sz w:val="15"/>
              </w:rPr>
            </w:pPr>
            <w:r>
              <w:rPr>
                <w:color w:val="231F20"/>
                <w:spacing w:val="-5"/>
                <w:w w:val="115"/>
                <w:sz w:val="15"/>
              </w:rPr>
              <w:t>No</w:t>
            </w:r>
          </w:p>
        </w:tc>
        <w:tc>
          <w:tcPr>
            <w:tcW w:w="1175" w:type="dxa"/>
            <w:tcBorders>
              <w:top w:val="single" w:sz="4" w:space="0" w:color="FFFFFF"/>
              <w:bottom w:val="single" w:sz="4" w:space="0" w:color="FFFFFF"/>
            </w:tcBorders>
            <w:shd w:val="clear" w:color="auto" w:fill="E8F5F1"/>
          </w:tcPr>
          <w:p>
            <w:pPr>
              <w:pStyle w:val="TableParagraph"/>
              <w:spacing w:before="42"/>
              <w:ind w:left="19"/>
              <w:rPr>
                <w:sz w:val="15"/>
              </w:rPr>
            </w:pPr>
            <w:r>
              <w:rPr>
                <w:color w:val="231F20"/>
                <w:spacing w:val="-2"/>
                <w:sz w:val="15"/>
              </w:rPr>
              <w:t>Usually</w:t>
            </w:r>
          </w:p>
        </w:tc>
        <w:tc>
          <w:tcPr>
            <w:tcW w:w="1843"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5"/>
                <w:w w:val="115"/>
                <w:sz w:val="15"/>
              </w:rPr>
              <w:t>No</w:t>
            </w:r>
          </w:p>
        </w:tc>
        <w:tc>
          <w:tcPr>
            <w:tcW w:w="1196" w:type="dxa"/>
            <w:tcBorders>
              <w:top w:val="single" w:sz="4" w:space="0" w:color="FFFFFF"/>
              <w:bottom w:val="single" w:sz="4" w:space="0" w:color="FFFFFF"/>
            </w:tcBorders>
            <w:shd w:val="clear" w:color="auto" w:fill="E8F5F1"/>
          </w:tcPr>
          <w:p>
            <w:pPr>
              <w:pStyle w:val="TableParagraph"/>
              <w:spacing w:before="42"/>
              <w:ind w:left="194"/>
              <w:rPr>
                <w:sz w:val="15"/>
              </w:rPr>
            </w:pPr>
            <w:r>
              <w:rPr>
                <w:color w:val="231F20"/>
                <w:spacing w:val="-5"/>
                <w:w w:val="115"/>
                <w:sz w:val="15"/>
              </w:rPr>
              <w:t>No</w:t>
            </w:r>
          </w:p>
        </w:tc>
      </w:tr>
      <w:tr>
        <w:trPr>
          <w:trHeight w:val="420" w:hRule="atLeast"/>
        </w:trPr>
        <w:tc>
          <w:tcPr>
            <w:tcW w:w="1930" w:type="dxa"/>
            <w:gridSpan w:val="2"/>
            <w:tcBorders>
              <w:top w:val="single" w:sz="4" w:space="0" w:color="FFFFFF"/>
              <w:bottom w:val="single" w:sz="4" w:space="0" w:color="FFFFFF"/>
            </w:tcBorders>
            <w:shd w:val="clear" w:color="auto" w:fill="E8F5F1"/>
          </w:tcPr>
          <w:p>
            <w:pPr>
              <w:pStyle w:val="TableParagraph"/>
              <w:spacing w:line="230" w:lineRule="auto" w:before="48"/>
              <w:ind w:left="273" w:hanging="112"/>
              <w:rPr>
                <w:sz w:val="15"/>
              </w:rPr>
            </w:pPr>
            <w:r>
              <w:rPr>
                <w:color w:val="231F20"/>
                <w:sz w:val="15"/>
              </w:rPr>
              <w:t>External otitis with </w:t>
            </w:r>
            <w:r>
              <w:rPr>
                <w:color w:val="231F20"/>
                <w:spacing w:val="-2"/>
                <w:sz w:val="15"/>
              </w:rPr>
              <w:t>postauricular</w:t>
            </w:r>
            <w:r>
              <w:rPr>
                <w:color w:val="231F20"/>
                <w:spacing w:val="-10"/>
                <w:sz w:val="15"/>
              </w:rPr>
              <w:t> </w:t>
            </w:r>
            <w:r>
              <w:rPr>
                <w:color w:val="231F20"/>
                <w:spacing w:val="-2"/>
                <w:sz w:val="15"/>
              </w:rPr>
              <w:t>extension</w:t>
            </w:r>
          </w:p>
        </w:tc>
        <w:tc>
          <w:tcPr>
            <w:tcW w:w="933" w:type="dxa"/>
            <w:tcBorders>
              <w:top w:val="single" w:sz="4" w:space="0" w:color="FFFFFF"/>
              <w:bottom w:val="single" w:sz="4" w:space="0" w:color="FFFFFF"/>
            </w:tcBorders>
            <w:shd w:val="clear" w:color="auto" w:fill="E8F5F1"/>
          </w:tcPr>
          <w:p>
            <w:pPr>
              <w:pStyle w:val="TableParagraph"/>
              <w:spacing w:before="42"/>
              <w:ind w:left="112"/>
              <w:rPr>
                <w:sz w:val="15"/>
              </w:rPr>
            </w:pPr>
            <w:r>
              <w:rPr>
                <w:color w:val="231F20"/>
                <w:spacing w:val="-2"/>
                <w:sz w:val="15"/>
              </w:rPr>
              <w:t>Intact</w:t>
            </w:r>
          </w:p>
        </w:tc>
        <w:tc>
          <w:tcPr>
            <w:tcW w:w="920" w:type="dxa"/>
            <w:tcBorders>
              <w:top w:val="single" w:sz="4" w:space="0" w:color="FFFFFF"/>
              <w:bottom w:val="single" w:sz="4" w:space="0" w:color="FFFFFF"/>
            </w:tcBorders>
            <w:shd w:val="clear" w:color="auto" w:fill="E8F5F1"/>
          </w:tcPr>
          <w:p>
            <w:pPr>
              <w:pStyle w:val="TableParagraph"/>
              <w:spacing w:before="42"/>
              <w:ind w:left="131"/>
              <w:rPr>
                <w:sz w:val="15"/>
              </w:rPr>
            </w:pPr>
            <w:r>
              <w:rPr>
                <w:color w:val="231F20"/>
                <w:spacing w:val="-5"/>
                <w:sz w:val="15"/>
              </w:rPr>
              <w:t>Yes</w:t>
            </w:r>
          </w:p>
        </w:tc>
        <w:tc>
          <w:tcPr>
            <w:tcW w:w="1825" w:type="dxa"/>
            <w:tcBorders>
              <w:top w:val="single" w:sz="4" w:space="0" w:color="FFFFFF"/>
              <w:bottom w:val="single" w:sz="4" w:space="0" w:color="FFFFFF"/>
            </w:tcBorders>
            <w:shd w:val="clear" w:color="auto" w:fill="E8F5F1"/>
          </w:tcPr>
          <w:p>
            <w:pPr>
              <w:pStyle w:val="TableParagraph"/>
              <w:spacing w:before="42"/>
              <w:ind w:left="340"/>
              <w:rPr>
                <w:sz w:val="15"/>
              </w:rPr>
            </w:pPr>
            <w:r>
              <w:rPr>
                <w:color w:val="231F20"/>
                <w:spacing w:val="-5"/>
                <w:w w:val="115"/>
                <w:sz w:val="15"/>
              </w:rPr>
              <w:t>No</w:t>
            </w:r>
          </w:p>
        </w:tc>
        <w:tc>
          <w:tcPr>
            <w:tcW w:w="1175" w:type="dxa"/>
            <w:tcBorders>
              <w:top w:val="single" w:sz="4" w:space="0" w:color="FFFFFF"/>
              <w:bottom w:val="single" w:sz="4" w:space="0" w:color="FFFFFF"/>
            </w:tcBorders>
            <w:shd w:val="clear" w:color="auto" w:fill="E8F5F1"/>
          </w:tcPr>
          <w:p>
            <w:pPr>
              <w:pStyle w:val="TableParagraph"/>
              <w:spacing w:before="42"/>
              <w:ind w:left="19"/>
              <w:rPr>
                <w:sz w:val="15"/>
              </w:rPr>
            </w:pPr>
            <w:r>
              <w:rPr>
                <w:color w:val="231F20"/>
                <w:spacing w:val="-2"/>
                <w:sz w:val="15"/>
              </w:rPr>
              <w:t>Usually</w:t>
            </w:r>
          </w:p>
        </w:tc>
        <w:tc>
          <w:tcPr>
            <w:tcW w:w="1843" w:type="dxa"/>
            <w:tcBorders>
              <w:top w:val="single" w:sz="4" w:space="0" w:color="FFFFFF"/>
              <w:bottom w:val="single" w:sz="4" w:space="0" w:color="FFFFFF"/>
            </w:tcBorders>
            <w:shd w:val="clear" w:color="auto" w:fill="E8F5F1"/>
          </w:tcPr>
          <w:p>
            <w:pPr>
              <w:pStyle w:val="TableParagraph"/>
              <w:spacing w:before="42"/>
              <w:ind w:left="133"/>
              <w:rPr>
                <w:sz w:val="15"/>
              </w:rPr>
            </w:pPr>
            <w:r>
              <w:rPr>
                <w:color w:val="231F20"/>
                <w:spacing w:val="-5"/>
                <w:sz w:val="15"/>
              </w:rPr>
              <w:t>Yes</w:t>
            </w:r>
          </w:p>
        </w:tc>
        <w:tc>
          <w:tcPr>
            <w:tcW w:w="1196" w:type="dxa"/>
            <w:tcBorders>
              <w:top w:val="single" w:sz="4" w:space="0" w:color="FFFFFF"/>
              <w:bottom w:val="single" w:sz="4" w:space="0" w:color="FFFFFF"/>
            </w:tcBorders>
            <w:shd w:val="clear" w:color="auto" w:fill="E8F5F1"/>
          </w:tcPr>
          <w:p>
            <w:pPr>
              <w:pStyle w:val="TableParagraph"/>
              <w:spacing w:before="42"/>
              <w:ind w:left="194"/>
              <w:rPr>
                <w:sz w:val="15"/>
              </w:rPr>
            </w:pPr>
            <w:r>
              <w:rPr>
                <w:color w:val="231F20"/>
                <w:spacing w:val="-5"/>
                <w:w w:val="115"/>
                <w:sz w:val="15"/>
              </w:rPr>
              <w:t>No</w:t>
            </w:r>
          </w:p>
        </w:tc>
      </w:tr>
      <w:tr>
        <w:trPr>
          <w:trHeight w:val="415" w:hRule="atLeast"/>
        </w:trPr>
        <w:tc>
          <w:tcPr>
            <w:tcW w:w="1930" w:type="dxa"/>
            <w:gridSpan w:val="2"/>
            <w:tcBorders>
              <w:top w:val="single" w:sz="4" w:space="0" w:color="FFFFFF"/>
              <w:bottom w:val="single" w:sz="8" w:space="0" w:color="231F20"/>
            </w:tcBorders>
            <w:shd w:val="clear" w:color="auto" w:fill="E8F5F1"/>
          </w:tcPr>
          <w:p>
            <w:pPr>
              <w:pStyle w:val="TableParagraph"/>
              <w:spacing w:line="230" w:lineRule="auto" w:before="48"/>
              <w:ind w:left="274" w:right="721" w:hanging="112"/>
              <w:rPr>
                <w:sz w:val="15"/>
              </w:rPr>
            </w:pPr>
            <w:r>
              <w:rPr>
                <w:color w:val="231F20"/>
                <w:spacing w:val="-2"/>
                <w:sz w:val="15"/>
              </w:rPr>
              <w:t>Postauricular lymphadenitis</w:t>
            </w:r>
          </w:p>
        </w:tc>
        <w:tc>
          <w:tcPr>
            <w:tcW w:w="933" w:type="dxa"/>
            <w:tcBorders>
              <w:top w:val="single" w:sz="4" w:space="0" w:color="FFFFFF"/>
              <w:bottom w:val="single" w:sz="8" w:space="0" w:color="231F20"/>
            </w:tcBorders>
            <w:shd w:val="clear" w:color="auto" w:fill="E8F5F1"/>
          </w:tcPr>
          <w:p>
            <w:pPr>
              <w:pStyle w:val="TableParagraph"/>
              <w:spacing w:before="42"/>
              <w:ind w:left="112"/>
              <w:rPr>
                <w:sz w:val="15"/>
              </w:rPr>
            </w:pPr>
            <w:r>
              <w:rPr>
                <w:color w:val="231F20"/>
                <w:spacing w:val="-2"/>
                <w:sz w:val="15"/>
              </w:rPr>
              <w:t>Intact</w:t>
            </w:r>
          </w:p>
        </w:tc>
        <w:tc>
          <w:tcPr>
            <w:tcW w:w="920" w:type="dxa"/>
            <w:tcBorders>
              <w:top w:val="single" w:sz="4" w:space="0" w:color="FFFFFF"/>
              <w:bottom w:val="single" w:sz="8" w:space="0" w:color="231F20"/>
            </w:tcBorders>
            <w:shd w:val="clear" w:color="auto" w:fill="E8F5F1"/>
          </w:tcPr>
          <w:p>
            <w:pPr>
              <w:pStyle w:val="TableParagraph"/>
              <w:spacing w:before="42"/>
              <w:ind w:left="131"/>
              <w:rPr>
                <w:sz w:val="15"/>
              </w:rPr>
            </w:pPr>
            <w:r>
              <w:rPr>
                <w:color w:val="231F20"/>
                <w:spacing w:val="-5"/>
                <w:w w:val="115"/>
                <w:sz w:val="15"/>
              </w:rPr>
              <w:t>No</w:t>
            </w:r>
          </w:p>
        </w:tc>
        <w:tc>
          <w:tcPr>
            <w:tcW w:w="1825" w:type="dxa"/>
            <w:tcBorders>
              <w:top w:val="single" w:sz="4" w:space="0" w:color="FFFFFF"/>
              <w:bottom w:val="single" w:sz="8" w:space="0" w:color="231F20"/>
            </w:tcBorders>
            <w:shd w:val="clear" w:color="auto" w:fill="E8F5F1"/>
          </w:tcPr>
          <w:p>
            <w:pPr>
              <w:pStyle w:val="TableParagraph"/>
              <w:spacing w:before="42"/>
              <w:ind w:left="340"/>
              <w:rPr>
                <w:sz w:val="15"/>
              </w:rPr>
            </w:pPr>
            <w:r>
              <w:rPr>
                <w:color w:val="231F20"/>
                <w:sz w:val="15"/>
              </w:rPr>
              <w:t>Yes</w:t>
            </w:r>
            <w:r>
              <w:rPr>
                <w:color w:val="231F20"/>
                <w:spacing w:val="3"/>
                <w:sz w:val="15"/>
              </w:rPr>
              <w:t> </w:t>
            </w:r>
            <w:r>
              <w:rPr>
                <w:color w:val="231F20"/>
                <w:spacing w:val="-2"/>
                <w:sz w:val="15"/>
              </w:rPr>
              <w:t>(circumscribed)</w:t>
            </w:r>
          </w:p>
        </w:tc>
        <w:tc>
          <w:tcPr>
            <w:tcW w:w="1175" w:type="dxa"/>
            <w:tcBorders>
              <w:top w:val="single" w:sz="4" w:space="0" w:color="FFFFFF"/>
              <w:bottom w:val="single" w:sz="8" w:space="0" w:color="231F20"/>
            </w:tcBorders>
            <w:shd w:val="clear" w:color="auto" w:fill="E8F5F1"/>
          </w:tcPr>
          <w:p>
            <w:pPr>
              <w:pStyle w:val="TableParagraph"/>
              <w:spacing w:before="42"/>
              <w:ind w:left="19"/>
              <w:rPr>
                <w:sz w:val="15"/>
              </w:rPr>
            </w:pPr>
            <w:r>
              <w:rPr>
                <w:color w:val="231F20"/>
                <w:spacing w:val="-2"/>
                <w:w w:val="105"/>
                <w:sz w:val="15"/>
              </w:rPr>
              <w:t>Maybe</w:t>
            </w:r>
          </w:p>
        </w:tc>
        <w:tc>
          <w:tcPr>
            <w:tcW w:w="1843" w:type="dxa"/>
            <w:tcBorders>
              <w:top w:val="single" w:sz="4" w:space="0" w:color="FFFFFF"/>
              <w:bottom w:val="single" w:sz="8" w:space="0" w:color="231F20"/>
            </w:tcBorders>
            <w:shd w:val="clear" w:color="auto" w:fill="E8F5F1"/>
          </w:tcPr>
          <w:p>
            <w:pPr>
              <w:pStyle w:val="TableParagraph"/>
              <w:spacing w:before="42"/>
              <w:ind w:left="134"/>
              <w:rPr>
                <w:sz w:val="15"/>
              </w:rPr>
            </w:pPr>
            <w:r>
              <w:rPr>
                <w:color w:val="231F20"/>
                <w:spacing w:val="-5"/>
                <w:w w:val="115"/>
                <w:sz w:val="15"/>
              </w:rPr>
              <w:t>No</w:t>
            </w:r>
          </w:p>
        </w:tc>
        <w:tc>
          <w:tcPr>
            <w:tcW w:w="1196" w:type="dxa"/>
            <w:tcBorders>
              <w:top w:val="single" w:sz="4" w:space="0" w:color="FFFFFF"/>
              <w:bottom w:val="single" w:sz="8" w:space="0" w:color="231F20"/>
            </w:tcBorders>
            <w:shd w:val="clear" w:color="auto" w:fill="E8F5F1"/>
          </w:tcPr>
          <w:p>
            <w:pPr>
              <w:pStyle w:val="TableParagraph"/>
              <w:spacing w:before="42"/>
              <w:ind w:left="194"/>
              <w:rPr>
                <w:sz w:val="15"/>
              </w:rPr>
            </w:pPr>
            <w:r>
              <w:rPr>
                <w:color w:val="231F20"/>
                <w:spacing w:val="-5"/>
                <w:w w:val="115"/>
                <w:sz w:val="15"/>
              </w:rPr>
              <w:t>No</w:t>
            </w:r>
          </w:p>
        </w:tc>
      </w:tr>
    </w:tbl>
    <w:p>
      <w:pPr>
        <w:pStyle w:val="BodyText"/>
        <w:spacing w:line="150" w:lineRule="exact" w:before="77"/>
        <w:ind w:left="290"/>
      </w:pPr>
      <w:r>
        <w:rPr>
          <w:color w:val="231F20"/>
        </w:rPr>
        <w:t>*Postauricular</w:t>
      </w:r>
      <w:r>
        <w:rPr>
          <w:color w:val="231F20"/>
          <w:spacing w:val="-8"/>
        </w:rPr>
        <w:t> </w:t>
      </w:r>
      <w:r>
        <w:rPr>
          <w:color w:val="231F20"/>
        </w:rPr>
        <w:t>crease</w:t>
      </w:r>
      <w:r>
        <w:rPr>
          <w:color w:val="231F20"/>
          <w:spacing w:val="-8"/>
        </w:rPr>
        <w:t> </w:t>
      </w:r>
      <w:r>
        <w:rPr>
          <w:color w:val="231F20"/>
        </w:rPr>
        <w:t>(fold)</w:t>
      </w:r>
      <w:r>
        <w:rPr>
          <w:color w:val="231F20"/>
          <w:spacing w:val="-8"/>
        </w:rPr>
        <w:t> </w:t>
      </w:r>
      <w:r>
        <w:rPr>
          <w:color w:val="231F20"/>
        </w:rPr>
        <w:t>between</w:t>
      </w:r>
      <w:r>
        <w:rPr>
          <w:color w:val="231F20"/>
          <w:spacing w:val="-8"/>
        </w:rPr>
        <w:t> </w:t>
      </w:r>
      <w:r>
        <w:rPr>
          <w:color w:val="231F20"/>
        </w:rPr>
        <w:t>pinna</w:t>
      </w:r>
      <w:r>
        <w:rPr>
          <w:color w:val="231F20"/>
          <w:spacing w:val="-8"/>
        </w:rPr>
        <w:t> </w:t>
      </w:r>
      <w:r>
        <w:rPr>
          <w:color w:val="231F20"/>
        </w:rPr>
        <w:t>and</w:t>
      </w:r>
      <w:r>
        <w:rPr>
          <w:color w:val="231F20"/>
          <w:spacing w:val="-8"/>
        </w:rPr>
        <w:t> </w:t>
      </w:r>
      <w:r>
        <w:rPr>
          <w:color w:val="231F20"/>
        </w:rPr>
        <w:t>postauricular</w:t>
      </w:r>
      <w:r>
        <w:rPr>
          <w:color w:val="231F20"/>
          <w:spacing w:val="-8"/>
        </w:rPr>
        <w:t> </w:t>
      </w:r>
      <w:r>
        <w:rPr>
          <w:color w:val="231F20"/>
          <w:spacing w:val="-2"/>
        </w:rPr>
        <w:t>area.</w:t>
      </w:r>
    </w:p>
    <w:p>
      <w:pPr>
        <w:spacing w:line="150" w:lineRule="exact" w:before="0"/>
        <w:ind w:left="421" w:right="0" w:firstLine="0"/>
        <w:jc w:val="left"/>
        <w:rPr>
          <w:i/>
          <w:sz w:val="13"/>
        </w:rPr>
      </w:pPr>
      <w:r>
        <w:rPr>
          <w:i/>
          <w:color w:val="231F20"/>
          <w:sz w:val="13"/>
        </w:rPr>
        <w:t>From</w:t>
      </w:r>
      <w:r>
        <w:rPr>
          <w:i/>
          <w:color w:val="231F20"/>
          <w:spacing w:val="-4"/>
          <w:sz w:val="13"/>
        </w:rPr>
        <w:t> </w:t>
      </w:r>
      <w:r>
        <w:rPr>
          <w:i/>
          <w:color w:val="231F20"/>
          <w:sz w:val="13"/>
        </w:rPr>
        <w:t>Bluestone</w:t>
      </w:r>
      <w:r>
        <w:rPr>
          <w:i/>
          <w:color w:val="231F20"/>
          <w:spacing w:val="-4"/>
          <w:sz w:val="13"/>
        </w:rPr>
        <w:t> </w:t>
      </w:r>
      <w:r>
        <w:rPr>
          <w:i/>
          <w:color w:val="231F20"/>
          <w:sz w:val="13"/>
        </w:rPr>
        <w:t>CD,</w:t>
      </w:r>
      <w:r>
        <w:rPr>
          <w:i/>
          <w:color w:val="231F20"/>
          <w:spacing w:val="-3"/>
          <w:sz w:val="13"/>
        </w:rPr>
        <w:t> </w:t>
      </w:r>
      <w:r>
        <w:rPr>
          <w:i/>
          <w:color w:val="231F20"/>
          <w:sz w:val="13"/>
        </w:rPr>
        <w:t>Klein</w:t>
      </w:r>
      <w:r>
        <w:rPr>
          <w:i/>
          <w:color w:val="231F20"/>
          <w:spacing w:val="-4"/>
          <w:sz w:val="13"/>
        </w:rPr>
        <w:t> </w:t>
      </w:r>
      <w:r>
        <w:rPr>
          <w:i/>
          <w:color w:val="231F20"/>
          <w:sz w:val="13"/>
        </w:rPr>
        <w:t>JO,</w:t>
      </w:r>
      <w:r>
        <w:rPr>
          <w:i/>
          <w:color w:val="231F20"/>
          <w:spacing w:val="-4"/>
          <w:sz w:val="13"/>
        </w:rPr>
        <w:t> </w:t>
      </w:r>
      <w:r>
        <w:rPr>
          <w:i/>
          <w:color w:val="231F20"/>
          <w:sz w:val="13"/>
        </w:rPr>
        <w:t>editors:</w:t>
      </w:r>
      <w:r>
        <w:rPr>
          <w:i/>
          <w:color w:val="231F20"/>
          <w:spacing w:val="-3"/>
          <w:sz w:val="13"/>
        </w:rPr>
        <w:t> </w:t>
      </w:r>
      <w:r>
        <w:rPr>
          <w:color w:val="231F20"/>
          <w:sz w:val="13"/>
        </w:rPr>
        <w:t>Otitis</w:t>
      </w:r>
      <w:r>
        <w:rPr>
          <w:color w:val="231F20"/>
          <w:spacing w:val="-4"/>
          <w:sz w:val="13"/>
        </w:rPr>
        <w:t> </w:t>
      </w:r>
      <w:r>
        <w:rPr>
          <w:color w:val="231F20"/>
          <w:sz w:val="13"/>
        </w:rPr>
        <w:t>media</w:t>
      </w:r>
      <w:r>
        <w:rPr>
          <w:color w:val="231F20"/>
          <w:spacing w:val="-3"/>
          <w:sz w:val="13"/>
        </w:rPr>
        <w:t> </w:t>
      </w:r>
      <w:r>
        <w:rPr>
          <w:color w:val="231F20"/>
          <w:sz w:val="13"/>
        </w:rPr>
        <w:t>in</w:t>
      </w:r>
      <w:r>
        <w:rPr>
          <w:color w:val="231F20"/>
          <w:spacing w:val="-4"/>
          <w:sz w:val="13"/>
        </w:rPr>
        <w:t> </w:t>
      </w:r>
      <w:r>
        <w:rPr>
          <w:color w:val="231F20"/>
          <w:sz w:val="13"/>
        </w:rPr>
        <w:t>infants</w:t>
      </w:r>
      <w:r>
        <w:rPr>
          <w:color w:val="231F20"/>
          <w:spacing w:val="-4"/>
          <w:sz w:val="13"/>
        </w:rPr>
        <w:t> </w:t>
      </w:r>
      <w:r>
        <w:rPr>
          <w:color w:val="231F20"/>
          <w:sz w:val="13"/>
        </w:rPr>
        <w:t>and</w:t>
      </w:r>
      <w:r>
        <w:rPr>
          <w:color w:val="231F20"/>
          <w:spacing w:val="-3"/>
          <w:sz w:val="13"/>
        </w:rPr>
        <w:t> </w:t>
      </w:r>
      <w:r>
        <w:rPr>
          <w:color w:val="231F20"/>
          <w:sz w:val="13"/>
        </w:rPr>
        <w:t>children</w:t>
      </w:r>
      <w:r>
        <w:rPr>
          <w:i/>
          <w:color w:val="231F20"/>
          <w:sz w:val="13"/>
        </w:rPr>
        <w:t>,</w:t>
      </w:r>
      <w:r>
        <w:rPr>
          <w:i/>
          <w:color w:val="231F20"/>
          <w:spacing w:val="-4"/>
          <w:sz w:val="13"/>
        </w:rPr>
        <w:t> </w:t>
      </w:r>
      <w:r>
        <w:rPr>
          <w:i/>
          <w:color w:val="231F20"/>
          <w:sz w:val="13"/>
        </w:rPr>
        <w:t>ed</w:t>
      </w:r>
      <w:r>
        <w:rPr>
          <w:i/>
          <w:color w:val="231F20"/>
          <w:spacing w:val="-4"/>
          <w:sz w:val="13"/>
        </w:rPr>
        <w:t> </w:t>
      </w:r>
      <w:r>
        <w:rPr>
          <w:i/>
          <w:color w:val="231F20"/>
          <w:sz w:val="13"/>
        </w:rPr>
        <w:t>3,</w:t>
      </w:r>
      <w:r>
        <w:rPr>
          <w:i/>
          <w:color w:val="231F20"/>
          <w:spacing w:val="-3"/>
          <w:sz w:val="13"/>
        </w:rPr>
        <w:t> </w:t>
      </w:r>
      <w:r>
        <w:rPr>
          <w:i/>
          <w:color w:val="231F20"/>
          <w:sz w:val="13"/>
        </w:rPr>
        <w:t>Philadelphia,</w:t>
      </w:r>
      <w:r>
        <w:rPr>
          <w:i/>
          <w:color w:val="231F20"/>
          <w:spacing w:val="-4"/>
          <w:sz w:val="13"/>
        </w:rPr>
        <w:t> </w:t>
      </w:r>
      <w:r>
        <w:rPr>
          <w:i/>
          <w:color w:val="231F20"/>
          <w:sz w:val="13"/>
        </w:rPr>
        <w:t>2001,</w:t>
      </w:r>
      <w:r>
        <w:rPr>
          <w:i/>
          <w:color w:val="231F20"/>
          <w:spacing w:val="-3"/>
          <w:sz w:val="13"/>
        </w:rPr>
        <w:t> </w:t>
      </w:r>
      <w:r>
        <w:rPr>
          <w:i/>
          <w:color w:val="231F20"/>
          <w:sz w:val="13"/>
        </w:rPr>
        <w:t>WB</w:t>
      </w:r>
      <w:r>
        <w:rPr>
          <w:i/>
          <w:color w:val="231F20"/>
          <w:spacing w:val="-4"/>
          <w:sz w:val="13"/>
        </w:rPr>
        <w:t> </w:t>
      </w:r>
      <w:r>
        <w:rPr>
          <w:i/>
          <w:color w:val="231F20"/>
          <w:sz w:val="13"/>
        </w:rPr>
        <w:t>Saunders,</w:t>
      </w:r>
      <w:r>
        <w:rPr>
          <w:i/>
          <w:color w:val="231F20"/>
          <w:spacing w:val="-4"/>
          <w:sz w:val="13"/>
        </w:rPr>
        <w:t> </w:t>
      </w:r>
      <w:r>
        <w:rPr>
          <w:i/>
          <w:color w:val="231F20"/>
          <w:sz w:val="13"/>
        </w:rPr>
        <w:t>p.</w:t>
      </w:r>
      <w:r>
        <w:rPr>
          <w:i/>
          <w:color w:val="231F20"/>
          <w:spacing w:val="-3"/>
          <w:sz w:val="13"/>
        </w:rPr>
        <w:t> </w:t>
      </w:r>
      <w:r>
        <w:rPr>
          <w:i/>
          <w:color w:val="231F20"/>
          <w:spacing w:val="-4"/>
          <w:sz w:val="13"/>
        </w:rPr>
        <w:t>333.</w:t>
      </w:r>
    </w:p>
    <w:p>
      <w:pPr>
        <w:spacing w:after="0" w:line="150" w:lineRule="exact"/>
        <w:jc w:val="left"/>
        <w:rPr>
          <w:i/>
          <w:sz w:val="13"/>
        </w:rPr>
        <w:sectPr>
          <w:pgSz w:w="11900" w:h="16840"/>
          <w:pgMar w:header="0" w:footer="0" w:top="1180" w:bottom="280" w:left="708" w:right="566"/>
        </w:sectPr>
      </w:pPr>
    </w:p>
    <w:p>
      <w:pPr>
        <w:pStyle w:val="BodyText"/>
        <w:spacing w:before="205"/>
        <w:rPr>
          <w:i/>
          <w:sz w:val="20"/>
        </w:rPr>
      </w:pPr>
    </w:p>
    <w:p>
      <w:pPr>
        <w:pStyle w:val="BodyText"/>
        <w:ind w:left="427"/>
        <w:rPr>
          <w:sz w:val="20"/>
        </w:rPr>
      </w:pPr>
      <w:r>
        <w:rPr>
          <w:sz w:val="20"/>
        </w:rPr>
        <mc:AlternateContent>
          <mc:Choice Requires="wps">
            <w:drawing>
              <wp:inline distT="0" distB="0" distL="0" distR="0">
                <wp:extent cx="6185535" cy="170815"/>
                <wp:effectExtent l="76200" t="0" r="5714" b="635"/>
                <wp:docPr id="1598" name="Group 1598"/>
                <wp:cNvGraphicFramePr>
                  <a:graphicFrameLocks/>
                </wp:cNvGraphicFramePr>
                <a:graphic>
                  <a:graphicData uri="http://schemas.microsoft.com/office/word/2010/wordprocessingGroup">
                    <wpg:wgp>
                      <wpg:cNvPr id="1598" name="Group 1598"/>
                      <wpg:cNvGrpSpPr/>
                      <wpg:grpSpPr>
                        <a:xfrm>
                          <a:off x="0" y="0"/>
                          <a:ext cx="6185535" cy="170815"/>
                          <a:chExt cx="6185535" cy="170815"/>
                        </a:xfrm>
                      </wpg:grpSpPr>
                      <wps:wsp>
                        <wps:cNvPr id="1599" name="Graphic 1599"/>
                        <wps:cNvSpPr/>
                        <wps:spPr>
                          <a:xfrm>
                            <a:off x="0" y="92305"/>
                            <a:ext cx="24130" cy="1270"/>
                          </a:xfrm>
                          <a:custGeom>
                            <a:avLst/>
                            <a:gdLst/>
                            <a:ahLst/>
                            <a:cxnLst/>
                            <a:rect l="l" t="t" r="r" b="b"/>
                            <a:pathLst>
                              <a:path w="24130" h="0">
                                <a:moveTo>
                                  <a:pt x="0" y="0"/>
                                </a:moveTo>
                                <a:lnTo>
                                  <a:pt x="23698" y="0"/>
                                </a:lnTo>
                              </a:path>
                            </a:pathLst>
                          </a:custGeom>
                          <a:ln w="142190">
                            <a:solidFill>
                              <a:srgbClr val="D5841E"/>
                            </a:solidFill>
                            <a:prstDash val="solid"/>
                          </a:ln>
                        </wps:spPr>
                        <wps:bodyPr wrap="square" lIns="0" tIns="0" rIns="0" bIns="0" rtlCol="0">
                          <a:prstTxWarp prst="textNoShape">
                            <a:avLst/>
                          </a:prstTxWarp>
                          <a:noAutofit/>
                        </wps:bodyPr>
                      </wps:wsp>
                      <wps:wsp>
                        <wps:cNvPr id="1600" name="Graphic 1600"/>
                        <wps:cNvSpPr/>
                        <wps:spPr>
                          <a:xfrm>
                            <a:off x="0" y="158660"/>
                            <a:ext cx="6185535" cy="1270"/>
                          </a:xfrm>
                          <a:custGeom>
                            <a:avLst/>
                            <a:gdLst/>
                            <a:ahLst/>
                            <a:cxnLst/>
                            <a:rect l="l" t="t" r="r" b="b"/>
                            <a:pathLst>
                              <a:path w="6185535" h="0">
                                <a:moveTo>
                                  <a:pt x="0" y="0"/>
                                </a:moveTo>
                                <a:lnTo>
                                  <a:pt x="6185273" y="0"/>
                                </a:lnTo>
                              </a:path>
                            </a:pathLst>
                          </a:custGeom>
                          <a:ln w="23698">
                            <a:solidFill>
                              <a:srgbClr val="D5841E"/>
                            </a:solidFill>
                            <a:prstDash val="solid"/>
                          </a:ln>
                        </wps:spPr>
                        <wps:bodyPr wrap="square" lIns="0" tIns="0" rIns="0" bIns="0" rtlCol="0">
                          <a:prstTxWarp prst="textNoShape">
                            <a:avLst/>
                          </a:prstTxWarp>
                          <a:noAutofit/>
                        </wps:bodyPr>
                      </wps:wsp>
                      <wps:wsp>
                        <wps:cNvPr id="1601" name="Textbox 1601"/>
                        <wps:cNvSpPr txBox="1"/>
                        <wps:spPr>
                          <a:xfrm>
                            <a:off x="0" y="0"/>
                            <a:ext cx="6185535" cy="170815"/>
                          </a:xfrm>
                          <a:prstGeom prst="rect">
                            <a:avLst/>
                          </a:prstGeom>
                        </wps:spPr>
                        <wps:txbx>
                          <w:txbxContent>
                            <w:p>
                              <w:pPr>
                                <w:spacing w:before="6"/>
                                <w:ind w:left="0" w:right="-15" w:firstLine="0"/>
                                <w:jc w:val="right"/>
                                <w:rPr>
                                  <w:b/>
                                  <w:sz w:val="18"/>
                                </w:rPr>
                              </w:pPr>
                              <w:r>
                                <w:rPr>
                                  <w:b/>
                                  <w:color w:val="D5841E"/>
                                  <w:w w:val="105"/>
                                  <w:sz w:val="18"/>
                                </w:rPr>
                                <w:t>Chapter</w:t>
                              </w:r>
                              <w:r>
                                <w:rPr>
                                  <w:b/>
                                  <w:color w:val="D5841E"/>
                                  <w:spacing w:val="11"/>
                                  <w:w w:val="105"/>
                                  <w:sz w:val="18"/>
                                </w:rPr>
                                <w:t> </w:t>
                              </w:r>
                              <w:r>
                                <w:rPr>
                                  <w:b/>
                                  <w:color w:val="D5841E"/>
                                  <w:w w:val="105"/>
                                  <w:sz w:val="18"/>
                                </w:rPr>
                                <w:t>640</w:t>
                              </w:r>
                              <w:r>
                                <w:rPr>
                                  <w:b/>
                                  <w:color w:val="D5841E"/>
                                  <w:spacing w:val="38"/>
                                  <w:w w:val="105"/>
                                  <w:sz w:val="18"/>
                                </w:rPr>
                                <w:t> </w:t>
                              </w:r>
                              <w:r>
                                <w:rPr>
                                  <w:rFonts w:ascii="Lucida Sans Unicode" w:hAnsi="Lucida Sans Unicode"/>
                                  <w:color w:val="E4AE6F"/>
                                  <w:w w:val="105"/>
                                  <w:sz w:val="15"/>
                                </w:rPr>
                                <w:t>◆</w:t>
                              </w:r>
                              <w:r>
                                <w:rPr>
                                  <w:rFonts w:ascii="Lucida Sans Unicode" w:hAnsi="Lucida Sans Unicode"/>
                                  <w:color w:val="E4AE6F"/>
                                  <w:spacing w:val="46"/>
                                  <w:w w:val="105"/>
                                  <w:sz w:val="15"/>
                                </w:rPr>
                                <w:t> </w:t>
                              </w:r>
                              <w:r>
                                <w:rPr>
                                  <w:color w:val="231F20"/>
                                  <w:w w:val="105"/>
                                  <w:sz w:val="18"/>
                                </w:rPr>
                                <w:t>Otitis</w:t>
                              </w:r>
                              <w:r>
                                <w:rPr>
                                  <w:color w:val="231F20"/>
                                  <w:spacing w:val="8"/>
                                  <w:w w:val="105"/>
                                  <w:sz w:val="18"/>
                                </w:rPr>
                                <w:t> </w:t>
                              </w:r>
                              <w:r>
                                <w:rPr>
                                  <w:color w:val="231F20"/>
                                  <w:w w:val="105"/>
                                  <w:sz w:val="18"/>
                                </w:rPr>
                                <w:t>Media</w:t>
                              </w:r>
                              <w:r>
                                <w:rPr>
                                  <w:color w:val="231F20"/>
                                  <w:spacing w:val="38"/>
                                  <w:w w:val="105"/>
                                  <w:sz w:val="18"/>
                                </w:rPr>
                                <w:t>  </w:t>
                              </w:r>
                              <w:r>
                                <w:rPr>
                                  <w:b/>
                                  <w:color w:val="231F20"/>
                                  <w:spacing w:val="-4"/>
                                  <w:w w:val="105"/>
                                  <w:sz w:val="18"/>
                                </w:rPr>
                                <w:t>3093</w:t>
                              </w:r>
                            </w:p>
                          </w:txbxContent>
                        </wps:txbx>
                        <wps:bodyPr wrap="square" lIns="0" tIns="0" rIns="0" bIns="0" rtlCol="0">
                          <a:noAutofit/>
                        </wps:bodyPr>
                      </wps:wsp>
                    </wpg:wgp>
                  </a:graphicData>
                </a:graphic>
              </wp:inline>
            </w:drawing>
          </mc:Choice>
          <mc:Fallback>
            <w:pict>
              <v:group style="width:487.05pt;height:13.45pt;mso-position-horizontal-relative:char;mso-position-vertical-relative:line" id="docshapegroup1267" coordorigin="0,0" coordsize="9741,269">
                <v:line style="position:absolute" from="0,145" to="37,145" stroked="true" strokeweight="11.196078pt" strokecolor="#d5841e">
                  <v:stroke dashstyle="solid"/>
                </v:line>
                <v:line style="position:absolute" from="0,250" to="9741,250" stroked="true" strokeweight="1.866013pt" strokecolor="#d5841e">
                  <v:stroke dashstyle="solid"/>
                </v:line>
                <v:shape style="position:absolute;left:0;top:0;width:9741;height:269" type="#_x0000_t202" id="docshape1268" filled="false" stroked="false">
                  <v:textbox inset="0,0,0,0">
                    <w:txbxContent>
                      <w:p>
                        <w:pPr>
                          <w:spacing w:before="6"/>
                          <w:ind w:left="0" w:right="-15" w:firstLine="0"/>
                          <w:jc w:val="right"/>
                          <w:rPr>
                            <w:b/>
                            <w:sz w:val="18"/>
                          </w:rPr>
                        </w:pPr>
                        <w:r>
                          <w:rPr>
                            <w:b/>
                            <w:color w:val="D5841E"/>
                            <w:w w:val="105"/>
                            <w:sz w:val="18"/>
                          </w:rPr>
                          <w:t>Chapter</w:t>
                        </w:r>
                        <w:r>
                          <w:rPr>
                            <w:b/>
                            <w:color w:val="D5841E"/>
                            <w:spacing w:val="11"/>
                            <w:w w:val="105"/>
                            <w:sz w:val="18"/>
                          </w:rPr>
                          <w:t> </w:t>
                        </w:r>
                        <w:r>
                          <w:rPr>
                            <w:b/>
                            <w:color w:val="D5841E"/>
                            <w:w w:val="105"/>
                            <w:sz w:val="18"/>
                          </w:rPr>
                          <w:t>640</w:t>
                        </w:r>
                        <w:r>
                          <w:rPr>
                            <w:b/>
                            <w:color w:val="D5841E"/>
                            <w:spacing w:val="38"/>
                            <w:w w:val="105"/>
                            <w:sz w:val="18"/>
                          </w:rPr>
                          <w:t> </w:t>
                        </w:r>
                        <w:r>
                          <w:rPr>
                            <w:rFonts w:ascii="Lucida Sans Unicode" w:hAnsi="Lucida Sans Unicode"/>
                            <w:color w:val="E4AE6F"/>
                            <w:w w:val="105"/>
                            <w:sz w:val="15"/>
                          </w:rPr>
                          <w:t>◆</w:t>
                        </w:r>
                        <w:r>
                          <w:rPr>
                            <w:rFonts w:ascii="Lucida Sans Unicode" w:hAnsi="Lucida Sans Unicode"/>
                            <w:color w:val="E4AE6F"/>
                            <w:spacing w:val="46"/>
                            <w:w w:val="105"/>
                            <w:sz w:val="15"/>
                          </w:rPr>
                          <w:t> </w:t>
                        </w:r>
                        <w:r>
                          <w:rPr>
                            <w:color w:val="231F20"/>
                            <w:w w:val="105"/>
                            <w:sz w:val="18"/>
                          </w:rPr>
                          <w:t>Otitis</w:t>
                        </w:r>
                        <w:r>
                          <w:rPr>
                            <w:color w:val="231F20"/>
                            <w:spacing w:val="8"/>
                            <w:w w:val="105"/>
                            <w:sz w:val="18"/>
                          </w:rPr>
                          <w:t> </w:t>
                        </w:r>
                        <w:r>
                          <w:rPr>
                            <w:color w:val="231F20"/>
                            <w:w w:val="105"/>
                            <w:sz w:val="18"/>
                          </w:rPr>
                          <w:t>Media</w:t>
                        </w:r>
                        <w:r>
                          <w:rPr>
                            <w:color w:val="231F20"/>
                            <w:spacing w:val="38"/>
                            <w:w w:val="105"/>
                            <w:sz w:val="18"/>
                          </w:rPr>
                          <w:t>  </w:t>
                        </w:r>
                        <w:r>
                          <w:rPr>
                            <w:b/>
                            <w:color w:val="231F20"/>
                            <w:spacing w:val="-4"/>
                            <w:w w:val="105"/>
                            <w:sz w:val="18"/>
                          </w:rPr>
                          <w:t>3093</w:t>
                        </w:r>
                      </w:p>
                    </w:txbxContent>
                  </v:textbox>
                  <w10:wrap type="none"/>
                </v:shape>
              </v:group>
            </w:pict>
          </mc:Fallback>
        </mc:AlternateContent>
      </w:r>
      <w:r>
        <w:rPr>
          <w:sz w:val="20"/>
        </w:rPr>
      </w:r>
    </w:p>
    <w:p>
      <w:pPr>
        <w:pStyle w:val="BodyText"/>
        <w:spacing w:before="34"/>
        <w:rPr>
          <w:i/>
        </w:rPr>
      </w:pPr>
    </w:p>
    <w:p>
      <w:pPr>
        <w:pStyle w:val="BodyText"/>
        <w:spacing w:after="7"/>
        <w:ind w:left="1560"/>
        <w:rPr>
          <w:rFonts w:ascii="Arial MT"/>
        </w:rPr>
      </w:pPr>
      <w:r>
        <w:rPr>
          <w:rFonts w:ascii="Arial MT"/>
          <w:color w:val="231F20"/>
          <w:spacing w:val="-10"/>
        </w:rPr>
        <w:t>1</w:t>
      </w:r>
    </w:p>
    <w:p>
      <w:pPr>
        <w:pStyle w:val="BodyText"/>
        <w:ind w:left="1549"/>
        <w:rPr>
          <w:rFonts w:ascii="Arial MT"/>
          <w:sz w:val="20"/>
        </w:rPr>
      </w:pPr>
      <w:r>
        <w:rPr>
          <w:rFonts w:ascii="Arial MT"/>
          <w:sz w:val="20"/>
        </w:rPr>
        <mc:AlternateContent>
          <mc:Choice Requires="wps">
            <w:drawing>
              <wp:inline distT="0" distB="0" distL="0" distR="0">
                <wp:extent cx="1304290" cy="400050"/>
                <wp:effectExtent l="9525" t="0" r="634" b="9525"/>
                <wp:docPr id="1602" name="Textbox 1602"/>
                <wp:cNvGraphicFramePr>
                  <a:graphicFrameLocks/>
                </wp:cNvGraphicFramePr>
                <a:graphic>
                  <a:graphicData uri="http://schemas.microsoft.com/office/word/2010/wordprocessingShape">
                    <wps:wsp>
                      <wps:cNvPr id="1602" name="Textbox 1602"/>
                      <wps:cNvSpPr txBox="1"/>
                      <wps:spPr>
                        <a:xfrm>
                          <a:off x="0" y="0"/>
                          <a:ext cx="1304290" cy="400050"/>
                        </a:xfrm>
                        <a:prstGeom prst="rect">
                          <a:avLst/>
                        </a:prstGeom>
                        <a:solidFill>
                          <a:srgbClr val="F8EBD0"/>
                        </a:solidFill>
                        <a:ln w="11849">
                          <a:solidFill>
                            <a:srgbClr val="231F20"/>
                          </a:solidFill>
                          <a:prstDash val="solid"/>
                        </a:ln>
                      </wps:spPr>
                      <wps:txbx>
                        <w:txbxContent>
                          <w:p>
                            <w:pPr>
                              <w:pStyle w:val="BodyText"/>
                              <w:spacing w:line="235" w:lineRule="auto" w:before="81"/>
                              <w:ind w:left="197" w:right="195"/>
                              <w:jc w:val="center"/>
                              <w:rPr>
                                <w:rFonts w:ascii="Arial MT"/>
                                <w:color w:val="000000"/>
                              </w:rPr>
                            </w:pPr>
                            <w:r>
                              <w:rPr>
                                <w:rFonts w:ascii="Arial MT"/>
                                <w:color w:val="231F20"/>
                              </w:rPr>
                              <w:t>Child</w:t>
                            </w:r>
                            <w:r>
                              <w:rPr>
                                <w:rFonts w:ascii="Arial MT"/>
                                <w:color w:val="231F20"/>
                                <w:spacing w:val="-6"/>
                              </w:rPr>
                              <w:t> </w:t>
                            </w:r>
                            <w:r>
                              <w:rPr>
                                <w:rFonts w:ascii="Arial MT"/>
                                <w:color w:val="231F20"/>
                              </w:rPr>
                              <w:t>aged</w:t>
                            </w:r>
                            <w:r>
                              <w:rPr>
                                <w:rFonts w:ascii="Arial MT"/>
                                <w:color w:val="231F20"/>
                                <w:spacing w:val="-6"/>
                              </w:rPr>
                              <w:t> </w:t>
                            </w:r>
                            <w:r>
                              <w:rPr>
                                <w:rFonts w:ascii="Arial MT"/>
                                <w:color w:val="231F20"/>
                              </w:rPr>
                              <w:t>2</w:t>
                            </w:r>
                            <w:r>
                              <w:rPr>
                                <w:rFonts w:ascii="Arial MT"/>
                                <w:color w:val="231F20"/>
                                <w:spacing w:val="-6"/>
                              </w:rPr>
                              <w:t> </w:t>
                            </w:r>
                            <w:r>
                              <w:rPr>
                                <w:rFonts w:ascii="Arial MT"/>
                                <w:color w:val="231F20"/>
                              </w:rPr>
                              <w:t>mo</w:t>
                            </w:r>
                            <w:r>
                              <w:rPr>
                                <w:rFonts w:ascii="Arial MT"/>
                                <w:color w:val="231F20"/>
                                <w:spacing w:val="-6"/>
                              </w:rPr>
                              <w:t> </w:t>
                            </w:r>
                            <w:r>
                              <w:rPr>
                                <w:rFonts w:ascii="Arial MT"/>
                                <w:color w:val="231F20"/>
                              </w:rPr>
                              <w:t>through</w:t>
                            </w:r>
                            <w:r>
                              <w:rPr>
                                <w:rFonts w:ascii="Arial MT"/>
                                <w:color w:val="231F20"/>
                                <w:spacing w:val="-6"/>
                              </w:rPr>
                              <w:t> </w:t>
                            </w:r>
                            <w:r>
                              <w:rPr>
                                <w:rFonts w:ascii="Arial MT"/>
                                <w:color w:val="231F20"/>
                              </w:rPr>
                              <w:t>12</w:t>
                            </w:r>
                            <w:r>
                              <w:rPr>
                                <w:rFonts w:ascii="Arial MT"/>
                                <w:color w:val="231F20"/>
                                <w:spacing w:val="40"/>
                              </w:rPr>
                              <w:t> </w:t>
                            </w:r>
                            <w:r>
                              <w:rPr>
                                <w:rFonts w:ascii="Arial MT"/>
                                <w:color w:val="231F20"/>
                              </w:rPr>
                              <w:t>yr with uncomplicated</w:t>
                            </w:r>
                            <w:r>
                              <w:rPr>
                                <w:rFonts w:ascii="Arial MT"/>
                                <w:color w:val="231F20"/>
                                <w:spacing w:val="-8"/>
                              </w:rPr>
                              <w:t> </w:t>
                            </w:r>
                            <w:r>
                              <w:rPr>
                                <w:rFonts w:ascii="Arial MT"/>
                                <w:color w:val="231F20"/>
                              </w:rPr>
                              <w:t>AOM</w:t>
                            </w:r>
                            <w:r>
                              <w:rPr>
                                <w:rFonts w:ascii="Arial MT"/>
                                <w:color w:val="231F20"/>
                                <w:spacing w:val="40"/>
                              </w:rPr>
                              <w:t> </w:t>
                            </w:r>
                            <w:r>
                              <w:rPr>
                                <w:rFonts w:ascii="Arial MT"/>
                                <w:color w:val="231F20"/>
                              </w:rPr>
                              <w:t>presents to office</w:t>
                            </w:r>
                          </w:p>
                        </w:txbxContent>
                      </wps:txbx>
                      <wps:bodyPr wrap="square" lIns="0" tIns="0" rIns="0" bIns="0" rtlCol="0">
                        <a:noAutofit/>
                      </wps:bodyPr>
                    </wps:wsp>
                  </a:graphicData>
                </a:graphic>
              </wp:inline>
            </w:drawing>
          </mc:Choice>
          <mc:Fallback>
            <w:pict>
              <v:shape style="width:102.7pt;height:31.5pt;mso-position-horizontal-relative:char;mso-position-vertical-relative:line" type="#_x0000_t202" id="docshape1269" filled="true" fillcolor="#f8ebd0" stroked="true" strokeweight=".933007pt" strokecolor="#231f20">
                <w10:anchorlock/>
                <v:textbox inset="0,0,0,0">
                  <w:txbxContent>
                    <w:p>
                      <w:pPr>
                        <w:pStyle w:val="BodyText"/>
                        <w:spacing w:line="235" w:lineRule="auto" w:before="81"/>
                        <w:ind w:left="197" w:right="195"/>
                        <w:jc w:val="center"/>
                        <w:rPr>
                          <w:rFonts w:ascii="Arial MT"/>
                          <w:color w:val="000000"/>
                        </w:rPr>
                      </w:pPr>
                      <w:r>
                        <w:rPr>
                          <w:rFonts w:ascii="Arial MT"/>
                          <w:color w:val="231F20"/>
                        </w:rPr>
                        <w:t>Child</w:t>
                      </w:r>
                      <w:r>
                        <w:rPr>
                          <w:rFonts w:ascii="Arial MT"/>
                          <w:color w:val="231F20"/>
                          <w:spacing w:val="-6"/>
                        </w:rPr>
                        <w:t> </w:t>
                      </w:r>
                      <w:r>
                        <w:rPr>
                          <w:rFonts w:ascii="Arial MT"/>
                          <w:color w:val="231F20"/>
                        </w:rPr>
                        <w:t>aged</w:t>
                      </w:r>
                      <w:r>
                        <w:rPr>
                          <w:rFonts w:ascii="Arial MT"/>
                          <w:color w:val="231F20"/>
                          <w:spacing w:val="-6"/>
                        </w:rPr>
                        <w:t> </w:t>
                      </w:r>
                      <w:r>
                        <w:rPr>
                          <w:rFonts w:ascii="Arial MT"/>
                          <w:color w:val="231F20"/>
                        </w:rPr>
                        <w:t>2</w:t>
                      </w:r>
                      <w:r>
                        <w:rPr>
                          <w:rFonts w:ascii="Arial MT"/>
                          <w:color w:val="231F20"/>
                          <w:spacing w:val="-6"/>
                        </w:rPr>
                        <w:t> </w:t>
                      </w:r>
                      <w:r>
                        <w:rPr>
                          <w:rFonts w:ascii="Arial MT"/>
                          <w:color w:val="231F20"/>
                        </w:rPr>
                        <w:t>mo</w:t>
                      </w:r>
                      <w:r>
                        <w:rPr>
                          <w:rFonts w:ascii="Arial MT"/>
                          <w:color w:val="231F20"/>
                          <w:spacing w:val="-6"/>
                        </w:rPr>
                        <w:t> </w:t>
                      </w:r>
                      <w:r>
                        <w:rPr>
                          <w:rFonts w:ascii="Arial MT"/>
                          <w:color w:val="231F20"/>
                        </w:rPr>
                        <w:t>through</w:t>
                      </w:r>
                      <w:r>
                        <w:rPr>
                          <w:rFonts w:ascii="Arial MT"/>
                          <w:color w:val="231F20"/>
                          <w:spacing w:val="-6"/>
                        </w:rPr>
                        <w:t> </w:t>
                      </w:r>
                      <w:r>
                        <w:rPr>
                          <w:rFonts w:ascii="Arial MT"/>
                          <w:color w:val="231F20"/>
                        </w:rPr>
                        <w:t>12</w:t>
                      </w:r>
                      <w:r>
                        <w:rPr>
                          <w:rFonts w:ascii="Arial MT"/>
                          <w:color w:val="231F20"/>
                          <w:spacing w:val="40"/>
                        </w:rPr>
                        <w:t> </w:t>
                      </w:r>
                      <w:r>
                        <w:rPr>
                          <w:rFonts w:ascii="Arial MT"/>
                          <w:color w:val="231F20"/>
                        </w:rPr>
                        <w:t>yr with uncomplicated</w:t>
                      </w:r>
                      <w:r>
                        <w:rPr>
                          <w:rFonts w:ascii="Arial MT"/>
                          <w:color w:val="231F20"/>
                          <w:spacing w:val="-8"/>
                        </w:rPr>
                        <w:t> </w:t>
                      </w:r>
                      <w:r>
                        <w:rPr>
                          <w:rFonts w:ascii="Arial MT"/>
                          <w:color w:val="231F20"/>
                        </w:rPr>
                        <w:t>AOM</w:t>
                      </w:r>
                      <w:r>
                        <w:rPr>
                          <w:rFonts w:ascii="Arial MT"/>
                          <w:color w:val="231F20"/>
                          <w:spacing w:val="40"/>
                        </w:rPr>
                        <w:t> </w:t>
                      </w:r>
                      <w:r>
                        <w:rPr>
                          <w:rFonts w:ascii="Arial MT"/>
                          <w:color w:val="231F20"/>
                        </w:rPr>
                        <w:t>presents to office</w:t>
                      </w:r>
                    </w:p>
                  </w:txbxContent>
                </v:textbox>
                <v:fill type="solid"/>
                <v:stroke dashstyle="solid"/>
              </v:shape>
            </w:pict>
          </mc:Fallback>
        </mc:AlternateContent>
      </w:r>
      <w:r>
        <w:rPr>
          <w:rFonts w:ascii="Arial MT"/>
          <w:sz w:val="20"/>
        </w:rPr>
      </w:r>
    </w:p>
    <w:p>
      <w:pPr>
        <w:pStyle w:val="BodyText"/>
        <w:spacing w:before="44"/>
        <w:ind w:left="2050"/>
        <w:rPr>
          <w:rFonts w:ascii="Arial MT"/>
        </w:rPr>
      </w:pPr>
      <w:r>
        <w:rPr>
          <w:rFonts w:ascii="Arial MT"/>
        </w:rPr>
        <mc:AlternateContent>
          <mc:Choice Requires="wps">
            <w:drawing>
              <wp:anchor distT="0" distB="0" distL="0" distR="0" allowOverlap="1" layoutInCell="1" locked="0" behindDoc="1" simplePos="0" relativeHeight="475266048">
                <wp:simplePos x="0" y="0"/>
                <wp:positionH relativeFrom="page">
                  <wp:posOffset>1604458</wp:posOffset>
                </wp:positionH>
                <wp:positionV relativeFrom="paragraph">
                  <wp:posOffset>-23459</wp:posOffset>
                </wp:positionV>
                <wp:extent cx="1678305" cy="1681480"/>
                <wp:effectExtent l="0" t="0" r="0" b="0"/>
                <wp:wrapNone/>
                <wp:docPr id="1603" name="Group 1603"/>
                <wp:cNvGraphicFramePr>
                  <a:graphicFrameLocks/>
                </wp:cNvGraphicFramePr>
                <a:graphic>
                  <a:graphicData uri="http://schemas.microsoft.com/office/word/2010/wordprocessingGroup">
                    <wpg:wgp>
                      <wpg:cNvPr id="1603" name="Group 1603"/>
                      <wpg:cNvGrpSpPr/>
                      <wpg:grpSpPr>
                        <a:xfrm>
                          <a:off x="0" y="0"/>
                          <a:ext cx="1678305" cy="1681480"/>
                          <a:chExt cx="1678305" cy="1681480"/>
                        </a:xfrm>
                      </wpg:grpSpPr>
                      <wps:wsp>
                        <wps:cNvPr id="1604" name="Graphic 1604"/>
                        <wps:cNvSpPr/>
                        <wps:spPr>
                          <a:xfrm>
                            <a:off x="487273" y="0"/>
                            <a:ext cx="1270" cy="107950"/>
                          </a:xfrm>
                          <a:custGeom>
                            <a:avLst/>
                            <a:gdLst/>
                            <a:ahLst/>
                            <a:cxnLst/>
                            <a:rect l="l" t="t" r="r" b="b"/>
                            <a:pathLst>
                              <a:path w="0" h="107950">
                                <a:moveTo>
                                  <a:pt x="0" y="0"/>
                                </a:moveTo>
                                <a:lnTo>
                                  <a:pt x="0" y="107537"/>
                                </a:lnTo>
                              </a:path>
                            </a:pathLst>
                          </a:custGeom>
                          <a:ln w="11849">
                            <a:solidFill>
                              <a:srgbClr val="231F20"/>
                            </a:solidFill>
                            <a:prstDash val="solid"/>
                          </a:ln>
                        </wps:spPr>
                        <wps:bodyPr wrap="square" lIns="0" tIns="0" rIns="0" bIns="0" rtlCol="0">
                          <a:prstTxWarp prst="textNoShape">
                            <a:avLst/>
                          </a:prstTxWarp>
                          <a:noAutofit/>
                        </wps:bodyPr>
                      </wps:wsp>
                      <wps:wsp>
                        <wps:cNvPr id="1605" name="Graphic 1605"/>
                        <wps:cNvSpPr/>
                        <wps:spPr>
                          <a:xfrm>
                            <a:off x="448741" y="80139"/>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06" name="Graphic 1606"/>
                        <wps:cNvSpPr/>
                        <wps:spPr>
                          <a:xfrm>
                            <a:off x="487273" y="461987"/>
                            <a:ext cx="1270" cy="99695"/>
                          </a:xfrm>
                          <a:custGeom>
                            <a:avLst/>
                            <a:gdLst/>
                            <a:ahLst/>
                            <a:cxnLst/>
                            <a:rect l="l" t="t" r="r" b="b"/>
                            <a:pathLst>
                              <a:path w="0" h="99695">
                                <a:moveTo>
                                  <a:pt x="0" y="0"/>
                                </a:moveTo>
                                <a:lnTo>
                                  <a:pt x="0" y="99670"/>
                                </a:lnTo>
                              </a:path>
                            </a:pathLst>
                          </a:custGeom>
                          <a:ln w="11849">
                            <a:solidFill>
                              <a:srgbClr val="231F20"/>
                            </a:solidFill>
                            <a:prstDash val="solid"/>
                          </a:ln>
                        </wps:spPr>
                        <wps:bodyPr wrap="square" lIns="0" tIns="0" rIns="0" bIns="0" rtlCol="0">
                          <a:prstTxWarp prst="textNoShape">
                            <a:avLst/>
                          </a:prstTxWarp>
                          <a:noAutofit/>
                        </wps:bodyPr>
                      </wps:wsp>
                      <wps:wsp>
                        <wps:cNvPr id="1607" name="Graphic 1607"/>
                        <wps:cNvSpPr/>
                        <wps:spPr>
                          <a:xfrm>
                            <a:off x="448741" y="534271"/>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08" name="Graphic 1608"/>
                        <wps:cNvSpPr/>
                        <wps:spPr>
                          <a:xfrm>
                            <a:off x="487273" y="916114"/>
                            <a:ext cx="1270" cy="151765"/>
                          </a:xfrm>
                          <a:custGeom>
                            <a:avLst/>
                            <a:gdLst/>
                            <a:ahLst/>
                            <a:cxnLst/>
                            <a:rect l="l" t="t" r="r" b="b"/>
                            <a:pathLst>
                              <a:path w="0" h="151765">
                                <a:moveTo>
                                  <a:pt x="0" y="0"/>
                                </a:moveTo>
                                <a:lnTo>
                                  <a:pt x="0" y="151302"/>
                                </a:lnTo>
                              </a:path>
                            </a:pathLst>
                          </a:custGeom>
                          <a:ln w="11849">
                            <a:solidFill>
                              <a:srgbClr val="231F20"/>
                            </a:solidFill>
                            <a:prstDash val="solid"/>
                          </a:ln>
                        </wps:spPr>
                        <wps:bodyPr wrap="square" lIns="0" tIns="0" rIns="0" bIns="0" rtlCol="0">
                          <a:prstTxWarp prst="textNoShape">
                            <a:avLst/>
                          </a:prstTxWarp>
                          <a:noAutofit/>
                        </wps:bodyPr>
                      </wps:wsp>
                      <wps:wsp>
                        <wps:cNvPr id="1609" name="Graphic 1609"/>
                        <wps:cNvSpPr/>
                        <wps:spPr>
                          <a:xfrm>
                            <a:off x="448741" y="1040018"/>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10" name="Graphic 1610"/>
                        <wps:cNvSpPr/>
                        <wps:spPr>
                          <a:xfrm>
                            <a:off x="487273" y="1514792"/>
                            <a:ext cx="1270" cy="99695"/>
                          </a:xfrm>
                          <a:custGeom>
                            <a:avLst/>
                            <a:gdLst/>
                            <a:ahLst/>
                            <a:cxnLst/>
                            <a:rect l="l" t="t" r="r" b="b"/>
                            <a:pathLst>
                              <a:path w="0" h="99695">
                                <a:moveTo>
                                  <a:pt x="0" y="0"/>
                                </a:moveTo>
                                <a:lnTo>
                                  <a:pt x="0" y="99451"/>
                                </a:lnTo>
                              </a:path>
                            </a:pathLst>
                          </a:custGeom>
                          <a:ln w="11849">
                            <a:solidFill>
                              <a:srgbClr val="231F20"/>
                            </a:solidFill>
                            <a:prstDash val="solid"/>
                          </a:ln>
                        </wps:spPr>
                        <wps:bodyPr wrap="square" lIns="0" tIns="0" rIns="0" bIns="0" rtlCol="0">
                          <a:prstTxWarp prst="textNoShape">
                            <a:avLst/>
                          </a:prstTxWarp>
                          <a:noAutofit/>
                        </wps:bodyPr>
                      </wps:wsp>
                      <wps:wsp>
                        <wps:cNvPr id="1611" name="Graphic 1611"/>
                        <wps:cNvSpPr/>
                        <wps:spPr>
                          <a:xfrm>
                            <a:off x="448741" y="1586857"/>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12" name="Graphic 1612"/>
                        <wps:cNvSpPr/>
                        <wps:spPr>
                          <a:xfrm>
                            <a:off x="710574" y="773734"/>
                            <a:ext cx="332105" cy="1270"/>
                          </a:xfrm>
                          <a:custGeom>
                            <a:avLst/>
                            <a:gdLst/>
                            <a:ahLst/>
                            <a:cxnLst/>
                            <a:rect l="l" t="t" r="r" b="b"/>
                            <a:pathLst>
                              <a:path w="332105" h="0">
                                <a:moveTo>
                                  <a:pt x="0" y="0"/>
                                </a:moveTo>
                                <a:lnTo>
                                  <a:pt x="331916" y="0"/>
                                </a:lnTo>
                              </a:path>
                            </a:pathLst>
                          </a:custGeom>
                          <a:ln w="11849">
                            <a:solidFill>
                              <a:srgbClr val="231F20"/>
                            </a:solidFill>
                            <a:prstDash val="solid"/>
                          </a:ln>
                        </wps:spPr>
                        <wps:bodyPr wrap="square" lIns="0" tIns="0" rIns="0" bIns="0" rtlCol="0">
                          <a:prstTxWarp prst="textNoShape">
                            <a:avLst/>
                          </a:prstTxWarp>
                          <a:noAutofit/>
                        </wps:bodyPr>
                      </wps:wsp>
                      <wps:wsp>
                        <wps:cNvPr id="1613" name="Graphic 1613"/>
                        <wps:cNvSpPr/>
                        <wps:spPr>
                          <a:xfrm>
                            <a:off x="1015092" y="735215"/>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31F20"/>
                          </a:solidFill>
                        </wps:spPr>
                        <wps:bodyPr wrap="square" lIns="0" tIns="0" rIns="0" bIns="0" rtlCol="0">
                          <a:prstTxWarp prst="textNoShape">
                            <a:avLst/>
                          </a:prstTxWarp>
                          <a:noAutofit/>
                        </wps:bodyPr>
                      </wps:wsp>
                      <wps:wsp>
                        <wps:cNvPr id="1614" name="Textbox 1614"/>
                        <wps:cNvSpPr txBox="1"/>
                        <wps:spPr>
                          <a:xfrm>
                            <a:off x="263952" y="609398"/>
                            <a:ext cx="447040" cy="307340"/>
                          </a:xfrm>
                          <a:prstGeom prst="rect">
                            <a:avLst/>
                          </a:prstGeom>
                          <a:solidFill>
                            <a:srgbClr val="F1BCB5"/>
                          </a:solidFill>
                          <a:ln w="11849">
                            <a:solidFill>
                              <a:srgbClr val="231F20"/>
                            </a:solidFill>
                            <a:prstDash val="solid"/>
                          </a:ln>
                        </wps:spPr>
                        <wps:txbx>
                          <w:txbxContent>
                            <w:p>
                              <w:pPr>
                                <w:spacing w:line="235" w:lineRule="auto" w:before="80"/>
                                <w:ind w:left="88" w:right="86" w:firstLine="61"/>
                                <w:jc w:val="left"/>
                                <w:rPr>
                                  <w:rFonts w:ascii="Arial MT"/>
                                  <w:color w:val="000000"/>
                                  <w:sz w:val="13"/>
                                </w:rPr>
                              </w:pPr>
                              <w:r>
                                <w:rPr>
                                  <w:rFonts w:ascii="Arial MT"/>
                                  <w:color w:val="231F20"/>
                                  <w:sz w:val="13"/>
                                </w:rPr>
                                <w:t>Is</w:t>
                              </w:r>
                              <w:r>
                                <w:rPr>
                                  <w:rFonts w:ascii="Arial MT"/>
                                  <w:color w:val="231F20"/>
                                  <w:spacing w:val="-5"/>
                                  <w:sz w:val="13"/>
                                </w:rPr>
                                <w:t> </w:t>
                              </w:r>
                              <w:r>
                                <w:rPr>
                                  <w:rFonts w:ascii="Arial MT"/>
                                  <w:color w:val="231F20"/>
                                  <w:sz w:val="13"/>
                                </w:rPr>
                                <w:t>pain</w:t>
                              </w:r>
                              <w:r>
                                <w:rPr>
                                  <w:rFonts w:ascii="Arial MT"/>
                                  <w:color w:val="231F20"/>
                                  <w:spacing w:val="40"/>
                                  <w:sz w:val="13"/>
                                </w:rPr>
                                <w:t> </w:t>
                              </w:r>
                              <w:r>
                                <w:rPr>
                                  <w:rFonts w:ascii="Arial MT"/>
                                  <w:color w:val="231F20"/>
                                  <w:spacing w:val="-2"/>
                                  <w:sz w:val="13"/>
                                </w:rPr>
                                <w:t>present?</w:t>
                              </w:r>
                            </w:p>
                          </w:txbxContent>
                        </wps:txbx>
                        <wps:bodyPr wrap="square" lIns="0" tIns="0" rIns="0" bIns="0" rtlCol="0">
                          <a:noAutofit/>
                        </wps:bodyPr>
                      </wps:wsp>
                      <wps:wsp>
                        <wps:cNvPr id="1615" name="Textbox 1615"/>
                        <wps:cNvSpPr txBox="1"/>
                        <wps:spPr>
                          <a:xfrm>
                            <a:off x="153506" y="155266"/>
                            <a:ext cx="668020" cy="307340"/>
                          </a:xfrm>
                          <a:prstGeom prst="rect">
                            <a:avLst/>
                          </a:prstGeom>
                          <a:solidFill>
                            <a:srgbClr val="D7EDDD"/>
                          </a:solidFill>
                          <a:ln w="11849">
                            <a:solidFill>
                              <a:srgbClr val="231F20"/>
                            </a:solidFill>
                            <a:prstDash val="solid"/>
                          </a:ln>
                        </wps:spPr>
                        <wps:txbx>
                          <w:txbxContent>
                            <w:p>
                              <w:pPr>
                                <w:spacing w:line="235" w:lineRule="auto" w:before="80"/>
                                <w:ind w:left="88" w:right="78" w:firstLine="65"/>
                                <w:jc w:val="left"/>
                                <w:rPr>
                                  <w:rFonts w:ascii="Arial MT"/>
                                  <w:color w:val="000000"/>
                                  <w:sz w:val="13"/>
                                </w:rPr>
                              </w:pPr>
                              <w:r>
                                <w:rPr>
                                  <w:rFonts w:ascii="Arial MT"/>
                                  <w:color w:val="231F20"/>
                                  <w:sz w:val="13"/>
                                </w:rPr>
                                <w:t>The</w:t>
                              </w:r>
                              <w:r>
                                <w:rPr>
                                  <w:rFonts w:ascii="Arial MT"/>
                                  <w:color w:val="231F20"/>
                                  <w:spacing w:val="-5"/>
                                  <w:sz w:val="13"/>
                                </w:rPr>
                                <w:t> </w:t>
                              </w:r>
                              <w:r>
                                <w:rPr>
                                  <w:rFonts w:ascii="Arial MT"/>
                                  <w:color w:val="231F20"/>
                                  <w:sz w:val="13"/>
                                </w:rPr>
                                <w:t>clinician</w:t>
                              </w:r>
                              <w:r>
                                <w:rPr>
                                  <w:rFonts w:ascii="Arial MT"/>
                                  <w:color w:val="231F20"/>
                                  <w:spacing w:val="40"/>
                                  <w:sz w:val="13"/>
                                </w:rPr>
                                <w:t> </w:t>
                              </w:r>
                              <w:r>
                                <w:rPr>
                                  <w:rFonts w:ascii="Arial MT"/>
                                  <w:color w:val="231F20"/>
                                  <w:sz w:val="13"/>
                                </w:rPr>
                                <w:t>assesses</w:t>
                              </w:r>
                              <w:r>
                                <w:rPr>
                                  <w:rFonts w:ascii="Arial MT"/>
                                  <w:color w:val="231F20"/>
                                  <w:spacing w:val="-10"/>
                                  <w:sz w:val="13"/>
                                </w:rPr>
                                <w:t> </w:t>
                              </w:r>
                              <w:r>
                                <w:rPr>
                                  <w:rFonts w:ascii="Arial MT"/>
                                  <w:color w:val="231F20"/>
                                  <w:sz w:val="13"/>
                                </w:rPr>
                                <w:t>pain.</w:t>
                              </w:r>
                            </w:p>
                          </w:txbxContent>
                        </wps:txbx>
                        <wps:bodyPr wrap="square" lIns="0" tIns="0" rIns="0" bIns="0" rtlCol="0">
                          <a:noAutofit/>
                        </wps:bodyPr>
                      </wps:wsp>
                      <wps:wsp>
                        <wps:cNvPr id="1616" name="Textbox 1616"/>
                        <wps:cNvSpPr txBox="1"/>
                        <wps:spPr>
                          <a:xfrm>
                            <a:off x="5924" y="1115145"/>
                            <a:ext cx="963294" cy="400050"/>
                          </a:xfrm>
                          <a:prstGeom prst="rect">
                            <a:avLst/>
                          </a:prstGeom>
                          <a:solidFill>
                            <a:srgbClr val="D1E4F6"/>
                          </a:solidFill>
                          <a:ln w="11849">
                            <a:solidFill>
                              <a:srgbClr val="231F20"/>
                            </a:solidFill>
                            <a:prstDash val="solid"/>
                          </a:ln>
                        </wps:spPr>
                        <wps:txbx>
                          <w:txbxContent>
                            <w:p>
                              <w:pPr>
                                <w:spacing w:line="235" w:lineRule="auto" w:before="80"/>
                                <w:ind w:left="88" w:right="122" w:firstLine="0"/>
                                <w:jc w:val="center"/>
                                <w:rPr>
                                  <w:rFonts w:ascii="Arial MT"/>
                                  <w:color w:val="000000"/>
                                  <w:sz w:val="13"/>
                                </w:rPr>
                              </w:pPr>
                              <w:r>
                                <w:rPr>
                                  <w:rFonts w:ascii="Arial MT"/>
                                  <w:color w:val="231F20"/>
                                  <w:sz w:val="13"/>
                                </w:rPr>
                                <w:t>Clinician</w:t>
                              </w:r>
                              <w:r>
                                <w:rPr>
                                  <w:rFonts w:ascii="Arial MT"/>
                                  <w:color w:val="231F20"/>
                                  <w:spacing w:val="-10"/>
                                  <w:sz w:val="13"/>
                                </w:rPr>
                                <w:t> </w:t>
                              </w:r>
                              <w:r>
                                <w:rPr>
                                  <w:rFonts w:ascii="Arial MT"/>
                                  <w:color w:val="231F20"/>
                                  <w:sz w:val="13"/>
                                </w:rPr>
                                <w:t>recommends</w:t>
                              </w:r>
                              <w:r>
                                <w:rPr>
                                  <w:rFonts w:ascii="Arial MT"/>
                                  <w:color w:val="231F20"/>
                                  <w:spacing w:val="40"/>
                                  <w:sz w:val="13"/>
                                </w:rPr>
                                <w:t> </w:t>
                              </w:r>
                              <w:r>
                                <w:rPr>
                                  <w:rFonts w:ascii="Arial MT"/>
                                  <w:color w:val="231F20"/>
                                  <w:sz w:val="13"/>
                                </w:rPr>
                                <w:t>treatment to reduce</w:t>
                              </w:r>
                              <w:r>
                                <w:rPr>
                                  <w:rFonts w:ascii="Arial MT"/>
                                  <w:color w:val="231F20"/>
                                  <w:spacing w:val="40"/>
                                  <w:sz w:val="13"/>
                                </w:rPr>
                                <w:t> </w:t>
                              </w:r>
                              <w:r>
                                <w:rPr>
                                  <w:rFonts w:ascii="Arial MT"/>
                                  <w:color w:val="231F20"/>
                                  <w:spacing w:val="-2"/>
                                  <w:sz w:val="13"/>
                                </w:rPr>
                                <w:t>pain.</w:t>
                              </w:r>
                            </w:p>
                          </w:txbxContent>
                        </wps:txbx>
                        <wps:bodyPr wrap="square" lIns="0" tIns="0" rIns="0" bIns="0" rtlCol="0">
                          <a:noAutofit/>
                        </wps:bodyPr>
                      </wps:wsp>
                      <wps:wsp>
                        <wps:cNvPr id="1617" name="Textbox 1617"/>
                        <wps:cNvSpPr txBox="1"/>
                        <wps:spPr>
                          <a:xfrm>
                            <a:off x="1094663" y="673609"/>
                            <a:ext cx="577850" cy="213995"/>
                          </a:xfrm>
                          <a:prstGeom prst="rect">
                            <a:avLst/>
                          </a:prstGeom>
                          <a:solidFill>
                            <a:srgbClr val="F8EBD0"/>
                          </a:solidFill>
                          <a:ln w="11849">
                            <a:solidFill>
                              <a:srgbClr val="231F20"/>
                            </a:solidFill>
                            <a:prstDash val="solid"/>
                          </a:ln>
                        </wps:spPr>
                        <wps:txbx>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6.</w:t>
                              </w:r>
                            </w:p>
                          </w:txbxContent>
                        </wps:txbx>
                        <wps:bodyPr wrap="square" lIns="0" tIns="0" rIns="0" bIns="0" rtlCol="0">
                          <a:noAutofit/>
                        </wps:bodyPr>
                      </wps:wsp>
                    </wpg:wgp>
                  </a:graphicData>
                </a:graphic>
              </wp:anchor>
            </w:drawing>
          </mc:Choice>
          <mc:Fallback>
            <w:pict>
              <v:group style="position:absolute;margin-left:126.335281pt;margin-top:-1.847233pt;width:132.15pt;height:132.4pt;mso-position-horizontal-relative:page;mso-position-vertical-relative:paragraph;z-index:-28050432" id="docshapegroup1270" coordorigin="2527,-37" coordsize="2643,2648">
                <v:line style="position:absolute" from="3294,-37" to="3294,132" stroked="true" strokeweight=".933007pt" strokecolor="#231f20">
                  <v:stroke dashstyle="solid"/>
                </v:line>
                <v:shape style="position:absolute;left:3233;top:89;width:122;height:149" id="docshape1271" coordorigin="3233,89" coordsize="122,149" path="m3355,89l3294,125,3233,89,3294,238,3355,89xe" filled="true" fillcolor="#231f20" stroked="false">
                  <v:path arrowok="t"/>
                  <v:fill type="solid"/>
                </v:shape>
                <v:line style="position:absolute" from="3294,691" to="3294,848" stroked="true" strokeweight=".933007pt" strokecolor="#231f20">
                  <v:stroke dashstyle="solid"/>
                </v:line>
                <v:shape style="position:absolute;left:3233;top:804;width:122;height:149" id="docshape1272" coordorigin="3233,804" coordsize="122,149" path="m3355,804l3294,840,3233,804,3294,953,3355,804xe" filled="true" fillcolor="#231f20" stroked="false">
                  <v:path arrowok="t"/>
                  <v:fill type="solid"/>
                </v:shape>
                <v:line style="position:absolute" from="3294,1406" to="3294,1644" stroked="true" strokeweight=".933007pt" strokecolor="#231f20">
                  <v:stroke dashstyle="solid"/>
                </v:line>
                <v:shape style="position:absolute;left:3233;top:1600;width:122;height:149" id="docshape1273" coordorigin="3233,1601" coordsize="122,149" path="m3355,1601l3294,1636,3233,1601,3294,1749,3355,1601xe" filled="true" fillcolor="#231f20" stroked="false">
                  <v:path arrowok="t"/>
                  <v:fill type="solid"/>
                </v:shape>
                <v:line style="position:absolute" from="3294,2349" to="3294,2505" stroked="true" strokeweight=".933007pt" strokecolor="#231f20">
                  <v:stroke dashstyle="solid"/>
                </v:line>
                <v:shape style="position:absolute;left:3233;top:2462;width:122;height:149" id="docshape1274" coordorigin="3233,2462" coordsize="122,149" path="m3355,2462l3294,2497,3233,2462,3294,2611,3355,2462xe" filled="true" fillcolor="#231f20" stroked="false">
                  <v:path arrowok="t"/>
                  <v:fill type="solid"/>
                </v:shape>
                <v:line style="position:absolute" from="3646,1182" to="4168,1182" stroked="true" strokeweight=".933007pt" strokecolor="#231f20">
                  <v:stroke dashstyle="solid"/>
                </v:line>
                <v:shape style="position:absolute;left:4125;top:1120;width:149;height:122" id="docshape1275" coordorigin="4125,1121" coordsize="149,122" path="m4125,1121l4161,1182,4125,1242,4274,1182,4125,1121xe" filled="true" fillcolor="#231f20" stroked="false">
                  <v:path arrowok="t"/>
                  <v:fill type="solid"/>
                </v:shape>
                <v:shape style="position:absolute;left:2942;top:922;width:704;height:484" type="#_x0000_t202" id="docshape1276" filled="true" fillcolor="#f1bcb5" stroked="true" strokeweight=".933007pt" strokecolor="#231f20">
                  <v:textbox inset="0,0,0,0">
                    <w:txbxContent>
                      <w:p>
                        <w:pPr>
                          <w:spacing w:line="235" w:lineRule="auto" w:before="80"/>
                          <w:ind w:left="88" w:right="86" w:firstLine="61"/>
                          <w:jc w:val="left"/>
                          <w:rPr>
                            <w:rFonts w:ascii="Arial MT"/>
                            <w:color w:val="000000"/>
                            <w:sz w:val="13"/>
                          </w:rPr>
                        </w:pPr>
                        <w:r>
                          <w:rPr>
                            <w:rFonts w:ascii="Arial MT"/>
                            <w:color w:val="231F20"/>
                            <w:sz w:val="13"/>
                          </w:rPr>
                          <w:t>Is</w:t>
                        </w:r>
                        <w:r>
                          <w:rPr>
                            <w:rFonts w:ascii="Arial MT"/>
                            <w:color w:val="231F20"/>
                            <w:spacing w:val="-5"/>
                            <w:sz w:val="13"/>
                          </w:rPr>
                          <w:t> </w:t>
                        </w:r>
                        <w:r>
                          <w:rPr>
                            <w:rFonts w:ascii="Arial MT"/>
                            <w:color w:val="231F20"/>
                            <w:sz w:val="13"/>
                          </w:rPr>
                          <w:t>pain</w:t>
                        </w:r>
                        <w:r>
                          <w:rPr>
                            <w:rFonts w:ascii="Arial MT"/>
                            <w:color w:val="231F20"/>
                            <w:spacing w:val="40"/>
                            <w:sz w:val="13"/>
                          </w:rPr>
                          <w:t> </w:t>
                        </w:r>
                        <w:r>
                          <w:rPr>
                            <w:rFonts w:ascii="Arial MT"/>
                            <w:color w:val="231F20"/>
                            <w:spacing w:val="-2"/>
                            <w:sz w:val="13"/>
                          </w:rPr>
                          <w:t>present?</w:t>
                        </w:r>
                      </w:p>
                    </w:txbxContent>
                  </v:textbox>
                  <v:fill type="solid"/>
                  <v:stroke dashstyle="solid"/>
                  <w10:wrap type="none"/>
                </v:shape>
                <v:shape style="position:absolute;left:2768;top:207;width:1052;height:484" type="#_x0000_t202" id="docshape1277" filled="true" fillcolor="#d7eddd" stroked="true" strokeweight=".933007pt" strokecolor="#231f20">
                  <v:textbox inset="0,0,0,0">
                    <w:txbxContent>
                      <w:p>
                        <w:pPr>
                          <w:spacing w:line="235" w:lineRule="auto" w:before="80"/>
                          <w:ind w:left="88" w:right="78" w:firstLine="65"/>
                          <w:jc w:val="left"/>
                          <w:rPr>
                            <w:rFonts w:ascii="Arial MT"/>
                            <w:color w:val="000000"/>
                            <w:sz w:val="13"/>
                          </w:rPr>
                        </w:pPr>
                        <w:r>
                          <w:rPr>
                            <w:rFonts w:ascii="Arial MT"/>
                            <w:color w:val="231F20"/>
                            <w:sz w:val="13"/>
                          </w:rPr>
                          <w:t>The</w:t>
                        </w:r>
                        <w:r>
                          <w:rPr>
                            <w:rFonts w:ascii="Arial MT"/>
                            <w:color w:val="231F20"/>
                            <w:spacing w:val="-5"/>
                            <w:sz w:val="13"/>
                          </w:rPr>
                          <w:t> </w:t>
                        </w:r>
                        <w:r>
                          <w:rPr>
                            <w:rFonts w:ascii="Arial MT"/>
                            <w:color w:val="231F20"/>
                            <w:sz w:val="13"/>
                          </w:rPr>
                          <w:t>clinician</w:t>
                        </w:r>
                        <w:r>
                          <w:rPr>
                            <w:rFonts w:ascii="Arial MT"/>
                            <w:color w:val="231F20"/>
                            <w:spacing w:val="40"/>
                            <w:sz w:val="13"/>
                          </w:rPr>
                          <w:t> </w:t>
                        </w:r>
                        <w:r>
                          <w:rPr>
                            <w:rFonts w:ascii="Arial MT"/>
                            <w:color w:val="231F20"/>
                            <w:sz w:val="13"/>
                          </w:rPr>
                          <w:t>assesses</w:t>
                        </w:r>
                        <w:r>
                          <w:rPr>
                            <w:rFonts w:ascii="Arial MT"/>
                            <w:color w:val="231F20"/>
                            <w:spacing w:val="-10"/>
                            <w:sz w:val="13"/>
                          </w:rPr>
                          <w:t> </w:t>
                        </w:r>
                        <w:r>
                          <w:rPr>
                            <w:rFonts w:ascii="Arial MT"/>
                            <w:color w:val="231F20"/>
                            <w:sz w:val="13"/>
                          </w:rPr>
                          <w:t>pain.</w:t>
                        </w:r>
                      </w:p>
                    </w:txbxContent>
                  </v:textbox>
                  <v:fill type="solid"/>
                  <v:stroke dashstyle="solid"/>
                  <w10:wrap type="none"/>
                </v:shape>
                <v:shape style="position:absolute;left:2536;top:1719;width:1517;height:630" type="#_x0000_t202" id="docshape1278" filled="true" fillcolor="#d1e4f6" stroked="true" strokeweight=".933007pt" strokecolor="#231f20">
                  <v:textbox inset="0,0,0,0">
                    <w:txbxContent>
                      <w:p>
                        <w:pPr>
                          <w:spacing w:line="235" w:lineRule="auto" w:before="80"/>
                          <w:ind w:left="88" w:right="122" w:firstLine="0"/>
                          <w:jc w:val="center"/>
                          <w:rPr>
                            <w:rFonts w:ascii="Arial MT"/>
                            <w:color w:val="000000"/>
                            <w:sz w:val="13"/>
                          </w:rPr>
                        </w:pPr>
                        <w:r>
                          <w:rPr>
                            <w:rFonts w:ascii="Arial MT"/>
                            <w:color w:val="231F20"/>
                            <w:sz w:val="13"/>
                          </w:rPr>
                          <w:t>Clinician</w:t>
                        </w:r>
                        <w:r>
                          <w:rPr>
                            <w:rFonts w:ascii="Arial MT"/>
                            <w:color w:val="231F20"/>
                            <w:spacing w:val="-10"/>
                            <w:sz w:val="13"/>
                          </w:rPr>
                          <w:t> </w:t>
                        </w:r>
                        <w:r>
                          <w:rPr>
                            <w:rFonts w:ascii="Arial MT"/>
                            <w:color w:val="231F20"/>
                            <w:sz w:val="13"/>
                          </w:rPr>
                          <w:t>recommends</w:t>
                        </w:r>
                        <w:r>
                          <w:rPr>
                            <w:rFonts w:ascii="Arial MT"/>
                            <w:color w:val="231F20"/>
                            <w:spacing w:val="40"/>
                            <w:sz w:val="13"/>
                          </w:rPr>
                          <w:t> </w:t>
                        </w:r>
                        <w:r>
                          <w:rPr>
                            <w:rFonts w:ascii="Arial MT"/>
                            <w:color w:val="231F20"/>
                            <w:sz w:val="13"/>
                          </w:rPr>
                          <w:t>treatment to reduce</w:t>
                        </w:r>
                        <w:r>
                          <w:rPr>
                            <w:rFonts w:ascii="Arial MT"/>
                            <w:color w:val="231F20"/>
                            <w:spacing w:val="40"/>
                            <w:sz w:val="13"/>
                          </w:rPr>
                          <w:t> </w:t>
                        </w:r>
                        <w:r>
                          <w:rPr>
                            <w:rFonts w:ascii="Arial MT"/>
                            <w:color w:val="231F20"/>
                            <w:spacing w:val="-2"/>
                            <w:sz w:val="13"/>
                          </w:rPr>
                          <w:t>pain.</w:t>
                        </w:r>
                      </w:p>
                    </w:txbxContent>
                  </v:textbox>
                  <v:fill type="solid"/>
                  <v:stroke dashstyle="solid"/>
                  <w10:wrap type="none"/>
                </v:shape>
                <v:shape style="position:absolute;left:4250;top:1023;width:910;height:337" type="#_x0000_t202" id="docshape1279" filled="true" fillcolor="#f8ebd0" stroked="true" strokeweight=".933007pt" strokecolor="#231f20">
                  <v:textbox inset="0,0,0,0">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6.</w:t>
                        </w:r>
                      </w:p>
                    </w:txbxContent>
                  </v:textbox>
                  <v:fill type="solid"/>
                  <v:stroke dashstyle="solid"/>
                  <w10:wrap type="none"/>
                </v:shape>
                <w10:wrap type="none"/>
              </v:group>
            </w:pict>
          </mc:Fallback>
        </mc:AlternateContent>
      </w:r>
      <w:r>
        <w:rPr>
          <w:rFonts w:ascii="Arial MT"/>
        </w:rPr>
        <mc:AlternateContent>
          <mc:Choice Requires="wps">
            <w:drawing>
              <wp:anchor distT="0" distB="0" distL="0" distR="0" allowOverlap="1" layoutInCell="1" locked="0" behindDoc="0" simplePos="0" relativeHeight="15844352">
                <wp:simplePos x="0" y="0"/>
                <wp:positionH relativeFrom="page">
                  <wp:posOffset>4255902</wp:posOffset>
                </wp:positionH>
                <wp:positionV relativeFrom="paragraph">
                  <wp:posOffset>-414807</wp:posOffset>
                </wp:positionV>
                <wp:extent cx="1990089" cy="1616710"/>
                <wp:effectExtent l="0" t="0" r="0" b="0"/>
                <wp:wrapNone/>
                <wp:docPr id="1618" name="Textbox 1618"/>
                <wp:cNvGraphicFramePr>
                  <a:graphicFrameLocks/>
                </wp:cNvGraphicFramePr>
                <a:graphic>
                  <a:graphicData uri="http://schemas.microsoft.com/office/word/2010/wordprocessingShape">
                    <wps:wsp>
                      <wps:cNvPr id="1618" name="Textbox 1618"/>
                      <wps:cNvSpPr txBox="1"/>
                      <wps:spPr>
                        <a:xfrm>
                          <a:off x="0" y="0"/>
                          <a:ext cx="1990089" cy="1616710"/>
                        </a:xfrm>
                        <a:prstGeom prst="rect">
                          <a:avLst/>
                        </a:prstGeom>
                        <a:solidFill>
                          <a:srgbClr val="D7EDDD"/>
                        </a:solidFill>
                        <a:ln w="11849">
                          <a:solidFill>
                            <a:srgbClr val="231F20"/>
                          </a:solidFill>
                          <a:prstDash val="solid"/>
                        </a:ln>
                      </wps:spPr>
                      <wps:txbx>
                        <w:txbxContent>
                          <w:p>
                            <w:pPr>
                              <w:pStyle w:val="BodyText"/>
                              <w:spacing w:before="78"/>
                              <w:ind w:left="88"/>
                              <w:rPr>
                                <w:rFonts w:ascii="Arial MT"/>
                                <w:color w:val="000000"/>
                              </w:rPr>
                            </w:pPr>
                            <w:r>
                              <w:rPr>
                                <w:rFonts w:ascii="Arial MT"/>
                                <w:color w:val="231F20"/>
                              </w:rPr>
                              <w:t>A</w:t>
                            </w:r>
                            <w:r>
                              <w:rPr>
                                <w:rFonts w:ascii="Arial MT"/>
                                <w:color w:val="231F20"/>
                                <w:spacing w:val="-9"/>
                              </w:rPr>
                              <w:t> </w:t>
                            </w:r>
                            <w:r>
                              <w:rPr>
                                <w:rFonts w:ascii="Arial MT"/>
                                <w:color w:val="231F20"/>
                              </w:rPr>
                              <w:t>diagnosis</w:t>
                            </w:r>
                            <w:r>
                              <w:rPr>
                                <w:rFonts w:ascii="Arial MT"/>
                                <w:color w:val="231F20"/>
                                <w:spacing w:val="-1"/>
                              </w:rPr>
                              <w:t> </w:t>
                            </w:r>
                            <w:r>
                              <w:rPr>
                                <w:rFonts w:ascii="Arial MT"/>
                                <w:color w:val="231F20"/>
                              </w:rPr>
                              <w:t>of</w:t>
                            </w:r>
                            <w:r>
                              <w:rPr>
                                <w:rFonts w:ascii="Arial MT"/>
                                <w:color w:val="231F20"/>
                                <w:spacing w:val="-1"/>
                              </w:rPr>
                              <w:t> </w:t>
                            </w:r>
                            <w:r>
                              <w:rPr>
                                <w:rFonts w:ascii="Arial MT"/>
                                <w:color w:val="231F20"/>
                              </w:rPr>
                              <w:t>acute</w:t>
                            </w:r>
                            <w:r>
                              <w:rPr>
                                <w:rFonts w:ascii="Arial MT"/>
                                <w:color w:val="231F20"/>
                                <w:spacing w:val="-2"/>
                              </w:rPr>
                              <w:t> </w:t>
                            </w:r>
                            <w:r>
                              <w:rPr>
                                <w:rFonts w:ascii="Arial MT"/>
                                <w:color w:val="231F20"/>
                              </w:rPr>
                              <w:t>otitis</w:t>
                            </w:r>
                            <w:r>
                              <w:rPr>
                                <w:rFonts w:ascii="Arial MT"/>
                                <w:color w:val="231F20"/>
                                <w:spacing w:val="-1"/>
                              </w:rPr>
                              <w:t> </w:t>
                            </w:r>
                            <w:r>
                              <w:rPr>
                                <w:rFonts w:ascii="Arial MT"/>
                                <w:color w:val="231F20"/>
                              </w:rPr>
                              <w:t>media</w:t>
                            </w:r>
                            <w:r>
                              <w:rPr>
                                <w:rFonts w:ascii="Arial MT"/>
                                <w:color w:val="231F20"/>
                                <w:spacing w:val="-1"/>
                              </w:rPr>
                              <w:t> </w:t>
                            </w:r>
                            <w:r>
                              <w:rPr>
                                <w:rFonts w:ascii="Arial MT"/>
                                <w:color w:val="231F20"/>
                                <w:spacing w:val="-2"/>
                              </w:rPr>
                              <w:t>requires:</w:t>
                            </w:r>
                          </w:p>
                          <w:p>
                            <w:pPr>
                              <w:pStyle w:val="BodyText"/>
                              <w:numPr>
                                <w:ilvl w:val="0"/>
                                <w:numId w:val="109"/>
                              </w:numPr>
                              <w:tabs>
                                <w:tab w:pos="240" w:val="left" w:leader="none"/>
                              </w:tabs>
                              <w:spacing w:line="240" w:lineRule="auto" w:before="143" w:after="0"/>
                              <w:ind w:left="240" w:right="0" w:hanging="152"/>
                              <w:jc w:val="left"/>
                              <w:rPr>
                                <w:rFonts w:ascii="Arial MT"/>
                                <w:color w:val="000000"/>
                              </w:rPr>
                            </w:pPr>
                            <w:r>
                              <w:rPr>
                                <w:rFonts w:ascii="Arial MT"/>
                                <w:color w:val="231F20"/>
                              </w:rPr>
                              <w:t>History</w:t>
                            </w:r>
                            <w:r>
                              <w:rPr>
                                <w:rFonts w:ascii="Arial MT"/>
                                <w:color w:val="231F20"/>
                                <w:spacing w:val="-3"/>
                              </w:rPr>
                              <w:t> </w:t>
                            </w:r>
                            <w:r>
                              <w:rPr>
                                <w:rFonts w:ascii="Arial MT"/>
                                <w:color w:val="231F20"/>
                              </w:rPr>
                              <w:t>of</w:t>
                            </w:r>
                            <w:r>
                              <w:rPr>
                                <w:rFonts w:ascii="Arial MT"/>
                                <w:color w:val="231F20"/>
                                <w:spacing w:val="-1"/>
                              </w:rPr>
                              <w:t> </w:t>
                            </w:r>
                            <w:r>
                              <w:rPr>
                                <w:rFonts w:ascii="Arial MT"/>
                                <w:color w:val="231F20"/>
                              </w:rPr>
                              <w:t>acute</w:t>
                            </w:r>
                            <w:r>
                              <w:rPr>
                                <w:rFonts w:ascii="Arial MT"/>
                                <w:color w:val="231F20"/>
                                <w:spacing w:val="-1"/>
                              </w:rPr>
                              <w:t> </w:t>
                            </w:r>
                            <w:r>
                              <w:rPr>
                                <w:rFonts w:ascii="Arial MT"/>
                                <w:color w:val="231F20"/>
                              </w:rPr>
                              <w:t>onset</w:t>
                            </w:r>
                            <w:r>
                              <w:rPr>
                                <w:rFonts w:ascii="Arial MT"/>
                                <w:color w:val="231F20"/>
                                <w:spacing w:val="-1"/>
                              </w:rPr>
                              <w:t> </w:t>
                            </w:r>
                            <w:r>
                              <w:rPr>
                                <w:rFonts w:ascii="Arial MT"/>
                                <w:color w:val="231F20"/>
                              </w:rPr>
                              <w:t>of</w:t>
                            </w:r>
                            <w:r>
                              <w:rPr>
                                <w:rFonts w:ascii="Arial MT"/>
                                <w:color w:val="231F20"/>
                                <w:spacing w:val="-1"/>
                              </w:rPr>
                              <w:t> </w:t>
                            </w:r>
                            <w:r>
                              <w:rPr>
                                <w:rFonts w:ascii="Arial MT"/>
                                <w:color w:val="231F20"/>
                              </w:rPr>
                              <w:t>signs</w:t>
                            </w:r>
                            <w:r>
                              <w:rPr>
                                <w:rFonts w:ascii="Arial MT"/>
                                <w:color w:val="231F20"/>
                                <w:spacing w:val="-1"/>
                              </w:rPr>
                              <w:t> </w:t>
                            </w:r>
                            <w:r>
                              <w:rPr>
                                <w:rFonts w:ascii="Arial MT"/>
                                <w:color w:val="231F20"/>
                              </w:rPr>
                              <w:t>and </w:t>
                            </w:r>
                            <w:r>
                              <w:rPr>
                                <w:rFonts w:ascii="Arial MT"/>
                                <w:color w:val="231F20"/>
                                <w:spacing w:val="-2"/>
                              </w:rPr>
                              <w:t>symptoms</w:t>
                            </w:r>
                          </w:p>
                          <w:p>
                            <w:pPr>
                              <w:pStyle w:val="BodyText"/>
                              <w:numPr>
                                <w:ilvl w:val="0"/>
                                <w:numId w:val="109"/>
                              </w:numPr>
                              <w:tabs>
                                <w:tab w:pos="237" w:val="left" w:leader="none"/>
                              </w:tabs>
                              <w:spacing w:line="240" w:lineRule="auto" w:before="143" w:after="0"/>
                              <w:ind w:left="237" w:right="0" w:hanging="149"/>
                              <w:jc w:val="left"/>
                              <w:rPr>
                                <w:rFonts w:ascii="Arial MT"/>
                                <w:color w:val="000000"/>
                              </w:rPr>
                            </w:pPr>
                            <w:r>
                              <w:rPr>
                                <w:rFonts w:ascii="Arial MT"/>
                                <w:color w:val="231F20"/>
                              </w:rPr>
                              <w:t>The</w:t>
                            </w:r>
                            <w:r>
                              <w:rPr>
                                <w:rFonts w:ascii="Arial MT"/>
                                <w:color w:val="231F20"/>
                                <w:spacing w:val="-3"/>
                              </w:rPr>
                              <w:t> </w:t>
                            </w:r>
                            <w:r>
                              <w:rPr>
                                <w:rFonts w:ascii="Arial MT"/>
                                <w:color w:val="231F20"/>
                              </w:rPr>
                              <w:t>presence</w:t>
                            </w:r>
                            <w:r>
                              <w:rPr>
                                <w:rFonts w:ascii="Arial MT"/>
                                <w:color w:val="231F20"/>
                                <w:spacing w:val="-2"/>
                              </w:rPr>
                              <w:t> </w:t>
                            </w:r>
                            <w:r>
                              <w:rPr>
                                <w:rFonts w:ascii="Arial MT"/>
                                <w:color w:val="231F20"/>
                              </w:rPr>
                              <w:t>of</w:t>
                            </w:r>
                            <w:r>
                              <w:rPr>
                                <w:rFonts w:ascii="Arial MT"/>
                                <w:color w:val="231F20"/>
                                <w:spacing w:val="-2"/>
                              </w:rPr>
                              <w:t> </w:t>
                            </w:r>
                            <w:r>
                              <w:rPr>
                                <w:rFonts w:ascii="Arial MT"/>
                                <w:color w:val="231F20"/>
                              </w:rPr>
                              <w:t>middle-ear</w:t>
                            </w:r>
                            <w:r>
                              <w:rPr>
                                <w:rFonts w:ascii="Arial MT"/>
                                <w:color w:val="231F20"/>
                                <w:spacing w:val="-2"/>
                              </w:rPr>
                              <w:t> effusion</w:t>
                            </w:r>
                          </w:p>
                          <w:p>
                            <w:pPr>
                              <w:pStyle w:val="BodyText"/>
                              <w:numPr>
                                <w:ilvl w:val="0"/>
                                <w:numId w:val="109"/>
                              </w:numPr>
                              <w:tabs>
                                <w:tab w:pos="240" w:val="left" w:leader="none"/>
                              </w:tabs>
                              <w:spacing w:line="240" w:lineRule="auto" w:before="143" w:after="0"/>
                              <w:ind w:left="240" w:right="0" w:hanging="152"/>
                              <w:jc w:val="left"/>
                              <w:rPr>
                                <w:rFonts w:ascii="Arial MT"/>
                                <w:color w:val="000000"/>
                              </w:rPr>
                            </w:pPr>
                            <w:r>
                              <w:rPr>
                                <w:rFonts w:ascii="Arial MT"/>
                                <w:color w:val="231F20"/>
                              </w:rPr>
                              <w:t>Signs</w:t>
                            </w:r>
                            <w:r>
                              <w:rPr>
                                <w:rFonts w:ascii="Arial MT"/>
                                <w:color w:val="231F20"/>
                                <w:spacing w:val="-1"/>
                              </w:rPr>
                              <w:t> </w:t>
                            </w:r>
                            <w:r>
                              <w:rPr>
                                <w:rFonts w:ascii="Arial MT"/>
                                <w:color w:val="231F20"/>
                              </w:rPr>
                              <w:t>and symptoms</w:t>
                            </w:r>
                            <w:r>
                              <w:rPr>
                                <w:rFonts w:ascii="Arial MT"/>
                                <w:color w:val="231F20"/>
                                <w:spacing w:val="-1"/>
                              </w:rPr>
                              <w:t> </w:t>
                            </w:r>
                            <w:r>
                              <w:rPr>
                                <w:rFonts w:ascii="Arial MT"/>
                                <w:color w:val="231F20"/>
                              </w:rPr>
                              <w:t>of middle-ear </w:t>
                            </w:r>
                            <w:r>
                              <w:rPr>
                                <w:rFonts w:ascii="Arial MT"/>
                                <w:color w:val="231F20"/>
                                <w:spacing w:val="-2"/>
                              </w:rPr>
                              <w:t>inflammation</w:t>
                            </w:r>
                          </w:p>
                          <w:p>
                            <w:pPr>
                              <w:pStyle w:val="BodyText"/>
                              <w:numPr>
                                <w:ilvl w:val="1"/>
                                <w:numId w:val="109"/>
                              </w:numPr>
                              <w:tabs>
                                <w:tab w:pos="88" w:val="left" w:leader="none"/>
                                <w:tab w:pos="239" w:val="left" w:leader="none"/>
                              </w:tabs>
                              <w:spacing w:line="235" w:lineRule="auto" w:before="146" w:after="0"/>
                              <w:ind w:left="88" w:right="275" w:hanging="1"/>
                              <w:jc w:val="left"/>
                              <w:rPr>
                                <w:rFonts w:ascii="Arial MT"/>
                                <w:color w:val="000000"/>
                              </w:rPr>
                            </w:pPr>
                            <w:r>
                              <w:rPr>
                                <w:rFonts w:ascii="Arial MT"/>
                                <w:color w:val="231F20"/>
                              </w:rPr>
                              <w:t>moderate</w:t>
                            </w:r>
                            <w:r>
                              <w:rPr>
                                <w:rFonts w:ascii="Arial MT"/>
                                <w:color w:val="231F20"/>
                                <w:spacing w:val="-3"/>
                              </w:rPr>
                              <w:t> </w:t>
                            </w:r>
                            <w:r>
                              <w:rPr>
                                <w:rFonts w:ascii="Arial MT"/>
                                <w:color w:val="231F20"/>
                              </w:rPr>
                              <w:t>to</w:t>
                            </w:r>
                            <w:r>
                              <w:rPr>
                                <w:rFonts w:ascii="Arial MT"/>
                                <w:color w:val="231F20"/>
                                <w:spacing w:val="-3"/>
                              </w:rPr>
                              <w:t> </w:t>
                            </w:r>
                            <w:r>
                              <w:rPr>
                                <w:rFonts w:ascii="Arial MT"/>
                                <w:color w:val="231F20"/>
                              </w:rPr>
                              <w:t>severe</w:t>
                            </w:r>
                            <w:r>
                              <w:rPr>
                                <w:rFonts w:ascii="Arial MT"/>
                                <w:color w:val="231F20"/>
                                <w:spacing w:val="-3"/>
                              </w:rPr>
                              <w:t> </w:t>
                            </w:r>
                            <w:r>
                              <w:rPr>
                                <w:rFonts w:ascii="Arial MT"/>
                                <w:color w:val="231F20"/>
                              </w:rPr>
                              <w:t>bulging</w:t>
                            </w:r>
                            <w:r>
                              <w:rPr>
                                <w:rFonts w:ascii="Arial MT"/>
                                <w:color w:val="231F20"/>
                                <w:spacing w:val="-3"/>
                              </w:rPr>
                              <w:t> </w:t>
                            </w:r>
                            <w:r>
                              <w:rPr>
                                <w:rFonts w:ascii="Arial MT"/>
                                <w:color w:val="231F20"/>
                              </w:rPr>
                              <w:t>of</w:t>
                            </w:r>
                            <w:r>
                              <w:rPr>
                                <w:rFonts w:ascii="Arial MT"/>
                                <w:color w:val="231F20"/>
                                <w:spacing w:val="-3"/>
                              </w:rPr>
                              <w:t> </w:t>
                            </w:r>
                            <w:r>
                              <w:rPr>
                                <w:rFonts w:ascii="Arial MT"/>
                                <w:color w:val="231F20"/>
                              </w:rPr>
                              <w:t>the</w:t>
                            </w:r>
                            <w:r>
                              <w:rPr>
                                <w:rFonts w:ascii="Arial MT"/>
                                <w:color w:val="231F20"/>
                                <w:spacing w:val="-6"/>
                              </w:rPr>
                              <w:t> </w:t>
                            </w:r>
                            <w:r>
                              <w:rPr>
                                <w:rFonts w:ascii="Arial MT"/>
                                <w:color w:val="231F20"/>
                              </w:rPr>
                              <w:t>TM</w:t>
                            </w:r>
                            <w:r>
                              <w:rPr>
                                <w:rFonts w:ascii="Arial MT"/>
                                <w:color w:val="231F20"/>
                                <w:spacing w:val="-3"/>
                              </w:rPr>
                              <w:t> </w:t>
                            </w:r>
                            <w:r>
                              <w:rPr>
                                <w:rFonts w:ascii="Arial"/>
                                <w:i/>
                                <w:color w:val="231F20"/>
                                <w:u w:val="single" w:color="231F20"/>
                              </w:rPr>
                              <w:t>or</w:t>
                            </w:r>
                            <w:r>
                              <w:rPr>
                                <w:rFonts w:ascii="Arial"/>
                                <w:i/>
                                <w:color w:val="231F20"/>
                                <w:spacing w:val="-3"/>
                              </w:rPr>
                              <w:t> </w:t>
                            </w:r>
                            <w:r>
                              <w:rPr>
                                <w:rFonts w:ascii="Arial MT"/>
                                <w:color w:val="231F20"/>
                              </w:rPr>
                              <w:t>new</w:t>
                            </w:r>
                            <w:r>
                              <w:rPr>
                                <w:rFonts w:ascii="Arial MT"/>
                                <w:color w:val="231F20"/>
                                <w:spacing w:val="40"/>
                              </w:rPr>
                              <w:t> </w:t>
                            </w:r>
                            <w:r>
                              <w:rPr>
                                <w:rFonts w:ascii="Arial MT"/>
                                <w:color w:val="231F20"/>
                              </w:rPr>
                              <w:t>onset of otorrhea not due to otitis externa</w:t>
                            </w:r>
                          </w:p>
                          <w:p>
                            <w:pPr>
                              <w:pStyle w:val="BodyText"/>
                              <w:numPr>
                                <w:ilvl w:val="1"/>
                                <w:numId w:val="109"/>
                              </w:numPr>
                              <w:tabs>
                                <w:tab w:pos="240" w:val="left" w:leader="none"/>
                              </w:tabs>
                              <w:spacing w:line="196" w:lineRule="auto" w:before="149" w:after="0"/>
                              <w:ind w:left="88" w:right="406" w:firstLine="0"/>
                              <w:jc w:val="left"/>
                              <w:rPr>
                                <w:rFonts w:ascii="Arial MT"/>
                                <w:color w:val="000000"/>
                              </w:rPr>
                            </w:pPr>
                            <w:r>
                              <w:rPr>
                                <w:rFonts w:ascii="Arial MT"/>
                                <w:color w:val="231F20"/>
                              </w:rPr>
                              <w:t>mild</w:t>
                            </w:r>
                            <w:r>
                              <w:rPr>
                                <w:rFonts w:ascii="Arial MT"/>
                                <w:color w:val="231F20"/>
                                <w:spacing w:val="-3"/>
                              </w:rPr>
                              <w:t> </w:t>
                            </w:r>
                            <w:r>
                              <w:rPr>
                                <w:rFonts w:ascii="Arial MT"/>
                                <w:color w:val="231F20"/>
                              </w:rPr>
                              <w:t>bulging</w:t>
                            </w:r>
                            <w:r>
                              <w:rPr>
                                <w:rFonts w:ascii="Arial MT"/>
                                <w:color w:val="231F20"/>
                                <w:spacing w:val="-3"/>
                              </w:rPr>
                              <w:t> </w:t>
                            </w:r>
                            <w:r>
                              <w:rPr>
                                <w:rFonts w:ascii="Arial MT"/>
                                <w:color w:val="231F20"/>
                              </w:rPr>
                              <w:t>of</w:t>
                            </w:r>
                            <w:r>
                              <w:rPr>
                                <w:rFonts w:ascii="Arial MT"/>
                                <w:color w:val="231F20"/>
                                <w:spacing w:val="-3"/>
                              </w:rPr>
                              <w:t> </w:t>
                            </w:r>
                            <w:r>
                              <w:rPr>
                                <w:rFonts w:ascii="Arial MT"/>
                                <w:color w:val="231F20"/>
                              </w:rPr>
                              <w:t>the</w:t>
                            </w:r>
                            <w:r>
                              <w:rPr>
                                <w:rFonts w:ascii="Arial MT"/>
                                <w:color w:val="231F20"/>
                                <w:spacing w:val="-6"/>
                              </w:rPr>
                              <w:t> </w:t>
                            </w:r>
                            <w:r>
                              <w:rPr>
                                <w:rFonts w:ascii="Arial MT"/>
                                <w:color w:val="231F20"/>
                              </w:rPr>
                              <w:t>TM</w:t>
                            </w:r>
                            <w:r>
                              <w:rPr>
                                <w:rFonts w:ascii="Arial MT"/>
                                <w:color w:val="231F20"/>
                                <w:spacing w:val="-3"/>
                              </w:rPr>
                              <w:t> </w:t>
                            </w:r>
                            <w:r>
                              <w:rPr>
                                <w:rFonts w:ascii="Arial MT"/>
                                <w:color w:val="231F20"/>
                              </w:rPr>
                              <w:t>and</w:t>
                            </w:r>
                            <w:r>
                              <w:rPr>
                                <w:rFonts w:ascii="Arial MT"/>
                                <w:color w:val="231F20"/>
                                <w:spacing w:val="-3"/>
                              </w:rPr>
                              <w:t> </w:t>
                            </w:r>
                            <w:r>
                              <w:rPr>
                                <w:rFonts w:ascii="Arial MT"/>
                                <w:color w:val="231F20"/>
                              </w:rPr>
                              <w:t>recent</w:t>
                            </w:r>
                            <w:r>
                              <w:rPr>
                                <w:rFonts w:ascii="Arial MT"/>
                                <w:color w:val="231F20"/>
                                <w:spacing w:val="-3"/>
                              </w:rPr>
                              <w:t> </w:t>
                            </w:r>
                            <w:r>
                              <w:rPr>
                                <w:rFonts w:ascii="Arial MT"/>
                                <w:color w:val="231F20"/>
                              </w:rPr>
                              <w:t>(</w:t>
                            </w:r>
                            <w:r>
                              <w:rPr>
                                <w:rFonts w:ascii="Lucida Sans Unicode"/>
                                <w:color w:val="231F20"/>
                              </w:rPr>
                              <w:t>&lt;</w:t>
                            </w:r>
                            <w:r>
                              <w:rPr>
                                <w:rFonts w:ascii="Arial MT"/>
                                <w:color w:val="231F20"/>
                              </w:rPr>
                              <w:t>48</w:t>
                            </w:r>
                            <w:r>
                              <w:rPr>
                                <w:rFonts w:ascii="Arial MT"/>
                                <w:color w:val="231F20"/>
                                <w:spacing w:val="-3"/>
                              </w:rPr>
                              <w:t> </w:t>
                            </w:r>
                            <w:r>
                              <w:rPr>
                                <w:rFonts w:ascii="Arial MT"/>
                                <w:color w:val="231F20"/>
                              </w:rPr>
                              <w:t>hr)</w:t>
                            </w:r>
                            <w:r>
                              <w:rPr>
                                <w:rFonts w:ascii="Arial MT"/>
                                <w:color w:val="231F20"/>
                                <w:spacing w:val="40"/>
                              </w:rPr>
                              <w:t> </w:t>
                            </w:r>
                            <w:r>
                              <w:rPr>
                                <w:rFonts w:ascii="Arial MT"/>
                                <w:color w:val="231F20"/>
                              </w:rPr>
                              <w:t>onset of ear pain or intense TM erythema</w:t>
                            </w:r>
                          </w:p>
                          <w:p>
                            <w:pPr>
                              <w:pStyle w:val="BodyText"/>
                              <w:rPr>
                                <w:rFonts w:ascii="Arial MT"/>
                                <w:color w:val="000000"/>
                              </w:rPr>
                            </w:pPr>
                          </w:p>
                          <w:p>
                            <w:pPr>
                              <w:spacing w:line="235" w:lineRule="auto" w:before="0"/>
                              <w:ind w:left="88" w:right="21" w:firstLine="0"/>
                              <w:jc w:val="left"/>
                              <w:rPr>
                                <w:rFonts w:ascii="Arial MT"/>
                                <w:color w:val="000000"/>
                                <w:sz w:val="13"/>
                              </w:rPr>
                            </w:pPr>
                            <w:r>
                              <w:rPr>
                                <w:rFonts w:ascii="Arial MT"/>
                                <w:color w:val="231F20"/>
                                <w:sz w:val="13"/>
                              </w:rPr>
                              <w:t>A</w:t>
                            </w:r>
                            <w:r>
                              <w:rPr>
                                <w:rFonts w:ascii="Arial MT"/>
                                <w:color w:val="231F20"/>
                                <w:spacing w:val="-10"/>
                                <w:sz w:val="13"/>
                              </w:rPr>
                              <w:t> </w:t>
                            </w:r>
                            <w:r>
                              <w:rPr>
                                <w:rFonts w:ascii="Arial"/>
                                <w:b/>
                                <w:color w:val="231F20"/>
                                <w:sz w:val="13"/>
                              </w:rPr>
                              <w:t>diagnosis</w:t>
                            </w:r>
                            <w:r>
                              <w:rPr>
                                <w:rFonts w:ascii="Arial"/>
                                <w:b/>
                                <w:color w:val="231F20"/>
                                <w:spacing w:val="-3"/>
                                <w:sz w:val="13"/>
                              </w:rPr>
                              <w:t> </w:t>
                            </w:r>
                            <w:r>
                              <w:rPr>
                                <w:rFonts w:ascii="Arial"/>
                                <w:b/>
                                <w:color w:val="231F20"/>
                                <w:sz w:val="13"/>
                              </w:rPr>
                              <w:t>of</w:t>
                            </w:r>
                            <w:r>
                              <w:rPr>
                                <w:rFonts w:ascii="Arial"/>
                                <w:b/>
                                <w:color w:val="231F20"/>
                                <w:spacing w:val="-4"/>
                                <w:sz w:val="13"/>
                              </w:rPr>
                              <w:t> </w:t>
                            </w:r>
                            <w:r>
                              <w:rPr>
                                <w:rFonts w:ascii="Arial"/>
                                <w:b/>
                                <w:color w:val="231F20"/>
                                <w:sz w:val="13"/>
                              </w:rPr>
                              <w:t>AOM</w:t>
                            </w:r>
                            <w:r>
                              <w:rPr>
                                <w:rFonts w:ascii="Arial"/>
                                <w:b/>
                                <w:color w:val="231F20"/>
                                <w:spacing w:val="-4"/>
                                <w:sz w:val="13"/>
                              </w:rPr>
                              <w:t> </w:t>
                            </w:r>
                            <w:r>
                              <w:rPr>
                                <w:rFonts w:ascii="Arial"/>
                                <w:b/>
                                <w:color w:val="231F20"/>
                                <w:sz w:val="13"/>
                              </w:rPr>
                              <w:t>should</w:t>
                            </w:r>
                            <w:r>
                              <w:rPr>
                                <w:rFonts w:ascii="Arial"/>
                                <w:b/>
                                <w:color w:val="231F20"/>
                                <w:spacing w:val="-4"/>
                                <w:sz w:val="13"/>
                              </w:rPr>
                              <w:t> </w:t>
                            </w:r>
                            <w:r>
                              <w:rPr>
                                <w:rFonts w:ascii="Arial"/>
                                <w:b/>
                                <w:i/>
                                <w:color w:val="231F20"/>
                                <w:sz w:val="13"/>
                              </w:rPr>
                              <w:t>not</w:t>
                            </w:r>
                            <w:r>
                              <w:rPr>
                                <w:rFonts w:ascii="Arial"/>
                                <w:b/>
                                <w:i/>
                                <w:color w:val="231F20"/>
                                <w:spacing w:val="-4"/>
                                <w:sz w:val="13"/>
                              </w:rPr>
                              <w:t> </w:t>
                            </w:r>
                            <w:r>
                              <w:rPr>
                                <w:rFonts w:ascii="Arial MT"/>
                                <w:color w:val="231F20"/>
                                <w:sz w:val="13"/>
                              </w:rPr>
                              <w:t>be</w:t>
                            </w:r>
                            <w:r>
                              <w:rPr>
                                <w:rFonts w:ascii="Arial MT"/>
                                <w:color w:val="231F20"/>
                                <w:spacing w:val="-4"/>
                                <w:sz w:val="13"/>
                              </w:rPr>
                              <w:t> </w:t>
                            </w:r>
                            <w:r>
                              <w:rPr>
                                <w:rFonts w:ascii="Arial MT"/>
                                <w:color w:val="231F20"/>
                                <w:sz w:val="13"/>
                              </w:rPr>
                              <w:t>made</w:t>
                            </w:r>
                            <w:r>
                              <w:rPr>
                                <w:rFonts w:ascii="Arial MT"/>
                                <w:color w:val="231F20"/>
                                <w:spacing w:val="-4"/>
                                <w:sz w:val="13"/>
                              </w:rPr>
                              <w:t> </w:t>
                            </w:r>
                            <w:r>
                              <w:rPr>
                                <w:rFonts w:ascii="Arial MT"/>
                                <w:color w:val="231F20"/>
                                <w:sz w:val="13"/>
                              </w:rPr>
                              <w:t>in</w:t>
                            </w:r>
                            <w:r>
                              <w:rPr>
                                <w:rFonts w:ascii="Arial MT"/>
                                <w:color w:val="231F20"/>
                                <w:spacing w:val="40"/>
                                <w:sz w:val="13"/>
                              </w:rPr>
                              <w:t> </w:t>
                            </w:r>
                            <w:r>
                              <w:rPr>
                                <w:rFonts w:ascii="Arial MT"/>
                                <w:color w:val="231F20"/>
                                <w:sz w:val="13"/>
                              </w:rPr>
                              <w:t>children without MEE.</w:t>
                            </w:r>
                          </w:p>
                        </w:txbxContent>
                      </wps:txbx>
                      <wps:bodyPr wrap="square" lIns="0" tIns="0" rIns="0" bIns="0" rtlCol="0">
                        <a:noAutofit/>
                      </wps:bodyPr>
                    </wps:wsp>
                  </a:graphicData>
                </a:graphic>
              </wp:anchor>
            </w:drawing>
          </mc:Choice>
          <mc:Fallback>
            <w:pict>
              <v:shape style="position:absolute;margin-left:335.110413pt;margin-top:-32.662022pt;width:156.7pt;height:127.3pt;mso-position-horizontal-relative:page;mso-position-vertical-relative:paragraph;z-index:15844352" type="#_x0000_t202" id="docshape1280" filled="true" fillcolor="#d7eddd" stroked="true" strokeweight=".933007pt" strokecolor="#231f20">
                <v:textbox inset="0,0,0,0">
                  <w:txbxContent>
                    <w:p>
                      <w:pPr>
                        <w:pStyle w:val="BodyText"/>
                        <w:spacing w:before="78"/>
                        <w:ind w:left="88"/>
                        <w:rPr>
                          <w:rFonts w:ascii="Arial MT"/>
                          <w:color w:val="000000"/>
                        </w:rPr>
                      </w:pPr>
                      <w:r>
                        <w:rPr>
                          <w:rFonts w:ascii="Arial MT"/>
                          <w:color w:val="231F20"/>
                        </w:rPr>
                        <w:t>A</w:t>
                      </w:r>
                      <w:r>
                        <w:rPr>
                          <w:rFonts w:ascii="Arial MT"/>
                          <w:color w:val="231F20"/>
                          <w:spacing w:val="-9"/>
                        </w:rPr>
                        <w:t> </w:t>
                      </w:r>
                      <w:r>
                        <w:rPr>
                          <w:rFonts w:ascii="Arial MT"/>
                          <w:color w:val="231F20"/>
                        </w:rPr>
                        <w:t>diagnosis</w:t>
                      </w:r>
                      <w:r>
                        <w:rPr>
                          <w:rFonts w:ascii="Arial MT"/>
                          <w:color w:val="231F20"/>
                          <w:spacing w:val="-1"/>
                        </w:rPr>
                        <w:t> </w:t>
                      </w:r>
                      <w:r>
                        <w:rPr>
                          <w:rFonts w:ascii="Arial MT"/>
                          <w:color w:val="231F20"/>
                        </w:rPr>
                        <w:t>of</w:t>
                      </w:r>
                      <w:r>
                        <w:rPr>
                          <w:rFonts w:ascii="Arial MT"/>
                          <w:color w:val="231F20"/>
                          <w:spacing w:val="-1"/>
                        </w:rPr>
                        <w:t> </w:t>
                      </w:r>
                      <w:r>
                        <w:rPr>
                          <w:rFonts w:ascii="Arial MT"/>
                          <w:color w:val="231F20"/>
                        </w:rPr>
                        <w:t>acute</w:t>
                      </w:r>
                      <w:r>
                        <w:rPr>
                          <w:rFonts w:ascii="Arial MT"/>
                          <w:color w:val="231F20"/>
                          <w:spacing w:val="-2"/>
                        </w:rPr>
                        <w:t> </w:t>
                      </w:r>
                      <w:r>
                        <w:rPr>
                          <w:rFonts w:ascii="Arial MT"/>
                          <w:color w:val="231F20"/>
                        </w:rPr>
                        <w:t>otitis</w:t>
                      </w:r>
                      <w:r>
                        <w:rPr>
                          <w:rFonts w:ascii="Arial MT"/>
                          <w:color w:val="231F20"/>
                          <w:spacing w:val="-1"/>
                        </w:rPr>
                        <w:t> </w:t>
                      </w:r>
                      <w:r>
                        <w:rPr>
                          <w:rFonts w:ascii="Arial MT"/>
                          <w:color w:val="231F20"/>
                        </w:rPr>
                        <w:t>media</w:t>
                      </w:r>
                      <w:r>
                        <w:rPr>
                          <w:rFonts w:ascii="Arial MT"/>
                          <w:color w:val="231F20"/>
                          <w:spacing w:val="-1"/>
                        </w:rPr>
                        <w:t> </w:t>
                      </w:r>
                      <w:r>
                        <w:rPr>
                          <w:rFonts w:ascii="Arial MT"/>
                          <w:color w:val="231F20"/>
                          <w:spacing w:val="-2"/>
                        </w:rPr>
                        <w:t>requires:</w:t>
                      </w:r>
                    </w:p>
                    <w:p>
                      <w:pPr>
                        <w:pStyle w:val="BodyText"/>
                        <w:numPr>
                          <w:ilvl w:val="0"/>
                          <w:numId w:val="109"/>
                        </w:numPr>
                        <w:tabs>
                          <w:tab w:pos="240" w:val="left" w:leader="none"/>
                        </w:tabs>
                        <w:spacing w:line="240" w:lineRule="auto" w:before="143" w:after="0"/>
                        <w:ind w:left="240" w:right="0" w:hanging="152"/>
                        <w:jc w:val="left"/>
                        <w:rPr>
                          <w:rFonts w:ascii="Arial MT"/>
                          <w:color w:val="000000"/>
                        </w:rPr>
                      </w:pPr>
                      <w:r>
                        <w:rPr>
                          <w:rFonts w:ascii="Arial MT"/>
                          <w:color w:val="231F20"/>
                        </w:rPr>
                        <w:t>History</w:t>
                      </w:r>
                      <w:r>
                        <w:rPr>
                          <w:rFonts w:ascii="Arial MT"/>
                          <w:color w:val="231F20"/>
                          <w:spacing w:val="-3"/>
                        </w:rPr>
                        <w:t> </w:t>
                      </w:r>
                      <w:r>
                        <w:rPr>
                          <w:rFonts w:ascii="Arial MT"/>
                          <w:color w:val="231F20"/>
                        </w:rPr>
                        <w:t>of</w:t>
                      </w:r>
                      <w:r>
                        <w:rPr>
                          <w:rFonts w:ascii="Arial MT"/>
                          <w:color w:val="231F20"/>
                          <w:spacing w:val="-1"/>
                        </w:rPr>
                        <w:t> </w:t>
                      </w:r>
                      <w:r>
                        <w:rPr>
                          <w:rFonts w:ascii="Arial MT"/>
                          <w:color w:val="231F20"/>
                        </w:rPr>
                        <w:t>acute</w:t>
                      </w:r>
                      <w:r>
                        <w:rPr>
                          <w:rFonts w:ascii="Arial MT"/>
                          <w:color w:val="231F20"/>
                          <w:spacing w:val="-1"/>
                        </w:rPr>
                        <w:t> </w:t>
                      </w:r>
                      <w:r>
                        <w:rPr>
                          <w:rFonts w:ascii="Arial MT"/>
                          <w:color w:val="231F20"/>
                        </w:rPr>
                        <w:t>onset</w:t>
                      </w:r>
                      <w:r>
                        <w:rPr>
                          <w:rFonts w:ascii="Arial MT"/>
                          <w:color w:val="231F20"/>
                          <w:spacing w:val="-1"/>
                        </w:rPr>
                        <w:t> </w:t>
                      </w:r>
                      <w:r>
                        <w:rPr>
                          <w:rFonts w:ascii="Arial MT"/>
                          <w:color w:val="231F20"/>
                        </w:rPr>
                        <w:t>of</w:t>
                      </w:r>
                      <w:r>
                        <w:rPr>
                          <w:rFonts w:ascii="Arial MT"/>
                          <w:color w:val="231F20"/>
                          <w:spacing w:val="-1"/>
                        </w:rPr>
                        <w:t> </w:t>
                      </w:r>
                      <w:r>
                        <w:rPr>
                          <w:rFonts w:ascii="Arial MT"/>
                          <w:color w:val="231F20"/>
                        </w:rPr>
                        <w:t>signs</w:t>
                      </w:r>
                      <w:r>
                        <w:rPr>
                          <w:rFonts w:ascii="Arial MT"/>
                          <w:color w:val="231F20"/>
                          <w:spacing w:val="-1"/>
                        </w:rPr>
                        <w:t> </w:t>
                      </w:r>
                      <w:r>
                        <w:rPr>
                          <w:rFonts w:ascii="Arial MT"/>
                          <w:color w:val="231F20"/>
                        </w:rPr>
                        <w:t>and </w:t>
                      </w:r>
                      <w:r>
                        <w:rPr>
                          <w:rFonts w:ascii="Arial MT"/>
                          <w:color w:val="231F20"/>
                          <w:spacing w:val="-2"/>
                        </w:rPr>
                        <w:t>symptoms</w:t>
                      </w:r>
                    </w:p>
                    <w:p>
                      <w:pPr>
                        <w:pStyle w:val="BodyText"/>
                        <w:numPr>
                          <w:ilvl w:val="0"/>
                          <w:numId w:val="109"/>
                        </w:numPr>
                        <w:tabs>
                          <w:tab w:pos="237" w:val="left" w:leader="none"/>
                        </w:tabs>
                        <w:spacing w:line="240" w:lineRule="auto" w:before="143" w:after="0"/>
                        <w:ind w:left="237" w:right="0" w:hanging="149"/>
                        <w:jc w:val="left"/>
                        <w:rPr>
                          <w:rFonts w:ascii="Arial MT"/>
                          <w:color w:val="000000"/>
                        </w:rPr>
                      </w:pPr>
                      <w:r>
                        <w:rPr>
                          <w:rFonts w:ascii="Arial MT"/>
                          <w:color w:val="231F20"/>
                        </w:rPr>
                        <w:t>The</w:t>
                      </w:r>
                      <w:r>
                        <w:rPr>
                          <w:rFonts w:ascii="Arial MT"/>
                          <w:color w:val="231F20"/>
                          <w:spacing w:val="-3"/>
                        </w:rPr>
                        <w:t> </w:t>
                      </w:r>
                      <w:r>
                        <w:rPr>
                          <w:rFonts w:ascii="Arial MT"/>
                          <w:color w:val="231F20"/>
                        </w:rPr>
                        <w:t>presence</w:t>
                      </w:r>
                      <w:r>
                        <w:rPr>
                          <w:rFonts w:ascii="Arial MT"/>
                          <w:color w:val="231F20"/>
                          <w:spacing w:val="-2"/>
                        </w:rPr>
                        <w:t> </w:t>
                      </w:r>
                      <w:r>
                        <w:rPr>
                          <w:rFonts w:ascii="Arial MT"/>
                          <w:color w:val="231F20"/>
                        </w:rPr>
                        <w:t>of</w:t>
                      </w:r>
                      <w:r>
                        <w:rPr>
                          <w:rFonts w:ascii="Arial MT"/>
                          <w:color w:val="231F20"/>
                          <w:spacing w:val="-2"/>
                        </w:rPr>
                        <w:t> </w:t>
                      </w:r>
                      <w:r>
                        <w:rPr>
                          <w:rFonts w:ascii="Arial MT"/>
                          <w:color w:val="231F20"/>
                        </w:rPr>
                        <w:t>middle-ear</w:t>
                      </w:r>
                      <w:r>
                        <w:rPr>
                          <w:rFonts w:ascii="Arial MT"/>
                          <w:color w:val="231F20"/>
                          <w:spacing w:val="-2"/>
                        </w:rPr>
                        <w:t> effusion</w:t>
                      </w:r>
                    </w:p>
                    <w:p>
                      <w:pPr>
                        <w:pStyle w:val="BodyText"/>
                        <w:numPr>
                          <w:ilvl w:val="0"/>
                          <w:numId w:val="109"/>
                        </w:numPr>
                        <w:tabs>
                          <w:tab w:pos="240" w:val="left" w:leader="none"/>
                        </w:tabs>
                        <w:spacing w:line="240" w:lineRule="auto" w:before="143" w:after="0"/>
                        <w:ind w:left="240" w:right="0" w:hanging="152"/>
                        <w:jc w:val="left"/>
                        <w:rPr>
                          <w:rFonts w:ascii="Arial MT"/>
                          <w:color w:val="000000"/>
                        </w:rPr>
                      </w:pPr>
                      <w:r>
                        <w:rPr>
                          <w:rFonts w:ascii="Arial MT"/>
                          <w:color w:val="231F20"/>
                        </w:rPr>
                        <w:t>Signs</w:t>
                      </w:r>
                      <w:r>
                        <w:rPr>
                          <w:rFonts w:ascii="Arial MT"/>
                          <w:color w:val="231F20"/>
                          <w:spacing w:val="-1"/>
                        </w:rPr>
                        <w:t> </w:t>
                      </w:r>
                      <w:r>
                        <w:rPr>
                          <w:rFonts w:ascii="Arial MT"/>
                          <w:color w:val="231F20"/>
                        </w:rPr>
                        <w:t>and symptoms</w:t>
                      </w:r>
                      <w:r>
                        <w:rPr>
                          <w:rFonts w:ascii="Arial MT"/>
                          <w:color w:val="231F20"/>
                          <w:spacing w:val="-1"/>
                        </w:rPr>
                        <w:t> </w:t>
                      </w:r>
                      <w:r>
                        <w:rPr>
                          <w:rFonts w:ascii="Arial MT"/>
                          <w:color w:val="231F20"/>
                        </w:rPr>
                        <w:t>of middle-ear </w:t>
                      </w:r>
                      <w:r>
                        <w:rPr>
                          <w:rFonts w:ascii="Arial MT"/>
                          <w:color w:val="231F20"/>
                          <w:spacing w:val="-2"/>
                        </w:rPr>
                        <w:t>inflammation</w:t>
                      </w:r>
                    </w:p>
                    <w:p>
                      <w:pPr>
                        <w:pStyle w:val="BodyText"/>
                        <w:numPr>
                          <w:ilvl w:val="1"/>
                          <w:numId w:val="109"/>
                        </w:numPr>
                        <w:tabs>
                          <w:tab w:pos="88" w:val="left" w:leader="none"/>
                          <w:tab w:pos="239" w:val="left" w:leader="none"/>
                        </w:tabs>
                        <w:spacing w:line="235" w:lineRule="auto" w:before="146" w:after="0"/>
                        <w:ind w:left="88" w:right="275" w:hanging="1"/>
                        <w:jc w:val="left"/>
                        <w:rPr>
                          <w:rFonts w:ascii="Arial MT"/>
                          <w:color w:val="000000"/>
                        </w:rPr>
                      </w:pPr>
                      <w:r>
                        <w:rPr>
                          <w:rFonts w:ascii="Arial MT"/>
                          <w:color w:val="231F20"/>
                        </w:rPr>
                        <w:t>moderate</w:t>
                      </w:r>
                      <w:r>
                        <w:rPr>
                          <w:rFonts w:ascii="Arial MT"/>
                          <w:color w:val="231F20"/>
                          <w:spacing w:val="-3"/>
                        </w:rPr>
                        <w:t> </w:t>
                      </w:r>
                      <w:r>
                        <w:rPr>
                          <w:rFonts w:ascii="Arial MT"/>
                          <w:color w:val="231F20"/>
                        </w:rPr>
                        <w:t>to</w:t>
                      </w:r>
                      <w:r>
                        <w:rPr>
                          <w:rFonts w:ascii="Arial MT"/>
                          <w:color w:val="231F20"/>
                          <w:spacing w:val="-3"/>
                        </w:rPr>
                        <w:t> </w:t>
                      </w:r>
                      <w:r>
                        <w:rPr>
                          <w:rFonts w:ascii="Arial MT"/>
                          <w:color w:val="231F20"/>
                        </w:rPr>
                        <w:t>severe</w:t>
                      </w:r>
                      <w:r>
                        <w:rPr>
                          <w:rFonts w:ascii="Arial MT"/>
                          <w:color w:val="231F20"/>
                          <w:spacing w:val="-3"/>
                        </w:rPr>
                        <w:t> </w:t>
                      </w:r>
                      <w:r>
                        <w:rPr>
                          <w:rFonts w:ascii="Arial MT"/>
                          <w:color w:val="231F20"/>
                        </w:rPr>
                        <w:t>bulging</w:t>
                      </w:r>
                      <w:r>
                        <w:rPr>
                          <w:rFonts w:ascii="Arial MT"/>
                          <w:color w:val="231F20"/>
                          <w:spacing w:val="-3"/>
                        </w:rPr>
                        <w:t> </w:t>
                      </w:r>
                      <w:r>
                        <w:rPr>
                          <w:rFonts w:ascii="Arial MT"/>
                          <w:color w:val="231F20"/>
                        </w:rPr>
                        <w:t>of</w:t>
                      </w:r>
                      <w:r>
                        <w:rPr>
                          <w:rFonts w:ascii="Arial MT"/>
                          <w:color w:val="231F20"/>
                          <w:spacing w:val="-3"/>
                        </w:rPr>
                        <w:t> </w:t>
                      </w:r>
                      <w:r>
                        <w:rPr>
                          <w:rFonts w:ascii="Arial MT"/>
                          <w:color w:val="231F20"/>
                        </w:rPr>
                        <w:t>the</w:t>
                      </w:r>
                      <w:r>
                        <w:rPr>
                          <w:rFonts w:ascii="Arial MT"/>
                          <w:color w:val="231F20"/>
                          <w:spacing w:val="-6"/>
                        </w:rPr>
                        <w:t> </w:t>
                      </w:r>
                      <w:r>
                        <w:rPr>
                          <w:rFonts w:ascii="Arial MT"/>
                          <w:color w:val="231F20"/>
                        </w:rPr>
                        <w:t>TM</w:t>
                      </w:r>
                      <w:r>
                        <w:rPr>
                          <w:rFonts w:ascii="Arial MT"/>
                          <w:color w:val="231F20"/>
                          <w:spacing w:val="-3"/>
                        </w:rPr>
                        <w:t> </w:t>
                      </w:r>
                      <w:r>
                        <w:rPr>
                          <w:rFonts w:ascii="Arial"/>
                          <w:i/>
                          <w:color w:val="231F20"/>
                          <w:u w:val="single" w:color="231F20"/>
                        </w:rPr>
                        <w:t>or</w:t>
                      </w:r>
                      <w:r>
                        <w:rPr>
                          <w:rFonts w:ascii="Arial"/>
                          <w:i/>
                          <w:color w:val="231F20"/>
                          <w:spacing w:val="-3"/>
                        </w:rPr>
                        <w:t> </w:t>
                      </w:r>
                      <w:r>
                        <w:rPr>
                          <w:rFonts w:ascii="Arial MT"/>
                          <w:color w:val="231F20"/>
                        </w:rPr>
                        <w:t>new</w:t>
                      </w:r>
                      <w:r>
                        <w:rPr>
                          <w:rFonts w:ascii="Arial MT"/>
                          <w:color w:val="231F20"/>
                          <w:spacing w:val="40"/>
                        </w:rPr>
                        <w:t> </w:t>
                      </w:r>
                      <w:r>
                        <w:rPr>
                          <w:rFonts w:ascii="Arial MT"/>
                          <w:color w:val="231F20"/>
                        </w:rPr>
                        <w:t>onset of otorrhea not due to otitis externa</w:t>
                      </w:r>
                    </w:p>
                    <w:p>
                      <w:pPr>
                        <w:pStyle w:val="BodyText"/>
                        <w:numPr>
                          <w:ilvl w:val="1"/>
                          <w:numId w:val="109"/>
                        </w:numPr>
                        <w:tabs>
                          <w:tab w:pos="240" w:val="left" w:leader="none"/>
                        </w:tabs>
                        <w:spacing w:line="196" w:lineRule="auto" w:before="149" w:after="0"/>
                        <w:ind w:left="88" w:right="406" w:firstLine="0"/>
                        <w:jc w:val="left"/>
                        <w:rPr>
                          <w:rFonts w:ascii="Arial MT"/>
                          <w:color w:val="000000"/>
                        </w:rPr>
                      </w:pPr>
                      <w:r>
                        <w:rPr>
                          <w:rFonts w:ascii="Arial MT"/>
                          <w:color w:val="231F20"/>
                        </w:rPr>
                        <w:t>mild</w:t>
                      </w:r>
                      <w:r>
                        <w:rPr>
                          <w:rFonts w:ascii="Arial MT"/>
                          <w:color w:val="231F20"/>
                          <w:spacing w:val="-3"/>
                        </w:rPr>
                        <w:t> </w:t>
                      </w:r>
                      <w:r>
                        <w:rPr>
                          <w:rFonts w:ascii="Arial MT"/>
                          <w:color w:val="231F20"/>
                        </w:rPr>
                        <w:t>bulging</w:t>
                      </w:r>
                      <w:r>
                        <w:rPr>
                          <w:rFonts w:ascii="Arial MT"/>
                          <w:color w:val="231F20"/>
                          <w:spacing w:val="-3"/>
                        </w:rPr>
                        <w:t> </w:t>
                      </w:r>
                      <w:r>
                        <w:rPr>
                          <w:rFonts w:ascii="Arial MT"/>
                          <w:color w:val="231F20"/>
                        </w:rPr>
                        <w:t>of</w:t>
                      </w:r>
                      <w:r>
                        <w:rPr>
                          <w:rFonts w:ascii="Arial MT"/>
                          <w:color w:val="231F20"/>
                          <w:spacing w:val="-3"/>
                        </w:rPr>
                        <w:t> </w:t>
                      </w:r>
                      <w:r>
                        <w:rPr>
                          <w:rFonts w:ascii="Arial MT"/>
                          <w:color w:val="231F20"/>
                        </w:rPr>
                        <w:t>the</w:t>
                      </w:r>
                      <w:r>
                        <w:rPr>
                          <w:rFonts w:ascii="Arial MT"/>
                          <w:color w:val="231F20"/>
                          <w:spacing w:val="-6"/>
                        </w:rPr>
                        <w:t> </w:t>
                      </w:r>
                      <w:r>
                        <w:rPr>
                          <w:rFonts w:ascii="Arial MT"/>
                          <w:color w:val="231F20"/>
                        </w:rPr>
                        <w:t>TM</w:t>
                      </w:r>
                      <w:r>
                        <w:rPr>
                          <w:rFonts w:ascii="Arial MT"/>
                          <w:color w:val="231F20"/>
                          <w:spacing w:val="-3"/>
                        </w:rPr>
                        <w:t> </w:t>
                      </w:r>
                      <w:r>
                        <w:rPr>
                          <w:rFonts w:ascii="Arial MT"/>
                          <w:color w:val="231F20"/>
                        </w:rPr>
                        <w:t>and</w:t>
                      </w:r>
                      <w:r>
                        <w:rPr>
                          <w:rFonts w:ascii="Arial MT"/>
                          <w:color w:val="231F20"/>
                          <w:spacing w:val="-3"/>
                        </w:rPr>
                        <w:t> </w:t>
                      </w:r>
                      <w:r>
                        <w:rPr>
                          <w:rFonts w:ascii="Arial MT"/>
                          <w:color w:val="231F20"/>
                        </w:rPr>
                        <w:t>recent</w:t>
                      </w:r>
                      <w:r>
                        <w:rPr>
                          <w:rFonts w:ascii="Arial MT"/>
                          <w:color w:val="231F20"/>
                          <w:spacing w:val="-3"/>
                        </w:rPr>
                        <w:t> </w:t>
                      </w:r>
                      <w:r>
                        <w:rPr>
                          <w:rFonts w:ascii="Arial MT"/>
                          <w:color w:val="231F20"/>
                        </w:rPr>
                        <w:t>(</w:t>
                      </w:r>
                      <w:r>
                        <w:rPr>
                          <w:rFonts w:ascii="Lucida Sans Unicode"/>
                          <w:color w:val="231F20"/>
                        </w:rPr>
                        <w:t>&lt;</w:t>
                      </w:r>
                      <w:r>
                        <w:rPr>
                          <w:rFonts w:ascii="Arial MT"/>
                          <w:color w:val="231F20"/>
                        </w:rPr>
                        <w:t>48</w:t>
                      </w:r>
                      <w:r>
                        <w:rPr>
                          <w:rFonts w:ascii="Arial MT"/>
                          <w:color w:val="231F20"/>
                          <w:spacing w:val="-3"/>
                        </w:rPr>
                        <w:t> </w:t>
                      </w:r>
                      <w:r>
                        <w:rPr>
                          <w:rFonts w:ascii="Arial MT"/>
                          <w:color w:val="231F20"/>
                        </w:rPr>
                        <w:t>hr)</w:t>
                      </w:r>
                      <w:r>
                        <w:rPr>
                          <w:rFonts w:ascii="Arial MT"/>
                          <w:color w:val="231F20"/>
                          <w:spacing w:val="40"/>
                        </w:rPr>
                        <w:t> </w:t>
                      </w:r>
                      <w:r>
                        <w:rPr>
                          <w:rFonts w:ascii="Arial MT"/>
                          <w:color w:val="231F20"/>
                        </w:rPr>
                        <w:t>onset of ear pain or intense TM erythema</w:t>
                      </w:r>
                    </w:p>
                    <w:p>
                      <w:pPr>
                        <w:pStyle w:val="BodyText"/>
                        <w:rPr>
                          <w:rFonts w:ascii="Arial MT"/>
                          <w:color w:val="000000"/>
                        </w:rPr>
                      </w:pPr>
                    </w:p>
                    <w:p>
                      <w:pPr>
                        <w:spacing w:line="235" w:lineRule="auto" w:before="0"/>
                        <w:ind w:left="88" w:right="21" w:firstLine="0"/>
                        <w:jc w:val="left"/>
                        <w:rPr>
                          <w:rFonts w:ascii="Arial MT"/>
                          <w:color w:val="000000"/>
                          <w:sz w:val="13"/>
                        </w:rPr>
                      </w:pPr>
                      <w:r>
                        <w:rPr>
                          <w:rFonts w:ascii="Arial MT"/>
                          <w:color w:val="231F20"/>
                          <w:sz w:val="13"/>
                        </w:rPr>
                        <w:t>A</w:t>
                      </w:r>
                      <w:r>
                        <w:rPr>
                          <w:rFonts w:ascii="Arial MT"/>
                          <w:color w:val="231F20"/>
                          <w:spacing w:val="-10"/>
                          <w:sz w:val="13"/>
                        </w:rPr>
                        <w:t> </w:t>
                      </w:r>
                      <w:r>
                        <w:rPr>
                          <w:rFonts w:ascii="Arial"/>
                          <w:b/>
                          <w:color w:val="231F20"/>
                          <w:sz w:val="13"/>
                        </w:rPr>
                        <w:t>diagnosis</w:t>
                      </w:r>
                      <w:r>
                        <w:rPr>
                          <w:rFonts w:ascii="Arial"/>
                          <w:b/>
                          <w:color w:val="231F20"/>
                          <w:spacing w:val="-3"/>
                          <w:sz w:val="13"/>
                        </w:rPr>
                        <w:t> </w:t>
                      </w:r>
                      <w:r>
                        <w:rPr>
                          <w:rFonts w:ascii="Arial"/>
                          <w:b/>
                          <w:color w:val="231F20"/>
                          <w:sz w:val="13"/>
                        </w:rPr>
                        <w:t>of</w:t>
                      </w:r>
                      <w:r>
                        <w:rPr>
                          <w:rFonts w:ascii="Arial"/>
                          <w:b/>
                          <w:color w:val="231F20"/>
                          <w:spacing w:val="-4"/>
                          <w:sz w:val="13"/>
                        </w:rPr>
                        <w:t> </w:t>
                      </w:r>
                      <w:r>
                        <w:rPr>
                          <w:rFonts w:ascii="Arial"/>
                          <w:b/>
                          <w:color w:val="231F20"/>
                          <w:sz w:val="13"/>
                        </w:rPr>
                        <w:t>AOM</w:t>
                      </w:r>
                      <w:r>
                        <w:rPr>
                          <w:rFonts w:ascii="Arial"/>
                          <w:b/>
                          <w:color w:val="231F20"/>
                          <w:spacing w:val="-4"/>
                          <w:sz w:val="13"/>
                        </w:rPr>
                        <w:t> </w:t>
                      </w:r>
                      <w:r>
                        <w:rPr>
                          <w:rFonts w:ascii="Arial"/>
                          <w:b/>
                          <w:color w:val="231F20"/>
                          <w:sz w:val="13"/>
                        </w:rPr>
                        <w:t>should</w:t>
                      </w:r>
                      <w:r>
                        <w:rPr>
                          <w:rFonts w:ascii="Arial"/>
                          <w:b/>
                          <w:color w:val="231F20"/>
                          <w:spacing w:val="-4"/>
                          <w:sz w:val="13"/>
                        </w:rPr>
                        <w:t> </w:t>
                      </w:r>
                      <w:r>
                        <w:rPr>
                          <w:rFonts w:ascii="Arial"/>
                          <w:b/>
                          <w:i/>
                          <w:color w:val="231F20"/>
                          <w:sz w:val="13"/>
                        </w:rPr>
                        <w:t>not</w:t>
                      </w:r>
                      <w:r>
                        <w:rPr>
                          <w:rFonts w:ascii="Arial"/>
                          <w:b/>
                          <w:i/>
                          <w:color w:val="231F20"/>
                          <w:spacing w:val="-4"/>
                          <w:sz w:val="13"/>
                        </w:rPr>
                        <w:t> </w:t>
                      </w:r>
                      <w:r>
                        <w:rPr>
                          <w:rFonts w:ascii="Arial MT"/>
                          <w:color w:val="231F20"/>
                          <w:sz w:val="13"/>
                        </w:rPr>
                        <w:t>be</w:t>
                      </w:r>
                      <w:r>
                        <w:rPr>
                          <w:rFonts w:ascii="Arial MT"/>
                          <w:color w:val="231F20"/>
                          <w:spacing w:val="-4"/>
                          <w:sz w:val="13"/>
                        </w:rPr>
                        <w:t> </w:t>
                      </w:r>
                      <w:r>
                        <w:rPr>
                          <w:rFonts w:ascii="Arial MT"/>
                          <w:color w:val="231F20"/>
                          <w:sz w:val="13"/>
                        </w:rPr>
                        <w:t>made</w:t>
                      </w:r>
                      <w:r>
                        <w:rPr>
                          <w:rFonts w:ascii="Arial MT"/>
                          <w:color w:val="231F20"/>
                          <w:spacing w:val="-4"/>
                          <w:sz w:val="13"/>
                        </w:rPr>
                        <w:t> </w:t>
                      </w:r>
                      <w:r>
                        <w:rPr>
                          <w:rFonts w:ascii="Arial MT"/>
                          <w:color w:val="231F20"/>
                          <w:sz w:val="13"/>
                        </w:rPr>
                        <w:t>in</w:t>
                      </w:r>
                      <w:r>
                        <w:rPr>
                          <w:rFonts w:ascii="Arial MT"/>
                          <w:color w:val="231F20"/>
                          <w:spacing w:val="40"/>
                          <w:sz w:val="13"/>
                        </w:rPr>
                        <w:t> </w:t>
                      </w:r>
                      <w:r>
                        <w:rPr>
                          <w:rFonts w:ascii="Arial MT"/>
                          <w:color w:val="231F20"/>
                          <w:sz w:val="13"/>
                        </w:rPr>
                        <w:t>children without MEE.</w:t>
                      </w:r>
                    </w:p>
                  </w:txbxContent>
                </v:textbox>
                <v:fill type="solid"/>
                <v:stroke dashstyle="solid"/>
                <w10:wrap type="none"/>
              </v:shape>
            </w:pict>
          </mc:Fallback>
        </mc:AlternateContent>
      </w:r>
      <w:r>
        <w:rPr>
          <w:rFonts w:ascii="Arial MT"/>
          <w:color w:val="231F20"/>
          <w:spacing w:val="-10"/>
        </w:rPr>
        <w:t>2</w:t>
      </w:r>
    </w:p>
    <w:p>
      <w:pPr>
        <w:pStyle w:val="BodyText"/>
        <w:rPr>
          <w:rFonts w:ascii="Arial MT"/>
        </w:rPr>
      </w:pPr>
    </w:p>
    <w:p>
      <w:pPr>
        <w:pStyle w:val="BodyText"/>
        <w:rPr>
          <w:rFonts w:ascii="Arial MT"/>
        </w:rPr>
      </w:pPr>
    </w:p>
    <w:p>
      <w:pPr>
        <w:pStyle w:val="BodyText"/>
        <w:spacing w:before="103"/>
        <w:rPr>
          <w:rFonts w:ascii="Arial MT"/>
        </w:rPr>
      </w:pPr>
    </w:p>
    <w:p>
      <w:pPr>
        <w:pStyle w:val="BodyText"/>
        <w:spacing w:line="134" w:lineRule="exact"/>
        <w:ind w:left="2226"/>
        <w:rPr>
          <w:rFonts w:ascii="Arial MT"/>
        </w:rPr>
      </w:pPr>
      <w:r>
        <w:rPr>
          <w:rFonts w:ascii="Arial MT"/>
          <w:color w:val="231F20"/>
          <w:spacing w:val="-10"/>
        </w:rPr>
        <w:t>3</w:t>
      </w:r>
    </w:p>
    <w:p>
      <w:pPr>
        <w:pStyle w:val="BodyText"/>
        <w:spacing w:line="123" w:lineRule="exact"/>
        <w:ind w:left="3530"/>
        <w:rPr>
          <w:rFonts w:ascii="Arial MT"/>
        </w:rPr>
      </w:pPr>
      <w:r>
        <w:rPr>
          <w:rFonts w:ascii="Arial MT"/>
          <w:color w:val="231F20"/>
          <w:spacing w:val="-10"/>
        </w:rPr>
        <w:t>4</w:t>
      </w:r>
    </w:p>
    <w:p>
      <w:pPr>
        <w:pStyle w:val="Heading8"/>
        <w:spacing w:line="139" w:lineRule="exact"/>
        <w:ind w:left="3169"/>
      </w:pPr>
      <w:r>
        <w:rPr>
          <w:color w:val="231F20"/>
          <w:spacing w:val="-5"/>
        </w:rPr>
        <w:t>No</w:t>
      </w:r>
    </w:p>
    <w:p>
      <w:pPr>
        <w:pStyle w:val="BodyText"/>
        <w:rPr>
          <w:rFonts w:ascii="Arial"/>
          <w:b/>
        </w:rPr>
      </w:pPr>
    </w:p>
    <w:p>
      <w:pPr>
        <w:pStyle w:val="BodyText"/>
        <w:spacing w:before="20"/>
        <w:rPr>
          <w:rFonts w:ascii="Arial"/>
          <w:b/>
        </w:rPr>
      </w:pPr>
    </w:p>
    <w:p>
      <w:pPr>
        <w:spacing w:line="123" w:lineRule="exact" w:before="0"/>
        <w:ind w:left="2255" w:right="0" w:firstLine="0"/>
        <w:jc w:val="left"/>
        <w:rPr>
          <w:rFonts w:ascii="Arial"/>
          <w:b/>
          <w:sz w:val="13"/>
        </w:rPr>
      </w:pPr>
      <w:r>
        <w:rPr>
          <w:rFonts w:ascii="Arial"/>
          <w:b/>
          <w:color w:val="231F20"/>
          <w:spacing w:val="-5"/>
          <w:sz w:val="13"/>
        </w:rPr>
        <w:t>Yes</w:t>
      </w:r>
    </w:p>
    <w:p>
      <w:pPr>
        <w:pStyle w:val="BodyText"/>
        <w:spacing w:line="123" w:lineRule="exact"/>
        <w:ind w:left="1820"/>
        <w:rPr>
          <w:rFonts w:ascii="Arial MT"/>
        </w:rPr>
      </w:pPr>
      <w:r>
        <w:rPr>
          <w:rFonts w:ascii="Arial MT"/>
          <w:color w:val="231F20"/>
          <w:spacing w:val="-10"/>
        </w:rPr>
        <w:t>5</w:t>
      </w:r>
    </w:p>
    <w:p>
      <w:pPr>
        <w:pStyle w:val="BodyText"/>
        <w:rPr>
          <w:rFonts w:ascii="Arial MT"/>
        </w:rPr>
      </w:pPr>
    </w:p>
    <w:p>
      <w:pPr>
        <w:pStyle w:val="BodyText"/>
        <w:rPr>
          <w:rFonts w:ascii="Arial MT"/>
        </w:rPr>
      </w:pPr>
    </w:p>
    <w:p>
      <w:pPr>
        <w:pStyle w:val="BodyText"/>
        <w:rPr>
          <w:rFonts w:ascii="Arial MT"/>
        </w:rPr>
      </w:pPr>
    </w:p>
    <w:p>
      <w:pPr>
        <w:pStyle w:val="BodyText"/>
        <w:spacing w:before="74"/>
        <w:rPr>
          <w:rFonts w:ascii="Arial MT"/>
        </w:rPr>
      </w:pPr>
    </w:p>
    <w:p>
      <w:pPr>
        <w:pStyle w:val="BodyText"/>
        <w:tabs>
          <w:tab w:pos="3664" w:val="left" w:leader="none"/>
          <w:tab w:pos="5759" w:val="left" w:leader="none"/>
        </w:tabs>
        <w:ind w:left="1946"/>
        <w:rPr>
          <w:rFonts w:ascii="Arial MT"/>
          <w:position w:val="2"/>
        </w:rPr>
      </w:pPr>
      <w:r>
        <w:rPr>
          <w:rFonts w:ascii="Arial MT"/>
          <w:position w:val="2"/>
        </w:rPr>
        <mc:AlternateContent>
          <mc:Choice Requires="wps">
            <w:drawing>
              <wp:anchor distT="0" distB="0" distL="0" distR="0" allowOverlap="1" layoutInCell="1" locked="0" behindDoc="1" simplePos="0" relativeHeight="475267584">
                <wp:simplePos x="0" y="0"/>
                <wp:positionH relativeFrom="page">
                  <wp:posOffset>4049948</wp:posOffset>
                </wp:positionH>
                <wp:positionV relativeFrom="paragraph">
                  <wp:posOffset>112739</wp:posOffset>
                </wp:positionV>
                <wp:extent cx="1069975" cy="930275"/>
                <wp:effectExtent l="0" t="0" r="0" b="0"/>
                <wp:wrapNone/>
                <wp:docPr id="1619" name="Group 1619"/>
                <wp:cNvGraphicFramePr>
                  <a:graphicFrameLocks/>
                </wp:cNvGraphicFramePr>
                <a:graphic>
                  <a:graphicData uri="http://schemas.microsoft.com/office/word/2010/wordprocessingGroup">
                    <wpg:wgp>
                      <wpg:cNvPr id="1619" name="Group 1619"/>
                      <wpg:cNvGrpSpPr/>
                      <wpg:grpSpPr>
                        <a:xfrm>
                          <a:off x="0" y="0"/>
                          <a:ext cx="1069975" cy="930275"/>
                          <a:chExt cx="1069975" cy="930275"/>
                        </a:xfrm>
                      </wpg:grpSpPr>
                      <wps:wsp>
                        <wps:cNvPr id="1620" name="Graphic 1620"/>
                        <wps:cNvSpPr/>
                        <wps:spPr>
                          <a:xfrm>
                            <a:off x="554864" y="458705"/>
                            <a:ext cx="1270" cy="201930"/>
                          </a:xfrm>
                          <a:custGeom>
                            <a:avLst/>
                            <a:gdLst/>
                            <a:ahLst/>
                            <a:cxnLst/>
                            <a:rect l="l" t="t" r="r" b="b"/>
                            <a:pathLst>
                              <a:path w="0" h="201930">
                                <a:moveTo>
                                  <a:pt x="0" y="0"/>
                                </a:moveTo>
                                <a:lnTo>
                                  <a:pt x="0" y="201365"/>
                                </a:lnTo>
                              </a:path>
                            </a:pathLst>
                          </a:custGeom>
                          <a:ln w="11849">
                            <a:solidFill>
                              <a:srgbClr val="231F20"/>
                            </a:solidFill>
                            <a:prstDash val="solid"/>
                          </a:ln>
                        </wps:spPr>
                        <wps:bodyPr wrap="square" lIns="0" tIns="0" rIns="0" bIns="0" rtlCol="0">
                          <a:prstTxWarp prst="textNoShape">
                            <a:avLst/>
                          </a:prstTxWarp>
                          <a:noAutofit/>
                        </wps:bodyPr>
                      </wps:wsp>
                      <wps:wsp>
                        <wps:cNvPr id="1621" name="Graphic 1621"/>
                        <wps:cNvSpPr/>
                        <wps:spPr>
                          <a:xfrm>
                            <a:off x="-7" y="193688"/>
                            <a:ext cx="593725" cy="533400"/>
                          </a:xfrm>
                          <a:custGeom>
                            <a:avLst/>
                            <a:gdLst/>
                            <a:ahLst/>
                            <a:cxnLst/>
                            <a:rect l="l" t="t" r="r" b="b"/>
                            <a:pathLst>
                              <a:path w="593725" h="533400">
                                <a:moveTo>
                                  <a:pt x="94322" y="38531"/>
                                </a:moveTo>
                                <a:lnTo>
                                  <a:pt x="0" y="0"/>
                                </a:lnTo>
                                <a:lnTo>
                                  <a:pt x="22390" y="38531"/>
                                </a:lnTo>
                                <a:lnTo>
                                  <a:pt x="0" y="77063"/>
                                </a:lnTo>
                                <a:lnTo>
                                  <a:pt x="94322" y="38531"/>
                                </a:lnTo>
                                <a:close/>
                              </a:path>
                              <a:path w="593725" h="533400">
                                <a:moveTo>
                                  <a:pt x="593394" y="439000"/>
                                </a:moveTo>
                                <a:lnTo>
                                  <a:pt x="554863" y="461378"/>
                                </a:lnTo>
                                <a:lnTo>
                                  <a:pt x="516331" y="439000"/>
                                </a:lnTo>
                                <a:lnTo>
                                  <a:pt x="554863" y="533323"/>
                                </a:lnTo>
                                <a:lnTo>
                                  <a:pt x="593394" y="439000"/>
                                </a:lnTo>
                                <a:close/>
                              </a:path>
                            </a:pathLst>
                          </a:custGeom>
                          <a:solidFill>
                            <a:srgbClr val="231F20"/>
                          </a:solidFill>
                        </wps:spPr>
                        <wps:bodyPr wrap="square" lIns="0" tIns="0" rIns="0" bIns="0" rtlCol="0">
                          <a:prstTxWarp prst="textNoShape">
                            <a:avLst/>
                          </a:prstTxWarp>
                          <a:noAutofit/>
                        </wps:bodyPr>
                      </wps:wsp>
                      <wps:wsp>
                        <wps:cNvPr id="1622" name="Textbox 1622"/>
                        <wps:cNvSpPr txBox="1"/>
                        <wps:spPr>
                          <a:xfrm>
                            <a:off x="243041" y="710074"/>
                            <a:ext cx="624205" cy="213995"/>
                          </a:xfrm>
                          <a:prstGeom prst="rect">
                            <a:avLst/>
                          </a:prstGeom>
                          <a:solidFill>
                            <a:srgbClr val="F8EBD0"/>
                          </a:solidFill>
                          <a:ln w="11849">
                            <a:solidFill>
                              <a:srgbClr val="231F20"/>
                            </a:solidFill>
                            <a:prstDash val="solid"/>
                          </a:ln>
                        </wps:spPr>
                        <wps:txbx>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14.</w:t>
                              </w:r>
                            </w:p>
                          </w:txbxContent>
                        </wps:txbx>
                        <wps:bodyPr wrap="square" lIns="0" tIns="0" rIns="0" bIns="0" rtlCol="0">
                          <a:noAutofit/>
                        </wps:bodyPr>
                      </wps:wsp>
                      <wps:wsp>
                        <wps:cNvPr id="1623" name="Textbox 1623"/>
                        <wps:cNvSpPr txBox="1"/>
                        <wps:spPr>
                          <a:xfrm>
                            <a:off x="66571" y="5924"/>
                            <a:ext cx="997585" cy="492759"/>
                          </a:xfrm>
                          <a:prstGeom prst="rect">
                            <a:avLst/>
                          </a:prstGeom>
                          <a:solidFill>
                            <a:srgbClr val="D1E4F6"/>
                          </a:solidFill>
                          <a:ln w="11849">
                            <a:solidFill>
                              <a:srgbClr val="231F20"/>
                            </a:solidFill>
                            <a:prstDash val="solid"/>
                          </a:ln>
                        </wps:spPr>
                        <wps:txbx>
                          <w:txbxContent>
                            <w:p>
                              <w:pPr>
                                <w:spacing w:line="235" w:lineRule="auto" w:before="80"/>
                                <w:ind w:left="68" w:right="65" w:hanging="1"/>
                                <w:jc w:val="center"/>
                                <w:rPr>
                                  <w:rFonts w:ascii="Arial MT"/>
                                  <w:color w:val="000000"/>
                                  <w:sz w:val="13"/>
                                </w:rPr>
                              </w:pPr>
                              <w:r>
                                <w:rPr>
                                  <w:rFonts w:ascii="Arial MT"/>
                                  <w:color w:val="231F20"/>
                                  <w:sz w:val="13"/>
                                </w:rPr>
                                <w:t>Amoxicillin at a dose of</w:t>
                              </w:r>
                              <w:r>
                                <w:rPr>
                                  <w:rFonts w:ascii="Arial MT"/>
                                  <w:color w:val="231F20"/>
                                  <w:spacing w:val="40"/>
                                  <w:sz w:val="13"/>
                                </w:rPr>
                                <w:t> </w:t>
                              </w:r>
                              <w:r>
                                <w:rPr>
                                  <w:rFonts w:ascii="Arial MT"/>
                                  <w:color w:val="231F20"/>
                                  <w:sz w:val="13"/>
                                </w:rPr>
                                <w:t>80-90 mg/kg/day is the</w:t>
                              </w:r>
                              <w:r>
                                <w:rPr>
                                  <w:rFonts w:ascii="Arial MT"/>
                                  <w:color w:val="231F20"/>
                                  <w:spacing w:val="40"/>
                                  <w:sz w:val="13"/>
                                </w:rPr>
                                <w:t> </w:t>
                              </w:r>
                              <w:r>
                                <w:rPr>
                                  <w:rFonts w:ascii="Arial MT"/>
                                  <w:color w:val="231F20"/>
                                  <w:sz w:val="13"/>
                                </w:rPr>
                                <w:t>initial antibacterial of</w:t>
                              </w:r>
                              <w:r>
                                <w:rPr>
                                  <w:rFonts w:ascii="Arial MT"/>
                                  <w:color w:val="231F20"/>
                                  <w:spacing w:val="40"/>
                                  <w:sz w:val="13"/>
                                </w:rPr>
                                <w:t> </w:t>
                              </w:r>
                              <w:r>
                                <w:rPr>
                                  <w:rFonts w:ascii="Arial MT"/>
                                  <w:color w:val="231F20"/>
                                  <w:sz w:val="13"/>
                                </w:rPr>
                                <w:t>choice</w:t>
                              </w:r>
                              <w:r>
                                <w:rPr>
                                  <w:rFonts w:ascii="Arial MT"/>
                                  <w:color w:val="231F20"/>
                                  <w:spacing w:val="-10"/>
                                  <w:sz w:val="13"/>
                                </w:rPr>
                                <w:t> </w:t>
                              </w:r>
                              <w:r>
                                <w:rPr>
                                  <w:rFonts w:ascii="Arial MT"/>
                                  <w:color w:val="231F20"/>
                                  <w:sz w:val="13"/>
                                </w:rPr>
                                <w:t>for</w:t>
                              </w:r>
                              <w:r>
                                <w:rPr>
                                  <w:rFonts w:ascii="Arial MT"/>
                                  <w:color w:val="231F20"/>
                                  <w:spacing w:val="-9"/>
                                  <w:sz w:val="13"/>
                                </w:rPr>
                                <w:t> </w:t>
                              </w:r>
                              <w:r>
                                <w:rPr>
                                  <w:rFonts w:ascii="Arial MT"/>
                                  <w:color w:val="231F20"/>
                                  <w:sz w:val="13"/>
                                </w:rPr>
                                <w:t>most</w:t>
                              </w:r>
                              <w:r>
                                <w:rPr>
                                  <w:rFonts w:ascii="Arial MT"/>
                                  <w:color w:val="231F20"/>
                                  <w:spacing w:val="-9"/>
                                  <w:sz w:val="13"/>
                                </w:rPr>
                                <w:t> </w:t>
                              </w:r>
                              <w:r>
                                <w:rPr>
                                  <w:rFonts w:ascii="Arial MT"/>
                                  <w:color w:val="231F20"/>
                                  <w:sz w:val="13"/>
                                </w:rPr>
                                <w:t>children.</w:t>
                              </w:r>
                            </w:p>
                          </w:txbxContent>
                        </wps:txbx>
                        <wps:bodyPr wrap="square" lIns="0" tIns="0" rIns="0" bIns="0" rtlCol="0">
                          <a:noAutofit/>
                        </wps:bodyPr>
                      </wps:wsp>
                    </wpg:wgp>
                  </a:graphicData>
                </a:graphic>
              </wp:anchor>
            </w:drawing>
          </mc:Choice>
          <mc:Fallback>
            <w:pict>
              <v:group style="position:absolute;margin-left:318.893585pt;margin-top:8.877113pt;width:84.25pt;height:73.25pt;mso-position-horizontal-relative:page;mso-position-vertical-relative:paragraph;z-index:-28048896" id="docshapegroup1281" coordorigin="6378,178" coordsize="1685,1465">
                <v:line style="position:absolute" from="7252,900" to="7252,1217" stroked="true" strokeweight=".933007pt" strokecolor="#231f20">
                  <v:stroke dashstyle="solid"/>
                </v:line>
                <v:shape style="position:absolute;left:6377;top:482;width:935;height:840" id="docshape1282" coordorigin="6378,483" coordsize="935,840" path="m6526,543l6378,483,6413,543,6378,604,6526,543xm7312,1174l7252,1209,7191,1174,7252,1322,7312,1174xe" filled="true" fillcolor="#231f20" stroked="false">
                  <v:path arrowok="t"/>
                  <v:fill type="solid"/>
                </v:shape>
                <v:shape style="position:absolute;left:6760;top:1295;width:983;height:337" type="#_x0000_t202" id="docshape1283" filled="true" fillcolor="#f8ebd0" stroked="true" strokeweight=".933007pt" strokecolor="#231f20">
                  <v:textbox inset="0,0,0,0">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14.</w:t>
                        </w:r>
                      </w:p>
                    </w:txbxContent>
                  </v:textbox>
                  <v:fill type="solid"/>
                  <v:stroke dashstyle="solid"/>
                  <w10:wrap type="none"/>
                </v:shape>
                <v:shape style="position:absolute;left:6482;top:186;width:1571;height:776" type="#_x0000_t202" id="docshape1284" filled="true" fillcolor="#d1e4f6" stroked="true" strokeweight=".933007pt" strokecolor="#231f20">
                  <v:textbox inset="0,0,0,0">
                    <w:txbxContent>
                      <w:p>
                        <w:pPr>
                          <w:spacing w:line="235" w:lineRule="auto" w:before="80"/>
                          <w:ind w:left="68" w:right="65" w:hanging="1"/>
                          <w:jc w:val="center"/>
                          <w:rPr>
                            <w:rFonts w:ascii="Arial MT"/>
                            <w:color w:val="000000"/>
                            <w:sz w:val="13"/>
                          </w:rPr>
                        </w:pPr>
                        <w:r>
                          <w:rPr>
                            <w:rFonts w:ascii="Arial MT"/>
                            <w:color w:val="231F20"/>
                            <w:sz w:val="13"/>
                          </w:rPr>
                          <w:t>Amoxicillin at a dose of</w:t>
                        </w:r>
                        <w:r>
                          <w:rPr>
                            <w:rFonts w:ascii="Arial MT"/>
                            <w:color w:val="231F20"/>
                            <w:spacing w:val="40"/>
                            <w:sz w:val="13"/>
                          </w:rPr>
                          <w:t> </w:t>
                        </w:r>
                        <w:r>
                          <w:rPr>
                            <w:rFonts w:ascii="Arial MT"/>
                            <w:color w:val="231F20"/>
                            <w:sz w:val="13"/>
                          </w:rPr>
                          <w:t>80-90 mg/kg/day is the</w:t>
                        </w:r>
                        <w:r>
                          <w:rPr>
                            <w:rFonts w:ascii="Arial MT"/>
                            <w:color w:val="231F20"/>
                            <w:spacing w:val="40"/>
                            <w:sz w:val="13"/>
                          </w:rPr>
                          <w:t> </w:t>
                        </w:r>
                        <w:r>
                          <w:rPr>
                            <w:rFonts w:ascii="Arial MT"/>
                            <w:color w:val="231F20"/>
                            <w:sz w:val="13"/>
                          </w:rPr>
                          <w:t>initial antibacterial of</w:t>
                        </w:r>
                        <w:r>
                          <w:rPr>
                            <w:rFonts w:ascii="Arial MT"/>
                            <w:color w:val="231F20"/>
                            <w:spacing w:val="40"/>
                            <w:sz w:val="13"/>
                          </w:rPr>
                          <w:t> </w:t>
                        </w:r>
                        <w:r>
                          <w:rPr>
                            <w:rFonts w:ascii="Arial MT"/>
                            <w:color w:val="231F20"/>
                            <w:sz w:val="13"/>
                          </w:rPr>
                          <w:t>choice</w:t>
                        </w:r>
                        <w:r>
                          <w:rPr>
                            <w:rFonts w:ascii="Arial MT"/>
                            <w:color w:val="231F20"/>
                            <w:spacing w:val="-10"/>
                            <w:sz w:val="13"/>
                          </w:rPr>
                          <w:t> </w:t>
                        </w:r>
                        <w:r>
                          <w:rPr>
                            <w:rFonts w:ascii="Arial MT"/>
                            <w:color w:val="231F20"/>
                            <w:sz w:val="13"/>
                          </w:rPr>
                          <w:t>for</w:t>
                        </w:r>
                        <w:r>
                          <w:rPr>
                            <w:rFonts w:ascii="Arial MT"/>
                            <w:color w:val="231F20"/>
                            <w:spacing w:val="-9"/>
                            <w:sz w:val="13"/>
                          </w:rPr>
                          <w:t> </w:t>
                        </w:r>
                        <w:r>
                          <w:rPr>
                            <w:rFonts w:ascii="Arial MT"/>
                            <w:color w:val="231F20"/>
                            <w:sz w:val="13"/>
                          </w:rPr>
                          <w:t>most</w:t>
                        </w:r>
                        <w:r>
                          <w:rPr>
                            <w:rFonts w:ascii="Arial MT"/>
                            <w:color w:val="231F20"/>
                            <w:spacing w:val="-9"/>
                            <w:sz w:val="13"/>
                          </w:rPr>
                          <w:t> </w:t>
                        </w:r>
                        <w:r>
                          <w:rPr>
                            <w:rFonts w:ascii="Arial MT"/>
                            <w:color w:val="231F20"/>
                            <w:sz w:val="13"/>
                          </w:rPr>
                          <w:t>children.</w:t>
                        </w:r>
                      </w:p>
                    </w:txbxContent>
                  </v:textbox>
                  <v:fill type="solid"/>
                  <v:stroke dashstyle="solid"/>
                  <w10:wrap type="none"/>
                </v:shape>
                <w10:wrap type="none"/>
              </v:group>
            </w:pict>
          </mc:Fallback>
        </mc:AlternateContent>
      </w:r>
      <w:r>
        <w:rPr>
          <w:rFonts w:ascii="Arial MT"/>
          <w:position w:val="2"/>
        </w:rPr>
        <mc:AlternateContent>
          <mc:Choice Requires="wps">
            <w:drawing>
              <wp:anchor distT="0" distB="0" distL="0" distR="0" allowOverlap="1" layoutInCell="1" locked="0" behindDoc="0" simplePos="0" relativeHeight="15844864">
                <wp:simplePos x="0" y="0"/>
                <wp:positionH relativeFrom="page">
                  <wp:posOffset>2735564</wp:posOffset>
                </wp:positionH>
                <wp:positionV relativeFrom="paragraph">
                  <wp:posOffset>120324</wp:posOffset>
                </wp:positionV>
                <wp:extent cx="1386205" cy="742315"/>
                <wp:effectExtent l="0" t="0" r="0" b="0"/>
                <wp:wrapNone/>
                <wp:docPr id="1624" name="Textbox 1624"/>
                <wp:cNvGraphicFramePr>
                  <a:graphicFrameLocks/>
                </wp:cNvGraphicFramePr>
                <a:graphic>
                  <a:graphicData uri="http://schemas.microsoft.com/office/word/2010/wordprocessingShape">
                    <wps:wsp>
                      <wps:cNvPr id="1624" name="Textbox 1624"/>
                      <wps:cNvSpPr txBox="1"/>
                      <wps:spPr>
                        <a:xfrm>
                          <a:off x="0" y="0"/>
                          <a:ext cx="1386205" cy="742315"/>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808"/>
                              <w:gridCol w:w="808"/>
                              <w:gridCol w:w="427"/>
                            </w:tblGrid>
                            <w:tr>
                              <w:trPr>
                                <w:trHeight w:val="352" w:hRule="atLeast"/>
                              </w:trPr>
                              <w:tc>
                                <w:tcPr>
                                  <w:tcW w:w="1616" w:type="dxa"/>
                                  <w:gridSpan w:val="2"/>
                                  <w:vMerge w:val="restart"/>
                                  <w:shd w:val="clear" w:color="auto" w:fill="F1BCB5"/>
                                </w:tcPr>
                                <w:p>
                                  <w:pPr>
                                    <w:pStyle w:val="TableParagraph"/>
                                    <w:spacing w:line="235" w:lineRule="auto" w:before="51"/>
                                    <w:ind w:left="285" w:right="264"/>
                                    <w:jc w:val="center"/>
                                    <w:rPr>
                                      <w:rFonts w:ascii="Arial MT"/>
                                      <w:sz w:val="13"/>
                                    </w:rPr>
                                  </w:pPr>
                                  <w:r>
                                    <w:rPr>
                                      <w:rFonts w:ascii="Arial MT"/>
                                      <w:color w:val="231F20"/>
                                      <w:sz w:val="13"/>
                                    </w:rPr>
                                    <w:t>Does</w:t>
                                  </w:r>
                                  <w:r>
                                    <w:rPr>
                                      <w:rFonts w:ascii="Arial MT"/>
                                      <w:color w:val="231F20"/>
                                      <w:spacing w:val="-10"/>
                                      <w:sz w:val="13"/>
                                    </w:rPr>
                                    <w:t> </w:t>
                                  </w:r>
                                  <w:r>
                                    <w:rPr>
                                      <w:rFonts w:ascii="Arial MT"/>
                                      <w:color w:val="231F20"/>
                                      <w:sz w:val="13"/>
                                    </w:rPr>
                                    <w:t>the</w:t>
                                  </w:r>
                                  <w:r>
                                    <w:rPr>
                                      <w:rFonts w:ascii="Arial MT"/>
                                      <w:color w:val="231F20"/>
                                      <w:spacing w:val="-9"/>
                                      <w:sz w:val="13"/>
                                    </w:rPr>
                                    <w:t> </w:t>
                                  </w:r>
                                  <w:r>
                                    <w:rPr>
                                      <w:rFonts w:ascii="Arial MT"/>
                                      <w:color w:val="231F20"/>
                                      <w:sz w:val="13"/>
                                    </w:rPr>
                                    <w:t>child</w:t>
                                  </w:r>
                                  <w:r>
                                    <w:rPr>
                                      <w:rFonts w:ascii="Arial MT"/>
                                      <w:color w:val="231F20"/>
                                      <w:spacing w:val="40"/>
                                      <w:sz w:val="13"/>
                                    </w:rPr>
                                    <w:t> </w:t>
                                  </w:r>
                                  <w:r>
                                    <w:rPr>
                                      <w:rFonts w:ascii="Arial MT"/>
                                      <w:color w:val="231F20"/>
                                      <w:sz w:val="13"/>
                                    </w:rPr>
                                    <w:t>have</w:t>
                                  </w:r>
                                  <w:r>
                                    <w:rPr>
                                      <w:rFonts w:ascii="Arial MT"/>
                                      <w:color w:val="231F20"/>
                                      <w:spacing w:val="-5"/>
                                      <w:sz w:val="13"/>
                                    </w:rPr>
                                    <w:t> </w:t>
                                  </w:r>
                                  <w:r>
                                    <w:rPr>
                                      <w:rFonts w:ascii="Arial MT"/>
                                      <w:color w:val="231F20"/>
                                      <w:sz w:val="13"/>
                                    </w:rPr>
                                    <w:t>fever</w:t>
                                  </w:r>
                                </w:p>
                                <w:p>
                                  <w:pPr>
                                    <w:pStyle w:val="TableParagraph"/>
                                    <w:spacing w:line="196" w:lineRule="auto" w:before="2"/>
                                    <w:ind w:left="96" w:right="75"/>
                                    <w:jc w:val="center"/>
                                    <w:rPr>
                                      <w:rFonts w:ascii="Arial MT" w:hAnsi="Arial MT"/>
                                      <w:sz w:val="13"/>
                                    </w:rPr>
                                  </w:pPr>
                                  <w:r>
                                    <w:rPr>
                                      <w:rFonts w:ascii="Lucida Sans Unicode" w:hAnsi="Lucida Sans Unicode"/>
                                      <w:color w:val="231F20"/>
                                      <w:sz w:val="13"/>
                                    </w:rPr>
                                    <w:t>≥</w:t>
                                  </w:r>
                                  <w:r>
                                    <w:rPr>
                                      <w:rFonts w:ascii="Arial MT" w:hAnsi="Arial MT"/>
                                      <w:color w:val="231F20"/>
                                      <w:sz w:val="13"/>
                                    </w:rPr>
                                    <w:t>39</w:t>
                                  </w:r>
                                  <w:r>
                                    <w:rPr>
                                      <w:rFonts w:ascii="Lucida Sans Unicode" w:hAnsi="Lucida Sans Unicode"/>
                                      <w:color w:val="231F20"/>
                                      <w:sz w:val="13"/>
                                    </w:rPr>
                                    <w:t>°</w:t>
                                  </w:r>
                                  <w:r>
                                    <w:rPr>
                                      <w:rFonts w:ascii="Arial MT" w:hAnsi="Arial MT"/>
                                      <w:color w:val="231F20"/>
                                      <w:sz w:val="13"/>
                                    </w:rPr>
                                    <w:t>C</w:t>
                                  </w:r>
                                  <w:r>
                                    <w:rPr>
                                      <w:rFonts w:ascii="Arial MT" w:hAnsi="Arial MT"/>
                                      <w:color w:val="231F20"/>
                                      <w:spacing w:val="-10"/>
                                      <w:sz w:val="13"/>
                                    </w:rPr>
                                    <w:t> </w:t>
                                  </w:r>
                                  <w:r>
                                    <w:rPr>
                                      <w:rFonts w:ascii="Arial MT" w:hAnsi="Arial MT"/>
                                      <w:color w:val="231F20"/>
                                      <w:sz w:val="13"/>
                                    </w:rPr>
                                    <w:t>and/or</w:t>
                                  </w:r>
                                  <w:r>
                                    <w:rPr>
                                      <w:rFonts w:ascii="Arial MT" w:hAnsi="Arial MT"/>
                                      <w:color w:val="231F20"/>
                                      <w:spacing w:val="-9"/>
                                      <w:sz w:val="13"/>
                                    </w:rPr>
                                    <w:t> </w:t>
                                  </w:r>
                                  <w:r>
                                    <w:rPr>
                                      <w:rFonts w:ascii="Arial MT" w:hAnsi="Arial MT"/>
                                      <w:color w:val="231F20"/>
                                      <w:sz w:val="13"/>
                                    </w:rPr>
                                    <w:t>moderate</w:t>
                                  </w:r>
                                  <w:r>
                                    <w:rPr>
                                      <w:rFonts w:ascii="Arial MT" w:hAnsi="Arial MT"/>
                                      <w:color w:val="231F20"/>
                                      <w:spacing w:val="40"/>
                                      <w:sz w:val="13"/>
                                    </w:rPr>
                                    <w:t> </w:t>
                                  </w:r>
                                  <w:r>
                                    <w:rPr>
                                      <w:rFonts w:ascii="Arial MT" w:hAnsi="Arial MT"/>
                                      <w:color w:val="231F20"/>
                                      <w:sz w:val="13"/>
                                    </w:rPr>
                                    <w:t>or severe otalgia?</w:t>
                                  </w:r>
                                </w:p>
                              </w:tc>
                              <w:tc>
                                <w:tcPr>
                                  <w:tcW w:w="427" w:type="dxa"/>
                                  <w:tcBorders>
                                    <w:top w:val="nil"/>
                                    <w:right w:val="nil"/>
                                  </w:tcBorders>
                                </w:tcPr>
                                <w:p>
                                  <w:pPr>
                                    <w:pStyle w:val="TableParagraph"/>
                                    <w:spacing w:before="148"/>
                                    <w:ind w:left="128"/>
                                    <w:rPr>
                                      <w:rFonts w:ascii="Arial"/>
                                      <w:b/>
                                      <w:sz w:val="13"/>
                                    </w:rPr>
                                  </w:pPr>
                                  <w:r>
                                    <w:rPr>
                                      <w:rFonts w:ascii="Arial"/>
                                      <w:b/>
                                      <w:color w:val="231F20"/>
                                      <w:spacing w:val="-5"/>
                                      <w:sz w:val="13"/>
                                    </w:rPr>
                                    <w:t>No</w:t>
                                  </w:r>
                                </w:p>
                              </w:tc>
                            </w:tr>
                            <w:tr>
                              <w:trPr>
                                <w:trHeight w:val="383" w:hRule="atLeast"/>
                              </w:trPr>
                              <w:tc>
                                <w:tcPr>
                                  <w:tcW w:w="1616" w:type="dxa"/>
                                  <w:gridSpan w:val="2"/>
                                  <w:vMerge/>
                                  <w:tcBorders>
                                    <w:top w:val="nil"/>
                                  </w:tcBorders>
                                  <w:shd w:val="clear" w:color="auto" w:fill="F1BCB5"/>
                                </w:tcPr>
                                <w:p>
                                  <w:pPr>
                                    <w:rPr>
                                      <w:sz w:val="2"/>
                                      <w:szCs w:val="2"/>
                                    </w:rPr>
                                  </w:pPr>
                                </w:p>
                              </w:tc>
                              <w:tc>
                                <w:tcPr>
                                  <w:tcW w:w="427" w:type="dxa"/>
                                  <w:tcBorders>
                                    <w:bottom w:val="nil"/>
                                    <w:right w:val="nil"/>
                                  </w:tcBorders>
                                </w:tcPr>
                                <w:p>
                                  <w:pPr>
                                    <w:pStyle w:val="TableParagraph"/>
                                    <w:rPr>
                                      <w:rFonts w:ascii="Times New Roman"/>
                                      <w:sz w:val="12"/>
                                    </w:rPr>
                                  </w:pPr>
                                </w:p>
                              </w:tc>
                            </w:tr>
                            <w:tr>
                              <w:trPr>
                                <w:trHeight w:val="374" w:hRule="atLeast"/>
                              </w:trPr>
                              <w:tc>
                                <w:tcPr>
                                  <w:tcW w:w="808" w:type="dxa"/>
                                  <w:tcBorders>
                                    <w:left w:val="nil"/>
                                    <w:bottom w:val="nil"/>
                                  </w:tcBorders>
                                </w:tcPr>
                                <w:p>
                                  <w:pPr>
                                    <w:pStyle w:val="TableParagraph"/>
                                    <w:spacing w:before="90"/>
                                    <w:ind w:left="520"/>
                                    <w:rPr>
                                      <w:rFonts w:ascii="Arial"/>
                                      <w:b/>
                                      <w:sz w:val="13"/>
                                    </w:rPr>
                                  </w:pPr>
                                  <w:r>
                                    <w:rPr>
                                      <w:rFonts w:ascii="Arial"/>
                                      <w:b/>
                                      <w:color w:val="231F20"/>
                                      <w:spacing w:val="-5"/>
                                      <w:sz w:val="13"/>
                                    </w:rPr>
                                    <w:t>Yes</w:t>
                                  </w:r>
                                </w:p>
                              </w:tc>
                              <w:tc>
                                <w:tcPr>
                                  <w:tcW w:w="1235" w:type="dxa"/>
                                  <w:gridSpan w:val="2"/>
                                  <w:tcBorders>
                                    <w:top w:val="nil"/>
                                    <w:bottom w:val="nil"/>
                                    <w:right w:val="nil"/>
                                  </w:tcBorders>
                                </w:tcPr>
                                <w:p>
                                  <w:pPr>
                                    <w:pStyle w:val="TableParagraph"/>
                                    <w:rPr>
                                      <w:rFonts w:ascii="Times New Roman"/>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215.398773pt;margin-top:9.474365pt;width:109.15pt;height:58.45pt;mso-position-horizontal-relative:page;mso-position-vertical-relative:paragraph;z-index:15844864" type="#_x0000_t202" id="docshape1285"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808"/>
                        <w:gridCol w:w="808"/>
                        <w:gridCol w:w="427"/>
                      </w:tblGrid>
                      <w:tr>
                        <w:trPr>
                          <w:trHeight w:val="352" w:hRule="atLeast"/>
                        </w:trPr>
                        <w:tc>
                          <w:tcPr>
                            <w:tcW w:w="1616" w:type="dxa"/>
                            <w:gridSpan w:val="2"/>
                            <w:vMerge w:val="restart"/>
                            <w:shd w:val="clear" w:color="auto" w:fill="F1BCB5"/>
                          </w:tcPr>
                          <w:p>
                            <w:pPr>
                              <w:pStyle w:val="TableParagraph"/>
                              <w:spacing w:line="235" w:lineRule="auto" w:before="51"/>
                              <w:ind w:left="285" w:right="264"/>
                              <w:jc w:val="center"/>
                              <w:rPr>
                                <w:rFonts w:ascii="Arial MT"/>
                                <w:sz w:val="13"/>
                              </w:rPr>
                            </w:pPr>
                            <w:r>
                              <w:rPr>
                                <w:rFonts w:ascii="Arial MT"/>
                                <w:color w:val="231F20"/>
                                <w:sz w:val="13"/>
                              </w:rPr>
                              <w:t>Does</w:t>
                            </w:r>
                            <w:r>
                              <w:rPr>
                                <w:rFonts w:ascii="Arial MT"/>
                                <w:color w:val="231F20"/>
                                <w:spacing w:val="-10"/>
                                <w:sz w:val="13"/>
                              </w:rPr>
                              <w:t> </w:t>
                            </w:r>
                            <w:r>
                              <w:rPr>
                                <w:rFonts w:ascii="Arial MT"/>
                                <w:color w:val="231F20"/>
                                <w:sz w:val="13"/>
                              </w:rPr>
                              <w:t>the</w:t>
                            </w:r>
                            <w:r>
                              <w:rPr>
                                <w:rFonts w:ascii="Arial MT"/>
                                <w:color w:val="231F20"/>
                                <w:spacing w:val="-9"/>
                                <w:sz w:val="13"/>
                              </w:rPr>
                              <w:t> </w:t>
                            </w:r>
                            <w:r>
                              <w:rPr>
                                <w:rFonts w:ascii="Arial MT"/>
                                <w:color w:val="231F20"/>
                                <w:sz w:val="13"/>
                              </w:rPr>
                              <w:t>child</w:t>
                            </w:r>
                            <w:r>
                              <w:rPr>
                                <w:rFonts w:ascii="Arial MT"/>
                                <w:color w:val="231F20"/>
                                <w:spacing w:val="40"/>
                                <w:sz w:val="13"/>
                              </w:rPr>
                              <w:t> </w:t>
                            </w:r>
                            <w:r>
                              <w:rPr>
                                <w:rFonts w:ascii="Arial MT"/>
                                <w:color w:val="231F20"/>
                                <w:sz w:val="13"/>
                              </w:rPr>
                              <w:t>have</w:t>
                            </w:r>
                            <w:r>
                              <w:rPr>
                                <w:rFonts w:ascii="Arial MT"/>
                                <w:color w:val="231F20"/>
                                <w:spacing w:val="-5"/>
                                <w:sz w:val="13"/>
                              </w:rPr>
                              <w:t> </w:t>
                            </w:r>
                            <w:r>
                              <w:rPr>
                                <w:rFonts w:ascii="Arial MT"/>
                                <w:color w:val="231F20"/>
                                <w:sz w:val="13"/>
                              </w:rPr>
                              <w:t>fever</w:t>
                            </w:r>
                          </w:p>
                          <w:p>
                            <w:pPr>
                              <w:pStyle w:val="TableParagraph"/>
                              <w:spacing w:line="196" w:lineRule="auto" w:before="2"/>
                              <w:ind w:left="96" w:right="75"/>
                              <w:jc w:val="center"/>
                              <w:rPr>
                                <w:rFonts w:ascii="Arial MT" w:hAnsi="Arial MT"/>
                                <w:sz w:val="13"/>
                              </w:rPr>
                            </w:pPr>
                            <w:r>
                              <w:rPr>
                                <w:rFonts w:ascii="Lucida Sans Unicode" w:hAnsi="Lucida Sans Unicode"/>
                                <w:color w:val="231F20"/>
                                <w:sz w:val="13"/>
                              </w:rPr>
                              <w:t>≥</w:t>
                            </w:r>
                            <w:r>
                              <w:rPr>
                                <w:rFonts w:ascii="Arial MT" w:hAnsi="Arial MT"/>
                                <w:color w:val="231F20"/>
                                <w:sz w:val="13"/>
                              </w:rPr>
                              <w:t>39</w:t>
                            </w:r>
                            <w:r>
                              <w:rPr>
                                <w:rFonts w:ascii="Lucida Sans Unicode" w:hAnsi="Lucida Sans Unicode"/>
                                <w:color w:val="231F20"/>
                                <w:sz w:val="13"/>
                              </w:rPr>
                              <w:t>°</w:t>
                            </w:r>
                            <w:r>
                              <w:rPr>
                                <w:rFonts w:ascii="Arial MT" w:hAnsi="Arial MT"/>
                                <w:color w:val="231F20"/>
                                <w:sz w:val="13"/>
                              </w:rPr>
                              <w:t>C</w:t>
                            </w:r>
                            <w:r>
                              <w:rPr>
                                <w:rFonts w:ascii="Arial MT" w:hAnsi="Arial MT"/>
                                <w:color w:val="231F20"/>
                                <w:spacing w:val="-10"/>
                                <w:sz w:val="13"/>
                              </w:rPr>
                              <w:t> </w:t>
                            </w:r>
                            <w:r>
                              <w:rPr>
                                <w:rFonts w:ascii="Arial MT" w:hAnsi="Arial MT"/>
                                <w:color w:val="231F20"/>
                                <w:sz w:val="13"/>
                              </w:rPr>
                              <w:t>and/or</w:t>
                            </w:r>
                            <w:r>
                              <w:rPr>
                                <w:rFonts w:ascii="Arial MT" w:hAnsi="Arial MT"/>
                                <w:color w:val="231F20"/>
                                <w:spacing w:val="-9"/>
                                <w:sz w:val="13"/>
                              </w:rPr>
                              <w:t> </w:t>
                            </w:r>
                            <w:r>
                              <w:rPr>
                                <w:rFonts w:ascii="Arial MT" w:hAnsi="Arial MT"/>
                                <w:color w:val="231F20"/>
                                <w:sz w:val="13"/>
                              </w:rPr>
                              <w:t>moderate</w:t>
                            </w:r>
                            <w:r>
                              <w:rPr>
                                <w:rFonts w:ascii="Arial MT" w:hAnsi="Arial MT"/>
                                <w:color w:val="231F20"/>
                                <w:spacing w:val="40"/>
                                <w:sz w:val="13"/>
                              </w:rPr>
                              <w:t> </w:t>
                            </w:r>
                            <w:r>
                              <w:rPr>
                                <w:rFonts w:ascii="Arial MT" w:hAnsi="Arial MT"/>
                                <w:color w:val="231F20"/>
                                <w:sz w:val="13"/>
                              </w:rPr>
                              <w:t>or severe otalgia?</w:t>
                            </w:r>
                          </w:p>
                        </w:tc>
                        <w:tc>
                          <w:tcPr>
                            <w:tcW w:w="427" w:type="dxa"/>
                            <w:tcBorders>
                              <w:top w:val="nil"/>
                              <w:right w:val="nil"/>
                            </w:tcBorders>
                          </w:tcPr>
                          <w:p>
                            <w:pPr>
                              <w:pStyle w:val="TableParagraph"/>
                              <w:spacing w:before="148"/>
                              <w:ind w:left="128"/>
                              <w:rPr>
                                <w:rFonts w:ascii="Arial"/>
                                <w:b/>
                                <w:sz w:val="13"/>
                              </w:rPr>
                            </w:pPr>
                            <w:r>
                              <w:rPr>
                                <w:rFonts w:ascii="Arial"/>
                                <w:b/>
                                <w:color w:val="231F20"/>
                                <w:spacing w:val="-5"/>
                                <w:sz w:val="13"/>
                              </w:rPr>
                              <w:t>No</w:t>
                            </w:r>
                          </w:p>
                        </w:tc>
                      </w:tr>
                      <w:tr>
                        <w:trPr>
                          <w:trHeight w:val="383" w:hRule="atLeast"/>
                        </w:trPr>
                        <w:tc>
                          <w:tcPr>
                            <w:tcW w:w="1616" w:type="dxa"/>
                            <w:gridSpan w:val="2"/>
                            <w:vMerge/>
                            <w:tcBorders>
                              <w:top w:val="nil"/>
                            </w:tcBorders>
                            <w:shd w:val="clear" w:color="auto" w:fill="F1BCB5"/>
                          </w:tcPr>
                          <w:p>
                            <w:pPr>
                              <w:rPr>
                                <w:sz w:val="2"/>
                                <w:szCs w:val="2"/>
                              </w:rPr>
                            </w:pPr>
                          </w:p>
                        </w:tc>
                        <w:tc>
                          <w:tcPr>
                            <w:tcW w:w="427" w:type="dxa"/>
                            <w:tcBorders>
                              <w:bottom w:val="nil"/>
                              <w:right w:val="nil"/>
                            </w:tcBorders>
                          </w:tcPr>
                          <w:p>
                            <w:pPr>
                              <w:pStyle w:val="TableParagraph"/>
                              <w:rPr>
                                <w:rFonts w:ascii="Times New Roman"/>
                                <w:sz w:val="12"/>
                              </w:rPr>
                            </w:pPr>
                          </w:p>
                        </w:tc>
                      </w:tr>
                      <w:tr>
                        <w:trPr>
                          <w:trHeight w:val="374" w:hRule="atLeast"/>
                        </w:trPr>
                        <w:tc>
                          <w:tcPr>
                            <w:tcW w:w="808" w:type="dxa"/>
                            <w:tcBorders>
                              <w:left w:val="nil"/>
                              <w:bottom w:val="nil"/>
                            </w:tcBorders>
                          </w:tcPr>
                          <w:p>
                            <w:pPr>
                              <w:pStyle w:val="TableParagraph"/>
                              <w:spacing w:before="90"/>
                              <w:ind w:left="520"/>
                              <w:rPr>
                                <w:rFonts w:ascii="Arial"/>
                                <w:b/>
                                <w:sz w:val="13"/>
                              </w:rPr>
                            </w:pPr>
                            <w:r>
                              <w:rPr>
                                <w:rFonts w:ascii="Arial"/>
                                <w:b/>
                                <w:color w:val="231F20"/>
                                <w:spacing w:val="-5"/>
                                <w:sz w:val="13"/>
                              </w:rPr>
                              <w:t>Yes</w:t>
                            </w:r>
                          </w:p>
                        </w:tc>
                        <w:tc>
                          <w:tcPr>
                            <w:tcW w:w="1235" w:type="dxa"/>
                            <w:gridSpan w:val="2"/>
                            <w:tcBorders>
                              <w:top w:val="nil"/>
                              <w:bottom w:val="nil"/>
                              <w:right w:val="nil"/>
                            </w:tcBorders>
                          </w:tcPr>
                          <w:p>
                            <w:pPr>
                              <w:pStyle w:val="TableParagraph"/>
                              <w:rPr>
                                <w:rFonts w:ascii="Times New Roman"/>
                                <w:sz w:val="12"/>
                              </w:rPr>
                            </w:pPr>
                          </w:p>
                        </w:tc>
                      </w:tr>
                    </w:tbl>
                    <w:p>
                      <w:pPr>
                        <w:pStyle w:val="BodyText"/>
                      </w:pPr>
                    </w:p>
                  </w:txbxContent>
                </v:textbox>
                <w10:wrap type="none"/>
              </v:shape>
            </w:pict>
          </mc:Fallback>
        </mc:AlternateContent>
      </w:r>
      <w:r>
        <w:rPr>
          <w:rFonts w:ascii="Arial MT"/>
          <w:color w:val="231F20"/>
          <w:spacing w:val="-10"/>
        </w:rPr>
        <w:t>6</w:t>
      </w:r>
      <w:r>
        <w:rPr>
          <w:rFonts w:ascii="Arial MT"/>
          <w:color w:val="231F20"/>
        </w:rPr>
        <w:tab/>
      </w:r>
      <w:r>
        <w:rPr>
          <w:rFonts w:ascii="Arial MT"/>
          <w:color w:val="231F20"/>
          <w:spacing w:val="-10"/>
          <w:position w:val="4"/>
        </w:rPr>
        <w:t>9</w:t>
      </w:r>
      <w:r>
        <w:rPr>
          <w:rFonts w:ascii="Arial MT"/>
          <w:color w:val="231F20"/>
          <w:position w:val="4"/>
        </w:rPr>
        <w:tab/>
      </w:r>
      <w:r>
        <w:rPr>
          <w:rFonts w:ascii="Arial MT"/>
          <w:color w:val="231F20"/>
          <w:spacing w:val="-5"/>
          <w:position w:val="2"/>
        </w:rPr>
        <w:t>10</w:t>
      </w:r>
    </w:p>
    <w:p>
      <w:pPr>
        <w:pStyle w:val="BodyText"/>
        <w:spacing w:before="55"/>
        <w:rPr>
          <w:rFonts w:ascii="Arial MT"/>
          <w:sz w:val="20"/>
        </w:rPr>
      </w:pPr>
      <w:r>
        <w:rPr>
          <w:rFonts w:ascii="Arial MT"/>
          <w:sz w:val="20"/>
        </w:rPr>
        <mc:AlternateContent>
          <mc:Choice Requires="wps">
            <w:drawing>
              <wp:anchor distT="0" distB="0" distL="0" distR="0" allowOverlap="1" layoutInCell="1" locked="0" behindDoc="1" simplePos="0" relativeHeight="487698944">
                <wp:simplePos x="0" y="0"/>
                <wp:positionH relativeFrom="page">
                  <wp:posOffset>2694946</wp:posOffset>
                </wp:positionH>
                <wp:positionV relativeFrom="paragraph">
                  <wp:posOffset>196436</wp:posOffset>
                </wp:positionV>
                <wp:extent cx="94615" cy="77470"/>
                <wp:effectExtent l="0" t="0" r="0" b="0"/>
                <wp:wrapTopAndBottom/>
                <wp:docPr id="1625" name="Graphic 1625"/>
                <wp:cNvGraphicFramePr>
                  <a:graphicFrameLocks/>
                </wp:cNvGraphicFramePr>
                <a:graphic>
                  <a:graphicData uri="http://schemas.microsoft.com/office/word/2010/wordprocessingShape">
                    <wps:wsp>
                      <wps:cNvPr id="1625" name="Graphic 1625"/>
                      <wps:cNvSpPr/>
                      <wps:spPr>
                        <a:xfrm>
                          <a:off x="0" y="0"/>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12.2005pt;margin-top:15.467455pt;width:7.45pt;height:6.1pt;mso-position-horizontal-relative:page;mso-position-vertical-relative:paragraph;z-index:-15617536;mso-wrap-distance-left:0;mso-wrap-distance-right:0" id="docshape1286" coordorigin="4244,309" coordsize="149,122" path="m4244,309l4279,370,4244,431,4393,370,4244,309xe" filled="true" fillcolor="#231f20" stroked="false">
                <v:path arrowok="t"/>
                <v:fill type="solid"/>
                <w10:wrap type="topAndBottom"/>
              </v:shape>
            </w:pict>
          </mc:Fallback>
        </mc:AlternateContent>
      </w:r>
    </w:p>
    <w:p>
      <w:pPr>
        <w:pStyle w:val="BodyText"/>
        <w:rPr>
          <w:rFonts w:ascii="Arial MT"/>
        </w:rPr>
      </w:pPr>
    </w:p>
    <w:p>
      <w:pPr>
        <w:pStyle w:val="BodyText"/>
        <w:spacing w:before="64"/>
        <w:rPr>
          <w:rFonts w:ascii="Arial MT"/>
        </w:rPr>
      </w:pPr>
    </w:p>
    <w:p>
      <w:pPr>
        <w:pStyle w:val="BodyText"/>
        <w:spacing w:line="148" w:lineRule="exact" w:before="1"/>
        <w:ind w:left="1625" w:right="8775"/>
        <w:jc w:val="center"/>
        <w:rPr>
          <w:rFonts w:ascii="Arial MT"/>
        </w:rPr>
      </w:pPr>
      <w:r>
        <w:rPr>
          <w:rFonts w:ascii="Arial MT"/>
        </w:rPr>
        <mc:AlternateContent>
          <mc:Choice Requires="wps">
            <w:drawing>
              <wp:anchor distT="0" distB="0" distL="0" distR="0" allowOverlap="1" layoutInCell="1" locked="0" behindDoc="1" simplePos="0" relativeHeight="475266560">
                <wp:simplePos x="0" y="0"/>
                <wp:positionH relativeFrom="page">
                  <wp:posOffset>1528670</wp:posOffset>
                </wp:positionH>
                <wp:positionV relativeFrom="paragraph">
                  <wp:posOffset>17868</wp:posOffset>
                </wp:positionV>
                <wp:extent cx="1126490" cy="864869"/>
                <wp:effectExtent l="0" t="0" r="0" b="0"/>
                <wp:wrapNone/>
                <wp:docPr id="1626" name="Group 1626"/>
                <wp:cNvGraphicFramePr>
                  <a:graphicFrameLocks/>
                </wp:cNvGraphicFramePr>
                <a:graphic>
                  <a:graphicData uri="http://schemas.microsoft.com/office/word/2010/wordprocessingGroup">
                    <wpg:wgp>
                      <wpg:cNvPr id="1626" name="Group 1626"/>
                      <wpg:cNvGrpSpPr/>
                      <wpg:grpSpPr>
                        <a:xfrm>
                          <a:off x="0" y="0"/>
                          <a:ext cx="1126490" cy="864869"/>
                          <a:chExt cx="1126490" cy="864869"/>
                        </a:xfrm>
                      </wpg:grpSpPr>
                      <wps:wsp>
                        <wps:cNvPr id="1627" name="Graphic 1627"/>
                        <wps:cNvSpPr/>
                        <wps:spPr>
                          <a:xfrm>
                            <a:off x="524529" y="0"/>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28" name="Graphic 1628"/>
                        <wps:cNvSpPr/>
                        <wps:spPr>
                          <a:xfrm>
                            <a:off x="563061" y="485098"/>
                            <a:ext cx="1270" cy="110489"/>
                          </a:xfrm>
                          <a:custGeom>
                            <a:avLst/>
                            <a:gdLst/>
                            <a:ahLst/>
                            <a:cxnLst/>
                            <a:rect l="l" t="t" r="r" b="b"/>
                            <a:pathLst>
                              <a:path w="0" h="110489">
                                <a:moveTo>
                                  <a:pt x="0" y="0"/>
                                </a:moveTo>
                                <a:lnTo>
                                  <a:pt x="0" y="109959"/>
                                </a:lnTo>
                              </a:path>
                            </a:pathLst>
                          </a:custGeom>
                          <a:ln w="11849">
                            <a:solidFill>
                              <a:srgbClr val="231F20"/>
                            </a:solidFill>
                            <a:prstDash val="solid"/>
                          </a:ln>
                        </wps:spPr>
                        <wps:bodyPr wrap="square" lIns="0" tIns="0" rIns="0" bIns="0" rtlCol="0">
                          <a:prstTxWarp prst="textNoShape">
                            <a:avLst/>
                          </a:prstTxWarp>
                          <a:noAutofit/>
                        </wps:bodyPr>
                      </wps:wsp>
                      <wps:wsp>
                        <wps:cNvPr id="1629" name="Graphic 1629"/>
                        <wps:cNvSpPr/>
                        <wps:spPr>
                          <a:xfrm>
                            <a:off x="524529" y="567658"/>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30" name="Textbox 1630"/>
                        <wps:cNvSpPr txBox="1"/>
                        <wps:spPr>
                          <a:xfrm>
                            <a:off x="5924" y="85447"/>
                            <a:ext cx="1114425" cy="400050"/>
                          </a:xfrm>
                          <a:prstGeom prst="rect">
                            <a:avLst/>
                          </a:prstGeom>
                          <a:solidFill>
                            <a:srgbClr val="D1E4F6"/>
                          </a:solidFill>
                          <a:ln w="11849">
                            <a:solidFill>
                              <a:srgbClr val="231F20"/>
                            </a:solidFill>
                            <a:prstDash val="solid"/>
                          </a:ln>
                        </wps:spPr>
                        <wps:txbx>
                          <w:txbxContent>
                            <w:p>
                              <w:pPr>
                                <w:spacing w:line="235" w:lineRule="auto" w:before="80"/>
                                <w:ind w:left="109" w:right="107" w:firstLine="0"/>
                                <w:jc w:val="center"/>
                                <w:rPr>
                                  <w:rFonts w:ascii="Arial MT"/>
                                  <w:color w:val="000000"/>
                                  <w:sz w:val="13"/>
                                </w:rPr>
                              </w:pPr>
                              <w:r>
                                <w:rPr>
                                  <w:rFonts w:ascii="Arial MT"/>
                                  <w:color w:val="231F20"/>
                                  <w:sz w:val="13"/>
                                </w:rPr>
                                <w:t>Child</w:t>
                              </w:r>
                              <w:r>
                                <w:rPr>
                                  <w:rFonts w:ascii="Arial MT"/>
                                  <w:color w:val="231F20"/>
                                  <w:spacing w:val="-7"/>
                                  <w:sz w:val="13"/>
                                </w:rPr>
                                <w:t> </w:t>
                              </w:r>
                              <w:r>
                                <w:rPr>
                                  <w:rFonts w:ascii="Arial MT"/>
                                  <w:color w:val="231F20"/>
                                  <w:sz w:val="13"/>
                                </w:rPr>
                                <w:t>is</w:t>
                              </w:r>
                              <w:r>
                                <w:rPr>
                                  <w:rFonts w:ascii="Arial MT"/>
                                  <w:color w:val="231F20"/>
                                  <w:spacing w:val="-7"/>
                                  <w:sz w:val="13"/>
                                </w:rPr>
                                <w:t> </w:t>
                              </w:r>
                              <w:r>
                                <w:rPr>
                                  <w:rFonts w:ascii="Arial MT"/>
                                  <w:color w:val="231F20"/>
                                  <w:sz w:val="13"/>
                                </w:rPr>
                                <w:t>observed</w:t>
                              </w:r>
                              <w:r>
                                <w:rPr>
                                  <w:rFonts w:ascii="Arial MT"/>
                                  <w:color w:val="231F20"/>
                                  <w:spacing w:val="-7"/>
                                  <w:sz w:val="13"/>
                                </w:rPr>
                                <w:t> </w:t>
                              </w:r>
                              <w:r>
                                <w:rPr>
                                  <w:rFonts w:ascii="Arial MT"/>
                                  <w:color w:val="231F20"/>
                                  <w:sz w:val="13"/>
                                </w:rPr>
                                <w:t>for</w:t>
                              </w:r>
                              <w:r>
                                <w:rPr>
                                  <w:rFonts w:ascii="Arial MT"/>
                                  <w:color w:val="231F20"/>
                                  <w:spacing w:val="-7"/>
                                  <w:sz w:val="13"/>
                                </w:rPr>
                                <w:t> </w:t>
                              </w:r>
                              <w:r>
                                <w:rPr>
                                  <w:rFonts w:ascii="Arial MT"/>
                                  <w:color w:val="231F20"/>
                                  <w:sz w:val="13"/>
                                </w:rPr>
                                <w:t>48</w:t>
                              </w:r>
                              <w:r>
                                <w:rPr>
                                  <w:rFonts w:ascii="Arial MT"/>
                                  <w:color w:val="231F20"/>
                                  <w:spacing w:val="-7"/>
                                  <w:sz w:val="13"/>
                                </w:rPr>
                                <w:t> </w:t>
                              </w:r>
                              <w:r>
                                <w:rPr>
                                  <w:rFonts w:ascii="Arial MT"/>
                                  <w:color w:val="231F20"/>
                                  <w:sz w:val="13"/>
                                </w:rPr>
                                <w:t>to</w:t>
                              </w:r>
                              <w:r>
                                <w:rPr>
                                  <w:rFonts w:ascii="Arial MT"/>
                                  <w:color w:val="231F20"/>
                                  <w:spacing w:val="40"/>
                                  <w:sz w:val="13"/>
                                </w:rPr>
                                <w:t> </w:t>
                              </w:r>
                              <w:r>
                                <w:rPr>
                                  <w:rFonts w:ascii="Arial MT"/>
                                  <w:color w:val="231F20"/>
                                  <w:sz w:val="13"/>
                                </w:rPr>
                                <w:t>72 hr with assurance of</w:t>
                              </w:r>
                              <w:r>
                                <w:rPr>
                                  <w:rFonts w:ascii="Arial MT"/>
                                  <w:color w:val="231F20"/>
                                  <w:spacing w:val="40"/>
                                  <w:sz w:val="13"/>
                                </w:rPr>
                                <w:t> </w:t>
                              </w:r>
                              <w:r>
                                <w:rPr>
                                  <w:rFonts w:ascii="Arial MT"/>
                                  <w:color w:val="231F20"/>
                                  <w:sz w:val="13"/>
                                </w:rPr>
                                <w:t>appropriate</w:t>
                              </w:r>
                              <w:r>
                                <w:rPr>
                                  <w:rFonts w:ascii="Arial MT"/>
                                  <w:color w:val="231F20"/>
                                  <w:spacing w:val="-5"/>
                                  <w:sz w:val="13"/>
                                </w:rPr>
                                <w:t> </w:t>
                              </w:r>
                              <w:r>
                                <w:rPr>
                                  <w:rFonts w:ascii="Arial MT"/>
                                  <w:color w:val="231F20"/>
                                  <w:sz w:val="13"/>
                                </w:rPr>
                                <w:t>follow-up.</w:t>
                              </w:r>
                            </w:p>
                          </w:txbxContent>
                        </wps:txbx>
                        <wps:bodyPr wrap="square" lIns="0" tIns="0" rIns="0" bIns="0" rtlCol="0">
                          <a:noAutofit/>
                        </wps:bodyPr>
                      </wps:wsp>
                      <wps:wsp>
                        <wps:cNvPr id="1631" name="Textbox 1631"/>
                        <wps:cNvSpPr txBox="1"/>
                        <wps:spPr>
                          <a:xfrm>
                            <a:off x="240893" y="645060"/>
                            <a:ext cx="624205" cy="213995"/>
                          </a:xfrm>
                          <a:prstGeom prst="rect">
                            <a:avLst/>
                          </a:prstGeom>
                          <a:solidFill>
                            <a:srgbClr val="F8EBD0"/>
                          </a:solidFill>
                          <a:ln w="11849">
                            <a:solidFill>
                              <a:srgbClr val="231F20"/>
                            </a:solidFill>
                            <a:prstDash val="solid"/>
                          </a:ln>
                        </wps:spPr>
                        <wps:txbx>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14.</w:t>
                              </w:r>
                            </w:p>
                          </w:txbxContent>
                        </wps:txbx>
                        <wps:bodyPr wrap="square" lIns="0" tIns="0" rIns="0" bIns="0" rtlCol="0">
                          <a:noAutofit/>
                        </wps:bodyPr>
                      </wps:wsp>
                    </wpg:wgp>
                  </a:graphicData>
                </a:graphic>
              </wp:anchor>
            </w:drawing>
          </mc:Choice>
          <mc:Fallback>
            <w:pict>
              <v:group style="position:absolute;margin-left:120.367775pt;margin-top:1.40697pt;width:88.7pt;height:68.1pt;mso-position-horizontal-relative:page;mso-position-vertical-relative:paragraph;z-index:-28049920" id="docshapegroup1287" coordorigin="2407,28" coordsize="1774,1362">
                <v:shape style="position:absolute;left:3233;top:28;width:122;height:149" id="docshape1288" coordorigin="3233,28" coordsize="122,149" path="m3355,28l3294,63,3233,28,3294,177,3355,28xe" filled="true" fillcolor="#231f20" stroked="false">
                  <v:path arrowok="t"/>
                  <v:fill type="solid"/>
                </v:shape>
                <v:line style="position:absolute" from="3294,792" to="3294,965" stroked="true" strokeweight=".933007pt" strokecolor="#231f20">
                  <v:stroke dashstyle="solid"/>
                </v:line>
                <v:shape style="position:absolute;left:3233;top:922;width:122;height:149" id="docshape1289" coordorigin="3233,922" coordsize="122,149" path="m3355,922l3294,957,3233,922,3294,1071,3355,922xe" filled="true" fillcolor="#231f20" stroked="false">
                  <v:path arrowok="t"/>
                  <v:fill type="solid"/>
                </v:shape>
                <v:shape style="position:absolute;left:2416;top:162;width:1755;height:630" type="#_x0000_t202" id="docshape1290" filled="true" fillcolor="#d1e4f6" stroked="true" strokeweight=".933007pt" strokecolor="#231f20">
                  <v:textbox inset="0,0,0,0">
                    <w:txbxContent>
                      <w:p>
                        <w:pPr>
                          <w:spacing w:line="235" w:lineRule="auto" w:before="80"/>
                          <w:ind w:left="109" w:right="107" w:firstLine="0"/>
                          <w:jc w:val="center"/>
                          <w:rPr>
                            <w:rFonts w:ascii="Arial MT"/>
                            <w:color w:val="000000"/>
                            <w:sz w:val="13"/>
                          </w:rPr>
                        </w:pPr>
                        <w:r>
                          <w:rPr>
                            <w:rFonts w:ascii="Arial MT"/>
                            <w:color w:val="231F20"/>
                            <w:sz w:val="13"/>
                          </w:rPr>
                          <w:t>Child</w:t>
                        </w:r>
                        <w:r>
                          <w:rPr>
                            <w:rFonts w:ascii="Arial MT"/>
                            <w:color w:val="231F20"/>
                            <w:spacing w:val="-7"/>
                            <w:sz w:val="13"/>
                          </w:rPr>
                          <w:t> </w:t>
                        </w:r>
                        <w:r>
                          <w:rPr>
                            <w:rFonts w:ascii="Arial MT"/>
                            <w:color w:val="231F20"/>
                            <w:sz w:val="13"/>
                          </w:rPr>
                          <w:t>is</w:t>
                        </w:r>
                        <w:r>
                          <w:rPr>
                            <w:rFonts w:ascii="Arial MT"/>
                            <w:color w:val="231F20"/>
                            <w:spacing w:val="-7"/>
                            <w:sz w:val="13"/>
                          </w:rPr>
                          <w:t> </w:t>
                        </w:r>
                        <w:r>
                          <w:rPr>
                            <w:rFonts w:ascii="Arial MT"/>
                            <w:color w:val="231F20"/>
                            <w:sz w:val="13"/>
                          </w:rPr>
                          <w:t>observed</w:t>
                        </w:r>
                        <w:r>
                          <w:rPr>
                            <w:rFonts w:ascii="Arial MT"/>
                            <w:color w:val="231F20"/>
                            <w:spacing w:val="-7"/>
                            <w:sz w:val="13"/>
                          </w:rPr>
                          <w:t> </w:t>
                        </w:r>
                        <w:r>
                          <w:rPr>
                            <w:rFonts w:ascii="Arial MT"/>
                            <w:color w:val="231F20"/>
                            <w:sz w:val="13"/>
                          </w:rPr>
                          <w:t>for</w:t>
                        </w:r>
                        <w:r>
                          <w:rPr>
                            <w:rFonts w:ascii="Arial MT"/>
                            <w:color w:val="231F20"/>
                            <w:spacing w:val="-7"/>
                            <w:sz w:val="13"/>
                          </w:rPr>
                          <w:t> </w:t>
                        </w:r>
                        <w:r>
                          <w:rPr>
                            <w:rFonts w:ascii="Arial MT"/>
                            <w:color w:val="231F20"/>
                            <w:sz w:val="13"/>
                          </w:rPr>
                          <w:t>48</w:t>
                        </w:r>
                        <w:r>
                          <w:rPr>
                            <w:rFonts w:ascii="Arial MT"/>
                            <w:color w:val="231F20"/>
                            <w:spacing w:val="-7"/>
                            <w:sz w:val="13"/>
                          </w:rPr>
                          <w:t> </w:t>
                        </w:r>
                        <w:r>
                          <w:rPr>
                            <w:rFonts w:ascii="Arial MT"/>
                            <w:color w:val="231F20"/>
                            <w:sz w:val="13"/>
                          </w:rPr>
                          <w:t>to</w:t>
                        </w:r>
                        <w:r>
                          <w:rPr>
                            <w:rFonts w:ascii="Arial MT"/>
                            <w:color w:val="231F20"/>
                            <w:spacing w:val="40"/>
                            <w:sz w:val="13"/>
                          </w:rPr>
                          <w:t> </w:t>
                        </w:r>
                        <w:r>
                          <w:rPr>
                            <w:rFonts w:ascii="Arial MT"/>
                            <w:color w:val="231F20"/>
                            <w:sz w:val="13"/>
                          </w:rPr>
                          <w:t>72 hr with assurance of</w:t>
                        </w:r>
                        <w:r>
                          <w:rPr>
                            <w:rFonts w:ascii="Arial MT"/>
                            <w:color w:val="231F20"/>
                            <w:spacing w:val="40"/>
                            <w:sz w:val="13"/>
                          </w:rPr>
                          <w:t> </w:t>
                        </w:r>
                        <w:r>
                          <w:rPr>
                            <w:rFonts w:ascii="Arial MT"/>
                            <w:color w:val="231F20"/>
                            <w:sz w:val="13"/>
                          </w:rPr>
                          <w:t>appropriate</w:t>
                        </w:r>
                        <w:r>
                          <w:rPr>
                            <w:rFonts w:ascii="Arial MT"/>
                            <w:color w:val="231F20"/>
                            <w:spacing w:val="-5"/>
                            <w:sz w:val="13"/>
                          </w:rPr>
                          <w:t> </w:t>
                        </w:r>
                        <w:r>
                          <w:rPr>
                            <w:rFonts w:ascii="Arial MT"/>
                            <w:color w:val="231F20"/>
                            <w:sz w:val="13"/>
                          </w:rPr>
                          <w:t>follow-up.</w:t>
                        </w:r>
                      </w:p>
                    </w:txbxContent>
                  </v:textbox>
                  <v:fill type="solid"/>
                  <v:stroke dashstyle="solid"/>
                  <w10:wrap type="none"/>
                </v:shape>
                <v:shape style="position:absolute;left:2786;top:1043;width:983;height:337" type="#_x0000_t202" id="docshape1291" filled="true" fillcolor="#f8ebd0" stroked="true" strokeweight=".933007pt" strokecolor="#231f20">
                  <v:textbox inset="0,0,0,0">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14.</w:t>
                        </w:r>
                      </w:p>
                    </w:txbxContent>
                  </v:textbox>
                  <v:fill type="solid"/>
                  <v:stroke dashstyle="solid"/>
                  <w10:wrap type="none"/>
                </v:shape>
                <w10:wrap type="none"/>
              </v:group>
            </w:pict>
          </mc:Fallback>
        </mc:AlternateContent>
      </w:r>
      <w:r>
        <w:rPr>
          <w:rFonts w:ascii="Arial MT"/>
        </w:rPr>
        <mc:AlternateContent>
          <mc:Choice Requires="wps">
            <w:drawing>
              <wp:anchor distT="0" distB="0" distL="0" distR="0" allowOverlap="1" layoutInCell="1" locked="0" behindDoc="0" simplePos="0" relativeHeight="15845376">
                <wp:simplePos x="0" y="0"/>
                <wp:positionH relativeFrom="page">
                  <wp:posOffset>1646885</wp:posOffset>
                </wp:positionH>
                <wp:positionV relativeFrom="paragraph">
                  <wp:posOffset>-501240</wp:posOffset>
                </wp:positionV>
                <wp:extent cx="1119505" cy="546100"/>
                <wp:effectExtent l="0" t="0" r="0" b="0"/>
                <wp:wrapNone/>
                <wp:docPr id="1632" name="Textbox 1632"/>
                <wp:cNvGraphicFramePr>
                  <a:graphicFrameLocks/>
                </wp:cNvGraphicFramePr>
                <a:graphic>
                  <a:graphicData uri="http://schemas.microsoft.com/office/word/2010/wordprocessingShape">
                    <wps:wsp>
                      <wps:cNvPr id="1632" name="Textbox 1632"/>
                      <wps:cNvSpPr txBox="1"/>
                      <wps:spPr>
                        <a:xfrm>
                          <a:off x="0" y="0"/>
                          <a:ext cx="1119505" cy="546100"/>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631"/>
                              <w:gridCol w:w="631"/>
                              <w:gridCol w:w="362"/>
                            </w:tblGrid>
                            <w:tr>
                              <w:trPr>
                                <w:trHeight w:val="336" w:hRule="atLeast"/>
                              </w:trPr>
                              <w:tc>
                                <w:tcPr>
                                  <w:tcW w:w="1262" w:type="dxa"/>
                                  <w:gridSpan w:val="2"/>
                                  <w:vMerge w:val="restart"/>
                                  <w:shd w:val="clear" w:color="auto" w:fill="F1BCB5"/>
                                </w:tcPr>
                                <w:p>
                                  <w:pPr>
                                    <w:pStyle w:val="TableParagraph"/>
                                    <w:spacing w:line="235" w:lineRule="auto" w:before="80"/>
                                    <w:ind w:left="96" w:right="75" w:firstLine="35"/>
                                    <w:jc w:val="both"/>
                                    <w:rPr>
                                      <w:rFonts w:ascii="Arial MT"/>
                                      <w:sz w:val="13"/>
                                    </w:rPr>
                                  </w:pPr>
                                  <w:r>
                                    <w:rPr>
                                      <w:rFonts w:ascii="Arial MT"/>
                                      <w:color w:val="231F20"/>
                                      <w:sz w:val="13"/>
                                    </w:rPr>
                                    <w:t>Is observation an</w:t>
                                  </w:r>
                                  <w:r>
                                    <w:rPr>
                                      <w:rFonts w:ascii="Arial MT"/>
                                      <w:color w:val="231F20"/>
                                      <w:spacing w:val="40"/>
                                      <w:sz w:val="13"/>
                                    </w:rPr>
                                    <w:t> </w:t>
                                  </w:r>
                                  <w:r>
                                    <w:rPr>
                                      <w:rFonts w:ascii="Arial MT"/>
                                      <w:color w:val="231F20"/>
                                      <w:sz w:val="13"/>
                                    </w:rPr>
                                    <w:t>appropriate</w:t>
                                  </w:r>
                                  <w:r>
                                    <w:rPr>
                                      <w:rFonts w:ascii="Arial MT"/>
                                      <w:color w:val="231F20"/>
                                      <w:spacing w:val="-5"/>
                                      <w:sz w:val="13"/>
                                    </w:rPr>
                                    <w:t> </w:t>
                                  </w:r>
                                  <w:r>
                                    <w:rPr>
                                      <w:rFonts w:ascii="Arial MT"/>
                                      <w:color w:val="231F20"/>
                                      <w:sz w:val="13"/>
                                    </w:rPr>
                                    <w:t>initial</w:t>
                                  </w:r>
                                  <w:r>
                                    <w:rPr>
                                      <w:rFonts w:ascii="Arial MT"/>
                                      <w:color w:val="231F20"/>
                                      <w:spacing w:val="40"/>
                                      <w:sz w:val="13"/>
                                    </w:rPr>
                                    <w:t> </w:t>
                                  </w:r>
                                  <w:r>
                                    <w:rPr>
                                      <w:rFonts w:ascii="Arial MT"/>
                                      <w:color w:val="231F20"/>
                                      <w:sz w:val="13"/>
                                    </w:rPr>
                                    <w:t>treatment </w:t>
                                  </w:r>
                                  <w:r>
                                    <w:rPr>
                                      <w:rFonts w:ascii="Arial MT"/>
                                      <w:color w:val="231F20"/>
                                      <w:spacing w:val="-2"/>
                                      <w:sz w:val="13"/>
                                    </w:rPr>
                                    <w:t>option?*</w:t>
                                  </w:r>
                                </w:p>
                              </w:tc>
                              <w:tc>
                                <w:tcPr>
                                  <w:tcW w:w="362" w:type="dxa"/>
                                  <w:tcBorders>
                                    <w:top w:val="nil"/>
                                    <w:right w:val="nil"/>
                                  </w:tcBorders>
                                </w:tcPr>
                                <w:p>
                                  <w:pPr>
                                    <w:pStyle w:val="TableParagraph"/>
                                    <w:spacing w:before="11"/>
                                    <w:rPr>
                                      <w:i/>
                                      <w:sz w:val="13"/>
                                    </w:rPr>
                                  </w:pPr>
                                </w:p>
                                <w:p>
                                  <w:pPr>
                                    <w:pStyle w:val="TableParagraph"/>
                                    <w:ind w:left="110"/>
                                    <w:rPr>
                                      <w:rFonts w:ascii="Arial"/>
                                      <w:b/>
                                      <w:sz w:val="13"/>
                                    </w:rPr>
                                  </w:pPr>
                                  <w:r>
                                    <w:rPr>
                                      <w:rFonts w:ascii="Arial"/>
                                      <w:b/>
                                      <w:color w:val="231F20"/>
                                      <w:spacing w:val="-5"/>
                                      <w:sz w:val="13"/>
                                    </w:rPr>
                                    <w:t>No</w:t>
                                  </w:r>
                                </w:p>
                              </w:tc>
                            </w:tr>
                            <w:tr>
                              <w:trPr>
                                <w:trHeight w:val="253" w:hRule="atLeast"/>
                              </w:trPr>
                              <w:tc>
                                <w:tcPr>
                                  <w:tcW w:w="1262" w:type="dxa"/>
                                  <w:gridSpan w:val="2"/>
                                  <w:vMerge/>
                                  <w:tcBorders>
                                    <w:top w:val="nil"/>
                                  </w:tcBorders>
                                  <w:shd w:val="clear" w:color="auto" w:fill="F1BCB5"/>
                                </w:tcPr>
                                <w:p>
                                  <w:pPr>
                                    <w:rPr>
                                      <w:sz w:val="2"/>
                                      <w:szCs w:val="2"/>
                                    </w:rPr>
                                  </w:pPr>
                                </w:p>
                              </w:tc>
                              <w:tc>
                                <w:tcPr>
                                  <w:tcW w:w="362" w:type="dxa"/>
                                  <w:tcBorders>
                                    <w:bottom w:val="nil"/>
                                    <w:right w:val="nil"/>
                                  </w:tcBorders>
                                </w:tcPr>
                                <w:p>
                                  <w:pPr>
                                    <w:pStyle w:val="TableParagraph"/>
                                    <w:rPr>
                                      <w:rFonts w:ascii="Times New Roman"/>
                                      <w:sz w:val="12"/>
                                    </w:rPr>
                                  </w:pPr>
                                </w:p>
                              </w:tc>
                            </w:tr>
                            <w:tr>
                              <w:trPr>
                                <w:trHeight w:val="211" w:hRule="atLeast"/>
                              </w:trPr>
                              <w:tc>
                                <w:tcPr>
                                  <w:tcW w:w="631" w:type="dxa"/>
                                  <w:tcBorders>
                                    <w:left w:val="nil"/>
                                    <w:bottom w:val="nil"/>
                                  </w:tcBorders>
                                </w:tcPr>
                                <w:p>
                                  <w:pPr>
                                    <w:pStyle w:val="TableParagraph"/>
                                    <w:spacing w:line="144" w:lineRule="exact" w:before="48"/>
                                    <w:ind w:left="298"/>
                                    <w:rPr>
                                      <w:rFonts w:ascii="Arial"/>
                                      <w:b/>
                                      <w:sz w:val="13"/>
                                    </w:rPr>
                                  </w:pPr>
                                  <w:r>
                                    <w:rPr>
                                      <w:rFonts w:ascii="Arial"/>
                                      <w:b/>
                                      <w:color w:val="231F20"/>
                                      <w:spacing w:val="-5"/>
                                      <w:sz w:val="13"/>
                                    </w:rPr>
                                    <w:t>Yes</w:t>
                                  </w:r>
                                </w:p>
                              </w:tc>
                              <w:tc>
                                <w:tcPr>
                                  <w:tcW w:w="993" w:type="dxa"/>
                                  <w:gridSpan w:val="2"/>
                                  <w:tcBorders>
                                    <w:top w:val="nil"/>
                                    <w:bottom w:val="nil"/>
                                    <w:right w:val="nil"/>
                                  </w:tcBorders>
                                </w:tcPr>
                                <w:p>
                                  <w:pPr>
                                    <w:pStyle w:val="TableParagraph"/>
                                    <w:rPr>
                                      <w:rFonts w:ascii="Times New Roman"/>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129.675995pt;margin-top:-39.467789pt;width:88.15pt;height:43pt;mso-position-horizontal-relative:page;mso-position-vertical-relative:paragraph;z-index:15845376" type="#_x0000_t202" id="docshape1292"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631"/>
                        <w:gridCol w:w="631"/>
                        <w:gridCol w:w="362"/>
                      </w:tblGrid>
                      <w:tr>
                        <w:trPr>
                          <w:trHeight w:val="336" w:hRule="atLeast"/>
                        </w:trPr>
                        <w:tc>
                          <w:tcPr>
                            <w:tcW w:w="1262" w:type="dxa"/>
                            <w:gridSpan w:val="2"/>
                            <w:vMerge w:val="restart"/>
                            <w:shd w:val="clear" w:color="auto" w:fill="F1BCB5"/>
                          </w:tcPr>
                          <w:p>
                            <w:pPr>
                              <w:pStyle w:val="TableParagraph"/>
                              <w:spacing w:line="235" w:lineRule="auto" w:before="80"/>
                              <w:ind w:left="96" w:right="75" w:firstLine="35"/>
                              <w:jc w:val="both"/>
                              <w:rPr>
                                <w:rFonts w:ascii="Arial MT"/>
                                <w:sz w:val="13"/>
                              </w:rPr>
                            </w:pPr>
                            <w:r>
                              <w:rPr>
                                <w:rFonts w:ascii="Arial MT"/>
                                <w:color w:val="231F20"/>
                                <w:sz w:val="13"/>
                              </w:rPr>
                              <w:t>Is observation an</w:t>
                            </w:r>
                            <w:r>
                              <w:rPr>
                                <w:rFonts w:ascii="Arial MT"/>
                                <w:color w:val="231F20"/>
                                <w:spacing w:val="40"/>
                                <w:sz w:val="13"/>
                              </w:rPr>
                              <w:t> </w:t>
                            </w:r>
                            <w:r>
                              <w:rPr>
                                <w:rFonts w:ascii="Arial MT"/>
                                <w:color w:val="231F20"/>
                                <w:sz w:val="13"/>
                              </w:rPr>
                              <w:t>appropriate</w:t>
                            </w:r>
                            <w:r>
                              <w:rPr>
                                <w:rFonts w:ascii="Arial MT"/>
                                <w:color w:val="231F20"/>
                                <w:spacing w:val="-5"/>
                                <w:sz w:val="13"/>
                              </w:rPr>
                              <w:t> </w:t>
                            </w:r>
                            <w:r>
                              <w:rPr>
                                <w:rFonts w:ascii="Arial MT"/>
                                <w:color w:val="231F20"/>
                                <w:sz w:val="13"/>
                              </w:rPr>
                              <w:t>initial</w:t>
                            </w:r>
                            <w:r>
                              <w:rPr>
                                <w:rFonts w:ascii="Arial MT"/>
                                <w:color w:val="231F20"/>
                                <w:spacing w:val="40"/>
                                <w:sz w:val="13"/>
                              </w:rPr>
                              <w:t> </w:t>
                            </w:r>
                            <w:r>
                              <w:rPr>
                                <w:rFonts w:ascii="Arial MT"/>
                                <w:color w:val="231F20"/>
                                <w:sz w:val="13"/>
                              </w:rPr>
                              <w:t>treatment </w:t>
                            </w:r>
                            <w:r>
                              <w:rPr>
                                <w:rFonts w:ascii="Arial MT"/>
                                <w:color w:val="231F20"/>
                                <w:spacing w:val="-2"/>
                                <w:sz w:val="13"/>
                              </w:rPr>
                              <w:t>option?*</w:t>
                            </w:r>
                          </w:p>
                        </w:tc>
                        <w:tc>
                          <w:tcPr>
                            <w:tcW w:w="362" w:type="dxa"/>
                            <w:tcBorders>
                              <w:top w:val="nil"/>
                              <w:right w:val="nil"/>
                            </w:tcBorders>
                          </w:tcPr>
                          <w:p>
                            <w:pPr>
                              <w:pStyle w:val="TableParagraph"/>
                              <w:spacing w:before="11"/>
                              <w:rPr>
                                <w:i/>
                                <w:sz w:val="13"/>
                              </w:rPr>
                            </w:pPr>
                          </w:p>
                          <w:p>
                            <w:pPr>
                              <w:pStyle w:val="TableParagraph"/>
                              <w:ind w:left="110"/>
                              <w:rPr>
                                <w:rFonts w:ascii="Arial"/>
                                <w:b/>
                                <w:sz w:val="13"/>
                              </w:rPr>
                            </w:pPr>
                            <w:r>
                              <w:rPr>
                                <w:rFonts w:ascii="Arial"/>
                                <w:b/>
                                <w:color w:val="231F20"/>
                                <w:spacing w:val="-5"/>
                                <w:sz w:val="13"/>
                              </w:rPr>
                              <w:t>No</w:t>
                            </w:r>
                          </w:p>
                        </w:tc>
                      </w:tr>
                      <w:tr>
                        <w:trPr>
                          <w:trHeight w:val="253" w:hRule="atLeast"/>
                        </w:trPr>
                        <w:tc>
                          <w:tcPr>
                            <w:tcW w:w="1262" w:type="dxa"/>
                            <w:gridSpan w:val="2"/>
                            <w:vMerge/>
                            <w:tcBorders>
                              <w:top w:val="nil"/>
                            </w:tcBorders>
                            <w:shd w:val="clear" w:color="auto" w:fill="F1BCB5"/>
                          </w:tcPr>
                          <w:p>
                            <w:pPr>
                              <w:rPr>
                                <w:sz w:val="2"/>
                                <w:szCs w:val="2"/>
                              </w:rPr>
                            </w:pPr>
                          </w:p>
                        </w:tc>
                        <w:tc>
                          <w:tcPr>
                            <w:tcW w:w="362" w:type="dxa"/>
                            <w:tcBorders>
                              <w:bottom w:val="nil"/>
                              <w:right w:val="nil"/>
                            </w:tcBorders>
                          </w:tcPr>
                          <w:p>
                            <w:pPr>
                              <w:pStyle w:val="TableParagraph"/>
                              <w:rPr>
                                <w:rFonts w:ascii="Times New Roman"/>
                                <w:sz w:val="12"/>
                              </w:rPr>
                            </w:pPr>
                          </w:p>
                        </w:tc>
                      </w:tr>
                      <w:tr>
                        <w:trPr>
                          <w:trHeight w:val="211" w:hRule="atLeast"/>
                        </w:trPr>
                        <w:tc>
                          <w:tcPr>
                            <w:tcW w:w="631" w:type="dxa"/>
                            <w:tcBorders>
                              <w:left w:val="nil"/>
                              <w:bottom w:val="nil"/>
                            </w:tcBorders>
                          </w:tcPr>
                          <w:p>
                            <w:pPr>
                              <w:pStyle w:val="TableParagraph"/>
                              <w:spacing w:line="144" w:lineRule="exact" w:before="48"/>
                              <w:ind w:left="298"/>
                              <w:rPr>
                                <w:rFonts w:ascii="Arial"/>
                                <w:b/>
                                <w:sz w:val="13"/>
                              </w:rPr>
                            </w:pPr>
                            <w:r>
                              <w:rPr>
                                <w:rFonts w:ascii="Arial"/>
                                <w:b/>
                                <w:color w:val="231F20"/>
                                <w:spacing w:val="-5"/>
                                <w:sz w:val="13"/>
                              </w:rPr>
                              <w:t>Yes</w:t>
                            </w:r>
                          </w:p>
                        </w:tc>
                        <w:tc>
                          <w:tcPr>
                            <w:tcW w:w="993" w:type="dxa"/>
                            <w:gridSpan w:val="2"/>
                            <w:tcBorders>
                              <w:top w:val="nil"/>
                              <w:bottom w:val="nil"/>
                              <w:right w:val="nil"/>
                            </w:tcBorders>
                          </w:tcPr>
                          <w:p>
                            <w:pPr>
                              <w:pStyle w:val="TableParagraph"/>
                              <w:rPr>
                                <w:rFonts w:ascii="Times New Roman"/>
                                <w:sz w:val="12"/>
                              </w:rPr>
                            </w:pPr>
                          </w:p>
                        </w:tc>
                      </w:tr>
                    </w:tbl>
                    <w:p>
                      <w:pPr>
                        <w:pStyle w:val="BodyText"/>
                      </w:pPr>
                    </w:p>
                  </w:txbxContent>
                </v:textbox>
                <w10:wrap type="none"/>
              </v:shape>
            </w:pict>
          </mc:Fallback>
        </mc:AlternateContent>
      </w:r>
      <w:r>
        <w:rPr>
          <w:rFonts w:ascii="Arial MT"/>
          <w:color w:val="231F20"/>
          <w:spacing w:val="-10"/>
        </w:rPr>
        <w:t>7</w:t>
      </w:r>
    </w:p>
    <w:p>
      <w:pPr>
        <w:pStyle w:val="BodyText"/>
        <w:spacing w:line="137" w:lineRule="exact"/>
        <w:ind w:left="1581"/>
        <w:jc w:val="center"/>
        <w:rPr>
          <w:rFonts w:ascii="Arial MT"/>
        </w:rPr>
      </w:pPr>
      <w:r>
        <w:rPr>
          <w:rFonts w:ascii="Arial MT"/>
          <w:color w:val="231F20"/>
          <w:spacing w:val="-5"/>
        </w:rPr>
        <w:t>11</w:t>
      </w:r>
    </w:p>
    <w:p>
      <w:pPr>
        <w:pStyle w:val="BodyText"/>
        <w:spacing w:line="139" w:lineRule="exact"/>
        <w:ind w:right="2930"/>
        <w:jc w:val="center"/>
        <w:rPr>
          <w:rFonts w:ascii="Arial MT"/>
        </w:rPr>
      </w:pPr>
      <w:r>
        <w:rPr>
          <w:rFonts w:ascii="Arial MT"/>
        </w:rPr>
        <mc:AlternateContent>
          <mc:Choice Requires="wps">
            <w:drawing>
              <wp:anchor distT="0" distB="0" distL="0" distR="0" allowOverlap="1" layoutInCell="1" locked="0" behindDoc="1" simplePos="0" relativeHeight="475267072">
                <wp:simplePos x="0" y="0"/>
                <wp:positionH relativeFrom="page">
                  <wp:posOffset>2847721</wp:posOffset>
                </wp:positionH>
                <wp:positionV relativeFrom="paragraph">
                  <wp:posOffset>11628</wp:posOffset>
                </wp:positionV>
                <wp:extent cx="890905" cy="909319"/>
                <wp:effectExtent l="0" t="0" r="0" b="0"/>
                <wp:wrapNone/>
                <wp:docPr id="1633" name="Group 1633"/>
                <wp:cNvGraphicFramePr>
                  <a:graphicFrameLocks/>
                </wp:cNvGraphicFramePr>
                <a:graphic>
                  <a:graphicData uri="http://schemas.microsoft.com/office/word/2010/wordprocessingGroup">
                    <wpg:wgp>
                      <wpg:cNvPr id="1633" name="Group 1633"/>
                      <wpg:cNvGrpSpPr/>
                      <wpg:grpSpPr>
                        <a:xfrm>
                          <a:off x="0" y="0"/>
                          <a:ext cx="890905" cy="909319"/>
                          <a:chExt cx="890905" cy="909319"/>
                        </a:xfrm>
                      </wpg:grpSpPr>
                      <wps:wsp>
                        <wps:cNvPr id="1634" name="Graphic 1634"/>
                        <wps:cNvSpPr/>
                        <wps:spPr>
                          <a:xfrm>
                            <a:off x="406630" y="0"/>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35" name="Graphic 1635"/>
                        <wps:cNvSpPr/>
                        <wps:spPr>
                          <a:xfrm>
                            <a:off x="445162" y="489931"/>
                            <a:ext cx="1270" cy="149860"/>
                          </a:xfrm>
                          <a:custGeom>
                            <a:avLst/>
                            <a:gdLst/>
                            <a:ahLst/>
                            <a:cxnLst/>
                            <a:rect l="l" t="t" r="r" b="b"/>
                            <a:pathLst>
                              <a:path w="0" h="149860">
                                <a:moveTo>
                                  <a:pt x="0" y="0"/>
                                </a:moveTo>
                                <a:lnTo>
                                  <a:pt x="0" y="149524"/>
                                </a:lnTo>
                              </a:path>
                            </a:pathLst>
                          </a:custGeom>
                          <a:ln w="11849">
                            <a:solidFill>
                              <a:srgbClr val="231F20"/>
                            </a:solidFill>
                            <a:prstDash val="solid"/>
                          </a:ln>
                        </wps:spPr>
                        <wps:bodyPr wrap="square" lIns="0" tIns="0" rIns="0" bIns="0" rtlCol="0">
                          <a:prstTxWarp prst="textNoShape">
                            <a:avLst/>
                          </a:prstTxWarp>
                          <a:noAutofit/>
                        </wps:bodyPr>
                      </wps:wsp>
                      <wps:wsp>
                        <wps:cNvPr id="1636" name="Graphic 1636"/>
                        <wps:cNvSpPr/>
                        <wps:spPr>
                          <a:xfrm>
                            <a:off x="406630" y="612070"/>
                            <a:ext cx="77470" cy="94615"/>
                          </a:xfrm>
                          <a:custGeom>
                            <a:avLst/>
                            <a:gdLst/>
                            <a:ahLst/>
                            <a:cxnLst/>
                            <a:rect l="l" t="t" r="r" b="b"/>
                            <a:pathLst>
                              <a:path w="77470" h="94615">
                                <a:moveTo>
                                  <a:pt x="77063" y="0"/>
                                </a:moveTo>
                                <a:lnTo>
                                  <a:pt x="38531" y="22377"/>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37" name="Textbox 1637"/>
                        <wps:cNvSpPr txBox="1"/>
                        <wps:spPr>
                          <a:xfrm>
                            <a:off x="5924" y="85448"/>
                            <a:ext cx="878840" cy="400050"/>
                          </a:xfrm>
                          <a:prstGeom prst="rect">
                            <a:avLst/>
                          </a:prstGeom>
                          <a:solidFill>
                            <a:srgbClr val="D1E4F6"/>
                          </a:solidFill>
                          <a:ln w="11849">
                            <a:solidFill>
                              <a:srgbClr val="231F20"/>
                            </a:solidFill>
                            <a:prstDash val="solid"/>
                          </a:ln>
                        </wps:spPr>
                        <wps:txbx>
                          <w:txbxContent>
                            <w:p>
                              <w:pPr>
                                <w:spacing w:line="235" w:lineRule="auto" w:before="80"/>
                                <w:ind w:left="88" w:right="72" w:hanging="15"/>
                                <w:jc w:val="center"/>
                                <w:rPr>
                                  <w:rFonts w:ascii="Arial MT"/>
                                  <w:color w:val="000000"/>
                                  <w:sz w:val="13"/>
                                </w:rPr>
                              </w:pPr>
                              <w:r>
                                <w:rPr>
                                  <w:rFonts w:ascii="Arial MT"/>
                                  <w:color w:val="231F20"/>
                                  <w:sz w:val="13"/>
                                </w:rPr>
                                <w:t>Child managed with</w:t>
                              </w:r>
                              <w:r>
                                <w:rPr>
                                  <w:rFonts w:ascii="Arial MT"/>
                                  <w:color w:val="231F20"/>
                                  <w:spacing w:val="40"/>
                                  <w:sz w:val="13"/>
                                </w:rPr>
                                <w:t> </w:t>
                              </w:r>
                              <w:r>
                                <w:rPr>
                                  <w:rFonts w:ascii="Arial MT"/>
                                  <w:color w:val="231F20"/>
                                  <w:spacing w:val="-2"/>
                                  <w:sz w:val="13"/>
                                </w:rPr>
                                <w:t>appropriate</w:t>
                              </w:r>
                              <w:r>
                                <w:rPr>
                                  <w:rFonts w:ascii="Arial MT"/>
                                  <w:color w:val="231F20"/>
                                  <w:spacing w:val="40"/>
                                  <w:sz w:val="13"/>
                                </w:rPr>
                                <w:t> </w:t>
                              </w:r>
                              <w:r>
                                <w:rPr>
                                  <w:rFonts w:ascii="Arial MT"/>
                                  <w:color w:val="231F20"/>
                                  <w:spacing w:val="-2"/>
                                  <w:sz w:val="13"/>
                                </w:rPr>
                                <w:t>antibacterial</w:t>
                              </w:r>
                              <w:r>
                                <w:rPr>
                                  <w:rFonts w:ascii="Arial MT"/>
                                  <w:color w:val="231F20"/>
                                  <w:spacing w:val="-5"/>
                                  <w:sz w:val="13"/>
                                </w:rPr>
                                <w:t> </w:t>
                              </w:r>
                              <w:r>
                                <w:rPr>
                                  <w:rFonts w:ascii="Arial MT"/>
                                  <w:color w:val="231F20"/>
                                  <w:spacing w:val="-2"/>
                                  <w:sz w:val="13"/>
                                </w:rPr>
                                <w:t>therapy.</w:t>
                              </w:r>
                            </w:p>
                          </w:txbxContent>
                        </wps:txbx>
                        <wps:bodyPr wrap="square" lIns="0" tIns="0" rIns="0" bIns="0" rtlCol="0">
                          <a:noAutofit/>
                        </wps:bodyPr>
                      </wps:wsp>
                      <wps:wsp>
                        <wps:cNvPr id="1638" name="Textbox 1638"/>
                        <wps:cNvSpPr txBox="1"/>
                        <wps:spPr>
                          <a:xfrm>
                            <a:off x="133326" y="689472"/>
                            <a:ext cx="624205" cy="213995"/>
                          </a:xfrm>
                          <a:prstGeom prst="rect">
                            <a:avLst/>
                          </a:prstGeom>
                          <a:solidFill>
                            <a:srgbClr val="F8EBD0"/>
                          </a:solidFill>
                          <a:ln w="11849">
                            <a:solidFill>
                              <a:srgbClr val="231F20"/>
                            </a:solidFill>
                            <a:prstDash val="solid"/>
                          </a:ln>
                        </wps:spPr>
                        <wps:txbx>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14.</w:t>
                              </w:r>
                            </w:p>
                          </w:txbxContent>
                        </wps:txbx>
                        <wps:bodyPr wrap="square" lIns="0" tIns="0" rIns="0" bIns="0" rtlCol="0">
                          <a:noAutofit/>
                        </wps:bodyPr>
                      </wps:wsp>
                    </wpg:wgp>
                  </a:graphicData>
                </a:graphic>
              </wp:anchor>
            </w:drawing>
          </mc:Choice>
          <mc:Fallback>
            <w:pict>
              <v:group style="position:absolute;margin-left:224.230057pt;margin-top:.915668pt;width:70.150pt;height:71.6pt;mso-position-horizontal-relative:page;mso-position-vertical-relative:paragraph;z-index:-28049408" id="docshapegroup1293" coordorigin="4485,18" coordsize="1403,1432">
                <v:shape style="position:absolute;left:5124;top:18;width:122;height:149" id="docshape1294" coordorigin="5125,18" coordsize="122,149" path="m5246,18l5186,54,5125,18,5186,167,5246,18xe" filled="true" fillcolor="#231f20" stroked="false">
                  <v:path arrowok="t"/>
                  <v:fill type="solid"/>
                </v:shape>
                <v:line style="position:absolute" from="5186,790" to="5186,1025" stroked="true" strokeweight=".933007pt" strokecolor="#231f20">
                  <v:stroke dashstyle="solid"/>
                </v:line>
                <v:shape style="position:absolute;left:5124;top:982;width:122;height:149" id="docshape1295" coordorigin="5125,982" coordsize="122,149" path="m5246,982l5186,1017,5125,982,5186,1131,5246,982xe" filled="true" fillcolor="#231f20" stroked="false">
                  <v:path arrowok="t"/>
                  <v:fill type="solid"/>
                </v:shape>
                <v:shape style="position:absolute;left:4493;top:152;width:1384;height:630" type="#_x0000_t202" id="docshape1296" filled="true" fillcolor="#d1e4f6" stroked="true" strokeweight=".933007pt" strokecolor="#231f20">
                  <v:textbox inset="0,0,0,0">
                    <w:txbxContent>
                      <w:p>
                        <w:pPr>
                          <w:spacing w:line="235" w:lineRule="auto" w:before="80"/>
                          <w:ind w:left="88" w:right="72" w:hanging="15"/>
                          <w:jc w:val="center"/>
                          <w:rPr>
                            <w:rFonts w:ascii="Arial MT"/>
                            <w:color w:val="000000"/>
                            <w:sz w:val="13"/>
                          </w:rPr>
                        </w:pPr>
                        <w:r>
                          <w:rPr>
                            <w:rFonts w:ascii="Arial MT"/>
                            <w:color w:val="231F20"/>
                            <w:sz w:val="13"/>
                          </w:rPr>
                          <w:t>Child managed with</w:t>
                        </w:r>
                        <w:r>
                          <w:rPr>
                            <w:rFonts w:ascii="Arial MT"/>
                            <w:color w:val="231F20"/>
                            <w:spacing w:val="40"/>
                            <w:sz w:val="13"/>
                          </w:rPr>
                          <w:t> </w:t>
                        </w:r>
                        <w:r>
                          <w:rPr>
                            <w:rFonts w:ascii="Arial MT"/>
                            <w:color w:val="231F20"/>
                            <w:spacing w:val="-2"/>
                            <w:sz w:val="13"/>
                          </w:rPr>
                          <w:t>appropriate</w:t>
                        </w:r>
                        <w:r>
                          <w:rPr>
                            <w:rFonts w:ascii="Arial MT"/>
                            <w:color w:val="231F20"/>
                            <w:spacing w:val="40"/>
                            <w:sz w:val="13"/>
                          </w:rPr>
                          <w:t> </w:t>
                        </w:r>
                        <w:r>
                          <w:rPr>
                            <w:rFonts w:ascii="Arial MT"/>
                            <w:color w:val="231F20"/>
                            <w:spacing w:val="-2"/>
                            <w:sz w:val="13"/>
                          </w:rPr>
                          <w:t>antibacterial</w:t>
                        </w:r>
                        <w:r>
                          <w:rPr>
                            <w:rFonts w:ascii="Arial MT"/>
                            <w:color w:val="231F20"/>
                            <w:spacing w:val="-5"/>
                            <w:sz w:val="13"/>
                          </w:rPr>
                          <w:t> </w:t>
                        </w:r>
                        <w:r>
                          <w:rPr>
                            <w:rFonts w:ascii="Arial MT"/>
                            <w:color w:val="231F20"/>
                            <w:spacing w:val="-2"/>
                            <w:sz w:val="13"/>
                          </w:rPr>
                          <w:t>therapy.</w:t>
                        </w:r>
                      </w:p>
                    </w:txbxContent>
                  </v:textbox>
                  <v:fill type="solid"/>
                  <v:stroke dashstyle="solid"/>
                  <w10:wrap type="none"/>
                </v:shape>
                <v:shape style="position:absolute;left:4694;top:1104;width:983;height:337" type="#_x0000_t202" id="docshape1297" filled="true" fillcolor="#f8ebd0" stroked="true" strokeweight=".933007pt" strokecolor="#231f20">
                  <v:textbox inset="0,0,0,0">
                    <w:txbxContent>
                      <w:p>
                        <w:pPr>
                          <w:spacing w:before="77"/>
                          <w:ind w:left="88" w:right="0" w:firstLine="0"/>
                          <w:jc w:val="left"/>
                          <w:rPr>
                            <w:rFonts w:ascii="Arial MT"/>
                            <w:color w:val="000000"/>
                            <w:sz w:val="13"/>
                          </w:rPr>
                        </w:pPr>
                        <w:r>
                          <w:rPr>
                            <w:rFonts w:ascii="Arial MT"/>
                            <w:color w:val="231F20"/>
                            <w:sz w:val="13"/>
                          </w:rPr>
                          <w:t>Go</w:t>
                        </w:r>
                        <w:r>
                          <w:rPr>
                            <w:rFonts w:ascii="Arial MT"/>
                            <w:color w:val="231F20"/>
                            <w:spacing w:val="-1"/>
                            <w:sz w:val="13"/>
                          </w:rPr>
                          <w:t> </w:t>
                        </w:r>
                        <w:r>
                          <w:rPr>
                            <w:rFonts w:ascii="Arial MT"/>
                            <w:color w:val="231F20"/>
                            <w:sz w:val="13"/>
                          </w:rPr>
                          <w:t>to</w:t>
                        </w:r>
                        <w:r>
                          <w:rPr>
                            <w:rFonts w:ascii="Arial MT"/>
                            <w:color w:val="231F20"/>
                            <w:spacing w:val="-1"/>
                            <w:sz w:val="13"/>
                          </w:rPr>
                          <w:t> </w:t>
                        </w:r>
                        <w:r>
                          <w:rPr>
                            <w:rFonts w:ascii="Arial MT"/>
                            <w:color w:val="231F20"/>
                            <w:sz w:val="13"/>
                          </w:rPr>
                          <w:t>Box </w:t>
                        </w:r>
                        <w:r>
                          <w:rPr>
                            <w:rFonts w:ascii="Arial MT"/>
                            <w:color w:val="231F20"/>
                            <w:spacing w:val="-5"/>
                            <w:sz w:val="13"/>
                          </w:rPr>
                          <w:t>14.</w:t>
                        </w:r>
                      </w:p>
                    </w:txbxContent>
                  </v:textbox>
                  <v:fill type="solid"/>
                  <v:stroke dashstyle="solid"/>
                  <w10:wrap type="none"/>
                </v:shape>
                <w10:wrap type="none"/>
              </v:group>
            </w:pict>
          </mc:Fallback>
        </mc:AlternateContent>
      </w:r>
      <w:r>
        <w:rPr>
          <w:rFonts w:ascii="Arial MT"/>
          <w:color w:val="231F20"/>
          <w:spacing w:val="-5"/>
        </w:rPr>
        <w:t>12</w:t>
      </w:r>
    </w:p>
    <w:p>
      <w:pPr>
        <w:pStyle w:val="BodyText"/>
        <w:rPr>
          <w:rFonts w:ascii="Arial MT"/>
        </w:rPr>
      </w:pPr>
    </w:p>
    <w:p>
      <w:pPr>
        <w:pStyle w:val="BodyText"/>
        <w:rPr>
          <w:rFonts w:ascii="Arial MT"/>
        </w:rPr>
      </w:pPr>
    </w:p>
    <w:p>
      <w:pPr>
        <w:pStyle w:val="BodyText"/>
        <w:spacing w:before="10"/>
        <w:rPr>
          <w:rFonts w:ascii="Arial MT"/>
        </w:rPr>
      </w:pPr>
    </w:p>
    <w:p>
      <w:pPr>
        <w:pStyle w:val="BodyText"/>
        <w:ind w:left="2069"/>
        <w:rPr>
          <w:rFonts w:ascii="Arial MT"/>
        </w:rPr>
      </w:pPr>
      <w:r>
        <w:rPr>
          <w:rFonts w:ascii="Arial MT"/>
        </w:rPr>
        <mc:AlternateContent>
          <mc:Choice Requires="wps">
            <w:drawing>
              <wp:anchor distT="0" distB="0" distL="0" distR="0" allowOverlap="1" layoutInCell="1" locked="0" behindDoc="0" simplePos="0" relativeHeight="15843840">
                <wp:simplePos x="0" y="0"/>
                <wp:positionH relativeFrom="page">
                  <wp:posOffset>4291450</wp:posOffset>
                </wp:positionH>
                <wp:positionV relativeFrom="paragraph">
                  <wp:posOffset>-70020</wp:posOffset>
                </wp:positionV>
                <wp:extent cx="2038985" cy="1771014"/>
                <wp:effectExtent l="0" t="0" r="0" b="0"/>
                <wp:wrapNone/>
                <wp:docPr id="1639" name="Textbox 1639"/>
                <wp:cNvGraphicFramePr>
                  <a:graphicFrameLocks/>
                </wp:cNvGraphicFramePr>
                <a:graphic>
                  <a:graphicData uri="http://schemas.microsoft.com/office/word/2010/wordprocessingShape">
                    <wps:wsp>
                      <wps:cNvPr id="1639" name="Textbox 1639"/>
                      <wps:cNvSpPr txBox="1"/>
                      <wps:spPr>
                        <a:xfrm>
                          <a:off x="0" y="0"/>
                          <a:ext cx="2038985" cy="1771014"/>
                        </a:xfrm>
                        <a:prstGeom prst="rect">
                          <a:avLst/>
                        </a:prstGeom>
                        <a:solidFill>
                          <a:srgbClr val="D7EDDD"/>
                        </a:solidFill>
                        <a:ln w="11849">
                          <a:solidFill>
                            <a:srgbClr val="231F20"/>
                          </a:solidFill>
                          <a:prstDash val="solid"/>
                        </a:ln>
                      </wps:spPr>
                      <wps:txbx>
                        <w:txbxContent>
                          <w:p>
                            <w:pPr>
                              <w:pStyle w:val="BodyText"/>
                              <w:spacing w:line="208" w:lineRule="auto" w:before="93"/>
                              <w:ind w:left="88" w:right="259"/>
                              <w:rPr>
                                <w:rFonts w:ascii="Arial MT"/>
                                <w:color w:val="000000"/>
                              </w:rPr>
                            </w:pPr>
                            <w:r>
                              <w:rPr>
                                <w:rFonts w:ascii="Arial MT"/>
                                <w:color w:val="231F20"/>
                              </w:rPr>
                              <w:t>Criteria</w:t>
                            </w:r>
                            <w:r>
                              <w:rPr>
                                <w:rFonts w:ascii="Arial MT"/>
                                <w:color w:val="231F20"/>
                                <w:spacing w:val="-5"/>
                              </w:rPr>
                              <w:t> </w:t>
                            </w:r>
                            <w:r>
                              <w:rPr>
                                <w:rFonts w:ascii="Arial MT"/>
                                <w:color w:val="231F20"/>
                              </w:rPr>
                              <w:t>for</w:t>
                            </w:r>
                            <w:r>
                              <w:rPr>
                                <w:rFonts w:ascii="Arial MT"/>
                                <w:color w:val="231F20"/>
                                <w:spacing w:val="-5"/>
                              </w:rPr>
                              <w:t> </w:t>
                            </w:r>
                            <w:r>
                              <w:rPr>
                                <w:rFonts w:ascii="Arial MT"/>
                                <w:color w:val="231F20"/>
                              </w:rPr>
                              <w:t>antibacterial</w:t>
                            </w:r>
                            <w:r>
                              <w:rPr>
                                <w:rFonts w:ascii="Arial MT"/>
                                <w:color w:val="231F20"/>
                                <w:spacing w:val="-5"/>
                              </w:rPr>
                              <w:t> </w:t>
                            </w:r>
                            <w:r>
                              <w:rPr>
                                <w:rFonts w:ascii="Arial MT"/>
                                <w:color w:val="231F20"/>
                              </w:rPr>
                              <w:t>treatment</w:t>
                            </w:r>
                            <w:r>
                              <w:rPr>
                                <w:rFonts w:ascii="Arial MT"/>
                                <w:color w:val="231F20"/>
                                <w:spacing w:val="-5"/>
                              </w:rPr>
                              <w:t> </w:t>
                            </w:r>
                            <w:r>
                              <w:rPr>
                                <w:rFonts w:ascii="Arial MT"/>
                                <w:color w:val="231F20"/>
                              </w:rPr>
                              <w:t>or</w:t>
                            </w:r>
                            <w:r>
                              <w:rPr>
                                <w:rFonts w:ascii="Arial MT"/>
                                <w:color w:val="231F20"/>
                                <w:spacing w:val="-5"/>
                              </w:rPr>
                              <w:t> </w:t>
                            </w:r>
                            <w:r>
                              <w:rPr>
                                <w:rFonts w:ascii="Arial MT"/>
                                <w:color w:val="231F20"/>
                              </w:rPr>
                              <w:t>observation</w:t>
                            </w:r>
                            <w:r>
                              <w:rPr>
                                <w:rFonts w:ascii="Arial MT"/>
                                <w:color w:val="231F20"/>
                                <w:spacing w:val="40"/>
                              </w:rPr>
                              <w:t> </w:t>
                            </w:r>
                            <w:r>
                              <w:rPr>
                                <w:rFonts w:ascii="Arial MT"/>
                                <w:color w:val="231F20"/>
                              </w:rPr>
                              <w:t>in children with nonsevere illness:*</w:t>
                            </w:r>
                          </w:p>
                          <w:p>
                            <w:pPr>
                              <w:pStyle w:val="BodyText"/>
                              <w:numPr>
                                <w:ilvl w:val="0"/>
                                <w:numId w:val="110"/>
                              </w:numPr>
                              <w:tabs>
                                <w:tab w:pos="240" w:val="left" w:leader="none"/>
                              </w:tabs>
                              <w:spacing w:line="240" w:lineRule="auto" w:before="95" w:after="0"/>
                              <w:ind w:left="240" w:right="0" w:hanging="152"/>
                              <w:jc w:val="left"/>
                              <w:rPr>
                                <w:rFonts w:ascii="Arial MT"/>
                                <w:color w:val="000000"/>
                              </w:rPr>
                            </w:pPr>
                            <w:r>
                              <w:rPr>
                                <w:rFonts w:ascii="Lucida Sans Unicode"/>
                                <w:color w:val="231F20"/>
                              </w:rPr>
                              <w:t>&lt;</w:t>
                            </w:r>
                            <w:r>
                              <w:rPr>
                                <w:rFonts w:ascii="Arial MT"/>
                                <w:color w:val="231F20"/>
                              </w:rPr>
                              <w:t>6</w:t>
                            </w:r>
                            <w:r>
                              <w:rPr>
                                <w:rFonts w:ascii="Arial MT"/>
                                <w:color w:val="231F20"/>
                                <w:spacing w:val="-3"/>
                              </w:rPr>
                              <w:t> </w:t>
                            </w:r>
                            <w:r>
                              <w:rPr>
                                <w:rFonts w:ascii="Arial MT"/>
                                <w:color w:val="231F20"/>
                              </w:rPr>
                              <w:t>mo:</w:t>
                            </w:r>
                            <w:r>
                              <w:rPr>
                                <w:rFonts w:ascii="Arial MT"/>
                                <w:color w:val="231F20"/>
                                <w:spacing w:val="-2"/>
                              </w:rPr>
                              <w:t> </w:t>
                            </w:r>
                            <w:r>
                              <w:rPr>
                                <w:rFonts w:ascii="Arial MT"/>
                                <w:color w:val="231F20"/>
                              </w:rPr>
                              <w:t>antibacterial</w:t>
                            </w:r>
                            <w:r>
                              <w:rPr>
                                <w:rFonts w:ascii="Arial MT"/>
                                <w:color w:val="231F20"/>
                                <w:spacing w:val="-2"/>
                              </w:rPr>
                              <w:t> treatment</w:t>
                            </w:r>
                          </w:p>
                          <w:p>
                            <w:pPr>
                              <w:pStyle w:val="BodyText"/>
                              <w:numPr>
                                <w:ilvl w:val="0"/>
                                <w:numId w:val="110"/>
                              </w:numPr>
                              <w:tabs>
                                <w:tab w:pos="240" w:val="left" w:leader="none"/>
                              </w:tabs>
                              <w:spacing w:line="208" w:lineRule="auto" w:before="98" w:after="0"/>
                              <w:ind w:left="88" w:right="190" w:firstLine="0"/>
                              <w:jc w:val="left"/>
                              <w:rPr>
                                <w:rFonts w:ascii="Arial MT"/>
                                <w:color w:val="000000"/>
                              </w:rPr>
                            </w:pPr>
                            <w:r>
                              <w:rPr>
                                <w:rFonts w:ascii="Arial MT"/>
                                <w:color w:val="231F20"/>
                              </w:rPr>
                              <w:t>6 mo to 2 yr antibacterial treatment with cer-</w:t>
                            </w:r>
                            <w:r>
                              <w:rPr>
                                <w:rFonts w:ascii="Arial MT"/>
                                <w:color w:val="231F20"/>
                                <w:spacing w:val="40"/>
                              </w:rPr>
                              <w:t> </w:t>
                            </w:r>
                            <w:r>
                              <w:rPr>
                                <w:rFonts w:ascii="Arial MT"/>
                                <w:color w:val="231F20"/>
                              </w:rPr>
                              <w:t>tain</w:t>
                            </w:r>
                            <w:r>
                              <w:rPr>
                                <w:rFonts w:ascii="Arial MT"/>
                                <w:color w:val="231F20"/>
                                <w:spacing w:val="-4"/>
                              </w:rPr>
                              <w:t> </w:t>
                            </w:r>
                            <w:r>
                              <w:rPr>
                                <w:rFonts w:ascii="Arial MT"/>
                                <w:color w:val="231F20"/>
                              </w:rPr>
                              <w:t>diagnosis</w:t>
                            </w:r>
                            <w:r>
                              <w:rPr>
                                <w:rFonts w:ascii="Arial MT"/>
                                <w:color w:val="231F20"/>
                                <w:spacing w:val="-4"/>
                              </w:rPr>
                              <w:t> </w:t>
                            </w:r>
                            <w:r>
                              <w:rPr>
                                <w:rFonts w:ascii="Arial MT"/>
                                <w:color w:val="231F20"/>
                              </w:rPr>
                              <w:t>or</w:t>
                            </w:r>
                            <w:r>
                              <w:rPr>
                                <w:rFonts w:ascii="Arial MT"/>
                                <w:color w:val="231F20"/>
                                <w:spacing w:val="-4"/>
                              </w:rPr>
                              <w:t> </w:t>
                            </w:r>
                            <w:r>
                              <w:rPr>
                                <w:rFonts w:ascii="Arial MT"/>
                                <w:color w:val="231F20"/>
                              </w:rPr>
                              <w:t>severe</w:t>
                            </w:r>
                            <w:r>
                              <w:rPr>
                                <w:rFonts w:ascii="Arial MT"/>
                                <w:color w:val="231F20"/>
                                <w:spacing w:val="-4"/>
                              </w:rPr>
                              <w:t> </w:t>
                            </w:r>
                            <w:r>
                              <w:rPr>
                                <w:rFonts w:ascii="Arial MT"/>
                                <w:color w:val="231F20"/>
                              </w:rPr>
                              <w:t>illness</w:t>
                            </w:r>
                            <w:r>
                              <w:rPr>
                                <w:rFonts w:ascii="Arial MT"/>
                                <w:color w:val="231F20"/>
                                <w:spacing w:val="-4"/>
                              </w:rPr>
                              <w:t> </w:t>
                            </w:r>
                            <w:r>
                              <w:rPr>
                                <w:rFonts w:ascii="Arial MT"/>
                                <w:color w:val="231F20"/>
                              </w:rPr>
                              <w:t>or</w:t>
                            </w:r>
                            <w:r>
                              <w:rPr>
                                <w:rFonts w:ascii="Arial MT"/>
                                <w:color w:val="231F20"/>
                                <w:spacing w:val="-4"/>
                              </w:rPr>
                              <w:t> </w:t>
                            </w:r>
                            <w:r>
                              <w:rPr>
                                <w:rFonts w:ascii="Arial MT"/>
                                <w:color w:val="231F20"/>
                              </w:rPr>
                              <w:t>observation</w:t>
                            </w:r>
                            <w:r>
                              <w:rPr>
                                <w:rFonts w:ascii="Arial MT"/>
                                <w:color w:val="231F20"/>
                                <w:spacing w:val="-4"/>
                              </w:rPr>
                              <w:t> </w:t>
                            </w:r>
                            <w:r>
                              <w:rPr>
                                <w:rFonts w:ascii="Arial MT"/>
                                <w:color w:val="231F20"/>
                              </w:rPr>
                              <w:t>with</w:t>
                            </w:r>
                            <w:r>
                              <w:rPr>
                                <w:rFonts w:ascii="Arial MT"/>
                                <w:color w:val="231F20"/>
                                <w:spacing w:val="40"/>
                              </w:rPr>
                              <w:t> </w:t>
                            </w:r>
                            <w:r>
                              <w:rPr>
                                <w:rFonts w:ascii="Arial MT"/>
                                <w:color w:val="231F20"/>
                              </w:rPr>
                              <w:t>uncertain diagnosis and nonsevere illness</w:t>
                            </w:r>
                          </w:p>
                          <w:p>
                            <w:pPr>
                              <w:pStyle w:val="BodyText"/>
                              <w:numPr>
                                <w:ilvl w:val="0"/>
                                <w:numId w:val="110"/>
                              </w:numPr>
                              <w:tabs>
                                <w:tab w:pos="240" w:val="left" w:leader="none"/>
                              </w:tabs>
                              <w:spacing w:line="208" w:lineRule="auto" w:before="132" w:after="0"/>
                              <w:ind w:left="88" w:right="74" w:firstLine="0"/>
                              <w:jc w:val="left"/>
                              <w:rPr>
                                <w:rFonts w:ascii="Arial MT"/>
                                <w:color w:val="000000"/>
                              </w:rPr>
                            </w:pPr>
                            <w:r>
                              <w:rPr>
                                <w:rFonts w:ascii="Arial MT"/>
                                <w:color w:val="231F20"/>
                              </w:rPr>
                              <w:t>2 yr and older: antibacterial treatment if severe</w:t>
                            </w:r>
                            <w:r>
                              <w:rPr>
                                <w:rFonts w:ascii="Arial MT"/>
                                <w:color w:val="231F20"/>
                                <w:spacing w:val="40"/>
                              </w:rPr>
                              <w:t> </w:t>
                            </w:r>
                            <w:r>
                              <w:rPr>
                                <w:rFonts w:ascii="Arial MT"/>
                                <w:color w:val="231F20"/>
                              </w:rPr>
                              <w:t>illness</w:t>
                            </w:r>
                            <w:r>
                              <w:rPr>
                                <w:rFonts w:ascii="Arial MT"/>
                                <w:color w:val="231F20"/>
                                <w:spacing w:val="-4"/>
                              </w:rPr>
                              <w:t> </w:t>
                            </w:r>
                            <w:r>
                              <w:rPr>
                                <w:rFonts w:ascii="Arial MT"/>
                                <w:color w:val="231F20"/>
                              </w:rPr>
                              <w:t>or</w:t>
                            </w:r>
                            <w:r>
                              <w:rPr>
                                <w:rFonts w:ascii="Arial MT"/>
                                <w:color w:val="231F20"/>
                                <w:spacing w:val="-4"/>
                              </w:rPr>
                              <w:t> </w:t>
                            </w:r>
                            <w:r>
                              <w:rPr>
                                <w:rFonts w:ascii="Arial MT"/>
                                <w:color w:val="231F20"/>
                              </w:rPr>
                              <w:t>observe</w:t>
                            </w:r>
                            <w:r>
                              <w:rPr>
                                <w:rFonts w:ascii="Arial MT"/>
                                <w:color w:val="231F20"/>
                                <w:spacing w:val="-4"/>
                              </w:rPr>
                              <w:t> </w:t>
                            </w:r>
                            <w:r>
                              <w:rPr>
                                <w:rFonts w:ascii="Arial MT"/>
                                <w:color w:val="231F20"/>
                              </w:rPr>
                              <w:t>with</w:t>
                            </w:r>
                            <w:r>
                              <w:rPr>
                                <w:rFonts w:ascii="Arial MT"/>
                                <w:color w:val="231F20"/>
                                <w:spacing w:val="-4"/>
                              </w:rPr>
                              <w:t> </w:t>
                            </w:r>
                            <w:r>
                              <w:rPr>
                                <w:rFonts w:ascii="Arial MT"/>
                                <w:color w:val="231F20"/>
                              </w:rPr>
                              <w:t>nonsevere</w:t>
                            </w:r>
                            <w:r>
                              <w:rPr>
                                <w:rFonts w:ascii="Arial MT"/>
                                <w:color w:val="231F20"/>
                                <w:spacing w:val="-4"/>
                              </w:rPr>
                              <w:t> </w:t>
                            </w:r>
                            <w:r>
                              <w:rPr>
                                <w:rFonts w:ascii="Arial MT"/>
                                <w:color w:val="231F20"/>
                              </w:rPr>
                              <w:t>illness</w:t>
                            </w:r>
                            <w:r>
                              <w:rPr>
                                <w:rFonts w:ascii="Arial MT"/>
                                <w:color w:val="231F20"/>
                                <w:spacing w:val="-4"/>
                              </w:rPr>
                              <w:t> </w:t>
                            </w:r>
                            <w:r>
                              <w:rPr>
                                <w:rFonts w:ascii="Arial MT"/>
                                <w:color w:val="231F20"/>
                              </w:rPr>
                              <w:t>with</w:t>
                            </w:r>
                            <w:r>
                              <w:rPr>
                                <w:rFonts w:ascii="Arial MT"/>
                                <w:color w:val="231F20"/>
                                <w:spacing w:val="-4"/>
                              </w:rPr>
                              <w:t> </w:t>
                            </w:r>
                            <w:r>
                              <w:rPr>
                                <w:rFonts w:ascii="Arial MT"/>
                                <w:color w:val="231F20"/>
                              </w:rPr>
                              <w:t>certain</w:t>
                            </w:r>
                            <w:r>
                              <w:rPr>
                                <w:rFonts w:ascii="Arial MT"/>
                                <w:color w:val="231F20"/>
                                <w:spacing w:val="40"/>
                              </w:rPr>
                              <w:t> </w:t>
                            </w:r>
                            <w:r>
                              <w:rPr>
                                <w:rFonts w:ascii="Arial MT"/>
                                <w:color w:val="231F20"/>
                              </w:rPr>
                              <w:t>diagnosis; observation for uncertain diagnosis</w:t>
                            </w:r>
                          </w:p>
                          <w:p>
                            <w:pPr>
                              <w:pStyle w:val="BodyText"/>
                              <w:spacing w:line="208" w:lineRule="auto" w:before="133"/>
                              <w:ind w:left="88"/>
                              <w:rPr>
                                <w:rFonts w:ascii="Arial MT"/>
                                <w:color w:val="000000"/>
                              </w:rPr>
                            </w:pPr>
                            <w:r>
                              <w:rPr>
                                <w:rFonts w:ascii="Arial MT"/>
                                <w:color w:val="231F20"/>
                              </w:rPr>
                              <w:t>*Caregiver</w:t>
                            </w:r>
                            <w:r>
                              <w:rPr>
                                <w:rFonts w:ascii="Arial MT"/>
                                <w:color w:val="231F20"/>
                                <w:spacing w:val="-3"/>
                              </w:rPr>
                              <w:t> </w:t>
                            </w:r>
                            <w:r>
                              <w:rPr>
                                <w:rFonts w:ascii="Arial MT"/>
                                <w:color w:val="231F20"/>
                              </w:rPr>
                              <w:t>is</w:t>
                            </w:r>
                            <w:r>
                              <w:rPr>
                                <w:rFonts w:ascii="Arial MT"/>
                                <w:color w:val="231F20"/>
                                <w:spacing w:val="-3"/>
                              </w:rPr>
                              <w:t> </w:t>
                            </w:r>
                            <w:r>
                              <w:rPr>
                                <w:rFonts w:ascii="Arial MT"/>
                                <w:color w:val="231F20"/>
                              </w:rPr>
                              <w:t>informed</w:t>
                            </w:r>
                            <w:r>
                              <w:rPr>
                                <w:rFonts w:ascii="Arial MT"/>
                                <w:color w:val="231F20"/>
                                <w:spacing w:val="-3"/>
                              </w:rPr>
                              <w:t> </w:t>
                            </w:r>
                            <w:r>
                              <w:rPr>
                                <w:rFonts w:ascii="Arial MT"/>
                                <w:color w:val="231F20"/>
                              </w:rPr>
                              <w:t>and</w:t>
                            </w:r>
                            <w:r>
                              <w:rPr>
                                <w:rFonts w:ascii="Arial MT"/>
                                <w:color w:val="231F20"/>
                                <w:spacing w:val="-3"/>
                              </w:rPr>
                              <w:t> </w:t>
                            </w:r>
                            <w:r>
                              <w:rPr>
                                <w:rFonts w:ascii="Arial MT"/>
                                <w:color w:val="231F20"/>
                              </w:rPr>
                              <w:t>agrees</w:t>
                            </w:r>
                            <w:r>
                              <w:rPr>
                                <w:rFonts w:ascii="Arial MT"/>
                                <w:color w:val="231F20"/>
                                <w:spacing w:val="-3"/>
                              </w:rPr>
                              <w:t> </w:t>
                            </w:r>
                            <w:r>
                              <w:rPr>
                                <w:rFonts w:ascii="Arial MT"/>
                                <w:color w:val="231F20"/>
                              </w:rPr>
                              <w:t>to</w:t>
                            </w:r>
                            <w:r>
                              <w:rPr>
                                <w:rFonts w:ascii="Arial MT"/>
                                <w:color w:val="231F20"/>
                                <w:spacing w:val="-3"/>
                              </w:rPr>
                              <w:t> </w:t>
                            </w:r>
                            <w:r>
                              <w:rPr>
                                <w:rFonts w:ascii="Arial MT"/>
                                <w:color w:val="231F20"/>
                              </w:rPr>
                              <w:t>the</w:t>
                            </w:r>
                            <w:r>
                              <w:rPr>
                                <w:rFonts w:ascii="Arial MT"/>
                                <w:color w:val="231F20"/>
                                <w:spacing w:val="-3"/>
                              </w:rPr>
                              <w:t> </w:t>
                            </w:r>
                            <w:r>
                              <w:rPr>
                                <w:rFonts w:ascii="Arial MT"/>
                                <w:color w:val="231F20"/>
                              </w:rPr>
                              <w:t>option</w:t>
                            </w:r>
                            <w:r>
                              <w:rPr>
                                <w:rFonts w:ascii="Arial MT"/>
                                <w:color w:val="231F20"/>
                                <w:spacing w:val="-3"/>
                              </w:rPr>
                              <w:t> </w:t>
                            </w:r>
                            <w:r>
                              <w:rPr>
                                <w:rFonts w:ascii="Arial MT"/>
                                <w:color w:val="231F20"/>
                              </w:rPr>
                              <w:t>of</w:t>
                            </w:r>
                            <w:r>
                              <w:rPr>
                                <w:rFonts w:ascii="Arial MT"/>
                                <w:color w:val="231F20"/>
                                <w:spacing w:val="40"/>
                              </w:rPr>
                              <w:t> </w:t>
                            </w:r>
                            <w:r>
                              <w:rPr>
                                <w:rFonts w:ascii="Arial MT"/>
                                <w:color w:val="231F20"/>
                                <w:spacing w:val="-2"/>
                              </w:rPr>
                              <w:t>observation.</w:t>
                            </w:r>
                          </w:p>
                          <w:p>
                            <w:pPr>
                              <w:pStyle w:val="BodyText"/>
                              <w:spacing w:line="208" w:lineRule="auto" w:before="1"/>
                              <w:ind w:left="88" w:firstLine="65"/>
                              <w:rPr>
                                <w:rFonts w:ascii="Arial MT"/>
                                <w:color w:val="000000"/>
                              </w:rPr>
                            </w:pPr>
                            <w:r>
                              <w:rPr>
                                <w:rFonts w:ascii="Arial MT"/>
                                <w:color w:val="231F20"/>
                              </w:rPr>
                              <w:t>Caregiver</w:t>
                            </w:r>
                            <w:r>
                              <w:rPr>
                                <w:rFonts w:ascii="Arial MT"/>
                                <w:color w:val="231F20"/>
                                <w:spacing w:val="-3"/>
                              </w:rPr>
                              <w:t> </w:t>
                            </w:r>
                            <w:r>
                              <w:rPr>
                                <w:rFonts w:ascii="Arial MT"/>
                                <w:color w:val="231F20"/>
                              </w:rPr>
                              <w:t>is</w:t>
                            </w:r>
                            <w:r>
                              <w:rPr>
                                <w:rFonts w:ascii="Arial MT"/>
                                <w:color w:val="231F20"/>
                                <w:spacing w:val="-3"/>
                              </w:rPr>
                              <w:t> </w:t>
                            </w:r>
                            <w:r>
                              <w:rPr>
                                <w:rFonts w:ascii="Arial MT"/>
                                <w:color w:val="231F20"/>
                              </w:rPr>
                              <w:t>able</w:t>
                            </w:r>
                            <w:r>
                              <w:rPr>
                                <w:rFonts w:ascii="Arial MT"/>
                                <w:color w:val="231F20"/>
                                <w:spacing w:val="-3"/>
                              </w:rPr>
                              <w:t> </w:t>
                            </w:r>
                            <w:r>
                              <w:rPr>
                                <w:rFonts w:ascii="Arial MT"/>
                                <w:color w:val="231F20"/>
                              </w:rPr>
                              <w:t>to</w:t>
                            </w:r>
                            <w:r>
                              <w:rPr>
                                <w:rFonts w:ascii="Arial MT"/>
                                <w:color w:val="231F20"/>
                                <w:spacing w:val="-3"/>
                              </w:rPr>
                              <w:t> </w:t>
                            </w:r>
                            <w:r>
                              <w:rPr>
                                <w:rFonts w:ascii="Arial MT"/>
                                <w:color w:val="231F20"/>
                              </w:rPr>
                              <w:t>monitor</w:t>
                            </w:r>
                            <w:r>
                              <w:rPr>
                                <w:rFonts w:ascii="Arial MT"/>
                                <w:color w:val="231F20"/>
                                <w:spacing w:val="-3"/>
                              </w:rPr>
                              <w:t> </w:t>
                            </w:r>
                            <w:r>
                              <w:rPr>
                                <w:rFonts w:ascii="Arial MT"/>
                                <w:color w:val="231F20"/>
                              </w:rPr>
                              <w:t>child</w:t>
                            </w:r>
                            <w:r>
                              <w:rPr>
                                <w:rFonts w:ascii="Arial MT"/>
                                <w:color w:val="231F20"/>
                                <w:spacing w:val="-3"/>
                              </w:rPr>
                              <w:t> </w:t>
                            </w:r>
                            <w:r>
                              <w:rPr>
                                <w:rFonts w:ascii="Arial MT"/>
                                <w:color w:val="231F20"/>
                              </w:rPr>
                              <w:t>and</w:t>
                            </w:r>
                            <w:r>
                              <w:rPr>
                                <w:rFonts w:ascii="Arial MT"/>
                                <w:color w:val="231F20"/>
                                <w:spacing w:val="-3"/>
                              </w:rPr>
                              <w:t> </w:t>
                            </w:r>
                            <w:r>
                              <w:rPr>
                                <w:rFonts w:ascii="Arial MT"/>
                                <w:color w:val="231F20"/>
                              </w:rPr>
                              <w:t>return</w:t>
                            </w:r>
                            <w:r>
                              <w:rPr>
                                <w:rFonts w:ascii="Arial MT"/>
                                <w:color w:val="231F20"/>
                                <w:spacing w:val="-3"/>
                              </w:rPr>
                              <w:t> </w:t>
                            </w:r>
                            <w:r>
                              <w:rPr>
                                <w:rFonts w:ascii="Arial MT"/>
                                <w:color w:val="231F20"/>
                              </w:rPr>
                              <w:t>should</w:t>
                            </w:r>
                            <w:r>
                              <w:rPr>
                                <w:rFonts w:ascii="Arial MT"/>
                                <w:color w:val="231F20"/>
                                <w:spacing w:val="40"/>
                              </w:rPr>
                              <w:t> </w:t>
                            </w:r>
                            <w:r>
                              <w:rPr>
                                <w:rFonts w:ascii="Arial MT"/>
                                <w:color w:val="231F20"/>
                              </w:rPr>
                              <w:t>condition</w:t>
                            </w:r>
                            <w:r>
                              <w:rPr>
                                <w:rFonts w:ascii="Arial MT"/>
                                <w:color w:val="231F20"/>
                                <w:spacing w:val="-5"/>
                              </w:rPr>
                              <w:t> </w:t>
                            </w:r>
                            <w:r>
                              <w:rPr>
                                <w:rFonts w:ascii="Arial MT"/>
                                <w:color w:val="231F20"/>
                              </w:rPr>
                              <w:t>worsen.</w:t>
                            </w:r>
                          </w:p>
                          <w:p>
                            <w:pPr>
                              <w:pStyle w:val="BodyText"/>
                              <w:spacing w:line="208" w:lineRule="auto" w:before="1"/>
                              <w:ind w:left="88" w:right="89" w:firstLine="65"/>
                              <w:jc w:val="both"/>
                              <w:rPr>
                                <w:rFonts w:ascii="Arial MT"/>
                                <w:color w:val="000000"/>
                              </w:rPr>
                            </w:pPr>
                            <w:r>
                              <w:rPr>
                                <w:rFonts w:ascii="Arial MT"/>
                                <w:color w:val="231F20"/>
                              </w:rPr>
                              <w:t>Systems</w:t>
                            </w:r>
                            <w:r>
                              <w:rPr>
                                <w:rFonts w:ascii="Arial MT"/>
                                <w:color w:val="231F20"/>
                                <w:spacing w:val="-4"/>
                              </w:rPr>
                              <w:t> </w:t>
                            </w:r>
                            <w:r>
                              <w:rPr>
                                <w:rFonts w:ascii="Arial MT"/>
                                <w:color w:val="231F20"/>
                              </w:rPr>
                              <w:t>are</w:t>
                            </w:r>
                            <w:r>
                              <w:rPr>
                                <w:rFonts w:ascii="Arial MT"/>
                                <w:color w:val="231F20"/>
                                <w:spacing w:val="-4"/>
                              </w:rPr>
                              <w:t> </w:t>
                            </w:r>
                            <w:r>
                              <w:rPr>
                                <w:rFonts w:ascii="Arial MT"/>
                                <w:color w:val="231F20"/>
                              </w:rPr>
                              <w:t>in</w:t>
                            </w:r>
                            <w:r>
                              <w:rPr>
                                <w:rFonts w:ascii="Arial MT"/>
                                <w:color w:val="231F20"/>
                                <w:spacing w:val="-4"/>
                              </w:rPr>
                              <w:t> </w:t>
                            </w:r>
                            <w:r>
                              <w:rPr>
                                <w:rFonts w:ascii="Arial MT"/>
                                <w:color w:val="231F20"/>
                              </w:rPr>
                              <w:t>place</w:t>
                            </w:r>
                            <w:r>
                              <w:rPr>
                                <w:rFonts w:ascii="Arial MT"/>
                                <w:color w:val="231F20"/>
                                <w:spacing w:val="-4"/>
                              </w:rPr>
                              <w:t> </w:t>
                            </w:r>
                            <w:r>
                              <w:rPr>
                                <w:rFonts w:ascii="Arial MT"/>
                                <w:color w:val="231F20"/>
                              </w:rPr>
                              <w:t>for</w:t>
                            </w:r>
                            <w:r>
                              <w:rPr>
                                <w:rFonts w:ascii="Arial MT"/>
                                <w:color w:val="231F20"/>
                                <w:spacing w:val="-4"/>
                              </w:rPr>
                              <w:t> </w:t>
                            </w:r>
                            <w:r>
                              <w:rPr>
                                <w:rFonts w:ascii="Arial MT"/>
                                <w:color w:val="231F20"/>
                              </w:rPr>
                              <w:t>ready</w:t>
                            </w:r>
                            <w:r>
                              <w:rPr>
                                <w:rFonts w:ascii="Arial MT"/>
                                <w:color w:val="231F20"/>
                                <w:spacing w:val="-4"/>
                              </w:rPr>
                              <w:t> </w:t>
                            </w:r>
                            <w:r>
                              <w:rPr>
                                <w:rFonts w:ascii="Arial MT"/>
                                <w:color w:val="231F20"/>
                              </w:rPr>
                              <w:t>communication</w:t>
                            </w:r>
                            <w:r>
                              <w:rPr>
                                <w:rFonts w:ascii="Arial MT"/>
                                <w:color w:val="231F20"/>
                                <w:spacing w:val="-4"/>
                              </w:rPr>
                              <w:t> </w:t>
                            </w:r>
                            <w:r>
                              <w:rPr>
                                <w:rFonts w:ascii="Arial MT"/>
                                <w:color w:val="231F20"/>
                              </w:rPr>
                              <w:t>with</w:t>
                            </w:r>
                            <w:r>
                              <w:rPr>
                                <w:rFonts w:ascii="Arial MT"/>
                                <w:color w:val="231F20"/>
                                <w:spacing w:val="40"/>
                              </w:rPr>
                              <w:t> </w:t>
                            </w:r>
                            <w:r>
                              <w:rPr>
                                <w:rFonts w:ascii="Arial MT"/>
                                <w:color w:val="231F20"/>
                              </w:rPr>
                              <w:t>the</w:t>
                            </w:r>
                            <w:r>
                              <w:rPr>
                                <w:rFonts w:ascii="Arial MT"/>
                                <w:color w:val="231F20"/>
                                <w:spacing w:val="-1"/>
                              </w:rPr>
                              <w:t> </w:t>
                            </w:r>
                            <w:r>
                              <w:rPr>
                                <w:rFonts w:ascii="Arial MT"/>
                                <w:color w:val="231F20"/>
                              </w:rPr>
                              <w:t>clinician,</w:t>
                            </w:r>
                            <w:r>
                              <w:rPr>
                                <w:rFonts w:ascii="Arial MT"/>
                                <w:color w:val="231F20"/>
                                <w:spacing w:val="-1"/>
                              </w:rPr>
                              <w:t> </w:t>
                            </w:r>
                            <w:r>
                              <w:rPr>
                                <w:rFonts w:ascii="Arial MT"/>
                                <w:color w:val="231F20"/>
                              </w:rPr>
                              <w:t>reevaluation,</w:t>
                            </w:r>
                            <w:r>
                              <w:rPr>
                                <w:rFonts w:ascii="Arial MT"/>
                                <w:color w:val="231F20"/>
                                <w:spacing w:val="-1"/>
                              </w:rPr>
                              <w:t> </w:t>
                            </w:r>
                            <w:r>
                              <w:rPr>
                                <w:rFonts w:ascii="Arial MT"/>
                                <w:color w:val="231F20"/>
                              </w:rPr>
                              <w:t>and</w:t>
                            </w:r>
                            <w:r>
                              <w:rPr>
                                <w:rFonts w:ascii="Arial MT"/>
                                <w:color w:val="231F20"/>
                                <w:spacing w:val="-1"/>
                              </w:rPr>
                              <w:t> </w:t>
                            </w:r>
                            <w:r>
                              <w:rPr>
                                <w:rFonts w:ascii="Arial MT"/>
                                <w:color w:val="231F20"/>
                              </w:rPr>
                              <w:t>obtaining</w:t>
                            </w:r>
                            <w:r>
                              <w:rPr>
                                <w:rFonts w:ascii="Arial MT"/>
                                <w:color w:val="231F20"/>
                                <w:spacing w:val="-1"/>
                              </w:rPr>
                              <w:t> </w:t>
                            </w:r>
                            <w:r>
                              <w:rPr>
                                <w:rFonts w:ascii="Arial MT"/>
                                <w:color w:val="231F20"/>
                              </w:rPr>
                              <w:t>medication</w:t>
                            </w:r>
                            <w:r>
                              <w:rPr>
                                <w:rFonts w:ascii="Arial MT"/>
                                <w:color w:val="231F20"/>
                                <w:spacing w:val="40"/>
                              </w:rPr>
                              <w:t> </w:t>
                            </w:r>
                            <w:r>
                              <w:rPr>
                                <w:rFonts w:ascii="Arial MT"/>
                                <w:color w:val="231F20"/>
                              </w:rPr>
                              <w:t>if</w:t>
                            </w:r>
                            <w:r>
                              <w:rPr>
                                <w:rFonts w:ascii="Arial MT"/>
                                <w:color w:val="231F20"/>
                                <w:spacing w:val="-5"/>
                              </w:rPr>
                              <w:t> </w:t>
                            </w:r>
                            <w:r>
                              <w:rPr>
                                <w:rFonts w:ascii="Arial MT"/>
                                <w:color w:val="231F20"/>
                              </w:rPr>
                              <w:t>necessary.</w:t>
                            </w:r>
                          </w:p>
                        </w:txbxContent>
                      </wps:txbx>
                      <wps:bodyPr wrap="square" lIns="0" tIns="0" rIns="0" bIns="0" rtlCol="0">
                        <a:noAutofit/>
                      </wps:bodyPr>
                    </wps:wsp>
                  </a:graphicData>
                </a:graphic>
              </wp:anchor>
            </w:drawing>
          </mc:Choice>
          <mc:Fallback>
            <w:pict>
              <v:shape style="position:absolute;margin-left:337.909454pt;margin-top:-5.513433pt;width:160.550pt;height:139.450pt;mso-position-horizontal-relative:page;mso-position-vertical-relative:paragraph;z-index:15843840" type="#_x0000_t202" id="docshape1298" filled="true" fillcolor="#d7eddd" stroked="true" strokeweight=".933007pt" strokecolor="#231f20">
                <v:textbox inset="0,0,0,0">
                  <w:txbxContent>
                    <w:p>
                      <w:pPr>
                        <w:pStyle w:val="BodyText"/>
                        <w:spacing w:line="208" w:lineRule="auto" w:before="93"/>
                        <w:ind w:left="88" w:right="259"/>
                        <w:rPr>
                          <w:rFonts w:ascii="Arial MT"/>
                          <w:color w:val="000000"/>
                        </w:rPr>
                      </w:pPr>
                      <w:r>
                        <w:rPr>
                          <w:rFonts w:ascii="Arial MT"/>
                          <w:color w:val="231F20"/>
                        </w:rPr>
                        <w:t>Criteria</w:t>
                      </w:r>
                      <w:r>
                        <w:rPr>
                          <w:rFonts w:ascii="Arial MT"/>
                          <w:color w:val="231F20"/>
                          <w:spacing w:val="-5"/>
                        </w:rPr>
                        <w:t> </w:t>
                      </w:r>
                      <w:r>
                        <w:rPr>
                          <w:rFonts w:ascii="Arial MT"/>
                          <w:color w:val="231F20"/>
                        </w:rPr>
                        <w:t>for</w:t>
                      </w:r>
                      <w:r>
                        <w:rPr>
                          <w:rFonts w:ascii="Arial MT"/>
                          <w:color w:val="231F20"/>
                          <w:spacing w:val="-5"/>
                        </w:rPr>
                        <w:t> </w:t>
                      </w:r>
                      <w:r>
                        <w:rPr>
                          <w:rFonts w:ascii="Arial MT"/>
                          <w:color w:val="231F20"/>
                        </w:rPr>
                        <w:t>antibacterial</w:t>
                      </w:r>
                      <w:r>
                        <w:rPr>
                          <w:rFonts w:ascii="Arial MT"/>
                          <w:color w:val="231F20"/>
                          <w:spacing w:val="-5"/>
                        </w:rPr>
                        <w:t> </w:t>
                      </w:r>
                      <w:r>
                        <w:rPr>
                          <w:rFonts w:ascii="Arial MT"/>
                          <w:color w:val="231F20"/>
                        </w:rPr>
                        <w:t>treatment</w:t>
                      </w:r>
                      <w:r>
                        <w:rPr>
                          <w:rFonts w:ascii="Arial MT"/>
                          <w:color w:val="231F20"/>
                          <w:spacing w:val="-5"/>
                        </w:rPr>
                        <w:t> </w:t>
                      </w:r>
                      <w:r>
                        <w:rPr>
                          <w:rFonts w:ascii="Arial MT"/>
                          <w:color w:val="231F20"/>
                        </w:rPr>
                        <w:t>or</w:t>
                      </w:r>
                      <w:r>
                        <w:rPr>
                          <w:rFonts w:ascii="Arial MT"/>
                          <w:color w:val="231F20"/>
                          <w:spacing w:val="-5"/>
                        </w:rPr>
                        <w:t> </w:t>
                      </w:r>
                      <w:r>
                        <w:rPr>
                          <w:rFonts w:ascii="Arial MT"/>
                          <w:color w:val="231F20"/>
                        </w:rPr>
                        <w:t>observation</w:t>
                      </w:r>
                      <w:r>
                        <w:rPr>
                          <w:rFonts w:ascii="Arial MT"/>
                          <w:color w:val="231F20"/>
                          <w:spacing w:val="40"/>
                        </w:rPr>
                        <w:t> </w:t>
                      </w:r>
                      <w:r>
                        <w:rPr>
                          <w:rFonts w:ascii="Arial MT"/>
                          <w:color w:val="231F20"/>
                        </w:rPr>
                        <w:t>in children with nonsevere illness:*</w:t>
                      </w:r>
                    </w:p>
                    <w:p>
                      <w:pPr>
                        <w:pStyle w:val="BodyText"/>
                        <w:numPr>
                          <w:ilvl w:val="0"/>
                          <w:numId w:val="110"/>
                        </w:numPr>
                        <w:tabs>
                          <w:tab w:pos="240" w:val="left" w:leader="none"/>
                        </w:tabs>
                        <w:spacing w:line="240" w:lineRule="auto" w:before="95" w:after="0"/>
                        <w:ind w:left="240" w:right="0" w:hanging="152"/>
                        <w:jc w:val="left"/>
                        <w:rPr>
                          <w:rFonts w:ascii="Arial MT"/>
                          <w:color w:val="000000"/>
                        </w:rPr>
                      </w:pPr>
                      <w:r>
                        <w:rPr>
                          <w:rFonts w:ascii="Lucida Sans Unicode"/>
                          <w:color w:val="231F20"/>
                        </w:rPr>
                        <w:t>&lt;</w:t>
                      </w:r>
                      <w:r>
                        <w:rPr>
                          <w:rFonts w:ascii="Arial MT"/>
                          <w:color w:val="231F20"/>
                        </w:rPr>
                        <w:t>6</w:t>
                      </w:r>
                      <w:r>
                        <w:rPr>
                          <w:rFonts w:ascii="Arial MT"/>
                          <w:color w:val="231F20"/>
                          <w:spacing w:val="-3"/>
                        </w:rPr>
                        <w:t> </w:t>
                      </w:r>
                      <w:r>
                        <w:rPr>
                          <w:rFonts w:ascii="Arial MT"/>
                          <w:color w:val="231F20"/>
                        </w:rPr>
                        <w:t>mo:</w:t>
                      </w:r>
                      <w:r>
                        <w:rPr>
                          <w:rFonts w:ascii="Arial MT"/>
                          <w:color w:val="231F20"/>
                          <w:spacing w:val="-2"/>
                        </w:rPr>
                        <w:t> </w:t>
                      </w:r>
                      <w:r>
                        <w:rPr>
                          <w:rFonts w:ascii="Arial MT"/>
                          <w:color w:val="231F20"/>
                        </w:rPr>
                        <w:t>antibacterial</w:t>
                      </w:r>
                      <w:r>
                        <w:rPr>
                          <w:rFonts w:ascii="Arial MT"/>
                          <w:color w:val="231F20"/>
                          <w:spacing w:val="-2"/>
                        </w:rPr>
                        <w:t> treatment</w:t>
                      </w:r>
                    </w:p>
                    <w:p>
                      <w:pPr>
                        <w:pStyle w:val="BodyText"/>
                        <w:numPr>
                          <w:ilvl w:val="0"/>
                          <w:numId w:val="110"/>
                        </w:numPr>
                        <w:tabs>
                          <w:tab w:pos="240" w:val="left" w:leader="none"/>
                        </w:tabs>
                        <w:spacing w:line="208" w:lineRule="auto" w:before="98" w:after="0"/>
                        <w:ind w:left="88" w:right="190" w:firstLine="0"/>
                        <w:jc w:val="left"/>
                        <w:rPr>
                          <w:rFonts w:ascii="Arial MT"/>
                          <w:color w:val="000000"/>
                        </w:rPr>
                      </w:pPr>
                      <w:r>
                        <w:rPr>
                          <w:rFonts w:ascii="Arial MT"/>
                          <w:color w:val="231F20"/>
                        </w:rPr>
                        <w:t>6 mo to 2 yr antibacterial treatment with cer-</w:t>
                      </w:r>
                      <w:r>
                        <w:rPr>
                          <w:rFonts w:ascii="Arial MT"/>
                          <w:color w:val="231F20"/>
                          <w:spacing w:val="40"/>
                        </w:rPr>
                        <w:t> </w:t>
                      </w:r>
                      <w:r>
                        <w:rPr>
                          <w:rFonts w:ascii="Arial MT"/>
                          <w:color w:val="231F20"/>
                        </w:rPr>
                        <w:t>tain</w:t>
                      </w:r>
                      <w:r>
                        <w:rPr>
                          <w:rFonts w:ascii="Arial MT"/>
                          <w:color w:val="231F20"/>
                          <w:spacing w:val="-4"/>
                        </w:rPr>
                        <w:t> </w:t>
                      </w:r>
                      <w:r>
                        <w:rPr>
                          <w:rFonts w:ascii="Arial MT"/>
                          <w:color w:val="231F20"/>
                        </w:rPr>
                        <w:t>diagnosis</w:t>
                      </w:r>
                      <w:r>
                        <w:rPr>
                          <w:rFonts w:ascii="Arial MT"/>
                          <w:color w:val="231F20"/>
                          <w:spacing w:val="-4"/>
                        </w:rPr>
                        <w:t> </w:t>
                      </w:r>
                      <w:r>
                        <w:rPr>
                          <w:rFonts w:ascii="Arial MT"/>
                          <w:color w:val="231F20"/>
                        </w:rPr>
                        <w:t>or</w:t>
                      </w:r>
                      <w:r>
                        <w:rPr>
                          <w:rFonts w:ascii="Arial MT"/>
                          <w:color w:val="231F20"/>
                          <w:spacing w:val="-4"/>
                        </w:rPr>
                        <w:t> </w:t>
                      </w:r>
                      <w:r>
                        <w:rPr>
                          <w:rFonts w:ascii="Arial MT"/>
                          <w:color w:val="231F20"/>
                        </w:rPr>
                        <w:t>severe</w:t>
                      </w:r>
                      <w:r>
                        <w:rPr>
                          <w:rFonts w:ascii="Arial MT"/>
                          <w:color w:val="231F20"/>
                          <w:spacing w:val="-4"/>
                        </w:rPr>
                        <w:t> </w:t>
                      </w:r>
                      <w:r>
                        <w:rPr>
                          <w:rFonts w:ascii="Arial MT"/>
                          <w:color w:val="231F20"/>
                        </w:rPr>
                        <w:t>illness</w:t>
                      </w:r>
                      <w:r>
                        <w:rPr>
                          <w:rFonts w:ascii="Arial MT"/>
                          <w:color w:val="231F20"/>
                          <w:spacing w:val="-4"/>
                        </w:rPr>
                        <w:t> </w:t>
                      </w:r>
                      <w:r>
                        <w:rPr>
                          <w:rFonts w:ascii="Arial MT"/>
                          <w:color w:val="231F20"/>
                        </w:rPr>
                        <w:t>or</w:t>
                      </w:r>
                      <w:r>
                        <w:rPr>
                          <w:rFonts w:ascii="Arial MT"/>
                          <w:color w:val="231F20"/>
                          <w:spacing w:val="-4"/>
                        </w:rPr>
                        <w:t> </w:t>
                      </w:r>
                      <w:r>
                        <w:rPr>
                          <w:rFonts w:ascii="Arial MT"/>
                          <w:color w:val="231F20"/>
                        </w:rPr>
                        <w:t>observation</w:t>
                      </w:r>
                      <w:r>
                        <w:rPr>
                          <w:rFonts w:ascii="Arial MT"/>
                          <w:color w:val="231F20"/>
                          <w:spacing w:val="-4"/>
                        </w:rPr>
                        <w:t> </w:t>
                      </w:r>
                      <w:r>
                        <w:rPr>
                          <w:rFonts w:ascii="Arial MT"/>
                          <w:color w:val="231F20"/>
                        </w:rPr>
                        <w:t>with</w:t>
                      </w:r>
                      <w:r>
                        <w:rPr>
                          <w:rFonts w:ascii="Arial MT"/>
                          <w:color w:val="231F20"/>
                          <w:spacing w:val="40"/>
                        </w:rPr>
                        <w:t> </w:t>
                      </w:r>
                      <w:r>
                        <w:rPr>
                          <w:rFonts w:ascii="Arial MT"/>
                          <w:color w:val="231F20"/>
                        </w:rPr>
                        <w:t>uncertain diagnosis and nonsevere illness</w:t>
                      </w:r>
                    </w:p>
                    <w:p>
                      <w:pPr>
                        <w:pStyle w:val="BodyText"/>
                        <w:numPr>
                          <w:ilvl w:val="0"/>
                          <w:numId w:val="110"/>
                        </w:numPr>
                        <w:tabs>
                          <w:tab w:pos="240" w:val="left" w:leader="none"/>
                        </w:tabs>
                        <w:spacing w:line="208" w:lineRule="auto" w:before="132" w:after="0"/>
                        <w:ind w:left="88" w:right="74" w:firstLine="0"/>
                        <w:jc w:val="left"/>
                        <w:rPr>
                          <w:rFonts w:ascii="Arial MT"/>
                          <w:color w:val="000000"/>
                        </w:rPr>
                      </w:pPr>
                      <w:r>
                        <w:rPr>
                          <w:rFonts w:ascii="Arial MT"/>
                          <w:color w:val="231F20"/>
                        </w:rPr>
                        <w:t>2 yr and older: antibacterial treatment if severe</w:t>
                      </w:r>
                      <w:r>
                        <w:rPr>
                          <w:rFonts w:ascii="Arial MT"/>
                          <w:color w:val="231F20"/>
                          <w:spacing w:val="40"/>
                        </w:rPr>
                        <w:t> </w:t>
                      </w:r>
                      <w:r>
                        <w:rPr>
                          <w:rFonts w:ascii="Arial MT"/>
                          <w:color w:val="231F20"/>
                        </w:rPr>
                        <w:t>illness</w:t>
                      </w:r>
                      <w:r>
                        <w:rPr>
                          <w:rFonts w:ascii="Arial MT"/>
                          <w:color w:val="231F20"/>
                          <w:spacing w:val="-4"/>
                        </w:rPr>
                        <w:t> </w:t>
                      </w:r>
                      <w:r>
                        <w:rPr>
                          <w:rFonts w:ascii="Arial MT"/>
                          <w:color w:val="231F20"/>
                        </w:rPr>
                        <w:t>or</w:t>
                      </w:r>
                      <w:r>
                        <w:rPr>
                          <w:rFonts w:ascii="Arial MT"/>
                          <w:color w:val="231F20"/>
                          <w:spacing w:val="-4"/>
                        </w:rPr>
                        <w:t> </w:t>
                      </w:r>
                      <w:r>
                        <w:rPr>
                          <w:rFonts w:ascii="Arial MT"/>
                          <w:color w:val="231F20"/>
                        </w:rPr>
                        <w:t>observe</w:t>
                      </w:r>
                      <w:r>
                        <w:rPr>
                          <w:rFonts w:ascii="Arial MT"/>
                          <w:color w:val="231F20"/>
                          <w:spacing w:val="-4"/>
                        </w:rPr>
                        <w:t> </w:t>
                      </w:r>
                      <w:r>
                        <w:rPr>
                          <w:rFonts w:ascii="Arial MT"/>
                          <w:color w:val="231F20"/>
                        </w:rPr>
                        <w:t>with</w:t>
                      </w:r>
                      <w:r>
                        <w:rPr>
                          <w:rFonts w:ascii="Arial MT"/>
                          <w:color w:val="231F20"/>
                          <w:spacing w:val="-4"/>
                        </w:rPr>
                        <w:t> </w:t>
                      </w:r>
                      <w:r>
                        <w:rPr>
                          <w:rFonts w:ascii="Arial MT"/>
                          <w:color w:val="231F20"/>
                        </w:rPr>
                        <w:t>nonsevere</w:t>
                      </w:r>
                      <w:r>
                        <w:rPr>
                          <w:rFonts w:ascii="Arial MT"/>
                          <w:color w:val="231F20"/>
                          <w:spacing w:val="-4"/>
                        </w:rPr>
                        <w:t> </w:t>
                      </w:r>
                      <w:r>
                        <w:rPr>
                          <w:rFonts w:ascii="Arial MT"/>
                          <w:color w:val="231F20"/>
                        </w:rPr>
                        <w:t>illness</w:t>
                      </w:r>
                      <w:r>
                        <w:rPr>
                          <w:rFonts w:ascii="Arial MT"/>
                          <w:color w:val="231F20"/>
                          <w:spacing w:val="-4"/>
                        </w:rPr>
                        <w:t> </w:t>
                      </w:r>
                      <w:r>
                        <w:rPr>
                          <w:rFonts w:ascii="Arial MT"/>
                          <w:color w:val="231F20"/>
                        </w:rPr>
                        <w:t>with</w:t>
                      </w:r>
                      <w:r>
                        <w:rPr>
                          <w:rFonts w:ascii="Arial MT"/>
                          <w:color w:val="231F20"/>
                          <w:spacing w:val="-4"/>
                        </w:rPr>
                        <w:t> </w:t>
                      </w:r>
                      <w:r>
                        <w:rPr>
                          <w:rFonts w:ascii="Arial MT"/>
                          <w:color w:val="231F20"/>
                        </w:rPr>
                        <w:t>certain</w:t>
                      </w:r>
                      <w:r>
                        <w:rPr>
                          <w:rFonts w:ascii="Arial MT"/>
                          <w:color w:val="231F20"/>
                          <w:spacing w:val="40"/>
                        </w:rPr>
                        <w:t> </w:t>
                      </w:r>
                      <w:r>
                        <w:rPr>
                          <w:rFonts w:ascii="Arial MT"/>
                          <w:color w:val="231F20"/>
                        </w:rPr>
                        <w:t>diagnosis; observation for uncertain diagnosis</w:t>
                      </w:r>
                    </w:p>
                    <w:p>
                      <w:pPr>
                        <w:pStyle w:val="BodyText"/>
                        <w:spacing w:line="208" w:lineRule="auto" w:before="133"/>
                        <w:ind w:left="88"/>
                        <w:rPr>
                          <w:rFonts w:ascii="Arial MT"/>
                          <w:color w:val="000000"/>
                        </w:rPr>
                      </w:pPr>
                      <w:r>
                        <w:rPr>
                          <w:rFonts w:ascii="Arial MT"/>
                          <w:color w:val="231F20"/>
                        </w:rPr>
                        <w:t>*Caregiver</w:t>
                      </w:r>
                      <w:r>
                        <w:rPr>
                          <w:rFonts w:ascii="Arial MT"/>
                          <w:color w:val="231F20"/>
                          <w:spacing w:val="-3"/>
                        </w:rPr>
                        <w:t> </w:t>
                      </w:r>
                      <w:r>
                        <w:rPr>
                          <w:rFonts w:ascii="Arial MT"/>
                          <w:color w:val="231F20"/>
                        </w:rPr>
                        <w:t>is</w:t>
                      </w:r>
                      <w:r>
                        <w:rPr>
                          <w:rFonts w:ascii="Arial MT"/>
                          <w:color w:val="231F20"/>
                          <w:spacing w:val="-3"/>
                        </w:rPr>
                        <w:t> </w:t>
                      </w:r>
                      <w:r>
                        <w:rPr>
                          <w:rFonts w:ascii="Arial MT"/>
                          <w:color w:val="231F20"/>
                        </w:rPr>
                        <w:t>informed</w:t>
                      </w:r>
                      <w:r>
                        <w:rPr>
                          <w:rFonts w:ascii="Arial MT"/>
                          <w:color w:val="231F20"/>
                          <w:spacing w:val="-3"/>
                        </w:rPr>
                        <w:t> </w:t>
                      </w:r>
                      <w:r>
                        <w:rPr>
                          <w:rFonts w:ascii="Arial MT"/>
                          <w:color w:val="231F20"/>
                        </w:rPr>
                        <w:t>and</w:t>
                      </w:r>
                      <w:r>
                        <w:rPr>
                          <w:rFonts w:ascii="Arial MT"/>
                          <w:color w:val="231F20"/>
                          <w:spacing w:val="-3"/>
                        </w:rPr>
                        <w:t> </w:t>
                      </w:r>
                      <w:r>
                        <w:rPr>
                          <w:rFonts w:ascii="Arial MT"/>
                          <w:color w:val="231F20"/>
                        </w:rPr>
                        <w:t>agrees</w:t>
                      </w:r>
                      <w:r>
                        <w:rPr>
                          <w:rFonts w:ascii="Arial MT"/>
                          <w:color w:val="231F20"/>
                          <w:spacing w:val="-3"/>
                        </w:rPr>
                        <w:t> </w:t>
                      </w:r>
                      <w:r>
                        <w:rPr>
                          <w:rFonts w:ascii="Arial MT"/>
                          <w:color w:val="231F20"/>
                        </w:rPr>
                        <w:t>to</w:t>
                      </w:r>
                      <w:r>
                        <w:rPr>
                          <w:rFonts w:ascii="Arial MT"/>
                          <w:color w:val="231F20"/>
                          <w:spacing w:val="-3"/>
                        </w:rPr>
                        <w:t> </w:t>
                      </w:r>
                      <w:r>
                        <w:rPr>
                          <w:rFonts w:ascii="Arial MT"/>
                          <w:color w:val="231F20"/>
                        </w:rPr>
                        <w:t>the</w:t>
                      </w:r>
                      <w:r>
                        <w:rPr>
                          <w:rFonts w:ascii="Arial MT"/>
                          <w:color w:val="231F20"/>
                          <w:spacing w:val="-3"/>
                        </w:rPr>
                        <w:t> </w:t>
                      </w:r>
                      <w:r>
                        <w:rPr>
                          <w:rFonts w:ascii="Arial MT"/>
                          <w:color w:val="231F20"/>
                        </w:rPr>
                        <w:t>option</w:t>
                      </w:r>
                      <w:r>
                        <w:rPr>
                          <w:rFonts w:ascii="Arial MT"/>
                          <w:color w:val="231F20"/>
                          <w:spacing w:val="-3"/>
                        </w:rPr>
                        <w:t> </w:t>
                      </w:r>
                      <w:r>
                        <w:rPr>
                          <w:rFonts w:ascii="Arial MT"/>
                          <w:color w:val="231F20"/>
                        </w:rPr>
                        <w:t>of</w:t>
                      </w:r>
                      <w:r>
                        <w:rPr>
                          <w:rFonts w:ascii="Arial MT"/>
                          <w:color w:val="231F20"/>
                          <w:spacing w:val="40"/>
                        </w:rPr>
                        <w:t> </w:t>
                      </w:r>
                      <w:r>
                        <w:rPr>
                          <w:rFonts w:ascii="Arial MT"/>
                          <w:color w:val="231F20"/>
                          <w:spacing w:val="-2"/>
                        </w:rPr>
                        <w:t>observation.</w:t>
                      </w:r>
                    </w:p>
                    <w:p>
                      <w:pPr>
                        <w:pStyle w:val="BodyText"/>
                        <w:spacing w:line="208" w:lineRule="auto" w:before="1"/>
                        <w:ind w:left="88" w:firstLine="65"/>
                        <w:rPr>
                          <w:rFonts w:ascii="Arial MT"/>
                          <w:color w:val="000000"/>
                        </w:rPr>
                      </w:pPr>
                      <w:r>
                        <w:rPr>
                          <w:rFonts w:ascii="Arial MT"/>
                          <w:color w:val="231F20"/>
                        </w:rPr>
                        <w:t>Caregiver</w:t>
                      </w:r>
                      <w:r>
                        <w:rPr>
                          <w:rFonts w:ascii="Arial MT"/>
                          <w:color w:val="231F20"/>
                          <w:spacing w:val="-3"/>
                        </w:rPr>
                        <w:t> </w:t>
                      </w:r>
                      <w:r>
                        <w:rPr>
                          <w:rFonts w:ascii="Arial MT"/>
                          <w:color w:val="231F20"/>
                        </w:rPr>
                        <w:t>is</w:t>
                      </w:r>
                      <w:r>
                        <w:rPr>
                          <w:rFonts w:ascii="Arial MT"/>
                          <w:color w:val="231F20"/>
                          <w:spacing w:val="-3"/>
                        </w:rPr>
                        <w:t> </w:t>
                      </w:r>
                      <w:r>
                        <w:rPr>
                          <w:rFonts w:ascii="Arial MT"/>
                          <w:color w:val="231F20"/>
                        </w:rPr>
                        <w:t>able</w:t>
                      </w:r>
                      <w:r>
                        <w:rPr>
                          <w:rFonts w:ascii="Arial MT"/>
                          <w:color w:val="231F20"/>
                          <w:spacing w:val="-3"/>
                        </w:rPr>
                        <w:t> </w:t>
                      </w:r>
                      <w:r>
                        <w:rPr>
                          <w:rFonts w:ascii="Arial MT"/>
                          <w:color w:val="231F20"/>
                        </w:rPr>
                        <w:t>to</w:t>
                      </w:r>
                      <w:r>
                        <w:rPr>
                          <w:rFonts w:ascii="Arial MT"/>
                          <w:color w:val="231F20"/>
                          <w:spacing w:val="-3"/>
                        </w:rPr>
                        <w:t> </w:t>
                      </w:r>
                      <w:r>
                        <w:rPr>
                          <w:rFonts w:ascii="Arial MT"/>
                          <w:color w:val="231F20"/>
                        </w:rPr>
                        <w:t>monitor</w:t>
                      </w:r>
                      <w:r>
                        <w:rPr>
                          <w:rFonts w:ascii="Arial MT"/>
                          <w:color w:val="231F20"/>
                          <w:spacing w:val="-3"/>
                        </w:rPr>
                        <w:t> </w:t>
                      </w:r>
                      <w:r>
                        <w:rPr>
                          <w:rFonts w:ascii="Arial MT"/>
                          <w:color w:val="231F20"/>
                        </w:rPr>
                        <w:t>child</w:t>
                      </w:r>
                      <w:r>
                        <w:rPr>
                          <w:rFonts w:ascii="Arial MT"/>
                          <w:color w:val="231F20"/>
                          <w:spacing w:val="-3"/>
                        </w:rPr>
                        <w:t> </w:t>
                      </w:r>
                      <w:r>
                        <w:rPr>
                          <w:rFonts w:ascii="Arial MT"/>
                          <w:color w:val="231F20"/>
                        </w:rPr>
                        <w:t>and</w:t>
                      </w:r>
                      <w:r>
                        <w:rPr>
                          <w:rFonts w:ascii="Arial MT"/>
                          <w:color w:val="231F20"/>
                          <w:spacing w:val="-3"/>
                        </w:rPr>
                        <w:t> </w:t>
                      </w:r>
                      <w:r>
                        <w:rPr>
                          <w:rFonts w:ascii="Arial MT"/>
                          <w:color w:val="231F20"/>
                        </w:rPr>
                        <w:t>return</w:t>
                      </w:r>
                      <w:r>
                        <w:rPr>
                          <w:rFonts w:ascii="Arial MT"/>
                          <w:color w:val="231F20"/>
                          <w:spacing w:val="-3"/>
                        </w:rPr>
                        <w:t> </w:t>
                      </w:r>
                      <w:r>
                        <w:rPr>
                          <w:rFonts w:ascii="Arial MT"/>
                          <w:color w:val="231F20"/>
                        </w:rPr>
                        <w:t>should</w:t>
                      </w:r>
                      <w:r>
                        <w:rPr>
                          <w:rFonts w:ascii="Arial MT"/>
                          <w:color w:val="231F20"/>
                          <w:spacing w:val="40"/>
                        </w:rPr>
                        <w:t> </w:t>
                      </w:r>
                      <w:r>
                        <w:rPr>
                          <w:rFonts w:ascii="Arial MT"/>
                          <w:color w:val="231F20"/>
                        </w:rPr>
                        <w:t>condition</w:t>
                      </w:r>
                      <w:r>
                        <w:rPr>
                          <w:rFonts w:ascii="Arial MT"/>
                          <w:color w:val="231F20"/>
                          <w:spacing w:val="-5"/>
                        </w:rPr>
                        <w:t> </w:t>
                      </w:r>
                      <w:r>
                        <w:rPr>
                          <w:rFonts w:ascii="Arial MT"/>
                          <w:color w:val="231F20"/>
                        </w:rPr>
                        <w:t>worsen.</w:t>
                      </w:r>
                    </w:p>
                    <w:p>
                      <w:pPr>
                        <w:pStyle w:val="BodyText"/>
                        <w:spacing w:line="208" w:lineRule="auto" w:before="1"/>
                        <w:ind w:left="88" w:right="89" w:firstLine="65"/>
                        <w:jc w:val="both"/>
                        <w:rPr>
                          <w:rFonts w:ascii="Arial MT"/>
                          <w:color w:val="000000"/>
                        </w:rPr>
                      </w:pPr>
                      <w:r>
                        <w:rPr>
                          <w:rFonts w:ascii="Arial MT"/>
                          <w:color w:val="231F20"/>
                        </w:rPr>
                        <w:t>Systems</w:t>
                      </w:r>
                      <w:r>
                        <w:rPr>
                          <w:rFonts w:ascii="Arial MT"/>
                          <w:color w:val="231F20"/>
                          <w:spacing w:val="-4"/>
                        </w:rPr>
                        <w:t> </w:t>
                      </w:r>
                      <w:r>
                        <w:rPr>
                          <w:rFonts w:ascii="Arial MT"/>
                          <w:color w:val="231F20"/>
                        </w:rPr>
                        <w:t>are</w:t>
                      </w:r>
                      <w:r>
                        <w:rPr>
                          <w:rFonts w:ascii="Arial MT"/>
                          <w:color w:val="231F20"/>
                          <w:spacing w:val="-4"/>
                        </w:rPr>
                        <w:t> </w:t>
                      </w:r>
                      <w:r>
                        <w:rPr>
                          <w:rFonts w:ascii="Arial MT"/>
                          <w:color w:val="231F20"/>
                        </w:rPr>
                        <w:t>in</w:t>
                      </w:r>
                      <w:r>
                        <w:rPr>
                          <w:rFonts w:ascii="Arial MT"/>
                          <w:color w:val="231F20"/>
                          <w:spacing w:val="-4"/>
                        </w:rPr>
                        <w:t> </w:t>
                      </w:r>
                      <w:r>
                        <w:rPr>
                          <w:rFonts w:ascii="Arial MT"/>
                          <w:color w:val="231F20"/>
                        </w:rPr>
                        <w:t>place</w:t>
                      </w:r>
                      <w:r>
                        <w:rPr>
                          <w:rFonts w:ascii="Arial MT"/>
                          <w:color w:val="231F20"/>
                          <w:spacing w:val="-4"/>
                        </w:rPr>
                        <w:t> </w:t>
                      </w:r>
                      <w:r>
                        <w:rPr>
                          <w:rFonts w:ascii="Arial MT"/>
                          <w:color w:val="231F20"/>
                        </w:rPr>
                        <w:t>for</w:t>
                      </w:r>
                      <w:r>
                        <w:rPr>
                          <w:rFonts w:ascii="Arial MT"/>
                          <w:color w:val="231F20"/>
                          <w:spacing w:val="-4"/>
                        </w:rPr>
                        <w:t> </w:t>
                      </w:r>
                      <w:r>
                        <w:rPr>
                          <w:rFonts w:ascii="Arial MT"/>
                          <w:color w:val="231F20"/>
                        </w:rPr>
                        <w:t>ready</w:t>
                      </w:r>
                      <w:r>
                        <w:rPr>
                          <w:rFonts w:ascii="Arial MT"/>
                          <w:color w:val="231F20"/>
                          <w:spacing w:val="-4"/>
                        </w:rPr>
                        <w:t> </w:t>
                      </w:r>
                      <w:r>
                        <w:rPr>
                          <w:rFonts w:ascii="Arial MT"/>
                          <w:color w:val="231F20"/>
                        </w:rPr>
                        <w:t>communication</w:t>
                      </w:r>
                      <w:r>
                        <w:rPr>
                          <w:rFonts w:ascii="Arial MT"/>
                          <w:color w:val="231F20"/>
                          <w:spacing w:val="-4"/>
                        </w:rPr>
                        <w:t> </w:t>
                      </w:r>
                      <w:r>
                        <w:rPr>
                          <w:rFonts w:ascii="Arial MT"/>
                          <w:color w:val="231F20"/>
                        </w:rPr>
                        <w:t>with</w:t>
                      </w:r>
                      <w:r>
                        <w:rPr>
                          <w:rFonts w:ascii="Arial MT"/>
                          <w:color w:val="231F20"/>
                          <w:spacing w:val="40"/>
                        </w:rPr>
                        <w:t> </w:t>
                      </w:r>
                      <w:r>
                        <w:rPr>
                          <w:rFonts w:ascii="Arial MT"/>
                          <w:color w:val="231F20"/>
                        </w:rPr>
                        <w:t>the</w:t>
                      </w:r>
                      <w:r>
                        <w:rPr>
                          <w:rFonts w:ascii="Arial MT"/>
                          <w:color w:val="231F20"/>
                          <w:spacing w:val="-1"/>
                        </w:rPr>
                        <w:t> </w:t>
                      </w:r>
                      <w:r>
                        <w:rPr>
                          <w:rFonts w:ascii="Arial MT"/>
                          <w:color w:val="231F20"/>
                        </w:rPr>
                        <w:t>clinician,</w:t>
                      </w:r>
                      <w:r>
                        <w:rPr>
                          <w:rFonts w:ascii="Arial MT"/>
                          <w:color w:val="231F20"/>
                          <w:spacing w:val="-1"/>
                        </w:rPr>
                        <w:t> </w:t>
                      </w:r>
                      <w:r>
                        <w:rPr>
                          <w:rFonts w:ascii="Arial MT"/>
                          <w:color w:val="231F20"/>
                        </w:rPr>
                        <w:t>reevaluation,</w:t>
                      </w:r>
                      <w:r>
                        <w:rPr>
                          <w:rFonts w:ascii="Arial MT"/>
                          <w:color w:val="231F20"/>
                          <w:spacing w:val="-1"/>
                        </w:rPr>
                        <w:t> </w:t>
                      </w:r>
                      <w:r>
                        <w:rPr>
                          <w:rFonts w:ascii="Arial MT"/>
                          <w:color w:val="231F20"/>
                        </w:rPr>
                        <w:t>and</w:t>
                      </w:r>
                      <w:r>
                        <w:rPr>
                          <w:rFonts w:ascii="Arial MT"/>
                          <w:color w:val="231F20"/>
                          <w:spacing w:val="-1"/>
                        </w:rPr>
                        <w:t> </w:t>
                      </w:r>
                      <w:r>
                        <w:rPr>
                          <w:rFonts w:ascii="Arial MT"/>
                          <w:color w:val="231F20"/>
                        </w:rPr>
                        <w:t>obtaining</w:t>
                      </w:r>
                      <w:r>
                        <w:rPr>
                          <w:rFonts w:ascii="Arial MT"/>
                          <w:color w:val="231F20"/>
                          <w:spacing w:val="-1"/>
                        </w:rPr>
                        <w:t> </w:t>
                      </w:r>
                      <w:r>
                        <w:rPr>
                          <w:rFonts w:ascii="Arial MT"/>
                          <w:color w:val="231F20"/>
                        </w:rPr>
                        <w:t>medication</w:t>
                      </w:r>
                      <w:r>
                        <w:rPr>
                          <w:rFonts w:ascii="Arial MT"/>
                          <w:color w:val="231F20"/>
                          <w:spacing w:val="40"/>
                        </w:rPr>
                        <w:t> </w:t>
                      </w:r>
                      <w:r>
                        <w:rPr>
                          <w:rFonts w:ascii="Arial MT"/>
                          <w:color w:val="231F20"/>
                        </w:rPr>
                        <w:t>if</w:t>
                      </w:r>
                      <w:r>
                        <w:rPr>
                          <w:rFonts w:ascii="Arial MT"/>
                          <w:color w:val="231F20"/>
                          <w:spacing w:val="-5"/>
                        </w:rPr>
                        <w:t> </w:t>
                      </w:r>
                      <w:r>
                        <w:rPr>
                          <w:rFonts w:ascii="Arial MT"/>
                          <w:color w:val="231F20"/>
                        </w:rPr>
                        <w:t>necessary.</w:t>
                      </w:r>
                    </w:p>
                  </w:txbxContent>
                </v:textbox>
                <v:fill type="solid"/>
                <v:stroke dashstyle="solid"/>
                <w10:wrap type="none"/>
              </v:shape>
            </w:pict>
          </mc:Fallback>
        </mc:AlternateContent>
      </w:r>
      <w:r>
        <w:rPr>
          <w:rFonts w:ascii="Arial MT"/>
          <w:color w:val="231F20"/>
          <w:spacing w:val="-10"/>
        </w:rPr>
        <w:t>8</w:t>
      </w:r>
    </w:p>
    <w:p>
      <w:pPr>
        <w:pStyle w:val="BodyText"/>
        <w:spacing w:before="44"/>
        <w:rPr>
          <w:rFonts w:ascii="Arial MT"/>
        </w:rPr>
      </w:pPr>
    </w:p>
    <w:p>
      <w:pPr>
        <w:pStyle w:val="BodyText"/>
        <w:ind w:right="2530"/>
        <w:jc w:val="center"/>
        <w:rPr>
          <w:rFonts w:ascii="Arial MT"/>
        </w:rPr>
      </w:pPr>
      <w:r>
        <w:rPr>
          <w:rFonts w:ascii="Arial MT"/>
          <w:color w:val="231F20"/>
          <w:spacing w:val="-5"/>
        </w:rPr>
        <w:t>13</w:t>
      </w: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rPr>
          <w:rFonts w:ascii="Arial MT"/>
        </w:rPr>
      </w:pPr>
    </w:p>
    <w:p>
      <w:pPr>
        <w:pStyle w:val="BodyText"/>
        <w:spacing w:before="55"/>
        <w:rPr>
          <w:rFonts w:ascii="Arial MT"/>
        </w:rPr>
      </w:pPr>
    </w:p>
    <w:p>
      <w:pPr>
        <w:pStyle w:val="BodyText"/>
        <w:ind w:right="5160"/>
        <w:jc w:val="center"/>
        <w:rPr>
          <w:rFonts w:ascii="Arial MT"/>
        </w:rPr>
      </w:pPr>
      <w:r>
        <w:rPr>
          <w:rFonts w:ascii="Arial MT"/>
        </w:rPr>
        <mc:AlternateContent>
          <mc:Choice Requires="wps">
            <w:drawing>
              <wp:anchor distT="0" distB="0" distL="0" distR="0" allowOverlap="1" layoutInCell="1" locked="0" behindDoc="0" simplePos="0" relativeHeight="15845888">
                <wp:simplePos x="0" y="0"/>
                <wp:positionH relativeFrom="page">
                  <wp:posOffset>2101052</wp:posOffset>
                </wp:positionH>
                <wp:positionV relativeFrom="paragraph">
                  <wp:posOffset>98375</wp:posOffset>
                </wp:positionV>
                <wp:extent cx="1206500" cy="824865"/>
                <wp:effectExtent l="0" t="0" r="0" b="0"/>
                <wp:wrapNone/>
                <wp:docPr id="1640" name="Textbox 1640"/>
                <wp:cNvGraphicFramePr>
                  <a:graphicFrameLocks/>
                </wp:cNvGraphicFramePr>
                <a:graphic>
                  <a:graphicData uri="http://schemas.microsoft.com/office/word/2010/wordprocessingShape">
                    <wps:wsp>
                      <wps:cNvPr id="1640" name="Textbox 1640"/>
                      <wps:cNvSpPr txBox="1"/>
                      <wps:spPr>
                        <a:xfrm>
                          <a:off x="0" y="0"/>
                          <a:ext cx="1206500" cy="824865"/>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682"/>
                              <w:gridCol w:w="682"/>
                              <w:gridCol w:w="396"/>
                            </w:tblGrid>
                            <w:tr>
                              <w:trPr>
                                <w:trHeight w:val="531" w:hRule="atLeast"/>
                              </w:trPr>
                              <w:tc>
                                <w:tcPr>
                                  <w:tcW w:w="1364" w:type="dxa"/>
                                  <w:gridSpan w:val="2"/>
                                  <w:vMerge w:val="restart"/>
                                  <w:shd w:val="clear" w:color="auto" w:fill="F1BCB5"/>
                                </w:tcPr>
                                <w:p>
                                  <w:pPr>
                                    <w:pStyle w:val="TableParagraph"/>
                                    <w:spacing w:before="84"/>
                                    <w:ind w:left="115" w:right="93"/>
                                    <w:jc w:val="center"/>
                                    <w:rPr>
                                      <w:rFonts w:ascii="Arial MT"/>
                                      <w:sz w:val="13"/>
                                    </w:rPr>
                                  </w:pPr>
                                  <w:r>
                                    <w:rPr>
                                      <w:rFonts w:ascii="Arial MT"/>
                                      <w:color w:val="231F20"/>
                                      <w:sz w:val="13"/>
                                    </w:rPr>
                                    <w:t>Did</w:t>
                                  </w:r>
                                  <w:r>
                                    <w:rPr>
                                      <w:rFonts w:ascii="Arial MT"/>
                                      <w:color w:val="231F20"/>
                                      <w:spacing w:val="-10"/>
                                      <w:sz w:val="13"/>
                                    </w:rPr>
                                    <w:t> </w:t>
                                  </w:r>
                                  <w:r>
                                    <w:rPr>
                                      <w:rFonts w:ascii="Arial MT"/>
                                      <w:color w:val="231F20"/>
                                      <w:sz w:val="13"/>
                                    </w:rPr>
                                    <w:t>patient</w:t>
                                  </w:r>
                                  <w:r>
                                    <w:rPr>
                                      <w:rFonts w:ascii="Arial MT"/>
                                      <w:color w:val="231F20"/>
                                      <w:spacing w:val="-9"/>
                                      <w:sz w:val="13"/>
                                    </w:rPr>
                                    <w:t> </w:t>
                                  </w:r>
                                  <w:r>
                                    <w:rPr>
                                      <w:rFonts w:ascii="Arial MT"/>
                                      <w:color w:val="231F20"/>
                                      <w:sz w:val="13"/>
                                    </w:rPr>
                                    <w:t>respond</w:t>
                                  </w:r>
                                  <w:r>
                                    <w:rPr>
                                      <w:rFonts w:ascii="Arial MT"/>
                                      <w:color w:val="231F20"/>
                                      <w:spacing w:val="40"/>
                                      <w:sz w:val="13"/>
                                    </w:rPr>
                                    <w:t> </w:t>
                                  </w:r>
                                  <w:r>
                                    <w:rPr>
                                      <w:rFonts w:ascii="Arial MT"/>
                                      <w:color w:val="231F20"/>
                                      <w:sz w:val="13"/>
                                    </w:rPr>
                                    <w:t>to initial treatment</w:t>
                                  </w:r>
                                  <w:r>
                                    <w:rPr>
                                      <w:rFonts w:ascii="Arial MT"/>
                                      <w:color w:val="231F20"/>
                                      <w:spacing w:val="40"/>
                                      <w:sz w:val="13"/>
                                    </w:rPr>
                                    <w:t> </w:t>
                                  </w:r>
                                  <w:r>
                                    <w:rPr>
                                      <w:rFonts w:ascii="Arial MT"/>
                                      <w:color w:val="231F20"/>
                                      <w:sz w:val="13"/>
                                    </w:rPr>
                                    <w:t>intervention</w:t>
                                  </w:r>
                                  <w:r>
                                    <w:rPr>
                                      <w:rFonts w:ascii="Arial MT"/>
                                      <w:color w:val="231F20"/>
                                      <w:spacing w:val="-5"/>
                                      <w:sz w:val="13"/>
                                    </w:rPr>
                                    <w:t> </w:t>
                                  </w:r>
                                  <w:r>
                                    <w:rPr>
                                      <w:rFonts w:ascii="Arial MT"/>
                                      <w:color w:val="231F20"/>
                                      <w:sz w:val="13"/>
                                    </w:rPr>
                                    <w:t>(either</w:t>
                                  </w:r>
                                  <w:r>
                                    <w:rPr>
                                      <w:rFonts w:ascii="Arial MT"/>
                                      <w:color w:val="231F20"/>
                                      <w:spacing w:val="40"/>
                                      <w:sz w:val="13"/>
                                    </w:rPr>
                                    <w:t> </w:t>
                                  </w:r>
                                  <w:r>
                                    <w:rPr>
                                      <w:rFonts w:ascii="Arial MT"/>
                                      <w:color w:val="231F20"/>
                                      <w:spacing w:val="-2"/>
                                      <w:sz w:val="13"/>
                                    </w:rPr>
                                    <w:t>antibacterial</w:t>
                                  </w:r>
                                  <w:r>
                                    <w:rPr>
                                      <w:rFonts w:ascii="Arial MT"/>
                                      <w:color w:val="231F20"/>
                                      <w:spacing w:val="40"/>
                                      <w:sz w:val="13"/>
                                    </w:rPr>
                                    <w:t> </w:t>
                                  </w:r>
                                  <w:r>
                                    <w:rPr>
                                      <w:rFonts w:ascii="Arial MT"/>
                                      <w:color w:val="231F20"/>
                                      <w:sz w:val="13"/>
                                    </w:rPr>
                                    <w:t>treatment</w:t>
                                  </w:r>
                                  <w:r>
                                    <w:rPr>
                                      <w:rFonts w:ascii="Arial MT"/>
                                      <w:color w:val="231F20"/>
                                      <w:spacing w:val="-5"/>
                                      <w:sz w:val="13"/>
                                    </w:rPr>
                                    <w:t> </w:t>
                                  </w:r>
                                  <w:r>
                                    <w:rPr>
                                      <w:rFonts w:ascii="Arial MT"/>
                                      <w:color w:val="231F20"/>
                                      <w:sz w:val="13"/>
                                    </w:rPr>
                                    <w:t>or</w:t>
                                  </w:r>
                                  <w:r>
                                    <w:rPr>
                                      <w:rFonts w:ascii="Arial MT"/>
                                      <w:color w:val="231F20"/>
                                      <w:spacing w:val="40"/>
                                      <w:sz w:val="13"/>
                                    </w:rPr>
                                    <w:t> </w:t>
                                  </w:r>
                                  <w:r>
                                    <w:rPr>
                                      <w:rFonts w:ascii="Arial MT"/>
                                      <w:color w:val="231F20"/>
                                      <w:spacing w:val="-2"/>
                                      <w:sz w:val="13"/>
                                    </w:rPr>
                                    <w:t>observation)?</w:t>
                                  </w:r>
                                </w:p>
                              </w:tc>
                              <w:tc>
                                <w:tcPr>
                                  <w:tcW w:w="396" w:type="dxa"/>
                                  <w:tcBorders>
                                    <w:top w:val="nil"/>
                                    <w:right w:val="nil"/>
                                  </w:tcBorders>
                                </w:tcPr>
                                <w:p>
                                  <w:pPr>
                                    <w:pStyle w:val="TableParagraph"/>
                                    <w:rPr>
                                      <w:i/>
                                      <w:sz w:val="13"/>
                                    </w:rPr>
                                  </w:pPr>
                                </w:p>
                                <w:p>
                                  <w:pPr>
                                    <w:pStyle w:val="TableParagraph"/>
                                    <w:spacing w:before="28"/>
                                    <w:rPr>
                                      <w:i/>
                                      <w:sz w:val="13"/>
                                    </w:rPr>
                                  </w:pPr>
                                </w:p>
                                <w:p>
                                  <w:pPr>
                                    <w:pStyle w:val="TableParagraph"/>
                                    <w:ind w:left="110"/>
                                    <w:rPr>
                                      <w:rFonts w:ascii="Arial"/>
                                      <w:b/>
                                      <w:sz w:val="13"/>
                                    </w:rPr>
                                  </w:pPr>
                                  <w:r>
                                    <w:rPr>
                                      <w:rFonts w:ascii="Arial"/>
                                      <w:b/>
                                      <w:color w:val="231F20"/>
                                      <w:spacing w:val="-5"/>
                                      <w:sz w:val="13"/>
                                    </w:rPr>
                                    <w:t>No</w:t>
                                  </w:r>
                                </w:p>
                              </w:tc>
                            </w:tr>
                            <w:tr>
                              <w:trPr>
                                <w:trHeight w:val="529" w:hRule="atLeast"/>
                              </w:trPr>
                              <w:tc>
                                <w:tcPr>
                                  <w:tcW w:w="1364" w:type="dxa"/>
                                  <w:gridSpan w:val="2"/>
                                  <w:vMerge/>
                                  <w:tcBorders>
                                    <w:top w:val="nil"/>
                                  </w:tcBorders>
                                  <w:shd w:val="clear" w:color="auto" w:fill="F1BCB5"/>
                                </w:tcPr>
                                <w:p>
                                  <w:pPr>
                                    <w:rPr>
                                      <w:sz w:val="2"/>
                                      <w:szCs w:val="2"/>
                                    </w:rPr>
                                  </w:pPr>
                                </w:p>
                              </w:tc>
                              <w:tc>
                                <w:tcPr>
                                  <w:tcW w:w="396" w:type="dxa"/>
                                  <w:tcBorders>
                                    <w:bottom w:val="nil"/>
                                    <w:right w:val="nil"/>
                                  </w:tcBorders>
                                </w:tcPr>
                                <w:p>
                                  <w:pPr>
                                    <w:pStyle w:val="TableParagraph"/>
                                    <w:rPr>
                                      <w:rFonts w:ascii="Times New Roman"/>
                                      <w:sz w:val="12"/>
                                    </w:rPr>
                                  </w:pPr>
                                </w:p>
                              </w:tc>
                            </w:tr>
                            <w:tr>
                              <w:trPr>
                                <w:trHeight w:val="179" w:hRule="atLeast"/>
                              </w:trPr>
                              <w:tc>
                                <w:tcPr>
                                  <w:tcW w:w="682" w:type="dxa"/>
                                  <w:tcBorders>
                                    <w:left w:val="nil"/>
                                    <w:bottom w:val="nil"/>
                                  </w:tcBorders>
                                </w:tcPr>
                                <w:p>
                                  <w:pPr>
                                    <w:pStyle w:val="TableParagraph"/>
                                    <w:spacing w:line="111" w:lineRule="exact" w:before="48"/>
                                    <w:ind w:left="107"/>
                                    <w:rPr>
                                      <w:rFonts w:ascii="Arial"/>
                                      <w:b/>
                                      <w:sz w:val="13"/>
                                    </w:rPr>
                                  </w:pPr>
                                  <w:r>
                                    <w:rPr>
                                      <w:rFonts w:ascii="Arial MT"/>
                                      <w:color w:val="231F20"/>
                                      <w:position w:val="-5"/>
                                      <w:sz w:val="13"/>
                                    </w:rPr>
                                    <w:t>15</w:t>
                                  </w:r>
                                  <w:r>
                                    <w:rPr>
                                      <w:rFonts w:ascii="Arial MT"/>
                                      <w:color w:val="231F20"/>
                                      <w:spacing w:val="75"/>
                                      <w:position w:val="-5"/>
                                      <w:sz w:val="13"/>
                                    </w:rPr>
                                    <w:t> </w:t>
                                  </w:r>
                                  <w:r>
                                    <w:rPr>
                                      <w:rFonts w:ascii="Arial"/>
                                      <w:b/>
                                      <w:color w:val="231F20"/>
                                      <w:spacing w:val="-5"/>
                                      <w:sz w:val="13"/>
                                    </w:rPr>
                                    <w:t>Yes</w:t>
                                  </w:r>
                                </w:p>
                              </w:tc>
                              <w:tc>
                                <w:tcPr>
                                  <w:tcW w:w="1078" w:type="dxa"/>
                                  <w:gridSpan w:val="2"/>
                                  <w:tcBorders>
                                    <w:top w:val="nil"/>
                                    <w:bottom w:val="nil"/>
                                    <w:right w:val="nil"/>
                                  </w:tcBorders>
                                </w:tcPr>
                                <w:p>
                                  <w:pPr>
                                    <w:pStyle w:val="TableParagraph"/>
                                    <w:rPr>
                                      <w:rFonts w:ascii="Times New Roman"/>
                                      <w:sz w:val="12"/>
                                    </w:rPr>
                                  </w:pPr>
                                </w:p>
                              </w:tc>
                            </w:tr>
                          </w:tbl>
                          <w:p>
                            <w:pPr>
                              <w:pStyle w:val="BodyText"/>
                            </w:pPr>
                          </w:p>
                        </w:txbxContent>
                      </wps:txbx>
                      <wps:bodyPr wrap="square" lIns="0" tIns="0" rIns="0" bIns="0" rtlCol="0">
                        <a:noAutofit/>
                      </wps:bodyPr>
                    </wps:wsp>
                  </a:graphicData>
                </a:graphic>
              </wp:anchor>
            </w:drawing>
          </mc:Choice>
          <mc:Fallback>
            <w:pict>
              <v:shape style="position:absolute;margin-left:165.43721pt;margin-top:7.746089pt;width:95pt;height:64.95pt;mso-position-horizontal-relative:page;mso-position-vertical-relative:paragraph;z-index:15845888" type="#_x0000_t202" id="docshape1299"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682"/>
                        <w:gridCol w:w="682"/>
                        <w:gridCol w:w="396"/>
                      </w:tblGrid>
                      <w:tr>
                        <w:trPr>
                          <w:trHeight w:val="531" w:hRule="atLeast"/>
                        </w:trPr>
                        <w:tc>
                          <w:tcPr>
                            <w:tcW w:w="1364" w:type="dxa"/>
                            <w:gridSpan w:val="2"/>
                            <w:vMerge w:val="restart"/>
                            <w:shd w:val="clear" w:color="auto" w:fill="F1BCB5"/>
                          </w:tcPr>
                          <w:p>
                            <w:pPr>
                              <w:pStyle w:val="TableParagraph"/>
                              <w:spacing w:before="84"/>
                              <w:ind w:left="115" w:right="93"/>
                              <w:jc w:val="center"/>
                              <w:rPr>
                                <w:rFonts w:ascii="Arial MT"/>
                                <w:sz w:val="13"/>
                              </w:rPr>
                            </w:pPr>
                            <w:r>
                              <w:rPr>
                                <w:rFonts w:ascii="Arial MT"/>
                                <w:color w:val="231F20"/>
                                <w:sz w:val="13"/>
                              </w:rPr>
                              <w:t>Did</w:t>
                            </w:r>
                            <w:r>
                              <w:rPr>
                                <w:rFonts w:ascii="Arial MT"/>
                                <w:color w:val="231F20"/>
                                <w:spacing w:val="-10"/>
                                <w:sz w:val="13"/>
                              </w:rPr>
                              <w:t> </w:t>
                            </w:r>
                            <w:r>
                              <w:rPr>
                                <w:rFonts w:ascii="Arial MT"/>
                                <w:color w:val="231F20"/>
                                <w:sz w:val="13"/>
                              </w:rPr>
                              <w:t>patient</w:t>
                            </w:r>
                            <w:r>
                              <w:rPr>
                                <w:rFonts w:ascii="Arial MT"/>
                                <w:color w:val="231F20"/>
                                <w:spacing w:val="-9"/>
                                <w:sz w:val="13"/>
                              </w:rPr>
                              <w:t> </w:t>
                            </w:r>
                            <w:r>
                              <w:rPr>
                                <w:rFonts w:ascii="Arial MT"/>
                                <w:color w:val="231F20"/>
                                <w:sz w:val="13"/>
                              </w:rPr>
                              <w:t>respond</w:t>
                            </w:r>
                            <w:r>
                              <w:rPr>
                                <w:rFonts w:ascii="Arial MT"/>
                                <w:color w:val="231F20"/>
                                <w:spacing w:val="40"/>
                                <w:sz w:val="13"/>
                              </w:rPr>
                              <w:t> </w:t>
                            </w:r>
                            <w:r>
                              <w:rPr>
                                <w:rFonts w:ascii="Arial MT"/>
                                <w:color w:val="231F20"/>
                                <w:sz w:val="13"/>
                              </w:rPr>
                              <w:t>to initial treatment</w:t>
                            </w:r>
                            <w:r>
                              <w:rPr>
                                <w:rFonts w:ascii="Arial MT"/>
                                <w:color w:val="231F20"/>
                                <w:spacing w:val="40"/>
                                <w:sz w:val="13"/>
                              </w:rPr>
                              <w:t> </w:t>
                            </w:r>
                            <w:r>
                              <w:rPr>
                                <w:rFonts w:ascii="Arial MT"/>
                                <w:color w:val="231F20"/>
                                <w:sz w:val="13"/>
                              </w:rPr>
                              <w:t>intervention</w:t>
                            </w:r>
                            <w:r>
                              <w:rPr>
                                <w:rFonts w:ascii="Arial MT"/>
                                <w:color w:val="231F20"/>
                                <w:spacing w:val="-5"/>
                                <w:sz w:val="13"/>
                              </w:rPr>
                              <w:t> </w:t>
                            </w:r>
                            <w:r>
                              <w:rPr>
                                <w:rFonts w:ascii="Arial MT"/>
                                <w:color w:val="231F20"/>
                                <w:sz w:val="13"/>
                              </w:rPr>
                              <w:t>(either</w:t>
                            </w:r>
                            <w:r>
                              <w:rPr>
                                <w:rFonts w:ascii="Arial MT"/>
                                <w:color w:val="231F20"/>
                                <w:spacing w:val="40"/>
                                <w:sz w:val="13"/>
                              </w:rPr>
                              <w:t> </w:t>
                            </w:r>
                            <w:r>
                              <w:rPr>
                                <w:rFonts w:ascii="Arial MT"/>
                                <w:color w:val="231F20"/>
                                <w:spacing w:val="-2"/>
                                <w:sz w:val="13"/>
                              </w:rPr>
                              <w:t>antibacterial</w:t>
                            </w:r>
                            <w:r>
                              <w:rPr>
                                <w:rFonts w:ascii="Arial MT"/>
                                <w:color w:val="231F20"/>
                                <w:spacing w:val="40"/>
                                <w:sz w:val="13"/>
                              </w:rPr>
                              <w:t> </w:t>
                            </w:r>
                            <w:r>
                              <w:rPr>
                                <w:rFonts w:ascii="Arial MT"/>
                                <w:color w:val="231F20"/>
                                <w:sz w:val="13"/>
                              </w:rPr>
                              <w:t>treatment</w:t>
                            </w:r>
                            <w:r>
                              <w:rPr>
                                <w:rFonts w:ascii="Arial MT"/>
                                <w:color w:val="231F20"/>
                                <w:spacing w:val="-5"/>
                                <w:sz w:val="13"/>
                              </w:rPr>
                              <w:t> </w:t>
                            </w:r>
                            <w:r>
                              <w:rPr>
                                <w:rFonts w:ascii="Arial MT"/>
                                <w:color w:val="231F20"/>
                                <w:sz w:val="13"/>
                              </w:rPr>
                              <w:t>or</w:t>
                            </w:r>
                            <w:r>
                              <w:rPr>
                                <w:rFonts w:ascii="Arial MT"/>
                                <w:color w:val="231F20"/>
                                <w:spacing w:val="40"/>
                                <w:sz w:val="13"/>
                              </w:rPr>
                              <w:t> </w:t>
                            </w:r>
                            <w:r>
                              <w:rPr>
                                <w:rFonts w:ascii="Arial MT"/>
                                <w:color w:val="231F20"/>
                                <w:spacing w:val="-2"/>
                                <w:sz w:val="13"/>
                              </w:rPr>
                              <w:t>observation)?</w:t>
                            </w:r>
                          </w:p>
                        </w:tc>
                        <w:tc>
                          <w:tcPr>
                            <w:tcW w:w="396" w:type="dxa"/>
                            <w:tcBorders>
                              <w:top w:val="nil"/>
                              <w:right w:val="nil"/>
                            </w:tcBorders>
                          </w:tcPr>
                          <w:p>
                            <w:pPr>
                              <w:pStyle w:val="TableParagraph"/>
                              <w:rPr>
                                <w:i/>
                                <w:sz w:val="13"/>
                              </w:rPr>
                            </w:pPr>
                          </w:p>
                          <w:p>
                            <w:pPr>
                              <w:pStyle w:val="TableParagraph"/>
                              <w:spacing w:before="28"/>
                              <w:rPr>
                                <w:i/>
                                <w:sz w:val="13"/>
                              </w:rPr>
                            </w:pPr>
                          </w:p>
                          <w:p>
                            <w:pPr>
                              <w:pStyle w:val="TableParagraph"/>
                              <w:ind w:left="110"/>
                              <w:rPr>
                                <w:rFonts w:ascii="Arial"/>
                                <w:b/>
                                <w:sz w:val="13"/>
                              </w:rPr>
                            </w:pPr>
                            <w:r>
                              <w:rPr>
                                <w:rFonts w:ascii="Arial"/>
                                <w:b/>
                                <w:color w:val="231F20"/>
                                <w:spacing w:val="-5"/>
                                <w:sz w:val="13"/>
                              </w:rPr>
                              <w:t>No</w:t>
                            </w:r>
                          </w:p>
                        </w:tc>
                      </w:tr>
                      <w:tr>
                        <w:trPr>
                          <w:trHeight w:val="529" w:hRule="atLeast"/>
                        </w:trPr>
                        <w:tc>
                          <w:tcPr>
                            <w:tcW w:w="1364" w:type="dxa"/>
                            <w:gridSpan w:val="2"/>
                            <w:vMerge/>
                            <w:tcBorders>
                              <w:top w:val="nil"/>
                            </w:tcBorders>
                            <w:shd w:val="clear" w:color="auto" w:fill="F1BCB5"/>
                          </w:tcPr>
                          <w:p>
                            <w:pPr>
                              <w:rPr>
                                <w:sz w:val="2"/>
                                <w:szCs w:val="2"/>
                              </w:rPr>
                            </w:pPr>
                          </w:p>
                        </w:tc>
                        <w:tc>
                          <w:tcPr>
                            <w:tcW w:w="396" w:type="dxa"/>
                            <w:tcBorders>
                              <w:bottom w:val="nil"/>
                              <w:right w:val="nil"/>
                            </w:tcBorders>
                          </w:tcPr>
                          <w:p>
                            <w:pPr>
                              <w:pStyle w:val="TableParagraph"/>
                              <w:rPr>
                                <w:rFonts w:ascii="Times New Roman"/>
                                <w:sz w:val="12"/>
                              </w:rPr>
                            </w:pPr>
                          </w:p>
                        </w:tc>
                      </w:tr>
                      <w:tr>
                        <w:trPr>
                          <w:trHeight w:val="179" w:hRule="atLeast"/>
                        </w:trPr>
                        <w:tc>
                          <w:tcPr>
                            <w:tcW w:w="682" w:type="dxa"/>
                            <w:tcBorders>
                              <w:left w:val="nil"/>
                              <w:bottom w:val="nil"/>
                            </w:tcBorders>
                          </w:tcPr>
                          <w:p>
                            <w:pPr>
                              <w:pStyle w:val="TableParagraph"/>
                              <w:spacing w:line="111" w:lineRule="exact" w:before="48"/>
                              <w:ind w:left="107"/>
                              <w:rPr>
                                <w:rFonts w:ascii="Arial"/>
                                <w:b/>
                                <w:sz w:val="13"/>
                              </w:rPr>
                            </w:pPr>
                            <w:r>
                              <w:rPr>
                                <w:rFonts w:ascii="Arial MT"/>
                                <w:color w:val="231F20"/>
                                <w:position w:val="-5"/>
                                <w:sz w:val="13"/>
                              </w:rPr>
                              <w:t>15</w:t>
                            </w:r>
                            <w:r>
                              <w:rPr>
                                <w:rFonts w:ascii="Arial MT"/>
                                <w:color w:val="231F20"/>
                                <w:spacing w:val="75"/>
                                <w:position w:val="-5"/>
                                <w:sz w:val="13"/>
                              </w:rPr>
                              <w:t> </w:t>
                            </w:r>
                            <w:r>
                              <w:rPr>
                                <w:rFonts w:ascii="Arial"/>
                                <w:b/>
                                <w:color w:val="231F20"/>
                                <w:spacing w:val="-5"/>
                                <w:sz w:val="13"/>
                              </w:rPr>
                              <w:t>Yes</w:t>
                            </w:r>
                          </w:p>
                        </w:tc>
                        <w:tc>
                          <w:tcPr>
                            <w:tcW w:w="1078" w:type="dxa"/>
                            <w:gridSpan w:val="2"/>
                            <w:tcBorders>
                              <w:top w:val="nil"/>
                              <w:bottom w:val="nil"/>
                              <w:right w:val="nil"/>
                            </w:tcBorders>
                          </w:tcPr>
                          <w:p>
                            <w:pPr>
                              <w:pStyle w:val="TableParagraph"/>
                              <w:rPr>
                                <w:rFonts w:ascii="Times New Roman"/>
                                <w:sz w:val="12"/>
                              </w:rPr>
                            </w:pPr>
                          </w:p>
                        </w:tc>
                      </w:tr>
                    </w:tbl>
                    <w:p>
                      <w:pPr>
                        <w:pStyle w:val="BodyText"/>
                      </w:pPr>
                    </w:p>
                  </w:txbxContent>
                </v:textbox>
                <w10:wrap type="none"/>
              </v:shape>
            </w:pict>
          </mc:Fallback>
        </mc:AlternateContent>
      </w:r>
      <w:r>
        <w:rPr>
          <w:rFonts w:ascii="Arial MT"/>
          <w:color w:val="231F20"/>
          <w:spacing w:val="-5"/>
        </w:rPr>
        <w:t>14</w:t>
      </w:r>
    </w:p>
    <w:p>
      <w:pPr>
        <w:pStyle w:val="BodyText"/>
        <w:spacing w:before="39"/>
        <w:ind w:right="1452"/>
        <w:jc w:val="center"/>
        <w:rPr>
          <w:rFonts w:ascii="Arial MT"/>
        </w:rPr>
      </w:pPr>
      <w:r>
        <w:rPr>
          <w:rFonts w:ascii="Arial MT"/>
        </w:rPr>
        <mc:AlternateContent>
          <mc:Choice Requires="wps">
            <w:drawing>
              <wp:anchor distT="0" distB="0" distL="0" distR="0" allowOverlap="1" layoutInCell="1" locked="0" behindDoc="1" simplePos="0" relativeHeight="475268608">
                <wp:simplePos x="0" y="0"/>
                <wp:positionH relativeFrom="page">
                  <wp:posOffset>3055852</wp:posOffset>
                </wp:positionH>
                <wp:positionV relativeFrom="paragraph">
                  <wp:posOffset>120615</wp:posOffset>
                </wp:positionV>
                <wp:extent cx="2576195" cy="1889760"/>
                <wp:effectExtent l="0" t="0" r="0" b="0"/>
                <wp:wrapNone/>
                <wp:docPr id="1641" name="Group 1641"/>
                <wp:cNvGraphicFramePr>
                  <a:graphicFrameLocks/>
                </wp:cNvGraphicFramePr>
                <a:graphic>
                  <a:graphicData uri="http://schemas.microsoft.com/office/word/2010/wordprocessingGroup">
                    <wpg:wgp>
                      <wpg:cNvPr id="1641" name="Group 1641"/>
                      <wpg:cNvGrpSpPr/>
                      <wpg:grpSpPr>
                        <a:xfrm>
                          <a:off x="0" y="0"/>
                          <a:ext cx="2576195" cy="1889760"/>
                          <a:chExt cx="2576195" cy="1889760"/>
                        </a:xfrm>
                      </wpg:grpSpPr>
                      <wps:wsp>
                        <wps:cNvPr id="1642" name="Graphic 1642"/>
                        <wps:cNvSpPr/>
                        <wps:spPr>
                          <a:xfrm>
                            <a:off x="720703" y="984800"/>
                            <a:ext cx="1270" cy="123189"/>
                          </a:xfrm>
                          <a:custGeom>
                            <a:avLst/>
                            <a:gdLst/>
                            <a:ahLst/>
                            <a:cxnLst/>
                            <a:rect l="l" t="t" r="r" b="b"/>
                            <a:pathLst>
                              <a:path w="0" h="123189">
                                <a:moveTo>
                                  <a:pt x="0" y="0"/>
                                </a:moveTo>
                                <a:lnTo>
                                  <a:pt x="0" y="123097"/>
                                </a:lnTo>
                              </a:path>
                            </a:pathLst>
                          </a:custGeom>
                          <a:ln w="11849">
                            <a:solidFill>
                              <a:srgbClr val="231F20"/>
                            </a:solidFill>
                            <a:prstDash val="solid"/>
                          </a:ln>
                        </wps:spPr>
                        <wps:bodyPr wrap="square" lIns="0" tIns="0" rIns="0" bIns="0" rtlCol="0">
                          <a:prstTxWarp prst="textNoShape">
                            <a:avLst/>
                          </a:prstTxWarp>
                          <a:noAutofit/>
                        </wps:bodyPr>
                      </wps:wsp>
                      <wps:wsp>
                        <wps:cNvPr id="1643" name="Graphic 1643"/>
                        <wps:cNvSpPr/>
                        <wps:spPr>
                          <a:xfrm>
                            <a:off x="682171" y="1080487"/>
                            <a:ext cx="77470" cy="94615"/>
                          </a:xfrm>
                          <a:custGeom>
                            <a:avLst/>
                            <a:gdLst/>
                            <a:ahLst/>
                            <a:cxnLst/>
                            <a:rect l="l" t="t" r="r" b="b"/>
                            <a:pathLst>
                              <a:path w="77470" h="94615">
                                <a:moveTo>
                                  <a:pt x="77063" y="0"/>
                                </a:moveTo>
                                <a:lnTo>
                                  <a:pt x="38531" y="22390"/>
                                </a:lnTo>
                                <a:lnTo>
                                  <a:pt x="0" y="0"/>
                                </a:lnTo>
                                <a:lnTo>
                                  <a:pt x="38531" y="94322"/>
                                </a:lnTo>
                                <a:lnTo>
                                  <a:pt x="77063" y="0"/>
                                </a:lnTo>
                                <a:close/>
                              </a:path>
                            </a:pathLst>
                          </a:custGeom>
                          <a:solidFill>
                            <a:srgbClr val="231F20"/>
                          </a:solidFill>
                        </wps:spPr>
                        <wps:bodyPr wrap="square" lIns="0" tIns="0" rIns="0" bIns="0" rtlCol="0">
                          <a:prstTxWarp prst="textNoShape">
                            <a:avLst/>
                          </a:prstTxWarp>
                          <a:noAutofit/>
                        </wps:bodyPr>
                      </wps:wsp>
                      <wps:wsp>
                        <wps:cNvPr id="1644" name="Graphic 1644"/>
                        <wps:cNvSpPr/>
                        <wps:spPr>
                          <a:xfrm>
                            <a:off x="703852" y="417796"/>
                            <a:ext cx="1270" cy="95250"/>
                          </a:xfrm>
                          <a:custGeom>
                            <a:avLst/>
                            <a:gdLst/>
                            <a:ahLst/>
                            <a:cxnLst/>
                            <a:rect l="l" t="t" r="r" b="b"/>
                            <a:pathLst>
                              <a:path w="0" h="95250">
                                <a:moveTo>
                                  <a:pt x="0" y="0"/>
                                </a:moveTo>
                                <a:lnTo>
                                  <a:pt x="0" y="95249"/>
                                </a:lnTo>
                              </a:path>
                            </a:pathLst>
                          </a:custGeom>
                          <a:ln w="11849">
                            <a:solidFill>
                              <a:srgbClr val="231F20"/>
                            </a:solidFill>
                            <a:prstDash val="solid"/>
                          </a:ln>
                        </wps:spPr>
                        <wps:bodyPr wrap="square" lIns="0" tIns="0" rIns="0" bIns="0" rtlCol="0">
                          <a:prstTxWarp prst="textNoShape">
                            <a:avLst/>
                          </a:prstTxWarp>
                          <a:noAutofit/>
                        </wps:bodyPr>
                      </wps:wsp>
                      <wps:wsp>
                        <wps:cNvPr id="1645" name="Graphic 1645"/>
                        <wps:cNvSpPr/>
                        <wps:spPr>
                          <a:xfrm>
                            <a:off x="180272" y="200537"/>
                            <a:ext cx="562610" cy="379730"/>
                          </a:xfrm>
                          <a:custGeom>
                            <a:avLst/>
                            <a:gdLst/>
                            <a:ahLst/>
                            <a:cxnLst/>
                            <a:rect l="l" t="t" r="r" b="b"/>
                            <a:pathLst>
                              <a:path w="562610" h="379730">
                                <a:moveTo>
                                  <a:pt x="94322" y="38531"/>
                                </a:moveTo>
                                <a:lnTo>
                                  <a:pt x="0" y="0"/>
                                </a:lnTo>
                                <a:lnTo>
                                  <a:pt x="22390" y="38531"/>
                                </a:lnTo>
                                <a:lnTo>
                                  <a:pt x="0" y="77063"/>
                                </a:lnTo>
                                <a:lnTo>
                                  <a:pt x="94322" y="38531"/>
                                </a:lnTo>
                                <a:close/>
                              </a:path>
                              <a:path w="562610" h="379730">
                                <a:moveTo>
                                  <a:pt x="562102" y="285115"/>
                                </a:moveTo>
                                <a:lnTo>
                                  <a:pt x="523570" y="307505"/>
                                </a:lnTo>
                                <a:lnTo>
                                  <a:pt x="485038" y="285115"/>
                                </a:lnTo>
                                <a:lnTo>
                                  <a:pt x="523570" y="379437"/>
                                </a:lnTo>
                                <a:lnTo>
                                  <a:pt x="562102" y="285115"/>
                                </a:lnTo>
                                <a:close/>
                              </a:path>
                            </a:pathLst>
                          </a:custGeom>
                          <a:solidFill>
                            <a:srgbClr val="231F20"/>
                          </a:solidFill>
                        </wps:spPr>
                        <wps:bodyPr wrap="square" lIns="0" tIns="0" rIns="0" bIns="0" rtlCol="0">
                          <a:prstTxWarp prst="textNoShape">
                            <a:avLst/>
                          </a:prstTxWarp>
                          <a:noAutofit/>
                        </wps:bodyPr>
                      </wps:wsp>
                      <wps:wsp>
                        <wps:cNvPr id="1646" name="Graphic 1646"/>
                        <wps:cNvSpPr/>
                        <wps:spPr>
                          <a:xfrm>
                            <a:off x="997987" y="763477"/>
                            <a:ext cx="474345" cy="1270"/>
                          </a:xfrm>
                          <a:custGeom>
                            <a:avLst/>
                            <a:gdLst/>
                            <a:ahLst/>
                            <a:cxnLst/>
                            <a:rect l="l" t="t" r="r" b="b"/>
                            <a:pathLst>
                              <a:path w="474345" h="0">
                                <a:moveTo>
                                  <a:pt x="0" y="0"/>
                                </a:moveTo>
                                <a:lnTo>
                                  <a:pt x="473728" y="0"/>
                                </a:lnTo>
                              </a:path>
                            </a:pathLst>
                          </a:custGeom>
                          <a:ln w="11849">
                            <a:solidFill>
                              <a:srgbClr val="231F20"/>
                            </a:solidFill>
                            <a:prstDash val="solid"/>
                          </a:ln>
                        </wps:spPr>
                        <wps:bodyPr wrap="square" lIns="0" tIns="0" rIns="0" bIns="0" rtlCol="0">
                          <a:prstTxWarp prst="textNoShape">
                            <a:avLst/>
                          </a:prstTxWarp>
                          <a:noAutofit/>
                        </wps:bodyPr>
                      </wps:wsp>
                      <wps:wsp>
                        <wps:cNvPr id="1647" name="Graphic 1647"/>
                        <wps:cNvSpPr/>
                        <wps:spPr>
                          <a:xfrm>
                            <a:off x="1444317" y="724958"/>
                            <a:ext cx="94615" cy="77470"/>
                          </a:xfrm>
                          <a:custGeom>
                            <a:avLst/>
                            <a:gdLst/>
                            <a:ahLst/>
                            <a:cxnLst/>
                            <a:rect l="l" t="t" r="r" b="b"/>
                            <a:pathLst>
                              <a:path w="94615" h="77470">
                                <a:moveTo>
                                  <a:pt x="0" y="0"/>
                                </a:moveTo>
                                <a:lnTo>
                                  <a:pt x="22390" y="38519"/>
                                </a:lnTo>
                                <a:lnTo>
                                  <a:pt x="0" y="77050"/>
                                </a:lnTo>
                                <a:lnTo>
                                  <a:pt x="94322" y="38519"/>
                                </a:lnTo>
                                <a:lnTo>
                                  <a:pt x="0" y="0"/>
                                </a:lnTo>
                                <a:close/>
                              </a:path>
                            </a:pathLst>
                          </a:custGeom>
                          <a:solidFill>
                            <a:srgbClr val="231F20"/>
                          </a:solidFill>
                        </wps:spPr>
                        <wps:bodyPr wrap="square" lIns="0" tIns="0" rIns="0" bIns="0" rtlCol="0">
                          <a:prstTxWarp prst="textNoShape">
                            <a:avLst/>
                          </a:prstTxWarp>
                          <a:noAutofit/>
                        </wps:bodyPr>
                      </wps:wsp>
                      <wps:wsp>
                        <wps:cNvPr id="1648" name="Textbox 1648"/>
                        <wps:cNvSpPr txBox="1"/>
                        <wps:spPr>
                          <a:xfrm>
                            <a:off x="5924" y="1168815"/>
                            <a:ext cx="1417320" cy="715010"/>
                          </a:xfrm>
                          <a:prstGeom prst="rect">
                            <a:avLst/>
                          </a:prstGeom>
                          <a:solidFill>
                            <a:srgbClr val="D1E4F6"/>
                          </a:solidFill>
                          <a:ln w="11849">
                            <a:solidFill>
                              <a:srgbClr val="231F20"/>
                            </a:solidFill>
                            <a:prstDash val="solid"/>
                          </a:ln>
                        </wps:spPr>
                        <wps:txbx>
                          <w:txbxContent>
                            <w:p>
                              <w:pPr>
                                <w:spacing w:before="85"/>
                                <w:ind w:left="119" w:right="117" w:hanging="1"/>
                                <w:jc w:val="center"/>
                                <w:rPr>
                                  <w:rFonts w:ascii="Arial MT"/>
                                  <w:color w:val="000000"/>
                                  <w:sz w:val="13"/>
                                </w:rPr>
                              </w:pPr>
                              <w:r>
                                <w:rPr>
                                  <w:rFonts w:ascii="Arial MT"/>
                                  <w:color w:val="231F20"/>
                                  <w:sz w:val="13"/>
                                </w:rPr>
                                <w:t>Clinician should initiate</w:t>
                              </w:r>
                              <w:r>
                                <w:rPr>
                                  <w:rFonts w:ascii="Arial MT"/>
                                  <w:color w:val="231F20"/>
                                  <w:spacing w:val="40"/>
                                  <w:sz w:val="13"/>
                                </w:rPr>
                                <w:t> </w:t>
                              </w:r>
                              <w:r>
                                <w:rPr>
                                  <w:rFonts w:ascii="Arial MT"/>
                                  <w:color w:val="231F20"/>
                                  <w:sz w:val="13"/>
                                </w:rPr>
                                <w:t>antibacterial</w:t>
                              </w:r>
                              <w:r>
                                <w:rPr>
                                  <w:rFonts w:ascii="Arial MT"/>
                                  <w:color w:val="231F20"/>
                                  <w:spacing w:val="-10"/>
                                  <w:sz w:val="13"/>
                                </w:rPr>
                                <w:t> </w:t>
                              </w:r>
                              <w:r>
                                <w:rPr>
                                  <w:rFonts w:ascii="Arial MT"/>
                                  <w:color w:val="231F20"/>
                                  <w:sz w:val="13"/>
                                </w:rPr>
                                <w:t>treatment</w:t>
                              </w:r>
                              <w:r>
                                <w:rPr>
                                  <w:rFonts w:ascii="Arial MT"/>
                                  <w:color w:val="231F20"/>
                                  <w:spacing w:val="-9"/>
                                  <w:sz w:val="13"/>
                                </w:rPr>
                                <w:t> </w:t>
                              </w:r>
                              <w:r>
                                <w:rPr>
                                  <w:rFonts w:ascii="Arial MT"/>
                                  <w:color w:val="231F20"/>
                                  <w:sz w:val="13"/>
                                </w:rPr>
                                <w:t>for</w:t>
                              </w:r>
                              <w:r>
                                <w:rPr>
                                  <w:rFonts w:ascii="Arial MT"/>
                                  <w:color w:val="231F20"/>
                                  <w:spacing w:val="-9"/>
                                  <w:sz w:val="13"/>
                                </w:rPr>
                                <w:t> </w:t>
                              </w:r>
                              <w:r>
                                <w:rPr>
                                  <w:rFonts w:ascii="Arial MT"/>
                                  <w:color w:val="231F20"/>
                                  <w:sz w:val="13"/>
                                </w:rPr>
                                <w:t>children</w:t>
                              </w:r>
                              <w:r>
                                <w:rPr>
                                  <w:rFonts w:ascii="Arial MT"/>
                                  <w:color w:val="231F20"/>
                                  <w:spacing w:val="40"/>
                                  <w:sz w:val="13"/>
                                </w:rPr>
                                <w:t> </w:t>
                              </w:r>
                              <w:r>
                                <w:rPr>
                                  <w:rFonts w:ascii="Arial MT"/>
                                  <w:color w:val="231F20"/>
                                  <w:sz w:val="13"/>
                                </w:rPr>
                                <w:t>initially</w:t>
                              </w:r>
                              <w:r>
                                <w:rPr>
                                  <w:rFonts w:ascii="Arial MT"/>
                                  <w:color w:val="231F20"/>
                                  <w:spacing w:val="-3"/>
                                  <w:sz w:val="13"/>
                                </w:rPr>
                                <w:t> </w:t>
                              </w:r>
                              <w:r>
                                <w:rPr>
                                  <w:rFonts w:ascii="Arial MT"/>
                                  <w:color w:val="231F20"/>
                                  <w:sz w:val="13"/>
                                </w:rPr>
                                <w:t>managed</w:t>
                              </w:r>
                              <w:r>
                                <w:rPr>
                                  <w:rFonts w:ascii="Arial MT"/>
                                  <w:color w:val="231F20"/>
                                  <w:spacing w:val="-3"/>
                                  <w:sz w:val="13"/>
                                </w:rPr>
                                <w:t> </w:t>
                              </w:r>
                              <w:r>
                                <w:rPr>
                                  <w:rFonts w:ascii="Arial MT"/>
                                  <w:color w:val="231F20"/>
                                  <w:sz w:val="13"/>
                                </w:rPr>
                                <w:t>with</w:t>
                              </w:r>
                              <w:r>
                                <w:rPr>
                                  <w:rFonts w:ascii="Arial MT"/>
                                  <w:color w:val="231F20"/>
                                  <w:spacing w:val="-3"/>
                                  <w:sz w:val="13"/>
                                </w:rPr>
                                <w:t> </w:t>
                              </w:r>
                              <w:r>
                                <w:rPr>
                                  <w:rFonts w:ascii="Arial MT"/>
                                  <w:color w:val="231F20"/>
                                  <w:sz w:val="13"/>
                                </w:rPr>
                                <w:t>observation</w:t>
                              </w:r>
                              <w:r>
                                <w:rPr>
                                  <w:rFonts w:ascii="Arial MT"/>
                                  <w:color w:val="231F20"/>
                                  <w:spacing w:val="40"/>
                                  <w:sz w:val="13"/>
                                </w:rPr>
                                <w:t> </w:t>
                              </w:r>
                              <w:r>
                                <w:rPr>
                                  <w:rFonts w:ascii="Arial MT"/>
                                  <w:color w:val="231F20"/>
                                  <w:sz w:val="13"/>
                                </w:rPr>
                                <w:t>or change antibacterial treatment</w:t>
                              </w:r>
                              <w:r>
                                <w:rPr>
                                  <w:rFonts w:ascii="Arial MT"/>
                                  <w:color w:val="231F20"/>
                                  <w:spacing w:val="40"/>
                                  <w:sz w:val="13"/>
                                </w:rPr>
                                <w:t> </w:t>
                              </w:r>
                              <w:r>
                                <w:rPr>
                                  <w:rFonts w:ascii="Arial MT"/>
                                  <w:color w:val="231F20"/>
                                  <w:sz w:val="13"/>
                                </w:rPr>
                                <w:t>for patients initially managed with</w:t>
                              </w:r>
                              <w:r>
                                <w:rPr>
                                  <w:rFonts w:ascii="Arial MT"/>
                                  <w:color w:val="231F20"/>
                                  <w:spacing w:val="40"/>
                                  <w:sz w:val="13"/>
                                </w:rPr>
                                <w:t> </w:t>
                              </w:r>
                              <w:r>
                                <w:rPr>
                                  <w:rFonts w:ascii="Arial MT"/>
                                  <w:color w:val="231F20"/>
                                  <w:sz w:val="13"/>
                                </w:rPr>
                                <w:t>antibacterial</w:t>
                              </w:r>
                              <w:r>
                                <w:rPr>
                                  <w:rFonts w:ascii="Arial MT"/>
                                  <w:color w:val="231F20"/>
                                  <w:spacing w:val="-5"/>
                                  <w:sz w:val="13"/>
                                </w:rPr>
                                <w:t> </w:t>
                              </w:r>
                              <w:r>
                                <w:rPr>
                                  <w:rFonts w:ascii="Arial MT"/>
                                  <w:color w:val="231F20"/>
                                  <w:sz w:val="13"/>
                                </w:rPr>
                                <w:t>therapy.</w:t>
                              </w:r>
                            </w:p>
                          </w:txbxContent>
                        </wps:txbx>
                        <wps:bodyPr wrap="square" lIns="0" tIns="0" rIns="0" bIns="0" rtlCol="0">
                          <a:noAutofit/>
                        </wps:bodyPr>
                      </wps:wsp>
                      <wps:wsp>
                        <wps:cNvPr id="1649" name="Textbox 1649"/>
                        <wps:cNvSpPr txBox="1"/>
                        <wps:spPr>
                          <a:xfrm>
                            <a:off x="420314" y="572919"/>
                            <a:ext cx="577850" cy="412115"/>
                          </a:xfrm>
                          <a:prstGeom prst="rect">
                            <a:avLst/>
                          </a:prstGeom>
                          <a:solidFill>
                            <a:srgbClr val="F1BCB5"/>
                          </a:solidFill>
                          <a:ln w="11849">
                            <a:solidFill>
                              <a:srgbClr val="231F20"/>
                            </a:solidFill>
                            <a:prstDash val="solid"/>
                          </a:ln>
                        </wps:spPr>
                        <wps:txbx>
                          <w:txbxContent>
                            <w:p>
                              <w:pPr>
                                <w:spacing w:before="85"/>
                                <w:ind w:left="74" w:right="72" w:firstLine="0"/>
                                <w:jc w:val="center"/>
                                <w:rPr>
                                  <w:rFonts w:ascii="Arial MT"/>
                                  <w:color w:val="000000"/>
                                  <w:sz w:val="13"/>
                                </w:rPr>
                              </w:pPr>
                              <w:r>
                                <w:rPr>
                                  <w:rFonts w:ascii="Arial MT"/>
                                  <w:color w:val="231F20"/>
                                  <w:sz w:val="13"/>
                                </w:rPr>
                                <w:t>Is</w:t>
                              </w:r>
                              <w:r>
                                <w:rPr>
                                  <w:rFonts w:ascii="Arial MT"/>
                                  <w:color w:val="231F20"/>
                                  <w:spacing w:val="-10"/>
                                  <w:sz w:val="13"/>
                                </w:rPr>
                                <w:t> </w:t>
                              </w:r>
                              <w:r>
                                <w:rPr>
                                  <w:rFonts w:ascii="Arial MT"/>
                                  <w:color w:val="231F20"/>
                                  <w:sz w:val="13"/>
                                </w:rPr>
                                <w:t>diagnosis</w:t>
                              </w:r>
                              <w:r>
                                <w:rPr>
                                  <w:rFonts w:ascii="Arial MT"/>
                                  <w:color w:val="231F20"/>
                                  <w:spacing w:val="40"/>
                                  <w:sz w:val="13"/>
                                </w:rPr>
                                <w:t> </w:t>
                              </w:r>
                              <w:r>
                                <w:rPr>
                                  <w:rFonts w:ascii="Arial MT"/>
                                  <w:color w:val="231F20"/>
                                  <w:sz w:val="13"/>
                                </w:rPr>
                                <w:t>of</w:t>
                              </w:r>
                              <w:r>
                                <w:rPr>
                                  <w:rFonts w:ascii="Arial MT"/>
                                  <w:color w:val="231F20"/>
                                  <w:spacing w:val="-10"/>
                                  <w:sz w:val="13"/>
                                </w:rPr>
                                <w:t> </w:t>
                              </w:r>
                              <w:r>
                                <w:rPr>
                                  <w:rFonts w:ascii="Arial MT"/>
                                  <w:color w:val="231F20"/>
                                  <w:sz w:val="13"/>
                                </w:rPr>
                                <w:t>AOM</w:t>
                              </w:r>
                              <w:r>
                                <w:rPr>
                                  <w:rFonts w:ascii="Arial MT"/>
                                  <w:color w:val="231F20"/>
                                  <w:spacing w:val="40"/>
                                  <w:sz w:val="13"/>
                                </w:rPr>
                                <w:t> </w:t>
                              </w:r>
                              <w:r>
                                <w:rPr>
                                  <w:rFonts w:ascii="Arial MT"/>
                                  <w:color w:val="231F20"/>
                                  <w:spacing w:val="-2"/>
                                  <w:sz w:val="13"/>
                                </w:rPr>
                                <w:t>confirmed?</w:t>
                              </w:r>
                            </w:p>
                          </w:txbxContent>
                        </wps:txbx>
                        <wps:bodyPr wrap="square" lIns="0" tIns="0" rIns="0" bIns="0" rtlCol="0">
                          <a:noAutofit/>
                        </wps:bodyPr>
                      </wps:wsp>
                      <wps:wsp>
                        <wps:cNvPr id="1650" name="Textbox 1650"/>
                        <wps:cNvSpPr txBox="1"/>
                        <wps:spPr>
                          <a:xfrm>
                            <a:off x="267684" y="5924"/>
                            <a:ext cx="904240" cy="412115"/>
                          </a:xfrm>
                          <a:prstGeom prst="rect">
                            <a:avLst/>
                          </a:prstGeom>
                          <a:solidFill>
                            <a:srgbClr val="D1E4F6"/>
                          </a:solidFill>
                          <a:ln w="11849">
                            <a:solidFill>
                              <a:srgbClr val="231F20"/>
                            </a:solidFill>
                            <a:prstDash val="solid"/>
                          </a:ln>
                        </wps:spPr>
                        <wps:txbx>
                          <w:txbxContent>
                            <w:p>
                              <w:pPr>
                                <w:spacing w:before="84"/>
                                <w:ind w:left="107" w:right="105" w:firstLine="0"/>
                                <w:jc w:val="center"/>
                                <w:rPr>
                                  <w:rFonts w:ascii="Arial MT"/>
                                  <w:color w:val="000000"/>
                                  <w:sz w:val="13"/>
                                </w:rPr>
                              </w:pPr>
                              <w:r>
                                <w:rPr>
                                  <w:rFonts w:ascii="Arial MT"/>
                                  <w:color w:val="231F20"/>
                                  <w:sz w:val="13"/>
                                </w:rPr>
                                <w:t>Clinician</w:t>
                              </w:r>
                              <w:r>
                                <w:rPr>
                                  <w:rFonts w:ascii="Arial MT"/>
                                  <w:color w:val="231F20"/>
                                  <w:spacing w:val="-10"/>
                                  <w:sz w:val="13"/>
                                </w:rPr>
                                <w:t> </w:t>
                              </w:r>
                              <w:r>
                                <w:rPr>
                                  <w:rFonts w:ascii="Arial MT"/>
                                  <w:color w:val="231F20"/>
                                  <w:sz w:val="13"/>
                                </w:rPr>
                                <w:t>reassesses</w:t>
                              </w:r>
                              <w:r>
                                <w:rPr>
                                  <w:rFonts w:ascii="Arial MT"/>
                                  <w:color w:val="231F20"/>
                                  <w:spacing w:val="40"/>
                                  <w:sz w:val="13"/>
                                </w:rPr>
                                <w:t> </w:t>
                              </w:r>
                              <w:r>
                                <w:rPr>
                                  <w:rFonts w:ascii="Arial MT"/>
                                  <w:color w:val="231F20"/>
                                  <w:sz w:val="13"/>
                                </w:rPr>
                                <w:t>and</w:t>
                              </w:r>
                              <w:r>
                                <w:rPr>
                                  <w:rFonts w:ascii="Arial MT"/>
                                  <w:color w:val="231F20"/>
                                  <w:spacing w:val="-5"/>
                                  <w:sz w:val="13"/>
                                </w:rPr>
                                <w:t> </w:t>
                              </w:r>
                              <w:r>
                                <w:rPr>
                                  <w:rFonts w:ascii="Arial MT"/>
                                  <w:color w:val="231F20"/>
                                  <w:sz w:val="13"/>
                                </w:rPr>
                                <w:t>confirms</w:t>
                              </w:r>
                              <w:r>
                                <w:rPr>
                                  <w:rFonts w:ascii="Arial MT"/>
                                  <w:color w:val="231F20"/>
                                  <w:spacing w:val="40"/>
                                  <w:sz w:val="13"/>
                                </w:rPr>
                                <w:t> </w:t>
                              </w:r>
                              <w:r>
                                <w:rPr>
                                  <w:rFonts w:ascii="Arial MT"/>
                                  <w:color w:val="231F20"/>
                                  <w:sz w:val="13"/>
                                </w:rPr>
                                <w:t>diagnosis of AOM.</w:t>
                              </w:r>
                            </w:p>
                          </w:txbxContent>
                        </wps:txbx>
                        <wps:bodyPr wrap="square" lIns="0" tIns="0" rIns="0" bIns="0" rtlCol="0">
                          <a:noAutofit/>
                        </wps:bodyPr>
                      </wps:wsp>
                      <wps:wsp>
                        <wps:cNvPr id="1651" name="Textbox 1651"/>
                        <wps:cNvSpPr txBox="1"/>
                        <wps:spPr>
                          <a:xfrm>
                            <a:off x="1535559" y="551626"/>
                            <a:ext cx="1035050" cy="412115"/>
                          </a:xfrm>
                          <a:prstGeom prst="rect">
                            <a:avLst/>
                          </a:prstGeom>
                          <a:solidFill>
                            <a:srgbClr val="D1E4F6"/>
                          </a:solidFill>
                          <a:ln w="11849">
                            <a:solidFill>
                              <a:srgbClr val="231F20"/>
                            </a:solidFill>
                            <a:prstDash val="solid"/>
                          </a:ln>
                        </wps:spPr>
                        <wps:txbx>
                          <w:txbxContent>
                            <w:p>
                              <w:pPr>
                                <w:spacing w:before="85"/>
                                <w:ind w:left="110" w:right="104" w:firstLine="0"/>
                                <w:jc w:val="center"/>
                                <w:rPr>
                                  <w:rFonts w:ascii="Arial MT"/>
                                  <w:color w:val="000000"/>
                                  <w:sz w:val="13"/>
                                </w:rPr>
                              </w:pPr>
                              <w:r>
                                <w:rPr>
                                  <w:rFonts w:ascii="Arial MT"/>
                                  <w:color w:val="231F20"/>
                                  <w:sz w:val="13"/>
                                </w:rPr>
                                <w:t>Assess</w:t>
                              </w:r>
                              <w:r>
                                <w:rPr>
                                  <w:rFonts w:ascii="Arial MT"/>
                                  <w:color w:val="231F20"/>
                                  <w:spacing w:val="-10"/>
                                  <w:sz w:val="13"/>
                                </w:rPr>
                                <w:t> </w:t>
                              </w:r>
                              <w:r>
                                <w:rPr>
                                  <w:rFonts w:ascii="Arial MT"/>
                                  <w:color w:val="231F20"/>
                                  <w:sz w:val="13"/>
                                </w:rPr>
                                <w:t>for</w:t>
                              </w:r>
                              <w:r>
                                <w:rPr>
                                  <w:rFonts w:ascii="Arial MT"/>
                                  <w:color w:val="231F20"/>
                                  <w:spacing w:val="-9"/>
                                  <w:sz w:val="13"/>
                                </w:rPr>
                                <w:t> </w:t>
                              </w:r>
                              <w:r>
                                <w:rPr>
                                  <w:rFonts w:ascii="Arial MT"/>
                                  <w:color w:val="231F20"/>
                                  <w:sz w:val="13"/>
                                </w:rPr>
                                <w:t>other</w:t>
                              </w:r>
                              <w:r>
                                <w:rPr>
                                  <w:rFonts w:ascii="Arial MT"/>
                                  <w:color w:val="231F20"/>
                                  <w:spacing w:val="-9"/>
                                  <w:sz w:val="13"/>
                                </w:rPr>
                                <w:t> </w:t>
                              </w:r>
                              <w:r>
                                <w:rPr>
                                  <w:rFonts w:ascii="Arial MT"/>
                                  <w:color w:val="231F20"/>
                                  <w:sz w:val="13"/>
                                </w:rPr>
                                <w:t>causes</w:t>
                              </w:r>
                              <w:r>
                                <w:rPr>
                                  <w:rFonts w:ascii="Arial MT"/>
                                  <w:color w:val="231F20"/>
                                  <w:spacing w:val="40"/>
                                  <w:sz w:val="13"/>
                                </w:rPr>
                                <w:t> </w:t>
                              </w:r>
                              <w:r>
                                <w:rPr>
                                  <w:rFonts w:ascii="Arial MT"/>
                                  <w:color w:val="231F20"/>
                                  <w:sz w:val="13"/>
                                </w:rPr>
                                <w:t>of illness and manage</w:t>
                              </w:r>
                              <w:r>
                                <w:rPr>
                                  <w:rFonts w:ascii="Arial MT"/>
                                  <w:color w:val="231F20"/>
                                  <w:spacing w:val="40"/>
                                  <w:sz w:val="13"/>
                                </w:rPr>
                                <w:t> </w:t>
                              </w:r>
                              <w:r>
                                <w:rPr>
                                  <w:rFonts w:ascii="Arial MT"/>
                                  <w:color w:val="231F20"/>
                                  <w:spacing w:val="-2"/>
                                  <w:sz w:val="13"/>
                                </w:rPr>
                                <w:t>appropriately.</w:t>
                              </w:r>
                            </w:p>
                          </w:txbxContent>
                        </wps:txbx>
                        <wps:bodyPr wrap="square" lIns="0" tIns="0" rIns="0" bIns="0" rtlCol="0">
                          <a:noAutofit/>
                        </wps:bodyPr>
                      </wps:wsp>
                    </wpg:wgp>
                  </a:graphicData>
                </a:graphic>
              </wp:anchor>
            </w:drawing>
          </mc:Choice>
          <mc:Fallback>
            <w:pict>
              <v:group style="position:absolute;margin-left:240.618317pt;margin-top:9.497293pt;width:202.85pt;height:148.8pt;mso-position-horizontal-relative:page;mso-position-vertical-relative:paragraph;z-index:-28047872" id="docshapegroup1300" coordorigin="4812,190" coordsize="4057,2976">
                <v:line style="position:absolute" from="5947,1741" to="5947,1935" stroked="true" strokeweight=".933007pt" strokecolor="#231f20">
                  <v:stroke dashstyle="solid"/>
                </v:line>
                <v:shape style="position:absolute;left:5886;top:1891;width:122;height:149" id="docshape1301" coordorigin="5887,1892" coordsize="122,149" path="m6008,1892l5947,1927,5887,1892,5947,2040,6008,1892xe" filled="true" fillcolor="#231f20" stroked="false">
                  <v:path arrowok="t"/>
                  <v:fill type="solid"/>
                </v:shape>
                <v:line style="position:absolute" from="5921,848" to="5921,998" stroked="true" strokeweight=".933007pt" strokecolor="#231f20">
                  <v:stroke dashstyle="solid"/>
                </v:line>
                <v:shape style="position:absolute;left:5096;top:505;width:886;height:598" id="docshape1302" coordorigin="5096,506" coordsize="886,598" path="m5245,566l5096,506,5132,566,5096,627,5245,566xm5981,955l5921,990,5860,955,5921,1103,5981,955xe" filled="true" fillcolor="#231f20" stroked="false">
                  <v:path arrowok="t"/>
                  <v:fill type="solid"/>
                </v:shape>
                <v:line style="position:absolute" from="6384,1392" to="7130,1392" stroked="true" strokeweight=".933007pt" strokecolor="#231f20">
                  <v:stroke dashstyle="solid"/>
                </v:line>
                <v:shape style="position:absolute;left:7086;top:1331;width:149;height:122" id="docshape1303" coordorigin="7087,1332" coordsize="149,122" path="m7087,1332l7122,1392,7087,1453,7235,1392,7087,1332xe" filled="true" fillcolor="#231f20" stroked="false">
                  <v:path arrowok="t"/>
                  <v:fill type="solid"/>
                </v:shape>
                <v:shape style="position:absolute;left:4821;top:2030;width:2232;height:1126" type="#_x0000_t202" id="docshape1304" filled="true" fillcolor="#d1e4f6" stroked="true" strokeweight=".933007pt" strokecolor="#231f20">
                  <v:textbox inset="0,0,0,0">
                    <w:txbxContent>
                      <w:p>
                        <w:pPr>
                          <w:spacing w:before="85"/>
                          <w:ind w:left="119" w:right="117" w:hanging="1"/>
                          <w:jc w:val="center"/>
                          <w:rPr>
                            <w:rFonts w:ascii="Arial MT"/>
                            <w:color w:val="000000"/>
                            <w:sz w:val="13"/>
                          </w:rPr>
                        </w:pPr>
                        <w:r>
                          <w:rPr>
                            <w:rFonts w:ascii="Arial MT"/>
                            <w:color w:val="231F20"/>
                            <w:sz w:val="13"/>
                          </w:rPr>
                          <w:t>Clinician should initiate</w:t>
                        </w:r>
                        <w:r>
                          <w:rPr>
                            <w:rFonts w:ascii="Arial MT"/>
                            <w:color w:val="231F20"/>
                            <w:spacing w:val="40"/>
                            <w:sz w:val="13"/>
                          </w:rPr>
                          <w:t> </w:t>
                        </w:r>
                        <w:r>
                          <w:rPr>
                            <w:rFonts w:ascii="Arial MT"/>
                            <w:color w:val="231F20"/>
                            <w:sz w:val="13"/>
                          </w:rPr>
                          <w:t>antibacterial</w:t>
                        </w:r>
                        <w:r>
                          <w:rPr>
                            <w:rFonts w:ascii="Arial MT"/>
                            <w:color w:val="231F20"/>
                            <w:spacing w:val="-10"/>
                            <w:sz w:val="13"/>
                          </w:rPr>
                          <w:t> </w:t>
                        </w:r>
                        <w:r>
                          <w:rPr>
                            <w:rFonts w:ascii="Arial MT"/>
                            <w:color w:val="231F20"/>
                            <w:sz w:val="13"/>
                          </w:rPr>
                          <w:t>treatment</w:t>
                        </w:r>
                        <w:r>
                          <w:rPr>
                            <w:rFonts w:ascii="Arial MT"/>
                            <w:color w:val="231F20"/>
                            <w:spacing w:val="-9"/>
                            <w:sz w:val="13"/>
                          </w:rPr>
                          <w:t> </w:t>
                        </w:r>
                        <w:r>
                          <w:rPr>
                            <w:rFonts w:ascii="Arial MT"/>
                            <w:color w:val="231F20"/>
                            <w:sz w:val="13"/>
                          </w:rPr>
                          <w:t>for</w:t>
                        </w:r>
                        <w:r>
                          <w:rPr>
                            <w:rFonts w:ascii="Arial MT"/>
                            <w:color w:val="231F20"/>
                            <w:spacing w:val="-9"/>
                            <w:sz w:val="13"/>
                          </w:rPr>
                          <w:t> </w:t>
                        </w:r>
                        <w:r>
                          <w:rPr>
                            <w:rFonts w:ascii="Arial MT"/>
                            <w:color w:val="231F20"/>
                            <w:sz w:val="13"/>
                          </w:rPr>
                          <w:t>children</w:t>
                        </w:r>
                        <w:r>
                          <w:rPr>
                            <w:rFonts w:ascii="Arial MT"/>
                            <w:color w:val="231F20"/>
                            <w:spacing w:val="40"/>
                            <w:sz w:val="13"/>
                          </w:rPr>
                          <w:t> </w:t>
                        </w:r>
                        <w:r>
                          <w:rPr>
                            <w:rFonts w:ascii="Arial MT"/>
                            <w:color w:val="231F20"/>
                            <w:sz w:val="13"/>
                          </w:rPr>
                          <w:t>initially</w:t>
                        </w:r>
                        <w:r>
                          <w:rPr>
                            <w:rFonts w:ascii="Arial MT"/>
                            <w:color w:val="231F20"/>
                            <w:spacing w:val="-3"/>
                            <w:sz w:val="13"/>
                          </w:rPr>
                          <w:t> </w:t>
                        </w:r>
                        <w:r>
                          <w:rPr>
                            <w:rFonts w:ascii="Arial MT"/>
                            <w:color w:val="231F20"/>
                            <w:sz w:val="13"/>
                          </w:rPr>
                          <w:t>managed</w:t>
                        </w:r>
                        <w:r>
                          <w:rPr>
                            <w:rFonts w:ascii="Arial MT"/>
                            <w:color w:val="231F20"/>
                            <w:spacing w:val="-3"/>
                            <w:sz w:val="13"/>
                          </w:rPr>
                          <w:t> </w:t>
                        </w:r>
                        <w:r>
                          <w:rPr>
                            <w:rFonts w:ascii="Arial MT"/>
                            <w:color w:val="231F20"/>
                            <w:sz w:val="13"/>
                          </w:rPr>
                          <w:t>with</w:t>
                        </w:r>
                        <w:r>
                          <w:rPr>
                            <w:rFonts w:ascii="Arial MT"/>
                            <w:color w:val="231F20"/>
                            <w:spacing w:val="-3"/>
                            <w:sz w:val="13"/>
                          </w:rPr>
                          <w:t> </w:t>
                        </w:r>
                        <w:r>
                          <w:rPr>
                            <w:rFonts w:ascii="Arial MT"/>
                            <w:color w:val="231F20"/>
                            <w:sz w:val="13"/>
                          </w:rPr>
                          <w:t>observation</w:t>
                        </w:r>
                        <w:r>
                          <w:rPr>
                            <w:rFonts w:ascii="Arial MT"/>
                            <w:color w:val="231F20"/>
                            <w:spacing w:val="40"/>
                            <w:sz w:val="13"/>
                          </w:rPr>
                          <w:t> </w:t>
                        </w:r>
                        <w:r>
                          <w:rPr>
                            <w:rFonts w:ascii="Arial MT"/>
                            <w:color w:val="231F20"/>
                            <w:sz w:val="13"/>
                          </w:rPr>
                          <w:t>or change antibacterial treatment</w:t>
                        </w:r>
                        <w:r>
                          <w:rPr>
                            <w:rFonts w:ascii="Arial MT"/>
                            <w:color w:val="231F20"/>
                            <w:spacing w:val="40"/>
                            <w:sz w:val="13"/>
                          </w:rPr>
                          <w:t> </w:t>
                        </w:r>
                        <w:r>
                          <w:rPr>
                            <w:rFonts w:ascii="Arial MT"/>
                            <w:color w:val="231F20"/>
                            <w:sz w:val="13"/>
                          </w:rPr>
                          <w:t>for patients initially managed with</w:t>
                        </w:r>
                        <w:r>
                          <w:rPr>
                            <w:rFonts w:ascii="Arial MT"/>
                            <w:color w:val="231F20"/>
                            <w:spacing w:val="40"/>
                            <w:sz w:val="13"/>
                          </w:rPr>
                          <w:t> </w:t>
                        </w:r>
                        <w:r>
                          <w:rPr>
                            <w:rFonts w:ascii="Arial MT"/>
                            <w:color w:val="231F20"/>
                            <w:sz w:val="13"/>
                          </w:rPr>
                          <w:t>antibacterial</w:t>
                        </w:r>
                        <w:r>
                          <w:rPr>
                            <w:rFonts w:ascii="Arial MT"/>
                            <w:color w:val="231F20"/>
                            <w:spacing w:val="-5"/>
                            <w:sz w:val="13"/>
                          </w:rPr>
                          <w:t> </w:t>
                        </w:r>
                        <w:r>
                          <w:rPr>
                            <w:rFonts w:ascii="Arial MT"/>
                            <w:color w:val="231F20"/>
                            <w:sz w:val="13"/>
                          </w:rPr>
                          <w:t>therapy.</w:t>
                        </w:r>
                      </w:p>
                    </w:txbxContent>
                  </v:textbox>
                  <v:fill type="solid"/>
                  <v:stroke dashstyle="solid"/>
                  <w10:wrap type="none"/>
                </v:shape>
                <v:shape style="position:absolute;left:5474;top:1092;width:910;height:649" type="#_x0000_t202" id="docshape1305" filled="true" fillcolor="#f1bcb5" stroked="true" strokeweight=".933007pt" strokecolor="#231f20">
                  <v:textbox inset="0,0,0,0">
                    <w:txbxContent>
                      <w:p>
                        <w:pPr>
                          <w:spacing w:before="85"/>
                          <w:ind w:left="74" w:right="72" w:firstLine="0"/>
                          <w:jc w:val="center"/>
                          <w:rPr>
                            <w:rFonts w:ascii="Arial MT"/>
                            <w:color w:val="000000"/>
                            <w:sz w:val="13"/>
                          </w:rPr>
                        </w:pPr>
                        <w:r>
                          <w:rPr>
                            <w:rFonts w:ascii="Arial MT"/>
                            <w:color w:val="231F20"/>
                            <w:sz w:val="13"/>
                          </w:rPr>
                          <w:t>Is</w:t>
                        </w:r>
                        <w:r>
                          <w:rPr>
                            <w:rFonts w:ascii="Arial MT"/>
                            <w:color w:val="231F20"/>
                            <w:spacing w:val="-10"/>
                            <w:sz w:val="13"/>
                          </w:rPr>
                          <w:t> </w:t>
                        </w:r>
                        <w:r>
                          <w:rPr>
                            <w:rFonts w:ascii="Arial MT"/>
                            <w:color w:val="231F20"/>
                            <w:sz w:val="13"/>
                          </w:rPr>
                          <w:t>diagnosis</w:t>
                        </w:r>
                        <w:r>
                          <w:rPr>
                            <w:rFonts w:ascii="Arial MT"/>
                            <w:color w:val="231F20"/>
                            <w:spacing w:val="40"/>
                            <w:sz w:val="13"/>
                          </w:rPr>
                          <w:t> </w:t>
                        </w:r>
                        <w:r>
                          <w:rPr>
                            <w:rFonts w:ascii="Arial MT"/>
                            <w:color w:val="231F20"/>
                            <w:sz w:val="13"/>
                          </w:rPr>
                          <w:t>of</w:t>
                        </w:r>
                        <w:r>
                          <w:rPr>
                            <w:rFonts w:ascii="Arial MT"/>
                            <w:color w:val="231F20"/>
                            <w:spacing w:val="-10"/>
                            <w:sz w:val="13"/>
                          </w:rPr>
                          <w:t> </w:t>
                        </w:r>
                        <w:r>
                          <w:rPr>
                            <w:rFonts w:ascii="Arial MT"/>
                            <w:color w:val="231F20"/>
                            <w:sz w:val="13"/>
                          </w:rPr>
                          <w:t>AOM</w:t>
                        </w:r>
                        <w:r>
                          <w:rPr>
                            <w:rFonts w:ascii="Arial MT"/>
                            <w:color w:val="231F20"/>
                            <w:spacing w:val="40"/>
                            <w:sz w:val="13"/>
                          </w:rPr>
                          <w:t> </w:t>
                        </w:r>
                        <w:r>
                          <w:rPr>
                            <w:rFonts w:ascii="Arial MT"/>
                            <w:color w:val="231F20"/>
                            <w:spacing w:val="-2"/>
                            <w:sz w:val="13"/>
                          </w:rPr>
                          <w:t>confirmed?</w:t>
                        </w:r>
                      </w:p>
                    </w:txbxContent>
                  </v:textbox>
                  <v:fill type="solid"/>
                  <v:stroke dashstyle="solid"/>
                  <w10:wrap type="none"/>
                </v:shape>
                <v:shape style="position:absolute;left:5233;top:199;width:1424;height:649" type="#_x0000_t202" id="docshape1306" filled="true" fillcolor="#d1e4f6" stroked="true" strokeweight=".933007pt" strokecolor="#231f20">
                  <v:textbox inset="0,0,0,0">
                    <w:txbxContent>
                      <w:p>
                        <w:pPr>
                          <w:spacing w:before="84"/>
                          <w:ind w:left="107" w:right="105" w:firstLine="0"/>
                          <w:jc w:val="center"/>
                          <w:rPr>
                            <w:rFonts w:ascii="Arial MT"/>
                            <w:color w:val="000000"/>
                            <w:sz w:val="13"/>
                          </w:rPr>
                        </w:pPr>
                        <w:r>
                          <w:rPr>
                            <w:rFonts w:ascii="Arial MT"/>
                            <w:color w:val="231F20"/>
                            <w:sz w:val="13"/>
                          </w:rPr>
                          <w:t>Clinician</w:t>
                        </w:r>
                        <w:r>
                          <w:rPr>
                            <w:rFonts w:ascii="Arial MT"/>
                            <w:color w:val="231F20"/>
                            <w:spacing w:val="-10"/>
                            <w:sz w:val="13"/>
                          </w:rPr>
                          <w:t> </w:t>
                        </w:r>
                        <w:r>
                          <w:rPr>
                            <w:rFonts w:ascii="Arial MT"/>
                            <w:color w:val="231F20"/>
                            <w:sz w:val="13"/>
                          </w:rPr>
                          <w:t>reassesses</w:t>
                        </w:r>
                        <w:r>
                          <w:rPr>
                            <w:rFonts w:ascii="Arial MT"/>
                            <w:color w:val="231F20"/>
                            <w:spacing w:val="40"/>
                            <w:sz w:val="13"/>
                          </w:rPr>
                          <w:t> </w:t>
                        </w:r>
                        <w:r>
                          <w:rPr>
                            <w:rFonts w:ascii="Arial MT"/>
                            <w:color w:val="231F20"/>
                            <w:sz w:val="13"/>
                          </w:rPr>
                          <w:t>and</w:t>
                        </w:r>
                        <w:r>
                          <w:rPr>
                            <w:rFonts w:ascii="Arial MT"/>
                            <w:color w:val="231F20"/>
                            <w:spacing w:val="-5"/>
                            <w:sz w:val="13"/>
                          </w:rPr>
                          <w:t> </w:t>
                        </w:r>
                        <w:r>
                          <w:rPr>
                            <w:rFonts w:ascii="Arial MT"/>
                            <w:color w:val="231F20"/>
                            <w:sz w:val="13"/>
                          </w:rPr>
                          <w:t>confirms</w:t>
                        </w:r>
                        <w:r>
                          <w:rPr>
                            <w:rFonts w:ascii="Arial MT"/>
                            <w:color w:val="231F20"/>
                            <w:spacing w:val="40"/>
                            <w:sz w:val="13"/>
                          </w:rPr>
                          <w:t> </w:t>
                        </w:r>
                        <w:r>
                          <w:rPr>
                            <w:rFonts w:ascii="Arial MT"/>
                            <w:color w:val="231F20"/>
                            <w:sz w:val="13"/>
                          </w:rPr>
                          <w:t>diagnosis of AOM.</w:t>
                        </w:r>
                      </w:p>
                    </w:txbxContent>
                  </v:textbox>
                  <v:fill type="solid"/>
                  <v:stroke dashstyle="solid"/>
                  <w10:wrap type="none"/>
                </v:shape>
                <v:shape style="position:absolute;left:7230;top:1058;width:1630;height:649" type="#_x0000_t202" id="docshape1307" filled="true" fillcolor="#d1e4f6" stroked="true" strokeweight=".933007pt" strokecolor="#231f20">
                  <v:textbox inset="0,0,0,0">
                    <w:txbxContent>
                      <w:p>
                        <w:pPr>
                          <w:spacing w:before="85"/>
                          <w:ind w:left="110" w:right="104" w:firstLine="0"/>
                          <w:jc w:val="center"/>
                          <w:rPr>
                            <w:rFonts w:ascii="Arial MT"/>
                            <w:color w:val="000000"/>
                            <w:sz w:val="13"/>
                          </w:rPr>
                        </w:pPr>
                        <w:r>
                          <w:rPr>
                            <w:rFonts w:ascii="Arial MT"/>
                            <w:color w:val="231F20"/>
                            <w:sz w:val="13"/>
                          </w:rPr>
                          <w:t>Assess</w:t>
                        </w:r>
                        <w:r>
                          <w:rPr>
                            <w:rFonts w:ascii="Arial MT"/>
                            <w:color w:val="231F20"/>
                            <w:spacing w:val="-10"/>
                            <w:sz w:val="13"/>
                          </w:rPr>
                          <w:t> </w:t>
                        </w:r>
                        <w:r>
                          <w:rPr>
                            <w:rFonts w:ascii="Arial MT"/>
                            <w:color w:val="231F20"/>
                            <w:sz w:val="13"/>
                          </w:rPr>
                          <w:t>for</w:t>
                        </w:r>
                        <w:r>
                          <w:rPr>
                            <w:rFonts w:ascii="Arial MT"/>
                            <w:color w:val="231F20"/>
                            <w:spacing w:val="-9"/>
                            <w:sz w:val="13"/>
                          </w:rPr>
                          <w:t> </w:t>
                        </w:r>
                        <w:r>
                          <w:rPr>
                            <w:rFonts w:ascii="Arial MT"/>
                            <w:color w:val="231F20"/>
                            <w:sz w:val="13"/>
                          </w:rPr>
                          <w:t>other</w:t>
                        </w:r>
                        <w:r>
                          <w:rPr>
                            <w:rFonts w:ascii="Arial MT"/>
                            <w:color w:val="231F20"/>
                            <w:spacing w:val="-9"/>
                            <w:sz w:val="13"/>
                          </w:rPr>
                          <w:t> </w:t>
                        </w:r>
                        <w:r>
                          <w:rPr>
                            <w:rFonts w:ascii="Arial MT"/>
                            <w:color w:val="231F20"/>
                            <w:sz w:val="13"/>
                          </w:rPr>
                          <w:t>causes</w:t>
                        </w:r>
                        <w:r>
                          <w:rPr>
                            <w:rFonts w:ascii="Arial MT"/>
                            <w:color w:val="231F20"/>
                            <w:spacing w:val="40"/>
                            <w:sz w:val="13"/>
                          </w:rPr>
                          <w:t> </w:t>
                        </w:r>
                        <w:r>
                          <w:rPr>
                            <w:rFonts w:ascii="Arial MT"/>
                            <w:color w:val="231F20"/>
                            <w:sz w:val="13"/>
                          </w:rPr>
                          <w:t>of illness and manage</w:t>
                        </w:r>
                        <w:r>
                          <w:rPr>
                            <w:rFonts w:ascii="Arial MT"/>
                            <w:color w:val="231F20"/>
                            <w:spacing w:val="40"/>
                            <w:sz w:val="13"/>
                          </w:rPr>
                          <w:t> </w:t>
                        </w:r>
                        <w:r>
                          <w:rPr>
                            <w:rFonts w:ascii="Arial MT"/>
                            <w:color w:val="231F20"/>
                            <w:spacing w:val="-2"/>
                            <w:sz w:val="13"/>
                          </w:rPr>
                          <w:t>appropriately.</w:t>
                        </w:r>
                      </w:p>
                    </w:txbxContent>
                  </v:textbox>
                  <v:fill type="solid"/>
                  <v:stroke dashstyle="solid"/>
                  <w10:wrap type="none"/>
                </v:shape>
                <w10:wrap type="none"/>
              </v:group>
            </w:pict>
          </mc:Fallback>
        </mc:AlternateContent>
      </w:r>
      <w:r>
        <w:rPr>
          <w:rFonts w:ascii="Arial MT"/>
          <w:color w:val="231F20"/>
          <w:spacing w:val="-5"/>
        </w:rPr>
        <w:t>16</w:t>
      </w:r>
    </w:p>
    <w:p>
      <w:pPr>
        <w:pStyle w:val="BodyText"/>
        <w:rPr>
          <w:rFonts w:ascii="Arial MT"/>
        </w:rPr>
      </w:pPr>
    </w:p>
    <w:p>
      <w:pPr>
        <w:pStyle w:val="BodyText"/>
        <w:rPr>
          <w:rFonts w:ascii="Arial MT"/>
        </w:rPr>
      </w:pPr>
    </w:p>
    <w:p>
      <w:pPr>
        <w:pStyle w:val="BodyText"/>
        <w:rPr>
          <w:rFonts w:ascii="Arial MT"/>
        </w:rPr>
      </w:pPr>
    </w:p>
    <w:p>
      <w:pPr>
        <w:pStyle w:val="BodyText"/>
        <w:spacing w:before="112"/>
        <w:rPr>
          <w:rFonts w:ascii="Arial MT"/>
        </w:rPr>
      </w:pPr>
    </w:p>
    <w:p>
      <w:pPr>
        <w:pStyle w:val="BodyText"/>
        <w:tabs>
          <w:tab w:pos="6511" w:val="left" w:leader="none"/>
        </w:tabs>
        <w:ind w:left="4746"/>
        <w:rPr>
          <w:rFonts w:ascii="Arial MT"/>
        </w:rPr>
      </w:pPr>
      <w:r>
        <w:rPr>
          <w:rFonts w:ascii="Arial MT"/>
          <w:color w:val="231F20"/>
          <w:spacing w:val="-5"/>
          <w:position w:val="-2"/>
        </w:rPr>
        <w:t>17</w:t>
      </w:r>
      <w:r>
        <w:rPr>
          <w:rFonts w:ascii="Arial MT"/>
          <w:color w:val="231F20"/>
          <w:position w:val="-2"/>
        </w:rPr>
        <w:tab/>
      </w:r>
      <w:r>
        <w:rPr>
          <w:rFonts w:ascii="Arial MT"/>
          <w:color w:val="231F20"/>
          <w:spacing w:val="-5"/>
        </w:rPr>
        <w:t>18</w:t>
      </w:r>
    </w:p>
    <w:p>
      <w:pPr>
        <w:pStyle w:val="Heading8"/>
        <w:spacing w:before="104"/>
        <w:jc w:val="center"/>
      </w:pPr>
      <w:r>
        <w:rPr/>
        <mc:AlternateContent>
          <mc:Choice Requires="wps">
            <w:drawing>
              <wp:anchor distT="0" distB="0" distL="0" distR="0" allowOverlap="1" layoutInCell="1" locked="0" behindDoc="0" simplePos="0" relativeHeight="15842816">
                <wp:simplePos x="0" y="0"/>
                <wp:positionH relativeFrom="page">
                  <wp:posOffset>2207889</wp:posOffset>
                </wp:positionH>
                <wp:positionV relativeFrom="paragraph">
                  <wp:posOffset>117150</wp:posOffset>
                </wp:positionV>
                <wp:extent cx="762635" cy="412115"/>
                <wp:effectExtent l="0" t="0" r="0" b="0"/>
                <wp:wrapNone/>
                <wp:docPr id="1652" name="Group 1652"/>
                <wp:cNvGraphicFramePr>
                  <a:graphicFrameLocks/>
                </wp:cNvGraphicFramePr>
                <a:graphic>
                  <a:graphicData uri="http://schemas.microsoft.com/office/word/2010/wordprocessingGroup">
                    <wpg:wgp>
                      <wpg:cNvPr id="1652" name="Group 1652"/>
                      <wpg:cNvGrpSpPr/>
                      <wpg:grpSpPr>
                        <a:xfrm>
                          <a:off x="0" y="0"/>
                          <a:ext cx="762635" cy="412115"/>
                          <a:chExt cx="762635" cy="412115"/>
                        </a:xfrm>
                      </wpg:grpSpPr>
                      <wps:wsp>
                        <wps:cNvPr id="1653" name="Graphic 1653"/>
                        <wps:cNvSpPr/>
                        <wps:spPr>
                          <a:xfrm>
                            <a:off x="331980" y="0"/>
                            <a:ext cx="77470" cy="94615"/>
                          </a:xfrm>
                          <a:custGeom>
                            <a:avLst/>
                            <a:gdLst/>
                            <a:ahLst/>
                            <a:cxnLst/>
                            <a:rect l="l" t="t" r="r" b="b"/>
                            <a:pathLst>
                              <a:path w="77470" h="94615">
                                <a:moveTo>
                                  <a:pt x="77050" y="0"/>
                                </a:moveTo>
                                <a:lnTo>
                                  <a:pt x="38531" y="22390"/>
                                </a:lnTo>
                                <a:lnTo>
                                  <a:pt x="0" y="0"/>
                                </a:lnTo>
                                <a:lnTo>
                                  <a:pt x="38531" y="94322"/>
                                </a:lnTo>
                                <a:lnTo>
                                  <a:pt x="77050" y="0"/>
                                </a:lnTo>
                                <a:close/>
                              </a:path>
                            </a:pathLst>
                          </a:custGeom>
                          <a:solidFill>
                            <a:srgbClr val="231F20"/>
                          </a:solidFill>
                        </wps:spPr>
                        <wps:bodyPr wrap="square" lIns="0" tIns="0" rIns="0" bIns="0" rtlCol="0">
                          <a:prstTxWarp prst="textNoShape">
                            <a:avLst/>
                          </a:prstTxWarp>
                          <a:noAutofit/>
                        </wps:bodyPr>
                      </wps:wsp>
                      <wps:wsp>
                        <wps:cNvPr id="1654" name="Textbox 1654"/>
                        <wps:cNvSpPr txBox="1"/>
                        <wps:spPr>
                          <a:xfrm>
                            <a:off x="5924" y="89630"/>
                            <a:ext cx="750570" cy="316230"/>
                          </a:xfrm>
                          <a:prstGeom prst="rect">
                            <a:avLst/>
                          </a:prstGeom>
                          <a:solidFill>
                            <a:srgbClr val="F8EBD0"/>
                          </a:solidFill>
                          <a:ln w="11849">
                            <a:solidFill>
                              <a:srgbClr val="231F20"/>
                            </a:solidFill>
                            <a:prstDash val="solid"/>
                          </a:ln>
                        </wps:spPr>
                        <wps:txbx>
                          <w:txbxContent>
                            <w:p>
                              <w:pPr>
                                <w:spacing w:before="85"/>
                                <w:ind w:left="149" w:right="91" w:hanging="46"/>
                                <w:jc w:val="left"/>
                                <w:rPr>
                                  <w:rFonts w:ascii="Arial MT"/>
                                  <w:color w:val="000000"/>
                                  <w:sz w:val="13"/>
                                </w:rPr>
                              </w:pPr>
                              <w:r>
                                <w:rPr>
                                  <w:rFonts w:ascii="Arial MT"/>
                                  <w:color w:val="231F20"/>
                                  <w:sz w:val="13"/>
                                </w:rPr>
                                <w:t>Patient</w:t>
                              </w:r>
                              <w:r>
                                <w:rPr>
                                  <w:rFonts w:ascii="Arial MT"/>
                                  <w:color w:val="231F20"/>
                                  <w:spacing w:val="-10"/>
                                  <w:sz w:val="13"/>
                                </w:rPr>
                                <w:t> </w:t>
                              </w:r>
                              <w:r>
                                <w:rPr>
                                  <w:rFonts w:ascii="Arial MT"/>
                                  <w:color w:val="231F20"/>
                                  <w:sz w:val="13"/>
                                </w:rPr>
                                <w:t>follow-up</w:t>
                              </w:r>
                              <w:r>
                                <w:rPr>
                                  <w:rFonts w:ascii="Arial MT"/>
                                  <w:color w:val="231F20"/>
                                  <w:spacing w:val="40"/>
                                  <w:sz w:val="13"/>
                                </w:rPr>
                                <w:t> </w:t>
                              </w:r>
                              <w:r>
                                <w:rPr>
                                  <w:rFonts w:ascii="Arial MT"/>
                                  <w:color w:val="231F20"/>
                                  <w:sz w:val="13"/>
                                </w:rPr>
                                <w:t>as </w:t>
                              </w:r>
                              <w:r>
                                <w:rPr>
                                  <w:rFonts w:ascii="Arial MT"/>
                                  <w:color w:val="231F20"/>
                                  <w:spacing w:val="-2"/>
                                  <w:sz w:val="13"/>
                                </w:rPr>
                                <w:t>appropriate.</w:t>
                              </w:r>
                            </w:p>
                          </w:txbxContent>
                        </wps:txbx>
                        <wps:bodyPr wrap="square" lIns="0" tIns="0" rIns="0" bIns="0" rtlCol="0">
                          <a:noAutofit/>
                        </wps:bodyPr>
                      </wps:wsp>
                    </wpg:wgp>
                  </a:graphicData>
                </a:graphic>
              </wp:anchor>
            </w:drawing>
          </mc:Choice>
          <mc:Fallback>
            <w:pict>
              <v:group style="position:absolute;margin-left:173.849579pt;margin-top:9.224459pt;width:60.05pt;height:32.4500pt;mso-position-horizontal-relative:page;mso-position-vertical-relative:paragraph;z-index:15842816" id="docshapegroup1308" coordorigin="3477,184" coordsize="1201,649">
                <v:shape style="position:absolute;left:3999;top:184;width:122;height:149" id="docshape1309" coordorigin="4000,184" coordsize="122,149" path="m4121,184l4060,220,4000,184,4060,333,4121,184xe" filled="true" fillcolor="#231f20" stroked="false">
                  <v:path arrowok="t"/>
                  <v:fill type="solid"/>
                </v:shape>
                <v:shape style="position:absolute;left:3486;top:325;width:1182;height:498" type="#_x0000_t202" id="docshape1310" filled="true" fillcolor="#f8ebd0" stroked="true" strokeweight=".933007pt" strokecolor="#231f20">
                  <v:textbox inset="0,0,0,0">
                    <w:txbxContent>
                      <w:p>
                        <w:pPr>
                          <w:spacing w:before="85"/>
                          <w:ind w:left="149" w:right="91" w:hanging="46"/>
                          <w:jc w:val="left"/>
                          <w:rPr>
                            <w:rFonts w:ascii="Arial MT"/>
                            <w:color w:val="000000"/>
                            <w:sz w:val="13"/>
                          </w:rPr>
                        </w:pPr>
                        <w:r>
                          <w:rPr>
                            <w:rFonts w:ascii="Arial MT"/>
                            <w:color w:val="231F20"/>
                            <w:sz w:val="13"/>
                          </w:rPr>
                          <w:t>Patient</w:t>
                        </w:r>
                        <w:r>
                          <w:rPr>
                            <w:rFonts w:ascii="Arial MT"/>
                            <w:color w:val="231F20"/>
                            <w:spacing w:val="-10"/>
                            <w:sz w:val="13"/>
                          </w:rPr>
                          <w:t> </w:t>
                        </w:r>
                        <w:r>
                          <w:rPr>
                            <w:rFonts w:ascii="Arial MT"/>
                            <w:color w:val="231F20"/>
                            <w:sz w:val="13"/>
                          </w:rPr>
                          <w:t>follow-up</w:t>
                        </w:r>
                        <w:r>
                          <w:rPr>
                            <w:rFonts w:ascii="Arial MT"/>
                            <w:color w:val="231F20"/>
                            <w:spacing w:val="40"/>
                            <w:sz w:val="13"/>
                          </w:rPr>
                          <w:t> </w:t>
                        </w:r>
                        <w:r>
                          <w:rPr>
                            <w:rFonts w:ascii="Arial MT"/>
                            <w:color w:val="231F20"/>
                            <w:sz w:val="13"/>
                          </w:rPr>
                          <w:t>as </w:t>
                        </w:r>
                        <w:r>
                          <w:rPr>
                            <w:rFonts w:ascii="Arial MT"/>
                            <w:color w:val="231F20"/>
                            <w:spacing w:val="-2"/>
                            <w:sz w:val="13"/>
                          </w:rPr>
                          <w:t>appropriate.</w:t>
                        </w:r>
                      </w:p>
                    </w:txbxContent>
                  </v:textbox>
                  <v:fill type="solid"/>
                  <v:stroke dashstyle="solid"/>
                  <w10:wrap type="none"/>
                </v:shape>
                <w10:wrap type="none"/>
              </v:group>
            </w:pict>
          </mc:Fallback>
        </mc:AlternateContent>
      </w:r>
      <w:r>
        <w:rPr>
          <w:color w:val="231F20"/>
          <w:spacing w:val="-5"/>
        </w:rPr>
        <w:t>No</w:t>
      </w:r>
    </w:p>
    <w:p>
      <w:pPr>
        <w:pStyle w:val="BodyText"/>
        <w:rPr>
          <w:rFonts w:ascii="Arial"/>
          <w:b/>
        </w:rPr>
      </w:pPr>
    </w:p>
    <w:p>
      <w:pPr>
        <w:pStyle w:val="BodyText"/>
        <w:rPr>
          <w:rFonts w:ascii="Arial"/>
          <w:b/>
        </w:rPr>
      </w:pPr>
    </w:p>
    <w:p>
      <w:pPr>
        <w:pStyle w:val="BodyText"/>
        <w:spacing w:before="9"/>
        <w:rPr>
          <w:rFonts w:ascii="Arial"/>
          <w:b/>
        </w:rPr>
      </w:pPr>
    </w:p>
    <w:p>
      <w:pPr>
        <w:tabs>
          <w:tab w:pos="4913" w:val="left" w:leader="none"/>
        </w:tabs>
        <w:spacing w:before="0"/>
        <w:ind w:left="4101" w:right="0" w:firstLine="0"/>
        <w:jc w:val="left"/>
        <w:rPr>
          <w:rFonts w:ascii="Arial"/>
          <w:b/>
          <w:sz w:val="13"/>
        </w:rPr>
      </w:pPr>
      <w:r>
        <w:rPr>
          <w:rFonts w:ascii="Arial MT"/>
          <w:color w:val="231F20"/>
          <w:spacing w:val="-5"/>
          <w:position w:val="-7"/>
          <w:sz w:val="13"/>
        </w:rPr>
        <w:t>19</w:t>
      </w:r>
      <w:r>
        <w:rPr>
          <w:rFonts w:ascii="Arial MT"/>
          <w:color w:val="231F20"/>
          <w:position w:val="-7"/>
          <w:sz w:val="13"/>
        </w:rPr>
        <w:tab/>
      </w:r>
      <w:r>
        <w:rPr>
          <w:rFonts w:ascii="Arial"/>
          <w:b/>
          <w:color w:val="231F20"/>
          <w:spacing w:val="-5"/>
          <w:sz w:val="13"/>
        </w:rPr>
        <w:t>Yes</w:t>
      </w:r>
    </w:p>
    <w:p>
      <w:pPr>
        <w:pStyle w:val="BodyText"/>
        <w:spacing w:before="7"/>
        <w:rPr>
          <w:rFonts w:ascii="Arial"/>
          <w:b/>
          <w:sz w:val="12"/>
        </w:rPr>
      </w:pPr>
      <w:r>
        <w:rPr>
          <w:rFonts w:ascii="Arial"/>
          <w:b/>
          <w:sz w:val="12"/>
        </w:rPr>
        <mc:AlternateContent>
          <mc:Choice Requires="wps">
            <w:drawing>
              <wp:anchor distT="0" distB="0" distL="0" distR="0" allowOverlap="1" layoutInCell="1" locked="0" behindDoc="1" simplePos="0" relativeHeight="487699456">
                <wp:simplePos x="0" y="0"/>
                <wp:positionH relativeFrom="page">
                  <wp:posOffset>4588188</wp:posOffset>
                </wp:positionH>
                <wp:positionV relativeFrom="paragraph">
                  <wp:posOffset>113999</wp:posOffset>
                </wp:positionV>
                <wp:extent cx="1037590" cy="603885"/>
                <wp:effectExtent l="0" t="0" r="0" b="0"/>
                <wp:wrapTopAndBottom/>
                <wp:docPr id="1655" name="Textbox 1655"/>
                <wp:cNvGraphicFramePr>
                  <a:graphicFrameLocks/>
                </wp:cNvGraphicFramePr>
                <a:graphic>
                  <a:graphicData uri="http://schemas.microsoft.com/office/word/2010/wordprocessingShape">
                    <wps:wsp>
                      <wps:cNvPr id="1655" name="Textbox 1655"/>
                      <wps:cNvSpPr txBox="1"/>
                      <wps:spPr>
                        <a:xfrm>
                          <a:off x="0" y="0"/>
                          <a:ext cx="1037590" cy="603885"/>
                        </a:xfrm>
                        <a:prstGeom prst="rect">
                          <a:avLst/>
                        </a:prstGeom>
                        <a:solidFill>
                          <a:srgbClr val="D7EDDD"/>
                        </a:solidFill>
                        <a:ln w="11849">
                          <a:solidFill>
                            <a:srgbClr val="231F20"/>
                          </a:solidFill>
                          <a:prstDash val="solid"/>
                        </a:ln>
                      </wps:spPr>
                      <wps:txbx>
                        <w:txbxContent>
                          <w:p>
                            <w:pPr>
                              <w:pStyle w:val="BodyText"/>
                              <w:spacing w:before="85"/>
                              <w:ind w:left="91" w:right="163"/>
                              <w:rPr>
                                <w:rFonts w:ascii="Arial MT"/>
                                <w:color w:val="000000"/>
                              </w:rPr>
                            </w:pPr>
                            <w:r>
                              <w:rPr>
                                <w:rFonts w:ascii="Arial MT"/>
                                <w:color w:val="231F20"/>
                              </w:rPr>
                              <w:t>Antibacterial</w:t>
                            </w:r>
                            <w:r>
                              <w:rPr>
                                <w:rFonts w:ascii="Arial MT"/>
                                <w:color w:val="231F20"/>
                                <w:spacing w:val="-5"/>
                              </w:rPr>
                              <w:t> </w:t>
                            </w:r>
                            <w:r>
                              <w:rPr>
                                <w:rFonts w:ascii="Arial MT"/>
                                <w:color w:val="231F20"/>
                              </w:rPr>
                              <w:t>choice</w:t>
                            </w:r>
                            <w:r>
                              <w:rPr>
                                <w:rFonts w:ascii="Arial MT"/>
                                <w:color w:val="231F20"/>
                                <w:spacing w:val="40"/>
                              </w:rPr>
                              <w:t> </w:t>
                            </w:r>
                            <w:r>
                              <w:rPr>
                                <w:rFonts w:ascii="Arial MT"/>
                                <w:color w:val="231F20"/>
                              </w:rPr>
                              <w:t>should</w:t>
                            </w:r>
                            <w:r>
                              <w:rPr>
                                <w:rFonts w:ascii="Arial MT"/>
                                <w:color w:val="231F20"/>
                                <w:spacing w:val="-8"/>
                              </w:rPr>
                              <w:t> </w:t>
                            </w:r>
                            <w:r>
                              <w:rPr>
                                <w:rFonts w:ascii="Arial MT"/>
                                <w:color w:val="231F20"/>
                              </w:rPr>
                              <w:t>be</w:t>
                            </w:r>
                            <w:r>
                              <w:rPr>
                                <w:rFonts w:ascii="Arial MT"/>
                                <w:color w:val="231F20"/>
                                <w:spacing w:val="-8"/>
                              </w:rPr>
                              <w:t> </w:t>
                            </w:r>
                            <w:r>
                              <w:rPr>
                                <w:rFonts w:ascii="Arial MT"/>
                                <w:color w:val="231F20"/>
                              </w:rPr>
                              <w:t>based</w:t>
                            </w:r>
                            <w:r>
                              <w:rPr>
                                <w:rFonts w:ascii="Arial MT"/>
                                <w:color w:val="231F20"/>
                                <w:spacing w:val="-8"/>
                              </w:rPr>
                              <w:t> </w:t>
                            </w:r>
                            <w:r>
                              <w:rPr>
                                <w:rFonts w:ascii="Arial MT"/>
                                <w:color w:val="231F20"/>
                              </w:rPr>
                              <w:t>on</w:t>
                            </w:r>
                            <w:r>
                              <w:rPr>
                                <w:rFonts w:ascii="Arial MT"/>
                                <w:color w:val="231F20"/>
                                <w:spacing w:val="-8"/>
                              </w:rPr>
                              <w:t> </w:t>
                            </w:r>
                            <w:r>
                              <w:rPr>
                                <w:rFonts w:ascii="Arial MT"/>
                                <w:color w:val="231F20"/>
                              </w:rPr>
                              <w:t>the</w:t>
                            </w:r>
                            <w:r>
                              <w:rPr>
                                <w:rFonts w:ascii="Arial MT"/>
                                <w:color w:val="231F20"/>
                                <w:spacing w:val="40"/>
                              </w:rPr>
                              <w:t> </w:t>
                            </w:r>
                            <w:r>
                              <w:rPr>
                                <w:rFonts w:ascii="Arial MT"/>
                                <w:color w:val="231F20"/>
                              </w:rPr>
                              <w:t>likely</w:t>
                            </w:r>
                            <w:r>
                              <w:rPr>
                                <w:rFonts w:ascii="Arial MT"/>
                                <w:color w:val="231F20"/>
                                <w:spacing w:val="-5"/>
                              </w:rPr>
                              <w:t> </w:t>
                            </w:r>
                            <w:r>
                              <w:rPr>
                                <w:rFonts w:ascii="Arial MT"/>
                                <w:color w:val="231F20"/>
                              </w:rPr>
                              <w:t>pathogen(s)</w:t>
                            </w:r>
                            <w:r>
                              <w:rPr>
                                <w:rFonts w:ascii="Arial MT"/>
                                <w:color w:val="231F20"/>
                                <w:spacing w:val="40"/>
                              </w:rPr>
                              <w:t> </w:t>
                            </w:r>
                            <w:r>
                              <w:rPr>
                                <w:rFonts w:ascii="Arial MT"/>
                                <w:color w:val="231F20"/>
                              </w:rPr>
                              <w:t>present and on clinical</w:t>
                            </w:r>
                            <w:r>
                              <w:rPr>
                                <w:rFonts w:ascii="Arial MT"/>
                                <w:color w:val="231F20"/>
                                <w:spacing w:val="40"/>
                              </w:rPr>
                              <w:t> </w:t>
                            </w:r>
                            <w:r>
                              <w:rPr>
                                <w:rFonts w:ascii="Arial MT"/>
                                <w:color w:val="231F20"/>
                                <w:spacing w:val="-2"/>
                              </w:rPr>
                              <w:t>experience.</w:t>
                            </w:r>
                          </w:p>
                        </w:txbxContent>
                      </wps:txbx>
                      <wps:bodyPr wrap="square" lIns="0" tIns="0" rIns="0" bIns="0" rtlCol="0">
                        <a:noAutofit/>
                      </wps:bodyPr>
                    </wps:wsp>
                  </a:graphicData>
                </a:graphic>
              </wp:anchor>
            </w:drawing>
          </mc:Choice>
          <mc:Fallback>
            <w:pict>
              <v:shape style="position:absolute;margin-left:361.274719pt;margin-top:8.976375pt;width:81.7pt;height:47.55pt;mso-position-horizontal-relative:page;mso-position-vertical-relative:paragraph;z-index:-15617024;mso-wrap-distance-left:0;mso-wrap-distance-right:0" type="#_x0000_t202" id="docshape1311" filled="true" fillcolor="#d7eddd" stroked="true" strokeweight=".933007pt" strokecolor="#231f20">
                <v:textbox inset="0,0,0,0">
                  <w:txbxContent>
                    <w:p>
                      <w:pPr>
                        <w:pStyle w:val="BodyText"/>
                        <w:spacing w:before="85"/>
                        <w:ind w:left="91" w:right="163"/>
                        <w:rPr>
                          <w:rFonts w:ascii="Arial MT"/>
                          <w:color w:val="000000"/>
                        </w:rPr>
                      </w:pPr>
                      <w:r>
                        <w:rPr>
                          <w:rFonts w:ascii="Arial MT"/>
                          <w:color w:val="231F20"/>
                        </w:rPr>
                        <w:t>Antibacterial</w:t>
                      </w:r>
                      <w:r>
                        <w:rPr>
                          <w:rFonts w:ascii="Arial MT"/>
                          <w:color w:val="231F20"/>
                          <w:spacing w:val="-5"/>
                        </w:rPr>
                        <w:t> </w:t>
                      </w:r>
                      <w:r>
                        <w:rPr>
                          <w:rFonts w:ascii="Arial MT"/>
                          <w:color w:val="231F20"/>
                        </w:rPr>
                        <w:t>choice</w:t>
                      </w:r>
                      <w:r>
                        <w:rPr>
                          <w:rFonts w:ascii="Arial MT"/>
                          <w:color w:val="231F20"/>
                          <w:spacing w:val="40"/>
                        </w:rPr>
                        <w:t> </w:t>
                      </w:r>
                      <w:r>
                        <w:rPr>
                          <w:rFonts w:ascii="Arial MT"/>
                          <w:color w:val="231F20"/>
                        </w:rPr>
                        <w:t>should</w:t>
                      </w:r>
                      <w:r>
                        <w:rPr>
                          <w:rFonts w:ascii="Arial MT"/>
                          <w:color w:val="231F20"/>
                          <w:spacing w:val="-8"/>
                        </w:rPr>
                        <w:t> </w:t>
                      </w:r>
                      <w:r>
                        <w:rPr>
                          <w:rFonts w:ascii="Arial MT"/>
                          <w:color w:val="231F20"/>
                        </w:rPr>
                        <w:t>be</w:t>
                      </w:r>
                      <w:r>
                        <w:rPr>
                          <w:rFonts w:ascii="Arial MT"/>
                          <w:color w:val="231F20"/>
                          <w:spacing w:val="-8"/>
                        </w:rPr>
                        <w:t> </w:t>
                      </w:r>
                      <w:r>
                        <w:rPr>
                          <w:rFonts w:ascii="Arial MT"/>
                          <w:color w:val="231F20"/>
                        </w:rPr>
                        <w:t>based</w:t>
                      </w:r>
                      <w:r>
                        <w:rPr>
                          <w:rFonts w:ascii="Arial MT"/>
                          <w:color w:val="231F20"/>
                          <w:spacing w:val="-8"/>
                        </w:rPr>
                        <w:t> </w:t>
                      </w:r>
                      <w:r>
                        <w:rPr>
                          <w:rFonts w:ascii="Arial MT"/>
                          <w:color w:val="231F20"/>
                        </w:rPr>
                        <w:t>on</w:t>
                      </w:r>
                      <w:r>
                        <w:rPr>
                          <w:rFonts w:ascii="Arial MT"/>
                          <w:color w:val="231F20"/>
                          <w:spacing w:val="-8"/>
                        </w:rPr>
                        <w:t> </w:t>
                      </w:r>
                      <w:r>
                        <w:rPr>
                          <w:rFonts w:ascii="Arial MT"/>
                          <w:color w:val="231F20"/>
                        </w:rPr>
                        <w:t>the</w:t>
                      </w:r>
                      <w:r>
                        <w:rPr>
                          <w:rFonts w:ascii="Arial MT"/>
                          <w:color w:val="231F20"/>
                          <w:spacing w:val="40"/>
                        </w:rPr>
                        <w:t> </w:t>
                      </w:r>
                      <w:r>
                        <w:rPr>
                          <w:rFonts w:ascii="Arial MT"/>
                          <w:color w:val="231F20"/>
                        </w:rPr>
                        <w:t>likely</w:t>
                      </w:r>
                      <w:r>
                        <w:rPr>
                          <w:rFonts w:ascii="Arial MT"/>
                          <w:color w:val="231F20"/>
                          <w:spacing w:val="-5"/>
                        </w:rPr>
                        <w:t> </w:t>
                      </w:r>
                      <w:r>
                        <w:rPr>
                          <w:rFonts w:ascii="Arial MT"/>
                          <w:color w:val="231F20"/>
                        </w:rPr>
                        <w:t>pathogen(s)</w:t>
                      </w:r>
                      <w:r>
                        <w:rPr>
                          <w:rFonts w:ascii="Arial MT"/>
                          <w:color w:val="231F20"/>
                          <w:spacing w:val="40"/>
                        </w:rPr>
                        <w:t> </w:t>
                      </w:r>
                      <w:r>
                        <w:rPr>
                          <w:rFonts w:ascii="Arial MT"/>
                          <w:color w:val="231F20"/>
                        </w:rPr>
                        <w:t>present and on clinical</w:t>
                      </w:r>
                      <w:r>
                        <w:rPr>
                          <w:rFonts w:ascii="Arial MT"/>
                          <w:color w:val="231F20"/>
                          <w:spacing w:val="40"/>
                        </w:rPr>
                        <w:t> </w:t>
                      </w:r>
                      <w:r>
                        <w:rPr>
                          <w:rFonts w:ascii="Arial MT"/>
                          <w:color w:val="231F20"/>
                          <w:spacing w:val="-2"/>
                        </w:rPr>
                        <w:t>experience.</w:t>
                      </w:r>
                    </w:p>
                  </w:txbxContent>
                </v:textbox>
                <v:fill type="solid"/>
                <v:stroke dashstyle="solid"/>
                <w10:wrap type="topAndBottom"/>
              </v:shape>
            </w:pict>
          </mc:Fallback>
        </mc:AlternateContent>
      </w:r>
    </w:p>
    <w:p>
      <w:pPr>
        <w:spacing w:line="228" w:lineRule="auto" w:before="99"/>
        <w:ind w:left="539" w:right="436" w:hanging="1"/>
        <w:jc w:val="left"/>
        <w:rPr>
          <w:i/>
          <w:sz w:val="15"/>
        </w:rPr>
      </w:pPr>
      <w:r>
        <w:rPr>
          <w:b/>
          <w:color w:val="4A0C62"/>
          <w:sz w:val="16"/>
        </w:rPr>
        <w:t>Figure</w:t>
      </w:r>
      <w:r>
        <w:rPr>
          <w:b/>
          <w:color w:val="4A0C62"/>
          <w:spacing w:val="16"/>
          <w:sz w:val="16"/>
        </w:rPr>
        <w:t> </w:t>
      </w:r>
      <w:r>
        <w:rPr>
          <w:b/>
          <w:color w:val="4A0C62"/>
          <w:sz w:val="16"/>
        </w:rPr>
        <w:t>640-6 </w:t>
      </w:r>
      <w:r>
        <w:rPr>
          <w:color w:val="231F20"/>
          <w:sz w:val="15"/>
        </w:rPr>
        <w:t>Management of acute otitis media. </w:t>
      </w:r>
      <w:r>
        <w:rPr>
          <w:i/>
          <w:color w:val="231F20"/>
          <w:sz w:val="15"/>
        </w:rPr>
        <w:t>(From Subcommittee on Management of Acute Otitis Media: Diagnosis and management of acute otitis media, </w:t>
      </w:r>
      <w:r>
        <w:rPr>
          <w:color w:val="231F20"/>
          <w:sz w:val="15"/>
        </w:rPr>
        <w:t>Pediatrics </w:t>
      </w:r>
      <w:r>
        <w:rPr>
          <w:i/>
          <w:color w:val="231F20"/>
          <w:sz w:val="15"/>
        </w:rPr>
        <w:t>113:1451–1465, 2004.)</w:t>
      </w:r>
    </w:p>
    <w:p>
      <w:pPr>
        <w:spacing w:after="0" w:line="228" w:lineRule="auto"/>
        <w:jc w:val="left"/>
        <w:rPr>
          <w:i/>
          <w:sz w:val="15"/>
        </w:rPr>
        <w:sectPr>
          <w:pgSz w:w="11900" w:h="16840"/>
          <w:pgMar w:header="0" w:footer="0" w:top="1180" w:bottom="280" w:left="708" w:right="566"/>
        </w:sectPr>
      </w:pPr>
    </w:p>
    <w:p>
      <w:pPr>
        <w:pStyle w:val="BodyText"/>
        <w:rPr>
          <w:i/>
          <w:sz w:val="92"/>
        </w:rPr>
      </w:pPr>
    </w:p>
    <w:p>
      <w:pPr>
        <w:pStyle w:val="BodyText"/>
        <w:rPr>
          <w:i/>
          <w:sz w:val="92"/>
        </w:rPr>
      </w:pPr>
    </w:p>
    <w:p>
      <w:pPr>
        <w:pStyle w:val="BodyText"/>
        <w:rPr>
          <w:i/>
          <w:sz w:val="92"/>
        </w:rPr>
      </w:pPr>
    </w:p>
    <w:p>
      <w:pPr>
        <w:pStyle w:val="BodyText"/>
        <w:spacing w:before="287"/>
        <w:rPr>
          <w:i/>
          <w:sz w:val="92"/>
        </w:rPr>
      </w:pPr>
    </w:p>
    <w:p>
      <w:pPr>
        <w:pStyle w:val="Heading1"/>
      </w:pPr>
      <w:r>
        <w:rPr>
          <w:w w:val="120"/>
        </w:rPr>
        <w:t>The</w:t>
      </w:r>
      <w:r>
        <w:rPr>
          <w:spacing w:val="-3"/>
          <w:w w:val="120"/>
        </w:rPr>
        <w:t> </w:t>
      </w:r>
      <w:r>
        <w:rPr>
          <w:spacing w:val="-4"/>
          <w:w w:val="120"/>
        </w:rPr>
        <w:t>Skin</w:t>
      </w:r>
    </w:p>
    <w:p>
      <w:pPr>
        <w:pStyle w:val="Heading1"/>
        <w:spacing w:after="0"/>
        <w:sectPr>
          <w:headerReference w:type="default" r:id="rId330"/>
          <w:pgSz w:w="11900" w:h="16840"/>
          <w:pgMar w:header="0" w:footer="0" w:top="1940" w:bottom="280" w:left="708" w:right="566"/>
        </w:sectPr>
      </w:pPr>
    </w:p>
    <w:tbl>
      <w:tblPr>
        <w:tblW w:w="0" w:type="auto"/>
        <w:jc w:val="left"/>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3"/>
        <w:gridCol w:w="1264"/>
        <w:gridCol w:w="2308"/>
        <w:gridCol w:w="1591"/>
        <w:gridCol w:w="2377"/>
        <w:gridCol w:w="1641"/>
        <w:gridCol w:w="1988"/>
      </w:tblGrid>
      <w:tr>
        <w:trPr>
          <w:trHeight w:val="354" w:hRule="atLeast"/>
        </w:trPr>
        <w:tc>
          <w:tcPr>
            <w:tcW w:w="12822" w:type="dxa"/>
            <w:gridSpan w:val="7"/>
            <w:shd w:val="clear" w:color="auto" w:fill="231F20"/>
          </w:tcPr>
          <w:p>
            <w:pPr>
              <w:pStyle w:val="TableParagraph"/>
              <w:spacing w:before="89"/>
              <w:ind w:left="111"/>
              <w:rPr>
                <w:sz w:val="16"/>
              </w:rPr>
            </w:pPr>
            <w:r>
              <w:rPr>
                <w:b/>
                <w:color w:val="FFFFFF"/>
                <w:w w:val="105"/>
                <w:sz w:val="16"/>
              </w:rPr>
              <w:t>Table</w:t>
            </w:r>
            <w:r>
              <w:rPr>
                <w:b/>
                <w:color w:val="FFFFFF"/>
                <w:spacing w:val="-1"/>
                <w:w w:val="105"/>
                <w:sz w:val="16"/>
              </w:rPr>
              <w:t> </w:t>
            </w:r>
            <w:r>
              <w:rPr>
                <w:b/>
                <w:color w:val="FFFFFF"/>
                <w:w w:val="105"/>
                <w:sz w:val="16"/>
              </w:rPr>
              <w:t>645-2</w:t>
            </w:r>
            <w:r>
              <w:rPr>
                <w:b/>
                <w:color w:val="FFFFFF"/>
                <w:spacing w:val="35"/>
                <w:w w:val="105"/>
                <w:sz w:val="16"/>
              </w:rPr>
              <w:t>  </w:t>
            </w:r>
            <w:r>
              <w:rPr>
                <w:color w:val="FFFFFF"/>
                <w:w w:val="105"/>
                <w:sz w:val="16"/>
              </w:rPr>
              <w:t>Characteristics</w:t>
            </w:r>
            <w:r>
              <w:rPr>
                <w:color w:val="FFFFFF"/>
                <w:spacing w:val="6"/>
                <w:w w:val="105"/>
                <w:sz w:val="16"/>
              </w:rPr>
              <w:t> </w:t>
            </w:r>
            <w:r>
              <w:rPr>
                <w:color w:val="FFFFFF"/>
                <w:w w:val="105"/>
                <w:sz w:val="16"/>
              </w:rPr>
              <w:t>of</w:t>
            </w:r>
            <w:r>
              <w:rPr>
                <w:color w:val="FFFFFF"/>
                <w:spacing w:val="6"/>
                <w:w w:val="105"/>
                <w:sz w:val="16"/>
              </w:rPr>
              <w:t> </w:t>
            </w:r>
            <w:r>
              <w:rPr>
                <w:color w:val="FFFFFF"/>
                <w:w w:val="105"/>
                <w:sz w:val="16"/>
              </w:rPr>
              <w:t>Cutaneous</w:t>
            </w:r>
            <w:r>
              <w:rPr>
                <w:color w:val="FFFFFF"/>
                <w:spacing w:val="6"/>
                <w:w w:val="105"/>
                <w:sz w:val="16"/>
              </w:rPr>
              <w:t> </w:t>
            </w:r>
            <w:r>
              <w:rPr>
                <w:color w:val="FFFFFF"/>
                <w:w w:val="105"/>
                <w:sz w:val="16"/>
              </w:rPr>
              <w:t>Signs</w:t>
            </w:r>
            <w:r>
              <w:rPr>
                <w:color w:val="FFFFFF"/>
                <w:spacing w:val="6"/>
                <w:w w:val="105"/>
                <w:sz w:val="16"/>
              </w:rPr>
              <w:t> </w:t>
            </w:r>
            <w:r>
              <w:rPr>
                <w:color w:val="FFFFFF"/>
                <w:w w:val="105"/>
                <w:sz w:val="16"/>
              </w:rPr>
              <w:t>of</w:t>
            </w:r>
            <w:r>
              <w:rPr>
                <w:color w:val="FFFFFF"/>
                <w:spacing w:val="6"/>
                <w:w w:val="105"/>
                <w:sz w:val="16"/>
              </w:rPr>
              <w:t> </w:t>
            </w:r>
            <w:r>
              <w:rPr>
                <w:color w:val="FFFFFF"/>
                <w:w w:val="105"/>
                <w:sz w:val="16"/>
              </w:rPr>
              <w:t>Systemic</w:t>
            </w:r>
            <w:r>
              <w:rPr>
                <w:color w:val="FFFFFF"/>
                <w:spacing w:val="6"/>
                <w:w w:val="105"/>
                <w:sz w:val="16"/>
              </w:rPr>
              <w:t> </w:t>
            </w:r>
            <w:r>
              <w:rPr>
                <w:color w:val="FFFFFF"/>
                <w:spacing w:val="-2"/>
                <w:w w:val="105"/>
                <w:sz w:val="16"/>
              </w:rPr>
              <w:t>Diseases</w:t>
            </w:r>
          </w:p>
        </w:tc>
      </w:tr>
      <w:tr>
        <w:trPr>
          <w:trHeight w:val="444" w:hRule="atLeast"/>
        </w:trPr>
        <w:tc>
          <w:tcPr>
            <w:tcW w:w="1653" w:type="dxa"/>
            <w:tcBorders>
              <w:bottom w:val="single" w:sz="4" w:space="0" w:color="231F20"/>
            </w:tcBorders>
            <w:shd w:val="clear" w:color="auto" w:fill="E8F5F1"/>
          </w:tcPr>
          <w:p>
            <w:pPr>
              <w:pStyle w:val="TableParagraph"/>
              <w:spacing w:before="234"/>
              <w:ind w:left="74"/>
              <w:rPr>
                <w:b/>
                <w:sz w:val="15"/>
              </w:rPr>
            </w:pPr>
            <w:r>
              <w:rPr>
                <w:b/>
                <w:color w:val="231F20"/>
                <w:spacing w:val="-2"/>
                <w:w w:val="110"/>
                <w:sz w:val="15"/>
              </w:rPr>
              <w:t>DISEASE</w:t>
            </w:r>
          </w:p>
        </w:tc>
        <w:tc>
          <w:tcPr>
            <w:tcW w:w="1264" w:type="dxa"/>
            <w:tcBorders>
              <w:bottom w:val="single" w:sz="4" w:space="0" w:color="231F20"/>
            </w:tcBorders>
            <w:shd w:val="clear" w:color="auto" w:fill="E8F5F1"/>
          </w:tcPr>
          <w:p>
            <w:pPr>
              <w:pStyle w:val="TableParagraph"/>
              <w:spacing w:line="230" w:lineRule="auto" w:before="71"/>
              <w:ind w:left="433" w:hanging="38"/>
              <w:rPr>
                <w:b/>
                <w:sz w:val="15"/>
              </w:rPr>
            </w:pPr>
            <w:r>
              <w:rPr>
                <w:b/>
                <w:color w:val="231F20"/>
                <w:w w:val="110"/>
                <w:sz w:val="15"/>
              </w:rPr>
              <w:t>AGE</w:t>
            </w:r>
            <w:r>
              <w:rPr>
                <w:b/>
                <w:color w:val="231F20"/>
                <w:spacing w:val="-13"/>
                <w:w w:val="110"/>
                <w:sz w:val="15"/>
              </w:rPr>
              <w:t> </w:t>
            </w:r>
            <w:r>
              <w:rPr>
                <w:b/>
                <w:color w:val="231F20"/>
                <w:w w:val="110"/>
                <w:sz w:val="15"/>
              </w:rPr>
              <w:t>OF </w:t>
            </w:r>
            <w:r>
              <w:rPr>
                <w:b/>
                <w:color w:val="231F20"/>
                <w:spacing w:val="-2"/>
                <w:w w:val="110"/>
                <w:sz w:val="15"/>
              </w:rPr>
              <w:t>ONSET</w:t>
            </w:r>
          </w:p>
        </w:tc>
        <w:tc>
          <w:tcPr>
            <w:tcW w:w="2308" w:type="dxa"/>
            <w:tcBorders>
              <w:bottom w:val="single" w:sz="4" w:space="0" w:color="231F20"/>
            </w:tcBorders>
            <w:shd w:val="clear" w:color="auto" w:fill="E8F5F1"/>
          </w:tcPr>
          <w:p>
            <w:pPr>
              <w:pStyle w:val="TableParagraph"/>
              <w:spacing w:before="234"/>
              <w:ind w:left="636"/>
              <w:rPr>
                <w:b/>
                <w:sz w:val="15"/>
              </w:rPr>
            </w:pPr>
            <w:r>
              <w:rPr>
                <w:b/>
                <w:color w:val="231F20"/>
                <w:w w:val="115"/>
                <w:sz w:val="15"/>
              </w:rPr>
              <w:t>SKIN </w:t>
            </w:r>
            <w:r>
              <w:rPr>
                <w:b/>
                <w:color w:val="231F20"/>
                <w:spacing w:val="-2"/>
                <w:w w:val="115"/>
                <w:sz w:val="15"/>
              </w:rPr>
              <w:t>LESIONS</w:t>
            </w:r>
          </w:p>
        </w:tc>
        <w:tc>
          <w:tcPr>
            <w:tcW w:w="1591" w:type="dxa"/>
            <w:tcBorders>
              <w:bottom w:val="single" w:sz="4" w:space="0" w:color="231F20"/>
            </w:tcBorders>
            <w:shd w:val="clear" w:color="auto" w:fill="E8F5F1"/>
          </w:tcPr>
          <w:p>
            <w:pPr>
              <w:pStyle w:val="TableParagraph"/>
              <w:spacing w:before="234"/>
              <w:ind w:left="275"/>
              <w:rPr>
                <w:b/>
                <w:sz w:val="15"/>
              </w:rPr>
            </w:pPr>
            <w:r>
              <w:rPr>
                <w:b/>
                <w:color w:val="231F20"/>
                <w:spacing w:val="-2"/>
                <w:w w:val="110"/>
                <w:sz w:val="15"/>
              </w:rPr>
              <w:t>DISTRIBUTION</w:t>
            </w:r>
          </w:p>
        </w:tc>
        <w:tc>
          <w:tcPr>
            <w:tcW w:w="2377" w:type="dxa"/>
            <w:tcBorders>
              <w:bottom w:val="single" w:sz="4" w:space="0" w:color="231F20"/>
            </w:tcBorders>
            <w:shd w:val="clear" w:color="auto" w:fill="E8F5F1"/>
          </w:tcPr>
          <w:p>
            <w:pPr>
              <w:pStyle w:val="TableParagraph"/>
              <w:spacing w:line="230" w:lineRule="auto" w:before="71"/>
              <w:ind w:left="635" w:hanging="517"/>
              <w:rPr>
                <w:b/>
                <w:sz w:val="15"/>
              </w:rPr>
            </w:pPr>
            <w:r>
              <w:rPr>
                <w:b/>
                <w:color w:val="231F20"/>
                <w:w w:val="110"/>
                <w:sz w:val="15"/>
              </w:rPr>
              <w:t>DIAGNOSTIC</w:t>
            </w:r>
            <w:r>
              <w:rPr>
                <w:b/>
                <w:color w:val="231F20"/>
                <w:spacing w:val="-13"/>
                <w:w w:val="110"/>
                <w:sz w:val="15"/>
              </w:rPr>
              <w:t> </w:t>
            </w:r>
            <w:r>
              <w:rPr>
                <w:b/>
                <w:color w:val="231F20"/>
                <w:w w:val="110"/>
                <w:sz w:val="15"/>
              </w:rPr>
              <w:t>EVALUATION(S) AND FINDINGS</w:t>
            </w:r>
          </w:p>
        </w:tc>
        <w:tc>
          <w:tcPr>
            <w:tcW w:w="1641" w:type="dxa"/>
            <w:tcBorders>
              <w:bottom w:val="single" w:sz="4" w:space="0" w:color="231F20"/>
            </w:tcBorders>
            <w:shd w:val="clear" w:color="auto" w:fill="E8F5F1"/>
          </w:tcPr>
          <w:p>
            <w:pPr>
              <w:pStyle w:val="TableParagraph"/>
              <w:spacing w:line="230" w:lineRule="auto" w:before="71"/>
              <w:ind w:left="161" w:firstLine="205"/>
              <w:rPr>
                <w:b/>
                <w:sz w:val="15"/>
              </w:rPr>
            </w:pPr>
            <w:r>
              <w:rPr>
                <w:b/>
                <w:color w:val="231F20"/>
                <w:spacing w:val="-2"/>
                <w:w w:val="110"/>
                <w:sz w:val="15"/>
              </w:rPr>
              <w:t>ASSOCIATED SYMPTOMS/SIGNS</w:t>
            </w:r>
          </w:p>
        </w:tc>
        <w:tc>
          <w:tcPr>
            <w:tcW w:w="1988" w:type="dxa"/>
            <w:tcBorders>
              <w:bottom w:val="single" w:sz="4" w:space="0" w:color="231F20"/>
            </w:tcBorders>
            <w:shd w:val="clear" w:color="auto" w:fill="E8F5F1"/>
          </w:tcPr>
          <w:p>
            <w:pPr>
              <w:pStyle w:val="TableParagraph"/>
              <w:spacing w:line="230" w:lineRule="auto" w:before="71"/>
              <w:ind w:left="587" w:right="445" w:hanging="109"/>
              <w:rPr>
                <w:b/>
                <w:sz w:val="15"/>
              </w:rPr>
            </w:pPr>
            <w:r>
              <w:rPr>
                <w:b/>
                <w:color w:val="231F20"/>
                <w:spacing w:val="-2"/>
                <w:sz w:val="15"/>
              </w:rPr>
              <w:t>DIFFERENTIAL </w:t>
            </w:r>
            <w:r>
              <w:rPr>
                <w:b/>
                <w:color w:val="231F20"/>
                <w:spacing w:val="-2"/>
                <w:w w:val="110"/>
                <w:sz w:val="15"/>
              </w:rPr>
              <w:t>DIAGNOSIS</w:t>
            </w:r>
          </w:p>
        </w:tc>
      </w:tr>
      <w:tr>
        <w:trPr>
          <w:trHeight w:val="1097" w:hRule="atLeast"/>
        </w:trPr>
        <w:tc>
          <w:tcPr>
            <w:tcW w:w="1653" w:type="dxa"/>
            <w:tcBorders>
              <w:top w:val="single" w:sz="4" w:space="0" w:color="231F20"/>
              <w:bottom w:val="single" w:sz="4" w:space="0" w:color="FFFFFF"/>
            </w:tcBorders>
            <w:shd w:val="clear" w:color="auto" w:fill="E8F5F1"/>
          </w:tcPr>
          <w:p>
            <w:pPr>
              <w:pStyle w:val="TableParagraph"/>
              <w:spacing w:line="230" w:lineRule="auto" w:before="52"/>
              <w:ind w:left="186" w:right="489" w:hanging="112"/>
              <w:rPr>
                <w:sz w:val="15"/>
              </w:rPr>
            </w:pPr>
            <w:r>
              <w:rPr>
                <w:color w:val="231F20"/>
                <w:sz w:val="15"/>
              </w:rPr>
              <w:t>Systemic lupus </w:t>
            </w:r>
            <w:r>
              <w:rPr>
                <w:color w:val="231F20"/>
                <w:spacing w:val="-2"/>
                <w:sz w:val="15"/>
              </w:rPr>
              <w:t>erythematosus</w:t>
            </w:r>
          </w:p>
        </w:tc>
        <w:tc>
          <w:tcPr>
            <w:tcW w:w="1264" w:type="dxa"/>
            <w:tcBorders>
              <w:top w:val="single" w:sz="4" w:space="0" w:color="231F20"/>
              <w:bottom w:val="single" w:sz="4" w:space="0" w:color="FFFFFF"/>
            </w:tcBorders>
            <w:shd w:val="clear" w:color="auto" w:fill="E8F5F1"/>
          </w:tcPr>
          <w:p>
            <w:pPr>
              <w:pStyle w:val="TableParagraph"/>
              <w:spacing w:before="47"/>
              <w:ind w:left="175"/>
              <w:rPr>
                <w:sz w:val="15"/>
              </w:rPr>
            </w:pPr>
            <w:r>
              <w:rPr>
                <w:color w:val="231F20"/>
                <w:spacing w:val="-5"/>
                <w:w w:val="105"/>
                <w:sz w:val="15"/>
              </w:rPr>
              <w:t>Any</w:t>
            </w:r>
          </w:p>
        </w:tc>
        <w:tc>
          <w:tcPr>
            <w:tcW w:w="2308" w:type="dxa"/>
            <w:tcBorders>
              <w:top w:val="single" w:sz="4" w:space="0" w:color="231F20"/>
              <w:bottom w:val="single" w:sz="4" w:space="0" w:color="FFFFFF"/>
            </w:tcBorders>
            <w:shd w:val="clear" w:color="auto" w:fill="E8F5F1"/>
          </w:tcPr>
          <w:p>
            <w:pPr>
              <w:pStyle w:val="TableParagraph"/>
              <w:spacing w:line="230" w:lineRule="auto" w:before="52"/>
              <w:ind w:left="199" w:right="94" w:hanging="112"/>
              <w:rPr>
                <w:sz w:val="15"/>
              </w:rPr>
            </w:pPr>
            <w:r>
              <w:rPr>
                <w:color w:val="231F20"/>
                <w:spacing w:val="-2"/>
                <w:sz w:val="15"/>
              </w:rPr>
              <w:t>Erythematous patches; </w:t>
            </w:r>
            <w:r>
              <w:rPr>
                <w:color w:val="231F20"/>
                <w:spacing w:val="-2"/>
                <w:sz w:val="15"/>
              </w:rPr>
              <w:t>palpable </w:t>
            </w:r>
            <w:r>
              <w:rPr>
                <w:color w:val="231F20"/>
                <w:sz w:val="15"/>
              </w:rPr>
              <w:t>purpura; livedo reticularis; Raynaud phenomenon; thrombocytopenic and </w:t>
            </w:r>
            <w:r>
              <w:rPr>
                <w:color w:val="231F20"/>
                <w:spacing w:val="-2"/>
                <w:sz w:val="15"/>
              </w:rPr>
              <w:t>nonthrombocytopenic</w:t>
            </w:r>
            <w:r>
              <w:rPr>
                <w:color w:val="231F20"/>
                <w:spacing w:val="80"/>
                <w:w w:val="150"/>
                <w:sz w:val="15"/>
              </w:rPr>
              <w:t> </w:t>
            </w:r>
            <w:r>
              <w:rPr>
                <w:color w:val="231F20"/>
                <w:spacing w:val="-2"/>
                <w:sz w:val="15"/>
              </w:rPr>
              <w:t>purpura</w:t>
            </w:r>
          </w:p>
        </w:tc>
        <w:tc>
          <w:tcPr>
            <w:tcW w:w="1591" w:type="dxa"/>
            <w:tcBorders>
              <w:top w:val="single" w:sz="4" w:space="0" w:color="231F20"/>
              <w:bottom w:val="single" w:sz="4" w:space="0" w:color="FFFFFF"/>
            </w:tcBorders>
            <w:shd w:val="clear" w:color="auto" w:fill="E8F5F1"/>
          </w:tcPr>
          <w:p>
            <w:pPr>
              <w:pStyle w:val="TableParagraph"/>
              <w:spacing w:line="230" w:lineRule="auto" w:before="52"/>
              <w:ind w:left="186" w:right="314" w:hanging="112"/>
              <w:rPr>
                <w:sz w:val="15"/>
              </w:rPr>
            </w:pPr>
            <w:r>
              <w:rPr>
                <w:color w:val="231F20"/>
                <w:spacing w:val="-2"/>
                <w:sz w:val="15"/>
              </w:rPr>
              <w:t>Photodistribution; </w:t>
            </w:r>
            <w:r>
              <w:rPr>
                <w:color w:val="231F20"/>
                <w:sz w:val="15"/>
              </w:rPr>
              <w:t>“malar” face</w:t>
            </w:r>
          </w:p>
        </w:tc>
        <w:tc>
          <w:tcPr>
            <w:tcW w:w="2377" w:type="dxa"/>
            <w:tcBorders>
              <w:top w:val="single" w:sz="4" w:space="0" w:color="231F20"/>
              <w:bottom w:val="single" w:sz="4" w:space="0" w:color="FFFFFF"/>
            </w:tcBorders>
            <w:shd w:val="clear" w:color="auto" w:fill="E8F5F1"/>
          </w:tcPr>
          <w:p>
            <w:pPr>
              <w:pStyle w:val="TableParagraph"/>
              <w:spacing w:line="230" w:lineRule="auto" w:before="52"/>
              <w:ind w:left="88" w:right="1256"/>
              <w:rPr>
                <w:sz w:val="15"/>
              </w:rPr>
            </w:pPr>
            <w:r>
              <w:rPr>
                <w:color w:val="231F20"/>
                <w:w w:val="110"/>
                <w:sz w:val="15"/>
              </w:rPr>
              <w:t>ANA panel </w:t>
            </w:r>
            <w:r>
              <w:rPr>
                <w:color w:val="231F20"/>
                <w:spacing w:val="-2"/>
                <w:w w:val="110"/>
                <w:sz w:val="15"/>
              </w:rPr>
              <w:t>Anti–dsDNA</w:t>
            </w:r>
          </w:p>
          <w:p>
            <w:pPr>
              <w:pStyle w:val="TableParagraph"/>
              <w:spacing w:line="230" w:lineRule="auto" w:before="2"/>
              <w:ind w:left="88" w:right="403"/>
              <w:rPr>
                <w:sz w:val="15"/>
              </w:rPr>
            </w:pPr>
            <w:r>
              <w:rPr>
                <w:color w:val="231F20"/>
                <w:spacing w:val="-2"/>
                <w:sz w:val="15"/>
              </w:rPr>
              <w:t>Leukopenia/lymphopenia Thrombocytopenia </w:t>
            </w:r>
            <w:r>
              <w:rPr>
                <w:color w:val="231F20"/>
                <w:sz w:val="15"/>
              </w:rPr>
              <w:t>Complement levels </w:t>
            </w:r>
            <w:r>
              <w:rPr>
                <w:color w:val="231F20"/>
                <w:spacing w:val="-2"/>
                <w:sz w:val="15"/>
              </w:rPr>
              <w:t>Urinalysis</w:t>
            </w:r>
          </w:p>
        </w:tc>
        <w:tc>
          <w:tcPr>
            <w:tcW w:w="1641" w:type="dxa"/>
            <w:tcBorders>
              <w:top w:val="single" w:sz="4" w:space="0" w:color="231F20"/>
              <w:bottom w:val="single" w:sz="4" w:space="0" w:color="FFFFFF"/>
            </w:tcBorders>
            <w:shd w:val="clear" w:color="auto" w:fill="E8F5F1"/>
          </w:tcPr>
          <w:p>
            <w:pPr>
              <w:pStyle w:val="TableParagraph"/>
              <w:spacing w:line="230" w:lineRule="auto" w:before="52"/>
              <w:ind w:left="89" w:right="892"/>
              <w:rPr>
                <w:sz w:val="15"/>
              </w:rPr>
            </w:pPr>
            <w:r>
              <w:rPr>
                <w:color w:val="231F20"/>
                <w:spacing w:val="-2"/>
                <w:sz w:val="15"/>
              </w:rPr>
              <w:t>Arthritis Nephritis Cerebritis Serositis</w:t>
            </w:r>
          </w:p>
        </w:tc>
        <w:tc>
          <w:tcPr>
            <w:tcW w:w="1988" w:type="dxa"/>
            <w:tcBorders>
              <w:top w:val="single" w:sz="4" w:space="0" w:color="231F20"/>
              <w:bottom w:val="single" w:sz="4" w:space="0" w:color="FFFFFF"/>
            </w:tcBorders>
            <w:shd w:val="clear" w:color="auto" w:fill="E8F5F1"/>
          </w:tcPr>
          <w:p>
            <w:pPr>
              <w:pStyle w:val="TableParagraph"/>
              <w:spacing w:line="230" w:lineRule="auto" w:before="52"/>
              <w:ind w:left="109" w:right="185"/>
              <w:rPr>
                <w:sz w:val="15"/>
              </w:rPr>
            </w:pPr>
            <w:r>
              <w:rPr>
                <w:color w:val="231F20"/>
                <w:sz w:val="15"/>
              </w:rPr>
              <w:t>Seborrheic dermatitis Atopic dermatitis </w:t>
            </w:r>
            <w:r>
              <w:rPr>
                <w:color w:val="231F20"/>
                <w:spacing w:val="-2"/>
                <w:sz w:val="15"/>
              </w:rPr>
              <w:t>Juvenile</w:t>
            </w:r>
            <w:r>
              <w:rPr>
                <w:color w:val="231F20"/>
                <w:spacing w:val="-10"/>
                <w:sz w:val="15"/>
              </w:rPr>
              <w:t> </w:t>
            </w:r>
            <w:r>
              <w:rPr>
                <w:color w:val="231F20"/>
                <w:spacing w:val="-2"/>
                <w:sz w:val="15"/>
              </w:rPr>
              <w:t>dermatomyositis</w:t>
            </w:r>
          </w:p>
        </w:tc>
      </w:tr>
      <w:tr>
        <w:trPr>
          <w:trHeight w:val="756"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right="489" w:hanging="112"/>
              <w:rPr>
                <w:sz w:val="15"/>
              </w:rPr>
            </w:pPr>
            <w:r>
              <w:rPr>
                <w:color w:val="231F20"/>
                <w:sz w:val="15"/>
              </w:rPr>
              <w:t>Discoid lupus </w:t>
            </w:r>
            <w:r>
              <w:rPr>
                <w:color w:val="231F20"/>
                <w:spacing w:val="-2"/>
                <w:sz w:val="15"/>
              </w:rPr>
              <w:t>erythematosus</w:t>
            </w:r>
          </w:p>
        </w:tc>
        <w:tc>
          <w:tcPr>
            <w:tcW w:w="1264" w:type="dxa"/>
            <w:tcBorders>
              <w:top w:val="single" w:sz="4" w:space="0" w:color="FFFFFF"/>
              <w:bottom w:val="single" w:sz="4" w:space="0" w:color="FFFFFF"/>
            </w:tcBorders>
            <w:shd w:val="clear" w:color="auto" w:fill="E8F5F1"/>
          </w:tcPr>
          <w:p>
            <w:pPr>
              <w:pStyle w:val="TableParagraph"/>
              <w:spacing w:before="42"/>
              <w:ind w:left="175"/>
              <w:rPr>
                <w:sz w:val="15"/>
              </w:rPr>
            </w:pPr>
            <w:r>
              <w:rPr>
                <w:color w:val="231F20"/>
                <w:spacing w:val="-5"/>
                <w:w w:val="105"/>
                <w:sz w:val="15"/>
              </w:rPr>
              <w:t>Any</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hanging="112"/>
              <w:rPr>
                <w:sz w:val="15"/>
              </w:rPr>
            </w:pPr>
            <w:r>
              <w:rPr>
                <w:color w:val="231F20"/>
                <w:spacing w:val="-2"/>
                <w:sz w:val="15"/>
              </w:rPr>
              <w:t>Annular,</w:t>
            </w:r>
            <w:r>
              <w:rPr>
                <w:color w:val="231F20"/>
                <w:spacing w:val="-10"/>
                <w:sz w:val="15"/>
              </w:rPr>
              <w:t> </w:t>
            </w:r>
            <w:r>
              <w:rPr>
                <w:color w:val="231F20"/>
                <w:spacing w:val="-2"/>
                <w:sz w:val="15"/>
              </w:rPr>
              <w:t>scaly</w:t>
            </w:r>
            <w:r>
              <w:rPr>
                <w:color w:val="231F20"/>
                <w:spacing w:val="-9"/>
                <w:sz w:val="15"/>
              </w:rPr>
              <w:t> </w:t>
            </w:r>
            <w:r>
              <w:rPr>
                <w:color w:val="231F20"/>
                <w:spacing w:val="-2"/>
                <w:sz w:val="15"/>
              </w:rPr>
              <w:t>plaques;</w:t>
            </w:r>
            <w:r>
              <w:rPr>
                <w:color w:val="231F20"/>
                <w:spacing w:val="-9"/>
                <w:sz w:val="15"/>
              </w:rPr>
              <w:t> </w:t>
            </w:r>
            <w:r>
              <w:rPr>
                <w:color w:val="231F20"/>
                <w:spacing w:val="-2"/>
                <w:sz w:val="15"/>
              </w:rPr>
              <w:t>atrophy; dyspigmentation</w:t>
            </w:r>
          </w:p>
        </w:tc>
        <w:tc>
          <w:tcPr>
            <w:tcW w:w="159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Photodistribution</w:t>
            </w:r>
          </w:p>
        </w:tc>
        <w:tc>
          <w:tcPr>
            <w:tcW w:w="2377" w:type="dxa"/>
            <w:tcBorders>
              <w:top w:val="single" w:sz="4" w:space="0" w:color="FFFFFF"/>
              <w:bottom w:val="single" w:sz="4" w:space="0" w:color="FFFFFF"/>
            </w:tcBorders>
            <w:shd w:val="clear" w:color="auto" w:fill="E8F5F1"/>
          </w:tcPr>
          <w:p>
            <w:pPr>
              <w:pStyle w:val="TableParagraph"/>
              <w:spacing w:before="42"/>
              <w:ind w:left="88"/>
              <w:rPr>
                <w:sz w:val="15"/>
              </w:rPr>
            </w:pPr>
            <w:r>
              <w:rPr>
                <w:color w:val="231F20"/>
                <w:spacing w:val="-5"/>
                <w:w w:val="115"/>
                <w:sz w:val="15"/>
              </w:rPr>
              <w:t>ANA</w:t>
            </w:r>
          </w:p>
        </w:tc>
        <w:tc>
          <w:tcPr>
            <w:tcW w:w="1641" w:type="dxa"/>
            <w:tcBorders>
              <w:top w:val="single" w:sz="4" w:space="0" w:color="FFFFFF"/>
              <w:bottom w:val="single" w:sz="4" w:space="0" w:color="FFFFFF"/>
            </w:tcBorders>
            <w:shd w:val="clear" w:color="auto" w:fill="E8F5F1"/>
          </w:tcPr>
          <w:p>
            <w:pPr>
              <w:pStyle w:val="TableParagraph"/>
              <w:spacing w:before="42"/>
              <w:ind w:left="89"/>
              <w:rPr>
                <w:sz w:val="15"/>
              </w:rPr>
            </w:pPr>
            <w:r>
              <w:rPr>
                <w:color w:val="231F20"/>
                <w:spacing w:val="-2"/>
                <w:sz w:val="15"/>
              </w:rPr>
              <w:t>Scarring</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Pr>
                <w:sz w:val="15"/>
              </w:rPr>
            </w:pPr>
            <w:r>
              <w:rPr>
                <w:color w:val="231F20"/>
                <w:sz w:val="15"/>
              </w:rPr>
              <w:t>Subacute</w:t>
            </w:r>
            <w:r>
              <w:rPr>
                <w:color w:val="231F20"/>
                <w:spacing w:val="-11"/>
                <w:sz w:val="15"/>
              </w:rPr>
              <w:t> </w:t>
            </w:r>
            <w:r>
              <w:rPr>
                <w:color w:val="231F20"/>
                <w:sz w:val="15"/>
              </w:rPr>
              <w:t>cutaneous</w:t>
            </w:r>
            <w:r>
              <w:rPr>
                <w:color w:val="231F20"/>
                <w:spacing w:val="-11"/>
                <w:sz w:val="15"/>
              </w:rPr>
              <w:t> </w:t>
            </w:r>
            <w:r>
              <w:rPr>
                <w:color w:val="231F20"/>
                <w:sz w:val="15"/>
              </w:rPr>
              <w:t>lupus Polymorphous light</w:t>
            </w:r>
          </w:p>
          <w:p>
            <w:pPr>
              <w:pStyle w:val="TableParagraph"/>
              <w:spacing w:line="167" w:lineRule="exact"/>
              <w:ind w:left="221"/>
              <w:rPr>
                <w:sz w:val="15"/>
              </w:rPr>
            </w:pPr>
            <w:r>
              <w:rPr>
                <w:color w:val="231F20"/>
                <w:spacing w:val="-2"/>
                <w:sz w:val="15"/>
              </w:rPr>
              <w:t>eruption</w:t>
            </w:r>
          </w:p>
          <w:p>
            <w:pPr>
              <w:pStyle w:val="TableParagraph"/>
              <w:spacing w:line="171" w:lineRule="exact"/>
              <w:ind w:left="109"/>
              <w:rPr>
                <w:sz w:val="15"/>
              </w:rPr>
            </w:pPr>
            <w:r>
              <w:rPr>
                <w:color w:val="231F20"/>
                <w:spacing w:val="-2"/>
                <w:sz w:val="15"/>
              </w:rPr>
              <w:t>Juvenile</w:t>
            </w:r>
            <w:r>
              <w:rPr>
                <w:color w:val="231F20"/>
                <w:sz w:val="15"/>
              </w:rPr>
              <w:t> </w:t>
            </w:r>
            <w:r>
              <w:rPr>
                <w:color w:val="231F20"/>
                <w:spacing w:val="-2"/>
                <w:sz w:val="15"/>
              </w:rPr>
              <w:t>dermatomyositis</w:t>
            </w:r>
          </w:p>
        </w:tc>
      </w:tr>
      <w:tr>
        <w:trPr>
          <w:trHeight w:val="588"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right="489" w:hanging="112"/>
              <w:rPr>
                <w:sz w:val="15"/>
              </w:rPr>
            </w:pPr>
            <w:r>
              <w:rPr>
                <w:color w:val="231F20"/>
                <w:sz w:val="15"/>
              </w:rPr>
              <w:t>Neonatal lupus </w:t>
            </w:r>
            <w:r>
              <w:rPr>
                <w:color w:val="231F20"/>
                <w:spacing w:val="-2"/>
                <w:sz w:val="15"/>
              </w:rPr>
              <w:t>erythematosus</w:t>
            </w:r>
          </w:p>
        </w:tc>
        <w:tc>
          <w:tcPr>
            <w:tcW w:w="1264" w:type="dxa"/>
            <w:tcBorders>
              <w:top w:val="single" w:sz="4" w:space="0" w:color="FFFFFF"/>
              <w:bottom w:val="single" w:sz="4" w:space="0" w:color="FFFFFF"/>
            </w:tcBorders>
            <w:shd w:val="clear" w:color="auto" w:fill="E8F5F1"/>
          </w:tcPr>
          <w:p>
            <w:pPr>
              <w:pStyle w:val="TableParagraph"/>
              <w:spacing w:before="42"/>
              <w:ind w:left="175"/>
              <w:rPr>
                <w:sz w:val="15"/>
              </w:rPr>
            </w:pPr>
            <w:r>
              <w:rPr>
                <w:color w:val="231F20"/>
                <w:spacing w:val="-2"/>
                <w:w w:val="105"/>
                <w:sz w:val="15"/>
              </w:rPr>
              <w:t>Newborn</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right="300" w:hanging="112"/>
              <w:rPr>
                <w:sz w:val="15"/>
              </w:rPr>
            </w:pPr>
            <w:r>
              <w:rPr>
                <w:color w:val="231F20"/>
                <w:spacing w:val="-2"/>
                <w:sz w:val="15"/>
              </w:rPr>
              <w:t>Annular,</w:t>
            </w:r>
            <w:r>
              <w:rPr>
                <w:color w:val="231F20"/>
                <w:spacing w:val="-10"/>
                <w:sz w:val="15"/>
              </w:rPr>
              <w:t> </w:t>
            </w:r>
            <w:r>
              <w:rPr>
                <w:color w:val="231F20"/>
                <w:spacing w:val="-2"/>
                <w:sz w:val="15"/>
              </w:rPr>
              <w:t>erythematous,</w:t>
            </w:r>
            <w:r>
              <w:rPr>
                <w:color w:val="231F20"/>
                <w:spacing w:val="-9"/>
                <w:sz w:val="15"/>
              </w:rPr>
              <w:t> </w:t>
            </w:r>
            <w:r>
              <w:rPr>
                <w:color w:val="231F20"/>
                <w:spacing w:val="-2"/>
                <w:sz w:val="15"/>
              </w:rPr>
              <w:t>scaly plaques</w:t>
            </w:r>
          </w:p>
        </w:tc>
        <w:tc>
          <w:tcPr>
            <w:tcW w:w="159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Head/neck</w:t>
            </w:r>
          </w:p>
        </w:tc>
        <w:tc>
          <w:tcPr>
            <w:tcW w:w="2377" w:type="dxa"/>
            <w:tcBorders>
              <w:top w:val="single" w:sz="4" w:space="0" w:color="FFFFFF"/>
              <w:bottom w:val="single" w:sz="4" w:space="0" w:color="FFFFFF"/>
            </w:tcBorders>
            <w:shd w:val="clear" w:color="auto" w:fill="E8F5F1"/>
          </w:tcPr>
          <w:p>
            <w:pPr>
              <w:pStyle w:val="TableParagraph"/>
              <w:spacing w:line="171" w:lineRule="exact" w:before="42"/>
              <w:ind w:left="88"/>
              <w:rPr>
                <w:sz w:val="15"/>
              </w:rPr>
            </w:pPr>
            <w:r>
              <w:rPr>
                <w:color w:val="231F20"/>
                <w:spacing w:val="-5"/>
                <w:w w:val="115"/>
                <w:sz w:val="15"/>
              </w:rPr>
              <w:t>ANA</w:t>
            </w:r>
          </w:p>
          <w:p>
            <w:pPr>
              <w:pStyle w:val="TableParagraph"/>
              <w:spacing w:line="171" w:lineRule="exact"/>
              <w:ind w:left="88"/>
              <w:rPr>
                <w:sz w:val="15"/>
              </w:rPr>
            </w:pPr>
            <w:r>
              <w:rPr>
                <w:color w:val="231F20"/>
                <w:spacing w:val="-2"/>
                <w:sz w:val="15"/>
              </w:rPr>
              <w:t>Anti-Ro</w:t>
            </w:r>
            <w:r>
              <w:rPr>
                <w:color w:val="231F20"/>
                <w:spacing w:val="-1"/>
                <w:sz w:val="15"/>
              </w:rPr>
              <w:t> </w:t>
            </w:r>
            <w:r>
              <w:rPr>
                <w:color w:val="231F20"/>
                <w:spacing w:val="-2"/>
                <w:sz w:val="15"/>
              </w:rPr>
              <w:t>(SSA),</w:t>
            </w:r>
            <w:r>
              <w:rPr>
                <w:color w:val="231F20"/>
                <w:sz w:val="15"/>
              </w:rPr>
              <w:t> </w:t>
            </w:r>
            <w:r>
              <w:rPr>
                <w:color w:val="231F20"/>
                <w:spacing w:val="-2"/>
                <w:sz w:val="15"/>
              </w:rPr>
              <w:t>anti-La</w:t>
            </w:r>
            <w:r>
              <w:rPr>
                <w:color w:val="231F20"/>
                <w:spacing w:val="-1"/>
                <w:sz w:val="15"/>
              </w:rPr>
              <w:t> </w:t>
            </w:r>
            <w:r>
              <w:rPr>
                <w:color w:val="231F20"/>
                <w:spacing w:val="-2"/>
                <w:sz w:val="15"/>
              </w:rPr>
              <w:t>(SSB)</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89"/>
              <w:rPr>
                <w:sz w:val="15"/>
              </w:rPr>
            </w:pPr>
            <w:r>
              <w:rPr>
                <w:color w:val="231F20"/>
                <w:sz w:val="15"/>
              </w:rPr>
              <w:t>Heart block </w:t>
            </w:r>
            <w:r>
              <w:rPr>
                <w:color w:val="231F20"/>
                <w:spacing w:val="-2"/>
                <w:sz w:val="15"/>
              </w:rPr>
              <w:t>Thrombocytopenia</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ight="621"/>
              <w:rPr>
                <w:sz w:val="15"/>
              </w:rPr>
            </w:pPr>
            <w:r>
              <w:rPr>
                <w:color w:val="231F20"/>
                <w:sz w:val="15"/>
              </w:rPr>
              <w:t>Tinea capitis </w:t>
            </w:r>
            <w:r>
              <w:rPr>
                <w:color w:val="231F20"/>
                <w:spacing w:val="-2"/>
                <w:sz w:val="15"/>
              </w:rPr>
              <w:t>Atopic</w:t>
            </w:r>
            <w:r>
              <w:rPr>
                <w:color w:val="231F20"/>
                <w:spacing w:val="-10"/>
                <w:sz w:val="15"/>
              </w:rPr>
              <w:t> </w:t>
            </w:r>
            <w:r>
              <w:rPr>
                <w:color w:val="231F20"/>
                <w:spacing w:val="-2"/>
                <w:sz w:val="15"/>
              </w:rPr>
              <w:t>dermatitis</w:t>
            </w:r>
          </w:p>
          <w:p>
            <w:pPr>
              <w:pStyle w:val="TableParagraph"/>
              <w:spacing w:line="170" w:lineRule="exact"/>
              <w:ind w:left="109"/>
              <w:rPr>
                <w:sz w:val="15"/>
              </w:rPr>
            </w:pPr>
            <w:r>
              <w:rPr>
                <w:color w:val="231F20"/>
                <w:sz w:val="15"/>
              </w:rPr>
              <w:t>Seborrheic</w:t>
            </w:r>
            <w:r>
              <w:rPr>
                <w:color w:val="231F20"/>
                <w:spacing w:val="1"/>
                <w:sz w:val="15"/>
              </w:rPr>
              <w:t> </w:t>
            </w:r>
            <w:r>
              <w:rPr>
                <w:color w:val="231F20"/>
                <w:spacing w:val="-2"/>
                <w:sz w:val="15"/>
              </w:rPr>
              <w:t>dermatitis</w:t>
            </w:r>
          </w:p>
        </w:tc>
      </w:tr>
      <w:tr>
        <w:trPr>
          <w:trHeight w:val="1092"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2"/>
                <w:sz w:val="15"/>
              </w:rPr>
              <w:t>Juvenile dermatomyositis</w:t>
            </w:r>
          </w:p>
        </w:tc>
        <w:tc>
          <w:tcPr>
            <w:tcW w:w="1264" w:type="dxa"/>
            <w:tcBorders>
              <w:top w:val="single" w:sz="4" w:space="0" w:color="FFFFFF"/>
              <w:bottom w:val="single" w:sz="4" w:space="0" w:color="FFFFFF"/>
            </w:tcBorders>
            <w:shd w:val="clear" w:color="auto" w:fill="E8F5F1"/>
          </w:tcPr>
          <w:p>
            <w:pPr>
              <w:pStyle w:val="TableParagraph"/>
              <w:spacing w:before="42"/>
              <w:ind w:left="175"/>
              <w:rPr>
                <w:sz w:val="15"/>
              </w:rPr>
            </w:pPr>
            <w:r>
              <w:rPr>
                <w:color w:val="231F20"/>
                <w:spacing w:val="-5"/>
                <w:w w:val="105"/>
                <w:sz w:val="15"/>
              </w:rPr>
              <w:t>Any</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right="300" w:hanging="112"/>
              <w:rPr>
                <w:sz w:val="15"/>
              </w:rPr>
            </w:pPr>
            <w:r>
              <w:rPr>
                <w:color w:val="231F20"/>
                <w:sz w:val="15"/>
              </w:rPr>
              <w:t>Erythematous to violaceous scaly, macules; discrete papules</w:t>
            </w:r>
            <w:r>
              <w:rPr>
                <w:color w:val="231F20"/>
                <w:spacing w:val="-12"/>
                <w:sz w:val="15"/>
              </w:rPr>
              <w:t> </w:t>
            </w:r>
            <w:r>
              <w:rPr>
                <w:color w:val="231F20"/>
                <w:sz w:val="15"/>
              </w:rPr>
              <w:t>overlying</w:t>
            </w:r>
            <w:r>
              <w:rPr>
                <w:color w:val="231F20"/>
                <w:spacing w:val="-11"/>
                <w:sz w:val="15"/>
              </w:rPr>
              <w:t> </w:t>
            </w:r>
            <w:r>
              <w:rPr>
                <w:color w:val="231F20"/>
                <w:sz w:val="15"/>
              </w:rPr>
              <w:t>knuckles</w:t>
            </w:r>
          </w:p>
        </w:tc>
        <w:tc>
          <w:tcPr>
            <w:tcW w:w="1591" w:type="dxa"/>
            <w:tcBorders>
              <w:top w:val="single" w:sz="4" w:space="0" w:color="FFFFFF"/>
              <w:bottom w:val="single" w:sz="4" w:space="0" w:color="FFFFFF"/>
            </w:tcBorders>
            <w:shd w:val="clear" w:color="auto" w:fill="E8F5F1"/>
          </w:tcPr>
          <w:p>
            <w:pPr>
              <w:pStyle w:val="TableParagraph"/>
              <w:spacing w:line="230" w:lineRule="auto" w:before="48"/>
              <w:ind w:left="186" w:right="314" w:hanging="112"/>
              <w:rPr>
                <w:sz w:val="15"/>
              </w:rPr>
            </w:pPr>
            <w:r>
              <w:rPr>
                <w:color w:val="231F20"/>
                <w:sz w:val="15"/>
              </w:rPr>
              <w:t>Periocular face; </w:t>
            </w:r>
            <w:r>
              <w:rPr>
                <w:color w:val="231F20"/>
                <w:spacing w:val="-2"/>
                <w:sz w:val="15"/>
              </w:rPr>
              <w:t>shoulder</w:t>
            </w:r>
            <w:r>
              <w:rPr>
                <w:color w:val="231F20"/>
                <w:spacing w:val="-10"/>
                <w:sz w:val="15"/>
              </w:rPr>
              <w:t> </w:t>
            </w:r>
            <w:r>
              <w:rPr>
                <w:color w:val="231F20"/>
                <w:spacing w:val="-2"/>
                <w:sz w:val="15"/>
              </w:rPr>
              <w:t>girdle; extensor extremities; knuckles;</w:t>
            </w:r>
            <w:r>
              <w:rPr>
                <w:color w:val="231F20"/>
                <w:spacing w:val="-10"/>
                <w:sz w:val="15"/>
              </w:rPr>
              <w:t> </w:t>
            </w:r>
            <w:r>
              <w:rPr>
                <w:color w:val="231F20"/>
                <w:spacing w:val="-2"/>
                <w:sz w:val="15"/>
              </w:rPr>
              <w:t>palms</w:t>
            </w:r>
          </w:p>
        </w:tc>
        <w:tc>
          <w:tcPr>
            <w:tcW w:w="2377" w:type="dxa"/>
            <w:tcBorders>
              <w:top w:val="single" w:sz="4" w:space="0" w:color="FFFFFF"/>
              <w:bottom w:val="single" w:sz="4" w:space="0" w:color="FFFFFF"/>
            </w:tcBorders>
            <w:shd w:val="clear" w:color="auto" w:fill="E8F5F1"/>
          </w:tcPr>
          <w:p>
            <w:pPr>
              <w:pStyle w:val="TableParagraph"/>
              <w:spacing w:line="230" w:lineRule="auto" w:before="48"/>
              <w:ind w:left="88" w:right="1783"/>
              <w:rPr>
                <w:sz w:val="15"/>
              </w:rPr>
            </w:pPr>
            <w:r>
              <w:rPr>
                <w:color w:val="231F20"/>
                <w:spacing w:val="-4"/>
                <w:w w:val="110"/>
                <w:sz w:val="15"/>
              </w:rPr>
              <w:t>ANA AST ALT</w:t>
            </w:r>
          </w:p>
          <w:p>
            <w:pPr>
              <w:pStyle w:val="TableParagraph"/>
              <w:spacing w:line="230" w:lineRule="auto" w:before="2"/>
              <w:ind w:left="88" w:right="1256"/>
              <w:rPr>
                <w:sz w:val="15"/>
              </w:rPr>
            </w:pPr>
            <w:r>
              <w:rPr>
                <w:color w:val="231F20"/>
                <w:spacing w:val="-2"/>
                <w:sz w:val="15"/>
              </w:rPr>
              <w:t>Aldolase Creatine</w:t>
            </w:r>
            <w:r>
              <w:rPr>
                <w:color w:val="231F20"/>
                <w:spacing w:val="-10"/>
                <w:sz w:val="15"/>
              </w:rPr>
              <w:t> </w:t>
            </w:r>
            <w:r>
              <w:rPr>
                <w:color w:val="231F20"/>
                <w:spacing w:val="-2"/>
                <w:sz w:val="15"/>
              </w:rPr>
              <w:t>kinase</w:t>
            </w:r>
          </w:p>
          <w:p>
            <w:pPr>
              <w:pStyle w:val="TableParagraph"/>
              <w:spacing w:line="170" w:lineRule="exact"/>
              <w:ind w:left="88"/>
              <w:rPr>
                <w:sz w:val="15"/>
              </w:rPr>
            </w:pPr>
            <w:r>
              <w:rPr>
                <w:color w:val="231F20"/>
                <w:spacing w:val="-4"/>
                <w:sz w:val="15"/>
              </w:rPr>
              <w:t>Lactate</w:t>
            </w:r>
            <w:r>
              <w:rPr>
                <w:color w:val="231F20"/>
                <w:spacing w:val="3"/>
                <w:sz w:val="15"/>
              </w:rPr>
              <w:t> </w:t>
            </w:r>
            <w:r>
              <w:rPr>
                <w:color w:val="231F20"/>
                <w:spacing w:val="-2"/>
                <w:sz w:val="15"/>
              </w:rPr>
              <w:t>dehydrogenase</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201" w:hanging="112"/>
              <w:rPr>
                <w:sz w:val="15"/>
              </w:rPr>
            </w:pPr>
            <w:r>
              <w:rPr>
                <w:color w:val="231F20"/>
                <w:spacing w:val="-2"/>
                <w:sz w:val="15"/>
              </w:rPr>
              <w:t>Proximal</w:t>
            </w:r>
            <w:r>
              <w:rPr>
                <w:color w:val="231F20"/>
                <w:spacing w:val="-10"/>
                <w:sz w:val="15"/>
              </w:rPr>
              <w:t> </w:t>
            </w:r>
            <w:r>
              <w:rPr>
                <w:color w:val="231F20"/>
                <w:spacing w:val="-2"/>
                <w:sz w:val="15"/>
              </w:rPr>
              <w:t>muscle weakness</w:t>
            </w:r>
          </w:p>
          <w:p>
            <w:pPr>
              <w:pStyle w:val="TableParagraph"/>
              <w:spacing w:line="230" w:lineRule="auto" w:before="1"/>
              <w:ind w:left="89" w:right="669"/>
              <w:rPr>
                <w:sz w:val="15"/>
              </w:rPr>
            </w:pPr>
            <w:r>
              <w:rPr>
                <w:color w:val="231F20"/>
                <w:spacing w:val="-4"/>
                <w:sz w:val="15"/>
              </w:rPr>
              <w:t>Calcifications </w:t>
            </w:r>
            <w:r>
              <w:rPr>
                <w:color w:val="231F20"/>
                <w:spacing w:val="-2"/>
                <w:sz w:val="15"/>
              </w:rPr>
              <w:t>Vasculopathy</w:t>
            </w:r>
          </w:p>
        </w:tc>
        <w:tc>
          <w:tcPr>
            <w:tcW w:w="1988" w:type="dxa"/>
            <w:tcBorders>
              <w:top w:val="single" w:sz="4" w:space="0" w:color="FFFFFF"/>
              <w:bottom w:val="single" w:sz="4" w:space="0" w:color="FFFFFF"/>
            </w:tcBorders>
            <w:shd w:val="clear" w:color="auto" w:fill="E8F5F1"/>
          </w:tcPr>
          <w:p>
            <w:pPr>
              <w:pStyle w:val="TableParagraph"/>
              <w:spacing w:line="171" w:lineRule="exact" w:before="42"/>
              <w:ind w:left="109"/>
              <w:rPr>
                <w:sz w:val="15"/>
              </w:rPr>
            </w:pPr>
            <w:r>
              <w:rPr>
                <w:color w:val="231F20"/>
                <w:sz w:val="15"/>
              </w:rPr>
              <w:t>Atopic</w:t>
            </w:r>
            <w:r>
              <w:rPr>
                <w:color w:val="231F20"/>
                <w:spacing w:val="9"/>
                <w:sz w:val="15"/>
              </w:rPr>
              <w:t> </w:t>
            </w:r>
            <w:r>
              <w:rPr>
                <w:color w:val="231F20"/>
                <w:spacing w:val="-2"/>
                <w:sz w:val="15"/>
              </w:rPr>
              <w:t>dermatitis</w:t>
            </w:r>
          </w:p>
          <w:p>
            <w:pPr>
              <w:pStyle w:val="TableParagraph"/>
              <w:spacing w:line="230" w:lineRule="auto" w:before="2"/>
              <w:ind w:left="109"/>
              <w:rPr>
                <w:sz w:val="15"/>
              </w:rPr>
            </w:pPr>
            <w:r>
              <w:rPr>
                <w:color w:val="231F20"/>
                <w:spacing w:val="-2"/>
                <w:sz w:val="15"/>
              </w:rPr>
              <w:t>Allergic</w:t>
            </w:r>
            <w:r>
              <w:rPr>
                <w:color w:val="231F20"/>
                <w:spacing w:val="-10"/>
                <w:sz w:val="15"/>
              </w:rPr>
              <w:t> </w:t>
            </w:r>
            <w:r>
              <w:rPr>
                <w:color w:val="231F20"/>
                <w:spacing w:val="-2"/>
                <w:sz w:val="15"/>
              </w:rPr>
              <w:t>contact</w:t>
            </w:r>
            <w:r>
              <w:rPr>
                <w:color w:val="231F20"/>
                <w:spacing w:val="-9"/>
                <w:sz w:val="15"/>
              </w:rPr>
              <w:t> </w:t>
            </w:r>
            <w:r>
              <w:rPr>
                <w:color w:val="231F20"/>
                <w:spacing w:val="-2"/>
                <w:sz w:val="15"/>
              </w:rPr>
              <w:t>dermatitis </w:t>
            </w:r>
            <w:r>
              <w:rPr>
                <w:color w:val="231F20"/>
                <w:sz w:val="15"/>
              </w:rPr>
              <w:t>Lupus erythematosus</w:t>
            </w:r>
          </w:p>
        </w:tc>
      </w:tr>
      <w:tr>
        <w:trPr>
          <w:trHeight w:val="924"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2"/>
                <w:sz w:val="15"/>
              </w:rPr>
              <w:t>Henoch-</w:t>
            </w:r>
            <w:r>
              <w:rPr>
                <w:color w:val="231F20"/>
                <w:spacing w:val="-2"/>
                <w:sz w:val="15"/>
              </w:rPr>
              <w:t>Schönlein purpura</w:t>
            </w:r>
          </w:p>
        </w:tc>
        <w:tc>
          <w:tcPr>
            <w:tcW w:w="1264" w:type="dxa"/>
            <w:tcBorders>
              <w:top w:val="single" w:sz="4" w:space="0" w:color="FFFFFF"/>
              <w:bottom w:val="single" w:sz="4" w:space="0" w:color="FFFFFF"/>
            </w:tcBorders>
            <w:shd w:val="clear" w:color="auto" w:fill="E8F5F1"/>
          </w:tcPr>
          <w:p>
            <w:pPr>
              <w:pStyle w:val="TableParagraph"/>
              <w:spacing w:line="230" w:lineRule="auto" w:before="48"/>
              <w:ind w:left="287" w:hanging="112"/>
              <w:rPr>
                <w:sz w:val="15"/>
              </w:rPr>
            </w:pPr>
            <w:r>
              <w:rPr>
                <w:color w:val="231F20"/>
                <w:spacing w:val="-2"/>
                <w:w w:val="105"/>
                <w:sz w:val="15"/>
              </w:rPr>
              <w:t>Childhood</w:t>
            </w:r>
            <w:r>
              <w:rPr>
                <w:color w:val="231F20"/>
                <w:spacing w:val="-10"/>
                <w:w w:val="105"/>
                <w:sz w:val="15"/>
              </w:rPr>
              <w:t> </w:t>
            </w:r>
            <w:r>
              <w:rPr>
                <w:color w:val="231F20"/>
                <w:spacing w:val="-2"/>
                <w:w w:val="105"/>
                <w:sz w:val="15"/>
              </w:rPr>
              <w:t>and adolescence</w:t>
            </w:r>
          </w:p>
        </w:tc>
        <w:tc>
          <w:tcPr>
            <w:tcW w:w="2308" w:type="dxa"/>
            <w:tcBorders>
              <w:top w:val="single" w:sz="4" w:space="0" w:color="FFFFFF"/>
              <w:bottom w:val="single" w:sz="4" w:space="0" w:color="FFFFFF"/>
            </w:tcBorders>
            <w:shd w:val="clear" w:color="auto" w:fill="E8F5F1"/>
          </w:tcPr>
          <w:p>
            <w:pPr>
              <w:pStyle w:val="TableParagraph"/>
              <w:spacing w:before="42"/>
              <w:ind w:left="87"/>
              <w:rPr>
                <w:sz w:val="15"/>
              </w:rPr>
            </w:pPr>
            <w:r>
              <w:rPr>
                <w:color w:val="231F20"/>
                <w:sz w:val="15"/>
              </w:rPr>
              <w:t>Purpuric</w:t>
            </w:r>
            <w:r>
              <w:rPr>
                <w:color w:val="231F20"/>
                <w:spacing w:val="1"/>
                <w:sz w:val="15"/>
              </w:rPr>
              <w:t> </w:t>
            </w:r>
            <w:r>
              <w:rPr>
                <w:color w:val="231F20"/>
                <w:sz w:val="15"/>
              </w:rPr>
              <w:t>papules</w:t>
            </w:r>
            <w:r>
              <w:rPr>
                <w:color w:val="231F20"/>
                <w:spacing w:val="1"/>
                <w:sz w:val="15"/>
              </w:rPr>
              <w:t> </w:t>
            </w:r>
            <w:r>
              <w:rPr>
                <w:color w:val="231F20"/>
                <w:sz w:val="15"/>
              </w:rPr>
              <w:t>and</w:t>
            </w:r>
            <w:r>
              <w:rPr>
                <w:color w:val="231F20"/>
                <w:spacing w:val="1"/>
                <w:sz w:val="15"/>
              </w:rPr>
              <w:t> </w:t>
            </w:r>
            <w:r>
              <w:rPr>
                <w:color w:val="231F20"/>
                <w:spacing w:val="-2"/>
                <w:sz w:val="15"/>
              </w:rPr>
              <w:t>plaques</w:t>
            </w:r>
          </w:p>
        </w:tc>
        <w:tc>
          <w:tcPr>
            <w:tcW w:w="1591"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4"/>
                <w:sz w:val="15"/>
              </w:rPr>
              <w:t>Buttocks;</w:t>
            </w:r>
            <w:r>
              <w:rPr>
                <w:color w:val="231F20"/>
                <w:spacing w:val="-8"/>
                <w:sz w:val="15"/>
              </w:rPr>
              <w:t> </w:t>
            </w:r>
            <w:r>
              <w:rPr>
                <w:color w:val="231F20"/>
                <w:spacing w:val="-4"/>
                <w:sz w:val="15"/>
              </w:rPr>
              <w:t>lower </w:t>
            </w:r>
            <w:r>
              <w:rPr>
                <w:color w:val="231F20"/>
                <w:spacing w:val="-2"/>
                <w:sz w:val="15"/>
              </w:rPr>
              <w:t>extremities</w:t>
            </w:r>
          </w:p>
        </w:tc>
        <w:tc>
          <w:tcPr>
            <w:tcW w:w="2377" w:type="dxa"/>
            <w:tcBorders>
              <w:top w:val="single" w:sz="4" w:space="0" w:color="FFFFFF"/>
              <w:bottom w:val="single" w:sz="4" w:space="0" w:color="FFFFFF"/>
            </w:tcBorders>
            <w:shd w:val="clear" w:color="auto" w:fill="E8F5F1"/>
          </w:tcPr>
          <w:p>
            <w:pPr>
              <w:pStyle w:val="TableParagraph"/>
              <w:spacing w:line="171" w:lineRule="exact" w:before="42"/>
              <w:ind w:left="88"/>
              <w:rPr>
                <w:sz w:val="15"/>
              </w:rPr>
            </w:pPr>
            <w:r>
              <w:rPr>
                <w:color w:val="231F20"/>
                <w:spacing w:val="-2"/>
                <w:sz w:val="15"/>
              </w:rPr>
              <w:t>Urinalysis</w:t>
            </w:r>
          </w:p>
          <w:p>
            <w:pPr>
              <w:pStyle w:val="TableParagraph"/>
              <w:spacing w:line="230" w:lineRule="auto" w:before="2"/>
              <w:ind w:left="200" w:hanging="112"/>
              <w:rPr>
                <w:sz w:val="15"/>
              </w:rPr>
            </w:pPr>
            <w:r>
              <w:rPr>
                <w:color w:val="231F20"/>
                <w:spacing w:val="-2"/>
                <w:sz w:val="15"/>
              </w:rPr>
              <w:t>Blood</w:t>
            </w:r>
            <w:r>
              <w:rPr>
                <w:color w:val="231F20"/>
                <w:spacing w:val="-8"/>
                <w:sz w:val="15"/>
              </w:rPr>
              <w:t> </w:t>
            </w:r>
            <w:r>
              <w:rPr>
                <w:color w:val="231F20"/>
                <w:spacing w:val="-2"/>
                <w:sz w:val="15"/>
              </w:rPr>
              <w:t>urea</w:t>
            </w:r>
            <w:r>
              <w:rPr>
                <w:color w:val="231F20"/>
                <w:spacing w:val="-8"/>
                <w:sz w:val="15"/>
              </w:rPr>
              <w:t> </w:t>
            </w:r>
            <w:r>
              <w:rPr>
                <w:color w:val="231F20"/>
                <w:spacing w:val="-2"/>
                <w:sz w:val="15"/>
              </w:rPr>
              <w:t>nitrogen/creatinine ratio</w:t>
            </w:r>
          </w:p>
          <w:p>
            <w:pPr>
              <w:pStyle w:val="TableParagraph"/>
              <w:spacing w:line="170" w:lineRule="exact"/>
              <w:ind w:left="88"/>
              <w:rPr>
                <w:sz w:val="15"/>
              </w:rPr>
            </w:pPr>
            <w:r>
              <w:rPr>
                <w:color w:val="231F20"/>
                <w:sz w:val="15"/>
              </w:rPr>
              <w:t>Skin</w:t>
            </w:r>
            <w:r>
              <w:rPr>
                <w:color w:val="231F20"/>
                <w:spacing w:val="1"/>
                <w:sz w:val="15"/>
              </w:rPr>
              <w:t> </w:t>
            </w:r>
            <w:r>
              <w:rPr>
                <w:color w:val="231F20"/>
                <w:spacing w:val="-2"/>
                <w:sz w:val="15"/>
              </w:rPr>
              <w:t>biopsy</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89" w:right="138"/>
              <w:rPr>
                <w:sz w:val="15"/>
              </w:rPr>
            </w:pPr>
            <w:r>
              <w:rPr>
                <w:color w:val="231F20"/>
                <w:sz w:val="15"/>
              </w:rPr>
              <w:t>Abdominal</w:t>
            </w:r>
            <w:r>
              <w:rPr>
                <w:color w:val="231F20"/>
                <w:spacing w:val="-11"/>
                <w:sz w:val="15"/>
              </w:rPr>
              <w:t> </w:t>
            </w:r>
            <w:r>
              <w:rPr>
                <w:color w:val="231F20"/>
                <w:sz w:val="15"/>
              </w:rPr>
              <w:t>pain </w:t>
            </w:r>
            <w:r>
              <w:rPr>
                <w:color w:val="231F20"/>
                <w:spacing w:val="-2"/>
                <w:sz w:val="15"/>
              </w:rPr>
              <w:t>Arthritis</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ight="937"/>
              <w:rPr>
                <w:sz w:val="15"/>
              </w:rPr>
            </w:pPr>
            <w:r>
              <w:rPr>
                <w:color w:val="231F20"/>
                <w:spacing w:val="-2"/>
                <w:sz w:val="15"/>
              </w:rPr>
              <w:t>Vasculitis</w:t>
            </w:r>
            <w:r>
              <w:rPr>
                <w:color w:val="231F20"/>
                <w:spacing w:val="40"/>
                <w:sz w:val="15"/>
              </w:rPr>
              <w:t> </w:t>
            </w:r>
            <w:r>
              <w:rPr>
                <w:color w:val="231F20"/>
                <w:sz w:val="15"/>
              </w:rPr>
              <w:t>Drug</w:t>
            </w:r>
            <w:r>
              <w:rPr>
                <w:color w:val="231F20"/>
                <w:spacing w:val="-12"/>
                <w:sz w:val="15"/>
              </w:rPr>
              <w:t> </w:t>
            </w:r>
            <w:r>
              <w:rPr>
                <w:color w:val="231F20"/>
                <w:sz w:val="15"/>
              </w:rPr>
              <w:t>eruption</w:t>
            </w:r>
          </w:p>
          <w:p>
            <w:pPr>
              <w:pStyle w:val="TableParagraph"/>
              <w:spacing w:line="230" w:lineRule="auto" w:before="1"/>
              <w:ind w:left="221" w:right="457" w:hanging="112"/>
              <w:rPr>
                <w:sz w:val="15"/>
              </w:rPr>
            </w:pPr>
            <w:r>
              <w:rPr>
                <w:color w:val="231F20"/>
                <w:spacing w:val="-2"/>
                <w:sz w:val="15"/>
              </w:rPr>
              <w:t>Infantile</w:t>
            </w:r>
            <w:r>
              <w:rPr>
                <w:color w:val="231F20"/>
                <w:spacing w:val="-10"/>
                <w:sz w:val="15"/>
              </w:rPr>
              <w:t> </w:t>
            </w:r>
            <w:r>
              <w:rPr>
                <w:color w:val="231F20"/>
                <w:spacing w:val="-2"/>
                <w:sz w:val="15"/>
              </w:rPr>
              <w:t>hemorrhagic edema</w:t>
            </w:r>
          </w:p>
          <w:p>
            <w:pPr>
              <w:pStyle w:val="TableParagraph"/>
              <w:spacing w:line="170" w:lineRule="exact"/>
              <w:ind w:left="109"/>
              <w:rPr>
                <w:sz w:val="15"/>
              </w:rPr>
            </w:pPr>
            <w:r>
              <w:rPr>
                <w:color w:val="231F20"/>
                <w:spacing w:val="-4"/>
                <w:sz w:val="15"/>
              </w:rPr>
              <w:t>Viral </w:t>
            </w:r>
            <w:r>
              <w:rPr>
                <w:color w:val="231F20"/>
                <w:spacing w:val="-2"/>
                <w:sz w:val="15"/>
              </w:rPr>
              <w:t>exanthem</w:t>
            </w:r>
          </w:p>
        </w:tc>
      </w:tr>
      <w:tr>
        <w:trPr>
          <w:trHeight w:val="924" w:hRule="atLeast"/>
        </w:trPr>
        <w:tc>
          <w:tcPr>
            <w:tcW w:w="16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Kawasaki disease</w:t>
            </w:r>
          </w:p>
        </w:tc>
        <w:tc>
          <w:tcPr>
            <w:tcW w:w="1264" w:type="dxa"/>
            <w:tcBorders>
              <w:top w:val="single" w:sz="4" w:space="0" w:color="FFFFFF"/>
              <w:bottom w:val="single" w:sz="4" w:space="0" w:color="FFFFFF"/>
            </w:tcBorders>
            <w:shd w:val="clear" w:color="auto" w:fill="E8F5F1"/>
          </w:tcPr>
          <w:p>
            <w:pPr>
              <w:pStyle w:val="TableParagraph"/>
              <w:spacing w:line="230" w:lineRule="auto" w:before="48"/>
              <w:ind w:left="287" w:hanging="112"/>
              <w:rPr>
                <w:sz w:val="15"/>
              </w:rPr>
            </w:pPr>
            <w:r>
              <w:rPr>
                <w:color w:val="231F20"/>
                <w:spacing w:val="-2"/>
                <w:sz w:val="15"/>
              </w:rPr>
              <w:t>Infancy, childhood</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right="78" w:hanging="112"/>
              <w:rPr>
                <w:sz w:val="15"/>
              </w:rPr>
            </w:pPr>
            <w:r>
              <w:rPr>
                <w:color w:val="231F20"/>
                <w:sz w:val="15"/>
              </w:rPr>
              <w:t>Erythematous</w:t>
            </w:r>
            <w:r>
              <w:rPr>
                <w:color w:val="231F20"/>
                <w:spacing w:val="-12"/>
                <w:sz w:val="15"/>
              </w:rPr>
              <w:t> </w:t>
            </w:r>
            <w:r>
              <w:rPr>
                <w:color w:val="231F20"/>
                <w:sz w:val="15"/>
              </w:rPr>
              <w:t>maculopapular</w:t>
            </w:r>
            <w:r>
              <w:rPr>
                <w:color w:val="231F20"/>
                <w:spacing w:val="-11"/>
                <w:sz w:val="15"/>
              </w:rPr>
              <w:t> </w:t>
            </w:r>
            <w:r>
              <w:rPr>
                <w:color w:val="231F20"/>
                <w:sz w:val="15"/>
              </w:rPr>
              <w:t>to urticarial plaques; acral and groin erythema, edema, </w:t>
            </w:r>
            <w:r>
              <w:rPr>
                <w:color w:val="231F20"/>
                <w:spacing w:val="-2"/>
                <w:sz w:val="15"/>
              </w:rPr>
              <w:t>desquamation</w:t>
            </w:r>
          </w:p>
        </w:tc>
        <w:tc>
          <w:tcPr>
            <w:tcW w:w="159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Diffuse</w:t>
            </w:r>
          </w:p>
        </w:tc>
        <w:tc>
          <w:tcPr>
            <w:tcW w:w="2377" w:type="dxa"/>
            <w:tcBorders>
              <w:top w:val="single" w:sz="4" w:space="0" w:color="FFFFFF"/>
              <w:bottom w:val="single" w:sz="4" w:space="0" w:color="FFFFFF"/>
            </w:tcBorders>
            <w:shd w:val="clear" w:color="auto" w:fill="E8F5F1"/>
          </w:tcPr>
          <w:p>
            <w:pPr>
              <w:pStyle w:val="TableParagraph"/>
              <w:spacing w:line="230" w:lineRule="auto" w:before="48"/>
              <w:ind w:left="88" w:right="1256"/>
              <w:rPr>
                <w:sz w:val="15"/>
              </w:rPr>
            </w:pPr>
            <w:r>
              <w:rPr>
                <w:color w:val="231F20"/>
                <w:spacing w:val="-2"/>
                <w:sz w:val="15"/>
              </w:rPr>
              <w:t>Leukocytosis </w:t>
            </w:r>
            <w:r>
              <w:rPr>
                <w:color w:val="231F20"/>
                <w:spacing w:val="-4"/>
                <w:sz w:val="15"/>
              </w:rPr>
              <w:t>ESR</w:t>
            </w:r>
          </w:p>
          <w:p>
            <w:pPr>
              <w:pStyle w:val="TableParagraph"/>
              <w:spacing w:line="230" w:lineRule="auto" w:before="1"/>
              <w:ind w:left="88" w:right="1083"/>
              <w:rPr>
                <w:sz w:val="15"/>
              </w:rPr>
            </w:pPr>
            <w:r>
              <w:rPr>
                <w:color w:val="231F20"/>
                <w:spacing w:val="-2"/>
                <w:sz w:val="15"/>
              </w:rPr>
              <w:t>C-reactive</w:t>
            </w:r>
            <w:r>
              <w:rPr>
                <w:color w:val="231F20"/>
                <w:spacing w:val="-10"/>
                <w:sz w:val="15"/>
              </w:rPr>
              <w:t> </w:t>
            </w:r>
            <w:r>
              <w:rPr>
                <w:color w:val="231F20"/>
                <w:spacing w:val="-2"/>
                <w:sz w:val="15"/>
              </w:rPr>
              <w:t>protein Thrombocytosis</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89" w:right="301"/>
              <w:rPr>
                <w:sz w:val="15"/>
              </w:rPr>
            </w:pPr>
            <w:r>
              <w:rPr>
                <w:color w:val="231F20"/>
                <w:sz w:val="15"/>
              </w:rPr>
              <w:t>Strawberry</w:t>
            </w:r>
            <w:r>
              <w:rPr>
                <w:color w:val="231F20"/>
                <w:spacing w:val="-12"/>
                <w:sz w:val="15"/>
              </w:rPr>
              <w:t> </w:t>
            </w:r>
            <w:r>
              <w:rPr>
                <w:color w:val="231F20"/>
                <w:sz w:val="15"/>
              </w:rPr>
              <w:t>tongue </w:t>
            </w:r>
            <w:r>
              <w:rPr>
                <w:color w:val="231F20"/>
                <w:spacing w:val="-2"/>
                <w:sz w:val="15"/>
              </w:rPr>
              <w:t>Conjunctivitis Lymphadenopathy Cardiovascular</w:t>
            </w:r>
          </w:p>
          <w:p>
            <w:pPr>
              <w:pStyle w:val="TableParagraph"/>
              <w:spacing w:line="171" w:lineRule="exact"/>
              <w:ind w:left="201"/>
              <w:rPr>
                <w:sz w:val="15"/>
              </w:rPr>
            </w:pPr>
            <w:r>
              <w:rPr>
                <w:color w:val="231F20"/>
                <w:spacing w:val="-2"/>
                <w:sz w:val="15"/>
              </w:rPr>
              <w:t>complications</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ight="621"/>
              <w:rPr>
                <w:sz w:val="15"/>
              </w:rPr>
            </w:pPr>
            <w:r>
              <w:rPr>
                <w:color w:val="231F20"/>
                <w:sz w:val="15"/>
              </w:rPr>
              <w:t>Viral syndrome Drug eruption </w:t>
            </w:r>
            <w:r>
              <w:rPr>
                <w:color w:val="231F20"/>
                <w:spacing w:val="-4"/>
                <w:sz w:val="15"/>
              </w:rPr>
              <w:t>Staphylococcal/</w:t>
            </w:r>
          </w:p>
          <w:p>
            <w:pPr>
              <w:pStyle w:val="TableParagraph"/>
              <w:spacing w:line="171" w:lineRule="exact"/>
              <w:ind w:left="221"/>
              <w:rPr>
                <w:sz w:val="15"/>
              </w:rPr>
            </w:pPr>
            <w:r>
              <w:rPr>
                <w:color w:val="231F20"/>
                <w:spacing w:val="-2"/>
                <w:sz w:val="15"/>
              </w:rPr>
              <w:t>streptococcal</w:t>
            </w:r>
            <w:r>
              <w:rPr>
                <w:color w:val="231F20"/>
                <w:spacing w:val="8"/>
                <w:sz w:val="15"/>
              </w:rPr>
              <w:t> </w:t>
            </w:r>
            <w:r>
              <w:rPr>
                <w:color w:val="231F20"/>
                <w:spacing w:val="-2"/>
                <w:sz w:val="15"/>
              </w:rPr>
              <w:t>illness</w:t>
            </w:r>
          </w:p>
        </w:tc>
      </w:tr>
      <w:tr>
        <w:trPr>
          <w:trHeight w:val="924"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right="253" w:hanging="112"/>
              <w:rPr>
                <w:sz w:val="15"/>
              </w:rPr>
            </w:pPr>
            <w:r>
              <w:rPr>
                <w:color w:val="231F20"/>
                <w:spacing w:val="-2"/>
                <w:sz w:val="15"/>
              </w:rPr>
              <w:t>Inflammatory</w:t>
            </w:r>
            <w:r>
              <w:rPr>
                <w:color w:val="231F20"/>
                <w:spacing w:val="-10"/>
                <w:sz w:val="15"/>
              </w:rPr>
              <w:t> </w:t>
            </w:r>
            <w:r>
              <w:rPr>
                <w:color w:val="231F20"/>
                <w:spacing w:val="-2"/>
                <w:sz w:val="15"/>
              </w:rPr>
              <w:t>bowel disease</w:t>
            </w:r>
          </w:p>
        </w:tc>
        <w:tc>
          <w:tcPr>
            <w:tcW w:w="1264" w:type="dxa"/>
            <w:tcBorders>
              <w:top w:val="single" w:sz="4" w:space="0" w:color="FFFFFF"/>
              <w:bottom w:val="single" w:sz="4" w:space="0" w:color="FFFFFF"/>
            </w:tcBorders>
            <w:shd w:val="clear" w:color="auto" w:fill="E8F5F1"/>
          </w:tcPr>
          <w:p>
            <w:pPr>
              <w:pStyle w:val="TableParagraph"/>
              <w:spacing w:line="230" w:lineRule="auto" w:before="48"/>
              <w:ind w:left="287" w:hanging="112"/>
              <w:rPr>
                <w:sz w:val="15"/>
              </w:rPr>
            </w:pPr>
            <w:r>
              <w:rPr>
                <w:color w:val="231F20"/>
                <w:spacing w:val="-2"/>
                <w:w w:val="105"/>
                <w:sz w:val="15"/>
              </w:rPr>
              <w:t>Childhood</w:t>
            </w:r>
            <w:r>
              <w:rPr>
                <w:color w:val="231F20"/>
                <w:spacing w:val="-10"/>
                <w:w w:val="105"/>
                <w:sz w:val="15"/>
              </w:rPr>
              <w:t> </w:t>
            </w:r>
            <w:r>
              <w:rPr>
                <w:color w:val="231F20"/>
                <w:spacing w:val="-2"/>
                <w:w w:val="105"/>
                <w:sz w:val="15"/>
              </w:rPr>
              <w:t>and adolescence</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hanging="112"/>
              <w:rPr>
                <w:sz w:val="15"/>
              </w:rPr>
            </w:pPr>
            <w:r>
              <w:rPr>
                <w:color w:val="231F20"/>
                <w:sz w:val="15"/>
              </w:rPr>
              <w:t>Aphthae;</w:t>
            </w:r>
            <w:r>
              <w:rPr>
                <w:color w:val="231F20"/>
                <w:spacing w:val="-12"/>
                <w:sz w:val="15"/>
              </w:rPr>
              <w:t> </w:t>
            </w:r>
            <w:r>
              <w:rPr>
                <w:color w:val="231F20"/>
                <w:sz w:val="15"/>
              </w:rPr>
              <w:t>erythema</w:t>
            </w:r>
            <w:r>
              <w:rPr>
                <w:color w:val="231F20"/>
                <w:spacing w:val="-11"/>
                <w:sz w:val="15"/>
              </w:rPr>
              <w:t> </w:t>
            </w:r>
            <w:r>
              <w:rPr>
                <w:color w:val="231F20"/>
                <w:sz w:val="15"/>
              </w:rPr>
              <w:t>nodosum; pyoderma gangrenosum; </w:t>
            </w:r>
            <w:r>
              <w:rPr>
                <w:color w:val="231F20"/>
                <w:spacing w:val="-2"/>
                <w:sz w:val="15"/>
              </w:rPr>
              <w:t>thrombophlebitis</w:t>
            </w:r>
          </w:p>
        </w:tc>
        <w:tc>
          <w:tcPr>
            <w:tcW w:w="1591"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pacing w:val="-2"/>
                <w:sz w:val="15"/>
              </w:rPr>
              <w:t>Oral</w:t>
            </w:r>
            <w:r>
              <w:rPr>
                <w:color w:val="231F20"/>
                <w:spacing w:val="-10"/>
                <w:sz w:val="15"/>
              </w:rPr>
              <w:t> </w:t>
            </w:r>
            <w:r>
              <w:rPr>
                <w:color w:val="231F20"/>
                <w:spacing w:val="-2"/>
                <w:sz w:val="15"/>
              </w:rPr>
              <w:t>ulcers;</w:t>
            </w:r>
            <w:r>
              <w:rPr>
                <w:color w:val="231F20"/>
                <w:spacing w:val="-9"/>
                <w:sz w:val="15"/>
              </w:rPr>
              <w:t> </w:t>
            </w:r>
            <w:r>
              <w:rPr>
                <w:color w:val="231F20"/>
                <w:spacing w:val="-2"/>
                <w:sz w:val="15"/>
              </w:rPr>
              <w:t>perianal fissures</w:t>
            </w:r>
          </w:p>
        </w:tc>
        <w:tc>
          <w:tcPr>
            <w:tcW w:w="2377" w:type="dxa"/>
            <w:tcBorders>
              <w:top w:val="single" w:sz="4" w:space="0" w:color="FFFFFF"/>
              <w:bottom w:val="single" w:sz="4" w:space="0" w:color="FFFFFF"/>
            </w:tcBorders>
            <w:shd w:val="clear" w:color="auto" w:fill="E8F5F1"/>
          </w:tcPr>
          <w:p>
            <w:pPr>
              <w:pStyle w:val="TableParagraph"/>
              <w:spacing w:before="42"/>
              <w:ind w:left="88"/>
              <w:rPr>
                <w:sz w:val="15"/>
              </w:rPr>
            </w:pPr>
            <w:r>
              <w:rPr>
                <w:color w:val="231F20"/>
                <w:sz w:val="15"/>
              </w:rPr>
              <w:t>Skin</w:t>
            </w:r>
            <w:r>
              <w:rPr>
                <w:color w:val="231F20"/>
                <w:spacing w:val="1"/>
                <w:sz w:val="15"/>
              </w:rPr>
              <w:t> </w:t>
            </w:r>
            <w:r>
              <w:rPr>
                <w:color w:val="231F20"/>
                <w:spacing w:val="-2"/>
                <w:sz w:val="15"/>
              </w:rPr>
              <w:t>biopsy</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89" w:right="418"/>
              <w:rPr>
                <w:sz w:val="15"/>
              </w:rPr>
            </w:pPr>
            <w:r>
              <w:rPr>
                <w:color w:val="231F20"/>
                <w:sz w:val="15"/>
              </w:rPr>
              <w:t>Abdominal</w:t>
            </w:r>
            <w:r>
              <w:rPr>
                <w:color w:val="231F20"/>
                <w:spacing w:val="-11"/>
                <w:sz w:val="15"/>
              </w:rPr>
              <w:t> </w:t>
            </w:r>
            <w:r>
              <w:rPr>
                <w:color w:val="231F20"/>
                <w:sz w:val="15"/>
              </w:rPr>
              <w:t>pain </w:t>
            </w:r>
            <w:r>
              <w:rPr>
                <w:color w:val="231F20"/>
                <w:spacing w:val="-2"/>
                <w:sz w:val="15"/>
              </w:rPr>
              <w:t>Diarrhea Cramping Arthritis Conjunctivitis</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ight="185"/>
              <w:rPr>
                <w:sz w:val="15"/>
              </w:rPr>
            </w:pPr>
            <w:r>
              <w:rPr>
                <w:color w:val="231F20"/>
                <w:sz w:val="15"/>
              </w:rPr>
              <w:t>Behçet</w:t>
            </w:r>
            <w:r>
              <w:rPr>
                <w:color w:val="231F20"/>
                <w:spacing w:val="-12"/>
                <w:sz w:val="15"/>
              </w:rPr>
              <w:t> </w:t>
            </w:r>
            <w:r>
              <w:rPr>
                <w:color w:val="231F20"/>
                <w:sz w:val="15"/>
              </w:rPr>
              <w:t>syndrome </w:t>
            </w:r>
            <w:r>
              <w:rPr>
                <w:color w:val="231F20"/>
                <w:spacing w:val="-2"/>
                <w:sz w:val="15"/>
              </w:rPr>
              <w:t>Vasculitis</w:t>
            </w:r>
          </w:p>
          <w:p>
            <w:pPr>
              <w:pStyle w:val="TableParagraph"/>
              <w:spacing w:line="170" w:lineRule="exact"/>
              <w:ind w:left="109"/>
              <w:rPr>
                <w:sz w:val="15"/>
              </w:rPr>
            </w:pPr>
            <w:r>
              <w:rPr>
                <w:i/>
                <w:color w:val="231F20"/>
                <w:spacing w:val="-4"/>
                <w:sz w:val="15"/>
              </w:rPr>
              <w:t>Yersinia</w:t>
            </w:r>
            <w:r>
              <w:rPr>
                <w:i/>
                <w:color w:val="231F20"/>
                <w:sz w:val="15"/>
              </w:rPr>
              <w:t> </w:t>
            </w:r>
            <w:r>
              <w:rPr>
                <w:color w:val="231F20"/>
                <w:spacing w:val="-2"/>
                <w:sz w:val="15"/>
              </w:rPr>
              <w:t>colitis</w:t>
            </w:r>
          </w:p>
        </w:tc>
      </w:tr>
      <w:tr>
        <w:trPr>
          <w:trHeight w:val="756" w:hRule="atLeast"/>
        </w:trPr>
        <w:tc>
          <w:tcPr>
            <w:tcW w:w="1653"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z w:val="15"/>
              </w:rPr>
              <w:t>Sweet</w:t>
            </w:r>
            <w:r>
              <w:rPr>
                <w:color w:val="231F20"/>
                <w:spacing w:val="-4"/>
                <w:sz w:val="15"/>
              </w:rPr>
              <w:t> </w:t>
            </w:r>
            <w:r>
              <w:rPr>
                <w:color w:val="231F20"/>
                <w:spacing w:val="-2"/>
                <w:sz w:val="15"/>
              </w:rPr>
              <w:t>syndrome</w:t>
            </w:r>
          </w:p>
        </w:tc>
        <w:tc>
          <w:tcPr>
            <w:tcW w:w="1264" w:type="dxa"/>
            <w:tcBorders>
              <w:top w:val="single" w:sz="4" w:space="0" w:color="FFFFFF"/>
              <w:bottom w:val="single" w:sz="4" w:space="0" w:color="FFFFFF"/>
            </w:tcBorders>
            <w:shd w:val="clear" w:color="auto" w:fill="E8F5F1"/>
          </w:tcPr>
          <w:p>
            <w:pPr>
              <w:pStyle w:val="TableParagraph"/>
              <w:spacing w:before="42"/>
              <w:ind w:left="175"/>
              <w:rPr>
                <w:sz w:val="15"/>
              </w:rPr>
            </w:pPr>
            <w:r>
              <w:rPr>
                <w:color w:val="231F20"/>
                <w:spacing w:val="-5"/>
                <w:w w:val="105"/>
                <w:sz w:val="15"/>
              </w:rPr>
              <w:t>Any</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hanging="112"/>
              <w:rPr>
                <w:sz w:val="15"/>
              </w:rPr>
            </w:pPr>
            <w:r>
              <w:rPr>
                <w:color w:val="231F20"/>
                <w:spacing w:val="-4"/>
                <w:sz w:val="15"/>
              </w:rPr>
              <w:t>Infiltrated</w:t>
            </w:r>
            <w:r>
              <w:rPr>
                <w:color w:val="231F20"/>
                <w:spacing w:val="-8"/>
                <w:sz w:val="15"/>
              </w:rPr>
              <w:t> </w:t>
            </w:r>
            <w:r>
              <w:rPr>
                <w:color w:val="231F20"/>
                <w:spacing w:val="-4"/>
                <w:sz w:val="15"/>
              </w:rPr>
              <w:t>erythematous, </w:t>
            </w:r>
            <w:r>
              <w:rPr>
                <w:color w:val="231F20"/>
                <w:sz w:val="15"/>
              </w:rPr>
              <w:t>edematous plaques</w:t>
            </w:r>
          </w:p>
        </w:tc>
        <w:tc>
          <w:tcPr>
            <w:tcW w:w="159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Diffuse</w:t>
            </w:r>
          </w:p>
        </w:tc>
        <w:tc>
          <w:tcPr>
            <w:tcW w:w="2377" w:type="dxa"/>
            <w:tcBorders>
              <w:top w:val="single" w:sz="4" w:space="0" w:color="FFFFFF"/>
              <w:bottom w:val="single" w:sz="4" w:space="0" w:color="FFFFFF"/>
            </w:tcBorders>
            <w:shd w:val="clear" w:color="auto" w:fill="E8F5F1"/>
          </w:tcPr>
          <w:p>
            <w:pPr>
              <w:pStyle w:val="TableParagraph"/>
              <w:spacing w:line="230" w:lineRule="auto" w:before="48"/>
              <w:ind w:left="88" w:right="1256"/>
              <w:rPr>
                <w:sz w:val="15"/>
              </w:rPr>
            </w:pPr>
            <w:r>
              <w:rPr>
                <w:color w:val="231F20"/>
                <w:sz w:val="15"/>
              </w:rPr>
              <w:t>Skin biopsy </w:t>
            </w:r>
            <w:r>
              <w:rPr>
                <w:color w:val="231F20"/>
                <w:spacing w:val="-2"/>
                <w:sz w:val="15"/>
              </w:rPr>
              <w:t>Leukocytosis </w:t>
            </w:r>
            <w:r>
              <w:rPr>
                <w:color w:val="231F20"/>
                <w:spacing w:val="-4"/>
                <w:sz w:val="15"/>
              </w:rPr>
              <w:t>ESR</w:t>
            </w:r>
          </w:p>
        </w:tc>
        <w:tc>
          <w:tcPr>
            <w:tcW w:w="1641" w:type="dxa"/>
            <w:tcBorders>
              <w:top w:val="single" w:sz="4" w:space="0" w:color="FFFFFF"/>
              <w:bottom w:val="single" w:sz="4" w:space="0" w:color="FFFFFF"/>
            </w:tcBorders>
            <w:shd w:val="clear" w:color="auto" w:fill="E8F5F1"/>
          </w:tcPr>
          <w:p>
            <w:pPr>
              <w:pStyle w:val="TableParagraph"/>
              <w:spacing w:line="171" w:lineRule="exact" w:before="42"/>
              <w:ind w:left="89"/>
              <w:rPr>
                <w:sz w:val="15"/>
              </w:rPr>
            </w:pPr>
            <w:r>
              <w:rPr>
                <w:color w:val="231F20"/>
                <w:spacing w:val="-2"/>
                <w:sz w:val="15"/>
              </w:rPr>
              <w:t>Fever</w:t>
            </w:r>
          </w:p>
          <w:p>
            <w:pPr>
              <w:pStyle w:val="TableParagraph"/>
              <w:spacing w:line="230" w:lineRule="auto" w:before="2"/>
              <w:ind w:left="89"/>
              <w:rPr>
                <w:sz w:val="15"/>
              </w:rPr>
            </w:pPr>
            <w:r>
              <w:rPr>
                <w:color w:val="231F20"/>
                <w:spacing w:val="-4"/>
                <w:sz w:val="15"/>
              </w:rPr>
              <w:t>Flu-like</w:t>
            </w:r>
            <w:r>
              <w:rPr>
                <w:color w:val="231F20"/>
                <w:spacing w:val="-8"/>
                <w:sz w:val="15"/>
              </w:rPr>
              <w:t> </w:t>
            </w:r>
            <w:r>
              <w:rPr>
                <w:color w:val="231F20"/>
                <w:spacing w:val="-4"/>
                <w:sz w:val="15"/>
              </w:rPr>
              <w:t>illness </w:t>
            </w:r>
            <w:r>
              <w:rPr>
                <w:color w:val="231F20"/>
                <w:spacing w:val="-2"/>
                <w:sz w:val="15"/>
              </w:rPr>
              <w:t>Conjunctivitis</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ight="1295"/>
              <w:rPr>
                <w:sz w:val="15"/>
              </w:rPr>
            </w:pPr>
            <w:r>
              <w:rPr>
                <w:color w:val="231F20"/>
                <w:spacing w:val="-4"/>
                <w:sz w:val="15"/>
              </w:rPr>
              <w:t>Infection Urticaria</w:t>
            </w:r>
          </w:p>
          <w:p>
            <w:pPr>
              <w:pStyle w:val="TableParagraph"/>
              <w:spacing w:line="230" w:lineRule="auto" w:before="1"/>
              <w:ind w:left="109" w:right="185"/>
              <w:rPr>
                <w:sz w:val="15"/>
              </w:rPr>
            </w:pPr>
            <w:r>
              <w:rPr>
                <w:color w:val="231F20"/>
                <w:spacing w:val="-4"/>
                <w:sz w:val="15"/>
              </w:rPr>
              <w:t>Erythema</w:t>
            </w:r>
            <w:r>
              <w:rPr>
                <w:color w:val="231F20"/>
                <w:spacing w:val="-6"/>
                <w:sz w:val="15"/>
              </w:rPr>
              <w:t> </w:t>
            </w:r>
            <w:r>
              <w:rPr>
                <w:color w:val="231F20"/>
                <w:spacing w:val="-4"/>
                <w:sz w:val="15"/>
              </w:rPr>
              <w:t>multiforme </w:t>
            </w:r>
            <w:r>
              <w:rPr>
                <w:color w:val="231F20"/>
                <w:sz w:val="15"/>
              </w:rPr>
              <w:t>Urticarial vasculitis</w:t>
            </w:r>
          </w:p>
        </w:tc>
      </w:tr>
      <w:tr>
        <w:trPr>
          <w:trHeight w:val="588"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right="162" w:hanging="112"/>
              <w:rPr>
                <w:sz w:val="15"/>
              </w:rPr>
            </w:pPr>
            <w:r>
              <w:rPr>
                <w:color w:val="231F20"/>
                <w:spacing w:val="-4"/>
                <w:sz w:val="15"/>
              </w:rPr>
              <w:t>Graft-versus-</w:t>
            </w:r>
            <w:r>
              <w:rPr>
                <w:color w:val="231F20"/>
                <w:spacing w:val="-4"/>
                <w:sz w:val="15"/>
              </w:rPr>
              <w:t>host </w:t>
            </w:r>
            <w:r>
              <w:rPr>
                <w:color w:val="231F20"/>
                <w:spacing w:val="-2"/>
                <w:sz w:val="15"/>
              </w:rPr>
              <w:t>disease</w:t>
            </w:r>
          </w:p>
        </w:tc>
        <w:tc>
          <w:tcPr>
            <w:tcW w:w="1264" w:type="dxa"/>
            <w:tcBorders>
              <w:top w:val="single" w:sz="4" w:space="0" w:color="FFFFFF"/>
              <w:bottom w:val="single" w:sz="4" w:space="0" w:color="FFFFFF"/>
            </w:tcBorders>
            <w:shd w:val="clear" w:color="auto" w:fill="E8F5F1"/>
          </w:tcPr>
          <w:p>
            <w:pPr>
              <w:pStyle w:val="TableParagraph"/>
              <w:spacing w:before="42"/>
              <w:ind w:left="175"/>
              <w:rPr>
                <w:sz w:val="15"/>
              </w:rPr>
            </w:pPr>
            <w:r>
              <w:rPr>
                <w:color w:val="231F20"/>
                <w:spacing w:val="-5"/>
                <w:w w:val="105"/>
                <w:sz w:val="15"/>
              </w:rPr>
              <w:t>Any</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right="469" w:hanging="112"/>
              <w:rPr>
                <w:sz w:val="15"/>
              </w:rPr>
            </w:pPr>
            <w:r>
              <w:rPr>
                <w:color w:val="231F20"/>
                <w:spacing w:val="-2"/>
                <w:sz w:val="15"/>
              </w:rPr>
              <w:t>Acute:</w:t>
            </w:r>
            <w:r>
              <w:rPr>
                <w:color w:val="231F20"/>
                <w:spacing w:val="-10"/>
                <w:sz w:val="15"/>
              </w:rPr>
              <w:t> </w:t>
            </w:r>
            <w:r>
              <w:rPr>
                <w:color w:val="231F20"/>
                <w:spacing w:val="-2"/>
                <w:sz w:val="15"/>
              </w:rPr>
              <w:t>erythema,</w:t>
            </w:r>
            <w:r>
              <w:rPr>
                <w:color w:val="231F20"/>
                <w:spacing w:val="-9"/>
                <w:sz w:val="15"/>
              </w:rPr>
              <w:t> </w:t>
            </w:r>
            <w:r>
              <w:rPr>
                <w:color w:val="231F20"/>
                <w:spacing w:val="-2"/>
                <w:sz w:val="15"/>
              </w:rPr>
              <w:t>papules, </w:t>
            </w:r>
            <w:r>
              <w:rPr>
                <w:color w:val="231F20"/>
                <w:sz w:val="15"/>
              </w:rPr>
              <w:t>vesicles, bulla</w:t>
            </w:r>
          </w:p>
        </w:tc>
        <w:tc>
          <w:tcPr>
            <w:tcW w:w="1591" w:type="dxa"/>
            <w:tcBorders>
              <w:top w:val="single" w:sz="4" w:space="0" w:color="FFFFFF"/>
              <w:bottom w:val="single" w:sz="4" w:space="0" w:color="FFFFFF"/>
            </w:tcBorders>
            <w:shd w:val="clear" w:color="auto" w:fill="E8F5F1"/>
          </w:tcPr>
          <w:p>
            <w:pPr>
              <w:pStyle w:val="TableParagraph"/>
              <w:spacing w:line="230" w:lineRule="auto" w:before="48"/>
              <w:ind w:left="186" w:hanging="112"/>
              <w:rPr>
                <w:sz w:val="15"/>
              </w:rPr>
            </w:pPr>
            <w:r>
              <w:rPr>
                <w:color w:val="231F20"/>
                <w:sz w:val="15"/>
              </w:rPr>
              <w:t>Head and neck; </w:t>
            </w:r>
            <w:r>
              <w:rPr>
                <w:color w:val="231F20"/>
                <w:spacing w:val="-4"/>
                <w:sz w:val="15"/>
              </w:rPr>
              <w:t>palms/soles;</w:t>
            </w:r>
            <w:r>
              <w:rPr>
                <w:color w:val="231F20"/>
                <w:spacing w:val="-6"/>
                <w:sz w:val="15"/>
              </w:rPr>
              <w:t> </w:t>
            </w:r>
            <w:r>
              <w:rPr>
                <w:color w:val="231F20"/>
                <w:spacing w:val="-4"/>
                <w:sz w:val="15"/>
              </w:rPr>
              <w:t>diffuse</w:t>
            </w:r>
          </w:p>
        </w:tc>
        <w:tc>
          <w:tcPr>
            <w:tcW w:w="2377" w:type="dxa"/>
            <w:tcBorders>
              <w:top w:val="single" w:sz="4" w:space="0" w:color="FFFFFF"/>
              <w:bottom w:val="single" w:sz="4" w:space="0" w:color="FFFFFF"/>
            </w:tcBorders>
            <w:shd w:val="clear" w:color="auto" w:fill="E8F5F1"/>
          </w:tcPr>
          <w:p>
            <w:pPr>
              <w:pStyle w:val="TableParagraph"/>
              <w:spacing w:line="230" w:lineRule="auto" w:before="48"/>
              <w:ind w:left="88" w:right="1256"/>
              <w:rPr>
                <w:sz w:val="15"/>
              </w:rPr>
            </w:pPr>
            <w:r>
              <w:rPr>
                <w:color w:val="231F20"/>
                <w:sz w:val="15"/>
              </w:rPr>
              <w:t>Skin biopsy </w:t>
            </w:r>
            <w:r>
              <w:rPr>
                <w:color w:val="231F20"/>
                <w:spacing w:val="-4"/>
                <w:sz w:val="15"/>
              </w:rPr>
              <w:t>Liver</w:t>
            </w:r>
            <w:r>
              <w:rPr>
                <w:color w:val="231F20"/>
                <w:spacing w:val="-8"/>
                <w:sz w:val="15"/>
              </w:rPr>
              <w:t> </w:t>
            </w:r>
            <w:r>
              <w:rPr>
                <w:color w:val="231F20"/>
                <w:spacing w:val="-4"/>
                <w:sz w:val="15"/>
              </w:rPr>
              <w:t>function</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89" w:right="892"/>
              <w:rPr>
                <w:sz w:val="15"/>
              </w:rPr>
            </w:pPr>
            <w:r>
              <w:rPr>
                <w:color w:val="231F20"/>
                <w:spacing w:val="-2"/>
                <w:sz w:val="15"/>
              </w:rPr>
              <w:t>Fever Mucositis Hepatitis</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109" w:right="457"/>
              <w:rPr>
                <w:sz w:val="15"/>
              </w:rPr>
            </w:pPr>
            <w:r>
              <w:rPr>
                <w:color w:val="231F20"/>
                <w:sz w:val="15"/>
              </w:rPr>
              <w:t>Drug eruption </w:t>
            </w:r>
            <w:r>
              <w:rPr>
                <w:color w:val="231F20"/>
                <w:spacing w:val="-2"/>
                <w:sz w:val="15"/>
              </w:rPr>
              <w:t>Infectious</w:t>
            </w:r>
            <w:r>
              <w:rPr>
                <w:color w:val="231F20"/>
                <w:spacing w:val="-10"/>
                <w:sz w:val="15"/>
              </w:rPr>
              <w:t> </w:t>
            </w:r>
            <w:r>
              <w:rPr>
                <w:color w:val="231F20"/>
                <w:spacing w:val="-2"/>
                <w:sz w:val="15"/>
              </w:rPr>
              <w:t>exanthem</w:t>
            </w:r>
          </w:p>
        </w:tc>
      </w:tr>
      <w:tr>
        <w:trPr>
          <w:trHeight w:val="756" w:hRule="atLeast"/>
        </w:trPr>
        <w:tc>
          <w:tcPr>
            <w:tcW w:w="1653" w:type="dxa"/>
            <w:tcBorders>
              <w:top w:val="single" w:sz="4" w:space="0" w:color="FFFFFF"/>
              <w:bottom w:val="single" w:sz="4" w:space="0" w:color="FFFFFF"/>
            </w:tcBorders>
            <w:shd w:val="clear" w:color="auto" w:fill="E8F5F1"/>
          </w:tcPr>
          <w:p>
            <w:pPr>
              <w:pStyle w:val="TableParagraph"/>
              <w:spacing w:line="230" w:lineRule="auto" w:before="48"/>
              <w:ind w:left="186" w:right="167" w:hanging="112"/>
              <w:rPr>
                <w:sz w:val="15"/>
              </w:rPr>
            </w:pPr>
            <w:r>
              <w:rPr>
                <w:color w:val="231F20"/>
                <w:sz w:val="15"/>
              </w:rPr>
              <w:t>Drug rash with eosinophilia and systemic</w:t>
            </w:r>
            <w:r>
              <w:rPr>
                <w:color w:val="231F20"/>
                <w:spacing w:val="-12"/>
                <w:sz w:val="15"/>
              </w:rPr>
              <w:t> </w:t>
            </w:r>
            <w:r>
              <w:rPr>
                <w:color w:val="231F20"/>
                <w:sz w:val="15"/>
              </w:rPr>
              <w:t>symptoms (DRESS syndrome)</w:t>
            </w:r>
          </w:p>
        </w:tc>
        <w:tc>
          <w:tcPr>
            <w:tcW w:w="1264" w:type="dxa"/>
            <w:tcBorders>
              <w:top w:val="single" w:sz="4" w:space="0" w:color="FFFFFF"/>
              <w:bottom w:val="single" w:sz="4" w:space="0" w:color="FFFFFF"/>
            </w:tcBorders>
            <w:shd w:val="clear" w:color="auto" w:fill="E8F5F1"/>
          </w:tcPr>
          <w:p>
            <w:pPr>
              <w:pStyle w:val="TableParagraph"/>
              <w:spacing w:before="42"/>
              <w:ind w:left="175"/>
              <w:rPr>
                <w:sz w:val="15"/>
              </w:rPr>
            </w:pPr>
            <w:r>
              <w:rPr>
                <w:color w:val="231F20"/>
                <w:spacing w:val="-5"/>
                <w:w w:val="105"/>
                <w:sz w:val="15"/>
              </w:rPr>
              <w:t>Any</w:t>
            </w:r>
          </w:p>
        </w:tc>
        <w:tc>
          <w:tcPr>
            <w:tcW w:w="2308" w:type="dxa"/>
            <w:tcBorders>
              <w:top w:val="single" w:sz="4" w:space="0" w:color="FFFFFF"/>
              <w:bottom w:val="single" w:sz="4" w:space="0" w:color="FFFFFF"/>
            </w:tcBorders>
            <w:shd w:val="clear" w:color="auto" w:fill="E8F5F1"/>
          </w:tcPr>
          <w:p>
            <w:pPr>
              <w:pStyle w:val="TableParagraph"/>
              <w:spacing w:line="230" w:lineRule="auto" w:before="48"/>
              <w:ind w:left="199" w:right="300" w:hanging="112"/>
              <w:rPr>
                <w:sz w:val="15"/>
              </w:rPr>
            </w:pPr>
            <w:r>
              <w:rPr>
                <w:color w:val="231F20"/>
                <w:spacing w:val="-4"/>
                <w:sz w:val="15"/>
              </w:rPr>
              <w:t>Erythema;</w:t>
            </w:r>
            <w:r>
              <w:rPr>
                <w:color w:val="231F20"/>
                <w:spacing w:val="-8"/>
                <w:sz w:val="15"/>
              </w:rPr>
              <w:t> </w:t>
            </w:r>
            <w:r>
              <w:rPr>
                <w:color w:val="231F20"/>
                <w:spacing w:val="-4"/>
                <w:sz w:val="15"/>
              </w:rPr>
              <w:t>urticarial</w:t>
            </w:r>
            <w:r>
              <w:rPr>
                <w:color w:val="231F20"/>
                <w:spacing w:val="-7"/>
                <w:sz w:val="15"/>
              </w:rPr>
              <w:t> </w:t>
            </w:r>
            <w:r>
              <w:rPr>
                <w:color w:val="231F20"/>
                <w:spacing w:val="-4"/>
                <w:sz w:val="15"/>
              </w:rPr>
              <w:t>macules </w:t>
            </w:r>
            <w:r>
              <w:rPr>
                <w:color w:val="231F20"/>
                <w:sz w:val="15"/>
              </w:rPr>
              <w:t>and plaques</w:t>
            </w:r>
          </w:p>
        </w:tc>
        <w:tc>
          <w:tcPr>
            <w:tcW w:w="1591"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2"/>
                <w:sz w:val="15"/>
              </w:rPr>
              <w:t>Diffuse</w:t>
            </w:r>
          </w:p>
        </w:tc>
        <w:tc>
          <w:tcPr>
            <w:tcW w:w="2377" w:type="dxa"/>
            <w:tcBorders>
              <w:top w:val="single" w:sz="4" w:space="0" w:color="FFFFFF"/>
              <w:bottom w:val="single" w:sz="4" w:space="0" w:color="FFFFFF"/>
            </w:tcBorders>
            <w:shd w:val="clear" w:color="auto" w:fill="E8F5F1"/>
          </w:tcPr>
          <w:p>
            <w:pPr>
              <w:pStyle w:val="TableParagraph"/>
              <w:spacing w:line="230" w:lineRule="auto" w:before="48"/>
              <w:ind w:left="88" w:right="1256"/>
              <w:rPr>
                <w:sz w:val="15"/>
              </w:rPr>
            </w:pPr>
            <w:r>
              <w:rPr>
                <w:color w:val="231F20"/>
                <w:spacing w:val="-4"/>
                <w:sz w:val="15"/>
              </w:rPr>
              <w:t>Liver</w:t>
            </w:r>
            <w:r>
              <w:rPr>
                <w:color w:val="231F20"/>
                <w:spacing w:val="-8"/>
                <w:sz w:val="15"/>
              </w:rPr>
              <w:t> </w:t>
            </w:r>
            <w:r>
              <w:rPr>
                <w:color w:val="231F20"/>
                <w:spacing w:val="-4"/>
                <w:sz w:val="15"/>
              </w:rPr>
              <w:t>function </w:t>
            </w:r>
            <w:r>
              <w:rPr>
                <w:color w:val="231F20"/>
                <w:spacing w:val="-2"/>
                <w:sz w:val="15"/>
              </w:rPr>
              <w:t>Eosinophilia</w:t>
            </w:r>
          </w:p>
          <w:p>
            <w:pPr>
              <w:pStyle w:val="TableParagraph"/>
              <w:spacing w:line="170" w:lineRule="exact"/>
              <w:ind w:left="88"/>
              <w:rPr>
                <w:sz w:val="15"/>
              </w:rPr>
            </w:pPr>
            <w:r>
              <w:rPr>
                <w:color w:val="231F20"/>
                <w:spacing w:val="-2"/>
                <w:sz w:val="15"/>
              </w:rPr>
              <w:t>Atypical</w:t>
            </w:r>
            <w:r>
              <w:rPr>
                <w:color w:val="231F20"/>
                <w:sz w:val="15"/>
              </w:rPr>
              <w:t> </w:t>
            </w:r>
            <w:r>
              <w:rPr>
                <w:color w:val="231F20"/>
                <w:spacing w:val="-2"/>
                <w:sz w:val="15"/>
              </w:rPr>
              <w:t>lymphocytosis</w:t>
            </w:r>
          </w:p>
        </w:tc>
        <w:tc>
          <w:tcPr>
            <w:tcW w:w="1641" w:type="dxa"/>
            <w:tcBorders>
              <w:top w:val="single" w:sz="4" w:space="0" w:color="FFFFFF"/>
              <w:bottom w:val="single" w:sz="4" w:space="0" w:color="FFFFFF"/>
            </w:tcBorders>
            <w:shd w:val="clear" w:color="auto" w:fill="E8F5F1"/>
          </w:tcPr>
          <w:p>
            <w:pPr>
              <w:pStyle w:val="TableParagraph"/>
              <w:spacing w:line="230" w:lineRule="auto" w:before="48"/>
              <w:ind w:left="89" w:right="138"/>
              <w:rPr>
                <w:sz w:val="15"/>
              </w:rPr>
            </w:pPr>
            <w:r>
              <w:rPr>
                <w:color w:val="231F20"/>
                <w:sz w:val="15"/>
              </w:rPr>
              <w:t>Perioral edema </w:t>
            </w:r>
            <w:r>
              <w:rPr>
                <w:color w:val="231F20"/>
                <w:spacing w:val="-2"/>
                <w:sz w:val="15"/>
              </w:rPr>
              <w:t>Lymphadenopathy Fever</w:t>
            </w:r>
          </w:p>
          <w:p>
            <w:pPr>
              <w:pStyle w:val="TableParagraph"/>
              <w:spacing w:line="171" w:lineRule="exact"/>
              <w:ind w:left="89"/>
              <w:rPr>
                <w:sz w:val="15"/>
              </w:rPr>
            </w:pPr>
            <w:r>
              <w:rPr>
                <w:color w:val="231F20"/>
                <w:spacing w:val="-2"/>
                <w:sz w:val="15"/>
              </w:rPr>
              <w:t>Hepatitis</w:t>
            </w:r>
          </w:p>
        </w:tc>
        <w:tc>
          <w:tcPr>
            <w:tcW w:w="1988" w:type="dxa"/>
            <w:tcBorders>
              <w:top w:val="single" w:sz="4" w:space="0" w:color="FFFFFF"/>
              <w:bottom w:val="single" w:sz="4" w:space="0" w:color="FFFFFF"/>
            </w:tcBorders>
            <w:shd w:val="clear" w:color="auto" w:fill="E8F5F1"/>
          </w:tcPr>
          <w:p>
            <w:pPr>
              <w:pStyle w:val="TableParagraph"/>
              <w:spacing w:line="230" w:lineRule="auto" w:before="48"/>
              <w:ind w:left="221" w:right="621" w:hanging="112"/>
              <w:rPr>
                <w:sz w:val="15"/>
              </w:rPr>
            </w:pPr>
            <w:r>
              <w:rPr>
                <w:color w:val="231F20"/>
                <w:spacing w:val="-2"/>
                <w:sz w:val="15"/>
              </w:rPr>
              <w:t>Stevens-</w:t>
            </w:r>
            <w:r>
              <w:rPr>
                <w:color w:val="231F20"/>
                <w:spacing w:val="-2"/>
                <w:sz w:val="15"/>
              </w:rPr>
              <w:t>Johnson syndrome</w:t>
            </w:r>
          </w:p>
          <w:p>
            <w:pPr>
              <w:pStyle w:val="TableParagraph"/>
              <w:spacing w:line="170" w:lineRule="exact"/>
              <w:ind w:left="109"/>
              <w:rPr>
                <w:sz w:val="15"/>
              </w:rPr>
            </w:pPr>
            <w:r>
              <w:rPr>
                <w:color w:val="231F20"/>
                <w:spacing w:val="-2"/>
                <w:sz w:val="15"/>
              </w:rPr>
              <w:t>Infectious</w:t>
            </w:r>
            <w:r>
              <w:rPr>
                <w:color w:val="231F20"/>
                <w:spacing w:val="1"/>
                <w:sz w:val="15"/>
              </w:rPr>
              <w:t> </w:t>
            </w:r>
            <w:r>
              <w:rPr>
                <w:color w:val="231F20"/>
                <w:spacing w:val="-2"/>
                <w:sz w:val="15"/>
              </w:rPr>
              <w:t>exanthem</w:t>
            </w:r>
          </w:p>
        </w:tc>
      </w:tr>
      <w:tr>
        <w:trPr>
          <w:trHeight w:val="583" w:hRule="atLeast"/>
        </w:trPr>
        <w:tc>
          <w:tcPr>
            <w:tcW w:w="1653" w:type="dxa"/>
            <w:tcBorders>
              <w:top w:val="single" w:sz="4" w:space="0" w:color="FFFFFF"/>
              <w:bottom w:val="single" w:sz="8" w:space="0" w:color="231F20"/>
            </w:tcBorders>
            <w:shd w:val="clear" w:color="auto" w:fill="E8F5F1"/>
          </w:tcPr>
          <w:p>
            <w:pPr>
              <w:pStyle w:val="TableParagraph"/>
              <w:spacing w:line="230" w:lineRule="auto" w:before="48"/>
              <w:ind w:left="186" w:hanging="112"/>
              <w:rPr>
                <w:sz w:val="15"/>
              </w:rPr>
            </w:pPr>
            <w:r>
              <w:rPr>
                <w:color w:val="231F20"/>
                <w:sz w:val="15"/>
              </w:rPr>
              <w:t>Serum</w:t>
            </w:r>
            <w:r>
              <w:rPr>
                <w:color w:val="231F20"/>
                <w:spacing w:val="-12"/>
                <w:sz w:val="15"/>
              </w:rPr>
              <w:t> </w:t>
            </w:r>
            <w:r>
              <w:rPr>
                <w:color w:val="231F20"/>
                <w:sz w:val="15"/>
              </w:rPr>
              <w:t>sickness–like reaction (SSLR)</w:t>
            </w:r>
          </w:p>
        </w:tc>
        <w:tc>
          <w:tcPr>
            <w:tcW w:w="1264" w:type="dxa"/>
            <w:tcBorders>
              <w:top w:val="single" w:sz="4" w:space="0" w:color="FFFFFF"/>
              <w:bottom w:val="single" w:sz="8" w:space="0" w:color="231F20"/>
            </w:tcBorders>
            <w:shd w:val="clear" w:color="auto" w:fill="E8F5F1"/>
          </w:tcPr>
          <w:p>
            <w:pPr>
              <w:pStyle w:val="TableParagraph"/>
              <w:spacing w:before="42"/>
              <w:ind w:left="175"/>
              <w:rPr>
                <w:sz w:val="15"/>
              </w:rPr>
            </w:pPr>
            <w:r>
              <w:rPr>
                <w:color w:val="231F20"/>
                <w:spacing w:val="-5"/>
                <w:w w:val="105"/>
                <w:sz w:val="15"/>
              </w:rPr>
              <w:t>Any</w:t>
            </w:r>
          </w:p>
        </w:tc>
        <w:tc>
          <w:tcPr>
            <w:tcW w:w="2308" w:type="dxa"/>
            <w:tcBorders>
              <w:top w:val="single" w:sz="4" w:space="0" w:color="FFFFFF"/>
              <w:bottom w:val="single" w:sz="8" w:space="0" w:color="231F20"/>
            </w:tcBorders>
            <w:shd w:val="clear" w:color="auto" w:fill="E8F5F1"/>
          </w:tcPr>
          <w:p>
            <w:pPr>
              <w:pStyle w:val="TableParagraph"/>
              <w:spacing w:before="42"/>
              <w:ind w:left="87"/>
              <w:rPr>
                <w:sz w:val="15"/>
              </w:rPr>
            </w:pPr>
            <w:r>
              <w:rPr>
                <w:color w:val="231F20"/>
                <w:spacing w:val="-2"/>
                <w:sz w:val="15"/>
              </w:rPr>
              <w:t>Edematous,</w:t>
            </w:r>
            <w:r>
              <w:rPr>
                <w:color w:val="231F20"/>
                <w:spacing w:val="-7"/>
                <w:sz w:val="15"/>
              </w:rPr>
              <w:t> </w:t>
            </w:r>
            <w:r>
              <w:rPr>
                <w:color w:val="231F20"/>
                <w:spacing w:val="-2"/>
                <w:sz w:val="15"/>
              </w:rPr>
              <w:t>urticarial</w:t>
            </w:r>
            <w:r>
              <w:rPr>
                <w:color w:val="231F20"/>
                <w:spacing w:val="-7"/>
                <w:sz w:val="15"/>
              </w:rPr>
              <w:t> </w:t>
            </w:r>
            <w:r>
              <w:rPr>
                <w:color w:val="231F20"/>
                <w:spacing w:val="-2"/>
                <w:sz w:val="15"/>
              </w:rPr>
              <w:t>plaques</w:t>
            </w:r>
          </w:p>
        </w:tc>
        <w:tc>
          <w:tcPr>
            <w:tcW w:w="1591" w:type="dxa"/>
            <w:tcBorders>
              <w:top w:val="single" w:sz="4" w:space="0" w:color="FFFFFF"/>
              <w:bottom w:val="single" w:sz="8" w:space="0" w:color="231F20"/>
            </w:tcBorders>
            <w:shd w:val="clear" w:color="auto" w:fill="E8F5F1"/>
          </w:tcPr>
          <w:p>
            <w:pPr>
              <w:pStyle w:val="TableParagraph"/>
              <w:spacing w:before="42"/>
              <w:ind w:left="74"/>
              <w:rPr>
                <w:sz w:val="15"/>
              </w:rPr>
            </w:pPr>
            <w:r>
              <w:rPr>
                <w:color w:val="231F20"/>
                <w:spacing w:val="-4"/>
                <w:sz w:val="15"/>
              </w:rPr>
              <w:t>Acral;</w:t>
            </w:r>
            <w:r>
              <w:rPr>
                <w:color w:val="231F20"/>
                <w:spacing w:val="1"/>
                <w:sz w:val="15"/>
              </w:rPr>
              <w:t> </w:t>
            </w:r>
            <w:r>
              <w:rPr>
                <w:color w:val="231F20"/>
                <w:spacing w:val="-2"/>
                <w:sz w:val="15"/>
              </w:rPr>
              <w:t>diffuse</w:t>
            </w:r>
          </w:p>
        </w:tc>
        <w:tc>
          <w:tcPr>
            <w:tcW w:w="2377" w:type="dxa"/>
            <w:tcBorders>
              <w:top w:val="single" w:sz="4" w:space="0" w:color="FFFFFF"/>
              <w:bottom w:val="single" w:sz="8" w:space="0" w:color="231F20"/>
            </w:tcBorders>
            <w:shd w:val="clear" w:color="auto" w:fill="E8F5F1"/>
          </w:tcPr>
          <w:p>
            <w:pPr>
              <w:pStyle w:val="TableParagraph"/>
              <w:spacing w:before="42"/>
              <w:ind w:left="88"/>
              <w:rPr>
                <w:sz w:val="15"/>
              </w:rPr>
            </w:pPr>
            <w:r>
              <w:rPr>
                <w:color w:val="231F20"/>
                <w:spacing w:val="-4"/>
                <w:w w:val="110"/>
                <w:sz w:val="15"/>
              </w:rPr>
              <w:t>None</w:t>
            </w:r>
          </w:p>
        </w:tc>
        <w:tc>
          <w:tcPr>
            <w:tcW w:w="1641" w:type="dxa"/>
            <w:tcBorders>
              <w:top w:val="single" w:sz="4" w:space="0" w:color="FFFFFF"/>
              <w:bottom w:val="single" w:sz="8" w:space="0" w:color="231F20"/>
            </w:tcBorders>
            <w:shd w:val="clear" w:color="auto" w:fill="E8F5F1"/>
          </w:tcPr>
          <w:p>
            <w:pPr>
              <w:pStyle w:val="TableParagraph"/>
              <w:spacing w:line="230" w:lineRule="auto" w:before="48"/>
              <w:ind w:left="89" w:right="138"/>
              <w:rPr>
                <w:sz w:val="15"/>
              </w:rPr>
            </w:pPr>
            <w:r>
              <w:rPr>
                <w:color w:val="231F20"/>
                <w:spacing w:val="-2"/>
                <w:sz w:val="15"/>
              </w:rPr>
              <w:t>Fever Lymphadenopathy Arthritis,</w:t>
            </w:r>
            <w:r>
              <w:rPr>
                <w:color w:val="231F20"/>
                <w:spacing w:val="-7"/>
                <w:sz w:val="15"/>
              </w:rPr>
              <w:t> </w:t>
            </w:r>
            <w:r>
              <w:rPr>
                <w:color w:val="231F20"/>
                <w:spacing w:val="-2"/>
                <w:sz w:val="15"/>
              </w:rPr>
              <w:t>nephritis</w:t>
            </w:r>
          </w:p>
        </w:tc>
        <w:tc>
          <w:tcPr>
            <w:tcW w:w="1988" w:type="dxa"/>
            <w:tcBorders>
              <w:top w:val="single" w:sz="4" w:space="0" w:color="FFFFFF"/>
              <w:bottom w:val="single" w:sz="8" w:space="0" w:color="231F20"/>
            </w:tcBorders>
            <w:shd w:val="clear" w:color="auto" w:fill="E8F5F1"/>
          </w:tcPr>
          <w:p>
            <w:pPr>
              <w:pStyle w:val="TableParagraph"/>
              <w:spacing w:line="230" w:lineRule="auto" w:before="48"/>
              <w:ind w:left="109" w:right="621"/>
              <w:rPr>
                <w:sz w:val="15"/>
              </w:rPr>
            </w:pPr>
            <w:r>
              <w:rPr>
                <w:color w:val="231F20"/>
                <w:spacing w:val="-2"/>
                <w:sz w:val="15"/>
              </w:rPr>
              <w:t>Kawasaki</w:t>
            </w:r>
            <w:r>
              <w:rPr>
                <w:color w:val="231F20"/>
                <w:spacing w:val="-10"/>
                <w:sz w:val="15"/>
              </w:rPr>
              <w:t> </w:t>
            </w:r>
            <w:r>
              <w:rPr>
                <w:color w:val="231F20"/>
                <w:spacing w:val="-2"/>
                <w:sz w:val="15"/>
              </w:rPr>
              <w:t>disease Urticaria</w:t>
            </w:r>
          </w:p>
        </w:tc>
      </w:tr>
    </w:tbl>
    <w:p>
      <w:pPr>
        <w:pStyle w:val="BodyText"/>
        <w:spacing w:before="98"/>
        <w:ind w:left="70"/>
      </w:pPr>
      <w:r>
        <w:rPr/>
        <mc:AlternateContent>
          <mc:Choice Requires="wps">
            <w:drawing>
              <wp:anchor distT="0" distB="0" distL="0" distR="0" allowOverlap="1" layoutInCell="1" locked="0" behindDoc="0" simplePos="0" relativeHeight="15846400">
                <wp:simplePos x="0" y="0"/>
                <wp:positionH relativeFrom="page">
                  <wp:posOffset>9483600</wp:posOffset>
                </wp:positionH>
                <wp:positionV relativeFrom="page">
                  <wp:posOffset>578970</wp:posOffset>
                </wp:positionV>
                <wp:extent cx="149860" cy="6185535"/>
                <wp:effectExtent l="0" t="0" r="0" b="0"/>
                <wp:wrapNone/>
                <wp:docPr id="1656" name="Group 1656"/>
                <wp:cNvGraphicFramePr>
                  <a:graphicFrameLocks/>
                </wp:cNvGraphicFramePr>
                <a:graphic>
                  <a:graphicData uri="http://schemas.microsoft.com/office/word/2010/wordprocessingGroup">
                    <wpg:wgp>
                      <wpg:cNvPr id="1656" name="Group 1656"/>
                      <wpg:cNvGrpSpPr/>
                      <wpg:grpSpPr>
                        <a:xfrm>
                          <a:off x="0" y="0"/>
                          <a:ext cx="149860" cy="6185535"/>
                          <a:chExt cx="149860" cy="6185535"/>
                        </a:xfrm>
                      </wpg:grpSpPr>
                      <wps:wsp>
                        <wps:cNvPr id="1657" name="Graphic 1657"/>
                        <wps:cNvSpPr/>
                        <wps:spPr>
                          <a:xfrm>
                            <a:off x="78204" y="6161574"/>
                            <a:ext cx="1270" cy="24130"/>
                          </a:xfrm>
                          <a:custGeom>
                            <a:avLst/>
                            <a:gdLst/>
                            <a:ahLst/>
                            <a:cxnLst/>
                            <a:rect l="l" t="t" r="r" b="b"/>
                            <a:pathLst>
                              <a:path w="0" h="24130">
                                <a:moveTo>
                                  <a:pt x="0" y="0"/>
                                </a:moveTo>
                                <a:lnTo>
                                  <a:pt x="0" y="23698"/>
                                </a:lnTo>
                              </a:path>
                            </a:pathLst>
                          </a:custGeom>
                          <a:ln w="142190">
                            <a:solidFill>
                              <a:srgbClr val="007431"/>
                            </a:solidFill>
                            <a:prstDash val="solid"/>
                          </a:ln>
                        </wps:spPr>
                        <wps:bodyPr wrap="square" lIns="0" tIns="0" rIns="0" bIns="0" rtlCol="0">
                          <a:prstTxWarp prst="textNoShape">
                            <a:avLst/>
                          </a:prstTxWarp>
                          <a:noAutofit/>
                        </wps:bodyPr>
                      </wps:wsp>
                      <wps:wsp>
                        <wps:cNvPr id="1658" name="Graphic 1658"/>
                        <wps:cNvSpPr/>
                        <wps:spPr>
                          <a:xfrm>
                            <a:off x="11849" y="0"/>
                            <a:ext cx="1270" cy="6185535"/>
                          </a:xfrm>
                          <a:custGeom>
                            <a:avLst/>
                            <a:gdLst/>
                            <a:ahLst/>
                            <a:cxnLst/>
                            <a:rect l="l" t="t" r="r" b="b"/>
                            <a:pathLst>
                              <a:path w="0" h="6185535">
                                <a:moveTo>
                                  <a:pt x="0" y="0"/>
                                </a:moveTo>
                                <a:lnTo>
                                  <a:pt x="0" y="6185273"/>
                                </a:lnTo>
                              </a:path>
                            </a:pathLst>
                          </a:custGeom>
                          <a:ln w="23698">
                            <a:solidFill>
                              <a:srgbClr val="0074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6.740173pt;margin-top:45.588242pt;width:11.8pt;height:487.05pt;mso-position-horizontal-relative:page;mso-position-vertical-relative:page;z-index:15846400" id="docshapegroup1312" coordorigin="14935,912" coordsize="236,9741">
                <v:line style="position:absolute" from="15058,10615" to="15058,10652" stroked="true" strokeweight="11.196078pt" strokecolor="#007431">
                  <v:stroke dashstyle="solid"/>
                </v:line>
                <v:line style="position:absolute" from="14953,912" to="14953,10652" stroked="true" strokeweight="1.866013pt" strokecolor="#007431">
                  <v:stroke dashstyle="solid"/>
                </v:line>
                <w10:wrap type="none"/>
              </v:group>
            </w:pict>
          </mc:Fallback>
        </mc:AlternateContent>
      </w:r>
      <w:r>
        <w:rPr/>
        <mc:AlternateContent>
          <mc:Choice Requires="wps">
            <w:drawing>
              <wp:anchor distT="0" distB="0" distL="0" distR="0" allowOverlap="1" layoutInCell="1" locked="0" behindDoc="0" simplePos="0" relativeHeight="15846912">
                <wp:simplePos x="0" y="0"/>
                <wp:positionH relativeFrom="page">
                  <wp:posOffset>10223272</wp:posOffset>
                </wp:positionH>
                <wp:positionV relativeFrom="page">
                  <wp:posOffset>3638410</wp:posOffset>
                </wp:positionV>
                <wp:extent cx="196215" cy="280035"/>
                <wp:effectExtent l="0" t="0" r="0" b="0"/>
                <wp:wrapNone/>
                <wp:docPr id="1659" name="Textbox 1659"/>
                <wp:cNvGraphicFramePr>
                  <a:graphicFrameLocks/>
                </wp:cNvGraphicFramePr>
                <a:graphic>
                  <a:graphicData uri="http://schemas.microsoft.com/office/word/2010/wordprocessingShape">
                    <wps:wsp>
                      <wps:cNvPr id="1659" name="Textbox 1659"/>
                      <wps:cNvSpPr txBox="1"/>
                      <wps:spPr>
                        <a:xfrm>
                          <a:off x="0" y="0"/>
                          <a:ext cx="196215" cy="280035"/>
                        </a:xfrm>
                        <a:prstGeom prst="rect">
                          <a:avLst/>
                        </a:prstGeom>
                      </wps:spPr>
                      <wps:txbx>
                        <w:txbxContent>
                          <w:p>
                            <w:pPr>
                              <w:spacing w:before="12"/>
                              <w:ind w:left="20" w:right="0" w:firstLine="0"/>
                              <w:jc w:val="left"/>
                              <w:rPr>
                                <w:rFonts w:ascii="Arial MT"/>
                                <w:sz w:val="24"/>
                              </w:rPr>
                            </w:pPr>
                            <w:r>
                              <w:rPr>
                                <w:rFonts w:ascii="Arial MT"/>
                                <w:spacing w:val="-5"/>
                                <w:sz w:val="24"/>
                              </w:rPr>
                              <w:t>563</w:t>
                            </w:r>
                          </w:p>
                        </w:txbxContent>
                      </wps:txbx>
                      <wps:bodyPr wrap="square" lIns="0" tIns="0" rIns="0" bIns="0" rtlCol="0" vert="vert">
                        <a:noAutofit/>
                      </wps:bodyPr>
                    </wps:wsp>
                  </a:graphicData>
                </a:graphic>
              </wp:anchor>
            </w:drawing>
          </mc:Choice>
          <mc:Fallback>
            <w:pict>
              <v:shape style="position:absolute;margin-left:804.982056pt;margin-top:286.489014pt;width:15.45pt;height:22.05pt;mso-position-horizontal-relative:page;mso-position-vertical-relative:page;z-index:15846912" type="#_x0000_t202" id="docshape1313" filled="false" stroked="false">
                <v:textbox inset="0,0,0,0" style="layout-flow:vertical">
                  <w:txbxContent>
                    <w:p>
                      <w:pPr>
                        <w:spacing w:before="12"/>
                        <w:ind w:left="20" w:right="0" w:firstLine="0"/>
                        <w:jc w:val="left"/>
                        <w:rPr>
                          <w:rFonts w:ascii="Arial MT"/>
                          <w:sz w:val="24"/>
                        </w:rPr>
                      </w:pPr>
                      <w:r>
                        <w:rPr>
                          <w:rFonts w:ascii="Arial MT"/>
                          <w:spacing w:val="-5"/>
                          <w:sz w:val="24"/>
                        </w:rPr>
                        <w:t>563</w:t>
                      </w:r>
                    </w:p>
                  </w:txbxContent>
                </v:textbox>
                <w10:wrap type="none"/>
              </v:shape>
            </w:pict>
          </mc:Fallback>
        </mc:AlternateContent>
      </w:r>
      <w:r>
        <w:rPr/>
        <mc:AlternateContent>
          <mc:Choice Requires="wps">
            <w:drawing>
              <wp:anchor distT="0" distB="0" distL="0" distR="0" allowOverlap="1" layoutInCell="1" locked="0" behindDoc="0" simplePos="0" relativeHeight="15847424">
                <wp:simplePos x="0" y="0"/>
                <wp:positionH relativeFrom="page">
                  <wp:posOffset>9496731</wp:posOffset>
                </wp:positionH>
                <wp:positionV relativeFrom="page">
                  <wp:posOffset>566270</wp:posOffset>
                </wp:positionV>
                <wp:extent cx="170180" cy="1625600"/>
                <wp:effectExtent l="0" t="0" r="0" b="0"/>
                <wp:wrapNone/>
                <wp:docPr id="1660" name="Textbox 1660"/>
                <wp:cNvGraphicFramePr>
                  <a:graphicFrameLocks/>
                </wp:cNvGraphicFramePr>
                <a:graphic>
                  <a:graphicData uri="http://schemas.microsoft.com/office/word/2010/wordprocessingShape">
                    <wps:wsp>
                      <wps:cNvPr id="1660" name="Textbox 1660"/>
                      <wps:cNvSpPr txBox="1"/>
                      <wps:spPr>
                        <a:xfrm>
                          <a:off x="0" y="0"/>
                          <a:ext cx="170180" cy="1625600"/>
                        </a:xfrm>
                        <a:prstGeom prst="rect">
                          <a:avLst/>
                        </a:prstGeom>
                      </wps:spPr>
                      <wps:txbx>
                        <w:txbxContent>
                          <w:p>
                            <w:pPr>
                              <w:spacing w:before="26"/>
                              <w:ind w:left="20" w:right="0" w:firstLine="0"/>
                              <w:jc w:val="left"/>
                              <w:rPr>
                                <w:sz w:val="18"/>
                              </w:rPr>
                            </w:pPr>
                            <w:r>
                              <w:rPr>
                                <w:b/>
                                <w:color w:val="231F20"/>
                                <w:w w:val="105"/>
                                <w:sz w:val="18"/>
                              </w:rPr>
                              <w:t>3108</w:t>
                            </w:r>
                            <w:r>
                              <w:rPr>
                                <w:b/>
                                <w:color w:val="231F20"/>
                                <w:spacing w:val="38"/>
                                <w:w w:val="105"/>
                                <w:sz w:val="18"/>
                              </w:rPr>
                              <w:t>  </w:t>
                            </w:r>
                            <w:r>
                              <w:rPr>
                                <w:b/>
                                <w:color w:val="007431"/>
                                <w:w w:val="105"/>
                                <w:sz w:val="18"/>
                              </w:rPr>
                              <w:t>Part</w:t>
                            </w:r>
                            <w:r>
                              <w:rPr>
                                <w:b/>
                                <w:color w:val="007431"/>
                                <w:spacing w:val="12"/>
                                <w:w w:val="105"/>
                                <w:sz w:val="18"/>
                              </w:rPr>
                              <w:t> </w:t>
                            </w:r>
                            <w:r>
                              <w:rPr>
                                <w:b/>
                                <w:color w:val="007431"/>
                                <w:w w:val="105"/>
                                <w:sz w:val="18"/>
                              </w:rPr>
                              <w:t>XXXI</w:t>
                            </w:r>
                            <w:r>
                              <w:rPr>
                                <w:b/>
                                <w:color w:val="007431"/>
                                <w:spacing w:val="38"/>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The</w:t>
                            </w:r>
                            <w:r>
                              <w:rPr>
                                <w:color w:val="231F20"/>
                                <w:spacing w:val="7"/>
                                <w:w w:val="105"/>
                                <w:sz w:val="18"/>
                              </w:rPr>
                              <w:t> </w:t>
                            </w:r>
                            <w:r>
                              <w:rPr>
                                <w:color w:val="231F20"/>
                                <w:spacing w:val="-4"/>
                                <w:w w:val="105"/>
                                <w:sz w:val="18"/>
                              </w:rPr>
                              <w:t>Skin</w:t>
                            </w:r>
                          </w:p>
                        </w:txbxContent>
                      </wps:txbx>
                      <wps:bodyPr wrap="square" lIns="0" tIns="0" rIns="0" bIns="0" rtlCol="0" vert="vert">
                        <a:noAutofit/>
                      </wps:bodyPr>
                    </wps:wsp>
                  </a:graphicData>
                </a:graphic>
              </wp:anchor>
            </w:drawing>
          </mc:Choice>
          <mc:Fallback>
            <w:pict>
              <v:shape style="position:absolute;margin-left:747.774109pt;margin-top:44.5882pt;width:13.4pt;height:128pt;mso-position-horizontal-relative:page;mso-position-vertical-relative:page;z-index:15847424" type="#_x0000_t202" id="docshape1314" filled="false" stroked="false">
                <v:textbox inset="0,0,0,0" style="layout-flow:vertical">
                  <w:txbxContent>
                    <w:p>
                      <w:pPr>
                        <w:spacing w:before="26"/>
                        <w:ind w:left="20" w:right="0" w:firstLine="0"/>
                        <w:jc w:val="left"/>
                        <w:rPr>
                          <w:sz w:val="18"/>
                        </w:rPr>
                      </w:pPr>
                      <w:r>
                        <w:rPr>
                          <w:b/>
                          <w:color w:val="231F20"/>
                          <w:w w:val="105"/>
                          <w:sz w:val="18"/>
                        </w:rPr>
                        <w:t>3108</w:t>
                      </w:r>
                      <w:r>
                        <w:rPr>
                          <w:b/>
                          <w:color w:val="231F20"/>
                          <w:spacing w:val="38"/>
                          <w:w w:val="105"/>
                          <w:sz w:val="18"/>
                        </w:rPr>
                        <w:t>  </w:t>
                      </w:r>
                      <w:r>
                        <w:rPr>
                          <w:b/>
                          <w:color w:val="007431"/>
                          <w:w w:val="105"/>
                          <w:sz w:val="18"/>
                        </w:rPr>
                        <w:t>Part</w:t>
                      </w:r>
                      <w:r>
                        <w:rPr>
                          <w:b/>
                          <w:color w:val="007431"/>
                          <w:spacing w:val="12"/>
                          <w:w w:val="105"/>
                          <w:sz w:val="18"/>
                        </w:rPr>
                        <w:t> </w:t>
                      </w:r>
                      <w:r>
                        <w:rPr>
                          <w:b/>
                          <w:color w:val="007431"/>
                          <w:w w:val="105"/>
                          <w:sz w:val="18"/>
                        </w:rPr>
                        <w:t>XXXI</w:t>
                      </w:r>
                      <w:r>
                        <w:rPr>
                          <w:b/>
                          <w:color w:val="007431"/>
                          <w:spacing w:val="38"/>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The</w:t>
                      </w:r>
                      <w:r>
                        <w:rPr>
                          <w:color w:val="231F20"/>
                          <w:spacing w:val="7"/>
                          <w:w w:val="105"/>
                          <w:sz w:val="18"/>
                        </w:rPr>
                        <w:t> </w:t>
                      </w:r>
                      <w:r>
                        <w:rPr>
                          <w:color w:val="231F20"/>
                          <w:spacing w:val="-4"/>
                          <w:w w:val="105"/>
                          <w:sz w:val="18"/>
                        </w:rPr>
                        <w:t>Skin</w:t>
                      </w:r>
                    </w:p>
                  </w:txbxContent>
                </v:textbox>
                <w10:wrap type="none"/>
              </v:shape>
            </w:pict>
          </mc:Fallback>
        </mc:AlternateContent>
      </w:r>
      <w:r>
        <w:rPr>
          <w:color w:val="231F20"/>
        </w:rPr>
        <w:t>ANA,</w:t>
      </w:r>
      <w:r>
        <w:rPr>
          <w:color w:val="231F20"/>
          <w:spacing w:val="-3"/>
        </w:rPr>
        <w:t> </w:t>
      </w:r>
      <w:r>
        <w:rPr>
          <w:color w:val="231F20"/>
        </w:rPr>
        <w:t>antinuclear</w:t>
      </w:r>
      <w:r>
        <w:rPr>
          <w:color w:val="231F20"/>
          <w:spacing w:val="-2"/>
        </w:rPr>
        <w:t> </w:t>
      </w:r>
      <w:r>
        <w:rPr>
          <w:color w:val="231F20"/>
        </w:rPr>
        <w:t>antibodies;</w:t>
      </w:r>
      <w:r>
        <w:rPr>
          <w:color w:val="231F20"/>
          <w:spacing w:val="-2"/>
        </w:rPr>
        <w:t> </w:t>
      </w:r>
      <w:r>
        <w:rPr>
          <w:color w:val="231F20"/>
        </w:rPr>
        <w:t>ALT,</w:t>
      </w:r>
      <w:r>
        <w:rPr>
          <w:color w:val="231F20"/>
          <w:spacing w:val="-2"/>
        </w:rPr>
        <w:t> </w:t>
      </w:r>
      <w:r>
        <w:rPr>
          <w:color w:val="231F20"/>
        </w:rPr>
        <w:t>alanine</w:t>
      </w:r>
      <w:r>
        <w:rPr>
          <w:color w:val="231F20"/>
          <w:spacing w:val="-2"/>
        </w:rPr>
        <w:t> </w:t>
      </w:r>
      <w:r>
        <w:rPr>
          <w:color w:val="231F20"/>
        </w:rPr>
        <w:t>aminotransferase;</w:t>
      </w:r>
      <w:r>
        <w:rPr>
          <w:color w:val="231F20"/>
          <w:spacing w:val="-2"/>
        </w:rPr>
        <w:t> </w:t>
      </w:r>
      <w:r>
        <w:rPr>
          <w:color w:val="231F20"/>
        </w:rPr>
        <w:t>AST,</w:t>
      </w:r>
      <w:r>
        <w:rPr>
          <w:color w:val="231F20"/>
          <w:spacing w:val="-2"/>
        </w:rPr>
        <w:t> </w:t>
      </w:r>
      <w:r>
        <w:rPr>
          <w:color w:val="231F20"/>
        </w:rPr>
        <w:t>aspartate</w:t>
      </w:r>
      <w:r>
        <w:rPr>
          <w:color w:val="231F20"/>
          <w:spacing w:val="-2"/>
        </w:rPr>
        <w:t> </w:t>
      </w:r>
      <w:r>
        <w:rPr>
          <w:color w:val="231F20"/>
        </w:rPr>
        <w:t>aminotransferase;</w:t>
      </w:r>
      <w:r>
        <w:rPr>
          <w:color w:val="231F20"/>
          <w:spacing w:val="-2"/>
        </w:rPr>
        <w:t> </w:t>
      </w:r>
      <w:r>
        <w:rPr>
          <w:color w:val="231F20"/>
        </w:rPr>
        <w:t>dsDNA,</w:t>
      </w:r>
      <w:r>
        <w:rPr>
          <w:color w:val="231F20"/>
          <w:spacing w:val="-2"/>
        </w:rPr>
        <w:t> </w:t>
      </w:r>
      <w:r>
        <w:rPr>
          <w:color w:val="231F20"/>
        </w:rPr>
        <w:t>double-stranded</w:t>
      </w:r>
      <w:r>
        <w:rPr>
          <w:color w:val="231F20"/>
          <w:spacing w:val="-2"/>
        </w:rPr>
        <w:t> </w:t>
      </w:r>
      <w:r>
        <w:rPr>
          <w:color w:val="231F20"/>
        </w:rPr>
        <w:t>deoxyribonucleic</w:t>
      </w:r>
      <w:r>
        <w:rPr>
          <w:color w:val="231F20"/>
          <w:spacing w:val="-2"/>
        </w:rPr>
        <w:t> </w:t>
      </w:r>
      <w:r>
        <w:rPr>
          <w:color w:val="231F20"/>
        </w:rPr>
        <w:t>acid;</w:t>
      </w:r>
      <w:r>
        <w:rPr>
          <w:color w:val="231F20"/>
          <w:spacing w:val="-2"/>
        </w:rPr>
        <w:t> </w:t>
      </w:r>
      <w:r>
        <w:rPr>
          <w:color w:val="231F20"/>
        </w:rPr>
        <w:t>ESR,</w:t>
      </w:r>
      <w:r>
        <w:rPr>
          <w:color w:val="231F20"/>
          <w:spacing w:val="-2"/>
        </w:rPr>
        <w:t> </w:t>
      </w:r>
      <w:r>
        <w:rPr>
          <w:color w:val="231F20"/>
        </w:rPr>
        <w:t>erythrocyte</w:t>
      </w:r>
      <w:r>
        <w:rPr>
          <w:color w:val="231F20"/>
          <w:spacing w:val="-2"/>
        </w:rPr>
        <w:t> </w:t>
      </w:r>
      <w:r>
        <w:rPr>
          <w:color w:val="231F20"/>
        </w:rPr>
        <w:t>sedimentation</w:t>
      </w:r>
      <w:r>
        <w:rPr>
          <w:color w:val="231F20"/>
          <w:spacing w:val="-2"/>
        </w:rPr>
        <w:t> </w:t>
      </w:r>
      <w:r>
        <w:rPr>
          <w:color w:val="231F20"/>
        </w:rPr>
        <w:t>rate;</w:t>
      </w:r>
      <w:r>
        <w:rPr>
          <w:color w:val="231F20"/>
          <w:spacing w:val="-2"/>
        </w:rPr>
        <w:t> </w:t>
      </w:r>
      <w:r>
        <w:rPr>
          <w:color w:val="231F20"/>
        </w:rPr>
        <w:t>SSA/SSB,</w:t>
      </w:r>
      <w:r>
        <w:rPr>
          <w:color w:val="231F20"/>
          <w:spacing w:val="-2"/>
        </w:rPr>
        <w:t> </w:t>
      </w:r>
      <w:r>
        <w:rPr>
          <w:color w:val="231F20"/>
        </w:rPr>
        <w:t>Sjögren’s</w:t>
      </w:r>
      <w:r>
        <w:rPr>
          <w:color w:val="231F20"/>
          <w:spacing w:val="-2"/>
        </w:rPr>
        <w:t> </w:t>
      </w:r>
      <w:r>
        <w:rPr>
          <w:color w:val="231F20"/>
        </w:rPr>
        <w:t>syndrome</w:t>
      </w:r>
      <w:r>
        <w:rPr>
          <w:color w:val="231F20"/>
          <w:spacing w:val="-2"/>
        </w:rPr>
        <w:t> </w:t>
      </w:r>
      <w:r>
        <w:rPr>
          <w:color w:val="231F20"/>
          <w:spacing w:val="-4"/>
        </w:rPr>
        <w:t>A/B.</w:t>
      </w:r>
    </w:p>
    <w:p>
      <w:pPr>
        <w:pStyle w:val="BodyText"/>
        <w:spacing w:after="0"/>
        <w:sectPr>
          <w:headerReference w:type="default" r:id="rId331"/>
          <w:pgSz w:w="16840" w:h="11900" w:orient="landscape"/>
          <w:pgMar w:header="0" w:footer="0" w:top="700" w:bottom="280" w:left="1842" w:right="1984"/>
        </w:sectPr>
      </w:pPr>
    </w:p>
    <w:p>
      <w:pPr>
        <w:pStyle w:val="Heading2"/>
        <w:spacing w:before="64"/>
        <w:ind w:left="424"/>
        <w:jc w:val="center"/>
      </w:pPr>
      <w:r>
        <w:rPr>
          <w:spacing w:val="-5"/>
        </w:rPr>
        <w:t>564</w:t>
      </w:r>
    </w:p>
    <w:p>
      <w:pPr>
        <w:spacing w:before="121"/>
        <w:ind w:left="174" w:right="0" w:firstLine="0"/>
        <w:jc w:val="left"/>
        <w:rPr>
          <w:sz w:val="18"/>
        </w:rPr>
      </w:pPr>
      <w:r>
        <w:rPr>
          <w:sz w:val="18"/>
        </w:rPr>
        <mc:AlternateContent>
          <mc:Choice Requires="wps">
            <w:drawing>
              <wp:anchor distT="0" distB="0" distL="0" distR="0" allowOverlap="1" layoutInCell="1" locked="0" behindDoc="1" simplePos="0" relativeHeight="487707136">
                <wp:simplePos x="0" y="0"/>
                <wp:positionH relativeFrom="page">
                  <wp:posOffset>560115</wp:posOffset>
                </wp:positionH>
                <wp:positionV relativeFrom="paragraph">
                  <wp:posOffset>231674</wp:posOffset>
                </wp:positionV>
                <wp:extent cx="6185535" cy="1270"/>
                <wp:effectExtent l="0" t="0" r="0" b="0"/>
                <wp:wrapTopAndBottom/>
                <wp:docPr id="1661" name="Graphic 1661"/>
                <wp:cNvGraphicFramePr>
                  <a:graphicFrameLocks/>
                </wp:cNvGraphicFramePr>
                <a:graphic>
                  <a:graphicData uri="http://schemas.microsoft.com/office/word/2010/wordprocessingShape">
                    <wps:wsp>
                      <wps:cNvPr id="1661" name="Graphic 1661"/>
                      <wps:cNvSpPr/>
                      <wps:spPr>
                        <a:xfrm>
                          <a:off x="0" y="0"/>
                          <a:ext cx="6185535" cy="1270"/>
                        </a:xfrm>
                        <a:custGeom>
                          <a:avLst/>
                          <a:gdLst/>
                          <a:ahLst/>
                          <a:cxnLst/>
                          <a:rect l="l" t="t" r="r" b="b"/>
                          <a:pathLst>
                            <a:path w="6185535" h="0">
                              <a:moveTo>
                                <a:pt x="0" y="0"/>
                              </a:moveTo>
                              <a:lnTo>
                                <a:pt x="6185322" y="0"/>
                              </a:lnTo>
                            </a:path>
                          </a:pathLst>
                        </a:custGeom>
                        <a:ln w="23698">
                          <a:solidFill>
                            <a:srgbClr val="007431"/>
                          </a:solidFill>
                          <a:prstDash val="solid"/>
                        </a:ln>
                      </wps:spPr>
                      <wps:bodyPr wrap="square" lIns="0" tIns="0" rIns="0" bIns="0" rtlCol="0">
                        <a:prstTxWarp prst="textNoShape">
                          <a:avLst/>
                        </a:prstTxWarp>
                        <a:noAutofit/>
                      </wps:bodyPr>
                    </wps:wsp>
                  </a:graphicData>
                </a:graphic>
              </wp:anchor>
            </w:drawing>
          </mc:Choice>
          <mc:Fallback>
            <w:pict>
              <v:shape style="position:absolute;margin-left:44.103588pt;margin-top:18.242071pt;width:487.05pt;height:.1pt;mso-position-horizontal-relative:page;mso-position-vertical-relative:paragraph;z-index:-15609344;mso-wrap-distance-left:0;mso-wrap-distance-right:0" id="docshape1315" coordorigin="882,365" coordsize="9741,0" path="m882,365l10623,365e" filled="false" stroked="true" strokeweight="1.866028pt" strokecolor="#007431">
                <v:path arrowok="t"/>
                <v:stroke dashstyle="solid"/>
                <w10:wrap type="topAndBottom"/>
              </v:shape>
            </w:pict>
          </mc:Fallback>
        </mc:AlternateContent>
      </w:r>
      <w:r>
        <w:rPr>
          <w:b/>
          <w:color w:val="231F20"/>
          <w:w w:val="105"/>
          <w:sz w:val="18"/>
        </w:rPr>
        <w:t>3112</w:t>
      </w:r>
      <w:r>
        <w:rPr>
          <w:b/>
          <w:color w:val="231F20"/>
          <w:spacing w:val="38"/>
          <w:w w:val="105"/>
          <w:sz w:val="18"/>
        </w:rPr>
        <w:t>  </w:t>
      </w:r>
      <w:r>
        <w:rPr>
          <w:b/>
          <w:color w:val="007431"/>
          <w:w w:val="105"/>
          <w:sz w:val="18"/>
        </w:rPr>
        <w:t>Part</w:t>
      </w:r>
      <w:r>
        <w:rPr>
          <w:b/>
          <w:color w:val="007431"/>
          <w:spacing w:val="12"/>
          <w:w w:val="105"/>
          <w:sz w:val="18"/>
        </w:rPr>
        <w:t> </w:t>
      </w:r>
      <w:r>
        <w:rPr>
          <w:b/>
          <w:color w:val="007431"/>
          <w:w w:val="105"/>
          <w:sz w:val="18"/>
        </w:rPr>
        <w:t>XXXI</w:t>
      </w:r>
      <w:r>
        <w:rPr>
          <w:b/>
          <w:color w:val="007431"/>
          <w:spacing w:val="38"/>
          <w:w w:val="105"/>
          <w:sz w:val="18"/>
        </w:rPr>
        <w:t> </w:t>
      </w:r>
      <w:r>
        <w:rPr>
          <w:rFonts w:ascii="Lucida Sans Unicode" w:hAnsi="Lucida Sans Unicode"/>
          <w:color w:val="659F6F"/>
          <w:w w:val="105"/>
          <w:sz w:val="15"/>
        </w:rPr>
        <w:t>◆</w:t>
      </w:r>
      <w:r>
        <w:rPr>
          <w:rFonts w:ascii="Lucida Sans Unicode" w:hAnsi="Lucida Sans Unicode"/>
          <w:color w:val="659F6F"/>
          <w:spacing w:val="45"/>
          <w:w w:val="105"/>
          <w:sz w:val="15"/>
        </w:rPr>
        <w:t> </w:t>
      </w:r>
      <w:r>
        <w:rPr>
          <w:color w:val="231F20"/>
          <w:w w:val="105"/>
          <w:sz w:val="18"/>
        </w:rPr>
        <w:t>The</w:t>
      </w:r>
      <w:r>
        <w:rPr>
          <w:color w:val="231F20"/>
          <w:spacing w:val="7"/>
          <w:w w:val="105"/>
          <w:sz w:val="18"/>
        </w:rPr>
        <w:t> </w:t>
      </w:r>
      <w:r>
        <w:rPr>
          <w:color w:val="231F20"/>
          <w:spacing w:val="-4"/>
          <w:w w:val="105"/>
          <w:sz w:val="18"/>
        </w:rPr>
        <w:t>Skin</w:t>
      </w:r>
    </w:p>
    <w:p>
      <w:pPr>
        <w:pStyle w:val="BodyText"/>
        <w:spacing w:before="2"/>
        <w:rPr>
          <w:sz w:val="20"/>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930"/>
        <w:gridCol w:w="3621"/>
        <w:gridCol w:w="2291"/>
        <w:gridCol w:w="1795"/>
      </w:tblGrid>
      <w:tr>
        <w:trPr>
          <w:trHeight w:val="391" w:hRule="atLeast"/>
        </w:trPr>
        <w:tc>
          <w:tcPr>
            <w:tcW w:w="1148" w:type="dxa"/>
            <w:tcBorders>
              <w:right w:val="single" w:sz="8" w:space="0" w:color="FFFFFF"/>
            </w:tcBorders>
            <w:shd w:val="clear" w:color="auto" w:fill="231F20"/>
          </w:tcPr>
          <w:p>
            <w:pPr>
              <w:pStyle w:val="TableParagraph"/>
              <w:spacing w:before="89"/>
              <w:ind w:left="130"/>
              <w:rPr>
                <w:b/>
                <w:sz w:val="16"/>
              </w:rPr>
            </w:pPr>
            <w:r>
              <w:rPr>
                <w:b/>
                <w:color w:val="FFFFFF"/>
                <w:w w:val="105"/>
                <w:sz w:val="16"/>
              </w:rPr>
              <w:t>Table</w:t>
            </w:r>
            <w:r>
              <w:rPr>
                <w:b/>
                <w:color w:val="FFFFFF"/>
                <w:spacing w:val="-3"/>
                <w:w w:val="105"/>
                <w:sz w:val="16"/>
              </w:rPr>
              <w:t> </w:t>
            </w:r>
            <w:r>
              <w:rPr>
                <w:b/>
                <w:color w:val="FFFFFF"/>
                <w:w w:val="105"/>
                <w:sz w:val="16"/>
              </w:rPr>
              <w:t>645-</w:t>
            </w:r>
            <w:r>
              <w:rPr>
                <w:b/>
                <w:color w:val="FFFFFF"/>
                <w:spacing w:val="-10"/>
                <w:w w:val="105"/>
                <w:sz w:val="16"/>
              </w:rPr>
              <w:t>3</w:t>
            </w:r>
          </w:p>
        </w:tc>
        <w:tc>
          <w:tcPr>
            <w:tcW w:w="8637" w:type="dxa"/>
            <w:gridSpan w:val="4"/>
            <w:tcBorders>
              <w:left w:val="single" w:sz="8" w:space="0" w:color="FFFFFF"/>
            </w:tcBorders>
            <w:shd w:val="clear" w:color="auto" w:fill="231F20"/>
          </w:tcPr>
          <w:p>
            <w:pPr>
              <w:pStyle w:val="TableParagraph"/>
              <w:spacing w:before="89"/>
              <w:ind w:left="92"/>
              <w:rPr>
                <w:sz w:val="16"/>
              </w:rPr>
            </w:pPr>
            <w:r>
              <w:rPr>
                <w:color w:val="FFFFFF"/>
                <w:w w:val="105"/>
                <w:sz w:val="16"/>
              </w:rPr>
              <w:t>Drug</w:t>
            </w:r>
            <w:r>
              <w:rPr>
                <w:color w:val="FFFFFF"/>
                <w:spacing w:val="9"/>
                <w:w w:val="105"/>
                <w:sz w:val="16"/>
              </w:rPr>
              <w:t> </w:t>
            </w:r>
            <w:r>
              <w:rPr>
                <w:color w:val="FFFFFF"/>
                <w:w w:val="105"/>
                <w:sz w:val="16"/>
              </w:rPr>
              <w:t>Eruptions</w:t>
            </w:r>
            <w:r>
              <w:rPr>
                <w:color w:val="FFFFFF"/>
                <w:spacing w:val="10"/>
                <w:w w:val="105"/>
                <w:sz w:val="16"/>
              </w:rPr>
              <w:t> </w:t>
            </w:r>
            <w:r>
              <w:rPr>
                <w:color w:val="FFFFFF"/>
                <w:w w:val="105"/>
                <w:sz w:val="16"/>
              </w:rPr>
              <w:t>in</w:t>
            </w:r>
            <w:r>
              <w:rPr>
                <w:color w:val="FFFFFF"/>
                <w:spacing w:val="9"/>
                <w:w w:val="105"/>
                <w:sz w:val="16"/>
              </w:rPr>
              <w:t> </w:t>
            </w:r>
            <w:r>
              <w:rPr>
                <w:color w:val="FFFFFF"/>
                <w:w w:val="105"/>
                <w:sz w:val="16"/>
              </w:rPr>
              <w:t>Pediatric</w:t>
            </w:r>
            <w:r>
              <w:rPr>
                <w:color w:val="FFFFFF"/>
                <w:spacing w:val="10"/>
                <w:w w:val="105"/>
                <w:sz w:val="16"/>
              </w:rPr>
              <w:t> </w:t>
            </w:r>
            <w:r>
              <w:rPr>
                <w:color w:val="FFFFFF"/>
                <w:spacing w:val="-2"/>
                <w:w w:val="105"/>
                <w:sz w:val="16"/>
              </w:rPr>
              <w:t>Patients</w:t>
            </w:r>
          </w:p>
        </w:tc>
      </w:tr>
      <w:tr>
        <w:trPr>
          <w:trHeight w:val="239" w:hRule="atLeast"/>
        </w:trPr>
        <w:tc>
          <w:tcPr>
            <w:tcW w:w="2078" w:type="dxa"/>
            <w:gridSpan w:val="2"/>
            <w:tcBorders>
              <w:bottom w:val="single" w:sz="4" w:space="0" w:color="231F20"/>
            </w:tcBorders>
            <w:shd w:val="clear" w:color="auto" w:fill="E8F5F1"/>
          </w:tcPr>
          <w:p>
            <w:pPr>
              <w:pStyle w:val="TableParagraph"/>
              <w:spacing w:before="29"/>
              <w:ind w:left="93"/>
              <w:rPr>
                <w:b/>
                <w:sz w:val="15"/>
              </w:rPr>
            </w:pPr>
            <w:r>
              <w:rPr>
                <w:b/>
                <w:color w:val="231F20"/>
                <w:spacing w:val="-2"/>
                <w:w w:val="110"/>
                <w:sz w:val="15"/>
              </w:rPr>
              <w:t>ERUPTION</w:t>
            </w:r>
          </w:p>
        </w:tc>
        <w:tc>
          <w:tcPr>
            <w:tcW w:w="3621" w:type="dxa"/>
            <w:tcBorders>
              <w:bottom w:val="single" w:sz="4" w:space="0" w:color="231F20"/>
            </w:tcBorders>
            <w:shd w:val="clear" w:color="auto" w:fill="E8F5F1"/>
          </w:tcPr>
          <w:p>
            <w:pPr>
              <w:pStyle w:val="TableParagraph"/>
              <w:spacing w:before="29"/>
              <w:ind w:left="78"/>
              <w:jc w:val="center"/>
              <w:rPr>
                <w:b/>
                <w:sz w:val="15"/>
              </w:rPr>
            </w:pPr>
            <w:r>
              <w:rPr>
                <w:b/>
                <w:color w:val="231F20"/>
                <w:w w:val="110"/>
                <w:sz w:val="15"/>
              </w:rPr>
              <w:t>KEY</w:t>
            </w:r>
            <w:r>
              <w:rPr>
                <w:b/>
                <w:color w:val="231F20"/>
                <w:spacing w:val="2"/>
                <w:w w:val="110"/>
                <w:sz w:val="15"/>
              </w:rPr>
              <w:t> </w:t>
            </w:r>
            <w:r>
              <w:rPr>
                <w:b/>
                <w:color w:val="231F20"/>
                <w:spacing w:val="-2"/>
                <w:w w:val="110"/>
                <w:sz w:val="15"/>
              </w:rPr>
              <w:t>DRUGS</w:t>
            </w:r>
          </w:p>
        </w:tc>
        <w:tc>
          <w:tcPr>
            <w:tcW w:w="2291" w:type="dxa"/>
            <w:tcBorders>
              <w:bottom w:val="single" w:sz="4" w:space="0" w:color="231F20"/>
            </w:tcBorders>
            <w:shd w:val="clear" w:color="auto" w:fill="E8F5F1"/>
          </w:tcPr>
          <w:p>
            <w:pPr>
              <w:pStyle w:val="TableParagraph"/>
              <w:spacing w:before="29"/>
              <w:ind w:left="436"/>
              <w:rPr>
                <w:b/>
                <w:sz w:val="15"/>
              </w:rPr>
            </w:pPr>
            <w:r>
              <w:rPr>
                <w:b/>
                <w:color w:val="231F20"/>
                <w:w w:val="110"/>
                <w:sz w:val="15"/>
              </w:rPr>
              <w:t>LESIONAL</w:t>
            </w:r>
            <w:r>
              <w:rPr>
                <w:b/>
                <w:color w:val="231F20"/>
                <w:spacing w:val="2"/>
                <w:w w:val="110"/>
                <w:sz w:val="15"/>
              </w:rPr>
              <w:t> </w:t>
            </w:r>
            <w:r>
              <w:rPr>
                <w:b/>
                <w:color w:val="231F20"/>
                <w:spacing w:val="-2"/>
                <w:w w:val="110"/>
                <w:sz w:val="15"/>
              </w:rPr>
              <w:t>PATTERN</w:t>
            </w:r>
          </w:p>
        </w:tc>
        <w:tc>
          <w:tcPr>
            <w:tcW w:w="1795" w:type="dxa"/>
            <w:tcBorders>
              <w:bottom w:val="single" w:sz="4" w:space="0" w:color="231F20"/>
              <w:right w:val="single" w:sz="18" w:space="0" w:color="007431"/>
            </w:tcBorders>
            <w:shd w:val="clear" w:color="auto" w:fill="E8F5F1"/>
          </w:tcPr>
          <w:p>
            <w:pPr>
              <w:pStyle w:val="TableParagraph"/>
              <w:spacing w:before="29"/>
              <w:ind w:left="130"/>
              <w:rPr>
                <w:b/>
                <w:sz w:val="15"/>
              </w:rPr>
            </w:pPr>
            <w:r>
              <w:rPr>
                <w:b/>
                <w:color w:val="231F20"/>
                <w:w w:val="110"/>
                <w:sz w:val="15"/>
              </w:rPr>
              <w:t>MUCOSAL</w:t>
            </w:r>
            <w:r>
              <w:rPr>
                <w:b/>
                <w:color w:val="231F20"/>
                <w:spacing w:val="20"/>
                <w:w w:val="115"/>
                <w:sz w:val="15"/>
              </w:rPr>
              <w:t> </w:t>
            </w:r>
            <w:r>
              <w:rPr>
                <w:b/>
                <w:color w:val="231F20"/>
                <w:spacing w:val="-2"/>
                <w:w w:val="115"/>
                <w:sz w:val="15"/>
              </w:rPr>
              <w:t>CHANGES</w:t>
            </w:r>
          </w:p>
        </w:tc>
      </w:tr>
      <w:tr>
        <w:trPr>
          <w:trHeight w:val="425" w:hRule="atLeast"/>
        </w:trPr>
        <w:tc>
          <w:tcPr>
            <w:tcW w:w="2078" w:type="dxa"/>
            <w:gridSpan w:val="2"/>
            <w:tcBorders>
              <w:top w:val="single" w:sz="4" w:space="0" w:color="231F20"/>
              <w:bottom w:val="single" w:sz="4" w:space="0" w:color="FFFFFF"/>
            </w:tcBorders>
            <w:shd w:val="clear" w:color="auto" w:fill="E8F5F1"/>
          </w:tcPr>
          <w:p>
            <w:pPr>
              <w:pStyle w:val="TableParagraph"/>
              <w:spacing w:before="47"/>
              <w:ind w:left="93"/>
              <w:rPr>
                <w:sz w:val="15"/>
              </w:rPr>
            </w:pPr>
            <w:r>
              <w:rPr>
                <w:color w:val="231F20"/>
                <w:spacing w:val="-2"/>
                <w:sz w:val="15"/>
              </w:rPr>
              <w:t>Urticaria</w:t>
            </w:r>
          </w:p>
        </w:tc>
        <w:tc>
          <w:tcPr>
            <w:tcW w:w="3621" w:type="dxa"/>
            <w:tcBorders>
              <w:top w:val="single" w:sz="4" w:space="0" w:color="231F20"/>
              <w:bottom w:val="single" w:sz="4" w:space="0" w:color="FFFFFF"/>
            </w:tcBorders>
            <w:shd w:val="clear" w:color="auto" w:fill="E8F5F1"/>
          </w:tcPr>
          <w:p>
            <w:pPr>
              <w:pStyle w:val="TableParagraph"/>
              <w:spacing w:line="230" w:lineRule="auto" w:before="52"/>
              <w:ind w:left="235" w:right="165" w:hanging="112"/>
              <w:rPr>
                <w:sz w:val="15"/>
              </w:rPr>
            </w:pPr>
            <w:r>
              <w:rPr>
                <w:color w:val="231F20"/>
                <w:spacing w:val="-2"/>
                <w:sz w:val="15"/>
              </w:rPr>
              <w:t>Penicillins,</w:t>
            </w:r>
            <w:r>
              <w:rPr>
                <w:color w:val="231F20"/>
                <w:spacing w:val="-10"/>
                <w:sz w:val="15"/>
              </w:rPr>
              <w:t> </w:t>
            </w:r>
            <w:r>
              <w:rPr>
                <w:color w:val="231F20"/>
                <w:spacing w:val="-2"/>
                <w:sz w:val="15"/>
              </w:rPr>
              <w:t>cephalosporins,</w:t>
            </w:r>
            <w:r>
              <w:rPr>
                <w:color w:val="231F20"/>
                <w:spacing w:val="-9"/>
                <w:sz w:val="15"/>
              </w:rPr>
              <w:t> </w:t>
            </w:r>
            <w:r>
              <w:rPr>
                <w:color w:val="231F20"/>
                <w:spacing w:val="-2"/>
                <w:sz w:val="15"/>
              </w:rPr>
              <w:t>sulfonamides,</w:t>
            </w:r>
            <w:r>
              <w:rPr>
                <w:color w:val="231F20"/>
                <w:spacing w:val="-9"/>
                <w:sz w:val="15"/>
              </w:rPr>
              <w:t> </w:t>
            </w:r>
            <w:r>
              <w:rPr>
                <w:color w:val="231F20"/>
                <w:spacing w:val="-2"/>
                <w:sz w:val="15"/>
              </w:rPr>
              <w:t>aspirin/ </w:t>
            </w:r>
            <w:r>
              <w:rPr>
                <w:color w:val="231F20"/>
                <w:sz w:val="15"/>
              </w:rPr>
              <w:t>NSAIDs, radiocontrast media, TNF inhibitors</w:t>
            </w:r>
          </w:p>
        </w:tc>
        <w:tc>
          <w:tcPr>
            <w:tcW w:w="2291" w:type="dxa"/>
            <w:tcBorders>
              <w:top w:val="single" w:sz="4" w:space="0" w:color="231F20"/>
              <w:bottom w:val="single" w:sz="4" w:space="0" w:color="FFFFFF"/>
            </w:tcBorders>
            <w:shd w:val="clear" w:color="auto" w:fill="E8F5F1"/>
          </w:tcPr>
          <w:p>
            <w:pPr>
              <w:pStyle w:val="TableParagraph"/>
              <w:spacing w:before="47"/>
              <w:ind w:left="104"/>
              <w:rPr>
                <w:sz w:val="15"/>
              </w:rPr>
            </w:pPr>
            <w:r>
              <w:rPr>
                <w:color w:val="231F20"/>
                <w:spacing w:val="-4"/>
                <w:sz w:val="15"/>
              </w:rPr>
              <w:t>Pruritic</w:t>
            </w:r>
            <w:r>
              <w:rPr>
                <w:color w:val="231F20"/>
                <w:spacing w:val="9"/>
                <w:sz w:val="15"/>
              </w:rPr>
              <w:t> </w:t>
            </w:r>
            <w:r>
              <w:rPr>
                <w:color w:val="231F20"/>
                <w:spacing w:val="-4"/>
                <w:sz w:val="15"/>
              </w:rPr>
              <w:t>erythematous</w:t>
            </w:r>
            <w:r>
              <w:rPr>
                <w:color w:val="231F20"/>
                <w:spacing w:val="9"/>
                <w:sz w:val="15"/>
              </w:rPr>
              <w:t> </w:t>
            </w:r>
            <w:r>
              <w:rPr>
                <w:color w:val="231F20"/>
                <w:spacing w:val="-4"/>
                <w:sz w:val="15"/>
              </w:rPr>
              <w:t>wheals</w:t>
            </w:r>
          </w:p>
        </w:tc>
        <w:tc>
          <w:tcPr>
            <w:tcW w:w="1795" w:type="dxa"/>
            <w:tcBorders>
              <w:top w:val="single" w:sz="4" w:space="0" w:color="231F20"/>
              <w:bottom w:val="single" w:sz="4" w:space="0" w:color="FFFFFF"/>
            </w:tcBorders>
            <w:shd w:val="clear" w:color="auto" w:fill="E8F5F1"/>
          </w:tcPr>
          <w:p>
            <w:pPr>
              <w:pStyle w:val="TableParagraph"/>
              <w:spacing w:before="47"/>
              <w:ind w:left="382"/>
              <w:rPr>
                <w:sz w:val="15"/>
              </w:rPr>
            </w:pPr>
            <w:r>
              <w:rPr>
                <w:color w:val="231F20"/>
                <w:spacing w:val="-4"/>
                <w:w w:val="110"/>
                <w:sz w:val="15"/>
              </w:rPr>
              <w:t>None</w:t>
            </w:r>
          </w:p>
        </w:tc>
      </w:tr>
      <w:tr>
        <w:trPr>
          <w:trHeight w:val="420"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2"/>
                <w:w w:val="105"/>
                <w:sz w:val="15"/>
              </w:rPr>
              <w:t>Angioedema</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165" w:hanging="112"/>
              <w:rPr>
                <w:sz w:val="15"/>
              </w:rPr>
            </w:pPr>
            <w:r>
              <w:rPr>
                <w:color w:val="231F20"/>
                <w:sz w:val="15"/>
              </w:rPr>
              <w:t>Aspirin/NSAIDs,</w:t>
            </w:r>
            <w:r>
              <w:rPr>
                <w:color w:val="231F20"/>
                <w:spacing w:val="-9"/>
                <w:sz w:val="15"/>
              </w:rPr>
              <w:t> </w:t>
            </w:r>
            <w:r>
              <w:rPr>
                <w:color w:val="231F20"/>
                <w:sz w:val="15"/>
              </w:rPr>
              <w:t>angiotensin-converting</w:t>
            </w:r>
            <w:r>
              <w:rPr>
                <w:color w:val="231F20"/>
                <w:spacing w:val="-9"/>
                <w:sz w:val="15"/>
              </w:rPr>
              <w:t> </w:t>
            </w:r>
            <w:r>
              <w:rPr>
                <w:color w:val="231F20"/>
                <w:sz w:val="15"/>
              </w:rPr>
              <w:t>enzyme </w:t>
            </w:r>
            <w:r>
              <w:rPr>
                <w:color w:val="231F20"/>
                <w:spacing w:val="-2"/>
                <w:sz w:val="15"/>
              </w:rPr>
              <w:t>inhibitors</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hanging="112"/>
              <w:rPr>
                <w:sz w:val="15"/>
              </w:rPr>
            </w:pPr>
            <w:r>
              <w:rPr>
                <w:color w:val="231F20"/>
                <w:sz w:val="15"/>
              </w:rPr>
              <w:t>Swelling</w:t>
            </w:r>
            <w:r>
              <w:rPr>
                <w:color w:val="231F20"/>
                <w:spacing w:val="-6"/>
                <w:sz w:val="15"/>
              </w:rPr>
              <w:t> </w:t>
            </w:r>
            <w:r>
              <w:rPr>
                <w:color w:val="231F20"/>
                <w:sz w:val="15"/>
              </w:rPr>
              <w:t>of</w:t>
            </w:r>
            <w:r>
              <w:rPr>
                <w:color w:val="231F20"/>
                <w:spacing w:val="-6"/>
                <w:sz w:val="15"/>
              </w:rPr>
              <w:t> </w:t>
            </w:r>
            <w:r>
              <w:rPr>
                <w:color w:val="231F20"/>
                <w:sz w:val="15"/>
              </w:rPr>
              <w:t>subcutaneous</w:t>
            </w:r>
            <w:r>
              <w:rPr>
                <w:color w:val="231F20"/>
                <w:spacing w:val="-6"/>
                <w:sz w:val="15"/>
              </w:rPr>
              <w:t> </w:t>
            </w:r>
            <w:r>
              <w:rPr>
                <w:color w:val="231F20"/>
                <w:sz w:val="15"/>
              </w:rPr>
              <w:t>and deep dermal tissues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z w:val="15"/>
              </w:rPr>
              <w:t>May</w:t>
            </w:r>
            <w:r>
              <w:rPr>
                <w:color w:val="231F20"/>
                <w:spacing w:val="14"/>
                <w:sz w:val="15"/>
              </w:rPr>
              <w:t> </w:t>
            </w:r>
            <w:r>
              <w:rPr>
                <w:color w:val="231F20"/>
                <w:sz w:val="15"/>
              </w:rPr>
              <w:t>be</w:t>
            </w:r>
            <w:r>
              <w:rPr>
                <w:color w:val="231F20"/>
                <w:spacing w:val="14"/>
                <w:sz w:val="15"/>
              </w:rPr>
              <w:t> </w:t>
            </w:r>
            <w:r>
              <w:rPr>
                <w:color w:val="231F20"/>
                <w:spacing w:val="-2"/>
                <w:sz w:val="15"/>
              </w:rPr>
              <w:t>present</w:t>
            </w:r>
          </w:p>
        </w:tc>
      </w:tr>
      <w:tr>
        <w:trPr>
          <w:trHeight w:val="420"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z w:val="15"/>
              </w:rPr>
              <w:t>Serum</w:t>
            </w:r>
            <w:r>
              <w:rPr>
                <w:color w:val="231F20"/>
                <w:spacing w:val="-2"/>
                <w:sz w:val="15"/>
              </w:rPr>
              <w:t> </w:t>
            </w:r>
            <w:r>
              <w:rPr>
                <w:color w:val="231F20"/>
                <w:sz w:val="15"/>
              </w:rPr>
              <w:t>sickness–like</w:t>
            </w:r>
            <w:r>
              <w:rPr>
                <w:color w:val="231F20"/>
                <w:spacing w:val="-1"/>
                <w:sz w:val="15"/>
              </w:rPr>
              <w:t> </w:t>
            </w:r>
            <w:r>
              <w:rPr>
                <w:color w:val="231F20"/>
                <w:spacing w:val="-2"/>
                <w:sz w:val="15"/>
              </w:rPr>
              <w:t>reaction</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165" w:hanging="112"/>
              <w:rPr>
                <w:sz w:val="15"/>
              </w:rPr>
            </w:pPr>
            <w:r>
              <w:rPr>
                <w:color w:val="231F20"/>
                <w:spacing w:val="-2"/>
                <w:sz w:val="15"/>
              </w:rPr>
              <w:t>Cephalosporins,</w:t>
            </w:r>
            <w:r>
              <w:rPr>
                <w:color w:val="231F20"/>
                <w:spacing w:val="-10"/>
                <w:sz w:val="15"/>
              </w:rPr>
              <w:t> </w:t>
            </w:r>
            <w:r>
              <w:rPr>
                <w:color w:val="231F20"/>
                <w:spacing w:val="-2"/>
                <w:sz w:val="15"/>
              </w:rPr>
              <w:t>penicillins,</w:t>
            </w:r>
            <w:r>
              <w:rPr>
                <w:color w:val="231F20"/>
                <w:spacing w:val="-9"/>
                <w:sz w:val="15"/>
              </w:rPr>
              <w:t> </w:t>
            </w:r>
            <w:r>
              <w:rPr>
                <w:color w:val="231F20"/>
                <w:spacing w:val="-2"/>
                <w:sz w:val="15"/>
              </w:rPr>
              <w:t>minocycline, </w:t>
            </w:r>
            <w:r>
              <w:rPr>
                <w:color w:val="231F20"/>
                <w:sz w:val="15"/>
              </w:rPr>
              <w:t>bupropion, sulfonamides</w:t>
            </w:r>
          </w:p>
        </w:tc>
        <w:tc>
          <w:tcPr>
            <w:tcW w:w="2291" w:type="dxa"/>
            <w:tcBorders>
              <w:top w:val="single" w:sz="4" w:space="0" w:color="FFFFFF"/>
              <w:bottom w:val="single" w:sz="4" w:space="0" w:color="FFFFFF"/>
            </w:tcBorders>
            <w:shd w:val="clear" w:color="auto" w:fill="E8F5F1"/>
          </w:tcPr>
          <w:p>
            <w:pPr>
              <w:pStyle w:val="TableParagraph"/>
              <w:spacing w:before="42"/>
              <w:ind w:left="104"/>
              <w:rPr>
                <w:sz w:val="15"/>
              </w:rPr>
            </w:pPr>
            <w:r>
              <w:rPr>
                <w:color w:val="231F20"/>
                <w:spacing w:val="-4"/>
                <w:sz w:val="15"/>
              </w:rPr>
              <w:t>Annular</w:t>
            </w:r>
            <w:r>
              <w:rPr>
                <w:color w:val="231F20"/>
                <w:spacing w:val="4"/>
                <w:sz w:val="15"/>
              </w:rPr>
              <w:t> </w:t>
            </w:r>
            <w:r>
              <w:rPr>
                <w:color w:val="231F20"/>
                <w:spacing w:val="-4"/>
                <w:sz w:val="15"/>
              </w:rPr>
              <w:t>urticarial</w:t>
            </w:r>
            <w:r>
              <w:rPr>
                <w:color w:val="231F20"/>
                <w:spacing w:val="5"/>
                <w:sz w:val="15"/>
              </w:rPr>
              <w:t> </w:t>
            </w:r>
            <w:r>
              <w:rPr>
                <w:color w:val="231F20"/>
                <w:spacing w:val="-4"/>
                <w:sz w:val="15"/>
              </w:rPr>
              <w:t>plaques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4"/>
                <w:w w:val="110"/>
                <w:sz w:val="15"/>
              </w:rPr>
              <w:t>None</w:t>
            </w:r>
          </w:p>
        </w:tc>
      </w:tr>
      <w:tr>
        <w:trPr>
          <w:trHeight w:val="420"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2"/>
                <w:sz w:val="15"/>
              </w:rPr>
              <w:t>Exanthematous</w:t>
            </w:r>
          </w:p>
        </w:tc>
        <w:tc>
          <w:tcPr>
            <w:tcW w:w="3621"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w w:val="105"/>
                <w:sz w:val="15"/>
              </w:rPr>
              <w:t>Any</w:t>
            </w:r>
            <w:r>
              <w:rPr>
                <w:color w:val="231F20"/>
                <w:spacing w:val="-4"/>
                <w:w w:val="105"/>
                <w:sz w:val="15"/>
              </w:rPr>
              <w:t> drug</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hanging="112"/>
              <w:rPr>
                <w:sz w:val="15"/>
              </w:rPr>
            </w:pPr>
            <w:r>
              <w:rPr>
                <w:color w:val="231F20"/>
                <w:spacing w:val="-2"/>
                <w:sz w:val="15"/>
              </w:rPr>
              <w:t>Erythematous</w:t>
            </w:r>
            <w:r>
              <w:rPr>
                <w:color w:val="231F20"/>
                <w:spacing w:val="-8"/>
                <w:sz w:val="15"/>
              </w:rPr>
              <w:t> </w:t>
            </w:r>
            <w:r>
              <w:rPr>
                <w:color w:val="231F20"/>
                <w:spacing w:val="-2"/>
                <w:sz w:val="15"/>
              </w:rPr>
              <w:t>macules</w:t>
            </w:r>
            <w:r>
              <w:rPr>
                <w:color w:val="231F20"/>
                <w:spacing w:val="-8"/>
                <w:sz w:val="15"/>
              </w:rPr>
              <w:t> </w:t>
            </w:r>
            <w:r>
              <w:rPr>
                <w:color w:val="231F20"/>
                <w:spacing w:val="-2"/>
                <w:sz w:val="15"/>
              </w:rPr>
              <w:t>and/or papules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4"/>
                <w:w w:val="110"/>
                <w:sz w:val="15"/>
              </w:rPr>
              <w:t>None</w:t>
            </w:r>
          </w:p>
        </w:tc>
      </w:tr>
      <w:tr>
        <w:trPr>
          <w:trHeight w:val="588" w:hRule="atLeast"/>
        </w:trPr>
        <w:tc>
          <w:tcPr>
            <w:tcW w:w="2078" w:type="dxa"/>
            <w:gridSpan w:val="2"/>
            <w:tcBorders>
              <w:top w:val="single" w:sz="4" w:space="0" w:color="FFFFFF"/>
              <w:bottom w:val="single" w:sz="4" w:space="0" w:color="FFFFFF"/>
            </w:tcBorders>
            <w:shd w:val="clear" w:color="auto" w:fill="E8F5F1"/>
          </w:tcPr>
          <w:p>
            <w:pPr>
              <w:pStyle w:val="TableParagraph"/>
              <w:spacing w:line="230" w:lineRule="auto" w:before="48"/>
              <w:ind w:left="205" w:hanging="112"/>
              <w:rPr>
                <w:sz w:val="15"/>
              </w:rPr>
            </w:pPr>
            <w:r>
              <w:rPr>
                <w:color w:val="231F20"/>
                <w:sz w:val="15"/>
              </w:rPr>
              <w:t>Drug</w:t>
            </w:r>
            <w:r>
              <w:rPr>
                <w:color w:val="231F20"/>
                <w:spacing w:val="-12"/>
                <w:sz w:val="15"/>
              </w:rPr>
              <w:t> </w:t>
            </w:r>
            <w:r>
              <w:rPr>
                <w:color w:val="231F20"/>
                <w:sz w:val="15"/>
              </w:rPr>
              <w:t>rash</w:t>
            </w:r>
            <w:r>
              <w:rPr>
                <w:color w:val="231F20"/>
                <w:spacing w:val="-11"/>
                <w:sz w:val="15"/>
              </w:rPr>
              <w:t> </w:t>
            </w:r>
            <w:r>
              <w:rPr>
                <w:color w:val="231F20"/>
                <w:sz w:val="15"/>
              </w:rPr>
              <w:t>with</w:t>
            </w:r>
            <w:r>
              <w:rPr>
                <w:color w:val="231F20"/>
                <w:spacing w:val="-11"/>
                <w:sz w:val="15"/>
              </w:rPr>
              <w:t> </w:t>
            </w:r>
            <w:r>
              <w:rPr>
                <w:color w:val="231F20"/>
                <w:sz w:val="15"/>
              </w:rPr>
              <w:t>eosinophilia and systemic symptoms (DRESS syndrome)</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165" w:hanging="112"/>
              <w:rPr>
                <w:sz w:val="15"/>
              </w:rPr>
            </w:pPr>
            <w:r>
              <w:rPr>
                <w:color w:val="231F20"/>
                <w:sz w:val="15"/>
              </w:rPr>
              <w:t>Phenytoin, phenobarbital, carbamazepine, </w:t>
            </w:r>
            <w:r>
              <w:rPr>
                <w:color w:val="231F20"/>
                <w:spacing w:val="-2"/>
                <w:sz w:val="15"/>
              </w:rPr>
              <w:t>lamotrigine,</w:t>
            </w:r>
            <w:r>
              <w:rPr>
                <w:color w:val="231F20"/>
                <w:spacing w:val="-4"/>
                <w:sz w:val="15"/>
              </w:rPr>
              <w:t> </w:t>
            </w:r>
            <w:r>
              <w:rPr>
                <w:color w:val="231F20"/>
                <w:spacing w:val="-2"/>
                <w:sz w:val="15"/>
              </w:rPr>
              <w:t>allopurinol,</w:t>
            </w:r>
            <w:r>
              <w:rPr>
                <w:color w:val="231F20"/>
                <w:spacing w:val="-4"/>
                <w:sz w:val="15"/>
              </w:rPr>
              <w:t> </w:t>
            </w:r>
            <w:r>
              <w:rPr>
                <w:color w:val="231F20"/>
                <w:spacing w:val="-2"/>
                <w:sz w:val="15"/>
              </w:rPr>
              <w:t>sulfonamides,</w:t>
            </w:r>
            <w:r>
              <w:rPr>
                <w:color w:val="231F20"/>
                <w:spacing w:val="-4"/>
                <w:sz w:val="15"/>
              </w:rPr>
              <w:t> </w:t>
            </w:r>
            <w:r>
              <w:rPr>
                <w:color w:val="231F20"/>
                <w:spacing w:val="-2"/>
                <w:sz w:val="15"/>
              </w:rPr>
              <w:t>dapsone, minocycline</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hanging="112"/>
              <w:rPr>
                <w:sz w:val="15"/>
              </w:rPr>
            </w:pPr>
            <w:r>
              <w:rPr>
                <w:color w:val="231F20"/>
                <w:spacing w:val="-2"/>
                <w:sz w:val="15"/>
              </w:rPr>
              <w:t>Edema; erythematous </w:t>
            </w:r>
            <w:r>
              <w:rPr>
                <w:color w:val="231F20"/>
                <w:spacing w:val="-2"/>
                <w:sz w:val="15"/>
              </w:rPr>
              <w:t>macules </w:t>
            </w:r>
            <w:r>
              <w:rPr>
                <w:color w:val="231F20"/>
                <w:sz w:val="15"/>
              </w:rPr>
              <w:t>and/or papules; sometimes vesicles or bullae</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z w:val="15"/>
              </w:rPr>
              <w:t>May</w:t>
            </w:r>
            <w:r>
              <w:rPr>
                <w:color w:val="231F20"/>
                <w:spacing w:val="14"/>
                <w:sz w:val="15"/>
              </w:rPr>
              <w:t> </w:t>
            </w:r>
            <w:r>
              <w:rPr>
                <w:color w:val="231F20"/>
                <w:sz w:val="15"/>
              </w:rPr>
              <w:t>be</w:t>
            </w:r>
            <w:r>
              <w:rPr>
                <w:color w:val="231F20"/>
                <w:spacing w:val="14"/>
                <w:sz w:val="15"/>
              </w:rPr>
              <w:t> </w:t>
            </w:r>
            <w:r>
              <w:rPr>
                <w:color w:val="231F20"/>
                <w:spacing w:val="-2"/>
                <w:sz w:val="15"/>
              </w:rPr>
              <w:t>present</w:t>
            </w:r>
          </w:p>
        </w:tc>
      </w:tr>
      <w:tr>
        <w:trPr>
          <w:trHeight w:val="758"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2"/>
                <w:sz w:val="15"/>
              </w:rPr>
              <w:t>Lichenoid</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622" w:hanging="112"/>
              <w:rPr>
                <w:sz w:val="15"/>
              </w:rPr>
            </w:pPr>
            <w:r>
              <w:rPr>
                <w:color w:val="231F20"/>
                <w:sz w:val="15"/>
              </w:rPr>
              <w:t>Captopril,</w:t>
            </w:r>
            <w:r>
              <w:rPr>
                <w:color w:val="231F20"/>
                <w:spacing w:val="-12"/>
                <w:sz w:val="15"/>
              </w:rPr>
              <w:t> </w:t>
            </w:r>
            <w:r>
              <w:rPr>
                <w:color w:val="231F20"/>
                <w:sz w:val="15"/>
              </w:rPr>
              <w:t>enalapril,</w:t>
            </w:r>
            <w:r>
              <w:rPr>
                <w:color w:val="231F20"/>
                <w:spacing w:val="-11"/>
                <w:sz w:val="15"/>
              </w:rPr>
              <w:t> </w:t>
            </w:r>
            <w:r>
              <w:rPr>
                <w:rFonts w:ascii="Cambria" w:hAnsi="Cambria"/>
                <w:color w:val="231F20"/>
                <w:sz w:val="15"/>
              </w:rPr>
              <w:t>β</w:t>
            </w:r>
            <w:r>
              <w:rPr>
                <w:color w:val="231F20"/>
                <w:sz w:val="15"/>
              </w:rPr>
              <w:t>-blockers,</w:t>
            </w:r>
            <w:r>
              <w:rPr>
                <w:color w:val="231F20"/>
                <w:spacing w:val="-11"/>
                <w:sz w:val="15"/>
              </w:rPr>
              <w:t> </w:t>
            </w:r>
            <w:r>
              <w:rPr>
                <w:color w:val="231F20"/>
                <w:sz w:val="15"/>
              </w:rPr>
              <w:t>gold</w:t>
            </w:r>
            <w:r>
              <w:rPr>
                <w:color w:val="231F20"/>
                <w:spacing w:val="-12"/>
                <w:sz w:val="15"/>
              </w:rPr>
              <w:t> </w:t>
            </w:r>
            <w:r>
              <w:rPr>
                <w:color w:val="231F20"/>
                <w:sz w:val="15"/>
              </w:rPr>
              <w:t>salts, </w:t>
            </w:r>
            <w:r>
              <w:rPr>
                <w:color w:val="231F20"/>
                <w:spacing w:val="-2"/>
                <w:sz w:val="15"/>
              </w:rPr>
              <w:t>hydrochlorothiazide,</w:t>
            </w:r>
            <w:r>
              <w:rPr>
                <w:color w:val="231F20"/>
                <w:spacing w:val="-10"/>
                <w:sz w:val="15"/>
              </w:rPr>
              <w:t> </w:t>
            </w:r>
            <w:r>
              <w:rPr>
                <w:color w:val="231F20"/>
                <w:spacing w:val="-2"/>
                <w:sz w:val="15"/>
              </w:rPr>
              <w:t>hydroxychloroquine, </w:t>
            </w:r>
            <w:r>
              <w:rPr>
                <w:color w:val="231F20"/>
                <w:sz w:val="15"/>
              </w:rPr>
              <w:t>penicillamine,</w:t>
            </w:r>
            <w:r>
              <w:rPr>
                <w:color w:val="231F20"/>
                <w:spacing w:val="-12"/>
                <w:sz w:val="15"/>
              </w:rPr>
              <w:t> </w:t>
            </w:r>
            <w:r>
              <w:rPr>
                <w:color w:val="231F20"/>
                <w:sz w:val="15"/>
              </w:rPr>
              <w:t>griseofulvin,</w:t>
            </w:r>
            <w:r>
              <w:rPr>
                <w:color w:val="231F20"/>
                <w:spacing w:val="-11"/>
                <w:sz w:val="15"/>
              </w:rPr>
              <w:t> </w:t>
            </w:r>
            <w:r>
              <w:rPr>
                <w:color w:val="231F20"/>
                <w:sz w:val="15"/>
              </w:rPr>
              <w:t>tetracycline, carbamazepine, phenytoin, NSAIDs</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hanging="112"/>
              <w:rPr>
                <w:sz w:val="15"/>
              </w:rPr>
            </w:pPr>
            <w:r>
              <w:rPr>
                <w:color w:val="231F20"/>
                <w:sz w:val="15"/>
              </w:rPr>
              <w:t>Discrete</w:t>
            </w:r>
            <w:r>
              <w:rPr>
                <w:color w:val="231F20"/>
                <w:spacing w:val="-3"/>
                <w:sz w:val="15"/>
              </w:rPr>
              <w:t> </w:t>
            </w:r>
            <w:r>
              <w:rPr>
                <w:color w:val="231F20"/>
                <w:sz w:val="15"/>
              </w:rPr>
              <w:t>flat-topped,</w:t>
            </w:r>
            <w:r>
              <w:rPr>
                <w:color w:val="231F20"/>
                <w:spacing w:val="-3"/>
                <w:sz w:val="15"/>
              </w:rPr>
              <w:t> </w:t>
            </w:r>
            <w:r>
              <w:rPr>
                <w:color w:val="231F20"/>
                <w:sz w:val="15"/>
              </w:rPr>
              <w:t>reddish purple</w:t>
            </w:r>
            <w:r>
              <w:rPr>
                <w:color w:val="231F20"/>
                <w:spacing w:val="6"/>
                <w:sz w:val="15"/>
              </w:rPr>
              <w:t> </w:t>
            </w:r>
            <w:r>
              <w:rPr>
                <w:color w:val="231F20"/>
                <w:sz w:val="15"/>
              </w:rPr>
              <w:t>papules</w:t>
            </w:r>
            <w:r>
              <w:rPr>
                <w:color w:val="231F20"/>
                <w:spacing w:val="7"/>
                <w:sz w:val="15"/>
              </w:rPr>
              <w:t> </w:t>
            </w:r>
            <w:r>
              <w:rPr>
                <w:color w:val="231F20"/>
                <w:sz w:val="15"/>
              </w:rPr>
              <w:t>and</w:t>
            </w:r>
            <w:r>
              <w:rPr>
                <w:color w:val="231F20"/>
                <w:spacing w:val="7"/>
                <w:sz w:val="15"/>
              </w:rPr>
              <w:t> </w:t>
            </w:r>
            <w:r>
              <w:rPr>
                <w:color w:val="231F20"/>
                <w:spacing w:val="-2"/>
                <w:sz w:val="15"/>
              </w:rPr>
              <w:t>plaques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z w:val="15"/>
              </w:rPr>
              <w:t>May</w:t>
            </w:r>
            <w:r>
              <w:rPr>
                <w:color w:val="231F20"/>
                <w:spacing w:val="14"/>
                <w:sz w:val="15"/>
              </w:rPr>
              <w:t> </w:t>
            </w:r>
            <w:r>
              <w:rPr>
                <w:color w:val="231F20"/>
                <w:sz w:val="15"/>
              </w:rPr>
              <w:t>be</w:t>
            </w:r>
            <w:r>
              <w:rPr>
                <w:color w:val="231F20"/>
                <w:spacing w:val="14"/>
                <w:sz w:val="15"/>
              </w:rPr>
              <w:t> </w:t>
            </w:r>
            <w:r>
              <w:rPr>
                <w:color w:val="231F20"/>
                <w:spacing w:val="-2"/>
                <w:sz w:val="15"/>
              </w:rPr>
              <w:t>present</w:t>
            </w:r>
          </w:p>
        </w:tc>
      </w:tr>
      <w:tr>
        <w:trPr>
          <w:trHeight w:val="588"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z w:val="15"/>
              </w:rPr>
              <w:t>Fixed</w:t>
            </w:r>
            <w:r>
              <w:rPr>
                <w:color w:val="231F20"/>
                <w:spacing w:val="1"/>
                <w:sz w:val="15"/>
              </w:rPr>
              <w:t> </w:t>
            </w:r>
            <w:r>
              <w:rPr>
                <w:color w:val="231F20"/>
                <w:spacing w:val="-4"/>
                <w:sz w:val="15"/>
              </w:rPr>
              <w:t>drug</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165" w:hanging="112"/>
              <w:rPr>
                <w:sz w:val="15"/>
              </w:rPr>
            </w:pPr>
            <w:r>
              <w:rPr>
                <w:color w:val="231F20"/>
                <w:sz w:val="15"/>
              </w:rPr>
              <w:t>Sulfonamides, ibuprofen, acetaminophen, </w:t>
            </w:r>
            <w:r>
              <w:rPr>
                <w:color w:val="231F20"/>
                <w:spacing w:val="-2"/>
                <w:sz w:val="15"/>
              </w:rPr>
              <w:t>tetracyclines,</w:t>
            </w:r>
            <w:r>
              <w:rPr>
                <w:color w:val="231F20"/>
                <w:spacing w:val="-10"/>
                <w:sz w:val="15"/>
              </w:rPr>
              <w:t> </w:t>
            </w:r>
            <w:r>
              <w:rPr>
                <w:color w:val="231F20"/>
                <w:spacing w:val="-2"/>
                <w:sz w:val="15"/>
              </w:rPr>
              <w:t>pseudoephedrine,</w:t>
            </w:r>
            <w:r>
              <w:rPr>
                <w:color w:val="231F20"/>
                <w:spacing w:val="-9"/>
                <w:sz w:val="15"/>
              </w:rPr>
              <w:t> </w:t>
            </w:r>
            <w:r>
              <w:rPr>
                <w:color w:val="231F20"/>
                <w:spacing w:val="-2"/>
                <w:sz w:val="15"/>
              </w:rPr>
              <w:t>barbiturates, </w:t>
            </w:r>
            <w:r>
              <w:rPr>
                <w:color w:val="231F20"/>
                <w:sz w:val="15"/>
              </w:rPr>
              <w:t>lamotrigine, metronidazole, penicillin</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right="234" w:hanging="112"/>
              <w:rPr>
                <w:sz w:val="15"/>
              </w:rPr>
            </w:pPr>
            <w:r>
              <w:rPr>
                <w:color w:val="231F20"/>
                <w:spacing w:val="-2"/>
                <w:sz w:val="15"/>
              </w:rPr>
              <w:t>Solitary</w:t>
            </w:r>
            <w:r>
              <w:rPr>
                <w:color w:val="231F20"/>
                <w:spacing w:val="-10"/>
                <w:sz w:val="15"/>
              </w:rPr>
              <w:t> </w:t>
            </w:r>
            <w:r>
              <w:rPr>
                <w:color w:val="231F20"/>
                <w:spacing w:val="-2"/>
                <w:sz w:val="15"/>
              </w:rPr>
              <w:t>to</w:t>
            </w:r>
            <w:r>
              <w:rPr>
                <w:color w:val="231F20"/>
                <w:spacing w:val="-9"/>
                <w:sz w:val="15"/>
              </w:rPr>
              <w:t> </w:t>
            </w:r>
            <w:r>
              <w:rPr>
                <w:color w:val="231F20"/>
                <w:spacing w:val="-2"/>
                <w:sz w:val="15"/>
              </w:rPr>
              <w:t>few</w:t>
            </w:r>
            <w:r>
              <w:rPr>
                <w:color w:val="231F20"/>
                <w:spacing w:val="-9"/>
                <w:sz w:val="15"/>
              </w:rPr>
              <w:t> </w:t>
            </w:r>
            <w:r>
              <w:rPr>
                <w:color w:val="231F20"/>
                <w:spacing w:val="-2"/>
                <w:sz w:val="15"/>
              </w:rPr>
              <w:t>erythematous, </w:t>
            </w:r>
            <w:r>
              <w:rPr>
                <w:color w:val="231F20"/>
                <w:sz w:val="15"/>
              </w:rPr>
              <w:t>hyperpigmented plaques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2"/>
                <w:sz w:val="15"/>
              </w:rPr>
              <w:t>Unusual</w:t>
            </w:r>
          </w:p>
        </w:tc>
      </w:tr>
      <w:tr>
        <w:trPr>
          <w:trHeight w:val="590" w:hRule="atLeast"/>
        </w:trPr>
        <w:tc>
          <w:tcPr>
            <w:tcW w:w="2078" w:type="dxa"/>
            <w:gridSpan w:val="2"/>
            <w:tcBorders>
              <w:top w:val="single" w:sz="4" w:space="0" w:color="FFFFFF"/>
              <w:bottom w:val="single" w:sz="4" w:space="0" w:color="FFFFFF"/>
            </w:tcBorders>
            <w:shd w:val="clear" w:color="auto" w:fill="E8F5F1"/>
          </w:tcPr>
          <w:p>
            <w:pPr>
              <w:pStyle w:val="TableParagraph"/>
              <w:spacing w:line="230" w:lineRule="auto" w:before="48"/>
              <w:ind w:left="205" w:right="101" w:hanging="112"/>
              <w:rPr>
                <w:sz w:val="15"/>
              </w:rPr>
            </w:pPr>
            <w:r>
              <w:rPr>
                <w:color w:val="231F20"/>
                <w:sz w:val="15"/>
              </w:rPr>
              <w:t>Pustular</w:t>
            </w:r>
            <w:r>
              <w:rPr>
                <w:color w:val="231F20"/>
                <w:spacing w:val="-7"/>
                <w:sz w:val="15"/>
              </w:rPr>
              <w:t> </w:t>
            </w:r>
            <w:r>
              <w:rPr>
                <w:color w:val="231F20"/>
                <w:sz w:val="15"/>
              </w:rPr>
              <w:t>(acute</w:t>
            </w:r>
            <w:r>
              <w:rPr>
                <w:color w:val="231F20"/>
                <w:spacing w:val="-7"/>
                <w:sz w:val="15"/>
              </w:rPr>
              <w:t> </w:t>
            </w:r>
            <w:r>
              <w:rPr>
                <w:color w:val="231F20"/>
                <w:sz w:val="15"/>
              </w:rPr>
              <w:t>generalized exanthematous</w:t>
            </w:r>
            <w:r>
              <w:rPr>
                <w:color w:val="231F20"/>
                <w:spacing w:val="-10"/>
                <w:sz w:val="15"/>
              </w:rPr>
              <w:t> </w:t>
            </w:r>
            <w:r>
              <w:rPr>
                <w:color w:val="231F20"/>
                <w:spacing w:val="-2"/>
                <w:sz w:val="15"/>
              </w:rPr>
              <w:t>pustulosis)</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165" w:hanging="112"/>
              <w:rPr>
                <w:sz w:val="15"/>
              </w:rPr>
            </w:pPr>
            <w:r>
              <w:rPr>
                <w:rFonts w:ascii="Cambria" w:hAnsi="Cambria"/>
                <w:color w:val="231F20"/>
                <w:spacing w:val="-4"/>
                <w:sz w:val="15"/>
              </w:rPr>
              <w:t>β</w:t>
            </w:r>
            <w:r>
              <w:rPr>
                <w:color w:val="231F20"/>
                <w:spacing w:val="-4"/>
                <w:sz w:val="15"/>
              </w:rPr>
              <w:t>-Lactam antibiotics, macrolides, </w:t>
            </w:r>
            <w:r>
              <w:rPr>
                <w:color w:val="231F20"/>
                <w:spacing w:val="-4"/>
                <w:sz w:val="15"/>
              </w:rPr>
              <w:t>clindamycin, </w:t>
            </w:r>
            <w:r>
              <w:rPr>
                <w:color w:val="231F20"/>
                <w:sz w:val="15"/>
              </w:rPr>
              <w:t>terbinafine, calcium channel blockers, </w:t>
            </w:r>
            <w:r>
              <w:rPr>
                <w:color w:val="231F20"/>
                <w:spacing w:val="-2"/>
                <w:sz w:val="15"/>
              </w:rPr>
              <w:t>antimalarials</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hanging="112"/>
              <w:rPr>
                <w:sz w:val="15"/>
              </w:rPr>
            </w:pPr>
            <w:r>
              <w:rPr>
                <w:color w:val="231F20"/>
                <w:sz w:val="15"/>
              </w:rPr>
              <w:t>Generalized</w:t>
            </w:r>
            <w:r>
              <w:rPr>
                <w:color w:val="231F20"/>
                <w:spacing w:val="-12"/>
                <w:sz w:val="15"/>
              </w:rPr>
              <w:t> </w:t>
            </w:r>
            <w:r>
              <w:rPr>
                <w:color w:val="231F20"/>
                <w:sz w:val="15"/>
              </w:rPr>
              <w:t>small</w:t>
            </w:r>
            <w:r>
              <w:rPr>
                <w:color w:val="231F20"/>
                <w:spacing w:val="-11"/>
                <w:sz w:val="15"/>
              </w:rPr>
              <w:t> </w:t>
            </w:r>
            <w:r>
              <w:rPr>
                <w:color w:val="231F20"/>
                <w:sz w:val="15"/>
              </w:rPr>
              <w:t>pustules</w:t>
            </w:r>
            <w:r>
              <w:rPr>
                <w:color w:val="231F20"/>
                <w:spacing w:val="-11"/>
                <w:sz w:val="15"/>
              </w:rPr>
              <w:t> </w:t>
            </w:r>
            <w:r>
              <w:rPr>
                <w:color w:val="231F20"/>
                <w:sz w:val="15"/>
              </w:rPr>
              <w:t>and </w:t>
            </w:r>
            <w:r>
              <w:rPr>
                <w:color w:val="231F20"/>
                <w:spacing w:val="-2"/>
                <w:sz w:val="15"/>
              </w:rPr>
              <w:t>papules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2"/>
                <w:sz w:val="15"/>
              </w:rPr>
              <w:t>Unusual</w:t>
            </w:r>
          </w:p>
        </w:tc>
      </w:tr>
      <w:tr>
        <w:trPr>
          <w:trHeight w:val="588"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2"/>
                <w:sz w:val="15"/>
              </w:rPr>
              <w:t>Acneiform</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right="165" w:hanging="112"/>
              <w:rPr>
                <w:sz w:val="15"/>
              </w:rPr>
            </w:pPr>
            <w:r>
              <w:rPr>
                <w:color w:val="231F20"/>
                <w:sz w:val="15"/>
              </w:rPr>
              <w:t>Corticosteroids, androgens, lithium, iodides, </w:t>
            </w:r>
            <w:r>
              <w:rPr>
                <w:color w:val="231F20"/>
                <w:spacing w:val="-4"/>
                <w:sz w:val="15"/>
              </w:rPr>
              <w:t>phenytoin, isoniazid, tetracycline, B </w:t>
            </w:r>
            <w:r>
              <w:rPr>
                <w:color w:val="231F20"/>
                <w:spacing w:val="-4"/>
                <w:sz w:val="15"/>
              </w:rPr>
              <w:t>vitamins, </w:t>
            </w:r>
            <w:r>
              <w:rPr>
                <w:color w:val="231F20"/>
                <w:spacing w:val="-2"/>
                <w:sz w:val="15"/>
              </w:rPr>
              <w:t>azathioprine</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right="346" w:hanging="112"/>
              <w:rPr>
                <w:sz w:val="15"/>
              </w:rPr>
            </w:pPr>
            <w:r>
              <w:rPr>
                <w:color w:val="231F20"/>
                <w:spacing w:val="-2"/>
                <w:sz w:val="15"/>
              </w:rPr>
              <w:t>Follicle-based</w:t>
            </w:r>
            <w:r>
              <w:rPr>
                <w:color w:val="231F20"/>
                <w:spacing w:val="-10"/>
                <w:sz w:val="15"/>
              </w:rPr>
              <w:t> </w:t>
            </w:r>
            <w:r>
              <w:rPr>
                <w:color w:val="231F20"/>
                <w:spacing w:val="-2"/>
                <w:sz w:val="15"/>
              </w:rPr>
              <w:t>inflammatory </w:t>
            </w:r>
            <w:r>
              <w:rPr>
                <w:color w:val="231F20"/>
                <w:sz w:val="15"/>
              </w:rPr>
              <w:t>papules and pustules </w:t>
            </w:r>
            <w:r>
              <w:rPr>
                <w:color w:val="231F20"/>
                <w:spacing w:val="-2"/>
                <w:sz w:val="15"/>
              </w:rPr>
              <w:t>predominate</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4"/>
                <w:w w:val="110"/>
                <w:sz w:val="15"/>
              </w:rPr>
              <w:t>None</w:t>
            </w:r>
          </w:p>
        </w:tc>
      </w:tr>
      <w:tr>
        <w:trPr>
          <w:trHeight w:val="420"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2"/>
                <w:sz w:val="15"/>
              </w:rPr>
              <w:t>Pseudoporphyria</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hanging="112"/>
              <w:rPr>
                <w:sz w:val="15"/>
              </w:rPr>
            </w:pPr>
            <w:r>
              <w:rPr>
                <w:color w:val="231F20"/>
                <w:spacing w:val="-2"/>
                <w:sz w:val="15"/>
              </w:rPr>
              <w:t>NSAIDs, cyclooxygenase-2 inhibitors, </w:t>
            </w:r>
            <w:r>
              <w:rPr>
                <w:color w:val="231F20"/>
                <w:spacing w:val="-2"/>
                <w:sz w:val="15"/>
              </w:rPr>
              <w:t>tetracyclines, furosemide</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right="100" w:hanging="112"/>
              <w:rPr>
                <w:sz w:val="15"/>
              </w:rPr>
            </w:pPr>
            <w:r>
              <w:rPr>
                <w:color w:val="231F20"/>
                <w:sz w:val="15"/>
              </w:rPr>
              <w:t>Photodistributed</w:t>
            </w:r>
            <w:r>
              <w:rPr>
                <w:color w:val="231F20"/>
                <w:spacing w:val="-12"/>
                <w:sz w:val="15"/>
              </w:rPr>
              <w:t> </w:t>
            </w:r>
            <w:r>
              <w:rPr>
                <w:color w:val="231F20"/>
                <w:sz w:val="15"/>
              </w:rPr>
              <w:t>blistering</w:t>
            </w:r>
            <w:r>
              <w:rPr>
                <w:color w:val="231F20"/>
                <w:spacing w:val="-11"/>
                <w:sz w:val="15"/>
              </w:rPr>
              <w:t> </w:t>
            </w:r>
            <w:r>
              <w:rPr>
                <w:color w:val="231F20"/>
                <w:sz w:val="15"/>
              </w:rPr>
              <w:t>and skin fragility</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4"/>
                <w:w w:val="110"/>
                <w:sz w:val="15"/>
              </w:rPr>
              <w:t>None</w:t>
            </w:r>
          </w:p>
        </w:tc>
      </w:tr>
      <w:tr>
        <w:trPr>
          <w:trHeight w:val="924" w:hRule="atLeast"/>
        </w:trPr>
        <w:tc>
          <w:tcPr>
            <w:tcW w:w="2078" w:type="dxa"/>
            <w:gridSpan w:val="2"/>
            <w:tcBorders>
              <w:top w:val="single" w:sz="4" w:space="0" w:color="FFFFFF"/>
              <w:bottom w:val="single" w:sz="4" w:space="0" w:color="FFFFFF"/>
            </w:tcBorders>
            <w:shd w:val="clear" w:color="auto" w:fill="E8F5F1"/>
          </w:tcPr>
          <w:p>
            <w:pPr>
              <w:pStyle w:val="TableParagraph"/>
              <w:spacing w:before="42"/>
              <w:ind w:left="93"/>
              <w:rPr>
                <w:sz w:val="15"/>
              </w:rPr>
            </w:pPr>
            <w:r>
              <w:rPr>
                <w:color w:val="231F20"/>
                <w:spacing w:val="-2"/>
                <w:sz w:val="15"/>
              </w:rPr>
              <w:t>Vasculitis</w:t>
            </w:r>
          </w:p>
        </w:tc>
        <w:tc>
          <w:tcPr>
            <w:tcW w:w="3621" w:type="dxa"/>
            <w:tcBorders>
              <w:top w:val="single" w:sz="4" w:space="0" w:color="FFFFFF"/>
              <w:bottom w:val="single" w:sz="4" w:space="0" w:color="FFFFFF"/>
            </w:tcBorders>
            <w:shd w:val="clear" w:color="auto" w:fill="E8F5F1"/>
          </w:tcPr>
          <w:p>
            <w:pPr>
              <w:pStyle w:val="TableParagraph"/>
              <w:spacing w:before="42"/>
              <w:ind w:left="123"/>
              <w:rPr>
                <w:sz w:val="15"/>
              </w:rPr>
            </w:pPr>
            <w:r>
              <w:rPr>
                <w:color w:val="231F20"/>
                <w:sz w:val="15"/>
              </w:rPr>
              <w:t>Penicillins,</w:t>
            </w:r>
            <w:r>
              <w:rPr>
                <w:color w:val="231F20"/>
                <w:spacing w:val="-8"/>
                <w:sz w:val="15"/>
              </w:rPr>
              <w:t> </w:t>
            </w:r>
            <w:r>
              <w:rPr>
                <w:color w:val="231F20"/>
                <w:sz w:val="15"/>
              </w:rPr>
              <w:t>NSAIDs,</w:t>
            </w:r>
            <w:r>
              <w:rPr>
                <w:color w:val="231F20"/>
                <w:spacing w:val="-7"/>
                <w:sz w:val="15"/>
              </w:rPr>
              <w:t> </w:t>
            </w:r>
            <w:r>
              <w:rPr>
                <w:color w:val="231F20"/>
                <w:sz w:val="15"/>
              </w:rPr>
              <w:t>sulfonamides,</w:t>
            </w:r>
            <w:r>
              <w:rPr>
                <w:color w:val="231F20"/>
                <w:spacing w:val="-7"/>
                <w:sz w:val="15"/>
              </w:rPr>
              <w:t> </w:t>
            </w:r>
            <w:r>
              <w:rPr>
                <w:color w:val="231F20"/>
                <w:spacing w:val="-2"/>
                <w:sz w:val="15"/>
              </w:rPr>
              <w:t>cephalosporins</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right="102" w:hanging="112"/>
              <w:rPr>
                <w:sz w:val="15"/>
              </w:rPr>
            </w:pPr>
            <w:r>
              <w:rPr>
                <w:color w:val="231F20"/>
                <w:sz w:val="15"/>
              </w:rPr>
              <w:t>Purpuric</w:t>
            </w:r>
            <w:r>
              <w:rPr>
                <w:color w:val="231F20"/>
                <w:spacing w:val="-12"/>
                <w:sz w:val="15"/>
              </w:rPr>
              <w:t> </w:t>
            </w:r>
            <w:r>
              <w:rPr>
                <w:color w:val="231F20"/>
                <w:sz w:val="15"/>
              </w:rPr>
              <w:t>papules,</w:t>
            </w:r>
            <w:r>
              <w:rPr>
                <w:color w:val="231F20"/>
                <w:spacing w:val="-11"/>
                <w:sz w:val="15"/>
              </w:rPr>
              <w:t> </w:t>
            </w:r>
            <w:r>
              <w:rPr>
                <w:color w:val="231F20"/>
                <w:sz w:val="15"/>
              </w:rPr>
              <w:t>especially</w:t>
            </w:r>
            <w:r>
              <w:rPr>
                <w:color w:val="231F20"/>
                <w:spacing w:val="-11"/>
                <w:sz w:val="15"/>
              </w:rPr>
              <w:t> </w:t>
            </w:r>
            <w:r>
              <w:rPr>
                <w:color w:val="231F20"/>
                <w:sz w:val="15"/>
              </w:rPr>
              <w:t>on the lower extremities; </w:t>
            </w:r>
            <w:r>
              <w:rPr>
                <w:color w:val="231F20"/>
                <w:spacing w:val="-4"/>
                <w:sz w:val="15"/>
              </w:rPr>
              <w:t>urticaria, hemorrhagic bullae, </w:t>
            </w:r>
            <w:r>
              <w:rPr>
                <w:color w:val="231F20"/>
                <w:sz w:val="15"/>
              </w:rPr>
              <w:t>digital necrosis, pustules, </w:t>
            </w:r>
            <w:r>
              <w:rPr>
                <w:color w:val="231F20"/>
                <w:spacing w:val="-2"/>
                <w:sz w:val="15"/>
              </w:rPr>
              <w:t>ulcers</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2"/>
                <w:sz w:val="15"/>
              </w:rPr>
              <w:t>Rarely</w:t>
            </w:r>
          </w:p>
        </w:tc>
      </w:tr>
      <w:tr>
        <w:trPr>
          <w:trHeight w:val="588" w:hRule="atLeast"/>
        </w:trPr>
        <w:tc>
          <w:tcPr>
            <w:tcW w:w="2078" w:type="dxa"/>
            <w:gridSpan w:val="2"/>
            <w:tcBorders>
              <w:top w:val="single" w:sz="4" w:space="0" w:color="FFFFFF"/>
              <w:bottom w:val="single" w:sz="4" w:space="0" w:color="FFFFFF"/>
            </w:tcBorders>
            <w:shd w:val="clear" w:color="auto" w:fill="E8F5F1"/>
          </w:tcPr>
          <w:p>
            <w:pPr>
              <w:pStyle w:val="TableParagraph"/>
              <w:spacing w:line="230" w:lineRule="auto" w:before="48"/>
              <w:ind w:left="205" w:hanging="112"/>
              <w:rPr>
                <w:sz w:val="15"/>
              </w:rPr>
            </w:pPr>
            <w:r>
              <w:rPr>
                <w:color w:val="231F20"/>
                <w:spacing w:val="-2"/>
                <w:sz w:val="15"/>
              </w:rPr>
              <w:t>Stevens-</w:t>
            </w:r>
            <w:r>
              <w:rPr>
                <w:color w:val="231F20"/>
                <w:spacing w:val="-2"/>
                <w:sz w:val="15"/>
              </w:rPr>
              <w:t>Johnson/toxic </w:t>
            </w:r>
            <w:r>
              <w:rPr>
                <w:color w:val="231F20"/>
                <w:sz w:val="15"/>
              </w:rPr>
              <w:t>epidermal</w:t>
            </w:r>
            <w:r>
              <w:rPr>
                <w:color w:val="231F20"/>
                <w:spacing w:val="-6"/>
                <w:sz w:val="15"/>
              </w:rPr>
              <w:t> </w:t>
            </w:r>
            <w:r>
              <w:rPr>
                <w:color w:val="231F20"/>
                <w:spacing w:val="-2"/>
                <w:sz w:val="15"/>
              </w:rPr>
              <w:t>necrolysis</w:t>
            </w:r>
          </w:p>
        </w:tc>
        <w:tc>
          <w:tcPr>
            <w:tcW w:w="3621" w:type="dxa"/>
            <w:tcBorders>
              <w:top w:val="single" w:sz="4" w:space="0" w:color="FFFFFF"/>
              <w:bottom w:val="single" w:sz="4" w:space="0" w:color="FFFFFF"/>
            </w:tcBorders>
            <w:shd w:val="clear" w:color="auto" w:fill="E8F5F1"/>
          </w:tcPr>
          <w:p>
            <w:pPr>
              <w:pStyle w:val="TableParagraph"/>
              <w:spacing w:line="230" w:lineRule="auto" w:before="48"/>
              <w:ind w:left="235" w:hanging="112"/>
              <w:rPr>
                <w:sz w:val="15"/>
              </w:rPr>
            </w:pPr>
            <w:r>
              <w:rPr>
                <w:color w:val="231F20"/>
                <w:spacing w:val="-2"/>
                <w:sz w:val="15"/>
              </w:rPr>
              <w:t>Sulfonamides, anticonvulsants, NSAIDs, </w:t>
            </w:r>
            <w:r>
              <w:rPr>
                <w:color w:val="231F20"/>
                <w:spacing w:val="-2"/>
                <w:sz w:val="15"/>
              </w:rPr>
              <w:t>allopurinol, dapsone</w:t>
            </w:r>
          </w:p>
        </w:tc>
        <w:tc>
          <w:tcPr>
            <w:tcW w:w="2291" w:type="dxa"/>
            <w:tcBorders>
              <w:top w:val="single" w:sz="4" w:space="0" w:color="FFFFFF"/>
              <w:bottom w:val="single" w:sz="4" w:space="0" w:color="FFFFFF"/>
            </w:tcBorders>
            <w:shd w:val="clear" w:color="auto" w:fill="E8F5F1"/>
          </w:tcPr>
          <w:p>
            <w:pPr>
              <w:pStyle w:val="TableParagraph"/>
              <w:spacing w:line="230" w:lineRule="auto" w:before="48"/>
              <w:ind w:left="216" w:right="492" w:hanging="112"/>
              <w:rPr>
                <w:sz w:val="15"/>
              </w:rPr>
            </w:pPr>
            <w:r>
              <w:rPr>
                <w:color w:val="231F20"/>
                <w:sz w:val="15"/>
              </w:rPr>
              <w:t>Target lesions, bullae, </w:t>
            </w:r>
            <w:r>
              <w:rPr>
                <w:color w:val="231F20"/>
                <w:spacing w:val="-2"/>
                <w:sz w:val="15"/>
              </w:rPr>
              <w:t>epidermal</w:t>
            </w:r>
            <w:r>
              <w:rPr>
                <w:color w:val="231F20"/>
                <w:spacing w:val="-10"/>
                <w:sz w:val="15"/>
              </w:rPr>
              <w:t> </w:t>
            </w:r>
            <w:r>
              <w:rPr>
                <w:color w:val="231F20"/>
                <w:spacing w:val="-2"/>
                <w:sz w:val="15"/>
              </w:rPr>
              <w:t>necrosis</w:t>
            </w:r>
            <w:r>
              <w:rPr>
                <w:color w:val="231F20"/>
                <w:spacing w:val="-9"/>
                <w:sz w:val="15"/>
              </w:rPr>
              <w:t> </w:t>
            </w:r>
            <w:r>
              <w:rPr>
                <w:color w:val="231F20"/>
                <w:spacing w:val="-2"/>
                <w:sz w:val="15"/>
              </w:rPr>
              <w:t>with detachment</w:t>
            </w:r>
          </w:p>
        </w:tc>
        <w:tc>
          <w:tcPr>
            <w:tcW w:w="1795" w:type="dxa"/>
            <w:tcBorders>
              <w:top w:val="single" w:sz="4" w:space="0" w:color="FFFFFF"/>
              <w:bottom w:val="single" w:sz="4" w:space="0" w:color="FFFFFF"/>
            </w:tcBorders>
            <w:shd w:val="clear" w:color="auto" w:fill="E8F5F1"/>
          </w:tcPr>
          <w:p>
            <w:pPr>
              <w:pStyle w:val="TableParagraph"/>
              <w:spacing w:before="42"/>
              <w:ind w:left="382"/>
              <w:rPr>
                <w:sz w:val="15"/>
              </w:rPr>
            </w:pPr>
            <w:r>
              <w:rPr>
                <w:color w:val="231F20"/>
                <w:spacing w:val="-2"/>
                <w:sz w:val="15"/>
              </w:rPr>
              <w:t>Present</w:t>
            </w:r>
          </w:p>
        </w:tc>
      </w:tr>
      <w:tr>
        <w:trPr>
          <w:trHeight w:val="583" w:hRule="atLeast"/>
        </w:trPr>
        <w:tc>
          <w:tcPr>
            <w:tcW w:w="2078" w:type="dxa"/>
            <w:gridSpan w:val="2"/>
            <w:tcBorders>
              <w:top w:val="single" w:sz="4" w:space="0" w:color="FFFFFF"/>
              <w:bottom w:val="single" w:sz="8" w:space="0" w:color="231F20"/>
            </w:tcBorders>
            <w:shd w:val="clear" w:color="auto" w:fill="E8F5F1"/>
          </w:tcPr>
          <w:p>
            <w:pPr>
              <w:pStyle w:val="TableParagraph"/>
              <w:spacing w:before="42"/>
              <w:ind w:left="93"/>
              <w:rPr>
                <w:sz w:val="15"/>
              </w:rPr>
            </w:pPr>
            <w:r>
              <w:rPr>
                <w:color w:val="231F20"/>
                <w:sz w:val="15"/>
              </w:rPr>
              <w:t>Drug-induced</w:t>
            </w:r>
            <w:r>
              <w:rPr>
                <w:color w:val="231F20"/>
                <w:spacing w:val="27"/>
                <w:sz w:val="15"/>
              </w:rPr>
              <w:t> </w:t>
            </w:r>
            <w:r>
              <w:rPr>
                <w:color w:val="231F20"/>
                <w:spacing w:val="-2"/>
                <w:sz w:val="15"/>
              </w:rPr>
              <w:t>lupus</w:t>
            </w:r>
          </w:p>
        </w:tc>
        <w:tc>
          <w:tcPr>
            <w:tcW w:w="3621" w:type="dxa"/>
            <w:tcBorders>
              <w:top w:val="single" w:sz="4" w:space="0" w:color="FFFFFF"/>
              <w:bottom w:val="single" w:sz="8" w:space="0" w:color="231F20"/>
            </w:tcBorders>
            <w:shd w:val="clear" w:color="auto" w:fill="E8F5F1"/>
          </w:tcPr>
          <w:p>
            <w:pPr>
              <w:pStyle w:val="TableParagraph"/>
              <w:spacing w:line="230" w:lineRule="auto" w:before="48"/>
              <w:ind w:left="235" w:right="165" w:hanging="112"/>
              <w:rPr>
                <w:sz w:val="15"/>
              </w:rPr>
            </w:pPr>
            <w:r>
              <w:rPr>
                <w:color w:val="231F20"/>
                <w:spacing w:val="-2"/>
                <w:sz w:val="15"/>
              </w:rPr>
              <w:t>Minocycline,</w:t>
            </w:r>
            <w:r>
              <w:rPr>
                <w:color w:val="231F20"/>
                <w:spacing w:val="-10"/>
                <w:sz w:val="15"/>
              </w:rPr>
              <w:t> </w:t>
            </w:r>
            <w:r>
              <w:rPr>
                <w:color w:val="231F20"/>
                <w:spacing w:val="-2"/>
                <w:sz w:val="15"/>
              </w:rPr>
              <w:t>procainamide,</w:t>
            </w:r>
            <w:r>
              <w:rPr>
                <w:color w:val="231F20"/>
                <w:spacing w:val="-9"/>
                <w:sz w:val="15"/>
              </w:rPr>
              <w:t> </w:t>
            </w:r>
            <w:r>
              <w:rPr>
                <w:color w:val="231F20"/>
                <w:spacing w:val="-2"/>
                <w:sz w:val="15"/>
              </w:rPr>
              <w:t>hydralazine,</w:t>
            </w:r>
            <w:r>
              <w:rPr>
                <w:color w:val="231F20"/>
                <w:spacing w:val="-9"/>
                <w:sz w:val="15"/>
              </w:rPr>
              <w:t> </w:t>
            </w:r>
            <w:r>
              <w:rPr>
                <w:color w:val="231F20"/>
                <w:spacing w:val="-2"/>
                <w:sz w:val="15"/>
              </w:rPr>
              <w:t>isoniazid, </w:t>
            </w:r>
            <w:r>
              <w:rPr>
                <w:color w:val="231F20"/>
                <w:sz w:val="15"/>
              </w:rPr>
              <w:t>penicillamine,</w:t>
            </w:r>
            <w:r>
              <w:rPr>
                <w:color w:val="231F20"/>
                <w:spacing w:val="-12"/>
                <w:sz w:val="15"/>
              </w:rPr>
              <w:t> </w:t>
            </w:r>
            <w:r>
              <w:rPr>
                <w:color w:val="231F20"/>
                <w:sz w:val="15"/>
              </w:rPr>
              <w:t>carbamazepine,</w:t>
            </w:r>
            <w:r>
              <w:rPr>
                <w:color w:val="231F20"/>
                <w:spacing w:val="-11"/>
                <w:sz w:val="15"/>
              </w:rPr>
              <w:t> </w:t>
            </w:r>
            <w:r>
              <w:rPr>
                <w:color w:val="231F20"/>
                <w:sz w:val="15"/>
              </w:rPr>
              <w:t>chlorpromazine, </w:t>
            </w:r>
            <w:r>
              <w:rPr>
                <w:color w:val="231F20"/>
                <w:spacing w:val="-2"/>
                <w:sz w:val="15"/>
              </w:rPr>
              <w:t>infliximab</w:t>
            </w:r>
          </w:p>
        </w:tc>
        <w:tc>
          <w:tcPr>
            <w:tcW w:w="2291" w:type="dxa"/>
            <w:tcBorders>
              <w:top w:val="single" w:sz="4" w:space="0" w:color="FFFFFF"/>
              <w:bottom w:val="single" w:sz="8" w:space="0" w:color="231F20"/>
            </w:tcBorders>
            <w:shd w:val="clear" w:color="auto" w:fill="E8F5F1"/>
          </w:tcPr>
          <w:p>
            <w:pPr>
              <w:pStyle w:val="TableParagraph"/>
              <w:spacing w:line="230" w:lineRule="auto" w:before="48"/>
              <w:ind w:left="216" w:right="100" w:hanging="112"/>
              <w:rPr>
                <w:sz w:val="15"/>
              </w:rPr>
            </w:pPr>
            <w:r>
              <w:rPr>
                <w:color w:val="231F20"/>
                <w:spacing w:val="-2"/>
                <w:sz w:val="15"/>
              </w:rPr>
              <w:t>Rarely</w:t>
            </w:r>
            <w:r>
              <w:rPr>
                <w:color w:val="231F20"/>
                <w:spacing w:val="-10"/>
                <w:sz w:val="15"/>
              </w:rPr>
              <w:t> </w:t>
            </w:r>
            <w:r>
              <w:rPr>
                <w:color w:val="231F20"/>
                <w:spacing w:val="-2"/>
                <w:sz w:val="15"/>
              </w:rPr>
              <w:t>has</w:t>
            </w:r>
            <w:r>
              <w:rPr>
                <w:color w:val="231F20"/>
                <w:spacing w:val="-9"/>
                <w:sz w:val="15"/>
              </w:rPr>
              <w:t> </w:t>
            </w:r>
            <w:r>
              <w:rPr>
                <w:color w:val="231F20"/>
                <w:spacing w:val="-2"/>
                <w:sz w:val="15"/>
              </w:rPr>
              <w:t>skin</w:t>
            </w:r>
            <w:r>
              <w:rPr>
                <w:color w:val="231F20"/>
                <w:spacing w:val="-9"/>
                <w:sz w:val="15"/>
              </w:rPr>
              <w:t> </w:t>
            </w:r>
            <w:r>
              <w:rPr>
                <w:color w:val="231F20"/>
                <w:spacing w:val="-2"/>
                <w:sz w:val="15"/>
              </w:rPr>
              <w:t>manifestations </w:t>
            </w:r>
            <w:r>
              <w:rPr>
                <w:color w:val="231F20"/>
                <w:sz w:val="15"/>
              </w:rPr>
              <w:t>but may be urticarial, vasculitic, erythematous</w:t>
            </w:r>
          </w:p>
        </w:tc>
        <w:tc>
          <w:tcPr>
            <w:tcW w:w="1795" w:type="dxa"/>
            <w:tcBorders>
              <w:top w:val="single" w:sz="4" w:space="0" w:color="FFFFFF"/>
              <w:bottom w:val="single" w:sz="8" w:space="0" w:color="231F20"/>
            </w:tcBorders>
            <w:shd w:val="clear" w:color="auto" w:fill="E8F5F1"/>
          </w:tcPr>
          <w:p>
            <w:pPr>
              <w:pStyle w:val="TableParagraph"/>
              <w:spacing w:before="42"/>
              <w:ind w:left="382"/>
              <w:rPr>
                <w:sz w:val="15"/>
              </w:rPr>
            </w:pPr>
            <w:r>
              <w:rPr>
                <w:color w:val="231F20"/>
                <w:spacing w:val="-4"/>
                <w:sz w:val="15"/>
              </w:rPr>
              <w:t>Rare</w:t>
            </w:r>
          </w:p>
        </w:tc>
      </w:tr>
    </w:tbl>
    <w:p>
      <w:pPr>
        <w:pStyle w:val="TableParagraph"/>
        <w:spacing w:after="0"/>
        <w:rPr>
          <w:sz w:val="15"/>
        </w:rPr>
        <w:sectPr>
          <w:headerReference w:type="default" r:id="rId332"/>
          <w:pgSz w:w="11900" w:h="16840"/>
          <w:pgMar w:header="0" w:footer="0" w:top="380" w:bottom="280" w:left="708" w:right="1133"/>
        </w:sectPr>
      </w:pPr>
    </w:p>
    <w:p>
      <w:pPr>
        <w:pStyle w:val="BodyText"/>
        <w:spacing w:before="82"/>
        <w:ind w:left="146"/>
      </w:pPr>
      <w:r>
        <w:rPr>
          <w:color w:val="231F20"/>
        </w:rPr>
        <w:t>NSAIDs,</w:t>
      </w:r>
      <w:r>
        <w:rPr>
          <w:color w:val="231F20"/>
          <w:spacing w:val="1"/>
        </w:rPr>
        <w:t> </w:t>
      </w:r>
      <w:r>
        <w:rPr>
          <w:color w:val="231F20"/>
        </w:rPr>
        <w:t>nonsteroidal</w:t>
      </w:r>
      <w:r>
        <w:rPr>
          <w:color w:val="231F20"/>
          <w:spacing w:val="1"/>
        </w:rPr>
        <w:t> </w:t>
      </w:r>
      <w:r>
        <w:rPr>
          <w:color w:val="231F20"/>
        </w:rPr>
        <w:t>antiinflammatory</w:t>
      </w:r>
      <w:r>
        <w:rPr>
          <w:color w:val="231F20"/>
          <w:spacing w:val="1"/>
        </w:rPr>
        <w:t> </w:t>
      </w:r>
      <w:r>
        <w:rPr>
          <w:color w:val="231F20"/>
        </w:rPr>
        <w:t>drugs;</w:t>
      </w:r>
      <w:r>
        <w:rPr>
          <w:color w:val="231F20"/>
          <w:spacing w:val="1"/>
        </w:rPr>
        <w:t> </w:t>
      </w:r>
      <w:r>
        <w:rPr>
          <w:color w:val="231F20"/>
        </w:rPr>
        <w:t>TNF,</w:t>
      </w:r>
      <w:r>
        <w:rPr>
          <w:color w:val="231F20"/>
          <w:spacing w:val="2"/>
        </w:rPr>
        <w:t> </w:t>
      </w:r>
      <w:r>
        <w:rPr>
          <w:color w:val="231F20"/>
        </w:rPr>
        <w:t>tumor</w:t>
      </w:r>
      <w:r>
        <w:rPr>
          <w:color w:val="231F20"/>
          <w:spacing w:val="1"/>
        </w:rPr>
        <w:t> </w:t>
      </w:r>
      <w:r>
        <w:rPr>
          <w:color w:val="231F20"/>
        </w:rPr>
        <w:t>necrosis</w:t>
      </w:r>
      <w:r>
        <w:rPr>
          <w:color w:val="231F20"/>
          <w:spacing w:val="1"/>
        </w:rPr>
        <w:t> </w:t>
      </w:r>
      <w:r>
        <w:rPr>
          <w:color w:val="231F20"/>
          <w:spacing w:val="-2"/>
        </w:rPr>
        <w:t>factor.</w:t>
      </w:r>
    </w:p>
    <w:p>
      <w:pPr>
        <w:pStyle w:val="BodyText"/>
        <w:spacing w:before="9"/>
        <w:rPr>
          <w:sz w:val="6"/>
        </w:rPr>
      </w:pP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8"/>
        <w:gridCol w:w="3555"/>
      </w:tblGrid>
      <w:tr>
        <w:trPr>
          <w:trHeight w:val="373" w:hRule="atLeast"/>
        </w:trPr>
        <w:tc>
          <w:tcPr>
            <w:tcW w:w="1148" w:type="dxa"/>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646-</w:t>
            </w:r>
            <w:r>
              <w:rPr>
                <w:b/>
                <w:color w:val="FFFFFF"/>
                <w:spacing w:val="-10"/>
                <w:w w:val="105"/>
                <w:sz w:val="16"/>
              </w:rPr>
              <w:t>1</w:t>
            </w:r>
          </w:p>
        </w:tc>
        <w:tc>
          <w:tcPr>
            <w:tcW w:w="3555" w:type="dxa"/>
            <w:tcBorders>
              <w:left w:val="single" w:sz="8" w:space="0" w:color="FFFFFF"/>
            </w:tcBorders>
            <w:shd w:val="clear" w:color="auto" w:fill="231F20"/>
          </w:tcPr>
          <w:p>
            <w:pPr>
              <w:pStyle w:val="TableParagraph"/>
              <w:spacing w:before="89"/>
              <w:ind w:left="73"/>
              <w:rPr>
                <w:sz w:val="16"/>
              </w:rPr>
            </w:pPr>
            <w:r>
              <w:rPr>
                <w:color w:val="FFFFFF"/>
                <w:w w:val="105"/>
                <w:sz w:val="16"/>
              </w:rPr>
              <w:t>Potency</w:t>
            </w:r>
            <w:r>
              <w:rPr>
                <w:color w:val="FFFFFF"/>
                <w:spacing w:val="4"/>
                <w:w w:val="105"/>
                <w:sz w:val="16"/>
              </w:rPr>
              <w:t> </w:t>
            </w:r>
            <w:r>
              <w:rPr>
                <w:color w:val="FFFFFF"/>
                <w:w w:val="105"/>
                <w:sz w:val="16"/>
              </w:rPr>
              <w:t>of</w:t>
            </w:r>
            <w:r>
              <w:rPr>
                <w:color w:val="FFFFFF"/>
                <w:spacing w:val="5"/>
                <w:w w:val="105"/>
                <w:sz w:val="16"/>
              </w:rPr>
              <w:t> </w:t>
            </w:r>
            <w:r>
              <w:rPr>
                <w:color w:val="FFFFFF"/>
                <w:w w:val="105"/>
                <w:sz w:val="16"/>
              </w:rPr>
              <w:t>Topical</w:t>
            </w:r>
            <w:r>
              <w:rPr>
                <w:color w:val="FFFFFF"/>
                <w:spacing w:val="5"/>
                <w:w w:val="105"/>
                <w:sz w:val="16"/>
              </w:rPr>
              <w:t> </w:t>
            </w:r>
            <w:r>
              <w:rPr>
                <w:color w:val="FFFFFF"/>
                <w:spacing w:val="-2"/>
                <w:w w:val="105"/>
                <w:sz w:val="16"/>
              </w:rPr>
              <w:t>Glucocorticosteroids</w:t>
            </w:r>
          </w:p>
        </w:tc>
      </w:tr>
      <w:tr>
        <w:trPr>
          <w:trHeight w:val="763" w:hRule="atLeast"/>
        </w:trPr>
        <w:tc>
          <w:tcPr>
            <w:tcW w:w="4703" w:type="dxa"/>
            <w:gridSpan w:val="2"/>
            <w:tcBorders>
              <w:bottom w:val="single" w:sz="4" w:space="0" w:color="FFFFFF"/>
            </w:tcBorders>
            <w:shd w:val="clear" w:color="auto" w:fill="E8F5F1"/>
          </w:tcPr>
          <w:p>
            <w:pPr>
              <w:pStyle w:val="TableParagraph"/>
              <w:spacing w:line="172" w:lineRule="exact" w:before="48"/>
              <w:ind w:left="74"/>
              <w:rPr>
                <w:sz w:val="15"/>
              </w:rPr>
            </w:pPr>
            <w:r>
              <w:rPr>
                <w:color w:val="231F20"/>
                <w:w w:val="110"/>
                <w:sz w:val="15"/>
              </w:rPr>
              <w:t>CLASS</w:t>
            </w:r>
            <w:r>
              <w:rPr>
                <w:color w:val="231F20"/>
                <w:spacing w:val="15"/>
                <w:w w:val="110"/>
                <w:sz w:val="15"/>
              </w:rPr>
              <w:t> </w:t>
            </w:r>
            <w:r>
              <w:rPr>
                <w:color w:val="231F20"/>
                <w:w w:val="110"/>
                <w:sz w:val="15"/>
              </w:rPr>
              <w:t>1—</w:t>
            </w:r>
            <w:r>
              <w:rPr>
                <w:color w:val="231F20"/>
                <w:spacing w:val="-2"/>
                <w:w w:val="110"/>
                <w:sz w:val="15"/>
              </w:rPr>
              <w:t>SUPERPOTENT</w:t>
            </w:r>
          </w:p>
          <w:p>
            <w:pPr>
              <w:pStyle w:val="TableParagraph"/>
              <w:spacing w:line="230" w:lineRule="auto" w:before="3"/>
              <w:ind w:left="74" w:right="1221"/>
              <w:rPr>
                <w:sz w:val="15"/>
              </w:rPr>
            </w:pPr>
            <w:r>
              <w:rPr>
                <w:color w:val="231F20"/>
                <w:sz w:val="15"/>
              </w:rPr>
              <w:t>Betamethasone</w:t>
            </w:r>
            <w:r>
              <w:rPr>
                <w:color w:val="231F20"/>
                <w:spacing w:val="-11"/>
                <w:sz w:val="15"/>
              </w:rPr>
              <w:t> </w:t>
            </w:r>
            <w:r>
              <w:rPr>
                <w:color w:val="231F20"/>
                <w:sz w:val="15"/>
              </w:rPr>
              <w:t>dipropionate,</w:t>
            </w:r>
            <w:r>
              <w:rPr>
                <w:color w:val="231F20"/>
                <w:spacing w:val="-11"/>
                <w:sz w:val="15"/>
              </w:rPr>
              <w:t> </w:t>
            </w:r>
            <w:r>
              <w:rPr>
                <w:color w:val="231F20"/>
                <w:sz w:val="15"/>
              </w:rPr>
              <w:t>0.05%</w:t>
            </w:r>
            <w:r>
              <w:rPr>
                <w:color w:val="231F20"/>
                <w:spacing w:val="-11"/>
                <w:sz w:val="15"/>
              </w:rPr>
              <w:t> </w:t>
            </w:r>
            <w:r>
              <w:rPr>
                <w:color w:val="231F20"/>
                <w:sz w:val="15"/>
              </w:rPr>
              <w:t>gel,</w:t>
            </w:r>
            <w:r>
              <w:rPr>
                <w:color w:val="231F20"/>
                <w:spacing w:val="-11"/>
                <w:sz w:val="15"/>
              </w:rPr>
              <w:t> </w:t>
            </w:r>
            <w:r>
              <w:rPr>
                <w:color w:val="231F20"/>
                <w:sz w:val="15"/>
              </w:rPr>
              <w:t>ointment Clobetasol propionate cream, ointment, 0.05% Halobetasol propionate cream, ointment, 0.05%</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CLASS</w:t>
            </w:r>
            <w:r>
              <w:rPr>
                <w:color w:val="231F20"/>
                <w:spacing w:val="-13"/>
                <w:w w:val="115"/>
                <w:sz w:val="15"/>
              </w:rPr>
              <w:t> </w:t>
            </w:r>
            <w:r>
              <w:rPr>
                <w:color w:val="231F20"/>
                <w:w w:val="115"/>
                <w:sz w:val="15"/>
              </w:rPr>
              <w:t>2—</w:t>
            </w:r>
            <w:r>
              <w:rPr>
                <w:color w:val="231F20"/>
                <w:spacing w:val="-2"/>
                <w:w w:val="115"/>
                <w:sz w:val="15"/>
              </w:rPr>
              <w:t>POTENT</w:t>
            </w:r>
          </w:p>
          <w:p>
            <w:pPr>
              <w:pStyle w:val="TableParagraph"/>
              <w:spacing w:line="230" w:lineRule="auto" w:before="3"/>
              <w:ind w:left="74" w:right="849"/>
              <w:rPr>
                <w:sz w:val="15"/>
              </w:rPr>
            </w:pPr>
            <w:r>
              <w:rPr>
                <w:color w:val="231F20"/>
                <w:sz w:val="15"/>
              </w:rPr>
              <w:t>Betamethasone dipropionate cream 0.05% Desoximetasone</w:t>
            </w:r>
            <w:r>
              <w:rPr>
                <w:color w:val="231F20"/>
                <w:spacing w:val="-3"/>
                <w:sz w:val="15"/>
              </w:rPr>
              <w:t> </w:t>
            </w:r>
            <w:r>
              <w:rPr>
                <w:color w:val="231F20"/>
                <w:sz w:val="15"/>
              </w:rPr>
              <w:t>cream,</w:t>
            </w:r>
            <w:r>
              <w:rPr>
                <w:color w:val="231F20"/>
                <w:spacing w:val="-3"/>
                <w:sz w:val="15"/>
              </w:rPr>
              <w:t> </w:t>
            </w:r>
            <w:r>
              <w:rPr>
                <w:color w:val="231F20"/>
                <w:sz w:val="15"/>
              </w:rPr>
              <w:t>ointment,</w:t>
            </w:r>
            <w:r>
              <w:rPr>
                <w:color w:val="231F20"/>
                <w:spacing w:val="-3"/>
                <w:sz w:val="15"/>
              </w:rPr>
              <w:t> </w:t>
            </w:r>
            <w:r>
              <w:rPr>
                <w:color w:val="231F20"/>
                <w:sz w:val="15"/>
              </w:rPr>
              <w:t>gel</w:t>
            </w:r>
            <w:r>
              <w:rPr>
                <w:color w:val="231F20"/>
                <w:spacing w:val="-3"/>
                <w:sz w:val="15"/>
              </w:rPr>
              <w:t> </w:t>
            </w:r>
            <w:r>
              <w:rPr>
                <w:color w:val="231F20"/>
                <w:sz w:val="15"/>
              </w:rPr>
              <w:t>0.05%</w:t>
            </w:r>
            <w:r>
              <w:rPr>
                <w:color w:val="231F20"/>
                <w:spacing w:val="-3"/>
                <w:sz w:val="15"/>
              </w:rPr>
              <w:t> </w:t>
            </w:r>
            <w:r>
              <w:rPr>
                <w:color w:val="231F20"/>
                <w:sz w:val="15"/>
              </w:rPr>
              <w:t>and</w:t>
            </w:r>
            <w:r>
              <w:rPr>
                <w:color w:val="231F20"/>
                <w:spacing w:val="-3"/>
                <w:sz w:val="15"/>
              </w:rPr>
              <w:t> </w:t>
            </w:r>
            <w:r>
              <w:rPr>
                <w:color w:val="231F20"/>
                <w:sz w:val="15"/>
              </w:rPr>
              <w:t>0.25% Fluocinonide cream, ointment, gel, 0.05%</w:t>
            </w:r>
          </w:p>
        </w:tc>
      </w:tr>
      <w:tr>
        <w:trPr>
          <w:trHeight w:val="1094"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CLASS</w:t>
            </w:r>
            <w:r>
              <w:rPr>
                <w:color w:val="231F20"/>
                <w:spacing w:val="13"/>
                <w:w w:val="110"/>
                <w:sz w:val="15"/>
              </w:rPr>
              <w:t> </w:t>
            </w:r>
            <w:r>
              <w:rPr>
                <w:color w:val="231F20"/>
                <w:w w:val="110"/>
                <w:sz w:val="15"/>
              </w:rPr>
              <w:t>3—UPPER</w:t>
            </w:r>
            <w:r>
              <w:rPr>
                <w:color w:val="231F20"/>
                <w:spacing w:val="13"/>
                <w:w w:val="110"/>
                <w:sz w:val="15"/>
              </w:rPr>
              <w:t> </w:t>
            </w:r>
            <w:r>
              <w:rPr>
                <w:color w:val="231F20"/>
                <w:w w:val="110"/>
                <w:sz w:val="15"/>
              </w:rPr>
              <w:t>MID-</w:t>
            </w:r>
            <w:r>
              <w:rPr>
                <w:color w:val="231F20"/>
                <w:spacing w:val="-2"/>
                <w:w w:val="110"/>
                <w:sz w:val="15"/>
              </w:rPr>
              <w:t>STRENGTH</w:t>
            </w:r>
          </w:p>
          <w:p>
            <w:pPr>
              <w:pStyle w:val="TableParagraph"/>
              <w:spacing w:line="230" w:lineRule="auto" w:before="3"/>
              <w:ind w:left="74" w:right="1476"/>
              <w:rPr>
                <w:sz w:val="15"/>
              </w:rPr>
            </w:pPr>
            <w:r>
              <w:rPr>
                <w:color w:val="231F20"/>
                <w:sz w:val="15"/>
              </w:rPr>
              <w:t>Betamethasone</w:t>
            </w:r>
            <w:r>
              <w:rPr>
                <w:color w:val="231F20"/>
                <w:spacing w:val="-11"/>
                <w:sz w:val="15"/>
              </w:rPr>
              <w:t> </w:t>
            </w:r>
            <w:r>
              <w:rPr>
                <w:color w:val="231F20"/>
                <w:sz w:val="15"/>
              </w:rPr>
              <w:t>dipropionate</w:t>
            </w:r>
            <w:r>
              <w:rPr>
                <w:color w:val="231F20"/>
                <w:spacing w:val="-11"/>
                <w:sz w:val="15"/>
              </w:rPr>
              <w:t> </w:t>
            </w:r>
            <w:r>
              <w:rPr>
                <w:color w:val="231F20"/>
                <w:sz w:val="15"/>
              </w:rPr>
              <w:t>cream,</w:t>
            </w:r>
            <w:r>
              <w:rPr>
                <w:color w:val="231F20"/>
                <w:spacing w:val="-11"/>
                <w:sz w:val="15"/>
              </w:rPr>
              <w:t> </w:t>
            </w:r>
            <w:r>
              <w:rPr>
                <w:color w:val="231F20"/>
                <w:sz w:val="15"/>
              </w:rPr>
              <w:t>0.05% Betamethasone valerate ointment, 0.1% Fluticasone propionate ointment, 0.005% Mometasone furoate ointment, 0.1% Triamcinolone acetonide cream, 0.5%</w:t>
            </w:r>
          </w:p>
        </w:tc>
      </w:tr>
      <w:tr>
        <w:trPr>
          <w:trHeight w:val="758"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CLASS</w:t>
            </w:r>
            <w:r>
              <w:rPr>
                <w:color w:val="231F20"/>
                <w:spacing w:val="25"/>
                <w:w w:val="110"/>
                <w:sz w:val="15"/>
              </w:rPr>
              <w:t> </w:t>
            </w:r>
            <w:r>
              <w:rPr>
                <w:color w:val="231F20"/>
                <w:w w:val="110"/>
                <w:sz w:val="15"/>
              </w:rPr>
              <w:t>4—MID-</w:t>
            </w:r>
            <w:r>
              <w:rPr>
                <w:color w:val="231F20"/>
                <w:spacing w:val="-2"/>
                <w:w w:val="110"/>
                <w:sz w:val="15"/>
              </w:rPr>
              <w:t>STRENGTH</w:t>
            </w:r>
          </w:p>
          <w:p>
            <w:pPr>
              <w:pStyle w:val="TableParagraph"/>
              <w:spacing w:line="230" w:lineRule="auto" w:before="3"/>
              <w:ind w:left="74" w:right="1768"/>
              <w:rPr>
                <w:sz w:val="15"/>
              </w:rPr>
            </w:pPr>
            <w:r>
              <w:rPr>
                <w:color w:val="231F20"/>
                <w:sz w:val="15"/>
              </w:rPr>
              <w:t>Desoximetasone cream, 0.05% Fluocinolone</w:t>
            </w:r>
            <w:r>
              <w:rPr>
                <w:color w:val="231F20"/>
                <w:spacing w:val="-12"/>
                <w:sz w:val="15"/>
              </w:rPr>
              <w:t> </w:t>
            </w:r>
            <w:r>
              <w:rPr>
                <w:color w:val="231F20"/>
                <w:sz w:val="15"/>
              </w:rPr>
              <w:t>acetonide</w:t>
            </w:r>
            <w:r>
              <w:rPr>
                <w:color w:val="231F20"/>
                <w:spacing w:val="-11"/>
                <w:sz w:val="15"/>
              </w:rPr>
              <w:t> </w:t>
            </w:r>
            <w:r>
              <w:rPr>
                <w:color w:val="231F20"/>
                <w:sz w:val="15"/>
              </w:rPr>
              <w:t>ointment,</w:t>
            </w:r>
            <w:r>
              <w:rPr>
                <w:color w:val="231F20"/>
                <w:spacing w:val="-11"/>
                <w:sz w:val="15"/>
              </w:rPr>
              <w:t> </w:t>
            </w:r>
            <w:r>
              <w:rPr>
                <w:color w:val="231F20"/>
                <w:sz w:val="15"/>
              </w:rPr>
              <w:t>0.025% Triamcinolone acetonide ointment, 0.1%</w:t>
            </w:r>
          </w:p>
        </w:tc>
      </w:tr>
      <w:tr>
        <w:trPr>
          <w:trHeight w:val="926"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0"/>
                <w:sz w:val="15"/>
              </w:rPr>
              <w:t>CLASS</w:t>
            </w:r>
            <w:r>
              <w:rPr>
                <w:color w:val="231F20"/>
                <w:spacing w:val="20"/>
                <w:w w:val="110"/>
                <w:sz w:val="15"/>
              </w:rPr>
              <w:t> </w:t>
            </w:r>
            <w:r>
              <w:rPr>
                <w:color w:val="231F20"/>
                <w:w w:val="110"/>
                <w:sz w:val="15"/>
              </w:rPr>
              <w:t>5—LOWER</w:t>
            </w:r>
            <w:r>
              <w:rPr>
                <w:color w:val="231F20"/>
                <w:spacing w:val="20"/>
                <w:w w:val="110"/>
                <w:sz w:val="15"/>
              </w:rPr>
              <w:t> </w:t>
            </w:r>
            <w:r>
              <w:rPr>
                <w:color w:val="231F20"/>
                <w:w w:val="110"/>
                <w:sz w:val="15"/>
              </w:rPr>
              <w:t>MID-</w:t>
            </w:r>
            <w:r>
              <w:rPr>
                <w:color w:val="231F20"/>
                <w:spacing w:val="-2"/>
                <w:w w:val="110"/>
                <w:sz w:val="15"/>
              </w:rPr>
              <w:t>STRENGTH</w:t>
            </w:r>
          </w:p>
          <w:p>
            <w:pPr>
              <w:pStyle w:val="TableParagraph"/>
              <w:spacing w:line="230" w:lineRule="auto" w:before="3"/>
              <w:ind w:left="74" w:right="1670"/>
              <w:rPr>
                <w:sz w:val="15"/>
              </w:rPr>
            </w:pPr>
            <w:r>
              <w:rPr>
                <w:color w:val="231F20"/>
                <w:sz w:val="15"/>
              </w:rPr>
              <w:t>Betamethasone</w:t>
            </w:r>
            <w:r>
              <w:rPr>
                <w:color w:val="231F20"/>
                <w:spacing w:val="-12"/>
                <w:sz w:val="15"/>
              </w:rPr>
              <w:t> </w:t>
            </w:r>
            <w:r>
              <w:rPr>
                <w:color w:val="231F20"/>
                <w:sz w:val="15"/>
              </w:rPr>
              <w:t>valerate</w:t>
            </w:r>
            <w:r>
              <w:rPr>
                <w:color w:val="231F20"/>
                <w:spacing w:val="-11"/>
                <w:sz w:val="15"/>
              </w:rPr>
              <w:t> </w:t>
            </w:r>
            <w:r>
              <w:rPr>
                <w:color w:val="231F20"/>
                <w:sz w:val="15"/>
              </w:rPr>
              <w:t>cream/lotion,</w:t>
            </w:r>
            <w:r>
              <w:rPr>
                <w:color w:val="231F20"/>
                <w:spacing w:val="-11"/>
                <w:sz w:val="15"/>
              </w:rPr>
              <w:t> </w:t>
            </w:r>
            <w:r>
              <w:rPr>
                <w:color w:val="231F20"/>
                <w:sz w:val="15"/>
              </w:rPr>
              <w:t>0.1% Fluocinolone acetonide cream, 0.025% Fluticasone propionate cream, 0.05% </w:t>
            </w:r>
            <w:r>
              <w:rPr>
                <w:color w:val="231F20"/>
                <w:spacing w:val="-2"/>
                <w:sz w:val="15"/>
              </w:rPr>
              <w:t>Triamcinolone</w:t>
            </w:r>
            <w:r>
              <w:rPr>
                <w:color w:val="231F20"/>
                <w:spacing w:val="-5"/>
                <w:sz w:val="15"/>
              </w:rPr>
              <w:t> </w:t>
            </w:r>
            <w:r>
              <w:rPr>
                <w:color w:val="231F20"/>
                <w:spacing w:val="-2"/>
                <w:sz w:val="15"/>
              </w:rPr>
              <w:t>acetonide</w:t>
            </w:r>
            <w:r>
              <w:rPr>
                <w:color w:val="231F20"/>
                <w:spacing w:val="-5"/>
                <w:sz w:val="15"/>
              </w:rPr>
              <w:t> </w:t>
            </w:r>
            <w:r>
              <w:rPr>
                <w:color w:val="231F20"/>
                <w:spacing w:val="-2"/>
                <w:sz w:val="15"/>
              </w:rPr>
              <w:t>cream/lotion,</w:t>
            </w:r>
            <w:r>
              <w:rPr>
                <w:color w:val="231F20"/>
                <w:spacing w:val="-5"/>
                <w:sz w:val="15"/>
              </w:rPr>
              <w:t> </w:t>
            </w:r>
            <w:r>
              <w:rPr>
                <w:color w:val="231F20"/>
                <w:spacing w:val="-2"/>
                <w:sz w:val="15"/>
              </w:rPr>
              <w:t>0.1%</w:t>
            </w:r>
          </w:p>
        </w:tc>
      </w:tr>
      <w:tr>
        <w:trPr>
          <w:trHeight w:val="423" w:hRule="atLeast"/>
        </w:trPr>
        <w:tc>
          <w:tcPr>
            <w:tcW w:w="4703" w:type="dxa"/>
            <w:gridSpan w:val="2"/>
            <w:tcBorders>
              <w:top w:val="single" w:sz="4" w:space="0" w:color="FFFFFF"/>
              <w:bottom w:val="single" w:sz="4" w:space="0" w:color="FFFFFF"/>
            </w:tcBorders>
            <w:shd w:val="clear" w:color="auto" w:fill="E8F5F1"/>
          </w:tcPr>
          <w:p>
            <w:pPr>
              <w:pStyle w:val="TableParagraph"/>
              <w:spacing w:line="172" w:lineRule="exact" w:before="43"/>
              <w:ind w:left="74"/>
              <w:rPr>
                <w:sz w:val="15"/>
              </w:rPr>
            </w:pPr>
            <w:r>
              <w:rPr>
                <w:color w:val="231F20"/>
                <w:w w:val="115"/>
                <w:sz w:val="15"/>
              </w:rPr>
              <w:t>CLASS 6—MILD</w:t>
            </w:r>
            <w:r>
              <w:rPr>
                <w:color w:val="231F20"/>
                <w:spacing w:val="1"/>
                <w:w w:val="115"/>
                <w:sz w:val="15"/>
              </w:rPr>
              <w:t> </w:t>
            </w:r>
            <w:r>
              <w:rPr>
                <w:color w:val="231F20"/>
                <w:spacing w:val="-2"/>
                <w:w w:val="115"/>
                <w:sz w:val="15"/>
              </w:rPr>
              <w:t>STRENGTH</w:t>
            </w:r>
          </w:p>
          <w:p>
            <w:pPr>
              <w:pStyle w:val="TableParagraph"/>
              <w:spacing w:line="172" w:lineRule="exact"/>
              <w:ind w:left="74"/>
              <w:rPr>
                <w:sz w:val="15"/>
              </w:rPr>
            </w:pPr>
            <w:r>
              <w:rPr>
                <w:color w:val="231F20"/>
                <w:sz w:val="15"/>
              </w:rPr>
              <w:t>Desonide</w:t>
            </w:r>
            <w:r>
              <w:rPr>
                <w:color w:val="231F20"/>
                <w:spacing w:val="1"/>
                <w:sz w:val="15"/>
              </w:rPr>
              <w:t> </w:t>
            </w:r>
            <w:r>
              <w:rPr>
                <w:color w:val="231F20"/>
                <w:sz w:val="15"/>
              </w:rPr>
              <w:t>cream,</w:t>
            </w:r>
            <w:r>
              <w:rPr>
                <w:color w:val="231F20"/>
                <w:spacing w:val="2"/>
                <w:sz w:val="15"/>
              </w:rPr>
              <w:t> </w:t>
            </w:r>
            <w:r>
              <w:rPr>
                <w:color w:val="231F20"/>
                <w:spacing w:val="-2"/>
                <w:sz w:val="15"/>
              </w:rPr>
              <w:t>0.05%</w:t>
            </w:r>
          </w:p>
        </w:tc>
      </w:tr>
      <w:tr>
        <w:trPr>
          <w:trHeight w:val="595" w:hRule="atLeast"/>
        </w:trPr>
        <w:tc>
          <w:tcPr>
            <w:tcW w:w="4703" w:type="dxa"/>
            <w:gridSpan w:val="2"/>
            <w:tcBorders>
              <w:top w:val="single" w:sz="4" w:space="0" w:color="FFFFFF"/>
              <w:bottom w:val="single" w:sz="8" w:space="0" w:color="231F20"/>
            </w:tcBorders>
            <w:shd w:val="clear" w:color="auto" w:fill="E8F5F1"/>
          </w:tcPr>
          <w:p>
            <w:pPr>
              <w:pStyle w:val="TableParagraph"/>
              <w:spacing w:before="43"/>
              <w:ind w:left="74"/>
              <w:rPr>
                <w:sz w:val="15"/>
              </w:rPr>
            </w:pPr>
            <w:r>
              <w:rPr>
                <w:color w:val="231F20"/>
                <w:w w:val="115"/>
                <w:sz w:val="15"/>
              </w:rPr>
              <w:t>CLASS</w:t>
            </w:r>
            <w:r>
              <w:rPr>
                <w:color w:val="231F20"/>
                <w:spacing w:val="-13"/>
                <w:w w:val="115"/>
                <w:sz w:val="15"/>
              </w:rPr>
              <w:t> </w:t>
            </w:r>
            <w:r>
              <w:rPr>
                <w:color w:val="231F20"/>
                <w:w w:val="115"/>
                <w:sz w:val="15"/>
              </w:rPr>
              <w:t>7—LEAST</w:t>
            </w:r>
            <w:r>
              <w:rPr>
                <w:color w:val="231F20"/>
                <w:spacing w:val="-13"/>
                <w:w w:val="115"/>
                <w:sz w:val="15"/>
              </w:rPr>
              <w:t> </w:t>
            </w:r>
            <w:r>
              <w:rPr>
                <w:color w:val="231F20"/>
                <w:spacing w:val="-2"/>
                <w:w w:val="115"/>
                <w:sz w:val="15"/>
              </w:rPr>
              <w:t>POTENT</w:t>
            </w:r>
          </w:p>
          <w:p>
            <w:pPr>
              <w:pStyle w:val="TableParagraph"/>
              <w:spacing w:line="230" w:lineRule="auto" w:before="11"/>
              <w:ind w:left="186" w:hanging="112"/>
              <w:rPr>
                <w:sz w:val="15"/>
              </w:rPr>
            </w:pPr>
            <w:r>
              <w:rPr>
                <w:color w:val="231F20"/>
                <w:spacing w:val="-2"/>
                <w:sz w:val="15"/>
              </w:rPr>
              <w:t>Topicals with hydrocortisone, dexamethasone, </w:t>
            </w:r>
            <w:r>
              <w:rPr>
                <w:color w:val="231F20"/>
                <w:spacing w:val="-2"/>
                <w:sz w:val="15"/>
              </w:rPr>
              <w:t>flumethasone, </w:t>
            </w:r>
            <w:r>
              <w:rPr>
                <w:color w:val="231F20"/>
                <w:sz w:val="15"/>
              </w:rPr>
              <w:t>methylprednisolone, and prednisolone</w:t>
            </w:r>
          </w:p>
        </w:tc>
      </w:tr>
    </w:tbl>
    <w:p>
      <w:pPr>
        <w:spacing w:line="240" w:lineRule="auto" w:before="3" w:after="0"/>
        <w:rPr>
          <w:sz w:val="16"/>
        </w:rPr>
      </w:pPr>
      <w:r>
        <w:rPr/>
        <w:br w:type="column"/>
      </w:r>
      <w:r>
        <w:rPr>
          <w:sz w:val="16"/>
        </w:rPr>
      </w:r>
    </w:p>
    <w:tbl>
      <w:tblPr>
        <w:tblW w:w="0" w:type="auto"/>
        <w:jc w:val="left"/>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
        <w:gridCol w:w="375"/>
        <w:gridCol w:w="2238"/>
        <w:gridCol w:w="1317"/>
      </w:tblGrid>
      <w:tr>
        <w:trPr>
          <w:trHeight w:val="559" w:hRule="atLeast"/>
        </w:trPr>
        <w:tc>
          <w:tcPr>
            <w:tcW w:w="1147" w:type="dxa"/>
            <w:gridSpan w:val="2"/>
            <w:tcBorders>
              <w:right w:val="single" w:sz="8" w:space="0" w:color="FFFFFF"/>
            </w:tcBorders>
            <w:shd w:val="clear" w:color="auto" w:fill="231F20"/>
          </w:tcPr>
          <w:p>
            <w:pPr>
              <w:pStyle w:val="TableParagraph"/>
              <w:spacing w:before="89"/>
              <w:ind w:left="111"/>
              <w:rPr>
                <w:b/>
                <w:sz w:val="16"/>
              </w:rPr>
            </w:pPr>
            <w:r>
              <w:rPr>
                <w:b/>
                <w:color w:val="FFFFFF"/>
                <w:w w:val="105"/>
                <w:sz w:val="16"/>
              </w:rPr>
              <w:t>Table</w:t>
            </w:r>
            <w:r>
              <w:rPr>
                <w:b/>
                <w:color w:val="FFFFFF"/>
                <w:spacing w:val="-3"/>
                <w:w w:val="105"/>
                <w:sz w:val="16"/>
              </w:rPr>
              <w:t> </w:t>
            </w:r>
            <w:r>
              <w:rPr>
                <w:b/>
                <w:color w:val="FFFFFF"/>
                <w:w w:val="105"/>
                <w:sz w:val="16"/>
              </w:rPr>
              <w:t>648-</w:t>
            </w:r>
            <w:r>
              <w:rPr>
                <w:b/>
                <w:color w:val="FFFFFF"/>
                <w:spacing w:val="-10"/>
                <w:w w:val="105"/>
                <w:sz w:val="16"/>
              </w:rPr>
              <w:t>1</w:t>
            </w:r>
          </w:p>
        </w:tc>
        <w:tc>
          <w:tcPr>
            <w:tcW w:w="3555" w:type="dxa"/>
            <w:gridSpan w:val="2"/>
            <w:tcBorders>
              <w:left w:val="single" w:sz="8" w:space="0" w:color="FFFFFF"/>
            </w:tcBorders>
            <w:shd w:val="clear" w:color="auto" w:fill="231F20"/>
          </w:tcPr>
          <w:p>
            <w:pPr>
              <w:pStyle w:val="TableParagraph"/>
              <w:spacing w:before="89"/>
              <w:ind w:left="74" w:right="613"/>
              <w:rPr>
                <w:sz w:val="16"/>
              </w:rPr>
            </w:pPr>
            <w:r>
              <w:rPr>
                <w:color w:val="FFFFFF"/>
                <w:w w:val="105"/>
                <w:sz w:val="16"/>
              </w:rPr>
              <w:t>Freiden’s</w:t>
            </w:r>
            <w:r>
              <w:rPr>
                <w:color w:val="FFFFFF"/>
                <w:spacing w:val="-12"/>
                <w:w w:val="105"/>
                <w:sz w:val="16"/>
              </w:rPr>
              <w:t> </w:t>
            </w:r>
            <w:r>
              <w:rPr>
                <w:color w:val="FFFFFF"/>
                <w:w w:val="105"/>
                <w:sz w:val="16"/>
              </w:rPr>
              <w:t>Classification</w:t>
            </w:r>
            <w:r>
              <w:rPr>
                <w:color w:val="FFFFFF"/>
                <w:spacing w:val="-12"/>
                <w:w w:val="105"/>
                <w:sz w:val="16"/>
              </w:rPr>
              <w:t> </w:t>
            </w:r>
            <w:r>
              <w:rPr>
                <w:color w:val="FFFFFF"/>
                <w:w w:val="105"/>
                <w:sz w:val="16"/>
              </w:rPr>
              <w:t>of</w:t>
            </w:r>
            <w:r>
              <w:rPr>
                <w:color w:val="FFFFFF"/>
                <w:spacing w:val="-12"/>
                <w:w w:val="105"/>
                <w:sz w:val="16"/>
              </w:rPr>
              <w:t> </w:t>
            </w:r>
            <w:r>
              <w:rPr>
                <w:color w:val="FFFFFF"/>
                <w:w w:val="105"/>
                <w:sz w:val="16"/>
              </w:rPr>
              <w:t>Aplasia Cutis Congenita</w:t>
            </w:r>
          </w:p>
        </w:tc>
      </w:tr>
      <w:tr>
        <w:trPr>
          <w:trHeight w:val="257" w:hRule="atLeast"/>
        </w:trPr>
        <w:tc>
          <w:tcPr>
            <w:tcW w:w="772" w:type="dxa"/>
            <w:tcBorders>
              <w:bottom w:val="single" w:sz="4" w:space="0" w:color="231F20"/>
            </w:tcBorders>
            <w:shd w:val="clear" w:color="auto" w:fill="E8F5F1"/>
          </w:tcPr>
          <w:p>
            <w:pPr>
              <w:pStyle w:val="TableParagraph"/>
              <w:spacing w:before="47"/>
              <w:ind w:left="74"/>
              <w:rPr>
                <w:b/>
                <w:sz w:val="15"/>
              </w:rPr>
            </w:pPr>
            <w:r>
              <w:rPr>
                <w:b/>
                <w:color w:val="231F20"/>
                <w:spacing w:val="-2"/>
                <w:w w:val="110"/>
                <w:sz w:val="15"/>
              </w:rPr>
              <w:t>GROUP</w:t>
            </w:r>
          </w:p>
        </w:tc>
        <w:tc>
          <w:tcPr>
            <w:tcW w:w="2613" w:type="dxa"/>
            <w:gridSpan w:val="2"/>
            <w:tcBorders>
              <w:bottom w:val="single" w:sz="4" w:space="0" w:color="231F20"/>
            </w:tcBorders>
            <w:shd w:val="clear" w:color="auto" w:fill="E8F5F1"/>
          </w:tcPr>
          <w:p>
            <w:pPr>
              <w:pStyle w:val="TableParagraph"/>
              <w:spacing w:before="47"/>
              <w:ind w:left="867"/>
              <w:rPr>
                <w:b/>
                <w:sz w:val="15"/>
              </w:rPr>
            </w:pPr>
            <w:r>
              <w:rPr>
                <w:b/>
                <w:color w:val="231F20"/>
                <w:spacing w:val="-2"/>
                <w:w w:val="110"/>
                <w:sz w:val="15"/>
              </w:rPr>
              <w:t>DEFINITION</w:t>
            </w:r>
          </w:p>
        </w:tc>
        <w:tc>
          <w:tcPr>
            <w:tcW w:w="1317" w:type="dxa"/>
            <w:tcBorders>
              <w:bottom w:val="single" w:sz="4" w:space="0" w:color="231F20"/>
            </w:tcBorders>
            <w:shd w:val="clear" w:color="auto" w:fill="E8F5F1"/>
          </w:tcPr>
          <w:p>
            <w:pPr>
              <w:pStyle w:val="TableParagraph"/>
              <w:spacing w:before="47"/>
              <w:ind w:left="182"/>
              <w:rPr>
                <w:b/>
                <w:sz w:val="15"/>
              </w:rPr>
            </w:pPr>
            <w:r>
              <w:rPr>
                <w:b/>
                <w:color w:val="231F20"/>
                <w:spacing w:val="-2"/>
                <w:w w:val="110"/>
                <w:sz w:val="15"/>
              </w:rPr>
              <w:t>INHERITANCE</w:t>
            </w:r>
          </w:p>
        </w:tc>
      </w:tr>
      <w:tr>
        <w:trPr>
          <w:trHeight w:val="593" w:hRule="atLeast"/>
        </w:trPr>
        <w:tc>
          <w:tcPr>
            <w:tcW w:w="772" w:type="dxa"/>
            <w:tcBorders>
              <w:top w:val="single" w:sz="4" w:space="0" w:color="231F20"/>
              <w:bottom w:val="single" w:sz="4" w:space="0" w:color="FFFFFF"/>
            </w:tcBorders>
            <w:shd w:val="clear" w:color="auto" w:fill="E8F5F1"/>
          </w:tcPr>
          <w:p>
            <w:pPr>
              <w:pStyle w:val="TableParagraph"/>
              <w:spacing w:before="47"/>
              <w:ind w:left="74"/>
              <w:rPr>
                <w:sz w:val="15"/>
              </w:rPr>
            </w:pPr>
            <w:r>
              <w:rPr>
                <w:color w:val="231F20"/>
                <w:spacing w:val="-10"/>
                <w:sz w:val="15"/>
              </w:rPr>
              <w:t>1</w:t>
            </w:r>
          </w:p>
        </w:tc>
        <w:tc>
          <w:tcPr>
            <w:tcW w:w="2613" w:type="dxa"/>
            <w:gridSpan w:val="2"/>
            <w:tcBorders>
              <w:top w:val="single" w:sz="4" w:space="0" w:color="231F20"/>
              <w:bottom w:val="single" w:sz="4" w:space="0" w:color="FFFFFF"/>
            </w:tcBorders>
            <w:shd w:val="clear" w:color="auto" w:fill="E8F5F1"/>
          </w:tcPr>
          <w:p>
            <w:pPr>
              <w:pStyle w:val="TableParagraph"/>
              <w:spacing w:line="230" w:lineRule="auto" w:before="52"/>
              <w:ind w:left="268" w:right="222" w:hanging="112"/>
              <w:rPr>
                <w:sz w:val="15"/>
              </w:rPr>
            </w:pPr>
            <w:r>
              <w:rPr>
                <w:color w:val="231F20"/>
                <w:spacing w:val="-2"/>
                <w:sz w:val="15"/>
              </w:rPr>
              <w:t>Isolated</w:t>
            </w:r>
            <w:r>
              <w:rPr>
                <w:color w:val="231F20"/>
                <w:spacing w:val="-7"/>
                <w:sz w:val="15"/>
              </w:rPr>
              <w:t> </w:t>
            </w:r>
            <w:r>
              <w:rPr>
                <w:color w:val="231F20"/>
                <w:spacing w:val="-2"/>
                <w:sz w:val="15"/>
              </w:rPr>
              <w:t>scalp</w:t>
            </w:r>
            <w:r>
              <w:rPr>
                <w:color w:val="231F20"/>
                <w:spacing w:val="-7"/>
                <w:sz w:val="15"/>
              </w:rPr>
              <w:t> </w:t>
            </w:r>
            <w:r>
              <w:rPr>
                <w:color w:val="231F20"/>
                <w:spacing w:val="-2"/>
                <w:sz w:val="15"/>
              </w:rPr>
              <w:t>involvement;</w:t>
            </w:r>
            <w:r>
              <w:rPr>
                <w:color w:val="231F20"/>
                <w:spacing w:val="-7"/>
                <w:sz w:val="15"/>
              </w:rPr>
              <w:t> </w:t>
            </w:r>
            <w:r>
              <w:rPr>
                <w:color w:val="231F20"/>
                <w:spacing w:val="-2"/>
                <w:sz w:val="15"/>
              </w:rPr>
              <w:t>may </w:t>
            </w:r>
            <w:r>
              <w:rPr>
                <w:color w:val="231F20"/>
                <w:sz w:val="15"/>
              </w:rPr>
              <w:t>be associated with single </w:t>
            </w:r>
            <w:r>
              <w:rPr>
                <w:color w:val="231F20"/>
                <w:spacing w:val="-2"/>
                <w:sz w:val="15"/>
              </w:rPr>
              <w:t>defects</w:t>
            </w:r>
          </w:p>
        </w:tc>
        <w:tc>
          <w:tcPr>
            <w:tcW w:w="1317" w:type="dxa"/>
            <w:tcBorders>
              <w:top w:val="single" w:sz="4" w:space="0" w:color="231F20"/>
              <w:bottom w:val="single" w:sz="4" w:space="0" w:color="FFFFFF"/>
            </w:tcBorders>
            <w:shd w:val="clear" w:color="auto" w:fill="E8F5F1"/>
          </w:tcPr>
          <w:p>
            <w:pPr>
              <w:pStyle w:val="TableParagraph"/>
              <w:spacing w:before="47"/>
              <w:ind w:left="151"/>
              <w:rPr>
                <w:sz w:val="15"/>
              </w:rPr>
            </w:pPr>
            <w:r>
              <w:rPr>
                <w:color w:val="231F20"/>
                <w:spacing w:val="-5"/>
                <w:w w:val="115"/>
                <w:sz w:val="15"/>
              </w:rPr>
              <w:t>AD</w:t>
            </w:r>
          </w:p>
        </w:tc>
      </w:tr>
      <w:tr>
        <w:trPr>
          <w:trHeight w:val="756" w:hRule="atLeast"/>
        </w:trPr>
        <w:tc>
          <w:tcPr>
            <w:tcW w:w="772" w:type="dxa"/>
            <w:tcBorders>
              <w:top w:val="single" w:sz="4" w:space="0" w:color="FFFFFF"/>
              <w:bottom w:val="single" w:sz="4" w:space="0" w:color="FFFFFF"/>
            </w:tcBorders>
            <w:shd w:val="clear" w:color="auto" w:fill="E8F5F1"/>
          </w:tcPr>
          <w:p>
            <w:pPr>
              <w:pStyle w:val="TableParagraph"/>
              <w:spacing w:before="42"/>
              <w:ind w:left="74"/>
              <w:rPr>
                <w:sz w:val="15"/>
              </w:rPr>
            </w:pPr>
            <w:r>
              <w:rPr>
                <w:color w:val="231F20"/>
                <w:spacing w:val="-10"/>
                <w:sz w:val="15"/>
              </w:rPr>
              <w:t>2</w:t>
            </w:r>
          </w:p>
        </w:tc>
        <w:tc>
          <w:tcPr>
            <w:tcW w:w="2613" w:type="dxa"/>
            <w:gridSpan w:val="2"/>
            <w:tcBorders>
              <w:top w:val="single" w:sz="4" w:space="0" w:color="FFFFFF"/>
              <w:bottom w:val="single" w:sz="4" w:space="0" w:color="FFFFFF"/>
            </w:tcBorders>
            <w:shd w:val="clear" w:color="auto" w:fill="E8F5F1"/>
          </w:tcPr>
          <w:p>
            <w:pPr>
              <w:pStyle w:val="TableParagraph"/>
              <w:spacing w:line="230" w:lineRule="auto" w:before="48"/>
              <w:ind w:left="268" w:right="222" w:hanging="112"/>
              <w:rPr>
                <w:sz w:val="15"/>
              </w:rPr>
            </w:pPr>
            <w:r>
              <w:rPr>
                <w:color w:val="231F20"/>
                <w:sz w:val="15"/>
              </w:rPr>
              <w:t>Scalp ACC with limb reduction defects (Adams-Oliver syndrome);</w:t>
            </w:r>
            <w:r>
              <w:rPr>
                <w:color w:val="231F20"/>
                <w:spacing w:val="-12"/>
                <w:sz w:val="15"/>
              </w:rPr>
              <w:t> </w:t>
            </w:r>
            <w:r>
              <w:rPr>
                <w:color w:val="231F20"/>
                <w:sz w:val="15"/>
              </w:rPr>
              <w:t>may</w:t>
            </w:r>
            <w:r>
              <w:rPr>
                <w:color w:val="231F20"/>
                <w:spacing w:val="-11"/>
                <w:sz w:val="15"/>
              </w:rPr>
              <w:t> </w:t>
            </w:r>
            <w:r>
              <w:rPr>
                <w:color w:val="231F20"/>
                <w:sz w:val="15"/>
              </w:rPr>
              <w:t>be</w:t>
            </w:r>
            <w:r>
              <w:rPr>
                <w:color w:val="231F20"/>
                <w:spacing w:val="-11"/>
                <w:sz w:val="15"/>
              </w:rPr>
              <w:t> </w:t>
            </w:r>
            <w:r>
              <w:rPr>
                <w:color w:val="231F20"/>
                <w:sz w:val="15"/>
              </w:rPr>
              <w:t>associated with encephalocele</w:t>
            </w:r>
          </w:p>
        </w:tc>
        <w:tc>
          <w:tcPr>
            <w:tcW w:w="1317" w:type="dxa"/>
            <w:tcBorders>
              <w:top w:val="single" w:sz="4" w:space="0" w:color="FFFFFF"/>
              <w:bottom w:val="single" w:sz="4" w:space="0" w:color="FFFFFF"/>
            </w:tcBorders>
            <w:shd w:val="clear" w:color="auto" w:fill="E8F5F1"/>
          </w:tcPr>
          <w:p>
            <w:pPr>
              <w:pStyle w:val="TableParagraph"/>
              <w:spacing w:before="42"/>
              <w:ind w:left="151"/>
              <w:rPr>
                <w:sz w:val="15"/>
              </w:rPr>
            </w:pPr>
            <w:r>
              <w:rPr>
                <w:color w:val="231F20"/>
                <w:spacing w:val="-5"/>
                <w:w w:val="115"/>
                <w:sz w:val="15"/>
              </w:rPr>
              <w:t>AD</w:t>
            </w:r>
          </w:p>
        </w:tc>
      </w:tr>
      <w:tr>
        <w:trPr>
          <w:trHeight w:val="252" w:hRule="atLeast"/>
        </w:trPr>
        <w:tc>
          <w:tcPr>
            <w:tcW w:w="772"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10"/>
                <w:sz w:val="15"/>
              </w:rPr>
              <w:t>3</w:t>
            </w:r>
          </w:p>
        </w:tc>
        <w:tc>
          <w:tcPr>
            <w:tcW w:w="2613" w:type="dxa"/>
            <w:gridSpan w:val="2"/>
            <w:tcBorders>
              <w:top w:val="single" w:sz="4" w:space="0" w:color="FFFFFF"/>
              <w:bottom w:val="single" w:sz="4" w:space="0" w:color="FFFFFF"/>
            </w:tcBorders>
            <w:shd w:val="clear" w:color="auto" w:fill="E8F5F1"/>
          </w:tcPr>
          <w:p>
            <w:pPr>
              <w:pStyle w:val="TableParagraph"/>
              <w:spacing w:before="42"/>
              <w:ind w:left="156"/>
              <w:rPr>
                <w:sz w:val="15"/>
              </w:rPr>
            </w:pPr>
            <w:r>
              <w:rPr>
                <w:color w:val="231F20"/>
                <w:sz w:val="15"/>
              </w:rPr>
              <w:t>Scalp</w:t>
            </w:r>
            <w:r>
              <w:rPr>
                <w:color w:val="231F20"/>
                <w:spacing w:val="4"/>
                <w:sz w:val="15"/>
              </w:rPr>
              <w:t> </w:t>
            </w:r>
            <w:r>
              <w:rPr>
                <w:color w:val="231F20"/>
                <w:sz w:val="15"/>
              </w:rPr>
              <w:t>ACC</w:t>
            </w:r>
            <w:r>
              <w:rPr>
                <w:color w:val="231F20"/>
                <w:spacing w:val="5"/>
                <w:sz w:val="15"/>
              </w:rPr>
              <w:t> </w:t>
            </w:r>
            <w:r>
              <w:rPr>
                <w:color w:val="231F20"/>
                <w:sz w:val="15"/>
              </w:rPr>
              <w:t>with</w:t>
            </w:r>
            <w:r>
              <w:rPr>
                <w:color w:val="231F20"/>
                <w:spacing w:val="5"/>
                <w:sz w:val="15"/>
              </w:rPr>
              <w:t> </w:t>
            </w:r>
            <w:r>
              <w:rPr>
                <w:color w:val="231F20"/>
                <w:sz w:val="15"/>
              </w:rPr>
              <w:t>epidermal</w:t>
            </w:r>
            <w:r>
              <w:rPr>
                <w:color w:val="231F20"/>
                <w:spacing w:val="5"/>
                <w:sz w:val="15"/>
              </w:rPr>
              <w:t> </w:t>
            </w:r>
            <w:r>
              <w:rPr>
                <w:color w:val="231F20"/>
                <w:spacing w:val="-2"/>
                <w:sz w:val="15"/>
              </w:rPr>
              <w:t>nevus</w:t>
            </w:r>
          </w:p>
        </w:tc>
        <w:tc>
          <w:tcPr>
            <w:tcW w:w="1317" w:type="dxa"/>
            <w:tcBorders>
              <w:top w:val="single" w:sz="4" w:space="0" w:color="FFFFFF"/>
              <w:bottom w:val="single" w:sz="4" w:space="0" w:color="FFFFFF"/>
            </w:tcBorders>
            <w:shd w:val="clear" w:color="auto" w:fill="E8F5F1"/>
          </w:tcPr>
          <w:p>
            <w:pPr>
              <w:pStyle w:val="TableParagraph"/>
              <w:spacing w:before="42"/>
              <w:ind w:left="151"/>
              <w:rPr>
                <w:sz w:val="15"/>
              </w:rPr>
            </w:pPr>
            <w:r>
              <w:rPr>
                <w:color w:val="231F20"/>
                <w:spacing w:val="-2"/>
                <w:sz w:val="15"/>
              </w:rPr>
              <w:t>Sporadic</w:t>
            </w:r>
          </w:p>
        </w:tc>
      </w:tr>
      <w:tr>
        <w:trPr>
          <w:trHeight w:val="588" w:hRule="atLeast"/>
        </w:trPr>
        <w:tc>
          <w:tcPr>
            <w:tcW w:w="772"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10"/>
                <w:sz w:val="15"/>
              </w:rPr>
              <w:t>4</w:t>
            </w:r>
          </w:p>
        </w:tc>
        <w:tc>
          <w:tcPr>
            <w:tcW w:w="2613" w:type="dxa"/>
            <w:gridSpan w:val="2"/>
            <w:tcBorders>
              <w:top w:val="single" w:sz="4" w:space="0" w:color="FFFFFF"/>
              <w:bottom w:val="single" w:sz="4" w:space="0" w:color="FFFFFF"/>
            </w:tcBorders>
            <w:shd w:val="clear" w:color="auto" w:fill="E8F5F1"/>
          </w:tcPr>
          <w:p>
            <w:pPr>
              <w:pStyle w:val="TableParagraph"/>
              <w:spacing w:line="230" w:lineRule="auto" w:before="48"/>
              <w:ind w:left="268" w:hanging="112"/>
              <w:rPr>
                <w:sz w:val="15"/>
              </w:rPr>
            </w:pPr>
            <w:r>
              <w:rPr>
                <w:color w:val="231F20"/>
                <w:sz w:val="15"/>
              </w:rPr>
              <w:t>ACC overlying occult spinal </w:t>
            </w:r>
            <w:r>
              <w:rPr>
                <w:color w:val="231F20"/>
                <w:spacing w:val="-2"/>
                <w:sz w:val="15"/>
              </w:rPr>
              <w:t>dysraphism,</w:t>
            </w:r>
            <w:r>
              <w:rPr>
                <w:color w:val="231F20"/>
                <w:spacing w:val="-8"/>
                <w:sz w:val="15"/>
              </w:rPr>
              <w:t> </w:t>
            </w:r>
            <w:r>
              <w:rPr>
                <w:color w:val="231F20"/>
                <w:spacing w:val="-2"/>
                <w:sz w:val="15"/>
              </w:rPr>
              <w:t>spina</w:t>
            </w:r>
            <w:r>
              <w:rPr>
                <w:color w:val="231F20"/>
                <w:spacing w:val="-8"/>
                <w:sz w:val="15"/>
              </w:rPr>
              <w:t> </w:t>
            </w:r>
            <w:r>
              <w:rPr>
                <w:color w:val="231F20"/>
                <w:spacing w:val="-2"/>
                <w:sz w:val="15"/>
              </w:rPr>
              <w:t>bifida,</w:t>
            </w:r>
            <w:r>
              <w:rPr>
                <w:color w:val="231F20"/>
                <w:spacing w:val="-8"/>
                <w:sz w:val="15"/>
              </w:rPr>
              <w:t> </w:t>
            </w:r>
            <w:r>
              <w:rPr>
                <w:color w:val="231F20"/>
                <w:spacing w:val="-2"/>
                <w:sz w:val="15"/>
              </w:rPr>
              <w:t>or meningoencephalocele</w:t>
            </w:r>
          </w:p>
        </w:tc>
        <w:tc>
          <w:tcPr>
            <w:tcW w:w="1317" w:type="dxa"/>
            <w:tcBorders>
              <w:top w:val="single" w:sz="4" w:space="0" w:color="FFFFFF"/>
              <w:bottom w:val="single" w:sz="4" w:space="0" w:color="FFFFFF"/>
            </w:tcBorders>
            <w:shd w:val="clear" w:color="auto" w:fill="E8F5F1"/>
          </w:tcPr>
          <w:p>
            <w:pPr>
              <w:pStyle w:val="TableParagraph"/>
              <w:spacing w:before="42"/>
              <w:ind w:left="151"/>
              <w:rPr>
                <w:sz w:val="15"/>
              </w:rPr>
            </w:pPr>
            <w:r>
              <w:rPr>
                <w:color w:val="231F20"/>
                <w:spacing w:val="-2"/>
                <w:sz w:val="15"/>
              </w:rPr>
              <w:t>Sporadic</w:t>
            </w:r>
          </w:p>
        </w:tc>
      </w:tr>
      <w:tr>
        <w:trPr>
          <w:trHeight w:val="420" w:hRule="atLeast"/>
        </w:trPr>
        <w:tc>
          <w:tcPr>
            <w:tcW w:w="772"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10"/>
                <w:sz w:val="15"/>
              </w:rPr>
              <w:t>5</w:t>
            </w:r>
          </w:p>
        </w:tc>
        <w:tc>
          <w:tcPr>
            <w:tcW w:w="2613" w:type="dxa"/>
            <w:gridSpan w:val="2"/>
            <w:tcBorders>
              <w:top w:val="single" w:sz="4" w:space="0" w:color="FFFFFF"/>
              <w:bottom w:val="single" w:sz="4" w:space="0" w:color="FFFFFF"/>
            </w:tcBorders>
            <w:shd w:val="clear" w:color="auto" w:fill="E8F5F1"/>
          </w:tcPr>
          <w:p>
            <w:pPr>
              <w:pStyle w:val="TableParagraph"/>
              <w:spacing w:line="230" w:lineRule="auto" w:before="48"/>
              <w:ind w:left="269" w:right="222" w:hanging="112"/>
              <w:rPr>
                <w:sz w:val="15"/>
              </w:rPr>
            </w:pPr>
            <w:r>
              <w:rPr>
                <w:color w:val="231F20"/>
                <w:spacing w:val="-2"/>
                <w:sz w:val="15"/>
              </w:rPr>
              <w:t>ACC</w:t>
            </w:r>
            <w:r>
              <w:rPr>
                <w:color w:val="231F20"/>
                <w:spacing w:val="-10"/>
                <w:sz w:val="15"/>
              </w:rPr>
              <w:t> </w:t>
            </w:r>
            <w:r>
              <w:rPr>
                <w:color w:val="231F20"/>
                <w:spacing w:val="-2"/>
                <w:sz w:val="15"/>
              </w:rPr>
              <w:t>with</w:t>
            </w:r>
            <w:r>
              <w:rPr>
                <w:color w:val="231F20"/>
                <w:spacing w:val="-9"/>
                <w:sz w:val="15"/>
              </w:rPr>
              <w:t> </w:t>
            </w:r>
            <w:r>
              <w:rPr>
                <w:color w:val="231F20"/>
                <w:spacing w:val="-2"/>
                <w:sz w:val="15"/>
              </w:rPr>
              <w:t>placental</w:t>
            </w:r>
            <w:r>
              <w:rPr>
                <w:color w:val="231F20"/>
                <w:spacing w:val="-9"/>
                <w:sz w:val="15"/>
              </w:rPr>
              <w:t> </w:t>
            </w:r>
            <w:r>
              <w:rPr>
                <w:color w:val="231F20"/>
                <w:spacing w:val="-2"/>
                <w:sz w:val="15"/>
              </w:rPr>
              <w:t>infarcts,</w:t>
            </w:r>
            <w:r>
              <w:rPr>
                <w:color w:val="231F20"/>
                <w:spacing w:val="-10"/>
                <w:sz w:val="15"/>
              </w:rPr>
              <w:t> </w:t>
            </w:r>
            <w:r>
              <w:rPr>
                <w:color w:val="231F20"/>
                <w:spacing w:val="-2"/>
                <w:sz w:val="15"/>
              </w:rPr>
              <w:t>and/ </w:t>
            </w:r>
            <w:r>
              <w:rPr>
                <w:color w:val="231F20"/>
                <w:sz w:val="15"/>
              </w:rPr>
              <w:t>or fetus papyraceus</w:t>
            </w:r>
          </w:p>
        </w:tc>
        <w:tc>
          <w:tcPr>
            <w:tcW w:w="1317" w:type="dxa"/>
            <w:tcBorders>
              <w:top w:val="single" w:sz="4" w:space="0" w:color="FFFFFF"/>
              <w:bottom w:val="single" w:sz="4" w:space="0" w:color="FFFFFF"/>
            </w:tcBorders>
            <w:shd w:val="clear" w:color="auto" w:fill="E8F5F1"/>
          </w:tcPr>
          <w:p>
            <w:pPr>
              <w:pStyle w:val="TableParagraph"/>
              <w:spacing w:before="42"/>
              <w:ind w:left="151"/>
              <w:rPr>
                <w:sz w:val="15"/>
              </w:rPr>
            </w:pPr>
            <w:r>
              <w:rPr>
                <w:color w:val="231F20"/>
                <w:spacing w:val="-2"/>
                <w:sz w:val="15"/>
              </w:rPr>
              <w:t>Sporadic</w:t>
            </w:r>
          </w:p>
        </w:tc>
      </w:tr>
      <w:tr>
        <w:trPr>
          <w:trHeight w:val="252" w:hRule="atLeast"/>
        </w:trPr>
        <w:tc>
          <w:tcPr>
            <w:tcW w:w="772"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10"/>
                <w:sz w:val="15"/>
              </w:rPr>
              <w:t>6</w:t>
            </w:r>
          </w:p>
        </w:tc>
        <w:tc>
          <w:tcPr>
            <w:tcW w:w="2613" w:type="dxa"/>
            <w:gridSpan w:val="2"/>
            <w:tcBorders>
              <w:top w:val="single" w:sz="4" w:space="0" w:color="FFFFFF"/>
              <w:bottom w:val="single" w:sz="4" w:space="0" w:color="FFFFFF"/>
            </w:tcBorders>
            <w:shd w:val="clear" w:color="auto" w:fill="E8F5F1"/>
          </w:tcPr>
          <w:p>
            <w:pPr>
              <w:pStyle w:val="TableParagraph"/>
              <w:spacing w:before="42"/>
              <w:ind w:left="157"/>
              <w:rPr>
                <w:sz w:val="15"/>
              </w:rPr>
            </w:pPr>
            <w:r>
              <w:rPr>
                <w:color w:val="231F20"/>
                <w:sz w:val="15"/>
              </w:rPr>
              <w:t>ACC</w:t>
            </w:r>
            <w:r>
              <w:rPr>
                <w:color w:val="231F20"/>
                <w:spacing w:val="4"/>
                <w:sz w:val="15"/>
              </w:rPr>
              <w:t> </w:t>
            </w:r>
            <w:r>
              <w:rPr>
                <w:color w:val="231F20"/>
                <w:sz w:val="15"/>
              </w:rPr>
              <w:t>with</w:t>
            </w:r>
            <w:r>
              <w:rPr>
                <w:color w:val="231F20"/>
                <w:spacing w:val="4"/>
                <w:sz w:val="15"/>
              </w:rPr>
              <w:t> </w:t>
            </w:r>
            <w:r>
              <w:rPr>
                <w:color w:val="231F20"/>
                <w:sz w:val="15"/>
              </w:rPr>
              <w:t>epidermolysis</w:t>
            </w:r>
            <w:r>
              <w:rPr>
                <w:color w:val="231F20"/>
                <w:spacing w:val="5"/>
                <w:sz w:val="15"/>
              </w:rPr>
              <w:t> </w:t>
            </w:r>
            <w:r>
              <w:rPr>
                <w:color w:val="231F20"/>
                <w:spacing w:val="-2"/>
                <w:sz w:val="15"/>
              </w:rPr>
              <w:t>bullosa</w:t>
            </w:r>
          </w:p>
        </w:tc>
        <w:tc>
          <w:tcPr>
            <w:tcW w:w="1317" w:type="dxa"/>
            <w:tcBorders>
              <w:top w:val="single" w:sz="4" w:space="0" w:color="FFFFFF"/>
              <w:bottom w:val="single" w:sz="4" w:space="0" w:color="FFFFFF"/>
            </w:tcBorders>
            <w:shd w:val="clear" w:color="auto" w:fill="E8F5F1"/>
          </w:tcPr>
          <w:p>
            <w:pPr>
              <w:pStyle w:val="TableParagraph"/>
              <w:spacing w:before="42"/>
              <w:ind w:left="152"/>
              <w:rPr>
                <w:sz w:val="15"/>
              </w:rPr>
            </w:pPr>
            <w:r>
              <w:rPr>
                <w:color w:val="231F20"/>
                <w:w w:val="110"/>
                <w:sz w:val="15"/>
              </w:rPr>
              <w:t>AD</w:t>
            </w:r>
            <w:r>
              <w:rPr>
                <w:color w:val="231F20"/>
                <w:spacing w:val="-5"/>
                <w:w w:val="110"/>
                <w:sz w:val="15"/>
              </w:rPr>
              <w:t> </w:t>
            </w:r>
            <w:r>
              <w:rPr>
                <w:color w:val="231F20"/>
                <w:w w:val="110"/>
                <w:sz w:val="15"/>
              </w:rPr>
              <w:t>or</w:t>
            </w:r>
            <w:r>
              <w:rPr>
                <w:color w:val="231F20"/>
                <w:spacing w:val="-5"/>
                <w:w w:val="110"/>
                <w:sz w:val="15"/>
              </w:rPr>
              <w:t> AR</w:t>
            </w:r>
          </w:p>
        </w:tc>
      </w:tr>
      <w:tr>
        <w:trPr>
          <w:trHeight w:val="756" w:hRule="atLeast"/>
        </w:trPr>
        <w:tc>
          <w:tcPr>
            <w:tcW w:w="772"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10"/>
                <w:sz w:val="15"/>
              </w:rPr>
              <w:t>7</w:t>
            </w:r>
          </w:p>
        </w:tc>
        <w:tc>
          <w:tcPr>
            <w:tcW w:w="2613" w:type="dxa"/>
            <w:gridSpan w:val="2"/>
            <w:tcBorders>
              <w:top w:val="single" w:sz="4" w:space="0" w:color="FFFFFF"/>
              <w:bottom w:val="single" w:sz="4" w:space="0" w:color="FFFFFF"/>
            </w:tcBorders>
            <w:shd w:val="clear" w:color="auto" w:fill="E8F5F1"/>
          </w:tcPr>
          <w:p>
            <w:pPr>
              <w:pStyle w:val="TableParagraph"/>
              <w:spacing w:line="230" w:lineRule="auto" w:before="48"/>
              <w:ind w:left="269" w:right="222" w:hanging="112"/>
              <w:rPr>
                <w:sz w:val="15"/>
              </w:rPr>
            </w:pPr>
            <w:r>
              <w:rPr>
                <w:color w:val="231F20"/>
                <w:sz w:val="15"/>
              </w:rPr>
              <w:t>ACC localized to extremities without blistering; usually </w:t>
            </w:r>
            <w:r>
              <w:rPr>
                <w:color w:val="231F20"/>
                <w:spacing w:val="-2"/>
                <w:sz w:val="15"/>
              </w:rPr>
              <w:t>affecting</w:t>
            </w:r>
            <w:r>
              <w:rPr>
                <w:color w:val="231F20"/>
                <w:spacing w:val="-10"/>
                <w:sz w:val="15"/>
              </w:rPr>
              <w:t> </w:t>
            </w:r>
            <w:r>
              <w:rPr>
                <w:color w:val="231F20"/>
                <w:spacing w:val="-2"/>
                <w:sz w:val="15"/>
              </w:rPr>
              <w:t>pretibial</w:t>
            </w:r>
            <w:r>
              <w:rPr>
                <w:color w:val="231F20"/>
                <w:spacing w:val="-9"/>
                <w:sz w:val="15"/>
              </w:rPr>
              <w:t> </w:t>
            </w:r>
            <w:r>
              <w:rPr>
                <w:color w:val="231F20"/>
                <w:spacing w:val="-2"/>
                <w:sz w:val="15"/>
              </w:rPr>
              <w:t>areas</w:t>
            </w:r>
            <w:r>
              <w:rPr>
                <w:color w:val="231F20"/>
                <w:spacing w:val="-9"/>
                <w:sz w:val="15"/>
              </w:rPr>
              <w:t> </w:t>
            </w:r>
            <w:r>
              <w:rPr>
                <w:color w:val="231F20"/>
                <w:spacing w:val="-2"/>
                <w:sz w:val="15"/>
              </w:rPr>
              <w:t>and </w:t>
            </w:r>
            <w:r>
              <w:rPr>
                <w:color w:val="231F20"/>
                <w:sz w:val="15"/>
              </w:rPr>
              <w:t>dorsum of hands and feet</w:t>
            </w:r>
          </w:p>
        </w:tc>
        <w:tc>
          <w:tcPr>
            <w:tcW w:w="1317" w:type="dxa"/>
            <w:tcBorders>
              <w:top w:val="single" w:sz="4" w:space="0" w:color="FFFFFF"/>
              <w:bottom w:val="single" w:sz="4" w:space="0" w:color="FFFFFF"/>
            </w:tcBorders>
            <w:shd w:val="clear" w:color="auto" w:fill="E8F5F1"/>
          </w:tcPr>
          <w:p>
            <w:pPr>
              <w:pStyle w:val="TableParagraph"/>
              <w:spacing w:before="42"/>
              <w:ind w:left="152"/>
              <w:rPr>
                <w:sz w:val="15"/>
              </w:rPr>
            </w:pPr>
            <w:r>
              <w:rPr>
                <w:color w:val="231F20"/>
                <w:w w:val="110"/>
                <w:sz w:val="15"/>
              </w:rPr>
              <w:t>AD</w:t>
            </w:r>
            <w:r>
              <w:rPr>
                <w:color w:val="231F20"/>
                <w:spacing w:val="-5"/>
                <w:w w:val="110"/>
                <w:sz w:val="15"/>
              </w:rPr>
              <w:t> </w:t>
            </w:r>
            <w:r>
              <w:rPr>
                <w:color w:val="231F20"/>
                <w:w w:val="110"/>
                <w:sz w:val="15"/>
              </w:rPr>
              <w:t>or</w:t>
            </w:r>
            <w:r>
              <w:rPr>
                <w:color w:val="231F20"/>
                <w:spacing w:val="-5"/>
                <w:w w:val="110"/>
                <w:sz w:val="15"/>
              </w:rPr>
              <w:t> AR</w:t>
            </w:r>
          </w:p>
        </w:tc>
      </w:tr>
      <w:tr>
        <w:trPr>
          <w:trHeight w:val="420" w:hRule="atLeast"/>
        </w:trPr>
        <w:tc>
          <w:tcPr>
            <w:tcW w:w="772" w:type="dxa"/>
            <w:tcBorders>
              <w:top w:val="single" w:sz="4" w:space="0" w:color="FFFFFF"/>
              <w:bottom w:val="single" w:sz="4" w:space="0" w:color="FFFFFF"/>
            </w:tcBorders>
            <w:shd w:val="clear" w:color="auto" w:fill="E8F5F1"/>
          </w:tcPr>
          <w:p>
            <w:pPr>
              <w:pStyle w:val="TableParagraph"/>
              <w:spacing w:before="42"/>
              <w:ind w:left="75"/>
              <w:rPr>
                <w:sz w:val="15"/>
              </w:rPr>
            </w:pPr>
            <w:r>
              <w:rPr>
                <w:color w:val="231F20"/>
                <w:spacing w:val="-10"/>
                <w:sz w:val="15"/>
              </w:rPr>
              <w:t>8</w:t>
            </w:r>
          </w:p>
        </w:tc>
        <w:tc>
          <w:tcPr>
            <w:tcW w:w="2613" w:type="dxa"/>
            <w:gridSpan w:val="2"/>
            <w:tcBorders>
              <w:top w:val="single" w:sz="4" w:space="0" w:color="FFFFFF"/>
              <w:bottom w:val="single" w:sz="4" w:space="0" w:color="FFFFFF"/>
            </w:tcBorders>
            <w:shd w:val="clear" w:color="auto" w:fill="E8F5F1"/>
          </w:tcPr>
          <w:p>
            <w:pPr>
              <w:pStyle w:val="TableParagraph"/>
              <w:spacing w:line="230" w:lineRule="auto" w:before="48"/>
              <w:ind w:left="269" w:hanging="112"/>
              <w:rPr>
                <w:sz w:val="15"/>
              </w:rPr>
            </w:pPr>
            <w:r>
              <w:rPr>
                <w:color w:val="231F20"/>
                <w:sz w:val="15"/>
              </w:rPr>
              <w:t>ACC</w:t>
            </w:r>
            <w:r>
              <w:rPr>
                <w:color w:val="231F20"/>
                <w:spacing w:val="-6"/>
                <w:sz w:val="15"/>
              </w:rPr>
              <w:t> </w:t>
            </w:r>
            <w:r>
              <w:rPr>
                <w:color w:val="231F20"/>
                <w:sz w:val="15"/>
              </w:rPr>
              <w:t>caused</w:t>
            </w:r>
            <w:r>
              <w:rPr>
                <w:color w:val="231F20"/>
                <w:spacing w:val="-6"/>
                <w:sz w:val="15"/>
              </w:rPr>
              <w:t> </w:t>
            </w:r>
            <w:r>
              <w:rPr>
                <w:color w:val="231F20"/>
                <w:sz w:val="15"/>
              </w:rPr>
              <w:t>by</w:t>
            </w:r>
            <w:r>
              <w:rPr>
                <w:color w:val="231F20"/>
                <w:spacing w:val="-6"/>
                <w:sz w:val="15"/>
              </w:rPr>
              <w:t> </w:t>
            </w:r>
            <w:r>
              <w:rPr>
                <w:color w:val="231F20"/>
                <w:sz w:val="15"/>
              </w:rPr>
              <w:t>teratogens</w:t>
            </w:r>
            <w:r>
              <w:rPr>
                <w:color w:val="231F20"/>
                <w:spacing w:val="-6"/>
                <w:sz w:val="15"/>
              </w:rPr>
              <w:t> </w:t>
            </w:r>
            <w:r>
              <w:rPr>
                <w:color w:val="231F20"/>
                <w:sz w:val="15"/>
              </w:rPr>
              <w:t>(e.g., </w:t>
            </w:r>
            <w:r>
              <w:rPr>
                <w:color w:val="231F20"/>
                <w:spacing w:val="-4"/>
                <w:sz w:val="15"/>
              </w:rPr>
              <w:t>varicella,</w:t>
            </w:r>
            <w:r>
              <w:rPr>
                <w:color w:val="231F20"/>
                <w:spacing w:val="-5"/>
                <w:sz w:val="15"/>
              </w:rPr>
              <w:t> </w:t>
            </w:r>
            <w:r>
              <w:rPr>
                <w:color w:val="231F20"/>
                <w:spacing w:val="-4"/>
                <w:sz w:val="15"/>
              </w:rPr>
              <w:t>herpes, methimazole)</w:t>
            </w:r>
          </w:p>
        </w:tc>
        <w:tc>
          <w:tcPr>
            <w:tcW w:w="1317" w:type="dxa"/>
            <w:tcBorders>
              <w:top w:val="single" w:sz="4" w:space="0" w:color="FFFFFF"/>
              <w:bottom w:val="single" w:sz="4" w:space="0" w:color="FFFFFF"/>
            </w:tcBorders>
            <w:shd w:val="clear" w:color="auto" w:fill="E8F5F1"/>
          </w:tcPr>
          <w:p>
            <w:pPr>
              <w:pStyle w:val="TableParagraph"/>
              <w:spacing w:before="42"/>
              <w:ind w:left="152"/>
              <w:rPr>
                <w:sz w:val="15"/>
              </w:rPr>
            </w:pPr>
            <w:r>
              <w:rPr>
                <w:color w:val="231F20"/>
                <w:spacing w:val="-2"/>
                <w:sz w:val="15"/>
              </w:rPr>
              <w:t>Sporadic</w:t>
            </w:r>
          </w:p>
        </w:tc>
      </w:tr>
      <w:tr>
        <w:trPr>
          <w:trHeight w:val="1087" w:hRule="atLeast"/>
        </w:trPr>
        <w:tc>
          <w:tcPr>
            <w:tcW w:w="772" w:type="dxa"/>
            <w:tcBorders>
              <w:top w:val="single" w:sz="4" w:space="0" w:color="FFFFFF"/>
              <w:bottom w:val="single" w:sz="8" w:space="0" w:color="231F20"/>
            </w:tcBorders>
            <w:shd w:val="clear" w:color="auto" w:fill="E8F5F1"/>
          </w:tcPr>
          <w:p>
            <w:pPr>
              <w:pStyle w:val="TableParagraph"/>
              <w:spacing w:before="42"/>
              <w:ind w:left="75"/>
              <w:rPr>
                <w:sz w:val="15"/>
              </w:rPr>
            </w:pPr>
            <w:r>
              <w:rPr>
                <w:color w:val="231F20"/>
                <w:spacing w:val="-10"/>
                <w:sz w:val="15"/>
              </w:rPr>
              <w:t>9</w:t>
            </w:r>
          </w:p>
        </w:tc>
        <w:tc>
          <w:tcPr>
            <w:tcW w:w="2613" w:type="dxa"/>
            <w:gridSpan w:val="2"/>
            <w:tcBorders>
              <w:top w:val="single" w:sz="4" w:space="0" w:color="FFFFFF"/>
              <w:bottom w:val="single" w:sz="8" w:space="0" w:color="231F20"/>
            </w:tcBorders>
            <w:shd w:val="clear" w:color="auto" w:fill="E8F5F1"/>
          </w:tcPr>
          <w:p>
            <w:pPr>
              <w:pStyle w:val="TableParagraph"/>
              <w:spacing w:line="230" w:lineRule="auto" w:before="48"/>
              <w:ind w:left="269" w:right="145" w:hanging="112"/>
              <w:rPr>
                <w:sz w:val="15"/>
              </w:rPr>
            </w:pPr>
            <w:r>
              <w:rPr>
                <w:color w:val="231F20"/>
                <w:sz w:val="15"/>
              </w:rPr>
              <w:t>ACC</w:t>
            </w:r>
            <w:r>
              <w:rPr>
                <w:color w:val="231F20"/>
                <w:spacing w:val="-12"/>
                <w:sz w:val="15"/>
              </w:rPr>
              <w:t> </w:t>
            </w:r>
            <w:r>
              <w:rPr>
                <w:color w:val="231F20"/>
                <w:sz w:val="15"/>
              </w:rPr>
              <w:t>associated</w:t>
            </w:r>
            <w:r>
              <w:rPr>
                <w:color w:val="231F20"/>
                <w:spacing w:val="-11"/>
                <w:sz w:val="15"/>
              </w:rPr>
              <w:t> </w:t>
            </w:r>
            <w:r>
              <w:rPr>
                <w:color w:val="231F20"/>
                <w:sz w:val="15"/>
              </w:rPr>
              <w:t>with</w:t>
            </w:r>
            <w:r>
              <w:rPr>
                <w:color w:val="231F20"/>
                <w:spacing w:val="-11"/>
                <w:sz w:val="15"/>
              </w:rPr>
              <w:t> </w:t>
            </w:r>
            <w:r>
              <w:rPr>
                <w:color w:val="231F20"/>
                <w:sz w:val="15"/>
              </w:rPr>
              <w:t>malformation syndromes (e.g., trisomy 13, deletion 4p</w:t>
            </w:r>
            <w:r>
              <w:rPr>
                <w:rFonts w:ascii="Cambria" w:hAnsi="Cambria"/>
                <w:color w:val="231F20"/>
                <w:sz w:val="15"/>
              </w:rPr>
              <w:t>−</w:t>
            </w:r>
            <w:r>
              <w:rPr>
                <w:color w:val="231F20"/>
                <w:sz w:val="15"/>
              </w:rPr>
              <w:t>, deletion Xp22.1, ectodermal</w:t>
            </w:r>
            <w:r>
              <w:rPr>
                <w:color w:val="231F20"/>
                <w:spacing w:val="-12"/>
                <w:sz w:val="15"/>
              </w:rPr>
              <w:t> </w:t>
            </w:r>
            <w:r>
              <w:rPr>
                <w:color w:val="231F20"/>
                <w:sz w:val="15"/>
              </w:rPr>
              <w:t>dysplasia,</w:t>
            </w:r>
            <w:r>
              <w:rPr>
                <w:color w:val="231F20"/>
                <w:spacing w:val="-11"/>
                <w:sz w:val="15"/>
              </w:rPr>
              <w:t> </w:t>
            </w:r>
            <w:r>
              <w:rPr>
                <w:color w:val="231F20"/>
                <w:sz w:val="15"/>
              </w:rPr>
              <w:t>Johanson- Blizzard syndrome, Adams- Oliver syndrome)</w:t>
            </w:r>
          </w:p>
        </w:tc>
        <w:tc>
          <w:tcPr>
            <w:tcW w:w="1317" w:type="dxa"/>
            <w:tcBorders>
              <w:top w:val="single" w:sz="4" w:space="0" w:color="FFFFFF"/>
              <w:bottom w:val="single" w:sz="8" w:space="0" w:color="231F20"/>
            </w:tcBorders>
            <w:shd w:val="clear" w:color="auto" w:fill="E8F5F1"/>
          </w:tcPr>
          <w:p>
            <w:pPr>
              <w:pStyle w:val="TableParagraph"/>
              <w:spacing w:before="42"/>
              <w:ind w:left="152"/>
              <w:rPr>
                <w:sz w:val="15"/>
              </w:rPr>
            </w:pPr>
            <w:r>
              <w:rPr>
                <w:color w:val="231F20"/>
                <w:spacing w:val="-2"/>
                <w:sz w:val="15"/>
              </w:rPr>
              <w:t>Variable</w:t>
            </w:r>
          </w:p>
        </w:tc>
      </w:tr>
    </w:tbl>
    <w:p>
      <w:pPr>
        <w:pStyle w:val="BodyText"/>
        <w:spacing w:before="80"/>
        <w:ind w:left="128" w:right="610"/>
      </w:pPr>
      <w:r>
        <w:rPr>
          <w:color w:val="231F20"/>
        </w:rPr>
        <w:t>ACC, Aplasia cutis congenital; AD, autosomal dominant; AR, </w:t>
      </w:r>
      <w:r>
        <w:rPr>
          <w:color w:val="231F20"/>
        </w:rPr>
        <w:t>autosomal</w:t>
      </w:r>
      <w:r>
        <w:rPr>
          <w:color w:val="231F20"/>
          <w:spacing w:val="40"/>
        </w:rPr>
        <w:t> </w:t>
      </w:r>
      <w:r>
        <w:rPr>
          <w:color w:val="231F20"/>
          <w:spacing w:val="-2"/>
        </w:rPr>
        <w:t>recessive.</w:t>
      </w:r>
    </w:p>
    <w:sectPr>
      <w:type w:val="continuous"/>
      <w:pgSz w:w="11900" w:h="16840"/>
      <w:pgMar w:header="0" w:footer="0" w:top="620" w:bottom="280" w:left="708" w:right="1133"/>
      <w:cols w:num="2" w:equalWidth="0">
        <w:col w:w="4872" w:space="255"/>
        <w:col w:w="493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rebuchet MS">
    <w:altName w:val="Trebuchet MS"/>
    <w:charset w:val="1"/>
    <w:family w:val="swiss"/>
    <w:pitch w:val="variable"/>
  </w:font>
  <w:font w:name="Gabriola">
    <w:altName w:val="Gabriola"/>
    <w:charset w:val="1"/>
    <w:family w:val="decorative"/>
    <w:pitch w:val="variable"/>
  </w:font>
  <w:font w:name="Arial">
    <w:altName w:val="Arial"/>
    <w:charset w:val="1"/>
    <w:family w:val="swiss"/>
    <w:pitch w:val="variable"/>
  </w:font>
  <w:font w:name="Lucida Sans Unicode">
    <w:altName w:val="Lucida Sans Unicode"/>
    <w:charset w:val="1"/>
    <w:family w:val="swiss"/>
    <w:pitch w:val="variable"/>
  </w:font>
  <w:font w:name="Symbol">
    <w:altName w:val="Symbol"/>
    <w:charset w:val="2"/>
    <w:family w:val="decorative"/>
    <w:pitch w:val="variable"/>
  </w:font>
  <w:font w:name="Constantia">
    <w:altName w:val="Constantia"/>
    <w:charset w:val="1"/>
    <w:family w:val="roman"/>
    <w:pitch w:val="variable"/>
  </w:font>
  <w:font w:name="Verdana">
    <w:altName w:val="Verdana"/>
    <w:charset w:val="1"/>
    <w:family w:val="swiss"/>
    <w:pitch w:val="variable"/>
  </w:font>
  <w:font w:name="Cambria">
    <w:altName w:val="Cambria"/>
    <w:charset w:val="1"/>
    <w:family w:val="roman"/>
    <w:pitch w:val="variable"/>
  </w:font>
  <w:font w:name="MS Gothic">
    <w:altName w:val="MS Gothic"/>
    <w:charset w:val="1"/>
    <w:family w:val="modern"/>
    <w:pitch w:val="default"/>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w:sz w:val="19"/>
      </w:rPr>
      <mc:AlternateContent>
        <mc:Choice Requires="wps">
          <w:drawing>
            <wp:anchor distT="0" distB="0" distL="0" distR="0" allowOverlap="1" layoutInCell="1" locked="0" behindDoc="1" simplePos="0" relativeHeight="475153920">
              <wp:simplePos x="0" y="0"/>
              <wp:positionH relativeFrom="page">
                <wp:posOffset>3613010</wp:posOffset>
              </wp:positionH>
              <wp:positionV relativeFrom="page">
                <wp:posOffset>274468</wp:posOffset>
              </wp:positionV>
              <wp:extent cx="343535" cy="19621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43535" cy="196215"/>
                      </a:xfrm>
                      <a:prstGeom prst="rect">
                        <a:avLst/>
                      </a:prstGeom>
                    </wps:spPr>
                    <wps:txbx>
                      <w:txbxContent>
                        <w:p>
                          <w:pPr>
                            <w:spacing w:before="12"/>
                            <w:ind w:left="60" w:right="0" w:firstLine="0"/>
                            <w:jc w:val="left"/>
                            <w:rPr>
                              <w:rFonts w:ascii="Arial MT"/>
                              <w:sz w:val="24"/>
                            </w:rPr>
                          </w:pPr>
                          <w:r>
                            <w:rPr>
                              <w:rFonts w:ascii="Arial MT"/>
                              <w:spacing w:val="-5"/>
                              <w:sz w:val="24"/>
                            </w:rPr>
                            <w:fldChar w:fldCharType="begin"/>
                          </w:r>
                          <w:r>
                            <w:rPr>
                              <w:rFonts w:ascii="Arial MT"/>
                              <w:spacing w:val="-5"/>
                              <w:sz w:val="24"/>
                            </w:rPr>
                            <w:instrText> PAGE </w:instrText>
                          </w:r>
                          <w:r>
                            <w:rPr>
                              <w:rFonts w:ascii="Arial MT"/>
                              <w:spacing w:val="-5"/>
                              <w:sz w:val="24"/>
                            </w:rPr>
                            <w:fldChar w:fldCharType="separate"/>
                          </w:r>
                          <w:r>
                            <w:rPr>
                              <w:rFonts w:ascii="Arial MT"/>
                              <w:spacing w:val="-5"/>
                              <w:sz w:val="24"/>
                            </w:rPr>
                            <w:t>483</w:t>
                          </w:r>
                          <w:r>
                            <w:rPr>
                              <w:rFonts w:ascii="Arial MT"/>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4.489014pt;margin-top:21.611719pt;width:27.05pt;height:15.45pt;mso-position-horizontal-relative:page;mso-position-vertical-relative:page;z-index:-28162560" type="#_x0000_t202" id="docshape1" filled="false" stroked="false">
              <v:textbox inset="0,0,0,0">
                <w:txbxContent>
                  <w:p>
                    <w:pPr>
                      <w:spacing w:before="12"/>
                      <w:ind w:left="60" w:right="0" w:firstLine="0"/>
                      <w:jc w:val="left"/>
                      <w:rPr>
                        <w:rFonts w:ascii="Arial MT"/>
                        <w:sz w:val="24"/>
                      </w:rPr>
                    </w:pPr>
                    <w:r>
                      <w:rPr>
                        <w:rFonts w:ascii="Arial MT"/>
                        <w:spacing w:val="-5"/>
                        <w:sz w:val="24"/>
                      </w:rPr>
                      <w:fldChar w:fldCharType="begin"/>
                    </w:r>
                    <w:r>
                      <w:rPr>
                        <w:rFonts w:ascii="Arial MT"/>
                        <w:spacing w:val="-5"/>
                        <w:sz w:val="24"/>
                      </w:rPr>
                      <w:instrText> PAGE </w:instrText>
                    </w:r>
                    <w:r>
                      <w:rPr>
                        <w:rFonts w:ascii="Arial MT"/>
                        <w:spacing w:val="-5"/>
                        <w:sz w:val="24"/>
                      </w:rPr>
                      <w:fldChar w:fldCharType="separate"/>
                    </w:r>
                    <w:r>
                      <w:rPr>
                        <w:rFonts w:ascii="Arial MT"/>
                        <w:spacing w:val="-5"/>
                        <w:sz w:val="24"/>
                      </w:rPr>
                      <w:t>483</w:t>
                    </w:r>
                    <w:r>
                      <w:rPr>
                        <w:rFonts w:ascii="Arial MT"/>
                        <w:spacing w:val="-5"/>
                        <w:sz w:val="24"/>
                      </w:rPr>
                      <w:fldChar w:fldCharType="end"/>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75154432">
              <wp:simplePos x="0" y="0"/>
              <wp:positionH relativeFrom="page">
                <wp:posOffset>3613010</wp:posOffset>
              </wp:positionH>
              <wp:positionV relativeFrom="page">
                <wp:posOffset>274468</wp:posOffset>
              </wp:positionV>
              <wp:extent cx="343535" cy="196215"/>
              <wp:effectExtent l="0" t="0" r="0" b="0"/>
              <wp:wrapNone/>
              <wp:docPr id="1013" name="Textbox 1013"/>
              <wp:cNvGraphicFramePr>
                <a:graphicFrameLocks/>
              </wp:cNvGraphicFramePr>
              <a:graphic>
                <a:graphicData uri="http://schemas.microsoft.com/office/word/2010/wordprocessingShape">
                  <wps:wsp>
                    <wps:cNvPr id="1013" name="Textbox 1013"/>
                    <wps:cNvSpPr txBox="1"/>
                    <wps:spPr>
                      <a:xfrm>
                        <a:off x="0" y="0"/>
                        <a:ext cx="343535" cy="196215"/>
                      </a:xfrm>
                      <a:prstGeom prst="rect">
                        <a:avLst/>
                      </a:prstGeom>
                    </wps:spPr>
                    <wps:txbx>
                      <w:txbxContent>
                        <w:p>
                          <w:pPr>
                            <w:spacing w:before="12"/>
                            <w:ind w:left="60" w:right="0" w:firstLine="0"/>
                            <w:jc w:val="left"/>
                            <w:rPr>
                              <w:rFonts w:ascii="Arial MT"/>
                              <w:sz w:val="24"/>
                            </w:rPr>
                          </w:pPr>
                          <w:r>
                            <w:rPr>
                              <w:rFonts w:ascii="Arial MT"/>
                              <w:spacing w:val="-5"/>
                              <w:sz w:val="24"/>
                            </w:rPr>
                            <w:fldChar w:fldCharType="begin"/>
                          </w:r>
                          <w:r>
                            <w:rPr>
                              <w:rFonts w:ascii="Arial MT"/>
                              <w:spacing w:val="-5"/>
                              <w:sz w:val="24"/>
                            </w:rPr>
                            <w:instrText> PAGE </w:instrText>
                          </w:r>
                          <w:r>
                            <w:rPr>
                              <w:rFonts w:ascii="Arial MT"/>
                              <w:spacing w:val="-5"/>
                              <w:sz w:val="24"/>
                            </w:rPr>
                            <w:fldChar w:fldCharType="separate"/>
                          </w:r>
                          <w:r>
                            <w:rPr>
                              <w:rFonts w:ascii="Arial MT"/>
                              <w:spacing w:val="-5"/>
                              <w:sz w:val="24"/>
                            </w:rPr>
                            <w:t>533</w:t>
                          </w:r>
                          <w:r>
                            <w:rPr>
                              <w:rFonts w:ascii="Arial MT"/>
                              <w:spacing w:val="-5"/>
                              <w:sz w:val="24"/>
                            </w:rPr>
                            <w:fldChar w:fldCharType="end"/>
                          </w:r>
                        </w:p>
                      </w:txbxContent>
                    </wps:txbx>
                    <wps:bodyPr wrap="square" lIns="0" tIns="0" rIns="0" bIns="0" rtlCol="0">
                      <a:noAutofit/>
                    </wps:bodyPr>
                  </wps:wsp>
                </a:graphicData>
              </a:graphic>
            </wp:anchor>
          </w:drawing>
        </mc:Choice>
        <mc:Fallback>
          <w:pict>
            <v:shape style="position:absolute;margin-left:284.489014pt;margin-top:21.611719pt;width:27.05pt;height:15.45pt;mso-position-horizontal-relative:page;mso-position-vertical-relative:page;z-index:-28162048" type="#_x0000_t202" id="docshape818" filled="false" stroked="false">
              <v:textbox inset="0,0,0,0">
                <w:txbxContent>
                  <w:p>
                    <w:pPr>
                      <w:spacing w:before="12"/>
                      <w:ind w:left="60" w:right="0" w:firstLine="0"/>
                      <w:jc w:val="left"/>
                      <w:rPr>
                        <w:rFonts w:ascii="Arial MT"/>
                        <w:sz w:val="24"/>
                      </w:rPr>
                    </w:pPr>
                    <w:r>
                      <w:rPr>
                        <w:rFonts w:ascii="Arial MT"/>
                        <w:spacing w:val="-5"/>
                        <w:sz w:val="24"/>
                      </w:rPr>
                      <w:fldChar w:fldCharType="begin"/>
                    </w:r>
                    <w:r>
                      <w:rPr>
                        <w:rFonts w:ascii="Arial MT"/>
                        <w:spacing w:val="-5"/>
                        <w:sz w:val="24"/>
                      </w:rPr>
                      <w:instrText> PAGE </w:instrText>
                    </w:r>
                    <w:r>
                      <w:rPr>
                        <w:rFonts w:ascii="Arial MT"/>
                        <w:spacing w:val="-5"/>
                        <w:sz w:val="24"/>
                      </w:rPr>
                      <w:fldChar w:fldCharType="separate"/>
                    </w:r>
                    <w:r>
                      <w:rPr>
                        <w:rFonts w:ascii="Arial MT"/>
                        <w:spacing w:val="-5"/>
                        <w:sz w:val="24"/>
                      </w:rPr>
                      <w:t>533</w:t>
                    </w:r>
                    <w:r>
                      <w:rPr>
                        <w:rFonts w:ascii="Arial MT"/>
                        <w:spacing w:val="-5"/>
                        <w:sz w:val="24"/>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Letter"/>
      <w:lvlText w:val="%1."/>
      <w:lvlJc w:val="left"/>
      <w:pPr>
        <w:ind w:left="610" w:hanging="224"/>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802"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0"/>
      <w:numFmt w:val="bullet"/>
      <w:lvlText w:val="•"/>
      <w:lvlJc w:val="left"/>
      <w:pPr>
        <w:ind w:left="1260" w:hanging="193"/>
      </w:pPr>
      <w:rPr>
        <w:rFonts w:hint="default"/>
        <w:lang w:val="en-US" w:eastAsia="en-US" w:bidi="ar-SA"/>
      </w:rPr>
    </w:lvl>
    <w:lvl w:ilvl="3">
      <w:start w:val="0"/>
      <w:numFmt w:val="bullet"/>
      <w:lvlText w:val="•"/>
      <w:lvlJc w:val="left"/>
      <w:pPr>
        <w:ind w:left="1720" w:hanging="193"/>
      </w:pPr>
      <w:rPr>
        <w:rFonts w:hint="default"/>
        <w:lang w:val="en-US" w:eastAsia="en-US" w:bidi="ar-SA"/>
      </w:rPr>
    </w:lvl>
    <w:lvl w:ilvl="4">
      <w:start w:val="0"/>
      <w:numFmt w:val="bullet"/>
      <w:lvlText w:val="•"/>
      <w:lvlJc w:val="left"/>
      <w:pPr>
        <w:ind w:left="2181" w:hanging="193"/>
      </w:pPr>
      <w:rPr>
        <w:rFonts w:hint="default"/>
        <w:lang w:val="en-US" w:eastAsia="en-US" w:bidi="ar-SA"/>
      </w:rPr>
    </w:lvl>
    <w:lvl w:ilvl="5">
      <w:start w:val="0"/>
      <w:numFmt w:val="bullet"/>
      <w:lvlText w:val="•"/>
      <w:lvlJc w:val="left"/>
      <w:pPr>
        <w:ind w:left="2641" w:hanging="193"/>
      </w:pPr>
      <w:rPr>
        <w:rFonts w:hint="default"/>
        <w:lang w:val="en-US" w:eastAsia="en-US" w:bidi="ar-SA"/>
      </w:rPr>
    </w:lvl>
    <w:lvl w:ilvl="6">
      <w:start w:val="0"/>
      <w:numFmt w:val="bullet"/>
      <w:lvlText w:val="•"/>
      <w:lvlJc w:val="left"/>
      <w:pPr>
        <w:ind w:left="3101" w:hanging="193"/>
      </w:pPr>
      <w:rPr>
        <w:rFonts w:hint="default"/>
        <w:lang w:val="en-US" w:eastAsia="en-US" w:bidi="ar-SA"/>
      </w:rPr>
    </w:lvl>
    <w:lvl w:ilvl="7">
      <w:start w:val="0"/>
      <w:numFmt w:val="bullet"/>
      <w:lvlText w:val="•"/>
      <w:lvlJc w:val="left"/>
      <w:pPr>
        <w:ind w:left="3562" w:hanging="193"/>
      </w:pPr>
      <w:rPr>
        <w:rFonts w:hint="default"/>
        <w:lang w:val="en-US" w:eastAsia="en-US" w:bidi="ar-SA"/>
      </w:rPr>
    </w:lvl>
    <w:lvl w:ilvl="8">
      <w:start w:val="0"/>
      <w:numFmt w:val="bullet"/>
      <w:lvlText w:val="•"/>
      <w:lvlJc w:val="left"/>
      <w:pPr>
        <w:ind w:left="4022" w:hanging="193"/>
      </w:pPr>
      <w:rPr>
        <w:rFonts w:hint="default"/>
        <w:lang w:val="en-US" w:eastAsia="en-US" w:bidi="ar-SA"/>
      </w:rPr>
    </w:lvl>
  </w:abstractNum>
  <w:abstractNum w:abstractNumId="108">
    <w:multiLevelType w:val="hybridMultilevel"/>
    <w:lvl w:ilvl="0">
      <w:start w:val="1"/>
      <w:numFmt w:val="decimal"/>
      <w:lvlText w:val="%1)"/>
      <w:lvlJc w:val="left"/>
      <w:pPr>
        <w:ind w:left="240" w:hanging="153"/>
        <w:jc w:val="left"/>
      </w:pPr>
      <w:rPr>
        <w:rFonts w:hint="default" w:ascii="Arial MT" w:hAnsi="Arial MT" w:eastAsia="Arial MT" w:cs="Arial MT"/>
        <w:b w:val="0"/>
        <w:bCs w:val="0"/>
        <w:i w:val="0"/>
        <w:iCs w:val="0"/>
        <w:color w:val="231F20"/>
        <w:spacing w:val="0"/>
        <w:w w:val="100"/>
        <w:sz w:val="13"/>
        <w:szCs w:val="13"/>
        <w:lang w:val="en-US" w:eastAsia="en-US" w:bidi="ar-SA"/>
      </w:rPr>
    </w:lvl>
    <w:lvl w:ilvl="1">
      <w:start w:val="1"/>
      <w:numFmt w:val="lowerLetter"/>
      <w:lvlText w:val="%2)"/>
      <w:lvlJc w:val="left"/>
      <w:pPr>
        <w:ind w:left="88" w:hanging="153"/>
        <w:jc w:val="left"/>
      </w:pPr>
      <w:rPr>
        <w:rFonts w:hint="default" w:ascii="Arial MT" w:hAnsi="Arial MT" w:eastAsia="Arial MT" w:cs="Arial MT"/>
        <w:b w:val="0"/>
        <w:bCs w:val="0"/>
        <w:i w:val="0"/>
        <w:iCs w:val="0"/>
        <w:color w:val="231F20"/>
        <w:spacing w:val="0"/>
        <w:w w:val="100"/>
        <w:sz w:val="13"/>
        <w:szCs w:val="13"/>
        <w:lang w:val="en-US" w:eastAsia="en-US" w:bidi="ar-SA"/>
      </w:rPr>
    </w:lvl>
    <w:lvl w:ilvl="2">
      <w:start w:val="0"/>
      <w:numFmt w:val="bullet"/>
      <w:lvlText w:val="•"/>
      <w:lvlJc w:val="left"/>
      <w:pPr>
        <w:ind w:left="559" w:hanging="153"/>
      </w:pPr>
      <w:rPr>
        <w:rFonts w:hint="default"/>
        <w:lang w:val="en-US" w:eastAsia="en-US" w:bidi="ar-SA"/>
      </w:rPr>
    </w:lvl>
    <w:lvl w:ilvl="3">
      <w:start w:val="0"/>
      <w:numFmt w:val="bullet"/>
      <w:lvlText w:val="•"/>
      <w:lvlJc w:val="left"/>
      <w:pPr>
        <w:ind w:left="878" w:hanging="153"/>
      </w:pPr>
      <w:rPr>
        <w:rFonts w:hint="default"/>
        <w:lang w:val="en-US" w:eastAsia="en-US" w:bidi="ar-SA"/>
      </w:rPr>
    </w:lvl>
    <w:lvl w:ilvl="4">
      <w:start w:val="0"/>
      <w:numFmt w:val="bullet"/>
      <w:lvlText w:val="•"/>
      <w:lvlJc w:val="left"/>
      <w:pPr>
        <w:ind w:left="1198" w:hanging="153"/>
      </w:pPr>
      <w:rPr>
        <w:rFonts w:hint="default"/>
        <w:lang w:val="en-US" w:eastAsia="en-US" w:bidi="ar-SA"/>
      </w:rPr>
    </w:lvl>
    <w:lvl w:ilvl="5">
      <w:start w:val="0"/>
      <w:numFmt w:val="bullet"/>
      <w:lvlText w:val="•"/>
      <w:lvlJc w:val="left"/>
      <w:pPr>
        <w:ind w:left="1517" w:hanging="153"/>
      </w:pPr>
      <w:rPr>
        <w:rFonts w:hint="default"/>
        <w:lang w:val="en-US" w:eastAsia="en-US" w:bidi="ar-SA"/>
      </w:rPr>
    </w:lvl>
    <w:lvl w:ilvl="6">
      <w:start w:val="0"/>
      <w:numFmt w:val="bullet"/>
      <w:lvlText w:val="•"/>
      <w:lvlJc w:val="left"/>
      <w:pPr>
        <w:ind w:left="1837" w:hanging="153"/>
      </w:pPr>
      <w:rPr>
        <w:rFonts w:hint="default"/>
        <w:lang w:val="en-US" w:eastAsia="en-US" w:bidi="ar-SA"/>
      </w:rPr>
    </w:lvl>
    <w:lvl w:ilvl="7">
      <w:start w:val="0"/>
      <w:numFmt w:val="bullet"/>
      <w:lvlText w:val="•"/>
      <w:lvlJc w:val="left"/>
      <w:pPr>
        <w:ind w:left="2156" w:hanging="153"/>
      </w:pPr>
      <w:rPr>
        <w:rFonts w:hint="default"/>
        <w:lang w:val="en-US" w:eastAsia="en-US" w:bidi="ar-SA"/>
      </w:rPr>
    </w:lvl>
    <w:lvl w:ilvl="8">
      <w:start w:val="0"/>
      <w:numFmt w:val="bullet"/>
      <w:lvlText w:val="•"/>
      <w:lvlJc w:val="left"/>
      <w:pPr>
        <w:ind w:left="2475" w:hanging="153"/>
      </w:pPr>
      <w:rPr>
        <w:rFonts w:hint="default"/>
        <w:lang w:val="en-US" w:eastAsia="en-US" w:bidi="ar-SA"/>
      </w:rPr>
    </w:lvl>
  </w:abstractNum>
  <w:abstractNum w:abstractNumId="109">
    <w:multiLevelType w:val="hybridMultilevel"/>
    <w:lvl w:ilvl="0">
      <w:start w:val="1"/>
      <w:numFmt w:val="decimal"/>
      <w:lvlText w:val="%1)"/>
      <w:lvlJc w:val="left"/>
      <w:pPr>
        <w:ind w:left="240" w:hanging="153"/>
        <w:jc w:val="left"/>
      </w:pPr>
      <w:rPr>
        <w:rFonts w:hint="default" w:ascii="Arial MT" w:hAnsi="Arial MT" w:eastAsia="Arial MT" w:cs="Arial MT"/>
        <w:b w:val="0"/>
        <w:bCs w:val="0"/>
        <w:i w:val="0"/>
        <w:iCs w:val="0"/>
        <w:color w:val="231F20"/>
        <w:spacing w:val="0"/>
        <w:w w:val="100"/>
        <w:sz w:val="13"/>
        <w:szCs w:val="13"/>
        <w:lang w:val="en-US" w:eastAsia="en-US" w:bidi="ar-SA"/>
      </w:rPr>
    </w:lvl>
    <w:lvl w:ilvl="1">
      <w:start w:val="0"/>
      <w:numFmt w:val="bullet"/>
      <w:lvlText w:val="•"/>
      <w:lvlJc w:val="left"/>
      <w:pPr>
        <w:ind w:left="535" w:hanging="153"/>
      </w:pPr>
      <w:rPr>
        <w:rFonts w:hint="default"/>
        <w:lang w:val="en-US" w:eastAsia="en-US" w:bidi="ar-SA"/>
      </w:rPr>
    </w:lvl>
    <w:lvl w:ilvl="2">
      <w:start w:val="0"/>
      <w:numFmt w:val="bullet"/>
      <w:lvlText w:val="•"/>
      <w:lvlJc w:val="left"/>
      <w:pPr>
        <w:ind w:left="830" w:hanging="153"/>
      </w:pPr>
      <w:rPr>
        <w:rFonts w:hint="default"/>
        <w:lang w:val="en-US" w:eastAsia="en-US" w:bidi="ar-SA"/>
      </w:rPr>
    </w:lvl>
    <w:lvl w:ilvl="3">
      <w:start w:val="0"/>
      <w:numFmt w:val="bullet"/>
      <w:lvlText w:val="•"/>
      <w:lvlJc w:val="left"/>
      <w:pPr>
        <w:ind w:left="1125" w:hanging="153"/>
      </w:pPr>
      <w:rPr>
        <w:rFonts w:hint="default"/>
        <w:lang w:val="en-US" w:eastAsia="en-US" w:bidi="ar-SA"/>
      </w:rPr>
    </w:lvl>
    <w:lvl w:ilvl="4">
      <w:start w:val="0"/>
      <w:numFmt w:val="bullet"/>
      <w:lvlText w:val="•"/>
      <w:lvlJc w:val="left"/>
      <w:pPr>
        <w:ind w:left="1420" w:hanging="153"/>
      </w:pPr>
      <w:rPr>
        <w:rFonts w:hint="default"/>
        <w:lang w:val="en-US" w:eastAsia="en-US" w:bidi="ar-SA"/>
      </w:rPr>
    </w:lvl>
    <w:lvl w:ilvl="5">
      <w:start w:val="0"/>
      <w:numFmt w:val="bullet"/>
      <w:lvlText w:val="•"/>
      <w:lvlJc w:val="left"/>
      <w:pPr>
        <w:ind w:left="1715" w:hanging="153"/>
      </w:pPr>
      <w:rPr>
        <w:rFonts w:hint="default"/>
        <w:lang w:val="en-US" w:eastAsia="en-US" w:bidi="ar-SA"/>
      </w:rPr>
    </w:lvl>
    <w:lvl w:ilvl="6">
      <w:start w:val="0"/>
      <w:numFmt w:val="bullet"/>
      <w:lvlText w:val="•"/>
      <w:lvlJc w:val="left"/>
      <w:pPr>
        <w:ind w:left="2011" w:hanging="153"/>
      </w:pPr>
      <w:rPr>
        <w:rFonts w:hint="default"/>
        <w:lang w:val="en-US" w:eastAsia="en-US" w:bidi="ar-SA"/>
      </w:rPr>
    </w:lvl>
    <w:lvl w:ilvl="7">
      <w:start w:val="0"/>
      <w:numFmt w:val="bullet"/>
      <w:lvlText w:val="•"/>
      <w:lvlJc w:val="left"/>
      <w:pPr>
        <w:ind w:left="2306" w:hanging="153"/>
      </w:pPr>
      <w:rPr>
        <w:rFonts w:hint="default"/>
        <w:lang w:val="en-US" w:eastAsia="en-US" w:bidi="ar-SA"/>
      </w:rPr>
    </w:lvl>
    <w:lvl w:ilvl="8">
      <w:start w:val="0"/>
      <w:numFmt w:val="bullet"/>
      <w:lvlText w:val="•"/>
      <w:lvlJc w:val="left"/>
      <w:pPr>
        <w:ind w:left="2601" w:hanging="153"/>
      </w:pPr>
      <w:rPr>
        <w:rFonts w:hint="default"/>
        <w:lang w:val="en-US" w:eastAsia="en-US" w:bidi="ar-SA"/>
      </w:rPr>
    </w:lvl>
  </w:abstractNum>
  <w:abstractNum w:abstractNumId="107">
    <w:multiLevelType w:val="hybridMultilevel"/>
    <w:lvl w:ilvl="0">
      <w:start w:val="1"/>
      <w:numFmt w:val="decimal"/>
      <w:lvlText w:val="%1."/>
      <w:lvlJc w:val="left"/>
      <w:pPr>
        <w:ind w:left="233" w:hanging="139"/>
        <w:jc w:val="left"/>
      </w:pPr>
      <w:rPr>
        <w:rFonts w:hint="default" w:ascii="Arial MT" w:hAnsi="Arial MT" w:eastAsia="Arial MT" w:cs="Arial MT"/>
        <w:b w:val="0"/>
        <w:bCs w:val="0"/>
        <w:i w:val="0"/>
        <w:iCs w:val="0"/>
        <w:color w:val="231F20"/>
        <w:spacing w:val="0"/>
        <w:w w:val="100"/>
        <w:sz w:val="13"/>
        <w:szCs w:val="13"/>
        <w:lang w:val="en-US" w:eastAsia="en-US" w:bidi="ar-SA"/>
      </w:rPr>
    </w:lvl>
    <w:lvl w:ilvl="1">
      <w:start w:val="0"/>
      <w:numFmt w:val="bullet"/>
      <w:lvlText w:val="•"/>
      <w:lvlJc w:val="left"/>
      <w:pPr>
        <w:ind w:left="434" w:hanging="139"/>
      </w:pPr>
      <w:rPr>
        <w:rFonts w:hint="default"/>
        <w:lang w:val="en-US" w:eastAsia="en-US" w:bidi="ar-SA"/>
      </w:rPr>
    </w:lvl>
    <w:lvl w:ilvl="2">
      <w:start w:val="0"/>
      <w:numFmt w:val="bullet"/>
      <w:lvlText w:val="•"/>
      <w:lvlJc w:val="left"/>
      <w:pPr>
        <w:ind w:left="628" w:hanging="139"/>
      </w:pPr>
      <w:rPr>
        <w:rFonts w:hint="default"/>
        <w:lang w:val="en-US" w:eastAsia="en-US" w:bidi="ar-SA"/>
      </w:rPr>
    </w:lvl>
    <w:lvl w:ilvl="3">
      <w:start w:val="0"/>
      <w:numFmt w:val="bullet"/>
      <w:lvlText w:val="•"/>
      <w:lvlJc w:val="left"/>
      <w:pPr>
        <w:ind w:left="822" w:hanging="139"/>
      </w:pPr>
      <w:rPr>
        <w:rFonts w:hint="default"/>
        <w:lang w:val="en-US" w:eastAsia="en-US" w:bidi="ar-SA"/>
      </w:rPr>
    </w:lvl>
    <w:lvl w:ilvl="4">
      <w:start w:val="0"/>
      <w:numFmt w:val="bullet"/>
      <w:lvlText w:val="•"/>
      <w:lvlJc w:val="left"/>
      <w:pPr>
        <w:ind w:left="1016" w:hanging="139"/>
      </w:pPr>
      <w:rPr>
        <w:rFonts w:hint="default"/>
        <w:lang w:val="en-US" w:eastAsia="en-US" w:bidi="ar-SA"/>
      </w:rPr>
    </w:lvl>
    <w:lvl w:ilvl="5">
      <w:start w:val="0"/>
      <w:numFmt w:val="bullet"/>
      <w:lvlText w:val="•"/>
      <w:lvlJc w:val="left"/>
      <w:pPr>
        <w:ind w:left="1210" w:hanging="139"/>
      </w:pPr>
      <w:rPr>
        <w:rFonts w:hint="default"/>
        <w:lang w:val="en-US" w:eastAsia="en-US" w:bidi="ar-SA"/>
      </w:rPr>
    </w:lvl>
    <w:lvl w:ilvl="6">
      <w:start w:val="0"/>
      <w:numFmt w:val="bullet"/>
      <w:lvlText w:val="•"/>
      <w:lvlJc w:val="left"/>
      <w:pPr>
        <w:ind w:left="1405" w:hanging="139"/>
      </w:pPr>
      <w:rPr>
        <w:rFonts w:hint="default"/>
        <w:lang w:val="en-US" w:eastAsia="en-US" w:bidi="ar-SA"/>
      </w:rPr>
    </w:lvl>
    <w:lvl w:ilvl="7">
      <w:start w:val="0"/>
      <w:numFmt w:val="bullet"/>
      <w:lvlText w:val="•"/>
      <w:lvlJc w:val="left"/>
      <w:pPr>
        <w:ind w:left="1599" w:hanging="139"/>
      </w:pPr>
      <w:rPr>
        <w:rFonts w:hint="default"/>
        <w:lang w:val="en-US" w:eastAsia="en-US" w:bidi="ar-SA"/>
      </w:rPr>
    </w:lvl>
    <w:lvl w:ilvl="8">
      <w:start w:val="0"/>
      <w:numFmt w:val="bullet"/>
      <w:lvlText w:val="•"/>
      <w:lvlJc w:val="left"/>
      <w:pPr>
        <w:ind w:left="1793" w:hanging="139"/>
      </w:pPr>
      <w:rPr>
        <w:rFonts w:hint="default"/>
        <w:lang w:val="en-US" w:eastAsia="en-US" w:bidi="ar-SA"/>
      </w:rPr>
    </w:lvl>
  </w:abstractNum>
  <w:abstractNum w:abstractNumId="106">
    <w:multiLevelType w:val="hybridMultilevel"/>
    <w:lvl w:ilvl="0">
      <w:start w:val="1"/>
      <w:numFmt w:val="decimal"/>
      <w:lvlText w:val="%1."/>
      <w:lvlJc w:val="left"/>
      <w:pPr>
        <w:ind w:left="241" w:hanging="146"/>
        <w:jc w:val="left"/>
      </w:pPr>
      <w:rPr>
        <w:rFonts w:hint="default" w:ascii="Arial MT" w:hAnsi="Arial MT" w:eastAsia="Arial MT" w:cs="Arial MT"/>
        <w:b w:val="0"/>
        <w:bCs w:val="0"/>
        <w:i w:val="0"/>
        <w:iCs w:val="0"/>
        <w:color w:val="231F20"/>
        <w:spacing w:val="0"/>
        <w:w w:val="100"/>
        <w:sz w:val="13"/>
        <w:szCs w:val="13"/>
        <w:lang w:val="en-US" w:eastAsia="en-US" w:bidi="ar-SA"/>
      </w:rPr>
    </w:lvl>
    <w:lvl w:ilvl="1">
      <w:start w:val="0"/>
      <w:numFmt w:val="bullet"/>
      <w:lvlText w:val="•"/>
      <w:lvlJc w:val="left"/>
      <w:pPr>
        <w:ind w:left="460" w:hanging="146"/>
      </w:pPr>
      <w:rPr>
        <w:rFonts w:hint="default"/>
        <w:lang w:val="en-US" w:eastAsia="en-US" w:bidi="ar-SA"/>
      </w:rPr>
    </w:lvl>
    <w:lvl w:ilvl="2">
      <w:start w:val="0"/>
      <w:numFmt w:val="bullet"/>
      <w:lvlText w:val="•"/>
      <w:lvlJc w:val="left"/>
      <w:pPr>
        <w:ind w:left="680" w:hanging="146"/>
      </w:pPr>
      <w:rPr>
        <w:rFonts w:hint="default"/>
        <w:lang w:val="en-US" w:eastAsia="en-US" w:bidi="ar-SA"/>
      </w:rPr>
    </w:lvl>
    <w:lvl w:ilvl="3">
      <w:start w:val="0"/>
      <w:numFmt w:val="bullet"/>
      <w:lvlText w:val="•"/>
      <w:lvlJc w:val="left"/>
      <w:pPr>
        <w:ind w:left="901" w:hanging="146"/>
      </w:pPr>
      <w:rPr>
        <w:rFonts w:hint="default"/>
        <w:lang w:val="en-US" w:eastAsia="en-US" w:bidi="ar-SA"/>
      </w:rPr>
    </w:lvl>
    <w:lvl w:ilvl="4">
      <w:start w:val="0"/>
      <w:numFmt w:val="bullet"/>
      <w:lvlText w:val="•"/>
      <w:lvlJc w:val="left"/>
      <w:pPr>
        <w:ind w:left="1121" w:hanging="146"/>
      </w:pPr>
      <w:rPr>
        <w:rFonts w:hint="default"/>
        <w:lang w:val="en-US" w:eastAsia="en-US" w:bidi="ar-SA"/>
      </w:rPr>
    </w:lvl>
    <w:lvl w:ilvl="5">
      <w:start w:val="0"/>
      <w:numFmt w:val="bullet"/>
      <w:lvlText w:val="•"/>
      <w:lvlJc w:val="left"/>
      <w:pPr>
        <w:ind w:left="1342" w:hanging="146"/>
      </w:pPr>
      <w:rPr>
        <w:rFonts w:hint="default"/>
        <w:lang w:val="en-US" w:eastAsia="en-US" w:bidi="ar-SA"/>
      </w:rPr>
    </w:lvl>
    <w:lvl w:ilvl="6">
      <w:start w:val="0"/>
      <w:numFmt w:val="bullet"/>
      <w:lvlText w:val="•"/>
      <w:lvlJc w:val="left"/>
      <w:pPr>
        <w:ind w:left="1562" w:hanging="146"/>
      </w:pPr>
      <w:rPr>
        <w:rFonts w:hint="default"/>
        <w:lang w:val="en-US" w:eastAsia="en-US" w:bidi="ar-SA"/>
      </w:rPr>
    </w:lvl>
    <w:lvl w:ilvl="7">
      <w:start w:val="0"/>
      <w:numFmt w:val="bullet"/>
      <w:lvlText w:val="•"/>
      <w:lvlJc w:val="left"/>
      <w:pPr>
        <w:ind w:left="1782" w:hanging="146"/>
      </w:pPr>
      <w:rPr>
        <w:rFonts w:hint="default"/>
        <w:lang w:val="en-US" w:eastAsia="en-US" w:bidi="ar-SA"/>
      </w:rPr>
    </w:lvl>
    <w:lvl w:ilvl="8">
      <w:start w:val="0"/>
      <w:numFmt w:val="bullet"/>
      <w:lvlText w:val="•"/>
      <w:lvlJc w:val="left"/>
      <w:pPr>
        <w:ind w:left="2003" w:hanging="146"/>
      </w:pPr>
      <w:rPr>
        <w:rFonts w:hint="default"/>
        <w:lang w:val="en-US" w:eastAsia="en-US" w:bidi="ar-SA"/>
      </w:rPr>
    </w:lvl>
  </w:abstractNum>
  <w:abstractNum w:abstractNumId="105">
    <w:multiLevelType w:val="hybridMultilevel"/>
    <w:lvl w:ilvl="0">
      <w:start w:val="4"/>
      <w:numFmt w:val="upperLetter"/>
      <w:lvlText w:val="%1."/>
      <w:lvlJc w:val="left"/>
      <w:pPr>
        <w:ind w:left="311" w:hanging="239"/>
        <w:jc w:val="right"/>
      </w:pPr>
      <w:rPr>
        <w:rFonts w:hint="default" w:ascii="Trebuchet MS" w:hAnsi="Trebuchet MS" w:eastAsia="Trebuchet MS" w:cs="Trebuchet MS"/>
        <w:b w:val="0"/>
        <w:bCs w:val="0"/>
        <w:i w:val="0"/>
        <w:iCs w:val="0"/>
        <w:color w:val="231F20"/>
        <w:spacing w:val="0"/>
        <w:w w:val="101"/>
        <w:sz w:val="15"/>
        <w:szCs w:val="15"/>
        <w:lang w:val="en-US" w:eastAsia="en-US" w:bidi="ar-SA"/>
      </w:rPr>
    </w:lvl>
    <w:lvl w:ilvl="1">
      <w:start w:val="1"/>
      <w:numFmt w:val="decimal"/>
      <w:lvlText w:val="%2."/>
      <w:lvlJc w:val="left"/>
      <w:pPr>
        <w:ind w:left="502" w:hanging="192"/>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1"/>
      <w:numFmt w:val="lowerLetter"/>
      <w:lvlText w:val="%3."/>
      <w:lvlJc w:val="left"/>
      <w:pPr>
        <w:ind w:left="703" w:hanging="201"/>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3">
      <w:start w:val="0"/>
      <w:numFmt w:val="bullet"/>
      <w:lvlText w:val="•"/>
      <w:lvlJc w:val="left"/>
      <w:pPr>
        <w:ind w:left="1224" w:hanging="201"/>
      </w:pPr>
      <w:rPr>
        <w:rFonts w:hint="default"/>
        <w:lang w:val="en-US" w:eastAsia="en-US" w:bidi="ar-SA"/>
      </w:rPr>
    </w:lvl>
    <w:lvl w:ilvl="4">
      <w:start w:val="0"/>
      <w:numFmt w:val="bullet"/>
      <w:lvlText w:val="•"/>
      <w:lvlJc w:val="left"/>
      <w:pPr>
        <w:ind w:left="1748" w:hanging="201"/>
      </w:pPr>
      <w:rPr>
        <w:rFonts w:hint="default"/>
        <w:lang w:val="en-US" w:eastAsia="en-US" w:bidi="ar-SA"/>
      </w:rPr>
    </w:lvl>
    <w:lvl w:ilvl="5">
      <w:start w:val="0"/>
      <w:numFmt w:val="bullet"/>
      <w:lvlText w:val="•"/>
      <w:lvlJc w:val="left"/>
      <w:pPr>
        <w:ind w:left="2272" w:hanging="201"/>
      </w:pPr>
      <w:rPr>
        <w:rFonts w:hint="default"/>
        <w:lang w:val="en-US" w:eastAsia="en-US" w:bidi="ar-SA"/>
      </w:rPr>
    </w:lvl>
    <w:lvl w:ilvl="6">
      <w:start w:val="0"/>
      <w:numFmt w:val="bullet"/>
      <w:lvlText w:val="•"/>
      <w:lvlJc w:val="left"/>
      <w:pPr>
        <w:ind w:left="2796" w:hanging="201"/>
      </w:pPr>
      <w:rPr>
        <w:rFonts w:hint="default"/>
        <w:lang w:val="en-US" w:eastAsia="en-US" w:bidi="ar-SA"/>
      </w:rPr>
    </w:lvl>
    <w:lvl w:ilvl="7">
      <w:start w:val="0"/>
      <w:numFmt w:val="bullet"/>
      <w:lvlText w:val="•"/>
      <w:lvlJc w:val="left"/>
      <w:pPr>
        <w:ind w:left="3320" w:hanging="201"/>
      </w:pPr>
      <w:rPr>
        <w:rFonts w:hint="default"/>
        <w:lang w:val="en-US" w:eastAsia="en-US" w:bidi="ar-SA"/>
      </w:rPr>
    </w:lvl>
    <w:lvl w:ilvl="8">
      <w:start w:val="0"/>
      <w:numFmt w:val="bullet"/>
      <w:lvlText w:val="•"/>
      <w:lvlJc w:val="left"/>
      <w:pPr>
        <w:ind w:left="3844" w:hanging="201"/>
      </w:pPr>
      <w:rPr>
        <w:rFonts w:hint="default"/>
        <w:lang w:val="en-US" w:eastAsia="en-US" w:bidi="ar-SA"/>
      </w:rPr>
    </w:lvl>
  </w:abstractNum>
  <w:abstractNum w:abstractNumId="104">
    <w:multiLevelType w:val="hybridMultilevel"/>
    <w:lvl w:ilvl="0">
      <w:start w:val="2"/>
      <w:numFmt w:val="upperRoman"/>
      <w:lvlText w:val="%1."/>
      <w:lvlJc w:val="left"/>
      <w:pPr>
        <w:ind w:left="343" w:hanging="274"/>
        <w:jc w:val="left"/>
      </w:pPr>
      <w:rPr>
        <w:rFonts w:hint="default" w:ascii="Trebuchet MS" w:hAnsi="Trebuchet MS" w:eastAsia="Trebuchet MS" w:cs="Trebuchet MS"/>
        <w:b w:val="0"/>
        <w:bCs w:val="0"/>
        <w:i w:val="0"/>
        <w:iCs w:val="0"/>
        <w:color w:val="231F20"/>
        <w:spacing w:val="0"/>
        <w:w w:val="89"/>
        <w:sz w:val="15"/>
        <w:szCs w:val="15"/>
        <w:lang w:val="en-US" w:eastAsia="en-US" w:bidi="ar-SA"/>
      </w:rPr>
    </w:lvl>
    <w:lvl w:ilvl="1">
      <w:start w:val="1"/>
      <w:numFmt w:val="upperLetter"/>
      <w:lvlText w:val="%2."/>
      <w:lvlJc w:val="left"/>
      <w:pPr>
        <w:ind w:left="311" w:hanging="230"/>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2">
      <w:start w:val="1"/>
      <w:numFmt w:val="decimal"/>
      <w:lvlText w:val="%3."/>
      <w:lvlJc w:val="left"/>
      <w:pPr>
        <w:ind w:left="502" w:hanging="192"/>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3">
      <w:start w:val="1"/>
      <w:numFmt w:val="lowerLetter"/>
      <w:lvlText w:val="%4."/>
      <w:lvlJc w:val="left"/>
      <w:pPr>
        <w:ind w:left="703" w:hanging="201"/>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4">
      <w:start w:val="0"/>
      <w:numFmt w:val="bullet"/>
      <w:lvlText w:val="•"/>
      <w:lvlJc w:val="left"/>
      <w:pPr>
        <w:ind w:left="1298" w:hanging="201"/>
      </w:pPr>
      <w:rPr>
        <w:rFonts w:hint="default"/>
        <w:lang w:val="en-US" w:eastAsia="en-US" w:bidi="ar-SA"/>
      </w:rPr>
    </w:lvl>
    <w:lvl w:ilvl="5">
      <w:start w:val="0"/>
      <w:numFmt w:val="bullet"/>
      <w:lvlText w:val="•"/>
      <w:lvlJc w:val="left"/>
      <w:pPr>
        <w:ind w:left="1897" w:hanging="201"/>
      </w:pPr>
      <w:rPr>
        <w:rFonts w:hint="default"/>
        <w:lang w:val="en-US" w:eastAsia="en-US" w:bidi="ar-SA"/>
      </w:rPr>
    </w:lvl>
    <w:lvl w:ilvl="6">
      <w:start w:val="0"/>
      <w:numFmt w:val="bullet"/>
      <w:lvlText w:val="•"/>
      <w:lvlJc w:val="left"/>
      <w:pPr>
        <w:ind w:left="2496" w:hanging="201"/>
      </w:pPr>
      <w:rPr>
        <w:rFonts w:hint="default"/>
        <w:lang w:val="en-US" w:eastAsia="en-US" w:bidi="ar-SA"/>
      </w:rPr>
    </w:lvl>
    <w:lvl w:ilvl="7">
      <w:start w:val="0"/>
      <w:numFmt w:val="bullet"/>
      <w:lvlText w:val="•"/>
      <w:lvlJc w:val="left"/>
      <w:pPr>
        <w:ind w:left="3095" w:hanging="201"/>
      </w:pPr>
      <w:rPr>
        <w:rFonts w:hint="default"/>
        <w:lang w:val="en-US" w:eastAsia="en-US" w:bidi="ar-SA"/>
      </w:rPr>
    </w:lvl>
    <w:lvl w:ilvl="8">
      <w:start w:val="0"/>
      <w:numFmt w:val="bullet"/>
      <w:lvlText w:val="•"/>
      <w:lvlJc w:val="left"/>
      <w:pPr>
        <w:ind w:left="3694" w:hanging="201"/>
      </w:pPr>
      <w:rPr>
        <w:rFonts w:hint="default"/>
        <w:lang w:val="en-US" w:eastAsia="en-US" w:bidi="ar-SA"/>
      </w:rPr>
    </w:lvl>
  </w:abstractNum>
  <w:abstractNum w:abstractNumId="103">
    <w:multiLevelType w:val="hybridMultilevel"/>
    <w:lvl w:ilvl="0">
      <w:start w:val="1"/>
      <w:numFmt w:val="upperRoman"/>
      <w:lvlText w:val="%1."/>
      <w:lvlJc w:val="left"/>
      <w:pPr>
        <w:ind w:left="393" w:hanging="233"/>
        <w:jc w:val="left"/>
      </w:pPr>
      <w:rPr>
        <w:rFonts w:hint="default" w:ascii="Trebuchet MS" w:hAnsi="Trebuchet MS" w:eastAsia="Trebuchet MS" w:cs="Trebuchet MS"/>
        <w:b w:val="0"/>
        <w:bCs w:val="0"/>
        <w:i w:val="0"/>
        <w:iCs w:val="0"/>
        <w:color w:val="231F20"/>
        <w:spacing w:val="0"/>
        <w:w w:val="85"/>
        <w:sz w:val="15"/>
        <w:szCs w:val="15"/>
        <w:lang w:val="en-US" w:eastAsia="en-US" w:bidi="ar-SA"/>
      </w:rPr>
    </w:lvl>
    <w:lvl w:ilvl="1">
      <w:start w:val="1"/>
      <w:numFmt w:val="upperLetter"/>
      <w:lvlText w:val="%2."/>
      <w:lvlJc w:val="left"/>
      <w:pPr>
        <w:ind w:left="403" w:hanging="230"/>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2">
      <w:start w:val="1"/>
      <w:numFmt w:val="decimal"/>
      <w:lvlText w:val="%3."/>
      <w:lvlJc w:val="left"/>
      <w:pPr>
        <w:ind w:left="672" w:hanging="195"/>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3">
      <w:start w:val="1"/>
      <w:numFmt w:val="lowerLetter"/>
      <w:lvlText w:val="%4."/>
      <w:lvlJc w:val="left"/>
      <w:pPr>
        <w:ind w:left="874" w:hanging="203"/>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4">
      <w:start w:val="0"/>
      <w:numFmt w:val="bullet"/>
      <w:lvlText w:val="•"/>
      <w:lvlJc w:val="left"/>
      <w:pPr>
        <w:ind w:left="1898" w:hanging="203"/>
      </w:pPr>
      <w:rPr>
        <w:rFonts w:hint="default"/>
        <w:lang w:val="en-US" w:eastAsia="en-US" w:bidi="ar-SA"/>
      </w:rPr>
    </w:lvl>
    <w:lvl w:ilvl="5">
      <w:start w:val="0"/>
      <w:numFmt w:val="bullet"/>
      <w:lvlText w:val="•"/>
      <w:lvlJc w:val="left"/>
      <w:pPr>
        <w:ind w:left="2407" w:hanging="203"/>
      </w:pPr>
      <w:rPr>
        <w:rFonts w:hint="default"/>
        <w:lang w:val="en-US" w:eastAsia="en-US" w:bidi="ar-SA"/>
      </w:rPr>
    </w:lvl>
    <w:lvl w:ilvl="6">
      <w:start w:val="0"/>
      <w:numFmt w:val="bullet"/>
      <w:lvlText w:val="•"/>
      <w:lvlJc w:val="left"/>
      <w:pPr>
        <w:ind w:left="2916" w:hanging="203"/>
      </w:pPr>
      <w:rPr>
        <w:rFonts w:hint="default"/>
        <w:lang w:val="en-US" w:eastAsia="en-US" w:bidi="ar-SA"/>
      </w:rPr>
    </w:lvl>
    <w:lvl w:ilvl="7">
      <w:start w:val="0"/>
      <w:numFmt w:val="bullet"/>
      <w:lvlText w:val="•"/>
      <w:lvlJc w:val="left"/>
      <w:pPr>
        <w:ind w:left="3425" w:hanging="203"/>
      </w:pPr>
      <w:rPr>
        <w:rFonts w:hint="default"/>
        <w:lang w:val="en-US" w:eastAsia="en-US" w:bidi="ar-SA"/>
      </w:rPr>
    </w:lvl>
    <w:lvl w:ilvl="8">
      <w:start w:val="0"/>
      <w:numFmt w:val="bullet"/>
      <w:lvlText w:val="•"/>
      <w:lvlJc w:val="left"/>
      <w:pPr>
        <w:ind w:left="3934" w:hanging="203"/>
      </w:pPr>
      <w:rPr>
        <w:rFonts w:hint="default"/>
        <w:lang w:val="en-US" w:eastAsia="en-US" w:bidi="ar-SA"/>
      </w:rPr>
    </w:lvl>
  </w:abstractNum>
  <w:abstractNum w:abstractNumId="102">
    <w:multiLevelType w:val="hybridMultilevel"/>
    <w:lvl w:ilvl="0">
      <w:start w:val="0"/>
      <w:numFmt w:val="bullet"/>
      <w:lvlText w:val="•"/>
      <w:lvlJc w:val="left"/>
      <w:pPr>
        <w:ind w:left="6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0" w:hanging="150"/>
      </w:pPr>
      <w:rPr>
        <w:rFonts w:hint="default"/>
        <w:lang w:val="en-US" w:eastAsia="en-US" w:bidi="ar-SA"/>
      </w:rPr>
    </w:lvl>
    <w:lvl w:ilvl="2">
      <w:start w:val="0"/>
      <w:numFmt w:val="bullet"/>
      <w:lvlText w:val="•"/>
      <w:lvlJc w:val="left"/>
      <w:pPr>
        <w:ind w:left="1021" w:hanging="150"/>
      </w:pPr>
      <w:rPr>
        <w:rFonts w:hint="default"/>
        <w:lang w:val="en-US" w:eastAsia="en-US" w:bidi="ar-SA"/>
      </w:rPr>
    </w:lvl>
    <w:lvl w:ilvl="3">
      <w:start w:val="0"/>
      <w:numFmt w:val="bullet"/>
      <w:lvlText w:val="•"/>
      <w:lvlJc w:val="left"/>
      <w:pPr>
        <w:ind w:left="1501" w:hanging="150"/>
      </w:pPr>
      <w:rPr>
        <w:rFonts w:hint="default"/>
        <w:lang w:val="en-US" w:eastAsia="en-US" w:bidi="ar-SA"/>
      </w:rPr>
    </w:lvl>
    <w:lvl w:ilvl="4">
      <w:start w:val="0"/>
      <w:numFmt w:val="bullet"/>
      <w:lvlText w:val="•"/>
      <w:lvlJc w:val="left"/>
      <w:pPr>
        <w:ind w:left="1982" w:hanging="150"/>
      </w:pPr>
      <w:rPr>
        <w:rFonts w:hint="default"/>
        <w:lang w:val="en-US" w:eastAsia="en-US" w:bidi="ar-SA"/>
      </w:rPr>
    </w:lvl>
    <w:lvl w:ilvl="5">
      <w:start w:val="0"/>
      <w:numFmt w:val="bullet"/>
      <w:lvlText w:val="•"/>
      <w:lvlJc w:val="left"/>
      <w:pPr>
        <w:ind w:left="2463" w:hanging="150"/>
      </w:pPr>
      <w:rPr>
        <w:rFonts w:hint="default"/>
        <w:lang w:val="en-US" w:eastAsia="en-US" w:bidi="ar-SA"/>
      </w:rPr>
    </w:lvl>
    <w:lvl w:ilvl="6">
      <w:start w:val="0"/>
      <w:numFmt w:val="bullet"/>
      <w:lvlText w:val="•"/>
      <w:lvlJc w:val="left"/>
      <w:pPr>
        <w:ind w:left="2943" w:hanging="150"/>
      </w:pPr>
      <w:rPr>
        <w:rFonts w:hint="default"/>
        <w:lang w:val="en-US" w:eastAsia="en-US" w:bidi="ar-SA"/>
      </w:rPr>
    </w:lvl>
    <w:lvl w:ilvl="7">
      <w:start w:val="0"/>
      <w:numFmt w:val="bullet"/>
      <w:lvlText w:val="•"/>
      <w:lvlJc w:val="left"/>
      <w:pPr>
        <w:ind w:left="3424" w:hanging="150"/>
      </w:pPr>
      <w:rPr>
        <w:rFonts w:hint="default"/>
        <w:lang w:val="en-US" w:eastAsia="en-US" w:bidi="ar-SA"/>
      </w:rPr>
    </w:lvl>
    <w:lvl w:ilvl="8">
      <w:start w:val="0"/>
      <w:numFmt w:val="bullet"/>
      <w:lvlText w:val="•"/>
      <w:lvlJc w:val="left"/>
      <w:pPr>
        <w:ind w:left="3904" w:hanging="150"/>
      </w:pPr>
      <w:rPr>
        <w:rFonts w:hint="default"/>
        <w:lang w:val="en-US" w:eastAsia="en-US" w:bidi="ar-SA"/>
      </w:rPr>
    </w:lvl>
  </w:abstractNum>
  <w:abstractNum w:abstractNumId="101">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3"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2"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100">
    <w:multiLevelType w:val="hybridMultilevel"/>
    <w:lvl w:ilvl="0">
      <w:start w:val="0"/>
      <w:numFmt w:val="bullet"/>
      <w:lvlText w:val="•"/>
      <w:lvlJc w:val="left"/>
      <w:pPr>
        <w:ind w:left="7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2" w:hanging="150"/>
      </w:pPr>
      <w:rPr>
        <w:rFonts w:hint="default"/>
        <w:lang w:val="en-US" w:eastAsia="en-US" w:bidi="ar-SA"/>
      </w:rPr>
    </w:lvl>
    <w:lvl w:ilvl="2">
      <w:start w:val="0"/>
      <w:numFmt w:val="bullet"/>
      <w:lvlText w:val="•"/>
      <w:lvlJc w:val="left"/>
      <w:pPr>
        <w:ind w:left="1004" w:hanging="150"/>
      </w:pPr>
      <w:rPr>
        <w:rFonts w:hint="default"/>
        <w:lang w:val="en-US" w:eastAsia="en-US" w:bidi="ar-SA"/>
      </w:rPr>
    </w:lvl>
    <w:lvl w:ilvl="3">
      <w:start w:val="0"/>
      <w:numFmt w:val="bullet"/>
      <w:lvlText w:val="•"/>
      <w:lvlJc w:val="left"/>
      <w:pPr>
        <w:ind w:left="1466" w:hanging="150"/>
      </w:pPr>
      <w:rPr>
        <w:rFonts w:hint="default"/>
        <w:lang w:val="en-US" w:eastAsia="en-US" w:bidi="ar-SA"/>
      </w:rPr>
    </w:lvl>
    <w:lvl w:ilvl="4">
      <w:start w:val="0"/>
      <w:numFmt w:val="bullet"/>
      <w:lvlText w:val="•"/>
      <w:lvlJc w:val="left"/>
      <w:pPr>
        <w:ind w:left="1929" w:hanging="150"/>
      </w:pPr>
      <w:rPr>
        <w:rFonts w:hint="default"/>
        <w:lang w:val="en-US" w:eastAsia="en-US" w:bidi="ar-SA"/>
      </w:rPr>
    </w:lvl>
    <w:lvl w:ilvl="5">
      <w:start w:val="0"/>
      <w:numFmt w:val="bullet"/>
      <w:lvlText w:val="•"/>
      <w:lvlJc w:val="left"/>
      <w:pPr>
        <w:ind w:left="2391" w:hanging="150"/>
      </w:pPr>
      <w:rPr>
        <w:rFonts w:hint="default"/>
        <w:lang w:val="en-US" w:eastAsia="en-US" w:bidi="ar-SA"/>
      </w:rPr>
    </w:lvl>
    <w:lvl w:ilvl="6">
      <w:start w:val="0"/>
      <w:numFmt w:val="bullet"/>
      <w:lvlText w:val="•"/>
      <w:lvlJc w:val="left"/>
      <w:pPr>
        <w:ind w:left="2853" w:hanging="150"/>
      </w:pPr>
      <w:rPr>
        <w:rFonts w:hint="default"/>
        <w:lang w:val="en-US" w:eastAsia="en-US" w:bidi="ar-SA"/>
      </w:rPr>
    </w:lvl>
    <w:lvl w:ilvl="7">
      <w:start w:val="0"/>
      <w:numFmt w:val="bullet"/>
      <w:lvlText w:val="•"/>
      <w:lvlJc w:val="left"/>
      <w:pPr>
        <w:ind w:left="3316" w:hanging="150"/>
      </w:pPr>
      <w:rPr>
        <w:rFonts w:hint="default"/>
        <w:lang w:val="en-US" w:eastAsia="en-US" w:bidi="ar-SA"/>
      </w:rPr>
    </w:lvl>
    <w:lvl w:ilvl="8">
      <w:start w:val="0"/>
      <w:numFmt w:val="bullet"/>
      <w:lvlText w:val="•"/>
      <w:lvlJc w:val="left"/>
      <w:pPr>
        <w:ind w:left="3778" w:hanging="150"/>
      </w:pPr>
      <w:rPr>
        <w:rFonts w:hint="default"/>
        <w:lang w:val="en-US" w:eastAsia="en-US" w:bidi="ar-SA"/>
      </w:rPr>
    </w:lvl>
  </w:abstractNum>
  <w:abstractNum w:abstractNumId="99">
    <w:multiLevelType w:val="hybridMultilevel"/>
    <w:lvl w:ilvl="0">
      <w:start w:val="0"/>
      <w:numFmt w:val="bullet"/>
      <w:lvlText w:val="•"/>
      <w:lvlJc w:val="left"/>
      <w:pPr>
        <w:ind w:left="46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215" w:hanging="150"/>
      </w:pPr>
      <w:rPr>
        <w:rFonts w:hint="default"/>
        <w:lang w:val="en-US" w:eastAsia="en-US" w:bidi="ar-SA"/>
      </w:rPr>
    </w:lvl>
    <w:lvl w:ilvl="2">
      <w:start w:val="0"/>
      <w:numFmt w:val="bullet"/>
      <w:lvlText w:val="•"/>
      <w:lvlJc w:val="left"/>
      <w:pPr>
        <w:ind w:left="1971" w:hanging="150"/>
      </w:pPr>
      <w:rPr>
        <w:rFonts w:hint="default"/>
        <w:lang w:val="en-US" w:eastAsia="en-US" w:bidi="ar-SA"/>
      </w:rPr>
    </w:lvl>
    <w:lvl w:ilvl="3">
      <w:start w:val="0"/>
      <w:numFmt w:val="bullet"/>
      <w:lvlText w:val="•"/>
      <w:lvlJc w:val="left"/>
      <w:pPr>
        <w:ind w:left="2726" w:hanging="150"/>
      </w:pPr>
      <w:rPr>
        <w:rFonts w:hint="default"/>
        <w:lang w:val="en-US" w:eastAsia="en-US" w:bidi="ar-SA"/>
      </w:rPr>
    </w:lvl>
    <w:lvl w:ilvl="4">
      <w:start w:val="0"/>
      <w:numFmt w:val="bullet"/>
      <w:lvlText w:val="•"/>
      <w:lvlJc w:val="left"/>
      <w:pPr>
        <w:ind w:left="3482" w:hanging="150"/>
      </w:pPr>
      <w:rPr>
        <w:rFonts w:hint="default"/>
        <w:lang w:val="en-US" w:eastAsia="en-US" w:bidi="ar-SA"/>
      </w:rPr>
    </w:lvl>
    <w:lvl w:ilvl="5">
      <w:start w:val="0"/>
      <w:numFmt w:val="bullet"/>
      <w:lvlText w:val="•"/>
      <w:lvlJc w:val="left"/>
      <w:pPr>
        <w:ind w:left="4237" w:hanging="150"/>
      </w:pPr>
      <w:rPr>
        <w:rFonts w:hint="default"/>
        <w:lang w:val="en-US" w:eastAsia="en-US" w:bidi="ar-SA"/>
      </w:rPr>
    </w:lvl>
    <w:lvl w:ilvl="6">
      <w:start w:val="0"/>
      <w:numFmt w:val="bullet"/>
      <w:lvlText w:val="•"/>
      <w:lvlJc w:val="left"/>
      <w:pPr>
        <w:ind w:left="4993" w:hanging="150"/>
      </w:pPr>
      <w:rPr>
        <w:rFonts w:hint="default"/>
        <w:lang w:val="en-US" w:eastAsia="en-US" w:bidi="ar-SA"/>
      </w:rPr>
    </w:lvl>
    <w:lvl w:ilvl="7">
      <w:start w:val="0"/>
      <w:numFmt w:val="bullet"/>
      <w:lvlText w:val="•"/>
      <w:lvlJc w:val="left"/>
      <w:pPr>
        <w:ind w:left="5748" w:hanging="150"/>
      </w:pPr>
      <w:rPr>
        <w:rFonts w:hint="default"/>
        <w:lang w:val="en-US" w:eastAsia="en-US" w:bidi="ar-SA"/>
      </w:rPr>
    </w:lvl>
    <w:lvl w:ilvl="8">
      <w:start w:val="0"/>
      <w:numFmt w:val="bullet"/>
      <w:lvlText w:val="•"/>
      <w:lvlJc w:val="left"/>
      <w:pPr>
        <w:ind w:left="6504" w:hanging="150"/>
      </w:pPr>
      <w:rPr>
        <w:rFonts w:hint="default"/>
        <w:lang w:val="en-US" w:eastAsia="en-US" w:bidi="ar-SA"/>
      </w:rPr>
    </w:lvl>
  </w:abstractNum>
  <w:abstractNum w:abstractNumId="98">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68" w:hanging="150"/>
      </w:pPr>
      <w:rPr>
        <w:rFonts w:hint="default"/>
        <w:lang w:val="en-US" w:eastAsia="en-US" w:bidi="ar-SA"/>
      </w:rPr>
    </w:lvl>
    <w:lvl w:ilvl="2">
      <w:start w:val="0"/>
      <w:numFmt w:val="bullet"/>
      <w:lvlText w:val="•"/>
      <w:lvlJc w:val="left"/>
      <w:pPr>
        <w:ind w:left="1116" w:hanging="150"/>
      </w:pPr>
      <w:rPr>
        <w:rFonts w:hint="default"/>
        <w:lang w:val="en-US" w:eastAsia="en-US" w:bidi="ar-SA"/>
      </w:rPr>
    </w:lvl>
    <w:lvl w:ilvl="3">
      <w:start w:val="0"/>
      <w:numFmt w:val="bullet"/>
      <w:lvlText w:val="•"/>
      <w:lvlJc w:val="left"/>
      <w:pPr>
        <w:ind w:left="1564" w:hanging="150"/>
      </w:pPr>
      <w:rPr>
        <w:rFonts w:hint="default"/>
        <w:lang w:val="en-US" w:eastAsia="en-US" w:bidi="ar-SA"/>
      </w:rPr>
    </w:lvl>
    <w:lvl w:ilvl="4">
      <w:start w:val="0"/>
      <w:numFmt w:val="bullet"/>
      <w:lvlText w:val="•"/>
      <w:lvlJc w:val="left"/>
      <w:pPr>
        <w:ind w:left="2013" w:hanging="150"/>
      </w:pPr>
      <w:rPr>
        <w:rFonts w:hint="default"/>
        <w:lang w:val="en-US" w:eastAsia="en-US" w:bidi="ar-SA"/>
      </w:rPr>
    </w:lvl>
    <w:lvl w:ilvl="5">
      <w:start w:val="0"/>
      <w:numFmt w:val="bullet"/>
      <w:lvlText w:val="•"/>
      <w:lvlJc w:val="left"/>
      <w:pPr>
        <w:ind w:left="2461" w:hanging="150"/>
      </w:pPr>
      <w:rPr>
        <w:rFonts w:hint="default"/>
        <w:lang w:val="en-US" w:eastAsia="en-US" w:bidi="ar-SA"/>
      </w:rPr>
    </w:lvl>
    <w:lvl w:ilvl="6">
      <w:start w:val="0"/>
      <w:numFmt w:val="bullet"/>
      <w:lvlText w:val="•"/>
      <w:lvlJc w:val="left"/>
      <w:pPr>
        <w:ind w:left="2909" w:hanging="150"/>
      </w:pPr>
      <w:rPr>
        <w:rFonts w:hint="default"/>
        <w:lang w:val="en-US" w:eastAsia="en-US" w:bidi="ar-SA"/>
      </w:rPr>
    </w:lvl>
    <w:lvl w:ilvl="7">
      <w:start w:val="0"/>
      <w:numFmt w:val="bullet"/>
      <w:lvlText w:val="•"/>
      <w:lvlJc w:val="left"/>
      <w:pPr>
        <w:ind w:left="3358" w:hanging="150"/>
      </w:pPr>
      <w:rPr>
        <w:rFonts w:hint="default"/>
        <w:lang w:val="en-US" w:eastAsia="en-US" w:bidi="ar-SA"/>
      </w:rPr>
    </w:lvl>
    <w:lvl w:ilvl="8">
      <w:start w:val="0"/>
      <w:numFmt w:val="bullet"/>
      <w:lvlText w:val="•"/>
      <w:lvlJc w:val="left"/>
      <w:pPr>
        <w:ind w:left="3806" w:hanging="150"/>
      </w:pPr>
      <w:rPr>
        <w:rFonts w:hint="default"/>
        <w:lang w:val="en-US" w:eastAsia="en-US" w:bidi="ar-SA"/>
      </w:rPr>
    </w:lvl>
  </w:abstractNum>
  <w:abstractNum w:abstractNumId="97">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68" w:hanging="150"/>
      </w:pPr>
      <w:rPr>
        <w:rFonts w:hint="default"/>
        <w:lang w:val="en-US" w:eastAsia="en-US" w:bidi="ar-SA"/>
      </w:rPr>
    </w:lvl>
    <w:lvl w:ilvl="2">
      <w:start w:val="0"/>
      <w:numFmt w:val="bullet"/>
      <w:lvlText w:val="•"/>
      <w:lvlJc w:val="left"/>
      <w:pPr>
        <w:ind w:left="1116" w:hanging="150"/>
      </w:pPr>
      <w:rPr>
        <w:rFonts w:hint="default"/>
        <w:lang w:val="en-US" w:eastAsia="en-US" w:bidi="ar-SA"/>
      </w:rPr>
    </w:lvl>
    <w:lvl w:ilvl="3">
      <w:start w:val="0"/>
      <w:numFmt w:val="bullet"/>
      <w:lvlText w:val="•"/>
      <w:lvlJc w:val="left"/>
      <w:pPr>
        <w:ind w:left="1564" w:hanging="150"/>
      </w:pPr>
      <w:rPr>
        <w:rFonts w:hint="default"/>
        <w:lang w:val="en-US" w:eastAsia="en-US" w:bidi="ar-SA"/>
      </w:rPr>
    </w:lvl>
    <w:lvl w:ilvl="4">
      <w:start w:val="0"/>
      <w:numFmt w:val="bullet"/>
      <w:lvlText w:val="•"/>
      <w:lvlJc w:val="left"/>
      <w:pPr>
        <w:ind w:left="2013" w:hanging="150"/>
      </w:pPr>
      <w:rPr>
        <w:rFonts w:hint="default"/>
        <w:lang w:val="en-US" w:eastAsia="en-US" w:bidi="ar-SA"/>
      </w:rPr>
    </w:lvl>
    <w:lvl w:ilvl="5">
      <w:start w:val="0"/>
      <w:numFmt w:val="bullet"/>
      <w:lvlText w:val="•"/>
      <w:lvlJc w:val="left"/>
      <w:pPr>
        <w:ind w:left="2461" w:hanging="150"/>
      </w:pPr>
      <w:rPr>
        <w:rFonts w:hint="default"/>
        <w:lang w:val="en-US" w:eastAsia="en-US" w:bidi="ar-SA"/>
      </w:rPr>
    </w:lvl>
    <w:lvl w:ilvl="6">
      <w:start w:val="0"/>
      <w:numFmt w:val="bullet"/>
      <w:lvlText w:val="•"/>
      <w:lvlJc w:val="left"/>
      <w:pPr>
        <w:ind w:left="2909" w:hanging="150"/>
      </w:pPr>
      <w:rPr>
        <w:rFonts w:hint="default"/>
        <w:lang w:val="en-US" w:eastAsia="en-US" w:bidi="ar-SA"/>
      </w:rPr>
    </w:lvl>
    <w:lvl w:ilvl="7">
      <w:start w:val="0"/>
      <w:numFmt w:val="bullet"/>
      <w:lvlText w:val="•"/>
      <w:lvlJc w:val="left"/>
      <w:pPr>
        <w:ind w:left="3358" w:hanging="150"/>
      </w:pPr>
      <w:rPr>
        <w:rFonts w:hint="default"/>
        <w:lang w:val="en-US" w:eastAsia="en-US" w:bidi="ar-SA"/>
      </w:rPr>
    </w:lvl>
    <w:lvl w:ilvl="8">
      <w:start w:val="0"/>
      <w:numFmt w:val="bullet"/>
      <w:lvlText w:val="•"/>
      <w:lvlJc w:val="left"/>
      <w:pPr>
        <w:ind w:left="3806" w:hanging="150"/>
      </w:pPr>
      <w:rPr>
        <w:rFonts w:hint="default"/>
        <w:lang w:val="en-US" w:eastAsia="en-US" w:bidi="ar-SA"/>
      </w:rPr>
    </w:lvl>
  </w:abstractNum>
  <w:abstractNum w:abstractNumId="96">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68" w:hanging="150"/>
      </w:pPr>
      <w:rPr>
        <w:rFonts w:hint="default"/>
        <w:lang w:val="en-US" w:eastAsia="en-US" w:bidi="ar-SA"/>
      </w:rPr>
    </w:lvl>
    <w:lvl w:ilvl="2">
      <w:start w:val="0"/>
      <w:numFmt w:val="bullet"/>
      <w:lvlText w:val="•"/>
      <w:lvlJc w:val="left"/>
      <w:pPr>
        <w:ind w:left="1116" w:hanging="150"/>
      </w:pPr>
      <w:rPr>
        <w:rFonts w:hint="default"/>
        <w:lang w:val="en-US" w:eastAsia="en-US" w:bidi="ar-SA"/>
      </w:rPr>
    </w:lvl>
    <w:lvl w:ilvl="3">
      <w:start w:val="0"/>
      <w:numFmt w:val="bullet"/>
      <w:lvlText w:val="•"/>
      <w:lvlJc w:val="left"/>
      <w:pPr>
        <w:ind w:left="1564" w:hanging="150"/>
      </w:pPr>
      <w:rPr>
        <w:rFonts w:hint="default"/>
        <w:lang w:val="en-US" w:eastAsia="en-US" w:bidi="ar-SA"/>
      </w:rPr>
    </w:lvl>
    <w:lvl w:ilvl="4">
      <w:start w:val="0"/>
      <w:numFmt w:val="bullet"/>
      <w:lvlText w:val="•"/>
      <w:lvlJc w:val="left"/>
      <w:pPr>
        <w:ind w:left="2013" w:hanging="150"/>
      </w:pPr>
      <w:rPr>
        <w:rFonts w:hint="default"/>
        <w:lang w:val="en-US" w:eastAsia="en-US" w:bidi="ar-SA"/>
      </w:rPr>
    </w:lvl>
    <w:lvl w:ilvl="5">
      <w:start w:val="0"/>
      <w:numFmt w:val="bullet"/>
      <w:lvlText w:val="•"/>
      <w:lvlJc w:val="left"/>
      <w:pPr>
        <w:ind w:left="2461" w:hanging="150"/>
      </w:pPr>
      <w:rPr>
        <w:rFonts w:hint="default"/>
        <w:lang w:val="en-US" w:eastAsia="en-US" w:bidi="ar-SA"/>
      </w:rPr>
    </w:lvl>
    <w:lvl w:ilvl="6">
      <w:start w:val="0"/>
      <w:numFmt w:val="bullet"/>
      <w:lvlText w:val="•"/>
      <w:lvlJc w:val="left"/>
      <w:pPr>
        <w:ind w:left="2909" w:hanging="150"/>
      </w:pPr>
      <w:rPr>
        <w:rFonts w:hint="default"/>
        <w:lang w:val="en-US" w:eastAsia="en-US" w:bidi="ar-SA"/>
      </w:rPr>
    </w:lvl>
    <w:lvl w:ilvl="7">
      <w:start w:val="0"/>
      <w:numFmt w:val="bullet"/>
      <w:lvlText w:val="•"/>
      <w:lvlJc w:val="left"/>
      <w:pPr>
        <w:ind w:left="3358" w:hanging="150"/>
      </w:pPr>
      <w:rPr>
        <w:rFonts w:hint="default"/>
        <w:lang w:val="en-US" w:eastAsia="en-US" w:bidi="ar-SA"/>
      </w:rPr>
    </w:lvl>
    <w:lvl w:ilvl="8">
      <w:start w:val="0"/>
      <w:numFmt w:val="bullet"/>
      <w:lvlText w:val="•"/>
      <w:lvlJc w:val="left"/>
      <w:pPr>
        <w:ind w:left="3806" w:hanging="150"/>
      </w:pPr>
      <w:rPr>
        <w:rFonts w:hint="default"/>
        <w:lang w:val="en-US" w:eastAsia="en-US" w:bidi="ar-SA"/>
      </w:rPr>
    </w:lvl>
  </w:abstractNum>
  <w:abstractNum w:abstractNumId="95">
    <w:multiLevelType w:val="hybridMultilevel"/>
    <w:lvl w:ilvl="0">
      <w:start w:val="0"/>
      <w:numFmt w:val="bullet"/>
      <w:lvlText w:val="•"/>
      <w:lvlJc w:val="left"/>
      <w:pPr>
        <w:ind w:left="7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37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2">
      <w:start w:val="0"/>
      <w:numFmt w:val="bullet"/>
      <w:lvlText w:val="•"/>
      <w:lvlJc w:val="left"/>
      <w:pPr>
        <w:ind w:left="860" w:hanging="150"/>
      </w:pPr>
      <w:rPr>
        <w:rFonts w:hint="default"/>
        <w:lang w:val="en-US" w:eastAsia="en-US" w:bidi="ar-SA"/>
      </w:rPr>
    </w:lvl>
    <w:lvl w:ilvl="3">
      <w:start w:val="0"/>
      <w:numFmt w:val="bullet"/>
      <w:lvlText w:val="•"/>
      <w:lvlJc w:val="left"/>
      <w:pPr>
        <w:ind w:left="1340" w:hanging="150"/>
      </w:pPr>
      <w:rPr>
        <w:rFonts w:hint="default"/>
        <w:lang w:val="en-US" w:eastAsia="en-US" w:bidi="ar-SA"/>
      </w:rPr>
    </w:lvl>
    <w:lvl w:ilvl="4">
      <w:start w:val="0"/>
      <w:numFmt w:val="bullet"/>
      <w:lvlText w:val="•"/>
      <w:lvlJc w:val="left"/>
      <w:pPr>
        <w:ind w:left="1820" w:hanging="150"/>
      </w:pPr>
      <w:rPr>
        <w:rFonts w:hint="default"/>
        <w:lang w:val="en-US" w:eastAsia="en-US" w:bidi="ar-SA"/>
      </w:rPr>
    </w:lvl>
    <w:lvl w:ilvl="5">
      <w:start w:val="0"/>
      <w:numFmt w:val="bullet"/>
      <w:lvlText w:val="•"/>
      <w:lvlJc w:val="left"/>
      <w:pPr>
        <w:ind w:left="2301" w:hanging="150"/>
      </w:pPr>
      <w:rPr>
        <w:rFonts w:hint="default"/>
        <w:lang w:val="en-US" w:eastAsia="en-US" w:bidi="ar-SA"/>
      </w:rPr>
    </w:lvl>
    <w:lvl w:ilvl="6">
      <w:start w:val="0"/>
      <w:numFmt w:val="bullet"/>
      <w:lvlText w:val="•"/>
      <w:lvlJc w:val="left"/>
      <w:pPr>
        <w:ind w:left="2781" w:hanging="150"/>
      </w:pPr>
      <w:rPr>
        <w:rFonts w:hint="default"/>
        <w:lang w:val="en-US" w:eastAsia="en-US" w:bidi="ar-SA"/>
      </w:rPr>
    </w:lvl>
    <w:lvl w:ilvl="7">
      <w:start w:val="0"/>
      <w:numFmt w:val="bullet"/>
      <w:lvlText w:val="•"/>
      <w:lvlJc w:val="left"/>
      <w:pPr>
        <w:ind w:left="3261" w:hanging="150"/>
      </w:pPr>
      <w:rPr>
        <w:rFonts w:hint="default"/>
        <w:lang w:val="en-US" w:eastAsia="en-US" w:bidi="ar-SA"/>
      </w:rPr>
    </w:lvl>
    <w:lvl w:ilvl="8">
      <w:start w:val="0"/>
      <w:numFmt w:val="bullet"/>
      <w:lvlText w:val="•"/>
      <w:lvlJc w:val="left"/>
      <w:pPr>
        <w:ind w:left="3741" w:hanging="150"/>
      </w:pPr>
      <w:rPr>
        <w:rFonts w:hint="default"/>
        <w:lang w:val="en-US" w:eastAsia="en-US" w:bidi="ar-SA"/>
      </w:rPr>
    </w:lvl>
  </w:abstractNum>
  <w:abstractNum w:abstractNumId="94">
    <w:multiLevelType w:val="hybridMultilevel"/>
    <w:lvl w:ilvl="0">
      <w:start w:val="0"/>
      <w:numFmt w:val="bullet"/>
      <w:lvlText w:val="•"/>
      <w:lvlJc w:val="left"/>
      <w:pPr>
        <w:ind w:left="7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2" w:hanging="150"/>
      </w:pPr>
      <w:rPr>
        <w:rFonts w:hint="default"/>
        <w:lang w:val="en-US" w:eastAsia="en-US" w:bidi="ar-SA"/>
      </w:rPr>
    </w:lvl>
    <w:lvl w:ilvl="2">
      <w:start w:val="0"/>
      <w:numFmt w:val="bullet"/>
      <w:lvlText w:val="•"/>
      <w:lvlJc w:val="left"/>
      <w:pPr>
        <w:ind w:left="1004" w:hanging="150"/>
      </w:pPr>
      <w:rPr>
        <w:rFonts w:hint="default"/>
        <w:lang w:val="en-US" w:eastAsia="en-US" w:bidi="ar-SA"/>
      </w:rPr>
    </w:lvl>
    <w:lvl w:ilvl="3">
      <w:start w:val="0"/>
      <w:numFmt w:val="bullet"/>
      <w:lvlText w:val="•"/>
      <w:lvlJc w:val="left"/>
      <w:pPr>
        <w:ind w:left="1466" w:hanging="150"/>
      </w:pPr>
      <w:rPr>
        <w:rFonts w:hint="default"/>
        <w:lang w:val="en-US" w:eastAsia="en-US" w:bidi="ar-SA"/>
      </w:rPr>
    </w:lvl>
    <w:lvl w:ilvl="4">
      <w:start w:val="0"/>
      <w:numFmt w:val="bullet"/>
      <w:lvlText w:val="•"/>
      <w:lvlJc w:val="left"/>
      <w:pPr>
        <w:ind w:left="1928" w:hanging="150"/>
      </w:pPr>
      <w:rPr>
        <w:rFonts w:hint="default"/>
        <w:lang w:val="en-US" w:eastAsia="en-US" w:bidi="ar-SA"/>
      </w:rPr>
    </w:lvl>
    <w:lvl w:ilvl="5">
      <w:start w:val="0"/>
      <w:numFmt w:val="bullet"/>
      <w:lvlText w:val="•"/>
      <w:lvlJc w:val="left"/>
      <w:pPr>
        <w:ind w:left="2391" w:hanging="150"/>
      </w:pPr>
      <w:rPr>
        <w:rFonts w:hint="default"/>
        <w:lang w:val="en-US" w:eastAsia="en-US" w:bidi="ar-SA"/>
      </w:rPr>
    </w:lvl>
    <w:lvl w:ilvl="6">
      <w:start w:val="0"/>
      <w:numFmt w:val="bullet"/>
      <w:lvlText w:val="•"/>
      <w:lvlJc w:val="left"/>
      <w:pPr>
        <w:ind w:left="2853" w:hanging="150"/>
      </w:pPr>
      <w:rPr>
        <w:rFonts w:hint="default"/>
        <w:lang w:val="en-US" w:eastAsia="en-US" w:bidi="ar-SA"/>
      </w:rPr>
    </w:lvl>
    <w:lvl w:ilvl="7">
      <w:start w:val="0"/>
      <w:numFmt w:val="bullet"/>
      <w:lvlText w:val="•"/>
      <w:lvlJc w:val="left"/>
      <w:pPr>
        <w:ind w:left="3315" w:hanging="150"/>
      </w:pPr>
      <w:rPr>
        <w:rFonts w:hint="default"/>
        <w:lang w:val="en-US" w:eastAsia="en-US" w:bidi="ar-SA"/>
      </w:rPr>
    </w:lvl>
    <w:lvl w:ilvl="8">
      <w:start w:val="0"/>
      <w:numFmt w:val="bullet"/>
      <w:lvlText w:val="•"/>
      <w:lvlJc w:val="left"/>
      <w:pPr>
        <w:ind w:left="3777" w:hanging="150"/>
      </w:pPr>
      <w:rPr>
        <w:rFonts w:hint="default"/>
        <w:lang w:val="en-US" w:eastAsia="en-US" w:bidi="ar-SA"/>
      </w:rPr>
    </w:lvl>
  </w:abstractNum>
  <w:abstractNum w:abstractNumId="93">
    <w:multiLevelType w:val="hybridMultilevel"/>
    <w:lvl w:ilvl="0">
      <w:start w:val="3"/>
      <w:numFmt w:val="upperRoman"/>
      <w:lvlText w:val="%1."/>
      <w:lvlJc w:val="left"/>
      <w:pPr>
        <w:ind w:left="311" w:hanging="232"/>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1">
      <w:start w:val="1"/>
      <w:numFmt w:val="upperLetter"/>
      <w:lvlText w:val="%2."/>
      <w:lvlJc w:val="left"/>
      <w:pPr>
        <w:ind w:left="557" w:hanging="21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2">
      <w:start w:val="0"/>
      <w:numFmt w:val="bullet"/>
      <w:lvlText w:val="•"/>
      <w:lvlJc w:val="left"/>
      <w:pPr>
        <w:ind w:left="1038" w:hanging="216"/>
      </w:pPr>
      <w:rPr>
        <w:rFonts w:hint="default"/>
        <w:lang w:val="en-US" w:eastAsia="en-US" w:bidi="ar-SA"/>
      </w:rPr>
    </w:lvl>
    <w:lvl w:ilvl="3">
      <w:start w:val="0"/>
      <w:numFmt w:val="bullet"/>
      <w:lvlText w:val="•"/>
      <w:lvlJc w:val="left"/>
      <w:pPr>
        <w:ind w:left="1516" w:hanging="216"/>
      </w:pPr>
      <w:rPr>
        <w:rFonts w:hint="default"/>
        <w:lang w:val="en-US" w:eastAsia="en-US" w:bidi="ar-SA"/>
      </w:rPr>
    </w:lvl>
    <w:lvl w:ilvl="4">
      <w:start w:val="0"/>
      <w:numFmt w:val="bullet"/>
      <w:lvlText w:val="•"/>
      <w:lvlJc w:val="left"/>
      <w:pPr>
        <w:ind w:left="1995" w:hanging="216"/>
      </w:pPr>
      <w:rPr>
        <w:rFonts w:hint="default"/>
        <w:lang w:val="en-US" w:eastAsia="en-US" w:bidi="ar-SA"/>
      </w:rPr>
    </w:lvl>
    <w:lvl w:ilvl="5">
      <w:start w:val="0"/>
      <w:numFmt w:val="bullet"/>
      <w:lvlText w:val="•"/>
      <w:lvlJc w:val="left"/>
      <w:pPr>
        <w:ind w:left="2473" w:hanging="216"/>
      </w:pPr>
      <w:rPr>
        <w:rFonts w:hint="default"/>
        <w:lang w:val="en-US" w:eastAsia="en-US" w:bidi="ar-SA"/>
      </w:rPr>
    </w:lvl>
    <w:lvl w:ilvl="6">
      <w:start w:val="0"/>
      <w:numFmt w:val="bullet"/>
      <w:lvlText w:val="•"/>
      <w:lvlJc w:val="left"/>
      <w:pPr>
        <w:ind w:left="2952" w:hanging="216"/>
      </w:pPr>
      <w:rPr>
        <w:rFonts w:hint="default"/>
        <w:lang w:val="en-US" w:eastAsia="en-US" w:bidi="ar-SA"/>
      </w:rPr>
    </w:lvl>
    <w:lvl w:ilvl="7">
      <w:start w:val="0"/>
      <w:numFmt w:val="bullet"/>
      <w:lvlText w:val="•"/>
      <w:lvlJc w:val="left"/>
      <w:pPr>
        <w:ind w:left="3430" w:hanging="216"/>
      </w:pPr>
      <w:rPr>
        <w:rFonts w:hint="default"/>
        <w:lang w:val="en-US" w:eastAsia="en-US" w:bidi="ar-SA"/>
      </w:rPr>
    </w:lvl>
    <w:lvl w:ilvl="8">
      <w:start w:val="0"/>
      <w:numFmt w:val="bullet"/>
      <w:lvlText w:val="•"/>
      <w:lvlJc w:val="left"/>
      <w:pPr>
        <w:ind w:left="3909" w:hanging="216"/>
      </w:pPr>
      <w:rPr>
        <w:rFonts w:hint="default"/>
        <w:lang w:val="en-US" w:eastAsia="en-US" w:bidi="ar-SA"/>
      </w:rPr>
    </w:lvl>
  </w:abstractNum>
  <w:abstractNum w:abstractNumId="92">
    <w:multiLevelType w:val="hybridMultilevel"/>
    <w:lvl w:ilvl="0">
      <w:start w:val="1"/>
      <w:numFmt w:val="upperLetter"/>
      <w:lvlText w:val="%1."/>
      <w:lvlJc w:val="left"/>
      <w:pPr>
        <w:ind w:left="563" w:hanging="21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0"/>
      <w:numFmt w:val="bullet"/>
      <w:lvlText w:val="•"/>
      <w:lvlJc w:val="left"/>
      <w:pPr>
        <w:ind w:left="990" w:hanging="216"/>
      </w:pPr>
      <w:rPr>
        <w:rFonts w:hint="default"/>
        <w:lang w:val="en-US" w:eastAsia="en-US" w:bidi="ar-SA"/>
      </w:rPr>
    </w:lvl>
    <w:lvl w:ilvl="2">
      <w:start w:val="0"/>
      <w:numFmt w:val="bullet"/>
      <w:lvlText w:val="•"/>
      <w:lvlJc w:val="left"/>
      <w:pPr>
        <w:ind w:left="1421" w:hanging="216"/>
      </w:pPr>
      <w:rPr>
        <w:rFonts w:hint="default"/>
        <w:lang w:val="en-US" w:eastAsia="en-US" w:bidi="ar-SA"/>
      </w:rPr>
    </w:lvl>
    <w:lvl w:ilvl="3">
      <w:start w:val="0"/>
      <w:numFmt w:val="bullet"/>
      <w:lvlText w:val="•"/>
      <w:lvlJc w:val="left"/>
      <w:pPr>
        <w:ind w:left="1851" w:hanging="216"/>
      </w:pPr>
      <w:rPr>
        <w:rFonts w:hint="default"/>
        <w:lang w:val="en-US" w:eastAsia="en-US" w:bidi="ar-SA"/>
      </w:rPr>
    </w:lvl>
    <w:lvl w:ilvl="4">
      <w:start w:val="0"/>
      <w:numFmt w:val="bullet"/>
      <w:lvlText w:val="•"/>
      <w:lvlJc w:val="left"/>
      <w:pPr>
        <w:ind w:left="2282" w:hanging="216"/>
      </w:pPr>
      <w:rPr>
        <w:rFonts w:hint="default"/>
        <w:lang w:val="en-US" w:eastAsia="en-US" w:bidi="ar-SA"/>
      </w:rPr>
    </w:lvl>
    <w:lvl w:ilvl="5">
      <w:start w:val="0"/>
      <w:numFmt w:val="bullet"/>
      <w:lvlText w:val="•"/>
      <w:lvlJc w:val="left"/>
      <w:pPr>
        <w:ind w:left="2713" w:hanging="216"/>
      </w:pPr>
      <w:rPr>
        <w:rFonts w:hint="default"/>
        <w:lang w:val="en-US" w:eastAsia="en-US" w:bidi="ar-SA"/>
      </w:rPr>
    </w:lvl>
    <w:lvl w:ilvl="6">
      <w:start w:val="0"/>
      <w:numFmt w:val="bullet"/>
      <w:lvlText w:val="•"/>
      <w:lvlJc w:val="left"/>
      <w:pPr>
        <w:ind w:left="3143" w:hanging="216"/>
      </w:pPr>
      <w:rPr>
        <w:rFonts w:hint="default"/>
        <w:lang w:val="en-US" w:eastAsia="en-US" w:bidi="ar-SA"/>
      </w:rPr>
    </w:lvl>
    <w:lvl w:ilvl="7">
      <w:start w:val="0"/>
      <w:numFmt w:val="bullet"/>
      <w:lvlText w:val="•"/>
      <w:lvlJc w:val="left"/>
      <w:pPr>
        <w:ind w:left="3574" w:hanging="216"/>
      </w:pPr>
      <w:rPr>
        <w:rFonts w:hint="default"/>
        <w:lang w:val="en-US" w:eastAsia="en-US" w:bidi="ar-SA"/>
      </w:rPr>
    </w:lvl>
    <w:lvl w:ilvl="8">
      <w:start w:val="0"/>
      <w:numFmt w:val="bullet"/>
      <w:lvlText w:val="•"/>
      <w:lvlJc w:val="left"/>
      <w:pPr>
        <w:ind w:left="4004" w:hanging="216"/>
      </w:pPr>
      <w:rPr>
        <w:rFonts w:hint="default"/>
        <w:lang w:val="en-US" w:eastAsia="en-US" w:bidi="ar-SA"/>
      </w:rPr>
    </w:lvl>
  </w:abstractNum>
  <w:abstractNum w:abstractNumId="91">
    <w:multiLevelType w:val="hybridMultilevel"/>
    <w:lvl w:ilvl="0">
      <w:start w:val="1"/>
      <w:numFmt w:val="upperLetter"/>
      <w:lvlText w:val="%1."/>
      <w:lvlJc w:val="left"/>
      <w:pPr>
        <w:ind w:left="563" w:hanging="21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832" w:hanging="192"/>
        <w:jc w:val="righ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1"/>
      <w:numFmt w:val="lowerLetter"/>
      <w:lvlText w:val="%3."/>
      <w:lvlJc w:val="left"/>
      <w:pPr>
        <w:ind w:left="1035" w:hanging="204"/>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3">
      <w:start w:val="0"/>
      <w:numFmt w:val="bullet"/>
      <w:lvlText w:val="•"/>
      <w:lvlJc w:val="left"/>
      <w:pPr>
        <w:ind w:left="1518" w:hanging="204"/>
      </w:pPr>
      <w:rPr>
        <w:rFonts w:hint="default"/>
        <w:lang w:val="en-US" w:eastAsia="en-US" w:bidi="ar-SA"/>
      </w:rPr>
    </w:lvl>
    <w:lvl w:ilvl="4">
      <w:start w:val="0"/>
      <w:numFmt w:val="bullet"/>
      <w:lvlText w:val="•"/>
      <w:lvlJc w:val="left"/>
      <w:pPr>
        <w:ind w:left="1996" w:hanging="204"/>
      </w:pPr>
      <w:rPr>
        <w:rFonts w:hint="default"/>
        <w:lang w:val="en-US" w:eastAsia="en-US" w:bidi="ar-SA"/>
      </w:rPr>
    </w:lvl>
    <w:lvl w:ilvl="5">
      <w:start w:val="0"/>
      <w:numFmt w:val="bullet"/>
      <w:lvlText w:val="•"/>
      <w:lvlJc w:val="left"/>
      <w:pPr>
        <w:ind w:left="2474" w:hanging="204"/>
      </w:pPr>
      <w:rPr>
        <w:rFonts w:hint="default"/>
        <w:lang w:val="en-US" w:eastAsia="en-US" w:bidi="ar-SA"/>
      </w:rPr>
    </w:lvl>
    <w:lvl w:ilvl="6">
      <w:start w:val="0"/>
      <w:numFmt w:val="bullet"/>
      <w:lvlText w:val="•"/>
      <w:lvlJc w:val="left"/>
      <w:pPr>
        <w:ind w:left="2953" w:hanging="204"/>
      </w:pPr>
      <w:rPr>
        <w:rFonts w:hint="default"/>
        <w:lang w:val="en-US" w:eastAsia="en-US" w:bidi="ar-SA"/>
      </w:rPr>
    </w:lvl>
    <w:lvl w:ilvl="7">
      <w:start w:val="0"/>
      <w:numFmt w:val="bullet"/>
      <w:lvlText w:val="•"/>
      <w:lvlJc w:val="left"/>
      <w:pPr>
        <w:ind w:left="3431" w:hanging="204"/>
      </w:pPr>
      <w:rPr>
        <w:rFonts w:hint="default"/>
        <w:lang w:val="en-US" w:eastAsia="en-US" w:bidi="ar-SA"/>
      </w:rPr>
    </w:lvl>
    <w:lvl w:ilvl="8">
      <w:start w:val="0"/>
      <w:numFmt w:val="bullet"/>
      <w:lvlText w:val="•"/>
      <w:lvlJc w:val="left"/>
      <w:pPr>
        <w:ind w:left="3909" w:hanging="204"/>
      </w:pPr>
      <w:rPr>
        <w:rFonts w:hint="default"/>
        <w:lang w:val="en-US" w:eastAsia="en-US" w:bidi="ar-SA"/>
      </w:rPr>
    </w:lvl>
  </w:abstractNum>
  <w:abstractNum w:abstractNumId="90">
    <w:multiLevelType w:val="hybridMultilevel"/>
    <w:lvl w:ilvl="0">
      <w:start w:val="1"/>
      <w:numFmt w:val="decimal"/>
      <w:lvlText w:val="%1."/>
      <w:lvlJc w:val="left"/>
      <w:pPr>
        <w:ind w:left="261"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1">
      <w:start w:val="1"/>
      <w:numFmt w:val="lowerLetter"/>
      <w:lvlText w:val="%2."/>
      <w:lvlJc w:val="left"/>
      <w:pPr>
        <w:ind w:left="466" w:hanging="206"/>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2">
      <w:start w:val="0"/>
      <w:numFmt w:val="bullet"/>
      <w:lvlText w:val="•"/>
      <w:lvlJc w:val="left"/>
      <w:pPr>
        <w:ind w:left="950" w:hanging="206"/>
      </w:pPr>
      <w:rPr>
        <w:rFonts w:hint="default"/>
        <w:lang w:val="en-US" w:eastAsia="en-US" w:bidi="ar-SA"/>
      </w:rPr>
    </w:lvl>
    <w:lvl w:ilvl="3">
      <w:start w:val="0"/>
      <w:numFmt w:val="bullet"/>
      <w:lvlText w:val="•"/>
      <w:lvlJc w:val="left"/>
      <w:pPr>
        <w:ind w:left="1441" w:hanging="206"/>
      </w:pPr>
      <w:rPr>
        <w:rFonts w:hint="default"/>
        <w:lang w:val="en-US" w:eastAsia="en-US" w:bidi="ar-SA"/>
      </w:rPr>
    </w:lvl>
    <w:lvl w:ilvl="4">
      <w:start w:val="0"/>
      <w:numFmt w:val="bullet"/>
      <w:lvlText w:val="•"/>
      <w:lvlJc w:val="left"/>
      <w:pPr>
        <w:ind w:left="1932" w:hanging="206"/>
      </w:pPr>
      <w:rPr>
        <w:rFonts w:hint="default"/>
        <w:lang w:val="en-US" w:eastAsia="en-US" w:bidi="ar-SA"/>
      </w:rPr>
    </w:lvl>
    <w:lvl w:ilvl="5">
      <w:start w:val="0"/>
      <w:numFmt w:val="bullet"/>
      <w:lvlText w:val="•"/>
      <w:lvlJc w:val="left"/>
      <w:pPr>
        <w:ind w:left="2423" w:hanging="206"/>
      </w:pPr>
      <w:rPr>
        <w:rFonts w:hint="default"/>
        <w:lang w:val="en-US" w:eastAsia="en-US" w:bidi="ar-SA"/>
      </w:rPr>
    </w:lvl>
    <w:lvl w:ilvl="6">
      <w:start w:val="0"/>
      <w:numFmt w:val="bullet"/>
      <w:lvlText w:val="•"/>
      <w:lvlJc w:val="left"/>
      <w:pPr>
        <w:ind w:left="2913" w:hanging="206"/>
      </w:pPr>
      <w:rPr>
        <w:rFonts w:hint="default"/>
        <w:lang w:val="en-US" w:eastAsia="en-US" w:bidi="ar-SA"/>
      </w:rPr>
    </w:lvl>
    <w:lvl w:ilvl="7">
      <w:start w:val="0"/>
      <w:numFmt w:val="bullet"/>
      <w:lvlText w:val="•"/>
      <w:lvlJc w:val="left"/>
      <w:pPr>
        <w:ind w:left="3404" w:hanging="206"/>
      </w:pPr>
      <w:rPr>
        <w:rFonts w:hint="default"/>
        <w:lang w:val="en-US" w:eastAsia="en-US" w:bidi="ar-SA"/>
      </w:rPr>
    </w:lvl>
    <w:lvl w:ilvl="8">
      <w:start w:val="0"/>
      <w:numFmt w:val="bullet"/>
      <w:lvlText w:val="•"/>
      <w:lvlJc w:val="left"/>
      <w:pPr>
        <w:ind w:left="3895" w:hanging="206"/>
      </w:pPr>
      <w:rPr>
        <w:rFonts w:hint="default"/>
        <w:lang w:val="en-US" w:eastAsia="en-US" w:bidi="ar-SA"/>
      </w:rPr>
    </w:lvl>
  </w:abstractNum>
  <w:abstractNum w:abstractNumId="89">
    <w:multiLevelType w:val="hybridMultilevel"/>
    <w:lvl w:ilvl="0">
      <w:start w:val="1"/>
      <w:numFmt w:val="decimal"/>
      <w:lvlText w:val="%1."/>
      <w:lvlJc w:val="left"/>
      <w:pPr>
        <w:ind w:left="290"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1">
      <w:start w:val="1"/>
      <w:numFmt w:val="lowerLetter"/>
      <w:lvlText w:val="%2."/>
      <w:lvlJc w:val="left"/>
      <w:pPr>
        <w:ind w:left="495" w:hanging="206"/>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2">
      <w:start w:val="1"/>
      <w:numFmt w:val="lowerRoman"/>
      <w:lvlText w:val="%3."/>
      <w:lvlJc w:val="left"/>
      <w:pPr>
        <w:ind w:left="769" w:hanging="203"/>
        <w:jc w:val="right"/>
      </w:pPr>
      <w:rPr>
        <w:rFonts w:hint="default" w:ascii="Trebuchet MS" w:hAnsi="Trebuchet MS" w:eastAsia="Trebuchet MS" w:cs="Trebuchet MS"/>
        <w:b w:val="0"/>
        <w:bCs w:val="0"/>
        <w:i w:val="0"/>
        <w:iCs w:val="0"/>
        <w:color w:val="231F20"/>
        <w:spacing w:val="0"/>
        <w:w w:val="76"/>
        <w:sz w:val="15"/>
        <w:szCs w:val="15"/>
        <w:lang w:val="en-US" w:eastAsia="en-US" w:bidi="ar-SA"/>
      </w:rPr>
    </w:lvl>
    <w:lvl w:ilvl="3">
      <w:start w:val="0"/>
      <w:numFmt w:val="bullet"/>
      <w:lvlText w:val="•"/>
      <w:lvlJc w:val="left"/>
      <w:pPr>
        <w:ind w:left="1276" w:hanging="203"/>
      </w:pPr>
      <w:rPr>
        <w:rFonts w:hint="default"/>
        <w:lang w:val="en-US" w:eastAsia="en-US" w:bidi="ar-SA"/>
      </w:rPr>
    </w:lvl>
    <w:lvl w:ilvl="4">
      <w:start w:val="0"/>
      <w:numFmt w:val="bullet"/>
      <w:lvlText w:val="•"/>
      <w:lvlJc w:val="left"/>
      <w:pPr>
        <w:ind w:left="1792" w:hanging="203"/>
      </w:pPr>
      <w:rPr>
        <w:rFonts w:hint="default"/>
        <w:lang w:val="en-US" w:eastAsia="en-US" w:bidi="ar-SA"/>
      </w:rPr>
    </w:lvl>
    <w:lvl w:ilvl="5">
      <w:start w:val="0"/>
      <w:numFmt w:val="bullet"/>
      <w:lvlText w:val="•"/>
      <w:lvlJc w:val="left"/>
      <w:pPr>
        <w:ind w:left="2308" w:hanging="203"/>
      </w:pPr>
      <w:rPr>
        <w:rFonts w:hint="default"/>
        <w:lang w:val="en-US" w:eastAsia="en-US" w:bidi="ar-SA"/>
      </w:rPr>
    </w:lvl>
    <w:lvl w:ilvl="6">
      <w:start w:val="0"/>
      <w:numFmt w:val="bullet"/>
      <w:lvlText w:val="•"/>
      <w:lvlJc w:val="left"/>
      <w:pPr>
        <w:ind w:left="2824" w:hanging="203"/>
      </w:pPr>
      <w:rPr>
        <w:rFonts w:hint="default"/>
        <w:lang w:val="en-US" w:eastAsia="en-US" w:bidi="ar-SA"/>
      </w:rPr>
    </w:lvl>
    <w:lvl w:ilvl="7">
      <w:start w:val="0"/>
      <w:numFmt w:val="bullet"/>
      <w:lvlText w:val="•"/>
      <w:lvlJc w:val="left"/>
      <w:pPr>
        <w:ind w:left="3340" w:hanging="203"/>
      </w:pPr>
      <w:rPr>
        <w:rFonts w:hint="default"/>
        <w:lang w:val="en-US" w:eastAsia="en-US" w:bidi="ar-SA"/>
      </w:rPr>
    </w:lvl>
    <w:lvl w:ilvl="8">
      <w:start w:val="0"/>
      <w:numFmt w:val="bullet"/>
      <w:lvlText w:val="•"/>
      <w:lvlJc w:val="left"/>
      <w:pPr>
        <w:ind w:left="3856" w:hanging="203"/>
      </w:pPr>
      <w:rPr>
        <w:rFonts w:hint="default"/>
        <w:lang w:val="en-US" w:eastAsia="en-US" w:bidi="ar-SA"/>
      </w:rPr>
    </w:lvl>
  </w:abstractNum>
  <w:abstractNum w:abstractNumId="88">
    <w:multiLevelType w:val="hybridMultilevel"/>
    <w:lvl w:ilvl="0">
      <w:start w:val="1"/>
      <w:numFmt w:val="decimal"/>
      <w:lvlText w:val="%1."/>
      <w:lvlJc w:val="left"/>
      <w:pPr>
        <w:ind w:left="266"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1">
      <w:start w:val="0"/>
      <w:numFmt w:val="bullet"/>
      <w:lvlText w:val="•"/>
      <w:lvlJc w:val="left"/>
      <w:pPr>
        <w:ind w:left="4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2">
      <w:start w:val="0"/>
      <w:numFmt w:val="bullet"/>
      <w:lvlText w:val="•"/>
      <w:lvlJc w:val="left"/>
      <w:pPr>
        <w:ind w:left="565"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3">
      <w:start w:val="0"/>
      <w:numFmt w:val="bullet"/>
      <w:lvlText w:val="•"/>
      <w:lvlJc w:val="left"/>
      <w:pPr>
        <w:ind w:left="1077" w:hanging="150"/>
      </w:pPr>
      <w:rPr>
        <w:rFonts w:hint="default"/>
        <w:lang w:val="en-US" w:eastAsia="en-US" w:bidi="ar-SA"/>
      </w:rPr>
    </w:lvl>
    <w:lvl w:ilvl="4">
      <w:start w:val="0"/>
      <w:numFmt w:val="bullet"/>
      <w:lvlText w:val="•"/>
      <w:lvlJc w:val="left"/>
      <w:pPr>
        <w:ind w:left="1595" w:hanging="150"/>
      </w:pPr>
      <w:rPr>
        <w:rFonts w:hint="default"/>
        <w:lang w:val="en-US" w:eastAsia="en-US" w:bidi="ar-SA"/>
      </w:rPr>
    </w:lvl>
    <w:lvl w:ilvl="5">
      <w:start w:val="0"/>
      <w:numFmt w:val="bullet"/>
      <w:lvlText w:val="•"/>
      <w:lvlJc w:val="left"/>
      <w:pPr>
        <w:ind w:left="2113" w:hanging="150"/>
      </w:pPr>
      <w:rPr>
        <w:rFonts w:hint="default"/>
        <w:lang w:val="en-US" w:eastAsia="en-US" w:bidi="ar-SA"/>
      </w:rPr>
    </w:lvl>
    <w:lvl w:ilvl="6">
      <w:start w:val="0"/>
      <w:numFmt w:val="bullet"/>
      <w:lvlText w:val="•"/>
      <w:lvlJc w:val="left"/>
      <w:pPr>
        <w:ind w:left="2631" w:hanging="150"/>
      </w:pPr>
      <w:rPr>
        <w:rFonts w:hint="default"/>
        <w:lang w:val="en-US" w:eastAsia="en-US" w:bidi="ar-SA"/>
      </w:rPr>
    </w:lvl>
    <w:lvl w:ilvl="7">
      <w:start w:val="0"/>
      <w:numFmt w:val="bullet"/>
      <w:lvlText w:val="•"/>
      <w:lvlJc w:val="left"/>
      <w:pPr>
        <w:ind w:left="3148" w:hanging="150"/>
      </w:pPr>
      <w:rPr>
        <w:rFonts w:hint="default"/>
        <w:lang w:val="en-US" w:eastAsia="en-US" w:bidi="ar-SA"/>
      </w:rPr>
    </w:lvl>
    <w:lvl w:ilvl="8">
      <w:start w:val="0"/>
      <w:numFmt w:val="bullet"/>
      <w:lvlText w:val="•"/>
      <w:lvlJc w:val="left"/>
      <w:pPr>
        <w:ind w:left="3666" w:hanging="150"/>
      </w:pPr>
      <w:rPr>
        <w:rFonts w:hint="default"/>
        <w:lang w:val="en-US" w:eastAsia="en-US" w:bidi="ar-SA"/>
      </w:rPr>
    </w:lvl>
  </w:abstractNum>
  <w:abstractNum w:abstractNumId="87">
    <w:multiLevelType w:val="hybridMultilevel"/>
    <w:lvl w:ilvl="0">
      <w:start w:val="0"/>
      <w:numFmt w:val="bullet"/>
      <w:lvlText w:val="•"/>
      <w:lvlJc w:val="left"/>
      <w:pPr>
        <w:ind w:left="6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348" w:hanging="150"/>
      </w:pPr>
      <w:rPr>
        <w:rFonts w:hint="default"/>
        <w:lang w:val="en-US" w:eastAsia="en-US" w:bidi="ar-SA"/>
      </w:rPr>
    </w:lvl>
    <w:lvl w:ilvl="2">
      <w:start w:val="0"/>
      <w:numFmt w:val="bullet"/>
      <w:lvlText w:val="•"/>
      <w:lvlJc w:val="left"/>
      <w:pPr>
        <w:ind w:left="2076" w:hanging="150"/>
      </w:pPr>
      <w:rPr>
        <w:rFonts w:hint="default"/>
        <w:lang w:val="en-US" w:eastAsia="en-US" w:bidi="ar-SA"/>
      </w:rPr>
    </w:lvl>
    <w:lvl w:ilvl="3">
      <w:start w:val="0"/>
      <w:numFmt w:val="bullet"/>
      <w:lvlText w:val="•"/>
      <w:lvlJc w:val="left"/>
      <w:pPr>
        <w:ind w:left="2804" w:hanging="150"/>
      </w:pPr>
      <w:rPr>
        <w:rFonts w:hint="default"/>
        <w:lang w:val="en-US" w:eastAsia="en-US" w:bidi="ar-SA"/>
      </w:rPr>
    </w:lvl>
    <w:lvl w:ilvl="4">
      <w:start w:val="0"/>
      <w:numFmt w:val="bullet"/>
      <w:lvlText w:val="•"/>
      <w:lvlJc w:val="left"/>
      <w:pPr>
        <w:ind w:left="3532" w:hanging="150"/>
      </w:pPr>
      <w:rPr>
        <w:rFonts w:hint="default"/>
        <w:lang w:val="en-US" w:eastAsia="en-US" w:bidi="ar-SA"/>
      </w:rPr>
    </w:lvl>
    <w:lvl w:ilvl="5">
      <w:start w:val="0"/>
      <w:numFmt w:val="bullet"/>
      <w:lvlText w:val="•"/>
      <w:lvlJc w:val="left"/>
      <w:pPr>
        <w:ind w:left="4261" w:hanging="150"/>
      </w:pPr>
      <w:rPr>
        <w:rFonts w:hint="default"/>
        <w:lang w:val="en-US" w:eastAsia="en-US" w:bidi="ar-SA"/>
      </w:rPr>
    </w:lvl>
    <w:lvl w:ilvl="6">
      <w:start w:val="0"/>
      <w:numFmt w:val="bullet"/>
      <w:lvlText w:val="•"/>
      <w:lvlJc w:val="left"/>
      <w:pPr>
        <w:ind w:left="4989" w:hanging="150"/>
      </w:pPr>
      <w:rPr>
        <w:rFonts w:hint="default"/>
        <w:lang w:val="en-US" w:eastAsia="en-US" w:bidi="ar-SA"/>
      </w:rPr>
    </w:lvl>
    <w:lvl w:ilvl="7">
      <w:start w:val="0"/>
      <w:numFmt w:val="bullet"/>
      <w:lvlText w:val="•"/>
      <w:lvlJc w:val="left"/>
      <w:pPr>
        <w:ind w:left="5717" w:hanging="150"/>
      </w:pPr>
      <w:rPr>
        <w:rFonts w:hint="default"/>
        <w:lang w:val="en-US" w:eastAsia="en-US" w:bidi="ar-SA"/>
      </w:rPr>
    </w:lvl>
    <w:lvl w:ilvl="8">
      <w:start w:val="0"/>
      <w:numFmt w:val="bullet"/>
      <w:lvlText w:val="•"/>
      <w:lvlJc w:val="left"/>
      <w:pPr>
        <w:ind w:left="6445" w:hanging="150"/>
      </w:pPr>
      <w:rPr>
        <w:rFonts w:hint="default"/>
        <w:lang w:val="en-US" w:eastAsia="en-US" w:bidi="ar-SA"/>
      </w:rPr>
    </w:lvl>
  </w:abstractNum>
  <w:abstractNum w:abstractNumId="86">
    <w:multiLevelType w:val="hybridMultilevel"/>
    <w:lvl w:ilvl="0">
      <w:start w:val="0"/>
      <w:numFmt w:val="bullet"/>
      <w:lvlText w:val="•"/>
      <w:lvlJc w:val="left"/>
      <w:pPr>
        <w:ind w:left="6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348" w:hanging="150"/>
      </w:pPr>
      <w:rPr>
        <w:rFonts w:hint="default"/>
        <w:lang w:val="en-US" w:eastAsia="en-US" w:bidi="ar-SA"/>
      </w:rPr>
    </w:lvl>
    <w:lvl w:ilvl="2">
      <w:start w:val="0"/>
      <w:numFmt w:val="bullet"/>
      <w:lvlText w:val="•"/>
      <w:lvlJc w:val="left"/>
      <w:pPr>
        <w:ind w:left="2076" w:hanging="150"/>
      </w:pPr>
      <w:rPr>
        <w:rFonts w:hint="default"/>
        <w:lang w:val="en-US" w:eastAsia="en-US" w:bidi="ar-SA"/>
      </w:rPr>
    </w:lvl>
    <w:lvl w:ilvl="3">
      <w:start w:val="0"/>
      <w:numFmt w:val="bullet"/>
      <w:lvlText w:val="•"/>
      <w:lvlJc w:val="left"/>
      <w:pPr>
        <w:ind w:left="2804" w:hanging="150"/>
      </w:pPr>
      <w:rPr>
        <w:rFonts w:hint="default"/>
        <w:lang w:val="en-US" w:eastAsia="en-US" w:bidi="ar-SA"/>
      </w:rPr>
    </w:lvl>
    <w:lvl w:ilvl="4">
      <w:start w:val="0"/>
      <w:numFmt w:val="bullet"/>
      <w:lvlText w:val="•"/>
      <w:lvlJc w:val="left"/>
      <w:pPr>
        <w:ind w:left="3532" w:hanging="150"/>
      </w:pPr>
      <w:rPr>
        <w:rFonts w:hint="default"/>
        <w:lang w:val="en-US" w:eastAsia="en-US" w:bidi="ar-SA"/>
      </w:rPr>
    </w:lvl>
    <w:lvl w:ilvl="5">
      <w:start w:val="0"/>
      <w:numFmt w:val="bullet"/>
      <w:lvlText w:val="•"/>
      <w:lvlJc w:val="left"/>
      <w:pPr>
        <w:ind w:left="4261" w:hanging="150"/>
      </w:pPr>
      <w:rPr>
        <w:rFonts w:hint="default"/>
        <w:lang w:val="en-US" w:eastAsia="en-US" w:bidi="ar-SA"/>
      </w:rPr>
    </w:lvl>
    <w:lvl w:ilvl="6">
      <w:start w:val="0"/>
      <w:numFmt w:val="bullet"/>
      <w:lvlText w:val="•"/>
      <w:lvlJc w:val="left"/>
      <w:pPr>
        <w:ind w:left="4989" w:hanging="150"/>
      </w:pPr>
      <w:rPr>
        <w:rFonts w:hint="default"/>
        <w:lang w:val="en-US" w:eastAsia="en-US" w:bidi="ar-SA"/>
      </w:rPr>
    </w:lvl>
    <w:lvl w:ilvl="7">
      <w:start w:val="0"/>
      <w:numFmt w:val="bullet"/>
      <w:lvlText w:val="•"/>
      <w:lvlJc w:val="left"/>
      <w:pPr>
        <w:ind w:left="5717" w:hanging="150"/>
      </w:pPr>
      <w:rPr>
        <w:rFonts w:hint="default"/>
        <w:lang w:val="en-US" w:eastAsia="en-US" w:bidi="ar-SA"/>
      </w:rPr>
    </w:lvl>
    <w:lvl w:ilvl="8">
      <w:start w:val="0"/>
      <w:numFmt w:val="bullet"/>
      <w:lvlText w:val="•"/>
      <w:lvlJc w:val="left"/>
      <w:pPr>
        <w:ind w:left="6445" w:hanging="150"/>
      </w:pPr>
      <w:rPr>
        <w:rFonts w:hint="default"/>
        <w:lang w:val="en-US" w:eastAsia="en-US" w:bidi="ar-SA"/>
      </w:rPr>
    </w:lvl>
  </w:abstractNum>
  <w:abstractNum w:abstractNumId="85">
    <w:multiLevelType w:val="hybridMultilevel"/>
    <w:lvl w:ilvl="0">
      <w:start w:val="0"/>
      <w:numFmt w:val="bullet"/>
      <w:lvlText w:val="•"/>
      <w:lvlJc w:val="left"/>
      <w:pPr>
        <w:ind w:left="6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348" w:hanging="150"/>
      </w:pPr>
      <w:rPr>
        <w:rFonts w:hint="default"/>
        <w:lang w:val="en-US" w:eastAsia="en-US" w:bidi="ar-SA"/>
      </w:rPr>
    </w:lvl>
    <w:lvl w:ilvl="2">
      <w:start w:val="0"/>
      <w:numFmt w:val="bullet"/>
      <w:lvlText w:val="•"/>
      <w:lvlJc w:val="left"/>
      <w:pPr>
        <w:ind w:left="2076" w:hanging="150"/>
      </w:pPr>
      <w:rPr>
        <w:rFonts w:hint="default"/>
        <w:lang w:val="en-US" w:eastAsia="en-US" w:bidi="ar-SA"/>
      </w:rPr>
    </w:lvl>
    <w:lvl w:ilvl="3">
      <w:start w:val="0"/>
      <w:numFmt w:val="bullet"/>
      <w:lvlText w:val="•"/>
      <w:lvlJc w:val="left"/>
      <w:pPr>
        <w:ind w:left="2804" w:hanging="150"/>
      </w:pPr>
      <w:rPr>
        <w:rFonts w:hint="default"/>
        <w:lang w:val="en-US" w:eastAsia="en-US" w:bidi="ar-SA"/>
      </w:rPr>
    </w:lvl>
    <w:lvl w:ilvl="4">
      <w:start w:val="0"/>
      <w:numFmt w:val="bullet"/>
      <w:lvlText w:val="•"/>
      <w:lvlJc w:val="left"/>
      <w:pPr>
        <w:ind w:left="3532" w:hanging="150"/>
      </w:pPr>
      <w:rPr>
        <w:rFonts w:hint="default"/>
        <w:lang w:val="en-US" w:eastAsia="en-US" w:bidi="ar-SA"/>
      </w:rPr>
    </w:lvl>
    <w:lvl w:ilvl="5">
      <w:start w:val="0"/>
      <w:numFmt w:val="bullet"/>
      <w:lvlText w:val="•"/>
      <w:lvlJc w:val="left"/>
      <w:pPr>
        <w:ind w:left="4261" w:hanging="150"/>
      </w:pPr>
      <w:rPr>
        <w:rFonts w:hint="default"/>
        <w:lang w:val="en-US" w:eastAsia="en-US" w:bidi="ar-SA"/>
      </w:rPr>
    </w:lvl>
    <w:lvl w:ilvl="6">
      <w:start w:val="0"/>
      <w:numFmt w:val="bullet"/>
      <w:lvlText w:val="•"/>
      <w:lvlJc w:val="left"/>
      <w:pPr>
        <w:ind w:left="4989" w:hanging="150"/>
      </w:pPr>
      <w:rPr>
        <w:rFonts w:hint="default"/>
        <w:lang w:val="en-US" w:eastAsia="en-US" w:bidi="ar-SA"/>
      </w:rPr>
    </w:lvl>
    <w:lvl w:ilvl="7">
      <w:start w:val="0"/>
      <w:numFmt w:val="bullet"/>
      <w:lvlText w:val="•"/>
      <w:lvlJc w:val="left"/>
      <w:pPr>
        <w:ind w:left="5717" w:hanging="150"/>
      </w:pPr>
      <w:rPr>
        <w:rFonts w:hint="default"/>
        <w:lang w:val="en-US" w:eastAsia="en-US" w:bidi="ar-SA"/>
      </w:rPr>
    </w:lvl>
    <w:lvl w:ilvl="8">
      <w:start w:val="0"/>
      <w:numFmt w:val="bullet"/>
      <w:lvlText w:val="•"/>
      <w:lvlJc w:val="left"/>
      <w:pPr>
        <w:ind w:left="6445" w:hanging="150"/>
      </w:pPr>
      <w:rPr>
        <w:rFonts w:hint="default"/>
        <w:lang w:val="en-US" w:eastAsia="en-US" w:bidi="ar-SA"/>
      </w:rPr>
    </w:lvl>
  </w:abstractNum>
  <w:abstractNum w:abstractNumId="84">
    <w:multiLevelType w:val="hybridMultilevel"/>
    <w:lvl w:ilvl="0">
      <w:start w:val="0"/>
      <w:numFmt w:val="bullet"/>
      <w:lvlText w:val="•"/>
      <w:lvlJc w:val="left"/>
      <w:pPr>
        <w:ind w:left="6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348" w:hanging="150"/>
      </w:pPr>
      <w:rPr>
        <w:rFonts w:hint="default"/>
        <w:lang w:val="en-US" w:eastAsia="en-US" w:bidi="ar-SA"/>
      </w:rPr>
    </w:lvl>
    <w:lvl w:ilvl="2">
      <w:start w:val="0"/>
      <w:numFmt w:val="bullet"/>
      <w:lvlText w:val="•"/>
      <w:lvlJc w:val="left"/>
      <w:pPr>
        <w:ind w:left="2076" w:hanging="150"/>
      </w:pPr>
      <w:rPr>
        <w:rFonts w:hint="default"/>
        <w:lang w:val="en-US" w:eastAsia="en-US" w:bidi="ar-SA"/>
      </w:rPr>
    </w:lvl>
    <w:lvl w:ilvl="3">
      <w:start w:val="0"/>
      <w:numFmt w:val="bullet"/>
      <w:lvlText w:val="•"/>
      <w:lvlJc w:val="left"/>
      <w:pPr>
        <w:ind w:left="2804" w:hanging="150"/>
      </w:pPr>
      <w:rPr>
        <w:rFonts w:hint="default"/>
        <w:lang w:val="en-US" w:eastAsia="en-US" w:bidi="ar-SA"/>
      </w:rPr>
    </w:lvl>
    <w:lvl w:ilvl="4">
      <w:start w:val="0"/>
      <w:numFmt w:val="bullet"/>
      <w:lvlText w:val="•"/>
      <w:lvlJc w:val="left"/>
      <w:pPr>
        <w:ind w:left="3532" w:hanging="150"/>
      </w:pPr>
      <w:rPr>
        <w:rFonts w:hint="default"/>
        <w:lang w:val="en-US" w:eastAsia="en-US" w:bidi="ar-SA"/>
      </w:rPr>
    </w:lvl>
    <w:lvl w:ilvl="5">
      <w:start w:val="0"/>
      <w:numFmt w:val="bullet"/>
      <w:lvlText w:val="•"/>
      <w:lvlJc w:val="left"/>
      <w:pPr>
        <w:ind w:left="4261" w:hanging="150"/>
      </w:pPr>
      <w:rPr>
        <w:rFonts w:hint="default"/>
        <w:lang w:val="en-US" w:eastAsia="en-US" w:bidi="ar-SA"/>
      </w:rPr>
    </w:lvl>
    <w:lvl w:ilvl="6">
      <w:start w:val="0"/>
      <w:numFmt w:val="bullet"/>
      <w:lvlText w:val="•"/>
      <w:lvlJc w:val="left"/>
      <w:pPr>
        <w:ind w:left="4989" w:hanging="150"/>
      </w:pPr>
      <w:rPr>
        <w:rFonts w:hint="default"/>
        <w:lang w:val="en-US" w:eastAsia="en-US" w:bidi="ar-SA"/>
      </w:rPr>
    </w:lvl>
    <w:lvl w:ilvl="7">
      <w:start w:val="0"/>
      <w:numFmt w:val="bullet"/>
      <w:lvlText w:val="•"/>
      <w:lvlJc w:val="left"/>
      <w:pPr>
        <w:ind w:left="5717" w:hanging="150"/>
      </w:pPr>
      <w:rPr>
        <w:rFonts w:hint="default"/>
        <w:lang w:val="en-US" w:eastAsia="en-US" w:bidi="ar-SA"/>
      </w:rPr>
    </w:lvl>
    <w:lvl w:ilvl="8">
      <w:start w:val="0"/>
      <w:numFmt w:val="bullet"/>
      <w:lvlText w:val="•"/>
      <w:lvlJc w:val="left"/>
      <w:pPr>
        <w:ind w:left="6445" w:hanging="150"/>
      </w:pPr>
      <w:rPr>
        <w:rFonts w:hint="default"/>
        <w:lang w:val="en-US" w:eastAsia="en-US" w:bidi="ar-SA"/>
      </w:rPr>
    </w:lvl>
  </w:abstractNum>
  <w:abstractNum w:abstractNumId="83">
    <w:multiLevelType w:val="hybridMultilevel"/>
    <w:lvl w:ilvl="0">
      <w:start w:val="0"/>
      <w:numFmt w:val="bullet"/>
      <w:lvlText w:val="•"/>
      <w:lvlJc w:val="left"/>
      <w:pPr>
        <w:ind w:left="6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348" w:hanging="150"/>
      </w:pPr>
      <w:rPr>
        <w:rFonts w:hint="default"/>
        <w:lang w:val="en-US" w:eastAsia="en-US" w:bidi="ar-SA"/>
      </w:rPr>
    </w:lvl>
    <w:lvl w:ilvl="2">
      <w:start w:val="0"/>
      <w:numFmt w:val="bullet"/>
      <w:lvlText w:val="•"/>
      <w:lvlJc w:val="left"/>
      <w:pPr>
        <w:ind w:left="2076" w:hanging="150"/>
      </w:pPr>
      <w:rPr>
        <w:rFonts w:hint="default"/>
        <w:lang w:val="en-US" w:eastAsia="en-US" w:bidi="ar-SA"/>
      </w:rPr>
    </w:lvl>
    <w:lvl w:ilvl="3">
      <w:start w:val="0"/>
      <w:numFmt w:val="bullet"/>
      <w:lvlText w:val="•"/>
      <w:lvlJc w:val="left"/>
      <w:pPr>
        <w:ind w:left="2804" w:hanging="150"/>
      </w:pPr>
      <w:rPr>
        <w:rFonts w:hint="default"/>
        <w:lang w:val="en-US" w:eastAsia="en-US" w:bidi="ar-SA"/>
      </w:rPr>
    </w:lvl>
    <w:lvl w:ilvl="4">
      <w:start w:val="0"/>
      <w:numFmt w:val="bullet"/>
      <w:lvlText w:val="•"/>
      <w:lvlJc w:val="left"/>
      <w:pPr>
        <w:ind w:left="3532" w:hanging="150"/>
      </w:pPr>
      <w:rPr>
        <w:rFonts w:hint="default"/>
        <w:lang w:val="en-US" w:eastAsia="en-US" w:bidi="ar-SA"/>
      </w:rPr>
    </w:lvl>
    <w:lvl w:ilvl="5">
      <w:start w:val="0"/>
      <w:numFmt w:val="bullet"/>
      <w:lvlText w:val="•"/>
      <w:lvlJc w:val="left"/>
      <w:pPr>
        <w:ind w:left="4261" w:hanging="150"/>
      </w:pPr>
      <w:rPr>
        <w:rFonts w:hint="default"/>
        <w:lang w:val="en-US" w:eastAsia="en-US" w:bidi="ar-SA"/>
      </w:rPr>
    </w:lvl>
    <w:lvl w:ilvl="6">
      <w:start w:val="0"/>
      <w:numFmt w:val="bullet"/>
      <w:lvlText w:val="•"/>
      <w:lvlJc w:val="left"/>
      <w:pPr>
        <w:ind w:left="4989" w:hanging="150"/>
      </w:pPr>
      <w:rPr>
        <w:rFonts w:hint="default"/>
        <w:lang w:val="en-US" w:eastAsia="en-US" w:bidi="ar-SA"/>
      </w:rPr>
    </w:lvl>
    <w:lvl w:ilvl="7">
      <w:start w:val="0"/>
      <w:numFmt w:val="bullet"/>
      <w:lvlText w:val="•"/>
      <w:lvlJc w:val="left"/>
      <w:pPr>
        <w:ind w:left="5717" w:hanging="150"/>
      </w:pPr>
      <w:rPr>
        <w:rFonts w:hint="default"/>
        <w:lang w:val="en-US" w:eastAsia="en-US" w:bidi="ar-SA"/>
      </w:rPr>
    </w:lvl>
    <w:lvl w:ilvl="8">
      <w:start w:val="0"/>
      <w:numFmt w:val="bullet"/>
      <w:lvlText w:val="•"/>
      <w:lvlJc w:val="left"/>
      <w:pPr>
        <w:ind w:left="6445" w:hanging="150"/>
      </w:pPr>
      <w:rPr>
        <w:rFonts w:hint="default"/>
        <w:lang w:val="en-US" w:eastAsia="en-US" w:bidi="ar-SA"/>
      </w:rPr>
    </w:lvl>
  </w:abstractNum>
  <w:abstractNum w:abstractNumId="82">
    <w:multiLevelType w:val="hybridMultilevel"/>
    <w:lvl w:ilvl="0">
      <w:start w:val="0"/>
      <w:numFmt w:val="bullet"/>
      <w:lvlText w:val="•"/>
      <w:lvlJc w:val="left"/>
      <w:pPr>
        <w:ind w:left="616"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1348" w:hanging="150"/>
      </w:pPr>
      <w:rPr>
        <w:rFonts w:hint="default"/>
        <w:lang w:val="en-US" w:eastAsia="en-US" w:bidi="ar-SA"/>
      </w:rPr>
    </w:lvl>
    <w:lvl w:ilvl="2">
      <w:start w:val="0"/>
      <w:numFmt w:val="bullet"/>
      <w:lvlText w:val="•"/>
      <w:lvlJc w:val="left"/>
      <w:pPr>
        <w:ind w:left="2076" w:hanging="150"/>
      </w:pPr>
      <w:rPr>
        <w:rFonts w:hint="default"/>
        <w:lang w:val="en-US" w:eastAsia="en-US" w:bidi="ar-SA"/>
      </w:rPr>
    </w:lvl>
    <w:lvl w:ilvl="3">
      <w:start w:val="0"/>
      <w:numFmt w:val="bullet"/>
      <w:lvlText w:val="•"/>
      <w:lvlJc w:val="left"/>
      <w:pPr>
        <w:ind w:left="2804" w:hanging="150"/>
      </w:pPr>
      <w:rPr>
        <w:rFonts w:hint="default"/>
        <w:lang w:val="en-US" w:eastAsia="en-US" w:bidi="ar-SA"/>
      </w:rPr>
    </w:lvl>
    <w:lvl w:ilvl="4">
      <w:start w:val="0"/>
      <w:numFmt w:val="bullet"/>
      <w:lvlText w:val="•"/>
      <w:lvlJc w:val="left"/>
      <w:pPr>
        <w:ind w:left="3532" w:hanging="150"/>
      </w:pPr>
      <w:rPr>
        <w:rFonts w:hint="default"/>
        <w:lang w:val="en-US" w:eastAsia="en-US" w:bidi="ar-SA"/>
      </w:rPr>
    </w:lvl>
    <w:lvl w:ilvl="5">
      <w:start w:val="0"/>
      <w:numFmt w:val="bullet"/>
      <w:lvlText w:val="•"/>
      <w:lvlJc w:val="left"/>
      <w:pPr>
        <w:ind w:left="4261" w:hanging="150"/>
      </w:pPr>
      <w:rPr>
        <w:rFonts w:hint="default"/>
        <w:lang w:val="en-US" w:eastAsia="en-US" w:bidi="ar-SA"/>
      </w:rPr>
    </w:lvl>
    <w:lvl w:ilvl="6">
      <w:start w:val="0"/>
      <w:numFmt w:val="bullet"/>
      <w:lvlText w:val="•"/>
      <w:lvlJc w:val="left"/>
      <w:pPr>
        <w:ind w:left="4989" w:hanging="150"/>
      </w:pPr>
      <w:rPr>
        <w:rFonts w:hint="default"/>
        <w:lang w:val="en-US" w:eastAsia="en-US" w:bidi="ar-SA"/>
      </w:rPr>
    </w:lvl>
    <w:lvl w:ilvl="7">
      <w:start w:val="0"/>
      <w:numFmt w:val="bullet"/>
      <w:lvlText w:val="•"/>
      <w:lvlJc w:val="left"/>
      <w:pPr>
        <w:ind w:left="5717" w:hanging="150"/>
      </w:pPr>
      <w:rPr>
        <w:rFonts w:hint="default"/>
        <w:lang w:val="en-US" w:eastAsia="en-US" w:bidi="ar-SA"/>
      </w:rPr>
    </w:lvl>
    <w:lvl w:ilvl="8">
      <w:start w:val="0"/>
      <w:numFmt w:val="bullet"/>
      <w:lvlText w:val="•"/>
      <w:lvlJc w:val="left"/>
      <w:pPr>
        <w:ind w:left="6445" w:hanging="150"/>
      </w:pPr>
      <w:rPr>
        <w:rFonts w:hint="default"/>
        <w:lang w:val="en-US" w:eastAsia="en-US" w:bidi="ar-SA"/>
      </w:rPr>
    </w:lvl>
  </w:abstractNum>
  <w:abstractNum w:abstractNumId="81">
    <w:multiLevelType w:val="hybridMultilevel"/>
    <w:lvl w:ilvl="0">
      <w:start w:val="1"/>
      <w:numFmt w:val="decimal"/>
      <w:lvlText w:val="%1."/>
      <w:lvlJc w:val="left"/>
      <w:pPr>
        <w:ind w:left="266"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1">
      <w:start w:val="1"/>
      <w:numFmt w:val="upperLetter"/>
      <w:lvlText w:val="%2."/>
      <w:lvlJc w:val="left"/>
      <w:pPr>
        <w:ind w:left="471"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2">
      <w:start w:val="0"/>
      <w:numFmt w:val="bullet"/>
      <w:lvlText w:val="•"/>
      <w:lvlJc w:val="left"/>
      <w:pPr>
        <w:ind w:left="949" w:hanging="206"/>
      </w:pPr>
      <w:rPr>
        <w:rFonts w:hint="default"/>
        <w:lang w:val="en-US" w:eastAsia="en-US" w:bidi="ar-SA"/>
      </w:rPr>
    </w:lvl>
    <w:lvl w:ilvl="3">
      <w:start w:val="0"/>
      <w:numFmt w:val="bullet"/>
      <w:lvlText w:val="•"/>
      <w:lvlJc w:val="left"/>
      <w:pPr>
        <w:ind w:left="1418" w:hanging="206"/>
      </w:pPr>
      <w:rPr>
        <w:rFonts w:hint="default"/>
        <w:lang w:val="en-US" w:eastAsia="en-US" w:bidi="ar-SA"/>
      </w:rPr>
    </w:lvl>
    <w:lvl w:ilvl="4">
      <w:start w:val="0"/>
      <w:numFmt w:val="bullet"/>
      <w:lvlText w:val="•"/>
      <w:lvlJc w:val="left"/>
      <w:pPr>
        <w:ind w:left="1887" w:hanging="206"/>
      </w:pPr>
      <w:rPr>
        <w:rFonts w:hint="default"/>
        <w:lang w:val="en-US" w:eastAsia="en-US" w:bidi="ar-SA"/>
      </w:rPr>
    </w:lvl>
    <w:lvl w:ilvl="5">
      <w:start w:val="0"/>
      <w:numFmt w:val="bullet"/>
      <w:lvlText w:val="•"/>
      <w:lvlJc w:val="left"/>
      <w:pPr>
        <w:ind w:left="2356" w:hanging="206"/>
      </w:pPr>
      <w:rPr>
        <w:rFonts w:hint="default"/>
        <w:lang w:val="en-US" w:eastAsia="en-US" w:bidi="ar-SA"/>
      </w:rPr>
    </w:lvl>
    <w:lvl w:ilvl="6">
      <w:start w:val="0"/>
      <w:numFmt w:val="bullet"/>
      <w:lvlText w:val="•"/>
      <w:lvlJc w:val="left"/>
      <w:pPr>
        <w:ind w:left="2825" w:hanging="206"/>
      </w:pPr>
      <w:rPr>
        <w:rFonts w:hint="default"/>
        <w:lang w:val="en-US" w:eastAsia="en-US" w:bidi="ar-SA"/>
      </w:rPr>
    </w:lvl>
    <w:lvl w:ilvl="7">
      <w:start w:val="0"/>
      <w:numFmt w:val="bullet"/>
      <w:lvlText w:val="•"/>
      <w:lvlJc w:val="left"/>
      <w:pPr>
        <w:ind w:left="3294" w:hanging="206"/>
      </w:pPr>
      <w:rPr>
        <w:rFonts w:hint="default"/>
        <w:lang w:val="en-US" w:eastAsia="en-US" w:bidi="ar-SA"/>
      </w:rPr>
    </w:lvl>
    <w:lvl w:ilvl="8">
      <w:start w:val="0"/>
      <w:numFmt w:val="bullet"/>
      <w:lvlText w:val="•"/>
      <w:lvlJc w:val="left"/>
      <w:pPr>
        <w:ind w:left="3764" w:hanging="206"/>
      </w:pPr>
      <w:rPr>
        <w:rFonts w:hint="default"/>
        <w:lang w:val="en-US" w:eastAsia="en-US" w:bidi="ar-SA"/>
      </w:rPr>
    </w:lvl>
  </w:abstractNum>
  <w:abstractNum w:abstractNumId="80">
    <w:multiLevelType w:val="hybridMultilevel"/>
    <w:lvl w:ilvl="0">
      <w:start w:val="0"/>
      <w:numFmt w:val="bullet"/>
      <w:lvlText w:val="•"/>
      <w:lvlJc w:val="left"/>
      <w:pPr>
        <w:ind w:left="21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9">
    <w:multiLevelType w:val="hybridMultilevel"/>
    <w:lvl w:ilvl="0">
      <w:start w:val="0"/>
      <w:numFmt w:val="bullet"/>
      <w:lvlText w:val="•"/>
      <w:lvlJc w:val="left"/>
      <w:pPr>
        <w:ind w:left="21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8">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7">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6">
    <w:multiLevelType w:val="hybridMultilevel"/>
    <w:lvl w:ilvl="0">
      <w:start w:val="0"/>
      <w:numFmt w:val="bullet"/>
      <w:lvlText w:val="•"/>
      <w:lvlJc w:val="left"/>
      <w:pPr>
        <w:ind w:left="21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5">
    <w:multiLevelType w:val="hybridMultilevel"/>
    <w:lvl w:ilvl="0">
      <w:start w:val="0"/>
      <w:numFmt w:val="bullet"/>
      <w:lvlText w:val="•"/>
      <w:lvlJc w:val="left"/>
      <w:pPr>
        <w:ind w:left="21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4">
    <w:multiLevelType w:val="hybridMultilevel"/>
    <w:lvl w:ilvl="0">
      <w:start w:val="0"/>
      <w:numFmt w:val="bullet"/>
      <w:lvlText w:val="•"/>
      <w:lvlJc w:val="left"/>
      <w:pPr>
        <w:ind w:left="21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3">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2">
    <w:multiLevelType w:val="hybridMultilevel"/>
    <w:lvl w:ilvl="0">
      <w:start w:val="0"/>
      <w:numFmt w:val="bullet"/>
      <w:lvlText w:val="•"/>
      <w:lvlJc w:val="left"/>
      <w:pPr>
        <w:ind w:left="218"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1">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70">
    <w:multiLevelType w:val="hybridMultilevel"/>
    <w:lvl w:ilvl="0">
      <w:start w:val="1"/>
      <w:numFmt w:val="upperLetter"/>
      <w:lvlText w:val="%1."/>
      <w:lvlJc w:val="left"/>
      <w:pPr>
        <w:ind w:left="279"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459"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0"/>
      <w:numFmt w:val="bullet"/>
      <w:lvlText w:val="•"/>
      <w:lvlJc w:val="left"/>
      <w:pPr>
        <w:ind w:left="931" w:hanging="193"/>
      </w:pPr>
      <w:rPr>
        <w:rFonts w:hint="default"/>
        <w:lang w:val="en-US" w:eastAsia="en-US" w:bidi="ar-SA"/>
      </w:rPr>
    </w:lvl>
    <w:lvl w:ilvl="3">
      <w:start w:val="0"/>
      <w:numFmt w:val="bullet"/>
      <w:lvlText w:val="•"/>
      <w:lvlJc w:val="left"/>
      <w:pPr>
        <w:ind w:left="1402" w:hanging="193"/>
      </w:pPr>
      <w:rPr>
        <w:rFonts w:hint="default"/>
        <w:lang w:val="en-US" w:eastAsia="en-US" w:bidi="ar-SA"/>
      </w:rPr>
    </w:lvl>
    <w:lvl w:ilvl="4">
      <w:start w:val="0"/>
      <w:numFmt w:val="bullet"/>
      <w:lvlText w:val="•"/>
      <w:lvlJc w:val="left"/>
      <w:pPr>
        <w:ind w:left="1874" w:hanging="193"/>
      </w:pPr>
      <w:rPr>
        <w:rFonts w:hint="default"/>
        <w:lang w:val="en-US" w:eastAsia="en-US" w:bidi="ar-SA"/>
      </w:rPr>
    </w:lvl>
    <w:lvl w:ilvl="5">
      <w:start w:val="0"/>
      <w:numFmt w:val="bullet"/>
      <w:lvlText w:val="•"/>
      <w:lvlJc w:val="left"/>
      <w:pPr>
        <w:ind w:left="2345" w:hanging="193"/>
      </w:pPr>
      <w:rPr>
        <w:rFonts w:hint="default"/>
        <w:lang w:val="en-US" w:eastAsia="en-US" w:bidi="ar-SA"/>
      </w:rPr>
    </w:lvl>
    <w:lvl w:ilvl="6">
      <w:start w:val="0"/>
      <w:numFmt w:val="bullet"/>
      <w:lvlText w:val="•"/>
      <w:lvlJc w:val="left"/>
      <w:pPr>
        <w:ind w:left="2816" w:hanging="193"/>
      </w:pPr>
      <w:rPr>
        <w:rFonts w:hint="default"/>
        <w:lang w:val="en-US" w:eastAsia="en-US" w:bidi="ar-SA"/>
      </w:rPr>
    </w:lvl>
    <w:lvl w:ilvl="7">
      <w:start w:val="0"/>
      <w:numFmt w:val="bullet"/>
      <w:lvlText w:val="•"/>
      <w:lvlJc w:val="left"/>
      <w:pPr>
        <w:ind w:left="3288" w:hanging="193"/>
      </w:pPr>
      <w:rPr>
        <w:rFonts w:hint="default"/>
        <w:lang w:val="en-US" w:eastAsia="en-US" w:bidi="ar-SA"/>
      </w:rPr>
    </w:lvl>
    <w:lvl w:ilvl="8">
      <w:start w:val="0"/>
      <w:numFmt w:val="bullet"/>
      <w:lvlText w:val="•"/>
      <w:lvlJc w:val="left"/>
      <w:pPr>
        <w:ind w:left="3759" w:hanging="193"/>
      </w:pPr>
      <w:rPr>
        <w:rFonts w:hint="default"/>
        <w:lang w:val="en-US" w:eastAsia="en-US" w:bidi="ar-SA"/>
      </w:rPr>
    </w:lvl>
  </w:abstractNum>
  <w:abstractNum w:abstractNumId="69">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68" w:hanging="150"/>
      </w:pPr>
      <w:rPr>
        <w:rFonts w:hint="default"/>
        <w:lang w:val="en-US" w:eastAsia="en-US" w:bidi="ar-SA"/>
      </w:rPr>
    </w:lvl>
    <w:lvl w:ilvl="2">
      <w:start w:val="0"/>
      <w:numFmt w:val="bullet"/>
      <w:lvlText w:val="•"/>
      <w:lvlJc w:val="left"/>
      <w:pPr>
        <w:ind w:left="1116" w:hanging="150"/>
      </w:pPr>
      <w:rPr>
        <w:rFonts w:hint="default"/>
        <w:lang w:val="en-US" w:eastAsia="en-US" w:bidi="ar-SA"/>
      </w:rPr>
    </w:lvl>
    <w:lvl w:ilvl="3">
      <w:start w:val="0"/>
      <w:numFmt w:val="bullet"/>
      <w:lvlText w:val="•"/>
      <w:lvlJc w:val="left"/>
      <w:pPr>
        <w:ind w:left="1564" w:hanging="150"/>
      </w:pPr>
      <w:rPr>
        <w:rFonts w:hint="default"/>
        <w:lang w:val="en-US" w:eastAsia="en-US" w:bidi="ar-SA"/>
      </w:rPr>
    </w:lvl>
    <w:lvl w:ilvl="4">
      <w:start w:val="0"/>
      <w:numFmt w:val="bullet"/>
      <w:lvlText w:val="•"/>
      <w:lvlJc w:val="left"/>
      <w:pPr>
        <w:ind w:left="2012" w:hanging="150"/>
      </w:pPr>
      <w:rPr>
        <w:rFonts w:hint="default"/>
        <w:lang w:val="en-US" w:eastAsia="en-US" w:bidi="ar-SA"/>
      </w:rPr>
    </w:lvl>
    <w:lvl w:ilvl="5">
      <w:start w:val="0"/>
      <w:numFmt w:val="bullet"/>
      <w:lvlText w:val="•"/>
      <w:lvlJc w:val="left"/>
      <w:pPr>
        <w:ind w:left="2461" w:hanging="150"/>
      </w:pPr>
      <w:rPr>
        <w:rFonts w:hint="default"/>
        <w:lang w:val="en-US" w:eastAsia="en-US" w:bidi="ar-SA"/>
      </w:rPr>
    </w:lvl>
    <w:lvl w:ilvl="6">
      <w:start w:val="0"/>
      <w:numFmt w:val="bullet"/>
      <w:lvlText w:val="•"/>
      <w:lvlJc w:val="left"/>
      <w:pPr>
        <w:ind w:left="2909" w:hanging="150"/>
      </w:pPr>
      <w:rPr>
        <w:rFonts w:hint="default"/>
        <w:lang w:val="en-US" w:eastAsia="en-US" w:bidi="ar-SA"/>
      </w:rPr>
    </w:lvl>
    <w:lvl w:ilvl="7">
      <w:start w:val="0"/>
      <w:numFmt w:val="bullet"/>
      <w:lvlText w:val="•"/>
      <w:lvlJc w:val="left"/>
      <w:pPr>
        <w:ind w:left="3357" w:hanging="150"/>
      </w:pPr>
      <w:rPr>
        <w:rFonts w:hint="default"/>
        <w:lang w:val="en-US" w:eastAsia="en-US" w:bidi="ar-SA"/>
      </w:rPr>
    </w:lvl>
    <w:lvl w:ilvl="8">
      <w:start w:val="0"/>
      <w:numFmt w:val="bullet"/>
      <w:lvlText w:val="•"/>
      <w:lvlJc w:val="left"/>
      <w:pPr>
        <w:ind w:left="3805" w:hanging="150"/>
      </w:pPr>
      <w:rPr>
        <w:rFonts w:hint="default"/>
        <w:lang w:val="en-US" w:eastAsia="en-US" w:bidi="ar-SA"/>
      </w:rPr>
    </w:lvl>
  </w:abstractNum>
  <w:abstractNum w:abstractNumId="66">
    <w:multiLevelType w:val="hybridMultilevel"/>
    <w:lvl w:ilvl="0">
      <w:start w:val="1"/>
      <w:numFmt w:val="upperLetter"/>
      <w:lvlText w:val="%1."/>
      <w:lvlJc w:val="left"/>
      <w:pPr>
        <w:ind w:left="279"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459"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1"/>
      <w:numFmt w:val="lowerLetter"/>
      <w:lvlText w:val="%3."/>
      <w:lvlJc w:val="left"/>
      <w:pPr>
        <w:ind w:left="663" w:hanging="205"/>
        <w:jc w:val="left"/>
      </w:pPr>
      <w:rPr>
        <w:rFonts w:hint="default" w:ascii="Trebuchet MS" w:hAnsi="Trebuchet MS" w:eastAsia="Trebuchet MS" w:cs="Trebuchet MS"/>
        <w:b w:val="0"/>
        <w:bCs w:val="0"/>
        <w:i w:val="0"/>
        <w:iCs w:val="0"/>
        <w:color w:val="231F20"/>
        <w:spacing w:val="0"/>
        <w:w w:val="86"/>
        <w:sz w:val="15"/>
        <w:szCs w:val="15"/>
        <w:lang w:val="en-US" w:eastAsia="en-US" w:bidi="ar-SA"/>
      </w:rPr>
    </w:lvl>
    <w:lvl w:ilvl="3">
      <w:start w:val="0"/>
      <w:numFmt w:val="bullet"/>
      <w:lvlText w:val="•"/>
      <w:lvlJc w:val="left"/>
      <w:pPr>
        <w:ind w:left="1165" w:hanging="205"/>
      </w:pPr>
      <w:rPr>
        <w:rFonts w:hint="default"/>
        <w:lang w:val="en-US" w:eastAsia="en-US" w:bidi="ar-SA"/>
      </w:rPr>
    </w:lvl>
    <w:lvl w:ilvl="4">
      <w:start w:val="0"/>
      <w:numFmt w:val="bullet"/>
      <w:lvlText w:val="•"/>
      <w:lvlJc w:val="left"/>
      <w:pPr>
        <w:ind w:left="1670" w:hanging="205"/>
      </w:pPr>
      <w:rPr>
        <w:rFonts w:hint="default"/>
        <w:lang w:val="en-US" w:eastAsia="en-US" w:bidi="ar-SA"/>
      </w:rPr>
    </w:lvl>
    <w:lvl w:ilvl="5">
      <w:start w:val="0"/>
      <w:numFmt w:val="bullet"/>
      <w:lvlText w:val="•"/>
      <w:lvlJc w:val="left"/>
      <w:pPr>
        <w:ind w:left="2175" w:hanging="205"/>
      </w:pPr>
      <w:rPr>
        <w:rFonts w:hint="default"/>
        <w:lang w:val="en-US" w:eastAsia="en-US" w:bidi="ar-SA"/>
      </w:rPr>
    </w:lvl>
    <w:lvl w:ilvl="6">
      <w:start w:val="0"/>
      <w:numFmt w:val="bullet"/>
      <w:lvlText w:val="•"/>
      <w:lvlJc w:val="left"/>
      <w:pPr>
        <w:ind w:left="2681" w:hanging="205"/>
      </w:pPr>
      <w:rPr>
        <w:rFonts w:hint="default"/>
        <w:lang w:val="en-US" w:eastAsia="en-US" w:bidi="ar-SA"/>
      </w:rPr>
    </w:lvl>
    <w:lvl w:ilvl="7">
      <w:start w:val="0"/>
      <w:numFmt w:val="bullet"/>
      <w:lvlText w:val="•"/>
      <w:lvlJc w:val="left"/>
      <w:pPr>
        <w:ind w:left="3186" w:hanging="205"/>
      </w:pPr>
      <w:rPr>
        <w:rFonts w:hint="default"/>
        <w:lang w:val="en-US" w:eastAsia="en-US" w:bidi="ar-SA"/>
      </w:rPr>
    </w:lvl>
    <w:lvl w:ilvl="8">
      <w:start w:val="0"/>
      <w:numFmt w:val="bullet"/>
      <w:lvlText w:val="•"/>
      <w:lvlJc w:val="left"/>
      <w:pPr>
        <w:ind w:left="3691" w:hanging="205"/>
      </w:pPr>
      <w:rPr>
        <w:rFonts w:hint="default"/>
        <w:lang w:val="en-US" w:eastAsia="en-US" w:bidi="ar-SA"/>
      </w:rPr>
    </w:lvl>
  </w:abstractNum>
  <w:abstractNum w:abstractNumId="68">
    <w:multiLevelType w:val="hybridMultilevel"/>
    <w:lvl w:ilvl="0">
      <w:start w:val="1"/>
      <w:numFmt w:val="upperLetter"/>
      <w:lvlText w:val="%1."/>
      <w:lvlJc w:val="left"/>
      <w:pPr>
        <w:ind w:left="279"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459"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0"/>
      <w:numFmt w:val="bullet"/>
      <w:lvlText w:val="•"/>
      <w:lvlJc w:val="left"/>
      <w:pPr>
        <w:ind w:left="931" w:hanging="193"/>
      </w:pPr>
      <w:rPr>
        <w:rFonts w:hint="default"/>
        <w:lang w:val="en-US" w:eastAsia="en-US" w:bidi="ar-SA"/>
      </w:rPr>
    </w:lvl>
    <w:lvl w:ilvl="3">
      <w:start w:val="0"/>
      <w:numFmt w:val="bullet"/>
      <w:lvlText w:val="•"/>
      <w:lvlJc w:val="left"/>
      <w:pPr>
        <w:ind w:left="1402" w:hanging="193"/>
      </w:pPr>
      <w:rPr>
        <w:rFonts w:hint="default"/>
        <w:lang w:val="en-US" w:eastAsia="en-US" w:bidi="ar-SA"/>
      </w:rPr>
    </w:lvl>
    <w:lvl w:ilvl="4">
      <w:start w:val="0"/>
      <w:numFmt w:val="bullet"/>
      <w:lvlText w:val="•"/>
      <w:lvlJc w:val="left"/>
      <w:pPr>
        <w:ind w:left="1874" w:hanging="193"/>
      </w:pPr>
      <w:rPr>
        <w:rFonts w:hint="default"/>
        <w:lang w:val="en-US" w:eastAsia="en-US" w:bidi="ar-SA"/>
      </w:rPr>
    </w:lvl>
    <w:lvl w:ilvl="5">
      <w:start w:val="0"/>
      <w:numFmt w:val="bullet"/>
      <w:lvlText w:val="•"/>
      <w:lvlJc w:val="left"/>
      <w:pPr>
        <w:ind w:left="2345" w:hanging="193"/>
      </w:pPr>
      <w:rPr>
        <w:rFonts w:hint="default"/>
        <w:lang w:val="en-US" w:eastAsia="en-US" w:bidi="ar-SA"/>
      </w:rPr>
    </w:lvl>
    <w:lvl w:ilvl="6">
      <w:start w:val="0"/>
      <w:numFmt w:val="bullet"/>
      <w:lvlText w:val="•"/>
      <w:lvlJc w:val="left"/>
      <w:pPr>
        <w:ind w:left="2816" w:hanging="193"/>
      </w:pPr>
      <w:rPr>
        <w:rFonts w:hint="default"/>
        <w:lang w:val="en-US" w:eastAsia="en-US" w:bidi="ar-SA"/>
      </w:rPr>
    </w:lvl>
    <w:lvl w:ilvl="7">
      <w:start w:val="0"/>
      <w:numFmt w:val="bullet"/>
      <w:lvlText w:val="•"/>
      <w:lvlJc w:val="left"/>
      <w:pPr>
        <w:ind w:left="3288" w:hanging="193"/>
      </w:pPr>
      <w:rPr>
        <w:rFonts w:hint="default"/>
        <w:lang w:val="en-US" w:eastAsia="en-US" w:bidi="ar-SA"/>
      </w:rPr>
    </w:lvl>
    <w:lvl w:ilvl="8">
      <w:start w:val="0"/>
      <w:numFmt w:val="bullet"/>
      <w:lvlText w:val="•"/>
      <w:lvlJc w:val="left"/>
      <w:pPr>
        <w:ind w:left="3759" w:hanging="193"/>
      </w:pPr>
      <w:rPr>
        <w:rFonts w:hint="default"/>
        <w:lang w:val="en-US" w:eastAsia="en-US" w:bidi="ar-SA"/>
      </w:rPr>
    </w:lvl>
  </w:abstractNum>
  <w:abstractNum w:abstractNumId="67">
    <w:multiLevelType w:val="hybridMultilevel"/>
    <w:lvl w:ilvl="0">
      <w:start w:val="1"/>
      <w:numFmt w:val="upperLetter"/>
      <w:lvlText w:val="%1."/>
      <w:lvlJc w:val="left"/>
      <w:pPr>
        <w:ind w:left="279"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459"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0"/>
      <w:numFmt w:val="bullet"/>
      <w:lvlText w:val="•"/>
      <w:lvlJc w:val="left"/>
      <w:pPr>
        <w:ind w:left="931" w:hanging="193"/>
      </w:pPr>
      <w:rPr>
        <w:rFonts w:hint="default"/>
        <w:lang w:val="en-US" w:eastAsia="en-US" w:bidi="ar-SA"/>
      </w:rPr>
    </w:lvl>
    <w:lvl w:ilvl="3">
      <w:start w:val="0"/>
      <w:numFmt w:val="bullet"/>
      <w:lvlText w:val="•"/>
      <w:lvlJc w:val="left"/>
      <w:pPr>
        <w:ind w:left="1402" w:hanging="193"/>
      </w:pPr>
      <w:rPr>
        <w:rFonts w:hint="default"/>
        <w:lang w:val="en-US" w:eastAsia="en-US" w:bidi="ar-SA"/>
      </w:rPr>
    </w:lvl>
    <w:lvl w:ilvl="4">
      <w:start w:val="0"/>
      <w:numFmt w:val="bullet"/>
      <w:lvlText w:val="•"/>
      <w:lvlJc w:val="left"/>
      <w:pPr>
        <w:ind w:left="1874" w:hanging="193"/>
      </w:pPr>
      <w:rPr>
        <w:rFonts w:hint="default"/>
        <w:lang w:val="en-US" w:eastAsia="en-US" w:bidi="ar-SA"/>
      </w:rPr>
    </w:lvl>
    <w:lvl w:ilvl="5">
      <w:start w:val="0"/>
      <w:numFmt w:val="bullet"/>
      <w:lvlText w:val="•"/>
      <w:lvlJc w:val="left"/>
      <w:pPr>
        <w:ind w:left="2345" w:hanging="193"/>
      </w:pPr>
      <w:rPr>
        <w:rFonts w:hint="default"/>
        <w:lang w:val="en-US" w:eastAsia="en-US" w:bidi="ar-SA"/>
      </w:rPr>
    </w:lvl>
    <w:lvl w:ilvl="6">
      <w:start w:val="0"/>
      <w:numFmt w:val="bullet"/>
      <w:lvlText w:val="•"/>
      <w:lvlJc w:val="left"/>
      <w:pPr>
        <w:ind w:left="2816" w:hanging="193"/>
      </w:pPr>
      <w:rPr>
        <w:rFonts w:hint="default"/>
        <w:lang w:val="en-US" w:eastAsia="en-US" w:bidi="ar-SA"/>
      </w:rPr>
    </w:lvl>
    <w:lvl w:ilvl="7">
      <w:start w:val="0"/>
      <w:numFmt w:val="bullet"/>
      <w:lvlText w:val="•"/>
      <w:lvlJc w:val="left"/>
      <w:pPr>
        <w:ind w:left="3288" w:hanging="193"/>
      </w:pPr>
      <w:rPr>
        <w:rFonts w:hint="default"/>
        <w:lang w:val="en-US" w:eastAsia="en-US" w:bidi="ar-SA"/>
      </w:rPr>
    </w:lvl>
    <w:lvl w:ilvl="8">
      <w:start w:val="0"/>
      <w:numFmt w:val="bullet"/>
      <w:lvlText w:val="•"/>
      <w:lvlJc w:val="left"/>
      <w:pPr>
        <w:ind w:left="3759" w:hanging="193"/>
      </w:pPr>
      <w:rPr>
        <w:rFonts w:hint="default"/>
        <w:lang w:val="en-US" w:eastAsia="en-US" w:bidi="ar-SA"/>
      </w:rPr>
    </w:lvl>
  </w:abstractNum>
  <w:abstractNum w:abstractNumId="65">
    <w:multiLevelType w:val="hybridMultilevel"/>
    <w:lvl w:ilvl="0">
      <w:start w:val="1"/>
      <w:numFmt w:val="upperLetter"/>
      <w:lvlText w:val="%1."/>
      <w:lvlJc w:val="left"/>
      <w:pPr>
        <w:ind w:left="279"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459"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0"/>
      <w:numFmt w:val="bullet"/>
      <w:lvlText w:val="•"/>
      <w:lvlJc w:val="left"/>
      <w:pPr>
        <w:ind w:left="931" w:hanging="193"/>
      </w:pPr>
      <w:rPr>
        <w:rFonts w:hint="default"/>
        <w:lang w:val="en-US" w:eastAsia="en-US" w:bidi="ar-SA"/>
      </w:rPr>
    </w:lvl>
    <w:lvl w:ilvl="3">
      <w:start w:val="0"/>
      <w:numFmt w:val="bullet"/>
      <w:lvlText w:val="•"/>
      <w:lvlJc w:val="left"/>
      <w:pPr>
        <w:ind w:left="1402" w:hanging="193"/>
      </w:pPr>
      <w:rPr>
        <w:rFonts w:hint="default"/>
        <w:lang w:val="en-US" w:eastAsia="en-US" w:bidi="ar-SA"/>
      </w:rPr>
    </w:lvl>
    <w:lvl w:ilvl="4">
      <w:start w:val="0"/>
      <w:numFmt w:val="bullet"/>
      <w:lvlText w:val="•"/>
      <w:lvlJc w:val="left"/>
      <w:pPr>
        <w:ind w:left="1874" w:hanging="193"/>
      </w:pPr>
      <w:rPr>
        <w:rFonts w:hint="default"/>
        <w:lang w:val="en-US" w:eastAsia="en-US" w:bidi="ar-SA"/>
      </w:rPr>
    </w:lvl>
    <w:lvl w:ilvl="5">
      <w:start w:val="0"/>
      <w:numFmt w:val="bullet"/>
      <w:lvlText w:val="•"/>
      <w:lvlJc w:val="left"/>
      <w:pPr>
        <w:ind w:left="2345" w:hanging="193"/>
      </w:pPr>
      <w:rPr>
        <w:rFonts w:hint="default"/>
        <w:lang w:val="en-US" w:eastAsia="en-US" w:bidi="ar-SA"/>
      </w:rPr>
    </w:lvl>
    <w:lvl w:ilvl="6">
      <w:start w:val="0"/>
      <w:numFmt w:val="bullet"/>
      <w:lvlText w:val="•"/>
      <w:lvlJc w:val="left"/>
      <w:pPr>
        <w:ind w:left="2816" w:hanging="193"/>
      </w:pPr>
      <w:rPr>
        <w:rFonts w:hint="default"/>
        <w:lang w:val="en-US" w:eastAsia="en-US" w:bidi="ar-SA"/>
      </w:rPr>
    </w:lvl>
    <w:lvl w:ilvl="7">
      <w:start w:val="0"/>
      <w:numFmt w:val="bullet"/>
      <w:lvlText w:val="•"/>
      <w:lvlJc w:val="left"/>
      <w:pPr>
        <w:ind w:left="3288" w:hanging="193"/>
      </w:pPr>
      <w:rPr>
        <w:rFonts w:hint="default"/>
        <w:lang w:val="en-US" w:eastAsia="en-US" w:bidi="ar-SA"/>
      </w:rPr>
    </w:lvl>
    <w:lvl w:ilvl="8">
      <w:start w:val="0"/>
      <w:numFmt w:val="bullet"/>
      <w:lvlText w:val="•"/>
      <w:lvlJc w:val="left"/>
      <w:pPr>
        <w:ind w:left="3759" w:hanging="193"/>
      </w:pPr>
      <w:rPr>
        <w:rFonts w:hint="default"/>
        <w:lang w:val="en-US" w:eastAsia="en-US" w:bidi="ar-SA"/>
      </w:rPr>
    </w:lvl>
  </w:abstractNum>
  <w:abstractNum w:abstractNumId="64">
    <w:multiLevelType w:val="hybridMultilevel"/>
    <w:lvl w:ilvl="0">
      <w:start w:val="1"/>
      <w:numFmt w:val="upperLetter"/>
      <w:lvlText w:val="%1."/>
      <w:lvlJc w:val="left"/>
      <w:pPr>
        <w:ind w:left="279" w:hanging="206"/>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1"/>
      <w:numFmt w:val="decimal"/>
      <w:lvlText w:val="%2."/>
      <w:lvlJc w:val="left"/>
      <w:pPr>
        <w:ind w:left="459"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2">
      <w:start w:val="0"/>
      <w:numFmt w:val="bullet"/>
      <w:lvlText w:val="•"/>
      <w:lvlJc w:val="left"/>
      <w:pPr>
        <w:ind w:left="931" w:hanging="193"/>
      </w:pPr>
      <w:rPr>
        <w:rFonts w:hint="default"/>
        <w:lang w:val="en-US" w:eastAsia="en-US" w:bidi="ar-SA"/>
      </w:rPr>
    </w:lvl>
    <w:lvl w:ilvl="3">
      <w:start w:val="0"/>
      <w:numFmt w:val="bullet"/>
      <w:lvlText w:val="•"/>
      <w:lvlJc w:val="left"/>
      <w:pPr>
        <w:ind w:left="1402" w:hanging="193"/>
      </w:pPr>
      <w:rPr>
        <w:rFonts w:hint="default"/>
        <w:lang w:val="en-US" w:eastAsia="en-US" w:bidi="ar-SA"/>
      </w:rPr>
    </w:lvl>
    <w:lvl w:ilvl="4">
      <w:start w:val="0"/>
      <w:numFmt w:val="bullet"/>
      <w:lvlText w:val="•"/>
      <w:lvlJc w:val="left"/>
      <w:pPr>
        <w:ind w:left="1874" w:hanging="193"/>
      </w:pPr>
      <w:rPr>
        <w:rFonts w:hint="default"/>
        <w:lang w:val="en-US" w:eastAsia="en-US" w:bidi="ar-SA"/>
      </w:rPr>
    </w:lvl>
    <w:lvl w:ilvl="5">
      <w:start w:val="0"/>
      <w:numFmt w:val="bullet"/>
      <w:lvlText w:val="•"/>
      <w:lvlJc w:val="left"/>
      <w:pPr>
        <w:ind w:left="2345" w:hanging="193"/>
      </w:pPr>
      <w:rPr>
        <w:rFonts w:hint="default"/>
        <w:lang w:val="en-US" w:eastAsia="en-US" w:bidi="ar-SA"/>
      </w:rPr>
    </w:lvl>
    <w:lvl w:ilvl="6">
      <w:start w:val="0"/>
      <w:numFmt w:val="bullet"/>
      <w:lvlText w:val="•"/>
      <w:lvlJc w:val="left"/>
      <w:pPr>
        <w:ind w:left="2816" w:hanging="193"/>
      </w:pPr>
      <w:rPr>
        <w:rFonts w:hint="default"/>
        <w:lang w:val="en-US" w:eastAsia="en-US" w:bidi="ar-SA"/>
      </w:rPr>
    </w:lvl>
    <w:lvl w:ilvl="7">
      <w:start w:val="0"/>
      <w:numFmt w:val="bullet"/>
      <w:lvlText w:val="•"/>
      <w:lvlJc w:val="left"/>
      <w:pPr>
        <w:ind w:left="3288" w:hanging="193"/>
      </w:pPr>
      <w:rPr>
        <w:rFonts w:hint="default"/>
        <w:lang w:val="en-US" w:eastAsia="en-US" w:bidi="ar-SA"/>
      </w:rPr>
    </w:lvl>
    <w:lvl w:ilvl="8">
      <w:start w:val="0"/>
      <w:numFmt w:val="bullet"/>
      <w:lvlText w:val="•"/>
      <w:lvlJc w:val="left"/>
      <w:pPr>
        <w:ind w:left="3759" w:hanging="193"/>
      </w:pPr>
      <w:rPr>
        <w:rFonts w:hint="default"/>
        <w:lang w:val="en-US" w:eastAsia="en-US" w:bidi="ar-SA"/>
      </w:rPr>
    </w:lvl>
  </w:abstractNum>
  <w:abstractNum w:abstractNumId="63">
    <w:multiLevelType w:val="hybridMultilevel"/>
    <w:lvl w:ilvl="0">
      <w:start w:val="0"/>
      <w:numFmt w:val="bullet"/>
      <w:lvlText w:val="•"/>
      <w:lvlJc w:val="left"/>
      <w:pPr>
        <w:ind w:left="36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28" w:hanging="150"/>
      </w:pPr>
      <w:rPr>
        <w:rFonts w:hint="default"/>
        <w:lang w:val="en-US" w:eastAsia="en-US" w:bidi="ar-SA"/>
      </w:rPr>
    </w:lvl>
    <w:lvl w:ilvl="2">
      <w:start w:val="0"/>
      <w:numFmt w:val="bullet"/>
      <w:lvlText w:val="•"/>
      <w:lvlJc w:val="left"/>
      <w:pPr>
        <w:ind w:left="1096" w:hanging="150"/>
      </w:pPr>
      <w:rPr>
        <w:rFonts w:hint="default"/>
        <w:lang w:val="en-US" w:eastAsia="en-US" w:bidi="ar-SA"/>
      </w:rPr>
    </w:lvl>
    <w:lvl w:ilvl="3">
      <w:start w:val="0"/>
      <w:numFmt w:val="bullet"/>
      <w:lvlText w:val="•"/>
      <w:lvlJc w:val="left"/>
      <w:pPr>
        <w:ind w:left="1465" w:hanging="150"/>
      </w:pPr>
      <w:rPr>
        <w:rFonts w:hint="default"/>
        <w:lang w:val="en-US" w:eastAsia="en-US" w:bidi="ar-SA"/>
      </w:rPr>
    </w:lvl>
    <w:lvl w:ilvl="4">
      <w:start w:val="0"/>
      <w:numFmt w:val="bullet"/>
      <w:lvlText w:val="•"/>
      <w:lvlJc w:val="left"/>
      <w:pPr>
        <w:ind w:left="1833" w:hanging="150"/>
      </w:pPr>
      <w:rPr>
        <w:rFonts w:hint="default"/>
        <w:lang w:val="en-US" w:eastAsia="en-US" w:bidi="ar-SA"/>
      </w:rPr>
    </w:lvl>
    <w:lvl w:ilvl="5">
      <w:start w:val="0"/>
      <w:numFmt w:val="bullet"/>
      <w:lvlText w:val="•"/>
      <w:lvlJc w:val="left"/>
      <w:pPr>
        <w:ind w:left="2202" w:hanging="150"/>
      </w:pPr>
      <w:rPr>
        <w:rFonts w:hint="default"/>
        <w:lang w:val="en-US" w:eastAsia="en-US" w:bidi="ar-SA"/>
      </w:rPr>
    </w:lvl>
    <w:lvl w:ilvl="6">
      <w:start w:val="0"/>
      <w:numFmt w:val="bullet"/>
      <w:lvlText w:val="•"/>
      <w:lvlJc w:val="left"/>
      <w:pPr>
        <w:ind w:left="2570" w:hanging="150"/>
      </w:pPr>
      <w:rPr>
        <w:rFonts w:hint="default"/>
        <w:lang w:val="en-US" w:eastAsia="en-US" w:bidi="ar-SA"/>
      </w:rPr>
    </w:lvl>
    <w:lvl w:ilvl="7">
      <w:start w:val="0"/>
      <w:numFmt w:val="bullet"/>
      <w:lvlText w:val="•"/>
      <w:lvlJc w:val="left"/>
      <w:pPr>
        <w:ind w:left="2938" w:hanging="150"/>
      </w:pPr>
      <w:rPr>
        <w:rFonts w:hint="default"/>
        <w:lang w:val="en-US" w:eastAsia="en-US" w:bidi="ar-SA"/>
      </w:rPr>
    </w:lvl>
    <w:lvl w:ilvl="8">
      <w:start w:val="0"/>
      <w:numFmt w:val="bullet"/>
      <w:lvlText w:val="•"/>
      <w:lvlJc w:val="left"/>
      <w:pPr>
        <w:ind w:left="3307" w:hanging="150"/>
      </w:pPr>
      <w:rPr>
        <w:rFonts w:hint="default"/>
        <w:lang w:val="en-US" w:eastAsia="en-US" w:bidi="ar-SA"/>
      </w:rPr>
    </w:lvl>
  </w:abstractNum>
  <w:abstractNum w:abstractNumId="62">
    <w:multiLevelType w:val="hybridMultilevel"/>
    <w:lvl w:ilvl="0">
      <w:start w:val="0"/>
      <w:numFmt w:val="bullet"/>
      <w:lvlText w:val="•"/>
      <w:lvlJc w:val="left"/>
      <w:pPr>
        <w:ind w:left="51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915" w:hanging="150"/>
      </w:pPr>
      <w:rPr>
        <w:rFonts w:hint="default"/>
        <w:lang w:val="en-US" w:eastAsia="en-US" w:bidi="ar-SA"/>
      </w:rPr>
    </w:lvl>
    <w:lvl w:ilvl="2">
      <w:start w:val="0"/>
      <w:numFmt w:val="bullet"/>
      <w:lvlText w:val="•"/>
      <w:lvlJc w:val="left"/>
      <w:pPr>
        <w:ind w:left="1310" w:hanging="150"/>
      </w:pPr>
      <w:rPr>
        <w:rFonts w:hint="default"/>
        <w:lang w:val="en-US" w:eastAsia="en-US" w:bidi="ar-SA"/>
      </w:rPr>
    </w:lvl>
    <w:lvl w:ilvl="3">
      <w:start w:val="0"/>
      <w:numFmt w:val="bullet"/>
      <w:lvlText w:val="•"/>
      <w:lvlJc w:val="left"/>
      <w:pPr>
        <w:ind w:left="1706" w:hanging="150"/>
      </w:pPr>
      <w:rPr>
        <w:rFonts w:hint="default"/>
        <w:lang w:val="en-US" w:eastAsia="en-US" w:bidi="ar-SA"/>
      </w:rPr>
    </w:lvl>
    <w:lvl w:ilvl="4">
      <w:start w:val="0"/>
      <w:numFmt w:val="bullet"/>
      <w:lvlText w:val="•"/>
      <w:lvlJc w:val="left"/>
      <w:pPr>
        <w:ind w:left="2101" w:hanging="150"/>
      </w:pPr>
      <w:rPr>
        <w:rFonts w:hint="default"/>
        <w:lang w:val="en-US" w:eastAsia="en-US" w:bidi="ar-SA"/>
      </w:rPr>
    </w:lvl>
    <w:lvl w:ilvl="5">
      <w:start w:val="0"/>
      <w:numFmt w:val="bullet"/>
      <w:lvlText w:val="•"/>
      <w:lvlJc w:val="left"/>
      <w:pPr>
        <w:ind w:left="2497" w:hanging="150"/>
      </w:pPr>
      <w:rPr>
        <w:rFonts w:hint="default"/>
        <w:lang w:val="en-US" w:eastAsia="en-US" w:bidi="ar-SA"/>
      </w:rPr>
    </w:lvl>
    <w:lvl w:ilvl="6">
      <w:start w:val="0"/>
      <w:numFmt w:val="bullet"/>
      <w:lvlText w:val="•"/>
      <w:lvlJc w:val="left"/>
      <w:pPr>
        <w:ind w:left="2892" w:hanging="150"/>
      </w:pPr>
      <w:rPr>
        <w:rFonts w:hint="default"/>
        <w:lang w:val="en-US" w:eastAsia="en-US" w:bidi="ar-SA"/>
      </w:rPr>
    </w:lvl>
    <w:lvl w:ilvl="7">
      <w:start w:val="0"/>
      <w:numFmt w:val="bullet"/>
      <w:lvlText w:val="•"/>
      <w:lvlJc w:val="left"/>
      <w:pPr>
        <w:ind w:left="3287" w:hanging="150"/>
      </w:pPr>
      <w:rPr>
        <w:rFonts w:hint="default"/>
        <w:lang w:val="en-US" w:eastAsia="en-US" w:bidi="ar-SA"/>
      </w:rPr>
    </w:lvl>
    <w:lvl w:ilvl="8">
      <w:start w:val="0"/>
      <w:numFmt w:val="bullet"/>
      <w:lvlText w:val="•"/>
      <w:lvlJc w:val="left"/>
      <w:pPr>
        <w:ind w:left="3683" w:hanging="150"/>
      </w:pPr>
      <w:rPr>
        <w:rFonts w:hint="default"/>
        <w:lang w:val="en-US" w:eastAsia="en-US" w:bidi="ar-SA"/>
      </w:rPr>
    </w:lvl>
  </w:abstractNum>
  <w:abstractNum w:abstractNumId="61">
    <w:multiLevelType w:val="hybridMultilevel"/>
    <w:lvl w:ilvl="0">
      <w:start w:val="0"/>
      <w:numFmt w:val="bullet"/>
      <w:lvlText w:val="•"/>
      <w:lvlJc w:val="left"/>
      <w:pPr>
        <w:ind w:left="36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28" w:hanging="150"/>
      </w:pPr>
      <w:rPr>
        <w:rFonts w:hint="default"/>
        <w:lang w:val="en-US" w:eastAsia="en-US" w:bidi="ar-SA"/>
      </w:rPr>
    </w:lvl>
    <w:lvl w:ilvl="2">
      <w:start w:val="0"/>
      <w:numFmt w:val="bullet"/>
      <w:lvlText w:val="•"/>
      <w:lvlJc w:val="left"/>
      <w:pPr>
        <w:ind w:left="1096" w:hanging="150"/>
      </w:pPr>
      <w:rPr>
        <w:rFonts w:hint="default"/>
        <w:lang w:val="en-US" w:eastAsia="en-US" w:bidi="ar-SA"/>
      </w:rPr>
    </w:lvl>
    <w:lvl w:ilvl="3">
      <w:start w:val="0"/>
      <w:numFmt w:val="bullet"/>
      <w:lvlText w:val="•"/>
      <w:lvlJc w:val="left"/>
      <w:pPr>
        <w:ind w:left="1465" w:hanging="150"/>
      </w:pPr>
      <w:rPr>
        <w:rFonts w:hint="default"/>
        <w:lang w:val="en-US" w:eastAsia="en-US" w:bidi="ar-SA"/>
      </w:rPr>
    </w:lvl>
    <w:lvl w:ilvl="4">
      <w:start w:val="0"/>
      <w:numFmt w:val="bullet"/>
      <w:lvlText w:val="•"/>
      <w:lvlJc w:val="left"/>
      <w:pPr>
        <w:ind w:left="1833" w:hanging="150"/>
      </w:pPr>
      <w:rPr>
        <w:rFonts w:hint="default"/>
        <w:lang w:val="en-US" w:eastAsia="en-US" w:bidi="ar-SA"/>
      </w:rPr>
    </w:lvl>
    <w:lvl w:ilvl="5">
      <w:start w:val="0"/>
      <w:numFmt w:val="bullet"/>
      <w:lvlText w:val="•"/>
      <w:lvlJc w:val="left"/>
      <w:pPr>
        <w:ind w:left="2202" w:hanging="150"/>
      </w:pPr>
      <w:rPr>
        <w:rFonts w:hint="default"/>
        <w:lang w:val="en-US" w:eastAsia="en-US" w:bidi="ar-SA"/>
      </w:rPr>
    </w:lvl>
    <w:lvl w:ilvl="6">
      <w:start w:val="0"/>
      <w:numFmt w:val="bullet"/>
      <w:lvlText w:val="•"/>
      <w:lvlJc w:val="left"/>
      <w:pPr>
        <w:ind w:left="2570" w:hanging="150"/>
      </w:pPr>
      <w:rPr>
        <w:rFonts w:hint="default"/>
        <w:lang w:val="en-US" w:eastAsia="en-US" w:bidi="ar-SA"/>
      </w:rPr>
    </w:lvl>
    <w:lvl w:ilvl="7">
      <w:start w:val="0"/>
      <w:numFmt w:val="bullet"/>
      <w:lvlText w:val="•"/>
      <w:lvlJc w:val="left"/>
      <w:pPr>
        <w:ind w:left="2938" w:hanging="150"/>
      </w:pPr>
      <w:rPr>
        <w:rFonts w:hint="default"/>
        <w:lang w:val="en-US" w:eastAsia="en-US" w:bidi="ar-SA"/>
      </w:rPr>
    </w:lvl>
    <w:lvl w:ilvl="8">
      <w:start w:val="0"/>
      <w:numFmt w:val="bullet"/>
      <w:lvlText w:val="•"/>
      <w:lvlJc w:val="left"/>
      <w:pPr>
        <w:ind w:left="3307" w:hanging="150"/>
      </w:pPr>
      <w:rPr>
        <w:rFonts w:hint="default"/>
        <w:lang w:val="en-US" w:eastAsia="en-US" w:bidi="ar-SA"/>
      </w:rPr>
    </w:lvl>
  </w:abstractNum>
  <w:abstractNum w:abstractNumId="60">
    <w:multiLevelType w:val="hybridMultilevel"/>
    <w:lvl w:ilvl="0">
      <w:start w:val="0"/>
      <w:numFmt w:val="bullet"/>
      <w:lvlText w:val="•"/>
      <w:lvlJc w:val="left"/>
      <w:pPr>
        <w:ind w:left="36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182" w:hanging="150"/>
      </w:pPr>
      <w:rPr>
        <w:rFonts w:hint="default"/>
        <w:lang w:val="en-US" w:eastAsia="en-US" w:bidi="ar-SA"/>
      </w:rPr>
    </w:lvl>
    <w:lvl w:ilvl="3">
      <w:start w:val="0"/>
      <w:numFmt w:val="bullet"/>
      <w:lvlText w:val="•"/>
      <w:lvlJc w:val="left"/>
      <w:pPr>
        <w:ind w:left="1594" w:hanging="150"/>
      </w:pPr>
      <w:rPr>
        <w:rFonts w:hint="default"/>
        <w:lang w:val="en-US" w:eastAsia="en-US" w:bidi="ar-SA"/>
      </w:rPr>
    </w:lvl>
    <w:lvl w:ilvl="4">
      <w:start w:val="0"/>
      <w:numFmt w:val="bullet"/>
      <w:lvlText w:val="•"/>
      <w:lvlJc w:val="left"/>
      <w:pPr>
        <w:ind w:left="2005" w:hanging="150"/>
      </w:pPr>
      <w:rPr>
        <w:rFonts w:hint="default"/>
        <w:lang w:val="en-US" w:eastAsia="en-US" w:bidi="ar-SA"/>
      </w:rPr>
    </w:lvl>
    <w:lvl w:ilvl="5">
      <w:start w:val="0"/>
      <w:numFmt w:val="bullet"/>
      <w:lvlText w:val="•"/>
      <w:lvlJc w:val="left"/>
      <w:pPr>
        <w:ind w:left="2417" w:hanging="150"/>
      </w:pPr>
      <w:rPr>
        <w:rFonts w:hint="default"/>
        <w:lang w:val="en-US" w:eastAsia="en-US" w:bidi="ar-SA"/>
      </w:rPr>
    </w:lvl>
    <w:lvl w:ilvl="6">
      <w:start w:val="0"/>
      <w:numFmt w:val="bullet"/>
      <w:lvlText w:val="•"/>
      <w:lvlJc w:val="left"/>
      <w:pPr>
        <w:ind w:left="2828" w:hanging="150"/>
      </w:pPr>
      <w:rPr>
        <w:rFonts w:hint="default"/>
        <w:lang w:val="en-US" w:eastAsia="en-US" w:bidi="ar-SA"/>
      </w:rPr>
    </w:lvl>
    <w:lvl w:ilvl="7">
      <w:start w:val="0"/>
      <w:numFmt w:val="bullet"/>
      <w:lvlText w:val="•"/>
      <w:lvlJc w:val="left"/>
      <w:pPr>
        <w:ind w:left="3239" w:hanging="150"/>
      </w:pPr>
      <w:rPr>
        <w:rFonts w:hint="default"/>
        <w:lang w:val="en-US" w:eastAsia="en-US" w:bidi="ar-SA"/>
      </w:rPr>
    </w:lvl>
    <w:lvl w:ilvl="8">
      <w:start w:val="0"/>
      <w:numFmt w:val="bullet"/>
      <w:lvlText w:val="•"/>
      <w:lvlJc w:val="left"/>
      <w:pPr>
        <w:ind w:left="3651" w:hanging="150"/>
      </w:pPr>
      <w:rPr>
        <w:rFonts w:hint="default"/>
        <w:lang w:val="en-US" w:eastAsia="en-US" w:bidi="ar-SA"/>
      </w:rPr>
    </w:lvl>
  </w:abstractNum>
  <w:abstractNum w:abstractNumId="59">
    <w:multiLevelType w:val="hybridMultilevel"/>
    <w:lvl w:ilvl="0">
      <w:start w:val="0"/>
      <w:numFmt w:val="bullet"/>
      <w:lvlText w:val="•"/>
      <w:lvlJc w:val="left"/>
      <w:pPr>
        <w:ind w:left="7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2" w:hanging="150"/>
      </w:pPr>
      <w:rPr>
        <w:rFonts w:hint="default"/>
        <w:lang w:val="en-US" w:eastAsia="en-US" w:bidi="ar-SA"/>
      </w:rPr>
    </w:lvl>
    <w:lvl w:ilvl="2">
      <w:start w:val="0"/>
      <w:numFmt w:val="bullet"/>
      <w:lvlText w:val="•"/>
      <w:lvlJc w:val="left"/>
      <w:pPr>
        <w:ind w:left="1004" w:hanging="150"/>
      </w:pPr>
      <w:rPr>
        <w:rFonts w:hint="default"/>
        <w:lang w:val="en-US" w:eastAsia="en-US" w:bidi="ar-SA"/>
      </w:rPr>
    </w:lvl>
    <w:lvl w:ilvl="3">
      <w:start w:val="0"/>
      <w:numFmt w:val="bullet"/>
      <w:lvlText w:val="•"/>
      <w:lvlJc w:val="left"/>
      <w:pPr>
        <w:ind w:left="1466" w:hanging="150"/>
      </w:pPr>
      <w:rPr>
        <w:rFonts w:hint="default"/>
        <w:lang w:val="en-US" w:eastAsia="en-US" w:bidi="ar-SA"/>
      </w:rPr>
    </w:lvl>
    <w:lvl w:ilvl="4">
      <w:start w:val="0"/>
      <w:numFmt w:val="bullet"/>
      <w:lvlText w:val="•"/>
      <w:lvlJc w:val="left"/>
      <w:pPr>
        <w:ind w:left="1928" w:hanging="150"/>
      </w:pPr>
      <w:rPr>
        <w:rFonts w:hint="default"/>
        <w:lang w:val="en-US" w:eastAsia="en-US" w:bidi="ar-SA"/>
      </w:rPr>
    </w:lvl>
    <w:lvl w:ilvl="5">
      <w:start w:val="0"/>
      <w:numFmt w:val="bullet"/>
      <w:lvlText w:val="•"/>
      <w:lvlJc w:val="left"/>
      <w:pPr>
        <w:ind w:left="2391" w:hanging="150"/>
      </w:pPr>
      <w:rPr>
        <w:rFonts w:hint="default"/>
        <w:lang w:val="en-US" w:eastAsia="en-US" w:bidi="ar-SA"/>
      </w:rPr>
    </w:lvl>
    <w:lvl w:ilvl="6">
      <w:start w:val="0"/>
      <w:numFmt w:val="bullet"/>
      <w:lvlText w:val="•"/>
      <w:lvlJc w:val="left"/>
      <w:pPr>
        <w:ind w:left="2853" w:hanging="150"/>
      </w:pPr>
      <w:rPr>
        <w:rFonts w:hint="default"/>
        <w:lang w:val="en-US" w:eastAsia="en-US" w:bidi="ar-SA"/>
      </w:rPr>
    </w:lvl>
    <w:lvl w:ilvl="7">
      <w:start w:val="0"/>
      <w:numFmt w:val="bullet"/>
      <w:lvlText w:val="•"/>
      <w:lvlJc w:val="left"/>
      <w:pPr>
        <w:ind w:left="3315" w:hanging="150"/>
      </w:pPr>
      <w:rPr>
        <w:rFonts w:hint="default"/>
        <w:lang w:val="en-US" w:eastAsia="en-US" w:bidi="ar-SA"/>
      </w:rPr>
    </w:lvl>
    <w:lvl w:ilvl="8">
      <w:start w:val="0"/>
      <w:numFmt w:val="bullet"/>
      <w:lvlText w:val="•"/>
      <w:lvlJc w:val="left"/>
      <w:pPr>
        <w:ind w:left="3777" w:hanging="150"/>
      </w:pPr>
      <w:rPr>
        <w:rFonts w:hint="default"/>
        <w:lang w:val="en-US" w:eastAsia="en-US" w:bidi="ar-SA"/>
      </w:rPr>
    </w:lvl>
  </w:abstractNum>
  <w:abstractNum w:abstractNumId="58">
    <w:multiLevelType w:val="hybridMultilevel"/>
    <w:lvl w:ilvl="0">
      <w:start w:val="0"/>
      <w:numFmt w:val="bullet"/>
      <w:lvlText w:val="•"/>
      <w:lvlJc w:val="left"/>
      <w:pPr>
        <w:ind w:left="7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2" w:hanging="150"/>
      </w:pPr>
      <w:rPr>
        <w:rFonts w:hint="default"/>
        <w:lang w:val="en-US" w:eastAsia="en-US" w:bidi="ar-SA"/>
      </w:rPr>
    </w:lvl>
    <w:lvl w:ilvl="2">
      <w:start w:val="0"/>
      <w:numFmt w:val="bullet"/>
      <w:lvlText w:val="•"/>
      <w:lvlJc w:val="left"/>
      <w:pPr>
        <w:ind w:left="1004" w:hanging="150"/>
      </w:pPr>
      <w:rPr>
        <w:rFonts w:hint="default"/>
        <w:lang w:val="en-US" w:eastAsia="en-US" w:bidi="ar-SA"/>
      </w:rPr>
    </w:lvl>
    <w:lvl w:ilvl="3">
      <w:start w:val="0"/>
      <w:numFmt w:val="bullet"/>
      <w:lvlText w:val="•"/>
      <w:lvlJc w:val="left"/>
      <w:pPr>
        <w:ind w:left="1466" w:hanging="150"/>
      </w:pPr>
      <w:rPr>
        <w:rFonts w:hint="default"/>
        <w:lang w:val="en-US" w:eastAsia="en-US" w:bidi="ar-SA"/>
      </w:rPr>
    </w:lvl>
    <w:lvl w:ilvl="4">
      <w:start w:val="0"/>
      <w:numFmt w:val="bullet"/>
      <w:lvlText w:val="•"/>
      <w:lvlJc w:val="left"/>
      <w:pPr>
        <w:ind w:left="1928" w:hanging="150"/>
      </w:pPr>
      <w:rPr>
        <w:rFonts w:hint="default"/>
        <w:lang w:val="en-US" w:eastAsia="en-US" w:bidi="ar-SA"/>
      </w:rPr>
    </w:lvl>
    <w:lvl w:ilvl="5">
      <w:start w:val="0"/>
      <w:numFmt w:val="bullet"/>
      <w:lvlText w:val="•"/>
      <w:lvlJc w:val="left"/>
      <w:pPr>
        <w:ind w:left="2391" w:hanging="150"/>
      </w:pPr>
      <w:rPr>
        <w:rFonts w:hint="default"/>
        <w:lang w:val="en-US" w:eastAsia="en-US" w:bidi="ar-SA"/>
      </w:rPr>
    </w:lvl>
    <w:lvl w:ilvl="6">
      <w:start w:val="0"/>
      <w:numFmt w:val="bullet"/>
      <w:lvlText w:val="•"/>
      <w:lvlJc w:val="left"/>
      <w:pPr>
        <w:ind w:left="2853" w:hanging="150"/>
      </w:pPr>
      <w:rPr>
        <w:rFonts w:hint="default"/>
        <w:lang w:val="en-US" w:eastAsia="en-US" w:bidi="ar-SA"/>
      </w:rPr>
    </w:lvl>
    <w:lvl w:ilvl="7">
      <w:start w:val="0"/>
      <w:numFmt w:val="bullet"/>
      <w:lvlText w:val="•"/>
      <w:lvlJc w:val="left"/>
      <w:pPr>
        <w:ind w:left="3315" w:hanging="150"/>
      </w:pPr>
      <w:rPr>
        <w:rFonts w:hint="default"/>
        <w:lang w:val="en-US" w:eastAsia="en-US" w:bidi="ar-SA"/>
      </w:rPr>
    </w:lvl>
    <w:lvl w:ilvl="8">
      <w:start w:val="0"/>
      <w:numFmt w:val="bullet"/>
      <w:lvlText w:val="•"/>
      <w:lvlJc w:val="left"/>
      <w:pPr>
        <w:ind w:left="3777" w:hanging="150"/>
      </w:pPr>
      <w:rPr>
        <w:rFonts w:hint="default"/>
        <w:lang w:val="en-US" w:eastAsia="en-US" w:bidi="ar-SA"/>
      </w:rPr>
    </w:lvl>
  </w:abstractNum>
  <w:abstractNum w:abstractNumId="57">
    <w:multiLevelType w:val="hybridMultilevel"/>
    <w:lvl w:ilvl="0">
      <w:start w:val="0"/>
      <w:numFmt w:val="bullet"/>
      <w:lvlText w:val="•"/>
      <w:lvlJc w:val="left"/>
      <w:pPr>
        <w:ind w:left="74"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2" w:hanging="150"/>
      </w:pPr>
      <w:rPr>
        <w:rFonts w:hint="default"/>
        <w:lang w:val="en-US" w:eastAsia="en-US" w:bidi="ar-SA"/>
      </w:rPr>
    </w:lvl>
    <w:lvl w:ilvl="2">
      <w:start w:val="0"/>
      <w:numFmt w:val="bullet"/>
      <w:lvlText w:val="•"/>
      <w:lvlJc w:val="left"/>
      <w:pPr>
        <w:ind w:left="1004" w:hanging="150"/>
      </w:pPr>
      <w:rPr>
        <w:rFonts w:hint="default"/>
        <w:lang w:val="en-US" w:eastAsia="en-US" w:bidi="ar-SA"/>
      </w:rPr>
    </w:lvl>
    <w:lvl w:ilvl="3">
      <w:start w:val="0"/>
      <w:numFmt w:val="bullet"/>
      <w:lvlText w:val="•"/>
      <w:lvlJc w:val="left"/>
      <w:pPr>
        <w:ind w:left="1466" w:hanging="150"/>
      </w:pPr>
      <w:rPr>
        <w:rFonts w:hint="default"/>
        <w:lang w:val="en-US" w:eastAsia="en-US" w:bidi="ar-SA"/>
      </w:rPr>
    </w:lvl>
    <w:lvl w:ilvl="4">
      <w:start w:val="0"/>
      <w:numFmt w:val="bullet"/>
      <w:lvlText w:val="•"/>
      <w:lvlJc w:val="left"/>
      <w:pPr>
        <w:ind w:left="1928" w:hanging="150"/>
      </w:pPr>
      <w:rPr>
        <w:rFonts w:hint="default"/>
        <w:lang w:val="en-US" w:eastAsia="en-US" w:bidi="ar-SA"/>
      </w:rPr>
    </w:lvl>
    <w:lvl w:ilvl="5">
      <w:start w:val="0"/>
      <w:numFmt w:val="bullet"/>
      <w:lvlText w:val="•"/>
      <w:lvlJc w:val="left"/>
      <w:pPr>
        <w:ind w:left="2391" w:hanging="150"/>
      </w:pPr>
      <w:rPr>
        <w:rFonts w:hint="default"/>
        <w:lang w:val="en-US" w:eastAsia="en-US" w:bidi="ar-SA"/>
      </w:rPr>
    </w:lvl>
    <w:lvl w:ilvl="6">
      <w:start w:val="0"/>
      <w:numFmt w:val="bullet"/>
      <w:lvlText w:val="•"/>
      <w:lvlJc w:val="left"/>
      <w:pPr>
        <w:ind w:left="2853" w:hanging="150"/>
      </w:pPr>
      <w:rPr>
        <w:rFonts w:hint="default"/>
        <w:lang w:val="en-US" w:eastAsia="en-US" w:bidi="ar-SA"/>
      </w:rPr>
    </w:lvl>
    <w:lvl w:ilvl="7">
      <w:start w:val="0"/>
      <w:numFmt w:val="bullet"/>
      <w:lvlText w:val="•"/>
      <w:lvlJc w:val="left"/>
      <w:pPr>
        <w:ind w:left="3315" w:hanging="150"/>
      </w:pPr>
      <w:rPr>
        <w:rFonts w:hint="default"/>
        <w:lang w:val="en-US" w:eastAsia="en-US" w:bidi="ar-SA"/>
      </w:rPr>
    </w:lvl>
    <w:lvl w:ilvl="8">
      <w:start w:val="0"/>
      <w:numFmt w:val="bullet"/>
      <w:lvlText w:val="•"/>
      <w:lvlJc w:val="left"/>
      <w:pPr>
        <w:ind w:left="3777" w:hanging="150"/>
      </w:pPr>
      <w:rPr>
        <w:rFonts w:hint="default"/>
        <w:lang w:val="en-US" w:eastAsia="en-US" w:bidi="ar-SA"/>
      </w:rPr>
    </w:lvl>
  </w:abstractNum>
  <w:abstractNum w:abstractNumId="56">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68" w:hanging="150"/>
      </w:pPr>
      <w:rPr>
        <w:rFonts w:hint="default"/>
        <w:lang w:val="en-US" w:eastAsia="en-US" w:bidi="ar-SA"/>
      </w:rPr>
    </w:lvl>
    <w:lvl w:ilvl="2">
      <w:start w:val="0"/>
      <w:numFmt w:val="bullet"/>
      <w:lvlText w:val="•"/>
      <w:lvlJc w:val="left"/>
      <w:pPr>
        <w:ind w:left="1116" w:hanging="150"/>
      </w:pPr>
      <w:rPr>
        <w:rFonts w:hint="default"/>
        <w:lang w:val="en-US" w:eastAsia="en-US" w:bidi="ar-SA"/>
      </w:rPr>
    </w:lvl>
    <w:lvl w:ilvl="3">
      <w:start w:val="0"/>
      <w:numFmt w:val="bullet"/>
      <w:lvlText w:val="•"/>
      <w:lvlJc w:val="left"/>
      <w:pPr>
        <w:ind w:left="1564" w:hanging="150"/>
      </w:pPr>
      <w:rPr>
        <w:rFonts w:hint="default"/>
        <w:lang w:val="en-US" w:eastAsia="en-US" w:bidi="ar-SA"/>
      </w:rPr>
    </w:lvl>
    <w:lvl w:ilvl="4">
      <w:start w:val="0"/>
      <w:numFmt w:val="bullet"/>
      <w:lvlText w:val="•"/>
      <w:lvlJc w:val="left"/>
      <w:pPr>
        <w:ind w:left="2012" w:hanging="150"/>
      </w:pPr>
      <w:rPr>
        <w:rFonts w:hint="default"/>
        <w:lang w:val="en-US" w:eastAsia="en-US" w:bidi="ar-SA"/>
      </w:rPr>
    </w:lvl>
    <w:lvl w:ilvl="5">
      <w:start w:val="0"/>
      <w:numFmt w:val="bullet"/>
      <w:lvlText w:val="•"/>
      <w:lvlJc w:val="left"/>
      <w:pPr>
        <w:ind w:left="2461" w:hanging="150"/>
      </w:pPr>
      <w:rPr>
        <w:rFonts w:hint="default"/>
        <w:lang w:val="en-US" w:eastAsia="en-US" w:bidi="ar-SA"/>
      </w:rPr>
    </w:lvl>
    <w:lvl w:ilvl="6">
      <w:start w:val="0"/>
      <w:numFmt w:val="bullet"/>
      <w:lvlText w:val="•"/>
      <w:lvlJc w:val="left"/>
      <w:pPr>
        <w:ind w:left="2909" w:hanging="150"/>
      </w:pPr>
      <w:rPr>
        <w:rFonts w:hint="default"/>
        <w:lang w:val="en-US" w:eastAsia="en-US" w:bidi="ar-SA"/>
      </w:rPr>
    </w:lvl>
    <w:lvl w:ilvl="7">
      <w:start w:val="0"/>
      <w:numFmt w:val="bullet"/>
      <w:lvlText w:val="•"/>
      <w:lvlJc w:val="left"/>
      <w:pPr>
        <w:ind w:left="3357" w:hanging="150"/>
      </w:pPr>
      <w:rPr>
        <w:rFonts w:hint="default"/>
        <w:lang w:val="en-US" w:eastAsia="en-US" w:bidi="ar-SA"/>
      </w:rPr>
    </w:lvl>
    <w:lvl w:ilvl="8">
      <w:start w:val="0"/>
      <w:numFmt w:val="bullet"/>
      <w:lvlText w:val="•"/>
      <w:lvlJc w:val="left"/>
      <w:pPr>
        <w:ind w:left="3805" w:hanging="150"/>
      </w:pPr>
      <w:rPr>
        <w:rFonts w:hint="default"/>
        <w:lang w:val="en-US" w:eastAsia="en-US" w:bidi="ar-SA"/>
      </w:rPr>
    </w:lvl>
  </w:abstractNum>
  <w:abstractNum w:abstractNumId="55">
    <w:multiLevelType w:val="hybridMultilevel"/>
    <w:lvl w:ilvl="0">
      <w:start w:val="0"/>
      <w:numFmt w:val="bullet"/>
      <w:lvlText w:val="•"/>
      <w:lvlJc w:val="left"/>
      <w:pPr>
        <w:ind w:left="165" w:hanging="108"/>
      </w:pPr>
      <w:rPr>
        <w:rFonts w:hint="default" w:ascii="Arial MT" w:hAnsi="Arial MT" w:eastAsia="Arial MT" w:cs="Arial MT"/>
        <w:b w:val="0"/>
        <w:bCs w:val="0"/>
        <w:i w:val="0"/>
        <w:iCs w:val="0"/>
        <w:color w:val="231F20"/>
        <w:spacing w:val="0"/>
        <w:w w:val="99"/>
        <w:sz w:val="15"/>
        <w:szCs w:val="15"/>
        <w:lang w:val="en-US" w:eastAsia="en-US" w:bidi="ar-SA"/>
      </w:rPr>
    </w:lvl>
    <w:lvl w:ilvl="1">
      <w:start w:val="0"/>
      <w:numFmt w:val="bullet"/>
      <w:lvlText w:val="•"/>
      <w:lvlJc w:val="left"/>
      <w:pPr>
        <w:ind w:left="542" w:hanging="108"/>
      </w:pPr>
      <w:rPr>
        <w:rFonts w:hint="default"/>
        <w:lang w:val="en-US" w:eastAsia="en-US" w:bidi="ar-SA"/>
      </w:rPr>
    </w:lvl>
    <w:lvl w:ilvl="2">
      <w:start w:val="0"/>
      <w:numFmt w:val="bullet"/>
      <w:lvlText w:val="•"/>
      <w:lvlJc w:val="left"/>
      <w:pPr>
        <w:ind w:left="924" w:hanging="108"/>
      </w:pPr>
      <w:rPr>
        <w:rFonts w:hint="default"/>
        <w:lang w:val="en-US" w:eastAsia="en-US" w:bidi="ar-SA"/>
      </w:rPr>
    </w:lvl>
    <w:lvl w:ilvl="3">
      <w:start w:val="0"/>
      <w:numFmt w:val="bullet"/>
      <w:lvlText w:val="•"/>
      <w:lvlJc w:val="left"/>
      <w:pPr>
        <w:ind w:left="1306" w:hanging="108"/>
      </w:pPr>
      <w:rPr>
        <w:rFonts w:hint="default"/>
        <w:lang w:val="en-US" w:eastAsia="en-US" w:bidi="ar-SA"/>
      </w:rPr>
    </w:lvl>
    <w:lvl w:ilvl="4">
      <w:start w:val="0"/>
      <w:numFmt w:val="bullet"/>
      <w:lvlText w:val="•"/>
      <w:lvlJc w:val="left"/>
      <w:pPr>
        <w:ind w:left="1688" w:hanging="108"/>
      </w:pPr>
      <w:rPr>
        <w:rFonts w:hint="default"/>
        <w:lang w:val="en-US" w:eastAsia="en-US" w:bidi="ar-SA"/>
      </w:rPr>
    </w:lvl>
    <w:lvl w:ilvl="5">
      <w:start w:val="0"/>
      <w:numFmt w:val="bullet"/>
      <w:lvlText w:val="•"/>
      <w:lvlJc w:val="left"/>
      <w:pPr>
        <w:ind w:left="2070" w:hanging="108"/>
      </w:pPr>
      <w:rPr>
        <w:rFonts w:hint="default"/>
        <w:lang w:val="en-US" w:eastAsia="en-US" w:bidi="ar-SA"/>
      </w:rPr>
    </w:lvl>
    <w:lvl w:ilvl="6">
      <w:start w:val="0"/>
      <w:numFmt w:val="bullet"/>
      <w:lvlText w:val="•"/>
      <w:lvlJc w:val="left"/>
      <w:pPr>
        <w:ind w:left="2452" w:hanging="108"/>
      </w:pPr>
      <w:rPr>
        <w:rFonts w:hint="default"/>
        <w:lang w:val="en-US" w:eastAsia="en-US" w:bidi="ar-SA"/>
      </w:rPr>
    </w:lvl>
    <w:lvl w:ilvl="7">
      <w:start w:val="0"/>
      <w:numFmt w:val="bullet"/>
      <w:lvlText w:val="•"/>
      <w:lvlJc w:val="left"/>
      <w:pPr>
        <w:ind w:left="2834" w:hanging="108"/>
      </w:pPr>
      <w:rPr>
        <w:rFonts w:hint="default"/>
        <w:lang w:val="en-US" w:eastAsia="en-US" w:bidi="ar-SA"/>
      </w:rPr>
    </w:lvl>
    <w:lvl w:ilvl="8">
      <w:start w:val="0"/>
      <w:numFmt w:val="bullet"/>
      <w:lvlText w:val="•"/>
      <w:lvlJc w:val="left"/>
      <w:pPr>
        <w:ind w:left="3216" w:hanging="108"/>
      </w:pPr>
      <w:rPr>
        <w:rFonts w:hint="default"/>
        <w:lang w:val="en-US" w:eastAsia="en-US" w:bidi="ar-SA"/>
      </w:rPr>
    </w:lvl>
  </w:abstractNum>
  <w:abstractNum w:abstractNumId="54">
    <w:multiLevelType w:val="hybridMultilevel"/>
    <w:lvl w:ilvl="0">
      <w:start w:val="1"/>
      <w:numFmt w:val="decimal"/>
      <w:lvlText w:val="%1."/>
      <w:lvlJc w:val="left"/>
      <w:pPr>
        <w:ind w:left="166" w:hanging="167"/>
        <w:jc w:val="left"/>
      </w:pPr>
      <w:rPr>
        <w:rFonts w:hint="default" w:ascii="Arial MT" w:hAnsi="Arial MT" w:eastAsia="Arial MT" w:cs="Arial MT"/>
        <w:b w:val="0"/>
        <w:bCs w:val="0"/>
        <w:i w:val="0"/>
        <w:iCs w:val="0"/>
        <w:color w:val="231F20"/>
        <w:spacing w:val="0"/>
        <w:w w:val="99"/>
        <w:sz w:val="15"/>
        <w:szCs w:val="15"/>
        <w:lang w:val="en-US" w:eastAsia="en-US" w:bidi="ar-SA"/>
      </w:rPr>
    </w:lvl>
    <w:lvl w:ilvl="1">
      <w:start w:val="0"/>
      <w:numFmt w:val="bullet"/>
      <w:lvlText w:val="•"/>
      <w:lvlJc w:val="left"/>
      <w:pPr>
        <w:ind w:left="348" w:hanging="167"/>
      </w:pPr>
      <w:rPr>
        <w:rFonts w:hint="default"/>
        <w:lang w:val="en-US" w:eastAsia="en-US" w:bidi="ar-SA"/>
      </w:rPr>
    </w:lvl>
    <w:lvl w:ilvl="2">
      <w:start w:val="0"/>
      <w:numFmt w:val="bullet"/>
      <w:lvlText w:val="•"/>
      <w:lvlJc w:val="left"/>
      <w:pPr>
        <w:ind w:left="537" w:hanging="167"/>
      </w:pPr>
      <w:rPr>
        <w:rFonts w:hint="default"/>
        <w:lang w:val="en-US" w:eastAsia="en-US" w:bidi="ar-SA"/>
      </w:rPr>
    </w:lvl>
    <w:lvl w:ilvl="3">
      <w:start w:val="0"/>
      <w:numFmt w:val="bullet"/>
      <w:lvlText w:val="•"/>
      <w:lvlJc w:val="left"/>
      <w:pPr>
        <w:ind w:left="725" w:hanging="167"/>
      </w:pPr>
      <w:rPr>
        <w:rFonts w:hint="default"/>
        <w:lang w:val="en-US" w:eastAsia="en-US" w:bidi="ar-SA"/>
      </w:rPr>
    </w:lvl>
    <w:lvl w:ilvl="4">
      <w:start w:val="0"/>
      <w:numFmt w:val="bullet"/>
      <w:lvlText w:val="•"/>
      <w:lvlJc w:val="left"/>
      <w:pPr>
        <w:ind w:left="914" w:hanging="167"/>
      </w:pPr>
      <w:rPr>
        <w:rFonts w:hint="default"/>
        <w:lang w:val="en-US" w:eastAsia="en-US" w:bidi="ar-SA"/>
      </w:rPr>
    </w:lvl>
    <w:lvl w:ilvl="5">
      <w:start w:val="0"/>
      <w:numFmt w:val="bullet"/>
      <w:lvlText w:val="•"/>
      <w:lvlJc w:val="left"/>
      <w:pPr>
        <w:ind w:left="1102" w:hanging="167"/>
      </w:pPr>
      <w:rPr>
        <w:rFonts w:hint="default"/>
        <w:lang w:val="en-US" w:eastAsia="en-US" w:bidi="ar-SA"/>
      </w:rPr>
    </w:lvl>
    <w:lvl w:ilvl="6">
      <w:start w:val="0"/>
      <w:numFmt w:val="bullet"/>
      <w:lvlText w:val="•"/>
      <w:lvlJc w:val="left"/>
      <w:pPr>
        <w:ind w:left="1291" w:hanging="167"/>
      </w:pPr>
      <w:rPr>
        <w:rFonts w:hint="default"/>
        <w:lang w:val="en-US" w:eastAsia="en-US" w:bidi="ar-SA"/>
      </w:rPr>
    </w:lvl>
    <w:lvl w:ilvl="7">
      <w:start w:val="0"/>
      <w:numFmt w:val="bullet"/>
      <w:lvlText w:val="•"/>
      <w:lvlJc w:val="left"/>
      <w:pPr>
        <w:ind w:left="1479" w:hanging="167"/>
      </w:pPr>
      <w:rPr>
        <w:rFonts w:hint="default"/>
        <w:lang w:val="en-US" w:eastAsia="en-US" w:bidi="ar-SA"/>
      </w:rPr>
    </w:lvl>
    <w:lvl w:ilvl="8">
      <w:start w:val="0"/>
      <w:numFmt w:val="bullet"/>
      <w:lvlText w:val="•"/>
      <w:lvlJc w:val="left"/>
      <w:pPr>
        <w:ind w:left="1668" w:hanging="167"/>
      </w:pPr>
      <w:rPr>
        <w:rFonts w:hint="default"/>
        <w:lang w:val="en-US" w:eastAsia="en-US" w:bidi="ar-SA"/>
      </w:rPr>
    </w:lvl>
  </w:abstractNum>
  <w:abstractNum w:abstractNumId="53">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52">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51">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50">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9">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8">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7">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6">
    <w:multiLevelType w:val="hybridMultilevel"/>
    <w:lvl w:ilvl="0">
      <w:start w:val="0"/>
      <w:numFmt w:val="bullet"/>
      <w:lvlText w:val="•"/>
      <w:lvlJc w:val="left"/>
      <w:pPr>
        <w:ind w:left="6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0" w:hanging="150"/>
      </w:pPr>
      <w:rPr>
        <w:rFonts w:hint="default"/>
        <w:lang w:val="en-US" w:eastAsia="en-US" w:bidi="ar-SA"/>
      </w:rPr>
    </w:lvl>
    <w:lvl w:ilvl="2">
      <w:start w:val="0"/>
      <w:numFmt w:val="bullet"/>
      <w:lvlText w:val="•"/>
      <w:lvlJc w:val="left"/>
      <w:pPr>
        <w:ind w:left="1021" w:hanging="150"/>
      </w:pPr>
      <w:rPr>
        <w:rFonts w:hint="default"/>
        <w:lang w:val="en-US" w:eastAsia="en-US" w:bidi="ar-SA"/>
      </w:rPr>
    </w:lvl>
    <w:lvl w:ilvl="3">
      <w:start w:val="0"/>
      <w:numFmt w:val="bullet"/>
      <w:lvlText w:val="•"/>
      <w:lvlJc w:val="left"/>
      <w:pPr>
        <w:ind w:left="1501" w:hanging="150"/>
      </w:pPr>
      <w:rPr>
        <w:rFonts w:hint="default"/>
        <w:lang w:val="en-US" w:eastAsia="en-US" w:bidi="ar-SA"/>
      </w:rPr>
    </w:lvl>
    <w:lvl w:ilvl="4">
      <w:start w:val="0"/>
      <w:numFmt w:val="bullet"/>
      <w:lvlText w:val="•"/>
      <w:lvlJc w:val="left"/>
      <w:pPr>
        <w:ind w:left="1982" w:hanging="150"/>
      </w:pPr>
      <w:rPr>
        <w:rFonts w:hint="default"/>
        <w:lang w:val="en-US" w:eastAsia="en-US" w:bidi="ar-SA"/>
      </w:rPr>
    </w:lvl>
    <w:lvl w:ilvl="5">
      <w:start w:val="0"/>
      <w:numFmt w:val="bullet"/>
      <w:lvlText w:val="•"/>
      <w:lvlJc w:val="left"/>
      <w:pPr>
        <w:ind w:left="2462" w:hanging="150"/>
      </w:pPr>
      <w:rPr>
        <w:rFonts w:hint="default"/>
        <w:lang w:val="en-US" w:eastAsia="en-US" w:bidi="ar-SA"/>
      </w:rPr>
    </w:lvl>
    <w:lvl w:ilvl="6">
      <w:start w:val="0"/>
      <w:numFmt w:val="bullet"/>
      <w:lvlText w:val="•"/>
      <w:lvlJc w:val="left"/>
      <w:pPr>
        <w:ind w:left="2943" w:hanging="150"/>
      </w:pPr>
      <w:rPr>
        <w:rFonts w:hint="default"/>
        <w:lang w:val="en-US" w:eastAsia="en-US" w:bidi="ar-SA"/>
      </w:rPr>
    </w:lvl>
    <w:lvl w:ilvl="7">
      <w:start w:val="0"/>
      <w:numFmt w:val="bullet"/>
      <w:lvlText w:val="•"/>
      <w:lvlJc w:val="left"/>
      <w:pPr>
        <w:ind w:left="3423" w:hanging="150"/>
      </w:pPr>
      <w:rPr>
        <w:rFonts w:hint="default"/>
        <w:lang w:val="en-US" w:eastAsia="en-US" w:bidi="ar-SA"/>
      </w:rPr>
    </w:lvl>
    <w:lvl w:ilvl="8">
      <w:start w:val="0"/>
      <w:numFmt w:val="bullet"/>
      <w:lvlText w:val="•"/>
      <w:lvlJc w:val="left"/>
      <w:pPr>
        <w:ind w:left="3904" w:hanging="150"/>
      </w:pPr>
      <w:rPr>
        <w:rFonts w:hint="default"/>
        <w:lang w:val="en-US" w:eastAsia="en-US" w:bidi="ar-SA"/>
      </w:rPr>
    </w:lvl>
  </w:abstractNum>
  <w:abstractNum w:abstractNumId="45">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4">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3">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2">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1">
    <w:multiLevelType w:val="hybridMultilevel"/>
    <w:lvl w:ilvl="0">
      <w:start w:val="0"/>
      <w:numFmt w:val="bullet"/>
      <w:lvlText w:val="•"/>
      <w:lvlJc w:val="left"/>
      <w:pPr>
        <w:ind w:left="22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5" w:hanging="150"/>
      </w:pPr>
      <w:rPr>
        <w:rFonts w:hint="default"/>
        <w:lang w:val="en-US" w:eastAsia="en-US" w:bidi="ar-SA"/>
      </w:rPr>
    </w:lvl>
    <w:lvl w:ilvl="2">
      <w:start w:val="0"/>
      <w:numFmt w:val="bullet"/>
      <w:lvlText w:val="•"/>
      <w:lvlJc w:val="left"/>
      <w:pPr>
        <w:ind w:left="1150" w:hanging="150"/>
      </w:pPr>
      <w:rPr>
        <w:rFonts w:hint="default"/>
        <w:lang w:val="en-US" w:eastAsia="en-US" w:bidi="ar-SA"/>
      </w:rPr>
    </w:lvl>
    <w:lvl w:ilvl="3">
      <w:start w:val="0"/>
      <w:numFmt w:val="bullet"/>
      <w:lvlText w:val="•"/>
      <w:lvlJc w:val="left"/>
      <w:pPr>
        <w:ind w:left="1615" w:hanging="150"/>
      </w:pPr>
      <w:rPr>
        <w:rFonts w:hint="default"/>
        <w:lang w:val="en-US" w:eastAsia="en-US" w:bidi="ar-SA"/>
      </w:rPr>
    </w:lvl>
    <w:lvl w:ilvl="4">
      <w:start w:val="0"/>
      <w:numFmt w:val="bullet"/>
      <w:lvlText w:val="•"/>
      <w:lvlJc w:val="left"/>
      <w:pPr>
        <w:ind w:left="2080" w:hanging="150"/>
      </w:pPr>
      <w:rPr>
        <w:rFonts w:hint="default"/>
        <w:lang w:val="en-US" w:eastAsia="en-US" w:bidi="ar-SA"/>
      </w:rPr>
    </w:lvl>
    <w:lvl w:ilvl="5">
      <w:start w:val="0"/>
      <w:numFmt w:val="bullet"/>
      <w:lvlText w:val="•"/>
      <w:lvlJc w:val="left"/>
      <w:pPr>
        <w:ind w:left="2545" w:hanging="150"/>
      </w:pPr>
      <w:rPr>
        <w:rFonts w:hint="default"/>
        <w:lang w:val="en-US" w:eastAsia="en-US" w:bidi="ar-SA"/>
      </w:rPr>
    </w:lvl>
    <w:lvl w:ilvl="6">
      <w:start w:val="0"/>
      <w:numFmt w:val="bullet"/>
      <w:lvlText w:val="•"/>
      <w:lvlJc w:val="left"/>
      <w:pPr>
        <w:ind w:left="3010" w:hanging="150"/>
      </w:pPr>
      <w:rPr>
        <w:rFonts w:hint="default"/>
        <w:lang w:val="en-US" w:eastAsia="en-US" w:bidi="ar-SA"/>
      </w:rPr>
    </w:lvl>
    <w:lvl w:ilvl="7">
      <w:start w:val="0"/>
      <w:numFmt w:val="bullet"/>
      <w:lvlText w:val="•"/>
      <w:lvlJc w:val="left"/>
      <w:pPr>
        <w:ind w:left="3475" w:hanging="150"/>
      </w:pPr>
      <w:rPr>
        <w:rFonts w:hint="default"/>
        <w:lang w:val="en-US" w:eastAsia="en-US" w:bidi="ar-SA"/>
      </w:rPr>
    </w:lvl>
    <w:lvl w:ilvl="8">
      <w:start w:val="0"/>
      <w:numFmt w:val="bullet"/>
      <w:lvlText w:val="•"/>
      <w:lvlJc w:val="left"/>
      <w:pPr>
        <w:ind w:left="3940" w:hanging="150"/>
      </w:pPr>
      <w:rPr>
        <w:rFonts w:hint="default"/>
        <w:lang w:val="en-US" w:eastAsia="en-US" w:bidi="ar-SA"/>
      </w:rPr>
    </w:lvl>
  </w:abstractNum>
  <w:abstractNum w:abstractNumId="40">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9">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8">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7">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6">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5">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4">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3">
    <w:multiLevelType w:val="hybridMultilevel"/>
    <w:lvl w:ilvl="0">
      <w:start w:val="0"/>
      <w:numFmt w:val="bullet"/>
      <w:lvlText w:val="•"/>
      <w:lvlJc w:val="left"/>
      <w:pPr>
        <w:ind w:left="69"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541" w:hanging="150"/>
      </w:pPr>
      <w:rPr>
        <w:rFonts w:hint="default"/>
        <w:lang w:val="en-US" w:eastAsia="en-US" w:bidi="ar-SA"/>
      </w:rPr>
    </w:lvl>
    <w:lvl w:ilvl="2">
      <w:start w:val="0"/>
      <w:numFmt w:val="bullet"/>
      <w:lvlText w:val="•"/>
      <w:lvlJc w:val="left"/>
      <w:pPr>
        <w:ind w:left="1022" w:hanging="150"/>
      </w:pPr>
      <w:rPr>
        <w:rFonts w:hint="default"/>
        <w:lang w:val="en-US" w:eastAsia="en-US" w:bidi="ar-SA"/>
      </w:rPr>
    </w:lvl>
    <w:lvl w:ilvl="3">
      <w:start w:val="0"/>
      <w:numFmt w:val="bullet"/>
      <w:lvlText w:val="•"/>
      <w:lvlJc w:val="left"/>
      <w:pPr>
        <w:ind w:left="1503" w:hanging="150"/>
      </w:pPr>
      <w:rPr>
        <w:rFonts w:hint="default"/>
        <w:lang w:val="en-US" w:eastAsia="en-US" w:bidi="ar-SA"/>
      </w:rPr>
    </w:lvl>
    <w:lvl w:ilvl="4">
      <w:start w:val="0"/>
      <w:numFmt w:val="bullet"/>
      <w:lvlText w:val="•"/>
      <w:lvlJc w:val="left"/>
      <w:pPr>
        <w:ind w:left="1984" w:hanging="150"/>
      </w:pPr>
      <w:rPr>
        <w:rFonts w:hint="default"/>
        <w:lang w:val="en-US" w:eastAsia="en-US" w:bidi="ar-SA"/>
      </w:rPr>
    </w:lvl>
    <w:lvl w:ilvl="5">
      <w:start w:val="0"/>
      <w:numFmt w:val="bullet"/>
      <w:lvlText w:val="•"/>
      <w:lvlJc w:val="left"/>
      <w:pPr>
        <w:ind w:left="2465" w:hanging="150"/>
      </w:pPr>
      <w:rPr>
        <w:rFonts w:hint="default"/>
        <w:lang w:val="en-US" w:eastAsia="en-US" w:bidi="ar-SA"/>
      </w:rPr>
    </w:lvl>
    <w:lvl w:ilvl="6">
      <w:start w:val="0"/>
      <w:numFmt w:val="bullet"/>
      <w:lvlText w:val="•"/>
      <w:lvlJc w:val="left"/>
      <w:pPr>
        <w:ind w:left="2946" w:hanging="150"/>
      </w:pPr>
      <w:rPr>
        <w:rFonts w:hint="default"/>
        <w:lang w:val="en-US" w:eastAsia="en-US" w:bidi="ar-SA"/>
      </w:rPr>
    </w:lvl>
    <w:lvl w:ilvl="7">
      <w:start w:val="0"/>
      <w:numFmt w:val="bullet"/>
      <w:lvlText w:val="•"/>
      <w:lvlJc w:val="left"/>
      <w:pPr>
        <w:ind w:left="3427" w:hanging="150"/>
      </w:pPr>
      <w:rPr>
        <w:rFonts w:hint="default"/>
        <w:lang w:val="en-US" w:eastAsia="en-US" w:bidi="ar-SA"/>
      </w:rPr>
    </w:lvl>
    <w:lvl w:ilvl="8">
      <w:start w:val="0"/>
      <w:numFmt w:val="bullet"/>
      <w:lvlText w:val="•"/>
      <w:lvlJc w:val="left"/>
      <w:pPr>
        <w:ind w:left="3908" w:hanging="150"/>
      </w:pPr>
      <w:rPr>
        <w:rFonts w:hint="default"/>
        <w:lang w:val="en-US" w:eastAsia="en-US" w:bidi="ar-SA"/>
      </w:rPr>
    </w:lvl>
  </w:abstractNum>
  <w:abstractNum w:abstractNumId="32">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1">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30">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29">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28">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84" w:hanging="150"/>
      </w:pPr>
      <w:rPr>
        <w:rFonts w:hint="default"/>
        <w:lang w:val="en-US" w:eastAsia="en-US" w:bidi="ar-SA"/>
      </w:rPr>
    </w:lvl>
    <w:lvl w:ilvl="2">
      <w:start w:val="0"/>
      <w:numFmt w:val="bullet"/>
      <w:lvlText w:val="•"/>
      <w:lvlJc w:val="left"/>
      <w:pPr>
        <w:ind w:left="1149" w:hanging="150"/>
      </w:pPr>
      <w:rPr>
        <w:rFonts w:hint="default"/>
        <w:lang w:val="en-US" w:eastAsia="en-US" w:bidi="ar-SA"/>
      </w:rPr>
    </w:lvl>
    <w:lvl w:ilvl="3">
      <w:start w:val="0"/>
      <w:numFmt w:val="bullet"/>
      <w:lvlText w:val="•"/>
      <w:lvlJc w:val="left"/>
      <w:pPr>
        <w:ind w:left="1613" w:hanging="150"/>
      </w:pPr>
      <w:rPr>
        <w:rFonts w:hint="default"/>
        <w:lang w:val="en-US" w:eastAsia="en-US" w:bidi="ar-SA"/>
      </w:rPr>
    </w:lvl>
    <w:lvl w:ilvl="4">
      <w:start w:val="0"/>
      <w:numFmt w:val="bullet"/>
      <w:lvlText w:val="•"/>
      <w:lvlJc w:val="left"/>
      <w:pPr>
        <w:ind w:left="2078" w:hanging="150"/>
      </w:pPr>
      <w:rPr>
        <w:rFonts w:hint="default"/>
        <w:lang w:val="en-US" w:eastAsia="en-US" w:bidi="ar-SA"/>
      </w:rPr>
    </w:lvl>
    <w:lvl w:ilvl="5">
      <w:start w:val="0"/>
      <w:numFmt w:val="bullet"/>
      <w:lvlText w:val="•"/>
      <w:lvlJc w:val="left"/>
      <w:pPr>
        <w:ind w:left="2542" w:hanging="150"/>
      </w:pPr>
      <w:rPr>
        <w:rFonts w:hint="default"/>
        <w:lang w:val="en-US" w:eastAsia="en-US" w:bidi="ar-SA"/>
      </w:rPr>
    </w:lvl>
    <w:lvl w:ilvl="6">
      <w:start w:val="0"/>
      <w:numFmt w:val="bullet"/>
      <w:lvlText w:val="•"/>
      <w:lvlJc w:val="left"/>
      <w:pPr>
        <w:ind w:left="3007"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3936" w:hanging="150"/>
      </w:pPr>
      <w:rPr>
        <w:rFonts w:hint="default"/>
        <w:lang w:val="en-US" w:eastAsia="en-US" w:bidi="ar-SA"/>
      </w:rPr>
    </w:lvl>
  </w:abstractNum>
  <w:abstractNum w:abstractNumId="27">
    <w:multiLevelType w:val="hybridMultilevel"/>
    <w:lvl w:ilvl="0">
      <w:start w:val="0"/>
      <w:numFmt w:val="bullet"/>
      <w:lvlText w:val="•"/>
      <w:lvlJc w:val="left"/>
      <w:pPr>
        <w:ind w:left="351"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32" w:hanging="150"/>
      </w:pPr>
      <w:rPr>
        <w:rFonts w:hint="default"/>
        <w:lang w:val="en-US" w:eastAsia="en-US" w:bidi="ar-SA"/>
      </w:rPr>
    </w:lvl>
    <w:lvl w:ilvl="2">
      <w:start w:val="0"/>
      <w:numFmt w:val="bullet"/>
      <w:lvlText w:val="•"/>
      <w:lvlJc w:val="left"/>
      <w:pPr>
        <w:ind w:left="904" w:hanging="150"/>
      </w:pPr>
      <w:rPr>
        <w:rFonts w:hint="default"/>
        <w:lang w:val="en-US" w:eastAsia="en-US" w:bidi="ar-SA"/>
      </w:rPr>
    </w:lvl>
    <w:lvl w:ilvl="3">
      <w:start w:val="0"/>
      <w:numFmt w:val="bullet"/>
      <w:lvlText w:val="•"/>
      <w:lvlJc w:val="left"/>
      <w:pPr>
        <w:ind w:left="1176" w:hanging="150"/>
      </w:pPr>
      <w:rPr>
        <w:rFonts w:hint="default"/>
        <w:lang w:val="en-US" w:eastAsia="en-US" w:bidi="ar-SA"/>
      </w:rPr>
    </w:lvl>
    <w:lvl w:ilvl="4">
      <w:start w:val="0"/>
      <w:numFmt w:val="bullet"/>
      <w:lvlText w:val="•"/>
      <w:lvlJc w:val="left"/>
      <w:pPr>
        <w:ind w:left="1448" w:hanging="150"/>
      </w:pPr>
      <w:rPr>
        <w:rFonts w:hint="default"/>
        <w:lang w:val="en-US" w:eastAsia="en-US" w:bidi="ar-SA"/>
      </w:rPr>
    </w:lvl>
    <w:lvl w:ilvl="5">
      <w:start w:val="0"/>
      <w:numFmt w:val="bullet"/>
      <w:lvlText w:val="•"/>
      <w:lvlJc w:val="left"/>
      <w:pPr>
        <w:ind w:left="1721" w:hanging="150"/>
      </w:pPr>
      <w:rPr>
        <w:rFonts w:hint="default"/>
        <w:lang w:val="en-US" w:eastAsia="en-US" w:bidi="ar-SA"/>
      </w:rPr>
    </w:lvl>
    <w:lvl w:ilvl="6">
      <w:start w:val="0"/>
      <w:numFmt w:val="bullet"/>
      <w:lvlText w:val="•"/>
      <w:lvlJc w:val="left"/>
      <w:pPr>
        <w:ind w:left="1993" w:hanging="150"/>
      </w:pPr>
      <w:rPr>
        <w:rFonts w:hint="default"/>
        <w:lang w:val="en-US" w:eastAsia="en-US" w:bidi="ar-SA"/>
      </w:rPr>
    </w:lvl>
    <w:lvl w:ilvl="7">
      <w:start w:val="0"/>
      <w:numFmt w:val="bullet"/>
      <w:lvlText w:val="•"/>
      <w:lvlJc w:val="left"/>
      <w:pPr>
        <w:ind w:left="2265" w:hanging="150"/>
      </w:pPr>
      <w:rPr>
        <w:rFonts w:hint="default"/>
        <w:lang w:val="en-US" w:eastAsia="en-US" w:bidi="ar-SA"/>
      </w:rPr>
    </w:lvl>
    <w:lvl w:ilvl="8">
      <w:start w:val="0"/>
      <w:numFmt w:val="bullet"/>
      <w:lvlText w:val="•"/>
      <w:lvlJc w:val="left"/>
      <w:pPr>
        <w:ind w:left="2537" w:hanging="150"/>
      </w:pPr>
      <w:rPr>
        <w:rFonts w:hint="default"/>
        <w:lang w:val="en-US" w:eastAsia="en-US" w:bidi="ar-SA"/>
      </w:rPr>
    </w:lvl>
  </w:abstractNum>
  <w:abstractNum w:abstractNumId="26">
    <w:multiLevelType w:val="hybridMultilevel"/>
    <w:lvl w:ilvl="0">
      <w:start w:val="0"/>
      <w:numFmt w:val="bullet"/>
      <w:lvlText w:val="•"/>
      <w:lvlJc w:val="left"/>
      <w:pPr>
        <w:ind w:left="350"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45" w:hanging="150"/>
      </w:pPr>
      <w:rPr>
        <w:rFonts w:hint="default"/>
        <w:lang w:val="en-US" w:eastAsia="en-US" w:bidi="ar-SA"/>
      </w:rPr>
    </w:lvl>
    <w:lvl w:ilvl="2">
      <w:start w:val="0"/>
      <w:numFmt w:val="bullet"/>
      <w:lvlText w:val="•"/>
      <w:lvlJc w:val="left"/>
      <w:pPr>
        <w:ind w:left="1130" w:hanging="150"/>
      </w:pPr>
      <w:rPr>
        <w:rFonts w:hint="default"/>
        <w:lang w:val="en-US" w:eastAsia="en-US" w:bidi="ar-SA"/>
      </w:rPr>
    </w:lvl>
    <w:lvl w:ilvl="3">
      <w:start w:val="0"/>
      <w:numFmt w:val="bullet"/>
      <w:lvlText w:val="•"/>
      <w:lvlJc w:val="left"/>
      <w:pPr>
        <w:ind w:left="1515" w:hanging="150"/>
      </w:pPr>
      <w:rPr>
        <w:rFonts w:hint="default"/>
        <w:lang w:val="en-US" w:eastAsia="en-US" w:bidi="ar-SA"/>
      </w:rPr>
    </w:lvl>
    <w:lvl w:ilvl="4">
      <w:start w:val="0"/>
      <w:numFmt w:val="bullet"/>
      <w:lvlText w:val="•"/>
      <w:lvlJc w:val="left"/>
      <w:pPr>
        <w:ind w:left="1900" w:hanging="150"/>
      </w:pPr>
      <w:rPr>
        <w:rFonts w:hint="default"/>
        <w:lang w:val="en-US" w:eastAsia="en-US" w:bidi="ar-SA"/>
      </w:rPr>
    </w:lvl>
    <w:lvl w:ilvl="5">
      <w:start w:val="0"/>
      <w:numFmt w:val="bullet"/>
      <w:lvlText w:val="•"/>
      <w:lvlJc w:val="left"/>
      <w:pPr>
        <w:ind w:left="2285" w:hanging="150"/>
      </w:pPr>
      <w:rPr>
        <w:rFonts w:hint="default"/>
        <w:lang w:val="en-US" w:eastAsia="en-US" w:bidi="ar-SA"/>
      </w:rPr>
    </w:lvl>
    <w:lvl w:ilvl="6">
      <w:start w:val="0"/>
      <w:numFmt w:val="bullet"/>
      <w:lvlText w:val="•"/>
      <w:lvlJc w:val="left"/>
      <w:pPr>
        <w:ind w:left="2670" w:hanging="150"/>
      </w:pPr>
      <w:rPr>
        <w:rFonts w:hint="default"/>
        <w:lang w:val="en-US" w:eastAsia="en-US" w:bidi="ar-SA"/>
      </w:rPr>
    </w:lvl>
    <w:lvl w:ilvl="7">
      <w:start w:val="0"/>
      <w:numFmt w:val="bullet"/>
      <w:lvlText w:val="•"/>
      <w:lvlJc w:val="left"/>
      <w:pPr>
        <w:ind w:left="3055" w:hanging="150"/>
      </w:pPr>
      <w:rPr>
        <w:rFonts w:hint="default"/>
        <w:lang w:val="en-US" w:eastAsia="en-US" w:bidi="ar-SA"/>
      </w:rPr>
    </w:lvl>
    <w:lvl w:ilvl="8">
      <w:start w:val="0"/>
      <w:numFmt w:val="bullet"/>
      <w:lvlText w:val="•"/>
      <w:lvlJc w:val="left"/>
      <w:pPr>
        <w:ind w:left="3440" w:hanging="150"/>
      </w:pPr>
      <w:rPr>
        <w:rFonts w:hint="default"/>
        <w:lang w:val="en-US" w:eastAsia="en-US" w:bidi="ar-SA"/>
      </w:rPr>
    </w:lvl>
  </w:abstractNum>
  <w:abstractNum w:abstractNumId="25">
    <w:multiLevelType w:val="hybridMultilevel"/>
    <w:lvl w:ilvl="0">
      <w:start w:val="0"/>
      <w:numFmt w:val="bullet"/>
      <w:lvlText w:val="•"/>
      <w:lvlJc w:val="left"/>
      <w:pPr>
        <w:ind w:left="351"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32" w:hanging="150"/>
      </w:pPr>
      <w:rPr>
        <w:rFonts w:hint="default"/>
        <w:lang w:val="en-US" w:eastAsia="en-US" w:bidi="ar-SA"/>
      </w:rPr>
    </w:lvl>
    <w:lvl w:ilvl="2">
      <w:start w:val="0"/>
      <w:numFmt w:val="bullet"/>
      <w:lvlText w:val="•"/>
      <w:lvlJc w:val="left"/>
      <w:pPr>
        <w:ind w:left="904" w:hanging="150"/>
      </w:pPr>
      <w:rPr>
        <w:rFonts w:hint="default"/>
        <w:lang w:val="en-US" w:eastAsia="en-US" w:bidi="ar-SA"/>
      </w:rPr>
    </w:lvl>
    <w:lvl w:ilvl="3">
      <w:start w:val="0"/>
      <w:numFmt w:val="bullet"/>
      <w:lvlText w:val="•"/>
      <w:lvlJc w:val="left"/>
      <w:pPr>
        <w:ind w:left="1176" w:hanging="150"/>
      </w:pPr>
      <w:rPr>
        <w:rFonts w:hint="default"/>
        <w:lang w:val="en-US" w:eastAsia="en-US" w:bidi="ar-SA"/>
      </w:rPr>
    </w:lvl>
    <w:lvl w:ilvl="4">
      <w:start w:val="0"/>
      <w:numFmt w:val="bullet"/>
      <w:lvlText w:val="•"/>
      <w:lvlJc w:val="left"/>
      <w:pPr>
        <w:ind w:left="1448" w:hanging="150"/>
      </w:pPr>
      <w:rPr>
        <w:rFonts w:hint="default"/>
        <w:lang w:val="en-US" w:eastAsia="en-US" w:bidi="ar-SA"/>
      </w:rPr>
    </w:lvl>
    <w:lvl w:ilvl="5">
      <w:start w:val="0"/>
      <w:numFmt w:val="bullet"/>
      <w:lvlText w:val="•"/>
      <w:lvlJc w:val="left"/>
      <w:pPr>
        <w:ind w:left="1721" w:hanging="150"/>
      </w:pPr>
      <w:rPr>
        <w:rFonts w:hint="default"/>
        <w:lang w:val="en-US" w:eastAsia="en-US" w:bidi="ar-SA"/>
      </w:rPr>
    </w:lvl>
    <w:lvl w:ilvl="6">
      <w:start w:val="0"/>
      <w:numFmt w:val="bullet"/>
      <w:lvlText w:val="•"/>
      <w:lvlJc w:val="left"/>
      <w:pPr>
        <w:ind w:left="1993" w:hanging="150"/>
      </w:pPr>
      <w:rPr>
        <w:rFonts w:hint="default"/>
        <w:lang w:val="en-US" w:eastAsia="en-US" w:bidi="ar-SA"/>
      </w:rPr>
    </w:lvl>
    <w:lvl w:ilvl="7">
      <w:start w:val="0"/>
      <w:numFmt w:val="bullet"/>
      <w:lvlText w:val="•"/>
      <w:lvlJc w:val="left"/>
      <w:pPr>
        <w:ind w:left="2265" w:hanging="150"/>
      </w:pPr>
      <w:rPr>
        <w:rFonts w:hint="default"/>
        <w:lang w:val="en-US" w:eastAsia="en-US" w:bidi="ar-SA"/>
      </w:rPr>
    </w:lvl>
    <w:lvl w:ilvl="8">
      <w:start w:val="0"/>
      <w:numFmt w:val="bullet"/>
      <w:lvlText w:val="•"/>
      <w:lvlJc w:val="left"/>
      <w:pPr>
        <w:ind w:left="2537" w:hanging="150"/>
      </w:pPr>
      <w:rPr>
        <w:rFonts w:hint="default"/>
        <w:lang w:val="en-US" w:eastAsia="en-US" w:bidi="ar-SA"/>
      </w:rPr>
    </w:lvl>
  </w:abstractNum>
  <w:abstractNum w:abstractNumId="24">
    <w:multiLevelType w:val="hybridMultilevel"/>
    <w:lvl w:ilvl="0">
      <w:start w:val="0"/>
      <w:numFmt w:val="bullet"/>
      <w:lvlText w:val="•"/>
      <w:lvlJc w:val="left"/>
      <w:pPr>
        <w:ind w:left="350"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45" w:hanging="150"/>
      </w:pPr>
      <w:rPr>
        <w:rFonts w:hint="default"/>
        <w:lang w:val="en-US" w:eastAsia="en-US" w:bidi="ar-SA"/>
      </w:rPr>
    </w:lvl>
    <w:lvl w:ilvl="2">
      <w:start w:val="0"/>
      <w:numFmt w:val="bullet"/>
      <w:lvlText w:val="•"/>
      <w:lvlJc w:val="left"/>
      <w:pPr>
        <w:ind w:left="1130" w:hanging="150"/>
      </w:pPr>
      <w:rPr>
        <w:rFonts w:hint="default"/>
        <w:lang w:val="en-US" w:eastAsia="en-US" w:bidi="ar-SA"/>
      </w:rPr>
    </w:lvl>
    <w:lvl w:ilvl="3">
      <w:start w:val="0"/>
      <w:numFmt w:val="bullet"/>
      <w:lvlText w:val="•"/>
      <w:lvlJc w:val="left"/>
      <w:pPr>
        <w:ind w:left="1515" w:hanging="150"/>
      </w:pPr>
      <w:rPr>
        <w:rFonts w:hint="default"/>
        <w:lang w:val="en-US" w:eastAsia="en-US" w:bidi="ar-SA"/>
      </w:rPr>
    </w:lvl>
    <w:lvl w:ilvl="4">
      <w:start w:val="0"/>
      <w:numFmt w:val="bullet"/>
      <w:lvlText w:val="•"/>
      <w:lvlJc w:val="left"/>
      <w:pPr>
        <w:ind w:left="1900" w:hanging="150"/>
      </w:pPr>
      <w:rPr>
        <w:rFonts w:hint="default"/>
        <w:lang w:val="en-US" w:eastAsia="en-US" w:bidi="ar-SA"/>
      </w:rPr>
    </w:lvl>
    <w:lvl w:ilvl="5">
      <w:start w:val="0"/>
      <w:numFmt w:val="bullet"/>
      <w:lvlText w:val="•"/>
      <w:lvlJc w:val="left"/>
      <w:pPr>
        <w:ind w:left="2285" w:hanging="150"/>
      </w:pPr>
      <w:rPr>
        <w:rFonts w:hint="default"/>
        <w:lang w:val="en-US" w:eastAsia="en-US" w:bidi="ar-SA"/>
      </w:rPr>
    </w:lvl>
    <w:lvl w:ilvl="6">
      <w:start w:val="0"/>
      <w:numFmt w:val="bullet"/>
      <w:lvlText w:val="•"/>
      <w:lvlJc w:val="left"/>
      <w:pPr>
        <w:ind w:left="2670" w:hanging="150"/>
      </w:pPr>
      <w:rPr>
        <w:rFonts w:hint="default"/>
        <w:lang w:val="en-US" w:eastAsia="en-US" w:bidi="ar-SA"/>
      </w:rPr>
    </w:lvl>
    <w:lvl w:ilvl="7">
      <w:start w:val="0"/>
      <w:numFmt w:val="bullet"/>
      <w:lvlText w:val="•"/>
      <w:lvlJc w:val="left"/>
      <w:pPr>
        <w:ind w:left="3055" w:hanging="150"/>
      </w:pPr>
      <w:rPr>
        <w:rFonts w:hint="default"/>
        <w:lang w:val="en-US" w:eastAsia="en-US" w:bidi="ar-SA"/>
      </w:rPr>
    </w:lvl>
    <w:lvl w:ilvl="8">
      <w:start w:val="0"/>
      <w:numFmt w:val="bullet"/>
      <w:lvlText w:val="•"/>
      <w:lvlJc w:val="left"/>
      <w:pPr>
        <w:ind w:left="3440" w:hanging="150"/>
      </w:pPr>
      <w:rPr>
        <w:rFonts w:hint="default"/>
        <w:lang w:val="en-US" w:eastAsia="en-US" w:bidi="ar-SA"/>
      </w:rPr>
    </w:lvl>
  </w:abstractNum>
  <w:abstractNum w:abstractNumId="23">
    <w:multiLevelType w:val="hybridMultilevel"/>
    <w:lvl w:ilvl="0">
      <w:start w:val="0"/>
      <w:numFmt w:val="bullet"/>
      <w:lvlText w:val="•"/>
      <w:lvlJc w:val="left"/>
      <w:pPr>
        <w:ind w:left="351"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32" w:hanging="150"/>
      </w:pPr>
      <w:rPr>
        <w:rFonts w:hint="default"/>
        <w:lang w:val="en-US" w:eastAsia="en-US" w:bidi="ar-SA"/>
      </w:rPr>
    </w:lvl>
    <w:lvl w:ilvl="2">
      <w:start w:val="0"/>
      <w:numFmt w:val="bullet"/>
      <w:lvlText w:val="•"/>
      <w:lvlJc w:val="left"/>
      <w:pPr>
        <w:ind w:left="904" w:hanging="150"/>
      </w:pPr>
      <w:rPr>
        <w:rFonts w:hint="default"/>
        <w:lang w:val="en-US" w:eastAsia="en-US" w:bidi="ar-SA"/>
      </w:rPr>
    </w:lvl>
    <w:lvl w:ilvl="3">
      <w:start w:val="0"/>
      <w:numFmt w:val="bullet"/>
      <w:lvlText w:val="•"/>
      <w:lvlJc w:val="left"/>
      <w:pPr>
        <w:ind w:left="1176" w:hanging="150"/>
      </w:pPr>
      <w:rPr>
        <w:rFonts w:hint="default"/>
        <w:lang w:val="en-US" w:eastAsia="en-US" w:bidi="ar-SA"/>
      </w:rPr>
    </w:lvl>
    <w:lvl w:ilvl="4">
      <w:start w:val="0"/>
      <w:numFmt w:val="bullet"/>
      <w:lvlText w:val="•"/>
      <w:lvlJc w:val="left"/>
      <w:pPr>
        <w:ind w:left="1448" w:hanging="150"/>
      </w:pPr>
      <w:rPr>
        <w:rFonts w:hint="default"/>
        <w:lang w:val="en-US" w:eastAsia="en-US" w:bidi="ar-SA"/>
      </w:rPr>
    </w:lvl>
    <w:lvl w:ilvl="5">
      <w:start w:val="0"/>
      <w:numFmt w:val="bullet"/>
      <w:lvlText w:val="•"/>
      <w:lvlJc w:val="left"/>
      <w:pPr>
        <w:ind w:left="1721" w:hanging="150"/>
      </w:pPr>
      <w:rPr>
        <w:rFonts w:hint="default"/>
        <w:lang w:val="en-US" w:eastAsia="en-US" w:bidi="ar-SA"/>
      </w:rPr>
    </w:lvl>
    <w:lvl w:ilvl="6">
      <w:start w:val="0"/>
      <w:numFmt w:val="bullet"/>
      <w:lvlText w:val="•"/>
      <w:lvlJc w:val="left"/>
      <w:pPr>
        <w:ind w:left="1993" w:hanging="150"/>
      </w:pPr>
      <w:rPr>
        <w:rFonts w:hint="default"/>
        <w:lang w:val="en-US" w:eastAsia="en-US" w:bidi="ar-SA"/>
      </w:rPr>
    </w:lvl>
    <w:lvl w:ilvl="7">
      <w:start w:val="0"/>
      <w:numFmt w:val="bullet"/>
      <w:lvlText w:val="•"/>
      <w:lvlJc w:val="left"/>
      <w:pPr>
        <w:ind w:left="2265" w:hanging="150"/>
      </w:pPr>
      <w:rPr>
        <w:rFonts w:hint="default"/>
        <w:lang w:val="en-US" w:eastAsia="en-US" w:bidi="ar-SA"/>
      </w:rPr>
    </w:lvl>
    <w:lvl w:ilvl="8">
      <w:start w:val="0"/>
      <w:numFmt w:val="bullet"/>
      <w:lvlText w:val="•"/>
      <w:lvlJc w:val="left"/>
      <w:pPr>
        <w:ind w:left="2537" w:hanging="150"/>
      </w:pPr>
      <w:rPr>
        <w:rFonts w:hint="default"/>
        <w:lang w:val="en-US" w:eastAsia="en-US" w:bidi="ar-SA"/>
      </w:rPr>
    </w:lvl>
  </w:abstractNum>
  <w:abstractNum w:abstractNumId="22">
    <w:multiLevelType w:val="hybridMultilevel"/>
    <w:lvl w:ilvl="0">
      <w:start w:val="0"/>
      <w:numFmt w:val="bullet"/>
      <w:lvlText w:val="•"/>
      <w:lvlJc w:val="left"/>
      <w:pPr>
        <w:ind w:left="350"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45" w:hanging="150"/>
      </w:pPr>
      <w:rPr>
        <w:rFonts w:hint="default"/>
        <w:lang w:val="en-US" w:eastAsia="en-US" w:bidi="ar-SA"/>
      </w:rPr>
    </w:lvl>
    <w:lvl w:ilvl="2">
      <w:start w:val="0"/>
      <w:numFmt w:val="bullet"/>
      <w:lvlText w:val="•"/>
      <w:lvlJc w:val="left"/>
      <w:pPr>
        <w:ind w:left="1130" w:hanging="150"/>
      </w:pPr>
      <w:rPr>
        <w:rFonts w:hint="default"/>
        <w:lang w:val="en-US" w:eastAsia="en-US" w:bidi="ar-SA"/>
      </w:rPr>
    </w:lvl>
    <w:lvl w:ilvl="3">
      <w:start w:val="0"/>
      <w:numFmt w:val="bullet"/>
      <w:lvlText w:val="•"/>
      <w:lvlJc w:val="left"/>
      <w:pPr>
        <w:ind w:left="1515" w:hanging="150"/>
      </w:pPr>
      <w:rPr>
        <w:rFonts w:hint="default"/>
        <w:lang w:val="en-US" w:eastAsia="en-US" w:bidi="ar-SA"/>
      </w:rPr>
    </w:lvl>
    <w:lvl w:ilvl="4">
      <w:start w:val="0"/>
      <w:numFmt w:val="bullet"/>
      <w:lvlText w:val="•"/>
      <w:lvlJc w:val="left"/>
      <w:pPr>
        <w:ind w:left="1900" w:hanging="150"/>
      </w:pPr>
      <w:rPr>
        <w:rFonts w:hint="default"/>
        <w:lang w:val="en-US" w:eastAsia="en-US" w:bidi="ar-SA"/>
      </w:rPr>
    </w:lvl>
    <w:lvl w:ilvl="5">
      <w:start w:val="0"/>
      <w:numFmt w:val="bullet"/>
      <w:lvlText w:val="•"/>
      <w:lvlJc w:val="left"/>
      <w:pPr>
        <w:ind w:left="2285" w:hanging="150"/>
      </w:pPr>
      <w:rPr>
        <w:rFonts w:hint="default"/>
        <w:lang w:val="en-US" w:eastAsia="en-US" w:bidi="ar-SA"/>
      </w:rPr>
    </w:lvl>
    <w:lvl w:ilvl="6">
      <w:start w:val="0"/>
      <w:numFmt w:val="bullet"/>
      <w:lvlText w:val="•"/>
      <w:lvlJc w:val="left"/>
      <w:pPr>
        <w:ind w:left="2670" w:hanging="150"/>
      </w:pPr>
      <w:rPr>
        <w:rFonts w:hint="default"/>
        <w:lang w:val="en-US" w:eastAsia="en-US" w:bidi="ar-SA"/>
      </w:rPr>
    </w:lvl>
    <w:lvl w:ilvl="7">
      <w:start w:val="0"/>
      <w:numFmt w:val="bullet"/>
      <w:lvlText w:val="•"/>
      <w:lvlJc w:val="left"/>
      <w:pPr>
        <w:ind w:left="3055" w:hanging="150"/>
      </w:pPr>
      <w:rPr>
        <w:rFonts w:hint="default"/>
        <w:lang w:val="en-US" w:eastAsia="en-US" w:bidi="ar-SA"/>
      </w:rPr>
    </w:lvl>
    <w:lvl w:ilvl="8">
      <w:start w:val="0"/>
      <w:numFmt w:val="bullet"/>
      <w:lvlText w:val="•"/>
      <w:lvlJc w:val="left"/>
      <w:pPr>
        <w:ind w:left="3440" w:hanging="150"/>
      </w:pPr>
      <w:rPr>
        <w:rFonts w:hint="default"/>
        <w:lang w:val="en-US" w:eastAsia="en-US" w:bidi="ar-SA"/>
      </w:rPr>
    </w:lvl>
  </w:abstractNum>
  <w:abstractNum w:abstractNumId="21">
    <w:multiLevelType w:val="hybridMultilevel"/>
    <w:lvl w:ilvl="0">
      <w:start w:val="0"/>
      <w:numFmt w:val="bullet"/>
      <w:lvlText w:val="•"/>
      <w:lvlJc w:val="left"/>
      <w:pPr>
        <w:ind w:left="350"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45" w:hanging="150"/>
      </w:pPr>
      <w:rPr>
        <w:rFonts w:hint="default"/>
        <w:lang w:val="en-US" w:eastAsia="en-US" w:bidi="ar-SA"/>
      </w:rPr>
    </w:lvl>
    <w:lvl w:ilvl="2">
      <w:start w:val="0"/>
      <w:numFmt w:val="bullet"/>
      <w:lvlText w:val="•"/>
      <w:lvlJc w:val="left"/>
      <w:pPr>
        <w:ind w:left="1130" w:hanging="150"/>
      </w:pPr>
      <w:rPr>
        <w:rFonts w:hint="default"/>
        <w:lang w:val="en-US" w:eastAsia="en-US" w:bidi="ar-SA"/>
      </w:rPr>
    </w:lvl>
    <w:lvl w:ilvl="3">
      <w:start w:val="0"/>
      <w:numFmt w:val="bullet"/>
      <w:lvlText w:val="•"/>
      <w:lvlJc w:val="left"/>
      <w:pPr>
        <w:ind w:left="1515" w:hanging="150"/>
      </w:pPr>
      <w:rPr>
        <w:rFonts w:hint="default"/>
        <w:lang w:val="en-US" w:eastAsia="en-US" w:bidi="ar-SA"/>
      </w:rPr>
    </w:lvl>
    <w:lvl w:ilvl="4">
      <w:start w:val="0"/>
      <w:numFmt w:val="bullet"/>
      <w:lvlText w:val="•"/>
      <w:lvlJc w:val="left"/>
      <w:pPr>
        <w:ind w:left="1900" w:hanging="150"/>
      </w:pPr>
      <w:rPr>
        <w:rFonts w:hint="default"/>
        <w:lang w:val="en-US" w:eastAsia="en-US" w:bidi="ar-SA"/>
      </w:rPr>
    </w:lvl>
    <w:lvl w:ilvl="5">
      <w:start w:val="0"/>
      <w:numFmt w:val="bullet"/>
      <w:lvlText w:val="•"/>
      <w:lvlJc w:val="left"/>
      <w:pPr>
        <w:ind w:left="2285" w:hanging="150"/>
      </w:pPr>
      <w:rPr>
        <w:rFonts w:hint="default"/>
        <w:lang w:val="en-US" w:eastAsia="en-US" w:bidi="ar-SA"/>
      </w:rPr>
    </w:lvl>
    <w:lvl w:ilvl="6">
      <w:start w:val="0"/>
      <w:numFmt w:val="bullet"/>
      <w:lvlText w:val="•"/>
      <w:lvlJc w:val="left"/>
      <w:pPr>
        <w:ind w:left="2670" w:hanging="150"/>
      </w:pPr>
      <w:rPr>
        <w:rFonts w:hint="default"/>
        <w:lang w:val="en-US" w:eastAsia="en-US" w:bidi="ar-SA"/>
      </w:rPr>
    </w:lvl>
    <w:lvl w:ilvl="7">
      <w:start w:val="0"/>
      <w:numFmt w:val="bullet"/>
      <w:lvlText w:val="•"/>
      <w:lvlJc w:val="left"/>
      <w:pPr>
        <w:ind w:left="3055" w:hanging="150"/>
      </w:pPr>
      <w:rPr>
        <w:rFonts w:hint="default"/>
        <w:lang w:val="en-US" w:eastAsia="en-US" w:bidi="ar-SA"/>
      </w:rPr>
    </w:lvl>
    <w:lvl w:ilvl="8">
      <w:start w:val="0"/>
      <w:numFmt w:val="bullet"/>
      <w:lvlText w:val="•"/>
      <w:lvlJc w:val="left"/>
      <w:pPr>
        <w:ind w:left="3440" w:hanging="150"/>
      </w:pPr>
      <w:rPr>
        <w:rFonts w:hint="default"/>
        <w:lang w:val="en-US" w:eastAsia="en-US" w:bidi="ar-SA"/>
      </w:rPr>
    </w:lvl>
  </w:abstractNum>
  <w:abstractNum w:abstractNumId="20">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19">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18">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17">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16">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15">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14">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13">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12">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11">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10">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9">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8">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7">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6">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771" w:hanging="150"/>
      </w:pPr>
      <w:rPr>
        <w:rFonts w:hint="default"/>
        <w:lang w:val="en-US" w:eastAsia="en-US" w:bidi="ar-SA"/>
      </w:rPr>
    </w:lvl>
    <w:lvl w:ilvl="2">
      <w:start w:val="0"/>
      <w:numFmt w:val="bullet"/>
      <w:lvlText w:val="•"/>
      <w:lvlJc w:val="left"/>
      <w:pPr>
        <w:ind w:left="1002" w:hanging="150"/>
      </w:pPr>
      <w:rPr>
        <w:rFonts w:hint="default"/>
        <w:lang w:val="en-US" w:eastAsia="en-US" w:bidi="ar-SA"/>
      </w:rPr>
    </w:lvl>
    <w:lvl w:ilvl="3">
      <w:start w:val="0"/>
      <w:numFmt w:val="bullet"/>
      <w:lvlText w:val="•"/>
      <w:lvlJc w:val="left"/>
      <w:pPr>
        <w:ind w:left="1233" w:hanging="150"/>
      </w:pPr>
      <w:rPr>
        <w:rFonts w:hint="default"/>
        <w:lang w:val="en-US" w:eastAsia="en-US" w:bidi="ar-SA"/>
      </w:rPr>
    </w:lvl>
    <w:lvl w:ilvl="4">
      <w:start w:val="0"/>
      <w:numFmt w:val="bullet"/>
      <w:lvlText w:val="•"/>
      <w:lvlJc w:val="left"/>
      <w:pPr>
        <w:ind w:left="1464" w:hanging="150"/>
      </w:pPr>
      <w:rPr>
        <w:rFonts w:hint="default"/>
        <w:lang w:val="en-US" w:eastAsia="en-US" w:bidi="ar-SA"/>
      </w:rPr>
    </w:lvl>
    <w:lvl w:ilvl="5">
      <w:start w:val="0"/>
      <w:numFmt w:val="bullet"/>
      <w:lvlText w:val="•"/>
      <w:lvlJc w:val="left"/>
      <w:pPr>
        <w:ind w:left="1695" w:hanging="150"/>
      </w:pPr>
      <w:rPr>
        <w:rFonts w:hint="default"/>
        <w:lang w:val="en-US" w:eastAsia="en-US" w:bidi="ar-SA"/>
      </w:rPr>
    </w:lvl>
    <w:lvl w:ilvl="6">
      <w:start w:val="0"/>
      <w:numFmt w:val="bullet"/>
      <w:lvlText w:val="•"/>
      <w:lvlJc w:val="left"/>
      <w:pPr>
        <w:ind w:left="1926" w:hanging="150"/>
      </w:pPr>
      <w:rPr>
        <w:rFonts w:hint="default"/>
        <w:lang w:val="en-US" w:eastAsia="en-US" w:bidi="ar-SA"/>
      </w:rPr>
    </w:lvl>
    <w:lvl w:ilvl="7">
      <w:start w:val="0"/>
      <w:numFmt w:val="bullet"/>
      <w:lvlText w:val="•"/>
      <w:lvlJc w:val="left"/>
      <w:pPr>
        <w:ind w:left="2157" w:hanging="150"/>
      </w:pPr>
      <w:rPr>
        <w:rFonts w:hint="default"/>
        <w:lang w:val="en-US" w:eastAsia="en-US" w:bidi="ar-SA"/>
      </w:rPr>
    </w:lvl>
    <w:lvl w:ilvl="8">
      <w:start w:val="0"/>
      <w:numFmt w:val="bullet"/>
      <w:lvlText w:val="•"/>
      <w:lvlJc w:val="left"/>
      <w:pPr>
        <w:ind w:left="2388" w:hanging="150"/>
      </w:pPr>
      <w:rPr>
        <w:rFonts w:hint="default"/>
        <w:lang w:val="en-US" w:eastAsia="en-US" w:bidi="ar-SA"/>
      </w:rPr>
    </w:lvl>
  </w:abstractNum>
  <w:abstractNum w:abstractNumId="5">
    <w:multiLevelType w:val="hybridMultilevel"/>
    <w:lvl w:ilvl="0">
      <w:start w:val="0"/>
      <w:numFmt w:val="bullet"/>
      <w:lvlText w:val="•"/>
      <w:lvlJc w:val="left"/>
      <w:pPr>
        <w:ind w:left="547"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896" w:hanging="150"/>
      </w:pPr>
      <w:rPr>
        <w:rFonts w:hint="default"/>
        <w:lang w:val="en-US" w:eastAsia="en-US" w:bidi="ar-SA"/>
      </w:rPr>
    </w:lvl>
    <w:lvl w:ilvl="2">
      <w:start w:val="0"/>
      <w:numFmt w:val="bullet"/>
      <w:lvlText w:val="•"/>
      <w:lvlJc w:val="left"/>
      <w:pPr>
        <w:ind w:left="1252" w:hanging="150"/>
      </w:pPr>
      <w:rPr>
        <w:rFonts w:hint="default"/>
        <w:lang w:val="en-US" w:eastAsia="en-US" w:bidi="ar-SA"/>
      </w:rPr>
    </w:lvl>
    <w:lvl w:ilvl="3">
      <w:start w:val="0"/>
      <w:numFmt w:val="bullet"/>
      <w:lvlText w:val="•"/>
      <w:lvlJc w:val="left"/>
      <w:pPr>
        <w:ind w:left="1609" w:hanging="150"/>
      </w:pPr>
      <w:rPr>
        <w:rFonts w:hint="default"/>
        <w:lang w:val="en-US" w:eastAsia="en-US" w:bidi="ar-SA"/>
      </w:rPr>
    </w:lvl>
    <w:lvl w:ilvl="4">
      <w:start w:val="0"/>
      <w:numFmt w:val="bullet"/>
      <w:lvlText w:val="•"/>
      <w:lvlJc w:val="left"/>
      <w:pPr>
        <w:ind w:left="1965" w:hanging="150"/>
      </w:pPr>
      <w:rPr>
        <w:rFonts w:hint="default"/>
        <w:lang w:val="en-US" w:eastAsia="en-US" w:bidi="ar-SA"/>
      </w:rPr>
    </w:lvl>
    <w:lvl w:ilvl="5">
      <w:start w:val="0"/>
      <w:numFmt w:val="bullet"/>
      <w:lvlText w:val="•"/>
      <w:lvlJc w:val="left"/>
      <w:pPr>
        <w:ind w:left="2322" w:hanging="150"/>
      </w:pPr>
      <w:rPr>
        <w:rFonts w:hint="default"/>
        <w:lang w:val="en-US" w:eastAsia="en-US" w:bidi="ar-SA"/>
      </w:rPr>
    </w:lvl>
    <w:lvl w:ilvl="6">
      <w:start w:val="0"/>
      <w:numFmt w:val="bullet"/>
      <w:lvlText w:val="•"/>
      <w:lvlJc w:val="left"/>
      <w:pPr>
        <w:ind w:left="2678" w:hanging="150"/>
      </w:pPr>
      <w:rPr>
        <w:rFonts w:hint="default"/>
        <w:lang w:val="en-US" w:eastAsia="en-US" w:bidi="ar-SA"/>
      </w:rPr>
    </w:lvl>
    <w:lvl w:ilvl="7">
      <w:start w:val="0"/>
      <w:numFmt w:val="bullet"/>
      <w:lvlText w:val="•"/>
      <w:lvlJc w:val="left"/>
      <w:pPr>
        <w:ind w:left="3034" w:hanging="150"/>
      </w:pPr>
      <w:rPr>
        <w:rFonts w:hint="default"/>
        <w:lang w:val="en-US" w:eastAsia="en-US" w:bidi="ar-SA"/>
      </w:rPr>
    </w:lvl>
    <w:lvl w:ilvl="8">
      <w:start w:val="0"/>
      <w:numFmt w:val="bullet"/>
      <w:lvlText w:val="•"/>
      <w:lvlJc w:val="left"/>
      <w:pPr>
        <w:ind w:left="3391" w:hanging="150"/>
      </w:pPr>
      <w:rPr>
        <w:rFonts w:hint="default"/>
        <w:lang w:val="en-US" w:eastAsia="en-US" w:bidi="ar-SA"/>
      </w:rPr>
    </w:lvl>
  </w:abstractNum>
  <w:abstractNum w:abstractNumId="4">
    <w:multiLevelType w:val="hybridMultilevel"/>
    <w:lvl w:ilvl="0">
      <w:start w:val="0"/>
      <w:numFmt w:val="bullet"/>
      <w:lvlText w:val="•"/>
      <w:lvlJc w:val="left"/>
      <w:pPr>
        <w:ind w:left="223" w:hanging="150"/>
      </w:pPr>
      <w:rPr>
        <w:rFonts w:hint="default" w:ascii="Trebuchet MS" w:hAnsi="Trebuchet MS" w:eastAsia="Trebuchet MS" w:cs="Trebuchet MS"/>
        <w:b w:val="0"/>
        <w:bCs w:val="0"/>
        <w:i w:val="0"/>
        <w:iCs w:val="0"/>
        <w:color w:val="231F20"/>
        <w:spacing w:val="0"/>
        <w:w w:val="94"/>
        <w:sz w:val="15"/>
        <w:szCs w:val="15"/>
        <w:lang w:val="en-US" w:eastAsia="en-US" w:bidi="ar-SA"/>
      </w:rPr>
    </w:lvl>
    <w:lvl w:ilvl="1">
      <w:start w:val="0"/>
      <w:numFmt w:val="bullet"/>
      <w:lvlText w:val="•"/>
      <w:lvlJc w:val="left"/>
      <w:pPr>
        <w:ind w:left="668" w:hanging="150"/>
      </w:pPr>
      <w:rPr>
        <w:rFonts w:hint="default"/>
        <w:lang w:val="en-US" w:eastAsia="en-US" w:bidi="ar-SA"/>
      </w:rPr>
    </w:lvl>
    <w:lvl w:ilvl="2">
      <w:start w:val="0"/>
      <w:numFmt w:val="bullet"/>
      <w:lvlText w:val="•"/>
      <w:lvlJc w:val="left"/>
      <w:pPr>
        <w:ind w:left="1116" w:hanging="150"/>
      </w:pPr>
      <w:rPr>
        <w:rFonts w:hint="default"/>
        <w:lang w:val="en-US" w:eastAsia="en-US" w:bidi="ar-SA"/>
      </w:rPr>
    </w:lvl>
    <w:lvl w:ilvl="3">
      <w:start w:val="0"/>
      <w:numFmt w:val="bullet"/>
      <w:lvlText w:val="•"/>
      <w:lvlJc w:val="left"/>
      <w:pPr>
        <w:ind w:left="1564" w:hanging="150"/>
      </w:pPr>
      <w:rPr>
        <w:rFonts w:hint="default"/>
        <w:lang w:val="en-US" w:eastAsia="en-US" w:bidi="ar-SA"/>
      </w:rPr>
    </w:lvl>
    <w:lvl w:ilvl="4">
      <w:start w:val="0"/>
      <w:numFmt w:val="bullet"/>
      <w:lvlText w:val="•"/>
      <w:lvlJc w:val="left"/>
      <w:pPr>
        <w:ind w:left="2012" w:hanging="150"/>
      </w:pPr>
      <w:rPr>
        <w:rFonts w:hint="default"/>
        <w:lang w:val="en-US" w:eastAsia="en-US" w:bidi="ar-SA"/>
      </w:rPr>
    </w:lvl>
    <w:lvl w:ilvl="5">
      <w:start w:val="0"/>
      <w:numFmt w:val="bullet"/>
      <w:lvlText w:val="•"/>
      <w:lvlJc w:val="left"/>
      <w:pPr>
        <w:ind w:left="2461" w:hanging="150"/>
      </w:pPr>
      <w:rPr>
        <w:rFonts w:hint="default"/>
        <w:lang w:val="en-US" w:eastAsia="en-US" w:bidi="ar-SA"/>
      </w:rPr>
    </w:lvl>
    <w:lvl w:ilvl="6">
      <w:start w:val="0"/>
      <w:numFmt w:val="bullet"/>
      <w:lvlText w:val="•"/>
      <w:lvlJc w:val="left"/>
      <w:pPr>
        <w:ind w:left="2909" w:hanging="150"/>
      </w:pPr>
      <w:rPr>
        <w:rFonts w:hint="default"/>
        <w:lang w:val="en-US" w:eastAsia="en-US" w:bidi="ar-SA"/>
      </w:rPr>
    </w:lvl>
    <w:lvl w:ilvl="7">
      <w:start w:val="0"/>
      <w:numFmt w:val="bullet"/>
      <w:lvlText w:val="•"/>
      <w:lvlJc w:val="left"/>
      <w:pPr>
        <w:ind w:left="3357" w:hanging="150"/>
      </w:pPr>
      <w:rPr>
        <w:rFonts w:hint="default"/>
        <w:lang w:val="en-US" w:eastAsia="en-US" w:bidi="ar-SA"/>
      </w:rPr>
    </w:lvl>
    <w:lvl w:ilvl="8">
      <w:start w:val="0"/>
      <w:numFmt w:val="bullet"/>
      <w:lvlText w:val="•"/>
      <w:lvlJc w:val="left"/>
      <w:pPr>
        <w:ind w:left="3805" w:hanging="150"/>
      </w:pPr>
      <w:rPr>
        <w:rFonts w:hint="default"/>
        <w:lang w:val="en-US" w:eastAsia="en-US" w:bidi="ar-SA"/>
      </w:rPr>
    </w:lvl>
  </w:abstractNum>
  <w:abstractNum w:abstractNumId="3">
    <w:multiLevelType w:val="hybridMultilevel"/>
    <w:lvl w:ilvl="0">
      <w:start w:val="8"/>
      <w:numFmt w:val="upperRoman"/>
      <w:lvlText w:val="%1."/>
      <w:lvlJc w:val="left"/>
      <w:pPr>
        <w:ind w:left="386" w:hanging="317"/>
        <w:jc w:val="right"/>
      </w:pPr>
      <w:rPr>
        <w:rFonts w:hint="default" w:ascii="Trebuchet MS" w:hAnsi="Trebuchet MS" w:eastAsia="Trebuchet MS" w:cs="Trebuchet MS"/>
        <w:b w:val="0"/>
        <w:bCs w:val="0"/>
        <w:i w:val="0"/>
        <w:iCs w:val="0"/>
        <w:color w:val="231F20"/>
        <w:spacing w:val="0"/>
        <w:w w:val="90"/>
        <w:sz w:val="15"/>
        <w:szCs w:val="15"/>
        <w:lang w:val="en-US" w:eastAsia="en-US" w:bidi="ar-SA"/>
      </w:rPr>
    </w:lvl>
    <w:lvl w:ilvl="1">
      <w:start w:val="1"/>
      <w:numFmt w:val="upperLetter"/>
      <w:lvlText w:val="%2."/>
      <w:lvlJc w:val="left"/>
      <w:pPr>
        <w:ind w:left="610" w:hanging="224"/>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2">
      <w:start w:val="1"/>
      <w:numFmt w:val="decimal"/>
      <w:lvlText w:val="%3."/>
      <w:lvlJc w:val="left"/>
      <w:pPr>
        <w:ind w:left="802"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3">
      <w:start w:val="0"/>
      <w:numFmt w:val="bullet"/>
      <w:lvlText w:val="•"/>
      <w:lvlJc w:val="left"/>
      <w:pPr>
        <w:ind w:left="1317" w:hanging="193"/>
      </w:pPr>
      <w:rPr>
        <w:rFonts w:hint="default"/>
        <w:lang w:val="en-US" w:eastAsia="en-US" w:bidi="ar-SA"/>
      </w:rPr>
    </w:lvl>
    <w:lvl w:ilvl="4">
      <w:start w:val="0"/>
      <w:numFmt w:val="bullet"/>
      <w:lvlText w:val="•"/>
      <w:lvlJc w:val="left"/>
      <w:pPr>
        <w:ind w:left="1835" w:hanging="193"/>
      </w:pPr>
      <w:rPr>
        <w:rFonts w:hint="default"/>
        <w:lang w:val="en-US" w:eastAsia="en-US" w:bidi="ar-SA"/>
      </w:rPr>
    </w:lvl>
    <w:lvl w:ilvl="5">
      <w:start w:val="0"/>
      <w:numFmt w:val="bullet"/>
      <w:lvlText w:val="•"/>
      <w:lvlJc w:val="left"/>
      <w:pPr>
        <w:ind w:left="2353" w:hanging="193"/>
      </w:pPr>
      <w:rPr>
        <w:rFonts w:hint="default"/>
        <w:lang w:val="en-US" w:eastAsia="en-US" w:bidi="ar-SA"/>
      </w:rPr>
    </w:lvl>
    <w:lvl w:ilvl="6">
      <w:start w:val="0"/>
      <w:numFmt w:val="bullet"/>
      <w:lvlText w:val="•"/>
      <w:lvlJc w:val="left"/>
      <w:pPr>
        <w:ind w:left="2871" w:hanging="193"/>
      </w:pPr>
      <w:rPr>
        <w:rFonts w:hint="default"/>
        <w:lang w:val="en-US" w:eastAsia="en-US" w:bidi="ar-SA"/>
      </w:rPr>
    </w:lvl>
    <w:lvl w:ilvl="7">
      <w:start w:val="0"/>
      <w:numFmt w:val="bullet"/>
      <w:lvlText w:val="•"/>
      <w:lvlJc w:val="left"/>
      <w:pPr>
        <w:ind w:left="3389" w:hanging="193"/>
      </w:pPr>
      <w:rPr>
        <w:rFonts w:hint="default"/>
        <w:lang w:val="en-US" w:eastAsia="en-US" w:bidi="ar-SA"/>
      </w:rPr>
    </w:lvl>
    <w:lvl w:ilvl="8">
      <w:start w:val="0"/>
      <w:numFmt w:val="bullet"/>
      <w:lvlText w:val="•"/>
      <w:lvlJc w:val="left"/>
      <w:pPr>
        <w:ind w:left="3907" w:hanging="193"/>
      </w:pPr>
      <w:rPr>
        <w:rFonts w:hint="default"/>
        <w:lang w:val="en-US" w:eastAsia="en-US" w:bidi="ar-SA"/>
      </w:rPr>
    </w:lvl>
  </w:abstractNum>
  <w:abstractNum w:abstractNumId="1">
    <w:multiLevelType w:val="hybridMultilevel"/>
    <w:lvl w:ilvl="0">
      <w:start w:val="1"/>
      <w:numFmt w:val="upperLetter"/>
      <w:lvlText w:val="%1."/>
      <w:lvlJc w:val="left"/>
      <w:pPr>
        <w:ind w:left="610" w:hanging="224"/>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1">
      <w:start w:val="0"/>
      <w:numFmt w:val="bullet"/>
      <w:lvlText w:val="•"/>
      <w:lvlJc w:val="left"/>
      <w:pPr>
        <w:ind w:left="1052" w:hanging="224"/>
      </w:pPr>
      <w:rPr>
        <w:rFonts w:hint="default"/>
        <w:lang w:val="en-US" w:eastAsia="en-US" w:bidi="ar-SA"/>
      </w:rPr>
    </w:lvl>
    <w:lvl w:ilvl="2">
      <w:start w:val="0"/>
      <w:numFmt w:val="bullet"/>
      <w:lvlText w:val="•"/>
      <w:lvlJc w:val="left"/>
      <w:pPr>
        <w:ind w:left="1484" w:hanging="224"/>
      </w:pPr>
      <w:rPr>
        <w:rFonts w:hint="default"/>
        <w:lang w:val="en-US" w:eastAsia="en-US" w:bidi="ar-SA"/>
      </w:rPr>
    </w:lvl>
    <w:lvl w:ilvl="3">
      <w:start w:val="0"/>
      <w:numFmt w:val="bullet"/>
      <w:lvlText w:val="•"/>
      <w:lvlJc w:val="left"/>
      <w:pPr>
        <w:ind w:left="1916" w:hanging="224"/>
      </w:pPr>
      <w:rPr>
        <w:rFonts w:hint="default"/>
        <w:lang w:val="en-US" w:eastAsia="en-US" w:bidi="ar-SA"/>
      </w:rPr>
    </w:lvl>
    <w:lvl w:ilvl="4">
      <w:start w:val="0"/>
      <w:numFmt w:val="bullet"/>
      <w:lvlText w:val="•"/>
      <w:lvlJc w:val="left"/>
      <w:pPr>
        <w:ind w:left="2349" w:hanging="224"/>
      </w:pPr>
      <w:rPr>
        <w:rFonts w:hint="default"/>
        <w:lang w:val="en-US" w:eastAsia="en-US" w:bidi="ar-SA"/>
      </w:rPr>
    </w:lvl>
    <w:lvl w:ilvl="5">
      <w:start w:val="0"/>
      <w:numFmt w:val="bullet"/>
      <w:lvlText w:val="•"/>
      <w:lvlJc w:val="left"/>
      <w:pPr>
        <w:ind w:left="2781" w:hanging="224"/>
      </w:pPr>
      <w:rPr>
        <w:rFonts w:hint="default"/>
        <w:lang w:val="en-US" w:eastAsia="en-US" w:bidi="ar-SA"/>
      </w:rPr>
    </w:lvl>
    <w:lvl w:ilvl="6">
      <w:start w:val="0"/>
      <w:numFmt w:val="bullet"/>
      <w:lvlText w:val="•"/>
      <w:lvlJc w:val="left"/>
      <w:pPr>
        <w:ind w:left="3213" w:hanging="224"/>
      </w:pPr>
      <w:rPr>
        <w:rFonts w:hint="default"/>
        <w:lang w:val="en-US" w:eastAsia="en-US" w:bidi="ar-SA"/>
      </w:rPr>
    </w:lvl>
    <w:lvl w:ilvl="7">
      <w:start w:val="0"/>
      <w:numFmt w:val="bullet"/>
      <w:lvlText w:val="•"/>
      <w:lvlJc w:val="left"/>
      <w:pPr>
        <w:ind w:left="3646" w:hanging="224"/>
      </w:pPr>
      <w:rPr>
        <w:rFonts w:hint="default"/>
        <w:lang w:val="en-US" w:eastAsia="en-US" w:bidi="ar-SA"/>
      </w:rPr>
    </w:lvl>
    <w:lvl w:ilvl="8">
      <w:start w:val="0"/>
      <w:numFmt w:val="bullet"/>
      <w:lvlText w:val="•"/>
      <w:lvlJc w:val="left"/>
      <w:pPr>
        <w:ind w:left="4078" w:hanging="224"/>
      </w:pPr>
      <w:rPr>
        <w:rFonts w:hint="default"/>
        <w:lang w:val="en-US" w:eastAsia="en-US" w:bidi="ar-SA"/>
      </w:rPr>
    </w:lvl>
  </w:abstractNum>
  <w:abstractNum w:abstractNumId="0">
    <w:multiLevelType w:val="hybridMultilevel"/>
    <w:lvl w:ilvl="0">
      <w:start w:val="1"/>
      <w:numFmt w:val="upperRoman"/>
      <w:lvlText w:val="%1."/>
      <w:lvlJc w:val="left"/>
      <w:pPr>
        <w:ind w:left="391" w:hanging="151"/>
        <w:jc w:val="right"/>
      </w:pPr>
      <w:rPr>
        <w:rFonts w:hint="default" w:ascii="Trebuchet MS" w:hAnsi="Trebuchet MS" w:eastAsia="Trebuchet MS" w:cs="Trebuchet MS"/>
        <w:b w:val="0"/>
        <w:bCs w:val="0"/>
        <w:i w:val="0"/>
        <w:iCs w:val="0"/>
        <w:color w:val="231F20"/>
        <w:spacing w:val="0"/>
        <w:w w:val="80"/>
        <w:sz w:val="15"/>
        <w:szCs w:val="15"/>
        <w:lang w:val="en-US" w:eastAsia="en-US" w:bidi="ar-SA"/>
      </w:rPr>
    </w:lvl>
    <w:lvl w:ilvl="1">
      <w:start w:val="1"/>
      <w:numFmt w:val="upperLetter"/>
      <w:lvlText w:val="%2."/>
      <w:lvlJc w:val="left"/>
      <w:pPr>
        <w:ind w:left="615" w:hanging="224"/>
        <w:jc w:val="left"/>
      </w:pPr>
      <w:rPr>
        <w:rFonts w:hint="default" w:ascii="Trebuchet MS" w:hAnsi="Trebuchet MS" w:eastAsia="Trebuchet MS" w:cs="Trebuchet MS"/>
        <w:b w:val="0"/>
        <w:bCs w:val="0"/>
        <w:i w:val="0"/>
        <w:iCs w:val="0"/>
        <w:color w:val="231F20"/>
        <w:spacing w:val="0"/>
        <w:w w:val="98"/>
        <w:sz w:val="15"/>
        <w:szCs w:val="15"/>
        <w:lang w:val="en-US" w:eastAsia="en-US" w:bidi="ar-SA"/>
      </w:rPr>
    </w:lvl>
    <w:lvl w:ilvl="2">
      <w:start w:val="1"/>
      <w:numFmt w:val="decimal"/>
      <w:lvlText w:val="%3."/>
      <w:lvlJc w:val="left"/>
      <w:pPr>
        <w:ind w:left="808" w:hanging="193"/>
        <w:jc w:val="left"/>
      </w:pPr>
      <w:rPr>
        <w:rFonts w:hint="default" w:ascii="Trebuchet MS" w:hAnsi="Trebuchet MS" w:eastAsia="Trebuchet MS" w:cs="Trebuchet MS"/>
        <w:b w:val="0"/>
        <w:bCs w:val="0"/>
        <w:i w:val="0"/>
        <w:iCs w:val="0"/>
        <w:color w:val="231F20"/>
        <w:spacing w:val="0"/>
        <w:w w:val="87"/>
        <w:sz w:val="15"/>
        <w:szCs w:val="15"/>
        <w:lang w:val="en-US" w:eastAsia="en-US" w:bidi="ar-SA"/>
      </w:rPr>
    </w:lvl>
    <w:lvl w:ilvl="3">
      <w:start w:val="0"/>
      <w:numFmt w:val="bullet"/>
      <w:lvlText w:val="•"/>
      <w:lvlJc w:val="left"/>
      <w:pPr>
        <w:ind w:left="1308" w:hanging="193"/>
      </w:pPr>
      <w:rPr>
        <w:rFonts w:hint="default"/>
        <w:lang w:val="en-US" w:eastAsia="en-US" w:bidi="ar-SA"/>
      </w:rPr>
    </w:lvl>
    <w:lvl w:ilvl="4">
      <w:start w:val="0"/>
      <w:numFmt w:val="bullet"/>
      <w:lvlText w:val="•"/>
      <w:lvlJc w:val="left"/>
      <w:pPr>
        <w:ind w:left="1816" w:hanging="193"/>
      </w:pPr>
      <w:rPr>
        <w:rFonts w:hint="default"/>
        <w:lang w:val="en-US" w:eastAsia="en-US" w:bidi="ar-SA"/>
      </w:rPr>
    </w:lvl>
    <w:lvl w:ilvl="5">
      <w:start w:val="0"/>
      <w:numFmt w:val="bullet"/>
      <w:lvlText w:val="•"/>
      <w:lvlJc w:val="left"/>
      <w:pPr>
        <w:ind w:left="2324" w:hanging="193"/>
      </w:pPr>
      <w:rPr>
        <w:rFonts w:hint="default"/>
        <w:lang w:val="en-US" w:eastAsia="en-US" w:bidi="ar-SA"/>
      </w:rPr>
    </w:lvl>
    <w:lvl w:ilvl="6">
      <w:start w:val="0"/>
      <w:numFmt w:val="bullet"/>
      <w:lvlText w:val="•"/>
      <w:lvlJc w:val="left"/>
      <w:pPr>
        <w:ind w:left="2833" w:hanging="193"/>
      </w:pPr>
      <w:rPr>
        <w:rFonts w:hint="default"/>
        <w:lang w:val="en-US" w:eastAsia="en-US" w:bidi="ar-SA"/>
      </w:rPr>
    </w:lvl>
    <w:lvl w:ilvl="7">
      <w:start w:val="0"/>
      <w:numFmt w:val="bullet"/>
      <w:lvlText w:val="•"/>
      <w:lvlJc w:val="left"/>
      <w:pPr>
        <w:ind w:left="3341" w:hanging="193"/>
      </w:pPr>
      <w:rPr>
        <w:rFonts w:hint="default"/>
        <w:lang w:val="en-US" w:eastAsia="en-US" w:bidi="ar-SA"/>
      </w:rPr>
    </w:lvl>
    <w:lvl w:ilvl="8">
      <w:start w:val="0"/>
      <w:numFmt w:val="bullet"/>
      <w:lvlText w:val="•"/>
      <w:lvlJc w:val="left"/>
      <w:pPr>
        <w:ind w:left="3849" w:hanging="193"/>
      </w:pPr>
      <w:rPr>
        <w:rFonts w:hint="default"/>
        <w:lang w:val="en-US" w:eastAsia="en-US" w:bidi="ar-SA"/>
      </w:rPr>
    </w:lvl>
  </w:abstractNum>
  <w:num w:numId="3">
    <w:abstractNumId w:val="2"/>
  </w:num>
  <w:num w:numId="109">
    <w:abstractNumId w:val="108"/>
  </w:num>
  <w:num w:numId="110">
    <w:abstractNumId w:val="109"/>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7">
    <w:abstractNumId w:val="66"/>
  </w:num>
  <w:num w:numId="69">
    <w:abstractNumId w:val="68"/>
  </w:num>
  <w:num w:numId="68">
    <w:abstractNumId w:val="67"/>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BodyText" w:type="paragraph">
    <w:name w:val="Body Text"/>
    <w:basedOn w:val="Normal"/>
    <w:uiPriority w:val="1"/>
    <w:qFormat/>
    <w:pPr/>
    <w:rPr>
      <w:rFonts w:ascii="Trebuchet MS" w:hAnsi="Trebuchet MS" w:eastAsia="Trebuchet MS" w:cs="Trebuchet MS"/>
      <w:sz w:val="13"/>
      <w:szCs w:val="13"/>
      <w:lang w:val="en-US" w:eastAsia="en-US" w:bidi="ar-SA"/>
    </w:rPr>
  </w:style>
  <w:style w:styleId="Heading1" w:type="paragraph">
    <w:name w:val="Heading 1"/>
    <w:basedOn w:val="Normal"/>
    <w:uiPriority w:val="1"/>
    <w:qFormat/>
    <w:pPr>
      <w:ind w:left="1625" w:right="1967"/>
      <w:jc w:val="center"/>
      <w:outlineLvl w:val="1"/>
    </w:pPr>
    <w:rPr>
      <w:rFonts w:ascii="Gabriola" w:hAnsi="Gabriola" w:eastAsia="Gabriola" w:cs="Gabriola"/>
      <w:sz w:val="92"/>
      <w:szCs w:val="92"/>
      <w:lang w:val="en-US" w:eastAsia="en-US" w:bidi="ar-SA"/>
    </w:rPr>
  </w:style>
  <w:style w:styleId="Heading2" w:type="paragraph">
    <w:name w:val="Heading 2"/>
    <w:basedOn w:val="Normal"/>
    <w:uiPriority w:val="1"/>
    <w:qFormat/>
    <w:pPr>
      <w:spacing w:before="12"/>
      <w:ind w:left="20"/>
      <w:outlineLvl w:val="2"/>
    </w:pPr>
    <w:rPr>
      <w:rFonts w:ascii="Arial MT" w:hAnsi="Arial MT" w:eastAsia="Arial MT" w:cs="Arial MT"/>
      <w:sz w:val="24"/>
      <w:szCs w:val="24"/>
      <w:lang w:val="en-US" w:eastAsia="en-US" w:bidi="ar-SA"/>
    </w:rPr>
  </w:style>
  <w:style w:styleId="Heading3" w:type="paragraph">
    <w:name w:val="Heading 3"/>
    <w:basedOn w:val="Normal"/>
    <w:uiPriority w:val="1"/>
    <w:qFormat/>
    <w:pPr>
      <w:spacing w:before="1"/>
      <w:ind w:left="710" w:right="30"/>
      <w:outlineLvl w:val="3"/>
    </w:pPr>
    <w:rPr>
      <w:rFonts w:ascii="Trebuchet MS" w:hAnsi="Trebuchet MS" w:eastAsia="Trebuchet MS" w:cs="Trebuchet MS"/>
      <w:sz w:val="20"/>
      <w:szCs w:val="20"/>
      <w:lang w:val="en-US" w:eastAsia="en-US" w:bidi="ar-SA"/>
    </w:rPr>
  </w:style>
  <w:style w:styleId="Heading4" w:type="paragraph">
    <w:name w:val="Heading 4"/>
    <w:basedOn w:val="Normal"/>
    <w:uiPriority w:val="1"/>
    <w:qFormat/>
    <w:pPr>
      <w:jc w:val="right"/>
      <w:outlineLvl w:val="4"/>
    </w:pPr>
    <w:rPr>
      <w:rFonts w:ascii="Trebuchet MS" w:hAnsi="Trebuchet MS" w:eastAsia="Trebuchet MS" w:cs="Trebuchet MS"/>
      <w:sz w:val="18"/>
      <w:szCs w:val="18"/>
      <w:lang w:val="en-US" w:eastAsia="en-US" w:bidi="ar-SA"/>
    </w:rPr>
  </w:style>
  <w:style w:styleId="Heading5" w:type="paragraph">
    <w:name w:val="Heading 5"/>
    <w:basedOn w:val="Normal"/>
    <w:uiPriority w:val="1"/>
    <w:qFormat/>
    <w:pPr>
      <w:ind w:left="486"/>
      <w:outlineLvl w:val="5"/>
    </w:pPr>
    <w:rPr>
      <w:rFonts w:ascii="Times New Roman" w:hAnsi="Times New Roman" w:eastAsia="Times New Roman" w:cs="Times New Roman"/>
      <w:sz w:val="16"/>
      <w:szCs w:val="16"/>
      <w:lang w:val="en-US" w:eastAsia="en-US" w:bidi="ar-SA"/>
    </w:rPr>
  </w:style>
  <w:style w:styleId="Heading6" w:type="paragraph">
    <w:name w:val="Heading 6"/>
    <w:basedOn w:val="Normal"/>
    <w:uiPriority w:val="1"/>
    <w:qFormat/>
    <w:pPr>
      <w:outlineLvl w:val="6"/>
    </w:pPr>
    <w:rPr>
      <w:rFonts w:ascii="Trebuchet MS" w:hAnsi="Trebuchet MS" w:eastAsia="Trebuchet MS" w:cs="Trebuchet MS"/>
      <w:sz w:val="15"/>
      <w:szCs w:val="15"/>
      <w:lang w:val="en-US" w:eastAsia="en-US" w:bidi="ar-SA"/>
    </w:rPr>
  </w:style>
  <w:style w:styleId="Heading7" w:type="paragraph">
    <w:name w:val="Heading 7"/>
    <w:basedOn w:val="Normal"/>
    <w:uiPriority w:val="1"/>
    <w:qFormat/>
    <w:pPr>
      <w:jc w:val="right"/>
      <w:outlineLvl w:val="7"/>
    </w:pPr>
    <w:rPr>
      <w:rFonts w:ascii="Arial" w:hAnsi="Arial" w:eastAsia="Arial" w:cs="Arial"/>
      <w:i/>
      <w:iCs/>
      <w:sz w:val="15"/>
      <w:szCs w:val="15"/>
      <w:lang w:val="en-US" w:eastAsia="en-US" w:bidi="ar-SA"/>
    </w:rPr>
  </w:style>
  <w:style w:styleId="Heading8" w:type="paragraph">
    <w:name w:val="Heading 8"/>
    <w:basedOn w:val="Normal"/>
    <w:uiPriority w:val="1"/>
    <w:qFormat/>
    <w:pPr>
      <w:ind w:left="1625"/>
      <w:outlineLvl w:val="8"/>
    </w:pPr>
    <w:rPr>
      <w:rFonts w:ascii="Arial" w:hAnsi="Arial" w:eastAsia="Arial" w:cs="Arial"/>
      <w:b/>
      <w:bCs/>
      <w:sz w:val="13"/>
      <w:szCs w:val="13"/>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2.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101.png"/><Relationship Id="rId108" Type="http://schemas.openxmlformats.org/officeDocument/2006/relationships/image" Target="media/image102.png"/><Relationship Id="rId109" Type="http://schemas.openxmlformats.org/officeDocument/2006/relationships/image" Target="media/image103.png"/><Relationship Id="rId110" Type="http://schemas.openxmlformats.org/officeDocument/2006/relationships/image" Target="media/image104.png"/><Relationship Id="rId111" Type="http://schemas.openxmlformats.org/officeDocument/2006/relationships/image" Target="media/image105.png"/><Relationship Id="rId112" Type="http://schemas.openxmlformats.org/officeDocument/2006/relationships/image" Target="media/image106.png"/><Relationship Id="rId113" Type="http://schemas.openxmlformats.org/officeDocument/2006/relationships/image" Target="media/image107.png"/><Relationship Id="rId114" Type="http://schemas.openxmlformats.org/officeDocument/2006/relationships/image" Target="media/image108.png"/><Relationship Id="rId115" Type="http://schemas.openxmlformats.org/officeDocument/2006/relationships/image" Target="media/image109.png"/><Relationship Id="rId116" Type="http://schemas.openxmlformats.org/officeDocument/2006/relationships/image" Target="media/image110.png"/><Relationship Id="rId117" Type="http://schemas.openxmlformats.org/officeDocument/2006/relationships/image" Target="media/image111.png"/><Relationship Id="rId118" Type="http://schemas.openxmlformats.org/officeDocument/2006/relationships/image" Target="media/image112.png"/><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image" Target="media/image115.png"/><Relationship Id="rId122" Type="http://schemas.openxmlformats.org/officeDocument/2006/relationships/image" Target="media/image116.png"/><Relationship Id="rId123" Type="http://schemas.openxmlformats.org/officeDocument/2006/relationships/image" Target="media/image117.png"/><Relationship Id="rId124" Type="http://schemas.openxmlformats.org/officeDocument/2006/relationships/image" Target="media/image118.png"/><Relationship Id="rId125" Type="http://schemas.openxmlformats.org/officeDocument/2006/relationships/image" Target="media/image119.png"/><Relationship Id="rId126" Type="http://schemas.openxmlformats.org/officeDocument/2006/relationships/image" Target="media/image120.png"/><Relationship Id="rId127" Type="http://schemas.openxmlformats.org/officeDocument/2006/relationships/image" Target="media/image121.png"/><Relationship Id="rId128" Type="http://schemas.openxmlformats.org/officeDocument/2006/relationships/image" Target="media/image122.png"/><Relationship Id="rId129" Type="http://schemas.openxmlformats.org/officeDocument/2006/relationships/image" Target="media/image123.png"/><Relationship Id="rId130" Type="http://schemas.openxmlformats.org/officeDocument/2006/relationships/image" Target="media/image124.png"/><Relationship Id="rId131" Type="http://schemas.openxmlformats.org/officeDocument/2006/relationships/image" Target="media/image125.png"/><Relationship Id="rId132" Type="http://schemas.openxmlformats.org/officeDocument/2006/relationships/image" Target="media/image126.png"/><Relationship Id="rId133" Type="http://schemas.openxmlformats.org/officeDocument/2006/relationships/image" Target="media/image127.png"/><Relationship Id="rId134" Type="http://schemas.openxmlformats.org/officeDocument/2006/relationships/image" Target="media/image128.png"/><Relationship Id="rId135" Type="http://schemas.openxmlformats.org/officeDocument/2006/relationships/image" Target="media/image129.png"/><Relationship Id="rId136" Type="http://schemas.openxmlformats.org/officeDocument/2006/relationships/image" Target="media/image130.png"/><Relationship Id="rId137" Type="http://schemas.openxmlformats.org/officeDocument/2006/relationships/image" Target="media/image131.png"/><Relationship Id="rId138" Type="http://schemas.openxmlformats.org/officeDocument/2006/relationships/image" Target="media/image132.png"/><Relationship Id="rId139" Type="http://schemas.openxmlformats.org/officeDocument/2006/relationships/image" Target="media/image133.png"/><Relationship Id="rId140" Type="http://schemas.openxmlformats.org/officeDocument/2006/relationships/image" Target="media/image134.png"/><Relationship Id="rId141" Type="http://schemas.openxmlformats.org/officeDocument/2006/relationships/image" Target="media/image135.png"/><Relationship Id="rId142" Type="http://schemas.openxmlformats.org/officeDocument/2006/relationships/image" Target="media/image136.png"/><Relationship Id="rId143" Type="http://schemas.openxmlformats.org/officeDocument/2006/relationships/image" Target="media/image137.png"/><Relationship Id="rId144" Type="http://schemas.openxmlformats.org/officeDocument/2006/relationships/image" Target="media/image138.png"/><Relationship Id="rId145" Type="http://schemas.openxmlformats.org/officeDocument/2006/relationships/image" Target="media/image139.png"/><Relationship Id="rId146" Type="http://schemas.openxmlformats.org/officeDocument/2006/relationships/image" Target="media/image140.png"/><Relationship Id="rId147" Type="http://schemas.openxmlformats.org/officeDocument/2006/relationships/image" Target="media/image141.png"/><Relationship Id="rId148" Type="http://schemas.openxmlformats.org/officeDocument/2006/relationships/image" Target="media/image142.png"/><Relationship Id="rId149" Type="http://schemas.openxmlformats.org/officeDocument/2006/relationships/image" Target="media/image143.png"/><Relationship Id="rId150" Type="http://schemas.openxmlformats.org/officeDocument/2006/relationships/image" Target="media/image144.png"/><Relationship Id="rId151" Type="http://schemas.openxmlformats.org/officeDocument/2006/relationships/image" Target="media/image145.png"/><Relationship Id="rId152" Type="http://schemas.openxmlformats.org/officeDocument/2006/relationships/image" Target="media/image146.png"/><Relationship Id="rId153" Type="http://schemas.openxmlformats.org/officeDocument/2006/relationships/image" Target="media/image147.png"/><Relationship Id="rId154" Type="http://schemas.openxmlformats.org/officeDocument/2006/relationships/image" Target="media/image148.png"/><Relationship Id="rId155" Type="http://schemas.openxmlformats.org/officeDocument/2006/relationships/image" Target="media/image149.png"/><Relationship Id="rId156" Type="http://schemas.openxmlformats.org/officeDocument/2006/relationships/image" Target="media/image150.png"/><Relationship Id="rId157" Type="http://schemas.openxmlformats.org/officeDocument/2006/relationships/image" Target="media/image151.png"/><Relationship Id="rId158" Type="http://schemas.openxmlformats.org/officeDocument/2006/relationships/image" Target="media/image152.png"/><Relationship Id="rId159" Type="http://schemas.openxmlformats.org/officeDocument/2006/relationships/image" Target="media/image153.png"/><Relationship Id="rId160" Type="http://schemas.openxmlformats.org/officeDocument/2006/relationships/image" Target="media/image154.png"/><Relationship Id="rId161" Type="http://schemas.openxmlformats.org/officeDocument/2006/relationships/image" Target="media/image155.png"/><Relationship Id="rId162" Type="http://schemas.openxmlformats.org/officeDocument/2006/relationships/image" Target="media/image156.png"/><Relationship Id="rId163" Type="http://schemas.openxmlformats.org/officeDocument/2006/relationships/image" Target="media/image157.png"/><Relationship Id="rId164" Type="http://schemas.openxmlformats.org/officeDocument/2006/relationships/image" Target="media/image158.png"/><Relationship Id="rId165" Type="http://schemas.openxmlformats.org/officeDocument/2006/relationships/image" Target="media/image159.png"/><Relationship Id="rId166" Type="http://schemas.openxmlformats.org/officeDocument/2006/relationships/image" Target="media/image160.png"/><Relationship Id="rId167" Type="http://schemas.openxmlformats.org/officeDocument/2006/relationships/image" Target="media/image161.png"/><Relationship Id="rId168" Type="http://schemas.openxmlformats.org/officeDocument/2006/relationships/image" Target="media/image162.png"/><Relationship Id="rId169" Type="http://schemas.openxmlformats.org/officeDocument/2006/relationships/image" Target="media/image163.png"/><Relationship Id="rId170" Type="http://schemas.openxmlformats.org/officeDocument/2006/relationships/image" Target="media/image164.png"/><Relationship Id="rId171" Type="http://schemas.openxmlformats.org/officeDocument/2006/relationships/image" Target="media/image165.png"/><Relationship Id="rId172" Type="http://schemas.openxmlformats.org/officeDocument/2006/relationships/image" Target="media/image166.png"/><Relationship Id="rId173" Type="http://schemas.openxmlformats.org/officeDocument/2006/relationships/image" Target="media/image167.png"/><Relationship Id="rId174" Type="http://schemas.openxmlformats.org/officeDocument/2006/relationships/image" Target="media/image168.png"/><Relationship Id="rId175" Type="http://schemas.openxmlformats.org/officeDocument/2006/relationships/image" Target="media/image169.png"/><Relationship Id="rId176" Type="http://schemas.openxmlformats.org/officeDocument/2006/relationships/image" Target="media/image170.png"/><Relationship Id="rId177" Type="http://schemas.openxmlformats.org/officeDocument/2006/relationships/image" Target="media/image171.png"/><Relationship Id="rId178" Type="http://schemas.openxmlformats.org/officeDocument/2006/relationships/image" Target="media/image172.png"/><Relationship Id="rId179" Type="http://schemas.openxmlformats.org/officeDocument/2006/relationships/image" Target="media/image173.png"/><Relationship Id="rId180" Type="http://schemas.openxmlformats.org/officeDocument/2006/relationships/image" Target="media/image174.png"/><Relationship Id="rId181" Type="http://schemas.openxmlformats.org/officeDocument/2006/relationships/image" Target="media/image175.png"/><Relationship Id="rId182" Type="http://schemas.openxmlformats.org/officeDocument/2006/relationships/image" Target="media/image176.png"/><Relationship Id="rId183" Type="http://schemas.openxmlformats.org/officeDocument/2006/relationships/image" Target="media/image177.png"/><Relationship Id="rId184" Type="http://schemas.openxmlformats.org/officeDocument/2006/relationships/image" Target="media/image178.png"/><Relationship Id="rId185" Type="http://schemas.openxmlformats.org/officeDocument/2006/relationships/image" Target="media/image179.png"/><Relationship Id="rId186" Type="http://schemas.openxmlformats.org/officeDocument/2006/relationships/image" Target="media/image180.png"/><Relationship Id="rId187" Type="http://schemas.openxmlformats.org/officeDocument/2006/relationships/image" Target="media/image181.png"/><Relationship Id="rId188" Type="http://schemas.openxmlformats.org/officeDocument/2006/relationships/image" Target="media/image182.png"/><Relationship Id="rId189" Type="http://schemas.openxmlformats.org/officeDocument/2006/relationships/image" Target="media/image183.png"/><Relationship Id="rId190" Type="http://schemas.openxmlformats.org/officeDocument/2006/relationships/image" Target="media/image184.png"/><Relationship Id="rId191" Type="http://schemas.openxmlformats.org/officeDocument/2006/relationships/image" Target="media/image185.png"/><Relationship Id="rId192" Type="http://schemas.openxmlformats.org/officeDocument/2006/relationships/image" Target="media/image186.png"/><Relationship Id="rId193" Type="http://schemas.openxmlformats.org/officeDocument/2006/relationships/image" Target="media/image187.png"/><Relationship Id="rId194" Type="http://schemas.openxmlformats.org/officeDocument/2006/relationships/image" Target="media/image188.png"/><Relationship Id="rId195" Type="http://schemas.openxmlformats.org/officeDocument/2006/relationships/image" Target="media/image189.png"/><Relationship Id="rId196" Type="http://schemas.openxmlformats.org/officeDocument/2006/relationships/image" Target="media/image190.png"/><Relationship Id="rId197" Type="http://schemas.openxmlformats.org/officeDocument/2006/relationships/image" Target="media/image191.png"/><Relationship Id="rId198" Type="http://schemas.openxmlformats.org/officeDocument/2006/relationships/image" Target="media/image192.png"/><Relationship Id="rId199" Type="http://schemas.openxmlformats.org/officeDocument/2006/relationships/image" Target="media/image193.png"/><Relationship Id="rId200" Type="http://schemas.openxmlformats.org/officeDocument/2006/relationships/image" Target="media/image194.png"/><Relationship Id="rId201" Type="http://schemas.openxmlformats.org/officeDocument/2006/relationships/image" Target="media/image195.png"/><Relationship Id="rId202" Type="http://schemas.openxmlformats.org/officeDocument/2006/relationships/image" Target="media/image196.png"/><Relationship Id="rId203" Type="http://schemas.openxmlformats.org/officeDocument/2006/relationships/image" Target="media/image197.png"/><Relationship Id="rId204" Type="http://schemas.openxmlformats.org/officeDocument/2006/relationships/image" Target="media/image198.png"/><Relationship Id="rId205" Type="http://schemas.openxmlformats.org/officeDocument/2006/relationships/image" Target="media/image199.png"/><Relationship Id="rId206" Type="http://schemas.openxmlformats.org/officeDocument/2006/relationships/image" Target="media/image200.png"/><Relationship Id="rId207" Type="http://schemas.openxmlformats.org/officeDocument/2006/relationships/image" Target="media/image201.png"/><Relationship Id="rId208" Type="http://schemas.openxmlformats.org/officeDocument/2006/relationships/image" Target="media/image202.png"/><Relationship Id="rId209" Type="http://schemas.openxmlformats.org/officeDocument/2006/relationships/image" Target="media/image203.png"/><Relationship Id="rId210" Type="http://schemas.openxmlformats.org/officeDocument/2006/relationships/image" Target="media/image204.png"/><Relationship Id="rId211" Type="http://schemas.openxmlformats.org/officeDocument/2006/relationships/image" Target="media/image205.png"/><Relationship Id="rId212" Type="http://schemas.openxmlformats.org/officeDocument/2006/relationships/image" Target="media/image206.png"/><Relationship Id="rId213" Type="http://schemas.openxmlformats.org/officeDocument/2006/relationships/image" Target="media/image207.png"/><Relationship Id="rId214" Type="http://schemas.openxmlformats.org/officeDocument/2006/relationships/image" Target="media/image208.png"/><Relationship Id="rId215" Type="http://schemas.openxmlformats.org/officeDocument/2006/relationships/image" Target="media/image209.png"/><Relationship Id="rId216" Type="http://schemas.openxmlformats.org/officeDocument/2006/relationships/image" Target="media/image210.png"/><Relationship Id="rId217" Type="http://schemas.openxmlformats.org/officeDocument/2006/relationships/image" Target="media/image211.png"/><Relationship Id="rId218" Type="http://schemas.openxmlformats.org/officeDocument/2006/relationships/image" Target="media/image212.png"/><Relationship Id="rId219" Type="http://schemas.openxmlformats.org/officeDocument/2006/relationships/image" Target="media/image213.png"/><Relationship Id="rId220" Type="http://schemas.openxmlformats.org/officeDocument/2006/relationships/image" Target="media/image214.png"/><Relationship Id="rId221" Type="http://schemas.openxmlformats.org/officeDocument/2006/relationships/image" Target="media/image215.png"/><Relationship Id="rId222" Type="http://schemas.openxmlformats.org/officeDocument/2006/relationships/image" Target="media/image216.png"/><Relationship Id="rId223" Type="http://schemas.openxmlformats.org/officeDocument/2006/relationships/image" Target="media/image217.png"/><Relationship Id="rId224" Type="http://schemas.openxmlformats.org/officeDocument/2006/relationships/image" Target="media/image218.png"/><Relationship Id="rId225" Type="http://schemas.openxmlformats.org/officeDocument/2006/relationships/image" Target="media/image219.png"/><Relationship Id="rId226" Type="http://schemas.openxmlformats.org/officeDocument/2006/relationships/image" Target="media/image220.png"/><Relationship Id="rId227" Type="http://schemas.openxmlformats.org/officeDocument/2006/relationships/image" Target="media/image221.png"/><Relationship Id="rId228" Type="http://schemas.openxmlformats.org/officeDocument/2006/relationships/image" Target="media/image222.png"/><Relationship Id="rId229" Type="http://schemas.openxmlformats.org/officeDocument/2006/relationships/image" Target="media/image223.png"/><Relationship Id="rId230" Type="http://schemas.openxmlformats.org/officeDocument/2006/relationships/image" Target="media/image224.png"/><Relationship Id="rId231" Type="http://schemas.openxmlformats.org/officeDocument/2006/relationships/image" Target="media/image225.png"/><Relationship Id="rId232" Type="http://schemas.openxmlformats.org/officeDocument/2006/relationships/image" Target="media/image226.png"/><Relationship Id="rId233" Type="http://schemas.openxmlformats.org/officeDocument/2006/relationships/image" Target="media/image227.png"/><Relationship Id="rId234" Type="http://schemas.openxmlformats.org/officeDocument/2006/relationships/image" Target="media/image228.png"/><Relationship Id="rId235" Type="http://schemas.openxmlformats.org/officeDocument/2006/relationships/image" Target="media/image229.png"/><Relationship Id="rId236" Type="http://schemas.openxmlformats.org/officeDocument/2006/relationships/image" Target="media/image230.png"/><Relationship Id="rId237" Type="http://schemas.openxmlformats.org/officeDocument/2006/relationships/image" Target="media/image231.png"/><Relationship Id="rId238" Type="http://schemas.openxmlformats.org/officeDocument/2006/relationships/image" Target="media/image232.png"/><Relationship Id="rId239" Type="http://schemas.openxmlformats.org/officeDocument/2006/relationships/image" Target="media/image233.png"/><Relationship Id="rId240" Type="http://schemas.openxmlformats.org/officeDocument/2006/relationships/image" Target="media/image234.png"/><Relationship Id="rId241" Type="http://schemas.openxmlformats.org/officeDocument/2006/relationships/image" Target="media/image235.png"/><Relationship Id="rId242" Type="http://schemas.openxmlformats.org/officeDocument/2006/relationships/image" Target="media/image236.png"/><Relationship Id="rId243" Type="http://schemas.openxmlformats.org/officeDocument/2006/relationships/image" Target="media/image237.png"/><Relationship Id="rId244" Type="http://schemas.openxmlformats.org/officeDocument/2006/relationships/image" Target="media/image238.png"/><Relationship Id="rId245" Type="http://schemas.openxmlformats.org/officeDocument/2006/relationships/image" Target="media/image239.png"/><Relationship Id="rId246" Type="http://schemas.openxmlformats.org/officeDocument/2006/relationships/image" Target="media/image240.png"/><Relationship Id="rId247" Type="http://schemas.openxmlformats.org/officeDocument/2006/relationships/image" Target="media/image241.png"/><Relationship Id="rId248" Type="http://schemas.openxmlformats.org/officeDocument/2006/relationships/image" Target="media/image242.png"/><Relationship Id="rId249" Type="http://schemas.openxmlformats.org/officeDocument/2006/relationships/image" Target="media/image243.png"/><Relationship Id="rId250" Type="http://schemas.openxmlformats.org/officeDocument/2006/relationships/image" Target="media/image244.png"/><Relationship Id="rId251" Type="http://schemas.openxmlformats.org/officeDocument/2006/relationships/image" Target="media/image245.png"/><Relationship Id="rId252" Type="http://schemas.openxmlformats.org/officeDocument/2006/relationships/image" Target="media/image246.png"/><Relationship Id="rId253" Type="http://schemas.openxmlformats.org/officeDocument/2006/relationships/image" Target="media/image247.png"/><Relationship Id="rId254" Type="http://schemas.openxmlformats.org/officeDocument/2006/relationships/image" Target="media/image248.png"/><Relationship Id="rId255" Type="http://schemas.openxmlformats.org/officeDocument/2006/relationships/image" Target="media/image249.png"/><Relationship Id="rId256" Type="http://schemas.openxmlformats.org/officeDocument/2006/relationships/image" Target="media/image250.png"/><Relationship Id="rId257" Type="http://schemas.openxmlformats.org/officeDocument/2006/relationships/image" Target="media/image251.png"/><Relationship Id="rId258" Type="http://schemas.openxmlformats.org/officeDocument/2006/relationships/image" Target="media/image252.png"/><Relationship Id="rId259" Type="http://schemas.openxmlformats.org/officeDocument/2006/relationships/image" Target="media/image253.png"/><Relationship Id="rId260" Type="http://schemas.openxmlformats.org/officeDocument/2006/relationships/image" Target="media/image254.png"/><Relationship Id="rId261" Type="http://schemas.openxmlformats.org/officeDocument/2006/relationships/image" Target="media/image255.png"/><Relationship Id="rId262" Type="http://schemas.openxmlformats.org/officeDocument/2006/relationships/image" Target="media/image256.png"/><Relationship Id="rId263" Type="http://schemas.openxmlformats.org/officeDocument/2006/relationships/image" Target="media/image257.png"/><Relationship Id="rId264" Type="http://schemas.openxmlformats.org/officeDocument/2006/relationships/image" Target="media/image258.png"/><Relationship Id="rId265" Type="http://schemas.openxmlformats.org/officeDocument/2006/relationships/image" Target="media/image259.png"/><Relationship Id="rId266" Type="http://schemas.openxmlformats.org/officeDocument/2006/relationships/image" Target="media/image260.png"/><Relationship Id="rId267" Type="http://schemas.openxmlformats.org/officeDocument/2006/relationships/image" Target="media/image261.png"/><Relationship Id="rId268" Type="http://schemas.openxmlformats.org/officeDocument/2006/relationships/image" Target="media/image262.png"/><Relationship Id="rId269" Type="http://schemas.openxmlformats.org/officeDocument/2006/relationships/image" Target="media/image263.png"/><Relationship Id="rId270" Type="http://schemas.openxmlformats.org/officeDocument/2006/relationships/image" Target="media/image264.png"/><Relationship Id="rId271" Type="http://schemas.openxmlformats.org/officeDocument/2006/relationships/image" Target="media/image265.png"/><Relationship Id="rId272" Type="http://schemas.openxmlformats.org/officeDocument/2006/relationships/image" Target="media/image266.png"/><Relationship Id="rId273" Type="http://schemas.openxmlformats.org/officeDocument/2006/relationships/image" Target="media/image267.png"/><Relationship Id="rId274" Type="http://schemas.openxmlformats.org/officeDocument/2006/relationships/image" Target="media/image268.png"/><Relationship Id="rId275" Type="http://schemas.openxmlformats.org/officeDocument/2006/relationships/image" Target="media/image269.png"/><Relationship Id="rId276" Type="http://schemas.openxmlformats.org/officeDocument/2006/relationships/image" Target="media/image270.png"/><Relationship Id="rId277" Type="http://schemas.openxmlformats.org/officeDocument/2006/relationships/image" Target="media/image271.png"/><Relationship Id="rId278" Type="http://schemas.openxmlformats.org/officeDocument/2006/relationships/image" Target="media/image272.png"/><Relationship Id="rId279" Type="http://schemas.openxmlformats.org/officeDocument/2006/relationships/image" Target="media/image273.png"/><Relationship Id="rId280" Type="http://schemas.openxmlformats.org/officeDocument/2006/relationships/image" Target="media/image274.png"/><Relationship Id="rId281" Type="http://schemas.openxmlformats.org/officeDocument/2006/relationships/image" Target="media/image275.png"/><Relationship Id="rId282" Type="http://schemas.openxmlformats.org/officeDocument/2006/relationships/image" Target="media/image276.png"/><Relationship Id="rId283" Type="http://schemas.openxmlformats.org/officeDocument/2006/relationships/image" Target="media/image277.png"/><Relationship Id="rId284" Type="http://schemas.openxmlformats.org/officeDocument/2006/relationships/image" Target="media/image278.png"/><Relationship Id="rId285" Type="http://schemas.openxmlformats.org/officeDocument/2006/relationships/image" Target="media/image279.png"/><Relationship Id="rId286" Type="http://schemas.openxmlformats.org/officeDocument/2006/relationships/image" Target="media/image280.png"/><Relationship Id="rId287" Type="http://schemas.openxmlformats.org/officeDocument/2006/relationships/image" Target="media/image281.png"/><Relationship Id="rId288" Type="http://schemas.openxmlformats.org/officeDocument/2006/relationships/image" Target="media/image282.png"/><Relationship Id="rId289" Type="http://schemas.openxmlformats.org/officeDocument/2006/relationships/image" Target="media/image283.png"/><Relationship Id="rId290" Type="http://schemas.openxmlformats.org/officeDocument/2006/relationships/image" Target="media/image284.png"/><Relationship Id="rId291" Type="http://schemas.openxmlformats.org/officeDocument/2006/relationships/image" Target="media/image285.png"/><Relationship Id="rId292" Type="http://schemas.openxmlformats.org/officeDocument/2006/relationships/image" Target="media/image286.png"/><Relationship Id="rId293" Type="http://schemas.openxmlformats.org/officeDocument/2006/relationships/image" Target="media/image287.jpeg"/><Relationship Id="rId294" Type="http://schemas.openxmlformats.org/officeDocument/2006/relationships/image" Target="media/image288.png"/><Relationship Id="rId295" Type="http://schemas.openxmlformats.org/officeDocument/2006/relationships/image" Target="media/image289.png"/><Relationship Id="rId296" Type="http://schemas.openxmlformats.org/officeDocument/2006/relationships/hyperlink" Target="http://www.who.int/neglected_diseases/diseases/Nodding_syndrom_Kampala_Report_2012.pdf" TargetMode="External"/><Relationship Id="rId297" Type="http://schemas.openxmlformats.org/officeDocument/2006/relationships/hyperlink" Target="http://www.ncbi.nlm.nih.gov/sites/GeneTests/review?db=genetests)" TargetMode="External"/><Relationship Id="rId298" Type="http://schemas.openxmlformats.org/officeDocument/2006/relationships/image" Target="media/image290.png"/><Relationship Id="rId299" Type="http://schemas.openxmlformats.org/officeDocument/2006/relationships/image" Target="media/image291.png"/><Relationship Id="rId300" Type="http://schemas.openxmlformats.org/officeDocument/2006/relationships/image" Target="media/image292.png"/><Relationship Id="rId301" Type="http://schemas.openxmlformats.org/officeDocument/2006/relationships/image" Target="media/image293.png"/><Relationship Id="rId302" Type="http://schemas.openxmlformats.org/officeDocument/2006/relationships/image" Target="media/image294.png"/><Relationship Id="rId303" Type="http://schemas.openxmlformats.org/officeDocument/2006/relationships/image" Target="media/image295.png"/><Relationship Id="rId304" Type="http://schemas.openxmlformats.org/officeDocument/2006/relationships/image" Target="media/image296.png"/><Relationship Id="rId305" Type="http://schemas.openxmlformats.org/officeDocument/2006/relationships/image" Target="media/image297.png"/><Relationship Id="rId306" Type="http://schemas.openxmlformats.org/officeDocument/2006/relationships/image" Target="media/image298.png"/><Relationship Id="rId307" Type="http://schemas.openxmlformats.org/officeDocument/2006/relationships/image" Target="media/image299.png"/><Relationship Id="rId308" Type="http://schemas.openxmlformats.org/officeDocument/2006/relationships/image" Target="media/image300.png"/><Relationship Id="rId309" Type="http://schemas.openxmlformats.org/officeDocument/2006/relationships/header" Target="header3.xml"/><Relationship Id="rId310" Type="http://schemas.openxmlformats.org/officeDocument/2006/relationships/header" Target="header4.xml"/><Relationship Id="rId311" Type="http://schemas.openxmlformats.org/officeDocument/2006/relationships/header" Target="header5.xml"/><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header" Target="header6.xml"/><Relationship Id="rId318" Type="http://schemas.openxmlformats.org/officeDocument/2006/relationships/image" Target="media/image306.png"/><Relationship Id="rId319" Type="http://schemas.openxmlformats.org/officeDocument/2006/relationships/image" Target="media/image307.png"/><Relationship Id="rId320" Type="http://schemas.openxmlformats.org/officeDocument/2006/relationships/image" Target="media/image308.png"/><Relationship Id="rId321" Type="http://schemas.openxmlformats.org/officeDocument/2006/relationships/image" Target="media/image309.png"/><Relationship Id="rId322" Type="http://schemas.openxmlformats.org/officeDocument/2006/relationships/image" Target="media/image310.png"/><Relationship Id="rId323" Type="http://schemas.openxmlformats.org/officeDocument/2006/relationships/image" Target="media/image311.png"/><Relationship Id="rId324" Type="http://schemas.openxmlformats.org/officeDocument/2006/relationships/image" Target="media/image312.png"/><Relationship Id="rId325" Type="http://schemas.openxmlformats.org/officeDocument/2006/relationships/image" Target="media/image313.png"/><Relationship Id="rId326" Type="http://schemas.openxmlformats.org/officeDocument/2006/relationships/image" Target="media/image314.png"/><Relationship Id="rId327" Type="http://schemas.openxmlformats.org/officeDocument/2006/relationships/header" Target="header7.xml"/><Relationship Id="rId328" Type="http://schemas.openxmlformats.org/officeDocument/2006/relationships/image" Target="media/image315.png"/><Relationship Id="rId329" Type="http://schemas.openxmlformats.org/officeDocument/2006/relationships/image" Target="media/image316.png"/><Relationship Id="rId330" Type="http://schemas.openxmlformats.org/officeDocument/2006/relationships/header" Target="header8.xml"/><Relationship Id="rId331" Type="http://schemas.openxmlformats.org/officeDocument/2006/relationships/header" Target="header9.xml"/><Relationship Id="rId332" Type="http://schemas.openxmlformats.org/officeDocument/2006/relationships/header" Target="header10.xml"/><Relationship Id="rId3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2025-08-06T10:00:09Z</dcterms:created>
  <dcterms:modified xsi:type="dcterms:W3CDTF">2025-08-06T10:00:09Z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2025-08-06T00:00:00Z</vt:filetime>
  </property>
  <property fmtid="{D5CDD505-2E9C-101B-9397-08002B2CF9AE}" pid="3" name="LastSaved">
    <vt:filetime>2025-08-06T00:00:00Z</vt:filetime>
  </property>
  <property fmtid="{D5CDD505-2E9C-101B-9397-08002B2CF9AE}" pid="4" name="Producer">
    <vt:lpwstr>iLovePDF</vt:lpwstr>
  </property>
</Properties>
</file>